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489E" w14:textId="06BFBB54" w:rsidR="00310D6B" w:rsidRDefault="00E91357" w:rsidP="00080FC6">
      <w:r>
        <w:rPr>
          <w:noProof/>
        </w:rPr>
        <mc:AlternateContent>
          <mc:Choice Requires="wps">
            <w:drawing>
              <wp:anchor distT="0" distB="0" distL="114300" distR="114300" simplePos="0" relativeHeight="251658240" behindDoc="0" locked="0" layoutInCell="1" allowOverlap="1" wp14:anchorId="1AAE6808" wp14:editId="2FD9C4B6">
                <wp:simplePos x="0" y="0"/>
                <wp:positionH relativeFrom="column">
                  <wp:posOffset>4511040</wp:posOffset>
                </wp:positionH>
                <wp:positionV relativeFrom="paragraph">
                  <wp:posOffset>281940</wp:posOffset>
                </wp:positionV>
                <wp:extent cx="2143125" cy="1207770"/>
                <wp:effectExtent l="0" t="0" r="381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207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9BCAB" w14:textId="6D36392A" w:rsidR="000F483A" w:rsidRPr="008B0978" w:rsidRDefault="000F483A" w:rsidP="008C66A0">
                            <w:pPr>
                              <w:pStyle w:val="NoSpacing"/>
                              <w:rPr>
                                <w:b/>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AAE6808" id="_x0000_t202" coordsize="21600,21600" o:spt="202" path="m,l,21600r21600,l21600,xe">
                <v:stroke joinstyle="miter"/>
                <v:path gradientshapeok="t" o:connecttype="rect"/>
              </v:shapetype>
              <v:shape id="Text Box 2" o:spid="_x0000_s1026" type="#_x0000_t202" style="position:absolute;margin-left:355.2pt;margin-top:22.2pt;width:168.75pt;height:95.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" stroked="f">
                <v:textbox style="mso-fit-shape-to-text:t">
                  <w:txbxContent>
                    <w:p w14:paraId="10F9BCAB" w14:textId="6D36392A" w:rsidR="000F483A" w:rsidRPr="008B0978" w:rsidRDefault="000F483A" w:rsidP="008C66A0">
                      <w:pPr>
                        <w:pStyle w:val="NoSpacing"/>
                        <w:rPr>
                          <w:b/>
                          <w:sz w:val="18"/>
                          <w:szCs w:val="18"/>
                        </w:rPr>
                      </w:pPr>
                    </w:p>
                  </w:txbxContent>
                </v:textbox>
              </v:shape>
            </w:pict>
          </mc:Fallback>
        </mc:AlternateContent>
      </w:r>
      <w:bookmarkStart w:id="0" w:name="_Hlk503776811"/>
    </w:p>
    <w:p w14:paraId="6D5C5379" w14:textId="39968728" w:rsidR="00E97D63" w:rsidRDefault="00DB73C7" w:rsidP="000318C6">
      <w:pPr>
        <w:jc w:val="center"/>
        <w:rPr>
          <w:rFonts w:ascii="Times New Roman" w:hAnsi="Times New Roman"/>
          <w:sz w:val="24"/>
          <w:szCs w:val="24"/>
        </w:rPr>
      </w:pPr>
      <w:r>
        <w:rPr>
          <w:rFonts w:ascii="Times New Roman" w:hAnsi="Times New Roman"/>
          <w:sz w:val="24"/>
          <w:szCs w:val="24"/>
        </w:rPr>
        <w:t>9/29</w:t>
      </w:r>
      <w:r w:rsidR="00BB145E">
        <w:rPr>
          <w:rFonts w:ascii="Times New Roman" w:hAnsi="Times New Roman"/>
          <w:sz w:val="24"/>
          <w:szCs w:val="24"/>
        </w:rPr>
        <w:t>/</w:t>
      </w:r>
      <w:r w:rsidR="00310992">
        <w:rPr>
          <w:rFonts w:ascii="Times New Roman" w:hAnsi="Times New Roman"/>
          <w:sz w:val="24"/>
          <w:szCs w:val="24"/>
        </w:rPr>
        <w:t xml:space="preserve">2026 </w:t>
      </w:r>
      <w:r w:rsidR="00C0703E">
        <w:rPr>
          <w:rFonts w:ascii="Times New Roman" w:hAnsi="Times New Roman"/>
          <w:sz w:val="24"/>
          <w:szCs w:val="24"/>
        </w:rPr>
        <w:t xml:space="preserve"> </w:t>
      </w:r>
      <w:r w:rsidR="00812C71">
        <w:rPr>
          <w:rFonts w:ascii="Times New Roman" w:hAnsi="Times New Roman"/>
          <w:sz w:val="24"/>
          <w:szCs w:val="24"/>
        </w:rPr>
        <w:t xml:space="preserve">  </w:t>
      </w:r>
    </w:p>
    <w:p w14:paraId="01728056" w14:textId="78168CA1" w:rsidR="000318C6" w:rsidRDefault="000318C6" w:rsidP="000318C6">
      <w:pPr>
        <w:jc w:val="center"/>
        <w:rPr>
          <w:rFonts w:ascii="Arial Black" w:hAnsi="Arial Black"/>
          <w:sz w:val="40"/>
          <w:szCs w:val="40"/>
        </w:rPr>
      </w:pPr>
      <w:r>
        <w:rPr>
          <w:rFonts w:ascii="Arial Black" w:hAnsi="Arial Black"/>
          <w:sz w:val="40"/>
          <w:szCs w:val="40"/>
        </w:rPr>
        <w:t>FIRE</w:t>
      </w:r>
      <w:r w:rsidR="00D507CB">
        <w:rPr>
          <w:rFonts w:ascii="Arial Black" w:hAnsi="Arial Black"/>
          <w:sz w:val="40"/>
          <w:szCs w:val="40"/>
        </w:rPr>
        <w:t xml:space="preserve"> &amp; E</w:t>
      </w:r>
      <w:r>
        <w:rPr>
          <w:rFonts w:ascii="Arial Black" w:hAnsi="Arial Black"/>
          <w:sz w:val="40"/>
          <w:szCs w:val="40"/>
        </w:rPr>
        <w:t>MS</w:t>
      </w:r>
      <w:r w:rsidR="00877589">
        <w:rPr>
          <w:rFonts w:ascii="Arial Black" w:hAnsi="Arial Black"/>
          <w:sz w:val="40"/>
          <w:szCs w:val="40"/>
        </w:rPr>
        <w:t xml:space="preserve"> </w:t>
      </w:r>
      <w:r>
        <w:rPr>
          <w:rFonts w:ascii="Arial Black" w:hAnsi="Arial Black"/>
          <w:sz w:val="40"/>
          <w:szCs w:val="40"/>
        </w:rPr>
        <w:t>LAW –</w:t>
      </w:r>
      <w:r w:rsidR="008C6EC1">
        <w:rPr>
          <w:rFonts w:ascii="Arial Black" w:hAnsi="Arial Black"/>
          <w:sz w:val="40"/>
          <w:szCs w:val="40"/>
        </w:rPr>
        <w:t xml:space="preserve"> LIBRARY </w:t>
      </w:r>
      <w:r>
        <w:rPr>
          <w:rFonts w:ascii="Arial Black" w:hAnsi="Arial Black"/>
          <w:sz w:val="40"/>
          <w:szCs w:val="40"/>
        </w:rPr>
        <w:t>RECENT CASE SUMMARIES</w:t>
      </w:r>
    </w:p>
    <w:p w14:paraId="473F7A23" w14:textId="77777777" w:rsidR="00286FE7" w:rsidRPr="00286FE7" w:rsidRDefault="00601F58" w:rsidP="000318C6">
      <w:pPr>
        <w:jc w:val="center"/>
        <w:rPr>
          <w:rFonts w:ascii="Arial Black" w:hAnsi="Arial Black"/>
          <w:color w:val="EE0000"/>
          <w:sz w:val="24"/>
          <w:szCs w:val="24"/>
        </w:rPr>
      </w:pPr>
      <w:r w:rsidRPr="00286FE7">
        <w:rPr>
          <w:rFonts w:ascii="Arial Black" w:hAnsi="Arial Black"/>
          <w:color w:val="EE0000"/>
          <w:sz w:val="24"/>
          <w:szCs w:val="24"/>
        </w:rPr>
        <w:t>SEND ME E-MAIL IF WISH TO RECEIVE MONTHLY FIRE &amp; EMS LAW NEWSLETTERS</w:t>
      </w:r>
    </w:p>
    <w:p w14:paraId="441765E4" w14:textId="77777777" w:rsidR="00286FE7" w:rsidRDefault="00286FE7" w:rsidP="00286FE7">
      <w:pPr>
        <w:pStyle w:val="NoSpacing"/>
        <w:ind w:left="1440" w:firstLine="720"/>
      </w:pPr>
      <w:r w:rsidRPr="00D72CFF">
        <w:rPr>
          <w:rFonts w:ascii="Times New Roman" w:hAnsi="Times New Roman"/>
          <w:bCs/>
          <w:sz w:val="20"/>
          <w:szCs w:val="20"/>
        </w:rPr>
        <w:t xml:space="preserve">Posted online, UC Libraries, </w:t>
      </w:r>
      <w:proofErr w:type="spellStart"/>
      <w:r w:rsidRPr="00D72CFF">
        <w:rPr>
          <w:rFonts w:ascii="Times New Roman" w:hAnsi="Times New Roman"/>
          <w:bCs/>
          <w:sz w:val="20"/>
          <w:szCs w:val="20"/>
        </w:rPr>
        <w:t>Scholar@UC</w:t>
      </w:r>
      <w:proofErr w:type="spellEnd"/>
      <w:r w:rsidRPr="00D72CFF">
        <w:rPr>
          <w:rFonts w:ascii="Times New Roman" w:hAnsi="Times New Roman"/>
          <w:bCs/>
          <w:sz w:val="20"/>
          <w:szCs w:val="20"/>
        </w:rPr>
        <w:t>:</w:t>
      </w:r>
      <w:r>
        <w:rPr>
          <w:rFonts w:ascii="Times New Roman" w:hAnsi="Times New Roman"/>
          <w:bCs/>
          <w:sz w:val="20"/>
          <w:szCs w:val="20"/>
        </w:rPr>
        <w:t xml:space="preserve"> </w:t>
      </w:r>
      <w:hyperlink r:id="rId8" w:history="1">
        <w:r w:rsidRPr="00EE6CD3">
          <w:rPr>
            <w:rStyle w:val="Hyperlink"/>
            <w:sz w:val="20"/>
            <w:szCs w:val="20"/>
          </w:rPr>
          <w:t>https://doi.org/10.7945/j6c2-q930</w:t>
        </w:r>
      </w:hyperlink>
    </w:p>
    <w:p w14:paraId="50ACA542" w14:textId="77777777" w:rsidR="00286FE7" w:rsidRDefault="00286FE7" w:rsidP="00286FE7">
      <w:pPr>
        <w:pStyle w:val="NoSpacing"/>
        <w:ind w:left="1440" w:firstLine="720"/>
      </w:pPr>
    </w:p>
    <w:p w14:paraId="0A4CAF1E" w14:textId="77777777" w:rsidR="00286FE7" w:rsidRDefault="00286FE7" w:rsidP="00286FE7">
      <w:pPr>
        <w:pStyle w:val="NoSpacing"/>
        <w:ind w:left="720"/>
        <w:jc w:val="center"/>
      </w:pPr>
      <w:r w:rsidRPr="00AB532E">
        <w:rPr>
          <w:rFonts w:ascii="Times New Roman" w:hAnsi="Times New Roman"/>
          <w:b/>
          <w:bCs/>
          <w:sz w:val="20"/>
          <w:szCs w:val="20"/>
        </w:rPr>
        <w:t>Also posted: National Fire Academy –</w:t>
      </w:r>
      <w:r w:rsidRPr="00AB532E">
        <w:rPr>
          <w:rStyle w:val="Strong"/>
          <w:rFonts w:ascii="Times New Roman" w:hAnsi="Times New Roman"/>
          <w:sz w:val="20"/>
          <w:szCs w:val="20"/>
        </w:rPr>
        <w:t xml:space="preserve"> National Emergency Training Center Library: </w:t>
      </w:r>
      <w:hyperlink r:id="rId9" w:history="1">
        <w:r w:rsidRPr="00AB532E">
          <w:rPr>
            <w:rStyle w:val="Hyperlink"/>
            <w:rFonts w:ascii="Times New Roman" w:hAnsi="Times New Roman"/>
            <w:sz w:val="20"/>
            <w:szCs w:val="20"/>
          </w:rPr>
          <w:t>https://usfa.bibliovation.com/app/work/255508</w:t>
        </w:r>
      </w:hyperlink>
    </w:p>
    <w:p w14:paraId="5DA170AB" w14:textId="77777777" w:rsidR="00601F58" w:rsidRDefault="00601F58" w:rsidP="00AB532E">
      <w:pPr>
        <w:pStyle w:val="NoSpacing"/>
        <w:ind w:left="720"/>
        <w:jc w:val="center"/>
        <w:rPr>
          <w:rFonts w:ascii="Times New Roman" w:hAnsi="Times New Roman"/>
          <w:sz w:val="20"/>
          <w:szCs w:val="20"/>
        </w:rPr>
      </w:pPr>
    </w:p>
    <w:p w14:paraId="7DDE9128" w14:textId="3797B2F2" w:rsidR="00336514" w:rsidRDefault="00336514" w:rsidP="00336514">
      <w:pPr>
        <w:pStyle w:val="NoSpacing"/>
        <w:ind w:left="2880"/>
        <w:rPr>
          <w:rFonts w:ascii="Arial Black" w:hAnsi="Arial Black"/>
          <w:sz w:val="28"/>
          <w:szCs w:val="28"/>
        </w:rPr>
      </w:pPr>
      <w:r w:rsidRPr="006216EF">
        <w:rPr>
          <w:rFonts w:ascii="Arial Black" w:hAnsi="Arial Black"/>
          <w:sz w:val="28"/>
          <w:szCs w:val="28"/>
        </w:rPr>
        <w:t>NOT PROVIDING LEGAL ADVICE.</w:t>
      </w:r>
    </w:p>
    <w:p w14:paraId="59FC0D6D" w14:textId="77777777" w:rsidR="001C1C3A" w:rsidRDefault="001C1C3A" w:rsidP="00336514">
      <w:pPr>
        <w:pStyle w:val="NoSpacing"/>
        <w:ind w:left="2880"/>
        <w:rPr>
          <w:rFonts w:ascii="Arial Black" w:hAnsi="Arial Black"/>
          <w:sz w:val="28"/>
          <w:szCs w:val="28"/>
        </w:rPr>
      </w:pPr>
    </w:p>
    <w:p w14:paraId="7F7A5763" w14:textId="1714EF1B" w:rsidR="00DA1200" w:rsidRDefault="00DA1200" w:rsidP="00601F58">
      <w:pPr>
        <w:pStyle w:val="p0"/>
        <w:ind w:left="2160"/>
        <w:rPr>
          <w:b/>
          <w:bCs/>
          <w:sz w:val="16"/>
          <w:szCs w:val="16"/>
        </w:rPr>
      </w:pPr>
      <w:r>
        <w:rPr>
          <w:b/>
          <w:bCs/>
        </w:rPr>
        <w:t xml:space="preserve">      </w:t>
      </w:r>
      <w:r w:rsidRPr="00492302">
        <w:rPr>
          <w:bCs/>
          <w:noProof/>
        </w:rPr>
        <w:drawing>
          <wp:inline distT="0" distB="0" distL="0" distR="0" wp14:anchorId="210DB762" wp14:editId="2640F1B6">
            <wp:extent cx="1554480" cy="1630680"/>
            <wp:effectExtent l="0" t="0" r="0" b="0"/>
            <wp:docPr id="618278438" name="Picture 1" descr="A perso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holding a dog&#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4480" cy="1630680"/>
                    </a:xfrm>
                    <a:prstGeom prst="rect">
                      <a:avLst/>
                    </a:prstGeom>
                    <a:noFill/>
                    <a:ln>
                      <a:noFill/>
                    </a:ln>
                  </pic:spPr>
                </pic:pic>
              </a:graphicData>
            </a:graphic>
          </wp:inline>
        </w:drawing>
      </w:r>
      <w:r w:rsidR="00601F58" w:rsidRPr="00E87FC9">
        <w:rPr>
          <w:noProof/>
        </w:rPr>
        <w:drawing>
          <wp:inline distT="0" distB="0" distL="0" distR="0" wp14:anchorId="192590F0" wp14:editId="705B0E98">
            <wp:extent cx="1638300" cy="1612398"/>
            <wp:effectExtent l="0" t="0" r="0" b="0"/>
            <wp:docPr id="1617325897" name="Picture 12" descr="A firefighter wearing a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36339" name="Picture 12" descr="A firefighter wearing a mask&#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6207" cy="1630021"/>
                    </a:xfrm>
                    <a:prstGeom prst="rect">
                      <a:avLst/>
                    </a:prstGeom>
                    <a:noFill/>
                    <a:ln>
                      <a:noFill/>
                    </a:ln>
                  </pic:spPr>
                </pic:pic>
              </a:graphicData>
            </a:graphic>
          </wp:inline>
        </w:drawing>
      </w:r>
    </w:p>
    <w:p w14:paraId="2D9637BB" w14:textId="77777777" w:rsidR="002E2775" w:rsidRPr="00E203E2" w:rsidRDefault="002E2775" w:rsidP="002E2775">
      <w:pPr>
        <w:pStyle w:val="NoSpacing"/>
        <w:ind w:left="720" w:firstLine="720"/>
        <w:jc w:val="center"/>
        <w:rPr>
          <w:sz w:val="20"/>
          <w:szCs w:val="20"/>
        </w:rPr>
      </w:pPr>
      <w:r w:rsidRPr="00E203E2">
        <w:rPr>
          <w:sz w:val="20"/>
          <w:szCs w:val="20"/>
        </w:rPr>
        <w:t>Former Vol FF / EMT; Now Pet Therapy - 3 Dispatch Centers</w:t>
      </w:r>
      <w:r>
        <w:rPr>
          <w:sz w:val="20"/>
          <w:szCs w:val="20"/>
        </w:rPr>
        <w:t>. 4 EDs</w:t>
      </w:r>
      <w:r w:rsidRPr="00E203E2">
        <w:rPr>
          <w:sz w:val="20"/>
          <w:szCs w:val="20"/>
        </w:rPr>
        <w:t xml:space="preserve"> with “FRYE”</w:t>
      </w:r>
    </w:p>
    <w:p w14:paraId="205294EC" w14:textId="77777777" w:rsidR="008E3395" w:rsidRPr="008E3395" w:rsidRDefault="008E3395" w:rsidP="008E3395"/>
    <w:p w14:paraId="5D3C60EC" w14:textId="3D322CDE" w:rsidR="00327B64" w:rsidRDefault="006C14C0" w:rsidP="00601F58">
      <w:pPr>
        <w:ind w:firstLine="720"/>
        <w:jc w:val="center"/>
        <w:rPr>
          <w:rStyle w:val="Strong"/>
          <w:b w:val="0"/>
        </w:rPr>
      </w:pPr>
      <w:r>
        <w:rPr>
          <w:noProof/>
        </w:rPr>
        <w:drawing>
          <wp:inline distT="0" distB="0" distL="0" distR="0" wp14:anchorId="671DD1C9" wp14:editId="2DAAC41A">
            <wp:extent cx="1172046" cy="1562100"/>
            <wp:effectExtent l="0" t="0" r="9525" b="0"/>
            <wp:docPr id="1143274283" name="Picture 1" descr="Fire Service Law:  by Lawrence T. Ben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e Service Law:  by Lawrence T. Bennet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2210" cy="1602303"/>
                    </a:xfrm>
                    <a:prstGeom prst="rect">
                      <a:avLst/>
                    </a:prstGeom>
                    <a:noFill/>
                    <a:ln>
                      <a:noFill/>
                    </a:ln>
                  </pic:spPr>
                </pic:pic>
              </a:graphicData>
            </a:graphic>
          </wp:inline>
        </w:drawing>
      </w:r>
    </w:p>
    <w:p w14:paraId="685461D8" w14:textId="78880B6F" w:rsidR="001C1C3A" w:rsidRPr="001C1C3A" w:rsidRDefault="001C1C3A" w:rsidP="008D7007">
      <w:pPr>
        <w:pStyle w:val="NoSpacing"/>
      </w:pPr>
      <w:r w:rsidRPr="00E7637D">
        <w:t>Updating 18 chapters of my textbook</w:t>
      </w:r>
      <w:r w:rsidR="00C134B7">
        <w:t xml:space="preserve">: </w:t>
      </w:r>
      <w:r w:rsidRPr="00E7637D">
        <w:t>Fire Service Law (2017)</w:t>
      </w:r>
      <w:r w:rsidR="00D4353F">
        <w:t>:</w:t>
      </w:r>
      <w:hyperlink r:id="rId13" w:history="1">
        <w:r w:rsidRPr="00E7637D">
          <w:rPr>
            <w:rStyle w:val="Hyperlink"/>
            <w:rFonts w:ascii="Times New Roman" w:hAnsi="Times New Roman"/>
            <w:bCs/>
            <w:szCs w:val="20"/>
          </w:rPr>
          <w:t>http://www.waveland.com/browse.php?t=708</w:t>
        </w:r>
      </w:hyperlink>
    </w:p>
    <w:p w14:paraId="38451120" w14:textId="77777777" w:rsidR="001C1C3A" w:rsidRDefault="001C1C3A" w:rsidP="004E6CA7">
      <w:pPr>
        <w:pStyle w:val="NoSpacing"/>
        <w:jc w:val="center"/>
        <w:rPr>
          <w:rFonts w:ascii="Times New Roman" w:hAnsi="Times New Roman"/>
          <w:sz w:val="24"/>
          <w:szCs w:val="24"/>
        </w:rPr>
      </w:pPr>
    </w:p>
    <w:p w14:paraId="353FA1A8" w14:textId="3B153954" w:rsidR="004E6CA7" w:rsidRDefault="004E6CA7" w:rsidP="004E6CA7">
      <w:pPr>
        <w:pStyle w:val="NoSpacing"/>
        <w:jc w:val="center"/>
        <w:rPr>
          <w:rFonts w:ascii="Times New Roman" w:hAnsi="Times New Roman"/>
          <w:sz w:val="24"/>
          <w:szCs w:val="24"/>
        </w:rPr>
      </w:pPr>
      <w:r w:rsidRPr="00403244">
        <w:rPr>
          <w:rFonts w:ascii="Times New Roman" w:hAnsi="Times New Roman"/>
          <w:sz w:val="24"/>
          <w:szCs w:val="24"/>
        </w:rPr>
        <w:t>Lawrence T. Bennett, Esq.</w:t>
      </w:r>
    </w:p>
    <w:p w14:paraId="65297302" w14:textId="77777777" w:rsidR="004E6CA7" w:rsidRPr="00403244" w:rsidRDefault="004E6CA7" w:rsidP="004E6CA7">
      <w:pPr>
        <w:pStyle w:val="NoSpacing"/>
        <w:jc w:val="center"/>
        <w:rPr>
          <w:rFonts w:ascii="Times New Roman" w:hAnsi="Times New Roman"/>
          <w:sz w:val="24"/>
          <w:szCs w:val="24"/>
        </w:rPr>
      </w:pPr>
      <w:r>
        <w:rPr>
          <w:rFonts w:ascii="Times New Roman" w:hAnsi="Times New Roman"/>
          <w:sz w:val="24"/>
          <w:szCs w:val="24"/>
        </w:rPr>
        <w:t>Professor – Educator Emeritus</w:t>
      </w:r>
    </w:p>
    <w:p w14:paraId="022E10C9" w14:textId="27CE8FC9" w:rsidR="004E6CA7" w:rsidRPr="00403244" w:rsidRDefault="00684B8D" w:rsidP="004E6CA7">
      <w:pPr>
        <w:pStyle w:val="NoSpacing"/>
        <w:jc w:val="center"/>
        <w:rPr>
          <w:rFonts w:ascii="Times New Roman" w:hAnsi="Times New Roman"/>
          <w:sz w:val="24"/>
          <w:szCs w:val="24"/>
        </w:rPr>
      </w:pPr>
      <w:r>
        <w:rPr>
          <w:rFonts w:ascii="Times New Roman" w:hAnsi="Times New Roman"/>
          <w:sz w:val="24"/>
          <w:szCs w:val="24"/>
        </w:rPr>
        <w:t xml:space="preserve">Former </w:t>
      </w:r>
      <w:r w:rsidR="004E6CA7" w:rsidRPr="00403244">
        <w:rPr>
          <w:rFonts w:ascii="Times New Roman" w:hAnsi="Times New Roman"/>
          <w:sz w:val="24"/>
          <w:szCs w:val="24"/>
        </w:rPr>
        <w:t>Program Chair</w:t>
      </w:r>
    </w:p>
    <w:p w14:paraId="3C46A891" w14:textId="77777777" w:rsidR="004E6CA7" w:rsidRPr="00403244" w:rsidRDefault="004E6CA7" w:rsidP="004E6CA7">
      <w:pPr>
        <w:pStyle w:val="NoSpacing"/>
        <w:jc w:val="center"/>
        <w:rPr>
          <w:rFonts w:ascii="Times New Roman" w:hAnsi="Times New Roman"/>
          <w:sz w:val="24"/>
          <w:szCs w:val="24"/>
        </w:rPr>
      </w:pPr>
      <w:r w:rsidRPr="00403244">
        <w:rPr>
          <w:rFonts w:ascii="Times New Roman" w:hAnsi="Times New Roman"/>
          <w:sz w:val="24"/>
          <w:szCs w:val="24"/>
        </w:rPr>
        <w:t>Fire Science &amp; Emergency Management</w:t>
      </w:r>
    </w:p>
    <w:p w14:paraId="7DBD8955" w14:textId="77777777" w:rsidR="004E6CA7" w:rsidRPr="00403244" w:rsidRDefault="004E6CA7" w:rsidP="004E6CA7">
      <w:pPr>
        <w:pStyle w:val="NoSpacing"/>
        <w:jc w:val="center"/>
        <w:rPr>
          <w:rFonts w:ascii="Times New Roman" w:hAnsi="Times New Roman"/>
          <w:sz w:val="24"/>
          <w:szCs w:val="24"/>
        </w:rPr>
      </w:pPr>
      <w:r w:rsidRPr="00403244">
        <w:rPr>
          <w:rFonts w:ascii="Times New Roman" w:hAnsi="Times New Roman"/>
          <w:sz w:val="24"/>
          <w:szCs w:val="24"/>
        </w:rPr>
        <w:t>Cell 513-470-2744</w:t>
      </w:r>
    </w:p>
    <w:p w14:paraId="6B4A7DBC" w14:textId="77777777" w:rsidR="004E6CA7" w:rsidRDefault="004E6CA7" w:rsidP="004E6CA7">
      <w:pPr>
        <w:pStyle w:val="NoSpacing"/>
        <w:jc w:val="center"/>
      </w:pPr>
      <w:hyperlink r:id="rId14" w:history="1">
        <w:r w:rsidRPr="00403244">
          <w:rPr>
            <w:rStyle w:val="Hyperlink"/>
            <w:rFonts w:ascii="Times New Roman" w:hAnsi="Times New Roman"/>
            <w:sz w:val="24"/>
            <w:szCs w:val="24"/>
          </w:rPr>
          <w:t>Lawrence.bennett@uc.edu</w:t>
        </w:r>
      </w:hyperlink>
    </w:p>
    <w:p w14:paraId="07589320" w14:textId="77777777" w:rsidR="00552763" w:rsidRDefault="00552763" w:rsidP="004E6CA7">
      <w:pPr>
        <w:pStyle w:val="NoSpacing"/>
        <w:jc w:val="center"/>
      </w:pPr>
    </w:p>
    <w:p w14:paraId="35FCA165" w14:textId="77777777" w:rsidR="002E2775" w:rsidRDefault="002E2775" w:rsidP="004E6CA7">
      <w:pPr>
        <w:pStyle w:val="NoSpacing"/>
        <w:jc w:val="center"/>
        <w:rPr>
          <w:rFonts w:ascii="Times New Roman" w:hAnsi="Times New Roman"/>
          <w:b/>
          <w:bCs/>
          <w:color w:val="EE0000"/>
          <w:sz w:val="24"/>
          <w:szCs w:val="24"/>
        </w:rPr>
      </w:pPr>
    </w:p>
    <w:p w14:paraId="3150BBE8" w14:textId="77777777" w:rsidR="009E6D11" w:rsidRPr="007C6166" w:rsidRDefault="009E6D11" w:rsidP="009E6D11">
      <w:pPr>
        <w:jc w:val="center"/>
        <w:rPr>
          <w:rFonts w:ascii="Arial Black" w:hAnsi="Arial Black"/>
          <w:b/>
          <w:sz w:val="40"/>
          <w:szCs w:val="40"/>
        </w:rPr>
      </w:pPr>
      <w:r>
        <w:rPr>
          <w:rFonts w:ascii="Arial Black" w:hAnsi="Arial Black"/>
          <w:b/>
          <w:sz w:val="40"/>
          <w:szCs w:val="40"/>
        </w:rPr>
        <w:lastRenderedPageBreak/>
        <w:t xml:space="preserve">OCTOBER </w:t>
      </w:r>
      <w:r w:rsidRPr="007C6166">
        <w:rPr>
          <w:rFonts w:ascii="Arial Black" w:hAnsi="Arial Black"/>
          <w:b/>
          <w:sz w:val="40"/>
          <w:szCs w:val="40"/>
        </w:rPr>
        <w:t>2026 FIRE &amp; EMS LAW NEWSLETTER</w:t>
      </w:r>
    </w:p>
    <w:p w14:paraId="01457346" w14:textId="77777777" w:rsidR="009E6D11" w:rsidRPr="007C6166" w:rsidRDefault="009E6D11" w:rsidP="009E6D11">
      <w:pPr>
        <w:jc w:val="center"/>
        <w:rPr>
          <w:rFonts w:ascii="Arial Black" w:hAnsi="Arial Black"/>
          <w:b/>
        </w:rPr>
      </w:pPr>
      <w:r w:rsidRPr="007C6166">
        <w:rPr>
          <w:rFonts w:ascii="Arial Black" w:hAnsi="Arial Black"/>
          <w:b/>
        </w:rPr>
        <w:t>NOT PROVIDING LEGAL ADVICE</w:t>
      </w:r>
    </w:p>
    <w:p w14:paraId="020022F1" w14:textId="77777777" w:rsidR="00573871" w:rsidRPr="00040AB6" w:rsidRDefault="00573871" w:rsidP="00573871">
      <w:pPr>
        <w:pStyle w:val="NoSpacing"/>
        <w:jc w:val="center"/>
        <w:rPr>
          <w:rFonts w:ascii="Arial Black" w:hAnsi="Arial Black"/>
          <w:b/>
          <w:color w:val="EE0000"/>
          <w:sz w:val="28"/>
          <w:szCs w:val="28"/>
        </w:rPr>
      </w:pPr>
      <w:r>
        <w:rPr>
          <w:rFonts w:ascii="Arial Black" w:hAnsi="Arial Black"/>
          <w:b/>
          <w:color w:val="EE0000"/>
          <w:sz w:val="28"/>
          <w:szCs w:val="28"/>
        </w:rPr>
        <w:t>30 R</w:t>
      </w:r>
      <w:r w:rsidRPr="00040AB6">
        <w:rPr>
          <w:rFonts w:ascii="Arial Black" w:hAnsi="Arial Black"/>
          <w:b/>
          <w:color w:val="EE0000"/>
          <w:sz w:val="28"/>
          <w:szCs w:val="28"/>
        </w:rPr>
        <w:t>ECENT CASE REVIEWS</w:t>
      </w:r>
    </w:p>
    <w:p w14:paraId="5A4934B1" w14:textId="77777777" w:rsidR="00573871" w:rsidRDefault="00573871" w:rsidP="00573871">
      <w:pPr>
        <w:pStyle w:val="NoSpacing"/>
      </w:pPr>
    </w:p>
    <w:p w14:paraId="683DC372" w14:textId="77777777" w:rsidR="00573871" w:rsidRPr="00573871" w:rsidRDefault="00573871" w:rsidP="00573871">
      <w:pPr>
        <w:pStyle w:val="NoSpacing"/>
        <w:rPr>
          <w:sz w:val="24"/>
          <w:szCs w:val="24"/>
        </w:rPr>
      </w:pPr>
      <w:r w:rsidRPr="00573871">
        <w:rPr>
          <w:sz w:val="24"/>
          <w:szCs w:val="24"/>
        </w:rPr>
        <w:t>Chap. 1 – American Legal System, incl. Fire Codes, Investigations, Arson</w:t>
      </w:r>
    </w:p>
    <w:p w14:paraId="247FD3AB"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OH: SPRINKLERS – CHURCH / SLEEP – CONV PASTOR REV </w:t>
      </w:r>
    </w:p>
    <w:p w14:paraId="56E80622"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OH: CYBER BREACH – COLUMBUS FF / PD - CASE BACK ON</w:t>
      </w:r>
    </w:p>
    <w:p w14:paraId="1E403D57"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IN: STUCK ELEV 6 HRS – BAD ESCAPE HATCH – SUE HOTEL </w:t>
      </w:r>
    </w:p>
    <w:p w14:paraId="217DF72B"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IL: ARSON-FOR-INSURANCE – 15 YRS PRISON - NO RELEASE</w:t>
      </w:r>
    </w:p>
    <w:p w14:paraId="787FE7D0" w14:textId="77777777" w:rsidR="00573871" w:rsidRPr="00573871" w:rsidRDefault="00573871" w:rsidP="00573871">
      <w:pPr>
        <w:pStyle w:val="NoSpacing"/>
        <w:rPr>
          <w:rFonts w:ascii="Arial Black" w:hAnsi="Arial Black"/>
          <w:bCs/>
          <w:color w:val="EE0000"/>
          <w:sz w:val="24"/>
          <w:szCs w:val="24"/>
        </w:rPr>
      </w:pPr>
      <w:r w:rsidRPr="00573871">
        <w:rPr>
          <w:rFonts w:ascii="Arial Black" w:hAnsi="Arial Black"/>
          <w:color w:val="EE0000"/>
          <w:sz w:val="24"/>
          <w:szCs w:val="24"/>
        </w:rPr>
        <w:t>PA: ARSON / MUR - CAN USE DRONE VIDEO – JUDGE REV</w:t>
      </w:r>
    </w:p>
    <w:p w14:paraId="5DED036F" w14:textId="77777777" w:rsidR="00573871" w:rsidRPr="00573871" w:rsidRDefault="00573871" w:rsidP="00573871">
      <w:pPr>
        <w:pStyle w:val="NoSpacing"/>
        <w:rPr>
          <w:rFonts w:ascii="Arial Black" w:hAnsi="Arial Black"/>
          <w:b/>
          <w:color w:val="EE0000"/>
          <w:sz w:val="24"/>
          <w:szCs w:val="24"/>
        </w:rPr>
      </w:pPr>
      <w:r w:rsidRPr="00573871">
        <w:rPr>
          <w:rFonts w:ascii="Arial Black" w:hAnsi="Arial Black"/>
          <w:b/>
          <w:color w:val="EE0000"/>
          <w:sz w:val="24"/>
          <w:szCs w:val="24"/>
        </w:rPr>
        <w:t xml:space="preserve">OH: BDG OWNER - CONV. MISCONDUCT EMERG – BLDG RISK </w:t>
      </w:r>
    </w:p>
    <w:p w14:paraId="3BCFDC2F" w14:textId="77777777" w:rsidR="00573871" w:rsidRPr="00573871" w:rsidRDefault="00573871" w:rsidP="00573871">
      <w:pPr>
        <w:pStyle w:val="NoSpacing"/>
        <w:rPr>
          <w:sz w:val="24"/>
          <w:szCs w:val="24"/>
        </w:rPr>
      </w:pPr>
    </w:p>
    <w:p w14:paraId="303ED543" w14:textId="77777777" w:rsidR="00573871" w:rsidRPr="00573871" w:rsidRDefault="00573871" w:rsidP="00573871">
      <w:pPr>
        <w:pStyle w:val="NoSpacing"/>
        <w:rPr>
          <w:sz w:val="24"/>
          <w:szCs w:val="24"/>
        </w:rPr>
      </w:pPr>
      <w:r w:rsidRPr="00573871">
        <w:rPr>
          <w:sz w:val="24"/>
          <w:szCs w:val="24"/>
        </w:rPr>
        <w:t>Chap. 2 – Line Of Duty Death / Safety</w:t>
      </w:r>
    </w:p>
    <w:p w14:paraId="75882B2D" w14:textId="77777777" w:rsidR="00573871" w:rsidRPr="00573871" w:rsidRDefault="00573871" w:rsidP="00573871">
      <w:pPr>
        <w:rPr>
          <w:rFonts w:ascii="Arial Black" w:hAnsi="Arial Black"/>
          <w:color w:val="EE0000"/>
          <w:sz w:val="24"/>
          <w:szCs w:val="24"/>
        </w:rPr>
      </w:pPr>
      <w:r w:rsidRPr="00573871">
        <w:rPr>
          <w:rFonts w:ascii="Arial Black" w:hAnsi="Arial Black"/>
          <w:color w:val="EE0000"/>
          <w:sz w:val="24"/>
          <w:szCs w:val="24"/>
        </w:rPr>
        <w:t>CT: CANCER - PPE – 3M, DUPONT, OTHERS – CASE PROCEED</w:t>
      </w:r>
    </w:p>
    <w:p w14:paraId="03ED5443" w14:textId="77777777" w:rsidR="00573871" w:rsidRPr="00573871" w:rsidRDefault="00573871" w:rsidP="00573871">
      <w:pPr>
        <w:pStyle w:val="NoSpacing"/>
        <w:rPr>
          <w:sz w:val="24"/>
          <w:szCs w:val="24"/>
        </w:rPr>
      </w:pPr>
      <w:r w:rsidRPr="00573871">
        <w:rPr>
          <w:sz w:val="24"/>
          <w:szCs w:val="24"/>
        </w:rPr>
        <w:t>Chap. 3 – Homeland Security, incl. Active Shooter, Cybersecurity, Immigration</w:t>
      </w:r>
    </w:p>
    <w:p w14:paraId="42C64C02" w14:textId="77777777" w:rsidR="00573871" w:rsidRPr="00573871" w:rsidRDefault="00573871" w:rsidP="00573871">
      <w:pPr>
        <w:jc w:val="both"/>
        <w:rPr>
          <w:rFonts w:ascii="Arial Black" w:hAnsi="Arial Black"/>
          <w:color w:val="EE0000"/>
          <w:sz w:val="24"/>
          <w:szCs w:val="24"/>
        </w:rPr>
      </w:pPr>
      <w:r w:rsidRPr="00573871">
        <w:rPr>
          <w:rFonts w:ascii="Arial Black" w:hAnsi="Arial Black"/>
          <w:color w:val="EE0000"/>
          <w:sz w:val="24"/>
          <w:szCs w:val="24"/>
        </w:rPr>
        <w:t xml:space="preserve">VA: ICE - INJUNCT VA LAWS - “MASKS” &amp; PD AGREEMENTS </w:t>
      </w:r>
    </w:p>
    <w:p w14:paraId="4C5EAF02" w14:textId="77777777" w:rsidR="00573871" w:rsidRPr="00573871" w:rsidRDefault="00573871" w:rsidP="00573871">
      <w:pPr>
        <w:pStyle w:val="NoSpacing"/>
        <w:rPr>
          <w:sz w:val="24"/>
          <w:szCs w:val="24"/>
        </w:rPr>
      </w:pPr>
      <w:r w:rsidRPr="00573871">
        <w:rPr>
          <w:sz w:val="24"/>
          <w:szCs w:val="24"/>
        </w:rPr>
        <w:t>Chap. 4 – Incident Command, incl. Training, Drones, Communications</w:t>
      </w:r>
    </w:p>
    <w:p w14:paraId="676CC819"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OH: DISPATCH – DIDN’T TELL PD VICTIM IN RD - RUN OVER </w:t>
      </w:r>
    </w:p>
    <w:p w14:paraId="53456842" w14:textId="77777777" w:rsidR="00573871" w:rsidRPr="00573871" w:rsidRDefault="00573871" w:rsidP="00573871">
      <w:pPr>
        <w:pStyle w:val="NoSpacing"/>
        <w:rPr>
          <w:rFonts w:ascii="Arial Black" w:hAnsi="Arial Black"/>
          <w:bCs/>
          <w:color w:val="EE0000"/>
          <w:sz w:val="24"/>
          <w:szCs w:val="24"/>
        </w:rPr>
      </w:pPr>
      <w:r w:rsidRPr="00573871">
        <w:rPr>
          <w:rFonts w:ascii="Arial Black" w:hAnsi="Arial Black"/>
          <w:color w:val="EE0000"/>
          <w:sz w:val="24"/>
          <w:szCs w:val="24"/>
        </w:rPr>
        <w:t>NJ: DRONES – BOROUGH CAN’T PROHIBIT ALL REC USE</w:t>
      </w:r>
    </w:p>
    <w:p w14:paraId="28BD8B83" w14:textId="77777777" w:rsidR="00573871" w:rsidRPr="00573871" w:rsidRDefault="00573871" w:rsidP="00573871">
      <w:pPr>
        <w:pStyle w:val="NoSpacing"/>
        <w:rPr>
          <w:sz w:val="24"/>
          <w:szCs w:val="24"/>
        </w:rPr>
      </w:pPr>
    </w:p>
    <w:p w14:paraId="0A9DEAC6" w14:textId="77777777" w:rsidR="00573871" w:rsidRPr="00573871" w:rsidRDefault="00573871" w:rsidP="00573871">
      <w:pPr>
        <w:pStyle w:val="NoSpacing"/>
        <w:rPr>
          <w:sz w:val="24"/>
          <w:szCs w:val="24"/>
        </w:rPr>
      </w:pPr>
      <w:r w:rsidRPr="00573871">
        <w:rPr>
          <w:sz w:val="24"/>
          <w:szCs w:val="24"/>
        </w:rPr>
        <w:t>Chap. 5 – Emergency Vehicle Operations</w:t>
      </w:r>
    </w:p>
    <w:p w14:paraId="67445AA9"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MI: AMBUL ACCIDENT RPT – FF CROSS-OUTS - “55” TO “30” </w:t>
      </w:r>
    </w:p>
    <w:p w14:paraId="4456F018" w14:textId="77777777" w:rsidR="00573871" w:rsidRPr="00573871" w:rsidRDefault="00573871" w:rsidP="00573871">
      <w:pPr>
        <w:pStyle w:val="NoSpacing"/>
        <w:rPr>
          <w:sz w:val="24"/>
          <w:szCs w:val="24"/>
        </w:rPr>
      </w:pPr>
    </w:p>
    <w:p w14:paraId="5645955F" w14:textId="77777777" w:rsidR="00573871" w:rsidRPr="00573871" w:rsidRDefault="00573871" w:rsidP="00573871">
      <w:pPr>
        <w:pStyle w:val="NoSpacing"/>
        <w:rPr>
          <w:sz w:val="24"/>
          <w:szCs w:val="24"/>
        </w:rPr>
      </w:pPr>
      <w:r w:rsidRPr="00573871">
        <w:rPr>
          <w:sz w:val="24"/>
          <w:szCs w:val="24"/>
        </w:rPr>
        <w:t>Chap. 6 – Employment Litigation, incl. Work Comp., Age, Vet Rights</w:t>
      </w:r>
    </w:p>
    <w:p w14:paraId="46803062"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PUERTO RICO: MEDIC HEARING LOSS – NO SOCIAL SECUR</w:t>
      </w:r>
    </w:p>
    <w:p w14:paraId="3ECCF565"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NY: WORLD TRADE CTR - LUMBAR DISC – DISAB REMANDED</w:t>
      </w:r>
    </w:p>
    <w:p w14:paraId="57EEFCB5" w14:textId="77777777" w:rsidR="00573871" w:rsidRPr="00573871" w:rsidRDefault="00573871" w:rsidP="00573871">
      <w:pPr>
        <w:pStyle w:val="NoSpacing"/>
        <w:rPr>
          <w:rFonts w:ascii="Arial Black" w:hAnsi="Arial Black"/>
          <w:color w:val="EE0000"/>
          <w:sz w:val="24"/>
          <w:szCs w:val="24"/>
        </w:rPr>
      </w:pPr>
    </w:p>
    <w:p w14:paraId="06617D81" w14:textId="77777777" w:rsidR="00573871" w:rsidRPr="00573871" w:rsidRDefault="00573871" w:rsidP="00573871">
      <w:pPr>
        <w:pStyle w:val="NoSpacing"/>
        <w:rPr>
          <w:sz w:val="24"/>
          <w:szCs w:val="24"/>
        </w:rPr>
      </w:pPr>
      <w:r w:rsidRPr="00573871">
        <w:rPr>
          <w:sz w:val="24"/>
          <w:szCs w:val="24"/>
        </w:rPr>
        <w:t xml:space="preserve">Chap. 7 – Sexual Harassment, incl. Pregnancy </w:t>
      </w:r>
      <w:proofErr w:type="spellStart"/>
      <w:r w:rsidRPr="00573871">
        <w:rPr>
          <w:sz w:val="24"/>
          <w:szCs w:val="24"/>
        </w:rPr>
        <w:t>Discrim</w:t>
      </w:r>
      <w:proofErr w:type="spellEnd"/>
      <w:r w:rsidRPr="00573871">
        <w:rPr>
          <w:sz w:val="24"/>
          <w:szCs w:val="24"/>
        </w:rPr>
        <w:t xml:space="preserve">., Gay Rights </w:t>
      </w:r>
    </w:p>
    <w:p w14:paraId="651877DB"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WI: “DUMB BLONDE BIMBO” – NO INVEST VILAGE / CASE GO </w:t>
      </w:r>
    </w:p>
    <w:p w14:paraId="76BAFD06" w14:textId="77777777" w:rsidR="00573871" w:rsidRPr="00573871" w:rsidRDefault="00573871" w:rsidP="00573871">
      <w:pPr>
        <w:pStyle w:val="NoSpacing"/>
        <w:rPr>
          <w:sz w:val="24"/>
          <w:szCs w:val="24"/>
        </w:rPr>
      </w:pPr>
      <w:r w:rsidRPr="00573871">
        <w:rPr>
          <w:sz w:val="24"/>
          <w:szCs w:val="24"/>
        </w:rPr>
        <w:t xml:space="preserve"> </w:t>
      </w:r>
    </w:p>
    <w:p w14:paraId="7E89C1AB" w14:textId="77777777" w:rsidR="00573871" w:rsidRPr="00573871" w:rsidRDefault="00573871" w:rsidP="00573871">
      <w:pPr>
        <w:pStyle w:val="NoSpacing"/>
        <w:rPr>
          <w:sz w:val="24"/>
          <w:szCs w:val="24"/>
        </w:rPr>
      </w:pPr>
      <w:r w:rsidRPr="00573871">
        <w:rPr>
          <w:sz w:val="24"/>
          <w:szCs w:val="24"/>
        </w:rPr>
        <w:t>Chap. 8 – Race / National Origin Discrimination</w:t>
      </w:r>
    </w:p>
    <w:p w14:paraId="05D7ABF2"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NY: CONSENT DECREE – NEW HIRES / STATE-WIDE TEST </w:t>
      </w:r>
    </w:p>
    <w:p w14:paraId="3DEC08E7" w14:textId="77777777" w:rsidR="00573871" w:rsidRPr="00573871" w:rsidRDefault="00573871" w:rsidP="00573871">
      <w:pPr>
        <w:pStyle w:val="NoSpacing"/>
        <w:rPr>
          <w:rFonts w:ascii="Arial Black" w:hAnsi="Arial Black"/>
          <w:b/>
          <w:color w:val="EE0000"/>
          <w:sz w:val="24"/>
          <w:szCs w:val="24"/>
        </w:rPr>
      </w:pPr>
      <w:r w:rsidRPr="00573871">
        <w:rPr>
          <w:rFonts w:ascii="Arial Black" w:hAnsi="Arial Black"/>
          <w:b/>
          <w:color w:val="EE0000"/>
          <w:sz w:val="24"/>
          <w:szCs w:val="24"/>
        </w:rPr>
        <w:t xml:space="preserve">MA: BLACK CAPT / LT – FF SOCIAL MEDIA - CITY WINS JURY </w:t>
      </w:r>
    </w:p>
    <w:p w14:paraId="231E6348" w14:textId="77777777" w:rsidR="00573871" w:rsidRPr="00573871" w:rsidRDefault="00573871" w:rsidP="00573871">
      <w:pPr>
        <w:pStyle w:val="NoSpacing"/>
        <w:rPr>
          <w:rFonts w:ascii="Arial Black" w:hAnsi="Arial Black"/>
          <w:b/>
          <w:color w:val="EE0000"/>
          <w:sz w:val="24"/>
          <w:szCs w:val="24"/>
        </w:rPr>
      </w:pPr>
      <w:r w:rsidRPr="00573871">
        <w:rPr>
          <w:rFonts w:ascii="Arial Black" w:hAnsi="Arial Black"/>
          <w:b/>
          <w:color w:val="EE0000"/>
          <w:sz w:val="24"/>
          <w:szCs w:val="24"/>
        </w:rPr>
        <w:t>MO: MAYOR ST. LOUIS – CANCEL PROM PD COMM – 2 WHITE</w:t>
      </w:r>
    </w:p>
    <w:p w14:paraId="5FD38112"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IN: HISPANIC MEDIC FIRED – “COST CUTTING” - CASE GO</w:t>
      </w:r>
    </w:p>
    <w:p w14:paraId="500B670E" w14:textId="77777777" w:rsidR="00573871" w:rsidRPr="00573871" w:rsidRDefault="00573871" w:rsidP="00573871">
      <w:pPr>
        <w:pStyle w:val="NoSpacing"/>
        <w:rPr>
          <w:sz w:val="24"/>
          <w:szCs w:val="24"/>
        </w:rPr>
      </w:pPr>
      <w:r w:rsidRPr="00573871">
        <w:rPr>
          <w:sz w:val="24"/>
          <w:szCs w:val="24"/>
        </w:rPr>
        <w:tab/>
      </w:r>
    </w:p>
    <w:p w14:paraId="607D63EB" w14:textId="77777777" w:rsidR="00573871" w:rsidRPr="00573871" w:rsidRDefault="00573871" w:rsidP="00573871">
      <w:pPr>
        <w:pStyle w:val="NoSpacing"/>
        <w:rPr>
          <w:sz w:val="24"/>
          <w:szCs w:val="24"/>
        </w:rPr>
      </w:pPr>
      <w:r w:rsidRPr="00573871">
        <w:rPr>
          <w:sz w:val="24"/>
          <w:szCs w:val="24"/>
        </w:rPr>
        <w:t>Chap. 9 – Americans With Disabilities Act</w:t>
      </w:r>
      <w:r w:rsidRPr="00573871">
        <w:rPr>
          <w:sz w:val="24"/>
          <w:szCs w:val="24"/>
        </w:rPr>
        <w:tab/>
      </w:r>
    </w:p>
    <w:p w14:paraId="456F146C" w14:textId="77777777" w:rsidR="00573871" w:rsidRPr="00573871" w:rsidRDefault="00573871" w:rsidP="00573871">
      <w:pPr>
        <w:rPr>
          <w:sz w:val="24"/>
          <w:szCs w:val="24"/>
        </w:rPr>
      </w:pPr>
      <w:r w:rsidRPr="00573871">
        <w:rPr>
          <w:sz w:val="24"/>
          <w:szCs w:val="24"/>
        </w:rPr>
        <w:t>Chap. 10 – Family Medical Leave Act</w:t>
      </w:r>
      <w:r w:rsidRPr="00573871">
        <w:rPr>
          <w:sz w:val="24"/>
          <w:szCs w:val="24"/>
        </w:rPr>
        <w:tab/>
        <w:t xml:space="preserve"> </w:t>
      </w:r>
    </w:p>
    <w:p w14:paraId="7D66BE49" w14:textId="77777777" w:rsidR="00573871" w:rsidRPr="00573871" w:rsidRDefault="00573871" w:rsidP="00573871">
      <w:pPr>
        <w:pStyle w:val="NoSpacing"/>
        <w:rPr>
          <w:sz w:val="24"/>
          <w:szCs w:val="24"/>
        </w:rPr>
      </w:pPr>
    </w:p>
    <w:p w14:paraId="516F5C35" w14:textId="114ACB52" w:rsidR="00573871" w:rsidRPr="00573871" w:rsidRDefault="00573871" w:rsidP="00573871">
      <w:pPr>
        <w:pStyle w:val="NoSpacing"/>
        <w:rPr>
          <w:sz w:val="24"/>
          <w:szCs w:val="24"/>
        </w:rPr>
      </w:pPr>
      <w:r w:rsidRPr="00573871">
        <w:rPr>
          <w:sz w:val="24"/>
          <w:szCs w:val="24"/>
        </w:rPr>
        <w:t>Chap. 11 – Fair Labor Standards Act and Military Leave</w:t>
      </w:r>
    </w:p>
    <w:p w14:paraId="38314973"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NH: ON CALL TIME – UTILITY EMERG RESPONDER – NO VIOL </w:t>
      </w:r>
    </w:p>
    <w:p w14:paraId="55DBA5B4" w14:textId="77777777" w:rsidR="00573871" w:rsidRPr="00573871" w:rsidRDefault="00573871" w:rsidP="00573871">
      <w:pPr>
        <w:pStyle w:val="NoSpacing"/>
        <w:rPr>
          <w:sz w:val="24"/>
          <w:szCs w:val="24"/>
        </w:rPr>
      </w:pPr>
    </w:p>
    <w:p w14:paraId="6670DDEE" w14:textId="77777777" w:rsidR="00573871" w:rsidRPr="00573871" w:rsidRDefault="00573871" w:rsidP="00573871">
      <w:pPr>
        <w:pStyle w:val="NoSpacing"/>
        <w:rPr>
          <w:sz w:val="24"/>
          <w:szCs w:val="24"/>
        </w:rPr>
      </w:pPr>
      <w:r w:rsidRPr="00573871">
        <w:rPr>
          <w:sz w:val="24"/>
          <w:szCs w:val="24"/>
        </w:rPr>
        <w:t xml:space="preserve">Chap. 12 – Drug-Free Workplace, inc. Recovery </w:t>
      </w:r>
    </w:p>
    <w:p w14:paraId="12FED0C0" w14:textId="77777777" w:rsidR="00573871" w:rsidRPr="00573871" w:rsidRDefault="00573871" w:rsidP="00573871">
      <w:pPr>
        <w:rPr>
          <w:sz w:val="24"/>
          <w:szCs w:val="24"/>
        </w:rPr>
      </w:pPr>
      <w:r w:rsidRPr="00573871">
        <w:rPr>
          <w:rFonts w:ascii="Arial Black" w:hAnsi="Arial Black"/>
          <w:color w:val="EE0000"/>
          <w:sz w:val="24"/>
          <w:szCs w:val="24"/>
        </w:rPr>
        <w:t>CT: FF TERMIN UPHELD – PTSD - USED MJ STATE CARD</w:t>
      </w:r>
      <w:r w:rsidRPr="00573871">
        <w:rPr>
          <w:color w:val="C00000"/>
          <w:sz w:val="24"/>
          <w:szCs w:val="24"/>
        </w:rPr>
        <w:tab/>
      </w:r>
    </w:p>
    <w:p w14:paraId="549B0EB2" w14:textId="77777777" w:rsidR="00573871" w:rsidRPr="00573871" w:rsidRDefault="00573871" w:rsidP="00573871">
      <w:pPr>
        <w:pStyle w:val="NoSpacing"/>
        <w:rPr>
          <w:sz w:val="24"/>
          <w:szCs w:val="24"/>
        </w:rPr>
      </w:pPr>
      <w:r w:rsidRPr="00573871">
        <w:rPr>
          <w:sz w:val="24"/>
          <w:szCs w:val="24"/>
        </w:rPr>
        <w:t>Chap. 13 – EMS, incl. Community Paramedicine, COVID-19</w:t>
      </w:r>
    </w:p>
    <w:p w14:paraId="5B8F9E4D"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NY: BIRTH TWINS - 10 MIN PROTOCOL – DENIED IMMUNITY</w:t>
      </w:r>
    </w:p>
    <w:p w14:paraId="2FB8CF6F"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KY: EMS CAN TESTIFY – PT EX-BOYFRIEND CHOCKED HER</w:t>
      </w:r>
    </w:p>
    <w:p w14:paraId="5FFA9889" w14:textId="77777777" w:rsidR="00573871" w:rsidRPr="00573871" w:rsidRDefault="00573871" w:rsidP="00573871">
      <w:pPr>
        <w:pStyle w:val="NoSpacing"/>
        <w:rPr>
          <w:rFonts w:ascii="Arial Black" w:hAnsi="Arial Black"/>
          <w:sz w:val="24"/>
          <w:szCs w:val="24"/>
        </w:rPr>
      </w:pPr>
    </w:p>
    <w:p w14:paraId="2BBA96FD" w14:textId="77777777" w:rsidR="00573871" w:rsidRPr="00573871" w:rsidRDefault="00573871" w:rsidP="00573871">
      <w:pPr>
        <w:pStyle w:val="NoSpacing"/>
        <w:rPr>
          <w:sz w:val="24"/>
          <w:szCs w:val="24"/>
        </w:rPr>
      </w:pPr>
      <w:r w:rsidRPr="00573871">
        <w:rPr>
          <w:sz w:val="24"/>
          <w:szCs w:val="24"/>
        </w:rPr>
        <w:t xml:space="preserve">Chap. 14 – Physical Fitness, incl. Heart Health </w:t>
      </w:r>
    </w:p>
    <w:p w14:paraId="303F2BDF"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 xml:space="preserve">FL: HEART DISEASE – SVT / AT –WORK COMP CONDITION </w:t>
      </w:r>
    </w:p>
    <w:p w14:paraId="0282DA30" w14:textId="77777777" w:rsidR="00573871" w:rsidRPr="00573871" w:rsidRDefault="00573871" w:rsidP="00573871">
      <w:pPr>
        <w:pStyle w:val="NoSpacing"/>
        <w:rPr>
          <w:sz w:val="24"/>
          <w:szCs w:val="24"/>
        </w:rPr>
      </w:pPr>
    </w:p>
    <w:p w14:paraId="70F9248C" w14:textId="77777777" w:rsidR="00573871" w:rsidRPr="00573871" w:rsidRDefault="00573871" w:rsidP="00573871">
      <w:pPr>
        <w:pStyle w:val="NoSpacing"/>
        <w:rPr>
          <w:sz w:val="24"/>
          <w:szCs w:val="24"/>
        </w:rPr>
      </w:pPr>
      <w:r w:rsidRPr="00573871">
        <w:rPr>
          <w:sz w:val="24"/>
          <w:szCs w:val="24"/>
        </w:rPr>
        <w:t>Chap. 15 – Mental Health, incl. CISM, Peer Support, Pet Therapy</w:t>
      </w:r>
    </w:p>
    <w:p w14:paraId="20FC0926" w14:textId="77777777" w:rsidR="00573871" w:rsidRPr="00573871" w:rsidRDefault="00573871" w:rsidP="00573871">
      <w:pPr>
        <w:rPr>
          <w:rFonts w:ascii="Arial Black" w:hAnsi="Arial Black"/>
          <w:b/>
          <w:color w:val="EE0000"/>
          <w:sz w:val="24"/>
          <w:szCs w:val="24"/>
        </w:rPr>
      </w:pPr>
      <w:r w:rsidRPr="00573871">
        <w:rPr>
          <w:rFonts w:ascii="Arial Black" w:hAnsi="Arial Black"/>
          <w:b/>
          <w:color w:val="EE0000"/>
          <w:sz w:val="24"/>
          <w:szCs w:val="24"/>
        </w:rPr>
        <w:t>TN: PTSD – NO LINE-OF-DUTY DISAB – ACCIDENT / OLD LAW</w:t>
      </w:r>
    </w:p>
    <w:p w14:paraId="7FF7ABC7" w14:textId="77777777" w:rsidR="00573871" w:rsidRPr="00573871" w:rsidRDefault="00573871" w:rsidP="00573871">
      <w:pPr>
        <w:pStyle w:val="NoSpacing"/>
        <w:rPr>
          <w:sz w:val="24"/>
          <w:szCs w:val="24"/>
        </w:rPr>
      </w:pPr>
      <w:r w:rsidRPr="00573871">
        <w:rPr>
          <w:sz w:val="24"/>
          <w:szCs w:val="24"/>
        </w:rPr>
        <w:t>Chap. 16 – Discipline, incl. Code of Ethics, Social Media, Hazing</w:t>
      </w:r>
    </w:p>
    <w:p w14:paraId="5B85DB3D"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LA: TURNOUT COAT LOST - $1,810 – 60-DAY INVEST WAVED</w:t>
      </w:r>
    </w:p>
    <w:p w14:paraId="3938AD5E"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NY: FF TAKEN OFF FDNY RESCUE 1 – NOT TITLE VII CASE</w:t>
      </w:r>
    </w:p>
    <w:p w14:paraId="4E5FD2CD"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CO: ADMIN EMPLOYEE – PIP – FIRED CAUSE / NEW CHIEF</w:t>
      </w:r>
    </w:p>
    <w:p w14:paraId="4D26F2A4"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b/>
          <w:color w:val="EE0000"/>
          <w:sz w:val="24"/>
          <w:szCs w:val="24"/>
        </w:rPr>
        <w:t>WV: VOL FF FIRED – PROB / NO EMER VEH PERMIT - AT WILL</w:t>
      </w:r>
    </w:p>
    <w:p w14:paraId="6A375431" w14:textId="77777777" w:rsidR="00573871" w:rsidRPr="00573871" w:rsidRDefault="00573871" w:rsidP="00573871">
      <w:pPr>
        <w:pStyle w:val="NoSpacing"/>
        <w:rPr>
          <w:sz w:val="24"/>
          <w:szCs w:val="24"/>
        </w:rPr>
      </w:pPr>
    </w:p>
    <w:p w14:paraId="67A5DB1A" w14:textId="77777777" w:rsidR="00573871" w:rsidRPr="00573871" w:rsidRDefault="00573871" w:rsidP="00573871">
      <w:pPr>
        <w:pStyle w:val="NoSpacing"/>
        <w:rPr>
          <w:sz w:val="24"/>
          <w:szCs w:val="24"/>
        </w:rPr>
      </w:pPr>
      <w:r w:rsidRPr="00573871">
        <w:rPr>
          <w:sz w:val="24"/>
          <w:szCs w:val="24"/>
        </w:rPr>
        <w:t xml:space="preserve">Chap. 17 – Arbitration, incl. Mediation, Labor Relations </w:t>
      </w:r>
    </w:p>
    <w:p w14:paraId="60D36596" w14:textId="77777777" w:rsidR="00573871" w:rsidRPr="00573871" w:rsidRDefault="00573871" w:rsidP="00573871">
      <w:pPr>
        <w:rPr>
          <w:rFonts w:ascii="Arial Black" w:hAnsi="Arial Black"/>
          <w:color w:val="EE0000"/>
          <w:sz w:val="24"/>
          <w:szCs w:val="24"/>
        </w:rPr>
      </w:pPr>
      <w:r w:rsidRPr="00573871">
        <w:rPr>
          <w:rFonts w:ascii="Arial Black" w:hAnsi="Arial Black"/>
          <w:color w:val="EE0000"/>
          <w:sz w:val="24"/>
          <w:szCs w:val="24"/>
        </w:rPr>
        <w:t>MA: RESIDENCY – ARBITRATOR DIDN’T LET CITY QUEST FF</w:t>
      </w:r>
    </w:p>
    <w:p w14:paraId="28ED0FF9" w14:textId="77777777" w:rsidR="00573871" w:rsidRPr="00573871" w:rsidRDefault="00573871" w:rsidP="00573871">
      <w:pPr>
        <w:pStyle w:val="NoSpacing"/>
        <w:rPr>
          <w:sz w:val="24"/>
          <w:szCs w:val="24"/>
        </w:rPr>
      </w:pPr>
      <w:r w:rsidRPr="00573871">
        <w:rPr>
          <w:sz w:val="24"/>
          <w:szCs w:val="24"/>
        </w:rPr>
        <w:t>Chap. 18 – Legislation, incl. Public Records</w:t>
      </w:r>
      <w:r w:rsidRPr="00573871">
        <w:rPr>
          <w:sz w:val="24"/>
          <w:szCs w:val="24"/>
        </w:rPr>
        <w:tab/>
      </w:r>
    </w:p>
    <w:p w14:paraId="298A8D30" w14:textId="77777777" w:rsidR="00573871" w:rsidRPr="00573871" w:rsidRDefault="00573871" w:rsidP="00573871">
      <w:pPr>
        <w:pStyle w:val="NoSpacing"/>
        <w:rPr>
          <w:rFonts w:ascii="Arial Black" w:hAnsi="Arial Black"/>
          <w:color w:val="EE0000"/>
          <w:sz w:val="24"/>
          <w:szCs w:val="24"/>
        </w:rPr>
      </w:pPr>
      <w:r w:rsidRPr="00573871">
        <w:rPr>
          <w:rFonts w:ascii="Arial Black" w:hAnsi="Arial Black"/>
          <w:color w:val="EE0000"/>
          <w:sz w:val="24"/>
          <w:szCs w:val="24"/>
        </w:rPr>
        <w:t>VA: “GOOD SAMARITAN” – NOT OVERDOSE / NO IMMUNITY</w:t>
      </w:r>
    </w:p>
    <w:p w14:paraId="3266EAF6" w14:textId="40D3D588" w:rsidR="00120646" w:rsidRDefault="00573871" w:rsidP="00573871">
      <w:pPr>
        <w:pStyle w:val="NoSpacing"/>
        <w:rPr>
          <w:rFonts w:ascii="Arial Black" w:hAnsi="Arial Black"/>
          <w:b/>
          <w:bCs/>
          <w:sz w:val="40"/>
          <w:szCs w:val="40"/>
        </w:rPr>
      </w:pPr>
      <w:r>
        <w:br/>
      </w:r>
    </w:p>
    <w:p w14:paraId="19B38E9D" w14:textId="77777777" w:rsidR="00120646" w:rsidRDefault="00120646">
      <w:pPr>
        <w:spacing w:after="0" w:line="240" w:lineRule="auto"/>
        <w:rPr>
          <w:rFonts w:ascii="Arial Black" w:hAnsi="Arial Black"/>
          <w:b/>
          <w:bCs/>
          <w:sz w:val="40"/>
          <w:szCs w:val="40"/>
        </w:rPr>
      </w:pPr>
      <w:r>
        <w:rPr>
          <w:rFonts w:ascii="Arial Black" w:hAnsi="Arial Black"/>
          <w:b/>
          <w:bCs/>
          <w:sz w:val="40"/>
          <w:szCs w:val="40"/>
        </w:rPr>
        <w:br w:type="page"/>
      </w:r>
    </w:p>
    <w:p w14:paraId="0151F941" w14:textId="77777777" w:rsidR="009E6D11" w:rsidRDefault="009E6D11" w:rsidP="00573871">
      <w:pPr>
        <w:pStyle w:val="NoSpacing"/>
        <w:rPr>
          <w:rFonts w:ascii="Arial Black" w:hAnsi="Arial Black"/>
          <w:b/>
          <w:bCs/>
          <w:sz w:val="40"/>
          <w:szCs w:val="40"/>
        </w:rPr>
      </w:pPr>
    </w:p>
    <w:p w14:paraId="203B7979" w14:textId="1DFA9D08" w:rsidR="00DE5531" w:rsidRPr="00DE5531" w:rsidRDefault="00DE5531" w:rsidP="004E6CA7">
      <w:pPr>
        <w:pStyle w:val="NoSpacing"/>
        <w:jc w:val="center"/>
        <w:rPr>
          <w:rFonts w:ascii="Arial Black" w:hAnsi="Arial Black"/>
          <w:b/>
          <w:bCs/>
          <w:sz w:val="40"/>
          <w:szCs w:val="40"/>
        </w:rPr>
      </w:pPr>
      <w:r w:rsidRPr="00DE5531">
        <w:rPr>
          <w:rFonts w:ascii="Arial Black" w:hAnsi="Arial Black"/>
          <w:b/>
          <w:bCs/>
          <w:sz w:val="40"/>
          <w:szCs w:val="40"/>
        </w:rPr>
        <w:t>LIBRARY</w:t>
      </w:r>
      <w:r>
        <w:rPr>
          <w:rFonts w:ascii="Arial Black" w:hAnsi="Arial Black"/>
          <w:b/>
          <w:bCs/>
          <w:sz w:val="40"/>
          <w:szCs w:val="40"/>
        </w:rPr>
        <w:t xml:space="preserve"> OF CASE REVIEWS</w:t>
      </w:r>
    </w:p>
    <w:p w14:paraId="47F620C3" w14:textId="77777777" w:rsidR="00DE5531" w:rsidRDefault="00DE5531" w:rsidP="004E6CA7">
      <w:pPr>
        <w:pStyle w:val="NoSpacing"/>
        <w:jc w:val="center"/>
        <w:rPr>
          <w:rFonts w:ascii="Arial Black" w:hAnsi="Arial Black"/>
          <w:b/>
          <w:bCs/>
          <w:color w:val="EE0000"/>
          <w:sz w:val="28"/>
          <w:szCs w:val="28"/>
        </w:rPr>
      </w:pPr>
    </w:p>
    <w:p w14:paraId="5F3006ED" w14:textId="345B7486" w:rsidR="00552763" w:rsidRPr="002E2775" w:rsidRDefault="00286FE7" w:rsidP="004E6CA7">
      <w:pPr>
        <w:pStyle w:val="NoSpacing"/>
        <w:jc w:val="center"/>
        <w:rPr>
          <w:rFonts w:ascii="Arial Black" w:hAnsi="Arial Black"/>
          <w:b/>
          <w:bCs/>
          <w:color w:val="EE0000"/>
          <w:sz w:val="28"/>
          <w:szCs w:val="28"/>
        </w:rPr>
      </w:pPr>
      <w:r w:rsidRPr="002E2775">
        <w:rPr>
          <w:rFonts w:ascii="Arial Black" w:hAnsi="Arial Black"/>
          <w:b/>
          <w:bCs/>
          <w:color w:val="EE0000"/>
          <w:sz w:val="28"/>
          <w:szCs w:val="28"/>
        </w:rPr>
        <w:t xml:space="preserve">2018 – Present: </w:t>
      </w:r>
      <w:r w:rsidR="00552763" w:rsidRPr="002E2775">
        <w:rPr>
          <w:rFonts w:ascii="Arial Black" w:hAnsi="Arial Black"/>
          <w:b/>
          <w:bCs/>
          <w:color w:val="EE0000"/>
          <w:sz w:val="28"/>
          <w:szCs w:val="28"/>
        </w:rPr>
        <w:t>1,</w:t>
      </w:r>
      <w:r w:rsidR="00BB5B4E" w:rsidRPr="002E2775">
        <w:rPr>
          <w:rFonts w:ascii="Arial Black" w:hAnsi="Arial Black"/>
          <w:b/>
          <w:bCs/>
          <w:color w:val="EE0000"/>
          <w:sz w:val="28"/>
          <w:szCs w:val="28"/>
        </w:rPr>
        <w:t>7</w:t>
      </w:r>
      <w:r w:rsidR="00DB73C7">
        <w:rPr>
          <w:rFonts w:ascii="Arial Black" w:hAnsi="Arial Black"/>
          <w:b/>
          <w:bCs/>
          <w:color w:val="EE0000"/>
          <w:sz w:val="28"/>
          <w:szCs w:val="28"/>
        </w:rPr>
        <w:t>8</w:t>
      </w:r>
      <w:r w:rsidR="00BB5B4E" w:rsidRPr="002E2775">
        <w:rPr>
          <w:rFonts w:ascii="Arial Black" w:hAnsi="Arial Black"/>
          <w:b/>
          <w:bCs/>
          <w:color w:val="EE0000"/>
          <w:sz w:val="28"/>
          <w:szCs w:val="28"/>
        </w:rPr>
        <w:t>3 Case Reviews</w:t>
      </w:r>
    </w:p>
    <w:p w14:paraId="5D83A70E" w14:textId="77777777" w:rsidR="00B921CF" w:rsidRDefault="00B921CF" w:rsidP="004E6CA7">
      <w:pPr>
        <w:pStyle w:val="NoSpacing"/>
        <w:jc w:val="center"/>
      </w:pPr>
    </w:p>
    <w:p w14:paraId="630A6671" w14:textId="7CBCC3C7" w:rsidR="00F326E5" w:rsidRPr="00105EF2"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w:t>
      </w:r>
      <w:r w:rsidR="00F22A0D">
        <w:rPr>
          <w:rFonts w:ascii="Times New Roman" w:hAnsi="Times New Roman"/>
          <w:b/>
          <w:sz w:val="24"/>
          <w:szCs w:val="24"/>
        </w:rPr>
        <w:tab/>
      </w:r>
      <w:r w:rsidRPr="00F22A0D">
        <w:rPr>
          <w:rFonts w:ascii="Times New Roman" w:hAnsi="Times New Roman"/>
          <w:b/>
          <w:sz w:val="24"/>
          <w:szCs w:val="24"/>
        </w:rPr>
        <w:t>American Legal System</w:t>
      </w:r>
      <w:r w:rsidR="003F660F" w:rsidRPr="00F22A0D">
        <w:rPr>
          <w:rFonts w:ascii="Times New Roman" w:hAnsi="Times New Roman"/>
          <w:b/>
          <w:sz w:val="24"/>
          <w:szCs w:val="24"/>
        </w:rPr>
        <w:t xml:space="preserve">, incl. Fire Code, Fire Invest. </w:t>
      </w:r>
      <w:r w:rsidR="00636395" w:rsidRPr="00F22A0D">
        <w:rPr>
          <w:rFonts w:ascii="Times New Roman" w:hAnsi="Times New Roman"/>
          <w:b/>
          <w:sz w:val="24"/>
          <w:szCs w:val="24"/>
        </w:rPr>
        <w:t xml:space="preserve"> </w:t>
      </w:r>
      <w:r w:rsidRPr="00F22A0D">
        <w:rPr>
          <w:rFonts w:ascii="Times New Roman" w:hAnsi="Times New Roman"/>
          <w:b/>
          <w:sz w:val="24"/>
          <w:szCs w:val="24"/>
        </w:rPr>
        <w:t xml:space="preserve">   </w:t>
      </w:r>
      <w:r w:rsidR="00105EF2">
        <w:rPr>
          <w:rFonts w:ascii="Times New Roman" w:hAnsi="Times New Roman"/>
          <w:b/>
          <w:sz w:val="24"/>
          <w:szCs w:val="24"/>
        </w:rPr>
        <w:t xml:space="preserve"> </w:t>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p>
    <w:p w14:paraId="2108EABF" w14:textId="0E51AD50"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2</w:t>
      </w:r>
      <w:r w:rsidRPr="00F22A0D">
        <w:rPr>
          <w:rFonts w:ascii="Times New Roman" w:hAnsi="Times New Roman"/>
          <w:b/>
          <w:sz w:val="24"/>
          <w:szCs w:val="24"/>
        </w:rPr>
        <w:tab/>
        <w:t xml:space="preserve">Line </w:t>
      </w:r>
      <w:proofErr w:type="gramStart"/>
      <w:r w:rsidRPr="00F22A0D">
        <w:rPr>
          <w:rFonts w:ascii="Times New Roman" w:hAnsi="Times New Roman"/>
          <w:b/>
          <w:sz w:val="24"/>
          <w:szCs w:val="24"/>
        </w:rPr>
        <w:t>Of</w:t>
      </w:r>
      <w:proofErr w:type="gramEnd"/>
      <w:r w:rsidRPr="00F22A0D">
        <w:rPr>
          <w:rFonts w:ascii="Times New Roman" w:hAnsi="Times New Roman"/>
          <w:b/>
          <w:sz w:val="24"/>
          <w:szCs w:val="24"/>
        </w:rPr>
        <w:t xml:space="preserve"> Duty Death</w:t>
      </w:r>
      <w:r w:rsidR="00636395" w:rsidRPr="00F22A0D">
        <w:rPr>
          <w:rFonts w:ascii="Times New Roman" w:hAnsi="Times New Roman"/>
          <w:b/>
          <w:sz w:val="24"/>
          <w:szCs w:val="24"/>
        </w:rPr>
        <w:t xml:space="preserve"> / </w:t>
      </w:r>
      <w:r w:rsidRPr="00F22A0D">
        <w:rPr>
          <w:rFonts w:ascii="Times New Roman" w:hAnsi="Times New Roman"/>
          <w:b/>
          <w:sz w:val="24"/>
          <w:szCs w:val="24"/>
        </w:rPr>
        <w:t>Safety</w:t>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p>
    <w:p w14:paraId="6E22783A" w14:textId="5F188F6A" w:rsidR="00F326E5" w:rsidRPr="0059792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3</w:t>
      </w:r>
      <w:r w:rsidRPr="00F22A0D">
        <w:rPr>
          <w:rFonts w:ascii="Times New Roman" w:hAnsi="Times New Roman"/>
          <w:b/>
          <w:sz w:val="24"/>
          <w:szCs w:val="24"/>
        </w:rPr>
        <w:tab/>
        <w:t>Homeland Security</w:t>
      </w:r>
      <w:r w:rsidR="003F660F" w:rsidRPr="00F22A0D">
        <w:rPr>
          <w:rFonts w:ascii="Times New Roman" w:hAnsi="Times New Roman"/>
          <w:b/>
          <w:sz w:val="24"/>
          <w:szCs w:val="24"/>
        </w:rPr>
        <w:t>, incl.</w:t>
      </w:r>
      <w:r w:rsidR="00636395" w:rsidRPr="00F22A0D">
        <w:rPr>
          <w:rFonts w:ascii="Times New Roman" w:hAnsi="Times New Roman"/>
          <w:b/>
          <w:sz w:val="24"/>
          <w:szCs w:val="24"/>
        </w:rPr>
        <w:t xml:space="preserve"> </w:t>
      </w:r>
      <w:r w:rsidRPr="00F22A0D">
        <w:rPr>
          <w:rFonts w:ascii="Times New Roman" w:hAnsi="Times New Roman"/>
          <w:b/>
          <w:sz w:val="24"/>
          <w:szCs w:val="24"/>
        </w:rPr>
        <w:t>Active Shooter</w:t>
      </w:r>
      <w:r w:rsidR="003F660F" w:rsidRPr="00F22A0D">
        <w:rPr>
          <w:rFonts w:ascii="Times New Roman" w:hAnsi="Times New Roman"/>
          <w:b/>
          <w:sz w:val="24"/>
          <w:szCs w:val="24"/>
        </w:rPr>
        <w:t xml:space="preserve">, </w:t>
      </w:r>
      <w:r w:rsidR="00636395" w:rsidRPr="00F22A0D">
        <w:rPr>
          <w:rFonts w:ascii="Times New Roman" w:hAnsi="Times New Roman"/>
          <w:b/>
          <w:sz w:val="24"/>
          <w:szCs w:val="24"/>
        </w:rPr>
        <w:t>Cybersecurity</w:t>
      </w:r>
      <w:r w:rsidR="00B7693D">
        <w:rPr>
          <w:rFonts w:ascii="Times New Roman" w:hAnsi="Times New Roman"/>
          <w:b/>
          <w:sz w:val="24"/>
          <w:szCs w:val="24"/>
        </w:rPr>
        <w:tab/>
      </w:r>
      <w:r w:rsidR="00B7693D">
        <w:rPr>
          <w:rFonts w:ascii="Times New Roman" w:hAnsi="Times New Roman"/>
          <w:b/>
          <w:sz w:val="24"/>
          <w:szCs w:val="24"/>
        </w:rPr>
        <w:tab/>
      </w:r>
      <w:r w:rsidR="00597923">
        <w:rPr>
          <w:rFonts w:ascii="Times New Roman" w:hAnsi="Times New Roman"/>
          <w:b/>
          <w:sz w:val="24"/>
          <w:szCs w:val="24"/>
        </w:rPr>
        <w:tab/>
      </w:r>
    </w:p>
    <w:p w14:paraId="3B6B36EA" w14:textId="351C8F4A" w:rsidR="00F326E5" w:rsidRPr="0076241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4</w:t>
      </w:r>
      <w:r w:rsidRPr="00F22A0D">
        <w:rPr>
          <w:rFonts w:ascii="Times New Roman" w:hAnsi="Times New Roman"/>
          <w:b/>
          <w:sz w:val="24"/>
          <w:szCs w:val="24"/>
        </w:rPr>
        <w:tab/>
        <w:t>Incident Command</w:t>
      </w:r>
      <w:r w:rsidR="003F660F" w:rsidRPr="00F22A0D">
        <w:rPr>
          <w:rFonts w:ascii="Times New Roman" w:hAnsi="Times New Roman"/>
          <w:b/>
          <w:sz w:val="24"/>
          <w:szCs w:val="24"/>
        </w:rPr>
        <w:t xml:space="preserve">, incl </w:t>
      </w:r>
      <w:r w:rsidRPr="00F22A0D">
        <w:rPr>
          <w:rFonts w:ascii="Times New Roman" w:hAnsi="Times New Roman"/>
          <w:b/>
          <w:sz w:val="24"/>
          <w:szCs w:val="24"/>
        </w:rPr>
        <w:t>Training</w:t>
      </w:r>
      <w:r w:rsidR="003F660F" w:rsidRPr="00F22A0D">
        <w:rPr>
          <w:rFonts w:ascii="Times New Roman" w:hAnsi="Times New Roman"/>
          <w:b/>
          <w:sz w:val="24"/>
          <w:szCs w:val="24"/>
        </w:rPr>
        <w:t xml:space="preserve">, </w:t>
      </w:r>
      <w:r w:rsidRPr="00F22A0D">
        <w:rPr>
          <w:rFonts w:ascii="Times New Roman" w:hAnsi="Times New Roman"/>
          <w:b/>
          <w:sz w:val="24"/>
          <w:szCs w:val="24"/>
        </w:rPr>
        <w:t>Drones</w:t>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p>
    <w:p w14:paraId="1B2693F0" w14:textId="23B1E273"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5</w:t>
      </w:r>
      <w:r w:rsidRPr="00F22A0D">
        <w:rPr>
          <w:rFonts w:ascii="Times New Roman" w:hAnsi="Times New Roman"/>
          <w:b/>
          <w:sz w:val="24"/>
          <w:szCs w:val="24"/>
        </w:rPr>
        <w:tab/>
        <w:t>Emergency Vehicle Operations</w:t>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p>
    <w:p w14:paraId="32062B5D" w14:textId="0B074CA9"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6</w:t>
      </w:r>
      <w:r w:rsidRPr="00F22A0D">
        <w:rPr>
          <w:rFonts w:ascii="Times New Roman" w:hAnsi="Times New Roman"/>
          <w:b/>
          <w:sz w:val="24"/>
          <w:szCs w:val="24"/>
        </w:rPr>
        <w:tab/>
        <w:t>Employment Litigation</w:t>
      </w:r>
      <w:r w:rsidR="003F660F" w:rsidRPr="00F22A0D">
        <w:rPr>
          <w:rFonts w:ascii="Times New Roman" w:hAnsi="Times New Roman"/>
          <w:b/>
          <w:sz w:val="24"/>
          <w:szCs w:val="24"/>
        </w:rPr>
        <w:t xml:space="preserve">, incl. </w:t>
      </w:r>
      <w:r w:rsidR="00BB43DD" w:rsidRPr="00F22A0D">
        <w:rPr>
          <w:rFonts w:ascii="Times New Roman" w:hAnsi="Times New Roman"/>
          <w:b/>
          <w:sz w:val="24"/>
          <w:szCs w:val="24"/>
        </w:rPr>
        <w:t>Worker’s Comp</w:t>
      </w:r>
      <w:r w:rsidR="00DB0696">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425E76">
        <w:rPr>
          <w:rFonts w:ascii="Times New Roman" w:hAnsi="Times New Roman"/>
          <w:b/>
          <w:sz w:val="24"/>
          <w:szCs w:val="24"/>
        </w:rPr>
        <w:tab/>
      </w:r>
    </w:p>
    <w:p w14:paraId="31BA6C12" w14:textId="25A0A2E5" w:rsidR="00F326E5" w:rsidRPr="0076241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7</w:t>
      </w:r>
      <w:r w:rsidRPr="00F22A0D">
        <w:rPr>
          <w:rFonts w:ascii="Times New Roman" w:hAnsi="Times New Roman"/>
          <w:b/>
          <w:sz w:val="24"/>
          <w:szCs w:val="24"/>
        </w:rPr>
        <w:tab/>
        <w:t>Sexual Harassment</w:t>
      </w:r>
      <w:r w:rsidR="003F660F" w:rsidRPr="00F22A0D">
        <w:rPr>
          <w:rFonts w:ascii="Times New Roman" w:hAnsi="Times New Roman"/>
          <w:b/>
          <w:sz w:val="24"/>
          <w:szCs w:val="24"/>
        </w:rPr>
        <w:t xml:space="preserve">, incl. </w:t>
      </w:r>
      <w:r w:rsidR="00EF4D50">
        <w:rPr>
          <w:rFonts w:ascii="Times New Roman" w:hAnsi="Times New Roman"/>
          <w:b/>
          <w:sz w:val="24"/>
          <w:szCs w:val="24"/>
        </w:rPr>
        <w:t xml:space="preserve">Gender, </w:t>
      </w:r>
      <w:r w:rsidRPr="00F22A0D">
        <w:rPr>
          <w:rFonts w:ascii="Times New Roman" w:hAnsi="Times New Roman"/>
          <w:b/>
          <w:sz w:val="24"/>
          <w:szCs w:val="24"/>
        </w:rPr>
        <w:t>Pregnancy Discrimination</w:t>
      </w:r>
      <w:r w:rsidR="0076241C">
        <w:rPr>
          <w:rFonts w:ascii="Times New Roman" w:hAnsi="Times New Roman"/>
          <w:b/>
          <w:sz w:val="24"/>
          <w:szCs w:val="24"/>
        </w:rPr>
        <w:tab/>
      </w:r>
      <w:r w:rsidR="00EF4D50">
        <w:rPr>
          <w:rFonts w:ascii="Times New Roman" w:hAnsi="Times New Roman"/>
          <w:b/>
          <w:sz w:val="24"/>
          <w:szCs w:val="24"/>
        </w:rPr>
        <w:tab/>
      </w:r>
    </w:p>
    <w:p w14:paraId="57D0CDD9" w14:textId="5920C68F" w:rsidR="00F326E5" w:rsidRPr="007209A9"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8</w:t>
      </w:r>
      <w:r w:rsidRPr="00F22A0D">
        <w:rPr>
          <w:rFonts w:ascii="Times New Roman" w:hAnsi="Times New Roman"/>
          <w:b/>
          <w:sz w:val="24"/>
          <w:szCs w:val="24"/>
        </w:rPr>
        <w:tab/>
        <w:t>Race Discrimination</w:t>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p>
    <w:p w14:paraId="0075D979" w14:textId="7848A6FE" w:rsidR="00F326E5" w:rsidRPr="007209A9"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9</w:t>
      </w:r>
      <w:r w:rsidRPr="00F22A0D">
        <w:rPr>
          <w:rFonts w:ascii="Times New Roman" w:hAnsi="Times New Roman"/>
          <w:b/>
          <w:sz w:val="24"/>
          <w:szCs w:val="24"/>
        </w:rPr>
        <w:tab/>
        <w:t xml:space="preserve">Americans </w:t>
      </w:r>
      <w:proofErr w:type="gramStart"/>
      <w:r w:rsidRPr="00F22A0D">
        <w:rPr>
          <w:rFonts w:ascii="Times New Roman" w:hAnsi="Times New Roman"/>
          <w:b/>
          <w:sz w:val="24"/>
          <w:szCs w:val="24"/>
        </w:rPr>
        <w:t>With</w:t>
      </w:r>
      <w:proofErr w:type="gramEnd"/>
      <w:r w:rsidRPr="00F22A0D">
        <w:rPr>
          <w:rFonts w:ascii="Times New Roman" w:hAnsi="Times New Roman"/>
          <w:b/>
          <w:sz w:val="24"/>
          <w:szCs w:val="24"/>
        </w:rPr>
        <w:t xml:space="preserve"> Disabilities Act</w:t>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p>
    <w:p w14:paraId="4424B00D" w14:textId="163B672C"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10</w:t>
      </w:r>
      <w:r w:rsidRPr="00F22A0D">
        <w:rPr>
          <w:rFonts w:ascii="Times New Roman" w:hAnsi="Times New Roman"/>
          <w:b/>
          <w:sz w:val="24"/>
          <w:szCs w:val="24"/>
        </w:rPr>
        <w:tab/>
        <w:t>Family Medical Leave Act</w:t>
      </w:r>
      <w:r w:rsidRPr="00F22A0D">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p>
    <w:p w14:paraId="4E82CC4C" w14:textId="6EA4CE94"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11</w:t>
      </w:r>
      <w:r w:rsidRPr="00F22A0D">
        <w:rPr>
          <w:rFonts w:ascii="Times New Roman" w:hAnsi="Times New Roman"/>
          <w:b/>
          <w:sz w:val="24"/>
          <w:szCs w:val="24"/>
        </w:rPr>
        <w:tab/>
        <w:t>Fair Labor Standards Act</w:t>
      </w:r>
      <w:r w:rsidR="00664013">
        <w:rPr>
          <w:rFonts w:ascii="Times New Roman" w:hAnsi="Times New Roman"/>
          <w:b/>
          <w:sz w:val="24"/>
          <w:szCs w:val="24"/>
        </w:rPr>
        <w:t xml:space="preserve">, and Military Leave </w:t>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Pr="00F22A0D">
        <w:rPr>
          <w:rFonts w:ascii="Times New Roman" w:hAnsi="Times New Roman"/>
          <w:b/>
          <w:sz w:val="24"/>
          <w:szCs w:val="24"/>
        </w:rPr>
        <w:tab/>
      </w:r>
    </w:p>
    <w:p w14:paraId="0AE4624B" w14:textId="4395E732" w:rsidR="00F326E5" w:rsidRPr="009C594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12</w:t>
      </w:r>
      <w:r w:rsidRPr="00F22A0D">
        <w:rPr>
          <w:rFonts w:ascii="Times New Roman" w:hAnsi="Times New Roman"/>
          <w:b/>
          <w:sz w:val="24"/>
          <w:szCs w:val="24"/>
        </w:rPr>
        <w:tab/>
        <w:t>Drug-Free Workplace</w:t>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p>
    <w:p w14:paraId="769B9330" w14:textId="68D34480" w:rsidR="00F326E5" w:rsidRPr="009C594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13</w:t>
      </w:r>
      <w:r w:rsidRPr="00F22A0D">
        <w:rPr>
          <w:rFonts w:ascii="Times New Roman" w:hAnsi="Times New Roman"/>
          <w:b/>
          <w:sz w:val="24"/>
          <w:szCs w:val="24"/>
        </w:rPr>
        <w:tab/>
        <w:t>EMS</w:t>
      </w:r>
      <w:r w:rsidR="003F660F" w:rsidRPr="00F22A0D">
        <w:rPr>
          <w:rFonts w:ascii="Times New Roman" w:hAnsi="Times New Roman"/>
          <w:b/>
          <w:sz w:val="24"/>
          <w:szCs w:val="24"/>
        </w:rPr>
        <w:t xml:space="preserve">, incl. </w:t>
      </w:r>
      <w:r w:rsidR="00636395" w:rsidRPr="00F22A0D">
        <w:rPr>
          <w:rFonts w:ascii="Times New Roman" w:hAnsi="Times New Roman"/>
          <w:b/>
          <w:sz w:val="24"/>
          <w:szCs w:val="24"/>
        </w:rPr>
        <w:t>Community Paramedicine</w:t>
      </w:r>
      <w:r w:rsidR="003F660F" w:rsidRPr="00F22A0D">
        <w:rPr>
          <w:rFonts w:ascii="Times New Roman" w:hAnsi="Times New Roman"/>
          <w:b/>
          <w:sz w:val="24"/>
          <w:szCs w:val="24"/>
        </w:rPr>
        <w:t>, Corona Virus</w:t>
      </w:r>
      <w:r w:rsidRPr="00F22A0D">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p>
    <w:p w14:paraId="496A7E44" w14:textId="0BF7CC74" w:rsidR="00F326E5" w:rsidRPr="000A5D6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14</w:t>
      </w:r>
      <w:r w:rsidRPr="00F22A0D">
        <w:rPr>
          <w:rFonts w:ascii="Times New Roman" w:hAnsi="Times New Roman"/>
          <w:b/>
          <w:sz w:val="24"/>
          <w:szCs w:val="24"/>
        </w:rPr>
        <w:tab/>
        <w:t>Physical Fitness</w:t>
      </w:r>
      <w:r w:rsidR="00BE44CB">
        <w:rPr>
          <w:rFonts w:ascii="Times New Roman" w:hAnsi="Times New Roman"/>
          <w:b/>
          <w:sz w:val="24"/>
          <w:szCs w:val="24"/>
        </w:rPr>
        <w:t xml:space="preserve"> and</w:t>
      </w:r>
      <w:r w:rsidR="00D5755F">
        <w:rPr>
          <w:rFonts w:ascii="Times New Roman" w:hAnsi="Times New Roman"/>
          <w:b/>
          <w:sz w:val="24"/>
          <w:szCs w:val="24"/>
        </w:rPr>
        <w:t xml:space="preserve"> Light Duty</w:t>
      </w:r>
      <w:r w:rsidRPr="00F22A0D">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p>
    <w:p w14:paraId="157ACADA" w14:textId="3C6B2B79" w:rsidR="00F326E5" w:rsidRPr="000A5D6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15</w:t>
      </w:r>
      <w:r w:rsidRPr="00F22A0D">
        <w:rPr>
          <w:rFonts w:ascii="Times New Roman" w:hAnsi="Times New Roman"/>
          <w:b/>
          <w:sz w:val="24"/>
          <w:szCs w:val="24"/>
        </w:rPr>
        <w:tab/>
      </w:r>
      <w:r w:rsidR="00C61FBA">
        <w:rPr>
          <w:rFonts w:ascii="Times New Roman" w:hAnsi="Times New Roman"/>
          <w:b/>
          <w:sz w:val="24"/>
          <w:szCs w:val="24"/>
        </w:rPr>
        <w:t xml:space="preserve">Mental Health, incl. </w:t>
      </w:r>
      <w:r w:rsidRPr="00F22A0D">
        <w:rPr>
          <w:rFonts w:ascii="Times New Roman" w:hAnsi="Times New Roman"/>
          <w:b/>
          <w:sz w:val="24"/>
          <w:szCs w:val="24"/>
        </w:rPr>
        <w:t>C</w:t>
      </w:r>
      <w:r w:rsidR="006D5E9F" w:rsidRPr="00F22A0D">
        <w:rPr>
          <w:rFonts w:ascii="Times New Roman" w:hAnsi="Times New Roman"/>
          <w:b/>
          <w:sz w:val="24"/>
          <w:szCs w:val="24"/>
        </w:rPr>
        <w:t>ISM</w:t>
      </w:r>
      <w:r w:rsidR="003F660F" w:rsidRPr="00F22A0D">
        <w:rPr>
          <w:rFonts w:ascii="Times New Roman" w:hAnsi="Times New Roman"/>
          <w:b/>
          <w:sz w:val="24"/>
          <w:szCs w:val="24"/>
        </w:rPr>
        <w:t>, Pee</w:t>
      </w:r>
      <w:r w:rsidR="00321766" w:rsidRPr="00F22A0D">
        <w:rPr>
          <w:rFonts w:ascii="Times New Roman" w:hAnsi="Times New Roman"/>
          <w:b/>
          <w:sz w:val="24"/>
          <w:szCs w:val="24"/>
        </w:rPr>
        <w:t>r Support</w:t>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p>
    <w:p w14:paraId="22C4C000" w14:textId="766F96AC"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16</w:t>
      </w:r>
      <w:r w:rsidRPr="00F22A0D">
        <w:rPr>
          <w:rFonts w:ascii="Times New Roman" w:hAnsi="Times New Roman"/>
          <w:b/>
          <w:sz w:val="24"/>
          <w:szCs w:val="24"/>
        </w:rPr>
        <w:tab/>
        <w:t>Discipline</w:t>
      </w:r>
      <w:r w:rsidR="00F27CD5" w:rsidRPr="00F22A0D">
        <w:rPr>
          <w:rFonts w:ascii="Times New Roman" w:hAnsi="Times New Roman"/>
          <w:b/>
          <w:sz w:val="24"/>
          <w:szCs w:val="24"/>
        </w:rPr>
        <w:t>, incl. Social Media</w:t>
      </w:r>
      <w:r w:rsidR="00991BC0">
        <w:rPr>
          <w:rFonts w:ascii="Times New Roman" w:hAnsi="Times New Roman"/>
          <w:b/>
          <w:sz w:val="24"/>
          <w:szCs w:val="24"/>
        </w:rPr>
        <w:t xml:space="preserve"> Posts</w:t>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Pr="00F22A0D">
        <w:rPr>
          <w:rFonts w:ascii="Times New Roman" w:hAnsi="Times New Roman"/>
          <w:b/>
          <w:sz w:val="24"/>
          <w:szCs w:val="24"/>
        </w:rPr>
        <w:tab/>
      </w:r>
    </w:p>
    <w:p w14:paraId="71067951" w14:textId="31F43CE5"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17</w:t>
      </w:r>
      <w:r w:rsidRPr="00F22A0D">
        <w:rPr>
          <w:rFonts w:ascii="Times New Roman" w:hAnsi="Times New Roman"/>
          <w:b/>
          <w:sz w:val="24"/>
          <w:szCs w:val="24"/>
        </w:rPr>
        <w:tab/>
        <w:t>Arbitration</w:t>
      </w:r>
      <w:r w:rsidR="005E16F7" w:rsidRPr="00F22A0D">
        <w:rPr>
          <w:rFonts w:ascii="Times New Roman" w:hAnsi="Times New Roman"/>
          <w:b/>
          <w:sz w:val="24"/>
          <w:szCs w:val="24"/>
        </w:rPr>
        <w:t xml:space="preserve">, </w:t>
      </w:r>
      <w:r w:rsidR="00F27CD5" w:rsidRPr="00F22A0D">
        <w:rPr>
          <w:rFonts w:ascii="Times New Roman" w:hAnsi="Times New Roman"/>
          <w:b/>
          <w:sz w:val="24"/>
          <w:szCs w:val="24"/>
        </w:rPr>
        <w:t xml:space="preserve">incl. </w:t>
      </w:r>
      <w:r w:rsidRPr="00F22A0D">
        <w:rPr>
          <w:rFonts w:ascii="Times New Roman" w:hAnsi="Times New Roman"/>
          <w:b/>
          <w:sz w:val="24"/>
          <w:szCs w:val="24"/>
        </w:rPr>
        <w:t>Mediation</w:t>
      </w:r>
      <w:r w:rsidR="005E16F7" w:rsidRPr="00F22A0D">
        <w:rPr>
          <w:rFonts w:ascii="Times New Roman" w:hAnsi="Times New Roman"/>
          <w:b/>
          <w:sz w:val="24"/>
          <w:szCs w:val="24"/>
        </w:rPr>
        <w:t>, Labor Relations</w:t>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p>
    <w:p w14:paraId="74F6F193" w14:textId="01D0F323" w:rsidR="00447518" w:rsidRPr="00165526"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 xml:space="preserve">Chap. 18 </w:t>
      </w:r>
      <w:r w:rsidRPr="00F22A0D">
        <w:rPr>
          <w:rFonts w:ascii="Times New Roman" w:hAnsi="Times New Roman"/>
          <w:b/>
          <w:sz w:val="24"/>
          <w:szCs w:val="24"/>
        </w:rPr>
        <w:tab/>
        <w:t>Legislation</w:t>
      </w:r>
      <w:r w:rsidR="00801D3A">
        <w:rPr>
          <w:rFonts w:ascii="Times New Roman" w:hAnsi="Times New Roman"/>
          <w:b/>
          <w:sz w:val="24"/>
          <w:szCs w:val="24"/>
        </w:rPr>
        <w:t>, incl. Public Documents</w:t>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p>
    <w:p w14:paraId="786BD399" w14:textId="77777777" w:rsidR="00EE45D8" w:rsidRDefault="00EE45D8" w:rsidP="00F326E5">
      <w:pPr>
        <w:pStyle w:val="NoSpacing"/>
        <w:rPr>
          <w:rFonts w:ascii="Times New Roman" w:hAnsi="Times New Roman"/>
          <w:b/>
          <w:sz w:val="24"/>
          <w:szCs w:val="24"/>
        </w:rPr>
      </w:pPr>
    </w:p>
    <w:p w14:paraId="2CD1179B" w14:textId="77777777" w:rsidR="00080FC6" w:rsidRDefault="00080FC6" w:rsidP="00F326E5">
      <w:pPr>
        <w:pStyle w:val="NoSpacing"/>
        <w:rPr>
          <w:rFonts w:ascii="Times New Roman" w:hAnsi="Times New Roman"/>
          <w:b/>
          <w:sz w:val="20"/>
          <w:szCs w:val="20"/>
        </w:rPr>
      </w:pPr>
    </w:p>
    <w:p w14:paraId="5A3CA201" w14:textId="77777777" w:rsidR="009F6174" w:rsidRPr="009F6174" w:rsidRDefault="009F6174" w:rsidP="009F6174">
      <w:pPr>
        <w:pStyle w:val="NoSpacing"/>
        <w:rPr>
          <w:b/>
          <w:bCs/>
          <w:sz w:val="16"/>
          <w:szCs w:val="16"/>
          <w:u w:val="single"/>
        </w:rPr>
      </w:pPr>
      <w:r w:rsidRPr="009F6174">
        <w:rPr>
          <w:b/>
          <w:bCs/>
          <w:sz w:val="16"/>
          <w:szCs w:val="16"/>
          <w:u w:val="single"/>
        </w:rPr>
        <w:t>Textbooks / Other Publications</w:t>
      </w:r>
    </w:p>
    <w:p w14:paraId="631FF5ED"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FIRE &amp; EMS LAW – LIBRARY OF RECENT CASE SUMMARIES:  Over 1,600 case summaries since 2018 from monthly newsletters (supplement my 2017 Textbook, Fire Service Law):  </w:t>
      </w:r>
      <w:hyperlink r:id="rId15" w:history="1">
        <w:r w:rsidRPr="009F6174">
          <w:rPr>
            <w:rStyle w:val="Hyperlink"/>
            <w:b/>
            <w:bCs/>
            <w:sz w:val="16"/>
            <w:szCs w:val="16"/>
          </w:rPr>
          <w:t>https://doi.org/10.7945/j6c2-q930</w:t>
        </w:r>
      </w:hyperlink>
    </w:p>
    <w:p w14:paraId="5C2A5EB6"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FIRE &amp; EMS - CURRENT EVENTS:   </w:t>
      </w:r>
      <w:hyperlink r:id="rId16" w:history="1">
        <w:r w:rsidRPr="009F6174">
          <w:rPr>
            <w:rStyle w:val="Hyperlink"/>
            <w:b/>
            <w:bCs/>
            <w:sz w:val="16"/>
            <w:szCs w:val="16"/>
          </w:rPr>
          <w:t>https://doi.org/10.7945/0dwx-fc52</w:t>
        </w:r>
      </w:hyperlink>
    </w:p>
    <w:p w14:paraId="60804F3F" w14:textId="77777777" w:rsidR="009F6174" w:rsidRPr="009F6174" w:rsidRDefault="009F6174" w:rsidP="009F6174">
      <w:pPr>
        <w:pStyle w:val="NoSpacing"/>
        <w:numPr>
          <w:ilvl w:val="0"/>
          <w:numId w:val="42"/>
        </w:numPr>
        <w:rPr>
          <w:b/>
          <w:bCs/>
          <w:sz w:val="16"/>
          <w:szCs w:val="16"/>
        </w:rPr>
      </w:pPr>
      <w:r w:rsidRPr="009F6174">
        <w:rPr>
          <w:b/>
          <w:bCs/>
          <w:sz w:val="16"/>
          <w:szCs w:val="16"/>
        </w:rPr>
        <w:t>2026: EMS LAW – LEGAL LESSONS LEARNED (3</w:t>
      </w:r>
      <w:r w:rsidRPr="009F6174">
        <w:rPr>
          <w:b/>
          <w:bCs/>
          <w:sz w:val="16"/>
          <w:szCs w:val="16"/>
          <w:vertAlign w:val="superscript"/>
        </w:rPr>
        <w:t>rd</w:t>
      </w:r>
      <w:r w:rsidRPr="009F6174">
        <w:rPr>
          <w:b/>
          <w:bCs/>
          <w:sz w:val="16"/>
          <w:szCs w:val="16"/>
        </w:rPr>
        <w:t xml:space="preserve"> Edition) – case summaries 2018 - present: </w:t>
      </w:r>
      <w:hyperlink r:id="rId17" w:history="1">
        <w:r w:rsidRPr="009F6174">
          <w:rPr>
            <w:rStyle w:val="Hyperlink"/>
            <w:b/>
            <w:bCs/>
            <w:sz w:val="16"/>
            <w:szCs w:val="16"/>
          </w:rPr>
          <w:t>https://scholar.uc.edu/show/dn39x307g</w:t>
        </w:r>
      </w:hyperlink>
    </w:p>
    <w:p w14:paraId="356D09A4"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POLITICAL &amp; LEGAL APPLICATIONS FOR EMERGENCY SERVICES (3 Author text for National Fire Academy / FESHE online course): </w:t>
      </w:r>
      <w:hyperlink r:id="rId18" w:history="1">
        <w:r w:rsidRPr="009F6174">
          <w:rPr>
            <w:rStyle w:val="Hyperlink"/>
            <w:b/>
            <w:bCs/>
            <w:sz w:val="16"/>
            <w:szCs w:val="16"/>
          </w:rPr>
          <w:t>https://doi.org/10.7945/av8d-c920</w:t>
        </w:r>
      </w:hyperlink>
    </w:p>
    <w:p w14:paraId="3317A5AE"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EMS POLITICAL &amp; LEGAL APPLICATIONS FOR EMERGENCY MEDICAL SERVICES  (4 Author text for National Fire Academy / FESHE online course): </w:t>
      </w:r>
      <w:hyperlink r:id="rId19" w:history="1">
        <w:r w:rsidRPr="009F6174">
          <w:rPr>
            <w:rStyle w:val="Hyperlink"/>
            <w:b/>
            <w:bCs/>
            <w:sz w:val="16"/>
            <w:szCs w:val="16"/>
          </w:rPr>
          <w:t>https://scholar.uc.edu/concern/documents/ht24wm15r?locale=en</w:t>
        </w:r>
      </w:hyperlink>
    </w:p>
    <w:p w14:paraId="2D3BDA88"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AMERICAN HISTORY – FOR FIRE &amp; EMS (including U.S. Supreme Court decisions, and Major Fires)  </w:t>
      </w:r>
      <w:hyperlink r:id="rId20" w:history="1">
        <w:r w:rsidRPr="009F6174">
          <w:rPr>
            <w:rStyle w:val="Hyperlink"/>
            <w:b/>
            <w:bCs/>
            <w:sz w:val="16"/>
            <w:szCs w:val="16"/>
          </w:rPr>
          <w:t>https://scholar.uc.edu/show/ks65hd707</w:t>
        </w:r>
      </w:hyperlink>
    </w:p>
    <w:p w14:paraId="6C3B5078"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2017: TEXTBOOK:  FIRE SERVICE LAW (Second Edition) (ISBN 978-1-4786-3397-6); Waveland Press: </w:t>
      </w:r>
      <w:hyperlink r:id="rId21" w:history="1">
        <w:r w:rsidRPr="009F6174">
          <w:rPr>
            <w:rStyle w:val="Hyperlink"/>
            <w:b/>
            <w:bCs/>
            <w:sz w:val="16"/>
            <w:szCs w:val="16"/>
          </w:rPr>
          <w:t>http://www.waveland.com/browse.php?t=708</w:t>
        </w:r>
      </w:hyperlink>
      <w:r w:rsidRPr="009F6174">
        <w:rPr>
          <w:b/>
          <w:bCs/>
          <w:sz w:val="16"/>
          <w:szCs w:val="16"/>
        </w:rPr>
        <w:t xml:space="preserve">  (First Edition – Prentice Hall, 2008).</w:t>
      </w:r>
    </w:p>
    <w:p w14:paraId="3A8B0D38" w14:textId="77777777" w:rsidR="009F6174" w:rsidRPr="009F6174" w:rsidRDefault="009F6174" w:rsidP="009F6174">
      <w:pPr>
        <w:pStyle w:val="NoSpacing"/>
        <w:numPr>
          <w:ilvl w:val="0"/>
          <w:numId w:val="42"/>
        </w:numPr>
        <w:rPr>
          <w:b/>
          <w:bCs/>
          <w:sz w:val="16"/>
          <w:szCs w:val="16"/>
        </w:rPr>
      </w:pPr>
      <w:r w:rsidRPr="009F6174">
        <w:rPr>
          <w:b/>
          <w:bCs/>
          <w:sz w:val="16"/>
          <w:szCs w:val="16"/>
        </w:rPr>
        <w:t>2006: CHIEF FIRE OFFICER’S DESK REFERENCE: Jones &amp; Bartlett, Chap. 4: U.S. Legal System.</w:t>
      </w:r>
    </w:p>
    <w:p w14:paraId="0387007A" w14:textId="77777777" w:rsidR="009F6174" w:rsidRPr="009F6174" w:rsidRDefault="009F6174" w:rsidP="009F6174">
      <w:pPr>
        <w:pStyle w:val="NoSpacing"/>
        <w:numPr>
          <w:ilvl w:val="0"/>
          <w:numId w:val="42"/>
        </w:numPr>
        <w:rPr>
          <w:b/>
          <w:bCs/>
          <w:sz w:val="16"/>
          <w:szCs w:val="16"/>
        </w:rPr>
      </w:pPr>
      <w:r w:rsidRPr="009F6174">
        <w:rPr>
          <w:b/>
          <w:bCs/>
          <w:sz w:val="16"/>
          <w:szCs w:val="16"/>
        </w:rPr>
        <w:t>2005: FIRE &amp; EMS LAW FOR OFFICERS: Fire Protection Publications, Okla. State: Employment Best Practices (2005); Safety (2004).</w:t>
      </w:r>
    </w:p>
    <w:p w14:paraId="6D2A07B5" w14:textId="77777777" w:rsidR="009F6174" w:rsidRPr="009F6174" w:rsidRDefault="009F6174" w:rsidP="009F6174">
      <w:pPr>
        <w:pStyle w:val="NoSpacing"/>
        <w:rPr>
          <w:b/>
          <w:bCs/>
          <w:sz w:val="16"/>
          <w:szCs w:val="16"/>
          <w:u w:val="single"/>
        </w:rPr>
      </w:pPr>
    </w:p>
    <w:p w14:paraId="75EF7650" w14:textId="77777777" w:rsidR="006D2D4A" w:rsidRDefault="006D2D4A" w:rsidP="006D2D4A">
      <w:pPr>
        <w:pStyle w:val="NoSpacing"/>
        <w:rPr>
          <w:b/>
          <w:bCs/>
          <w:sz w:val="16"/>
          <w:szCs w:val="16"/>
        </w:rPr>
      </w:pPr>
    </w:p>
    <w:p w14:paraId="12AD15FA" w14:textId="77777777" w:rsidR="006D2D4A" w:rsidRPr="00F5681B" w:rsidRDefault="006D2D4A" w:rsidP="006D2D4A">
      <w:pPr>
        <w:pStyle w:val="NoSpacing"/>
        <w:ind w:left="720"/>
        <w:rPr>
          <w:rFonts w:ascii="Times New Roman" w:hAnsi="Times New Roman"/>
          <w:b/>
          <w:bCs/>
          <w:sz w:val="20"/>
          <w:szCs w:val="20"/>
        </w:rPr>
      </w:pPr>
    </w:p>
    <w:p w14:paraId="544D5725" w14:textId="77777777" w:rsidR="006C4753" w:rsidRPr="00F5681B" w:rsidRDefault="006C4753" w:rsidP="00F326E5">
      <w:pPr>
        <w:pStyle w:val="NoSpacing"/>
        <w:rPr>
          <w:rFonts w:ascii="Times New Roman" w:hAnsi="Times New Roman"/>
          <w:sz w:val="20"/>
          <w:szCs w:val="20"/>
        </w:rPr>
      </w:pPr>
    </w:p>
    <w:p w14:paraId="6B9CB5F2" w14:textId="35C5120C" w:rsidR="00BF4B12" w:rsidRDefault="00BF4B12">
      <w:pPr>
        <w:spacing w:after="0" w:line="240" w:lineRule="auto"/>
        <w:rPr>
          <w:rFonts w:ascii="Arial Black" w:hAnsi="Arial Black"/>
          <w:sz w:val="40"/>
          <w:szCs w:val="40"/>
        </w:rPr>
      </w:pPr>
      <w:r>
        <w:rPr>
          <w:rFonts w:ascii="Arial Black" w:hAnsi="Arial Black"/>
          <w:sz w:val="40"/>
          <w:szCs w:val="40"/>
        </w:rPr>
        <w:br w:type="page"/>
      </w:r>
    </w:p>
    <w:p w14:paraId="64522C73" w14:textId="77777777" w:rsidR="0039287E" w:rsidRDefault="0039287E" w:rsidP="00F326E5">
      <w:pPr>
        <w:pStyle w:val="NoSpacing"/>
        <w:rPr>
          <w:rFonts w:ascii="Arial Black" w:hAnsi="Arial Black"/>
          <w:sz w:val="40"/>
          <w:szCs w:val="40"/>
        </w:rPr>
      </w:pPr>
    </w:p>
    <w:p w14:paraId="3216C5A5" w14:textId="292E2DB8" w:rsidR="00F326E5" w:rsidRDefault="00F326E5" w:rsidP="00F326E5">
      <w:pPr>
        <w:pStyle w:val="NoSpacing"/>
        <w:rPr>
          <w:rFonts w:ascii="Arial Black" w:hAnsi="Arial Black"/>
          <w:sz w:val="40"/>
          <w:szCs w:val="40"/>
        </w:rPr>
      </w:pPr>
      <w:r w:rsidRPr="007732FA">
        <w:rPr>
          <w:rFonts w:ascii="Arial Black" w:hAnsi="Arial Black"/>
          <w:sz w:val="40"/>
          <w:szCs w:val="40"/>
        </w:rPr>
        <w:t>Chap. 1</w:t>
      </w:r>
      <w:r w:rsidRPr="007732FA">
        <w:rPr>
          <w:rFonts w:ascii="Arial Black" w:hAnsi="Arial Black"/>
          <w:sz w:val="40"/>
          <w:szCs w:val="40"/>
        </w:rPr>
        <w:tab/>
        <w:t>American Legal System</w:t>
      </w:r>
      <w:r w:rsidR="003F660F">
        <w:rPr>
          <w:rFonts w:ascii="Arial Black" w:hAnsi="Arial Black"/>
          <w:sz w:val="40"/>
          <w:szCs w:val="40"/>
        </w:rPr>
        <w:t>, incl</w:t>
      </w:r>
      <w:r w:rsidR="00022BE4">
        <w:rPr>
          <w:rFonts w:ascii="Arial Black" w:hAnsi="Arial Black"/>
          <w:sz w:val="40"/>
          <w:szCs w:val="40"/>
        </w:rPr>
        <w:t xml:space="preserve">. </w:t>
      </w:r>
      <w:r w:rsidR="00636395">
        <w:rPr>
          <w:rFonts w:ascii="Arial Black" w:hAnsi="Arial Black"/>
          <w:sz w:val="40"/>
          <w:szCs w:val="40"/>
        </w:rPr>
        <w:t xml:space="preserve">Fire </w:t>
      </w:r>
      <w:r w:rsidRPr="007732FA">
        <w:rPr>
          <w:rFonts w:ascii="Arial Black" w:hAnsi="Arial Black"/>
          <w:sz w:val="40"/>
          <w:szCs w:val="40"/>
        </w:rPr>
        <w:t>Code</w:t>
      </w:r>
      <w:r w:rsidR="00636395">
        <w:rPr>
          <w:rFonts w:ascii="Arial Black" w:hAnsi="Arial Black"/>
          <w:sz w:val="40"/>
          <w:szCs w:val="40"/>
        </w:rPr>
        <w:t>s</w:t>
      </w:r>
      <w:r w:rsidR="003F660F">
        <w:rPr>
          <w:rFonts w:ascii="Arial Black" w:hAnsi="Arial Black"/>
          <w:sz w:val="40"/>
          <w:szCs w:val="40"/>
        </w:rPr>
        <w:t xml:space="preserve">, </w:t>
      </w:r>
      <w:r w:rsidR="00636395">
        <w:rPr>
          <w:rFonts w:ascii="Arial Black" w:hAnsi="Arial Black"/>
          <w:sz w:val="40"/>
          <w:szCs w:val="40"/>
        </w:rPr>
        <w:t xml:space="preserve">Arson </w:t>
      </w:r>
      <w:r w:rsidRPr="007732FA">
        <w:rPr>
          <w:rFonts w:ascii="Arial Black" w:hAnsi="Arial Black"/>
          <w:sz w:val="40"/>
          <w:szCs w:val="40"/>
        </w:rPr>
        <w:t xml:space="preserve"> </w:t>
      </w:r>
    </w:p>
    <w:p w14:paraId="23DD4856" w14:textId="77777777" w:rsidR="0050742B" w:rsidRDefault="0050742B" w:rsidP="0050742B">
      <w:pPr>
        <w:pStyle w:val="NoSpacing"/>
        <w:rPr>
          <w:rFonts w:ascii="Arial Black" w:hAnsi="Arial Black"/>
          <w:sz w:val="28"/>
          <w:szCs w:val="28"/>
        </w:rPr>
      </w:pPr>
    </w:p>
    <w:p w14:paraId="2AC69B7E" w14:textId="1783750D"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9</w:t>
      </w:r>
    </w:p>
    <w:p w14:paraId="4FBD432B" w14:textId="77777777" w:rsidR="0039287E" w:rsidRDefault="0039287E" w:rsidP="0050742B">
      <w:pPr>
        <w:pStyle w:val="NoSpacing"/>
        <w:rPr>
          <w:rFonts w:ascii="Arial Black" w:hAnsi="Arial Black"/>
          <w:sz w:val="28"/>
          <w:szCs w:val="28"/>
        </w:rPr>
      </w:pPr>
    </w:p>
    <w:p w14:paraId="0B4AFD72" w14:textId="77777777" w:rsidR="0039287E" w:rsidRPr="00E00C17" w:rsidRDefault="0039287E" w:rsidP="0039287E">
      <w:pPr>
        <w:pStyle w:val="NoSpacing"/>
        <w:rPr>
          <w:rFonts w:ascii="Arial Black" w:hAnsi="Arial Black"/>
          <w:sz w:val="28"/>
          <w:szCs w:val="28"/>
        </w:rPr>
      </w:pPr>
      <w:r>
        <w:rPr>
          <w:rFonts w:ascii="Arial Black" w:hAnsi="Arial Black"/>
          <w:sz w:val="28"/>
          <w:szCs w:val="28"/>
        </w:rPr>
        <w:t xml:space="preserve">OH: SPRINKLERS – CHURCH / SLEEP – CONV PASTOR REV </w:t>
      </w:r>
    </w:p>
    <w:p w14:paraId="56E9AEE4" w14:textId="77777777" w:rsidR="0039287E" w:rsidRDefault="0039287E" w:rsidP="0039287E">
      <w:pPr>
        <w:pStyle w:val="NoSpacing"/>
      </w:pPr>
    </w:p>
    <w:p w14:paraId="5DE74EAC" w14:textId="77777777" w:rsidR="0039287E" w:rsidRDefault="0039287E" w:rsidP="0039287E">
      <w:pPr>
        <w:pStyle w:val="NoSpacing"/>
      </w:pPr>
      <w:r>
        <w:t xml:space="preserve">On September 25, 2026, in </w:t>
      </w:r>
      <w:r w:rsidRPr="00D87C92">
        <w:rPr>
          <w:u w:val="single"/>
        </w:rPr>
        <w:t>State of Ohio v. Christopher B. Avell</w:t>
      </w:r>
      <w:r>
        <w:t xml:space="preserve">, the Court of Appeals of Ohio, Sixth District, Williams County held (3 to 0) that the conviction of Pastor Avell (60 days in jail; suspended; $200 fine, and $114 costs) is reversed and the case remanded to the trial court judge who conducted the bench trial.  “Because the trial court did not decide whether the Bryan fire code is unconstitutional as applied to appellant, we must remand the case to the trial court for further proceedings.”  Concurring Judge wrote: “when applying the strict scrutiny test to the Bryan fire code, I would have found that the enforcement of the fire code failed to satisfy the requirements of strict scrutiny review, and therefore, appellant should not have been criminal charged or convicted for knowingly violating the code.” </w:t>
      </w:r>
      <w:hyperlink r:id="rId22" w:history="1">
        <w:r w:rsidRPr="008C144C">
          <w:rPr>
            <w:rStyle w:val="Hyperlink"/>
          </w:rPr>
          <w:t>https://lucapps.co.lucas.oh.us/Courts/Appeals/DecisionsPDF/13597.pdf</w:t>
        </w:r>
      </w:hyperlink>
      <w:r>
        <w:t xml:space="preserve"> </w:t>
      </w:r>
    </w:p>
    <w:p w14:paraId="0DC20144" w14:textId="77777777" w:rsidR="0039287E" w:rsidRDefault="0039287E" w:rsidP="0039287E">
      <w:pPr>
        <w:pStyle w:val="NoSpacing"/>
      </w:pPr>
    </w:p>
    <w:p w14:paraId="66B74CF1" w14:textId="77777777" w:rsidR="0039287E" w:rsidRDefault="0039287E" w:rsidP="0039287E">
      <w:pPr>
        <w:pStyle w:val="NoSpacing"/>
      </w:pPr>
      <w:r>
        <w:t>THE COURT WROTE:</w:t>
      </w:r>
    </w:p>
    <w:p w14:paraId="210F9F15" w14:textId="77777777" w:rsidR="0039287E" w:rsidRDefault="0039287E" w:rsidP="0039287E">
      <w:pPr>
        <w:pStyle w:val="NoSpacing"/>
        <w:ind w:left="720"/>
      </w:pPr>
    </w:p>
    <w:p w14:paraId="6F56A0D3" w14:textId="77777777" w:rsidR="0039287E" w:rsidRDefault="0039287E" w:rsidP="0039287E">
      <w:pPr>
        <w:pStyle w:val="NoSpacing"/>
        <w:ind w:left="720"/>
      </w:pPr>
      <w:r>
        <w:t>“Since the church first opened in 2018, it offered overnight shelter ‘to anyone in the community who needs it.’ In 2023, Dad’s Place formally began an overnight</w:t>
      </w:r>
    </w:p>
    <w:p w14:paraId="6964A155" w14:textId="77777777" w:rsidR="0039287E" w:rsidRDefault="0039287E" w:rsidP="0039287E">
      <w:pPr>
        <w:pStyle w:val="NoSpacing"/>
        <w:ind w:firstLine="720"/>
      </w:pPr>
      <w:r>
        <w:t>ministry and opened its doors to the public twenty-four hours a day, seven days a week.</w:t>
      </w:r>
    </w:p>
    <w:p w14:paraId="548E1C42" w14:textId="77777777" w:rsidR="0039287E" w:rsidRDefault="0039287E" w:rsidP="0039287E">
      <w:pPr>
        <w:pStyle w:val="NoSpacing"/>
        <w:ind w:firstLine="720"/>
      </w:pPr>
      <w:r>
        <w:t>From 11:00 p.m. to 8:00 a.m. each night, Dad’s Place operates a ministry called ‘Rest</w:t>
      </w:r>
    </w:p>
    <w:p w14:paraId="6ADEFCC5" w14:textId="77777777" w:rsidR="0039287E" w:rsidRDefault="0039287E" w:rsidP="0039287E">
      <w:pPr>
        <w:pStyle w:val="NoSpacing"/>
        <w:ind w:left="720"/>
      </w:pPr>
      <w:r>
        <w:t>and Refresh in the Lord.’  During this time, anyone in need—homeless or not—is welcome inside the church for prayer, fellowship, and rest. According to appellant, no</w:t>
      </w:r>
    </w:p>
    <w:p w14:paraId="079407E2" w14:textId="77777777" w:rsidR="0039287E" w:rsidRDefault="0039287E" w:rsidP="0039287E">
      <w:pPr>
        <w:pStyle w:val="NoSpacing"/>
        <w:ind w:firstLine="720"/>
      </w:pPr>
      <w:r>
        <w:t>one is required to leave absent a ‘biblically valid reason.’</w:t>
      </w:r>
    </w:p>
    <w:p w14:paraId="54FF1562" w14:textId="77777777" w:rsidR="0039287E" w:rsidRDefault="0039287E" w:rsidP="0039287E">
      <w:pPr>
        <w:pStyle w:val="NoSpacing"/>
        <w:ind w:firstLine="720"/>
      </w:pPr>
    </w:p>
    <w:p w14:paraId="58E437DA" w14:textId="77777777" w:rsidR="0039287E" w:rsidRDefault="0039287E" w:rsidP="0039287E">
      <w:pPr>
        <w:pStyle w:val="NoSpacing"/>
        <w:ind w:firstLine="720"/>
      </w:pPr>
      <w:r>
        <w:t>***</w:t>
      </w:r>
    </w:p>
    <w:p w14:paraId="463F8B93" w14:textId="77777777" w:rsidR="0039287E" w:rsidRDefault="0039287E" w:rsidP="0039287E">
      <w:pPr>
        <w:pStyle w:val="NoSpacing"/>
        <w:ind w:left="720"/>
      </w:pPr>
      <w:r>
        <w:t xml:space="preserve">Between November 2023 and April 2024, the chief of Bryan’s fire department, Douglas Pool, conducted several inspections of Dad’s Place and reported 18 violations of Bryan’s fire code. Many of the violations were resolved as </w:t>
      </w:r>
      <w:proofErr w:type="gramStart"/>
      <w:r>
        <w:t>appellant ‘</w:t>
      </w:r>
      <w:proofErr w:type="gramEnd"/>
      <w:r>
        <w:t xml:space="preserve">took immediate action’ to address the violations. </w:t>
      </w:r>
    </w:p>
    <w:p w14:paraId="0EDA5707" w14:textId="77777777" w:rsidR="0039287E" w:rsidRDefault="0039287E" w:rsidP="0039287E">
      <w:pPr>
        <w:pStyle w:val="NoSpacing"/>
        <w:ind w:left="720"/>
      </w:pPr>
    </w:p>
    <w:p w14:paraId="69496C1A" w14:textId="77777777" w:rsidR="0039287E" w:rsidRDefault="0039287E" w:rsidP="0039287E">
      <w:pPr>
        <w:pStyle w:val="NoSpacing"/>
        <w:ind w:left="720"/>
      </w:pPr>
      <w:r>
        <w:t>***</w:t>
      </w:r>
    </w:p>
    <w:p w14:paraId="40C50301" w14:textId="77777777" w:rsidR="0039287E" w:rsidRDefault="0039287E" w:rsidP="0039287E">
      <w:pPr>
        <w:pStyle w:val="NoSpacing"/>
        <w:ind w:left="720"/>
      </w:pPr>
      <w:r>
        <w:t xml:space="preserve">Nevertheless, on April 24, 2024, the City issued two new citations for unresolved </w:t>
      </w:r>
      <w:proofErr w:type="gramStart"/>
      <w:r>
        <w:t>violations—a</w:t>
      </w:r>
      <w:proofErr w:type="gramEnd"/>
      <w:r>
        <w:t xml:space="preserve"> change </w:t>
      </w:r>
      <w:proofErr w:type="gramStart"/>
      <w:r>
        <w:t>in use</w:t>
      </w:r>
      <w:proofErr w:type="gramEnd"/>
      <w:r>
        <w:t xml:space="preserve"> occupancy from assembly to residential and the lack of an automatic sprinkler system. The </w:t>
      </w:r>
      <w:proofErr w:type="gramStart"/>
      <w:r>
        <w:t>City</w:t>
      </w:r>
      <w:proofErr w:type="gramEnd"/>
      <w:r>
        <w:t xml:space="preserve"> required Dad’s Place to install an automatic-sprinkler system and threatened Dad’s Place with a fine of $1,000 each day that Dad’s Place continued its ministry without the sprinklers. One day later, the </w:t>
      </w:r>
      <w:proofErr w:type="gramStart"/>
      <w:r>
        <w:t>City</w:t>
      </w:r>
      <w:proofErr w:type="gramEnd"/>
      <w:r>
        <w:t xml:space="preserve"> criminally charged appellant for knowingly violating Bryan’s fire code under Bryan Municipal Code 1501.06(a).”</w:t>
      </w:r>
    </w:p>
    <w:p w14:paraId="611103DE" w14:textId="77777777" w:rsidR="0039287E" w:rsidRDefault="0039287E" w:rsidP="0039287E">
      <w:pPr>
        <w:pStyle w:val="NoSpacing"/>
        <w:ind w:left="720"/>
      </w:pPr>
    </w:p>
    <w:p w14:paraId="64CE58ED" w14:textId="77777777" w:rsidR="0039287E" w:rsidRDefault="0039287E" w:rsidP="0039287E">
      <w:pPr>
        <w:rPr>
          <w:b/>
          <w:bCs/>
        </w:rPr>
      </w:pPr>
      <w:r>
        <w:rPr>
          <w:b/>
        </w:rPr>
        <w:t xml:space="preserve">Legal lesson learned: Fire code enforcement against church, in community where many other residential facilities are “grandfathered” without sprinklers, must pass “strict scrutiny review.” </w:t>
      </w:r>
    </w:p>
    <w:p w14:paraId="5B3670E9" w14:textId="77777777" w:rsidR="0039287E" w:rsidRPr="00673EC6" w:rsidRDefault="0039287E" w:rsidP="0039287E">
      <w:pPr>
        <w:pStyle w:val="NoSpacing"/>
        <w:ind w:left="720"/>
        <w:rPr>
          <w:b/>
        </w:rPr>
      </w:pPr>
      <w:r>
        <w:t xml:space="preserve">Note: See this September 25, </w:t>
      </w:r>
      <w:proofErr w:type="gramStart"/>
      <w:r>
        <w:t>2026</w:t>
      </w:r>
      <w:proofErr w:type="gramEnd"/>
      <w:r>
        <w:t xml:space="preserve"> article: </w:t>
      </w:r>
      <w:r w:rsidRPr="00363595">
        <w:t>Appeals Court Vacates Fire Code Conviction Against Dad’s Place Pastor Chris Avell</w:t>
      </w:r>
    </w:p>
    <w:p w14:paraId="52967B4D" w14:textId="77777777" w:rsidR="0039287E" w:rsidRDefault="0039287E" w:rsidP="0039287E">
      <w:pPr>
        <w:pStyle w:val="NoSpacing"/>
        <w:ind w:left="720"/>
      </w:pPr>
      <w:hyperlink r:id="rId23" w:history="1">
        <w:r w:rsidRPr="00100364">
          <w:rPr>
            <w:rStyle w:val="Hyperlink"/>
          </w:rPr>
          <w:t>https://thevillagereporter.com/appeals-court-vacates-fire-code-conviction-against-dads-place-pastor-chris-avell/</w:t>
        </w:r>
      </w:hyperlink>
      <w:r>
        <w:t xml:space="preserve"> </w:t>
      </w:r>
    </w:p>
    <w:p w14:paraId="72051EF3" w14:textId="77777777" w:rsidR="0039287E" w:rsidRDefault="0039287E" w:rsidP="0039287E">
      <w:pPr>
        <w:pStyle w:val="NoSpacing"/>
        <w:ind w:left="720"/>
      </w:pPr>
    </w:p>
    <w:p w14:paraId="49813249" w14:textId="77777777" w:rsidR="0039287E" w:rsidRDefault="0039287E" w:rsidP="0039287E">
      <w:pPr>
        <w:pStyle w:val="NoSpacing"/>
        <w:ind w:left="720"/>
      </w:pPr>
      <w:r>
        <w:t xml:space="preserve">See YouTube: </w:t>
      </w:r>
      <w:hyperlink r:id="rId24" w:history="1">
        <w:r w:rsidRPr="00100364">
          <w:rPr>
            <w:rStyle w:val="Hyperlink"/>
          </w:rPr>
          <w:t>https://www.facebook.com/reel/1853994902451720</w:t>
        </w:r>
      </w:hyperlink>
    </w:p>
    <w:p w14:paraId="4FFEE4A2" w14:textId="77777777" w:rsidR="0039287E" w:rsidRDefault="0039287E" w:rsidP="0039287E">
      <w:pPr>
        <w:pStyle w:val="NoSpacing"/>
        <w:rPr>
          <w:rFonts w:ascii="Arial Black" w:hAnsi="Arial Black"/>
          <w:sz w:val="28"/>
          <w:szCs w:val="28"/>
        </w:rPr>
      </w:pPr>
    </w:p>
    <w:p w14:paraId="7A8935E2" w14:textId="16515F86"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8</w:t>
      </w:r>
    </w:p>
    <w:p w14:paraId="34D2A470" w14:textId="06C2CEEE" w:rsidR="0039287E" w:rsidRDefault="0039287E" w:rsidP="0039287E">
      <w:pPr>
        <w:pStyle w:val="NoSpacing"/>
      </w:pPr>
      <w:r w:rsidRPr="007C6166">
        <w:t xml:space="preserve"> </w:t>
      </w:r>
    </w:p>
    <w:p w14:paraId="0FFB3628" w14:textId="77777777" w:rsidR="0039287E" w:rsidRDefault="0039287E" w:rsidP="0039287E">
      <w:pPr>
        <w:pStyle w:val="NoSpacing"/>
        <w:ind w:left="720"/>
      </w:pPr>
    </w:p>
    <w:p w14:paraId="33594B5D" w14:textId="77777777" w:rsidR="0039287E" w:rsidRDefault="0039287E" w:rsidP="0039287E">
      <w:pPr>
        <w:pStyle w:val="NoSpacing"/>
      </w:pPr>
    </w:p>
    <w:p w14:paraId="03ACF66C" w14:textId="77777777" w:rsidR="0039287E" w:rsidRDefault="0039287E" w:rsidP="0039287E">
      <w:pPr>
        <w:pStyle w:val="NoSpacing"/>
        <w:rPr>
          <w:rFonts w:ascii="Arial Black" w:hAnsi="Arial Black"/>
          <w:sz w:val="28"/>
          <w:szCs w:val="28"/>
        </w:rPr>
      </w:pPr>
      <w:r>
        <w:rPr>
          <w:rFonts w:ascii="Arial Black" w:hAnsi="Arial Black"/>
          <w:sz w:val="28"/>
          <w:szCs w:val="28"/>
        </w:rPr>
        <w:t>OH: CYBER BREACH – COLUMBUS FF / PD - CASE BACK ON</w:t>
      </w:r>
    </w:p>
    <w:p w14:paraId="1D76333A" w14:textId="77777777" w:rsidR="0039287E" w:rsidRDefault="0039287E" w:rsidP="0039287E">
      <w:pPr>
        <w:pStyle w:val="NoSpacing"/>
      </w:pPr>
    </w:p>
    <w:p w14:paraId="5A97EF11" w14:textId="77777777" w:rsidR="0039287E" w:rsidRDefault="0039287E" w:rsidP="0039287E">
      <w:pPr>
        <w:pStyle w:val="NoSpacing"/>
        <w:rPr>
          <w:b/>
        </w:rPr>
      </w:pPr>
      <w:r>
        <w:t xml:space="preserve">On September 24, 2026, in </w:t>
      </w:r>
      <w:r w:rsidRPr="00871C59">
        <w:rPr>
          <w:u w:val="single"/>
        </w:rPr>
        <w:t>John Doe et al. v. City of Columbus</w:t>
      </w:r>
      <w:r>
        <w:t xml:space="preserve">, the Court of Appeals of Ohio, Tenth District, held (3 to 0) that trial court improperly dismissed the lawsuit by five employees, including a firefighter, </w:t>
      </w:r>
      <w:proofErr w:type="gramStart"/>
      <w:r>
        <w:t>on the basis of</w:t>
      </w:r>
      <w:proofErr w:type="gramEnd"/>
      <w:r>
        <w:t xml:space="preserve"> governmental immunity.  On July 19, 2024, “particularly sophisticated” cybercriminals targeted the city’s IT system with a cyberattack. </w:t>
      </w:r>
      <w:r w:rsidRPr="00FF3C6B">
        <w:t>John</w:t>
      </w:r>
      <w:r>
        <w:t xml:space="preserve"> </w:t>
      </w:r>
      <w:r w:rsidRPr="00FF3C6B">
        <w:t xml:space="preserve">Doe No. 5, a city firefighter, has </w:t>
      </w:r>
      <w:r>
        <w:t xml:space="preserve"> “r</w:t>
      </w:r>
      <w:r w:rsidRPr="00FF3C6B">
        <w:t>eceived alerts that his credit card has been compromised</w:t>
      </w:r>
      <w:r>
        <w:t xml:space="preserve"> </w:t>
      </w:r>
      <w:r w:rsidRPr="00FF3C6B">
        <w:t>and information indicating that his Social Security number and work email address are</w:t>
      </w:r>
      <w:r>
        <w:t xml:space="preserve"> </w:t>
      </w:r>
      <w:r w:rsidRPr="00FF3C6B">
        <w:t>accessible on the Dark Web.</w:t>
      </w:r>
      <w:r>
        <w:t xml:space="preserve">”  </w:t>
      </w:r>
      <w:hyperlink r:id="rId25" w:history="1">
        <w:r w:rsidRPr="00CC3A18">
          <w:rPr>
            <w:rStyle w:val="Hyperlink"/>
            <w:b/>
          </w:rPr>
          <w:t>https://cases.justia.com/ohio/tenth-district-court-of-appeals/2026-25ap-798.pdf?ts=1790269228</w:t>
        </w:r>
      </w:hyperlink>
      <w:r>
        <w:rPr>
          <w:b/>
        </w:rPr>
        <w:t xml:space="preserve"> </w:t>
      </w:r>
    </w:p>
    <w:p w14:paraId="11BB4575" w14:textId="77777777" w:rsidR="0039287E" w:rsidRDefault="0039287E" w:rsidP="0039287E">
      <w:pPr>
        <w:pStyle w:val="NoSpacing"/>
        <w:rPr>
          <w:b/>
        </w:rPr>
      </w:pPr>
    </w:p>
    <w:p w14:paraId="58644AA8" w14:textId="77777777" w:rsidR="0039287E" w:rsidRDefault="0039287E" w:rsidP="0039287E">
      <w:pPr>
        <w:pStyle w:val="NoSpacing"/>
      </w:pPr>
      <w:r>
        <w:t xml:space="preserve">THE COURT WROTE: </w:t>
      </w:r>
    </w:p>
    <w:p w14:paraId="1A90EEDE" w14:textId="77777777" w:rsidR="0039287E" w:rsidRDefault="0039287E" w:rsidP="0039287E">
      <w:pPr>
        <w:pStyle w:val="NoSpacing"/>
      </w:pPr>
    </w:p>
    <w:p w14:paraId="45287A56" w14:textId="77777777" w:rsidR="0039287E" w:rsidRDefault="0039287E" w:rsidP="0039287E">
      <w:pPr>
        <w:pStyle w:val="NoSpacing"/>
        <w:ind w:left="720"/>
      </w:pPr>
      <w:r>
        <w:t xml:space="preserve">“[The plaintiffs, including three police officers and a firefighter] specifically, they allege the city ‘failed to design and structure its IT systems to limit the possible harm from a breach, including but not limited to compartmentalizing City systems so that a breach of one system will not implicate all City systems’ …  and ‘failed to design and structure its IT systems to ensure that access is controlled and monitored to prevent breaches of this type and to allow the </w:t>
      </w:r>
      <w:proofErr w:type="gramStart"/>
      <w:r>
        <w:t>City</w:t>
      </w:r>
      <w:proofErr w:type="gramEnd"/>
      <w:r>
        <w:t xml:space="preserve"> to identify the source and circumstances of the breach.’ </w:t>
      </w:r>
    </w:p>
    <w:p w14:paraId="3CEA1E38" w14:textId="77777777" w:rsidR="0039287E" w:rsidRDefault="0039287E" w:rsidP="0039287E">
      <w:pPr>
        <w:pStyle w:val="NoSpacing"/>
        <w:ind w:left="720"/>
      </w:pPr>
    </w:p>
    <w:p w14:paraId="7C96102C" w14:textId="77777777" w:rsidR="0039287E" w:rsidRPr="00871C59" w:rsidRDefault="0039287E" w:rsidP="0039287E">
      <w:pPr>
        <w:pStyle w:val="NoSpacing"/>
        <w:ind w:left="720"/>
      </w:pPr>
      <w:r>
        <w:t>***</w:t>
      </w:r>
    </w:p>
    <w:p w14:paraId="23F77347" w14:textId="77777777" w:rsidR="0039287E" w:rsidRDefault="0039287E" w:rsidP="0039287E">
      <w:pPr>
        <w:pStyle w:val="NoSpacing"/>
        <w:ind w:left="720"/>
      </w:pPr>
      <w:r>
        <w:t>As much as the city would like to make this case about public safety, it is about a data breach—allegedly facilitated by the city’s failure to safeguard sensitive data…. Accordingly, at this early stage, we conclude that the trial court erred in determining solely from the face of the complaint that the city is entitled to immunity…. Even accepting the city’s position that its maintenance and operation of its IT infrastructure involves the exercise of discretion how to use city resources, it is not clear from the face of the consolidated complaint that the city did not exercise its discretion with a malicious purpose, in bad faith, or in a wanton or reckless manner.”</w:t>
      </w:r>
    </w:p>
    <w:p w14:paraId="670E380B" w14:textId="77777777" w:rsidR="0039287E" w:rsidRDefault="0039287E" w:rsidP="0039287E">
      <w:pPr>
        <w:pStyle w:val="NoSpacing"/>
        <w:ind w:left="720"/>
      </w:pPr>
    </w:p>
    <w:p w14:paraId="2788E241" w14:textId="77777777" w:rsidR="0039287E" w:rsidRPr="00562D96" w:rsidRDefault="0039287E" w:rsidP="0039287E">
      <w:pPr>
        <w:pStyle w:val="NoSpacing"/>
        <w:rPr>
          <w:b/>
          <w:bCs/>
        </w:rPr>
      </w:pPr>
      <w:r w:rsidRPr="00562D96">
        <w:rPr>
          <w:b/>
        </w:rPr>
        <w:t xml:space="preserve">Legal lesson learned:  Important case involving obligation of a </w:t>
      </w:r>
      <w:proofErr w:type="gramStart"/>
      <w:r w:rsidRPr="00562D96">
        <w:rPr>
          <w:b/>
        </w:rPr>
        <w:t>City</w:t>
      </w:r>
      <w:proofErr w:type="gramEnd"/>
      <w:r w:rsidRPr="00562D96">
        <w:rPr>
          <w:b/>
        </w:rPr>
        <w:t xml:space="preserve"> to design and structure its IT systems to limit the possible harm from a breach, </w:t>
      </w:r>
      <w:r>
        <w:rPr>
          <w:b/>
        </w:rPr>
        <w:t>“</w:t>
      </w:r>
      <w:r w:rsidRPr="00562D96">
        <w:rPr>
          <w:b/>
        </w:rPr>
        <w:t>including but not limited to compartmentalizing City systems so that a breach of one system will not implicate all City systems.”</w:t>
      </w:r>
    </w:p>
    <w:p w14:paraId="495C8C70" w14:textId="77777777" w:rsidR="0039287E" w:rsidRDefault="0039287E" w:rsidP="0039287E">
      <w:pPr>
        <w:pStyle w:val="NoSpacing"/>
        <w:rPr>
          <w:rFonts w:ascii="Arial Black" w:hAnsi="Arial Black"/>
          <w:sz w:val="28"/>
          <w:szCs w:val="28"/>
        </w:rPr>
      </w:pPr>
    </w:p>
    <w:p w14:paraId="7E8480B2" w14:textId="77777777" w:rsidR="0039287E" w:rsidRDefault="0039287E" w:rsidP="0039287E">
      <w:pPr>
        <w:pStyle w:val="NoSpacing"/>
      </w:pPr>
    </w:p>
    <w:p w14:paraId="785F1EFE" w14:textId="4FA9A5FD"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7</w:t>
      </w:r>
    </w:p>
    <w:p w14:paraId="04F88EC7" w14:textId="77777777" w:rsidR="0039287E" w:rsidRDefault="0039287E" w:rsidP="0039287E">
      <w:pPr>
        <w:pStyle w:val="NoSpacing"/>
        <w:rPr>
          <w:rFonts w:ascii="Arial Black" w:hAnsi="Arial Black"/>
          <w:sz w:val="28"/>
          <w:szCs w:val="28"/>
        </w:rPr>
      </w:pPr>
    </w:p>
    <w:p w14:paraId="4E8A21FD" w14:textId="77777777" w:rsidR="0039287E" w:rsidRDefault="0039287E" w:rsidP="0039287E">
      <w:pPr>
        <w:pStyle w:val="NoSpacing"/>
        <w:rPr>
          <w:rFonts w:ascii="Arial Black" w:hAnsi="Arial Black"/>
          <w:sz w:val="28"/>
          <w:szCs w:val="28"/>
        </w:rPr>
      </w:pPr>
      <w:r>
        <w:rPr>
          <w:rFonts w:ascii="Arial Black" w:hAnsi="Arial Black"/>
          <w:sz w:val="28"/>
          <w:szCs w:val="28"/>
        </w:rPr>
        <w:t xml:space="preserve">IN: STUCK ELEV 6 HRS – BAD ESCAPE HATCH – SUE HOTEL </w:t>
      </w:r>
    </w:p>
    <w:p w14:paraId="2446BB82" w14:textId="77777777" w:rsidR="0039287E" w:rsidRDefault="0039287E" w:rsidP="0039287E">
      <w:pPr>
        <w:pStyle w:val="NoSpacing"/>
      </w:pPr>
    </w:p>
    <w:p w14:paraId="48942079" w14:textId="77777777" w:rsidR="0039287E" w:rsidRPr="002F0823" w:rsidRDefault="0039287E" w:rsidP="0039287E">
      <w:pPr>
        <w:pStyle w:val="NoSpacing"/>
      </w:pPr>
      <w:r>
        <w:t xml:space="preserve">On September 23, 2026, in </w:t>
      </w:r>
      <w:r w:rsidRPr="008276EB">
        <w:rPr>
          <w:u w:val="single"/>
        </w:rPr>
        <w:t>Hristos Daskalakis and Kalliope Daskalakis v. CP Indy DT, d/b/a Hyatt Regency Indianapolis, et al</w:t>
      </w:r>
      <w:r>
        <w:t xml:space="preserve">., U.S. District Court Judge James Patrict Halon, United States District Court for the Southern District of Indiana, Indianapolis Division, held that husband and wife customers, stuck in elevator for six hours, and then lifted 30 feet on ropes, may sue the Hotel (their maintenance guy knew the escape hatch had been secured) and the elevator maintenance company, </w:t>
      </w:r>
      <w:r w:rsidRPr="00D24F0E">
        <w:t>TK Elevator Corporation</w:t>
      </w:r>
      <w:r>
        <w:t xml:space="preserve"> (for not checking “</w:t>
      </w:r>
      <w:r w:rsidRPr="008F784D">
        <w:t>auxiliary contacts</w:t>
      </w:r>
      <w:r>
        <w:t>”). Under Indiana law, they did not need to suffer physical injury to sue for emotional damages.  “</w:t>
      </w:r>
      <w:r w:rsidRPr="00533C68">
        <w:t>Here, a reasonable jury could find that CP Indy knew or should have known that the interior exit panel was secured closed instead of functional</w:t>
      </w:r>
      <w:r>
        <w:t xml:space="preserve">.” </w:t>
      </w:r>
      <w:hyperlink r:id="rId26" w:history="1">
        <w:r w:rsidRPr="00FD1476">
          <w:rPr>
            <w:rStyle w:val="Hyperlink"/>
          </w:rPr>
          <w:t>https://cases.justia.com/federal/district-courts/indiana/insdce/1:2024cv00271/212780/191/0.pdf</w:t>
        </w:r>
      </w:hyperlink>
      <w:r>
        <w:t xml:space="preserve"> </w:t>
      </w:r>
    </w:p>
    <w:p w14:paraId="75AEAF46" w14:textId="77777777" w:rsidR="0039287E" w:rsidRDefault="0039287E" w:rsidP="0039287E">
      <w:pPr>
        <w:pStyle w:val="NoSpacing"/>
      </w:pPr>
    </w:p>
    <w:p w14:paraId="49871128" w14:textId="77777777" w:rsidR="0039287E" w:rsidRDefault="0039287E" w:rsidP="0039287E">
      <w:pPr>
        <w:pStyle w:val="NoSpacing"/>
      </w:pPr>
      <w:r>
        <w:t>THE COURT WROTE:</w:t>
      </w:r>
    </w:p>
    <w:p w14:paraId="5DAA07C4" w14:textId="77777777" w:rsidR="0039287E" w:rsidRDefault="0039287E" w:rsidP="0039287E">
      <w:pPr>
        <w:pStyle w:val="NoSpacing"/>
      </w:pPr>
    </w:p>
    <w:p w14:paraId="5EF8DB0B" w14:textId="77777777" w:rsidR="0039287E" w:rsidRDefault="0039287E" w:rsidP="0039287E">
      <w:pPr>
        <w:pStyle w:val="NoSpacing"/>
        <w:ind w:left="720"/>
      </w:pPr>
      <w:r>
        <w:t>“</w:t>
      </w:r>
      <w:r w:rsidRPr="00773B36">
        <w:t>In early September 2023, Hristos and Kalliope Daskalakis went to the Hyatt Regency Hotel in Indianapolis to eat dinner at the top-floor restaurant</w:t>
      </w:r>
      <w:r>
        <w:t>….Ab</w:t>
      </w:r>
      <w:r w:rsidRPr="00773B36">
        <w:t>out 10:30 p.m., they entered an elevator to return to the lobby</w:t>
      </w:r>
      <w:r>
        <w:t>….</w:t>
      </w:r>
      <w:r w:rsidRPr="00773B36">
        <w:t xml:space="preserve">The elevator began to descend slowly but soon came to an </w:t>
      </w:r>
      <w:r>
        <w:t>‘</w:t>
      </w:r>
      <w:r w:rsidRPr="00773B36">
        <w:t>abrupt stop</w:t>
      </w:r>
      <w:r>
        <w:t>’</w:t>
      </w:r>
      <w:r w:rsidRPr="00773B36">
        <w:t xml:space="preserve"> with a </w:t>
      </w:r>
      <w:r>
        <w:t>‘</w:t>
      </w:r>
      <w:r w:rsidRPr="00773B36">
        <w:t>hard jolt.</w:t>
      </w:r>
      <w:r>
        <w:t xml:space="preserve">’ … </w:t>
      </w:r>
      <w:r w:rsidRPr="00773B36">
        <w:t>A restaurant hostess made a phone call for help</w:t>
      </w:r>
      <w:r>
        <w:t xml:space="preserve"> … </w:t>
      </w:r>
      <w:r w:rsidRPr="00773B36">
        <w:t>and someone from the hotel reset the elevator</w:t>
      </w:r>
      <w:r>
        <w:t>….</w:t>
      </w:r>
      <w:r w:rsidRPr="00773B36">
        <w:t xml:space="preserve">The elevator then descended again before coming to an </w:t>
      </w:r>
      <w:r>
        <w:t>‘</w:t>
      </w:r>
      <w:r w:rsidRPr="00773B36">
        <w:t>abrupt stop</w:t>
      </w:r>
      <w:r>
        <w:t>’</w:t>
      </w:r>
      <w:r w:rsidRPr="00773B36">
        <w:t xml:space="preserve"> that jolted the </w:t>
      </w:r>
      <w:proofErr w:type="spellStart"/>
      <w:r w:rsidRPr="00773B36">
        <w:t>Daskalakises</w:t>
      </w:r>
      <w:proofErr w:type="spellEnd"/>
      <w:r w:rsidRPr="00773B36">
        <w:t xml:space="preserve">-like </w:t>
      </w:r>
      <w:r>
        <w:t>‘</w:t>
      </w:r>
      <w:r w:rsidRPr="00773B36">
        <w:t>hitting the brakes on a car</w:t>
      </w:r>
      <w:r>
        <w:t>’</w:t>
      </w:r>
      <w:r w:rsidRPr="00773B36">
        <w:t xml:space="preserve">- and made the elevator sway </w:t>
      </w:r>
      <w:r>
        <w:t>‘</w:t>
      </w:r>
      <w:r w:rsidRPr="00773B36">
        <w:t>like a swing.</w:t>
      </w:r>
      <w:r>
        <w:t>’ …. T</w:t>
      </w:r>
      <w:r w:rsidRPr="00773B36">
        <w:t xml:space="preserve">he </w:t>
      </w:r>
      <w:proofErr w:type="spellStart"/>
      <w:r w:rsidRPr="00773B36">
        <w:t>Daskalakises</w:t>
      </w:r>
      <w:proofErr w:type="spellEnd"/>
      <w:r w:rsidRPr="00773B36">
        <w:t xml:space="preserve"> called 911</w:t>
      </w:r>
      <w:r>
        <w:t>….</w:t>
      </w:r>
    </w:p>
    <w:p w14:paraId="0BF823F8" w14:textId="77777777" w:rsidR="0039287E" w:rsidRPr="00773B36" w:rsidRDefault="0039287E" w:rsidP="0039287E">
      <w:pPr>
        <w:pStyle w:val="NoSpacing"/>
        <w:ind w:left="720"/>
      </w:pPr>
    </w:p>
    <w:p w14:paraId="498894F2" w14:textId="77777777" w:rsidR="0039287E" w:rsidRDefault="0039287E" w:rsidP="0039287E">
      <w:pPr>
        <w:pStyle w:val="NoSpacing"/>
        <w:ind w:left="720" w:firstLine="60"/>
      </w:pPr>
      <w:r w:rsidRPr="00773B36">
        <w:t>The Indianapolis Metropolitan Fire Department (</w:t>
      </w:r>
      <w:r>
        <w:t>‘</w:t>
      </w:r>
      <w:r w:rsidRPr="00773B36">
        <w:t>IFD</w:t>
      </w:r>
      <w:r>
        <w:t>’</w:t>
      </w:r>
      <w:r w:rsidRPr="00773B36">
        <w:t xml:space="preserve">) arrived at the </w:t>
      </w:r>
      <w:proofErr w:type="gramStart"/>
      <w:r w:rsidRPr="00773B36">
        <w:t>hotel</w:t>
      </w:r>
      <w:proofErr w:type="gramEnd"/>
      <w:r w:rsidRPr="00773B36">
        <w:t xml:space="preserve"> about 11 </w:t>
      </w:r>
      <w:proofErr w:type="spellStart"/>
      <w:r w:rsidRPr="00773B36">
        <w:t>p.m</w:t>
      </w:r>
      <w:proofErr w:type="spellEnd"/>
      <w:r>
        <w:t>….</w:t>
      </w:r>
      <w:r w:rsidRPr="00773B36">
        <w:t xml:space="preserve"> TKE's on-call mechanic, Danny Watters, arrived at the hotel about midnight</w:t>
      </w:r>
      <w:r>
        <w:t xml:space="preserve">…. </w:t>
      </w:r>
      <w:r w:rsidRPr="00773B36">
        <w:t>Mr. Watters was not the usual TKE mechanic for the Hyatt and had been there only once before</w:t>
      </w:r>
      <w:r>
        <w:t>….</w:t>
      </w:r>
      <w:r w:rsidRPr="00773B36">
        <w:t>He tried to reset the elevator, but it displayed a fault code that had to be fixed before the elevator would run</w:t>
      </w:r>
      <w:r>
        <w:t>….</w:t>
      </w:r>
      <w:r w:rsidRPr="00773B36">
        <w:t>Mr. Watters needed the elevator's wiring diagrams to address the fault code, but he could not find them</w:t>
      </w:r>
      <w:r>
        <w:t xml:space="preserve">…. </w:t>
      </w:r>
    </w:p>
    <w:p w14:paraId="17C6D611" w14:textId="77777777" w:rsidR="0039287E" w:rsidRDefault="0039287E" w:rsidP="0039287E">
      <w:pPr>
        <w:pStyle w:val="NoSpacing"/>
        <w:ind w:left="720" w:firstLine="60"/>
      </w:pPr>
    </w:p>
    <w:p w14:paraId="420F0EF6" w14:textId="77777777" w:rsidR="0039287E" w:rsidRPr="00773B36" w:rsidRDefault="0039287E" w:rsidP="0039287E">
      <w:pPr>
        <w:pStyle w:val="NoSpacing"/>
        <w:ind w:left="720" w:firstLine="60"/>
      </w:pPr>
      <w:r w:rsidRPr="00773B36">
        <w:t>After Mr. Watters told IFD that he couldn't find the diagrams he needed, the firefighters began an emergency evacuation from above the elevator</w:t>
      </w:r>
      <w:r>
        <w:t xml:space="preserve">…. </w:t>
      </w:r>
      <w:r w:rsidRPr="00773B36">
        <w:t xml:space="preserve"> A firefighter went down the elevator shaft to the top of the elevator car to open the top emergency exit</w:t>
      </w:r>
      <w:r>
        <w:t>….</w:t>
      </w:r>
      <w:r w:rsidRPr="00773B36">
        <w:t>After opening the external cover, the fireman could not open the interior exit panel</w:t>
      </w:r>
      <w:r>
        <w:t>….</w:t>
      </w:r>
      <w:r w:rsidRPr="00773B36">
        <w:t>Eventually, the firefighters used a Sawzall and grinder to cut through parts of the interior panel until it released</w:t>
      </w:r>
      <w:r>
        <w:t>….</w:t>
      </w:r>
      <w:r w:rsidRPr="00773B36">
        <w:t xml:space="preserve"> Around 5 a.m., firefighters hoisted the </w:t>
      </w:r>
      <w:proofErr w:type="spellStart"/>
      <w:r w:rsidRPr="00773B36">
        <w:t>Daskalakises</w:t>
      </w:r>
      <w:proofErr w:type="spellEnd"/>
      <w:r w:rsidRPr="00773B36">
        <w:t xml:space="preserve"> out of the elevator with harnesses and ropes back to the top floor</w:t>
      </w:r>
      <w:r>
        <w:t>….</w:t>
      </w:r>
      <w:r w:rsidRPr="00773B36">
        <w:t xml:space="preserve">They were trapped for about six hours in the elevator. </w:t>
      </w:r>
    </w:p>
    <w:p w14:paraId="56BDC377" w14:textId="77777777" w:rsidR="0039287E" w:rsidRDefault="0039287E" w:rsidP="0039287E">
      <w:pPr>
        <w:pStyle w:val="NoSpacing"/>
      </w:pPr>
    </w:p>
    <w:p w14:paraId="49008CBD" w14:textId="77777777" w:rsidR="0039287E" w:rsidRDefault="0039287E" w:rsidP="0039287E">
      <w:pPr>
        <w:pStyle w:val="NoSpacing"/>
      </w:pPr>
      <w:r>
        <w:tab/>
        <w:t>***</w:t>
      </w:r>
    </w:p>
    <w:p w14:paraId="352406B4" w14:textId="77777777" w:rsidR="0039287E" w:rsidRDefault="0039287E" w:rsidP="0039287E">
      <w:pPr>
        <w:pStyle w:val="NoSpacing"/>
      </w:pPr>
    </w:p>
    <w:p w14:paraId="4221EB47" w14:textId="77777777" w:rsidR="0039287E" w:rsidRDefault="0039287E" w:rsidP="0039287E">
      <w:pPr>
        <w:pStyle w:val="NoSpacing"/>
        <w:ind w:left="720"/>
      </w:pPr>
      <w:r w:rsidRPr="00533C68">
        <w:t>Here, a reasonable jury could find that CP Indy knew or should have known that the interior exit panel was secured closed instead of functional</w:t>
      </w:r>
      <w:r>
        <w:t>….</w:t>
      </w:r>
      <w:r w:rsidRPr="00533C68">
        <w:t>CP Indy's building engineer, Mr. Van Rhoon, testified that he knew and told the firefighters that some kind of clips or pins secured the panel</w:t>
      </w:r>
      <w:r>
        <w:t>….</w:t>
      </w:r>
      <w:r w:rsidRPr="00533C68">
        <w:t xml:space="preserve"> And the fire chief testified that Mr. Van </w:t>
      </w:r>
      <w:proofErr w:type="spellStart"/>
      <w:r w:rsidRPr="00533C68">
        <w:t>Rhoon</w:t>
      </w:r>
      <w:proofErr w:type="spellEnd"/>
      <w:r w:rsidRPr="00533C68">
        <w:t xml:space="preserve"> told him that </w:t>
      </w:r>
      <w:r>
        <w:t>‘</w:t>
      </w:r>
      <w:r w:rsidRPr="00533C68">
        <w:t>they had secured</w:t>
      </w:r>
      <w:r>
        <w:t>’</w:t>
      </w:r>
      <w:r w:rsidRPr="00533C68">
        <w:t xml:space="preserve"> the escape hatch previously and that </w:t>
      </w:r>
      <w:r>
        <w:t>‘</w:t>
      </w:r>
      <w:r w:rsidRPr="00533C68">
        <w:t>it may</w:t>
      </w:r>
      <w:r>
        <w:t>’</w:t>
      </w:r>
      <w:r w:rsidRPr="00533C68">
        <w:t xml:space="preserve"> impede the firefighters' ability to get it open</w:t>
      </w:r>
      <w:r>
        <w:t>….’</w:t>
      </w:r>
      <w:r w:rsidRPr="00533C68">
        <w:t>[Mr. Van Rhoon's information] was specific enough to lead me to believe that I was going to have to start cutting into an elevator.</w:t>
      </w:r>
      <w:r>
        <w:t>’</w:t>
      </w:r>
      <w:r w:rsidRPr="00533C68">
        <w:t>).</w:t>
      </w:r>
      <w:r>
        <w:t>”</w:t>
      </w:r>
    </w:p>
    <w:p w14:paraId="2A4BCC00" w14:textId="77777777" w:rsidR="0039287E" w:rsidRDefault="0039287E" w:rsidP="0039287E">
      <w:pPr>
        <w:pStyle w:val="NoSpacing"/>
        <w:ind w:left="720"/>
      </w:pPr>
    </w:p>
    <w:p w14:paraId="38DDE13C" w14:textId="77777777" w:rsidR="0039287E" w:rsidRPr="00154D5F" w:rsidRDefault="0039287E" w:rsidP="0039287E">
      <w:pPr>
        <w:rPr>
          <w:b/>
          <w:bCs/>
        </w:rPr>
      </w:pPr>
      <w:r>
        <w:rPr>
          <w:b/>
        </w:rPr>
        <w:t xml:space="preserve">Legal lesson learned: During inspections of elevators, confirm the escape hatch can be opened. </w:t>
      </w:r>
    </w:p>
    <w:p w14:paraId="35481CE3" w14:textId="77777777" w:rsidR="00BF4B12" w:rsidRDefault="00BF4B12" w:rsidP="0039287E">
      <w:pPr>
        <w:pStyle w:val="NoSpacing"/>
        <w:rPr>
          <w:rFonts w:ascii="Arial Black" w:hAnsi="Arial Black"/>
          <w:sz w:val="28"/>
          <w:szCs w:val="28"/>
        </w:rPr>
      </w:pPr>
    </w:p>
    <w:p w14:paraId="234A5DF3" w14:textId="7A915A74"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6</w:t>
      </w:r>
    </w:p>
    <w:p w14:paraId="035F8DC1" w14:textId="35F21632" w:rsidR="0039287E" w:rsidRDefault="0039287E" w:rsidP="0039287E">
      <w:pPr>
        <w:pStyle w:val="NoSpacing"/>
      </w:pPr>
      <w:r w:rsidRPr="007C6166">
        <w:t xml:space="preserve"> </w:t>
      </w:r>
    </w:p>
    <w:p w14:paraId="03CDD90B" w14:textId="77777777" w:rsidR="0039287E" w:rsidRDefault="0039287E" w:rsidP="0039287E">
      <w:pPr>
        <w:pStyle w:val="NoSpacing"/>
      </w:pPr>
    </w:p>
    <w:p w14:paraId="0B0C29C1" w14:textId="77777777" w:rsidR="0039287E" w:rsidRPr="007C3573" w:rsidRDefault="0039287E" w:rsidP="0039287E">
      <w:pPr>
        <w:rPr>
          <w:rFonts w:ascii="Arial Black" w:hAnsi="Arial Black"/>
          <w:sz w:val="28"/>
          <w:szCs w:val="28"/>
        </w:rPr>
      </w:pPr>
      <w:r>
        <w:rPr>
          <w:rFonts w:ascii="Arial Black" w:hAnsi="Arial Black"/>
          <w:sz w:val="28"/>
          <w:szCs w:val="28"/>
        </w:rPr>
        <w:t xml:space="preserve">IL: ARSON-FOR-INSURANCE – 15 YRS PRISON - NO RELEASE </w:t>
      </w:r>
    </w:p>
    <w:p w14:paraId="6CAA91C6" w14:textId="77777777" w:rsidR="0039287E" w:rsidRDefault="0039287E" w:rsidP="0039287E">
      <w:r>
        <w:t xml:space="preserve">On September 16, 2026, in </w:t>
      </w:r>
      <w:r w:rsidRPr="002B5879">
        <w:rPr>
          <w:u w:val="single"/>
        </w:rPr>
        <w:t xml:space="preserve">Unites States of America v. Evette Betty </w:t>
      </w:r>
      <w:proofErr w:type="spellStart"/>
      <w:r w:rsidRPr="002B5879">
        <w:rPr>
          <w:u w:val="single"/>
        </w:rPr>
        <w:t>Osuegbu</w:t>
      </w:r>
      <w:proofErr w:type="spellEnd"/>
      <w:r>
        <w:t xml:space="preserve">, U.S. District Court Judge </w:t>
      </w:r>
      <w:r w:rsidRPr="002E764A">
        <w:t xml:space="preserve">Nancy J. </w:t>
      </w:r>
      <w:proofErr w:type="spellStart"/>
      <w:r w:rsidRPr="002E764A">
        <w:t>Rosenstengel</w:t>
      </w:r>
      <w:proofErr w:type="spellEnd"/>
      <w:r>
        <w:rPr>
          <w:b/>
        </w:rPr>
        <w:t xml:space="preserve">, </w:t>
      </w:r>
      <w:r w:rsidRPr="002F199F">
        <w:t xml:space="preserve">United States District Court for the Southern District of Illinois, </w:t>
      </w:r>
      <w:r>
        <w:t xml:space="preserve">denied the prisoner’s motion for “Compassionate Release” – she is serving 15 years for a string of arsons </w:t>
      </w:r>
      <w:r w:rsidRPr="00BA15EE">
        <w:t>string of arsons and insurance fraud stretching from 2014 to 2023.</w:t>
      </w:r>
      <w:r>
        <w:t xml:space="preserve"> “</w:t>
      </w:r>
      <w:r w:rsidRPr="005C0B64">
        <w:t xml:space="preserve">For the better part of a decade, </w:t>
      </w:r>
      <w:proofErr w:type="spellStart"/>
      <w:r w:rsidRPr="005C0B64">
        <w:t>Osuegbu</w:t>
      </w:r>
      <w:proofErr w:type="spellEnd"/>
      <w:r w:rsidRPr="005C0B64">
        <w:t xml:space="preserve"> planned and participated in arson-for-insurance schemes</w:t>
      </w:r>
      <w:r>
        <w:t xml:space="preserve">…. </w:t>
      </w:r>
      <w:r w:rsidRPr="005C0B64">
        <w:t xml:space="preserve">She enlisted family to physically start the fires; manipulated a man experiencing homelessness to </w:t>
      </w:r>
      <w:r>
        <w:t>‘</w:t>
      </w:r>
      <w:r w:rsidRPr="005C0B64">
        <w:t>purchase</w:t>
      </w:r>
      <w:r>
        <w:t>’</w:t>
      </w:r>
      <w:r w:rsidRPr="005C0B64">
        <w:t xml:space="preserve"> a home and pursue another insurance lawsuit; showed disregard for human life</w:t>
      </w:r>
      <w:r>
        <w:t xml:space="preserve"> </w:t>
      </w:r>
      <w:r w:rsidRPr="005C0B64">
        <w:t>endangered by her fires; threatened individuals who did not follow her orders; and was recorded planning additional fires while discussing methods to evade surveillance.</w:t>
      </w:r>
      <w:r>
        <w:t>”</w:t>
      </w:r>
      <w:r w:rsidRPr="001F452D">
        <w:t xml:space="preserve"> </w:t>
      </w:r>
      <w:hyperlink r:id="rId27" w:history="1">
        <w:r w:rsidRPr="00DB1A37">
          <w:rPr>
            <w:rStyle w:val="Hyperlink"/>
          </w:rPr>
          <w:t>https://www.casemine.com/judgement/us/6aad6464f0ddefeec2e11a1c</w:t>
        </w:r>
      </w:hyperlink>
      <w:r>
        <w:t xml:space="preserve"> </w:t>
      </w:r>
    </w:p>
    <w:p w14:paraId="66A74FC4" w14:textId="77777777" w:rsidR="0039287E" w:rsidRPr="002F199F" w:rsidRDefault="0039287E" w:rsidP="0039287E">
      <w:pPr>
        <w:rPr>
          <w:bCs/>
        </w:rPr>
      </w:pPr>
      <w:r>
        <w:t xml:space="preserve">THE COURT WROTE: </w:t>
      </w:r>
    </w:p>
    <w:p w14:paraId="3BABEF57" w14:textId="77777777" w:rsidR="0039287E" w:rsidRDefault="0039287E" w:rsidP="0039287E">
      <w:pPr>
        <w:ind w:left="720"/>
      </w:pPr>
      <w:r>
        <w:t>“</w:t>
      </w:r>
      <w:r w:rsidRPr="005C0B64">
        <w:t xml:space="preserve">After a six-day jury trial in December 2024, </w:t>
      </w:r>
      <w:proofErr w:type="spellStart"/>
      <w:r w:rsidRPr="005C0B64">
        <w:t>Osuegbu</w:t>
      </w:r>
      <w:proofErr w:type="spellEnd"/>
      <w:r w:rsidRPr="005C0B64">
        <w:t xml:space="preserve"> was convicted of Conspiracy to Commit Mail and Wire Fraud in violation of 18 U.S.C. § 1349, two counts of Mail Fraud in violation of 18 U.S.C. § 1341, ten counts of Wire Fraud in violation of 18 U.S.C. § 1343, Conspiracy to Commit Arson in violation of 18 U.S.C. § 844(n), and Use of Fire to Commit a Federal Felony in violation of 18 U.S.C. § 844(h)(1). (Doc. 219). </w:t>
      </w:r>
    </w:p>
    <w:p w14:paraId="4E09ADFA" w14:textId="77777777" w:rsidR="0039287E" w:rsidRDefault="0039287E" w:rsidP="0039287E">
      <w:pPr>
        <w:ind w:left="720"/>
        <w:rPr>
          <w:vertAlign w:val="superscript"/>
        </w:rPr>
      </w:pPr>
      <w:r w:rsidRPr="005C0B64">
        <w:t>At trial, the United States presented evidence related to three fires and a scheme to set a fourth</w:t>
      </w:r>
      <w:r>
        <w:t xml:space="preserve">…. </w:t>
      </w:r>
      <w:r w:rsidRPr="005C0B64">
        <w:t xml:space="preserve">For the better part of a decade, </w:t>
      </w:r>
      <w:proofErr w:type="spellStart"/>
      <w:r w:rsidRPr="005C0B64">
        <w:t>Osuegbu</w:t>
      </w:r>
      <w:proofErr w:type="spellEnd"/>
      <w:r w:rsidRPr="005C0B64">
        <w:t xml:space="preserve"> planned and participated in arson-for-insurance schemes</w:t>
      </w:r>
      <w:r>
        <w:t xml:space="preserve">…. </w:t>
      </w:r>
      <w:r w:rsidRPr="005C0B64">
        <w:t xml:space="preserve">She enlisted family to physically start the fires; manipulated a man experiencing homelessness to </w:t>
      </w:r>
      <w:r>
        <w:t>‘</w:t>
      </w:r>
      <w:r w:rsidRPr="005C0B64">
        <w:t>purchase</w:t>
      </w:r>
      <w:r>
        <w:t>’</w:t>
      </w:r>
      <w:r w:rsidRPr="005C0B64">
        <w:t xml:space="preserve"> a home and pursue another insurance lawsuit; showed disregard for human life</w:t>
      </w:r>
      <w:r>
        <w:t xml:space="preserve"> </w:t>
      </w:r>
      <w:r w:rsidRPr="005C0B64">
        <w:t>endangered by her fires; threatened individuals who did not follow her orders; and was recorded planning additional fires while discussing methods to evade surveillance</w:t>
      </w:r>
      <w:r>
        <w:t xml:space="preserve">…. </w:t>
      </w:r>
      <w:proofErr w:type="spellStart"/>
      <w:r w:rsidRPr="005C0B64">
        <w:t>Osuegbu</w:t>
      </w:r>
      <w:proofErr w:type="spellEnd"/>
      <w:r w:rsidRPr="005C0B64">
        <w:t xml:space="preserve"> was sentenced to a term of imprisonment of 180 months with a three-year term of supervised release to follow</w:t>
      </w:r>
      <w:r>
        <w:t xml:space="preserve">…. </w:t>
      </w:r>
      <w:r w:rsidRPr="005C0B64">
        <w:t xml:space="preserve"> At her sentencing, the Court took note that Ms. </w:t>
      </w:r>
      <w:proofErr w:type="spellStart"/>
      <w:r w:rsidRPr="005C0B64">
        <w:t>Osuegbu</w:t>
      </w:r>
      <w:proofErr w:type="spellEnd"/>
      <w:r w:rsidRPr="005C0B64">
        <w:t xml:space="preserve"> showed disrespect for human life—from firefighters' lives, her neighbors', </w:t>
      </w:r>
      <w:proofErr w:type="gramStart"/>
      <w:r w:rsidRPr="005C0B64">
        <w:t>children's</w:t>
      </w:r>
      <w:proofErr w:type="gramEnd"/>
      <w:r w:rsidRPr="005C0B64">
        <w:t>, and even entire neighborhoods</w:t>
      </w:r>
      <w:r>
        <w:t xml:space="preserve">…. </w:t>
      </w:r>
      <w:r w:rsidRPr="005C0B64">
        <w:t xml:space="preserve"> Apart from </w:t>
      </w:r>
      <w:proofErr w:type="spellStart"/>
      <w:r w:rsidRPr="005C0B64">
        <w:t>Osuegbu's</w:t>
      </w:r>
      <w:proofErr w:type="spellEnd"/>
      <w:r w:rsidRPr="005C0B64">
        <w:t xml:space="preserve"> Motion for Acquittal and Motion for a New Trial following her trial, she also filed a direct appeal which is currently pending in the Court of Appeals for the Seventh Circuit (</w:t>
      </w:r>
      <w:r w:rsidRPr="005C0B64">
        <w:rPr>
          <w:i/>
          <w:iCs/>
        </w:rPr>
        <w:t xml:space="preserve">United States v. </w:t>
      </w:r>
      <w:proofErr w:type="spellStart"/>
      <w:r w:rsidRPr="005C0B64">
        <w:rPr>
          <w:i/>
          <w:iCs/>
        </w:rPr>
        <w:t>Osuegbu</w:t>
      </w:r>
      <w:proofErr w:type="spellEnd"/>
      <w:r w:rsidRPr="005C0B64">
        <w:t xml:space="preserve">, No. 25-2106 (7th Cir.)). </w:t>
      </w:r>
      <w:r w:rsidRPr="005C0B64">
        <w:rPr>
          <w:i/>
          <w:iCs/>
        </w:rPr>
        <w:t xml:space="preserve">See </w:t>
      </w:r>
      <w:r w:rsidRPr="005C0B64">
        <w:t>Doc. 219 and Doc. 250 at p. 3).</w:t>
      </w:r>
      <w:r>
        <w:rPr>
          <w:vertAlign w:val="superscript"/>
        </w:rPr>
        <w:t>”</w:t>
      </w:r>
    </w:p>
    <w:p w14:paraId="646433B3" w14:textId="77777777" w:rsidR="0039287E" w:rsidRPr="005C0B64" w:rsidRDefault="0039287E" w:rsidP="0039287E">
      <w:r>
        <w:rPr>
          <w:b/>
        </w:rPr>
        <w:t xml:space="preserve">Legal lesson learned: Arson-for-insurance prisoner must serve her entire sentence. </w:t>
      </w:r>
    </w:p>
    <w:p w14:paraId="732038BC" w14:textId="77777777" w:rsidR="0039287E" w:rsidRDefault="0039287E" w:rsidP="0039287E">
      <w:pPr>
        <w:ind w:left="720"/>
      </w:pPr>
      <w:r w:rsidRPr="004F4CEB">
        <w:t xml:space="preserve">Note: See July 2, </w:t>
      </w:r>
      <w:proofErr w:type="gramStart"/>
      <w:r w:rsidRPr="004F4CEB">
        <w:t>2025</w:t>
      </w:r>
      <w:proofErr w:type="gramEnd"/>
      <w:r w:rsidRPr="004F4CEB">
        <w:t xml:space="preserve"> Press Release by U.S. Department of Justice after her sentencing. </w:t>
      </w:r>
      <w:r>
        <w:t>“</w:t>
      </w:r>
      <w:r w:rsidRPr="004F4CEB">
        <w:t>Leader of insurance fraud and arson scheme sentenced to 15 years</w:t>
      </w:r>
      <w:r>
        <w:t xml:space="preserve">.”  </w:t>
      </w:r>
      <w:hyperlink r:id="rId28" w:history="1">
        <w:r w:rsidRPr="00DB1A37">
          <w:rPr>
            <w:rStyle w:val="Hyperlink"/>
          </w:rPr>
          <w:t>https://www.justice.gov/usao-sdil/pr/leader-insurance-fraud-and-arson-scheme-sentenced-15-years</w:t>
        </w:r>
      </w:hyperlink>
      <w:r>
        <w:t xml:space="preserve"> </w:t>
      </w:r>
    </w:p>
    <w:p w14:paraId="362D74EA" w14:textId="77777777" w:rsidR="0039287E" w:rsidRDefault="0039287E" w:rsidP="0039287E">
      <w:pPr>
        <w:ind w:left="720"/>
      </w:pPr>
      <w:r>
        <w:t>“</w:t>
      </w:r>
      <w:r w:rsidRPr="00BA15EE">
        <w:t xml:space="preserve">A district judge sentenced Evette “Betty” </w:t>
      </w:r>
      <w:proofErr w:type="spellStart"/>
      <w:r w:rsidRPr="00BA15EE">
        <w:t>Osuegbu</w:t>
      </w:r>
      <w:proofErr w:type="spellEnd"/>
      <w:r w:rsidRPr="00BA15EE">
        <w:t>, 62, of Granite City, to 15 years in federal prison for her role in a string of arsons and insurance fraud stretching from 2014 to 2023.</w:t>
      </w:r>
      <w:r>
        <w:t>”</w:t>
      </w:r>
    </w:p>
    <w:p w14:paraId="08EB0F26" w14:textId="77777777" w:rsidR="0039287E" w:rsidRDefault="0039287E" w:rsidP="0039287E">
      <w:pPr>
        <w:pStyle w:val="NoSpacing"/>
        <w:ind w:left="720"/>
      </w:pPr>
    </w:p>
    <w:p w14:paraId="1C6A4EA7" w14:textId="77777777" w:rsidR="0039287E" w:rsidRDefault="0039287E" w:rsidP="0039287E">
      <w:pPr>
        <w:pStyle w:val="NoSpacing"/>
      </w:pPr>
    </w:p>
    <w:p w14:paraId="21406260" w14:textId="28112FBA"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5</w:t>
      </w:r>
    </w:p>
    <w:p w14:paraId="15E7CC0F" w14:textId="77777777" w:rsidR="0039287E" w:rsidRDefault="0039287E" w:rsidP="0039287E">
      <w:pPr>
        <w:pStyle w:val="NoSpacing"/>
        <w:ind w:firstLine="720"/>
      </w:pPr>
    </w:p>
    <w:p w14:paraId="788C0FE5" w14:textId="77777777" w:rsidR="0039287E" w:rsidRDefault="0039287E" w:rsidP="0039287E">
      <w:pPr>
        <w:pStyle w:val="NoSpacing"/>
      </w:pPr>
    </w:p>
    <w:p w14:paraId="304ACA17" w14:textId="77777777" w:rsidR="0039287E" w:rsidRDefault="0039287E" w:rsidP="0039287E">
      <w:pPr>
        <w:pStyle w:val="NoSpacing"/>
        <w:rPr>
          <w:rFonts w:ascii="Arial Black" w:hAnsi="Arial Black"/>
          <w:bCs/>
          <w:sz w:val="28"/>
          <w:szCs w:val="28"/>
        </w:rPr>
      </w:pPr>
      <w:r>
        <w:rPr>
          <w:rFonts w:ascii="Arial Black" w:hAnsi="Arial Black"/>
          <w:sz w:val="28"/>
          <w:szCs w:val="28"/>
        </w:rPr>
        <w:t>PA: ARSON / MUR - CAN USE DRONE VIDEO – JUDGE REV</w:t>
      </w:r>
    </w:p>
    <w:p w14:paraId="40379E9C" w14:textId="77777777" w:rsidR="0039287E" w:rsidRDefault="0039287E" w:rsidP="0039287E">
      <w:pPr>
        <w:pStyle w:val="NoSpacing"/>
        <w:rPr>
          <w:rFonts w:ascii="Arial Black" w:hAnsi="Arial Black"/>
          <w:bCs/>
          <w:sz w:val="28"/>
          <w:szCs w:val="28"/>
        </w:rPr>
      </w:pPr>
    </w:p>
    <w:p w14:paraId="30CCA0BD" w14:textId="77777777" w:rsidR="0039287E" w:rsidRPr="002F67D8" w:rsidRDefault="0039287E" w:rsidP="0039287E">
      <w:pPr>
        <w:pStyle w:val="NoSpacing"/>
        <w:rPr>
          <w:bCs/>
        </w:rPr>
      </w:pPr>
      <w:r>
        <w:t xml:space="preserve">On September 15, 2026, in </w:t>
      </w:r>
      <w:r w:rsidRPr="000E568E">
        <w:rPr>
          <w:u w:val="single"/>
        </w:rPr>
        <w:t>Commonwealth of Pennsylvania v. Larry Burns</w:t>
      </w:r>
      <w:r>
        <w:t xml:space="preserve">, the </w:t>
      </w:r>
      <w:r w:rsidRPr="00360184">
        <w:t>Superior Court of Pennsylvania</w:t>
      </w:r>
      <w:r>
        <w:t xml:space="preserve"> held (3 to 0; non-precedential decision) that trial court must allow </w:t>
      </w:r>
      <w:proofErr w:type="gramStart"/>
      <w:r>
        <w:t>prosecutor</w:t>
      </w:r>
      <w:proofErr w:type="gramEnd"/>
      <w:r>
        <w:t xml:space="preserve"> to use drone video evidence of burned structure and deceased’s body. “</w:t>
      </w:r>
      <w:r w:rsidRPr="0089496A">
        <w:t>Unlike</w:t>
      </w:r>
      <w:r>
        <w:t xml:space="preserve"> </w:t>
      </w:r>
      <w:r w:rsidRPr="0089496A">
        <w:t>PE 1</w:t>
      </w:r>
      <w:r>
        <w:t>[</w:t>
      </w:r>
      <w:r w:rsidRPr="002F67D8">
        <w:t>wide-angle</w:t>
      </w:r>
    </w:p>
    <w:p w14:paraId="353F32E0" w14:textId="77777777" w:rsidR="0039287E" w:rsidRDefault="0039287E" w:rsidP="0039287E">
      <w:pPr>
        <w:pStyle w:val="NoSpacing"/>
        <w:rPr>
          <w:bCs/>
        </w:rPr>
      </w:pPr>
      <w:r w:rsidRPr="002F67D8">
        <w:t>Photograph</w:t>
      </w:r>
      <w:r>
        <w:t>]</w:t>
      </w:r>
      <w:r w:rsidRPr="0089496A">
        <w:t xml:space="preserve"> which only shows the top half of Shaw’s body, the video also reveals the</w:t>
      </w:r>
      <w:r>
        <w:t xml:space="preserve"> </w:t>
      </w:r>
      <w:r w:rsidRPr="0089496A">
        <w:t>burn patterns on his posterior and the extensive fire-related injuries to his</w:t>
      </w:r>
      <w:r>
        <w:t xml:space="preserve"> </w:t>
      </w:r>
      <w:r w:rsidRPr="0089496A">
        <w:t>right arm and leg. This is additional evidence relevant to the Commonwealth’s</w:t>
      </w:r>
      <w:r>
        <w:t xml:space="preserve"> </w:t>
      </w:r>
      <w:r w:rsidRPr="0089496A">
        <w:t xml:space="preserve">burden of proving abuse of </w:t>
      </w:r>
      <w:proofErr w:type="gramStart"/>
      <w:r w:rsidRPr="0089496A">
        <w:t>corpse</w:t>
      </w:r>
      <w:proofErr w:type="gramEnd"/>
      <w:r w:rsidRPr="0089496A">
        <w:t xml:space="preserve"> and tampering with evidence. Hence, no</w:t>
      </w:r>
      <w:r>
        <w:t xml:space="preserve"> </w:t>
      </w:r>
      <w:r w:rsidRPr="0089496A">
        <w:t>reasonable basis exists to characterize the video as cumulative.</w:t>
      </w:r>
      <w:r>
        <w:t xml:space="preserve">” </w:t>
      </w:r>
      <w:hyperlink r:id="rId29" w:history="1">
        <w:r w:rsidRPr="004B2BBE">
          <w:rPr>
            <w:rStyle w:val="Hyperlink"/>
            <w:b/>
          </w:rPr>
          <w:t>https://www.pacourts.us/assets/opinions/Superior/out/J-S07009-26m%20-%20106924754373959959.pdf?cb=1</w:t>
        </w:r>
      </w:hyperlink>
      <w:r>
        <w:t xml:space="preserve"> </w:t>
      </w:r>
    </w:p>
    <w:p w14:paraId="548F8866" w14:textId="77777777" w:rsidR="0039287E" w:rsidRDefault="0039287E" w:rsidP="0039287E">
      <w:pPr>
        <w:rPr>
          <w:b/>
          <w:bCs/>
        </w:rPr>
      </w:pPr>
    </w:p>
    <w:p w14:paraId="2170A6C5" w14:textId="77777777" w:rsidR="0039287E" w:rsidRPr="00360184" w:rsidRDefault="0039287E" w:rsidP="0039287E">
      <w:pPr>
        <w:pStyle w:val="NoSpacing"/>
        <w:rPr>
          <w:bCs/>
        </w:rPr>
      </w:pPr>
      <w:r>
        <w:t xml:space="preserve"> THE COURT WROTE: </w:t>
      </w:r>
    </w:p>
    <w:p w14:paraId="79BA94C0" w14:textId="77777777" w:rsidR="0039287E" w:rsidRPr="00800A29" w:rsidRDefault="0039287E" w:rsidP="0039287E">
      <w:pPr>
        <w:pStyle w:val="NoSpacing"/>
        <w:rPr>
          <w:bCs/>
        </w:rPr>
      </w:pPr>
    </w:p>
    <w:p w14:paraId="05E98B01" w14:textId="77777777" w:rsidR="0039287E" w:rsidRDefault="0039287E" w:rsidP="0039287E">
      <w:pPr>
        <w:pStyle w:val="NoSpacing"/>
        <w:ind w:left="720"/>
        <w:rPr>
          <w:bCs/>
        </w:rPr>
      </w:pPr>
      <w:r>
        <w:t>“</w:t>
      </w:r>
      <w:r w:rsidRPr="00725A0C">
        <w:t xml:space="preserve">The Commonwealth appeals from the August 11, </w:t>
      </w:r>
      <w:proofErr w:type="gramStart"/>
      <w:r w:rsidRPr="00725A0C">
        <w:t>2025</w:t>
      </w:r>
      <w:proofErr w:type="gramEnd"/>
      <w:r w:rsidRPr="00725A0C">
        <w:t xml:space="preserve"> order prohibiting</w:t>
      </w:r>
      <w:r>
        <w:t xml:space="preserve"> </w:t>
      </w:r>
      <w:r w:rsidRPr="00725A0C">
        <w:t>it from publishing to the jury certain photographic and video evidence in</w:t>
      </w:r>
      <w:r>
        <w:t xml:space="preserve"> </w:t>
      </w:r>
      <w:r w:rsidRPr="00725A0C">
        <w:t>prosecuting Larry Burns for, inter alia, two counts of murder, and one count</w:t>
      </w:r>
      <w:r>
        <w:t xml:space="preserve"> </w:t>
      </w:r>
      <w:r w:rsidRPr="00725A0C">
        <w:t>each of arson, tampering with evidence, and abuse of corpse</w:t>
      </w:r>
      <w:r>
        <w:t>.</w:t>
      </w:r>
      <w:r w:rsidRPr="00725A0C">
        <w:t xml:space="preserve"> We affirm in</w:t>
      </w:r>
      <w:r>
        <w:t xml:space="preserve"> </w:t>
      </w:r>
      <w:r w:rsidRPr="00725A0C">
        <w:t>part and vacate in part.</w:t>
      </w:r>
    </w:p>
    <w:p w14:paraId="6B866593" w14:textId="77777777" w:rsidR="0039287E" w:rsidRDefault="0039287E" w:rsidP="0039287E">
      <w:pPr>
        <w:pStyle w:val="NoSpacing"/>
        <w:ind w:left="720"/>
        <w:rPr>
          <w:bCs/>
        </w:rPr>
      </w:pPr>
    </w:p>
    <w:p w14:paraId="1DF3ABCB" w14:textId="77777777" w:rsidR="0039287E" w:rsidRDefault="0039287E" w:rsidP="0039287E">
      <w:pPr>
        <w:pStyle w:val="NoSpacing"/>
        <w:ind w:left="720"/>
        <w:rPr>
          <w:bCs/>
        </w:rPr>
      </w:pPr>
      <w:r>
        <w:t>***</w:t>
      </w:r>
    </w:p>
    <w:p w14:paraId="28125A19" w14:textId="77777777" w:rsidR="0039287E" w:rsidRPr="00CB3260" w:rsidRDefault="0039287E" w:rsidP="0039287E">
      <w:pPr>
        <w:pStyle w:val="NoSpacing"/>
      </w:pPr>
    </w:p>
    <w:p w14:paraId="63173245" w14:textId="77777777" w:rsidR="0039287E" w:rsidRDefault="0039287E" w:rsidP="0039287E">
      <w:pPr>
        <w:pStyle w:val="NoSpacing"/>
        <w:ind w:firstLine="720"/>
      </w:pPr>
      <w:r>
        <w:t xml:space="preserve">[Trial Court judge described these facts.] </w:t>
      </w:r>
    </w:p>
    <w:p w14:paraId="0BF05BF5" w14:textId="77777777" w:rsidR="0039287E" w:rsidRPr="00CB3260" w:rsidRDefault="0039287E" w:rsidP="0039287E">
      <w:pPr>
        <w:pStyle w:val="NoSpacing"/>
        <w:ind w:left="1440"/>
      </w:pPr>
      <w:r w:rsidRPr="00CB3260">
        <w:t>[Burns] and his co-defendant Cordaryl Burns are accused of</w:t>
      </w:r>
      <w:r>
        <w:t xml:space="preserve"> </w:t>
      </w:r>
      <w:r w:rsidRPr="00CB3260">
        <w:t>killing Eddie Shaw and Frankie Thomas[ in a dispute over a</w:t>
      </w:r>
      <w:r>
        <w:t xml:space="preserve"> </w:t>
      </w:r>
      <w:r w:rsidRPr="00CB3260">
        <w:t>woman’s affections and starting a house fire to destroy evidence</w:t>
      </w:r>
      <w:r>
        <w:t xml:space="preserve"> </w:t>
      </w:r>
      <w:r w:rsidRPr="00CB3260">
        <w:t>of their crimes.] . . . [T]he Commonwealth seeks the death penalty</w:t>
      </w:r>
      <w:r>
        <w:t xml:space="preserve"> </w:t>
      </w:r>
      <w:r w:rsidRPr="00CB3260">
        <w:t>for both defendants. At issue is purely an evidentiary</w:t>
      </w:r>
      <w:r>
        <w:t xml:space="preserve"> </w:t>
      </w:r>
      <w:r w:rsidRPr="00CB3260">
        <w:t>determination as it pertains to the Commonwealth’s case against</w:t>
      </w:r>
      <w:r>
        <w:t xml:space="preserve"> </w:t>
      </w:r>
      <w:r w:rsidRPr="00CB3260">
        <w:t>[Burns]. The court gleans the following allegations from the</w:t>
      </w:r>
      <w:r>
        <w:t xml:space="preserve"> </w:t>
      </w:r>
      <w:r w:rsidRPr="00CB3260">
        <w:t>criminal complaint.</w:t>
      </w:r>
      <w:r>
        <w:t xml:space="preserve"> </w:t>
      </w:r>
      <w:r w:rsidRPr="00CB3260">
        <w:t>On February 23, 2022, Pennsylvania State Police (PSP) responded</w:t>
      </w:r>
      <w:r>
        <w:t xml:space="preserve"> </w:t>
      </w:r>
      <w:r w:rsidRPr="00CB3260">
        <w:t>to a fire at a residence in Shippensburg, Pennsylvania. At the</w:t>
      </w:r>
      <w:r>
        <w:t xml:space="preserve"> </w:t>
      </w:r>
      <w:r w:rsidRPr="00CB3260">
        <w:t>scene, authorities discovered two deceased individuals, later</w:t>
      </w:r>
      <w:r>
        <w:t xml:space="preserve"> </w:t>
      </w:r>
      <w:r w:rsidRPr="00CB3260">
        <w:t>identified as . . . Shaw and . . . Thomas. Shaw’s body was located</w:t>
      </w:r>
      <w:r>
        <w:t xml:space="preserve"> </w:t>
      </w:r>
      <w:r w:rsidRPr="00CB3260">
        <w:t>inside the home and had significant burns as well as a bullet</w:t>
      </w:r>
    </w:p>
    <w:p w14:paraId="1F048625" w14:textId="77777777" w:rsidR="0039287E" w:rsidRPr="00CB3260" w:rsidRDefault="0039287E" w:rsidP="0039287E">
      <w:pPr>
        <w:pStyle w:val="NoSpacing"/>
        <w:ind w:left="1440"/>
      </w:pPr>
      <w:r w:rsidRPr="00CB3260">
        <w:t>wound to the head. Thomas was found slumped over the steering</w:t>
      </w:r>
      <w:r>
        <w:t xml:space="preserve"> </w:t>
      </w:r>
      <w:r w:rsidRPr="00CB3260">
        <w:t>wheel of a Lincoln Zephyr sedan that was parked in the driveway.</w:t>
      </w:r>
      <w:r>
        <w:t xml:space="preserve"> </w:t>
      </w:r>
      <w:r w:rsidRPr="00CB3260">
        <w:t>He had been shot twice in the neck.</w:t>
      </w:r>
    </w:p>
    <w:p w14:paraId="0B9AFF81" w14:textId="77777777" w:rsidR="0039287E" w:rsidRDefault="0039287E" w:rsidP="0039287E">
      <w:pPr>
        <w:rPr>
          <w:rFonts w:ascii="Arial Black" w:hAnsi="Arial Black"/>
          <w:b/>
          <w:bCs/>
          <w:sz w:val="28"/>
          <w:szCs w:val="28"/>
        </w:rPr>
      </w:pPr>
      <w:r>
        <w:rPr>
          <w:rFonts w:ascii="Arial Black" w:hAnsi="Arial Black"/>
          <w:b/>
          <w:sz w:val="28"/>
          <w:szCs w:val="28"/>
        </w:rPr>
        <w:tab/>
        <w:t>***</w:t>
      </w:r>
    </w:p>
    <w:p w14:paraId="5448A4F8" w14:textId="77777777" w:rsidR="0039287E" w:rsidRPr="00F321BF" w:rsidRDefault="0039287E" w:rsidP="0039287E">
      <w:pPr>
        <w:pStyle w:val="NoSpacing"/>
        <w:ind w:left="720"/>
        <w:rPr>
          <w:bCs/>
        </w:rPr>
      </w:pPr>
      <w:r w:rsidRPr="00E81608">
        <w:t>During the hearing, the Commonwealth proffered fourteen enumerated</w:t>
      </w:r>
      <w:r>
        <w:t xml:space="preserve"> </w:t>
      </w:r>
      <w:r w:rsidRPr="00E81608">
        <w:t xml:space="preserve">pretrial </w:t>
      </w:r>
      <w:proofErr w:type="gramStart"/>
      <w:r w:rsidRPr="00E81608">
        <w:t>exhibits (</w:t>
      </w:r>
      <w:r>
        <w:t>‘</w:t>
      </w:r>
      <w:proofErr w:type="gramEnd"/>
      <w:r w:rsidRPr="00E81608">
        <w:t>PE</w:t>
      </w:r>
      <w:r>
        <w:t>’</w:t>
      </w:r>
      <w:r w:rsidRPr="00E81608">
        <w:t>) and three drone videos (DJI-0769, DJI-0771, and DJI-0773), all which the trial court sealed and admitted for the purpose of the</w:t>
      </w:r>
      <w:r>
        <w:t xml:space="preserve"> </w:t>
      </w:r>
      <w:r w:rsidRPr="00E81608">
        <w:t>hearing. The Commonwealth explained that the drone was necessary because</w:t>
      </w:r>
      <w:r>
        <w:t xml:space="preserve"> </w:t>
      </w:r>
      <w:r w:rsidRPr="00E81608">
        <w:t>crime scene investigators could not physically enter the still smoldering ruins</w:t>
      </w:r>
      <w:r>
        <w:t xml:space="preserve"> </w:t>
      </w:r>
      <w:r w:rsidRPr="00F321BF">
        <w:t>to examine the fire-gutted home in detail. Burns stipulated to the admissibility</w:t>
      </w:r>
      <w:r>
        <w:t xml:space="preserve"> </w:t>
      </w:r>
      <w:r w:rsidRPr="00F321BF">
        <w:t>of DJI-0773, which shows the seared remains of the second floor of the</w:t>
      </w:r>
    </w:p>
    <w:p w14:paraId="01EDA546" w14:textId="77777777" w:rsidR="0039287E" w:rsidRDefault="0039287E" w:rsidP="0039287E">
      <w:pPr>
        <w:pStyle w:val="NoSpacing"/>
        <w:ind w:left="720"/>
        <w:rPr>
          <w:bCs/>
        </w:rPr>
      </w:pPr>
      <w:r w:rsidRPr="00F321BF">
        <w:t>residence, and PE Nos. 1, 4, 5, and 6. Significant to this appeal, PE 1 is a</w:t>
      </w:r>
      <w:r>
        <w:t xml:space="preserve"> </w:t>
      </w:r>
      <w:r w:rsidRPr="00F321BF">
        <w:t>photograph of the first floor of the burned-out structure. Viewing the interior</w:t>
      </w:r>
      <w:r>
        <w:t xml:space="preserve"> </w:t>
      </w:r>
      <w:r w:rsidRPr="00F321BF">
        <w:t>of the home from just inside the dwelling’s threshold, the image shows the</w:t>
      </w:r>
      <w:r>
        <w:t xml:space="preserve"> </w:t>
      </w:r>
      <w:r w:rsidRPr="00F321BF">
        <w:t xml:space="preserve">extensive damage caused by the </w:t>
      </w:r>
      <w:proofErr w:type="gramStart"/>
      <w:r w:rsidRPr="00F321BF">
        <w:t>conflagration.</w:t>
      </w:r>
      <w:r>
        <w:t>”</w:t>
      </w:r>
      <w:proofErr w:type="gramEnd"/>
    </w:p>
    <w:p w14:paraId="14EA267B" w14:textId="77777777" w:rsidR="0039287E" w:rsidRDefault="0039287E" w:rsidP="0039287E">
      <w:pPr>
        <w:pStyle w:val="NoSpacing"/>
        <w:ind w:left="720"/>
        <w:rPr>
          <w:bCs/>
        </w:rPr>
      </w:pPr>
    </w:p>
    <w:p w14:paraId="75D2EB10" w14:textId="77777777" w:rsidR="0039287E" w:rsidRPr="00F321BF" w:rsidRDefault="0039287E" w:rsidP="0039287E">
      <w:pPr>
        <w:pStyle w:val="NoSpacing"/>
        <w:rPr>
          <w:b/>
          <w:bCs/>
        </w:rPr>
      </w:pPr>
      <w:r>
        <w:rPr>
          <w:b/>
        </w:rPr>
        <w:t xml:space="preserve">Legal lesson learned: The prosecutors under PA law took an immediate appeal from the trial court decision suppressing drone video. </w:t>
      </w:r>
    </w:p>
    <w:p w14:paraId="3790C65D" w14:textId="77777777" w:rsidR="0039287E" w:rsidRDefault="0039287E" w:rsidP="0039287E">
      <w:pPr>
        <w:pStyle w:val="NoSpacing"/>
        <w:rPr>
          <w:bCs/>
        </w:rPr>
      </w:pPr>
    </w:p>
    <w:p w14:paraId="4816B9DF" w14:textId="77777777" w:rsidR="0039287E" w:rsidRDefault="0039287E" w:rsidP="0039287E">
      <w:pPr>
        <w:pStyle w:val="NoSpacing"/>
        <w:rPr>
          <w:bCs/>
        </w:rPr>
      </w:pPr>
    </w:p>
    <w:p w14:paraId="2AE582EB" w14:textId="77777777" w:rsidR="0039287E" w:rsidRDefault="0039287E" w:rsidP="0039287E">
      <w:pPr>
        <w:pStyle w:val="NoSpacing"/>
        <w:rPr>
          <w:bCs/>
        </w:rPr>
      </w:pPr>
    </w:p>
    <w:p w14:paraId="05F7FADD" w14:textId="7A0B50F7" w:rsidR="0039287E" w:rsidRDefault="0039287E" w:rsidP="0039287E">
      <w:pPr>
        <w:pStyle w:val="NoSpacing"/>
        <w:rPr>
          <w:rFonts w:ascii="Arial Black" w:hAnsi="Arial Black"/>
          <w:sz w:val="28"/>
          <w:szCs w:val="28"/>
        </w:rPr>
      </w:pPr>
      <w:r>
        <w:rPr>
          <w:rFonts w:ascii="Arial Black" w:hAnsi="Arial Black"/>
          <w:sz w:val="28"/>
          <w:szCs w:val="28"/>
        </w:rPr>
        <w:t>1-22</w:t>
      </w:r>
      <w:r>
        <w:rPr>
          <w:rFonts w:ascii="Arial Black" w:hAnsi="Arial Black"/>
          <w:sz w:val="28"/>
          <w:szCs w:val="28"/>
        </w:rPr>
        <w:t>4</w:t>
      </w:r>
    </w:p>
    <w:p w14:paraId="39E537CF" w14:textId="77777777" w:rsidR="0039287E" w:rsidRDefault="0039287E" w:rsidP="0039287E">
      <w:pPr>
        <w:rPr>
          <w:rFonts w:ascii="Arial Black" w:hAnsi="Arial Black"/>
          <w:b/>
          <w:sz w:val="28"/>
          <w:szCs w:val="28"/>
        </w:rPr>
      </w:pPr>
    </w:p>
    <w:p w14:paraId="299AD565" w14:textId="77777777" w:rsidR="0039287E" w:rsidRPr="00DD7DC6" w:rsidRDefault="0039287E" w:rsidP="0039287E">
      <w:pPr>
        <w:rPr>
          <w:rFonts w:ascii="Arial Black" w:hAnsi="Arial Black"/>
          <w:b/>
          <w:sz w:val="28"/>
          <w:szCs w:val="28"/>
        </w:rPr>
      </w:pPr>
      <w:r>
        <w:rPr>
          <w:rFonts w:ascii="Arial Black" w:hAnsi="Arial Black"/>
          <w:b/>
          <w:sz w:val="28"/>
          <w:szCs w:val="28"/>
        </w:rPr>
        <w:t xml:space="preserve">OH: BDG OWNER - CONV. MISCONDUCT EMERG – BLDG RISK </w:t>
      </w:r>
    </w:p>
    <w:p w14:paraId="33F94B53" w14:textId="77777777" w:rsidR="0039287E" w:rsidRDefault="0039287E" w:rsidP="0039287E">
      <w:pPr>
        <w:rPr>
          <w:bCs/>
        </w:rPr>
      </w:pPr>
      <w:r>
        <w:t xml:space="preserve">On September 8, 2026, in </w:t>
      </w:r>
      <w:r w:rsidRPr="009A3138">
        <w:rPr>
          <w:u w:val="single"/>
        </w:rPr>
        <w:t>City of Conneaut v. Felix Stanis</w:t>
      </w:r>
      <w:r>
        <w:t xml:space="preserve">, the </w:t>
      </w:r>
      <w:r w:rsidRPr="009A3138">
        <w:t>Court of Appeals of Ohio, Eleventh District, Ashtabula</w:t>
      </w:r>
      <w:r>
        <w:t xml:space="preserve"> held (3 to 0) that jury properly found building owner guilty of misconduct at an emergency. “</w:t>
      </w:r>
      <w:r w:rsidRPr="00B62D63">
        <w:t>On December 11, 2024, Officer Brent observed Stanis and another</w:t>
      </w:r>
      <w:r>
        <w:t xml:space="preserve"> </w:t>
      </w:r>
      <w:r w:rsidRPr="00B62D63">
        <w:t>individual standing on the roof of the structure. Stanis used his boom lift, a part of his</w:t>
      </w:r>
      <w:r>
        <w:t xml:space="preserve"> </w:t>
      </w:r>
      <w:r w:rsidRPr="00B62D63">
        <w:t>construction business, to obtain access to the roof and assess the damage. When</w:t>
      </w:r>
      <w:r>
        <w:t xml:space="preserve"> </w:t>
      </w:r>
      <w:r w:rsidRPr="00B62D63">
        <w:t>instructed by CPD to get off the roof, he refused to descend and contacted his attorney.</w:t>
      </w:r>
      <w:r>
        <w:t xml:space="preserve"> </w:t>
      </w:r>
      <w:r w:rsidRPr="00B62D63">
        <w:t>He was ordered off the roof a second time, but Stanis refused again. Chief Colby arrived</w:t>
      </w:r>
      <w:r>
        <w:t xml:space="preserve"> </w:t>
      </w:r>
      <w:r w:rsidRPr="00B62D63">
        <w:t>on scene and gave a final warning. Stanis eventually descended and was arrested.</w:t>
      </w:r>
      <w:r>
        <w:t>”</w:t>
      </w:r>
      <w:r w:rsidRPr="001F5889">
        <w:t xml:space="preserve"> </w:t>
      </w:r>
      <w:hyperlink r:id="rId30" w:history="1">
        <w:r w:rsidRPr="006B6755">
          <w:rPr>
            <w:rStyle w:val="Hyperlink"/>
          </w:rPr>
          <w:t>https://www.supremecourt.ohio.gov/rod/docs/pdf/11/2026/2026-Ohio-3502.pdf</w:t>
        </w:r>
      </w:hyperlink>
      <w:r>
        <w:t xml:space="preserve"> </w:t>
      </w:r>
    </w:p>
    <w:p w14:paraId="7DCB7B80" w14:textId="77777777" w:rsidR="0039287E" w:rsidRPr="009A3138" w:rsidRDefault="0039287E" w:rsidP="0039287E">
      <w:pPr>
        <w:rPr>
          <w:bCs/>
        </w:rPr>
      </w:pPr>
      <w:r>
        <w:t xml:space="preserve">THE COURT WROTE: </w:t>
      </w:r>
    </w:p>
    <w:p w14:paraId="024DE13A" w14:textId="77777777" w:rsidR="0039287E" w:rsidRPr="00172A6A" w:rsidRDefault="0039287E" w:rsidP="0039287E">
      <w:pPr>
        <w:pStyle w:val="NoSpacing"/>
        <w:ind w:firstLine="720"/>
      </w:pPr>
      <w:r>
        <w:t>“</w:t>
      </w:r>
      <w:r w:rsidRPr="00172A6A">
        <w:t>Defendant-appellant, Felix Stanis (</w:t>
      </w:r>
      <w:r>
        <w:t>‘</w:t>
      </w:r>
      <w:r w:rsidRPr="00172A6A">
        <w:t>Stanis</w:t>
      </w:r>
      <w:r>
        <w:t>’</w:t>
      </w:r>
      <w:r w:rsidRPr="00172A6A">
        <w:t>), appeals from the judgment of</w:t>
      </w:r>
    </w:p>
    <w:p w14:paraId="00C62E23" w14:textId="77777777" w:rsidR="0039287E" w:rsidRPr="00172A6A" w:rsidRDefault="0039287E" w:rsidP="0039287E">
      <w:pPr>
        <w:pStyle w:val="NoSpacing"/>
        <w:ind w:firstLine="720"/>
      </w:pPr>
      <w:r w:rsidRPr="00172A6A">
        <w:t>the Conneaut Municipal Court sentencing him to a fully suspended 180-day term of</w:t>
      </w:r>
    </w:p>
    <w:p w14:paraId="4DE4B3CE" w14:textId="77777777" w:rsidR="0039287E" w:rsidRPr="00172A6A" w:rsidRDefault="0039287E" w:rsidP="0039287E">
      <w:pPr>
        <w:pStyle w:val="NoSpacing"/>
        <w:ind w:firstLine="720"/>
      </w:pPr>
      <w:r w:rsidRPr="00172A6A">
        <w:t>incarceration, a supervised three-year term of community control, a $750 fine, and court</w:t>
      </w:r>
    </w:p>
    <w:p w14:paraId="59D2D46C" w14:textId="77777777" w:rsidR="0039287E" w:rsidRPr="00172A6A" w:rsidRDefault="0039287E" w:rsidP="0039287E">
      <w:pPr>
        <w:pStyle w:val="NoSpacing"/>
        <w:ind w:left="720"/>
      </w:pPr>
      <w:r w:rsidRPr="00172A6A">
        <w:t>costs following a jury trial where Stanis was found guilty of one count of misconduct at an</w:t>
      </w:r>
      <w:r>
        <w:t xml:space="preserve"> </w:t>
      </w:r>
      <w:r w:rsidRPr="00172A6A">
        <w:t xml:space="preserve">emergency, a first-degree misdemeanor, in violation of Conneaut </w:t>
      </w:r>
      <w:proofErr w:type="spellStart"/>
      <w:r w:rsidRPr="00172A6A">
        <w:t>Mun.Ord</w:t>
      </w:r>
      <w:proofErr w:type="spellEnd"/>
      <w:r w:rsidRPr="00172A6A">
        <w:t>. 509.05(a)(3).</w:t>
      </w:r>
    </w:p>
    <w:p w14:paraId="082C243B" w14:textId="77777777" w:rsidR="0039287E" w:rsidRDefault="0039287E" w:rsidP="0039287E">
      <w:pPr>
        <w:pStyle w:val="NoSpacing"/>
      </w:pPr>
    </w:p>
    <w:p w14:paraId="20769B9D" w14:textId="77777777" w:rsidR="0039287E" w:rsidRPr="00172A6A" w:rsidRDefault="0039287E" w:rsidP="0039287E">
      <w:pPr>
        <w:pStyle w:val="NoSpacing"/>
        <w:ind w:firstLine="720"/>
      </w:pPr>
      <w:r w:rsidRPr="00172A6A">
        <w:t>On appeal, Stanis alleges that his conviction is against the manifest weight</w:t>
      </w:r>
    </w:p>
    <w:p w14:paraId="013CA803" w14:textId="77777777" w:rsidR="0039287E" w:rsidRDefault="0039287E" w:rsidP="0039287E">
      <w:pPr>
        <w:pStyle w:val="NoSpacing"/>
        <w:ind w:left="720"/>
      </w:pPr>
      <w:r w:rsidRPr="00172A6A">
        <w:t>and sufficiency of the evidence. According to Stanis, the situation in this case, a collapsing</w:t>
      </w:r>
      <w:r>
        <w:t xml:space="preserve"> </w:t>
      </w:r>
      <w:r w:rsidRPr="00172A6A">
        <w:t>roof, did not amount to an emergency as a matter of law. Upon review, we conclude that</w:t>
      </w:r>
      <w:r>
        <w:t xml:space="preserve"> </w:t>
      </w:r>
      <w:r w:rsidRPr="00DD7DC6">
        <w:t>the evidence adduced at trial, when viewed in the light most favorable to the City of</w:t>
      </w:r>
      <w:r>
        <w:t xml:space="preserve"> </w:t>
      </w:r>
      <w:proofErr w:type="gramStart"/>
      <w:r w:rsidRPr="00DD7DC6">
        <w:t>Conneaut (</w:t>
      </w:r>
      <w:r>
        <w:t>‘</w:t>
      </w:r>
      <w:proofErr w:type="gramEnd"/>
      <w:r w:rsidRPr="00DD7DC6">
        <w:t>City), was sufficient for any rational trier of fact to find the elements proven</w:t>
      </w:r>
      <w:r>
        <w:t xml:space="preserve"> </w:t>
      </w:r>
      <w:r w:rsidRPr="00DD7DC6">
        <w:t>beyond a reasonable doubt. Additionally, we do not find the jury delivered a manifest</w:t>
      </w:r>
      <w:r>
        <w:t xml:space="preserve"> </w:t>
      </w:r>
      <w:r w:rsidRPr="00DD7DC6">
        <w:t>miscarriage of justice warranting a new trial.</w:t>
      </w:r>
    </w:p>
    <w:p w14:paraId="0F0623A1" w14:textId="77777777" w:rsidR="0039287E" w:rsidRDefault="0039287E" w:rsidP="0039287E">
      <w:pPr>
        <w:pStyle w:val="NoSpacing"/>
        <w:ind w:left="720"/>
      </w:pPr>
    </w:p>
    <w:p w14:paraId="7991953A" w14:textId="77777777" w:rsidR="0039287E" w:rsidRDefault="0039287E" w:rsidP="0039287E">
      <w:pPr>
        <w:pStyle w:val="NoSpacing"/>
        <w:ind w:left="720"/>
      </w:pPr>
      <w:r>
        <w:t>***</w:t>
      </w:r>
    </w:p>
    <w:p w14:paraId="6116D12F" w14:textId="77777777" w:rsidR="0039287E" w:rsidRDefault="0039287E" w:rsidP="0039287E">
      <w:pPr>
        <w:pStyle w:val="NoSpacing"/>
        <w:ind w:left="720"/>
      </w:pPr>
      <w:r>
        <w:t xml:space="preserve">On December 10, 2024, the Conneaut City Fire </w:t>
      </w:r>
      <w:proofErr w:type="gramStart"/>
      <w:r>
        <w:t>Department (‘</w:t>
      </w:r>
      <w:proofErr w:type="gramEnd"/>
      <w:r>
        <w:t xml:space="preserve">CFD’) and the Conneaut City Police </w:t>
      </w:r>
      <w:proofErr w:type="gramStart"/>
      <w:r>
        <w:t>Department (‘</w:t>
      </w:r>
      <w:proofErr w:type="gramEnd"/>
      <w:r>
        <w:t xml:space="preserve">CPD’) were dispatched to 183 Wrights Avenue regarding a roof collapse observed to be caused by a large amount of snow. The utilities, gas, and electric companies were promptly notified to disconnect their services for safety concerns if the structure were to collapse. The CFD taped off the perimeter of the structure as well as the adjacent street to prevent injury to others if the structure </w:t>
      </w:r>
      <w:proofErr w:type="gramStart"/>
      <w:r>
        <w:t>collapsed</w:t>
      </w:r>
      <w:proofErr w:type="gramEnd"/>
      <w:r>
        <w:t>. The CFD instructed Stanis not to enter the property until the structure could be evaluated by the County Building Department for the safety of Stanis and neighbors.</w:t>
      </w:r>
    </w:p>
    <w:p w14:paraId="4363EB17" w14:textId="77777777" w:rsidR="0039287E" w:rsidRDefault="0039287E" w:rsidP="0039287E">
      <w:pPr>
        <w:pStyle w:val="NoSpacing"/>
        <w:ind w:left="720"/>
      </w:pPr>
    </w:p>
    <w:p w14:paraId="6B3EA439" w14:textId="77777777" w:rsidR="0039287E" w:rsidRDefault="0039287E" w:rsidP="0039287E">
      <w:pPr>
        <w:pStyle w:val="NoSpacing"/>
        <w:ind w:left="720"/>
      </w:pPr>
      <w:r>
        <w:t>***</w:t>
      </w:r>
    </w:p>
    <w:p w14:paraId="5D2F1ADD" w14:textId="77777777" w:rsidR="0039287E" w:rsidRDefault="0039287E" w:rsidP="0039287E">
      <w:pPr>
        <w:pStyle w:val="NoSpacing"/>
        <w:ind w:left="720"/>
      </w:pPr>
      <w:r>
        <w:t xml:space="preserve">Gas and </w:t>
      </w:r>
      <w:proofErr w:type="gramStart"/>
      <w:r>
        <w:t>electric</w:t>
      </w:r>
      <w:proofErr w:type="gramEnd"/>
      <w:r>
        <w:t xml:space="preserve"> companies were notified to disconnect these utilities as they had the possibility to escalate the situation further. Captain Gardner of the CFD stated that if the walls were to collapse, active electricity would have posed a fire hazard. Caution tape was placed around the perimeter, and Stanis and his neighbors were notified of the structure possibly collapsing. According to the testimony given by officers of the CPD and CFD as well as outlined by the Planning and Zoning Department Emergency Abatement Notice, an emergency was evident.</w:t>
      </w:r>
    </w:p>
    <w:p w14:paraId="7326695F" w14:textId="77777777" w:rsidR="0039287E" w:rsidRDefault="0039287E" w:rsidP="0039287E">
      <w:pPr>
        <w:pStyle w:val="NoSpacing"/>
        <w:ind w:left="720"/>
      </w:pPr>
    </w:p>
    <w:p w14:paraId="23A56098" w14:textId="77777777" w:rsidR="0039287E" w:rsidRDefault="0039287E" w:rsidP="0039287E">
      <w:pPr>
        <w:pStyle w:val="NoSpacing"/>
        <w:ind w:left="720"/>
      </w:pPr>
      <w:r>
        <w:t>***</w:t>
      </w:r>
    </w:p>
    <w:p w14:paraId="1A775D18" w14:textId="77777777" w:rsidR="0039287E" w:rsidRDefault="0039287E" w:rsidP="0039287E">
      <w:pPr>
        <w:pStyle w:val="NoSpacing"/>
        <w:ind w:left="720"/>
      </w:pPr>
    </w:p>
    <w:p w14:paraId="703B2C32" w14:textId="77777777" w:rsidR="0039287E" w:rsidRDefault="0039287E" w:rsidP="0039287E">
      <w:pPr>
        <w:pStyle w:val="NoSpacing"/>
        <w:ind w:left="720"/>
      </w:pPr>
      <w:r>
        <w:t>Stanis repeatedly ignored warnings to stay off the property for his safety and repeatedly refused to descend from the structure after numerous instructions to do so. Recognizing that ‘a measure of deference’ is owed to an officer's assessment of danger to bystanders and discerning impediment to efforts and safety of the officers attempting to manage the situation,’ a rational juror could have concluded that the scene was an emergency.”</w:t>
      </w:r>
    </w:p>
    <w:p w14:paraId="291B6922" w14:textId="77777777" w:rsidR="0039287E" w:rsidRDefault="0039287E" w:rsidP="0039287E">
      <w:pPr>
        <w:pStyle w:val="NoSpacing"/>
        <w:ind w:left="720"/>
      </w:pPr>
    </w:p>
    <w:p w14:paraId="1B9D17A5" w14:textId="77777777" w:rsidR="0039287E" w:rsidRPr="00965624" w:rsidRDefault="0039287E" w:rsidP="0039287E">
      <w:pPr>
        <w:rPr>
          <w:b/>
          <w:bCs/>
        </w:rPr>
      </w:pPr>
      <w:r>
        <w:rPr>
          <w:b/>
        </w:rPr>
        <w:t xml:space="preserve">Legal lesson learned: A potential building collapse is an emergency. </w:t>
      </w:r>
    </w:p>
    <w:p w14:paraId="74A0C3B2" w14:textId="77777777" w:rsidR="0039287E" w:rsidRDefault="0039287E" w:rsidP="0039287E">
      <w:pPr>
        <w:rPr>
          <w:rFonts w:ascii="Arial Black" w:hAnsi="Arial Black"/>
          <w:b/>
          <w:bCs/>
          <w:sz w:val="28"/>
          <w:szCs w:val="28"/>
        </w:rPr>
      </w:pPr>
    </w:p>
    <w:p w14:paraId="277E3F6E" w14:textId="0F336CA7" w:rsidR="0050742B" w:rsidRDefault="0050742B" w:rsidP="0050742B">
      <w:pPr>
        <w:pStyle w:val="NoSpacing"/>
        <w:rPr>
          <w:rFonts w:ascii="Arial Black" w:hAnsi="Arial Black"/>
          <w:sz w:val="28"/>
          <w:szCs w:val="28"/>
        </w:rPr>
      </w:pPr>
      <w:r>
        <w:rPr>
          <w:rFonts w:ascii="Arial Black" w:hAnsi="Arial Black"/>
          <w:sz w:val="28"/>
          <w:szCs w:val="28"/>
        </w:rPr>
        <w:t>1-223</w:t>
      </w:r>
    </w:p>
    <w:p w14:paraId="3D8A8996" w14:textId="77777777" w:rsidR="007008DA" w:rsidRDefault="007008DA" w:rsidP="00E16BDA">
      <w:pPr>
        <w:pStyle w:val="NoSpacing"/>
        <w:rPr>
          <w:rFonts w:ascii="Arial Black" w:hAnsi="Arial Black"/>
          <w:sz w:val="28"/>
          <w:szCs w:val="28"/>
        </w:rPr>
      </w:pPr>
    </w:p>
    <w:p w14:paraId="7D8A20AE" w14:textId="77777777" w:rsidR="007008DA" w:rsidRPr="00CF4239" w:rsidRDefault="007008DA" w:rsidP="007008DA">
      <w:pPr>
        <w:pStyle w:val="NoSpacing"/>
        <w:rPr>
          <w:rFonts w:ascii="Arial Black" w:hAnsi="Arial Black"/>
        </w:rPr>
      </w:pPr>
      <w:r>
        <w:rPr>
          <w:rFonts w:ascii="Arial Black" w:hAnsi="Arial Black"/>
        </w:rPr>
        <w:t>KY: ARSON / WANTON ENDANGERMENT – TWO SEP CRIMES – 32 YRS</w:t>
      </w:r>
    </w:p>
    <w:p w14:paraId="3714AED8" w14:textId="77777777" w:rsidR="007008DA" w:rsidRDefault="007008DA" w:rsidP="007008DA">
      <w:pPr>
        <w:pStyle w:val="NoSpacing"/>
      </w:pPr>
    </w:p>
    <w:p w14:paraId="2F846338" w14:textId="77777777" w:rsidR="007008DA" w:rsidRDefault="007008DA" w:rsidP="007008DA">
      <w:pPr>
        <w:pStyle w:val="NoSpacing"/>
      </w:pPr>
      <w:r>
        <w:t xml:space="preserve">On August 20, 2026, in </w:t>
      </w:r>
      <w:r w:rsidRPr="00317611">
        <w:rPr>
          <w:u w:val="single"/>
        </w:rPr>
        <w:t>Joseph Gordon Young v. Commonwealth of Kentucky</w:t>
      </w:r>
      <w:r>
        <w:t xml:space="preserve">, the Kentucky Supreme Court held (6 to 0) that there was no double jeopardy violation; starting fire on front porch of a house where three people were inside is both arson in first degree and three-counts of wanton endangerment; he must now serve 32 years in prison (per jury recommendation, 22 years for arson, and 10 years for wanton endangerment).  </w:t>
      </w:r>
      <w:hyperlink r:id="rId31" w:history="1">
        <w:r w:rsidRPr="007E39F2">
          <w:rPr>
            <w:rStyle w:val="Hyperlink"/>
          </w:rPr>
          <w:t>http://opinions.kycourts.net/sc/2025-SC-0487-MR.pdf</w:t>
        </w:r>
      </w:hyperlink>
    </w:p>
    <w:p w14:paraId="04DF3184" w14:textId="77777777" w:rsidR="007008DA" w:rsidRDefault="007008DA" w:rsidP="007008DA">
      <w:pPr>
        <w:pStyle w:val="NoSpacing"/>
      </w:pPr>
    </w:p>
    <w:p w14:paraId="017B4416" w14:textId="77777777" w:rsidR="007008DA" w:rsidRDefault="007008DA" w:rsidP="007008DA">
      <w:pPr>
        <w:pStyle w:val="NoSpacing"/>
      </w:pPr>
      <w:r>
        <w:t xml:space="preserve">THE COURT WROTE: </w:t>
      </w:r>
    </w:p>
    <w:p w14:paraId="70EFBD22" w14:textId="77777777" w:rsidR="007008DA" w:rsidRDefault="007008DA" w:rsidP="007008DA">
      <w:pPr>
        <w:pStyle w:val="NoSpacing"/>
      </w:pPr>
    </w:p>
    <w:p w14:paraId="3837A396" w14:textId="77777777" w:rsidR="007008DA" w:rsidRDefault="007008DA" w:rsidP="007008DA">
      <w:pPr>
        <w:pStyle w:val="NoSpacing"/>
        <w:ind w:left="720"/>
      </w:pPr>
      <w:r>
        <w:t>“Even a cursory reading of these two statutes reveals the elements of the two crimes are quite different. Starting a fire or causing an explosion with the intent to damage or destroy a building is required to convict of arson in the first degree but is not necessary to convict of wanton endangerment in the first degree. Engaging in conduct manifesting an extreme indifference to the value of human life is mandatory for a conviction of wanton endangerment in the first degree, but such conduct is irrelevant to an offense of arson in the first degree, as the building does not actually have to be inhabited or occupied at</w:t>
      </w:r>
    </w:p>
    <w:p w14:paraId="498B759A" w14:textId="77777777" w:rsidR="007008DA" w:rsidRDefault="007008DA" w:rsidP="007008DA">
      <w:pPr>
        <w:pStyle w:val="NoSpacing"/>
        <w:ind w:left="720"/>
      </w:pPr>
      <w:proofErr w:type="gramStart"/>
      <w:r>
        <w:t>the</w:t>
      </w:r>
      <w:proofErr w:type="gramEnd"/>
      <w:r>
        <w:t xml:space="preserve"> time the fire is set, so long as the defendant had a reasonable </w:t>
      </w:r>
      <w:proofErr w:type="gramStart"/>
      <w:r>
        <w:t>belief</w:t>
      </w:r>
      <w:proofErr w:type="gramEnd"/>
      <w:r>
        <w:t xml:space="preserve"> a person was present. In addition, arson in the first degree is a crime against property while wanton endangerment in the first degree is </w:t>
      </w:r>
      <w:proofErr w:type="gramStart"/>
      <w:r>
        <w:t>in the nature of a</w:t>
      </w:r>
      <w:proofErr w:type="gramEnd"/>
      <w:r>
        <w:t xml:space="preserve"> crime against a person. Although there may be an overlap of proof covering the two offenses in this case, that does not, in and of itself, constitute a double jeopardy violation.”</w:t>
      </w:r>
    </w:p>
    <w:p w14:paraId="062B730F" w14:textId="77777777" w:rsidR="007008DA" w:rsidRDefault="007008DA" w:rsidP="007008DA">
      <w:pPr>
        <w:pStyle w:val="NoSpacing"/>
        <w:ind w:left="720"/>
      </w:pPr>
    </w:p>
    <w:p w14:paraId="4BE9BF52" w14:textId="77777777" w:rsidR="007008DA" w:rsidRPr="00795353" w:rsidRDefault="007008DA" w:rsidP="007008DA">
      <w:pPr>
        <w:rPr>
          <w:b/>
          <w:bCs/>
        </w:rPr>
      </w:pPr>
      <w:r>
        <w:rPr>
          <w:b/>
        </w:rPr>
        <w:t xml:space="preserve">Legal lesson learned: Not double jeopardy when defendant’s conduct violates two different criminal statutes. </w:t>
      </w:r>
    </w:p>
    <w:p w14:paraId="49A7398B" w14:textId="4AAB2986" w:rsidR="0050742B" w:rsidRDefault="0050742B" w:rsidP="0050742B">
      <w:pPr>
        <w:pStyle w:val="NoSpacing"/>
        <w:rPr>
          <w:rFonts w:ascii="Arial Black" w:hAnsi="Arial Black"/>
          <w:sz w:val="28"/>
          <w:szCs w:val="28"/>
        </w:rPr>
      </w:pPr>
      <w:r>
        <w:rPr>
          <w:rFonts w:ascii="Arial Black" w:hAnsi="Arial Black"/>
          <w:sz w:val="28"/>
          <w:szCs w:val="28"/>
        </w:rPr>
        <w:t>1-222</w:t>
      </w:r>
    </w:p>
    <w:p w14:paraId="615D8175" w14:textId="77777777" w:rsidR="007008DA" w:rsidRDefault="007008DA" w:rsidP="007008DA">
      <w:pPr>
        <w:pStyle w:val="NoSpacing"/>
      </w:pPr>
    </w:p>
    <w:p w14:paraId="5B3C4915" w14:textId="77777777" w:rsidR="007008DA" w:rsidRDefault="007008DA" w:rsidP="007008DA">
      <w:pPr>
        <w:pStyle w:val="NoSpacing"/>
      </w:pPr>
    </w:p>
    <w:p w14:paraId="4269B705" w14:textId="77777777" w:rsidR="00461AF1" w:rsidRPr="001C0825" w:rsidRDefault="00461AF1" w:rsidP="00461AF1">
      <w:pPr>
        <w:pStyle w:val="NoSpacing"/>
        <w:rPr>
          <w:rFonts w:ascii="Arial Black" w:hAnsi="Arial Black"/>
          <w:sz w:val="28"/>
          <w:szCs w:val="28"/>
        </w:rPr>
      </w:pPr>
      <w:r>
        <w:rPr>
          <w:rFonts w:ascii="Arial Black" w:hAnsi="Arial Black"/>
          <w:sz w:val="28"/>
          <w:szCs w:val="28"/>
        </w:rPr>
        <w:t>IA: ARSONIST CALLED 911 – PROVE “INTENT” BY ACTIONS</w:t>
      </w:r>
    </w:p>
    <w:p w14:paraId="6C9F1002" w14:textId="77777777" w:rsidR="00461AF1" w:rsidRDefault="00461AF1" w:rsidP="00461AF1">
      <w:pPr>
        <w:pStyle w:val="NoSpacing"/>
      </w:pPr>
    </w:p>
    <w:p w14:paraId="2D360AB9" w14:textId="77777777" w:rsidR="00461AF1" w:rsidRDefault="00461AF1" w:rsidP="00461AF1">
      <w:pPr>
        <w:rPr>
          <w:b/>
        </w:rPr>
      </w:pPr>
      <w:r>
        <w:t xml:space="preserve">On August 19, 2026, in </w:t>
      </w:r>
      <w:r w:rsidRPr="00F93E45">
        <w:rPr>
          <w:u w:val="single"/>
        </w:rPr>
        <w:t>State of Iowa v. Diamond Unique Campbell</w:t>
      </w:r>
      <w:r>
        <w:t xml:space="preserve">, the </w:t>
      </w:r>
      <w:r w:rsidRPr="00F93E45">
        <w:t>Court of Appeals of Iowa</w:t>
      </w:r>
      <w:r>
        <w:t xml:space="preserve"> held (3 to 0) that jury properly found defendant guilty of </w:t>
      </w:r>
      <w:r w:rsidRPr="00EF0AD3">
        <w:t>first-degree arson</w:t>
      </w:r>
      <w:r>
        <w:t xml:space="preserve">, having lit two fires in front of a duplex. She called 911 and falsely claimed reporting a fire at the duplex with people inside the home screaming.  She appeals claiming she was only “reckless” with no intent to destroy or damage the property; the jury was properly instructed that person intends the natural results of her act. </w:t>
      </w:r>
      <w:hyperlink r:id="rId32" w:history="1">
        <w:r w:rsidRPr="000D4724">
          <w:rPr>
            <w:rStyle w:val="Hyperlink"/>
            <w:b/>
          </w:rPr>
          <w:t>https://cases.justia.com/iowa/court-of-appeals/2026-25-0805.pdf?ts=1787163745</w:t>
        </w:r>
      </w:hyperlink>
      <w:r>
        <w:rPr>
          <w:b/>
        </w:rPr>
        <w:t xml:space="preserve"> </w:t>
      </w:r>
    </w:p>
    <w:p w14:paraId="0D462790" w14:textId="77777777" w:rsidR="00461AF1" w:rsidRDefault="00461AF1" w:rsidP="00461AF1">
      <w:pPr>
        <w:pStyle w:val="NoSpacing"/>
        <w:rPr>
          <w:bCs/>
        </w:rPr>
      </w:pPr>
      <w:r>
        <w:t xml:space="preserve">THE COURT WROTE: </w:t>
      </w:r>
    </w:p>
    <w:p w14:paraId="5768764F" w14:textId="77777777" w:rsidR="00461AF1" w:rsidRDefault="00461AF1" w:rsidP="00461AF1">
      <w:pPr>
        <w:pStyle w:val="NoSpacing"/>
        <w:rPr>
          <w:bCs/>
        </w:rPr>
      </w:pPr>
    </w:p>
    <w:p w14:paraId="5D8F9AFA" w14:textId="77777777" w:rsidR="00461AF1" w:rsidRDefault="00461AF1" w:rsidP="00461AF1">
      <w:pPr>
        <w:pStyle w:val="NoSpacing"/>
        <w:ind w:left="720"/>
      </w:pPr>
      <w:r>
        <w:t xml:space="preserve">“After setting and extinguishing the initial fire near Harris’s front stoop, Campbell got in her car, drove down the alley, and then returned to set the fire by Keller’s side of the duplex. She was aware how high the fire could get (and how quickly) from the first fire, but she still chose to set the second fire next to the gas meter with plenty of dried leaves surrounding it to serve as fuel. And security footage showed her putting some sort of accelerant on the already-burning fire, causing it to flare up. She then moved her car from the alley back to the street before calling emergency services. With her own words, Campbell’s 911 call suggests she believed the gas meter was on fire. Viewing the </w:t>
      </w:r>
      <w:proofErr w:type="gramStart"/>
      <w:r>
        <w:t>evidence as a whole, the</w:t>
      </w:r>
      <w:proofErr w:type="gramEnd"/>
      <w:r>
        <w:t xml:space="preserve"> jury reasonably concluded Campbell either intended to damage or destroy the property or knew damage or destruction would probably result.”</w:t>
      </w:r>
    </w:p>
    <w:p w14:paraId="69394056" w14:textId="77777777" w:rsidR="00461AF1" w:rsidRDefault="00461AF1" w:rsidP="00461AF1">
      <w:pPr>
        <w:pStyle w:val="NoSpacing"/>
        <w:ind w:left="720"/>
      </w:pPr>
    </w:p>
    <w:p w14:paraId="54660313" w14:textId="77777777" w:rsidR="00461AF1" w:rsidRPr="000158AD" w:rsidRDefault="00461AF1" w:rsidP="00461AF1">
      <w:pPr>
        <w:pStyle w:val="NoSpacing"/>
        <w:rPr>
          <w:b/>
          <w:bCs/>
        </w:rPr>
      </w:pPr>
      <w:r>
        <w:rPr>
          <w:b/>
        </w:rPr>
        <w:t xml:space="preserve">Legal lesson learned: The actual intent of the arsonist does not need to be proved; she intends the natural results of her conduct. </w:t>
      </w:r>
    </w:p>
    <w:p w14:paraId="4BC27187" w14:textId="77777777" w:rsidR="007008DA" w:rsidRDefault="007008DA" w:rsidP="00E16BDA">
      <w:pPr>
        <w:pStyle w:val="NoSpacing"/>
        <w:rPr>
          <w:rFonts w:ascii="Arial Black" w:hAnsi="Arial Black"/>
          <w:sz w:val="28"/>
          <w:szCs w:val="28"/>
        </w:rPr>
      </w:pPr>
    </w:p>
    <w:p w14:paraId="4B789336" w14:textId="366E03BD" w:rsidR="0050742B" w:rsidRDefault="0050742B" w:rsidP="00E16BDA">
      <w:pPr>
        <w:pStyle w:val="NoSpacing"/>
        <w:rPr>
          <w:rFonts w:ascii="Arial Black" w:hAnsi="Arial Black"/>
          <w:sz w:val="28"/>
          <w:szCs w:val="28"/>
        </w:rPr>
      </w:pPr>
      <w:r>
        <w:rPr>
          <w:rFonts w:ascii="Arial Black" w:hAnsi="Arial Black"/>
          <w:sz w:val="28"/>
          <w:szCs w:val="28"/>
        </w:rPr>
        <w:t>1-221</w:t>
      </w:r>
    </w:p>
    <w:p w14:paraId="0739CF03" w14:textId="77777777" w:rsidR="0050742B" w:rsidRDefault="0050742B" w:rsidP="00E16BDA">
      <w:pPr>
        <w:pStyle w:val="NoSpacing"/>
        <w:rPr>
          <w:rFonts w:ascii="Arial Black" w:hAnsi="Arial Black"/>
          <w:sz w:val="28"/>
          <w:szCs w:val="28"/>
        </w:rPr>
      </w:pPr>
    </w:p>
    <w:p w14:paraId="38E35445" w14:textId="77777777" w:rsidR="0050742B" w:rsidRPr="007550B2" w:rsidRDefault="0050742B" w:rsidP="0050742B">
      <w:pPr>
        <w:pStyle w:val="NoSpacing"/>
        <w:rPr>
          <w:rFonts w:ascii="Arial Black" w:hAnsi="Arial Black"/>
          <w:sz w:val="28"/>
          <w:szCs w:val="28"/>
        </w:rPr>
      </w:pPr>
      <w:r>
        <w:rPr>
          <w:rFonts w:ascii="Arial Black" w:hAnsi="Arial Black"/>
          <w:sz w:val="28"/>
          <w:szCs w:val="28"/>
        </w:rPr>
        <w:t>IN: ADT DIDN’T RE-SET ALARM – $7M CLUBHOUSE FIRE</w:t>
      </w:r>
    </w:p>
    <w:p w14:paraId="0424BF66" w14:textId="77777777" w:rsidR="0050742B" w:rsidRDefault="0050742B" w:rsidP="0050742B">
      <w:pPr>
        <w:pStyle w:val="NoSpacing"/>
      </w:pPr>
    </w:p>
    <w:p w14:paraId="10CF67DA" w14:textId="77777777" w:rsidR="0050742B" w:rsidRDefault="0050742B" w:rsidP="0050742B">
      <w:pPr>
        <w:pStyle w:val="NoSpacing"/>
      </w:pPr>
      <w:r>
        <w:t xml:space="preserve">On August 19, 2026, in </w:t>
      </w:r>
      <w:r w:rsidRPr="006450F2">
        <w:rPr>
          <w:u w:val="single"/>
        </w:rPr>
        <w:t>Frankenmuth Insurance Company and Lindy’s, Inc., which does business as Juday Creek Golf Course v. ADT LLC</w:t>
      </w:r>
      <w:r>
        <w:t xml:space="preserve">, U.S. District Court Judge </w:t>
      </w:r>
      <w:r w:rsidRPr="0049721C">
        <w:t>Damon R. Leichty</w:t>
      </w:r>
      <w:r>
        <w:t xml:space="preserve">, United States District Court for the Northern District of Indiana, South Bend Division, held that case will proceed on breach of contract and negligence, but grated ADT’s motion to dismiss actual fraud claims.  On April 16, 2024, construction at the clubhouse set off smoke detectors and alerted ADT, which agreed to turn off alarms for one week during construction.  ADT </w:t>
      </w:r>
      <w:r w:rsidRPr="00515358">
        <w:t>placed Juday</w:t>
      </w:r>
      <w:r>
        <w:t xml:space="preserve"> </w:t>
      </w:r>
      <w:r w:rsidRPr="00515358">
        <w:t>Creek’s system “on test,” which silenced all fire alarms and supervisory alert</w:t>
      </w:r>
      <w:r>
        <w:t xml:space="preserve">; but they never reactivated the system and on </w:t>
      </w:r>
      <w:r w:rsidRPr="00515358">
        <w:t xml:space="preserve">August 26, </w:t>
      </w:r>
      <w:proofErr w:type="gramStart"/>
      <w:r w:rsidRPr="00515358">
        <w:t>2024</w:t>
      </w:r>
      <w:proofErr w:type="gramEnd"/>
      <w:r>
        <w:t xml:space="preserve"> the clubhouse was destroyed by fire - $7 million loss. </w:t>
      </w:r>
      <w:hyperlink r:id="rId33" w:history="1">
        <w:r w:rsidRPr="0097314B">
          <w:rPr>
            <w:rStyle w:val="Hyperlink"/>
          </w:rPr>
          <w:t>https://cases.justia.com/federal/district-courts/indiana/inndce/3:2025cv00741/124078/29/0.pdf?ts=1787223415</w:t>
        </w:r>
      </w:hyperlink>
      <w:r>
        <w:t xml:space="preserve"> </w:t>
      </w:r>
    </w:p>
    <w:p w14:paraId="7FCFC7B8" w14:textId="77777777" w:rsidR="0050742B" w:rsidRDefault="0050742B" w:rsidP="0050742B">
      <w:pPr>
        <w:pStyle w:val="NoSpacing"/>
      </w:pPr>
    </w:p>
    <w:p w14:paraId="612DE084" w14:textId="77777777" w:rsidR="0050742B" w:rsidRDefault="0050742B" w:rsidP="0050742B">
      <w:pPr>
        <w:pStyle w:val="NoSpacing"/>
      </w:pPr>
      <w:r>
        <w:t>THE COURT WROTE:</w:t>
      </w:r>
    </w:p>
    <w:p w14:paraId="380B1FC4" w14:textId="77777777" w:rsidR="0050742B" w:rsidRDefault="0050742B" w:rsidP="0050742B">
      <w:pPr>
        <w:pStyle w:val="NoSpacing"/>
      </w:pPr>
    </w:p>
    <w:p w14:paraId="1DCE66B1" w14:textId="77777777" w:rsidR="0050742B" w:rsidRPr="00515358" w:rsidRDefault="0050742B" w:rsidP="0050742B">
      <w:pPr>
        <w:pStyle w:val="NoSpacing"/>
        <w:ind w:firstLine="720"/>
      </w:pPr>
      <w:r>
        <w:t>“</w:t>
      </w:r>
      <w:r w:rsidRPr="00515358">
        <w:t>A fire ignited at the clubhouse on August 26, 2024—first discovered at 5:30 a.m. by a</w:t>
      </w:r>
    </w:p>
    <w:p w14:paraId="12464887" w14:textId="77777777" w:rsidR="0050742B" w:rsidRPr="00515358" w:rsidRDefault="0050742B" w:rsidP="0050742B">
      <w:pPr>
        <w:pStyle w:val="NoSpacing"/>
        <w:ind w:firstLine="720"/>
      </w:pPr>
      <w:r w:rsidRPr="00515358">
        <w:t>passerby who saw smoke emanating from the eaves</w:t>
      </w:r>
      <w:r>
        <w:t xml:space="preserve">…. </w:t>
      </w:r>
      <w:r w:rsidRPr="00515358">
        <w:t>The local fire department was</w:t>
      </w:r>
    </w:p>
    <w:p w14:paraId="2D592DAC" w14:textId="77777777" w:rsidR="0050742B" w:rsidRDefault="0050742B" w:rsidP="0050742B">
      <w:pPr>
        <w:pStyle w:val="NoSpacing"/>
        <w:ind w:left="720"/>
      </w:pPr>
      <w:r w:rsidRPr="00515358">
        <w:t>dispatched and arrived within ten minutes</w:t>
      </w:r>
      <w:r>
        <w:t xml:space="preserve"> …. </w:t>
      </w:r>
      <w:r w:rsidRPr="00515358">
        <w:t>Firefighters attempted entry through the front</w:t>
      </w:r>
      <w:r>
        <w:t xml:space="preserve"> </w:t>
      </w:r>
      <w:r w:rsidRPr="00515358">
        <w:t>doors, but they determined that the floor was already compromised, so they took a defensive</w:t>
      </w:r>
      <w:r>
        <w:t xml:space="preserve"> </w:t>
      </w:r>
      <w:r w:rsidRPr="00515358">
        <w:t>position and never entered the building</w:t>
      </w:r>
      <w:r>
        <w:t>…. Juday Creek suffered more than $7,000,000 in property damage, business interruption losses, and extra expenses, and claims that these losses could have been avoided or limited had ADT done its job</w:t>
      </w:r>
      <w:proofErr w:type="gramStart"/>
      <w:r>
        <w:t>…..</w:t>
      </w:r>
      <w:proofErr w:type="gramEnd"/>
    </w:p>
    <w:p w14:paraId="5139F607" w14:textId="77777777" w:rsidR="0050742B" w:rsidRDefault="0050742B" w:rsidP="0050742B">
      <w:pPr>
        <w:pStyle w:val="NoSpacing"/>
      </w:pPr>
    </w:p>
    <w:p w14:paraId="37A03C84" w14:textId="77777777" w:rsidR="0050742B" w:rsidRDefault="0050742B" w:rsidP="0050742B">
      <w:pPr>
        <w:pStyle w:val="NoSpacing"/>
      </w:pPr>
      <w:r>
        <w:tab/>
        <w:t>***</w:t>
      </w:r>
    </w:p>
    <w:p w14:paraId="193E62DB" w14:textId="77777777" w:rsidR="0050742B" w:rsidRDefault="0050742B" w:rsidP="0050742B">
      <w:pPr>
        <w:pStyle w:val="NoSpacing"/>
      </w:pPr>
    </w:p>
    <w:p w14:paraId="0963294E" w14:textId="77777777" w:rsidR="0050742B" w:rsidRDefault="0050742B" w:rsidP="0050742B">
      <w:pPr>
        <w:pStyle w:val="NoSpacing"/>
        <w:ind w:left="720"/>
      </w:pPr>
      <w:r>
        <w:t>Nothing stops Juday Creek from proceeding in tort and in contract here, and the court cannot parse the injuries or damages today. The court cannot say they are coextensive now as a matter of law. The court denies the motion to dismiss the negligence claim.</w:t>
      </w:r>
    </w:p>
    <w:p w14:paraId="3C343C39" w14:textId="77777777" w:rsidR="0050742B" w:rsidRDefault="0050742B" w:rsidP="0050742B">
      <w:pPr>
        <w:pStyle w:val="NoSpacing"/>
        <w:ind w:left="720"/>
      </w:pPr>
    </w:p>
    <w:p w14:paraId="3AF73AF6" w14:textId="77777777" w:rsidR="0050742B" w:rsidRDefault="0050742B" w:rsidP="0050742B">
      <w:pPr>
        <w:pStyle w:val="NoSpacing"/>
        <w:ind w:left="720"/>
      </w:pPr>
      <w:r>
        <w:t>***</w:t>
      </w:r>
    </w:p>
    <w:p w14:paraId="399DCA8E" w14:textId="77777777" w:rsidR="0050742B" w:rsidRDefault="0050742B" w:rsidP="0050742B">
      <w:pPr>
        <w:pStyle w:val="NoSpacing"/>
        <w:ind w:left="720"/>
      </w:pPr>
      <w:r>
        <w:t>Juday Creek disclaims any fraud based on the ADT representative’s promise to silence the alarm system for only a week and focuses only on the representation presupposed by ongoing billing, and one cannot plausibly assume that billing was not part and parcel of this commercial contract. With no fraud or injury distinct from the alleged breach of contract, Juday Creek’s actual and constructive fraud claims must be dismissed.”</w:t>
      </w:r>
    </w:p>
    <w:p w14:paraId="75708598" w14:textId="77777777" w:rsidR="0050742B" w:rsidRDefault="0050742B" w:rsidP="0050742B">
      <w:pPr>
        <w:pStyle w:val="NoSpacing"/>
        <w:ind w:left="720"/>
      </w:pPr>
    </w:p>
    <w:p w14:paraId="78C21A84" w14:textId="77777777" w:rsidR="0050742B" w:rsidRPr="006F5CA2" w:rsidRDefault="0050742B" w:rsidP="0050742B">
      <w:pPr>
        <w:pStyle w:val="NoSpacing"/>
        <w:rPr>
          <w:b/>
          <w:bCs/>
        </w:rPr>
      </w:pPr>
      <w:r>
        <w:rPr>
          <w:b/>
        </w:rPr>
        <w:t xml:space="preserve">Legal lesson learned: The golf club and their insurance company have a very strong case that will likely settle the case before trial.  When alarm company shuts off the alarm for “one week” it is wise for building owner to later re-test to confirm system now back on. </w:t>
      </w:r>
    </w:p>
    <w:p w14:paraId="2E6D79B8" w14:textId="77777777" w:rsidR="0050742B" w:rsidRDefault="0050742B" w:rsidP="00E16BDA">
      <w:pPr>
        <w:pStyle w:val="NoSpacing"/>
        <w:rPr>
          <w:rFonts w:ascii="Arial Black" w:hAnsi="Arial Black"/>
          <w:sz w:val="28"/>
          <w:szCs w:val="28"/>
        </w:rPr>
      </w:pPr>
    </w:p>
    <w:p w14:paraId="066B56E1" w14:textId="77777777" w:rsidR="007008DA" w:rsidRDefault="007008DA" w:rsidP="00E16BDA">
      <w:pPr>
        <w:pStyle w:val="NoSpacing"/>
        <w:rPr>
          <w:rFonts w:ascii="Arial Black" w:hAnsi="Arial Black"/>
          <w:sz w:val="28"/>
          <w:szCs w:val="28"/>
        </w:rPr>
      </w:pPr>
    </w:p>
    <w:p w14:paraId="543ED621" w14:textId="77777777" w:rsidR="007008DA" w:rsidRDefault="007008DA" w:rsidP="00E16BDA">
      <w:pPr>
        <w:pStyle w:val="NoSpacing"/>
        <w:rPr>
          <w:rFonts w:ascii="Arial Black" w:hAnsi="Arial Black"/>
          <w:sz w:val="28"/>
          <w:szCs w:val="28"/>
        </w:rPr>
      </w:pPr>
    </w:p>
    <w:p w14:paraId="37F18B59" w14:textId="5EF0BAE5" w:rsidR="00E16BDA" w:rsidRDefault="00E16BDA" w:rsidP="00E16BDA">
      <w:pPr>
        <w:pStyle w:val="NoSpacing"/>
        <w:rPr>
          <w:rFonts w:ascii="Arial Black" w:hAnsi="Arial Black"/>
          <w:sz w:val="28"/>
          <w:szCs w:val="28"/>
        </w:rPr>
      </w:pPr>
      <w:r>
        <w:rPr>
          <w:rFonts w:ascii="Arial Black" w:hAnsi="Arial Black"/>
          <w:sz w:val="28"/>
          <w:szCs w:val="28"/>
        </w:rPr>
        <w:t>1-220</w:t>
      </w:r>
    </w:p>
    <w:p w14:paraId="4A9A6C90" w14:textId="77777777" w:rsidR="00E16BDA" w:rsidRDefault="00E16BDA" w:rsidP="00E16BDA">
      <w:pPr>
        <w:pStyle w:val="NoSpacing"/>
        <w:rPr>
          <w:rFonts w:ascii="Arial Black" w:hAnsi="Arial Black"/>
          <w:sz w:val="28"/>
          <w:szCs w:val="28"/>
        </w:rPr>
      </w:pPr>
    </w:p>
    <w:p w14:paraId="64CE70A5" w14:textId="487BA5F4" w:rsidR="00E16BDA" w:rsidRDefault="00E16BDA" w:rsidP="00E16BDA">
      <w:pPr>
        <w:pStyle w:val="NoSpacing"/>
        <w:rPr>
          <w:rFonts w:ascii="Arial Black" w:hAnsi="Arial Black"/>
          <w:bCs/>
          <w:sz w:val="28"/>
          <w:szCs w:val="28"/>
        </w:rPr>
      </w:pPr>
      <w:r>
        <w:rPr>
          <w:rFonts w:ascii="Arial Black" w:hAnsi="Arial Black"/>
          <w:sz w:val="28"/>
          <w:szCs w:val="28"/>
        </w:rPr>
        <w:t>KY: ARSON - ANONYMOUS 911 CALLER – NOT HEARSAY</w:t>
      </w:r>
    </w:p>
    <w:p w14:paraId="5EC45D8E" w14:textId="77777777" w:rsidR="00E16BDA" w:rsidRDefault="00E16BDA" w:rsidP="00E16BDA">
      <w:pPr>
        <w:pStyle w:val="NoSpacing"/>
        <w:rPr>
          <w:rFonts w:ascii="Arial Black" w:hAnsi="Arial Black"/>
          <w:bCs/>
          <w:sz w:val="28"/>
          <w:szCs w:val="28"/>
        </w:rPr>
      </w:pPr>
    </w:p>
    <w:p w14:paraId="2E45F4D7" w14:textId="77777777" w:rsidR="00E16BDA" w:rsidRDefault="00E16BDA" w:rsidP="00E16BDA">
      <w:pPr>
        <w:pStyle w:val="NoSpacing"/>
        <w:rPr>
          <w:bCs/>
        </w:rPr>
      </w:pPr>
      <w:r>
        <w:t xml:space="preserve">On July 24, 2026, in </w:t>
      </w:r>
      <w:r w:rsidRPr="007C4E79">
        <w:t>Nathan McClure v. Commonwealth of Kentuck</w:t>
      </w:r>
      <w:r w:rsidRPr="00DA630E">
        <w:rPr>
          <w:u w:val="single"/>
        </w:rPr>
        <w:t>y</w:t>
      </w:r>
      <w:r>
        <w:t xml:space="preserve">, the </w:t>
      </w:r>
      <w:r w:rsidRPr="00DA630E">
        <w:t>Court of Appeals of Kentucky</w:t>
      </w:r>
      <w:r>
        <w:t xml:space="preserve"> held (3 to 0) that trial court properly allowed jury to hear an anonymous 911 caller describing the arsonist’s conduct setting fire to his houseboat. </w:t>
      </w:r>
      <w:r w:rsidRPr="000A5AAA">
        <w:t>The jury found McClure guilty of both third-degree arson and first-degree criminal mischief. It recommended the minimum sentence of one year on each charge to be served concurrently and the trial court sentenced McClure</w:t>
      </w:r>
      <w:r>
        <w:t xml:space="preserve"> as recommended. </w:t>
      </w:r>
    </w:p>
    <w:p w14:paraId="4CCEB74B" w14:textId="77777777" w:rsidR="00E16BDA" w:rsidRDefault="00E16BDA" w:rsidP="00E16BDA">
      <w:pPr>
        <w:pStyle w:val="NoSpacing"/>
        <w:rPr>
          <w:b/>
        </w:rPr>
      </w:pPr>
      <w:hyperlink r:id="rId34" w:history="1">
        <w:r w:rsidRPr="00465492">
          <w:rPr>
            <w:rStyle w:val="Hyperlink"/>
            <w:b/>
          </w:rPr>
          <w:t>https://cases.justia.com/kentucky/court-of-appeals/2026-2025-ca-0111-mr.pdf?ts=1784901906</w:t>
        </w:r>
      </w:hyperlink>
      <w:r>
        <w:rPr>
          <w:b/>
        </w:rPr>
        <w:t xml:space="preserve"> </w:t>
      </w:r>
    </w:p>
    <w:p w14:paraId="315A9442" w14:textId="77777777" w:rsidR="00E16BDA" w:rsidRDefault="00E16BDA" w:rsidP="00E16BDA">
      <w:pPr>
        <w:pStyle w:val="NoSpacing"/>
        <w:rPr>
          <w:b/>
        </w:rPr>
      </w:pPr>
    </w:p>
    <w:p w14:paraId="7AF683E9" w14:textId="77777777" w:rsidR="00E16BDA" w:rsidRDefault="00E16BDA" w:rsidP="00E16BDA">
      <w:pPr>
        <w:pStyle w:val="NoSpacing"/>
        <w:rPr>
          <w:bCs/>
        </w:rPr>
      </w:pPr>
      <w:r>
        <w:t>THE COURT WROTE:</w:t>
      </w:r>
    </w:p>
    <w:p w14:paraId="5E2F7CFA" w14:textId="77777777" w:rsidR="00E16BDA" w:rsidRDefault="00E16BDA" w:rsidP="00E16BDA">
      <w:pPr>
        <w:pStyle w:val="NoSpacing"/>
        <w:rPr>
          <w:bCs/>
        </w:rPr>
      </w:pPr>
      <w:r>
        <w:t>‘</w:t>
      </w:r>
      <w:r w:rsidRPr="0079320F">
        <w:t>In the instant case, there is no dispute that McClure intentionally set a</w:t>
      </w:r>
      <w:r>
        <w:t xml:space="preserve"> </w:t>
      </w:r>
      <w:r w:rsidRPr="0079320F">
        <w:t>fire on the night in question. However, a key issue at McClure’s jury trial was</w:t>
      </w:r>
      <w:r>
        <w:t xml:space="preserve"> </w:t>
      </w:r>
      <w:r w:rsidRPr="0079320F">
        <w:t xml:space="preserve">whether McClure had </w:t>
      </w:r>
      <w:r w:rsidRPr="0079320F">
        <w:rPr>
          <w:b/>
        </w:rPr>
        <w:t xml:space="preserve">wantonly </w:t>
      </w:r>
      <w:r w:rsidRPr="0079320F">
        <w:t>caused the destruction of the Cooks’ building</w:t>
      </w:r>
      <w:r>
        <w:t xml:space="preserve">…. </w:t>
      </w:r>
      <w:r w:rsidRPr="00513FBF">
        <w:t>One person who called three times about the fire chose to remain</w:t>
      </w:r>
      <w:r>
        <w:t xml:space="preserve"> </w:t>
      </w:r>
      <w:r w:rsidRPr="00513FBF">
        <w:t>anonymous and asked if he was speaking with a particular dispatcher in one call.</w:t>
      </w:r>
      <w:r>
        <w:t xml:space="preserve"> </w:t>
      </w:r>
      <w:r w:rsidRPr="00513FBF">
        <w:t>This anonymous caller first called to report that a man was burning a houseboat</w:t>
      </w:r>
      <w:r>
        <w:t xml:space="preserve"> </w:t>
      </w:r>
      <w:r w:rsidRPr="00513FBF">
        <w:t>and to request that firefighters come to a specific location. The second call from</w:t>
      </w:r>
      <w:r>
        <w:t xml:space="preserve"> </w:t>
      </w:r>
      <w:r w:rsidRPr="00642400">
        <w:t>this same caller reported the fire was escalating, provided a location, and expressed</w:t>
      </w:r>
      <w:r>
        <w:t xml:space="preserve"> </w:t>
      </w:r>
      <w:r w:rsidRPr="00642400">
        <w:t>a fear of the fire spreading to his home.</w:t>
      </w:r>
      <w:r>
        <w:t xml:space="preserve"> </w:t>
      </w:r>
      <w:r w:rsidRPr="00642400">
        <w:t>In his third and last call, the anonymous caller said he was the guy</w:t>
      </w:r>
      <w:r>
        <w:t xml:space="preserve"> </w:t>
      </w:r>
      <w:r w:rsidRPr="00642400">
        <w:t>who had called before about a fire, but he declined to give his name. He stated:</w:t>
      </w:r>
    </w:p>
    <w:p w14:paraId="5EDA5C0F" w14:textId="77777777" w:rsidR="00E16BDA" w:rsidRDefault="00E16BDA" w:rsidP="00E16BDA">
      <w:pPr>
        <w:pStyle w:val="NoSpacing"/>
        <w:rPr>
          <w:bCs/>
        </w:rPr>
      </w:pPr>
    </w:p>
    <w:p w14:paraId="7A0A9219" w14:textId="77777777" w:rsidR="00E16BDA" w:rsidRPr="00642400" w:rsidRDefault="00E16BDA" w:rsidP="00E16BDA">
      <w:pPr>
        <w:pStyle w:val="NoSpacing"/>
        <w:ind w:left="720" w:firstLine="720"/>
        <w:rPr>
          <w:bCs/>
        </w:rPr>
      </w:pPr>
      <w:r w:rsidRPr="00642400">
        <w:t>The guy that’s burned this place, that’s f****</w:t>
      </w:r>
      <w:proofErr w:type="spellStart"/>
      <w:r w:rsidRPr="00642400">
        <w:t>ing</w:t>
      </w:r>
      <w:proofErr w:type="spellEnd"/>
    </w:p>
    <w:p w14:paraId="0293C372" w14:textId="77777777" w:rsidR="00E16BDA" w:rsidRPr="00642400" w:rsidRDefault="00E16BDA" w:rsidP="00E16BDA">
      <w:pPr>
        <w:pStyle w:val="NoSpacing"/>
        <w:ind w:left="720" w:firstLine="720"/>
        <w:rPr>
          <w:bCs/>
        </w:rPr>
      </w:pPr>
      <w:r w:rsidRPr="00642400">
        <w:t>responsible one for it, is wild as a buck. He just took off</w:t>
      </w:r>
    </w:p>
    <w:p w14:paraId="79BD915A" w14:textId="77777777" w:rsidR="00E16BDA" w:rsidRPr="00642400" w:rsidRDefault="00E16BDA" w:rsidP="00E16BDA">
      <w:pPr>
        <w:pStyle w:val="NoSpacing"/>
        <w:ind w:left="720" w:firstLine="720"/>
        <w:rPr>
          <w:bCs/>
        </w:rPr>
      </w:pPr>
      <w:r w:rsidRPr="00642400">
        <w:t xml:space="preserve">in </w:t>
      </w:r>
      <w:proofErr w:type="gramStart"/>
      <w:r w:rsidRPr="00642400">
        <w:t>a ton</w:t>
      </w:r>
      <w:proofErr w:type="gramEnd"/>
      <w:r w:rsidRPr="00642400">
        <w:t xml:space="preserve"> truck with a </w:t>
      </w:r>
      <w:proofErr w:type="gramStart"/>
      <w:r w:rsidRPr="00642400">
        <w:t>track</w:t>
      </w:r>
      <w:proofErr w:type="gramEnd"/>
      <w:r w:rsidRPr="00642400">
        <w:t xml:space="preserve"> on the back of it and piled it,</w:t>
      </w:r>
    </w:p>
    <w:p w14:paraId="787E1897" w14:textId="77777777" w:rsidR="00E16BDA" w:rsidRPr="00642400" w:rsidRDefault="00E16BDA" w:rsidP="00E16BDA">
      <w:pPr>
        <w:pStyle w:val="NoSpacing"/>
        <w:ind w:left="720" w:firstLine="720"/>
        <w:rPr>
          <w:bCs/>
        </w:rPr>
      </w:pPr>
      <w:r w:rsidRPr="00642400">
        <w:t>son of a b****, right over here across from Stephens Pipe</w:t>
      </w:r>
    </w:p>
    <w:p w14:paraId="1882432E" w14:textId="77777777" w:rsidR="00E16BDA" w:rsidRPr="00C714A4" w:rsidRDefault="00E16BDA" w:rsidP="00E16BDA">
      <w:pPr>
        <w:pStyle w:val="NoSpacing"/>
        <w:ind w:left="720" w:firstLine="720"/>
        <w:rPr>
          <w:bCs/>
        </w:rPr>
      </w:pPr>
      <w:r w:rsidRPr="00642400">
        <w:t>and Steel in their</w:t>
      </w:r>
      <w:r>
        <w:t xml:space="preserve"> </w:t>
      </w:r>
      <w:r w:rsidRPr="00C714A4">
        <w:t>parking lot. Just ditched it. I think he’s</w:t>
      </w:r>
    </w:p>
    <w:p w14:paraId="58580BF5" w14:textId="77777777" w:rsidR="00E16BDA" w:rsidRDefault="00E16BDA" w:rsidP="00E16BDA">
      <w:pPr>
        <w:pStyle w:val="NoSpacing"/>
        <w:ind w:left="720" w:firstLine="720"/>
        <w:rPr>
          <w:bCs/>
        </w:rPr>
      </w:pPr>
      <w:r w:rsidRPr="00C714A4">
        <w:t>trying to run off.</w:t>
      </w:r>
    </w:p>
    <w:p w14:paraId="44CFA473" w14:textId="77777777" w:rsidR="00E16BDA" w:rsidRDefault="00E16BDA" w:rsidP="00E16BDA">
      <w:pPr>
        <w:pStyle w:val="NoSpacing"/>
        <w:ind w:left="720" w:firstLine="720"/>
        <w:rPr>
          <w:bCs/>
        </w:rPr>
      </w:pPr>
    </w:p>
    <w:p w14:paraId="6CE49F93" w14:textId="77777777" w:rsidR="00E16BDA" w:rsidRDefault="00E16BDA" w:rsidP="00E16BDA">
      <w:pPr>
        <w:pStyle w:val="NoSpacing"/>
        <w:rPr>
          <w:bCs/>
        </w:rPr>
      </w:pPr>
      <w:r>
        <w:t>***</w:t>
      </w:r>
    </w:p>
    <w:p w14:paraId="19CAB567" w14:textId="77777777" w:rsidR="00E16BDA" w:rsidRPr="00AB1F06" w:rsidRDefault="00E16BDA" w:rsidP="00E16BDA">
      <w:pPr>
        <w:pStyle w:val="NoSpacing"/>
        <w:rPr>
          <w:bCs/>
        </w:rPr>
      </w:pPr>
      <w:r w:rsidRPr="00AB1F06">
        <w:t>Like the trial court, we agree with the Commonwealth that even the</w:t>
      </w:r>
      <w:r>
        <w:t xml:space="preserve"> </w:t>
      </w:r>
      <w:r w:rsidRPr="00AB1F06">
        <w:t>third anonymous call was aimed at obtaining emergency assistance and is therefore</w:t>
      </w:r>
      <w:r>
        <w:t xml:space="preserve"> </w:t>
      </w:r>
      <w:r w:rsidRPr="00AB1F06">
        <w:t>non-testimonial. Specifically, this last anonymous call recounted observing the</w:t>
      </w:r>
      <w:r>
        <w:t xml:space="preserve"> </w:t>
      </w:r>
      <w:r w:rsidRPr="00AB1F06">
        <w:t>person who had started the fire—whom the caller identified as McClure—</w:t>
      </w:r>
      <w:r>
        <w:t xml:space="preserve"> </w:t>
      </w:r>
      <w:r w:rsidRPr="00AB1F06">
        <w:t>engaging in actions including getting in a truck and unloading it and apparently</w:t>
      </w:r>
      <w:r>
        <w:t xml:space="preserve"> </w:t>
      </w:r>
      <w:r w:rsidRPr="00AB1F06">
        <w:t xml:space="preserve">trying to get away. The </w:t>
      </w:r>
      <w:proofErr w:type="gramStart"/>
      <w:r w:rsidRPr="00AB1F06">
        <w:t>caller’s</w:t>
      </w:r>
      <w:proofErr w:type="gramEnd"/>
      <w:r w:rsidRPr="00AB1F06">
        <w:t xml:space="preserve"> reports that the person responsible for the fire</w:t>
      </w:r>
    </w:p>
    <w:p w14:paraId="109DF295" w14:textId="77777777" w:rsidR="00E16BDA" w:rsidRDefault="00E16BDA" w:rsidP="00E16BDA">
      <w:pPr>
        <w:pStyle w:val="NoSpacing"/>
        <w:rPr>
          <w:bCs/>
        </w:rPr>
      </w:pPr>
      <w:r w:rsidRPr="00AB1F06">
        <w:t>appeared to be trying to get away could be reasonably construed as an implicit</w:t>
      </w:r>
      <w:r>
        <w:t xml:space="preserve"> </w:t>
      </w:r>
      <w:r w:rsidRPr="00AB1F06">
        <w:t>request for law enforcement to be immediately sent to the scene on an emergency</w:t>
      </w:r>
      <w:r>
        <w:t xml:space="preserve"> </w:t>
      </w:r>
      <w:proofErr w:type="gramStart"/>
      <w:r w:rsidRPr="00AB1F06">
        <w:t>basis.</w:t>
      </w:r>
      <w:r>
        <w:t>”</w:t>
      </w:r>
      <w:proofErr w:type="gramEnd"/>
    </w:p>
    <w:p w14:paraId="16700085" w14:textId="77777777" w:rsidR="00E16BDA" w:rsidRDefault="00E16BDA" w:rsidP="00E16BDA">
      <w:pPr>
        <w:pStyle w:val="NoSpacing"/>
        <w:rPr>
          <w:bCs/>
        </w:rPr>
      </w:pPr>
    </w:p>
    <w:p w14:paraId="61D09F3E" w14:textId="77777777" w:rsidR="00E16BDA" w:rsidRPr="009146F7" w:rsidRDefault="00E16BDA" w:rsidP="00E16BDA">
      <w:pPr>
        <w:pStyle w:val="NoSpacing"/>
        <w:rPr>
          <w:b/>
        </w:rPr>
      </w:pPr>
      <w:r>
        <w:rPr>
          <w:b/>
        </w:rPr>
        <w:t xml:space="preserve">Legal lesson learned: Emergency call to 911 admissible in arson trial. </w:t>
      </w:r>
    </w:p>
    <w:p w14:paraId="1B79FED1" w14:textId="77777777" w:rsidR="00E16BDA" w:rsidRDefault="00E16BDA" w:rsidP="00E16BDA">
      <w:pPr>
        <w:pStyle w:val="NoSpacing"/>
        <w:rPr>
          <w:b/>
          <w:sz w:val="20"/>
          <w:szCs w:val="20"/>
        </w:rPr>
      </w:pPr>
    </w:p>
    <w:p w14:paraId="323163FB" w14:textId="77777777" w:rsidR="00E16BDA" w:rsidRDefault="00E16BDA" w:rsidP="00E16BDA">
      <w:pPr>
        <w:pStyle w:val="NoSpacing"/>
        <w:rPr>
          <w:b/>
          <w:sz w:val="20"/>
          <w:szCs w:val="20"/>
        </w:rPr>
      </w:pPr>
    </w:p>
    <w:p w14:paraId="2BD555AC" w14:textId="77777777" w:rsidR="00E16BDA" w:rsidRDefault="00E16BDA" w:rsidP="00E16BDA">
      <w:pPr>
        <w:pStyle w:val="NoSpacing"/>
        <w:rPr>
          <w:b/>
          <w:sz w:val="20"/>
          <w:szCs w:val="20"/>
        </w:rPr>
      </w:pPr>
    </w:p>
    <w:p w14:paraId="324477E2" w14:textId="77777777" w:rsidR="00E16BDA" w:rsidRDefault="00E16BDA" w:rsidP="00E16BDA">
      <w:pPr>
        <w:pStyle w:val="NoSpacing"/>
        <w:rPr>
          <w:b/>
          <w:sz w:val="20"/>
          <w:szCs w:val="20"/>
        </w:rPr>
      </w:pPr>
    </w:p>
    <w:p w14:paraId="07B7EF1F" w14:textId="1DE9F3D2" w:rsidR="00E16BDA" w:rsidRPr="00E16BDA" w:rsidRDefault="00E16BDA" w:rsidP="00E16BDA">
      <w:pPr>
        <w:pStyle w:val="NoSpacing"/>
        <w:rPr>
          <w:rFonts w:ascii="Arial Black" w:hAnsi="Arial Black"/>
          <w:b/>
          <w:sz w:val="24"/>
          <w:szCs w:val="24"/>
        </w:rPr>
      </w:pPr>
      <w:r w:rsidRPr="00E16BDA">
        <w:rPr>
          <w:rFonts w:ascii="Arial Black" w:hAnsi="Arial Black"/>
          <w:b/>
          <w:sz w:val="24"/>
          <w:szCs w:val="24"/>
        </w:rPr>
        <w:t>1-219</w:t>
      </w:r>
    </w:p>
    <w:p w14:paraId="365D3FD2" w14:textId="77777777" w:rsidR="00E16BDA" w:rsidRDefault="00E16BDA" w:rsidP="00E16BDA">
      <w:pPr>
        <w:pStyle w:val="NoSpacing"/>
        <w:rPr>
          <w:rFonts w:ascii="Arial Black" w:hAnsi="Arial Black"/>
          <w:b/>
          <w:sz w:val="28"/>
          <w:szCs w:val="28"/>
        </w:rPr>
      </w:pPr>
    </w:p>
    <w:p w14:paraId="326620AC" w14:textId="77777777" w:rsidR="00E16BDA" w:rsidRDefault="00E16BDA" w:rsidP="00E16BDA">
      <w:pPr>
        <w:pStyle w:val="NoSpacing"/>
        <w:rPr>
          <w:b/>
        </w:rPr>
      </w:pPr>
      <w:r>
        <w:rPr>
          <w:rFonts w:ascii="Arial Black" w:hAnsi="Arial Black"/>
          <w:b/>
          <w:sz w:val="28"/>
          <w:szCs w:val="28"/>
        </w:rPr>
        <w:t>NY: LAPTOP – “THERMAL RUNAWAY” – REPLACED BATTERY</w:t>
      </w:r>
    </w:p>
    <w:p w14:paraId="130047F8" w14:textId="77777777" w:rsidR="00E16BDA" w:rsidRDefault="00E16BDA" w:rsidP="00E16BDA">
      <w:pPr>
        <w:pStyle w:val="NoSpacing"/>
        <w:rPr>
          <w:bCs/>
        </w:rPr>
      </w:pPr>
    </w:p>
    <w:p w14:paraId="0CD5B4A3" w14:textId="77777777" w:rsidR="00E16BDA" w:rsidRDefault="00E16BDA" w:rsidP="00E16BDA">
      <w:pPr>
        <w:pStyle w:val="NoSpacing"/>
        <w:rPr>
          <w:bCs/>
        </w:rPr>
      </w:pPr>
      <w:r>
        <w:t xml:space="preserve">On July 23, 2026, in </w:t>
      </w:r>
      <w:r w:rsidRPr="00296057">
        <w:rPr>
          <w:u w:val="single"/>
        </w:rPr>
        <w:t>Carol S. Marcellin, individually and Co-Administrator of the Estate of Charles E. Hollowell, deceased, et al. v. HP Inc. and Staples, Inc.</w:t>
      </w:r>
      <w:r>
        <w:t xml:space="preserve">, U.S. District Court Judge Geoffrey W. Crawford, United States District Court for the Western District of New York, held that the plaintiffs’ motion to exclude the expert reports of HP and Staples are denied.  Those reports point to the computer owner having replaced the batteries that led to the thermal runaway fire that killed wheelchair bound resident. Case to proceed to trial. </w:t>
      </w:r>
      <w:hyperlink r:id="rId35" w:history="1">
        <w:r w:rsidRPr="00CB1E6C">
          <w:rPr>
            <w:rStyle w:val="Hyperlink"/>
          </w:rPr>
          <w:t>https://public.fastcase.com/Jhe1Qn%2BmJndQYQU6z%2FeNm41Z%2FOdo7wEiV%2BXZOn6Ck9WelihsBDHZxfns7L5Vlobe8KCYik0lEXZYSVwiLsKn0UW5%2B2VWsVkokbGOgZx52u8%3D?utm_medium=email&amp;_hsenc=p2ANqtz-9EI0U8e9McRrVX-UJhUyqBaKFqyfeNAikLllF44Be7atxg43fyP-ODCP6rir31MZENUpzNCQwvOHRXOJumMmb9zT3Dpw&amp;_hsmi=226712652&amp;utm_content=226712652&amp;utm_source=hs_email</w:t>
        </w:r>
      </w:hyperlink>
      <w:r>
        <w:t xml:space="preserve"> </w:t>
      </w:r>
    </w:p>
    <w:p w14:paraId="7D7F85E3" w14:textId="77777777" w:rsidR="00E16BDA" w:rsidRDefault="00E16BDA" w:rsidP="00E16BDA">
      <w:pPr>
        <w:pStyle w:val="NoSpacing"/>
        <w:rPr>
          <w:bCs/>
        </w:rPr>
      </w:pPr>
    </w:p>
    <w:p w14:paraId="204049E8" w14:textId="77777777" w:rsidR="00E16BDA" w:rsidRDefault="00E16BDA" w:rsidP="00E16BDA">
      <w:pPr>
        <w:pStyle w:val="NoSpacing"/>
        <w:rPr>
          <w:bCs/>
        </w:rPr>
      </w:pPr>
      <w:r>
        <w:t>THE COURT WROTE:</w:t>
      </w:r>
    </w:p>
    <w:p w14:paraId="5D60073F" w14:textId="77777777" w:rsidR="00E16BDA" w:rsidRDefault="00E16BDA" w:rsidP="00E16BDA">
      <w:pPr>
        <w:pStyle w:val="NoSpacing"/>
        <w:rPr>
          <w:bCs/>
        </w:rPr>
      </w:pPr>
    </w:p>
    <w:p w14:paraId="4802DE0B" w14:textId="77777777" w:rsidR="00E16BDA" w:rsidRDefault="00E16BDA" w:rsidP="00E16BDA">
      <w:pPr>
        <w:pStyle w:val="NoSpacing"/>
      </w:pPr>
      <w:r>
        <w:t>“</w:t>
      </w:r>
      <w:r w:rsidRPr="009A188F">
        <w:t>This is a personal injury case in which Plaintiffs Carol Marcellin and Jessica Hollowell-McKay have filed suit against Defendants HP, Inc., (HP) and Staples, Inc. (Staples), the manufacturer and retailer, respectively, of an HP Pavilion DV6 Laptop computer purchased by Marcellin in 2011. Their claims concern a fire that broke out at Marcellin's Ceres, New York residence on January 24, 2020, injuring Marcellin and killing her partner Charles Hollowell</w:t>
      </w:r>
      <w:r>
        <w:t xml:space="preserve">…. </w:t>
      </w:r>
      <w:r w:rsidRPr="00704F4B">
        <w:t>On the night of January 19, 2020, Marcellin left the HP laptop powered on and charging on an armoire in the office of her home while it downloaded an anti-virus software update</w:t>
      </w:r>
      <w:r>
        <w:t xml:space="preserve">…. </w:t>
      </w:r>
      <w:r w:rsidRPr="00704F4B">
        <w:t>She testified that this was the first instance in which she had left the laptop charging overnight</w:t>
      </w:r>
      <w:r>
        <w:t>….</w:t>
      </w:r>
      <w:r w:rsidRPr="00704F4B">
        <w:t xml:space="preserve"> Shortly after 4:00 a.m. on the morning of January 24, she was awoken by a smoke alarm located in the hallway outside her bedroom</w:t>
      </w:r>
      <w:r>
        <w:t xml:space="preserve">…. </w:t>
      </w:r>
      <w:r w:rsidRPr="00505FF8">
        <w:t>She then returned the bedroom, where she discovered that Hollowell had fallen while trying to get out of the bed</w:t>
      </w:r>
      <w:r>
        <w:t xml:space="preserve">…. </w:t>
      </w:r>
      <w:r w:rsidRPr="00505FF8">
        <w:t>Marcellin tried and failed to lift Hollowell into his wheelchair</w:t>
      </w:r>
      <w:r>
        <w:t xml:space="preserve">…. </w:t>
      </w:r>
      <w:r w:rsidRPr="00505FF8">
        <w:t xml:space="preserve">She was unable to find her cell phone to call for emergency assistance. </w:t>
      </w:r>
    </w:p>
    <w:p w14:paraId="310D23E3" w14:textId="77777777" w:rsidR="00E16BDA" w:rsidRDefault="00E16BDA" w:rsidP="00E16BDA">
      <w:pPr>
        <w:pStyle w:val="NoSpacing"/>
      </w:pPr>
    </w:p>
    <w:p w14:paraId="602697C6" w14:textId="77777777" w:rsidR="00E16BDA" w:rsidRDefault="00E16BDA" w:rsidP="00E16BDA">
      <w:pPr>
        <w:pStyle w:val="NoSpacing"/>
      </w:pPr>
      <w:r>
        <w:t>***</w:t>
      </w:r>
    </w:p>
    <w:p w14:paraId="43997EBD" w14:textId="77777777" w:rsidR="00E16BDA" w:rsidRDefault="00E16BDA" w:rsidP="00E16BDA">
      <w:pPr>
        <w:pStyle w:val="NoSpacing"/>
      </w:pPr>
      <w:r w:rsidRPr="00CA4232">
        <w:t>Karasinski and HP's battery expert Donald Galler examined evidence collected from the scene inspection at a subsequent investigation conducted at the Fire Research &amp; Technology (FRT) laboratory in Sodus Point, New York on October 30, 2020</w:t>
      </w:r>
      <w:r>
        <w:t xml:space="preserve">…. </w:t>
      </w:r>
      <w:r w:rsidRPr="00CA4232">
        <w:t>Both Galler and Dr. Steve Martin, a battery expert retained by Plaintiffs who later reviewed the evidence from the laboratory investigation, concluded that the battery installed in the HP laptop at the time of the fire was not the original battery, nor a replacement authorized by H</w:t>
      </w:r>
      <w:r>
        <w:t xml:space="preserve">P…. </w:t>
      </w:r>
      <w:r w:rsidRPr="00715D40">
        <w:t xml:space="preserve">HP's BMS systems required that batteries installed in its laptops be manufactured with certain microprocessors called </w:t>
      </w:r>
      <w:r>
        <w:t>‘</w:t>
      </w:r>
      <w:r w:rsidRPr="00715D40">
        <w:t>fuel gauges.</w:t>
      </w:r>
      <w:r>
        <w:t xml:space="preserve">’ </w:t>
      </w:r>
      <w:r w:rsidRPr="00715D40">
        <w:t xml:space="preserve">Eight different types of fuel gauges were approved by HP for use in authorized Pavilion batteries. Six of these fuel gauges were manufactured by Texas </w:t>
      </w:r>
      <w:proofErr w:type="gramStart"/>
      <w:r w:rsidRPr="00715D40">
        <w:t>Instruments, and</w:t>
      </w:r>
      <w:proofErr w:type="gramEnd"/>
      <w:r w:rsidRPr="00715D40">
        <w:t xml:space="preserve"> were compatible with various authentication systems</w:t>
      </w:r>
      <w:r>
        <w:t xml:space="preserve">…. </w:t>
      </w:r>
      <w:r w:rsidRPr="00715D40">
        <w:t>These systems would allow the device in which the battery was installed to verify that the installed battery was authorized for use in the device. One such system, which was implemented in some portable electronic devices at the time of the HP laptop's manufacture, employed a Secure Hash Algorithm 1 (SHA-1). Under SHA-1 authentication, the host device can automatically query the installed battery to determine whether it is authorized for use in the device. The host device can be programmed to cease operating if the installed battery is incapable of SHA-1 authentication. In this way, SHA-1 authentication reduces the risks of using unauthorized batteries in the host device</w:t>
      </w:r>
      <w:r>
        <w:t xml:space="preserve">…. </w:t>
      </w:r>
      <w:r w:rsidRPr="00C673C4">
        <w:t>For reasons stated above, Plaintiffs' motion to exclude those reports under Rule 702 has been denied. The cause of the fire remains an issue of genuine dispute. Plaintiffs' cross-motion for summary judgment on this issue is DENIED.</w:t>
      </w:r>
      <w:r>
        <w:t>”</w:t>
      </w:r>
    </w:p>
    <w:p w14:paraId="72A00381" w14:textId="77777777" w:rsidR="00E16BDA" w:rsidRDefault="00E16BDA" w:rsidP="00E16BDA">
      <w:pPr>
        <w:pStyle w:val="NoSpacing"/>
      </w:pPr>
    </w:p>
    <w:p w14:paraId="7FB36CD0" w14:textId="77777777" w:rsidR="00E16BDA" w:rsidRPr="001B4B1E" w:rsidRDefault="00E16BDA" w:rsidP="00E16BDA">
      <w:pPr>
        <w:pStyle w:val="NoSpacing"/>
        <w:rPr>
          <w:b/>
          <w:bCs/>
        </w:rPr>
      </w:pPr>
      <w:r>
        <w:rPr>
          <w:b/>
        </w:rPr>
        <w:t xml:space="preserve">Legal lesson learned: Case will proceed to trial; computer replacement batteries can lead to “thermal runaway” fires. </w:t>
      </w:r>
    </w:p>
    <w:p w14:paraId="216258A2" w14:textId="77777777" w:rsidR="00E16BDA" w:rsidRDefault="00E16BDA" w:rsidP="00E16BDA">
      <w:pPr>
        <w:pStyle w:val="NoSpacing"/>
        <w:rPr>
          <w:bCs/>
        </w:rPr>
      </w:pPr>
    </w:p>
    <w:p w14:paraId="54EEF613" w14:textId="77777777" w:rsidR="00E16BDA" w:rsidRDefault="00E16BDA" w:rsidP="00E16BDA">
      <w:pPr>
        <w:pStyle w:val="NoSpacing"/>
        <w:rPr>
          <w:rFonts w:ascii="Arial Black" w:hAnsi="Arial Black"/>
          <w:b/>
          <w:sz w:val="28"/>
          <w:szCs w:val="28"/>
        </w:rPr>
      </w:pPr>
    </w:p>
    <w:p w14:paraId="6E630BB8" w14:textId="77777777" w:rsidR="00E16BDA" w:rsidRDefault="00E16BDA" w:rsidP="00E16BDA">
      <w:pPr>
        <w:pStyle w:val="NoSpacing"/>
        <w:rPr>
          <w:b/>
          <w:sz w:val="20"/>
          <w:szCs w:val="20"/>
        </w:rPr>
      </w:pPr>
    </w:p>
    <w:p w14:paraId="68C5835C" w14:textId="77777777" w:rsidR="00E16BDA" w:rsidRDefault="00E16BDA" w:rsidP="00E16BDA">
      <w:pPr>
        <w:pStyle w:val="NoSpacing"/>
        <w:rPr>
          <w:b/>
          <w:sz w:val="20"/>
          <w:szCs w:val="20"/>
        </w:rPr>
      </w:pPr>
    </w:p>
    <w:p w14:paraId="7C4D4173" w14:textId="77777777" w:rsidR="00E16BDA" w:rsidRPr="00E16BDA" w:rsidRDefault="00E16BDA" w:rsidP="00E16BDA">
      <w:pPr>
        <w:pStyle w:val="NoSpacing"/>
        <w:rPr>
          <w:rFonts w:ascii="Arial Black" w:hAnsi="Arial Black"/>
          <w:b/>
          <w:sz w:val="24"/>
          <w:szCs w:val="24"/>
        </w:rPr>
      </w:pPr>
    </w:p>
    <w:p w14:paraId="7F108A1D" w14:textId="7617A105" w:rsidR="00E16BDA" w:rsidRPr="00E16BDA" w:rsidRDefault="00E16BDA" w:rsidP="00E16BDA">
      <w:pPr>
        <w:pStyle w:val="NoSpacing"/>
        <w:rPr>
          <w:rFonts w:ascii="Arial Black" w:hAnsi="Arial Black"/>
          <w:sz w:val="24"/>
          <w:szCs w:val="24"/>
        </w:rPr>
      </w:pPr>
      <w:r w:rsidRPr="00E16BDA">
        <w:rPr>
          <w:rFonts w:ascii="Arial Black" w:hAnsi="Arial Black"/>
          <w:sz w:val="24"/>
          <w:szCs w:val="24"/>
        </w:rPr>
        <w:t>1-218</w:t>
      </w:r>
    </w:p>
    <w:p w14:paraId="4391F394" w14:textId="77777777" w:rsidR="00E16BDA" w:rsidRDefault="00E16BDA" w:rsidP="00E16BDA">
      <w:pPr>
        <w:pStyle w:val="NoSpacing"/>
      </w:pPr>
    </w:p>
    <w:p w14:paraId="388F6B9A" w14:textId="77777777" w:rsidR="00E16BDA" w:rsidRDefault="00E16BDA" w:rsidP="00E16BDA">
      <w:pPr>
        <w:pStyle w:val="NoSpacing"/>
        <w:rPr>
          <w:rFonts w:ascii="Arial Black" w:hAnsi="Arial Black"/>
          <w:sz w:val="28"/>
          <w:szCs w:val="28"/>
        </w:rPr>
      </w:pPr>
      <w:r>
        <w:rPr>
          <w:rFonts w:ascii="Arial Black" w:hAnsi="Arial Black"/>
          <w:sz w:val="28"/>
          <w:szCs w:val="28"/>
        </w:rPr>
        <w:t xml:space="preserve">U.S. SUP CT – WARRANT CELL PHONE LOCATION HISTORY </w:t>
      </w:r>
    </w:p>
    <w:p w14:paraId="711FD087" w14:textId="77777777" w:rsidR="00E16BDA" w:rsidRDefault="00E16BDA" w:rsidP="00E16BDA">
      <w:pPr>
        <w:pStyle w:val="NoSpacing"/>
        <w:rPr>
          <w:rFonts w:ascii="Arial Black" w:hAnsi="Arial Black"/>
          <w:sz w:val="28"/>
          <w:szCs w:val="28"/>
        </w:rPr>
      </w:pPr>
    </w:p>
    <w:p w14:paraId="6C8FC639" w14:textId="77777777" w:rsidR="00E16BDA" w:rsidRDefault="00E16BDA" w:rsidP="00E16BDA">
      <w:pPr>
        <w:pStyle w:val="NoSpacing"/>
      </w:pPr>
      <w:r>
        <w:t xml:space="preserve">On June 29, 2026, in </w:t>
      </w:r>
      <w:r w:rsidRPr="00E46076">
        <w:rPr>
          <w:u w:val="single"/>
        </w:rPr>
        <w:t xml:space="preserve">Okello </w:t>
      </w:r>
      <w:proofErr w:type="spellStart"/>
      <w:r w:rsidRPr="00E46076">
        <w:rPr>
          <w:u w:val="single"/>
        </w:rPr>
        <w:t>Chatrie</w:t>
      </w:r>
      <w:proofErr w:type="spellEnd"/>
      <w:r w:rsidRPr="00E46076">
        <w:rPr>
          <w:u w:val="single"/>
        </w:rPr>
        <w:t xml:space="preserve"> v. United States</w:t>
      </w:r>
      <w:r>
        <w:t xml:space="preserve">, the United States Supreme Court held (6 to 3) that that Virginia police officers conducted an illegal “search” when they obtained a search warrant from a Virginia magistrate for “geofence” cell phone data from Google – identifying who was near credit union when it was robbed at gun point on May 20, 2019, at about 4:50 p.m.  MAJORITY – JUSTICE ELENA KAGAN: “We hold that police officers invade a cell-phone user’s reasonable expectation of privacy when they access his Location History. It does not matter if the </w:t>
      </w:r>
      <w:proofErr w:type="gramStart"/>
      <w:r>
        <w:t>time period</w:t>
      </w:r>
      <w:proofErr w:type="gramEnd"/>
      <w:r>
        <w:t xml:space="preserve"> scrutinized was only two hours. Nor does it matter that the materials obtained were handed over by a third-party tech company.”</w:t>
      </w:r>
    </w:p>
    <w:p w14:paraId="62B46A39" w14:textId="77777777" w:rsidR="00E16BDA" w:rsidRDefault="00E16BDA" w:rsidP="00E16BDA">
      <w:pPr>
        <w:pStyle w:val="NoSpacing"/>
      </w:pPr>
      <w:r>
        <w:t>DISSENT – JUSTICE SAMUEL ALITO: “The majority reaches the opposite outcome, and in doing so, it announces a new rule of Fourth Amendment law: The police must obtain a warrant every time they access any cell-phone location information from a third party, however brief the duration, however innocuous the request, and however voluntarily that information was disclosed by the user.”</w:t>
      </w:r>
    </w:p>
    <w:p w14:paraId="3E5BEDBD" w14:textId="77777777" w:rsidR="00E16BDA" w:rsidRDefault="00E16BDA" w:rsidP="00E16BDA">
      <w:pPr>
        <w:pStyle w:val="NoSpacing"/>
      </w:pPr>
    </w:p>
    <w:p w14:paraId="67BC4E1D" w14:textId="77777777" w:rsidR="00E16BDA" w:rsidRDefault="00E16BDA" w:rsidP="00E16BDA">
      <w:pPr>
        <w:pStyle w:val="NoSpacing"/>
      </w:pPr>
      <w:r>
        <w:t>Case remanded to 4</w:t>
      </w:r>
      <w:r w:rsidRPr="00556807">
        <w:rPr>
          <w:vertAlign w:val="superscript"/>
        </w:rPr>
        <w:t>th</w:t>
      </w:r>
      <w:r>
        <w:t xml:space="preserve"> Circuit to decide if the police conduct was “reasonable” as the law stood in 2018 when they got the search warrant (“good faith exception” to the exclusionary rule).  If so, then the defendant’s conviction remains; he </w:t>
      </w:r>
      <w:r w:rsidRPr="006F7106">
        <w:t xml:space="preserve">entered a conditional guilty plea </w:t>
      </w:r>
      <w:r>
        <w:t xml:space="preserve">pled guilty in federal court to </w:t>
      </w:r>
      <w:proofErr w:type="gramStart"/>
      <w:r>
        <w:t>robbing</w:t>
      </w:r>
      <w:proofErr w:type="gramEnd"/>
      <w:r>
        <w:t xml:space="preserve"> a credit union in Virginia, and was sentenced to 12 years in prison, and 3 years supervised release. </w:t>
      </w:r>
      <w:hyperlink r:id="rId36" w:history="1">
        <w:r w:rsidRPr="00305A77">
          <w:rPr>
            <w:rStyle w:val="Hyperlink"/>
          </w:rPr>
          <w:t>https://www.supremecourt.gov/opinions/25pdf/25-112_0am4.pdf</w:t>
        </w:r>
      </w:hyperlink>
      <w:r>
        <w:t xml:space="preserve"> </w:t>
      </w:r>
    </w:p>
    <w:p w14:paraId="3E0DA24D" w14:textId="77777777" w:rsidR="00E16BDA" w:rsidRDefault="00E16BDA" w:rsidP="00E16BDA">
      <w:pPr>
        <w:pStyle w:val="NoSpacing"/>
      </w:pPr>
    </w:p>
    <w:p w14:paraId="2C182FCD" w14:textId="77777777" w:rsidR="00E16BDA" w:rsidRDefault="00E16BDA" w:rsidP="00E16BDA">
      <w:pPr>
        <w:pStyle w:val="NoSpacing"/>
      </w:pPr>
      <w:r>
        <w:t>THE COURT WROTE (Majority opinion by Justice Elena Kagan):</w:t>
      </w:r>
    </w:p>
    <w:p w14:paraId="36EE9E6B" w14:textId="77777777" w:rsidR="00E16BDA" w:rsidRDefault="00E16BDA" w:rsidP="00E16BDA">
      <w:pPr>
        <w:pStyle w:val="NoSpacing"/>
      </w:pPr>
    </w:p>
    <w:p w14:paraId="7B404BA1" w14:textId="77777777" w:rsidR="00E16BDA" w:rsidRDefault="00E16BDA" w:rsidP="00E16BDA">
      <w:pPr>
        <w:pStyle w:val="NoSpacing"/>
      </w:pPr>
      <w:r>
        <w:t>“On May 20, 2019, at about 4:50 p.m., a man robbed a credit union in Midlothian, Virginia. The robber presented a teller with a handwritten note demanding $100,000, threatening to hurt her and her family if she did not comply, and warning her that he had “boys on the lookout out</w:t>
      </w:r>
    </w:p>
    <w:p w14:paraId="6CA25ABE" w14:textId="77777777" w:rsidR="00E16BDA" w:rsidRDefault="00E16BDA" w:rsidP="00E16BDA">
      <w:pPr>
        <w:pStyle w:val="NoSpacing"/>
      </w:pPr>
      <w:r>
        <w:t xml:space="preserve">side.” 590 F. Supp. 3d, at 905–906. When the teller replied that she did not have access to that amount of money, the robber brandished a firearm. He ordered everyone in the bank to the </w:t>
      </w:r>
      <w:proofErr w:type="gramStart"/>
      <w:r>
        <w:t>ground, and</w:t>
      </w:r>
      <w:proofErr w:type="gramEnd"/>
      <w:r>
        <w:t xml:space="preserve"> forced the bank’s manager to open a safe and put $195,000 into a bag. The robber then left on foot with the money…. On June 14, the police officers thus applied to a Virginia</w:t>
      </w:r>
    </w:p>
    <w:p w14:paraId="2B802396" w14:textId="77777777" w:rsidR="00E16BDA" w:rsidRDefault="00E16BDA" w:rsidP="00E16BDA">
      <w:pPr>
        <w:pStyle w:val="NoSpacing"/>
      </w:pPr>
      <w:r>
        <w:t xml:space="preserve">magistrate for a geofence warrant directed to Google…. The District Court mainly agreed with </w:t>
      </w:r>
      <w:proofErr w:type="spellStart"/>
      <w:r>
        <w:t>Chatrie’s</w:t>
      </w:r>
      <w:proofErr w:type="spellEnd"/>
      <w:r>
        <w:t xml:space="preserve"> Fourth Amendment </w:t>
      </w:r>
      <w:proofErr w:type="gramStart"/>
      <w:r>
        <w:t>analysis, but</w:t>
      </w:r>
      <w:proofErr w:type="gramEnd"/>
      <w:r>
        <w:t xml:space="preserve"> still denied the motion to exclude the Location History evidence. Even though ‘this particular geofence warrant plainly violates the rights enshrined in [the Fourth] Amendment,’ the court stated, the officers’ reliance on it was not ‘objectively unreasonable.’ 590 F. Supp. 3d, at 905, 938. And because that was so, the court concluded, the good-faith exception to the exclusionary rule permitted admission of the location data. See id., at 937–938; United States v. Leon, 468 U. S. 897, 922–923 (1984) (establishing good-faith exception).</w:t>
      </w:r>
    </w:p>
    <w:p w14:paraId="6DE1EF01" w14:textId="77777777" w:rsidR="00E16BDA" w:rsidRDefault="00E16BDA" w:rsidP="00E16BDA">
      <w:pPr>
        <w:pStyle w:val="NoSpacing"/>
      </w:pPr>
    </w:p>
    <w:p w14:paraId="0F9AFE70" w14:textId="77777777" w:rsidR="00E16BDA" w:rsidRDefault="00E16BDA" w:rsidP="00E16BDA">
      <w:pPr>
        <w:pStyle w:val="NoSpacing"/>
      </w:pPr>
      <w:r>
        <w:t xml:space="preserve">Footnote 2: Except that in July 2025, years after the geofence warrant </w:t>
      </w:r>
      <w:proofErr w:type="gramStart"/>
      <w:r>
        <w:t>used</w:t>
      </w:r>
      <w:proofErr w:type="gramEnd"/>
      <w:r>
        <w:t xml:space="preserve"> in this case, Google made a change: It now stores Location History data on individual users’ devices rather than on its own servers. See Brief for Google LLC as Amicus Curiae 2. Google represents that, as a result, it</w:t>
      </w:r>
    </w:p>
    <w:p w14:paraId="481FD8F1" w14:textId="77777777" w:rsidR="00E16BDA" w:rsidRDefault="00E16BDA" w:rsidP="00E16BDA">
      <w:pPr>
        <w:pStyle w:val="NoSpacing"/>
      </w:pPr>
      <w:r>
        <w:t xml:space="preserve">is no longer capable of responding to geofence warrants that seek Location History data. </w:t>
      </w:r>
    </w:p>
    <w:p w14:paraId="08D26F9E" w14:textId="77777777" w:rsidR="00E16BDA" w:rsidRDefault="00E16BDA" w:rsidP="00E16BDA">
      <w:pPr>
        <w:pStyle w:val="NoSpacing"/>
      </w:pPr>
    </w:p>
    <w:p w14:paraId="0C10C09E" w14:textId="77777777" w:rsidR="00E16BDA" w:rsidRDefault="00E16BDA" w:rsidP="00E16BDA">
      <w:pPr>
        <w:pStyle w:val="NoSpacing"/>
      </w:pPr>
      <w:r>
        <w:t>***</w:t>
      </w:r>
    </w:p>
    <w:p w14:paraId="79BA140F" w14:textId="77777777" w:rsidR="00E16BDA" w:rsidRDefault="00E16BDA" w:rsidP="00E16BDA">
      <w:pPr>
        <w:pStyle w:val="NoSpacing"/>
      </w:pPr>
      <w:r>
        <w:t xml:space="preserve">We granted certiorari solely on the question whether the police violated the Fourth Amendment in obtaining </w:t>
      </w:r>
      <w:proofErr w:type="spellStart"/>
      <w:r>
        <w:t>Chatrie’s</w:t>
      </w:r>
      <w:proofErr w:type="spellEnd"/>
      <w:r>
        <w:t xml:space="preserve"> location data, thus declining to consider the exclusionary rule issue…. The disputed Fourth Amendment question divides into two parts. First, did law enforcement officials conduct a search under the Fourth Amendment when they acquired </w:t>
      </w:r>
      <w:proofErr w:type="spellStart"/>
      <w:r>
        <w:t>Chatrie’s</w:t>
      </w:r>
      <w:proofErr w:type="spellEnd"/>
      <w:r>
        <w:t xml:space="preserve"> location data from Google? We </w:t>
      </w:r>
      <w:proofErr w:type="gramStart"/>
      <w:r>
        <w:t>hold</w:t>
      </w:r>
      <w:proofErr w:type="gramEnd"/>
      <w:r>
        <w:t xml:space="preserve"> that they did because an individual has a legitimate expectation of privacy in his cell-phone location data. Second, did the multi-step geofence warrant issued here make that search reasonable? We leave that question—which requires deciding whether the warrant satisfied the Fourth Amendment’s probable cause and particularity requirements at each stage of the search process—to the Court of Appeals to address in the first instance…. For all those reasons, we hold that police officers invade a cell-phone user’s reasonable expectation of privacy when they access his Location History. It does not matter if the </w:t>
      </w:r>
      <w:proofErr w:type="gramStart"/>
      <w:r>
        <w:t>time period</w:t>
      </w:r>
      <w:proofErr w:type="gramEnd"/>
      <w:r>
        <w:t xml:space="preserve"> scrutinized was only two hours. Nor does it matter that the materials obtained were handed over by a third-party tech company.</w:t>
      </w:r>
    </w:p>
    <w:p w14:paraId="72A07929" w14:textId="77777777" w:rsidR="00E16BDA" w:rsidRDefault="00E16BDA" w:rsidP="00E16BDA">
      <w:pPr>
        <w:pStyle w:val="NoSpacing"/>
      </w:pPr>
    </w:p>
    <w:p w14:paraId="11550186" w14:textId="77777777" w:rsidR="00E16BDA" w:rsidRDefault="00E16BDA" w:rsidP="00E16BDA">
      <w:pPr>
        <w:pStyle w:val="NoSpacing"/>
      </w:pPr>
      <w:r>
        <w:t>Footnote 4: In line with our grant of certiorari, we do not address whether the good-faith exception to the exclusionary rule still allows the admission of the Location History data in this case. That question remains for the Fourth Circuit to consider anew, gleaning anything it thinks relevant from our decision on the substantive Fourth Amendment issues.</w:t>
      </w:r>
    </w:p>
    <w:p w14:paraId="05282D40" w14:textId="77777777" w:rsidR="00E16BDA" w:rsidRDefault="00E16BDA" w:rsidP="00E16BDA">
      <w:pPr>
        <w:pStyle w:val="NoSpacing"/>
      </w:pPr>
    </w:p>
    <w:p w14:paraId="715CB33C" w14:textId="77777777" w:rsidR="00E16BDA" w:rsidRDefault="00E16BDA" w:rsidP="00E16BDA">
      <w:pPr>
        <w:pStyle w:val="NoSpacing"/>
        <w:rPr>
          <w:b/>
          <w:bCs/>
        </w:rPr>
      </w:pPr>
      <w:r>
        <w:rPr>
          <w:b/>
        </w:rPr>
        <w:t xml:space="preserve">Legal lesson learned: Search warrants will be required in criminal investigations for cell phone location history.  This does not prohibit Fire, EMS and Law Enforcement in emergency situations – such as search of missing hiker walk away from nursing home – to have 911 Dispatch Centers obtain location information. </w:t>
      </w:r>
    </w:p>
    <w:p w14:paraId="0C54ED7A" w14:textId="77777777" w:rsidR="00E16BDA" w:rsidRDefault="00E16BDA" w:rsidP="00E16BDA">
      <w:pPr>
        <w:pStyle w:val="NoSpacing"/>
        <w:rPr>
          <w:b/>
          <w:bCs/>
        </w:rPr>
      </w:pPr>
    </w:p>
    <w:p w14:paraId="31270B5B" w14:textId="77777777" w:rsidR="00E16BDA" w:rsidRPr="00036CCC" w:rsidRDefault="00E16BDA" w:rsidP="00E16BDA">
      <w:pPr>
        <w:pStyle w:val="NoSpacing"/>
        <w:ind w:left="720"/>
      </w:pPr>
      <w:r w:rsidRPr="00036CCC">
        <w:t xml:space="preserve">Note: </w:t>
      </w:r>
    </w:p>
    <w:p w14:paraId="41EB7814" w14:textId="77777777" w:rsidR="00E16BDA" w:rsidRDefault="00E16BDA" w:rsidP="00E16BDA">
      <w:pPr>
        <w:pStyle w:val="NoSpacing"/>
        <w:ind w:left="720"/>
        <w:rPr>
          <w:b/>
          <w:bCs/>
        </w:rPr>
      </w:pPr>
    </w:p>
    <w:p w14:paraId="016A5ED4" w14:textId="77777777" w:rsidR="00E16BDA" w:rsidRDefault="00E16BDA" w:rsidP="00E16BDA">
      <w:pPr>
        <w:pStyle w:val="NoSpacing"/>
        <w:ind w:left="1080"/>
      </w:pPr>
      <w:r w:rsidRPr="00095B33">
        <w:t>Perhaps other cell phone companies will follow Google change: Majority opinion - footnote 2: “It now stores Location History data on individual users’ devices rather than on its own servers…. Google represents that, as a result, it is no longer capable of responding to geofence warrants that seek Location History data.”</w:t>
      </w:r>
    </w:p>
    <w:p w14:paraId="68C48A09" w14:textId="77777777" w:rsidR="00E16BDA" w:rsidRDefault="00E16BDA" w:rsidP="00E16BDA">
      <w:pPr>
        <w:pStyle w:val="NoSpacing"/>
        <w:ind w:left="1080"/>
      </w:pPr>
    </w:p>
    <w:p w14:paraId="56F05CC0" w14:textId="77777777" w:rsidR="00E16BDA" w:rsidRPr="00095B33" w:rsidRDefault="00E16BDA" w:rsidP="00E16BDA">
      <w:pPr>
        <w:pStyle w:val="NoSpacing"/>
        <w:ind w:left="1080"/>
      </w:pPr>
      <w:r>
        <w:t>***</w:t>
      </w:r>
    </w:p>
    <w:p w14:paraId="5E23231D" w14:textId="77777777" w:rsidR="00E16BDA" w:rsidRDefault="00E16BDA" w:rsidP="00E16BDA">
      <w:pPr>
        <w:pStyle w:val="NoSpacing"/>
        <w:ind w:left="720"/>
      </w:pPr>
    </w:p>
    <w:p w14:paraId="050708EC" w14:textId="77777777" w:rsidR="00E16BDA" w:rsidRDefault="00E16BDA" w:rsidP="00E16BDA">
      <w:pPr>
        <w:pStyle w:val="NoSpacing"/>
        <w:ind w:left="1080"/>
      </w:pPr>
      <w:r>
        <w:t>The “good-faith exception” will likely be found by the 4</w:t>
      </w:r>
      <w:r w:rsidRPr="00FA08DF">
        <w:rPr>
          <w:vertAlign w:val="superscript"/>
        </w:rPr>
        <w:t>th</w:t>
      </w:r>
      <w:r>
        <w:t xml:space="preserve"> Circuit. The Fourt Circuit, on July 9, 2024, held (2 to 1) that the government did not conduct a search and therefore did not need a warrant. </w:t>
      </w:r>
      <w:proofErr w:type="spellStart"/>
      <w:r>
        <w:t>Chatrie</w:t>
      </w:r>
      <w:proofErr w:type="spellEnd"/>
      <w:r>
        <w:t xml:space="preserve"> “did not have a reasonable expectation of privacy in two hours’ worth of Location History data voluntarily exposed to Google.” 107 F. 4th 319, 325 (2024). </w:t>
      </w:r>
      <w:hyperlink r:id="rId37" w:history="1">
        <w:r w:rsidRPr="00305A77">
          <w:rPr>
            <w:rStyle w:val="Hyperlink"/>
          </w:rPr>
          <w:t>https://cases.justia.com/federal/appellate-courts/ca4/22-4489/22-4489-2024-07-09.pdf?ts=1720549856</w:t>
        </w:r>
      </w:hyperlink>
      <w:r>
        <w:t xml:space="preserve"> .After granting rehearing </w:t>
      </w:r>
      <w:proofErr w:type="spellStart"/>
      <w:r>
        <w:t>en</w:t>
      </w:r>
      <w:proofErr w:type="spellEnd"/>
      <w:r>
        <w:t xml:space="preserve"> banc, the Fourth Circuit affirmed in a one-sentence per curiam. See 136 F. 4th 100, 101 (2025) The court divided evenly (7 to 7) on whether a Fourth Amendment search had occurred. [U.S. Supreme Court Justice Elena Kagan wrote: “Of the seven judges who thought it </w:t>
      </w:r>
      <w:proofErr w:type="gramStart"/>
      <w:r>
        <w:t>had,</w:t>
      </w:r>
      <w:proofErr w:type="gramEnd"/>
      <w:r>
        <w:t xml:space="preserve"> most believed the geofence warrant defective. But most also thought the exclusionary rule’s good-faith exception applied, so ruled against </w:t>
      </w:r>
      <w:proofErr w:type="spellStart"/>
      <w:r>
        <w:t>Chatrie</w:t>
      </w:r>
      <w:proofErr w:type="spellEnd"/>
      <w:r>
        <w:t xml:space="preserve"> anyway.”]</w:t>
      </w:r>
    </w:p>
    <w:p w14:paraId="79EE0319" w14:textId="77777777" w:rsidR="00E16BDA" w:rsidRDefault="00E16BDA" w:rsidP="00E16BDA">
      <w:pPr>
        <w:pStyle w:val="NoSpacing"/>
        <w:ind w:left="720"/>
      </w:pPr>
    </w:p>
    <w:p w14:paraId="3AF9CD38" w14:textId="77777777" w:rsidR="00E16BDA" w:rsidRDefault="00E16BDA" w:rsidP="00E16BDA">
      <w:pPr>
        <w:pStyle w:val="NoSpacing"/>
        <w:ind w:left="1080"/>
      </w:pPr>
      <w:r>
        <w:t>Dissenting Justice Samuel Alito: “So, unless he can show that this evidence should be suppressed, he cannot obtain any relief. And his chances of making the showing needed to justify suppression are virtually zero.”</w:t>
      </w:r>
    </w:p>
    <w:p w14:paraId="1C42AFFE" w14:textId="77777777" w:rsidR="00E16BDA" w:rsidRDefault="00E16BDA" w:rsidP="00E16BDA">
      <w:pPr>
        <w:pStyle w:val="NoSpacing"/>
        <w:ind w:left="720"/>
      </w:pPr>
    </w:p>
    <w:p w14:paraId="45666429" w14:textId="77777777" w:rsidR="00E16BDA" w:rsidRDefault="00E16BDA" w:rsidP="00E16BDA">
      <w:pPr>
        <w:pStyle w:val="NoSpacing"/>
        <w:ind w:left="720"/>
      </w:pPr>
    </w:p>
    <w:p w14:paraId="041D5E47" w14:textId="77777777" w:rsidR="00E16BDA" w:rsidRDefault="00E16BDA" w:rsidP="00E16BDA">
      <w:pPr>
        <w:pStyle w:val="NoSpacing"/>
        <w:rPr>
          <w:rFonts w:ascii="Arial Black" w:hAnsi="Arial Black"/>
          <w:sz w:val="28"/>
          <w:szCs w:val="28"/>
        </w:rPr>
      </w:pPr>
    </w:p>
    <w:p w14:paraId="75B6740D" w14:textId="77777777" w:rsidR="00E16BDA" w:rsidRDefault="00E16BDA" w:rsidP="00E16BDA">
      <w:pPr>
        <w:pStyle w:val="NoSpacing"/>
        <w:rPr>
          <w:rFonts w:ascii="Arial Black" w:hAnsi="Arial Black"/>
          <w:sz w:val="28"/>
          <w:szCs w:val="28"/>
        </w:rPr>
      </w:pPr>
    </w:p>
    <w:p w14:paraId="1AD2ECF5" w14:textId="080E1CF1" w:rsidR="00E16BDA" w:rsidRDefault="00E16BDA" w:rsidP="00E16BDA">
      <w:pPr>
        <w:pStyle w:val="NoSpacing"/>
        <w:rPr>
          <w:rFonts w:ascii="Arial Black" w:hAnsi="Arial Black"/>
          <w:sz w:val="28"/>
          <w:szCs w:val="28"/>
        </w:rPr>
      </w:pPr>
      <w:r>
        <w:rPr>
          <w:rFonts w:ascii="Arial Black" w:hAnsi="Arial Black"/>
          <w:sz w:val="28"/>
          <w:szCs w:val="28"/>
        </w:rPr>
        <w:t>1-217</w:t>
      </w:r>
    </w:p>
    <w:p w14:paraId="5B287761" w14:textId="77777777" w:rsidR="00E16BDA" w:rsidRDefault="00E16BDA" w:rsidP="00E16BDA">
      <w:pPr>
        <w:pStyle w:val="NoSpacing"/>
        <w:rPr>
          <w:rFonts w:ascii="Arial Black" w:hAnsi="Arial Black"/>
          <w:sz w:val="28"/>
          <w:szCs w:val="28"/>
        </w:rPr>
      </w:pPr>
    </w:p>
    <w:p w14:paraId="28D92668" w14:textId="77777777" w:rsidR="00E16BDA" w:rsidRDefault="00E16BDA" w:rsidP="00E16BDA">
      <w:pPr>
        <w:pStyle w:val="NoSpacing"/>
        <w:rPr>
          <w:rFonts w:ascii="Arial Black" w:hAnsi="Arial Black"/>
          <w:sz w:val="28"/>
          <w:szCs w:val="28"/>
        </w:rPr>
      </w:pPr>
      <w:r>
        <w:rPr>
          <w:rFonts w:ascii="Arial Black" w:hAnsi="Arial Black"/>
          <w:sz w:val="28"/>
          <w:szCs w:val="28"/>
        </w:rPr>
        <w:t>CA: HABEAS – MURDER – VICTIM SHOT TWICE OR ONCE?</w:t>
      </w:r>
    </w:p>
    <w:p w14:paraId="2DA32E7C" w14:textId="77777777" w:rsidR="00E16BDA" w:rsidRDefault="00E16BDA" w:rsidP="00E16BDA">
      <w:pPr>
        <w:pStyle w:val="NoSpacing"/>
        <w:rPr>
          <w:rFonts w:ascii="Arial Black" w:hAnsi="Arial Black"/>
          <w:sz w:val="28"/>
          <w:szCs w:val="28"/>
        </w:rPr>
      </w:pPr>
    </w:p>
    <w:p w14:paraId="683B288E" w14:textId="77777777" w:rsidR="00E16BDA" w:rsidRDefault="00E16BDA" w:rsidP="00E16BDA">
      <w:pPr>
        <w:pStyle w:val="NoSpacing"/>
        <w:rPr>
          <w:bCs/>
        </w:rPr>
      </w:pPr>
      <w:r>
        <w:t xml:space="preserve">On July 22, 2026, </w:t>
      </w:r>
      <w:r w:rsidRPr="001F50F2">
        <w:rPr>
          <w:u w:val="single"/>
        </w:rPr>
        <w:t>In re Marcil McCowen on Habeas Corpus</w:t>
      </w:r>
      <w:r>
        <w:t xml:space="preserve">, the </w:t>
      </w:r>
      <w:r w:rsidRPr="001F50F2">
        <w:t>California Court of Appeals, Fourth District, Second Division</w:t>
      </w:r>
      <w:r>
        <w:t xml:space="preserve"> published their June 25, 2026 unpublished decision, granting the prisoner’s petition for a writ of habeas corpus, where trial court judge in this first degree murder case (</w:t>
      </w:r>
      <w:r w:rsidRPr="00164EE0">
        <w:t>October 8, 1998</w:t>
      </w:r>
      <w:r>
        <w:t xml:space="preserve"> shooting; 2001 conviction; now serving 50 years to life) can hear testimony about discrepancy in evidence, and potentially could order new trial.    </w:t>
      </w:r>
      <w:hyperlink r:id="rId38" w:history="1">
        <w:r w:rsidRPr="004D58FA">
          <w:rPr>
            <w:rStyle w:val="Hyperlink"/>
          </w:rPr>
          <w:t>https://www4.courts.ca.gov/opinions/documents/E087834.PDF</w:t>
        </w:r>
      </w:hyperlink>
      <w:r>
        <w:t xml:space="preserve"> </w:t>
      </w:r>
    </w:p>
    <w:p w14:paraId="408FC3CD" w14:textId="77777777" w:rsidR="00E16BDA" w:rsidRDefault="00E16BDA" w:rsidP="00E16BDA">
      <w:pPr>
        <w:pStyle w:val="NoSpacing"/>
        <w:rPr>
          <w:bCs/>
        </w:rPr>
      </w:pPr>
    </w:p>
    <w:p w14:paraId="66575EBF" w14:textId="77777777" w:rsidR="00E16BDA" w:rsidRPr="001F50F2" w:rsidRDefault="00E16BDA" w:rsidP="00E16BDA">
      <w:pPr>
        <w:pStyle w:val="NoSpacing"/>
        <w:rPr>
          <w:bCs/>
        </w:rPr>
      </w:pPr>
      <w:r>
        <w:t xml:space="preserve">THE COURT WROTE: </w:t>
      </w:r>
    </w:p>
    <w:p w14:paraId="40DAA5F8" w14:textId="77777777" w:rsidR="00E16BDA" w:rsidRPr="001F50F2" w:rsidRDefault="00E16BDA" w:rsidP="00E16BDA">
      <w:pPr>
        <w:pStyle w:val="NoSpacing"/>
        <w:rPr>
          <w:bCs/>
        </w:rPr>
      </w:pPr>
    </w:p>
    <w:p w14:paraId="1F1DFA1B" w14:textId="77777777" w:rsidR="00E16BDA" w:rsidRPr="00A9501D" w:rsidRDefault="00E16BDA" w:rsidP="00E16BDA">
      <w:pPr>
        <w:pStyle w:val="NoSpacing"/>
      </w:pPr>
      <w:r>
        <w:t>“</w:t>
      </w:r>
      <w:r w:rsidRPr="00A9501D">
        <w:t xml:space="preserve">Petitioner Marcil McCowen was convicted of </w:t>
      </w:r>
      <w:proofErr w:type="gramStart"/>
      <w:r w:rsidRPr="00A9501D">
        <w:t>first degree</w:t>
      </w:r>
      <w:proofErr w:type="gramEnd"/>
      <w:r w:rsidRPr="00A9501D">
        <w:t xml:space="preserve"> murder (Pen. Code,1</w:t>
      </w:r>
    </w:p>
    <w:p w14:paraId="5C109D92" w14:textId="77777777" w:rsidR="00E16BDA" w:rsidRDefault="00E16BDA" w:rsidP="00E16BDA">
      <w:pPr>
        <w:pStyle w:val="NoSpacing"/>
      </w:pPr>
      <w:r w:rsidRPr="00A9501D">
        <w:t>§ 187, subd.(a)) in 2001 and was sentenced to a term of 50 years to life in prison</w:t>
      </w:r>
      <w:r>
        <w:t xml:space="preserve">…. </w:t>
      </w:r>
      <w:r w:rsidRPr="00A9501D">
        <w:t>The false evidence claim pertains to the testimony of a paramedic who testified at</w:t>
      </w:r>
      <w:r>
        <w:t xml:space="preserve"> </w:t>
      </w:r>
      <w:r w:rsidRPr="00A9501D">
        <w:t>trial that the victim of the murder had sustained two gunshot wounds, one to the chest and</w:t>
      </w:r>
      <w:r>
        <w:t xml:space="preserve"> </w:t>
      </w:r>
      <w:r w:rsidRPr="00A9501D">
        <w:t>one to the head, from which brain matter seeped. The People’s theory of premeditated</w:t>
      </w:r>
      <w:r>
        <w:t xml:space="preserve"> </w:t>
      </w:r>
      <w:r w:rsidRPr="00A9501D">
        <w:t xml:space="preserve">murder related to </w:t>
      </w:r>
      <w:proofErr w:type="gramStart"/>
      <w:r w:rsidRPr="00A9501D">
        <w:t>the multiple</w:t>
      </w:r>
      <w:proofErr w:type="gramEnd"/>
      <w:r w:rsidRPr="00A9501D">
        <w:t xml:space="preserve"> wounds, despite a pathologist’s report indicating there was</w:t>
      </w:r>
      <w:r>
        <w:t xml:space="preserve"> </w:t>
      </w:r>
      <w:r w:rsidRPr="00A9501D">
        <w:t>but one gunshot wound, which entered through the upper chest or neck, and exited from</w:t>
      </w:r>
      <w:r>
        <w:t xml:space="preserve"> </w:t>
      </w:r>
      <w:r w:rsidRPr="00A9501D">
        <w:t>the upper back. The pathologist did not testify at trial, and the pathologist’s report was</w:t>
      </w:r>
      <w:r>
        <w:t xml:space="preserve"> </w:t>
      </w:r>
      <w:r w:rsidRPr="00A9501D">
        <w:t>not introduced into evidence at trial.</w:t>
      </w:r>
    </w:p>
    <w:p w14:paraId="0479D9FC" w14:textId="77777777" w:rsidR="00E16BDA" w:rsidRDefault="00E16BDA" w:rsidP="00E16BDA">
      <w:pPr>
        <w:pStyle w:val="NoSpacing"/>
      </w:pPr>
    </w:p>
    <w:p w14:paraId="51AC5A42" w14:textId="77777777" w:rsidR="00E16BDA" w:rsidRDefault="00E16BDA" w:rsidP="00E16BDA">
      <w:pPr>
        <w:pStyle w:val="NoSpacing"/>
      </w:pPr>
      <w:r>
        <w:t>***</w:t>
      </w:r>
    </w:p>
    <w:p w14:paraId="5C0F7B47" w14:textId="77777777" w:rsidR="00E16BDA" w:rsidRDefault="00E16BDA" w:rsidP="00E16BDA">
      <w:pPr>
        <w:pStyle w:val="NoSpacing"/>
      </w:pPr>
      <w:r>
        <w:t>Petitioner alleges that the prosecution’s reliance on the paramedic’s testimony, which was contradicted by the actual coroner’s report of the autopsy, resulted in a conviction based on false evidence in violation of his due process rights…. In the return, the People do not dispute that the paramedic witness testified that the victim had suffered two gunshot wounds, one to the head, causing brain matter to seep from the victim’s head, which was contradicted by the coroner’s report (which was not admitted into evidence), demonstrating there was but one bullet wound to</w:t>
      </w:r>
    </w:p>
    <w:p w14:paraId="58F942CF" w14:textId="77777777" w:rsidR="00E16BDA" w:rsidRDefault="00E16BDA" w:rsidP="00E16BDA">
      <w:pPr>
        <w:pStyle w:val="NoSpacing"/>
      </w:pPr>
      <w:r>
        <w:t>the upper chest and no bullet wound to the head, which the coroner found to be intact.</w:t>
      </w:r>
    </w:p>
    <w:p w14:paraId="6D84EE3E" w14:textId="77777777" w:rsidR="00E16BDA" w:rsidRDefault="00E16BDA" w:rsidP="00E16BDA">
      <w:pPr>
        <w:pStyle w:val="NoSpacing"/>
      </w:pPr>
      <w:r>
        <w:t xml:space="preserve">However, the People assert there is no </w:t>
      </w:r>
      <w:proofErr w:type="gramStart"/>
      <w:r>
        <w:t>evidence</w:t>
      </w:r>
      <w:proofErr w:type="gramEnd"/>
      <w:r>
        <w:t xml:space="preserve"> the paramedic purposely lied or that the</w:t>
      </w:r>
    </w:p>
    <w:p w14:paraId="1FB4A1B5" w14:textId="77777777" w:rsidR="00E16BDA" w:rsidRDefault="00E16BDA" w:rsidP="00E16BDA">
      <w:pPr>
        <w:pStyle w:val="NoSpacing"/>
      </w:pPr>
      <w:r>
        <w:t>prosecutor knowingly presented false testimony, and that the discrepancy was not</w:t>
      </w:r>
    </w:p>
    <w:p w14:paraId="6FAC66DB" w14:textId="77777777" w:rsidR="00E16BDA" w:rsidRDefault="00E16BDA" w:rsidP="00E16BDA">
      <w:pPr>
        <w:pStyle w:val="NoSpacing"/>
      </w:pPr>
      <w:r>
        <w:t>material…. The bottom line here is that there is no factual dispute that there is a significant</w:t>
      </w:r>
    </w:p>
    <w:p w14:paraId="43F2D20D" w14:textId="77777777" w:rsidR="00E16BDA" w:rsidRDefault="00E16BDA" w:rsidP="00E16BDA">
      <w:pPr>
        <w:pStyle w:val="NoSpacing"/>
      </w:pPr>
      <w:r>
        <w:t>discrepancy between the paramedic’s testimony and the coroner’s report, and that the</w:t>
      </w:r>
    </w:p>
    <w:p w14:paraId="5571052D" w14:textId="77777777" w:rsidR="00E16BDA" w:rsidRDefault="00E16BDA" w:rsidP="00E16BDA">
      <w:pPr>
        <w:pStyle w:val="NoSpacing"/>
      </w:pPr>
      <w:r>
        <w:t>People relied on the paramedic’s false or erroneous, yet uncorrected, testimony to argue</w:t>
      </w:r>
    </w:p>
    <w:p w14:paraId="6BE081FC" w14:textId="77777777" w:rsidR="00E16BDA" w:rsidRDefault="00E16BDA" w:rsidP="00E16BDA">
      <w:pPr>
        <w:pStyle w:val="NoSpacing"/>
      </w:pPr>
      <w:r>
        <w:t>that having shot at the victim twice, the murder was willful, deliberate, and premeditated</w:t>
      </w:r>
    </w:p>
    <w:p w14:paraId="1EE79D4E" w14:textId="77777777" w:rsidR="00E16BDA" w:rsidRDefault="00E16BDA" w:rsidP="00E16BDA">
      <w:pPr>
        <w:pStyle w:val="NoSpacing"/>
      </w:pPr>
      <w:r>
        <w:t>first degree murder. Given the prosecutor’s arguments at trial that repeatedly emphasized the two</w:t>
      </w:r>
    </w:p>
    <w:p w14:paraId="368A7D72" w14:textId="77777777" w:rsidR="00E16BDA" w:rsidRDefault="00E16BDA" w:rsidP="00E16BDA">
      <w:pPr>
        <w:pStyle w:val="NoSpacing"/>
      </w:pPr>
      <w:r>
        <w:t>gunshot wounds to the victim as negating any claim of accident or self-defense, we must</w:t>
      </w:r>
    </w:p>
    <w:p w14:paraId="79FB5C85" w14:textId="77777777" w:rsidR="00E16BDA" w:rsidRDefault="00E16BDA" w:rsidP="00E16BDA">
      <w:pPr>
        <w:pStyle w:val="NoSpacing"/>
      </w:pPr>
      <w:r>
        <w:t>conclude that the paramedic’s testimony was material.”</w:t>
      </w:r>
    </w:p>
    <w:p w14:paraId="3B195FEA" w14:textId="77777777" w:rsidR="00E16BDA" w:rsidRDefault="00E16BDA" w:rsidP="00E16BDA">
      <w:pPr>
        <w:pStyle w:val="NoSpacing"/>
      </w:pPr>
    </w:p>
    <w:p w14:paraId="578168C0" w14:textId="77777777" w:rsidR="00E16BDA" w:rsidRDefault="00E16BDA" w:rsidP="00E16BDA">
      <w:pPr>
        <w:pStyle w:val="NoSpacing"/>
      </w:pPr>
      <w:r>
        <w:rPr>
          <w:b/>
        </w:rPr>
        <w:t xml:space="preserve">Legal lesson learned: To avoid a possible retrial many years after the shooting, the prosecutor and the paramedic at the original trial should have addressed the discrepancy by also calling the coroner to testify (perhaps his autopsy report was inaccurate). </w:t>
      </w:r>
    </w:p>
    <w:p w14:paraId="1A9C784D" w14:textId="77777777" w:rsidR="00E16BDA" w:rsidRDefault="00E16BDA" w:rsidP="00E16BDA">
      <w:pPr>
        <w:pStyle w:val="NoSpacing"/>
        <w:rPr>
          <w:b/>
        </w:rPr>
      </w:pPr>
    </w:p>
    <w:p w14:paraId="7FBFE0AF" w14:textId="77777777" w:rsidR="00E16BDA" w:rsidRDefault="00E16BDA" w:rsidP="00E16BDA">
      <w:pPr>
        <w:pStyle w:val="NoSpacing"/>
        <w:rPr>
          <w:b/>
          <w:sz w:val="20"/>
          <w:szCs w:val="20"/>
        </w:rPr>
      </w:pPr>
    </w:p>
    <w:p w14:paraId="7F1B9B0C" w14:textId="77777777" w:rsidR="00E16BDA" w:rsidRDefault="00E16BDA" w:rsidP="00E16BDA">
      <w:pPr>
        <w:pStyle w:val="NoSpacing"/>
        <w:rPr>
          <w:b/>
          <w:sz w:val="20"/>
          <w:szCs w:val="20"/>
        </w:rPr>
      </w:pPr>
    </w:p>
    <w:p w14:paraId="611816C4" w14:textId="77777777" w:rsidR="00E16BDA" w:rsidRDefault="00E16BDA" w:rsidP="00E16BDA">
      <w:pPr>
        <w:pStyle w:val="NoSpacing"/>
        <w:rPr>
          <w:b/>
          <w:sz w:val="20"/>
          <w:szCs w:val="20"/>
        </w:rPr>
      </w:pPr>
    </w:p>
    <w:p w14:paraId="742E3D55" w14:textId="77777777" w:rsidR="00E16BDA" w:rsidRDefault="00E16BDA" w:rsidP="00E16BDA">
      <w:pPr>
        <w:pStyle w:val="NoSpacing"/>
        <w:rPr>
          <w:b/>
          <w:sz w:val="20"/>
          <w:szCs w:val="20"/>
        </w:rPr>
      </w:pPr>
    </w:p>
    <w:p w14:paraId="2CF3E7CE" w14:textId="6A0CBC9B" w:rsidR="00E16BDA" w:rsidRDefault="00E16BDA" w:rsidP="00E16BDA">
      <w:pPr>
        <w:pStyle w:val="NoSpacing"/>
        <w:rPr>
          <w:rFonts w:ascii="Arial Black" w:hAnsi="Arial Black"/>
          <w:b/>
          <w:sz w:val="28"/>
          <w:szCs w:val="28"/>
        </w:rPr>
      </w:pPr>
      <w:r>
        <w:rPr>
          <w:rFonts w:ascii="Arial Black" w:hAnsi="Arial Black"/>
          <w:b/>
          <w:sz w:val="28"/>
          <w:szCs w:val="28"/>
        </w:rPr>
        <w:t>1-216</w:t>
      </w:r>
    </w:p>
    <w:p w14:paraId="2410A27A" w14:textId="77777777" w:rsidR="00E16BDA" w:rsidRDefault="00E16BDA" w:rsidP="00E16BDA">
      <w:pPr>
        <w:pStyle w:val="NoSpacing"/>
        <w:rPr>
          <w:rFonts w:ascii="Arial Black" w:hAnsi="Arial Black"/>
          <w:b/>
          <w:sz w:val="28"/>
          <w:szCs w:val="28"/>
        </w:rPr>
      </w:pPr>
    </w:p>
    <w:p w14:paraId="2D35F797" w14:textId="77777777" w:rsidR="00E16BDA" w:rsidRPr="00D37405" w:rsidRDefault="00E16BDA" w:rsidP="00E16BDA">
      <w:pPr>
        <w:pStyle w:val="NoSpacing"/>
        <w:rPr>
          <w:rFonts w:ascii="Arial Black" w:hAnsi="Arial Black"/>
          <w:b/>
          <w:sz w:val="28"/>
          <w:szCs w:val="28"/>
        </w:rPr>
      </w:pPr>
      <w:r>
        <w:rPr>
          <w:rFonts w:ascii="Arial Black" w:hAnsi="Arial Black"/>
          <w:b/>
          <w:sz w:val="28"/>
          <w:szCs w:val="28"/>
        </w:rPr>
        <w:t xml:space="preserve">MI: FIRE CODE - SELF EVAC - UPPER FL CARE FACILITY </w:t>
      </w:r>
    </w:p>
    <w:p w14:paraId="0A682A75" w14:textId="77777777" w:rsidR="00E16BDA" w:rsidRDefault="00E16BDA" w:rsidP="00E16BDA">
      <w:pPr>
        <w:pStyle w:val="NoSpacing"/>
        <w:rPr>
          <w:b/>
        </w:rPr>
      </w:pPr>
    </w:p>
    <w:p w14:paraId="593192BC" w14:textId="77777777" w:rsidR="00E16BDA" w:rsidRDefault="00E16BDA" w:rsidP="00E16BDA">
      <w:pPr>
        <w:pStyle w:val="NoSpacing"/>
        <w:rPr>
          <w:bCs/>
        </w:rPr>
      </w:pPr>
      <w:r>
        <w:t xml:space="preserve">On July 15, 2026, in </w:t>
      </w:r>
      <w:r w:rsidRPr="00471CCB">
        <w:rPr>
          <w:u w:val="single"/>
        </w:rPr>
        <w:t>RMH Solutions LLC v. Charter Township of Clinton, et al</w:t>
      </w:r>
      <w:r>
        <w:t xml:space="preserve">., the </w:t>
      </w:r>
      <w:r w:rsidRPr="00471CCB">
        <w:t>Court of Appeals of Michigan</w:t>
      </w:r>
      <w:r>
        <w:t xml:space="preserve"> held (3 to 0; unpublished decision) that t</w:t>
      </w:r>
      <w:r w:rsidRPr="00D356F5">
        <w:t xml:space="preserve">rial court erred by approving </w:t>
      </w:r>
      <w:r>
        <w:t>the care facility’s evacuation plan that was not approved by Fire Marshall; case remanded for further hearing.  I</w:t>
      </w:r>
      <w:r w:rsidRPr="00110643">
        <w:t>n November 2023,</w:t>
      </w:r>
      <w:r>
        <w:t xml:space="preserve"> </w:t>
      </w:r>
      <w:r w:rsidRPr="00A62C76">
        <w:t xml:space="preserve">Chuck Champagne, the Fire Marshal of the </w:t>
      </w:r>
      <w:r w:rsidRPr="00594415">
        <w:t>Clinton Township</w:t>
      </w:r>
      <w:r>
        <w:t xml:space="preserve"> </w:t>
      </w:r>
      <w:r w:rsidRPr="00594415">
        <w:t>Fire-Rescue-EMS</w:t>
      </w:r>
      <w:r>
        <w:t xml:space="preserve">, </w:t>
      </w:r>
      <w:r w:rsidRPr="00110643">
        <w:t>determined operating an assisted living facility on the upper three floors violated the</w:t>
      </w:r>
      <w:r>
        <w:t xml:space="preserve"> </w:t>
      </w:r>
      <w:r w:rsidRPr="00110643">
        <w:t>2015 IFC. The letter was written after an EMS run at the facility. Plaintiff’s staff called for</w:t>
      </w:r>
      <w:r>
        <w:t xml:space="preserve"> </w:t>
      </w:r>
      <w:r w:rsidRPr="00110643">
        <w:t>assistance because of the inability to lift an obese resident. Champagne also observed several</w:t>
      </w:r>
      <w:r>
        <w:t xml:space="preserve"> </w:t>
      </w:r>
      <w:r w:rsidRPr="00110643">
        <w:t>wheelchairs and scooters on the same upper floor.</w:t>
      </w:r>
      <w:r>
        <w:t xml:space="preserve">  </w:t>
      </w:r>
    </w:p>
    <w:p w14:paraId="5DD71408" w14:textId="77777777" w:rsidR="00E16BDA" w:rsidRDefault="00E16BDA" w:rsidP="00E16BDA">
      <w:pPr>
        <w:pStyle w:val="NoSpacing"/>
        <w:rPr>
          <w:bCs/>
        </w:rPr>
      </w:pPr>
      <w:hyperlink r:id="rId39" w:history="1">
        <w:r w:rsidRPr="00BD5255">
          <w:rPr>
            <w:rStyle w:val="Hyperlink"/>
          </w:rPr>
          <w:t>https://cases.justia.com/michigan/court-of-appeals-unpublished/2026-374887.pdf?ts=1784206805</w:t>
        </w:r>
      </w:hyperlink>
      <w:r>
        <w:t xml:space="preserve"> </w:t>
      </w:r>
    </w:p>
    <w:p w14:paraId="1F2859AA" w14:textId="77777777" w:rsidR="00E16BDA" w:rsidRDefault="00E16BDA" w:rsidP="00E16BDA">
      <w:pPr>
        <w:pStyle w:val="NoSpacing"/>
        <w:rPr>
          <w:bCs/>
        </w:rPr>
      </w:pPr>
    </w:p>
    <w:p w14:paraId="6A0491AB" w14:textId="77777777" w:rsidR="00E16BDA" w:rsidRDefault="00E16BDA" w:rsidP="00E16BDA">
      <w:pPr>
        <w:pStyle w:val="NoSpacing"/>
        <w:rPr>
          <w:bCs/>
        </w:rPr>
      </w:pPr>
      <w:r>
        <w:t xml:space="preserve">THE COURT WROTE: </w:t>
      </w:r>
    </w:p>
    <w:p w14:paraId="4C552ED4" w14:textId="77777777" w:rsidR="00E16BDA" w:rsidRDefault="00E16BDA" w:rsidP="00E16BDA">
      <w:pPr>
        <w:pStyle w:val="NoSpacing"/>
        <w:rPr>
          <w:bCs/>
        </w:rPr>
      </w:pPr>
    </w:p>
    <w:p w14:paraId="7AF24F75" w14:textId="77777777" w:rsidR="00E16BDA" w:rsidRPr="007C6E3C" w:rsidRDefault="00E16BDA" w:rsidP="00E16BDA">
      <w:pPr>
        <w:pStyle w:val="NoSpacing"/>
        <w:rPr>
          <w:bCs/>
        </w:rPr>
      </w:pPr>
      <w:r>
        <w:t>“</w:t>
      </w:r>
      <w:r w:rsidRPr="00C57739">
        <w:t>Notably, the Township oversaw a fire drill at the facility on May 7, 2024. Of 58 residents</w:t>
      </w:r>
      <w:r>
        <w:t xml:space="preserve"> </w:t>
      </w:r>
      <w:r w:rsidRPr="00C57739">
        <w:t xml:space="preserve">living on the third and fourth floors, 37 residents were </w:t>
      </w:r>
      <w:r>
        <w:t>‘</w:t>
      </w:r>
      <w:r w:rsidRPr="00C57739">
        <w:t>[n]</w:t>
      </w:r>
      <w:proofErr w:type="spellStart"/>
      <w:r w:rsidRPr="00C57739">
        <w:t>ot</w:t>
      </w:r>
      <w:proofErr w:type="spellEnd"/>
      <w:r w:rsidRPr="00C57739">
        <w:t xml:space="preserve"> capable” of self-evacuating during</w:t>
      </w:r>
      <w:r>
        <w:t xml:space="preserve"> </w:t>
      </w:r>
      <w:r w:rsidRPr="00C57739">
        <w:t xml:space="preserve">an emergency. </w:t>
      </w:r>
      <w:r>
        <w:t xml:space="preserve">…. </w:t>
      </w:r>
      <w:r w:rsidRPr="00466A96">
        <w:t>In attempting to achieve compliance with I-1 condition 2 occupancy, plaintiff installed</w:t>
      </w:r>
      <w:r>
        <w:t xml:space="preserve"> </w:t>
      </w:r>
      <w:r w:rsidRPr="00466A96">
        <w:t xml:space="preserve">evacuation chairs allowing </w:t>
      </w:r>
      <w:r>
        <w:t>‘</w:t>
      </w:r>
      <w:r w:rsidRPr="00466A96">
        <w:t>for easy evacuation over the staircase,</w:t>
      </w:r>
      <w:r>
        <w:t>’</w:t>
      </w:r>
      <w:r w:rsidRPr="00466A96">
        <w:t xml:space="preserve"> and an evacuation board</w:t>
      </w:r>
      <w:r>
        <w:t xml:space="preserve"> </w:t>
      </w:r>
      <w:r w:rsidRPr="00466A96">
        <w:t xml:space="preserve">allowing </w:t>
      </w:r>
      <w:r>
        <w:t>‘</w:t>
      </w:r>
      <w:r w:rsidRPr="00466A96">
        <w:t>for sliding over the staircase until the person is evacuated from the building[.]</w:t>
      </w:r>
      <w:r>
        <w:t>’</w:t>
      </w:r>
      <w:r w:rsidRPr="00466A96">
        <w:t xml:space="preserve"> Those</w:t>
      </w:r>
      <w:r>
        <w:t xml:space="preserve"> </w:t>
      </w:r>
      <w:r w:rsidRPr="00466A96">
        <w:t xml:space="preserve">measures were in addition to the installation of </w:t>
      </w:r>
      <w:r>
        <w:t>‘</w:t>
      </w:r>
      <w:r w:rsidRPr="00466A96">
        <w:t>an additional set of automatic doors,</w:t>
      </w:r>
      <w:r>
        <w:t>’</w:t>
      </w:r>
      <w:r w:rsidRPr="00466A96">
        <w:t xml:space="preserve"> which would</w:t>
      </w:r>
      <w:r>
        <w:t xml:space="preserve"> </w:t>
      </w:r>
      <w:r w:rsidRPr="00466A96">
        <w:t xml:space="preserve">split </w:t>
      </w:r>
      <w:r>
        <w:t>‘</w:t>
      </w:r>
      <w:r w:rsidRPr="00466A96">
        <w:t>a larger hallway into two.</w:t>
      </w:r>
      <w:r>
        <w:t xml:space="preserve">’ … </w:t>
      </w:r>
      <w:r w:rsidRPr="007C6E3C">
        <w:t>Defendants maintained there were</w:t>
      </w:r>
      <w:r>
        <w:t xml:space="preserve"> </w:t>
      </w:r>
      <w:r w:rsidRPr="007C6E3C">
        <w:t xml:space="preserve">37 residents </w:t>
      </w:r>
      <w:r>
        <w:t>‘</w:t>
      </w:r>
      <w:r w:rsidRPr="007C6E3C">
        <w:t>incapable of evacuating,</w:t>
      </w:r>
      <w:r>
        <w:t>’</w:t>
      </w:r>
      <w:r w:rsidRPr="007C6E3C">
        <w:t xml:space="preserve"> and not enough staff available to assist with the</w:t>
      </w:r>
    </w:p>
    <w:p w14:paraId="3CDF308B" w14:textId="77777777" w:rsidR="00E16BDA" w:rsidRPr="007C6E3C" w:rsidRDefault="00E16BDA" w:rsidP="00E16BDA">
      <w:pPr>
        <w:pStyle w:val="NoSpacing"/>
        <w:rPr>
          <w:bCs/>
        </w:rPr>
      </w:pPr>
      <w:r w:rsidRPr="007C6E3C">
        <w:t>evacuations. Moreover, the time frame involved for each resident’s removal was not addressed in</w:t>
      </w:r>
    </w:p>
    <w:p w14:paraId="595613D8" w14:textId="77777777" w:rsidR="00E16BDA" w:rsidRPr="007C6E3C" w:rsidRDefault="00E16BDA" w:rsidP="00E16BDA">
      <w:pPr>
        <w:pStyle w:val="NoSpacing"/>
        <w:rPr>
          <w:bCs/>
        </w:rPr>
      </w:pPr>
      <w:r w:rsidRPr="007C6E3C">
        <w:t>the record</w:t>
      </w:r>
      <w:r>
        <w:t xml:space="preserve">.  </w:t>
      </w:r>
      <w:r w:rsidRPr="007C6E3C">
        <w:t xml:space="preserve">Defendants argued </w:t>
      </w:r>
      <w:proofErr w:type="spellStart"/>
      <w:r w:rsidRPr="007C6E3C">
        <w:t>Donoian’s</w:t>
      </w:r>
      <w:proofErr w:type="spellEnd"/>
      <w:r w:rsidRPr="007C6E3C">
        <w:t xml:space="preserve"> plan constituted an admission that plaintiff was</w:t>
      </w:r>
    </w:p>
    <w:p w14:paraId="56442D05" w14:textId="77777777" w:rsidR="00E16BDA" w:rsidRDefault="00E16BDA" w:rsidP="00E16BDA">
      <w:pPr>
        <w:pStyle w:val="NoSpacing"/>
        <w:rPr>
          <w:bCs/>
        </w:rPr>
      </w:pPr>
      <w:r>
        <w:t>‘</w:t>
      </w:r>
      <w:proofErr w:type="gramStart"/>
      <w:r w:rsidRPr="007C6E3C">
        <w:t>housing</w:t>
      </w:r>
      <w:proofErr w:type="gramEnd"/>
      <w:r w:rsidRPr="007C6E3C">
        <w:t xml:space="preserve"> people inappropriate [sic] for this facility.</w:t>
      </w:r>
      <w:r>
        <w:t xml:space="preserve">’… </w:t>
      </w:r>
      <w:r w:rsidRPr="005B3B6C">
        <w:t>Frank Bayer, a certified building official in Sterling Heights, averred the facility was</w:t>
      </w:r>
      <w:r>
        <w:t xml:space="preserve"> </w:t>
      </w:r>
      <w:r w:rsidRPr="005B3B6C">
        <w:t>noncompliant with the I-1 condition 2 occupancy and the “proposed use of [six] chairs and [eight]</w:t>
      </w:r>
      <w:r>
        <w:t xml:space="preserve"> </w:t>
      </w:r>
      <w:r w:rsidRPr="005B3B6C">
        <w:t>employees for possible evacuation of 75 patients in less than [one] hour is not only impractical but</w:t>
      </w:r>
      <w:r>
        <w:t xml:space="preserve"> </w:t>
      </w:r>
      <w:r w:rsidRPr="005B3B6C">
        <w:t xml:space="preserve">extremely unsafe.” He also </w:t>
      </w:r>
      <w:proofErr w:type="gramStart"/>
      <w:r w:rsidRPr="005B3B6C">
        <w:t>averred</w:t>
      </w:r>
      <w:proofErr w:type="gramEnd"/>
      <w:r w:rsidRPr="005B3B6C">
        <w:t xml:space="preserve"> two employees would have to move each resident to an</w:t>
      </w:r>
      <w:r>
        <w:t xml:space="preserve"> </w:t>
      </w:r>
      <w:r w:rsidRPr="005B3B6C">
        <w:t>evacuation chai</w:t>
      </w:r>
      <w:r>
        <w:t>r.</w:t>
      </w:r>
    </w:p>
    <w:p w14:paraId="107FF3B5" w14:textId="77777777" w:rsidR="00E16BDA" w:rsidRDefault="00E16BDA" w:rsidP="00E16BDA">
      <w:pPr>
        <w:pStyle w:val="NoSpacing"/>
        <w:rPr>
          <w:bCs/>
        </w:rPr>
      </w:pPr>
    </w:p>
    <w:p w14:paraId="17B526E5" w14:textId="77777777" w:rsidR="00E16BDA" w:rsidRDefault="00E16BDA" w:rsidP="00E16BDA">
      <w:pPr>
        <w:pStyle w:val="NoSpacing"/>
        <w:rPr>
          <w:bCs/>
        </w:rPr>
      </w:pPr>
      <w:r>
        <w:t>***</w:t>
      </w:r>
    </w:p>
    <w:p w14:paraId="1BA1E540" w14:textId="77777777" w:rsidR="00E16BDA" w:rsidRDefault="00E16BDA" w:rsidP="00E16BDA">
      <w:pPr>
        <w:pStyle w:val="NoSpacing"/>
        <w:rPr>
          <w:bCs/>
        </w:rPr>
      </w:pPr>
    </w:p>
    <w:p w14:paraId="2CE49BB9" w14:textId="77777777" w:rsidR="00E16BDA" w:rsidRPr="003B3A25" w:rsidRDefault="00E16BDA" w:rsidP="00E16BDA">
      <w:pPr>
        <w:pStyle w:val="NoSpacing"/>
        <w:rPr>
          <w:bCs/>
        </w:rPr>
      </w:pPr>
      <w:r w:rsidRPr="003B3A25">
        <w:t>Because of the lack of information regarding the number of employees to attend to the</w:t>
      </w:r>
      <w:r>
        <w:t xml:space="preserve"> </w:t>
      </w:r>
      <w:r w:rsidRPr="003B3A25">
        <w:t>respective residents and the time frame involved, it was unclear whether residents would be taking</w:t>
      </w:r>
      <w:r>
        <w:t xml:space="preserve"> </w:t>
      </w:r>
      <w:r w:rsidRPr="003B3A25">
        <w:t>refuge in the stairwells. Moreover, the trial court did not address whether the applicable building</w:t>
      </w:r>
      <w:r>
        <w:t xml:space="preserve"> </w:t>
      </w:r>
      <w:r w:rsidRPr="003B3A25">
        <w:t>code required the facility employees to perform the complete evacuation or whether refuge in the</w:t>
      </w:r>
      <w:r>
        <w:t xml:space="preserve"> </w:t>
      </w:r>
      <w:r w:rsidRPr="003B3A25">
        <w:t>stairwell was permissible while waiting for first responders. Thus, further factual development is</w:t>
      </w:r>
      <w:r>
        <w:t xml:space="preserve"> </w:t>
      </w:r>
      <w:r w:rsidRPr="003B3A25">
        <w:t>required regarding the number of residents requiring assistance to evacuate during an emergency,</w:t>
      </w:r>
    </w:p>
    <w:p w14:paraId="5936C905" w14:textId="77777777" w:rsidR="00E16BDA" w:rsidRPr="003B3A25" w:rsidRDefault="00E16BDA" w:rsidP="00E16BDA">
      <w:pPr>
        <w:pStyle w:val="NoSpacing"/>
        <w:rPr>
          <w:bCs/>
        </w:rPr>
      </w:pPr>
      <w:r w:rsidRPr="003B3A25">
        <w:t>and the precise methods the eight staff members are to use to assist those residents in exiting the</w:t>
      </w:r>
    </w:p>
    <w:p w14:paraId="25CAA33A" w14:textId="77777777" w:rsidR="00E16BDA" w:rsidRPr="003B3A25" w:rsidRDefault="00E16BDA" w:rsidP="00E16BDA">
      <w:pPr>
        <w:pStyle w:val="NoSpacing"/>
        <w:rPr>
          <w:bCs/>
        </w:rPr>
      </w:pPr>
      <w:r w:rsidRPr="003B3A25">
        <w:t>facility. That will allow a proper resolution of whether plaintiff’s plan complies with the codes</w:t>
      </w:r>
    </w:p>
    <w:p w14:paraId="69E4BCD0" w14:textId="77777777" w:rsidR="00E16BDA" w:rsidRDefault="00E16BDA" w:rsidP="00E16BDA">
      <w:pPr>
        <w:pStyle w:val="NoSpacing"/>
        <w:rPr>
          <w:bCs/>
        </w:rPr>
      </w:pPr>
      <w:r w:rsidRPr="003B3A25">
        <w:t>for status as a I-1 condition 2 occupancy.</w:t>
      </w:r>
      <w:r>
        <w:t>”</w:t>
      </w:r>
    </w:p>
    <w:p w14:paraId="072C621D" w14:textId="77777777" w:rsidR="00E16BDA" w:rsidRDefault="00E16BDA" w:rsidP="00E16BDA">
      <w:pPr>
        <w:pStyle w:val="NoSpacing"/>
        <w:rPr>
          <w:b/>
        </w:rPr>
      </w:pPr>
    </w:p>
    <w:p w14:paraId="4CBCB140" w14:textId="77777777" w:rsidR="00E16BDA" w:rsidRDefault="00E16BDA" w:rsidP="00E16BDA">
      <w:pPr>
        <w:pStyle w:val="NoSpacing"/>
        <w:rPr>
          <w:b/>
        </w:rPr>
      </w:pPr>
      <w:r>
        <w:rPr>
          <w:b/>
        </w:rPr>
        <w:t xml:space="preserve">Legal lesson learned: Fire code decisions involve life safety issues; case is </w:t>
      </w:r>
      <w:proofErr w:type="gramStart"/>
      <w:r>
        <w:rPr>
          <w:b/>
        </w:rPr>
        <w:t>remanded for</w:t>
      </w:r>
      <w:proofErr w:type="gramEnd"/>
      <w:r>
        <w:rPr>
          <w:b/>
        </w:rPr>
        <w:t xml:space="preserve"> further evidence. </w:t>
      </w:r>
    </w:p>
    <w:p w14:paraId="572F4743" w14:textId="77777777" w:rsidR="002E1260" w:rsidRDefault="002E1260" w:rsidP="00822052">
      <w:pPr>
        <w:pStyle w:val="NoSpacing"/>
        <w:rPr>
          <w:rFonts w:ascii="Arial Black" w:hAnsi="Arial Black"/>
          <w:sz w:val="24"/>
          <w:szCs w:val="24"/>
        </w:rPr>
      </w:pPr>
    </w:p>
    <w:p w14:paraId="3E620698" w14:textId="77777777" w:rsidR="00E16BDA" w:rsidRDefault="00E16BDA" w:rsidP="002E1260">
      <w:pPr>
        <w:pStyle w:val="NoSpacing"/>
        <w:rPr>
          <w:rFonts w:ascii="Arial Black" w:hAnsi="Arial Black"/>
          <w:sz w:val="24"/>
          <w:szCs w:val="24"/>
        </w:rPr>
      </w:pPr>
    </w:p>
    <w:p w14:paraId="120F3DDC" w14:textId="77777777" w:rsidR="00E16BDA" w:rsidRDefault="00E16BDA" w:rsidP="002E1260">
      <w:pPr>
        <w:pStyle w:val="NoSpacing"/>
        <w:rPr>
          <w:rFonts w:ascii="Arial Black" w:hAnsi="Arial Black"/>
          <w:sz w:val="24"/>
          <w:szCs w:val="24"/>
        </w:rPr>
      </w:pPr>
    </w:p>
    <w:p w14:paraId="352EA68B" w14:textId="77777777" w:rsidR="00E16BDA" w:rsidRDefault="00E16BDA" w:rsidP="002E1260">
      <w:pPr>
        <w:pStyle w:val="NoSpacing"/>
        <w:rPr>
          <w:rFonts w:ascii="Arial Black" w:hAnsi="Arial Black"/>
          <w:sz w:val="24"/>
          <w:szCs w:val="24"/>
        </w:rPr>
      </w:pPr>
    </w:p>
    <w:p w14:paraId="01C88762" w14:textId="77777777" w:rsidR="00E16BDA" w:rsidRDefault="00E16BDA" w:rsidP="002E1260">
      <w:pPr>
        <w:pStyle w:val="NoSpacing"/>
        <w:rPr>
          <w:rFonts w:ascii="Arial Black" w:hAnsi="Arial Black"/>
          <w:sz w:val="24"/>
          <w:szCs w:val="24"/>
        </w:rPr>
      </w:pPr>
    </w:p>
    <w:p w14:paraId="0EBB3492" w14:textId="59B7F896" w:rsidR="002E1260" w:rsidRDefault="002E1260" w:rsidP="002E1260">
      <w:pPr>
        <w:pStyle w:val="NoSpacing"/>
        <w:rPr>
          <w:rFonts w:ascii="Arial Black" w:hAnsi="Arial Black"/>
          <w:sz w:val="24"/>
          <w:szCs w:val="24"/>
        </w:rPr>
      </w:pPr>
      <w:r>
        <w:rPr>
          <w:rFonts w:ascii="Arial Black" w:hAnsi="Arial Black"/>
          <w:sz w:val="24"/>
          <w:szCs w:val="24"/>
        </w:rPr>
        <w:t>1-215</w:t>
      </w:r>
    </w:p>
    <w:p w14:paraId="65A21BF6" w14:textId="77777777" w:rsidR="002E1260" w:rsidRDefault="002E1260" w:rsidP="002E1260">
      <w:pPr>
        <w:rPr>
          <w:rFonts w:ascii="Arial Black" w:hAnsi="Arial Black"/>
          <w:b/>
          <w:sz w:val="28"/>
          <w:szCs w:val="28"/>
        </w:rPr>
      </w:pPr>
    </w:p>
    <w:p w14:paraId="42DC3D0A" w14:textId="0C098E3B" w:rsidR="002E1260" w:rsidRPr="00605DA5" w:rsidRDefault="002E1260" w:rsidP="002E1260">
      <w:pPr>
        <w:rPr>
          <w:rFonts w:ascii="Arial Black" w:hAnsi="Arial Black"/>
          <w:b/>
          <w:sz w:val="28"/>
          <w:szCs w:val="28"/>
        </w:rPr>
      </w:pPr>
      <w:r>
        <w:rPr>
          <w:rFonts w:ascii="Arial Black" w:hAnsi="Arial Black"/>
          <w:b/>
          <w:sz w:val="28"/>
          <w:szCs w:val="28"/>
        </w:rPr>
        <w:t>VA: ARSON – SUSPECT NOT “IN CUSTODY” – NO MIRANDA</w:t>
      </w:r>
    </w:p>
    <w:p w14:paraId="161E8BC4" w14:textId="77777777" w:rsidR="002E1260" w:rsidRPr="00505873" w:rsidRDefault="002E1260" w:rsidP="002E1260">
      <w:pPr>
        <w:rPr>
          <w:bCs/>
        </w:rPr>
      </w:pPr>
      <w:r>
        <w:t xml:space="preserve">On June 23, 2026, in </w:t>
      </w:r>
      <w:r w:rsidRPr="00376966">
        <w:rPr>
          <w:u w:val="single"/>
        </w:rPr>
        <w:t>Darius Marquise Mills-Brown v. Commonwealth of Virginia</w:t>
      </w:r>
      <w:r>
        <w:t xml:space="preserve">, the </w:t>
      </w:r>
      <w:r w:rsidRPr="00376966">
        <w:t>Court of Appeals of Virginia</w:t>
      </w:r>
      <w:r>
        <w:t xml:space="preserve"> held (3 to 0; unpublished opinion) that trial court properly denied defendant’s motion to suppress since he was not in custody and was free to leave the Subway Restaurant when questioned by the arson investigator, and confessed, prior to being given </w:t>
      </w:r>
      <w:r w:rsidRPr="00505873">
        <w:rPr>
          <w:i/>
          <w:iCs/>
        </w:rPr>
        <w:t xml:space="preserve">Miranda </w:t>
      </w:r>
      <w:r>
        <w:t>warnings. I</w:t>
      </w:r>
      <w:r w:rsidRPr="00466B9C">
        <w:t xml:space="preserve">n 2024, a jury convicted Darius Marquise Mills-Brown of arson </w:t>
      </w:r>
      <w:proofErr w:type="gramStart"/>
      <w:r w:rsidRPr="00466B9C">
        <w:t>of</w:t>
      </w:r>
      <w:proofErr w:type="gramEnd"/>
      <w:r w:rsidRPr="00466B9C">
        <w:t xml:space="preserve"> an occupied building.</w:t>
      </w:r>
      <w:r>
        <w:t xml:space="preserve"> </w:t>
      </w:r>
      <w:r w:rsidRPr="00466B9C">
        <w:t>The trial court sentenced him to 20 years’ incarceration, with 10 years suspended.</w:t>
      </w:r>
      <w:r>
        <w:t xml:space="preserve"> The Court wrote: “At no point during the conversation did Persons exert force or restrain Mills-Brown. Indeed, Persons clarified that Mills-Brown was free to leave at any time.”</w:t>
      </w:r>
      <w:r w:rsidRPr="00466B9C">
        <w:t xml:space="preserve"> </w:t>
      </w:r>
      <w:hyperlink r:id="rId40" w:history="1">
        <w:r w:rsidRPr="00043B81">
          <w:rPr>
            <w:rStyle w:val="Hyperlink"/>
          </w:rPr>
          <w:t>https://cases.justia.com/virginia/court-of-appeals-unpublished/2026-2083-24-1.pdf?ts=1782229177</w:t>
        </w:r>
      </w:hyperlink>
      <w:r>
        <w:t xml:space="preserve"> </w:t>
      </w:r>
    </w:p>
    <w:p w14:paraId="2CE49D98" w14:textId="77777777" w:rsidR="002E1260" w:rsidRDefault="002E1260" w:rsidP="002E1260">
      <w:pPr>
        <w:rPr>
          <w:b/>
        </w:rPr>
      </w:pPr>
      <w:r>
        <w:rPr>
          <w:b/>
        </w:rPr>
        <w:t>FACTS:</w:t>
      </w:r>
    </w:p>
    <w:p w14:paraId="597E9D52" w14:textId="77777777" w:rsidR="002E1260" w:rsidRDefault="002E1260" w:rsidP="002E1260">
      <w:pPr>
        <w:pStyle w:val="NoSpacing"/>
      </w:pPr>
      <w:r>
        <w:t>“In December 2021, Darius Marquise Mills-Brown was housesitting for Nicole Thomas</w:t>
      </w:r>
    </w:p>
    <w:p w14:paraId="6966291B" w14:textId="77777777" w:rsidR="002E1260" w:rsidRDefault="002E1260" w:rsidP="002E1260">
      <w:pPr>
        <w:pStyle w:val="NoSpacing"/>
      </w:pPr>
      <w:r>
        <w:t>while she was deployed with the military. Tiffany Marchman and her son lived in a townhouse</w:t>
      </w:r>
    </w:p>
    <w:p w14:paraId="0F43D43E" w14:textId="77777777" w:rsidR="002E1260" w:rsidRDefault="002E1260" w:rsidP="002E1260">
      <w:pPr>
        <w:pStyle w:val="NoSpacing"/>
      </w:pPr>
      <w:r>
        <w:t>next door.</w:t>
      </w:r>
    </w:p>
    <w:p w14:paraId="3832036C" w14:textId="77777777" w:rsidR="002E1260" w:rsidRDefault="002E1260" w:rsidP="002E1260">
      <w:pPr>
        <w:pStyle w:val="NoSpacing"/>
      </w:pPr>
    </w:p>
    <w:p w14:paraId="71BA2936" w14:textId="77777777" w:rsidR="002E1260" w:rsidRDefault="002E1260" w:rsidP="002E1260">
      <w:pPr>
        <w:pStyle w:val="NoSpacing"/>
      </w:pPr>
      <w:r>
        <w:t>***</w:t>
      </w:r>
    </w:p>
    <w:p w14:paraId="0DCBFACD" w14:textId="77777777" w:rsidR="002E1260" w:rsidRDefault="002E1260" w:rsidP="002E1260">
      <w:pPr>
        <w:pStyle w:val="NoSpacing"/>
      </w:pPr>
    </w:p>
    <w:p w14:paraId="65613973" w14:textId="77777777" w:rsidR="002E1260" w:rsidRDefault="002E1260" w:rsidP="002E1260">
      <w:pPr>
        <w:pStyle w:val="NoSpacing"/>
      </w:pPr>
      <w:r>
        <w:t xml:space="preserve">Chris Persons, an investigator at the Fire Marshal’s Office, </w:t>
      </w:r>
      <w:proofErr w:type="gramStart"/>
      <w:r>
        <w:t>had not arrived</w:t>
      </w:r>
      <w:proofErr w:type="gramEnd"/>
      <w:r>
        <w:t xml:space="preserve"> </w:t>
      </w:r>
      <w:proofErr w:type="gramStart"/>
      <w:r>
        <w:t>on</w:t>
      </w:r>
      <w:proofErr w:type="gramEnd"/>
      <w:r>
        <w:t xml:space="preserve"> the scene</w:t>
      </w:r>
    </w:p>
    <w:p w14:paraId="5DE5ECB5" w14:textId="77777777" w:rsidR="002E1260" w:rsidRDefault="002E1260" w:rsidP="002E1260">
      <w:pPr>
        <w:pStyle w:val="NoSpacing"/>
      </w:pPr>
      <w:r>
        <w:t>when a dispatch officer informed him that they had received a call from a person with</w:t>
      </w:r>
    </w:p>
    <w:p w14:paraId="58B6C63A" w14:textId="77777777" w:rsidR="002E1260" w:rsidRDefault="002E1260" w:rsidP="002E1260">
      <w:pPr>
        <w:pStyle w:val="NoSpacing"/>
      </w:pPr>
      <w:r>
        <w:t xml:space="preserve">information about the fire. </w:t>
      </w:r>
      <w:proofErr w:type="gramStart"/>
      <w:r>
        <w:t>Persons</w:t>
      </w:r>
      <w:proofErr w:type="gramEnd"/>
      <w:r>
        <w:t xml:space="preserve"> called the number associated with the tip and learned that the</w:t>
      </w:r>
    </w:p>
    <w:p w14:paraId="76DF7D2D" w14:textId="77777777" w:rsidR="002E1260" w:rsidRDefault="002E1260" w:rsidP="002E1260">
      <w:pPr>
        <w:pStyle w:val="NoSpacing"/>
      </w:pPr>
      <w:r>
        <w:t>caller was Mills-Brown. Mills-Brown stated that he was at a nearby Subway restaurant. When</w:t>
      </w:r>
    </w:p>
    <w:p w14:paraId="76D22CF1" w14:textId="77777777" w:rsidR="002E1260" w:rsidRDefault="002E1260" w:rsidP="002E1260">
      <w:pPr>
        <w:pStyle w:val="NoSpacing"/>
      </w:pPr>
      <w:r>
        <w:t xml:space="preserve">Persons arrived at the Subway, he </w:t>
      </w:r>
      <w:proofErr w:type="gramStart"/>
      <w:r>
        <w:t>saw Mills</w:t>
      </w:r>
      <w:proofErr w:type="gramEnd"/>
      <w:r>
        <w:t xml:space="preserve">-Brown sitting at a corner table alone. Persons approached Mills-Brown, identified himself, and asked if he was ‘ok.’ </w:t>
      </w:r>
      <w:proofErr w:type="gramStart"/>
      <w:r>
        <w:t>Persons</w:t>
      </w:r>
      <w:proofErr w:type="gramEnd"/>
      <w:r>
        <w:t xml:space="preserve"> did not place</w:t>
      </w:r>
    </w:p>
    <w:p w14:paraId="781314A8" w14:textId="77777777" w:rsidR="002E1260" w:rsidRDefault="002E1260" w:rsidP="002E1260">
      <w:pPr>
        <w:pStyle w:val="NoSpacing"/>
      </w:pPr>
      <w:r>
        <w:t>Mills-Brown in handcuffs and clarified that he was free to leave at any time. When Persons</w:t>
      </w:r>
    </w:p>
    <w:p w14:paraId="0F0C5BA8" w14:textId="77777777" w:rsidR="002E1260" w:rsidRDefault="002E1260" w:rsidP="002E1260">
      <w:pPr>
        <w:pStyle w:val="NoSpacing"/>
      </w:pPr>
      <w:r>
        <w:t>asked what had happened, Mills-Brown ‘tear[ed] up, appeared emotional and distraught’ and</w:t>
      </w:r>
    </w:p>
    <w:p w14:paraId="682501CA" w14:textId="77777777" w:rsidR="002E1260" w:rsidRDefault="002E1260" w:rsidP="002E1260">
      <w:pPr>
        <w:pStyle w:val="NoSpacing"/>
      </w:pPr>
      <w:r>
        <w:t xml:space="preserve">told him that he set fire to the </w:t>
      </w:r>
      <w:proofErr w:type="gramStart"/>
      <w:r>
        <w:t>townhome</w:t>
      </w:r>
      <w:proofErr w:type="gramEnd"/>
      <w:r>
        <w:t xml:space="preserve"> after Thomas kicked him out. Mills-Brown told</w:t>
      </w:r>
    </w:p>
    <w:p w14:paraId="6EC28057" w14:textId="77777777" w:rsidR="002E1260" w:rsidRDefault="002E1260" w:rsidP="002E1260">
      <w:pPr>
        <w:pStyle w:val="NoSpacing"/>
      </w:pPr>
      <w:proofErr w:type="gramStart"/>
      <w:r>
        <w:t>Persons</w:t>
      </w:r>
      <w:proofErr w:type="gramEnd"/>
      <w:r>
        <w:t xml:space="preserve"> that he lit a blanket on fire on a wicker chair in the backyard. Mills-Brown then wrote a</w:t>
      </w:r>
    </w:p>
    <w:p w14:paraId="36C28144" w14:textId="77777777" w:rsidR="002E1260" w:rsidRDefault="002E1260" w:rsidP="002E1260">
      <w:pPr>
        <w:pStyle w:val="NoSpacing"/>
      </w:pPr>
      <w:r>
        <w:t>statement memorializing his oral account. Following the written and oral statements, Persons</w:t>
      </w:r>
    </w:p>
    <w:p w14:paraId="5EE5EAB0" w14:textId="77777777" w:rsidR="002E1260" w:rsidRDefault="002E1260" w:rsidP="002E1260">
      <w:pPr>
        <w:pStyle w:val="NoSpacing"/>
      </w:pPr>
      <w:proofErr w:type="gramStart"/>
      <w:r>
        <w:t>arrested Mills-Brown</w:t>
      </w:r>
      <w:proofErr w:type="gramEnd"/>
      <w:r>
        <w:t xml:space="preserve"> for arson of Thomas’s dwelling.</w:t>
      </w:r>
    </w:p>
    <w:p w14:paraId="35694BBD" w14:textId="77777777" w:rsidR="002E1260" w:rsidRDefault="002E1260" w:rsidP="002E1260">
      <w:pPr>
        <w:pStyle w:val="NoSpacing"/>
      </w:pPr>
    </w:p>
    <w:p w14:paraId="238B576C" w14:textId="77777777" w:rsidR="002E1260" w:rsidRDefault="002E1260" w:rsidP="002E1260">
      <w:pPr>
        <w:pStyle w:val="NoSpacing"/>
      </w:pPr>
      <w:r>
        <w:t>***</w:t>
      </w:r>
    </w:p>
    <w:p w14:paraId="33A581D5" w14:textId="77777777" w:rsidR="002E1260" w:rsidRDefault="002E1260" w:rsidP="002E1260">
      <w:pPr>
        <w:pStyle w:val="NoSpacing"/>
      </w:pPr>
      <w:r w:rsidRPr="002B59C1">
        <w:t>At the suppression hearing, he argued that</w:t>
      </w:r>
      <w:r>
        <w:t xml:space="preserve"> </w:t>
      </w:r>
      <w:r w:rsidRPr="002B59C1">
        <w:t xml:space="preserve">his inculpatory statements from Subway were inadmissible because Persons </w:t>
      </w:r>
      <w:r>
        <w:t>‘</w:t>
      </w:r>
      <w:r w:rsidRPr="002B59C1">
        <w:t>should have read</w:t>
      </w:r>
      <w:r>
        <w:t xml:space="preserve"> </w:t>
      </w:r>
      <w:r w:rsidRPr="002B59C1">
        <w:t>[him his] rights before that.</w:t>
      </w:r>
      <w:r>
        <w:t>’</w:t>
      </w:r>
      <w:r w:rsidRPr="002B59C1">
        <w:t xml:space="preserve"> Mills-Brown acknowledged that he admitted to starting the fire</w:t>
      </w:r>
      <w:r>
        <w:t xml:space="preserve"> </w:t>
      </w:r>
      <w:r w:rsidRPr="002B59C1">
        <w:t>because he was mad that Thomas had thrown him out of the townhouse. He also agreed that</w:t>
      </w:r>
      <w:r>
        <w:t xml:space="preserve"> </w:t>
      </w:r>
      <w:r w:rsidRPr="002B59C1">
        <w:t>Persons was sitting beside him at the Subway, did not handcuff him, and never told him that he</w:t>
      </w:r>
      <w:r>
        <w:t xml:space="preserve"> </w:t>
      </w:r>
      <w:r w:rsidRPr="002B59C1">
        <w:t>had to stay. Mills-Brown confirmed that Persons did not arrest him until after he made oral and</w:t>
      </w:r>
      <w:r>
        <w:t xml:space="preserve"> </w:t>
      </w:r>
      <w:r w:rsidRPr="002B59C1">
        <w:t>written statements. The trial court found that Mills-Brown was not in custody when he made his</w:t>
      </w:r>
      <w:r>
        <w:t xml:space="preserve"> </w:t>
      </w:r>
      <w:r w:rsidRPr="002B59C1">
        <w:t>voluntary statements and denied the motion to suppress.</w:t>
      </w:r>
      <w:r>
        <w:t>”</w:t>
      </w:r>
    </w:p>
    <w:p w14:paraId="6F7299AC" w14:textId="77777777" w:rsidR="002E1260" w:rsidRDefault="002E1260" w:rsidP="002E1260">
      <w:pPr>
        <w:pStyle w:val="NoSpacing"/>
      </w:pPr>
    </w:p>
    <w:p w14:paraId="1A7E5EC3" w14:textId="77777777" w:rsidR="002E1260" w:rsidRDefault="002E1260" w:rsidP="002E1260">
      <w:pPr>
        <w:rPr>
          <w:b/>
        </w:rPr>
      </w:pPr>
      <w:r>
        <w:rPr>
          <w:b/>
        </w:rPr>
        <w:t>COURT HELD:</w:t>
      </w:r>
    </w:p>
    <w:p w14:paraId="7D061B4E" w14:textId="77777777" w:rsidR="002E1260" w:rsidRPr="009E418E" w:rsidRDefault="002E1260" w:rsidP="002E1260">
      <w:pPr>
        <w:pStyle w:val="NoSpacing"/>
      </w:pPr>
      <w:r w:rsidRPr="009E418E">
        <w:t>Mills-Brown contends that his oral and written confessions should have been suppressed</w:t>
      </w:r>
    </w:p>
    <w:p w14:paraId="6E526F93" w14:textId="77777777" w:rsidR="002E1260" w:rsidRPr="009E418E" w:rsidRDefault="002E1260" w:rsidP="002E1260">
      <w:pPr>
        <w:pStyle w:val="NoSpacing"/>
      </w:pPr>
      <w:r w:rsidRPr="009E418E">
        <w:t>because Investigator Persons did not read him his Miranda8 rights during their conversation at</w:t>
      </w:r>
    </w:p>
    <w:p w14:paraId="6B8F5E80" w14:textId="77777777" w:rsidR="002E1260" w:rsidRDefault="002E1260" w:rsidP="002E1260">
      <w:pPr>
        <w:pStyle w:val="NoSpacing"/>
      </w:pPr>
      <w:r w:rsidRPr="009E418E">
        <w:t>Subway. As Mills-Brown was not in custody at the time of his confession, we disagree.</w:t>
      </w:r>
    </w:p>
    <w:p w14:paraId="76293754" w14:textId="77777777" w:rsidR="002E1260" w:rsidRDefault="002E1260" w:rsidP="002E1260">
      <w:pPr>
        <w:pStyle w:val="NoSpacing"/>
      </w:pPr>
    </w:p>
    <w:p w14:paraId="263C81D6" w14:textId="77777777" w:rsidR="002E1260" w:rsidRDefault="002E1260" w:rsidP="002E1260">
      <w:pPr>
        <w:pStyle w:val="NoSpacing"/>
      </w:pPr>
      <w:r>
        <w:t>The ‘protection afforded by Miranda applies only when a suspect is subjected to</w:t>
      </w:r>
    </w:p>
    <w:p w14:paraId="7A4DAD01" w14:textId="77777777" w:rsidR="002E1260" w:rsidRDefault="002E1260" w:rsidP="002E1260">
      <w:pPr>
        <w:pStyle w:val="NoSpacing"/>
      </w:pPr>
      <w:r>
        <w:t>custodial interrogation.’ Webber v. Commonwealth, 26 Va. App. 549, 557 (1998). See, e.g.,</w:t>
      </w:r>
    </w:p>
    <w:p w14:paraId="10F2FD65" w14:textId="77777777" w:rsidR="002E1260" w:rsidRDefault="002E1260" w:rsidP="002E1260">
      <w:pPr>
        <w:pStyle w:val="NoSpacing"/>
      </w:pPr>
      <w:r>
        <w:t>Pruett v. Commonwealth, 232 Va. 266, 272 (1986) (explaining that Miranda does not apply to a</w:t>
      </w:r>
    </w:p>
    <w:p w14:paraId="54EFD33F" w14:textId="77777777" w:rsidR="002E1260" w:rsidRDefault="002E1260" w:rsidP="002E1260">
      <w:pPr>
        <w:pStyle w:val="NoSpacing"/>
      </w:pPr>
      <w:r>
        <w:t>police officer’s ‘general questioning’ of citizens during a fact-finding mission). ‘Custodial</w:t>
      </w:r>
    </w:p>
    <w:p w14:paraId="0F8803A3" w14:textId="77777777" w:rsidR="002E1260" w:rsidRDefault="002E1260" w:rsidP="002E1260">
      <w:pPr>
        <w:pStyle w:val="NoSpacing"/>
      </w:pPr>
      <w:r>
        <w:t xml:space="preserve">interrogation </w:t>
      </w:r>
      <w:proofErr w:type="gramStart"/>
      <w:r>
        <w:t>is ‘questioning</w:t>
      </w:r>
      <w:proofErr w:type="gramEnd"/>
      <w:r>
        <w:t xml:space="preserve"> initiated by law enforcement officers after a person has been taken</w:t>
      </w:r>
    </w:p>
    <w:p w14:paraId="70003F55" w14:textId="77777777" w:rsidR="002E1260" w:rsidRDefault="002E1260" w:rsidP="002E1260">
      <w:pPr>
        <w:pStyle w:val="NoSpacing"/>
      </w:pPr>
      <w:r>
        <w:t>into custody or otherwise deprived of his freedom of action in any significant way.’ Keepers v.</w:t>
      </w:r>
    </w:p>
    <w:p w14:paraId="548A85C8" w14:textId="77777777" w:rsidR="002E1260" w:rsidRDefault="002E1260" w:rsidP="002E1260">
      <w:pPr>
        <w:pStyle w:val="NoSpacing"/>
      </w:pPr>
      <w:r>
        <w:t>Commonwealth, 72 Va. App. 17, 34 (2020) (quoting Miranda v. Arizona, 384 U.S. 436, 444</w:t>
      </w:r>
    </w:p>
    <w:p w14:paraId="613B24B1" w14:textId="77777777" w:rsidR="002E1260" w:rsidRDefault="002E1260" w:rsidP="002E1260">
      <w:pPr>
        <w:pStyle w:val="NoSpacing"/>
      </w:pPr>
      <w:r>
        <w:t>(</w:t>
      </w:r>
      <w:proofErr w:type="gramStart"/>
      <w:r>
        <w:t>1966))</w:t>
      </w:r>
      <w:proofErr w:type="gramEnd"/>
      <w:r>
        <w:t>. ‘The ultimate inquiry into whether an individual is subject to custodial interrogation is simply whether there is a formal arrest or restraint on freedom of movement of the degree</w:t>
      </w:r>
    </w:p>
    <w:p w14:paraId="34FB8EBE" w14:textId="77777777" w:rsidR="002E1260" w:rsidRDefault="002E1260" w:rsidP="002E1260">
      <w:pPr>
        <w:pStyle w:val="NoSpacing"/>
      </w:pPr>
      <w:r>
        <w:t>associated with formal arrest.’ Id. (quoting Spinner v. Commonwealth, 297 Va. 384, 392</w:t>
      </w:r>
    </w:p>
    <w:p w14:paraId="319FCCD7" w14:textId="77777777" w:rsidR="002E1260" w:rsidRDefault="002E1260" w:rsidP="002E1260">
      <w:pPr>
        <w:pStyle w:val="NoSpacing"/>
      </w:pPr>
      <w:r>
        <w:t>(2019)).</w:t>
      </w:r>
    </w:p>
    <w:p w14:paraId="5A822853" w14:textId="77777777" w:rsidR="002E1260" w:rsidRDefault="002E1260" w:rsidP="002E1260">
      <w:pPr>
        <w:pStyle w:val="NoSpacing"/>
      </w:pPr>
    </w:p>
    <w:p w14:paraId="4E51D849" w14:textId="77777777" w:rsidR="002E1260" w:rsidRDefault="002E1260" w:rsidP="002E1260">
      <w:pPr>
        <w:pStyle w:val="NoSpacing"/>
      </w:pPr>
      <w:r>
        <w:t>***</w:t>
      </w:r>
    </w:p>
    <w:p w14:paraId="34E34415" w14:textId="77777777" w:rsidR="002E1260" w:rsidRDefault="002E1260" w:rsidP="002E1260">
      <w:pPr>
        <w:pStyle w:val="NoSpacing"/>
      </w:pPr>
      <w:r>
        <w:t xml:space="preserve">When Persons arrived, he found Mills-Brown seated at a corner table ten feet from the exit. </w:t>
      </w:r>
      <w:proofErr w:type="gramStart"/>
      <w:r>
        <w:t>Persons</w:t>
      </w:r>
      <w:proofErr w:type="gramEnd"/>
      <w:r>
        <w:t xml:space="preserve"> identified </w:t>
      </w:r>
      <w:proofErr w:type="gramStart"/>
      <w:r>
        <w:t>himself</w:t>
      </w:r>
      <w:proofErr w:type="gramEnd"/>
      <w:r>
        <w:t xml:space="preserve"> and started the conversation checking on Mills- Brown’s well-being. At no point during the conversation did Persons exert force or restrain Mills-Brown. Indeed, Persons clarified that Mills-Brown was free to leave at any time. When Persons asked what happened, Mills-Brown teared up and appeared emotionally distraught before disclosing that he started the fire after Thomas kicked him out of the townhouse. He stated that he had gotten mad and just “snapped.” And Persons only placed Mills-Brown under arrest after he made his oral and written confession. Therefore, we find that the court did not err in determining that a reasonable person would have felt free to leave under the </w:t>
      </w:r>
      <w:proofErr w:type="gramStart"/>
      <w:r>
        <w:t>circumstances.”</w:t>
      </w:r>
      <w:proofErr w:type="gramEnd"/>
    </w:p>
    <w:p w14:paraId="0DB7B21F" w14:textId="77777777" w:rsidR="002E1260" w:rsidRDefault="002E1260" w:rsidP="002E1260">
      <w:pPr>
        <w:pStyle w:val="NoSpacing"/>
      </w:pPr>
    </w:p>
    <w:p w14:paraId="5B391698" w14:textId="77777777" w:rsidR="002E1260" w:rsidRPr="005B7A19" w:rsidRDefault="002E1260" w:rsidP="002E1260">
      <w:pPr>
        <w:pStyle w:val="NoSpacing"/>
        <w:rPr>
          <w:b/>
          <w:bCs/>
        </w:rPr>
      </w:pPr>
      <w:r>
        <w:rPr>
          <w:b/>
        </w:rPr>
        <w:t xml:space="preserve">Legal lesson learned: </w:t>
      </w:r>
      <w:r w:rsidRPr="005B7A19">
        <w:rPr>
          <w:b/>
          <w:i/>
          <w:iCs/>
        </w:rPr>
        <w:t>Miranda</w:t>
      </w:r>
      <w:r>
        <w:rPr>
          <w:b/>
        </w:rPr>
        <w:t xml:space="preserve"> warnings are only required when the suspect is “in custody.”</w:t>
      </w:r>
    </w:p>
    <w:p w14:paraId="38249C10" w14:textId="77777777" w:rsidR="002E1260" w:rsidRDefault="002E1260" w:rsidP="002E1260">
      <w:pPr>
        <w:rPr>
          <w:b/>
        </w:rPr>
      </w:pPr>
    </w:p>
    <w:p w14:paraId="0C274633" w14:textId="77777777" w:rsidR="002E1260" w:rsidRDefault="002E1260" w:rsidP="002E1260">
      <w:pPr>
        <w:rPr>
          <w:rFonts w:ascii="Arial Black" w:hAnsi="Arial Black"/>
          <w:b/>
          <w:sz w:val="28"/>
          <w:szCs w:val="28"/>
        </w:rPr>
      </w:pPr>
    </w:p>
    <w:p w14:paraId="59BCD61D" w14:textId="15783D38" w:rsidR="002E1260" w:rsidRDefault="002E1260" w:rsidP="002E1260">
      <w:pPr>
        <w:pStyle w:val="NoSpacing"/>
        <w:rPr>
          <w:rFonts w:ascii="Arial Black" w:hAnsi="Arial Black"/>
          <w:sz w:val="24"/>
          <w:szCs w:val="24"/>
        </w:rPr>
      </w:pPr>
      <w:r>
        <w:rPr>
          <w:rFonts w:ascii="Arial Black" w:hAnsi="Arial Black"/>
          <w:sz w:val="24"/>
          <w:szCs w:val="24"/>
        </w:rPr>
        <w:t>1-214</w:t>
      </w:r>
    </w:p>
    <w:p w14:paraId="361830D1" w14:textId="77777777" w:rsidR="002E1260" w:rsidRDefault="002E1260" w:rsidP="002E1260">
      <w:pPr>
        <w:pStyle w:val="NoSpacing"/>
        <w:rPr>
          <w:rFonts w:ascii="Arial Black" w:hAnsi="Arial Black"/>
          <w:sz w:val="24"/>
          <w:szCs w:val="24"/>
        </w:rPr>
      </w:pPr>
    </w:p>
    <w:p w14:paraId="7A7A6C0D" w14:textId="4BE4308C" w:rsidR="002E1260" w:rsidRPr="00756ABA" w:rsidRDefault="002E1260" w:rsidP="002E1260">
      <w:pPr>
        <w:rPr>
          <w:rFonts w:ascii="Arial Black" w:hAnsi="Arial Black"/>
          <w:b/>
          <w:sz w:val="28"/>
          <w:szCs w:val="28"/>
        </w:rPr>
      </w:pPr>
      <w:r>
        <w:rPr>
          <w:rFonts w:ascii="Arial Black" w:hAnsi="Arial Black"/>
          <w:b/>
          <w:sz w:val="28"/>
          <w:szCs w:val="28"/>
        </w:rPr>
        <w:t xml:space="preserve">CA: BRUSH FIRE - 30 BUILDINGS – MENTAL NO DEFENSE </w:t>
      </w:r>
    </w:p>
    <w:p w14:paraId="45902F86" w14:textId="77777777" w:rsidR="002E1260" w:rsidRDefault="002E1260" w:rsidP="002E1260">
      <w:pPr>
        <w:pStyle w:val="NoSpacing"/>
        <w:rPr>
          <w:bCs/>
        </w:rPr>
      </w:pPr>
      <w:r>
        <w:t xml:space="preserve">On June 13, 2026, in </w:t>
      </w:r>
      <w:r w:rsidRPr="002E0C32">
        <w:rPr>
          <w:u w:val="single"/>
        </w:rPr>
        <w:t>The People v. Devin Lamar Johnson</w:t>
      </w:r>
      <w:r>
        <w:t xml:space="preserve">, the </w:t>
      </w:r>
      <w:r w:rsidRPr="00862ADC">
        <w:t>California Court of Appeals, First District, Fourth Division</w:t>
      </w:r>
      <w:r>
        <w:t xml:space="preserve"> held (3 to 0; unpublished opinion) held that arson is a crime of general intent. </w:t>
      </w:r>
      <w:r w:rsidRPr="00F53B34">
        <w:t>Devin Lamar Johnson started a brush fire that ultimately burned</w:t>
      </w:r>
      <w:r>
        <w:t xml:space="preserve"> </w:t>
      </w:r>
      <w:r w:rsidRPr="00F53B34">
        <w:t>257 acres and 30 dwellings. About a month later, a psychologist diagnosed</w:t>
      </w:r>
      <w:r>
        <w:t xml:space="preserve"> </w:t>
      </w:r>
      <w:r w:rsidRPr="00F53B34">
        <w:t xml:space="preserve">him with </w:t>
      </w:r>
      <w:proofErr w:type="gramStart"/>
      <w:r w:rsidRPr="00F53B34">
        <w:t>early stage</w:t>
      </w:r>
      <w:proofErr w:type="gramEnd"/>
      <w:r w:rsidRPr="00F53B34">
        <w:t xml:space="preserve"> schizophrenia</w:t>
      </w:r>
      <w:r>
        <w:t>.</w:t>
      </w:r>
    </w:p>
    <w:p w14:paraId="477C0ACF" w14:textId="77777777" w:rsidR="002E1260" w:rsidRDefault="002E1260" w:rsidP="002E1260">
      <w:pPr>
        <w:pStyle w:val="NoSpacing"/>
      </w:pPr>
      <w:r>
        <w:t>The Court wrote: “</w:t>
      </w:r>
      <w:r w:rsidRPr="00E62C38">
        <w:t>He argues that the trial court erred by instructing the jury to</w:t>
      </w:r>
      <w:r>
        <w:t xml:space="preserve"> </w:t>
      </w:r>
      <w:r w:rsidRPr="00E62C38">
        <w:t>disregard evidence of his mental illness when deciding whether he acted with</w:t>
      </w:r>
      <w:r>
        <w:t xml:space="preserve"> </w:t>
      </w:r>
      <w:r w:rsidRPr="00E62C38">
        <w:t>the required intent. He also argues that insufficient evidence supports the</w:t>
      </w:r>
      <w:r>
        <w:t xml:space="preserve"> </w:t>
      </w:r>
      <w:r w:rsidRPr="00E62C38">
        <w:t>jury’s finding that he acted with the required intent. Underpinning these</w:t>
      </w:r>
      <w:r>
        <w:t xml:space="preserve"> </w:t>
      </w:r>
      <w:r w:rsidRPr="00E62C38">
        <w:t>arguments is Johnson’s contention that we should classify arson as a specific</w:t>
      </w:r>
      <w:r w:rsidRPr="00E62C38">
        <w:br/>
        <w:t>intent crime in the context of a mental illness defense, which he</w:t>
      </w:r>
      <w:r>
        <w:t xml:space="preserve"> </w:t>
      </w:r>
      <w:r w:rsidRPr="00E62C38">
        <w:t>acknowledges would require us to conclude that we are not bound on that</w:t>
      </w:r>
      <w:r>
        <w:t xml:space="preserve"> </w:t>
      </w:r>
      <w:r w:rsidRPr="00E62C38">
        <w:t>point by Supreme Court cases holding that arson is a general intent crime.</w:t>
      </w:r>
      <w:r>
        <w:t xml:space="preserve"> </w:t>
      </w:r>
      <w:r w:rsidRPr="00E62C38">
        <w:t xml:space="preserve">We cannot so </w:t>
      </w:r>
      <w:proofErr w:type="gramStart"/>
      <w:r w:rsidRPr="00E62C38">
        <w:t>conclude, and</w:t>
      </w:r>
      <w:proofErr w:type="gramEnd"/>
      <w:r w:rsidRPr="00E62C38">
        <w:t xml:space="preserve"> therefore affirm.</w:t>
      </w:r>
      <w:r>
        <w:t>”</w:t>
      </w:r>
    </w:p>
    <w:p w14:paraId="7CB78CF3" w14:textId="77777777" w:rsidR="002E1260" w:rsidRPr="005638FC" w:rsidRDefault="002E1260" w:rsidP="002E1260">
      <w:pPr>
        <w:pStyle w:val="NoSpacing"/>
        <w:rPr>
          <w:b/>
        </w:rPr>
      </w:pPr>
      <w:hyperlink r:id="rId41" w:history="1">
        <w:r w:rsidRPr="00014504">
          <w:rPr>
            <w:rStyle w:val="Hyperlink"/>
            <w:b/>
          </w:rPr>
          <w:t>https://www.casemine.com/judgement/us/6a2b9a31eaa021ae7251d64e</w:t>
        </w:r>
      </w:hyperlink>
      <w:r>
        <w:rPr>
          <w:b/>
        </w:rPr>
        <w:t xml:space="preserve"> </w:t>
      </w:r>
    </w:p>
    <w:p w14:paraId="28A739BE" w14:textId="77777777" w:rsidR="002E1260" w:rsidRDefault="002E1260" w:rsidP="002E1260">
      <w:pPr>
        <w:rPr>
          <w:b/>
        </w:rPr>
      </w:pPr>
    </w:p>
    <w:p w14:paraId="325F046B" w14:textId="77777777" w:rsidR="002E1260" w:rsidRDefault="002E1260" w:rsidP="002E1260">
      <w:pPr>
        <w:rPr>
          <w:b/>
        </w:rPr>
      </w:pPr>
      <w:r>
        <w:rPr>
          <w:b/>
        </w:rPr>
        <w:t>FACTS:</w:t>
      </w:r>
    </w:p>
    <w:p w14:paraId="023940E9" w14:textId="77777777" w:rsidR="002E1260" w:rsidRPr="00756ABA" w:rsidRDefault="002E1260" w:rsidP="002E1260">
      <w:pPr>
        <w:pStyle w:val="NoSpacing"/>
      </w:pPr>
      <w:r>
        <w:t>“</w:t>
      </w:r>
      <w:r w:rsidRPr="00756ABA">
        <w:t xml:space="preserve">Devin Lamar Johnson started a brush fire that ultimately burned 257 acres and 30 dwellings. About a month later, a psychologist diagnosed him with </w:t>
      </w:r>
      <w:proofErr w:type="gramStart"/>
      <w:r w:rsidRPr="00756ABA">
        <w:t>early</w:t>
      </w:r>
      <w:r>
        <w:t xml:space="preserve"> </w:t>
      </w:r>
      <w:r w:rsidRPr="00756ABA">
        <w:t>stage</w:t>
      </w:r>
      <w:proofErr w:type="gramEnd"/>
      <w:r w:rsidRPr="00756ABA">
        <w:t xml:space="preserve"> schizophrenia. </w:t>
      </w:r>
    </w:p>
    <w:p w14:paraId="697BDB6C" w14:textId="77777777" w:rsidR="002E1260" w:rsidRDefault="002E1260" w:rsidP="002E1260">
      <w:pPr>
        <w:pStyle w:val="NoSpacing"/>
      </w:pPr>
      <w:r w:rsidRPr="00756ABA">
        <w:t>   </w:t>
      </w:r>
    </w:p>
    <w:p w14:paraId="4F9DA197" w14:textId="77777777" w:rsidR="002E1260" w:rsidRPr="00756ABA" w:rsidRDefault="002E1260" w:rsidP="002E1260">
      <w:pPr>
        <w:pStyle w:val="NoSpacing"/>
      </w:pPr>
      <w:r w:rsidRPr="00756ABA">
        <w:t>A jury acquitted Johnson of aggravated arson (Penal Code, § 451.5, subd. (a)(3)</w:t>
      </w:r>
      <w:r>
        <w:t xml:space="preserve"> </w:t>
      </w:r>
      <w:r w:rsidRPr="00756ABA">
        <w:t>-a count for which the trial court allowed mental-illness evidence to negate the required state of mind. The jury convicted him of arson of a dwelling (Penal Code, § 451, subd. (</w:t>
      </w:r>
      <w:proofErr w:type="gramStart"/>
      <w:r w:rsidRPr="00756ABA">
        <w:t>b))</w:t>
      </w:r>
      <w:proofErr w:type="gramEnd"/>
      <w:r w:rsidRPr="00756ABA">
        <w:t xml:space="preserve">-a count for which the trial court did not allow such evidence. The jury found true that Johnson had caused multiple structures to burn within the meaning of section 451.1, subdivision (a)(4). The trial court found true prior strike and aggravation allegations. </w:t>
      </w:r>
    </w:p>
    <w:p w14:paraId="6D4D0926" w14:textId="77777777" w:rsidR="002E1260" w:rsidRDefault="002E1260" w:rsidP="002E1260">
      <w:pPr>
        <w:pStyle w:val="NoSpacing"/>
      </w:pPr>
    </w:p>
    <w:p w14:paraId="3F64FB34" w14:textId="77777777" w:rsidR="002E1260" w:rsidRDefault="002E1260" w:rsidP="002E1260">
      <w:pPr>
        <w:pStyle w:val="NoSpacing"/>
      </w:pPr>
      <w:r w:rsidRPr="00756ABA">
        <w:t xml:space="preserve">The trial court sentenced Johnson to the midterm of 5 years, doubled under the </w:t>
      </w:r>
      <w:r>
        <w:t>‘</w:t>
      </w:r>
      <w:r w:rsidRPr="00756ABA">
        <w:t>Three Strikes</w:t>
      </w:r>
      <w:r>
        <w:t>’</w:t>
      </w:r>
      <w:r w:rsidRPr="00756ABA">
        <w:t xml:space="preserve"> law (section 1170.12), plus a consecutive 5 years for the multiple-structures enhancement, for a total of 15 years. </w:t>
      </w:r>
    </w:p>
    <w:p w14:paraId="2005D23C" w14:textId="77777777" w:rsidR="002E1260" w:rsidRDefault="002E1260" w:rsidP="002E1260">
      <w:pPr>
        <w:pStyle w:val="NoSpacing"/>
      </w:pPr>
    </w:p>
    <w:p w14:paraId="1A5F0132" w14:textId="77777777" w:rsidR="002E1260" w:rsidRPr="00756ABA" w:rsidRDefault="002E1260" w:rsidP="002E1260">
      <w:pPr>
        <w:pStyle w:val="NoSpacing"/>
      </w:pPr>
      <w:r>
        <w:t>***</w:t>
      </w:r>
    </w:p>
    <w:p w14:paraId="49BD93E2" w14:textId="77777777" w:rsidR="002E1260" w:rsidRDefault="002E1260" w:rsidP="002E1260">
      <w:pPr>
        <w:pStyle w:val="NoSpacing"/>
      </w:pPr>
      <w:r>
        <w:t>A</w:t>
      </w:r>
      <w:r w:rsidRPr="00094247">
        <w:t xml:space="preserve">t trial, Johnson testified that he had started the fire accidentally by dropping a lit cigarette that he had been smoking into dry grass. He said that he went to look for it but that it was buried in the grass. He said it started </w:t>
      </w:r>
      <w:proofErr w:type="gramStart"/>
      <w:r w:rsidRPr="00094247">
        <w:t>singeing</w:t>
      </w:r>
      <w:proofErr w:type="gramEnd"/>
      <w:r w:rsidRPr="00094247">
        <w:t xml:space="preserve"> the dead grass, and that when he tried to stomp it out it began to flame. Video showed, and Johnson conceded, that he was at the origin site for five minutes. During part of that time, he </w:t>
      </w:r>
      <w:proofErr w:type="gramStart"/>
      <w:r w:rsidRPr="00094247">
        <w:t>testified,</w:t>
      </w:r>
      <w:proofErr w:type="gramEnd"/>
      <w:r w:rsidRPr="00094247">
        <w:t xml:space="preserve"> he was </w:t>
      </w:r>
      <w:proofErr w:type="gramStart"/>
      <w:r w:rsidRPr="00094247">
        <w:t>smoking the cigarette</w:t>
      </w:r>
      <w:proofErr w:type="gramEnd"/>
      <w:r w:rsidRPr="00094247">
        <w:t>.</w:t>
      </w:r>
    </w:p>
    <w:p w14:paraId="08DF3233" w14:textId="77777777" w:rsidR="002E1260" w:rsidRDefault="002E1260" w:rsidP="002E1260">
      <w:pPr>
        <w:pStyle w:val="NoSpacing"/>
      </w:pPr>
    </w:p>
    <w:p w14:paraId="759593FC" w14:textId="77777777" w:rsidR="002E1260" w:rsidRDefault="002E1260" w:rsidP="002E1260">
      <w:pPr>
        <w:pStyle w:val="NoSpacing"/>
      </w:pPr>
      <w:r w:rsidRPr="00B84407">
        <w:t xml:space="preserve">The jury heard testimony that contradicted Johnson's story. A fire chief and investigator who investigated the fire testified as follows. A cigarette needs a minimum of 8 minutes to smolder before it will go to flame. The average time is 12 minutes. To remain lit, a cigarette would need to land with the tip down, facing the </w:t>
      </w:r>
      <w:proofErr w:type="gramStart"/>
      <w:r w:rsidRPr="00B84407">
        <w:t xml:space="preserve">wind, </w:t>
      </w:r>
      <w:r>
        <w:t>‘</w:t>
      </w:r>
      <w:proofErr w:type="gramEnd"/>
      <w:r w:rsidRPr="00B84407">
        <w:t>so that the wind keeps it going because no one is puffing on it . . . .</w:t>
      </w:r>
      <w:r>
        <w:t>’</w:t>
      </w:r>
      <w:r w:rsidRPr="00B84407">
        <w:t xml:space="preserve"> The investigation team did not find any cigarette butts at the site. Based on this and other evidence, the investigation team concluded that </w:t>
      </w:r>
      <w:r>
        <w:t>‘</w:t>
      </w:r>
      <w:r w:rsidRPr="00B84407">
        <w:t>it just didn't add up that [accidental ignition by a dropped cigarette] could even be a possibility . . . .</w:t>
      </w:r>
      <w:r>
        <w:t>’</w:t>
      </w:r>
      <w:r w:rsidRPr="00B84407">
        <w:t xml:space="preserve"> </w:t>
      </w:r>
    </w:p>
    <w:p w14:paraId="065B1300" w14:textId="77777777" w:rsidR="002E1260" w:rsidRDefault="002E1260" w:rsidP="002E1260">
      <w:pPr>
        <w:pStyle w:val="NoSpacing"/>
      </w:pPr>
    </w:p>
    <w:p w14:paraId="6EF4A291" w14:textId="77777777" w:rsidR="002E1260" w:rsidRDefault="002E1260" w:rsidP="002E1260">
      <w:pPr>
        <w:pStyle w:val="NoSpacing"/>
      </w:pPr>
      <w:r w:rsidRPr="00555E7B">
        <w:t xml:space="preserve">Evidence supported a different theory-that Johnson had deliberately started the fire with a cigarette lighter that was later found in his apartment. The investigation team concluded that an open flame had started the fire. In a way relevant to intent, the investigator testified that it takes a concerted effort to make a lighter </w:t>
      </w:r>
      <w:proofErr w:type="gramStart"/>
      <w:r w:rsidRPr="00555E7B">
        <w:t xml:space="preserve">work: </w:t>
      </w:r>
      <w:r>
        <w:t>‘</w:t>
      </w:r>
      <w:proofErr w:type="gramEnd"/>
      <w:r w:rsidRPr="00555E7B">
        <w:t>[y]</w:t>
      </w:r>
      <w:proofErr w:type="spellStart"/>
      <w:r w:rsidRPr="00555E7B">
        <w:t>ou</w:t>
      </w:r>
      <w:proofErr w:type="spellEnd"/>
      <w:r w:rsidRPr="00555E7B">
        <w:t xml:space="preserve"> </w:t>
      </w:r>
      <w:proofErr w:type="gramStart"/>
      <w:r w:rsidRPr="00555E7B">
        <w:t>have</w:t>
      </w:r>
      <w:proofErr w:type="gramEnd"/>
      <w:r w:rsidRPr="00555E7B">
        <w:t xml:space="preserve"> to take it out of your pocket or whatever it is in. You </w:t>
      </w:r>
      <w:proofErr w:type="gramStart"/>
      <w:r w:rsidRPr="00555E7B">
        <w:t>have to</w:t>
      </w:r>
      <w:proofErr w:type="gramEnd"/>
      <w:r w:rsidRPr="00555E7B">
        <w:t xml:space="preserve"> manipulate your lighter with your thumb to get it to work. And you </w:t>
      </w:r>
      <w:proofErr w:type="gramStart"/>
      <w:r w:rsidRPr="00555E7B">
        <w:t>have to</w:t>
      </w:r>
      <w:proofErr w:type="gramEnd"/>
      <w:r w:rsidRPr="00555E7B">
        <w:t xml:space="preserve"> hold that against something that would be combustible.</w:t>
      </w:r>
      <w:r>
        <w:t>’</w:t>
      </w:r>
      <w:r w:rsidRPr="00555E7B">
        <w:t xml:space="preserve"> It takes some time, he further testified, for the enough heat to transfer from a lighter flame to other material before it will catch on fire.</w:t>
      </w:r>
      <w:r>
        <w:t>”</w:t>
      </w:r>
    </w:p>
    <w:p w14:paraId="3A0D7E07" w14:textId="77777777" w:rsidR="002E1260" w:rsidRDefault="002E1260" w:rsidP="002E1260">
      <w:pPr>
        <w:pStyle w:val="NoSpacing"/>
      </w:pPr>
    </w:p>
    <w:p w14:paraId="32A89501" w14:textId="77777777" w:rsidR="002E1260" w:rsidRDefault="002E1260" w:rsidP="002E1260">
      <w:pPr>
        <w:pStyle w:val="NoSpacing"/>
      </w:pPr>
      <w:r w:rsidRPr="00960EA4">
        <w:rPr>
          <w:b/>
        </w:rPr>
        <w:t>COURT HELD</w:t>
      </w:r>
      <w:r>
        <w:t>:</w:t>
      </w:r>
    </w:p>
    <w:p w14:paraId="086925A0" w14:textId="77777777" w:rsidR="002E1260" w:rsidRDefault="002E1260" w:rsidP="002E1260">
      <w:pPr>
        <w:pStyle w:val="NoSpacing"/>
      </w:pPr>
    </w:p>
    <w:p w14:paraId="44D531EF" w14:textId="77777777" w:rsidR="002E1260" w:rsidRPr="00352647" w:rsidRDefault="002E1260" w:rsidP="002E1260">
      <w:pPr>
        <w:pStyle w:val="NoSpacing"/>
      </w:pPr>
      <w:r>
        <w:t>“</w:t>
      </w:r>
      <w:r w:rsidRPr="00352647">
        <w:t xml:space="preserve">Courts categorize some crimes as requiring proof of general intent and others as requiring proof of specific intent. (See, e.g., </w:t>
      </w:r>
      <w:r w:rsidRPr="00352647">
        <w:rPr>
          <w:i/>
          <w:iCs/>
        </w:rPr>
        <w:t>People v. Atkins</w:t>
      </w:r>
      <w:r w:rsidRPr="00352647">
        <w:t xml:space="preserve"> (2001) 25 Cal.4th 76, 81-83.) These terms have been explained as follows. </w:t>
      </w:r>
      <w:r>
        <w:t>‘</w:t>
      </w:r>
      <w:r w:rsidRPr="00352647">
        <w:t>When the definition of a crime consists of only the description of a particular act, without reference to intent to do a further act or achieve a future consequence, we ask whether the defendant intended to do the proscribed act. This intention is deemed to be a general criminal intent.</w:t>
      </w:r>
      <w:r>
        <w:t>’</w:t>
      </w:r>
      <w:r w:rsidRPr="00352647">
        <w:t xml:space="preserve"> (</w:t>
      </w:r>
      <w:r w:rsidRPr="00352647">
        <w:rPr>
          <w:i/>
          <w:iCs/>
        </w:rPr>
        <w:t>People v. Hood</w:t>
      </w:r>
      <w:r w:rsidRPr="00352647">
        <w:t xml:space="preserve"> (1969) 1 Cal.3d 444, 456-457.) On the other </w:t>
      </w:r>
      <w:proofErr w:type="gramStart"/>
      <w:r w:rsidRPr="00352647">
        <w:t xml:space="preserve">hand, </w:t>
      </w:r>
      <w:r>
        <w:t>‘</w:t>
      </w:r>
      <w:proofErr w:type="gramEnd"/>
      <w:r w:rsidRPr="00352647">
        <w:t>[</w:t>
      </w:r>
      <w:proofErr w:type="gramStart"/>
      <w:r w:rsidRPr="00352647">
        <w:t>w]hen</w:t>
      </w:r>
      <w:proofErr w:type="gramEnd"/>
      <w:r w:rsidRPr="00352647">
        <w:t xml:space="preserve"> the definition refers to [a] defendant's intent to do some further act or achieve some </w:t>
      </w:r>
    </w:p>
    <w:p w14:paraId="41E96A40" w14:textId="77777777" w:rsidR="002E1260" w:rsidRPr="00352647" w:rsidRDefault="002E1260" w:rsidP="002E1260">
      <w:pPr>
        <w:pStyle w:val="NoSpacing"/>
      </w:pPr>
      <w:proofErr w:type="gramStart"/>
      <w:r w:rsidRPr="00352647">
        <w:t>additional consequence</w:t>
      </w:r>
      <w:proofErr w:type="gramEnd"/>
      <w:r w:rsidRPr="00352647">
        <w:t>, the crime is deemed to be one of specific intent.</w:t>
      </w:r>
      <w:r>
        <w:t xml:space="preserve">’ </w:t>
      </w:r>
      <w:r w:rsidRPr="00352647">
        <w:t xml:space="preserve"> </w:t>
      </w:r>
    </w:p>
    <w:p w14:paraId="329DFD95" w14:textId="77777777" w:rsidR="002E1260" w:rsidRDefault="002E1260" w:rsidP="002E1260">
      <w:pPr>
        <w:pStyle w:val="NoSpacing"/>
      </w:pPr>
    </w:p>
    <w:p w14:paraId="7215F8EB" w14:textId="77777777" w:rsidR="002E1260" w:rsidRDefault="002E1260" w:rsidP="002E1260">
      <w:pPr>
        <w:pStyle w:val="NoSpacing"/>
      </w:pPr>
      <w:r>
        <w:t>***</w:t>
      </w:r>
    </w:p>
    <w:p w14:paraId="4FFB4DA0" w14:textId="77777777" w:rsidR="002E1260" w:rsidRDefault="002E1260" w:rsidP="002E1260">
      <w:pPr>
        <w:pStyle w:val="NoSpacing"/>
      </w:pPr>
      <w:r w:rsidRPr="0086202A">
        <w:t xml:space="preserve">Sufficient evidence also supports a finding that Johnson was aware of facts that would lead a reasonable person to understand that the highly probable consequence of setting the fire was that it would spread to inhabited buildings. The origin site was about an eighth of a mile from Johnson's home in the town where the buildings burned. At the origin site, Johnson noticed that the nearby creek was dry. He testified that the grass was dry and that there was a layer of dead grass around the area. Another witness testified about typical September conditions in the area. He said that it was a hot, dry time of the year. </w:t>
      </w:r>
      <w:proofErr w:type="gramStart"/>
      <w:r w:rsidRPr="0086202A">
        <w:t>A wind</w:t>
      </w:r>
      <w:proofErr w:type="gramEnd"/>
      <w:r w:rsidRPr="0086202A">
        <w:t xml:space="preserve"> usually picked up at about 2 p.m., as it did on the day of the fire. In addition, the area had been in drought for </w:t>
      </w:r>
      <w:proofErr w:type="gramStart"/>
      <w:r w:rsidRPr="0086202A">
        <w:t>a number of</w:t>
      </w:r>
      <w:proofErr w:type="gramEnd"/>
      <w:r w:rsidRPr="0086202A">
        <w:t xml:space="preserve"> years. Johnson testified that he had lived in the area a while before the fire and that it was his hometown. The jury reasonably could infer that he was aware of these conditions and the proximity of the site to buildings in the town.</w:t>
      </w:r>
      <w:r>
        <w:t>”</w:t>
      </w:r>
    </w:p>
    <w:p w14:paraId="76DDCF82" w14:textId="77777777" w:rsidR="002E1260" w:rsidRDefault="002E1260" w:rsidP="002E1260">
      <w:pPr>
        <w:pStyle w:val="NoSpacing"/>
      </w:pPr>
    </w:p>
    <w:p w14:paraId="366EAD02" w14:textId="77777777" w:rsidR="002E1260" w:rsidRPr="00F961CC" w:rsidRDefault="002E1260" w:rsidP="002E1260">
      <w:pPr>
        <w:pStyle w:val="NoSpacing"/>
        <w:rPr>
          <w:b/>
          <w:bCs/>
        </w:rPr>
      </w:pPr>
      <w:r w:rsidRPr="00F961CC">
        <w:rPr>
          <w:b/>
        </w:rPr>
        <w:t xml:space="preserve">Legal lesson learned: </w:t>
      </w:r>
      <w:r>
        <w:rPr>
          <w:b/>
        </w:rPr>
        <w:t xml:space="preserve">Arson is a “general intent” crime and the defendant’s specific intent to burn buildings was not relevant. </w:t>
      </w:r>
    </w:p>
    <w:p w14:paraId="4EEFE617" w14:textId="77777777" w:rsidR="002E1260" w:rsidRPr="00F961CC" w:rsidRDefault="002E1260" w:rsidP="002E1260">
      <w:pPr>
        <w:pStyle w:val="NoSpacing"/>
        <w:rPr>
          <w:b/>
          <w:bCs/>
        </w:rPr>
      </w:pPr>
    </w:p>
    <w:p w14:paraId="645ADB51" w14:textId="77777777" w:rsidR="002E1260" w:rsidRDefault="002E1260" w:rsidP="002E1260">
      <w:pPr>
        <w:pStyle w:val="NoSpacing"/>
        <w:rPr>
          <w:sz w:val="20"/>
          <w:szCs w:val="20"/>
        </w:rPr>
      </w:pPr>
    </w:p>
    <w:p w14:paraId="2CC92941" w14:textId="77777777" w:rsidR="002E1260" w:rsidRDefault="002E1260" w:rsidP="00822052">
      <w:pPr>
        <w:pStyle w:val="NoSpacing"/>
        <w:rPr>
          <w:rFonts w:ascii="Arial Black" w:hAnsi="Arial Black"/>
          <w:sz w:val="24"/>
          <w:szCs w:val="24"/>
        </w:rPr>
      </w:pPr>
    </w:p>
    <w:p w14:paraId="1043E7B4" w14:textId="77777777" w:rsidR="002E1260" w:rsidRDefault="002E1260" w:rsidP="00822052">
      <w:pPr>
        <w:pStyle w:val="NoSpacing"/>
        <w:rPr>
          <w:rFonts w:ascii="Arial Black" w:hAnsi="Arial Black"/>
          <w:sz w:val="24"/>
          <w:szCs w:val="24"/>
        </w:rPr>
      </w:pPr>
    </w:p>
    <w:p w14:paraId="1F172D80" w14:textId="77777777" w:rsidR="002E1260" w:rsidRDefault="002E1260" w:rsidP="00822052">
      <w:pPr>
        <w:pStyle w:val="NoSpacing"/>
        <w:rPr>
          <w:rFonts w:ascii="Arial Black" w:hAnsi="Arial Black"/>
          <w:sz w:val="24"/>
          <w:szCs w:val="24"/>
        </w:rPr>
      </w:pPr>
    </w:p>
    <w:p w14:paraId="4AEE6B1A" w14:textId="77777777" w:rsidR="002E1260" w:rsidRDefault="002E1260" w:rsidP="00822052">
      <w:pPr>
        <w:pStyle w:val="NoSpacing"/>
        <w:rPr>
          <w:rFonts w:ascii="Arial Black" w:hAnsi="Arial Black"/>
          <w:sz w:val="24"/>
          <w:szCs w:val="24"/>
        </w:rPr>
      </w:pPr>
    </w:p>
    <w:p w14:paraId="1CE5FA9D" w14:textId="77777777" w:rsidR="002E1260" w:rsidRDefault="002E1260" w:rsidP="00822052">
      <w:pPr>
        <w:pStyle w:val="NoSpacing"/>
        <w:rPr>
          <w:rFonts w:ascii="Arial Black" w:hAnsi="Arial Black"/>
          <w:sz w:val="24"/>
          <w:szCs w:val="24"/>
        </w:rPr>
      </w:pPr>
    </w:p>
    <w:p w14:paraId="301EA977" w14:textId="378FA627" w:rsidR="001A609B" w:rsidRDefault="001A609B" w:rsidP="00822052">
      <w:pPr>
        <w:pStyle w:val="NoSpacing"/>
        <w:rPr>
          <w:rFonts w:ascii="Arial Black" w:hAnsi="Arial Black"/>
          <w:sz w:val="24"/>
          <w:szCs w:val="24"/>
        </w:rPr>
      </w:pPr>
      <w:r>
        <w:rPr>
          <w:rFonts w:ascii="Arial Black" w:hAnsi="Arial Black"/>
          <w:sz w:val="24"/>
          <w:szCs w:val="24"/>
        </w:rPr>
        <w:t>1-213</w:t>
      </w:r>
    </w:p>
    <w:p w14:paraId="5D6DE394" w14:textId="77777777" w:rsidR="001A609B" w:rsidRDefault="001A609B" w:rsidP="00822052">
      <w:pPr>
        <w:pStyle w:val="NoSpacing"/>
        <w:rPr>
          <w:rFonts w:ascii="Arial Black" w:hAnsi="Arial Black"/>
          <w:sz w:val="24"/>
          <w:szCs w:val="24"/>
        </w:rPr>
      </w:pPr>
    </w:p>
    <w:p w14:paraId="09B876B5" w14:textId="77777777" w:rsidR="001A609B" w:rsidRPr="00794D71" w:rsidRDefault="001A609B" w:rsidP="001A609B">
      <w:pPr>
        <w:pStyle w:val="NoSpacing"/>
        <w:rPr>
          <w:rFonts w:ascii="Arial Black" w:hAnsi="Arial Black"/>
          <w:sz w:val="28"/>
          <w:szCs w:val="28"/>
        </w:rPr>
      </w:pPr>
      <w:r>
        <w:rPr>
          <w:rFonts w:ascii="Arial Black" w:hAnsi="Arial Black"/>
          <w:sz w:val="28"/>
          <w:szCs w:val="28"/>
        </w:rPr>
        <w:t>OH: SOLAR PROJECT - 6,000 ACRES - NFPA  / FD EQUIP</w:t>
      </w:r>
    </w:p>
    <w:p w14:paraId="04AEBD4C" w14:textId="77777777" w:rsidR="001A609B" w:rsidRDefault="001A609B" w:rsidP="001A609B">
      <w:pPr>
        <w:pStyle w:val="NoSpacing"/>
      </w:pPr>
    </w:p>
    <w:p w14:paraId="3EA0C149" w14:textId="77777777" w:rsidR="001A609B" w:rsidRDefault="001A609B" w:rsidP="001A609B">
      <w:pPr>
        <w:pStyle w:val="NoSpacing"/>
      </w:pPr>
      <w:r>
        <w:t xml:space="preserve">On May 26, 2026, </w:t>
      </w:r>
      <w:proofErr w:type="gramStart"/>
      <w:r w:rsidRPr="002518AB">
        <w:rPr>
          <w:u w:val="single"/>
        </w:rPr>
        <w:t>In</w:t>
      </w:r>
      <w:proofErr w:type="gramEnd"/>
      <w:r w:rsidRPr="002518AB">
        <w:rPr>
          <w:u w:val="single"/>
        </w:rPr>
        <w:t xml:space="preserve"> re Application of Oak Run Solar Project, L.L.C.</w:t>
      </w:r>
      <w:r>
        <w:t xml:space="preserve">, the Ohio Supreme Court held (4 to 3) that the project may proceed, over the objections of 3 Townships and County, after the developers submit to the State Board photographic simulations or an artist’s pictorial sketches of the proposed facility substations. The Court, however, held that </w:t>
      </w:r>
      <w:r w:rsidRPr="00BB3C2C">
        <w:t xml:space="preserve">the safety-related details </w:t>
      </w:r>
      <w:r>
        <w:t xml:space="preserve">can be properly worked out </w:t>
      </w:r>
      <w:r w:rsidRPr="00BB3C2C">
        <w:t>in</w:t>
      </w:r>
      <w:r>
        <w:t xml:space="preserve"> the future prior to start of construction. THE COURT WROTE: “And there appears to be no dispute that there is no effective way to extinguish a lithium-ion-battery fire and that after a fire starts, the only recourse is to try to prevent the fire from spreading. In view of these risks, the local governments assert that the board should not have approved the project without requiring Oak Run to provide for measures to prevent the spread of fire and the release of fumes into the community and that the board should have been more thorough in evaluating the availability of water supplies to contain a fire once it starts…. </w:t>
      </w:r>
    </w:p>
    <w:p w14:paraId="3823DB98" w14:textId="77777777" w:rsidR="001A609B" w:rsidRPr="002518AB" w:rsidRDefault="001A609B" w:rsidP="001A609B">
      <w:pPr>
        <w:pStyle w:val="NoSpacing"/>
      </w:pPr>
      <w:r>
        <w:t xml:space="preserve">Oak Run will develop an emergency-services-and-response plan in consultation with local authorities, provide fire and emergency responders with training and proper firefighting equipment to enable them to respond to emergency situations…. We think the BESS’s [Battery Energy Storage System] ultimate compliance with the National Fire Protection Association’s Standard for the Installation of Stationary Energy Storage Systems is a better safeguard than this court’s collective armchair firefighting expertise.” </w:t>
      </w:r>
      <w:hyperlink r:id="rId42" w:history="1">
        <w:r w:rsidRPr="00910A6A">
          <w:rPr>
            <w:rStyle w:val="Hyperlink"/>
          </w:rPr>
          <w:t>https://www.supremecourt.ohio.gov/rod/docs/pdf/0/2026/2026-Ohio-1849.pdf</w:t>
        </w:r>
      </w:hyperlink>
      <w:r>
        <w:t xml:space="preserve"> </w:t>
      </w:r>
    </w:p>
    <w:p w14:paraId="52AC3A66" w14:textId="77777777" w:rsidR="001A609B" w:rsidRDefault="001A609B" w:rsidP="001A609B">
      <w:pPr>
        <w:pStyle w:val="NoSpacing"/>
      </w:pPr>
    </w:p>
    <w:p w14:paraId="34492F46" w14:textId="77777777" w:rsidR="001A609B" w:rsidRDefault="001A609B" w:rsidP="001A609B">
      <w:pPr>
        <w:pStyle w:val="NoSpacing"/>
      </w:pPr>
      <w:r>
        <w:t xml:space="preserve">THE COURT HELD:  </w:t>
      </w:r>
    </w:p>
    <w:p w14:paraId="76A7708F" w14:textId="77777777" w:rsidR="001A609B" w:rsidRDefault="001A609B" w:rsidP="001A609B">
      <w:pPr>
        <w:pStyle w:val="NoSpacing"/>
      </w:pPr>
    </w:p>
    <w:p w14:paraId="10961FE1" w14:textId="77777777" w:rsidR="001A609B" w:rsidRDefault="001A609B" w:rsidP="001A609B">
      <w:pPr>
        <w:pStyle w:val="NoSpacing"/>
        <w:ind w:left="720"/>
      </w:pPr>
      <w:r>
        <w:t xml:space="preserve">“The facility will sit on about 4,400 acres of privately owned land within an approximate 6,050-acre project area…. The facility will include an 800 megawatt (‘MW’) solar-powered electric-generating facility, a 300 MW alternating-current battery-energy storage system (‘BESS’) comprised of two 150 MW facilities, and two 3.45-mile-long transmission lines…. </w:t>
      </w:r>
      <w:r w:rsidRPr="00051AF3">
        <w:t>approximately 328 battery containers, along with 82 inverters and 82 transformers.</w:t>
      </w:r>
    </w:p>
    <w:p w14:paraId="6A51AD03" w14:textId="77777777" w:rsidR="001A609B" w:rsidRDefault="001A609B" w:rsidP="001A609B">
      <w:pPr>
        <w:pStyle w:val="NoSpacing"/>
        <w:ind w:left="720"/>
      </w:pPr>
    </w:p>
    <w:p w14:paraId="5A6747B8" w14:textId="77777777" w:rsidR="001A609B" w:rsidRDefault="001A609B" w:rsidP="001A609B">
      <w:pPr>
        <w:pStyle w:val="NoSpacing"/>
        <w:ind w:left="720"/>
      </w:pPr>
      <w:r>
        <w:t>***</w:t>
      </w:r>
    </w:p>
    <w:p w14:paraId="473752CF" w14:textId="77777777" w:rsidR="001A609B" w:rsidRDefault="001A609B" w:rsidP="001A609B">
      <w:pPr>
        <w:pStyle w:val="NoSpacing"/>
        <w:ind w:left="720"/>
      </w:pPr>
    </w:p>
    <w:p w14:paraId="3070976E" w14:textId="77777777" w:rsidR="001A609B" w:rsidRDefault="001A609B" w:rsidP="001A609B">
      <w:pPr>
        <w:pStyle w:val="NoSpacing"/>
        <w:ind w:left="720"/>
      </w:pPr>
      <w:r>
        <w:t>The BESS will conform to the National Fire Protection Association’s Standard for the Installation of Stationary Energy Storage Systems, and a fire-protection engineer will review the fire-protection design of the facility. Oak Run will develop an emergency-services-and-response plan in consultation with local authorities, provide fire and emergency responders with training and proper firefighting equipment to enable them to respond to emergency situations at the BESS, and collaborate with local authorities to ensure that sufficient water resources and a long-term water supply are available for any firefighting needs, in accordance with the applicable fire code.”</w:t>
      </w:r>
    </w:p>
    <w:p w14:paraId="6A6E34B2" w14:textId="77777777" w:rsidR="001A609B" w:rsidRDefault="001A609B" w:rsidP="001A609B">
      <w:pPr>
        <w:pStyle w:val="NoSpacing"/>
        <w:ind w:left="720"/>
      </w:pPr>
    </w:p>
    <w:p w14:paraId="20E8736C" w14:textId="77777777" w:rsidR="001A609B" w:rsidRPr="004256AB" w:rsidRDefault="001A609B" w:rsidP="001A609B">
      <w:pPr>
        <w:pStyle w:val="NoSpacing"/>
        <w:rPr>
          <w:b/>
          <w:bCs/>
        </w:rPr>
      </w:pPr>
      <w:r>
        <w:rPr>
          <w:b/>
        </w:rPr>
        <w:t xml:space="preserve">Legal lesson learned:  </w:t>
      </w:r>
      <w:r w:rsidRPr="004256AB">
        <w:rPr>
          <w:b/>
        </w:rPr>
        <w:t>No construction permit will be issued until “Oak Run develops an emergency-services-and-response plan in consultation with local authorities, provide fire and emergency responders with training and proper firefighting equipment to enable them to respond to emergency situations.”</w:t>
      </w:r>
    </w:p>
    <w:p w14:paraId="10A0B926" w14:textId="77777777" w:rsidR="001A609B" w:rsidRPr="004256AB" w:rsidRDefault="001A609B" w:rsidP="001A609B">
      <w:pPr>
        <w:pStyle w:val="NoSpacing"/>
        <w:rPr>
          <w:b/>
          <w:bCs/>
        </w:rPr>
      </w:pPr>
    </w:p>
    <w:p w14:paraId="00EBA227" w14:textId="77777777" w:rsidR="001A609B" w:rsidRDefault="001A609B" w:rsidP="001A609B">
      <w:pPr>
        <w:rPr>
          <w:b/>
        </w:rPr>
      </w:pPr>
    </w:p>
    <w:p w14:paraId="5497CD61" w14:textId="6DBC754D" w:rsidR="001A609B" w:rsidRDefault="001A609B" w:rsidP="001A609B">
      <w:pPr>
        <w:pStyle w:val="NoSpacing"/>
        <w:rPr>
          <w:rFonts w:ascii="Arial Black" w:hAnsi="Arial Black"/>
          <w:sz w:val="24"/>
          <w:szCs w:val="24"/>
        </w:rPr>
      </w:pPr>
      <w:r>
        <w:rPr>
          <w:rFonts w:ascii="Arial Black" w:hAnsi="Arial Black"/>
          <w:sz w:val="24"/>
          <w:szCs w:val="24"/>
        </w:rPr>
        <w:t>1-212</w:t>
      </w:r>
    </w:p>
    <w:p w14:paraId="2BF56490" w14:textId="77777777" w:rsidR="001A609B" w:rsidRDefault="001A609B" w:rsidP="001A609B">
      <w:pPr>
        <w:pStyle w:val="NoSpacing"/>
        <w:rPr>
          <w:rFonts w:ascii="Arial Black" w:hAnsi="Arial Black"/>
          <w:sz w:val="24"/>
          <w:szCs w:val="24"/>
        </w:rPr>
      </w:pPr>
    </w:p>
    <w:p w14:paraId="3E5145ED" w14:textId="77777777" w:rsidR="001A609B" w:rsidRPr="00B23131" w:rsidRDefault="001A609B" w:rsidP="001A609B">
      <w:pPr>
        <w:rPr>
          <w:rFonts w:ascii="Arial Black" w:hAnsi="Arial Black"/>
          <w:b/>
          <w:sz w:val="28"/>
          <w:szCs w:val="28"/>
        </w:rPr>
      </w:pPr>
      <w:r>
        <w:rPr>
          <w:rFonts w:ascii="Arial Black" w:hAnsi="Arial Black"/>
          <w:b/>
          <w:sz w:val="28"/>
          <w:szCs w:val="28"/>
        </w:rPr>
        <w:t>NC: OUTER BANKS - LODGING TAXES / PAID FIRE DEPT</w:t>
      </w:r>
    </w:p>
    <w:p w14:paraId="4EF46FC3" w14:textId="77777777" w:rsidR="001A609B" w:rsidRPr="001E0FF3" w:rsidRDefault="001A609B" w:rsidP="001A609B">
      <w:pPr>
        <w:rPr>
          <w:bCs/>
        </w:rPr>
      </w:pPr>
      <w:r>
        <w:t xml:space="preserve">On May 22, 2026, in </w:t>
      </w:r>
      <w:r w:rsidRPr="00D40D8E">
        <w:rPr>
          <w:u w:val="single"/>
        </w:rPr>
        <w:t>Gerald Constanzo, et al. v. Currituck County North Carolina, et al</w:t>
      </w:r>
      <w:r>
        <w:t xml:space="preserve">, the Supreme Court of North Carolina held (7 to 0) that hotel room occupancy tax revenues, which North Carolina legislature restricts spending only on </w:t>
      </w:r>
      <w:r w:rsidRPr="00E07697">
        <w:t>“</w:t>
      </w:r>
      <w:proofErr w:type="spellStart"/>
      <w:r w:rsidRPr="00E07697">
        <w:t>promot</w:t>
      </w:r>
      <w:proofErr w:type="spellEnd"/>
      <w:r w:rsidRPr="00E07697">
        <w:t>[</w:t>
      </w:r>
      <w:proofErr w:type="spellStart"/>
      <w:r w:rsidRPr="00E07697">
        <w:t>ing</w:t>
      </w:r>
      <w:proofErr w:type="spellEnd"/>
      <w:r w:rsidRPr="00E07697">
        <w:t>] travel and</w:t>
      </w:r>
      <w:r>
        <w:t xml:space="preserve"> </w:t>
      </w:r>
      <w:r w:rsidRPr="00E07697">
        <w:t>tourism” as well as “tourism-related expenditures</w:t>
      </w:r>
      <w:r>
        <w:t xml:space="preserve">,” can be spent on improving public safety services for heavily: “For several annual budget cycles, the County, through the Board of Commissioners, has expended occupancy tax revenues on various public safety services. These costs included law enforcement personnel and equipment, emergency medical services personnel, a paid fire district (instead of an all-volunteer fire response service), beach lifeguards, and repairing and maintaining coastal roads…. The County could––and here, did–– reasonably conclude that the challenged public safety spending is tourism-related because tourists are not likely to visit Currituck if they believe it is unsafe and because substantial tourism-related population changes greatly increase the demand for public safety services in the area and at a year-round cost.” </w:t>
      </w:r>
      <w:hyperlink r:id="rId43" w:history="1">
        <w:r w:rsidRPr="001E0FF3">
          <w:rPr>
            <w:rStyle w:val="Hyperlink"/>
          </w:rPr>
          <w:t>https://cases.justia.com/north-carolina/supreme-court/2026-101pa24.pdf?ts=1779464497</w:t>
        </w:r>
      </w:hyperlink>
      <w:r w:rsidRPr="001E0FF3">
        <w:t xml:space="preserve"> </w:t>
      </w:r>
    </w:p>
    <w:p w14:paraId="12705D71" w14:textId="77777777" w:rsidR="001A609B" w:rsidRDefault="001A609B" w:rsidP="001A609B">
      <w:pPr>
        <w:pStyle w:val="NoSpacing"/>
      </w:pPr>
    </w:p>
    <w:p w14:paraId="7BBD641B" w14:textId="77777777" w:rsidR="001A609B" w:rsidRDefault="001A609B" w:rsidP="001A609B">
      <w:pPr>
        <w:pStyle w:val="NoSpacing"/>
      </w:pPr>
      <w:r>
        <w:t>THE COURT HELD:</w:t>
      </w:r>
    </w:p>
    <w:p w14:paraId="2BB65885" w14:textId="77777777" w:rsidR="001A609B" w:rsidRDefault="001A609B" w:rsidP="001A609B">
      <w:pPr>
        <w:pStyle w:val="NoSpacing"/>
      </w:pPr>
    </w:p>
    <w:p w14:paraId="0D6EB1C6" w14:textId="77777777" w:rsidR="001A609B" w:rsidRDefault="001A609B" w:rsidP="001A609B">
      <w:pPr>
        <w:pStyle w:val="NoSpacing"/>
        <w:ind w:left="720"/>
      </w:pPr>
      <w:r>
        <w:t>“Defendant Currituck County, through its Board of Commissioners, decided to spend occupancy tax revenues on certain public safety services—including law enforcement, emergency medical services, and fire response, predominately tied to the heavily touristed beach destination of Corolla along the northern Outer Banks. In the Commission’s view, these expenditures are tourism-related because Currituck County’s population doubles during peak season and the County incurs substantial year-round costs to provide adequate public safety services during that period. The Commissioners believe that tourists and business travelers visit the County because it has a reputation for being safe and family-friendly and that tourists would be deterred from visiting the County if it were unable to provide sufficient police, fire, and emergency response services to protect them during their visit.</w:t>
      </w:r>
    </w:p>
    <w:p w14:paraId="6AA6A908" w14:textId="77777777" w:rsidR="001A609B" w:rsidRDefault="001A609B" w:rsidP="001A609B">
      <w:pPr>
        <w:pStyle w:val="NoSpacing"/>
      </w:pPr>
    </w:p>
    <w:p w14:paraId="16AF8947" w14:textId="77777777" w:rsidR="001A609B" w:rsidRDefault="001A609B" w:rsidP="001A609B">
      <w:pPr>
        <w:pStyle w:val="NoSpacing"/>
        <w:ind w:left="720"/>
      </w:pPr>
      <w:r>
        <w:t>***</w:t>
      </w:r>
    </w:p>
    <w:p w14:paraId="67321573" w14:textId="77777777" w:rsidR="001A609B" w:rsidRDefault="001A609B" w:rsidP="001A609B">
      <w:pPr>
        <w:pStyle w:val="NoSpacing"/>
        <w:ind w:left="720"/>
      </w:pPr>
    </w:p>
    <w:p w14:paraId="076DC083" w14:textId="77777777" w:rsidR="001A609B" w:rsidRDefault="001A609B" w:rsidP="001A609B">
      <w:pPr>
        <w:pStyle w:val="NoSpacing"/>
        <w:ind w:left="720"/>
      </w:pPr>
      <w:r>
        <w:t xml:space="preserve">Plaintiffs are [hotel and other ] property owners who collect and remit occupancy tax proceeds to Currituck County and a civic association whose members include other such property owners (collectively, the property owners)…. They sought a declaratory judgment to that effect and an injunction prohibiting the County from making such expenditures…. They argue that the definition of ‘tourism-related </w:t>
      </w:r>
      <w:proofErr w:type="gramStart"/>
      <w:r>
        <w:t>expenditures’</w:t>
      </w:r>
      <w:proofErr w:type="gramEnd"/>
      <w:r>
        <w:t xml:space="preserve"> encompasses only literal tourist attractions, such as Beaufort’s pirate invasion weekend, Morehead City’s Big Rock fishing tournament, Kitty Hawk’s aviation history museum, and Carolina Beach’s beach music festival.</w:t>
      </w:r>
    </w:p>
    <w:p w14:paraId="187F0C01" w14:textId="77777777" w:rsidR="001A609B" w:rsidRDefault="001A609B" w:rsidP="001A609B">
      <w:pPr>
        <w:pStyle w:val="NoSpacing"/>
        <w:ind w:left="720"/>
      </w:pPr>
    </w:p>
    <w:p w14:paraId="5CFC2E7F" w14:textId="77777777" w:rsidR="001A609B" w:rsidRDefault="001A609B" w:rsidP="001A609B">
      <w:pPr>
        <w:pStyle w:val="NoSpacing"/>
        <w:ind w:left="720"/>
      </w:pPr>
      <w:r>
        <w:t>***</w:t>
      </w:r>
    </w:p>
    <w:p w14:paraId="51909773" w14:textId="77777777" w:rsidR="001A609B" w:rsidRDefault="001A609B" w:rsidP="001A609B">
      <w:pPr>
        <w:pStyle w:val="NoSpacing"/>
        <w:ind w:left="720"/>
      </w:pPr>
      <w:r>
        <w:t>Protecting public safety is among the most important responsibilities North</w:t>
      </w:r>
    </w:p>
    <w:p w14:paraId="330F0466" w14:textId="77777777" w:rsidR="001A609B" w:rsidRDefault="001A609B" w:rsidP="001A609B">
      <w:pPr>
        <w:pStyle w:val="NoSpacing"/>
        <w:ind w:left="720"/>
      </w:pPr>
      <w:r>
        <w:t xml:space="preserve">Carolinians </w:t>
      </w:r>
      <w:proofErr w:type="gramStart"/>
      <w:r>
        <w:t>entrust</w:t>
      </w:r>
      <w:proofErr w:type="gramEnd"/>
      <w:r>
        <w:t xml:space="preserve"> to their democratically elected officials. Doing so while promoting</w:t>
      </w:r>
    </w:p>
    <w:p w14:paraId="62288CED" w14:textId="77777777" w:rsidR="001A609B" w:rsidRDefault="001A609B" w:rsidP="001A609B">
      <w:pPr>
        <w:pStyle w:val="NoSpacing"/>
        <w:ind w:left="720"/>
      </w:pPr>
      <w:r>
        <w:t>economic growth and fairly allocating the tax burden across the community is an</w:t>
      </w:r>
    </w:p>
    <w:p w14:paraId="48B35210" w14:textId="77777777" w:rsidR="001A609B" w:rsidRDefault="001A609B" w:rsidP="001A609B">
      <w:pPr>
        <w:pStyle w:val="NoSpacing"/>
        <w:ind w:left="720"/>
      </w:pPr>
      <w:r>
        <w:t>ongoing challenge for many elected officials.</w:t>
      </w:r>
    </w:p>
    <w:p w14:paraId="22601438" w14:textId="77777777" w:rsidR="001A609B" w:rsidRDefault="001A609B" w:rsidP="001A609B">
      <w:pPr>
        <w:pStyle w:val="NoSpacing"/>
        <w:ind w:left="720"/>
      </w:pPr>
    </w:p>
    <w:p w14:paraId="5AF46B1B" w14:textId="77777777" w:rsidR="001A609B" w:rsidRDefault="001A609B" w:rsidP="001A609B">
      <w:pPr>
        <w:pStyle w:val="NoSpacing"/>
        <w:ind w:left="720"/>
      </w:pPr>
      <w:r>
        <w:t>***</w:t>
      </w:r>
    </w:p>
    <w:p w14:paraId="6DBDBE93" w14:textId="77777777" w:rsidR="001A609B" w:rsidRDefault="001A609B" w:rsidP="001A609B">
      <w:pPr>
        <w:pStyle w:val="NoSpacing"/>
        <w:ind w:left="720"/>
      </w:pPr>
      <w:r>
        <w:t>Existing services were also, in the Commissioners’ view, insufficient to support</w:t>
      </w:r>
    </w:p>
    <w:p w14:paraId="23451074" w14:textId="77777777" w:rsidR="001A609B" w:rsidRDefault="001A609B" w:rsidP="001A609B">
      <w:pPr>
        <w:pStyle w:val="NoSpacing"/>
        <w:ind w:left="720"/>
      </w:pPr>
      <w:r>
        <w:t>the tourist population. Again, the County’s 28,000 year-round population doubles to</w:t>
      </w:r>
    </w:p>
    <w:p w14:paraId="2B950024" w14:textId="77777777" w:rsidR="001A609B" w:rsidRDefault="001A609B" w:rsidP="001A609B">
      <w:pPr>
        <w:pStyle w:val="NoSpacing"/>
        <w:ind w:left="720"/>
      </w:pPr>
      <w:r>
        <w:t xml:space="preserve">about 60,000 during tourist season when most tourists flock to Corolla. Commissioners testified that protecting the tourist population requires significantly more public safety personnel than the County would have otherwise. More people </w:t>
      </w:r>
      <w:proofErr w:type="gramStart"/>
      <w:r>
        <w:t>means</w:t>
      </w:r>
      <w:proofErr w:type="gramEnd"/>
      <w:r>
        <w:t xml:space="preserve"> a greater risk of accidents, drownings, </w:t>
      </w:r>
      <w:proofErr w:type="spellStart"/>
      <w:r>
        <w:t>heatstrokes</w:t>
      </w:r>
      <w:proofErr w:type="spellEnd"/>
      <w:r>
        <w:t xml:space="preserve">, physical altercations, and other safety risks. As one commissioner put it, ‘[W]e </w:t>
      </w:r>
      <w:proofErr w:type="gramStart"/>
      <w:r>
        <w:t>have</w:t>
      </w:r>
      <w:proofErr w:type="gramEnd"/>
      <w:r>
        <w:t xml:space="preserve"> to have more [s]</w:t>
      </w:r>
      <w:proofErr w:type="spellStart"/>
      <w:r>
        <w:t>heriffs</w:t>
      </w:r>
      <w:proofErr w:type="spellEnd"/>
      <w:r>
        <w:t xml:space="preserve"> or EMS because of the influx of the tourists on our county.’”</w:t>
      </w:r>
    </w:p>
    <w:p w14:paraId="0E33424B" w14:textId="77777777" w:rsidR="001A609B" w:rsidRDefault="001A609B" w:rsidP="001A609B">
      <w:pPr>
        <w:pStyle w:val="NoSpacing"/>
        <w:ind w:left="720"/>
      </w:pPr>
    </w:p>
    <w:p w14:paraId="5F82E939" w14:textId="77777777" w:rsidR="001A609B" w:rsidRPr="007F1EB4" w:rsidRDefault="001A609B" w:rsidP="001A609B">
      <w:pPr>
        <w:pStyle w:val="NoSpacing"/>
        <w:rPr>
          <w:b/>
          <w:bCs/>
        </w:rPr>
      </w:pPr>
      <w:r>
        <w:rPr>
          <w:b/>
        </w:rPr>
        <w:t>Legal lesson learned: Tax dollars to support paid FD; public safety is “among the most important responsibilities.”</w:t>
      </w:r>
    </w:p>
    <w:p w14:paraId="3C3A0F77" w14:textId="77777777" w:rsidR="001A609B" w:rsidRDefault="001A609B" w:rsidP="001A609B">
      <w:pPr>
        <w:pStyle w:val="NoSpacing"/>
        <w:ind w:left="720"/>
      </w:pPr>
    </w:p>
    <w:p w14:paraId="1A702751" w14:textId="77777777" w:rsidR="001A609B" w:rsidRDefault="001A609B" w:rsidP="001A609B">
      <w:pPr>
        <w:pStyle w:val="NoSpacing"/>
      </w:pPr>
    </w:p>
    <w:p w14:paraId="5BA11528" w14:textId="77777777" w:rsidR="001A609B" w:rsidRPr="0034646D" w:rsidRDefault="001A609B" w:rsidP="001A609B">
      <w:pPr>
        <w:pStyle w:val="NoSpacing"/>
        <w:rPr>
          <w:sz w:val="20"/>
          <w:szCs w:val="20"/>
        </w:rPr>
      </w:pPr>
    </w:p>
    <w:p w14:paraId="51BB3C12" w14:textId="00BFE299" w:rsidR="001A609B" w:rsidRDefault="001A609B" w:rsidP="001A609B">
      <w:pPr>
        <w:pStyle w:val="NoSpacing"/>
        <w:rPr>
          <w:rFonts w:ascii="Arial Black" w:hAnsi="Arial Black"/>
          <w:sz w:val="24"/>
          <w:szCs w:val="24"/>
        </w:rPr>
      </w:pPr>
      <w:r>
        <w:rPr>
          <w:rFonts w:ascii="Arial Black" w:hAnsi="Arial Black"/>
          <w:sz w:val="24"/>
          <w:szCs w:val="24"/>
        </w:rPr>
        <w:t>1-211</w:t>
      </w:r>
    </w:p>
    <w:p w14:paraId="1D77B67F" w14:textId="77777777" w:rsidR="001A609B" w:rsidRDefault="001A609B" w:rsidP="001A609B">
      <w:pPr>
        <w:pStyle w:val="NoSpacing"/>
        <w:rPr>
          <w:rFonts w:ascii="Arial Black" w:hAnsi="Arial Black"/>
          <w:sz w:val="24"/>
          <w:szCs w:val="24"/>
        </w:rPr>
      </w:pPr>
    </w:p>
    <w:p w14:paraId="48AFE425" w14:textId="77777777" w:rsidR="001A609B" w:rsidRPr="00C45381" w:rsidRDefault="001A609B" w:rsidP="001A609B">
      <w:pPr>
        <w:pStyle w:val="NoSpacing"/>
        <w:rPr>
          <w:rFonts w:ascii="Arial Black" w:hAnsi="Arial Black"/>
          <w:sz w:val="28"/>
          <w:szCs w:val="28"/>
        </w:rPr>
      </w:pPr>
      <w:r>
        <w:rPr>
          <w:rFonts w:ascii="Arial Black" w:hAnsi="Arial Black"/>
          <w:sz w:val="28"/>
          <w:szCs w:val="28"/>
        </w:rPr>
        <w:t xml:space="preserve">OH: FIRE / PUSHED FF, THEN CALLED 911 – PROB CAUSE </w:t>
      </w:r>
    </w:p>
    <w:p w14:paraId="1ED0413A" w14:textId="77777777" w:rsidR="001A609B" w:rsidRDefault="001A609B" w:rsidP="001A609B">
      <w:pPr>
        <w:pStyle w:val="NoSpacing"/>
      </w:pPr>
    </w:p>
    <w:p w14:paraId="3663031F" w14:textId="77777777" w:rsidR="001A609B" w:rsidRPr="00887917" w:rsidRDefault="001A609B" w:rsidP="001A609B">
      <w:pPr>
        <w:pStyle w:val="NoSpacing"/>
      </w:pPr>
      <w:r>
        <w:t xml:space="preserve">On May 20, 2026, in </w:t>
      </w:r>
      <w:r w:rsidRPr="00EE3149">
        <w:rPr>
          <w:u w:val="single"/>
        </w:rPr>
        <w:t>Paula Willey v. Springfield Township, et al</w:t>
      </w:r>
      <w:r>
        <w:t xml:space="preserve">., the </w:t>
      </w:r>
      <w:r w:rsidRPr="00EE3149">
        <w:t>Court of Appeals of Ohio, Ninth District, Summit</w:t>
      </w:r>
      <w:r>
        <w:t xml:space="preserve"> County, held (3 to 0) that trial court properly granted summary judgment to police and firefighters; there was probable cause to arrest </w:t>
      </w:r>
      <w:r w:rsidRPr="00FF3169">
        <w:t>Willey</w:t>
      </w:r>
      <w:r>
        <w:t xml:space="preserve"> w</w:t>
      </w:r>
      <w:r w:rsidRPr="00FF3169">
        <w:t>ith misconduct at an emergency in violation of R.C. 2917.13, making</w:t>
      </w:r>
      <w:r>
        <w:t xml:space="preserve"> </w:t>
      </w:r>
      <w:r w:rsidRPr="00FF3169">
        <w:t>false alarms in violation of R.C. 2917.32, and disorderly conduct in violation of R.C. 2917.11</w:t>
      </w:r>
      <w:r>
        <w:t>, even though the c</w:t>
      </w:r>
      <w:r w:rsidRPr="00FF3169">
        <w:t>harges were dismissed several months later.</w:t>
      </w:r>
      <w:r>
        <w:t xml:space="preserve">  THE COURT WROTE: “</w:t>
      </w:r>
      <w:r w:rsidRPr="00887917">
        <w:t xml:space="preserve">Willey failed to point to any evidence suggesting the police officers did not have probable cause to arrest her for misconduct at an emergency, making false alarms, and disorderly conduct. Willey did not dispute that several witnesses informed officers that Willey was yelling and screaming at firefighters, had </w:t>
      </w:r>
      <w:r>
        <w:t>‘</w:t>
      </w:r>
      <w:r w:rsidRPr="00887917">
        <w:t>put hands on the firefighter,</w:t>
      </w:r>
      <w:r>
        <w:t>’</w:t>
      </w:r>
      <w:r w:rsidRPr="00887917">
        <w:t xml:space="preserve"> and had pushed him twice while he was on duty at the scene of a fire. Sergeant London testified that Chief </w:t>
      </w:r>
      <w:proofErr w:type="spellStart"/>
      <w:r w:rsidRPr="00887917">
        <w:t>Wincik</w:t>
      </w:r>
      <w:proofErr w:type="spellEnd"/>
      <w:r w:rsidRPr="00887917">
        <w:t xml:space="preserve"> had informed him the fire department was leaving the scene due to an altercation which involved Willey. Both Sergeant London and Officer Chapman testified Willey consistently yelled at them despite being asked to lower her voice and remain calm. Willey did not point to any evidence to dispute this testimony. Finally, Willey did not testify that she called 9-1-1 to report an emergency. Rather, she testified she called 9-1-1 for the purpose of speaking to the officer's supervisor despite having been informed that a supervisor was not </w:t>
      </w:r>
      <w:proofErr w:type="gramStart"/>
      <w:r w:rsidRPr="00887917">
        <w:t>available.</w:t>
      </w:r>
      <w:r>
        <w:t>”</w:t>
      </w:r>
      <w:proofErr w:type="gramEnd"/>
      <w:r>
        <w:t xml:space="preserve">  </w:t>
      </w:r>
      <w:hyperlink r:id="rId44" w:history="1">
        <w:r w:rsidRPr="006E380B">
          <w:rPr>
            <w:rStyle w:val="Hyperlink"/>
          </w:rPr>
          <w:t>https://www.supremecourt.ohio.gov/rod/docs/pdf/9/2026/2026-Ohio-1842.pdf</w:t>
        </w:r>
      </w:hyperlink>
      <w:r>
        <w:t xml:space="preserve"> </w:t>
      </w:r>
    </w:p>
    <w:p w14:paraId="0F7B86D2" w14:textId="77777777" w:rsidR="001A609B" w:rsidRPr="00EE3149" w:rsidRDefault="001A609B" w:rsidP="001A609B">
      <w:pPr>
        <w:rPr>
          <w:bCs/>
        </w:rPr>
      </w:pPr>
    </w:p>
    <w:p w14:paraId="10EFCF81" w14:textId="77777777" w:rsidR="001A609B" w:rsidRDefault="001A609B" w:rsidP="001A609B">
      <w:pPr>
        <w:pStyle w:val="NoSpacing"/>
      </w:pPr>
      <w:r>
        <w:t>THE COURT HELD:</w:t>
      </w:r>
    </w:p>
    <w:p w14:paraId="5AF83797" w14:textId="77777777" w:rsidR="001A609B" w:rsidRDefault="001A609B" w:rsidP="001A609B">
      <w:pPr>
        <w:pStyle w:val="NoSpacing"/>
      </w:pPr>
    </w:p>
    <w:p w14:paraId="7F7990BD" w14:textId="77777777" w:rsidR="001A609B" w:rsidRDefault="001A609B" w:rsidP="001A609B">
      <w:pPr>
        <w:pStyle w:val="NoSpacing"/>
        <w:ind w:firstLine="720"/>
      </w:pPr>
      <w:r>
        <w:t>“In the early evening hours of June 22, 2022, a fire started at the primary residence.</w:t>
      </w:r>
    </w:p>
    <w:p w14:paraId="75B2B0A5" w14:textId="77777777" w:rsidR="001A609B" w:rsidRDefault="001A609B" w:rsidP="001A609B">
      <w:pPr>
        <w:pStyle w:val="NoSpacing"/>
        <w:ind w:left="720"/>
      </w:pPr>
      <w:r>
        <w:t>[</w:t>
      </w:r>
      <w:r w:rsidRPr="0074665F">
        <w:t>Leann</w:t>
      </w:r>
      <w:r>
        <w:t>] Burks was at home with her three children, five dogs, and three cats. The Springfield Township Fire Department responded. The home was a total loss…. Willey, Burks’ mother, resided in a separate structure on the property, identified by the parties as</w:t>
      </w:r>
    </w:p>
    <w:p w14:paraId="632FB23C" w14:textId="77777777" w:rsidR="001A609B" w:rsidRDefault="001A609B" w:rsidP="001A609B">
      <w:pPr>
        <w:pStyle w:val="NoSpacing"/>
        <w:ind w:left="720"/>
      </w:pPr>
      <w:r>
        <w:t xml:space="preserve">a mother-in-law suite…. </w:t>
      </w:r>
    </w:p>
    <w:p w14:paraId="37D59139" w14:textId="77777777" w:rsidR="001A609B" w:rsidRDefault="001A609B" w:rsidP="001A609B">
      <w:pPr>
        <w:pStyle w:val="NoSpacing"/>
        <w:ind w:left="720"/>
      </w:pPr>
    </w:p>
    <w:p w14:paraId="173100FD" w14:textId="77777777" w:rsidR="001A609B" w:rsidRDefault="001A609B" w:rsidP="001A609B">
      <w:pPr>
        <w:pStyle w:val="NoSpacing"/>
        <w:ind w:left="720"/>
      </w:pPr>
      <w:r>
        <w:t>***</w:t>
      </w:r>
    </w:p>
    <w:p w14:paraId="4DFFB61D" w14:textId="77777777" w:rsidR="001A609B" w:rsidRDefault="001A609B" w:rsidP="001A609B">
      <w:pPr>
        <w:pStyle w:val="NoSpacing"/>
        <w:ind w:left="720"/>
      </w:pPr>
    </w:p>
    <w:p w14:paraId="65FA45F5" w14:textId="77777777" w:rsidR="001A609B" w:rsidRDefault="001A609B" w:rsidP="001A609B">
      <w:pPr>
        <w:pStyle w:val="NoSpacing"/>
        <w:ind w:left="720"/>
      </w:pPr>
      <w:r>
        <w:t>Although Willey was advised of the fire, she did not arrive at the property until</w:t>
      </w:r>
    </w:p>
    <w:p w14:paraId="4D5AB686" w14:textId="77777777" w:rsidR="001A609B" w:rsidRDefault="001A609B" w:rsidP="001A609B">
      <w:pPr>
        <w:pStyle w:val="NoSpacing"/>
        <w:ind w:left="720"/>
      </w:pPr>
      <w:r>
        <w:t>around 12:30 a.m. Nonetheless, firefighters were still on scene addressing the fire. After Willey arrived, an altercation occurred between Willey and Burks, [</w:t>
      </w:r>
      <w:r w:rsidRPr="00B41493">
        <w:t>Chase</w:t>
      </w:r>
      <w:r>
        <w:t xml:space="preserve">]Whipp, </w:t>
      </w:r>
      <w:proofErr w:type="gramStart"/>
      <w:r>
        <w:t>a number of</w:t>
      </w:r>
      <w:proofErr w:type="gramEnd"/>
      <w:r>
        <w:t xml:space="preserve"> Burks’ friends (Burrell, Abigail Christian, and David Christian), and a firefighter.</w:t>
      </w:r>
    </w:p>
    <w:p w14:paraId="2C190973" w14:textId="77777777" w:rsidR="001A609B" w:rsidRDefault="001A609B" w:rsidP="001A609B">
      <w:pPr>
        <w:pStyle w:val="NoSpacing"/>
        <w:ind w:left="720"/>
      </w:pPr>
    </w:p>
    <w:p w14:paraId="578C414A" w14:textId="77777777" w:rsidR="001A609B" w:rsidRDefault="001A609B" w:rsidP="001A609B">
      <w:pPr>
        <w:pStyle w:val="NoSpacing"/>
        <w:ind w:left="720"/>
      </w:pPr>
      <w:r>
        <w:t>***</w:t>
      </w:r>
    </w:p>
    <w:p w14:paraId="3AB19CC8" w14:textId="77777777" w:rsidR="001A609B" w:rsidRDefault="001A609B" w:rsidP="001A609B">
      <w:pPr>
        <w:pStyle w:val="NoSpacing"/>
        <w:ind w:left="720"/>
      </w:pPr>
    </w:p>
    <w:p w14:paraId="4AD889E2" w14:textId="77777777" w:rsidR="001A609B" w:rsidRDefault="001A609B" w:rsidP="001A609B">
      <w:pPr>
        <w:pStyle w:val="NoSpacing"/>
        <w:ind w:left="720"/>
      </w:pPr>
      <w:r w:rsidRPr="009F4D15">
        <w:t xml:space="preserve">Sergeant London </w:t>
      </w:r>
      <w:proofErr w:type="gramStart"/>
      <w:r w:rsidRPr="009F4D15">
        <w:t>testified</w:t>
      </w:r>
      <w:proofErr w:type="gramEnd"/>
      <w:r w:rsidRPr="009F4D15">
        <w:t xml:space="preserve"> Willey appeared </w:t>
      </w:r>
      <w:r>
        <w:t>‘</w:t>
      </w:r>
      <w:r w:rsidRPr="009F4D15">
        <w:t>pretty intoxicated[.]</w:t>
      </w:r>
      <w:r>
        <w:t>’</w:t>
      </w:r>
      <w:r w:rsidRPr="009F4D15">
        <w:t xml:space="preserve"> He stated he smelled the odor of alcoholic beverage come from Willey's person and that she displayed irrational behavior, was argumentative, and had a hard time following directions. Officer Chapman also testified that he smelled an odor of alcohol. </w:t>
      </w:r>
    </w:p>
    <w:p w14:paraId="702E8C26" w14:textId="77777777" w:rsidR="001A609B" w:rsidRDefault="001A609B" w:rsidP="001A609B">
      <w:pPr>
        <w:pStyle w:val="NoSpacing"/>
        <w:ind w:left="720"/>
      </w:pPr>
    </w:p>
    <w:p w14:paraId="44C380F8" w14:textId="77777777" w:rsidR="001A609B" w:rsidRDefault="001A609B" w:rsidP="001A609B">
      <w:pPr>
        <w:pStyle w:val="NoSpacing"/>
        <w:ind w:left="720"/>
      </w:pPr>
      <w:r>
        <w:t>***</w:t>
      </w:r>
    </w:p>
    <w:p w14:paraId="1B378AFB" w14:textId="77777777" w:rsidR="001A609B" w:rsidRDefault="001A609B" w:rsidP="001A609B">
      <w:pPr>
        <w:pStyle w:val="NoSpacing"/>
        <w:ind w:left="720"/>
      </w:pPr>
      <w:r w:rsidRPr="00F5741C">
        <w:t xml:space="preserve">Both Sergeant London and Officer Chapman testified that Willey called 9-1-1 and requested other officers to come to the scene while they were talking to her. A review of the officers' body camera footage shows officers had been on the scene for more than forty-five minutes and had already taken Willey's witness statement before Willey made the call. Sergeant London testified he told Willey to hang up the phone and then placed her in handcuffs and arrested her for misuse of 9-1-1 for reporting an emergency. Officer Chapman also testified that Willey was charged with misuse of 9-1-1 due to calling the emergency line while the officers were already on scene. Sergeant London </w:t>
      </w:r>
      <w:proofErr w:type="gramStart"/>
      <w:r w:rsidRPr="00F5741C">
        <w:t>testified</w:t>
      </w:r>
      <w:proofErr w:type="gramEnd"/>
      <w:r w:rsidRPr="00F5741C">
        <w:t xml:space="preserve"> Willey was arrested for disorderly conduct for </w:t>
      </w:r>
      <w:r>
        <w:t>‘</w:t>
      </w:r>
      <w:r w:rsidRPr="00F5741C">
        <w:t>raising her voice causing an annoyance alarm at the emergency scene.</w:t>
      </w:r>
      <w:r>
        <w:t>’</w:t>
      </w:r>
      <w:r w:rsidRPr="00F5741C">
        <w:t xml:space="preserve"> He stated she was arrested for misconduct at emergency because </w:t>
      </w:r>
      <w:r>
        <w:t>‘</w:t>
      </w:r>
      <w:r w:rsidRPr="00F5741C">
        <w:t xml:space="preserve">Firefighters were doing their </w:t>
      </w:r>
      <w:proofErr w:type="gramStart"/>
      <w:r w:rsidRPr="00F5741C">
        <w:t>job</w:t>
      </w:r>
      <w:proofErr w:type="gramEnd"/>
      <w:r w:rsidRPr="00F5741C">
        <w:t xml:space="preserve"> and they were leaving because of her conduct.</w:t>
      </w:r>
      <w:r>
        <w:t>’</w:t>
      </w:r>
      <w:r w:rsidRPr="00F5741C">
        <w:t xml:space="preserve"> Sergeant London testified he did not know when or why the charges were dismissed. Officer Chapman testified he did not know why the charges were dismissed.</w:t>
      </w:r>
      <w:r>
        <w:t>”</w:t>
      </w:r>
    </w:p>
    <w:p w14:paraId="3CDB6D57" w14:textId="77777777" w:rsidR="001A609B" w:rsidRDefault="001A609B" w:rsidP="001A609B">
      <w:pPr>
        <w:pStyle w:val="NoSpacing"/>
        <w:ind w:left="720"/>
      </w:pPr>
    </w:p>
    <w:p w14:paraId="48FE7840" w14:textId="77777777" w:rsidR="001A609B" w:rsidRDefault="001A609B" w:rsidP="001A609B">
      <w:pPr>
        <w:pStyle w:val="NoSpacing"/>
        <w:rPr>
          <w:b/>
          <w:bCs/>
        </w:rPr>
      </w:pPr>
      <w:r>
        <w:rPr>
          <w:b/>
        </w:rPr>
        <w:t xml:space="preserve">Legal lesson learned: </w:t>
      </w:r>
      <w:r w:rsidRPr="00D51D58">
        <w:rPr>
          <w:b/>
        </w:rPr>
        <w:t>There was probable cause to arrest Willey with misconduct at an emergency, making false alarms, and disorderly conduct</w:t>
      </w:r>
      <w:r>
        <w:rPr>
          <w:b/>
        </w:rPr>
        <w:t xml:space="preserve">; </w:t>
      </w:r>
      <w:r w:rsidRPr="00D51D58">
        <w:rPr>
          <w:b/>
        </w:rPr>
        <w:t>even if charges later dropped by prosecutor.</w:t>
      </w:r>
      <w:r>
        <w:t xml:space="preserve"> </w:t>
      </w:r>
    </w:p>
    <w:p w14:paraId="6557FA54" w14:textId="77777777" w:rsidR="001A609B" w:rsidRDefault="001A609B" w:rsidP="001A609B"/>
    <w:p w14:paraId="6048E2E2" w14:textId="3DDA3293" w:rsidR="001A609B" w:rsidRDefault="001A609B" w:rsidP="001A609B">
      <w:pPr>
        <w:pStyle w:val="NoSpacing"/>
        <w:rPr>
          <w:rFonts w:ascii="Arial Black" w:hAnsi="Arial Black"/>
          <w:sz w:val="24"/>
          <w:szCs w:val="24"/>
        </w:rPr>
      </w:pPr>
      <w:r>
        <w:rPr>
          <w:rFonts w:ascii="Arial Black" w:hAnsi="Arial Black"/>
          <w:sz w:val="24"/>
          <w:szCs w:val="24"/>
        </w:rPr>
        <w:t>1-210</w:t>
      </w:r>
    </w:p>
    <w:p w14:paraId="26642001" w14:textId="77777777" w:rsidR="001A609B" w:rsidRDefault="001A609B" w:rsidP="001A609B">
      <w:pPr>
        <w:pStyle w:val="NoSpacing"/>
        <w:rPr>
          <w:rFonts w:ascii="Arial Black" w:hAnsi="Arial Black"/>
          <w:sz w:val="28"/>
          <w:szCs w:val="28"/>
        </w:rPr>
      </w:pPr>
    </w:p>
    <w:p w14:paraId="45A32E79" w14:textId="6057E11E" w:rsidR="001A609B" w:rsidRDefault="001A609B" w:rsidP="001A609B">
      <w:pPr>
        <w:pStyle w:val="NoSpacing"/>
        <w:rPr>
          <w:rFonts w:ascii="Arial Black" w:hAnsi="Arial Black"/>
          <w:sz w:val="28"/>
          <w:szCs w:val="28"/>
        </w:rPr>
      </w:pPr>
      <w:r>
        <w:rPr>
          <w:rFonts w:ascii="Arial Black" w:hAnsi="Arial Black"/>
          <w:sz w:val="28"/>
          <w:szCs w:val="28"/>
        </w:rPr>
        <w:t>MI: ARSON – DROP ATTY / “STANDBY” ATTY – 7 YRS PRISON</w:t>
      </w:r>
    </w:p>
    <w:p w14:paraId="203AA91B" w14:textId="77777777" w:rsidR="001A609B" w:rsidRDefault="001A609B" w:rsidP="001A609B">
      <w:pPr>
        <w:pStyle w:val="NoSpacing"/>
      </w:pPr>
    </w:p>
    <w:p w14:paraId="05763FC9" w14:textId="77777777" w:rsidR="001A609B" w:rsidRDefault="001A609B" w:rsidP="001A609B">
      <w:pPr>
        <w:rPr>
          <w:b/>
        </w:rPr>
      </w:pPr>
      <w:r>
        <w:t xml:space="preserve">On May 20, 2026, in </w:t>
      </w:r>
      <w:r w:rsidRPr="00F03998">
        <w:rPr>
          <w:u w:val="single"/>
        </w:rPr>
        <w:t>Steve Ellis Karacson v. David Shaver, Warden</w:t>
      </w:r>
      <w:r>
        <w:t xml:space="preserve">, the United States Court of Appeals for the Sixth Circuit (Cincinnati) held that the prisoner serving seven years in Michigan state prison was properly denied habeas corpus by federal district court judge.  His conviction by a jury was affirmed on appeal by the Michigan Court of Appeals, which held that the Michigan state court judge properly warned the defendant of danger of dropping his second appointed attorney on the morning of trial. The Michigan judge also wisely had the second attorney serve as “standby counsel” throughout the trial; the defendant questioned jurors and made his own closing argument.  THE COURT WROTE: “Indeed, the attorney had ably represented </w:t>
      </w:r>
      <w:proofErr w:type="spellStart"/>
      <w:r>
        <w:t>Karacson</w:t>
      </w:r>
      <w:proofErr w:type="spellEnd"/>
      <w:r>
        <w:t xml:space="preserve"> before trial by negotiating a bond reduction and rejecting the state’s plea offers…. The attorney was still </w:t>
      </w:r>
      <w:proofErr w:type="spellStart"/>
      <w:r>
        <w:t>Karacson’s</w:t>
      </w:r>
      <w:proofErr w:type="spellEnd"/>
      <w:r>
        <w:t xml:space="preserve"> standby counsel, and he continued to aid </w:t>
      </w:r>
      <w:proofErr w:type="spellStart"/>
      <w:r>
        <w:t>Karacson</w:t>
      </w:r>
      <w:proofErr w:type="spellEnd"/>
      <w:r>
        <w:t xml:space="preserve"> throughout trial even though </w:t>
      </w:r>
      <w:proofErr w:type="spellStart"/>
      <w:r>
        <w:t>Karacson</w:t>
      </w:r>
      <w:proofErr w:type="spellEnd"/>
      <w:r>
        <w:t xml:space="preserve"> was representing himself. He even introduced himself to the jury pool as someone who would be “assisting” </w:t>
      </w:r>
      <w:proofErr w:type="spellStart"/>
      <w:r>
        <w:t>Karacson</w:t>
      </w:r>
      <w:proofErr w:type="spellEnd"/>
      <w:r>
        <w:t xml:space="preserve">, and the trial court called the attorney a ‘kind of legal advisor.’ </w:t>
      </w:r>
      <w:hyperlink r:id="rId45" w:history="1">
        <w:r w:rsidRPr="007D75EB">
          <w:rPr>
            <w:rStyle w:val="Hyperlink"/>
            <w:b/>
          </w:rPr>
          <w:t>https://cases.justia.com/federal/appellate-courts/ca6/25-1089/25-1089-2026-05-20.pdf?ts=1779309039</w:t>
        </w:r>
      </w:hyperlink>
      <w:r>
        <w:rPr>
          <w:b/>
        </w:rPr>
        <w:t xml:space="preserve"> </w:t>
      </w:r>
    </w:p>
    <w:p w14:paraId="2479C6BB" w14:textId="77777777" w:rsidR="001A609B" w:rsidRDefault="001A609B" w:rsidP="001A609B">
      <w:pPr>
        <w:pStyle w:val="NoSpacing"/>
      </w:pPr>
      <w:r>
        <w:t xml:space="preserve"> THE COURT HELD:</w:t>
      </w:r>
    </w:p>
    <w:p w14:paraId="6EC9BD10" w14:textId="77777777" w:rsidR="001A609B" w:rsidRDefault="001A609B" w:rsidP="001A609B">
      <w:pPr>
        <w:pStyle w:val="NoSpacing"/>
      </w:pPr>
    </w:p>
    <w:p w14:paraId="4C66F371" w14:textId="77777777" w:rsidR="001A609B" w:rsidRPr="00895548" w:rsidRDefault="001A609B" w:rsidP="001A609B">
      <w:pPr>
        <w:pStyle w:val="NoSpacing"/>
        <w:ind w:firstLine="720"/>
      </w:pPr>
      <w:r>
        <w:t>“</w:t>
      </w:r>
      <w:r w:rsidRPr="00895548">
        <w:t>In 2017, a fire devastated Steve Karacson’s house. It took firefighters two or three hours</w:t>
      </w:r>
    </w:p>
    <w:p w14:paraId="24960DCB" w14:textId="77777777" w:rsidR="001A609B" w:rsidRPr="00895548" w:rsidRDefault="001A609B" w:rsidP="001A609B">
      <w:pPr>
        <w:pStyle w:val="NoSpacing"/>
        <w:ind w:firstLine="720"/>
      </w:pPr>
      <w:r w:rsidRPr="00895548">
        <w:t>to put out the flames. The next day, investigators entered the house with an arson dog and</w:t>
      </w:r>
    </w:p>
    <w:p w14:paraId="2B9BF31F" w14:textId="77777777" w:rsidR="001A609B" w:rsidRDefault="001A609B" w:rsidP="001A609B">
      <w:pPr>
        <w:pStyle w:val="NoSpacing"/>
        <w:ind w:left="720"/>
      </w:pPr>
      <w:r w:rsidRPr="00895548">
        <w:t>detected the smell of gasoline. They also determined that the fire had multiple origin points</w:t>
      </w:r>
      <w:r>
        <w:t xml:space="preserve"> </w:t>
      </w:r>
      <w:r w:rsidRPr="00895548">
        <w:t>inside the house. After reviewing this evidence and eliminating other possible causes, they</w:t>
      </w:r>
      <w:r>
        <w:t xml:space="preserve"> </w:t>
      </w:r>
      <w:r w:rsidRPr="00895548">
        <w:t xml:space="preserve">concluded the fire was an act of arson. </w:t>
      </w:r>
      <w:proofErr w:type="spellStart"/>
      <w:r w:rsidRPr="00895548">
        <w:t>Karacson</w:t>
      </w:r>
      <w:proofErr w:type="spellEnd"/>
      <w:r w:rsidRPr="00895548">
        <w:t xml:space="preserve"> had fire insurance, so the investigation focused</w:t>
      </w:r>
      <w:r>
        <w:t xml:space="preserve"> </w:t>
      </w:r>
      <w:r w:rsidRPr="00895548">
        <w:t>on him.</w:t>
      </w:r>
    </w:p>
    <w:p w14:paraId="18CAC5F4" w14:textId="77777777" w:rsidR="001A609B" w:rsidRDefault="001A609B" w:rsidP="001A609B">
      <w:pPr>
        <w:pStyle w:val="NoSpacing"/>
      </w:pPr>
    </w:p>
    <w:p w14:paraId="3618E560" w14:textId="77777777" w:rsidR="001A609B" w:rsidRPr="00742EA0" w:rsidRDefault="001A609B" w:rsidP="001A609B">
      <w:pPr>
        <w:pStyle w:val="NoSpacing"/>
        <w:ind w:firstLine="720"/>
      </w:pPr>
      <w:proofErr w:type="spellStart"/>
      <w:r w:rsidRPr="00742EA0">
        <w:t>Karacson</w:t>
      </w:r>
      <w:proofErr w:type="spellEnd"/>
      <w:r w:rsidRPr="00742EA0">
        <w:t xml:space="preserve"> told investigators he wasn’t home on the night of the fire. He claimed instead</w:t>
      </w:r>
    </w:p>
    <w:p w14:paraId="74247581" w14:textId="77777777" w:rsidR="001A609B" w:rsidRDefault="001A609B" w:rsidP="001A609B">
      <w:pPr>
        <w:pStyle w:val="NoSpacing"/>
        <w:ind w:left="720"/>
      </w:pPr>
      <w:r w:rsidRPr="00742EA0">
        <w:t>that he’d traveled to Kentucky two days before the fire and returned the morning after the fire.</w:t>
      </w:r>
      <w:r>
        <w:t xml:space="preserve"> </w:t>
      </w:r>
      <w:r w:rsidRPr="00742EA0">
        <w:t xml:space="preserve">But location data from his cell phone said otherwise. The morning before the fire, </w:t>
      </w:r>
      <w:proofErr w:type="spellStart"/>
      <w:r w:rsidRPr="00742EA0">
        <w:t>Karacson’s</w:t>
      </w:r>
      <w:proofErr w:type="spellEnd"/>
      <w:r>
        <w:t xml:space="preserve"> </w:t>
      </w:r>
      <w:r w:rsidRPr="00742EA0">
        <w:t>phone connected to towers along a route heading north from Kentucky back to Michigan. And</w:t>
      </w:r>
      <w:r>
        <w:t xml:space="preserve"> </w:t>
      </w:r>
      <w:r w:rsidRPr="00742EA0">
        <w:t>less than an hour before the fire, his phone pinged a tower near his house. Police officers also</w:t>
      </w:r>
      <w:r>
        <w:t xml:space="preserve"> </w:t>
      </w:r>
      <w:r w:rsidRPr="00742EA0">
        <w:t xml:space="preserve">found a receipt in </w:t>
      </w:r>
      <w:proofErr w:type="spellStart"/>
      <w:r w:rsidRPr="00742EA0">
        <w:t>Karacson’s</w:t>
      </w:r>
      <w:proofErr w:type="spellEnd"/>
      <w:r w:rsidRPr="00742EA0">
        <w:t xml:space="preserve"> wallet showing that, just hours before the fire, he had bought a</w:t>
      </w:r>
      <w:r>
        <w:t xml:space="preserve"> </w:t>
      </w:r>
      <w:r w:rsidRPr="00742EA0">
        <w:t xml:space="preserve">five-gallon gas can and a pair of utility gloves from a Michigan hardware store. </w:t>
      </w:r>
      <w:proofErr w:type="gramStart"/>
      <w:r w:rsidRPr="00742EA0">
        <w:t>So</w:t>
      </w:r>
      <w:proofErr w:type="gramEnd"/>
      <w:r w:rsidRPr="00742EA0">
        <w:t xml:space="preserve"> Michigan</w:t>
      </w:r>
      <w:r>
        <w:t xml:space="preserve"> </w:t>
      </w:r>
      <w:r w:rsidRPr="00742EA0">
        <w:t xml:space="preserve">charged </w:t>
      </w:r>
      <w:proofErr w:type="spellStart"/>
      <w:r w:rsidRPr="00742EA0">
        <w:t>Karacson</w:t>
      </w:r>
      <w:proofErr w:type="spellEnd"/>
      <w:r w:rsidRPr="00742EA0">
        <w:t xml:space="preserve"> with arson and insurance fraud.</w:t>
      </w:r>
    </w:p>
    <w:p w14:paraId="35BCC9B4" w14:textId="77777777" w:rsidR="001A609B" w:rsidRDefault="001A609B" w:rsidP="001A609B">
      <w:pPr>
        <w:pStyle w:val="NoSpacing"/>
        <w:ind w:left="720"/>
      </w:pPr>
    </w:p>
    <w:p w14:paraId="2692D157" w14:textId="77777777" w:rsidR="001A609B" w:rsidRDefault="001A609B" w:rsidP="001A609B">
      <w:pPr>
        <w:pStyle w:val="NoSpacing"/>
        <w:ind w:left="720"/>
      </w:pPr>
      <w:r>
        <w:t>***</w:t>
      </w:r>
    </w:p>
    <w:p w14:paraId="6975AD00" w14:textId="77777777" w:rsidR="001A609B" w:rsidRDefault="001A609B" w:rsidP="001A609B">
      <w:pPr>
        <w:pStyle w:val="NoSpacing"/>
        <w:ind w:left="720"/>
      </w:pPr>
      <w:proofErr w:type="spellStart"/>
      <w:r w:rsidRPr="00307040">
        <w:t>Karacson</w:t>
      </w:r>
      <w:proofErr w:type="spellEnd"/>
      <w:r w:rsidRPr="00307040">
        <w:t xml:space="preserve"> later changed his story to say that he was at a friend’s house in Michigan the night of</w:t>
      </w:r>
      <w:r>
        <w:t xml:space="preserve"> </w:t>
      </w:r>
      <w:r w:rsidRPr="00307040">
        <w:t>the fire. But he didn’t want the police to ask that friend any questions, so it’s unclear how</w:t>
      </w:r>
      <w:r>
        <w:t xml:space="preserve"> </w:t>
      </w:r>
      <w:r w:rsidRPr="001E2F51">
        <w:t>anyone could have confirmed his story.</w:t>
      </w:r>
    </w:p>
    <w:p w14:paraId="627AD441" w14:textId="77777777" w:rsidR="001A609B" w:rsidRDefault="001A609B" w:rsidP="001A609B">
      <w:pPr>
        <w:pStyle w:val="NoSpacing"/>
        <w:ind w:left="720"/>
      </w:pPr>
    </w:p>
    <w:p w14:paraId="1D2DBA1A" w14:textId="77777777" w:rsidR="001A609B" w:rsidRDefault="001A609B" w:rsidP="001A609B">
      <w:pPr>
        <w:pStyle w:val="NoSpacing"/>
        <w:ind w:left="720"/>
      </w:pPr>
      <w:r>
        <w:t>***</w:t>
      </w:r>
    </w:p>
    <w:p w14:paraId="7E492DEA" w14:textId="77777777" w:rsidR="001A609B" w:rsidRDefault="001A609B" w:rsidP="001A609B">
      <w:pPr>
        <w:pStyle w:val="NoSpacing"/>
        <w:ind w:left="720"/>
      </w:pPr>
      <w:r>
        <w:t xml:space="preserve">The jury convicted </w:t>
      </w:r>
      <w:proofErr w:type="spellStart"/>
      <w:r>
        <w:t>Karacson</w:t>
      </w:r>
      <w:proofErr w:type="spellEnd"/>
      <w:r>
        <w:t xml:space="preserve"> on all counts. Although his conviction carried a possible</w:t>
      </w:r>
    </w:p>
    <w:p w14:paraId="58736C3B" w14:textId="77777777" w:rsidR="001A609B" w:rsidRDefault="001A609B" w:rsidP="001A609B">
      <w:pPr>
        <w:pStyle w:val="NoSpacing"/>
        <w:ind w:left="720"/>
      </w:pPr>
      <w:r>
        <w:t xml:space="preserve">life sentence, the trial court opted for a more lenient punishment. It reasoned that </w:t>
      </w:r>
      <w:proofErr w:type="spellStart"/>
      <w:r>
        <w:t>Karacson</w:t>
      </w:r>
      <w:proofErr w:type="spellEnd"/>
      <w:r>
        <w:t xml:space="preserve"> hadn’t hurt anyone, harmed anyone else’s property, or received any insurance money. The court therefore sentenced him to only seven years in prison.”</w:t>
      </w:r>
    </w:p>
    <w:p w14:paraId="5F0C07F2" w14:textId="77777777" w:rsidR="001A609B" w:rsidRDefault="001A609B" w:rsidP="001A609B">
      <w:pPr>
        <w:pStyle w:val="NoSpacing"/>
        <w:ind w:left="720"/>
      </w:pPr>
    </w:p>
    <w:p w14:paraId="6B99BA0F" w14:textId="77777777" w:rsidR="001A609B" w:rsidRPr="00283AB4" w:rsidRDefault="001A609B" w:rsidP="001A609B">
      <w:pPr>
        <w:pStyle w:val="NoSpacing"/>
        <w:rPr>
          <w:b/>
          <w:bCs/>
        </w:rPr>
      </w:pPr>
      <w:r>
        <w:rPr>
          <w:b/>
        </w:rPr>
        <w:t xml:space="preserve">Legal lesson learned: </w:t>
      </w:r>
      <w:r w:rsidRPr="00283AB4">
        <w:rPr>
          <w:b/>
        </w:rPr>
        <w:t>State prison</w:t>
      </w:r>
      <w:r>
        <w:rPr>
          <w:b/>
        </w:rPr>
        <w:t>er</w:t>
      </w:r>
      <w:r w:rsidRPr="00283AB4">
        <w:rPr>
          <w:b/>
        </w:rPr>
        <w:t xml:space="preserve"> was properly denied habeas corpus by federal district court judge.  Trial judge wisely appointed “standby counsel” even if the defendant </w:t>
      </w:r>
      <w:r>
        <w:rPr>
          <w:b/>
        </w:rPr>
        <w:t>represented himself and did closing argument.</w:t>
      </w:r>
    </w:p>
    <w:p w14:paraId="0383C7EA" w14:textId="77777777" w:rsidR="001A609B" w:rsidRDefault="001A609B" w:rsidP="001A609B">
      <w:pPr>
        <w:pStyle w:val="NoSpacing"/>
        <w:rPr>
          <w:b/>
          <w:bCs/>
        </w:rPr>
      </w:pPr>
    </w:p>
    <w:p w14:paraId="71991639" w14:textId="77777777" w:rsidR="001A609B" w:rsidRPr="0089017A" w:rsidRDefault="001A609B" w:rsidP="001A609B">
      <w:pPr>
        <w:pStyle w:val="NoSpacing"/>
        <w:ind w:left="720"/>
      </w:pPr>
      <w:r w:rsidRPr="0089017A">
        <w:t xml:space="preserve">Note:  Congress enacted the Antiterrorism and Effective Death Penalty Act (AEDPA) </w:t>
      </w:r>
      <w:r>
        <w:t xml:space="preserve">on April 24, 1966, in response to the Oklahoma City bombing; it limits </w:t>
      </w:r>
      <w:r w:rsidRPr="0089017A">
        <w:t xml:space="preserve">federal judges </w:t>
      </w:r>
      <w:r>
        <w:t xml:space="preserve">granting </w:t>
      </w:r>
      <w:r w:rsidRPr="0089017A">
        <w:t>state prisoners</w:t>
      </w:r>
      <w:r>
        <w:t xml:space="preserve"> petitions for </w:t>
      </w:r>
      <w:r w:rsidRPr="0089017A">
        <w:t xml:space="preserve">federal habeas </w:t>
      </w:r>
      <w:r>
        <w:t xml:space="preserve">release. </w:t>
      </w:r>
      <w:r w:rsidRPr="0089017A">
        <w:t>“</w:t>
      </w:r>
      <w:proofErr w:type="gramStart"/>
      <w:r w:rsidRPr="0089017A">
        <w:t>So</w:t>
      </w:r>
      <w:proofErr w:type="gramEnd"/>
      <w:r w:rsidRPr="0089017A">
        <w:t xml:space="preserve"> to obtain relief under AEDPA, </w:t>
      </w:r>
      <w:proofErr w:type="spellStart"/>
      <w:r w:rsidRPr="0089017A">
        <w:t>Karacson</w:t>
      </w:r>
      <w:proofErr w:type="spellEnd"/>
      <w:r w:rsidRPr="0089017A">
        <w:t xml:space="preserve"> must show that the</w:t>
      </w:r>
      <w:r>
        <w:t xml:space="preserve"> </w:t>
      </w:r>
      <w:r w:rsidRPr="0089017A">
        <w:t>Michigan court’s decision was (1) “contrary to, or involved an unreasonable application of,</w:t>
      </w:r>
      <w:r>
        <w:t xml:space="preserve"> </w:t>
      </w:r>
      <w:r w:rsidRPr="0089017A">
        <w:t>clearly established Federal law, as determined by the Supreme Court of the United States” or (2) “based on an unreasonable determination of the facts in light of the evidence” before the state court. 28 U.S.C. § 2254(d)(1)–(2).</w:t>
      </w:r>
    </w:p>
    <w:p w14:paraId="18F68E15" w14:textId="77777777" w:rsidR="001A609B" w:rsidRPr="0089017A" w:rsidRDefault="001A609B" w:rsidP="001A609B"/>
    <w:p w14:paraId="6CCEA4D1" w14:textId="48B39326" w:rsidR="00822052" w:rsidRDefault="00822052" w:rsidP="00822052">
      <w:pPr>
        <w:pStyle w:val="NoSpacing"/>
        <w:rPr>
          <w:rFonts w:ascii="Arial Black" w:hAnsi="Arial Black"/>
          <w:sz w:val="24"/>
          <w:szCs w:val="24"/>
        </w:rPr>
      </w:pPr>
      <w:r>
        <w:rPr>
          <w:rFonts w:ascii="Arial Black" w:hAnsi="Arial Black"/>
          <w:sz w:val="24"/>
          <w:szCs w:val="24"/>
        </w:rPr>
        <w:t>1-209</w:t>
      </w:r>
    </w:p>
    <w:p w14:paraId="358353C4" w14:textId="77777777" w:rsidR="00822052" w:rsidRDefault="00822052" w:rsidP="00387E6C">
      <w:pPr>
        <w:pStyle w:val="NoSpacing"/>
        <w:rPr>
          <w:rFonts w:ascii="Arial Black" w:hAnsi="Arial Black"/>
          <w:sz w:val="28"/>
          <w:szCs w:val="28"/>
        </w:rPr>
      </w:pPr>
    </w:p>
    <w:p w14:paraId="14A052D7" w14:textId="0A315A5A" w:rsidR="00387E6C" w:rsidRDefault="00387E6C" w:rsidP="00387E6C">
      <w:pPr>
        <w:pStyle w:val="NoSpacing"/>
        <w:rPr>
          <w:rFonts w:ascii="Arial Black" w:hAnsi="Arial Black"/>
          <w:sz w:val="28"/>
          <w:szCs w:val="28"/>
        </w:rPr>
      </w:pPr>
      <w:r>
        <w:rPr>
          <w:rFonts w:ascii="Arial Black" w:hAnsi="Arial Black"/>
          <w:sz w:val="28"/>
          <w:szCs w:val="28"/>
        </w:rPr>
        <w:t>MN: CHINA PHONE BATTERY - $3.8M FIRE – AMAZON SUED</w:t>
      </w:r>
    </w:p>
    <w:p w14:paraId="6596CDB5" w14:textId="77777777" w:rsidR="00387E6C" w:rsidRDefault="00387E6C" w:rsidP="00387E6C">
      <w:pPr>
        <w:pStyle w:val="NoSpacing"/>
      </w:pPr>
    </w:p>
    <w:p w14:paraId="655E7D28" w14:textId="77777777" w:rsidR="00387E6C" w:rsidRDefault="00387E6C" w:rsidP="00387E6C">
      <w:pPr>
        <w:pStyle w:val="NoSpacing"/>
      </w:pPr>
      <w:r>
        <w:t xml:space="preserve">On April 27, 2028, in </w:t>
      </w:r>
      <w:r w:rsidRPr="0025753E">
        <w:rPr>
          <w:u w:val="single"/>
        </w:rPr>
        <w:t>Berkly Regional Insurance Company, et al. v. John Doe Battery Manufacturer</w:t>
      </w:r>
      <w:r>
        <w:rPr>
          <w:u w:val="single"/>
        </w:rPr>
        <w:t xml:space="preserve">; </w:t>
      </w:r>
      <w:proofErr w:type="spellStart"/>
      <w:r>
        <w:rPr>
          <w:u w:val="single"/>
        </w:rPr>
        <w:t>Yishda</w:t>
      </w:r>
      <w:proofErr w:type="spellEnd"/>
      <w:r>
        <w:rPr>
          <w:u w:val="single"/>
        </w:rPr>
        <w:t xml:space="preserve">; </w:t>
      </w:r>
      <w:r w:rsidRPr="0025753E">
        <w:rPr>
          <w:u w:val="single"/>
        </w:rPr>
        <w:t>et al</w:t>
      </w:r>
      <w:r>
        <w:t>., the United States Court of Appeals for the Eight Circuit (St. Louis) held (3 to 0) that the lawsuit against Amazon cannot proceed in federal court until state law is clarified.  When Rochelle Zappa’s cellphone would not hold a charge, she searched</w:t>
      </w:r>
    </w:p>
    <w:p w14:paraId="74F450A7" w14:textId="77777777" w:rsidR="00387E6C" w:rsidRDefault="00387E6C" w:rsidP="00387E6C">
      <w:pPr>
        <w:pStyle w:val="NoSpacing"/>
      </w:pPr>
      <w:r>
        <w:t xml:space="preserve">Amazon for a replacement battery. She picked one sold by a Chinese company named </w:t>
      </w:r>
      <w:proofErr w:type="spellStart"/>
      <w:r>
        <w:t>Yishda</w:t>
      </w:r>
      <w:proofErr w:type="spellEnd"/>
      <w:r>
        <w:t xml:space="preserve"> that the website advertised as “Amazon’s Choice.”  When she plugged her phone in at work to charge the battery, it fizzled, sparked, and then burst into flames. Smoke soon enveloped the office. By the time firefighters put out the fire, it had caused $3,881,280 in damage.  The employer’s insurance company sued Amazon in state court; Amazon removed it </w:t>
      </w:r>
      <w:proofErr w:type="gramStart"/>
      <w:r>
        <w:t>to federal</w:t>
      </w:r>
      <w:proofErr w:type="gramEnd"/>
      <w:r>
        <w:t xml:space="preserve"> court. The 8</w:t>
      </w:r>
      <w:r w:rsidRPr="00463C71">
        <w:rPr>
          <w:vertAlign w:val="superscript"/>
        </w:rPr>
        <w:t>th</w:t>
      </w:r>
      <w:r>
        <w:t xml:space="preserve"> Circuit is sending following </w:t>
      </w:r>
      <w:proofErr w:type="gramStart"/>
      <w:r>
        <w:t>question</w:t>
      </w:r>
      <w:proofErr w:type="gramEnd"/>
      <w:r>
        <w:t xml:space="preserve"> to the Minnesota Supreme Court to answer following </w:t>
      </w:r>
      <w:proofErr w:type="gramStart"/>
      <w:r>
        <w:t>question</w:t>
      </w:r>
      <w:proofErr w:type="gramEnd"/>
      <w:r>
        <w:t xml:space="preserve">:  </w:t>
      </w:r>
    </w:p>
    <w:p w14:paraId="5BC710CD" w14:textId="77777777" w:rsidR="00387E6C" w:rsidRDefault="00387E6C" w:rsidP="00387E6C">
      <w:pPr>
        <w:pStyle w:val="NoSpacing"/>
      </w:pPr>
    </w:p>
    <w:p w14:paraId="7EDC654E" w14:textId="77777777" w:rsidR="00387E6C" w:rsidRDefault="00387E6C" w:rsidP="00387E6C">
      <w:pPr>
        <w:pStyle w:val="NoSpacing"/>
        <w:ind w:firstLine="720"/>
      </w:pPr>
      <w:r>
        <w:t>“Under Minnesota law, if an e-commerce company allows an unrelated</w:t>
      </w:r>
    </w:p>
    <w:p w14:paraId="6827638F" w14:textId="77777777" w:rsidR="00387E6C" w:rsidRDefault="00387E6C" w:rsidP="00387E6C">
      <w:pPr>
        <w:pStyle w:val="NoSpacing"/>
        <w:ind w:firstLine="720"/>
      </w:pPr>
      <w:r>
        <w:t>party to sell a defective product through its website and provides order-</w:t>
      </w:r>
    </w:p>
    <w:p w14:paraId="4A235976" w14:textId="77777777" w:rsidR="00387E6C" w:rsidRDefault="00387E6C" w:rsidP="00387E6C">
      <w:pPr>
        <w:pStyle w:val="NoSpacing"/>
        <w:ind w:firstLine="720"/>
      </w:pPr>
      <w:r>
        <w:t>fulfillment services for the sale, is it strictly liable for any harm caused</w:t>
      </w:r>
    </w:p>
    <w:p w14:paraId="492BEF04" w14:textId="77777777" w:rsidR="00387E6C" w:rsidRDefault="00387E6C" w:rsidP="00387E6C">
      <w:pPr>
        <w:pStyle w:val="NoSpacing"/>
        <w:ind w:firstLine="720"/>
      </w:pPr>
      <w:r>
        <w:t xml:space="preserve">by the defect?” </w:t>
      </w:r>
    </w:p>
    <w:p w14:paraId="357D3C8D" w14:textId="77777777" w:rsidR="00387E6C" w:rsidRDefault="00387E6C" w:rsidP="00387E6C">
      <w:pPr>
        <w:pStyle w:val="NoSpacing"/>
        <w:ind w:firstLine="720"/>
      </w:pPr>
    </w:p>
    <w:p w14:paraId="2088CDBC" w14:textId="77777777" w:rsidR="00387E6C" w:rsidRDefault="00387E6C" w:rsidP="00387E6C">
      <w:pPr>
        <w:pStyle w:val="NoSpacing"/>
      </w:pPr>
      <w:hyperlink r:id="rId46" w:history="1">
        <w:r w:rsidRPr="00CF721F">
          <w:rPr>
            <w:rStyle w:val="Hyperlink"/>
          </w:rPr>
          <w:t>https://ecf.ca8.uscourts.gov/opndir/26/04/242159P.pdf</w:t>
        </w:r>
      </w:hyperlink>
      <w:r>
        <w:t xml:space="preserve"> </w:t>
      </w:r>
    </w:p>
    <w:p w14:paraId="3B4956FA" w14:textId="77777777" w:rsidR="00387E6C" w:rsidRDefault="00387E6C" w:rsidP="00387E6C">
      <w:pPr>
        <w:pStyle w:val="NoSpacing"/>
        <w:ind w:firstLine="720"/>
      </w:pPr>
    </w:p>
    <w:p w14:paraId="079A78B6" w14:textId="77777777" w:rsidR="00387E6C" w:rsidRDefault="00387E6C" w:rsidP="00387E6C">
      <w:r>
        <w:t>THE COURT HELD:</w:t>
      </w:r>
    </w:p>
    <w:p w14:paraId="4C1580F5" w14:textId="77777777" w:rsidR="00387E6C" w:rsidRDefault="00387E6C" w:rsidP="00387E6C">
      <w:pPr>
        <w:pStyle w:val="NoSpacing"/>
        <w:ind w:left="720"/>
      </w:pPr>
      <w:r>
        <w:t>“When Rochelle Zappa’s cellphone would not hold a charge, she searched</w:t>
      </w:r>
    </w:p>
    <w:p w14:paraId="70012299" w14:textId="77777777" w:rsidR="00387E6C" w:rsidRDefault="00387E6C" w:rsidP="00387E6C">
      <w:pPr>
        <w:pStyle w:val="NoSpacing"/>
        <w:ind w:firstLine="720"/>
      </w:pPr>
      <w:r>
        <w:t>Amazon for a replacement battery. She picked one sold by a Chinese company</w:t>
      </w:r>
    </w:p>
    <w:p w14:paraId="7699417D" w14:textId="77777777" w:rsidR="00387E6C" w:rsidRDefault="00387E6C" w:rsidP="00387E6C">
      <w:pPr>
        <w:pStyle w:val="NoSpacing"/>
        <w:ind w:firstLine="720"/>
      </w:pPr>
      <w:r>
        <w:t xml:space="preserve">named </w:t>
      </w:r>
      <w:proofErr w:type="spellStart"/>
      <w:r>
        <w:t>Yishda</w:t>
      </w:r>
      <w:proofErr w:type="spellEnd"/>
      <w:r>
        <w:t xml:space="preserve"> that the website advertised as ‘Amazon’s Choice.’</w:t>
      </w:r>
    </w:p>
    <w:p w14:paraId="707246A1" w14:textId="77777777" w:rsidR="00387E6C" w:rsidRDefault="00387E6C" w:rsidP="00387E6C">
      <w:pPr>
        <w:pStyle w:val="NoSpacing"/>
        <w:ind w:firstLine="720"/>
      </w:pPr>
    </w:p>
    <w:p w14:paraId="6B0C6FD1" w14:textId="77777777" w:rsidR="00387E6C" w:rsidRDefault="00387E6C" w:rsidP="00387E6C">
      <w:pPr>
        <w:pStyle w:val="NoSpacing"/>
        <w:ind w:firstLine="720"/>
      </w:pPr>
      <w:r>
        <w:t>The company took part in the “Fulfillment by Amazon” program, a service</w:t>
      </w:r>
    </w:p>
    <w:p w14:paraId="572AA354" w14:textId="77777777" w:rsidR="00387E6C" w:rsidRDefault="00387E6C" w:rsidP="00387E6C">
      <w:pPr>
        <w:pStyle w:val="NoSpacing"/>
        <w:ind w:firstLine="720"/>
      </w:pPr>
      <w:r>
        <w:t>that allows sellers to use Amazon’s infrastructure, including its website, its</w:t>
      </w:r>
    </w:p>
    <w:p w14:paraId="19C8B7D7" w14:textId="77777777" w:rsidR="00387E6C" w:rsidRDefault="00387E6C" w:rsidP="00387E6C">
      <w:pPr>
        <w:pStyle w:val="NoSpacing"/>
        <w:ind w:firstLine="720"/>
      </w:pPr>
      <w:r>
        <w:t>warehouses, and its delivery drivers. For a fee, Amazon handled storage, order</w:t>
      </w:r>
    </w:p>
    <w:p w14:paraId="44418347" w14:textId="77777777" w:rsidR="00387E6C" w:rsidRDefault="00387E6C" w:rsidP="00387E6C">
      <w:pPr>
        <w:pStyle w:val="NoSpacing"/>
        <w:ind w:firstLine="720"/>
      </w:pPr>
      <w:r>
        <w:t>fulfillment, returns, and customer service. See Pickard v. Amazon.com, Inc., 387</w:t>
      </w:r>
    </w:p>
    <w:p w14:paraId="20562245" w14:textId="77777777" w:rsidR="00387E6C" w:rsidRDefault="00387E6C" w:rsidP="00387E6C">
      <w:pPr>
        <w:pStyle w:val="NoSpacing"/>
        <w:ind w:firstLine="720"/>
      </w:pPr>
      <w:r>
        <w:t>So.3d 515, 518 (La. 2024) (describing Amazon’s order-fulfillment service). Here,</w:t>
      </w:r>
    </w:p>
    <w:p w14:paraId="236D84FD" w14:textId="77777777" w:rsidR="00387E6C" w:rsidRDefault="00387E6C" w:rsidP="00387E6C">
      <w:pPr>
        <w:pStyle w:val="NoSpacing"/>
        <w:ind w:firstLine="720"/>
      </w:pPr>
      <w:proofErr w:type="gramStart"/>
      <w:r>
        <w:t>it</w:t>
      </w:r>
      <w:proofErr w:type="gramEnd"/>
      <w:r>
        <w:t xml:space="preserve"> resulted in an Amazon driver delivering a </w:t>
      </w:r>
      <w:proofErr w:type="spellStart"/>
      <w:r>
        <w:t>Yishda</w:t>
      </w:r>
      <w:proofErr w:type="spellEnd"/>
      <w:r>
        <w:t xml:space="preserve"> battery inside an Amazon bag to</w:t>
      </w:r>
    </w:p>
    <w:p w14:paraId="3B93A22C" w14:textId="77777777" w:rsidR="00387E6C" w:rsidRDefault="00387E6C" w:rsidP="00387E6C">
      <w:pPr>
        <w:pStyle w:val="NoSpacing"/>
        <w:ind w:firstLine="720"/>
      </w:pPr>
      <w:r>
        <w:t>her doorstep.</w:t>
      </w:r>
    </w:p>
    <w:p w14:paraId="29C137AB" w14:textId="77777777" w:rsidR="00387E6C" w:rsidRDefault="00387E6C" w:rsidP="00387E6C">
      <w:pPr>
        <w:ind w:firstLine="720"/>
        <w:rPr>
          <w:b/>
          <w:bCs/>
        </w:rPr>
      </w:pPr>
    </w:p>
    <w:p w14:paraId="7481721C" w14:textId="77777777" w:rsidR="00387E6C" w:rsidRDefault="00387E6C" w:rsidP="00387E6C">
      <w:pPr>
        <w:pStyle w:val="NoSpacing"/>
        <w:ind w:firstLine="720"/>
      </w:pPr>
      <w:r>
        <w:t>***</w:t>
      </w:r>
    </w:p>
    <w:p w14:paraId="250397F5" w14:textId="77777777" w:rsidR="00387E6C" w:rsidRDefault="00387E6C" w:rsidP="00387E6C">
      <w:pPr>
        <w:ind w:left="720"/>
        <w:rPr>
          <w:b/>
          <w:bCs/>
        </w:rPr>
      </w:pPr>
      <w:r>
        <w:t xml:space="preserve">We need to know whether, under Minnesota law, Amazon is strictly liable for a defective product it offered, stored, and shipped, even though someone else was the seller. The Minnesota Supreme Court ought to be the one to decide this novel legal issue, so we give it the right of first refusal… Finally, the legal question we have is about </w:t>
      </w:r>
      <w:proofErr w:type="gramStart"/>
      <w:r>
        <w:t>as</w:t>
      </w:r>
      <w:proofErr w:type="gramEnd"/>
      <w:r>
        <w:t xml:space="preserve"> clean as it gets. Whether Amazon is strictly liable for </w:t>
      </w:r>
      <w:proofErr w:type="spellStart"/>
      <w:r>
        <w:t>Yishda’s</w:t>
      </w:r>
      <w:proofErr w:type="spellEnd"/>
      <w:r>
        <w:t xml:space="preserve"> batteries depends on undisputed facts. The record is clear that, as the seller, </w:t>
      </w:r>
      <w:proofErr w:type="spellStart"/>
      <w:r>
        <w:t>Yishda</w:t>
      </w:r>
      <w:proofErr w:type="spellEnd"/>
      <w:r>
        <w:t xml:space="preserve"> listed the batteries online, sent them to warehouses around the country, and left the rest to Amazon.”</w:t>
      </w:r>
    </w:p>
    <w:p w14:paraId="15E9482E" w14:textId="77777777" w:rsidR="00387E6C" w:rsidRPr="001C2DCD" w:rsidRDefault="00387E6C" w:rsidP="00387E6C">
      <w:pPr>
        <w:rPr>
          <w:b/>
          <w:bCs/>
        </w:rPr>
      </w:pPr>
      <w:r>
        <w:rPr>
          <w:b/>
        </w:rPr>
        <w:t xml:space="preserve">Legal lesson learned: Battery fires are becoming all too common; the question here is whether the insurance company for the $3.8 million loss can recover from Amazon and was  Amazon aware of prior fires with this product. </w:t>
      </w:r>
    </w:p>
    <w:p w14:paraId="3182CCB3" w14:textId="77777777" w:rsidR="00387E6C" w:rsidRDefault="00387E6C" w:rsidP="00387E6C">
      <w:pPr>
        <w:pStyle w:val="NoSpacing"/>
        <w:rPr>
          <w:bCs/>
        </w:rPr>
      </w:pPr>
    </w:p>
    <w:p w14:paraId="3DA51BA2" w14:textId="4ED6D940" w:rsidR="00822052" w:rsidRDefault="00822052" w:rsidP="00822052">
      <w:pPr>
        <w:pStyle w:val="NoSpacing"/>
        <w:rPr>
          <w:rFonts w:ascii="Arial Black" w:hAnsi="Arial Black"/>
          <w:sz w:val="24"/>
          <w:szCs w:val="24"/>
        </w:rPr>
      </w:pPr>
      <w:r>
        <w:rPr>
          <w:rFonts w:ascii="Arial Black" w:hAnsi="Arial Black"/>
          <w:sz w:val="24"/>
          <w:szCs w:val="24"/>
        </w:rPr>
        <w:t>1-208</w:t>
      </w:r>
    </w:p>
    <w:p w14:paraId="01F3CD84" w14:textId="77777777" w:rsidR="00387E6C" w:rsidRDefault="00387E6C" w:rsidP="00387E6C">
      <w:pPr>
        <w:pStyle w:val="NoSpacing"/>
        <w:rPr>
          <w:bCs/>
        </w:rPr>
      </w:pPr>
    </w:p>
    <w:p w14:paraId="011FF64E" w14:textId="77777777" w:rsidR="00387E6C" w:rsidRDefault="00387E6C" w:rsidP="00387E6C">
      <w:pPr>
        <w:pStyle w:val="NoSpacing"/>
        <w:rPr>
          <w:b/>
        </w:rPr>
      </w:pPr>
    </w:p>
    <w:p w14:paraId="2F5E6217" w14:textId="77777777" w:rsidR="008326CD" w:rsidRPr="00891643" w:rsidRDefault="008326CD" w:rsidP="008326CD">
      <w:pPr>
        <w:pStyle w:val="NoSpacing"/>
        <w:rPr>
          <w:rFonts w:ascii="Arial Black" w:hAnsi="Arial Black"/>
          <w:sz w:val="28"/>
          <w:szCs w:val="28"/>
        </w:rPr>
      </w:pPr>
      <w:r>
        <w:rPr>
          <w:rFonts w:ascii="Arial Black" w:hAnsi="Arial Black"/>
          <w:sz w:val="28"/>
          <w:szCs w:val="28"/>
        </w:rPr>
        <w:t xml:space="preserve">WV: ARSON - SIGNED CONFESSION / NO NEED PD TO VIDEO </w:t>
      </w:r>
    </w:p>
    <w:p w14:paraId="52E5C633" w14:textId="77777777" w:rsidR="008326CD" w:rsidRDefault="008326CD" w:rsidP="008326CD">
      <w:pPr>
        <w:pStyle w:val="NoSpacing"/>
      </w:pPr>
    </w:p>
    <w:p w14:paraId="53F1750F" w14:textId="77777777" w:rsidR="008326CD" w:rsidRDefault="008326CD" w:rsidP="008326CD">
      <w:pPr>
        <w:pStyle w:val="NoSpacing"/>
        <w:rPr>
          <w:bCs/>
        </w:rPr>
      </w:pPr>
      <w:r>
        <w:t xml:space="preserve">On April 21, 2026, in  </w:t>
      </w:r>
      <w:r w:rsidRPr="00E63016">
        <w:rPr>
          <w:u w:val="single"/>
        </w:rPr>
        <w:t>State of West Virginia v. Harry Lee Steele</w:t>
      </w:r>
      <w:r>
        <w:t xml:space="preserve">, the </w:t>
      </w:r>
      <w:r w:rsidRPr="00E63016">
        <w:t>Supreme Court of Appeals of West Virginia</w:t>
      </w:r>
      <w:r>
        <w:t xml:space="preserve">, held (5 to 0) that trial court properly denied motion to suppress written confession, which was given voluntarily; jury convicted him of first-degree arson for light couch on fire on front of house, and sentenced him to 20 years.  He confessed to lighting a couch on the front porch, which led to structure fire; he turned himself in the next day and admitted he started the fire out of personal animosity with the owner of the house. </w:t>
      </w:r>
      <w:r w:rsidRPr="004C6462">
        <w:t>Deputy Martin stated that he recorded only part of the interview because his bodycam</w:t>
      </w:r>
      <w:r>
        <w:t xml:space="preserve"> </w:t>
      </w:r>
      <w:r w:rsidRPr="004C6462">
        <w:t xml:space="preserve">needed to charge. </w:t>
      </w:r>
    </w:p>
    <w:p w14:paraId="712494D1" w14:textId="77777777" w:rsidR="008326CD" w:rsidRPr="00883C4E" w:rsidRDefault="008326CD" w:rsidP="008326CD">
      <w:pPr>
        <w:pStyle w:val="NoSpacing"/>
        <w:rPr>
          <w:bCs/>
        </w:rPr>
      </w:pPr>
      <w:hyperlink r:id="rId47" w:history="1">
        <w:r w:rsidRPr="00072B77">
          <w:rPr>
            <w:rStyle w:val="Hyperlink"/>
          </w:rPr>
          <w:t>https://www.courtswv.gov/sites/default/pubfilesmnt/2026-04/24-79%20Memorandum%20Decision.pdf</w:t>
        </w:r>
      </w:hyperlink>
      <w:r w:rsidRPr="00883C4E">
        <w:t xml:space="preserve"> </w:t>
      </w:r>
    </w:p>
    <w:p w14:paraId="236E03FF" w14:textId="77777777" w:rsidR="008326CD" w:rsidRPr="00883C4E" w:rsidRDefault="008326CD" w:rsidP="008326CD">
      <w:pPr>
        <w:pStyle w:val="NoSpacing"/>
        <w:rPr>
          <w:bCs/>
        </w:rPr>
      </w:pPr>
    </w:p>
    <w:p w14:paraId="4E9C2108" w14:textId="77777777" w:rsidR="008326CD" w:rsidRDefault="008326CD" w:rsidP="008326CD">
      <w:pPr>
        <w:pStyle w:val="NoSpacing"/>
        <w:rPr>
          <w:bCs/>
        </w:rPr>
      </w:pPr>
    </w:p>
    <w:p w14:paraId="56AC101D" w14:textId="77777777" w:rsidR="008326CD" w:rsidRPr="00E63016" w:rsidRDefault="008326CD" w:rsidP="008326CD">
      <w:pPr>
        <w:pStyle w:val="NoSpacing"/>
        <w:rPr>
          <w:bCs/>
        </w:rPr>
      </w:pPr>
      <w:r>
        <w:t>THE COURT HELD:</w:t>
      </w:r>
    </w:p>
    <w:p w14:paraId="21F30B11" w14:textId="77777777" w:rsidR="008326CD" w:rsidRDefault="008326CD" w:rsidP="008326CD">
      <w:pPr>
        <w:pStyle w:val="NoSpacing"/>
      </w:pPr>
    </w:p>
    <w:p w14:paraId="03FC5F8D" w14:textId="77777777" w:rsidR="008326CD" w:rsidRPr="00891643" w:rsidRDefault="008326CD" w:rsidP="008326CD">
      <w:pPr>
        <w:pStyle w:val="NoSpacing"/>
        <w:ind w:firstLine="720"/>
      </w:pPr>
      <w:r>
        <w:t>“</w:t>
      </w:r>
      <w:r w:rsidRPr="00891643">
        <w:t>Here, the circuit court considered the evidence presented at the suppression hearing and</w:t>
      </w:r>
    </w:p>
    <w:p w14:paraId="03EA4592" w14:textId="77777777" w:rsidR="008326CD" w:rsidRDefault="008326CD" w:rsidP="008326CD">
      <w:pPr>
        <w:pStyle w:val="NoSpacing"/>
        <w:ind w:left="720"/>
      </w:pPr>
      <w:r w:rsidRPr="00891643">
        <w:t xml:space="preserve">found that the petitioner did not appear intoxicated; that his signatures on both the </w:t>
      </w:r>
      <w:r w:rsidRPr="00883C4E">
        <w:rPr>
          <w:i/>
          <w:iCs/>
        </w:rPr>
        <w:t>Miranda</w:t>
      </w:r>
      <w:r w:rsidRPr="00891643">
        <w:t xml:space="preserve"> waiver</w:t>
      </w:r>
      <w:r>
        <w:t xml:space="preserve"> </w:t>
      </w:r>
      <w:r w:rsidRPr="00891643">
        <w:t>form and the written statement matched; and that the petitioner affirmed the accuracy of the</w:t>
      </w:r>
      <w:r>
        <w:t xml:space="preserve"> </w:t>
      </w:r>
      <w:r w:rsidRPr="00891643">
        <w:t>statement as observed in the recorded portion of the interview—all of which led the court to</w:t>
      </w:r>
      <w:r>
        <w:t xml:space="preserve"> </w:t>
      </w:r>
      <w:r w:rsidRPr="00891643">
        <w:t xml:space="preserve">conclude that the petitioner’s confession was voluntary and not made under duress. </w:t>
      </w:r>
    </w:p>
    <w:p w14:paraId="4D7B9EFF" w14:textId="77777777" w:rsidR="008326CD" w:rsidRDefault="008326CD" w:rsidP="008326CD">
      <w:pPr>
        <w:pStyle w:val="NoSpacing"/>
        <w:ind w:left="720"/>
      </w:pPr>
    </w:p>
    <w:p w14:paraId="1A8F75E1" w14:textId="77777777" w:rsidR="008326CD" w:rsidRDefault="008326CD" w:rsidP="008326CD">
      <w:pPr>
        <w:pStyle w:val="NoSpacing"/>
        <w:ind w:left="720"/>
      </w:pPr>
      <w:r w:rsidRPr="00891643">
        <w:t>While the</w:t>
      </w:r>
      <w:r>
        <w:t xml:space="preserve"> </w:t>
      </w:r>
      <w:r w:rsidRPr="00891643">
        <w:t>petitioner argues that the voluntariness of his confession cannot be proven because his initial</w:t>
      </w:r>
      <w:r>
        <w:t xml:space="preserve"> </w:t>
      </w:r>
      <w:r w:rsidRPr="00891643">
        <w:t xml:space="preserve">statement to Deputy Martin was not recorded, we have previously declined to </w:t>
      </w:r>
      <w:r>
        <w:t>‘</w:t>
      </w:r>
      <w:r w:rsidRPr="00891643">
        <w:t>establish an</w:t>
      </w:r>
      <w:r>
        <w:t xml:space="preserve"> </w:t>
      </w:r>
      <w:r w:rsidRPr="00891643">
        <w:t>absolute rule requiring such recording,</w:t>
      </w:r>
      <w:r>
        <w:t>’</w:t>
      </w:r>
      <w:r w:rsidRPr="00891643">
        <w:t xml:space="preserve"> noting that</w:t>
      </w:r>
      <w:r>
        <w:t xml:space="preserve"> ‘</w:t>
      </w:r>
      <w:r w:rsidRPr="00891643">
        <w:t xml:space="preserve">requiring police agencies to record </w:t>
      </w:r>
      <w:r>
        <w:t>i</w:t>
      </w:r>
      <w:r w:rsidRPr="00891643">
        <w:t>nterrogations is impractical and does not offer any greater safeguards for protecting the accused’s</w:t>
      </w:r>
      <w:r>
        <w:t xml:space="preserve"> </w:t>
      </w:r>
      <w:r w:rsidRPr="00891643">
        <w:t>rights than would be afforded by writing the statements affords.</w:t>
      </w:r>
      <w:r>
        <w:t>’</w:t>
      </w:r>
      <w:r w:rsidRPr="00891643">
        <w:t xml:space="preserve"> State v. Kilmer, 190 W. Va. 617,</w:t>
      </w:r>
      <w:r>
        <w:t xml:space="preserve"> </w:t>
      </w:r>
      <w:r w:rsidRPr="00891643">
        <w:t xml:space="preserve">628-29, 439 S.E.2d 881, 892-93 (1993). </w:t>
      </w:r>
    </w:p>
    <w:p w14:paraId="0CA9F908" w14:textId="77777777" w:rsidR="008326CD" w:rsidRDefault="008326CD" w:rsidP="008326CD">
      <w:pPr>
        <w:pStyle w:val="NoSpacing"/>
        <w:ind w:left="720"/>
      </w:pPr>
      <w:r w:rsidRPr="00891643">
        <w:t>Further, to the extent that petitioner claims the</w:t>
      </w:r>
      <w:r>
        <w:t xml:space="preserve"> </w:t>
      </w:r>
      <w:r w:rsidRPr="00891643">
        <w:t>voluntariness of his statement cannot be proven because Deputy Martin drafted it on his behalf,</w:t>
      </w:r>
      <w:r>
        <w:t xml:space="preserve"> </w:t>
      </w:r>
      <w:r w:rsidRPr="00891643">
        <w:t>we have previously held that</w:t>
      </w:r>
      <w:r>
        <w:t xml:space="preserve"> </w:t>
      </w:r>
      <w:r w:rsidRPr="00891643">
        <w:t>[a] confession or statement made by a suspect is admissible if it is freely</w:t>
      </w:r>
      <w:r>
        <w:t xml:space="preserve"> </w:t>
      </w:r>
      <w:r w:rsidRPr="00891643">
        <w:t>and voluntarily made despite the fact that it is written by an arresting officer if the</w:t>
      </w:r>
      <w:r>
        <w:t xml:space="preserve"> </w:t>
      </w:r>
      <w:r w:rsidRPr="00891643">
        <w:t>confession or statement is read, translated (if necessary), signed by the accused and</w:t>
      </w:r>
      <w:r>
        <w:t xml:space="preserve"> </w:t>
      </w:r>
      <w:r w:rsidRPr="00891643">
        <w:t>admitted by him to be correct.</w:t>
      </w:r>
      <w:r>
        <w:t xml:space="preserve">”  </w:t>
      </w:r>
    </w:p>
    <w:p w14:paraId="6FC35589" w14:textId="77777777" w:rsidR="008326CD" w:rsidRDefault="008326CD" w:rsidP="008326CD">
      <w:pPr>
        <w:pStyle w:val="NoSpacing"/>
        <w:ind w:left="720"/>
      </w:pPr>
    </w:p>
    <w:p w14:paraId="33B55A5D" w14:textId="77777777" w:rsidR="008326CD" w:rsidRPr="003D0F2A" w:rsidRDefault="008326CD" w:rsidP="008326CD">
      <w:pPr>
        <w:pStyle w:val="NoSpacing"/>
        <w:rPr>
          <w:b/>
          <w:bCs/>
        </w:rPr>
      </w:pPr>
      <w:r>
        <w:rPr>
          <w:b/>
        </w:rPr>
        <w:t xml:space="preserve">Legal lesson learned: If PD drafts the confession document, it would be helpful to video the draft being read to the defendant prior to his signature. </w:t>
      </w:r>
    </w:p>
    <w:p w14:paraId="54286982" w14:textId="77777777" w:rsidR="00387E6C" w:rsidRDefault="00387E6C" w:rsidP="00037CB8">
      <w:pPr>
        <w:pStyle w:val="NoSpacing"/>
        <w:rPr>
          <w:rFonts w:ascii="Arial Black" w:hAnsi="Arial Black"/>
          <w:sz w:val="24"/>
          <w:szCs w:val="24"/>
        </w:rPr>
      </w:pPr>
    </w:p>
    <w:p w14:paraId="1527E0F3" w14:textId="77777777" w:rsidR="00822052" w:rsidRDefault="00822052" w:rsidP="00037CB8">
      <w:pPr>
        <w:pStyle w:val="NoSpacing"/>
        <w:rPr>
          <w:rFonts w:ascii="Arial Black" w:hAnsi="Arial Black"/>
          <w:sz w:val="24"/>
          <w:szCs w:val="24"/>
        </w:rPr>
      </w:pPr>
    </w:p>
    <w:p w14:paraId="606A6F7B" w14:textId="59B2DBBF" w:rsidR="00822052" w:rsidRDefault="00822052" w:rsidP="00822052">
      <w:pPr>
        <w:pStyle w:val="NoSpacing"/>
        <w:rPr>
          <w:rFonts w:ascii="Arial Black" w:hAnsi="Arial Black"/>
          <w:sz w:val="24"/>
          <w:szCs w:val="24"/>
        </w:rPr>
      </w:pPr>
      <w:r>
        <w:rPr>
          <w:rFonts w:ascii="Arial Black" w:hAnsi="Arial Black"/>
          <w:sz w:val="24"/>
          <w:szCs w:val="24"/>
        </w:rPr>
        <w:t>1-207</w:t>
      </w:r>
    </w:p>
    <w:p w14:paraId="64F48355" w14:textId="77777777" w:rsidR="00822052" w:rsidRDefault="00822052" w:rsidP="00037CB8">
      <w:pPr>
        <w:pStyle w:val="NoSpacing"/>
        <w:rPr>
          <w:rFonts w:ascii="Arial Black" w:hAnsi="Arial Black"/>
          <w:sz w:val="24"/>
          <w:szCs w:val="24"/>
        </w:rPr>
      </w:pPr>
    </w:p>
    <w:p w14:paraId="49D08AD2" w14:textId="77777777" w:rsidR="00822052" w:rsidRDefault="00822052" w:rsidP="00037CB8">
      <w:pPr>
        <w:pStyle w:val="NoSpacing"/>
        <w:rPr>
          <w:rFonts w:ascii="Arial Black" w:hAnsi="Arial Black"/>
          <w:sz w:val="24"/>
          <w:szCs w:val="24"/>
        </w:rPr>
      </w:pPr>
    </w:p>
    <w:p w14:paraId="3E197E33" w14:textId="77777777" w:rsidR="00822052" w:rsidRDefault="00822052" w:rsidP="00822052">
      <w:pPr>
        <w:pStyle w:val="NoSpacing"/>
        <w:rPr>
          <w:rFonts w:ascii="Arial Black" w:hAnsi="Arial Black"/>
          <w:b/>
          <w:sz w:val="28"/>
          <w:szCs w:val="28"/>
        </w:rPr>
      </w:pPr>
      <w:r>
        <w:rPr>
          <w:rFonts w:ascii="Arial Black" w:hAnsi="Arial Black"/>
          <w:b/>
          <w:sz w:val="28"/>
          <w:szCs w:val="28"/>
        </w:rPr>
        <w:t>TX: BATTERY STORAGE PLANT– INJUNCTION – RISK PLAN</w:t>
      </w:r>
    </w:p>
    <w:p w14:paraId="730B4CC1" w14:textId="77777777" w:rsidR="00822052" w:rsidRDefault="00822052" w:rsidP="00822052">
      <w:pPr>
        <w:pStyle w:val="NoSpacing"/>
        <w:rPr>
          <w:rFonts w:ascii="Arial Black" w:hAnsi="Arial Black"/>
          <w:b/>
          <w:sz w:val="28"/>
          <w:szCs w:val="28"/>
        </w:rPr>
      </w:pPr>
    </w:p>
    <w:p w14:paraId="138C8D57" w14:textId="77777777" w:rsidR="00822052" w:rsidRDefault="00822052" w:rsidP="00822052">
      <w:pPr>
        <w:pStyle w:val="NoSpacing"/>
        <w:rPr>
          <w:b/>
        </w:rPr>
      </w:pPr>
      <w:r>
        <w:t xml:space="preserve">On April 9, 2026, in </w:t>
      </w:r>
      <w:r w:rsidRPr="00D9240F">
        <w:t xml:space="preserve">Jim Clements, et al. v. Jason McBroom, et al., </w:t>
      </w:r>
      <w:r>
        <w:t xml:space="preserve">the </w:t>
      </w:r>
      <w:r w:rsidRPr="00D9240F">
        <w:t>Court of Appeals of Texas, Third District, Austin</w:t>
      </w:r>
      <w:r>
        <w:t xml:space="preserve"> held (3 to 0) reversed trial court and held that landowners are entitled to an injunction to </w:t>
      </w:r>
      <w:r w:rsidRPr="00792680">
        <w:t xml:space="preserve">temporarily halt the construction of a planned 200-megawatt Battery Energy Storage System (BESS) on the </w:t>
      </w:r>
      <w:proofErr w:type="spellStart"/>
      <w:r w:rsidRPr="00792680">
        <w:t>McBrooms</w:t>
      </w:r>
      <w:proofErr w:type="spellEnd"/>
      <w:r w:rsidRPr="00792680">
        <w:t xml:space="preserve">' property until the </w:t>
      </w:r>
      <w:proofErr w:type="spellStart"/>
      <w:r w:rsidRPr="00792680">
        <w:t>McBrooms</w:t>
      </w:r>
      <w:proofErr w:type="spellEnd"/>
      <w:r w:rsidRPr="00792680">
        <w:t xml:space="preserve"> ensure the implementation of a “Court-approved hazard mitigation plan, including specific measures for fire containment, contamination prevention, and emergency response.”</w:t>
      </w:r>
      <w:r>
        <w:t xml:space="preserve">  </w:t>
      </w:r>
    </w:p>
    <w:p w14:paraId="1216F496" w14:textId="77777777" w:rsidR="00822052" w:rsidRPr="00656164" w:rsidRDefault="00822052" w:rsidP="00822052">
      <w:pPr>
        <w:pStyle w:val="NoSpacing"/>
        <w:rPr>
          <w:bCs/>
        </w:rPr>
      </w:pPr>
      <w:hyperlink r:id="rId48" w:history="1">
        <w:r w:rsidRPr="00656164">
          <w:rPr>
            <w:rStyle w:val="Hyperlink"/>
          </w:rPr>
          <w:t>https://caselaw.findlaw.com/court/tx-court-of-appeals/118277713.html</w:t>
        </w:r>
      </w:hyperlink>
    </w:p>
    <w:p w14:paraId="15B1D7E4" w14:textId="77777777" w:rsidR="00822052" w:rsidRPr="00656164" w:rsidRDefault="00822052" w:rsidP="00822052">
      <w:pPr>
        <w:pStyle w:val="NoSpacing"/>
        <w:rPr>
          <w:bCs/>
        </w:rPr>
      </w:pPr>
    </w:p>
    <w:p w14:paraId="62B3FE8C" w14:textId="77777777" w:rsidR="00822052" w:rsidRPr="00656164" w:rsidRDefault="00822052" w:rsidP="00822052">
      <w:pPr>
        <w:pStyle w:val="NoSpacing"/>
        <w:rPr>
          <w:bCs/>
        </w:rPr>
      </w:pPr>
      <w:r w:rsidRPr="00656164">
        <w:t xml:space="preserve">THE COURT HELD: </w:t>
      </w:r>
    </w:p>
    <w:p w14:paraId="2E392DF5" w14:textId="77777777" w:rsidR="00822052" w:rsidRDefault="00822052" w:rsidP="00822052">
      <w:pPr>
        <w:pStyle w:val="NoSpacing"/>
        <w:rPr>
          <w:bCs/>
        </w:rPr>
      </w:pPr>
    </w:p>
    <w:p w14:paraId="62A4D576" w14:textId="77777777" w:rsidR="00822052" w:rsidRPr="002E6437" w:rsidRDefault="00822052" w:rsidP="00822052">
      <w:pPr>
        <w:pStyle w:val="NoSpacing"/>
        <w:ind w:left="720"/>
        <w:rPr>
          <w:bCs/>
        </w:rPr>
      </w:pPr>
      <w:r>
        <w:t>“</w:t>
      </w:r>
      <w:r w:rsidRPr="002E6437">
        <w:t xml:space="preserve">In their live petition, filed November 26, 2024, Landowners asserted a claim against the </w:t>
      </w:r>
      <w:proofErr w:type="spellStart"/>
      <w:r w:rsidRPr="002E6437">
        <w:t>McBrooms</w:t>
      </w:r>
      <w:proofErr w:type="spellEnd"/>
      <w:r w:rsidRPr="002E6437">
        <w:t xml:space="preserve"> for private nuisance based on negligence to support their request for injunctive relief and damages. Landowners' factual allegations include the following:</w:t>
      </w:r>
    </w:p>
    <w:p w14:paraId="689DF851" w14:textId="77777777" w:rsidR="00822052" w:rsidRDefault="00822052" w:rsidP="00822052">
      <w:pPr>
        <w:pStyle w:val="NoSpacing"/>
        <w:rPr>
          <w:bCs/>
        </w:rPr>
      </w:pPr>
    </w:p>
    <w:p w14:paraId="0F4C1D36" w14:textId="77777777" w:rsidR="00822052" w:rsidRPr="002E6437" w:rsidRDefault="00822052" w:rsidP="00822052">
      <w:pPr>
        <w:pStyle w:val="NoSpacing"/>
        <w:ind w:left="1440"/>
        <w:rPr>
          <w:bCs/>
        </w:rPr>
      </w:pPr>
      <w:r w:rsidRPr="002E6437">
        <w:t>• Construction on the planned BESS facility could begin as early as “the fourth quarter of 2025,” with operations beginning in 2026;</w:t>
      </w:r>
    </w:p>
    <w:p w14:paraId="760955AA" w14:textId="77777777" w:rsidR="00822052" w:rsidRDefault="00822052" w:rsidP="00822052">
      <w:pPr>
        <w:pStyle w:val="NoSpacing"/>
        <w:ind w:left="1440"/>
        <w:rPr>
          <w:bCs/>
        </w:rPr>
      </w:pPr>
      <w:r w:rsidRPr="002E6437">
        <w:t xml:space="preserve">• The planned BESS relies on lithium-ion battery technology, which is prone to </w:t>
      </w:r>
      <w:r>
        <w:t>‘</w:t>
      </w:r>
      <w:r w:rsidRPr="002E6437">
        <w:t>thermal runaway,</w:t>
      </w:r>
      <w:r>
        <w:t>’</w:t>
      </w:r>
      <w:r w:rsidRPr="002E6437">
        <w:t xml:space="preserve"> a self-sustaining process triggered by overheating that can lead to the rapid release of flammable gases, high-temperature fires, and even explosions</w:t>
      </w:r>
      <w:r>
        <w:t>; …</w:t>
      </w:r>
    </w:p>
    <w:p w14:paraId="5F284BAC" w14:textId="77777777" w:rsidR="00822052" w:rsidRPr="005B0BC8" w:rsidRDefault="00822052" w:rsidP="00822052">
      <w:pPr>
        <w:pStyle w:val="NoSpacing"/>
        <w:ind w:left="1440"/>
        <w:rPr>
          <w:bCs/>
        </w:rPr>
      </w:pPr>
      <w:r w:rsidRPr="005B0BC8">
        <w:t>The phenomenon of thermal runaway is well-documented in federal research and has been observed in multiple large-scale BESS incidents, underscoring the immediate risks posed to nearby residents;</w:t>
      </w:r>
    </w:p>
    <w:p w14:paraId="27EBFB80" w14:textId="77777777" w:rsidR="00822052" w:rsidRPr="005B0BC8" w:rsidRDefault="00822052" w:rsidP="00822052">
      <w:pPr>
        <w:pStyle w:val="NoSpacing"/>
        <w:ind w:left="1440"/>
        <w:rPr>
          <w:bCs/>
        </w:rPr>
      </w:pPr>
      <w:r w:rsidRPr="005B0BC8">
        <w:t xml:space="preserve">• Despite these substantial hazards, Texas currently lacks adequate regulations for BESS facilities, leaving the burden of risk entirely on </w:t>
      </w:r>
      <w:proofErr w:type="gramStart"/>
      <w:r w:rsidRPr="005B0BC8">
        <w:t>local residents</w:t>
      </w:r>
      <w:proofErr w:type="gramEnd"/>
      <w:r w:rsidRPr="005B0BC8">
        <w:t>;</w:t>
      </w:r>
    </w:p>
    <w:p w14:paraId="231C1433" w14:textId="77777777" w:rsidR="00822052" w:rsidRPr="005B0BC8" w:rsidRDefault="00822052" w:rsidP="00822052">
      <w:pPr>
        <w:pStyle w:val="NoSpacing"/>
        <w:ind w:left="1440"/>
        <w:rPr>
          <w:bCs/>
        </w:rPr>
      </w:pPr>
      <w:r w:rsidRPr="005B0BC8">
        <w:t>• Fayette County is ill-equipped to address the unique and severe dangers associated with BESS fires. The County relies on a volunteer firefighting force that lacks the specialized training, personnel, and resources—such as water supplies and hazardous-material-response capabilities—necessary to manage such incidents;</w:t>
      </w:r>
    </w:p>
    <w:p w14:paraId="073FB2EF" w14:textId="77777777" w:rsidR="00822052" w:rsidRPr="005B0BC8" w:rsidRDefault="00822052" w:rsidP="00822052">
      <w:pPr>
        <w:pStyle w:val="NoSpacing"/>
        <w:ind w:left="1440"/>
        <w:rPr>
          <w:bCs/>
        </w:rPr>
      </w:pPr>
      <w:r w:rsidRPr="005B0BC8">
        <w:t>• Fire Chief Eddie Schneider confirmed at a local town hall that the County's emergency response infrastructure is insufficient for handling BESS fires, noting that the County lacks both the resources and an emergency plan tailored to the hazards posed by lithium-ion battery fires;</w:t>
      </w:r>
    </w:p>
    <w:p w14:paraId="31C03C76" w14:textId="77777777" w:rsidR="00822052" w:rsidRPr="005B0BC8" w:rsidRDefault="00822052" w:rsidP="00822052">
      <w:pPr>
        <w:pStyle w:val="NoSpacing"/>
        <w:ind w:left="1440"/>
        <w:rPr>
          <w:bCs/>
        </w:rPr>
      </w:pPr>
      <w:r w:rsidRPr="005B0BC8">
        <w:t>• The County's unpreparedness directly endangers Landowners, as the County cannot effectively contain a BESS fire or prevent its resulting contamination from spreading through the environment</w:t>
      </w:r>
      <w:r>
        <w:t xml:space="preserve">…. </w:t>
      </w:r>
    </w:p>
    <w:p w14:paraId="36DC5934" w14:textId="77777777" w:rsidR="00822052" w:rsidRPr="002E6437" w:rsidRDefault="00822052" w:rsidP="00822052">
      <w:pPr>
        <w:pStyle w:val="NoSpacing"/>
        <w:ind w:left="1440"/>
        <w:rPr>
          <w:bCs/>
        </w:rPr>
      </w:pPr>
    </w:p>
    <w:p w14:paraId="3E56EDAB" w14:textId="77777777" w:rsidR="00822052" w:rsidRPr="00656164" w:rsidRDefault="00822052" w:rsidP="00822052">
      <w:pPr>
        <w:pStyle w:val="NoSpacing"/>
        <w:rPr>
          <w:bCs/>
        </w:rPr>
      </w:pPr>
      <w:r>
        <w:tab/>
        <w:t>***</w:t>
      </w:r>
    </w:p>
    <w:p w14:paraId="27E8816E" w14:textId="77777777" w:rsidR="00822052" w:rsidRPr="00656164" w:rsidRDefault="00822052" w:rsidP="00822052">
      <w:pPr>
        <w:pStyle w:val="NoSpacing"/>
        <w:rPr>
          <w:bCs/>
        </w:rPr>
      </w:pPr>
    </w:p>
    <w:p w14:paraId="1DBA174E" w14:textId="77777777" w:rsidR="00822052" w:rsidRDefault="00822052" w:rsidP="00822052">
      <w:pPr>
        <w:pStyle w:val="NoSpacing"/>
        <w:ind w:left="720"/>
      </w:pPr>
      <w:proofErr w:type="gramStart"/>
      <w:r w:rsidRPr="00DE129C">
        <w:t>Similarly</w:t>
      </w:r>
      <w:proofErr w:type="gramEnd"/>
      <w:r w:rsidRPr="00DE129C">
        <w:t xml:space="preserve"> here, we conclude that Landowners have sufficiently alleged facts that, if proven, would support their request for injunctive relief to redress a prospective nuisance that plausibly will be caused by the </w:t>
      </w:r>
      <w:proofErr w:type="spellStart"/>
      <w:r w:rsidRPr="00DE129C">
        <w:t>McBrooms</w:t>
      </w:r>
      <w:proofErr w:type="spellEnd"/>
      <w:r w:rsidRPr="00DE129C">
        <w:t xml:space="preserve">' and Staccato's imminent actions that will likely cause irreparable harm for which they would have no adequate remedy at law. Viewing the allegations liberally and making all reasonable inferences in Landowners' favor, as we must, we conclude that they have sufficiently pleaded that the </w:t>
      </w:r>
      <w:proofErr w:type="spellStart"/>
      <w:r w:rsidRPr="00DE129C">
        <w:t>McBrooms</w:t>
      </w:r>
      <w:proofErr w:type="spellEnd"/>
      <w:r w:rsidRPr="00DE129C">
        <w:t xml:space="preserve"> will indeed engage in the activity sought to be enjoined—allowing Staccato to construct and operate a BESS on their property without sufficient hazard-mitigation plans and measures in place, highlighted by Staccato's alleged demonstrable intent to construct and operate the BESS in such manner—to entitle Landowners to the relief sought and pass the hurdle of a Rule 91a motion. See Tex. R. Civ. P. 91a. Landowners' allegations are sufficient to state a cognizable claim for the court to exercise its equitable power to enjoin a prospective nuisance, if proven, see Huynh, 694 S.W.3d at 679, and the trial court erred in determining otherwise.</w:t>
      </w:r>
      <w:r>
        <w:t>”</w:t>
      </w:r>
    </w:p>
    <w:p w14:paraId="071CC39C" w14:textId="77777777" w:rsidR="00822052" w:rsidRDefault="00822052" w:rsidP="00822052">
      <w:pPr>
        <w:pStyle w:val="NoSpacing"/>
        <w:ind w:left="720"/>
      </w:pPr>
    </w:p>
    <w:p w14:paraId="7588FAF4" w14:textId="77777777" w:rsidR="00822052" w:rsidRPr="00CA65F9" w:rsidRDefault="00822052" w:rsidP="00822052">
      <w:pPr>
        <w:pStyle w:val="NoSpacing"/>
        <w:rPr>
          <w:b/>
          <w:bCs/>
        </w:rPr>
      </w:pPr>
      <w:r w:rsidRPr="00CA65F9">
        <w:rPr>
          <w:b/>
        </w:rPr>
        <w:t xml:space="preserve">Legal lesson learned: Texas currently lacks adequate regulations for BESS facilities; hazard-mitigation plan needed to address thermal runaway and other safety hazards. </w:t>
      </w:r>
    </w:p>
    <w:p w14:paraId="23106731" w14:textId="77777777" w:rsidR="00822052" w:rsidRDefault="00822052" w:rsidP="00822052">
      <w:pPr>
        <w:pStyle w:val="NoSpacing"/>
        <w:rPr>
          <w:bCs/>
        </w:rPr>
      </w:pPr>
    </w:p>
    <w:p w14:paraId="475382B7" w14:textId="77777777" w:rsidR="00822052" w:rsidRDefault="00822052" w:rsidP="00822052">
      <w:pPr>
        <w:pStyle w:val="NoSpacing"/>
        <w:rPr>
          <w:bCs/>
        </w:rPr>
      </w:pPr>
    </w:p>
    <w:p w14:paraId="69CA7DFF" w14:textId="77777777" w:rsidR="00822052" w:rsidRDefault="00822052" w:rsidP="00822052">
      <w:pPr>
        <w:pStyle w:val="NoSpacing"/>
        <w:rPr>
          <w:bCs/>
        </w:rPr>
      </w:pPr>
    </w:p>
    <w:p w14:paraId="75E3C56B" w14:textId="77777777" w:rsidR="00822052" w:rsidRDefault="00822052" w:rsidP="00037CB8">
      <w:pPr>
        <w:pStyle w:val="NoSpacing"/>
        <w:rPr>
          <w:rFonts w:ascii="Arial Black" w:hAnsi="Arial Black"/>
          <w:sz w:val="24"/>
          <w:szCs w:val="24"/>
        </w:rPr>
      </w:pPr>
    </w:p>
    <w:p w14:paraId="0543B1FA" w14:textId="77777777" w:rsidR="00387E6C" w:rsidRDefault="00387E6C" w:rsidP="00037CB8">
      <w:pPr>
        <w:pStyle w:val="NoSpacing"/>
        <w:rPr>
          <w:rFonts w:ascii="Arial Black" w:hAnsi="Arial Black"/>
          <w:sz w:val="24"/>
          <w:szCs w:val="24"/>
        </w:rPr>
      </w:pPr>
    </w:p>
    <w:p w14:paraId="1A6044C6" w14:textId="77777777" w:rsidR="00387E6C" w:rsidRDefault="00387E6C" w:rsidP="00037CB8">
      <w:pPr>
        <w:pStyle w:val="NoSpacing"/>
        <w:rPr>
          <w:rFonts w:ascii="Arial Black" w:hAnsi="Arial Black"/>
          <w:sz w:val="24"/>
          <w:szCs w:val="24"/>
        </w:rPr>
      </w:pPr>
    </w:p>
    <w:p w14:paraId="76950E13" w14:textId="77777777" w:rsidR="00387E6C" w:rsidRDefault="00387E6C" w:rsidP="00037CB8">
      <w:pPr>
        <w:pStyle w:val="NoSpacing"/>
        <w:rPr>
          <w:rFonts w:ascii="Arial Black" w:hAnsi="Arial Black"/>
          <w:sz w:val="24"/>
          <w:szCs w:val="24"/>
        </w:rPr>
      </w:pPr>
    </w:p>
    <w:p w14:paraId="62529162" w14:textId="77777777" w:rsidR="00387E6C" w:rsidRDefault="00387E6C" w:rsidP="00037CB8">
      <w:pPr>
        <w:pStyle w:val="NoSpacing"/>
        <w:rPr>
          <w:rFonts w:ascii="Arial Black" w:hAnsi="Arial Black"/>
          <w:sz w:val="24"/>
          <w:szCs w:val="24"/>
        </w:rPr>
      </w:pPr>
    </w:p>
    <w:p w14:paraId="5DD865EA" w14:textId="4F49EE94" w:rsidR="006C4753" w:rsidRDefault="006C4753" w:rsidP="00037CB8">
      <w:pPr>
        <w:pStyle w:val="NoSpacing"/>
        <w:rPr>
          <w:rFonts w:ascii="Arial Black" w:hAnsi="Arial Black"/>
          <w:sz w:val="24"/>
          <w:szCs w:val="24"/>
        </w:rPr>
      </w:pPr>
      <w:r>
        <w:rPr>
          <w:rFonts w:ascii="Arial Black" w:hAnsi="Arial Black"/>
          <w:sz w:val="24"/>
          <w:szCs w:val="24"/>
        </w:rPr>
        <w:t>1-206</w:t>
      </w:r>
    </w:p>
    <w:p w14:paraId="2C398EFF" w14:textId="77777777" w:rsidR="006C4753" w:rsidRDefault="006C4753" w:rsidP="00037CB8">
      <w:pPr>
        <w:pStyle w:val="NoSpacing"/>
        <w:rPr>
          <w:rFonts w:ascii="Arial Black" w:hAnsi="Arial Black"/>
          <w:sz w:val="24"/>
          <w:szCs w:val="24"/>
        </w:rPr>
      </w:pPr>
    </w:p>
    <w:p w14:paraId="1F787486" w14:textId="77777777" w:rsidR="00961DF4" w:rsidRPr="007F62AA" w:rsidRDefault="00961DF4" w:rsidP="00961DF4">
      <w:pPr>
        <w:pStyle w:val="NoSpacing"/>
        <w:rPr>
          <w:rFonts w:ascii="Arial Black" w:hAnsi="Arial Black"/>
          <w:b/>
          <w:sz w:val="28"/>
          <w:szCs w:val="28"/>
        </w:rPr>
      </w:pPr>
      <w:r>
        <w:rPr>
          <w:rFonts w:ascii="Arial Black" w:hAnsi="Arial Black"/>
          <w:b/>
          <w:sz w:val="28"/>
          <w:szCs w:val="28"/>
        </w:rPr>
        <w:t>TX: PUBLIC RECORDS - 19 CHILDREN / 2 TEACHERS KILLED</w:t>
      </w:r>
    </w:p>
    <w:p w14:paraId="6B1AFA8A" w14:textId="77777777" w:rsidR="00961DF4" w:rsidRDefault="00961DF4" w:rsidP="00961DF4">
      <w:pPr>
        <w:pStyle w:val="NoSpacing"/>
        <w:rPr>
          <w:b/>
        </w:rPr>
      </w:pPr>
    </w:p>
    <w:p w14:paraId="050A7360" w14:textId="77777777" w:rsidR="00961DF4" w:rsidRDefault="00961DF4" w:rsidP="00961DF4">
      <w:pPr>
        <w:pStyle w:val="NoSpacing"/>
        <w:rPr>
          <w:bCs/>
        </w:rPr>
      </w:pPr>
      <w:r w:rsidRPr="00BC7AD6">
        <w:t xml:space="preserve">On March 6, 2026, in </w:t>
      </w:r>
      <w:r w:rsidRPr="00BC7AD6">
        <w:rPr>
          <w:u w:val="single"/>
        </w:rPr>
        <w:t>Texas Department of Public Safety, et al. v. Texas Tribune, CBS News; Cable News Network, Inc., et al</w:t>
      </w:r>
      <w:r w:rsidRPr="00BC7AD6">
        <w:t>.</w:t>
      </w:r>
      <w:r>
        <w:t xml:space="preserve">, the Texas </w:t>
      </w:r>
      <w:r w:rsidRPr="008C739B">
        <w:t>Fifteenth Court of Appeals</w:t>
      </w:r>
      <w:r>
        <w:t xml:space="preserve"> held (3 to 0) that the trial court improperly granted summary judgment to news media for access to law enforcement records while District Attorney was actively interviewing witnesses. The prosecutor had filed an affidavit confirming </w:t>
      </w:r>
      <w:r w:rsidRPr="00932725">
        <w:t>that her office will be questioning many witnesses and needs</w:t>
      </w:r>
      <w:r>
        <w:t xml:space="preserve"> </w:t>
      </w:r>
      <w:r w:rsidRPr="00932725">
        <w:t xml:space="preserve">such </w:t>
      </w:r>
      <w:r>
        <w:t>“</w:t>
      </w:r>
      <w:r w:rsidRPr="00932725">
        <w:t>testimony to be uninfluenced by media accounts.</w:t>
      </w:r>
      <w:r>
        <w:t xml:space="preserve">” </w:t>
      </w:r>
    </w:p>
    <w:p w14:paraId="7CF8EB6F" w14:textId="77777777" w:rsidR="00961DF4" w:rsidRDefault="00961DF4" w:rsidP="00961DF4">
      <w:pPr>
        <w:pStyle w:val="NoSpacing"/>
        <w:rPr>
          <w:bCs/>
        </w:rPr>
      </w:pPr>
      <w:hyperlink r:id="rId49" w:history="1">
        <w:r w:rsidRPr="004D13CD">
          <w:rPr>
            <w:rStyle w:val="Hyperlink"/>
          </w:rPr>
          <w:t>https://cases.justia.com/texas/fifteenth-court-of-appeals/2026-15-24-00010-cv.pdf?ts=1772815197</w:t>
        </w:r>
      </w:hyperlink>
      <w:r>
        <w:t xml:space="preserve"> </w:t>
      </w:r>
    </w:p>
    <w:p w14:paraId="746CFF0D" w14:textId="77777777" w:rsidR="00961DF4" w:rsidRDefault="00961DF4" w:rsidP="00961DF4">
      <w:pPr>
        <w:pStyle w:val="NoSpacing"/>
        <w:rPr>
          <w:bCs/>
        </w:rPr>
      </w:pPr>
    </w:p>
    <w:p w14:paraId="14818E23" w14:textId="77777777" w:rsidR="00961DF4" w:rsidRDefault="00961DF4" w:rsidP="00961DF4">
      <w:pPr>
        <w:pStyle w:val="NoSpacing"/>
        <w:rPr>
          <w:bCs/>
        </w:rPr>
      </w:pPr>
      <w:r>
        <w:t>THE COURT HELD:  “</w:t>
      </w:r>
      <w:r w:rsidRPr="009A68DF">
        <w:t>On May 24, 2022, an 18-year-old former student of Robb Elementary in</w:t>
      </w:r>
      <w:r>
        <w:t xml:space="preserve"> </w:t>
      </w:r>
      <w:r w:rsidRPr="009A68DF">
        <w:t>Uvalde shot his grandmother, crashed her truck in a ditch near the school, made his</w:t>
      </w:r>
      <w:r>
        <w:t xml:space="preserve"> </w:t>
      </w:r>
      <w:r w:rsidRPr="009A68DF">
        <w:t>way to the school, and killed twenty-one people and injured seventeen others. Three</w:t>
      </w:r>
      <w:r>
        <w:t xml:space="preserve"> </w:t>
      </w:r>
      <w:r w:rsidRPr="009A68DF">
        <w:t>hundred and seventy-six officers from almost two dozen state, federal, and local law</w:t>
      </w:r>
      <w:r>
        <w:t xml:space="preserve"> </w:t>
      </w:r>
      <w:r w:rsidRPr="009A68DF">
        <w:t>enforcement agencies responded to the shooting, including ninety-one from DPS.</w:t>
      </w:r>
      <w:r>
        <w:t xml:space="preserve"> </w:t>
      </w:r>
      <w:r w:rsidRPr="009A68DF">
        <w:t>Although some arrived within minutes of the gunman, approximately seventy-four</w:t>
      </w:r>
      <w:r>
        <w:t xml:space="preserve"> </w:t>
      </w:r>
      <w:r w:rsidRPr="009A68DF">
        <w:t>minutes elapsed between the time the gunman entered the school and when officers</w:t>
      </w:r>
      <w:r>
        <w:t xml:space="preserve"> </w:t>
      </w:r>
      <w:r w:rsidRPr="009A68DF">
        <w:t>breached the room where he was located and killed him. The loss of life and time it</w:t>
      </w:r>
      <w:r>
        <w:t xml:space="preserve"> </w:t>
      </w:r>
      <w:r w:rsidRPr="009A68DF">
        <w:t>took to neutralize the gunman immediately prompted questions about law</w:t>
      </w:r>
      <w:r>
        <w:t xml:space="preserve"> </w:t>
      </w:r>
      <w:r w:rsidRPr="009A68DF">
        <w:t>enforcement’s response.</w:t>
      </w:r>
    </w:p>
    <w:p w14:paraId="4936844B" w14:textId="77777777" w:rsidR="00961DF4" w:rsidRDefault="00961DF4" w:rsidP="00961DF4">
      <w:pPr>
        <w:pStyle w:val="NoSpacing"/>
        <w:rPr>
          <w:bCs/>
        </w:rPr>
      </w:pPr>
    </w:p>
    <w:p w14:paraId="4B7E1832" w14:textId="77777777" w:rsidR="00961DF4" w:rsidRDefault="00961DF4" w:rsidP="00961DF4">
      <w:pPr>
        <w:pStyle w:val="NoSpacing"/>
        <w:rPr>
          <w:bCs/>
        </w:rPr>
      </w:pPr>
      <w:r>
        <w:t>***</w:t>
      </w:r>
    </w:p>
    <w:p w14:paraId="3F732608" w14:textId="77777777" w:rsidR="00961DF4" w:rsidRDefault="00961DF4" w:rsidP="00961DF4">
      <w:pPr>
        <w:pStyle w:val="NoSpacing"/>
        <w:rPr>
          <w:bCs/>
        </w:rPr>
      </w:pPr>
    </w:p>
    <w:p w14:paraId="3F86E203" w14:textId="77777777" w:rsidR="00961DF4" w:rsidRDefault="00961DF4" w:rsidP="00961DF4">
      <w:pPr>
        <w:pStyle w:val="NoSpacing"/>
        <w:rPr>
          <w:bCs/>
        </w:rPr>
      </w:pPr>
      <w:r>
        <w:t xml:space="preserve">[District Attorney] </w:t>
      </w:r>
      <w:r w:rsidRPr="00932725">
        <w:t>Mitchell opined that her office will be questioning many witnesses and needs</w:t>
      </w:r>
      <w:r>
        <w:t xml:space="preserve"> </w:t>
      </w:r>
      <w:r w:rsidRPr="00932725">
        <w:t xml:space="preserve">such </w:t>
      </w:r>
      <w:r>
        <w:t>‘</w:t>
      </w:r>
      <w:r w:rsidRPr="00932725">
        <w:t>testimony to be uninfluenced by media accounts.</w:t>
      </w:r>
      <w:r>
        <w:t xml:space="preserve">’ </w:t>
      </w:r>
      <w:r w:rsidRPr="00932725">
        <w:t xml:space="preserve"> She alleged that this has</w:t>
      </w:r>
      <w:r>
        <w:t xml:space="preserve"> </w:t>
      </w:r>
      <w:r w:rsidRPr="00932725">
        <w:t xml:space="preserve">already become an issue as one interviewed witness said </w:t>
      </w:r>
      <w:r>
        <w:t>‘</w:t>
      </w:r>
      <w:r w:rsidRPr="00932725">
        <w:t>that they cannot remember</w:t>
      </w:r>
      <w:r>
        <w:t xml:space="preserve"> </w:t>
      </w:r>
      <w:r w:rsidRPr="00932725">
        <w:t xml:space="preserve">if what they are </w:t>
      </w:r>
      <w:proofErr w:type="spellStart"/>
      <w:r w:rsidRPr="00932725">
        <w:t>stating</w:t>
      </w:r>
      <w:proofErr w:type="spellEnd"/>
      <w:r w:rsidRPr="00932725">
        <w:t xml:space="preserve"> to investigators is their individual and personal recollection</w:t>
      </w:r>
      <w:r>
        <w:t xml:space="preserve"> </w:t>
      </w:r>
      <w:r w:rsidRPr="00932725">
        <w:t>from the event or from events reported by and in the media.</w:t>
      </w:r>
      <w:r>
        <w:t>’</w:t>
      </w:r>
      <w:r w:rsidRPr="00932725">
        <w:t xml:space="preserve"> At bottom, Mitchell</w:t>
      </w:r>
      <w:r>
        <w:t xml:space="preserve"> </w:t>
      </w:r>
      <w:r w:rsidRPr="00932725">
        <w:t xml:space="preserve">opined that disclosing the information </w:t>
      </w:r>
      <w:r>
        <w:t>‘</w:t>
      </w:r>
      <w:r w:rsidRPr="00932725">
        <w:t>would ultimately leave [her] office, the</w:t>
      </w:r>
      <w:r>
        <w:t xml:space="preserve"> </w:t>
      </w:r>
      <w:r w:rsidRPr="00932725">
        <w:t>families of the deceased and injured children, the other victims, and the overall</w:t>
      </w:r>
      <w:r>
        <w:t xml:space="preserve"> </w:t>
      </w:r>
      <w:r w:rsidRPr="00932725">
        <w:t>Uvalde community with an investigation for which a valid prosecution could not be</w:t>
      </w:r>
      <w:r>
        <w:t xml:space="preserve"> </w:t>
      </w:r>
      <w:proofErr w:type="gramStart"/>
      <w:r w:rsidRPr="00932725">
        <w:t>dependent.</w:t>
      </w:r>
      <w:r>
        <w:t>’</w:t>
      </w:r>
      <w:proofErr w:type="gramEnd"/>
    </w:p>
    <w:p w14:paraId="34997684" w14:textId="77777777" w:rsidR="00961DF4" w:rsidRDefault="00961DF4" w:rsidP="00961DF4">
      <w:pPr>
        <w:pStyle w:val="NoSpacing"/>
        <w:rPr>
          <w:bCs/>
        </w:rPr>
      </w:pPr>
    </w:p>
    <w:p w14:paraId="7E646F3B" w14:textId="77777777" w:rsidR="00961DF4" w:rsidRDefault="00961DF4" w:rsidP="00961DF4">
      <w:pPr>
        <w:pStyle w:val="NoSpacing"/>
        <w:rPr>
          <w:bCs/>
        </w:rPr>
      </w:pPr>
      <w:r>
        <w:t>***</w:t>
      </w:r>
    </w:p>
    <w:p w14:paraId="6E0C1CFF" w14:textId="77777777" w:rsidR="00961DF4" w:rsidRDefault="00961DF4" w:rsidP="00961DF4">
      <w:pPr>
        <w:pStyle w:val="NoSpacing"/>
        <w:rPr>
          <w:bCs/>
        </w:rPr>
      </w:pPr>
    </w:p>
    <w:p w14:paraId="61C1587F" w14:textId="77777777" w:rsidR="00961DF4" w:rsidRDefault="00961DF4" w:rsidP="00961DF4">
      <w:pPr>
        <w:pStyle w:val="NoSpacing"/>
        <w:rPr>
          <w:bCs/>
        </w:rPr>
      </w:pPr>
    </w:p>
    <w:p w14:paraId="516CF5B3" w14:textId="77777777" w:rsidR="00961DF4" w:rsidRDefault="00961DF4" w:rsidP="00961DF4">
      <w:pPr>
        <w:pStyle w:val="NoSpacing"/>
        <w:rPr>
          <w:bCs/>
        </w:rPr>
      </w:pPr>
      <w:r>
        <w:t>[W]</w:t>
      </w:r>
      <w:proofErr w:type="gramStart"/>
      <w:r w:rsidRPr="00D15E6B">
        <w:t>e</w:t>
      </w:r>
      <w:r>
        <w:t xml:space="preserve"> </w:t>
      </w:r>
      <w:r w:rsidRPr="00D15E6B">
        <w:t>hold</w:t>
      </w:r>
      <w:proofErr w:type="gramEnd"/>
      <w:r w:rsidRPr="00D15E6B">
        <w:t xml:space="preserve"> that DPS carried its burden of supplying more than a mere </w:t>
      </w:r>
      <w:proofErr w:type="gramStart"/>
      <w:r w:rsidRPr="00D15E6B">
        <w:t>scintilla</w:t>
      </w:r>
      <w:proofErr w:type="gramEnd"/>
      <w:r w:rsidRPr="00D15E6B">
        <w:t xml:space="preserve"> of evidence</w:t>
      </w:r>
      <w:r>
        <w:t xml:space="preserve"> </w:t>
      </w:r>
      <w:r w:rsidRPr="00D15E6B">
        <w:t>to support the law enforcement’s exception’s application. Significantly, we do not</w:t>
      </w:r>
      <w:r>
        <w:t xml:space="preserve"> </w:t>
      </w:r>
      <w:r w:rsidRPr="00D15E6B">
        <w:t>hold that each file and video clip contained in the massive volume of responsive</w:t>
      </w:r>
      <w:r>
        <w:t xml:space="preserve"> </w:t>
      </w:r>
      <w:r w:rsidRPr="00D15E6B">
        <w:t>information is forever shielded from public view. Rather, we conclude that DPS</w:t>
      </w:r>
      <w:r>
        <w:t xml:space="preserve"> </w:t>
      </w:r>
      <w:r w:rsidRPr="00D15E6B">
        <w:t>cleared the bar of defeating a summary judgment with respect to the responsive</w:t>
      </w:r>
      <w:r>
        <w:t xml:space="preserve"> </w:t>
      </w:r>
      <w:r w:rsidRPr="00D15E6B">
        <w:t>information and is entitled to proceed to a trial. At trial, DPS will bear the burden of</w:t>
      </w:r>
      <w:r>
        <w:t xml:space="preserve"> </w:t>
      </w:r>
      <w:r w:rsidRPr="00D15E6B">
        <w:t>proving that the information sought qualifies for the law enforcement exception to</w:t>
      </w:r>
      <w:r>
        <w:t xml:space="preserve"> </w:t>
      </w:r>
      <w:r w:rsidRPr="00D15E6B">
        <w:t>disclosure. But that was not DPS’s burden at this early juncture.</w:t>
      </w:r>
      <w:r>
        <w:t>:</w:t>
      </w:r>
    </w:p>
    <w:p w14:paraId="5C1AADA4" w14:textId="77777777" w:rsidR="00961DF4" w:rsidRDefault="00961DF4" w:rsidP="00961DF4">
      <w:pPr>
        <w:pStyle w:val="NoSpacing"/>
        <w:rPr>
          <w:bCs/>
        </w:rPr>
      </w:pPr>
    </w:p>
    <w:p w14:paraId="06844FB6" w14:textId="77777777" w:rsidR="00961DF4" w:rsidRPr="002C6D76" w:rsidRDefault="00961DF4" w:rsidP="00961DF4">
      <w:pPr>
        <w:pStyle w:val="NoSpacing"/>
        <w:rPr>
          <w:b/>
        </w:rPr>
      </w:pPr>
      <w:r>
        <w:rPr>
          <w:b/>
        </w:rPr>
        <w:t xml:space="preserve">Legal lesson learned: Public records requests must be balanced against the need for investigators to interview witnesses without being influenced by the media. </w:t>
      </w:r>
    </w:p>
    <w:p w14:paraId="54C18782" w14:textId="77777777" w:rsidR="00961DF4" w:rsidRDefault="00961DF4" w:rsidP="00037CB8">
      <w:pPr>
        <w:pStyle w:val="NoSpacing"/>
        <w:rPr>
          <w:rFonts w:ascii="Arial Black" w:hAnsi="Arial Black"/>
          <w:sz w:val="24"/>
          <w:szCs w:val="24"/>
        </w:rPr>
      </w:pPr>
    </w:p>
    <w:p w14:paraId="66E60D30" w14:textId="77777777" w:rsidR="006C4753" w:rsidRDefault="006C4753" w:rsidP="00037CB8">
      <w:pPr>
        <w:pStyle w:val="NoSpacing"/>
        <w:rPr>
          <w:rFonts w:ascii="Arial Black" w:hAnsi="Arial Black"/>
          <w:sz w:val="24"/>
          <w:szCs w:val="24"/>
        </w:rPr>
      </w:pPr>
    </w:p>
    <w:p w14:paraId="44C9B4F5" w14:textId="77777777" w:rsidR="006C4753" w:rsidRDefault="006C4753" w:rsidP="00037CB8">
      <w:pPr>
        <w:pStyle w:val="NoSpacing"/>
        <w:rPr>
          <w:rFonts w:ascii="Arial Black" w:hAnsi="Arial Black"/>
          <w:sz w:val="24"/>
          <w:szCs w:val="24"/>
        </w:rPr>
      </w:pPr>
    </w:p>
    <w:p w14:paraId="76BADCF2" w14:textId="2294E2B3" w:rsidR="007A0B60" w:rsidRDefault="007A0B60" w:rsidP="00037CB8">
      <w:pPr>
        <w:pStyle w:val="NoSpacing"/>
        <w:rPr>
          <w:rFonts w:ascii="Arial Black" w:hAnsi="Arial Black"/>
          <w:sz w:val="24"/>
          <w:szCs w:val="24"/>
        </w:rPr>
      </w:pPr>
      <w:r>
        <w:rPr>
          <w:rFonts w:ascii="Arial Black" w:hAnsi="Arial Black"/>
          <w:sz w:val="24"/>
          <w:szCs w:val="24"/>
        </w:rPr>
        <w:t>1-205</w:t>
      </w:r>
    </w:p>
    <w:p w14:paraId="34826ACD" w14:textId="77777777" w:rsidR="007A0B60" w:rsidRDefault="007A0B60" w:rsidP="00037CB8">
      <w:pPr>
        <w:pStyle w:val="NoSpacing"/>
        <w:rPr>
          <w:rFonts w:ascii="Arial Black" w:hAnsi="Arial Black"/>
          <w:sz w:val="24"/>
          <w:szCs w:val="24"/>
        </w:rPr>
      </w:pPr>
    </w:p>
    <w:p w14:paraId="11A11520" w14:textId="77777777" w:rsidR="007A0B60" w:rsidRPr="007076A7" w:rsidRDefault="007A0B60" w:rsidP="007A0B60">
      <w:pPr>
        <w:pStyle w:val="NoSpacing"/>
        <w:rPr>
          <w:rFonts w:ascii="Arial Black" w:hAnsi="Arial Black"/>
          <w:b/>
          <w:sz w:val="28"/>
          <w:szCs w:val="28"/>
        </w:rPr>
      </w:pPr>
      <w:r>
        <w:rPr>
          <w:rFonts w:ascii="Arial Black" w:hAnsi="Arial Black"/>
          <w:b/>
          <w:sz w:val="28"/>
          <w:szCs w:val="28"/>
        </w:rPr>
        <w:t>CA: ARSON / MJ GROW IN BLDG / CITY KNEW - IMMUNITY</w:t>
      </w:r>
    </w:p>
    <w:p w14:paraId="6BB4154F" w14:textId="77777777" w:rsidR="007A0B60" w:rsidRDefault="007A0B60" w:rsidP="007A0B60">
      <w:pPr>
        <w:pStyle w:val="NoSpacing"/>
        <w:rPr>
          <w:bCs/>
        </w:rPr>
      </w:pPr>
    </w:p>
    <w:p w14:paraId="76A269BD" w14:textId="77777777" w:rsidR="007A0B60" w:rsidRPr="00867718" w:rsidRDefault="007A0B60" w:rsidP="007A0B60">
      <w:pPr>
        <w:pStyle w:val="NoSpacing"/>
      </w:pPr>
      <w:r>
        <w:t xml:space="preserve">On February 24, 2026, in </w:t>
      </w:r>
      <w:r w:rsidRPr="004C7E3E">
        <w:rPr>
          <w:u w:val="single"/>
        </w:rPr>
        <w:t xml:space="preserve">Pink </w:t>
      </w:r>
      <w:proofErr w:type="spellStart"/>
      <w:r w:rsidRPr="004C7E3E">
        <w:rPr>
          <w:u w:val="single"/>
        </w:rPr>
        <w:t>Selkin</w:t>
      </w:r>
      <w:proofErr w:type="spellEnd"/>
      <w:r w:rsidRPr="004C7E3E">
        <w:rPr>
          <w:u w:val="single"/>
        </w:rPr>
        <w:t>, et al. v. City of Los Angeles</w:t>
      </w:r>
      <w:r>
        <w:t xml:space="preserve">, the </w:t>
      </w:r>
      <w:r w:rsidRPr="004C7E3E">
        <w:t>California Court of Appeals, Second District, Fifth Division</w:t>
      </w:r>
      <w:r>
        <w:t xml:space="preserve"> held (3 to 0) that trial court properly dismissed the lawsuit be individuals living in the commercial building who were injured in the arson fire.  While police on prior occasions observed safety issues in the building, and </w:t>
      </w:r>
      <w:r w:rsidRPr="00E864A2">
        <w:t xml:space="preserve">the fire department received two customer service requests regarding an alleged marijuana grow operation at the property, </w:t>
      </w:r>
      <w:r>
        <w:t>which were forwarded t</w:t>
      </w:r>
      <w:r w:rsidRPr="00E864A2">
        <w:t>o the Los Angeles Department of Building and Safety (DBS)</w:t>
      </w:r>
      <w:r>
        <w:t xml:space="preserve">, there is governmental immunity for the </w:t>
      </w:r>
      <w:r w:rsidRPr="00F126CC">
        <w:t>City of Los Angeles under the Government Claims Act under section 815.6, based on its failure to carry out a mandatory duty to abate obvious building and safety code violations.</w:t>
      </w:r>
      <w:r>
        <w:t xml:space="preserve">  </w:t>
      </w:r>
      <w:hyperlink r:id="rId50" w:history="1">
        <w:r w:rsidRPr="00867718">
          <w:rPr>
            <w:rStyle w:val="Hyperlink"/>
          </w:rPr>
          <w:t>https://public.fastcase.com/Jhe1Qn%2BmJndQYQU6z%2FeNm57E189vmSMp%2BOS67ay8wFWitKPcCGY4GMdxJS93bY4IOZ1rR%2BpqLAwnmO1MhhKsFw8mOzyCAgo2oZ0ZZPsNViU%3D?utm_medium=email&amp;_hsenc=p2ANqtz-_RDDEsF8WYWrAIUyd_V4g0U3Z9WIVpc4wUXBmJG03XH_ukvjIDW01jf2KlbNNNJy_jYwJIbAOIzBm1vMJk5QjVjhiSog&amp;_hsmi=226712652&amp;utm_content=226712652&amp;utm_source=hs_email</w:t>
        </w:r>
      </w:hyperlink>
      <w:r w:rsidRPr="00867718">
        <w:t xml:space="preserve"> </w:t>
      </w:r>
    </w:p>
    <w:p w14:paraId="4FBF632E" w14:textId="77777777" w:rsidR="007A0B60" w:rsidRDefault="007A0B60" w:rsidP="007A0B60">
      <w:pPr>
        <w:pStyle w:val="NoSpacing"/>
      </w:pPr>
    </w:p>
    <w:p w14:paraId="7C4CCEB9" w14:textId="77777777" w:rsidR="007A0B60" w:rsidRPr="00E864A2" w:rsidRDefault="007A0B60" w:rsidP="007A0B60">
      <w:pPr>
        <w:pStyle w:val="NoSpacing"/>
      </w:pPr>
      <w:r>
        <w:t>THE COURT HELD: “</w:t>
      </w:r>
      <w:r w:rsidRPr="009913E2">
        <w:t xml:space="preserve">This case arises from an arson fire at a commercial building in Los Angeles which killed two individuals. The survivors of the deceased filed several suits against the </w:t>
      </w:r>
      <w:proofErr w:type="gramStart"/>
      <w:r w:rsidRPr="009913E2">
        <w:t>City</w:t>
      </w:r>
      <w:proofErr w:type="gramEnd"/>
      <w:r w:rsidRPr="009913E2">
        <w:t xml:space="preserve">. Pink </w:t>
      </w:r>
      <w:proofErr w:type="spellStart"/>
      <w:r w:rsidRPr="009913E2">
        <w:t>Selkin</w:t>
      </w:r>
      <w:proofErr w:type="spellEnd"/>
      <w:r w:rsidRPr="009913E2">
        <w:t xml:space="preserve">, who was also trapped in the fire and survived, filed a separate suit, seeking damages for her permanent injuries, including severe burns over more than three-quarters of her body. </w:t>
      </w:r>
      <w:r>
        <w:t xml:space="preserve"> </w:t>
      </w:r>
      <w:r w:rsidRPr="009913E2">
        <w:t>Plaintiffs' theory of liability is that because City employees had actual knowledge of obvious fire safety hazards, the City had a mandatory duty to ensure that the substandard conditions were addressed, and because the City's knowledge was not in any way related to a building inspection, the inspection immunity statute does not protect the City from liability for its failure to fulfill its mandatory duties</w:t>
      </w:r>
      <w:r>
        <w:t xml:space="preserve">…. </w:t>
      </w:r>
      <w:r w:rsidRPr="00E864A2">
        <w:t>A</w:t>
      </w:r>
      <w:r>
        <w:t xml:space="preserve"> </w:t>
      </w:r>
      <w:r w:rsidRPr="00E864A2">
        <w:t xml:space="preserve"> DBS </w:t>
      </w:r>
      <w:r>
        <w:t>[</w:t>
      </w:r>
      <w:r w:rsidRPr="00E864A2">
        <w:t>Department of Building and Safety</w:t>
      </w:r>
      <w:r>
        <w:t>]</w:t>
      </w:r>
      <w:r w:rsidRPr="00E864A2">
        <w:t xml:space="preserve"> staff member testified that DBS is not trained in matters concerning unlawful growing of marijuana, however, and therefore DBS forwarded the requests to the police department.</w:t>
      </w:r>
      <w:r w:rsidRPr="00E864A2">
        <w:rPr>
          <w:vertAlign w:val="superscript"/>
        </w:rPr>
        <w:t>[</w:t>
      </w:r>
      <w:hyperlink r:id="rId51" w:anchor="ftn.FN3" w:history="1">
        <w:r w:rsidRPr="00E864A2">
          <w:rPr>
            <w:rStyle w:val="Hyperlink"/>
            <w:vertAlign w:val="superscript"/>
          </w:rPr>
          <w:t>3</w:t>
        </w:r>
      </w:hyperlink>
      <w:r w:rsidRPr="00E864A2">
        <w:rPr>
          <w:vertAlign w:val="superscript"/>
        </w:rPr>
        <w:t>]</w:t>
      </w:r>
    </w:p>
    <w:p w14:paraId="29A38871" w14:textId="77777777" w:rsidR="007A0B60" w:rsidRDefault="007A0B60" w:rsidP="007A0B60">
      <w:pPr>
        <w:pStyle w:val="NoSpacing"/>
      </w:pPr>
    </w:p>
    <w:p w14:paraId="01B62CFF" w14:textId="77777777" w:rsidR="007A0B60" w:rsidRDefault="007A0B60" w:rsidP="007A0B60">
      <w:pPr>
        <w:pStyle w:val="NoSpacing"/>
        <w:ind w:left="720"/>
        <w:rPr>
          <w:bCs/>
        </w:rPr>
      </w:pPr>
      <w:r>
        <w:t xml:space="preserve">Footnote 3: </w:t>
      </w:r>
      <w:r w:rsidRPr="00545AD8">
        <w:t>Based upon the appellate briefing and the trial court's minute order, we understand that no party presented evidence that any DBS personnel inspected the property or personally observed any substandard conditions of the property.</w:t>
      </w:r>
    </w:p>
    <w:p w14:paraId="44E8F33A" w14:textId="77777777" w:rsidR="007A0B60" w:rsidRDefault="007A0B60" w:rsidP="007A0B60">
      <w:pPr>
        <w:pStyle w:val="NoSpacing"/>
      </w:pPr>
    </w:p>
    <w:p w14:paraId="37C7C194" w14:textId="77777777" w:rsidR="007A0B60" w:rsidRDefault="007A0B60" w:rsidP="007A0B60">
      <w:pPr>
        <w:pStyle w:val="NoSpacing"/>
      </w:pPr>
      <w:r w:rsidRPr="00BB5BC7">
        <w:t xml:space="preserve">However, </w:t>
      </w:r>
      <w:r>
        <w:t xml:space="preserve">[Government Code] </w:t>
      </w:r>
      <w:r w:rsidRPr="00BB5BC7">
        <w:t xml:space="preserve">section 818.6 provides a specific statutory immunity for inspections: </w:t>
      </w:r>
      <w:r>
        <w:t>‘</w:t>
      </w:r>
      <w:r w:rsidRPr="00BB5BC7">
        <w:t>A public entity is not liable for injury caused by its failure to make an inspection, or by reason of making an inadequate or negligent inspection . . . for the purpose of determining whether the property complies with or violates any enactment or contains or constitutes a hazard to health or safety.</w:t>
      </w:r>
      <w:r>
        <w:t>’”</w:t>
      </w:r>
    </w:p>
    <w:p w14:paraId="055A1C84" w14:textId="77777777" w:rsidR="007A0B60" w:rsidRDefault="007A0B60" w:rsidP="007A0B60">
      <w:pPr>
        <w:pStyle w:val="NoSpacing"/>
      </w:pPr>
    </w:p>
    <w:p w14:paraId="6D04ADF2" w14:textId="77777777" w:rsidR="007A0B60" w:rsidRPr="00CC7E78" w:rsidRDefault="007A0B60" w:rsidP="007A0B60">
      <w:pPr>
        <w:pStyle w:val="NoSpacing"/>
        <w:rPr>
          <w:b/>
          <w:bCs/>
        </w:rPr>
      </w:pPr>
      <w:r>
        <w:rPr>
          <w:b/>
        </w:rPr>
        <w:t xml:space="preserve">Legal lesson learned: There is broad statutory immunity for failure to inspect, or apparently also for failure to follow up.  </w:t>
      </w:r>
      <w:r w:rsidRPr="00CC7E78">
        <w:rPr>
          <w:b/>
        </w:rPr>
        <w:t xml:space="preserve">LA’s </w:t>
      </w:r>
      <w:r w:rsidRPr="00E864A2">
        <w:rPr>
          <w:b/>
        </w:rPr>
        <w:t>Department of Building and Safety</w:t>
      </w:r>
      <w:r>
        <w:rPr>
          <w:b/>
        </w:rPr>
        <w:t xml:space="preserve"> needs a protocol on handling calls for marijuana growth operations in buildings. </w:t>
      </w:r>
    </w:p>
    <w:p w14:paraId="67920D61" w14:textId="77777777" w:rsidR="007A0B60" w:rsidRDefault="007A0B60" w:rsidP="007A0B60">
      <w:pPr>
        <w:pStyle w:val="NoSpacing"/>
      </w:pPr>
    </w:p>
    <w:p w14:paraId="07D8EE6A" w14:textId="77777777" w:rsidR="007A0B60" w:rsidRDefault="007A0B60" w:rsidP="00037CB8">
      <w:pPr>
        <w:pStyle w:val="NoSpacing"/>
        <w:rPr>
          <w:rFonts w:ascii="Arial Black" w:hAnsi="Arial Black"/>
          <w:sz w:val="24"/>
          <w:szCs w:val="24"/>
        </w:rPr>
      </w:pPr>
    </w:p>
    <w:p w14:paraId="3A992096" w14:textId="77777777" w:rsidR="00E5401A" w:rsidRDefault="00E5401A" w:rsidP="00037CB8">
      <w:pPr>
        <w:pStyle w:val="NoSpacing"/>
        <w:rPr>
          <w:rFonts w:ascii="Arial Black" w:hAnsi="Arial Black"/>
          <w:sz w:val="24"/>
          <w:szCs w:val="24"/>
        </w:rPr>
      </w:pPr>
    </w:p>
    <w:p w14:paraId="22D9E2B8" w14:textId="664D3078" w:rsidR="00E5401A" w:rsidRDefault="00E5401A" w:rsidP="00037CB8">
      <w:pPr>
        <w:pStyle w:val="NoSpacing"/>
        <w:rPr>
          <w:rFonts w:ascii="Arial Black" w:hAnsi="Arial Black"/>
          <w:sz w:val="24"/>
          <w:szCs w:val="24"/>
        </w:rPr>
      </w:pPr>
      <w:r>
        <w:rPr>
          <w:rFonts w:ascii="Arial Black" w:hAnsi="Arial Black"/>
          <w:sz w:val="24"/>
          <w:szCs w:val="24"/>
        </w:rPr>
        <w:t>1-20</w:t>
      </w:r>
      <w:r w:rsidR="00345B75">
        <w:rPr>
          <w:rFonts w:ascii="Arial Black" w:hAnsi="Arial Black"/>
          <w:sz w:val="24"/>
          <w:szCs w:val="24"/>
        </w:rPr>
        <w:t>4</w:t>
      </w:r>
    </w:p>
    <w:p w14:paraId="2CF5CB94" w14:textId="77777777" w:rsidR="00345B75" w:rsidRDefault="00345B75" w:rsidP="00037CB8">
      <w:pPr>
        <w:pStyle w:val="NoSpacing"/>
        <w:rPr>
          <w:rFonts w:ascii="Arial Black" w:hAnsi="Arial Black"/>
          <w:sz w:val="24"/>
          <w:szCs w:val="24"/>
        </w:rPr>
      </w:pPr>
    </w:p>
    <w:p w14:paraId="7D6B2F26" w14:textId="77777777" w:rsidR="00345B75" w:rsidRDefault="00345B75" w:rsidP="00345B75">
      <w:pPr>
        <w:pStyle w:val="NoSpacing"/>
        <w:rPr>
          <w:rFonts w:ascii="Arial Black" w:hAnsi="Arial Black"/>
          <w:bCs/>
          <w:sz w:val="28"/>
          <w:szCs w:val="28"/>
        </w:rPr>
      </w:pPr>
      <w:r>
        <w:rPr>
          <w:rFonts w:ascii="Arial Black" w:hAnsi="Arial Black"/>
          <w:sz w:val="28"/>
          <w:szCs w:val="28"/>
        </w:rPr>
        <w:t>CA: ARSON FOREST - DROUGHT / “BEETLE” – RE-SENTENCE</w:t>
      </w:r>
    </w:p>
    <w:p w14:paraId="13FCCB3B" w14:textId="77777777" w:rsidR="00345B75" w:rsidRDefault="00345B75" w:rsidP="00345B75">
      <w:pPr>
        <w:pStyle w:val="NoSpacing"/>
        <w:rPr>
          <w:rFonts w:ascii="Arial Black" w:hAnsi="Arial Black"/>
          <w:bCs/>
          <w:sz w:val="28"/>
          <w:szCs w:val="28"/>
        </w:rPr>
      </w:pPr>
    </w:p>
    <w:p w14:paraId="640D44D0" w14:textId="77777777" w:rsidR="00345B75" w:rsidRDefault="00345B75" w:rsidP="00345B75">
      <w:pPr>
        <w:pStyle w:val="NoSpacing"/>
      </w:pPr>
      <w:r>
        <w:t xml:space="preserve">On February 17, 2026, in </w:t>
      </w:r>
      <w:r w:rsidRPr="00731068">
        <w:rPr>
          <w:u w:val="single"/>
        </w:rPr>
        <w:t>The People v. Derek J. Gutierrez</w:t>
      </w:r>
      <w:r>
        <w:t xml:space="preserve">, the California </w:t>
      </w:r>
      <w:r w:rsidRPr="00731068">
        <w:t>Court of Appeal, Fourth District, Division 1</w:t>
      </w:r>
      <w:r>
        <w:t xml:space="preserve"> held (3 to 0) that the trial court must resentence him; he received an enhanced prison term for setting fire to a forest during a declared state of emergency (drought caused beetle infestation filling millions of trees). </w:t>
      </w:r>
      <w:r w:rsidRPr="00CE6B93">
        <w:t xml:space="preserve">A jury convicted him of felony arson of forest land and found </w:t>
      </w:r>
      <w:proofErr w:type="gramStart"/>
      <w:r w:rsidRPr="00CE6B93">
        <w:t>true a</w:t>
      </w:r>
      <w:proofErr w:type="gramEnd"/>
      <w:r w:rsidRPr="00CE6B93">
        <w:t xml:space="preserve"> sentencing enhancement allegation that he set the fire "during and within an area" proclaimed by the Governor to be in a state of emergency. (Pen. Code, § 454, subd. (a)(2).) The enhancement elevates the sentencing triad for this type of arson by five, seven, or nine years.</w:t>
      </w:r>
      <w:r>
        <w:t xml:space="preserve"> However, the prosecutor failed to prove to the jury that the 2015 </w:t>
      </w:r>
      <w:r w:rsidRPr="00290677">
        <w:t xml:space="preserve">state of emergency </w:t>
      </w:r>
      <w:r>
        <w:t xml:space="preserve">applied to Riverside County when in December 2023 </w:t>
      </w:r>
      <w:r w:rsidRPr="003E03D1">
        <w:t>Derek J. Gutierrez was arrested for setting a fire</w:t>
      </w:r>
      <w:r>
        <w:t xml:space="preserve">.  </w:t>
      </w:r>
      <w:hyperlink r:id="rId52" w:history="1">
        <w:r w:rsidRPr="00125CD1">
          <w:rPr>
            <w:rStyle w:val="Hyperlink"/>
          </w:rPr>
          <w:t>https://www.casemine.com/judgement/us/6995c147d22bd43f3d89db5b</w:t>
        </w:r>
      </w:hyperlink>
      <w:r>
        <w:t xml:space="preserve"> </w:t>
      </w:r>
    </w:p>
    <w:p w14:paraId="6C15CA1C" w14:textId="77777777" w:rsidR="00345B75" w:rsidRDefault="00345B75" w:rsidP="00345B75">
      <w:pPr>
        <w:pStyle w:val="NoSpacing"/>
      </w:pPr>
    </w:p>
    <w:p w14:paraId="1AF77941" w14:textId="77777777" w:rsidR="00345B75" w:rsidRDefault="00345B75" w:rsidP="00345B75">
      <w:pPr>
        <w:pStyle w:val="NoSpacing"/>
      </w:pPr>
      <w:r>
        <w:t>THE COURT HELD:  “</w:t>
      </w:r>
      <w:r w:rsidRPr="003F7FB0">
        <w:t xml:space="preserve">On December 9, 2023, around 6:30 a.m., </w:t>
      </w:r>
      <w:r>
        <w:t xml:space="preserve">[property owner] </w:t>
      </w:r>
      <w:r w:rsidRPr="003F7FB0">
        <w:t xml:space="preserve">Jorge heard </w:t>
      </w:r>
      <w:r>
        <w:t>‘</w:t>
      </w:r>
      <w:r w:rsidRPr="003F7FB0">
        <w:t>yelling and screaming</w:t>
      </w:r>
      <w:r>
        <w:t>’</w:t>
      </w:r>
      <w:r w:rsidRPr="003F7FB0">
        <w:t xml:space="preserve"> outside. He drove up the hill to investigate. He stopped the truck near some bushes about halfway between his house and the mountains.</w:t>
      </w:r>
      <w:r>
        <w:t xml:space="preserve"> </w:t>
      </w:r>
      <w:r w:rsidRPr="007E21E1">
        <w:t>Gutierrez came out of the bushes wearing a backpack. He was about 100 or 200 feet from Jorge. Jorge recognized him because, about a year earlier, he had seen the owner of the property tell Gutierrez to leave the property and never come back.</w:t>
      </w:r>
      <w:r>
        <w:t xml:space="preserve"> </w:t>
      </w:r>
      <w:r w:rsidRPr="007E21E1">
        <w:t xml:space="preserve">Jorge asked Gutierrez what he was doing, and Gutierrez asked him for a beer. Jorge took a photograph of Gutierrez and told him he had no beer. Gutierrez went back into the bushes, and Jorge could no longer see him. A few minutes later, Jorge saw smoke coming from the bushes. He called the property owner, then 911. While Jorge was on the phone reporting the smoke to the 911 dispatcher, Gutierrez began walking down the hill while </w:t>
      </w:r>
      <w:r>
        <w:t>‘</w:t>
      </w:r>
      <w:proofErr w:type="gramStart"/>
      <w:r w:rsidRPr="007E21E1">
        <w:t>yelling, and</w:t>
      </w:r>
      <w:proofErr w:type="gramEnd"/>
      <w:r w:rsidRPr="007E21E1">
        <w:t xml:space="preserve"> saying something.</w:t>
      </w:r>
      <w:r>
        <w:t xml:space="preserve">’ </w:t>
      </w:r>
      <w:r w:rsidRPr="00C17AFF">
        <w:t>Firefighters from the Riverside County Fire Department arrived within 15 to 20 minutes. A fire captain noticed smoke as he approached. He saw a person standing near the location of the smoke. The person started walking down the hill through the forest toward Lakeland Village. The captain later identified the person as Gutierrez</w:t>
      </w:r>
      <w:r>
        <w:t xml:space="preserve">…. </w:t>
      </w:r>
      <w:r w:rsidRPr="003463CD">
        <w:t>The fire investigator headed back to where he had seen Gutierrez and found him walking on Grand Avenue about a mile from the location of the fire. He arrested him and patted him down for weapons. According to the investigator, Gutierrez physically resisted when he tried to handcuff him. The investigator called for backup and eventually managed to place Gutierrez in the back of his CAL FIRE truck.</w:t>
      </w:r>
      <w:r>
        <w:t xml:space="preserve"> </w:t>
      </w:r>
      <w:r w:rsidRPr="0024559A">
        <w:t xml:space="preserve">The fire investigator found two lighters in Gutierrez's pocket and three lighters in his backpack and grocery bag. One of the lighters was a "small butane lighter" that was out of fuel. </w:t>
      </w:r>
      <w:r>
        <w:t xml:space="preserve">*** </w:t>
      </w:r>
      <w:r w:rsidRPr="000F17F2">
        <w:t>We agree with Gutierrez that this language in the proclamation does not declare a statewide state of emergency, but rather expressly limits the state of emergency to areas and zones of the state that were yet to be identified. Because the proclamation did not extend statewide, the People failed to prove Gutierrez committed arson during and within an area in a state of emergency.</w:t>
      </w:r>
      <w:r>
        <w:t>”</w:t>
      </w:r>
    </w:p>
    <w:p w14:paraId="22F36771" w14:textId="77777777" w:rsidR="00345B75" w:rsidRDefault="00345B75" w:rsidP="00345B75">
      <w:pPr>
        <w:pStyle w:val="NoSpacing"/>
      </w:pPr>
    </w:p>
    <w:p w14:paraId="5EB268CB" w14:textId="6ED40FB2" w:rsidR="00345B75" w:rsidRDefault="00345B75" w:rsidP="00345B75">
      <w:pPr>
        <w:pStyle w:val="NoSpacing"/>
        <w:rPr>
          <w:rFonts w:ascii="Arial Black" w:hAnsi="Arial Black"/>
          <w:sz w:val="24"/>
          <w:szCs w:val="24"/>
        </w:rPr>
      </w:pPr>
      <w:r w:rsidRPr="001C250F">
        <w:rPr>
          <w:b/>
        </w:rPr>
        <w:t xml:space="preserve">Legal lesson learned: </w:t>
      </w:r>
      <w:r>
        <w:rPr>
          <w:b/>
        </w:rPr>
        <w:t>The defendant remains convicted of arson but must be re-sentenced</w:t>
      </w:r>
    </w:p>
    <w:p w14:paraId="28F3464D" w14:textId="77777777" w:rsidR="007A0B60" w:rsidRDefault="007A0B60" w:rsidP="00037CB8">
      <w:pPr>
        <w:pStyle w:val="NoSpacing"/>
        <w:rPr>
          <w:rFonts w:ascii="Arial Black" w:hAnsi="Arial Black"/>
          <w:sz w:val="24"/>
          <w:szCs w:val="24"/>
        </w:rPr>
      </w:pPr>
    </w:p>
    <w:p w14:paraId="0D27CD36" w14:textId="77777777" w:rsidR="007A0B60" w:rsidRDefault="007A0B60" w:rsidP="00037CB8">
      <w:pPr>
        <w:pStyle w:val="NoSpacing"/>
        <w:rPr>
          <w:rFonts w:ascii="Arial Black" w:hAnsi="Arial Black"/>
          <w:sz w:val="24"/>
          <w:szCs w:val="24"/>
        </w:rPr>
      </w:pPr>
    </w:p>
    <w:p w14:paraId="33FCA000" w14:textId="77777777" w:rsidR="007A0B60" w:rsidRDefault="007A0B60" w:rsidP="00037CB8">
      <w:pPr>
        <w:pStyle w:val="NoSpacing"/>
        <w:rPr>
          <w:rFonts w:ascii="Arial Black" w:hAnsi="Arial Black"/>
          <w:sz w:val="24"/>
          <w:szCs w:val="24"/>
        </w:rPr>
      </w:pPr>
    </w:p>
    <w:p w14:paraId="090EEFB9" w14:textId="77777777" w:rsidR="007A0B60" w:rsidRDefault="007A0B60" w:rsidP="00037CB8">
      <w:pPr>
        <w:pStyle w:val="NoSpacing"/>
        <w:rPr>
          <w:rFonts w:ascii="Arial Black" w:hAnsi="Arial Black"/>
          <w:sz w:val="24"/>
          <w:szCs w:val="24"/>
        </w:rPr>
      </w:pPr>
    </w:p>
    <w:p w14:paraId="6D66EA1B" w14:textId="77777777" w:rsidR="007A0B60" w:rsidRDefault="007A0B60" w:rsidP="00037CB8">
      <w:pPr>
        <w:pStyle w:val="NoSpacing"/>
        <w:rPr>
          <w:rFonts w:ascii="Arial Black" w:hAnsi="Arial Black"/>
          <w:sz w:val="24"/>
          <w:szCs w:val="24"/>
        </w:rPr>
      </w:pPr>
    </w:p>
    <w:p w14:paraId="7122DA9F" w14:textId="1D0F4215" w:rsidR="00D035D9" w:rsidRDefault="00C137EF" w:rsidP="00037CB8">
      <w:pPr>
        <w:pStyle w:val="NoSpacing"/>
        <w:rPr>
          <w:rFonts w:ascii="Arial Black" w:hAnsi="Arial Black"/>
          <w:sz w:val="24"/>
          <w:szCs w:val="24"/>
        </w:rPr>
      </w:pPr>
      <w:r>
        <w:rPr>
          <w:rFonts w:ascii="Arial Black" w:hAnsi="Arial Black"/>
          <w:sz w:val="24"/>
          <w:szCs w:val="24"/>
        </w:rPr>
        <w:t>1-20</w:t>
      </w:r>
      <w:r w:rsidR="0015512D">
        <w:rPr>
          <w:rFonts w:ascii="Arial Black" w:hAnsi="Arial Black"/>
          <w:sz w:val="24"/>
          <w:szCs w:val="24"/>
        </w:rPr>
        <w:t>3</w:t>
      </w:r>
    </w:p>
    <w:p w14:paraId="65FBB331" w14:textId="77777777" w:rsidR="00C137EF" w:rsidRDefault="00C137EF" w:rsidP="00037CB8">
      <w:pPr>
        <w:pStyle w:val="NoSpacing"/>
        <w:rPr>
          <w:rFonts w:ascii="Arial Black" w:hAnsi="Arial Black"/>
          <w:sz w:val="24"/>
          <w:szCs w:val="24"/>
        </w:rPr>
      </w:pPr>
    </w:p>
    <w:p w14:paraId="12E90B59" w14:textId="77777777" w:rsidR="00C137EF" w:rsidRPr="005E65E1" w:rsidRDefault="00C137EF" w:rsidP="00C137EF">
      <w:pPr>
        <w:pStyle w:val="NoSpacing"/>
        <w:rPr>
          <w:rFonts w:ascii="Arial Black" w:hAnsi="Arial Black"/>
          <w:sz w:val="28"/>
          <w:szCs w:val="28"/>
        </w:rPr>
      </w:pPr>
      <w:r>
        <w:rPr>
          <w:rFonts w:ascii="Arial Black" w:hAnsi="Arial Black"/>
          <w:sz w:val="28"/>
          <w:szCs w:val="28"/>
        </w:rPr>
        <w:t>U.S. SUP CT: MED. EMERG - PD ENTER HOME W/O WARRANT</w:t>
      </w:r>
    </w:p>
    <w:p w14:paraId="116517CC" w14:textId="77777777" w:rsidR="00C137EF" w:rsidRDefault="00C137EF" w:rsidP="00C137EF">
      <w:pPr>
        <w:pStyle w:val="NoSpacing"/>
      </w:pPr>
    </w:p>
    <w:p w14:paraId="6E4EA501" w14:textId="77777777" w:rsidR="00C137EF" w:rsidRDefault="00C137EF" w:rsidP="00C137EF">
      <w:pPr>
        <w:pStyle w:val="NoSpacing"/>
      </w:pPr>
      <w:r>
        <w:t xml:space="preserve">On Jan. 14, 2026, in </w:t>
      </w:r>
      <w:r w:rsidRPr="00860758">
        <w:rPr>
          <w:u w:val="single"/>
        </w:rPr>
        <w:t>William Trevor Case v. Montana</w:t>
      </w:r>
      <w:r>
        <w:t xml:space="preserve">, the Supreme Court of the United States held (9 to 0) that “In Brigham City v. Stuart, 547 U. S. 398, 400 (2006), this Court held that police officers may enter a home without a warrant if they have an “objectively reasonable basis for believing” that someone inside needs emergency assistance.  In 2006, the Court in  </w:t>
      </w:r>
      <w:r w:rsidRPr="001249E8">
        <w:t>Brigham City v. Stuart, 547 U. S. 398, 403 (2006)</w:t>
      </w:r>
      <w:r>
        <w:t xml:space="preserve">, held that police ca enter home to break up </w:t>
      </w:r>
      <w:proofErr w:type="gramStart"/>
      <w:r>
        <w:t>an ongoing</w:t>
      </w:r>
      <w:proofErr w:type="gramEnd"/>
    </w:p>
    <w:p w14:paraId="5A1D0488" w14:textId="77777777" w:rsidR="00C137EF" w:rsidRDefault="00C137EF" w:rsidP="00C137EF">
      <w:pPr>
        <w:pStyle w:val="NoSpacing"/>
      </w:pPr>
      <w:r>
        <w:t xml:space="preserve">fight to protect a person.  </w:t>
      </w:r>
      <w:r w:rsidRPr="00D74B75">
        <w:t>In September 2021, law enforcement officers in Anaconda, Montana, entered the home of William Trevor Case after his ex-girlfriend reported he had threatened suicide, was acting erratically and may have fired a gun.</w:t>
      </w:r>
      <w:r>
        <w:t xml:space="preserve"> Police found him hiding behind a closet curtain holding dark object (he recovered) and found his gun; the trial court judge denied his motion to suppress the gun (police didn’t need “probable cause” to enter house), and he was convicted by jury of assaulting a police officer. U.S. Supreme Court Justice </w:t>
      </w:r>
      <w:r w:rsidRPr="00C4737C">
        <w:t>Elena Kagan</w:t>
      </w:r>
      <w:r>
        <w:t xml:space="preserve"> wrote the opinion: “The question in this presented is whether that standard means that officers must have ‘probable cause’ for the intrusion, as they typically would when investigating a crime. We </w:t>
      </w:r>
      <w:proofErr w:type="gramStart"/>
      <w:r>
        <w:t>hold it does not.”</w:t>
      </w:r>
      <w:proofErr w:type="gramEnd"/>
      <w:r>
        <w:t xml:space="preserve"> </w:t>
      </w:r>
      <w:hyperlink r:id="rId53" w:history="1">
        <w:r w:rsidRPr="00815351">
          <w:rPr>
            <w:rStyle w:val="Hyperlink"/>
          </w:rPr>
          <w:t>https://www.supremecourt.gov/opinions/25pdf/24-624_b07d.pdf</w:t>
        </w:r>
      </w:hyperlink>
      <w:r>
        <w:t xml:space="preserve"> </w:t>
      </w:r>
    </w:p>
    <w:p w14:paraId="2643C846" w14:textId="77777777" w:rsidR="00C137EF" w:rsidRDefault="00C137EF" w:rsidP="00C137EF">
      <w:pPr>
        <w:pStyle w:val="NoSpacing"/>
      </w:pPr>
    </w:p>
    <w:p w14:paraId="1166EA5E" w14:textId="77777777" w:rsidR="00C137EF" w:rsidRDefault="00C137EF" w:rsidP="00C137EF">
      <w:pPr>
        <w:pStyle w:val="NoSpacing"/>
      </w:pPr>
      <w:r>
        <w:t>THE COURT HELD:</w:t>
      </w:r>
    </w:p>
    <w:p w14:paraId="3439CFD2" w14:textId="77777777" w:rsidR="00C137EF" w:rsidRDefault="00C137EF" w:rsidP="00C137EF">
      <w:pPr>
        <w:pStyle w:val="NoSpacing"/>
      </w:pPr>
    </w:p>
    <w:p w14:paraId="28E6838E" w14:textId="77777777" w:rsidR="00C137EF" w:rsidRDefault="00C137EF" w:rsidP="00C137EF">
      <w:pPr>
        <w:pStyle w:val="NoSpacing"/>
        <w:ind w:left="720"/>
      </w:pPr>
      <w:r>
        <w:t>“This case began with an alarming phone call—from petitioner William Case to his ex-girlfriend J. H., both residents of a small town in Montana. Case told J. H. on the call that</w:t>
      </w:r>
    </w:p>
    <w:p w14:paraId="2E51B761" w14:textId="77777777" w:rsidR="00C137EF" w:rsidRDefault="00C137EF" w:rsidP="00C137EF">
      <w:pPr>
        <w:pStyle w:val="NoSpacing"/>
        <w:ind w:left="720"/>
      </w:pPr>
      <w:r>
        <w:t>‘</w:t>
      </w:r>
      <w:proofErr w:type="gramStart"/>
      <w:r>
        <w:t>he</w:t>
      </w:r>
      <w:proofErr w:type="gramEnd"/>
      <w:r>
        <w:t xml:space="preserve"> was going to kill himself.”’ … Because Case sounded ‘erratic,’ J. H. assumed he had been drinking…. She tried to talk Case out of committing suicide, but ‘couldn’t reel him back’: With each passing moment, Case ‘became more methodical about what he was</w:t>
      </w:r>
    </w:p>
    <w:p w14:paraId="0FF4C115" w14:textId="77777777" w:rsidR="00C137EF" w:rsidRDefault="00C137EF" w:rsidP="00C137EF">
      <w:pPr>
        <w:pStyle w:val="NoSpacing"/>
        <w:ind w:left="720"/>
      </w:pPr>
      <w:r>
        <w:t>going to do.’ … Case said that he was ‘going to get a note’—presumably meaning a suicide note, for J. H. or others to find…. And then J. H. heard a ‘clicking’ sound, like the ‘cock[</w:t>
      </w:r>
      <w:proofErr w:type="spellStart"/>
      <w:r>
        <w:t>ing</w:t>
      </w:r>
      <w:proofErr w:type="spellEnd"/>
      <w:r>
        <w:t xml:space="preserve"> of] a gun.’ … J. H. told Case she was going to call the police, but that seemed only to antagonize him: Case </w:t>
      </w:r>
      <w:proofErr w:type="gramStart"/>
      <w:r>
        <w:t>replied</w:t>
      </w:r>
      <w:proofErr w:type="gramEnd"/>
      <w:r>
        <w:t xml:space="preserve"> ‘he would shoot them all too.”… Finally, J. H. heard ‘a pop’ followed by ‘nothing’—'just dead air.’ … She ‘yelled [Case’s] name a few</w:t>
      </w:r>
    </w:p>
    <w:p w14:paraId="3BA008FD" w14:textId="77777777" w:rsidR="00C137EF" w:rsidRDefault="00C137EF" w:rsidP="00C137EF">
      <w:pPr>
        <w:pStyle w:val="NoSpacing"/>
        <w:ind w:left="720"/>
      </w:pPr>
      <w:r>
        <w:t xml:space="preserve">times,’ but got no response, leading her to think he had ‘pulled the trigger.’ … </w:t>
      </w:r>
      <w:proofErr w:type="gramStart"/>
      <w:r>
        <w:t>So</w:t>
      </w:r>
      <w:proofErr w:type="gramEnd"/>
      <w:r>
        <w:t xml:space="preserve"> she called 9–1–1 to report the incident and drove as fast as she could to Case’s home.</w:t>
      </w:r>
    </w:p>
    <w:p w14:paraId="05859AE5" w14:textId="77777777" w:rsidR="00C137EF" w:rsidRDefault="00C137EF" w:rsidP="00C137EF">
      <w:pPr>
        <w:pStyle w:val="NoSpacing"/>
        <w:ind w:left="720"/>
      </w:pPr>
    </w:p>
    <w:p w14:paraId="7193F384" w14:textId="77777777" w:rsidR="00C137EF" w:rsidRDefault="00C137EF" w:rsidP="00C137EF">
      <w:pPr>
        <w:pStyle w:val="NoSpacing"/>
        <w:ind w:left="720"/>
      </w:pPr>
      <w:r>
        <w:t>***</w:t>
      </w:r>
    </w:p>
    <w:p w14:paraId="53F21539" w14:textId="77777777" w:rsidR="00C137EF" w:rsidRDefault="00C137EF" w:rsidP="00C137EF">
      <w:pPr>
        <w:pStyle w:val="NoSpacing"/>
        <w:ind w:left="720"/>
      </w:pPr>
      <w:r>
        <w:t xml:space="preserve">Once the [Police] chief came, the officers conferred and decided to enter the house ‘to render emergency aid.’ … In the best-case scenario, they hoped to ‘talk [Case] down’ and prevent any injury…. But given J. H.’s account, the officers considered </w:t>
      </w:r>
      <w:proofErr w:type="gramStart"/>
      <w:r>
        <w:t>as well another possibility</w:t>
      </w:r>
      <w:proofErr w:type="gramEnd"/>
      <w:r>
        <w:t xml:space="preserve">—that Case had already shot himself and might be ‘in </w:t>
      </w:r>
      <w:proofErr w:type="gramStart"/>
      <w:r>
        <w:t>there</w:t>
      </w:r>
      <w:proofErr w:type="gramEnd"/>
      <w:r>
        <w:t xml:space="preserve"> bleeding.’ … At the same time, they worried that if Case remained unharmed, their entry could spark a confrontation…. </w:t>
      </w:r>
      <w:proofErr w:type="gramStart"/>
      <w:r>
        <w:t>So</w:t>
      </w:r>
      <w:proofErr w:type="gramEnd"/>
      <w:r>
        <w:t xml:space="preserve"> they equipped themselves with long-barrel guns and a ballistic shield before going in. The officers entered the house through the front door, about 40 minutes after they first arrived. They announced themselves </w:t>
      </w:r>
      <w:proofErr w:type="gramStart"/>
      <w:r>
        <w:t>loudly, and</w:t>
      </w:r>
      <w:proofErr w:type="gramEnd"/>
      <w:r>
        <w:t xml:space="preserve"> continued to call out as they walked through the home. Case did not answer; he was hiding in the closet of a bedroom upstairs. When one of the officers entered that room, Case threw open the closet curtain and appeared from behind it, holding ‘a black object’ which looked like a gun…. Fearing that he was about to be shot, the officer fired his own rifle. The bullet hit Case</w:t>
      </w:r>
    </w:p>
    <w:p w14:paraId="092518BB" w14:textId="77777777" w:rsidR="00C137EF" w:rsidRDefault="00C137EF" w:rsidP="00C137EF">
      <w:pPr>
        <w:pStyle w:val="NoSpacing"/>
        <w:ind w:left="720"/>
      </w:pPr>
      <w:r>
        <w:t>in the abdomen, and another officer rushed to administer first aid. An ambulance was called to take Case to the nearest hospital (where he recovered). Meanwhile, one of the</w:t>
      </w:r>
    </w:p>
    <w:p w14:paraId="6F327C6C" w14:textId="77777777" w:rsidR="00C137EF" w:rsidRDefault="00C137EF" w:rsidP="00C137EF">
      <w:pPr>
        <w:pStyle w:val="NoSpacing"/>
        <w:ind w:left="720"/>
      </w:pPr>
      <w:r>
        <w:t>officers found a handgun in a laundry basket next to the place where Case had stood.</w:t>
      </w:r>
    </w:p>
    <w:p w14:paraId="7EDC27CD" w14:textId="77777777" w:rsidR="00C137EF" w:rsidRDefault="00C137EF" w:rsidP="00C137EF">
      <w:pPr>
        <w:pStyle w:val="NoSpacing"/>
        <w:ind w:left="720"/>
      </w:pPr>
    </w:p>
    <w:p w14:paraId="5EEFEB51" w14:textId="77777777" w:rsidR="00C137EF" w:rsidRDefault="00C137EF" w:rsidP="00C137EF">
      <w:pPr>
        <w:pStyle w:val="NoSpacing"/>
        <w:ind w:left="720"/>
      </w:pPr>
      <w:r>
        <w:t>The county attorney charged Case with assaulting a police officer…. A Montana</w:t>
      </w:r>
    </w:p>
    <w:p w14:paraId="35236867" w14:textId="77777777" w:rsidR="00C137EF" w:rsidRDefault="00C137EF" w:rsidP="00C137EF">
      <w:pPr>
        <w:pStyle w:val="NoSpacing"/>
        <w:ind w:left="720"/>
      </w:pPr>
      <w:r>
        <w:t xml:space="preserve">jury then found Case guilty of the crime charged. Case moved to suppress all evidence obtained </w:t>
      </w:r>
      <w:proofErr w:type="gramStart"/>
      <w:r>
        <w:t>as a result of</w:t>
      </w:r>
      <w:proofErr w:type="gramEnd"/>
      <w:r>
        <w:t xml:space="preserve"> the home entry, arguing that the police had violated the Fourth Amendment by coming into his house without a warrant. The trial court denied the motion on the ground that the police officers were responding legitimately </w:t>
      </w:r>
    </w:p>
    <w:p w14:paraId="2A69196D" w14:textId="77777777" w:rsidR="00C137EF" w:rsidRDefault="00C137EF" w:rsidP="00C137EF">
      <w:pPr>
        <w:pStyle w:val="NoSpacing"/>
        <w:ind w:left="720"/>
      </w:pPr>
      <w:r>
        <w:t>to an “emergency.”</w:t>
      </w:r>
    </w:p>
    <w:p w14:paraId="1D01348E" w14:textId="77777777" w:rsidR="00C137EF" w:rsidRDefault="00C137EF" w:rsidP="00C137EF">
      <w:pPr>
        <w:pStyle w:val="NoSpacing"/>
        <w:ind w:left="720"/>
      </w:pPr>
    </w:p>
    <w:p w14:paraId="5249E9C7" w14:textId="77777777" w:rsidR="00C137EF" w:rsidRDefault="00C137EF" w:rsidP="00C137EF">
      <w:pPr>
        <w:pStyle w:val="NoSpacing"/>
        <w:ind w:left="720"/>
      </w:pPr>
      <w:r>
        <w:t>***</w:t>
      </w:r>
    </w:p>
    <w:p w14:paraId="789A47FD" w14:textId="77777777" w:rsidR="00C137EF" w:rsidRDefault="00C137EF" w:rsidP="00C137EF">
      <w:pPr>
        <w:pStyle w:val="NoSpacing"/>
        <w:ind w:left="720"/>
      </w:pPr>
      <w:r>
        <w:t xml:space="preserve">We…hold just what we have held before: that the officers may enter if, but only if, they have an “objectively reasonable basis for believing” that an occupant faces </w:t>
      </w:r>
      <w:proofErr w:type="gramStart"/>
      <w:r>
        <w:t>serious danger</w:t>
      </w:r>
      <w:proofErr w:type="gramEnd"/>
      <w:r>
        <w:t>. Brigham City, 547 U. S., at 400.”</w:t>
      </w:r>
    </w:p>
    <w:p w14:paraId="51C8A6CD" w14:textId="77777777" w:rsidR="00C137EF" w:rsidRDefault="00C137EF" w:rsidP="00C137EF">
      <w:pPr>
        <w:pStyle w:val="NoSpacing"/>
        <w:ind w:left="720"/>
      </w:pPr>
    </w:p>
    <w:p w14:paraId="19B3E3E9" w14:textId="77777777" w:rsidR="00C137EF" w:rsidRPr="000E4D83" w:rsidRDefault="00C137EF" w:rsidP="00C137EF">
      <w:pPr>
        <w:pStyle w:val="NoSpacing"/>
        <w:rPr>
          <w:b/>
          <w:bCs/>
        </w:rPr>
      </w:pPr>
      <w:r>
        <w:rPr>
          <w:b/>
        </w:rPr>
        <w:t xml:space="preserve">Legal lesson learned: Decision will also apply to fire and EMS forcing entry for a medical emergency. </w:t>
      </w:r>
    </w:p>
    <w:p w14:paraId="253B2887" w14:textId="77777777" w:rsidR="00C137EF" w:rsidRDefault="00C137EF" w:rsidP="00C137EF">
      <w:pPr>
        <w:pStyle w:val="NoSpacing"/>
      </w:pPr>
    </w:p>
    <w:p w14:paraId="6450F432" w14:textId="698E9670" w:rsidR="00C137EF" w:rsidRDefault="00C137EF" w:rsidP="00C137EF">
      <w:pPr>
        <w:pStyle w:val="NoSpacing"/>
        <w:rPr>
          <w:rFonts w:ascii="Arial Black" w:hAnsi="Arial Black"/>
          <w:sz w:val="24"/>
          <w:szCs w:val="24"/>
        </w:rPr>
      </w:pPr>
      <w:r>
        <w:t xml:space="preserve">Note: Can listen to Oral Argument in this case: </w:t>
      </w:r>
      <w:hyperlink r:id="rId54" w:history="1">
        <w:r w:rsidRPr="00815351">
          <w:rPr>
            <w:rStyle w:val="Hyperlink"/>
          </w:rPr>
          <w:t>https://www.youtube.com/watch?v=lqmk210Y9sk</w:t>
        </w:r>
      </w:hyperlink>
    </w:p>
    <w:p w14:paraId="7C4A6982" w14:textId="77777777" w:rsidR="00C137EF" w:rsidRDefault="00C137EF" w:rsidP="00037CB8">
      <w:pPr>
        <w:pStyle w:val="NoSpacing"/>
        <w:rPr>
          <w:rFonts w:ascii="Arial Black" w:hAnsi="Arial Black"/>
          <w:sz w:val="24"/>
          <w:szCs w:val="24"/>
        </w:rPr>
      </w:pPr>
    </w:p>
    <w:p w14:paraId="26879D6A" w14:textId="69E11388" w:rsidR="00C137EF" w:rsidRDefault="00C137EF" w:rsidP="00037CB8">
      <w:pPr>
        <w:pStyle w:val="NoSpacing"/>
        <w:rPr>
          <w:rFonts w:ascii="Arial Black" w:hAnsi="Arial Black"/>
          <w:sz w:val="24"/>
          <w:szCs w:val="24"/>
        </w:rPr>
      </w:pPr>
      <w:r>
        <w:rPr>
          <w:rFonts w:ascii="Arial Black" w:hAnsi="Arial Black"/>
          <w:sz w:val="24"/>
          <w:szCs w:val="24"/>
        </w:rPr>
        <w:t>1-20</w:t>
      </w:r>
      <w:r w:rsidR="0015512D">
        <w:rPr>
          <w:rFonts w:ascii="Arial Black" w:hAnsi="Arial Black"/>
          <w:sz w:val="24"/>
          <w:szCs w:val="24"/>
        </w:rPr>
        <w:t>2</w:t>
      </w:r>
    </w:p>
    <w:p w14:paraId="6207F5C2" w14:textId="77777777" w:rsidR="0015512D" w:rsidRDefault="0015512D" w:rsidP="00037CB8">
      <w:pPr>
        <w:pStyle w:val="NoSpacing"/>
        <w:rPr>
          <w:rFonts w:ascii="Arial Black" w:hAnsi="Arial Black"/>
          <w:sz w:val="24"/>
          <w:szCs w:val="24"/>
        </w:rPr>
      </w:pPr>
    </w:p>
    <w:p w14:paraId="6F07D39C" w14:textId="77777777" w:rsidR="0015512D" w:rsidRDefault="0015512D" w:rsidP="0015512D">
      <w:pPr>
        <w:pStyle w:val="NoSpacing"/>
      </w:pPr>
      <w:r>
        <w:rPr>
          <w:rFonts w:ascii="Arial Black" w:hAnsi="Arial Black"/>
          <w:sz w:val="28"/>
          <w:szCs w:val="28"/>
        </w:rPr>
        <w:t xml:space="preserve">TX: PAINTER AT FD – KNOCKED OFF LIFT - NO FD NEG </w:t>
      </w:r>
    </w:p>
    <w:p w14:paraId="1A4DF5AB" w14:textId="77777777" w:rsidR="0015512D" w:rsidRDefault="0015512D" w:rsidP="0015512D">
      <w:pPr>
        <w:pStyle w:val="NoSpacing"/>
      </w:pPr>
    </w:p>
    <w:p w14:paraId="3BD66D79" w14:textId="77777777" w:rsidR="0015512D" w:rsidRDefault="0015512D" w:rsidP="0015512D">
      <w:pPr>
        <w:rPr>
          <w:bCs/>
        </w:rPr>
      </w:pPr>
      <w:r>
        <w:t xml:space="preserve">On December 31, 2025, in </w:t>
      </w:r>
      <w:r w:rsidRPr="000F5A08">
        <w:rPr>
          <w:u w:val="single"/>
        </w:rPr>
        <w:t>City of Houston v. Jose Torres</w:t>
      </w:r>
      <w:r>
        <w:t xml:space="preserve">, </w:t>
      </w:r>
      <w:r w:rsidRPr="00DE41E5">
        <w:t>the Court of Appeals of Texas, First District, Houston</w:t>
      </w:r>
      <w:r>
        <w:t xml:space="preserve"> held (3 to 0) that trial court, after a bench trial, improperly found that the city was liable because the station District Chief didn’t deactivate the bay door.  The painter never asked that this be done, never told anyone he was going to be operating scissor lift inside the station, and never blocked the front of the bay door. </w:t>
      </w:r>
      <w:hyperlink r:id="rId55" w:history="1">
        <w:r w:rsidRPr="00091B3B">
          <w:rPr>
            <w:rStyle w:val="Hyperlink"/>
          </w:rPr>
          <w:t>https://cases.justia.com/texas/first-court-of-appeals/2025-01-23-00905-cv.pdf?ts=1767189326</w:t>
        </w:r>
      </w:hyperlink>
      <w:r>
        <w:t xml:space="preserve"> </w:t>
      </w:r>
    </w:p>
    <w:p w14:paraId="2C329852" w14:textId="77777777" w:rsidR="0015512D" w:rsidRDefault="0015512D" w:rsidP="0015512D">
      <w:pPr>
        <w:rPr>
          <w:bCs/>
        </w:rPr>
      </w:pPr>
      <w:r>
        <w:t>THE COURT HELD:</w:t>
      </w:r>
    </w:p>
    <w:p w14:paraId="2C0A41B4" w14:textId="77777777" w:rsidR="0015512D" w:rsidRPr="00830678" w:rsidRDefault="0015512D" w:rsidP="0015512D">
      <w:pPr>
        <w:pStyle w:val="NoSpacing"/>
        <w:ind w:left="720"/>
      </w:pPr>
      <w:r>
        <w:t>“</w:t>
      </w:r>
      <w:r w:rsidRPr="00830678">
        <w:t>Jose Torres, a painter employed by Arredondo’s Real Drywall, Inc., was</w:t>
      </w:r>
      <w:r>
        <w:t xml:space="preserve"> </w:t>
      </w:r>
      <w:r w:rsidRPr="00830678">
        <w:t>working at Houston Fire Department (HFD) Station #34. When he arrived on the</w:t>
      </w:r>
      <w:r>
        <w:t xml:space="preserve"> </w:t>
      </w:r>
      <w:r w:rsidRPr="00830678">
        <w:t>morning of this incident, around 8:30 a.m., there were no emergency vehicles inside</w:t>
      </w:r>
      <w:r>
        <w:t xml:space="preserve"> </w:t>
      </w:r>
      <w:r w:rsidRPr="00830678">
        <w:t>the fire station, although some were parked outside.</w:t>
      </w:r>
    </w:p>
    <w:p w14:paraId="20876DE9" w14:textId="77777777" w:rsidR="0015512D" w:rsidRDefault="0015512D" w:rsidP="0015512D">
      <w:pPr>
        <w:pStyle w:val="NoSpacing"/>
      </w:pPr>
    </w:p>
    <w:p w14:paraId="06903D1E" w14:textId="77777777" w:rsidR="0015512D" w:rsidRDefault="0015512D" w:rsidP="0015512D">
      <w:pPr>
        <w:pStyle w:val="NoSpacing"/>
        <w:ind w:left="720"/>
      </w:pPr>
      <w:r w:rsidRPr="00830678">
        <w:t>Torres began setting up his equipment, including a scissor lift, in one of the</w:t>
      </w:r>
      <w:r>
        <w:t xml:space="preserve"> </w:t>
      </w:r>
      <w:r w:rsidRPr="00830678">
        <w:t>bays of the fire station so he could paint the station’s ceiling. Because the station’s</w:t>
      </w:r>
      <w:r>
        <w:t xml:space="preserve"> </w:t>
      </w:r>
      <w:r w:rsidRPr="00830678">
        <w:t>large bay doors were open, and he needed them closed to paint the ceiling, Torres</w:t>
      </w:r>
      <w:r>
        <w:t xml:space="preserve"> </w:t>
      </w:r>
      <w:r w:rsidRPr="00830678">
        <w:t>asked one of the firefighters on duty how to close the doors. Torres closed the bay</w:t>
      </w:r>
      <w:r>
        <w:t xml:space="preserve"> </w:t>
      </w:r>
      <w:r w:rsidRPr="00830678">
        <w:t>doors by pushing a red button located inside the station. He then positioned the</w:t>
      </w:r>
      <w:r>
        <w:t xml:space="preserve"> </w:t>
      </w:r>
      <w:r w:rsidRPr="00830678">
        <w:t>scissor lift directly behind one of the closed bay doors, elevated himself on it, and</w:t>
      </w:r>
      <w:r>
        <w:t xml:space="preserve"> </w:t>
      </w:r>
      <w:r w:rsidRPr="00830678">
        <w:t>began painting the ceiling of the station.</w:t>
      </w:r>
    </w:p>
    <w:p w14:paraId="66856796" w14:textId="77777777" w:rsidR="0015512D" w:rsidRDefault="0015512D" w:rsidP="0015512D">
      <w:pPr>
        <w:pStyle w:val="NoSpacing"/>
      </w:pPr>
    </w:p>
    <w:p w14:paraId="26E3CE78" w14:textId="77777777" w:rsidR="0015512D" w:rsidRDefault="0015512D" w:rsidP="0015512D">
      <w:pPr>
        <w:pStyle w:val="NoSpacing"/>
        <w:ind w:left="720"/>
      </w:pPr>
      <w:r>
        <w:t>Adam Ricci, a firefighter employed by HFD at Fire Station #34, arrived at the fire station that morning at 6:30 a.m.—two hours before Torres—to begin his 24-hour shift. Around 8:00 a.</w:t>
      </w:r>
      <w:proofErr w:type="gramStart"/>
      <w:r>
        <w:t>m.—</w:t>
      </w:r>
      <w:proofErr w:type="gramEnd"/>
      <w:r>
        <w:t>about 30 minutes before Torres arrived—Ricci left the station in one of the emergency vehicles to respond to a call. Before he left, Ricci did not see anyone painting inside the fire station. And before returning to the station, Ricci had not seen or spoken to Torres and did not know that he (or anyone) was inside the station painting.</w:t>
      </w:r>
    </w:p>
    <w:p w14:paraId="0C74976E" w14:textId="77777777" w:rsidR="0015512D" w:rsidRDefault="0015512D" w:rsidP="0015512D">
      <w:pPr>
        <w:pStyle w:val="NoSpacing"/>
      </w:pPr>
    </w:p>
    <w:p w14:paraId="6FE21586" w14:textId="77777777" w:rsidR="0015512D" w:rsidRDefault="0015512D" w:rsidP="0015512D">
      <w:pPr>
        <w:pStyle w:val="NoSpacing"/>
        <w:ind w:left="720"/>
      </w:pPr>
      <w:r>
        <w:t>When Ricci returned to the fire station, he pushed a remote control inside his vehicle to open one of the bay doors. Unbeknownst to Ricci, Torres was standing on top of the scissor lift directly behind that door. When the door opened, it knocked over the scissor lift, injuring Torres.</w:t>
      </w:r>
    </w:p>
    <w:p w14:paraId="4F60A938" w14:textId="77777777" w:rsidR="0015512D" w:rsidRDefault="0015512D" w:rsidP="0015512D">
      <w:pPr>
        <w:pStyle w:val="NoSpacing"/>
      </w:pPr>
    </w:p>
    <w:p w14:paraId="4A48A6C7" w14:textId="77777777" w:rsidR="0015512D" w:rsidRDefault="0015512D" w:rsidP="0015512D">
      <w:pPr>
        <w:pStyle w:val="NoSpacing"/>
        <w:ind w:left="720"/>
      </w:pPr>
      <w:r>
        <w:t xml:space="preserve">The record shows that the bay door could have been deactivated. And, according to the City, District Chief Troy Koteras was the highest-ranking person on site that day—and he had the authority to do that. Following a bench trial, the trial court found that the </w:t>
      </w:r>
      <w:proofErr w:type="gramStart"/>
      <w:r>
        <w:t>City</w:t>
      </w:r>
      <w:proofErr w:type="gramEnd"/>
      <w:r>
        <w:t xml:space="preserve"> “did not act reasonably and its actions proximately causes [Torres’s] injuries.” It concluded that the </w:t>
      </w:r>
      <w:proofErr w:type="gramStart"/>
      <w:r>
        <w:t>City</w:t>
      </w:r>
      <w:proofErr w:type="gramEnd"/>
      <w:r>
        <w:t xml:space="preserve"> was negligent3 and awarded Torres damages.</w:t>
      </w:r>
    </w:p>
    <w:p w14:paraId="60330D89" w14:textId="77777777" w:rsidR="0015512D" w:rsidRDefault="0015512D" w:rsidP="0015512D">
      <w:pPr>
        <w:pStyle w:val="NoSpacing"/>
        <w:ind w:left="720"/>
      </w:pPr>
    </w:p>
    <w:p w14:paraId="219B3A88" w14:textId="77777777" w:rsidR="0015512D" w:rsidRDefault="0015512D" w:rsidP="0015512D">
      <w:pPr>
        <w:pStyle w:val="NoSpacing"/>
        <w:ind w:left="720"/>
      </w:pPr>
      <w:r>
        <w:t>***</w:t>
      </w:r>
    </w:p>
    <w:p w14:paraId="5B212D40" w14:textId="77777777" w:rsidR="0015512D" w:rsidRDefault="0015512D" w:rsidP="0015512D">
      <w:pPr>
        <w:pStyle w:val="NoSpacing"/>
        <w:ind w:firstLine="720"/>
      </w:pPr>
    </w:p>
    <w:p w14:paraId="22D1D2C8" w14:textId="77777777" w:rsidR="0015512D" w:rsidRDefault="0015512D" w:rsidP="0015512D">
      <w:pPr>
        <w:pStyle w:val="NoSpacing"/>
        <w:ind w:firstLine="720"/>
      </w:pPr>
      <w:r>
        <w:t xml:space="preserve">Accordingly, for </w:t>
      </w:r>
      <w:proofErr w:type="gramStart"/>
      <w:r>
        <w:t>all of</w:t>
      </w:r>
      <w:proofErr w:type="gramEnd"/>
      <w:r>
        <w:t xml:space="preserve"> the foregoing reasons, we hold that the evidence</w:t>
      </w:r>
    </w:p>
    <w:p w14:paraId="66901706" w14:textId="77777777" w:rsidR="0015512D" w:rsidRDefault="0015512D" w:rsidP="0015512D">
      <w:pPr>
        <w:pStyle w:val="NoSpacing"/>
        <w:ind w:firstLine="720"/>
      </w:pPr>
      <w:r>
        <w:t>establishes that the City owed no duty to Torres, a required element of negligence.</w:t>
      </w:r>
    </w:p>
    <w:p w14:paraId="40D02F40" w14:textId="77777777" w:rsidR="0015512D" w:rsidRDefault="0015512D" w:rsidP="0015512D">
      <w:pPr>
        <w:pStyle w:val="NoSpacing"/>
        <w:ind w:firstLine="720"/>
      </w:pPr>
      <w:r>
        <w:t xml:space="preserve">Absent proof of the common-law elements of negligence, the </w:t>
      </w:r>
      <w:proofErr w:type="gramStart"/>
      <w:r>
        <w:t>City</w:t>
      </w:r>
      <w:proofErr w:type="gramEnd"/>
      <w:r>
        <w:t xml:space="preserve"> was entitled to</w:t>
      </w:r>
    </w:p>
    <w:p w14:paraId="0DB17D93" w14:textId="77777777" w:rsidR="0015512D" w:rsidRDefault="0015512D" w:rsidP="0015512D">
      <w:pPr>
        <w:pStyle w:val="NoSpacing"/>
        <w:ind w:firstLine="720"/>
      </w:pPr>
      <w:r>
        <w:t>governmental immunity under the TTCA. We therefore reverse the trial court’s</w:t>
      </w:r>
    </w:p>
    <w:p w14:paraId="6D2B2347" w14:textId="77777777" w:rsidR="0015512D" w:rsidRDefault="0015512D" w:rsidP="0015512D">
      <w:pPr>
        <w:pStyle w:val="NoSpacing"/>
        <w:ind w:firstLine="720"/>
      </w:pPr>
      <w:r>
        <w:t xml:space="preserve">judgment and render judgment dismissing Torres’s claims against the </w:t>
      </w:r>
      <w:proofErr w:type="gramStart"/>
      <w:r>
        <w:t>City</w:t>
      </w:r>
      <w:proofErr w:type="gramEnd"/>
      <w:r>
        <w:t xml:space="preserve"> for lack</w:t>
      </w:r>
    </w:p>
    <w:p w14:paraId="2AF54172" w14:textId="77777777" w:rsidR="0015512D" w:rsidRDefault="0015512D" w:rsidP="0015512D">
      <w:pPr>
        <w:pStyle w:val="NoSpacing"/>
        <w:ind w:firstLine="720"/>
      </w:pPr>
      <w:r>
        <w:t>of subject-matter jurisdiction.”</w:t>
      </w:r>
    </w:p>
    <w:p w14:paraId="1DDC8690" w14:textId="77777777" w:rsidR="0015512D" w:rsidRDefault="0015512D" w:rsidP="0015512D">
      <w:pPr>
        <w:pStyle w:val="NoSpacing"/>
        <w:ind w:firstLine="720"/>
      </w:pPr>
    </w:p>
    <w:p w14:paraId="3022F51D" w14:textId="77777777" w:rsidR="0015512D" w:rsidRPr="0059074F" w:rsidRDefault="0015512D" w:rsidP="0015512D">
      <w:pPr>
        <w:pStyle w:val="NoSpacing"/>
        <w:rPr>
          <w:b/>
          <w:bCs/>
        </w:rPr>
      </w:pPr>
      <w:r>
        <w:rPr>
          <w:b/>
        </w:rPr>
        <w:t xml:space="preserve">Legal lesson learned: The injured painter was negligent and not requiring the bay door be deactivated; he is covered by worker’s comp. but can’t sue the city for damages. </w:t>
      </w:r>
    </w:p>
    <w:p w14:paraId="48223938" w14:textId="77777777" w:rsidR="0015512D" w:rsidRDefault="0015512D" w:rsidP="0015512D">
      <w:pPr>
        <w:pStyle w:val="NoSpacing"/>
        <w:ind w:firstLine="720"/>
      </w:pPr>
    </w:p>
    <w:p w14:paraId="59E2DB67" w14:textId="0CA4B440" w:rsidR="0015512D" w:rsidRDefault="0015512D" w:rsidP="00037CB8">
      <w:pPr>
        <w:pStyle w:val="NoSpacing"/>
        <w:rPr>
          <w:rFonts w:ascii="Arial Black" w:hAnsi="Arial Black"/>
          <w:sz w:val="24"/>
          <w:szCs w:val="24"/>
        </w:rPr>
      </w:pPr>
      <w:r>
        <w:rPr>
          <w:rFonts w:ascii="Arial Black" w:hAnsi="Arial Black"/>
          <w:sz w:val="24"/>
          <w:szCs w:val="24"/>
        </w:rPr>
        <w:t>1-201</w:t>
      </w:r>
    </w:p>
    <w:p w14:paraId="161948B9" w14:textId="77777777" w:rsidR="0015512D" w:rsidRDefault="0015512D" w:rsidP="00037CB8">
      <w:pPr>
        <w:pStyle w:val="NoSpacing"/>
        <w:rPr>
          <w:rFonts w:ascii="Arial Black" w:hAnsi="Arial Black"/>
          <w:sz w:val="24"/>
          <w:szCs w:val="24"/>
        </w:rPr>
      </w:pPr>
    </w:p>
    <w:p w14:paraId="3C2D52E9" w14:textId="77777777" w:rsidR="00ED1FF6" w:rsidRPr="00DD5FA8" w:rsidRDefault="00ED1FF6" w:rsidP="00ED1FF6">
      <w:pPr>
        <w:rPr>
          <w:rFonts w:ascii="Arial Black" w:hAnsi="Arial Black"/>
          <w:b/>
          <w:sz w:val="28"/>
          <w:szCs w:val="28"/>
        </w:rPr>
      </w:pPr>
      <w:r>
        <w:rPr>
          <w:rFonts w:ascii="Arial Black" w:hAnsi="Arial Black"/>
          <w:b/>
          <w:sz w:val="28"/>
          <w:szCs w:val="28"/>
        </w:rPr>
        <w:t>NJ: ARSON – PD SEIZED DVR CAMERA IN GARAGE - LAWFUL</w:t>
      </w:r>
    </w:p>
    <w:p w14:paraId="31D29707" w14:textId="77777777" w:rsidR="00ED1FF6" w:rsidRDefault="00ED1FF6" w:rsidP="00ED1FF6">
      <w:r>
        <w:t xml:space="preserve">On December 4, 2025, in </w:t>
      </w:r>
      <w:r w:rsidRPr="00EA75F6">
        <w:rPr>
          <w:u w:val="single"/>
        </w:rPr>
        <w:t xml:space="preserve">State of New Jersey v. Paul J. </w:t>
      </w:r>
      <w:proofErr w:type="spellStart"/>
      <w:r w:rsidRPr="00EA75F6">
        <w:rPr>
          <w:u w:val="single"/>
        </w:rPr>
        <w:t>Caneiro</w:t>
      </w:r>
      <w:proofErr w:type="spellEnd"/>
      <w:r>
        <w:t xml:space="preserve">, the </w:t>
      </w:r>
      <w:r w:rsidRPr="00EA75F6">
        <w:t>Supreme Court of New Jersey</w:t>
      </w:r>
      <w:r>
        <w:t xml:space="preserve"> held (7 to 0) that trial court improperly granted defense motion to suppress, and the Court of Appeals improperly confirmed the trial court decision.  Under the “exigent circumstances” police properly seized the security camera digital video recorder, which showed defendant disconnecting the camera before starting fire in his home. </w:t>
      </w:r>
      <w:hyperlink r:id="rId56" w:history="1">
        <w:r w:rsidRPr="00091B3B">
          <w:rPr>
            <w:rStyle w:val="Hyperlink"/>
          </w:rPr>
          <w:t>https://www.njcourts.gov/system/files/court-opinions/2025/a_1_25.pdf</w:t>
        </w:r>
      </w:hyperlink>
      <w:r>
        <w:t xml:space="preserve"> </w:t>
      </w:r>
    </w:p>
    <w:p w14:paraId="76F8ADF9" w14:textId="77777777" w:rsidR="00ED1FF6" w:rsidRPr="00EA75F6" w:rsidRDefault="00ED1FF6" w:rsidP="00ED1FF6">
      <w:pPr>
        <w:rPr>
          <w:bCs/>
        </w:rPr>
      </w:pPr>
      <w:r>
        <w:t>THE COURT HELD:</w:t>
      </w:r>
    </w:p>
    <w:p w14:paraId="3D371FC5" w14:textId="77777777" w:rsidR="00ED1FF6" w:rsidRDefault="00ED1FF6" w:rsidP="00ED1FF6">
      <w:pPr>
        <w:pStyle w:val="NoSpacing"/>
        <w:ind w:left="720"/>
      </w:pPr>
      <w:r>
        <w:t xml:space="preserve">“A fire was reported at defendant Paul J. </w:t>
      </w:r>
      <w:proofErr w:type="spellStart"/>
      <w:r>
        <w:t>Caneiro’s</w:t>
      </w:r>
      <w:proofErr w:type="spellEnd"/>
      <w:r>
        <w:t xml:space="preserve"> home at around 5:02 a.m. in November 2018. About forty minutes after arriving at defendant’s home, and while the house fire remained active, police seized, without a warrant, a security camera digital video recorder (DVR) located in the home’s attached garage…. Defendant later provided consent to </w:t>
      </w:r>
      <w:proofErr w:type="gramStart"/>
      <w:r>
        <w:t>search</w:t>
      </w:r>
      <w:proofErr w:type="gramEnd"/>
      <w:r>
        <w:t xml:space="preserve"> the DVR’s contents. </w:t>
      </w:r>
    </w:p>
    <w:p w14:paraId="06CA9B37" w14:textId="77777777" w:rsidR="00ED1FF6" w:rsidRDefault="00ED1FF6" w:rsidP="00ED1FF6">
      <w:pPr>
        <w:pStyle w:val="NoSpacing"/>
        <w:ind w:left="720"/>
      </w:pPr>
    </w:p>
    <w:p w14:paraId="25B14DDF" w14:textId="77777777" w:rsidR="00ED1FF6" w:rsidRDefault="00ED1FF6" w:rsidP="00ED1FF6">
      <w:pPr>
        <w:pStyle w:val="NoSpacing"/>
        <w:ind w:left="720"/>
      </w:pPr>
      <w:r>
        <w:t>***</w:t>
      </w:r>
    </w:p>
    <w:p w14:paraId="1E052307" w14:textId="77777777" w:rsidR="00ED1FF6" w:rsidRDefault="00ED1FF6" w:rsidP="00ED1FF6">
      <w:pPr>
        <w:pStyle w:val="NoSpacing"/>
        <w:ind w:left="720"/>
      </w:pPr>
      <w:r>
        <w:t>The State alleges that defendant murdered his brother, his brother’s wife, and</w:t>
      </w:r>
    </w:p>
    <w:p w14:paraId="461D942A" w14:textId="77777777" w:rsidR="00ED1FF6" w:rsidRDefault="00ED1FF6" w:rsidP="00ED1FF6">
      <w:pPr>
        <w:pStyle w:val="NoSpacing"/>
        <w:ind w:left="720"/>
      </w:pPr>
      <w:r>
        <w:t>their two children, and then set their house ablaze to cover up his involvement in</w:t>
      </w:r>
    </w:p>
    <w:p w14:paraId="77C9FA2D" w14:textId="77777777" w:rsidR="00ED1FF6" w:rsidRDefault="00ED1FF6" w:rsidP="00ED1FF6">
      <w:pPr>
        <w:pStyle w:val="NoSpacing"/>
        <w:ind w:left="720"/>
      </w:pPr>
      <w:r>
        <w:t>those crimes. The State further contends that defendant then set his own house on</w:t>
      </w:r>
    </w:p>
    <w:p w14:paraId="1A8F9845" w14:textId="77777777" w:rsidR="00ED1FF6" w:rsidRDefault="00ED1FF6" w:rsidP="00ED1FF6">
      <w:pPr>
        <w:pStyle w:val="NoSpacing"/>
        <w:ind w:left="720"/>
      </w:pPr>
      <w:r>
        <w:t>fire with his wife and children asleep inside as a ruse to suggest that criminals</w:t>
      </w:r>
    </w:p>
    <w:p w14:paraId="11D155BA" w14:textId="77777777" w:rsidR="00ED1FF6" w:rsidRDefault="00ED1FF6" w:rsidP="00ED1FF6">
      <w:pPr>
        <w:pStyle w:val="NoSpacing"/>
        <w:ind w:left="720"/>
      </w:pPr>
      <w:r>
        <w:t>targeted both families. The State asserts that the DVR showed defendant</w:t>
      </w:r>
    </w:p>
    <w:p w14:paraId="26D27F10" w14:textId="77777777" w:rsidR="00ED1FF6" w:rsidRDefault="00ED1FF6" w:rsidP="00ED1FF6">
      <w:pPr>
        <w:pStyle w:val="NoSpacing"/>
        <w:ind w:left="720"/>
      </w:pPr>
      <w:r>
        <w:t>disconnecting the security camera system prior to starting the fire in his house.</w:t>
      </w:r>
    </w:p>
    <w:p w14:paraId="74614F04" w14:textId="77777777" w:rsidR="00ED1FF6" w:rsidRDefault="00ED1FF6" w:rsidP="00ED1FF6">
      <w:pPr>
        <w:pStyle w:val="NoSpacing"/>
        <w:ind w:left="720"/>
      </w:pPr>
    </w:p>
    <w:p w14:paraId="54215439" w14:textId="77777777" w:rsidR="00ED1FF6" w:rsidRDefault="00ED1FF6" w:rsidP="00ED1FF6">
      <w:pPr>
        <w:pStyle w:val="NoSpacing"/>
        <w:ind w:left="720"/>
      </w:pPr>
      <w:r>
        <w:t>***</w:t>
      </w:r>
    </w:p>
    <w:p w14:paraId="1DA8EDA5" w14:textId="77777777" w:rsidR="00ED1FF6" w:rsidRDefault="00ED1FF6" w:rsidP="00ED1FF6">
      <w:pPr>
        <w:pStyle w:val="NoSpacing"/>
        <w:ind w:left="720"/>
      </w:pPr>
    </w:p>
    <w:p w14:paraId="74B18BBC" w14:textId="77777777" w:rsidR="00ED1FF6" w:rsidRDefault="00ED1FF6" w:rsidP="00ED1FF6">
      <w:pPr>
        <w:pStyle w:val="NoSpacing"/>
        <w:ind w:left="720"/>
      </w:pPr>
      <w:r>
        <w:t xml:space="preserve">The parties do not dispute that </w:t>
      </w:r>
      <w:proofErr w:type="gramStart"/>
      <w:r>
        <w:t>defendant’s</w:t>
      </w:r>
      <w:proofErr w:type="gramEnd"/>
      <w:r>
        <w:t xml:space="preserve"> consent to </w:t>
      </w:r>
      <w:proofErr w:type="gramStart"/>
      <w:r>
        <w:t>search</w:t>
      </w:r>
      <w:proofErr w:type="gramEnd"/>
      <w:r>
        <w:t xml:space="preserve"> the DVR was valid. They dispute only whether the warrantless seizure of the DVR was justified by the exigency exception to the warrant requirement. The trial judge, focusing on the fact that the garage itself was not on fire, granted defendant’s motion to suppress the DVR. The Appellate Division affirmed. We granted the State’s motion for leave to appeal and have proceeded on an accelerated basis.</w:t>
      </w:r>
    </w:p>
    <w:p w14:paraId="5A4A9F5C" w14:textId="77777777" w:rsidR="00ED1FF6" w:rsidRDefault="00ED1FF6" w:rsidP="00ED1FF6">
      <w:pPr>
        <w:pStyle w:val="NoSpacing"/>
        <w:ind w:left="720"/>
      </w:pPr>
    </w:p>
    <w:p w14:paraId="7BD07432" w14:textId="77777777" w:rsidR="00ED1FF6" w:rsidRDefault="00ED1FF6" w:rsidP="00ED1FF6">
      <w:pPr>
        <w:pStyle w:val="NoSpacing"/>
        <w:ind w:left="720"/>
      </w:pPr>
      <w:r>
        <w:t>***</w:t>
      </w:r>
    </w:p>
    <w:p w14:paraId="070691F6" w14:textId="77777777" w:rsidR="00ED1FF6" w:rsidRDefault="00ED1FF6" w:rsidP="00ED1FF6">
      <w:pPr>
        <w:pStyle w:val="NoSpacing"/>
        <w:ind w:left="720"/>
      </w:pPr>
      <w:r w:rsidRPr="00305E47">
        <w:t>Under the totality of the circumstances in this case, the police acted in an</w:t>
      </w:r>
      <w:r>
        <w:t xml:space="preserve"> </w:t>
      </w:r>
      <w:r w:rsidRPr="00305E47">
        <w:t>objectively reasonable manner to meet an exigency that did not permit time to secure</w:t>
      </w:r>
      <w:r>
        <w:t xml:space="preserve"> </w:t>
      </w:r>
      <w:r w:rsidRPr="00305E47">
        <w:t xml:space="preserve">a warrant. No bright-line rule governs the question of </w:t>
      </w:r>
      <w:proofErr w:type="gramStart"/>
      <w:r w:rsidRPr="00305E47">
        <w:t>exigency, and</w:t>
      </w:r>
      <w:proofErr w:type="gramEnd"/>
      <w:r w:rsidRPr="00305E47">
        <w:t xml:space="preserve"> determining</w:t>
      </w:r>
      <w:r>
        <w:t xml:space="preserve"> </w:t>
      </w:r>
      <w:r w:rsidRPr="00305E47">
        <w:t xml:space="preserve">whether the exigency exception to the </w:t>
      </w:r>
      <w:proofErr w:type="gramStart"/>
      <w:r w:rsidRPr="00305E47">
        <w:t>warrant requirement applies</w:t>
      </w:r>
      <w:proofErr w:type="gramEnd"/>
      <w:r w:rsidRPr="00305E47">
        <w:t xml:space="preserve"> requires courts to</w:t>
      </w:r>
      <w:r>
        <w:t xml:space="preserve"> </w:t>
      </w:r>
      <w:r w:rsidRPr="00F565F4">
        <w:t>conduct an objective, fact-sensitive analysis. Drawing de novo legal conclusions</w:t>
      </w:r>
      <w:r>
        <w:t xml:space="preserve"> </w:t>
      </w:r>
      <w:r w:rsidRPr="00F565F4">
        <w:t>from the facts found by the trial judge, the Court finds that here, time was of the</w:t>
      </w:r>
      <w:r>
        <w:t xml:space="preserve"> </w:t>
      </w:r>
      <w:r w:rsidRPr="00F565F4">
        <w:t>essence, delay was not reasonable, and seizure of the DVR by the police without a</w:t>
      </w:r>
      <w:r>
        <w:t xml:space="preserve"> </w:t>
      </w:r>
      <w:r w:rsidRPr="00F565F4">
        <w:t xml:space="preserve">warrant was justified by exigent </w:t>
      </w:r>
      <w:r>
        <w:t>c</w:t>
      </w:r>
      <w:r w:rsidRPr="00F565F4">
        <w:t>ircumstances.</w:t>
      </w:r>
      <w:r>
        <w:t>”</w:t>
      </w:r>
    </w:p>
    <w:p w14:paraId="221A3E25" w14:textId="77777777" w:rsidR="00ED1FF6" w:rsidRDefault="00ED1FF6" w:rsidP="00ED1FF6">
      <w:pPr>
        <w:pStyle w:val="NoSpacing"/>
        <w:ind w:left="720"/>
      </w:pPr>
    </w:p>
    <w:p w14:paraId="63CED89F" w14:textId="77777777" w:rsidR="00ED1FF6" w:rsidRDefault="00ED1FF6" w:rsidP="00ED1FF6">
      <w:pPr>
        <w:pStyle w:val="NoSpacing"/>
        <w:rPr>
          <w:b/>
          <w:bCs/>
        </w:rPr>
      </w:pPr>
      <w:r>
        <w:rPr>
          <w:b/>
        </w:rPr>
        <w:t>Legal lesson learned: Exigent circumstances justified seizing the security camera without a search warrant.</w:t>
      </w:r>
    </w:p>
    <w:p w14:paraId="11593B09" w14:textId="77777777" w:rsidR="00ED1FF6" w:rsidRDefault="00ED1FF6" w:rsidP="00ED1FF6">
      <w:pPr>
        <w:pStyle w:val="NoSpacing"/>
        <w:rPr>
          <w:b/>
          <w:bCs/>
        </w:rPr>
      </w:pPr>
    </w:p>
    <w:p w14:paraId="79C95776" w14:textId="77777777" w:rsidR="00ED1FF6" w:rsidRDefault="00ED1FF6" w:rsidP="00037CB8">
      <w:pPr>
        <w:pStyle w:val="NoSpacing"/>
        <w:rPr>
          <w:rFonts w:ascii="Arial Black" w:hAnsi="Arial Black"/>
          <w:sz w:val="24"/>
          <w:szCs w:val="24"/>
        </w:rPr>
      </w:pPr>
    </w:p>
    <w:p w14:paraId="7C5061BC" w14:textId="77777777" w:rsidR="00C137EF" w:rsidRDefault="00C137EF" w:rsidP="00037CB8">
      <w:pPr>
        <w:pStyle w:val="NoSpacing"/>
        <w:rPr>
          <w:rFonts w:ascii="Arial Black" w:hAnsi="Arial Black"/>
          <w:sz w:val="24"/>
          <w:szCs w:val="24"/>
        </w:rPr>
      </w:pPr>
    </w:p>
    <w:p w14:paraId="38BC3130" w14:textId="77777777" w:rsidR="00C137EF" w:rsidRDefault="00C137EF" w:rsidP="00037CB8">
      <w:pPr>
        <w:pStyle w:val="NoSpacing"/>
        <w:rPr>
          <w:rFonts w:ascii="Arial Black" w:hAnsi="Arial Black"/>
          <w:sz w:val="24"/>
          <w:szCs w:val="24"/>
        </w:rPr>
      </w:pPr>
    </w:p>
    <w:p w14:paraId="7661086B" w14:textId="77777777" w:rsidR="00C137EF" w:rsidRDefault="00C137EF" w:rsidP="00037CB8">
      <w:pPr>
        <w:pStyle w:val="NoSpacing"/>
        <w:rPr>
          <w:rFonts w:ascii="Arial Black" w:hAnsi="Arial Black"/>
          <w:sz w:val="24"/>
          <w:szCs w:val="24"/>
        </w:rPr>
      </w:pPr>
    </w:p>
    <w:p w14:paraId="243C462B" w14:textId="26B7DB33" w:rsidR="00D035D9" w:rsidRDefault="00D035D9" w:rsidP="00037CB8">
      <w:pPr>
        <w:pStyle w:val="NoSpacing"/>
        <w:rPr>
          <w:rFonts w:ascii="Arial Black" w:hAnsi="Arial Black"/>
          <w:sz w:val="24"/>
          <w:szCs w:val="24"/>
        </w:rPr>
      </w:pPr>
      <w:r>
        <w:rPr>
          <w:rFonts w:ascii="Arial Black" w:hAnsi="Arial Black"/>
          <w:sz w:val="24"/>
          <w:szCs w:val="24"/>
        </w:rPr>
        <w:t>1-</w:t>
      </w:r>
      <w:r w:rsidR="0028642A">
        <w:rPr>
          <w:rFonts w:ascii="Arial Black" w:hAnsi="Arial Black"/>
          <w:sz w:val="24"/>
          <w:szCs w:val="24"/>
        </w:rPr>
        <w:t>20</w:t>
      </w:r>
      <w:r w:rsidR="00A44AF2">
        <w:rPr>
          <w:rFonts w:ascii="Arial Black" w:hAnsi="Arial Black"/>
          <w:sz w:val="24"/>
          <w:szCs w:val="24"/>
        </w:rPr>
        <w:t>0</w:t>
      </w:r>
    </w:p>
    <w:p w14:paraId="4686B41B" w14:textId="77777777" w:rsidR="00D035D9" w:rsidRDefault="00D035D9" w:rsidP="00037CB8">
      <w:pPr>
        <w:pStyle w:val="NoSpacing"/>
        <w:rPr>
          <w:rFonts w:ascii="Arial Black" w:hAnsi="Arial Black"/>
          <w:sz w:val="24"/>
          <w:szCs w:val="24"/>
        </w:rPr>
      </w:pPr>
    </w:p>
    <w:p w14:paraId="66EA8208" w14:textId="2E3C5C85" w:rsidR="00D035D9" w:rsidRPr="00DD3D69" w:rsidRDefault="00D035D9" w:rsidP="00D035D9">
      <w:pPr>
        <w:rPr>
          <w:rFonts w:ascii="Arial Black" w:hAnsi="Arial Black"/>
          <w:b/>
          <w:sz w:val="28"/>
          <w:szCs w:val="28"/>
        </w:rPr>
      </w:pPr>
      <w:r>
        <w:rPr>
          <w:rFonts w:ascii="Arial Black" w:hAnsi="Arial Black"/>
          <w:b/>
          <w:sz w:val="28"/>
          <w:szCs w:val="28"/>
        </w:rPr>
        <w:t>UT: TOWN COUNCIL – DID</w:t>
      </w:r>
      <w:r w:rsidR="00932FB7">
        <w:rPr>
          <w:rFonts w:ascii="Arial Black" w:hAnsi="Arial Black"/>
          <w:b/>
          <w:sz w:val="28"/>
          <w:szCs w:val="28"/>
        </w:rPr>
        <w:t xml:space="preserve">N’T </w:t>
      </w:r>
      <w:r>
        <w:rPr>
          <w:rFonts w:ascii="Arial Black" w:hAnsi="Arial Black"/>
          <w:b/>
          <w:sz w:val="28"/>
          <w:szCs w:val="28"/>
        </w:rPr>
        <w:t xml:space="preserve"> APPROVE NEW CHIEF</w:t>
      </w:r>
      <w:r w:rsidR="00932FB7">
        <w:rPr>
          <w:rFonts w:ascii="Arial Black" w:hAnsi="Arial Black"/>
          <w:b/>
          <w:sz w:val="28"/>
          <w:szCs w:val="28"/>
        </w:rPr>
        <w:t xml:space="preserve"> – NO SEVERANCE</w:t>
      </w:r>
    </w:p>
    <w:p w14:paraId="4D8B4ACA" w14:textId="77777777" w:rsidR="00D035D9" w:rsidRPr="009C12DF" w:rsidRDefault="00D035D9" w:rsidP="00D035D9">
      <w:pPr>
        <w:pStyle w:val="NoSpacing"/>
        <w:rPr>
          <w:bCs/>
        </w:rPr>
      </w:pPr>
      <w:r w:rsidRPr="00DF4246">
        <w:t xml:space="preserve">On December 26, 2025, in </w:t>
      </w:r>
      <w:r w:rsidRPr="00DF4246">
        <w:rPr>
          <w:u w:val="single"/>
        </w:rPr>
        <w:t>Daniel N. Musser v. Town of Apple Valley, et al</w:t>
      </w:r>
      <w:r w:rsidRPr="00DF4246">
        <w:t>.</w:t>
      </w:r>
      <w:r>
        <w:rPr>
          <w:b/>
        </w:rPr>
        <w:t xml:space="preserve">, </w:t>
      </w:r>
      <w:r w:rsidRPr="00DF4246">
        <w:t>the Court of Appeals of Utah</w:t>
      </w:r>
      <w:r>
        <w:t xml:space="preserve"> held (3 to 0) that the trial court properly dismissed the lawsuit by the plaintiff seeking a severance payment of one year’s salary.  On November 4, </w:t>
      </w:r>
      <w:proofErr w:type="gramStart"/>
      <w:r>
        <w:t>2021</w:t>
      </w:r>
      <w:proofErr w:type="gramEnd"/>
      <w:r>
        <w:t xml:space="preserve"> he signed a contract to be Fire Chief and Police Chief, two days after the election of the new Mayor, </w:t>
      </w:r>
      <w:r w:rsidRPr="00FC03C2">
        <w:t>Dina Mason Walters</w:t>
      </w:r>
      <w:r>
        <w:t>, who took office one month later.  According to his lawsuit: “</w:t>
      </w:r>
      <w:r w:rsidRPr="008527CE">
        <w:t>In August 2021, Apple Valley’s mayor, Dale Beddo (</w:t>
      </w:r>
      <w:r>
        <w:t>‘</w:t>
      </w:r>
      <w:r w:rsidRPr="008527CE">
        <w:t>Mayor Beddo</w:t>
      </w:r>
      <w:r>
        <w:t>’</w:t>
      </w:r>
      <w:r w:rsidRPr="008527CE">
        <w:t xml:space="preserve">), contacted Plaintiff </w:t>
      </w:r>
      <w:r>
        <w:t xml:space="preserve"> </w:t>
      </w:r>
      <w:r w:rsidRPr="008527CE">
        <w:t>and inquired whether Plaintiff would be interested in a position with Apple Valley as the police chief and fire chief</w:t>
      </w:r>
      <w:r>
        <w:t xml:space="preserve">…. </w:t>
      </w:r>
      <w:r w:rsidRPr="008561FF">
        <w:t xml:space="preserve">Plaintiff informed Mayor Beddo that although Plaintiff had worked for the Colorado City Marshals Office for over six years, trained, and worked with the Colorado City Fire </w:t>
      </w:r>
      <w:r>
        <w:t xml:space="preserve"> </w:t>
      </w:r>
      <w:r w:rsidRPr="008561FF">
        <w:t>Department, Plaintiff did not have any Fire Certifications.</w:t>
      </w:r>
      <w:r>
        <w:t xml:space="preserve">”  He then obtained the required certifications to be a Utah firefighter and police officer.  He apparently did not know that </w:t>
      </w:r>
      <w:r w:rsidRPr="009C12DF">
        <w:t>under a council-mayor form of government, Utah law required the advice and consent of the Council</w:t>
      </w:r>
      <w:r>
        <w:t xml:space="preserve"> </w:t>
      </w:r>
      <w:r w:rsidRPr="009C12DF">
        <w:t>when appointing a department head. See Utah Code § 10-3b-202(1)(d)(ii).</w:t>
      </w:r>
      <w:r>
        <w:t xml:space="preserve">  The new Mayor, Ms. Walters, </w:t>
      </w:r>
      <w:r w:rsidRPr="00C21543">
        <w:t xml:space="preserve">took office on January 3, 2022. A week later, she and a majority of the </w:t>
      </w:r>
      <w:r>
        <w:t xml:space="preserve">[5-member] </w:t>
      </w:r>
      <w:r w:rsidRPr="00C21543">
        <w:t>Council sent Musser a letter terminating his</w:t>
      </w:r>
      <w:r>
        <w:t xml:space="preserve"> </w:t>
      </w:r>
      <w:r w:rsidRPr="00C21543">
        <w:t>employment</w:t>
      </w:r>
      <w:r>
        <w:t xml:space="preserve">. </w:t>
      </w:r>
      <w:hyperlink r:id="rId57" w:history="1">
        <w:r w:rsidRPr="007B3445">
          <w:rPr>
            <w:rStyle w:val="Hyperlink"/>
          </w:rPr>
          <w:t>https://cases.justia.com/utah/court-of-appeals-published/2025-20241334-ca.pdf?ts=1766864394</w:t>
        </w:r>
      </w:hyperlink>
      <w:r>
        <w:t xml:space="preserve"> </w:t>
      </w:r>
    </w:p>
    <w:p w14:paraId="73C11812" w14:textId="77777777" w:rsidR="00D035D9" w:rsidRDefault="00D035D9" w:rsidP="00D035D9">
      <w:pPr>
        <w:rPr>
          <w:bCs/>
        </w:rPr>
      </w:pPr>
    </w:p>
    <w:p w14:paraId="51C571EF" w14:textId="77777777" w:rsidR="00D035D9" w:rsidRDefault="00D035D9" w:rsidP="00D035D9">
      <w:pPr>
        <w:rPr>
          <w:bCs/>
        </w:rPr>
      </w:pPr>
      <w:r>
        <w:t xml:space="preserve">THE COURT HELD:  </w:t>
      </w:r>
    </w:p>
    <w:p w14:paraId="1EB0C05B" w14:textId="77777777" w:rsidR="00D035D9" w:rsidRDefault="00D035D9" w:rsidP="00D035D9">
      <w:pPr>
        <w:pStyle w:val="NoSpacing"/>
        <w:ind w:left="720"/>
        <w:rPr>
          <w:bCs/>
        </w:rPr>
      </w:pPr>
      <w:r>
        <w:t>“</w:t>
      </w:r>
      <w:r w:rsidRPr="00F2593C">
        <w:t xml:space="preserve">On November 2, 2021, </w:t>
      </w:r>
      <w:r>
        <w:t>[D</w:t>
      </w:r>
      <w:r w:rsidRPr="004B6AE3">
        <w:t xml:space="preserve">ina Mason </w:t>
      </w:r>
      <w:r>
        <w:t xml:space="preserve">] </w:t>
      </w:r>
      <w:r w:rsidRPr="00F2593C">
        <w:t>Walters was elected mayor of Apple Valley, with her term beginning in January 2022. Two days later,</w:t>
      </w:r>
      <w:r>
        <w:t xml:space="preserve"> </w:t>
      </w:r>
      <w:r w:rsidRPr="00F2593C">
        <w:t>on November 4, 2021, Musser entered into the Contract with Apple Valley to employ him as the chief of its fire and police</w:t>
      </w:r>
      <w:r>
        <w:t xml:space="preserve"> </w:t>
      </w:r>
      <w:r w:rsidRPr="00F2593C">
        <w:t>departments.</w:t>
      </w:r>
      <w:r>
        <w:t xml:space="preserve">  </w:t>
      </w:r>
      <w:r w:rsidRPr="00F2593C">
        <w:t xml:space="preserve">The mayor pro </w:t>
      </w:r>
      <w:proofErr w:type="spellStart"/>
      <w:proofErr w:type="gramStart"/>
      <w:r w:rsidRPr="00F2593C">
        <w:t>tem</w:t>
      </w:r>
      <w:proofErr w:type="spellEnd"/>
      <w:proofErr w:type="gramEnd"/>
      <w:r w:rsidRPr="00F2593C">
        <w:t xml:space="preserve"> </w:t>
      </w:r>
      <w:r>
        <w:t xml:space="preserve">[temporary acting Mayor] </w:t>
      </w:r>
      <w:r w:rsidRPr="00F2593C">
        <w:t>signed on behalf of Apple Valley. Musser began his employment on November 11, 2021.</w:t>
      </w:r>
    </w:p>
    <w:p w14:paraId="7DD0376D" w14:textId="77777777" w:rsidR="00D035D9" w:rsidRDefault="00D035D9" w:rsidP="00D035D9">
      <w:pPr>
        <w:pStyle w:val="NoSpacing"/>
        <w:ind w:left="720"/>
        <w:rPr>
          <w:bCs/>
        </w:rPr>
      </w:pPr>
    </w:p>
    <w:p w14:paraId="37EB3EAB" w14:textId="77777777" w:rsidR="00D035D9" w:rsidRDefault="00D035D9" w:rsidP="00D035D9">
      <w:pPr>
        <w:pStyle w:val="NoSpacing"/>
        <w:ind w:left="720"/>
        <w:rPr>
          <w:bCs/>
        </w:rPr>
      </w:pPr>
      <w:r w:rsidRPr="006D2942">
        <w:t xml:space="preserve">In response to concerns about the validity of the Contract and Musser's employment, the mayor pro </w:t>
      </w:r>
      <w:proofErr w:type="spellStart"/>
      <w:r w:rsidRPr="006D2942">
        <w:t>tem</w:t>
      </w:r>
      <w:proofErr w:type="spellEnd"/>
      <w:r w:rsidRPr="006D2942">
        <w:t xml:space="preserve"> presented the Council</w:t>
      </w:r>
      <w:r>
        <w:t xml:space="preserve"> </w:t>
      </w:r>
      <w:r w:rsidRPr="006D2942">
        <w:t>with a resolution (the Appointment Resolution) on December 2, 2021, to confirm Musser's appointment as the police and fire</w:t>
      </w:r>
      <w:r>
        <w:t xml:space="preserve"> </w:t>
      </w:r>
      <w:r w:rsidRPr="004E3A4E">
        <w:t>chief. Of the five Council members, only three voted on the Appointment Resolution, with two in favor and one against. The</w:t>
      </w:r>
      <w:r>
        <w:t xml:space="preserve"> </w:t>
      </w:r>
      <w:r w:rsidRPr="004E3A4E">
        <w:t>other two Council members were absent from the vote.</w:t>
      </w:r>
    </w:p>
    <w:p w14:paraId="56CFF984" w14:textId="77777777" w:rsidR="00D035D9" w:rsidRDefault="00D035D9" w:rsidP="00D035D9">
      <w:pPr>
        <w:pStyle w:val="NoSpacing"/>
        <w:ind w:left="720"/>
        <w:rPr>
          <w:bCs/>
        </w:rPr>
      </w:pPr>
    </w:p>
    <w:p w14:paraId="03A41D2A" w14:textId="77777777" w:rsidR="00D035D9" w:rsidRDefault="00D035D9" w:rsidP="00D035D9">
      <w:pPr>
        <w:pStyle w:val="NoSpacing"/>
        <w:ind w:left="720"/>
        <w:rPr>
          <w:bCs/>
        </w:rPr>
      </w:pPr>
      <w:r w:rsidRPr="00C21543">
        <w:t xml:space="preserve">Walters took office on January 3, 2022. A week later, she and </w:t>
      </w:r>
      <w:proofErr w:type="gramStart"/>
      <w:r w:rsidRPr="00C21543">
        <w:t>a majority of</w:t>
      </w:r>
      <w:proofErr w:type="gramEnd"/>
      <w:r w:rsidRPr="00C21543">
        <w:t xml:space="preserve"> the Council sent Musser a letter terminating his</w:t>
      </w:r>
      <w:r>
        <w:t xml:space="preserve"> </w:t>
      </w:r>
      <w:r w:rsidRPr="00C21543">
        <w:t>employment, which gave several reasons for Musser's termination. As relevant to this appeal, the letter explained that Musser's</w:t>
      </w:r>
      <w:r>
        <w:t xml:space="preserve"> </w:t>
      </w:r>
      <w:r w:rsidRPr="00C21543">
        <w:t xml:space="preserve">termination was necessary because the Council </w:t>
      </w:r>
      <w:r>
        <w:t>‘</w:t>
      </w:r>
      <w:r w:rsidRPr="00C21543">
        <w:t>never approved or ratified</w:t>
      </w:r>
      <w:r>
        <w:t>’</w:t>
      </w:r>
      <w:r w:rsidRPr="00C21543">
        <w:t xml:space="preserve"> the Contract.</w:t>
      </w:r>
    </w:p>
    <w:p w14:paraId="49FF906D" w14:textId="77777777" w:rsidR="00D035D9" w:rsidRDefault="00D035D9" w:rsidP="00D035D9">
      <w:pPr>
        <w:pStyle w:val="NoSpacing"/>
        <w:ind w:left="720"/>
        <w:rPr>
          <w:bCs/>
        </w:rPr>
      </w:pPr>
    </w:p>
    <w:p w14:paraId="6C5479F7" w14:textId="77777777" w:rsidR="00D035D9" w:rsidRDefault="00D035D9" w:rsidP="00D035D9">
      <w:pPr>
        <w:pStyle w:val="NoSpacing"/>
        <w:ind w:left="720"/>
        <w:rPr>
          <w:bCs/>
        </w:rPr>
      </w:pPr>
      <w:r>
        <w:t>***</w:t>
      </w:r>
    </w:p>
    <w:p w14:paraId="7FD7E6CC" w14:textId="77777777" w:rsidR="00D035D9" w:rsidRDefault="00D035D9" w:rsidP="00D035D9">
      <w:pPr>
        <w:pStyle w:val="NoSpacing"/>
        <w:ind w:left="720"/>
        <w:rPr>
          <w:bCs/>
        </w:rPr>
      </w:pPr>
      <w:r w:rsidRPr="00711A48">
        <w:t>In response to his termination, Musser filed a complaint against the Town alleging breach of the Contract because he</w:t>
      </w:r>
      <w:r>
        <w:t xml:space="preserve"> </w:t>
      </w:r>
      <w:r w:rsidRPr="00711A48">
        <w:t xml:space="preserve">was terminated </w:t>
      </w:r>
      <w:r>
        <w:t>‘</w:t>
      </w:r>
      <w:r w:rsidRPr="00711A48">
        <w:t>without notice</w:t>
      </w:r>
      <w:r>
        <w:t>’</w:t>
      </w:r>
      <w:r w:rsidRPr="00711A48">
        <w:t xml:space="preserve"> and was not given the severance he was entitled to under the Contract. The Contract described</w:t>
      </w:r>
      <w:r>
        <w:t xml:space="preserve"> </w:t>
      </w:r>
      <w:r w:rsidRPr="00711A48">
        <w:t xml:space="preserve">reasonable and sufficient notice as </w:t>
      </w:r>
      <w:r>
        <w:t>‘</w:t>
      </w:r>
      <w:r w:rsidRPr="00711A48">
        <w:t>the greater of four (4) weeks or any minimum notice required by law</w:t>
      </w:r>
      <w:r>
        <w:t xml:space="preserve">’ </w:t>
      </w:r>
      <w:r w:rsidRPr="00711A48">
        <w:t xml:space="preserve"> and provided, </w:t>
      </w:r>
      <w:r>
        <w:t>‘</w:t>
      </w:r>
      <w:r w:rsidRPr="00711A48">
        <w:t>Upon</w:t>
      </w:r>
      <w:r>
        <w:t xml:space="preserve"> </w:t>
      </w:r>
      <w:r w:rsidRPr="00711A48">
        <w:t>any termination, by [Apple Valley], the employee will be entitled to one full year of compensation paid within 14 days of</w:t>
      </w:r>
      <w:r>
        <w:t xml:space="preserve"> </w:t>
      </w:r>
      <w:r w:rsidRPr="00711A48">
        <w:t>termination.</w:t>
      </w:r>
      <w:r>
        <w:t>’</w:t>
      </w:r>
    </w:p>
    <w:p w14:paraId="18BE19DF" w14:textId="77777777" w:rsidR="00D035D9" w:rsidRDefault="00D035D9" w:rsidP="00D035D9">
      <w:pPr>
        <w:pStyle w:val="NoSpacing"/>
        <w:ind w:left="720"/>
        <w:rPr>
          <w:bCs/>
        </w:rPr>
      </w:pPr>
    </w:p>
    <w:p w14:paraId="4FF339EE" w14:textId="77777777" w:rsidR="00D035D9" w:rsidRDefault="00D035D9" w:rsidP="00D035D9">
      <w:pPr>
        <w:pStyle w:val="NoSpacing"/>
        <w:ind w:left="720"/>
        <w:rPr>
          <w:bCs/>
        </w:rPr>
      </w:pPr>
      <w:r>
        <w:t>***</w:t>
      </w:r>
    </w:p>
    <w:p w14:paraId="410248F6" w14:textId="77777777" w:rsidR="00D035D9" w:rsidRDefault="00D035D9" w:rsidP="00D035D9">
      <w:pPr>
        <w:pStyle w:val="NoSpacing"/>
        <w:ind w:left="720"/>
        <w:rPr>
          <w:bCs/>
        </w:rPr>
      </w:pPr>
    </w:p>
    <w:p w14:paraId="0FB5D59E" w14:textId="77777777" w:rsidR="00D035D9" w:rsidRDefault="00D035D9" w:rsidP="00D035D9">
      <w:pPr>
        <w:pStyle w:val="NoSpacing"/>
        <w:ind w:left="720"/>
        <w:rPr>
          <w:bCs/>
        </w:rPr>
      </w:pPr>
      <w:r w:rsidRPr="0049467E">
        <w:t>The district court concluded that the Contract was null and void as an ultra vires act because Musser was hired without</w:t>
      </w:r>
      <w:r>
        <w:t xml:space="preserve"> </w:t>
      </w:r>
      <w:r w:rsidRPr="0049467E">
        <w:t>the advice and consent of the Council. Specifically, the district court concluded that the council-mayor form of government</w:t>
      </w:r>
      <w:r>
        <w:t xml:space="preserve"> ‘</w:t>
      </w:r>
      <w:r w:rsidRPr="0049467E">
        <w:t>allowed [Musser] to be hired as the head of [Apple Valley's] police and fire departments only with the advice and consent</w:t>
      </w:r>
      <w:r>
        <w:t xml:space="preserve"> </w:t>
      </w:r>
      <w:r w:rsidRPr="0049467E">
        <w:t>of the ... Council</w:t>
      </w:r>
      <w:r>
        <w:t xml:space="preserve">’ </w:t>
      </w:r>
      <w:r w:rsidRPr="0049467E">
        <w:t xml:space="preserve">pursuant to Utah law. Because the Contract was </w:t>
      </w:r>
      <w:r>
        <w:t>‘</w:t>
      </w:r>
      <w:r w:rsidRPr="0049467E">
        <w:t>executed in violation of ... statute,</w:t>
      </w:r>
      <w:r>
        <w:t>’</w:t>
      </w:r>
      <w:r w:rsidRPr="0049467E">
        <w:t xml:space="preserve"> it was </w:t>
      </w:r>
      <w:r>
        <w:t>‘</w:t>
      </w:r>
      <w:r w:rsidRPr="0049467E">
        <w:t>null and void</w:t>
      </w:r>
      <w:r>
        <w:t xml:space="preserve"> </w:t>
      </w:r>
      <w:r w:rsidRPr="0049467E">
        <w:t>as an ultra vires act.</w:t>
      </w:r>
      <w:r>
        <w:t>’</w:t>
      </w:r>
    </w:p>
    <w:p w14:paraId="4DD0D67B" w14:textId="77777777" w:rsidR="00D035D9" w:rsidRDefault="00D035D9" w:rsidP="00D035D9">
      <w:pPr>
        <w:pStyle w:val="NoSpacing"/>
        <w:ind w:left="720"/>
        <w:rPr>
          <w:bCs/>
        </w:rPr>
      </w:pPr>
    </w:p>
    <w:p w14:paraId="5FC0FC7B" w14:textId="77777777" w:rsidR="00D035D9" w:rsidRDefault="00D035D9" w:rsidP="00D035D9">
      <w:pPr>
        <w:pStyle w:val="NoSpacing"/>
        <w:ind w:left="720"/>
        <w:rPr>
          <w:bCs/>
        </w:rPr>
      </w:pPr>
      <w:r w:rsidRPr="0099019A">
        <w:t xml:space="preserve">Musser does not challenge this conclusion by the district court. Rather, he asserts </w:t>
      </w:r>
      <w:proofErr w:type="gramStart"/>
      <w:r w:rsidRPr="0099019A">
        <w:t>a number of</w:t>
      </w:r>
      <w:proofErr w:type="gramEnd"/>
      <w:r w:rsidRPr="0099019A">
        <w:t xml:space="preserve"> arguments as to why the</w:t>
      </w:r>
      <w:r>
        <w:t xml:space="preserve"> </w:t>
      </w:r>
      <w:r w:rsidRPr="0099019A">
        <w:t>Contract is nonetheless enforceable, including that he had no knowledge of the relevant statutes and ordinances and that Apple</w:t>
      </w:r>
      <w:r>
        <w:t xml:space="preserve"> </w:t>
      </w:r>
      <w:r w:rsidRPr="0099019A">
        <w:t>Valley ratified the Contract by acquiescence. We find neither argument persuasive</w:t>
      </w:r>
      <w:r>
        <w:t xml:space="preserve">…. </w:t>
      </w:r>
      <w:r w:rsidRPr="00B50A0A">
        <w:t xml:space="preserve">Thus, the mayor pro </w:t>
      </w:r>
      <w:proofErr w:type="spellStart"/>
      <w:r w:rsidRPr="00B50A0A">
        <w:t>tem's</w:t>
      </w:r>
      <w:proofErr w:type="spellEnd"/>
      <w:r w:rsidRPr="00B50A0A">
        <w:t xml:space="preserve"> apparent authority and Musser's lack of knowledge are irrelevant and cannot overcome</w:t>
      </w:r>
      <w:r>
        <w:t xml:space="preserve"> </w:t>
      </w:r>
      <w:r w:rsidRPr="00B50A0A">
        <w:t>the fact that the Contract was never approved by Apple Valley</w:t>
      </w:r>
      <w:r>
        <w:t xml:space="preserve">…. </w:t>
      </w:r>
      <w:r w:rsidRPr="00100751">
        <w:t>The district court did not err in concluding that the Contract was invalid, because the Council never gave its advice and</w:t>
      </w:r>
      <w:r>
        <w:t xml:space="preserve"> </w:t>
      </w:r>
      <w:r w:rsidRPr="00100751">
        <w:t>consent as required by statute. Musser's arguments to the contrary are unavailing. Accordingly, we affirm the district court's</w:t>
      </w:r>
      <w:r>
        <w:t xml:space="preserve"> </w:t>
      </w:r>
      <w:r w:rsidRPr="00100751">
        <w:t>grant of summary judgment in favor of the Town</w:t>
      </w:r>
      <w:r>
        <w:t>.”</w:t>
      </w:r>
    </w:p>
    <w:p w14:paraId="09A2E5AF" w14:textId="77777777" w:rsidR="00D035D9" w:rsidRDefault="00D035D9" w:rsidP="00D035D9">
      <w:pPr>
        <w:pStyle w:val="NoSpacing"/>
        <w:ind w:left="720"/>
        <w:rPr>
          <w:bCs/>
        </w:rPr>
      </w:pPr>
    </w:p>
    <w:p w14:paraId="49522CBC" w14:textId="77777777" w:rsidR="00D035D9" w:rsidRDefault="00D035D9" w:rsidP="00D035D9">
      <w:pPr>
        <w:pStyle w:val="NoSpacing"/>
        <w:rPr>
          <w:b/>
        </w:rPr>
      </w:pPr>
      <w:r>
        <w:rPr>
          <w:b/>
        </w:rPr>
        <w:t>Legal lesson learned: Before accepting new position as Fire Chief, you need to first meet with the incoming Mayor and Council members before signing the contract.</w:t>
      </w:r>
    </w:p>
    <w:p w14:paraId="708B110B" w14:textId="77777777" w:rsidR="00D035D9" w:rsidRDefault="00D035D9" w:rsidP="00D035D9">
      <w:pPr>
        <w:pStyle w:val="NoSpacing"/>
        <w:rPr>
          <w:b/>
        </w:rPr>
      </w:pPr>
    </w:p>
    <w:p w14:paraId="2219D0A7" w14:textId="77777777" w:rsidR="00D035D9" w:rsidRDefault="00D035D9" w:rsidP="00D035D9">
      <w:pPr>
        <w:pStyle w:val="NoSpacing"/>
      </w:pPr>
      <w:r w:rsidRPr="0056174D">
        <w:t xml:space="preserve">Note:  </w:t>
      </w:r>
      <w:r>
        <w:t xml:space="preserve">Read the plaintiff’s lawsuit; he apparently had been in discussions with Mayor Dale Beddo since August 2021 and took the necessary courses to be certified as a firefighter and police officer.  </w:t>
      </w:r>
      <w:hyperlink r:id="rId58" w:history="1">
        <w:r w:rsidRPr="00811005">
          <w:rPr>
            <w:rStyle w:val="Hyperlink"/>
          </w:rPr>
          <w:t>https://www.facebook.com/groups/336997465025309/posts/424479052943816/</w:t>
        </w:r>
      </w:hyperlink>
    </w:p>
    <w:p w14:paraId="536661AC" w14:textId="77777777" w:rsidR="00D035D9" w:rsidRDefault="00D035D9" w:rsidP="00D035D9">
      <w:pPr>
        <w:pStyle w:val="NoSpacing"/>
      </w:pPr>
    </w:p>
    <w:p w14:paraId="131854FD" w14:textId="77777777" w:rsidR="00473C4B" w:rsidRDefault="00D035D9" w:rsidP="00037CB8">
      <w:pPr>
        <w:pStyle w:val="NoSpacing"/>
        <w:rPr>
          <w:rFonts w:ascii="Arial Black" w:hAnsi="Arial Black"/>
          <w:sz w:val="24"/>
          <w:szCs w:val="24"/>
        </w:rPr>
      </w:pPr>
      <w:r>
        <w:rPr>
          <w:rFonts w:ascii="Arial Black" w:hAnsi="Arial Black"/>
          <w:sz w:val="24"/>
          <w:szCs w:val="24"/>
        </w:rPr>
        <w:t xml:space="preserve"> </w:t>
      </w:r>
    </w:p>
    <w:p w14:paraId="22ADC4D3" w14:textId="4DC2845E" w:rsidR="00473C4B" w:rsidRDefault="00473C4B" w:rsidP="00037CB8">
      <w:pPr>
        <w:pStyle w:val="NoSpacing"/>
        <w:rPr>
          <w:rFonts w:ascii="Arial Black" w:hAnsi="Arial Black"/>
          <w:sz w:val="24"/>
          <w:szCs w:val="24"/>
        </w:rPr>
      </w:pPr>
      <w:r>
        <w:rPr>
          <w:rFonts w:ascii="Arial Black" w:hAnsi="Arial Black"/>
          <w:sz w:val="24"/>
          <w:szCs w:val="24"/>
        </w:rPr>
        <w:t>1-</w:t>
      </w:r>
      <w:r w:rsidR="00A44AF2">
        <w:rPr>
          <w:rFonts w:ascii="Arial Black" w:hAnsi="Arial Black"/>
          <w:sz w:val="24"/>
          <w:szCs w:val="24"/>
        </w:rPr>
        <w:t>199</w:t>
      </w:r>
    </w:p>
    <w:p w14:paraId="5A848819" w14:textId="77777777" w:rsidR="00473C4B" w:rsidRDefault="00473C4B" w:rsidP="00473C4B">
      <w:pPr>
        <w:pStyle w:val="NoSpacing"/>
        <w:rPr>
          <w:rFonts w:ascii="Arial Black" w:hAnsi="Arial Black"/>
          <w:sz w:val="28"/>
          <w:szCs w:val="28"/>
        </w:rPr>
      </w:pPr>
      <w:r>
        <w:rPr>
          <w:rFonts w:ascii="Arial Black" w:hAnsi="Arial Black"/>
          <w:sz w:val="28"/>
          <w:szCs w:val="28"/>
        </w:rPr>
        <w:t>KY: FF RESIDENCY – FDs CAN REQUIRE – NEED NEW LAW</w:t>
      </w:r>
    </w:p>
    <w:p w14:paraId="2965FF20" w14:textId="77777777" w:rsidR="00473C4B" w:rsidRDefault="00473C4B" w:rsidP="00473C4B">
      <w:pPr>
        <w:pStyle w:val="NoSpacing"/>
        <w:rPr>
          <w:bCs/>
        </w:rPr>
      </w:pPr>
    </w:p>
    <w:p w14:paraId="48F93283" w14:textId="34E20D58" w:rsidR="00473C4B" w:rsidRDefault="00473C4B" w:rsidP="00473C4B">
      <w:pPr>
        <w:pStyle w:val="NoSpacing"/>
        <w:rPr>
          <w:bCs/>
        </w:rPr>
      </w:pPr>
      <w:r>
        <w:t xml:space="preserve">On December 18, 2025, in </w:t>
      </w:r>
      <w:r w:rsidRPr="001A4912">
        <w:rPr>
          <w:u w:val="single"/>
        </w:rPr>
        <w:t>Nathan Torain, et al. v. City of Paducah</w:t>
      </w:r>
      <w:r>
        <w:t xml:space="preserve">, the Kentuck Supreme Court held (6 to 1) that the City of Paducah, which has no ambulances and relies on private ambulance service to transport patients, may impose a residency requirement that firefighters to live within McCracken County (their ordinance has exception – can reside outside County if live within 45 minute response time of Station 4).  The state legislature was concerned about recruitment, particularly in rural areas has enacted a statute with following prohibition on residency. </w:t>
      </w:r>
      <w:r w:rsidRPr="00FF28DE">
        <w:t>KRS 311A.027(1) states “No public agency, tax district, or other publicly</w:t>
      </w:r>
      <w:r>
        <w:t xml:space="preserve"> </w:t>
      </w:r>
      <w:r w:rsidRPr="00FF28DE">
        <w:t>funded emergency medical service first response provider or licensed</w:t>
      </w:r>
      <w:r>
        <w:t xml:space="preserve"> </w:t>
      </w:r>
      <w:r w:rsidRPr="00FF28DE">
        <w:t>ambulance service shall have a residence requirement for an employee of or</w:t>
      </w:r>
      <w:r>
        <w:t xml:space="preserve"> </w:t>
      </w:r>
      <w:r w:rsidRPr="00FF28DE">
        <w:t>volunteer for the organization.”</w:t>
      </w:r>
      <w:r>
        <w:t xml:space="preserve">  The Kentucky Supreme Court majority decision recognizes that many fire departments do have ambulances and suggests that Kentucky legislature clarify whether “fire &amp; EMS” departments can impose a residency requirement.  The one Dissenting Justice would extend the residency statute to Paducah, which has </w:t>
      </w:r>
      <w:r w:rsidRPr="00A3098D">
        <w:t>five (5) fire stations</w:t>
      </w:r>
      <w:r>
        <w:t xml:space="preserve">, and </w:t>
      </w:r>
      <w:r w:rsidRPr="00A3098D">
        <w:t>one (1) private ambulance</w:t>
      </w:r>
      <w:r>
        <w:t xml:space="preserve"> </w:t>
      </w:r>
      <w:r w:rsidRPr="00A3098D">
        <w:t>station</w:t>
      </w:r>
      <w:r>
        <w:t xml:space="preserve">, and all firefighters must be EMTs. </w:t>
      </w:r>
      <w:r w:rsidR="00F84DC5">
        <w:t xml:space="preserve"> </w:t>
      </w:r>
      <w:hyperlink r:id="rId59" w:history="1">
        <w:r w:rsidR="00F84DC5" w:rsidRPr="00D0038D">
          <w:rPr>
            <w:rStyle w:val="Hyperlink"/>
          </w:rPr>
          <w:t>https://law.justia.com/cases/kentucky/supreme-court/2025/2023-sc-0395-dg.html</w:t>
        </w:r>
      </w:hyperlink>
      <w:r w:rsidR="00F84DC5">
        <w:t xml:space="preserve"> </w:t>
      </w:r>
    </w:p>
    <w:p w14:paraId="1B1394CC" w14:textId="77777777" w:rsidR="00473C4B" w:rsidRDefault="00473C4B" w:rsidP="00473C4B">
      <w:pPr>
        <w:pStyle w:val="NoSpacing"/>
        <w:rPr>
          <w:bCs/>
        </w:rPr>
      </w:pPr>
    </w:p>
    <w:p w14:paraId="59401B58" w14:textId="77777777" w:rsidR="00473C4B" w:rsidRDefault="00473C4B" w:rsidP="00473C4B">
      <w:pPr>
        <w:pStyle w:val="NoSpacing"/>
      </w:pPr>
      <w:r>
        <w:t>THE COURT HELD:</w:t>
      </w:r>
    </w:p>
    <w:p w14:paraId="0B65D284" w14:textId="77777777" w:rsidR="00473C4B" w:rsidRDefault="00473C4B" w:rsidP="00473C4B">
      <w:pPr>
        <w:pStyle w:val="NoSpacing"/>
      </w:pPr>
    </w:p>
    <w:p w14:paraId="5C49D9BC" w14:textId="77777777" w:rsidR="00473C4B" w:rsidRDefault="00473C4B" w:rsidP="00473C4B">
      <w:pPr>
        <w:pStyle w:val="NoSpacing"/>
        <w:ind w:left="720"/>
      </w:pPr>
      <w:r>
        <w:t xml:space="preserve">“Paducah’s Ordinance § 2-304 states, ‘All members of the fire department hired after October 1, 1998, shall reside within McCracken County or within forty-five minutes of Station 4 as measured by a recognized mapping program . . . as a condition of their continued employment with the fire department of the city.’ </w:t>
      </w:r>
    </w:p>
    <w:p w14:paraId="1832DB97" w14:textId="77777777" w:rsidR="00473C4B" w:rsidRDefault="00473C4B" w:rsidP="00473C4B">
      <w:pPr>
        <w:pStyle w:val="NoSpacing"/>
      </w:pPr>
    </w:p>
    <w:p w14:paraId="721EDE9C" w14:textId="77777777" w:rsidR="00473C4B" w:rsidRDefault="00473C4B" w:rsidP="00473C4B">
      <w:pPr>
        <w:pStyle w:val="NoSpacing"/>
        <w:ind w:firstLine="720"/>
      </w:pPr>
      <w:r>
        <w:t>***</w:t>
      </w:r>
    </w:p>
    <w:p w14:paraId="254EEDB3" w14:textId="77777777" w:rsidR="00473C4B" w:rsidRDefault="00473C4B" w:rsidP="00473C4B">
      <w:pPr>
        <w:pStyle w:val="NoSpacing"/>
      </w:pPr>
    </w:p>
    <w:p w14:paraId="6001BC93" w14:textId="77777777" w:rsidR="00473C4B" w:rsidRDefault="00473C4B" w:rsidP="00473C4B">
      <w:pPr>
        <w:pStyle w:val="NoSpacing"/>
        <w:ind w:firstLine="720"/>
      </w:pPr>
      <w:r>
        <w:t>The trial court found,</w:t>
      </w:r>
    </w:p>
    <w:p w14:paraId="3DAC375B" w14:textId="77777777" w:rsidR="00473C4B" w:rsidRDefault="00473C4B" w:rsidP="00473C4B">
      <w:pPr>
        <w:pStyle w:val="NoSpacing"/>
      </w:pPr>
    </w:p>
    <w:p w14:paraId="12D483BD" w14:textId="77777777" w:rsidR="00473C4B" w:rsidRDefault="00473C4B" w:rsidP="00473C4B">
      <w:pPr>
        <w:pStyle w:val="NoSpacing"/>
        <w:ind w:left="1440"/>
      </w:pPr>
      <w:r>
        <w:t xml:space="preserve">‘If Paducah firefighters were emergency medical service first responders only, or even if their primary duty were medical service first response providers, Torian’s argument may have merit. However, firefighters are firefighters first and emergency medical responders second. KRS 311A.027 was not intended to apply to firefighters. Firefighters’ duties are governed by KRS Chapter 95 </w:t>
      </w:r>
      <w:proofErr w:type="gramStart"/>
      <w:r>
        <w:t>which was</w:t>
      </w:r>
      <w:proofErr w:type="gramEnd"/>
      <w:r>
        <w:t xml:space="preserve"> does not preclude ordinances establishing residence requirements for firefighters. If the legislature had intended for this section to apply to </w:t>
      </w:r>
      <w:proofErr w:type="gramStart"/>
      <w:r>
        <w:t>firefighters</w:t>
      </w:r>
      <w:proofErr w:type="gramEnd"/>
      <w:r>
        <w:t xml:space="preserve"> it would have used the term ‘firefighter’ in the body of the subsection and would not have</w:t>
      </w:r>
    </w:p>
    <w:p w14:paraId="7DCEAFCA" w14:textId="77777777" w:rsidR="00473C4B" w:rsidRDefault="00473C4B" w:rsidP="00473C4B">
      <w:pPr>
        <w:pStyle w:val="NoSpacing"/>
        <w:ind w:left="1440"/>
      </w:pPr>
      <w:r>
        <w:t>placed the statute in a chapter dealing exclusively with emergency medical services.’</w:t>
      </w:r>
    </w:p>
    <w:p w14:paraId="7D3AD92E" w14:textId="77777777" w:rsidR="00473C4B" w:rsidRDefault="00473C4B" w:rsidP="00473C4B">
      <w:pPr>
        <w:ind w:firstLine="720"/>
        <w:rPr>
          <w:bCs/>
        </w:rPr>
      </w:pPr>
      <w:r>
        <w:t>***</w:t>
      </w:r>
    </w:p>
    <w:p w14:paraId="55AAC334" w14:textId="77777777" w:rsidR="00473C4B" w:rsidRPr="00610A05" w:rsidRDefault="00473C4B" w:rsidP="00473C4B">
      <w:pPr>
        <w:pStyle w:val="NoSpacing"/>
        <w:ind w:left="720"/>
        <w:rPr>
          <w:bCs/>
        </w:rPr>
      </w:pPr>
      <w:r w:rsidRPr="00610A05">
        <w:t>At first blush, this term would seem to</w:t>
      </w:r>
      <w:r>
        <w:t xml:space="preserve"> </w:t>
      </w:r>
      <w:r w:rsidRPr="00610A05">
        <w:t>encompass fire departments since they respond to emergencies; are first</w:t>
      </w:r>
      <w:r>
        <w:t xml:space="preserve"> </w:t>
      </w:r>
      <w:r w:rsidRPr="00610A05">
        <w:t>responders; and firefighters do, or at least are trained to, provide medical</w:t>
      </w:r>
      <w:r>
        <w:t xml:space="preserve"> </w:t>
      </w:r>
      <w:r w:rsidRPr="00610A05">
        <w:t>service when called. Reference to the regulations, however, demonstrates that</w:t>
      </w:r>
    </w:p>
    <w:p w14:paraId="130F87B9" w14:textId="77777777" w:rsidR="00473C4B" w:rsidRDefault="00473C4B" w:rsidP="00473C4B">
      <w:pPr>
        <w:pStyle w:val="NoSpacing"/>
        <w:ind w:left="720"/>
        <w:rPr>
          <w:bCs/>
        </w:rPr>
      </w:pPr>
      <w:proofErr w:type="gramStart"/>
      <w:r w:rsidRPr="00610A05">
        <w:t>emergency</w:t>
      </w:r>
      <w:proofErr w:type="gramEnd"/>
      <w:r w:rsidRPr="00610A05">
        <w:t xml:space="preserve"> medical first response services are exclusively understood in the</w:t>
      </w:r>
      <w:r>
        <w:t xml:space="preserve"> </w:t>
      </w:r>
      <w:r w:rsidRPr="00610A05">
        <w:t>context of ambulance services. Since Paducah Fire Department does not</w:t>
      </w:r>
      <w:r>
        <w:t xml:space="preserve"> </w:t>
      </w:r>
      <w:r w:rsidRPr="00610A05">
        <w:t>provide ambulance services it is not covered by KRS 311A.027(1)</w:t>
      </w:r>
      <w:r>
        <w:t>.</w:t>
      </w:r>
    </w:p>
    <w:p w14:paraId="55D671EA" w14:textId="77777777" w:rsidR="00473C4B" w:rsidRDefault="00473C4B" w:rsidP="00473C4B">
      <w:pPr>
        <w:pStyle w:val="NoSpacing"/>
        <w:ind w:left="720"/>
        <w:rPr>
          <w:bCs/>
        </w:rPr>
      </w:pPr>
    </w:p>
    <w:p w14:paraId="1EDCF035" w14:textId="77777777" w:rsidR="00473C4B" w:rsidRDefault="00473C4B" w:rsidP="00473C4B">
      <w:pPr>
        <w:pStyle w:val="NoSpacing"/>
        <w:ind w:left="720"/>
        <w:rPr>
          <w:bCs/>
        </w:rPr>
      </w:pPr>
      <w:r>
        <w:t>***</w:t>
      </w:r>
    </w:p>
    <w:p w14:paraId="1CF7DEB3" w14:textId="77777777" w:rsidR="00473C4B" w:rsidRDefault="00473C4B" w:rsidP="00473C4B">
      <w:pPr>
        <w:pStyle w:val="NoSpacing"/>
        <w:ind w:left="720"/>
        <w:rPr>
          <w:bCs/>
        </w:rPr>
      </w:pPr>
      <w:r w:rsidRPr="003F0DC2">
        <w:t xml:space="preserve">The Paducah Fire Department does not maintain an </w:t>
      </w:r>
      <w:proofErr w:type="gramStart"/>
      <w:r w:rsidRPr="003F0DC2">
        <w:t>ambulance</w:t>
      </w:r>
      <w:proofErr w:type="gramEnd"/>
      <w:r w:rsidRPr="003F0DC2">
        <w:t xml:space="preserve"> and it does not</w:t>
      </w:r>
      <w:r>
        <w:t xml:space="preserve">  </w:t>
      </w:r>
      <w:r w:rsidRPr="007F3D51">
        <w:t>provide ambulance services</w:t>
      </w:r>
      <w:r>
        <w:t xml:space="preserve">. </w:t>
      </w:r>
      <w:r w:rsidRPr="007F3D51">
        <w:t xml:space="preserve"> </w:t>
      </w:r>
      <w:r>
        <w:t xml:space="preserve">[Footnote 8.] </w:t>
      </w:r>
      <w:r w:rsidRPr="007F3D51">
        <w:t xml:space="preserve">It is not a </w:t>
      </w:r>
      <w:r>
        <w:t>‘</w:t>
      </w:r>
      <w:r w:rsidRPr="007F3D51">
        <w:t>medical first response agency</w:t>
      </w:r>
      <w:r>
        <w:t xml:space="preserve">’ </w:t>
      </w:r>
      <w:r w:rsidRPr="007F3D51">
        <w:t>under</w:t>
      </w:r>
      <w:r>
        <w:t xml:space="preserve"> </w:t>
      </w:r>
      <w:r w:rsidRPr="007F3D51">
        <w:t xml:space="preserve">the regulations, therefore, we conclude it is not an </w:t>
      </w:r>
      <w:r>
        <w:t>‘</w:t>
      </w:r>
      <w:r w:rsidRPr="007F3D51">
        <w:t>emergency medical first</w:t>
      </w:r>
      <w:r>
        <w:t xml:space="preserve"> </w:t>
      </w:r>
      <w:r w:rsidRPr="007F3D51">
        <w:t>response provider</w:t>
      </w:r>
      <w:r>
        <w:t>’</w:t>
      </w:r>
      <w:r w:rsidRPr="007F3D51">
        <w:t xml:space="preserve"> under KRS 311A.027(1) since the two phrases are</w:t>
      </w:r>
      <w:r>
        <w:t xml:space="preserve"> </w:t>
      </w:r>
      <w:r w:rsidRPr="007F3D51">
        <w:t>functionally equivalent.</w:t>
      </w:r>
    </w:p>
    <w:p w14:paraId="6C272A67" w14:textId="77777777" w:rsidR="00473C4B" w:rsidRDefault="00473C4B" w:rsidP="00473C4B">
      <w:pPr>
        <w:pStyle w:val="NoSpacing"/>
        <w:ind w:left="720"/>
        <w:rPr>
          <w:bCs/>
        </w:rPr>
      </w:pPr>
    </w:p>
    <w:p w14:paraId="3592A628" w14:textId="77777777" w:rsidR="00473C4B" w:rsidRDefault="00473C4B" w:rsidP="00473C4B">
      <w:pPr>
        <w:pStyle w:val="NoSpacing"/>
        <w:ind w:left="1440"/>
        <w:rPr>
          <w:bCs/>
        </w:rPr>
      </w:pPr>
      <w:r>
        <w:t xml:space="preserve">Footnote 8: </w:t>
      </w:r>
      <w:r w:rsidRPr="001E1034">
        <w:t xml:space="preserve">Paducah represented both in briefing </w:t>
      </w:r>
      <w:proofErr w:type="gramStart"/>
      <w:r w:rsidRPr="001E1034">
        <w:t>and at</w:t>
      </w:r>
      <w:proofErr w:type="gramEnd"/>
      <w:r w:rsidRPr="001E1034">
        <w:t xml:space="preserve"> oral argument that Paducah Fire</w:t>
      </w:r>
      <w:r>
        <w:t xml:space="preserve"> </w:t>
      </w:r>
      <w:r w:rsidRPr="001E1034">
        <w:t>Department does not operate an ambulance service. The only ambulance service in</w:t>
      </w:r>
      <w:r>
        <w:t xml:space="preserve"> </w:t>
      </w:r>
      <w:r w:rsidRPr="001E1034">
        <w:t>Paducah is a private company operated by the local hospitals. Torian has not denied</w:t>
      </w:r>
      <w:r>
        <w:t xml:space="preserve"> </w:t>
      </w:r>
      <w:r w:rsidRPr="001E1034">
        <w:t>this assertion nor produced evidence to the contrary.</w:t>
      </w:r>
    </w:p>
    <w:p w14:paraId="55FD265F" w14:textId="77777777" w:rsidR="00473C4B" w:rsidRDefault="00473C4B" w:rsidP="00473C4B">
      <w:pPr>
        <w:pStyle w:val="NoSpacing"/>
        <w:ind w:left="1440"/>
        <w:rPr>
          <w:bCs/>
        </w:rPr>
      </w:pPr>
    </w:p>
    <w:p w14:paraId="6BB5DC2E" w14:textId="77777777" w:rsidR="00473C4B" w:rsidRDefault="00473C4B" w:rsidP="00473C4B">
      <w:pPr>
        <w:pStyle w:val="NoSpacing"/>
        <w:rPr>
          <w:bCs/>
        </w:rPr>
      </w:pPr>
      <w:r>
        <w:tab/>
        <w:t>***</w:t>
      </w:r>
    </w:p>
    <w:p w14:paraId="3ACCD077" w14:textId="77777777" w:rsidR="00473C4B" w:rsidRDefault="00473C4B" w:rsidP="00473C4B">
      <w:pPr>
        <w:pStyle w:val="NoSpacing"/>
        <w:rPr>
          <w:bCs/>
        </w:rPr>
      </w:pPr>
    </w:p>
    <w:p w14:paraId="5E663387" w14:textId="77777777" w:rsidR="00473C4B" w:rsidRDefault="00473C4B" w:rsidP="00473C4B">
      <w:pPr>
        <w:pStyle w:val="NoSpacing"/>
        <w:ind w:left="720"/>
        <w:rPr>
          <w:bCs/>
        </w:rPr>
      </w:pPr>
      <w:r w:rsidRPr="005C67B6">
        <w:t>The amicus brief filed by Kentucky</w:t>
      </w:r>
      <w:r>
        <w:t xml:space="preserve"> </w:t>
      </w:r>
      <w:r w:rsidRPr="005C67B6">
        <w:t>Professional Firefighters Association has also pointed out that several cities</w:t>
      </w:r>
      <w:r>
        <w:t xml:space="preserve"> </w:t>
      </w:r>
      <w:r w:rsidRPr="005C67B6">
        <w:t>and counties maintain departments which combine both fire response and</w:t>
      </w:r>
      <w:r>
        <w:t xml:space="preserve"> </w:t>
      </w:r>
      <w:r w:rsidRPr="005C67B6">
        <w:t>emergency medical services, such Winchester Fire and EMS, and Frankfort Fire</w:t>
      </w:r>
      <w:r>
        <w:t xml:space="preserve"> </w:t>
      </w:r>
      <w:r w:rsidRPr="005C67B6">
        <w:t>and EMS.</w:t>
      </w:r>
      <w:r>
        <w:t xml:space="preserve">  </w:t>
      </w:r>
      <w:r w:rsidRPr="005C67B6">
        <w:t>Presumably it is these kinds of combined service departments that</w:t>
      </w:r>
      <w:r>
        <w:t xml:space="preserve"> </w:t>
      </w:r>
      <w:r w:rsidRPr="005C67B6">
        <w:t xml:space="preserve">the parties were referring to by the term </w:t>
      </w:r>
      <w:r>
        <w:t>‘</w:t>
      </w:r>
      <w:r w:rsidRPr="005C67B6">
        <w:t>fire-based EMS.</w:t>
      </w:r>
      <w:r>
        <w:t>’</w:t>
      </w:r>
      <w:r w:rsidRPr="005C67B6">
        <w:t xml:space="preserve"> Because any</w:t>
      </w:r>
      <w:r>
        <w:t xml:space="preserve"> </w:t>
      </w:r>
      <w:r w:rsidRPr="005C67B6">
        <w:t>department which maintains an ambulance and provides ambulance services</w:t>
      </w:r>
      <w:r>
        <w:t xml:space="preserve"> </w:t>
      </w:r>
      <w:r w:rsidRPr="005C67B6">
        <w:t>is subject to the applicable regulations, they are distinct from those fire</w:t>
      </w:r>
      <w:r>
        <w:t xml:space="preserve"> </w:t>
      </w:r>
      <w:r w:rsidRPr="005C67B6">
        <w:t>departments which do not. We, therefore, do not think affirming the Court of</w:t>
      </w:r>
      <w:r>
        <w:t xml:space="preserve"> </w:t>
      </w:r>
      <w:r w:rsidRPr="00451943">
        <w:t xml:space="preserve">Appeals is quite as broad as </w:t>
      </w:r>
      <w:proofErr w:type="gramStart"/>
      <w:r w:rsidRPr="00451943">
        <w:t>amici</w:t>
      </w:r>
      <w:proofErr w:type="gramEnd"/>
      <w:r w:rsidRPr="00451943">
        <w:t xml:space="preserve"> believes. </w:t>
      </w:r>
    </w:p>
    <w:p w14:paraId="11D3BB21" w14:textId="77777777" w:rsidR="00473C4B" w:rsidRDefault="00473C4B" w:rsidP="00473C4B">
      <w:pPr>
        <w:pStyle w:val="NoSpacing"/>
        <w:ind w:left="720"/>
        <w:rPr>
          <w:bCs/>
        </w:rPr>
      </w:pPr>
    </w:p>
    <w:p w14:paraId="02BEA8D9" w14:textId="77777777" w:rsidR="00473C4B" w:rsidRPr="00451943" w:rsidRDefault="00473C4B" w:rsidP="00473C4B">
      <w:pPr>
        <w:pStyle w:val="NoSpacing"/>
        <w:ind w:left="720"/>
        <w:rPr>
          <w:bCs/>
        </w:rPr>
      </w:pPr>
      <w:r w:rsidRPr="00451943">
        <w:t>In plain terms, this decision does</w:t>
      </w:r>
      <w:r>
        <w:t xml:space="preserve"> </w:t>
      </w:r>
      <w:r w:rsidRPr="00451943">
        <w:t>not answer the question of whether combined service departments that</w:t>
      </w:r>
      <w:r>
        <w:t xml:space="preserve"> </w:t>
      </w:r>
      <w:r w:rsidRPr="00451943">
        <w:t>function as both fire departments and EMS providers are subject to KRS</w:t>
      </w:r>
    </w:p>
    <w:p w14:paraId="676047B9" w14:textId="77777777" w:rsidR="00473C4B" w:rsidRPr="00451943" w:rsidRDefault="00473C4B" w:rsidP="00473C4B">
      <w:pPr>
        <w:pStyle w:val="NoSpacing"/>
        <w:ind w:left="720"/>
        <w:rPr>
          <w:bCs/>
        </w:rPr>
      </w:pPr>
      <w:r w:rsidRPr="00451943">
        <w:t>311A.027(1).</w:t>
      </w:r>
      <w:r>
        <w:t xml:space="preserve"> </w:t>
      </w:r>
      <w:r w:rsidRPr="00451943">
        <w:t>We will not engage in dicta to provide a clue as to how that question</w:t>
      </w:r>
    </w:p>
    <w:p w14:paraId="73AC7B91" w14:textId="77777777" w:rsidR="00473C4B" w:rsidRDefault="00473C4B" w:rsidP="00473C4B">
      <w:pPr>
        <w:pStyle w:val="NoSpacing"/>
        <w:ind w:left="720"/>
        <w:rPr>
          <w:bCs/>
        </w:rPr>
      </w:pPr>
      <w:r w:rsidRPr="00451943">
        <w:t>should be resolved. It exceeds the authority of this Court to fill gaps in the</w:t>
      </w:r>
      <w:r>
        <w:t xml:space="preserve"> </w:t>
      </w:r>
      <w:r w:rsidRPr="00451943">
        <w:t>applicable legislation or regulations.</w:t>
      </w:r>
    </w:p>
    <w:p w14:paraId="3B0D6815" w14:textId="77777777" w:rsidR="00473C4B" w:rsidRDefault="00473C4B" w:rsidP="00473C4B">
      <w:pPr>
        <w:pStyle w:val="NoSpacing"/>
        <w:ind w:left="720"/>
        <w:rPr>
          <w:bCs/>
        </w:rPr>
      </w:pPr>
    </w:p>
    <w:p w14:paraId="0C5EB198" w14:textId="77777777" w:rsidR="00473C4B" w:rsidRDefault="00473C4B" w:rsidP="00473C4B">
      <w:pPr>
        <w:pStyle w:val="NoSpacing"/>
        <w:ind w:left="720"/>
        <w:rPr>
          <w:bCs/>
        </w:rPr>
      </w:pPr>
      <w:r>
        <w:t>***</w:t>
      </w:r>
    </w:p>
    <w:p w14:paraId="27CFBE08" w14:textId="77777777" w:rsidR="00473C4B" w:rsidRPr="00A24BAF" w:rsidRDefault="00473C4B" w:rsidP="00473C4B">
      <w:pPr>
        <w:pStyle w:val="NoSpacing"/>
        <w:ind w:left="720"/>
        <w:rPr>
          <w:bCs/>
        </w:rPr>
      </w:pPr>
      <w:r w:rsidRPr="00A24BAF">
        <w:t xml:space="preserve">Nonetheless, the fact that there exists in </w:t>
      </w:r>
      <w:proofErr w:type="gramStart"/>
      <w:r w:rsidRPr="00A24BAF">
        <w:t>this</w:t>
      </w:r>
      <w:proofErr w:type="gramEnd"/>
      <w:r w:rsidRPr="00A24BAF">
        <w:t xml:space="preserve"> Commonwealth</w:t>
      </w:r>
      <w:r>
        <w:t xml:space="preserve"> </w:t>
      </w:r>
      <w:r w:rsidRPr="00A24BAF">
        <w:t>departments that combine both firefighting and emergency medical services,</w:t>
      </w:r>
      <w:r>
        <w:t xml:space="preserve"> </w:t>
      </w:r>
      <w:r w:rsidRPr="00A24BAF">
        <w:t>yet such combined departments are undefined in statutory or regulatory law,</w:t>
      </w:r>
      <w:r>
        <w:t xml:space="preserve"> </w:t>
      </w:r>
      <w:r w:rsidRPr="00A24BAF">
        <w:t>leaves them in a precarious state. We call upon the General Assembly to bring</w:t>
      </w:r>
      <w:r>
        <w:t xml:space="preserve"> </w:t>
      </w:r>
      <w:r w:rsidRPr="00A24BAF">
        <w:t xml:space="preserve">clarity to this situation; if not for the sake of </w:t>
      </w:r>
      <w:proofErr w:type="gramStart"/>
      <w:r w:rsidRPr="00A24BAF">
        <w:t>the judiciary</w:t>
      </w:r>
      <w:proofErr w:type="gramEnd"/>
      <w:r w:rsidRPr="00A24BAF">
        <w:t>, then at least for the</w:t>
      </w:r>
      <w:r>
        <w:t xml:space="preserve"> </w:t>
      </w:r>
      <w:r w:rsidRPr="00A24BAF">
        <w:t>sake of the thousands of fire fighters in the Commonwealth who serve our</w:t>
      </w:r>
      <w:r>
        <w:t xml:space="preserve"> </w:t>
      </w:r>
      <w:r w:rsidRPr="00A24BAF">
        <w:t>communities. These men and women richly deserve, at the very least, to know</w:t>
      </w:r>
    </w:p>
    <w:p w14:paraId="67B9FA04" w14:textId="77777777" w:rsidR="00473C4B" w:rsidRDefault="00473C4B" w:rsidP="00473C4B">
      <w:pPr>
        <w:pStyle w:val="NoSpacing"/>
        <w:ind w:left="720"/>
        <w:rPr>
          <w:bCs/>
        </w:rPr>
      </w:pPr>
      <w:r w:rsidRPr="00A24BAF">
        <w:t>with certainty which statutes govern them. The General Assembly is quite</w:t>
      </w:r>
      <w:r>
        <w:t xml:space="preserve"> </w:t>
      </w:r>
      <w:r w:rsidRPr="00A24BAF">
        <w:t>capable of providing that certainty.</w:t>
      </w:r>
      <w:r>
        <w:t>”</w:t>
      </w:r>
    </w:p>
    <w:p w14:paraId="64B965BC" w14:textId="77777777" w:rsidR="00473C4B" w:rsidRDefault="00473C4B" w:rsidP="00473C4B">
      <w:pPr>
        <w:pStyle w:val="NoSpacing"/>
        <w:ind w:left="720"/>
        <w:rPr>
          <w:bCs/>
        </w:rPr>
      </w:pPr>
    </w:p>
    <w:p w14:paraId="3780C7EC" w14:textId="77777777" w:rsidR="00473C4B" w:rsidRDefault="00473C4B" w:rsidP="00473C4B">
      <w:pPr>
        <w:pStyle w:val="NoSpacing"/>
        <w:rPr>
          <w:bCs/>
        </w:rPr>
      </w:pPr>
      <w:r>
        <w:t xml:space="preserve">DISSENT – Justice </w:t>
      </w:r>
      <w:r w:rsidRPr="00DD15C7">
        <w:t>Michelle M. Keller</w:t>
      </w:r>
      <w:r>
        <w:t xml:space="preserve"> </w:t>
      </w:r>
    </w:p>
    <w:p w14:paraId="62826E6A" w14:textId="77777777" w:rsidR="00473C4B" w:rsidRDefault="00473C4B" w:rsidP="00473C4B">
      <w:pPr>
        <w:pStyle w:val="NoSpacing"/>
        <w:rPr>
          <w:bCs/>
        </w:rPr>
      </w:pPr>
    </w:p>
    <w:p w14:paraId="40D2D5DD" w14:textId="77777777" w:rsidR="00473C4B" w:rsidRDefault="00473C4B" w:rsidP="00473C4B">
      <w:pPr>
        <w:pStyle w:val="NoSpacing"/>
        <w:ind w:left="720"/>
        <w:rPr>
          <w:bCs/>
        </w:rPr>
      </w:pPr>
      <w:r>
        <w:t>“</w:t>
      </w:r>
      <w:r w:rsidRPr="00A3098D">
        <w:t>There are five (5) fire stations versus one (1) private ambulance</w:t>
      </w:r>
      <w:r>
        <w:t xml:space="preserve"> </w:t>
      </w:r>
      <w:r w:rsidRPr="00A3098D">
        <w:t>station in Paducah. When a citizen of Paducah calls 911 for a non-fire related</w:t>
      </w:r>
      <w:r>
        <w:t xml:space="preserve"> </w:t>
      </w:r>
      <w:r w:rsidRPr="00A3098D">
        <w:t>medical emergency, a firefighter responds and arrives, often before the private</w:t>
      </w:r>
      <w:r>
        <w:t xml:space="preserve"> </w:t>
      </w:r>
      <w:r w:rsidRPr="00A3098D">
        <w:t>ambulance service. The firefighters administer medical aid, as they are trained</w:t>
      </w:r>
      <w:r>
        <w:t xml:space="preserve"> </w:t>
      </w:r>
      <w:r w:rsidRPr="00A3098D">
        <w:t>to do. In essence, this makes them emergency medical service first response</w:t>
      </w:r>
      <w:r>
        <w:t xml:space="preserve"> </w:t>
      </w:r>
      <w:r w:rsidRPr="00A3098D">
        <w:t>providers</w:t>
      </w:r>
      <w:r>
        <w:t xml:space="preserve">…. </w:t>
      </w:r>
      <w:r w:rsidRPr="007A3DA1">
        <w:t>By both ordinance and</w:t>
      </w:r>
      <w:r>
        <w:t xml:space="preserve"> </w:t>
      </w:r>
      <w:r w:rsidRPr="007A3DA1">
        <w:t>function, Paducah’s fire department is a publicly funded emergency medical</w:t>
      </w:r>
      <w:r>
        <w:t xml:space="preserve"> </w:t>
      </w:r>
      <w:r w:rsidRPr="007A3DA1">
        <w:t>service first-response provider, its members trained, certified, and dispatched</w:t>
      </w:r>
      <w:r>
        <w:t xml:space="preserve"> </w:t>
      </w:r>
      <w:r w:rsidRPr="007A3DA1">
        <w:t>as initial medical responders.</w:t>
      </w:r>
    </w:p>
    <w:p w14:paraId="736354B3" w14:textId="77777777" w:rsidR="00473C4B" w:rsidRDefault="00473C4B" w:rsidP="00473C4B">
      <w:pPr>
        <w:pStyle w:val="NoSpacing"/>
        <w:ind w:left="720"/>
        <w:rPr>
          <w:bCs/>
        </w:rPr>
      </w:pPr>
    </w:p>
    <w:p w14:paraId="44B559ED" w14:textId="77777777" w:rsidR="00473C4B" w:rsidRDefault="00473C4B" w:rsidP="00473C4B">
      <w:pPr>
        <w:pStyle w:val="NoSpacing"/>
        <w:ind w:left="720"/>
        <w:rPr>
          <w:bCs/>
        </w:rPr>
      </w:pPr>
      <w:r>
        <w:t>***</w:t>
      </w:r>
    </w:p>
    <w:p w14:paraId="7C47BF85" w14:textId="77777777" w:rsidR="00473C4B" w:rsidRDefault="00473C4B" w:rsidP="00473C4B">
      <w:pPr>
        <w:pStyle w:val="NoSpacing"/>
        <w:ind w:left="720"/>
        <w:rPr>
          <w:bCs/>
        </w:rPr>
      </w:pPr>
      <w:r w:rsidRPr="00E04227">
        <w:t>Paducah cannot have it both ways. Paducah mandates that its</w:t>
      </w:r>
      <w:r>
        <w:t xml:space="preserve"> </w:t>
      </w:r>
      <w:r w:rsidRPr="00E04227">
        <w:t>firefighters maintain KBEMS medical responder certification precisely because</w:t>
      </w:r>
      <w:r>
        <w:t xml:space="preserve"> </w:t>
      </w:r>
      <w:r w:rsidRPr="00E04227">
        <w:t>they are the first to arrive at medical 911 scenes. This operational reality</w:t>
      </w:r>
      <w:r>
        <w:t xml:space="preserve"> </w:t>
      </w:r>
      <w:r w:rsidRPr="00E04227">
        <w:t>places the department squarely within the statute’s definition. It calls them</w:t>
      </w:r>
      <w:r>
        <w:t xml:space="preserve"> ‘</w:t>
      </w:r>
      <w:r w:rsidRPr="00E04227">
        <w:t>first responders</w:t>
      </w:r>
      <w:r>
        <w:t>’</w:t>
      </w:r>
      <w:r w:rsidRPr="00E04227">
        <w:t xml:space="preserve"> for training, insurance, and dispatch purposes, yet denies</w:t>
      </w:r>
      <w:r>
        <w:t xml:space="preserve"> </w:t>
      </w:r>
      <w:r w:rsidRPr="00E04227">
        <w:t>them that same status when the legislature extends statutory protection.</w:t>
      </w:r>
      <w:r>
        <w:t>”</w:t>
      </w:r>
    </w:p>
    <w:p w14:paraId="678B5D21" w14:textId="77777777" w:rsidR="00473C4B" w:rsidRDefault="00473C4B" w:rsidP="00473C4B">
      <w:pPr>
        <w:pStyle w:val="NoSpacing"/>
        <w:ind w:left="720"/>
        <w:rPr>
          <w:bCs/>
        </w:rPr>
      </w:pPr>
    </w:p>
    <w:p w14:paraId="6880B917" w14:textId="77777777" w:rsidR="00473C4B" w:rsidRPr="008E1096" w:rsidRDefault="00473C4B" w:rsidP="00473C4B">
      <w:pPr>
        <w:pStyle w:val="NoSpacing"/>
        <w:rPr>
          <w:b/>
        </w:rPr>
      </w:pPr>
      <w:r>
        <w:rPr>
          <w:b/>
        </w:rPr>
        <w:t xml:space="preserve">Legal lesson learned:  This decision will likely lead to further legislation to clarify residency requirements for “fire &amp; EMS” departments.  </w:t>
      </w:r>
    </w:p>
    <w:p w14:paraId="2D499C18" w14:textId="77777777" w:rsidR="00473C4B" w:rsidRDefault="00473C4B" w:rsidP="00473C4B">
      <w:pPr>
        <w:pStyle w:val="NoSpacing"/>
        <w:ind w:left="720"/>
        <w:rPr>
          <w:bCs/>
        </w:rPr>
      </w:pPr>
    </w:p>
    <w:p w14:paraId="7BF61E68" w14:textId="77777777" w:rsidR="00473C4B" w:rsidRPr="00AC06CD" w:rsidRDefault="00473C4B" w:rsidP="00473C4B">
      <w:pPr>
        <w:pStyle w:val="NoSpacing"/>
        <w:ind w:left="720"/>
        <w:rPr>
          <w:bCs/>
        </w:rPr>
      </w:pPr>
      <w:r>
        <w:t>Note: Ohio Revised Code:</w:t>
      </w:r>
      <w:r w:rsidRPr="00AC06CD">
        <w:rPr>
          <w:rFonts w:eastAsia="Times New Roman"/>
          <w:b/>
          <w:kern w:val="36"/>
          <w:sz w:val="48"/>
          <w:szCs w:val="48"/>
        </w:rPr>
        <w:t xml:space="preserve"> </w:t>
      </w:r>
      <w:r w:rsidRPr="00AC06CD">
        <w:t>Section 9.481 | Residency requirements prohibited for certain employees.</w:t>
      </w:r>
      <w:r w:rsidRPr="000E0CFF">
        <w:t xml:space="preserve"> </w:t>
      </w:r>
      <w:hyperlink r:id="rId60" w:history="1">
        <w:r w:rsidRPr="00C950F1">
          <w:rPr>
            <w:rStyle w:val="Hyperlink"/>
          </w:rPr>
          <w:t>https://codes.ohio.gov/ohio-revised-code/section-9.481</w:t>
        </w:r>
      </w:hyperlink>
      <w:r>
        <w:t xml:space="preserve"> </w:t>
      </w:r>
    </w:p>
    <w:p w14:paraId="2BF965E2" w14:textId="77777777" w:rsidR="00473C4B" w:rsidRDefault="00473C4B" w:rsidP="00473C4B">
      <w:pPr>
        <w:pStyle w:val="NoSpacing"/>
        <w:rPr>
          <w:bCs/>
        </w:rPr>
      </w:pPr>
    </w:p>
    <w:p w14:paraId="19C64A5F" w14:textId="77777777" w:rsidR="00473C4B" w:rsidRDefault="00473C4B" w:rsidP="00473C4B">
      <w:pPr>
        <w:pStyle w:val="NoSpacing"/>
        <w:rPr>
          <w:bCs/>
        </w:rPr>
      </w:pPr>
    </w:p>
    <w:p w14:paraId="671FEBFC" w14:textId="77777777" w:rsidR="00473C4B" w:rsidRDefault="00473C4B" w:rsidP="00473C4B">
      <w:pPr>
        <w:pStyle w:val="NoSpacing"/>
        <w:ind w:left="720"/>
      </w:pPr>
      <w:r>
        <w:t>“(2)(</w:t>
      </w:r>
      <w:r w:rsidRPr="009729F6">
        <w:t>b) 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t>”</w:t>
      </w:r>
    </w:p>
    <w:p w14:paraId="4EAD1BB5" w14:textId="77777777" w:rsidR="00473C4B" w:rsidRDefault="00473C4B" w:rsidP="00473C4B">
      <w:pPr>
        <w:pStyle w:val="NoSpacing"/>
        <w:ind w:left="720"/>
      </w:pPr>
    </w:p>
    <w:p w14:paraId="620CBD94" w14:textId="77777777" w:rsidR="00473C4B" w:rsidRDefault="00473C4B" w:rsidP="00473C4B">
      <w:pPr>
        <w:pStyle w:val="NoSpacing"/>
        <w:ind w:left="720"/>
      </w:pPr>
      <w:r>
        <w:t>***</w:t>
      </w:r>
    </w:p>
    <w:p w14:paraId="1DD1B3E7" w14:textId="77777777" w:rsidR="00473C4B" w:rsidRDefault="00473C4B" w:rsidP="00473C4B">
      <w:pPr>
        <w:pStyle w:val="NoSpacing"/>
        <w:ind w:left="720"/>
      </w:pPr>
    </w:p>
    <w:p w14:paraId="10EF764B" w14:textId="77777777" w:rsidR="00473C4B" w:rsidRDefault="00473C4B" w:rsidP="00473C4B">
      <w:pPr>
        <w:pStyle w:val="NoSpacing"/>
        <w:ind w:left="720"/>
        <w:rPr>
          <w:bCs/>
        </w:rPr>
      </w:pPr>
      <w:r>
        <w:t>Cincinnati Fire Department has following residency requirements. “</w:t>
      </w:r>
      <w:r w:rsidRPr="00D1365F">
        <w:t>All members shall reside within Hamilton County, Ohio, or within any county that is adjacent to Hamilton County, Ohio, or within a 35-mile radius of CFD Headquarters, located at 430 Central Ave., Cincinnati, OH 45202.</w:t>
      </w:r>
      <w:r>
        <w:t xml:space="preserve">”  </w:t>
      </w:r>
      <w:hyperlink r:id="rId61" w:history="1">
        <w:r w:rsidRPr="00C950F1">
          <w:rPr>
            <w:rStyle w:val="Hyperlink"/>
          </w:rPr>
          <w:t>https://www.cincinnati-oh.gov/fire/recruiting/requirements-to-apply/</w:t>
        </w:r>
      </w:hyperlink>
      <w:r>
        <w:t xml:space="preserve"> </w:t>
      </w:r>
    </w:p>
    <w:p w14:paraId="49E7BE83" w14:textId="77777777" w:rsidR="00473C4B" w:rsidRDefault="00473C4B" w:rsidP="00037CB8">
      <w:pPr>
        <w:pStyle w:val="NoSpacing"/>
        <w:rPr>
          <w:rFonts w:ascii="Arial Black" w:hAnsi="Arial Black"/>
          <w:sz w:val="24"/>
          <w:szCs w:val="24"/>
        </w:rPr>
      </w:pPr>
    </w:p>
    <w:p w14:paraId="51B64C6A" w14:textId="77777777" w:rsidR="00473C4B" w:rsidRDefault="00473C4B" w:rsidP="00037CB8">
      <w:pPr>
        <w:pStyle w:val="NoSpacing"/>
        <w:rPr>
          <w:rFonts w:ascii="Arial Black" w:hAnsi="Arial Black"/>
          <w:sz w:val="24"/>
          <w:szCs w:val="24"/>
        </w:rPr>
      </w:pPr>
    </w:p>
    <w:p w14:paraId="2B009C62" w14:textId="77777777" w:rsidR="00473C4B" w:rsidRDefault="00473C4B" w:rsidP="00037CB8">
      <w:pPr>
        <w:pStyle w:val="NoSpacing"/>
        <w:rPr>
          <w:rFonts w:ascii="Arial Black" w:hAnsi="Arial Black"/>
          <w:sz w:val="24"/>
          <w:szCs w:val="24"/>
        </w:rPr>
      </w:pPr>
    </w:p>
    <w:p w14:paraId="4043C759" w14:textId="77777777" w:rsidR="0028642A" w:rsidRDefault="0028642A" w:rsidP="0028642A">
      <w:pPr>
        <w:pStyle w:val="NoSpacing"/>
      </w:pPr>
    </w:p>
    <w:p w14:paraId="433F0386" w14:textId="35D5F065" w:rsidR="00374747" w:rsidRDefault="00374747" w:rsidP="00374747">
      <w:pPr>
        <w:pStyle w:val="NoSpacing"/>
        <w:rPr>
          <w:rFonts w:ascii="Arial Black" w:hAnsi="Arial Black"/>
          <w:sz w:val="24"/>
          <w:szCs w:val="24"/>
        </w:rPr>
      </w:pPr>
      <w:r>
        <w:rPr>
          <w:rFonts w:ascii="Arial Black" w:hAnsi="Arial Black"/>
          <w:sz w:val="24"/>
          <w:szCs w:val="24"/>
        </w:rPr>
        <w:t>1-198</w:t>
      </w:r>
    </w:p>
    <w:p w14:paraId="3F0523E6" w14:textId="77777777" w:rsidR="00374747" w:rsidRDefault="00374747" w:rsidP="0028642A">
      <w:pPr>
        <w:pStyle w:val="NoSpacing"/>
      </w:pPr>
    </w:p>
    <w:p w14:paraId="2C413E24" w14:textId="77777777" w:rsidR="00374747" w:rsidRPr="00C62797" w:rsidRDefault="00374747" w:rsidP="00374747">
      <w:pPr>
        <w:rPr>
          <w:rFonts w:ascii="Arial Black" w:hAnsi="Arial Black"/>
          <w:b/>
          <w:sz w:val="28"/>
          <w:szCs w:val="28"/>
        </w:rPr>
      </w:pPr>
      <w:r>
        <w:rPr>
          <w:rFonts w:ascii="Arial Black" w:hAnsi="Arial Black"/>
          <w:b/>
          <w:sz w:val="28"/>
          <w:szCs w:val="28"/>
        </w:rPr>
        <w:t xml:space="preserve">NJ: OLD TIRES – FIRE HAZARD - COMPANY SHUT DOWN </w:t>
      </w:r>
    </w:p>
    <w:p w14:paraId="5DF9AB24" w14:textId="77777777" w:rsidR="00374747" w:rsidRDefault="00374747" w:rsidP="00374747">
      <w:pPr>
        <w:pStyle w:val="NoSpacing"/>
      </w:pPr>
      <w:r>
        <w:t xml:space="preserve">On December 2, 2025, in </w:t>
      </w:r>
      <w:r w:rsidRPr="003D5FD0">
        <w:rPr>
          <w:u w:val="single"/>
        </w:rPr>
        <w:t>Township of Gloucester v. Harry’s Tires, et al</w:t>
      </w:r>
      <w:r>
        <w:t xml:space="preserve">., the </w:t>
      </w:r>
      <w:r w:rsidRPr="003D5FD0">
        <w:t>Superior Court of New Jersey, Appellate Division</w:t>
      </w:r>
      <w:r>
        <w:t xml:space="preserve"> held (2 to 0) that the trial court properly denied the motion by Harry Lamplugh, owner of Harry’s Tires, to vacate the final judgment rendered 16 months prior and re-start the business.  Since 2017 the Township zoning officer has ordered the tires stored outside his two locations be removed. The Township's acting fire marshal certified that Harry's Tires received numerous notices of violation through June 28, </w:t>
      </w:r>
      <w:proofErr w:type="gramStart"/>
      <w:r>
        <w:t>2021</w:t>
      </w:r>
      <w:proofErr w:type="gramEnd"/>
      <w:r>
        <w:t xml:space="preserve"> and failed to pay a total of $16,558 in unpaid fines. On August 18, </w:t>
      </w:r>
      <w:proofErr w:type="gramStart"/>
      <w:r>
        <w:t>2021</w:t>
      </w:r>
      <w:proofErr w:type="gramEnd"/>
      <w:r>
        <w:t xml:space="preserve"> the Township had the tires removed from his principal place of business - removal costs of $34,043, including waste disposal fees of $17,015 from Magnus Environmental and manpower costs for the Township's employees of $17,028. The township filed a lawsuit on January18, 2022 and the Court on February 28, </w:t>
      </w:r>
      <w:proofErr w:type="gramStart"/>
      <w:r>
        <w:t>2022</w:t>
      </w:r>
      <w:proofErr w:type="gramEnd"/>
      <w:r>
        <w:t xml:space="preserve"> granted the Township a permanent injunction, preventing defendants from operating their tire businesses "at the two locations" and requiring defendants to pay damages of $50,601.  The Township</w:t>
      </w:r>
    </w:p>
    <w:p w14:paraId="4E276988" w14:textId="77777777" w:rsidR="00374747" w:rsidRDefault="00374747" w:rsidP="00374747">
      <w:pPr>
        <w:pStyle w:val="NoSpacing"/>
      </w:pPr>
      <w:r>
        <w:t xml:space="preserve">thereafter remediated defendants' properties for a second time. </w:t>
      </w:r>
      <w:hyperlink r:id="rId62" w:history="1">
        <w:r w:rsidRPr="00E7352C">
          <w:rPr>
            <w:rStyle w:val="Hyperlink"/>
          </w:rPr>
          <w:t>https://cases.justia.com/new-jersey/appellate-division-unpublished/2025-a-1179-23.pdf?ts=1765469961</w:t>
        </w:r>
      </w:hyperlink>
      <w:r>
        <w:t xml:space="preserve"> </w:t>
      </w:r>
    </w:p>
    <w:p w14:paraId="59085DFF" w14:textId="77777777" w:rsidR="00374747" w:rsidRDefault="00374747" w:rsidP="00374747">
      <w:pPr>
        <w:pStyle w:val="NoSpacing"/>
      </w:pPr>
    </w:p>
    <w:p w14:paraId="310AE671" w14:textId="77777777" w:rsidR="00374747" w:rsidRDefault="00374747" w:rsidP="00374747">
      <w:pPr>
        <w:pStyle w:val="NoSpacing"/>
      </w:pPr>
      <w:r>
        <w:t>THE COURT HELD:</w:t>
      </w:r>
    </w:p>
    <w:p w14:paraId="0A37389F" w14:textId="77777777" w:rsidR="00374747" w:rsidRDefault="00374747" w:rsidP="00374747">
      <w:pPr>
        <w:pStyle w:val="NoSpacing"/>
      </w:pPr>
    </w:p>
    <w:p w14:paraId="0383EEC0" w14:textId="77777777" w:rsidR="00374747" w:rsidRDefault="00374747" w:rsidP="00374747">
      <w:pPr>
        <w:pStyle w:val="NoSpacing"/>
        <w:ind w:left="720"/>
      </w:pPr>
      <w:r>
        <w:t xml:space="preserve">“ [Township’s acting fire marshal] certified that in November 2021, ‘the Township Fire Department responded to a fire at defendants' North Black Horse Pike location because a single tire had caught fire and ‘spread to some scrap lumber and a tree branch before it was extinguished.’ The officer attached a police report stating that </w:t>
      </w:r>
      <w:proofErr w:type="gramStart"/>
      <w:r>
        <w:t>‘stacks of several</w:t>
      </w:r>
      <w:proofErr w:type="gramEnd"/>
      <w:r>
        <w:t xml:space="preserve"> hundred new and old </w:t>
      </w:r>
      <w:proofErr w:type="gramStart"/>
      <w:r>
        <w:t>tires’</w:t>
      </w:r>
      <w:proofErr w:type="gramEnd"/>
      <w:r>
        <w:t xml:space="preserve"> enclosed the fire </w:t>
      </w:r>
      <w:proofErr w:type="gramStart"/>
      <w:r>
        <w:t>area, ‘</w:t>
      </w:r>
      <w:proofErr w:type="gramEnd"/>
      <w:r>
        <w:t>making it a difficult area to access.’</w:t>
      </w:r>
    </w:p>
    <w:p w14:paraId="776AFE0F" w14:textId="77777777" w:rsidR="00374747" w:rsidRDefault="00374747" w:rsidP="00374747">
      <w:pPr>
        <w:pStyle w:val="NoSpacing"/>
        <w:ind w:left="720"/>
      </w:pPr>
    </w:p>
    <w:p w14:paraId="5EA17C22" w14:textId="77777777" w:rsidR="00374747" w:rsidRDefault="00374747" w:rsidP="00374747">
      <w:pPr>
        <w:pStyle w:val="NoSpacing"/>
        <w:ind w:left="720"/>
      </w:pPr>
      <w:r>
        <w:t>***</w:t>
      </w:r>
    </w:p>
    <w:p w14:paraId="742419C3" w14:textId="77777777" w:rsidR="00374747" w:rsidRDefault="00374747" w:rsidP="00374747">
      <w:pPr>
        <w:pStyle w:val="NoSpacing"/>
        <w:ind w:firstLine="720"/>
      </w:pPr>
    </w:p>
    <w:p w14:paraId="27FD3FE2" w14:textId="77777777" w:rsidR="00374747" w:rsidRDefault="00374747" w:rsidP="00374747">
      <w:pPr>
        <w:pStyle w:val="NoSpacing"/>
        <w:ind w:firstLine="720"/>
      </w:pPr>
      <w:r>
        <w:t xml:space="preserve">The Township's emergency management coordinator certified </w:t>
      </w:r>
      <w:proofErr w:type="gramStart"/>
      <w:r>
        <w:t>that ‘[</w:t>
      </w:r>
      <w:proofErr w:type="gramEnd"/>
      <w:r>
        <w:t>a]</w:t>
      </w:r>
    </w:p>
    <w:p w14:paraId="39888643" w14:textId="77777777" w:rsidR="00374747" w:rsidRDefault="00374747" w:rsidP="00374747">
      <w:pPr>
        <w:pStyle w:val="NoSpacing"/>
        <w:ind w:firstLine="720"/>
      </w:pPr>
      <w:r>
        <w:t>fire from any of the Harry's Tires sites would pose a major environmental and</w:t>
      </w:r>
    </w:p>
    <w:p w14:paraId="459384EB" w14:textId="77777777" w:rsidR="00374747" w:rsidRDefault="00374747" w:rsidP="00374747">
      <w:pPr>
        <w:pStyle w:val="NoSpacing"/>
        <w:ind w:firstLine="720"/>
      </w:pPr>
      <w:r>
        <w:t>logistical nightmare for emergency responders.’</w:t>
      </w:r>
    </w:p>
    <w:p w14:paraId="475EF746" w14:textId="77777777" w:rsidR="00374747" w:rsidRDefault="00374747" w:rsidP="00374747">
      <w:pPr>
        <w:pStyle w:val="NoSpacing"/>
        <w:ind w:firstLine="720"/>
      </w:pPr>
    </w:p>
    <w:p w14:paraId="21411259" w14:textId="77777777" w:rsidR="00374747" w:rsidRDefault="00374747" w:rsidP="00374747">
      <w:pPr>
        <w:pStyle w:val="NoSpacing"/>
        <w:ind w:firstLine="720"/>
      </w:pPr>
      <w:r>
        <w:t>***</w:t>
      </w:r>
    </w:p>
    <w:p w14:paraId="5869929C" w14:textId="77777777" w:rsidR="00374747" w:rsidRDefault="00374747" w:rsidP="00374747">
      <w:pPr>
        <w:pStyle w:val="NoSpacing"/>
        <w:ind w:left="720"/>
      </w:pPr>
      <w:r>
        <w:t>During argument, the … court noted the final judgment did not preclude defendants from leasing the properties or seeking approval for another use before the appropriate Township board. The second court also found that defendants offered no meritorious</w:t>
      </w:r>
    </w:p>
    <w:p w14:paraId="652A3FF0" w14:textId="77777777" w:rsidR="00374747" w:rsidRDefault="00374747" w:rsidP="00374747">
      <w:pPr>
        <w:pStyle w:val="NoSpacing"/>
        <w:ind w:firstLine="720"/>
      </w:pPr>
      <w:r>
        <w:t>defense to the Township's claims. Defendants never asserted they were ‘in</w:t>
      </w:r>
    </w:p>
    <w:p w14:paraId="20E3CF27" w14:textId="77777777" w:rsidR="00374747" w:rsidRDefault="00374747" w:rsidP="00374747">
      <w:pPr>
        <w:pStyle w:val="NoSpacing"/>
        <w:ind w:firstLine="720"/>
      </w:pPr>
      <w:r>
        <w:t>compliance’ with the Township's ordinances and had the required ‘licenses that</w:t>
      </w:r>
    </w:p>
    <w:p w14:paraId="5E8ED366" w14:textId="77777777" w:rsidR="00374747" w:rsidRDefault="00374747" w:rsidP="00374747">
      <w:pPr>
        <w:pStyle w:val="NoSpacing"/>
        <w:ind w:firstLine="720"/>
      </w:pPr>
      <w:r>
        <w:t>[they were] supposed to have.’"</w:t>
      </w:r>
    </w:p>
    <w:p w14:paraId="2850CDCB" w14:textId="77777777" w:rsidR="00374747" w:rsidRDefault="00374747" w:rsidP="00374747">
      <w:pPr>
        <w:pStyle w:val="NoSpacing"/>
        <w:ind w:firstLine="720"/>
      </w:pPr>
    </w:p>
    <w:p w14:paraId="3EF3A124" w14:textId="77777777" w:rsidR="00374747" w:rsidRPr="002B36A6" w:rsidRDefault="00374747" w:rsidP="00374747">
      <w:pPr>
        <w:pStyle w:val="NoSpacing"/>
        <w:rPr>
          <w:b/>
          <w:bCs/>
        </w:rPr>
      </w:pPr>
      <w:r>
        <w:rPr>
          <w:b/>
        </w:rPr>
        <w:t xml:space="preserve">Legal lesson learned: Storage of large </w:t>
      </w:r>
      <w:proofErr w:type="gramStart"/>
      <w:r>
        <w:rPr>
          <w:b/>
        </w:rPr>
        <w:t>amount</w:t>
      </w:r>
      <w:proofErr w:type="gramEnd"/>
      <w:r>
        <w:rPr>
          <w:b/>
        </w:rPr>
        <w:t xml:space="preserve"> of abandoned tires is a clear fire hazard. </w:t>
      </w:r>
    </w:p>
    <w:p w14:paraId="4E7D2842" w14:textId="77777777" w:rsidR="0028642A" w:rsidRDefault="0028642A" w:rsidP="0028642A">
      <w:pPr>
        <w:pStyle w:val="NoSpacing"/>
      </w:pPr>
    </w:p>
    <w:p w14:paraId="6B756B2F" w14:textId="77777777" w:rsidR="0028642A" w:rsidRDefault="0028642A" w:rsidP="00037CB8">
      <w:pPr>
        <w:pStyle w:val="NoSpacing"/>
        <w:rPr>
          <w:rFonts w:ascii="Arial Black" w:hAnsi="Arial Black"/>
          <w:sz w:val="24"/>
          <w:szCs w:val="24"/>
        </w:rPr>
      </w:pPr>
    </w:p>
    <w:p w14:paraId="75AF15D0" w14:textId="77777777" w:rsidR="00D035D9" w:rsidRDefault="00D035D9" w:rsidP="00037CB8">
      <w:pPr>
        <w:pStyle w:val="NoSpacing"/>
        <w:rPr>
          <w:rFonts w:ascii="Arial Black" w:hAnsi="Arial Black"/>
          <w:sz w:val="24"/>
          <w:szCs w:val="24"/>
        </w:rPr>
      </w:pPr>
    </w:p>
    <w:p w14:paraId="58FB5621" w14:textId="77777777" w:rsidR="00D035D9" w:rsidRDefault="00D035D9" w:rsidP="00037CB8">
      <w:pPr>
        <w:pStyle w:val="NoSpacing"/>
        <w:rPr>
          <w:rFonts w:ascii="Arial Black" w:hAnsi="Arial Black"/>
          <w:sz w:val="24"/>
          <w:szCs w:val="24"/>
        </w:rPr>
      </w:pPr>
    </w:p>
    <w:p w14:paraId="2C126ABF" w14:textId="77777777" w:rsidR="00D035D9" w:rsidRDefault="00D035D9" w:rsidP="00037CB8">
      <w:pPr>
        <w:pStyle w:val="NoSpacing"/>
        <w:rPr>
          <w:rFonts w:ascii="Arial Black" w:hAnsi="Arial Black"/>
          <w:sz w:val="24"/>
          <w:szCs w:val="24"/>
        </w:rPr>
      </w:pPr>
    </w:p>
    <w:p w14:paraId="3F8F39EF" w14:textId="3D2413A5" w:rsidR="006E51B1" w:rsidRDefault="009135A7" w:rsidP="00037CB8">
      <w:pPr>
        <w:pStyle w:val="NoSpacing"/>
        <w:rPr>
          <w:rFonts w:ascii="Arial Black" w:hAnsi="Arial Black"/>
          <w:sz w:val="24"/>
          <w:szCs w:val="24"/>
        </w:rPr>
      </w:pPr>
      <w:r>
        <w:rPr>
          <w:rFonts w:ascii="Arial Black" w:hAnsi="Arial Black"/>
          <w:sz w:val="24"/>
          <w:szCs w:val="24"/>
        </w:rPr>
        <w:t>1-197</w:t>
      </w:r>
    </w:p>
    <w:p w14:paraId="4F552192" w14:textId="77777777" w:rsidR="009135A7" w:rsidRDefault="009135A7" w:rsidP="00037CB8">
      <w:pPr>
        <w:pStyle w:val="NoSpacing"/>
        <w:rPr>
          <w:rFonts w:ascii="Arial Black" w:hAnsi="Arial Black"/>
          <w:sz w:val="24"/>
          <w:szCs w:val="24"/>
        </w:rPr>
      </w:pPr>
    </w:p>
    <w:p w14:paraId="5E376A1A" w14:textId="77777777" w:rsidR="007A5DCD" w:rsidRDefault="007A5DCD" w:rsidP="007A5DCD">
      <w:pPr>
        <w:pStyle w:val="NoSpacing"/>
        <w:rPr>
          <w:bCs/>
        </w:rPr>
      </w:pPr>
      <w:r>
        <w:rPr>
          <w:rFonts w:ascii="Arial Black" w:hAnsi="Arial Black"/>
          <w:sz w:val="28"/>
          <w:szCs w:val="28"/>
        </w:rPr>
        <w:t xml:space="preserve">PA: ARSON – LIQUID ON FLOOR - 4 PD FLED – ONE FELONY </w:t>
      </w:r>
    </w:p>
    <w:p w14:paraId="0EEE433C" w14:textId="77777777" w:rsidR="007A5DCD" w:rsidRDefault="007A5DCD" w:rsidP="007A5DCD">
      <w:pPr>
        <w:pStyle w:val="NoSpacing"/>
        <w:rPr>
          <w:bCs/>
        </w:rPr>
      </w:pPr>
    </w:p>
    <w:p w14:paraId="65961BD4" w14:textId="77777777" w:rsidR="007A5DCD" w:rsidRDefault="007A5DCD" w:rsidP="007A5DCD">
      <w:pPr>
        <w:pStyle w:val="NoSpacing"/>
      </w:pPr>
      <w:r>
        <w:t xml:space="preserve">On Nov. 19, 2025, in </w:t>
      </w:r>
      <w:r w:rsidRPr="00395990">
        <w:rPr>
          <w:u w:val="single"/>
        </w:rPr>
        <w:t>Commonwealth of Pennsylvania v. Vincent Smith</w:t>
      </w:r>
      <w:r>
        <w:t xml:space="preserve">, the </w:t>
      </w:r>
      <w:r w:rsidRPr="0048298D">
        <w:t>Supreme Court of Pennsylvania</w:t>
      </w:r>
      <w:r>
        <w:t xml:space="preserve"> held (4 to 2) that the defendant, who pled guilty, can be sentenced for one count of </w:t>
      </w:r>
      <w:r w:rsidRPr="003560CE">
        <w:t>Arson Endangering Persons (“AEP”)</w:t>
      </w:r>
      <w:r>
        <w:t>, not four counts even though he endangered four police officers.  The trial court rejected defense argument that he only committed one arson offense; the court sentenced to 4 to 8 years imprisonment for each AEP offense. He also pled guilty to involuntary manslaughter of two roommates, for aggregate sentence of 26 to 52 years imprisonment.  THE COURT WROTE: “Thus, the Crimes Code</w:t>
      </w:r>
      <w:proofErr w:type="gramStart"/>
      <w:r>
        <w:t>, as a whole, was</w:t>
      </w:r>
      <w:proofErr w:type="gramEnd"/>
      <w:r>
        <w:t xml:space="preserve"> enacted to classify all crimes into grades and degrees. Moreover, Section 3301</w:t>
      </w:r>
      <w:proofErr w:type="gramStart"/>
      <w:r>
        <w:t>, in particular, differentiates</w:t>
      </w:r>
      <w:proofErr w:type="gramEnd"/>
      <w:r>
        <w:t xml:space="preserve"> between arson endangering persons and property − Section 3301(a) − and arson endangering only property – Section 3301(c) – and allows for a harsher sentence for the former by designating the offense of AEP as a felony of the first degree. There is nothing, however, to suggest that the underlying intent of Section 3301(a) was to allow for separate convictions and sentences for each endangered </w:t>
      </w:r>
      <w:proofErr w:type="gramStart"/>
      <w:r>
        <w:t>individual.”</w:t>
      </w:r>
      <w:proofErr w:type="gramEnd"/>
      <w:r>
        <w:t xml:space="preserve"> </w:t>
      </w:r>
      <w:hyperlink r:id="rId63" w:history="1">
        <w:r w:rsidRPr="00422760">
          <w:rPr>
            <w:rStyle w:val="Hyperlink"/>
          </w:rPr>
          <w:t>https://cases.justia.com/pennsylvania/supreme-court/2025-15-wap-2024.pdf?ts=1763559881</w:t>
        </w:r>
      </w:hyperlink>
      <w:r>
        <w:t xml:space="preserve"> </w:t>
      </w:r>
    </w:p>
    <w:p w14:paraId="4AB67559" w14:textId="77777777" w:rsidR="007A5DCD" w:rsidRDefault="007A5DCD" w:rsidP="007A5DCD">
      <w:pPr>
        <w:pStyle w:val="NoSpacing"/>
      </w:pPr>
    </w:p>
    <w:p w14:paraId="54C0AF4C" w14:textId="77777777" w:rsidR="007A5DCD" w:rsidRDefault="007A5DCD" w:rsidP="007A5DCD">
      <w:pPr>
        <w:pStyle w:val="NoSpacing"/>
      </w:pPr>
      <w:r>
        <w:t>THE COURT HELD:</w:t>
      </w:r>
    </w:p>
    <w:p w14:paraId="7F11D9E3" w14:textId="77777777" w:rsidR="007A5DCD" w:rsidRDefault="007A5DCD" w:rsidP="007A5DCD">
      <w:pPr>
        <w:pStyle w:val="NoSpacing"/>
      </w:pPr>
    </w:p>
    <w:p w14:paraId="6AE0CD27" w14:textId="77777777" w:rsidR="007A5DCD" w:rsidRDefault="007A5DCD" w:rsidP="007A5DCD">
      <w:pPr>
        <w:pStyle w:val="NoSpacing"/>
        <w:ind w:left="720"/>
      </w:pPr>
      <w:r>
        <w:t>“</w:t>
      </w:r>
      <w:r w:rsidRPr="00932361">
        <w:t xml:space="preserve">In February 2018, four police officers arrived at a rowhouse in Pittsburgh </w:t>
      </w:r>
      <w:proofErr w:type="gramStart"/>
      <w:r w:rsidRPr="00932361">
        <w:t>in an</w:t>
      </w:r>
      <w:r>
        <w:t xml:space="preserve"> </w:t>
      </w:r>
      <w:r w:rsidRPr="00932361">
        <w:t>effort to</w:t>
      </w:r>
      <w:proofErr w:type="gramEnd"/>
      <w:r w:rsidRPr="00932361">
        <w:t xml:space="preserve"> locate a missing person, John Van Dyke. The officers forcibly entered the home</w:t>
      </w:r>
      <w:r>
        <w:t xml:space="preserve"> </w:t>
      </w:r>
      <w:r w:rsidRPr="00932361">
        <w:t>and repeatedly announced their presence. Once inside, the officers heard Appellant,</w:t>
      </w:r>
      <w:r>
        <w:t xml:space="preserve"> </w:t>
      </w:r>
      <w:r w:rsidRPr="00932361">
        <w:t xml:space="preserve">Vincent Smith, who was on the second floor of the residence, declare </w:t>
      </w:r>
      <w:r>
        <w:t>‘</w:t>
      </w:r>
      <w:r w:rsidRPr="00932361">
        <w:t>Steve’s not here.</w:t>
      </w:r>
      <w:r>
        <w:t xml:space="preserve">’ …  </w:t>
      </w:r>
      <w:r w:rsidRPr="00932361">
        <w:t>After re-announcing</w:t>
      </w:r>
      <w:r>
        <w:t xml:space="preserve"> </w:t>
      </w:r>
      <w:r w:rsidRPr="00932361">
        <w:t>their presence and stating their purpose, the officers observed Appellant striking matches</w:t>
      </w:r>
      <w:r>
        <w:t xml:space="preserve"> </w:t>
      </w:r>
      <w:r w:rsidRPr="00932361">
        <w:t>and throwing them on the floor, instantly setting a fire that traveled down the stairs toward</w:t>
      </w:r>
      <w:r>
        <w:t xml:space="preserve"> </w:t>
      </w:r>
      <w:r w:rsidRPr="00932361">
        <w:t>the officers. The officers immediately exited the residence, and Appellant was rescued</w:t>
      </w:r>
      <w:r>
        <w:t xml:space="preserve"> </w:t>
      </w:r>
      <w:r w:rsidRPr="00932361">
        <w:t>by firemen and treated for smoke inhalation.</w:t>
      </w:r>
    </w:p>
    <w:p w14:paraId="4D2B3C64" w14:textId="77777777" w:rsidR="007A5DCD" w:rsidRDefault="007A5DCD" w:rsidP="007A5DCD">
      <w:pPr>
        <w:pStyle w:val="NoSpacing"/>
      </w:pPr>
    </w:p>
    <w:p w14:paraId="0EB89F79" w14:textId="77777777" w:rsidR="007A5DCD" w:rsidRDefault="007A5DCD" w:rsidP="007A5DCD">
      <w:pPr>
        <w:pStyle w:val="NoSpacing"/>
        <w:ind w:left="720"/>
      </w:pPr>
      <w:r w:rsidRPr="007C4267">
        <w:t>Subsequently, the bodies of Van Dyke and another man, Steven Pariser, were</w:t>
      </w:r>
      <w:r>
        <w:t xml:space="preserve"> </w:t>
      </w:r>
      <w:r w:rsidRPr="007C4267">
        <w:t>recovered from the residence. Both men had trauma to the back of their heads, and it</w:t>
      </w:r>
      <w:r>
        <w:t xml:space="preserve"> </w:t>
      </w:r>
      <w:r w:rsidRPr="007C4267">
        <w:t>was determined that Appellant had killed the men approximately five days earlier; thus,</w:t>
      </w:r>
      <w:r>
        <w:t xml:space="preserve"> </w:t>
      </w:r>
      <w:r w:rsidRPr="007C4267">
        <w:t>their deaths were ruled as homicides. Appellant told detectives that the two victims had</w:t>
      </w:r>
      <w:r>
        <w:t xml:space="preserve"> </w:t>
      </w:r>
      <w:r w:rsidRPr="007C4267">
        <w:t>attacked him, and he fought back by throwing them down a flight of stairs, after which he</w:t>
      </w:r>
      <w:r>
        <w:t xml:space="preserve"> </w:t>
      </w:r>
      <w:r w:rsidRPr="007C4267">
        <w:t>covered them with blankets and bags. Appellant also stated that he wanted to kill himself,</w:t>
      </w:r>
      <w:r>
        <w:t xml:space="preserve"> </w:t>
      </w:r>
      <w:r w:rsidRPr="007C4267">
        <w:t>and that he had attempted to do so by taking some pills and spreading lighter fluid around</w:t>
      </w:r>
      <w:r>
        <w:t xml:space="preserve"> </w:t>
      </w:r>
      <w:r w:rsidRPr="007C4267">
        <w:t>the residence.</w:t>
      </w:r>
      <w:r>
        <w:t>”</w:t>
      </w:r>
    </w:p>
    <w:p w14:paraId="5BCAA1F3" w14:textId="77777777" w:rsidR="007A5DCD" w:rsidRDefault="007A5DCD" w:rsidP="007A5DCD">
      <w:pPr>
        <w:pStyle w:val="NoSpacing"/>
        <w:ind w:left="720"/>
      </w:pPr>
    </w:p>
    <w:p w14:paraId="07B3BB93" w14:textId="77777777" w:rsidR="007A5DCD" w:rsidRDefault="007A5DCD" w:rsidP="007A5DCD">
      <w:pPr>
        <w:pStyle w:val="NoSpacing"/>
      </w:pPr>
      <w:r>
        <w:t>DISSENT (Opinion by Justice Sallie Updyke Mundy; joined by Justice Kevin Brobson)</w:t>
      </w:r>
    </w:p>
    <w:p w14:paraId="152FB725" w14:textId="77777777" w:rsidR="007A5DCD" w:rsidRDefault="007A5DCD" w:rsidP="007A5DCD">
      <w:pPr>
        <w:pStyle w:val="NoSpacing"/>
      </w:pPr>
    </w:p>
    <w:p w14:paraId="6291B785" w14:textId="77777777" w:rsidR="007A5DCD" w:rsidRDefault="007A5DCD" w:rsidP="007A5DCD">
      <w:pPr>
        <w:pStyle w:val="NoSpacing"/>
        <w:ind w:left="720"/>
      </w:pPr>
      <w:r>
        <w:t xml:space="preserve">“As the majority itself concedes, the offense of AEP cannot be completed without </w:t>
      </w:r>
      <w:proofErr w:type="gramStart"/>
      <w:r>
        <w:t>both of these</w:t>
      </w:r>
      <w:proofErr w:type="gramEnd"/>
      <w:r>
        <w:t xml:space="preserve"> actions. Majority Op. at 15 (‘[P]lacing another person in danger of death or bodily injury is not merely a description of the result of the prohibited act of starting a fire or causing an explosion, but, rather, an essential component of the minimum conduct that must be proven to support a conviction – the actus reus − under Section 3301(a)(1)(</w:t>
      </w:r>
      <w:proofErr w:type="spellStart"/>
      <w:r>
        <w:t>i</w:t>
      </w:r>
      <w:proofErr w:type="spellEnd"/>
      <w:r>
        <w:t xml:space="preserve">).’). The General Assembly therefore intended a count of AEP to apply to each victim endangered by the intentional act of starting a fire.” </w:t>
      </w:r>
    </w:p>
    <w:p w14:paraId="0B3A422F" w14:textId="77777777" w:rsidR="007A5DCD" w:rsidRDefault="007A5DCD" w:rsidP="007A5DCD">
      <w:pPr>
        <w:pStyle w:val="NoSpacing"/>
        <w:ind w:left="720"/>
      </w:pPr>
      <w:hyperlink r:id="rId64" w:history="1">
        <w:r w:rsidRPr="00422760">
          <w:rPr>
            <w:rStyle w:val="Hyperlink"/>
          </w:rPr>
          <w:t>https://cases.justia.com/pennsylvania/supreme-court/2025-15-wap-2024-0.pdf?ts=1763559882</w:t>
        </w:r>
      </w:hyperlink>
      <w:r>
        <w:t xml:space="preserve"> </w:t>
      </w:r>
    </w:p>
    <w:p w14:paraId="5509C8E2" w14:textId="77777777" w:rsidR="007A5DCD" w:rsidRDefault="007A5DCD" w:rsidP="007A5DCD">
      <w:pPr>
        <w:pStyle w:val="NoSpacing"/>
        <w:ind w:left="720"/>
      </w:pPr>
    </w:p>
    <w:p w14:paraId="736C6EB3" w14:textId="754F208D" w:rsidR="007A5DCD" w:rsidRPr="00C63759" w:rsidRDefault="007A5DCD" w:rsidP="007A5DCD">
      <w:pPr>
        <w:pStyle w:val="NoSpacing"/>
        <w:rPr>
          <w:b/>
          <w:bCs/>
        </w:rPr>
      </w:pPr>
      <w:r>
        <w:rPr>
          <w:b/>
        </w:rPr>
        <w:t xml:space="preserve">Legal lesson learned:  </w:t>
      </w:r>
      <w:r w:rsidRPr="00C63759">
        <w:rPr>
          <w:b/>
        </w:rPr>
        <w:t>“Arson Endangering Persons”</w:t>
      </w:r>
      <w:r>
        <w:rPr>
          <w:b/>
        </w:rPr>
        <w:t xml:space="preserve"> – the two Dissenting Justices agreed with the trial court judge – the defe</w:t>
      </w:r>
      <w:r w:rsidR="00CD4F1A">
        <w:rPr>
          <w:b/>
        </w:rPr>
        <w:t xml:space="preserve">ndant </w:t>
      </w:r>
      <w:r>
        <w:rPr>
          <w:b/>
        </w:rPr>
        <w:t xml:space="preserve">endangered four police </w:t>
      </w:r>
      <w:proofErr w:type="gramStart"/>
      <w:r>
        <w:rPr>
          <w:b/>
        </w:rPr>
        <w:t>officers, and</w:t>
      </w:r>
      <w:proofErr w:type="gramEnd"/>
      <w:r>
        <w:rPr>
          <w:b/>
        </w:rPr>
        <w:t xml:space="preserve"> should be sentenced for four counts.  </w:t>
      </w:r>
    </w:p>
    <w:p w14:paraId="21DFB8BF" w14:textId="77777777" w:rsidR="007A5DCD" w:rsidRDefault="007A5DCD" w:rsidP="007A5DCD">
      <w:pPr>
        <w:rPr>
          <w:bCs/>
        </w:rPr>
      </w:pPr>
    </w:p>
    <w:p w14:paraId="60CFC215" w14:textId="77777777" w:rsidR="009135A7" w:rsidRDefault="009135A7" w:rsidP="00037CB8">
      <w:pPr>
        <w:pStyle w:val="NoSpacing"/>
        <w:rPr>
          <w:rFonts w:ascii="Arial Black" w:hAnsi="Arial Black"/>
          <w:sz w:val="24"/>
          <w:szCs w:val="24"/>
        </w:rPr>
      </w:pPr>
    </w:p>
    <w:p w14:paraId="73723EA4" w14:textId="77777777" w:rsidR="009135A7" w:rsidRDefault="009135A7" w:rsidP="00037CB8">
      <w:pPr>
        <w:pStyle w:val="NoSpacing"/>
        <w:rPr>
          <w:rFonts w:ascii="Arial Black" w:hAnsi="Arial Black"/>
          <w:sz w:val="24"/>
          <w:szCs w:val="24"/>
        </w:rPr>
      </w:pPr>
    </w:p>
    <w:p w14:paraId="49FF20B2" w14:textId="77777777" w:rsidR="009135A7" w:rsidRDefault="009135A7" w:rsidP="00037CB8">
      <w:pPr>
        <w:pStyle w:val="NoSpacing"/>
        <w:rPr>
          <w:rFonts w:ascii="Arial Black" w:hAnsi="Arial Black"/>
          <w:sz w:val="24"/>
          <w:szCs w:val="24"/>
        </w:rPr>
      </w:pPr>
    </w:p>
    <w:p w14:paraId="5DBBCF68" w14:textId="7AD7BA31" w:rsidR="006E51B1" w:rsidRDefault="006E51B1" w:rsidP="00037CB8">
      <w:pPr>
        <w:pStyle w:val="NoSpacing"/>
        <w:rPr>
          <w:rFonts w:ascii="Arial Black" w:hAnsi="Arial Black"/>
          <w:sz w:val="24"/>
          <w:szCs w:val="24"/>
        </w:rPr>
      </w:pPr>
      <w:r>
        <w:rPr>
          <w:rFonts w:ascii="Arial Black" w:hAnsi="Arial Black"/>
          <w:sz w:val="24"/>
          <w:szCs w:val="24"/>
        </w:rPr>
        <w:t>1-196</w:t>
      </w:r>
    </w:p>
    <w:p w14:paraId="71E9947D" w14:textId="77777777" w:rsidR="006E51B1" w:rsidRDefault="006E51B1" w:rsidP="00037CB8">
      <w:pPr>
        <w:pStyle w:val="NoSpacing"/>
        <w:rPr>
          <w:rFonts w:ascii="Arial Black" w:hAnsi="Arial Black"/>
          <w:sz w:val="24"/>
          <w:szCs w:val="24"/>
        </w:rPr>
      </w:pPr>
    </w:p>
    <w:p w14:paraId="516E312F" w14:textId="77777777" w:rsidR="006E51B1" w:rsidRPr="008E4E50" w:rsidRDefault="006E51B1" w:rsidP="006E51B1">
      <w:pPr>
        <w:pStyle w:val="NoSpacing"/>
        <w:rPr>
          <w:rFonts w:ascii="Arial Black" w:hAnsi="Arial Black"/>
          <w:bCs/>
          <w:sz w:val="28"/>
          <w:szCs w:val="28"/>
        </w:rPr>
      </w:pPr>
      <w:r>
        <w:rPr>
          <w:rFonts w:ascii="Arial Black" w:hAnsi="Arial Black"/>
          <w:sz w:val="28"/>
          <w:szCs w:val="28"/>
        </w:rPr>
        <w:t xml:space="preserve">WI: ARSON – NO </w:t>
      </w:r>
      <w:r w:rsidRPr="007F0262">
        <w:rPr>
          <w:rFonts w:ascii="Arial Black" w:hAnsi="Arial Black"/>
          <w:i/>
          <w:iCs/>
          <w:sz w:val="28"/>
          <w:szCs w:val="28"/>
        </w:rPr>
        <w:t>MIRANDA</w:t>
      </w:r>
      <w:r>
        <w:rPr>
          <w:rFonts w:ascii="Arial Black" w:hAnsi="Arial Black"/>
          <w:sz w:val="28"/>
          <w:szCs w:val="28"/>
        </w:rPr>
        <w:t xml:space="preserve"> – NOT IN CUSTODY BY ATF</w:t>
      </w:r>
    </w:p>
    <w:p w14:paraId="0B61AE52" w14:textId="77777777" w:rsidR="006E51B1" w:rsidRDefault="006E51B1" w:rsidP="006E51B1">
      <w:pPr>
        <w:pStyle w:val="NoSpacing"/>
        <w:rPr>
          <w:b/>
        </w:rPr>
      </w:pPr>
    </w:p>
    <w:p w14:paraId="3D6935E3" w14:textId="77777777" w:rsidR="006E51B1" w:rsidRDefault="006E51B1" w:rsidP="006E51B1">
      <w:pPr>
        <w:pStyle w:val="NoSpacing"/>
        <w:rPr>
          <w:bCs/>
        </w:rPr>
      </w:pPr>
      <w:r>
        <w:t xml:space="preserve">On October 28, 2025, in </w:t>
      </w:r>
      <w:r w:rsidRPr="001E3816">
        <w:rPr>
          <w:u w:val="single"/>
        </w:rPr>
        <w:t>United States of America v. Arletta Allen</w:t>
      </w:r>
      <w:r>
        <w:t xml:space="preserve">, U.S. District Court Chief Judge Pamela A. Pepper, United States District Court for the Eastern District of Wisconsin adopted the U.S. Magistrate Judge William E. Duffin’s recommendation to deny defense </w:t>
      </w:r>
      <w:r w:rsidRPr="006D53D8">
        <w:t xml:space="preserve">motion to suppress statements she made to </w:t>
      </w:r>
      <w:r>
        <w:t xml:space="preserve">ATF Special Agents </w:t>
      </w:r>
      <w:r w:rsidRPr="006D53D8">
        <w:t xml:space="preserve">on November 2, </w:t>
      </w:r>
      <w:proofErr w:type="gramStart"/>
      <w:r w:rsidRPr="006D53D8">
        <w:t>2021</w:t>
      </w:r>
      <w:proofErr w:type="gramEnd"/>
      <w:r>
        <w:t xml:space="preserve"> sitting in their vehicle as agents searched her home.  </w:t>
      </w:r>
      <w:r w:rsidRPr="001E3816">
        <w:t>According to the indictment, on or about October 10, 2021, Allen maliciously damaged by fire a restaurant known as “A Family Affair Soulfood Kitchen” located at 417 S. Main Street in Fond du Lac, Wisconsin.</w:t>
      </w:r>
      <w:r>
        <w:t xml:space="preserve">  </w:t>
      </w:r>
      <w:r w:rsidRPr="008231EE">
        <w:t xml:space="preserve">Judge Duffin determined that </w:t>
      </w:r>
      <w:proofErr w:type="gramStart"/>
      <w:r w:rsidRPr="008231EE">
        <w:t>in light of</w:t>
      </w:r>
      <w:proofErr w:type="gramEnd"/>
      <w:r w:rsidRPr="008231EE">
        <w:t xml:space="preserve"> all the facts, the defendant had failed to establish that her movement was restricted to the degree of an arrest</w:t>
      </w:r>
      <w:r>
        <w:t xml:space="preserve">.  </w:t>
      </w:r>
      <w:r w:rsidRPr="008231EE">
        <w:t>Judge Duffin recounted that SA Heimerl had told the defendant that she was not under arrest and had explained that the search team was present to execute the warran</w:t>
      </w:r>
      <w:r>
        <w:t xml:space="preserve">t. </w:t>
      </w:r>
      <w:hyperlink r:id="rId65" w:history="1">
        <w:r w:rsidRPr="00467EB3">
          <w:rPr>
            <w:rStyle w:val="Hyperlink"/>
          </w:rPr>
          <w:t>https://public.fastcase.com/jaEE2PXzRXmZ99jOLMt1Io7YtJZzhGRSpWTaEU5VEs33%2BTg9rUAoQurxZOT9gqkAJFaugLm9Mxx2CSeMl9vD0%2FrzAe6H5F%2F5zH2a3krjQxc%3D?utm_medium=email&amp;_hsenc=p2ANqtz--xi3xhqQTQTPjw8tThXPxla5fboNp_lyjnL-u37viXN8Zx1O-9U8osPNb7oBpn1RZ6w4oAGvXBZvBP5z9zhZ_Qvufy4w&amp;_hsmi=226712652&amp;utm_content=226712652&amp;utm_source=hs_email</w:t>
        </w:r>
      </w:hyperlink>
      <w:r>
        <w:t xml:space="preserve"> </w:t>
      </w:r>
    </w:p>
    <w:p w14:paraId="084524DA" w14:textId="77777777" w:rsidR="006E51B1" w:rsidRDefault="006E51B1" w:rsidP="006E51B1">
      <w:pPr>
        <w:pStyle w:val="NoSpacing"/>
        <w:rPr>
          <w:bCs/>
        </w:rPr>
      </w:pPr>
    </w:p>
    <w:p w14:paraId="5FA37B70" w14:textId="77777777" w:rsidR="006E51B1" w:rsidRDefault="006E51B1" w:rsidP="006E51B1">
      <w:pPr>
        <w:pStyle w:val="NoSpacing"/>
        <w:rPr>
          <w:bCs/>
        </w:rPr>
      </w:pPr>
    </w:p>
    <w:p w14:paraId="1DC35307" w14:textId="77777777" w:rsidR="006E51B1" w:rsidRDefault="006E51B1" w:rsidP="006E51B1">
      <w:pPr>
        <w:pStyle w:val="NoSpacing"/>
      </w:pPr>
      <w:r>
        <w:t>THE COURT HELD:</w:t>
      </w:r>
    </w:p>
    <w:p w14:paraId="6954F720" w14:textId="77777777" w:rsidR="006E51B1" w:rsidRDefault="006E51B1" w:rsidP="006E51B1">
      <w:pPr>
        <w:pStyle w:val="NoSpacing"/>
      </w:pPr>
    </w:p>
    <w:p w14:paraId="7B9980AE" w14:textId="77777777" w:rsidR="006E51B1" w:rsidRDefault="006E51B1" w:rsidP="006E51B1">
      <w:pPr>
        <w:pStyle w:val="NoSpacing"/>
        <w:ind w:left="720"/>
      </w:pPr>
      <w:r>
        <w:t>“</w:t>
      </w:r>
      <w:r w:rsidRPr="007C1D31">
        <w:t>On November 1, 2021, Magistrate Judge Stephen C. Dries issued search warrants for the restaurant, the defendant's house and the defendant's Dodge Durango</w:t>
      </w:r>
      <w:r>
        <w:t xml:space="preserve">…. </w:t>
      </w:r>
      <w:r w:rsidRPr="007C1D31">
        <w:t>Judge Dries also issued a search warrant for the defendant's Facebook account</w:t>
      </w:r>
      <w:r>
        <w:t xml:space="preserve">…. </w:t>
      </w:r>
    </w:p>
    <w:p w14:paraId="4AEA8F4B" w14:textId="77777777" w:rsidR="006E51B1" w:rsidRDefault="006E51B1" w:rsidP="006E51B1">
      <w:pPr>
        <w:pStyle w:val="NoSpacing"/>
        <w:ind w:left="720"/>
      </w:pPr>
    </w:p>
    <w:p w14:paraId="2388024B" w14:textId="77777777" w:rsidR="006E51B1" w:rsidRDefault="006E51B1" w:rsidP="006E51B1">
      <w:pPr>
        <w:pStyle w:val="NoSpacing"/>
        <w:ind w:left="720"/>
      </w:pPr>
      <w:r w:rsidRPr="00773286">
        <w:t xml:space="preserve">On the morning of November 2, 2021, Special Agent Kevin Heimerl called the defendant and asked to meet with her to </w:t>
      </w:r>
      <w:r>
        <w:t>‘</w:t>
      </w:r>
      <w:r w:rsidRPr="00773286">
        <w:t>share a little bit of information.</w:t>
      </w:r>
      <w:r>
        <w:t>’ ....</w:t>
      </w:r>
      <w:r w:rsidRPr="00773286">
        <w:t xml:space="preserve"> </w:t>
      </w:r>
      <w:r>
        <w:t xml:space="preserve"> </w:t>
      </w:r>
      <w:r w:rsidRPr="00773286">
        <w:t>SA Heimerl and SA Matthew Anderson were parked about one block away from the defendant's house at the time of the call</w:t>
      </w:r>
      <w:r>
        <w:t xml:space="preserve">…. </w:t>
      </w:r>
      <w:r w:rsidRPr="00773286">
        <w:t>Heimerl recorded a portion of this phone call and his later in-person conversation with the defendant that morning</w:t>
      </w:r>
      <w:r>
        <w:t xml:space="preserve">…. </w:t>
      </w:r>
      <w:r w:rsidRPr="00773286">
        <w:t>About two minutes after speaking with the defendant on the phone, the agents arrived at her home and parked in her driveway at the rear of the home</w:t>
      </w:r>
      <w:r>
        <w:t xml:space="preserve">…. </w:t>
      </w:r>
    </w:p>
    <w:p w14:paraId="33CCCD1D" w14:textId="77777777" w:rsidR="006E51B1" w:rsidRDefault="006E51B1" w:rsidP="006E51B1">
      <w:pPr>
        <w:pStyle w:val="NoSpacing"/>
        <w:ind w:left="720"/>
      </w:pPr>
    </w:p>
    <w:p w14:paraId="52E5B184" w14:textId="77777777" w:rsidR="006E51B1" w:rsidRDefault="006E51B1" w:rsidP="006E51B1">
      <w:pPr>
        <w:pStyle w:val="NoSpacing"/>
        <w:ind w:left="720"/>
      </w:pPr>
      <w:r>
        <w:t>***</w:t>
      </w:r>
    </w:p>
    <w:p w14:paraId="50D808F1" w14:textId="77777777" w:rsidR="006E51B1" w:rsidRPr="00773286" w:rsidRDefault="006E51B1" w:rsidP="006E51B1">
      <w:pPr>
        <w:pStyle w:val="NoSpacing"/>
        <w:ind w:left="720"/>
      </w:pPr>
      <w:r w:rsidRPr="00773286">
        <w:t xml:space="preserve"> </w:t>
      </w:r>
    </w:p>
    <w:p w14:paraId="0ADBE649" w14:textId="77777777" w:rsidR="006E51B1" w:rsidRDefault="006E51B1" w:rsidP="006E51B1">
      <w:pPr>
        <w:pStyle w:val="NoSpacing"/>
        <w:ind w:left="720"/>
      </w:pPr>
      <w:r w:rsidRPr="009D7443">
        <w:t xml:space="preserve">Heimerl told the defendant, </w:t>
      </w:r>
      <w:r>
        <w:t>‘</w:t>
      </w:r>
      <w:r w:rsidRPr="009D7443">
        <w:t xml:space="preserve">Just get what you need to get and we're </w:t>
      </w:r>
      <w:proofErr w:type="spellStart"/>
      <w:r w:rsidRPr="009D7443">
        <w:t>gonna</w:t>
      </w:r>
      <w:proofErr w:type="spellEnd"/>
      <w:r w:rsidRPr="009D7443">
        <w:t xml:space="preserve"> go outside and sit in my truck</w:t>
      </w:r>
      <w:proofErr w:type="gramStart"/>
      <w:r w:rsidRPr="009D7443">
        <w:t>.</w:t>
      </w:r>
      <w:proofErr w:type="gramEnd"/>
      <w:r w:rsidRPr="009D7443">
        <w:t xml:space="preserve"> Okay?</w:t>
      </w:r>
      <w:r>
        <w:t xml:space="preserve">’ … </w:t>
      </w:r>
      <w:r w:rsidRPr="009D7443">
        <w:t>The agents then escorted the defendant downstairs and toward the parked truck</w:t>
      </w:r>
      <w:r>
        <w:t xml:space="preserve">…. </w:t>
      </w:r>
      <w:r w:rsidRPr="009D7443">
        <w:t xml:space="preserve"> The agents did not pat the defendant down or place her in handcuffs</w:t>
      </w:r>
      <w:r>
        <w:t xml:space="preserve">…. </w:t>
      </w:r>
      <w:r w:rsidRPr="009D7443">
        <w:t xml:space="preserve"> The defendant asserts that Heimerl placed his hand on her arm and physically guided her out the door of her home, while Heimerl states that he did not have any physical contact with the defendant after taking her phone</w:t>
      </w:r>
      <w:r>
        <w:t xml:space="preserve">…. </w:t>
      </w:r>
      <w:r w:rsidRPr="009D7443">
        <w:t>Once at the truck, the defendant was escorted into the front passenger seat</w:t>
      </w:r>
      <w:r>
        <w:t xml:space="preserve">…. </w:t>
      </w:r>
      <w:r w:rsidRPr="009D7443">
        <w:t>Heimerl sat in the driver's seat and turned on the vehicle and its heating system, while Anderson sat in the rear passenger seat behind the defendant.</w:t>
      </w:r>
    </w:p>
    <w:p w14:paraId="311E451A" w14:textId="77777777" w:rsidR="006E51B1" w:rsidRDefault="006E51B1" w:rsidP="006E51B1">
      <w:pPr>
        <w:pStyle w:val="NoSpacing"/>
        <w:ind w:left="720"/>
      </w:pPr>
    </w:p>
    <w:p w14:paraId="714DD454" w14:textId="77777777" w:rsidR="006E51B1" w:rsidRDefault="006E51B1" w:rsidP="006E51B1">
      <w:pPr>
        <w:pStyle w:val="NoSpacing"/>
        <w:ind w:left="720"/>
      </w:pPr>
      <w:r w:rsidRPr="007B5FA6">
        <w:t>The defendant then saw approximately ten officers approaching her home with weapons drawn</w:t>
      </w:r>
      <w:r>
        <w:t xml:space="preserve">…. </w:t>
      </w:r>
      <w:r w:rsidRPr="007B5FA6">
        <w:t>The defendant believed that the officers looked like a SWAT team and was visibly shaken, anxious and upset</w:t>
      </w:r>
      <w:r>
        <w:t xml:space="preserve">….  </w:t>
      </w:r>
      <w:r w:rsidRPr="007B5FA6">
        <w:t>Heimerl questioned the defendant about the fire, including showing her images from the surveillance footage, while law enforcement executed the search warrant</w:t>
      </w:r>
      <w:r>
        <w:t xml:space="preserve">… </w:t>
      </w:r>
      <w:r w:rsidRPr="007B5FA6">
        <w:t>The defendant was in the truck for approximately two hours</w:t>
      </w:r>
      <w:r>
        <w:t xml:space="preserve">…. </w:t>
      </w:r>
      <w:r w:rsidRPr="007B5FA6">
        <w:t xml:space="preserve">Neither agent informed the defendant of her </w:t>
      </w:r>
      <w:r w:rsidRPr="007B5FA6">
        <w:rPr>
          <w:i/>
          <w:iCs/>
        </w:rPr>
        <w:t>Miranda</w:t>
      </w:r>
      <w:r w:rsidRPr="007B5FA6">
        <w:t xml:space="preserve"> rights</w:t>
      </w:r>
      <w:r>
        <w:t xml:space="preserve">…. </w:t>
      </w:r>
      <w:r w:rsidRPr="007B5FA6">
        <w:t>The defendant previously had met or spoken with Heimerl six times before this but never had been shown the surveillance images from the night of the fire</w:t>
      </w:r>
      <w:r>
        <w:t xml:space="preserve">…. </w:t>
      </w:r>
      <w:r w:rsidRPr="007B5FA6">
        <w:t xml:space="preserve">Both agents were in plainclothes and armed during the </w:t>
      </w:r>
      <w:proofErr w:type="gramStart"/>
      <w:r w:rsidRPr="007B5FA6">
        <w:t>interview, but</w:t>
      </w:r>
      <w:proofErr w:type="gramEnd"/>
      <w:r w:rsidRPr="007B5FA6">
        <w:t xml:space="preserve"> did not display their weapons to the defendant</w:t>
      </w:r>
      <w:r>
        <w:t xml:space="preserve">…. </w:t>
      </w:r>
      <w:r w:rsidRPr="007B5FA6">
        <w:t xml:space="preserve">During the interview, the defendant was </w:t>
      </w:r>
      <w:r>
        <w:t>‘</w:t>
      </w:r>
      <w:r w:rsidRPr="007B5FA6">
        <w:t>visibly shaken, upset, and scared</w:t>
      </w:r>
      <w:r>
        <w:t>’</w:t>
      </w:r>
      <w:r w:rsidRPr="007B5FA6">
        <w:t xml:space="preserve"> with </w:t>
      </w:r>
      <w:r>
        <w:t>‘</w:t>
      </w:r>
      <w:r w:rsidRPr="007B5FA6">
        <w:t>tears in her eyes at times.</w:t>
      </w:r>
      <w:r>
        <w:t xml:space="preserve">’ … </w:t>
      </w:r>
      <w:r w:rsidRPr="007B5FA6">
        <w:t xml:space="preserve">The parties agree that </w:t>
      </w:r>
      <w:r>
        <w:t>‘</w:t>
      </w:r>
      <w:r w:rsidRPr="007B5FA6">
        <w:t>portions</w:t>
      </w:r>
      <w:r>
        <w:t>’</w:t>
      </w:r>
      <w:r w:rsidRPr="007B5FA6">
        <w:t xml:space="preserve"> of Heimerl's questioning constituted an interrogation, but dispute whether the interrogation was conducted in a custodial setting. </w:t>
      </w:r>
    </w:p>
    <w:p w14:paraId="51D78B35" w14:textId="77777777" w:rsidR="006E51B1" w:rsidRDefault="006E51B1" w:rsidP="006E51B1">
      <w:pPr>
        <w:pStyle w:val="NoSpacing"/>
        <w:ind w:left="720"/>
      </w:pPr>
    </w:p>
    <w:p w14:paraId="55045149" w14:textId="77777777" w:rsidR="006E51B1" w:rsidRDefault="006E51B1" w:rsidP="006E51B1">
      <w:pPr>
        <w:pStyle w:val="NoSpacing"/>
        <w:ind w:left="720"/>
      </w:pPr>
      <w:r>
        <w:t>***</w:t>
      </w:r>
    </w:p>
    <w:p w14:paraId="21AF3FFA" w14:textId="77777777" w:rsidR="006E51B1" w:rsidRDefault="006E51B1" w:rsidP="006E51B1">
      <w:pPr>
        <w:pStyle w:val="NoSpacing"/>
        <w:ind w:left="720"/>
      </w:pPr>
      <w:r w:rsidRPr="00804126">
        <w:t xml:space="preserve">Based on the totality of the circumstances, the court agrees with Judge Duffin that the defendant was not in custody. The defendant's initial contact with the agents was at her house. Although the agents went with her, she was allowed to get warmer clothing. She left her house and went with the agents to their truck, which was on her property. She remained in the truck for about an hour for the </w:t>
      </w:r>
      <w:proofErr w:type="gramStart"/>
      <w:r w:rsidRPr="00804126">
        <w:t>purposes</w:t>
      </w:r>
      <w:proofErr w:type="gramEnd"/>
      <w:r w:rsidRPr="00804126">
        <w:t xml:space="preserve"> of questioning (the questioning did not continue into the second hour), she was not physically </w:t>
      </w:r>
      <w:proofErr w:type="gramStart"/>
      <w:r w:rsidRPr="00804126">
        <w:t>restrained</w:t>
      </w:r>
      <w:proofErr w:type="gramEnd"/>
      <w:r w:rsidRPr="00804126">
        <w:t xml:space="preserve"> and she was released at the end of the conversation. The agents did not point their weapons at the defendant or threaten her. She was not detained at a police station or government building. Heimerl told the defendant that she did not have to answer the agents' questions, and the defendant demonstrated that she understood by declining to answer when asked to explain why she may have been at her restaurant on the night of the fire. Although there were several officers present to execute the search warrant, the defendant directly interacted only with Heimerl and Anderson, both of whom were known to her from previous interactions. The defendant has not alleged that the agents yelled at her or that they physically or verbally abused her. Although the defendant may have felt scared or upset during the interview, her subjective perception of the circumstances is not the issue. The question is whether a reasonable person in her position would have felt free to leave. Judge Duffin did not err in concluding that a reasonable person in that position would have felt free to leave.</w:t>
      </w:r>
      <w:r>
        <w:t>”</w:t>
      </w:r>
    </w:p>
    <w:p w14:paraId="5B362738" w14:textId="77777777" w:rsidR="006E51B1" w:rsidRDefault="006E51B1" w:rsidP="006E51B1">
      <w:pPr>
        <w:pStyle w:val="NoSpacing"/>
        <w:ind w:left="720"/>
      </w:pPr>
    </w:p>
    <w:p w14:paraId="478B8189" w14:textId="41238CE4" w:rsidR="006E51B1" w:rsidRPr="00804126" w:rsidRDefault="006E51B1" w:rsidP="006E51B1">
      <w:pPr>
        <w:pStyle w:val="NoSpacing"/>
        <w:rPr>
          <w:b/>
          <w:bCs/>
        </w:rPr>
      </w:pPr>
      <w:r>
        <w:rPr>
          <w:b/>
        </w:rPr>
        <w:t xml:space="preserve">Lesson learned:  The case will now proceed to trial; arson investigators should consult with prosecutors about their plan to have </w:t>
      </w:r>
      <w:proofErr w:type="gramStart"/>
      <w:r>
        <w:rPr>
          <w:b/>
        </w:rPr>
        <w:t>defendant</w:t>
      </w:r>
      <w:proofErr w:type="gramEnd"/>
      <w:r>
        <w:rPr>
          <w:b/>
        </w:rPr>
        <w:t xml:space="preserve"> wait in their vehicle as her home is searched, and when </w:t>
      </w:r>
      <w:r w:rsidRPr="00A058B6">
        <w:rPr>
          <w:b/>
          <w:i/>
          <w:iCs/>
        </w:rPr>
        <w:t xml:space="preserve">Miranda </w:t>
      </w:r>
      <w:r>
        <w:rPr>
          <w:b/>
        </w:rPr>
        <w:t xml:space="preserve">warnings should be given.  </w:t>
      </w:r>
    </w:p>
    <w:p w14:paraId="4DF537B7" w14:textId="77777777" w:rsidR="006E51B1" w:rsidRPr="007B5FA6" w:rsidRDefault="006E51B1" w:rsidP="006E51B1">
      <w:pPr>
        <w:pStyle w:val="NoSpacing"/>
        <w:ind w:left="720"/>
      </w:pPr>
    </w:p>
    <w:p w14:paraId="5367443E" w14:textId="77777777" w:rsidR="006E51B1" w:rsidRPr="000A4CD4" w:rsidRDefault="006E51B1" w:rsidP="006E51B1">
      <w:pPr>
        <w:pStyle w:val="NoSpacing"/>
        <w:ind w:left="720"/>
        <w:rPr>
          <w:b/>
        </w:rPr>
      </w:pPr>
      <w:r>
        <w:t xml:space="preserve">Note: See the Dec. 17, </w:t>
      </w:r>
      <w:proofErr w:type="gramStart"/>
      <w:r>
        <w:t>2024</w:t>
      </w:r>
      <w:proofErr w:type="gramEnd"/>
      <w:r>
        <w:t xml:space="preserve"> Press Release by U.S. Attorney’s Office when she was indicted. “</w:t>
      </w:r>
      <w:r w:rsidRPr="007F0061">
        <w:t>Former Restaurant Owner Indicted for Arson and Related Charges</w:t>
      </w:r>
      <w:r>
        <w:t>”</w:t>
      </w:r>
    </w:p>
    <w:p w14:paraId="3BB1D36B" w14:textId="77777777" w:rsidR="006E51B1" w:rsidRDefault="006E51B1" w:rsidP="006E51B1">
      <w:pPr>
        <w:pStyle w:val="NoSpacing"/>
        <w:ind w:left="720"/>
      </w:pPr>
      <w:hyperlink r:id="rId66" w:history="1">
        <w:r w:rsidRPr="00465B64">
          <w:rPr>
            <w:rStyle w:val="Hyperlink"/>
          </w:rPr>
          <w:t>https://www.justice.gov/usao-edwi/pr/former-restaurant-owner-indicted-arson-and-related-charges</w:t>
        </w:r>
      </w:hyperlink>
      <w:r>
        <w:t xml:space="preserve"> </w:t>
      </w:r>
    </w:p>
    <w:p w14:paraId="7A92164B" w14:textId="77777777" w:rsidR="006E51B1" w:rsidRDefault="006E51B1" w:rsidP="00037CB8">
      <w:pPr>
        <w:pStyle w:val="NoSpacing"/>
        <w:rPr>
          <w:rFonts w:ascii="Arial Black" w:hAnsi="Arial Black"/>
          <w:sz w:val="24"/>
          <w:szCs w:val="24"/>
        </w:rPr>
      </w:pPr>
    </w:p>
    <w:p w14:paraId="15E46EAC" w14:textId="77777777" w:rsidR="003306E6" w:rsidRDefault="003306E6" w:rsidP="00037CB8">
      <w:pPr>
        <w:pStyle w:val="NoSpacing"/>
        <w:rPr>
          <w:rFonts w:ascii="Arial Black" w:hAnsi="Arial Black"/>
          <w:sz w:val="24"/>
          <w:szCs w:val="24"/>
        </w:rPr>
      </w:pPr>
    </w:p>
    <w:p w14:paraId="17B76AC3" w14:textId="388F7597" w:rsidR="003306E6" w:rsidRDefault="003306E6" w:rsidP="00037CB8">
      <w:pPr>
        <w:pStyle w:val="NoSpacing"/>
        <w:rPr>
          <w:rFonts w:ascii="Arial Black" w:hAnsi="Arial Black"/>
          <w:sz w:val="24"/>
          <w:szCs w:val="24"/>
        </w:rPr>
      </w:pPr>
      <w:r>
        <w:rPr>
          <w:rFonts w:ascii="Arial Black" w:hAnsi="Arial Black"/>
          <w:sz w:val="24"/>
          <w:szCs w:val="24"/>
        </w:rPr>
        <w:t>1-195</w:t>
      </w:r>
    </w:p>
    <w:p w14:paraId="466A705C" w14:textId="77777777" w:rsidR="003306E6" w:rsidRDefault="003306E6" w:rsidP="003306E6">
      <w:pPr>
        <w:spacing w:after="0"/>
        <w:rPr>
          <w:rFonts w:ascii="Arial Black" w:hAnsi="Arial Black"/>
          <w:sz w:val="28"/>
          <w:szCs w:val="28"/>
        </w:rPr>
      </w:pPr>
    </w:p>
    <w:p w14:paraId="2F3D1EEB" w14:textId="5862191E" w:rsidR="003306E6" w:rsidRPr="00FD1C42" w:rsidRDefault="003306E6" w:rsidP="003306E6">
      <w:pPr>
        <w:spacing w:after="0"/>
        <w:rPr>
          <w:rFonts w:ascii="Arial Black" w:hAnsi="Arial Black"/>
          <w:sz w:val="28"/>
          <w:szCs w:val="28"/>
        </w:rPr>
      </w:pPr>
      <w:r>
        <w:rPr>
          <w:rFonts w:ascii="Arial Black" w:hAnsi="Arial Black"/>
          <w:sz w:val="28"/>
          <w:szCs w:val="28"/>
        </w:rPr>
        <w:t>NY: HOSP FIRE – PT’s FRAYED CELL CHARGING CABLE</w:t>
      </w:r>
    </w:p>
    <w:p w14:paraId="56D7E9F2" w14:textId="77777777" w:rsidR="003306E6" w:rsidRDefault="003306E6" w:rsidP="003306E6">
      <w:pPr>
        <w:spacing w:after="0"/>
      </w:pPr>
    </w:p>
    <w:p w14:paraId="3436DB2E" w14:textId="77777777" w:rsidR="003306E6" w:rsidRPr="00D86092" w:rsidRDefault="003306E6" w:rsidP="003306E6">
      <w:pPr>
        <w:pStyle w:val="NoSpacing"/>
      </w:pPr>
      <w:r>
        <w:t xml:space="preserve">On Oct. 9, 2025, in </w:t>
      </w:r>
      <w:r w:rsidRPr="00690F8A">
        <w:rPr>
          <w:u w:val="single"/>
        </w:rPr>
        <w:t xml:space="preserve">Krystel-Marie </w:t>
      </w:r>
      <w:proofErr w:type="spellStart"/>
      <w:r w:rsidRPr="00690F8A">
        <w:rPr>
          <w:u w:val="single"/>
        </w:rPr>
        <w:t>Desmornes</w:t>
      </w:r>
      <w:proofErr w:type="spellEnd"/>
      <w:r w:rsidRPr="00690F8A">
        <w:rPr>
          <w:u w:val="single"/>
        </w:rPr>
        <w:t xml:space="preserve"> as Administrator of Jean-Daniel Desmornes v. The Brooklyn Hospital Center</w:t>
      </w:r>
      <w:r>
        <w:t xml:space="preserve">, Judge Ruper P. Barry, </w:t>
      </w:r>
      <w:r w:rsidRPr="00D86092">
        <w:t>Supreme Court, Kings County</w:t>
      </w:r>
      <w:r>
        <w:t xml:space="preserve">, granted defense motion for summary judgment.  The COVID patient started a fire caused by his </w:t>
      </w:r>
      <w:r w:rsidRPr="00CA17D7">
        <w:t>use of his frayed,</w:t>
      </w:r>
      <w:r>
        <w:t xml:space="preserve"> </w:t>
      </w:r>
      <w:r w:rsidRPr="00CA17D7">
        <w:t>after-market cellphone charging cable.</w:t>
      </w:r>
      <w:r>
        <w:t xml:space="preserve"> </w:t>
      </w:r>
      <w:hyperlink r:id="rId67" w:history="1">
        <w:r w:rsidRPr="00307531">
          <w:rPr>
            <w:rStyle w:val="Hyperlink"/>
          </w:rPr>
          <w:t>https://cases.justia.com/new-york/other-courts/2025-2025-ny-slip-op-33961-u.pdf?ts=1761686709</w:t>
        </w:r>
      </w:hyperlink>
      <w:r>
        <w:t xml:space="preserve"> </w:t>
      </w:r>
    </w:p>
    <w:p w14:paraId="37834DA0" w14:textId="77777777" w:rsidR="003306E6" w:rsidRDefault="003306E6" w:rsidP="003306E6">
      <w:pPr>
        <w:spacing w:after="0"/>
        <w:rPr>
          <w:rFonts w:ascii="Arial Black" w:hAnsi="Arial Black"/>
          <w:sz w:val="28"/>
          <w:szCs w:val="28"/>
        </w:rPr>
      </w:pPr>
    </w:p>
    <w:p w14:paraId="4345CBC4" w14:textId="77777777" w:rsidR="003306E6" w:rsidRDefault="003306E6" w:rsidP="003306E6">
      <w:pPr>
        <w:pStyle w:val="NoSpacing"/>
      </w:pPr>
      <w:r>
        <w:t xml:space="preserve"> THE COURT HELD:</w:t>
      </w:r>
    </w:p>
    <w:p w14:paraId="67A6F378" w14:textId="77777777" w:rsidR="003306E6" w:rsidRDefault="003306E6" w:rsidP="003306E6">
      <w:pPr>
        <w:pStyle w:val="NoSpacing"/>
      </w:pPr>
    </w:p>
    <w:p w14:paraId="0AD7378F" w14:textId="77777777" w:rsidR="003306E6" w:rsidRDefault="003306E6" w:rsidP="003306E6">
      <w:pPr>
        <w:pStyle w:val="NoSpacing"/>
        <w:ind w:left="720"/>
      </w:pPr>
      <w:r>
        <w:t>“This action concerns a fire in the Brooklyn Hospital Center (hereafter ‘BHC’) Emergency Department on March 26, 2020, involving Jean-Daniel Desmornes, who had been admitted to BHC with covid on March 25, 2020. Immediately after the fire, the FDNY examined the scene and FDNY Marshall John Urrico concluded that the fire was solely caused by Mr. Jean-Daniel Desmornes’ use of his frayed, after-market cellphone charging cable.</w:t>
      </w:r>
    </w:p>
    <w:p w14:paraId="7D7B312D" w14:textId="77777777" w:rsidR="003306E6" w:rsidRDefault="003306E6" w:rsidP="003306E6">
      <w:pPr>
        <w:pStyle w:val="NoSpacing"/>
        <w:ind w:left="720"/>
      </w:pPr>
    </w:p>
    <w:p w14:paraId="7A1A8F71" w14:textId="77777777" w:rsidR="003306E6" w:rsidRDefault="003306E6" w:rsidP="003306E6">
      <w:pPr>
        <w:pStyle w:val="NoSpacing"/>
        <w:ind w:left="720"/>
      </w:pPr>
      <w:r>
        <w:t>***</w:t>
      </w:r>
    </w:p>
    <w:p w14:paraId="67FDEB3E" w14:textId="77777777" w:rsidR="003306E6" w:rsidRDefault="003306E6" w:rsidP="003306E6">
      <w:pPr>
        <w:pStyle w:val="NoSpacing"/>
        <w:ind w:left="720"/>
      </w:pPr>
      <w:r>
        <w:t xml:space="preserve">In support of its motion, BHC submits the medical records, the FDNY records, the deposition of its then BHC Chief Operating Officer, Robert Aucilino, the expert affirmation of Eugene West (hereafter ‘Mr. West’), and the expert affirmation of Mark Silberman, M.D. </w:t>
      </w:r>
      <w:proofErr w:type="gramStart"/>
      <w:r>
        <w:t>hereafter (‘</w:t>
      </w:r>
      <w:proofErr w:type="gramEnd"/>
      <w:r>
        <w:t>Dr. Silberman’). Mr. West is an expert in fire origin and cause, fire/arson related human factors and behavioral profiling, the management of major case fire incidents, fire department operations, fire incident sequencing, fire scene</w:t>
      </w:r>
    </w:p>
    <w:p w14:paraId="133699D8" w14:textId="77777777" w:rsidR="003306E6" w:rsidRDefault="003306E6" w:rsidP="003306E6">
      <w:pPr>
        <w:pStyle w:val="NoSpacing"/>
        <w:ind w:left="720"/>
      </w:pPr>
      <w:r>
        <w:t>reconstruction, building codes and fire codes.”</w:t>
      </w:r>
    </w:p>
    <w:p w14:paraId="30B8B1A9" w14:textId="77777777" w:rsidR="003306E6" w:rsidRDefault="003306E6" w:rsidP="003306E6">
      <w:pPr>
        <w:pStyle w:val="NoSpacing"/>
        <w:ind w:left="720"/>
      </w:pPr>
    </w:p>
    <w:p w14:paraId="38847118" w14:textId="77777777" w:rsidR="003306E6" w:rsidRPr="00AD46FA" w:rsidRDefault="003306E6" w:rsidP="003306E6">
      <w:pPr>
        <w:pStyle w:val="NoSpacing"/>
        <w:rPr>
          <w:b/>
          <w:bCs/>
        </w:rPr>
      </w:pPr>
      <w:r>
        <w:rPr>
          <w:b/>
        </w:rPr>
        <w:t>Legal lesson learned:  Frayed  cell phone charging cable can cause a fire.</w:t>
      </w:r>
    </w:p>
    <w:p w14:paraId="4BF3713F" w14:textId="77777777" w:rsidR="003306E6" w:rsidRDefault="003306E6" w:rsidP="003306E6">
      <w:pPr>
        <w:pStyle w:val="NoSpacing"/>
      </w:pPr>
    </w:p>
    <w:p w14:paraId="554C5B52" w14:textId="77777777" w:rsidR="003306E6" w:rsidRDefault="003306E6" w:rsidP="003306E6">
      <w:pPr>
        <w:pStyle w:val="NoSpacing"/>
        <w:ind w:left="720"/>
      </w:pPr>
    </w:p>
    <w:p w14:paraId="6D584608" w14:textId="77777777" w:rsidR="003306E6" w:rsidRPr="00BB26AD" w:rsidRDefault="003306E6" w:rsidP="003306E6">
      <w:pPr>
        <w:pStyle w:val="NoSpacing"/>
        <w:ind w:left="720"/>
        <w:rPr>
          <w:bCs/>
        </w:rPr>
      </w:pPr>
      <w:r>
        <w:t xml:space="preserve">Read this Feb. 3, </w:t>
      </w:r>
      <w:proofErr w:type="gramStart"/>
      <w:r>
        <w:t>2025</w:t>
      </w:r>
      <w:proofErr w:type="gramEnd"/>
      <w:r>
        <w:t xml:space="preserve"> article: </w:t>
      </w:r>
      <w:r w:rsidRPr="00BB26AD">
        <w:t xml:space="preserve">What Causes Phone Chargers to Explode? (And How to Avoid It). </w:t>
      </w:r>
      <w:hyperlink r:id="rId68" w:history="1">
        <w:r w:rsidRPr="00BB26AD">
          <w:rPr>
            <w:rStyle w:val="Hyperlink"/>
          </w:rPr>
          <w:t>https://www.voltacharger.com/blogs/news/what-causes-phone-chargers-to-explode-and-how-to-avoid-it?srsltid=AfmBOor-D0Mt5iX7UDwb-r4sqdnXak-6s4LPkG62kZWVkLQCSPJSBjBB</w:t>
        </w:r>
      </w:hyperlink>
      <w:r w:rsidRPr="00BB26AD">
        <w:t xml:space="preserve"> </w:t>
      </w:r>
    </w:p>
    <w:p w14:paraId="6E839AAA" w14:textId="77777777" w:rsidR="003306E6" w:rsidRDefault="003306E6" w:rsidP="003306E6">
      <w:pPr>
        <w:pStyle w:val="NoSpacing"/>
      </w:pPr>
    </w:p>
    <w:p w14:paraId="49D14C0A" w14:textId="77777777" w:rsidR="003306E6" w:rsidRDefault="003306E6" w:rsidP="003306E6">
      <w:pPr>
        <w:pStyle w:val="NoSpacing"/>
      </w:pPr>
    </w:p>
    <w:p w14:paraId="594460A9" w14:textId="77777777" w:rsidR="003306E6" w:rsidRDefault="003306E6" w:rsidP="00037CB8">
      <w:pPr>
        <w:pStyle w:val="NoSpacing"/>
        <w:rPr>
          <w:rFonts w:ascii="Arial Black" w:hAnsi="Arial Black"/>
          <w:sz w:val="24"/>
          <w:szCs w:val="24"/>
        </w:rPr>
      </w:pPr>
    </w:p>
    <w:p w14:paraId="606EE616" w14:textId="77777777" w:rsidR="006E51B1" w:rsidRDefault="006E51B1" w:rsidP="00037CB8">
      <w:pPr>
        <w:pStyle w:val="NoSpacing"/>
        <w:rPr>
          <w:rFonts w:ascii="Arial Black" w:hAnsi="Arial Black"/>
          <w:sz w:val="24"/>
          <w:szCs w:val="24"/>
        </w:rPr>
      </w:pPr>
    </w:p>
    <w:p w14:paraId="06070874" w14:textId="77777777" w:rsidR="006E51B1" w:rsidRDefault="006E51B1" w:rsidP="00037CB8">
      <w:pPr>
        <w:pStyle w:val="NoSpacing"/>
        <w:rPr>
          <w:rFonts w:ascii="Arial Black" w:hAnsi="Arial Black"/>
          <w:sz w:val="24"/>
          <w:szCs w:val="24"/>
        </w:rPr>
      </w:pPr>
    </w:p>
    <w:p w14:paraId="4E8C7FDE" w14:textId="77777777" w:rsidR="006E51B1" w:rsidRDefault="006E51B1" w:rsidP="00037CB8">
      <w:pPr>
        <w:pStyle w:val="NoSpacing"/>
        <w:rPr>
          <w:rFonts w:ascii="Arial Black" w:hAnsi="Arial Black"/>
          <w:sz w:val="24"/>
          <w:szCs w:val="24"/>
        </w:rPr>
      </w:pPr>
    </w:p>
    <w:p w14:paraId="78FCFA60" w14:textId="77777777" w:rsidR="006E51B1" w:rsidRDefault="006E51B1" w:rsidP="00037CB8">
      <w:pPr>
        <w:pStyle w:val="NoSpacing"/>
        <w:rPr>
          <w:rFonts w:ascii="Arial Black" w:hAnsi="Arial Black"/>
          <w:sz w:val="24"/>
          <w:szCs w:val="24"/>
        </w:rPr>
      </w:pPr>
    </w:p>
    <w:p w14:paraId="26C59824" w14:textId="7F12380B"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94</w:t>
      </w:r>
    </w:p>
    <w:p w14:paraId="7414BED1" w14:textId="77777777" w:rsidR="00B232CB" w:rsidRDefault="00B232CB" w:rsidP="00F326E5">
      <w:pPr>
        <w:pStyle w:val="NoSpacing"/>
        <w:rPr>
          <w:rFonts w:ascii="Arial Black" w:hAnsi="Arial Black"/>
          <w:sz w:val="24"/>
          <w:szCs w:val="24"/>
        </w:rPr>
      </w:pPr>
    </w:p>
    <w:p w14:paraId="5765F509" w14:textId="03366397" w:rsidR="00B232CB" w:rsidRDefault="00B232CB" w:rsidP="00B232CB">
      <w:pPr>
        <w:spacing w:after="0" w:line="240" w:lineRule="auto"/>
        <w:rPr>
          <w:bCs/>
        </w:rPr>
      </w:pPr>
      <w:r>
        <w:rPr>
          <w:rFonts w:ascii="Arial Black" w:hAnsi="Arial Black"/>
          <w:sz w:val="28"/>
          <w:szCs w:val="28"/>
        </w:rPr>
        <w:t xml:space="preserve">ARTICLE – </w:t>
      </w:r>
      <w:r w:rsidRPr="00891811">
        <w:rPr>
          <w:rFonts w:ascii="Arial Black" w:hAnsi="Arial Black"/>
          <w:b/>
          <w:sz w:val="28"/>
          <w:szCs w:val="28"/>
        </w:rPr>
        <w:t>“EYES IN THE SKY: Do Cities Need Warrants for Drones?</w:t>
      </w:r>
      <w:r w:rsidRPr="00891811">
        <w:rPr>
          <w:rFonts w:ascii="Arial Black" w:hAnsi="Arial Black"/>
          <w:sz w:val="28"/>
          <w:szCs w:val="28"/>
        </w:rPr>
        <w:t>”</w:t>
      </w:r>
      <w:r>
        <w:t xml:space="preserve"> September 24, 2013, Homeland Security Today</w:t>
      </w:r>
      <w:r w:rsidR="00891811">
        <w:t xml:space="preserve">, by </w:t>
      </w:r>
      <w:r w:rsidR="0080370D">
        <w:t>Lawrence T. Bennett.</w:t>
      </w:r>
    </w:p>
    <w:p w14:paraId="7D763049" w14:textId="77777777" w:rsidR="00B232CB" w:rsidRDefault="00B232CB" w:rsidP="00B232CB">
      <w:pPr>
        <w:spacing w:after="0" w:line="240" w:lineRule="auto"/>
      </w:pPr>
      <w:hyperlink r:id="rId69" w:history="1">
        <w:r w:rsidRPr="00483260">
          <w:rPr>
            <w:rStyle w:val="Hyperlink"/>
          </w:rPr>
          <w:t>https://www.hstoday.us/subject-matter-areas/unmanned-vehicles/eyes-in-the-sky-do-cities-need-warrants-for-drones/</w:t>
        </w:r>
      </w:hyperlink>
      <w:r>
        <w:t xml:space="preserve">  [Personal thank you to Megan Norris for her very thorough and helpful editing of my first article for Homeland Security Today: </w:t>
      </w:r>
      <w:hyperlink r:id="rId70" w:history="1">
        <w:r w:rsidRPr="00483260">
          <w:rPr>
            <w:rStyle w:val="Hyperlink"/>
          </w:rPr>
          <w:t>https://www.norriseditorial.com</w:t>
        </w:r>
      </w:hyperlink>
      <w:r>
        <w:t xml:space="preserve">.]  </w:t>
      </w:r>
    </w:p>
    <w:p w14:paraId="3A274E71" w14:textId="77777777" w:rsidR="00B232CB" w:rsidRPr="00E91251" w:rsidRDefault="00B232CB" w:rsidP="00B232CB">
      <w:pPr>
        <w:spacing w:after="0" w:line="240" w:lineRule="auto"/>
      </w:pPr>
    </w:p>
    <w:p w14:paraId="19A052CF" w14:textId="450F5758"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93</w:t>
      </w:r>
    </w:p>
    <w:p w14:paraId="0CF1218A" w14:textId="77777777" w:rsidR="00037CB8" w:rsidRDefault="00037CB8" w:rsidP="00F326E5">
      <w:pPr>
        <w:pStyle w:val="NoSpacing"/>
        <w:rPr>
          <w:rFonts w:ascii="Arial Black" w:hAnsi="Arial Black"/>
          <w:sz w:val="24"/>
          <w:szCs w:val="24"/>
        </w:rPr>
      </w:pPr>
    </w:p>
    <w:p w14:paraId="442D5959" w14:textId="77777777" w:rsidR="008F5629" w:rsidRDefault="008F5629" w:rsidP="008F5629">
      <w:pPr>
        <w:pStyle w:val="NoSpacing"/>
        <w:rPr>
          <w:rFonts w:ascii="Arial Black" w:hAnsi="Arial Black"/>
          <w:sz w:val="28"/>
          <w:szCs w:val="28"/>
        </w:rPr>
      </w:pPr>
      <w:r>
        <w:rPr>
          <w:rFonts w:ascii="Arial Black" w:hAnsi="Arial Black"/>
          <w:sz w:val="28"/>
          <w:szCs w:val="28"/>
        </w:rPr>
        <w:t xml:space="preserve">MI: INTER. FIRE CODE - FIRE CHIEF NO LONGER “AT WILL” </w:t>
      </w:r>
    </w:p>
    <w:p w14:paraId="1AC98985" w14:textId="77777777" w:rsidR="008F5629" w:rsidRDefault="008F5629" w:rsidP="008F5629">
      <w:pPr>
        <w:pStyle w:val="NoSpacing"/>
      </w:pPr>
    </w:p>
    <w:p w14:paraId="40AD7328" w14:textId="77777777" w:rsidR="008F5629" w:rsidRDefault="008F5629" w:rsidP="008F5629">
      <w:pPr>
        <w:pStyle w:val="NoSpacing"/>
      </w:pPr>
      <w:r>
        <w:t xml:space="preserve">On September 19, 2025, in </w:t>
      </w:r>
      <w:r w:rsidRPr="00A5472D">
        <w:rPr>
          <w:u w:val="single"/>
        </w:rPr>
        <w:t>Ronald Lammers v. City of Riverview</w:t>
      </w:r>
      <w:r>
        <w:t xml:space="preserve">, U.S. Federal District Court Judge </w:t>
      </w:r>
      <w:r w:rsidRPr="00C3664A">
        <w:t>Shalina D. Kumar</w:t>
      </w:r>
      <w:r>
        <w:t xml:space="preserve">, United States District Court, Eastern District of Michigan (Southern Division) denied the City’s motion to dismiss the former Fire Chief’s lawsuit, based on a provision in International Fire Code which city had adopted in 2022.  </w:t>
      </w:r>
    </w:p>
    <w:p w14:paraId="59279614" w14:textId="77777777" w:rsidR="008F5629" w:rsidRDefault="008F5629" w:rsidP="008F5629">
      <w:pPr>
        <w:pStyle w:val="NoSpacing"/>
      </w:pPr>
    </w:p>
    <w:p w14:paraId="5EB56138" w14:textId="77777777" w:rsidR="008F5629" w:rsidRDefault="008F5629" w:rsidP="008F5629">
      <w:pPr>
        <w:pStyle w:val="NoSpacing"/>
      </w:pPr>
      <w:r w:rsidRPr="00913B5B">
        <w:rPr>
          <w:b/>
        </w:rPr>
        <w:t>THE COURT HELD</w:t>
      </w:r>
      <w:r>
        <w:t>:  “</w:t>
      </w:r>
      <w:r w:rsidRPr="00C715F2">
        <w:t xml:space="preserve">And since Lammers became the City's fire chief in 2018 and held that position when it adopted the IFC in 2022, it can be reasonably inferred that he was familiar with the IFC and its just-cause provision because his position required him to </w:t>
      </w:r>
      <w:r>
        <w:t>‘</w:t>
      </w:r>
      <w:r w:rsidRPr="00C715F2">
        <w:t>adhere to the provisions of the 2015 International Fire Code (IFC) as identified in the city ordinances.</w:t>
      </w:r>
      <w:r>
        <w:t xml:space="preserve">’ …  </w:t>
      </w:r>
      <w:r w:rsidRPr="00D54466">
        <w:t xml:space="preserve">The fact that this section of the IFC includes the mandatory provision </w:t>
      </w:r>
      <w:r>
        <w:t>‘</w:t>
      </w:r>
      <w:r w:rsidRPr="00D54466">
        <w:t>shall not</w:t>
      </w:r>
      <w:r>
        <w:t xml:space="preserve">’ </w:t>
      </w:r>
      <w:r w:rsidRPr="00D54466">
        <w:t>indicates that the City promised not to terminate Lammers absent just cause. As such, Lammers contends that it was reasonable for him to have a legitimate expectation of just-cause employment with the City, and to have an opportunity to be heard by the city council prior to his termination</w:t>
      </w:r>
      <w:r>
        <w:t xml:space="preserve">.” </w:t>
      </w:r>
      <w:hyperlink r:id="rId71" w:history="1">
        <w:r w:rsidRPr="00EE407B">
          <w:rPr>
            <w:rStyle w:val="Hyperlink"/>
          </w:rPr>
          <w:t>https://public.fastcase.com/jaEE2PXzRXmZ99jOLMt1Ips4C6WkUGp0KzACPcngYbWmPTLfIWMstLJyRryzc8Dq?utm_medium=email&amp;_hsenc=p2ANqtz-94X9-jvo7aphxCTddVbMuFo0h95bmcaFpGEwlnAd6pPwVsx4xOyg-iR7W5WKYYvAnlQWrH3LVFVTBhWCeJd3O3dSBjuA&amp;_hsmi=226712652&amp;utm_content=226712652&amp;utm_source=hs_email</w:t>
        </w:r>
      </w:hyperlink>
    </w:p>
    <w:p w14:paraId="6F5F8705" w14:textId="77777777" w:rsidR="008F5629" w:rsidRDefault="008F5629" w:rsidP="008F5629">
      <w:pPr>
        <w:pStyle w:val="NoSpacing"/>
      </w:pPr>
    </w:p>
    <w:p w14:paraId="3ECBB750" w14:textId="77777777" w:rsidR="008F5629" w:rsidRDefault="008F5629" w:rsidP="008F5629">
      <w:pPr>
        <w:pStyle w:val="NoSpacing"/>
      </w:pPr>
    </w:p>
    <w:p w14:paraId="28445281" w14:textId="77777777" w:rsidR="008F5629" w:rsidRPr="00913B5B" w:rsidRDefault="008F5629" w:rsidP="008F5629">
      <w:pPr>
        <w:pStyle w:val="NoSpacing"/>
        <w:rPr>
          <w:b/>
          <w:bCs/>
        </w:rPr>
      </w:pPr>
      <w:r w:rsidRPr="00913B5B">
        <w:rPr>
          <w:b/>
        </w:rPr>
        <w:t xml:space="preserve">KEY FACTS: </w:t>
      </w:r>
    </w:p>
    <w:p w14:paraId="601DDB8E" w14:textId="77777777" w:rsidR="008F5629" w:rsidRDefault="008F5629" w:rsidP="008F5629">
      <w:pPr>
        <w:pStyle w:val="NoSpacing"/>
      </w:pPr>
    </w:p>
    <w:p w14:paraId="747CB55E" w14:textId="77777777" w:rsidR="008F5629" w:rsidRDefault="008F5629" w:rsidP="008F5629">
      <w:pPr>
        <w:pStyle w:val="NoSpacing"/>
        <w:ind w:left="720"/>
      </w:pPr>
      <w:r>
        <w:t>“</w:t>
      </w:r>
      <w:r w:rsidRPr="00306699">
        <w:t xml:space="preserve">Lammers began working for the </w:t>
      </w:r>
      <w:proofErr w:type="gramStart"/>
      <w:r w:rsidRPr="00306699">
        <w:t>City</w:t>
      </w:r>
      <w:proofErr w:type="gramEnd"/>
      <w:r w:rsidRPr="00306699">
        <w:t xml:space="preserve"> in 2007</w:t>
      </w:r>
      <w:r>
        <w:t>….</w:t>
      </w:r>
      <w:r w:rsidRPr="00306699">
        <w:t>In 2018, he was appointed the City's fire chief by the mayor and city council</w:t>
      </w:r>
      <w:r>
        <w:t xml:space="preserve">…. </w:t>
      </w:r>
      <w:r w:rsidRPr="00306699">
        <w:t>Dobek was appointed the city manager in 2022</w:t>
      </w:r>
      <w:r>
        <w:t xml:space="preserve">…. </w:t>
      </w:r>
      <w:r w:rsidRPr="00306699">
        <w:t>In January 2024, the fire department's supervisor group organized a union of which the deputy fire chief was a member</w:t>
      </w:r>
      <w:r>
        <w:t xml:space="preserve">…. </w:t>
      </w:r>
      <w:r w:rsidRPr="00306699">
        <w:t>Two months later, Dobek informed Lammers that he intended to eliminate the deputy fire chief position due to budgetary constraints</w:t>
      </w:r>
      <w:r>
        <w:t xml:space="preserve">…. </w:t>
      </w:r>
      <w:r w:rsidRPr="00306699">
        <w:t>Lammers disagreed with this decision and told Dobek, human resources, and city council members that this decision was not cost-effective and contrary to public safety</w:t>
      </w:r>
      <w:r>
        <w:t xml:space="preserve">…. </w:t>
      </w:r>
      <w:r w:rsidRPr="00306699">
        <w:t xml:space="preserve"> Thereafter, Dobek advised Lammers in writing to bring any concerns directly to him and to cease voicing his disagreement regarding the decision to terminate the deputy fire chief position to others</w:t>
      </w:r>
      <w:r>
        <w:t xml:space="preserve">…. </w:t>
      </w:r>
      <w:r w:rsidRPr="00306699">
        <w:t>Dobek verbally eliminated Lammers' employment with the City in July 2024, without providing him notice or a hearing beforehand.</w:t>
      </w:r>
    </w:p>
    <w:p w14:paraId="6F46CEBB" w14:textId="77777777" w:rsidR="008F5629" w:rsidRDefault="008F5629" w:rsidP="008F5629">
      <w:pPr>
        <w:pStyle w:val="NoSpacing"/>
        <w:ind w:left="720"/>
      </w:pPr>
    </w:p>
    <w:p w14:paraId="0A75D83E" w14:textId="77777777" w:rsidR="008F5629" w:rsidRDefault="008F5629" w:rsidP="008F5629">
      <w:pPr>
        <w:pStyle w:val="NoSpacing"/>
        <w:ind w:left="720"/>
      </w:pPr>
      <w:r>
        <w:t>***</w:t>
      </w:r>
    </w:p>
    <w:p w14:paraId="65F5832F" w14:textId="77777777" w:rsidR="008F5629" w:rsidRPr="005826E0" w:rsidRDefault="008F5629" w:rsidP="008F5629">
      <w:pPr>
        <w:pStyle w:val="NoSpacing"/>
        <w:ind w:left="720"/>
      </w:pPr>
      <w:r w:rsidRPr="00DA1947">
        <w:t xml:space="preserve">Here, Lammers does not allege that he had a written employment contract with the City. Rather, he claims that the City's adoption of the IFC </w:t>
      </w:r>
      <w:r>
        <w:t xml:space="preserve">[International Fire Code, adopted by city in 2022] </w:t>
      </w:r>
      <w:r w:rsidRPr="00DA1947">
        <w:t>created a legitimate expectation of just-cause employment</w:t>
      </w:r>
      <w:r>
        <w:t xml:space="preserve">…. </w:t>
      </w:r>
      <w:r w:rsidRPr="005826E0">
        <w:t xml:space="preserve">Lammers claims that Section 103.2 of the IFC designated him as a just-cause employee. That Section reads: </w:t>
      </w:r>
    </w:p>
    <w:p w14:paraId="16B698EA" w14:textId="77777777" w:rsidR="008F5629" w:rsidRDefault="008F5629" w:rsidP="008F5629">
      <w:pPr>
        <w:pStyle w:val="NoSpacing"/>
        <w:ind w:left="1440"/>
      </w:pPr>
    </w:p>
    <w:p w14:paraId="7614FFA1" w14:textId="77777777" w:rsidR="008F5629" w:rsidRDefault="008F5629" w:rsidP="008F5629">
      <w:pPr>
        <w:pStyle w:val="NoSpacing"/>
        <w:ind w:left="1440"/>
      </w:pPr>
      <w:r w:rsidRPr="005826E0">
        <w:t xml:space="preserve">The </w:t>
      </w:r>
      <w:r w:rsidRPr="005826E0">
        <w:rPr>
          <w:i/>
          <w:iCs/>
        </w:rPr>
        <w:t>fire code official</w:t>
      </w:r>
      <w:r w:rsidRPr="005826E0">
        <w:t xml:space="preserve"> shall be appointed by the chief appointing authority of the jurisdiction; and the </w:t>
      </w:r>
      <w:r w:rsidRPr="005826E0">
        <w:rPr>
          <w:i/>
          <w:iCs/>
        </w:rPr>
        <w:t>fire code official</w:t>
      </w:r>
      <w:r w:rsidRPr="005826E0">
        <w:t xml:space="preserve"> shall not be removed from office except for cause and after full opportunity to be heard on specific and relevant charges by and before the appointing authority.</w:t>
      </w:r>
      <w:r>
        <w:t>”</w:t>
      </w:r>
    </w:p>
    <w:p w14:paraId="1E9FAD4A" w14:textId="77777777" w:rsidR="008F5629" w:rsidRDefault="008F5629" w:rsidP="008F5629">
      <w:pPr>
        <w:pStyle w:val="NoSpacing"/>
        <w:ind w:left="1440"/>
      </w:pPr>
    </w:p>
    <w:p w14:paraId="6EC7B5A3" w14:textId="5D0E4E3F" w:rsidR="008F5629" w:rsidRPr="00817EEB" w:rsidRDefault="008F5629" w:rsidP="008F5629">
      <w:pPr>
        <w:pStyle w:val="NoSpacing"/>
        <w:rPr>
          <w:b/>
          <w:bCs/>
        </w:rPr>
      </w:pPr>
      <w:r w:rsidRPr="00817EEB">
        <w:rPr>
          <w:b/>
        </w:rPr>
        <w:t xml:space="preserve">Lesson learned: </w:t>
      </w:r>
      <w:r>
        <w:rPr>
          <w:b/>
        </w:rPr>
        <w:t>City’s adoption of International Fire Code “</w:t>
      </w:r>
      <w:r w:rsidRPr="002104E5">
        <w:rPr>
          <w:b/>
        </w:rPr>
        <w:t>created a legitimate expectation of just-cause employment.</w:t>
      </w:r>
      <w:r>
        <w:rPr>
          <w:b/>
        </w:rPr>
        <w:t>”</w:t>
      </w:r>
    </w:p>
    <w:p w14:paraId="7E903289" w14:textId="77777777" w:rsidR="008F5629" w:rsidRDefault="008F5629" w:rsidP="008F5629">
      <w:pPr>
        <w:rPr>
          <w:rFonts w:ascii="Arial Black" w:hAnsi="Arial Black"/>
          <w:sz w:val="28"/>
          <w:szCs w:val="28"/>
        </w:rPr>
      </w:pPr>
    </w:p>
    <w:p w14:paraId="11CB6D50" w14:textId="77777777" w:rsidR="008F5629" w:rsidRDefault="008F5629" w:rsidP="00F326E5">
      <w:pPr>
        <w:pStyle w:val="NoSpacing"/>
        <w:rPr>
          <w:rFonts w:ascii="Arial Black" w:hAnsi="Arial Black"/>
          <w:sz w:val="24"/>
          <w:szCs w:val="24"/>
        </w:rPr>
      </w:pPr>
    </w:p>
    <w:p w14:paraId="1D561103" w14:textId="4FFC3FFB"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92</w:t>
      </w:r>
    </w:p>
    <w:p w14:paraId="77AF718F" w14:textId="77777777" w:rsidR="00037CB8" w:rsidRDefault="00037CB8" w:rsidP="005142F0">
      <w:pPr>
        <w:pStyle w:val="NoSpacing"/>
        <w:rPr>
          <w:rFonts w:ascii="Arial Black" w:hAnsi="Arial Black"/>
          <w:sz w:val="28"/>
          <w:szCs w:val="28"/>
        </w:rPr>
      </w:pPr>
    </w:p>
    <w:p w14:paraId="0580C586" w14:textId="29D4118D" w:rsidR="005142F0" w:rsidRDefault="005142F0" w:rsidP="005142F0">
      <w:pPr>
        <w:pStyle w:val="NoSpacing"/>
        <w:rPr>
          <w:rFonts w:ascii="Arial Black" w:hAnsi="Arial Black"/>
          <w:sz w:val="28"/>
          <w:szCs w:val="28"/>
        </w:rPr>
      </w:pPr>
      <w:r>
        <w:rPr>
          <w:rFonts w:ascii="Arial Black" w:hAnsi="Arial Black"/>
          <w:sz w:val="28"/>
          <w:szCs w:val="28"/>
        </w:rPr>
        <w:t xml:space="preserve">GA: DRONE / CODE OFFICER </w:t>
      </w:r>
      <w:r w:rsidR="001D4188">
        <w:rPr>
          <w:rFonts w:ascii="Arial Black" w:hAnsi="Arial Black"/>
          <w:sz w:val="28"/>
          <w:szCs w:val="28"/>
        </w:rPr>
        <w:t>–</w:t>
      </w:r>
      <w:r w:rsidR="00EB07EC">
        <w:rPr>
          <w:rFonts w:ascii="Arial Black" w:hAnsi="Arial Black"/>
          <w:sz w:val="28"/>
          <w:szCs w:val="28"/>
        </w:rPr>
        <w:t xml:space="preserve"> </w:t>
      </w:r>
      <w:r>
        <w:rPr>
          <w:rFonts w:ascii="Arial Black" w:hAnsi="Arial Black"/>
          <w:sz w:val="28"/>
          <w:szCs w:val="28"/>
        </w:rPr>
        <w:t>WARRANT AFTER HIS VISIT</w:t>
      </w:r>
    </w:p>
    <w:p w14:paraId="382654F6" w14:textId="77777777" w:rsidR="005142F0" w:rsidRDefault="005142F0" w:rsidP="005142F0">
      <w:pPr>
        <w:pStyle w:val="NoSpacing"/>
      </w:pPr>
    </w:p>
    <w:p w14:paraId="31962C72" w14:textId="77777777" w:rsidR="005142F0" w:rsidRDefault="005142F0" w:rsidP="005142F0">
      <w:pPr>
        <w:pStyle w:val="NoSpacing"/>
        <w:rPr>
          <w:bCs/>
        </w:rPr>
      </w:pPr>
      <w:r>
        <w:t xml:space="preserve">On September 18, 2025, in </w:t>
      </w:r>
      <w:r w:rsidRPr="00735CF2">
        <w:rPr>
          <w:u w:val="single"/>
        </w:rPr>
        <w:t>Dunn Terrious Bradford v. State of Georgia</w:t>
      </w:r>
      <w:r>
        <w:t xml:space="preserve">, the </w:t>
      </w:r>
      <w:r w:rsidRPr="00F17116">
        <w:t>Court of Appeals of Georgia, Third Division</w:t>
      </w:r>
      <w:r>
        <w:t xml:space="preserve"> held (3 to 0) held that trial court properly denied the property owner’s </w:t>
      </w:r>
      <w:r w:rsidRPr="00BF3969">
        <w:t xml:space="preserve"> motion to suppress evidence obtained in a civil forfeiture proceeding </w:t>
      </w:r>
      <w:r>
        <w:t xml:space="preserve">for operating a dog fighting operation (forfeiture of both his </w:t>
      </w:r>
      <w:r w:rsidRPr="00531C02">
        <w:t>real</w:t>
      </w:r>
      <w:r>
        <w:t xml:space="preserve"> estate </w:t>
      </w:r>
      <w:r w:rsidRPr="00531C02">
        <w:t xml:space="preserve">property, </w:t>
      </w:r>
      <w:r>
        <w:t xml:space="preserve">and </w:t>
      </w:r>
      <w:r w:rsidRPr="00531C02">
        <w:t>two rifles, a shotgun, a handgun,</w:t>
      </w:r>
      <w:r>
        <w:t xml:space="preserve"> </w:t>
      </w:r>
      <w:r w:rsidRPr="00531C02">
        <w:t>ammunition, and cash</w:t>
      </w:r>
      <w:r>
        <w:t xml:space="preserve">).  </w:t>
      </w:r>
      <w:r w:rsidRPr="00BF3969">
        <w:t xml:space="preserve"> </w:t>
      </w:r>
    </w:p>
    <w:p w14:paraId="6933EB67" w14:textId="77777777" w:rsidR="005142F0" w:rsidRDefault="005142F0" w:rsidP="005142F0">
      <w:pPr>
        <w:pStyle w:val="NoSpacing"/>
        <w:rPr>
          <w:bCs/>
        </w:rPr>
      </w:pPr>
    </w:p>
    <w:p w14:paraId="07DAAE08" w14:textId="77777777" w:rsidR="005142F0" w:rsidRPr="00F17116" w:rsidRDefault="005142F0" w:rsidP="005142F0">
      <w:pPr>
        <w:pStyle w:val="NoSpacing"/>
        <w:rPr>
          <w:bCs/>
        </w:rPr>
      </w:pPr>
      <w:r w:rsidRPr="00913B5B">
        <w:rPr>
          <w:b/>
        </w:rPr>
        <w:t>THE COURT HELD</w:t>
      </w:r>
      <w:r>
        <w:t>:  “A</w:t>
      </w:r>
      <w:r w:rsidRPr="005076D5">
        <w:t>s a threshold matter, we assume without deciding that the drone flight that</w:t>
      </w:r>
      <w:r>
        <w:t xml:space="preserve"> </w:t>
      </w:r>
      <w:r w:rsidRPr="005076D5">
        <w:t>observed Bradford’s property was an unauthorized search without a warrant.</w:t>
      </w:r>
      <w:r>
        <w:t xml:space="preserve"> </w:t>
      </w:r>
      <w:proofErr w:type="gramStart"/>
      <w:r w:rsidRPr="005076D5">
        <w:t>So</w:t>
      </w:r>
      <w:proofErr w:type="gramEnd"/>
      <w:r w:rsidRPr="005076D5">
        <w:t xml:space="preserve"> the</w:t>
      </w:r>
      <w:r>
        <w:t xml:space="preserve"> </w:t>
      </w:r>
      <w:r w:rsidRPr="005076D5">
        <w:t xml:space="preserve">question before us is whether the warrant that authorized the search </w:t>
      </w:r>
      <w:proofErr w:type="gramStart"/>
      <w:r w:rsidRPr="005076D5">
        <w:t>of</w:t>
      </w:r>
      <w:proofErr w:type="gramEnd"/>
      <w:r w:rsidRPr="005076D5">
        <w:t xml:space="preserve"> Bradford’s</w:t>
      </w:r>
      <w:r>
        <w:t xml:space="preserve"> </w:t>
      </w:r>
      <w:r w:rsidRPr="005076D5">
        <w:t>home was based on an independent source of probable cause, such that the warrant</w:t>
      </w:r>
      <w:r>
        <w:t xml:space="preserve"> </w:t>
      </w:r>
      <w:r w:rsidRPr="005076D5">
        <w:t>was not derived from the drone flight.</w:t>
      </w:r>
      <w:r>
        <w:t xml:space="preserve"> *** T</w:t>
      </w:r>
      <w:r w:rsidRPr="00EC56C1">
        <w:t>hus, the warrant affidavit did not mention the drone flight or any information</w:t>
      </w:r>
      <w:r>
        <w:t xml:space="preserve"> </w:t>
      </w:r>
      <w:r w:rsidRPr="00EC56C1">
        <w:t>gleaned from the drone flight. The warrant affidavit merely described the scene</w:t>
      </w:r>
      <w:r>
        <w:t xml:space="preserve"> </w:t>
      </w:r>
      <w:r w:rsidRPr="00EC56C1">
        <w:t>encountered by the investigator and code enforcement officer during their in-person</w:t>
      </w:r>
      <w:r>
        <w:t xml:space="preserve"> </w:t>
      </w:r>
      <w:r w:rsidRPr="00EC56C1">
        <w:t>visit to Bradford’s residence a week later. That information, which was not</w:t>
      </w:r>
      <w:r>
        <w:t xml:space="preserve"> </w:t>
      </w:r>
      <w:r w:rsidRPr="00EC56C1">
        <w:t>discernable from the drone flight, presented evidence of animal cruelty</w:t>
      </w:r>
      <w:r>
        <w:t xml:space="preserve"> </w:t>
      </w:r>
      <w:r w:rsidRPr="00EC56C1">
        <w:t>and illegal</w:t>
      </w:r>
      <w:r>
        <w:t xml:space="preserve"> </w:t>
      </w:r>
      <w:r w:rsidRPr="00ED078F">
        <w:t>dogfighting, which provided probable cause to issue a warrant to investigate those</w:t>
      </w:r>
      <w:r>
        <w:t xml:space="preserve"> </w:t>
      </w:r>
      <w:r w:rsidRPr="00ED078F">
        <w:t>activities</w:t>
      </w:r>
      <w:r>
        <w:t xml:space="preserve">.” </w:t>
      </w:r>
      <w:hyperlink r:id="rId72" w:history="1">
        <w:r w:rsidRPr="006F63BB">
          <w:rPr>
            <w:rStyle w:val="Hyperlink"/>
          </w:rPr>
          <w:t>https://cases.justia.com/georgia/court-of-appeals/2025-a25a0954.pdf?ts=1758208974</w:t>
        </w:r>
      </w:hyperlink>
      <w:r>
        <w:t xml:space="preserve"> </w:t>
      </w:r>
    </w:p>
    <w:p w14:paraId="6B5313B0" w14:textId="77777777" w:rsidR="005142F0" w:rsidRDefault="005142F0" w:rsidP="005142F0">
      <w:pPr>
        <w:pStyle w:val="NoSpacing"/>
        <w:rPr>
          <w:bCs/>
        </w:rPr>
      </w:pPr>
    </w:p>
    <w:p w14:paraId="6D273C46" w14:textId="77777777" w:rsidR="005142F0" w:rsidRPr="00913B5B" w:rsidRDefault="005142F0" w:rsidP="005142F0">
      <w:pPr>
        <w:pStyle w:val="NoSpacing"/>
        <w:rPr>
          <w:b/>
        </w:rPr>
      </w:pPr>
      <w:r w:rsidRPr="00913B5B">
        <w:rPr>
          <w:b/>
        </w:rPr>
        <w:t xml:space="preserve">KEY FACTS: </w:t>
      </w:r>
    </w:p>
    <w:p w14:paraId="154034A8" w14:textId="77777777" w:rsidR="005142F0" w:rsidRDefault="005142F0" w:rsidP="005142F0">
      <w:pPr>
        <w:pStyle w:val="NoSpacing"/>
        <w:rPr>
          <w:bCs/>
        </w:rPr>
      </w:pPr>
    </w:p>
    <w:p w14:paraId="5B30C1CF" w14:textId="77777777" w:rsidR="005142F0" w:rsidRDefault="005142F0" w:rsidP="005142F0">
      <w:pPr>
        <w:pStyle w:val="NoSpacing"/>
        <w:ind w:left="720"/>
        <w:rPr>
          <w:bCs/>
        </w:rPr>
      </w:pPr>
      <w:r>
        <w:t>“[T]</w:t>
      </w:r>
      <w:r w:rsidRPr="00FA0DEF">
        <w:t>he record shows that on February 15, 2024, a Mitchell County</w:t>
      </w:r>
      <w:r>
        <w:t xml:space="preserve"> </w:t>
      </w:r>
      <w:r w:rsidRPr="00FA0DEF">
        <w:t>Sheriff’s Department investigator received a call from the sheriff, who had received</w:t>
      </w:r>
      <w:r>
        <w:t xml:space="preserve"> </w:t>
      </w:r>
      <w:r w:rsidRPr="00FA0DEF">
        <w:t xml:space="preserve">a call from a </w:t>
      </w:r>
      <w:r>
        <w:t>‘</w:t>
      </w:r>
      <w:r w:rsidRPr="00FA0DEF">
        <w:t>concerned citizen.</w:t>
      </w:r>
      <w:r>
        <w:t>’</w:t>
      </w:r>
      <w:r w:rsidRPr="00FA0DEF">
        <w:t xml:space="preserve"> The caller reported a noise complaint due to a large</w:t>
      </w:r>
      <w:r>
        <w:t xml:space="preserve"> </w:t>
      </w:r>
      <w:r w:rsidRPr="00FA0DEF">
        <w:t>group of dogs constantly barking at a property on Pinewood Lane. Approximately</w:t>
      </w:r>
      <w:r>
        <w:t xml:space="preserve"> </w:t>
      </w:r>
      <w:r w:rsidRPr="00FA0DEF">
        <w:t>seven residences are located along the road, and based on the call, the investigator</w:t>
      </w:r>
      <w:r>
        <w:t xml:space="preserve"> ‘</w:t>
      </w:r>
      <w:r w:rsidRPr="00FA0DEF">
        <w:t>went and met with a guy that lives right down the road and got permission to get on</w:t>
      </w:r>
      <w:r>
        <w:t xml:space="preserve"> </w:t>
      </w:r>
      <w:r w:rsidRPr="00FA0DEF">
        <w:t>his property. [The investigator] flew [a] drone over the tree line of the property and</w:t>
      </w:r>
      <w:r>
        <w:t xml:space="preserve"> </w:t>
      </w:r>
      <w:r w:rsidRPr="00FA0DEF">
        <w:t xml:space="preserve">observed a large </w:t>
      </w:r>
      <w:proofErr w:type="gramStart"/>
      <w:r w:rsidRPr="00FA0DEF">
        <w:t>amount</w:t>
      </w:r>
      <w:proofErr w:type="gramEnd"/>
      <w:r w:rsidRPr="00FA0DEF">
        <w:t xml:space="preserve"> of dogs in a wooded area in the back of the residence” at 600</w:t>
      </w:r>
      <w:r>
        <w:t xml:space="preserve"> </w:t>
      </w:r>
      <w:r w:rsidRPr="00FA0DEF">
        <w:t>Pinewood Lane, where Bradford lives. Using the drone’s camera, the investigator saw</w:t>
      </w:r>
      <w:r>
        <w:t xml:space="preserve"> ‘</w:t>
      </w:r>
      <w:r w:rsidRPr="00FA0DEF">
        <w:t>approximately 40 to 50</w:t>
      </w:r>
      <w:r>
        <w:t>’</w:t>
      </w:r>
      <w:r w:rsidRPr="00FA0DEF">
        <w:t xml:space="preserve"> dogs on the property. He </w:t>
      </w:r>
      <w:proofErr w:type="gramStart"/>
      <w:r w:rsidRPr="00FA0DEF">
        <w:t>was not able to</w:t>
      </w:r>
      <w:proofErr w:type="gramEnd"/>
      <w:r w:rsidRPr="00FA0DEF">
        <w:t xml:space="preserve"> discern their</w:t>
      </w:r>
      <w:r>
        <w:t xml:space="preserve"> </w:t>
      </w:r>
      <w:r w:rsidRPr="00FA0DEF">
        <w:t>condition, and he pursued no further investigation or criminal action at that time.</w:t>
      </w:r>
    </w:p>
    <w:p w14:paraId="7888058D" w14:textId="77777777" w:rsidR="005142F0" w:rsidRDefault="005142F0" w:rsidP="005142F0">
      <w:pPr>
        <w:pStyle w:val="NoSpacing"/>
        <w:ind w:left="720"/>
        <w:rPr>
          <w:bCs/>
        </w:rPr>
      </w:pPr>
    </w:p>
    <w:p w14:paraId="1549ECE2" w14:textId="77777777" w:rsidR="005142F0" w:rsidRDefault="005142F0" w:rsidP="005142F0">
      <w:pPr>
        <w:pStyle w:val="NoSpacing"/>
        <w:ind w:left="720"/>
        <w:rPr>
          <w:bCs/>
        </w:rPr>
      </w:pPr>
      <w:r w:rsidRPr="00DA2CA3">
        <w:t>A week later, on February 22, 2024, the sheriff received a second call from a</w:t>
      </w:r>
      <w:r>
        <w:t xml:space="preserve"> </w:t>
      </w:r>
      <w:r w:rsidRPr="00DA2CA3">
        <w:t xml:space="preserve">neighbor on the same street stating that </w:t>
      </w:r>
      <w:r>
        <w:t>‘</w:t>
      </w:r>
      <w:r w:rsidRPr="00DA2CA3">
        <w:t>one of the dogs had gotten loose and come</w:t>
      </w:r>
      <w:r>
        <w:t xml:space="preserve"> </w:t>
      </w:r>
      <w:r w:rsidRPr="00DA2CA3">
        <w:t>up to their property and he looked malnourished.</w:t>
      </w:r>
      <w:r>
        <w:t xml:space="preserve">’ </w:t>
      </w:r>
      <w:r w:rsidRPr="00DA2CA3">
        <w:t xml:space="preserve"> Based on this, the investigator</w:t>
      </w:r>
      <w:r>
        <w:t xml:space="preserve"> </w:t>
      </w:r>
      <w:r w:rsidRPr="00DA2CA3">
        <w:t>contacted the county code enforcement officer to conduct a welfare check regarding</w:t>
      </w:r>
      <w:r>
        <w:t xml:space="preserve"> </w:t>
      </w:r>
      <w:r w:rsidRPr="00DA2CA3">
        <w:t xml:space="preserve">the loose dog. The investigator testified </w:t>
      </w:r>
      <w:proofErr w:type="gramStart"/>
      <w:r w:rsidRPr="00DA2CA3">
        <w:t xml:space="preserve">that, </w:t>
      </w:r>
      <w:r>
        <w:t>‘</w:t>
      </w:r>
      <w:proofErr w:type="gramEnd"/>
      <w:r w:rsidRPr="00DA2CA3">
        <w:t>when we rode down [Pinewood Lane],</w:t>
      </w:r>
      <w:r>
        <w:t xml:space="preserve"> </w:t>
      </w:r>
      <w:r w:rsidRPr="00DA2CA3">
        <w:t>we didn’t observe any dogs at any of the other residences until we got to the end and</w:t>
      </w:r>
      <w:r>
        <w:t xml:space="preserve"> </w:t>
      </w:r>
      <w:r w:rsidRPr="00632369">
        <w:t>observed</w:t>
      </w:r>
      <w:r>
        <w:t>’</w:t>
      </w:r>
      <w:r w:rsidRPr="00632369">
        <w:t xml:space="preserve"> two dogs in the front yard of Bradford’s property. The two dogs were</w:t>
      </w:r>
      <w:r>
        <w:t xml:space="preserve"> </w:t>
      </w:r>
      <w:r w:rsidRPr="00632369">
        <w:t xml:space="preserve">visible from the road, and one dog was confined in a small cage </w:t>
      </w:r>
      <w:proofErr w:type="gramStart"/>
      <w:r w:rsidRPr="00632369">
        <w:t>similar to</w:t>
      </w:r>
      <w:proofErr w:type="gramEnd"/>
      <w:r w:rsidRPr="00632369">
        <w:t xml:space="preserve"> a rabbit cage,</w:t>
      </w:r>
      <w:r>
        <w:t xml:space="preserve"> </w:t>
      </w:r>
      <w:r w:rsidRPr="00632369">
        <w:t xml:space="preserve">and the other dog was attached to a heavy logging chain. The caged dog was </w:t>
      </w:r>
      <w:r>
        <w:t>‘</w:t>
      </w:r>
      <w:r w:rsidRPr="00632369">
        <w:t>almost</w:t>
      </w:r>
      <w:r>
        <w:t xml:space="preserve"> </w:t>
      </w:r>
      <w:r w:rsidRPr="00632369">
        <w:t>bigger than the cage it was in,</w:t>
      </w:r>
      <w:r>
        <w:t>’</w:t>
      </w:r>
      <w:r w:rsidRPr="00632369">
        <w:t xml:space="preserve"> such that its confinement appeared inhumane. Also</w:t>
      </w:r>
      <w:r>
        <w:t xml:space="preserve"> </w:t>
      </w:r>
      <w:r w:rsidRPr="00632369">
        <w:t xml:space="preserve">audible from the road was the sound of </w:t>
      </w:r>
      <w:proofErr w:type="gramStart"/>
      <w:r w:rsidRPr="00632369">
        <w:t>a large number of</w:t>
      </w:r>
      <w:proofErr w:type="gramEnd"/>
      <w:r w:rsidRPr="00632369">
        <w:t xml:space="preserve"> dogs barking from the back</w:t>
      </w:r>
      <w:r>
        <w:t xml:space="preserve"> </w:t>
      </w:r>
      <w:r w:rsidRPr="00632369">
        <w:t>of Bradford’s property.</w:t>
      </w:r>
    </w:p>
    <w:p w14:paraId="50115AEA" w14:textId="77777777" w:rsidR="005142F0" w:rsidRDefault="005142F0" w:rsidP="005142F0">
      <w:pPr>
        <w:pStyle w:val="NoSpacing"/>
        <w:ind w:left="720"/>
        <w:rPr>
          <w:bCs/>
        </w:rPr>
      </w:pPr>
    </w:p>
    <w:p w14:paraId="44D9A16B" w14:textId="77777777" w:rsidR="005142F0" w:rsidRDefault="005142F0" w:rsidP="005142F0">
      <w:pPr>
        <w:pStyle w:val="NoSpacing"/>
        <w:ind w:left="720"/>
        <w:rPr>
          <w:bCs/>
        </w:rPr>
      </w:pPr>
      <w:r>
        <w:t>***</w:t>
      </w:r>
    </w:p>
    <w:p w14:paraId="6C125A9D" w14:textId="77777777" w:rsidR="005142F0" w:rsidRDefault="005142F0" w:rsidP="005142F0">
      <w:pPr>
        <w:pStyle w:val="NoSpacing"/>
        <w:ind w:left="720"/>
        <w:rPr>
          <w:bCs/>
        </w:rPr>
      </w:pPr>
      <w:proofErr w:type="gramStart"/>
      <w:r w:rsidRPr="0079581D">
        <w:t>In light of</w:t>
      </w:r>
      <w:proofErr w:type="gramEnd"/>
      <w:r w:rsidRPr="0079581D">
        <w:t xml:space="preserve"> the grim scene, the investigator determined that he would seek a</w:t>
      </w:r>
      <w:r>
        <w:t xml:space="preserve"> </w:t>
      </w:r>
      <w:r w:rsidRPr="0079581D">
        <w:t>warrant to search for evidence of crimes pertaining to animal cruelty. After obtaining</w:t>
      </w:r>
      <w:r>
        <w:t xml:space="preserve"> </w:t>
      </w:r>
      <w:r w:rsidRPr="0079581D">
        <w:t>the search warrant, police discovered contraband leading to Bradford’s indictment for</w:t>
      </w:r>
      <w:r>
        <w:t xml:space="preserve"> </w:t>
      </w:r>
      <w:r w:rsidRPr="0079581D">
        <w:t>drug crimes, dog fighting, cruelty to animals, firearm violations, and commercial</w:t>
      </w:r>
      <w:r>
        <w:t xml:space="preserve"> </w:t>
      </w:r>
      <w:r w:rsidRPr="0079581D">
        <w:t>gambling, as well as the forfeiture of property involved in this appeal.</w:t>
      </w:r>
      <w:r>
        <w:t>”</w:t>
      </w:r>
    </w:p>
    <w:p w14:paraId="172B2396" w14:textId="77777777" w:rsidR="005142F0" w:rsidRPr="000506B0" w:rsidRDefault="005142F0" w:rsidP="005142F0">
      <w:pPr>
        <w:pStyle w:val="NoSpacing"/>
      </w:pPr>
    </w:p>
    <w:p w14:paraId="6D00F05B" w14:textId="77777777" w:rsidR="005142F0" w:rsidRDefault="005142F0" w:rsidP="005142F0">
      <w:pPr>
        <w:pStyle w:val="NoSpacing"/>
        <w:rPr>
          <w:b/>
          <w:bCs/>
        </w:rPr>
      </w:pPr>
      <w:r>
        <w:rPr>
          <w:b/>
        </w:rPr>
        <w:t>Legal lesson learned:  When using a drone for code enforcement, avoid flying over target property until search warrant is obtained.</w:t>
      </w:r>
    </w:p>
    <w:p w14:paraId="5811BC1B" w14:textId="77777777" w:rsidR="005142F0" w:rsidRDefault="005142F0" w:rsidP="005142F0">
      <w:pPr>
        <w:pStyle w:val="NoSpacing"/>
        <w:rPr>
          <w:b/>
          <w:bCs/>
        </w:rPr>
      </w:pPr>
      <w:r>
        <w:rPr>
          <w:b/>
        </w:rPr>
        <w:tab/>
      </w:r>
    </w:p>
    <w:p w14:paraId="3B6A4B20" w14:textId="77777777" w:rsidR="005142F0" w:rsidRDefault="005142F0" w:rsidP="005142F0">
      <w:pPr>
        <w:pStyle w:val="NoSpacing"/>
        <w:ind w:left="720"/>
      </w:pPr>
      <w:r w:rsidRPr="00826E91">
        <w:t xml:space="preserve">Note: </w:t>
      </w:r>
      <w:r w:rsidRPr="008D2B93">
        <w:t>See also see this</w:t>
      </w:r>
      <w:r>
        <w:t xml:space="preserve"> April 17, </w:t>
      </w:r>
      <w:proofErr w:type="gramStart"/>
      <w:r>
        <w:t>2025</w:t>
      </w:r>
      <w:proofErr w:type="gramEnd"/>
      <w:r>
        <w:t xml:space="preserve"> Illinois decision </w:t>
      </w:r>
      <w:r w:rsidRPr="008D2B93">
        <w:t xml:space="preserve">where Sheriff </w:t>
      </w:r>
      <w:r>
        <w:t xml:space="preserve">wisely </w:t>
      </w:r>
      <w:r w:rsidRPr="008D2B93">
        <w:t xml:space="preserve">obtained search warrant </w:t>
      </w:r>
      <w:r>
        <w:t xml:space="preserve">to use a </w:t>
      </w:r>
      <w:r w:rsidRPr="008D2B93">
        <w:t xml:space="preserve">drone to </w:t>
      </w:r>
      <w:r>
        <w:t xml:space="preserve">film run down </w:t>
      </w:r>
      <w:r w:rsidRPr="008D2B93">
        <w:t>hotel</w:t>
      </w:r>
      <w:r>
        <w:t xml:space="preserve"> to support condemnation. </w:t>
      </w:r>
    </w:p>
    <w:p w14:paraId="77D0D301" w14:textId="77777777" w:rsidR="005142F0" w:rsidRPr="008D2B93" w:rsidRDefault="005142F0" w:rsidP="005142F0">
      <w:pPr>
        <w:ind w:left="720"/>
      </w:pPr>
      <w:r>
        <w:t xml:space="preserve">“On July 24, 2023, with judicial approval, the Winnebago County Sheriff’s Office used a drone to make a video of the Hotel. At trial, as the video was played, Henthorn pointed out to the circuit court the vandalized entryway, water damage and mildew on the walls and ceiling, the nonfunctioning plumbing, the lack of electrical service, and the unsecured and vacant condition of the Hotel.”  </w:t>
      </w:r>
      <w:r w:rsidRPr="001116F2">
        <w:rPr>
          <w:u w:val="single"/>
        </w:rPr>
        <w:t>The City of South Beloit, Illinois v. The New Chapter Group, et al</w:t>
      </w:r>
      <w:r>
        <w:t xml:space="preserve">., Appellate Court of Illinois. April 17, 2025. </w:t>
      </w:r>
      <w:hyperlink r:id="rId73" w:history="1">
        <w:r w:rsidRPr="005A0008">
          <w:rPr>
            <w:rStyle w:val="Hyperlink"/>
          </w:rPr>
          <w:t>https://legal.iml.org/file.cfm?key=29946</w:t>
        </w:r>
      </w:hyperlink>
      <w:r>
        <w:t xml:space="preserve"> </w:t>
      </w:r>
    </w:p>
    <w:p w14:paraId="0EDC12B0" w14:textId="60821484"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91</w:t>
      </w:r>
    </w:p>
    <w:p w14:paraId="213BB90A" w14:textId="77777777" w:rsidR="005142F0" w:rsidRPr="00306696" w:rsidRDefault="005142F0" w:rsidP="00037CB8">
      <w:pPr>
        <w:pStyle w:val="NoSpacing"/>
      </w:pPr>
    </w:p>
    <w:p w14:paraId="104D090D" w14:textId="77777777" w:rsidR="001F3C9E" w:rsidRDefault="001F3C9E" w:rsidP="001F3C9E">
      <w:pPr>
        <w:rPr>
          <w:rFonts w:ascii="Arial Black" w:hAnsi="Arial Black"/>
          <w:b/>
          <w:sz w:val="28"/>
          <w:szCs w:val="28"/>
        </w:rPr>
      </w:pPr>
      <w:r>
        <w:rPr>
          <w:rFonts w:ascii="Arial Black" w:hAnsi="Arial Black"/>
          <w:b/>
          <w:sz w:val="28"/>
          <w:szCs w:val="28"/>
        </w:rPr>
        <w:t>OH: LIQUOR LICENSE NOT RENEWED – FD / PD TESTIMONY</w:t>
      </w:r>
    </w:p>
    <w:p w14:paraId="7660F6F6" w14:textId="77777777" w:rsidR="001F3C9E" w:rsidRDefault="001F3C9E" w:rsidP="001F3C9E">
      <w:pPr>
        <w:pStyle w:val="NoSpacing"/>
        <w:rPr>
          <w:bCs/>
        </w:rPr>
      </w:pPr>
      <w:r w:rsidRPr="001C15AB">
        <w:t xml:space="preserve">On September 12, </w:t>
      </w:r>
      <w:proofErr w:type="gramStart"/>
      <w:r w:rsidRPr="001C15AB">
        <w:t>2025</w:t>
      </w:r>
      <w:proofErr w:type="gramEnd"/>
      <w:r w:rsidRPr="001C15AB">
        <w:t xml:space="preserve"> in </w:t>
      </w:r>
      <w:r w:rsidRPr="001C15AB">
        <w:rPr>
          <w:u w:val="single"/>
        </w:rPr>
        <w:t>City of Sharonville v. Ohio Liquor Control Commission, et al</w:t>
      </w:r>
      <w:r w:rsidRPr="001C15AB">
        <w:t xml:space="preserve">., </w:t>
      </w:r>
      <w:r>
        <w:t xml:space="preserve">the </w:t>
      </w:r>
      <w:r w:rsidRPr="00862D06">
        <w:t>Court of Appeals of Ohio, Tenth District</w:t>
      </w:r>
      <w:r>
        <w:t xml:space="preserve"> held (2 to 1) that trial court judge, after testimony from Acting Fire Chief and Police Chief, properly reversed the Commission and liquor license of the “Cove 51” bar was not renewed.  </w:t>
      </w:r>
    </w:p>
    <w:p w14:paraId="00EF20E6" w14:textId="77777777" w:rsidR="001F3C9E" w:rsidRDefault="001F3C9E" w:rsidP="001F3C9E">
      <w:pPr>
        <w:pStyle w:val="NoSpacing"/>
        <w:rPr>
          <w:bCs/>
        </w:rPr>
      </w:pPr>
    </w:p>
    <w:p w14:paraId="70CDCFD3" w14:textId="77777777" w:rsidR="001F3C9E" w:rsidRDefault="001F3C9E" w:rsidP="001F3C9E">
      <w:pPr>
        <w:pStyle w:val="NoSpacing"/>
        <w:rPr>
          <w:bCs/>
        </w:rPr>
      </w:pPr>
      <w:r w:rsidRPr="005A464F">
        <w:rPr>
          <w:b/>
        </w:rPr>
        <w:t>THE COURT HELD:</w:t>
      </w:r>
      <w:r>
        <w:t xml:space="preserve"> “</w:t>
      </w:r>
      <w:r w:rsidRPr="001D46D4">
        <w:t xml:space="preserve">The Sharonville Fire Department’s Acting Chief </w:t>
      </w:r>
      <w:r>
        <w:t xml:space="preserve">[John Mackey] </w:t>
      </w:r>
      <w:r w:rsidRPr="001D46D4">
        <w:t>testified that the operation of</w:t>
      </w:r>
      <w:r>
        <w:t xml:space="preserve"> </w:t>
      </w:r>
      <w:r w:rsidRPr="001D46D4">
        <w:t>Cove 51 had substantially affected the delivery of emergency services to the business. The</w:t>
      </w:r>
      <w:r>
        <w:t xml:space="preserve"> </w:t>
      </w:r>
      <w:r w:rsidRPr="001D46D4">
        <w:t xml:space="preserve">parking lot was frequently overcrowded and difficult to navigate, and patrons </w:t>
      </w:r>
      <w:proofErr w:type="gramStart"/>
      <w:r w:rsidRPr="001D46D4">
        <w:t>have</w:t>
      </w:r>
      <w:r>
        <w:t xml:space="preserve"> </w:t>
      </w:r>
      <w:r w:rsidRPr="001D46D4">
        <w:t>confronted</w:t>
      </w:r>
      <w:proofErr w:type="gramEnd"/>
      <w:r w:rsidRPr="001D46D4">
        <w:t xml:space="preserve"> EMS teams with weapons while they were treating patients. As a result, EMS</w:t>
      </w:r>
      <w:r>
        <w:t xml:space="preserve"> </w:t>
      </w:r>
      <w:r w:rsidRPr="001D46D4">
        <w:t>personnel have been required to wear ballistic vests when responding to the area, and have</w:t>
      </w:r>
      <w:r>
        <w:t xml:space="preserve"> </w:t>
      </w:r>
      <w:r w:rsidRPr="001D46D4">
        <w:t>been instructed to transport patients away from the area for any treatment</w:t>
      </w:r>
      <w:r>
        <w:t>….</w:t>
      </w:r>
      <w:r w:rsidRPr="001D46D4">
        <w:t>Further,</w:t>
      </w:r>
      <w:r>
        <w:t xml:space="preserve"> </w:t>
      </w:r>
      <w:r w:rsidRPr="001D46D4">
        <w:t>the operations commander of the Sharonville Police Department testified about numerous</w:t>
      </w:r>
      <w:r>
        <w:t xml:space="preserve"> </w:t>
      </w:r>
      <w:r w:rsidRPr="001D46D4">
        <w:t>incidents requiring police intervention traceable to Cove 51, including 118 documented calls</w:t>
      </w:r>
      <w:r>
        <w:t xml:space="preserve"> </w:t>
      </w:r>
      <w:r w:rsidRPr="001D46D4">
        <w:t>and 43 calls over the course of a single year, including assaults, shots fired incidents, thefts,</w:t>
      </w:r>
      <w:r>
        <w:t xml:space="preserve"> </w:t>
      </w:r>
      <w:r w:rsidRPr="001D46D4">
        <w:t>trouble runs, criminal damaging, and disruption of other area businesses.</w:t>
      </w:r>
      <w:r>
        <w:t xml:space="preserve"> *** Chief Mackey’s testimony as stated above also shows that Cove’s patrons’ conduct has also had a significant impact on the City’s fire department not only for runs to Cove, but to all calls on Chester Road. *** The [trial] court’s review of the facts is very thorough and completely reasonable, and its partial reversal of the OLCC’s decision is appropriate on these facts. And given our own limited standard of review, we cannot conclude that review of the facts and partial reversal constitutes an abuse of the common pleas court’s discretion.” </w:t>
      </w:r>
      <w:hyperlink r:id="rId74" w:history="1">
        <w:r w:rsidRPr="00854CEF">
          <w:rPr>
            <w:rStyle w:val="Hyperlink"/>
            <w:b/>
          </w:rPr>
          <w:t>https://cases.justia.com/ohio/tenth-district-court-of-appeals/2025-24ap-255.pdf?ts=1757620491</w:t>
        </w:r>
      </w:hyperlink>
    </w:p>
    <w:p w14:paraId="22AABB4E" w14:textId="77777777" w:rsidR="001F3C9E" w:rsidRDefault="001F3C9E" w:rsidP="001F3C9E">
      <w:pPr>
        <w:pStyle w:val="NoSpacing"/>
        <w:rPr>
          <w:bCs/>
        </w:rPr>
      </w:pPr>
    </w:p>
    <w:p w14:paraId="0AE062B3" w14:textId="77777777" w:rsidR="001F3C9E" w:rsidRPr="005A464F" w:rsidRDefault="001F3C9E" w:rsidP="001F3C9E">
      <w:pPr>
        <w:pStyle w:val="NoSpacing"/>
        <w:rPr>
          <w:b/>
        </w:rPr>
      </w:pPr>
      <w:r w:rsidRPr="005A464F">
        <w:rPr>
          <w:b/>
        </w:rPr>
        <w:t>KEY FACTS:</w:t>
      </w:r>
    </w:p>
    <w:p w14:paraId="5D372BD1" w14:textId="77777777" w:rsidR="001F3C9E" w:rsidRDefault="001F3C9E" w:rsidP="001F3C9E">
      <w:pPr>
        <w:pStyle w:val="NoSpacing"/>
        <w:rPr>
          <w:bCs/>
        </w:rPr>
      </w:pPr>
    </w:p>
    <w:p w14:paraId="2898D302" w14:textId="77777777" w:rsidR="001F3C9E" w:rsidRPr="00DC61C4" w:rsidRDefault="001F3C9E" w:rsidP="001F3C9E">
      <w:pPr>
        <w:pStyle w:val="NoSpacing"/>
        <w:ind w:left="720"/>
        <w:rPr>
          <w:bCs/>
        </w:rPr>
      </w:pPr>
      <w:r>
        <w:t>“</w:t>
      </w:r>
      <w:r w:rsidRPr="00DC61C4">
        <w:t>On May 25, 2021, Sharonville’s City Council adopted an emergency</w:t>
      </w:r>
      <w:r>
        <w:t xml:space="preserve"> </w:t>
      </w:r>
      <w:r w:rsidRPr="00DC61C4">
        <w:t xml:space="preserve">resolution stating its position that </w:t>
      </w:r>
      <w:r>
        <w:t>‘</w:t>
      </w:r>
      <w:r w:rsidRPr="00DC61C4">
        <w:t xml:space="preserve">the liquor permit issued to Elizabeth </w:t>
      </w:r>
      <w:proofErr w:type="spellStart"/>
      <w:r w:rsidRPr="00DC61C4">
        <w:t>Iloegbunam</w:t>
      </w:r>
      <w:proofErr w:type="spellEnd"/>
      <w:r w:rsidRPr="00DC61C4">
        <w:t xml:space="preserve"> for</w:t>
      </w:r>
      <w:r>
        <w:t xml:space="preserve"> </w:t>
      </w:r>
      <w:r w:rsidRPr="00DC61C4">
        <w:t>Klass Entertainment, dba Cove 51, should not be renewed,</w:t>
      </w:r>
      <w:r>
        <w:t xml:space="preserve">’ </w:t>
      </w:r>
      <w:r w:rsidRPr="00DC61C4">
        <w:t xml:space="preserve">and requested a hearing </w:t>
      </w:r>
      <w:r>
        <w:t>‘</w:t>
      </w:r>
      <w:r w:rsidRPr="00DC61C4">
        <w:t>before</w:t>
      </w:r>
    </w:p>
    <w:p w14:paraId="09E3C4A7" w14:textId="77777777" w:rsidR="001F3C9E" w:rsidRDefault="001F3C9E" w:rsidP="001F3C9E">
      <w:pPr>
        <w:pStyle w:val="NoSpacing"/>
        <w:ind w:left="720"/>
        <w:rPr>
          <w:bCs/>
        </w:rPr>
      </w:pPr>
      <w:r w:rsidRPr="00DC61C4">
        <w:t>the Ohio Department of Liquor Control [sic] to prove the authenticity of these findings and</w:t>
      </w:r>
      <w:r>
        <w:t xml:space="preserve"> </w:t>
      </w:r>
      <w:r w:rsidRPr="00DC61C4">
        <w:t>to document the fact that the liquor permit should be cancelled.</w:t>
      </w:r>
      <w:r>
        <w:t>’</w:t>
      </w:r>
    </w:p>
    <w:p w14:paraId="01FBF4BE" w14:textId="77777777" w:rsidR="001F3C9E" w:rsidRDefault="001F3C9E" w:rsidP="001F3C9E">
      <w:pPr>
        <w:pStyle w:val="NoSpacing"/>
        <w:ind w:left="720"/>
        <w:rPr>
          <w:bCs/>
        </w:rPr>
      </w:pPr>
    </w:p>
    <w:p w14:paraId="39E8C7BC" w14:textId="77777777" w:rsidR="001F3C9E" w:rsidRDefault="001F3C9E" w:rsidP="001F3C9E">
      <w:pPr>
        <w:pStyle w:val="NoSpacing"/>
        <w:ind w:left="720"/>
        <w:rPr>
          <w:bCs/>
        </w:rPr>
      </w:pPr>
      <w:r>
        <w:t>***</w:t>
      </w:r>
    </w:p>
    <w:p w14:paraId="32433F4E" w14:textId="77777777" w:rsidR="001F3C9E" w:rsidRPr="00C17172" w:rsidRDefault="001F3C9E" w:rsidP="001F3C9E">
      <w:pPr>
        <w:pStyle w:val="NoSpacing"/>
        <w:ind w:left="720"/>
        <w:rPr>
          <w:bCs/>
        </w:rPr>
      </w:pPr>
      <w:r w:rsidRPr="00C17172">
        <w:t>The denial was supported by extensive evidence, both regarding the nature</w:t>
      </w:r>
      <w:r>
        <w:t xml:space="preserve"> </w:t>
      </w:r>
      <w:r w:rsidRPr="00C17172">
        <w:t>of the neighborhood where Cove 51 is located and of the incidents with public safety and</w:t>
      </w:r>
    </w:p>
    <w:p w14:paraId="58E0732B" w14:textId="77777777" w:rsidR="001F3C9E" w:rsidRDefault="001F3C9E" w:rsidP="001F3C9E">
      <w:pPr>
        <w:pStyle w:val="NoSpacing"/>
        <w:ind w:left="720"/>
        <w:rPr>
          <w:bCs/>
        </w:rPr>
      </w:pPr>
      <w:r w:rsidRPr="00C17172">
        <w:t xml:space="preserve">law enforcement that prompted Sharonville’s objection to renewal of </w:t>
      </w:r>
      <w:proofErr w:type="spellStart"/>
      <w:r w:rsidRPr="00C17172">
        <w:t>Iloegbunam’s</w:t>
      </w:r>
      <w:proofErr w:type="spellEnd"/>
      <w:r w:rsidRPr="00C17172">
        <w:t xml:space="preserve"> permit.</w:t>
      </w:r>
      <w:r>
        <w:t xml:space="preserve"> </w:t>
      </w:r>
      <w:r w:rsidRPr="00C17172">
        <w:t>Representatives of three nearby hotels described regular disruptions by Cove 51’s patrons</w:t>
      </w:r>
      <w:r>
        <w:t xml:space="preserve"> </w:t>
      </w:r>
      <w:r w:rsidRPr="00C17172">
        <w:t>on their properties, which included excessive late-night noise, unauthorized use of private</w:t>
      </w:r>
      <w:r>
        <w:t xml:space="preserve"> </w:t>
      </w:r>
      <w:r w:rsidRPr="00C17172">
        <w:t>parking lots, fights, discarded and broken alcohol containers, abandoned litter, and used</w:t>
      </w:r>
      <w:r>
        <w:t xml:space="preserve"> </w:t>
      </w:r>
      <w:r w:rsidRPr="00C17172">
        <w:t>condoms. One of the managers testified that a Cove 51 patron had run through their hotel</w:t>
      </w:r>
      <w:r>
        <w:t xml:space="preserve"> </w:t>
      </w:r>
      <w:r w:rsidRPr="00C17172">
        <w:t>lobby brandishing a gun, and the director of guest services for another hotel testified that</w:t>
      </w:r>
      <w:r>
        <w:t xml:space="preserve"> </w:t>
      </w:r>
      <w:r w:rsidRPr="00C17172">
        <w:t xml:space="preserve">the hotel had lost the business of traveling sports teams because of </w:t>
      </w:r>
      <w:r>
        <w:t>‘</w:t>
      </w:r>
      <w:r w:rsidRPr="00C17172">
        <w:t>shots fired</w:t>
      </w:r>
      <w:r>
        <w:t>’</w:t>
      </w:r>
      <w:r w:rsidRPr="00C17172">
        <w:t xml:space="preserve"> incidents</w:t>
      </w:r>
      <w:r>
        <w:t xml:space="preserve"> </w:t>
      </w:r>
      <w:r w:rsidRPr="00C17172">
        <w:t>at Cove 51 and the required police response to those incidents. Id. Sharonville’s City</w:t>
      </w:r>
      <w:r>
        <w:t xml:space="preserve"> </w:t>
      </w:r>
      <w:r w:rsidRPr="00C17172">
        <w:t>Director testified that the area surrounding those hotels had been a subject of revitalization</w:t>
      </w:r>
      <w:r>
        <w:t xml:space="preserve"> </w:t>
      </w:r>
      <w:r w:rsidRPr="00C17172">
        <w:t>and investment efforts over the past few years, and also that Sharonville had planned to</w:t>
      </w:r>
      <w:r>
        <w:t xml:space="preserve"> </w:t>
      </w:r>
      <w:r w:rsidRPr="00C17172">
        <w:t>borrow nearly $20 million over the next quarter to expand the Sharonville Convention</w:t>
      </w:r>
      <w:r>
        <w:t xml:space="preserve"> </w:t>
      </w:r>
      <w:r w:rsidRPr="00616855">
        <w:t>Center, which is in that same area on the same side of the street and just south of Cove 51.</w:t>
      </w:r>
      <w:r>
        <w:t>”</w:t>
      </w:r>
    </w:p>
    <w:p w14:paraId="35AF1EAD" w14:textId="77777777" w:rsidR="001F3C9E" w:rsidRDefault="001F3C9E" w:rsidP="001F3C9E">
      <w:pPr>
        <w:pStyle w:val="NoSpacing"/>
        <w:rPr>
          <w:bCs/>
        </w:rPr>
      </w:pPr>
    </w:p>
    <w:p w14:paraId="1A389576" w14:textId="7485D4E8" w:rsidR="001F3C9E" w:rsidRPr="004E4F8A" w:rsidRDefault="001F3C9E" w:rsidP="001F3C9E">
      <w:pPr>
        <w:pStyle w:val="NoSpacing"/>
        <w:rPr>
          <w:b/>
          <w:bCs/>
        </w:rPr>
      </w:pPr>
      <w:r>
        <w:rPr>
          <w:b/>
        </w:rPr>
        <w:t xml:space="preserve">Lesson learned: Excellent example of fire and police testimony leading to revocation of liquor license. </w:t>
      </w:r>
    </w:p>
    <w:p w14:paraId="07CA95B4" w14:textId="77777777" w:rsidR="001F3C9E" w:rsidRDefault="001F3C9E" w:rsidP="001F3C9E">
      <w:pPr>
        <w:pStyle w:val="NoSpacing"/>
      </w:pPr>
    </w:p>
    <w:p w14:paraId="55574709" w14:textId="77777777" w:rsidR="001F3C9E" w:rsidRDefault="001F3C9E" w:rsidP="00F326E5">
      <w:pPr>
        <w:pStyle w:val="NoSpacing"/>
        <w:rPr>
          <w:rFonts w:ascii="Arial Black" w:hAnsi="Arial Black"/>
          <w:sz w:val="24"/>
          <w:szCs w:val="24"/>
        </w:rPr>
      </w:pPr>
    </w:p>
    <w:p w14:paraId="5BBF69C0" w14:textId="730CED6F"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90</w:t>
      </w:r>
    </w:p>
    <w:p w14:paraId="336B7366" w14:textId="77777777" w:rsidR="00141CEC" w:rsidRDefault="00141CEC" w:rsidP="0044195B">
      <w:pPr>
        <w:rPr>
          <w:rFonts w:ascii="Arial Black" w:hAnsi="Arial Black"/>
          <w:b/>
          <w:sz w:val="28"/>
          <w:szCs w:val="28"/>
        </w:rPr>
      </w:pPr>
    </w:p>
    <w:p w14:paraId="353322A6" w14:textId="11B04C4A" w:rsidR="0044195B" w:rsidRPr="00B80244" w:rsidRDefault="0044195B" w:rsidP="0044195B">
      <w:pPr>
        <w:rPr>
          <w:rFonts w:ascii="Arial Black" w:hAnsi="Arial Black"/>
          <w:b/>
          <w:sz w:val="28"/>
          <w:szCs w:val="28"/>
        </w:rPr>
      </w:pPr>
      <w:r>
        <w:rPr>
          <w:rFonts w:ascii="Arial Black" w:hAnsi="Arial Black"/>
          <w:b/>
          <w:sz w:val="28"/>
          <w:szCs w:val="28"/>
        </w:rPr>
        <w:t>WY: ARSON TRAILER – CIR. EVID. / BLEACH ON SHIRT</w:t>
      </w:r>
    </w:p>
    <w:p w14:paraId="05C50ADB" w14:textId="77777777" w:rsidR="0044195B" w:rsidRDefault="0044195B" w:rsidP="0044195B">
      <w:pPr>
        <w:rPr>
          <w:bCs/>
        </w:rPr>
      </w:pPr>
      <w:r w:rsidRPr="00A2196C">
        <w:t xml:space="preserve">On September 12, 2025, in </w:t>
      </w:r>
      <w:r w:rsidRPr="00240688">
        <w:rPr>
          <w:u w:val="single"/>
        </w:rPr>
        <w:t>Andrew Lee Boyer v. The State of Wyoming</w:t>
      </w:r>
      <w:r>
        <w:t xml:space="preserve">, the Supreme Court of Wyoming held (5 to 0) there was sufficient circumstantial evidence when jury found him guilty of first-degree arson (sentenced to 8-14 years).  </w:t>
      </w:r>
    </w:p>
    <w:p w14:paraId="733E3126" w14:textId="77777777" w:rsidR="0044195B" w:rsidRDefault="0044195B" w:rsidP="0044195B">
      <w:r w:rsidRPr="00B511E1">
        <w:rPr>
          <w:b/>
        </w:rPr>
        <w:t>THE COURT HELD</w:t>
      </w:r>
      <w:r>
        <w:t>: “</w:t>
      </w:r>
      <w:r w:rsidRPr="00B80244">
        <w:t>We find there was substantial evidence to support Mr. Boyer’s conviction. While</w:t>
      </w:r>
      <w:r>
        <w:t xml:space="preserve"> </w:t>
      </w:r>
      <w:r w:rsidRPr="00B80244">
        <w:t>there was no direct evidence linking Mr. Boyer to the fire, there was plenty of</w:t>
      </w:r>
      <w:r>
        <w:t xml:space="preserve"> </w:t>
      </w:r>
      <w:r w:rsidRPr="00B80244">
        <w:t>circumstantial evidence to support the jury’s verdict. Mr. Boyer was the last person to be</w:t>
      </w:r>
      <w:r>
        <w:t xml:space="preserve"> </w:t>
      </w:r>
      <w:r w:rsidRPr="00B80244">
        <w:t>seen in the trailer. The doors to the trailer were locked, the windows were shut, and there</w:t>
      </w:r>
      <w:r>
        <w:t xml:space="preserve"> </w:t>
      </w:r>
      <w:r w:rsidRPr="00B80244">
        <w:t xml:space="preserve">was no sign of a break-in. Ms. Haglund </w:t>
      </w:r>
      <w:r>
        <w:t xml:space="preserve">[neighbor] </w:t>
      </w:r>
      <w:r w:rsidRPr="00B80244">
        <w:t>smelled and observed smoke just thirty minutes</w:t>
      </w:r>
      <w:r>
        <w:t xml:space="preserve"> </w:t>
      </w:r>
      <w:r w:rsidRPr="00B80244">
        <w:t>after Mr. Boyer left her home. Ms. Haglund saw him walk toward the main road after</w:t>
      </w:r>
      <w:r>
        <w:t xml:space="preserve"> </w:t>
      </w:r>
      <w:r w:rsidRPr="00B80244">
        <w:t>borrowing her lighter. The fire started in two or three spots and was lit on purpose.</w:t>
      </w:r>
      <w:r>
        <w:t xml:space="preserve"> </w:t>
      </w:r>
      <w:r w:rsidRPr="00B80244">
        <w:t>Mr. Boyer was covered with bleach, which can be used to manipulate evidence.</w:t>
      </w:r>
      <w:r>
        <w:t xml:space="preserve"> </w:t>
      </w:r>
      <w:r w:rsidRPr="00B80244">
        <w:t>Mr. Boyer discarded his bleach covered shirt before returning to his trailer. Contrary to</w:t>
      </w:r>
      <w:r>
        <w:t xml:space="preserve"> </w:t>
      </w:r>
      <w:r w:rsidRPr="00B80244">
        <w:t>Mr. Boyer’s story that his dogs ran away, officers found Mr. Boyer’s dogs nearby, and</w:t>
      </w:r>
      <w:r>
        <w:t xml:space="preserve"> </w:t>
      </w:r>
      <w:r w:rsidRPr="00B80244">
        <w:t>Mr. Boyer said they often got out and would come back. A jury could reasonably</w:t>
      </w:r>
      <w:r>
        <w:t xml:space="preserve"> </w:t>
      </w:r>
      <w:r w:rsidRPr="00B80244">
        <w:t>conclude that Mr. Boyer started the fire, let his dogs out, and used the fact they got out as</w:t>
      </w:r>
      <w:r>
        <w:t xml:space="preserve"> </w:t>
      </w:r>
      <w:r w:rsidRPr="00B80244">
        <w:t xml:space="preserve">a pretense to give the fire time to burn and give him time to leave the </w:t>
      </w:r>
      <w:proofErr w:type="gramStart"/>
      <w:r w:rsidRPr="00B80244">
        <w:t>scene</w:t>
      </w:r>
      <w:r>
        <w:t>.”</w:t>
      </w:r>
      <w:proofErr w:type="gramEnd"/>
      <w:r>
        <w:t xml:space="preserve">  </w:t>
      </w:r>
      <w:hyperlink r:id="rId75" w:history="1">
        <w:r w:rsidRPr="00E220D9">
          <w:rPr>
            <w:rStyle w:val="Hyperlink"/>
          </w:rPr>
          <w:t>https://cases.justia.com/wyoming/supreme-court/2025-s-24-0295.pdf?ts=1757689246</w:t>
        </w:r>
      </w:hyperlink>
      <w:r>
        <w:t xml:space="preserve"> </w:t>
      </w:r>
    </w:p>
    <w:p w14:paraId="33F0647C" w14:textId="77777777" w:rsidR="0044195B" w:rsidRDefault="0044195B" w:rsidP="0044195B">
      <w:r w:rsidRPr="00B511E1">
        <w:rPr>
          <w:b/>
        </w:rPr>
        <w:t>KEY FACTS</w:t>
      </w:r>
      <w:r>
        <w:t>:</w:t>
      </w:r>
    </w:p>
    <w:p w14:paraId="284BAF42" w14:textId="77777777" w:rsidR="0044195B" w:rsidRDefault="0044195B" w:rsidP="0044195B">
      <w:pPr>
        <w:pStyle w:val="NoSpacing"/>
        <w:ind w:firstLine="720"/>
      </w:pPr>
      <w:r>
        <w:t xml:space="preserve">“Mr. Boyer owned a trailer home located at 1605 </w:t>
      </w:r>
      <w:proofErr w:type="spellStart"/>
      <w:r>
        <w:t>Echeta</w:t>
      </w:r>
      <w:proofErr w:type="spellEnd"/>
      <w:r>
        <w:t xml:space="preserve"> Road, Lot 21 in Gillette.</w:t>
      </w:r>
    </w:p>
    <w:p w14:paraId="7A8F3204" w14:textId="77777777" w:rsidR="0044195B" w:rsidRDefault="0044195B" w:rsidP="0044195B">
      <w:pPr>
        <w:pStyle w:val="NoSpacing"/>
        <w:ind w:firstLine="720"/>
      </w:pPr>
      <w:r>
        <w:t>On the morning of August 2, 2022, Charlene Haglund was smoking a cigarette outside of</w:t>
      </w:r>
    </w:p>
    <w:p w14:paraId="627EC8C0" w14:textId="77777777" w:rsidR="0044195B" w:rsidRDefault="0044195B" w:rsidP="0044195B">
      <w:pPr>
        <w:pStyle w:val="NoSpacing"/>
        <w:ind w:firstLine="720"/>
      </w:pPr>
      <w:r>
        <w:t>her trailer home, directly across from Mr. Boyer’s trailer home. Mr. Boyer approached</w:t>
      </w:r>
    </w:p>
    <w:p w14:paraId="34E84CFC" w14:textId="77777777" w:rsidR="0044195B" w:rsidRDefault="0044195B" w:rsidP="0044195B">
      <w:pPr>
        <w:pStyle w:val="NoSpacing"/>
        <w:ind w:firstLine="720"/>
      </w:pPr>
      <w:r>
        <w:t xml:space="preserve">Ms. </w:t>
      </w:r>
      <w:proofErr w:type="gramStart"/>
      <w:r>
        <w:t>Haglund and</w:t>
      </w:r>
      <w:proofErr w:type="gramEnd"/>
      <w:r>
        <w:t xml:space="preserve"> asked if he could borrow her lighter. He lit his cigarette, made some</w:t>
      </w:r>
    </w:p>
    <w:p w14:paraId="4EDE3437" w14:textId="77777777" w:rsidR="0044195B" w:rsidRDefault="0044195B" w:rsidP="0044195B">
      <w:pPr>
        <w:pStyle w:val="NoSpacing"/>
        <w:ind w:firstLine="720"/>
      </w:pPr>
      <w:r>
        <w:t xml:space="preserve">small </w:t>
      </w:r>
      <w:proofErr w:type="gramStart"/>
      <w:r>
        <w:t>talk, and</w:t>
      </w:r>
      <w:proofErr w:type="gramEnd"/>
      <w:r>
        <w:t xml:space="preserve"> walked toward the main road. Ms. Haglund said Mr. Boyer was wearing a</w:t>
      </w:r>
    </w:p>
    <w:p w14:paraId="3D860590" w14:textId="77777777" w:rsidR="0044195B" w:rsidRDefault="0044195B" w:rsidP="0044195B">
      <w:pPr>
        <w:pStyle w:val="NoSpacing"/>
        <w:ind w:firstLine="720"/>
      </w:pPr>
      <w:r>
        <w:t>dark-colored polo shirt. About thirty minutes later, Ms. Haglund smelled and saw smoke</w:t>
      </w:r>
    </w:p>
    <w:p w14:paraId="59902826" w14:textId="77777777" w:rsidR="0044195B" w:rsidRDefault="0044195B" w:rsidP="0044195B">
      <w:pPr>
        <w:pStyle w:val="NoSpacing"/>
        <w:ind w:firstLine="720"/>
      </w:pPr>
      <w:r>
        <w:t>coming from Mr. Boyer’s trailer home. She had her boyfriend call 911 to report the</w:t>
      </w:r>
    </w:p>
    <w:p w14:paraId="0A61148C" w14:textId="77777777" w:rsidR="0044195B" w:rsidRDefault="0044195B" w:rsidP="0044195B">
      <w:pPr>
        <w:pStyle w:val="NoSpacing"/>
        <w:ind w:firstLine="720"/>
      </w:pPr>
      <w:r>
        <w:t>possible fire. Ms. Haglund did not see anyone else exit Mr. Boyer’s trailer that morning.</w:t>
      </w:r>
    </w:p>
    <w:p w14:paraId="495DF110" w14:textId="77777777" w:rsidR="0044195B" w:rsidRDefault="0044195B" w:rsidP="0044195B">
      <w:pPr>
        <w:pStyle w:val="NoSpacing"/>
        <w:ind w:firstLine="720"/>
      </w:pPr>
    </w:p>
    <w:p w14:paraId="33F5C11D" w14:textId="77777777" w:rsidR="0044195B" w:rsidRDefault="0044195B" w:rsidP="0044195B">
      <w:pPr>
        <w:pStyle w:val="NoSpacing"/>
        <w:ind w:left="720"/>
      </w:pPr>
      <w:r>
        <w:t xml:space="preserve">After leaving Ms. Haglund’s home, Mr. Boyer stopped at JB Auto Glass. Mr. Boyer was wearing shorts, flip-flops, and a black T-shirt. He had a dog with him. He asked Joseph Billington, owner of JB Auto Glass, if he could use the restroom. Mr. Billington gave him permission. Mr. Billington noticed a strong bleach odor coming from the restroom after Mr. Boyer finished using it. Mr. Boyer was covered in bleach when he came out of the restroom, and his shirt had bleach spot stains all over it. There was also bleach on his flip-flops. Mr. Billington asked Mr. Boyer what happened and if he was alright. Mr. Boyer told him not to worry about it. Mr. Boyer grabbed his dog and left on </w:t>
      </w:r>
      <w:proofErr w:type="gramStart"/>
      <w:r>
        <w:t>foot,</w:t>
      </w:r>
      <w:proofErr w:type="gramEnd"/>
      <w:r>
        <w:t xml:space="preserve"> in the opposite direction he came from. The bleach had been in a spray bottle. There was bleach on the floor when Mr. Billington went into the restroom afterwards.</w:t>
      </w:r>
    </w:p>
    <w:p w14:paraId="75FE4841" w14:textId="77777777" w:rsidR="0044195B" w:rsidRDefault="0044195B" w:rsidP="0044195B">
      <w:pPr>
        <w:pStyle w:val="NoSpacing"/>
        <w:ind w:left="720"/>
      </w:pPr>
    </w:p>
    <w:p w14:paraId="3726D3D5" w14:textId="77777777" w:rsidR="0044195B" w:rsidRDefault="0044195B" w:rsidP="0044195B">
      <w:pPr>
        <w:pStyle w:val="NoSpacing"/>
        <w:ind w:left="720"/>
      </w:pPr>
      <w:r>
        <w:t>***</w:t>
      </w:r>
    </w:p>
    <w:p w14:paraId="679973B5" w14:textId="77777777" w:rsidR="0044195B" w:rsidRDefault="0044195B" w:rsidP="0044195B">
      <w:pPr>
        <w:pStyle w:val="NoSpacing"/>
        <w:ind w:left="720"/>
      </w:pPr>
      <w:r>
        <w:t>Regarding the bleach, Mr. Boyer said the restroom at JB Auto Glass did not have</w:t>
      </w:r>
    </w:p>
    <w:p w14:paraId="04F8E516" w14:textId="77777777" w:rsidR="0044195B" w:rsidRDefault="0044195B" w:rsidP="0044195B">
      <w:pPr>
        <w:pStyle w:val="NoSpacing"/>
        <w:ind w:left="720"/>
      </w:pPr>
      <w:r>
        <w:t>soap or paper towels, but there was a bottle of 409 cleaning spray on the shelf. He</w:t>
      </w:r>
    </w:p>
    <w:p w14:paraId="5B7939E8" w14:textId="77777777" w:rsidR="0044195B" w:rsidRDefault="0044195B" w:rsidP="0044195B">
      <w:pPr>
        <w:pStyle w:val="NoSpacing"/>
        <w:ind w:left="720"/>
      </w:pPr>
      <w:r>
        <w:t>figured it was safe to use on hands and proceeded to wash his hands with it. He then</w:t>
      </w:r>
    </w:p>
    <w:p w14:paraId="54AF6CF8" w14:textId="77777777" w:rsidR="0044195B" w:rsidRDefault="0044195B" w:rsidP="0044195B">
      <w:pPr>
        <w:pStyle w:val="NoSpacing"/>
        <w:ind w:left="720"/>
      </w:pPr>
      <w:r>
        <w:t>dried his hands on his shirt. After he left the restroom, Mr. Boyer noticed he had bleach</w:t>
      </w:r>
    </w:p>
    <w:p w14:paraId="68F45150" w14:textId="77777777" w:rsidR="0044195B" w:rsidRDefault="0044195B" w:rsidP="0044195B">
      <w:pPr>
        <w:pStyle w:val="NoSpacing"/>
        <w:ind w:left="720"/>
      </w:pPr>
      <w:r>
        <w:t xml:space="preserve">stains all over his shirt and told </w:t>
      </w:r>
      <w:proofErr w:type="gramStart"/>
      <w:r>
        <w:t xml:space="preserve">Mr. Billington it </w:t>
      </w:r>
      <w:proofErr w:type="gramEnd"/>
      <w:r>
        <w:t>“wasn’t a big deal.” While continuing</w:t>
      </w:r>
    </w:p>
    <w:p w14:paraId="7FE0677D" w14:textId="77777777" w:rsidR="0044195B" w:rsidRDefault="0044195B" w:rsidP="0044195B">
      <w:pPr>
        <w:pStyle w:val="NoSpacing"/>
        <w:ind w:left="720"/>
      </w:pPr>
      <w:r>
        <w:t>walking to Ms. Exley’s house, Mr. Boyer decided to throw away his shirt because it was</w:t>
      </w:r>
    </w:p>
    <w:p w14:paraId="5EEF2929" w14:textId="77777777" w:rsidR="0044195B" w:rsidRDefault="0044195B" w:rsidP="0044195B">
      <w:pPr>
        <w:pStyle w:val="NoSpacing"/>
        <w:ind w:left="720"/>
      </w:pPr>
      <w:r>
        <w:t>hot outside and it was a throwaway shirt he wore for work. According to Mr. Boyer, his</w:t>
      </w:r>
    </w:p>
    <w:p w14:paraId="180AE263" w14:textId="77777777" w:rsidR="0044195B" w:rsidRDefault="0044195B" w:rsidP="0044195B">
      <w:pPr>
        <w:pStyle w:val="NoSpacing"/>
        <w:ind w:left="720"/>
      </w:pPr>
      <w:r>
        <w:t>son gave him a gray tank top to wear.”</w:t>
      </w:r>
    </w:p>
    <w:p w14:paraId="749BB74B" w14:textId="77777777" w:rsidR="0044195B" w:rsidRDefault="0044195B" w:rsidP="0044195B">
      <w:pPr>
        <w:pStyle w:val="NoSpacing"/>
        <w:ind w:firstLine="720"/>
      </w:pPr>
    </w:p>
    <w:p w14:paraId="14D3B574" w14:textId="39E75D7D" w:rsidR="0044195B" w:rsidRPr="00815797" w:rsidRDefault="0044195B" w:rsidP="0044195B">
      <w:pPr>
        <w:pStyle w:val="NoSpacing"/>
        <w:rPr>
          <w:b/>
          <w:bCs/>
        </w:rPr>
      </w:pPr>
      <w:r>
        <w:rPr>
          <w:b/>
        </w:rPr>
        <w:t xml:space="preserve">Lesson learned:  Circumstantial evidence can lead to arson conviction. </w:t>
      </w:r>
    </w:p>
    <w:p w14:paraId="3D7CE79D" w14:textId="77777777" w:rsidR="0044195B" w:rsidRDefault="0044195B" w:rsidP="00F326E5">
      <w:pPr>
        <w:pStyle w:val="NoSpacing"/>
        <w:rPr>
          <w:rFonts w:ascii="Arial Black" w:hAnsi="Arial Black"/>
          <w:sz w:val="24"/>
          <w:szCs w:val="24"/>
        </w:rPr>
      </w:pPr>
    </w:p>
    <w:p w14:paraId="14BCFF23" w14:textId="556DE7C6"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1-18</w:t>
      </w:r>
      <w:r>
        <w:rPr>
          <w:rFonts w:ascii="Arial Black" w:hAnsi="Arial Black"/>
          <w:sz w:val="24"/>
          <w:szCs w:val="24"/>
        </w:rPr>
        <w:t>9</w:t>
      </w:r>
    </w:p>
    <w:p w14:paraId="7406034E" w14:textId="77777777" w:rsidR="00037CB8" w:rsidRDefault="00037CB8" w:rsidP="00F326E5">
      <w:pPr>
        <w:pStyle w:val="NoSpacing"/>
        <w:rPr>
          <w:rFonts w:ascii="Arial Black" w:hAnsi="Arial Black"/>
          <w:sz w:val="24"/>
          <w:szCs w:val="24"/>
        </w:rPr>
      </w:pPr>
    </w:p>
    <w:p w14:paraId="1DDDF586" w14:textId="77777777" w:rsidR="00037CB8" w:rsidRDefault="00037CB8" w:rsidP="00037CB8">
      <w:pPr>
        <w:rPr>
          <w:rFonts w:ascii="Arial Black" w:hAnsi="Arial Black"/>
          <w:sz w:val="28"/>
          <w:szCs w:val="28"/>
        </w:rPr>
      </w:pPr>
      <w:r>
        <w:rPr>
          <w:rFonts w:ascii="Arial Black" w:hAnsi="Arial Black"/>
          <w:sz w:val="28"/>
          <w:szCs w:val="28"/>
        </w:rPr>
        <w:t xml:space="preserve">SC: RESTAURANT $3.9M – GREASE FIRE – BATTLE EXPERTS </w:t>
      </w:r>
    </w:p>
    <w:p w14:paraId="6720D97D" w14:textId="77777777" w:rsidR="00037CB8" w:rsidRDefault="00037CB8" w:rsidP="00037CB8">
      <w:pPr>
        <w:pStyle w:val="NoSpacing"/>
      </w:pPr>
      <w:r>
        <w:t xml:space="preserve">On September 2, 2025, in </w:t>
      </w:r>
      <w:r w:rsidRPr="00AF68AC">
        <w:rPr>
          <w:u w:val="single"/>
        </w:rPr>
        <w:t>Axis Surplus Insurance Company v. Pye-Barker Fire and Safety, LLC</w:t>
      </w:r>
      <w:r>
        <w:t xml:space="preserve">, U.S. District Court Judge </w:t>
      </w:r>
      <w:r w:rsidRPr="00814051">
        <w:t>Richard Mark Gergel</w:t>
      </w:r>
      <w:r>
        <w:t xml:space="preserve">, United States District Court for the District of South Carolina (Charleston Division) held that most of the experts for both sides in this litigation may testify as experts under </w:t>
      </w:r>
      <w:r w:rsidRPr="009828B6">
        <w:rPr>
          <w:i/>
          <w:iCs/>
        </w:rPr>
        <w:t>Daubert v. Merrell Dow Pharm. Inc.</w:t>
      </w:r>
      <w:r w:rsidRPr="009828B6">
        <w:t>, 509 U.S. 579, 589 (1993)</w:t>
      </w:r>
      <w:r>
        <w:t xml:space="preserve">.  Case will </w:t>
      </w:r>
      <w:proofErr w:type="gramStart"/>
      <w:r>
        <w:t>no</w:t>
      </w:r>
      <w:proofErr w:type="gramEnd"/>
      <w:r>
        <w:t xml:space="preserve"> proceed to jury trial.  The plaintiff, Axis Surplus Insurance Company, provided</w:t>
      </w:r>
    </w:p>
    <w:p w14:paraId="72447902" w14:textId="77777777" w:rsidR="00037CB8" w:rsidRDefault="00037CB8" w:rsidP="00037CB8">
      <w:pPr>
        <w:pStyle w:val="NoSpacing"/>
      </w:pPr>
      <w:r>
        <w:t xml:space="preserve">insurance coverage for its insured, Hospitality Management Group, Inc., for </w:t>
      </w:r>
      <w:proofErr w:type="gramStart"/>
      <w:r>
        <w:t>damages</w:t>
      </w:r>
      <w:proofErr w:type="gramEnd"/>
      <w:r>
        <w:t xml:space="preserve"> suffered from a fire at one of Hospitality’s properties, Magnolias Restaurant, located in Charleston, South Carolina. Plaintiff reimbursed its insured </w:t>
      </w:r>
      <w:proofErr w:type="gramStart"/>
      <w:r>
        <w:t>in excess of</w:t>
      </w:r>
      <w:proofErr w:type="gramEnd"/>
      <w:r>
        <w:t xml:space="preserve"> $3.9 million for damages from the fire and was subrogated to its insured’s right of recovery against any at fault third party.</w:t>
      </w:r>
    </w:p>
    <w:p w14:paraId="47E33172" w14:textId="77777777" w:rsidR="00037CB8" w:rsidRDefault="00037CB8" w:rsidP="00037CB8">
      <w:pPr>
        <w:pStyle w:val="NoSpacing"/>
      </w:pPr>
    </w:p>
    <w:p w14:paraId="71ECB5A8" w14:textId="77777777" w:rsidR="00037CB8" w:rsidRDefault="00037CB8" w:rsidP="00037CB8">
      <w:pPr>
        <w:pStyle w:val="NoSpacing"/>
      </w:pPr>
      <w:r w:rsidRPr="00B71171">
        <w:rPr>
          <w:b/>
        </w:rPr>
        <w:t>THE COURT HELD:</w:t>
      </w:r>
      <w:r>
        <w:t xml:space="preserve"> “</w:t>
      </w:r>
      <w:r w:rsidRPr="00217646">
        <w:t xml:space="preserve">The bottom line is that both Plaintiff's and Defendant's experts have offered plausible explanations for the causes of the fire damage. The course of the Magnolias Restaurant fire and its impact on the fire suppression system are hotly contested by the parties, and there is circumstantial evidence sufficient to support both the Plaintiff's and Defendant's scenarios. Like many unwitnessed fire cases, the experts, often able and experienced, offer distinctly different opinions on critical issues </w:t>
      </w:r>
      <w:proofErr w:type="gramStart"/>
      <w:r w:rsidRPr="00217646">
        <w:t>of in</w:t>
      </w:r>
      <w:proofErr w:type="gramEnd"/>
      <w:r w:rsidRPr="00217646">
        <w:t xml:space="preserve"> the case. Under the present circumstances, a jury needs to hear the full case and determine which scenario more likely than not caused the extensive fire damage on August 7, 2021.</w:t>
      </w:r>
      <w:r>
        <w:t>”</w:t>
      </w:r>
    </w:p>
    <w:p w14:paraId="2101E6AB" w14:textId="77777777" w:rsidR="00037CB8" w:rsidRDefault="00037CB8" w:rsidP="00037CB8">
      <w:pPr>
        <w:pStyle w:val="NoSpacing"/>
      </w:pPr>
      <w:hyperlink r:id="rId76" w:history="1">
        <w:r w:rsidRPr="00494FBC">
          <w:rPr>
            <w:rStyle w:val="Hyperlink"/>
          </w:rPr>
          <w:t>https://cases.justia.com/federal/district-courts/south-carolina/scdce/2:2024cv02173/290787/65/0.pdf?ts=1756990440</w:t>
        </w:r>
      </w:hyperlink>
    </w:p>
    <w:p w14:paraId="60FAF2AE" w14:textId="77777777" w:rsidR="00037CB8" w:rsidRDefault="00037CB8" w:rsidP="00037CB8">
      <w:pPr>
        <w:pStyle w:val="NoSpacing"/>
      </w:pPr>
    </w:p>
    <w:p w14:paraId="163CDEC5" w14:textId="77777777" w:rsidR="00037CB8" w:rsidRPr="00B71171" w:rsidRDefault="00037CB8" w:rsidP="00037CB8">
      <w:pPr>
        <w:pStyle w:val="NoSpacing"/>
        <w:rPr>
          <w:b/>
          <w:bCs/>
        </w:rPr>
      </w:pPr>
      <w:r w:rsidRPr="00B71171">
        <w:rPr>
          <w:b/>
        </w:rPr>
        <w:t xml:space="preserve">KEY FACTS: </w:t>
      </w:r>
    </w:p>
    <w:p w14:paraId="383AF213" w14:textId="77777777" w:rsidR="00037CB8" w:rsidRDefault="00037CB8" w:rsidP="00037CB8">
      <w:pPr>
        <w:pStyle w:val="NoSpacing"/>
      </w:pPr>
    </w:p>
    <w:p w14:paraId="486599D2" w14:textId="77777777" w:rsidR="00037CB8" w:rsidRDefault="00037CB8" w:rsidP="00037CB8">
      <w:pPr>
        <w:pStyle w:val="NoSpacing"/>
        <w:ind w:firstLine="720"/>
      </w:pPr>
      <w:r>
        <w:t>“This action was brought by Plaintiff Axis Surplus Insurance Company, which provided</w:t>
      </w:r>
    </w:p>
    <w:p w14:paraId="7CCADBBC" w14:textId="77777777" w:rsidR="00037CB8" w:rsidRDefault="00037CB8" w:rsidP="00037CB8">
      <w:pPr>
        <w:pStyle w:val="NoSpacing"/>
        <w:ind w:left="720"/>
      </w:pPr>
      <w:r>
        <w:t xml:space="preserve">insurance coverage for its insured, Hospitality Management Group, Inc., for </w:t>
      </w:r>
      <w:proofErr w:type="gramStart"/>
      <w:r>
        <w:t>damages</w:t>
      </w:r>
      <w:proofErr w:type="gramEnd"/>
      <w:r>
        <w:t xml:space="preserve"> suffered from a fire at one of Hospitality’s properties, Magnolias Restaurant, located in Charleston, South Carolina. Plaintiff reimbursed its insured </w:t>
      </w:r>
      <w:proofErr w:type="gramStart"/>
      <w:r>
        <w:t>in excess of</w:t>
      </w:r>
      <w:proofErr w:type="gramEnd"/>
      <w:r>
        <w:t xml:space="preserve"> $3.9 million for damages from the fire and was subrogated to its insured’s right of recovery against any at fault third party. Plaintiff sued Defendant for negligence and breach of contract related to the performance of its duties to inspect, test, and maintain a fire suppression system, which Plaintiff alleges failed to properly operate to suppress the fire.</w:t>
      </w:r>
    </w:p>
    <w:p w14:paraId="0D5CC252" w14:textId="77777777" w:rsidR="00037CB8" w:rsidRDefault="00037CB8" w:rsidP="00037CB8">
      <w:pPr>
        <w:pStyle w:val="NoSpacing"/>
      </w:pPr>
    </w:p>
    <w:p w14:paraId="3A97838E" w14:textId="77777777" w:rsidR="00037CB8" w:rsidRDefault="00037CB8" w:rsidP="00037CB8">
      <w:pPr>
        <w:pStyle w:val="NoSpacing"/>
        <w:ind w:firstLine="720"/>
      </w:pPr>
      <w:r>
        <w:t>The Magnolia’s Restaurant fire occurred in the early morning hours on August 7, 2021.</w:t>
      </w:r>
    </w:p>
    <w:p w14:paraId="619EA82A" w14:textId="77777777" w:rsidR="00037CB8" w:rsidRDefault="00037CB8" w:rsidP="00037CB8">
      <w:pPr>
        <w:pStyle w:val="NoSpacing"/>
        <w:ind w:left="720"/>
      </w:pPr>
      <w:r>
        <w:t xml:space="preserve">There were no eyewitnesses to the outbreak of the fire. The parties agree that the fire began when a restaurant employee left a plastic dish rack on a </w:t>
      </w:r>
      <w:proofErr w:type="gramStart"/>
      <w:r>
        <w:t>two burner</w:t>
      </w:r>
      <w:proofErr w:type="gramEnd"/>
      <w:r>
        <w:t xml:space="preserve"> range in the prep kitchen, which subsequently melted from the heat of the burner range’s pilot light. Beyond that fact, the parties and their experts disagree about whether the fire suppression system failed due to improper maintenance by the Defendant (Plaintiff’s view) or whether excess grease near the burner range ignited and produced a massive fire outside the area of the fire suppression system (Defendant’s view).</w:t>
      </w:r>
    </w:p>
    <w:p w14:paraId="1EA63B56" w14:textId="77777777" w:rsidR="00037CB8" w:rsidRDefault="00037CB8" w:rsidP="00037CB8">
      <w:pPr>
        <w:pStyle w:val="NoSpacing"/>
        <w:ind w:left="720"/>
      </w:pPr>
    </w:p>
    <w:p w14:paraId="6A3F112E" w14:textId="77777777" w:rsidR="00037CB8" w:rsidRDefault="00037CB8" w:rsidP="00037CB8">
      <w:pPr>
        <w:pStyle w:val="NoSpacing"/>
        <w:ind w:left="720"/>
      </w:pPr>
      <w:r>
        <w:t>***</w:t>
      </w:r>
    </w:p>
    <w:p w14:paraId="108301BB" w14:textId="77777777" w:rsidR="00037CB8" w:rsidRDefault="00037CB8" w:rsidP="00037CB8">
      <w:pPr>
        <w:pStyle w:val="NoSpacing"/>
        <w:ind w:left="720"/>
      </w:pPr>
      <w:r>
        <w:t>Plaintiff’s expert, Daniel Arnold, is a professional engineer who has four decades of</w:t>
      </w:r>
    </w:p>
    <w:p w14:paraId="0CE62B9E" w14:textId="77777777" w:rsidR="00037CB8" w:rsidRDefault="00037CB8" w:rsidP="00037CB8">
      <w:pPr>
        <w:pStyle w:val="NoSpacing"/>
        <w:ind w:left="720"/>
      </w:pPr>
      <w:r>
        <w:t>experience in fire protection engineering and design of fire suppression systems. (</w:t>
      </w:r>
      <w:proofErr w:type="spellStart"/>
      <w:r>
        <w:t>Dkt</w:t>
      </w:r>
      <w:proofErr w:type="spellEnd"/>
      <w:r>
        <w:t xml:space="preserve">. No. 43-1 at 19-20). Arnold opines that the restaurant’s fire suppression system, which was designed to disperse a chemical retardant to suppress a fire, failed because Defendant improperly placed a critical piece of the system known as the fusible link. Arnold further opines that had the suppression system performed properly, the August 21, </w:t>
      </w:r>
      <w:proofErr w:type="gramStart"/>
      <w:r>
        <w:t>2025</w:t>
      </w:r>
      <w:proofErr w:type="gramEnd"/>
      <w:r>
        <w:t xml:space="preserve"> fire would </w:t>
      </w:r>
      <w:proofErr w:type="gramStart"/>
      <w:r>
        <w:t>have been</w:t>
      </w:r>
      <w:proofErr w:type="gramEnd"/>
      <w:r>
        <w:t xml:space="preserve"> caused only limited damage in the immediate area of the </w:t>
      </w:r>
      <w:proofErr w:type="gramStart"/>
      <w:r>
        <w:t>two burner</w:t>
      </w:r>
      <w:proofErr w:type="gramEnd"/>
      <w:r>
        <w:t xml:space="preserve"> range. (Id. at 15).</w:t>
      </w:r>
    </w:p>
    <w:p w14:paraId="75240737" w14:textId="77777777" w:rsidR="00037CB8" w:rsidRDefault="00037CB8" w:rsidP="00037CB8">
      <w:pPr>
        <w:pStyle w:val="NoSpacing"/>
        <w:ind w:left="720"/>
      </w:pPr>
      <w:r>
        <w:t>***</w:t>
      </w:r>
    </w:p>
    <w:p w14:paraId="0235B961" w14:textId="77777777" w:rsidR="00037CB8" w:rsidRDefault="00037CB8" w:rsidP="00037CB8">
      <w:pPr>
        <w:pStyle w:val="NoSpacing"/>
        <w:ind w:left="720"/>
      </w:pPr>
      <w:r w:rsidRPr="009F5ECF">
        <w:t>Defendant’s expert Jeffrey Berino is a fire origin and cause investigator with forty years of</w:t>
      </w:r>
      <w:r>
        <w:t xml:space="preserve"> </w:t>
      </w:r>
      <w:r w:rsidRPr="009F5ECF">
        <w:t>experience as a firefighter and significant experience investigating fires. (</w:t>
      </w:r>
      <w:proofErr w:type="spellStart"/>
      <w:r w:rsidRPr="009F5ECF">
        <w:t>Dkt</w:t>
      </w:r>
      <w:proofErr w:type="spellEnd"/>
      <w:r w:rsidRPr="009F5ECF">
        <w:t>. No. 46-2 at 2-6).</w:t>
      </w:r>
      <w:r>
        <w:t xml:space="preserve"> </w:t>
      </w:r>
      <w:r w:rsidRPr="009F5ECF">
        <w:t>Berino opines that the fire was initially caused by a restaurant employee leaving a plastic object</w:t>
      </w:r>
      <w:r>
        <w:t xml:space="preserve"> </w:t>
      </w:r>
      <w:r w:rsidRPr="009F5ECF">
        <w:t xml:space="preserve">on a </w:t>
      </w:r>
      <w:proofErr w:type="gramStart"/>
      <w:r w:rsidRPr="009F5ECF">
        <w:t>two burner</w:t>
      </w:r>
      <w:proofErr w:type="gramEnd"/>
      <w:r w:rsidRPr="009F5ECF">
        <w:t xml:space="preserve"> range and the melted plastic ignited extensive grease residue and deposits on the</w:t>
      </w:r>
      <w:r>
        <w:t xml:space="preserve"> </w:t>
      </w:r>
      <w:r w:rsidRPr="009F5ECF">
        <w:t>floor and in the nearby area. Berino further opines that the fire from the ignited grease migrated</w:t>
      </w:r>
      <w:r>
        <w:t xml:space="preserve"> </w:t>
      </w:r>
      <w:r w:rsidRPr="009F5ECF">
        <w:t>to the area of fire suppression system’s control box, which caused the system to fail. (Id. at 18-19).</w:t>
      </w:r>
    </w:p>
    <w:p w14:paraId="62155D08" w14:textId="77777777" w:rsidR="00037CB8" w:rsidRDefault="00037CB8" w:rsidP="00037CB8">
      <w:pPr>
        <w:pStyle w:val="NoSpacing"/>
        <w:ind w:left="720"/>
      </w:pPr>
    </w:p>
    <w:p w14:paraId="689EEED9" w14:textId="77777777" w:rsidR="00037CB8" w:rsidRDefault="00037CB8" w:rsidP="00037CB8">
      <w:pPr>
        <w:pStyle w:val="NoSpacing"/>
        <w:ind w:left="720"/>
      </w:pPr>
      <w:r>
        <w:t>***</w:t>
      </w:r>
    </w:p>
    <w:p w14:paraId="343DDDBD" w14:textId="77777777" w:rsidR="00037CB8" w:rsidRDefault="00037CB8" w:rsidP="00037CB8">
      <w:pPr>
        <w:pStyle w:val="NoSpacing"/>
        <w:ind w:left="720"/>
      </w:pPr>
      <w:r>
        <w:t xml:space="preserve">The Court finds that the testimony of the parties’ respective expert witnesses </w:t>
      </w:r>
      <w:proofErr w:type="gramStart"/>
      <w:r>
        <w:t>meet</w:t>
      </w:r>
      <w:proofErr w:type="gramEnd"/>
      <w:r>
        <w:t xml:space="preserve"> Rule</w:t>
      </w:r>
    </w:p>
    <w:p w14:paraId="44706C82" w14:textId="77777777" w:rsidR="00037CB8" w:rsidRPr="009F5ECF" w:rsidRDefault="00037CB8" w:rsidP="00037CB8">
      <w:pPr>
        <w:pStyle w:val="NoSpacing"/>
        <w:ind w:left="720"/>
      </w:pPr>
      <w:r>
        <w:t>702 standards and should not be excluded under Rule 403.”</w:t>
      </w:r>
    </w:p>
    <w:p w14:paraId="27FF90B1" w14:textId="77777777" w:rsidR="00037CB8" w:rsidRDefault="00037CB8" w:rsidP="00037CB8">
      <w:pPr>
        <w:pStyle w:val="NoSpacing"/>
        <w:ind w:left="720"/>
      </w:pPr>
    </w:p>
    <w:p w14:paraId="125EAB7F" w14:textId="5B00D54C" w:rsidR="00037CB8" w:rsidRDefault="00037CB8" w:rsidP="00037CB8">
      <w:pPr>
        <w:pStyle w:val="NoSpacing"/>
        <w:rPr>
          <w:b/>
          <w:bCs/>
        </w:rPr>
      </w:pPr>
      <w:r>
        <w:rPr>
          <w:b/>
        </w:rPr>
        <w:t xml:space="preserve">Lesson learned:  The case may now go to a jury, where the experts can testify.  </w:t>
      </w:r>
    </w:p>
    <w:p w14:paraId="54E5EEC4" w14:textId="77777777" w:rsidR="00037CB8" w:rsidRDefault="00037CB8" w:rsidP="00037CB8">
      <w:pPr>
        <w:pStyle w:val="NoSpacing"/>
        <w:rPr>
          <w:b/>
          <w:bCs/>
        </w:rPr>
      </w:pPr>
    </w:p>
    <w:p w14:paraId="1405C7EC" w14:textId="77777777" w:rsidR="00037CB8" w:rsidRPr="00AE45BD" w:rsidRDefault="00037CB8" w:rsidP="00037CB8">
      <w:pPr>
        <w:pStyle w:val="NoSpacing"/>
        <w:ind w:left="720"/>
      </w:pPr>
      <w:r w:rsidRPr="00AE45BD">
        <w:t xml:space="preserve">Note: Under Federal Rule of Evidence 702, the Court acts as a gatekeeper “to verify that expert testimony is based on sufficient facts or data” The expert testimony must be shown to be “not only relevant, but reliable.’ </w:t>
      </w:r>
      <w:r w:rsidRPr="00AE45BD">
        <w:rPr>
          <w:i/>
          <w:iCs/>
        </w:rPr>
        <w:t>Daubert v. Merrell Dow Pharm. Inc.</w:t>
      </w:r>
      <w:r w:rsidRPr="00AE45BD">
        <w:t xml:space="preserve">, 509 U.S. 579, 589 (1993). </w:t>
      </w:r>
    </w:p>
    <w:p w14:paraId="4518E214" w14:textId="77777777" w:rsidR="00B232CB" w:rsidRDefault="00B232CB" w:rsidP="00F326E5">
      <w:pPr>
        <w:pStyle w:val="NoSpacing"/>
        <w:rPr>
          <w:rFonts w:ascii="Arial Black" w:hAnsi="Arial Black"/>
          <w:sz w:val="24"/>
          <w:szCs w:val="24"/>
        </w:rPr>
      </w:pPr>
    </w:p>
    <w:p w14:paraId="0A2C64CD" w14:textId="77777777" w:rsidR="00B232CB" w:rsidRDefault="00B232CB" w:rsidP="00F326E5">
      <w:pPr>
        <w:pStyle w:val="NoSpacing"/>
        <w:rPr>
          <w:rFonts w:ascii="Arial Black" w:hAnsi="Arial Black"/>
          <w:sz w:val="24"/>
          <w:szCs w:val="24"/>
        </w:rPr>
      </w:pPr>
    </w:p>
    <w:p w14:paraId="3212F1C8" w14:textId="77777777" w:rsidR="00B232CB" w:rsidRDefault="00B232CB" w:rsidP="00F326E5">
      <w:pPr>
        <w:pStyle w:val="NoSpacing"/>
        <w:rPr>
          <w:rFonts w:ascii="Arial Black" w:hAnsi="Arial Black"/>
          <w:sz w:val="24"/>
          <w:szCs w:val="24"/>
        </w:rPr>
      </w:pPr>
    </w:p>
    <w:p w14:paraId="6B856FB4" w14:textId="23709BBA" w:rsidR="00E24913" w:rsidRPr="00E24913" w:rsidRDefault="00E24913" w:rsidP="00F326E5">
      <w:pPr>
        <w:pStyle w:val="NoSpacing"/>
        <w:rPr>
          <w:rFonts w:ascii="Arial Black" w:hAnsi="Arial Black"/>
          <w:sz w:val="24"/>
          <w:szCs w:val="24"/>
        </w:rPr>
      </w:pPr>
      <w:r w:rsidRPr="00E24913">
        <w:rPr>
          <w:rFonts w:ascii="Arial Black" w:hAnsi="Arial Black"/>
          <w:sz w:val="24"/>
          <w:szCs w:val="24"/>
        </w:rPr>
        <w:t>1-188</w:t>
      </w:r>
    </w:p>
    <w:p w14:paraId="0CABC036" w14:textId="77777777" w:rsidR="00AC44B8" w:rsidRDefault="00AC44B8" w:rsidP="00B86628">
      <w:pPr>
        <w:pStyle w:val="NoSpacing"/>
        <w:rPr>
          <w:rFonts w:ascii="Arial Black" w:hAnsi="Arial Black"/>
          <w:sz w:val="24"/>
          <w:szCs w:val="24"/>
        </w:rPr>
      </w:pPr>
    </w:p>
    <w:p w14:paraId="0ADF7975" w14:textId="77777777" w:rsidR="00421D18" w:rsidRDefault="00421D18" w:rsidP="00421D18">
      <w:pPr>
        <w:rPr>
          <w:rFonts w:ascii="Arial Black" w:hAnsi="Arial Black"/>
          <w:b/>
          <w:sz w:val="28"/>
          <w:szCs w:val="28"/>
        </w:rPr>
      </w:pPr>
      <w:r>
        <w:rPr>
          <w:rFonts w:ascii="Arial Black" w:hAnsi="Arial Black"/>
          <w:b/>
          <w:sz w:val="28"/>
          <w:szCs w:val="28"/>
        </w:rPr>
        <w:t xml:space="preserve">FL: EXPERT QUAL - BUTANE “MOSQUITOE SHIELD” FIRE </w:t>
      </w:r>
    </w:p>
    <w:p w14:paraId="3A4341D7" w14:textId="36A3B283" w:rsidR="00421D18" w:rsidRPr="0092209D" w:rsidRDefault="00421D18" w:rsidP="00421D18">
      <w:pPr>
        <w:rPr>
          <w:rFonts w:ascii="Times New Roman" w:hAnsi="Times New Roman"/>
          <w:sz w:val="24"/>
          <w:szCs w:val="24"/>
        </w:rPr>
      </w:pPr>
      <w:r w:rsidRPr="0092209D">
        <w:rPr>
          <w:rFonts w:ascii="Times New Roman" w:hAnsi="Times New Roman"/>
          <w:sz w:val="24"/>
          <w:szCs w:val="24"/>
        </w:rPr>
        <w:t xml:space="preserve">On July 28, 2025, in </w:t>
      </w:r>
      <w:r w:rsidRPr="0092209D">
        <w:rPr>
          <w:rFonts w:ascii="Times New Roman" w:hAnsi="Times New Roman"/>
          <w:sz w:val="24"/>
          <w:szCs w:val="24"/>
          <w:u w:val="single"/>
        </w:rPr>
        <w:t>Jacqueline Flynn v. Thermal Repellents, Inc. and Lowe’s Home Centers, LLC</w:t>
      </w:r>
      <w:r w:rsidRPr="0092209D">
        <w:rPr>
          <w:rFonts w:ascii="Times New Roman" w:hAnsi="Times New Roman"/>
          <w:sz w:val="24"/>
          <w:szCs w:val="24"/>
        </w:rPr>
        <w:t>, U.S. District Court Judge Paul G. Byron, United States District Court for Middle District of Florida (Orlando Division) denied the defense motion to exclude the testimony of Plaintiff’s cause and origin expert, Mr. Patrick B. Dugan, CFI concerning porch fire in 2021.  The expert followed 921, Guide for Fire and Explosion Investigations.  The lawsuit  involves a “</w:t>
      </w:r>
      <w:proofErr w:type="spellStart"/>
      <w:r w:rsidRPr="0092209D">
        <w:rPr>
          <w:rFonts w:ascii="Times New Roman" w:hAnsi="Times New Roman"/>
          <w:sz w:val="24"/>
          <w:szCs w:val="24"/>
        </w:rPr>
        <w:t>Thermacell</w:t>
      </w:r>
      <w:proofErr w:type="spellEnd"/>
      <w:r w:rsidRPr="0092209D">
        <w:rPr>
          <w:rFonts w:ascii="Times New Roman" w:hAnsi="Times New Roman"/>
          <w:sz w:val="24"/>
          <w:szCs w:val="24"/>
        </w:rPr>
        <w:t xml:space="preserve"> Patio Shield” – per Lowe’s advertisement, it “provides a 15 - foot zone of protection against mosquitoes” and is “powered by a butane cartridge, so you never need to plug in to charge or use batteries to repel mosquitoes.”</w:t>
      </w:r>
      <w:r w:rsidRPr="0092209D">
        <w:rPr>
          <w:rFonts w:ascii="Times New Roman" w:hAnsi="Times New Roman"/>
          <w:b/>
          <w:sz w:val="24"/>
          <w:szCs w:val="24"/>
        </w:rPr>
        <w:t xml:space="preserve"> </w:t>
      </w:r>
      <w:r w:rsidRPr="0092209D">
        <w:rPr>
          <w:rFonts w:ascii="Times New Roman" w:hAnsi="Times New Roman"/>
          <w:sz w:val="24"/>
          <w:szCs w:val="24"/>
        </w:rPr>
        <w:t xml:space="preserve">Plaintiff purchased the </w:t>
      </w:r>
      <w:proofErr w:type="spellStart"/>
      <w:r w:rsidRPr="0092209D">
        <w:rPr>
          <w:rFonts w:ascii="Times New Roman" w:hAnsi="Times New Roman"/>
          <w:sz w:val="24"/>
          <w:szCs w:val="24"/>
        </w:rPr>
        <w:t>Thermacell</w:t>
      </w:r>
      <w:proofErr w:type="spellEnd"/>
      <w:r w:rsidRPr="0092209D">
        <w:rPr>
          <w:rFonts w:ascii="Times New Roman" w:hAnsi="Times New Roman"/>
          <w:sz w:val="24"/>
          <w:szCs w:val="24"/>
        </w:rPr>
        <w:t xml:space="preserve"> Patio Shield from Lowe’s, arriving home around 5:30 </w:t>
      </w:r>
      <w:proofErr w:type="spellStart"/>
      <w:r w:rsidRPr="0092209D">
        <w:rPr>
          <w:rFonts w:ascii="Times New Roman" w:hAnsi="Times New Roman"/>
          <w:sz w:val="24"/>
          <w:szCs w:val="24"/>
        </w:rPr>
        <w:t>p.m</w:t>
      </w:r>
      <w:proofErr w:type="spellEnd"/>
      <w:r w:rsidRPr="0092209D">
        <w:rPr>
          <w:rFonts w:ascii="Times New Roman" w:hAnsi="Times New Roman"/>
          <w:sz w:val="24"/>
          <w:szCs w:val="24"/>
        </w:rPr>
        <w:t xml:space="preserve">, and around 7:15 p.m., after her son set up the device, Ms. Flynn placed it on a glass-topped wicker table on the second-floor balcony and turned it on.  She went downstairs to prepare dinner for her family, and </w:t>
      </w:r>
      <w:proofErr w:type="spellStart"/>
      <w:r w:rsidRPr="0092209D">
        <w:rPr>
          <w:rFonts w:ascii="Times New Roman" w:hAnsi="Times New Roman"/>
          <w:sz w:val="24"/>
          <w:szCs w:val="24"/>
        </w:rPr>
        <w:t>aound</w:t>
      </w:r>
      <w:proofErr w:type="spellEnd"/>
      <w:r w:rsidRPr="0092209D">
        <w:rPr>
          <w:rFonts w:ascii="Times New Roman" w:hAnsi="Times New Roman"/>
          <w:sz w:val="24"/>
          <w:szCs w:val="24"/>
        </w:rPr>
        <w:t xml:space="preserve"> 8:00 p.m., someone saw flames or an orange glow outside. When she went to investigate, Ms. Flynn saw flames coming from the second-floor balcony. THE COURT HELD: “Mr. Dugan’s investigation and analysis easily satisfy </w:t>
      </w:r>
      <w:r w:rsidRPr="0092209D">
        <w:rPr>
          <w:rFonts w:ascii="Times New Roman" w:hAnsi="Times New Roman"/>
          <w:i/>
          <w:iCs/>
          <w:sz w:val="24"/>
          <w:szCs w:val="24"/>
        </w:rPr>
        <w:t>Daubert’s</w:t>
      </w:r>
      <w:r w:rsidRPr="0092209D">
        <w:rPr>
          <w:rFonts w:ascii="Times New Roman" w:hAnsi="Times New Roman"/>
          <w:sz w:val="24"/>
          <w:szCs w:val="24"/>
        </w:rPr>
        <w:t xml:space="preserve"> mandate that an expert employ a ‘sufficiently reliable’ methodology. His opinions are based on sufficient facts and data; he does not unjustifiably extrapolate his research to reach an unfounded conclusion; he considered—and ruled out—contradictory data (other known ignition sources); his analysis is based on objective data including burn patterns, weather, timing, and available ignition sources, and Mr. Dugan is as careful as an expert would be in conducting professional work outside the context of paid litigation.”</w:t>
      </w:r>
      <w:r w:rsidR="00802D6B" w:rsidRPr="0092209D">
        <w:rPr>
          <w:rFonts w:ascii="Times New Roman" w:hAnsi="Times New Roman"/>
          <w:sz w:val="24"/>
          <w:szCs w:val="24"/>
        </w:rPr>
        <w:t xml:space="preserve"> </w:t>
      </w:r>
      <w:hyperlink r:id="rId77" w:history="1">
        <w:r w:rsidR="0092209D" w:rsidRPr="0092209D">
          <w:rPr>
            <w:rStyle w:val="Hyperlink"/>
            <w:rFonts w:ascii="Times New Roman" w:hAnsi="Times New Roman"/>
            <w:sz w:val="24"/>
            <w:szCs w:val="24"/>
          </w:rPr>
          <w:t>https://ecf.flmd.uscourts.gov/cgi-bin/show_public_doc?2023-01890-113-6-cv</w:t>
        </w:r>
      </w:hyperlink>
    </w:p>
    <w:p w14:paraId="223F1C1E" w14:textId="655FA1E5" w:rsidR="0092209D" w:rsidRPr="0092209D" w:rsidRDefault="0092209D" w:rsidP="0092209D">
      <w:pPr>
        <w:pStyle w:val="NoSpacing"/>
        <w:rPr>
          <w:rFonts w:ascii="Times New Roman" w:hAnsi="Times New Roman"/>
          <w:b/>
          <w:sz w:val="24"/>
          <w:szCs w:val="24"/>
        </w:rPr>
      </w:pPr>
      <w:r w:rsidRPr="0092209D">
        <w:rPr>
          <w:rFonts w:ascii="Times New Roman" w:hAnsi="Times New Roman"/>
          <w:b/>
          <w:sz w:val="24"/>
          <w:szCs w:val="24"/>
        </w:rPr>
        <w:t xml:space="preserve">Lesson learned:  The expert followed NFPA 921, Guide for Fire and Explosions Investigations. </w:t>
      </w:r>
    </w:p>
    <w:p w14:paraId="6A267A05" w14:textId="77777777" w:rsidR="0092209D" w:rsidRPr="0092209D" w:rsidRDefault="0092209D" w:rsidP="0092209D">
      <w:pPr>
        <w:pStyle w:val="NoSpacing"/>
        <w:rPr>
          <w:rFonts w:ascii="Times New Roman" w:hAnsi="Times New Roman"/>
          <w:b/>
          <w:sz w:val="24"/>
          <w:szCs w:val="24"/>
        </w:rPr>
      </w:pPr>
    </w:p>
    <w:p w14:paraId="61240AD3" w14:textId="77777777" w:rsidR="0092209D" w:rsidRPr="0092209D" w:rsidRDefault="0092209D" w:rsidP="0092209D">
      <w:pPr>
        <w:pStyle w:val="NoSpacing"/>
        <w:ind w:left="720"/>
        <w:rPr>
          <w:rFonts w:ascii="Times New Roman" w:hAnsi="Times New Roman"/>
          <w:bCs/>
          <w:sz w:val="24"/>
          <w:szCs w:val="24"/>
        </w:rPr>
      </w:pPr>
      <w:r w:rsidRPr="0092209D">
        <w:rPr>
          <w:rFonts w:ascii="Times New Roman" w:hAnsi="Times New Roman"/>
          <w:sz w:val="24"/>
          <w:szCs w:val="24"/>
        </w:rPr>
        <w:t xml:space="preserve">Note: See the U.S. Supreme Court decision in </w:t>
      </w:r>
      <w:r w:rsidRPr="0092209D">
        <w:rPr>
          <w:rFonts w:ascii="Times New Roman" w:hAnsi="Times New Roman"/>
          <w:sz w:val="24"/>
          <w:szCs w:val="24"/>
          <w:u w:val="single"/>
        </w:rPr>
        <w:t>Daubert v. Merrell Dow Pharmaceuticals, Inc.,</w:t>
      </w:r>
      <w:r w:rsidRPr="0092209D">
        <w:rPr>
          <w:rFonts w:ascii="Times New Roman" w:hAnsi="Times New Roman"/>
          <w:sz w:val="24"/>
          <w:szCs w:val="24"/>
        </w:rPr>
        <w:t xml:space="preserve"> 509 U.S. 579 (1993); </w:t>
      </w:r>
      <w:hyperlink r:id="rId78" w:history="1">
        <w:r w:rsidRPr="0092209D">
          <w:rPr>
            <w:rStyle w:val="Hyperlink"/>
            <w:rFonts w:ascii="Times New Roman" w:hAnsi="Times New Roman"/>
            <w:sz w:val="24"/>
            <w:szCs w:val="24"/>
          </w:rPr>
          <w:t>https://supreme.justia.com/cases/federal/us/509/579/</w:t>
        </w:r>
      </w:hyperlink>
      <w:r w:rsidRPr="0092209D">
        <w:rPr>
          <w:rFonts w:ascii="Times New Roman" w:hAnsi="Times New Roman"/>
          <w:sz w:val="24"/>
          <w:szCs w:val="24"/>
        </w:rPr>
        <w:t xml:space="preserve"> </w:t>
      </w:r>
    </w:p>
    <w:p w14:paraId="3EC027E7" w14:textId="77777777" w:rsidR="0092209D" w:rsidRPr="0092209D" w:rsidRDefault="0092209D" w:rsidP="0092209D">
      <w:pPr>
        <w:pStyle w:val="NoSpacing"/>
        <w:ind w:left="720"/>
        <w:rPr>
          <w:rFonts w:ascii="Times New Roman" w:hAnsi="Times New Roman"/>
          <w:sz w:val="24"/>
          <w:szCs w:val="24"/>
        </w:rPr>
      </w:pPr>
      <w:r w:rsidRPr="0092209D">
        <w:rPr>
          <w:rFonts w:ascii="Times New Roman" w:hAnsi="Times New Roman"/>
          <w:sz w:val="24"/>
          <w:szCs w:val="24"/>
        </w:rPr>
        <w:t>“An expert may testify about scientific knowledge that assists the jury in understanding the evidence or determining a fact in issue in the case. Factors that a judge should consider include whether the theory or technique in question can be and has been tested, whether it has been subjected to peer review and publication, its known or potential error rate, the existence and maintenance of standards controlling its operation, and whether it is widely accepted in the relevant scientific community.</w:t>
      </w:r>
    </w:p>
    <w:p w14:paraId="6CC7AE4B" w14:textId="77777777" w:rsidR="0092209D" w:rsidRDefault="0092209D" w:rsidP="0092209D">
      <w:pPr>
        <w:rPr>
          <w:b/>
        </w:rPr>
      </w:pPr>
    </w:p>
    <w:p w14:paraId="478F877B" w14:textId="7D91A566" w:rsidR="0092209D" w:rsidRPr="00E24913" w:rsidRDefault="00E24913" w:rsidP="00421D18">
      <w:pPr>
        <w:rPr>
          <w:rFonts w:ascii="Arial Black" w:hAnsi="Arial Black"/>
          <w:bCs/>
          <w:sz w:val="24"/>
          <w:szCs w:val="24"/>
        </w:rPr>
      </w:pPr>
      <w:r w:rsidRPr="00E24913">
        <w:rPr>
          <w:rFonts w:ascii="Arial Black" w:hAnsi="Arial Black"/>
          <w:bCs/>
          <w:sz w:val="24"/>
          <w:szCs w:val="24"/>
        </w:rPr>
        <w:t>1-187</w:t>
      </w:r>
    </w:p>
    <w:p w14:paraId="1D12AF6F" w14:textId="77777777" w:rsidR="009A7014" w:rsidRDefault="009A7014" w:rsidP="009A7014">
      <w:pPr>
        <w:pStyle w:val="NoSpacing"/>
        <w:rPr>
          <w:rFonts w:ascii="Arial Black" w:hAnsi="Arial Black"/>
          <w:sz w:val="28"/>
          <w:szCs w:val="28"/>
        </w:rPr>
      </w:pPr>
      <w:r>
        <w:rPr>
          <w:rFonts w:ascii="Arial Black" w:hAnsi="Arial Black"/>
          <w:sz w:val="28"/>
          <w:szCs w:val="28"/>
        </w:rPr>
        <w:t>IL: COMMERCIAL / MULTI-FAMILY ALARMS - DIRECT TO 911</w:t>
      </w:r>
    </w:p>
    <w:p w14:paraId="70E0EA98" w14:textId="77777777" w:rsidR="009A7014" w:rsidRDefault="009A7014" w:rsidP="009A7014">
      <w:pPr>
        <w:pStyle w:val="NoSpacing"/>
        <w:rPr>
          <w:rFonts w:ascii="Arial Black" w:hAnsi="Arial Black"/>
          <w:sz w:val="28"/>
          <w:szCs w:val="28"/>
        </w:rPr>
      </w:pPr>
    </w:p>
    <w:p w14:paraId="7F94CF0A" w14:textId="77777777" w:rsidR="009A7014" w:rsidRPr="008712E6" w:rsidRDefault="009A7014" w:rsidP="009A7014">
      <w:pPr>
        <w:pStyle w:val="NoSpacing"/>
        <w:rPr>
          <w:rFonts w:ascii="Times New Roman" w:hAnsi="Times New Roman"/>
          <w:sz w:val="24"/>
          <w:szCs w:val="24"/>
        </w:rPr>
      </w:pPr>
      <w:r w:rsidRPr="008712E6">
        <w:rPr>
          <w:rFonts w:ascii="Times New Roman" w:hAnsi="Times New Roman"/>
          <w:sz w:val="24"/>
          <w:szCs w:val="24"/>
        </w:rPr>
        <w:t xml:space="preserve">On July 22, 2025, in </w:t>
      </w:r>
      <w:r w:rsidRPr="008712E6">
        <w:rPr>
          <w:rFonts w:ascii="Times New Roman" w:hAnsi="Times New Roman"/>
          <w:sz w:val="24"/>
          <w:szCs w:val="24"/>
          <w:u w:val="single"/>
        </w:rPr>
        <w:t>Alarm Detection Systems, Inc, et al. v. Village of Schaumburg</w:t>
      </w:r>
      <w:r w:rsidRPr="008712E6">
        <w:rPr>
          <w:rFonts w:ascii="Times New Roman" w:hAnsi="Times New Roman"/>
          <w:sz w:val="24"/>
          <w:szCs w:val="24"/>
        </w:rPr>
        <w:t>, the United States Court of Appeals for 7</w:t>
      </w:r>
      <w:r w:rsidRPr="008712E6">
        <w:rPr>
          <w:rFonts w:ascii="Times New Roman" w:hAnsi="Times New Roman"/>
          <w:sz w:val="24"/>
          <w:szCs w:val="24"/>
          <w:vertAlign w:val="superscript"/>
        </w:rPr>
        <w:t>th</w:t>
      </w:r>
      <w:r w:rsidRPr="008712E6">
        <w:rPr>
          <w:rFonts w:ascii="Times New Roman" w:hAnsi="Times New Roman"/>
          <w:sz w:val="24"/>
          <w:szCs w:val="24"/>
        </w:rPr>
        <w:t xml:space="preserve"> Circuit (Chicago) held (3 to 0) that the Village had right to change alarm code ordinance in 2016, requiring by August 31, </w:t>
      </w:r>
      <w:proofErr w:type="gramStart"/>
      <w:r w:rsidRPr="008712E6">
        <w:rPr>
          <w:rFonts w:ascii="Times New Roman" w:hAnsi="Times New Roman"/>
          <w:sz w:val="24"/>
          <w:szCs w:val="24"/>
        </w:rPr>
        <w:t>2019</w:t>
      </w:r>
      <w:proofErr w:type="gramEnd"/>
      <w:r w:rsidRPr="008712E6">
        <w:rPr>
          <w:rFonts w:ascii="Times New Roman" w:hAnsi="Times New Roman"/>
          <w:sz w:val="24"/>
          <w:szCs w:val="24"/>
        </w:rPr>
        <w:t xml:space="preserve"> that all multi-family dwellings and commercial establishments to install system reporting directly to 911 dispatch, instead of to an alarm company center. Four alarm companies sued, claiming loss of 250 customers, since the only direct reporting system was owned by Tyco/Johnson Controls which had a contract with the Northwest Central Dispatch System.   Trial court dismissed the lawsuit since no proof customers breached their </w:t>
      </w:r>
      <w:proofErr w:type="gramStart"/>
      <w:r w:rsidRPr="008712E6">
        <w:rPr>
          <w:rFonts w:ascii="Times New Roman" w:hAnsi="Times New Roman"/>
          <w:sz w:val="24"/>
          <w:szCs w:val="24"/>
        </w:rPr>
        <w:t>contracts,</w:t>
      </w:r>
      <w:proofErr w:type="gramEnd"/>
      <w:r w:rsidRPr="008712E6">
        <w:rPr>
          <w:rFonts w:ascii="Times New Roman" w:hAnsi="Times New Roman"/>
          <w:sz w:val="24"/>
          <w:szCs w:val="24"/>
        </w:rPr>
        <w:t xml:space="preserve"> they merely didn’t renew with the four companies. THE COURT HELD:  “The Alarm Companies appealed, and we reversed in part, holding that they had stated a Contracts Clause claim. Alarm Detection Sys., Inc. v. Vill. of Schaumburg (“Alarm </w:t>
      </w:r>
      <w:proofErr w:type="spellStart"/>
      <w:r w:rsidRPr="008712E6">
        <w:rPr>
          <w:rFonts w:ascii="Times New Roman" w:hAnsi="Times New Roman"/>
          <w:sz w:val="24"/>
          <w:szCs w:val="24"/>
        </w:rPr>
        <w:t>Detec</w:t>
      </w:r>
      <w:proofErr w:type="spellEnd"/>
      <w:r w:rsidRPr="008712E6">
        <w:rPr>
          <w:rFonts w:ascii="Times New Roman" w:hAnsi="Times New Roman"/>
          <w:sz w:val="24"/>
          <w:szCs w:val="24"/>
        </w:rPr>
        <w:t>-</w:t>
      </w:r>
    </w:p>
    <w:p w14:paraId="0AD79C5C" w14:textId="77777777" w:rsidR="009A7014" w:rsidRPr="008712E6" w:rsidRDefault="009A7014" w:rsidP="009A7014">
      <w:pPr>
        <w:pStyle w:val="NoSpacing"/>
        <w:rPr>
          <w:rFonts w:ascii="Times New Roman" w:hAnsi="Times New Roman"/>
          <w:sz w:val="24"/>
          <w:szCs w:val="24"/>
        </w:rPr>
      </w:pPr>
      <w:proofErr w:type="spellStart"/>
      <w:r w:rsidRPr="008712E6">
        <w:rPr>
          <w:rFonts w:ascii="Times New Roman" w:hAnsi="Times New Roman"/>
          <w:sz w:val="24"/>
          <w:szCs w:val="24"/>
        </w:rPr>
        <w:t>tion</w:t>
      </w:r>
      <w:proofErr w:type="spellEnd"/>
      <w:r w:rsidRPr="008712E6">
        <w:rPr>
          <w:rFonts w:ascii="Times New Roman" w:hAnsi="Times New Roman"/>
          <w:sz w:val="24"/>
          <w:szCs w:val="24"/>
        </w:rPr>
        <w:t xml:space="preserve"> I”), 930 F.3d 812, 823–24 (7th Cir. 2019). We cautioned, however, that to ultimately prevail, the Alarm Companies would need to show the Ordinance caused their customers to prematurely cancel existing contracts, not just decline to renew them. See id. The district court granted the Village’s motion in a thorough written opinion. It </w:t>
      </w:r>
      <w:proofErr w:type="gramStart"/>
      <w:r w:rsidRPr="008712E6">
        <w:rPr>
          <w:rFonts w:ascii="Times New Roman" w:hAnsi="Times New Roman"/>
          <w:sz w:val="24"/>
          <w:szCs w:val="24"/>
        </w:rPr>
        <w:t>reasoned</w:t>
      </w:r>
      <w:proofErr w:type="gramEnd"/>
      <w:r w:rsidRPr="008712E6">
        <w:rPr>
          <w:rFonts w:ascii="Times New Roman" w:hAnsi="Times New Roman"/>
          <w:sz w:val="24"/>
          <w:szCs w:val="24"/>
        </w:rPr>
        <w:t xml:space="preserve"> that the Alarm Companies had offered no admissible evidence substantiating their claim that the Ordinance caused customers to breach contracts with them. *** They do not reveal which customers breached, when they breached, how the companies were notified of the breaches, or the reasons given for the breaches—all information a reasonable jury would need to understand how the Alarm Companies reached their conclusion that breaches occurred. Without any of this basic information, the Alarm Companies’ bare allegations are too conclusory to carry their burden at summary judgment.”  </w:t>
      </w:r>
      <w:hyperlink r:id="rId79" w:history="1">
        <w:r w:rsidRPr="008712E6">
          <w:rPr>
            <w:rStyle w:val="Hyperlink"/>
            <w:rFonts w:ascii="Times New Roman" w:hAnsi="Times New Roman"/>
            <w:sz w:val="24"/>
            <w:szCs w:val="24"/>
          </w:rPr>
          <w:t>https://cases.justia.com/federal/appellate-courts/ca7/24-3163/24-3163-2025-07-22.pdf?ts=1753214416</w:t>
        </w:r>
      </w:hyperlink>
      <w:r w:rsidRPr="008712E6">
        <w:rPr>
          <w:rFonts w:ascii="Times New Roman" w:hAnsi="Times New Roman"/>
          <w:sz w:val="24"/>
          <w:szCs w:val="24"/>
        </w:rPr>
        <w:t xml:space="preserve"> </w:t>
      </w:r>
    </w:p>
    <w:p w14:paraId="7DC559A3" w14:textId="77777777" w:rsidR="008712E6" w:rsidRPr="008712E6" w:rsidRDefault="008712E6" w:rsidP="008712E6">
      <w:pPr>
        <w:pStyle w:val="NoSpacing"/>
        <w:rPr>
          <w:rFonts w:ascii="Times New Roman" w:hAnsi="Times New Roman"/>
          <w:b/>
          <w:sz w:val="24"/>
          <w:szCs w:val="24"/>
        </w:rPr>
      </w:pPr>
    </w:p>
    <w:p w14:paraId="27CE7D9F" w14:textId="389F37D3" w:rsidR="008712E6" w:rsidRPr="008712E6" w:rsidRDefault="008712E6" w:rsidP="008712E6">
      <w:pPr>
        <w:pStyle w:val="NoSpacing"/>
        <w:rPr>
          <w:rFonts w:ascii="Times New Roman" w:hAnsi="Times New Roman"/>
          <w:b/>
          <w:bCs/>
          <w:sz w:val="24"/>
          <w:szCs w:val="24"/>
        </w:rPr>
      </w:pPr>
      <w:r w:rsidRPr="008712E6">
        <w:rPr>
          <w:rFonts w:ascii="Times New Roman" w:hAnsi="Times New Roman"/>
          <w:b/>
          <w:sz w:val="24"/>
          <w:szCs w:val="24"/>
        </w:rPr>
        <w:t xml:space="preserve">Lesson learned: Public safety prevails over alarm company’s loss of profits. </w:t>
      </w:r>
    </w:p>
    <w:p w14:paraId="37B5F662" w14:textId="77777777" w:rsidR="008712E6" w:rsidRDefault="008712E6" w:rsidP="008712E6">
      <w:pPr>
        <w:pStyle w:val="NoSpacing"/>
        <w:rPr>
          <w:bCs/>
        </w:rPr>
      </w:pPr>
    </w:p>
    <w:p w14:paraId="6C79F0AB" w14:textId="77777777" w:rsidR="009A7014" w:rsidRPr="00421D18" w:rsidRDefault="009A7014" w:rsidP="00421D18">
      <w:pPr>
        <w:rPr>
          <w:bCs/>
          <w:sz w:val="24"/>
          <w:szCs w:val="24"/>
        </w:rPr>
      </w:pPr>
    </w:p>
    <w:p w14:paraId="05797B85" w14:textId="69B543CB" w:rsidR="00421D18" w:rsidRDefault="00E24913" w:rsidP="007B08FB">
      <w:pPr>
        <w:pStyle w:val="NoSpacing"/>
        <w:rPr>
          <w:rFonts w:ascii="Arial Black" w:hAnsi="Arial Black"/>
          <w:sz w:val="24"/>
          <w:szCs w:val="24"/>
        </w:rPr>
      </w:pPr>
      <w:r>
        <w:rPr>
          <w:rFonts w:ascii="Arial Black" w:hAnsi="Arial Black"/>
          <w:sz w:val="24"/>
          <w:szCs w:val="24"/>
        </w:rPr>
        <w:t>1-186</w:t>
      </w:r>
    </w:p>
    <w:p w14:paraId="388DEDE0" w14:textId="77777777" w:rsidR="00E24913" w:rsidRDefault="00E24913" w:rsidP="007B08FB">
      <w:pPr>
        <w:pStyle w:val="NoSpacing"/>
        <w:rPr>
          <w:rFonts w:ascii="Arial Black" w:hAnsi="Arial Black"/>
          <w:sz w:val="24"/>
          <w:szCs w:val="24"/>
        </w:rPr>
      </w:pPr>
    </w:p>
    <w:p w14:paraId="514C6E56" w14:textId="77777777" w:rsidR="000A7B66" w:rsidRPr="0013391C" w:rsidRDefault="000A7B66" w:rsidP="000A7B66">
      <w:pPr>
        <w:pStyle w:val="NoSpacing"/>
        <w:rPr>
          <w:rFonts w:ascii="Arial Black" w:hAnsi="Arial Black"/>
          <w:sz w:val="28"/>
          <w:szCs w:val="28"/>
        </w:rPr>
      </w:pPr>
      <w:r>
        <w:rPr>
          <w:rFonts w:ascii="Arial Black" w:hAnsi="Arial Black"/>
          <w:sz w:val="28"/>
          <w:szCs w:val="28"/>
        </w:rPr>
        <w:t>TX: CITY DEMOLISHED HOUSE W/O NOTICE – 1-YR FIRE</w:t>
      </w:r>
    </w:p>
    <w:p w14:paraId="7C31CC41" w14:textId="77777777" w:rsidR="000A7B66" w:rsidRDefault="000A7B66" w:rsidP="000A7B66">
      <w:pPr>
        <w:pStyle w:val="NoSpacing"/>
      </w:pPr>
    </w:p>
    <w:p w14:paraId="0FC8C5A9" w14:textId="1D75D2DA" w:rsidR="00421D18" w:rsidRPr="00CC7E4B" w:rsidRDefault="000A7B66" w:rsidP="000A7B66">
      <w:pPr>
        <w:pStyle w:val="NoSpacing"/>
        <w:rPr>
          <w:rFonts w:ascii="Times New Roman" w:hAnsi="Times New Roman"/>
          <w:sz w:val="24"/>
          <w:szCs w:val="24"/>
        </w:rPr>
      </w:pPr>
      <w:r w:rsidRPr="00CC7E4B">
        <w:rPr>
          <w:rFonts w:ascii="Times New Roman" w:hAnsi="Times New Roman"/>
          <w:sz w:val="24"/>
          <w:szCs w:val="24"/>
        </w:rPr>
        <w:t xml:space="preserve">On July 18, 2025, in Michael Ramirez v. City of Texas City, U.S. District Court Judge Jeffrey Vincent Brown, United States District Court for Southern District of Texas (Galveston), after a one-day bench trial, held that while City violated property owner’s due process rights on failing to notify him that the house will be demolished, the owner is only entitled to $1 in nominal damages, and nothing for rehab materials in the house, and no attorney fees, since the house was not rehabbed for over a year.  The electrical fire was on April 10, 2022, with substantial damage; on April 13th, 2022, the city sent him  a Notice of Substandard Structure and of Abatement; Ramirez retained Michael Gaertner, a licensed architect, to help him obtain a permit to begin property </w:t>
      </w:r>
      <w:proofErr w:type="gramStart"/>
      <w:r w:rsidRPr="00CC7E4B">
        <w:rPr>
          <w:rFonts w:ascii="Times New Roman" w:hAnsi="Times New Roman"/>
          <w:sz w:val="24"/>
          <w:szCs w:val="24"/>
        </w:rPr>
        <w:t>renovations, but</w:t>
      </w:r>
      <w:proofErr w:type="gramEnd"/>
      <w:r w:rsidRPr="00CC7E4B">
        <w:rPr>
          <w:rFonts w:ascii="Times New Roman" w:hAnsi="Times New Roman"/>
          <w:sz w:val="24"/>
          <w:szCs w:val="24"/>
        </w:rPr>
        <w:t xml:space="preserve"> failed to provide a report from a structural engineer. Couple of break-ins; The damaged property languished without repair for about a year until its demolition on or around May 9th, 2023. THE COURT HELD: “Based on the fact findings and legal conclusions set forth above, the court concludes that although Ramirez’s fire-damaged home was ‘substandard’ and a public nuisance, it was not a clear and imminent danger that justified Texas City’s emergency demolition actions. Because Ramirez was not afforded an opportunity to be heard, the city deprived him of due process. Ramirez is therefore awarded $1 in nominal damages. Each party shall bear his or its own attorney’s fees and costs.”  </w:t>
      </w:r>
      <w:hyperlink r:id="rId80" w:history="1">
        <w:r w:rsidRPr="00CC7E4B">
          <w:rPr>
            <w:rStyle w:val="Hyperlink"/>
            <w:rFonts w:ascii="Times New Roman" w:hAnsi="Times New Roman"/>
            <w:sz w:val="24"/>
            <w:szCs w:val="24"/>
          </w:rPr>
          <w:t>https://cases.justia.com/federal/district-courts/texas/txsdce/3:2023cv00356/1939756/67/0.pdf?ts=1752929790</w:t>
        </w:r>
      </w:hyperlink>
    </w:p>
    <w:p w14:paraId="391533BB" w14:textId="77777777" w:rsidR="00421D18" w:rsidRPr="00CC7E4B" w:rsidRDefault="00421D18" w:rsidP="007B08FB">
      <w:pPr>
        <w:pStyle w:val="NoSpacing"/>
        <w:rPr>
          <w:rFonts w:ascii="Times New Roman" w:hAnsi="Times New Roman"/>
          <w:sz w:val="24"/>
          <w:szCs w:val="24"/>
        </w:rPr>
      </w:pPr>
    </w:p>
    <w:p w14:paraId="253B9104" w14:textId="77777777" w:rsidR="00CC7E4B" w:rsidRPr="00CC7E4B" w:rsidRDefault="00CC7E4B" w:rsidP="00CC7E4B">
      <w:pPr>
        <w:pStyle w:val="NoSpacing"/>
        <w:rPr>
          <w:rFonts w:ascii="Times New Roman" w:hAnsi="Times New Roman"/>
          <w:b/>
          <w:bCs/>
          <w:sz w:val="24"/>
          <w:szCs w:val="24"/>
        </w:rPr>
      </w:pPr>
      <w:r w:rsidRPr="00CC7E4B">
        <w:rPr>
          <w:rFonts w:ascii="Times New Roman" w:hAnsi="Times New Roman"/>
          <w:b/>
          <w:sz w:val="24"/>
          <w:szCs w:val="24"/>
        </w:rPr>
        <w:t xml:space="preserve">Legal lesson learned:  Give property owner written notice of plan to demolish.  While the City only </w:t>
      </w:r>
      <w:proofErr w:type="gramStart"/>
      <w:r w:rsidRPr="00CC7E4B">
        <w:rPr>
          <w:rFonts w:ascii="Times New Roman" w:hAnsi="Times New Roman"/>
          <w:b/>
          <w:sz w:val="24"/>
          <w:szCs w:val="24"/>
        </w:rPr>
        <w:t>has to</w:t>
      </w:r>
      <w:proofErr w:type="gramEnd"/>
      <w:r w:rsidRPr="00CC7E4B">
        <w:rPr>
          <w:rFonts w:ascii="Times New Roman" w:hAnsi="Times New Roman"/>
          <w:b/>
          <w:sz w:val="24"/>
          <w:szCs w:val="24"/>
        </w:rPr>
        <w:t xml:space="preserve"> pay property owner $1, the City has had to incur legal expenses simply because it failed to give notice of planned demolition. </w:t>
      </w:r>
    </w:p>
    <w:p w14:paraId="793718DF" w14:textId="77777777" w:rsidR="00CC7E4B" w:rsidRDefault="00CC7E4B" w:rsidP="00CC7E4B">
      <w:pPr>
        <w:pStyle w:val="NoSpacing"/>
      </w:pPr>
    </w:p>
    <w:p w14:paraId="52B6299A" w14:textId="77777777" w:rsidR="00E24913" w:rsidRDefault="00E24913" w:rsidP="007B08FB">
      <w:pPr>
        <w:pStyle w:val="NoSpacing"/>
        <w:rPr>
          <w:rFonts w:ascii="Arial Black" w:hAnsi="Arial Black"/>
          <w:sz w:val="24"/>
          <w:szCs w:val="24"/>
        </w:rPr>
      </w:pPr>
    </w:p>
    <w:p w14:paraId="10218354" w14:textId="74CF6081" w:rsidR="00421D18" w:rsidRDefault="00E24913" w:rsidP="007B08FB">
      <w:pPr>
        <w:pStyle w:val="NoSpacing"/>
        <w:rPr>
          <w:rFonts w:ascii="Arial Black" w:hAnsi="Arial Black"/>
          <w:sz w:val="24"/>
          <w:szCs w:val="24"/>
        </w:rPr>
      </w:pPr>
      <w:r>
        <w:rPr>
          <w:rFonts w:ascii="Arial Black" w:hAnsi="Arial Black"/>
          <w:sz w:val="24"/>
          <w:szCs w:val="24"/>
        </w:rPr>
        <w:t>1-185</w:t>
      </w:r>
    </w:p>
    <w:p w14:paraId="2FB81A72" w14:textId="77777777" w:rsidR="00DC77F7" w:rsidRDefault="00DC77F7" w:rsidP="007B08FB">
      <w:pPr>
        <w:pStyle w:val="NoSpacing"/>
        <w:rPr>
          <w:rFonts w:ascii="Arial Black" w:hAnsi="Arial Black"/>
          <w:sz w:val="24"/>
          <w:szCs w:val="24"/>
        </w:rPr>
      </w:pPr>
    </w:p>
    <w:p w14:paraId="1F95A636" w14:textId="77777777" w:rsidR="0094602E" w:rsidRDefault="0094602E" w:rsidP="0094602E">
      <w:pPr>
        <w:rPr>
          <w:rFonts w:ascii="Arial Black" w:hAnsi="Arial Black"/>
          <w:bCs/>
          <w:sz w:val="28"/>
          <w:szCs w:val="28"/>
        </w:rPr>
      </w:pPr>
      <w:r>
        <w:rPr>
          <w:rFonts w:ascii="Arial Black" w:hAnsi="Arial Black"/>
          <w:sz w:val="28"/>
          <w:szCs w:val="28"/>
        </w:rPr>
        <w:t xml:space="preserve">LA: WIRE FRAUD – LIED TO INSUR. CO. – FIRE “ELECTRICAL” </w:t>
      </w:r>
    </w:p>
    <w:p w14:paraId="4B162E4C" w14:textId="77777777" w:rsidR="0094602E" w:rsidRPr="00C27853" w:rsidRDefault="0094602E" w:rsidP="0094602E">
      <w:pPr>
        <w:pStyle w:val="NoSpacing"/>
        <w:rPr>
          <w:rFonts w:ascii="Times New Roman" w:hAnsi="Times New Roman"/>
          <w:bCs/>
          <w:sz w:val="24"/>
          <w:szCs w:val="24"/>
        </w:rPr>
      </w:pPr>
      <w:r w:rsidRPr="00C27853">
        <w:rPr>
          <w:rFonts w:ascii="Times New Roman" w:hAnsi="Times New Roman"/>
          <w:sz w:val="24"/>
          <w:szCs w:val="24"/>
        </w:rPr>
        <w:t xml:space="preserve">On July 15, 2025, in </w:t>
      </w:r>
      <w:r w:rsidRPr="00C27853">
        <w:rPr>
          <w:rFonts w:ascii="Times New Roman" w:hAnsi="Times New Roman"/>
          <w:sz w:val="24"/>
          <w:szCs w:val="24"/>
          <w:u w:val="single"/>
        </w:rPr>
        <w:t>United States of America v. Saleem Yousef Dabit</w:t>
      </w:r>
      <w:r w:rsidRPr="00C27853">
        <w:rPr>
          <w:rFonts w:ascii="Times New Roman" w:hAnsi="Times New Roman"/>
          <w:sz w:val="24"/>
          <w:szCs w:val="24"/>
        </w:rPr>
        <w:t>, the 5</w:t>
      </w:r>
      <w:r w:rsidRPr="00C27853">
        <w:rPr>
          <w:rFonts w:ascii="Times New Roman" w:hAnsi="Times New Roman"/>
          <w:sz w:val="24"/>
          <w:szCs w:val="24"/>
          <w:vertAlign w:val="superscript"/>
        </w:rPr>
        <w:t>th</w:t>
      </w:r>
      <w:r w:rsidRPr="00C27853">
        <w:rPr>
          <w:rFonts w:ascii="Times New Roman" w:hAnsi="Times New Roman"/>
          <w:sz w:val="24"/>
          <w:szCs w:val="24"/>
        </w:rPr>
        <w:t xml:space="preserve"> Circuit United States Court of Appeals (New Orleans) held (3 to 0) that a jury properly convicted the owner of wire fraud involving insurance claim for Jan. 1, </w:t>
      </w:r>
      <w:proofErr w:type="gramStart"/>
      <w:r w:rsidRPr="00C27853">
        <w:rPr>
          <w:rFonts w:ascii="Times New Roman" w:hAnsi="Times New Roman"/>
          <w:sz w:val="24"/>
          <w:szCs w:val="24"/>
        </w:rPr>
        <w:t>2019</w:t>
      </w:r>
      <w:proofErr w:type="gramEnd"/>
      <w:r w:rsidRPr="00C27853">
        <w:rPr>
          <w:rFonts w:ascii="Times New Roman" w:hAnsi="Times New Roman"/>
          <w:sz w:val="24"/>
          <w:szCs w:val="24"/>
        </w:rPr>
        <w:t xml:space="preserve"> fire at a warehouse - Sam's Men's Fashions.  Dabit was indicted on (1) one count of use of fire to commit a felony (gasoline from at least 15 containers, which resulted in a massive fuel-air explosion), (2) one count of use of fire to maliciously damage property, and (3) one count of wire fraud on Hanover Insurance Company (falsely told insurance company that fire investigators said it was electrical).   The jury found him not guilty of first two </w:t>
      </w:r>
      <w:proofErr w:type="gramStart"/>
      <w:r w:rsidRPr="00C27853">
        <w:rPr>
          <w:rFonts w:ascii="Times New Roman" w:hAnsi="Times New Roman"/>
          <w:sz w:val="24"/>
          <w:szCs w:val="24"/>
        </w:rPr>
        <w:t>counts</w:t>
      </w:r>
      <w:proofErr w:type="gramEnd"/>
      <w:r w:rsidRPr="00C27853">
        <w:rPr>
          <w:rFonts w:ascii="Times New Roman" w:hAnsi="Times New Roman"/>
          <w:sz w:val="24"/>
          <w:szCs w:val="24"/>
        </w:rPr>
        <w:t xml:space="preserve">.  On July 25, </w:t>
      </w:r>
      <w:proofErr w:type="gramStart"/>
      <w:r w:rsidRPr="00C27853">
        <w:rPr>
          <w:rFonts w:ascii="Times New Roman" w:hAnsi="Times New Roman"/>
          <w:sz w:val="24"/>
          <w:szCs w:val="24"/>
        </w:rPr>
        <w:t>2024</w:t>
      </w:r>
      <w:proofErr w:type="gramEnd"/>
      <w:r w:rsidRPr="00C27853">
        <w:rPr>
          <w:rFonts w:ascii="Times New Roman" w:hAnsi="Times New Roman"/>
          <w:sz w:val="24"/>
          <w:szCs w:val="24"/>
        </w:rPr>
        <w:t xml:space="preserve"> he was sentenced to 12 months and one day in jail; and on Aug. 26, </w:t>
      </w:r>
      <w:proofErr w:type="gramStart"/>
      <w:r w:rsidRPr="00C27853">
        <w:rPr>
          <w:rFonts w:ascii="Times New Roman" w:hAnsi="Times New Roman"/>
          <w:sz w:val="24"/>
          <w:szCs w:val="24"/>
        </w:rPr>
        <w:t>2024</w:t>
      </w:r>
      <w:proofErr w:type="gramEnd"/>
      <w:r w:rsidRPr="00C27853">
        <w:rPr>
          <w:rFonts w:ascii="Times New Roman" w:hAnsi="Times New Roman"/>
          <w:sz w:val="24"/>
          <w:szCs w:val="24"/>
        </w:rPr>
        <w:t xml:space="preserve"> the trial court judge denied his motion for release pending appeal. </w:t>
      </w:r>
      <w:hyperlink r:id="rId81" w:history="1">
        <w:r w:rsidRPr="00C27853">
          <w:rPr>
            <w:rStyle w:val="Hyperlink"/>
            <w:rFonts w:ascii="Times New Roman" w:hAnsi="Times New Roman"/>
            <w:sz w:val="24"/>
            <w:szCs w:val="24"/>
          </w:rPr>
          <w:t>https://www.casemine.com/judgement/us/66cea7f23f1f7c7a89e60871</w:t>
        </w:r>
      </w:hyperlink>
      <w:r w:rsidRPr="00C27853">
        <w:rPr>
          <w:rFonts w:ascii="Times New Roman" w:hAnsi="Times New Roman"/>
          <w:sz w:val="24"/>
          <w:szCs w:val="24"/>
        </w:rPr>
        <w:t xml:space="preserve"> . THE 5</w:t>
      </w:r>
      <w:r w:rsidRPr="00C27853">
        <w:rPr>
          <w:rFonts w:ascii="Times New Roman" w:hAnsi="Times New Roman"/>
          <w:sz w:val="24"/>
          <w:szCs w:val="24"/>
          <w:vertAlign w:val="superscript"/>
        </w:rPr>
        <w:t>th</w:t>
      </w:r>
      <w:r w:rsidRPr="00C27853">
        <w:rPr>
          <w:rFonts w:ascii="Times New Roman" w:hAnsi="Times New Roman"/>
          <w:sz w:val="24"/>
          <w:szCs w:val="24"/>
        </w:rPr>
        <w:t xml:space="preserve"> CIRCUIT HELD:  “Here, a rational jury could have found beyond a reasonable doubt that Dabit, with specific intent to defraud, engaged in a scheme to defraud the Hanover Insurance Company using wire communications…. Even if there was insufficient evidence that Dabit set fire to the warehouse, there was sufficient evidence that Dabit lied to Hanover when he said that firefighters told him the fire was probably electrical. Multiple firefighters and certified fire investigators testified that no firefighter or investigator told Dabit that. And we are not entitled to second-guess any credibility determinations the jury might have made in this </w:t>
      </w:r>
      <w:proofErr w:type="gramStart"/>
      <w:r w:rsidRPr="00C27853">
        <w:rPr>
          <w:rFonts w:ascii="Times New Roman" w:hAnsi="Times New Roman"/>
          <w:sz w:val="24"/>
          <w:szCs w:val="24"/>
        </w:rPr>
        <w:t>respect.”</w:t>
      </w:r>
      <w:proofErr w:type="gramEnd"/>
      <w:r w:rsidRPr="00C27853">
        <w:rPr>
          <w:rFonts w:ascii="Times New Roman" w:hAnsi="Times New Roman"/>
          <w:sz w:val="24"/>
          <w:szCs w:val="24"/>
        </w:rPr>
        <w:t xml:space="preserve"> </w:t>
      </w:r>
      <w:hyperlink r:id="rId82" w:history="1">
        <w:r w:rsidRPr="00C27853">
          <w:rPr>
            <w:rStyle w:val="Hyperlink"/>
            <w:rFonts w:ascii="Times New Roman" w:hAnsi="Times New Roman"/>
            <w:sz w:val="24"/>
            <w:szCs w:val="24"/>
          </w:rPr>
          <w:t>https://www.ca5.uscourts.gov/opinions/unpub/24/24-30496.0.pdf</w:t>
        </w:r>
      </w:hyperlink>
      <w:r w:rsidRPr="00C27853">
        <w:rPr>
          <w:rFonts w:ascii="Times New Roman" w:hAnsi="Times New Roman"/>
          <w:sz w:val="24"/>
          <w:szCs w:val="24"/>
        </w:rPr>
        <w:t xml:space="preserve"> </w:t>
      </w:r>
    </w:p>
    <w:p w14:paraId="2CFAFACB" w14:textId="77777777" w:rsidR="0094602E" w:rsidRPr="00C27853" w:rsidRDefault="0094602E" w:rsidP="0094602E">
      <w:pPr>
        <w:pStyle w:val="NoSpacing"/>
        <w:rPr>
          <w:rFonts w:ascii="Times New Roman" w:hAnsi="Times New Roman"/>
          <w:bCs/>
          <w:sz w:val="24"/>
          <w:szCs w:val="24"/>
        </w:rPr>
      </w:pPr>
    </w:p>
    <w:p w14:paraId="4C0026CA" w14:textId="77777777" w:rsidR="00C27853" w:rsidRPr="00C27853" w:rsidRDefault="00C27853" w:rsidP="00C27853">
      <w:pPr>
        <w:pStyle w:val="NoSpacing"/>
        <w:rPr>
          <w:rFonts w:ascii="Times New Roman" w:hAnsi="Times New Roman"/>
          <w:b/>
          <w:bCs/>
          <w:sz w:val="24"/>
          <w:szCs w:val="24"/>
        </w:rPr>
      </w:pPr>
      <w:r w:rsidRPr="00C27853">
        <w:rPr>
          <w:rFonts w:ascii="Times New Roman" w:hAnsi="Times New Roman"/>
          <w:b/>
          <w:sz w:val="24"/>
          <w:szCs w:val="24"/>
        </w:rPr>
        <w:t xml:space="preserve">Legal lesson learned:  Jury found him guilty of scheme to defraud insurance company, even if it did not find him guilty of arson. </w:t>
      </w:r>
    </w:p>
    <w:p w14:paraId="3CDCEE6C" w14:textId="77777777" w:rsidR="00C27853" w:rsidRPr="00C27853" w:rsidRDefault="00C27853" w:rsidP="00C27853">
      <w:pPr>
        <w:pStyle w:val="NoSpacing"/>
        <w:rPr>
          <w:rFonts w:ascii="Times New Roman" w:hAnsi="Times New Roman"/>
          <w:b/>
          <w:bCs/>
          <w:sz w:val="24"/>
          <w:szCs w:val="24"/>
        </w:rPr>
      </w:pPr>
    </w:p>
    <w:p w14:paraId="2CF885C4" w14:textId="02B37350" w:rsidR="00DC77F7" w:rsidRPr="00C27853" w:rsidRDefault="00C27853" w:rsidP="00C27853">
      <w:pPr>
        <w:pStyle w:val="NoSpacing"/>
        <w:ind w:left="720"/>
        <w:rPr>
          <w:rFonts w:ascii="Times New Roman" w:hAnsi="Times New Roman"/>
          <w:sz w:val="24"/>
          <w:szCs w:val="24"/>
        </w:rPr>
      </w:pPr>
      <w:r w:rsidRPr="00C27853">
        <w:rPr>
          <w:rFonts w:ascii="Times New Roman" w:hAnsi="Times New Roman"/>
          <w:sz w:val="24"/>
          <w:szCs w:val="24"/>
        </w:rPr>
        <w:t xml:space="preserve">Note: See Nov. 14, </w:t>
      </w:r>
      <w:proofErr w:type="gramStart"/>
      <w:r w:rsidRPr="00C27853">
        <w:rPr>
          <w:rFonts w:ascii="Times New Roman" w:hAnsi="Times New Roman"/>
          <w:sz w:val="24"/>
          <w:szCs w:val="24"/>
        </w:rPr>
        <w:t>2009</w:t>
      </w:r>
      <w:proofErr w:type="gramEnd"/>
      <w:r w:rsidRPr="00C27853">
        <w:rPr>
          <w:rFonts w:ascii="Times New Roman" w:hAnsi="Times New Roman"/>
          <w:sz w:val="24"/>
          <w:szCs w:val="24"/>
        </w:rPr>
        <w:t xml:space="preserve"> U.S Department of Justice Press Release, “Baton Rouge Man Indicted for Use of Fire to Commit a Felony, Use of Fire to Maliciously Damage Property, and Wire Fraud.” </w:t>
      </w:r>
      <w:hyperlink r:id="rId83" w:history="1">
        <w:r w:rsidRPr="00C27853">
          <w:rPr>
            <w:rStyle w:val="Hyperlink"/>
            <w:rFonts w:ascii="Times New Roman" w:hAnsi="Times New Roman"/>
            <w:sz w:val="24"/>
            <w:szCs w:val="24"/>
          </w:rPr>
          <w:t>https://www.justice.gov/usao-mdla/pr/baton-rouge-man-indicted-use-fire-commit-felony-use-fire-maliciously-damage-property</w:t>
        </w:r>
      </w:hyperlink>
    </w:p>
    <w:p w14:paraId="3D4A31ED" w14:textId="77777777" w:rsidR="00DC77F7" w:rsidRDefault="00DC77F7" w:rsidP="007B08FB">
      <w:pPr>
        <w:pStyle w:val="NoSpacing"/>
        <w:rPr>
          <w:rFonts w:ascii="Arial Black" w:hAnsi="Arial Black"/>
          <w:sz w:val="24"/>
          <w:szCs w:val="24"/>
        </w:rPr>
      </w:pPr>
    </w:p>
    <w:p w14:paraId="1C5D3D9D" w14:textId="77777777" w:rsidR="00DC77F7" w:rsidRDefault="00DC77F7" w:rsidP="007B08FB">
      <w:pPr>
        <w:pStyle w:val="NoSpacing"/>
        <w:rPr>
          <w:rFonts w:ascii="Arial Black" w:hAnsi="Arial Black"/>
          <w:sz w:val="24"/>
          <w:szCs w:val="24"/>
        </w:rPr>
      </w:pPr>
    </w:p>
    <w:p w14:paraId="0A696785" w14:textId="626A2012" w:rsidR="007B08FB" w:rsidRDefault="007B08FB" w:rsidP="007B08FB">
      <w:pPr>
        <w:pStyle w:val="NoSpacing"/>
        <w:rPr>
          <w:rFonts w:ascii="Arial Black" w:hAnsi="Arial Black"/>
          <w:sz w:val="24"/>
          <w:szCs w:val="24"/>
        </w:rPr>
      </w:pPr>
      <w:r>
        <w:rPr>
          <w:rFonts w:ascii="Arial Black" w:hAnsi="Arial Black"/>
          <w:sz w:val="24"/>
          <w:szCs w:val="24"/>
        </w:rPr>
        <w:t>1-184</w:t>
      </w:r>
    </w:p>
    <w:p w14:paraId="7F89048C" w14:textId="77777777" w:rsidR="00324C50" w:rsidRDefault="00324C50" w:rsidP="00B86628">
      <w:pPr>
        <w:pStyle w:val="NoSpacing"/>
        <w:rPr>
          <w:rFonts w:ascii="Arial Black" w:hAnsi="Arial Black"/>
          <w:sz w:val="24"/>
          <w:szCs w:val="24"/>
        </w:rPr>
      </w:pPr>
    </w:p>
    <w:p w14:paraId="6F3F1666" w14:textId="77777777" w:rsidR="00324C50" w:rsidRPr="00B50751" w:rsidRDefault="00324C50" w:rsidP="00324C50">
      <w:pPr>
        <w:rPr>
          <w:rFonts w:ascii="Arial Black" w:hAnsi="Arial Black"/>
          <w:b/>
          <w:sz w:val="28"/>
          <w:szCs w:val="28"/>
        </w:rPr>
      </w:pPr>
      <w:r>
        <w:rPr>
          <w:rFonts w:ascii="Arial Black" w:hAnsi="Arial Black"/>
          <w:b/>
          <w:sz w:val="28"/>
          <w:szCs w:val="28"/>
        </w:rPr>
        <w:t>GA:  FIRE MARSHAL – ARRESTED 2 / FIRE EXTIGUISHER CO.</w:t>
      </w:r>
    </w:p>
    <w:p w14:paraId="49709C47" w14:textId="624B27C9" w:rsidR="00324C50" w:rsidRDefault="00324C50" w:rsidP="00324C50">
      <w:pPr>
        <w:pStyle w:val="NoSpacing"/>
        <w:rPr>
          <w:rFonts w:ascii="Times New Roman" w:hAnsi="Times New Roman"/>
          <w:sz w:val="24"/>
          <w:szCs w:val="24"/>
        </w:rPr>
      </w:pPr>
      <w:r w:rsidRPr="00324C50">
        <w:rPr>
          <w:rFonts w:ascii="Times New Roman" w:hAnsi="Times New Roman"/>
          <w:sz w:val="24"/>
          <w:szCs w:val="24"/>
        </w:rPr>
        <w:t xml:space="preserve">On June 26, 2025, in </w:t>
      </w:r>
      <w:r w:rsidRPr="00324C50">
        <w:rPr>
          <w:rFonts w:ascii="Times New Roman" w:hAnsi="Times New Roman"/>
          <w:sz w:val="24"/>
          <w:szCs w:val="24"/>
          <w:u w:val="single"/>
        </w:rPr>
        <w:t>Karen Diane Wynn Lyle and Lyle Mobile Fire Protection, LLC v. Jerry D. Heath, Jr., individually and in his capacity as Fire Marshal of the City of Hinesville, and the City of Hinesville</w:t>
      </w:r>
      <w:r w:rsidRPr="00324C50">
        <w:rPr>
          <w:rFonts w:ascii="Times New Roman" w:hAnsi="Times New Roman"/>
          <w:sz w:val="24"/>
          <w:szCs w:val="24"/>
        </w:rPr>
        <w:t xml:space="preserve">, the Court of Appeals of Georgia, Third Division, reversed the dismissal of this lawsuit on the basis of governmental immunity, and ordered that pre-trial discovery proceed in this civil lawsuit for malicious prosecution, false arrest, defamation, slander per se, and tortious interference with a business relationship.  Karen Lyle is an elementary school </w:t>
      </w:r>
      <w:proofErr w:type="gramStart"/>
      <w:r w:rsidRPr="00324C50">
        <w:rPr>
          <w:rFonts w:ascii="Times New Roman" w:hAnsi="Times New Roman"/>
          <w:sz w:val="24"/>
          <w:szCs w:val="24"/>
        </w:rPr>
        <w:t>teacher, and</w:t>
      </w:r>
      <w:proofErr w:type="gramEnd"/>
      <w:r w:rsidRPr="00324C50">
        <w:rPr>
          <w:rFonts w:ascii="Times New Roman" w:hAnsi="Times New Roman"/>
          <w:sz w:val="24"/>
          <w:szCs w:val="24"/>
        </w:rPr>
        <w:t xml:space="preserve"> also worked as a bookkeeper for her late husband (died in 2019), who founded the fire extinguisher company.  Starting in </w:t>
      </w:r>
      <w:proofErr w:type="gramStart"/>
      <w:r w:rsidRPr="00324C50">
        <w:rPr>
          <w:rFonts w:ascii="Times New Roman" w:hAnsi="Times New Roman"/>
          <w:sz w:val="24"/>
          <w:szCs w:val="24"/>
        </w:rPr>
        <w:t>September,</w:t>
      </w:r>
      <w:proofErr w:type="gramEnd"/>
      <w:r w:rsidRPr="00324C50">
        <w:rPr>
          <w:rFonts w:ascii="Times New Roman" w:hAnsi="Times New Roman"/>
          <w:sz w:val="24"/>
          <w:szCs w:val="24"/>
        </w:rPr>
        <w:t xml:space="preserve"> 2020, Fire Marshal Heath contacted Shane Taylor with the Enforcement Division of the Insurance and Fire Safety Commissioner's Office regarding LMFP and certain improperly tagged fire extinguishers; Mr. Taylor then spoke with both Karen Lyle and employee John Mann about state regulations.  [TWO ARRESTS.]  On May 4, 2012, the Fire Marshall arrested Ms. Lyle while teaching at her elementary school; and on May 7, 202 he arrested John Mann for “impersonating a fireman” and “failing to abide by fire extinguisher and suppression systems regulations.” On Jan. 26, 2023, all charges were dropped.  THE COURT HELD:  “We therefore vacate the order and remand to more fully develop the factual record, not only as to Heath's status as a municipal or state actor, but also as to the full investigation, which will bear on the remaining questions as to whether the City or Heath are protected by sovereign or official immunity (or whether the Georgia Tort Claims Act applied), and whether Heath acted with malice and its effect on the application of immunity in this case. Thus, we decline the City's request to apply the sovereign immunity analysis </w:t>
      </w:r>
      <w:proofErr w:type="gramStart"/>
      <w:r w:rsidRPr="00324C50">
        <w:rPr>
          <w:rFonts w:ascii="Times New Roman" w:hAnsi="Times New Roman"/>
          <w:sz w:val="24"/>
          <w:szCs w:val="24"/>
        </w:rPr>
        <w:t>at this time</w:t>
      </w:r>
      <w:proofErr w:type="gramEnd"/>
      <w:r w:rsidRPr="00324C50">
        <w:rPr>
          <w:rFonts w:ascii="Times New Roman" w:hAnsi="Times New Roman"/>
          <w:sz w:val="24"/>
          <w:szCs w:val="24"/>
        </w:rPr>
        <w:t xml:space="preserve">.” </w:t>
      </w:r>
      <w:hyperlink r:id="rId84" w:history="1">
        <w:r w:rsidRPr="00324C50">
          <w:rPr>
            <w:rStyle w:val="Hyperlink"/>
            <w:rFonts w:ascii="Times New Roman" w:hAnsi="Times New Roman"/>
            <w:sz w:val="24"/>
            <w:szCs w:val="24"/>
          </w:rPr>
          <w:t>https://caselaw.findlaw.com/court/ga-court-of-appeals/117421566.html</w:t>
        </w:r>
      </w:hyperlink>
    </w:p>
    <w:p w14:paraId="0B17BA8D" w14:textId="77777777" w:rsidR="00E02F60" w:rsidRDefault="00E02F60" w:rsidP="00324C50">
      <w:pPr>
        <w:pStyle w:val="NoSpacing"/>
        <w:rPr>
          <w:rFonts w:ascii="Times New Roman" w:hAnsi="Times New Roman"/>
          <w:sz w:val="24"/>
          <w:szCs w:val="24"/>
        </w:rPr>
      </w:pPr>
    </w:p>
    <w:p w14:paraId="31B199F2" w14:textId="77777777" w:rsidR="00E02F60" w:rsidRPr="00E02F60" w:rsidRDefault="00E02F60" w:rsidP="00E02F60">
      <w:pPr>
        <w:rPr>
          <w:rFonts w:ascii="Times New Roman" w:hAnsi="Times New Roman"/>
          <w:b/>
          <w:bCs/>
          <w:sz w:val="24"/>
          <w:szCs w:val="24"/>
        </w:rPr>
      </w:pPr>
      <w:r w:rsidRPr="00E02F60">
        <w:rPr>
          <w:rFonts w:ascii="Times New Roman" w:hAnsi="Times New Roman"/>
          <w:b/>
          <w:sz w:val="24"/>
          <w:szCs w:val="24"/>
        </w:rPr>
        <w:t xml:space="preserve">Legal lesson learned: Very strange set of facts; there must be “more to this story.”  Pre-trial discovery will now proceed. </w:t>
      </w:r>
    </w:p>
    <w:p w14:paraId="1AAE8545" w14:textId="77777777" w:rsidR="00465650" w:rsidRDefault="00465650" w:rsidP="006F7F26">
      <w:pPr>
        <w:rPr>
          <w:rFonts w:ascii="Arial Black" w:hAnsi="Arial Black"/>
          <w:b/>
          <w:sz w:val="28"/>
          <w:szCs w:val="28"/>
        </w:rPr>
      </w:pPr>
    </w:p>
    <w:p w14:paraId="2ADC53AD" w14:textId="5EBA81C3" w:rsidR="00465650" w:rsidRDefault="00465650" w:rsidP="00465650">
      <w:pPr>
        <w:pStyle w:val="NoSpacing"/>
        <w:rPr>
          <w:rFonts w:ascii="Arial Black" w:hAnsi="Arial Black"/>
          <w:sz w:val="24"/>
          <w:szCs w:val="24"/>
        </w:rPr>
      </w:pPr>
      <w:r>
        <w:rPr>
          <w:rFonts w:ascii="Arial Black" w:hAnsi="Arial Black"/>
          <w:sz w:val="24"/>
          <w:szCs w:val="24"/>
        </w:rPr>
        <w:t>1-183</w:t>
      </w:r>
    </w:p>
    <w:p w14:paraId="09472BD6" w14:textId="77777777" w:rsidR="007B08FB" w:rsidRDefault="007B08FB" w:rsidP="00465650">
      <w:pPr>
        <w:pStyle w:val="NoSpacing"/>
        <w:rPr>
          <w:rFonts w:ascii="Arial Black" w:hAnsi="Arial Black"/>
          <w:b/>
          <w:sz w:val="28"/>
          <w:szCs w:val="28"/>
        </w:rPr>
      </w:pPr>
    </w:p>
    <w:p w14:paraId="1A9635FD" w14:textId="282B9413" w:rsidR="006F7F26" w:rsidRPr="004310F3" w:rsidRDefault="006F7F26" w:rsidP="006F7F26">
      <w:pPr>
        <w:rPr>
          <w:rFonts w:ascii="Arial Black" w:hAnsi="Arial Black"/>
          <w:b/>
          <w:sz w:val="28"/>
          <w:szCs w:val="28"/>
        </w:rPr>
      </w:pPr>
      <w:r>
        <w:rPr>
          <w:rFonts w:ascii="Arial Black" w:hAnsi="Arial Black"/>
          <w:b/>
          <w:sz w:val="28"/>
          <w:szCs w:val="28"/>
        </w:rPr>
        <w:t>FL: APT FIRE / DEATH – PUNITIVE DAMAGES FOR CODE VIOL</w:t>
      </w:r>
    </w:p>
    <w:p w14:paraId="0FA1F611" w14:textId="77777777" w:rsidR="006F7F26" w:rsidRPr="00C30ADD" w:rsidRDefault="006F7F26" w:rsidP="006F7F26">
      <w:pPr>
        <w:pStyle w:val="NoSpacing"/>
        <w:rPr>
          <w:rFonts w:ascii="Times New Roman" w:hAnsi="Times New Roman"/>
          <w:sz w:val="24"/>
          <w:szCs w:val="24"/>
        </w:rPr>
      </w:pPr>
      <w:r w:rsidRPr="00C30ADD">
        <w:rPr>
          <w:rFonts w:ascii="Times New Roman" w:hAnsi="Times New Roman"/>
          <w:sz w:val="24"/>
          <w:szCs w:val="24"/>
        </w:rPr>
        <w:t xml:space="preserve">On June 18, 2025, in  </w:t>
      </w:r>
      <w:proofErr w:type="spellStart"/>
      <w:r w:rsidRPr="00C30ADD">
        <w:rPr>
          <w:rFonts w:ascii="Times New Roman" w:hAnsi="Times New Roman"/>
          <w:sz w:val="24"/>
          <w:szCs w:val="24"/>
          <w:u w:val="single"/>
        </w:rPr>
        <w:t>Menada</w:t>
      </w:r>
      <w:proofErr w:type="spellEnd"/>
      <w:r w:rsidRPr="00C30ADD">
        <w:rPr>
          <w:rFonts w:ascii="Times New Roman" w:hAnsi="Times New Roman"/>
          <w:sz w:val="24"/>
          <w:szCs w:val="24"/>
          <w:u w:val="single"/>
        </w:rPr>
        <w:t>, Inc., et al. v. Gabriela Arevalo</w:t>
      </w:r>
      <w:r w:rsidRPr="00C30ADD">
        <w:rPr>
          <w:rFonts w:ascii="Times New Roman" w:hAnsi="Times New Roman"/>
          <w:sz w:val="24"/>
          <w:szCs w:val="24"/>
        </w:rPr>
        <w:t>. The Florida Court of Appeals, Third District, held (3 to 0) that family of the adult, blind son who did on the 15</w:t>
      </w:r>
      <w:r w:rsidRPr="00C30ADD">
        <w:rPr>
          <w:rFonts w:ascii="Times New Roman" w:hAnsi="Times New Roman"/>
          <w:sz w:val="24"/>
          <w:szCs w:val="24"/>
          <w:vertAlign w:val="superscript"/>
        </w:rPr>
        <w:t>th</w:t>
      </w:r>
      <w:r w:rsidRPr="00C30ADD">
        <w:rPr>
          <w:rFonts w:ascii="Times New Roman" w:hAnsi="Times New Roman"/>
          <w:sz w:val="24"/>
          <w:szCs w:val="24"/>
        </w:rPr>
        <w:t xml:space="preserve"> floor of the building with numerous prior code violations by City of Miami Beach, may file a lawsuit seeking punitive damages.  City of Miami Beach “Special Master” had previously determined the 15</w:t>
      </w:r>
      <w:r w:rsidRPr="00C30ADD">
        <w:rPr>
          <w:rFonts w:ascii="Times New Roman" w:hAnsi="Times New Roman"/>
          <w:sz w:val="24"/>
          <w:szCs w:val="24"/>
          <w:vertAlign w:val="superscript"/>
        </w:rPr>
        <w:t>th</w:t>
      </w:r>
      <w:r w:rsidRPr="00C30ADD">
        <w:rPr>
          <w:rFonts w:ascii="Times New Roman" w:hAnsi="Times New Roman"/>
          <w:sz w:val="24"/>
          <w:szCs w:val="24"/>
        </w:rPr>
        <w:t xml:space="preserve"> floor to be unsafe and prohibited any tenants on that floor. The hotel / apartment building had been fined $6.5 million for fire related violations, including the imposition of a daily fine of $1,000.00 for each day of noncompliance starting from April 1, 2018.  THE COURT HELD: “The trial court concluded that Arevalo satisfied the punitive damages pleading standard set forth in section 768.72(1), Florida Statutes (2024), which requires ‘a reasonable showing by evidence in the record or proffered by the claimant which would provide a reasonable basis for recovery of such damages.’ We agree and therefore affirm.” </w:t>
      </w:r>
      <w:hyperlink r:id="rId85" w:history="1">
        <w:r w:rsidRPr="00C30ADD">
          <w:rPr>
            <w:rStyle w:val="Hyperlink"/>
            <w:rFonts w:ascii="Times New Roman" w:hAnsi="Times New Roman"/>
            <w:sz w:val="24"/>
            <w:szCs w:val="24"/>
          </w:rPr>
          <w:t>https://cases.justia.com/florida/third-district-court-of-appeal/2025-3d23-1625.pdf?ts=1750259354</w:t>
        </w:r>
      </w:hyperlink>
      <w:r w:rsidRPr="00C30ADD">
        <w:rPr>
          <w:rFonts w:ascii="Times New Roman" w:hAnsi="Times New Roman"/>
          <w:sz w:val="24"/>
          <w:szCs w:val="24"/>
        </w:rPr>
        <w:t xml:space="preserve"> </w:t>
      </w:r>
    </w:p>
    <w:p w14:paraId="5369A4C5" w14:textId="77777777" w:rsidR="006F7F26" w:rsidRPr="00C30ADD" w:rsidRDefault="006F7F26" w:rsidP="006F7F26">
      <w:pPr>
        <w:pStyle w:val="NoSpacing"/>
        <w:ind w:left="720"/>
        <w:rPr>
          <w:rFonts w:ascii="Times New Roman" w:hAnsi="Times New Roman"/>
          <w:sz w:val="24"/>
          <w:szCs w:val="24"/>
        </w:rPr>
      </w:pPr>
    </w:p>
    <w:p w14:paraId="614F065A" w14:textId="77777777" w:rsidR="00C30ADD" w:rsidRPr="00C30ADD" w:rsidRDefault="00C30ADD" w:rsidP="00C30ADD">
      <w:pPr>
        <w:pStyle w:val="NoSpacing"/>
        <w:rPr>
          <w:rFonts w:ascii="Times New Roman" w:hAnsi="Times New Roman"/>
          <w:b/>
          <w:bCs/>
          <w:sz w:val="24"/>
          <w:szCs w:val="24"/>
        </w:rPr>
      </w:pPr>
      <w:r w:rsidRPr="00C30ADD">
        <w:rPr>
          <w:rFonts w:ascii="Times New Roman" w:hAnsi="Times New Roman"/>
          <w:b/>
          <w:sz w:val="24"/>
          <w:szCs w:val="24"/>
        </w:rPr>
        <w:t xml:space="preserve">Legal lesson learned: Tenant’s death, with fire code violations, will now proceed to a jury trial that could impose punitive damages.  Insurance does not cover punitive </w:t>
      </w:r>
      <w:proofErr w:type="gramStart"/>
      <w:r w:rsidRPr="00C30ADD">
        <w:rPr>
          <w:rFonts w:ascii="Times New Roman" w:hAnsi="Times New Roman"/>
          <w:b/>
          <w:sz w:val="24"/>
          <w:szCs w:val="24"/>
        </w:rPr>
        <w:t>damages</w:t>
      </w:r>
      <w:proofErr w:type="gramEnd"/>
      <w:r w:rsidRPr="00C30ADD">
        <w:rPr>
          <w:rFonts w:ascii="Times New Roman" w:hAnsi="Times New Roman"/>
          <w:b/>
          <w:sz w:val="24"/>
          <w:szCs w:val="24"/>
        </w:rPr>
        <w:t xml:space="preserve"> in Florida, which is </w:t>
      </w:r>
      <w:proofErr w:type="gramStart"/>
      <w:r w:rsidRPr="00C30ADD">
        <w:rPr>
          <w:rFonts w:ascii="Times New Roman" w:hAnsi="Times New Roman"/>
          <w:b/>
          <w:sz w:val="24"/>
          <w:szCs w:val="24"/>
        </w:rPr>
        <w:t>similar to</w:t>
      </w:r>
      <w:proofErr w:type="gramEnd"/>
      <w:r w:rsidRPr="00C30ADD">
        <w:rPr>
          <w:rFonts w:ascii="Times New Roman" w:hAnsi="Times New Roman"/>
          <w:b/>
          <w:sz w:val="24"/>
          <w:szCs w:val="24"/>
        </w:rPr>
        <w:t xml:space="preserve"> many states.  </w:t>
      </w:r>
    </w:p>
    <w:p w14:paraId="2FB385F6" w14:textId="77777777" w:rsidR="00C30ADD" w:rsidRPr="00C30ADD" w:rsidRDefault="00C30ADD" w:rsidP="00C30ADD">
      <w:pPr>
        <w:pStyle w:val="NoSpacing"/>
        <w:rPr>
          <w:rFonts w:ascii="Times New Roman" w:hAnsi="Times New Roman"/>
          <w:sz w:val="24"/>
          <w:szCs w:val="24"/>
        </w:rPr>
      </w:pPr>
    </w:p>
    <w:p w14:paraId="1526EAFD" w14:textId="34F33A36"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xml:space="preserve">Note: See the Concurring Opinion by Judge Monic Gordo – </w:t>
      </w:r>
      <w:r>
        <w:rPr>
          <w:rFonts w:ascii="Times New Roman" w:hAnsi="Times New Roman"/>
          <w:sz w:val="24"/>
          <w:szCs w:val="24"/>
        </w:rPr>
        <w:t xml:space="preserve">Code violations </w:t>
      </w:r>
      <w:r w:rsidRPr="00C30ADD">
        <w:rPr>
          <w:rFonts w:ascii="Times New Roman" w:hAnsi="Times New Roman"/>
          <w:sz w:val="24"/>
          <w:szCs w:val="24"/>
        </w:rPr>
        <w:t xml:space="preserve">“SHOCK THE CONCIOUS.”  </w:t>
      </w:r>
    </w:p>
    <w:p w14:paraId="11119D5E" w14:textId="77777777" w:rsidR="00C30ADD" w:rsidRPr="00C30ADD" w:rsidRDefault="00C30ADD" w:rsidP="00C30ADD">
      <w:pPr>
        <w:pStyle w:val="NoSpacing"/>
        <w:ind w:firstLine="720"/>
        <w:rPr>
          <w:rFonts w:ascii="Times New Roman" w:hAnsi="Times New Roman"/>
          <w:sz w:val="24"/>
          <w:szCs w:val="24"/>
        </w:rPr>
      </w:pPr>
    </w:p>
    <w:p w14:paraId="6BCECE20"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“In my view, this case presents a perfect example of the kind of allegations that, if proven to be true, not only shock the conscience but are likely to merit punitive damages.</w:t>
      </w:r>
    </w:p>
    <w:p w14:paraId="77C69D8E" w14:textId="77777777" w:rsidR="00C30ADD" w:rsidRPr="00C30ADD" w:rsidRDefault="00C30ADD" w:rsidP="00C30ADD">
      <w:pPr>
        <w:pStyle w:val="NoSpacing"/>
        <w:ind w:firstLine="720"/>
        <w:rPr>
          <w:rFonts w:ascii="Times New Roman" w:hAnsi="Times New Roman"/>
          <w:sz w:val="24"/>
          <w:szCs w:val="24"/>
        </w:rPr>
      </w:pPr>
      <w:r w:rsidRPr="00C30ADD">
        <w:rPr>
          <w:rFonts w:ascii="Times New Roman" w:hAnsi="Times New Roman"/>
          <w:sz w:val="24"/>
          <w:szCs w:val="24"/>
        </w:rPr>
        <w:t>The proffer by the plaintiff in this case included evidence that the appellants:</w:t>
      </w:r>
    </w:p>
    <w:p w14:paraId="19973B36" w14:textId="77777777" w:rsidR="00C30ADD" w:rsidRPr="00C30ADD" w:rsidRDefault="00C30ADD" w:rsidP="00C30ADD">
      <w:pPr>
        <w:pStyle w:val="NoSpacing"/>
        <w:ind w:firstLine="720"/>
        <w:rPr>
          <w:rFonts w:ascii="Times New Roman" w:hAnsi="Times New Roman"/>
          <w:sz w:val="24"/>
          <w:szCs w:val="24"/>
        </w:rPr>
      </w:pPr>
    </w:p>
    <w:p w14:paraId="59C74C60"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Engaged in fire safety violations that date back decades and which continued through the date of the subject fire resulting in repeated fines and reprimands from authorities;</w:t>
      </w:r>
    </w:p>
    <w:p w14:paraId="4DC9DCD6"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Have been fined at least $6.5 million for fire related violations, including the imposition of a daily fine of $1,000.00 for each day of noncompliance starting from April 1, </w:t>
      </w:r>
      <w:proofErr w:type="gramStart"/>
      <w:r w:rsidRPr="00C30ADD">
        <w:rPr>
          <w:rFonts w:ascii="Times New Roman" w:hAnsi="Times New Roman"/>
          <w:sz w:val="24"/>
          <w:szCs w:val="24"/>
        </w:rPr>
        <w:t>2018</w:t>
      </w:r>
      <w:proofErr w:type="gramEnd"/>
      <w:r w:rsidRPr="00C30ADD">
        <w:rPr>
          <w:rFonts w:ascii="Times New Roman" w:hAnsi="Times New Roman"/>
          <w:sz w:val="24"/>
          <w:szCs w:val="24"/>
        </w:rPr>
        <w:t xml:space="preserve"> through the date of the subject fire;</w:t>
      </w:r>
    </w:p>
    <w:p w14:paraId="5429CF0A"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Failed to meet their own submitted compliance deadlines and the City of Miami Beach’s compliance deadlines to install legally required sprinklers in all units on multiple floors, including the unit where the appellants moved the plaintiff and the decedent;</w:t>
      </w:r>
    </w:p>
    <w:p w14:paraId="62F88F8B"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Implemented a life-threatening policy whereby security guards and employees were instructed and required to acknowledge and then silence fire alarms immediately upon them sounding;</w:t>
      </w:r>
    </w:p>
    <w:p w14:paraId="74A7AA53"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w:t>
      </w:r>
      <w:proofErr w:type="gramStart"/>
      <w:r w:rsidRPr="00C30ADD">
        <w:rPr>
          <w:rFonts w:ascii="Times New Roman" w:hAnsi="Times New Roman"/>
          <w:sz w:val="24"/>
          <w:szCs w:val="24"/>
        </w:rPr>
        <w:t>Specifically</w:t>
      </w:r>
      <w:proofErr w:type="gramEnd"/>
      <w:r w:rsidRPr="00C30ADD">
        <w:rPr>
          <w:rFonts w:ascii="Times New Roman" w:hAnsi="Times New Roman"/>
          <w:sz w:val="24"/>
          <w:szCs w:val="24"/>
        </w:rPr>
        <w:t xml:space="preserve"> and consciously placed the decedent, who was legally blind, in a unit on the fifteenth floor—a floor the City of Miami Beach Special Master had previously determined to be unsafe and on which the appellants were prohibited from placing tenants;</w:t>
      </w:r>
    </w:p>
    <w:p w14:paraId="5F3E2265"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w:t>
      </w:r>
      <w:proofErr w:type="gramStart"/>
      <w:r w:rsidRPr="00C30ADD">
        <w:rPr>
          <w:rFonts w:ascii="Times New Roman" w:hAnsi="Times New Roman"/>
          <w:sz w:val="24"/>
          <w:szCs w:val="24"/>
        </w:rPr>
        <w:t>Specifically</w:t>
      </w:r>
      <w:proofErr w:type="gramEnd"/>
      <w:r w:rsidRPr="00C30ADD">
        <w:rPr>
          <w:rFonts w:ascii="Times New Roman" w:hAnsi="Times New Roman"/>
          <w:sz w:val="24"/>
          <w:szCs w:val="24"/>
        </w:rPr>
        <w:t xml:space="preserve"> and consciously placed the decedent in a unit on the fifteenth floor which lacked, among other things: (1) fire sprinklers, (2) the minimum number of code-compliant smoke alarms and/or detectors, (3) code-compliant smoke alarms and/or detectors (the subject smoke detection device expired in 2005) and (4) adequately maintained standpipes which provide a water supply; and </w:t>
      </w:r>
    </w:p>
    <w:p w14:paraId="6DBA5A6D" w14:textId="77777777" w:rsidR="00C30ADD" w:rsidRPr="00C30ADD" w:rsidRDefault="00C30ADD" w:rsidP="00C30ADD">
      <w:pPr>
        <w:pStyle w:val="NoSpacing"/>
        <w:rPr>
          <w:rFonts w:ascii="Times New Roman" w:hAnsi="Times New Roman"/>
          <w:sz w:val="24"/>
          <w:szCs w:val="24"/>
        </w:rPr>
      </w:pPr>
    </w:p>
    <w:p w14:paraId="212BEA5B"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xml:space="preserve">• Continued to conduct hotel operations in violation of applicable codes, laws and administrative orders.” </w:t>
      </w:r>
    </w:p>
    <w:p w14:paraId="2CCA681F" w14:textId="77777777" w:rsidR="00C30ADD" w:rsidRDefault="00C30ADD" w:rsidP="00C30ADD">
      <w:pPr>
        <w:pStyle w:val="NoSpacing"/>
      </w:pPr>
    </w:p>
    <w:p w14:paraId="6C09368A" w14:textId="77777777" w:rsidR="00C30ADD" w:rsidRDefault="00C30ADD" w:rsidP="00C30ADD">
      <w:pPr>
        <w:pStyle w:val="NoSpacing"/>
      </w:pPr>
    </w:p>
    <w:p w14:paraId="7A44850F" w14:textId="77777777" w:rsidR="00E02F60" w:rsidRPr="00324C50" w:rsidRDefault="00E02F60" w:rsidP="00324C50">
      <w:pPr>
        <w:pStyle w:val="NoSpacing"/>
        <w:rPr>
          <w:rFonts w:ascii="Times New Roman" w:hAnsi="Times New Roman"/>
          <w:sz w:val="24"/>
          <w:szCs w:val="24"/>
        </w:rPr>
      </w:pPr>
    </w:p>
    <w:p w14:paraId="22478134" w14:textId="77777777" w:rsidR="00324C50" w:rsidRDefault="00324C50" w:rsidP="00B86628">
      <w:pPr>
        <w:pStyle w:val="NoSpacing"/>
        <w:rPr>
          <w:rFonts w:ascii="Arial Black" w:hAnsi="Arial Black"/>
          <w:sz w:val="24"/>
          <w:szCs w:val="24"/>
        </w:rPr>
      </w:pPr>
    </w:p>
    <w:p w14:paraId="724B468E" w14:textId="77777777" w:rsidR="00324C50" w:rsidRDefault="00324C50" w:rsidP="00B86628">
      <w:pPr>
        <w:pStyle w:val="NoSpacing"/>
        <w:rPr>
          <w:rFonts w:ascii="Arial Black" w:hAnsi="Arial Black"/>
          <w:sz w:val="24"/>
          <w:szCs w:val="24"/>
        </w:rPr>
      </w:pPr>
    </w:p>
    <w:p w14:paraId="13841FA7" w14:textId="77777777" w:rsidR="00324C50" w:rsidRDefault="00324C50" w:rsidP="00B86628">
      <w:pPr>
        <w:pStyle w:val="NoSpacing"/>
        <w:rPr>
          <w:rFonts w:ascii="Arial Black" w:hAnsi="Arial Black"/>
          <w:sz w:val="24"/>
          <w:szCs w:val="24"/>
        </w:rPr>
      </w:pPr>
    </w:p>
    <w:p w14:paraId="10ABDE7C" w14:textId="77777777" w:rsidR="00324C50" w:rsidRDefault="00324C50" w:rsidP="00B86628">
      <w:pPr>
        <w:pStyle w:val="NoSpacing"/>
        <w:rPr>
          <w:rFonts w:ascii="Arial Black" w:hAnsi="Arial Black"/>
          <w:sz w:val="24"/>
          <w:szCs w:val="24"/>
        </w:rPr>
      </w:pPr>
    </w:p>
    <w:p w14:paraId="079366CF" w14:textId="4EBF0190" w:rsidR="00AC44B8" w:rsidRDefault="007A4EAE" w:rsidP="00B86628">
      <w:pPr>
        <w:pStyle w:val="NoSpacing"/>
        <w:rPr>
          <w:rFonts w:ascii="Arial Black" w:hAnsi="Arial Black"/>
          <w:sz w:val="24"/>
          <w:szCs w:val="24"/>
        </w:rPr>
      </w:pPr>
      <w:r>
        <w:rPr>
          <w:rFonts w:ascii="Arial Black" w:hAnsi="Arial Black"/>
          <w:sz w:val="24"/>
          <w:szCs w:val="24"/>
        </w:rPr>
        <w:t>1-182</w:t>
      </w:r>
    </w:p>
    <w:p w14:paraId="08D66F7C" w14:textId="77777777" w:rsidR="00261BA4" w:rsidRDefault="00261BA4" w:rsidP="00B86628">
      <w:pPr>
        <w:pStyle w:val="NoSpacing"/>
        <w:rPr>
          <w:rFonts w:ascii="Arial Black" w:hAnsi="Arial Black"/>
          <w:sz w:val="24"/>
          <w:szCs w:val="24"/>
        </w:rPr>
      </w:pPr>
    </w:p>
    <w:p w14:paraId="4B605433" w14:textId="77777777" w:rsidR="00261BA4" w:rsidRDefault="00261BA4" w:rsidP="00261BA4">
      <w:pPr>
        <w:pStyle w:val="NoSpacing"/>
        <w:rPr>
          <w:rFonts w:ascii="Arial Black" w:hAnsi="Arial Black"/>
          <w:bCs/>
          <w:sz w:val="28"/>
          <w:szCs w:val="28"/>
        </w:rPr>
      </w:pPr>
      <w:r>
        <w:rPr>
          <w:rFonts w:ascii="Arial Black" w:hAnsi="Arial Black"/>
          <w:sz w:val="28"/>
          <w:szCs w:val="28"/>
        </w:rPr>
        <w:t>OH: HOUSE DEMOL – NOTIFY OWNER UNLESS FD “EMERG”</w:t>
      </w:r>
    </w:p>
    <w:p w14:paraId="498AFA76" w14:textId="77777777" w:rsidR="00261BA4" w:rsidRDefault="00261BA4" w:rsidP="00261BA4">
      <w:pPr>
        <w:pStyle w:val="NoSpacing"/>
      </w:pPr>
    </w:p>
    <w:p w14:paraId="73B75F6D" w14:textId="77777777"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 xml:space="preserve">On May 23, 2025, in </w:t>
      </w:r>
      <w:r w:rsidRPr="00261BA4">
        <w:rPr>
          <w:rFonts w:ascii="Times New Roman" w:hAnsi="Times New Roman"/>
          <w:sz w:val="24"/>
          <w:szCs w:val="24"/>
          <w:u w:val="single"/>
        </w:rPr>
        <w:t>Matthew J. Nicholson v. City of Youngstown, Ohio et al</w:t>
      </w:r>
      <w:r w:rsidRPr="00261BA4">
        <w:rPr>
          <w:rFonts w:ascii="Times New Roman" w:hAnsi="Times New Roman"/>
          <w:sz w:val="24"/>
          <w:szCs w:val="24"/>
        </w:rPr>
        <w:t xml:space="preserve">, the Ohio Court of Appeals for Seventh District (Mahoning) held (3 to 0) that trial court improperly granted summary judgment to the City, since owner was never notified prior to the demolition.  Case returned to trial court; the </w:t>
      </w:r>
      <w:proofErr w:type="gramStart"/>
      <w:r w:rsidRPr="00261BA4">
        <w:rPr>
          <w:rFonts w:ascii="Times New Roman" w:hAnsi="Times New Roman"/>
          <w:sz w:val="24"/>
          <w:szCs w:val="24"/>
        </w:rPr>
        <w:t>City</w:t>
      </w:r>
      <w:proofErr w:type="gramEnd"/>
      <w:r w:rsidRPr="00261BA4">
        <w:rPr>
          <w:rFonts w:ascii="Times New Roman" w:hAnsi="Times New Roman"/>
          <w:sz w:val="24"/>
          <w:szCs w:val="24"/>
        </w:rPr>
        <w:t xml:space="preserve"> must file affidavit or other proof than “emergency” existed </w:t>
      </w:r>
      <w:proofErr w:type="gramStart"/>
      <w:r w:rsidRPr="00261BA4">
        <w:rPr>
          <w:rFonts w:ascii="Times New Roman" w:hAnsi="Times New Roman"/>
          <w:sz w:val="24"/>
          <w:szCs w:val="24"/>
        </w:rPr>
        <w:t>in order to</w:t>
      </w:r>
      <w:proofErr w:type="gramEnd"/>
      <w:r w:rsidRPr="00261BA4">
        <w:rPr>
          <w:rFonts w:ascii="Times New Roman" w:hAnsi="Times New Roman"/>
          <w:sz w:val="24"/>
          <w:szCs w:val="24"/>
        </w:rPr>
        <w:t xml:space="preserve"> collect $7,038.05 demolition charge.</w:t>
      </w:r>
    </w:p>
    <w:p w14:paraId="5CD4BB47" w14:textId="77777777" w:rsidR="00261BA4" w:rsidRPr="00261BA4" w:rsidRDefault="00261BA4" w:rsidP="00261BA4">
      <w:pPr>
        <w:pStyle w:val="NoSpacing"/>
        <w:rPr>
          <w:rFonts w:ascii="Times New Roman" w:hAnsi="Times New Roman"/>
          <w:sz w:val="24"/>
          <w:szCs w:val="24"/>
        </w:rPr>
      </w:pPr>
    </w:p>
    <w:p w14:paraId="6821752C" w14:textId="77777777"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The Court wrote:</w:t>
      </w:r>
    </w:p>
    <w:p w14:paraId="669905C7" w14:textId="77777777" w:rsidR="00261BA4" w:rsidRPr="00261BA4" w:rsidRDefault="00261BA4" w:rsidP="00261BA4">
      <w:pPr>
        <w:pStyle w:val="NoSpacing"/>
        <w:ind w:left="720"/>
        <w:rPr>
          <w:rFonts w:ascii="Times New Roman" w:hAnsi="Times New Roman"/>
          <w:sz w:val="24"/>
          <w:szCs w:val="24"/>
        </w:rPr>
      </w:pPr>
    </w:p>
    <w:p w14:paraId="2A745151" w14:textId="177F999C"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 xml:space="preserve">Appellees [City] admitted they knew or should have known that Appellant was the owner of the property. In their trial court documents they argued that prior notice was unnecessary because the Fire Chief declared that the house was a public health hazard, that it created an immediate threat to public health and safety, and as such, its condition constituted an emergency. They cited Youngstown Codified Ordinance 1525.01(c) that allows the Fire Chief to order the demolition of any unsafe structure in case of an emergency. They also cited Youngstown Codified Ordinance 1309.04, stating that emergency demolitions require no prior notice to the property owner. They submitted no evidence in support of the alleged emergency.” </w:t>
      </w:r>
      <w:hyperlink r:id="rId86" w:history="1">
        <w:r w:rsidRPr="00261BA4">
          <w:rPr>
            <w:rStyle w:val="Hyperlink"/>
            <w:rFonts w:ascii="Times New Roman" w:hAnsi="Times New Roman"/>
            <w:sz w:val="24"/>
            <w:szCs w:val="24"/>
          </w:rPr>
          <w:t>https://www.supremecourt.ohio.gov/rod/docs/pdf/7/2025/2025-Ohio-1915.pdf</w:t>
        </w:r>
      </w:hyperlink>
    </w:p>
    <w:p w14:paraId="5575F720" w14:textId="77777777" w:rsidR="00AC44B8" w:rsidRDefault="00AC44B8" w:rsidP="00B86628">
      <w:pPr>
        <w:pStyle w:val="NoSpacing"/>
        <w:rPr>
          <w:rFonts w:ascii="Times New Roman" w:hAnsi="Times New Roman"/>
          <w:sz w:val="24"/>
          <w:szCs w:val="24"/>
        </w:rPr>
      </w:pPr>
    </w:p>
    <w:p w14:paraId="0CD4C78B" w14:textId="121426E2" w:rsidR="007959FD" w:rsidRDefault="007959FD" w:rsidP="007959FD">
      <w:pPr>
        <w:pStyle w:val="NoSpacing"/>
        <w:rPr>
          <w:rFonts w:ascii="Times New Roman" w:hAnsi="Times New Roman"/>
          <w:b/>
          <w:sz w:val="24"/>
          <w:szCs w:val="24"/>
        </w:rPr>
      </w:pPr>
      <w:r w:rsidRPr="007959FD">
        <w:rPr>
          <w:rFonts w:ascii="Times New Roman" w:hAnsi="Times New Roman"/>
          <w:b/>
          <w:sz w:val="24"/>
          <w:szCs w:val="24"/>
        </w:rPr>
        <w:t xml:space="preserve">Legal Lesson Learned: Unless a true emergency exists, </w:t>
      </w:r>
      <w:r w:rsidRPr="007959FD">
        <w:rPr>
          <w:rFonts w:ascii="Times New Roman" w:hAnsi="Times New Roman"/>
          <w:b/>
          <w:bCs/>
          <w:sz w:val="24"/>
          <w:szCs w:val="24"/>
        </w:rPr>
        <w:t>City cannot</w:t>
      </w:r>
      <w:r w:rsidRPr="007959FD">
        <w:rPr>
          <w:rFonts w:ascii="Times New Roman" w:hAnsi="Times New Roman"/>
          <w:b/>
          <w:sz w:val="24"/>
          <w:szCs w:val="24"/>
        </w:rPr>
        <w:t xml:space="preserve"> demolish a home without notice to owner and opportunity to challenge the demolition order.</w:t>
      </w:r>
    </w:p>
    <w:p w14:paraId="1B7D361E" w14:textId="77777777" w:rsidR="000C756B" w:rsidRDefault="000C756B" w:rsidP="007959FD">
      <w:pPr>
        <w:pStyle w:val="NoSpacing"/>
        <w:rPr>
          <w:rFonts w:ascii="Times New Roman" w:hAnsi="Times New Roman"/>
          <w:b/>
          <w:sz w:val="24"/>
          <w:szCs w:val="24"/>
        </w:rPr>
      </w:pPr>
    </w:p>
    <w:p w14:paraId="503E2A2A" w14:textId="77777777" w:rsidR="000C756B" w:rsidRDefault="000C756B" w:rsidP="007959FD">
      <w:pPr>
        <w:pStyle w:val="NoSpacing"/>
        <w:rPr>
          <w:rFonts w:ascii="Times New Roman" w:hAnsi="Times New Roman"/>
          <w:b/>
          <w:sz w:val="24"/>
          <w:szCs w:val="24"/>
        </w:rPr>
      </w:pPr>
    </w:p>
    <w:p w14:paraId="04C136D8" w14:textId="77777777" w:rsidR="000C756B" w:rsidRDefault="000C756B" w:rsidP="007959FD">
      <w:pPr>
        <w:pStyle w:val="NoSpacing"/>
        <w:rPr>
          <w:rFonts w:ascii="Times New Roman" w:hAnsi="Times New Roman"/>
          <w:b/>
          <w:sz w:val="24"/>
          <w:szCs w:val="24"/>
        </w:rPr>
      </w:pPr>
    </w:p>
    <w:p w14:paraId="3AE2205B" w14:textId="265FE5DD" w:rsidR="002249FF" w:rsidRDefault="007A4EAE" w:rsidP="000C756B">
      <w:pPr>
        <w:pStyle w:val="NoSpacing"/>
        <w:rPr>
          <w:rFonts w:ascii="Arial Black" w:hAnsi="Arial Black"/>
          <w:sz w:val="28"/>
          <w:szCs w:val="28"/>
        </w:rPr>
      </w:pPr>
      <w:r>
        <w:rPr>
          <w:rFonts w:ascii="Arial Black" w:hAnsi="Arial Black"/>
          <w:sz w:val="28"/>
          <w:szCs w:val="28"/>
        </w:rPr>
        <w:t>1-181</w:t>
      </w:r>
    </w:p>
    <w:p w14:paraId="6C45390C" w14:textId="77777777" w:rsidR="002249FF" w:rsidRDefault="002249FF" w:rsidP="000C756B">
      <w:pPr>
        <w:pStyle w:val="NoSpacing"/>
        <w:rPr>
          <w:rFonts w:ascii="Arial Black" w:hAnsi="Arial Black"/>
          <w:sz w:val="28"/>
          <w:szCs w:val="28"/>
        </w:rPr>
      </w:pPr>
    </w:p>
    <w:p w14:paraId="6EC78121" w14:textId="10000825" w:rsidR="000C756B" w:rsidRPr="006F2B87" w:rsidRDefault="000C756B" w:rsidP="000C756B">
      <w:pPr>
        <w:pStyle w:val="NoSpacing"/>
        <w:rPr>
          <w:rFonts w:ascii="Arial Black" w:hAnsi="Arial Black"/>
          <w:sz w:val="28"/>
          <w:szCs w:val="28"/>
        </w:rPr>
      </w:pPr>
      <w:r w:rsidRPr="006F2B87">
        <w:rPr>
          <w:rFonts w:ascii="Arial Black" w:hAnsi="Arial Black"/>
          <w:sz w:val="28"/>
          <w:szCs w:val="28"/>
        </w:rPr>
        <w:t>MA: CLASS ACTION - IONIZATION SMOKE ALARMS – EXPERT</w:t>
      </w:r>
    </w:p>
    <w:p w14:paraId="76B1B197" w14:textId="77777777" w:rsidR="000C756B" w:rsidRPr="006F2B87" w:rsidRDefault="000C756B" w:rsidP="000C756B">
      <w:pPr>
        <w:pStyle w:val="NoSpacing"/>
      </w:pPr>
    </w:p>
    <w:p w14:paraId="19F6EF8F" w14:textId="77777777" w:rsidR="000C756B" w:rsidRPr="000C756B" w:rsidRDefault="000C756B" w:rsidP="000C756B">
      <w:pPr>
        <w:pStyle w:val="NoSpacing"/>
        <w:rPr>
          <w:rFonts w:ascii="Times New Roman" w:hAnsi="Times New Roman"/>
          <w:sz w:val="24"/>
          <w:szCs w:val="24"/>
        </w:rPr>
      </w:pPr>
      <w:r w:rsidRPr="000C756B">
        <w:rPr>
          <w:rFonts w:ascii="Times New Roman" w:hAnsi="Times New Roman"/>
          <w:sz w:val="24"/>
          <w:szCs w:val="24"/>
        </w:rPr>
        <w:t xml:space="preserve">On May 16, 2025, in </w:t>
      </w:r>
      <w:r w:rsidRPr="000C756B">
        <w:rPr>
          <w:rFonts w:ascii="Times New Roman" w:hAnsi="Times New Roman"/>
          <w:sz w:val="24"/>
          <w:szCs w:val="24"/>
          <w:u w:val="single"/>
        </w:rPr>
        <w:t>Stephen Pons, Caroline Coleman, Charles Bellavia, and Terri Letzman, on behalf of themselves and all others similarly situated v. Walter Kidde Portable Equipment, d/b/a Kidde Safety Equipment and BRK Brands, Inc</w:t>
      </w:r>
      <w:r w:rsidRPr="000C756B">
        <w:rPr>
          <w:rFonts w:ascii="Times New Roman" w:hAnsi="Times New Roman"/>
          <w:sz w:val="24"/>
          <w:szCs w:val="24"/>
        </w:rPr>
        <w:t xml:space="preserve">., U.S. District Court Judge Julia E. </w:t>
      </w:r>
      <w:proofErr w:type="spellStart"/>
      <w:r w:rsidRPr="000C756B">
        <w:rPr>
          <w:rFonts w:ascii="Times New Roman" w:hAnsi="Times New Roman"/>
          <w:sz w:val="24"/>
          <w:szCs w:val="24"/>
        </w:rPr>
        <w:t>Kobick</w:t>
      </w:r>
      <w:proofErr w:type="spellEnd"/>
      <w:r w:rsidRPr="000C756B">
        <w:rPr>
          <w:rFonts w:ascii="Times New Roman" w:hAnsi="Times New Roman"/>
          <w:sz w:val="24"/>
          <w:szCs w:val="24"/>
        </w:rPr>
        <w:t xml:space="preserve">, United States District Court for the District of Massachusetts, held that the defense is entitled to e-mails and other documents exchanged between Joseph Flemming, former Deputy Fire Chief of the Boston Fire Department, and plaintiffs’ legal counsel, even if he was not retained as expert witness for plaintiffs in this class action filed in California.  Chief Flemming’s deposition was taken in Boston on Feb. 27, </w:t>
      </w:r>
      <w:proofErr w:type="gramStart"/>
      <w:r w:rsidRPr="000C756B">
        <w:rPr>
          <w:rFonts w:ascii="Times New Roman" w:hAnsi="Times New Roman"/>
          <w:sz w:val="24"/>
          <w:szCs w:val="24"/>
        </w:rPr>
        <w:t>2025</w:t>
      </w:r>
      <w:proofErr w:type="gramEnd"/>
      <w:r w:rsidRPr="000C756B">
        <w:rPr>
          <w:rFonts w:ascii="Times New Roman" w:hAnsi="Times New Roman"/>
          <w:sz w:val="24"/>
          <w:szCs w:val="24"/>
        </w:rPr>
        <w:t xml:space="preserve"> by both sides.  </w:t>
      </w:r>
    </w:p>
    <w:p w14:paraId="3151049C" w14:textId="77777777" w:rsidR="000C756B" w:rsidRPr="000C756B" w:rsidRDefault="000C756B" w:rsidP="000C756B">
      <w:pPr>
        <w:pStyle w:val="NoSpacing"/>
        <w:rPr>
          <w:rFonts w:ascii="Times New Roman" w:hAnsi="Times New Roman"/>
          <w:sz w:val="24"/>
          <w:szCs w:val="24"/>
        </w:rPr>
      </w:pPr>
    </w:p>
    <w:p w14:paraId="0C2AAF57" w14:textId="77777777" w:rsidR="000C756B" w:rsidRPr="000C756B" w:rsidRDefault="000C756B" w:rsidP="000C756B">
      <w:pPr>
        <w:pStyle w:val="NoSpacing"/>
        <w:rPr>
          <w:rFonts w:ascii="Times New Roman" w:hAnsi="Times New Roman"/>
          <w:sz w:val="24"/>
          <w:szCs w:val="24"/>
        </w:rPr>
      </w:pPr>
      <w:r w:rsidRPr="000C756B">
        <w:rPr>
          <w:rFonts w:ascii="Times New Roman" w:hAnsi="Times New Roman"/>
          <w:sz w:val="24"/>
          <w:szCs w:val="24"/>
        </w:rPr>
        <w:t xml:space="preserve">The Court wrote: “Joseph Fleming is a former Deputy Fire Chief of the Boston Fire Department…. He is a ‘longtime, vocal advocate of restricting the use of ionization-only devices’ and ‘has testified as an expert in numerous cases over the past couple of decades involving deaths or grave injuries in which an ionization device did not timely sound during a home fire.’… Between April and July 2024, he exchanged about twenty emails with plaintiffs’ counsel regarding his potential engagement as an expert witness…. Ultimately, Fleming was not retained, but the plaintiffs subpoenaed Fleming as a fact witness for a February 27, </w:t>
      </w:r>
      <w:proofErr w:type="gramStart"/>
      <w:r w:rsidRPr="000C756B">
        <w:rPr>
          <w:rFonts w:ascii="Times New Roman" w:hAnsi="Times New Roman"/>
          <w:sz w:val="24"/>
          <w:szCs w:val="24"/>
        </w:rPr>
        <w:t>2025</w:t>
      </w:r>
      <w:proofErr w:type="gramEnd"/>
      <w:r w:rsidRPr="000C756B">
        <w:rPr>
          <w:rFonts w:ascii="Times New Roman" w:hAnsi="Times New Roman"/>
          <w:sz w:val="24"/>
          <w:szCs w:val="24"/>
        </w:rPr>
        <w:t xml:space="preserve"> deposition to testify about his participation on a committee of Underwriters Laboratories, Inc., which ‘sets the standards and protocols for laboratory testing of home smoke alarm products.’ …  As part of his work on that committee, Fleming supported the development of new fire testing requirements, which resulted in design changes to smoke detectors made by Kidde and co-defendant BRK Brands Inc. *** [Plaintiffs] on behalf of themselves and all others similarly situated, have moved for a protective order against a subpoena for documents issued by defendant Walter Kidde Portable Equipment, Inc. to third-party fact witness Joseph Fleming. </w:t>
      </w:r>
      <w:proofErr w:type="gramStart"/>
      <w:r w:rsidRPr="000C756B">
        <w:rPr>
          <w:rFonts w:ascii="Times New Roman" w:hAnsi="Times New Roman"/>
          <w:sz w:val="24"/>
          <w:szCs w:val="24"/>
        </w:rPr>
        <w:t>For the reasons that</w:t>
      </w:r>
      <w:proofErr w:type="gramEnd"/>
      <w:r w:rsidRPr="000C756B">
        <w:rPr>
          <w:rFonts w:ascii="Times New Roman" w:hAnsi="Times New Roman"/>
          <w:sz w:val="24"/>
          <w:szCs w:val="24"/>
        </w:rPr>
        <w:t xml:space="preserve"> follow, that motion, which will be construed as a motion to quash, will be denied…. In short, the plaintiffs have waived their privilege against disclosure of work product contained in their counsels’ emails with Fleming, and they are not entitled to an order quashing Kidde’s document subpoena.” </w:t>
      </w:r>
      <w:hyperlink r:id="rId87" w:history="1">
        <w:r w:rsidRPr="000C756B">
          <w:rPr>
            <w:rStyle w:val="Hyperlink"/>
            <w:rFonts w:ascii="Times New Roman" w:hAnsi="Times New Roman"/>
            <w:sz w:val="24"/>
            <w:szCs w:val="24"/>
          </w:rPr>
          <w:t>https://cases.justia.com/federal/district-courts/massachusetts/madce/1:2025mc91106/281992/17/0.pdf?ts=1747471889</w:t>
        </w:r>
      </w:hyperlink>
      <w:r w:rsidRPr="000C756B">
        <w:rPr>
          <w:rFonts w:ascii="Times New Roman" w:hAnsi="Times New Roman"/>
          <w:sz w:val="24"/>
          <w:szCs w:val="24"/>
        </w:rPr>
        <w:t xml:space="preserve"> </w:t>
      </w:r>
    </w:p>
    <w:p w14:paraId="551DAECB" w14:textId="77777777" w:rsidR="000C756B" w:rsidRDefault="000C756B" w:rsidP="007959FD">
      <w:pPr>
        <w:pStyle w:val="NoSpacing"/>
        <w:rPr>
          <w:rFonts w:ascii="Times New Roman" w:hAnsi="Times New Roman"/>
          <w:b/>
          <w:bCs/>
          <w:sz w:val="24"/>
          <w:szCs w:val="24"/>
        </w:rPr>
      </w:pPr>
    </w:p>
    <w:p w14:paraId="406391F8" w14:textId="49AA1092" w:rsidR="002B2465" w:rsidRPr="002B2465" w:rsidRDefault="002B2465" w:rsidP="002B2465">
      <w:pPr>
        <w:pStyle w:val="NoSpacing"/>
        <w:rPr>
          <w:rFonts w:ascii="Times New Roman" w:hAnsi="Times New Roman"/>
          <w:b/>
          <w:bCs/>
          <w:sz w:val="24"/>
          <w:szCs w:val="24"/>
        </w:rPr>
      </w:pPr>
      <w:r w:rsidRPr="002B2465">
        <w:rPr>
          <w:rFonts w:ascii="Times New Roman" w:hAnsi="Times New Roman"/>
          <w:b/>
          <w:sz w:val="24"/>
          <w:szCs w:val="24"/>
        </w:rPr>
        <w:t>Legal Lesson Learned: Expert witnesses can be deposed, and their communications with plaintiff’s counsel can be subject</w:t>
      </w:r>
      <w:r w:rsidRPr="002B2465">
        <w:rPr>
          <w:rFonts w:ascii="Times New Roman" w:hAnsi="Times New Roman"/>
          <w:b/>
          <w:bCs/>
          <w:sz w:val="24"/>
          <w:szCs w:val="24"/>
        </w:rPr>
        <w:t xml:space="preserve"> of pre-trial discovery</w:t>
      </w:r>
      <w:r w:rsidR="00691181">
        <w:rPr>
          <w:rFonts w:ascii="Times New Roman" w:hAnsi="Times New Roman"/>
          <w:b/>
          <w:sz w:val="24"/>
          <w:szCs w:val="24"/>
        </w:rPr>
        <w:t xml:space="preserve"> issues.</w:t>
      </w:r>
    </w:p>
    <w:p w14:paraId="46E3B14F" w14:textId="77777777" w:rsidR="002B2465" w:rsidRPr="002B2465" w:rsidRDefault="002B2465" w:rsidP="002B2465">
      <w:pPr>
        <w:pStyle w:val="NoSpacing"/>
        <w:rPr>
          <w:rFonts w:ascii="Times New Roman" w:hAnsi="Times New Roman"/>
          <w:b/>
          <w:bCs/>
          <w:sz w:val="24"/>
          <w:szCs w:val="24"/>
        </w:rPr>
      </w:pPr>
    </w:p>
    <w:p w14:paraId="2815F1DA"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 xml:space="preserve">Note: See April 2, </w:t>
      </w:r>
      <w:proofErr w:type="gramStart"/>
      <w:r w:rsidRPr="002B2465">
        <w:rPr>
          <w:rFonts w:ascii="Times New Roman" w:hAnsi="Times New Roman"/>
          <w:sz w:val="24"/>
          <w:szCs w:val="24"/>
        </w:rPr>
        <w:t>2025</w:t>
      </w:r>
      <w:proofErr w:type="gramEnd"/>
      <w:r w:rsidRPr="002B2465">
        <w:rPr>
          <w:rFonts w:ascii="Times New Roman" w:hAnsi="Times New Roman"/>
          <w:sz w:val="24"/>
          <w:szCs w:val="24"/>
        </w:rPr>
        <w:t xml:space="preserve"> video on Ionization v. Photoelectric alarms: </w:t>
      </w:r>
      <w:hyperlink r:id="rId88" w:history="1">
        <w:r w:rsidRPr="002B2465">
          <w:rPr>
            <w:rStyle w:val="Hyperlink"/>
            <w:rFonts w:ascii="Times New Roman" w:hAnsi="Times New Roman"/>
            <w:sz w:val="24"/>
            <w:szCs w:val="24"/>
          </w:rPr>
          <w:t>https://www.youtube.com/watch?v=pYAlJLy1R8U</w:t>
        </w:r>
      </w:hyperlink>
      <w:r w:rsidRPr="002B2465">
        <w:rPr>
          <w:rFonts w:ascii="Times New Roman" w:hAnsi="Times New Roman"/>
          <w:sz w:val="24"/>
          <w:szCs w:val="24"/>
        </w:rPr>
        <w:t xml:space="preserve"> </w:t>
      </w:r>
    </w:p>
    <w:p w14:paraId="6CEBFCFA" w14:textId="77777777" w:rsidR="002B2465" w:rsidRPr="002B2465" w:rsidRDefault="002B2465" w:rsidP="002B2465">
      <w:pPr>
        <w:pStyle w:val="NoSpacing"/>
        <w:ind w:left="720"/>
        <w:rPr>
          <w:rFonts w:ascii="Times New Roman" w:hAnsi="Times New Roman"/>
          <w:sz w:val="24"/>
          <w:szCs w:val="24"/>
        </w:rPr>
      </w:pPr>
    </w:p>
    <w:p w14:paraId="3454F948"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 xml:space="preserve">See also: U.S. Fire Administration publication. </w:t>
      </w:r>
      <w:hyperlink r:id="rId89" w:history="1">
        <w:r w:rsidRPr="002B2465">
          <w:rPr>
            <w:rStyle w:val="Hyperlink"/>
            <w:rFonts w:ascii="Times New Roman" w:hAnsi="Times New Roman"/>
            <w:sz w:val="24"/>
            <w:szCs w:val="24"/>
          </w:rPr>
          <w:t>https://www.usfa.fema.gov/prevention/home-fires/prepare-for-fire/smoke-alarms/</w:t>
        </w:r>
      </w:hyperlink>
      <w:r w:rsidRPr="002B2465">
        <w:rPr>
          <w:rFonts w:ascii="Times New Roman" w:hAnsi="Times New Roman"/>
          <w:sz w:val="24"/>
          <w:szCs w:val="24"/>
        </w:rPr>
        <w:t xml:space="preserve"> </w:t>
      </w:r>
    </w:p>
    <w:p w14:paraId="3AEC1FBD"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“There are many brands of smoke alarms on the market, but they fall under 2 basic types: ionization and photoelectric. Ionization and photoelectric smoke alarms detect different types of fires. Since no one can predict what type of fire might start in their home, the U.S. Fire Administration recommends that every home and place where people sleep have:</w:t>
      </w:r>
    </w:p>
    <w:p w14:paraId="0F8A74AC" w14:textId="77777777" w:rsidR="002B2465" w:rsidRPr="002B2465" w:rsidRDefault="002B2465" w:rsidP="002B2465">
      <w:pPr>
        <w:pStyle w:val="NoSpacing"/>
        <w:numPr>
          <w:ilvl w:val="0"/>
          <w:numId w:val="27"/>
        </w:numPr>
        <w:rPr>
          <w:rFonts w:ascii="Times New Roman" w:hAnsi="Times New Roman"/>
          <w:sz w:val="24"/>
          <w:szCs w:val="24"/>
        </w:rPr>
      </w:pPr>
      <w:r w:rsidRPr="002B2465">
        <w:rPr>
          <w:rFonts w:ascii="Times New Roman" w:hAnsi="Times New Roman"/>
          <w:sz w:val="24"/>
          <w:szCs w:val="24"/>
        </w:rPr>
        <w:t>Both ionization AND photoelectric smoke alarms, OR</w:t>
      </w:r>
    </w:p>
    <w:p w14:paraId="4DAAAA3F" w14:textId="77777777" w:rsidR="002B2465" w:rsidRPr="002B2465" w:rsidRDefault="002B2465" w:rsidP="002B2465">
      <w:pPr>
        <w:pStyle w:val="NoSpacing"/>
        <w:numPr>
          <w:ilvl w:val="0"/>
          <w:numId w:val="27"/>
        </w:numPr>
        <w:rPr>
          <w:rFonts w:ascii="Times New Roman" w:hAnsi="Times New Roman"/>
          <w:sz w:val="24"/>
          <w:szCs w:val="24"/>
        </w:rPr>
      </w:pPr>
      <w:r w:rsidRPr="002B2465">
        <w:rPr>
          <w:rFonts w:ascii="Times New Roman" w:hAnsi="Times New Roman"/>
          <w:sz w:val="24"/>
          <w:szCs w:val="24"/>
        </w:rPr>
        <w:t>Dual-sensor smoke alarms, which contain both ionization and photoelectric smoke sensors.</w:t>
      </w:r>
    </w:p>
    <w:p w14:paraId="275222D5" w14:textId="77777777" w:rsidR="002B2465" w:rsidRPr="002B2465" w:rsidRDefault="002B2465" w:rsidP="002B2465">
      <w:pPr>
        <w:pStyle w:val="NoSpacing"/>
        <w:ind w:firstLine="720"/>
        <w:rPr>
          <w:rFonts w:ascii="Times New Roman" w:hAnsi="Times New Roman"/>
          <w:sz w:val="24"/>
          <w:szCs w:val="24"/>
        </w:rPr>
      </w:pPr>
      <w:r w:rsidRPr="002B2465">
        <w:rPr>
          <w:rFonts w:ascii="Times New Roman" w:hAnsi="Times New Roman"/>
          <w:sz w:val="24"/>
          <w:szCs w:val="24"/>
        </w:rPr>
        <w:t>Choose interconnected smoke alarms so that when one sounds, they all sound.</w:t>
      </w:r>
    </w:p>
    <w:p w14:paraId="150F0718" w14:textId="77777777" w:rsid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There are also alarms for people with hearing loss. These alarms may have strobe lights that flash and/or vibrate to alert those who are unable to hear standard smoke alarms when they sound.”</w:t>
      </w:r>
    </w:p>
    <w:p w14:paraId="5788AC45" w14:textId="77777777" w:rsidR="00A35301" w:rsidRDefault="00A35301" w:rsidP="002B2465">
      <w:pPr>
        <w:pStyle w:val="NoSpacing"/>
        <w:ind w:left="720"/>
        <w:rPr>
          <w:rFonts w:ascii="Times New Roman" w:hAnsi="Times New Roman"/>
          <w:sz w:val="24"/>
          <w:szCs w:val="24"/>
        </w:rPr>
      </w:pPr>
    </w:p>
    <w:p w14:paraId="5B2C1940" w14:textId="77777777" w:rsidR="00A35301" w:rsidRDefault="00A35301" w:rsidP="002B2465">
      <w:pPr>
        <w:pStyle w:val="NoSpacing"/>
        <w:ind w:left="720"/>
        <w:rPr>
          <w:rFonts w:ascii="Times New Roman" w:hAnsi="Times New Roman"/>
          <w:sz w:val="24"/>
          <w:szCs w:val="24"/>
        </w:rPr>
      </w:pPr>
    </w:p>
    <w:p w14:paraId="14C6B2DD" w14:textId="61868A1E" w:rsidR="00A35301" w:rsidRPr="002249FF" w:rsidRDefault="007A4EAE" w:rsidP="002249FF">
      <w:pPr>
        <w:pStyle w:val="NoSpacing"/>
        <w:rPr>
          <w:rFonts w:ascii="Arial Black" w:hAnsi="Arial Black"/>
          <w:sz w:val="24"/>
          <w:szCs w:val="24"/>
        </w:rPr>
      </w:pPr>
      <w:r>
        <w:rPr>
          <w:rFonts w:ascii="Arial Black" w:hAnsi="Arial Black"/>
          <w:sz w:val="24"/>
          <w:szCs w:val="24"/>
        </w:rPr>
        <w:t>1-180</w:t>
      </w:r>
    </w:p>
    <w:p w14:paraId="17D352EB" w14:textId="77777777" w:rsidR="00A35301" w:rsidRDefault="00A35301" w:rsidP="002B2465">
      <w:pPr>
        <w:pStyle w:val="NoSpacing"/>
        <w:ind w:left="720"/>
        <w:rPr>
          <w:rFonts w:ascii="Times New Roman" w:hAnsi="Times New Roman"/>
          <w:sz w:val="24"/>
          <w:szCs w:val="24"/>
        </w:rPr>
      </w:pPr>
    </w:p>
    <w:p w14:paraId="16B7B5B8" w14:textId="790187C4" w:rsidR="00A35301" w:rsidRPr="006F2B87" w:rsidRDefault="00A35301" w:rsidP="00A35301">
      <w:pPr>
        <w:pStyle w:val="NoSpacing"/>
        <w:rPr>
          <w:rFonts w:ascii="Arial Black" w:hAnsi="Arial Black"/>
          <w:sz w:val="28"/>
          <w:szCs w:val="28"/>
        </w:rPr>
      </w:pPr>
      <w:r w:rsidRPr="006F2B87">
        <w:rPr>
          <w:rFonts w:ascii="Arial Black" w:hAnsi="Arial Black"/>
          <w:sz w:val="28"/>
          <w:szCs w:val="28"/>
        </w:rPr>
        <w:t>A</w:t>
      </w:r>
      <w:r w:rsidR="00376E23">
        <w:rPr>
          <w:rFonts w:ascii="Arial Black" w:hAnsi="Arial Black"/>
          <w:sz w:val="28"/>
          <w:szCs w:val="28"/>
        </w:rPr>
        <w:t>Z</w:t>
      </w:r>
      <w:r w:rsidRPr="006F2B87">
        <w:rPr>
          <w:rFonts w:ascii="Arial Black" w:hAnsi="Arial Black"/>
          <w:sz w:val="28"/>
          <w:szCs w:val="28"/>
        </w:rPr>
        <w:t xml:space="preserve">: ARSON – VEHICLE FIRE </w:t>
      </w:r>
      <w:r>
        <w:rPr>
          <w:rFonts w:ascii="Arial Black" w:hAnsi="Arial Black"/>
          <w:sz w:val="28"/>
          <w:szCs w:val="28"/>
        </w:rPr>
        <w:t xml:space="preserve">- </w:t>
      </w:r>
      <w:r w:rsidRPr="006F2B87">
        <w:rPr>
          <w:rFonts w:ascii="Arial Black" w:hAnsi="Arial Black"/>
          <w:sz w:val="28"/>
          <w:szCs w:val="28"/>
        </w:rPr>
        <w:t xml:space="preserve">“OCCUPIED STRUCTURE” </w:t>
      </w:r>
    </w:p>
    <w:p w14:paraId="20C310C4" w14:textId="77777777" w:rsidR="00A35301" w:rsidRPr="006F2B87" w:rsidRDefault="00A35301" w:rsidP="00A35301">
      <w:pPr>
        <w:pStyle w:val="NoSpacing"/>
      </w:pPr>
    </w:p>
    <w:p w14:paraId="7666ED2A" w14:textId="77777777" w:rsidR="00A35301" w:rsidRPr="00A35301" w:rsidRDefault="00A35301" w:rsidP="00A35301">
      <w:pPr>
        <w:pStyle w:val="NoSpacing"/>
        <w:rPr>
          <w:rFonts w:ascii="Times New Roman" w:hAnsi="Times New Roman"/>
          <w:sz w:val="24"/>
          <w:szCs w:val="24"/>
        </w:rPr>
      </w:pPr>
      <w:r w:rsidRPr="00A35301">
        <w:rPr>
          <w:rFonts w:ascii="Times New Roman" w:hAnsi="Times New Roman"/>
          <w:sz w:val="24"/>
          <w:szCs w:val="24"/>
        </w:rPr>
        <w:t xml:space="preserve">On May 4, 2025, in </w:t>
      </w:r>
      <w:r w:rsidRPr="00A35301">
        <w:rPr>
          <w:rFonts w:ascii="Times New Roman" w:hAnsi="Times New Roman"/>
          <w:sz w:val="24"/>
          <w:szCs w:val="24"/>
          <w:u w:val="single"/>
        </w:rPr>
        <w:t>State of Arizona v. Edward Serrato, III</w:t>
      </w:r>
      <w:r w:rsidRPr="00A35301">
        <w:rPr>
          <w:rFonts w:ascii="Times New Roman" w:hAnsi="Times New Roman"/>
          <w:sz w:val="24"/>
          <w:szCs w:val="24"/>
        </w:rPr>
        <w:t xml:space="preserve">, the Supreme Court of State of Arizona, held (7 to 0) that the State’s most severe arson (Class 2 felony) of arson of “an occupied structure” does not apply where the only person present is the arsonist.  </w:t>
      </w:r>
    </w:p>
    <w:p w14:paraId="65A56CC6" w14:textId="77777777" w:rsidR="00A35301" w:rsidRPr="00A35301" w:rsidRDefault="00A35301" w:rsidP="00A35301">
      <w:pPr>
        <w:pStyle w:val="NoSpacing"/>
        <w:rPr>
          <w:rFonts w:ascii="Times New Roman" w:hAnsi="Times New Roman"/>
          <w:sz w:val="24"/>
          <w:szCs w:val="24"/>
        </w:rPr>
      </w:pPr>
    </w:p>
    <w:p w14:paraId="164AE656" w14:textId="77777777" w:rsidR="00A35301" w:rsidRPr="00A35301" w:rsidRDefault="00A35301" w:rsidP="00A35301">
      <w:pPr>
        <w:pStyle w:val="NoSpacing"/>
        <w:rPr>
          <w:rFonts w:ascii="Times New Roman" w:hAnsi="Times New Roman"/>
          <w:sz w:val="24"/>
          <w:szCs w:val="24"/>
        </w:rPr>
      </w:pPr>
      <w:r w:rsidRPr="00A35301">
        <w:rPr>
          <w:rFonts w:ascii="Times New Roman" w:hAnsi="Times New Roman"/>
          <w:sz w:val="24"/>
          <w:szCs w:val="24"/>
        </w:rPr>
        <w:t xml:space="preserve">The Court wrote: “On Christmas night in 2007, firefighters in Kingman, Arizona extinguished a fire engulfing a pickup truck. Investigators smelled gasoline fumes and discovered a residue of unusual flammable liquids and remnants of a gas can on the driver’s seat. Based on the evidence, investigators confirmed that someone had intentionally set the fire inside the truck. Officers traced the truck’s registration to Anna Hammond, who lived about a mile from the fire. When police entered her home, they found her and her dog lying on the floor in a pool of blood. The dog was dead, and Hammond later died from her injuries. The kitchen stove was on, gas fumes filled the home, and someone had tried to start a fire on the kitchen table. Hammond’s jewelry, </w:t>
      </w:r>
      <w:proofErr w:type="gramStart"/>
      <w:r w:rsidRPr="00A35301">
        <w:rPr>
          <w:rFonts w:ascii="Times New Roman" w:hAnsi="Times New Roman"/>
          <w:sz w:val="24"/>
          <w:szCs w:val="24"/>
        </w:rPr>
        <w:t>gun</w:t>
      </w:r>
      <w:proofErr w:type="gramEnd"/>
      <w:r w:rsidRPr="00A35301">
        <w:rPr>
          <w:rFonts w:ascii="Times New Roman" w:hAnsi="Times New Roman"/>
          <w:sz w:val="24"/>
          <w:szCs w:val="24"/>
        </w:rPr>
        <w:t xml:space="preserve">, coins, and cash were also missing. *** After a seven-day trial in 2023, a jury convicted him of </w:t>
      </w:r>
      <w:proofErr w:type="gramStart"/>
      <w:r w:rsidRPr="00A35301">
        <w:rPr>
          <w:rFonts w:ascii="Times New Roman" w:hAnsi="Times New Roman"/>
          <w:sz w:val="24"/>
          <w:szCs w:val="24"/>
        </w:rPr>
        <w:t>second degree</w:t>
      </w:r>
      <w:proofErr w:type="gramEnd"/>
      <w:r w:rsidRPr="00A35301">
        <w:rPr>
          <w:rFonts w:ascii="Times New Roman" w:hAnsi="Times New Roman"/>
          <w:sz w:val="24"/>
          <w:szCs w:val="24"/>
        </w:rPr>
        <w:t xml:space="preserve"> murder, first degree burglary, arson of an occupied structure (the vehicle), theft of means of transportation, and attempted arson of an occupied structure (the house). The court imposed consecutive sentences for each of these charges, totaling 135 years—35 of which stemmed from the vehicle arson conviction. *** We interpret “occupied structure” in §§ 13-1701(2) and -1704 to mean a structure in which one or more human beings—other than the arsonist—are present, likely to be present, or so near as to be in equivalent danger at the time of the fire or explosion.”  </w:t>
      </w:r>
      <w:hyperlink r:id="rId90" w:history="1">
        <w:r w:rsidRPr="00A35301">
          <w:rPr>
            <w:rStyle w:val="Hyperlink"/>
            <w:rFonts w:ascii="Times New Roman" w:hAnsi="Times New Roman"/>
            <w:sz w:val="24"/>
            <w:szCs w:val="24"/>
          </w:rPr>
          <w:t>https://cases.justia.com/arizona/supreme-court/2025-cr-24-0264-pr.pdf?ts=1747242027</w:t>
        </w:r>
      </w:hyperlink>
      <w:r w:rsidRPr="00A35301">
        <w:rPr>
          <w:rFonts w:ascii="Times New Roman" w:hAnsi="Times New Roman"/>
          <w:sz w:val="24"/>
          <w:szCs w:val="24"/>
        </w:rPr>
        <w:t xml:space="preserve"> </w:t>
      </w:r>
    </w:p>
    <w:p w14:paraId="52733520" w14:textId="77777777" w:rsidR="00A35301" w:rsidRPr="006F2B87" w:rsidRDefault="00A35301" w:rsidP="00A35301">
      <w:pPr>
        <w:pStyle w:val="NoSpacing"/>
      </w:pPr>
    </w:p>
    <w:p w14:paraId="1C492F3B" w14:textId="77777777" w:rsidR="001A2F0B" w:rsidRDefault="001A2F0B" w:rsidP="001A2F0B">
      <w:pPr>
        <w:pStyle w:val="NoSpacing"/>
        <w:rPr>
          <w:rFonts w:ascii="Times New Roman" w:hAnsi="Times New Roman"/>
          <w:b/>
          <w:sz w:val="24"/>
          <w:szCs w:val="24"/>
        </w:rPr>
      </w:pPr>
      <w:r w:rsidRPr="001A2F0B">
        <w:rPr>
          <w:rFonts w:ascii="Times New Roman" w:hAnsi="Times New Roman"/>
          <w:b/>
          <w:sz w:val="24"/>
          <w:szCs w:val="24"/>
        </w:rPr>
        <w:t>Legal Lesson Learned: The Court reviewed the legislature’s “tiered arson punishment scheme” to reach its conclusion; defendant will be resentenced to 100 years, instead of 135 years in prison.</w:t>
      </w:r>
    </w:p>
    <w:p w14:paraId="45B6F43E" w14:textId="77777777" w:rsidR="007A4EAE" w:rsidRDefault="007A4EAE" w:rsidP="001A2F0B">
      <w:pPr>
        <w:pStyle w:val="NoSpacing"/>
        <w:rPr>
          <w:rFonts w:ascii="Times New Roman" w:hAnsi="Times New Roman"/>
          <w:b/>
          <w:sz w:val="24"/>
          <w:szCs w:val="24"/>
        </w:rPr>
      </w:pPr>
    </w:p>
    <w:p w14:paraId="137E8988" w14:textId="77777777" w:rsidR="007A4EAE" w:rsidRPr="001A2F0B" w:rsidRDefault="007A4EAE" w:rsidP="001A2F0B">
      <w:pPr>
        <w:pStyle w:val="NoSpacing"/>
        <w:rPr>
          <w:rFonts w:ascii="Times New Roman" w:hAnsi="Times New Roman"/>
          <w:b/>
          <w:bCs/>
          <w:sz w:val="24"/>
          <w:szCs w:val="24"/>
        </w:rPr>
      </w:pPr>
    </w:p>
    <w:p w14:paraId="01B4F8C1" w14:textId="405FBD86" w:rsidR="00A35301" w:rsidRPr="007A4EAE" w:rsidRDefault="007A4EAE" w:rsidP="007A4EAE">
      <w:pPr>
        <w:pStyle w:val="NoSpacing"/>
        <w:rPr>
          <w:rFonts w:ascii="Arial Black" w:hAnsi="Arial Black"/>
          <w:sz w:val="24"/>
          <w:szCs w:val="24"/>
        </w:rPr>
      </w:pPr>
      <w:r w:rsidRPr="007A4EAE">
        <w:rPr>
          <w:rFonts w:ascii="Arial Black" w:hAnsi="Arial Black"/>
          <w:sz w:val="24"/>
          <w:szCs w:val="24"/>
        </w:rPr>
        <w:t>1-179</w:t>
      </w:r>
    </w:p>
    <w:p w14:paraId="7C8FE2A8" w14:textId="77777777" w:rsidR="002B2465" w:rsidRPr="006F2B87" w:rsidRDefault="002B2465" w:rsidP="002B2465">
      <w:pPr>
        <w:pStyle w:val="NoSpacing"/>
      </w:pPr>
    </w:p>
    <w:p w14:paraId="039184C9" w14:textId="77777777" w:rsidR="007448D6" w:rsidRPr="006F2B87" w:rsidRDefault="007448D6" w:rsidP="007448D6">
      <w:pPr>
        <w:pStyle w:val="NoSpacing"/>
        <w:rPr>
          <w:rFonts w:ascii="Arial Black" w:hAnsi="Arial Black"/>
          <w:sz w:val="28"/>
          <w:szCs w:val="28"/>
        </w:rPr>
      </w:pPr>
      <w:r w:rsidRPr="006F2B87">
        <w:rPr>
          <w:rFonts w:ascii="Arial Black" w:hAnsi="Arial Black"/>
          <w:sz w:val="28"/>
          <w:szCs w:val="28"/>
        </w:rPr>
        <w:t>CA: WILDLAND ARSONIST – 5 FF KILLED – DEATH PENALTY</w:t>
      </w:r>
    </w:p>
    <w:p w14:paraId="009FBDCF" w14:textId="77777777" w:rsidR="007448D6" w:rsidRDefault="007448D6" w:rsidP="007448D6">
      <w:pPr>
        <w:pStyle w:val="NoSpacing"/>
      </w:pPr>
    </w:p>
    <w:p w14:paraId="0B4156D0" w14:textId="77777777" w:rsidR="007448D6" w:rsidRPr="007448D6" w:rsidRDefault="007448D6" w:rsidP="007448D6">
      <w:pPr>
        <w:pStyle w:val="NoSpacing"/>
        <w:rPr>
          <w:rFonts w:ascii="Times New Roman" w:hAnsi="Times New Roman"/>
          <w:sz w:val="24"/>
          <w:szCs w:val="24"/>
        </w:rPr>
      </w:pPr>
      <w:r w:rsidRPr="007448D6">
        <w:rPr>
          <w:rFonts w:ascii="Times New Roman" w:hAnsi="Times New Roman"/>
          <w:sz w:val="24"/>
          <w:szCs w:val="24"/>
        </w:rPr>
        <w:t xml:space="preserve">On May 5, 2025, in </w:t>
      </w:r>
      <w:r w:rsidRPr="007448D6">
        <w:rPr>
          <w:rFonts w:ascii="Times New Roman" w:hAnsi="Times New Roman"/>
          <w:sz w:val="24"/>
          <w:szCs w:val="24"/>
          <w:u w:val="single"/>
        </w:rPr>
        <w:t>The People v. Raymond Lee Oliver</w:t>
      </w:r>
      <w:r w:rsidRPr="007448D6">
        <w:rPr>
          <w:rFonts w:ascii="Times New Roman" w:hAnsi="Times New Roman"/>
          <w:sz w:val="24"/>
          <w:szCs w:val="24"/>
        </w:rPr>
        <w:t xml:space="preserve">, the Supreme Court of California held (5 to 0) that jury properly convicted the defendant five counts of first degree murder, 20 counts of arson, 17 counts of possession of an incendiary device, and in the penalty phase returned a verdict of death. </w:t>
      </w:r>
    </w:p>
    <w:p w14:paraId="64AC2E45" w14:textId="77777777" w:rsidR="007448D6" w:rsidRPr="007448D6" w:rsidRDefault="007448D6" w:rsidP="007448D6">
      <w:pPr>
        <w:pStyle w:val="NoSpacing"/>
        <w:rPr>
          <w:rFonts w:ascii="Times New Roman" w:hAnsi="Times New Roman"/>
          <w:sz w:val="24"/>
          <w:szCs w:val="24"/>
        </w:rPr>
      </w:pPr>
    </w:p>
    <w:p w14:paraId="3C780810" w14:textId="77777777" w:rsidR="007448D6" w:rsidRPr="007448D6" w:rsidRDefault="007448D6" w:rsidP="007448D6">
      <w:pPr>
        <w:pStyle w:val="NoSpacing"/>
        <w:rPr>
          <w:rFonts w:ascii="Times New Roman" w:hAnsi="Times New Roman"/>
          <w:b/>
          <w:bCs/>
          <w:sz w:val="24"/>
          <w:szCs w:val="24"/>
        </w:rPr>
      </w:pPr>
      <w:r w:rsidRPr="007448D6">
        <w:rPr>
          <w:rFonts w:ascii="Times New Roman" w:hAnsi="Times New Roman"/>
          <w:sz w:val="24"/>
          <w:szCs w:val="24"/>
        </w:rPr>
        <w:t xml:space="preserve">The Court wrote: “Between May 16 and October 26, 2006, 3 more than two dozen wildland fires were reported in the Banning Pass area of Southern California. The series culminated with a fire known as the Esperanza Fire, which killed five firefighters assigned to Engine 57 of the United States Department of Agriculture Forest Service (Forest Service). *** </w:t>
      </w:r>
    </w:p>
    <w:p w14:paraId="63DA1AB0" w14:textId="77777777" w:rsidR="007448D6" w:rsidRDefault="007448D6" w:rsidP="007448D6">
      <w:pPr>
        <w:pStyle w:val="NoSpacing"/>
        <w:rPr>
          <w:rFonts w:ascii="Times New Roman" w:hAnsi="Times New Roman"/>
          <w:sz w:val="24"/>
          <w:szCs w:val="24"/>
        </w:rPr>
      </w:pPr>
      <w:r w:rsidRPr="007448D6">
        <w:rPr>
          <w:rFonts w:ascii="Times New Roman" w:hAnsi="Times New Roman"/>
          <w:sz w:val="24"/>
          <w:szCs w:val="24"/>
        </w:rPr>
        <w:t xml:space="preserve">An arson investigator who investigated all three fires determined they were caused by arson. At the point of origin of each fire, the investigator found a time-delayed incendiary device consisting of a Marlboro Light cigarette with wooden matchsticks attached lengthwise by a rubber band. The devices at the Sunset/Wilson and Sunset/Mesa fires had 31 matches attached and the device at the Gilman/Pump House fire had 30 matches attached. The matches pointed in both directions, such that some heads were at opposite ends of the cigarette. *** Around 1:10 a.m. on October 26, firefighters were dispatched to a wildland fire at Esperanza Road and Almond Street in Cabazon (about one mile from the origin of the June 14 </w:t>
      </w:r>
      <w:proofErr w:type="gramStart"/>
      <w:r w:rsidRPr="007448D6">
        <w:rPr>
          <w:rFonts w:ascii="Times New Roman" w:hAnsi="Times New Roman"/>
          <w:sz w:val="24"/>
          <w:szCs w:val="24"/>
        </w:rPr>
        <w:t>layover device</w:t>
      </w:r>
      <w:proofErr w:type="gramEnd"/>
      <w:r w:rsidRPr="007448D6">
        <w:rPr>
          <w:rFonts w:ascii="Times New Roman" w:hAnsi="Times New Roman"/>
          <w:sz w:val="24"/>
          <w:szCs w:val="24"/>
        </w:rPr>
        <w:t xml:space="preserve"> fire at Esperanza Road and Broadway). This fire would become known as the Esperanza Fire…. Around 7:00 a.m., the fire rapidly advanced on Engine 57, burned through the crew’s location, and </w:t>
      </w:r>
      <w:proofErr w:type="gramStart"/>
      <w:r w:rsidRPr="007448D6">
        <w:rPr>
          <w:rFonts w:ascii="Times New Roman" w:hAnsi="Times New Roman"/>
          <w:sz w:val="24"/>
          <w:szCs w:val="24"/>
        </w:rPr>
        <w:t>continued on</w:t>
      </w:r>
      <w:proofErr w:type="gramEnd"/>
      <w:r w:rsidRPr="007448D6">
        <w:rPr>
          <w:rFonts w:ascii="Times New Roman" w:hAnsi="Times New Roman"/>
          <w:sz w:val="24"/>
          <w:szCs w:val="24"/>
        </w:rPr>
        <w:t xml:space="preserve">. The crew members did not have time to deploy their emergency protective gear. Three of the firefighters — Daniel Hoover-Najera, Jess McLean, and Jason McKay — died at the scene. The other two crew members — Captain Mark Loutzenhiser and Pablo Cerda — were badly burned and were evacuated by helicopter. Loutzenhiser died at the hospital about three hours later; Cerda died at the hospital five days later.” </w:t>
      </w:r>
      <w:hyperlink r:id="rId91" w:history="1">
        <w:r w:rsidRPr="007448D6">
          <w:rPr>
            <w:rStyle w:val="Hyperlink"/>
            <w:rFonts w:ascii="Times New Roman" w:hAnsi="Times New Roman"/>
            <w:sz w:val="24"/>
            <w:szCs w:val="24"/>
          </w:rPr>
          <w:t>https://cases.justia.com/california/supreme-court/2025-s173784.pdf?ts=1746464481</w:t>
        </w:r>
      </w:hyperlink>
      <w:r w:rsidRPr="007448D6">
        <w:rPr>
          <w:rFonts w:ascii="Times New Roman" w:hAnsi="Times New Roman"/>
          <w:sz w:val="24"/>
          <w:szCs w:val="24"/>
        </w:rPr>
        <w:t xml:space="preserve"> </w:t>
      </w:r>
    </w:p>
    <w:p w14:paraId="428C38C1" w14:textId="77777777" w:rsidR="002249FF" w:rsidRDefault="002249FF" w:rsidP="007448D6">
      <w:pPr>
        <w:pStyle w:val="NoSpacing"/>
        <w:rPr>
          <w:rFonts w:ascii="Times New Roman" w:hAnsi="Times New Roman"/>
          <w:sz w:val="24"/>
          <w:szCs w:val="24"/>
        </w:rPr>
      </w:pPr>
    </w:p>
    <w:p w14:paraId="56C8EE78" w14:textId="77777777" w:rsidR="002249FF" w:rsidRPr="002249FF" w:rsidRDefault="002249FF" w:rsidP="002249FF">
      <w:pPr>
        <w:pStyle w:val="NoSpacing"/>
        <w:rPr>
          <w:rFonts w:ascii="Times New Roman" w:hAnsi="Times New Roman"/>
          <w:b/>
          <w:bCs/>
          <w:sz w:val="24"/>
          <w:szCs w:val="24"/>
        </w:rPr>
      </w:pPr>
      <w:r w:rsidRPr="002249FF">
        <w:rPr>
          <w:rFonts w:ascii="Times New Roman" w:hAnsi="Times New Roman"/>
          <w:b/>
          <w:sz w:val="24"/>
          <w:szCs w:val="24"/>
        </w:rPr>
        <w:t xml:space="preserve">Legal Lesson Learned: Death penalty </w:t>
      </w:r>
      <w:r w:rsidRPr="002249FF">
        <w:rPr>
          <w:rFonts w:ascii="Times New Roman" w:hAnsi="Times New Roman"/>
          <w:b/>
          <w:bCs/>
          <w:sz w:val="24"/>
          <w:szCs w:val="24"/>
        </w:rPr>
        <w:t xml:space="preserve">is the </w:t>
      </w:r>
      <w:r w:rsidRPr="002249FF">
        <w:rPr>
          <w:rFonts w:ascii="Times New Roman" w:hAnsi="Times New Roman"/>
          <w:b/>
          <w:sz w:val="24"/>
          <w:szCs w:val="24"/>
        </w:rPr>
        <w:t xml:space="preserve">appropriate penalty.  </w:t>
      </w:r>
    </w:p>
    <w:p w14:paraId="75714330" w14:textId="77777777" w:rsidR="002249FF" w:rsidRPr="002249FF" w:rsidRDefault="002249FF" w:rsidP="002249FF">
      <w:pPr>
        <w:pStyle w:val="NoSpacing"/>
        <w:rPr>
          <w:rFonts w:ascii="Times New Roman" w:hAnsi="Times New Roman"/>
          <w:b/>
          <w:bCs/>
          <w:sz w:val="24"/>
          <w:szCs w:val="24"/>
        </w:rPr>
      </w:pPr>
    </w:p>
    <w:p w14:paraId="152B813A" w14:textId="77777777" w:rsidR="002249FF" w:rsidRPr="002249FF" w:rsidRDefault="002249FF" w:rsidP="002249FF">
      <w:pPr>
        <w:pStyle w:val="NoSpacing"/>
        <w:ind w:left="720"/>
        <w:rPr>
          <w:rFonts w:ascii="Times New Roman" w:hAnsi="Times New Roman"/>
          <w:sz w:val="24"/>
          <w:szCs w:val="24"/>
        </w:rPr>
      </w:pPr>
      <w:r w:rsidRPr="002249FF">
        <w:rPr>
          <w:rFonts w:ascii="Times New Roman" w:hAnsi="Times New Roman"/>
          <w:sz w:val="24"/>
          <w:szCs w:val="24"/>
        </w:rPr>
        <w:t xml:space="preserve">Note: California Governor Gavin Newsome in 2019 issued a moratorium on imposing death penalty. </w:t>
      </w:r>
      <w:hyperlink r:id="rId92" w:history="1">
        <w:r w:rsidRPr="002249FF">
          <w:rPr>
            <w:rStyle w:val="Hyperlink"/>
            <w:rFonts w:ascii="Times New Roman" w:hAnsi="Times New Roman"/>
            <w:sz w:val="24"/>
            <w:szCs w:val="24"/>
          </w:rPr>
          <w:t>https://www.cdcr.ca.gov/capital-punishment/</w:t>
        </w:r>
      </w:hyperlink>
      <w:r w:rsidRPr="002249FF">
        <w:rPr>
          <w:rFonts w:ascii="Times New Roman" w:hAnsi="Times New Roman"/>
          <w:sz w:val="24"/>
          <w:szCs w:val="24"/>
        </w:rPr>
        <w:t xml:space="preserve"> </w:t>
      </w:r>
    </w:p>
    <w:p w14:paraId="41093A0E" w14:textId="77777777" w:rsidR="002249FF" w:rsidRPr="002249FF" w:rsidRDefault="002249FF" w:rsidP="002249FF">
      <w:pPr>
        <w:pStyle w:val="NoSpacing"/>
        <w:rPr>
          <w:rFonts w:ascii="Times New Roman" w:hAnsi="Times New Roman"/>
          <w:bCs/>
          <w:sz w:val="24"/>
          <w:szCs w:val="24"/>
        </w:rPr>
      </w:pPr>
    </w:p>
    <w:p w14:paraId="07D4945B" w14:textId="77777777" w:rsidR="00AC44B8" w:rsidRDefault="00AC44B8" w:rsidP="00B86628">
      <w:pPr>
        <w:pStyle w:val="NoSpacing"/>
        <w:rPr>
          <w:rFonts w:ascii="Arial Black" w:hAnsi="Arial Black"/>
          <w:sz w:val="24"/>
          <w:szCs w:val="24"/>
        </w:rPr>
      </w:pPr>
    </w:p>
    <w:p w14:paraId="71FA52D2" w14:textId="446670E7" w:rsidR="008D499E" w:rsidRDefault="00453E02" w:rsidP="00B86628">
      <w:pPr>
        <w:pStyle w:val="NoSpacing"/>
        <w:rPr>
          <w:rFonts w:ascii="Arial Black" w:hAnsi="Arial Black"/>
          <w:sz w:val="24"/>
          <w:szCs w:val="24"/>
        </w:rPr>
      </w:pPr>
      <w:r>
        <w:rPr>
          <w:rFonts w:ascii="Arial Black" w:hAnsi="Arial Black"/>
          <w:sz w:val="24"/>
          <w:szCs w:val="24"/>
        </w:rPr>
        <w:t>1-</w:t>
      </w:r>
      <w:r w:rsidR="002202B5">
        <w:rPr>
          <w:rFonts w:ascii="Arial Black" w:hAnsi="Arial Black"/>
          <w:sz w:val="24"/>
          <w:szCs w:val="24"/>
        </w:rPr>
        <w:t>178</w:t>
      </w:r>
    </w:p>
    <w:p w14:paraId="366F6FED" w14:textId="77777777" w:rsidR="003122E5" w:rsidRDefault="003122E5" w:rsidP="00B86628">
      <w:pPr>
        <w:pStyle w:val="NoSpacing"/>
        <w:rPr>
          <w:rFonts w:ascii="Arial Black" w:hAnsi="Arial Black"/>
          <w:sz w:val="24"/>
          <w:szCs w:val="24"/>
        </w:rPr>
      </w:pPr>
    </w:p>
    <w:p w14:paraId="5A1B7AF4" w14:textId="77777777" w:rsidR="003122E5" w:rsidRPr="00E510AC" w:rsidRDefault="003122E5" w:rsidP="003122E5">
      <w:pPr>
        <w:rPr>
          <w:rFonts w:ascii="Arial Black" w:hAnsi="Arial Black"/>
          <w:b/>
          <w:sz w:val="28"/>
          <w:szCs w:val="28"/>
        </w:rPr>
      </w:pPr>
      <w:r>
        <w:rPr>
          <w:rFonts w:ascii="Arial Black" w:hAnsi="Arial Black"/>
          <w:b/>
          <w:sz w:val="28"/>
          <w:szCs w:val="28"/>
        </w:rPr>
        <w:t>OR: HOMELESS - REMOVE NATIONAL FOREST - FIRES</w:t>
      </w:r>
    </w:p>
    <w:p w14:paraId="6B48CFA9" w14:textId="77777777" w:rsidR="003122E5" w:rsidRPr="003122E5" w:rsidRDefault="003122E5" w:rsidP="003122E5">
      <w:pPr>
        <w:rPr>
          <w:rFonts w:ascii="Times New Roman" w:hAnsi="Times New Roman"/>
          <w:bCs/>
          <w:sz w:val="24"/>
          <w:szCs w:val="24"/>
        </w:rPr>
      </w:pPr>
      <w:r w:rsidRPr="003122E5">
        <w:rPr>
          <w:rFonts w:ascii="Times New Roman" w:hAnsi="Times New Roman"/>
          <w:sz w:val="24"/>
          <w:szCs w:val="24"/>
        </w:rPr>
        <w:t xml:space="preserve">On May 1, 2025, in </w:t>
      </w:r>
      <w:r w:rsidRPr="003122E5">
        <w:rPr>
          <w:rFonts w:ascii="Times New Roman" w:hAnsi="Times New Roman"/>
          <w:sz w:val="24"/>
          <w:szCs w:val="24"/>
          <w:u w:val="single"/>
        </w:rPr>
        <w:t>Theresa Bradshaw, et al. v. Holly Jewkes, Bend-Fort Rock Ranger District, Deschutes National Forest, et al</w:t>
      </w:r>
      <w:r w:rsidRPr="003122E5">
        <w:rPr>
          <w:rFonts w:ascii="Times New Roman" w:hAnsi="Times New Roman"/>
          <w:sz w:val="24"/>
          <w:szCs w:val="24"/>
        </w:rPr>
        <w:t xml:space="preserve">.,  U.S. District Court Judge Michael J. McShane, United States District Court for the District of Oregon, Eugene Division, rejected the request of an organization on behalf of 150 homeless to stop U.S. Forest Service from closing a portion of the National Forest called China Hat.  There has been a significant increase in forest fires because of the homeless.  </w:t>
      </w:r>
      <w:hyperlink r:id="rId93" w:history="1">
        <w:r w:rsidRPr="003122E5">
          <w:rPr>
            <w:rStyle w:val="Hyperlink"/>
            <w:rFonts w:ascii="Times New Roman" w:hAnsi="Times New Roman"/>
            <w:sz w:val="24"/>
            <w:szCs w:val="24"/>
          </w:rPr>
          <w:t>https://ktvz.b-cdn.net/2025/05/TRO-ruling.pdf</w:t>
        </w:r>
      </w:hyperlink>
      <w:r w:rsidRPr="003122E5">
        <w:rPr>
          <w:rFonts w:ascii="Times New Roman" w:hAnsi="Times New Roman"/>
          <w:sz w:val="24"/>
          <w:szCs w:val="24"/>
        </w:rPr>
        <w:t xml:space="preserve"> </w:t>
      </w:r>
    </w:p>
    <w:p w14:paraId="7502E76C" w14:textId="77777777" w:rsidR="002714EB" w:rsidRPr="002714EB" w:rsidRDefault="002714EB" w:rsidP="002714EB">
      <w:pPr>
        <w:rPr>
          <w:rFonts w:ascii="Times New Roman" w:hAnsi="Times New Roman"/>
          <w:b/>
          <w:sz w:val="24"/>
          <w:szCs w:val="24"/>
        </w:rPr>
      </w:pPr>
      <w:r w:rsidRPr="002714EB">
        <w:rPr>
          <w:rFonts w:ascii="Times New Roman" w:hAnsi="Times New Roman"/>
          <w:b/>
          <w:sz w:val="24"/>
          <w:szCs w:val="24"/>
        </w:rPr>
        <w:t xml:space="preserve">Legal Lesson Learned: Public interest in prevention of forest fires outweighs the interest of homeless. </w:t>
      </w:r>
    </w:p>
    <w:p w14:paraId="7B35CD8C" w14:textId="0B751BB7" w:rsidR="003122E5" w:rsidRPr="002714EB" w:rsidRDefault="002714EB" w:rsidP="002714EB">
      <w:pPr>
        <w:pStyle w:val="NoSpacing"/>
        <w:ind w:left="720"/>
        <w:rPr>
          <w:rFonts w:ascii="Times New Roman" w:hAnsi="Times New Roman"/>
          <w:sz w:val="24"/>
          <w:szCs w:val="24"/>
        </w:rPr>
      </w:pPr>
      <w:r w:rsidRPr="002714EB">
        <w:rPr>
          <w:rFonts w:ascii="Times New Roman" w:hAnsi="Times New Roman"/>
          <w:sz w:val="24"/>
          <w:szCs w:val="24"/>
        </w:rPr>
        <w:t xml:space="preserve">Note: See this May 2, </w:t>
      </w:r>
      <w:proofErr w:type="gramStart"/>
      <w:r w:rsidRPr="002714EB">
        <w:rPr>
          <w:rFonts w:ascii="Times New Roman" w:hAnsi="Times New Roman"/>
          <w:sz w:val="24"/>
          <w:szCs w:val="24"/>
        </w:rPr>
        <w:t>2025</w:t>
      </w:r>
      <w:proofErr w:type="gramEnd"/>
      <w:r w:rsidRPr="002714EB">
        <w:rPr>
          <w:rFonts w:ascii="Times New Roman" w:hAnsi="Times New Roman"/>
          <w:sz w:val="24"/>
          <w:szCs w:val="24"/>
        </w:rPr>
        <w:t xml:space="preserve"> article, “US Forest Service starts clearing homeless camp in Oregon national forest, where some have lived for years.” </w:t>
      </w:r>
      <w:hyperlink r:id="rId94" w:history="1">
        <w:r w:rsidRPr="002714EB">
          <w:rPr>
            <w:rStyle w:val="Hyperlink"/>
            <w:rFonts w:ascii="Times New Roman" w:hAnsi="Times New Roman"/>
            <w:sz w:val="24"/>
            <w:szCs w:val="24"/>
          </w:rPr>
          <w:t>https://www.cnn.com/2025/05/02/us/oregon-deschutes-national-forest-eviction-hnk</w:t>
        </w:r>
      </w:hyperlink>
    </w:p>
    <w:p w14:paraId="5A781FC7" w14:textId="77777777" w:rsidR="002202B5" w:rsidRDefault="002202B5" w:rsidP="00B86628">
      <w:pPr>
        <w:pStyle w:val="NoSpacing"/>
        <w:rPr>
          <w:rFonts w:ascii="Arial Black" w:hAnsi="Arial Black"/>
          <w:sz w:val="24"/>
          <w:szCs w:val="24"/>
        </w:rPr>
      </w:pPr>
    </w:p>
    <w:p w14:paraId="29F13EA2" w14:textId="77777777" w:rsidR="002202B5" w:rsidRDefault="002202B5" w:rsidP="00B86628">
      <w:pPr>
        <w:pStyle w:val="NoSpacing"/>
        <w:rPr>
          <w:rFonts w:ascii="Arial Black" w:hAnsi="Arial Black"/>
          <w:sz w:val="24"/>
          <w:szCs w:val="24"/>
        </w:rPr>
      </w:pPr>
    </w:p>
    <w:p w14:paraId="767E7C37" w14:textId="1D533C35" w:rsidR="003C62F5" w:rsidRPr="002202B5" w:rsidRDefault="00453E02" w:rsidP="00B86628">
      <w:pPr>
        <w:pStyle w:val="NoSpacing"/>
        <w:rPr>
          <w:rFonts w:ascii="Arial Black" w:hAnsi="Arial Black"/>
          <w:sz w:val="24"/>
          <w:szCs w:val="24"/>
        </w:rPr>
      </w:pPr>
      <w:r>
        <w:rPr>
          <w:rFonts w:ascii="Arial Black" w:hAnsi="Arial Black"/>
          <w:sz w:val="24"/>
          <w:szCs w:val="24"/>
        </w:rPr>
        <w:t>1-</w:t>
      </w:r>
      <w:r w:rsidR="003C62F5" w:rsidRPr="002202B5">
        <w:rPr>
          <w:rFonts w:ascii="Arial Black" w:hAnsi="Arial Black"/>
          <w:sz w:val="24"/>
          <w:szCs w:val="24"/>
        </w:rPr>
        <w:t>177</w:t>
      </w:r>
    </w:p>
    <w:p w14:paraId="7DB2F45F" w14:textId="77777777" w:rsidR="002202B5" w:rsidRDefault="002202B5" w:rsidP="003C62F5">
      <w:pPr>
        <w:rPr>
          <w:rFonts w:ascii="Arial Black" w:hAnsi="Arial Black"/>
          <w:sz w:val="28"/>
          <w:szCs w:val="28"/>
        </w:rPr>
      </w:pPr>
    </w:p>
    <w:p w14:paraId="49A20867" w14:textId="3ECA9B41" w:rsidR="003C62F5" w:rsidRPr="00AE4361" w:rsidRDefault="003C62F5" w:rsidP="003C62F5">
      <w:pPr>
        <w:rPr>
          <w:rFonts w:ascii="Arial Black" w:hAnsi="Arial Black"/>
          <w:bCs/>
          <w:sz w:val="28"/>
          <w:szCs w:val="28"/>
        </w:rPr>
      </w:pPr>
      <w:r>
        <w:rPr>
          <w:rFonts w:ascii="Arial Black" w:hAnsi="Arial Black"/>
          <w:sz w:val="28"/>
          <w:szCs w:val="28"/>
        </w:rPr>
        <w:t>IN: WIFE HAD FF MURDERED – CONV. UPHELD / 90 YRS</w:t>
      </w:r>
    </w:p>
    <w:p w14:paraId="68293081" w14:textId="77777777" w:rsidR="003C62F5" w:rsidRPr="003C62F5" w:rsidRDefault="003C62F5" w:rsidP="003C62F5">
      <w:pPr>
        <w:pStyle w:val="NoSpacing"/>
        <w:rPr>
          <w:rFonts w:ascii="Times New Roman" w:hAnsi="Times New Roman"/>
          <w:bCs/>
          <w:sz w:val="24"/>
          <w:szCs w:val="24"/>
        </w:rPr>
      </w:pPr>
      <w:r w:rsidRPr="003C62F5">
        <w:rPr>
          <w:rFonts w:ascii="Times New Roman" w:hAnsi="Times New Roman"/>
          <w:sz w:val="24"/>
          <w:szCs w:val="24"/>
        </w:rPr>
        <w:t xml:space="preserve">On May 1, 2025, in </w:t>
      </w:r>
      <w:r w:rsidRPr="003C62F5">
        <w:rPr>
          <w:rFonts w:ascii="Times New Roman" w:hAnsi="Times New Roman"/>
          <w:sz w:val="24"/>
          <w:szCs w:val="24"/>
          <w:u w:val="single"/>
        </w:rPr>
        <w:t>Elizabeth Joanne Fox-Doerr v. State of Indiana</w:t>
      </w:r>
      <w:r w:rsidRPr="003C62F5">
        <w:rPr>
          <w:rFonts w:ascii="Times New Roman" w:hAnsi="Times New Roman"/>
          <w:sz w:val="24"/>
          <w:szCs w:val="24"/>
        </w:rPr>
        <w:t>,</w:t>
      </w:r>
      <w:r w:rsidRPr="003C62F5">
        <w:rPr>
          <w:rFonts w:ascii="Times New Roman" w:hAnsi="Times New Roman"/>
          <w:b/>
          <w:sz w:val="24"/>
          <w:szCs w:val="24"/>
        </w:rPr>
        <w:t xml:space="preserve"> </w:t>
      </w:r>
      <w:r w:rsidRPr="003C62F5">
        <w:rPr>
          <w:rFonts w:ascii="Times New Roman" w:hAnsi="Times New Roman"/>
          <w:sz w:val="24"/>
          <w:szCs w:val="24"/>
        </w:rPr>
        <w:t xml:space="preserve">the Court of Appeals of Indiana held (3 to 0; unpublished opinion) that there was sufficient evidence for jury to find that she arranged for the murder of Evanston firefighter Robert Doer on February 26, 2019, and the trial court properly sentenced her to 90 years in prison.  Larry Ali Richmond, Sr. was indicted for shooting Robert Doer.  </w:t>
      </w:r>
      <w:hyperlink r:id="rId95" w:history="1">
        <w:r w:rsidRPr="003C62F5">
          <w:rPr>
            <w:rStyle w:val="Hyperlink"/>
            <w:rFonts w:ascii="Times New Roman" w:hAnsi="Times New Roman"/>
            <w:sz w:val="24"/>
            <w:szCs w:val="24"/>
          </w:rPr>
          <w:t>https://www.aol.com/trial-delayed-man-accused-fatally-135028116.html</w:t>
        </w:r>
      </w:hyperlink>
      <w:r w:rsidRPr="003C62F5">
        <w:rPr>
          <w:rFonts w:ascii="Times New Roman" w:hAnsi="Times New Roman"/>
          <w:sz w:val="24"/>
          <w:szCs w:val="24"/>
        </w:rPr>
        <w:t xml:space="preserve"> . Elizabeth Fox-Doerr was tried first and convicted by a jury of aiding, inducing, or causing murder of her husband; they were only married for about six months (this was her third or fourth marriage).  At some point prior to February of 2019, Larry Ali Richmond’s son had observed Richmond and Fox-Doerr kissing.  On Feb. 26, 2019, firefighter Robert Doer worked a partial shift, returned home at 7:04 pm and was shot three times.  </w:t>
      </w:r>
      <w:hyperlink r:id="rId96" w:history="1">
        <w:r w:rsidRPr="003C62F5">
          <w:rPr>
            <w:rStyle w:val="Hyperlink"/>
            <w:rFonts w:ascii="Times New Roman" w:hAnsi="Times New Roman"/>
            <w:sz w:val="24"/>
            <w:szCs w:val="24"/>
          </w:rPr>
          <w:t>https://cases.justia.com/indiana/court-of-appeals/2025-24a-cr-01673.pdf?ts=1746121391</w:t>
        </w:r>
      </w:hyperlink>
    </w:p>
    <w:p w14:paraId="0F36C3F2" w14:textId="77777777" w:rsidR="003C62F5" w:rsidRPr="003C62F5" w:rsidRDefault="003C62F5" w:rsidP="003C62F5">
      <w:pPr>
        <w:pStyle w:val="NoSpacing"/>
        <w:rPr>
          <w:rFonts w:ascii="Times New Roman" w:hAnsi="Times New Roman"/>
          <w:bCs/>
          <w:sz w:val="24"/>
          <w:szCs w:val="24"/>
        </w:rPr>
      </w:pPr>
    </w:p>
    <w:p w14:paraId="2C9238CE" w14:textId="77777777" w:rsidR="00267F30" w:rsidRPr="00267F30" w:rsidRDefault="00267F30" w:rsidP="00267F30">
      <w:pPr>
        <w:rPr>
          <w:b/>
          <w:sz w:val="24"/>
          <w:szCs w:val="24"/>
        </w:rPr>
      </w:pPr>
      <w:r w:rsidRPr="00267F30">
        <w:rPr>
          <w:b/>
          <w:sz w:val="24"/>
          <w:szCs w:val="24"/>
        </w:rPr>
        <w:t xml:space="preserve">Legal Lesson Learned: The Court will not “reweigh the evidence” of conspiracy presented at trial. </w:t>
      </w:r>
    </w:p>
    <w:p w14:paraId="0099F781" w14:textId="77777777" w:rsidR="00267F30" w:rsidRPr="00267F30" w:rsidRDefault="00267F30" w:rsidP="00267F30">
      <w:pPr>
        <w:ind w:left="720"/>
        <w:rPr>
          <w:bCs/>
          <w:sz w:val="24"/>
          <w:szCs w:val="24"/>
        </w:rPr>
      </w:pPr>
      <w:r w:rsidRPr="00267F30">
        <w:rPr>
          <w:sz w:val="24"/>
          <w:szCs w:val="24"/>
        </w:rPr>
        <w:t xml:space="preserve">Note: Watch her sentencing on June 17, 2024.  “Convicted killer and wife of Evansville firefighter sentenced [TV VIDEO]. </w:t>
      </w:r>
      <w:hyperlink r:id="rId97" w:history="1">
        <w:r w:rsidRPr="00267F30">
          <w:rPr>
            <w:rStyle w:val="Hyperlink"/>
            <w:sz w:val="24"/>
            <w:szCs w:val="24"/>
          </w:rPr>
          <w:t>https://www.14news.com/2024/06/17/convicted-killer-evansville-firefighter-set-be-sentenced-this-afternoon/</w:t>
        </w:r>
      </w:hyperlink>
      <w:r w:rsidRPr="00267F30">
        <w:rPr>
          <w:sz w:val="24"/>
          <w:szCs w:val="24"/>
        </w:rPr>
        <w:t xml:space="preserve"> </w:t>
      </w:r>
    </w:p>
    <w:p w14:paraId="2DB8B9F9" w14:textId="77777777" w:rsidR="00267F30" w:rsidRPr="00F562BC" w:rsidRDefault="00267F30" w:rsidP="00267F30">
      <w:pPr>
        <w:ind w:left="720"/>
        <w:rPr>
          <w:b/>
        </w:rPr>
      </w:pPr>
      <w:r w:rsidRPr="00267F30">
        <w:rPr>
          <w:sz w:val="24"/>
          <w:szCs w:val="24"/>
        </w:rPr>
        <w:t xml:space="preserve">Aug. 18, 2022: “Wife and convicted murderer both charged in death of Evansville firefighter.” </w:t>
      </w:r>
      <w:hyperlink r:id="rId98" w:history="1">
        <w:r w:rsidRPr="00267F30">
          <w:rPr>
            <w:rStyle w:val="Hyperlink"/>
            <w:sz w:val="24"/>
            <w:szCs w:val="24"/>
          </w:rPr>
          <w:t>https://www.14news.com/2022/08/18/wife-convicted-murderer-both-charged-death-evansville-firefighter/</w:t>
        </w:r>
      </w:hyperlink>
      <w:r>
        <w:rPr>
          <w:b/>
        </w:rPr>
        <w:t xml:space="preserve"> </w:t>
      </w:r>
    </w:p>
    <w:p w14:paraId="693BE75B" w14:textId="77777777" w:rsidR="003C62F5" w:rsidRDefault="003C62F5" w:rsidP="00B86628">
      <w:pPr>
        <w:pStyle w:val="NoSpacing"/>
        <w:rPr>
          <w:rFonts w:ascii="Arial Black" w:hAnsi="Arial Black"/>
          <w:sz w:val="24"/>
          <w:szCs w:val="24"/>
        </w:rPr>
      </w:pPr>
    </w:p>
    <w:p w14:paraId="181C8DF3" w14:textId="77777777" w:rsidR="003C62F5" w:rsidRDefault="003C62F5" w:rsidP="00B86628">
      <w:pPr>
        <w:pStyle w:val="NoSpacing"/>
        <w:rPr>
          <w:rFonts w:ascii="Arial Black" w:hAnsi="Arial Black"/>
          <w:sz w:val="24"/>
          <w:szCs w:val="24"/>
        </w:rPr>
      </w:pPr>
    </w:p>
    <w:p w14:paraId="7A5FF2DE" w14:textId="3FCFB3A8" w:rsidR="00B9138D" w:rsidRDefault="00453E02" w:rsidP="00B86628">
      <w:pPr>
        <w:pStyle w:val="NoSpacing"/>
        <w:rPr>
          <w:rFonts w:ascii="Arial Black" w:hAnsi="Arial Black"/>
          <w:sz w:val="24"/>
          <w:szCs w:val="24"/>
        </w:rPr>
      </w:pPr>
      <w:r>
        <w:rPr>
          <w:rFonts w:ascii="Arial Black" w:hAnsi="Arial Black"/>
          <w:sz w:val="24"/>
          <w:szCs w:val="24"/>
        </w:rPr>
        <w:t>1-</w:t>
      </w:r>
      <w:r w:rsidR="00B9138D">
        <w:rPr>
          <w:rFonts w:ascii="Arial Black" w:hAnsi="Arial Black"/>
          <w:sz w:val="24"/>
          <w:szCs w:val="24"/>
        </w:rPr>
        <w:t>176</w:t>
      </w:r>
    </w:p>
    <w:p w14:paraId="2F89B39F" w14:textId="77777777" w:rsidR="00B9138D" w:rsidRDefault="00B9138D" w:rsidP="00B86628">
      <w:pPr>
        <w:pStyle w:val="NoSpacing"/>
        <w:rPr>
          <w:rFonts w:ascii="Arial Black" w:hAnsi="Arial Black"/>
          <w:sz w:val="24"/>
          <w:szCs w:val="24"/>
        </w:rPr>
      </w:pPr>
    </w:p>
    <w:p w14:paraId="48AA7DE0" w14:textId="77777777" w:rsidR="00B9138D" w:rsidRPr="00B71F72" w:rsidRDefault="00B9138D" w:rsidP="00B9138D">
      <w:pPr>
        <w:rPr>
          <w:rFonts w:ascii="Arial Black" w:hAnsi="Arial Black"/>
          <w:bCs/>
          <w:sz w:val="28"/>
          <w:szCs w:val="28"/>
        </w:rPr>
      </w:pPr>
      <w:r>
        <w:rPr>
          <w:rFonts w:ascii="Arial Black" w:hAnsi="Arial Black"/>
          <w:sz w:val="28"/>
          <w:szCs w:val="28"/>
        </w:rPr>
        <w:t>PA: FF EX-WIFE CONV. – GARAGE FIRE – HER FACEBOOK</w:t>
      </w:r>
    </w:p>
    <w:p w14:paraId="7024A3BD" w14:textId="4FABC9B9" w:rsidR="00B9138D" w:rsidRPr="00B9138D" w:rsidRDefault="00B9138D" w:rsidP="00B9138D">
      <w:pPr>
        <w:pStyle w:val="NoSpacing"/>
        <w:rPr>
          <w:rFonts w:ascii="Times New Roman" w:hAnsi="Times New Roman"/>
          <w:sz w:val="24"/>
          <w:szCs w:val="24"/>
        </w:rPr>
      </w:pPr>
      <w:r w:rsidRPr="00B9138D">
        <w:rPr>
          <w:rFonts w:ascii="Times New Roman" w:hAnsi="Times New Roman"/>
          <w:sz w:val="24"/>
          <w:szCs w:val="24"/>
        </w:rPr>
        <w:t xml:space="preserve">On April 29, </w:t>
      </w:r>
      <w:proofErr w:type="gramStart"/>
      <w:r w:rsidRPr="00B9138D">
        <w:rPr>
          <w:rFonts w:ascii="Times New Roman" w:hAnsi="Times New Roman"/>
          <w:sz w:val="24"/>
          <w:szCs w:val="24"/>
        </w:rPr>
        <w:t>2025</w:t>
      </w:r>
      <w:proofErr w:type="gramEnd"/>
      <w:r w:rsidRPr="00B9138D">
        <w:rPr>
          <w:rFonts w:ascii="Times New Roman" w:hAnsi="Times New Roman"/>
          <w:sz w:val="24"/>
          <w:szCs w:val="24"/>
        </w:rPr>
        <w:t xml:space="preserve"> in </w:t>
      </w:r>
      <w:r w:rsidRPr="00B9138D">
        <w:rPr>
          <w:rFonts w:ascii="Times New Roman" w:hAnsi="Times New Roman"/>
          <w:sz w:val="24"/>
          <w:szCs w:val="24"/>
          <w:u w:val="single"/>
        </w:rPr>
        <w:t>Commonwealth of Pennsylvania v. Nia C. Stallworth</w:t>
      </w:r>
      <w:r w:rsidRPr="00B9138D">
        <w:rPr>
          <w:rFonts w:ascii="Times New Roman" w:hAnsi="Times New Roman"/>
          <w:sz w:val="24"/>
          <w:szCs w:val="24"/>
        </w:rPr>
        <w:t xml:space="preserve">, the Superior Court of Pennsylvania held (3 to 0; non-precedential decision) that trial court judge in bench trial properly allowed into evidence a Facebook posting by the ex-wife of a Philadelphia firefighter, Timothy Rawls.  It was a screenshot of a Facebook post … with two photographs of Rawls’ damaged garage and captioned “These mutha </w:t>
      </w:r>
      <w:proofErr w:type="spellStart"/>
      <w:r w:rsidRPr="00B9138D">
        <w:rPr>
          <w:rFonts w:ascii="Times New Roman" w:hAnsi="Times New Roman"/>
          <w:sz w:val="24"/>
          <w:szCs w:val="24"/>
        </w:rPr>
        <w:t>Fuckas</w:t>
      </w:r>
      <w:proofErr w:type="spellEnd"/>
      <w:r w:rsidRPr="00B9138D">
        <w:rPr>
          <w:rFonts w:ascii="Times New Roman" w:hAnsi="Times New Roman"/>
          <w:sz w:val="24"/>
          <w:szCs w:val="24"/>
        </w:rPr>
        <w:t xml:space="preserve"> know I’m fucking crazy!! </w:t>
      </w:r>
      <w:proofErr w:type="gramStart"/>
      <w:r w:rsidRPr="00B9138D">
        <w:rPr>
          <w:rFonts w:ascii="Times New Roman" w:hAnsi="Times New Roman"/>
          <w:sz w:val="24"/>
          <w:szCs w:val="24"/>
        </w:rPr>
        <w:t>Yeah</w:t>
      </w:r>
      <w:proofErr w:type="gramEnd"/>
      <w:r w:rsidRPr="00B9138D">
        <w:rPr>
          <w:rFonts w:ascii="Times New Roman" w:hAnsi="Times New Roman"/>
          <w:sz w:val="24"/>
          <w:szCs w:val="24"/>
        </w:rPr>
        <w:t xml:space="preserve"> I set your shit on [fire emoji] bitch.”  The trial court judge found her guilty of criminal mischief, graded as a felony of the third degree, based upon her causing a pecuniary loss </w:t>
      </w:r>
      <w:proofErr w:type="gramStart"/>
      <w:r w:rsidRPr="00B9138D">
        <w:rPr>
          <w:rFonts w:ascii="Times New Roman" w:hAnsi="Times New Roman"/>
          <w:sz w:val="24"/>
          <w:szCs w:val="24"/>
        </w:rPr>
        <w:t>in excess of</w:t>
      </w:r>
      <w:proofErr w:type="gramEnd"/>
      <w:r w:rsidRPr="00B9138D">
        <w:rPr>
          <w:rFonts w:ascii="Times New Roman" w:hAnsi="Times New Roman"/>
          <w:sz w:val="24"/>
          <w:szCs w:val="24"/>
        </w:rPr>
        <w:t xml:space="preserve"> $5,000; but not guilty of arson, and sentenced her to two years’ probation. </w:t>
      </w:r>
      <w:hyperlink r:id="rId99" w:history="1">
        <w:r w:rsidRPr="00B9138D">
          <w:rPr>
            <w:rStyle w:val="Hyperlink"/>
            <w:rFonts w:ascii="Times New Roman" w:hAnsi="Times New Roman"/>
            <w:sz w:val="24"/>
            <w:szCs w:val="24"/>
          </w:rPr>
          <w:t>https://cases.justia.com/pennsylvania/superior-court/2025-76-eda-2024.pdf?ts=1745952844</w:t>
        </w:r>
      </w:hyperlink>
    </w:p>
    <w:p w14:paraId="507DE540" w14:textId="77777777" w:rsidR="00B9138D" w:rsidRDefault="00B9138D" w:rsidP="00B86628">
      <w:pPr>
        <w:pStyle w:val="NoSpacing"/>
        <w:rPr>
          <w:rFonts w:ascii="Arial Black" w:hAnsi="Arial Black"/>
          <w:sz w:val="24"/>
          <w:szCs w:val="24"/>
        </w:rPr>
      </w:pPr>
    </w:p>
    <w:p w14:paraId="45CA57EF" w14:textId="4A164792" w:rsidR="00D72EC2" w:rsidRPr="00D72EC2" w:rsidRDefault="00D72EC2" w:rsidP="00D72EC2">
      <w:pPr>
        <w:rPr>
          <w:b/>
          <w:sz w:val="24"/>
          <w:szCs w:val="24"/>
        </w:rPr>
      </w:pPr>
      <w:r w:rsidRPr="00D72EC2">
        <w:rPr>
          <w:rFonts w:ascii="Times New Roman" w:hAnsi="Times New Roman"/>
          <w:b/>
          <w:sz w:val="24"/>
          <w:szCs w:val="24"/>
        </w:rPr>
        <w:t xml:space="preserve">Legal Lesson Learned:  The Facebook post by </w:t>
      </w:r>
      <w:r>
        <w:rPr>
          <w:rFonts w:ascii="Times New Roman" w:hAnsi="Times New Roman"/>
          <w:b/>
          <w:sz w:val="24"/>
          <w:szCs w:val="24"/>
        </w:rPr>
        <w:t>ex-</w:t>
      </w:r>
      <w:r w:rsidRPr="00D72EC2">
        <w:rPr>
          <w:rFonts w:ascii="Times New Roman" w:hAnsi="Times New Roman"/>
          <w:b/>
          <w:sz w:val="24"/>
          <w:szCs w:val="24"/>
        </w:rPr>
        <w:t>wife was authenticated</w:t>
      </w:r>
      <w:r w:rsidRPr="00D72EC2">
        <w:rPr>
          <w:b/>
          <w:sz w:val="24"/>
          <w:szCs w:val="24"/>
        </w:rPr>
        <w:t xml:space="preserve">. </w:t>
      </w:r>
    </w:p>
    <w:p w14:paraId="536ADDC3" w14:textId="77777777" w:rsidR="00D72EC2" w:rsidRDefault="00D72EC2" w:rsidP="00B86628">
      <w:pPr>
        <w:pStyle w:val="NoSpacing"/>
        <w:rPr>
          <w:rFonts w:ascii="Arial Black" w:hAnsi="Arial Black"/>
          <w:sz w:val="24"/>
          <w:szCs w:val="24"/>
        </w:rPr>
      </w:pPr>
    </w:p>
    <w:p w14:paraId="49C41D0D" w14:textId="77777777" w:rsidR="00B9138D" w:rsidRDefault="00B9138D" w:rsidP="00B86628">
      <w:pPr>
        <w:pStyle w:val="NoSpacing"/>
        <w:rPr>
          <w:rFonts w:ascii="Arial Black" w:hAnsi="Arial Black"/>
          <w:sz w:val="24"/>
          <w:szCs w:val="24"/>
        </w:rPr>
      </w:pPr>
    </w:p>
    <w:p w14:paraId="0EBE4701" w14:textId="10A8371C" w:rsidR="008D499E" w:rsidRDefault="00453E02" w:rsidP="00B86628">
      <w:pPr>
        <w:pStyle w:val="NoSpacing"/>
        <w:rPr>
          <w:rFonts w:ascii="Arial Black" w:hAnsi="Arial Black"/>
          <w:sz w:val="24"/>
          <w:szCs w:val="24"/>
        </w:rPr>
      </w:pPr>
      <w:r>
        <w:rPr>
          <w:rFonts w:ascii="Arial Black" w:hAnsi="Arial Black"/>
          <w:sz w:val="24"/>
          <w:szCs w:val="24"/>
        </w:rPr>
        <w:t>1-</w:t>
      </w:r>
      <w:r w:rsidR="008D499E">
        <w:rPr>
          <w:rFonts w:ascii="Arial Black" w:hAnsi="Arial Black"/>
          <w:sz w:val="24"/>
          <w:szCs w:val="24"/>
        </w:rPr>
        <w:t>175</w:t>
      </w:r>
    </w:p>
    <w:p w14:paraId="6F060733" w14:textId="77777777" w:rsidR="008D499E" w:rsidRDefault="008D499E" w:rsidP="00B86628">
      <w:pPr>
        <w:pStyle w:val="NoSpacing"/>
        <w:rPr>
          <w:rFonts w:ascii="Arial Black" w:hAnsi="Arial Black"/>
          <w:sz w:val="24"/>
          <w:szCs w:val="24"/>
        </w:rPr>
      </w:pPr>
    </w:p>
    <w:p w14:paraId="57DD6EA0" w14:textId="77777777" w:rsidR="008D499E" w:rsidRDefault="008D499E" w:rsidP="008D499E">
      <w:pPr>
        <w:spacing w:after="0"/>
        <w:rPr>
          <w:rFonts w:ascii="Arial Black" w:hAnsi="Arial Black"/>
          <w:b/>
          <w:bCs/>
          <w:sz w:val="28"/>
          <w:szCs w:val="28"/>
        </w:rPr>
      </w:pPr>
      <w:r>
        <w:rPr>
          <w:rFonts w:ascii="Arial Black" w:hAnsi="Arial Black"/>
          <w:b/>
          <w:sz w:val="28"/>
          <w:szCs w:val="28"/>
        </w:rPr>
        <w:t>MO: ARSON - HOUSE FIRE - INSURED $350K / WORTH $60K</w:t>
      </w:r>
    </w:p>
    <w:p w14:paraId="64E9CC82" w14:textId="77777777" w:rsidR="008D499E" w:rsidRPr="00E57AE8" w:rsidRDefault="008D499E" w:rsidP="008D499E">
      <w:pPr>
        <w:spacing w:after="0"/>
        <w:rPr>
          <w:rFonts w:ascii="Times New Roman" w:hAnsi="Times New Roman"/>
          <w:sz w:val="24"/>
          <w:szCs w:val="24"/>
        </w:rPr>
      </w:pPr>
    </w:p>
    <w:p w14:paraId="78579601" w14:textId="77777777" w:rsidR="008D499E" w:rsidRPr="00C60EC1" w:rsidRDefault="008D499E" w:rsidP="008D499E">
      <w:pPr>
        <w:spacing w:after="0"/>
        <w:rPr>
          <w:rFonts w:ascii="Times New Roman" w:hAnsi="Times New Roman"/>
          <w:sz w:val="24"/>
          <w:szCs w:val="24"/>
        </w:rPr>
      </w:pPr>
      <w:r w:rsidRPr="00C60EC1">
        <w:rPr>
          <w:rFonts w:ascii="Times New Roman" w:hAnsi="Times New Roman"/>
          <w:sz w:val="24"/>
          <w:szCs w:val="24"/>
        </w:rPr>
        <w:t xml:space="preserve">On March 24, 2025, in </w:t>
      </w:r>
      <w:proofErr w:type="spellStart"/>
      <w:r w:rsidRPr="00C60EC1">
        <w:rPr>
          <w:rFonts w:ascii="Times New Roman" w:hAnsi="Times New Roman"/>
          <w:sz w:val="24"/>
          <w:szCs w:val="24"/>
          <w:u w:val="single"/>
        </w:rPr>
        <w:t>Amguard</w:t>
      </w:r>
      <w:proofErr w:type="spellEnd"/>
      <w:r w:rsidRPr="00C60EC1">
        <w:rPr>
          <w:rFonts w:ascii="Times New Roman" w:hAnsi="Times New Roman"/>
          <w:sz w:val="24"/>
          <w:szCs w:val="24"/>
          <w:u w:val="single"/>
        </w:rPr>
        <w:t xml:space="preserve"> Insurance Company v. James Cantrell, III</w:t>
      </w:r>
      <w:r w:rsidRPr="00C60EC1">
        <w:rPr>
          <w:rFonts w:ascii="Times New Roman" w:hAnsi="Times New Roman"/>
          <w:sz w:val="24"/>
          <w:szCs w:val="24"/>
        </w:rPr>
        <w:t xml:space="preserve">, U.S. District Court Judge Douglas Harpool, U.S. District Court for the Western District of Missouri, Southern Division, denied the homeowner’s motion for partial summary judgment in a lawsuit by the insurance company.  The insurance company refused to pay claim for March 8, </w:t>
      </w:r>
      <w:proofErr w:type="gramStart"/>
      <w:r w:rsidRPr="00C60EC1">
        <w:rPr>
          <w:rFonts w:ascii="Times New Roman" w:hAnsi="Times New Roman"/>
          <w:sz w:val="24"/>
          <w:szCs w:val="24"/>
        </w:rPr>
        <w:t>2023</w:t>
      </w:r>
      <w:proofErr w:type="gramEnd"/>
      <w:r w:rsidRPr="00C60EC1">
        <w:rPr>
          <w:rFonts w:ascii="Times New Roman" w:hAnsi="Times New Roman"/>
          <w:sz w:val="24"/>
          <w:szCs w:val="24"/>
        </w:rPr>
        <w:t xml:space="preserve"> house fire of $525,000 ($350,000 for house; $175,000 personal property).  There was little property in the home at the time of the fire; he was observed at </w:t>
      </w:r>
      <w:proofErr w:type="gramStart"/>
      <w:r w:rsidRPr="00C60EC1">
        <w:rPr>
          <w:rFonts w:ascii="Times New Roman" w:hAnsi="Times New Roman"/>
          <w:sz w:val="24"/>
          <w:szCs w:val="24"/>
        </w:rPr>
        <w:t>the home</w:t>
      </w:r>
      <w:proofErr w:type="gramEnd"/>
      <w:r w:rsidRPr="00C60EC1">
        <w:rPr>
          <w:rFonts w:ascii="Times New Roman" w:hAnsi="Times New Roman"/>
          <w:sz w:val="24"/>
          <w:szCs w:val="24"/>
        </w:rPr>
        <w:t xml:space="preserve"> at 8:08 pm, and fire </w:t>
      </w:r>
      <w:proofErr w:type="gramStart"/>
      <w:r w:rsidRPr="00C60EC1">
        <w:rPr>
          <w:rFonts w:ascii="Times New Roman" w:hAnsi="Times New Roman"/>
          <w:sz w:val="24"/>
          <w:szCs w:val="24"/>
        </w:rPr>
        <w:t>run came</w:t>
      </w:r>
      <w:proofErr w:type="gramEnd"/>
      <w:r w:rsidRPr="00C60EC1">
        <w:rPr>
          <w:rFonts w:ascii="Times New Roman" w:hAnsi="Times New Roman"/>
          <w:sz w:val="24"/>
          <w:szCs w:val="24"/>
        </w:rPr>
        <w:t xml:space="preserve"> in at 8:32 pm; and the hydrant had been manually turned off. The homeowner’s wife, Kara Cantrell, testified in her deposition that his husband “had filed previous fire insurance claims in January 2020 when her vehicle and their log cabin in Fair Play, Missouri burned within twenty-four hours of each other…. Ms. Cantrell also testified that on February 27, 2023, Defendant had looked up on her phone how to total a house.” </w:t>
      </w:r>
      <w:hyperlink r:id="rId100" w:history="1">
        <w:r w:rsidRPr="00C60EC1">
          <w:rPr>
            <w:rStyle w:val="Hyperlink"/>
            <w:rFonts w:ascii="Times New Roman" w:hAnsi="Times New Roman"/>
            <w:sz w:val="24"/>
            <w:szCs w:val="24"/>
          </w:rPr>
          <w:t>https://public.fastcase.com/jaEE2PXzRXmZ99jOLMt1IvQQ%2FwWODLAEJBukBPNCALgft0sHziy1G1EiNPA2la2I%2Bz7mV9PFJnpwehw24IHtnmGvfRX%2FCWFczT3vlKR%2B0P0%3D?utm_medium=email&amp;_hsenc=p2ANqtz--SWSAGzwwNdnG_VMPYwGihlDivIcGecVdTRk_nr30XIo07pFHIeVloVzlVGarTG9brlCuLB39_kFjuWt_H_cWvO7FD4A&amp;_hsmi=226712652&amp;utm_content=226712652&amp;utm_source=hs_email</w:t>
        </w:r>
      </w:hyperlink>
      <w:r w:rsidRPr="00C60EC1">
        <w:rPr>
          <w:rFonts w:ascii="Times New Roman" w:hAnsi="Times New Roman"/>
          <w:sz w:val="24"/>
          <w:szCs w:val="24"/>
        </w:rPr>
        <w:t xml:space="preserve"> </w:t>
      </w:r>
    </w:p>
    <w:p w14:paraId="58267EDB" w14:textId="77777777" w:rsidR="008D499E" w:rsidRPr="00C60EC1" w:rsidRDefault="008D499E" w:rsidP="00B86628">
      <w:pPr>
        <w:pStyle w:val="NoSpacing"/>
        <w:rPr>
          <w:rFonts w:ascii="Times New Roman" w:hAnsi="Times New Roman"/>
          <w:sz w:val="24"/>
          <w:szCs w:val="24"/>
        </w:rPr>
      </w:pPr>
    </w:p>
    <w:p w14:paraId="4D0A0C91" w14:textId="77777777" w:rsidR="00C60EC1" w:rsidRPr="00C60EC1" w:rsidRDefault="00C60EC1" w:rsidP="00C60EC1">
      <w:pPr>
        <w:spacing w:after="0"/>
        <w:rPr>
          <w:b/>
          <w:bCs/>
          <w:sz w:val="24"/>
          <w:szCs w:val="24"/>
        </w:rPr>
      </w:pPr>
      <w:r w:rsidRPr="00C60EC1">
        <w:rPr>
          <w:b/>
          <w:sz w:val="24"/>
          <w:szCs w:val="24"/>
        </w:rPr>
        <w:t xml:space="preserve">Legal Lesson Learned:  Insurance companies, when suspecting arson, can file lawsuits seeking court approval to not pay a suspicious claim. </w:t>
      </w:r>
    </w:p>
    <w:p w14:paraId="06CC6608" w14:textId="77777777" w:rsidR="00E57AE8" w:rsidRDefault="00E57AE8" w:rsidP="00B86628">
      <w:pPr>
        <w:pStyle w:val="NoSpacing"/>
        <w:rPr>
          <w:rFonts w:ascii="Arial Black" w:hAnsi="Arial Black"/>
          <w:sz w:val="24"/>
          <w:szCs w:val="24"/>
        </w:rPr>
      </w:pPr>
    </w:p>
    <w:p w14:paraId="5D23C62F" w14:textId="77777777" w:rsidR="008D499E" w:rsidRDefault="008D499E" w:rsidP="00B86628">
      <w:pPr>
        <w:pStyle w:val="NoSpacing"/>
        <w:rPr>
          <w:rFonts w:ascii="Arial Black" w:hAnsi="Arial Black"/>
          <w:sz w:val="24"/>
          <w:szCs w:val="24"/>
        </w:rPr>
      </w:pPr>
    </w:p>
    <w:p w14:paraId="5E5B7F81" w14:textId="1D305179" w:rsidR="00DA55B0" w:rsidRDefault="00453E02" w:rsidP="00B86628">
      <w:pPr>
        <w:pStyle w:val="NoSpacing"/>
        <w:rPr>
          <w:rFonts w:ascii="Arial Black" w:hAnsi="Arial Black"/>
          <w:sz w:val="24"/>
          <w:szCs w:val="24"/>
        </w:rPr>
      </w:pPr>
      <w:r>
        <w:rPr>
          <w:rFonts w:ascii="Arial Black" w:hAnsi="Arial Black"/>
          <w:sz w:val="24"/>
          <w:szCs w:val="24"/>
        </w:rPr>
        <w:t>1-</w:t>
      </w:r>
      <w:r w:rsidR="00DA55B0">
        <w:rPr>
          <w:rFonts w:ascii="Arial Black" w:hAnsi="Arial Black"/>
          <w:sz w:val="24"/>
          <w:szCs w:val="24"/>
        </w:rPr>
        <w:t>174</w:t>
      </w:r>
    </w:p>
    <w:p w14:paraId="7740C0D6" w14:textId="77777777" w:rsidR="00DA55B0" w:rsidRDefault="00DA55B0" w:rsidP="00B86628">
      <w:pPr>
        <w:pStyle w:val="NoSpacing"/>
        <w:rPr>
          <w:rFonts w:ascii="Arial Black" w:hAnsi="Arial Black"/>
          <w:sz w:val="24"/>
          <w:szCs w:val="24"/>
        </w:rPr>
      </w:pPr>
    </w:p>
    <w:p w14:paraId="7F37DB99" w14:textId="320890B7" w:rsidR="005C5C79" w:rsidRDefault="005C5C79" w:rsidP="005C5C79">
      <w:pPr>
        <w:rPr>
          <w:rFonts w:ascii="Arial Black" w:hAnsi="Arial Black"/>
          <w:sz w:val="28"/>
          <w:szCs w:val="28"/>
        </w:rPr>
      </w:pPr>
      <w:r w:rsidRPr="000B7F2C">
        <w:rPr>
          <w:rFonts w:ascii="Arial Black" w:hAnsi="Arial Black"/>
          <w:sz w:val="28"/>
          <w:szCs w:val="28"/>
        </w:rPr>
        <w:t xml:space="preserve">U.S. SUP. CT. – PROS. MUST CORRECT FALSE TESTIMONY </w:t>
      </w:r>
      <w:r w:rsidR="00D97A78">
        <w:rPr>
          <w:rFonts w:ascii="Arial Black" w:hAnsi="Arial Black"/>
          <w:sz w:val="28"/>
          <w:szCs w:val="28"/>
        </w:rPr>
        <w:t>– DEATH ROW INMATE NEW TRIAL</w:t>
      </w:r>
    </w:p>
    <w:p w14:paraId="1CF07A64" w14:textId="77777777" w:rsidR="005C5C79" w:rsidRPr="005C5C79" w:rsidRDefault="005C5C79" w:rsidP="005C5C79">
      <w:pPr>
        <w:pStyle w:val="NoSpacing"/>
        <w:rPr>
          <w:rFonts w:ascii="Times New Roman" w:hAnsi="Times New Roman"/>
          <w:bCs/>
          <w:sz w:val="24"/>
          <w:szCs w:val="24"/>
        </w:rPr>
      </w:pPr>
      <w:r w:rsidRPr="005C5C79">
        <w:rPr>
          <w:rFonts w:ascii="Times New Roman" w:hAnsi="Times New Roman"/>
          <w:sz w:val="24"/>
          <w:szCs w:val="24"/>
        </w:rPr>
        <w:t xml:space="preserve">On Feb. 25, 2025, in </w:t>
      </w:r>
      <w:r w:rsidRPr="005C5C79">
        <w:rPr>
          <w:rFonts w:ascii="Times New Roman" w:hAnsi="Times New Roman"/>
          <w:sz w:val="24"/>
          <w:szCs w:val="24"/>
          <w:u w:val="single"/>
        </w:rPr>
        <w:t>Richard Glossip v. Oklahoma</w:t>
      </w:r>
      <w:r w:rsidRPr="005C5C79">
        <w:rPr>
          <w:rFonts w:ascii="Times New Roman" w:hAnsi="Times New Roman"/>
          <w:sz w:val="24"/>
          <w:szCs w:val="24"/>
        </w:rPr>
        <w:t xml:space="preserve">, the U.S. Supreme Court held (5 to 3) that death row inmate Richard Glossip is entitled to a new trial, since the Oklahoma Attorney General admitted that prosecutors failed to disclose their key witness (Justin Sneed, who committed the murder with a baseball bat) falsely testified he did not suffer from bipolar disorder and was not administered lithium by jail psychiatrist to treat that condition   Richard Glossip was manager of the Best Budget Inn in Tulsa.  Sneed, a part-time employee, said he was paid by Glossip to kill the owner of the hotel (Barry Van Treese) to cover up Glossip’s embezzlement of hotel money.  Sneed testified against Glossip in exchange for avoiding the death penalty, and when first conviction was reversed for ineffective counsel, he testified in a second trial.  Sneed was the “only direct evidence connecting Glossip to the murder.” </w:t>
      </w:r>
      <w:hyperlink r:id="rId101" w:history="1">
        <w:r w:rsidRPr="005C5C79">
          <w:rPr>
            <w:rStyle w:val="Hyperlink"/>
            <w:rFonts w:ascii="Times New Roman" w:hAnsi="Times New Roman"/>
            <w:sz w:val="24"/>
            <w:szCs w:val="24"/>
          </w:rPr>
          <w:t>https://www.supremecourt.gov/opinions/24pdf/22-7466new_6479.pdf</w:t>
        </w:r>
      </w:hyperlink>
      <w:r w:rsidRPr="005C5C79">
        <w:rPr>
          <w:rFonts w:ascii="Times New Roman" w:hAnsi="Times New Roman"/>
          <w:sz w:val="24"/>
          <w:szCs w:val="24"/>
        </w:rPr>
        <w:t xml:space="preserve"> </w:t>
      </w:r>
    </w:p>
    <w:p w14:paraId="1E4C834B" w14:textId="77777777" w:rsidR="005C5C79" w:rsidRDefault="005C5C79" w:rsidP="005C5C79">
      <w:pPr>
        <w:pStyle w:val="NoSpacing"/>
        <w:rPr>
          <w:rFonts w:ascii="Times New Roman" w:hAnsi="Times New Roman"/>
          <w:sz w:val="24"/>
          <w:szCs w:val="24"/>
        </w:rPr>
      </w:pPr>
    </w:p>
    <w:p w14:paraId="509400E7" w14:textId="1B2CBC9D" w:rsidR="005C5C79" w:rsidRPr="005C5C79" w:rsidRDefault="005C5C79" w:rsidP="005C5C79">
      <w:pPr>
        <w:pStyle w:val="NoSpacing"/>
        <w:rPr>
          <w:rFonts w:ascii="Times New Roman" w:hAnsi="Times New Roman"/>
          <w:bCs/>
          <w:sz w:val="24"/>
          <w:szCs w:val="24"/>
        </w:rPr>
      </w:pPr>
      <w:r w:rsidRPr="005C5C79">
        <w:rPr>
          <w:rFonts w:ascii="Times New Roman" w:hAnsi="Times New Roman"/>
          <w:sz w:val="24"/>
          <w:szCs w:val="24"/>
        </w:rPr>
        <w:t>The Majority decision (by Justice Sonia Maria Sotomayor):</w:t>
      </w:r>
    </w:p>
    <w:p w14:paraId="58F38F0F" w14:textId="77777777" w:rsidR="005C5C79" w:rsidRPr="005C5C79" w:rsidRDefault="005C5C79" w:rsidP="005C5C79">
      <w:pPr>
        <w:pStyle w:val="NoSpacing"/>
        <w:rPr>
          <w:rFonts w:ascii="Times New Roman" w:hAnsi="Times New Roman"/>
          <w:bCs/>
          <w:sz w:val="24"/>
          <w:szCs w:val="24"/>
        </w:rPr>
      </w:pPr>
    </w:p>
    <w:p w14:paraId="17199174" w14:textId="6EC1F4CD"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“Nearly two decades later, the State disclosed eight boxes of previously withheld documents from Glossip’s trial. These documents show that Sneed suffered from bipolar</w:t>
      </w:r>
      <w:r>
        <w:rPr>
          <w:rFonts w:ascii="Times New Roman" w:hAnsi="Times New Roman"/>
          <w:sz w:val="24"/>
          <w:szCs w:val="24"/>
        </w:rPr>
        <w:t xml:space="preserve"> </w:t>
      </w:r>
      <w:r w:rsidRPr="005C5C79">
        <w:rPr>
          <w:rFonts w:ascii="Times New Roman" w:hAnsi="Times New Roman"/>
          <w:sz w:val="24"/>
          <w:szCs w:val="24"/>
        </w:rPr>
        <w:t>disorder, which, combined with his known drug use, could have caused impulsive outbursts of violence. They also established, the State agrees, that a jail psychiatrist prescribed Sneed lithium to treat that condition, and that the prosecution allowed Sneed falsely to testify at trial that he had never seen a psychiatrist. Faced with that evidence,</w:t>
      </w:r>
    </w:p>
    <w:p w14:paraId="4AEDC5D7"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Oklahoma’s attorney general confessed error.</w:t>
      </w:r>
    </w:p>
    <w:p w14:paraId="1ECB9383" w14:textId="77777777" w:rsidR="005C5C79" w:rsidRPr="005C5C79" w:rsidRDefault="005C5C79" w:rsidP="005C5C79">
      <w:pPr>
        <w:pStyle w:val="NoSpacing"/>
        <w:rPr>
          <w:rFonts w:ascii="Times New Roman" w:hAnsi="Times New Roman"/>
          <w:bCs/>
          <w:sz w:val="24"/>
          <w:szCs w:val="24"/>
        </w:rPr>
      </w:pPr>
    </w:p>
    <w:p w14:paraId="02E6CA3B"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6AE8F167"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 xml:space="preserve">Turning to the merits, we conclude that the prosecution violated its constitutional obligation to correct false testimony. In </w:t>
      </w:r>
      <w:r w:rsidRPr="005C5C79">
        <w:rPr>
          <w:rFonts w:ascii="Times New Roman" w:hAnsi="Times New Roman"/>
          <w:sz w:val="24"/>
          <w:szCs w:val="24"/>
          <w:u w:val="single"/>
        </w:rPr>
        <w:t>Napue v. Illinois</w:t>
      </w:r>
      <w:r w:rsidRPr="005C5C79">
        <w:rPr>
          <w:rFonts w:ascii="Times New Roman" w:hAnsi="Times New Roman"/>
          <w:sz w:val="24"/>
          <w:szCs w:val="24"/>
        </w:rPr>
        <w:t xml:space="preserve">, [June 15, 1959; </w:t>
      </w:r>
      <w:hyperlink r:id="rId102" w:history="1">
        <w:r w:rsidRPr="005C5C79">
          <w:rPr>
            <w:rStyle w:val="Hyperlink"/>
            <w:rFonts w:ascii="Times New Roman" w:hAnsi="Times New Roman"/>
            <w:sz w:val="24"/>
            <w:szCs w:val="24"/>
          </w:rPr>
          <w:t>https://supreme.justia.com/cases/federal/us/360/264/</w:t>
        </w:r>
      </w:hyperlink>
      <w:r w:rsidRPr="005C5C79">
        <w:rPr>
          <w:rFonts w:ascii="Times New Roman" w:hAnsi="Times New Roman"/>
          <w:sz w:val="24"/>
          <w:szCs w:val="24"/>
        </w:rPr>
        <w:t xml:space="preserve"> ] this Court held that a conviction</w:t>
      </w:r>
    </w:p>
    <w:p w14:paraId="0581F090"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 xml:space="preserve">knowingly ‘obtained through use of false evidence’ violates the Fourteenth Amendment’s Due Process Clause. 360 U. S., at 269. To establish a Napue violation, a defendant must show that the prosecution knowingly solicited false testimony or knowingly allowed it ‘to go uncorrected when it </w:t>
      </w:r>
      <w:proofErr w:type="gramStart"/>
      <w:r w:rsidRPr="005C5C79">
        <w:rPr>
          <w:rFonts w:ascii="Times New Roman" w:hAnsi="Times New Roman"/>
          <w:sz w:val="24"/>
          <w:szCs w:val="24"/>
        </w:rPr>
        <w:t>appear</w:t>
      </w:r>
      <w:proofErr w:type="gramEnd"/>
      <w:r w:rsidRPr="005C5C79">
        <w:rPr>
          <w:rFonts w:ascii="Times New Roman" w:hAnsi="Times New Roman"/>
          <w:sz w:val="24"/>
          <w:szCs w:val="24"/>
        </w:rPr>
        <w:t>[ed].’ Ibid. If the defendant makes that showing, a new trial is warranted so long as the false testimony ‘may have had an effect on the outcome of the trial,” id., at 272—that is, if it ‘in any reasonable likelihood [could] have affected the judgment of the jury.’</w:t>
      </w:r>
    </w:p>
    <w:p w14:paraId="64F67D55" w14:textId="77777777" w:rsidR="005C5C79" w:rsidRPr="005C5C79" w:rsidRDefault="005C5C79" w:rsidP="005C5C79">
      <w:pPr>
        <w:pStyle w:val="NoSpacing"/>
        <w:rPr>
          <w:rFonts w:ascii="Times New Roman" w:hAnsi="Times New Roman"/>
          <w:bCs/>
          <w:sz w:val="24"/>
          <w:szCs w:val="24"/>
        </w:rPr>
      </w:pPr>
    </w:p>
    <w:p w14:paraId="5F33087C"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43D95862" w14:textId="77777777" w:rsidR="005C5C79" w:rsidRPr="005C5C79" w:rsidRDefault="005C5C79" w:rsidP="005C5C79">
      <w:pPr>
        <w:pStyle w:val="NoSpacing"/>
        <w:rPr>
          <w:rFonts w:ascii="Times New Roman" w:hAnsi="Times New Roman"/>
          <w:bCs/>
          <w:sz w:val="24"/>
          <w:szCs w:val="24"/>
        </w:rPr>
      </w:pPr>
    </w:p>
    <w:p w14:paraId="0420918E"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The evidence likewise establishes that the prosecution knew Sneed’s statements were false as he testified to them.  The prosecution almost certainly had access to Sneed’s medical file, which would have listed both the lithium prescription and the bipolar diagnosis. Among other things, those records would have been provided to the State as part of Sneed’s competency evaluation …and the State opposed Glossip’s discovery request of Sneed’s medical files on its merits….</w:t>
      </w:r>
    </w:p>
    <w:p w14:paraId="707CA1EA" w14:textId="77777777" w:rsidR="005C5C79" w:rsidRPr="005C5C79" w:rsidRDefault="005C5C79" w:rsidP="005C5C79">
      <w:pPr>
        <w:pStyle w:val="NoSpacing"/>
        <w:rPr>
          <w:rFonts w:ascii="Times New Roman" w:hAnsi="Times New Roman"/>
          <w:bCs/>
          <w:sz w:val="24"/>
          <w:szCs w:val="24"/>
        </w:rPr>
      </w:pPr>
    </w:p>
    <w:p w14:paraId="785C8A16"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112A6668"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For these reasons, we conclude that the prosecution’s failure to correct Sneed’s trial testimony violated the Due Process Clause. Glossip is entitled to a new trial.”</w:t>
      </w:r>
    </w:p>
    <w:p w14:paraId="22A7535D" w14:textId="77777777" w:rsidR="005C5C79" w:rsidRPr="005C5C79" w:rsidRDefault="005C5C79" w:rsidP="005C5C79">
      <w:pPr>
        <w:pStyle w:val="NoSpacing"/>
        <w:rPr>
          <w:rFonts w:ascii="Times New Roman" w:hAnsi="Times New Roman"/>
          <w:bCs/>
          <w:sz w:val="24"/>
          <w:szCs w:val="24"/>
        </w:rPr>
      </w:pPr>
    </w:p>
    <w:p w14:paraId="0835D761" w14:textId="77777777" w:rsidR="005C5C79" w:rsidRPr="005C5C79" w:rsidRDefault="005C5C79" w:rsidP="00687306">
      <w:pPr>
        <w:pStyle w:val="NoSpacing"/>
        <w:ind w:left="720"/>
        <w:rPr>
          <w:rFonts w:ascii="Times New Roman" w:hAnsi="Times New Roman"/>
          <w:b/>
          <w:sz w:val="24"/>
          <w:szCs w:val="24"/>
        </w:rPr>
      </w:pPr>
      <w:r w:rsidRPr="005C5C79">
        <w:rPr>
          <w:rFonts w:ascii="Times New Roman" w:hAnsi="Times New Roman"/>
          <w:b/>
          <w:sz w:val="24"/>
          <w:szCs w:val="24"/>
        </w:rPr>
        <w:t xml:space="preserve">Legal Lesson Learned: Prosecutors must correct false testimony.  In arson and other criminal cases, if fire or EMS learn of incorrect testimony by prosecution  witness, immediately inform the prosecutor so it can be disclosed to the defense and the Court.  </w:t>
      </w:r>
    </w:p>
    <w:p w14:paraId="14944762" w14:textId="77777777" w:rsidR="005C5C79" w:rsidRPr="005C5C79" w:rsidRDefault="005C5C79" w:rsidP="005C5C79">
      <w:pPr>
        <w:pStyle w:val="NoSpacing"/>
        <w:rPr>
          <w:rFonts w:ascii="Times New Roman" w:hAnsi="Times New Roman"/>
          <w:bCs/>
          <w:sz w:val="24"/>
          <w:szCs w:val="24"/>
        </w:rPr>
      </w:pPr>
    </w:p>
    <w:p w14:paraId="56E16E5F" w14:textId="77777777" w:rsidR="00DA55B0" w:rsidRDefault="00DA55B0" w:rsidP="00B86628">
      <w:pPr>
        <w:pStyle w:val="NoSpacing"/>
        <w:rPr>
          <w:rFonts w:ascii="Arial Black" w:hAnsi="Arial Black"/>
          <w:sz w:val="24"/>
          <w:szCs w:val="24"/>
        </w:rPr>
      </w:pPr>
    </w:p>
    <w:p w14:paraId="633EF65D" w14:textId="77777777" w:rsidR="00DA55B0" w:rsidRDefault="00DA55B0" w:rsidP="00B86628">
      <w:pPr>
        <w:pStyle w:val="NoSpacing"/>
        <w:rPr>
          <w:rFonts w:ascii="Arial Black" w:hAnsi="Arial Black"/>
          <w:sz w:val="24"/>
          <w:szCs w:val="24"/>
        </w:rPr>
      </w:pPr>
    </w:p>
    <w:p w14:paraId="1553FDAE" w14:textId="1427812F" w:rsidR="00C11ACF" w:rsidRDefault="00453E02" w:rsidP="00B86628">
      <w:pPr>
        <w:pStyle w:val="NoSpacing"/>
        <w:rPr>
          <w:rFonts w:ascii="Arial Black" w:hAnsi="Arial Black"/>
          <w:sz w:val="24"/>
          <w:szCs w:val="24"/>
        </w:rPr>
      </w:pPr>
      <w:r>
        <w:rPr>
          <w:rFonts w:ascii="Arial Black" w:hAnsi="Arial Black"/>
          <w:sz w:val="24"/>
          <w:szCs w:val="24"/>
        </w:rPr>
        <w:t>1-</w:t>
      </w:r>
      <w:r w:rsidR="00C11ACF">
        <w:rPr>
          <w:rFonts w:ascii="Arial Black" w:hAnsi="Arial Black"/>
          <w:sz w:val="24"/>
          <w:szCs w:val="24"/>
        </w:rPr>
        <w:t>173</w:t>
      </w:r>
    </w:p>
    <w:p w14:paraId="21E9F0B3" w14:textId="77777777" w:rsidR="00C11ACF" w:rsidRDefault="00C11ACF" w:rsidP="00B86628">
      <w:pPr>
        <w:pStyle w:val="NoSpacing"/>
        <w:rPr>
          <w:rFonts w:ascii="Arial Black" w:hAnsi="Arial Black"/>
          <w:sz w:val="24"/>
          <w:szCs w:val="24"/>
        </w:rPr>
      </w:pPr>
    </w:p>
    <w:p w14:paraId="2E8AC6FB" w14:textId="1602A3F4" w:rsidR="008E1AE0" w:rsidRPr="00DA55B0" w:rsidRDefault="008E1AE0" w:rsidP="008E1AE0">
      <w:pPr>
        <w:rPr>
          <w:rFonts w:ascii="Arial Black" w:hAnsi="Arial Black"/>
          <w:sz w:val="28"/>
          <w:szCs w:val="28"/>
        </w:rPr>
      </w:pPr>
      <w:r w:rsidRPr="000B7F2C">
        <w:rPr>
          <w:rFonts w:ascii="Arial Black" w:hAnsi="Arial Black"/>
          <w:sz w:val="28"/>
          <w:szCs w:val="28"/>
        </w:rPr>
        <w:t>AR: LOST FOREST – 3 SIGNAL FIRES – NO “NECESSITY DEF.”</w:t>
      </w:r>
    </w:p>
    <w:p w14:paraId="1B743FBD" w14:textId="3AD8E9B6" w:rsidR="008E1AE0" w:rsidRPr="00DA55B0" w:rsidRDefault="008E1AE0" w:rsidP="008E1AE0">
      <w:pPr>
        <w:rPr>
          <w:rFonts w:ascii="Times New Roman" w:hAnsi="Times New Roman"/>
          <w:sz w:val="24"/>
          <w:szCs w:val="24"/>
        </w:rPr>
      </w:pPr>
      <w:r w:rsidRPr="00DA55B0">
        <w:rPr>
          <w:rFonts w:ascii="Times New Roman" w:hAnsi="Times New Roman"/>
          <w:sz w:val="24"/>
          <w:szCs w:val="24"/>
        </w:rPr>
        <w:t xml:space="preserve">On Feb. 24, 2025, in </w:t>
      </w:r>
      <w:r w:rsidRPr="00DA55B0">
        <w:rPr>
          <w:rFonts w:ascii="Times New Roman" w:hAnsi="Times New Roman"/>
          <w:sz w:val="24"/>
          <w:szCs w:val="24"/>
          <w:u w:val="single"/>
        </w:rPr>
        <w:t>United States of America v. Philip Alejandro Powers, III</w:t>
      </w:r>
      <w:r w:rsidRPr="00DA55B0">
        <w:rPr>
          <w:rFonts w:ascii="Times New Roman" w:hAnsi="Times New Roman"/>
          <w:sz w:val="24"/>
          <w:szCs w:val="24"/>
        </w:rPr>
        <w:t>, the U.S. Court of Appeals for the 9</w:t>
      </w:r>
      <w:r w:rsidRPr="00DA55B0">
        <w:rPr>
          <w:rFonts w:ascii="Times New Roman" w:hAnsi="Times New Roman"/>
          <w:sz w:val="24"/>
          <w:szCs w:val="24"/>
          <w:vertAlign w:val="superscript"/>
        </w:rPr>
        <w:t>th</w:t>
      </w:r>
      <w:r w:rsidRPr="00DA55B0">
        <w:rPr>
          <w:rFonts w:ascii="Times New Roman" w:hAnsi="Times New Roman"/>
          <w:sz w:val="24"/>
          <w:szCs w:val="24"/>
        </w:rPr>
        <w:t xml:space="preserve"> Circuit (San Francisco) held (3 to 0) that the U.S. Magistrate Judge who presided at two-day bench trial [no jury] properly rejected the “necessity defense” and found the defendant guilty of seven misdemeanor counts of leaving fires unattended, sentenced him to supervised probation, and ordered him to pay restitution to the U.S. Forest Service of $293,413.71 in recoverable fire suppression costs. </w:t>
      </w:r>
      <w:hyperlink r:id="rId103" w:history="1">
        <w:r w:rsidRPr="00DA55B0">
          <w:rPr>
            <w:rStyle w:val="Hyperlink"/>
            <w:rFonts w:ascii="Times New Roman" w:hAnsi="Times New Roman"/>
            <w:sz w:val="24"/>
            <w:szCs w:val="24"/>
          </w:rPr>
          <w:t>https://cdn.ca9.uscourts.gov/datastore/opinions/2025/02/24/23-2218.pdf</w:t>
        </w:r>
      </w:hyperlink>
      <w:r w:rsidRPr="00DA55B0">
        <w:rPr>
          <w:rFonts w:ascii="Times New Roman" w:hAnsi="Times New Roman"/>
          <w:sz w:val="24"/>
          <w:szCs w:val="24"/>
        </w:rPr>
        <w:t xml:space="preserve"> </w:t>
      </w:r>
    </w:p>
    <w:p w14:paraId="55BDF0A1" w14:textId="77777777" w:rsidR="008E1AE0" w:rsidRPr="00DA55B0" w:rsidRDefault="008E1AE0" w:rsidP="008E1AE0">
      <w:pPr>
        <w:rPr>
          <w:rFonts w:ascii="Times New Roman" w:hAnsi="Times New Roman"/>
          <w:sz w:val="24"/>
          <w:szCs w:val="24"/>
        </w:rPr>
      </w:pPr>
      <w:r w:rsidRPr="00DA55B0">
        <w:rPr>
          <w:rFonts w:ascii="Times New Roman" w:hAnsi="Times New Roman"/>
          <w:sz w:val="24"/>
          <w:szCs w:val="24"/>
        </w:rPr>
        <w:t>The Court wrote:</w:t>
      </w:r>
    </w:p>
    <w:p w14:paraId="72C52874"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“Because Powers’s actions in setting the fires were objectively unreasonable, and because he was not facing imminent harm when he set the Taylor Fire, he failed to meet the requirements of the necessity defense. Accordingly, we affirm.</w:t>
      </w:r>
    </w:p>
    <w:p w14:paraId="10ADCD6D" w14:textId="77777777" w:rsidR="008E1AE0" w:rsidRPr="00DA55B0" w:rsidRDefault="008E1AE0" w:rsidP="008E1AE0">
      <w:pPr>
        <w:rPr>
          <w:rFonts w:ascii="Times New Roman" w:hAnsi="Times New Roman"/>
          <w:sz w:val="24"/>
          <w:szCs w:val="24"/>
        </w:rPr>
      </w:pPr>
    </w:p>
    <w:p w14:paraId="76AE75A2"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1DE3BA0B"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In May 2018, Powers began an approximately nineteen-mile hike on the Taylor Cabin Loop trail near Sedona, Arizona…. After losing the trail while hiking in northern Arizona, [the defendant] deliberately set three fires in the Prescott and Coconino National Forests…. He tried to use his phone to call for  help, but he had no signal. He decided to stay at the [Taylor] cabin overnight. </w:t>
      </w:r>
    </w:p>
    <w:p w14:paraId="44650AF1"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73619C4F"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[TAYLOR FIRE] Around 9:00 p.m., Powers decided to set a signal fire. There was a fire pit next to Taylor Cabin, but Powers believed that a fire in the pit would not create enough smoke to be noticed by passing planes. Thus, he ignited a nearby patch of ‘dead grass mixed in with vegetation’ that was ‘right next to [the] fire pit.’ This first fire, the Taylor Fire, spread over about a tenth of an acre, burning grass, brush, and small trees, but did not attract any rescuers.</w:t>
      </w:r>
    </w:p>
    <w:p w14:paraId="02B67DF6"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2E0AF234"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[SYCAMORE FIRE] After hiking about three miles away from Taylor Cabin [100 degrees], Powers decided to set another fire. He ‘tried to get to a spot where [he] would be easily visible,’ thinking that a higher ‘vantage point’ would allow the smoke to be ‘easily seen from the canyon.’ After searching for ‘dead brush that would easily ignite,’ ‘stay lit’ and </w:t>
      </w:r>
      <w:proofErr w:type="spellStart"/>
      <w:r w:rsidRPr="00DA55B0">
        <w:rPr>
          <w:rFonts w:ascii="Times New Roman" w:hAnsi="Times New Roman"/>
          <w:sz w:val="24"/>
          <w:szCs w:val="24"/>
        </w:rPr>
        <w:t>‘cause</w:t>
      </w:r>
      <w:proofErr w:type="spellEnd"/>
      <w:r w:rsidRPr="00DA55B0">
        <w:rPr>
          <w:rFonts w:ascii="Times New Roman" w:hAnsi="Times New Roman"/>
          <w:sz w:val="24"/>
          <w:szCs w:val="24"/>
        </w:rPr>
        <w:t xml:space="preserve"> smoke,’ Powers ignited a dead tree. He did not build a fire ring, dig a fire pit or remove any flammable materials from the area before starting the fire.</w:t>
      </w:r>
    </w:p>
    <w:p w14:paraId="74FA7255"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The Sycamore Fire spread uncontrolled over 230 acres of forest, burning timber, shrubs, and </w:t>
      </w:r>
      <w:proofErr w:type="gramStart"/>
      <w:r w:rsidRPr="00DA55B0">
        <w:rPr>
          <w:rFonts w:ascii="Times New Roman" w:hAnsi="Times New Roman"/>
          <w:sz w:val="24"/>
          <w:szCs w:val="24"/>
        </w:rPr>
        <w:t>grasses</w:t>
      </w:r>
      <w:proofErr w:type="gramEnd"/>
      <w:r w:rsidRPr="00DA55B0">
        <w:rPr>
          <w:rFonts w:ascii="Times New Roman" w:hAnsi="Times New Roman"/>
          <w:sz w:val="24"/>
          <w:szCs w:val="24"/>
        </w:rPr>
        <w:t xml:space="preserve">, and threatening Flagstaff, Arizona and the nearby watershed. Firefighters contained the fire after approximately nine </w:t>
      </w:r>
      <w:proofErr w:type="gramStart"/>
      <w:r w:rsidRPr="00DA55B0">
        <w:rPr>
          <w:rFonts w:ascii="Times New Roman" w:hAnsi="Times New Roman"/>
          <w:sz w:val="24"/>
          <w:szCs w:val="24"/>
        </w:rPr>
        <w:t>day</w:t>
      </w:r>
      <w:proofErr w:type="gramEnd"/>
      <w:r w:rsidRPr="00DA55B0">
        <w:rPr>
          <w:rFonts w:ascii="Times New Roman" w:hAnsi="Times New Roman"/>
          <w:sz w:val="24"/>
          <w:szCs w:val="24"/>
        </w:rPr>
        <w:t xml:space="preserve"> and the USFS incurred $293,413.71 in recoverable fire suppression costs.</w:t>
      </w:r>
    </w:p>
    <w:p w14:paraId="4701159F" w14:textId="77777777" w:rsidR="008E1AE0" w:rsidRPr="00DA55B0" w:rsidRDefault="008E1AE0" w:rsidP="008E1AE0">
      <w:pPr>
        <w:ind w:left="720"/>
        <w:rPr>
          <w:rFonts w:ascii="Times New Roman" w:hAnsi="Times New Roman"/>
          <w:b/>
          <w:bCs/>
          <w:sz w:val="24"/>
          <w:szCs w:val="24"/>
        </w:rPr>
      </w:pPr>
      <w:r w:rsidRPr="00DA55B0">
        <w:rPr>
          <w:rFonts w:ascii="Times New Roman" w:hAnsi="Times New Roman"/>
          <w:sz w:val="24"/>
          <w:szCs w:val="24"/>
        </w:rPr>
        <w:t xml:space="preserve">By choosing not to take any precautions and to set the Sycamore Fire in an unnecessarily careless manner (and then abandon it, unextinguished), Powers acted unreasonably…. Because Powers has not shown that he was facing imminent harm when he set the Taylor Fire, and because the </w:t>
      </w:r>
      <w:proofErr w:type="gramStart"/>
      <w:r w:rsidRPr="00DA55B0">
        <w:rPr>
          <w:rFonts w:ascii="Times New Roman" w:hAnsi="Times New Roman"/>
          <w:sz w:val="24"/>
          <w:szCs w:val="24"/>
        </w:rPr>
        <w:t>manner in which</w:t>
      </w:r>
      <w:proofErr w:type="gramEnd"/>
      <w:r w:rsidRPr="00DA55B0">
        <w:rPr>
          <w:rFonts w:ascii="Times New Roman" w:hAnsi="Times New Roman"/>
          <w:sz w:val="24"/>
          <w:szCs w:val="24"/>
        </w:rPr>
        <w:t xml:space="preserve"> he set the fire was objectively unreasonable, his necessity defense as to Counts 2 and 5 fails.</w:t>
      </w:r>
    </w:p>
    <w:p w14:paraId="0FA76096" w14:textId="77777777" w:rsidR="008E1AE0" w:rsidRPr="00DA55B0" w:rsidRDefault="008E1AE0" w:rsidP="008E1AE0">
      <w:pPr>
        <w:rPr>
          <w:rFonts w:ascii="Times New Roman" w:hAnsi="Times New Roman"/>
          <w:sz w:val="24"/>
          <w:szCs w:val="24"/>
        </w:rPr>
      </w:pPr>
    </w:p>
    <w:p w14:paraId="23311C95"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2E223B8C"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[SYCAMORE 2 FIRE] About thirty minutes after leaving the Sycamore Fire, Powers saw ‘a low-flying helicopter,’ which ‘looped around’ and left. The helicopter returned approximately thirty minutes later, and Powers began doing ‘everything [he] </w:t>
      </w:r>
      <w:proofErr w:type="gramStart"/>
      <w:r w:rsidRPr="00DA55B0">
        <w:rPr>
          <w:rFonts w:ascii="Times New Roman" w:hAnsi="Times New Roman"/>
          <w:sz w:val="24"/>
          <w:szCs w:val="24"/>
        </w:rPr>
        <w:t>could to</w:t>
      </w:r>
      <w:proofErr w:type="gramEnd"/>
      <w:r w:rsidRPr="00DA55B0">
        <w:rPr>
          <w:rFonts w:ascii="Times New Roman" w:hAnsi="Times New Roman"/>
          <w:sz w:val="24"/>
          <w:szCs w:val="24"/>
        </w:rPr>
        <w:t xml:space="preserve"> get its attention.’… He also ignited a third signal fire, the Sycamore 2 Fire, which spread to a three-foot circle before dying out. As with the other two fires, Powers did not start the Sycamore 2 Fire in a fire ring or pit, nor did he clear flammable materials from the area…. In sum, the undisputed facts do not show that Powers acted reasonably to preserve his life when he started the Sycamore 2 Fire.  </w:t>
      </w:r>
    </w:p>
    <w:p w14:paraId="72534545"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7F9558FB"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The helicopter belonged to USFS, which had received reports of </w:t>
      </w:r>
      <w:proofErr w:type="gramStart"/>
      <w:r w:rsidRPr="00DA55B0">
        <w:rPr>
          <w:rFonts w:ascii="Times New Roman" w:hAnsi="Times New Roman"/>
          <w:sz w:val="24"/>
          <w:szCs w:val="24"/>
        </w:rPr>
        <w:t>a wildfire</w:t>
      </w:r>
      <w:proofErr w:type="gramEnd"/>
      <w:r w:rsidRPr="00DA55B0">
        <w:rPr>
          <w:rFonts w:ascii="Times New Roman" w:hAnsi="Times New Roman"/>
          <w:sz w:val="24"/>
          <w:szCs w:val="24"/>
        </w:rPr>
        <w:t>. Unbeknownst to Powers, the Sycamore Fire had not died out—flying in, firefighters saw a smoke column and twenty to thirty acres of burning landscape. After landing, firefighters spotted Powers lying under a tree. He was able to walk to the helicopter with the assistance of two firefighters. The helicopter crew gave him water and flew him to Sedona where he was put in an ambulance and given intravenous (IV) fluids. While in the ambulance, Powers admitted to setting the fires.”</w:t>
      </w:r>
    </w:p>
    <w:p w14:paraId="1F838B33" w14:textId="77777777" w:rsidR="008E1AE0" w:rsidRPr="00DA55B0" w:rsidRDefault="008E1AE0" w:rsidP="008E1AE0">
      <w:pPr>
        <w:rPr>
          <w:rFonts w:ascii="Times New Roman" w:hAnsi="Times New Roman"/>
          <w:b/>
          <w:bCs/>
          <w:sz w:val="24"/>
          <w:szCs w:val="24"/>
        </w:rPr>
      </w:pPr>
      <w:r w:rsidRPr="00DA55B0">
        <w:rPr>
          <w:rFonts w:ascii="Times New Roman" w:hAnsi="Times New Roman"/>
          <w:b/>
          <w:sz w:val="24"/>
          <w:szCs w:val="24"/>
        </w:rPr>
        <w:t xml:space="preserve">Legal Lesson Learned: If you start a “signal fire” need to build fire ring or other method to contain it and stay with it.  </w:t>
      </w:r>
    </w:p>
    <w:p w14:paraId="147FDA4E" w14:textId="77777777" w:rsidR="008E1AE0" w:rsidRPr="00DA55B0" w:rsidRDefault="008E1AE0" w:rsidP="008E1AE0">
      <w:pPr>
        <w:ind w:firstLine="720"/>
        <w:rPr>
          <w:rFonts w:ascii="Times New Roman" w:hAnsi="Times New Roman"/>
          <w:b/>
          <w:bCs/>
          <w:sz w:val="24"/>
          <w:szCs w:val="24"/>
        </w:rPr>
      </w:pPr>
      <w:r w:rsidRPr="00DA55B0">
        <w:rPr>
          <w:rFonts w:ascii="Times New Roman" w:hAnsi="Times New Roman"/>
          <w:sz w:val="24"/>
          <w:szCs w:val="24"/>
        </w:rPr>
        <w:t>Note: The defendant is lucky to be alive; next time purchase a GPS handheld phone</w:t>
      </w:r>
      <w:r w:rsidRPr="00DA55B0">
        <w:rPr>
          <w:rFonts w:ascii="Times New Roman" w:hAnsi="Times New Roman"/>
          <w:b/>
          <w:sz w:val="24"/>
          <w:szCs w:val="24"/>
        </w:rPr>
        <w:t xml:space="preserve">.  </w:t>
      </w:r>
    </w:p>
    <w:p w14:paraId="42422ABA" w14:textId="07E68D59" w:rsidR="00C11ACF" w:rsidRPr="00DA55B0" w:rsidRDefault="008E1AE0" w:rsidP="00DA55B0">
      <w:pPr>
        <w:pStyle w:val="NoSpacing"/>
        <w:ind w:left="720"/>
        <w:rPr>
          <w:rFonts w:ascii="Times New Roman" w:hAnsi="Times New Roman"/>
          <w:sz w:val="24"/>
          <w:szCs w:val="24"/>
        </w:rPr>
      </w:pPr>
      <w:r w:rsidRPr="00DA55B0">
        <w:rPr>
          <w:rFonts w:ascii="Times New Roman" w:hAnsi="Times New Roman"/>
          <w:sz w:val="24"/>
          <w:szCs w:val="24"/>
        </w:rPr>
        <w:t>“Durable devices that go wherever you go and track your precise location along the way. Go farther than ever before when hiking and finding adventure.”</w:t>
      </w:r>
      <w:r w:rsidRPr="00DA55B0">
        <w:rPr>
          <w:rFonts w:ascii="Times New Roman" w:hAnsi="Times New Roman"/>
          <w:b/>
          <w:sz w:val="24"/>
          <w:szCs w:val="24"/>
        </w:rPr>
        <w:t xml:space="preserve"> </w:t>
      </w:r>
      <w:hyperlink r:id="rId104" w:history="1">
        <w:r w:rsidRPr="00DA55B0">
          <w:rPr>
            <w:rStyle w:val="Hyperlink"/>
            <w:rFonts w:ascii="Times New Roman" w:hAnsi="Times New Roman"/>
            <w:b/>
            <w:sz w:val="24"/>
            <w:szCs w:val="24"/>
          </w:rPr>
          <w:t>https://www.garmin.com/en-US/c/outdoor-recreation/handheld-hiking-gps/?gad_source=1&amp;gclid=Cj0KCQiA_Yq-BhC9ARIsAA6fbAg8Hzg7tt3LxTDrvBKQ6Iq20PiW7TlBW7J0osrwHwlbOwcCFzY0rTcaAu65EALw_wcB</w:t>
        </w:r>
      </w:hyperlink>
    </w:p>
    <w:p w14:paraId="3CAF4C5F" w14:textId="77777777" w:rsidR="00C11ACF" w:rsidRPr="00DA55B0" w:rsidRDefault="00C11ACF" w:rsidP="00B86628">
      <w:pPr>
        <w:pStyle w:val="NoSpacing"/>
        <w:rPr>
          <w:rFonts w:ascii="Times New Roman" w:hAnsi="Times New Roman"/>
          <w:sz w:val="24"/>
          <w:szCs w:val="24"/>
        </w:rPr>
      </w:pPr>
    </w:p>
    <w:p w14:paraId="01972C8F" w14:textId="77777777" w:rsidR="00C11ACF" w:rsidRDefault="00C11ACF" w:rsidP="00B86628">
      <w:pPr>
        <w:pStyle w:val="NoSpacing"/>
        <w:rPr>
          <w:rFonts w:ascii="Arial Black" w:hAnsi="Arial Black"/>
          <w:sz w:val="24"/>
          <w:szCs w:val="24"/>
        </w:rPr>
      </w:pPr>
    </w:p>
    <w:p w14:paraId="513F561E" w14:textId="67C8133E" w:rsidR="00AE3DBB" w:rsidRDefault="00C11ACF" w:rsidP="00B86628">
      <w:pPr>
        <w:pStyle w:val="NoSpacing"/>
        <w:rPr>
          <w:rFonts w:ascii="Arial Black" w:hAnsi="Arial Black"/>
          <w:sz w:val="24"/>
          <w:szCs w:val="24"/>
        </w:rPr>
      </w:pPr>
      <w:r>
        <w:rPr>
          <w:rFonts w:ascii="Arial Black" w:hAnsi="Arial Black"/>
          <w:sz w:val="24"/>
          <w:szCs w:val="24"/>
        </w:rPr>
        <w:t>1-172</w:t>
      </w:r>
    </w:p>
    <w:p w14:paraId="1424637B" w14:textId="77777777" w:rsidR="005C5C79" w:rsidRDefault="005C5C79" w:rsidP="00C11ACF">
      <w:pPr>
        <w:rPr>
          <w:rFonts w:ascii="Arial Black" w:hAnsi="Arial Black"/>
          <w:sz w:val="28"/>
          <w:szCs w:val="28"/>
        </w:rPr>
      </w:pPr>
    </w:p>
    <w:p w14:paraId="5F6FACA1" w14:textId="7001E7BE" w:rsidR="00C11ACF" w:rsidRPr="000B7F2C" w:rsidRDefault="00C11ACF" w:rsidP="00C11ACF">
      <w:pPr>
        <w:rPr>
          <w:rFonts w:ascii="Arial Black" w:hAnsi="Arial Black"/>
          <w:sz w:val="28"/>
          <w:szCs w:val="28"/>
        </w:rPr>
      </w:pPr>
      <w:r w:rsidRPr="000B7F2C">
        <w:rPr>
          <w:rFonts w:ascii="Arial Black" w:hAnsi="Arial Black"/>
          <w:sz w:val="28"/>
          <w:szCs w:val="28"/>
        </w:rPr>
        <w:t xml:space="preserve">OR: </w:t>
      </w:r>
      <w:r>
        <w:rPr>
          <w:rFonts w:ascii="Arial Black" w:hAnsi="Arial Black"/>
          <w:sz w:val="28"/>
          <w:szCs w:val="28"/>
        </w:rPr>
        <w:t xml:space="preserve">FF SUED BY COUNCILMEN - </w:t>
      </w:r>
      <w:r w:rsidRPr="000B7F2C">
        <w:rPr>
          <w:rFonts w:ascii="Arial Black" w:hAnsi="Arial Black"/>
          <w:sz w:val="28"/>
          <w:szCs w:val="28"/>
        </w:rPr>
        <w:t xml:space="preserve">RECALL – </w:t>
      </w:r>
      <w:r w:rsidRPr="004F16B9">
        <w:rPr>
          <w:rFonts w:ascii="Arial Black" w:hAnsi="Arial Black"/>
          <w:sz w:val="28"/>
          <w:szCs w:val="28"/>
        </w:rPr>
        <w:t>ANTI-SLAPP</w:t>
      </w:r>
      <w:r>
        <w:rPr>
          <w:rFonts w:ascii="Arial Black" w:hAnsi="Arial Black"/>
          <w:sz w:val="28"/>
          <w:szCs w:val="28"/>
        </w:rPr>
        <w:t xml:space="preserve"> LAW</w:t>
      </w:r>
    </w:p>
    <w:p w14:paraId="5A3E78A6" w14:textId="77777777" w:rsidR="00C11ACF" w:rsidRPr="00C11ACF" w:rsidRDefault="00C11ACF" w:rsidP="00C11ACF">
      <w:pPr>
        <w:rPr>
          <w:rFonts w:ascii="Times New Roman" w:hAnsi="Times New Roman"/>
          <w:sz w:val="24"/>
          <w:szCs w:val="24"/>
        </w:rPr>
      </w:pPr>
      <w:r w:rsidRPr="00C11ACF">
        <w:rPr>
          <w:rFonts w:ascii="Times New Roman" w:hAnsi="Times New Roman"/>
          <w:sz w:val="24"/>
          <w:szCs w:val="24"/>
        </w:rPr>
        <w:t xml:space="preserve">On Jan. 29, 2025, in </w:t>
      </w:r>
      <w:r w:rsidRPr="00C11ACF">
        <w:rPr>
          <w:rFonts w:ascii="Times New Roman" w:hAnsi="Times New Roman"/>
          <w:sz w:val="24"/>
          <w:szCs w:val="24"/>
          <w:u w:val="single"/>
        </w:rPr>
        <w:t>Johnny Waggoner, Sr., Joanne Dixon; Kerry McQuisten v. Casey L. Husk, et al</w:t>
      </w:r>
      <w:r w:rsidRPr="00C11ACF">
        <w:rPr>
          <w:rFonts w:ascii="Times New Roman" w:hAnsi="Times New Roman"/>
          <w:sz w:val="24"/>
          <w:szCs w:val="24"/>
        </w:rPr>
        <w:t xml:space="preserve">., the Court of Appeals of Oregon held (3 to 0) that the three former members of City Council may proceed with their lawsuit under the Oregon Corrupt Practices Act against Casey Husk, a former Lieutenant with the fire department.  He filed recall petitions against 6 of the 7 </w:t>
      </w:r>
      <w:proofErr w:type="gramStart"/>
      <w:r w:rsidRPr="00C11ACF">
        <w:rPr>
          <w:rFonts w:ascii="Times New Roman" w:hAnsi="Times New Roman"/>
          <w:sz w:val="24"/>
          <w:szCs w:val="24"/>
        </w:rPr>
        <w:t>member</w:t>
      </w:r>
      <w:proofErr w:type="gramEnd"/>
      <w:r w:rsidRPr="00C11ACF">
        <w:rPr>
          <w:rFonts w:ascii="Times New Roman" w:hAnsi="Times New Roman"/>
          <w:sz w:val="24"/>
          <w:szCs w:val="24"/>
        </w:rPr>
        <w:t xml:space="preserve"> of City Council, including the 3 plaintiffs, claiming they voted to “dissolve” the fire department. The city council in April 2022 voted to have County EMS take over all EMS runs in the city; the department was not dissolved (staffing went from 15 career firefighters to 9).  Oregon, like many states, has an “Anti-SLAPP law” [strategic lawsuits against public participation] that protects press and citizens from lawsuits by public officials for alleged misconduct, but that protection does not protect against a knowingly false statement.  The lawsuit by the former Council members may now proceed </w:t>
      </w:r>
      <w:proofErr w:type="gramStart"/>
      <w:r w:rsidRPr="00C11ACF">
        <w:rPr>
          <w:rFonts w:ascii="Times New Roman" w:hAnsi="Times New Roman"/>
          <w:sz w:val="24"/>
          <w:szCs w:val="24"/>
        </w:rPr>
        <w:t>to</w:t>
      </w:r>
      <w:proofErr w:type="gramEnd"/>
      <w:r w:rsidRPr="00C11ACF">
        <w:rPr>
          <w:rFonts w:ascii="Times New Roman" w:hAnsi="Times New Roman"/>
          <w:sz w:val="24"/>
          <w:szCs w:val="24"/>
        </w:rPr>
        <w:t xml:space="preserve"> pre-trial discovery. </w:t>
      </w:r>
      <w:hyperlink r:id="rId105" w:history="1">
        <w:r w:rsidRPr="00C11ACF">
          <w:rPr>
            <w:rStyle w:val="Hyperlink"/>
            <w:rFonts w:ascii="Times New Roman" w:hAnsi="Times New Roman"/>
            <w:sz w:val="24"/>
            <w:szCs w:val="24"/>
          </w:rPr>
          <w:t>https://cases.justia.com/oregon/court-of-appeals/2025-a181038.pdf?ts=1738179139</w:t>
        </w:r>
      </w:hyperlink>
      <w:r w:rsidRPr="00C11ACF">
        <w:rPr>
          <w:rFonts w:ascii="Times New Roman" w:hAnsi="Times New Roman"/>
          <w:sz w:val="24"/>
          <w:szCs w:val="24"/>
        </w:rPr>
        <w:t xml:space="preserve"> </w:t>
      </w:r>
    </w:p>
    <w:p w14:paraId="29A7622E" w14:textId="77777777" w:rsidR="00C11ACF" w:rsidRPr="00C11ACF" w:rsidRDefault="00C11ACF" w:rsidP="00C11ACF">
      <w:pPr>
        <w:pStyle w:val="NoSpacing"/>
        <w:rPr>
          <w:rFonts w:ascii="Times New Roman" w:hAnsi="Times New Roman"/>
          <w:sz w:val="24"/>
          <w:szCs w:val="24"/>
        </w:rPr>
      </w:pPr>
      <w:r w:rsidRPr="00C11ACF">
        <w:rPr>
          <w:rFonts w:ascii="Times New Roman" w:hAnsi="Times New Roman"/>
          <w:sz w:val="24"/>
          <w:szCs w:val="24"/>
        </w:rPr>
        <w:t>The Court wrote:</w:t>
      </w:r>
    </w:p>
    <w:p w14:paraId="156E4B71" w14:textId="77777777" w:rsidR="00C11ACF" w:rsidRPr="00C11ACF" w:rsidRDefault="00C11ACF" w:rsidP="00C11ACF">
      <w:pPr>
        <w:pStyle w:val="NoSpacing"/>
        <w:rPr>
          <w:rFonts w:ascii="Times New Roman" w:hAnsi="Times New Roman"/>
          <w:sz w:val="24"/>
          <w:szCs w:val="24"/>
        </w:rPr>
      </w:pPr>
    </w:p>
    <w:p w14:paraId="4350E187" w14:textId="77777777" w:rsidR="00C11ACF" w:rsidRPr="00C11ACF" w:rsidRDefault="00C11ACF" w:rsidP="00C11ACF">
      <w:pPr>
        <w:pStyle w:val="NoSpacing"/>
        <w:ind w:left="720"/>
        <w:rPr>
          <w:rFonts w:ascii="Times New Roman" w:hAnsi="Times New Roman"/>
          <w:sz w:val="24"/>
          <w:szCs w:val="24"/>
        </w:rPr>
      </w:pPr>
      <w:r w:rsidRPr="00C11ACF">
        <w:rPr>
          <w:rFonts w:ascii="Times New Roman" w:hAnsi="Times New Roman"/>
          <w:sz w:val="24"/>
          <w:szCs w:val="24"/>
        </w:rPr>
        <w:t xml:space="preserve">“There is evidence that defendant worked as a firefighter for the Baker City Fire Department from 2020 to July 2022, was involved in union negotiations with the city regarding the fire </w:t>
      </w:r>
      <w:proofErr w:type="gramStart"/>
      <w:r w:rsidRPr="00C11ACF">
        <w:rPr>
          <w:rFonts w:ascii="Times New Roman" w:hAnsi="Times New Roman"/>
          <w:sz w:val="24"/>
          <w:szCs w:val="24"/>
        </w:rPr>
        <w:t>department, and</w:t>
      </w:r>
      <w:proofErr w:type="gramEnd"/>
      <w:r w:rsidRPr="00C11ACF">
        <w:rPr>
          <w:rFonts w:ascii="Times New Roman" w:hAnsi="Times New Roman"/>
          <w:sz w:val="24"/>
          <w:szCs w:val="24"/>
        </w:rPr>
        <w:t xml:space="preserve"> attended multiple city council meetings relating to the April 2022 vote. The record supports a reasonable inference that he knew that the city council did not vote to dissolve the fire department. See id. at 360 (concluding, with respect to an allegedly false statement regarding the fire department, that the plaintiff made out a prima facie case on the mental state element where, among other things, the defendant knew or should have known the true facts as a former fire department lieutenant and former city mayor). Accordingly, we conclude that the trial court did not err in denying defendant’s special motion to strike plaintiff’s complaint for a violation of ORS 260.532.”</w:t>
      </w:r>
    </w:p>
    <w:p w14:paraId="10E8C9B8" w14:textId="77777777" w:rsidR="00C11ACF" w:rsidRPr="00C11ACF" w:rsidRDefault="00C11ACF" w:rsidP="00C11ACF">
      <w:pPr>
        <w:pStyle w:val="NoSpacing"/>
        <w:rPr>
          <w:rFonts w:ascii="Times New Roman" w:hAnsi="Times New Roman"/>
          <w:b/>
          <w:bCs/>
          <w:sz w:val="24"/>
          <w:szCs w:val="24"/>
        </w:rPr>
      </w:pPr>
    </w:p>
    <w:p w14:paraId="4D8F4ADF" w14:textId="77777777" w:rsidR="00C11ACF" w:rsidRPr="00C11ACF" w:rsidRDefault="00C11ACF" w:rsidP="00C11ACF">
      <w:pPr>
        <w:pStyle w:val="NoSpacing"/>
        <w:rPr>
          <w:rFonts w:ascii="Times New Roman" w:hAnsi="Times New Roman"/>
          <w:b/>
          <w:bCs/>
          <w:sz w:val="24"/>
          <w:szCs w:val="24"/>
        </w:rPr>
      </w:pPr>
      <w:r w:rsidRPr="00C11ACF">
        <w:rPr>
          <w:rFonts w:ascii="Times New Roman" w:hAnsi="Times New Roman"/>
          <w:b/>
          <w:sz w:val="24"/>
          <w:szCs w:val="24"/>
        </w:rPr>
        <w:t xml:space="preserve">Legal Lesson Learned: When filing recall petition or other complaints against public official, carefully review allegations – opinions are protected under First Amendment and anti-SLAPP statutes, but not intentional false statements. </w:t>
      </w:r>
    </w:p>
    <w:p w14:paraId="0D381B3E" w14:textId="77777777" w:rsidR="00C11ACF" w:rsidRPr="00C11ACF" w:rsidRDefault="00C11ACF" w:rsidP="00C11ACF">
      <w:pPr>
        <w:pStyle w:val="NoSpacing"/>
        <w:rPr>
          <w:rFonts w:ascii="Times New Roman" w:hAnsi="Times New Roman"/>
          <w:b/>
          <w:bCs/>
          <w:sz w:val="24"/>
          <w:szCs w:val="24"/>
        </w:rPr>
      </w:pPr>
    </w:p>
    <w:p w14:paraId="3C79BEEA" w14:textId="77777777" w:rsidR="00C11ACF" w:rsidRPr="00C11ACF" w:rsidRDefault="00C11ACF" w:rsidP="00C11ACF">
      <w:pPr>
        <w:pStyle w:val="NoSpacing"/>
        <w:ind w:left="720"/>
        <w:rPr>
          <w:rFonts w:ascii="Times New Roman" w:hAnsi="Times New Roman"/>
          <w:sz w:val="24"/>
          <w:szCs w:val="24"/>
        </w:rPr>
      </w:pPr>
      <w:r w:rsidRPr="00C11ACF">
        <w:rPr>
          <w:rFonts w:ascii="Times New Roman" w:hAnsi="Times New Roman"/>
          <w:sz w:val="24"/>
          <w:szCs w:val="24"/>
        </w:rPr>
        <w:t xml:space="preserve">Note:  “Anti-SLAPP laws are intended to prevent people from using courts, and potential threats of a lawsuit, to intimidate people who are exercising their First Amendment rights. In terms of reporting, news organizations and individual journalists can use anti-SLAPP statutes to protect themselves from the financial threat of a groundless defamation case brought by a subject of an enterprise or investigative story. Under most anti-SLAPP statutes, the person sued makes a motion to strike the case because it involves speech on a matter of public concern. The plaintiff then has the burden of showing a probability that they will prevail in the suit — meaning they must show that they have evidence that could result in a favorable verdict. If the plaintiff cannot meet this burden and the suit is dismissed through anti-SLAPP proceedings, many statutes allow defendants to collect attorney’s fees from the plaintiff.”  </w:t>
      </w:r>
      <w:hyperlink r:id="rId106" w:history="1">
        <w:r w:rsidRPr="00C11ACF">
          <w:rPr>
            <w:rStyle w:val="Hyperlink"/>
            <w:rFonts w:ascii="Times New Roman" w:hAnsi="Times New Roman"/>
            <w:sz w:val="24"/>
            <w:szCs w:val="24"/>
          </w:rPr>
          <w:t>https://www.rcfp.org/resources/anti-slapp-laws/</w:t>
        </w:r>
      </w:hyperlink>
      <w:r w:rsidRPr="00C11ACF">
        <w:rPr>
          <w:rFonts w:ascii="Times New Roman" w:hAnsi="Times New Roman"/>
          <w:sz w:val="24"/>
          <w:szCs w:val="24"/>
        </w:rPr>
        <w:t xml:space="preserve"> </w:t>
      </w:r>
    </w:p>
    <w:p w14:paraId="259DE2FD" w14:textId="77777777" w:rsidR="00C11ACF" w:rsidRPr="00C11ACF" w:rsidRDefault="00C11ACF" w:rsidP="00C11ACF">
      <w:pPr>
        <w:rPr>
          <w:rFonts w:ascii="Times New Roman" w:hAnsi="Times New Roman"/>
          <w:sz w:val="24"/>
          <w:szCs w:val="24"/>
        </w:rPr>
      </w:pPr>
    </w:p>
    <w:p w14:paraId="3F05E003" w14:textId="77777777" w:rsidR="00C11ACF" w:rsidRDefault="00C11ACF" w:rsidP="00B86628">
      <w:pPr>
        <w:pStyle w:val="NoSpacing"/>
        <w:rPr>
          <w:rFonts w:ascii="Arial Black" w:hAnsi="Arial Black"/>
          <w:sz w:val="24"/>
          <w:szCs w:val="24"/>
        </w:rPr>
      </w:pPr>
    </w:p>
    <w:p w14:paraId="7C087412" w14:textId="77777777" w:rsidR="00C11ACF" w:rsidRDefault="00C11ACF" w:rsidP="00B86628">
      <w:pPr>
        <w:pStyle w:val="NoSpacing"/>
        <w:rPr>
          <w:rFonts w:ascii="Arial Black" w:hAnsi="Arial Black"/>
          <w:sz w:val="24"/>
          <w:szCs w:val="24"/>
        </w:rPr>
      </w:pPr>
    </w:p>
    <w:p w14:paraId="70A707BC" w14:textId="77777777" w:rsidR="00C11ACF" w:rsidRDefault="00C11ACF" w:rsidP="00B86628">
      <w:pPr>
        <w:pStyle w:val="NoSpacing"/>
        <w:rPr>
          <w:rFonts w:ascii="Arial Black" w:hAnsi="Arial Black"/>
          <w:sz w:val="24"/>
          <w:szCs w:val="24"/>
        </w:rPr>
      </w:pPr>
    </w:p>
    <w:p w14:paraId="0DF8A8C6" w14:textId="77777777" w:rsidR="00C11ACF" w:rsidRDefault="00C11ACF" w:rsidP="00B86628">
      <w:pPr>
        <w:pStyle w:val="NoSpacing"/>
        <w:rPr>
          <w:rFonts w:ascii="Arial Black" w:hAnsi="Arial Black"/>
          <w:sz w:val="24"/>
          <w:szCs w:val="24"/>
        </w:rPr>
      </w:pPr>
    </w:p>
    <w:p w14:paraId="370D70B6" w14:textId="52E09D20" w:rsidR="00EF4D70" w:rsidRDefault="00763EF6" w:rsidP="00B86628">
      <w:pPr>
        <w:pStyle w:val="NoSpacing"/>
        <w:rPr>
          <w:rFonts w:ascii="Arial Black" w:hAnsi="Arial Black"/>
          <w:sz w:val="24"/>
          <w:szCs w:val="24"/>
        </w:rPr>
      </w:pPr>
      <w:r>
        <w:rPr>
          <w:rFonts w:ascii="Arial Black" w:hAnsi="Arial Black"/>
          <w:sz w:val="24"/>
          <w:szCs w:val="24"/>
        </w:rPr>
        <w:t>1-171</w:t>
      </w:r>
    </w:p>
    <w:p w14:paraId="7C4CE94B" w14:textId="77777777" w:rsidR="00763EF6" w:rsidRDefault="00763EF6" w:rsidP="00B86628">
      <w:pPr>
        <w:pStyle w:val="NoSpacing"/>
        <w:rPr>
          <w:rFonts w:ascii="Arial Black" w:hAnsi="Arial Black"/>
          <w:sz w:val="24"/>
          <w:szCs w:val="24"/>
        </w:rPr>
      </w:pPr>
    </w:p>
    <w:p w14:paraId="159E2F97" w14:textId="77777777" w:rsidR="00763EF6" w:rsidRDefault="00763EF6" w:rsidP="00763EF6">
      <w:pPr>
        <w:pStyle w:val="NoSpacing"/>
        <w:rPr>
          <w:rFonts w:ascii="Arial Black" w:hAnsi="Arial Black"/>
          <w:sz w:val="28"/>
          <w:szCs w:val="28"/>
        </w:rPr>
      </w:pPr>
      <w:r>
        <w:rPr>
          <w:rFonts w:ascii="Arial Black" w:hAnsi="Arial Black"/>
          <w:sz w:val="28"/>
          <w:szCs w:val="28"/>
        </w:rPr>
        <w:t>U.S. SUP. CT. - CONGRESS CAN BAN TIKTOK – TRUMP DELAY</w:t>
      </w:r>
    </w:p>
    <w:p w14:paraId="70945E30" w14:textId="77777777" w:rsidR="00763EF6" w:rsidRDefault="00763EF6" w:rsidP="00763EF6">
      <w:pPr>
        <w:pStyle w:val="NoSpacing"/>
      </w:pPr>
    </w:p>
    <w:p w14:paraId="06EE4955" w14:textId="77777777" w:rsidR="00763EF6" w:rsidRPr="00763EF6" w:rsidRDefault="00763EF6" w:rsidP="00763EF6">
      <w:pPr>
        <w:pStyle w:val="NoSpacing"/>
        <w:rPr>
          <w:rFonts w:ascii="Times New Roman" w:hAnsi="Times New Roman"/>
          <w:sz w:val="24"/>
          <w:szCs w:val="24"/>
        </w:rPr>
      </w:pPr>
      <w:r w:rsidRPr="00763EF6">
        <w:rPr>
          <w:rFonts w:ascii="Times New Roman" w:hAnsi="Times New Roman"/>
          <w:sz w:val="24"/>
          <w:szCs w:val="24"/>
        </w:rPr>
        <w:t xml:space="preserve">On January 17, 2025, in </w:t>
      </w:r>
      <w:r w:rsidRPr="00763EF6">
        <w:rPr>
          <w:rFonts w:ascii="Times New Roman" w:hAnsi="Times New Roman"/>
          <w:sz w:val="24"/>
          <w:szCs w:val="24"/>
          <w:u w:val="single"/>
        </w:rPr>
        <w:t>TikTok Inc, et al. v, Merrick B. Garland, Attorney General</w:t>
      </w:r>
      <w:r w:rsidRPr="00763EF6">
        <w:rPr>
          <w:rFonts w:ascii="Times New Roman" w:hAnsi="Times New Roman"/>
          <w:sz w:val="24"/>
          <w:szCs w:val="24"/>
        </w:rPr>
        <w:t xml:space="preserve">, the United States Supreme Court held (9 to 0; per curiam decision – not authored by any individual Justice), that Congress did not violate the First Amendment when it passed the Protecting Americans from Foreign Adversary Controlled Applications Act will make it unlawful  (effective Jan. 19, 2025) for companies in the United States to provide services to distribute, maintain, or update the social media platform TikTok, unless U. S. operation of the platform is severed from Chinese control.  [The ban now delayed by President Trump.] </w:t>
      </w:r>
      <w:hyperlink r:id="rId107" w:history="1">
        <w:r w:rsidRPr="00763EF6">
          <w:rPr>
            <w:rStyle w:val="Hyperlink"/>
            <w:rFonts w:ascii="Times New Roman" w:hAnsi="Times New Roman"/>
            <w:sz w:val="24"/>
            <w:szCs w:val="24"/>
          </w:rPr>
          <w:t>https://www.supremecourt.gov/opinions/24pdf/24-656_ca7d.pdf</w:t>
        </w:r>
      </w:hyperlink>
      <w:r w:rsidRPr="00763EF6">
        <w:rPr>
          <w:rFonts w:ascii="Times New Roman" w:hAnsi="Times New Roman"/>
          <w:sz w:val="24"/>
          <w:szCs w:val="24"/>
        </w:rPr>
        <w:t xml:space="preserve">   </w:t>
      </w:r>
    </w:p>
    <w:p w14:paraId="7E7FF8F3" w14:textId="77777777" w:rsidR="00763EF6" w:rsidRPr="00763EF6" w:rsidRDefault="00763EF6" w:rsidP="00763EF6">
      <w:pPr>
        <w:pStyle w:val="NoSpacing"/>
        <w:rPr>
          <w:rFonts w:ascii="Times New Roman" w:hAnsi="Times New Roman"/>
          <w:sz w:val="24"/>
          <w:szCs w:val="24"/>
        </w:rPr>
      </w:pPr>
    </w:p>
    <w:p w14:paraId="0E7E6F87" w14:textId="77777777" w:rsidR="00763EF6" w:rsidRPr="00763EF6" w:rsidRDefault="00763EF6" w:rsidP="00763EF6">
      <w:pPr>
        <w:pStyle w:val="NoSpacing"/>
        <w:rPr>
          <w:rFonts w:ascii="Times New Roman" w:hAnsi="Times New Roman"/>
          <w:sz w:val="24"/>
          <w:szCs w:val="24"/>
        </w:rPr>
      </w:pPr>
      <w:r w:rsidRPr="00763EF6">
        <w:rPr>
          <w:rFonts w:ascii="Times New Roman" w:hAnsi="Times New Roman"/>
          <w:sz w:val="24"/>
          <w:szCs w:val="24"/>
        </w:rPr>
        <w:t>The Court wrote:</w:t>
      </w:r>
    </w:p>
    <w:p w14:paraId="23893B3A" w14:textId="77777777" w:rsidR="00763EF6" w:rsidRPr="00763EF6" w:rsidRDefault="00763EF6" w:rsidP="00763EF6">
      <w:pPr>
        <w:pStyle w:val="NoSpacing"/>
        <w:rPr>
          <w:rFonts w:ascii="Times New Roman" w:hAnsi="Times New Roman"/>
          <w:sz w:val="24"/>
          <w:szCs w:val="24"/>
        </w:rPr>
      </w:pPr>
    </w:p>
    <w:p w14:paraId="62B1E7D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“TikTok is a social media platform that allows users to create, publish, view, share, and interact with short videos overlaid with audio and text. Since its launch in 2017, the</w:t>
      </w:r>
    </w:p>
    <w:p w14:paraId="5E18707B"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platform has accumulated over 170 million users in the United States and more than one billion worldwide. Those users are prolific content creators and viewers. In 2023,</w:t>
      </w:r>
    </w:p>
    <w:p w14:paraId="6AA01A2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 xml:space="preserve">U. S. TikTok users uploaded more than 5.5 billion videos, which were in turn viewed more than 13 trillion times around the world. </w:t>
      </w:r>
    </w:p>
    <w:p w14:paraId="1B18A449" w14:textId="77777777" w:rsidR="00763EF6" w:rsidRPr="00763EF6" w:rsidRDefault="00763EF6" w:rsidP="00763EF6">
      <w:pPr>
        <w:pStyle w:val="NoSpacing"/>
        <w:rPr>
          <w:rFonts w:ascii="Times New Roman" w:hAnsi="Times New Roman"/>
          <w:sz w:val="24"/>
          <w:szCs w:val="24"/>
        </w:rPr>
      </w:pPr>
    </w:p>
    <w:p w14:paraId="1B6354FF"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Opening the TikTok application brings a user to the ‘For You’ page —a personalized content feed tailored to the user’s interests. TikTok generates the feed using a proprietary algorithm that recommends videos to a user based on the user’s interactions with the platform. Each interaction a user has on TikTok—watching a video, following an ac-</w:t>
      </w:r>
    </w:p>
    <w:p w14:paraId="4CC07142"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count, leaving a comment—enables the recommendation system to further tailor a personalized content feed.</w:t>
      </w:r>
    </w:p>
    <w:p w14:paraId="0DC5DAC7" w14:textId="77777777" w:rsidR="00763EF6" w:rsidRPr="00763EF6" w:rsidRDefault="00763EF6" w:rsidP="00763EF6">
      <w:pPr>
        <w:pStyle w:val="NoSpacing"/>
        <w:ind w:left="720"/>
        <w:rPr>
          <w:rFonts w:ascii="Times New Roman" w:hAnsi="Times New Roman"/>
          <w:sz w:val="24"/>
          <w:szCs w:val="24"/>
        </w:rPr>
      </w:pPr>
    </w:p>
    <w:p w14:paraId="7A66CA0C"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w:t>
      </w:r>
    </w:p>
    <w:p w14:paraId="546232AF"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TikTok Inc.’s ultimate parent company is ByteDance Ltd., a privately held company that has operations in China. ByteDance Ltd. owns TikTok’s proprietary algorithm, which is developed and maintained in China. The company is also responsible for developing portions of the source code that runs the TikTok platform. ByteDance Ltd. is subject to Chinese laws that require it to ‘assist or cooperate’ with the Chinese Government’s ‘intelligence work’ and to ensure that the Chinese Government has ‘the power to access and control private data’ the company holds. H. R. Rep. No. 118–417, p. 4 (2024) (H. R. Rep.); see 2 App. 673–676.</w:t>
      </w:r>
    </w:p>
    <w:p w14:paraId="563F3505" w14:textId="77777777" w:rsidR="00763EF6" w:rsidRPr="00763EF6" w:rsidRDefault="00763EF6" w:rsidP="00763EF6">
      <w:pPr>
        <w:pStyle w:val="NoSpacing"/>
        <w:ind w:left="720"/>
        <w:rPr>
          <w:rFonts w:ascii="Times New Roman" w:hAnsi="Times New Roman"/>
          <w:sz w:val="24"/>
          <w:szCs w:val="24"/>
        </w:rPr>
      </w:pPr>
    </w:p>
    <w:p w14:paraId="51E1EBA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w:t>
      </w:r>
    </w:p>
    <w:p w14:paraId="631AB358"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There is no doubt that, for more than 170 million Americans, TikTok offers a distinctive and expansive outlet for expression, means of engagement, and source of community. But Congress has determined that divestiture is necessary to address its well-supported national security concerns regarding TikTok’s data collection practices and relationship with a foreign adversary. For the foregoing reasons, we conclude that the challenged provisions do not violate petitioners’ First Amendment rights.”</w:t>
      </w:r>
    </w:p>
    <w:p w14:paraId="125F27F7" w14:textId="77777777" w:rsidR="00763EF6" w:rsidRPr="00763EF6" w:rsidRDefault="00763EF6" w:rsidP="00763EF6">
      <w:pPr>
        <w:pStyle w:val="NoSpacing"/>
        <w:ind w:left="720"/>
        <w:rPr>
          <w:rFonts w:ascii="Times New Roman" w:hAnsi="Times New Roman"/>
          <w:sz w:val="24"/>
          <w:szCs w:val="24"/>
        </w:rPr>
      </w:pPr>
    </w:p>
    <w:p w14:paraId="678CDEE8" w14:textId="77777777" w:rsidR="00763EF6" w:rsidRPr="00763EF6" w:rsidRDefault="00763EF6" w:rsidP="00763EF6">
      <w:pPr>
        <w:pStyle w:val="NoSpacing"/>
        <w:rPr>
          <w:rFonts w:ascii="Times New Roman" w:hAnsi="Times New Roman"/>
          <w:b/>
          <w:bCs/>
          <w:sz w:val="24"/>
          <w:szCs w:val="24"/>
        </w:rPr>
      </w:pPr>
      <w:r w:rsidRPr="00763EF6">
        <w:rPr>
          <w:rFonts w:ascii="Times New Roman" w:hAnsi="Times New Roman"/>
          <w:b/>
          <w:sz w:val="24"/>
          <w:szCs w:val="24"/>
        </w:rPr>
        <w:t>Legal Lesson Learned: Fire &amp; EMS departments should review their computer systems that contain protected information, including patient health information, to help prevent “hacking” and unauthorized copying.</w:t>
      </w:r>
    </w:p>
    <w:p w14:paraId="2250629E" w14:textId="77777777" w:rsidR="00763EF6" w:rsidRPr="00763EF6" w:rsidRDefault="00763EF6" w:rsidP="00763EF6">
      <w:pPr>
        <w:rPr>
          <w:rFonts w:ascii="Times New Roman" w:hAnsi="Times New Roman"/>
          <w:b/>
          <w:sz w:val="24"/>
          <w:szCs w:val="24"/>
        </w:rPr>
      </w:pPr>
    </w:p>
    <w:p w14:paraId="00E4164D" w14:textId="77777777" w:rsidR="00763EF6" w:rsidRPr="00763EF6" w:rsidRDefault="00763EF6" w:rsidP="00763EF6">
      <w:pPr>
        <w:pStyle w:val="NoSpacing"/>
        <w:ind w:left="720"/>
        <w:rPr>
          <w:rFonts w:ascii="Times New Roman" w:hAnsi="Times New Roman"/>
          <w:bCs/>
          <w:sz w:val="24"/>
          <w:szCs w:val="24"/>
        </w:rPr>
      </w:pPr>
      <w:r w:rsidRPr="00763EF6">
        <w:rPr>
          <w:rFonts w:ascii="Times New Roman" w:hAnsi="Times New Roman"/>
          <w:sz w:val="24"/>
          <w:szCs w:val="24"/>
        </w:rPr>
        <w:t>Note:</w:t>
      </w:r>
      <w:r w:rsidRPr="00763EF6">
        <w:rPr>
          <w:rFonts w:ascii="Times New Roman" w:hAnsi="Times New Roman"/>
          <w:b/>
          <w:sz w:val="24"/>
          <w:szCs w:val="24"/>
        </w:rPr>
        <w:t xml:space="preserve"> </w:t>
      </w:r>
      <w:r w:rsidRPr="00763EF6">
        <w:rPr>
          <w:rFonts w:ascii="Times New Roman" w:hAnsi="Times New Roman"/>
          <w:sz w:val="24"/>
          <w:szCs w:val="24"/>
        </w:rPr>
        <w:t>See  Jan. 17, 2025: “Justice Department Statements on Supreme Court’s Decision in TikTok, et al. v. Garland.”</w:t>
      </w:r>
    </w:p>
    <w:p w14:paraId="493845B7" w14:textId="77777777" w:rsidR="00763EF6" w:rsidRPr="00763EF6" w:rsidRDefault="00763EF6" w:rsidP="00763EF6">
      <w:pPr>
        <w:pStyle w:val="NoSpacing"/>
        <w:ind w:left="720"/>
        <w:rPr>
          <w:rFonts w:ascii="Times New Roman" w:hAnsi="Times New Roman"/>
          <w:bCs/>
          <w:sz w:val="24"/>
          <w:szCs w:val="24"/>
        </w:rPr>
      </w:pPr>
      <w:hyperlink r:id="rId108" w:history="1">
        <w:r w:rsidRPr="00763EF6">
          <w:rPr>
            <w:rStyle w:val="Hyperlink"/>
            <w:rFonts w:ascii="Times New Roman" w:hAnsi="Times New Roman"/>
            <w:sz w:val="24"/>
            <w:szCs w:val="24"/>
          </w:rPr>
          <w:t>https://www.justice.gov/opa/pr/justice-department-statements-supreme-courts-decision-tiktok-et-al-v-garland</w:t>
        </w:r>
      </w:hyperlink>
      <w:r w:rsidRPr="00763EF6">
        <w:rPr>
          <w:rFonts w:ascii="Times New Roman" w:hAnsi="Times New Roman"/>
          <w:sz w:val="24"/>
          <w:szCs w:val="24"/>
        </w:rPr>
        <w:t xml:space="preserve"> </w:t>
      </w:r>
    </w:p>
    <w:p w14:paraId="0ED74ABC" w14:textId="77777777" w:rsidR="00763EF6" w:rsidRPr="00763EF6" w:rsidRDefault="00763EF6" w:rsidP="00763EF6">
      <w:pPr>
        <w:pStyle w:val="NoSpacing"/>
        <w:ind w:left="720"/>
        <w:rPr>
          <w:rFonts w:ascii="Times New Roman" w:hAnsi="Times New Roman"/>
          <w:bCs/>
          <w:sz w:val="24"/>
          <w:szCs w:val="24"/>
        </w:rPr>
      </w:pPr>
    </w:p>
    <w:p w14:paraId="44DAB6A8" w14:textId="33A88B1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 xml:space="preserve">Jan. 22, 2025: “TikTok still not available on app stores after Trump's executive order: What we know.” </w:t>
      </w:r>
      <w:hyperlink r:id="rId109" w:history="1">
        <w:r w:rsidR="00CD461F" w:rsidRPr="009B5658">
          <w:rPr>
            <w:rStyle w:val="Hyperlink"/>
            <w:rFonts w:ascii="Times New Roman" w:hAnsi="Times New Roman"/>
            <w:sz w:val="24"/>
            <w:szCs w:val="24"/>
          </w:rPr>
          <w:t>https://www.usatoday.com/story/tech/2025/01/22/tiktok-ban-download-app-stores-update/77872210007/</w:t>
        </w:r>
      </w:hyperlink>
    </w:p>
    <w:p w14:paraId="2182085A" w14:textId="77777777" w:rsidR="00EF4D70" w:rsidRDefault="00EF4D70" w:rsidP="00B86628">
      <w:pPr>
        <w:pStyle w:val="NoSpacing"/>
        <w:rPr>
          <w:rFonts w:ascii="Arial Black" w:hAnsi="Arial Black"/>
          <w:sz w:val="24"/>
          <w:szCs w:val="24"/>
        </w:rPr>
      </w:pPr>
    </w:p>
    <w:p w14:paraId="20ADFF84" w14:textId="77777777" w:rsidR="00EF4D70" w:rsidRDefault="00EF4D70" w:rsidP="00B86628">
      <w:pPr>
        <w:pStyle w:val="NoSpacing"/>
        <w:rPr>
          <w:rFonts w:ascii="Arial Black" w:hAnsi="Arial Black"/>
          <w:sz w:val="24"/>
          <w:szCs w:val="24"/>
        </w:rPr>
      </w:pPr>
    </w:p>
    <w:p w14:paraId="0D1FBE9A" w14:textId="14872BF5" w:rsidR="002F5070" w:rsidRDefault="002F5070" w:rsidP="00B86628">
      <w:pPr>
        <w:pStyle w:val="NoSpacing"/>
        <w:rPr>
          <w:rFonts w:ascii="Arial Black" w:hAnsi="Arial Black"/>
          <w:sz w:val="24"/>
          <w:szCs w:val="24"/>
        </w:rPr>
      </w:pPr>
      <w:r>
        <w:rPr>
          <w:rFonts w:ascii="Arial Black" w:hAnsi="Arial Black"/>
          <w:sz w:val="24"/>
          <w:szCs w:val="24"/>
        </w:rPr>
        <w:t>1-1</w:t>
      </w:r>
      <w:r w:rsidR="00F755DB">
        <w:rPr>
          <w:rFonts w:ascii="Arial Black" w:hAnsi="Arial Black"/>
          <w:sz w:val="24"/>
          <w:szCs w:val="24"/>
        </w:rPr>
        <w:t>70</w:t>
      </w:r>
    </w:p>
    <w:p w14:paraId="13C4FBE0" w14:textId="77777777" w:rsidR="009312DC" w:rsidRDefault="009312DC" w:rsidP="00B86628">
      <w:pPr>
        <w:pStyle w:val="NoSpacing"/>
        <w:rPr>
          <w:rFonts w:ascii="Arial Black" w:hAnsi="Arial Black"/>
          <w:sz w:val="24"/>
          <w:szCs w:val="24"/>
        </w:rPr>
      </w:pPr>
    </w:p>
    <w:p w14:paraId="2A1CEA88" w14:textId="77777777" w:rsidR="009312DC" w:rsidRPr="00D57EC3" w:rsidRDefault="009312DC" w:rsidP="009312DC">
      <w:pPr>
        <w:pStyle w:val="NoSpacing"/>
        <w:rPr>
          <w:rFonts w:ascii="Arial Black" w:hAnsi="Arial Black"/>
          <w:bCs/>
          <w:sz w:val="28"/>
          <w:szCs w:val="28"/>
        </w:rPr>
      </w:pPr>
      <w:r w:rsidRPr="00D57EC3">
        <w:rPr>
          <w:rFonts w:ascii="Arial Black" w:hAnsi="Arial Black"/>
          <w:b/>
          <w:sz w:val="28"/>
          <w:szCs w:val="28"/>
        </w:rPr>
        <w:t>PA: ADMIN</w:t>
      </w:r>
      <w:r>
        <w:rPr>
          <w:rFonts w:ascii="Arial Black" w:hAnsi="Arial Black"/>
          <w:b/>
          <w:sz w:val="28"/>
          <w:szCs w:val="28"/>
        </w:rPr>
        <w:t xml:space="preserve">. </w:t>
      </w:r>
      <w:r w:rsidRPr="00D57EC3">
        <w:rPr>
          <w:rFonts w:ascii="Arial Black" w:hAnsi="Arial Black"/>
          <w:b/>
          <w:sz w:val="28"/>
          <w:szCs w:val="28"/>
        </w:rPr>
        <w:t xml:space="preserve">SEARCH WARRANT – SEWER </w:t>
      </w:r>
      <w:r>
        <w:rPr>
          <w:rFonts w:ascii="Arial Black" w:hAnsi="Arial Black"/>
          <w:b/>
          <w:sz w:val="28"/>
          <w:szCs w:val="28"/>
        </w:rPr>
        <w:t xml:space="preserve">GAS </w:t>
      </w:r>
      <w:r w:rsidRPr="00D57EC3">
        <w:rPr>
          <w:rFonts w:ascii="Arial Black" w:hAnsi="Arial Black"/>
          <w:b/>
          <w:sz w:val="28"/>
          <w:szCs w:val="28"/>
        </w:rPr>
        <w:t>HOME</w:t>
      </w:r>
    </w:p>
    <w:p w14:paraId="325E1D7A" w14:textId="77777777" w:rsidR="009312DC" w:rsidRDefault="009312DC" w:rsidP="009312DC">
      <w:pPr>
        <w:pStyle w:val="NoSpacing"/>
        <w:rPr>
          <w:b/>
        </w:rPr>
      </w:pPr>
    </w:p>
    <w:p w14:paraId="7B918FE1" w14:textId="1E86E811" w:rsidR="003C08FD" w:rsidRPr="003C08FD" w:rsidRDefault="003C08FD" w:rsidP="009312DC">
      <w:pPr>
        <w:pStyle w:val="NoSpacing"/>
        <w:rPr>
          <w:rFonts w:ascii="Times New Roman" w:hAnsi="Times New Roman"/>
          <w:sz w:val="24"/>
          <w:szCs w:val="24"/>
        </w:rPr>
      </w:pPr>
      <w:r w:rsidRPr="003C08FD">
        <w:rPr>
          <w:rFonts w:ascii="Times New Roman" w:hAnsi="Times New Roman"/>
          <w:sz w:val="24"/>
          <w:szCs w:val="24"/>
        </w:rPr>
        <w:t xml:space="preserve">On Dec. 17. 2024, in </w:t>
      </w:r>
      <w:r w:rsidRPr="003C08FD">
        <w:rPr>
          <w:rFonts w:ascii="Times New Roman" w:hAnsi="Times New Roman"/>
          <w:sz w:val="24"/>
          <w:szCs w:val="24"/>
          <w:u w:val="single"/>
        </w:rPr>
        <w:t>Karimu Hamilton v. Christopher B. Flannigan; Bryan Mawr Fire Company, et al</w:t>
      </w:r>
      <w:r w:rsidRPr="003C08FD">
        <w:rPr>
          <w:rFonts w:ascii="Times New Roman" w:hAnsi="Times New Roman"/>
          <w:sz w:val="24"/>
          <w:szCs w:val="24"/>
        </w:rPr>
        <w:t>., the United States Court of Appeals for the 3</w:t>
      </w:r>
      <w:r w:rsidRPr="003C08FD">
        <w:rPr>
          <w:rFonts w:ascii="Times New Roman" w:hAnsi="Times New Roman"/>
          <w:sz w:val="24"/>
          <w:szCs w:val="24"/>
          <w:vertAlign w:val="superscript"/>
        </w:rPr>
        <w:t>rd</w:t>
      </w:r>
      <w:r w:rsidRPr="003C08FD">
        <w:rPr>
          <w:rFonts w:ascii="Times New Roman" w:hAnsi="Times New Roman"/>
          <w:sz w:val="24"/>
          <w:szCs w:val="24"/>
        </w:rPr>
        <w:t xml:space="preserve"> Circuit (Philadelphia) held 3 to 0 (not precedential decision) that U.S. District Court judge for Eastern District of Pennsylvania properly dismissed the lawsuit against the firefighters and police officers who entered her home with her consent. </w:t>
      </w:r>
      <w:hyperlink r:id="rId110" w:history="1">
        <w:r w:rsidRPr="003C08FD">
          <w:rPr>
            <w:rStyle w:val="Hyperlink"/>
            <w:rFonts w:ascii="Times New Roman" w:hAnsi="Times New Roman"/>
            <w:sz w:val="24"/>
            <w:szCs w:val="24"/>
          </w:rPr>
          <w:t>https://cases.justia.com/federal/appellate-courts/ca3/24-1567/24-1567-2024-12-17.pdf?ts=1734458412</w:t>
        </w:r>
      </w:hyperlink>
    </w:p>
    <w:p w14:paraId="141C14BC" w14:textId="77777777" w:rsidR="003C08FD" w:rsidRDefault="003C08FD" w:rsidP="009312DC">
      <w:pPr>
        <w:pStyle w:val="NoSpacing"/>
        <w:rPr>
          <w:rFonts w:ascii="Times New Roman" w:hAnsi="Times New Roman"/>
          <w:sz w:val="24"/>
          <w:szCs w:val="24"/>
        </w:rPr>
      </w:pPr>
    </w:p>
    <w:p w14:paraId="5F9DA264" w14:textId="1A49966A" w:rsidR="009312DC" w:rsidRPr="009312DC" w:rsidRDefault="009312DC" w:rsidP="009312DC">
      <w:pPr>
        <w:pStyle w:val="NoSpacing"/>
        <w:rPr>
          <w:rFonts w:ascii="Times New Roman" w:hAnsi="Times New Roman"/>
          <w:bCs/>
          <w:sz w:val="24"/>
          <w:szCs w:val="24"/>
        </w:rPr>
      </w:pPr>
      <w:r w:rsidRPr="009312DC">
        <w:rPr>
          <w:rFonts w:ascii="Times New Roman" w:hAnsi="Times New Roman"/>
          <w:sz w:val="24"/>
          <w:szCs w:val="24"/>
        </w:rPr>
        <w:t>The 3</w:t>
      </w:r>
      <w:r w:rsidRPr="009312DC">
        <w:rPr>
          <w:rFonts w:ascii="Times New Roman" w:hAnsi="Times New Roman"/>
          <w:sz w:val="24"/>
          <w:szCs w:val="24"/>
          <w:vertAlign w:val="superscript"/>
        </w:rPr>
        <w:t>rd</w:t>
      </w:r>
      <w:r w:rsidRPr="009312DC">
        <w:rPr>
          <w:rFonts w:ascii="Times New Roman" w:hAnsi="Times New Roman"/>
          <w:sz w:val="24"/>
          <w:szCs w:val="24"/>
        </w:rPr>
        <w:t xml:space="preserve"> Circuit wrote:</w:t>
      </w:r>
    </w:p>
    <w:p w14:paraId="3D6BC4B3" w14:textId="77777777" w:rsidR="009312DC" w:rsidRPr="009312DC" w:rsidRDefault="009312DC" w:rsidP="009312DC">
      <w:pPr>
        <w:pStyle w:val="NoSpacing"/>
        <w:rPr>
          <w:rFonts w:ascii="Times New Roman" w:hAnsi="Times New Roman"/>
          <w:bCs/>
          <w:sz w:val="24"/>
          <w:szCs w:val="24"/>
        </w:rPr>
      </w:pPr>
    </w:p>
    <w:p w14:paraId="6A65CFDB" w14:textId="77777777" w:rsidR="009312DC" w:rsidRPr="009312DC" w:rsidRDefault="009312DC" w:rsidP="009312DC">
      <w:pPr>
        <w:pStyle w:val="NoSpacing"/>
        <w:ind w:firstLine="720"/>
        <w:rPr>
          <w:rFonts w:ascii="Times New Roman" w:hAnsi="Times New Roman"/>
          <w:bCs/>
          <w:sz w:val="24"/>
          <w:szCs w:val="24"/>
        </w:rPr>
      </w:pPr>
      <w:r w:rsidRPr="009312DC">
        <w:rPr>
          <w:rFonts w:ascii="Times New Roman" w:hAnsi="Times New Roman"/>
          <w:sz w:val="24"/>
          <w:szCs w:val="24"/>
        </w:rPr>
        <w:t>“She also has no Fourth Amendment claim against the firefighters or police officers. The</w:t>
      </w:r>
    </w:p>
    <w:p w14:paraId="5EE3F3AD" w14:textId="77777777" w:rsidR="009312DC" w:rsidRPr="009312DC" w:rsidRDefault="009312DC" w:rsidP="009312DC">
      <w:pPr>
        <w:pStyle w:val="NoSpacing"/>
        <w:ind w:firstLine="720"/>
        <w:rPr>
          <w:rFonts w:ascii="Times New Roman" w:hAnsi="Times New Roman"/>
          <w:bCs/>
          <w:sz w:val="24"/>
          <w:szCs w:val="24"/>
        </w:rPr>
      </w:pPr>
      <w:proofErr w:type="gramStart"/>
      <w:r w:rsidRPr="009312DC">
        <w:rPr>
          <w:rFonts w:ascii="Times New Roman" w:hAnsi="Times New Roman"/>
          <w:sz w:val="24"/>
          <w:szCs w:val="24"/>
        </w:rPr>
        <w:t>firefighters</w:t>
      </w:r>
      <w:proofErr w:type="gramEnd"/>
      <w:r w:rsidRPr="009312DC">
        <w:rPr>
          <w:rFonts w:ascii="Times New Roman" w:hAnsi="Times New Roman"/>
          <w:sz w:val="24"/>
          <w:szCs w:val="24"/>
        </w:rPr>
        <w:t xml:space="preserve"> entered Hamilton’s home only once, when she consented to their search. See</w:t>
      </w:r>
    </w:p>
    <w:p w14:paraId="6A081BFF" w14:textId="77777777" w:rsidR="009312DC" w:rsidRPr="009312DC" w:rsidRDefault="009312DC" w:rsidP="009312DC">
      <w:pPr>
        <w:pStyle w:val="NoSpacing"/>
        <w:ind w:firstLine="720"/>
        <w:rPr>
          <w:rFonts w:ascii="Times New Roman" w:hAnsi="Times New Roman"/>
          <w:bCs/>
          <w:sz w:val="24"/>
          <w:szCs w:val="24"/>
        </w:rPr>
      </w:pPr>
      <w:r w:rsidRPr="009312DC">
        <w:rPr>
          <w:rFonts w:ascii="Times New Roman" w:hAnsi="Times New Roman"/>
          <w:sz w:val="24"/>
          <w:szCs w:val="24"/>
        </w:rPr>
        <w:t>Schneckloth v. Bustamonte, 412 U.S. 218, 219 (1973). When they asked to enter again</w:t>
      </w:r>
    </w:p>
    <w:p w14:paraId="2E2E2465" w14:textId="268AFFB7" w:rsidR="004B0DC2" w:rsidRDefault="009312DC" w:rsidP="009312DC">
      <w:pPr>
        <w:pStyle w:val="NoSpacing"/>
        <w:ind w:left="720"/>
        <w:rPr>
          <w:rFonts w:ascii="Times New Roman" w:hAnsi="Times New Roman"/>
          <w:sz w:val="24"/>
          <w:szCs w:val="24"/>
        </w:rPr>
      </w:pPr>
      <w:proofErr w:type="gramStart"/>
      <w:r w:rsidRPr="009312DC">
        <w:rPr>
          <w:rFonts w:ascii="Times New Roman" w:hAnsi="Times New Roman"/>
          <w:sz w:val="24"/>
          <w:szCs w:val="24"/>
        </w:rPr>
        <w:t>another</w:t>
      </w:r>
      <w:proofErr w:type="gramEnd"/>
      <w:r w:rsidRPr="009312DC">
        <w:rPr>
          <w:rFonts w:ascii="Times New Roman" w:hAnsi="Times New Roman"/>
          <w:sz w:val="24"/>
          <w:szCs w:val="24"/>
        </w:rPr>
        <w:t xml:space="preserve"> time, she refused entry, so they never searched her house. Officer Patterson entered Hamilton’s house in response to the reported smell of gas. The District Court correctly held that qualified immunity shields Patterson because existing precedent does not “squarely govern[ ].” </w:t>
      </w:r>
    </w:p>
    <w:p w14:paraId="63A8977D" w14:textId="77777777" w:rsidR="00AC2AA9" w:rsidRDefault="00AC2AA9" w:rsidP="009312DC">
      <w:pPr>
        <w:pStyle w:val="NoSpacing"/>
        <w:ind w:left="720"/>
        <w:rPr>
          <w:rStyle w:val="Hyperlink"/>
          <w:rFonts w:ascii="Times New Roman" w:hAnsi="Times New Roman"/>
          <w:sz w:val="24"/>
          <w:szCs w:val="24"/>
        </w:rPr>
      </w:pPr>
    </w:p>
    <w:p w14:paraId="5F86E665" w14:textId="77777777" w:rsidR="004B0DC2" w:rsidRPr="004B0DC2" w:rsidRDefault="004B0DC2" w:rsidP="004B0DC2">
      <w:pPr>
        <w:pStyle w:val="NoSpacing"/>
        <w:rPr>
          <w:rFonts w:ascii="Times New Roman" w:hAnsi="Times New Roman"/>
          <w:bCs/>
          <w:sz w:val="24"/>
          <w:szCs w:val="24"/>
        </w:rPr>
      </w:pPr>
      <w:r w:rsidRPr="004B0DC2">
        <w:rPr>
          <w:rFonts w:ascii="Times New Roman" w:hAnsi="Times New Roman"/>
          <w:sz w:val="24"/>
          <w:szCs w:val="24"/>
        </w:rPr>
        <w:t>HOLDING:</w:t>
      </w:r>
    </w:p>
    <w:p w14:paraId="5541A414" w14:textId="77777777" w:rsidR="004B0DC2" w:rsidRPr="004B0DC2" w:rsidRDefault="004B0DC2" w:rsidP="004B0DC2">
      <w:pPr>
        <w:pStyle w:val="NoSpacing"/>
        <w:rPr>
          <w:rFonts w:ascii="Times New Roman" w:hAnsi="Times New Roman"/>
          <w:bCs/>
          <w:sz w:val="24"/>
          <w:szCs w:val="24"/>
        </w:rPr>
      </w:pPr>
    </w:p>
    <w:p w14:paraId="524088FA"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 xml:space="preserve">“Hamilton also got due process. The town warned her of the plumbing problems </w:t>
      </w:r>
      <w:proofErr w:type="gramStart"/>
      <w:r w:rsidRPr="004B0DC2">
        <w:rPr>
          <w:rFonts w:ascii="Times New Roman" w:hAnsi="Times New Roman"/>
          <w:sz w:val="24"/>
          <w:szCs w:val="24"/>
        </w:rPr>
        <w:t>three</w:t>
      </w:r>
      <w:proofErr w:type="gramEnd"/>
    </w:p>
    <w:p w14:paraId="10D3C660"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times starting in December 2018, almost seven months before she was evicted. She</w:t>
      </w:r>
    </w:p>
    <w:p w14:paraId="276E0567"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challenges the June administrative search warrant, arguing that there was no cyanide gas</w:t>
      </w:r>
    </w:p>
    <w:p w14:paraId="42D2008F"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or sewage and that her house was habitable. But she offers no evidence that the affidavit</w:t>
      </w:r>
    </w:p>
    <w:p w14:paraId="0D6C3403" w14:textId="77777777" w:rsidR="004B0DC2" w:rsidRPr="004B0DC2" w:rsidRDefault="004B0DC2" w:rsidP="004B0DC2">
      <w:pPr>
        <w:pStyle w:val="NoSpacing"/>
        <w:ind w:firstLine="720"/>
        <w:rPr>
          <w:rFonts w:ascii="Times New Roman" w:hAnsi="Times New Roman"/>
          <w:bCs/>
          <w:sz w:val="24"/>
          <w:szCs w:val="24"/>
        </w:rPr>
      </w:pPr>
      <w:proofErr w:type="gramStart"/>
      <w:r w:rsidRPr="004B0DC2">
        <w:rPr>
          <w:rFonts w:ascii="Times New Roman" w:hAnsi="Times New Roman"/>
          <w:sz w:val="24"/>
          <w:szCs w:val="24"/>
        </w:rPr>
        <w:t>supporting</w:t>
      </w:r>
      <w:proofErr w:type="gramEnd"/>
      <w:r w:rsidRPr="004B0DC2">
        <w:rPr>
          <w:rFonts w:ascii="Times New Roman" w:hAnsi="Times New Roman"/>
          <w:sz w:val="24"/>
          <w:szCs w:val="24"/>
        </w:rPr>
        <w:t xml:space="preserve"> the warrant was untruthful or that officers had reason to doubt it. And she cites</w:t>
      </w:r>
    </w:p>
    <w:p w14:paraId="0B140433" w14:textId="77777777" w:rsidR="004B0DC2" w:rsidRPr="004B0DC2" w:rsidRDefault="004B0DC2" w:rsidP="004B0DC2">
      <w:pPr>
        <w:pStyle w:val="NoSpacing"/>
        <w:ind w:left="720"/>
        <w:rPr>
          <w:rFonts w:ascii="Times New Roman" w:hAnsi="Times New Roman"/>
          <w:bCs/>
          <w:sz w:val="24"/>
          <w:szCs w:val="24"/>
        </w:rPr>
      </w:pPr>
      <w:r w:rsidRPr="004B0DC2">
        <w:rPr>
          <w:rFonts w:ascii="Times New Roman" w:hAnsi="Times New Roman"/>
          <w:sz w:val="24"/>
          <w:szCs w:val="24"/>
        </w:rPr>
        <w:t>no authority requiring police to have personal knowledge of or verify the underlying facts.”</w:t>
      </w:r>
    </w:p>
    <w:p w14:paraId="19F1D958" w14:textId="77777777" w:rsidR="004B0DC2" w:rsidRPr="004B0DC2" w:rsidRDefault="004B0DC2" w:rsidP="004B0DC2">
      <w:pPr>
        <w:pStyle w:val="NoSpacing"/>
        <w:rPr>
          <w:rFonts w:ascii="Times New Roman" w:hAnsi="Times New Roman"/>
          <w:bCs/>
          <w:sz w:val="24"/>
          <w:szCs w:val="24"/>
        </w:rPr>
      </w:pPr>
    </w:p>
    <w:p w14:paraId="6E2BBD03" w14:textId="77777777" w:rsidR="004B0DC2" w:rsidRPr="004B0DC2" w:rsidRDefault="004B0DC2" w:rsidP="004B0DC2">
      <w:pPr>
        <w:pStyle w:val="NoSpacing"/>
        <w:rPr>
          <w:rFonts w:ascii="Times New Roman" w:hAnsi="Times New Roman"/>
          <w:b/>
          <w:sz w:val="24"/>
          <w:szCs w:val="24"/>
        </w:rPr>
      </w:pPr>
      <w:r w:rsidRPr="004B0DC2">
        <w:rPr>
          <w:rFonts w:ascii="Times New Roman" w:hAnsi="Times New Roman"/>
          <w:b/>
          <w:sz w:val="24"/>
          <w:szCs w:val="24"/>
        </w:rPr>
        <w:t>Legal Lesson Learned:  The 3</w:t>
      </w:r>
      <w:r w:rsidRPr="004B0DC2">
        <w:rPr>
          <w:rFonts w:ascii="Times New Roman" w:hAnsi="Times New Roman"/>
          <w:b/>
          <w:sz w:val="24"/>
          <w:szCs w:val="24"/>
          <w:vertAlign w:val="superscript"/>
        </w:rPr>
        <w:t>rd</w:t>
      </w:r>
      <w:r w:rsidRPr="004B0DC2">
        <w:rPr>
          <w:rFonts w:ascii="Times New Roman" w:hAnsi="Times New Roman"/>
          <w:b/>
          <w:sz w:val="24"/>
          <w:szCs w:val="24"/>
        </w:rPr>
        <w:t xml:space="preserve"> Circuit decision started with following: “Like good fences, good sewage systems make good neighbors.”  </w:t>
      </w:r>
    </w:p>
    <w:p w14:paraId="1EFF1733" w14:textId="77777777" w:rsidR="004B0DC2" w:rsidRDefault="004B0DC2" w:rsidP="004B0DC2">
      <w:pPr>
        <w:pStyle w:val="NoSpacing"/>
        <w:rPr>
          <w:b/>
        </w:rPr>
      </w:pPr>
    </w:p>
    <w:p w14:paraId="482C1DFA" w14:textId="77777777" w:rsidR="004B0DC2" w:rsidRPr="009312DC" w:rsidRDefault="004B0DC2" w:rsidP="009312DC">
      <w:pPr>
        <w:pStyle w:val="NoSpacing"/>
        <w:ind w:left="720"/>
        <w:rPr>
          <w:rFonts w:ascii="Times New Roman" w:hAnsi="Times New Roman"/>
          <w:sz w:val="24"/>
          <w:szCs w:val="24"/>
        </w:rPr>
      </w:pPr>
    </w:p>
    <w:p w14:paraId="4765280F" w14:textId="77777777" w:rsidR="002F5070" w:rsidRPr="009312DC" w:rsidRDefault="002F5070" w:rsidP="00B86628">
      <w:pPr>
        <w:pStyle w:val="NoSpacing"/>
        <w:rPr>
          <w:rFonts w:ascii="Times New Roman" w:hAnsi="Times New Roman"/>
          <w:sz w:val="24"/>
          <w:szCs w:val="24"/>
        </w:rPr>
      </w:pPr>
    </w:p>
    <w:p w14:paraId="432FDAB1" w14:textId="044986F3" w:rsidR="002F5070" w:rsidRPr="00956699" w:rsidRDefault="004B0DC2" w:rsidP="00B86628">
      <w:pPr>
        <w:pStyle w:val="NoSpacing"/>
        <w:rPr>
          <w:rFonts w:ascii="Arial Black" w:hAnsi="Arial Black"/>
          <w:sz w:val="28"/>
          <w:szCs w:val="28"/>
        </w:rPr>
      </w:pPr>
      <w:r w:rsidRPr="00956699">
        <w:rPr>
          <w:rFonts w:ascii="Arial Black" w:hAnsi="Arial Black"/>
          <w:sz w:val="28"/>
          <w:szCs w:val="28"/>
        </w:rPr>
        <w:t>1-16</w:t>
      </w:r>
      <w:r w:rsidR="00F755DB" w:rsidRPr="00956699">
        <w:rPr>
          <w:rFonts w:ascii="Arial Black" w:hAnsi="Arial Black"/>
          <w:sz w:val="28"/>
          <w:szCs w:val="28"/>
        </w:rPr>
        <w:t>9</w:t>
      </w:r>
    </w:p>
    <w:p w14:paraId="34CB414A" w14:textId="77777777" w:rsidR="004B0DC2" w:rsidRDefault="004B0DC2" w:rsidP="00B86628">
      <w:pPr>
        <w:pStyle w:val="NoSpacing"/>
        <w:rPr>
          <w:rFonts w:ascii="Arial Black" w:hAnsi="Arial Black"/>
          <w:sz w:val="24"/>
          <w:szCs w:val="24"/>
        </w:rPr>
      </w:pPr>
    </w:p>
    <w:p w14:paraId="54DA3E1E" w14:textId="77777777" w:rsidR="0060296F" w:rsidRPr="007C467A" w:rsidRDefault="0060296F" w:rsidP="0060296F">
      <w:pPr>
        <w:pStyle w:val="NoSpacing"/>
        <w:rPr>
          <w:rFonts w:ascii="Arial Black" w:hAnsi="Arial Black"/>
          <w:b/>
          <w:sz w:val="28"/>
          <w:szCs w:val="28"/>
        </w:rPr>
      </w:pPr>
      <w:r>
        <w:rPr>
          <w:rFonts w:ascii="Arial Black" w:hAnsi="Arial Black"/>
          <w:b/>
          <w:sz w:val="28"/>
          <w:szCs w:val="28"/>
        </w:rPr>
        <w:t>WA: REMOVAL HOMELESS – PERSONAL PROPERTY</w:t>
      </w:r>
    </w:p>
    <w:p w14:paraId="538DE1F5" w14:textId="77777777" w:rsidR="0060296F" w:rsidRDefault="0060296F" w:rsidP="0060296F">
      <w:pPr>
        <w:pStyle w:val="NoSpacing"/>
        <w:rPr>
          <w:bCs/>
        </w:rPr>
      </w:pPr>
    </w:p>
    <w:p w14:paraId="4D9A54CA" w14:textId="360124E3" w:rsidR="00FE3665" w:rsidRPr="00FE3665" w:rsidRDefault="00FE3665" w:rsidP="0060296F">
      <w:pPr>
        <w:pStyle w:val="NoSpacing"/>
        <w:rPr>
          <w:rFonts w:ascii="Times New Roman" w:hAnsi="Times New Roman"/>
          <w:sz w:val="24"/>
          <w:szCs w:val="24"/>
        </w:rPr>
      </w:pPr>
      <w:r w:rsidRPr="00FE3665">
        <w:rPr>
          <w:sz w:val="24"/>
          <w:szCs w:val="24"/>
        </w:rPr>
        <w:t xml:space="preserve">On Dec. 9, 2024, in </w:t>
      </w:r>
      <w:r w:rsidRPr="00FE3665">
        <w:rPr>
          <w:sz w:val="24"/>
          <w:szCs w:val="24"/>
          <w:u w:val="single"/>
        </w:rPr>
        <w:t>Bobby Kitcheon, Candance Ream, et al.  v. City of Seattle</w:t>
      </w:r>
      <w:r w:rsidRPr="00FE3665">
        <w:rPr>
          <w:sz w:val="24"/>
          <w:szCs w:val="24"/>
        </w:rPr>
        <w:t>, the</w:t>
      </w:r>
      <w:r w:rsidRPr="00FE3665">
        <w:rPr>
          <w:sz w:val="24"/>
          <w:szCs w:val="24"/>
          <w:u w:val="single"/>
        </w:rPr>
        <w:t xml:space="preserve"> </w:t>
      </w:r>
      <w:r w:rsidRPr="00FE3665">
        <w:rPr>
          <w:sz w:val="24"/>
          <w:szCs w:val="24"/>
        </w:rPr>
        <w:t xml:space="preserve">Court of Appeals, Division 1, State of Washington, held (3 to 0) that the city ordinance allowing destruction of property of homeless on city property, without prior notice, must be revised. </w:t>
      </w:r>
      <w:hyperlink r:id="rId111" w:history="1">
        <w:r w:rsidRPr="00FE3665">
          <w:rPr>
            <w:rStyle w:val="Hyperlink"/>
            <w:sz w:val="24"/>
            <w:szCs w:val="24"/>
          </w:rPr>
          <w:t>https://www.courts.wa.gov/opinions/pdf/855832.pdf</w:t>
        </w:r>
      </w:hyperlink>
    </w:p>
    <w:p w14:paraId="3EC3E066" w14:textId="77777777" w:rsidR="00FE3665" w:rsidRDefault="00FE3665" w:rsidP="0060296F">
      <w:pPr>
        <w:pStyle w:val="NoSpacing"/>
        <w:rPr>
          <w:rFonts w:ascii="Times New Roman" w:hAnsi="Times New Roman"/>
          <w:sz w:val="24"/>
          <w:szCs w:val="24"/>
        </w:rPr>
      </w:pPr>
    </w:p>
    <w:p w14:paraId="1380C192" w14:textId="7F6AC992" w:rsidR="0060296F" w:rsidRPr="0060296F" w:rsidRDefault="0060296F" w:rsidP="0060296F">
      <w:pPr>
        <w:pStyle w:val="NoSpacing"/>
        <w:rPr>
          <w:rFonts w:ascii="Times New Roman" w:hAnsi="Times New Roman"/>
          <w:bCs/>
          <w:sz w:val="24"/>
          <w:szCs w:val="24"/>
        </w:rPr>
      </w:pPr>
      <w:r w:rsidRPr="0060296F">
        <w:rPr>
          <w:rFonts w:ascii="Times New Roman" w:hAnsi="Times New Roman"/>
          <w:sz w:val="24"/>
          <w:szCs w:val="24"/>
        </w:rPr>
        <w:t>The Court wrote:</w:t>
      </w:r>
    </w:p>
    <w:p w14:paraId="4D8EB603" w14:textId="77777777" w:rsidR="0060296F" w:rsidRPr="0060296F" w:rsidRDefault="0060296F" w:rsidP="0060296F">
      <w:pPr>
        <w:pStyle w:val="NoSpacing"/>
        <w:rPr>
          <w:rFonts w:ascii="Times New Roman" w:hAnsi="Times New Roman"/>
          <w:bCs/>
          <w:sz w:val="24"/>
          <w:szCs w:val="24"/>
        </w:rPr>
      </w:pPr>
    </w:p>
    <w:p w14:paraId="76E95EDD" w14:textId="77777777"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“Applying a rational basis review, we hold that the City’s in-a-park category within FAS 17-01, section 3.4 allows the indiscriminate and standardless removal of such obstructions and is not carefully tailored to meet a legitimate governmental goal. Accordingly, section 3.4 is facially unconstitutional under article I, section 7 of the Washington State Constitution.</w:t>
      </w:r>
    </w:p>
    <w:p w14:paraId="71E932F4" w14:textId="77777777" w:rsidR="0060296F" w:rsidRPr="0060296F" w:rsidRDefault="0060296F" w:rsidP="0060296F">
      <w:pPr>
        <w:pStyle w:val="NoSpacing"/>
        <w:ind w:left="720"/>
        <w:rPr>
          <w:rFonts w:ascii="Times New Roman" w:hAnsi="Times New Roman"/>
          <w:bCs/>
          <w:sz w:val="24"/>
          <w:szCs w:val="24"/>
        </w:rPr>
      </w:pPr>
    </w:p>
    <w:p w14:paraId="1A549F6C" w14:textId="77777777"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w:t>
      </w:r>
    </w:p>
    <w:p w14:paraId="3B74B18D" w14:textId="77777777" w:rsidR="0060296F" w:rsidRPr="0060296F" w:rsidRDefault="0060296F" w:rsidP="0060296F">
      <w:pPr>
        <w:pStyle w:val="NoSpacing"/>
        <w:rPr>
          <w:rFonts w:ascii="Times New Roman" w:hAnsi="Times New Roman"/>
          <w:bCs/>
          <w:sz w:val="24"/>
          <w:szCs w:val="24"/>
        </w:rPr>
      </w:pPr>
    </w:p>
    <w:p w14:paraId="06CC345C" w14:textId="7BB4EABC"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 xml:space="preserve">On its face, the rules do not bind the in-a-park category with minimum requirements or standards that connect those obstructions to health and safety concerns. To restate the challenged provision, the in-a-park category allows the City to immediately remove ‘people, tents, personal property, garbage, debris or other objects related to an encampment’ merely because the encampment exists ‘in a </w:t>
      </w:r>
      <w:proofErr w:type="gramStart"/>
      <w:r w:rsidRPr="0060296F">
        <w:rPr>
          <w:rFonts w:ascii="Times New Roman" w:hAnsi="Times New Roman"/>
          <w:sz w:val="24"/>
          <w:szCs w:val="24"/>
        </w:rPr>
        <w:t>City</w:t>
      </w:r>
      <w:proofErr w:type="gramEnd"/>
      <w:r w:rsidRPr="0060296F">
        <w:rPr>
          <w:rFonts w:ascii="Times New Roman" w:hAnsi="Times New Roman"/>
          <w:sz w:val="24"/>
          <w:szCs w:val="24"/>
        </w:rPr>
        <w:t xml:space="preserve"> park or on a public sidewalk.” </w:t>
      </w:r>
    </w:p>
    <w:p w14:paraId="55A1E76F" w14:textId="77777777" w:rsidR="00AC2AA9" w:rsidRDefault="00AC2AA9" w:rsidP="0039158C">
      <w:pPr>
        <w:pStyle w:val="NoSpacing"/>
        <w:rPr>
          <w:rFonts w:ascii="Times New Roman" w:hAnsi="Times New Roman"/>
          <w:sz w:val="24"/>
          <w:szCs w:val="24"/>
        </w:rPr>
      </w:pPr>
    </w:p>
    <w:p w14:paraId="53C7D542" w14:textId="65890C18" w:rsidR="0039158C" w:rsidRPr="0039158C" w:rsidRDefault="0039158C" w:rsidP="0039158C">
      <w:pPr>
        <w:pStyle w:val="NoSpacing"/>
        <w:rPr>
          <w:rFonts w:ascii="Times New Roman" w:hAnsi="Times New Roman"/>
          <w:bCs/>
          <w:sz w:val="24"/>
          <w:szCs w:val="24"/>
        </w:rPr>
      </w:pPr>
      <w:r w:rsidRPr="0039158C">
        <w:rPr>
          <w:rFonts w:ascii="Times New Roman" w:hAnsi="Times New Roman"/>
          <w:sz w:val="24"/>
          <w:szCs w:val="24"/>
        </w:rPr>
        <w:t>HOLDING:</w:t>
      </w:r>
    </w:p>
    <w:p w14:paraId="344D367E" w14:textId="77777777" w:rsidR="0039158C" w:rsidRPr="0039158C" w:rsidRDefault="0039158C" w:rsidP="0039158C">
      <w:pPr>
        <w:pStyle w:val="NoSpacing"/>
        <w:rPr>
          <w:rFonts w:ascii="Times New Roman" w:hAnsi="Times New Roman"/>
          <w:b/>
          <w:sz w:val="24"/>
          <w:szCs w:val="24"/>
        </w:rPr>
      </w:pPr>
    </w:p>
    <w:p w14:paraId="113060BC" w14:textId="77777777" w:rsidR="0039158C" w:rsidRPr="0039158C" w:rsidRDefault="0039158C" w:rsidP="0039158C">
      <w:pPr>
        <w:pStyle w:val="NoSpacing"/>
        <w:ind w:left="720"/>
        <w:rPr>
          <w:rFonts w:ascii="Times New Roman" w:hAnsi="Times New Roman"/>
          <w:bCs/>
          <w:sz w:val="24"/>
          <w:szCs w:val="24"/>
        </w:rPr>
      </w:pPr>
      <w:r w:rsidRPr="0039158C">
        <w:rPr>
          <w:rFonts w:ascii="Times New Roman" w:hAnsi="Times New Roman"/>
          <w:sz w:val="24"/>
          <w:szCs w:val="24"/>
        </w:rPr>
        <w:t xml:space="preserve">“We recognize that having one’s belongings and temporary home removed without notice may feel punishing, but that does not equate to criminal punishment as contemplated under article I, section 14. Accordingly, we reverse the trial court’s order concluding that the </w:t>
      </w:r>
      <w:proofErr w:type="gramStart"/>
      <w:r w:rsidRPr="0039158C">
        <w:rPr>
          <w:rFonts w:ascii="Times New Roman" w:hAnsi="Times New Roman"/>
          <w:sz w:val="24"/>
          <w:szCs w:val="24"/>
        </w:rPr>
        <w:t>in-a-park</w:t>
      </w:r>
      <w:proofErr w:type="gramEnd"/>
      <w:r w:rsidRPr="0039158C">
        <w:rPr>
          <w:rFonts w:ascii="Times New Roman" w:hAnsi="Times New Roman"/>
          <w:sz w:val="24"/>
          <w:szCs w:val="24"/>
        </w:rPr>
        <w:t xml:space="preserve"> category is facially unconstitutional under article I, section 14.</w:t>
      </w:r>
    </w:p>
    <w:p w14:paraId="07FBC16D" w14:textId="77777777" w:rsidR="0039158C" w:rsidRPr="0039158C" w:rsidRDefault="0039158C" w:rsidP="0039158C">
      <w:pPr>
        <w:pStyle w:val="NoSpacing"/>
        <w:ind w:left="720"/>
        <w:rPr>
          <w:rFonts w:ascii="Times New Roman" w:hAnsi="Times New Roman"/>
          <w:bCs/>
          <w:sz w:val="24"/>
          <w:szCs w:val="24"/>
        </w:rPr>
      </w:pPr>
    </w:p>
    <w:p w14:paraId="60381DC1" w14:textId="77777777" w:rsidR="0039158C" w:rsidRPr="0039158C" w:rsidRDefault="0039158C" w:rsidP="0039158C">
      <w:pPr>
        <w:pStyle w:val="NoSpacing"/>
        <w:ind w:left="720"/>
        <w:rPr>
          <w:rFonts w:ascii="Times New Roman" w:hAnsi="Times New Roman"/>
          <w:bCs/>
          <w:sz w:val="24"/>
          <w:szCs w:val="24"/>
        </w:rPr>
      </w:pPr>
      <w:r w:rsidRPr="0039158C">
        <w:rPr>
          <w:rFonts w:ascii="Times New Roman" w:hAnsi="Times New Roman"/>
          <w:sz w:val="24"/>
          <w:szCs w:val="24"/>
        </w:rPr>
        <w:t>***</w:t>
      </w:r>
    </w:p>
    <w:p w14:paraId="63DA66ED" w14:textId="77777777" w:rsidR="0039158C" w:rsidRPr="0039158C" w:rsidRDefault="0039158C" w:rsidP="0039158C">
      <w:pPr>
        <w:pStyle w:val="NoSpacing"/>
        <w:ind w:firstLine="720"/>
        <w:rPr>
          <w:rFonts w:ascii="Times New Roman" w:hAnsi="Times New Roman"/>
          <w:bCs/>
          <w:sz w:val="24"/>
          <w:szCs w:val="24"/>
        </w:rPr>
      </w:pPr>
    </w:p>
    <w:p w14:paraId="4CAB8EEE" w14:textId="77777777" w:rsidR="0039158C" w:rsidRPr="0039158C" w:rsidRDefault="0039158C" w:rsidP="0039158C">
      <w:pPr>
        <w:pStyle w:val="NoSpacing"/>
        <w:ind w:firstLine="720"/>
        <w:rPr>
          <w:rFonts w:ascii="Times New Roman" w:hAnsi="Times New Roman"/>
          <w:bCs/>
          <w:sz w:val="24"/>
          <w:szCs w:val="24"/>
        </w:rPr>
      </w:pPr>
      <w:r w:rsidRPr="0039158C">
        <w:rPr>
          <w:rFonts w:ascii="Times New Roman" w:hAnsi="Times New Roman"/>
          <w:sz w:val="24"/>
          <w:szCs w:val="24"/>
        </w:rPr>
        <w:t xml:space="preserve">We affirm in part, reverse in part, and remand for further proceedings.” </w:t>
      </w:r>
    </w:p>
    <w:p w14:paraId="6C970B76" w14:textId="77777777" w:rsidR="0039158C" w:rsidRPr="0039158C" w:rsidRDefault="0039158C" w:rsidP="0039158C">
      <w:pPr>
        <w:pStyle w:val="NoSpacing"/>
        <w:ind w:firstLine="720"/>
        <w:rPr>
          <w:rFonts w:ascii="Times New Roman" w:hAnsi="Times New Roman"/>
          <w:bCs/>
          <w:sz w:val="24"/>
          <w:szCs w:val="24"/>
        </w:rPr>
      </w:pPr>
    </w:p>
    <w:p w14:paraId="799FA73F" w14:textId="77777777" w:rsidR="0039158C" w:rsidRPr="0039158C" w:rsidRDefault="0039158C" w:rsidP="0039158C">
      <w:pPr>
        <w:pStyle w:val="NoSpacing"/>
        <w:rPr>
          <w:rFonts w:ascii="Times New Roman" w:hAnsi="Times New Roman"/>
          <w:b/>
          <w:sz w:val="24"/>
          <w:szCs w:val="24"/>
        </w:rPr>
      </w:pPr>
      <w:r w:rsidRPr="0039158C">
        <w:rPr>
          <w:rFonts w:ascii="Times New Roman" w:hAnsi="Times New Roman"/>
          <w:b/>
          <w:sz w:val="24"/>
          <w:szCs w:val="24"/>
        </w:rPr>
        <w:t>Legal Lesson Learned: When drafting homeless removal ordinance, consider including a pro vision requiring notice be provided at least one day prior to removal of personal property.</w:t>
      </w:r>
    </w:p>
    <w:p w14:paraId="7CE025FA" w14:textId="77777777" w:rsidR="0039158C" w:rsidRPr="0039158C" w:rsidRDefault="0039158C" w:rsidP="0039158C">
      <w:pPr>
        <w:pStyle w:val="NoSpacing"/>
        <w:ind w:firstLine="720"/>
        <w:rPr>
          <w:rFonts w:ascii="Times New Roman" w:hAnsi="Times New Roman"/>
          <w:bCs/>
          <w:sz w:val="24"/>
          <w:szCs w:val="24"/>
        </w:rPr>
      </w:pPr>
    </w:p>
    <w:p w14:paraId="02BFFBDD" w14:textId="77777777" w:rsidR="004B0DC2" w:rsidRDefault="004B0DC2" w:rsidP="00B86628">
      <w:pPr>
        <w:pStyle w:val="NoSpacing"/>
        <w:rPr>
          <w:rFonts w:ascii="Arial Black" w:hAnsi="Arial Black"/>
          <w:sz w:val="24"/>
          <w:szCs w:val="24"/>
        </w:rPr>
      </w:pPr>
    </w:p>
    <w:p w14:paraId="3BA7CACC" w14:textId="695E060F" w:rsidR="004B0DC2" w:rsidRDefault="0039158C" w:rsidP="00B86628">
      <w:pPr>
        <w:pStyle w:val="NoSpacing"/>
        <w:rPr>
          <w:rFonts w:ascii="Arial Black" w:hAnsi="Arial Black"/>
          <w:sz w:val="24"/>
          <w:szCs w:val="24"/>
        </w:rPr>
      </w:pPr>
      <w:r>
        <w:rPr>
          <w:rFonts w:ascii="Arial Black" w:hAnsi="Arial Black"/>
          <w:sz w:val="24"/>
          <w:szCs w:val="24"/>
        </w:rPr>
        <w:t>1-168</w:t>
      </w:r>
    </w:p>
    <w:p w14:paraId="4EA15B80" w14:textId="77777777" w:rsidR="0039158C" w:rsidRDefault="0039158C" w:rsidP="00B86628">
      <w:pPr>
        <w:pStyle w:val="NoSpacing"/>
        <w:rPr>
          <w:rFonts w:ascii="Arial Black" w:hAnsi="Arial Black"/>
          <w:sz w:val="24"/>
          <w:szCs w:val="24"/>
        </w:rPr>
      </w:pPr>
    </w:p>
    <w:p w14:paraId="4C3BDD20" w14:textId="77777777" w:rsidR="006E7CA0" w:rsidRDefault="006E7CA0" w:rsidP="006E7CA0">
      <w:pPr>
        <w:pStyle w:val="NoSpacing"/>
        <w:rPr>
          <w:rFonts w:ascii="Arial Black" w:hAnsi="Arial Black"/>
          <w:b/>
          <w:sz w:val="28"/>
          <w:szCs w:val="28"/>
        </w:rPr>
      </w:pPr>
      <w:r>
        <w:rPr>
          <w:rFonts w:ascii="Arial Black" w:hAnsi="Arial Black"/>
          <w:b/>
          <w:sz w:val="28"/>
          <w:szCs w:val="28"/>
        </w:rPr>
        <w:t>KY: VOL. FFs ARSON – CHURCH – NOT FEDERAL CASE</w:t>
      </w:r>
    </w:p>
    <w:p w14:paraId="487505EE" w14:textId="77777777" w:rsidR="001A3D7F" w:rsidRDefault="001A3D7F" w:rsidP="00905074">
      <w:pPr>
        <w:rPr>
          <w:rFonts w:ascii="Times New Roman" w:hAnsi="Times New Roman"/>
          <w:sz w:val="24"/>
          <w:szCs w:val="24"/>
        </w:rPr>
      </w:pPr>
    </w:p>
    <w:p w14:paraId="434835AC" w14:textId="47CAC1AE" w:rsidR="00905074" w:rsidRPr="00905074" w:rsidRDefault="00905074" w:rsidP="00905074">
      <w:pPr>
        <w:rPr>
          <w:rStyle w:val="Hyperlink"/>
          <w:rFonts w:ascii="Times New Roman" w:hAnsi="Times New Roman"/>
          <w:bCs/>
          <w:sz w:val="24"/>
          <w:szCs w:val="24"/>
        </w:rPr>
      </w:pPr>
      <w:r w:rsidRPr="00905074">
        <w:rPr>
          <w:rFonts w:ascii="Times New Roman" w:hAnsi="Times New Roman"/>
          <w:sz w:val="24"/>
          <w:szCs w:val="24"/>
        </w:rPr>
        <w:t xml:space="preserve">On Dec. 3, 2024, in </w:t>
      </w:r>
      <w:r w:rsidRPr="00905074">
        <w:rPr>
          <w:rFonts w:ascii="Times New Roman" w:hAnsi="Times New Roman"/>
          <w:sz w:val="24"/>
          <w:szCs w:val="24"/>
          <w:u w:val="single"/>
        </w:rPr>
        <w:t>United States of America v. Brendan J. Gibson and Robert J. Hughes</w:t>
      </w:r>
      <w:r w:rsidRPr="00905074">
        <w:rPr>
          <w:rFonts w:ascii="Times New Roman" w:hAnsi="Times New Roman"/>
          <w:sz w:val="24"/>
          <w:szCs w:val="24"/>
        </w:rPr>
        <w:t xml:space="preserve">, United States District Court Judge David L. Bunning, U.S. District Court for the Eastern District of Kentucky, granted the defendant’s motion to dismiss the federal indictment because the church building located at 10950 Dixie Highway, Corinth, KY is not used in interstate commerce,  nor used in any activity affecting interstate commerce. </w:t>
      </w:r>
      <w:hyperlink r:id="rId112" w:history="1">
        <w:r w:rsidRPr="00905074">
          <w:rPr>
            <w:rStyle w:val="Hyperlink"/>
            <w:rFonts w:ascii="Times New Roman" w:hAnsi="Times New Roman"/>
            <w:sz w:val="24"/>
            <w:szCs w:val="24"/>
          </w:rPr>
          <w:t>https://casetext.com/case/united-states-v-gibson-453</w:t>
        </w:r>
      </w:hyperlink>
      <w:r w:rsidRPr="00905074">
        <w:rPr>
          <w:rStyle w:val="Hyperlink"/>
          <w:rFonts w:ascii="Times New Roman" w:hAnsi="Times New Roman"/>
          <w:sz w:val="24"/>
          <w:szCs w:val="24"/>
        </w:rPr>
        <w:t xml:space="preserve"> </w:t>
      </w:r>
    </w:p>
    <w:p w14:paraId="004E8FF9" w14:textId="2C45CA47" w:rsidR="006E7CA0" w:rsidRPr="006E7CA0" w:rsidRDefault="006E7CA0" w:rsidP="006E7CA0">
      <w:pPr>
        <w:pStyle w:val="NoSpacing"/>
        <w:rPr>
          <w:rFonts w:ascii="Times New Roman" w:hAnsi="Times New Roman"/>
          <w:bCs/>
          <w:sz w:val="24"/>
          <w:szCs w:val="24"/>
        </w:rPr>
      </w:pPr>
      <w:r w:rsidRPr="006E7CA0">
        <w:rPr>
          <w:rFonts w:ascii="Times New Roman" w:hAnsi="Times New Roman"/>
          <w:sz w:val="24"/>
          <w:szCs w:val="24"/>
        </w:rPr>
        <w:t>The Court wrote:</w:t>
      </w:r>
    </w:p>
    <w:p w14:paraId="60F6005F" w14:textId="77777777" w:rsidR="006E7CA0" w:rsidRPr="006E7CA0" w:rsidRDefault="006E7CA0" w:rsidP="006E7CA0">
      <w:pPr>
        <w:pStyle w:val="NoSpacing"/>
        <w:rPr>
          <w:rFonts w:ascii="Times New Roman" w:hAnsi="Times New Roman"/>
          <w:bCs/>
          <w:sz w:val="24"/>
          <w:szCs w:val="24"/>
        </w:rPr>
      </w:pPr>
    </w:p>
    <w:p w14:paraId="58793034" w14:textId="519F40E2" w:rsidR="006E7CA0" w:rsidRPr="006E7CA0" w:rsidRDefault="006E7CA0" w:rsidP="006E7CA0">
      <w:pPr>
        <w:pStyle w:val="NoSpacing"/>
        <w:ind w:left="720"/>
        <w:rPr>
          <w:rFonts w:ascii="Times New Roman" w:hAnsi="Times New Roman"/>
          <w:bCs/>
          <w:sz w:val="24"/>
          <w:szCs w:val="24"/>
        </w:rPr>
      </w:pPr>
      <w:r w:rsidRPr="006E7CA0">
        <w:rPr>
          <w:rFonts w:ascii="Times New Roman" w:hAnsi="Times New Roman"/>
          <w:sz w:val="24"/>
          <w:szCs w:val="24"/>
        </w:rPr>
        <w:t xml:space="preserve">“Based on the Government's proffer of the evidence, the arguments presented, and the authorities cited, the Court concludes that the United States cannot, as a matter of law, prove the required interstate commerce element of the offense charged.” </w:t>
      </w:r>
    </w:p>
    <w:p w14:paraId="78D7B5C2" w14:textId="77777777" w:rsidR="0039158C" w:rsidRDefault="0039158C" w:rsidP="00B86628">
      <w:pPr>
        <w:pStyle w:val="NoSpacing"/>
        <w:rPr>
          <w:rFonts w:ascii="Arial Black" w:hAnsi="Arial Black"/>
          <w:sz w:val="24"/>
          <w:szCs w:val="24"/>
        </w:rPr>
      </w:pPr>
    </w:p>
    <w:p w14:paraId="495BF7F9" w14:textId="77777777" w:rsidR="00F755DB" w:rsidRPr="00F755DB" w:rsidRDefault="00F755DB" w:rsidP="00F755DB">
      <w:pPr>
        <w:pStyle w:val="NoSpacing"/>
        <w:rPr>
          <w:rFonts w:ascii="Times New Roman" w:hAnsi="Times New Roman"/>
          <w:sz w:val="24"/>
          <w:szCs w:val="24"/>
        </w:rPr>
      </w:pPr>
      <w:r w:rsidRPr="00F755DB">
        <w:rPr>
          <w:rFonts w:ascii="Times New Roman" w:hAnsi="Times New Roman"/>
          <w:sz w:val="24"/>
          <w:szCs w:val="24"/>
        </w:rPr>
        <w:t>HOLDING:</w:t>
      </w:r>
    </w:p>
    <w:p w14:paraId="6844D4CF" w14:textId="77777777" w:rsidR="00F755DB" w:rsidRPr="00F755DB" w:rsidRDefault="00F755DB" w:rsidP="00F755DB">
      <w:pPr>
        <w:pStyle w:val="NoSpacing"/>
        <w:rPr>
          <w:rFonts w:ascii="Times New Roman" w:hAnsi="Times New Roman"/>
          <w:sz w:val="24"/>
          <w:szCs w:val="24"/>
        </w:rPr>
      </w:pPr>
    </w:p>
    <w:p w14:paraId="33A502BC"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“At that hearing, the United States confirmed that the building in question was a church. Additionally, when prompted by the Court, the United States proffered the following evidence relating to the Church's interstate activity: (1) the week before the arson occurred, the Church participated in the U.S. 25 yard sale as a fundraiser for an international mission trip, which raised $700; (2) the Church participated in multiple fundraising events for international mission trips; (3) the Church was used as a youth event location; (4) the Church engaged in cookouts; (5) the Church held movie nights; (6) the Church provided food to the community; (7) the Church was a youth facility for a local recovery team; (8) communion was purchased out of state; (9) four or five out of state pastors had visited the Church; and (10) the building was an annex. Defendants did not contest any of the above proffered facts.</w:t>
      </w:r>
    </w:p>
    <w:p w14:paraId="5C66B199" w14:textId="77777777" w:rsidR="00F755DB" w:rsidRPr="00F755DB" w:rsidRDefault="00F755DB" w:rsidP="00F755DB">
      <w:pPr>
        <w:pStyle w:val="NoSpacing"/>
        <w:ind w:left="720"/>
        <w:rPr>
          <w:rFonts w:ascii="Times New Roman" w:hAnsi="Times New Roman"/>
          <w:sz w:val="24"/>
          <w:szCs w:val="24"/>
        </w:rPr>
      </w:pPr>
    </w:p>
    <w:p w14:paraId="6AB82979"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w:t>
      </w:r>
    </w:p>
    <w:p w14:paraId="361C0091"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 xml:space="preserve">At the November 21, </w:t>
      </w:r>
      <w:proofErr w:type="gramStart"/>
      <w:r w:rsidRPr="00F755DB">
        <w:rPr>
          <w:rFonts w:ascii="Times New Roman" w:hAnsi="Times New Roman"/>
          <w:sz w:val="24"/>
          <w:szCs w:val="24"/>
        </w:rPr>
        <w:t>2024</w:t>
      </w:r>
      <w:proofErr w:type="gramEnd"/>
      <w:r w:rsidRPr="00F755DB">
        <w:rPr>
          <w:rFonts w:ascii="Times New Roman" w:hAnsi="Times New Roman"/>
          <w:sz w:val="24"/>
          <w:szCs w:val="24"/>
        </w:rPr>
        <w:t xml:space="preserve"> pretrial hearing addressing Defendants' Motions, the United States affirmatively indicated that there is no dispute that the building in question is classified as a church or place of worship. Moreover, the detailed facts proffered by the United States, which this Court would describe as a full proffer of the evidence, were undisputed at the hearing. Thus, collectively, the full proffer of facts presented by the United States (both the classification of the building and the potential interstate activities) are entirely undisputed. What remains then, is solely a question of law-whether the undisputed evidence proffered by the United States is sufficient to satisfy the interstate commerce element of </w:t>
      </w:r>
      <w:hyperlink r:id="rId113" w:history="1">
        <w:r w:rsidRPr="00F755DB">
          <w:rPr>
            <w:rStyle w:val="Hyperlink"/>
            <w:rFonts w:ascii="Times New Roman" w:hAnsi="Times New Roman"/>
            <w:sz w:val="24"/>
            <w:szCs w:val="24"/>
          </w:rPr>
          <w:t>18 U.S.C. §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w:t>
      </w:r>
    </w:p>
    <w:p w14:paraId="6B4E8CF2" w14:textId="77777777" w:rsidR="00F755DB" w:rsidRPr="00F755DB" w:rsidRDefault="00F755DB" w:rsidP="00F755DB">
      <w:pPr>
        <w:pStyle w:val="NoSpacing"/>
        <w:ind w:left="720"/>
        <w:rPr>
          <w:rFonts w:ascii="Times New Roman" w:hAnsi="Times New Roman"/>
          <w:sz w:val="24"/>
          <w:szCs w:val="24"/>
        </w:rPr>
      </w:pPr>
    </w:p>
    <w:p w14:paraId="3F820AB0"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w:t>
      </w:r>
    </w:p>
    <w:p w14:paraId="7AE0D5A1" w14:textId="77777777" w:rsidR="00F755DB" w:rsidRPr="00F755DB" w:rsidRDefault="00F755DB" w:rsidP="00F755DB">
      <w:pPr>
        <w:pStyle w:val="NoSpacing"/>
        <w:ind w:left="720"/>
        <w:rPr>
          <w:rFonts w:ascii="Times New Roman" w:hAnsi="Times New Roman"/>
          <w:bCs/>
          <w:sz w:val="24"/>
          <w:szCs w:val="24"/>
        </w:rPr>
      </w:pPr>
    </w:p>
    <w:p w14:paraId="1E707D92"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However, as part of its commerce clause power, Congress federalized certain arson crimes in 1982. In relevant part, the underlying arson statute provides that: ‘[w]</w:t>
      </w:r>
      <w:proofErr w:type="spellStart"/>
      <w:r w:rsidRPr="00F755DB">
        <w:rPr>
          <w:rFonts w:ascii="Times New Roman" w:hAnsi="Times New Roman"/>
          <w:sz w:val="24"/>
          <w:szCs w:val="24"/>
        </w:rPr>
        <w:t>hoever</w:t>
      </w:r>
      <w:proofErr w:type="spellEnd"/>
      <w:r w:rsidRPr="00F755DB">
        <w:rPr>
          <w:rFonts w:ascii="Times New Roman" w:hAnsi="Times New Roman"/>
          <w:sz w:val="24"/>
          <w:szCs w:val="24"/>
        </w:rPr>
        <w:t xml:space="preserve"> maliciously damages or destroys, or attempts to damage or destroy, by means of fire or an explosive, any building, vehicle, or other real or personal property </w:t>
      </w:r>
      <w:r w:rsidRPr="00F755DB">
        <w:rPr>
          <w:rFonts w:ascii="Times New Roman" w:hAnsi="Times New Roman"/>
          <w:i/>
          <w:iCs/>
          <w:sz w:val="24"/>
          <w:szCs w:val="24"/>
        </w:rPr>
        <w:t>used in interstate or foreign commerce or in any activity affecting interstate or foreign commerce shall be imprisoned</w:t>
      </w:r>
      <w:r w:rsidRPr="00F755DB">
        <w:rPr>
          <w:rFonts w:ascii="Times New Roman" w:hAnsi="Times New Roman"/>
          <w:sz w:val="24"/>
          <w:szCs w:val="24"/>
        </w:rPr>
        <w:t xml:space="preserve">.’ </w:t>
      </w:r>
      <w:hyperlink r:id="rId114" w:history="1">
        <w:r w:rsidRPr="00F755DB">
          <w:rPr>
            <w:rStyle w:val="Hyperlink"/>
            <w:rFonts w:ascii="Times New Roman" w:hAnsi="Times New Roman"/>
            <w:sz w:val="24"/>
            <w:szCs w:val="24"/>
          </w:rPr>
          <w:t>18 U.S.C. §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 xml:space="preserve"> (emphasis added). While broad in one aspect (prosecuting the arson of ‘any’ building), it is simultaneously limited by permitting prosecution only when such building is used in or affects interstate or foreign commerce. The effect of such limiting language ensures that there remain buildings which do not fall within the federal statute's domain. </w:t>
      </w:r>
      <w:r w:rsidRPr="00F755DB">
        <w:rPr>
          <w:rFonts w:ascii="Times New Roman" w:hAnsi="Times New Roman"/>
          <w:i/>
          <w:iCs/>
          <w:sz w:val="24"/>
          <w:szCs w:val="24"/>
        </w:rPr>
        <w:t>See</w:t>
      </w:r>
      <w:r w:rsidRPr="00F755DB">
        <w:rPr>
          <w:rFonts w:ascii="Times New Roman" w:hAnsi="Times New Roman"/>
          <w:sz w:val="24"/>
          <w:szCs w:val="24"/>
        </w:rPr>
        <w:t xml:space="preserve"> </w:t>
      </w:r>
      <w:r w:rsidRPr="00F755DB">
        <w:rPr>
          <w:rFonts w:ascii="Times New Roman" w:hAnsi="Times New Roman"/>
          <w:i/>
          <w:iCs/>
          <w:sz w:val="24"/>
          <w:szCs w:val="24"/>
        </w:rPr>
        <w:t>Jones</w:t>
      </w:r>
      <w:r w:rsidRPr="00F755DB">
        <w:rPr>
          <w:rFonts w:ascii="Times New Roman" w:hAnsi="Times New Roman"/>
          <w:sz w:val="24"/>
          <w:szCs w:val="24"/>
        </w:rPr>
        <w:t xml:space="preserve">, </w:t>
      </w:r>
      <w:hyperlink r:id="rId115" w:anchor="p859" w:history="1">
        <w:r w:rsidRPr="00F755DB">
          <w:rPr>
            <w:rStyle w:val="Hyperlink"/>
            <w:rFonts w:ascii="Times New Roman" w:hAnsi="Times New Roman"/>
            <w:sz w:val="24"/>
            <w:szCs w:val="24"/>
          </w:rPr>
          <w:t>529 U.S. at 859</w:t>
        </w:r>
      </w:hyperlink>
      <w:r w:rsidRPr="00F755DB">
        <w:rPr>
          <w:rFonts w:ascii="Times New Roman" w:hAnsi="Times New Roman"/>
          <w:sz w:val="24"/>
          <w:szCs w:val="24"/>
        </w:rPr>
        <w:t xml:space="preserve"> (but for the interstate commerce element, </w:t>
      </w:r>
      <w:hyperlink r:id="rId116" w:history="1">
        <w:r w:rsidRPr="00F755DB">
          <w:rPr>
            <w:rStyle w:val="Hyperlink"/>
            <w:rFonts w:ascii="Times New Roman" w:hAnsi="Times New Roman"/>
            <w:sz w:val="24"/>
            <w:szCs w:val="24"/>
          </w:rPr>
          <w:t>§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 xml:space="preserve"> would transform ‘virtually every arson in the country [into] a federal offense.’).”</w:t>
      </w:r>
    </w:p>
    <w:p w14:paraId="5C8E1C16" w14:textId="77777777" w:rsidR="00F755DB" w:rsidRPr="00F755DB" w:rsidRDefault="00F755DB" w:rsidP="00F755DB">
      <w:pPr>
        <w:pStyle w:val="NoSpacing"/>
        <w:ind w:left="720"/>
        <w:rPr>
          <w:rFonts w:ascii="Times New Roman" w:hAnsi="Times New Roman"/>
          <w:sz w:val="24"/>
          <w:szCs w:val="24"/>
        </w:rPr>
      </w:pPr>
    </w:p>
    <w:p w14:paraId="52D84DDC" w14:textId="77777777" w:rsidR="00F755DB" w:rsidRPr="00F755DB" w:rsidRDefault="00F755DB" w:rsidP="00F755DB">
      <w:pPr>
        <w:pStyle w:val="NoSpacing"/>
        <w:rPr>
          <w:rFonts w:ascii="Times New Roman" w:hAnsi="Times New Roman"/>
          <w:b/>
          <w:bCs/>
          <w:sz w:val="24"/>
          <w:szCs w:val="24"/>
        </w:rPr>
      </w:pPr>
      <w:r w:rsidRPr="00F755DB">
        <w:rPr>
          <w:rFonts w:ascii="Times New Roman" w:hAnsi="Times New Roman"/>
          <w:b/>
          <w:sz w:val="24"/>
          <w:szCs w:val="24"/>
        </w:rPr>
        <w:t>Legal Lesson Learned: The firefighters can now be tried in state court.</w:t>
      </w:r>
    </w:p>
    <w:p w14:paraId="4F2FD0E8" w14:textId="77777777" w:rsidR="00F755DB" w:rsidRPr="004447C7" w:rsidRDefault="00F755DB" w:rsidP="00F755DB">
      <w:pPr>
        <w:pStyle w:val="NoSpacing"/>
        <w:rPr>
          <w:b/>
          <w:bCs/>
        </w:rPr>
      </w:pPr>
    </w:p>
    <w:p w14:paraId="58541979" w14:textId="77777777" w:rsidR="004B0DC2" w:rsidRDefault="004B0DC2" w:rsidP="00B86628">
      <w:pPr>
        <w:pStyle w:val="NoSpacing"/>
        <w:rPr>
          <w:rFonts w:ascii="Arial Black" w:hAnsi="Arial Black"/>
          <w:sz w:val="24"/>
          <w:szCs w:val="24"/>
        </w:rPr>
      </w:pPr>
    </w:p>
    <w:p w14:paraId="2A782240" w14:textId="77777777" w:rsidR="004B0DC2" w:rsidRDefault="004B0DC2" w:rsidP="00B86628">
      <w:pPr>
        <w:pStyle w:val="NoSpacing"/>
        <w:rPr>
          <w:rFonts w:ascii="Arial Black" w:hAnsi="Arial Black"/>
          <w:sz w:val="24"/>
          <w:szCs w:val="24"/>
        </w:rPr>
      </w:pPr>
    </w:p>
    <w:p w14:paraId="3BC156B1" w14:textId="2D622D7F" w:rsidR="00AE3DBB" w:rsidRDefault="00AE3DBB" w:rsidP="00B86628">
      <w:pPr>
        <w:pStyle w:val="NoSpacing"/>
        <w:rPr>
          <w:rFonts w:ascii="Arial Black" w:hAnsi="Arial Black"/>
          <w:sz w:val="24"/>
          <w:szCs w:val="24"/>
        </w:rPr>
      </w:pPr>
      <w:r>
        <w:rPr>
          <w:rFonts w:ascii="Arial Black" w:hAnsi="Arial Black"/>
          <w:sz w:val="24"/>
          <w:szCs w:val="24"/>
        </w:rPr>
        <w:t>1-167</w:t>
      </w:r>
    </w:p>
    <w:p w14:paraId="22A5AC98" w14:textId="77777777" w:rsidR="00AE3DBB" w:rsidRDefault="00AE3DBB" w:rsidP="00B86628">
      <w:pPr>
        <w:pStyle w:val="NoSpacing"/>
        <w:rPr>
          <w:rFonts w:ascii="Arial Black" w:hAnsi="Arial Black"/>
          <w:sz w:val="24"/>
          <w:szCs w:val="24"/>
        </w:rPr>
      </w:pPr>
    </w:p>
    <w:p w14:paraId="1AFFE091" w14:textId="77777777" w:rsidR="00FA5992" w:rsidRPr="0053642C" w:rsidRDefault="00FA5992" w:rsidP="00FA5992">
      <w:pPr>
        <w:pStyle w:val="NoSpacing"/>
        <w:rPr>
          <w:rFonts w:ascii="Arial Black" w:hAnsi="Arial Black"/>
          <w:bCs/>
          <w:sz w:val="28"/>
          <w:szCs w:val="28"/>
        </w:rPr>
      </w:pPr>
      <w:r>
        <w:rPr>
          <w:rFonts w:ascii="Arial Black" w:hAnsi="Arial Black"/>
          <w:sz w:val="28"/>
          <w:szCs w:val="28"/>
        </w:rPr>
        <w:t xml:space="preserve">OH: ARSON - </w:t>
      </w:r>
      <w:r w:rsidRPr="00F01098">
        <w:rPr>
          <w:rFonts w:ascii="Arial Black" w:hAnsi="Arial Black"/>
          <w:sz w:val="28"/>
          <w:szCs w:val="28"/>
        </w:rPr>
        <w:t>2018 H</w:t>
      </w:r>
      <w:r>
        <w:rPr>
          <w:rFonts w:ascii="Arial Black" w:hAnsi="Arial Black"/>
          <w:sz w:val="28"/>
          <w:szCs w:val="28"/>
        </w:rPr>
        <w:t>ONDA ACCORD – “REAL TIME CRIME” STREET CAMERA / ARSONIST</w:t>
      </w:r>
      <w:r>
        <w:rPr>
          <w:rFonts w:ascii="Arial Black" w:hAnsi="Arial Black"/>
          <w:bCs/>
          <w:sz w:val="28"/>
          <w:szCs w:val="28"/>
        </w:rPr>
        <w:t xml:space="preserve"> AT</w:t>
      </w:r>
      <w:r>
        <w:rPr>
          <w:rFonts w:ascii="Arial Black" w:hAnsi="Arial Black"/>
          <w:sz w:val="28"/>
          <w:szCs w:val="28"/>
        </w:rPr>
        <w:t xml:space="preserve"> GAS STATION – 4</w:t>
      </w:r>
      <w:r>
        <w:rPr>
          <w:rFonts w:ascii="Arial Black" w:hAnsi="Arial Black"/>
          <w:bCs/>
          <w:sz w:val="28"/>
          <w:szCs w:val="28"/>
        </w:rPr>
        <w:t xml:space="preserve"> TO </w:t>
      </w:r>
      <w:r>
        <w:rPr>
          <w:rFonts w:ascii="Arial Black" w:hAnsi="Arial Black"/>
          <w:sz w:val="28"/>
          <w:szCs w:val="28"/>
        </w:rPr>
        <w:t>6 Y</w:t>
      </w:r>
      <w:r>
        <w:rPr>
          <w:rFonts w:ascii="Arial Black" w:hAnsi="Arial Black"/>
          <w:bCs/>
          <w:sz w:val="28"/>
          <w:szCs w:val="28"/>
        </w:rPr>
        <w:t xml:space="preserve">RS </w:t>
      </w:r>
    </w:p>
    <w:p w14:paraId="6556CFCC" w14:textId="77777777" w:rsidR="00FA5992" w:rsidRDefault="00FA5992" w:rsidP="00FA5992">
      <w:pPr>
        <w:pStyle w:val="NoSpacing"/>
        <w:rPr>
          <w:bCs/>
        </w:rPr>
      </w:pPr>
    </w:p>
    <w:p w14:paraId="4E6EBCFE" w14:textId="77777777" w:rsidR="00FA5992" w:rsidRPr="009800D6" w:rsidRDefault="00FA5992" w:rsidP="00FA5992">
      <w:pPr>
        <w:pStyle w:val="NoSpacing"/>
        <w:rPr>
          <w:rFonts w:ascii="Times New Roman" w:hAnsi="Times New Roman"/>
          <w:bCs/>
          <w:sz w:val="24"/>
          <w:szCs w:val="24"/>
        </w:rPr>
      </w:pPr>
      <w:r w:rsidRPr="009800D6">
        <w:rPr>
          <w:rFonts w:ascii="Times New Roman" w:hAnsi="Times New Roman"/>
          <w:sz w:val="24"/>
          <w:szCs w:val="24"/>
        </w:rPr>
        <w:t xml:space="preserve">On Nov. 27, 2024, in </w:t>
      </w:r>
      <w:r w:rsidRPr="009800D6">
        <w:rPr>
          <w:rFonts w:ascii="Times New Roman" w:hAnsi="Times New Roman"/>
          <w:sz w:val="24"/>
          <w:szCs w:val="24"/>
          <w:u w:val="single"/>
        </w:rPr>
        <w:t>State of Ohio v. Devontae Sullivan</w:t>
      </w:r>
      <w:r w:rsidRPr="009800D6">
        <w:rPr>
          <w:rFonts w:ascii="Times New Roman" w:hAnsi="Times New Roman"/>
          <w:sz w:val="24"/>
          <w:szCs w:val="24"/>
        </w:rPr>
        <w:t xml:space="preserve">, the Ohio Court of Appeals, Eight Appellate District, Cuyahoga County, held (3 to 0) that there was sufficient evidence presented to the jury that the defendant poured gasoline on the car. The Court wrote: “In his first assignment of error, Sullivan contends that the State failed to present sufficient evidence of identity. We disagree…. Detective David Baker [Cleveland Division of Fire] identified Sullivan as the perpetrator. He viewed surveillance video from a business two doors from the subject house. The video showed a maroon Buick with tinted windows in the area. Using the City of Cleveland’s ‘Real Time Crime’ street cameras, Detective Baker traced the Buick to a gas station located five minutes from the crime scene. The detective was able to obtain a license plate number for the Buick that was registered to a red 1999 Chevrolet Cavalier. *** Detective Baker positively identified Sullivan in court as the person in the driver license photo, as well as the person on the surveillance footage. The license photo and surveillance videos were shown to the jury and admitted into evidence; thus, the State presented sufficient evidence for the jury to determine whether Sullivan was the perpetrator.” </w:t>
      </w:r>
      <w:hyperlink r:id="rId117" w:history="1">
        <w:r w:rsidRPr="009800D6">
          <w:rPr>
            <w:rStyle w:val="Hyperlink"/>
            <w:rFonts w:ascii="Times New Roman" w:hAnsi="Times New Roman"/>
            <w:sz w:val="24"/>
            <w:szCs w:val="24"/>
          </w:rPr>
          <w:t>https://www.supremecourt.ohio.gov/rod/docs/pdf/8/2024/2024-Ohio-5601.pdf</w:t>
        </w:r>
      </w:hyperlink>
      <w:r w:rsidRPr="009800D6">
        <w:rPr>
          <w:rFonts w:ascii="Times New Roman" w:hAnsi="Times New Roman"/>
          <w:sz w:val="24"/>
          <w:szCs w:val="24"/>
        </w:rPr>
        <w:t xml:space="preserve"> </w:t>
      </w:r>
    </w:p>
    <w:p w14:paraId="75A98099" w14:textId="77777777" w:rsidR="009800D6" w:rsidRPr="009800D6" w:rsidRDefault="009800D6" w:rsidP="009800D6">
      <w:pPr>
        <w:pStyle w:val="NoSpacing"/>
        <w:rPr>
          <w:rFonts w:ascii="Times New Roman" w:hAnsi="Times New Roman"/>
          <w:sz w:val="24"/>
          <w:szCs w:val="24"/>
        </w:rPr>
      </w:pPr>
    </w:p>
    <w:p w14:paraId="33CACECE" w14:textId="4129A4F1" w:rsidR="009800D6" w:rsidRPr="009800D6" w:rsidRDefault="009800D6" w:rsidP="009800D6">
      <w:pPr>
        <w:pStyle w:val="NoSpacing"/>
        <w:rPr>
          <w:rFonts w:ascii="Times New Roman" w:hAnsi="Times New Roman"/>
          <w:b/>
          <w:sz w:val="24"/>
          <w:szCs w:val="24"/>
        </w:rPr>
      </w:pPr>
      <w:r w:rsidRPr="009800D6">
        <w:rPr>
          <w:rFonts w:ascii="Times New Roman" w:hAnsi="Times New Roman"/>
          <w:b/>
          <w:sz w:val="24"/>
          <w:szCs w:val="24"/>
        </w:rPr>
        <w:t xml:space="preserve">Legal Lesson Learned: Surveillance videos are powerful evidence. </w:t>
      </w:r>
    </w:p>
    <w:p w14:paraId="15DD3DD1" w14:textId="066C8F5A" w:rsidR="00AE3DBB" w:rsidRDefault="00AE3DBB" w:rsidP="00B86628">
      <w:pPr>
        <w:pStyle w:val="NoSpacing"/>
        <w:rPr>
          <w:rFonts w:ascii="Arial Black" w:hAnsi="Arial Black"/>
          <w:sz w:val="24"/>
          <w:szCs w:val="24"/>
        </w:rPr>
      </w:pPr>
    </w:p>
    <w:p w14:paraId="23C2078B" w14:textId="77777777" w:rsidR="00AE3DBB" w:rsidRDefault="00AE3DBB" w:rsidP="00B86628">
      <w:pPr>
        <w:pStyle w:val="NoSpacing"/>
        <w:rPr>
          <w:rFonts w:ascii="Arial Black" w:hAnsi="Arial Black"/>
          <w:sz w:val="24"/>
          <w:szCs w:val="24"/>
        </w:rPr>
      </w:pPr>
    </w:p>
    <w:p w14:paraId="572FD83E" w14:textId="0327AA6F" w:rsidR="00C437E2" w:rsidRDefault="000F060C" w:rsidP="00B86628">
      <w:pPr>
        <w:pStyle w:val="NoSpacing"/>
        <w:rPr>
          <w:rFonts w:ascii="Arial Black" w:hAnsi="Arial Black"/>
          <w:sz w:val="24"/>
          <w:szCs w:val="24"/>
        </w:rPr>
      </w:pPr>
      <w:r>
        <w:rPr>
          <w:rFonts w:ascii="Arial Black" w:hAnsi="Arial Black"/>
          <w:sz w:val="24"/>
          <w:szCs w:val="24"/>
        </w:rPr>
        <w:t>1-166</w:t>
      </w:r>
    </w:p>
    <w:p w14:paraId="1DC6A6B6" w14:textId="77777777" w:rsidR="000F060C" w:rsidRDefault="000F060C" w:rsidP="00B86628">
      <w:pPr>
        <w:pStyle w:val="NoSpacing"/>
        <w:rPr>
          <w:rFonts w:ascii="Arial Black" w:hAnsi="Arial Black"/>
          <w:sz w:val="24"/>
          <w:szCs w:val="24"/>
        </w:rPr>
      </w:pPr>
    </w:p>
    <w:p w14:paraId="308FE1A5" w14:textId="77777777" w:rsidR="00D60A72" w:rsidRDefault="00D60A72" w:rsidP="00D60A72">
      <w:pPr>
        <w:pStyle w:val="NoSpacing"/>
        <w:rPr>
          <w:rFonts w:ascii="Arial Black" w:hAnsi="Arial Black"/>
          <w:b/>
          <w:sz w:val="28"/>
          <w:szCs w:val="28"/>
        </w:rPr>
      </w:pPr>
      <w:r>
        <w:rPr>
          <w:rFonts w:ascii="Arial Black" w:hAnsi="Arial Black"/>
          <w:b/>
          <w:sz w:val="28"/>
          <w:szCs w:val="28"/>
        </w:rPr>
        <w:t>TN: ARSON – HUSBAND DIED HOUSE FIRE – WIFE “ALFORD PLEA” AFTER 3 DAYS JURY TRIAL – MAX SENTENCE 4-YRS</w:t>
      </w:r>
    </w:p>
    <w:p w14:paraId="1AD04279" w14:textId="77777777" w:rsidR="00D60A72" w:rsidRDefault="00D60A72" w:rsidP="00D60A72">
      <w:pPr>
        <w:pStyle w:val="NoSpacing"/>
        <w:rPr>
          <w:rFonts w:ascii="Arial Black" w:hAnsi="Arial Black"/>
          <w:b/>
          <w:sz w:val="28"/>
          <w:szCs w:val="28"/>
        </w:rPr>
      </w:pPr>
      <w:r>
        <w:rPr>
          <w:rFonts w:ascii="Arial Black" w:hAnsi="Arial Black"/>
          <w:b/>
          <w:sz w:val="28"/>
          <w:szCs w:val="28"/>
        </w:rPr>
        <w:t xml:space="preserve"> </w:t>
      </w:r>
    </w:p>
    <w:p w14:paraId="6990A00A" w14:textId="4292D308" w:rsidR="000F060C" w:rsidRPr="00AE3DBB" w:rsidRDefault="00D60A72" w:rsidP="00D60A72">
      <w:pPr>
        <w:pStyle w:val="NoSpacing"/>
        <w:rPr>
          <w:rStyle w:val="Hyperlink"/>
          <w:rFonts w:ascii="Times New Roman" w:hAnsi="Times New Roman"/>
          <w:sz w:val="24"/>
          <w:szCs w:val="24"/>
        </w:rPr>
      </w:pPr>
      <w:r w:rsidRPr="00AE3DBB">
        <w:rPr>
          <w:rFonts w:ascii="Times New Roman" w:hAnsi="Times New Roman"/>
          <w:sz w:val="24"/>
          <w:szCs w:val="24"/>
        </w:rPr>
        <w:t xml:space="preserve">On Nov. 26, 2024, in </w:t>
      </w:r>
      <w:r w:rsidRPr="00AE3DBB">
        <w:rPr>
          <w:rFonts w:ascii="Times New Roman" w:hAnsi="Times New Roman"/>
          <w:sz w:val="24"/>
          <w:szCs w:val="24"/>
          <w:u w:val="single"/>
        </w:rPr>
        <w:t>State of Tennessee v. Mendy Powell Neal</w:t>
      </w:r>
      <w:r w:rsidRPr="00AE3DBB">
        <w:rPr>
          <w:rFonts w:ascii="Times New Roman" w:hAnsi="Times New Roman"/>
          <w:sz w:val="24"/>
          <w:szCs w:val="24"/>
        </w:rPr>
        <w:t xml:space="preserve">, the Court of Criminal Appeals of Tennessee, at Nashville held (3 to 0) that the trial court judge properly sentenced her to maximum allowed for voluntary manslaughter; she had been charged with felony murder and aggravated arson (“Alford Plea” – defendant does not admit to the criminal act but pleads guilty).  The Court wrote: “In declining to reduce or modify the sentence, the trial court entered a thorough and extensive order in which it reviewed the evidence, including the horrific manner of the victim’s death, before affirming its original sentencing determinations. The Defendant has not shown any circumstances, warranting the alteration of her sentence in the interest of justice.” </w:t>
      </w:r>
      <w:hyperlink r:id="rId118" w:history="1">
        <w:r w:rsidRPr="00AE3DBB">
          <w:rPr>
            <w:rStyle w:val="Hyperlink"/>
            <w:rFonts w:ascii="Times New Roman" w:hAnsi="Times New Roman"/>
            <w:sz w:val="24"/>
            <w:szCs w:val="24"/>
          </w:rPr>
          <w:t>https://www.tncourts.gov/sites/default/files/OpinionsPDFVersion/Majority%20Opinion%20-%20M2023-01176-CCA-R3-CD.pdf</w:t>
        </w:r>
      </w:hyperlink>
    </w:p>
    <w:p w14:paraId="5F8AD572" w14:textId="77777777" w:rsidR="00AE3DBB" w:rsidRPr="00AE3DBB" w:rsidRDefault="00AE3DBB" w:rsidP="00D60A72">
      <w:pPr>
        <w:pStyle w:val="NoSpacing"/>
        <w:rPr>
          <w:rStyle w:val="Hyperlink"/>
          <w:rFonts w:ascii="Times New Roman" w:hAnsi="Times New Roman"/>
          <w:sz w:val="24"/>
          <w:szCs w:val="24"/>
        </w:rPr>
      </w:pPr>
    </w:p>
    <w:p w14:paraId="440F4600" w14:textId="77777777" w:rsidR="00AE3DBB" w:rsidRPr="00AE3DBB" w:rsidRDefault="00AE3DBB" w:rsidP="00AE3DBB">
      <w:pPr>
        <w:pStyle w:val="NoSpacing"/>
        <w:rPr>
          <w:rFonts w:ascii="Times New Roman" w:hAnsi="Times New Roman"/>
          <w:b/>
          <w:bCs/>
          <w:sz w:val="24"/>
          <w:szCs w:val="24"/>
        </w:rPr>
      </w:pPr>
      <w:r w:rsidRPr="00AE3DBB">
        <w:rPr>
          <w:rFonts w:ascii="Times New Roman" w:hAnsi="Times New Roman"/>
          <w:b/>
          <w:sz w:val="24"/>
          <w:szCs w:val="24"/>
        </w:rPr>
        <w:t xml:space="preserve">Legal Lesson Learned: Not </w:t>
      </w:r>
      <w:r w:rsidRPr="00AE3DBB">
        <w:rPr>
          <w:rFonts w:ascii="Times New Roman" w:hAnsi="Times New Roman"/>
          <w:b/>
          <w:bCs/>
          <w:sz w:val="24"/>
          <w:szCs w:val="24"/>
        </w:rPr>
        <w:t>clear</w:t>
      </w:r>
      <w:r w:rsidRPr="00AE3DBB">
        <w:rPr>
          <w:rFonts w:ascii="Times New Roman" w:hAnsi="Times New Roman"/>
          <w:b/>
          <w:sz w:val="24"/>
          <w:szCs w:val="24"/>
        </w:rPr>
        <w:t xml:space="preserve"> why the Prosecution took a plea deal after three days of jury trial, but the maximum sentence for voluntary manslaughter was certainly appropriate</w:t>
      </w:r>
      <w:r w:rsidRPr="00AE3DBB">
        <w:rPr>
          <w:rFonts w:ascii="Times New Roman" w:hAnsi="Times New Roman"/>
          <w:b/>
          <w:bCs/>
          <w:sz w:val="24"/>
          <w:szCs w:val="24"/>
        </w:rPr>
        <w:t xml:space="preserve">. </w:t>
      </w:r>
    </w:p>
    <w:p w14:paraId="54CC7E1F" w14:textId="77777777" w:rsidR="00AE3DBB" w:rsidRDefault="00AE3DBB" w:rsidP="00D60A72">
      <w:pPr>
        <w:pStyle w:val="NoSpacing"/>
        <w:rPr>
          <w:rFonts w:ascii="Arial Black" w:hAnsi="Arial Black"/>
          <w:sz w:val="24"/>
          <w:szCs w:val="24"/>
        </w:rPr>
      </w:pPr>
    </w:p>
    <w:p w14:paraId="2F8AD47B" w14:textId="77777777" w:rsidR="00D757ED" w:rsidRDefault="00D757ED" w:rsidP="006F4352">
      <w:pPr>
        <w:pStyle w:val="NoSpacing"/>
        <w:rPr>
          <w:rFonts w:ascii="Arial Black" w:hAnsi="Arial Black"/>
          <w:sz w:val="24"/>
          <w:szCs w:val="24"/>
        </w:rPr>
      </w:pPr>
    </w:p>
    <w:p w14:paraId="18BAC5FE" w14:textId="701F5F0E" w:rsidR="00D757ED" w:rsidRDefault="00D757ED" w:rsidP="006F4352">
      <w:pPr>
        <w:pStyle w:val="NoSpacing"/>
        <w:rPr>
          <w:rFonts w:ascii="Arial Black" w:hAnsi="Arial Black"/>
          <w:sz w:val="24"/>
          <w:szCs w:val="24"/>
        </w:rPr>
      </w:pPr>
      <w:r>
        <w:rPr>
          <w:rFonts w:ascii="Arial Black" w:hAnsi="Arial Black"/>
          <w:sz w:val="24"/>
          <w:szCs w:val="24"/>
        </w:rPr>
        <w:t>1-165</w:t>
      </w:r>
    </w:p>
    <w:p w14:paraId="40C96C26" w14:textId="77777777" w:rsidR="00D757ED" w:rsidRDefault="00D757ED" w:rsidP="006F4352">
      <w:pPr>
        <w:pStyle w:val="NoSpacing"/>
        <w:rPr>
          <w:rFonts w:ascii="Arial Black" w:hAnsi="Arial Black"/>
          <w:sz w:val="24"/>
          <w:szCs w:val="24"/>
        </w:rPr>
      </w:pPr>
    </w:p>
    <w:p w14:paraId="0F00C5FE" w14:textId="77777777" w:rsidR="00D757ED" w:rsidRDefault="00D757ED" w:rsidP="00D757ED">
      <w:pPr>
        <w:pStyle w:val="NoSpacing"/>
        <w:rPr>
          <w:rFonts w:ascii="Arial Black" w:hAnsi="Arial Black"/>
          <w:b/>
          <w:sz w:val="28"/>
          <w:szCs w:val="28"/>
        </w:rPr>
      </w:pPr>
      <w:r>
        <w:rPr>
          <w:rFonts w:ascii="Arial Black" w:hAnsi="Arial Black"/>
          <w:b/>
          <w:sz w:val="28"/>
          <w:szCs w:val="28"/>
        </w:rPr>
        <w:t xml:space="preserve">CA: HOMELESS - RVs CAN NOT BE PARKED ON CITY STREET – CITY ORDINANCE / $60 FINE UPHELD </w:t>
      </w:r>
    </w:p>
    <w:p w14:paraId="2BB84AA3" w14:textId="77777777" w:rsidR="00D757ED" w:rsidRDefault="00D757ED" w:rsidP="00D757ED">
      <w:pPr>
        <w:pStyle w:val="NoSpacing"/>
        <w:rPr>
          <w:rFonts w:ascii="Arial Black" w:hAnsi="Arial Black"/>
          <w:b/>
          <w:sz w:val="28"/>
          <w:szCs w:val="28"/>
        </w:rPr>
      </w:pPr>
    </w:p>
    <w:p w14:paraId="58140CE1" w14:textId="77777777" w:rsidR="00D757ED" w:rsidRPr="00D757ED" w:rsidRDefault="00D757ED" w:rsidP="00D757ED">
      <w:pPr>
        <w:pStyle w:val="NoSpacing"/>
        <w:rPr>
          <w:rFonts w:ascii="Times New Roman" w:hAnsi="Times New Roman"/>
          <w:bCs/>
          <w:sz w:val="24"/>
          <w:szCs w:val="24"/>
        </w:rPr>
      </w:pPr>
      <w:r w:rsidRPr="00D757ED">
        <w:rPr>
          <w:rFonts w:ascii="Times New Roman" w:hAnsi="Times New Roman"/>
          <w:sz w:val="24"/>
          <w:szCs w:val="24"/>
        </w:rPr>
        <w:t xml:space="preserve">On November 22, 2024, in </w:t>
      </w:r>
      <w:r w:rsidRPr="00D757ED">
        <w:rPr>
          <w:rFonts w:ascii="Times New Roman" w:hAnsi="Times New Roman"/>
          <w:sz w:val="24"/>
          <w:szCs w:val="24"/>
          <w:u w:val="single"/>
        </w:rPr>
        <w:t xml:space="preserve">David Allen </w:t>
      </w:r>
      <w:proofErr w:type="spellStart"/>
      <w:r w:rsidRPr="00D757ED">
        <w:rPr>
          <w:rFonts w:ascii="Times New Roman" w:hAnsi="Times New Roman"/>
          <w:sz w:val="24"/>
          <w:szCs w:val="24"/>
          <w:u w:val="single"/>
        </w:rPr>
        <w:t>Yesue</w:t>
      </w:r>
      <w:proofErr w:type="spellEnd"/>
      <w:r w:rsidRPr="00D757ED">
        <w:rPr>
          <w:rFonts w:ascii="Times New Roman" w:hAnsi="Times New Roman"/>
          <w:sz w:val="24"/>
          <w:szCs w:val="24"/>
          <w:u w:val="single"/>
        </w:rPr>
        <w:t xml:space="preserve"> v. City of Sebastopol</w:t>
      </w:r>
      <w:r w:rsidRPr="00D757ED">
        <w:rPr>
          <w:rFonts w:ascii="Times New Roman" w:hAnsi="Times New Roman"/>
          <w:sz w:val="24"/>
          <w:szCs w:val="24"/>
        </w:rPr>
        <w:t xml:space="preserve">, United States Magistrate Judge Kandis A. Westmore, U.S. District Court for the Northern District of California, upheld the </w:t>
      </w:r>
      <w:proofErr w:type="gramStart"/>
      <w:r w:rsidRPr="00D757ED">
        <w:rPr>
          <w:rFonts w:ascii="Times New Roman" w:hAnsi="Times New Roman"/>
          <w:sz w:val="24"/>
          <w:szCs w:val="24"/>
        </w:rPr>
        <w:t>City</w:t>
      </w:r>
      <w:proofErr w:type="gramEnd"/>
      <w:r w:rsidRPr="00D757ED">
        <w:rPr>
          <w:rFonts w:ascii="Times New Roman" w:hAnsi="Times New Roman"/>
          <w:sz w:val="24"/>
          <w:szCs w:val="24"/>
        </w:rPr>
        <w:t xml:space="preserve"> ordinance in a lawsuit filed by the ACLU.  The Court wrote: “Plaintiffs are effectively requesting that they be allowed to park their RVs in the city because they need to be able to live in their RVs, not because they are unable to access parking otherwise. The Court knows of no authority that would support such a demand…. Footnote 4: Plaintiffs also assert there is no direct evidence of, for example, an RV catching on fire. The Court notes, however, that Plaintiff Wetch herself stated in her declaration that her trailer burned down while she was on Morris Street.”  </w:t>
      </w:r>
      <w:hyperlink r:id="rId119" w:history="1">
        <w:r w:rsidRPr="00D757ED">
          <w:rPr>
            <w:rStyle w:val="Hyperlink"/>
            <w:rFonts w:ascii="Times New Roman" w:hAnsi="Times New Roman"/>
            <w:sz w:val="24"/>
            <w:szCs w:val="24"/>
          </w:rPr>
          <w:t>https://public.fastcase.com/H1P9uiW3J20SFp%2BGCG%2BxLdyLNTd%2BNZHrq5Wsvr6dKQeFEDZwgsQrm3TmKDWH2%2B1z?utm_medium=email&amp;_hsenc=p2ANqtz--qDncIsqCSeahqkjvoaWhQNyG1yg2f5tRQPi1w8DS9NFdMbI3pDOffIzG2fuU_g9WmDOo8NJeLM9bCUVMHJsMZyGOdjg&amp;_hsmi=226712652&amp;utm_content=226712652&amp;utm_source=hs_email</w:t>
        </w:r>
      </w:hyperlink>
      <w:r w:rsidRPr="00D757ED">
        <w:rPr>
          <w:rFonts w:ascii="Times New Roman" w:hAnsi="Times New Roman"/>
          <w:sz w:val="24"/>
          <w:szCs w:val="24"/>
        </w:rPr>
        <w:t xml:space="preserve"> </w:t>
      </w:r>
    </w:p>
    <w:p w14:paraId="58715618" w14:textId="77777777" w:rsidR="00D757ED" w:rsidRDefault="00D757ED" w:rsidP="006F4352">
      <w:pPr>
        <w:pStyle w:val="NoSpacing"/>
        <w:rPr>
          <w:rFonts w:ascii="Arial Black" w:hAnsi="Arial Black"/>
          <w:sz w:val="24"/>
          <w:szCs w:val="24"/>
        </w:rPr>
      </w:pPr>
    </w:p>
    <w:p w14:paraId="5DDF5007" w14:textId="77777777" w:rsidR="000F060C" w:rsidRPr="000F060C" w:rsidRDefault="000F060C" w:rsidP="000F060C">
      <w:pPr>
        <w:pStyle w:val="NoSpacing"/>
        <w:ind w:left="720"/>
        <w:rPr>
          <w:rFonts w:ascii="Times New Roman" w:hAnsi="Times New Roman"/>
          <w:sz w:val="24"/>
          <w:szCs w:val="24"/>
        </w:rPr>
      </w:pPr>
      <w:r w:rsidRPr="000F060C">
        <w:rPr>
          <w:rFonts w:ascii="Times New Roman" w:hAnsi="Times New Roman"/>
          <w:sz w:val="24"/>
          <w:szCs w:val="24"/>
        </w:rPr>
        <w:t>Note: See the City’s press release  about this case. “City of Sebastopol Prevails in Challenge to RV Ordinance,” November 23, 2024, City News</w:t>
      </w:r>
    </w:p>
    <w:p w14:paraId="5B0E067E" w14:textId="77777777" w:rsidR="000F060C" w:rsidRPr="000F060C" w:rsidRDefault="000F060C" w:rsidP="000F060C">
      <w:pPr>
        <w:pStyle w:val="NoSpacing"/>
        <w:ind w:left="720"/>
        <w:rPr>
          <w:rFonts w:ascii="Times New Roman" w:hAnsi="Times New Roman"/>
          <w:b/>
          <w:sz w:val="24"/>
          <w:szCs w:val="24"/>
        </w:rPr>
      </w:pPr>
      <w:hyperlink r:id="rId120" w:history="1">
        <w:r w:rsidRPr="000F060C">
          <w:rPr>
            <w:rStyle w:val="Hyperlink"/>
            <w:rFonts w:ascii="Times New Roman" w:hAnsi="Times New Roman"/>
            <w:b/>
            <w:sz w:val="24"/>
            <w:szCs w:val="24"/>
          </w:rPr>
          <w:t>https://www.cityofsebastopol.gov/city-of-sebastopol-prevails-in-challenge-to-rv-ordinance/</w:t>
        </w:r>
      </w:hyperlink>
      <w:r w:rsidRPr="000F060C">
        <w:rPr>
          <w:rFonts w:ascii="Times New Roman" w:hAnsi="Times New Roman"/>
          <w:b/>
          <w:sz w:val="24"/>
          <w:szCs w:val="24"/>
        </w:rPr>
        <w:t xml:space="preserve"> </w:t>
      </w:r>
    </w:p>
    <w:p w14:paraId="441BE378" w14:textId="77777777" w:rsidR="000F060C" w:rsidRPr="000F060C" w:rsidRDefault="000F060C" w:rsidP="000F060C">
      <w:pPr>
        <w:pStyle w:val="NoSpacing"/>
        <w:ind w:left="720"/>
        <w:rPr>
          <w:rFonts w:ascii="Times New Roman" w:hAnsi="Times New Roman"/>
          <w:bCs/>
          <w:sz w:val="24"/>
          <w:szCs w:val="24"/>
        </w:rPr>
      </w:pPr>
      <w:r w:rsidRPr="000F060C">
        <w:rPr>
          <w:rFonts w:ascii="Times New Roman" w:hAnsi="Times New Roman"/>
          <w:sz w:val="24"/>
          <w:szCs w:val="24"/>
        </w:rPr>
        <w:t xml:space="preserve">“Friday afternoon, November 22, a decision was issued in the case of </w:t>
      </w:r>
      <w:proofErr w:type="spellStart"/>
      <w:r w:rsidRPr="000F060C">
        <w:rPr>
          <w:rFonts w:ascii="Times New Roman" w:hAnsi="Times New Roman"/>
          <w:sz w:val="24"/>
          <w:szCs w:val="24"/>
        </w:rPr>
        <w:t>Yesue</w:t>
      </w:r>
      <w:proofErr w:type="spellEnd"/>
      <w:r w:rsidRPr="000F060C">
        <w:rPr>
          <w:rFonts w:ascii="Times New Roman" w:hAnsi="Times New Roman"/>
          <w:sz w:val="24"/>
          <w:szCs w:val="24"/>
        </w:rPr>
        <w:t xml:space="preserve"> et al. v. City of Sebastopol, commonly known as the ACLU litigation. In 2022, the Sebastopol City Council adopted an ordinance regulating where and when RVs could park on public streets. Soon after the ordinance was adopted, the ACLU filed a lawsuit challenging the ordinance on behalf of several plaintiffs. The lawsuit raised 14 different causes of action. The US District </w:t>
      </w:r>
      <w:proofErr w:type="gramStart"/>
      <w:r w:rsidRPr="000F060C">
        <w:rPr>
          <w:rFonts w:ascii="Times New Roman" w:hAnsi="Times New Roman"/>
          <w:sz w:val="24"/>
          <w:szCs w:val="24"/>
        </w:rPr>
        <w:t>Court,</w:t>
      </w:r>
      <w:proofErr w:type="gramEnd"/>
      <w:r w:rsidRPr="000F060C">
        <w:rPr>
          <w:rFonts w:ascii="Times New Roman" w:hAnsi="Times New Roman"/>
          <w:sz w:val="24"/>
          <w:szCs w:val="24"/>
        </w:rPr>
        <w:t xml:space="preserve"> Northern District of California rejected all claims raised by the Plaintiffs and granted the City’s motion for summary judgment in its entirety. In short, the City of Sebastopol prevailed. The purpose of the RV Ordinance was to address the serious public health and safety issues that arise from RV encampments, and to ensure adequate street parking for the </w:t>
      </w:r>
      <w:proofErr w:type="gramStart"/>
      <w:r w:rsidRPr="000F060C">
        <w:rPr>
          <w:rFonts w:ascii="Times New Roman" w:hAnsi="Times New Roman"/>
          <w:sz w:val="24"/>
          <w:szCs w:val="24"/>
        </w:rPr>
        <w:t>general public</w:t>
      </w:r>
      <w:proofErr w:type="gramEnd"/>
      <w:r w:rsidRPr="000F060C">
        <w:rPr>
          <w:rFonts w:ascii="Times New Roman" w:hAnsi="Times New Roman"/>
          <w:sz w:val="24"/>
          <w:szCs w:val="24"/>
        </w:rPr>
        <w:t xml:space="preserve">. Homelessness is a complex regional and statewide issue, that no one city can solve alone. Sebastopol has consistently done its part, and more, to tackle the crisis in a compassionate manner. ‘The parking ordinance was our small town’s effort to balance the many interests we serve, to find a solution and not turn away from what was a very challenging situation,” said Sebastopol Mayor Diana Rich. ‘It’s a good-faith heartfelt solution that gives consideration and respect to all in our community, including the unhoused. I’m pleased to see that the Court’s decision validates Sebastopol’s efforts to do what is right, fair, and equitable.’ The </w:t>
      </w:r>
      <w:proofErr w:type="gramStart"/>
      <w:r w:rsidRPr="000F060C">
        <w:rPr>
          <w:rFonts w:ascii="Times New Roman" w:hAnsi="Times New Roman"/>
          <w:sz w:val="24"/>
          <w:szCs w:val="24"/>
        </w:rPr>
        <w:t>City</w:t>
      </w:r>
      <w:proofErr w:type="gramEnd"/>
      <w:r w:rsidRPr="000F060C">
        <w:rPr>
          <w:rFonts w:ascii="Times New Roman" w:hAnsi="Times New Roman"/>
          <w:sz w:val="24"/>
          <w:szCs w:val="24"/>
        </w:rPr>
        <w:t xml:space="preserve"> is continuing to review the Court’s decision, and the City Council will discuss how to implement the Court’s decision and the RV Ordinance in the coming weeks.”</w:t>
      </w:r>
    </w:p>
    <w:p w14:paraId="7CF2484F" w14:textId="77777777" w:rsidR="000F060C" w:rsidRDefault="000F060C" w:rsidP="000F060C">
      <w:pPr>
        <w:rPr>
          <w:bCs/>
          <w:sz w:val="20"/>
          <w:szCs w:val="20"/>
        </w:rPr>
      </w:pPr>
    </w:p>
    <w:p w14:paraId="4FCD0DF9" w14:textId="77777777" w:rsidR="00D757ED" w:rsidRDefault="00D757ED" w:rsidP="006F4352">
      <w:pPr>
        <w:pStyle w:val="NoSpacing"/>
        <w:rPr>
          <w:rFonts w:ascii="Arial Black" w:hAnsi="Arial Black"/>
          <w:sz w:val="24"/>
          <w:szCs w:val="24"/>
        </w:rPr>
      </w:pPr>
    </w:p>
    <w:p w14:paraId="5394BF7E" w14:textId="504A5C8B" w:rsidR="006F4352" w:rsidRDefault="006F4352" w:rsidP="006F4352">
      <w:pPr>
        <w:pStyle w:val="NoSpacing"/>
        <w:rPr>
          <w:rFonts w:ascii="Arial Black" w:hAnsi="Arial Black"/>
          <w:sz w:val="24"/>
          <w:szCs w:val="24"/>
        </w:rPr>
      </w:pPr>
      <w:r>
        <w:rPr>
          <w:rFonts w:ascii="Arial Black" w:hAnsi="Arial Black"/>
          <w:sz w:val="24"/>
          <w:szCs w:val="24"/>
        </w:rPr>
        <w:t>1-164</w:t>
      </w:r>
    </w:p>
    <w:p w14:paraId="7EE03FC4" w14:textId="77777777" w:rsidR="009E27B4" w:rsidRDefault="009E27B4" w:rsidP="00B86628">
      <w:pPr>
        <w:pStyle w:val="NoSpacing"/>
        <w:rPr>
          <w:rFonts w:ascii="Arial Black" w:hAnsi="Arial Black"/>
          <w:sz w:val="24"/>
          <w:szCs w:val="24"/>
        </w:rPr>
      </w:pPr>
    </w:p>
    <w:p w14:paraId="02CD07BF" w14:textId="77777777" w:rsidR="009E27B4" w:rsidRPr="00CE10E8" w:rsidRDefault="009E27B4" w:rsidP="009E27B4">
      <w:pPr>
        <w:pStyle w:val="NoSpacing"/>
        <w:rPr>
          <w:rFonts w:ascii="Arial Black" w:hAnsi="Arial Black"/>
          <w:b/>
          <w:bCs/>
          <w:sz w:val="28"/>
          <w:szCs w:val="28"/>
        </w:rPr>
      </w:pPr>
      <w:r w:rsidRPr="00CE10E8">
        <w:rPr>
          <w:rFonts w:ascii="Arial Black" w:hAnsi="Arial Black"/>
          <w:b/>
          <w:bCs/>
          <w:sz w:val="28"/>
          <w:szCs w:val="28"/>
        </w:rPr>
        <w:t>IA: ARSON – FORMER GIRLFRIEND DATING ANOTHER – 5 HOME – CONV. 5 COUNTS ATT. MURDER – 50 YRS PRISON</w:t>
      </w:r>
    </w:p>
    <w:p w14:paraId="0EAEEE0D" w14:textId="77777777" w:rsidR="009E27B4" w:rsidRPr="00CE10E8" w:rsidRDefault="009E27B4" w:rsidP="009E27B4">
      <w:pPr>
        <w:pStyle w:val="NoSpacing"/>
        <w:rPr>
          <w:rFonts w:ascii="Arial Black" w:hAnsi="Arial Black"/>
          <w:sz w:val="28"/>
          <w:szCs w:val="28"/>
        </w:rPr>
      </w:pPr>
    </w:p>
    <w:p w14:paraId="41E95D03" w14:textId="7A778DD4" w:rsidR="009E27B4" w:rsidRPr="009E27B4" w:rsidRDefault="009E27B4" w:rsidP="009E27B4">
      <w:pPr>
        <w:pStyle w:val="NoSpacing"/>
        <w:rPr>
          <w:rFonts w:ascii="Times New Roman" w:hAnsi="Times New Roman"/>
          <w:bCs/>
          <w:sz w:val="24"/>
          <w:szCs w:val="24"/>
        </w:rPr>
      </w:pPr>
      <w:r w:rsidRPr="009E27B4">
        <w:rPr>
          <w:rFonts w:ascii="Times New Roman" w:hAnsi="Times New Roman"/>
          <w:sz w:val="24"/>
          <w:szCs w:val="24"/>
        </w:rPr>
        <w:t xml:space="preserve">On Oct. 30, 2024, in </w:t>
      </w:r>
      <w:r w:rsidRPr="009E27B4">
        <w:rPr>
          <w:rFonts w:ascii="Times New Roman" w:hAnsi="Times New Roman"/>
          <w:sz w:val="24"/>
          <w:szCs w:val="24"/>
          <w:u w:val="single"/>
        </w:rPr>
        <w:t>State of Iowa v. Ishmael Shabazz Carter</w:t>
      </w:r>
      <w:r w:rsidRPr="009E27B4">
        <w:rPr>
          <w:rFonts w:ascii="Times New Roman" w:hAnsi="Times New Roman"/>
          <w:sz w:val="24"/>
          <w:szCs w:val="24"/>
        </w:rPr>
        <w:t>, the Court of Appeals of Iowa held (3 to 0):  “A defendant challenges the sufficiency of the evidence supporting his</w:t>
      </w:r>
      <w:r>
        <w:rPr>
          <w:rFonts w:ascii="Times New Roman" w:hAnsi="Times New Roman"/>
          <w:sz w:val="24"/>
          <w:szCs w:val="24"/>
        </w:rPr>
        <w:t xml:space="preserve"> </w:t>
      </w:r>
      <w:r w:rsidRPr="009E27B4">
        <w:rPr>
          <w:rFonts w:ascii="Times New Roman" w:hAnsi="Times New Roman"/>
          <w:sz w:val="24"/>
          <w:szCs w:val="24"/>
        </w:rPr>
        <w:t>convictions for arson in the first degree and five counts of attempted murder.</w:t>
      </w:r>
      <w:r>
        <w:rPr>
          <w:rFonts w:ascii="Times New Roman" w:hAnsi="Times New Roman"/>
          <w:sz w:val="24"/>
          <w:szCs w:val="24"/>
        </w:rPr>
        <w:t xml:space="preserve"> </w:t>
      </w:r>
      <w:r w:rsidRPr="009E27B4">
        <w:rPr>
          <w:rFonts w:ascii="Times New Roman" w:hAnsi="Times New Roman"/>
          <w:sz w:val="24"/>
          <w:szCs w:val="24"/>
        </w:rPr>
        <w:t xml:space="preserve">AFFIRMED.” </w:t>
      </w:r>
      <w:hyperlink r:id="rId121" w:history="1">
        <w:r w:rsidRPr="009E27B4">
          <w:rPr>
            <w:rStyle w:val="Hyperlink"/>
            <w:rFonts w:ascii="Times New Roman" w:hAnsi="Times New Roman"/>
            <w:sz w:val="24"/>
            <w:szCs w:val="24"/>
          </w:rPr>
          <w:t>https://cases.justia.com/iowa/court-of-appeals/2024-23-0625.pdf?ts=1730301434</w:t>
        </w:r>
      </w:hyperlink>
      <w:r w:rsidRPr="009E27B4">
        <w:rPr>
          <w:rFonts w:ascii="Times New Roman" w:hAnsi="Times New Roman"/>
          <w:sz w:val="24"/>
          <w:szCs w:val="24"/>
        </w:rPr>
        <w:t xml:space="preserve"> </w:t>
      </w:r>
    </w:p>
    <w:p w14:paraId="30A20F43" w14:textId="77777777" w:rsidR="009E27B4" w:rsidRDefault="009E27B4" w:rsidP="009E27B4">
      <w:pPr>
        <w:pStyle w:val="NoSpacing"/>
      </w:pPr>
    </w:p>
    <w:p w14:paraId="42C7DC4B" w14:textId="77777777" w:rsidR="00113436" w:rsidRPr="00113436" w:rsidRDefault="00113436" w:rsidP="00113436">
      <w:pPr>
        <w:pStyle w:val="NoSpacing"/>
        <w:rPr>
          <w:rFonts w:ascii="Times New Roman" w:hAnsi="Times New Roman"/>
          <w:b/>
          <w:bCs/>
          <w:sz w:val="24"/>
          <w:szCs w:val="24"/>
        </w:rPr>
      </w:pPr>
      <w:r w:rsidRPr="00113436">
        <w:rPr>
          <w:rFonts w:ascii="Times New Roman" w:hAnsi="Times New Roman"/>
          <w:b/>
          <w:sz w:val="24"/>
          <w:szCs w:val="24"/>
        </w:rPr>
        <w:t xml:space="preserve">Legal Lesson Learned: Circumstantial evidence can support </w:t>
      </w:r>
      <w:proofErr w:type="gramStart"/>
      <w:r w:rsidRPr="00113436">
        <w:rPr>
          <w:rFonts w:ascii="Times New Roman" w:hAnsi="Times New Roman"/>
          <w:b/>
          <w:sz w:val="24"/>
          <w:szCs w:val="24"/>
        </w:rPr>
        <w:t>an arson</w:t>
      </w:r>
      <w:proofErr w:type="gramEnd"/>
      <w:r w:rsidRPr="00113436">
        <w:rPr>
          <w:rFonts w:ascii="Times New Roman" w:hAnsi="Times New Roman"/>
          <w:b/>
          <w:sz w:val="24"/>
          <w:szCs w:val="24"/>
        </w:rPr>
        <w:t xml:space="preserve"> conviction.</w:t>
      </w:r>
    </w:p>
    <w:p w14:paraId="70A84787" w14:textId="77777777" w:rsidR="009E27B4" w:rsidRDefault="009E27B4" w:rsidP="00B86628">
      <w:pPr>
        <w:pStyle w:val="NoSpacing"/>
        <w:rPr>
          <w:rFonts w:ascii="Arial Black" w:hAnsi="Arial Black"/>
          <w:sz w:val="24"/>
          <w:szCs w:val="24"/>
        </w:rPr>
      </w:pPr>
    </w:p>
    <w:p w14:paraId="6917EB72" w14:textId="77777777" w:rsidR="00C437E2" w:rsidRDefault="00C437E2" w:rsidP="00B86628">
      <w:pPr>
        <w:pStyle w:val="NoSpacing"/>
        <w:rPr>
          <w:rFonts w:ascii="Arial Black" w:hAnsi="Arial Black"/>
          <w:sz w:val="24"/>
          <w:szCs w:val="24"/>
        </w:rPr>
      </w:pPr>
    </w:p>
    <w:p w14:paraId="78094416" w14:textId="77777777" w:rsidR="00CE10E8" w:rsidRDefault="00CE10E8" w:rsidP="00B86628">
      <w:pPr>
        <w:pStyle w:val="NoSpacing"/>
        <w:rPr>
          <w:rFonts w:ascii="Arial Black" w:hAnsi="Arial Black"/>
          <w:sz w:val="24"/>
          <w:szCs w:val="24"/>
        </w:rPr>
      </w:pPr>
    </w:p>
    <w:p w14:paraId="2E354ABD" w14:textId="77777777" w:rsidR="00CE10E8" w:rsidRDefault="00CE10E8" w:rsidP="00B86628">
      <w:pPr>
        <w:pStyle w:val="NoSpacing"/>
        <w:rPr>
          <w:rFonts w:ascii="Arial Black" w:hAnsi="Arial Black"/>
          <w:sz w:val="24"/>
          <w:szCs w:val="24"/>
        </w:rPr>
      </w:pPr>
    </w:p>
    <w:p w14:paraId="400A1E27" w14:textId="16860332" w:rsidR="005C09B0" w:rsidRDefault="00C437E2" w:rsidP="00B86628">
      <w:pPr>
        <w:pStyle w:val="NoSpacing"/>
        <w:rPr>
          <w:rFonts w:ascii="Arial Black" w:hAnsi="Arial Black"/>
          <w:sz w:val="24"/>
          <w:szCs w:val="24"/>
        </w:rPr>
      </w:pPr>
      <w:r>
        <w:rPr>
          <w:rFonts w:ascii="Arial Black" w:hAnsi="Arial Black"/>
          <w:sz w:val="24"/>
          <w:szCs w:val="24"/>
        </w:rPr>
        <w:t>1-16</w:t>
      </w:r>
      <w:r w:rsidR="006F4352">
        <w:rPr>
          <w:rFonts w:ascii="Arial Black" w:hAnsi="Arial Black"/>
          <w:sz w:val="24"/>
          <w:szCs w:val="24"/>
        </w:rPr>
        <w:t>3</w:t>
      </w:r>
    </w:p>
    <w:p w14:paraId="3FE99A9C" w14:textId="77777777" w:rsidR="00C437E2" w:rsidRDefault="00C437E2" w:rsidP="00B86628">
      <w:pPr>
        <w:pStyle w:val="NoSpacing"/>
        <w:rPr>
          <w:rFonts w:ascii="Arial Black" w:hAnsi="Arial Black"/>
          <w:sz w:val="24"/>
          <w:szCs w:val="24"/>
        </w:rPr>
      </w:pPr>
    </w:p>
    <w:p w14:paraId="747B8A41" w14:textId="77777777" w:rsidR="005D2B81" w:rsidRPr="00CE10E8" w:rsidRDefault="005D2B81" w:rsidP="005D2B81">
      <w:pPr>
        <w:rPr>
          <w:rFonts w:ascii="Arial Black" w:hAnsi="Arial Black"/>
          <w:b/>
          <w:sz w:val="28"/>
          <w:szCs w:val="28"/>
        </w:rPr>
      </w:pPr>
      <w:r w:rsidRPr="00CE10E8">
        <w:rPr>
          <w:rFonts w:ascii="Arial Black" w:hAnsi="Arial Black"/>
          <w:b/>
          <w:sz w:val="28"/>
          <w:szCs w:val="28"/>
        </w:rPr>
        <w:t>OH:  OBSTRUCTION OF OFFICIAL BUSINESS - FIRE OUT OF CONTROL IN FRONT HER HOME – THREATENED FIRE CHIEF</w:t>
      </w:r>
    </w:p>
    <w:p w14:paraId="4273DEB1" w14:textId="77777777" w:rsidR="005D2B81" w:rsidRPr="005D2B81" w:rsidRDefault="005D2B81" w:rsidP="005D2B81">
      <w:pPr>
        <w:rPr>
          <w:rFonts w:ascii="Times New Roman" w:hAnsi="Times New Roman"/>
        </w:rPr>
      </w:pPr>
      <w:r w:rsidRPr="005D2B81">
        <w:rPr>
          <w:rFonts w:ascii="Times New Roman" w:hAnsi="Times New Roman"/>
          <w:sz w:val="24"/>
          <w:szCs w:val="24"/>
        </w:rPr>
        <w:t xml:space="preserve">On Oct. 25, </w:t>
      </w:r>
      <w:proofErr w:type="gramStart"/>
      <w:r w:rsidRPr="005D2B81">
        <w:rPr>
          <w:rFonts w:ascii="Times New Roman" w:hAnsi="Times New Roman"/>
          <w:sz w:val="24"/>
          <w:szCs w:val="24"/>
        </w:rPr>
        <w:t>2024</w:t>
      </w:r>
      <w:proofErr w:type="gramEnd"/>
      <w:r w:rsidRPr="005D2B81">
        <w:rPr>
          <w:rFonts w:ascii="Times New Roman" w:hAnsi="Times New Roman"/>
          <w:sz w:val="24"/>
          <w:szCs w:val="24"/>
        </w:rPr>
        <w:t xml:space="preserve"> in </w:t>
      </w:r>
      <w:r w:rsidRPr="005D2B81">
        <w:rPr>
          <w:rFonts w:ascii="Times New Roman" w:hAnsi="Times New Roman"/>
          <w:sz w:val="24"/>
          <w:szCs w:val="24"/>
          <w:u w:val="single"/>
        </w:rPr>
        <w:t>State of Ohio v. Jasmine A. Anderson</w:t>
      </w:r>
      <w:r w:rsidRPr="005D2B81">
        <w:rPr>
          <w:rFonts w:ascii="Times New Roman" w:hAnsi="Times New Roman"/>
          <w:sz w:val="24"/>
          <w:szCs w:val="24"/>
        </w:rPr>
        <w:t xml:space="preserve">, the Ohio Court of Appeals, Seventh Appellate District, Belmont County, held (3 to 0) “Appellant Jasmine A. Anderson argues that her conviction for obstruction of official business was against the sufficiency and manifest weight of the evidence. *** Appellant’s assignment of error is without merit, and her conviction and sentence are affirmed. *** The court sentenced Appellant to 90 days in jail and court costs, with credit for 10 days.” </w:t>
      </w:r>
      <w:hyperlink r:id="rId122" w:history="1">
        <w:r w:rsidRPr="005D2B81">
          <w:rPr>
            <w:rStyle w:val="Hyperlink"/>
            <w:rFonts w:ascii="Times New Roman" w:hAnsi="Times New Roman"/>
            <w:sz w:val="24"/>
            <w:szCs w:val="24"/>
          </w:rPr>
          <w:t>https://cases.justia.com/ohio/seventh-district-court-of-appeals/2024-24-be-0004.pdf?ts=1730297340</w:t>
        </w:r>
      </w:hyperlink>
      <w:r w:rsidRPr="005D2B81">
        <w:rPr>
          <w:rFonts w:ascii="Times New Roman" w:hAnsi="Times New Roman"/>
        </w:rPr>
        <w:t xml:space="preserve"> </w:t>
      </w:r>
    </w:p>
    <w:p w14:paraId="38E9E2B1" w14:textId="77777777" w:rsidR="00E81DD1" w:rsidRPr="00BD3A19" w:rsidRDefault="00E81DD1" w:rsidP="00E81DD1">
      <w:pPr>
        <w:rPr>
          <w:b/>
          <w:bCs/>
        </w:rPr>
      </w:pPr>
      <w:r w:rsidRPr="00E81DD1">
        <w:rPr>
          <w:b/>
          <w:sz w:val="24"/>
          <w:szCs w:val="24"/>
        </w:rPr>
        <w:t>Legal Lesson Learned: Threatening words may constitute obstruction of official business</w:t>
      </w:r>
      <w:r w:rsidRPr="00517201">
        <w:rPr>
          <w:b/>
        </w:rPr>
        <w:t>.</w:t>
      </w:r>
    </w:p>
    <w:p w14:paraId="4DACAD27" w14:textId="77777777" w:rsidR="005D2B81" w:rsidRPr="005D2B81" w:rsidRDefault="005D2B81" w:rsidP="00B86628">
      <w:pPr>
        <w:pStyle w:val="NoSpacing"/>
        <w:rPr>
          <w:rFonts w:ascii="Times New Roman" w:hAnsi="Times New Roman"/>
          <w:sz w:val="24"/>
          <w:szCs w:val="24"/>
        </w:rPr>
      </w:pPr>
    </w:p>
    <w:p w14:paraId="6357AB61" w14:textId="77777777" w:rsidR="00C437E2" w:rsidRDefault="00C437E2" w:rsidP="00B86628">
      <w:pPr>
        <w:pStyle w:val="NoSpacing"/>
        <w:rPr>
          <w:rFonts w:ascii="Arial Black" w:hAnsi="Arial Black"/>
          <w:sz w:val="24"/>
          <w:szCs w:val="24"/>
        </w:rPr>
      </w:pPr>
    </w:p>
    <w:p w14:paraId="590ADA05" w14:textId="1FF9BD86" w:rsidR="005C09B0" w:rsidRDefault="00C437E2" w:rsidP="00B86628">
      <w:pPr>
        <w:pStyle w:val="NoSpacing"/>
        <w:rPr>
          <w:rFonts w:ascii="Arial Black" w:hAnsi="Arial Black"/>
          <w:sz w:val="24"/>
          <w:szCs w:val="24"/>
        </w:rPr>
      </w:pPr>
      <w:r>
        <w:rPr>
          <w:rFonts w:ascii="Arial Black" w:hAnsi="Arial Black"/>
          <w:sz w:val="24"/>
          <w:szCs w:val="24"/>
        </w:rPr>
        <w:t>1-1</w:t>
      </w:r>
      <w:r w:rsidR="006F4352">
        <w:rPr>
          <w:rFonts w:ascii="Arial Black" w:hAnsi="Arial Black"/>
          <w:sz w:val="24"/>
          <w:szCs w:val="24"/>
        </w:rPr>
        <w:t>62</w:t>
      </w:r>
    </w:p>
    <w:p w14:paraId="4096FC4A" w14:textId="77777777" w:rsidR="00E81DD1" w:rsidRDefault="00E81DD1" w:rsidP="00B86628">
      <w:pPr>
        <w:pStyle w:val="NoSpacing"/>
        <w:rPr>
          <w:rFonts w:ascii="Arial Black" w:hAnsi="Arial Black"/>
          <w:sz w:val="24"/>
          <w:szCs w:val="24"/>
        </w:rPr>
      </w:pPr>
    </w:p>
    <w:p w14:paraId="4DAAFBE9" w14:textId="77777777" w:rsidR="004A436F" w:rsidRPr="00CE10E8" w:rsidRDefault="004A436F" w:rsidP="004A436F">
      <w:pPr>
        <w:rPr>
          <w:rFonts w:ascii="Arial Black" w:hAnsi="Arial Black"/>
          <w:b/>
          <w:bCs/>
          <w:sz w:val="28"/>
          <w:szCs w:val="28"/>
        </w:rPr>
      </w:pPr>
      <w:r w:rsidRPr="00CE10E8">
        <w:rPr>
          <w:rFonts w:ascii="Arial Black" w:hAnsi="Arial Black"/>
          <w:b/>
          <w:bCs/>
          <w:sz w:val="28"/>
          <w:szCs w:val="28"/>
        </w:rPr>
        <w:t>PA: ARSON – HIS CELL PHONE RECORDS SHOW AT HOME TIME FIRE – GETTING DIVORCE – 7.5-15 MONTHS / $369K</w:t>
      </w:r>
    </w:p>
    <w:p w14:paraId="338EF79B" w14:textId="77777777" w:rsidR="004A436F" w:rsidRPr="004A436F" w:rsidRDefault="004A436F" w:rsidP="004A436F">
      <w:pPr>
        <w:pStyle w:val="NoSpacing"/>
        <w:rPr>
          <w:rFonts w:ascii="Times New Roman" w:hAnsi="Times New Roman"/>
          <w:sz w:val="24"/>
          <w:szCs w:val="24"/>
        </w:rPr>
      </w:pPr>
      <w:r w:rsidRPr="004A436F">
        <w:rPr>
          <w:rFonts w:ascii="Times New Roman" w:hAnsi="Times New Roman"/>
          <w:sz w:val="24"/>
          <w:szCs w:val="24"/>
        </w:rPr>
        <w:t xml:space="preserve">Oct. 21, </w:t>
      </w:r>
      <w:proofErr w:type="gramStart"/>
      <w:r w:rsidRPr="004A436F">
        <w:rPr>
          <w:rFonts w:ascii="Times New Roman" w:hAnsi="Times New Roman"/>
          <w:sz w:val="24"/>
          <w:szCs w:val="24"/>
        </w:rPr>
        <w:t>2024</w:t>
      </w:r>
      <w:proofErr w:type="gramEnd"/>
      <w:r w:rsidRPr="004A436F">
        <w:rPr>
          <w:rFonts w:ascii="Times New Roman" w:hAnsi="Times New Roman"/>
          <w:sz w:val="24"/>
          <w:szCs w:val="24"/>
        </w:rPr>
        <w:t xml:space="preserve"> in </w:t>
      </w:r>
      <w:r w:rsidRPr="004A436F">
        <w:rPr>
          <w:rFonts w:ascii="Times New Roman" w:hAnsi="Times New Roman"/>
          <w:sz w:val="24"/>
          <w:szCs w:val="24"/>
          <w:u w:val="single"/>
        </w:rPr>
        <w:t>Commonwealth of Pennsylvania v. Sherman E. Lowry</w:t>
      </w:r>
      <w:r w:rsidRPr="004A436F">
        <w:rPr>
          <w:rFonts w:ascii="Times New Roman" w:hAnsi="Times New Roman"/>
          <w:sz w:val="24"/>
          <w:szCs w:val="24"/>
        </w:rPr>
        <w:t xml:space="preserve">, the Superior Court of Pennsylvania held (3 to 0; non-precedential decision): “The evidence was sufficient for the jury to conclude that the fire was set by Appellant and that he did it intentionally, causing the damage that resulted.” </w:t>
      </w:r>
      <w:hyperlink r:id="rId123" w:history="1">
        <w:r w:rsidRPr="004A436F">
          <w:rPr>
            <w:rStyle w:val="Hyperlink"/>
            <w:rFonts w:ascii="Times New Roman" w:hAnsi="Times New Roman"/>
            <w:sz w:val="24"/>
            <w:szCs w:val="24"/>
          </w:rPr>
          <w:t>https://cases.justia.com/pennsylvania/superior-court/2024-1034-mda-2023.pdf?ts=1729535164</w:t>
        </w:r>
      </w:hyperlink>
      <w:r w:rsidRPr="004A436F">
        <w:rPr>
          <w:rFonts w:ascii="Times New Roman" w:hAnsi="Times New Roman"/>
          <w:sz w:val="24"/>
          <w:szCs w:val="24"/>
        </w:rPr>
        <w:t xml:space="preserve"> </w:t>
      </w:r>
    </w:p>
    <w:p w14:paraId="32BC5AC3" w14:textId="77777777" w:rsidR="00E81DD1" w:rsidRDefault="00E81DD1" w:rsidP="00B86628">
      <w:pPr>
        <w:pStyle w:val="NoSpacing"/>
        <w:rPr>
          <w:rFonts w:ascii="Arial Black" w:hAnsi="Arial Black"/>
          <w:sz w:val="24"/>
          <w:szCs w:val="24"/>
        </w:rPr>
      </w:pPr>
    </w:p>
    <w:p w14:paraId="5615005E" w14:textId="77777777" w:rsidR="001D6E51" w:rsidRPr="001D6E51" w:rsidRDefault="001D6E51" w:rsidP="001D6E51">
      <w:pPr>
        <w:pStyle w:val="NoSpacing"/>
        <w:rPr>
          <w:rFonts w:ascii="Times New Roman" w:hAnsi="Times New Roman"/>
          <w:b/>
          <w:bCs/>
          <w:sz w:val="24"/>
          <w:szCs w:val="24"/>
        </w:rPr>
      </w:pPr>
      <w:r w:rsidRPr="001D6E51">
        <w:rPr>
          <w:rFonts w:ascii="Times New Roman" w:hAnsi="Times New Roman"/>
          <w:b/>
          <w:sz w:val="24"/>
          <w:szCs w:val="24"/>
        </w:rPr>
        <w:t xml:space="preserve">Legal Lesson Learned: Cell phone data placed defendant at the scene of the fire.  A search warrant for cell phone records is a powerful investigative tool. </w:t>
      </w:r>
    </w:p>
    <w:p w14:paraId="3DE6CD22" w14:textId="77777777" w:rsidR="00E81DD1" w:rsidRDefault="00E81DD1" w:rsidP="00B86628">
      <w:pPr>
        <w:pStyle w:val="NoSpacing"/>
        <w:rPr>
          <w:rFonts w:ascii="Arial Black" w:hAnsi="Arial Black"/>
          <w:sz w:val="24"/>
          <w:szCs w:val="24"/>
        </w:rPr>
      </w:pPr>
    </w:p>
    <w:p w14:paraId="202309DE" w14:textId="77777777" w:rsidR="00CE10E8" w:rsidRDefault="00CE10E8" w:rsidP="00B86628">
      <w:pPr>
        <w:pStyle w:val="NoSpacing"/>
        <w:rPr>
          <w:rFonts w:ascii="Arial Black" w:hAnsi="Arial Black"/>
          <w:sz w:val="24"/>
          <w:szCs w:val="24"/>
        </w:rPr>
      </w:pPr>
    </w:p>
    <w:p w14:paraId="063DFDF7" w14:textId="0CB1E822" w:rsidR="005C09B0" w:rsidRDefault="005C09B0" w:rsidP="00B86628">
      <w:pPr>
        <w:pStyle w:val="NoSpacing"/>
        <w:rPr>
          <w:rFonts w:ascii="Arial Black" w:hAnsi="Arial Black"/>
          <w:sz w:val="24"/>
          <w:szCs w:val="24"/>
        </w:rPr>
      </w:pPr>
      <w:r>
        <w:rPr>
          <w:rFonts w:ascii="Arial Black" w:hAnsi="Arial Black"/>
          <w:sz w:val="24"/>
          <w:szCs w:val="24"/>
        </w:rPr>
        <w:t>1-16</w:t>
      </w:r>
      <w:r w:rsidR="006F4352">
        <w:rPr>
          <w:rFonts w:ascii="Arial Black" w:hAnsi="Arial Black"/>
          <w:sz w:val="24"/>
          <w:szCs w:val="24"/>
        </w:rPr>
        <w:t>1</w:t>
      </w:r>
    </w:p>
    <w:p w14:paraId="4BEDD57A" w14:textId="77777777" w:rsidR="005C09B0" w:rsidRDefault="005C09B0" w:rsidP="00B86628">
      <w:pPr>
        <w:pStyle w:val="NoSpacing"/>
        <w:rPr>
          <w:rFonts w:ascii="Arial Black" w:hAnsi="Arial Black"/>
          <w:sz w:val="24"/>
          <w:szCs w:val="24"/>
        </w:rPr>
      </w:pPr>
    </w:p>
    <w:p w14:paraId="4E8BB654" w14:textId="77777777" w:rsidR="009F234F" w:rsidRPr="00CE10E8" w:rsidRDefault="009F234F" w:rsidP="009F234F">
      <w:pPr>
        <w:pStyle w:val="NoSpacing"/>
        <w:rPr>
          <w:rFonts w:ascii="Arial Black" w:hAnsi="Arial Black"/>
          <w:b/>
          <w:bCs/>
          <w:sz w:val="28"/>
          <w:szCs w:val="28"/>
        </w:rPr>
      </w:pPr>
      <w:r w:rsidRPr="00CE10E8">
        <w:rPr>
          <w:rFonts w:ascii="Arial Black" w:hAnsi="Arial Black"/>
          <w:b/>
          <w:bCs/>
          <w:sz w:val="28"/>
          <w:szCs w:val="28"/>
        </w:rPr>
        <w:t>AR: ARSON – TRUCK FIRE – DEF. CONV. ARSON OF “OCCUPIED STRUCTURE” – INCLUDES A VEHICLE – 35 YRS</w:t>
      </w:r>
    </w:p>
    <w:p w14:paraId="60DE8104" w14:textId="77777777" w:rsidR="009F234F" w:rsidRPr="006F4352" w:rsidRDefault="009F234F" w:rsidP="009F234F">
      <w:pPr>
        <w:pStyle w:val="NoSpacing"/>
        <w:rPr>
          <w:rFonts w:ascii="Times New Roman" w:hAnsi="Times New Roman"/>
          <w:sz w:val="24"/>
          <w:szCs w:val="24"/>
        </w:rPr>
      </w:pPr>
    </w:p>
    <w:p w14:paraId="530861C0" w14:textId="77777777" w:rsidR="009F234F" w:rsidRPr="006F4352" w:rsidRDefault="009F234F" w:rsidP="009F234F">
      <w:pPr>
        <w:pStyle w:val="NoSpacing"/>
        <w:rPr>
          <w:rFonts w:ascii="Times New Roman" w:hAnsi="Times New Roman"/>
          <w:sz w:val="24"/>
          <w:szCs w:val="24"/>
        </w:rPr>
      </w:pPr>
      <w:r w:rsidRPr="006F4352">
        <w:rPr>
          <w:rFonts w:ascii="Times New Roman" w:hAnsi="Times New Roman"/>
          <w:sz w:val="24"/>
          <w:szCs w:val="24"/>
        </w:rPr>
        <w:t xml:space="preserve">On Sept. 17, </w:t>
      </w:r>
      <w:proofErr w:type="gramStart"/>
      <w:r w:rsidRPr="006F4352">
        <w:rPr>
          <w:rFonts w:ascii="Times New Roman" w:hAnsi="Times New Roman"/>
          <w:sz w:val="24"/>
          <w:szCs w:val="24"/>
        </w:rPr>
        <w:t>2024</w:t>
      </w:r>
      <w:proofErr w:type="gramEnd"/>
      <w:r w:rsidRPr="006F4352">
        <w:rPr>
          <w:rFonts w:ascii="Times New Roman" w:hAnsi="Times New Roman"/>
          <w:sz w:val="24"/>
          <w:szCs w:val="24"/>
        </w:rPr>
        <w:t xml:space="preserve"> in </w:t>
      </w:r>
      <w:r w:rsidRPr="006F4352">
        <w:rPr>
          <w:rFonts w:ascii="Times New Roman" w:hAnsi="Times New Roman"/>
          <w:sz w:val="24"/>
          <w:szCs w:val="24"/>
          <w:u w:val="single"/>
        </w:rPr>
        <w:t>State of Arizona v. Edwardo Serrato, III</w:t>
      </w:r>
      <w:r w:rsidRPr="006F4352">
        <w:rPr>
          <w:rFonts w:ascii="Times New Roman" w:hAnsi="Times New Roman"/>
          <w:sz w:val="24"/>
          <w:szCs w:val="24"/>
        </w:rPr>
        <w:t>, the Court of Appeals of Arizona, Division 1, held (3 to 0): “Edwardo Serrato, III appeals his conviction and sentence for arson of an occupied structure.</w:t>
      </w:r>
      <w:hyperlink r:id="rId124" w:anchor="footnote_1" w:history="1">
        <w:r w:rsidRPr="006F4352">
          <w:rPr>
            <w:rStyle w:val="Hyperlink"/>
            <w:rFonts w:ascii="Times New Roman" w:hAnsi="Times New Roman"/>
            <w:sz w:val="24"/>
            <w:szCs w:val="24"/>
            <w:vertAlign w:val="superscript"/>
          </w:rPr>
          <w:t>1</w:t>
        </w:r>
      </w:hyperlink>
      <w:r w:rsidRPr="006F4352">
        <w:rPr>
          <w:rFonts w:ascii="Times New Roman" w:hAnsi="Times New Roman"/>
          <w:sz w:val="24"/>
          <w:szCs w:val="24"/>
        </w:rPr>
        <w:t xml:space="preserve"> He argues that the vehicle subject to the arson was not occupied because there was no proof that anyone else was inside or in the vicinity of the vehicle that burned. We address whether a defendant's presence alone is sufficient to find a structure is occupied. We hold that it is. Accordingly, we affirm.”  </w:t>
      </w:r>
      <w:hyperlink r:id="rId125" w:history="1">
        <w:r w:rsidRPr="006F4352">
          <w:rPr>
            <w:rStyle w:val="Hyperlink"/>
            <w:rFonts w:ascii="Times New Roman" w:hAnsi="Times New Roman"/>
            <w:sz w:val="24"/>
            <w:szCs w:val="24"/>
          </w:rPr>
          <w:t>https://caselaw.findlaw.com/court/az-court-of-appeals/116575227.html</w:t>
        </w:r>
      </w:hyperlink>
      <w:r w:rsidRPr="006F4352">
        <w:rPr>
          <w:rFonts w:ascii="Times New Roman" w:hAnsi="Times New Roman"/>
          <w:sz w:val="24"/>
          <w:szCs w:val="24"/>
        </w:rPr>
        <w:t xml:space="preserve"> </w:t>
      </w:r>
    </w:p>
    <w:p w14:paraId="6146A567" w14:textId="77777777" w:rsidR="006F4352" w:rsidRPr="006F4352" w:rsidRDefault="006F4352" w:rsidP="006F4352">
      <w:pPr>
        <w:pStyle w:val="NoSpacing"/>
        <w:rPr>
          <w:rFonts w:ascii="Times New Roman" w:hAnsi="Times New Roman"/>
          <w:b/>
          <w:sz w:val="24"/>
          <w:szCs w:val="24"/>
        </w:rPr>
      </w:pPr>
    </w:p>
    <w:p w14:paraId="746D8E24" w14:textId="4186891B" w:rsidR="006F4352" w:rsidRPr="006F4352" w:rsidRDefault="006F4352" w:rsidP="006F4352">
      <w:pPr>
        <w:pStyle w:val="NoSpacing"/>
        <w:rPr>
          <w:rStyle w:val="Hyperlink"/>
          <w:rFonts w:ascii="Times New Roman" w:hAnsi="Times New Roman"/>
          <w:sz w:val="24"/>
          <w:szCs w:val="24"/>
        </w:rPr>
      </w:pPr>
      <w:r w:rsidRPr="006F4352">
        <w:rPr>
          <w:rFonts w:ascii="Times New Roman" w:hAnsi="Times New Roman"/>
          <w:b/>
          <w:sz w:val="24"/>
          <w:szCs w:val="24"/>
        </w:rPr>
        <w:t xml:space="preserve">Legal Lesson Learned: </w:t>
      </w:r>
      <w:r w:rsidRPr="006F4352">
        <w:rPr>
          <w:rFonts w:ascii="Times New Roman" w:hAnsi="Times New Roman"/>
          <w:b/>
          <w:bCs/>
          <w:sz w:val="24"/>
          <w:szCs w:val="24"/>
        </w:rPr>
        <w:t xml:space="preserve">Arizona has broadly defined </w:t>
      </w:r>
      <w:r w:rsidRPr="006F4352">
        <w:rPr>
          <w:rFonts w:ascii="Times New Roman" w:hAnsi="Times New Roman"/>
          <w:b/>
          <w:sz w:val="24"/>
          <w:szCs w:val="24"/>
        </w:rPr>
        <w:t xml:space="preserve">“occupied structure” </w:t>
      </w:r>
      <w:r w:rsidRPr="006F4352">
        <w:rPr>
          <w:rFonts w:ascii="Times New Roman" w:hAnsi="Times New Roman"/>
          <w:b/>
          <w:bCs/>
          <w:sz w:val="24"/>
          <w:szCs w:val="24"/>
        </w:rPr>
        <w:t xml:space="preserve">in its arson statute. </w:t>
      </w:r>
    </w:p>
    <w:p w14:paraId="20799732" w14:textId="77777777" w:rsidR="001D6E51" w:rsidRPr="006F4352" w:rsidRDefault="001D6E51" w:rsidP="00B86628">
      <w:pPr>
        <w:pStyle w:val="NoSpacing"/>
        <w:rPr>
          <w:rFonts w:ascii="Times New Roman" w:hAnsi="Times New Roman"/>
          <w:sz w:val="24"/>
          <w:szCs w:val="24"/>
        </w:rPr>
      </w:pPr>
    </w:p>
    <w:p w14:paraId="5DC7E058" w14:textId="77777777" w:rsidR="001D6E51" w:rsidRDefault="001D6E51" w:rsidP="00B86628">
      <w:pPr>
        <w:pStyle w:val="NoSpacing"/>
        <w:rPr>
          <w:rFonts w:ascii="Arial Black" w:hAnsi="Arial Black"/>
          <w:sz w:val="24"/>
          <w:szCs w:val="24"/>
        </w:rPr>
      </w:pPr>
    </w:p>
    <w:p w14:paraId="7C264D84" w14:textId="77777777" w:rsidR="00CE10E8" w:rsidRDefault="00CE10E8" w:rsidP="00B86628">
      <w:pPr>
        <w:pStyle w:val="NoSpacing"/>
        <w:rPr>
          <w:rFonts w:ascii="Arial Black" w:hAnsi="Arial Black"/>
          <w:sz w:val="24"/>
          <w:szCs w:val="24"/>
        </w:rPr>
      </w:pPr>
    </w:p>
    <w:p w14:paraId="24A4AC18" w14:textId="69B5BD26" w:rsidR="001D6E51" w:rsidRDefault="00F567E0" w:rsidP="00B86628">
      <w:pPr>
        <w:pStyle w:val="NoSpacing"/>
        <w:rPr>
          <w:rFonts w:ascii="Arial Black" w:hAnsi="Arial Black"/>
          <w:sz w:val="24"/>
          <w:szCs w:val="24"/>
        </w:rPr>
      </w:pPr>
      <w:r>
        <w:rPr>
          <w:rFonts w:ascii="Arial Black" w:hAnsi="Arial Black"/>
          <w:sz w:val="24"/>
          <w:szCs w:val="24"/>
        </w:rPr>
        <w:t>1-160</w:t>
      </w:r>
    </w:p>
    <w:p w14:paraId="0BEB36D5" w14:textId="77777777" w:rsidR="00F567E0" w:rsidRDefault="00F567E0" w:rsidP="00B86628">
      <w:pPr>
        <w:pStyle w:val="NoSpacing"/>
        <w:rPr>
          <w:rFonts w:ascii="Arial Black" w:hAnsi="Arial Black"/>
          <w:sz w:val="24"/>
          <w:szCs w:val="24"/>
        </w:rPr>
      </w:pPr>
    </w:p>
    <w:p w14:paraId="25FF336D" w14:textId="77777777" w:rsidR="004A1004" w:rsidRPr="00CE10E8" w:rsidRDefault="004A1004" w:rsidP="004A1004">
      <w:pPr>
        <w:pStyle w:val="NoSpacing"/>
        <w:rPr>
          <w:rFonts w:ascii="Arial Black" w:hAnsi="Arial Black"/>
          <w:b/>
          <w:bCs/>
          <w:sz w:val="28"/>
          <w:szCs w:val="28"/>
        </w:rPr>
      </w:pPr>
      <w:r w:rsidRPr="00CE10E8">
        <w:rPr>
          <w:rFonts w:ascii="Arial Black" w:hAnsi="Arial Black"/>
          <w:b/>
          <w:bCs/>
          <w:sz w:val="28"/>
          <w:szCs w:val="28"/>
        </w:rPr>
        <w:t>MN: ARSON – SET FIRE IN HIS KITCHEN &amp; LIVING ROOM – TO “SECURE TRIP TO JAIL” – NO PROBATION - 48 MONTHS</w:t>
      </w:r>
    </w:p>
    <w:p w14:paraId="4A64B516" w14:textId="77777777" w:rsidR="004A1004" w:rsidRPr="00290B7D" w:rsidRDefault="004A1004" w:rsidP="004A1004">
      <w:pPr>
        <w:pStyle w:val="NoSpacing"/>
        <w:rPr>
          <w:rFonts w:ascii="Times New Roman" w:hAnsi="Times New Roman"/>
          <w:sz w:val="24"/>
          <w:szCs w:val="24"/>
        </w:rPr>
      </w:pPr>
    </w:p>
    <w:p w14:paraId="1483FAB1"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On Sept. 16, 2024, in </w:t>
      </w:r>
      <w:r w:rsidRPr="00290B7D">
        <w:rPr>
          <w:rFonts w:ascii="Times New Roman" w:hAnsi="Times New Roman"/>
          <w:sz w:val="24"/>
          <w:szCs w:val="24"/>
          <w:u w:val="single"/>
        </w:rPr>
        <w:t>State of Minnesota v. Hunter Steven Hipp</w:t>
      </w:r>
      <w:r w:rsidRPr="00290B7D">
        <w:rPr>
          <w:rFonts w:ascii="Times New Roman" w:hAnsi="Times New Roman"/>
          <w:sz w:val="24"/>
          <w:szCs w:val="24"/>
        </w:rPr>
        <w:t>, the Minnesota Court of Appeals held (3 to 0) “Hunter Hipp pleaded guilty to first-degree arson after intentionally setting fires in</w:t>
      </w:r>
    </w:p>
    <w:p w14:paraId="263508C8"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the kitchen and living room of his apartment. He notified the district court in writing of his</w:t>
      </w:r>
    </w:p>
    <w:p w14:paraId="5B9EA823"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intent to move ‘for a dispositional and/or durational departure from the presumptive</w:t>
      </w:r>
    </w:p>
    <w:p w14:paraId="70A52B7E"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sentence,’ and at sentencing he argued exclusively that he was particularly amenable to </w:t>
      </w:r>
    </w:p>
    <w:p w14:paraId="0B826661"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probation. The district court denied his departure motion. *** We affirm.”  </w:t>
      </w:r>
    </w:p>
    <w:p w14:paraId="249E5668" w14:textId="77777777" w:rsidR="004A1004" w:rsidRPr="00290B7D" w:rsidRDefault="004A1004" w:rsidP="004A1004">
      <w:pPr>
        <w:pStyle w:val="NoSpacing"/>
        <w:rPr>
          <w:rFonts w:ascii="Times New Roman" w:hAnsi="Times New Roman"/>
          <w:sz w:val="24"/>
          <w:szCs w:val="24"/>
        </w:rPr>
      </w:pPr>
      <w:hyperlink r:id="rId126" w:history="1">
        <w:r w:rsidRPr="00290B7D">
          <w:rPr>
            <w:rStyle w:val="Hyperlink"/>
            <w:rFonts w:ascii="Times New Roman" w:hAnsi="Times New Roman"/>
            <w:sz w:val="24"/>
            <w:szCs w:val="24"/>
          </w:rPr>
          <w:t>https://cases.justia.com/minnesota/court-of-appeals/2024-a23-1836.pdf?ts=1726855674</w:t>
        </w:r>
      </w:hyperlink>
      <w:r w:rsidRPr="00290B7D">
        <w:rPr>
          <w:rFonts w:ascii="Times New Roman" w:hAnsi="Times New Roman"/>
          <w:sz w:val="24"/>
          <w:szCs w:val="24"/>
        </w:rPr>
        <w:t xml:space="preserve"> </w:t>
      </w:r>
    </w:p>
    <w:p w14:paraId="692B4F28" w14:textId="77777777" w:rsidR="00F567E0" w:rsidRPr="00290B7D" w:rsidRDefault="00F567E0" w:rsidP="00B86628">
      <w:pPr>
        <w:pStyle w:val="NoSpacing"/>
        <w:rPr>
          <w:rFonts w:ascii="Times New Roman" w:hAnsi="Times New Roman"/>
          <w:sz w:val="24"/>
          <w:szCs w:val="24"/>
        </w:rPr>
      </w:pPr>
    </w:p>
    <w:p w14:paraId="5E9F9035" w14:textId="77777777" w:rsidR="00290B7D" w:rsidRPr="00290B7D" w:rsidRDefault="00290B7D" w:rsidP="00290B7D">
      <w:pPr>
        <w:pStyle w:val="NoSpacing"/>
        <w:rPr>
          <w:rFonts w:ascii="Times New Roman" w:hAnsi="Times New Roman"/>
          <w:b/>
          <w:bCs/>
          <w:sz w:val="24"/>
          <w:szCs w:val="24"/>
        </w:rPr>
      </w:pPr>
      <w:r w:rsidRPr="00290B7D">
        <w:rPr>
          <w:rFonts w:ascii="Times New Roman" w:hAnsi="Times New Roman"/>
          <w:b/>
          <w:sz w:val="24"/>
          <w:szCs w:val="24"/>
        </w:rPr>
        <w:t xml:space="preserve">Legal Lesson Learned: Trial court has discretion in </w:t>
      </w:r>
      <w:r w:rsidRPr="00290B7D">
        <w:rPr>
          <w:rFonts w:ascii="Times New Roman" w:hAnsi="Times New Roman"/>
          <w:b/>
          <w:bCs/>
          <w:sz w:val="24"/>
          <w:szCs w:val="24"/>
        </w:rPr>
        <w:t>sentencing - j</w:t>
      </w:r>
      <w:r w:rsidRPr="00290B7D">
        <w:rPr>
          <w:rFonts w:ascii="Times New Roman" w:hAnsi="Times New Roman"/>
          <w:b/>
          <w:sz w:val="24"/>
          <w:szCs w:val="24"/>
        </w:rPr>
        <w:t xml:space="preserve">ail time or probation. </w:t>
      </w:r>
    </w:p>
    <w:p w14:paraId="317B34A6" w14:textId="77777777" w:rsidR="00290B7D" w:rsidRDefault="00290B7D" w:rsidP="00B86628">
      <w:pPr>
        <w:pStyle w:val="NoSpacing"/>
        <w:rPr>
          <w:rFonts w:ascii="Arial Black" w:hAnsi="Arial Black"/>
          <w:sz w:val="24"/>
          <w:szCs w:val="24"/>
        </w:rPr>
      </w:pPr>
    </w:p>
    <w:p w14:paraId="0CA23D62" w14:textId="77777777" w:rsidR="001D6E51" w:rsidRDefault="001D6E51" w:rsidP="00B86628">
      <w:pPr>
        <w:pStyle w:val="NoSpacing"/>
        <w:rPr>
          <w:rFonts w:ascii="Arial Black" w:hAnsi="Arial Black"/>
          <w:sz w:val="24"/>
          <w:szCs w:val="24"/>
        </w:rPr>
      </w:pPr>
    </w:p>
    <w:p w14:paraId="312FE519" w14:textId="5C6AEA10" w:rsidR="00455B5B" w:rsidRDefault="00455B5B" w:rsidP="00B86628">
      <w:pPr>
        <w:pStyle w:val="NoSpacing"/>
        <w:rPr>
          <w:rFonts w:ascii="Arial Black" w:hAnsi="Arial Black"/>
          <w:sz w:val="24"/>
          <w:szCs w:val="24"/>
        </w:rPr>
      </w:pPr>
      <w:r>
        <w:rPr>
          <w:rFonts w:ascii="Arial Black" w:hAnsi="Arial Black"/>
          <w:sz w:val="24"/>
          <w:szCs w:val="24"/>
        </w:rPr>
        <w:t>1-159</w:t>
      </w:r>
    </w:p>
    <w:p w14:paraId="3845B24E" w14:textId="77777777" w:rsidR="00455B5B" w:rsidRDefault="00455B5B" w:rsidP="00B86628">
      <w:pPr>
        <w:pStyle w:val="NoSpacing"/>
        <w:rPr>
          <w:rFonts w:ascii="Arial Black" w:hAnsi="Arial Black"/>
          <w:sz w:val="24"/>
          <w:szCs w:val="24"/>
        </w:rPr>
      </w:pPr>
    </w:p>
    <w:p w14:paraId="18AE0689" w14:textId="20E4B7B0" w:rsidR="00455B5B" w:rsidRPr="00641056" w:rsidRDefault="00455B5B" w:rsidP="00455B5B">
      <w:pPr>
        <w:rPr>
          <w:rFonts w:ascii="Arial Black" w:hAnsi="Arial Black"/>
          <w:b/>
          <w:bCs/>
          <w:sz w:val="28"/>
        </w:rPr>
      </w:pPr>
      <w:r>
        <w:rPr>
          <w:rFonts w:ascii="Arial Black" w:hAnsi="Arial Black"/>
          <w:b/>
          <w:bCs/>
          <w:sz w:val="28"/>
        </w:rPr>
        <w:t>IL: ARSON CONVICTION REVERSED – FD INVESTIG</w:t>
      </w:r>
      <w:r w:rsidR="00142FA2">
        <w:rPr>
          <w:rFonts w:ascii="Arial Black" w:hAnsi="Arial Black"/>
          <w:b/>
          <w:bCs/>
          <w:sz w:val="28"/>
        </w:rPr>
        <w:t>A</w:t>
      </w:r>
      <w:r>
        <w:rPr>
          <w:rFonts w:ascii="Arial Black" w:hAnsi="Arial Black"/>
          <w:b/>
          <w:bCs/>
          <w:sz w:val="28"/>
        </w:rPr>
        <w:t>TOR / PD NO “MIRANDA” WARNING – CUSTODIAL INTERROGATION</w:t>
      </w:r>
    </w:p>
    <w:p w14:paraId="673D6AE4" w14:textId="77777777" w:rsidR="00455B5B" w:rsidRPr="00455B5B" w:rsidRDefault="00455B5B" w:rsidP="00455B5B">
      <w:pPr>
        <w:rPr>
          <w:rFonts w:ascii="Times New Roman" w:hAnsi="Times New Roman"/>
          <w:sz w:val="24"/>
          <w:szCs w:val="24"/>
        </w:rPr>
      </w:pPr>
      <w:r w:rsidRPr="00455B5B">
        <w:rPr>
          <w:rFonts w:ascii="Times New Roman" w:hAnsi="Times New Roman"/>
          <w:sz w:val="24"/>
          <w:szCs w:val="24"/>
        </w:rPr>
        <w:t xml:space="preserve">On Oct. 1, 2024, in </w:t>
      </w:r>
      <w:r w:rsidRPr="00455B5B">
        <w:rPr>
          <w:rFonts w:ascii="Times New Roman" w:hAnsi="Times New Roman"/>
          <w:sz w:val="24"/>
          <w:szCs w:val="24"/>
          <w:u w:val="single"/>
        </w:rPr>
        <w:t>The People of the State of Illinois v. Adriane L. Parke</w:t>
      </w:r>
      <w:r w:rsidRPr="00455B5B">
        <w:rPr>
          <w:rFonts w:ascii="Times New Roman" w:hAnsi="Times New Roman"/>
          <w:sz w:val="24"/>
          <w:szCs w:val="24"/>
        </w:rPr>
        <w:t xml:space="preserve">, the Court of Appeals of Illinois, Fifth District, held (3 to 0) that the confession by the housekeeper (also volunteer firefighter) started the fire in a room at the Drury Inn must be suppressed; jury conviction set aside but State can re-try her.   The Court wrote: “Defendant argues no reasonable, innocent person in her shoes would have felt free to stop answering [Fire Investigator Shane] Emrich’s and [Mount Vernon Police Officer Nathan] Franklin’s questions during the interrogation. The question before this court is whether a custodial interrogation, requiring </w:t>
      </w:r>
      <w:r w:rsidRPr="00455B5B">
        <w:rPr>
          <w:rFonts w:ascii="Times New Roman" w:hAnsi="Times New Roman"/>
          <w:i/>
          <w:iCs/>
          <w:sz w:val="24"/>
          <w:szCs w:val="24"/>
        </w:rPr>
        <w:t>Miranda</w:t>
      </w:r>
      <w:r w:rsidRPr="00455B5B">
        <w:rPr>
          <w:rFonts w:ascii="Times New Roman" w:hAnsi="Times New Roman"/>
          <w:sz w:val="24"/>
          <w:szCs w:val="24"/>
        </w:rPr>
        <w:t xml:space="preserve">, took place. We believe one did. *** After considering the relevant factors and the circumstances of this case, we find that defendant was subjected to a custodial interrogation, requiring Miranda, when defendant confessed to starting the fire at the Drury Inn on December 2, 2015.” </w:t>
      </w:r>
      <w:hyperlink r:id="rId127" w:history="1">
        <w:r w:rsidRPr="00455B5B">
          <w:rPr>
            <w:rStyle w:val="Hyperlink"/>
            <w:rFonts w:ascii="Times New Roman" w:hAnsi="Times New Roman"/>
            <w:sz w:val="24"/>
            <w:szCs w:val="24"/>
          </w:rPr>
          <w:t>https://ilcourtsaudio.blob.core.windows.net/antilles-resources/resources/b35fd65d-f662-4e1a-abeb-4f9e1aa279eb/People%20v.%20Parke,%202024%20IL%20App%20(5th)%20220703-U.pdf</w:t>
        </w:r>
      </w:hyperlink>
      <w:r w:rsidRPr="00455B5B">
        <w:rPr>
          <w:rFonts w:ascii="Times New Roman" w:hAnsi="Times New Roman"/>
          <w:sz w:val="24"/>
          <w:szCs w:val="24"/>
        </w:rPr>
        <w:t xml:space="preserve"> </w:t>
      </w:r>
    </w:p>
    <w:p w14:paraId="3A3AA4B7" w14:textId="77777777" w:rsidR="00455B5B" w:rsidRPr="00455B5B" w:rsidRDefault="00455B5B" w:rsidP="00455B5B">
      <w:pPr>
        <w:rPr>
          <w:rFonts w:ascii="Times New Roman" w:hAnsi="Times New Roman"/>
          <w:sz w:val="24"/>
          <w:szCs w:val="24"/>
        </w:rPr>
      </w:pPr>
      <w:r w:rsidRPr="00455B5B">
        <w:rPr>
          <w:rFonts w:ascii="Times New Roman" w:hAnsi="Times New Roman"/>
          <w:sz w:val="24"/>
          <w:szCs w:val="24"/>
        </w:rPr>
        <w:t>THE COURT HELD:</w:t>
      </w:r>
    </w:p>
    <w:p w14:paraId="76CDCBEE"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“The [interrogation room] video shows that Emrich stated at least 10 times that he did not believe defendant’s version of events and accused her of lying and withholding the truth. Similarly, Franklin interjected halfway through the interview, informing defendant that he was trained to listen to people talk. Franklin then proceeded to state to defendant at least two times that she was not telling the truth. Franklin also claimed that he and Emrich knew that defendant “intentionally” started the fire in room 603. The trial court made no mention of these facts when it denied defendant’s motion to suppress.</w:t>
      </w:r>
    </w:p>
    <w:p w14:paraId="5015664A" w14:textId="77777777" w:rsidR="00455B5B" w:rsidRPr="00455B5B" w:rsidRDefault="00455B5B" w:rsidP="00455B5B">
      <w:pPr>
        <w:pStyle w:val="NoSpacing"/>
        <w:ind w:left="720"/>
        <w:rPr>
          <w:rFonts w:ascii="Times New Roman" w:hAnsi="Times New Roman"/>
          <w:sz w:val="24"/>
          <w:szCs w:val="24"/>
        </w:rPr>
      </w:pPr>
    </w:p>
    <w:p w14:paraId="60021666"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w:t>
      </w:r>
    </w:p>
    <w:p w14:paraId="4B222803"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 xml:space="preserve">Defendant, however, testified that she encountered Franklin, a police officer wearing a badge with his gun holstered, when she first walked into the room. According to defendant, she saw Franklin for the first time ‘sitting out behind his desk with his legs propped up on the desk.’ Regardless, neither Emrich nor defendant testified that defendant knew Franklin would be present when she agreed to speak with Emrich at the fire department. </w:t>
      </w:r>
    </w:p>
    <w:p w14:paraId="7865D693" w14:textId="77777777" w:rsidR="00455B5B" w:rsidRPr="00455B5B" w:rsidRDefault="00455B5B" w:rsidP="00455B5B">
      <w:pPr>
        <w:pStyle w:val="NoSpacing"/>
        <w:ind w:left="720"/>
        <w:rPr>
          <w:rFonts w:ascii="Times New Roman" w:hAnsi="Times New Roman"/>
          <w:sz w:val="24"/>
          <w:szCs w:val="24"/>
        </w:rPr>
      </w:pPr>
    </w:p>
    <w:p w14:paraId="75E5BD49"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Defendant, instead, agreed to speak with Emrich in the presence of her husband. Importantly, defendant testified at the suppression hearing that she specifically asked Emrich on the phone—at the time she agreed to meet with Emrich—to have her husband present during the interview, stating: ‘I can’t talk—I don’t understand a lot of things and he helps me.’ Despite this, Emrich offered Jeremy a seat downstairs, indicating that Jeremy was not welcome in the interview. As such, the absence of defendant’s husband and the presence of Franklin during the interview weigh in favor of a determination that a custodial interrogation took place.</w:t>
      </w:r>
    </w:p>
    <w:p w14:paraId="099B8B57" w14:textId="77777777" w:rsidR="00455B5B" w:rsidRPr="00455B5B" w:rsidRDefault="00455B5B" w:rsidP="00455B5B">
      <w:pPr>
        <w:pStyle w:val="NoSpacing"/>
        <w:ind w:left="720"/>
        <w:rPr>
          <w:rFonts w:ascii="Times New Roman" w:hAnsi="Times New Roman"/>
          <w:sz w:val="24"/>
          <w:szCs w:val="24"/>
        </w:rPr>
      </w:pPr>
    </w:p>
    <w:p w14:paraId="2F3D38C9"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w:t>
      </w:r>
    </w:p>
    <w:p w14:paraId="5AB848FD" w14:textId="77777777" w:rsidR="00455B5B" w:rsidRPr="00455B5B" w:rsidRDefault="00455B5B" w:rsidP="00455B5B">
      <w:pPr>
        <w:pStyle w:val="NoSpacing"/>
        <w:rPr>
          <w:rFonts w:ascii="Times New Roman" w:hAnsi="Times New Roman"/>
          <w:sz w:val="24"/>
          <w:szCs w:val="24"/>
        </w:rPr>
      </w:pPr>
    </w:p>
    <w:p w14:paraId="6AD5072C"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Defendant underwent a fitness evaluation prior to trial, and Dr. Stanislaus concluded that defendant had borderline intellectual functioning. In her report, Dr. Stanislaus’s indicated that defendant’s ‘younger sister helps her with things if she cannot understand something.’ *** Based on the above reasoning, in our view, defendant’s intelligence and mental makeup weigh in favor of a finding of custodial interrogation.”</w:t>
      </w:r>
    </w:p>
    <w:p w14:paraId="0F287CD6" w14:textId="77777777" w:rsidR="00455B5B" w:rsidRPr="00455B5B" w:rsidRDefault="00455B5B" w:rsidP="00455B5B">
      <w:pPr>
        <w:pStyle w:val="NoSpacing"/>
        <w:rPr>
          <w:rFonts w:ascii="Times New Roman" w:hAnsi="Times New Roman"/>
          <w:b/>
          <w:bCs/>
          <w:sz w:val="24"/>
          <w:szCs w:val="24"/>
        </w:rPr>
      </w:pPr>
    </w:p>
    <w:p w14:paraId="1F49E839" w14:textId="7DA6E08B" w:rsidR="00455B5B" w:rsidRPr="00FE372C" w:rsidRDefault="00455B5B" w:rsidP="00455B5B">
      <w:pPr>
        <w:pStyle w:val="NoSpacing"/>
        <w:rPr>
          <w:rFonts w:ascii="Times New Roman" w:hAnsi="Times New Roman"/>
          <w:b/>
          <w:bCs/>
          <w:sz w:val="24"/>
          <w:szCs w:val="24"/>
        </w:rPr>
      </w:pPr>
      <w:r w:rsidRPr="00FE372C">
        <w:rPr>
          <w:rFonts w:ascii="Times New Roman" w:hAnsi="Times New Roman"/>
          <w:b/>
          <w:bCs/>
          <w:sz w:val="24"/>
          <w:szCs w:val="24"/>
        </w:rPr>
        <w:t xml:space="preserve">Legal Lesson Learned:  Fire Investigators and police, when conducting interview of a prime suspect, should carefully consider </w:t>
      </w:r>
      <w:r w:rsidR="00D3078F">
        <w:rPr>
          <w:rFonts w:ascii="Times New Roman" w:hAnsi="Times New Roman"/>
          <w:b/>
          <w:bCs/>
          <w:sz w:val="24"/>
          <w:szCs w:val="24"/>
        </w:rPr>
        <w:t xml:space="preserve">when to give </w:t>
      </w:r>
      <w:r w:rsidRPr="00FE372C">
        <w:rPr>
          <w:rFonts w:ascii="Times New Roman" w:hAnsi="Times New Roman"/>
          <w:b/>
          <w:bCs/>
          <w:sz w:val="24"/>
          <w:szCs w:val="24"/>
        </w:rPr>
        <w:t xml:space="preserve">a </w:t>
      </w:r>
      <w:r w:rsidRPr="00FE372C">
        <w:rPr>
          <w:rFonts w:ascii="Times New Roman" w:hAnsi="Times New Roman"/>
          <w:b/>
          <w:bCs/>
          <w:i/>
          <w:iCs/>
          <w:sz w:val="24"/>
          <w:szCs w:val="24"/>
        </w:rPr>
        <w:t xml:space="preserve">Miranda </w:t>
      </w:r>
      <w:r w:rsidRPr="00FE372C">
        <w:rPr>
          <w:rFonts w:ascii="Times New Roman" w:hAnsi="Times New Roman"/>
          <w:b/>
          <w:bCs/>
          <w:sz w:val="24"/>
          <w:szCs w:val="24"/>
        </w:rPr>
        <w:t xml:space="preserve">warning.  </w:t>
      </w:r>
    </w:p>
    <w:p w14:paraId="715E9B4F" w14:textId="77777777" w:rsidR="00455B5B" w:rsidRDefault="00455B5B" w:rsidP="00455B5B">
      <w:pPr>
        <w:pStyle w:val="NoSpacing"/>
        <w:rPr>
          <w:b/>
          <w:bCs/>
        </w:rPr>
      </w:pPr>
    </w:p>
    <w:p w14:paraId="55792646" w14:textId="77777777" w:rsidR="00455B5B" w:rsidRDefault="00455B5B" w:rsidP="00455B5B">
      <w:pPr>
        <w:pStyle w:val="NoSpacing"/>
        <w:rPr>
          <w:b/>
          <w:bCs/>
        </w:rPr>
      </w:pPr>
    </w:p>
    <w:p w14:paraId="0ED9D518" w14:textId="77777777" w:rsidR="001B6C81" w:rsidRDefault="00400F67" w:rsidP="00400F67">
      <w:pPr>
        <w:ind w:left="720"/>
        <w:rPr>
          <w:sz w:val="24"/>
          <w:szCs w:val="24"/>
        </w:rPr>
      </w:pPr>
      <w:r w:rsidRPr="00400F67">
        <w:rPr>
          <w:sz w:val="24"/>
          <w:szCs w:val="24"/>
        </w:rPr>
        <w:t>Note: See article</w:t>
      </w:r>
      <w:r w:rsidR="001B6C81">
        <w:rPr>
          <w:sz w:val="24"/>
          <w:szCs w:val="24"/>
        </w:rPr>
        <w:t>s on this case.</w:t>
      </w:r>
    </w:p>
    <w:p w14:paraId="47B62726" w14:textId="448806B2" w:rsidR="00400F67" w:rsidRPr="00400F67" w:rsidRDefault="00400F67" w:rsidP="00400F67">
      <w:pPr>
        <w:ind w:left="720"/>
        <w:rPr>
          <w:sz w:val="24"/>
          <w:szCs w:val="24"/>
        </w:rPr>
      </w:pPr>
      <w:r w:rsidRPr="00400F67">
        <w:rPr>
          <w:sz w:val="24"/>
          <w:szCs w:val="24"/>
        </w:rPr>
        <w:t xml:space="preserve">Oct. 11, 2018: </w:t>
      </w:r>
      <w:r w:rsidRPr="00400F67">
        <w:rPr>
          <w:rFonts w:ascii="Times New Roman" w:eastAsiaTheme="minorHAnsi" w:hAnsi="Times New Roman"/>
          <w:sz w:val="24"/>
          <w:szCs w:val="24"/>
        </w:rPr>
        <w:t xml:space="preserve">Christopher Woman Found Guilty of Setting Fire at Mt. Vernon Hotel </w:t>
      </w:r>
      <w:hyperlink r:id="rId128" w:history="1">
        <w:r w:rsidRPr="00400F67">
          <w:rPr>
            <w:rStyle w:val="Hyperlink"/>
            <w:sz w:val="24"/>
            <w:szCs w:val="24"/>
          </w:rPr>
          <w:t>https://www.wmix94.com/2018/10/11/christopher-woman-found-guilty-of-setting-fire-at-mt-vernon-hotel/</w:t>
        </w:r>
      </w:hyperlink>
      <w:r w:rsidRPr="00400F67">
        <w:rPr>
          <w:sz w:val="24"/>
          <w:szCs w:val="24"/>
        </w:rPr>
        <w:t xml:space="preserve"> </w:t>
      </w:r>
    </w:p>
    <w:p w14:paraId="3208B898" w14:textId="77777777" w:rsidR="00400F67" w:rsidRPr="008D4EE9" w:rsidRDefault="00400F67" w:rsidP="00400F67">
      <w:pPr>
        <w:spacing w:after="160"/>
        <w:ind w:left="720"/>
        <w:rPr>
          <w:rFonts w:ascii="Times New Roman" w:eastAsiaTheme="minorHAnsi" w:hAnsi="Times New Roman"/>
          <w:sz w:val="24"/>
          <w:szCs w:val="24"/>
        </w:rPr>
      </w:pPr>
      <w:r w:rsidRPr="00400F67">
        <w:rPr>
          <w:sz w:val="24"/>
          <w:szCs w:val="24"/>
        </w:rPr>
        <w:t xml:space="preserve">Jan. 12, 2016. </w:t>
      </w:r>
      <w:r w:rsidRPr="00400F67">
        <w:rPr>
          <w:rFonts w:ascii="Times New Roman" w:eastAsiaTheme="minorHAnsi" w:hAnsi="Times New Roman"/>
          <w:sz w:val="24"/>
          <w:szCs w:val="24"/>
        </w:rPr>
        <w:t>Christopher, IL woman arrested on arson charges</w:t>
      </w:r>
      <w:r w:rsidRPr="00400F67">
        <w:rPr>
          <w:sz w:val="24"/>
          <w:szCs w:val="24"/>
        </w:rPr>
        <w:t xml:space="preserve">. </w:t>
      </w:r>
      <w:hyperlink r:id="rId129" w:history="1">
        <w:r w:rsidRPr="00400F67">
          <w:rPr>
            <w:rStyle w:val="Hyperlink"/>
            <w:sz w:val="24"/>
            <w:szCs w:val="24"/>
          </w:rPr>
          <w:t>https://www.kfvs12.com/story/30947819/christopher-il-woman-arrested-on-arson-charges/</w:t>
        </w:r>
      </w:hyperlink>
      <w:r w:rsidRPr="008D4EE9">
        <w:rPr>
          <w:szCs w:val="24"/>
        </w:rPr>
        <w:t xml:space="preserve"> </w:t>
      </w:r>
    </w:p>
    <w:p w14:paraId="3C3F76BC" w14:textId="77777777" w:rsidR="00455B5B" w:rsidRDefault="00455B5B" w:rsidP="00B86628">
      <w:pPr>
        <w:pStyle w:val="NoSpacing"/>
        <w:rPr>
          <w:rFonts w:ascii="Arial Black" w:hAnsi="Arial Black"/>
          <w:sz w:val="24"/>
          <w:szCs w:val="24"/>
        </w:rPr>
      </w:pPr>
    </w:p>
    <w:p w14:paraId="415BE98F" w14:textId="77777777" w:rsidR="00455B5B" w:rsidRDefault="00455B5B" w:rsidP="00B86628">
      <w:pPr>
        <w:pStyle w:val="NoSpacing"/>
        <w:rPr>
          <w:rFonts w:ascii="Arial Black" w:hAnsi="Arial Black"/>
          <w:sz w:val="24"/>
          <w:szCs w:val="24"/>
        </w:rPr>
      </w:pPr>
    </w:p>
    <w:p w14:paraId="01F48A2F" w14:textId="69BAE123" w:rsidR="0011091B" w:rsidRDefault="00B33F53" w:rsidP="00B86628">
      <w:pPr>
        <w:pStyle w:val="NoSpacing"/>
        <w:rPr>
          <w:rFonts w:ascii="Arial Black" w:hAnsi="Arial Black"/>
          <w:sz w:val="24"/>
          <w:szCs w:val="24"/>
        </w:rPr>
      </w:pPr>
      <w:r>
        <w:rPr>
          <w:rFonts w:ascii="Arial Black" w:hAnsi="Arial Black"/>
          <w:sz w:val="24"/>
          <w:szCs w:val="24"/>
        </w:rPr>
        <w:t>1-158</w:t>
      </w:r>
    </w:p>
    <w:p w14:paraId="20D59B9F" w14:textId="77777777" w:rsidR="00B33F53" w:rsidRDefault="00B33F53" w:rsidP="00B86628">
      <w:pPr>
        <w:pStyle w:val="NoSpacing"/>
        <w:rPr>
          <w:rFonts w:ascii="Arial Black" w:hAnsi="Arial Black"/>
          <w:sz w:val="24"/>
          <w:szCs w:val="24"/>
        </w:rPr>
      </w:pPr>
    </w:p>
    <w:p w14:paraId="4DE34087" w14:textId="77777777" w:rsidR="00CE14C4" w:rsidRPr="00A71365" w:rsidRDefault="00CE14C4" w:rsidP="00CE14C4">
      <w:pPr>
        <w:pStyle w:val="NoSpacing"/>
        <w:rPr>
          <w:rFonts w:ascii="Arial Black" w:hAnsi="Arial Black"/>
          <w:sz w:val="28"/>
        </w:rPr>
      </w:pPr>
      <w:r w:rsidRPr="00A71365">
        <w:rPr>
          <w:rFonts w:ascii="Arial Black" w:hAnsi="Arial Black"/>
          <w:sz w:val="28"/>
        </w:rPr>
        <w:t>CA: FED</w:t>
      </w:r>
      <w:r>
        <w:rPr>
          <w:rFonts w:ascii="Arial Black" w:hAnsi="Arial Black"/>
          <w:sz w:val="28"/>
        </w:rPr>
        <w:t xml:space="preserve">ERAL GOV’T SUES </w:t>
      </w:r>
      <w:r w:rsidRPr="00A71365">
        <w:rPr>
          <w:rFonts w:ascii="Arial Black" w:hAnsi="Arial Black"/>
          <w:sz w:val="28"/>
        </w:rPr>
        <w:t>MANUF</w:t>
      </w:r>
      <w:r>
        <w:rPr>
          <w:rFonts w:ascii="Arial Black" w:hAnsi="Arial Black"/>
          <w:sz w:val="28"/>
        </w:rPr>
        <w:t xml:space="preserve">. OF </w:t>
      </w:r>
      <w:r w:rsidRPr="00A71365">
        <w:rPr>
          <w:rFonts w:ascii="Arial Black" w:hAnsi="Arial Black"/>
          <w:sz w:val="28"/>
        </w:rPr>
        <w:t>SMOKE BOMBS</w:t>
      </w:r>
      <w:r>
        <w:rPr>
          <w:rFonts w:ascii="Arial Black" w:hAnsi="Arial Black"/>
          <w:sz w:val="28"/>
        </w:rPr>
        <w:t xml:space="preserve"> – EXCESSIVE SPARKS</w:t>
      </w:r>
      <w:r w:rsidRPr="00A71365">
        <w:rPr>
          <w:rFonts w:ascii="Arial Black" w:hAnsi="Arial Black"/>
          <w:sz w:val="28"/>
        </w:rPr>
        <w:t xml:space="preserve"> –</w:t>
      </w:r>
      <w:r>
        <w:rPr>
          <w:rFonts w:ascii="Arial Black" w:hAnsi="Arial Black"/>
          <w:sz w:val="28"/>
        </w:rPr>
        <w:t xml:space="preserve"> </w:t>
      </w:r>
      <w:r w:rsidRPr="00A71365">
        <w:rPr>
          <w:rFonts w:ascii="Arial Black" w:hAnsi="Arial Black"/>
          <w:sz w:val="28"/>
        </w:rPr>
        <w:t>FOREST FIRE</w:t>
      </w:r>
      <w:r>
        <w:rPr>
          <w:rFonts w:ascii="Arial Black" w:hAnsi="Arial Black"/>
          <w:sz w:val="28"/>
        </w:rPr>
        <w:t xml:space="preserve"> / L</w:t>
      </w:r>
      <w:r w:rsidRPr="00A71365">
        <w:rPr>
          <w:rFonts w:ascii="Arial Black" w:hAnsi="Arial Black"/>
          <w:sz w:val="28"/>
        </w:rPr>
        <w:t>ODD</w:t>
      </w:r>
      <w:r>
        <w:rPr>
          <w:rFonts w:ascii="Arial Black" w:hAnsi="Arial Black"/>
          <w:sz w:val="28"/>
        </w:rPr>
        <w:t xml:space="preserve"> / </w:t>
      </w:r>
      <w:r w:rsidRPr="00A71365">
        <w:rPr>
          <w:rFonts w:ascii="Arial Black" w:hAnsi="Arial Black"/>
          <w:sz w:val="28"/>
        </w:rPr>
        <w:t xml:space="preserve">$41M </w:t>
      </w:r>
    </w:p>
    <w:p w14:paraId="222F6A9D" w14:textId="77777777" w:rsidR="00CE14C4" w:rsidRPr="00CE14C4" w:rsidRDefault="00CE14C4" w:rsidP="00CE14C4">
      <w:pPr>
        <w:pStyle w:val="NoSpacing"/>
        <w:rPr>
          <w:rFonts w:ascii="Times New Roman" w:hAnsi="Times New Roman"/>
          <w:sz w:val="24"/>
          <w:szCs w:val="24"/>
        </w:rPr>
      </w:pPr>
    </w:p>
    <w:p w14:paraId="1019CE46" w14:textId="77777777" w:rsidR="00CE14C4" w:rsidRPr="00CE14C4" w:rsidRDefault="00CE14C4" w:rsidP="00CE14C4">
      <w:pPr>
        <w:pStyle w:val="NoSpacing"/>
        <w:rPr>
          <w:rFonts w:ascii="Times New Roman" w:hAnsi="Times New Roman"/>
          <w:sz w:val="24"/>
          <w:szCs w:val="24"/>
        </w:rPr>
      </w:pPr>
      <w:r w:rsidRPr="00CE14C4">
        <w:rPr>
          <w:rFonts w:ascii="Times New Roman" w:hAnsi="Times New Roman"/>
          <w:sz w:val="24"/>
          <w:szCs w:val="24"/>
        </w:rPr>
        <w:t xml:space="preserve">On September 27, 2024, in </w:t>
      </w:r>
      <w:r w:rsidRPr="00CE14C4">
        <w:rPr>
          <w:rFonts w:ascii="Times New Roman" w:hAnsi="Times New Roman"/>
          <w:sz w:val="24"/>
          <w:szCs w:val="24"/>
          <w:u w:val="single"/>
        </w:rPr>
        <w:t>United States of America v. Wholesale Fireworks Corporation, et al</w:t>
      </w:r>
      <w:r w:rsidRPr="00CE14C4">
        <w:rPr>
          <w:rFonts w:ascii="Times New Roman" w:hAnsi="Times New Roman"/>
          <w:sz w:val="24"/>
          <w:szCs w:val="24"/>
        </w:rPr>
        <w:t xml:space="preserve">.,  United States District Court Judge Maame Ewusi-Mensah Frimpong,  U.S. District Court for Central District of California, denied Wholesale Firework Corporation’s (Hubard, Ohio) motion to dismiss; lawsuit to proceed against that corporation, as well as their distributor (American Fireworks Warehouse) and family that set off the two smoke bombs.  On Sept. 5, 2020, defendants Refugio and Angelina Jimenz set off two smoke bombs at a “gender reveal” party near the National Forest in San Bernadino; the fire destroyed 22,744 acres, damaged or destroyed 24 buildings, resulted in line-of-duty death of Charles Morton, and cost $41 million in fire suppression cost.  The Court wrote:  “[t] the United States alleges Wholesale Fireworks’ failure to properly design and manufacture the gender reveal smoke bombs resulted in the emission of excessive sparks, flames, and molten materials…. The FAC [First Amended Complaint] also alleges that Wholesale Fireworks failed to adequately provide labeling to warn of dangers or instruct on the safe use of the gender reveal smoke bombs….  Additionally, the gender reveal smoke bombs failed to bear the California State Fire Marshall Registration Seal, rendering them illegal in California….  Accordingly, the Court finds that the United States has plausibly alleged that Wholesale Fireworks breached the duty of care imposed by California and federal law.” </w:t>
      </w:r>
      <w:hyperlink r:id="rId130" w:history="1">
        <w:r w:rsidRPr="00CE14C4">
          <w:rPr>
            <w:rStyle w:val="Hyperlink"/>
            <w:rFonts w:ascii="Times New Roman" w:hAnsi="Times New Roman"/>
            <w:sz w:val="24"/>
            <w:szCs w:val="24"/>
          </w:rPr>
          <w:t>https://www.courthousenews.com/wp-content/uploads/2024/09/wholesale-fireworks-ruling.pdf</w:t>
        </w:r>
      </w:hyperlink>
      <w:r w:rsidRPr="00CE14C4">
        <w:rPr>
          <w:rFonts w:ascii="Times New Roman" w:hAnsi="Times New Roman"/>
          <w:sz w:val="24"/>
          <w:szCs w:val="24"/>
        </w:rPr>
        <w:t xml:space="preserve"> </w:t>
      </w:r>
    </w:p>
    <w:p w14:paraId="490B009C" w14:textId="77777777" w:rsidR="00CE14C4" w:rsidRPr="00CE14C4" w:rsidRDefault="00CE14C4" w:rsidP="00CE14C4">
      <w:pPr>
        <w:pStyle w:val="NoSpacing"/>
        <w:rPr>
          <w:rFonts w:ascii="Times New Roman" w:hAnsi="Times New Roman"/>
          <w:sz w:val="24"/>
          <w:szCs w:val="24"/>
        </w:rPr>
      </w:pPr>
    </w:p>
    <w:p w14:paraId="46234ED1" w14:textId="77777777" w:rsidR="00CE14C4" w:rsidRPr="00CE14C4" w:rsidRDefault="00CE14C4" w:rsidP="00CE14C4">
      <w:pPr>
        <w:pStyle w:val="NoSpacing"/>
        <w:rPr>
          <w:rFonts w:ascii="Times New Roman" w:hAnsi="Times New Roman"/>
          <w:sz w:val="24"/>
          <w:szCs w:val="24"/>
        </w:rPr>
      </w:pPr>
      <w:r w:rsidRPr="00CE14C4">
        <w:rPr>
          <w:rFonts w:ascii="Times New Roman" w:hAnsi="Times New Roman"/>
          <w:sz w:val="24"/>
          <w:szCs w:val="24"/>
        </w:rPr>
        <w:t>THE COURT HELD:</w:t>
      </w:r>
    </w:p>
    <w:p w14:paraId="53938237" w14:textId="77777777" w:rsidR="00CE14C4" w:rsidRPr="00CE14C4" w:rsidRDefault="00CE14C4" w:rsidP="00CE14C4">
      <w:pPr>
        <w:pStyle w:val="NoSpacing"/>
        <w:rPr>
          <w:rFonts w:ascii="Times New Roman" w:hAnsi="Times New Roman"/>
          <w:sz w:val="24"/>
          <w:szCs w:val="24"/>
        </w:rPr>
      </w:pPr>
    </w:p>
    <w:p w14:paraId="5CF74D19" w14:textId="77777777" w:rsidR="00CE14C4" w:rsidRDefault="00CE14C4" w:rsidP="00CE14C4">
      <w:pPr>
        <w:pStyle w:val="NoSpacing"/>
        <w:ind w:left="720"/>
        <w:rPr>
          <w:rFonts w:ascii="Times New Roman" w:hAnsi="Times New Roman"/>
          <w:sz w:val="24"/>
          <w:szCs w:val="24"/>
        </w:rPr>
      </w:pPr>
      <w:r w:rsidRPr="00CE14C4">
        <w:rPr>
          <w:rFonts w:ascii="Times New Roman" w:hAnsi="Times New Roman"/>
          <w:sz w:val="24"/>
          <w:szCs w:val="24"/>
        </w:rPr>
        <w:t xml:space="preserve">“T]he Court finds that it is plausible that Wholesale Fireworks allowed the fire to occur. If an entity knows or has reason to know of the risks that may result from the defective labeling or design of its product, yet fails to adequately provide such labeling, it follows that the entity consequently allowed for that danger to ensue. Wholesale Fireworks knew or had reason to know of the risks of fire that may result from the defective labeling or design of the gender </w:t>
      </w:r>
      <w:proofErr w:type="gramStart"/>
      <w:r w:rsidRPr="00CE14C4">
        <w:rPr>
          <w:rFonts w:ascii="Times New Roman" w:hAnsi="Times New Roman"/>
          <w:sz w:val="24"/>
          <w:szCs w:val="24"/>
        </w:rPr>
        <w:t>reveal</w:t>
      </w:r>
      <w:proofErr w:type="gramEnd"/>
      <w:r w:rsidRPr="00CE14C4">
        <w:rPr>
          <w:rFonts w:ascii="Times New Roman" w:hAnsi="Times New Roman"/>
          <w:sz w:val="24"/>
          <w:szCs w:val="24"/>
        </w:rPr>
        <w:t xml:space="preserve"> smoke bombs given </w:t>
      </w:r>
      <w:proofErr w:type="gramStart"/>
      <w:r w:rsidRPr="00CE14C4">
        <w:rPr>
          <w:rFonts w:ascii="Times New Roman" w:hAnsi="Times New Roman"/>
          <w:sz w:val="24"/>
          <w:szCs w:val="24"/>
        </w:rPr>
        <w:t>its</w:t>
      </w:r>
      <w:proofErr w:type="gramEnd"/>
      <w:r w:rsidRPr="00CE14C4">
        <w:rPr>
          <w:rFonts w:ascii="Times New Roman" w:hAnsi="Times New Roman"/>
          <w:sz w:val="24"/>
          <w:szCs w:val="24"/>
        </w:rPr>
        <w:t xml:space="preserve"> training in the industry. Wholesale Fireworks failed to adequately provide warnings </w:t>
      </w:r>
      <w:proofErr w:type="gramStart"/>
      <w:r w:rsidRPr="00CE14C4">
        <w:rPr>
          <w:rFonts w:ascii="Times New Roman" w:hAnsi="Times New Roman"/>
          <w:sz w:val="24"/>
          <w:szCs w:val="24"/>
        </w:rPr>
        <w:t>of</w:t>
      </w:r>
      <w:proofErr w:type="gramEnd"/>
      <w:r w:rsidRPr="00CE14C4">
        <w:rPr>
          <w:rFonts w:ascii="Times New Roman" w:hAnsi="Times New Roman"/>
          <w:sz w:val="24"/>
          <w:szCs w:val="24"/>
        </w:rPr>
        <w:t xml:space="preserve"> the risk of fire that may </w:t>
      </w:r>
      <w:proofErr w:type="gramStart"/>
      <w:r w:rsidRPr="00CE14C4">
        <w:rPr>
          <w:rFonts w:ascii="Times New Roman" w:hAnsi="Times New Roman"/>
          <w:sz w:val="24"/>
          <w:szCs w:val="24"/>
        </w:rPr>
        <w:t>ensue</w:t>
      </w:r>
      <w:proofErr w:type="gramEnd"/>
      <w:r w:rsidRPr="00CE14C4">
        <w:rPr>
          <w:rFonts w:ascii="Times New Roman" w:hAnsi="Times New Roman"/>
          <w:sz w:val="24"/>
          <w:szCs w:val="24"/>
        </w:rPr>
        <w:t xml:space="preserve"> from the misuse of its product, despite knowing or having reason to know of the risks of such danger. Further, this failure was in violation of the law. Therefore, Wholesale Fireworks, in essence, allowed the fire to occur.”</w:t>
      </w:r>
    </w:p>
    <w:p w14:paraId="41CAC3EA" w14:textId="77777777" w:rsidR="00BE0BB3" w:rsidRPr="00BE0BB3" w:rsidRDefault="00BE0BB3" w:rsidP="00BE0BB3">
      <w:pPr>
        <w:pStyle w:val="NoSpacing"/>
        <w:rPr>
          <w:rFonts w:ascii="Times New Roman" w:hAnsi="Times New Roman"/>
          <w:b/>
          <w:bCs/>
          <w:sz w:val="24"/>
          <w:szCs w:val="24"/>
        </w:rPr>
      </w:pPr>
      <w:r w:rsidRPr="00BE0BB3">
        <w:rPr>
          <w:rFonts w:ascii="Times New Roman" w:hAnsi="Times New Roman"/>
          <w:b/>
          <w:bCs/>
          <w:sz w:val="24"/>
          <w:szCs w:val="24"/>
        </w:rPr>
        <w:t>Legal Lesson Learned: The manufacturer of smoke bombs has a duty to warn users about the risks of excessive sparks, flames, and molten materials.</w:t>
      </w:r>
    </w:p>
    <w:p w14:paraId="6FF70DF1" w14:textId="77777777" w:rsidR="00BE0BB3" w:rsidRPr="00BE0BB3" w:rsidRDefault="00BE0BB3" w:rsidP="00BE0BB3">
      <w:pPr>
        <w:ind w:left="720"/>
        <w:rPr>
          <w:rFonts w:ascii="Times New Roman" w:hAnsi="Times New Roman"/>
          <w:sz w:val="24"/>
          <w:szCs w:val="24"/>
        </w:rPr>
      </w:pPr>
      <w:r w:rsidRPr="00BE0BB3">
        <w:rPr>
          <w:rFonts w:ascii="Times New Roman" w:hAnsi="Times New Roman"/>
          <w:sz w:val="24"/>
          <w:szCs w:val="24"/>
        </w:rPr>
        <w:t xml:space="preserve">Note: National Fallen Firefighter Foundation: “Charles Morton, squad boss on the Big Bear Interagency Hotshot Crew, died during interagency fire suppression activities on the El Dorado Fire in the San Bernardino National Forest in California on September 17, 2020. He had been a firefighter for 18 years, 14 of those with the U.S. Forest Service.” </w:t>
      </w:r>
      <w:hyperlink r:id="rId131" w:history="1">
        <w:r w:rsidRPr="00BE0BB3">
          <w:rPr>
            <w:rStyle w:val="Hyperlink"/>
            <w:rFonts w:ascii="Times New Roman" w:hAnsi="Times New Roman"/>
            <w:sz w:val="24"/>
            <w:szCs w:val="24"/>
          </w:rPr>
          <w:t>https://www.firehero.org/fallen-firefighter/charles-e-morton/</w:t>
        </w:r>
      </w:hyperlink>
      <w:r w:rsidRPr="00BE0BB3">
        <w:rPr>
          <w:rFonts w:ascii="Times New Roman" w:hAnsi="Times New Roman"/>
          <w:sz w:val="24"/>
          <w:szCs w:val="24"/>
        </w:rPr>
        <w:t xml:space="preserve"> </w:t>
      </w:r>
    </w:p>
    <w:p w14:paraId="4B6D7914" w14:textId="77777777" w:rsidR="00BE0BB3" w:rsidRPr="00CE14C4" w:rsidRDefault="00BE0BB3" w:rsidP="00CE14C4">
      <w:pPr>
        <w:pStyle w:val="NoSpacing"/>
        <w:ind w:left="720"/>
        <w:rPr>
          <w:rFonts w:ascii="Times New Roman" w:hAnsi="Times New Roman"/>
          <w:sz w:val="24"/>
          <w:szCs w:val="24"/>
        </w:rPr>
      </w:pPr>
    </w:p>
    <w:p w14:paraId="16559F1C" w14:textId="77777777" w:rsidR="00CE14C4" w:rsidRDefault="00CE14C4" w:rsidP="00CE14C4">
      <w:pPr>
        <w:pStyle w:val="NoSpacing"/>
        <w:ind w:left="720"/>
      </w:pPr>
    </w:p>
    <w:p w14:paraId="78626872" w14:textId="77777777" w:rsidR="00B33F53" w:rsidRDefault="00B33F53" w:rsidP="00B86628">
      <w:pPr>
        <w:pStyle w:val="NoSpacing"/>
        <w:rPr>
          <w:rFonts w:ascii="Arial Black" w:hAnsi="Arial Black"/>
          <w:sz w:val="24"/>
          <w:szCs w:val="24"/>
        </w:rPr>
      </w:pPr>
    </w:p>
    <w:p w14:paraId="67E8B875" w14:textId="0DCFCFC5" w:rsidR="0011091B" w:rsidRDefault="0011091B" w:rsidP="00B86628">
      <w:pPr>
        <w:pStyle w:val="NoSpacing"/>
        <w:rPr>
          <w:rFonts w:ascii="Arial Black" w:hAnsi="Arial Black"/>
          <w:sz w:val="24"/>
          <w:szCs w:val="24"/>
        </w:rPr>
      </w:pPr>
      <w:r>
        <w:rPr>
          <w:rFonts w:ascii="Arial Black" w:hAnsi="Arial Black"/>
          <w:sz w:val="24"/>
          <w:szCs w:val="24"/>
        </w:rPr>
        <w:t>1-157</w:t>
      </w:r>
    </w:p>
    <w:p w14:paraId="09C37B75" w14:textId="77777777" w:rsidR="0011091B" w:rsidRDefault="0011091B" w:rsidP="00B86628">
      <w:pPr>
        <w:pStyle w:val="NoSpacing"/>
        <w:rPr>
          <w:rFonts w:ascii="Arial Black" w:hAnsi="Arial Black"/>
          <w:sz w:val="24"/>
          <w:szCs w:val="24"/>
        </w:rPr>
      </w:pPr>
    </w:p>
    <w:p w14:paraId="6A397B91" w14:textId="77777777" w:rsidR="0011091B" w:rsidRPr="00287362" w:rsidRDefault="0011091B" w:rsidP="0011091B">
      <w:pPr>
        <w:pStyle w:val="NoSpacing"/>
        <w:rPr>
          <w:rFonts w:ascii="Arial Black" w:hAnsi="Arial Black"/>
          <w:sz w:val="28"/>
        </w:rPr>
      </w:pPr>
      <w:r>
        <w:rPr>
          <w:rFonts w:ascii="Arial Black" w:hAnsi="Arial Black"/>
          <w:sz w:val="28"/>
        </w:rPr>
        <w:t>NY: YONKRS FIRE INSPECTION FEES - LAWFUL - MULTI-FAMILY OWNERS MUST PAY UP TO $1,250 PER YEAR</w:t>
      </w:r>
    </w:p>
    <w:p w14:paraId="3A464BAF" w14:textId="77777777" w:rsidR="0011091B" w:rsidRDefault="0011091B" w:rsidP="0011091B">
      <w:pPr>
        <w:pStyle w:val="NoSpacing"/>
      </w:pPr>
    </w:p>
    <w:p w14:paraId="35D2428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 xml:space="preserve">On Sept. 18, 2024, in </w:t>
      </w:r>
      <w:r w:rsidRPr="0011091B">
        <w:rPr>
          <w:rFonts w:ascii="Times New Roman" w:hAnsi="Times New Roman"/>
          <w:sz w:val="24"/>
          <w:szCs w:val="24"/>
          <w:u w:val="single"/>
        </w:rPr>
        <w:t>WMC Realty Cop. and T.A.C. Realty Corp. v. City of Yonkers</w:t>
      </w:r>
      <w:r w:rsidRPr="0011091B">
        <w:rPr>
          <w:rFonts w:ascii="Times New Roman" w:hAnsi="Times New Roman"/>
          <w:sz w:val="24"/>
          <w:szCs w:val="24"/>
        </w:rPr>
        <w:t>, Judge William J. Giacomo, Justice of the West Chester County Supreme Court, granted the City’s motion for summary judgment. The Court wrote: “The record indicates that the total budget for the Yonkers Fire Department for Fiscal Year 2021 was $74,369,758</w:t>
      </w:r>
      <w:proofErr w:type="gramStart"/>
      <w:r w:rsidRPr="0011091B">
        <w:rPr>
          <w:rFonts w:ascii="Times New Roman" w:hAnsi="Times New Roman"/>
          <w:sz w:val="24"/>
          <w:szCs w:val="24"/>
        </w:rPr>
        <w:t>…..</w:t>
      </w:r>
      <w:proofErr w:type="gramEnd"/>
      <w:r w:rsidRPr="0011091B">
        <w:rPr>
          <w:rFonts w:ascii="Times New Roman" w:hAnsi="Times New Roman"/>
          <w:sz w:val="24"/>
          <w:szCs w:val="24"/>
        </w:rPr>
        <w:t xml:space="preserve"> the [Fire Inspection] Program cost approximately $5.8 million </w:t>
      </w:r>
      <w:proofErr w:type="gramStart"/>
      <w:r w:rsidRPr="0011091B">
        <w:rPr>
          <w:rFonts w:ascii="Times New Roman" w:hAnsi="Times New Roman"/>
          <w:sz w:val="24"/>
          <w:szCs w:val="24"/>
        </w:rPr>
        <w:t>and that</w:t>
      </w:r>
      <w:proofErr w:type="gramEnd"/>
      <w:r w:rsidRPr="0011091B">
        <w:rPr>
          <w:rFonts w:ascii="Times New Roman" w:hAnsi="Times New Roman"/>
          <w:sz w:val="24"/>
          <w:szCs w:val="24"/>
        </w:rPr>
        <w:t xml:space="preserve"> only $3.2 million in fees were collected. These mathematical figures were verified by an independent accountants' report. Thus, defendants have demonstrated that the Program fees collected far exceeded the cost of administering the Program. *** Accordingly, defendants established prima facie that the Program Fees imposed pursuant to Section 55-7 of the Yonkers Fire Code are a permissible fee rather than an unconstitutional tax and their motion for summary judgment is granted. In opposition, plaintiffs failed to raise a triable issue of fact </w:t>
      </w:r>
      <w:proofErr w:type="gramStart"/>
      <w:r w:rsidRPr="0011091B">
        <w:rPr>
          <w:rFonts w:ascii="Times New Roman" w:hAnsi="Times New Roman"/>
          <w:sz w:val="24"/>
          <w:szCs w:val="24"/>
        </w:rPr>
        <w:t>and also</w:t>
      </w:r>
      <w:proofErr w:type="gramEnd"/>
      <w:r w:rsidRPr="0011091B">
        <w:rPr>
          <w:rFonts w:ascii="Times New Roman" w:hAnsi="Times New Roman"/>
          <w:sz w:val="24"/>
          <w:szCs w:val="24"/>
        </w:rPr>
        <w:t xml:space="preserve"> fail to support their own motion for summary judgment.” </w:t>
      </w:r>
      <w:hyperlink r:id="rId132" w:history="1">
        <w:r w:rsidRPr="0011091B">
          <w:rPr>
            <w:rStyle w:val="Hyperlink"/>
            <w:rFonts w:ascii="Times New Roman" w:hAnsi="Times New Roman"/>
            <w:sz w:val="24"/>
            <w:szCs w:val="24"/>
          </w:rPr>
          <w:t>https://law.justia.com/cases/new-york/other-courts/2024/2024-ny-slip-op-51294-u.html</w:t>
        </w:r>
      </w:hyperlink>
      <w:r w:rsidRPr="0011091B">
        <w:rPr>
          <w:rFonts w:ascii="Times New Roman" w:hAnsi="Times New Roman"/>
          <w:sz w:val="24"/>
          <w:szCs w:val="24"/>
        </w:rPr>
        <w:t xml:space="preserve"> </w:t>
      </w:r>
    </w:p>
    <w:p w14:paraId="5E4F1998" w14:textId="77777777" w:rsidR="0011091B" w:rsidRPr="0011091B" w:rsidRDefault="0011091B" w:rsidP="0011091B">
      <w:pPr>
        <w:pStyle w:val="NoSpacing"/>
        <w:rPr>
          <w:rFonts w:ascii="Times New Roman" w:hAnsi="Times New Roman"/>
          <w:sz w:val="24"/>
          <w:szCs w:val="24"/>
        </w:rPr>
      </w:pPr>
    </w:p>
    <w:p w14:paraId="1B95D34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THE COURT HELD:</w:t>
      </w:r>
    </w:p>
    <w:p w14:paraId="5DD73CAF" w14:textId="77777777" w:rsidR="0011091B" w:rsidRPr="0011091B" w:rsidRDefault="0011091B" w:rsidP="0011091B">
      <w:pPr>
        <w:pStyle w:val="NoSpacing"/>
        <w:rPr>
          <w:rFonts w:ascii="Times New Roman" w:hAnsi="Times New Roman"/>
          <w:sz w:val="24"/>
          <w:szCs w:val="24"/>
        </w:rPr>
      </w:pPr>
    </w:p>
    <w:p w14:paraId="253FE303" w14:textId="77777777" w:rsidR="0011091B" w:rsidRPr="0011091B" w:rsidRDefault="0011091B" w:rsidP="0011091B">
      <w:pPr>
        <w:pStyle w:val="NoSpacing"/>
        <w:ind w:left="720"/>
        <w:rPr>
          <w:rFonts w:ascii="Times New Roman" w:hAnsi="Times New Roman"/>
          <w:sz w:val="24"/>
          <w:szCs w:val="24"/>
        </w:rPr>
      </w:pPr>
      <w:r w:rsidRPr="0011091B">
        <w:rPr>
          <w:rFonts w:ascii="Times New Roman" w:hAnsi="Times New Roman"/>
          <w:sz w:val="24"/>
          <w:szCs w:val="24"/>
        </w:rPr>
        <w:t xml:space="preserve">“On or about October 3, 2017, plaintiffs filed a class action complaint on their own behalf and on behalf of similarly situated plaintiffs, and a demand for declaratory judgment against defendants. The complaint alleges that the City of Yonkers created a ‘Yonkers Fire and Building Safety Inspection Program,’ </w:t>
      </w:r>
      <w:proofErr w:type="gramStart"/>
      <w:r w:rsidRPr="0011091B">
        <w:rPr>
          <w:rFonts w:ascii="Times New Roman" w:hAnsi="Times New Roman"/>
          <w:sz w:val="24"/>
          <w:szCs w:val="24"/>
        </w:rPr>
        <w:t>in order to</w:t>
      </w:r>
      <w:proofErr w:type="gramEnd"/>
      <w:r w:rsidRPr="0011091B">
        <w:rPr>
          <w:rFonts w:ascii="Times New Roman" w:hAnsi="Times New Roman"/>
          <w:sz w:val="24"/>
          <w:szCs w:val="24"/>
        </w:rPr>
        <w:t xml:space="preserve"> provide fire and safety inspections for all multi-family dwelling units within the </w:t>
      </w:r>
      <w:proofErr w:type="gramStart"/>
      <w:r w:rsidRPr="0011091B">
        <w:rPr>
          <w:rFonts w:ascii="Times New Roman" w:hAnsi="Times New Roman"/>
          <w:sz w:val="24"/>
          <w:szCs w:val="24"/>
        </w:rPr>
        <w:t>City</w:t>
      </w:r>
      <w:proofErr w:type="gramEnd"/>
      <w:r w:rsidRPr="0011091B">
        <w:rPr>
          <w:rFonts w:ascii="Times New Roman" w:hAnsi="Times New Roman"/>
          <w:sz w:val="24"/>
          <w:szCs w:val="24"/>
        </w:rPr>
        <w:t>. The Inspection Program was established pursuant to Article 18 of the Executive Law, entitled the New York State Uniform Fire Prevention and Building Code Act [*3](Uniform Act), as codified in Executive Law § 370 et seq. and the Yonkers Fire and Building Code (</w:t>
      </w:r>
      <w:r w:rsidRPr="0011091B">
        <w:rPr>
          <w:rFonts w:ascii="Times New Roman" w:hAnsi="Times New Roman"/>
          <w:i/>
          <w:iCs/>
          <w:sz w:val="24"/>
          <w:szCs w:val="24"/>
        </w:rPr>
        <w:t xml:space="preserve">see </w:t>
      </w:r>
      <w:r w:rsidRPr="0011091B">
        <w:rPr>
          <w:rFonts w:ascii="Times New Roman" w:hAnsi="Times New Roman"/>
          <w:sz w:val="24"/>
          <w:szCs w:val="24"/>
        </w:rPr>
        <w:t>Yonkers Fire and Building Code § 55-1 et seq.). Section 55-7 of the Yonkers Fire and Building Code, entitled Fees for Fire and Building Safety Inspection Program, sets forth the following:</w:t>
      </w:r>
    </w:p>
    <w:p w14:paraId="1EF4B0F9" w14:textId="77777777" w:rsidR="0011091B" w:rsidRPr="0011091B" w:rsidRDefault="0011091B" w:rsidP="0011091B">
      <w:pPr>
        <w:pStyle w:val="NoSpacing"/>
        <w:ind w:firstLine="720"/>
        <w:rPr>
          <w:rFonts w:ascii="Times New Roman" w:hAnsi="Times New Roman"/>
          <w:sz w:val="24"/>
          <w:szCs w:val="24"/>
        </w:rPr>
      </w:pPr>
    </w:p>
    <w:p w14:paraId="2C3613DB"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t>‘A. In order to pay for the City of Yonkers Fire and Building Safety Inspection Program, pursuant to which authorized officers and employees of the City of Yonkers inspect residential and business and commercial properties to ensure compliance with applicable codes, including but not limited to the New York State Uniform Fire Prevention and Building Code, the Yonkers Fire and Building Code, the Yonkers Fire Prevention Code, the Multiple Residence Law and other applicable provisions of law, a schedule of fees for classes of occupancies inspected by such program is hereby established.’</w:t>
      </w:r>
    </w:p>
    <w:p w14:paraId="31A4726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ab/>
      </w:r>
    </w:p>
    <w:p w14:paraId="0CC5BBF4" w14:textId="77777777" w:rsidR="0011091B" w:rsidRPr="0011091B" w:rsidRDefault="0011091B" w:rsidP="0011091B">
      <w:pPr>
        <w:pStyle w:val="NoSpacing"/>
        <w:ind w:left="720" w:firstLine="720"/>
        <w:rPr>
          <w:rFonts w:ascii="Times New Roman" w:hAnsi="Times New Roman"/>
          <w:sz w:val="24"/>
          <w:szCs w:val="24"/>
        </w:rPr>
      </w:pPr>
      <w:r w:rsidRPr="0011091B">
        <w:rPr>
          <w:rFonts w:ascii="Times New Roman" w:hAnsi="Times New Roman"/>
          <w:sz w:val="24"/>
          <w:szCs w:val="24"/>
        </w:rPr>
        <w:t>***</w:t>
      </w:r>
    </w:p>
    <w:p w14:paraId="18C82DA6"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t xml:space="preserve">Properties are required to be inspected at least once every 36 months and owners are expected to pay annual fees ranging from $250 to $1,250. The Program fees are paid by owners of real property other than </w:t>
      </w:r>
      <w:proofErr w:type="gramStart"/>
      <w:r w:rsidRPr="0011091B">
        <w:rPr>
          <w:rFonts w:ascii="Times New Roman" w:hAnsi="Times New Roman"/>
          <w:sz w:val="24"/>
          <w:szCs w:val="24"/>
        </w:rPr>
        <w:t>one and two family</w:t>
      </w:r>
      <w:proofErr w:type="gramEnd"/>
      <w:r w:rsidRPr="0011091B">
        <w:rPr>
          <w:rFonts w:ascii="Times New Roman" w:hAnsi="Times New Roman"/>
          <w:sz w:val="24"/>
          <w:szCs w:val="24"/>
        </w:rPr>
        <w:t xml:space="preserve"> dwellings and not-for-profit buildings. </w:t>
      </w:r>
    </w:p>
    <w:p w14:paraId="528C0103" w14:textId="77777777" w:rsidR="0011091B" w:rsidRPr="0011091B" w:rsidRDefault="0011091B" w:rsidP="0011091B">
      <w:pPr>
        <w:pStyle w:val="NoSpacing"/>
        <w:ind w:left="720"/>
        <w:rPr>
          <w:rFonts w:ascii="Times New Roman" w:hAnsi="Times New Roman"/>
          <w:sz w:val="24"/>
          <w:szCs w:val="24"/>
        </w:rPr>
      </w:pPr>
    </w:p>
    <w:p w14:paraId="600FA369" w14:textId="77777777" w:rsidR="0011091B" w:rsidRPr="0011091B" w:rsidRDefault="0011091B" w:rsidP="0011091B">
      <w:pPr>
        <w:pStyle w:val="NoSpacing"/>
        <w:ind w:left="720" w:firstLine="720"/>
        <w:rPr>
          <w:rFonts w:ascii="Times New Roman" w:hAnsi="Times New Roman"/>
          <w:sz w:val="24"/>
          <w:szCs w:val="24"/>
        </w:rPr>
      </w:pPr>
      <w:r w:rsidRPr="0011091B">
        <w:rPr>
          <w:rFonts w:ascii="Times New Roman" w:hAnsi="Times New Roman"/>
          <w:sz w:val="24"/>
          <w:szCs w:val="24"/>
        </w:rPr>
        <w:t>***</w:t>
      </w:r>
    </w:p>
    <w:p w14:paraId="52FCCC62"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t>Finally, it is well established that "[l]</w:t>
      </w:r>
      <w:proofErr w:type="spellStart"/>
      <w:r w:rsidRPr="0011091B">
        <w:rPr>
          <w:rFonts w:ascii="Times New Roman" w:hAnsi="Times New Roman"/>
          <w:sz w:val="24"/>
          <w:szCs w:val="24"/>
        </w:rPr>
        <w:t>egislative</w:t>
      </w:r>
      <w:proofErr w:type="spellEnd"/>
      <w:r w:rsidRPr="0011091B">
        <w:rPr>
          <w:rFonts w:ascii="Times New Roman" w:hAnsi="Times New Roman"/>
          <w:sz w:val="24"/>
          <w:szCs w:val="24"/>
        </w:rPr>
        <w:t xml:space="preserve"> enactments enjoy a strong presumption of constitutionality. While the presumption is not irrefutable, parties challenging a duly </w:t>
      </w:r>
      <w:proofErr w:type="gramStart"/>
      <w:r w:rsidRPr="0011091B">
        <w:rPr>
          <w:rFonts w:ascii="Times New Roman" w:hAnsi="Times New Roman"/>
          <w:sz w:val="24"/>
          <w:szCs w:val="24"/>
        </w:rPr>
        <w:t>enacted [*8]</w:t>
      </w:r>
      <w:proofErr w:type="gramEnd"/>
      <w:r w:rsidRPr="0011091B">
        <w:rPr>
          <w:rFonts w:ascii="Times New Roman" w:hAnsi="Times New Roman"/>
          <w:sz w:val="24"/>
          <w:szCs w:val="24"/>
        </w:rPr>
        <w:t xml:space="preserve">statute face the initial burden of demonstrating the statute's invalidity "beyond a reasonable doubt'. </w:t>
      </w:r>
      <w:r w:rsidRPr="0011091B">
        <w:rPr>
          <w:rFonts w:ascii="Times New Roman" w:hAnsi="Times New Roman"/>
          <w:i/>
          <w:iCs/>
          <w:sz w:val="24"/>
          <w:szCs w:val="24"/>
        </w:rPr>
        <w:t>Lavalle v Hayden</w:t>
      </w:r>
      <w:r w:rsidRPr="0011091B">
        <w:rPr>
          <w:rFonts w:ascii="Times New Roman" w:hAnsi="Times New Roman"/>
          <w:sz w:val="24"/>
          <w:szCs w:val="24"/>
        </w:rPr>
        <w:t xml:space="preserve">, 98 NY2d 155, 161 (2002) (internal quotation marks and citations omitted).Plaintiffs also claim the statute is "invalid" because they allegedly never received an inspection. To the extent that plaintiffs could even maintain this argument separate from claiming a private cause of action, plaintiffs have not met their burden to demonstrate the statute's invalidity beyond a reasonable doubt. First, thousands of properties are subject to </w:t>
      </w:r>
      <w:proofErr w:type="gramStart"/>
      <w:r w:rsidRPr="0011091B">
        <w:rPr>
          <w:rFonts w:ascii="Times New Roman" w:hAnsi="Times New Roman"/>
          <w:sz w:val="24"/>
          <w:szCs w:val="24"/>
        </w:rPr>
        <w:t>inspection</w:t>
      </w:r>
      <w:proofErr w:type="gramEnd"/>
      <w:r w:rsidRPr="0011091B">
        <w:rPr>
          <w:rFonts w:ascii="Times New Roman" w:hAnsi="Times New Roman"/>
          <w:sz w:val="24"/>
          <w:szCs w:val="24"/>
        </w:rPr>
        <w:t xml:space="preserve"> and it is undisputed that there are some written records for inspections. As a result, the alleged failure to inspect one property would not render a statute unconstitutional. Next, the record indicates that plaintiffs' properties were visited and inspected. The owner of the properties, an absentee landlord, testified that he was unaware of any visits by the Fire Department and testified that his tenants do not usually tell him if the Fire Department has visited. Therefore, plaintiffs have failed to prove beyond a reasonable doubt that there were missed inspections. Although there does not appear to be a uniform way the different City Fire Departments document violations and inspections, a motion for summary judgment is not the proper way to challenge a lack of systemic protocols.”</w:t>
      </w:r>
    </w:p>
    <w:p w14:paraId="4739B241" w14:textId="77777777" w:rsidR="0011091B" w:rsidRDefault="0011091B" w:rsidP="0011091B">
      <w:pPr>
        <w:pStyle w:val="NoSpacing"/>
        <w:ind w:left="720"/>
      </w:pPr>
    </w:p>
    <w:p w14:paraId="389A94B7" w14:textId="77777777" w:rsidR="00B33F53" w:rsidRPr="00B33F53" w:rsidRDefault="00B33F53" w:rsidP="00B33F53">
      <w:pPr>
        <w:pStyle w:val="NoSpacing"/>
        <w:rPr>
          <w:rFonts w:ascii="Times New Roman" w:hAnsi="Times New Roman"/>
          <w:b/>
          <w:bCs/>
          <w:sz w:val="24"/>
          <w:szCs w:val="24"/>
        </w:rPr>
      </w:pPr>
      <w:r w:rsidRPr="00B33F53">
        <w:rPr>
          <w:rFonts w:ascii="Times New Roman" w:hAnsi="Times New Roman"/>
          <w:b/>
          <w:bCs/>
          <w:sz w:val="24"/>
          <w:szCs w:val="24"/>
        </w:rPr>
        <w:t xml:space="preserve">Legal Lesson Learned:  State law requiring payment of annual fire inspection fee is lawful. </w:t>
      </w:r>
    </w:p>
    <w:p w14:paraId="31858484" w14:textId="77777777" w:rsidR="0011091B" w:rsidRDefault="0011091B" w:rsidP="00B86628">
      <w:pPr>
        <w:pStyle w:val="NoSpacing"/>
        <w:rPr>
          <w:rFonts w:ascii="Arial Black" w:hAnsi="Arial Black"/>
          <w:sz w:val="24"/>
          <w:szCs w:val="24"/>
        </w:rPr>
      </w:pPr>
    </w:p>
    <w:p w14:paraId="2670C5EF" w14:textId="77777777" w:rsidR="0011091B" w:rsidRDefault="0011091B" w:rsidP="00B86628">
      <w:pPr>
        <w:pStyle w:val="NoSpacing"/>
        <w:rPr>
          <w:rFonts w:ascii="Arial Black" w:hAnsi="Arial Black"/>
          <w:sz w:val="24"/>
          <w:szCs w:val="24"/>
        </w:rPr>
      </w:pPr>
    </w:p>
    <w:p w14:paraId="1DC154D1" w14:textId="77777777" w:rsidR="0011091B" w:rsidRDefault="0011091B" w:rsidP="00B86628">
      <w:pPr>
        <w:pStyle w:val="NoSpacing"/>
        <w:rPr>
          <w:rFonts w:ascii="Arial Black" w:hAnsi="Arial Black"/>
          <w:sz w:val="24"/>
          <w:szCs w:val="24"/>
        </w:rPr>
      </w:pPr>
    </w:p>
    <w:p w14:paraId="76180A73" w14:textId="4F662C61" w:rsidR="00C443C1" w:rsidRDefault="00C443C1" w:rsidP="00B86628">
      <w:pPr>
        <w:pStyle w:val="NoSpacing"/>
        <w:rPr>
          <w:rFonts w:ascii="Arial Black" w:hAnsi="Arial Black"/>
          <w:sz w:val="24"/>
          <w:szCs w:val="24"/>
        </w:rPr>
      </w:pPr>
      <w:r>
        <w:rPr>
          <w:rFonts w:ascii="Arial Black" w:hAnsi="Arial Black"/>
          <w:sz w:val="24"/>
          <w:szCs w:val="24"/>
        </w:rPr>
        <w:t>1-156</w:t>
      </w:r>
    </w:p>
    <w:p w14:paraId="2995E35A" w14:textId="77777777" w:rsidR="00C443C1" w:rsidRDefault="00C443C1" w:rsidP="00B86628">
      <w:pPr>
        <w:pStyle w:val="NoSpacing"/>
        <w:rPr>
          <w:rFonts w:ascii="Arial Black" w:hAnsi="Arial Black"/>
          <w:sz w:val="24"/>
          <w:szCs w:val="24"/>
        </w:rPr>
      </w:pPr>
    </w:p>
    <w:p w14:paraId="2F229D67" w14:textId="0006342D" w:rsidR="005C3A2A" w:rsidRPr="00752E25" w:rsidRDefault="005C3A2A" w:rsidP="005C3A2A">
      <w:pPr>
        <w:pStyle w:val="NoSpacing"/>
        <w:rPr>
          <w:rFonts w:ascii="Arial Black" w:hAnsi="Arial Black"/>
          <w:sz w:val="28"/>
        </w:rPr>
      </w:pPr>
      <w:r w:rsidRPr="00752E25">
        <w:rPr>
          <w:rFonts w:ascii="Arial Black" w:hAnsi="Arial Black"/>
          <w:sz w:val="28"/>
        </w:rPr>
        <w:t xml:space="preserve">OH: MATTRESS FIRE – WOMAN SERVED 6 YRS OHIO PRISON - FD INVESTIGATOR: TWO FIRES – DEFENSE EXPERT: FALSE, </w:t>
      </w:r>
      <w:r w:rsidR="007D62C3" w:rsidRPr="00752E25">
        <w:rPr>
          <w:rFonts w:ascii="Arial Black" w:hAnsi="Arial Black"/>
          <w:sz w:val="28"/>
        </w:rPr>
        <w:t xml:space="preserve">ONLY </w:t>
      </w:r>
      <w:r w:rsidRPr="00752E25">
        <w:rPr>
          <w:rFonts w:ascii="Arial Black" w:hAnsi="Arial Black"/>
          <w:sz w:val="28"/>
        </w:rPr>
        <w:t>ONE FIRE</w:t>
      </w:r>
    </w:p>
    <w:p w14:paraId="5DFD41EC" w14:textId="77777777" w:rsidR="005C3A2A" w:rsidRDefault="005C3A2A" w:rsidP="005C3A2A">
      <w:pPr>
        <w:pStyle w:val="NoSpacing"/>
        <w:rPr>
          <w:szCs w:val="24"/>
        </w:rPr>
      </w:pPr>
    </w:p>
    <w:p w14:paraId="57D6DBD7" w14:textId="77777777" w:rsidR="005C3A2A" w:rsidRPr="005C3A2A" w:rsidRDefault="005C3A2A" w:rsidP="005C3A2A">
      <w:pPr>
        <w:pStyle w:val="NoSpacing"/>
        <w:rPr>
          <w:rFonts w:ascii="Times New Roman" w:hAnsi="Times New Roman"/>
          <w:sz w:val="24"/>
          <w:szCs w:val="24"/>
        </w:rPr>
      </w:pPr>
      <w:r w:rsidRPr="005C3A2A">
        <w:rPr>
          <w:rFonts w:ascii="Times New Roman" w:hAnsi="Times New Roman"/>
          <w:sz w:val="24"/>
          <w:szCs w:val="24"/>
        </w:rPr>
        <w:t xml:space="preserve">On August 26, 2024, in </w:t>
      </w:r>
      <w:r w:rsidRPr="005C3A2A">
        <w:rPr>
          <w:rFonts w:ascii="Times New Roman" w:hAnsi="Times New Roman"/>
          <w:sz w:val="24"/>
          <w:szCs w:val="24"/>
          <w:u w:val="single"/>
        </w:rPr>
        <w:t xml:space="preserve">Kayla Jean Ayers v. Ohio Department of Rehabilitation </w:t>
      </w:r>
      <w:proofErr w:type="gramStart"/>
      <w:r w:rsidRPr="005C3A2A">
        <w:rPr>
          <w:rFonts w:ascii="Times New Roman" w:hAnsi="Times New Roman"/>
          <w:sz w:val="24"/>
          <w:szCs w:val="24"/>
          <w:u w:val="single"/>
        </w:rPr>
        <w:t>And</w:t>
      </w:r>
      <w:proofErr w:type="gramEnd"/>
      <w:r w:rsidRPr="005C3A2A">
        <w:rPr>
          <w:rFonts w:ascii="Times New Roman" w:hAnsi="Times New Roman"/>
          <w:sz w:val="24"/>
          <w:szCs w:val="24"/>
          <w:u w:val="single"/>
        </w:rPr>
        <w:t xml:space="preserve"> Corrections</w:t>
      </w:r>
      <w:r w:rsidRPr="005C3A2A">
        <w:rPr>
          <w:rFonts w:ascii="Times New Roman" w:hAnsi="Times New Roman"/>
          <w:sz w:val="24"/>
          <w:szCs w:val="24"/>
        </w:rPr>
        <w:t xml:space="preserve">, the U.S. Court of Appeals for the Sixth Circuit (Cincinnati), held (3 to 0) that the former prisoner is entitled habeas corpus relief, so she no longer has to register annually as an arson offender; can possess a firearm.  Her court-appointed trial attorney was ineffective in not retaining an expert witness concerning the mattress fire in basement on Oct. 3, </w:t>
      </w:r>
      <w:proofErr w:type="gramStart"/>
      <w:r w:rsidRPr="005C3A2A">
        <w:rPr>
          <w:rFonts w:ascii="Times New Roman" w:hAnsi="Times New Roman"/>
          <w:sz w:val="24"/>
          <w:szCs w:val="24"/>
        </w:rPr>
        <w:t>2012</w:t>
      </w:r>
      <w:proofErr w:type="gramEnd"/>
      <w:r w:rsidRPr="005C3A2A">
        <w:rPr>
          <w:rFonts w:ascii="Times New Roman" w:hAnsi="Times New Roman"/>
          <w:sz w:val="24"/>
          <w:szCs w:val="24"/>
        </w:rPr>
        <w:t xml:space="preserve"> which Massillon FD extinguished.  While Ayers was still in prison, the Ohio Innocence Project reviewed the case and consulted with “renowned fire-inspection expert John Lentini (Lentini is one of the principal authors of NFPA 921).” He concluded in his July 29, </w:t>
      </w:r>
      <w:proofErr w:type="gramStart"/>
      <w:r w:rsidRPr="005C3A2A">
        <w:rPr>
          <w:rFonts w:ascii="Times New Roman" w:hAnsi="Times New Roman"/>
          <w:sz w:val="24"/>
          <w:szCs w:val="24"/>
        </w:rPr>
        <w:t>2019</w:t>
      </w:r>
      <w:proofErr w:type="gramEnd"/>
      <w:r w:rsidRPr="005C3A2A">
        <w:rPr>
          <w:rFonts w:ascii="Times New Roman" w:hAnsi="Times New Roman"/>
          <w:sz w:val="24"/>
          <w:szCs w:val="24"/>
        </w:rPr>
        <w:t xml:space="preserve"> report that there were not two separate fires on the mattress.  The Court wrote: “Lentini is one of the principal authors of NFPA 921, the manual that [Fire Inspector Reginald] Winters relied on in formulating his opinions. In his report, Lentini opined that ‘[t]here [was] no evidence that [two fires] were ‘simultaneously burning’ and that ‘[t]he damage [was] indistinguishable from damage caused by normal fire spread from a single point of origin,’ undermining the State’s theory that the fire had been started intentionally Lentini also questioned Winters’s qualifications to testify about the fire’s cause, stating that Winters’s methods were ‘unreliable, unscientific, and at odds with generally accepted fire investigation methodology.’ *** The district court clearly erred in finding that Lentini’s report did not establish the factual predicate for Ayers’s ineffective-assistance claim.” </w:t>
      </w:r>
      <w:hyperlink r:id="rId133" w:history="1">
        <w:r w:rsidRPr="005C3A2A">
          <w:rPr>
            <w:rStyle w:val="Hyperlink"/>
            <w:rFonts w:ascii="Times New Roman" w:hAnsi="Times New Roman"/>
            <w:sz w:val="24"/>
            <w:szCs w:val="24"/>
          </w:rPr>
          <w:t>https://www.opn.ca6.uscourts.gov/opinions.pdf/24a0196p-06.pdf</w:t>
        </w:r>
      </w:hyperlink>
      <w:r w:rsidRPr="005C3A2A">
        <w:rPr>
          <w:rFonts w:ascii="Times New Roman" w:hAnsi="Times New Roman"/>
          <w:sz w:val="24"/>
          <w:szCs w:val="24"/>
        </w:rPr>
        <w:t xml:space="preserve"> </w:t>
      </w:r>
    </w:p>
    <w:p w14:paraId="68BCB087" w14:textId="77777777" w:rsidR="005C3A2A" w:rsidRPr="005C3A2A" w:rsidRDefault="005C3A2A" w:rsidP="005C3A2A">
      <w:pPr>
        <w:pStyle w:val="NoSpacing"/>
        <w:rPr>
          <w:rFonts w:ascii="Times New Roman" w:hAnsi="Times New Roman"/>
          <w:sz w:val="24"/>
          <w:szCs w:val="24"/>
        </w:rPr>
      </w:pPr>
    </w:p>
    <w:p w14:paraId="29CD1AB0" w14:textId="77777777" w:rsidR="005C3A2A" w:rsidRPr="005C3A2A" w:rsidRDefault="005C3A2A" w:rsidP="005C3A2A">
      <w:pPr>
        <w:pStyle w:val="NoSpacing"/>
        <w:rPr>
          <w:rFonts w:ascii="Times New Roman" w:hAnsi="Times New Roman"/>
          <w:sz w:val="24"/>
          <w:szCs w:val="24"/>
        </w:rPr>
      </w:pPr>
      <w:r w:rsidRPr="005C3A2A">
        <w:rPr>
          <w:rFonts w:ascii="Times New Roman" w:hAnsi="Times New Roman"/>
          <w:sz w:val="24"/>
          <w:szCs w:val="24"/>
        </w:rPr>
        <w:t>THE COURT HELD:</w:t>
      </w:r>
    </w:p>
    <w:p w14:paraId="3C859E24" w14:textId="77777777" w:rsidR="005C3A2A" w:rsidRPr="005C3A2A" w:rsidRDefault="005C3A2A" w:rsidP="005C3A2A">
      <w:pPr>
        <w:pStyle w:val="NoSpacing"/>
        <w:rPr>
          <w:rFonts w:ascii="Times New Roman" w:hAnsi="Times New Roman"/>
          <w:sz w:val="24"/>
          <w:szCs w:val="24"/>
        </w:rPr>
      </w:pPr>
    </w:p>
    <w:p w14:paraId="6D109A80"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“Although Ayers was released from prison in 2019 and completed post-release control in 2022, she continues to suffer collateral consequences for her felony arson conviction. See, e.g., Ohio Rev. Code Ann. § 2909.15(D)(2) (requiring arson offenders to register annually with the state ‘until the offender’s death’); 18 U.S.C. § 922(g)(1) (prohibiting convicted felons from possessing firearms).</w:t>
      </w:r>
    </w:p>
    <w:p w14:paraId="31040F05" w14:textId="77777777" w:rsidR="005C3A2A" w:rsidRPr="005C3A2A" w:rsidRDefault="005C3A2A" w:rsidP="005C3A2A">
      <w:pPr>
        <w:pStyle w:val="NoSpacing"/>
        <w:ind w:left="720"/>
        <w:rPr>
          <w:rFonts w:ascii="Times New Roman" w:hAnsi="Times New Roman"/>
          <w:sz w:val="24"/>
          <w:szCs w:val="24"/>
        </w:rPr>
      </w:pPr>
    </w:p>
    <w:p w14:paraId="03C109AA"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w:t>
      </w:r>
    </w:p>
    <w:p w14:paraId="1F9C5FE1" w14:textId="77777777" w:rsidR="005C3A2A" w:rsidRPr="005C3A2A" w:rsidRDefault="005C3A2A" w:rsidP="005C3A2A">
      <w:pPr>
        <w:pStyle w:val="NoSpacing"/>
        <w:rPr>
          <w:rFonts w:ascii="Times New Roman" w:hAnsi="Times New Roman"/>
          <w:sz w:val="24"/>
          <w:szCs w:val="24"/>
        </w:rPr>
      </w:pPr>
    </w:p>
    <w:p w14:paraId="4D16F927"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And Lentini’s report posits that Winters was not qualified to testify about the fire’s cause and that his conclusion that the fire had two ignition points was not based on sound scientific methodology. Indeed, such evidence could have resulted in Ayers’s acquittal.”</w:t>
      </w:r>
    </w:p>
    <w:p w14:paraId="0F8C34C3" w14:textId="77777777" w:rsidR="005C3A2A" w:rsidRPr="005C3A2A" w:rsidRDefault="005C3A2A" w:rsidP="005C3A2A">
      <w:pPr>
        <w:pStyle w:val="NoSpacing"/>
        <w:ind w:left="720"/>
        <w:rPr>
          <w:rFonts w:ascii="Times New Roman" w:hAnsi="Times New Roman"/>
          <w:sz w:val="24"/>
          <w:szCs w:val="24"/>
        </w:rPr>
      </w:pPr>
    </w:p>
    <w:p w14:paraId="10D0CFDF" w14:textId="77777777" w:rsidR="005C3A2A" w:rsidRPr="005C3A2A" w:rsidRDefault="005C3A2A" w:rsidP="005C3A2A">
      <w:pPr>
        <w:pStyle w:val="NoSpacing"/>
        <w:rPr>
          <w:rFonts w:ascii="Times New Roman" w:hAnsi="Times New Roman"/>
          <w:b/>
          <w:bCs/>
          <w:sz w:val="24"/>
          <w:szCs w:val="24"/>
        </w:rPr>
      </w:pPr>
      <w:r w:rsidRPr="005C3A2A">
        <w:rPr>
          <w:rFonts w:ascii="Times New Roman" w:hAnsi="Times New Roman"/>
          <w:b/>
          <w:bCs/>
          <w:sz w:val="24"/>
          <w:szCs w:val="24"/>
        </w:rPr>
        <w:t xml:space="preserve">Legal Lesson Learned: Arson investigators must be qualified and base their testimony on scientific evidence. </w:t>
      </w:r>
    </w:p>
    <w:p w14:paraId="35C345E0" w14:textId="77777777" w:rsidR="005C3A2A" w:rsidRPr="005C3A2A" w:rsidRDefault="005C3A2A" w:rsidP="005C3A2A">
      <w:pPr>
        <w:pStyle w:val="NoSpacing"/>
        <w:rPr>
          <w:rFonts w:ascii="Times New Roman" w:hAnsi="Times New Roman"/>
          <w:sz w:val="24"/>
          <w:szCs w:val="24"/>
        </w:rPr>
      </w:pPr>
    </w:p>
    <w:p w14:paraId="36B88CEB" w14:textId="77777777" w:rsidR="000338D1" w:rsidRPr="00557963" w:rsidRDefault="000338D1" w:rsidP="000338D1">
      <w:pPr>
        <w:pStyle w:val="NoSpacing"/>
        <w:ind w:left="720"/>
        <w:rPr>
          <w:rFonts w:ascii="Times New Roman" w:hAnsi="Times New Roman"/>
          <w:sz w:val="24"/>
          <w:szCs w:val="24"/>
        </w:rPr>
      </w:pPr>
      <w:r w:rsidRPr="00557963">
        <w:rPr>
          <w:rFonts w:ascii="Times New Roman" w:hAnsi="Times New Roman"/>
          <w:sz w:val="24"/>
          <w:szCs w:val="24"/>
        </w:rPr>
        <w:t>Note: See articles on this case.</w:t>
      </w:r>
    </w:p>
    <w:p w14:paraId="6102DBC0" w14:textId="77777777" w:rsidR="000338D1" w:rsidRPr="00557963" w:rsidRDefault="000338D1" w:rsidP="000338D1">
      <w:pPr>
        <w:pStyle w:val="NoSpacing"/>
        <w:ind w:left="720"/>
        <w:rPr>
          <w:rFonts w:ascii="Times New Roman" w:hAnsi="Times New Roman"/>
          <w:sz w:val="24"/>
          <w:szCs w:val="24"/>
        </w:rPr>
      </w:pPr>
    </w:p>
    <w:p w14:paraId="45B5406C" w14:textId="77777777" w:rsidR="000338D1" w:rsidRDefault="000338D1" w:rsidP="000338D1">
      <w:pPr>
        <w:pStyle w:val="NoSpacing"/>
        <w:ind w:left="720"/>
        <w:rPr>
          <w:rFonts w:ascii="Times New Roman" w:hAnsi="Times New Roman"/>
          <w:sz w:val="24"/>
          <w:szCs w:val="24"/>
        </w:rPr>
      </w:pPr>
      <w:r w:rsidRPr="00557963">
        <w:rPr>
          <w:rFonts w:ascii="Times New Roman" w:hAnsi="Times New Roman"/>
          <w:sz w:val="24"/>
          <w:szCs w:val="24"/>
        </w:rPr>
        <w:t xml:space="preserve">Sept. 4, 2024: Biden Judge Writes Unanimous Opinion Letting Indigent Woman Challenge Her Conviction </w:t>
      </w:r>
      <w:proofErr w:type="gramStart"/>
      <w:r w:rsidRPr="00557963">
        <w:rPr>
          <w:rFonts w:ascii="Times New Roman" w:hAnsi="Times New Roman"/>
          <w:sz w:val="24"/>
          <w:szCs w:val="24"/>
        </w:rPr>
        <w:t>As</w:t>
      </w:r>
      <w:proofErr w:type="gramEnd"/>
      <w:r w:rsidRPr="00557963">
        <w:rPr>
          <w:rFonts w:ascii="Times New Roman" w:hAnsi="Times New Roman"/>
          <w:sz w:val="24"/>
          <w:szCs w:val="24"/>
        </w:rPr>
        <w:t xml:space="preserve"> Unfairly Based on Testimony from an Unqualified Expert. </w:t>
      </w:r>
    </w:p>
    <w:p w14:paraId="557549BF" w14:textId="77777777" w:rsidR="000338D1" w:rsidRDefault="000338D1" w:rsidP="000338D1">
      <w:pPr>
        <w:pStyle w:val="NoSpacing"/>
        <w:ind w:left="720"/>
        <w:rPr>
          <w:rFonts w:ascii="Times New Roman" w:hAnsi="Times New Roman"/>
          <w:sz w:val="24"/>
          <w:szCs w:val="24"/>
        </w:rPr>
      </w:pPr>
      <w:r>
        <w:rPr>
          <w:rFonts w:ascii="Times New Roman" w:hAnsi="Times New Roman"/>
          <w:sz w:val="24"/>
          <w:szCs w:val="24"/>
        </w:rPr>
        <w:t>“</w:t>
      </w:r>
      <w:r w:rsidRPr="00AE5532">
        <w:rPr>
          <w:rFonts w:ascii="Times New Roman" w:hAnsi="Times New Roman"/>
          <w:sz w:val="24"/>
          <w:szCs w:val="24"/>
        </w:rPr>
        <w:t>Judge Andre Mathis, who was nominated by President Biden to the Sixth Circuit court of appeals, wrote a unanimous opinion that reversed a lower court and allowed an indigent woman to proceed with her post-conviction claim that her trial counsel was constitutionally ineffective because he failed to claim that the fire inspector who provided critical testimony that led to her arson conviction was unqualified.</w:t>
      </w:r>
      <w:r>
        <w:rPr>
          <w:rFonts w:ascii="Times New Roman" w:hAnsi="Times New Roman"/>
          <w:sz w:val="24"/>
          <w:szCs w:val="24"/>
        </w:rPr>
        <w:t xml:space="preserve">” </w:t>
      </w:r>
    </w:p>
    <w:p w14:paraId="0F9B0E6A" w14:textId="77777777" w:rsidR="000338D1" w:rsidRPr="00557963" w:rsidRDefault="000338D1" w:rsidP="000338D1">
      <w:pPr>
        <w:pStyle w:val="NoSpacing"/>
        <w:ind w:left="720"/>
        <w:rPr>
          <w:rFonts w:ascii="Times New Roman" w:hAnsi="Times New Roman"/>
          <w:sz w:val="24"/>
          <w:szCs w:val="24"/>
        </w:rPr>
      </w:pPr>
      <w:hyperlink r:id="rId134" w:history="1">
        <w:r w:rsidRPr="00C56BB9">
          <w:rPr>
            <w:rStyle w:val="Hyperlink"/>
            <w:rFonts w:ascii="Times New Roman" w:hAnsi="Times New Roman"/>
            <w:sz w:val="24"/>
            <w:szCs w:val="24"/>
          </w:rPr>
          <w:t>https://www.peoplefor.org/biden-judge-writes-unanimous-opinion-letting-indigent-woman-challenge-her-conviction-unfairly-based</w:t>
        </w:r>
      </w:hyperlink>
      <w:r w:rsidRPr="00557963">
        <w:rPr>
          <w:rFonts w:ascii="Times New Roman" w:hAnsi="Times New Roman"/>
          <w:sz w:val="24"/>
          <w:szCs w:val="24"/>
        </w:rPr>
        <w:t xml:space="preserve"> </w:t>
      </w:r>
    </w:p>
    <w:p w14:paraId="4A84ACCF" w14:textId="77777777" w:rsidR="000338D1" w:rsidRPr="00557963" w:rsidRDefault="000338D1" w:rsidP="000338D1">
      <w:pPr>
        <w:pStyle w:val="NoSpacing"/>
        <w:ind w:left="720"/>
        <w:rPr>
          <w:rFonts w:ascii="Times New Roman" w:hAnsi="Times New Roman"/>
          <w:sz w:val="24"/>
          <w:szCs w:val="24"/>
        </w:rPr>
      </w:pPr>
    </w:p>
    <w:p w14:paraId="5EE652CB" w14:textId="77777777" w:rsidR="000338D1" w:rsidRPr="00557963" w:rsidRDefault="000338D1" w:rsidP="000338D1">
      <w:pPr>
        <w:pStyle w:val="NoSpacing"/>
        <w:ind w:left="720"/>
        <w:rPr>
          <w:rFonts w:ascii="Times New Roman" w:hAnsi="Times New Roman"/>
          <w:sz w:val="24"/>
          <w:szCs w:val="24"/>
        </w:rPr>
      </w:pPr>
    </w:p>
    <w:p w14:paraId="45032E88" w14:textId="77777777" w:rsidR="000338D1" w:rsidRPr="00557963" w:rsidRDefault="000338D1" w:rsidP="000338D1">
      <w:pPr>
        <w:pStyle w:val="NoSpacing"/>
        <w:ind w:left="720"/>
        <w:rPr>
          <w:rFonts w:ascii="Times New Roman" w:hAnsi="Times New Roman"/>
          <w:sz w:val="24"/>
          <w:szCs w:val="24"/>
        </w:rPr>
      </w:pPr>
      <w:r w:rsidRPr="00557963">
        <w:rPr>
          <w:rFonts w:ascii="Times New Roman" w:hAnsi="Times New Roman"/>
          <w:sz w:val="24"/>
          <w:szCs w:val="24"/>
        </w:rPr>
        <w:t xml:space="preserve">Jan. 29, 2013: Massillon woman gets 7 years for setting fire to her house. </w:t>
      </w:r>
      <w:hyperlink r:id="rId135" w:history="1">
        <w:r w:rsidRPr="00557963">
          <w:rPr>
            <w:rStyle w:val="Hyperlink"/>
            <w:rFonts w:ascii="Times New Roman" w:hAnsi="Times New Roman"/>
            <w:sz w:val="24"/>
            <w:szCs w:val="24"/>
          </w:rPr>
          <w:t>https://www.indeonline.com/story/news/2013/01/30/massillon-woman-gets-7-years/65001393007/</w:t>
        </w:r>
      </w:hyperlink>
      <w:r w:rsidRPr="00557963">
        <w:rPr>
          <w:rFonts w:ascii="Times New Roman" w:hAnsi="Times New Roman"/>
          <w:sz w:val="24"/>
          <w:szCs w:val="24"/>
        </w:rPr>
        <w:t xml:space="preserve"> </w:t>
      </w:r>
    </w:p>
    <w:p w14:paraId="261CE9C1" w14:textId="77777777" w:rsidR="000338D1" w:rsidRDefault="000338D1" w:rsidP="000338D1">
      <w:pPr>
        <w:pStyle w:val="NoSpacing"/>
        <w:rPr>
          <w:rFonts w:ascii="Arial Black" w:hAnsi="Arial Black"/>
          <w:sz w:val="28"/>
        </w:rPr>
      </w:pPr>
    </w:p>
    <w:p w14:paraId="1B5BE310" w14:textId="77777777" w:rsidR="005C3A2A" w:rsidRPr="005C3A2A" w:rsidRDefault="005C3A2A" w:rsidP="00B86628">
      <w:pPr>
        <w:pStyle w:val="NoSpacing"/>
        <w:rPr>
          <w:rFonts w:ascii="Times New Roman" w:hAnsi="Times New Roman"/>
          <w:sz w:val="24"/>
          <w:szCs w:val="24"/>
        </w:rPr>
      </w:pPr>
    </w:p>
    <w:p w14:paraId="5EDE8730" w14:textId="77777777" w:rsidR="00C443C1" w:rsidRPr="005C3A2A" w:rsidRDefault="00C443C1" w:rsidP="00B86628">
      <w:pPr>
        <w:pStyle w:val="NoSpacing"/>
        <w:rPr>
          <w:rFonts w:ascii="Times New Roman" w:hAnsi="Times New Roman"/>
          <w:sz w:val="24"/>
          <w:szCs w:val="24"/>
        </w:rPr>
      </w:pPr>
    </w:p>
    <w:p w14:paraId="6F411B77" w14:textId="77777777" w:rsidR="00C443C1" w:rsidRPr="005C3A2A" w:rsidRDefault="00C443C1" w:rsidP="00B86628">
      <w:pPr>
        <w:pStyle w:val="NoSpacing"/>
        <w:rPr>
          <w:rFonts w:ascii="Times New Roman" w:hAnsi="Times New Roman"/>
          <w:sz w:val="24"/>
          <w:szCs w:val="24"/>
        </w:rPr>
      </w:pPr>
    </w:p>
    <w:p w14:paraId="4F5C7340" w14:textId="19F536B9" w:rsidR="00765ABF" w:rsidRDefault="00765ABF" w:rsidP="00B86628">
      <w:pPr>
        <w:pStyle w:val="NoSpacing"/>
        <w:rPr>
          <w:rFonts w:ascii="Arial Black" w:hAnsi="Arial Black"/>
          <w:sz w:val="24"/>
          <w:szCs w:val="24"/>
        </w:rPr>
      </w:pPr>
      <w:r>
        <w:rPr>
          <w:rFonts w:ascii="Arial Black" w:hAnsi="Arial Black"/>
          <w:sz w:val="24"/>
          <w:szCs w:val="24"/>
        </w:rPr>
        <w:t>1-155</w:t>
      </w:r>
    </w:p>
    <w:p w14:paraId="052843EE" w14:textId="77777777" w:rsidR="00765ABF" w:rsidRDefault="00765ABF" w:rsidP="00B86628">
      <w:pPr>
        <w:pStyle w:val="NoSpacing"/>
        <w:rPr>
          <w:rFonts w:ascii="Arial Black" w:hAnsi="Arial Black"/>
          <w:sz w:val="24"/>
          <w:szCs w:val="24"/>
        </w:rPr>
      </w:pPr>
    </w:p>
    <w:p w14:paraId="0E1589D1" w14:textId="77777777" w:rsidR="00C443C1" w:rsidRPr="00C42244" w:rsidRDefault="00C443C1" w:rsidP="00C443C1">
      <w:pPr>
        <w:pStyle w:val="NoSpacing"/>
        <w:rPr>
          <w:rFonts w:ascii="Arial Black" w:hAnsi="Arial Black"/>
          <w:sz w:val="28"/>
        </w:rPr>
      </w:pPr>
      <w:r>
        <w:rPr>
          <w:rFonts w:ascii="Arial Black" w:hAnsi="Arial Black"/>
          <w:sz w:val="28"/>
        </w:rPr>
        <w:t>KY: TRAILER FIRE – 4-YR OLD KILLED – COLD CASE REVIEW – 3 CONVICTED 20 YRS LATER, COMPLICITY</w:t>
      </w:r>
    </w:p>
    <w:p w14:paraId="6B54C634" w14:textId="77777777" w:rsidR="00C443C1" w:rsidRDefault="00C443C1" w:rsidP="00C443C1">
      <w:pPr>
        <w:pStyle w:val="NoSpacing"/>
        <w:rPr>
          <w:szCs w:val="24"/>
        </w:rPr>
      </w:pPr>
    </w:p>
    <w:p w14:paraId="2E44AA55" w14:textId="77777777" w:rsidR="00C443C1" w:rsidRPr="00C443C1" w:rsidRDefault="00C443C1" w:rsidP="00C443C1">
      <w:pPr>
        <w:pStyle w:val="NoSpacing"/>
        <w:rPr>
          <w:rFonts w:ascii="Times New Roman" w:hAnsi="Times New Roman"/>
          <w:sz w:val="24"/>
          <w:szCs w:val="24"/>
        </w:rPr>
      </w:pPr>
      <w:r w:rsidRPr="00C443C1">
        <w:rPr>
          <w:rFonts w:ascii="Times New Roman" w:hAnsi="Times New Roman"/>
          <w:sz w:val="24"/>
          <w:szCs w:val="24"/>
        </w:rPr>
        <w:t xml:space="preserve">On Aug. 22, 2024, in </w:t>
      </w:r>
      <w:r w:rsidRPr="00C443C1">
        <w:rPr>
          <w:rFonts w:ascii="Times New Roman" w:hAnsi="Times New Roman"/>
          <w:sz w:val="24"/>
          <w:szCs w:val="24"/>
          <w:u w:val="single"/>
        </w:rPr>
        <w:t>Tony Lear v. Commonwealth of Kentucky, and Virginia Whitfield v. Commonwealth of Kentucky</w:t>
      </w:r>
      <w:r w:rsidRPr="00C443C1">
        <w:rPr>
          <w:rFonts w:ascii="Times New Roman" w:hAnsi="Times New Roman"/>
          <w:sz w:val="24"/>
          <w:szCs w:val="24"/>
        </w:rPr>
        <w:t xml:space="preserve">, the Supreme Court of Kentucky held (7 to 0; unpublished opinion) that jury properly convicted two defendants in </w:t>
      </w:r>
      <w:proofErr w:type="gramStart"/>
      <w:r w:rsidRPr="00C443C1">
        <w:rPr>
          <w:rFonts w:ascii="Times New Roman" w:hAnsi="Times New Roman"/>
          <w:sz w:val="24"/>
          <w:szCs w:val="24"/>
        </w:rPr>
        <w:t>January,</w:t>
      </w:r>
      <w:proofErr w:type="gramEnd"/>
      <w:r w:rsidRPr="00C443C1">
        <w:rPr>
          <w:rFonts w:ascii="Times New Roman" w:hAnsi="Times New Roman"/>
          <w:sz w:val="24"/>
          <w:szCs w:val="24"/>
        </w:rPr>
        <w:t xml:space="preserve"> 2023 for the September 2, </w:t>
      </w:r>
      <w:proofErr w:type="gramStart"/>
      <w:r w:rsidRPr="00C443C1">
        <w:rPr>
          <w:rFonts w:ascii="Times New Roman" w:hAnsi="Times New Roman"/>
          <w:sz w:val="24"/>
          <w:szCs w:val="24"/>
        </w:rPr>
        <w:t>1999</w:t>
      </w:r>
      <w:proofErr w:type="gramEnd"/>
      <w:r w:rsidRPr="00C443C1">
        <w:rPr>
          <w:rFonts w:ascii="Times New Roman" w:hAnsi="Times New Roman"/>
          <w:sz w:val="24"/>
          <w:szCs w:val="24"/>
        </w:rPr>
        <w:t xml:space="preserve"> trailer fire that killed </w:t>
      </w:r>
      <w:proofErr w:type="gramStart"/>
      <w:r w:rsidRPr="00C443C1">
        <w:rPr>
          <w:rFonts w:ascii="Times New Roman" w:hAnsi="Times New Roman"/>
          <w:sz w:val="24"/>
          <w:szCs w:val="24"/>
        </w:rPr>
        <w:t>4-year old</w:t>
      </w:r>
      <w:proofErr w:type="gramEnd"/>
      <w:r w:rsidRPr="00C443C1">
        <w:rPr>
          <w:rFonts w:ascii="Times New Roman" w:hAnsi="Times New Roman"/>
          <w:sz w:val="24"/>
          <w:szCs w:val="24"/>
        </w:rPr>
        <w:t xml:space="preserve"> Autumn Raymond. Lear, Whitfield and Bobby F. Napier [who owed back rent on the trailer], were all initially charged with murder, arson and first-degree assault, after a 2012 review of open cases by the Kentucky State Police resulting in new information. Napier pleaded guilty in 2019 to amended charges of second-degree arson, in exchange for a 10-year sentence and testified at the trial, He was already serving time on a variety of convictions, including burglary, theft and being a persistent felony offender.  The State was not required to prove who </w:t>
      </w:r>
      <w:proofErr w:type="gramStart"/>
      <w:r w:rsidRPr="00C443C1">
        <w:rPr>
          <w:rFonts w:ascii="Times New Roman" w:hAnsi="Times New Roman"/>
          <w:sz w:val="24"/>
          <w:szCs w:val="24"/>
        </w:rPr>
        <w:t>actually ignited</w:t>
      </w:r>
      <w:proofErr w:type="gramEnd"/>
      <w:r w:rsidRPr="00C443C1">
        <w:rPr>
          <w:rFonts w:ascii="Times New Roman" w:hAnsi="Times New Roman"/>
          <w:sz w:val="24"/>
          <w:szCs w:val="24"/>
        </w:rPr>
        <w:t xml:space="preserve"> the sheets with petroleum fluid around the dryer, since all three were “accomplices” to the crime.  The Court wrote: “After six days of trial, the jury returned a guilty verdict on complicity to murder, complicity to arson, and two counts of complicity to first-degree assault against the Appellants. Following the jury's recommendation, the trial court sentenced Whitfield and Lear respectively to 20 years. *** Although no evidence can directly point to an individual who started the fire, enough evidence was presented by the Commonwealth to show the Appellants aided, solicited, counseled, commanded, or engaged in a conspiracy with each other to burn down that trailer. The accomplice instructions mirror such evidence. The instructions provide the jury the ability to decide whether the defendant engaged with the other individuals to burn down the trailer.” </w:t>
      </w:r>
      <w:hyperlink r:id="rId136" w:history="1">
        <w:r w:rsidRPr="00C443C1">
          <w:rPr>
            <w:rStyle w:val="Hyperlink"/>
            <w:rFonts w:ascii="Times New Roman" w:hAnsi="Times New Roman"/>
            <w:sz w:val="24"/>
            <w:szCs w:val="24"/>
          </w:rPr>
          <w:t>https://casetext.com/case/lear-v-commonwealth-95</w:t>
        </w:r>
      </w:hyperlink>
      <w:r w:rsidRPr="00C443C1">
        <w:rPr>
          <w:rFonts w:ascii="Times New Roman" w:hAnsi="Times New Roman"/>
          <w:sz w:val="24"/>
          <w:szCs w:val="24"/>
        </w:rPr>
        <w:t xml:space="preserve"> </w:t>
      </w:r>
    </w:p>
    <w:p w14:paraId="1B475905" w14:textId="77777777" w:rsidR="00C443C1" w:rsidRPr="00C443C1" w:rsidRDefault="00C443C1" w:rsidP="00C443C1">
      <w:pPr>
        <w:pStyle w:val="NoSpacing"/>
        <w:rPr>
          <w:rFonts w:ascii="Times New Roman" w:hAnsi="Times New Roman"/>
          <w:sz w:val="24"/>
          <w:szCs w:val="24"/>
        </w:rPr>
      </w:pPr>
    </w:p>
    <w:p w14:paraId="1B2EDC00" w14:textId="77777777" w:rsidR="00C443C1" w:rsidRPr="00C443C1" w:rsidRDefault="00C443C1" w:rsidP="00C443C1">
      <w:pPr>
        <w:pStyle w:val="NoSpacing"/>
        <w:rPr>
          <w:rFonts w:ascii="Times New Roman" w:hAnsi="Times New Roman"/>
          <w:sz w:val="24"/>
          <w:szCs w:val="24"/>
        </w:rPr>
      </w:pPr>
      <w:r w:rsidRPr="00C443C1">
        <w:rPr>
          <w:rFonts w:ascii="Times New Roman" w:hAnsi="Times New Roman"/>
          <w:sz w:val="24"/>
          <w:szCs w:val="24"/>
        </w:rPr>
        <w:t>THE COURT HELD:</w:t>
      </w:r>
    </w:p>
    <w:p w14:paraId="6FBAB4E7" w14:textId="77777777" w:rsidR="00C443C1" w:rsidRPr="00C443C1" w:rsidRDefault="00C443C1" w:rsidP="00C443C1">
      <w:pPr>
        <w:pStyle w:val="NoSpacing"/>
        <w:rPr>
          <w:rFonts w:ascii="Times New Roman" w:hAnsi="Times New Roman"/>
          <w:sz w:val="24"/>
          <w:szCs w:val="24"/>
        </w:rPr>
      </w:pPr>
    </w:p>
    <w:p w14:paraId="68BAF801"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“Here, the Commonwealth’s theory throughout trial was that Walton, Lear, and Whitfield all played a part in burning down the trailer. Testimony from several witnesses placed Whitfield and Lear in the room when Walton discussed burning down the trailer for insurance money. Whitfield moved boxes of clothing out of the trailer a few days before the fire with the help of Lear. Neighbors placed Lear at the trailer on the day of the fire, inspecting the dryer vent with Walton. Expert testimony supported the theory of an intentionally caused fire from items stuffed in and around the dryer.”</w:t>
      </w:r>
    </w:p>
    <w:p w14:paraId="67C92264" w14:textId="77777777" w:rsidR="00C443C1" w:rsidRPr="00C443C1" w:rsidRDefault="00C443C1" w:rsidP="00C443C1">
      <w:pPr>
        <w:pStyle w:val="NoSpacing"/>
        <w:ind w:left="720"/>
        <w:rPr>
          <w:rFonts w:ascii="Times New Roman" w:hAnsi="Times New Roman"/>
          <w:sz w:val="24"/>
          <w:szCs w:val="24"/>
        </w:rPr>
      </w:pPr>
    </w:p>
    <w:p w14:paraId="3A3B1337" w14:textId="77777777" w:rsidR="00C443C1" w:rsidRPr="00C443C1" w:rsidRDefault="00C443C1" w:rsidP="00C443C1">
      <w:pPr>
        <w:pStyle w:val="NoSpacing"/>
        <w:rPr>
          <w:rFonts w:ascii="Times New Roman" w:hAnsi="Times New Roman"/>
          <w:b/>
          <w:bCs/>
          <w:sz w:val="24"/>
          <w:szCs w:val="24"/>
        </w:rPr>
      </w:pPr>
      <w:r w:rsidRPr="00C443C1">
        <w:rPr>
          <w:rFonts w:ascii="Times New Roman" w:hAnsi="Times New Roman"/>
          <w:b/>
          <w:bCs/>
          <w:sz w:val="24"/>
          <w:szCs w:val="24"/>
        </w:rPr>
        <w:t xml:space="preserve">Legal Lesson Learned: When three conspire to commit arson, all three can be charged with murder from the fire. </w:t>
      </w:r>
    </w:p>
    <w:p w14:paraId="075CF1A3" w14:textId="77777777" w:rsidR="00C443C1" w:rsidRPr="00C443C1" w:rsidRDefault="00C443C1" w:rsidP="00C443C1">
      <w:pPr>
        <w:pStyle w:val="NoSpacing"/>
        <w:rPr>
          <w:rFonts w:ascii="Times New Roman" w:hAnsi="Times New Roman"/>
          <w:sz w:val="24"/>
          <w:szCs w:val="24"/>
        </w:rPr>
      </w:pPr>
    </w:p>
    <w:p w14:paraId="13AEA6BA"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 xml:space="preserve">Note:  See Jan. 4, </w:t>
      </w:r>
      <w:proofErr w:type="gramStart"/>
      <w:r w:rsidRPr="00C443C1">
        <w:rPr>
          <w:rFonts w:ascii="Times New Roman" w:hAnsi="Times New Roman"/>
          <w:sz w:val="24"/>
          <w:szCs w:val="24"/>
        </w:rPr>
        <w:t>2023</w:t>
      </w:r>
      <w:proofErr w:type="gramEnd"/>
      <w:r w:rsidRPr="00C443C1">
        <w:rPr>
          <w:rFonts w:ascii="Times New Roman" w:hAnsi="Times New Roman"/>
          <w:sz w:val="24"/>
          <w:szCs w:val="24"/>
        </w:rPr>
        <w:t xml:space="preserve"> article, “Ohio County cold case ends with convictions.” </w:t>
      </w:r>
      <w:hyperlink r:id="rId137" w:history="1">
        <w:r w:rsidRPr="00C443C1">
          <w:rPr>
            <w:rStyle w:val="Hyperlink"/>
            <w:rFonts w:ascii="Times New Roman" w:hAnsi="Times New Roman"/>
            <w:sz w:val="24"/>
            <w:szCs w:val="24"/>
          </w:rPr>
          <w:t>https://www.yahoo.com/news/ohio-county-cold-case-ends-102300006.html</w:t>
        </w:r>
      </w:hyperlink>
      <w:r w:rsidRPr="00C443C1">
        <w:rPr>
          <w:rFonts w:ascii="Times New Roman" w:hAnsi="Times New Roman"/>
          <w:sz w:val="24"/>
          <w:szCs w:val="24"/>
        </w:rPr>
        <w:t xml:space="preserve"> </w:t>
      </w:r>
    </w:p>
    <w:p w14:paraId="2E3EDD00" w14:textId="77777777" w:rsidR="00C443C1" w:rsidRPr="00C443C1" w:rsidRDefault="00C443C1" w:rsidP="00C443C1">
      <w:pPr>
        <w:pStyle w:val="NoSpacing"/>
        <w:ind w:left="720"/>
        <w:rPr>
          <w:rFonts w:ascii="Times New Roman" w:hAnsi="Times New Roman"/>
          <w:sz w:val="24"/>
          <w:szCs w:val="24"/>
        </w:rPr>
      </w:pPr>
    </w:p>
    <w:p w14:paraId="3CB12204"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 xml:space="preserve">Here is the “active inmate” photo of Tony Lear. </w:t>
      </w:r>
      <w:hyperlink r:id="rId138" w:history="1">
        <w:r w:rsidRPr="00C443C1">
          <w:rPr>
            <w:rStyle w:val="Hyperlink"/>
            <w:rFonts w:ascii="Times New Roman" w:hAnsi="Times New Roman"/>
            <w:sz w:val="24"/>
            <w:szCs w:val="24"/>
          </w:rPr>
          <w:t>http://kool.corrections.ky.gov/KOOL/Details/54918</w:t>
        </w:r>
      </w:hyperlink>
    </w:p>
    <w:p w14:paraId="7272C532"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Photo of Virginia Whitfield:</w:t>
      </w:r>
    </w:p>
    <w:p w14:paraId="380415E3" w14:textId="77777777" w:rsidR="00C443C1" w:rsidRPr="00C443C1" w:rsidRDefault="00C443C1" w:rsidP="00C443C1">
      <w:pPr>
        <w:pStyle w:val="NoSpacing"/>
        <w:ind w:left="720"/>
        <w:rPr>
          <w:rFonts w:ascii="Times New Roman" w:hAnsi="Times New Roman"/>
          <w:sz w:val="24"/>
          <w:szCs w:val="24"/>
        </w:rPr>
      </w:pPr>
      <w:hyperlink r:id="rId139" w:history="1">
        <w:r w:rsidRPr="00C443C1">
          <w:rPr>
            <w:rStyle w:val="Hyperlink"/>
            <w:rFonts w:ascii="Times New Roman" w:hAnsi="Times New Roman"/>
            <w:sz w:val="24"/>
            <w:szCs w:val="24"/>
          </w:rPr>
          <w:t>http://kool.corrections.ky.gov/KOOL/Details/61717</w:t>
        </w:r>
      </w:hyperlink>
      <w:r w:rsidRPr="00C443C1">
        <w:rPr>
          <w:rFonts w:ascii="Times New Roman" w:hAnsi="Times New Roman"/>
          <w:sz w:val="24"/>
          <w:szCs w:val="24"/>
        </w:rPr>
        <w:t xml:space="preserve"> </w:t>
      </w:r>
    </w:p>
    <w:p w14:paraId="6E283B66" w14:textId="77777777" w:rsidR="00765ABF" w:rsidRPr="00C443C1" w:rsidRDefault="00765ABF" w:rsidP="00B86628">
      <w:pPr>
        <w:pStyle w:val="NoSpacing"/>
        <w:rPr>
          <w:rFonts w:ascii="Times New Roman" w:hAnsi="Times New Roman"/>
          <w:sz w:val="24"/>
          <w:szCs w:val="24"/>
        </w:rPr>
      </w:pPr>
    </w:p>
    <w:p w14:paraId="27DEB4F9" w14:textId="77777777" w:rsidR="00765ABF" w:rsidRDefault="00765ABF" w:rsidP="00B86628">
      <w:pPr>
        <w:pStyle w:val="NoSpacing"/>
        <w:rPr>
          <w:rFonts w:ascii="Arial Black" w:hAnsi="Arial Black"/>
          <w:sz w:val="24"/>
          <w:szCs w:val="24"/>
        </w:rPr>
      </w:pPr>
    </w:p>
    <w:p w14:paraId="5A25836B" w14:textId="28BE4EB8" w:rsidR="004B4DF6" w:rsidRDefault="004B4DF6" w:rsidP="00B86628">
      <w:pPr>
        <w:pStyle w:val="NoSpacing"/>
        <w:rPr>
          <w:rFonts w:ascii="Arial Black" w:hAnsi="Arial Black"/>
          <w:sz w:val="24"/>
          <w:szCs w:val="24"/>
        </w:rPr>
      </w:pPr>
      <w:r>
        <w:rPr>
          <w:rFonts w:ascii="Arial Black" w:hAnsi="Arial Black"/>
          <w:sz w:val="24"/>
          <w:szCs w:val="24"/>
        </w:rPr>
        <w:t>1-154</w:t>
      </w:r>
    </w:p>
    <w:p w14:paraId="522E4032" w14:textId="77777777" w:rsidR="004B4DF6" w:rsidRDefault="004B4DF6" w:rsidP="00B86628">
      <w:pPr>
        <w:pStyle w:val="NoSpacing"/>
        <w:rPr>
          <w:rFonts w:ascii="Arial Black" w:hAnsi="Arial Black"/>
          <w:sz w:val="24"/>
          <w:szCs w:val="24"/>
        </w:rPr>
      </w:pPr>
    </w:p>
    <w:p w14:paraId="42D8535E" w14:textId="77777777" w:rsidR="00765ABF" w:rsidRPr="00B544ED" w:rsidRDefault="00765ABF" w:rsidP="00765ABF">
      <w:pPr>
        <w:rPr>
          <w:rFonts w:ascii="Arial Black" w:hAnsi="Arial Black"/>
          <w:b/>
          <w:bCs/>
          <w:sz w:val="28"/>
        </w:rPr>
      </w:pPr>
      <w:r>
        <w:rPr>
          <w:rFonts w:ascii="Arial Black" w:hAnsi="Arial Black"/>
          <w:b/>
          <w:bCs/>
          <w:sz w:val="28"/>
        </w:rPr>
        <w:t xml:space="preserve">TX: MAN EVICTED – STARTED FIRE – SAW OWNER, TOLD INVESTIGATOR WILL “TRY AGAIN” – ADMISSIBLE </w:t>
      </w:r>
    </w:p>
    <w:p w14:paraId="000307B5"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sz w:val="24"/>
          <w:szCs w:val="24"/>
        </w:rPr>
        <w:t xml:space="preserve">On Aug. 22. 2024, in </w:t>
      </w:r>
      <w:proofErr w:type="spellStart"/>
      <w:r w:rsidRPr="00765ABF">
        <w:rPr>
          <w:rFonts w:ascii="Times New Roman" w:hAnsi="Times New Roman"/>
          <w:sz w:val="24"/>
          <w:szCs w:val="24"/>
          <w:u w:val="single"/>
        </w:rPr>
        <w:t>Hueathen</w:t>
      </w:r>
      <w:proofErr w:type="spellEnd"/>
      <w:r w:rsidRPr="00765ABF">
        <w:rPr>
          <w:rFonts w:ascii="Times New Roman" w:hAnsi="Times New Roman"/>
          <w:sz w:val="24"/>
          <w:szCs w:val="24"/>
          <w:u w:val="single"/>
        </w:rPr>
        <w:t xml:space="preserve"> Kirk Gardner v. The State of Texas</w:t>
      </w:r>
      <w:r w:rsidRPr="00765ABF">
        <w:rPr>
          <w:rFonts w:ascii="Times New Roman" w:hAnsi="Times New Roman"/>
          <w:sz w:val="24"/>
          <w:szCs w:val="24"/>
        </w:rPr>
        <w:t xml:space="preserve">, the Court of Appeals of Texas, Fourteenth District, held (3 to 0; unpublished decision) that the trial court properly denied the defendant’s motion to suppress his comments; the jury convicted him of the first-degree felony offense of arson of a habitation.  He was interviewed at the scene for about 15 minutes by Houston Fire Department Senior Arson Investigator Robert Haynes without a </w:t>
      </w:r>
      <w:r w:rsidRPr="00765ABF">
        <w:rPr>
          <w:rFonts w:ascii="Times New Roman" w:hAnsi="Times New Roman"/>
          <w:i/>
          <w:iCs/>
          <w:sz w:val="24"/>
          <w:szCs w:val="24"/>
        </w:rPr>
        <w:t xml:space="preserve">Miranda </w:t>
      </w:r>
      <w:r w:rsidRPr="00765ABF">
        <w:rPr>
          <w:rFonts w:ascii="Times New Roman" w:hAnsi="Times New Roman"/>
          <w:sz w:val="24"/>
          <w:szCs w:val="24"/>
        </w:rPr>
        <w:t xml:space="preserve">warning.  When he was told he was going to be arrested, and he saw the homeowner, he made the comments.  The Court wrote: “Haynes testified that ‘shortly’ after informing appellant that he was going to be charged with arson, appellant saw [homeowner] Hoang and made the statement about "trying again" when he gets out of jail. As the trial court noted, appellant's statement ‘was in response to the complainant coming to the scene, not questions asked at the scene. </w:t>
      </w:r>
      <w:r w:rsidRPr="00765ABF">
        <w:rPr>
          <w:rFonts w:ascii="Times New Roman" w:hAnsi="Times New Roman"/>
          <w:i/>
          <w:iCs/>
          <w:sz w:val="24"/>
          <w:szCs w:val="24"/>
        </w:rPr>
        <w:t>It was happening at the-near the time.</w:t>
      </w:r>
      <w:r w:rsidRPr="00765ABF">
        <w:rPr>
          <w:rFonts w:ascii="Times New Roman" w:hAnsi="Times New Roman"/>
          <w:sz w:val="24"/>
          <w:szCs w:val="24"/>
        </w:rPr>
        <w:t xml:space="preserve"> . . . [H]e just blurted it out when he saw the complainant coming.’ *** This response was not the result of a custodial investigation or in response to any questioning by Haynes. We therefore conclude that </w:t>
      </w:r>
      <w:r w:rsidRPr="00765ABF">
        <w:rPr>
          <w:rFonts w:ascii="Times New Roman" w:hAnsi="Times New Roman"/>
          <w:i/>
          <w:iCs/>
          <w:sz w:val="24"/>
          <w:szCs w:val="24"/>
        </w:rPr>
        <w:t>Miranda</w:t>
      </w:r>
      <w:r w:rsidRPr="00765ABF">
        <w:rPr>
          <w:rFonts w:ascii="Times New Roman" w:hAnsi="Times New Roman"/>
          <w:sz w:val="24"/>
          <w:szCs w:val="24"/>
        </w:rPr>
        <w:t xml:space="preserve"> does not require its exclusion. *** [T]here must be an "exciting" or "stimulating" event. The express statutory terms consider the stimulating event to include the offense itself or the arrest. </w:t>
      </w:r>
      <w:r w:rsidRPr="00765ABF">
        <w:rPr>
          <w:rFonts w:ascii="Times New Roman" w:hAnsi="Times New Roman"/>
          <w:i/>
          <w:iCs/>
          <w:sz w:val="24"/>
          <w:szCs w:val="24"/>
        </w:rPr>
        <w:t>See</w:t>
      </w:r>
      <w:r w:rsidRPr="00765ABF">
        <w:rPr>
          <w:rFonts w:ascii="Times New Roman" w:hAnsi="Times New Roman"/>
          <w:sz w:val="24"/>
          <w:szCs w:val="24"/>
        </w:rPr>
        <w:t xml:space="preserve"> Tex. Code Crim. Proc. Ann. art. 38.22, § 5. Here, the stimulating events consisted of appellant committing arson and then being informed that he was being arrested and charged with arson. We conclude that the first element is met.” </w:t>
      </w:r>
      <w:hyperlink r:id="rId140" w:history="1">
        <w:r w:rsidRPr="00765ABF">
          <w:rPr>
            <w:rStyle w:val="Hyperlink"/>
            <w:rFonts w:ascii="Times New Roman" w:hAnsi="Times New Roman"/>
            <w:sz w:val="24"/>
            <w:szCs w:val="24"/>
          </w:rPr>
          <w:t>https://cases.justia.com/texas/fourteenth-court-of-appeals/2024-14-23-00355-cr.pdf?ts=1724329963</w:t>
        </w:r>
      </w:hyperlink>
      <w:r w:rsidRPr="00765ABF">
        <w:rPr>
          <w:rFonts w:ascii="Times New Roman" w:hAnsi="Times New Roman"/>
          <w:sz w:val="24"/>
          <w:szCs w:val="24"/>
        </w:rPr>
        <w:t xml:space="preserve"> </w:t>
      </w:r>
    </w:p>
    <w:p w14:paraId="0F4B53F8" w14:textId="77777777" w:rsidR="00765ABF" w:rsidRPr="00765ABF" w:rsidRDefault="00765ABF" w:rsidP="00765ABF">
      <w:pPr>
        <w:pStyle w:val="NoSpacing"/>
        <w:rPr>
          <w:rFonts w:ascii="Times New Roman" w:hAnsi="Times New Roman"/>
          <w:sz w:val="24"/>
          <w:szCs w:val="24"/>
        </w:rPr>
      </w:pPr>
    </w:p>
    <w:p w14:paraId="57E100D3"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sz w:val="24"/>
          <w:szCs w:val="24"/>
        </w:rPr>
        <w:t xml:space="preserve">THE COURT HELD: </w:t>
      </w:r>
    </w:p>
    <w:p w14:paraId="6DE97B00" w14:textId="77777777" w:rsidR="00765ABF" w:rsidRPr="00765ABF" w:rsidRDefault="00765ABF" w:rsidP="00765ABF">
      <w:pPr>
        <w:pStyle w:val="NoSpacing"/>
        <w:rPr>
          <w:rFonts w:ascii="Times New Roman" w:hAnsi="Times New Roman"/>
          <w:i/>
          <w:iCs/>
          <w:sz w:val="24"/>
          <w:szCs w:val="24"/>
        </w:rPr>
      </w:pPr>
    </w:p>
    <w:p w14:paraId="31209727"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“For the second element, the statement must be made sufficiently close in time to the stimulating event. Haynes testified that ‘shortly’ after informing appellant that he was going to be charged with arson, appellant saw Hoang and made the statement about ‘trying again’ when he </w:t>
      </w:r>
      <w:proofErr w:type="gramStart"/>
      <w:r w:rsidRPr="00765ABF">
        <w:rPr>
          <w:rFonts w:ascii="Times New Roman" w:hAnsi="Times New Roman"/>
          <w:sz w:val="24"/>
          <w:szCs w:val="24"/>
        </w:rPr>
        <w:t>gets</w:t>
      </w:r>
      <w:proofErr w:type="gramEnd"/>
      <w:r w:rsidRPr="00765ABF">
        <w:rPr>
          <w:rFonts w:ascii="Times New Roman" w:hAnsi="Times New Roman"/>
          <w:sz w:val="24"/>
          <w:szCs w:val="24"/>
        </w:rPr>
        <w:t xml:space="preserve"> out of jail. As the trial court noted, appellant's statement ‘was in response to the complainant coming to the scene, not questions asked at the scene. </w:t>
      </w:r>
      <w:r w:rsidRPr="00765ABF">
        <w:rPr>
          <w:rFonts w:ascii="Times New Roman" w:hAnsi="Times New Roman"/>
          <w:i/>
          <w:iCs/>
          <w:sz w:val="24"/>
          <w:szCs w:val="24"/>
        </w:rPr>
        <w:t>It was happening at the-near the time.</w:t>
      </w:r>
      <w:r w:rsidRPr="00765ABF">
        <w:rPr>
          <w:rFonts w:ascii="Times New Roman" w:hAnsi="Times New Roman"/>
          <w:sz w:val="24"/>
          <w:szCs w:val="24"/>
        </w:rPr>
        <w:t xml:space="preserve"> . . . [H]e just blurted it out when he saw the complainant coming.’ (emphasis added). With the statement occurring so shortly after being informed he was going to be arrested for arson, we hold that the second element is satisfied. </w:t>
      </w:r>
    </w:p>
    <w:p w14:paraId="4A53793A" w14:textId="77777777" w:rsidR="00765ABF" w:rsidRPr="00765ABF" w:rsidRDefault="00765ABF" w:rsidP="00765ABF">
      <w:pPr>
        <w:pStyle w:val="NoSpacing"/>
        <w:rPr>
          <w:rFonts w:ascii="Times New Roman" w:hAnsi="Times New Roman"/>
          <w:sz w:val="24"/>
          <w:szCs w:val="24"/>
        </w:rPr>
      </w:pPr>
    </w:p>
    <w:p w14:paraId="7F5E7989"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Concerning the third element, appellant's unsolicited comment clearly related to both </w:t>
      </w:r>
      <w:proofErr w:type="gramStart"/>
      <w:r w:rsidRPr="00765ABF">
        <w:rPr>
          <w:rFonts w:ascii="Times New Roman" w:hAnsi="Times New Roman"/>
          <w:sz w:val="24"/>
          <w:szCs w:val="24"/>
        </w:rPr>
        <w:t>the arson</w:t>
      </w:r>
      <w:proofErr w:type="gramEnd"/>
      <w:r w:rsidRPr="00765ABF">
        <w:rPr>
          <w:rFonts w:ascii="Times New Roman" w:hAnsi="Times New Roman"/>
          <w:sz w:val="24"/>
          <w:szCs w:val="24"/>
        </w:rPr>
        <w:t xml:space="preserve"> and </w:t>
      </w:r>
      <w:proofErr w:type="gramStart"/>
      <w:r w:rsidRPr="00765ABF">
        <w:rPr>
          <w:rFonts w:ascii="Times New Roman" w:hAnsi="Times New Roman"/>
          <w:sz w:val="24"/>
          <w:szCs w:val="24"/>
        </w:rPr>
        <w:t>the arrest</w:t>
      </w:r>
      <w:proofErr w:type="gramEnd"/>
      <w:r w:rsidRPr="00765ABF">
        <w:rPr>
          <w:rFonts w:ascii="Times New Roman" w:hAnsi="Times New Roman"/>
          <w:sz w:val="24"/>
          <w:szCs w:val="24"/>
        </w:rPr>
        <w:t>. Appellant conveyed his intent to burn the house again if Hoang still owned the home after appellant was released from jail. We hold that the third element is satisfied.”</w:t>
      </w:r>
    </w:p>
    <w:p w14:paraId="66698A4F" w14:textId="77777777" w:rsidR="00765ABF" w:rsidRPr="00765ABF" w:rsidRDefault="00765ABF" w:rsidP="00765ABF">
      <w:pPr>
        <w:pStyle w:val="NoSpacing"/>
        <w:ind w:left="720"/>
        <w:rPr>
          <w:rFonts w:ascii="Times New Roman" w:hAnsi="Times New Roman"/>
          <w:sz w:val="24"/>
          <w:szCs w:val="24"/>
        </w:rPr>
      </w:pPr>
    </w:p>
    <w:p w14:paraId="5D9531D1" w14:textId="77777777" w:rsidR="00765ABF" w:rsidRPr="00765ABF" w:rsidRDefault="00765ABF" w:rsidP="00765ABF">
      <w:pPr>
        <w:pStyle w:val="NoSpacing"/>
        <w:rPr>
          <w:rFonts w:ascii="Times New Roman" w:hAnsi="Times New Roman"/>
          <w:b/>
          <w:bCs/>
          <w:sz w:val="24"/>
          <w:szCs w:val="24"/>
        </w:rPr>
      </w:pPr>
      <w:r w:rsidRPr="00765ABF">
        <w:rPr>
          <w:rFonts w:ascii="Times New Roman" w:hAnsi="Times New Roman"/>
          <w:b/>
          <w:bCs/>
          <w:sz w:val="24"/>
          <w:szCs w:val="24"/>
        </w:rPr>
        <w:t>Legal Lesson Learned:  Exciting or spontaneous comments by defendant admissible in evidence; sometimes called “res gestae.”</w:t>
      </w:r>
    </w:p>
    <w:p w14:paraId="3FA510F8" w14:textId="77777777" w:rsidR="00765ABF" w:rsidRPr="00765ABF" w:rsidRDefault="00765ABF" w:rsidP="00765ABF">
      <w:pPr>
        <w:pStyle w:val="NoSpacing"/>
        <w:rPr>
          <w:rFonts w:ascii="Times New Roman" w:hAnsi="Times New Roman"/>
          <w:b/>
          <w:bCs/>
          <w:sz w:val="24"/>
          <w:szCs w:val="24"/>
        </w:rPr>
      </w:pPr>
    </w:p>
    <w:p w14:paraId="3A88BF1A"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b/>
          <w:bCs/>
          <w:sz w:val="24"/>
          <w:szCs w:val="24"/>
        </w:rPr>
        <w:tab/>
      </w:r>
      <w:r w:rsidRPr="00765ABF">
        <w:rPr>
          <w:rFonts w:ascii="Times New Roman" w:hAnsi="Times New Roman"/>
          <w:sz w:val="24"/>
          <w:szCs w:val="24"/>
        </w:rPr>
        <w:t xml:space="preserve">Note: See definition of “res gestae.” </w:t>
      </w:r>
      <w:hyperlink r:id="rId141" w:history="1">
        <w:r w:rsidRPr="00765ABF">
          <w:rPr>
            <w:rStyle w:val="Hyperlink"/>
            <w:rFonts w:ascii="Times New Roman" w:hAnsi="Times New Roman"/>
            <w:sz w:val="24"/>
            <w:szCs w:val="24"/>
          </w:rPr>
          <w:t>https://www.law.cornell.edu/wex/res_gestae</w:t>
        </w:r>
      </w:hyperlink>
      <w:r w:rsidRPr="00765ABF">
        <w:rPr>
          <w:rFonts w:ascii="Times New Roman" w:hAnsi="Times New Roman"/>
          <w:sz w:val="24"/>
          <w:szCs w:val="24"/>
        </w:rPr>
        <w:t xml:space="preserve"> </w:t>
      </w:r>
    </w:p>
    <w:p w14:paraId="2B182D73" w14:textId="77777777" w:rsidR="00765ABF" w:rsidRPr="00765ABF" w:rsidRDefault="00765ABF" w:rsidP="00765ABF">
      <w:pPr>
        <w:pStyle w:val="NoSpacing"/>
        <w:rPr>
          <w:rFonts w:ascii="Times New Roman" w:hAnsi="Times New Roman"/>
          <w:sz w:val="24"/>
          <w:szCs w:val="24"/>
        </w:rPr>
      </w:pPr>
    </w:p>
    <w:p w14:paraId="599468EC"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“Res gestae is a Latin term meaning “things done” or “things transacted.” It refers to the events or circumstances at issue, as well as other events that are contemporaneous with or related to them. Courts previously employed this term </w:t>
      </w:r>
      <w:proofErr w:type="gramStart"/>
      <w:r w:rsidRPr="00765ABF">
        <w:rPr>
          <w:rFonts w:ascii="Times New Roman" w:hAnsi="Times New Roman"/>
          <w:sz w:val="24"/>
          <w:szCs w:val="24"/>
        </w:rPr>
        <w:t>in order to</w:t>
      </w:r>
      <w:proofErr w:type="gramEnd"/>
      <w:r w:rsidRPr="00765ABF">
        <w:rPr>
          <w:rFonts w:ascii="Times New Roman" w:hAnsi="Times New Roman"/>
          <w:sz w:val="24"/>
          <w:szCs w:val="24"/>
        </w:rPr>
        <w:t xml:space="preserve"> </w:t>
      </w:r>
      <w:hyperlink r:id="rId142" w:history="1">
        <w:r w:rsidRPr="00765ABF">
          <w:rPr>
            <w:rStyle w:val="Hyperlink"/>
            <w:rFonts w:ascii="Times New Roman" w:hAnsi="Times New Roman"/>
            <w:sz w:val="24"/>
            <w:szCs w:val="24"/>
          </w:rPr>
          <w:t>admit</w:t>
        </w:r>
      </w:hyperlink>
      <w:r w:rsidRPr="00765ABF">
        <w:rPr>
          <w:rFonts w:ascii="Times New Roman" w:hAnsi="Times New Roman"/>
          <w:sz w:val="24"/>
          <w:szCs w:val="24"/>
        </w:rPr>
        <w:t xml:space="preserve"> otherwise </w:t>
      </w:r>
      <w:hyperlink r:id="rId143" w:history="1">
        <w:r w:rsidRPr="00765ABF">
          <w:rPr>
            <w:rStyle w:val="Hyperlink"/>
            <w:rFonts w:ascii="Times New Roman" w:hAnsi="Times New Roman"/>
            <w:sz w:val="24"/>
            <w:szCs w:val="24"/>
          </w:rPr>
          <w:t>inadmissible</w:t>
        </w:r>
      </w:hyperlink>
      <w:r w:rsidRPr="00765ABF">
        <w:rPr>
          <w:rFonts w:ascii="Times New Roman" w:hAnsi="Times New Roman"/>
          <w:sz w:val="24"/>
          <w:szCs w:val="24"/>
        </w:rPr>
        <w:t xml:space="preserve"> </w:t>
      </w:r>
      <w:hyperlink r:id="rId144" w:history="1">
        <w:r w:rsidRPr="00765ABF">
          <w:rPr>
            <w:rStyle w:val="Hyperlink"/>
            <w:rFonts w:ascii="Times New Roman" w:hAnsi="Times New Roman"/>
            <w:sz w:val="24"/>
            <w:szCs w:val="24"/>
          </w:rPr>
          <w:t>hearsay</w:t>
        </w:r>
      </w:hyperlink>
      <w:r w:rsidRPr="00765ABF">
        <w:rPr>
          <w:rFonts w:ascii="Times New Roman" w:hAnsi="Times New Roman"/>
          <w:sz w:val="24"/>
          <w:szCs w:val="24"/>
        </w:rPr>
        <w:t xml:space="preserve">. The term is not used much now. In </w:t>
      </w:r>
      <w:hyperlink r:id="rId145" w:history="1">
        <w:r w:rsidRPr="00765ABF">
          <w:rPr>
            <w:rStyle w:val="Hyperlink"/>
            <w:rFonts w:ascii="Times New Roman" w:hAnsi="Times New Roman"/>
            <w:sz w:val="24"/>
            <w:szCs w:val="24"/>
          </w:rPr>
          <w:t>evidence</w:t>
        </w:r>
      </w:hyperlink>
      <w:r w:rsidRPr="00765ABF">
        <w:rPr>
          <w:rFonts w:ascii="Times New Roman" w:hAnsi="Times New Roman"/>
          <w:sz w:val="24"/>
          <w:szCs w:val="24"/>
        </w:rPr>
        <w:t xml:space="preserve"> law, for example, the </w:t>
      </w:r>
      <w:hyperlink r:id="rId146" w:history="1">
        <w:r w:rsidRPr="00765ABF">
          <w:rPr>
            <w:rStyle w:val="Hyperlink"/>
            <w:rFonts w:ascii="Times New Roman" w:hAnsi="Times New Roman"/>
            <w:sz w:val="24"/>
            <w:szCs w:val="24"/>
          </w:rPr>
          <w:t>Federal Rules of Evidence</w:t>
        </w:r>
      </w:hyperlink>
      <w:r w:rsidRPr="00765ABF">
        <w:rPr>
          <w:rFonts w:ascii="Times New Roman" w:hAnsi="Times New Roman"/>
          <w:sz w:val="24"/>
          <w:szCs w:val="24"/>
        </w:rPr>
        <w:t xml:space="preserve">, </w:t>
      </w:r>
      <w:hyperlink r:id="rId147" w:history="1">
        <w:r w:rsidRPr="00765ABF">
          <w:rPr>
            <w:rStyle w:val="Hyperlink"/>
            <w:rFonts w:ascii="Times New Roman" w:hAnsi="Times New Roman"/>
            <w:sz w:val="24"/>
            <w:szCs w:val="24"/>
          </w:rPr>
          <w:t>Rules 803(1)[“present sense impression”], 803(2)[“excited utterance”], 803(3)[“declaration of existing physical condition”], and 803(4)[“declaration of past physical condition"]</w:t>
        </w:r>
      </w:hyperlink>
      <w:r w:rsidRPr="00765ABF">
        <w:rPr>
          <w:rFonts w:ascii="Times New Roman" w:hAnsi="Times New Roman"/>
          <w:sz w:val="24"/>
          <w:szCs w:val="24"/>
        </w:rPr>
        <w:t>, now specifically encompass and limit what was previously used as res gestae.”</w:t>
      </w:r>
    </w:p>
    <w:p w14:paraId="7F678EA5" w14:textId="77777777" w:rsidR="00765ABF" w:rsidRPr="00765ABF" w:rsidRDefault="00765ABF" w:rsidP="00B86628">
      <w:pPr>
        <w:pStyle w:val="NoSpacing"/>
        <w:rPr>
          <w:rFonts w:ascii="Times New Roman" w:hAnsi="Times New Roman"/>
          <w:sz w:val="24"/>
          <w:szCs w:val="24"/>
        </w:rPr>
      </w:pPr>
    </w:p>
    <w:p w14:paraId="77B8861E" w14:textId="77777777" w:rsidR="004B4DF6" w:rsidRPr="00765ABF" w:rsidRDefault="004B4DF6" w:rsidP="00B86628">
      <w:pPr>
        <w:pStyle w:val="NoSpacing"/>
        <w:rPr>
          <w:rFonts w:ascii="Times New Roman" w:hAnsi="Times New Roman"/>
          <w:sz w:val="24"/>
          <w:szCs w:val="24"/>
        </w:rPr>
      </w:pPr>
    </w:p>
    <w:p w14:paraId="3D5758BA" w14:textId="77777777" w:rsidR="004B4DF6" w:rsidRDefault="004B4DF6" w:rsidP="00B86628">
      <w:pPr>
        <w:pStyle w:val="NoSpacing"/>
        <w:rPr>
          <w:rFonts w:ascii="Arial Black" w:hAnsi="Arial Black"/>
          <w:sz w:val="24"/>
          <w:szCs w:val="24"/>
        </w:rPr>
      </w:pPr>
    </w:p>
    <w:p w14:paraId="3B63CAA8" w14:textId="3609B6EE" w:rsidR="004E46C8" w:rsidRPr="004B4DF6" w:rsidRDefault="00127024" w:rsidP="00B86628">
      <w:pPr>
        <w:pStyle w:val="NoSpacing"/>
        <w:rPr>
          <w:rFonts w:ascii="Arial Black" w:hAnsi="Arial Black"/>
          <w:sz w:val="24"/>
          <w:szCs w:val="24"/>
        </w:rPr>
      </w:pPr>
      <w:r w:rsidRPr="004B4DF6">
        <w:rPr>
          <w:rFonts w:ascii="Arial Black" w:hAnsi="Arial Black"/>
          <w:sz w:val="24"/>
          <w:szCs w:val="24"/>
        </w:rPr>
        <w:t>1-15</w:t>
      </w:r>
      <w:r w:rsidR="00A91BAB">
        <w:rPr>
          <w:rFonts w:ascii="Arial Black" w:hAnsi="Arial Black"/>
          <w:sz w:val="24"/>
          <w:szCs w:val="24"/>
        </w:rPr>
        <w:t>4</w:t>
      </w:r>
    </w:p>
    <w:p w14:paraId="1CB6E0FD" w14:textId="77777777" w:rsidR="004B4DF6" w:rsidRDefault="004B4DF6" w:rsidP="00B86628">
      <w:pPr>
        <w:pStyle w:val="NoSpacing"/>
        <w:rPr>
          <w:rFonts w:ascii="Arial Black" w:hAnsi="Arial Black"/>
          <w:sz w:val="24"/>
          <w:szCs w:val="24"/>
        </w:rPr>
      </w:pPr>
    </w:p>
    <w:p w14:paraId="1C2A4E66" w14:textId="77777777" w:rsidR="004B4DF6" w:rsidRPr="000533DB" w:rsidRDefault="004B4DF6" w:rsidP="004B4DF6">
      <w:pPr>
        <w:rPr>
          <w:rFonts w:ascii="Arial Black" w:hAnsi="Arial Black"/>
          <w:b/>
          <w:bCs/>
          <w:sz w:val="28"/>
        </w:rPr>
      </w:pPr>
      <w:r>
        <w:rPr>
          <w:rFonts w:ascii="Arial Black" w:hAnsi="Arial Black"/>
          <w:b/>
          <w:bCs/>
          <w:sz w:val="28"/>
        </w:rPr>
        <w:t>NY: E-BIKE FIRE – TENANT CHARGED BIKE ON 5</w:t>
      </w:r>
      <w:r w:rsidRPr="00AF70EC">
        <w:rPr>
          <w:rFonts w:ascii="Arial Black" w:hAnsi="Arial Black"/>
          <w:b/>
          <w:bCs/>
          <w:sz w:val="28"/>
          <w:vertAlign w:val="superscript"/>
        </w:rPr>
        <w:t>th</w:t>
      </w:r>
      <w:r>
        <w:rPr>
          <w:rFonts w:ascii="Arial Black" w:hAnsi="Arial Black"/>
          <w:b/>
          <w:bCs/>
          <w:sz w:val="28"/>
        </w:rPr>
        <w:t xml:space="preserve"> FLOOR APT - NOT BASEMENT STORAGE – $5,000 </w:t>
      </w:r>
    </w:p>
    <w:p w14:paraId="1E0E5ADA" w14:textId="77777777" w:rsidR="004B4DF6" w:rsidRPr="004B4DF6" w:rsidRDefault="004B4DF6" w:rsidP="004B4DF6">
      <w:pPr>
        <w:rPr>
          <w:rFonts w:ascii="Times New Roman" w:hAnsi="Times New Roman"/>
          <w:sz w:val="24"/>
          <w:szCs w:val="24"/>
        </w:rPr>
      </w:pPr>
      <w:r w:rsidRPr="004B4DF6">
        <w:rPr>
          <w:rFonts w:ascii="Times New Roman" w:hAnsi="Times New Roman"/>
          <w:sz w:val="24"/>
          <w:szCs w:val="24"/>
        </w:rPr>
        <w:t xml:space="preserve">On Aug. 19. 2024, in </w:t>
      </w:r>
      <w:r w:rsidRPr="004B4DF6">
        <w:rPr>
          <w:rFonts w:ascii="Times New Roman" w:hAnsi="Times New Roman"/>
          <w:sz w:val="24"/>
          <w:szCs w:val="24"/>
          <w:u w:val="single"/>
        </w:rPr>
        <w:t>Forest House, LLC v. Jamaris Santos</w:t>
      </w:r>
      <w:r w:rsidRPr="004B4DF6">
        <w:rPr>
          <w:rFonts w:ascii="Times New Roman" w:hAnsi="Times New Roman"/>
          <w:sz w:val="24"/>
          <w:szCs w:val="24"/>
        </w:rPr>
        <w:t>, City of New York, Civil Court, Bronx County, Judge Verena C. Powell held, after a bench trial, that the tenant was negligent in charging e-bike in her 5</w:t>
      </w:r>
      <w:r w:rsidRPr="004B4DF6">
        <w:rPr>
          <w:rFonts w:ascii="Times New Roman" w:hAnsi="Times New Roman"/>
          <w:sz w:val="24"/>
          <w:szCs w:val="24"/>
          <w:vertAlign w:val="superscript"/>
        </w:rPr>
        <w:t>th</w:t>
      </w:r>
      <w:r w:rsidRPr="004B4DF6">
        <w:rPr>
          <w:rFonts w:ascii="Times New Roman" w:hAnsi="Times New Roman"/>
          <w:sz w:val="24"/>
          <w:szCs w:val="24"/>
        </w:rPr>
        <w:t xml:space="preserve"> floor apartment, instead of the basement storage area, and must reimburse the building owner for the $5,000 deductible on their building insurance policy, plus attorney fees.  February 7, 2021, at approximately 1:20 a.m., the New York City Fire Department (FDNY) responded to a 911 fire call on the fifth floor of 770 East 166th Street, Bronx, New York 10456. The Court wrote: “Ms. Santos' testimony established that she was aware of and had access to the building's bike room but decided not to use it, instead storing and charging the device inside her apartment. As the Plaintiff's tenant, the defendant assumed the duty of exercising ordinary care to store the e-bike in an area designated for such items. The defendant's negligence is established by her storing the e-bike in a location other than one designated for its storage, and that, once engulfed in flames, was placed in the public hallway, impeding egress from the building.” </w:t>
      </w:r>
      <w:hyperlink r:id="rId148" w:history="1">
        <w:r w:rsidRPr="004B4DF6">
          <w:rPr>
            <w:rStyle w:val="Hyperlink"/>
            <w:rFonts w:ascii="Times New Roman" w:hAnsi="Times New Roman"/>
            <w:sz w:val="24"/>
            <w:szCs w:val="24"/>
          </w:rPr>
          <w:t>https://law.justia.com/cases/new-york/other-courts/2024/2024-ny-slip-op-51092-u.html</w:t>
        </w:r>
      </w:hyperlink>
      <w:r w:rsidRPr="004B4DF6">
        <w:rPr>
          <w:rFonts w:ascii="Times New Roman" w:hAnsi="Times New Roman"/>
          <w:sz w:val="24"/>
          <w:szCs w:val="24"/>
        </w:rPr>
        <w:t xml:space="preserve"> </w:t>
      </w:r>
    </w:p>
    <w:p w14:paraId="27C00EBA" w14:textId="77777777" w:rsidR="004B4DF6" w:rsidRPr="004B4DF6" w:rsidRDefault="004B4DF6" w:rsidP="004B4DF6">
      <w:pPr>
        <w:rPr>
          <w:rFonts w:ascii="Times New Roman" w:hAnsi="Times New Roman"/>
          <w:sz w:val="24"/>
          <w:szCs w:val="24"/>
        </w:rPr>
      </w:pPr>
      <w:r w:rsidRPr="004B4DF6">
        <w:rPr>
          <w:rFonts w:ascii="Times New Roman" w:hAnsi="Times New Roman"/>
          <w:sz w:val="24"/>
          <w:szCs w:val="24"/>
        </w:rPr>
        <w:t xml:space="preserve">THE COURT HELD:  </w:t>
      </w:r>
    </w:p>
    <w:p w14:paraId="0E01AB86" w14:textId="77777777" w:rsidR="004B4DF6" w:rsidRPr="004B4DF6" w:rsidRDefault="004B4DF6" w:rsidP="004B4DF6">
      <w:pPr>
        <w:ind w:left="720"/>
        <w:rPr>
          <w:rFonts w:ascii="Times New Roman" w:hAnsi="Times New Roman"/>
          <w:sz w:val="24"/>
          <w:szCs w:val="24"/>
        </w:rPr>
      </w:pPr>
      <w:r w:rsidRPr="004B4DF6">
        <w:rPr>
          <w:rFonts w:ascii="Times New Roman" w:hAnsi="Times New Roman"/>
          <w:sz w:val="24"/>
          <w:szCs w:val="24"/>
        </w:rPr>
        <w:t xml:space="preserve">“Fire Marshal Coyle testified that the cause of the fire was the disintegration of the electric wiring coating within the battery compartment of the e-bike. He reached this conclusion by speaking with Battalion Chief </w:t>
      </w:r>
      <w:proofErr w:type="spellStart"/>
      <w:r w:rsidRPr="004B4DF6">
        <w:rPr>
          <w:rFonts w:ascii="Times New Roman" w:hAnsi="Times New Roman"/>
          <w:sz w:val="24"/>
          <w:szCs w:val="24"/>
        </w:rPr>
        <w:t>McGenn</w:t>
      </w:r>
      <w:proofErr w:type="spellEnd"/>
      <w:r w:rsidRPr="004B4DF6">
        <w:rPr>
          <w:rFonts w:ascii="Times New Roman" w:hAnsi="Times New Roman"/>
          <w:sz w:val="24"/>
          <w:szCs w:val="24"/>
        </w:rPr>
        <w:t xml:space="preserve"> and Lieutenant Owens about the e-bike's condition when they reached the fire, interviewing Ms. Santos regarding her observations of the fire, examining a photograph of the charred e-bike, and noting smoke stains on the apartment wall about 3 feet above the floor. The picture of the e-bike shows that the area under the rider's seat sustained the most significant amount of damage, thus indicating where the fire ignited.  This Court credits Fire Marshall Coyle's expert testimony and finds that deterioration of the wiring insulation caused the battery to short circuit, igniting the e-bike battery case covering and the e-bike's seat, thereby causing the February 7, 2021, fire in Ms. Santos' apartment.”</w:t>
      </w:r>
    </w:p>
    <w:p w14:paraId="2F84B898" w14:textId="318B1D1E" w:rsidR="004B4DF6" w:rsidRPr="004B4DF6" w:rsidRDefault="004B4DF6" w:rsidP="005441DE">
      <w:pPr>
        <w:rPr>
          <w:rFonts w:ascii="Times New Roman" w:hAnsi="Times New Roman"/>
          <w:b/>
          <w:bCs/>
          <w:sz w:val="24"/>
          <w:szCs w:val="24"/>
        </w:rPr>
      </w:pPr>
      <w:r w:rsidRPr="004B4DF6">
        <w:rPr>
          <w:rFonts w:ascii="Times New Roman" w:hAnsi="Times New Roman"/>
          <w:b/>
          <w:bCs/>
          <w:sz w:val="24"/>
          <w:szCs w:val="24"/>
        </w:rPr>
        <w:t>Legal Lesson Learned: Do not charge e-</w:t>
      </w:r>
      <w:proofErr w:type="gramStart"/>
      <w:r w:rsidRPr="004B4DF6">
        <w:rPr>
          <w:rFonts w:ascii="Times New Roman" w:hAnsi="Times New Roman"/>
          <w:b/>
          <w:bCs/>
          <w:sz w:val="24"/>
          <w:szCs w:val="24"/>
        </w:rPr>
        <w:t>bike</w:t>
      </w:r>
      <w:proofErr w:type="gramEnd"/>
      <w:r w:rsidRPr="004B4DF6">
        <w:rPr>
          <w:rFonts w:ascii="Times New Roman" w:hAnsi="Times New Roman"/>
          <w:b/>
          <w:bCs/>
          <w:sz w:val="24"/>
          <w:szCs w:val="24"/>
        </w:rPr>
        <w:t xml:space="preserve"> in your apartment or home; tenants will be liable for damages. </w:t>
      </w:r>
    </w:p>
    <w:p w14:paraId="11AA5A1E" w14:textId="77777777" w:rsidR="004B4DF6" w:rsidRPr="004B4DF6" w:rsidRDefault="004B4DF6" w:rsidP="004B4DF6">
      <w:pPr>
        <w:rPr>
          <w:rFonts w:ascii="Times New Roman" w:hAnsi="Times New Roman"/>
          <w:szCs w:val="24"/>
        </w:rPr>
      </w:pPr>
    </w:p>
    <w:p w14:paraId="191FB5EA" w14:textId="77777777" w:rsidR="007C22F6" w:rsidRDefault="007C22F6" w:rsidP="007C22F6">
      <w:pPr>
        <w:pStyle w:val="NoSpacing"/>
        <w:rPr>
          <w:rFonts w:ascii="Arial Black" w:hAnsi="Arial Black"/>
          <w:sz w:val="24"/>
          <w:szCs w:val="24"/>
        </w:rPr>
      </w:pPr>
    </w:p>
    <w:p w14:paraId="2E8417F2" w14:textId="3F304553" w:rsidR="007C22F6" w:rsidRDefault="007C22F6" w:rsidP="007C22F6">
      <w:pPr>
        <w:pStyle w:val="NoSpacing"/>
        <w:rPr>
          <w:rFonts w:ascii="Arial Black" w:hAnsi="Arial Black"/>
          <w:sz w:val="24"/>
          <w:szCs w:val="24"/>
        </w:rPr>
      </w:pPr>
      <w:r>
        <w:rPr>
          <w:rFonts w:ascii="Arial Black" w:hAnsi="Arial Black"/>
          <w:sz w:val="24"/>
          <w:szCs w:val="24"/>
        </w:rPr>
        <w:t>1-15</w:t>
      </w:r>
      <w:r w:rsidR="00A91BAB">
        <w:rPr>
          <w:rFonts w:ascii="Arial Black" w:hAnsi="Arial Black"/>
          <w:sz w:val="24"/>
          <w:szCs w:val="24"/>
        </w:rPr>
        <w:t>3</w:t>
      </w:r>
    </w:p>
    <w:p w14:paraId="74332D37" w14:textId="77777777" w:rsidR="007C22F6" w:rsidRDefault="007C22F6" w:rsidP="007C22F6">
      <w:pPr>
        <w:pStyle w:val="NoSpacing"/>
        <w:rPr>
          <w:rFonts w:ascii="Arial Black" w:hAnsi="Arial Black"/>
          <w:sz w:val="28"/>
        </w:rPr>
      </w:pPr>
    </w:p>
    <w:p w14:paraId="7BA1D00E" w14:textId="78C9E3C0" w:rsidR="007C22F6" w:rsidRPr="00270EFD" w:rsidRDefault="007C22F6" w:rsidP="007C22F6">
      <w:pPr>
        <w:pStyle w:val="NoSpacing"/>
        <w:rPr>
          <w:rFonts w:ascii="Arial Black" w:hAnsi="Arial Black"/>
          <w:sz w:val="28"/>
        </w:rPr>
      </w:pPr>
      <w:r>
        <w:rPr>
          <w:rFonts w:ascii="Arial Black" w:hAnsi="Arial Black"/>
          <w:sz w:val="28"/>
        </w:rPr>
        <w:t xml:space="preserve">IL: ALARM SYSTEM ORDINANCE – COMMERCIAL ALARMS MUST GO DIRECT TO 911 CENTER – LAWFUL </w:t>
      </w:r>
    </w:p>
    <w:p w14:paraId="09B79B21" w14:textId="77777777" w:rsidR="007C22F6" w:rsidRDefault="007C22F6" w:rsidP="007C22F6">
      <w:pPr>
        <w:pStyle w:val="NoSpacing"/>
        <w:rPr>
          <w:szCs w:val="24"/>
        </w:rPr>
      </w:pPr>
    </w:p>
    <w:p w14:paraId="63C70625" w14:textId="77777777" w:rsidR="007C22F6" w:rsidRPr="007C22F6" w:rsidRDefault="007C22F6" w:rsidP="007C22F6">
      <w:pPr>
        <w:pStyle w:val="NoSpacing"/>
        <w:rPr>
          <w:rFonts w:ascii="Times New Roman" w:hAnsi="Times New Roman"/>
          <w:sz w:val="24"/>
          <w:szCs w:val="24"/>
        </w:rPr>
      </w:pPr>
      <w:r w:rsidRPr="007C22F6">
        <w:rPr>
          <w:rFonts w:ascii="Times New Roman" w:hAnsi="Times New Roman"/>
          <w:sz w:val="24"/>
          <w:szCs w:val="24"/>
        </w:rPr>
        <w:t xml:space="preserve">On Aug. 14, 2024, in </w:t>
      </w:r>
      <w:r w:rsidRPr="007C22F6">
        <w:rPr>
          <w:rFonts w:ascii="Times New Roman" w:hAnsi="Times New Roman"/>
          <w:sz w:val="24"/>
          <w:szCs w:val="24"/>
          <w:u w:val="single"/>
        </w:rPr>
        <w:t>Alarm Detection Services, Inc, et al. v. Village of Schaumburg</w:t>
      </w:r>
      <w:r w:rsidRPr="007C22F6">
        <w:rPr>
          <w:rFonts w:ascii="Times New Roman" w:hAnsi="Times New Roman"/>
          <w:sz w:val="24"/>
          <w:szCs w:val="24"/>
        </w:rPr>
        <w:t xml:space="preserve">, United States District Court Judge Joan H. </w:t>
      </w:r>
      <w:proofErr w:type="spellStart"/>
      <w:r w:rsidRPr="007C22F6">
        <w:rPr>
          <w:rFonts w:ascii="Times New Roman" w:hAnsi="Times New Roman"/>
          <w:sz w:val="24"/>
          <w:szCs w:val="24"/>
        </w:rPr>
        <w:t>Lefkow</w:t>
      </w:r>
      <w:proofErr w:type="spellEnd"/>
      <w:r w:rsidRPr="007C22F6">
        <w:rPr>
          <w:rFonts w:ascii="Times New Roman" w:hAnsi="Times New Roman"/>
          <w:sz w:val="24"/>
          <w:szCs w:val="24"/>
        </w:rPr>
        <w:t xml:space="preserve">, U.S. District Court for the Northern District of Illinois, Eastern Division, granted summary judgment to the Village, in lawsuit by four alarm companies that claimed they have lost 250 commercial clients because of the 2016 Ordinance that requires alarms to go direct to 911 Center (system managed by Tyco Company), instead of first to the alarm companies centers.  The Court wrote: “The Village has proffered abundant evidence, as set out above, to demonstrate that it was not motivated to injure Alarm Companies; rather, its motivation was to improve fire safety in the Village…. Unfortunately, Alarm Companies do not counter with data the Village’s evidence </w:t>
      </w:r>
      <w:proofErr w:type="gramStart"/>
      <w:r w:rsidRPr="007C22F6">
        <w:rPr>
          <w:rFonts w:ascii="Times New Roman" w:hAnsi="Times New Roman"/>
          <w:sz w:val="24"/>
          <w:szCs w:val="24"/>
        </w:rPr>
        <w:t>that,</w:t>
      </w:r>
      <w:proofErr w:type="gramEnd"/>
      <w:r w:rsidRPr="007C22F6">
        <w:rPr>
          <w:rFonts w:ascii="Times New Roman" w:hAnsi="Times New Roman"/>
          <w:sz w:val="24"/>
          <w:szCs w:val="24"/>
        </w:rPr>
        <w:t xml:space="preserve"> post passage, response times improved and out-of-service systems decreased. But even if they had, it would not undermine the evidence of the Village’s motivation at the time the Ordinance was passed….In light of the evidence that the Village pursued legitimate public safety goals in enacting the Ordinance and the paucity of evidence that it intended to induce Commercial Properties to discontinue contracting with Alarm Companies, the court concludes that no reasonable jury would find that the Village’s purpose was to induce property owners to cease doing business with Alarm Companies.” </w:t>
      </w:r>
      <w:hyperlink r:id="rId149" w:history="1">
        <w:r w:rsidRPr="007C22F6">
          <w:rPr>
            <w:rStyle w:val="Hyperlink"/>
            <w:rFonts w:ascii="Times New Roman" w:hAnsi="Times New Roman"/>
            <w:sz w:val="24"/>
            <w:szCs w:val="24"/>
          </w:rPr>
          <w:t>https://cases.justia.com/federal/district-courts/illinois/ilndce/1:2017cv02153/337913/236/0.pdf?ts=1723715563</w:t>
        </w:r>
      </w:hyperlink>
      <w:r w:rsidRPr="007C22F6">
        <w:rPr>
          <w:rFonts w:ascii="Times New Roman" w:hAnsi="Times New Roman"/>
          <w:sz w:val="24"/>
          <w:szCs w:val="24"/>
        </w:rPr>
        <w:t xml:space="preserve"> </w:t>
      </w:r>
    </w:p>
    <w:p w14:paraId="6543AC61" w14:textId="77777777" w:rsidR="007C22F6" w:rsidRPr="007C22F6" w:rsidRDefault="007C22F6" w:rsidP="007C22F6">
      <w:pPr>
        <w:pStyle w:val="NoSpacing"/>
        <w:rPr>
          <w:rFonts w:ascii="Times New Roman" w:hAnsi="Times New Roman"/>
          <w:sz w:val="24"/>
          <w:szCs w:val="24"/>
        </w:rPr>
      </w:pPr>
    </w:p>
    <w:p w14:paraId="7038F780" w14:textId="77777777" w:rsidR="007C22F6" w:rsidRPr="007C22F6" w:rsidRDefault="007C22F6" w:rsidP="007C22F6">
      <w:pPr>
        <w:pStyle w:val="NoSpacing"/>
        <w:rPr>
          <w:rFonts w:ascii="Times New Roman" w:hAnsi="Times New Roman"/>
          <w:sz w:val="24"/>
          <w:szCs w:val="24"/>
        </w:rPr>
      </w:pPr>
      <w:r w:rsidRPr="007C22F6">
        <w:rPr>
          <w:rFonts w:ascii="Times New Roman" w:hAnsi="Times New Roman"/>
          <w:sz w:val="24"/>
          <w:szCs w:val="24"/>
        </w:rPr>
        <w:t>THE COURT HELD:</w:t>
      </w:r>
    </w:p>
    <w:p w14:paraId="547BE9C7" w14:textId="77777777" w:rsidR="007C22F6" w:rsidRPr="007C22F6" w:rsidRDefault="007C22F6" w:rsidP="007C22F6">
      <w:pPr>
        <w:pStyle w:val="NoSpacing"/>
        <w:rPr>
          <w:rFonts w:ascii="Times New Roman" w:hAnsi="Times New Roman"/>
          <w:sz w:val="24"/>
          <w:szCs w:val="24"/>
        </w:rPr>
      </w:pPr>
    </w:p>
    <w:p w14:paraId="30C44FEF"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“Local fire codes, including those of the Village, require certain commercial and multi-family buildings to be protected by fire-alarm systems and typically require that those systems comply with national safety standards set forth in the National Fire Protection Association’s National Fire Alarm and Signaling Code (NFPA 72). Under NFPA 72, the installation and maintenance of fire-alarm systems are the responsibility of individual building owners. Owners of commercial and multi-family properties typically contract with private companies, such as Alarm Companies, to provide and maintain the required fire-alarm systems. Such systems generally have three components: (1) smoke and heat detectors that generate signals; (2) an alarm panel that receives signals from those detectors; and (3) a transmission device that sends signals to a monitoring facility. The signals transmitted by the detectors include alarm signals signifying smoke or fire, as well as ‘trouble’ or ‘supervisory’ signals which indicate whether the system is performing properly or is out of service.</w:t>
      </w:r>
    </w:p>
    <w:p w14:paraId="763B5917" w14:textId="77777777" w:rsidR="007C22F6" w:rsidRPr="007C22F6" w:rsidRDefault="007C22F6" w:rsidP="007C22F6">
      <w:pPr>
        <w:pStyle w:val="NoSpacing"/>
        <w:ind w:left="720"/>
        <w:rPr>
          <w:rFonts w:ascii="Times New Roman" w:hAnsi="Times New Roman"/>
          <w:sz w:val="24"/>
          <w:szCs w:val="24"/>
        </w:rPr>
      </w:pPr>
    </w:p>
    <w:p w14:paraId="5DD5BC51"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w:t>
      </w:r>
    </w:p>
    <w:p w14:paraId="6BA65E18" w14:textId="77777777" w:rsidR="007C22F6" w:rsidRPr="007C22F6" w:rsidRDefault="007C22F6" w:rsidP="007C22F6">
      <w:pPr>
        <w:pStyle w:val="NoSpacing"/>
        <w:rPr>
          <w:rFonts w:ascii="Times New Roman" w:hAnsi="Times New Roman"/>
          <w:sz w:val="24"/>
          <w:szCs w:val="24"/>
        </w:rPr>
      </w:pPr>
    </w:p>
    <w:p w14:paraId="6874A36C"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The court acknowledges that there is record evidence to support Alarm Companies’ contentions that the Ordinance had the effect of requiring Commercial Accounts to purchase or lease from Tyco at least some equipment necessary to connect to NWCDS. The Village itself seems to have suggested to businesses that Tyco transmitters may be required; after passage of the Ordinance, the Village sent a notice to property owners indicating that Tyco was ‘the authorized installer of </w:t>
      </w:r>
      <w:proofErr w:type="gramStart"/>
      <w:r w:rsidRPr="007C22F6">
        <w:rPr>
          <w:rFonts w:ascii="Times New Roman" w:hAnsi="Times New Roman"/>
          <w:sz w:val="24"/>
          <w:szCs w:val="24"/>
        </w:rPr>
        <w:t>the radio</w:t>
      </w:r>
      <w:proofErr w:type="gramEnd"/>
      <w:r w:rsidRPr="007C22F6">
        <w:rPr>
          <w:rFonts w:ascii="Times New Roman" w:hAnsi="Times New Roman"/>
          <w:sz w:val="24"/>
          <w:szCs w:val="24"/>
        </w:rPr>
        <w:t xml:space="preserve"> equipment</w:t>
      </w:r>
    </w:p>
    <w:p w14:paraId="5DAE44DE"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required for fire alarm systems monitored by NWCDS.’ </w:t>
      </w:r>
    </w:p>
    <w:p w14:paraId="0194E24D"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w:t>
      </w:r>
    </w:p>
    <w:p w14:paraId="47BA5BCB" w14:textId="77777777" w:rsidR="007C22F6" w:rsidRPr="007C22F6" w:rsidRDefault="007C22F6" w:rsidP="007C22F6">
      <w:pPr>
        <w:pStyle w:val="NoSpacing"/>
        <w:ind w:left="720"/>
        <w:rPr>
          <w:rFonts w:ascii="Times New Roman" w:hAnsi="Times New Roman"/>
          <w:sz w:val="24"/>
          <w:szCs w:val="24"/>
        </w:rPr>
      </w:pPr>
    </w:p>
    <w:p w14:paraId="536060F3"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Alarm Companies argue that there is no genuine dispute of fact that the Ordinance caused many Commercial Accounts either to terminate or to refuse to renew their contracts, costing Alarm Companies hundreds of accounts in the Village. Alarm Companies’ argument, however, has no support in the evidentiary record. They fail to point to any evidence that any Commercial Account </w:t>
      </w:r>
      <w:proofErr w:type="gramStart"/>
      <w:r w:rsidRPr="007C22F6">
        <w:rPr>
          <w:rFonts w:ascii="Times New Roman" w:hAnsi="Times New Roman"/>
          <w:sz w:val="24"/>
          <w:szCs w:val="24"/>
        </w:rPr>
        <w:t>actually terminated</w:t>
      </w:r>
      <w:proofErr w:type="gramEnd"/>
      <w:r w:rsidRPr="007C22F6">
        <w:rPr>
          <w:rFonts w:ascii="Times New Roman" w:hAnsi="Times New Roman"/>
          <w:sz w:val="24"/>
          <w:szCs w:val="24"/>
        </w:rPr>
        <w:t xml:space="preserve"> early or otherwise breached a contract in response to the Ordinance.”</w:t>
      </w:r>
    </w:p>
    <w:p w14:paraId="3374264A" w14:textId="77777777" w:rsidR="007C22F6" w:rsidRPr="007C22F6" w:rsidRDefault="007C22F6" w:rsidP="007C22F6">
      <w:pPr>
        <w:pStyle w:val="NoSpacing"/>
        <w:rPr>
          <w:rFonts w:ascii="Times New Roman" w:hAnsi="Times New Roman"/>
          <w:sz w:val="24"/>
          <w:szCs w:val="24"/>
        </w:rPr>
      </w:pPr>
    </w:p>
    <w:p w14:paraId="63598C8E" w14:textId="77777777" w:rsidR="007C22F6" w:rsidRPr="007C22F6" w:rsidRDefault="007C22F6" w:rsidP="007C22F6">
      <w:pPr>
        <w:pStyle w:val="NoSpacing"/>
        <w:rPr>
          <w:rFonts w:ascii="Times New Roman" w:hAnsi="Times New Roman"/>
          <w:b/>
          <w:bCs/>
          <w:sz w:val="24"/>
          <w:szCs w:val="24"/>
        </w:rPr>
      </w:pPr>
      <w:r w:rsidRPr="007C22F6">
        <w:rPr>
          <w:rFonts w:ascii="Times New Roman" w:hAnsi="Times New Roman"/>
          <w:b/>
          <w:bCs/>
          <w:sz w:val="24"/>
          <w:szCs w:val="24"/>
        </w:rPr>
        <w:t>Legal Lesson Learned:  Village ordinance has proven effective in prompt notification to 911 Center of alarms, and notification to FD of problems with commercial property systems.</w:t>
      </w:r>
    </w:p>
    <w:p w14:paraId="5CAD26A1" w14:textId="77777777" w:rsidR="007C22F6" w:rsidRPr="007C22F6" w:rsidRDefault="007C22F6" w:rsidP="000B35FC">
      <w:pPr>
        <w:rPr>
          <w:rFonts w:ascii="Times New Roman" w:hAnsi="Times New Roman"/>
          <w:sz w:val="24"/>
          <w:szCs w:val="24"/>
        </w:rPr>
      </w:pPr>
    </w:p>
    <w:p w14:paraId="0A8E5FED" w14:textId="77777777" w:rsidR="00127024" w:rsidRDefault="00127024" w:rsidP="00B86628">
      <w:pPr>
        <w:pStyle w:val="NoSpacing"/>
        <w:rPr>
          <w:rFonts w:ascii="Arial Black" w:hAnsi="Arial Black"/>
          <w:sz w:val="24"/>
          <w:szCs w:val="24"/>
        </w:rPr>
      </w:pPr>
    </w:p>
    <w:p w14:paraId="0BBFC3B4" w14:textId="2012094C" w:rsidR="00316842" w:rsidRDefault="00316842" w:rsidP="00B86628">
      <w:pPr>
        <w:pStyle w:val="NoSpacing"/>
        <w:rPr>
          <w:rFonts w:ascii="Arial Black" w:hAnsi="Arial Black"/>
          <w:sz w:val="24"/>
          <w:szCs w:val="24"/>
        </w:rPr>
      </w:pPr>
      <w:r>
        <w:rPr>
          <w:rFonts w:ascii="Arial Black" w:hAnsi="Arial Black"/>
          <w:sz w:val="24"/>
          <w:szCs w:val="24"/>
        </w:rPr>
        <w:t>1-15</w:t>
      </w:r>
      <w:r w:rsidR="00A91BAB">
        <w:rPr>
          <w:rFonts w:ascii="Arial Black" w:hAnsi="Arial Black"/>
          <w:sz w:val="24"/>
          <w:szCs w:val="24"/>
        </w:rPr>
        <w:t>2</w:t>
      </w:r>
    </w:p>
    <w:p w14:paraId="730D1D82" w14:textId="77777777" w:rsidR="00FB79CF" w:rsidRDefault="00FB79CF" w:rsidP="00B86628">
      <w:pPr>
        <w:pStyle w:val="NoSpacing"/>
        <w:rPr>
          <w:rFonts w:ascii="Arial Black" w:hAnsi="Arial Black"/>
          <w:sz w:val="24"/>
          <w:szCs w:val="24"/>
        </w:rPr>
      </w:pPr>
    </w:p>
    <w:p w14:paraId="0E507D42" w14:textId="77777777" w:rsidR="00FB79CF" w:rsidRPr="00AB4CDC" w:rsidRDefault="00FB79CF" w:rsidP="00FB79CF">
      <w:pPr>
        <w:rPr>
          <w:rFonts w:ascii="Arial Black" w:hAnsi="Arial Black"/>
          <w:b/>
          <w:bCs/>
          <w:sz w:val="28"/>
          <w:szCs w:val="28"/>
        </w:rPr>
      </w:pPr>
      <w:r>
        <w:rPr>
          <w:rFonts w:ascii="Arial Black" w:hAnsi="Arial Black"/>
          <w:b/>
          <w:bCs/>
          <w:sz w:val="28"/>
          <w:szCs w:val="28"/>
        </w:rPr>
        <w:t>IN: ARSON INVEST. – MOTEL ROOM FIRE STARTED SHORTLY AFTER GIRLFRIEND LEFT - MJ ROACH DIDN’T START FIRE</w:t>
      </w:r>
    </w:p>
    <w:p w14:paraId="40E206BF" w14:textId="1A90DFE7" w:rsidR="00FB79CF" w:rsidRDefault="00FB79CF" w:rsidP="00FB79CF">
      <w:pPr>
        <w:rPr>
          <w:rFonts w:ascii="Times New Roman" w:hAnsi="Times New Roman"/>
          <w:sz w:val="24"/>
          <w:szCs w:val="24"/>
        </w:rPr>
      </w:pPr>
      <w:r w:rsidRPr="00CC749D">
        <w:rPr>
          <w:rFonts w:ascii="Times New Roman" w:hAnsi="Times New Roman"/>
          <w:sz w:val="24"/>
          <w:szCs w:val="24"/>
        </w:rPr>
        <w:t xml:space="preserve">On </w:t>
      </w:r>
      <w:r>
        <w:rPr>
          <w:rFonts w:ascii="Times New Roman" w:hAnsi="Times New Roman"/>
          <w:sz w:val="24"/>
          <w:szCs w:val="24"/>
        </w:rPr>
        <w:t xml:space="preserve">July 30, 2024, in </w:t>
      </w:r>
      <w:r w:rsidRPr="00152966">
        <w:rPr>
          <w:rFonts w:ascii="Times New Roman" w:hAnsi="Times New Roman"/>
          <w:sz w:val="24"/>
          <w:szCs w:val="24"/>
          <w:u w:val="single"/>
        </w:rPr>
        <w:t>Thomas F. Dunigan, II v. State of Indiana</w:t>
      </w:r>
      <w:r>
        <w:rPr>
          <w:rFonts w:ascii="Times New Roman" w:hAnsi="Times New Roman"/>
          <w:sz w:val="24"/>
          <w:szCs w:val="24"/>
        </w:rPr>
        <w:t>, the Indiana Court of Appeals held (5 to 0) that expert witness testimony was properly admitted, based on peer reviewed articles he read about taking at least 20 minutes for a lit cigarette left on bed to cause ignition.   Defendant was sentenced to 12 years after jury convicted him of arson; trial court did not abuse its discretion “</w:t>
      </w:r>
      <w:r w:rsidRPr="00371817">
        <w:rPr>
          <w:rFonts w:ascii="Times New Roman" w:hAnsi="Times New Roman"/>
          <w:sz w:val="24"/>
          <w:szCs w:val="24"/>
        </w:rPr>
        <w:t>when it permitted an expert witness to testify that the fire in his motel room was intentionally caused by a direct flame source and not accidentally caused by a smoldering marijuana cigarette.</w:t>
      </w:r>
      <w:r>
        <w:rPr>
          <w:rFonts w:ascii="Times New Roman" w:hAnsi="Times New Roman"/>
          <w:sz w:val="24"/>
          <w:szCs w:val="24"/>
        </w:rPr>
        <w:t xml:space="preserve">” </w:t>
      </w:r>
      <w:hyperlink r:id="rId150" w:history="1">
        <w:r w:rsidRPr="00D65D84">
          <w:rPr>
            <w:rStyle w:val="Hyperlink"/>
            <w:rFonts w:ascii="Times New Roman" w:hAnsi="Times New Roman"/>
            <w:sz w:val="24"/>
            <w:szCs w:val="24"/>
          </w:rPr>
          <w:t>https://caselaw.findlaw.com/court/in-court-of-appeals/116435959.html</w:t>
        </w:r>
      </w:hyperlink>
      <w:r>
        <w:rPr>
          <w:rFonts w:ascii="Times New Roman" w:hAnsi="Times New Roman"/>
          <w:sz w:val="24"/>
          <w:szCs w:val="24"/>
        </w:rPr>
        <w:t xml:space="preserve"> </w:t>
      </w:r>
    </w:p>
    <w:p w14:paraId="3A29A8F3" w14:textId="77777777" w:rsidR="00FB79CF" w:rsidRDefault="00FB79CF" w:rsidP="00FB79CF">
      <w:pPr>
        <w:rPr>
          <w:rFonts w:ascii="Times New Roman" w:hAnsi="Times New Roman"/>
          <w:sz w:val="24"/>
          <w:szCs w:val="24"/>
        </w:rPr>
      </w:pPr>
      <w:r>
        <w:rPr>
          <w:rFonts w:ascii="Times New Roman" w:hAnsi="Times New Roman"/>
          <w:sz w:val="24"/>
          <w:szCs w:val="24"/>
        </w:rPr>
        <w:t>THE COURT HELD:</w:t>
      </w:r>
    </w:p>
    <w:p w14:paraId="6B434AC4" w14:textId="77777777" w:rsidR="00FB79CF" w:rsidRDefault="00FB79CF" w:rsidP="00FB79CF">
      <w:pPr>
        <w:ind w:left="720"/>
        <w:rPr>
          <w:rFonts w:ascii="Times New Roman" w:hAnsi="Times New Roman"/>
          <w:sz w:val="24"/>
          <w:szCs w:val="24"/>
        </w:rPr>
      </w:pPr>
      <w:r w:rsidRPr="00744265">
        <w:rPr>
          <w:rFonts w:ascii="Times New Roman" w:hAnsi="Times New Roman"/>
          <w:sz w:val="24"/>
          <w:szCs w:val="24"/>
        </w:rPr>
        <w:t>“Under Evidence Rule 702(b), the trial court had discretion to conclude that Malon's reliance on those articles and studies was sufficient to show that his opinion was supported by reliable scientific principles.</w:t>
      </w:r>
    </w:p>
    <w:p w14:paraId="0F982EE7" w14:textId="77777777" w:rsidR="00FB79CF" w:rsidRDefault="00FB79CF" w:rsidP="00FB79CF">
      <w:pPr>
        <w:ind w:left="720"/>
        <w:rPr>
          <w:rFonts w:ascii="Times New Roman" w:hAnsi="Times New Roman"/>
          <w:sz w:val="24"/>
          <w:szCs w:val="24"/>
        </w:rPr>
      </w:pPr>
      <w:r>
        <w:rPr>
          <w:rFonts w:ascii="Times New Roman" w:hAnsi="Times New Roman"/>
          <w:sz w:val="24"/>
          <w:szCs w:val="24"/>
        </w:rPr>
        <w:t>***</w:t>
      </w:r>
    </w:p>
    <w:p w14:paraId="5C4C0465" w14:textId="77777777" w:rsidR="00FB79CF" w:rsidRDefault="00FB79CF" w:rsidP="00FB79CF">
      <w:pPr>
        <w:ind w:left="720"/>
        <w:rPr>
          <w:rFonts w:ascii="Times New Roman" w:hAnsi="Times New Roman"/>
          <w:sz w:val="24"/>
          <w:szCs w:val="24"/>
        </w:rPr>
      </w:pPr>
      <w:r w:rsidRPr="00FB7826">
        <w:rPr>
          <w:rFonts w:ascii="Times New Roman" w:hAnsi="Times New Roman"/>
          <w:sz w:val="24"/>
          <w:szCs w:val="24"/>
        </w:rPr>
        <w:t xml:space="preserve">Malon testified that, in concluding that the fire was intentionally set and not caused by a smoldering marijuana cigarette, he had relied on </w:t>
      </w:r>
      <w:r>
        <w:rPr>
          <w:rFonts w:ascii="Times New Roman" w:hAnsi="Times New Roman"/>
          <w:sz w:val="24"/>
          <w:szCs w:val="24"/>
        </w:rPr>
        <w:t>‘</w:t>
      </w:r>
      <w:r w:rsidRPr="00FB7826">
        <w:rPr>
          <w:rFonts w:ascii="Times New Roman" w:hAnsi="Times New Roman"/>
          <w:sz w:val="24"/>
          <w:szCs w:val="24"/>
        </w:rPr>
        <w:t>several peer[ ]reviewed articles and studies done through NIST[,] National ․ Association of Fire Investigators[, and] Underwriters Laboratory,</w:t>
      </w:r>
      <w:r>
        <w:rPr>
          <w:rFonts w:ascii="Times New Roman" w:hAnsi="Times New Roman"/>
          <w:sz w:val="24"/>
          <w:szCs w:val="24"/>
        </w:rPr>
        <w:t>’</w:t>
      </w:r>
      <w:r w:rsidRPr="00FB7826">
        <w:rPr>
          <w:rFonts w:ascii="Times New Roman" w:hAnsi="Times New Roman"/>
          <w:sz w:val="24"/>
          <w:szCs w:val="24"/>
        </w:rPr>
        <w:t xml:space="preserve"> including </w:t>
      </w:r>
      <w:r>
        <w:rPr>
          <w:rFonts w:ascii="Times New Roman" w:hAnsi="Times New Roman"/>
          <w:sz w:val="24"/>
          <w:szCs w:val="24"/>
        </w:rPr>
        <w:t>‘</w:t>
      </w:r>
      <w:r w:rsidRPr="00FB7826">
        <w:rPr>
          <w:rFonts w:ascii="Times New Roman" w:hAnsi="Times New Roman"/>
          <w:sz w:val="24"/>
          <w:szCs w:val="24"/>
        </w:rPr>
        <w:t>one study from 2014 done by the National Association of Fire Investigators</w:t>
      </w:r>
      <w:r>
        <w:rPr>
          <w:rFonts w:ascii="Times New Roman" w:hAnsi="Times New Roman"/>
          <w:sz w:val="24"/>
          <w:szCs w:val="24"/>
        </w:rPr>
        <w:t>’</w:t>
      </w:r>
      <w:r w:rsidRPr="00FB7826">
        <w:rPr>
          <w:rFonts w:ascii="Times New Roman" w:hAnsi="Times New Roman"/>
          <w:sz w:val="24"/>
          <w:szCs w:val="24"/>
        </w:rPr>
        <w:t xml:space="preserve"> specifically addressing </w:t>
      </w:r>
      <w:r>
        <w:rPr>
          <w:rFonts w:ascii="Times New Roman" w:hAnsi="Times New Roman"/>
          <w:sz w:val="24"/>
          <w:szCs w:val="24"/>
        </w:rPr>
        <w:t>‘</w:t>
      </w:r>
      <w:r w:rsidRPr="00FB7826">
        <w:rPr>
          <w:rFonts w:ascii="Times New Roman" w:hAnsi="Times New Roman"/>
          <w:sz w:val="24"/>
          <w:szCs w:val="24"/>
        </w:rPr>
        <w:t>the propensity for hand rolled marijuana cigarettes and tube rolled marijuana cigarettes to be self-extinguished.</w:t>
      </w:r>
      <w:r>
        <w:rPr>
          <w:rFonts w:ascii="Times New Roman" w:hAnsi="Times New Roman"/>
          <w:sz w:val="24"/>
          <w:szCs w:val="24"/>
        </w:rPr>
        <w:t xml:space="preserve">’… </w:t>
      </w:r>
      <w:r w:rsidRPr="00FB7826">
        <w:rPr>
          <w:rFonts w:ascii="Times New Roman" w:hAnsi="Times New Roman"/>
          <w:sz w:val="24"/>
          <w:szCs w:val="24"/>
        </w:rPr>
        <w:t xml:space="preserve"> Tr. Under Evidence Rule 702(b), the trial court had discretion to conclude that Malon's reliance on those articles and studies was sufficient to show that his opinion was supported by reliable scientific principles. </w:t>
      </w:r>
    </w:p>
    <w:p w14:paraId="6B518489" w14:textId="77777777" w:rsidR="00FB79CF" w:rsidRDefault="00FB79CF" w:rsidP="00FB79CF">
      <w:pPr>
        <w:ind w:left="720"/>
        <w:rPr>
          <w:rFonts w:ascii="Times New Roman" w:hAnsi="Times New Roman"/>
          <w:sz w:val="24"/>
          <w:szCs w:val="24"/>
        </w:rPr>
      </w:pPr>
      <w:r>
        <w:rPr>
          <w:rFonts w:ascii="Times New Roman" w:hAnsi="Times New Roman"/>
          <w:sz w:val="24"/>
          <w:szCs w:val="24"/>
        </w:rPr>
        <w:t>[He testified.]</w:t>
      </w:r>
    </w:p>
    <w:p w14:paraId="3156608D" w14:textId="77777777" w:rsidR="00FB79CF" w:rsidRPr="005260B5" w:rsidRDefault="00FB79CF" w:rsidP="00FB79CF">
      <w:pPr>
        <w:ind w:left="1440"/>
        <w:rPr>
          <w:rFonts w:ascii="Times New Roman" w:hAnsi="Times New Roman"/>
          <w:sz w:val="24"/>
          <w:szCs w:val="24"/>
        </w:rPr>
      </w:pPr>
      <w:r>
        <w:rPr>
          <w:rFonts w:ascii="Times New Roman" w:hAnsi="Times New Roman"/>
          <w:sz w:val="24"/>
          <w:szCs w:val="24"/>
        </w:rPr>
        <w:t>[S]</w:t>
      </w:r>
      <w:proofErr w:type="spellStart"/>
      <w:r w:rsidRPr="00265615">
        <w:rPr>
          <w:rFonts w:ascii="Times New Roman" w:hAnsi="Times New Roman"/>
          <w:sz w:val="24"/>
          <w:szCs w:val="24"/>
        </w:rPr>
        <w:t>tudies</w:t>
      </w:r>
      <w:proofErr w:type="spellEnd"/>
      <w:r w:rsidRPr="00265615">
        <w:rPr>
          <w:rFonts w:ascii="Times New Roman" w:hAnsi="Times New Roman"/>
          <w:sz w:val="24"/>
          <w:szCs w:val="24"/>
        </w:rPr>
        <w:t xml:space="preserve"> on smoldering fires indicate that the transition from a smoldering fire to an exothermic chemical reaction, which is where we see flaming fire, is twenty (20) minutes to several hours. Um, there was one </w:t>
      </w:r>
      <w:proofErr w:type="gramStart"/>
      <w:r w:rsidRPr="00265615">
        <w:rPr>
          <w:rFonts w:ascii="Times New Roman" w:hAnsi="Times New Roman"/>
          <w:sz w:val="24"/>
          <w:szCs w:val="24"/>
        </w:rPr>
        <w:t>particular peer</w:t>
      </w:r>
      <w:proofErr w:type="gramEnd"/>
      <w:r w:rsidRPr="00265615">
        <w:rPr>
          <w:rFonts w:ascii="Times New Roman" w:hAnsi="Times New Roman"/>
          <w:sz w:val="24"/>
          <w:szCs w:val="24"/>
        </w:rPr>
        <w:t xml:space="preserve"> reviewed article that stated twenty-two (22) minutes on average. But, um, according to other research, smoldering fire, making that transition is twenty (20) minutes to several hours.</w:t>
      </w:r>
      <w:r>
        <w:rPr>
          <w:rFonts w:ascii="Times New Roman" w:hAnsi="Times New Roman"/>
          <w:sz w:val="24"/>
          <w:szCs w:val="24"/>
        </w:rPr>
        <w:t>”</w:t>
      </w:r>
    </w:p>
    <w:p w14:paraId="72AC7CCC" w14:textId="27B58085" w:rsidR="00C32834" w:rsidRDefault="00C32834" w:rsidP="00C32834">
      <w:pPr>
        <w:rPr>
          <w:rFonts w:ascii="Times New Roman" w:hAnsi="Times New Roman"/>
          <w:b/>
          <w:bCs/>
          <w:sz w:val="24"/>
          <w:szCs w:val="24"/>
        </w:rPr>
      </w:pPr>
      <w:r w:rsidRPr="00FB7826">
        <w:rPr>
          <w:rFonts w:ascii="Times New Roman" w:hAnsi="Times New Roman"/>
          <w:b/>
          <w:bCs/>
          <w:sz w:val="24"/>
          <w:szCs w:val="24"/>
        </w:rPr>
        <w:t xml:space="preserve">Legal Lesson Learned: </w:t>
      </w:r>
      <w:r w:rsidR="00DA5BB7">
        <w:rPr>
          <w:rFonts w:ascii="Times New Roman" w:hAnsi="Times New Roman"/>
          <w:b/>
          <w:bCs/>
          <w:sz w:val="24"/>
          <w:szCs w:val="24"/>
        </w:rPr>
        <w:t>Expert</w:t>
      </w:r>
      <w:r w:rsidR="00C93B37">
        <w:rPr>
          <w:rFonts w:ascii="Times New Roman" w:hAnsi="Times New Roman"/>
          <w:b/>
          <w:bCs/>
          <w:sz w:val="24"/>
          <w:szCs w:val="24"/>
        </w:rPr>
        <w:t xml:space="preserve"> may offer opinion on cause of fire</w:t>
      </w:r>
      <w:r w:rsidR="003A0275">
        <w:rPr>
          <w:rFonts w:ascii="Times New Roman" w:hAnsi="Times New Roman"/>
          <w:b/>
          <w:bCs/>
          <w:sz w:val="24"/>
          <w:szCs w:val="24"/>
        </w:rPr>
        <w:t>.</w:t>
      </w:r>
      <w:r>
        <w:rPr>
          <w:rFonts w:ascii="Times New Roman" w:hAnsi="Times New Roman"/>
          <w:b/>
          <w:bCs/>
          <w:sz w:val="24"/>
          <w:szCs w:val="24"/>
        </w:rPr>
        <w:t xml:space="preserve"> </w:t>
      </w:r>
    </w:p>
    <w:p w14:paraId="5E3CA175" w14:textId="77777777" w:rsidR="00C32834" w:rsidRPr="002D4090" w:rsidRDefault="00C32834" w:rsidP="00C32834">
      <w:pPr>
        <w:rPr>
          <w:rFonts w:ascii="Times New Roman" w:hAnsi="Times New Roman"/>
          <w:sz w:val="24"/>
          <w:szCs w:val="24"/>
        </w:rPr>
      </w:pPr>
      <w:r w:rsidRPr="002D4090">
        <w:rPr>
          <w:rFonts w:ascii="Times New Roman" w:hAnsi="Times New Roman"/>
          <w:b/>
          <w:bCs/>
          <w:sz w:val="24"/>
          <w:szCs w:val="24"/>
        </w:rPr>
        <w:tab/>
      </w:r>
      <w:r w:rsidRPr="002D4090">
        <w:rPr>
          <w:rFonts w:ascii="Times New Roman" w:hAnsi="Times New Roman"/>
          <w:sz w:val="24"/>
          <w:szCs w:val="24"/>
        </w:rPr>
        <w:t>Note: Rule 702 provides:</w:t>
      </w:r>
    </w:p>
    <w:p w14:paraId="570AEF60" w14:textId="77777777" w:rsidR="00C32834" w:rsidRPr="002D4090" w:rsidRDefault="00C32834" w:rsidP="00C32834">
      <w:pPr>
        <w:ind w:left="720"/>
        <w:rPr>
          <w:rFonts w:ascii="Times New Roman" w:hAnsi="Times New Roman"/>
          <w:sz w:val="24"/>
          <w:szCs w:val="24"/>
        </w:rPr>
      </w:pPr>
      <w:r w:rsidRPr="002D4090">
        <w:rPr>
          <w:rFonts w:ascii="Times New Roman" w:hAnsi="Times New Roman"/>
          <w:sz w:val="24"/>
          <w:szCs w:val="24"/>
        </w:rPr>
        <w:t>A witness who is qualified as an expert by knowledge, skill, experience, training, or education may testify in the form of an opinion or otherwise if the proponent demonstrates to the court that it is more likely than not that:</w:t>
      </w:r>
    </w:p>
    <w:p w14:paraId="598E28F7"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(a)</w:t>
      </w:r>
      <w:r w:rsidRPr="002D4090">
        <w:rPr>
          <w:rFonts w:ascii="Times New Roman" w:hAnsi="Times New Roman"/>
          <w:sz w:val="24"/>
          <w:szCs w:val="24"/>
        </w:rPr>
        <w:t xml:space="preserve"> the expert’s scientific, technical, or other specialized knowledge will help the trier of fact to understand the evidence or to determine a fact in issue;</w:t>
      </w:r>
    </w:p>
    <w:p w14:paraId="3DC66592"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(b)</w:t>
      </w:r>
      <w:r w:rsidRPr="002D4090">
        <w:rPr>
          <w:rFonts w:ascii="Times New Roman" w:hAnsi="Times New Roman"/>
          <w:sz w:val="24"/>
          <w:szCs w:val="24"/>
        </w:rPr>
        <w:t xml:space="preserve"> the testimony is based on sufficient facts or data;</w:t>
      </w:r>
    </w:p>
    <w:p w14:paraId="7F3363B5" w14:textId="77777777" w:rsidR="00C32834" w:rsidRPr="002D4090" w:rsidRDefault="00C32834" w:rsidP="00C32834">
      <w:pPr>
        <w:ind w:firstLine="720"/>
        <w:rPr>
          <w:rFonts w:ascii="Times New Roman" w:hAnsi="Times New Roman"/>
          <w:sz w:val="24"/>
          <w:szCs w:val="24"/>
        </w:rPr>
      </w:pPr>
      <w:r w:rsidRPr="002D4090">
        <w:rPr>
          <w:rFonts w:ascii="Times New Roman" w:hAnsi="Times New Roman"/>
          <w:b/>
          <w:bCs/>
          <w:sz w:val="24"/>
          <w:szCs w:val="24"/>
        </w:rPr>
        <w:t>(c)</w:t>
      </w:r>
      <w:r w:rsidRPr="002D4090">
        <w:rPr>
          <w:rFonts w:ascii="Times New Roman" w:hAnsi="Times New Roman"/>
          <w:sz w:val="24"/>
          <w:szCs w:val="24"/>
        </w:rPr>
        <w:t xml:space="preserve"> the testimony is the product of reliable principles and methods; and</w:t>
      </w:r>
    </w:p>
    <w:p w14:paraId="71851681"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(d)</w:t>
      </w:r>
      <w:r w:rsidRPr="002D4090">
        <w:rPr>
          <w:rFonts w:ascii="Times New Roman" w:hAnsi="Times New Roman"/>
          <w:sz w:val="24"/>
          <w:szCs w:val="24"/>
        </w:rPr>
        <w:t xml:space="preserve"> the expert's opinion reflects a reliable application of the principles and methods to the facts of the case. </w:t>
      </w:r>
      <w:hyperlink r:id="rId151" w:history="1">
        <w:r w:rsidRPr="002D4090">
          <w:rPr>
            <w:rStyle w:val="Hyperlink"/>
            <w:rFonts w:ascii="Times New Roman" w:hAnsi="Times New Roman"/>
            <w:sz w:val="24"/>
            <w:szCs w:val="24"/>
          </w:rPr>
          <w:t>https://www.law.cornell.edu/rules/fre/rule_702</w:t>
        </w:r>
      </w:hyperlink>
      <w:r w:rsidRPr="002D4090">
        <w:rPr>
          <w:rFonts w:ascii="Times New Roman" w:hAnsi="Times New Roman"/>
          <w:sz w:val="24"/>
          <w:szCs w:val="24"/>
        </w:rPr>
        <w:t xml:space="preserve"> </w:t>
      </w:r>
    </w:p>
    <w:p w14:paraId="6E42A8BE" w14:textId="77777777" w:rsidR="00FB79CF" w:rsidRDefault="00FB79CF" w:rsidP="00B86628">
      <w:pPr>
        <w:pStyle w:val="NoSpacing"/>
        <w:rPr>
          <w:rFonts w:ascii="Arial Black" w:hAnsi="Arial Black"/>
          <w:sz w:val="24"/>
          <w:szCs w:val="24"/>
        </w:rPr>
      </w:pPr>
    </w:p>
    <w:p w14:paraId="28782CDC" w14:textId="62DF6EE9" w:rsidR="00316842" w:rsidRDefault="005178A4" w:rsidP="00B86628">
      <w:pPr>
        <w:pStyle w:val="NoSpacing"/>
        <w:rPr>
          <w:rFonts w:ascii="Arial Black" w:hAnsi="Arial Black"/>
          <w:sz w:val="24"/>
          <w:szCs w:val="24"/>
        </w:rPr>
      </w:pPr>
      <w:r>
        <w:rPr>
          <w:rFonts w:ascii="Arial Black" w:hAnsi="Arial Black"/>
          <w:sz w:val="24"/>
          <w:szCs w:val="24"/>
        </w:rPr>
        <w:t>1-151</w:t>
      </w:r>
    </w:p>
    <w:p w14:paraId="7D33C8D1" w14:textId="77777777" w:rsidR="005178A4" w:rsidRPr="00600BA8" w:rsidRDefault="005178A4" w:rsidP="005178A4">
      <w:pPr>
        <w:rPr>
          <w:rFonts w:ascii="Arial Black" w:hAnsi="Arial Black"/>
          <w:sz w:val="28"/>
        </w:rPr>
      </w:pPr>
      <w:r>
        <w:rPr>
          <w:rFonts w:ascii="Arial Black" w:hAnsi="Arial Black"/>
          <w:sz w:val="28"/>
        </w:rPr>
        <w:t xml:space="preserve">TN: FIREWORKS – CITY MGR / FIRE CHIEF - CANCELLED DUE TO P’s LAWSUIT – FRIVOLOUS CASES - Ps ATTY PAY $19,739 </w:t>
      </w:r>
    </w:p>
    <w:p w14:paraId="46AC0691" w14:textId="77777777" w:rsidR="005178A4" w:rsidRPr="005178A4" w:rsidRDefault="005178A4" w:rsidP="005178A4">
      <w:pPr>
        <w:pStyle w:val="NoSpacing"/>
        <w:rPr>
          <w:rFonts w:ascii="Times New Roman" w:hAnsi="Times New Roman"/>
          <w:sz w:val="24"/>
          <w:szCs w:val="24"/>
        </w:rPr>
      </w:pPr>
      <w:r w:rsidRPr="005178A4">
        <w:rPr>
          <w:rFonts w:ascii="Times New Roman" w:hAnsi="Times New Roman"/>
          <w:sz w:val="24"/>
          <w:szCs w:val="24"/>
        </w:rPr>
        <w:t xml:space="preserve">On July 25, 2024, in </w:t>
      </w:r>
      <w:r w:rsidRPr="005178A4">
        <w:rPr>
          <w:rFonts w:ascii="Times New Roman" w:hAnsi="Times New Roman"/>
          <w:sz w:val="24"/>
          <w:szCs w:val="24"/>
          <w:u w:val="single"/>
        </w:rPr>
        <w:t>Glenn Whiting v. City of Athens, Tennessee, et al.</w:t>
      </w:r>
      <w:r w:rsidRPr="005178A4">
        <w:rPr>
          <w:rFonts w:ascii="Times New Roman" w:hAnsi="Times New Roman"/>
          <w:sz w:val="24"/>
          <w:szCs w:val="24"/>
        </w:rPr>
        <w:t>, the U.S. Court of Appeals for 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(Cincinnati) held (3 to 0; unpublished decision) that U.S. District Court properly granted the defense motion to dismiss the three lawsuits filed by resident.  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wrote: “The district court correctly determined that Keith’s conduct was not sufficiently severe to support Whiting’s retaliation claim. Whiting alleged that Keith informed local news organizations that Whiting’s lawsuit related to the fireworks show was the reason that the 2023 display was canceled. We have repeatedly held that statements made regarding publicly available information do not constitute adverse actions.”  </w:t>
      </w:r>
      <w:hyperlink r:id="rId152" w:history="1">
        <w:r w:rsidRPr="005178A4">
          <w:rPr>
            <w:rStyle w:val="Hyperlink"/>
            <w:rFonts w:ascii="Times New Roman" w:hAnsi="Times New Roman"/>
            <w:sz w:val="24"/>
            <w:szCs w:val="24"/>
          </w:rPr>
          <w:t>https://www.opn.ca6.uscourts.gov/opinions.pdf/24a0323n-06.pdf</w:t>
        </w:r>
      </w:hyperlink>
      <w:r w:rsidRPr="005178A4">
        <w:rPr>
          <w:rFonts w:ascii="Times New Roman" w:hAnsi="Times New Roman"/>
          <w:sz w:val="24"/>
          <w:szCs w:val="24"/>
        </w:rPr>
        <w:t xml:space="preserve"> </w:t>
      </w:r>
    </w:p>
    <w:p w14:paraId="5084C044" w14:textId="77777777" w:rsidR="005178A4" w:rsidRPr="005178A4" w:rsidRDefault="005178A4" w:rsidP="005178A4">
      <w:pPr>
        <w:pStyle w:val="NoSpacing"/>
        <w:rPr>
          <w:rFonts w:ascii="Times New Roman" w:hAnsi="Times New Roman"/>
          <w:sz w:val="24"/>
          <w:szCs w:val="24"/>
        </w:rPr>
      </w:pPr>
    </w:p>
    <w:p w14:paraId="0FD0D782"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On  September 24, 2024, the U.S. District Court judge in Knoxville then granted City’s motion for attorney fees and ordered resident’s attorney to personally pay $19,739.80 for filing frivolous lawsuits.  The Court wrote: “According to Plaintiff, ABC obtained this information on May 18, 2023, from Defendant Mike Keith, who served as interim City Manager at the time. (Id. at 1, 3–4.) Before speaking with ABC, Keith had met with Defendant Brandon Ainsworth, then the City Fire Chief, who allegedly ‘informed Keith that he did not want to . . . order [City] firefighters to provided [sic</w:t>
      </w:r>
      <w:proofErr w:type="gramStart"/>
      <w:r w:rsidRPr="005178A4">
        <w:rPr>
          <w:rFonts w:ascii="Times New Roman" w:hAnsi="Times New Roman"/>
          <w:sz w:val="24"/>
          <w:szCs w:val="24"/>
        </w:rPr>
        <w:t>] emergency</w:t>
      </w:r>
      <w:proofErr w:type="gramEnd"/>
      <w:r w:rsidRPr="005178A4">
        <w:rPr>
          <w:rFonts w:ascii="Times New Roman" w:hAnsi="Times New Roman"/>
          <w:sz w:val="24"/>
          <w:szCs w:val="24"/>
        </w:rPr>
        <w:t xml:space="preserve"> protection at the 2023 Independence Day event. (Id. at 2, 4.) Plaintiff’s suit over the Event included City firefighters as defendants.” </w:t>
      </w:r>
      <w:hyperlink r:id="rId153" w:history="1">
        <w:r w:rsidRPr="005178A4">
          <w:rPr>
            <w:rStyle w:val="Hyperlink"/>
            <w:rFonts w:ascii="Times New Roman" w:hAnsi="Times New Roman"/>
            <w:sz w:val="24"/>
            <w:szCs w:val="24"/>
          </w:rPr>
          <w:t>https://cases.justia.com/federal/district-courts/tennessee/tnedce/3:2023cv00220/110152/57/0.pdf?ts=1727268755</w:t>
        </w:r>
      </w:hyperlink>
    </w:p>
    <w:p w14:paraId="59E851CB" w14:textId="77777777" w:rsidR="005178A4" w:rsidRPr="005178A4" w:rsidRDefault="005178A4" w:rsidP="005178A4">
      <w:pPr>
        <w:pStyle w:val="NoSpacing"/>
        <w:rPr>
          <w:rFonts w:ascii="Times New Roman" w:hAnsi="Times New Roman"/>
          <w:sz w:val="24"/>
          <w:szCs w:val="24"/>
        </w:rPr>
      </w:pPr>
    </w:p>
    <w:p w14:paraId="4096C218" w14:textId="77777777" w:rsidR="005178A4" w:rsidRPr="005178A4" w:rsidRDefault="005178A4" w:rsidP="005178A4">
      <w:pPr>
        <w:pStyle w:val="NoSpacing"/>
        <w:rPr>
          <w:rFonts w:ascii="Times New Roman" w:hAnsi="Times New Roman"/>
          <w:sz w:val="24"/>
          <w:szCs w:val="24"/>
        </w:rPr>
      </w:pPr>
    </w:p>
    <w:p w14:paraId="72A0FB64" w14:textId="77777777" w:rsidR="005178A4" w:rsidRPr="005178A4" w:rsidRDefault="005178A4" w:rsidP="005178A4">
      <w:pPr>
        <w:pStyle w:val="NoSpacing"/>
        <w:rPr>
          <w:rFonts w:ascii="Times New Roman" w:hAnsi="Times New Roman"/>
          <w:sz w:val="24"/>
          <w:szCs w:val="24"/>
        </w:rPr>
      </w:pPr>
      <w:r w:rsidRPr="005178A4">
        <w:rPr>
          <w:rFonts w:ascii="Times New Roman" w:hAnsi="Times New Roman"/>
          <w:sz w:val="24"/>
          <w:szCs w:val="24"/>
        </w:rPr>
        <w:t>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HELD:</w:t>
      </w:r>
    </w:p>
    <w:p w14:paraId="24D92204" w14:textId="77777777" w:rsidR="005178A4" w:rsidRPr="005178A4" w:rsidRDefault="005178A4" w:rsidP="005178A4">
      <w:pPr>
        <w:pStyle w:val="NoSpacing"/>
        <w:rPr>
          <w:rFonts w:ascii="Times New Roman" w:hAnsi="Times New Roman"/>
          <w:sz w:val="24"/>
          <w:szCs w:val="24"/>
        </w:rPr>
      </w:pPr>
    </w:p>
    <w:p w14:paraId="38FAC281" w14:textId="77777777" w:rsidR="005178A4" w:rsidRPr="005178A4" w:rsidRDefault="005178A4" w:rsidP="005178A4">
      <w:pPr>
        <w:pStyle w:val="NoSpacing"/>
        <w:ind w:firstLine="720"/>
        <w:rPr>
          <w:rFonts w:ascii="Times New Roman" w:hAnsi="Times New Roman"/>
          <w:sz w:val="24"/>
          <w:szCs w:val="24"/>
        </w:rPr>
      </w:pPr>
      <w:r w:rsidRPr="005178A4">
        <w:rPr>
          <w:rFonts w:ascii="Times New Roman" w:hAnsi="Times New Roman"/>
          <w:sz w:val="24"/>
          <w:szCs w:val="24"/>
        </w:rPr>
        <w:t>“The allegations in this case are based on events occurring several months after Whiting</w:t>
      </w:r>
    </w:p>
    <w:p w14:paraId="07049A8B"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 xml:space="preserve">filed his initial lawsuit. In May 2023, local news organizations reported that the </w:t>
      </w:r>
      <w:proofErr w:type="gramStart"/>
      <w:r w:rsidRPr="005178A4">
        <w:rPr>
          <w:rFonts w:ascii="Times New Roman" w:hAnsi="Times New Roman"/>
          <w:sz w:val="24"/>
          <w:szCs w:val="24"/>
        </w:rPr>
        <w:t>City</w:t>
      </w:r>
      <w:proofErr w:type="gramEnd"/>
      <w:r w:rsidRPr="005178A4">
        <w:rPr>
          <w:rFonts w:ascii="Times New Roman" w:hAnsi="Times New Roman"/>
          <w:sz w:val="24"/>
          <w:szCs w:val="24"/>
        </w:rPr>
        <w:t xml:space="preserve"> planned to cancel its fireworks show because of ‘[a] man’s pending lawsuit against several city officials over what happened at last year’s event.’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4. One news organization, ABC Channel 9, included a link to Whiting’s Complaint in the original action in its report. Keith was cited as the source of the information. After news of the litigation was publicized, Whiting claimed that members of the Athens community began pressuring him to drop the lawsuit. He claimed that he was contacted directly by </w:t>
      </w:r>
      <w:proofErr w:type="gramStart"/>
      <w:r w:rsidRPr="005178A4">
        <w:rPr>
          <w:rFonts w:ascii="Times New Roman" w:hAnsi="Times New Roman"/>
          <w:sz w:val="24"/>
          <w:szCs w:val="24"/>
        </w:rPr>
        <w:t>Athens</w:t>
      </w:r>
      <w:proofErr w:type="gramEnd"/>
      <w:r w:rsidRPr="005178A4">
        <w:rPr>
          <w:rFonts w:ascii="Times New Roman" w:hAnsi="Times New Roman"/>
          <w:sz w:val="24"/>
          <w:szCs w:val="24"/>
        </w:rPr>
        <w:t xml:space="preserve"> citizens and business owners, and that other community members posted on social media ‘blaming [him] for the cancellation and urging him to dismiss his cases.’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4–5. He alleged that the public’s response to news of his lawsuits ‘impaired [his] reputation and standing in the community’ and caused him ‘personal humiliation.’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19.</w:t>
      </w:r>
    </w:p>
    <w:p w14:paraId="56A98B81" w14:textId="77777777" w:rsidR="005178A4" w:rsidRPr="005178A4" w:rsidRDefault="005178A4" w:rsidP="005178A4">
      <w:pPr>
        <w:pStyle w:val="NoSpacing"/>
        <w:ind w:left="720"/>
        <w:rPr>
          <w:rFonts w:ascii="Times New Roman" w:hAnsi="Times New Roman"/>
          <w:sz w:val="24"/>
          <w:szCs w:val="24"/>
        </w:rPr>
      </w:pPr>
    </w:p>
    <w:p w14:paraId="4159B8DE"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2A15F0CB" w14:textId="77777777" w:rsidR="005178A4" w:rsidRPr="005178A4" w:rsidRDefault="005178A4" w:rsidP="005178A4">
      <w:pPr>
        <w:pStyle w:val="NoSpacing"/>
        <w:ind w:left="720"/>
        <w:rPr>
          <w:rFonts w:ascii="Times New Roman" w:hAnsi="Times New Roman"/>
          <w:sz w:val="24"/>
          <w:szCs w:val="24"/>
        </w:rPr>
      </w:pPr>
    </w:p>
    <w:p w14:paraId="26C374EA"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Whiting filed a third lawsuit several weeks later (No. 3:23-CV-221), claiming that the City Mayor lied about settlement negotiations between Whiting and the City. The district court granted the defendants’ motion to dismiss all claims in Case No. 3:23-CV-221 in November 2023.</w:t>
      </w:r>
    </w:p>
    <w:p w14:paraId="3368EE54" w14:textId="77777777" w:rsidR="005178A4" w:rsidRPr="005178A4" w:rsidRDefault="005178A4" w:rsidP="005178A4">
      <w:pPr>
        <w:pStyle w:val="NoSpacing"/>
        <w:ind w:left="720"/>
        <w:rPr>
          <w:rFonts w:ascii="Times New Roman" w:hAnsi="Times New Roman"/>
          <w:sz w:val="24"/>
          <w:szCs w:val="24"/>
        </w:rPr>
      </w:pPr>
    </w:p>
    <w:p w14:paraId="5B8BE4A1"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20CEE5B5" w14:textId="77777777" w:rsidR="005178A4" w:rsidRPr="005178A4" w:rsidRDefault="005178A4" w:rsidP="005178A4">
      <w:pPr>
        <w:pStyle w:val="NoSpacing"/>
        <w:rPr>
          <w:rFonts w:ascii="Times New Roman" w:hAnsi="Times New Roman"/>
          <w:sz w:val="24"/>
          <w:szCs w:val="24"/>
        </w:rPr>
      </w:pPr>
    </w:p>
    <w:p w14:paraId="3C4F15D7"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The court dismissed Whiting’s retaliation claim because he did not show that Keith’s statements to the media constituted an adverse action that would deter an average person from continuing to exercise his First Amendment rights.</w:t>
      </w:r>
    </w:p>
    <w:p w14:paraId="41059EB7" w14:textId="77777777" w:rsidR="005178A4" w:rsidRPr="005178A4" w:rsidRDefault="005178A4" w:rsidP="005178A4">
      <w:pPr>
        <w:pStyle w:val="NoSpacing"/>
        <w:ind w:left="720"/>
        <w:rPr>
          <w:rFonts w:ascii="Times New Roman" w:hAnsi="Times New Roman"/>
          <w:sz w:val="24"/>
          <w:szCs w:val="24"/>
        </w:rPr>
      </w:pPr>
    </w:p>
    <w:p w14:paraId="0FA6A282"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06B50868" w14:textId="77777777" w:rsidR="005178A4" w:rsidRPr="005178A4" w:rsidRDefault="005178A4" w:rsidP="005178A4">
      <w:pPr>
        <w:pStyle w:val="NoSpacing"/>
        <w:rPr>
          <w:rFonts w:ascii="Times New Roman" w:hAnsi="Times New Roman"/>
          <w:sz w:val="24"/>
          <w:szCs w:val="24"/>
        </w:rPr>
      </w:pPr>
    </w:p>
    <w:p w14:paraId="6A103394" w14:textId="77777777" w:rsidR="005178A4" w:rsidRPr="005178A4" w:rsidRDefault="005178A4" w:rsidP="005178A4">
      <w:pPr>
        <w:pStyle w:val="NoSpacing"/>
        <w:ind w:firstLine="720"/>
        <w:rPr>
          <w:rFonts w:ascii="Times New Roman" w:hAnsi="Times New Roman"/>
          <w:sz w:val="24"/>
          <w:szCs w:val="24"/>
        </w:rPr>
      </w:pPr>
      <w:r w:rsidRPr="005178A4">
        <w:rPr>
          <w:rFonts w:ascii="Times New Roman" w:hAnsi="Times New Roman"/>
          <w:sz w:val="24"/>
          <w:szCs w:val="24"/>
        </w:rPr>
        <w:t>The district court correctly determined that Keith’s conduct was not sufficiently severe to</w:t>
      </w:r>
    </w:p>
    <w:p w14:paraId="0A979EA5"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 xml:space="preserve">support Whiting’s retaliation claim. Whiting alleged that Keith informed local news organizations that Whiting’s lawsuit related to the fireworks show was the reason that the 2023 display was canceled. We have repeatedly held that statements made regarding publicly available information do not constitute adverse actions. See, e.g., McComas v. Bd. of Educ., Rock Hill Loc. Sch. Dist., 422 F. </w:t>
      </w:r>
      <w:proofErr w:type="spellStart"/>
      <w:r w:rsidRPr="005178A4">
        <w:rPr>
          <w:rFonts w:ascii="Times New Roman" w:hAnsi="Times New Roman"/>
          <w:sz w:val="24"/>
          <w:szCs w:val="24"/>
        </w:rPr>
        <w:t>App’x</w:t>
      </w:r>
      <w:proofErr w:type="spellEnd"/>
      <w:r w:rsidRPr="005178A4">
        <w:rPr>
          <w:rFonts w:ascii="Times New Roman" w:hAnsi="Times New Roman"/>
          <w:sz w:val="24"/>
          <w:szCs w:val="24"/>
        </w:rPr>
        <w:t xml:space="preserve"> 462, 469 (6th Cir. 2011) (superintendent’s statement at School Board meeting regarding the plaintiff’s role in a fight at school was not an adverse action); </w:t>
      </w:r>
      <w:proofErr w:type="spellStart"/>
      <w:r w:rsidRPr="005178A4">
        <w:rPr>
          <w:rFonts w:ascii="Times New Roman" w:hAnsi="Times New Roman"/>
          <w:sz w:val="24"/>
          <w:szCs w:val="24"/>
        </w:rPr>
        <w:t>Mezibov</w:t>
      </w:r>
      <w:proofErr w:type="spellEnd"/>
      <w:r w:rsidRPr="005178A4">
        <w:rPr>
          <w:rFonts w:ascii="Times New Roman" w:hAnsi="Times New Roman"/>
          <w:sz w:val="24"/>
          <w:szCs w:val="24"/>
        </w:rPr>
        <w:t xml:space="preserve"> v. Allen, 411 F.3d 712, 722–23 (6th Cir. 2005) (prosecutor’s statements to local news media that the plaintiff “is a bad attorney, that he is inexperienced, and that he was putting his own interests before those of his client” are insufficiently adverse); Mattox v. City of Forest Park, 183 F.3d 515, 522–23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 1999) (publishing a report detailing plaintiffs’ efforts at investigating the City’s Fire Department, which included “revealing personal statements,” was not an adverse action).”</w:t>
      </w:r>
    </w:p>
    <w:p w14:paraId="3D3A35EE" w14:textId="77777777" w:rsidR="005178A4" w:rsidRDefault="005178A4" w:rsidP="00B86628">
      <w:pPr>
        <w:pStyle w:val="NoSpacing"/>
        <w:rPr>
          <w:rFonts w:ascii="Arial Black" w:hAnsi="Arial Black"/>
          <w:sz w:val="24"/>
          <w:szCs w:val="24"/>
        </w:rPr>
      </w:pPr>
    </w:p>
    <w:p w14:paraId="7C7947EF" w14:textId="77777777" w:rsidR="00A91BAB" w:rsidRPr="00502261" w:rsidRDefault="00A91BAB" w:rsidP="00A91BAB">
      <w:pPr>
        <w:pStyle w:val="NoSpacing"/>
        <w:rPr>
          <w:rFonts w:ascii="Times New Roman" w:hAnsi="Times New Roman"/>
          <w:b/>
          <w:bCs/>
          <w:sz w:val="24"/>
          <w:szCs w:val="24"/>
        </w:rPr>
      </w:pPr>
      <w:r w:rsidRPr="00502261">
        <w:rPr>
          <w:rFonts w:ascii="Times New Roman" w:hAnsi="Times New Roman"/>
          <w:b/>
          <w:bCs/>
          <w:sz w:val="24"/>
          <w:szCs w:val="24"/>
        </w:rPr>
        <w:t xml:space="preserve">Legal Lesson Learned: The City Manager can lawfully inform the Press why the fireworks were cancelled.  </w:t>
      </w:r>
    </w:p>
    <w:p w14:paraId="64FA96D5" w14:textId="77777777" w:rsidR="00A91BAB" w:rsidRPr="00502261" w:rsidRDefault="00A91BAB" w:rsidP="00B86628">
      <w:pPr>
        <w:pStyle w:val="NoSpacing"/>
        <w:rPr>
          <w:rFonts w:ascii="Times New Roman" w:hAnsi="Times New Roman"/>
          <w:sz w:val="24"/>
          <w:szCs w:val="24"/>
        </w:rPr>
      </w:pPr>
    </w:p>
    <w:p w14:paraId="1AD0E1D5" w14:textId="77777777" w:rsidR="00316842" w:rsidRDefault="00316842" w:rsidP="00B86628">
      <w:pPr>
        <w:pStyle w:val="NoSpacing"/>
        <w:rPr>
          <w:rFonts w:ascii="Arial Black" w:hAnsi="Arial Black"/>
          <w:sz w:val="24"/>
          <w:szCs w:val="24"/>
        </w:rPr>
      </w:pPr>
    </w:p>
    <w:p w14:paraId="2B2D8B97" w14:textId="77777777" w:rsidR="005178A4" w:rsidRDefault="005178A4" w:rsidP="00B86628">
      <w:pPr>
        <w:pStyle w:val="NoSpacing"/>
        <w:rPr>
          <w:rFonts w:ascii="Arial Black" w:hAnsi="Arial Black"/>
          <w:sz w:val="24"/>
          <w:szCs w:val="24"/>
        </w:rPr>
      </w:pPr>
    </w:p>
    <w:p w14:paraId="71664E6F" w14:textId="77777777" w:rsidR="005178A4" w:rsidRDefault="005178A4" w:rsidP="00B86628">
      <w:pPr>
        <w:pStyle w:val="NoSpacing"/>
        <w:rPr>
          <w:rFonts w:ascii="Arial Black" w:hAnsi="Arial Black"/>
          <w:sz w:val="24"/>
          <w:szCs w:val="24"/>
        </w:rPr>
      </w:pPr>
    </w:p>
    <w:p w14:paraId="1E4FFF6A" w14:textId="77777777" w:rsidR="005178A4" w:rsidRDefault="005178A4" w:rsidP="00B86628">
      <w:pPr>
        <w:pStyle w:val="NoSpacing"/>
        <w:rPr>
          <w:rFonts w:ascii="Arial Black" w:hAnsi="Arial Black"/>
          <w:sz w:val="24"/>
          <w:szCs w:val="24"/>
        </w:rPr>
      </w:pPr>
    </w:p>
    <w:p w14:paraId="22384F59" w14:textId="7CDBFB98" w:rsidR="004E46C8" w:rsidRDefault="004E46C8" w:rsidP="00B86628">
      <w:pPr>
        <w:pStyle w:val="NoSpacing"/>
        <w:rPr>
          <w:rFonts w:ascii="Arial Black" w:hAnsi="Arial Black"/>
          <w:sz w:val="24"/>
          <w:szCs w:val="24"/>
        </w:rPr>
      </w:pPr>
      <w:r>
        <w:rPr>
          <w:rFonts w:ascii="Arial Black" w:hAnsi="Arial Black"/>
          <w:sz w:val="24"/>
          <w:szCs w:val="24"/>
        </w:rPr>
        <w:t>1-150</w:t>
      </w:r>
    </w:p>
    <w:p w14:paraId="14D7BD6C" w14:textId="714010B3" w:rsidR="004E46C8" w:rsidRPr="00704A1E" w:rsidRDefault="004E46C8" w:rsidP="004E46C8">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VT: PROPERTY OWNER - 3 RVs – HOMELESS LIV</w:t>
      </w:r>
      <w:r w:rsidR="003016F0">
        <w:rPr>
          <w:rFonts w:ascii="Arial Black" w:hAnsi="Arial Black"/>
          <w:b/>
          <w:bCs/>
          <w:color w:val="454545"/>
          <w:sz w:val="28"/>
          <w:szCs w:val="28"/>
          <w:shd w:val="clear" w:color="auto" w:fill="FFFFFF"/>
        </w:rPr>
        <w:t>ING</w:t>
      </w:r>
      <w:r>
        <w:rPr>
          <w:rFonts w:ascii="Arial Black" w:hAnsi="Arial Black"/>
          <w:b/>
          <w:bCs/>
          <w:color w:val="454545"/>
          <w:sz w:val="28"/>
          <w:szCs w:val="28"/>
          <w:shd w:val="clear" w:color="auto" w:fill="FFFFFF"/>
        </w:rPr>
        <w:t xml:space="preserve"> THERE – VIOLATION OF HEALTH AND SAFETY CODE</w:t>
      </w:r>
    </w:p>
    <w:p w14:paraId="338A839E" w14:textId="51B19CF7" w:rsidR="004E46C8" w:rsidRPr="008F6524" w:rsidRDefault="004E46C8" w:rsidP="004E46C8">
      <w:pPr>
        <w:pStyle w:val="NormalWeb"/>
        <w:rPr>
          <w:color w:val="454545"/>
          <w:shd w:val="clear" w:color="auto" w:fill="FFFFFF"/>
        </w:rPr>
      </w:pPr>
      <w:r w:rsidRPr="008F6524">
        <w:rPr>
          <w:shd w:val="clear" w:color="auto" w:fill="FFFFFF"/>
        </w:rPr>
        <w:t xml:space="preserve">On July 12, 2024, </w:t>
      </w:r>
      <w:proofErr w:type="gramStart"/>
      <w:r w:rsidRPr="008F6524">
        <w:rPr>
          <w:color w:val="454545"/>
          <w:u w:val="single"/>
          <w:shd w:val="clear" w:color="auto" w:fill="FFFFFF"/>
        </w:rPr>
        <w:t>In</w:t>
      </w:r>
      <w:proofErr w:type="gramEnd"/>
      <w:r w:rsidRPr="008F6524">
        <w:rPr>
          <w:color w:val="454545"/>
          <w:u w:val="single"/>
          <w:shd w:val="clear" w:color="auto" w:fill="FFFFFF"/>
        </w:rPr>
        <w:t xml:space="preserve"> re Kurt </w:t>
      </w:r>
      <w:proofErr w:type="spellStart"/>
      <w:r w:rsidRPr="008F6524">
        <w:rPr>
          <w:color w:val="454545"/>
          <w:u w:val="single"/>
          <w:shd w:val="clear" w:color="auto" w:fill="FFFFFF"/>
        </w:rPr>
        <w:t>Daims</w:t>
      </w:r>
      <w:proofErr w:type="spellEnd"/>
      <w:r w:rsidRPr="008F6524">
        <w:rPr>
          <w:color w:val="454545"/>
          <w:u w:val="single"/>
          <w:shd w:val="clear" w:color="auto" w:fill="FFFFFF"/>
        </w:rPr>
        <w:t>/Brattleboro Common Sense</w:t>
      </w:r>
      <w:r w:rsidRPr="008F6524">
        <w:rPr>
          <w:b/>
          <w:bCs/>
          <w:color w:val="454545"/>
          <w:shd w:val="clear" w:color="auto" w:fill="FFFFFF"/>
        </w:rPr>
        <w:t xml:space="preserve">, </w:t>
      </w:r>
      <w:r w:rsidRPr="008F6524">
        <w:rPr>
          <w:color w:val="454545"/>
          <w:shd w:val="clear" w:color="auto" w:fill="FFFFFF"/>
        </w:rPr>
        <w:t xml:space="preserve">they Vermont Supreme Court held (3 to 0) that ordinance was lawful and applied to RVs, rejecting the property owner’s argument that RVs are not “regular residents.” The property owner was given </w:t>
      </w:r>
      <w:r w:rsidR="00CE10E8" w:rsidRPr="008F6524">
        <w:rPr>
          <w:color w:val="454545"/>
          <w:shd w:val="clear" w:color="auto" w:fill="FFFFFF"/>
        </w:rPr>
        <w:t>two-day</w:t>
      </w:r>
      <w:r w:rsidRPr="008F6524">
        <w:rPr>
          <w:color w:val="454545"/>
          <w:shd w:val="clear" w:color="auto" w:fill="FFFFFF"/>
        </w:rPr>
        <w:t xml:space="preserve"> hearing before the Vermont Board of Health, which upheld the eight code citations.  The Vermont Supreme Court agreed that code applied to RVs. “</w:t>
      </w:r>
      <w:r w:rsidRPr="008F6524">
        <w:rPr>
          <w:shd w:val="clear" w:color="auto" w:fill="FFFFFF"/>
        </w:rPr>
        <w:t xml:space="preserve">We agree with the Board that the RVs should be considered regular residences and that appellants must comply with the code here. The RVs were offered to community members as living units.” </w:t>
      </w:r>
      <w:hyperlink r:id="rId154" w:history="1">
        <w:r w:rsidRPr="008F6524">
          <w:rPr>
            <w:rStyle w:val="Hyperlink"/>
            <w:shd w:val="clear" w:color="auto" w:fill="FFFFFF"/>
          </w:rPr>
          <w:t>https://casetext.com/case/in-re-daims</w:t>
        </w:r>
      </w:hyperlink>
      <w:r w:rsidRPr="008F6524">
        <w:rPr>
          <w:shd w:val="clear" w:color="auto" w:fill="FFFFFF"/>
        </w:rPr>
        <w:t xml:space="preserve"> </w:t>
      </w:r>
    </w:p>
    <w:p w14:paraId="63E824C1" w14:textId="77777777" w:rsidR="004E46C8" w:rsidRDefault="004E46C8" w:rsidP="004E46C8">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5BD6F094" w14:textId="77777777" w:rsidR="004E46C8" w:rsidRDefault="004E46C8" w:rsidP="004E46C8">
      <w:pPr>
        <w:pStyle w:val="NoSpacing"/>
        <w:rPr>
          <w:rFonts w:ascii="Times New Roman" w:hAnsi="Times New Roman"/>
          <w:sz w:val="24"/>
          <w:szCs w:val="24"/>
          <w:shd w:val="clear" w:color="auto" w:fill="FFFFFF"/>
        </w:rPr>
      </w:pPr>
    </w:p>
    <w:p w14:paraId="5FD85041" w14:textId="77777777" w:rsidR="004E46C8" w:rsidRPr="00CB28D7" w:rsidRDefault="004E46C8" w:rsidP="004E46C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Appellants argue that the RVs should not be subject to the code because they are not a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regular residence.</w:t>
      </w:r>
      <w:r>
        <w:rPr>
          <w:rFonts w:ascii="Times New Roman" w:hAnsi="Times New Roman"/>
          <w:sz w:val="24"/>
          <w:szCs w:val="24"/>
          <w:shd w:val="clear" w:color="auto" w:fill="FFFFFF"/>
        </w:rPr>
        <w:t xml:space="preserve">’ </w:t>
      </w:r>
      <w:r w:rsidRPr="006F5AC1">
        <w:rPr>
          <w:rFonts w:ascii="Times New Roman" w:hAnsi="Times New Roman"/>
          <w:sz w:val="24"/>
          <w:szCs w:val="24"/>
          <w:shd w:val="clear" w:color="auto" w:fill="FFFFFF"/>
        </w:rPr>
        <w:t xml:space="preserve"> See RRHHS Code § 3.1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This Rental Housing Health and Safety Code shall apply to all rented dwellings, dwelling units, rooming houses, rooming units, and mobile home lots used as a regular residence.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6F5AC1">
        <w:rPr>
          <w:rFonts w:ascii="Times New Roman" w:hAnsi="Times New Roman"/>
          <w:sz w:val="24"/>
          <w:szCs w:val="24"/>
          <w:shd w:val="clear" w:color="auto" w:fill="FFFFFF"/>
        </w:rPr>
        <w:t xml:space="preserve">We agree with the Board that the RVs should be considered regular residences and that appellants must comply with the code here. The RVs were offered to community members as living units. They fit within the definition of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units.</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See </w:t>
      </w:r>
      <w:r w:rsidRPr="006F5AC1">
        <w:rPr>
          <w:rFonts w:ascii="Times New Roman" w:hAnsi="Times New Roman"/>
          <w:i/>
          <w:iCs/>
          <w:sz w:val="24"/>
          <w:szCs w:val="24"/>
          <w:shd w:val="clear" w:color="auto" w:fill="FFFFFF"/>
        </w:rPr>
        <w:t>id</w:t>
      </w:r>
      <w:r w:rsidRPr="006F5AC1">
        <w:rPr>
          <w:rFonts w:ascii="Times New Roman" w:hAnsi="Times New Roman"/>
          <w:sz w:val="24"/>
          <w:szCs w:val="24"/>
          <w:shd w:val="clear" w:color="auto" w:fill="FFFFFF"/>
        </w:rPr>
        <w:t xml:space="preserve">. § 4.20 (defining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unit</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 or group of rooms let to an individual or household for use as living and sleeping, but not for cooking or eating purposes, whether or not, common cooking facilities are made available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w:t>
      </w:r>
      <w:r w:rsidRPr="006F5AC1">
        <w:rPr>
          <w:rFonts w:ascii="Times New Roman" w:hAnsi="Times New Roman"/>
          <w:i/>
          <w:iCs/>
          <w:sz w:val="24"/>
          <w:szCs w:val="24"/>
          <w:shd w:val="clear" w:color="auto" w:fill="FFFFFF"/>
        </w:rPr>
        <w:t>id</w:t>
      </w:r>
      <w:r w:rsidRPr="006F5AC1">
        <w:rPr>
          <w:rFonts w:ascii="Times New Roman" w:hAnsi="Times New Roman"/>
          <w:sz w:val="24"/>
          <w:szCs w:val="24"/>
          <w:shd w:val="clear" w:color="auto" w:fill="FFFFFF"/>
        </w:rPr>
        <w:t xml:space="preserve">. § 4.19 (defining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house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any dwelling or part thereof containing one or more rooming units and/or one or more dormitory rooms in which space is let by the owner or operator to one or more persons who are not immediate family members of the owner).</w:t>
      </w:r>
      <w:r>
        <w:rPr>
          <w:rFonts w:ascii="Times New Roman" w:hAnsi="Times New Roman"/>
          <w:sz w:val="24"/>
          <w:szCs w:val="24"/>
          <w:shd w:val="clear" w:color="auto" w:fill="FFFFFF"/>
        </w:rPr>
        <w:t>”</w:t>
      </w:r>
    </w:p>
    <w:p w14:paraId="3B851741" w14:textId="77777777" w:rsidR="00316842" w:rsidRDefault="00316842" w:rsidP="00316842">
      <w:pPr>
        <w:pStyle w:val="NoSpacing"/>
        <w:rPr>
          <w:rFonts w:ascii="Times New Roman" w:hAnsi="Times New Roman"/>
          <w:b/>
          <w:bCs/>
          <w:sz w:val="24"/>
          <w:szCs w:val="24"/>
          <w:shd w:val="clear" w:color="auto" w:fill="FFFFFF"/>
        </w:rPr>
      </w:pPr>
    </w:p>
    <w:p w14:paraId="2E89FB93" w14:textId="0B8BC083" w:rsidR="00316842" w:rsidRDefault="00316842" w:rsidP="00316842">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The property owner must comply with Health &amp; Safety Code. </w:t>
      </w:r>
    </w:p>
    <w:p w14:paraId="4BBF2CA0" w14:textId="77777777" w:rsidR="008F287B" w:rsidRDefault="008F287B" w:rsidP="00316842">
      <w:pPr>
        <w:pStyle w:val="NoSpacing"/>
        <w:rPr>
          <w:rFonts w:ascii="Times New Roman" w:hAnsi="Times New Roman"/>
          <w:b/>
          <w:bCs/>
          <w:sz w:val="24"/>
          <w:szCs w:val="24"/>
          <w:shd w:val="clear" w:color="auto" w:fill="FFFFFF"/>
        </w:rPr>
      </w:pPr>
    </w:p>
    <w:p w14:paraId="308C7055" w14:textId="77777777" w:rsidR="008F287B" w:rsidRDefault="008F287B" w:rsidP="008F287B">
      <w:pPr>
        <w:pStyle w:val="NormalWeb"/>
        <w:shd w:val="clear" w:color="auto" w:fill="FFFFFF"/>
        <w:spacing w:before="0" w:beforeAutospacing="0"/>
        <w:ind w:firstLine="720"/>
      </w:pPr>
      <w:r>
        <w:t xml:space="preserve">Note: See this article on the case. </w:t>
      </w:r>
    </w:p>
    <w:p w14:paraId="16BE2D18" w14:textId="77777777" w:rsidR="008F287B" w:rsidRPr="00F32EC7" w:rsidRDefault="008F287B" w:rsidP="008F287B">
      <w:pPr>
        <w:pStyle w:val="NormalWeb"/>
        <w:shd w:val="clear" w:color="auto" w:fill="FFFFFF"/>
        <w:spacing w:before="0"/>
        <w:ind w:left="720"/>
      </w:pPr>
      <w:r w:rsidRPr="00F32EC7">
        <w:t xml:space="preserve">July 23, 20243: Vermont Supreme Court rejects RV housing appeal in Brattleboro </w:t>
      </w:r>
      <w:hyperlink r:id="rId155" w:history="1">
        <w:r w:rsidRPr="00F32EC7">
          <w:rPr>
            <w:rStyle w:val="Hyperlink"/>
          </w:rPr>
          <w:t>https://www.reformer.com/local-news/vermont-supreme-court-rejects-rv-housing-appeal-in-brattleboro/article_1aa8b844-48f7-11ef-b1d5-5784c0449d3d.html</w:t>
        </w:r>
      </w:hyperlink>
      <w:r w:rsidRPr="00F32EC7">
        <w:t xml:space="preserve"> </w:t>
      </w:r>
    </w:p>
    <w:p w14:paraId="5FBC256D" w14:textId="77777777" w:rsidR="008F287B" w:rsidRPr="009C51DC" w:rsidRDefault="008F287B" w:rsidP="00316842">
      <w:pPr>
        <w:pStyle w:val="NoSpacing"/>
        <w:rPr>
          <w:rFonts w:ascii="Times New Roman" w:hAnsi="Times New Roman"/>
          <w:b/>
          <w:bCs/>
          <w:sz w:val="24"/>
          <w:szCs w:val="24"/>
          <w:shd w:val="clear" w:color="auto" w:fill="FFFFFF"/>
        </w:rPr>
      </w:pPr>
    </w:p>
    <w:p w14:paraId="59E08193" w14:textId="77777777" w:rsidR="004E46C8" w:rsidRDefault="004E46C8" w:rsidP="00B86628">
      <w:pPr>
        <w:pStyle w:val="NoSpacing"/>
        <w:rPr>
          <w:rFonts w:ascii="Arial Black" w:hAnsi="Arial Black"/>
          <w:sz w:val="24"/>
          <w:szCs w:val="24"/>
        </w:rPr>
      </w:pPr>
    </w:p>
    <w:p w14:paraId="34071149" w14:textId="77777777" w:rsidR="004E46C8" w:rsidRDefault="004E46C8" w:rsidP="00B86628">
      <w:pPr>
        <w:pStyle w:val="NoSpacing"/>
        <w:rPr>
          <w:rFonts w:ascii="Arial Black" w:hAnsi="Arial Black"/>
          <w:sz w:val="24"/>
          <w:szCs w:val="24"/>
        </w:rPr>
      </w:pPr>
    </w:p>
    <w:p w14:paraId="73C7002F" w14:textId="6548C6FF" w:rsidR="006A0C24" w:rsidRDefault="006A0C24" w:rsidP="00B86628">
      <w:pPr>
        <w:pStyle w:val="NoSpacing"/>
        <w:rPr>
          <w:rFonts w:ascii="Arial Black" w:hAnsi="Arial Black"/>
          <w:sz w:val="24"/>
          <w:szCs w:val="24"/>
        </w:rPr>
      </w:pPr>
      <w:r>
        <w:rPr>
          <w:rFonts w:ascii="Arial Black" w:hAnsi="Arial Black"/>
          <w:sz w:val="24"/>
          <w:szCs w:val="24"/>
        </w:rPr>
        <w:t>1-149</w:t>
      </w:r>
    </w:p>
    <w:p w14:paraId="2B17F572" w14:textId="77777777" w:rsidR="006A0C24" w:rsidRDefault="006A0C24" w:rsidP="00B86628">
      <w:pPr>
        <w:pStyle w:val="NoSpacing"/>
        <w:rPr>
          <w:rFonts w:ascii="Arial Black" w:hAnsi="Arial Black"/>
          <w:sz w:val="24"/>
          <w:szCs w:val="24"/>
        </w:rPr>
      </w:pPr>
    </w:p>
    <w:p w14:paraId="30431926" w14:textId="77777777" w:rsidR="002C7131" w:rsidRPr="00134702" w:rsidRDefault="002C7131" w:rsidP="002C7131">
      <w:pPr>
        <w:rPr>
          <w:rFonts w:ascii="Arial Black" w:hAnsi="Arial Black"/>
          <w:sz w:val="28"/>
          <w:szCs w:val="28"/>
        </w:rPr>
      </w:pPr>
      <w:r>
        <w:rPr>
          <w:rFonts w:ascii="Arial Black" w:hAnsi="Arial Black"/>
          <w:sz w:val="28"/>
          <w:szCs w:val="28"/>
        </w:rPr>
        <w:t>U.S. SUP. CT:  ARIZONA PRISONER DEATH SENTENCE REINSTATED – FED. HABEAS CORPUS DENIED</w:t>
      </w:r>
    </w:p>
    <w:p w14:paraId="19288EF7" w14:textId="77777777" w:rsidR="002C7131" w:rsidRDefault="002C7131" w:rsidP="002C7131">
      <w:pPr>
        <w:pStyle w:val="NoSpacing"/>
        <w:rPr>
          <w:rFonts w:ascii="Times New Roman" w:hAnsi="Times New Roman"/>
          <w:sz w:val="24"/>
          <w:szCs w:val="24"/>
        </w:rPr>
      </w:pPr>
      <w:r>
        <w:rPr>
          <w:rFonts w:ascii="Times New Roman" w:hAnsi="Times New Roman"/>
          <w:sz w:val="24"/>
          <w:szCs w:val="24"/>
        </w:rPr>
        <w:t xml:space="preserve">On May 30, 2024, in </w:t>
      </w:r>
      <w:r w:rsidRPr="00CB67D4">
        <w:rPr>
          <w:rFonts w:ascii="Times New Roman" w:hAnsi="Times New Roman"/>
          <w:sz w:val="24"/>
          <w:szCs w:val="24"/>
          <w:u w:val="single"/>
        </w:rPr>
        <w:t>Ryan Thornell, Director, Arizona Department of Corrections v. Danny Lee</w:t>
      </w:r>
      <w:r>
        <w:rPr>
          <w:rFonts w:ascii="Times New Roman" w:hAnsi="Times New Roman"/>
          <w:sz w:val="24"/>
          <w:szCs w:val="24"/>
        </w:rPr>
        <w:t>, the United States Supreme Court held (6 to 3) that the 3-judge panel of the U.S. Court of Appeals for 9</w:t>
      </w:r>
      <w:r w:rsidRPr="00A00284">
        <w:rPr>
          <w:rFonts w:ascii="Times New Roman" w:hAnsi="Times New Roman"/>
          <w:sz w:val="24"/>
          <w:szCs w:val="24"/>
          <w:vertAlign w:val="superscript"/>
        </w:rPr>
        <w:t>th</w:t>
      </w:r>
      <w:r>
        <w:rPr>
          <w:rFonts w:ascii="Times New Roman" w:hAnsi="Times New Roman"/>
          <w:sz w:val="24"/>
          <w:szCs w:val="24"/>
        </w:rPr>
        <w:t xml:space="preserve"> Circuit (San Francisco) incorrectly granted habeas corpus relief. The defendant stole guns from a home of a person with whom he was drinking to fund a trip to </w:t>
      </w:r>
      <w:proofErr w:type="gramStart"/>
      <w:r>
        <w:rPr>
          <w:rFonts w:ascii="Times New Roman" w:hAnsi="Times New Roman"/>
          <w:sz w:val="24"/>
          <w:szCs w:val="24"/>
        </w:rPr>
        <w:t>Las Vegas, and</w:t>
      </w:r>
      <w:proofErr w:type="gramEnd"/>
      <w:r>
        <w:rPr>
          <w:rFonts w:ascii="Times New Roman" w:hAnsi="Times New Roman"/>
          <w:sz w:val="24"/>
          <w:szCs w:val="24"/>
        </w:rPr>
        <w:t xml:space="preserve"> killed was a baseball bat three in the home, including 7-year-old girl. He was convicted by a jury in Arizona state court, and at sentencing hearing his defense counsel called as an expert witness a C</w:t>
      </w:r>
      <w:r w:rsidRPr="000C25FE">
        <w:rPr>
          <w:rFonts w:ascii="Times New Roman" w:hAnsi="Times New Roman"/>
          <w:sz w:val="24"/>
          <w:szCs w:val="24"/>
        </w:rPr>
        <w:t>ourt-appointed forensic</w:t>
      </w:r>
      <w:r>
        <w:rPr>
          <w:rFonts w:ascii="Times New Roman" w:hAnsi="Times New Roman"/>
          <w:sz w:val="24"/>
          <w:szCs w:val="24"/>
        </w:rPr>
        <w:t xml:space="preserve"> </w:t>
      </w:r>
      <w:r w:rsidRPr="000C25FE">
        <w:rPr>
          <w:rFonts w:ascii="Times New Roman" w:hAnsi="Times New Roman"/>
          <w:sz w:val="24"/>
          <w:szCs w:val="24"/>
        </w:rPr>
        <w:t>psychiatrist</w:t>
      </w:r>
      <w:r>
        <w:rPr>
          <w:rFonts w:ascii="Times New Roman" w:hAnsi="Times New Roman"/>
          <w:sz w:val="24"/>
          <w:szCs w:val="24"/>
        </w:rPr>
        <w:t xml:space="preserve"> who testified about the defendant’s troubled childhood.  The State judge sentenced him to death, affirmed on appeal by Arizona Supreme Court.  He then sought habeas corpus relied in Federal Court, and a U.S. District Court judge had held a hearing about the defendant’s terrible </w:t>
      </w:r>
      <w:proofErr w:type="gramStart"/>
      <w:r>
        <w:rPr>
          <w:rFonts w:ascii="Times New Roman" w:hAnsi="Times New Roman"/>
          <w:sz w:val="24"/>
          <w:szCs w:val="24"/>
        </w:rPr>
        <w:t>childhood, and</w:t>
      </w:r>
      <w:proofErr w:type="gramEnd"/>
      <w:r>
        <w:rPr>
          <w:rFonts w:ascii="Times New Roman" w:hAnsi="Times New Roman"/>
          <w:sz w:val="24"/>
          <w:szCs w:val="24"/>
        </w:rPr>
        <w:t xml:space="preserve"> then refused habeas corpus. The U.S. Supreme Court majority (Justice Samuel Alito wrote opinion): </w:t>
      </w:r>
    </w:p>
    <w:p w14:paraId="44014A22" w14:textId="77777777" w:rsidR="002C7131" w:rsidRDefault="002C7131" w:rsidP="002C7131">
      <w:pPr>
        <w:pStyle w:val="NoSpacing"/>
        <w:rPr>
          <w:rFonts w:ascii="Times New Roman" w:hAnsi="Times New Roman"/>
          <w:sz w:val="24"/>
          <w:szCs w:val="24"/>
        </w:rPr>
      </w:pPr>
    </w:p>
    <w:p w14:paraId="0085E13B" w14:textId="77777777" w:rsidR="002C7131" w:rsidRPr="00CB6CEF" w:rsidRDefault="002C7131" w:rsidP="002C7131">
      <w:pPr>
        <w:pStyle w:val="NoSpacing"/>
        <w:ind w:left="720"/>
        <w:rPr>
          <w:rFonts w:ascii="Times New Roman" w:hAnsi="Times New Roman"/>
          <w:sz w:val="24"/>
          <w:szCs w:val="24"/>
        </w:rPr>
      </w:pPr>
      <w:r>
        <w:rPr>
          <w:rFonts w:ascii="Times New Roman" w:hAnsi="Times New Roman"/>
          <w:sz w:val="24"/>
          <w:szCs w:val="24"/>
        </w:rPr>
        <w:t>“</w:t>
      </w:r>
      <w:r w:rsidRPr="00CB6CEF">
        <w:rPr>
          <w:rFonts w:ascii="Times New Roman" w:hAnsi="Times New Roman"/>
          <w:sz w:val="24"/>
          <w:szCs w:val="24"/>
        </w:rPr>
        <w:t>Jones also alleges significant childhood abuse. Brief for</w:t>
      </w:r>
      <w:r>
        <w:rPr>
          <w:rFonts w:ascii="Times New Roman" w:hAnsi="Times New Roman"/>
          <w:sz w:val="24"/>
          <w:szCs w:val="24"/>
        </w:rPr>
        <w:t xml:space="preserve"> </w:t>
      </w:r>
      <w:r w:rsidRPr="00CB6CEF">
        <w:rPr>
          <w:rFonts w:ascii="Times New Roman" w:hAnsi="Times New Roman"/>
          <w:sz w:val="24"/>
          <w:szCs w:val="24"/>
        </w:rPr>
        <w:t>Respondent 44. Again, however, Arizona courts had heard</w:t>
      </w:r>
      <w:r>
        <w:rPr>
          <w:rFonts w:ascii="Times New Roman" w:hAnsi="Times New Roman"/>
          <w:sz w:val="24"/>
          <w:szCs w:val="24"/>
        </w:rPr>
        <w:t xml:space="preserve"> </w:t>
      </w:r>
      <w:r w:rsidRPr="00CB6CEF">
        <w:rPr>
          <w:rFonts w:ascii="Times New Roman" w:hAnsi="Times New Roman"/>
          <w:sz w:val="24"/>
          <w:szCs w:val="24"/>
        </w:rPr>
        <w:t>much on this topic. They knew that Jones’s father abused</w:t>
      </w:r>
      <w:r>
        <w:rPr>
          <w:rFonts w:ascii="Times New Roman" w:hAnsi="Times New Roman"/>
          <w:sz w:val="24"/>
          <w:szCs w:val="24"/>
        </w:rPr>
        <w:t xml:space="preserve"> </w:t>
      </w:r>
      <w:r w:rsidRPr="00CB6CEF">
        <w:rPr>
          <w:rFonts w:ascii="Times New Roman" w:hAnsi="Times New Roman"/>
          <w:sz w:val="24"/>
          <w:szCs w:val="24"/>
        </w:rPr>
        <w:t xml:space="preserve">his pregnant mother, that his first stepfather beat </w:t>
      </w:r>
      <w:proofErr w:type="gramStart"/>
      <w:r w:rsidRPr="00CB6CEF">
        <w:rPr>
          <w:rFonts w:ascii="Times New Roman" w:hAnsi="Times New Roman"/>
          <w:sz w:val="24"/>
          <w:szCs w:val="24"/>
        </w:rPr>
        <w:t>both of</w:t>
      </w:r>
      <w:r>
        <w:rPr>
          <w:rFonts w:ascii="Times New Roman" w:hAnsi="Times New Roman"/>
          <w:sz w:val="24"/>
          <w:szCs w:val="24"/>
        </w:rPr>
        <w:t xml:space="preserve"> </w:t>
      </w:r>
      <w:r w:rsidRPr="00CB6CEF">
        <w:rPr>
          <w:rFonts w:ascii="Times New Roman" w:hAnsi="Times New Roman"/>
          <w:sz w:val="24"/>
          <w:szCs w:val="24"/>
        </w:rPr>
        <w:t>them</w:t>
      </w:r>
      <w:proofErr w:type="gramEnd"/>
      <w:r w:rsidRPr="00CB6CEF">
        <w:rPr>
          <w:rFonts w:ascii="Times New Roman" w:hAnsi="Times New Roman"/>
          <w:sz w:val="24"/>
          <w:szCs w:val="24"/>
        </w:rPr>
        <w:t>, and that his grandfather introduced him to drugs at</w:t>
      </w:r>
      <w:r>
        <w:rPr>
          <w:rFonts w:ascii="Times New Roman" w:hAnsi="Times New Roman"/>
          <w:sz w:val="24"/>
          <w:szCs w:val="24"/>
        </w:rPr>
        <w:t xml:space="preserve"> </w:t>
      </w:r>
      <w:r w:rsidRPr="00CB6CEF">
        <w:rPr>
          <w:rFonts w:ascii="Times New Roman" w:hAnsi="Times New Roman"/>
          <w:sz w:val="24"/>
          <w:szCs w:val="24"/>
        </w:rPr>
        <w:t>young age. And they received testimony that any period</w:t>
      </w:r>
      <w:r>
        <w:rPr>
          <w:rFonts w:ascii="Times New Roman" w:hAnsi="Times New Roman"/>
          <w:sz w:val="24"/>
          <w:szCs w:val="24"/>
        </w:rPr>
        <w:t xml:space="preserve"> </w:t>
      </w:r>
      <w:r w:rsidRPr="00CB6CEF">
        <w:rPr>
          <w:rFonts w:ascii="Times New Roman" w:hAnsi="Times New Roman"/>
          <w:sz w:val="24"/>
          <w:szCs w:val="24"/>
        </w:rPr>
        <w:t xml:space="preserve">of normalcy during Jones’s childhood was </w:t>
      </w:r>
      <w:r>
        <w:rPr>
          <w:rFonts w:ascii="Times New Roman" w:hAnsi="Times New Roman"/>
          <w:sz w:val="24"/>
          <w:szCs w:val="24"/>
        </w:rPr>
        <w:t>‘</w:t>
      </w:r>
      <w:r w:rsidRPr="00CB6CEF">
        <w:rPr>
          <w:rFonts w:ascii="Times New Roman" w:hAnsi="Times New Roman"/>
          <w:sz w:val="24"/>
          <w:szCs w:val="24"/>
        </w:rPr>
        <w:t>too late</w:t>
      </w:r>
      <w:r>
        <w:rPr>
          <w:rFonts w:ascii="Times New Roman" w:hAnsi="Times New Roman"/>
          <w:sz w:val="24"/>
          <w:szCs w:val="24"/>
        </w:rPr>
        <w:t>’</w:t>
      </w:r>
      <w:r w:rsidRPr="00CB6CEF">
        <w:rPr>
          <w:rFonts w:ascii="Times New Roman" w:hAnsi="Times New Roman"/>
          <w:sz w:val="24"/>
          <w:szCs w:val="24"/>
        </w:rPr>
        <w:t xml:space="preserve"> and </w:t>
      </w:r>
      <w:r>
        <w:rPr>
          <w:rFonts w:ascii="Times New Roman" w:hAnsi="Times New Roman"/>
          <w:sz w:val="24"/>
          <w:szCs w:val="24"/>
        </w:rPr>
        <w:t>‘</w:t>
      </w:r>
      <w:r w:rsidRPr="00CB6CEF">
        <w:rPr>
          <w:rFonts w:ascii="Times New Roman" w:hAnsi="Times New Roman"/>
          <w:sz w:val="24"/>
          <w:szCs w:val="24"/>
        </w:rPr>
        <w:t>not</w:t>
      </w:r>
      <w:r>
        <w:rPr>
          <w:rFonts w:ascii="Times New Roman" w:hAnsi="Times New Roman"/>
          <w:sz w:val="24"/>
          <w:szCs w:val="24"/>
        </w:rPr>
        <w:t xml:space="preserve"> </w:t>
      </w:r>
      <w:r w:rsidRPr="00CB6CEF">
        <w:rPr>
          <w:rFonts w:ascii="Times New Roman" w:hAnsi="Times New Roman"/>
          <w:sz w:val="24"/>
          <w:szCs w:val="24"/>
        </w:rPr>
        <w:t>strong enough to counter the earlier abuse.</w:t>
      </w:r>
      <w:r>
        <w:rPr>
          <w:rFonts w:ascii="Times New Roman" w:hAnsi="Times New Roman"/>
          <w:sz w:val="24"/>
          <w:szCs w:val="24"/>
        </w:rPr>
        <w:t xml:space="preserve">’ </w:t>
      </w:r>
      <w:r w:rsidRPr="00CB6CEF">
        <w:rPr>
          <w:rFonts w:ascii="Times New Roman" w:hAnsi="Times New Roman"/>
          <w:sz w:val="24"/>
          <w:szCs w:val="24"/>
        </w:rPr>
        <w:t xml:space="preserve"> 4 Record</w:t>
      </w:r>
      <w:r>
        <w:rPr>
          <w:rFonts w:ascii="Times New Roman" w:hAnsi="Times New Roman"/>
          <w:sz w:val="24"/>
          <w:szCs w:val="24"/>
        </w:rPr>
        <w:t xml:space="preserve"> </w:t>
      </w:r>
      <w:r w:rsidRPr="00CB6CEF">
        <w:rPr>
          <w:rFonts w:ascii="Times New Roman" w:hAnsi="Times New Roman"/>
          <w:sz w:val="24"/>
          <w:szCs w:val="24"/>
        </w:rPr>
        <w:t>1069–1070. They nevertheless concluded that this abuse</w:t>
      </w:r>
      <w:r>
        <w:rPr>
          <w:rFonts w:ascii="Times New Roman" w:hAnsi="Times New Roman"/>
          <w:sz w:val="24"/>
          <w:szCs w:val="24"/>
        </w:rPr>
        <w:t xml:space="preserve"> </w:t>
      </w:r>
      <w:r w:rsidRPr="00CB6CEF">
        <w:rPr>
          <w:rFonts w:ascii="Times New Roman" w:hAnsi="Times New Roman"/>
          <w:sz w:val="24"/>
          <w:szCs w:val="24"/>
        </w:rPr>
        <w:t>did not warrant leniency, primarily because it appeared unconnected to the murders. Jones, 185 Ariz., at 490–491, 917</w:t>
      </w:r>
      <w:r>
        <w:rPr>
          <w:rFonts w:ascii="Times New Roman" w:hAnsi="Times New Roman"/>
          <w:sz w:val="24"/>
          <w:szCs w:val="24"/>
        </w:rPr>
        <w:t xml:space="preserve"> </w:t>
      </w:r>
      <w:r w:rsidRPr="00CB6CEF">
        <w:rPr>
          <w:rFonts w:ascii="Times New Roman" w:hAnsi="Times New Roman"/>
          <w:sz w:val="24"/>
          <w:szCs w:val="24"/>
        </w:rPr>
        <w:t>P. 2d, at 219–220; 9 Record 2465.</w:t>
      </w:r>
      <w:r>
        <w:rPr>
          <w:rFonts w:ascii="Times New Roman" w:hAnsi="Times New Roman"/>
          <w:sz w:val="24"/>
          <w:szCs w:val="24"/>
        </w:rPr>
        <w:t xml:space="preserve"> </w:t>
      </w:r>
      <w:r w:rsidRPr="00CB6CEF">
        <w:rPr>
          <w:rFonts w:ascii="Times New Roman" w:hAnsi="Times New Roman"/>
          <w:sz w:val="24"/>
          <w:szCs w:val="24"/>
        </w:rPr>
        <w:t>In federal court, Jones added two new allegations. First,</w:t>
      </w:r>
      <w:r>
        <w:rPr>
          <w:rFonts w:ascii="Times New Roman" w:hAnsi="Times New Roman"/>
          <w:sz w:val="24"/>
          <w:szCs w:val="24"/>
        </w:rPr>
        <w:t xml:space="preserve"> </w:t>
      </w:r>
      <w:r w:rsidRPr="00CB6CEF">
        <w:rPr>
          <w:rFonts w:ascii="Times New Roman" w:hAnsi="Times New Roman"/>
          <w:sz w:val="24"/>
          <w:szCs w:val="24"/>
        </w:rPr>
        <w:t>he asserted that the grandfather who introduced him to alcohol also sexually abused him. Second, he claimed that his</w:t>
      </w:r>
    </w:p>
    <w:p w14:paraId="2B1E56F9" w14:textId="77777777" w:rsidR="002C7131" w:rsidRDefault="002C7131" w:rsidP="002C7131">
      <w:pPr>
        <w:pStyle w:val="NoSpacing"/>
        <w:ind w:left="720"/>
        <w:rPr>
          <w:rFonts w:ascii="Times New Roman" w:hAnsi="Times New Roman"/>
          <w:sz w:val="24"/>
          <w:szCs w:val="24"/>
        </w:rPr>
      </w:pPr>
      <w:r w:rsidRPr="00CB6CEF">
        <w:rPr>
          <w:rFonts w:ascii="Times New Roman" w:hAnsi="Times New Roman"/>
          <w:sz w:val="24"/>
          <w:szCs w:val="24"/>
        </w:rPr>
        <w:t>second stepfather, Randy, physically abused him. It is not</w:t>
      </w:r>
      <w:r>
        <w:rPr>
          <w:rFonts w:ascii="Times New Roman" w:hAnsi="Times New Roman"/>
          <w:sz w:val="24"/>
          <w:szCs w:val="24"/>
        </w:rPr>
        <w:t xml:space="preserve"> </w:t>
      </w:r>
      <w:r w:rsidRPr="00CB6CEF">
        <w:rPr>
          <w:rFonts w:ascii="Times New Roman" w:hAnsi="Times New Roman"/>
          <w:sz w:val="24"/>
          <w:szCs w:val="24"/>
        </w:rPr>
        <w:t>likely that these allegations would have moved the state</w:t>
      </w:r>
      <w:r>
        <w:rPr>
          <w:rFonts w:ascii="Times New Roman" w:hAnsi="Times New Roman"/>
          <w:sz w:val="24"/>
          <w:szCs w:val="24"/>
        </w:rPr>
        <w:t xml:space="preserve"> </w:t>
      </w:r>
      <w:r w:rsidRPr="00CB6CEF">
        <w:rPr>
          <w:rFonts w:ascii="Times New Roman" w:hAnsi="Times New Roman"/>
          <w:sz w:val="24"/>
          <w:szCs w:val="24"/>
        </w:rPr>
        <w:t>court either.</w:t>
      </w:r>
    </w:p>
    <w:p w14:paraId="45FB4D53" w14:textId="77777777" w:rsidR="002C7131" w:rsidRDefault="002C7131" w:rsidP="002C7131">
      <w:pPr>
        <w:pStyle w:val="NoSpacing"/>
        <w:rPr>
          <w:rFonts w:ascii="Times New Roman" w:hAnsi="Times New Roman"/>
          <w:sz w:val="24"/>
          <w:szCs w:val="24"/>
        </w:rPr>
      </w:pPr>
    </w:p>
    <w:p w14:paraId="54D23757" w14:textId="77777777" w:rsidR="002C7131" w:rsidRDefault="002C7131" w:rsidP="002C7131">
      <w:pPr>
        <w:pStyle w:val="NoSpacing"/>
        <w:rPr>
          <w:rFonts w:ascii="Times New Roman" w:hAnsi="Times New Roman"/>
          <w:sz w:val="24"/>
          <w:szCs w:val="24"/>
        </w:rPr>
      </w:pPr>
      <w:r>
        <w:rPr>
          <w:rFonts w:ascii="Times New Roman" w:hAnsi="Times New Roman"/>
          <w:sz w:val="24"/>
          <w:szCs w:val="24"/>
        </w:rPr>
        <w:tab/>
        <w:t>***</w:t>
      </w:r>
    </w:p>
    <w:p w14:paraId="1FA1E005" w14:textId="77777777" w:rsidR="002C7131" w:rsidRDefault="002C7131" w:rsidP="002C7131">
      <w:pPr>
        <w:pStyle w:val="NoSpacing"/>
        <w:ind w:left="720"/>
        <w:rPr>
          <w:rFonts w:ascii="Times New Roman" w:hAnsi="Times New Roman"/>
          <w:sz w:val="24"/>
          <w:szCs w:val="24"/>
        </w:rPr>
      </w:pPr>
    </w:p>
    <w:p w14:paraId="201BEA5F" w14:textId="77777777" w:rsidR="002C7131" w:rsidRPr="00476CC5" w:rsidRDefault="002C7131" w:rsidP="002C7131">
      <w:pPr>
        <w:pStyle w:val="NoSpacing"/>
        <w:ind w:left="720"/>
      </w:pPr>
      <w:r w:rsidRPr="0081449F">
        <w:rPr>
          <w:rFonts w:ascii="Times New Roman" w:hAnsi="Times New Roman"/>
          <w:sz w:val="24"/>
          <w:szCs w:val="24"/>
        </w:rPr>
        <w:t>When a capital defendant claims that he was prejudiced</w:t>
      </w:r>
      <w:r>
        <w:rPr>
          <w:rFonts w:ascii="Times New Roman" w:hAnsi="Times New Roman"/>
          <w:sz w:val="24"/>
          <w:szCs w:val="24"/>
        </w:rPr>
        <w:t xml:space="preserve"> </w:t>
      </w:r>
      <w:r w:rsidRPr="0081449F">
        <w:rPr>
          <w:rFonts w:ascii="Times New Roman" w:hAnsi="Times New Roman"/>
          <w:sz w:val="24"/>
          <w:szCs w:val="24"/>
        </w:rPr>
        <w:t>at sentencing because counsel failed to present available</w:t>
      </w:r>
      <w:r>
        <w:rPr>
          <w:rFonts w:ascii="Times New Roman" w:hAnsi="Times New Roman"/>
          <w:sz w:val="24"/>
          <w:szCs w:val="24"/>
        </w:rPr>
        <w:t xml:space="preserve"> </w:t>
      </w:r>
      <w:r w:rsidRPr="0081449F">
        <w:rPr>
          <w:rFonts w:ascii="Times New Roman" w:hAnsi="Times New Roman"/>
          <w:sz w:val="24"/>
          <w:szCs w:val="24"/>
        </w:rPr>
        <w:t>mitigating evidence, a court must decide whether it is reasonably likely that the additional evidence would have</w:t>
      </w:r>
      <w:r>
        <w:rPr>
          <w:rFonts w:ascii="Times New Roman" w:hAnsi="Times New Roman"/>
          <w:sz w:val="24"/>
          <w:szCs w:val="24"/>
        </w:rPr>
        <w:t xml:space="preserve"> </w:t>
      </w:r>
      <w:r w:rsidRPr="0081449F">
        <w:rPr>
          <w:rFonts w:ascii="Times New Roman" w:hAnsi="Times New Roman"/>
          <w:sz w:val="24"/>
          <w:szCs w:val="24"/>
        </w:rPr>
        <w:t>avoided a death sentence. This analysis requires an evaluation of the strength of all the evidence and a comparison</w:t>
      </w:r>
      <w:r>
        <w:rPr>
          <w:rFonts w:ascii="Times New Roman" w:hAnsi="Times New Roman"/>
          <w:sz w:val="24"/>
          <w:szCs w:val="24"/>
        </w:rPr>
        <w:t xml:space="preserve"> </w:t>
      </w:r>
      <w:r w:rsidRPr="0081449F">
        <w:rPr>
          <w:rFonts w:ascii="Times New Roman" w:hAnsi="Times New Roman"/>
          <w:sz w:val="24"/>
          <w:szCs w:val="24"/>
        </w:rPr>
        <w:t>of the weight of aggravating and mitigating factors. The</w:t>
      </w:r>
      <w:r>
        <w:rPr>
          <w:rFonts w:ascii="Times New Roman" w:hAnsi="Times New Roman"/>
          <w:sz w:val="24"/>
          <w:szCs w:val="24"/>
        </w:rPr>
        <w:t xml:space="preserve"> </w:t>
      </w:r>
      <w:r w:rsidRPr="0081449F">
        <w:rPr>
          <w:rFonts w:ascii="Times New Roman" w:hAnsi="Times New Roman"/>
          <w:sz w:val="24"/>
          <w:szCs w:val="24"/>
        </w:rPr>
        <w:t>Ninth Circuit did not heed that instruction; rather, it downplayed the serious aggravating factors present here and</w:t>
      </w:r>
      <w:r>
        <w:rPr>
          <w:rFonts w:ascii="Times New Roman" w:hAnsi="Times New Roman"/>
          <w:sz w:val="24"/>
          <w:szCs w:val="24"/>
        </w:rPr>
        <w:t xml:space="preserve"> </w:t>
      </w:r>
      <w:r w:rsidRPr="0081449F">
        <w:rPr>
          <w:rFonts w:ascii="Times New Roman" w:hAnsi="Times New Roman"/>
          <w:sz w:val="24"/>
          <w:szCs w:val="24"/>
        </w:rPr>
        <w:t>overstated the strength of mitigating evidence that differed</w:t>
      </w:r>
      <w:r>
        <w:rPr>
          <w:rFonts w:ascii="Times New Roman" w:hAnsi="Times New Roman"/>
          <w:sz w:val="24"/>
          <w:szCs w:val="24"/>
        </w:rPr>
        <w:t xml:space="preserve"> </w:t>
      </w:r>
      <w:r w:rsidRPr="0081449F">
        <w:rPr>
          <w:rFonts w:ascii="Times New Roman" w:hAnsi="Times New Roman"/>
          <w:sz w:val="24"/>
          <w:szCs w:val="24"/>
        </w:rPr>
        <w:t>very little from the evidence presented at sentencing</w:t>
      </w:r>
      <w:r>
        <w:rPr>
          <w:rFonts w:ascii="Times New Roman" w:hAnsi="Times New Roman"/>
          <w:sz w:val="24"/>
          <w:szCs w:val="24"/>
        </w:rPr>
        <w:t xml:space="preserve">. </w:t>
      </w:r>
      <w:r w:rsidRPr="00273EA8">
        <w:rPr>
          <w:rFonts w:ascii="Times New Roman" w:hAnsi="Times New Roman"/>
          <w:sz w:val="24"/>
          <w:szCs w:val="24"/>
        </w:rPr>
        <w:t>Had</w:t>
      </w:r>
      <w:r>
        <w:rPr>
          <w:rFonts w:ascii="Times New Roman" w:hAnsi="Times New Roman"/>
          <w:sz w:val="24"/>
          <w:szCs w:val="24"/>
        </w:rPr>
        <w:t xml:space="preserve"> </w:t>
      </w:r>
      <w:r w:rsidRPr="00273EA8">
        <w:rPr>
          <w:rFonts w:ascii="Times New Roman" w:hAnsi="Times New Roman"/>
          <w:sz w:val="24"/>
          <w:szCs w:val="24"/>
        </w:rPr>
        <w:t>the Ninth Circuit engaged in the analysis required by</w:t>
      </w:r>
      <w:r>
        <w:rPr>
          <w:rFonts w:ascii="Times New Roman" w:hAnsi="Times New Roman"/>
          <w:sz w:val="24"/>
          <w:szCs w:val="24"/>
        </w:rPr>
        <w:t xml:space="preserve"> </w:t>
      </w:r>
      <w:proofErr w:type="gramStart"/>
      <w:r w:rsidRPr="00164960">
        <w:rPr>
          <w:rFonts w:ascii="Times New Roman" w:hAnsi="Times New Roman"/>
          <w:sz w:val="24"/>
          <w:szCs w:val="24"/>
        </w:rPr>
        <w:t>Strickland,</w:t>
      </w:r>
      <w:proofErr w:type="gramEnd"/>
      <w:r w:rsidRPr="00164960">
        <w:rPr>
          <w:rFonts w:ascii="Times New Roman" w:hAnsi="Times New Roman"/>
          <w:sz w:val="24"/>
          <w:szCs w:val="24"/>
        </w:rPr>
        <w:t xml:space="preserve"> it would have had no choice but to affirm the</w:t>
      </w:r>
      <w:r>
        <w:rPr>
          <w:rFonts w:ascii="Times New Roman" w:hAnsi="Times New Roman"/>
          <w:sz w:val="24"/>
          <w:szCs w:val="24"/>
        </w:rPr>
        <w:t xml:space="preserve"> </w:t>
      </w:r>
      <w:r w:rsidRPr="00164960">
        <w:rPr>
          <w:rFonts w:ascii="Times New Roman" w:hAnsi="Times New Roman"/>
          <w:sz w:val="24"/>
          <w:szCs w:val="24"/>
        </w:rPr>
        <w:t>decision of the District Court denying habeas relief. We</w:t>
      </w:r>
      <w:r>
        <w:rPr>
          <w:rFonts w:ascii="Times New Roman" w:hAnsi="Times New Roman"/>
          <w:sz w:val="24"/>
          <w:szCs w:val="24"/>
        </w:rPr>
        <w:t xml:space="preserve"> </w:t>
      </w:r>
      <w:r w:rsidRPr="00164960">
        <w:rPr>
          <w:rFonts w:ascii="Times New Roman" w:hAnsi="Times New Roman"/>
          <w:sz w:val="24"/>
          <w:szCs w:val="24"/>
        </w:rPr>
        <w:t>therefore reverse the judgment of the Court of Appeals and</w:t>
      </w:r>
      <w:r>
        <w:rPr>
          <w:rFonts w:ascii="Times New Roman" w:hAnsi="Times New Roman"/>
          <w:sz w:val="24"/>
          <w:szCs w:val="24"/>
        </w:rPr>
        <w:t xml:space="preserve"> </w:t>
      </w:r>
      <w:r w:rsidRPr="00164960">
        <w:rPr>
          <w:rFonts w:ascii="Times New Roman" w:hAnsi="Times New Roman"/>
          <w:sz w:val="24"/>
          <w:szCs w:val="24"/>
        </w:rPr>
        <w:t>remand the case for further proceedings consistent with</w:t>
      </w:r>
      <w:r>
        <w:rPr>
          <w:rFonts w:ascii="Times New Roman" w:hAnsi="Times New Roman"/>
          <w:sz w:val="24"/>
          <w:szCs w:val="24"/>
        </w:rPr>
        <w:t xml:space="preserve"> </w:t>
      </w:r>
      <w:r w:rsidRPr="00164960">
        <w:rPr>
          <w:rFonts w:ascii="Times New Roman" w:hAnsi="Times New Roman"/>
          <w:sz w:val="24"/>
          <w:szCs w:val="24"/>
        </w:rPr>
        <w:t>this opinion.</w:t>
      </w:r>
      <w:r>
        <w:rPr>
          <w:rFonts w:ascii="Times New Roman" w:hAnsi="Times New Roman"/>
          <w:sz w:val="24"/>
          <w:szCs w:val="24"/>
        </w:rPr>
        <w:t xml:space="preserve">” </w:t>
      </w:r>
      <w:hyperlink r:id="rId156" w:history="1">
        <w:r w:rsidRPr="00DF21B2">
          <w:rPr>
            <w:rStyle w:val="Hyperlink"/>
            <w:rFonts w:ascii="Times New Roman" w:hAnsi="Times New Roman"/>
            <w:sz w:val="24"/>
            <w:szCs w:val="24"/>
          </w:rPr>
          <w:t>https://www.supremecourt.gov/opinions/23pdf/22-982_bq7d.pdf</w:t>
        </w:r>
      </w:hyperlink>
      <w:r>
        <w:t xml:space="preserve"> </w:t>
      </w:r>
    </w:p>
    <w:p w14:paraId="69FB0E15" w14:textId="77777777" w:rsidR="002C7131" w:rsidRDefault="002C7131" w:rsidP="002C7131">
      <w:pPr>
        <w:pStyle w:val="NoSpacing"/>
        <w:rPr>
          <w:rFonts w:ascii="Times New Roman" w:hAnsi="Times New Roman"/>
          <w:sz w:val="24"/>
          <w:szCs w:val="24"/>
        </w:rPr>
      </w:pPr>
    </w:p>
    <w:p w14:paraId="4065FD90" w14:textId="77777777" w:rsidR="007276B8" w:rsidRPr="00666E81" w:rsidRDefault="007276B8" w:rsidP="007276B8">
      <w:pPr>
        <w:spacing w:after="0" w:line="240" w:lineRule="auto"/>
        <w:rPr>
          <w:rFonts w:ascii="Times New Roman" w:eastAsia="Times New Roman" w:hAnsi="Times New Roman"/>
          <w:sz w:val="24"/>
          <w:szCs w:val="24"/>
        </w:rPr>
      </w:pPr>
      <w:r w:rsidRPr="003C56CA">
        <w:rPr>
          <w:rFonts w:ascii="Times New Roman" w:eastAsia="Times New Roman" w:hAnsi="Times New Roman"/>
          <w:sz w:val="24"/>
          <w:szCs w:val="24"/>
        </w:rPr>
        <w:t>DISSENT</w:t>
      </w:r>
      <w:r w:rsidRPr="00666E81">
        <w:rPr>
          <w:rFonts w:ascii="Times New Roman" w:eastAsia="Times New Roman" w:hAnsi="Times New Roman"/>
          <w:sz w:val="24"/>
          <w:szCs w:val="24"/>
        </w:rPr>
        <w:t xml:space="preserve"> [Opinion by Justice </w:t>
      </w:r>
      <w:r w:rsidRPr="00666E81">
        <w:rPr>
          <w:rFonts w:ascii="Times New Roman" w:hAnsi="Times New Roman"/>
          <w:sz w:val="24"/>
          <w:szCs w:val="24"/>
        </w:rPr>
        <w:t>Ketanji Onyika Brown Jackson]</w:t>
      </w:r>
      <w:r>
        <w:rPr>
          <w:rFonts w:ascii="Times New Roman" w:hAnsi="Times New Roman"/>
          <w:sz w:val="24"/>
          <w:szCs w:val="24"/>
        </w:rPr>
        <w:t>:</w:t>
      </w:r>
    </w:p>
    <w:p w14:paraId="23BD46D2" w14:textId="77777777" w:rsidR="007276B8" w:rsidRDefault="007276B8" w:rsidP="007276B8">
      <w:pPr>
        <w:spacing w:after="0" w:line="240" w:lineRule="auto"/>
        <w:rPr>
          <w:rFonts w:ascii="Times New Roman" w:eastAsia="Times New Roman" w:hAnsi="Times New Roman"/>
          <w:sz w:val="24"/>
          <w:szCs w:val="24"/>
        </w:rPr>
      </w:pPr>
    </w:p>
    <w:p w14:paraId="2F52A109" w14:textId="77777777" w:rsidR="007276B8" w:rsidRPr="00153EC8" w:rsidRDefault="007276B8" w:rsidP="007276B8">
      <w:pP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311219">
        <w:rPr>
          <w:rFonts w:ascii="Times New Roman" w:eastAsia="Times New Roman" w:hAnsi="Times New Roman"/>
          <w:sz w:val="24"/>
          <w:szCs w:val="24"/>
        </w:rPr>
        <w:t>I agree with JUSTICE SOTOMAYOR that</w:t>
      </w:r>
      <w:r>
        <w:rPr>
          <w:rFonts w:ascii="Times New Roman" w:eastAsia="Times New Roman" w:hAnsi="Times New Roman"/>
          <w:sz w:val="24"/>
          <w:szCs w:val="24"/>
        </w:rPr>
        <w:t xml:space="preserve"> </w:t>
      </w:r>
      <w:r w:rsidRPr="00311219">
        <w:rPr>
          <w:rFonts w:ascii="Times New Roman" w:eastAsia="Times New Roman" w:hAnsi="Times New Roman"/>
          <w:sz w:val="24"/>
          <w:szCs w:val="24"/>
        </w:rPr>
        <w:t>we are not the right tribunal to parse the extensive factual</w:t>
      </w:r>
      <w:r>
        <w:rPr>
          <w:rFonts w:ascii="Times New Roman" w:eastAsia="Times New Roman" w:hAnsi="Times New Roman"/>
          <w:sz w:val="24"/>
          <w:szCs w:val="24"/>
        </w:rPr>
        <w:t xml:space="preserve"> </w:t>
      </w:r>
      <w:r w:rsidRPr="00311219">
        <w:rPr>
          <w:rFonts w:ascii="Times New Roman" w:eastAsia="Times New Roman" w:hAnsi="Times New Roman"/>
          <w:sz w:val="24"/>
          <w:szCs w:val="24"/>
        </w:rPr>
        <w:t>record in this case in the first instance. That is doubly true</w:t>
      </w:r>
      <w:r>
        <w:rPr>
          <w:rFonts w:ascii="Times New Roman" w:eastAsia="Times New Roman" w:hAnsi="Times New Roman"/>
          <w:sz w:val="24"/>
          <w:szCs w:val="24"/>
        </w:rPr>
        <w:t xml:space="preserve"> </w:t>
      </w:r>
      <w:r w:rsidRPr="00311219">
        <w:rPr>
          <w:rFonts w:ascii="Times New Roman" w:eastAsia="Times New Roman" w:hAnsi="Times New Roman"/>
          <w:sz w:val="24"/>
          <w:szCs w:val="24"/>
        </w:rPr>
        <w:t>where the Ninth Circuit committed no legal error in reviewing that record to begin with. I respectfully dissent</w:t>
      </w:r>
      <w:r>
        <w:rPr>
          <w:rFonts w:ascii="Times New Roman" w:eastAsia="Times New Roman" w:hAnsi="Times New Roman"/>
          <w:sz w:val="24"/>
          <w:szCs w:val="24"/>
        </w:rPr>
        <w:t>.”</w:t>
      </w:r>
    </w:p>
    <w:p w14:paraId="0FF89955" w14:textId="77777777" w:rsidR="007276B8" w:rsidRDefault="007276B8" w:rsidP="007276B8">
      <w:pPr>
        <w:pStyle w:val="NoSpacing"/>
        <w:rPr>
          <w:rFonts w:ascii="Times New Roman" w:hAnsi="Times New Roman"/>
          <w:sz w:val="24"/>
          <w:szCs w:val="24"/>
          <w:shd w:val="clear" w:color="auto" w:fill="FFFFFF"/>
        </w:rPr>
      </w:pPr>
    </w:p>
    <w:p w14:paraId="4F1F1B28" w14:textId="77777777" w:rsidR="007276B8" w:rsidRPr="005446DE" w:rsidRDefault="007276B8" w:rsidP="007276B8">
      <w:pPr>
        <w:pStyle w:val="NormalWeb"/>
        <w:spacing w:before="0" w:beforeAutospacing="0"/>
        <w:rPr>
          <w:b/>
          <w:bCs/>
          <w:color w:val="454545"/>
          <w:shd w:val="clear" w:color="auto" w:fill="FFFFFF"/>
        </w:rPr>
      </w:pPr>
      <w:r w:rsidRPr="005446DE">
        <w:rPr>
          <w:b/>
          <w:bCs/>
          <w:color w:val="454545"/>
          <w:shd w:val="clear" w:color="auto" w:fill="FFFFFF"/>
        </w:rPr>
        <w:t xml:space="preserve">Legal Lesson Learned: </w:t>
      </w:r>
      <w:r>
        <w:rPr>
          <w:b/>
          <w:bCs/>
          <w:color w:val="454545"/>
          <w:shd w:val="clear" w:color="auto" w:fill="FFFFFF"/>
        </w:rPr>
        <w:t xml:space="preserve">Hopefully this decision will lead to far fewer habeas corpus decisions by Federal courts of prisoners convicted in state court. </w:t>
      </w:r>
    </w:p>
    <w:p w14:paraId="3765BC2F" w14:textId="77777777" w:rsidR="006A0C24" w:rsidRDefault="006A0C24" w:rsidP="00B86628">
      <w:pPr>
        <w:pStyle w:val="NoSpacing"/>
        <w:rPr>
          <w:rFonts w:ascii="Arial Black" w:hAnsi="Arial Black"/>
          <w:sz w:val="24"/>
          <w:szCs w:val="24"/>
        </w:rPr>
      </w:pPr>
    </w:p>
    <w:p w14:paraId="3AF77ED2" w14:textId="77777777" w:rsidR="006A0C24" w:rsidRDefault="006A0C24" w:rsidP="00B86628">
      <w:pPr>
        <w:pStyle w:val="NoSpacing"/>
        <w:rPr>
          <w:rFonts w:ascii="Arial Black" w:hAnsi="Arial Black"/>
          <w:sz w:val="24"/>
          <w:szCs w:val="24"/>
        </w:rPr>
      </w:pPr>
    </w:p>
    <w:p w14:paraId="14565FAC" w14:textId="77777777" w:rsidR="006A0C24" w:rsidRDefault="006A0C24" w:rsidP="00B86628">
      <w:pPr>
        <w:pStyle w:val="NoSpacing"/>
        <w:rPr>
          <w:rFonts w:ascii="Arial Black" w:hAnsi="Arial Black"/>
          <w:sz w:val="24"/>
          <w:szCs w:val="24"/>
        </w:rPr>
      </w:pPr>
    </w:p>
    <w:p w14:paraId="3B6AB2D8" w14:textId="43C915CE" w:rsidR="00D91CD7" w:rsidRDefault="00D91CD7" w:rsidP="00B86628">
      <w:pPr>
        <w:pStyle w:val="NoSpacing"/>
        <w:rPr>
          <w:rFonts w:ascii="Arial Black" w:hAnsi="Arial Black"/>
          <w:sz w:val="24"/>
          <w:szCs w:val="24"/>
        </w:rPr>
      </w:pPr>
      <w:r>
        <w:rPr>
          <w:rFonts w:ascii="Arial Black" w:hAnsi="Arial Black"/>
          <w:sz w:val="24"/>
          <w:szCs w:val="24"/>
        </w:rPr>
        <w:t>1-148</w:t>
      </w:r>
    </w:p>
    <w:p w14:paraId="726F1FC2" w14:textId="77777777" w:rsidR="00D91CD7" w:rsidRDefault="00D91CD7" w:rsidP="00B86628">
      <w:pPr>
        <w:pStyle w:val="NoSpacing"/>
        <w:rPr>
          <w:rFonts w:ascii="Arial Black" w:hAnsi="Arial Black"/>
          <w:sz w:val="24"/>
          <w:szCs w:val="24"/>
        </w:rPr>
      </w:pPr>
    </w:p>
    <w:p w14:paraId="0DA13E11" w14:textId="79300BDB" w:rsidR="00D91CD7" w:rsidRPr="002D2487" w:rsidRDefault="00D91CD7" w:rsidP="00D91CD7">
      <w:pPr>
        <w:pStyle w:val="NormalWeb"/>
        <w:shd w:val="clear" w:color="auto" w:fill="FFFFFF"/>
        <w:spacing w:before="0" w:beforeAutospacing="0"/>
        <w:rPr>
          <w:rFonts w:ascii="Arial Black" w:hAnsi="Arial Black"/>
          <w:sz w:val="28"/>
          <w:szCs w:val="28"/>
        </w:rPr>
      </w:pPr>
      <w:r>
        <w:rPr>
          <w:rFonts w:ascii="Arial Black" w:hAnsi="Arial Black"/>
          <w:sz w:val="28"/>
          <w:szCs w:val="28"/>
        </w:rPr>
        <w:t>MI: CODE ENFORCEMENT – DRONE VIDEOTAPED SAVAGE YARD WITHOUT WARRANT – EXCLUS</w:t>
      </w:r>
      <w:r w:rsidR="00162E4F">
        <w:rPr>
          <w:rFonts w:ascii="Arial Black" w:hAnsi="Arial Black"/>
          <w:sz w:val="28"/>
          <w:szCs w:val="28"/>
        </w:rPr>
        <w:t xml:space="preserve">IONARY </w:t>
      </w:r>
      <w:r>
        <w:rPr>
          <w:rFonts w:ascii="Arial Black" w:hAnsi="Arial Black"/>
          <w:sz w:val="28"/>
          <w:szCs w:val="28"/>
        </w:rPr>
        <w:t>RULE NOT APPLY</w:t>
      </w:r>
    </w:p>
    <w:p w14:paraId="7DD6C3B3" w14:textId="77777777" w:rsidR="00D91CD7" w:rsidRDefault="00D91CD7" w:rsidP="00D91CD7">
      <w:pPr>
        <w:pStyle w:val="NormalWeb"/>
        <w:shd w:val="clear" w:color="auto" w:fill="FFFFFF"/>
        <w:spacing w:before="0" w:beforeAutospacing="0"/>
      </w:pPr>
      <w:r>
        <w:t xml:space="preserve">On May 3, 2024, in </w:t>
      </w:r>
      <w:r w:rsidRPr="001C2E85">
        <w:rPr>
          <w:u w:val="single"/>
        </w:rPr>
        <w:t>Long Lake Township v. Todd Maxon and Heather Maxon</w:t>
      </w:r>
      <w:r>
        <w:t xml:space="preserve">, the Supreme Court of Michigan held (7 to 0) that the video is admissible in zoning action.  The Court held: </w:t>
      </w:r>
    </w:p>
    <w:p w14:paraId="3AD446D7" w14:textId="74CE8E10" w:rsidR="00D91CD7" w:rsidRPr="00A97B04" w:rsidRDefault="00D91CD7" w:rsidP="00CD1833">
      <w:pPr>
        <w:pStyle w:val="NoSpacing"/>
        <w:ind w:left="720"/>
        <w:rPr>
          <w:rFonts w:ascii="Times New Roman" w:hAnsi="Times New Roman"/>
          <w:sz w:val="24"/>
          <w:szCs w:val="24"/>
        </w:rPr>
      </w:pPr>
      <w:r>
        <w:rPr>
          <w:rFonts w:ascii="Times New Roman" w:hAnsi="Times New Roman"/>
          <w:sz w:val="24"/>
          <w:szCs w:val="24"/>
        </w:rPr>
        <w:t>“</w:t>
      </w:r>
      <w:r w:rsidRPr="00A97B04">
        <w:rPr>
          <w:rFonts w:ascii="Times New Roman" w:hAnsi="Times New Roman"/>
          <w:sz w:val="24"/>
          <w:szCs w:val="24"/>
        </w:rPr>
        <w:t>We hold that the costs of applying the exclusionary rule in this case would outweigh</w:t>
      </w:r>
      <w:r w:rsidR="00CD1833">
        <w:rPr>
          <w:rFonts w:ascii="Times New Roman" w:hAnsi="Times New Roman"/>
          <w:sz w:val="24"/>
          <w:szCs w:val="24"/>
        </w:rPr>
        <w:t xml:space="preserve"> </w:t>
      </w:r>
      <w:r w:rsidRPr="00A97B04">
        <w:rPr>
          <w:rFonts w:ascii="Times New Roman" w:hAnsi="Times New Roman"/>
          <w:sz w:val="24"/>
          <w:szCs w:val="24"/>
        </w:rPr>
        <w:t>the benefits. Applying the exclusionary rule would prevent the Township from effectuating</w:t>
      </w:r>
      <w:r>
        <w:rPr>
          <w:rFonts w:ascii="Times New Roman" w:hAnsi="Times New Roman"/>
          <w:sz w:val="24"/>
          <w:szCs w:val="24"/>
        </w:rPr>
        <w:t xml:space="preserve"> </w:t>
      </w:r>
      <w:r w:rsidRPr="00A97B04">
        <w:rPr>
          <w:rFonts w:ascii="Times New Roman" w:hAnsi="Times New Roman"/>
          <w:sz w:val="24"/>
          <w:szCs w:val="24"/>
        </w:rPr>
        <w:t>its nuisance and zoning ordinances—a serious cost. It would do so for little benefit given</w:t>
      </w:r>
      <w:r>
        <w:rPr>
          <w:rFonts w:ascii="Times New Roman" w:hAnsi="Times New Roman"/>
          <w:sz w:val="24"/>
          <w:szCs w:val="24"/>
        </w:rPr>
        <w:t xml:space="preserve"> </w:t>
      </w:r>
      <w:r w:rsidRPr="00A97B04">
        <w:rPr>
          <w:rFonts w:ascii="Times New Roman" w:hAnsi="Times New Roman"/>
          <w:sz w:val="24"/>
          <w:szCs w:val="24"/>
        </w:rPr>
        <w:t>that exclusion of the photographs and video here would not deter future misconduct by law</w:t>
      </w:r>
      <w:r>
        <w:rPr>
          <w:rFonts w:ascii="Times New Roman" w:hAnsi="Times New Roman"/>
          <w:sz w:val="24"/>
          <w:szCs w:val="24"/>
        </w:rPr>
        <w:t xml:space="preserve"> </w:t>
      </w:r>
      <w:r w:rsidRPr="00A97B04">
        <w:rPr>
          <w:rFonts w:ascii="Times New Roman" w:hAnsi="Times New Roman"/>
          <w:sz w:val="24"/>
          <w:szCs w:val="24"/>
        </w:rPr>
        <w:t xml:space="preserve">enforcement officers or their adjuncts, proxies, or agents. We agree with the Court of Appeals’ conclusion </w:t>
      </w:r>
      <w:proofErr w:type="gramStart"/>
      <w:r w:rsidRPr="00A97B04">
        <w:rPr>
          <w:rFonts w:ascii="Times New Roman" w:hAnsi="Times New Roman"/>
          <w:sz w:val="24"/>
          <w:szCs w:val="24"/>
        </w:rPr>
        <w:t xml:space="preserve">that </w:t>
      </w:r>
      <w:r>
        <w:rPr>
          <w:rFonts w:ascii="Times New Roman" w:hAnsi="Times New Roman"/>
          <w:sz w:val="24"/>
          <w:szCs w:val="24"/>
        </w:rPr>
        <w:t>‘</w:t>
      </w:r>
      <w:r w:rsidRPr="00A97B04">
        <w:rPr>
          <w:rFonts w:ascii="Times New Roman" w:hAnsi="Times New Roman"/>
          <w:sz w:val="24"/>
          <w:szCs w:val="24"/>
        </w:rPr>
        <w:t>[t]he</w:t>
      </w:r>
      <w:proofErr w:type="gramEnd"/>
      <w:r w:rsidRPr="00A97B04">
        <w:rPr>
          <w:rFonts w:ascii="Times New Roman" w:hAnsi="Times New Roman"/>
          <w:sz w:val="24"/>
          <w:szCs w:val="24"/>
        </w:rPr>
        <w:t xml:space="preserve"> exclusionary rule was not intended to operate in this arena,</w:t>
      </w:r>
      <w:r>
        <w:rPr>
          <w:rFonts w:ascii="Times New Roman" w:hAnsi="Times New Roman"/>
          <w:sz w:val="24"/>
          <w:szCs w:val="24"/>
        </w:rPr>
        <w:t xml:space="preserve">’ </w:t>
      </w:r>
      <w:r w:rsidRPr="00A97B04">
        <w:rPr>
          <w:rFonts w:ascii="Times New Roman" w:hAnsi="Times New Roman"/>
          <w:sz w:val="24"/>
          <w:szCs w:val="24"/>
        </w:rPr>
        <w:t>and application of the rule in this case would serve no valuable function.</w:t>
      </w:r>
      <w:r>
        <w:rPr>
          <w:rFonts w:ascii="Times New Roman" w:hAnsi="Times New Roman"/>
          <w:sz w:val="24"/>
          <w:szCs w:val="24"/>
        </w:rPr>
        <w:t xml:space="preserve"> </w:t>
      </w:r>
      <w:r w:rsidRPr="00A97B04">
        <w:rPr>
          <w:rFonts w:ascii="Times New Roman" w:hAnsi="Times New Roman"/>
          <w:sz w:val="24"/>
          <w:szCs w:val="24"/>
        </w:rPr>
        <w:t>We therefore</w:t>
      </w:r>
      <w:r>
        <w:rPr>
          <w:rFonts w:ascii="Times New Roman" w:hAnsi="Times New Roman"/>
          <w:sz w:val="24"/>
          <w:szCs w:val="24"/>
        </w:rPr>
        <w:t xml:space="preserve"> </w:t>
      </w:r>
      <w:r w:rsidRPr="00A97B04">
        <w:rPr>
          <w:rFonts w:ascii="Times New Roman" w:hAnsi="Times New Roman"/>
          <w:sz w:val="24"/>
          <w:szCs w:val="24"/>
        </w:rPr>
        <w:t>affirm the judgment of the Court of Appeals and remand to the circuit court for further</w:t>
      </w:r>
      <w:r>
        <w:rPr>
          <w:rFonts w:ascii="Times New Roman" w:hAnsi="Times New Roman"/>
          <w:sz w:val="24"/>
          <w:szCs w:val="24"/>
        </w:rPr>
        <w:t xml:space="preserve"> </w:t>
      </w:r>
      <w:r w:rsidRPr="00A97B04">
        <w:rPr>
          <w:rFonts w:ascii="Times New Roman" w:hAnsi="Times New Roman"/>
          <w:sz w:val="24"/>
          <w:szCs w:val="24"/>
        </w:rPr>
        <w:t>proceedings.</w:t>
      </w:r>
      <w:r>
        <w:rPr>
          <w:rFonts w:ascii="Times New Roman" w:hAnsi="Times New Roman"/>
          <w:sz w:val="24"/>
          <w:szCs w:val="24"/>
        </w:rPr>
        <w:t xml:space="preserve">” </w:t>
      </w:r>
      <w:hyperlink r:id="rId157" w:history="1">
        <w:r w:rsidRPr="00A32FB7">
          <w:rPr>
            <w:rStyle w:val="Hyperlink"/>
            <w:rFonts w:ascii="Times New Roman" w:hAnsi="Times New Roman"/>
            <w:sz w:val="24"/>
            <w:szCs w:val="24"/>
          </w:rPr>
          <w:t>https://www.courts.michigan.gov/49940f/siteassets/case-documents/uploads/opinions/final/sct/164948_142_01.pdf</w:t>
        </w:r>
      </w:hyperlink>
      <w:r>
        <w:rPr>
          <w:rFonts w:ascii="Times New Roman" w:hAnsi="Times New Roman"/>
          <w:sz w:val="24"/>
          <w:szCs w:val="24"/>
        </w:rPr>
        <w:t xml:space="preserve"> </w:t>
      </w:r>
    </w:p>
    <w:p w14:paraId="5FBB60A6" w14:textId="77777777" w:rsidR="00BD2431" w:rsidRDefault="00BD2431" w:rsidP="006A0C24">
      <w:pPr>
        <w:pStyle w:val="NoSpacing"/>
        <w:rPr>
          <w:rFonts w:ascii="Times New Roman" w:hAnsi="Times New Roman"/>
          <w:b/>
          <w:bCs/>
          <w:sz w:val="24"/>
          <w:szCs w:val="24"/>
        </w:rPr>
      </w:pPr>
    </w:p>
    <w:p w14:paraId="7211ABA8" w14:textId="18A3D1FC" w:rsidR="006A0C24" w:rsidRPr="0026088F" w:rsidRDefault="006A0C24" w:rsidP="006A0C24">
      <w:pPr>
        <w:pStyle w:val="NoSpacing"/>
        <w:rPr>
          <w:rFonts w:ascii="Times New Roman" w:hAnsi="Times New Roman"/>
          <w:b/>
          <w:bCs/>
          <w:sz w:val="24"/>
          <w:szCs w:val="24"/>
        </w:rPr>
      </w:pPr>
      <w:r w:rsidRPr="0026088F">
        <w:rPr>
          <w:rFonts w:ascii="Times New Roman" w:hAnsi="Times New Roman"/>
          <w:b/>
          <w:bCs/>
          <w:sz w:val="24"/>
          <w:szCs w:val="24"/>
        </w:rPr>
        <w:t>Legal Lesson Learned:</w:t>
      </w:r>
      <w:r>
        <w:rPr>
          <w:rFonts w:ascii="Times New Roman" w:hAnsi="Times New Roman"/>
          <w:b/>
          <w:bCs/>
          <w:sz w:val="24"/>
          <w:szCs w:val="24"/>
        </w:rPr>
        <w:t xml:space="preserve"> To avoid motions to suppress, consider getting an administrative search warrant prior to using drone to videotape zoning violation. </w:t>
      </w:r>
      <w:r w:rsidR="002A2715">
        <w:rPr>
          <w:rFonts w:ascii="Times New Roman" w:hAnsi="Times New Roman"/>
          <w:b/>
          <w:bCs/>
          <w:sz w:val="24"/>
          <w:szCs w:val="24"/>
        </w:rPr>
        <w:t xml:space="preserve"> </w:t>
      </w:r>
    </w:p>
    <w:p w14:paraId="6D6C62A8" w14:textId="77777777" w:rsidR="006A0C24" w:rsidRDefault="006A0C24" w:rsidP="00B86628">
      <w:pPr>
        <w:pStyle w:val="NoSpacing"/>
        <w:rPr>
          <w:rFonts w:ascii="Arial Black" w:hAnsi="Arial Black"/>
          <w:sz w:val="24"/>
          <w:szCs w:val="24"/>
        </w:rPr>
      </w:pPr>
    </w:p>
    <w:p w14:paraId="1D579FC3" w14:textId="73C16C1B" w:rsidR="002422E0" w:rsidRDefault="002422E0" w:rsidP="002422E0">
      <w:pPr>
        <w:pStyle w:val="NoSpacing"/>
        <w:ind w:left="720"/>
        <w:rPr>
          <w:rFonts w:ascii="Times New Roman" w:hAnsi="Times New Roman"/>
          <w:sz w:val="24"/>
          <w:szCs w:val="24"/>
        </w:rPr>
      </w:pPr>
      <w:r>
        <w:rPr>
          <w:rFonts w:ascii="Times New Roman" w:hAnsi="Times New Roman"/>
          <w:sz w:val="24"/>
          <w:szCs w:val="24"/>
        </w:rPr>
        <w:t xml:space="preserve">Note:  See these articles on the case.  </w:t>
      </w:r>
    </w:p>
    <w:p w14:paraId="4598C6B1" w14:textId="77777777" w:rsidR="002422E0"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July 22, 2024: This Michigan Supreme Court Case Has the Potential to Guide Drone and Air Rights Law for the Nation. </w:t>
      </w:r>
      <w:hyperlink r:id="rId158" w:history="1">
        <w:r w:rsidRPr="00F65379">
          <w:rPr>
            <w:rStyle w:val="Hyperlink"/>
            <w:rFonts w:ascii="Times New Roman" w:hAnsi="Times New Roman"/>
            <w:sz w:val="24"/>
            <w:szCs w:val="24"/>
          </w:rPr>
          <w:t>https://natlawreview.com/article/michigan-supreme-court-case-has-potential-guide-drone-and-air-rights-law-nation</w:t>
        </w:r>
      </w:hyperlink>
      <w:r w:rsidRPr="00F65379">
        <w:rPr>
          <w:rFonts w:ascii="Times New Roman" w:hAnsi="Times New Roman"/>
          <w:sz w:val="24"/>
          <w:szCs w:val="24"/>
        </w:rPr>
        <w:t xml:space="preserve"> </w:t>
      </w:r>
    </w:p>
    <w:p w14:paraId="52B7E938" w14:textId="77777777" w:rsidR="00F841C3" w:rsidRDefault="00F841C3" w:rsidP="002422E0">
      <w:pPr>
        <w:pStyle w:val="NoSpacing"/>
        <w:ind w:left="720"/>
        <w:rPr>
          <w:rFonts w:ascii="Times New Roman" w:hAnsi="Times New Roman"/>
          <w:sz w:val="24"/>
          <w:szCs w:val="24"/>
        </w:rPr>
      </w:pPr>
    </w:p>
    <w:p w14:paraId="2099B73C" w14:textId="77777777" w:rsidR="00F841C3" w:rsidRPr="00DF31EA" w:rsidRDefault="00F841C3" w:rsidP="00F841C3">
      <w:pPr>
        <w:pStyle w:val="NoSpacing"/>
        <w:ind w:left="720"/>
        <w:rPr>
          <w:rFonts w:ascii="Times New Roman" w:hAnsi="Times New Roman"/>
          <w:sz w:val="24"/>
          <w:szCs w:val="24"/>
        </w:rPr>
      </w:pPr>
      <w:r w:rsidRPr="00DF31EA">
        <w:rPr>
          <w:rFonts w:ascii="Times New Roman" w:hAnsi="Times New Roman"/>
          <w:sz w:val="24"/>
          <w:szCs w:val="24"/>
        </w:rPr>
        <w:t xml:space="preserve">May 8. 2024: Michigan Supreme Court Allows Drone Surveillance Evidence in Civil Case </w:t>
      </w:r>
      <w:hyperlink r:id="rId159" w:history="1">
        <w:r w:rsidRPr="00DF31EA">
          <w:rPr>
            <w:rStyle w:val="Hyperlink"/>
            <w:rFonts w:ascii="Times New Roman" w:hAnsi="Times New Roman"/>
            <w:sz w:val="24"/>
            <w:szCs w:val="24"/>
          </w:rPr>
          <w:t>https://dronelife.com/2024/05/08/michigan-supreme-court-allows-drone-surveillance-evidence-in-civil-case/</w:t>
        </w:r>
      </w:hyperlink>
      <w:r w:rsidRPr="00DF31EA">
        <w:rPr>
          <w:rFonts w:ascii="Times New Roman" w:hAnsi="Times New Roman"/>
          <w:sz w:val="24"/>
          <w:szCs w:val="24"/>
        </w:rPr>
        <w:t xml:space="preserve"> </w:t>
      </w:r>
    </w:p>
    <w:p w14:paraId="27D7E5DA" w14:textId="77777777" w:rsidR="00F841C3" w:rsidRPr="00F65379" w:rsidRDefault="00F841C3" w:rsidP="002422E0">
      <w:pPr>
        <w:pStyle w:val="NoSpacing"/>
        <w:ind w:left="720"/>
        <w:rPr>
          <w:rFonts w:ascii="Times New Roman" w:hAnsi="Times New Roman"/>
          <w:sz w:val="24"/>
          <w:szCs w:val="24"/>
        </w:rPr>
      </w:pPr>
    </w:p>
    <w:p w14:paraId="110B5FC0" w14:textId="77777777" w:rsidR="002422E0" w:rsidRPr="00F65379" w:rsidRDefault="002422E0" w:rsidP="002422E0">
      <w:pPr>
        <w:pStyle w:val="NoSpacing"/>
        <w:ind w:left="720"/>
        <w:rPr>
          <w:rFonts w:ascii="Times New Roman" w:hAnsi="Times New Roman"/>
          <w:sz w:val="24"/>
          <w:szCs w:val="24"/>
        </w:rPr>
      </w:pPr>
    </w:p>
    <w:p w14:paraId="7C650E5B" w14:textId="77777777" w:rsidR="002422E0" w:rsidRPr="00F65379"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May 3, 2024: Michigan Supreme Court rules against </w:t>
      </w:r>
      <w:proofErr w:type="gramStart"/>
      <w:r w:rsidRPr="00F65379">
        <w:rPr>
          <w:rFonts w:ascii="Times New Roman" w:hAnsi="Times New Roman"/>
          <w:sz w:val="24"/>
          <w:szCs w:val="24"/>
        </w:rPr>
        <w:t>couple</w:t>
      </w:r>
      <w:proofErr w:type="gramEnd"/>
      <w:r w:rsidRPr="00F65379">
        <w:rPr>
          <w:rFonts w:ascii="Times New Roman" w:hAnsi="Times New Roman"/>
          <w:sz w:val="24"/>
          <w:szCs w:val="24"/>
        </w:rPr>
        <w:t xml:space="preserve"> in </w:t>
      </w:r>
      <w:proofErr w:type="gramStart"/>
      <w:r w:rsidRPr="00F65379">
        <w:rPr>
          <w:rFonts w:ascii="Times New Roman" w:hAnsi="Times New Roman"/>
          <w:sz w:val="24"/>
          <w:szCs w:val="24"/>
        </w:rPr>
        <w:t>dispute</w:t>
      </w:r>
      <w:proofErr w:type="gramEnd"/>
      <w:r w:rsidRPr="00F65379">
        <w:rPr>
          <w:rFonts w:ascii="Times New Roman" w:hAnsi="Times New Roman"/>
          <w:sz w:val="24"/>
          <w:szCs w:val="24"/>
        </w:rPr>
        <w:t xml:space="preserve"> over privacy and drone photos of land. </w:t>
      </w:r>
      <w:hyperlink r:id="rId160" w:history="1">
        <w:r w:rsidRPr="00F65379">
          <w:rPr>
            <w:rStyle w:val="Hyperlink"/>
            <w:rFonts w:ascii="Times New Roman" w:hAnsi="Times New Roman"/>
            <w:sz w:val="24"/>
            <w:szCs w:val="24"/>
          </w:rPr>
          <w:t>https://apnews.com/article/michigan-drone-photos-constitution-3c30154b6f1af1b234c1cc8f64945237</w:t>
        </w:r>
      </w:hyperlink>
      <w:r w:rsidRPr="00F65379">
        <w:rPr>
          <w:rFonts w:ascii="Times New Roman" w:hAnsi="Times New Roman"/>
          <w:sz w:val="24"/>
          <w:szCs w:val="24"/>
        </w:rPr>
        <w:t xml:space="preserve"> </w:t>
      </w:r>
    </w:p>
    <w:p w14:paraId="1F2B81F5" w14:textId="77777777" w:rsidR="002422E0" w:rsidRPr="00F65379" w:rsidRDefault="002422E0" w:rsidP="002422E0">
      <w:pPr>
        <w:pStyle w:val="NoSpacing"/>
        <w:ind w:left="720"/>
        <w:rPr>
          <w:rFonts w:ascii="Times New Roman" w:hAnsi="Times New Roman"/>
          <w:sz w:val="24"/>
          <w:szCs w:val="24"/>
        </w:rPr>
      </w:pPr>
    </w:p>
    <w:p w14:paraId="632549CD" w14:textId="77777777" w:rsidR="002422E0" w:rsidRPr="00F65379"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Nov. 15, 2023: Little-known Michigan court case could have massive constitutional effects across the nation. </w:t>
      </w:r>
      <w:hyperlink r:id="rId161" w:history="1">
        <w:r w:rsidRPr="00F65379">
          <w:rPr>
            <w:rStyle w:val="Hyperlink"/>
            <w:rFonts w:ascii="Times New Roman" w:hAnsi="Times New Roman"/>
            <w:sz w:val="24"/>
            <w:szCs w:val="24"/>
          </w:rPr>
          <w:t>https://www.washingtonexaminer.com/opinion/beltway-confidential/2771350/little-known-michigan-court-case-could-have-massive-constitutional-effects-across-the-nation/</w:t>
        </w:r>
      </w:hyperlink>
      <w:r w:rsidRPr="00F65379">
        <w:rPr>
          <w:rFonts w:ascii="Times New Roman" w:hAnsi="Times New Roman"/>
          <w:sz w:val="24"/>
          <w:szCs w:val="24"/>
        </w:rPr>
        <w:t xml:space="preserve"> </w:t>
      </w:r>
    </w:p>
    <w:p w14:paraId="288D2759" w14:textId="77777777" w:rsidR="002422E0" w:rsidRPr="00F65379" w:rsidRDefault="002422E0" w:rsidP="002422E0">
      <w:pPr>
        <w:pStyle w:val="NoSpacing"/>
        <w:ind w:left="720"/>
        <w:rPr>
          <w:rFonts w:ascii="Times New Roman" w:hAnsi="Times New Roman"/>
          <w:sz w:val="24"/>
          <w:szCs w:val="24"/>
        </w:rPr>
      </w:pPr>
    </w:p>
    <w:p w14:paraId="36EF81E9" w14:textId="77777777" w:rsidR="002422E0" w:rsidRDefault="002422E0" w:rsidP="00B86628">
      <w:pPr>
        <w:pStyle w:val="NoSpacing"/>
        <w:rPr>
          <w:rFonts w:ascii="Arial Black" w:hAnsi="Arial Black"/>
          <w:sz w:val="24"/>
          <w:szCs w:val="24"/>
        </w:rPr>
      </w:pPr>
    </w:p>
    <w:p w14:paraId="6814A441" w14:textId="77777777" w:rsidR="00D91CD7" w:rsidRDefault="00D91CD7" w:rsidP="00B86628">
      <w:pPr>
        <w:pStyle w:val="NoSpacing"/>
        <w:rPr>
          <w:rFonts w:ascii="Arial Black" w:hAnsi="Arial Black"/>
          <w:sz w:val="24"/>
          <w:szCs w:val="24"/>
        </w:rPr>
      </w:pPr>
    </w:p>
    <w:p w14:paraId="7B9B160C" w14:textId="075BCEAE" w:rsidR="00B86628" w:rsidRDefault="00B86628" w:rsidP="00B86628">
      <w:pPr>
        <w:pStyle w:val="NoSpacing"/>
        <w:rPr>
          <w:rFonts w:ascii="Arial Black" w:hAnsi="Arial Black"/>
          <w:sz w:val="24"/>
          <w:szCs w:val="24"/>
        </w:rPr>
      </w:pPr>
      <w:r>
        <w:rPr>
          <w:rFonts w:ascii="Arial Black" w:hAnsi="Arial Black"/>
          <w:sz w:val="24"/>
          <w:szCs w:val="24"/>
        </w:rPr>
        <w:t>1-147</w:t>
      </w:r>
    </w:p>
    <w:p w14:paraId="690FAA92" w14:textId="77777777" w:rsidR="00B86628" w:rsidRDefault="00B86628" w:rsidP="00F326E5">
      <w:pPr>
        <w:pStyle w:val="NoSpacing"/>
        <w:rPr>
          <w:rFonts w:ascii="Arial Black" w:hAnsi="Arial Black"/>
          <w:sz w:val="24"/>
          <w:szCs w:val="24"/>
        </w:rPr>
      </w:pPr>
    </w:p>
    <w:p w14:paraId="59174DED" w14:textId="77777777" w:rsidR="00B86628" w:rsidRPr="00227C43" w:rsidRDefault="00B86628" w:rsidP="00B86628">
      <w:pPr>
        <w:pStyle w:val="NormalWeb"/>
        <w:spacing w:before="0" w:beforeAutospacing="0"/>
        <w:rPr>
          <w:rFonts w:ascii="Arial Black" w:hAnsi="Arial Black"/>
          <w:sz w:val="28"/>
          <w:szCs w:val="28"/>
        </w:rPr>
      </w:pPr>
      <w:r>
        <w:rPr>
          <w:rFonts w:ascii="Arial Black" w:hAnsi="Arial Black"/>
          <w:sz w:val="28"/>
          <w:szCs w:val="28"/>
        </w:rPr>
        <w:t>OK: RV &amp; STRUCTURE FIRE – DUALING EXPERTS – ORIGIN IN RV’S REFRIGERATOR OR IN LOG PILE – BOTH QUALIFIED</w:t>
      </w:r>
    </w:p>
    <w:p w14:paraId="6E156625" w14:textId="77777777" w:rsidR="00B86628" w:rsidRDefault="00B86628" w:rsidP="00B86628">
      <w:pPr>
        <w:pStyle w:val="NormalWeb"/>
        <w:spacing w:before="0" w:beforeAutospacing="0"/>
      </w:pPr>
      <w:r>
        <w:t xml:space="preserve">On March 22, 2024, in </w:t>
      </w:r>
      <w:r w:rsidRPr="008B7C83">
        <w:rPr>
          <w:u w:val="single"/>
        </w:rPr>
        <w:t>Kevin W. Hoog and Rebecca Hoog v. Domestic Corporation</w:t>
      </w:r>
      <w:r>
        <w:t xml:space="preserve">, United States District Court Judge Jodi W. Dishan, U.S. District Court for Western District of Oklahoma, denied the plaintiffs’ motion to exclude the expert testimony of Walter Oliveaux, a certified fire and explosion expert, who will testify that the fire started in wood pile behind the structure, and not from the RV’s “gas absorption “ refrigerator. </w:t>
      </w:r>
    </w:p>
    <w:p w14:paraId="7D489C0E"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5FC8C9B" w14:textId="77777777" w:rsidR="00B86628" w:rsidRDefault="00B86628" w:rsidP="00B86628">
      <w:pPr>
        <w:pStyle w:val="NormalWeb"/>
        <w:ind w:left="720"/>
      </w:pPr>
      <w:r>
        <w:t xml:space="preserve">“The admissibility of expert testimony is governed by Federal Rule of Evidence 702 and the Supreme Court's opinions in </w:t>
      </w:r>
      <w:r>
        <w:rPr>
          <w:rStyle w:val="Emphasis"/>
          <w:rFonts w:eastAsiaTheme="majorEastAsia"/>
        </w:rPr>
        <w:t>Daubert v. Merrell Dow Pharmaceuticals, Inc.</w:t>
      </w:r>
      <w:r>
        <w:t xml:space="preserve">, 509 U.S. 579 (1993) and </w:t>
      </w:r>
      <w:r>
        <w:rPr>
          <w:rStyle w:val="Emphasis"/>
          <w:rFonts w:eastAsiaTheme="majorEastAsia"/>
        </w:rPr>
        <w:t>Kumho Tire. S</w:t>
      </w:r>
      <w:r>
        <w:t xml:space="preserve">ee </w:t>
      </w:r>
      <w:r>
        <w:rPr>
          <w:rStyle w:val="Emphasis"/>
          <w:rFonts w:eastAsiaTheme="majorEastAsia"/>
        </w:rPr>
        <w:t>James River Ins. Co. v. Rapid Funding, LLC</w:t>
      </w:r>
      <w:r>
        <w:t>, 658 F.3d 1207, 1215 n.1 (10th Cir. 2011</w:t>
      </w:r>
      <w:proofErr w:type="gramStart"/>
      <w:r>
        <w:t>) (‘</w:t>
      </w:r>
      <w:proofErr w:type="gramEnd"/>
      <w:r>
        <w:t xml:space="preserve">If expert testimony is not reliable under </w:t>
      </w:r>
      <w:r>
        <w:rPr>
          <w:rStyle w:val="Emphasis"/>
          <w:rFonts w:eastAsiaTheme="majorEastAsia"/>
        </w:rPr>
        <w:t>Daubert/Kumho</w:t>
      </w:r>
      <w:r>
        <w:t xml:space="preserve">, it is not admissible under Rule 702.’). </w:t>
      </w:r>
    </w:p>
    <w:p w14:paraId="04AAF732" w14:textId="77777777" w:rsidR="00B86628" w:rsidRDefault="00B86628" w:rsidP="00B86628">
      <w:pPr>
        <w:pStyle w:val="NormalWeb"/>
        <w:ind w:left="720"/>
      </w:pPr>
      <w:r>
        <w:t>***</w:t>
      </w:r>
    </w:p>
    <w:p w14:paraId="2DD9E752" w14:textId="77777777" w:rsidR="00B86628" w:rsidRDefault="00B86628" w:rsidP="00B86628">
      <w:pPr>
        <w:pStyle w:val="NormalWeb"/>
        <w:ind w:left="720"/>
      </w:pPr>
      <w:r>
        <w:t xml:space="preserve">Mr. Oliveaux has been the Chief Investigator for SOS Investigations, Inc. for 30 years. In that role, he has investigated more than 1,000 fires, including RV fires where gas absorption refrigerators were present. He has provided expert consulting services in fire cause and origin investigations and accident reconstruction for three decades. Additionally, Mr. Oliveaux has served in several different capacities </w:t>
      </w:r>
      <w:proofErr w:type="gramStart"/>
      <w:r>
        <w:t>on</w:t>
      </w:r>
      <w:proofErr w:type="gramEnd"/>
      <w:r>
        <w:t xml:space="preserve"> the West Feliciana Fire Protection District from 1988 to the present, including as a firefighter, instructor, investigator, chief, assistant chief, and interim fire chief. As lead investigator for the department's fire investigations division, he led numerous arson and fire related death investigations. As such, the Court finds that his testimony will be helpful to the trier of fact, and he is qualified to proffer the opinions at issue.” </w:t>
      </w:r>
      <w:hyperlink r:id="rId162" w:history="1">
        <w:r w:rsidRPr="00525B4E">
          <w:rPr>
            <w:rStyle w:val="Hyperlink"/>
          </w:rPr>
          <w:t>https://public.fastcase.com/H1P9uiW3J20SFp%2BGCG%2BxLV1UD86YIpCG84PV7X%2BpnT1bSBvGb5%2F4r%2Bji24INAH28OEKlXyJ%2BAop5b2VZ9ytUlZZgkAmHpAE%2FiqsvJv8QoS0%3D?utm_medium=email&amp;_hsmi=226712652&amp;_hsenc=p2ANqtz--ZkRdN2zXdoxrl3owB4KoaH3odsucPmvtI49_VzIkvckm0OogBea4uvwy0e_nUnYms3ZfEOMqgWPnXMJBVQxzHG3rvjg&amp;utm_content=226712652&amp;utm_source=hs_email</w:t>
        </w:r>
      </w:hyperlink>
      <w:r>
        <w:t xml:space="preserve">  </w:t>
      </w:r>
    </w:p>
    <w:p w14:paraId="2E1E8B00" w14:textId="77777777" w:rsidR="00B86628" w:rsidRPr="003F297A" w:rsidRDefault="00B86628" w:rsidP="00B86628">
      <w:pPr>
        <w:pStyle w:val="NormalWeb"/>
        <w:rPr>
          <w:b/>
          <w:bCs/>
        </w:rPr>
      </w:pPr>
      <w:r>
        <w:rPr>
          <w:b/>
          <w:bCs/>
        </w:rPr>
        <w:t xml:space="preserve">Legal Lesson Learned:  Expert testimony on origin and cause by both plaintiff and defense is not unusual.  </w:t>
      </w:r>
    </w:p>
    <w:p w14:paraId="64C756AB" w14:textId="77777777" w:rsidR="00B86628" w:rsidRPr="00B86628" w:rsidRDefault="00B86628" w:rsidP="00B86628">
      <w:pPr>
        <w:pStyle w:val="Heading1"/>
        <w:ind w:left="720"/>
        <w:rPr>
          <w:b w:val="0"/>
          <w:bCs w:val="0"/>
          <w:sz w:val="24"/>
          <w:szCs w:val="24"/>
        </w:rPr>
      </w:pPr>
      <w:r w:rsidRPr="00B86628">
        <w:rPr>
          <w:b w:val="0"/>
          <w:bCs w:val="0"/>
          <w:sz w:val="24"/>
          <w:szCs w:val="24"/>
        </w:rPr>
        <w:t xml:space="preserve">Note: See Footnote 3: “Additionally, the Court notes that Edmond Fire Department Assistant Chief Mike Fitzgerald completed his investigation after his department extinguished the fire in the early morning hours of March 31, 2018. Due to the extreme fire damage sustained by the structure, Mr. Fitzgerald advised he was unable to determine </w:t>
      </w:r>
      <w:proofErr w:type="gramStart"/>
      <w:r w:rsidRPr="00B86628">
        <w:rPr>
          <w:b w:val="0"/>
          <w:bCs w:val="0"/>
          <w:sz w:val="24"/>
          <w:szCs w:val="24"/>
        </w:rPr>
        <w:t>an</w:t>
      </w:r>
      <w:proofErr w:type="gramEnd"/>
      <w:r w:rsidRPr="00B86628">
        <w:rPr>
          <w:b w:val="0"/>
          <w:bCs w:val="0"/>
          <w:sz w:val="24"/>
          <w:szCs w:val="24"/>
        </w:rPr>
        <w:t xml:space="preserve"> origin or cause of the fire, and the official cause of the fire was listed as ‘undetermined.’ However, he did indicate based on physical evidence and witness statements that in his opinion the area of origin was near or in the motor home or along the north wall by the electrical panel.”</w:t>
      </w:r>
    </w:p>
    <w:p w14:paraId="4E54BC88" w14:textId="77777777" w:rsidR="00B86628" w:rsidRPr="006E7129" w:rsidRDefault="00B86628" w:rsidP="00B86628">
      <w:pPr>
        <w:pStyle w:val="Heading1"/>
        <w:ind w:left="720"/>
        <w:rPr>
          <w:sz w:val="24"/>
          <w:szCs w:val="24"/>
        </w:rPr>
      </w:pPr>
      <w:r w:rsidRPr="006E7129">
        <w:rPr>
          <w:sz w:val="24"/>
          <w:szCs w:val="24"/>
        </w:rPr>
        <w:t xml:space="preserve">See article, “RV HVAC | How Absorption Refrigeration Works.” </w:t>
      </w:r>
      <w:hyperlink r:id="rId163" w:history="1">
        <w:r w:rsidRPr="00525B4E">
          <w:rPr>
            <w:rStyle w:val="Hyperlink"/>
            <w:sz w:val="24"/>
            <w:szCs w:val="24"/>
          </w:rPr>
          <w:t>https://haderhvac.com/blog/rv-hvac-absorption-refrigeration/</w:t>
        </w:r>
      </w:hyperlink>
      <w:r>
        <w:rPr>
          <w:sz w:val="24"/>
          <w:szCs w:val="24"/>
        </w:rPr>
        <w:t xml:space="preserve"> </w:t>
      </w:r>
    </w:p>
    <w:p w14:paraId="23D18227" w14:textId="77777777" w:rsidR="00B86628" w:rsidRDefault="00B86628" w:rsidP="00B86628">
      <w:pPr>
        <w:pStyle w:val="NormalWeb"/>
        <w:ind w:left="720"/>
      </w:pPr>
      <w:r>
        <w:t>“Absorption refrigeration units use heat to make cold through a process that is somewhat difficult to understand. However, understanding how the unit works can give owners a greater appreciation for and more knowledge about maintaining the device.</w:t>
      </w:r>
    </w:p>
    <w:p w14:paraId="377AD65B" w14:textId="77777777" w:rsidR="00B86628" w:rsidRDefault="00B86628" w:rsidP="00B86628">
      <w:pPr>
        <w:pStyle w:val="NormalWeb"/>
        <w:ind w:left="720"/>
      </w:pPr>
      <w:r>
        <w:t xml:space="preserve">Absorption refrigeration units have four main parts – the boiler, condenser, evaporators, and absorber. Inside the boiler, water and liquid ammonia are boiled by heat from an electrical coil or gas flame; the water separates from the ammonia and returns to the boiler while the ammonia travels up through the pipes to the condenser, where it becomes liquid again. After condensing into a liquid, hydrogen vapor is added to the ammonia in the low temperature evaporator, which </w:t>
      </w:r>
      <w:proofErr w:type="gramStart"/>
      <w:r>
        <w:t>is located in</w:t>
      </w:r>
      <w:proofErr w:type="gramEnd"/>
      <w:r>
        <w:t xml:space="preserve"> the freezer section of the refrigerator. At this point, heat from the freezer is absorbed by the liquid ammonia and hydrogen gas mixture in the pipes, then passed on to the exterior of the fridge. From the low temperature evaporator in the freezer, the ammonia and hydrogen travel through more pipes to the high-temperature evaporator, which cools the fridge section of the refrigerator, but not as much as the freezer. Once the ammonia has passed through both evaporators, it enters the absorber. In the absorber coils, it is separated from the gaseous hydrogen – which rises back into the evaporators – and mixed with water before returning to the boiler.”</w:t>
      </w:r>
    </w:p>
    <w:p w14:paraId="66238B7D" w14:textId="77777777" w:rsidR="00A4617E" w:rsidRDefault="00A4617E" w:rsidP="00B86628">
      <w:pPr>
        <w:pStyle w:val="NoSpacing"/>
        <w:rPr>
          <w:rFonts w:ascii="Arial Black" w:hAnsi="Arial Black"/>
          <w:sz w:val="24"/>
          <w:szCs w:val="24"/>
        </w:rPr>
      </w:pPr>
    </w:p>
    <w:p w14:paraId="2F92AA12" w14:textId="6B3B89D4" w:rsidR="00B86628" w:rsidRDefault="00B86628" w:rsidP="00B86628">
      <w:pPr>
        <w:pStyle w:val="NoSpacing"/>
        <w:rPr>
          <w:rFonts w:ascii="Arial Black" w:hAnsi="Arial Black"/>
          <w:sz w:val="24"/>
          <w:szCs w:val="24"/>
        </w:rPr>
      </w:pPr>
      <w:r>
        <w:rPr>
          <w:rFonts w:ascii="Arial Black" w:hAnsi="Arial Black"/>
          <w:sz w:val="24"/>
          <w:szCs w:val="24"/>
        </w:rPr>
        <w:t>1-146</w:t>
      </w:r>
    </w:p>
    <w:p w14:paraId="7E7E1FC5" w14:textId="77777777" w:rsidR="00B86628" w:rsidRDefault="00B86628" w:rsidP="00B86628">
      <w:pPr>
        <w:pStyle w:val="NormalWeb"/>
        <w:spacing w:before="0" w:beforeAutospacing="0"/>
      </w:pPr>
    </w:p>
    <w:p w14:paraId="2F6462E5" w14:textId="114841CA" w:rsidR="00B86628" w:rsidRPr="00073A85" w:rsidRDefault="00B86628" w:rsidP="00B86628">
      <w:pPr>
        <w:pStyle w:val="NoSpacing"/>
        <w:rPr>
          <w:rFonts w:ascii="Arial Black" w:hAnsi="Arial Black"/>
          <w:sz w:val="28"/>
          <w:szCs w:val="28"/>
        </w:rPr>
      </w:pPr>
      <w:r>
        <w:rPr>
          <w:rFonts w:ascii="Arial Black" w:hAnsi="Arial Black"/>
          <w:sz w:val="28"/>
          <w:szCs w:val="28"/>
        </w:rPr>
        <w:t xml:space="preserve">U.S. SUPREME CT: CITY MGR. PERSONAL FACEBOOK PAGE – OK </w:t>
      </w:r>
      <w:r w:rsidR="00DC68EE">
        <w:rPr>
          <w:rFonts w:ascii="Arial Black" w:hAnsi="Arial Black"/>
          <w:sz w:val="28"/>
          <w:szCs w:val="28"/>
        </w:rPr>
        <w:t xml:space="preserve">FOR MGR. </w:t>
      </w:r>
      <w:r>
        <w:rPr>
          <w:rFonts w:ascii="Arial Black" w:hAnsi="Arial Black"/>
          <w:sz w:val="28"/>
          <w:szCs w:val="28"/>
        </w:rPr>
        <w:t xml:space="preserve">TO BLOCK CITIZEN’S NEG. POSTS </w:t>
      </w:r>
      <w:r w:rsidR="008653A5">
        <w:rPr>
          <w:rFonts w:ascii="Arial Black" w:hAnsi="Arial Black"/>
          <w:sz w:val="28"/>
          <w:szCs w:val="28"/>
        </w:rPr>
        <w:t>SINCE PERSONAL PAGE</w:t>
      </w:r>
    </w:p>
    <w:p w14:paraId="3932C7CE" w14:textId="77777777" w:rsidR="00B86628" w:rsidRDefault="00B86628" w:rsidP="00B86628">
      <w:pPr>
        <w:pStyle w:val="NoSpacing"/>
        <w:rPr>
          <w:rFonts w:ascii="Times New Roman" w:hAnsi="Times New Roman"/>
          <w:sz w:val="24"/>
          <w:szCs w:val="24"/>
          <w:shd w:val="clear" w:color="auto" w:fill="FFFFFF"/>
        </w:rPr>
      </w:pPr>
    </w:p>
    <w:p w14:paraId="6C27F0CA" w14:textId="32067B65" w:rsidR="00B86628" w:rsidRDefault="00B86628" w:rsidP="00B86628">
      <w:pPr>
        <w:pStyle w:val="NoSpacing"/>
        <w:rPr>
          <w:rFonts w:ascii="Times New Roman" w:hAnsi="Times New Roman"/>
          <w:sz w:val="24"/>
          <w:szCs w:val="24"/>
          <w:shd w:val="clear" w:color="auto" w:fill="FFFFFF"/>
        </w:rPr>
      </w:pPr>
      <w:r w:rsidRPr="004C0299">
        <w:rPr>
          <w:rFonts w:ascii="Times New Roman" w:hAnsi="Times New Roman"/>
          <w:sz w:val="24"/>
          <w:szCs w:val="24"/>
          <w:shd w:val="clear" w:color="auto" w:fill="FFFFFF"/>
        </w:rPr>
        <w:t xml:space="preserve">On March 15, 2024, in </w:t>
      </w:r>
      <w:r w:rsidRPr="004C0299">
        <w:rPr>
          <w:rFonts w:ascii="Times New Roman" w:hAnsi="Times New Roman"/>
          <w:sz w:val="24"/>
          <w:szCs w:val="24"/>
          <w:u w:val="single"/>
          <w:shd w:val="clear" w:color="auto" w:fill="FFFFFF"/>
        </w:rPr>
        <w:t>Kevin Lindke v. James Freed</w:t>
      </w:r>
      <w:r w:rsidRPr="004C0299">
        <w:rPr>
          <w:rFonts w:ascii="Times New Roman" w:hAnsi="Times New Roman"/>
          <w:sz w:val="24"/>
          <w:szCs w:val="24"/>
          <w:shd w:val="clear" w:color="auto" w:fill="FFFFFF"/>
        </w:rPr>
        <w:t>, the United States Supreme Court held (9 to 0</w:t>
      </w:r>
      <w:r>
        <w:rPr>
          <w:rFonts w:ascii="Times New Roman" w:hAnsi="Times New Roman"/>
          <w:sz w:val="24"/>
          <w:szCs w:val="24"/>
          <w:shd w:val="clear" w:color="auto" w:fill="FFFFFF"/>
        </w:rPr>
        <w:t xml:space="preserve">; opinion </w:t>
      </w:r>
      <w:r w:rsidRPr="006B544B">
        <w:rPr>
          <w:rFonts w:ascii="Times New Roman" w:hAnsi="Times New Roman"/>
          <w:sz w:val="24"/>
          <w:szCs w:val="24"/>
          <w:shd w:val="clear" w:color="auto" w:fill="FFFFFF"/>
        </w:rPr>
        <w:t xml:space="preserve">by Justice </w:t>
      </w:r>
      <w:r w:rsidRPr="006B544B">
        <w:rPr>
          <w:rFonts w:ascii="Times New Roman" w:hAnsi="Times New Roman"/>
          <w:sz w:val="24"/>
          <w:szCs w:val="24"/>
        </w:rPr>
        <w:t>Amy Barrett</w:t>
      </w:r>
      <w:r w:rsidRPr="006B544B">
        <w:rPr>
          <w:rFonts w:ascii="Times New Roman" w:hAnsi="Times New Roman"/>
          <w:sz w:val="24"/>
          <w:szCs w:val="24"/>
          <w:shd w:val="clear" w:color="auto" w:fill="FFFFFF"/>
        </w:rPr>
        <w:t>)</w:t>
      </w:r>
      <w:r w:rsidRPr="004C0299">
        <w:rPr>
          <w:rFonts w:ascii="Times New Roman" w:hAnsi="Times New Roman"/>
          <w:sz w:val="24"/>
          <w:szCs w:val="24"/>
          <w:shd w:val="clear" w:color="auto" w:fill="FFFFFF"/>
        </w:rPr>
        <w:t xml:space="preserve"> that James Freed, </w:t>
      </w:r>
      <w:r>
        <w:rPr>
          <w:rFonts w:ascii="Times New Roman" w:hAnsi="Times New Roman"/>
          <w:sz w:val="24"/>
          <w:szCs w:val="24"/>
          <w:shd w:val="clear" w:color="auto" w:fill="FFFFFF"/>
        </w:rPr>
        <w:t xml:space="preserve">who has a personal FACEBOOK page with family photos, and in 2014 became </w:t>
      </w:r>
      <w:r w:rsidRPr="004C0299">
        <w:rPr>
          <w:rFonts w:ascii="Times New Roman" w:hAnsi="Times New Roman"/>
          <w:sz w:val="24"/>
          <w:szCs w:val="24"/>
          <w:shd w:val="clear" w:color="auto" w:fill="FFFFFF"/>
        </w:rPr>
        <w:t>City Manager of Port Huron, Michigan</w:t>
      </w:r>
      <w:r>
        <w:rPr>
          <w:rFonts w:ascii="Times New Roman" w:hAnsi="Times New Roman"/>
          <w:sz w:val="24"/>
          <w:szCs w:val="24"/>
          <w:shd w:val="clear" w:color="auto" w:fill="FFFFFF"/>
        </w:rPr>
        <w:t>, cannot be sued for blocking negative comments by a resident. The First Amendment lawsuit was dismissed by a U.S. District Court judge in Michigan, and the dismissal upheld by the U.S. Court of Appeals for 6</w:t>
      </w:r>
      <w:r w:rsidRPr="00364CE0">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(Cincinnati). </w:t>
      </w:r>
      <w:hyperlink r:id="rId164" w:history="1">
        <w:r w:rsidR="00CA3B7B" w:rsidRPr="007616D4">
          <w:rPr>
            <w:rStyle w:val="Hyperlink"/>
          </w:rPr>
          <w:t>https://www.supremecourt.gov/opinions/23pdf/22-324_09m1.pdf</w:t>
        </w:r>
      </w:hyperlink>
      <w:r w:rsidR="00CA3B7B">
        <w:rPr>
          <w:rStyle w:val="Hyperlink"/>
        </w:rPr>
        <w:t xml:space="preserve"> </w:t>
      </w:r>
    </w:p>
    <w:p w14:paraId="128AEECE" w14:textId="77777777" w:rsidR="009A27F2" w:rsidRDefault="009A27F2" w:rsidP="009A27F2">
      <w:pPr>
        <w:pStyle w:val="NoSpacing"/>
        <w:rPr>
          <w:rFonts w:ascii="Times New Roman" w:hAnsi="Times New Roman"/>
          <w:sz w:val="24"/>
          <w:szCs w:val="24"/>
          <w:shd w:val="clear" w:color="auto" w:fill="FFFFFF"/>
        </w:rPr>
      </w:pPr>
    </w:p>
    <w:p w14:paraId="3FFD1178" w14:textId="64971198"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A3074C9" w14:textId="77777777" w:rsidR="009A27F2" w:rsidRPr="004C0299" w:rsidRDefault="009A27F2" w:rsidP="00B86628">
      <w:pPr>
        <w:pStyle w:val="NoSpacing"/>
        <w:rPr>
          <w:rFonts w:ascii="Times New Roman" w:hAnsi="Times New Roman"/>
          <w:sz w:val="24"/>
          <w:szCs w:val="24"/>
        </w:rPr>
      </w:pPr>
    </w:p>
    <w:p w14:paraId="5DB8EC68" w14:textId="77777777" w:rsidR="00B86628" w:rsidRPr="00E55007" w:rsidRDefault="00B86628" w:rsidP="00B86628">
      <w:pPr>
        <w:pStyle w:val="NoSpacing"/>
        <w:ind w:left="720"/>
        <w:rPr>
          <w:rFonts w:ascii="Times New Roman" w:hAnsi="Times New Roman"/>
          <w:sz w:val="24"/>
          <w:szCs w:val="24"/>
        </w:rPr>
      </w:pPr>
      <w:r>
        <w:t>“</w:t>
      </w:r>
      <w:r w:rsidRPr="00E55007">
        <w:rPr>
          <w:rFonts w:ascii="Times New Roman" w:hAnsi="Times New Roman"/>
          <w:sz w:val="24"/>
          <w:szCs w:val="24"/>
        </w:rPr>
        <w:t>Freed did not relinquish his First Amendment</w:t>
      </w:r>
      <w:r>
        <w:rPr>
          <w:rFonts w:ascii="Times New Roman" w:hAnsi="Times New Roman"/>
          <w:sz w:val="24"/>
          <w:szCs w:val="24"/>
        </w:rPr>
        <w:t xml:space="preserve"> </w:t>
      </w:r>
      <w:r w:rsidRPr="00E55007">
        <w:rPr>
          <w:rFonts w:ascii="Times New Roman" w:hAnsi="Times New Roman"/>
          <w:sz w:val="24"/>
          <w:szCs w:val="24"/>
        </w:rPr>
        <w:t xml:space="preserve">rights when he became city manager. On the contrary, </w:t>
      </w:r>
      <w:r>
        <w:rPr>
          <w:rFonts w:ascii="Times New Roman" w:hAnsi="Times New Roman"/>
          <w:sz w:val="24"/>
          <w:szCs w:val="24"/>
        </w:rPr>
        <w:t>‘</w:t>
      </w:r>
      <w:r w:rsidRPr="00E55007">
        <w:rPr>
          <w:rFonts w:ascii="Times New Roman" w:hAnsi="Times New Roman"/>
          <w:sz w:val="24"/>
          <w:szCs w:val="24"/>
        </w:rPr>
        <w:t>the</w:t>
      </w:r>
      <w:r>
        <w:rPr>
          <w:rFonts w:ascii="Times New Roman" w:hAnsi="Times New Roman"/>
          <w:sz w:val="24"/>
          <w:szCs w:val="24"/>
        </w:rPr>
        <w:t xml:space="preserve"> </w:t>
      </w:r>
      <w:r w:rsidRPr="00E55007">
        <w:rPr>
          <w:rFonts w:ascii="Times New Roman" w:hAnsi="Times New Roman"/>
          <w:sz w:val="24"/>
          <w:szCs w:val="24"/>
        </w:rPr>
        <w:t>First Amendment protects a public employee’s right, in certain circumstances, to speak as a citizen addressing matters of public concern.</w:t>
      </w:r>
      <w:r>
        <w:rPr>
          <w:rFonts w:ascii="Times New Roman" w:hAnsi="Times New Roman"/>
          <w:sz w:val="24"/>
          <w:szCs w:val="24"/>
        </w:rPr>
        <w:t>’</w:t>
      </w:r>
      <w:r w:rsidRPr="00E55007">
        <w:rPr>
          <w:rFonts w:ascii="Times New Roman" w:hAnsi="Times New Roman"/>
          <w:sz w:val="24"/>
          <w:szCs w:val="24"/>
        </w:rPr>
        <w:t xml:space="preserve"> Garcetti v. Ceballos, 547 U. S. 410,</w:t>
      </w:r>
      <w:r>
        <w:rPr>
          <w:rFonts w:ascii="Times New Roman" w:hAnsi="Times New Roman"/>
          <w:sz w:val="24"/>
          <w:szCs w:val="24"/>
        </w:rPr>
        <w:t xml:space="preserve"> </w:t>
      </w:r>
      <w:r w:rsidRPr="00E55007">
        <w:rPr>
          <w:rFonts w:ascii="Times New Roman" w:hAnsi="Times New Roman"/>
          <w:sz w:val="24"/>
          <w:szCs w:val="24"/>
        </w:rPr>
        <w:t>417 (2006). This right includes the ability to speak about</w:t>
      </w:r>
    </w:p>
    <w:p w14:paraId="1A5242A0" w14:textId="77777777" w:rsidR="00B86628" w:rsidRPr="00E55007" w:rsidRDefault="00B86628" w:rsidP="00B86628">
      <w:pPr>
        <w:pStyle w:val="NoSpacing"/>
        <w:ind w:left="720"/>
        <w:rPr>
          <w:rFonts w:ascii="Times New Roman" w:hAnsi="Times New Roman"/>
          <w:sz w:val="24"/>
          <w:szCs w:val="24"/>
        </w:rPr>
      </w:pPr>
      <w:r>
        <w:rPr>
          <w:rFonts w:ascii="Times New Roman" w:hAnsi="Times New Roman"/>
          <w:sz w:val="24"/>
          <w:szCs w:val="24"/>
        </w:rPr>
        <w:t>‘</w:t>
      </w:r>
      <w:proofErr w:type="gramStart"/>
      <w:r w:rsidRPr="00E55007">
        <w:rPr>
          <w:rFonts w:ascii="Times New Roman" w:hAnsi="Times New Roman"/>
          <w:sz w:val="24"/>
          <w:szCs w:val="24"/>
        </w:rPr>
        <w:t>information</w:t>
      </w:r>
      <w:proofErr w:type="gramEnd"/>
      <w:r w:rsidRPr="00E55007">
        <w:rPr>
          <w:rFonts w:ascii="Times New Roman" w:hAnsi="Times New Roman"/>
          <w:sz w:val="24"/>
          <w:szCs w:val="24"/>
        </w:rPr>
        <w:t xml:space="preserve"> related to or learned through public employment,</w:t>
      </w:r>
      <w:r>
        <w:rPr>
          <w:rFonts w:ascii="Times New Roman" w:hAnsi="Times New Roman"/>
          <w:sz w:val="24"/>
          <w:szCs w:val="24"/>
        </w:rPr>
        <w:t>’</w:t>
      </w:r>
      <w:r w:rsidRPr="00E55007">
        <w:rPr>
          <w:rFonts w:ascii="Times New Roman" w:hAnsi="Times New Roman"/>
          <w:sz w:val="24"/>
          <w:szCs w:val="24"/>
        </w:rPr>
        <w:t xml:space="preserve"> so long as the speech is not </w:t>
      </w:r>
      <w:r>
        <w:rPr>
          <w:rFonts w:ascii="Times New Roman" w:hAnsi="Times New Roman"/>
          <w:sz w:val="24"/>
          <w:szCs w:val="24"/>
        </w:rPr>
        <w:t>‘</w:t>
      </w:r>
      <w:r w:rsidRPr="00E55007">
        <w:rPr>
          <w:rFonts w:ascii="Times New Roman" w:hAnsi="Times New Roman"/>
          <w:sz w:val="24"/>
          <w:szCs w:val="24"/>
        </w:rPr>
        <w:t>itself ordinarily within</w:t>
      </w:r>
      <w:r>
        <w:rPr>
          <w:rFonts w:ascii="Times New Roman" w:hAnsi="Times New Roman"/>
          <w:sz w:val="24"/>
          <w:szCs w:val="24"/>
        </w:rPr>
        <w:t xml:space="preserve"> </w:t>
      </w:r>
      <w:r w:rsidRPr="00E55007">
        <w:rPr>
          <w:rFonts w:ascii="Times New Roman" w:hAnsi="Times New Roman"/>
          <w:sz w:val="24"/>
          <w:szCs w:val="24"/>
        </w:rPr>
        <w:t>the scope of [the] employee’s duties.</w:t>
      </w:r>
      <w:r>
        <w:rPr>
          <w:rFonts w:ascii="Times New Roman" w:hAnsi="Times New Roman"/>
          <w:sz w:val="24"/>
          <w:szCs w:val="24"/>
        </w:rPr>
        <w:t>’</w:t>
      </w:r>
      <w:r w:rsidRPr="00E55007">
        <w:rPr>
          <w:rFonts w:ascii="Times New Roman" w:hAnsi="Times New Roman"/>
          <w:sz w:val="24"/>
          <w:szCs w:val="24"/>
        </w:rPr>
        <w:t xml:space="preserve"> Lane v. Franks, 573</w:t>
      </w:r>
    </w:p>
    <w:p w14:paraId="60D2BCBB" w14:textId="77777777" w:rsidR="00B86628" w:rsidRDefault="00B86628" w:rsidP="00B86628">
      <w:pPr>
        <w:pStyle w:val="NoSpacing"/>
        <w:ind w:firstLine="720"/>
        <w:rPr>
          <w:rFonts w:ascii="Times New Roman" w:hAnsi="Times New Roman"/>
          <w:sz w:val="24"/>
          <w:szCs w:val="24"/>
        </w:rPr>
      </w:pPr>
      <w:r w:rsidRPr="00E55007">
        <w:rPr>
          <w:rFonts w:ascii="Times New Roman" w:hAnsi="Times New Roman"/>
          <w:sz w:val="24"/>
          <w:szCs w:val="24"/>
        </w:rPr>
        <w:t>U. S. 228, 236, 240 (2014)</w:t>
      </w:r>
      <w:r>
        <w:rPr>
          <w:rFonts w:ascii="Times New Roman" w:hAnsi="Times New Roman"/>
          <w:sz w:val="24"/>
          <w:szCs w:val="24"/>
        </w:rPr>
        <w:t>.”</w:t>
      </w:r>
    </w:p>
    <w:p w14:paraId="0F9F2C27" w14:textId="77777777" w:rsidR="00B86628" w:rsidRDefault="00B86628" w:rsidP="00B86628">
      <w:pPr>
        <w:pStyle w:val="NoSpacing"/>
        <w:ind w:firstLine="720"/>
        <w:rPr>
          <w:rFonts w:ascii="Times New Roman" w:hAnsi="Times New Roman"/>
          <w:sz w:val="24"/>
          <w:szCs w:val="24"/>
        </w:rPr>
      </w:pPr>
    </w:p>
    <w:p w14:paraId="36EBE845" w14:textId="77777777" w:rsidR="00B86628" w:rsidRPr="007F37FA" w:rsidRDefault="00B86628" w:rsidP="00B86628">
      <w:pPr>
        <w:pStyle w:val="NoSpacing"/>
        <w:rPr>
          <w:rFonts w:ascii="Times New Roman" w:hAnsi="Times New Roman"/>
          <w:b/>
          <w:bCs/>
          <w:sz w:val="24"/>
          <w:szCs w:val="24"/>
        </w:rPr>
      </w:pPr>
      <w:r w:rsidRPr="007F37FA">
        <w:rPr>
          <w:rFonts w:ascii="Times New Roman" w:hAnsi="Times New Roman"/>
          <w:b/>
          <w:bCs/>
          <w:sz w:val="24"/>
          <w:szCs w:val="24"/>
        </w:rPr>
        <w:t xml:space="preserve">Legal Lesson Learned: When fire or EMS are posting on </w:t>
      </w:r>
      <w:proofErr w:type="gramStart"/>
      <w:r w:rsidRPr="007F37FA">
        <w:rPr>
          <w:rFonts w:ascii="Times New Roman" w:hAnsi="Times New Roman"/>
          <w:b/>
          <w:bCs/>
          <w:sz w:val="24"/>
          <w:szCs w:val="24"/>
        </w:rPr>
        <w:t>Social Media</w:t>
      </w:r>
      <w:proofErr w:type="gramEnd"/>
      <w:r w:rsidRPr="007F37FA">
        <w:rPr>
          <w:rFonts w:ascii="Times New Roman" w:hAnsi="Times New Roman"/>
          <w:b/>
          <w:bCs/>
          <w:sz w:val="24"/>
          <w:szCs w:val="24"/>
        </w:rPr>
        <w:t>, they must exercise extreme care to not discuss internal department issues.</w:t>
      </w:r>
    </w:p>
    <w:p w14:paraId="133A602F" w14:textId="77777777" w:rsidR="00B86628" w:rsidRDefault="00B86628" w:rsidP="00B86628">
      <w:pPr>
        <w:pStyle w:val="NoSpacing"/>
        <w:rPr>
          <w:rFonts w:ascii="Times New Roman" w:hAnsi="Times New Roman"/>
          <w:sz w:val="24"/>
          <w:szCs w:val="24"/>
        </w:rPr>
      </w:pPr>
    </w:p>
    <w:p w14:paraId="418898A1" w14:textId="77777777" w:rsidR="00B86628" w:rsidRDefault="00B86628" w:rsidP="00B86628">
      <w:pPr>
        <w:pStyle w:val="NoSpacing"/>
        <w:ind w:firstLine="720"/>
        <w:rPr>
          <w:rFonts w:ascii="Times New Roman" w:hAnsi="Times New Roman"/>
          <w:sz w:val="24"/>
          <w:szCs w:val="24"/>
        </w:rPr>
      </w:pPr>
      <w:r>
        <w:rPr>
          <w:rFonts w:ascii="Times New Roman" w:hAnsi="Times New Roman"/>
          <w:sz w:val="24"/>
          <w:szCs w:val="24"/>
        </w:rPr>
        <w:t xml:space="preserve">Note: </w:t>
      </w:r>
      <w:r w:rsidRPr="00AC5C49">
        <w:rPr>
          <w:rFonts w:ascii="Times New Roman" w:hAnsi="Times New Roman"/>
          <w:sz w:val="24"/>
          <w:szCs w:val="24"/>
        </w:rPr>
        <w:t xml:space="preserve">Justice </w:t>
      </w:r>
      <w:r>
        <w:rPr>
          <w:rFonts w:ascii="Times New Roman" w:hAnsi="Times New Roman"/>
          <w:sz w:val="24"/>
          <w:szCs w:val="24"/>
        </w:rPr>
        <w:t xml:space="preserve">Barrett offered this helpful suggestion in her opinion. </w:t>
      </w:r>
    </w:p>
    <w:p w14:paraId="3054431D" w14:textId="77777777" w:rsidR="00B86628" w:rsidRPr="00AC5C49" w:rsidRDefault="00B86628" w:rsidP="00B86628">
      <w:pPr>
        <w:pStyle w:val="NoSpacing"/>
        <w:ind w:left="1440"/>
        <w:rPr>
          <w:rFonts w:ascii="Times New Roman" w:hAnsi="Times New Roman"/>
          <w:sz w:val="24"/>
          <w:szCs w:val="24"/>
        </w:rPr>
      </w:pPr>
      <w:r>
        <w:rPr>
          <w:rFonts w:ascii="Times New Roman" w:hAnsi="Times New Roman"/>
          <w:sz w:val="24"/>
          <w:szCs w:val="24"/>
        </w:rPr>
        <w:t>“</w:t>
      </w:r>
      <w:r w:rsidRPr="00AC5C49">
        <w:rPr>
          <w:rFonts w:ascii="Times New Roman" w:hAnsi="Times New Roman"/>
          <w:sz w:val="24"/>
          <w:szCs w:val="24"/>
        </w:rPr>
        <w:t>Had Freed’s account</w:t>
      </w:r>
      <w:r>
        <w:rPr>
          <w:rFonts w:ascii="Times New Roman" w:hAnsi="Times New Roman"/>
          <w:sz w:val="24"/>
          <w:szCs w:val="24"/>
        </w:rPr>
        <w:t xml:space="preserve"> </w:t>
      </w:r>
      <w:r w:rsidRPr="00AC5C49">
        <w:rPr>
          <w:rFonts w:ascii="Times New Roman" w:hAnsi="Times New Roman"/>
          <w:sz w:val="24"/>
          <w:szCs w:val="24"/>
        </w:rPr>
        <w:t xml:space="preserve">carried a label (e.g., </w:t>
      </w:r>
      <w:r>
        <w:rPr>
          <w:rFonts w:ascii="Times New Roman" w:hAnsi="Times New Roman"/>
          <w:sz w:val="24"/>
          <w:szCs w:val="24"/>
        </w:rPr>
        <w:t>‘</w:t>
      </w:r>
      <w:r w:rsidRPr="00AC5C49">
        <w:rPr>
          <w:rFonts w:ascii="Times New Roman" w:hAnsi="Times New Roman"/>
          <w:sz w:val="24"/>
          <w:szCs w:val="24"/>
        </w:rPr>
        <w:t>this is the personal page of James R.</w:t>
      </w:r>
      <w:r>
        <w:rPr>
          <w:rFonts w:ascii="Times New Roman" w:hAnsi="Times New Roman"/>
          <w:sz w:val="24"/>
          <w:szCs w:val="24"/>
        </w:rPr>
        <w:t xml:space="preserve"> </w:t>
      </w:r>
      <w:r w:rsidRPr="00AC5C49">
        <w:rPr>
          <w:rFonts w:ascii="Times New Roman" w:hAnsi="Times New Roman"/>
          <w:sz w:val="24"/>
          <w:szCs w:val="24"/>
        </w:rPr>
        <w:t>Freed</w:t>
      </w:r>
      <w:r>
        <w:rPr>
          <w:rFonts w:ascii="Times New Roman" w:hAnsi="Times New Roman"/>
          <w:sz w:val="24"/>
          <w:szCs w:val="24"/>
        </w:rPr>
        <w:t>’</w:t>
      </w:r>
      <w:r w:rsidRPr="00AC5C49">
        <w:rPr>
          <w:rFonts w:ascii="Times New Roman" w:hAnsi="Times New Roman"/>
          <w:sz w:val="24"/>
          <w:szCs w:val="24"/>
        </w:rPr>
        <w:t xml:space="preserve">) or a disclaimer (e.g., </w:t>
      </w:r>
      <w:r>
        <w:rPr>
          <w:rFonts w:ascii="Times New Roman" w:hAnsi="Times New Roman"/>
          <w:sz w:val="24"/>
          <w:szCs w:val="24"/>
        </w:rPr>
        <w:t>‘</w:t>
      </w:r>
      <w:r w:rsidRPr="00AC5C49">
        <w:rPr>
          <w:rFonts w:ascii="Times New Roman" w:hAnsi="Times New Roman"/>
          <w:sz w:val="24"/>
          <w:szCs w:val="24"/>
        </w:rPr>
        <w:t>the views expressed are</w:t>
      </w:r>
      <w:r>
        <w:rPr>
          <w:rFonts w:ascii="Times New Roman" w:hAnsi="Times New Roman"/>
          <w:sz w:val="24"/>
          <w:szCs w:val="24"/>
        </w:rPr>
        <w:t xml:space="preserve"> </w:t>
      </w:r>
      <w:r w:rsidRPr="00AC5C49">
        <w:rPr>
          <w:rFonts w:ascii="Times New Roman" w:hAnsi="Times New Roman"/>
          <w:sz w:val="24"/>
          <w:szCs w:val="24"/>
        </w:rPr>
        <w:t>strictly my own</w:t>
      </w:r>
      <w:r>
        <w:rPr>
          <w:rFonts w:ascii="Times New Roman" w:hAnsi="Times New Roman"/>
          <w:sz w:val="24"/>
          <w:szCs w:val="24"/>
        </w:rPr>
        <w:t>’</w:t>
      </w:r>
      <w:r w:rsidRPr="00AC5C49">
        <w:rPr>
          <w:rFonts w:ascii="Times New Roman" w:hAnsi="Times New Roman"/>
          <w:sz w:val="24"/>
          <w:szCs w:val="24"/>
        </w:rPr>
        <w:t>), he would be entitled to a heavy (though</w:t>
      </w:r>
      <w:r>
        <w:rPr>
          <w:rFonts w:ascii="Times New Roman" w:hAnsi="Times New Roman"/>
          <w:sz w:val="24"/>
          <w:szCs w:val="24"/>
        </w:rPr>
        <w:t xml:space="preserve"> </w:t>
      </w:r>
      <w:r w:rsidRPr="00AC5C49">
        <w:rPr>
          <w:rFonts w:ascii="Times New Roman" w:hAnsi="Times New Roman"/>
          <w:sz w:val="24"/>
          <w:szCs w:val="24"/>
        </w:rPr>
        <w:t>not irrebuttable) presumption that all of the posts on his</w:t>
      </w:r>
      <w:r>
        <w:rPr>
          <w:rFonts w:ascii="Times New Roman" w:hAnsi="Times New Roman"/>
          <w:sz w:val="24"/>
          <w:szCs w:val="24"/>
        </w:rPr>
        <w:t xml:space="preserve"> </w:t>
      </w:r>
      <w:r w:rsidRPr="00AC5C49">
        <w:rPr>
          <w:rFonts w:ascii="Times New Roman" w:hAnsi="Times New Roman"/>
          <w:sz w:val="24"/>
          <w:szCs w:val="24"/>
        </w:rPr>
        <w:t>page were personal.</w:t>
      </w:r>
      <w:r>
        <w:rPr>
          <w:rFonts w:ascii="Times New Roman" w:hAnsi="Times New Roman"/>
          <w:sz w:val="24"/>
          <w:szCs w:val="24"/>
        </w:rPr>
        <w:t>”</w:t>
      </w:r>
    </w:p>
    <w:p w14:paraId="2B9F7538" w14:textId="77777777" w:rsidR="00B86628" w:rsidRDefault="00B86628" w:rsidP="00B86628">
      <w:pPr>
        <w:pStyle w:val="NormalWeb"/>
        <w:ind w:left="720"/>
      </w:pPr>
      <w:r>
        <w:t>The U.S. Supreme Court also decided a second case involving two school board members who used their FACEBOOK and TWITTER pages for official purposes. They were sued by parents who were blocked.  That case sent back to U.S. District Court in California.</w:t>
      </w:r>
      <w:r w:rsidRPr="00247024">
        <w:t xml:space="preserve"> </w:t>
      </w:r>
      <w:r w:rsidRPr="006472DD">
        <w:rPr>
          <w:u w:val="single"/>
        </w:rPr>
        <w:t xml:space="preserve">Michelle O’Connor-Ratcliff, et al. v. Christopher Garner, et </w:t>
      </w:r>
      <w:proofErr w:type="gramStart"/>
      <w:r w:rsidRPr="006472DD">
        <w:rPr>
          <w:u w:val="single"/>
        </w:rPr>
        <w:t>al</w:t>
      </w:r>
      <w:r>
        <w:t>,,</w:t>
      </w:r>
      <w:proofErr w:type="gramEnd"/>
      <w:r>
        <w:t xml:space="preserve"> </w:t>
      </w:r>
      <w:hyperlink r:id="rId165" w:history="1">
        <w:r w:rsidRPr="007616D4">
          <w:rPr>
            <w:rStyle w:val="Hyperlink"/>
          </w:rPr>
          <w:t>https://www.supremecourt.gov/opinions/23pdf/22-324_09m1.pdf</w:t>
        </w:r>
      </w:hyperlink>
      <w:r>
        <w:t xml:space="preserve">  </w:t>
      </w:r>
    </w:p>
    <w:p w14:paraId="1F60BC56" w14:textId="77777777" w:rsidR="00B86628" w:rsidRDefault="00B86628" w:rsidP="00B86628">
      <w:pPr>
        <w:pStyle w:val="NormalWeb"/>
        <w:ind w:left="720"/>
      </w:pPr>
    </w:p>
    <w:p w14:paraId="0583AF64" w14:textId="77777777" w:rsidR="00B86628" w:rsidRDefault="00B86628" w:rsidP="00F326E5">
      <w:pPr>
        <w:pStyle w:val="NoSpacing"/>
        <w:rPr>
          <w:rFonts w:ascii="Arial Black" w:hAnsi="Arial Black"/>
          <w:sz w:val="24"/>
          <w:szCs w:val="24"/>
        </w:rPr>
      </w:pPr>
    </w:p>
    <w:p w14:paraId="6AABBA4F" w14:textId="77777777" w:rsidR="00B86628" w:rsidRDefault="00B86628" w:rsidP="00F326E5">
      <w:pPr>
        <w:pStyle w:val="NoSpacing"/>
        <w:rPr>
          <w:rFonts w:ascii="Arial Black" w:hAnsi="Arial Black"/>
          <w:sz w:val="24"/>
          <w:szCs w:val="24"/>
        </w:rPr>
      </w:pPr>
    </w:p>
    <w:p w14:paraId="71523ECF" w14:textId="660F0E7D" w:rsidR="00991260" w:rsidRDefault="00991260" w:rsidP="00F326E5">
      <w:pPr>
        <w:pStyle w:val="NoSpacing"/>
        <w:rPr>
          <w:rFonts w:ascii="Arial Black" w:hAnsi="Arial Black"/>
          <w:sz w:val="24"/>
          <w:szCs w:val="24"/>
        </w:rPr>
      </w:pPr>
      <w:r>
        <w:rPr>
          <w:rFonts w:ascii="Arial Black" w:hAnsi="Arial Black"/>
          <w:sz w:val="24"/>
          <w:szCs w:val="24"/>
        </w:rPr>
        <w:t>1-145</w:t>
      </w:r>
    </w:p>
    <w:p w14:paraId="1DAF82AC" w14:textId="77777777" w:rsidR="00493015" w:rsidRDefault="00493015" w:rsidP="00F326E5">
      <w:pPr>
        <w:pStyle w:val="NoSpacing"/>
        <w:rPr>
          <w:rFonts w:ascii="Arial Black" w:hAnsi="Arial Black"/>
          <w:sz w:val="24"/>
          <w:szCs w:val="24"/>
        </w:rPr>
      </w:pPr>
    </w:p>
    <w:p w14:paraId="31391EAF" w14:textId="77777777" w:rsidR="00493015" w:rsidRDefault="00493015" w:rsidP="00493015">
      <w:pPr>
        <w:pStyle w:val="NoSpacing"/>
        <w:rPr>
          <w:rFonts w:ascii="Arial Black" w:hAnsi="Arial Black"/>
          <w:sz w:val="28"/>
          <w:szCs w:val="28"/>
        </w:rPr>
      </w:pPr>
      <w:r>
        <w:rPr>
          <w:rFonts w:ascii="Arial Black" w:hAnsi="Arial Black"/>
          <w:sz w:val="28"/>
          <w:szCs w:val="28"/>
        </w:rPr>
        <w:t>MI: FIREWORKS – CITATION / $150 FINE SET ASIDE – CITY CAN’T REQ. STORE GIVE OUT FLYER ON STATE / FED. LAWS</w:t>
      </w:r>
    </w:p>
    <w:p w14:paraId="775ADC90" w14:textId="77777777" w:rsidR="00493015" w:rsidRDefault="00493015" w:rsidP="00493015">
      <w:pPr>
        <w:pStyle w:val="NoSpacing"/>
        <w:rPr>
          <w:rFonts w:ascii="Arial Black" w:hAnsi="Arial Black"/>
          <w:sz w:val="28"/>
          <w:szCs w:val="28"/>
        </w:rPr>
      </w:pPr>
    </w:p>
    <w:p w14:paraId="73CC7AF8" w14:textId="77777777" w:rsidR="00493015" w:rsidRDefault="00493015" w:rsidP="00493015">
      <w:pPr>
        <w:pStyle w:val="NoSpacing"/>
        <w:rPr>
          <w:rFonts w:ascii="Times New Roman" w:hAnsi="Times New Roman"/>
          <w:sz w:val="24"/>
          <w:szCs w:val="24"/>
        </w:rPr>
      </w:pPr>
      <w:r>
        <w:rPr>
          <w:rFonts w:ascii="Times New Roman" w:hAnsi="Times New Roman"/>
          <w:sz w:val="24"/>
          <w:szCs w:val="24"/>
        </w:rPr>
        <w:t xml:space="preserve">On Feb. 15, 2024, </w:t>
      </w:r>
      <w:r w:rsidRPr="0001598C">
        <w:rPr>
          <w:rFonts w:ascii="Times New Roman" w:hAnsi="Times New Roman"/>
          <w:sz w:val="24"/>
          <w:szCs w:val="24"/>
          <w:u w:val="single"/>
        </w:rPr>
        <w:t>in People of the City of Sterling Heights v. Robert Bahke</w:t>
      </w:r>
      <w:r>
        <w:rPr>
          <w:rFonts w:ascii="Times New Roman" w:hAnsi="Times New Roman"/>
          <w:sz w:val="24"/>
          <w:szCs w:val="24"/>
        </w:rPr>
        <w:t xml:space="preserve">, the Court of Appeals of Michigan held (3 to 0) that the fireworks Safety Act preempts city ordinance because the ordinance directly with the state law; the Manager of Pro Fireworks store won this appeal after </w:t>
      </w:r>
      <w:proofErr w:type="spellStart"/>
      <w:r>
        <w:rPr>
          <w:rFonts w:ascii="Times New Roman" w:hAnsi="Times New Roman"/>
          <w:sz w:val="24"/>
          <w:szCs w:val="24"/>
        </w:rPr>
        <w:t>loosing</w:t>
      </w:r>
      <w:proofErr w:type="spellEnd"/>
      <w:r>
        <w:rPr>
          <w:rFonts w:ascii="Times New Roman" w:hAnsi="Times New Roman"/>
          <w:sz w:val="24"/>
          <w:szCs w:val="24"/>
        </w:rPr>
        <w:t xml:space="preserve"> before a City Magistrate, a District Court judge and a Circuit Court. </w:t>
      </w:r>
    </w:p>
    <w:p w14:paraId="7EE9D711" w14:textId="77777777" w:rsidR="009A27F2" w:rsidRDefault="009A27F2" w:rsidP="009A27F2">
      <w:pPr>
        <w:pStyle w:val="NoSpacing"/>
        <w:rPr>
          <w:rFonts w:ascii="Times New Roman" w:hAnsi="Times New Roman"/>
          <w:sz w:val="24"/>
          <w:szCs w:val="24"/>
          <w:shd w:val="clear" w:color="auto" w:fill="FFFFFF"/>
        </w:rPr>
      </w:pPr>
    </w:p>
    <w:p w14:paraId="477EC6CA" w14:textId="4D09756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498F8EF" w14:textId="77777777" w:rsidR="00493015" w:rsidRDefault="00493015" w:rsidP="00493015">
      <w:pPr>
        <w:pStyle w:val="NoSpacing"/>
        <w:rPr>
          <w:rFonts w:ascii="Times New Roman" w:hAnsi="Times New Roman"/>
          <w:sz w:val="24"/>
          <w:szCs w:val="24"/>
        </w:rPr>
      </w:pPr>
    </w:p>
    <w:p w14:paraId="2B92CF41" w14:textId="77777777" w:rsidR="00493015" w:rsidRPr="00B71C19" w:rsidRDefault="00493015" w:rsidP="00493015">
      <w:pPr>
        <w:pStyle w:val="NoSpacing"/>
        <w:ind w:left="720"/>
        <w:rPr>
          <w:rFonts w:ascii="Times New Roman" w:hAnsi="Times New Roman"/>
          <w:sz w:val="24"/>
          <w:szCs w:val="24"/>
        </w:rPr>
      </w:pPr>
      <w:r>
        <w:rPr>
          <w:rFonts w:ascii="Times New Roman" w:hAnsi="Times New Roman"/>
          <w:sz w:val="24"/>
          <w:szCs w:val="24"/>
        </w:rPr>
        <w:t>“</w:t>
      </w:r>
      <w:r w:rsidRPr="00B71C19">
        <w:rPr>
          <w:rFonts w:ascii="Times New Roman" w:hAnsi="Times New Roman"/>
          <w:sz w:val="24"/>
          <w:szCs w:val="24"/>
        </w:rPr>
        <w:t xml:space="preserve">Defendant argues that the Michigan Fireworks Safety Act (MFSA), MCL 28.457, preempts </w:t>
      </w:r>
      <w:proofErr w:type="gramStart"/>
      <w:r w:rsidRPr="00B71C19">
        <w:rPr>
          <w:rFonts w:ascii="Times New Roman" w:hAnsi="Times New Roman"/>
          <w:sz w:val="24"/>
          <w:szCs w:val="24"/>
        </w:rPr>
        <w:t>plaintiffs</w:t>
      </w:r>
      <w:proofErr w:type="gramEnd"/>
      <w:r w:rsidRPr="00B71C19">
        <w:rPr>
          <w:rFonts w:ascii="Times New Roman" w:hAnsi="Times New Roman"/>
          <w:sz w:val="24"/>
          <w:szCs w:val="24"/>
        </w:rPr>
        <w:t xml:space="preserve"> ordinance because the ordinance directly conflicts with the statute and because the field of fireworks sales was exclusively occupied by the state. We agree that the ordinance directly conflicts with the statute and is therefore preempted by state </w:t>
      </w:r>
      <w:proofErr w:type="gramStart"/>
      <w:r w:rsidRPr="00B71C19">
        <w:rPr>
          <w:rFonts w:ascii="Times New Roman" w:hAnsi="Times New Roman"/>
          <w:sz w:val="24"/>
          <w:szCs w:val="24"/>
        </w:rPr>
        <w:t>law.</w:t>
      </w:r>
      <w:r>
        <w:rPr>
          <w:rFonts w:ascii="Times New Roman" w:hAnsi="Times New Roman"/>
          <w:sz w:val="24"/>
          <w:szCs w:val="24"/>
        </w:rPr>
        <w:t>”</w:t>
      </w:r>
      <w:proofErr w:type="gramEnd"/>
      <w:r>
        <w:rPr>
          <w:rFonts w:ascii="Times New Roman" w:hAnsi="Times New Roman"/>
          <w:sz w:val="24"/>
          <w:szCs w:val="24"/>
        </w:rPr>
        <w:t xml:space="preserve"> </w:t>
      </w:r>
      <w:hyperlink r:id="rId166" w:history="1">
        <w:r w:rsidRPr="00644350">
          <w:rPr>
            <w:rStyle w:val="Hyperlink"/>
            <w:rFonts w:ascii="Times New Roman" w:hAnsi="Times New Roman"/>
            <w:sz w:val="24"/>
            <w:szCs w:val="24"/>
          </w:rPr>
          <w:t>https://cases.justia.com/michigan/court-of-appeals-published/2024-364264.pdf?ts=1708092018</w:t>
        </w:r>
      </w:hyperlink>
      <w:r>
        <w:rPr>
          <w:rFonts w:ascii="Times New Roman" w:hAnsi="Times New Roman"/>
          <w:sz w:val="24"/>
          <w:szCs w:val="24"/>
        </w:rPr>
        <w:t xml:space="preserve"> </w:t>
      </w:r>
    </w:p>
    <w:p w14:paraId="22FB8BC0" w14:textId="77777777" w:rsidR="00493015" w:rsidRPr="003A172A" w:rsidRDefault="00493015" w:rsidP="00493015">
      <w:pPr>
        <w:spacing w:after="100" w:line="240" w:lineRule="auto"/>
        <w:ind w:left="4320"/>
        <w:rPr>
          <w:rFonts w:ascii="Times New Roman" w:eastAsia="Times New Roman" w:hAnsi="Times New Roman"/>
          <w:sz w:val="24"/>
          <w:szCs w:val="24"/>
        </w:rPr>
      </w:pPr>
    </w:p>
    <w:p w14:paraId="272CFFF2" w14:textId="77777777" w:rsidR="00493015" w:rsidRPr="00941B8F" w:rsidRDefault="00493015" w:rsidP="00493015">
      <w:pPr>
        <w:pStyle w:val="NoSpacing"/>
        <w:ind w:left="720"/>
        <w:rPr>
          <w:rFonts w:ascii="Times New Roman" w:hAnsi="Times New Roman"/>
          <w:b/>
          <w:bCs/>
          <w:sz w:val="24"/>
          <w:szCs w:val="24"/>
        </w:rPr>
      </w:pPr>
      <w:r>
        <w:rPr>
          <w:rFonts w:ascii="Times New Roman" w:hAnsi="Times New Roman"/>
          <w:b/>
          <w:bCs/>
          <w:sz w:val="24"/>
          <w:szCs w:val="24"/>
        </w:rPr>
        <w:t xml:space="preserve">Legal Lesson Learned:  Cities and other municipalities may still have ordinances on hours when fireworks may be set off in that community. </w:t>
      </w:r>
    </w:p>
    <w:p w14:paraId="0463AD6D" w14:textId="77777777" w:rsidR="00493015" w:rsidRDefault="00493015" w:rsidP="00493015">
      <w:pPr>
        <w:pStyle w:val="NormalWeb"/>
      </w:pPr>
    </w:p>
    <w:p w14:paraId="106C9913" w14:textId="77777777" w:rsidR="00493015" w:rsidRDefault="00493015" w:rsidP="00F326E5">
      <w:pPr>
        <w:pStyle w:val="NoSpacing"/>
        <w:rPr>
          <w:rFonts w:ascii="Arial Black" w:hAnsi="Arial Black"/>
          <w:sz w:val="24"/>
          <w:szCs w:val="24"/>
        </w:rPr>
      </w:pPr>
    </w:p>
    <w:p w14:paraId="75C38513" w14:textId="77777777" w:rsidR="00991260" w:rsidRDefault="00991260" w:rsidP="00F326E5">
      <w:pPr>
        <w:pStyle w:val="NoSpacing"/>
        <w:rPr>
          <w:rFonts w:ascii="Arial Black" w:hAnsi="Arial Black"/>
          <w:sz w:val="24"/>
          <w:szCs w:val="24"/>
        </w:rPr>
      </w:pPr>
    </w:p>
    <w:p w14:paraId="2078751E" w14:textId="7B40888D" w:rsidR="007F1354" w:rsidRDefault="007F1354" w:rsidP="00F326E5">
      <w:pPr>
        <w:pStyle w:val="NoSpacing"/>
        <w:rPr>
          <w:rFonts w:ascii="Arial Black" w:hAnsi="Arial Black"/>
          <w:sz w:val="24"/>
          <w:szCs w:val="24"/>
        </w:rPr>
      </w:pPr>
      <w:r>
        <w:rPr>
          <w:rFonts w:ascii="Arial Black" w:hAnsi="Arial Black"/>
          <w:sz w:val="24"/>
          <w:szCs w:val="24"/>
        </w:rPr>
        <w:t>1-144</w:t>
      </w:r>
    </w:p>
    <w:p w14:paraId="6017C4A2" w14:textId="77777777" w:rsidR="003A1658" w:rsidRDefault="003A1658" w:rsidP="00F326E5">
      <w:pPr>
        <w:pStyle w:val="NoSpacing"/>
        <w:rPr>
          <w:rFonts w:ascii="Arial Black" w:hAnsi="Arial Black"/>
          <w:sz w:val="24"/>
          <w:szCs w:val="24"/>
        </w:rPr>
      </w:pPr>
    </w:p>
    <w:p w14:paraId="16E478D6" w14:textId="77777777" w:rsidR="003A1658" w:rsidRDefault="003A1658" w:rsidP="003A1658">
      <w:pPr>
        <w:pStyle w:val="NormalWeb"/>
        <w:rPr>
          <w:rFonts w:ascii="Arial Black" w:hAnsi="Arial Black"/>
          <w:sz w:val="28"/>
          <w:szCs w:val="28"/>
        </w:rPr>
      </w:pPr>
      <w:r>
        <w:rPr>
          <w:rFonts w:ascii="Arial Black" w:hAnsi="Arial Black"/>
          <w:sz w:val="28"/>
          <w:szCs w:val="28"/>
        </w:rPr>
        <w:t>IL:  HOUSE FIRE – CITY “EMERGENCY DEMOLISH ORDER” - FAILURE NOTIFY HOMEOWNER – LAWSUIT TO PROCEED</w:t>
      </w:r>
    </w:p>
    <w:p w14:paraId="55FC6635" w14:textId="77777777" w:rsidR="003A1658" w:rsidRDefault="003A1658" w:rsidP="003A1658">
      <w:pPr>
        <w:pStyle w:val="NormalWeb"/>
      </w:pPr>
      <w:r>
        <w:t xml:space="preserve">On Jan. 25, 2024, in </w:t>
      </w:r>
      <w:r w:rsidRPr="00F208D4">
        <w:rPr>
          <w:u w:val="single"/>
        </w:rPr>
        <w:t xml:space="preserve">Rosie Houston, et al. v. City of Houston, et </w:t>
      </w:r>
      <w:r>
        <w:rPr>
          <w:u w:val="single"/>
        </w:rPr>
        <w:t>a</w:t>
      </w:r>
      <w:r w:rsidRPr="00F208D4">
        <w:rPr>
          <w:u w:val="single"/>
        </w:rPr>
        <w:t>l</w:t>
      </w:r>
      <w:r>
        <w:t>., U.S. District Court Judge Jeremy C. Daniel, U.S. District Court for Northern District of Illinois (Eastern Division) denied the City’s motion to dismiss the lawsuit.</w:t>
      </w:r>
    </w:p>
    <w:p w14:paraId="77243181"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EE9EF7F" w14:textId="77777777" w:rsidR="003A1658" w:rsidRDefault="003A1658" w:rsidP="003A1658">
      <w:pPr>
        <w:pStyle w:val="NormalWeb"/>
        <w:ind w:left="720"/>
      </w:pPr>
      <w:r>
        <w:t>“[P]</w:t>
      </w:r>
      <w:proofErr w:type="spellStart"/>
      <w:r>
        <w:t>laintiffs</w:t>
      </w:r>
      <w:proofErr w:type="spellEnd"/>
      <w:r>
        <w:t>' Fourth Amendment claim may therefore proceed against Defendants City of Chicago, Frydland, Herrera, and Ficco.</w:t>
      </w:r>
    </w:p>
    <w:p w14:paraId="7F95B8B8" w14:textId="77777777" w:rsidR="003A1658" w:rsidRDefault="003A1658" w:rsidP="003A1658">
      <w:pPr>
        <w:pStyle w:val="NoSpacing"/>
        <w:ind w:firstLine="720"/>
        <w:rPr>
          <w:rFonts w:ascii="Times New Roman" w:hAnsi="Times New Roman"/>
          <w:sz w:val="24"/>
          <w:szCs w:val="24"/>
        </w:rPr>
      </w:pPr>
      <w:r>
        <w:rPr>
          <w:rFonts w:ascii="Times New Roman" w:hAnsi="Times New Roman"/>
          <w:sz w:val="24"/>
          <w:szCs w:val="24"/>
        </w:rPr>
        <w:t>***</w:t>
      </w:r>
    </w:p>
    <w:p w14:paraId="2DDC6607" w14:textId="77777777" w:rsidR="003A1658" w:rsidRDefault="003A1658" w:rsidP="003A1658">
      <w:pPr>
        <w:pStyle w:val="NoSpacing"/>
        <w:ind w:firstLine="720"/>
        <w:rPr>
          <w:rFonts w:ascii="Times New Roman" w:hAnsi="Times New Roman"/>
          <w:sz w:val="24"/>
          <w:szCs w:val="24"/>
        </w:rPr>
      </w:pPr>
    </w:p>
    <w:p w14:paraId="7B42E5B1"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The defendants’ argument is unavailing because it ignores allegations that the</w:t>
      </w:r>
    </w:p>
    <w:p w14:paraId="5072BE9F"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demolition was not random or unpredictable at all, but an entirely predictable</w:t>
      </w:r>
    </w:p>
    <w:p w14:paraId="5D07B566"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deprivation that occurred pursuant to state procedures. Specifically, the complaint</w:t>
      </w:r>
    </w:p>
    <w:p w14:paraId="0BC6E984" w14:textId="77777777" w:rsidR="003A1658" w:rsidRPr="005B427D" w:rsidRDefault="003A1658" w:rsidP="003A1658">
      <w:pPr>
        <w:pStyle w:val="NoSpacing"/>
        <w:ind w:left="720"/>
        <w:rPr>
          <w:rFonts w:ascii="Times New Roman" w:hAnsi="Times New Roman"/>
          <w:sz w:val="24"/>
          <w:szCs w:val="24"/>
        </w:rPr>
      </w:pPr>
      <w:r w:rsidRPr="005B427D">
        <w:rPr>
          <w:rFonts w:ascii="Times New Roman" w:hAnsi="Times New Roman"/>
          <w:sz w:val="24"/>
          <w:szCs w:val="24"/>
        </w:rPr>
        <w:t>states that Herrera, while acting under the color of law and within the scope of his</w:t>
      </w:r>
    </w:p>
    <w:p w14:paraId="68F93029" w14:textId="77777777" w:rsidR="003A1658" w:rsidRPr="005B427D" w:rsidRDefault="003A1658" w:rsidP="003A1658">
      <w:pPr>
        <w:pStyle w:val="NoSpacing"/>
        <w:ind w:firstLine="720"/>
        <w:rPr>
          <w:rFonts w:ascii="Times New Roman" w:hAnsi="Times New Roman"/>
          <w:sz w:val="24"/>
          <w:szCs w:val="24"/>
        </w:rPr>
      </w:pPr>
      <w:proofErr w:type="gramStart"/>
      <w:r w:rsidRPr="005B427D">
        <w:rPr>
          <w:rFonts w:ascii="Times New Roman" w:hAnsi="Times New Roman"/>
          <w:sz w:val="24"/>
          <w:szCs w:val="24"/>
        </w:rPr>
        <w:t xml:space="preserve">employment, </w:t>
      </w:r>
      <w:r>
        <w:rPr>
          <w:rFonts w:ascii="Times New Roman" w:hAnsi="Times New Roman"/>
          <w:sz w:val="24"/>
          <w:szCs w:val="24"/>
        </w:rPr>
        <w:t>‘</w:t>
      </w:r>
      <w:proofErr w:type="gramEnd"/>
      <w:r w:rsidRPr="005B427D">
        <w:rPr>
          <w:rFonts w:ascii="Times New Roman" w:hAnsi="Times New Roman"/>
          <w:sz w:val="24"/>
          <w:szCs w:val="24"/>
        </w:rPr>
        <w:t>caused a Permit for a Demolition Application to [be] issued to Delta</w:t>
      </w:r>
    </w:p>
    <w:p w14:paraId="3AB9927A" w14:textId="77777777" w:rsidR="003A1658" w:rsidRDefault="003A1658" w:rsidP="003A1658">
      <w:pPr>
        <w:pStyle w:val="NoSpacing"/>
        <w:ind w:left="720"/>
      </w:pPr>
      <w:r w:rsidRPr="005B427D">
        <w:rPr>
          <w:rFonts w:ascii="Times New Roman" w:hAnsi="Times New Roman"/>
          <w:sz w:val="24"/>
          <w:szCs w:val="24"/>
        </w:rPr>
        <w:t>Demolition.</w:t>
      </w:r>
      <w:r>
        <w:rPr>
          <w:rFonts w:ascii="Times New Roman" w:hAnsi="Times New Roman"/>
          <w:sz w:val="24"/>
          <w:szCs w:val="24"/>
        </w:rPr>
        <w:t xml:space="preserve">’ </w:t>
      </w:r>
      <w:r w:rsidRPr="005B427D">
        <w:rPr>
          <w:rFonts w:ascii="Times New Roman" w:hAnsi="Times New Roman"/>
          <w:sz w:val="24"/>
          <w:szCs w:val="24"/>
        </w:rPr>
        <w:t>The demolition permit was thereafter issued, and the</w:t>
      </w:r>
      <w:r>
        <w:rPr>
          <w:rFonts w:ascii="Times New Roman" w:hAnsi="Times New Roman"/>
          <w:sz w:val="24"/>
          <w:szCs w:val="24"/>
        </w:rPr>
        <w:t xml:space="preserve"> </w:t>
      </w:r>
      <w:r w:rsidRPr="005B427D">
        <w:rPr>
          <w:rFonts w:ascii="Times New Roman" w:hAnsi="Times New Roman"/>
          <w:sz w:val="24"/>
          <w:szCs w:val="24"/>
        </w:rPr>
        <w:t>defendants demolished the plaintiffs’ home. Further, the complaint</w:t>
      </w:r>
      <w:r>
        <w:rPr>
          <w:rFonts w:ascii="Times New Roman" w:hAnsi="Times New Roman"/>
          <w:sz w:val="24"/>
          <w:szCs w:val="24"/>
        </w:rPr>
        <w:t xml:space="preserve"> </w:t>
      </w:r>
      <w:r w:rsidRPr="005B427D">
        <w:rPr>
          <w:rFonts w:ascii="Times New Roman" w:hAnsi="Times New Roman"/>
          <w:sz w:val="24"/>
          <w:szCs w:val="24"/>
        </w:rPr>
        <w:t>explains that an emergency demolition permit may only properly occur after (1)</w:t>
      </w:r>
      <w:r>
        <w:rPr>
          <w:rFonts w:ascii="Times New Roman" w:hAnsi="Times New Roman"/>
          <w:sz w:val="24"/>
          <w:szCs w:val="24"/>
        </w:rPr>
        <w:t xml:space="preserve"> </w:t>
      </w:r>
      <w:r w:rsidRPr="005B427D">
        <w:rPr>
          <w:rFonts w:ascii="Times New Roman" w:hAnsi="Times New Roman"/>
          <w:sz w:val="24"/>
          <w:szCs w:val="24"/>
        </w:rPr>
        <w:t>seeking an affidavit from the owner authorizing the demolition; (2) alternatively,</w:t>
      </w:r>
      <w:r>
        <w:rPr>
          <w:rFonts w:ascii="Times New Roman" w:hAnsi="Times New Roman"/>
          <w:sz w:val="24"/>
          <w:szCs w:val="24"/>
        </w:rPr>
        <w:t xml:space="preserve"> </w:t>
      </w:r>
      <w:r w:rsidRPr="005B427D">
        <w:rPr>
          <w:rFonts w:ascii="Times New Roman" w:hAnsi="Times New Roman"/>
          <w:sz w:val="24"/>
          <w:szCs w:val="24"/>
        </w:rPr>
        <w:t>serving the owner with notice of the demolition via certified mail, and (3) posting a</w:t>
      </w:r>
      <w:r>
        <w:rPr>
          <w:rFonts w:ascii="Times New Roman" w:hAnsi="Times New Roman"/>
          <w:sz w:val="24"/>
          <w:szCs w:val="24"/>
        </w:rPr>
        <w:t xml:space="preserve"> </w:t>
      </w:r>
      <w:r w:rsidRPr="005B427D">
        <w:rPr>
          <w:rFonts w:ascii="Times New Roman" w:hAnsi="Times New Roman"/>
          <w:sz w:val="24"/>
          <w:szCs w:val="24"/>
        </w:rPr>
        <w:t>sign no smaller than two feet by three feet stating that the property will be</w:t>
      </w:r>
      <w:r>
        <w:rPr>
          <w:rFonts w:ascii="Times New Roman" w:hAnsi="Times New Roman"/>
          <w:sz w:val="24"/>
          <w:szCs w:val="24"/>
        </w:rPr>
        <w:t xml:space="preserve"> </w:t>
      </w:r>
      <w:r w:rsidRPr="005B427D">
        <w:rPr>
          <w:rFonts w:ascii="Times New Roman" w:hAnsi="Times New Roman"/>
          <w:sz w:val="24"/>
          <w:szCs w:val="24"/>
        </w:rPr>
        <w:t>demolished within three days, but alleges that it was the City’s routine practice not</w:t>
      </w:r>
      <w:r>
        <w:rPr>
          <w:rFonts w:ascii="Times New Roman" w:hAnsi="Times New Roman"/>
          <w:sz w:val="24"/>
          <w:szCs w:val="24"/>
        </w:rPr>
        <w:t xml:space="preserve"> </w:t>
      </w:r>
      <w:r w:rsidRPr="005B427D">
        <w:rPr>
          <w:rFonts w:ascii="Times New Roman" w:hAnsi="Times New Roman"/>
          <w:sz w:val="24"/>
          <w:szCs w:val="24"/>
        </w:rPr>
        <w:t>to follow these procedures.</w:t>
      </w:r>
      <w:r>
        <w:rPr>
          <w:rFonts w:ascii="Times New Roman" w:hAnsi="Times New Roman"/>
          <w:sz w:val="24"/>
          <w:szCs w:val="24"/>
        </w:rPr>
        <w:t xml:space="preserve">” </w:t>
      </w:r>
      <w:hyperlink r:id="rId167" w:history="1">
        <w:r w:rsidRPr="00D46FE0">
          <w:rPr>
            <w:rStyle w:val="Hyperlink"/>
          </w:rPr>
          <w:t>https://cases.justia.com/federal/district-courts/illinois/ilndce/1:2020cv06720/393181/97/0.pdf?ts=1706261425</w:t>
        </w:r>
      </w:hyperlink>
      <w:r>
        <w:t xml:space="preserve"> </w:t>
      </w:r>
    </w:p>
    <w:p w14:paraId="355EF4DC" w14:textId="77777777" w:rsidR="003A1658" w:rsidRDefault="003A1658" w:rsidP="00F326E5">
      <w:pPr>
        <w:pStyle w:val="NoSpacing"/>
        <w:rPr>
          <w:rFonts w:ascii="Arial Black" w:hAnsi="Arial Black"/>
          <w:sz w:val="24"/>
          <w:szCs w:val="24"/>
        </w:rPr>
      </w:pPr>
    </w:p>
    <w:p w14:paraId="4CFE3D62" w14:textId="77777777" w:rsidR="00A21A2D" w:rsidRPr="00AF656D" w:rsidRDefault="00A21A2D" w:rsidP="00A21A2D">
      <w:pPr>
        <w:pStyle w:val="NormalWeb"/>
        <w:rPr>
          <w:b/>
          <w:bCs/>
        </w:rPr>
      </w:pPr>
      <w:r w:rsidRPr="00AF656D">
        <w:rPr>
          <w:b/>
          <w:bCs/>
        </w:rPr>
        <w:t xml:space="preserve">Legal Lesson Learned: </w:t>
      </w:r>
      <w:r>
        <w:rPr>
          <w:b/>
          <w:bCs/>
        </w:rPr>
        <w:t xml:space="preserve"> In an emergency demolition, personally serve homeowner with demolition order whenever possible. </w:t>
      </w:r>
    </w:p>
    <w:p w14:paraId="078323BA" w14:textId="77777777" w:rsidR="00A21A2D" w:rsidRDefault="00A21A2D" w:rsidP="00F326E5">
      <w:pPr>
        <w:pStyle w:val="NoSpacing"/>
        <w:rPr>
          <w:rFonts w:ascii="Arial Black" w:hAnsi="Arial Black"/>
          <w:sz w:val="24"/>
          <w:szCs w:val="24"/>
        </w:rPr>
      </w:pPr>
    </w:p>
    <w:p w14:paraId="3631163F" w14:textId="77777777" w:rsidR="007F1354" w:rsidRDefault="007F1354" w:rsidP="00F326E5">
      <w:pPr>
        <w:pStyle w:val="NoSpacing"/>
        <w:rPr>
          <w:rFonts w:ascii="Arial Black" w:hAnsi="Arial Black"/>
          <w:sz w:val="24"/>
          <w:szCs w:val="24"/>
        </w:rPr>
      </w:pPr>
    </w:p>
    <w:p w14:paraId="72A194C9" w14:textId="77777777" w:rsidR="007F1354" w:rsidRDefault="007F1354" w:rsidP="00F326E5">
      <w:pPr>
        <w:pStyle w:val="NoSpacing"/>
        <w:rPr>
          <w:rFonts w:ascii="Arial Black" w:hAnsi="Arial Black"/>
          <w:sz w:val="24"/>
          <w:szCs w:val="24"/>
        </w:rPr>
      </w:pPr>
    </w:p>
    <w:p w14:paraId="6A05FDE0" w14:textId="142F38C5" w:rsidR="009B2B83" w:rsidRDefault="009B2B83" w:rsidP="00F326E5">
      <w:pPr>
        <w:pStyle w:val="NoSpacing"/>
        <w:rPr>
          <w:rFonts w:ascii="Arial Black" w:hAnsi="Arial Black"/>
          <w:sz w:val="24"/>
          <w:szCs w:val="24"/>
        </w:rPr>
      </w:pPr>
      <w:r>
        <w:rPr>
          <w:rFonts w:ascii="Arial Black" w:hAnsi="Arial Black"/>
          <w:sz w:val="24"/>
          <w:szCs w:val="24"/>
        </w:rPr>
        <w:t>1-143</w:t>
      </w:r>
    </w:p>
    <w:p w14:paraId="06372553" w14:textId="77777777" w:rsidR="00BF3437" w:rsidRPr="00666238" w:rsidRDefault="00BF3437" w:rsidP="00BF3437">
      <w:pPr>
        <w:pStyle w:val="Heading1"/>
        <w:rPr>
          <w:rFonts w:ascii="Arial Black" w:hAnsi="Arial Black"/>
          <w:sz w:val="28"/>
          <w:szCs w:val="28"/>
        </w:rPr>
      </w:pPr>
      <w:r>
        <w:rPr>
          <w:rFonts w:ascii="Arial Black" w:hAnsi="Arial Black"/>
          <w:sz w:val="28"/>
          <w:szCs w:val="28"/>
        </w:rPr>
        <w:t>WI: ARSON CONV. UPHELD – COMMENTS AT SCENE TO INCIDENT COMMANDER – FIRES IN TWO LOCATIONS</w:t>
      </w:r>
    </w:p>
    <w:p w14:paraId="0C9FA424" w14:textId="77777777" w:rsidR="00BF3437" w:rsidRDefault="00BF3437" w:rsidP="00BF3437">
      <w:pPr>
        <w:pStyle w:val="Heading1"/>
        <w:rPr>
          <w:b w:val="0"/>
          <w:bCs w:val="0"/>
          <w:sz w:val="24"/>
          <w:szCs w:val="24"/>
        </w:rPr>
      </w:pPr>
      <w:r>
        <w:rPr>
          <w:b w:val="0"/>
          <w:bCs w:val="0"/>
          <w:sz w:val="24"/>
          <w:szCs w:val="24"/>
        </w:rPr>
        <w:t xml:space="preserve">On Jan. 23, 2024, in </w:t>
      </w:r>
      <w:r w:rsidRPr="00510D50">
        <w:rPr>
          <w:b w:val="0"/>
          <w:bCs w:val="0"/>
          <w:sz w:val="24"/>
          <w:szCs w:val="24"/>
          <w:u w:val="single"/>
        </w:rPr>
        <w:t>State of Wisconsin v. James Farrar</w:t>
      </w:r>
      <w:r>
        <w:rPr>
          <w:b w:val="0"/>
          <w:bCs w:val="0"/>
          <w:sz w:val="24"/>
          <w:szCs w:val="24"/>
        </w:rPr>
        <w:t xml:space="preserve">, the Court of Appeals of Wisconsin held (3 to 0; unpublished opinion) there was sufficient evidence to support jury’s conviction of arson of a building of another.  The defendant was living in his father’s house (rental), father was in the hospital and would not allow the son to take over the lease.  There were two fires set – one in bedroom and another in the basement. </w:t>
      </w:r>
    </w:p>
    <w:p w14:paraId="4BCCB9AD"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368BB63" w14:textId="77777777" w:rsidR="00BF3437" w:rsidRDefault="00BF3437" w:rsidP="00BF3437">
      <w:pPr>
        <w:pStyle w:val="Heading1"/>
        <w:ind w:left="720"/>
        <w:rPr>
          <w:b w:val="0"/>
          <w:bCs w:val="0"/>
          <w:sz w:val="24"/>
          <w:szCs w:val="24"/>
        </w:rPr>
      </w:pPr>
      <w:r>
        <w:rPr>
          <w:b w:val="0"/>
          <w:bCs w:val="0"/>
          <w:sz w:val="24"/>
          <w:szCs w:val="24"/>
        </w:rPr>
        <w:t>“</w:t>
      </w:r>
      <w:r w:rsidRPr="00252AFA">
        <w:rPr>
          <w:b w:val="0"/>
          <w:bCs w:val="0"/>
          <w:sz w:val="24"/>
          <w:szCs w:val="24"/>
        </w:rPr>
        <w:t>The jury rejected the defense's theory that Farrar set the fire accidentally and found Farrar guilty of the arson charge. Farrar now appeals, challenging the sufficiency of the evidence to support his conviction.</w:t>
      </w:r>
    </w:p>
    <w:p w14:paraId="43E9BBA7" w14:textId="77777777" w:rsidR="00BF3437" w:rsidRDefault="00BF3437" w:rsidP="00BF3437">
      <w:pPr>
        <w:pStyle w:val="Heading1"/>
        <w:ind w:left="720"/>
        <w:rPr>
          <w:b w:val="0"/>
          <w:bCs w:val="0"/>
          <w:sz w:val="24"/>
          <w:szCs w:val="24"/>
        </w:rPr>
      </w:pPr>
      <w:r>
        <w:rPr>
          <w:b w:val="0"/>
          <w:bCs w:val="0"/>
          <w:sz w:val="24"/>
          <w:szCs w:val="24"/>
        </w:rPr>
        <w:t>***</w:t>
      </w:r>
    </w:p>
    <w:p w14:paraId="78D0C4B7" w14:textId="77777777" w:rsidR="00BF3437" w:rsidRDefault="00BF3437" w:rsidP="00BF3437">
      <w:pPr>
        <w:pStyle w:val="Heading1"/>
        <w:ind w:left="720"/>
        <w:rPr>
          <w:b w:val="0"/>
          <w:bCs w:val="0"/>
          <w:sz w:val="24"/>
          <w:szCs w:val="24"/>
        </w:rPr>
      </w:pPr>
      <w:r w:rsidRPr="007F290B">
        <w:rPr>
          <w:b w:val="0"/>
          <w:bCs w:val="0"/>
          <w:sz w:val="24"/>
          <w:szCs w:val="24"/>
        </w:rPr>
        <w:t>We disagree with Farrar's suggestion that an expression of intent was required for the jury to find that he intentionally set the fires at the residence. As explained above, the evidence introduced at trial, while circumstantial, was sufficient to support a reasonable inference that Farrar started the fires with the intent to damage the residence.</w:t>
      </w:r>
      <w:r>
        <w:rPr>
          <w:b w:val="0"/>
          <w:bCs w:val="0"/>
          <w:sz w:val="24"/>
          <w:szCs w:val="24"/>
        </w:rPr>
        <w:t xml:space="preserve">” </w:t>
      </w:r>
      <w:hyperlink r:id="rId168" w:history="1">
        <w:r w:rsidRPr="00624A20">
          <w:rPr>
            <w:rStyle w:val="Hyperlink"/>
            <w:b w:val="0"/>
            <w:bCs w:val="0"/>
            <w:sz w:val="24"/>
            <w:szCs w:val="24"/>
          </w:rPr>
          <w:t>https://caselaw.findlaw.com/court/wi-court-of-appeals/115735506.html</w:t>
        </w:r>
      </w:hyperlink>
      <w:r>
        <w:rPr>
          <w:b w:val="0"/>
          <w:bCs w:val="0"/>
          <w:sz w:val="24"/>
          <w:szCs w:val="24"/>
        </w:rPr>
        <w:t xml:space="preserve"> </w:t>
      </w:r>
    </w:p>
    <w:p w14:paraId="52BA343D" w14:textId="77777777" w:rsidR="007F1354" w:rsidRPr="004A3354" w:rsidRDefault="007F1354" w:rsidP="007F1354">
      <w:pPr>
        <w:pStyle w:val="NormalWeb"/>
        <w:rPr>
          <w:b/>
          <w:bCs/>
        </w:rPr>
      </w:pPr>
      <w:r w:rsidRPr="004A3354">
        <w:rPr>
          <w:b/>
          <w:bCs/>
        </w:rPr>
        <w:t>Legal Lesson Learned:</w:t>
      </w:r>
      <w:r>
        <w:rPr>
          <w:b/>
          <w:bCs/>
        </w:rPr>
        <w:t xml:space="preserve"> Document in your fire report the suspicious comments of the resident. </w:t>
      </w:r>
    </w:p>
    <w:p w14:paraId="79E5EFBF" w14:textId="78BE2E54" w:rsidR="009B2B83" w:rsidRPr="00021A20" w:rsidRDefault="00021A20" w:rsidP="00F326E5">
      <w:pPr>
        <w:pStyle w:val="NoSpacing"/>
        <w:rPr>
          <w:rFonts w:ascii="Times New Roman" w:hAnsi="Times New Roman"/>
          <w:sz w:val="24"/>
          <w:szCs w:val="24"/>
        </w:rPr>
      </w:pPr>
      <w:r>
        <w:rPr>
          <w:rFonts w:ascii="Arial Black" w:hAnsi="Arial Black"/>
          <w:sz w:val="24"/>
          <w:szCs w:val="24"/>
        </w:rPr>
        <w:tab/>
      </w:r>
      <w:r w:rsidRPr="00021A20">
        <w:rPr>
          <w:rFonts w:ascii="Times New Roman" w:hAnsi="Times New Roman"/>
          <w:sz w:val="24"/>
          <w:szCs w:val="24"/>
        </w:rPr>
        <w:t xml:space="preserve">Note: See article on this case. </w:t>
      </w:r>
    </w:p>
    <w:p w14:paraId="042CBE7C" w14:textId="77777777" w:rsidR="00021A20" w:rsidRPr="00585D67" w:rsidRDefault="00021A20" w:rsidP="00021A20">
      <w:pPr>
        <w:pStyle w:val="NormalWeb"/>
        <w:ind w:left="720"/>
      </w:pPr>
      <w:r w:rsidRPr="00585D67">
        <w:t xml:space="preserve">March 2, 2022: Wausau Man Sentenced </w:t>
      </w:r>
      <w:proofErr w:type="gramStart"/>
      <w:r w:rsidRPr="00585D67">
        <w:t>In</w:t>
      </w:r>
      <w:proofErr w:type="gramEnd"/>
      <w:r w:rsidRPr="00585D67">
        <w:t xml:space="preserve"> Arson Case </w:t>
      </w:r>
      <w:hyperlink r:id="rId169" w:history="1">
        <w:r w:rsidRPr="00585D67">
          <w:rPr>
            <w:rStyle w:val="Hyperlink"/>
          </w:rPr>
          <w:t>https://wsau.com/2022/03/02/wausau-man-sentenced-in-arson-case/</w:t>
        </w:r>
      </w:hyperlink>
      <w:r w:rsidRPr="00585D67">
        <w:t xml:space="preserve"> </w:t>
      </w:r>
    </w:p>
    <w:p w14:paraId="501C27F1" w14:textId="77777777" w:rsidR="009B2B83" w:rsidRDefault="009B2B83" w:rsidP="00F326E5">
      <w:pPr>
        <w:pStyle w:val="NoSpacing"/>
        <w:rPr>
          <w:rFonts w:ascii="Arial Black" w:hAnsi="Arial Black"/>
          <w:sz w:val="24"/>
          <w:szCs w:val="24"/>
        </w:rPr>
      </w:pPr>
    </w:p>
    <w:p w14:paraId="069DD437" w14:textId="77777777" w:rsidR="009B2B83" w:rsidRDefault="009B2B83" w:rsidP="00F326E5">
      <w:pPr>
        <w:pStyle w:val="NoSpacing"/>
        <w:rPr>
          <w:rFonts w:ascii="Arial Black" w:hAnsi="Arial Black"/>
          <w:sz w:val="24"/>
          <w:szCs w:val="24"/>
        </w:rPr>
      </w:pPr>
    </w:p>
    <w:p w14:paraId="4964BD00" w14:textId="6335161A" w:rsidR="00EC5DAB" w:rsidRDefault="00EC5DAB" w:rsidP="00F326E5">
      <w:pPr>
        <w:pStyle w:val="NoSpacing"/>
        <w:rPr>
          <w:rFonts w:ascii="Arial Black" w:hAnsi="Arial Black"/>
          <w:sz w:val="24"/>
          <w:szCs w:val="24"/>
        </w:rPr>
      </w:pPr>
      <w:r>
        <w:rPr>
          <w:rFonts w:ascii="Arial Black" w:hAnsi="Arial Black"/>
          <w:sz w:val="24"/>
          <w:szCs w:val="24"/>
        </w:rPr>
        <w:t>1-142</w:t>
      </w:r>
    </w:p>
    <w:p w14:paraId="17B11D01" w14:textId="77777777" w:rsidR="00307899" w:rsidRPr="007C1A20" w:rsidRDefault="00307899" w:rsidP="00307899">
      <w:pPr>
        <w:pStyle w:val="NormalWeb"/>
        <w:rPr>
          <w:rFonts w:ascii="Arial Black" w:hAnsi="Arial Black"/>
          <w:b/>
          <w:bCs/>
          <w:sz w:val="28"/>
          <w:szCs w:val="28"/>
        </w:rPr>
      </w:pPr>
      <w:r>
        <w:rPr>
          <w:rFonts w:ascii="Arial Black" w:hAnsi="Arial Black"/>
          <w:b/>
          <w:bCs/>
          <w:sz w:val="28"/>
          <w:szCs w:val="28"/>
        </w:rPr>
        <w:t>LA: ARSON – NEIGHBOR’S APT / GASOLINE – MOM HEARD 2</w:t>
      </w:r>
      <w:r w:rsidRPr="00583036">
        <w:rPr>
          <w:rFonts w:ascii="Arial Black" w:hAnsi="Arial Black"/>
          <w:b/>
          <w:bCs/>
          <w:sz w:val="28"/>
          <w:szCs w:val="28"/>
          <w:vertAlign w:val="superscript"/>
        </w:rPr>
        <w:t>ND</w:t>
      </w:r>
      <w:r>
        <w:rPr>
          <w:rFonts w:ascii="Arial Black" w:hAnsi="Arial Black"/>
          <w:b/>
          <w:bCs/>
          <w:sz w:val="28"/>
          <w:szCs w:val="28"/>
        </w:rPr>
        <w:t xml:space="preserve"> MAN TELL SON “YOU PUT TOO MUCH” - CONV. UPHELD</w:t>
      </w:r>
    </w:p>
    <w:p w14:paraId="00B26DB5" w14:textId="77777777" w:rsidR="00307899" w:rsidRDefault="00307899" w:rsidP="00307899">
      <w:pPr>
        <w:pStyle w:val="NormalWeb"/>
      </w:pPr>
      <w:r w:rsidRPr="001B26D3">
        <w:t xml:space="preserve">On Dec. 27, 2023, in </w:t>
      </w:r>
      <w:r w:rsidRPr="001B26D3">
        <w:rPr>
          <w:u w:val="single"/>
        </w:rPr>
        <w:t>State of Louisiana v. Terone R. Thomas</w:t>
      </w:r>
      <w:r w:rsidRPr="001B26D3">
        <w:t xml:space="preserve">, </w:t>
      </w:r>
      <w:r>
        <w:t xml:space="preserve">the Louisiana Fifth Circuit Court of Appeals held (3 to 0) that jury properly found defendant guilty, </w:t>
      </w:r>
      <w:proofErr w:type="gramStart"/>
      <w:r>
        <w:t>sentenced</w:t>
      </w:r>
      <w:proofErr w:type="gramEnd"/>
      <w:r>
        <w:t xml:space="preserve"> 5 years in prison, but judge’s restitution order $4,500 to neighbor requires evidence of the amount of the victim’s loss.  The Court wrote: “[Defendant’s  mother] testified that she heard the other man telling </w:t>
      </w:r>
      <w:proofErr w:type="gramStart"/>
      <w:r>
        <w:t>Defendant</w:t>
      </w:r>
      <w:proofErr w:type="gramEnd"/>
      <w:r>
        <w:t xml:space="preserve"> ‘You put too much’ or ‘You did too much.’ She did not hear Defendant say anything. She saw Defendant and the man get in ‘a little gray Mitsubishi, or whatever it was’ and leave the scene.” </w:t>
      </w:r>
      <w:hyperlink r:id="rId170" w:history="1">
        <w:r w:rsidRPr="00911235">
          <w:rPr>
            <w:rStyle w:val="Hyperlink"/>
          </w:rPr>
          <w:t>https://cases.justia.com/louisiana/fifth-circuit-court-of-appeal/2023-23-ka-234.pdf?ts=1703704652</w:t>
        </w:r>
      </w:hyperlink>
      <w:r>
        <w:t xml:space="preserve"> </w:t>
      </w:r>
    </w:p>
    <w:p w14:paraId="300DDEF2" w14:textId="77777777" w:rsidR="001257CC" w:rsidRDefault="001257CC" w:rsidP="001257CC">
      <w:pPr>
        <w:pStyle w:val="NormalWeb"/>
        <w:rPr>
          <w:b/>
          <w:bCs/>
        </w:rPr>
      </w:pPr>
      <w:r>
        <w:rPr>
          <w:b/>
          <w:bCs/>
        </w:rPr>
        <w:t xml:space="preserve">Legal Lesson Learned: Thorough investigation, clothing seized by consent, crime scene evidence collected with search warrant, expert testimony. </w:t>
      </w:r>
    </w:p>
    <w:p w14:paraId="4CD4B859" w14:textId="77777777" w:rsidR="00307899" w:rsidRDefault="00307899" w:rsidP="00F326E5">
      <w:pPr>
        <w:pStyle w:val="NoSpacing"/>
        <w:rPr>
          <w:rFonts w:ascii="Arial Black" w:hAnsi="Arial Black"/>
          <w:sz w:val="24"/>
          <w:szCs w:val="24"/>
        </w:rPr>
      </w:pPr>
    </w:p>
    <w:p w14:paraId="5BB1CCA0" w14:textId="77777777" w:rsidR="00EC5DAB" w:rsidRDefault="00EC5DAB" w:rsidP="00F326E5">
      <w:pPr>
        <w:pStyle w:val="NoSpacing"/>
        <w:rPr>
          <w:rFonts w:ascii="Arial Black" w:hAnsi="Arial Black"/>
          <w:sz w:val="24"/>
          <w:szCs w:val="24"/>
        </w:rPr>
      </w:pPr>
    </w:p>
    <w:p w14:paraId="6977D618" w14:textId="77777777" w:rsidR="00EC5DAB" w:rsidRDefault="00EC5DAB" w:rsidP="00F326E5">
      <w:pPr>
        <w:pStyle w:val="NoSpacing"/>
        <w:rPr>
          <w:rFonts w:ascii="Arial Black" w:hAnsi="Arial Black"/>
          <w:sz w:val="24"/>
          <w:szCs w:val="24"/>
        </w:rPr>
      </w:pPr>
    </w:p>
    <w:p w14:paraId="1FC7F42A" w14:textId="4F040D1C" w:rsidR="00C22EBB" w:rsidRDefault="00530943" w:rsidP="00F326E5">
      <w:pPr>
        <w:pStyle w:val="NoSpacing"/>
        <w:rPr>
          <w:rFonts w:ascii="Arial Black" w:hAnsi="Arial Black"/>
          <w:sz w:val="24"/>
          <w:szCs w:val="24"/>
        </w:rPr>
      </w:pPr>
      <w:r>
        <w:rPr>
          <w:rFonts w:ascii="Arial Black" w:hAnsi="Arial Black"/>
          <w:sz w:val="24"/>
          <w:szCs w:val="24"/>
        </w:rPr>
        <w:t>1-141</w:t>
      </w:r>
    </w:p>
    <w:p w14:paraId="6233123E" w14:textId="77777777" w:rsidR="00BC0D37" w:rsidRPr="00462C8F" w:rsidRDefault="00BC0D37" w:rsidP="00BC0D37">
      <w:pPr>
        <w:pStyle w:val="NormalWeb"/>
        <w:rPr>
          <w:rFonts w:ascii="Arial Black" w:hAnsi="Arial Black"/>
          <w:sz w:val="28"/>
          <w:szCs w:val="28"/>
        </w:rPr>
      </w:pPr>
      <w:r>
        <w:rPr>
          <w:rFonts w:ascii="Arial Black" w:hAnsi="Arial Black"/>
          <w:sz w:val="28"/>
          <w:szCs w:val="28"/>
        </w:rPr>
        <w:t>MA: ARSON CHURCH – PROBABLE CAUSE SEARCH WARRANT CAR OF CHURCH MEMBER – PORTIONS DELETED</w:t>
      </w:r>
    </w:p>
    <w:p w14:paraId="5C4FB747" w14:textId="77777777" w:rsidR="00BC0D37" w:rsidRDefault="00BC0D37" w:rsidP="00BC0D37">
      <w:pPr>
        <w:pStyle w:val="NormalWeb"/>
      </w:pPr>
      <w:r w:rsidRPr="002F76D0">
        <w:t xml:space="preserve">On Dec. 8, 2023, in </w:t>
      </w:r>
      <w:r w:rsidRPr="002F76D0">
        <w:rPr>
          <w:u w:val="single"/>
        </w:rPr>
        <w:t>Commonwealth v. Lys W. Vincent</w:t>
      </w:r>
      <w:r w:rsidRPr="002F76D0">
        <w:t xml:space="preserve">, the Appeals Court of Massachusetts held (3 to 0) that trial court </w:t>
      </w:r>
      <w:r>
        <w:t xml:space="preserve">motions judge </w:t>
      </w:r>
      <w:r w:rsidRPr="002F76D0">
        <w:t xml:space="preserve">properly found the affidavit to search the car was supported by probable cause.  The Court held: </w:t>
      </w:r>
      <w:r>
        <w:t xml:space="preserve">“The defendant argued in his motion that the warrant affidavit contained unlawfully obtained information. The motion judge agreed that portions of the affidavit were based on </w:t>
      </w:r>
      <w:proofErr w:type="gramStart"/>
      <w:r>
        <w:t>an unconstitutional</w:t>
      </w:r>
      <w:proofErr w:type="gramEnd"/>
      <w:r>
        <w:t xml:space="preserve"> search and interrogation but concluded that, even after the unlawful portions of the affidavit were excised, it still established probable cause for the search. Without the unlawfully obtained information, the affidavit established the following. *** </w:t>
      </w:r>
      <w:r w:rsidRPr="002F76D0">
        <w:t xml:space="preserve">The timing of the car's arrival and departure in relation to the time of the fire, the fact that the car was registered to a church member, and the footage of the driver apparently carrying into the building a bag that could have contained the accelerant, went well beyond mere presence and established a sufficient nexus between the car and the crime. Accordingly, there was probable cause to issue the search warrant, and the evidence found in the car -- including gasoline residue on the passenger-side carpet -- was properly admitted at </w:t>
      </w:r>
      <w:proofErr w:type="gramStart"/>
      <w:r w:rsidRPr="002F76D0">
        <w:t>trial.</w:t>
      </w:r>
      <w:r>
        <w:t>”</w:t>
      </w:r>
      <w:proofErr w:type="gramEnd"/>
      <w:r>
        <w:t xml:space="preserve"> </w:t>
      </w:r>
      <w:hyperlink r:id="rId171" w:history="1">
        <w:r w:rsidRPr="0014393E">
          <w:rPr>
            <w:rStyle w:val="Hyperlink"/>
          </w:rPr>
          <w:t>https://caselaw.findlaw.com/court/ma-court-of-appeals/115598993.html</w:t>
        </w:r>
      </w:hyperlink>
      <w:r>
        <w:t xml:space="preserve"> </w:t>
      </w:r>
    </w:p>
    <w:p w14:paraId="346A6D29" w14:textId="77777777" w:rsidR="00EC5DAB" w:rsidRPr="00B75293" w:rsidRDefault="00EC5DAB" w:rsidP="00EC5DAB">
      <w:pPr>
        <w:pStyle w:val="NormalWeb"/>
        <w:rPr>
          <w:b/>
          <w:bCs/>
        </w:rPr>
      </w:pPr>
      <w:r w:rsidRPr="00B75293">
        <w:rPr>
          <w:b/>
          <w:bCs/>
        </w:rPr>
        <w:t xml:space="preserve">Legal Lesson Learned: </w:t>
      </w:r>
      <w:r>
        <w:rPr>
          <w:b/>
          <w:bCs/>
        </w:rPr>
        <w:t xml:space="preserve">Search warrant of car will be upheld where church video showed suspicious activity. </w:t>
      </w:r>
    </w:p>
    <w:p w14:paraId="757F6C4B" w14:textId="77777777" w:rsidR="00EC5DAB" w:rsidRPr="002F76D0" w:rsidRDefault="00EC5DAB" w:rsidP="00BC0D37">
      <w:pPr>
        <w:pStyle w:val="NormalWeb"/>
      </w:pPr>
    </w:p>
    <w:p w14:paraId="12E58710" w14:textId="77777777" w:rsidR="00530943" w:rsidRDefault="00530943" w:rsidP="00F326E5">
      <w:pPr>
        <w:pStyle w:val="NoSpacing"/>
        <w:rPr>
          <w:rFonts w:ascii="Arial Black" w:hAnsi="Arial Black"/>
          <w:sz w:val="24"/>
          <w:szCs w:val="24"/>
        </w:rPr>
      </w:pPr>
    </w:p>
    <w:p w14:paraId="0DEEC889" w14:textId="77777777" w:rsidR="00530943" w:rsidRDefault="00530943" w:rsidP="00F326E5">
      <w:pPr>
        <w:pStyle w:val="NoSpacing"/>
        <w:rPr>
          <w:rFonts w:ascii="Arial Black" w:hAnsi="Arial Black"/>
          <w:sz w:val="24"/>
          <w:szCs w:val="24"/>
        </w:rPr>
      </w:pPr>
    </w:p>
    <w:p w14:paraId="59947C76" w14:textId="77777777" w:rsidR="00530943" w:rsidRDefault="00530943" w:rsidP="00F326E5">
      <w:pPr>
        <w:pStyle w:val="NoSpacing"/>
        <w:rPr>
          <w:rFonts w:ascii="Arial Black" w:hAnsi="Arial Black"/>
          <w:sz w:val="24"/>
          <w:szCs w:val="24"/>
        </w:rPr>
      </w:pPr>
    </w:p>
    <w:p w14:paraId="18F088E1" w14:textId="1C8FF41B" w:rsidR="00801D3A" w:rsidRDefault="00801D3A" w:rsidP="00F326E5">
      <w:pPr>
        <w:pStyle w:val="NoSpacing"/>
        <w:rPr>
          <w:rFonts w:ascii="Arial Black" w:hAnsi="Arial Black"/>
          <w:sz w:val="24"/>
          <w:szCs w:val="24"/>
        </w:rPr>
      </w:pPr>
      <w:r>
        <w:rPr>
          <w:rFonts w:ascii="Arial Black" w:hAnsi="Arial Black"/>
          <w:sz w:val="24"/>
          <w:szCs w:val="24"/>
        </w:rPr>
        <w:t>1-140</w:t>
      </w:r>
    </w:p>
    <w:p w14:paraId="260C252C" w14:textId="77777777" w:rsidR="00801D3A" w:rsidRPr="00025DFB" w:rsidRDefault="00801D3A" w:rsidP="00801D3A">
      <w:pPr>
        <w:pStyle w:val="NormalWeb"/>
        <w:rPr>
          <w:rFonts w:ascii="Arial Black" w:hAnsi="Arial Black"/>
          <w:sz w:val="28"/>
          <w:szCs w:val="28"/>
        </w:rPr>
      </w:pPr>
      <w:r>
        <w:rPr>
          <w:rFonts w:ascii="Arial Black" w:hAnsi="Arial Black"/>
          <w:sz w:val="28"/>
          <w:szCs w:val="28"/>
        </w:rPr>
        <w:t>OH: ARSON – PLEAD TO MISDEMEANOR - MAX VICTIM RESTITUTION IS $999.99 – MARSY’S LAW NOT APPLICABLE</w:t>
      </w:r>
    </w:p>
    <w:p w14:paraId="3AFAC9B9" w14:textId="77777777" w:rsidR="00801D3A" w:rsidRDefault="00801D3A" w:rsidP="00801D3A">
      <w:pPr>
        <w:pStyle w:val="NormalWeb"/>
      </w:pPr>
      <w:r>
        <w:t xml:space="preserve">On Dec. 4, 2023, in </w:t>
      </w:r>
      <w:r w:rsidRPr="003E3F3A">
        <w:rPr>
          <w:u w:val="single"/>
        </w:rPr>
        <w:t>State of Ohio v. Timothy A. Messer</w:t>
      </w:r>
      <w:r>
        <w:t>, the defendant entered plea deal with prosecutor; he was indicted for aggravated arson in violation of R.C. 2909.02(A)(2), a second-degree felony, but pled guilty to misdemeanor of arson in violation of Ohio Rev. Code 20909.03(A)(1); he was sentenced probation, and victim restitution in the amount of $15,315 (actual loss).  Court  of Appeals reduced restitution to $999.99 since misdemean statute is for property damage up to $1,000.  “The state agrees that a straightforward application of our prior precedent would mean that the trial court erred in awarding restitution in an amount more than $999.99. However, the state argues that Marsy's Law, a victim's rights amendment to the Ohio Constitution effective February 5, 2018, and its effect on restitution was not addressed by the court</w:t>
      </w:r>
      <w:r>
        <w:rPr>
          <w:rStyle w:val="Emphasis"/>
        </w:rPr>
        <w:t>.</w:t>
      </w:r>
      <w:r>
        <w:t xml:space="preserve"> The relevant provision of Marsy's Law gives a victim of a crime the right ‘to full and timely restitution from the person who committed the criminal offense or delinquent act against the victim.’ Article I, Section 10a(A)(7), Ohio Constitution. The state asks us to consider the impact of Marsy's Law on our previous precedent, which limited restitution by the offense. *** Nothing in Marsy's Law changes our analysis. Marsy's Law gives the victim the right ‘to full and timely restitution from the person who committed </w:t>
      </w:r>
      <w:r>
        <w:rPr>
          <w:rStyle w:val="Emphasis"/>
        </w:rPr>
        <w:t>the criminal offense</w:t>
      </w:r>
      <w:r>
        <w:t xml:space="preserve"> or delinquent act against the victim.’ (Emphasis added.) Article I, Section 10a(A)(7), Ohio Constitution. The criminal offense committed against the victim here was a first-degree misdemeanor arson offense. Thus, the victim is entitled to full and timely restitution for economic loss of any amount equal to or less than $999.99.”</w:t>
      </w:r>
      <w:r w:rsidRPr="00091FC5">
        <w:t xml:space="preserve"> </w:t>
      </w:r>
      <w:hyperlink r:id="rId172" w:history="1">
        <w:r w:rsidRPr="002D5A3E">
          <w:rPr>
            <w:rStyle w:val="Hyperlink"/>
          </w:rPr>
          <w:t>https://www.anylaw.com/case/state-v-messer/ohio-court-of-appeals/12-04-2023/hMqWTIwBqcoRgE-I70tV</w:t>
        </w:r>
      </w:hyperlink>
      <w:r>
        <w:t xml:space="preserve"> </w:t>
      </w:r>
    </w:p>
    <w:p w14:paraId="0B99FE29" w14:textId="77777777" w:rsidR="00530943" w:rsidRDefault="00530943" w:rsidP="00530943">
      <w:pPr>
        <w:pStyle w:val="NormalWeb"/>
        <w:rPr>
          <w:b/>
          <w:bCs/>
        </w:rPr>
      </w:pPr>
      <w:r w:rsidRPr="007C3E7E">
        <w:rPr>
          <w:b/>
          <w:bCs/>
        </w:rPr>
        <w:t xml:space="preserve">Legal Lesson Learned: </w:t>
      </w:r>
      <w:r>
        <w:rPr>
          <w:b/>
          <w:bCs/>
        </w:rPr>
        <w:t xml:space="preserve">When citizens of Ohio voted to amend state Constitution to add Marsy Law giving victims a right to restitution (effective 2018), it did not change other Revised Code provision limiting restitution amount. </w:t>
      </w:r>
    </w:p>
    <w:p w14:paraId="2DB82005" w14:textId="77777777" w:rsidR="00530943" w:rsidRPr="005349CB" w:rsidRDefault="00530943" w:rsidP="00530943">
      <w:pPr>
        <w:pStyle w:val="NormalWeb"/>
        <w:ind w:left="720"/>
      </w:pPr>
      <w:r w:rsidRPr="005349CB">
        <w:t xml:space="preserve">Note: See </w:t>
      </w:r>
      <w:r>
        <w:t xml:space="preserve">Ohio </w:t>
      </w:r>
      <w:r w:rsidRPr="005349CB">
        <w:t xml:space="preserve">Marcy’s Law restitution request form. </w:t>
      </w:r>
      <w:hyperlink r:id="rId173" w:history="1">
        <w:r w:rsidRPr="002D5A3E">
          <w:rPr>
            <w:rStyle w:val="Hyperlink"/>
          </w:rPr>
          <w:t>https://www.supremecourt.ohio.gov/forms/all-forms/crime-victims-marsys-law-rights/112</w:t>
        </w:r>
      </w:hyperlink>
      <w:r>
        <w:t xml:space="preserve"> </w:t>
      </w:r>
    </w:p>
    <w:p w14:paraId="2409C660" w14:textId="77777777" w:rsidR="00801D3A" w:rsidRDefault="00801D3A" w:rsidP="00F326E5">
      <w:pPr>
        <w:pStyle w:val="NoSpacing"/>
        <w:rPr>
          <w:rFonts w:ascii="Arial Black" w:hAnsi="Arial Black"/>
          <w:sz w:val="24"/>
          <w:szCs w:val="24"/>
        </w:rPr>
      </w:pPr>
    </w:p>
    <w:p w14:paraId="024A1D4F" w14:textId="77777777" w:rsidR="00801D3A" w:rsidRDefault="00801D3A" w:rsidP="00F326E5">
      <w:pPr>
        <w:pStyle w:val="NoSpacing"/>
        <w:rPr>
          <w:rFonts w:ascii="Arial Black" w:hAnsi="Arial Black"/>
          <w:sz w:val="24"/>
          <w:szCs w:val="24"/>
        </w:rPr>
      </w:pPr>
    </w:p>
    <w:p w14:paraId="3DB1BB6B" w14:textId="77777777" w:rsidR="00801D3A" w:rsidRDefault="00801D3A" w:rsidP="00F326E5">
      <w:pPr>
        <w:pStyle w:val="NoSpacing"/>
        <w:rPr>
          <w:rFonts w:ascii="Arial Black" w:hAnsi="Arial Black"/>
          <w:sz w:val="24"/>
          <w:szCs w:val="24"/>
        </w:rPr>
      </w:pPr>
    </w:p>
    <w:p w14:paraId="64B75782" w14:textId="705310A0" w:rsidR="00C22EBB" w:rsidRDefault="00C22EBB" w:rsidP="00F326E5">
      <w:pPr>
        <w:pStyle w:val="NoSpacing"/>
        <w:rPr>
          <w:rFonts w:ascii="Arial Black" w:hAnsi="Arial Black"/>
          <w:sz w:val="24"/>
          <w:szCs w:val="24"/>
        </w:rPr>
      </w:pPr>
      <w:r>
        <w:rPr>
          <w:rFonts w:ascii="Arial Black" w:hAnsi="Arial Black"/>
          <w:sz w:val="24"/>
          <w:szCs w:val="24"/>
        </w:rPr>
        <w:t>1-139</w:t>
      </w:r>
    </w:p>
    <w:p w14:paraId="2DD8E707" w14:textId="77777777" w:rsidR="00C22EBB" w:rsidRPr="00054283" w:rsidRDefault="00C22EBB" w:rsidP="00C22EBB">
      <w:pPr>
        <w:rPr>
          <w:rFonts w:ascii="Arial Black" w:hAnsi="Arial Black"/>
          <w:b/>
          <w:bCs/>
          <w:sz w:val="28"/>
          <w:szCs w:val="28"/>
        </w:rPr>
      </w:pPr>
      <w:r w:rsidRPr="00054283">
        <w:rPr>
          <w:rFonts w:ascii="Arial Black" w:hAnsi="Arial Black"/>
          <w:b/>
          <w:bCs/>
          <w:sz w:val="28"/>
          <w:szCs w:val="28"/>
        </w:rPr>
        <w:t>CO: ARSON – 5 KILLED IN HOME – SEARCH WARRANT</w:t>
      </w:r>
      <w:r>
        <w:rPr>
          <w:rFonts w:ascii="Arial Black" w:hAnsi="Arial Black"/>
          <w:b/>
          <w:bCs/>
          <w:sz w:val="28"/>
          <w:szCs w:val="28"/>
        </w:rPr>
        <w:t>S ON GOOGLE FOR</w:t>
      </w:r>
      <w:r w:rsidRPr="00054283">
        <w:rPr>
          <w:rFonts w:ascii="Arial Black" w:hAnsi="Arial Black"/>
          <w:b/>
          <w:bCs/>
          <w:sz w:val="28"/>
          <w:szCs w:val="28"/>
        </w:rPr>
        <w:t xml:space="preserve"> </w:t>
      </w:r>
      <w:r>
        <w:rPr>
          <w:rFonts w:ascii="Arial Black" w:hAnsi="Arial Black"/>
          <w:b/>
          <w:bCs/>
          <w:sz w:val="28"/>
          <w:szCs w:val="28"/>
        </w:rPr>
        <w:t>“REVERSE KEYWORD” - LOCATED ARSONIST</w:t>
      </w:r>
    </w:p>
    <w:p w14:paraId="7523D3C7" w14:textId="77777777" w:rsidR="00C22EBB" w:rsidRDefault="00C22EBB" w:rsidP="00C22EBB">
      <w:pPr>
        <w:pStyle w:val="p0"/>
        <w:ind w:firstLine="0"/>
        <w:rPr>
          <w:rFonts w:ascii="Times New Roman" w:hAnsi="Times New Roman" w:cs="Times New Roman"/>
          <w:sz w:val="24"/>
          <w:szCs w:val="24"/>
        </w:rPr>
      </w:pPr>
      <w:r w:rsidRPr="007127BF">
        <w:rPr>
          <w:rFonts w:ascii="Times New Roman" w:hAnsi="Times New Roman" w:cs="Times New Roman"/>
          <w:sz w:val="24"/>
          <w:szCs w:val="24"/>
        </w:rPr>
        <w:t>On Oct. 16, 2023</w:t>
      </w:r>
      <w:r>
        <w:rPr>
          <w:rFonts w:ascii="Times New Roman" w:hAnsi="Times New Roman" w:cs="Times New Roman"/>
          <w:sz w:val="24"/>
          <w:szCs w:val="24"/>
        </w:rPr>
        <w:t xml:space="preserve">, in </w:t>
      </w:r>
      <w:r w:rsidRPr="00AA30F9">
        <w:rPr>
          <w:rFonts w:ascii="Times New Roman" w:hAnsi="Times New Roman" w:cs="Times New Roman"/>
          <w:sz w:val="24"/>
          <w:szCs w:val="24"/>
          <w:u w:val="single"/>
        </w:rPr>
        <w:t>The People of the State of Colorado v. Gavin Seymour</w:t>
      </w:r>
      <w:r>
        <w:rPr>
          <w:rFonts w:ascii="Times New Roman" w:hAnsi="Times New Roman" w:cs="Times New Roman"/>
          <w:sz w:val="24"/>
          <w:szCs w:val="24"/>
        </w:rPr>
        <w:t xml:space="preserve">, the Supreme Court of Colorado, upheld (5 to 2) the use of evidence obtained in the “reverse keyword” search warrant that located information on the defendant’s Google account that shows he focused on the house. The majority decision agreed with the trial judge that the search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a massive Google data bank was executed in good faith under several court-ordered search warrants, and therefore evidence was admissible at trial.  </w:t>
      </w:r>
    </w:p>
    <w:p w14:paraId="29F4C290" w14:textId="7A806A22" w:rsidR="00C22EBB" w:rsidRDefault="00C22EBB" w:rsidP="00C22EBB">
      <w:pPr>
        <w:pStyle w:val="NoSpacing"/>
        <w:rPr>
          <w:rStyle w:val="Hyperlink"/>
          <w:rFonts w:ascii="Times New Roman" w:hAnsi="Times New Roman"/>
          <w:sz w:val="24"/>
          <w:szCs w:val="24"/>
        </w:rPr>
      </w:pPr>
      <w:hyperlink r:id="rId174" w:history="1">
        <w:r w:rsidRPr="00182321">
          <w:rPr>
            <w:rStyle w:val="Hyperlink"/>
            <w:rFonts w:ascii="Times New Roman" w:hAnsi="Times New Roman"/>
            <w:sz w:val="24"/>
            <w:szCs w:val="24"/>
          </w:rPr>
          <w:t>https://www.courts.state.co.us/userfiles/file/Court_Probation/Supreme_Court/Opinions/2023/23SA12.pdf?utm_source=substack&amp;utm_medium=email</w:t>
        </w:r>
      </w:hyperlink>
    </w:p>
    <w:p w14:paraId="061DE543" w14:textId="77777777" w:rsidR="00103226" w:rsidRDefault="00103226" w:rsidP="00C22EBB">
      <w:pPr>
        <w:pStyle w:val="NoSpacing"/>
        <w:rPr>
          <w:rStyle w:val="Hyperlink"/>
          <w:rFonts w:ascii="Times New Roman" w:hAnsi="Times New Roman"/>
          <w:sz w:val="24"/>
          <w:szCs w:val="24"/>
        </w:rPr>
      </w:pPr>
    </w:p>
    <w:p w14:paraId="70A685D9" w14:textId="77777777" w:rsidR="00103226" w:rsidRDefault="00103226" w:rsidP="00103226">
      <w:pPr>
        <w:rPr>
          <w:rFonts w:ascii="Times New Roman" w:hAnsi="Times New Roman"/>
          <w:b/>
          <w:bCs/>
          <w:sz w:val="24"/>
          <w:szCs w:val="24"/>
        </w:rPr>
      </w:pPr>
      <w:r w:rsidRPr="005F01DF">
        <w:rPr>
          <w:rFonts w:ascii="Times New Roman" w:hAnsi="Times New Roman"/>
          <w:b/>
          <w:bCs/>
          <w:sz w:val="24"/>
          <w:szCs w:val="24"/>
        </w:rPr>
        <w:t xml:space="preserve">Legal Lesson Learned: </w:t>
      </w:r>
      <w:r>
        <w:rPr>
          <w:rFonts w:ascii="Times New Roman" w:hAnsi="Times New Roman"/>
          <w:b/>
          <w:bCs/>
          <w:sz w:val="24"/>
          <w:szCs w:val="24"/>
        </w:rPr>
        <w:t xml:space="preserve"> New technology leads to arrest of arsonist; evidence collected in “good faith” by law enforcement using a search warrant is admissible in evidence. </w:t>
      </w:r>
    </w:p>
    <w:p w14:paraId="13B65E1E" w14:textId="77777777" w:rsidR="004A5E38" w:rsidRPr="00B52D6C" w:rsidRDefault="004A5E38" w:rsidP="004A5E38">
      <w:pPr>
        <w:pStyle w:val="NormalWeb"/>
        <w:ind w:firstLine="720"/>
      </w:pPr>
      <w:r w:rsidRPr="00B52D6C">
        <w:t xml:space="preserve">Note: See these </w:t>
      </w:r>
      <w:r>
        <w:t xml:space="preserve">articles / TV video </w:t>
      </w:r>
      <w:r w:rsidRPr="00B52D6C">
        <w:t>about the case.</w:t>
      </w:r>
    </w:p>
    <w:p w14:paraId="56456988" w14:textId="77777777" w:rsidR="004A5E38" w:rsidRPr="00B52D6C" w:rsidRDefault="004A5E38" w:rsidP="004A5E38">
      <w:pPr>
        <w:pStyle w:val="NormalWeb"/>
        <w:ind w:left="720"/>
      </w:pPr>
      <w:r w:rsidRPr="00B52D6C">
        <w:t xml:space="preserve">Oct. 16, 2023: Google data ruled admissible in Green Valley </w:t>
      </w:r>
      <w:proofErr w:type="gramStart"/>
      <w:r w:rsidRPr="00B52D6C">
        <w:t>Ranch arson</w:t>
      </w:r>
      <w:proofErr w:type="gramEnd"/>
      <w:r w:rsidRPr="00B52D6C">
        <w:t xml:space="preserve"> case [see TV video]. </w:t>
      </w:r>
      <w:hyperlink r:id="rId175" w:history="1">
        <w:r w:rsidRPr="00B52D6C">
          <w:rPr>
            <w:rStyle w:val="Hyperlink"/>
          </w:rPr>
          <w:t>https://www.9news.com/article/news/local/denver-arson-google-data-fatal-house-fire-colorado-supreme-court-ruling/73-aca77fb3-30d9-4bac-b46c-6d4b4402af16</w:t>
        </w:r>
      </w:hyperlink>
      <w:r w:rsidRPr="00B52D6C">
        <w:t xml:space="preserve"> </w:t>
      </w:r>
    </w:p>
    <w:p w14:paraId="3FEE6EEE" w14:textId="77777777" w:rsidR="004A5E38" w:rsidRPr="00B52D6C" w:rsidRDefault="004A5E38" w:rsidP="004A5E38">
      <w:pPr>
        <w:pStyle w:val="NormalWeb"/>
        <w:ind w:left="720"/>
      </w:pPr>
      <w:r w:rsidRPr="00B52D6C">
        <w:t xml:space="preserve"> Oct. 16, 2023: Colorado Supreme Court ruled in favor of reverse-keyword search Denver Police used to track arson suspects </w:t>
      </w:r>
      <w:hyperlink r:id="rId176" w:history="1">
        <w:r w:rsidRPr="00B52D6C">
          <w:rPr>
            <w:rStyle w:val="Hyperlink"/>
          </w:rPr>
          <w:t>https://www.denver7.com/news/local-news/colorado-supreme-court-ruled-in-favor-of-reverse-keyword-search-denver-police-used-to-track-arson-suspects</w:t>
        </w:r>
      </w:hyperlink>
      <w:r w:rsidRPr="00B52D6C">
        <w:t xml:space="preserve"> </w:t>
      </w:r>
    </w:p>
    <w:p w14:paraId="0DA7925C" w14:textId="77777777" w:rsidR="00103226" w:rsidRDefault="00103226" w:rsidP="00C22EBB">
      <w:pPr>
        <w:pStyle w:val="NoSpacing"/>
        <w:rPr>
          <w:rFonts w:ascii="Arial Black" w:hAnsi="Arial Black"/>
          <w:sz w:val="24"/>
          <w:szCs w:val="24"/>
        </w:rPr>
      </w:pPr>
    </w:p>
    <w:p w14:paraId="1ABFEC2B" w14:textId="77777777" w:rsidR="00C22EBB" w:rsidRDefault="00C22EBB" w:rsidP="00F326E5">
      <w:pPr>
        <w:pStyle w:val="NoSpacing"/>
        <w:rPr>
          <w:rFonts w:ascii="Arial Black" w:hAnsi="Arial Black"/>
          <w:sz w:val="24"/>
          <w:szCs w:val="24"/>
        </w:rPr>
      </w:pPr>
    </w:p>
    <w:p w14:paraId="6A255E31" w14:textId="68A4F10A" w:rsidR="00BB49C5" w:rsidRDefault="00BB49C5" w:rsidP="00F326E5">
      <w:pPr>
        <w:pStyle w:val="NoSpacing"/>
        <w:rPr>
          <w:rFonts w:ascii="Arial Black" w:hAnsi="Arial Black"/>
          <w:sz w:val="24"/>
          <w:szCs w:val="24"/>
        </w:rPr>
      </w:pPr>
      <w:r>
        <w:rPr>
          <w:rFonts w:ascii="Arial Black" w:hAnsi="Arial Black"/>
          <w:sz w:val="24"/>
          <w:szCs w:val="24"/>
        </w:rPr>
        <w:t>1-138</w:t>
      </w:r>
    </w:p>
    <w:p w14:paraId="767D7706" w14:textId="77777777" w:rsidR="00BB49C5" w:rsidRDefault="00BB49C5" w:rsidP="00BB49C5">
      <w:pPr>
        <w:pStyle w:val="NormalWeb"/>
        <w:rPr>
          <w:rFonts w:ascii="Arial Black" w:hAnsi="Arial Black"/>
          <w:b/>
          <w:bCs/>
          <w:sz w:val="28"/>
          <w:szCs w:val="28"/>
        </w:rPr>
      </w:pPr>
      <w:r>
        <w:rPr>
          <w:rFonts w:ascii="Arial Black" w:hAnsi="Arial Black"/>
          <w:b/>
          <w:bCs/>
          <w:sz w:val="28"/>
          <w:szCs w:val="28"/>
        </w:rPr>
        <w:t>CA: ARSON – DELUSIONAL DEFENDANT – FIRE INVESTIGATOR: FORCED ENTRY “CARDINAL SIGN” ARSON</w:t>
      </w:r>
    </w:p>
    <w:p w14:paraId="464C0D60" w14:textId="77777777" w:rsidR="00BB49C5" w:rsidRDefault="00BB49C5" w:rsidP="00BB49C5">
      <w:pPr>
        <w:pStyle w:val="paragraph"/>
      </w:pPr>
      <w:r>
        <w:t xml:space="preserve">On Oct. 24, 2023, in </w:t>
      </w:r>
      <w:r w:rsidRPr="00A924E6">
        <w:rPr>
          <w:u w:val="single"/>
        </w:rPr>
        <w:t>The People v. Donald James Hailey</w:t>
      </w:r>
      <w:r>
        <w:t xml:space="preserve">, the California Court of Appeals, Third District, Sacramento held (3 to 0; unpublished opinion) upheld the defendant’s conviction by a jury of arson (23 years in prison).   The defendant was “delusional” – but not insane.  The Court wrote: “It was ‘either fight or flight’ in defendant's mind. Fearing there was no time to flee into the house where he was staying because he would not be able to open both the </w:t>
      </w:r>
      <w:proofErr w:type="gramStart"/>
      <w:r>
        <w:t>locked metal</w:t>
      </w:r>
      <w:proofErr w:type="gramEnd"/>
      <w:r>
        <w:t xml:space="preserve"> "crash gate" that covered the front door and the front door itself, defendant ran across the street to Sheila F.'s house. He decided to run through Sheila F.'s house because he thought the people chasing him would not follow him inside. *** Here, the record </w:t>
      </w:r>
      <w:proofErr w:type="gramStart"/>
      <w:r>
        <w:t>indicates</w:t>
      </w:r>
      <w:proofErr w:type="gramEnd"/>
      <w:r>
        <w:t xml:space="preserve"> defendant may have been delusional on New Year's Day 2020 when he committed his crimes. But the record does not suggest defendant was unable at his May 2021 trial to consult with his lawyer with a reasonable degree of rational understanding. The suggestion of a discrete delusional episode 17 months prior to trial that led to a temporary not guilty by reason of insanity plea, without more, does not amount to substantial evidence of incompetence to stand trial.” </w:t>
      </w:r>
      <w:hyperlink r:id="rId177" w:history="1">
        <w:r w:rsidRPr="0097451D">
          <w:rPr>
            <w:rStyle w:val="Hyperlink"/>
          </w:rPr>
          <w:t>https://casetext.com/case/people-v-hailey-43</w:t>
        </w:r>
      </w:hyperlink>
      <w:r>
        <w:t xml:space="preserve"> </w:t>
      </w:r>
    </w:p>
    <w:p w14:paraId="6AFE1EE9" w14:textId="77777777" w:rsidR="00BB49C5" w:rsidRPr="004E6FE0" w:rsidRDefault="00BB49C5" w:rsidP="00BB49C5">
      <w:pPr>
        <w:pStyle w:val="paragraph"/>
        <w:rPr>
          <w:b/>
          <w:bCs/>
        </w:rPr>
      </w:pPr>
      <w:r w:rsidRPr="004E6FE0">
        <w:rPr>
          <w:b/>
          <w:bCs/>
        </w:rPr>
        <w:t>Legal Lesson Learned: The fire investigator was qualified as an expert</w:t>
      </w:r>
      <w:r>
        <w:rPr>
          <w:b/>
          <w:bCs/>
        </w:rPr>
        <w:t xml:space="preserve">. </w:t>
      </w:r>
    </w:p>
    <w:p w14:paraId="31F4AFF4" w14:textId="77777777" w:rsidR="00BB49C5" w:rsidRDefault="00BB49C5" w:rsidP="00BB49C5">
      <w:pPr>
        <w:pStyle w:val="paragraph"/>
        <w:ind w:left="720"/>
      </w:pPr>
      <w:r>
        <w:t xml:space="preserve">Note: “Defendant's expert witness was a fire investigator with the Sacramento Fire Department from 1991 to 1993. He testified the cause of the fire should have </w:t>
      </w:r>
      <w:proofErr w:type="gramStart"/>
      <w:r>
        <w:t>been ‘undetermined</w:t>
      </w:r>
      <w:proofErr w:type="gramEnd"/>
      <w:r>
        <w:t>,’ because the investigation was insufficient to rule out multiple causes of the fire, and he did not believe Sheila F.'s assertion she only smoked outside her home. The defense expert explained that a smoldering item (like a cigarette) could have ignited into an open flame by drafts of air that occurred when defendant broke down Sheila F.'s front door and/or when Sheila F. opened the sliding glass door in her bedroom.”</w:t>
      </w:r>
    </w:p>
    <w:p w14:paraId="3DC62B72" w14:textId="77777777" w:rsidR="00BB49C5" w:rsidRDefault="00BB49C5" w:rsidP="00F326E5">
      <w:pPr>
        <w:pStyle w:val="NoSpacing"/>
        <w:rPr>
          <w:rFonts w:ascii="Arial Black" w:hAnsi="Arial Black"/>
          <w:sz w:val="24"/>
          <w:szCs w:val="24"/>
        </w:rPr>
      </w:pPr>
    </w:p>
    <w:p w14:paraId="0260EA87" w14:textId="77777777" w:rsidR="00BB49C5" w:rsidRDefault="00BB49C5" w:rsidP="00F326E5">
      <w:pPr>
        <w:pStyle w:val="NoSpacing"/>
        <w:rPr>
          <w:rFonts w:ascii="Arial Black" w:hAnsi="Arial Black"/>
          <w:sz w:val="24"/>
          <w:szCs w:val="24"/>
        </w:rPr>
      </w:pPr>
    </w:p>
    <w:p w14:paraId="59EEB3DE" w14:textId="77777777" w:rsidR="00BB49C5" w:rsidRDefault="00BB49C5" w:rsidP="00F326E5">
      <w:pPr>
        <w:pStyle w:val="NoSpacing"/>
        <w:rPr>
          <w:rFonts w:ascii="Arial Black" w:hAnsi="Arial Black"/>
          <w:sz w:val="24"/>
          <w:szCs w:val="24"/>
        </w:rPr>
      </w:pPr>
    </w:p>
    <w:p w14:paraId="13C066FD" w14:textId="5B11EE45" w:rsidR="0056123D" w:rsidRDefault="0056123D" w:rsidP="00F326E5">
      <w:pPr>
        <w:pStyle w:val="NoSpacing"/>
        <w:rPr>
          <w:rFonts w:ascii="Arial Black" w:hAnsi="Arial Black"/>
          <w:sz w:val="24"/>
          <w:szCs w:val="24"/>
        </w:rPr>
      </w:pPr>
      <w:r>
        <w:rPr>
          <w:rFonts w:ascii="Arial Black" w:hAnsi="Arial Black"/>
          <w:sz w:val="24"/>
          <w:szCs w:val="24"/>
        </w:rPr>
        <w:t>1-137</w:t>
      </w:r>
    </w:p>
    <w:p w14:paraId="4DED4E29" w14:textId="77777777" w:rsidR="0056123D" w:rsidRDefault="0056123D" w:rsidP="00F326E5">
      <w:pPr>
        <w:pStyle w:val="NoSpacing"/>
        <w:rPr>
          <w:rFonts w:ascii="Arial Black" w:hAnsi="Arial Black"/>
          <w:sz w:val="24"/>
          <w:szCs w:val="24"/>
        </w:rPr>
      </w:pPr>
    </w:p>
    <w:p w14:paraId="4B74343D" w14:textId="77777777" w:rsidR="0056123D" w:rsidRPr="007A2CFD" w:rsidRDefault="0056123D" w:rsidP="0056123D">
      <w:pPr>
        <w:pStyle w:val="NoSpacing"/>
        <w:rPr>
          <w:rFonts w:ascii="Arial Black" w:hAnsi="Arial Black"/>
          <w:sz w:val="28"/>
          <w:szCs w:val="28"/>
        </w:rPr>
      </w:pPr>
      <w:r>
        <w:rPr>
          <w:rFonts w:ascii="Arial Black" w:hAnsi="Arial Black"/>
          <w:sz w:val="28"/>
          <w:szCs w:val="28"/>
        </w:rPr>
        <w:t xml:space="preserve">AR: BLDG FIRE – OWNER REFUSED TALK TO ARSON INVESTIGATORS – SEARCH WARRANTS – QUAL. IMMUNITY </w:t>
      </w:r>
    </w:p>
    <w:p w14:paraId="4404D9FB" w14:textId="77777777" w:rsidR="0056123D" w:rsidRDefault="0056123D" w:rsidP="0056123D">
      <w:pPr>
        <w:pStyle w:val="NoSpacing"/>
        <w:rPr>
          <w:rFonts w:ascii="Times New Roman" w:hAnsi="Times New Roman"/>
          <w:sz w:val="24"/>
          <w:szCs w:val="24"/>
        </w:rPr>
      </w:pPr>
    </w:p>
    <w:p w14:paraId="092B5983"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29, </w:t>
      </w:r>
      <w:proofErr w:type="gramStart"/>
      <w:r>
        <w:rPr>
          <w:rFonts w:ascii="Times New Roman" w:hAnsi="Times New Roman"/>
          <w:sz w:val="24"/>
          <w:szCs w:val="24"/>
        </w:rPr>
        <w:t>2023</w:t>
      </w:r>
      <w:proofErr w:type="gramEnd"/>
      <w:r>
        <w:rPr>
          <w:rFonts w:ascii="Times New Roman" w:hAnsi="Times New Roman"/>
          <w:sz w:val="24"/>
          <w:szCs w:val="24"/>
        </w:rPr>
        <w:t xml:space="preserve"> in </w:t>
      </w:r>
      <w:r w:rsidRPr="007A2CFD">
        <w:rPr>
          <w:rFonts w:ascii="Times New Roman" w:hAnsi="Times New Roman"/>
          <w:sz w:val="24"/>
          <w:szCs w:val="24"/>
          <w:u w:val="single"/>
        </w:rPr>
        <w:t>Greg Moore and Patricia More, et al. v. Sean Garnand, Detective, Dain Salisbury, Sergeant, et al</w:t>
      </w:r>
      <w:r>
        <w:rPr>
          <w:rFonts w:ascii="Times New Roman" w:hAnsi="Times New Roman"/>
          <w:sz w:val="24"/>
          <w:szCs w:val="24"/>
        </w:rPr>
        <w:t xml:space="preserve">., the U.S. Court of Appeals for Ninth Circuit (San Francisco) held (3 to 0) that trial court judge improperly denied the City of Tucson arson investigator’s motion to dismiss until completion of pre-trial discovery.  They enjoy qualified immunity since there is no clearly established law prohibiting arson investigators from launching full investigation when person refuses to talk after June 8, </w:t>
      </w:r>
      <w:proofErr w:type="gramStart"/>
      <w:r>
        <w:rPr>
          <w:rFonts w:ascii="Times New Roman" w:hAnsi="Times New Roman"/>
          <w:sz w:val="24"/>
          <w:szCs w:val="24"/>
        </w:rPr>
        <w:t>2017</w:t>
      </w:r>
      <w:proofErr w:type="gramEnd"/>
      <w:r>
        <w:rPr>
          <w:rFonts w:ascii="Times New Roman" w:hAnsi="Times New Roman"/>
          <w:sz w:val="24"/>
          <w:szCs w:val="24"/>
        </w:rPr>
        <w:t xml:space="preserve"> arson fire in a building he owned.  Investigators met at his office, and pursuant to search warrant seized his cell phone; they took him to jail where DNA was obtained. Five days later they executed a search </w:t>
      </w:r>
      <w:proofErr w:type="gramStart"/>
      <w:r>
        <w:rPr>
          <w:rFonts w:ascii="Times New Roman" w:hAnsi="Times New Roman"/>
          <w:sz w:val="24"/>
          <w:szCs w:val="24"/>
        </w:rPr>
        <w:t>warrant</w:t>
      </w:r>
      <w:proofErr w:type="gramEnd"/>
      <w:r>
        <w:rPr>
          <w:rFonts w:ascii="Times New Roman" w:hAnsi="Times New Roman"/>
          <w:sz w:val="24"/>
          <w:szCs w:val="24"/>
        </w:rPr>
        <w:t xml:space="preserve"> his office and home, and </w:t>
      </w:r>
      <w:proofErr w:type="gramStart"/>
      <w:r>
        <w:rPr>
          <w:rFonts w:ascii="Times New Roman" w:hAnsi="Times New Roman"/>
          <w:sz w:val="24"/>
          <w:szCs w:val="24"/>
        </w:rPr>
        <w:t>opening</w:t>
      </w:r>
      <w:proofErr w:type="gramEnd"/>
      <w:r>
        <w:rPr>
          <w:rFonts w:ascii="Times New Roman" w:hAnsi="Times New Roman"/>
          <w:sz w:val="24"/>
          <w:szCs w:val="24"/>
        </w:rPr>
        <w:t xml:space="preserve"> financial fraud investigation.  He was never charged with arson or other offenses.  </w:t>
      </w:r>
    </w:p>
    <w:p w14:paraId="5F15BC92" w14:textId="77777777" w:rsidR="0056123D" w:rsidRDefault="0056123D" w:rsidP="0056123D">
      <w:pPr>
        <w:pStyle w:val="NoSpacing"/>
        <w:rPr>
          <w:rFonts w:ascii="Times New Roman" w:hAnsi="Times New Roman"/>
          <w:sz w:val="24"/>
          <w:szCs w:val="24"/>
        </w:rPr>
      </w:pPr>
    </w:p>
    <w:p w14:paraId="5FF01FE7"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r w:rsidRPr="007A2CFD">
        <w:rPr>
          <w:rFonts w:ascii="Times New Roman" w:hAnsi="Times New Roman"/>
          <w:sz w:val="24"/>
          <w:szCs w:val="24"/>
        </w:rPr>
        <w:t>We have jurisdiction over the district court’s denial of</w:t>
      </w:r>
      <w:r>
        <w:rPr>
          <w:rFonts w:ascii="Times New Roman" w:hAnsi="Times New Roman"/>
          <w:sz w:val="24"/>
          <w:szCs w:val="24"/>
        </w:rPr>
        <w:t xml:space="preserve"> </w:t>
      </w:r>
      <w:r w:rsidRPr="007A2CFD">
        <w:rPr>
          <w:rFonts w:ascii="Times New Roman" w:hAnsi="Times New Roman"/>
          <w:sz w:val="24"/>
          <w:szCs w:val="24"/>
        </w:rPr>
        <w:t>qualified immunity as to Plaintiffs’ First Amendment claims</w:t>
      </w:r>
      <w:r>
        <w:rPr>
          <w:rFonts w:ascii="Times New Roman" w:hAnsi="Times New Roman"/>
          <w:sz w:val="24"/>
          <w:szCs w:val="24"/>
        </w:rPr>
        <w:t xml:space="preserve"> </w:t>
      </w:r>
      <w:r w:rsidRPr="007A2CFD">
        <w:rPr>
          <w:rFonts w:ascii="Times New Roman" w:hAnsi="Times New Roman"/>
          <w:sz w:val="24"/>
          <w:szCs w:val="24"/>
        </w:rPr>
        <w:t>because Defendants present a purely legal issue: whether,</w:t>
      </w:r>
      <w:r>
        <w:rPr>
          <w:rFonts w:ascii="Times New Roman" w:hAnsi="Times New Roman"/>
          <w:sz w:val="24"/>
          <w:szCs w:val="24"/>
        </w:rPr>
        <w:t xml:space="preserve"> </w:t>
      </w:r>
      <w:r w:rsidRPr="007A2CFD">
        <w:rPr>
          <w:rFonts w:ascii="Times New Roman" w:hAnsi="Times New Roman"/>
          <w:sz w:val="24"/>
          <w:szCs w:val="24"/>
        </w:rPr>
        <w:t>taking as true Plaintiffs’ version of the facts, it was clearly</w:t>
      </w:r>
      <w:r>
        <w:rPr>
          <w:rFonts w:ascii="Times New Roman" w:hAnsi="Times New Roman"/>
          <w:sz w:val="24"/>
          <w:szCs w:val="24"/>
        </w:rPr>
        <w:t xml:space="preserve"> </w:t>
      </w:r>
      <w:r w:rsidRPr="007A2CFD">
        <w:rPr>
          <w:rFonts w:ascii="Times New Roman" w:hAnsi="Times New Roman"/>
          <w:sz w:val="24"/>
          <w:szCs w:val="24"/>
        </w:rPr>
        <w:t>established that Defendants’ conduct violated Plaintiffs’</w:t>
      </w:r>
      <w:r>
        <w:rPr>
          <w:rFonts w:ascii="Times New Roman" w:hAnsi="Times New Roman"/>
          <w:sz w:val="24"/>
          <w:szCs w:val="24"/>
        </w:rPr>
        <w:t xml:space="preserve"> </w:t>
      </w:r>
      <w:r w:rsidRPr="007A2CFD">
        <w:rPr>
          <w:rFonts w:ascii="Times New Roman" w:hAnsi="Times New Roman"/>
          <w:sz w:val="24"/>
          <w:szCs w:val="24"/>
        </w:rPr>
        <w:t>First Amendment rights. Plaintiffs fail to show that</w:t>
      </w:r>
      <w:r>
        <w:rPr>
          <w:rFonts w:ascii="Times New Roman" w:hAnsi="Times New Roman"/>
          <w:sz w:val="24"/>
          <w:szCs w:val="24"/>
        </w:rPr>
        <w:t xml:space="preserve"> </w:t>
      </w:r>
      <w:r w:rsidRPr="007A2CFD">
        <w:rPr>
          <w:rFonts w:ascii="Times New Roman" w:hAnsi="Times New Roman"/>
          <w:sz w:val="24"/>
          <w:szCs w:val="24"/>
        </w:rPr>
        <w:t>Defendants’ conduct violated clearly established law. Thus,</w:t>
      </w:r>
      <w:r>
        <w:rPr>
          <w:rFonts w:ascii="Times New Roman" w:hAnsi="Times New Roman"/>
          <w:sz w:val="24"/>
          <w:szCs w:val="24"/>
        </w:rPr>
        <w:t xml:space="preserve"> </w:t>
      </w:r>
      <w:r w:rsidRPr="007A2CFD">
        <w:rPr>
          <w:rFonts w:ascii="Times New Roman" w:hAnsi="Times New Roman"/>
          <w:sz w:val="24"/>
          <w:szCs w:val="24"/>
        </w:rPr>
        <w:t>Defendants are entitled to qualified immunity on the First</w:t>
      </w:r>
      <w:r>
        <w:rPr>
          <w:rFonts w:ascii="Times New Roman" w:hAnsi="Times New Roman"/>
          <w:sz w:val="24"/>
          <w:szCs w:val="24"/>
        </w:rPr>
        <w:t xml:space="preserve"> </w:t>
      </w:r>
      <w:r w:rsidRPr="007A2CFD">
        <w:rPr>
          <w:rFonts w:ascii="Times New Roman" w:hAnsi="Times New Roman"/>
          <w:sz w:val="24"/>
          <w:szCs w:val="24"/>
        </w:rPr>
        <w:t>Amendment claims, and we reverse the district court’s denial of summary judgment as to the First Amendment</w:t>
      </w:r>
      <w:r>
        <w:rPr>
          <w:rFonts w:ascii="Times New Roman" w:hAnsi="Times New Roman"/>
          <w:sz w:val="24"/>
          <w:szCs w:val="24"/>
        </w:rPr>
        <w:t xml:space="preserve"> </w:t>
      </w:r>
      <w:r w:rsidRPr="007A2CFD">
        <w:rPr>
          <w:rFonts w:ascii="Times New Roman" w:hAnsi="Times New Roman"/>
          <w:sz w:val="24"/>
          <w:szCs w:val="24"/>
        </w:rPr>
        <w:t>claims</w:t>
      </w:r>
      <w:r>
        <w:rPr>
          <w:rFonts w:ascii="Times New Roman" w:hAnsi="Times New Roman"/>
          <w:sz w:val="24"/>
          <w:szCs w:val="24"/>
        </w:rPr>
        <w:t>.</w:t>
      </w:r>
    </w:p>
    <w:p w14:paraId="1A04CC38" w14:textId="77777777" w:rsidR="0056123D" w:rsidRDefault="0056123D" w:rsidP="0056123D">
      <w:pPr>
        <w:pStyle w:val="NoSpacing"/>
        <w:ind w:left="720"/>
        <w:rPr>
          <w:rFonts w:ascii="Times New Roman" w:hAnsi="Times New Roman"/>
          <w:sz w:val="24"/>
          <w:szCs w:val="24"/>
        </w:rPr>
      </w:pPr>
    </w:p>
    <w:p w14:paraId="451B3804"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4040C9B8" w14:textId="77777777" w:rsidR="0056123D" w:rsidRPr="005E396A" w:rsidRDefault="0056123D" w:rsidP="0056123D">
      <w:pPr>
        <w:pStyle w:val="NoSpacing"/>
        <w:ind w:left="720"/>
        <w:rPr>
          <w:rFonts w:ascii="Times New Roman" w:hAnsi="Times New Roman"/>
          <w:sz w:val="24"/>
          <w:szCs w:val="24"/>
        </w:rPr>
      </w:pPr>
      <w:r w:rsidRPr="005E396A">
        <w:rPr>
          <w:rFonts w:ascii="Times New Roman" w:hAnsi="Times New Roman"/>
          <w:sz w:val="24"/>
          <w:szCs w:val="24"/>
        </w:rPr>
        <w:t>We</w:t>
      </w:r>
      <w:r>
        <w:rPr>
          <w:rFonts w:ascii="Times New Roman" w:hAnsi="Times New Roman"/>
          <w:sz w:val="24"/>
          <w:szCs w:val="24"/>
        </w:rPr>
        <w:t xml:space="preserve"> </w:t>
      </w:r>
      <w:r w:rsidRPr="005E396A">
        <w:rPr>
          <w:rFonts w:ascii="Times New Roman" w:hAnsi="Times New Roman"/>
          <w:sz w:val="24"/>
          <w:szCs w:val="24"/>
        </w:rPr>
        <w:t xml:space="preserve">reasoned that jurisdiction was proper </w:t>
      </w:r>
      <w:proofErr w:type="gramStart"/>
      <w:r w:rsidRPr="005E396A">
        <w:rPr>
          <w:rFonts w:ascii="Times New Roman" w:hAnsi="Times New Roman"/>
          <w:sz w:val="24"/>
          <w:szCs w:val="24"/>
        </w:rPr>
        <w:t xml:space="preserve">because </w:t>
      </w:r>
      <w:r>
        <w:rPr>
          <w:rFonts w:ascii="Times New Roman" w:hAnsi="Times New Roman"/>
          <w:sz w:val="24"/>
          <w:szCs w:val="24"/>
        </w:rPr>
        <w:t>‘</w:t>
      </w:r>
      <w:r w:rsidRPr="005E396A">
        <w:rPr>
          <w:rFonts w:ascii="Times New Roman" w:hAnsi="Times New Roman"/>
          <w:sz w:val="24"/>
          <w:szCs w:val="24"/>
        </w:rPr>
        <w:t>[</w:t>
      </w:r>
      <w:proofErr w:type="gramEnd"/>
      <w:r w:rsidRPr="005E396A">
        <w:rPr>
          <w:rFonts w:ascii="Times New Roman" w:hAnsi="Times New Roman"/>
          <w:sz w:val="24"/>
          <w:szCs w:val="24"/>
        </w:rPr>
        <w:t>f]</w:t>
      </w:r>
      <w:proofErr w:type="spellStart"/>
      <w:r w:rsidRPr="005E396A">
        <w:rPr>
          <w:rFonts w:ascii="Times New Roman" w:hAnsi="Times New Roman"/>
          <w:sz w:val="24"/>
          <w:szCs w:val="24"/>
        </w:rPr>
        <w:t>orcing</w:t>
      </w:r>
      <w:proofErr w:type="spellEnd"/>
      <w:r w:rsidRPr="005E396A">
        <w:rPr>
          <w:rFonts w:ascii="Times New Roman" w:hAnsi="Times New Roman"/>
          <w:sz w:val="24"/>
          <w:szCs w:val="24"/>
        </w:rPr>
        <w:t xml:space="preserve"> the</w:t>
      </w:r>
      <w:r>
        <w:rPr>
          <w:rFonts w:ascii="Times New Roman" w:hAnsi="Times New Roman"/>
          <w:sz w:val="24"/>
          <w:szCs w:val="24"/>
        </w:rPr>
        <w:t xml:space="preserve"> </w:t>
      </w:r>
      <w:r w:rsidRPr="005E396A">
        <w:rPr>
          <w:rFonts w:ascii="Times New Roman" w:hAnsi="Times New Roman"/>
          <w:sz w:val="24"/>
          <w:szCs w:val="24"/>
        </w:rPr>
        <w:t>defendant officers to undergo discovery, without the</w:t>
      </w:r>
      <w:r>
        <w:rPr>
          <w:rFonts w:ascii="Times New Roman" w:hAnsi="Times New Roman"/>
          <w:sz w:val="24"/>
          <w:szCs w:val="24"/>
        </w:rPr>
        <w:t xml:space="preserve"> </w:t>
      </w:r>
      <w:r w:rsidRPr="005E396A">
        <w:rPr>
          <w:rFonts w:ascii="Times New Roman" w:hAnsi="Times New Roman"/>
          <w:sz w:val="24"/>
          <w:szCs w:val="24"/>
        </w:rPr>
        <w:t>immunity to the burdens of discovery the officers might</w:t>
      </w:r>
    </w:p>
    <w:p w14:paraId="57ED737C" w14:textId="4F322874" w:rsidR="0056123D" w:rsidRDefault="0056123D" w:rsidP="0056123D">
      <w:pPr>
        <w:pStyle w:val="NoSpacing"/>
        <w:ind w:left="720"/>
        <w:rPr>
          <w:rFonts w:ascii="Arial Black" w:hAnsi="Arial Black"/>
          <w:sz w:val="24"/>
          <w:szCs w:val="24"/>
        </w:rPr>
      </w:pPr>
      <w:r w:rsidRPr="005E396A">
        <w:rPr>
          <w:rFonts w:ascii="Times New Roman" w:hAnsi="Times New Roman"/>
          <w:sz w:val="24"/>
          <w:szCs w:val="24"/>
        </w:rPr>
        <w:t>possess.</w:t>
      </w:r>
      <w:r>
        <w:rPr>
          <w:rFonts w:ascii="Times New Roman" w:hAnsi="Times New Roman"/>
          <w:sz w:val="24"/>
          <w:szCs w:val="24"/>
        </w:rPr>
        <w:t>’</w:t>
      </w:r>
      <w:r w:rsidRPr="005E396A">
        <w:rPr>
          <w:rFonts w:ascii="Times New Roman" w:hAnsi="Times New Roman"/>
          <w:sz w:val="24"/>
          <w:szCs w:val="24"/>
        </w:rPr>
        <w:t xml:space="preserve"> Id.; see also Behrens v. Pelletier, 516 U.S. 299,</w:t>
      </w:r>
      <w:r>
        <w:rPr>
          <w:rFonts w:ascii="Times New Roman" w:hAnsi="Times New Roman"/>
          <w:sz w:val="24"/>
          <w:szCs w:val="24"/>
        </w:rPr>
        <w:t xml:space="preserve"> </w:t>
      </w:r>
      <w:r w:rsidRPr="005E396A">
        <w:rPr>
          <w:rFonts w:ascii="Times New Roman" w:hAnsi="Times New Roman"/>
          <w:sz w:val="24"/>
          <w:szCs w:val="24"/>
        </w:rPr>
        <w:t>308 (1996) (holding that qualified immunity gives</w:t>
      </w:r>
      <w:r>
        <w:rPr>
          <w:rFonts w:ascii="Times New Roman" w:hAnsi="Times New Roman"/>
          <w:sz w:val="24"/>
          <w:szCs w:val="24"/>
        </w:rPr>
        <w:t xml:space="preserve"> </w:t>
      </w:r>
      <w:r w:rsidRPr="005E396A">
        <w:rPr>
          <w:rFonts w:ascii="Times New Roman" w:hAnsi="Times New Roman"/>
          <w:sz w:val="24"/>
          <w:szCs w:val="24"/>
        </w:rPr>
        <w:t>government officials a right “not merely to avoid standing</w:t>
      </w:r>
      <w:r>
        <w:rPr>
          <w:rFonts w:ascii="Times New Roman" w:hAnsi="Times New Roman"/>
          <w:sz w:val="24"/>
          <w:szCs w:val="24"/>
        </w:rPr>
        <w:t xml:space="preserve"> </w:t>
      </w:r>
      <w:r w:rsidRPr="005E396A">
        <w:rPr>
          <w:rFonts w:ascii="Times New Roman" w:hAnsi="Times New Roman"/>
          <w:sz w:val="24"/>
          <w:szCs w:val="24"/>
        </w:rPr>
        <w:t>trial, but also to avoid the burdens of such pretrial matters as</w:t>
      </w:r>
      <w:r>
        <w:rPr>
          <w:rFonts w:ascii="Times New Roman" w:hAnsi="Times New Roman"/>
          <w:sz w:val="24"/>
          <w:szCs w:val="24"/>
        </w:rPr>
        <w:t xml:space="preserve"> </w:t>
      </w:r>
      <w:r w:rsidRPr="005E396A">
        <w:rPr>
          <w:rFonts w:ascii="Times New Roman" w:hAnsi="Times New Roman"/>
          <w:sz w:val="24"/>
          <w:szCs w:val="24"/>
        </w:rPr>
        <w:t>discovery” (internal quotation marks and emphasis omitted)</w:t>
      </w:r>
      <w:r>
        <w:rPr>
          <w:rFonts w:ascii="Times New Roman" w:hAnsi="Times New Roman"/>
          <w:sz w:val="24"/>
          <w:szCs w:val="24"/>
        </w:rPr>
        <w:t xml:space="preserve"> </w:t>
      </w:r>
      <w:r w:rsidRPr="005E396A">
        <w:rPr>
          <w:rFonts w:ascii="Times New Roman" w:hAnsi="Times New Roman"/>
          <w:sz w:val="24"/>
          <w:szCs w:val="24"/>
        </w:rPr>
        <w:t>(quoting Mitchell v. Forsyth, 472 U.S. 511, 526 (1985)));</w:t>
      </w:r>
      <w:r>
        <w:rPr>
          <w:rFonts w:ascii="Times New Roman" w:hAnsi="Times New Roman"/>
          <w:sz w:val="24"/>
          <w:szCs w:val="24"/>
        </w:rPr>
        <w:t xml:space="preserve"> </w:t>
      </w:r>
      <w:r w:rsidRPr="005E396A">
        <w:rPr>
          <w:rFonts w:ascii="Times New Roman" w:hAnsi="Times New Roman"/>
          <w:sz w:val="24"/>
          <w:szCs w:val="24"/>
        </w:rPr>
        <w:t>Moss v. U.S. Secret Serv., 572 F.3d 962, 973 (9th Cir. 2009)</w:t>
      </w:r>
      <w:r>
        <w:rPr>
          <w:rFonts w:ascii="Times New Roman" w:hAnsi="Times New Roman"/>
          <w:sz w:val="24"/>
          <w:szCs w:val="24"/>
        </w:rPr>
        <w:t xml:space="preserve">. </w:t>
      </w:r>
      <w:proofErr w:type="gramStart"/>
      <w:r w:rsidRPr="005E396A">
        <w:rPr>
          <w:rFonts w:ascii="Times New Roman" w:hAnsi="Times New Roman"/>
          <w:sz w:val="24"/>
          <w:szCs w:val="24"/>
        </w:rPr>
        <w:t>(</w:t>
      </w:r>
      <w:r>
        <w:rPr>
          <w:rFonts w:ascii="Times New Roman" w:hAnsi="Times New Roman"/>
          <w:sz w:val="24"/>
          <w:szCs w:val="24"/>
        </w:rPr>
        <w:t>‘</w:t>
      </w:r>
      <w:r w:rsidRPr="005E396A">
        <w:rPr>
          <w:rFonts w:ascii="Times New Roman" w:hAnsi="Times New Roman"/>
          <w:sz w:val="24"/>
          <w:szCs w:val="24"/>
        </w:rPr>
        <w:t>[</w:t>
      </w:r>
      <w:proofErr w:type="gramEnd"/>
      <w:r w:rsidRPr="005E396A">
        <w:rPr>
          <w:rFonts w:ascii="Times New Roman" w:hAnsi="Times New Roman"/>
          <w:sz w:val="24"/>
          <w:szCs w:val="24"/>
        </w:rPr>
        <w:t>A]</w:t>
      </w:r>
      <w:proofErr w:type="gramStart"/>
      <w:r w:rsidRPr="005E396A">
        <w:rPr>
          <w:rFonts w:ascii="Times New Roman" w:hAnsi="Times New Roman"/>
          <w:sz w:val="24"/>
          <w:szCs w:val="24"/>
        </w:rPr>
        <w:t>n order</w:t>
      </w:r>
      <w:proofErr w:type="gramEnd"/>
      <w:r w:rsidRPr="005E396A">
        <w:rPr>
          <w:rFonts w:ascii="Times New Roman" w:hAnsi="Times New Roman"/>
          <w:sz w:val="24"/>
          <w:szCs w:val="24"/>
        </w:rPr>
        <w:t xml:space="preserve"> clearing the way for burdensome pre-trial</w:t>
      </w:r>
      <w:r>
        <w:rPr>
          <w:rFonts w:ascii="Times New Roman" w:hAnsi="Times New Roman"/>
          <w:sz w:val="24"/>
          <w:szCs w:val="24"/>
        </w:rPr>
        <w:t xml:space="preserve"> </w:t>
      </w:r>
      <w:r w:rsidRPr="005E396A">
        <w:rPr>
          <w:rFonts w:ascii="Times New Roman" w:hAnsi="Times New Roman"/>
          <w:sz w:val="24"/>
          <w:szCs w:val="24"/>
        </w:rPr>
        <w:t>discovery obligations renders the denial of immunity</w:t>
      </w:r>
      <w:r>
        <w:rPr>
          <w:rFonts w:ascii="Times New Roman" w:hAnsi="Times New Roman"/>
          <w:sz w:val="24"/>
          <w:szCs w:val="24"/>
        </w:rPr>
        <w:t xml:space="preserve"> </w:t>
      </w:r>
      <w:r w:rsidRPr="005E396A">
        <w:rPr>
          <w:rFonts w:ascii="Times New Roman" w:hAnsi="Times New Roman"/>
          <w:sz w:val="24"/>
          <w:szCs w:val="24"/>
        </w:rPr>
        <w:t>effectively unreviewable on appeal from final judgment—</w:t>
      </w:r>
      <w:r>
        <w:rPr>
          <w:rFonts w:ascii="Times New Roman" w:hAnsi="Times New Roman"/>
          <w:sz w:val="24"/>
          <w:szCs w:val="24"/>
        </w:rPr>
        <w:t xml:space="preserve"> </w:t>
      </w:r>
      <w:r w:rsidRPr="005E396A">
        <w:rPr>
          <w:rFonts w:ascii="Times New Roman" w:hAnsi="Times New Roman"/>
          <w:sz w:val="24"/>
          <w:szCs w:val="24"/>
        </w:rPr>
        <w:t>immunity from suit is of no use at that late stage.</w:t>
      </w:r>
      <w:r>
        <w:rPr>
          <w:rFonts w:ascii="Times New Roman" w:hAnsi="Times New Roman"/>
          <w:sz w:val="24"/>
          <w:szCs w:val="24"/>
        </w:rPr>
        <w:t>’</w:t>
      </w:r>
      <w:proofErr w:type="gramStart"/>
      <w:r w:rsidRPr="005E396A">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hyperlink r:id="rId178" w:history="1">
        <w:r w:rsidRPr="00537EB6">
          <w:rPr>
            <w:rStyle w:val="Hyperlink"/>
            <w:rFonts w:ascii="Times New Roman" w:hAnsi="Times New Roman"/>
            <w:sz w:val="24"/>
            <w:szCs w:val="24"/>
          </w:rPr>
          <w:t>https://cases.justia.com/federal/appellate-courts/ca9/22-16236/22-16236-2023-09-29.pdf?ts=1696005037</w:t>
        </w:r>
      </w:hyperlink>
    </w:p>
    <w:p w14:paraId="27FC9D33" w14:textId="77777777" w:rsidR="0056123D" w:rsidRDefault="0056123D" w:rsidP="00F326E5">
      <w:pPr>
        <w:pStyle w:val="NoSpacing"/>
        <w:rPr>
          <w:rFonts w:ascii="Arial Black" w:hAnsi="Arial Black"/>
          <w:sz w:val="24"/>
          <w:szCs w:val="24"/>
        </w:rPr>
      </w:pPr>
    </w:p>
    <w:p w14:paraId="09AD3F0C" w14:textId="77777777" w:rsidR="0056123D" w:rsidRDefault="0056123D" w:rsidP="0056123D">
      <w:pPr>
        <w:pStyle w:val="NoSpacing"/>
        <w:rPr>
          <w:rFonts w:ascii="Times New Roman" w:hAnsi="Times New Roman"/>
          <w:sz w:val="24"/>
          <w:szCs w:val="24"/>
        </w:rPr>
      </w:pPr>
      <w:r w:rsidRPr="005E396A">
        <w:rPr>
          <w:rFonts w:ascii="Times New Roman" w:hAnsi="Times New Roman"/>
          <w:b/>
          <w:bCs/>
          <w:sz w:val="24"/>
          <w:szCs w:val="24"/>
        </w:rPr>
        <w:t xml:space="preserve">Legal Lesson Learned: </w:t>
      </w:r>
      <w:r>
        <w:rPr>
          <w:rFonts w:ascii="Times New Roman" w:hAnsi="Times New Roman"/>
          <w:b/>
          <w:bCs/>
          <w:sz w:val="24"/>
          <w:szCs w:val="24"/>
        </w:rPr>
        <w:t xml:space="preserve">The law provides qualified immunity for investigators who aggressively investigate; trial court should delay granting investigators’ motion to dismiss while pre-trial discovery proceeds. </w:t>
      </w:r>
    </w:p>
    <w:p w14:paraId="56586F92" w14:textId="77777777" w:rsidR="0056123D" w:rsidRPr="00B931CF" w:rsidRDefault="0056123D" w:rsidP="0056123D">
      <w:pPr>
        <w:pStyle w:val="NoSpacing"/>
        <w:rPr>
          <w:rFonts w:ascii="Times New Roman" w:hAnsi="Times New Roman"/>
          <w:sz w:val="24"/>
          <w:szCs w:val="24"/>
        </w:rPr>
      </w:pPr>
    </w:p>
    <w:p w14:paraId="14233318" w14:textId="77777777" w:rsidR="0056123D" w:rsidRDefault="0056123D" w:rsidP="00F326E5">
      <w:pPr>
        <w:pStyle w:val="NoSpacing"/>
        <w:rPr>
          <w:rFonts w:ascii="Arial Black" w:hAnsi="Arial Black"/>
          <w:sz w:val="24"/>
          <w:szCs w:val="24"/>
        </w:rPr>
      </w:pPr>
    </w:p>
    <w:p w14:paraId="362464BB" w14:textId="77777777" w:rsidR="0056123D" w:rsidRDefault="0056123D" w:rsidP="00F326E5">
      <w:pPr>
        <w:pStyle w:val="NoSpacing"/>
        <w:rPr>
          <w:rFonts w:ascii="Arial Black" w:hAnsi="Arial Black"/>
          <w:sz w:val="24"/>
          <w:szCs w:val="24"/>
        </w:rPr>
      </w:pPr>
    </w:p>
    <w:p w14:paraId="7F98CB55" w14:textId="256BDDB0" w:rsidR="0056123D" w:rsidRDefault="0056123D" w:rsidP="00F326E5">
      <w:pPr>
        <w:pStyle w:val="NoSpacing"/>
        <w:rPr>
          <w:rFonts w:ascii="Arial Black" w:hAnsi="Arial Black"/>
          <w:sz w:val="24"/>
          <w:szCs w:val="24"/>
        </w:rPr>
      </w:pPr>
      <w:r>
        <w:rPr>
          <w:rFonts w:ascii="Arial Black" w:hAnsi="Arial Black"/>
          <w:sz w:val="24"/>
          <w:szCs w:val="24"/>
        </w:rPr>
        <w:t>1-336</w:t>
      </w:r>
    </w:p>
    <w:p w14:paraId="16068A4A" w14:textId="77777777" w:rsidR="0056123D" w:rsidRPr="00903B6A" w:rsidRDefault="0056123D" w:rsidP="0056123D">
      <w:pPr>
        <w:pStyle w:val="NormalWeb"/>
        <w:rPr>
          <w:rFonts w:ascii="Arial Black" w:hAnsi="Arial Black"/>
          <w:b/>
          <w:bCs/>
          <w:sz w:val="28"/>
          <w:szCs w:val="28"/>
        </w:rPr>
      </w:pPr>
      <w:r>
        <w:rPr>
          <w:rFonts w:ascii="Arial Black" w:hAnsi="Arial Black"/>
          <w:b/>
          <w:bCs/>
          <w:sz w:val="28"/>
          <w:szCs w:val="28"/>
        </w:rPr>
        <w:t xml:space="preserve">CA: ARSON - NO DEFENSE HE STARTED FIRE TO CLEAR TICKS IN PARK – WILLFULL / MALICE PRESUMED </w:t>
      </w:r>
    </w:p>
    <w:p w14:paraId="13F3F3C8" w14:textId="77777777" w:rsidR="0056123D" w:rsidRDefault="0056123D" w:rsidP="0056123D">
      <w:pPr>
        <w:pStyle w:val="NormalWeb"/>
      </w:pPr>
      <w:r>
        <w:t xml:space="preserve">On Sept. 25, 2023, in </w:t>
      </w:r>
      <w:r w:rsidRPr="00040F47">
        <w:rPr>
          <w:u w:val="single"/>
        </w:rPr>
        <w:t>The People v. Souriya Danny Vongchanh</w:t>
      </w:r>
      <w:r>
        <w:t xml:space="preserve">, the California Court of Appeals, Third District, held (3 to 0; unpublished decision) that jury properly found him guilty of arson, and trial court judge properly imposed the added five years, for a total of 13 years in prison since second arson conviction in three years. </w:t>
      </w:r>
    </w:p>
    <w:p w14:paraId="10DBEA4B" w14:textId="77777777" w:rsidR="0056123D" w:rsidRDefault="0056123D" w:rsidP="0056123D">
      <w:pPr>
        <w:pStyle w:val="NormalWeb"/>
        <w:ind w:left="720"/>
      </w:pPr>
      <w:r>
        <w:t>“Defendant's arson conviction is based on the first fire he set on the levee between the park and the tennis courts. Defendant contends there is insufficient evidence that he acted intentionally and maliciously in setting the fire.</w:t>
      </w:r>
    </w:p>
    <w:p w14:paraId="5FB80048" w14:textId="77777777" w:rsidR="0056123D" w:rsidRPr="00A56E59" w:rsidRDefault="0056123D" w:rsidP="0056123D">
      <w:pPr>
        <w:pStyle w:val="NormalWeb"/>
        <w:ind w:left="720"/>
      </w:pPr>
      <w:r w:rsidRPr="00A56E59">
        <w:t>Section 451's requirement that the act be done willfully and maliciously ensures that the fire was deliberate and intentional rather than accidental or unintentional</w:t>
      </w:r>
      <w:r>
        <w:t xml:space="preserve">…. </w:t>
      </w:r>
      <w:r w:rsidRPr="00A56E59">
        <w:t>Due to the dangerous nature of such conduct, a general criminal intent to commit the act suffices to establish the requisite mental state</w:t>
      </w:r>
      <w:r>
        <w:t xml:space="preserve">…. </w:t>
      </w:r>
      <w:r w:rsidRPr="00A56E59">
        <w:t xml:space="preserve"> </w:t>
      </w:r>
    </w:p>
    <w:p w14:paraId="30EFBD79"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proofErr w:type="gramStart"/>
      <w:r w:rsidRPr="00A56E59">
        <w:rPr>
          <w:rFonts w:ascii="Times New Roman" w:eastAsia="Times New Roman" w:hAnsi="Times New Roman"/>
          <w:sz w:val="24"/>
          <w:szCs w:val="24"/>
        </w:rPr>
        <w:t>Defendant's</w:t>
      </w:r>
      <w:proofErr w:type="gramEnd"/>
      <w:r w:rsidRPr="00A56E59">
        <w:rPr>
          <w:rFonts w:ascii="Times New Roman" w:eastAsia="Times New Roman" w:hAnsi="Times New Roman"/>
          <w:sz w:val="24"/>
          <w:szCs w:val="24"/>
        </w:rPr>
        <w:t xml:space="preserve"> conduct satisfies this standard. He admitted lighting the fire to clear the white grass and rid the area of ticks or leeches. His act was intentional and was done without legal justification, therefore maliciousness is presumed or implied.</w:t>
      </w:r>
    </w:p>
    <w:p w14:paraId="78449356"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79D535E9" w14:textId="77777777" w:rsidR="0056123D" w:rsidRDefault="0056123D" w:rsidP="0056123D">
      <w:pPr>
        <w:pStyle w:val="NormalWeb"/>
        <w:ind w:left="720"/>
      </w:pPr>
      <w:r>
        <w:t>The trial court declined to strike the enhancement, finding that dismissal of the enhancement would endanger public safety. (§ 1385, subd. (c)(2).) The trial court stated: ‘I've considered the prior offense and current offense both involve setting fires unlawfully</w:t>
      </w:r>
      <w:proofErr w:type="gramStart"/>
      <w:r>
        <w:t>.</w:t>
      </w:r>
      <w:proofErr w:type="gramEnd"/>
      <w:r>
        <w:t xml:space="preserve"> Here the fire was set near the downtown Oroville area, near residences, and in a park area where the potential for danger, of which all of us in Butte County are acutely aware, is extremely high. And </w:t>
      </w:r>
      <w:proofErr w:type="gramStart"/>
      <w:r>
        <w:t>so</w:t>
      </w:r>
      <w:proofErr w:type="gramEnd"/>
      <w:r>
        <w:t xml:space="preserve"> I am finding that it would be a danger to public safety to strike that [section] 667 [subdivision] (a)(1) enhancement, and I'll decline to strike the enhancement under that section.’ </w:t>
      </w:r>
    </w:p>
    <w:p w14:paraId="1BDA1745" w14:textId="03822C9A" w:rsidR="0056123D" w:rsidRDefault="0056123D" w:rsidP="0056123D">
      <w:pPr>
        <w:pStyle w:val="NoSpacing"/>
        <w:ind w:left="720"/>
        <w:rPr>
          <w:rStyle w:val="Hyperlink"/>
          <w:rFonts w:ascii="Times New Roman" w:hAnsi="Times New Roman"/>
          <w:sz w:val="24"/>
          <w:szCs w:val="24"/>
        </w:rPr>
      </w:pPr>
      <w:r w:rsidRPr="00A56E59">
        <w:rPr>
          <w:rFonts w:ascii="Times New Roman" w:hAnsi="Times New Roman"/>
          <w:sz w:val="24"/>
          <w:szCs w:val="24"/>
        </w:rPr>
        <w:t xml:space="preserve">Contrary to defendant's argument, this was not an abuse of discretion, given that defendant was twice convicted of arson within a span of three years and the current arson offense was committed near a residential neighborhood.” </w:t>
      </w:r>
      <w:hyperlink r:id="rId179" w:history="1">
        <w:r w:rsidRPr="00A56E59">
          <w:rPr>
            <w:rStyle w:val="Hyperlink"/>
            <w:rFonts w:ascii="Times New Roman" w:hAnsi="Times New Roman"/>
            <w:sz w:val="24"/>
            <w:szCs w:val="24"/>
          </w:rPr>
          <w:t>https://public.fastcase.com/ppbqSQpNDaJE%2F8PlIk0b8ECWv6%2F0KW8eOOGtTNlYs%2F2eCExN%2BikZLxSyxw9X8iC%2F</w:t>
        </w:r>
      </w:hyperlink>
    </w:p>
    <w:p w14:paraId="2F9B5452" w14:textId="77777777" w:rsidR="0056123D" w:rsidRDefault="0056123D" w:rsidP="0056123D">
      <w:pPr>
        <w:pStyle w:val="NoSpacing"/>
        <w:ind w:left="720"/>
        <w:rPr>
          <w:rStyle w:val="Hyperlink"/>
          <w:rFonts w:ascii="Times New Roman" w:hAnsi="Times New Roman"/>
          <w:sz w:val="24"/>
          <w:szCs w:val="24"/>
        </w:rPr>
      </w:pPr>
    </w:p>
    <w:p w14:paraId="2FD97576" w14:textId="77777777" w:rsidR="0056123D" w:rsidRPr="00877A2C" w:rsidRDefault="0056123D" w:rsidP="0056123D">
      <w:pPr>
        <w:pStyle w:val="NormalWeb"/>
        <w:rPr>
          <w:b/>
          <w:bCs/>
        </w:rPr>
      </w:pPr>
      <w:r w:rsidRPr="00BD4B28">
        <w:rPr>
          <w:b/>
          <w:bCs/>
        </w:rPr>
        <w:t>Legal Lesson Learned</w:t>
      </w:r>
      <w:r w:rsidRPr="00877A2C">
        <w:rPr>
          <w:b/>
          <w:bCs/>
        </w:rPr>
        <w:t xml:space="preserve">: </w:t>
      </w:r>
      <w:r>
        <w:rPr>
          <w:b/>
          <w:bCs/>
        </w:rPr>
        <w:t xml:space="preserve">Intentionally setting a fire in a park is intentionally doing an act without justification, and “malice” is presumed. </w:t>
      </w:r>
    </w:p>
    <w:p w14:paraId="65891EA7" w14:textId="77777777" w:rsidR="0056123D" w:rsidRDefault="0056123D" w:rsidP="0056123D">
      <w:pPr>
        <w:pStyle w:val="NoSpacing"/>
        <w:ind w:left="720"/>
        <w:rPr>
          <w:rFonts w:ascii="Arial Black" w:hAnsi="Arial Black"/>
          <w:sz w:val="24"/>
          <w:szCs w:val="24"/>
        </w:rPr>
      </w:pPr>
    </w:p>
    <w:p w14:paraId="31C26C1B" w14:textId="77777777" w:rsidR="0056123D" w:rsidRDefault="0056123D" w:rsidP="0056123D">
      <w:pPr>
        <w:pStyle w:val="NoSpacing"/>
        <w:ind w:left="720"/>
        <w:rPr>
          <w:rFonts w:ascii="Arial Black" w:hAnsi="Arial Black"/>
          <w:sz w:val="24"/>
          <w:szCs w:val="24"/>
        </w:rPr>
      </w:pPr>
    </w:p>
    <w:p w14:paraId="1F9BA6A5" w14:textId="25D20242" w:rsidR="0056123D" w:rsidRDefault="0056123D" w:rsidP="0056123D">
      <w:pPr>
        <w:pStyle w:val="NoSpacing"/>
        <w:rPr>
          <w:rFonts w:ascii="Arial Black" w:hAnsi="Arial Black"/>
          <w:sz w:val="24"/>
          <w:szCs w:val="24"/>
        </w:rPr>
      </w:pPr>
      <w:r>
        <w:rPr>
          <w:rFonts w:ascii="Arial Black" w:hAnsi="Arial Black"/>
          <w:sz w:val="24"/>
          <w:szCs w:val="24"/>
        </w:rPr>
        <w:t>1-135</w:t>
      </w:r>
    </w:p>
    <w:p w14:paraId="1D0055A5" w14:textId="77777777" w:rsidR="0056123D" w:rsidRPr="00877A2C" w:rsidRDefault="0056123D" w:rsidP="0056123D">
      <w:pPr>
        <w:pStyle w:val="NormalWeb"/>
        <w:rPr>
          <w:rFonts w:ascii="Arial Black" w:hAnsi="Arial Black"/>
          <w:b/>
          <w:bCs/>
          <w:sz w:val="28"/>
          <w:szCs w:val="28"/>
        </w:rPr>
      </w:pPr>
      <w:r>
        <w:rPr>
          <w:rFonts w:ascii="Arial Black" w:hAnsi="Arial Black"/>
          <w:b/>
          <w:bCs/>
          <w:sz w:val="28"/>
          <w:szCs w:val="28"/>
        </w:rPr>
        <w:t xml:space="preserve">TN: OFF-DUTY FD CAPTAIN – OBSERVED DRUNK DRIVER CRASH - ALLOWED TO TESTIFY ON ZOOM / SICK COVID </w:t>
      </w:r>
    </w:p>
    <w:p w14:paraId="30E2669F"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25, 2023, in </w:t>
      </w:r>
      <w:r w:rsidRPr="00877A2C">
        <w:rPr>
          <w:rFonts w:ascii="Times New Roman" w:hAnsi="Times New Roman"/>
          <w:sz w:val="24"/>
          <w:szCs w:val="24"/>
          <w:u w:val="single"/>
        </w:rPr>
        <w:t>State of Tennessee v. William Michael Bowers</w:t>
      </w:r>
      <w:r>
        <w:rPr>
          <w:rFonts w:ascii="Times New Roman" w:hAnsi="Times New Roman"/>
          <w:sz w:val="24"/>
          <w:szCs w:val="24"/>
        </w:rPr>
        <w:t xml:space="preserve">, the Court of Criminal Appeals of Tennessee at Nashville, held (3 to 1) that the evidence was sufficient for the jury to convict the defendant of vehicular homicide by intoxication and driving under the influence; the trial court judge was authorized to allow fire department captain to testify via ZOOM.  </w:t>
      </w:r>
    </w:p>
    <w:p w14:paraId="7887A6C4" w14:textId="77777777" w:rsidR="0056123D" w:rsidRDefault="0056123D" w:rsidP="0056123D">
      <w:pPr>
        <w:pStyle w:val="NoSpacing"/>
        <w:rPr>
          <w:rFonts w:ascii="Times New Roman" w:hAnsi="Times New Roman"/>
          <w:sz w:val="24"/>
          <w:szCs w:val="24"/>
        </w:rPr>
      </w:pPr>
      <w:r w:rsidRPr="001B4670">
        <w:rPr>
          <w:rFonts w:ascii="Times New Roman" w:hAnsi="Times New Roman"/>
          <w:sz w:val="24"/>
          <w:szCs w:val="24"/>
        </w:rPr>
        <w:t xml:space="preserve">On August 21, 2020, </w:t>
      </w:r>
      <w:r>
        <w:rPr>
          <w:rFonts w:ascii="Times New Roman" w:hAnsi="Times New Roman"/>
          <w:sz w:val="24"/>
          <w:szCs w:val="24"/>
        </w:rPr>
        <w:t xml:space="preserve">Captain Phillip Marsh of Columbia Fire Department was off duty when he observed the defendant’s F-150 truck cross over </w:t>
      </w:r>
      <w:r w:rsidRPr="00E460C5">
        <w:rPr>
          <w:rFonts w:ascii="Times New Roman" w:hAnsi="Times New Roman"/>
          <w:sz w:val="24"/>
          <w:szCs w:val="24"/>
        </w:rPr>
        <w:t>from the oncoming lanes and strike the victim’s vehicle at her driver’s side door</w:t>
      </w:r>
      <w:r>
        <w:rPr>
          <w:rFonts w:ascii="Times New Roman" w:hAnsi="Times New Roman"/>
          <w:sz w:val="24"/>
          <w:szCs w:val="24"/>
        </w:rPr>
        <w:t xml:space="preserve">; the defendant’s air bags had deployed and he </w:t>
      </w:r>
      <w:r w:rsidRPr="00E460C5">
        <w:rPr>
          <w:rFonts w:ascii="Times New Roman" w:hAnsi="Times New Roman"/>
          <w:sz w:val="24"/>
          <w:szCs w:val="24"/>
        </w:rPr>
        <w:t>spoke rapidly</w:t>
      </w:r>
      <w:r>
        <w:rPr>
          <w:rFonts w:ascii="Times New Roman" w:hAnsi="Times New Roman"/>
          <w:sz w:val="24"/>
          <w:szCs w:val="24"/>
        </w:rPr>
        <w:t xml:space="preserve"> “</w:t>
      </w:r>
      <w:r w:rsidRPr="00E460C5">
        <w:rPr>
          <w:rFonts w:ascii="Times New Roman" w:hAnsi="Times New Roman"/>
          <w:sz w:val="24"/>
          <w:szCs w:val="24"/>
        </w:rPr>
        <w:t>but nothing [was] making any sense.</w:t>
      </w:r>
      <w:r>
        <w:rPr>
          <w:rFonts w:ascii="Times New Roman" w:hAnsi="Times New Roman"/>
          <w:sz w:val="24"/>
          <w:szCs w:val="24"/>
        </w:rPr>
        <w:t xml:space="preserve">” The Court refenced U.S. Supreme Court decision allowing testimony via closed-circuit TV. </w:t>
      </w:r>
    </w:p>
    <w:p w14:paraId="0715B893" w14:textId="77777777" w:rsidR="0056123D" w:rsidRDefault="0056123D" w:rsidP="0056123D">
      <w:pPr>
        <w:pStyle w:val="NoSpacing"/>
        <w:rPr>
          <w:rFonts w:ascii="Times New Roman" w:hAnsi="Times New Roman"/>
          <w:sz w:val="24"/>
          <w:szCs w:val="24"/>
        </w:rPr>
      </w:pPr>
    </w:p>
    <w:p w14:paraId="67568D2E" w14:textId="77777777" w:rsidR="0056123D" w:rsidRPr="00412D7B" w:rsidRDefault="0056123D" w:rsidP="0056123D">
      <w:pPr>
        <w:pStyle w:val="NoSpacing"/>
        <w:ind w:left="720"/>
        <w:rPr>
          <w:rFonts w:ascii="Times New Roman" w:hAnsi="Times New Roman"/>
          <w:sz w:val="24"/>
          <w:szCs w:val="24"/>
        </w:rPr>
      </w:pPr>
      <w:r>
        <w:rPr>
          <w:rFonts w:ascii="Times New Roman" w:hAnsi="Times New Roman"/>
          <w:sz w:val="24"/>
          <w:szCs w:val="24"/>
        </w:rPr>
        <w:t>“I</w:t>
      </w:r>
      <w:r w:rsidRPr="00412D7B">
        <w:rPr>
          <w:rFonts w:ascii="Times New Roman" w:hAnsi="Times New Roman"/>
          <w:sz w:val="24"/>
          <w:szCs w:val="24"/>
        </w:rPr>
        <w:t xml:space="preserve">n </w:t>
      </w:r>
      <w:r w:rsidRPr="00D41A7C">
        <w:rPr>
          <w:rFonts w:ascii="Times New Roman" w:hAnsi="Times New Roman"/>
          <w:i/>
          <w:iCs/>
          <w:sz w:val="24"/>
          <w:szCs w:val="24"/>
        </w:rPr>
        <w:t>Maryland v. Craig</w:t>
      </w:r>
      <w:r w:rsidRPr="00412D7B">
        <w:rPr>
          <w:rFonts w:ascii="Times New Roman" w:hAnsi="Times New Roman"/>
          <w:sz w:val="24"/>
          <w:szCs w:val="24"/>
        </w:rPr>
        <w:t>, however, the United States Supreme Court noted that it had</w:t>
      </w:r>
    </w:p>
    <w:p w14:paraId="7E731D3C" w14:textId="77777777" w:rsidR="0056123D" w:rsidRPr="00412D7B" w:rsidRDefault="0056123D" w:rsidP="0056123D">
      <w:pPr>
        <w:pStyle w:val="NoSpacing"/>
        <w:ind w:firstLine="720"/>
        <w:rPr>
          <w:rFonts w:ascii="Times New Roman" w:hAnsi="Times New Roman"/>
          <w:sz w:val="24"/>
          <w:szCs w:val="24"/>
        </w:rPr>
      </w:pPr>
      <w:r>
        <w:rPr>
          <w:rFonts w:ascii="Times New Roman" w:hAnsi="Times New Roman"/>
          <w:sz w:val="24"/>
          <w:szCs w:val="24"/>
        </w:rPr>
        <w:t>‘</w:t>
      </w:r>
      <w:proofErr w:type="gramStart"/>
      <w:r w:rsidRPr="00412D7B">
        <w:rPr>
          <w:rFonts w:ascii="Times New Roman" w:hAnsi="Times New Roman"/>
          <w:sz w:val="24"/>
          <w:szCs w:val="24"/>
        </w:rPr>
        <w:t>never</w:t>
      </w:r>
      <w:proofErr w:type="gramEnd"/>
      <w:r w:rsidRPr="00412D7B">
        <w:rPr>
          <w:rFonts w:ascii="Times New Roman" w:hAnsi="Times New Roman"/>
          <w:sz w:val="24"/>
          <w:szCs w:val="24"/>
        </w:rPr>
        <w:t xml:space="preserve"> held . . . that the Confrontation Clause guarantees criminal defendants the absolute</w:t>
      </w:r>
    </w:p>
    <w:p w14:paraId="21358CD9"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right to a face-to-face meeting with witnesses against them at trial.</w:t>
      </w:r>
      <w:r>
        <w:rPr>
          <w:rFonts w:ascii="Times New Roman" w:hAnsi="Times New Roman"/>
          <w:sz w:val="24"/>
          <w:szCs w:val="24"/>
        </w:rPr>
        <w:t xml:space="preserve">’ </w:t>
      </w:r>
      <w:r w:rsidRPr="00412D7B">
        <w:rPr>
          <w:rFonts w:ascii="Times New Roman" w:hAnsi="Times New Roman"/>
          <w:sz w:val="24"/>
          <w:szCs w:val="24"/>
        </w:rPr>
        <w:t>497 U.S. at 844</w:t>
      </w:r>
      <w:r>
        <w:rPr>
          <w:rFonts w:ascii="Times New Roman" w:hAnsi="Times New Roman"/>
          <w:sz w:val="24"/>
          <w:szCs w:val="24"/>
        </w:rPr>
        <w:t xml:space="preserve"> [1990] </w:t>
      </w:r>
      <w:r w:rsidRPr="00412D7B">
        <w:rPr>
          <w:rFonts w:ascii="Times New Roman" w:hAnsi="Times New Roman"/>
          <w:sz w:val="24"/>
          <w:szCs w:val="24"/>
        </w:rPr>
        <w:t xml:space="preserve">(emphasis in original). </w:t>
      </w:r>
      <w:r w:rsidRPr="00D41A7C">
        <w:rPr>
          <w:rFonts w:ascii="Times New Roman" w:hAnsi="Times New Roman"/>
          <w:i/>
          <w:iCs/>
          <w:sz w:val="24"/>
          <w:szCs w:val="24"/>
        </w:rPr>
        <w:t>Craig</w:t>
      </w:r>
      <w:r w:rsidRPr="00412D7B">
        <w:rPr>
          <w:rFonts w:ascii="Times New Roman" w:hAnsi="Times New Roman"/>
          <w:sz w:val="24"/>
          <w:szCs w:val="24"/>
        </w:rPr>
        <w:t xml:space="preserve"> involved a Confrontation Clause challenge to a Maryland</w:t>
      </w:r>
      <w:r>
        <w:rPr>
          <w:rFonts w:ascii="Times New Roman" w:hAnsi="Times New Roman"/>
          <w:sz w:val="24"/>
          <w:szCs w:val="24"/>
        </w:rPr>
        <w:t xml:space="preserve"> </w:t>
      </w:r>
      <w:r w:rsidRPr="00412D7B">
        <w:rPr>
          <w:rFonts w:ascii="Times New Roman" w:hAnsi="Times New Roman"/>
          <w:sz w:val="24"/>
          <w:szCs w:val="24"/>
        </w:rPr>
        <w:t xml:space="preserve">law that allowed a child sexual assault victim to testify via one-way, </w:t>
      </w:r>
      <w:proofErr w:type="gramStart"/>
      <w:r w:rsidRPr="00412D7B">
        <w:rPr>
          <w:rFonts w:ascii="Times New Roman" w:hAnsi="Times New Roman"/>
          <w:sz w:val="24"/>
          <w:szCs w:val="24"/>
        </w:rPr>
        <w:t>closed circuit</w:t>
      </w:r>
      <w:proofErr w:type="gramEnd"/>
      <w:r>
        <w:rPr>
          <w:rFonts w:ascii="Times New Roman" w:hAnsi="Times New Roman"/>
          <w:sz w:val="24"/>
          <w:szCs w:val="24"/>
        </w:rPr>
        <w:t xml:space="preserve"> </w:t>
      </w:r>
      <w:r w:rsidRPr="00412D7B">
        <w:rPr>
          <w:rFonts w:ascii="Times New Roman" w:hAnsi="Times New Roman"/>
          <w:sz w:val="24"/>
          <w:szCs w:val="24"/>
        </w:rPr>
        <w:t xml:space="preserve">television if the trial judge determined </w:t>
      </w:r>
      <w:r>
        <w:rPr>
          <w:rFonts w:ascii="Times New Roman" w:hAnsi="Times New Roman"/>
          <w:sz w:val="24"/>
          <w:szCs w:val="24"/>
        </w:rPr>
        <w:t>‘</w:t>
      </w:r>
      <w:r w:rsidRPr="00412D7B">
        <w:rPr>
          <w:rFonts w:ascii="Times New Roman" w:hAnsi="Times New Roman"/>
          <w:sz w:val="24"/>
          <w:szCs w:val="24"/>
        </w:rPr>
        <w:t>that testimony by the child victim in the courtroom</w:t>
      </w:r>
      <w:r>
        <w:rPr>
          <w:rFonts w:ascii="Times New Roman" w:hAnsi="Times New Roman"/>
          <w:sz w:val="24"/>
          <w:szCs w:val="24"/>
        </w:rPr>
        <w:t xml:space="preserve"> </w:t>
      </w:r>
      <w:r w:rsidRPr="00412D7B">
        <w:rPr>
          <w:rFonts w:ascii="Times New Roman" w:hAnsi="Times New Roman"/>
          <w:sz w:val="24"/>
          <w:szCs w:val="24"/>
        </w:rPr>
        <w:t>will result in the child suffering serious emotional distress such that the child cannot</w:t>
      </w:r>
      <w:r>
        <w:rPr>
          <w:rFonts w:ascii="Times New Roman" w:hAnsi="Times New Roman"/>
          <w:sz w:val="24"/>
          <w:szCs w:val="24"/>
        </w:rPr>
        <w:t xml:space="preserve"> </w:t>
      </w:r>
      <w:r w:rsidRPr="00412D7B">
        <w:rPr>
          <w:rFonts w:ascii="Times New Roman" w:hAnsi="Times New Roman"/>
          <w:sz w:val="24"/>
          <w:szCs w:val="24"/>
        </w:rPr>
        <w:t>reasonably communicate.</w:t>
      </w:r>
      <w:r>
        <w:rPr>
          <w:rFonts w:ascii="Times New Roman" w:hAnsi="Times New Roman"/>
          <w:sz w:val="24"/>
          <w:szCs w:val="24"/>
        </w:rPr>
        <w:t>’</w:t>
      </w:r>
      <w:r w:rsidRPr="00412D7B">
        <w:rPr>
          <w:rFonts w:ascii="Times New Roman" w:hAnsi="Times New Roman"/>
          <w:sz w:val="24"/>
          <w:szCs w:val="24"/>
        </w:rPr>
        <w:t xml:space="preserve"> Id. at 840-41 (quoting Md. </w:t>
      </w:r>
      <w:proofErr w:type="spellStart"/>
      <w:r w:rsidRPr="00412D7B">
        <w:rPr>
          <w:rFonts w:ascii="Times New Roman" w:hAnsi="Times New Roman"/>
          <w:sz w:val="24"/>
          <w:szCs w:val="24"/>
        </w:rPr>
        <w:t>Cts</w:t>
      </w:r>
      <w:proofErr w:type="spellEnd"/>
      <w:r w:rsidRPr="00412D7B">
        <w:rPr>
          <w:rFonts w:ascii="Times New Roman" w:hAnsi="Times New Roman"/>
          <w:sz w:val="24"/>
          <w:szCs w:val="24"/>
        </w:rPr>
        <w:t xml:space="preserve">. &amp; Jud. Proc. Code Ann. § 9-102(a)(1)(ii) (1989)). If this determination is made, </w:t>
      </w:r>
      <w:proofErr w:type="gramStart"/>
      <w:r w:rsidRPr="00412D7B">
        <w:rPr>
          <w:rFonts w:ascii="Times New Roman" w:hAnsi="Times New Roman"/>
          <w:sz w:val="24"/>
          <w:szCs w:val="24"/>
        </w:rPr>
        <w:t>the Maryland</w:t>
      </w:r>
      <w:proofErr w:type="gramEnd"/>
      <w:r w:rsidRPr="00412D7B">
        <w:rPr>
          <w:rFonts w:ascii="Times New Roman" w:hAnsi="Times New Roman"/>
          <w:sz w:val="24"/>
          <w:szCs w:val="24"/>
        </w:rPr>
        <w:t xml:space="preserve"> law </w:t>
      </w:r>
      <w:proofErr w:type="gramStart"/>
      <w:r w:rsidRPr="00412D7B">
        <w:rPr>
          <w:rFonts w:ascii="Times New Roman" w:hAnsi="Times New Roman"/>
          <w:sz w:val="24"/>
          <w:szCs w:val="24"/>
        </w:rPr>
        <w:t>allowed for</w:t>
      </w:r>
      <w:proofErr w:type="gramEnd"/>
      <w:r w:rsidRPr="00412D7B">
        <w:rPr>
          <w:rFonts w:ascii="Times New Roman" w:hAnsi="Times New Roman"/>
          <w:sz w:val="24"/>
          <w:szCs w:val="24"/>
        </w:rPr>
        <w:t xml:space="preserve"> the child</w:t>
      </w:r>
      <w:r>
        <w:rPr>
          <w:rFonts w:ascii="Times New Roman" w:hAnsi="Times New Roman"/>
          <w:sz w:val="24"/>
          <w:szCs w:val="24"/>
        </w:rPr>
        <w:t xml:space="preserve"> </w:t>
      </w:r>
      <w:r w:rsidRPr="00412D7B">
        <w:rPr>
          <w:rFonts w:ascii="Times New Roman" w:hAnsi="Times New Roman"/>
          <w:sz w:val="24"/>
          <w:szCs w:val="24"/>
        </w:rPr>
        <w:t xml:space="preserve">witness, prosecutor, and defense counsel to withdraw to a separate room </w:t>
      </w:r>
      <w:proofErr w:type="gramStart"/>
      <w:r w:rsidRPr="00412D7B">
        <w:rPr>
          <w:rFonts w:ascii="Times New Roman" w:hAnsi="Times New Roman"/>
          <w:sz w:val="24"/>
          <w:szCs w:val="24"/>
        </w:rPr>
        <w:t>where</w:t>
      </w:r>
      <w:proofErr w:type="gramEnd"/>
      <w:r w:rsidRPr="00412D7B">
        <w:rPr>
          <w:rFonts w:ascii="Times New Roman" w:hAnsi="Times New Roman"/>
          <w:sz w:val="24"/>
          <w:szCs w:val="24"/>
        </w:rPr>
        <w:t xml:space="preserve"> the</w:t>
      </w:r>
    </w:p>
    <w:p w14:paraId="1E6912A9"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examination of the child would be transmitted to the courtroom for display to the judge,</w:t>
      </w:r>
    </w:p>
    <w:p w14:paraId="3FFDAF37"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jury, and defendant. Id. at 841. During this time, the witness cannot see the Defendant.</w:t>
      </w:r>
    </w:p>
    <w:p w14:paraId="0237B850" w14:textId="77777777" w:rsidR="0056123D" w:rsidRDefault="0056123D" w:rsidP="0056123D">
      <w:pPr>
        <w:pStyle w:val="NoSpacing"/>
        <w:ind w:left="720"/>
        <w:rPr>
          <w:rFonts w:ascii="Times New Roman" w:hAnsi="Times New Roman"/>
          <w:sz w:val="24"/>
          <w:szCs w:val="24"/>
        </w:rPr>
      </w:pPr>
      <w:r w:rsidRPr="00412D7B">
        <w:rPr>
          <w:rFonts w:ascii="Times New Roman" w:hAnsi="Times New Roman"/>
          <w:sz w:val="24"/>
          <w:szCs w:val="24"/>
        </w:rPr>
        <w:t>Id.</w:t>
      </w:r>
    </w:p>
    <w:p w14:paraId="2EA674AF" w14:textId="77777777" w:rsidR="0056123D" w:rsidRDefault="0056123D" w:rsidP="0056123D">
      <w:pPr>
        <w:pStyle w:val="NoSpacing"/>
        <w:ind w:left="720"/>
        <w:rPr>
          <w:rFonts w:ascii="Times New Roman" w:hAnsi="Times New Roman"/>
          <w:sz w:val="24"/>
          <w:szCs w:val="24"/>
        </w:rPr>
      </w:pPr>
    </w:p>
    <w:p w14:paraId="42D72A14"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3761D34" w14:textId="77777777" w:rsidR="0056123D" w:rsidRDefault="0056123D" w:rsidP="0056123D">
      <w:pPr>
        <w:pStyle w:val="NoSpacing"/>
        <w:ind w:left="720"/>
        <w:rPr>
          <w:rFonts w:ascii="Times New Roman" w:hAnsi="Times New Roman"/>
          <w:sz w:val="24"/>
          <w:szCs w:val="24"/>
        </w:rPr>
      </w:pPr>
    </w:p>
    <w:p w14:paraId="754B28DB"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 xml:space="preserve">[Captain] </w:t>
      </w:r>
      <w:r w:rsidRPr="001B4670">
        <w:rPr>
          <w:rFonts w:ascii="Times New Roman" w:hAnsi="Times New Roman"/>
          <w:sz w:val="24"/>
          <w:szCs w:val="24"/>
        </w:rPr>
        <w:t>Mash</w:t>
      </w:r>
      <w:r>
        <w:rPr>
          <w:rFonts w:ascii="Times New Roman" w:hAnsi="Times New Roman"/>
          <w:sz w:val="24"/>
          <w:szCs w:val="24"/>
        </w:rPr>
        <w:t xml:space="preserve"> </w:t>
      </w:r>
      <w:r w:rsidRPr="001B4670">
        <w:rPr>
          <w:rFonts w:ascii="Times New Roman" w:hAnsi="Times New Roman"/>
          <w:sz w:val="24"/>
          <w:szCs w:val="24"/>
        </w:rPr>
        <w:t>was placed under oath and cross-examined by the Defendant, and the trial court ensured</w:t>
      </w:r>
      <w:r>
        <w:rPr>
          <w:rFonts w:ascii="Times New Roman" w:hAnsi="Times New Roman"/>
          <w:sz w:val="24"/>
          <w:szCs w:val="24"/>
        </w:rPr>
        <w:t xml:space="preserve"> </w:t>
      </w:r>
      <w:r w:rsidRPr="001B4670">
        <w:rPr>
          <w:rFonts w:ascii="Times New Roman" w:hAnsi="Times New Roman"/>
          <w:sz w:val="24"/>
          <w:szCs w:val="24"/>
        </w:rPr>
        <w:t>that, prior to his testimony, all jurors could see the screen displaying his image, thus</w:t>
      </w:r>
      <w:r>
        <w:rPr>
          <w:rFonts w:ascii="Times New Roman" w:hAnsi="Times New Roman"/>
          <w:sz w:val="24"/>
          <w:szCs w:val="24"/>
        </w:rPr>
        <w:t xml:space="preserve"> </w:t>
      </w:r>
      <w:r w:rsidRPr="001B4670">
        <w:rPr>
          <w:rFonts w:ascii="Times New Roman" w:hAnsi="Times New Roman"/>
          <w:sz w:val="24"/>
          <w:szCs w:val="24"/>
        </w:rPr>
        <w:t>allowing them to observe his demeanor while testifying. At the time of cross-examination,</w:t>
      </w:r>
      <w:r>
        <w:rPr>
          <w:rFonts w:ascii="Times New Roman" w:hAnsi="Times New Roman"/>
          <w:sz w:val="24"/>
          <w:szCs w:val="24"/>
        </w:rPr>
        <w:t xml:space="preserve"> </w:t>
      </w:r>
      <w:r w:rsidRPr="001B4670">
        <w:rPr>
          <w:rFonts w:ascii="Times New Roman" w:hAnsi="Times New Roman"/>
          <w:sz w:val="24"/>
          <w:szCs w:val="24"/>
        </w:rPr>
        <w:t>the Defendant possessed a prior written statement from Mr. Mash as well as a recording of</w:t>
      </w:r>
      <w:r>
        <w:rPr>
          <w:rFonts w:ascii="Times New Roman" w:hAnsi="Times New Roman"/>
          <w:sz w:val="24"/>
          <w:szCs w:val="24"/>
        </w:rPr>
        <w:t xml:space="preserve"> </w:t>
      </w:r>
      <w:r w:rsidRPr="001B4670">
        <w:rPr>
          <w:rFonts w:ascii="Times New Roman" w:hAnsi="Times New Roman"/>
          <w:sz w:val="24"/>
          <w:szCs w:val="24"/>
        </w:rPr>
        <w:t>his prior testimony at the preliminary hearing. The prosecutor had previously speculated</w:t>
      </w:r>
      <w:r>
        <w:rPr>
          <w:rFonts w:ascii="Times New Roman" w:hAnsi="Times New Roman"/>
          <w:sz w:val="24"/>
          <w:szCs w:val="24"/>
        </w:rPr>
        <w:t xml:space="preserve"> </w:t>
      </w:r>
      <w:r w:rsidRPr="001B4670">
        <w:rPr>
          <w:rFonts w:ascii="Times New Roman" w:hAnsi="Times New Roman"/>
          <w:sz w:val="24"/>
          <w:szCs w:val="24"/>
        </w:rPr>
        <w:t>that Mr. Mash would testify consistently with his prior statements in the case, and Mr.</w:t>
      </w:r>
      <w:r>
        <w:rPr>
          <w:rFonts w:ascii="Times New Roman" w:hAnsi="Times New Roman"/>
          <w:sz w:val="24"/>
          <w:szCs w:val="24"/>
        </w:rPr>
        <w:t xml:space="preserve"> </w:t>
      </w:r>
      <w:r w:rsidRPr="001B4670">
        <w:rPr>
          <w:rFonts w:ascii="Times New Roman" w:hAnsi="Times New Roman"/>
          <w:sz w:val="24"/>
          <w:szCs w:val="24"/>
        </w:rPr>
        <w:t>Mash explicitly stated during his cross-examination that he had so testified. While the</w:t>
      </w:r>
      <w:r>
        <w:rPr>
          <w:rFonts w:ascii="Times New Roman" w:hAnsi="Times New Roman"/>
          <w:sz w:val="24"/>
          <w:szCs w:val="24"/>
        </w:rPr>
        <w:t xml:space="preserve"> </w:t>
      </w:r>
      <w:r w:rsidRPr="001B4670">
        <w:rPr>
          <w:rFonts w:ascii="Times New Roman" w:hAnsi="Times New Roman"/>
          <w:sz w:val="24"/>
          <w:szCs w:val="24"/>
        </w:rPr>
        <w:t xml:space="preserve">attorneys in </w:t>
      </w:r>
      <w:r w:rsidRPr="00D41A7C">
        <w:rPr>
          <w:rFonts w:ascii="Times New Roman" w:hAnsi="Times New Roman"/>
          <w:i/>
          <w:iCs/>
          <w:sz w:val="24"/>
          <w:szCs w:val="24"/>
        </w:rPr>
        <w:t>Craig</w:t>
      </w:r>
      <w:r w:rsidRPr="001B4670">
        <w:rPr>
          <w:rFonts w:ascii="Times New Roman" w:hAnsi="Times New Roman"/>
          <w:sz w:val="24"/>
          <w:szCs w:val="24"/>
        </w:rPr>
        <w:t xml:space="preserve"> were in the same room as the testifying witness, id. at 841, the record</w:t>
      </w:r>
      <w:r>
        <w:rPr>
          <w:rFonts w:ascii="Times New Roman" w:hAnsi="Times New Roman"/>
          <w:sz w:val="24"/>
          <w:szCs w:val="24"/>
        </w:rPr>
        <w:t xml:space="preserve"> </w:t>
      </w:r>
      <w:r w:rsidRPr="001B4670">
        <w:rPr>
          <w:rFonts w:ascii="Times New Roman" w:hAnsi="Times New Roman"/>
          <w:sz w:val="24"/>
          <w:szCs w:val="24"/>
        </w:rPr>
        <w:t>here reflects that Mr. Mash was able to see the attorneys during questioning through use of</w:t>
      </w:r>
      <w:r>
        <w:rPr>
          <w:rFonts w:ascii="Times New Roman" w:hAnsi="Times New Roman"/>
          <w:sz w:val="24"/>
          <w:szCs w:val="24"/>
        </w:rPr>
        <w:t xml:space="preserve"> </w:t>
      </w:r>
      <w:r w:rsidRPr="001B4670">
        <w:rPr>
          <w:rFonts w:ascii="Times New Roman" w:hAnsi="Times New Roman"/>
          <w:sz w:val="24"/>
          <w:szCs w:val="24"/>
        </w:rPr>
        <w:t xml:space="preserve">the </w:t>
      </w:r>
      <w:r>
        <w:rPr>
          <w:rFonts w:ascii="Times New Roman" w:hAnsi="Times New Roman"/>
          <w:sz w:val="24"/>
          <w:szCs w:val="24"/>
        </w:rPr>
        <w:t>‘</w:t>
      </w:r>
      <w:r w:rsidRPr="001B4670">
        <w:rPr>
          <w:rFonts w:ascii="Times New Roman" w:hAnsi="Times New Roman"/>
          <w:sz w:val="24"/>
          <w:szCs w:val="24"/>
        </w:rPr>
        <w:t>Owl</w:t>
      </w:r>
      <w:r>
        <w:rPr>
          <w:rFonts w:ascii="Times New Roman" w:hAnsi="Times New Roman"/>
          <w:sz w:val="24"/>
          <w:szCs w:val="24"/>
        </w:rPr>
        <w:t>’</w:t>
      </w:r>
      <w:r w:rsidRPr="001B4670">
        <w:rPr>
          <w:rFonts w:ascii="Times New Roman" w:hAnsi="Times New Roman"/>
          <w:sz w:val="24"/>
          <w:szCs w:val="24"/>
        </w:rPr>
        <w:t xml:space="preserve"> device. Other than a </w:t>
      </w:r>
      <w:r>
        <w:rPr>
          <w:rFonts w:ascii="Times New Roman" w:hAnsi="Times New Roman"/>
          <w:sz w:val="24"/>
          <w:szCs w:val="24"/>
        </w:rPr>
        <w:t>‘</w:t>
      </w:r>
      <w:r w:rsidRPr="001B4670">
        <w:rPr>
          <w:rFonts w:ascii="Times New Roman" w:hAnsi="Times New Roman"/>
          <w:sz w:val="24"/>
          <w:szCs w:val="24"/>
        </w:rPr>
        <w:t>little delay</w:t>
      </w:r>
      <w:r>
        <w:rPr>
          <w:rFonts w:ascii="Times New Roman" w:hAnsi="Times New Roman"/>
          <w:sz w:val="24"/>
          <w:szCs w:val="24"/>
        </w:rPr>
        <w:t>’</w:t>
      </w:r>
      <w:r w:rsidRPr="001B4670">
        <w:rPr>
          <w:rFonts w:ascii="Times New Roman" w:hAnsi="Times New Roman"/>
          <w:sz w:val="24"/>
          <w:szCs w:val="24"/>
        </w:rPr>
        <w:t xml:space="preserve"> in the video transmission, it does not appear</w:t>
      </w:r>
      <w:r>
        <w:rPr>
          <w:rFonts w:ascii="Times New Roman" w:hAnsi="Times New Roman"/>
          <w:sz w:val="24"/>
          <w:szCs w:val="24"/>
        </w:rPr>
        <w:t xml:space="preserve"> </w:t>
      </w:r>
      <w:r w:rsidRPr="001B4670">
        <w:rPr>
          <w:rFonts w:ascii="Times New Roman" w:hAnsi="Times New Roman"/>
          <w:sz w:val="24"/>
          <w:szCs w:val="24"/>
        </w:rPr>
        <w:t>that defense counsel’s lack of physical presence during his questioning of Mr. Mash in any</w:t>
      </w:r>
      <w:r>
        <w:rPr>
          <w:rFonts w:ascii="Times New Roman" w:hAnsi="Times New Roman"/>
          <w:sz w:val="24"/>
          <w:szCs w:val="24"/>
        </w:rPr>
        <w:t xml:space="preserve"> </w:t>
      </w:r>
      <w:r w:rsidRPr="001B4670">
        <w:rPr>
          <w:rFonts w:ascii="Times New Roman" w:hAnsi="Times New Roman"/>
          <w:sz w:val="24"/>
          <w:szCs w:val="24"/>
        </w:rPr>
        <w:t>way hindered the effective cross-examination of the witness.</w:t>
      </w:r>
    </w:p>
    <w:p w14:paraId="5F6B5903" w14:textId="77777777" w:rsidR="0056123D" w:rsidRDefault="0056123D" w:rsidP="0056123D">
      <w:pPr>
        <w:pStyle w:val="NoSpacing"/>
        <w:ind w:left="720"/>
        <w:rPr>
          <w:rFonts w:ascii="Times New Roman" w:hAnsi="Times New Roman"/>
          <w:sz w:val="24"/>
          <w:szCs w:val="24"/>
        </w:rPr>
      </w:pPr>
    </w:p>
    <w:p w14:paraId="3442A0E2"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7B22BAF1"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 xml:space="preserve">As in </w:t>
      </w:r>
      <w:r w:rsidRPr="00D41A7C">
        <w:rPr>
          <w:rFonts w:ascii="Times New Roman" w:hAnsi="Times New Roman"/>
          <w:i/>
          <w:iCs/>
          <w:sz w:val="24"/>
          <w:szCs w:val="24"/>
        </w:rPr>
        <w:t>Craig,</w:t>
      </w:r>
      <w:r w:rsidRPr="001B4670">
        <w:rPr>
          <w:rFonts w:ascii="Times New Roman" w:hAnsi="Times New Roman"/>
          <w:sz w:val="24"/>
          <w:szCs w:val="24"/>
        </w:rPr>
        <w:t xml:space="preserve"> we conclude that the practice employed here </w:t>
      </w:r>
      <w:r>
        <w:rPr>
          <w:rFonts w:ascii="Times New Roman" w:hAnsi="Times New Roman"/>
          <w:sz w:val="24"/>
          <w:szCs w:val="24"/>
        </w:rPr>
        <w:t>‘</w:t>
      </w:r>
      <w:r w:rsidRPr="001B4670">
        <w:rPr>
          <w:rFonts w:ascii="Times New Roman" w:hAnsi="Times New Roman"/>
          <w:sz w:val="24"/>
          <w:szCs w:val="24"/>
        </w:rPr>
        <w:t>preserve[d] the essence</w:t>
      </w:r>
    </w:p>
    <w:p w14:paraId="7E6A9C45"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of effective confrontation[,]</w:t>
      </w:r>
      <w:r>
        <w:rPr>
          <w:rFonts w:ascii="Times New Roman" w:hAnsi="Times New Roman"/>
          <w:sz w:val="24"/>
          <w:szCs w:val="24"/>
        </w:rPr>
        <w:t xml:space="preserve">’ </w:t>
      </w:r>
      <w:r w:rsidRPr="001B4670">
        <w:rPr>
          <w:rFonts w:ascii="Times New Roman" w:hAnsi="Times New Roman"/>
          <w:sz w:val="24"/>
          <w:szCs w:val="24"/>
        </w:rPr>
        <w:t>id. at 857, and thus ensured the reliability of Mr. Mash’s</w:t>
      </w:r>
    </w:p>
    <w:p w14:paraId="5AF9F27C"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 xml:space="preserve">testimony. Both prongs of Craig </w:t>
      </w:r>
      <w:proofErr w:type="gramStart"/>
      <w:r w:rsidRPr="001B4670">
        <w:rPr>
          <w:rFonts w:ascii="Times New Roman" w:hAnsi="Times New Roman"/>
          <w:sz w:val="24"/>
          <w:szCs w:val="24"/>
        </w:rPr>
        <w:t>having</w:t>
      </w:r>
      <w:proofErr w:type="gramEnd"/>
      <w:r w:rsidRPr="001B4670">
        <w:rPr>
          <w:rFonts w:ascii="Times New Roman" w:hAnsi="Times New Roman"/>
          <w:sz w:val="24"/>
          <w:szCs w:val="24"/>
        </w:rPr>
        <w:t xml:space="preserve"> been satisfied, the Defendant is not entitled to</w:t>
      </w:r>
    </w:p>
    <w:p w14:paraId="61CFC16E" w14:textId="718D28F6" w:rsidR="0056123D" w:rsidRDefault="0056123D" w:rsidP="0056123D">
      <w:pPr>
        <w:pStyle w:val="NoSpacing"/>
        <w:ind w:left="720"/>
        <w:rPr>
          <w:rFonts w:ascii="Arial Black" w:hAnsi="Arial Black"/>
          <w:sz w:val="24"/>
          <w:szCs w:val="24"/>
        </w:rPr>
      </w:pPr>
      <w:r w:rsidRPr="001B4670">
        <w:rPr>
          <w:rFonts w:ascii="Times New Roman" w:hAnsi="Times New Roman"/>
          <w:sz w:val="24"/>
          <w:szCs w:val="24"/>
        </w:rPr>
        <w:t>relief pursuant to the Sixth Amendment.</w:t>
      </w:r>
      <w:r>
        <w:rPr>
          <w:rFonts w:ascii="Times New Roman" w:hAnsi="Times New Roman"/>
          <w:sz w:val="24"/>
          <w:szCs w:val="24"/>
        </w:rPr>
        <w:t xml:space="preserve">” </w:t>
      </w:r>
      <w:hyperlink r:id="rId180" w:history="1">
        <w:r w:rsidRPr="00FF56A3">
          <w:rPr>
            <w:rStyle w:val="Hyperlink"/>
            <w:rFonts w:ascii="Times New Roman" w:hAnsi="Times New Roman"/>
            <w:sz w:val="24"/>
            <w:szCs w:val="24"/>
          </w:rPr>
          <w:t>https://cases.justia.com/tennessee/court-of-criminal-appeals/2023-m2022-00949-cca-r3-cd.pdf?ts=1695676978</w:t>
        </w:r>
      </w:hyperlink>
    </w:p>
    <w:p w14:paraId="36E967D4" w14:textId="77777777" w:rsidR="0056123D" w:rsidRDefault="0056123D" w:rsidP="00F326E5">
      <w:pPr>
        <w:pStyle w:val="NoSpacing"/>
        <w:rPr>
          <w:rFonts w:ascii="Arial Black" w:hAnsi="Arial Black"/>
          <w:sz w:val="24"/>
          <w:szCs w:val="24"/>
        </w:rPr>
      </w:pPr>
    </w:p>
    <w:p w14:paraId="734B5399" w14:textId="77777777" w:rsidR="0056123D" w:rsidRPr="00E460C5" w:rsidRDefault="0056123D" w:rsidP="0056123D">
      <w:pPr>
        <w:pStyle w:val="NoSpacing"/>
        <w:rPr>
          <w:rFonts w:ascii="Times New Roman" w:hAnsi="Times New Roman"/>
          <w:b/>
          <w:bCs/>
          <w:sz w:val="24"/>
          <w:szCs w:val="24"/>
        </w:rPr>
      </w:pPr>
      <w:r w:rsidRPr="00E460C5">
        <w:rPr>
          <w:rFonts w:ascii="Times New Roman" w:hAnsi="Times New Roman"/>
          <w:b/>
          <w:bCs/>
          <w:sz w:val="24"/>
          <w:szCs w:val="24"/>
        </w:rPr>
        <w:t xml:space="preserve">Legal Lesson Learned: The Confrontation Clause of the Sixth Amendment provides that </w:t>
      </w:r>
    </w:p>
    <w:p w14:paraId="2BD312B0" w14:textId="77777777" w:rsidR="0056123D" w:rsidRDefault="0056123D" w:rsidP="0056123D">
      <w:pPr>
        <w:pStyle w:val="NoSpacing"/>
        <w:rPr>
          <w:rFonts w:ascii="Times New Roman" w:hAnsi="Times New Roman"/>
          <w:b/>
          <w:bCs/>
          <w:sz w:val="24"/>
          <w:szCs w:val="24"/>
        </w:rPr>
      </w:pPr>
      <w:r w:rsidRPr="00E460C5">
        <w:rPr>
          <w:rFonts w:ascii="Times New Roman" w:hAnsi="Times New Roman"/>
          <w:b/>
          <w:bCs/>
          <w:sz w:val="24"/>
          <w:szCs w:val="24"/>
        </w:rPr>
        <w:t xml:space="preserve"> “[</w:t>
      </w:r>
      <w:proofErr w:type="spellStart"/>
      <w:r w:rsidRPr="00E460C5">
        <w:rPr>
          <w:rFonts w:ascii="Times New Roman" w:hAnsi="Times New Roman"/>
          <w:b/>
          <w:bCs/>
          <w:sz w:val="24"/>
          <w:szCs w:val="24"/>
        </w:rPr>
        <w:t>i</w:t>
      </w:r>
      <w:proofErr w:type="spellEnd"/>
      <w:r w:rsidRPr="00E460C5">
        <w:rPr>
          <w:rFonts w:ascii="Times New Roman" w:hAnsi="Times New Roman"/>
          <w:b/>
          <w:bCs/>
          <w:sz w:val="24"/>
          <w:szCs w:val="24"/>
        </w:rPr>
        <w:t>]n all criminal prosecutions, the accused shall enjoy the right . . . to be confronted with the witnesses against him.”</w:t>
      </w:r>
      <w:r>
        <w:rPr>
          <w:rFonts w:ascii="Times New Roman" w:hAnsi="Times New Roman"/>
          <w:b/>
          <w:bCs/>
          <w:sz w:val="24"/>
          <w:szCs w:val="24"/>
        </w:rPr>
        <w:t xml:space="preserve"> That confrontation can be by ZOOM if witness is ill and contagious. </w:t>
      </w:r>
    </w:p>
    <w:p w14:paraId="5B80B863" w14:textId="77777777" w:rsidR="0056123D" w:rsidRDefault="0056123D" w:rsidP="0056123D">
      <w:pPr>
        <w:pStyle w:val="NoSpacing"/>
        <w:rPr>
          <w:rFonts w:ascii="Times New Roman" w:hAnsi="Times New Roman"/>
          <w:b/>
          <w:bCs/>
          <w:sz w:val="24"/>
          <w:szCs w:val="24"/>
        </w:rPr>
      </w:pPr>
    </w:p>
    <w:p w14:paraId="0C9FEE6A" w14:textId="77777777" w:rsidR="0056123D" w:rsidRDefault="0056123D" w:rsidP="00F326E5">
      <w:pPr>
        <w:pStyle w:val="NoSpacing"/>
        <w:rPr>
          <w:rFonts w:ascii="Arial Black" w:hAnsi="Arial Black"/>
          <w:sz w:val="24"/>
          <w:szCs w:val="24"/>
        </w:rPr>
      </w:pPr>
    </w:p>
    <w:p w14:paraId="3F54073B" w14:textId="77777777" w:rsidR="0056123D" w:rsidRDefault="0056123D" w:rsidP="00F326E5">
      <w:pPr>
        <w:pStyle w:val="NoSpacing"/>
        <w:rPr>
          <w:rFonts w:ascii="Arial Black" w:hAnsi="Arial Black"/>
          <w:sz w:val="24"/>
          <w:szCs w:val="24"/>
        </w:rPr>
      </w:pPr>
    </w:p>
    <w:p w14:paraId="7A3C385D" w14:textId="6E8A00F7" w:rsidR="0056123D" w:rsidRDefault="0056123D" w:rsidP="00F326E5">
      <w:pPr>
        <w:pStyle w:val="NoSpacing"/>
        <w:rPr>
          <w:rFonts w:ascii="Arial Black" w:hAnsi="Arial Black"/>
          <w:sz w:val="24"/>
          <w:szCs w:val="24"/>
        </w:rPr>
      </w:pPr>
      <w:r>
        <w:rPr>
          <w:rFonts w:ascii="Arial Black" w:hAnsi="Arial Black"/>
          <w:sz w:val="24"/>
          <w:szCs w:val="24"/>
        </w:rPr>
        <w:t>1-134</w:t>
      </w:r>
    </w:p>
    <w:p w14:paraId="0976A72C" w14:textId="77777777" w:rsidR="0056123D" w:rsidRDefault="0056123D" w:rsidP="00F326E5">
      <w:pPr>
        <w:pStyle w:val="NoSpacing"/>
        <w:rPr>
          <w:rFonts w:ascii="Arial Black" w:hAnsi="Arial Black"/>
          <w:sz w:val="24"/>
          <w:szCs w:val="24"/>
        </w:rPr>
      </w:pPr>
    </w:p>
    <w:p w14:paraId="33DBBF3D" w14:textId="77777777" w:rsidR="0056123D" w:rsidRDefault="0056123D" w:rsidP="0056123D">
      <w:pPr>
        <w:rPr>
          <w:rFonts w:ascii="Arial Black" w:hAnsi="Arial Black"/>
          <w:sz w:val="28"/>
          <w:szCs w:val="28"/>
        </w:rPr>
      </w:pPr>
      <w:r>
        <w:rPr>
          <w:rFonts w:ascii="Arial Black" w:hAnsi="Arial Black"/>
          <w:sz w:val="28"/>
          <w:szCs w:val="28"/>
        </w:rPr>
        <w:t xml:space="preserve">CA: HIKER - YOSEMITE PARK – GOV’T SHUTDOWN, PARK OPEN - DIED ICY RIVER – RECREATIONAL &amp; FED. IMMUNITY </w:t>
      </w:r>
    </w:p>
    <w:p w14:paraId="10444A4D" w14:textId="77777777" w:rsidR="0056123D" w:rsidRDefault="0056123D" w:rsidP="0056123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22, 2023, in </w:t>
      </w:r>
      <w:r w:rsidRPr="0097540D">
        <w:rPr>
          <w:rFonts w:ascii="Times New Roman" w:hAnsi="Times New Roman"/>
          <w:sz w:val="24"/>
          <w:szCs w:val="24"/>
          <w:u w:val="single"/>
        </w:rPr>
        <w:t>Deborah Nickles v. United States of America</w:t>
      </w:r>
      <w:r>
        <w:rPr>
          <w:rFonts w:ascii="Times New Roman" w:hAnsi="Times New Roman"/>
          <w:sz w:val="24"/>
          <w:szCs w:val="24"/>
        </w:rPr>
        <w:t>, U.S. Magistrate Judge, U.S. District Court for Eastern District of California, issued a Report and Recommendation, recommending a U.S. District Court judge dismiss this lawsuit based on the California recreational immunity statute (statute written to encourage landowners to allow others to hike and other recreation on their property) and federal immunity for discretionary executive decisions (such as keeping Park open during funding shutdown).  During a government-wide shut down over Congressional funding dispute, on Christmas Day, Dec. 25, 2018, Joshua Conner and girlfriend walking dogs in Yosemite even though no dogs allowed; about 2:30 pm, he attempted to retrieve a dog, hit his head he fell into Merced River.  Search and rescue team was immediately dispatched, arrived on foot at 3:25 pm but could not revive him.  The plaintiff alleges that federal government is liable for Conner’s death because they failed to close the National Park.</w:t>
      </w:r>
    </w:p>
    <w:p w14:paraId="26E315DC" w14:textId="77777777" w:rsidR="0056123D" w:rsidRPr="0097540D" w:rsidRDefault="0056123D" w:rsidP="0056123D">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hAnsi="Times New Roman"/>
          <w:sz w:val="24"/>
          <w:szCs w:val="24"/>
        </w:rPr>
        <w:t>“</w:t>
      </w:r>
      <w:r w:rsidRPr="00B361B9">
        <w:rPr>
          <w:rFonts w:ascii="Times New Roman" w:eastAsia="Times New Roman" w:hAnsi="Times New Roman"/>
          <w:sz w:val="24"/>
          <w:szCs w:val="24"/>
        </w:rPr>
        <w:t xml:space="preserve">The Court finds Defendant has sufficiently demonstrated that NPS </w:t>
      </w:r>
      <w:r>
        <w:rPr>
          <w:rFonts w:ascii="Times New Roman" w:eastAsia="Times New Roman" w:hAnsi="Times New Roman"/>
          <w:sz w:val="24"/>
          <w:szCs w:val="24"/>
        </w:rPr>
        <w:t xml:space="preserve">[National Park Service] </w:t>
      </w:r>
      <w:r w:rsidRPr="00B361B9">
        <w:rPr>
          <w:rFonts w:ascii="Times New Roman" w:eastAsia="Times New Roman" w:hAnsi="Times New Roman"/>
          <w:sz w:val="24"/>
          <w:szCs w:val="24"/>
        </w:rPr>
        <w:t>responded quickly and appropriately to Conner's emergency, sending medically trained law enforcement rangers to help him, and that the first responder team dispatched within minutes of receiving the 9-1-1 call</w:t>
      </w:r>
      <w:r>
        <w:rPr>
          <w:rFonts w:ascii="Times New Roman" w:eastAsia="Times New Roman" w:hAnsi="Times New Roman"/>
          <w:sz w:val="24"/>
          <w:szCs w:val="24"/>
        </w:rPr>
        <w:t xml:space="preserve">…. </w:t>
      </w:r>
      <w:r w:rsidRPr="00B361B9">
        <w:rPr>
          <w:rFonts w:ascii="Times New Roman" w:eastAsia="Times New Roman" w:hAnsi="Times New Roman"/>
          <w:sz w:val="24"/>
          <w:szCs w:val="24"/>
        </w:rPr>
        <w:t xml:space="preserve">Rangers hiked to Conner's location to render aid, working to resuscitate him. While Plaintiff alleges that Conner was deprived of the opportunity to be evacuated by the NPS </w:t>
      </w:r>
      <w:r>
        <w:rPr>
          <w:rFonts w:ascii="Times New Roman" w:eastAsia="Times New Roman" w:hAnsi="Times New Roman"/>
          <w:sz w:val="24"/>
          <w:szCs w:val="24"/>
        </w:rPr>
        <w:t>‘</w:t>
      </w:r>
      <w:r w:rsidRPr="00B361B9">
        <w:rPr>
          <w:rFonts w:ascii="Times New Roman" w:eastAsia="Times New Roman" w:hAnsi="Times New Roman"/>
          <w:sz w:val="24"/>
          <w:szCs w:val="24"/>
        </w:rPr>
        <w:t>exclusive use helicopter,</w:t>
      </w:r>
      <w:r>
        <w:rPr>
          <w:rFonts w:ascii="Times New Roman" w:eastAsia="Times New Roman" w:hAnsi="Times New Roman"/>
          <w:sz w:val="24"/>
          <w:szCs w:val="24"/>
        </w:rPr>
        <w:t>’</w:t>
      </w:r>
      <w:r w:rsidRPr="00B361B9">
        <w:rPr>
          <w:rFonts w:ascii="Times New Roman" w:eastAsia="Times New Roman" w:hAnsi="Times New Roman"/>
          <w:sz w:val="24"/>
          <w:szCs w:val="24"/>
        </w:rPr>
        <w:t xml:space="preserve"> Defendant has established such service does not operate in December, regardless of whether a federal shutdown occurs</w:t>
      </w:r>
      <w:r>
        <w:rPr>
          <w:rFonts w:ascii="Times New Roman" w:eastAsia="Times New Roman" w:hAnsi="Times New Roman"/>
          <w:sz w:val="24"/>
          <w:szCs w:val="24"/>
        </w:rPr>
        <w:t xml:space="preserve">. *** </w:t>
      </w:r>
      <w:r w:rsidRPr="0097540D">
        <w:rPr>
          <w:rFonts w:ascii="Times New Roman" w:hAnsi="Times New Roman"/>
          <w:sz w:val="24"/>
          <w:szCs w:val="24"/>
        </w:rPr>
        <w:t>Based on the above discussion pertaining to the FTCA and California's recreational immunity statute as applied to the facts here, the Court recommends the Defendant's Rule 12(b)(1) motion to dismiss for lack of jurisdiction be granted.</w:t>
      </w:r>
      <w:r>
        <w:rPr>
          <w:rFonts w:ascii="Times New Roman" w:hAnsi="Times New Roman"/>
          <w:sz w:val="24"/>
          <w:szCs w:val="24"/>
        </w:rPr>
        <w:t xml:space="preserve">” </w:t>
      </w:r>
      <w:hyperlink r:id="rId181" w:history="1">
        <w:r w:rsidRPr="00916560">
          <w:rPr>
            <w:rStyle w:val="Hyperlink"/>
            <w:rFonts w:ascii="Times New Roman" w:hAnsi="Times New Roman"/>
            <w:sz w:val="24"/>
            <w:szCs w:val="24"/>
          </w:rPr>
          <w:t>https://public.fastcase.com/ZZhmr5v9wN%2FXOe5IsQ%2FqDx2aoAq%2F1J3XMBw8WA8L1d7o8S2WtY%2BTDnBn3n2%2F0y8X6CyWkgilV2OmVPwbi%2FNntkvFVphnueZifNbADUBhdiU%3D?utm_medium=email&amp;_hsmi=226712652&amp;_hsenc=p2ANqtz--A7cSCsQiKnmkWIbrJV3BH1NDDsIsoOUsxX371tCp7kUULX-TDL4poIpgmi8VFxIZ6Go7w0Api1t7_UP6pxMUzbV5FWQ&amp;utm_content=226712652&amp;utm_source=hs_email</w:t>
        </w:r>
      </w:hyperlink>
      <w:r>
        <w:rPr>
          <w:rFonts w:ascii="Times New Roman" w:hAnsi="Times New Roman"/>
          <w:sz w:val="24"/>
          <w:szCs w:val="24"/>
        </w:rPr>
        <w:t xml:space="preserve"> </w:t>
      </w:r>
    </w:p>
    <w:p w14:paraId="0F949FB1" w14:textId="77777777" w:rsidR="0056123D" w:rsidRPr="000A2984" w:rsidRDefault="0056123D" w:rsidP="0056123D">
      <w:pPr>
        <w:pStyle w:val="NormalWeb"/>
        <w:rPr>
          <w:b/>
          <w:bCs/>
        </w:rPr>
      </w:pPr>
      <w:r w:rsidRPr="000A2984">
        <w:rPr>
          <w:rFonts w:eastAsiaTheme="minorHAnsi"/>
          <w:b/>
          <w:bCs/>
          <w:kern w:val="2"/>
          <w14:ligatures w14:val="standardContextual"/>
        </w:rPr>
        <w:t xml:space="preserve">Legal Lasson Learned: </w:t>
      </w:r>
      <w:r>
        <w:rPr>
          <w:rFonts w:eastAsiaTheme="minorHAnsi"/>
          <w:b/>
          <w:bCs/>
          <w:kern w:val="2"/>
          <w14:ligatures w14:val="standardContextual"/>
        </w:rPr>
        <w:t xml:space="preserve"> The California recreational immunity statute was enacted to encourage property owners to engage in hiking and other recreational activities. </w:t>
      </w:r>
    </w:p>
    <w:p w14:paraId="53BEF6C8" w14:textId="77777777" w:rsidR="0056123D" w:rsidRDefault="0056123D" w:rsidP="0056123D">
      <w:pPr>
        <w:pStyle w:val="NormalWeb"/>
        <w:ind w:left="720"/>
      </w:pPr>
      <w:r>
        <w:t xml:space="preserve">Note: The California statute provides that: “An owner of any estate or any other interest in real property, whether possessory or nonpossessory, owes no duty of care to keep the premises safe for entry or use by others for any recreational purpose or to give any warning of hazardous conditions, uses of, structures, or activities on those premises to persons entering for a recreational purpose, except as provided in this section.” Cal. Civ. Code § 846(a). California's recreational immunity statute “was enacted to encourage property owners to allow the general public to engage in recreational activities free of charge on privately owned property.” Hubbard v. Brown, 50 Cal.3d 189, 193 (1990) (citations omitted). </w:t>
      </w:r>
    </w:p>
    <w:p w14:paraId="79988309" w14:textId="77777777" w:rsidR="0056123D" w:rsidRDefault="0056123D" w:rsidP="00F326E5">
      <w:pPr>
        <w:pStyle w:val="NoSpacing"/>
        <w:rPr>
          <w:rFonts w:ascii="Arial Black" w:hAnsi="Arial Black"/>
          <w:sz w:val="24"/>
          <w:szCs w:val="24"/>
        </w:rPr>
      </w:pPr>
    </w:p>
    <w:p w14:paraId="6FEA70B3" w14:textId="028313BA" w:rsidR="0056123D" w:rsidRDefault="0056123D" w:rsidP="00F326E5">
      <w:pPr>
        <w:pStyle w:val="NoSpacing"/>
        <w:rPr>
          <w:rFonts w:ascii="Arial Black" w:hAnsi="Arial Black"/>
          <w:sz w:val="24"/>
          <w:szCs w:val="24"/>
        </w:rPr>
      </w:pPr>
      <w:r>
        <w:rPr>
          <w:rFonts w:ascii="Arial Black" w:hAnsi="Arial Black"/>
          <w:sz w:val="24"/>
          <w:szCs w:val="24"/>
        </w:rPr>
        <w:t>1-133</w:t>
      </w:r>
    </w:p>
    <w:p w14:paraId="2EE37A52" w14:textId="77777777" w:rsidR="0056123D" w:rsidRDefault="0056123D" w:rsidP="0056123D">
      <w:pPr>
        <w:pStyle w:val="NormalWeb"/>
        <w:rPr>
          <w:b/>
          <w:bCs/>
        </w:rPr>
      </w:pPr>
      <w:r>
        <w:rPr>
          <w:rFonts w:ascii="Arial Black" w:hAnsi="Arial Black"/>
          <w:b/>
          <w:bCs/>
          <w:sz w:val="28"/>
          <w:szCs w:val="28"/>
        </w:rPr>
        <w:t>CA: ARSON – BURNED DRY GRASS IN FIELD IN 2021 – JURY PROPERLY INFORMED 2014 INCIDENT PRIOR GRASS FIRE</w:t>
      </w:r>
    </w:p>
    <w:p w14:paraId="67D8630B" w14:textId="77777777" w:rsidR="0056123D" w:rsidRPr="006F2A68" w:rsidRDefault="0056123D" w:rsidP="0056123D">
      <w:pPr>
        <w:pStyle w:val="NormalWeb"/>
      </w:pPr>
      <w:r w:rsidRPr="006F2A68">
        <w:t xml:space="preserve">On Sept. 20, 2023, </w:t>
      </w:r>
      <w:r>
        <w:t xml:space="preserve">in </w:t>
      </w:r>
      <w:r w:rsidRPr="006F2A68">
        <w:rPr>
          <w:u w:val="single"/>
        </w:rPr>
        <w:t>The People v. Alejandro Marin</w:t>
      </w:r>
      <w:r>
        <w:t xml:space="preserve">, </w:t>
      </w:r>
      <w:r w:rsidRPr="006F2A68">
        <w:rPr>
          <w:b/>
          <w:bCs/>
        </w:rPr>
        <w:t xml:space="preserve"> </w:t>
      </w:r>
      <w:r w:rsidRPr="006F2A68">
        <w:t xml:space="preserve">the California Court of Appeals, First District, Fifth Division, </w:t>
      </w:r>
      <w:r>
        <w:t>held (3 to 0; unpublished decision) that defendant’s conviction of arson for lighting dry grass near a river trail in Napa was affirmed;  trial court properly allowed jury to learn of the prior incident [not charged] in 2014 where he lit a fire near base of tree and planned to sleep there.</w:t>
      </w:r>
    </w:p>
    <w:p w14:paraId="735C933B"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w:t>
      </w:r>
      <w:r w:rsidRPr="006F2A68">
        <w:rPr>
          <w:rFonts w:ascii="Times New Roman" w:eastAsia="Times New Roman" w:hAnsi="Times New Roman"/>
          <w:sz w:val="24"/>
          <w:szCs w:val="24"/>
        </w:rPr>
        <w:t xml:space="preserve">ppellant argues the 2014 incident had minimal probative value and was highly prejudicial. We find no abuse of discretion. First, the 2014 incident was probative of appellant's awareness of the substantial risk of causing a fire in a dry, grassy area, as relevant to the lesser included offense. The incident was also probative of whether appellant would be likely to be careless with a lit object such as a cigarette in a dry, grassy area, or whether any fire started by him was likely to be intentional. Appellant argues the 2014 incident was too dissimilar from the charged offense to be probative because he set the fire in 2014 to stay warm while he slept, while the charged event took place on a mild morning. </w:t>
      </w:r>
      <w:r>
        <w:rPr>
          <w:rFonts w:ascii="Times New Roman" w:eastAsia="Times New Roman" w:hAnsi="Times New Roman"/>
          <w:sz w:val="24"/>
          <w:szCs w:val="24"/>
        </w:rPr>
        <w:t>‘</w:t>
      </w:r>
      <w:r w:rsidRPr="006F2A68">
        <w:rPr>
          <w:rFonts w:ascii="Times New Roman" w:eastAsia="Times New Roman" w:hAnsi="Times New Roman"/>
          <w:sz w:val="24"/>
          <w:szCs w:val="24"/>
        </w:rPr>
        <w:t>In order to be relevant, the 'least degree of similarity (between the uncharged act and the charged offense) is required in order to prove intent.</w:t>
      </w:r>
      <w:r>
        <w:rPr>
          <w:rFonts w:ascii="Times New Roman" w:eastAsia="Times New Roman" w:hAnsi="Times New Roman"/>
          <w:sz w:val="24"/>
          <w:szCs w:val="24"/>
        </w:rPr>
        <w:t>’</w:t>
      </w:r>
      <w:r w:rsidRPr="006F2A68">
        <w:rPr>
          <w:rFonts w:ascii="Times New Roman" w:eastAsia="Times New Roman" w:hAnsi="Times New Roman"/>
          <w:sz w:val="24"/>
          <w:szCs w:val="24"/>
        </w:rPr>
        <w:t xml:space="preserve"> (</w:t>
      </w:r>
      <w:r w:rsidRPr="006F2A68">
        <w:rPr>
          <w:rFonts w:ascii="Times New Roman" w:eastAsia="Times New Roman" w:hAnsi="Times New Roman"/>
          <w:i/>
          <w:iCs/>
          <w:sz w:val="24"/>
          <w:szCs w:val="24"/>
        </w:rPr>
        <w:t>People v. Molano</w:t>
      </w:r>
      <w:r w:rsidRPr="006F2A68">
        <w:rPr>
          <w:rFonts w:ascii="Times New Roman" w:eastAsia="Times New Roman" w:hAnsi="Times New Roman"/>
          <w:sz w:val="24"/>
          <w:szCs w:val="24"/>
        </w:rPr>
        <w:t xml:space="preserve"> (2019) 7 Cal.5th 620, 665.) In both incidents, appellant started a fire in a dry, grassy area; this similarity is sufficient for purposes of intent. Appellant also contends the evidence was cumulative because it is common knowledge that lighting things on fire leads to fire. Given that appellant claimed he threw a lit cigarette in dry grass, evidence that appellant was aware of the dangers of lit objects near dry grass was relevant.</w:t>
      </w:r>
      <w:r>
        <w:rPr>
          <w:rFonts w:ascii="Times New Roman" w:eastAsia="Times New Roman" w:hAnsi="Times New Roman"/>
          <w:sz w:val="24"/>
          <w:szCs w:val="24"/>
        </w:rPr>
        <w:t xml:space="preserve">” </w:t>
      </w:r>
      <w:hyperlink r:id="rId182" w:history="1">
        <w:r w:rsidRPr="00633022">
          <w:rPr>
            <w:rStyle w:val="Hyperlink"/>
            <w:rFonts w:ascii="Times New Roman" w:eastAsia="Times New Roman" w:hAnsi="Times New Roman"/>
            <w:sz w:val="24"/>
            <w:szCs w:val="24"/>
          </w:rPr>
          <w:t>https://public.fastcase.com/ZZhmr5v9wN%2FXOe5IsQ%2FqD2fzv3LeHoflue5q9psYL7ORT%2BZZIoU2RVo8o6kc8WH7t7R2fWOBL%2B6EWJeWP%2BK6nygdTJbos59lEHeljv9w%2F%2Bc%3D?utm_medium=email&amp;_hsmi=226712652&amp;_hsenc=p2ANqtz-9_BwSf3Cp56T9vKm_WV06wXpWhxnLFIP0rTKtRtiI7Ej-XlIsGIA-Piz3XwrAq08q95_o9LD6MRwwtLQfaW73VBnYSKQ&amp;utm_content=226712652&amp;utm_source=hs_email</w:t>
        </w:r>
      </w:hyperlink>
      <w:r>
        <w:rPr>
          <w:rFonts w:ascii="Times New Roman" w:eastAsia="Times New Roman" w:hAnsi="Times New Roman"/>
          <w:sz w:val="24"/>
          <w:szCs w:val="24"/>
        </w:rPr>
        <w:t xml:space="preserve"> </w:t>
      </w:r>
    </w:p>
    <w:p w14:paraId="3FAA3B60" w14:textId="77777777" w:rsidR="0056123D" w:rsidRPr="00844AE1" w:rsidRDefault="0056123D" w:rsidP="0056123D">
      <w:pPr>
        <w:pStyle w:val="NormalWeb"/>
        <w:rPr>
          <w:b/>
          <w:bCs/>
        </w:rPr>
      </w:pPr>
      <w:r w:rsidRPr="00844AE1">
        <w:rPr>
          <w:b/>
          <w:bCs/>
        </w:rPr>
        <w:t xml:space="preserve">Legal Lesson Learned: </w:t>
      </w:r>
      <w:r>
        <w:rPr>
          <w:b/>
          <w:bCs/>
        </w:rPr>
        <w:t xml:space="preserve">Prior incident of starting fire in forest area showed he again acted willfully and recklessly. </w:t>
      </w:r>
    </w:p>
    <w:p w14:paraId="1A031D67" w14:textId="77777777" w:rsidR="0056123D" w:rsidRDefault="0056123D" w:rsidP="00F326E5">
      <w:pPr>
        <w:pStyle w:val="NoSpacing"/>
        <w:rPr>
          <w:rFonts w:ascii="Arial Black" w:hAnsi="Arial Black"/>
          <w:sz w:val="24"/>
          <w:szCs w:val="24"/>
        </w:rPr>
      </w:pPr>
    </w:p>
    <w:p w14:paraId="1277DD22" w14:textId="77777777" w:rsidR="0056123D" w:rsidRDefault="0056123D" w:rsidP="00F326E5">
      <w:pPr>
        <w:pStyle w:val="NoSpacing"/>
        <w:rPr>
          <w:rFonts w:ascii="Arial Black" w:hAnsi="Arial Black"/>
          <w:sz w:val="24"/>
          <w:szCs w:val="24"/>
        </w:rPr>
      </w:pPr>
    </w:p>
    <w:p w14:paraId="5FB118E9" w14:textId="77777777" w:rsidR="0056123D" w:rsidRDefault="0056123D" w:rsidP="00F326E5">
      <w:pPr>
        <w:pStyle w:val="NoSpacing"/>
        <w:rPr>
          <w:rFonts w:ascii="Arial Black" w:hAnsi="Arial Black"/>
          <w:sz w:val="24"/>
          <w:szCs w:val="24"/>
        </w:rPr>
      </w:pPr>
    </w:p>
    <w:p w14:paraId="5110CEAF" w14:textId="33410031" w:rsidR="009B0593" w:rsidRDefault="009B0593" w:rsidP="00F326E5">
      <w:pPr>
        <w:pStyle w:val="NoSpacing"/>
        <w:rPr>
          <w:rFonts w:ascii="Arial Black" w:hAnsi="Arial Black"/>
          <w:sz w:val="24"/>
          <w:szCs w:val="24"/>
        </w:rPr>
      </w:pPr>
      <w:r>
        <w:rPr>
          <w:rFonts w:ascii="Arial Black" w:hAnsi="Arial Black"/>
          <w:sz w:val="24"/>
          <w:szCs w:val="24"/>
        </w:rPr>
        <w:t>1-132</w:t>
      </w:r>
    </w:p>
    <w:p w14:paraId="67044F15" w14:textId="77777777" w:rsidR="009B0593" w:rsidRPr="002D0A5E" w:rsidRDefault="009B0593" w:rsidP="009B0593">
      <w:pPr>
        <w:pStyle w:val="NormalWeb"/>
        <w:rPr>
          <w:rFonts w:ascii="Arial Black" w:hAnsi="Arial Black"/>
          <w:b/>
          <w:bCs/>
          <w:sz w:val="28"/>
          <w:szCs w:val="28"/>
        </w:rPr>
      </w:pPr>
      <w:r>
        <w:rPr>
          <w:rFonts w:ascii="Arial Black" w:hAnsi="Arial Black"/>
          <w:b/>
          <w:bCs/>
          <w:sz w:val="28"/>
          <w:szCs w:val="28"/>
        </w:rPr>
        <w:t>AR: HOMELESS MAN CONV. – CAMPFIRE BURNED HALF ACRE - RANGER TESTIFY ORIGIN &amp; CAUSE - LAY WITNESS</w:t>
      </w:r>
    </w:p>
    <w:p w14:paraId="2B5ACA72" w14:textId="77777777" w:rsidR="009B0593" w:rsidRPr="00FB2002" w:rsidRDefault="009B0593" w:rsidP="009B0593">
      <w:pPr>
        <w:pStyle w:val="NormalWeb"/>
      </w:pPr>
      <w:r w:rsidRPr="00FB2002">
        <w:t xml:space="preserve">On Aug. 21, 2023, in </w:t>
      </w:r>
      <w:r w:rsidRPr="00FB2002">
        <w:rPr>
          <w:u w:val="single"/>
        </w:rPr>
        <w:t>United States of America v. Joseph Ronnie Weathington</w:t>
      </w:r>
      <w:r w:rsidRPr="00FB2002">
        <w:t xml:space="preserve">, Unites States District Court for District of Arizona, U.S. Magistrate Judge Camille D. Bibles, after a two-day bench trial [no jury] found the defendant guilty of not extinguishing his campfire, that led to the “Schoolhouse” wildland fire on July 4, </w:t>
      </w:r>
      <w:proofErr w:type="gramStart"/>
      <w:r w:rsidRPr="00FB2002">
        <w:t>2022</w:t>
      </w:r>
      <w:proofErr w:type="gramEnd"/>
      <w:r w:rsidRPr="00FB2002">
        <w:t xml:space="preserve"> in Coconino National Forest.  Prior to trial, defense counsel objected to the testimony of Fire Protection Specialist Andrew Hostad because the government didn’t identify or qualify him as an expert witness. The Magistrate held the Fire Protection Specialist, with 13 years’ experience, may testify about cause and origin as a lay witness under Rule 701, Opinion Testimony by Lay Witnesses, based on his observations at wildland fire.</w:t>
      </w:r>
    </w:p>
    <w:p w14:paraId="55154DE1" w14:textId="77777777" w:rsidR="009B0593" w:rsidRPr="00677985" w:rsidRDefault="009B0593" w:rsidP="009B0593">
      <w:pPr>
        <w:pStyle w:val="NormalWeb"/>
        <w:ind w:left="720"/>
      </w:pPr>
      <w:r>
        <w:t xml:space="preserve">“T]he </w:t>
      </w:r>
      <w:r w:rsidRPr="00677985">
        <w:t xml:space="preserve">Court concluded </w:t>
      </w:r>
      <w:proofErr w:type="spellStart"/>
      <w:r w:rsidRPr="00677985">
        <w:t>Hostad's</w:t>
      </w:r>
      <w:proofErr w:type="spellEnd"/>
      <w:r w:rsidRPr="00677985">
        <w:t xml:space="preserve"> testimony was admissible under Rule 701, provided a proper foundation for the testimony was established. The Court qualified this ruling with the provision that </w:t>
      </w:r>
      <w:proofErr w:type="spellStart"/>
      <w:r w:rsidRPr="00677985">
        <w:t>Hostad</w:t>
      </w:r>
      <w:proofErr w:type="spellEnd"/>
      <w:r w:rsidRPr="00677985">
        <w:t xml:space="preserve"> could not </w:t>
      </w:r>
      <w:proofErr w:type="gramStart"/>
      <w:r w:rsidRPr="00677985">
        <w:t>opine regarding</w:t>
      </w:r>
      <w:proofErr w:type="gramEnd"/>
      <w:r w:rsidRPr="00677985">
        <w:t xml:space="preserve"> the fire's origin or source based on speculation, hearsay, or redefining the obvious. The Court also concluded </w:t>
      </w:r>
      <w:proofErr w:type="spellStart"/>
      <w:r w:rsidRPr="00677985">
        <w:t>Hostad's</w:t>
      </w:r>
      <w:proofErr w:type="spellEnd"/>
      <w:r w:rsidRPr="00677985">
        <w:t xml:space="preserve"> testimony related to </w:t>
      </w:r>
      <w:proofErr w:type="gramStart"/>
      <w:r w:rsidRPr="00677985">
        <w:t>personally-observed</w:t>
      </w:r>
      <w:proofErr w:type="gramEnd"/>
      <w:r w:rsidRPr="00677985">
        <w:t xml:space="preserve"> facts and was not intended solely to implicate Defendant. Additionally, the Court determined </w:t>
      </w:r>
      <w:proofErr w:type="spellStart"/>
      <w:r w:rsidRPr="00677985">
        <w:t>Hostad's</w:t>
      </w:r>
      <w:proofErr w:type="spellEnd"/>
      <w:r w:rsidRPr="00677985">
        <w:t xml:space="preserve"> testimony was credible and reliable.</w:t>
      </w:r>
      <w:r>
        <w:t xml:space="preserve">” </w:t>
      </w:r>
      <w:hyperlink r:id="rId183" w:history="1">
        <w:r w:rsidRPr="00155841">
          <w:rPr>
            <w:rStyle w:val="Hyperlink"/>
            <w:rFonts w:eastAsiaTheme="majorEastAsia"/>
          </w:rPr>
          <w:t>https://casetext.com/case/united-states-v-weathington-3</w:t>
        </w:r>
      </w:hyperlink>
      <w:r>
        <w:t xml:space="preserve"> </w:t>
      </w:r>
    </w:p>
    <w:p w14:paraId="51F370F8" w14:textId="77777777" w:rsidR="009B0593" w:rsidRDefault="009B0593" w:rsidP="009B0593">
      <w:pPr>
        <w:pStyle w:val="NormalWeb"/>
        <w:rPr>
          <w:b/>
          <w:bCs/>
        </w:rPr>
      </w:pPr>
      <w:r>
        <w:rPr>
          <w:b/>
          <w:bCs/>
        </w:rPr>
        <w:t xml:space="preserve">Legal Lesson Learned: Fire investigators may offer their opinion on origin and cause based on their observations at the scene, as lay witness under Rule 70. </w:t>
      </w:r>
    </w:p>
    <w:p w14:paraId="0341B7C2" w14:textId="77777777" w:rsidR="009B0593" w:rsidRDefault="009B0593" w:rsidP="009B0593">
      <w:pPr>
        <w:pStyle w:val="Heading1"/>
        <w:ind w:firstLine="720"/>
        <w:rPr>
          <w:b w:val="0"/>
          <w:bCs w:val="0"/>
          <w:sz w:val="24"/>
          <w:szCs w:val="24"/>
        </w:rPr>
      </w:pPr>
      <w:r>
        <w:rPr>
          <w:b w:val="0"/>
          <w:bCs w:val="0"/>
          <w:sz w:val="24"/>
          <w:szCs w:val="24"/>
        </w:rPr>
        <w:t xml:space="preserve">Note:  </w:t>
      </w:r>
    </w:p>
    <w:p w14:paraId="0B3342E7" w14:textId="77777777" w:rsidR="009B0593" w:rsidRPr="00944FCC" w:rsidRDefault="009B0593" w:rsidP="009B0593">
      <w:pPr>
        <w:pStyle w:val="Heading1"/>
        <w:ind w:left="720"/>
        <w:rPr>
          <w:b w:val="0"/>
          <w:bCs w:val="0"/>
          <w:sz w:val="24"/>
          <w:szCs w:val="24"/>
        </w:rPr>
      </w:pPr>
      <w:r w:rsidRPr="0064709E">
        <w:rPr>
          <w:sz w:val="24"/>
          <w:szCs w:val="24"/>
        </w:rPr>
        <w:t>Rule 701. Opinion Testimony by Lay Witnesses</w:t>
      </w:r>
      <w:r>
        <w:rPr>
          <w:sz w:val="24"/>
          <w:szCs w:val="24"/>
        </w:rPr>
        <w:t xml:space="preserve">; </w:t>
      </w:r>
      <w:hyperlink r:id="rId184" w:history="1">
        <w:r w:rsidRPr="00BB1A19">
          <w:rPr>
            <w:rStyle w:val="Hyperlink"/>
            <w:rFonts w:eastAsiaTheme="majorEastAsia"/>
            <w:b w:val="0"/>
            <w:bCs w:val="0"/>
            <w:sz w:val="24"/>
            <w:szCs w:val="24"/>
          </w:rPr>
          <w:t>https://www.law.cornell.edu/rules/fre/rule_701</w:t>
        </w:r>
      </w:hyperlink>
      <w:r>
        <w:rPr>
          <w:b w:val="0"/>
          <w:bCs w:val="0"/>
          <w:sz w:val="24"/>
          <w:szCs w:val="24"/>
        </w:rPr>
        <w:t xml:space="preserve"> </w:t>
      </w:r>
    </w:p>
    <w:p w14:paraId="489A5EF4" w14:textId="77777777" w:rsidR="009B0593" w:rsidRDefault="009B0593" w:rsidP="009B0593">
      <w:pPr>
        <w:pStyle w:val="statutory-body"/>
        <w:ind w:left="720"/>
      </w:pPr>
      <w:r w:rsidRPr="00944FCC">
        <w:t>If a witness is not testifying as an expert, testimony in the form of an opinion is limited to one that is:</w:t>
      </w:r>
      <w:r>
        <w:t xml:space="preserve"> </w:t>
      </w:r>
      <w:r w:rsidRPr="00944FCC">
        <w:rPr>
          <w:rStyle w:val="Strong"/>
          <w:rFonts w:eastAsiaTheme="majorEastAsia"/>
        </w:rPr>
        <w:t>(a)</w:t>
      </w:r>
      <w:r w:rsidRPr="00944FCC">
        <w:t xml:space="preserve"> rationally based on the witness’s perception;</w:t>
      </w:r>
      <w:r>
        <w:t xml:space="preserve"> </w:t>
      </w:r>
      <w:r w:rsidRPr="00944FCC">
        <w:rPr>
          <w:rStyle w:val="Strong"/>
          <w:rFonts w:eastAsiaTheme="majorEastAsia"/>
        </w:rPr>
        <w:t>(b)</w:t>
      </w:r>
      <w:r w:rsidRPr="00944FCC">
        <w:t xml:space="preserve"> helpful to clearly understanding the witness’s testimony or to determining a fact in issue; and</w:t>
      </w:r>
      <w:r>
        <w:t xml:space="preserve"> </w:t>
      </w:r>
      <w:r w:rsidRPr="00944FCC">
        <w:rPr>
          <w:rStyle w:val="Strong"/>
          <w:rFonts w:eastAsiaTheme="majorEastAsia"/>
        </w:rPr>
        <w:t>(c)</w:t>
      </w:r>
      <w:r w:rsidRPr="00944FCC">
        <w:t xml:space="preserve"> not based on scientific, technical, or other specialized knowledge within the scope of </w:t>
      </w:r>
      <w:hyperlink r:id="rId185" w:history="1">
        <w:r w:rsidRPr="00944FCC">
          <w:rPr>
            <w:rStyle w:val="Hyperlink"/>
            <w:rFonts w:eastAsiaTheme="majorEastAsia"/>
          </w:rPr>
          <w:t>Rule 702</w:t>
        </w:r>
      </w:hyperlink>
      <w:r>
        <w:t>.</w:t>
      </w:r>
    </w:p>
    <w:p w14:paraId="6539889A" w14:textId="77777777" w:rsidR="009B0593" w:rsidRPr="0064709E" w:rsidRDefault="009B0593" w:rsidP="009B0593">
      <w:pPr>
        <w:pStyle w:val="Heading1"/>
        <w:ind w:left="720"/>
        <w:rPr>
          <w:sz w:val="24"/>
          <w:szCs w:val="24"/>
        </w:rPr>
      </w:pPr>
      <w:r w:rsidRPr="0064709E">
        <w:rPr>
          <w:sz w:val="24"/>
          <w:szCs w:val="24"/>
        </w:rPr>
        <w:t>Rule 702. Testimony by Expert Witnesses</w:t>
      </w:r>
      <w:r>
        <w:rPr>
          <w:sz w:val="24"/>
          <w:szCs w:val="24"/>
        </w:rPr>
        <w:t>;</w:t>
      </w:r>
      <w:r w:rsidRPr="0064709E">
        <w:t xml:space="preserve"> </w:t>
      </w:r>
      <w:hyperlink r:id="rId186" w:history="1">
        <w:r w:rsidRPr="0064709E">
          <w:rPr>
            <w:rStyle w:val="Hyperlink"/>
            <w:rFonts w:eastAsiaTheme="majorEastAsia"/>
            <w:b w:val="0"/>
            <w:bCs w:val="0"/>
            <w:sz w:val="24"/>
            <w:szCs w:val="24"/>
          </w:rPr>
          <w:t>https://www.law.cornell.edu/rules/fre/rule_702</w:t>
        </w:r>
      </w:hyperlink>
      <w:r w:rsidRPr="0064709E">
        <w:rPr>
          <w:b w:val="0"/>
          <w:bCs w:val="0"/>
          <w:sz w:val="24"/>
          <w:szCs w:val="24"/>
        </w:rPr>
        <w:t xml:space="preserve"> </w:t>
      </w:r>
    </w:p>
    <w:p w14:paraId="6B3A61EC" w14:textId="77777777" w:rsidR="009B0593" w:rsidRPr="0064709E" w:rsidRDefault="009B0593" w:rsidP="009B0593">
      <w:pPr>
        <w:pStyle w:val="statutory-body"/>
        <w:ind w:left="720"/>
      </w:pPr>
      <w:r w:rsidRPr="0064709E">
        <w:t xml:space="preserve">A witness who is qualified as an expert by knowledge, skill, experience, training, or education may testify in the form of an opinion or otherwise if: </w:t>
      </w:r>
      <w:r w:rsidRPr="0064709E">
        <w:rPr>
          <w:rStyle w:val="Strong"/>
          <w:rFonts w:eastAsiaTheme="majorEastAsia"/>
        </w:rPr>
        <w:t>(a)</w:t>
      </w:r>
      <w:r w:rsidRPr="0064709E">
        <w:t xml:space="preserve"> the expert’s scientific, technical, or other specialized knowledge will help the trier of fact to understand the evidence or to determine a fact in issue; </w:t>
      </w:r>
      <w:r w:rsidRPr="0064709E">
        <w:rPr>
          <w:rStyle w:val="Strong"/>
          <w:rFonts w:eastAsiaTheme="majorEastAsia"/>
        </w:rPr>
        <w:t>(b)</w:t>
      </w:r>
      <w:r w:rsidRPr="0064709E">
        <w:t xml:space="preserve"> the testimony is based on sufficient facts or data; </w:t>
      </w:r>
      <w:r w:rsidRPr="0064709E">
        <w:rPr>
          <w:rStyle w:val="Strong"/>
          <w:rFonts w:eastAsiaTheme="majorEastAsia"/>
        </w:rPr>
        <w:t>(c)</w:t>
      </w:r>
      <w:r w:rsidRPr="0064709E">
        <w:t xml:space="preserve"> the testimony is the product of reliable principles and methods; and </w:t>
      </w:r>
      <w:r w:rsidRPr="0064709E">
        <w:rPr>
          <w:rStyle w:val="Strong"/>
          <w:rFonts w:eastAsiaTheme="majorEastAsia"/>
        </w:rPr>
        <w:t>(d)</w:t>
      </w:r>
      <w:r w:rsidRPr="0064709E">
        <w:t xml:space="preserve"> the expert has reliably applied the principles and methods to the facts of the case.</w:t>
      </w:r>
    </w:p>
    <w:p w14:paraId="66D07ACF" w14:textId="77777777" w:rsidR="009B0593" w:rsidRDefault="009B0593" w:rsidP="00F326E5">
      <w:pPr>
        <w:pStyle w:val="NoSpacing"/>
        <w:rPr>
          <w:rFonts w:ascii="Arial Black" w:hAnsi="Arial Black"/>
          <w:sz w:val="24"/>
          <w:szCs w:val="24"/>
        </w:rPr>
      </w:pPr>
    </w:p>
    <w:p w14:paraId="0825B9A1" w14:textId="77777777" w:rsidR="009B0593" w:rsidRDefault="009B0593" w:rsidP="00F326E5">
      <w:pPr>
        <w:pStyle w:val="NoSpacing"/>
        <w:rPr>
          <w:rFonts w:ascii="Arial Black" w:hAnsi="Arial Black"/>
          <w:sz w:val="24"/>
          <w:szCs w:val="24"/>
        </w:rPr>
      </w:pPr>
    </w:p>
    <w:p w14:paraId="33D00C26" w14:textId="77777777" w:rsidR="009B0593" w:rsidRDefault="009B0593" w:rsidP="00F326E5">
      <w:pPr>
        <w:pStyle w:val="NoSpacing"/>
        <w:rPr>
          <w:rFonts w:ascii="Arial Black" w:hAnsi="Arial Black"/>
          <w:sz w:val="24"/>
          <w:szCs w:val="24"/>
        </w:rPr>
      </w:pPr>
    </w:p>
    <w:p w14:paraId="758C51B0" w14:textId="2A4F006D" w:rsidR="00411936" w:rsidRDefault="00411936" w:rsidP="00F326E5">
      <w:pPr>
        <w:pStyle w:val="NoSpacing"/>
        <w:rPr>
          <w:rFonts w:ascii="Arial Black" w:hAnsi="Arial Black"/>
          <w:sz w:val="24"/>
          <w:szCs w:val="24"/>
        </w:rPr>
      </w:pPr>
      <w:r>
        <w:rPr>
          <w:rFonts w:ascii="Arial Black" w:hAnsi="Arial Black"/>
          <w:sz w:val="24"/>
          <w:szCs w:val="24"/>
        </w:rPr>
        <w:t>1-131</w:t>
      </w:r>
    </w:p>
    <w:p w14:paraId="5DE6D9A7" w14:textId="77777777" w:rsidR="00411936" w:rsidRPr="00C13763" w:rsidRDefault="00411936" w:rsidP="00411936">
      <w:pPr>
        <w:pStyle w:val="NormalWeb"/>
        <w:rPr>
          <w:rFonts w:ascii="Arial Black" w:hAnsi="Arial Black"/>
          <w:sz w:val="28"/>
          <w:szCs w:val="28"/>
        </w:rPr>
      </w:pPr>
      <w:r>
        <w:rPr>
          <w:rFonts w:ascii="Arial Black" w:hAnsi="Arial Black"/>
          <w:sz w:val="28"/>
          <w:szCs w:val="28"/>
        </w:rPr>
        <w:t>CA: BURN BARRELL WAS WASHING MACHINE CYLINDER – REFUSED PUT OUT - $500 FINE UPHELD – PHOTOS HELPFUL</w:t>
      </w:r>
    </w:p>
    <w:p w14:paraId="7C38B8CD" w14:textId="77777777" w:rsidR="00411936" w:rsidRDefault="00411936" w:rsidP="00411936">
      <w:pPr>
        <w:pStyle w:val="NormalWeb"/>
      </w:pPr>
      <w:r>
        <w:t xml:space="preserve">On July 21, 2023, in </w:t>
      </w:r>
      <w:r w:rsidRPr="00C13763">
        <w:rPr>
          <w:u w:val="single"/>
        </w:rPr>
        <w:t>Chuck Dunn v. Kern County, et al.</w:t>
      </w:r>
      <w:r>
        <w:t xml:space="preserve">, the California Court of Appeals, Fifth District, held (3 to 0, unpublished opinion) held that the citation was proper.  Mr. Dunn refused on June 5, </w:t>
      </w:r>
      <w:proofErr w:type="gramStart"/>
      <w:r>
        <w:t>2017</w:t>
      </w:r>
      <w:proofErr w:type="gramEnd"/>
      <w:r>
        <w:t xml:space="preserve"> to put out the fire, in a washing machine cylinder, flames two to four feet above the cylinder, and it was in an area of California where there had recently been a devastating </w:t>
      </w:r>
      <w:proofErr w:type="gramStart"/>
      <w:r>
        <w:t>wildland fire</w:t>
      </w:r>
      <w:proofErr w:type="gramEnd"/>
      <w:r>
        <w:t xml:space="preserve">. He was not using the fire to cook food. Photos taken at the scene were reviewed in hearing before a Fire Captain, and then on appeal to Kern County Board of Supervisors on Dec. 5, 2017, and on appeal before Kern County Superior Court judge on February 15, 2022. </w:t>
      </w:r>
    </w:p>
    <w:p w14:paraId="27168836" w14:textId="77777777" w:rsidR="00411936" w:rsidRDefault="00411936" w:rsidP="00411936">
      <w:pPr>
        <w:pStyle w:val="NormalWeb"/>
      </w:pPr>
      <w:r>
        <w:t>The Court held:</w:t>
      </w:r>
    </w:p>
    <w:p w14:paraId="765960E3" w14:textId="26743D49" w:rsidR="00411936" w:rsidRPr="007035CA" w:rsidRDefault="00411936" w:rsidP="00411936">
      <w:pPr>
        <w:pStyle w:val="NoSpacing"/>
        <w:rPr>
          <w:rFonts w:ascii="Times New Roman" w:hAnsi="Times New Roman"/>
          <w:sz w:val="24"/>
          <w:szCs w:val="24"/>
        </w:rPr>
      </w:pPr>
      <w:r w:rsidRPr="007035CA">
        <w:rPr>
          <w:rFonts w:ascii="Times New Roman" w:hAnsi="Times New Roman"/>
          <w:sz w:val="24"/>
          <w:szCs w:val="24"/>
        </w:rPr>
        <w:t xml:space="preserve">“Clearly, the fire prevention officials were especially concerned because an apparently devastating fire had damaged the region in the recent past. Notwithstanding the factual disputes present in this case and recognizing firepits and outdoor barbecues are in common use, the concerns of the authorities regarding what they regarded as unsafe burning based on </w:t>
      </w:r>
      <w:proofErr w:type="gramStart"/>
      <w:r w:rsidRPr="007035CA">
        <w:rPr>
          <w:rFonts w:ascii="Times New Roman" w:hAnsi="Times New Roman"/>
          <w:sz w:val="24"/>
          <w:szCs w:val="24"/>
        </w:rPr>
        <w:t>particular conditions</w:t>
      </w:r>
      <w:proofErr w:type="gramEnd"/>
      <w:r w:rsidRPr="007035CA">
        <w:rPr>
          <w:rFonts w:ascii="Times New Roman" w:hAnsi="Times New Roman"/>
          <w:sz w:val="24"/>
          <w:szCs w:val="24"/>
        </w:rPr>
        <w:t xml:space="preserve"> are significant. The fact that </w:t>
      </w:r>
      <w:proofErr w:type="gramStart"/>
      <w:r w:rsidRPr="007035CA">
        <w:rPr>
          <w:rFonts w:ascii="Times New Roman" w:hAnsi="Times New Roman"/>
          <w:sz w:val="24"/>
          <w:szCs w:val="24"/>
        </w:rPr>
        <w:t>petitioner</w:t>
      </w:r>
      <w:proofErr w:type="gramEnd"/>
      <w:r w:rsidRPr="007035CA">
        <w:rPr>
          <w:rFonts w:ascii="Times New Roman" w:hAnsi="Times New Roman"/>
          <w:sz w:val="24"/>
          <w:szCs w:val="24"/>
        </w:rPr>
        <w:t xml:space="preserve"> refused requests to extinguish what officials regarded as an unsafe fire cannot be ignored. Taking all of this into consideration and following the dictates of the law that require courts review administrative decisions with deference, we conclude there was sufficient evidence to justify the citation. </w:t>
      </w:r>
      <w:proofErr w:type="gramStart"/>
      <w:r w:rsidRPr="007035CA">
        <w:rPr>
          <w:rFonts w:ascii="Times New Roman" w:hAnsi="Times New Roman"/>
          <w:sz w:val="24"/>
          <w:szCs w:val="24"/>
        </w:rPr>
        <w:t>For the reasons that</w:t>
      </w:r>
      <w:proofErr w:type="gramEnd"/>
      <w:r w:rsidRPr="007035CA">
        <w:rPr>
          <w:rFonts w:ascii="Times New Roman" w:hAnsi="Times New Roman"/>
          <w:sz w:val="24"/>
          <w:szCs w:val="24"/>
        </w:rPr>
        <w:t xml:space="preserve"> follow, we affirm the trial court's judgment.” </w:t>
      </w:r>
      <w:hyperlink r:id="rId187" w:history="1">
        <w:r w:rsidRPr="007035CA">
          <w:rPr>
            <w:rStyle w:val="Hyperlink"/>
            <w:rFonts w:ascii="Times New Roman" w:eastAsiaTheme="majorEastAsia" w:hAnsi="Times New Roman"/>
            <w:sz w:val="24"/>
            <w:szCs w:val="24"/>
          </w:rPr>
          <w:t>https://public.fastcase.com/ZZhmr5v9wN%2FXOe5IsQ%2FqD3QWuMgnFl%2B3o%2F4uUFiu6RUK1p7KFM%2BXOmaedKhzNCbabAKegQ7cA7QRQh6Aya7idRlRF78qeqCUoqW17wj1IUw%3D?utm_medium=email&amp;_hsmi=226712652&amp;_hsenc=p2ANqtz-87CRXhJMi7biUmbeSml1AgtAY_NVYdYjA00lD_OXsZo9fEN5Imr0EyPY0zfsM2_JyagzI4vAzpnYyJYIEoZ9qDDKxGPw&amp;utm_content=226712652&amp;utm_source=hs_email</w:t>
        </w:r>
      </w:hyperlink>
    </w:p>
    <w:p w14:paraId="236A8650" w14:textId="77777777" w:rsidR="00411936" w:rsidRDefault="00411936" w:rsidP="00F326E5">
      <w:pPr>
        <w:pStyle w:val="NoSpacing"/>
        <w:rPr>
          <w:rFonts w:ascii="Arial Black" w:hAnsi="Arial Black"/>
          <w:sz w:val="24"/>
          <w:szCs w:val="24"/>
        </w:rPr>
      </w:pPr>
    </w:p>
    <w:p w14:paraId="057AD691" w14:textId="77777777" w:rsidR="00411936" w:rsidRPr="00DD4297" w:rsidRDefault="00411936" w:rsidP="00411936">
      <w:pPr>
        <w:pStyle w:val="NormalWeb"/>
        <w:rPr>
          <w:b/>
          <w:bCs/>
        </w:rPr>
      </w:pPr>
      <w:r w:rsidRPr="00DD4297">
        <w:rPr>
          <w:b/>
          <w:bCs/>
        </w:rPr>
        <w:t xml:space="preserve">Legal Lesson Learned: </w:t>
      </w:r>
      <w:r>
        <w:rPr>
          <w:b/>
          <w:bCs/>
        </w:rPr>
        <w:t xml:space="preserve"> The photographs taken by firefighters supported the citation; Courts review administrative decisions with deference.  </w:t>
      </w:r>
    </w:p>
    <w:p w14:paraId="0BA23C1C" w14:textId="77777777" w:rsidR="00411936" w:rsidRDefault="00411936" w:rsidP="00F326E5">
      <w:pPr>
        <w:pStyle w:val="NoSpacing"/>
        <w:rPr>
          <w:rFonts w:ascii="Arial Black" w:hAnsi="Arial Black"/>
          <w:sz w:val="24"/>
          <w:szCs w:val="24"/>
        </w:rPr>
      </w:pPr>
    </w:p>
    <w:p w14:paraId="4E4B78A6" w14:textId="48AF6428" w:rsidR="00411936" w:rsidRDefault="00411936" w:rsidP="00F326E5">
      <w:pPr>
        <w:pStyle w:val="NoSpacing"/>
        <w:rPr>
          <w:rFonts w:ascii="Arial Black" w:hAnsi="Arial Black"/>
          <w:sz w:val="24"/>
          <w:szCs w:val="24"/>
        </w:rPr>
      </w:pPr>
      <w:r>
        <w:rPr>
          <w:rFonts w:ascii="Arial Black" w:hAnsi="Arial Black"/>
          <w:sz w:val="24"/>
          <w:szCs w:val="24"/>
        </w:rPr>
        <w:t>1-130</w:t>
      </w:r>
    </w:p>
    <w:p w14:paraId="7787A714" w14:textId="77777777" w:rsidR="00411936" w:rsidRPr="00487508" w:rsidRDefault="00411936" w:rsidP="00411936">
      <w:pPr>
        <w:pStyle w:val="NormalWeb"/>
        <w:rPr>
          <w:rFonts w:ascii="Arial Black" w:hAnsi="Arial Black"/>
          <w:sz w:val="28"/>
          <w:szCs w:val="28"/>
        </w:rPr>
      </w:pPr>
      <w:r>
        <w:rPr>
          <w:rFonts w:ascii="Arial Black" w:hAnsi="Arial Black"/>
          <w:sz w:val="28"/>
          <w:szCs w:val="28"/>
        </w:rPr>
        <w:t>NC: BURNING BRUSH – NAT. FOREST 70 ACRE FIRE – NEW TRIAL - MAY TELL JURY THOUGHT WAS ON FAMILY LAND</w:t>
      </w:r>
    </w:p>
    <w:p w14:paraId="2A219869" w14:textId="4D41D0FF" w:rsidR="00411936" w:rsidRDefault="00411936" w:rsidP="00411936">
      <w:pPr>
        <w:pStyle w:val="NormalWeb"/>
      </w:pPr>
      <w:r>
        <w:t xml:space="preserve">On July 15, 2023, in </w:t>
      </w:r>
      <w:r w:rsidRPr="004E7A09">
        <w:rPr>
          <w:u w:val="single"/>
        </w:rPr>
        <w:t>United States of America v. Casey Lee Evans, a/k/a James Casey Lee Evans</w:t>
      </w:r>
      <w:r>
        <w:t>, the 4</w:t>
      </w:r>
      <w:r w:rsidRPr="004E7A09">
        <w:rPr>
          <w:vertAlign w:val="superscript"/>
        </w:rPr>
        <w:t>th</w:t>
      </w:r>
      <w:r>
        <w:t xml:space="preserve"> Circuit Court of Appeals (Richmond, VA) held (3 to 0) that trial judge improperly excluded the defendant’s </w:t>
      </w:r>
      <w:r w:rsidR="00352DD8">
        <w:t xml:space="preserve">proffered </w:t>
      </w:r>
      <w:r>
        <w:t xml:space="preserve">testimony that he thought he was burning brush on April 3, </w:t>
      </w:r>
      <w:proofErr w:type="gramStart"/>
      <w:r>
        <w:t>2020</w:t>
      </w:r>
      <w:proofErr w:type="gramEnd"/>
      <w:r>
        <w:t xml:space="preserve"> on his family property.  The jury might have therefore found him not guilty since under federal statute the Government must prove he acted “willfully.” He was sentenced in 2022 to “time served” in federal custody, plus </w:t>
      </w:r>
      <w:r w:rsidRPr="00147114">
        <w:t>two years of supervised release</w:t>
      </w:r>
      <w:r>
        <w:t xml:space="preserve">. The conviction is reversed, and he is now entitled to a new trial. </w:t>
      </w:r>
    </w:p>
    <w:p w14:paraId="65E0CE95" w14:textId="77777777" w:rsidR="00411936" w:rsidRDefault="00411936" w:rsidP="00411936">
      <w:pPr>
        <w:pStyle w:val="NormalWeb"/>
      </w:pPr>
      <w:r>
        <w:t xml:space="preserve">The Court held: </w:t>
      </w:r>
    </w:p>
    <w:p w14:paraId="7C620D2E" w14:textId="77777777" w:rsidR="00411936" w:rsidRDefault="00411936" w:rsidP="00411936">
      <w:pPr>
        <w:pStyle w:val="NormalWeb"/>
        <w:tabs>
          <w:tab w:val="left" w:pos="1980"/>
        </w:tabs>
      </w:pPr>
      <w:r>
        <w:t>“To summarize, the Government does not have to prove that the defendant knew he was on federal land or intended to burn federal land to obtain a conviction under 18 U.S.C. § 1855. But the Government does have to prove that the defendant acted willfully, and a defendant may attempt to demonstrate an honest mistake of fact to negate the Government's proof on that score. *** Accordingly, we conclude that the district court made an error of law when it excluded Evans's proffered testimony on the ground that his ‘subjective belief’ about whether he was on his family's property when he set the fire was inadmissible for any purpose ‘because it's not relevant to the issues in this case.’ *** On this record, we cannot say the error was harmless. The excluded testimony was Evans's primary defense. If credited by the jury, the testimony would have squarely raised the issue of whether he made a factual mistake sufficient to cast a reasonable doubt on the willfulness of his actions in setting the fire. The jury, not this Court, must assess the credibility of the proffered testimony and weigh it against the Government's evidence to make that judgment…</w:t>
      </w:r>
      <w:r>
        <w:rPr>
          <w:vertAlign w:val="superscript"/>
        </w:rPr>
        <w:t xml:space="preserve">. </w:t>
      </w:r>
      <w:r>
        <w:t xml:space="preserve">For these reasons, we vacate Evans's conviction under 18 U.S.C. § 1855. We remand the case to the district court for further proceedings consistent with this opinion.” </w:t>
      </w:r>
      <w:hyperlink r:id="rId188" w:history="1">
        <w:r w:rsidRPr="00024274">
          <w:rPr>
            <w:rStyle w:val="Hyperlink"/>
            <w:rFonts w:eastAsiaTheme="majorEastAsia"/>
          </w:rPr>
          <w:t>https://www.ca4.uscourts.gov/opinions/224307.P.pdf</w:t>
        </w:r>
      </w:hyperlink>
      <w:r>
        <w:t xml:space="preserve"> </w:t>
      </w:r>
    </w:p>
    <w:p w14:paraId="282BA835" w14:textId="77777777" w:rsidR="00411936" w:rsidRPr="002506DD" w:rsidRDefault="00411936" w:rsidP="00411936">
      <w:pPr>
        <w:pStyle w:val="NormalWeb"/>
        <w:rPr>
          <w:b/>
          <w:bCs/>
        </w:rPr>
      </w:pPr>
      <w:r w:rsidRPr="002506DD">
        <w:rPr>
          <w:b/>
          <w:bCs/>
        </w:rPr>
        <w:t xml:space="preserve">Legal Lesson Learned: </w:t>
      </w:r>
      <w:r>
        <w:rPr>
          <w:b/>
          <w:bCs/>
        </w:rPr>
        <w:t xml:space="preserve">Defendant was entitled to tell jury he believed he was burning brush pile on family land.  Anticipating such a defense, it is very helpful to prosecutors if fire investigators have tape record their interviews, with subject’s permission. </w:t>
      </w:r>
    </w:p>
    <w:p w14:paraId="2DE0C96E" w14:textId="77777777" w:rsidR="00411936" w:rsidRPr="00887D21" w:rsidRDefault="00411936" w:rsidP="00411936">
      <w:pPr>
        <w:pStyle w:val="Heading1"/>
        <w:ind w:left="720"/>
        <w:rPr>
          <w:b w:val="0"/>
          <w:bCs w:val="0"/>
          <w:sz w:val="24"/>
          <w:szCs w:val="24"/>
        </w:rPr>
      </w:pPr>
      <w:r w:rsidRPr="00887D21">
        <w:rPr>
          <w:b w:val="0"/>
          <w:bCs w:val="0"/>
          <w:sz w:val="24"/>
          <w:szCs w:val="24"/>
        </w:rPr>
        <w:t xml:space="preserve">Note: See July 25, </w:t>
      </w:r>
      <w:proofErr w:type="gramStart"/>
      <w:r w:rsidRPr="00887D21">
        <w:rPr>
          <w:b w:val="0"/>
          <w:bCs w:val="0"/>
          <w:sz w:val="24"/>
          <w:szCs w:val="24"/>
        </w:rPr>
        <w:t>2023</w:t>
      </w:r>
      <w:proofErr w:type="gramEnd"/>
      <w:r w:rsidRPr="00887D21">
        <w:rPr>
          <w:b w:val="0"/>
          <w:bCs w:val="0"/>
          <w:sz w:val="24"/>
          <w:szCs w:val="24"/>
        </w:rPr>
        <w:t xml:space="preserve"> article, “Federal Appeals Court throws out conviction for burning of federal </w:t>
      </w:r>
      <w:proofErr w:type="gramStart"/>
      <w:r w:rsidRPr="00887D21">
        <w:rPr>
          <w:b w:val="0"/>
          <w:bCs w:val="0"/>
          <w:sz w:val="24"/>
          <w:szCs w:val="24"/>
        </w:rPr>
        <w:t>Nantahala forest</w:t>
      </w:r>
      <w:proofErr w:type="gramEnd"/>
      <w:r w:rsidRPr="00887D21">
        <w:rPr>
          <w:b w:val="0"/>
          <w:bCs w:val="0"/>
          <w:sz w:val="24"/>
          <w:szCs w:val="24"/>
        </w:rPr>
        <w:t xml:space="preserve">.” </w:t>
      </w:r>
      <w:hyperlink r:id="rId189" w:history="1">
        <w:r w:rsidRPr="00887D21">
          <w:rPr>
            <w:rStyle w:val="Hyperlink"/>
            <w:rFonts w:eastAsiaTheme="majorEastAsia"/>
            <w:b w:val="0"/>
            <w:bCs w:val="0"/>
            <w:sz w:val="24"/>
            <w:szCs w:val="24"/>
          </w:rPr>
          <w:t>https://www.carolinajournal.com/federal-appeals-court-throws-out-conviction-for-burning-of-federal-nantahala-forest/</w:t>
        </w:r>
      </w:hyperlink>
      <w:r w:rsidRPr="00887D21">
        <w:rPr>
          <w:b w:val="0"/>
          <w:bCs w:val="0"/>
          <w:sz w:val="24"/>
          <w:szCs w:val="24"/>
        </w:rPr>
        <w:t xml:space="preserve">  </w:t>
      </w:r>
    </w:p>
    <w:p w14:paraId="239C4213" w14:textId="77777777" w:rsidR="00411936" w:rsidRPr="00140F65" w:rsidRDefault="00411936" w:rsidP="00411936">
      <w:pPr>
        <w:pStyle w:val="Heading1"/>
        <w:ind w:left="720"/>
        <w:rPr>
          <w:b w:val="0"/>
          <w:bCs w:val="0"/>
          <w:sz w:val="24"/>
          <w:szCs w:val="24"/>
        </w:rPr>
      </w:pPr>
      <w:r w:rsidRPr="00140F65">
        <w:rPr>
          <w:b w:val="0"/>
          <w:bCs w:val="0"/>
          <w:sz w:val="24"/>
          <w:szCs w:val="24"/>
        </w:rPr>
        <w:t xml:space="preserve">See Jan. 6, </w:t>
      </w:r>
      <w:proofErr w:type="gramStart"/>
      <w:r w:rsidRPr="00140F65">
        <w:rPr>
          <w:b w:val="0"/>
          <w:bCs w:val="0"/>
          <w:sz w:val="24"/>
          <w:szCs w:val="24"/>
        </w:rPr>
        <w:t>2022</w:t>
      </w:r>
      <w:proofErr w:type="gramEnd"/>
      <w:r w:rsidRPr="00140F65">
        <w:rPr>
          <w:b w:val="0"/>
          <w:bCs w:val="0"/>
          <w:sz w:val="24"/>
          <w:szCs w:val="24"/>
        </w:rPr>
        <w:t xml:space="preserve"> </w:t>
      </w:r>
      <w:proofErr w:type="spellStart"/>
      <w:r w:rsidRPr="00140F65">
        <w:rPr>
          <w:b w:val="0"/>
          <w:bCs w:val="0"/>
          <w:sz w:val="24"/>
          <w:szCs w:val="24"/>
        </w:rPr>
        <w:t>DoJ</w:t>
      </w:r>
      <w:proofErr w:type="spellEnd"/>
      <w:r w:rsidRPr="00140F65">
        <w:rPr>
          <w:b w:val="0"/>
          <w:bCs w:val="0"/>
          <w:sz w:val="24"/>
          <w:szCs w:val="24"/>
        </w:rPr>
        <w:t xml:space="preserve"> Press Release</w:t>
      </w:r>
      <w:r>
        <w:rPr>
          <w:b w:val="0"/>
          <w:bCs w:val="0"/>
          <w:sz w:val="24"/>
          <w:szCs w:val="24"/>
        </w:rPr>
        <w:t>: “</w:t>
      </w:r>
      <w:r w:rsidRPr="00140F65">
        <w:rPr>
          <w:rStyle w:val="field-formatter--string"/>
          <w:b w:val="0"/>
          <w:bCs w:val="0"/>
          <w:sz w:val="24"/>
          <w:szCs w:val="24"/>
        </w:rPr>
        <w:t xml:space="preserve">Asheville Jury Convicts Franklin, N.C. Man </w:t>
      </w:r>
      <w:proofErr w:type="gramStart"/>
      <w:r w:rsidRPr="00140F65">
        <w:rPr>
          <w:rStyle w:val="field-formatter--string"/>
          <w:b w:val="0"/>
          <w:bCs w:val="0"/>
          <w:sz w:val="24"/>
          <w:szCs w:val="24"/>
        </w:rPr>
        <w:t>Of</w:t>
      </w:r>
      <w:proofErr w:type="gramEnd"/>
      <w:r w:rsidRPr="00140F65">
        <w:rPr>
          <w:rStyle w:val="field-formatter--string"/>
          <w:b w:val="0"/>
          <w:bCs w:val="0"/>
          <w:sz w:val="24"/>
          <w:szCs w:val="24"/>
        </w:rPr>
        <w:t xml:space="preserve"> Starting </w:t>
      </w:r>
      <w:proofErr w:type="gramStart"/>
      <w:r w:rsidRPr="00140F65">
        <w:rPr>
          <w:rStyle w:val="field-formatter--string"/>
          <w:b w:val="0"/>
          <w:bCs w:val="0"/>
          <w:sz w:val="24"/>
          <w:szCs w:val="24"/>
        </w:rPr>
        <w:t>A</w:t>
      </w:r>
      <w:proofErr w:type="gramEnd"/>
      <w:r w:rsidRPr="00140F65">
        <w:rPr>
          <w:rStyle w:val="field-formatter--string"/>
          <w:b w:val="0"/>
          <w:bCs w:val="0"/>
          <w:sz w:val="24"/>
          <w:szCs w:val="24"/>
        </w:rPr>
        <w:t xml:space="preserve"> Fire That Burned More Than 70 Acres </w:t>
      </w:r>
      <w:proofErr w:type="gramStart"/>
      <w:r w:rsidRPr="00140F65">
        <w:rPr>
          <w:rStyle w:val="field-formatter--string"/>
          <w:b w:val="0"/>
          <w:bCs w:val="0"/>
          <w:sz w:val="24"/>
          <w:szCs w:val="24"/>
        </w:rPr>
        <w:t>Of</w:t>
      </w:r>
      <w:proofErr w:type="gramEnd"/>
      <w:r w:rsidRPr="00140F65">
        <w:rPr>
          <w:rStyle w:val="field-formatter--string"/>
          <w:b w:val="0"/>
          <w:bCs w:val="0"/>
          <w:sz w:val="24"/>
          <w:szCs w:val="24"/>
        </w:rPr>
        <w:t xml:space="preserve"> Federal Land. </w:t>
      </w:r>
      <w:r w:rsidRPr="00140F65">
        <w:rPr>
          <w:b w:val="0"/>
          <w:bCs w:val="0"/>
          <w:sz w:val="24"/>
          <w:szCs w:val="24"/>
        </w:rPr>
        <w:t>Evans was convicted of willfully setting a fire on federal land, which carries a statutory maximum penalty of five years in prison and a $250,000 fine. Following the guilty verdict, Evans was remanded into federal custody. A sentencing date has not been set.</w:t>
      </w:r>
      <w:r>
        <w:rPr>
          <w:b w:val="0"/>
          <w:bCs w:val="0"/>
          <w:sz w:val="24"/>
          <w:szCs w:val="24"/>
        </w:rPr>
        <w:t xml:space="preserve">” </w:t>
      </w:r>
      <w:hyperlink r:id="rId190" w:history="1">
        <w:r w:rsidRPr="00140F65">
          <w:rPr>
            <w:rStyle w:val="Hyperlink"/>
            <w:rFonts w:eastAsiaTheme="majorEastAsia"/>
            <w:b w:val="0"/>
            <w:bCs w:val="0"/>
            <w:sz w:val="24"/>
            <w:szCs w:val="24"/>
          </w:rPr>
          <w:t>https://www.justice.gov/usao-wdnc/pr/asheville-jury-convicts-franklin-nc-man-starting-fire-burned-more-70-acres-federal-land</w:t>
        </w:r>
      </w:hyperlink>
      <w:r w:rsidRPr="00140F65">
        <w:rPr>
          <w:rStyle w:val="field-formatter--string"/>
          <w:b w:val="0"/>
          <w:bCs w:val="0"/>
          <w:sz w:val="24"/>
          <w:szCs w:val="24"/>
        </w:rPr>
        <w:t xml:space="preserve"> </w:t>
      </w:r>
    </w:p>
    <w:p w14:paraId="3C9FA6D3" w14:textId="77777777" w:rsidR="00411936" w:rsidRDefault="00411936" w:rsidP="00411936">
      <w:pPr>
        <w:pStyle w:val="NormalWeb"/>
      </w:pPr>
    </w:p>
    <w:p w14:paraId="23EBAA7D" w14:textId="77777777" w:rsidR="00411936" w:rsidRDefault="00411936" w:rsidP="00F326E5">
      <w:pPr>
        <w:pStyle w:val="NoSpacing"/>
        <w:rPr>
          <w:rFonts w:ascii="Arial Black" w:hAnsi="Arial Black"/>
          <w:sz w:val="24"/>
          <w:szCs w:val="24"/>
        </w:rPr>
      </w:pPr>
    </w:p>
    <w:p w14:paraId="7DF348E3" w14:textId="77777777" w:rsidR="00411936" w:rsidRDefault="00411936" w:rsidP="00F326E5">
      <w:pPr>
        <w:pStyle w:val="NoSpacing"/>
        <w:rPr>
          <w:rFonts w:ascii="Arial Black" w:hAnsi="Arial Black"/>
          <w:sz w:val="24"/>
          <w:szCs w:val="24"/>
        </w:rPr>
      </w:pPr>
    </w:p>
    <w:p w14:paraId="2FDB9867" w14:textId="77777777" w:rsidR="00411936" w:rsidRDefault="00411936" w:rsidP="00F326E5">
      <w:pPr>
        <w:pStyle w:val="NoSpacing"/>
        <w:rPr>
          <w:rFonts w:ascii="Arial Black" w:hAnsi="Arial Black"/>
          <w:sz w:val="24"/>
          <w:szCs w:val="24"/>
        </w:rPr>
      </w:pPr>
    </w:p>
    <w:p w14:paraId="4FE3B7F7" w14:textId="7940391A" w:rsidR="00411936" w:rsidRDefault="00411936" w:rsidP="00F326E5">
      <w:pPr>
        <w:pStyle w:val="NoSpacing"/>
        <w:rPr>
          <w:rFonts w:ascii="Arial Black" w:hAnsi="Arial Black"/>
          <w:sz w:val="24"/>
          <w:szCs w:val="24"/>
        </w:rPr>
      </w:pPr>
      <w:r>
        <w:rPr>
          <w:rFonts w:ascii="Arial Black" w:hAnsi="Arial Black"/>
          <w:sz w:val="24"/>
          <w:szCs w:val="24"/>
        </w:rPr>
        <w:t>1-129</w:t>
      </w:r>
    </w:p>
    <w:p w14:paraId="0A835ECB" w14:textId="77777777" w:rsidR="00411936" w:rsidRDefault="00411936" w:rsidP="00F326E5">
      <w:pPr>
        <w:pStyle w:val="NoSpacing"/>
        <w:rPr>
          <w:rFonts w:ascii="Arial Black" w:hAnsi="Arial Black"/>
          <w:sz w:val="24"/>
          <w:szCs w:val="24"/>
        </w:rPr>
      </w:pPr>
    </w:p>
    <w:p w14:paraId="66F54AF4" w14:textId="414D1F52" w:rsidR="00411936" w:rsidRPr="006C4D29" w:rsidRDefault="00411936" w:rsidP="00411936">
      <w:pPr>
        <w:pStyle w:val="NormalWeb"/>
        <w:rPr>
          <w:rFonts w:ascii="Arial Black" w:hAnsi="Arial Black"/>
          <w:b/>
          <w:bCs/>
          <w:sz w:val="28"/>
          <w:szCs w:val="28"/>
        </w:rPr>
      </w:pPr>
      <w:r>
        <w:rPr>
          <w:rFonts w:ascii="Arial Black" w:hAnsi="Arial Black"/>
          <w:b/>
          <w:bCs/>
          <w:sz w:val="28"/>
          <w:szCs w:val="28"/>
        </w:rPr>
        <w:t>OH: ARSON – CIRCUMSTANTIAL EVIDENCE SUFFIC</w:t>
      </w:r>
      <w:r w:rsidR="0045392E">
        <w:rPr>
          <w:rFonts w:ascii="Arial Black" w:hAnsi="Arial Black"/>
          <w:b/>
          <w:bCs/>
          <w:sz w:val="28"/>
          <w:szCs w:val="28"/>
        </w:rPr>
        <w:t>I</w:t>
      </w:r>
      <w:r>
        <w:rPr>
          <w:rFonts w:ascii="Arial Black" w:hAnsi="Arial Black"/>
          <w:b/>
          <w:bCs/>
          <w:sz w:val="28"/>
          <w:szCs w:val="28"/>
        </w:rPr>
        <w:t>ENT –</w:t>
      </w:r>
      <w:r w:rsidR="00B3611E">
        <w:rPr>
          <w:rFonts w:ascii="Arial Black" w:hAnsi="Arial Black"/>
          <w:b/>
          <w:bCs/>
          <w:sz w:val="28"/>
          <w:szCs w:val="28"/>
        </w:rPr>
        <w:t xml:space="preserve"> </w:t>
      </w:r>
      <w:r>
        <w:rPr>
          <w:rFonts w:ascii="Arial Black" w:hAnsi="Arial Black"/>
          <w:b/>
          <w:bCs/>
          <w:sz w:val="28"/>
          <w:szCs w:val="28"/>
        </w:rPr>
        <w:t>ARSON REGISTRY STATUTE – JUDGE CAN SET LENGTH</w:t>
      </w:r>
    </w:p>
    <w:p w14:paraId="6B497277" w14:textId="77777777" w:rsidR="00411936" w:rsidRPr="00551DA8" w:rsidRDefault="00411936" w:rsidP="00411936">
      <w:pPr>
        <w:pStyle w:val="NormalWeb"/>
      </w:pPr>
      <w:r w:rsidRPr="00551DA8">
        <w:t xml:space="preserve">On July 13, 2023, in </w:t>
      </w:r>
      <w:r w:rsidRPr="00551DA8">
        <w:rPr>
          <w:u w:val="single"/>
        </w:rPr>
        <w:t>State of Ohio v. Anthony D. Lochart</w:t>
      </w:r>
      <w:r w:rsidRPr="00551DA8">
        <w:t xml:space="preserve">, the Court of Appeals of Ohio, Fifth District, Richland, upheld the jury conviction </w:t>
      </w:r>
      <w:r>
        <w:t xml:space="preserve">on circumstantial evidence </w:t>
      </w:r>
      <w:r w:rsidRPr="00551DA8">
        <w:t xml:space="preserve">and </w:t>
      </w:r>
      <w:r>
        <w:t xml:space="preserve">the </w:t>
      </w:r>
      <w:r w:rsidRPr="00551DA8">
        <w:t xml:space="preserve">sentence of 8-12 years, </w:t>
      </w:r>
      <w:r>
        <w:t xml:space="preserve">but order that he been on </w:t>
      </w:r>
      <w:r w:rsidRPr="00551DA8">
        <w:t>lifetime arson registry</w:t>
      </w:r>
      <w:r>
        <w:t xml:space="preserve"> must be re-sentenced.  Judges must have discretion when imposing registration period; the </w:t>
      </w:r>
      <w:r w:rsidRPr="00551DA8">
        <w:t xml:space="preserve">Ohio statute </w:t>
      </w:r>
      <w:r>
        <w:t xml:space="preserve">to be unconstitutional breach of “separation of powers” because judges can only reduce the period of registration rom lifetime to </w:t>
      </w:r>
      <w:r w:rsidRPr="00551DA8">
        <w:t>not less than 10 year</w:t>
      </w:r>
      <w:r>
        <w:t xml:space="preserve">s only </w:t>
      </w:r>
      <w:r w:rsidRPr="00551DA8">
        <w:t xml:space="preserve">if the judge </w:t>
      </w:r>
      <w:r>
        <w:t>“r</w:t>
      </w:r>
      <w:r w:rsidRPr="00551DA8">
        <w:t>eceives a request from the prosecutor and the investigating law enforcement agency to consider limiting the arson offender's registration period.</w:t>
      </w:r>
      <w:r>
        <w:t>”</w:t>
      </w:r>
      <w:r w:rsidRPr="00551DA8">
        <w:t xml:space="preserve"> </w:t>
      </w:r>
    </w:p>
    <w:p w14:paraId="7BB93AC9" w14:textId="77777777" w:rsidR="00411936" w:rsidRDefault="00411936" w:rsidP="00411936">
      <w:pPr>
        <w:pStyle w:val="NormalWeb"/>
      </w:pPr>
      <w:r>
        <w:t xml:space="preserve">The Court held: </w:t>
      </w:r>
    </w:p>
    <w:p w14:paraId="0C111F18" w14:textId="77777777" w:rsidR="00411936" w:rsidRDefault="00411936" w:rsidP="00411936">
      <w:pPr>
        <w:pStyle w:val="NormalWeb"/>
      </w:pPr>
      <w:r>
        <w:t xml:space="preserve">“Although the evidence was circumstantial, it is well settled that the state may rely on circumstantial evidence to prove an essential element of an offense because ‘circumstantial evidence and direct evidence inherently possess the same probative value[.]’ </w:t>
      </w:r>
      <w:r>
        <w:rPr>
          <w:rStyle w:val="Emphasis"/>
        </w:rPr>
        <w:t>Jenks</w:t>
      </w:r>
      <w:r>
        <w:t xml:space="preserve">, 61 Ohio St.3d 259, 574 N.E.2d 492 at paragraph one of the </w:t>
      </w:r>
      <w:proofErr w:type="gramStart"/>
      <w:r>
        <w:t>syllabus</w:t>
      </w:r>
      <w:proofErr w:type="gramEnd"/>
      <w:r>
        <w:t xml:space="preserve">. Lockhart had both the opportunity and the means to set the </w:t>
      </w:r>
      <w:proofErr w:type="gramStart"/>
      <w:r>
        <w:t>fire</w:t>
      </w:r>
      <w:proofErr w:type="gramEnd"/>
      <w:r>
        <w:t xml:space="preserve"> and we find the jury did not lose its way in finding he did so.</w:t>
      </w:r>
    </w:p>
    <w:p w14:paraId="07E288C1" w14:textId="77777777" w:rsidR="00411936" w:rsidRDefault="00411936" w:rsidP="00411936">
      <w:pPr>
        <w:pStyle w:val="NormalWeb"/>
      </w:pPr>
      <w:r>
        <w:t>***</w:t>
      </w:r>
    </w:p>
    <w:p w14:paraId="18A50DF6" w14:textId="77777777" w:rsidR="00411936" w:rsidRDefault="00411936" w:rsidP="00411936">
      <w:pPr>
        <w:pStyle w:val="NormalWeb"/>
      </w:pPr>
      <w:r>
        <w:t xml:space="preserve">Lockhart on appeal argues the fire could have been started by three D batteries discovered in the closet after the fire. “However, fire Captain Bob Dean, a firefighter and investigator with 28 </w:t>
      </w:r>
      <w:proofErr w:type="spellStart"/>
      <w:r>
        <w:t>years experience</w:t>
      </w:r>
      <w:proofErr w:type="spellEnd"/>
      <w:r>
        <w:t xml:space="preserve"> and hundreds of fire investigations testified he discovered no circumstance which would lead him to conclude the fire started on its own. He observed melted clothing on the floor of the closet which fueled the fire.  Dean further testified that it was highly unlikely that three D batteries would start a fire and that he has never investigated a fire which was started by batteries.”  </w:t>
      </w:r>
    </w:p>
    <w:p w14:paraId="0F15528A" w14:textId="77777777" w:rsidR="00411936" w:rsidRDefault="00411936" w:rsidP="00411936">
      <w:pPr>
        <w:pStyle w:val="NormalWeb"/>
      </w:pPr>
      <w:r>
        <w:t>***</w:t>
      </w:r>
    </w:p>
    <w:p w14:paraId="400C2624" w14:textId="77777777" w:rsidR="00411936" w:rsidRDefault="00411936" w:rsidP="00411936">
      <w:pPr>
        <w:pStyle w:val="NormalWeb"/>
      </w:pPr>
      <w:r>
        <w:t>Returning to the issue at hand [</w:t>
      </w:r>
      <w:proofErr w:type="gramStart"/>
      <w:r>
        <w:t>period of time</w:t>
      </w:r>
      <w:proofErr w:type="gramEnd"/>
      <w:r>
        <w:t xml:space="preserve"> on arson registry], the Fourth District concluded that R.C. 2909.15(D)(2) violates the separation of powers. </w:t>
      </w:r>
      <w:r>
        <w:rPr>
          <w:rStyle w:val="Emphasis"/>
        </w:rPr>
        <w:t>State v. Dingus</w:t>
      </w:r>
      <w:r>
        <w:t xml:space="preserve">, 2017-Ohio-2619, 81 N.E.3d 513, ¶ 31 (4th Dist.). The court expressed its conclusion as </w:t>
      </w:r>
      <w:proofErr w:type="gramStart"/>
      <w:r>
        <w:t>this: ‘</w:t>
      </w:r>
      <w:proofErr w:type="gramEnd"/>
      <w:r>
        <w:t>By depriving the trial court of the ability to act without the request of the prosecutor and the investigating law enforcement agency, the trial court's independence is compromised. The prosecutor and the investigating law enforcement agency effectively decide which registration periods can be reviewed by the trial court; thus, the prosecutor and the investigating law enforcement agency have an "overruling influence" over the trial court….’ We agree with the Fourth District that this statute violates the separation of powers doctrine.”</w:t>
      </w:r>
    </w:p>
    <w:p w14:paraId="3D8308CC" w14:textId="2D1FFAC9" w:rsidR="00411936" w:rsidRDefault="00411936" w:rsidP="00411936">
      <w:pPr>
        <w:pStyle w:val="NoSpacing"/>
        <w:rPr>
          <w:rFonts w:ascii="Arial Black" w:hAnsi="Arial Black"/>
          <w:sz w:val="24"/>
          <w:szCs w:val="24"/>
        </w:rPr>
      </w:pPr>
      <w:hyperlink r:id="rId191" w:history="1">
        <w:r w:rsidRPr="0052585B">
          <w:rPr>
            <w:rStyle w:val="Hyperlink"/>
            <w:rFonts w:eastAsiaTheme="majorEastAsia"/>
          </w:rPr>
          <w:t>https://public.fastcase.com/ZZhmr5v9wN%2FXOe5IsQ%2FqD6Xx7tREqB5H6wemtf0NyhN8u4NUZnGSAantyLeysRAmLMoHIDaVROEStimemn37zFtbEUi2roRyzYg1DUQ2CNY%3D?utm_medium=email&amp;_hsmi=226712652&amp;_hsenc=p2ANqtz--Q_3moeDoiaeECqEOwyhE0ZXPhDkG4WMrF3I2hrcVk-DQ0PMStF7btAcv6bivJ44RNtnNn6LFTST6ermzb3easneInYg&amp;utm_content=226712652&amp;utm_source=hs_email</w:t>
        </w:r>
      </w:hyperlink>
    </w:p>
    <w:p w14:paraId="2A015DA9" w14:textId="77777777" w:rsidR="00411936" w:rsidRPr="00755D6D" w:rsidRDefault="00411936" w:rsidP="00411936">
      <w:pPr>
        <w:pStyle w:val="NormalWeb"/>
        <w:rPr>
          <w:b/>
          <w:bCs/>
        </w:rPr>
      </w:pPr>
      <w:r w:rsidRPr="00755D6D">
        <w:rPr>
          <w:b/>
          <w:bCs/>
        </w:rPr>
        <w:t xml:space="preserve">Legal Lesson Learned: </w:t>
      </w:r>
      <w:r>
        <w:rPr>
          <w:b/>
          <w:bCs/>
        </w:rPr>
        <w:t>The defendant was properly convicted on circumstantial evidence, including testimony of FD arson investigator with 28 years of experience.</w:t>
      </w:r>
    </w:p>
    <w:p w14:paraId="456F19A4" w14:textId="77777777" w:rsidR="00411936" w:rsidRDefault="00411936" w:rsidP="00F326E5">
      <w:pPr>
        <w:pStyle w:val="NoSpacing"/>
        <w:rPr>
          <w:rFonts w:ascii="Arial Black" w:hAnsi="Arial Black"/>
          <w:sz w:val="24"/>
          <w:szCs w:val="24"/>
        </w:rPr>
      </w:pPr>
    </w:p>
    <w:p w14:paraId="357F20F6" w14:textId="77777777" w:rsidR="00411936" w:rsidRDefault="00411936" w:rsidP="00F326E5">
      <w:pPr>
        <w:pStyle w:val="NoSpacing"/>
        <w:rPr>
          <w:rFonts w:ascii="Arial Black" w:hAnsi="Arial Black"/>
          <w:sz w:val="24"/>
          <w:szCs w:val="24"/>
        </w:rPr>
      </w:pPr>
    </w:p>
    <w:p w14:paraId="4C69CE06" w14:textId="52377B39" w:rsidR="00411936" w:rsidRDefault="00411936" w:rsidP="00F326E5">
      <w:pPr>
        <w:pStyle w:val="NoSpacing"/>
        <w:rPr>
          <w:rFonts w:ascii="Arial Black" w:hAnsi="Arial Black"/>
          <w:sz w:val="24"/>
          <w:szCs w:val="24"/>
        </w:rPr>
      </w:pPr>
      <w:r>
        <w:rPr>
          <w:rFonts w:ascii="Arial Black" w:hAnsi="Arial Black"/>
          <w:sz w:val="24"/>
          <w:szCs w:val="24"/>
        </w:rPr>
        <w:t>1-128</w:t>
      </w:r>
    </w:p>
    <w:p w14:paraId="12131675" w14:textId="77777777" w:rsidR="00411936" w:rsidRDefault="00411936" w:rsidP="00F326E5">
      <w:pPr>
        <w:pStyle w:val="NoSpacing"/>
        <w:rPr>
          <w:rFonts w:ascii="Arial Black" w:hAnsi="Arial Black"/>
          <w:sz w:val="24"/>
          <w:szCs w:val="24"/>
        </w:rPr>
      </w:pPr>
    </w:p>
    <w:p w14:paraId="4A24484D" w14:textId="77777777" w:rsidR="00411936" w:rsidRDefault="00411936" w:rsidP="00411936">
      <w:pPr>
        <w:rPr>
          <w:rFonts w:ascii="Arial Black" w:hAnsi="Arial Black"/>
          <w:sz w:val="28"/>
          <w:szCs w:val="28"/>
        </w:rPr>
      </w:pPr>
      <w:r>
        <w:rPr>
          <w:rFonts w:ascii="Arial Black" w:hAnsi="Arial Black"/>
          <w:sz w:val="28"/>
          <w:szCs w:val="28"/>
        </w:rPr>
        <w:t xml:space="preserve">MD:  PLAINTIFF’S EXPERT WITNESSES CAN TESTIFY - BATTERIES IN </w:t>
      </w:r>
      <w:proofErr w:type="spellStart"/>
      <w:r>
        <w:rPr>
          <w:rFonts w:ascii="Arial Black" w:hAnsi="Arial Black"/>
          <w:sz w:val="28"/>
          <w:szCs w:val="28"/>
        </w:rPr>
        <w:t>MacPro</w:t>
      </w:r>
      <w:proofErr w:type="spellEnd"/>
      <w:r>
        <w:rPr>
          <w:rFonts w:ascii="Arial Black" w:hAnsi="Arial Black"/>
          <w:sz w:val="28"/>
          <w:szCs w:val="28"/>
        </w:rPr>
        <w:t xml:space="preserve"> LAPTOP LED TO LARGE CONDO FIRE </w:t>
      </w:r>
    </w:p>
    <w:p w14:paraId="6CF68926" w14:textId="77777777" w:rsidR="00411936" w:rsidRDefault="00411936" w:rsidP="00411936">
      <w:pPr>
        <w:rPr>
          <w:rFonts w:ascii="Times New Roman" w:hAnsi="Times New Roman"/>
          <w:sz w:val="24"/>
          <w:szCs w:val="24"/>
        </w:rPr>
      </w:pPr>
      <w:r w:rsidRPr="001A2CEB">
        <w:rPr>
          <w:rFonts w:ascii="Times New Roman" w:hAnsi="Times New Roman"/>
          <w:sz w:val="24"/>
          <w:szCs w:val="24"/>
        </w:rPr>
        <w:t>On July</w:t>
      </w:r>
      <w:r>
        <w:rPr>
          <w:rFonts w:ascii="Times New Roman" w:hAnsi="Times New Roman"/>
          <w:sz w:val="24"/>
          <w:szCs w:val="24"/>
        </w:rPr>
        <w:t xml:space="preserve"> </w:t>
      </w:r>
      <w:r w:rsidRPr="001A2CEB">
        <w:rPr>
          <w:rFonts w:ascii="Times New Roman" w:hAnsi="Times New Roman"/>
          <w:sz w:val="24"/>
          <w:szCs w:val="24"/>
        </w:rPr>
        <w:t xml:space="preserve">7, 2023, in </w:t>
      </w:r>
      <w:r w:rsidRPr="001A2CEB">
        <w:rPr>
          <w:rFonts w:ascii="Times New Roman" w:hAnsi="Times New Roman"/>
          <w:sz w:val="24"/>
          <w:szCs w:val="24"/>
          <w:u w:val="single"/>
        </w:rPr>
        <w:t>Philadelphia Indemnity Insurance Company, et al. v, Apple, Inc.</w:t>
      </w:r>
      <w:r w:rsidRPr="001A2CEB">
        <w:rPr>
          <w:rFonts w:ascii="Times New Roman" w:hAnsi="Times New Roman"/>
          <w:sz w:val="24"/>
          <w:szCs w:val="24"/>
        </w:rPr>
        <w:t xml:space="preserve">, </w:t>
      </w:r>
      <w:r>
        <w:rPr>
          <w:rFonts w:ascii="Times New Roman" w:hAnsi="Times New Roman"/>
          <w:sz w:val="24"/>
          <w:szCs w:val="24"/>
        </w:rPr>
        <w:t xml:space="preserve">U.S. District Court Judge Stephanie A. Gallaher, U.S. District Court for the District of Maryland, held that plaintiff may use three expert witnesses at trial – a memory export, and two battery fire experts. On Nov. 24, 2017, shortly after midnight a fire broke out in the bedroom of Ms. Ross in Severn House Condominiums in Annapolis, Maryland, that </w:t>
      </w:r>
      <w:proofErr w:type="gramStart"/>
      <w:r>
        <w:rPr>
          <w:rFonts w:ascii="Times New Roman" w:hAnsi="Times New Roman"/>
          <w:sz w:val="24"/>
          <w:szCs w:val="24"/>
        </w:rPr>
        <w:t>damage to</w:t>
      </w:r>
      <w:proofErr w:type="gramEnd"/>
      <w:r>
        <w:rPr>
          <w:rFonts w:ascii="Times New Roman" w:hAnsi="Times New Roman"/>
          <w:sz w:val="24"/>
          <w:szCs w:val="24"/>
        </w:rPr>
        <w:t xml:space="preserve"> her unit and surrounding units.  She initially told FD that it might have been caused by her electric heating pad (12-18 inches under her back), </w:t>
      </w:r>
      <w:r w:rsidRPr="001342A3">
        <w:rPr>
          <w:rFonts w:ascii="Times New Roman" w:hAnsi="Times New Roman"/>
          <w:sz w:val="24"/>
          <w:szCs w:val="24"/>
        </w:rPr>
        <w:t>but six weeks after the incident, Ms. Ross reviewed the fire department's report and learned that some remnants of the MacBook had been found on the remains of her mattress…. At her deposition in 2021, she testified that after reviewing the fire department's report, she had many ‘flashbacks’ and ‘bad dreams’ that left her ‘increasingly convinced’ that the small flames she saw upon awakening were on the laptop at the foot of her bed.</w:t>
      </w:r>
      <w:r>
        <w:rPr>
          <w:rFonts w:ascii="Times New Roman" w:hAnsi="Times New Roman"/>
          <w:sz w:val="24"/>
          <w:szCs w:val="24"/>
        </w:rPr>
        <w:t xml:space="preserve"> A memory expert will be allowed to testify.  The laptop was recovered and examined – two battery experts will testify that batteries in the laptop likely caused the fire.  </w:t>
      </w:r>
    </w:p>
    <w:p w14:paraId="48F870CA" w14:textId="77777777" w:rsidR="00411936" w:rsidRDefault="00411936" w:rsidP="00411936">
      <w:pPr>
        <w:rPr>
          <w:rFonts w:ascii="Times New Roman" w:hAnsi="Times New Roman"/>
          <w:sz w:val="24"/>
          <w:szCs w:val="24"/>
        </w:rPr>
      </w:pPr>
      <w:r>
        <w:rPr>
          <w:rFonts w:ascii="Times New Roman" w:hAnsi="Times New Roman"/>
          <w:sz w:val="24"/>
          <w:szCs w:val="24"/>
        </w:rPr>
        <w:t>The Court held:</w:t>
      </w:r>
    </w:p>
    <w:p w14:paraId="7E0BC421" w14:textId="77777777" w:rsidR="00411936" w:rsidRDefault="00411936" w:rsidP="00411936">
      <w:pPr>
        <w:pStyle w:val="NormalWeb"/>
      </w:pPr>
      <w:r>
        <w:t>MEMORY EXPERT. “In this case, then, this Court will allow Dr. Weaver's proposed testimony to some extent. Specifically, he will be permitted to testify as to the process of encoding, particularly in a traumatic situation, memory reconstruction, suggestibility, and post-event information. An explanation of those general principles is relevant to the jury's consideration and weighing of Ms. Ross's testimony. Obviously, Dr. Weaver will not be permitted to opine on the ultimate issue of whether Ms. Ross's testimony is credible or incredible. But his inability to reach that issue does not mean his testimony about memory formation, retention, and alteration is irrelevant or useless to the jury… The evidence is helpful and will be permitted.”</w:t>
      </w:r>
    </w:p>
    <w:p w14:paraId="24702285" w14:textId="77777777" w:rsidR="00411936" w:rsidRPr="00A20D55" w:rsidRDefault="00411936" w:rsidP="00411936">
      <w:pPr>
        <w:rPr>
          <w:rFonts w:ascii="Times New Roman" w:hAnsi="Times New Roman"/>
          <w:sz w:val="24"/>
          <w:szCs w:val="24"/>
        </w:rPr>
      </w:pPr>
      <w:r w:rsidRPr="00A20D55">
        <w:rPr>
          <w:rFonts w:ascii="Times New Roman" w:hAnsi="Times New Roman"/>
          <w:sz w:val="24"/>
          <w:szCs w:val="24"/>
        </w:rPr>
        <w:t xml:space="preserve">BATTERY EXPERTS.  “Accordingly, Mr. Hoffmann will be permitted to testify that Ms. Ross's laptop was at a low state of charge, defined as less than fully charged, and that batteries at a low state of charge are less likely to produce enough energy to be a competent ignition source. He will not be permitted to testify more definitively that Ms. Ross's battery cell was at too low of a SoC to ignite the bedding material or cause the fire. </w:t>
      </w:r>
    </w:p>
    <w:p w14:paraId="7CE91DF5" w14:textId="77777777" w:rsidR="00411936" w:rsidRPr="00A20D55" w:rsidRDefault="00411936" w:rsidP="00411936">
      <w:pPr>
        <w:rPr>
          <w:rFonts w:ascii="Times New Roman" w:hAnsi="Times New Roman"/>
          <w:sz w:val="24"/>
          <w:szCs w:val="24"/>
        </w:rPr>
      </w:pPr>
      <w:r w:rsidRPr="00A20D55">
        <w:rPr>
          <w:rFonts w:ascii="Times New Roman" w:hAnsi="Times New Roman"/>
          <w:sz w:val="24"/>
          <w:szCs w:val="24"/>
        </w:rPr>
        <w:t xml:space="preserve">*** </w:t>
      </w:r>
    </w:p>
    <w:p w14:paraId="26634A40" w14:textId="162F3173" w:rsidR="00411936" w:rsidRDefault="00411936" w:rsidP="00411936">
      <w:pPr>
        <w:pStyle w:val="NoSpacing"/>
        <w:rPr>
          <w:rFonts w:ascii="Arial Black" w:hAnsi="Arial Black"/>
          <w:sz w:val="24"/>
          <w:szCs w:val="24"/>
        </w:rPr>
      </w:pPr>
      <w:r w:rsidRPr="00A20D55">
        <w:rPr>
          <w:rFonts w:ascii="Times New Roman" w:hAnsi="Times New Roman"/>
          <w:sz w:val="24"/>
          <w:szCs w:val="24"/>
        </w:rPr>
        <w:t xml:space="preserve">Michael Eskra is a battery expert retained by Plaintiffs. Apple does not challenge </w:t>
      </w:r>
      <w:proofErr w:type="gramStart"/>
      <w:r w:rsidRPr="00A20D55">
        <w:rPr>
          <w:rFonts w:ascii="Times New Roman" w:hAnsi="Times New Roman"/>
          <w:sz w:val="24"/>
          <w:szCs w:val="24"/>
        </w:rPr>
        <w:t>his</w:t>
      </w:r>
      <w:proofErr w:type="gramEnd"/>
      <w:r w:rsidRPr="00A20D55">
        <w:rPr>
          <w:rFonts w:ascii="Times New Roman" w:hAnsi="Times New Roman"/>
          <w:sz w:val="24"/>
          <w:szCs w:val="24"/>
        </w:rPr>
        <w:t xml:space="preserve"> expert qualifications. Instead, it contends that his methodology is unreliable because, in Apple's view, he simply looked at the CT scans of the battery cells to reach his conclusion. Because the fifth cell shows internal, localized damage to the electrode windings while the other four only have exterior damage, Mr. Eskra opines that the fifth cell shorted and caused the ignition… But because Plaintiffs are not relying on Mr. Eskra to establish conclusively the defect in the battery cell, his testimony is relevant and permissible.</w:t>
      </w:r>
      <w:r>
        <w:rPr>
          <w:rFonts w:ascii="Times New Roman" w:hAnsi="Times New Roman"/>
          <w:sz w:val="24"/>
          <w:szCs w:val="24"/>
        </w:rPr>
        <w:t xml:space="preserve">” </w:t>
      </w:r>
      <w:hyperlink r:id="rId192" w:history="1">
        <w:r w:rsidRPr="0052585B">
          <w:rPr>
            <w:rStyle w:val="Hyperlink"/>
            <w:rFonts w:ascii="Times New Roman" w:hAnsi="Times New Roman"/>
            <w:sz w:val="24"/>
            <w:szCs w:val="24"/>
          </w:rPr>
          <w:t>https://public.fastcase.com/ZZhmr5v9wN%2FXOe5IsQ%2FqD2w3LkpuglI3nASy1X40hEavWq5Hg6BXuOMAb4Q%2F0qYvRQrnGJSyHTBcFYNZH%2FPWinF4W28EQi7cn4B0%2Besltk8%3D?utm_medium=email&amp;_hsmi=226712652&amp;_hsenc=p2ANqtz--58Ne7SxJ1hr6i-F8FakyHT8npVqzhLBvm91HO15BtcmmyFpQh4X3iW-xWGAEBSVd3N4PHQcOA9a0ODtOxMPf5jkgwuw&amp;utm_content=226712652&amp;utm_source=hs_email</w:t>
        </w:r>
      </w:hyperlink>
    </w:p>
    <w:p w14:paraId="488F85A9" w14:textId="77777777" w:rsidR="00411936" w:rsidRDefault="00411936" w:rsidP="00F326E5">
      <w:pPr>
        <w:pStyle w:val="NoSpacing"/>
        <w:rPr>
          <w:rFonts w:ascii="Arial Black" w:hAnsi="Arial Black"/>
          <w:sz w:val="24"/>
          <w:szCs w:val="24"/>
        </w:rPr>
      </w:pPr>
    </w:p>
    <w:p w14:paraId="5AFE1841" w14:textId="77777777" w:rsidR="00411936" w:rsidRPr="001342A3" w:rsidRDefault="00411936" w:rsidP="00411936">
      <w:pPr>
        <w:pStyle w:val="NormalWeb"/>
        <w:rPr>
          <w:b/>
          <w:bCs/>
        </w:rPr>
      </w:pPr>
      <w:r w:rsidRPr="001342A3">
        <w:rPr>
          <w:b/>
          <w:bCs/>
        </w:rPr>
        <w:t xml:space="preserve">Legal Lesson Learned: The U.S. Supreme Court has held that trial court judges must ensure prior to trial that proposed expert testimony “both rests on a reliable foundation and is relevant to the task at hand.” </w:t>
      </w:r>
      <w:r w:rsidRPr="001342A3">
        <w:rPr>
          <w:rStyle w:val="Emphasis"/>
          <w:b/>
          <w:bCs/>
        </w:rPr>
        <w:t>Daubert v. Merrell Dow Pharm., Inc.</w:t>
      </w:r>
      <w:r w:rsidRPr="001342A3">
        <w:rPr>
          <w:b/>
          <w:bCs/>
        </w:rPr>
        <w:t>, 509 U.S. 579, 597 (1993).</w:t>
      </w:r>
      <w:r>
        <w:rPr>
          <w:b/>
          <w:bCs/>
        </w:rPr>
        <w:t xml:space="preserve"> </w:t>
      </w:r>
      <w:hyperlink r:id="rId193" w:history="1">
        <w:r w:rsidRPr="0052585B">
          <w:rPr>
            <w:rStyle w:val="Hyperlink"/>
            <w:rFonts w:eastAsiaTheme="majorEastAsia"/>
            <w:b/>
            <w:bCs/>
          </w:rPr>
          <w:t>https://www.loc.gov/item/usrep509579/</w:t>
        </w:r>
      </w:hyperlink>
      <w:r>
        <w:rPr>
          <w:b/>
          <w:bCs/>
        </w:rPr>
        <w:t xml:space="preserve"> </w:t>
      </w:r>
    </w:p>
    <w:p w14:paraId="4A7FE11C" w14:textId="77777777" w:rsidR="00411936" w:rsidRDefault="00411936" w:rsidP="00F326E5">
      <w:pPr>
        <w:pStyle w:val="NoSpacing"/>
        <w:rPr>
          <w:rFonts w:ascii="Arial Black" w:hAnsi="Arial Black"/>
          <w:sz w:val="24"/>
          <w:szCs w:val="24"/>
        </w:rPr>
      </w:pPr>
    </w:p>
    <w:p w14:paraId="3C916086" w14:textId="77777777" w:rsidR="00411936" w:rsidRDefault="00411936" w:rsidP="00F326E5">
      <w:pPr>
        <w:pStyle w:val="NoSpacing"/>
        <w:rPr>
          <w:rFonts w:ascii="Arial Black" w:hAnsi="Arial Black"/>
          <w:sz w:val="24"/>
          <w:szCs w:val="24"/>
        </w:rPr>
      </w:pPr>
    </w:p>
    <w:p w14:paraId="5AD45CF8" w14:textId="77777777" w:rsidR="00411936" w:rsidRDefault="00411936" w:rsidP="00F326E5">
      <w:pPr>
        <w:pStyle w:val="NoSpacing"/>
        <w:rPr>
          <w:rFonts w:ascii="Arial Black" w:hAnsi="Arial Black"/>
          <w:sz w:val="24"/>
          <w:szCs w:val="24"/>
        </w:rPr>
      </w:pPr>
    </w:p>
    <w:p w14:paraId="29FF4140" w14:textId="77777777" w:rsidR="00411936" w:rsidRDefault="00411936" w:rsidP="00F326E5">
      <w:pPr>
        <w:pStyle w:val="NoSpacing"/>
        <w:rPr>
          <w:rFonts w:ascii="Arial Black" w:hAnsi="Arial Black"/>
          <w:sz w:val="24"/>
          <w:szCs w:val="24"/>
        </w:rPr>
      </w:pPr>
    </w:p>
    <w:p w14:paraId="60332905" w14:textId="1FFF8E35" w:rsidR="00AB637D" w:rsidRDefault="00FE60DA" w:rsidP="00F326E5">
      <w:pPr>
        <w:pStyle w:val="NoSpacing"/>
        <w:rPr>
          <w:rFonts w:ascii="Arial Black" w:hAnsi="Arial Black"/>
          <w:sz w:val="24"/>
          <w:szCs w:val="24"/>
        </w:rPr>
      </w:pPr>
      <w:r>
        <w:rPr>
          <w:rFonts w:ascii="Arial Black" w:hAnsi="Arial Black"/>
          <w:sz w:val="24"/>
          <w:szCs w:val="24"/>
        </w:rPr>
        <w:t>1-127</w:t>
      </w:r>
    </w:p>
    <w:p w14:paraId="20CFB8DB" w14:textId="77777777" w:rsidR="00FE60DA" w:rsidRPr="00A37F68" w:rsidRDefault="00FE60DA" w:rsidP="00FE60DA">
      <w:pPr>
        <w:pStyle w:val="NormalWeb"/>
        <w:rPr>
          <w:rFonts w:ascii="Arial Black" w:hAnsi="Arial Black"/>
          <w:sz w:val="28"/>
          <w:szCs w:val="28"/>
        </w:rPr>
      </w:pPr>
      <w:r>
        <w:rPr>
          <w:rFonts w:ascii="Arial Black" w:hAnsi="Arial Black"/>
          <w:sz w:val="28"/>
          <w:szCs w:val="28"/>
        </w:rPr>
        <w:t>PA: ARSON – SET FIRE IN HOUSE WITH FOUR POLICE OFFICERS PRESENT – FOUR CONSECUTIVE JAIL TERMS</w:t>
      </w:r>
    </w:p>
    <w:p w14:paraId="5BF37B01" w14:textId="77777777" w:rsidR="00FE60DA" w:rsidRDefault="00FE60DA" w:rsidP="00FE60DA">
      <w:pPr>
        <w:pStyle w:val="NormalWeb"/>
      </w:pPr>
      <w:r w:rsidRPr="00A37F68">
        <w:t xml:space="preserve">On June 30, 2023, </w:t>
      </w:r>
      <w:r>
        <w:t xml:space="preserve">in </w:t>
      </w:r>
      <w:r w:rsidRPr="00A37F68">
        <w:rPr>
          <w:u w:val="single"/>
        </w:rPr>
        <w:t>Commonwealth of Pennsylvania v. Vincent Smith</w:t>
      </w:r>
      <w:r>
        <w:t xml:space="preserve">, the Superior Court of Pennsylvania held (9 to 0) that trial court properly imposed four terms of imprisonment (four to eight years each), after he pled </w:t>
      </w:r>
      <w:r w:rsidRPr="00A4543F">
        <w:t>guilty to two counts of voluntary manslaughter and four counts of arson endangering persons</w:t>
      </w:r>
      <w:r>
        <w:t xml:space="preserve">.  He endangered four police officers when lighting gasoline he previously poured in house, trying to commit suicide after killing two men.  </w:t>
      </w:r>
    </w:p>
    <w:p w14:paraId="26C2C036" w14:textId="77777777" w:rsidR="00FE60DA" w:rsidRPr="00D73B76" w:rsidRDefault="00FE60DA" w:rsidP="00FE60DA">
      <w:pPr>
        <w:pStyle w:val="NormalWeb"/>
      </w:pPr>
      <w:r>
        <w:t>The Court held: “</w:t>
      </w:r>
      <w:r w:rsidRPr="00D73B76">
        <w:t>In sum, we conclude that under the plain language and meaning of Subsection 3301(a)(1)(</w:t>
      </w:r>
      <w:proofErr w:type="spellStart"/>
      <w:r w:rsidRPr="00D73B76">
        <w:t>i</w:t>
      </w:r>
      <w:proofErr w:type="spellEnd"/>
      <w:r w:rsidRPr="00D73B76">
        <w:t xml:space="preserve">), within the arson endangering persons statute, the unit of prosecution is the intentional starting of a fire which recklessly places another person in danger of death or bodily injury. </w:t>
      </w:r>
      <w:r w:rsidRPr="00D73B76">
        <w:rPr>
          <w:i/>
          <w:iCs/>
        </w:rPr>
        <w:t>See</w:t>
      </w:r>
      <w:r w:rsidRPr="00D73B76">
        <w:t xml:space="preserve"> 18 </w:t>
      </w:r>
      <w:proofErr w:type="spellStart"/>
      <w:r w:rsidRPr="00D73B76">
        <w:t>Pa.C.S</w:t>
      </w:r>
      <w:proofErr w:type="spellEnd"/>
      <w:r w:rsidRPr="00D73B76">
        <w:t>. § 3301(a)(1)(</w:t>
      </w:r>
      <w:proofErr w:type="spellStart"/>
      <w:r w:rsidRPr="00D73B76">
        <w:t>i</w:t>
      </w:r>
      <w:proofErr w:type="spellEnd"/>
      <w:r w:rsidRPr="00D73B76">
        <w:t xml:space="preserve">). Accordingly, a defendant may be convicted of and sentenced separately on multiple counts if one act of arson causes more than one person to be in danger of death or bodily injury. Applying this holding to the case </w:t>
      </w:r>
      <w:r w:rsidRPr="00D73B76">
        <w:rPr>
          <w:i/>
          <w:iCs/>
        </w:rPr>
        <w:t>sub judice,</w:t>
      </w:r>
      <w:r w:rsidRPr="00D73B76">
        <w:t xml:space="preserve"> we affirm the separate sentences imposed on each of Appellant's four arson endangering persons convictions, and hold they are not illegal.</w:t>
      </w:r>
      <w:r>
        <w:t xml:space="preserve">”  </w:t>
      </w:r>
      <w:hyperlink r:id="rId194" w:history="1">
        <w:r w:rsidRPr="00812663">
          <w:rPr>
            <w:rStyle w:val="Hyperlink"/>
          </w:rPr>
          <w:t>https://casetext.com/case/commonwealth-v-smith-1490</w:t>
        </w:r>
      </w:hyperlink>
      <w:r>
        <w:t xml:space="preserve"> </w:t>
      </w:r>
    </w:p>
    <w:p w14:paraId="34AA63B7" w14:textId="77777777" w:rsidR="00FE60DA" w:rsidRPr="00D73B76" w:rsidRDefault="00FE60DA" w:rsidP="00FE60DA">
      <w:pPr>
        <w:pStyle w:val="NormalWeb"/>
        <w:rPr>
          <w:b/>
          <w:bCs/>
        </w:rPr>
      </w:pPr>
      <w:r>
        <w:rPr>
          <w:b/>
          <w:bCs/>
        </w:rPr>
        <w:t xml:space="preserve">Legal Lessons Learned:  The defendant endangered the lives of four policers; the Court properly imposed four separate prison terms. </w:t>
      </w:r>
    </w:p>
    <w:p w14:paraId="7FE21F17" w14:textId="0D6F4E98" w:rsidR="00FE60DA" w:rsidRDefault="00FE60DA" w:rsidP="00F326E5">
      <w:pPr>
        <w:pStyle w:val="NoSpacing"/>
        <w:rPr>
          <w:rFonts w:ascii="Arial Black" w:hAnsi="Arial Black"/>
          <w:sz w:val="24"/>
          <w:szCs w:val="24"/>
        </w:rPr>
      </w:pPr>
      <w:r>
        <w:rPr>
          <w:rFonts w:ascii="Arial Black" w:hAnsi="Arial Black"/>
          <w:sz w:val="24"/>
          <w:szCs w:val="24"/>
        </w:rPr>
        <w:t>1-126</w:t>
      </w:r>
    </w:p>
    <w:p w14:paraId="1ADF81C3" w14:textId="77777777" w:rsidR="00FE60DA" w:rsidRDefault="00FE60DA" w:rsidP="00F326E5">
      <w:pPr>
        <w:pStyle w:val="NoSpacing"/>
        <w:rPr>
          <w:rFonts w:ascii="Arial Black" w:hAnsi="Arial Black"/>
          <w:sz w:val="24"/>
          <w:szCs w:val="24"/>
        </w:rPr>
      </w:pPr>
    </w:p>
    <w:p w14:paraId="199D03FD" w14:textId="77777777" w:rsidR="00FE60DA" w:rsidRPr="00954CB5" w:rsidRDefault="00FE60DA" w:rsidP="00FE60D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NY: EMT POTENTIAL JUROR BURGLARY CASE – CAN’T SERVE IF ADMITS VIEWS PD “VERY FAVORABLE LIGHT” </w:t>
      </w:r>
    </w:p>
    <w:p w14:paraId="37AEB98F" w14:textId="77777777" w:rsidR="00FE60DA" w:rsidRDefault="00FE60DA" w:rsidP="00FE60DA">
      <w:pPr>
        <w:tabs>
          <w:tab w:val="left" w:pos="3582"/>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30, 2023, in </w:t>
      </w:r>
      <w:r w:rsidRPr="00954CB5">
        <w:rPr>
          <w:rFonts w:ascii="Times New Roman" w:hAnsi="Times New Roman"/>
          <w:sz w:val="24"/>
          <w:szCs w:val="24"/>
          <w:u w:val="single"/>
        </w:rPr>
        <w:t xml:space="preserve">The People </w:t>
      </w:r>
      <w:proofErr w:type="gramStart"/>
      <w:r w:rsidRPr="00954CB5">
        <w:rPr>
          <w:rFonts w:ascii="Times New Roman" w:hAnsi="Times New Roman"/>
          <w:sz w:val="24"/>
          <w:szCs w:val="24"/>
          <w:u w:val="single"/>
        </w:rPr>
        <w:t>Of</w:t>
      </w:r>
      <w:proofErr w:type="gramEnd"/>
      <w:r w:rsidRPr="00954CB5">
        <w:rPr>
          <w:rFonts w:ascii="Times New Roman" w:hAnsi="Times New Roman"/>
          <w:sz w:val="24"/>
          <w:szCs w:val="24"/>
          <w:u w:val="single"/>
        </w:rPr>
        <w:t xml:space="preserve"> </w:t>
      </w:r>
      <w:proofErr w:type="gramStart"/>
      <w:r w:rsidRPr="00954CB5">
        <w:rPr>
          <w:rFonts w:ascii="Times New Roman" w:hAnsi="Times New Roman"/>
          <w:sz w:val="24"/>
          <w:szCs w:val="24"/>
          <w:u w:val="single"/>
        </w:rPr>
        <w:t>The</w:t>
      </w:r>
      <w:proofErr w:type="gramEnd"/>
      <w:r w:rsidRPr="00954CB5">
        <w:rPr>
          <w:rFonts w:ascii="Times New Roman" w:hAnsi="Times New Roman"/>
          <w:sz w:val="24"/>
          <w:szCs w:val="24"/>
          <w:u w:val="single"/>
        </w:rPr>
        <w:t xml:space="preserve"> State Of New York v. Herbert Smith</w:t>
      </w:r>
      <w:r>
        <w:rPr>
          <w:rFonts w:ascii="Times New Roman" w:hAnsi="Times New Roman"/>
          <w:sz w:val="24"/>
          <w:szCs w:val="24"/>
        </w:rPr>
        <w:t xml:space="preserve">, the Supreme Court of New York, Fourth Division, held (5 to 0) that the burglary defendant is entitled to a new jury trial because two prospective jurors, including an EMT who during voir dire told defense counsel he saw police in “very positive light” were not automatically removed by the judge.  The defense attorney had to use two preparatory challenges to keep them off the jury.  </w:t>
      </w:r>
    </w:p>
    <w:p w14:paraId="451162B7" w14:textId="77777777" w:rsidR="00FE60DA" w:rsidRDefault="00FE60DA" w:rsidP="00FE60DA">
      <w:pPr>
        <w:tabs>
          <w:tab w:val="left" w:pos="3582"/>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 “</w:t>
      </w:r>
      <w:r w:rsidRPr="001449DC">
        <w:rPr>
          <w:rFonts w:ascii="Times New Roman" w:hAnsi="Times New Roman"/>
          <w:sz w:val="24"/>
          <w:szCs w:val="24"/>
        </w:rPr>
        <w:t xml:space="preserve">It is well established that, when a prospective juror makes a statement or statements that </w:t>
      </w:r>
      <w:r>
        <w:rPr>
          <w:rFonts w:ascii="Times New Roman" w:hAnsi="Times New Roman"/>
          <w:sz w:val="24"/>
          <w:szCs w:val="24"/>
        </w:rPr>
        <w:t>‘</w:t>
      </w:r>
      <w:r w:rsidRPr="001449DC">
        <w:rPr>
          <w:rFonts w:ascii="Times New Roman" w:hAnsi="Times New Roman"/>
          <w:sz w:val="24"/>
          <w:szCs w:val="24"/>
        </w:rPr>
        <w:t>cast serious doubt on their ability to render an impartial verdict</w:t>
      </w:r>
      <w:r>
        <w:rPr>
          <w:rFonts w:ascii="Times New Roman" w:hAnsi="Times New Roman"/>
          <w:sz w:val="24"/>
          <w:szCs w:val="24"/>
        </w:rPr>
        <w:t>’</w:t>
      </w:r>
      <w:r w:rsidRPr="001449DC">
        <w:rPr>
          <w:rFonts w:ascii="Times New Roman" w:hAnsi="Times New Roman"/>
          <w:sz w:val="24"/>
          <w:szCs w:val="24"/>
        </w:rPr>
        <w:t xml:space="preserve"> (</w:t>
      </w:r>
      <w:r w:rsidRPr="001449DC">
        <w:rPr>
          <w:rStyle w:val="Emphasis"/>
          <w:rFonts w:ascii="Times New Roman" w:hAnsi="Times New Roman"/>
          <w:sz w:val="24"/>
          <w:szCs w:val="24"/>
        </w:rPr>
        <w:t>People v Arnold</w:t>
      </w:r>
      <w:r w:rsidRPr="001449DC">
        <w:rPr>
          <w:rFonts w:ascii="Times New Roman" w:hAnsi="Times New Roman"/>
          <w:sz w:val="24"/>
          <w:szCs w:val="24"/>
        </w:rPr>
        <w:t xml:space="preserve">, 96 N.Y.2d 358, 363 [2001]), that prospective juror must be excused for cause unless they provide an </w:t>
      </w:r>
      <w:r>
        <w:rPr>
          <w:rFonts w:ascii="Times New Roman" w:hAnsi="Times New Roman"/>
          <w:sz w:val="24"/>
          <w:szCs w:val="24"/>
        </w:rPr>
        <w:t>‘</w:t>
      </w:r>
      <w:r w:rsidRPr="001449DC">
        <w:rPr>
          <w:rFonts w:ascii="Times New Roman" w:hAnsi="Times New Roman"/>
          <w:sz w:val="24"/>
          <w:szCs w:val="24"/>
        </w:rPr>
        <w:t>unequivocal assurance that they can set aside any bias and render an impartial verdict based on the evidence</w:t>
      </w:r>
      <w:r>
        <w:rPr>
          <w:rFonts w:ascii="Times New Roman" w:hAnsi="Times New Roman"/>
          <w:sz w:val="24"/>
          <w:szCs w:val="24"/>
        </w:rPr>
        <w:t>’</w:t>
      </w:r>
      <w:r w:rsidRPr="001449DC">
        <w:rPr>
          <w:rFonts w:ascii="Times New Roman" w:hAnsi="Times New Roman"/>
          <w:sz w:val="24"/>
          <w:szCs w:val="24"/>
        </w:rPr>
        <w:t xml:space="preserve"> (</w:t>
      </w:r>
      <w:r w:rsidRPr="001449DC">
        <w:rPr>
          <w:rStyle w:val="Emphasis"/>
          <w:rFonts w:ascii="Times New Roman" w:hAnsi="Times New Roman"/>
          <w:sz w:val="24"/>
          <w:szCs w:val="24"/>
        </w:rPr>
        <w:t>People v Johnson</w:t>
      </w:r>
      <w:r w:rsidRPr="001449DC">
        <w:rPr>
          <w:rFonts w:ascii="Times New Roman" w:hAnsi="Times New Roman"/>
          <w:sz w:val="24"/>
          <w:szCs w:val="24"/>
        </w:rPr>
        <w:t xml:space="preserve">, 94 N.Y.2d 600, 614 [2000]; </w:t>
      </w:r>
      <w:r w:rsidRPr="001449DC">
        <w:rPr>
          <w:rStyle w:val="Emphasis"/>
          <w:rFonts w:ascii="Times New Roman" w:hAnsi="Times New Roman"/>
          <w:sz w:val="24"/>
          <w:szCs w:val="24"/>
        </w:rPr>
        <w:t>see People v Nicholas</w:t>
      </w:r>
      <w:r w:rsidRPr="001449DC">
        <w:rPr>
          <w:rFonts w:ascii="Times New Roman" w:hAnsi="Times New Roman"/>
          <w:sz w:val="24"/>
          <w:szCs w:val="24"/>
        </w:rPr>
        <w:t xml:space="preserve">, 98 N.Y.2d 749, 750 [2002]; </w:t>
      </w:r>
      <w:r w:rsidRPr="001449DC">
        <w:rPr>
          <w:rStyle w:val="Emphasis"/>
          <w:rFonts w:ascii="Times New Roman" w:hAnsi="Times New Roman"/>
          <w:sz w:val="24"/>
          <w:szCs w:val="24"/>
        </w:rPr>
        <w:t>People v Chambers</w:t>
      </w:r>
      <w:r w:rsidRPr="001449DC">
        <w:rPr>
          <w:rFonts w:ascii="Times New Roman" w:hAnsi="Times New Roman"/>
          <w:sz w:val="24"/>
          <w:szCs w:val="24"/>
        </w:rPr>
        <w:t>, 97 N.Y.2d 417, 419 [2002]).</w:t>
      </w:r>
      <w:r>
        <w:rPr>
          <w:rFonts w:ascii="Times New Roman" w:hAnsi="Times New Roman"/>
          <w:sz w:val="24"/>
          <w:szCs w:val="24"/>
        </w:rPr>
        <w:t xml:space="preserve">” </w:t>
      </w:r>
      <w:hyperlink r:id="rId195" w:history="1">
        <w:r w:rsidRPr="00812663">
          <w:rPr>
            <w:rStyle w:val="Hyperlink"/>
            <w:sz w:val="24"/>
            <w:szCs w:val="24"/>
          </w:rPr>
          <w:t>https://casetext.com/case/people-v-smith-9160</w:t>
        </w:r>
      </w:hyperlink>
      <w:r>
        <w:rPr>
          <w:rFonts w:ascii="Times New Roman" w:hAnsi="Times New Roman"/>
          <w:sz w:val="24"/>
          <w:szCs w:val="24"/>
        </w:rPr>
        <w:t xml:space="preserve"> </w:t>
      </w:r>
    </w:p>
    <w:p w14:paraId="08DB923B" w14:textId="77777777" w:rsidR="00FE60DA" w:rsidRPr="001449DC" w:rsidRDefault="00FE60DA" w:rsidP="00FE60DA">
      <w:pPr>
        <w:spacing w:before="100" w:beforeAutospacing="1" w:after="100" w:afterAutospacing="1" w:line="240" w:lineRule="auto"/>
        <w:rPr>
          <w:rFonts w:ascii="Times New Roman" w:eastAsia="Times New Roman" w:hAnsi="Times New Roman"/>
          <w:b/>
          <w:bCs/>
          <w:sz w:val="24"/>
          <w:szCs w:val="24"/>
        </w:rPr>
      </w:pPr>
      <w:r w:rsidRPr="001449DC">
        <w:rPr>
          <w:rFonts w:ascii="Times New Roman" w:hAnsi="Times New Roman"/>
          <w:b/>
          <w:bCs/>
          <w:sz w:val="24"/>
          <w:szCs w:val="24"/>
        </w:rPr>
        <w:t xml:space="preserve">Legal Lesson Learned: </w:t>
      </w:r>
      <w:r>
        <w:rPr>
          <w:rFonts w:ascii="Times New Roman" w:hAnsi="Times New Roman"/>
          <w:b/>
          <w:bCs/>
          <w:sz w:val="24"/>
          <w:szCs w:val="24"/>
        </w:rPr>
        <w:t>EMS and firefighters can be jurors in criminal cases, but not if they tell Court they view police in a “very positive light.”</w:t>
      </w:r>
    </w:p>
    <w:p w14:paraId="1108CC94" w14:textId="77777777" w:rsidR="00FE60DA" w:rsidRDefault="00FE60DA" w:rsidP="00F326E5">
      <w:pPr>
        <w:pStyle w:val="NoSpacing"/>
        <w:rPr>
          <w:rFonts w:ascii="Arial Black" w:hAnsi="Arial Black"/>
          <w:sz w:val="24"/>
          <w:szCs w:val="24"/>
        </w:rPr>
      </w:pPr>
    </w:p>
    <w:p w14:paraId="78EC9D04" w14:textId="0E74EAEB" w:rsidR="00FE60DA" w:rsidRDefault="00FE60DA" w:rsidP="00F326E5">
      <w:pPr>
        <w:pStyle w:val="NoSpacing"/>
        <w:rPr>
          <w:rFonts w:ascii="Arial Black" w:hAnsi="Arial Black"/>
          <w:sz w:val="24"/>
          <w:szCs w:val="24"/>
        </w:rPr>
      </w:pPr>
      <w:r>
        <w:rPr>
          <w:rFonts w:ascii="Arial Black" w:hAnsi="Arial Black"/>
          <w:sz w:val="24"/>
          <w:szCs w:val="24"/>
        </w:rPr>
        <w:t>1-125</w:t>
      </w:r>
    </w:p>
    <w:p w14:paraId="5A928EE9" w14:textId="77777777" w:rsidR="00FE60DA" w:rsidRDefault="00FE60DA" w:rsidP="00F326E5">
      <w:pPr>
        <w:pStyle w:val="NoSpacing"/>
        <w:rPr>
          <w:rFonts w:ascii="Arial Black" w:hAnsi="Arial Black"/>
          <w:sz w:val="24"/>
          <w:szCs w:val="24"/>
        </w:rPr>
      </w:pPr>
    </w:p>
    <w:p w14:paraId="2A62469C" w14:textId="77777777" w:rsidR="00FE60DA" w:rsidRDefault="00FE60DA" w:rsidP="00FE60DA">
      <w:pPr>
        <w:pStyle w:val="NormalWeb"/>
        <w:jc w:val="both"/>
        <w:rPr>
          <w:rFonts w:ascii="Arial Black" w:hAnsi="Arial Black"/>
          <w:sz w:val="28"/>
          <w:szCs w:val="28"/>
        </w:rPr>
      </w:pPr>
      <w:r>
        <w:rPr>
          <w:rFonts w:ascii="Arial Black" w:hAnsi="Arial Black"/>
          <w:sz w:val="28"/>
          <w:szCs w:val="28"/>
        </w:rPr>
        <w:t xml:space="preserve">OH: CITY ORDERED VACANT BLDG DEMOLISHED – MAIL NOTICE OWNER RETURNED – DUE PROCESS CASE PROCEED </w:t>
      </w:r>
    </w:p>
    <w:p w14:paraId="173B8632"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15, 2023, in </w:t>
      </w:r>
      <w:r w:rsidRPr="00856DBC">
        <w:rPr>
          <w:rFonts w:ascii="Times New Roman" w:hAnsi="Times New Roman"/>
          <w:sz w:val="24"/>
          <w:szCs w:val="24"/>
          <w:u w:val="single"/>
        </w:rPr>
        <w:t>Two Bridges, LLC v. City of Youngstown, Ohio</w:t>
      </w:r>
      <w:r>
        <w:rPr>
          <w:rFonts w:ascii="Times New Roman" w:hAnsi="Times New Roman"/>
          <w:sz w:val="24"/>
          <w:szCs w:val="24"/>
        </w:rPr>
        <w:t>, the U.S. Court of Appeals for 6</w:t>
      </w:r>
      <w:r w:rsidRPr="00856DBC">
        <w:rPr>
          <w:rFonts w:ascii="Times New Roman" w:hAnsi="Times New Roman"/>
          <w:sz w:val="24"/>
          <w:szCs w:val="24"/>
          <w:vertAlign w:val="superscript"/>
        </w:rPr>
        <w:t>th</w:t>
      </w:r>
      <w:r>
        <w:rPr>
          <w:rFonts w:ascii="Times New Roman" w:hAnsi="Times New Roman"/>
          <w:sz w:val="24"/>
          <w:szCs w:val="24"/>
        </w:rPr>
        <w:t xml:space="preserve"> Circuit (Cincinnati), held (3 to 0; unpublished decision) that U.S. District Court Judge properly held the city’s immunity under Ohio law does not apply in a lawsuit under 42 U.S.C. 1983 for violation of due process rights of 14</w:t>
      </w:r>
      <w:r w:rsidRPr="004A01B0">
        <w:rPr>
          <w:rFonts w:ascii="Times New Roman" w:hAnsi="Times New Roman"/>
          <w:sz w:val="24"/>
          <w:szCs w:val="24"/>
          <w:vertAlign w:val="superscript"/>
        </w:rPr>
        <w:t>th</w:t>
      </w:r>
      <w:r>
        <w:rPr>
          <w:rFonts w:ascii="Times New Roman" w:hAnsi="Times New Roman"/>
          <w:sz w:val="24"/>
          <w:szCs w:val="24"/>
        </w:rPr>
        <w:t xml:space="preserve"> Amendment to U.S. Constitution. The city mailed several notices of planned demolition that were addressed to the property that had been vacant for four years (none delivered).  The city also mailed notices to two other businesses owned by Two Bridges; all returned undelivered. </w:t>
      </w:r>
    </w:p>
    <w:p w14:paraId="6197F67E" w14:textId="77777777" w:rsidR="00FE60DA" w:rsidRPr="004A01B0"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Court held: </w:t>
      </w:r>
      <w:r w:rsidRPr="00A3158D">
        <w:rPr>
          <w:rFonts w:ascii="Times New Roman" w:hAnsi="Times New Roman"/>
          <w:sz w:val="24"/>
          <w:szCs w:val="24"/>
        </w:rPr>
        <w:t xml:space="preserve">“The district court denied the city's motion, finding that a state-law provision exempting federal claims from statutory immunity applies. Youngstown now brings this appeal. </w:t>
      </w:r>
      <w:proofErr w:type="gramStart"/>
      <w:r w:rsidRPr="00A3158D">
        <w:rPr>
          <w:rFonts w:ascii="Times New Roman" w:hAnsi="Times New Roman"/>
          <w:sz w:val="24"/>
          <w:szCs w:val="24"/>
        </w:rPr>
        <w:t>For the reasons that</w:t>
      </w:r>
      <w:proofErr w:type="gramEnd"/>
      <w:r w:rsidRPr="00A3158D">
        <w:rPr>
          <w:rFonts w:ascii="Times New Roman" w:hAnsi="Times New Roman"/>
          <w:sz w:val="24"/>
          <w:szCs w:val="24"/>
        </w:rPr>
        <w:t xml:space="preserve"> follow, we AFFIRM the judgment of the district court. *** </w:t>
      </w:r>
      <w:r w:rsidRPr="004A01B0">
        <w:rPr>
          <w:rFonts w:ascii="Times New Roman" w:hAnsi="Times New Roman"/>
          <w:sz w:val="24"/>
          <w:szCs w:val="24"/>
        </w:rPr>
        <w:t xml:space="preserve">In sum, whether a plaintiff can invoke the federal exception to statutory immunity depends on the substance of his claim. Properly pleaded due process claims under the federal Constitution are not transformed into tort actions simply because they are raised in the wake of a </w:t>
      </w:r>
      <w:proofErr w:type="gramStart"/>
      <w:r w:rsidRPr="004A01B0">
        <w:rPr>
          <w:rFonts w:ascii="Times New Roman" w:hAnsi="Times New Roman"/>
          <w:sz w:val="24"/>
          <w:szCs w:val="24"/>
        </w:rPr>
        <w:t>demolition.</w:t>
      </w:r>
      <w:r>
        <w:rPr>
          <w:rFonts w:ascii="Times New Roman" w:hAnsi="Times New Roman"/>
          <w:sz w:val="24"/>
          <w:szCs w:val="24"/>
        </w:rPr>
        <w:t>”</w:t>
      </w:r>
      <w:proofErr w:type="gramEnd"/>
      <w:r w:rsidRPr="004A01B0">
        <w:t xml:space="preserve"> </w:t>
      </w:r>
      <w:hyperlink r:id="rId196" w:history="1">
        <w:r w:rsidRPr="00812663">
          <w:rPr>
            <w:rStyle w:val="Hyperlink"/>
          </w:rPr>
          <w:t>https://casetext.com/case/two-bridges-llc-v-city-of-youngstown</w:t>
        </w:r>
      </w:hyperlink>
      <w:r>
        <w:t xml:space="preserve"> </w:t>
      </w:r>
    </w:p>
    <w:p w14:paraId="0DF0F6BE" w14:textId="77777777" w:rsidR="00FE60DA" w:rsidRPr="00A3158D" w:rsidRDefault="00FE60DA" w:rsidP="00FE60DA">
      <w:pPr>
        <w:spacing w:before="100" w:beforeAutospacing="1" w:after="100" w:afterAutospacing="1" w:line="240" w:lineRule="auto"/>
        <w:rPr>
          <w:rFonts w:ascii="Times New Roman" w:hAnsi="Times New Roman"/>
          <w:b/>
          <w:bCs/>
          <w:sz w:val="24"/>
          <w:szCs w:val="24"/>
        </w:rPr>
      </w:pPr>
      <w:r w:rsidRPr="00A3158D">
        <w:rPr>
          <w:rFonts w:ascii="Times New Roman" w:hAnsi="Times New Roman"/>
          <w:b/>
          <w:bCs/>
          <w:sz w:val="24"/>
          <w:szCs w:val="24"/>
        </w:rPr>
        <w:t>Legal Lesson Learned:</w:t>
      </w:r>
      <w:r>
        <w:rPr>
          <w:rFonts w:ascii="Times New Roman" w:hAnsi="Times New Roman"/>
          <w:b/>
          <w:bCs/>
          <w:sz w:val="24"/>
          <w:szCs w:val="24"/>
        </w:rPr>
        <w:t xml:space="preserve"> If notices of demolition are returned undelivered, pick up the phone and speak with the building owner. </w:t>
      </w:r>
    </w:p>
    <w:p w14:paraId="4852C527" w14:textId="77777777" w:rsidR="00FE60DA" w:rsidRDefault="00FE60DA" w:rsidP="00F326E5">
      <w:pPr>
        <w:pStyle w:val="NoSpacing"/>
        <w:rPr>
          <w:rFonts w:ascii="Arial Black" w:hAnsi="Arial Black"/>
          <w:sz w:val="24"/>
          <w:szCs w:val="24"/>
        </w:rPr>
      </w:pPr>
    </w:p>
    <w:p w14:paraId="38FE32E2" w14:textId="77777777" w:rsidR="00FE60DA" w:rsidRDefault="00FE60DA" w:rsidP="00F326E5">
      <w:pPr>
        <w:pStyle w:val="NoSpacing"/>
        <w:rPr>
          <w:rFonts w:ascii="Arial Black" w:hAnsi="Arial Black"/>
          <w:sz w:val="24"/>
          <w:szCs w:val="24"/>
        </w:rPr>
      </w:pPr>
    </w:p>
    <w:p w14:paraId="23B5C202" w14:textId="77777777" w:rsidR="00FE60DA" w:rsidRDefault="00FE60DA" w:rsidP="00F326E5">
      <w:pPr>
        <w:pStyle w:val="NoSpacing"/>
        <w:rPr>
          <w:rFonts w:ascii="Arial Black" w:hAnsi="Arial Black"/>
          <w:sz w:val="24"/>
          <w:szCs w:val="24"/>
        </w:rPr>
      </w:pPr>
    </w:p>
    <w:p w14:paraId="4097D758" w14:textId="0AF2E7DD" w:rsidR="00DC17BF" w:rsidRDefault="00DC17BF" w:rsidP="00F326E5">
      <w:pPr>
        <w:pStyle w:val="NoSpacing"/>
        <w:rPr>
          <w:rFonts w:ascii="Arial Black" w:hAnsi="Arial Black"/>
          <w:sz w:val="24"/>
          <w:szCs w:val="24"/>
        </w:rPr>
      </w:pPr>
      <w:r>
        <w:rPr>
          <w:rFonts w:ascii="Arial Black" w:hAnsi="Arial Black"/>
          <w:sz w:val="24"/>
          <w:szCs w:val="24"/>
        </w:rPr>
        <w:t>1-124</w:t>
      </w:r>
    </w:p>
    <w:p w14:paraId="52AD7C5D" w14:textId="77777777" w:rsidR="00DC17BF" w:rsidRDefault="00DC17BF" w:rsidP="00F326E5">
      <w:pPr>
        <w:pStyle w:val="NoSpacing"/>
        <w:rPr>
          <w:rFonts w:ascii="Arial Black" w:hAnsi="Arial Black"/>
          <w:sz w:val="24"/>
          <w:szCs w:val="24"/>
        </w:rPr>
      </w:pPr>
    </w:p>
    <w:p w14:paraId="7BF9B1E2" w14:textId="77777777" w:rsidR="00DC17BF" w:rsidRDefault="00DC17BF" w:rsidP="00DC17BF">
      <w:pPr>
        <w:pStyle w:val="NormalWeb"/>
        <w:rPr>
          <w:rFonts w:ascii="Arial Black" w:hAnsi="Arial Black"/>
          <w:sz w:val="28"/>
          <w:szCs w:val="28"/>
        </w:rPr>
      </w:pPr>
      <w:bookmarkStart w:id="1" w:name="_Hlk136857339"/>
      <w:r>
        <w:rPr>
          <w:rFonts w:ascii="Arial Black" w:hAnsi="Arial Black"/>
          <w:sz w:val="28"/>
          <w:szCs w:val="28"/>
        </w:rPr>
        <w:t>GA: FIRE CODE – ETHIOPIAN BAR SHUT DOWN – ALLEGES “RACIAL” ENFORCEMENT – CASE PROCEED COUNTY</w:t>
      </w:r>
    </w:p>
    <w:bookmarkEnd w:id="1"/>
    <w:p w14:paraId="352A2D8D" w14:textId="77777777" w:rsidR="00DC17BF" w:rsidRPr="00DC17BF" w:rsidRDefault="00DC17BF" w:rsidP="00DC17BF">
      <w:pPr>
        <w:pStyle w:val="NormalWeb"/>
      </w:pPr>
      <w:r w:rsidRPr="00DC17BF">
        <w:t xml:space="preserve">On June 1, 2023, </w:t>
      </w:r>
      <w:r w:rsidRPr="00DC17BF">
        <w:rPr>
          <w:u w:val="single"/>
        </w:rPr>
        <w:t>in Sheba Ethiopian Restaurant, Inc., d.ba. Queen of Sheba Ethiopian Restaurant v. Dekalb County, Georgia, et al</w:t>
      </w:r>
      <w:r w:rsidRPr="00DC17BF">
        <w:t xml:space="preserve">., the U.S. Court of Appeals for the Eleventh Circuit (Atlanta) held (3 to 0) that County officials cannot be sued, but case remanded for possible trial for race discrimination claim against the County. The Court described </w:t>
      </w:r>
      <w:proofErr w:type="gramStart"/>
      <w:r w:rsidRPr="00DC17BF">
        <w:t>citizen’s</w:t>
      </w:r>
      <w:proofErr w:type="gramEnd"/>
      <w:r w:rsidRPr="00DC17BF">
        <w:t xml:space="preserve"> complaints. </w:t>
      </w:r>
    </w:p>
    <w:p w14:paraId="7455004E" w14:textId="2E225D34" w:rsidR="00DC17BF" w:rsidRPr="00DC17BF" w:rsidRDefault="00DC17BF" w:rsidP="00DC17BF">
      <w:pPr>
        <w:pStyle w:val="NoSpacing"/>
        <w:rPr>
          <w:rStyle w:val="Hyperlink"/>
          <w:rFonts w:ascii="Times New Roman" w:eastAsiaTheme="majorEastAsia" w:hAnsi="Times New Roman"/>
          <w:sz w:val="24"/>
          <w:szCs w:val="24"/>
        </w:rPr>
      </w:pPr>
      <w:r w:rsidRPr="00DC17BF">
        <w:rPr>
          <w:rFonts w:ascii="Times New Roman" w:hAnsi="Times New Roman"/>
          <w:sz w:val="24"/>
          <w:szCs w:val="24"/>
        </w:rPr>
        <w:t xml:space="preserve">“By all accounts, Sheba's relationship with the county proceeded rather smoothly for seven or so years following these amendments. The relationship started to sour, however, in 2015, when Martha Gross-a private citizen who lived near Sheba and several other Ethiopian restaurants-‘spearheaded’ a campaign to ‘cripple’ the Ethiopian restaurant community. Gross spoke at the county's public meetings and posted on social media about "her desire to prohibit" certain Ethiopian restaurants and hookah bars ‘from operating during late hours . . . either by removing grandfather[ed] status’ or by ‘preventing the establishments from obtaining [special land use permits].’ *** In sum, we do not address whether corporations can-or cannot-state a race discrimination claim under section 1981. We hold only that there was no clearly established law in our circuit determining that officials </w:t>
      </w:r>
      <w:r w:rsidRPr="00DC17BF">
        <w:rPr>
          <w:rStyle w:val="Emphasis"/>
          <w:rFonts w:ascii="Times New Roman" w:hAnsi="Times New Roman"/>
          <w:sz w:val="24"/>
          <w:szCs w:val="24"/>
        </w:rPr>
        <w:t>are</w:t>
      </w:r>
      <w:r w:rsidRPr="00DC17BF">
        <w:rPr>
          <w:rFonts w:ascii="Times New Roman" w:hAnsi="Times New Roman"/>
          <w:sz w:val="24"/>
          <w:szCs w:val="24"/>
        </w:rPr>
        <w:t xml:space="preserve"> liable under section 1981 for discriminating against a corporation. In this absence, the officials in our case were entitled to qualified immunity.” </w:t>
      </w:r>
      <w:hyperlink r:id="rId197" w:history="1">
        <w:r w:rsidRPr="00DC17BF">
          <w:rPr>
            <w:rStyle w:val="Hyperlink"/>
            <w:rFonts w:ascii="Times New Roman" w:eastAsiaTheme="majorEastAsia" w:hAnsi="Times New Roman"/>
            <w:sz w:val="24"/>
            <w:szCs w:val="24"/>
          </w:rPr>
          <w:t>https://public.fastcase.com/ZZhmr5v9wN%2FXOe5IsQ%2FqDyh9W7agvNTeMPH8d1RJsPvP%2Fg5ZmquK03Jneavd35tblyNJzoowc3pRVBJlbMB8OXwMF7nsK7TpaO1eghvi3n8%3D?utm_medium=email&amp;_hsmi=226712652&amp;_hsenc=p2ANqtz-8CWkqPTOXpr4VKRSXFO6n4aimmH3FbbAM7Ve_pkSBcowoTJe6gCXxXh8Df-qrWOoYs_EV26aJQZp9WCJOKGH6IdbP0yQ&amp;utm_content=226712652&amp;utm_source=hs_email</w:t>
        </w:r>
      </w:hyperlink>
    </w:p>
    <w:p w14:paraId="3A34C603" w14:textId="77777777" w:rsidR="00DC17BF" w:rsidRPr="00DC17BF" w:rsidRDefault="00DC17BF" w:rsidP="00DC17BF">
      <w:pPr>
        <w:pStyle w:val="NoSpacing"/>
        <w:rPr>
          <w:rStyle w:val="Hyperlink"/>
          <w:rFonts w:ascii="Times New Roman" w:eastAsiaTheme="majorEastAsia" w:hAnsi="Times New Roman"/>
          <w:sz w:val="24"/>
          <w:szCs w:val="24"/>
        </w:rPr>
      </w:pPr>
    </w:p>
    <w:p w14:paraId="04C4E168" w14:textId="77777777" w:rsidR="00DC17BF" w:rsidRPr="00EA1F9B" w:rsidRDefault="00DC17BF" w:rsidP="00DC17BF">
      <w:pPr>
        <w:pStyle w:val="NormalWeb"/>
        <w:rPr>
          <w:b/>
          <w:bCs/>
        </w:rPr>
      </w:pPr>
      <w:r w:rsidRPr="00EA1F9B">
        <w:rPr>
          <w:b/>
          <w:bCs/>
        </w:rPr>
        <w:t>Legal Lesson Learned:</w:t>
      </w:r>
      <w:r>
        <w:rPr>
          <w:b/>
          <w:bCs/>
        </w:rPr>
        <w:t xml:space="preserve"> The lawsuit for race discrimination has been remanded to U.S. District Court for trial against the County. </w:t>
      </w:r>
    </w:p>
    <w:p w14:paraId="49134EDA" w14:textId="77777777" w:rsidR="00DC17BF" w:rsidRDefault="00DC17BF" w:rsidP="00DC17BF">
      <w:pPr>
        <w:pStyle w:val="NoSpacing"/>
        <w:rPr>
          <w:rFonts w:ascii="Arial Black" w:hAnsi="Arial Black"/>
          <w:sz w:val="24"/>
          <w:szCs w:val="24"/>
        </w:rPr>
      </w:pPr>
    </w:p>
    <w:p w14:paraId="74BBA089" w14:textId="03DF0F9C" w:rsidR="00DC17BF" w:rsidRDefault="00DC17BF" w:rsidP="00DC17BF">
      <w:pPr>
        <w:pStyle w:val="NoSpacing"/>
        <w:rPr>
          <w:rFonts w:ascii="Arial Black" w:hAnsi="Arial Black"/>
          <w:sz w:val="24"/>
          <w:szCs w:val="24"/>
        </w:rPr>
      </w:pPr>
      <w:r>
        <w:rPr>
          <w:rFonts w:ascii="Arial Black" w:hAnsi="Arial Black"/>
          <w:sz w:val="24"/>
          <w:szCs w:val="24"/>
        </w:rPr>
        <w:t>1-123</w:t>
      </w:r>
    </w:p>
    <w:p w14:paraId="73DC8D4C" w14:textId="77777777" w:rsidR="00DC17BF" w:rsidRDefault="00DC17BF" w:rsidP="00DC17BF">
      <w:pPr>
        <w:pStyle w:val="NoSpacing"/>
        <w:rPr>
          <w:rFonts w:ascii="Arial Black" w:hAnsi="Arial Black"/>
          <w:sz w:val="24"/>
          <w:szCs w:val="24"/>
        </w:rPr>
      </w:pPr>
    </w:p>
    <w:p w14:paraId="3F5C5A4B" w14:textId="77777777" w:rsidR="00DC17BF" w:rsidRDefault="00DC17BF" w:rsidP="00DC17BF">
      <w:pPr>
        <w:pStyle w:val="NormalWeb"/>
        <w:rPr>
          <w:rFonts w:ascii="Arial Black" w:hAnsi="Arial Black"/>
          <w:sz w:val="28"/>
          <w:szCs w:val="28"/>
        </w:rPr>
      </w:pPr>
      <w:bookmarkStart w:id="2" w:name="_Hlk136857512"/>
      <w:r>
        <w:rPr>
          <w:rFonts w:ascii="Arial Black" w:hAnsi="Arial Black"/>
          <w:sz w:val="28"/>
          <w:szCs w:val="28"/>
        </w:rPr>
        <w:t>DC: U.S. SUP. CT. – FALSE CLAIMS ACT – WHISTLEBLOWER CASES MADE EASIER - “SUBSTANTIAL RISK” FALSE PRICES</w:t>
      </w:r>
    </w:p>
    <w:bookmarkEnd w:id="2"/>
    <w:p w14:paraId="5500D11A" w14:textId="77777777" w:rsidR="00DC17BF" w:rsidRDefault="00DC17BF" w:rsidP="00DC17BF">
      <w:pPr>
        <w:pStyle w:val="NormalWeb"/>
        <w:rPr>
          <w:rStyle w:val="markedcontent"/>
        </w:rPr>
      </w:pPr>
      <w:r>
        <w:rPr>
          <w:rStyle w:val="markedcontent"/>
        </w:rPr>
        <w:t xml:space="preserve">On June 1, 2023, in </w:t>
      </w:r>
      <w:r w:rsidRPr="00A41C8A">
        <w:rPr>
          <w:rStyle w:val="markedcontent"/>
          <w:u w:val="single"/>
        </w:rPr>
        <w:t xml:space="preserve">United States ex. Rel. Schutte, et al. v. </w:t>
      </w:r>
      <w:proofErr w:type="spellStart"/>
      <w:r w:rsidRPr="00A41C8A">
        <w:rPr>
          <w:rStyle w:val="markedcontent"/>
          <w:u w:val="single"/>
        </w:rPr>
        <w:t>SuperValu</w:t>
      </w:r>
      <w:proofErr w:type="spellEnd"/>
      <w:r w:rsidRPr="00A41C8A">
        <w:rPr>
          <w:rStyle w:val="markedcontent"/>
          <w:u w:val="single"/>
        </w:rPr>
        <w:t>, Inc</w:t>
      </w:r>
      <w:r>
        <w:rPr>
          <w:rStyle w:val="markedcontent"/>
        </w:rPr>
        <w:t xml:space="preserve">. [and companion case of </w:t>
      </w:r>
      <w:r w:rsidRPr="00A41C8A">
        <w:rPr>
          <w:rStyle w:val="markedcontent"/>
          <w:u w:val="single"/>
        </w:rPr>
        <w:t>United State ex rel. Proctor v. Safeway, Inc.</w:t>
      </w:r>
      <w:r>
        <w:rPr>
          <w:rStyle w:val="markedcontent"/>
        </w:rPr>
        <w:t xml:space="preserve">], the U.S. Supreme Court held (9 to 0) in an opinion by Justice Clarence Thomas, that lawsuits by private individuals suing on behalf of U.S. Government against two retail drug store companies may proceed. The plaintiffs claim that companies false certified to Medicaid and Medicare that drug prices were the “usual and customary” price, but many of drugs were </w:t>
      </w:r>
      <w:proofErr w:type="gramStart"/>
      <w:r>
        <w:rPr>
          <w:rStyle w:val="markedcontent"/>
        </w:rPr>
        <w:t>actually sold</w:t>
      </w:r>
      <w:proofErr w:type="gramEnd"/>
      <w:r>
        <w:rPr>
          <w:rStyle w:val="markedcontent"/>
        </w:rPr>
        <w:t xml:space="preserve"> to cash customers at greatly discounted prices.   Whistleblower lawsuits may proceed if evidence pharmacies to “substantial risk” that drug prices to Federal government did not reflect customer discounts. Justice Thomas described this example. </w:t>
      </w:r>
    </w:p>
    <w:p w14:paraId="1B62B4D4" w14:textId="77777777" w:rsidR="00DC17BF" w:rsidRDefault="00DC17BF" w:rsidP="00DC17BF">
      <w:pPr>
        <w:pStyle w:val="NormalWeb"/>
        <w:ind w:left="720"/>
        <w:rPr>
          <w:b/>
          <w:bCs/>
        </w:rPr>
      </w:pPr>
      <w:r>
        <w:rPr>
          <w:rStyle w:val="markedcontent"/>
        </w:rPr>
        <w:t xml:space="preserve">“For example, petitioners have presented evidence that Safeway charged just $10 for 94% of its cash sales for a 90-day supply of a cholesterol drug between 2008 and 2012. Yet Safeway apparently reported prices as high as $108 as “usual and customary” during that time. And petitioners presented evidence that, at least at some times and for some drugs, </w:t>
      </w:r>
      <w:proofErr w:type="spellStart"/>
      <w:r>
        <w:rPr>
          <w:rStyle w:val="markedcontent"/>
        </w:rPr>
        <w:t>SuperValu</w:t>
      </w:r>
      <w:proofErr w:type="spellEnd"/>
      <w:r>
        <w:rPr>
          <w:rStyle w:val="markedcontent"/>
        </w:rPr>
        <w:t xml:space="preserve"> made more than 80% of its cash sales for prices less than what it disclosed as its “usual and customary” price…. For scienter, it is enough if respondents believed that their claims were not accurate.”</w:t>
      </w:r>
      <w:r w:rsidRPr="00AB1613">
        <w:t xml:space="preserve"> </w:t>
      </w:r>
      <w:hyperlink r:id="rId198" w:history="1">
        <w:r w:rsidRPr="009A7773">
          <w:rPr>
            <w:rStyle w:val="Hyperlink"/>
            <w:rFonts w:eastAsiaTheme="majorEastAsia"/>
          </w:rPr>
          <w:t>https://www.supremecourt.gov/opinions/22pdf/21-1326_6jfl.pdf</w:t>
        </w:r>
      </w:hyperlink>
      <w:r>
        <w:rPr>
          <w:rStyle w:val="markedcontent"/>
        </w:rPr>
        <w:t xml:space="preserve"> </w:t>
      </w:r>
    </w:p>
    <w:p w14:paraId="726EEC56" w14:textId="77777777" w:rsidR="00DC17BF" w:rsidRDefault="00DC17BF" w:rsidP="00DC17BF">
      <w:pPr>
        <w:pStyle w:val="NormalWeb"/>
        <w:rPr>
          <w:rStyle w:val="markedcontent"/>
          <w:b/>
          <w:bCs/>
        </w:rPr>
      </w:pPr>
      <w:r w:rsidRPr="00604354">
        <w:rPr>
          <w:rStyle w:val="markedcontent"/>
          <w:b/>
          <w:bCs/>
        </w:rPr>
        <w:t xml:space="preserve">Legal Lesson Learned: </w:t>
      </w:r>
      <w:r>
        <w:rPr>
          <w:rStyle w:val="markedcontent"/>
          <w:b/>
          <w:bCs/>
        </w:rPr>
        <w:t xml:space="preserve">This is a significant decision given the large number of Whistleblower lawsuits filed in the health care industry, including EMS billing cases. </w:t>
      </w:r>
    </w:p>
    <w:p w14:paraId="246D9C60" w14:textId="77777777" w:rsidR="00DC17BF" w:rsidRPr="00604354" w:rsidRDefault="00DC17BF" w:rsidP="00DC17BF">
      <w:pPr>
        <w:pStyle w:val="Heading1"/>
        <w:ind w:left="720"/>
        <w:rPr>
          <w:b w:val="0"/>
          <w:bCs w:val="0"/>
          <w:sz w:val="24"/>
          <w:szCs w:val="24"/>
        </w:rPr>
      </w:pPr>
      <w:r w:rsidRPr="00604354">
        <w:rPr>
          <w:rStyle w:val="markedcontent"/>
          <w:b w:val="0"/>
          <w:bCs w:val="0"/>
          <w:sz w:val="24"/>
          <w:szCs w:val="24"/>
        </w:rPr>
        <w:t xml:space="preserve">Note: </w:t>
      </w:r>
      <w:r>
        <w:rPr>
          <w:rStyle w:val="markedcontent"/>
          <w:b w:val="0"/>
          <w:bCs w:val="0"/>
          <w:sz w:val="24"/>
          <w:szCs w:val="24"/>
        </w:rPr>
        <w:t xml:space="preserve">See </w:t>
      </w:r>
      <w:r w:rsidRPr="00604354">
        <w:rPr>
          <w:rStyle w:val="markedcontent"/>
          <w:b w:val="0"/>
          <w:bCs w:val="0"/>
          <w:sz w:val="24"/>
          <w:szCs w:val="24"/>
        </w:rPr>
        <w:t>Feb. 7, 2023, the U.S. Department of Justice press release</w:t>
      </w:r>
      <w:r>
        <w:rPr>
          <w:rStyle w:val="markedcontent"/>
          <w:b w:val="0"/>
          <w:bCs w:val="0"/>
          <w:sz w:val="24"/>
          <w:szCs w:val="24"/>
        </w:rPr>
        <w:t>: “</w:t>
      </w:r>
      <w:r w:rsidRPr="00604354">
        <w:rPr>
          <w:b w:val="0"/>
          <w:bCs w:val="0"/>
          <w:sz w:val="24"/>
          <w:szCs w:val="24"/>
        </w:rPr>
        <w:t>False Claims Act Settlements and Judgments Exceed $2 Billion in Fiscal Year 2022</w:t>
      </w:r>
      <w:r>
        <w:rPr>
          <w:b w:val="0"/>
          <w:bCs w:val="0"/>
          <w:sz w:val="24"/>
          <w:szCs w:val="24"/>
        </w:rPr>
        <w:t xml:space="preserve">.  Second Highest Number of Settlements in History. </w:t>
      </w:r>
      <w:hyperlink r:id="rId199" w:history="1">
        <w:r w:rsidRPr="009A7773">
          <w:rPr>
            <w:rStyle w:val="Hyperlink"/>
            <w:rFonts w:eastAsiaTheme="majorEastAsia"/>
            <w:b w:val="0"/>
            <w:bCs w:val="0"/>
            <w:sz w:val="24"/>
            <w:szCs w:val="24"/>
          </w:rPr>
          <w:t>https://www.justice.gov/opa/pr/false-claims-act-settlements-and-judgments-exceed-2-billion-fiscal-year-2022</w:t>
        </w:r>
      </w:hyperlink>
      <w:r>
        <w:rPr>
          <w:b w:val="0"/>
          <w:bCs w:val="0"/>
          <w:sz w:val="24"/>
          <w:szCs w:val="24"/>
        </w:rPr>
        <w:t xml:space="preserve"> </w:t>
      </w:r>
    </w:p>
    <w:p w14:paraId="1C14CF8A" w14:textId="77777777" w:rsidR="00DC17BF" w:rsidRDefault="00DC17BF" w:rsidP="00DC17BF">
      <w:pPr>
        <w:pStyle w:val="NormalWeb"/>
        <w:ind w:left="1440"/>
      </w:pPr>
      <w:r>
        <w:t>“Of the more than $2.2 billion in False Claims Act settlements and judgments reported by the Department of Justice this past fiscal year, over $1.7 billion related to matters that involved the health care industry, including drug and medical device manufacturers, durable medical equipment, home health and managed care providers, hospitals, pharmacies, hospice organizations, and physicians. The amounts included in the $1.7 billion reflect recoveries arising only from federal losses, and, in many of these cases, the department was instrumental in recovering additional amounts for state Medicaid programs. The recoveries in fiscal year 2022 also reflected the department’s focus on new enforcement priorities, including fraud in pandemic relief programs and alleged violations of cybersecurity requirements in government contracts and grants.</w:t>
      </w:r>
    </w:p>
    <w:p w14:paraId="656AB19B" w14:textId="77777777" w:rsidR="00DC17BF" w:rsidRDefault="00DC17BF" w:rsidP="00DC17BF">
      <w:pPr>
        <w:pStyle w:val="NormalWeb"/>
        <w:ind w:left="1440"/>
      </w:pPr>
      <w:r>
        <w:t xml:space="preserve">In 1986, Congress strengthened the False Claims Act by increasing incentives for whistleblowers to file lawsuits alleging false claims on behalf of the government. </w:t>
      </w:r>
      <w:proofErr w:type="gramStart"/>
      <w:r>
        <w:t>These whistleblower</w:t>
      </w:r>
      <w:proofErr w:type="gramEnd"/>
      <w:r>
        <w:t>,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Whistleblowers filed 652 qui tam suits in fiscal year 2022, and this past year the department reported settlements and judgments exceeding $1.9 billion in these and earlier-filed suits.”</w:t>
      </w:r>
    </w:p>
    <w:p w14:paraId="492C644B" w14:textId="77777777" w:rsidR="00DC17BF" w:rsidRDefault="00DC17BF" w:rsidP="00DC17BF">
      <w:pPr>
        <w:pStyle w:val="NormalWeb"/>
      </w:pPr>
    </w:p>
    <w:p w14:paraId="0C3D1B9D" w14:textId="7A51DC60" w:rsidR="00DC17BF" w:rsidRDefault="00DC17BF" w:rsidP="00F326E5">
      <w:pPr>
        <w:pStyle w:val="NoSpacing"/>
        <w:rPr>
          <w:rFonts w:ascii="Arial Black" w:hAnsi="Arial Black"/>
          <w:sz w:val="24"/>
          <w:szCs w:val="24"/>
        </w:rPr>
      </w:pPr>
      <w:r>
        <w:rPr>
          <w:rFonts w:ascii="Arial Black" w:hAnsi="Arial Black"/>
          <w:sz w:val="24"/>
          <w:szCs w:val="24"/>
        </w:rPr>
        <w:t>1-122</w:t>
      </w:r>
    </w:p>
    <w:p w14:paraId="241B705B" w14:textId="77777777" w:rsidR="00DC17BF" w:rsidRDefault="00DC17BF" w:rsidP="00F326E5">
      <w:pPr>
        <w:pStyle w:val="NoSpacing"/>
        <w:rPr>
          <w:rFonts w:ascii="Arial Black" w:hAnsi="Arial Black"/>
          <w:sz w:val="24"/>
          <w:szCs w:val="24"/>
        </w:rPr>
      </w:pPr>
    </w:p>
    <w:p w14:paraId="4C414283" w14:textId="77777777" w:rsidR="00DC17BF" w:rsidRDefault="00DC17BF" w:rsidP="00DC17BF">
      <w:pPr>
        <w:pStyle w:val="NormalWeb"/>
        <w:rPr>
          <w:rFonts w:ascii="Arial Black" w:hAnsi="Arial Black"/>
          <w:sz w:val="28"/>
          <w:szCs w:val="28"/>
        </w:rPr>
      </w:pPr>
      <w:r>
        <w:rPr>
          <w:rFonts w:ascii="Arial Black" w:hAnsi="Arial Black"/>
          <w:sz w:val="28"/>
          <w:szCs w:val="28"/>
        </w:rPr>
        <w:t>DC:  U.S. SUP. CT. – HONEST SERVICES FRAUD CONV. REV – AID NY GOV. COMO PAID $35,000 – BUT LEFT STATE GOV’T</w:t>
      </w:r>
    </w:p>
    <w:p w14:paraId="7EA17E31" w14:textId="77777777" w:rsidR="00DC17BF" w:rsidRDefault="00DC17BF" w:rsidP="00DC17BF">
      <w:pPr>
        <w:pStyle w:val="NormalWeb"/>
      </w:pPr>
      <w:r>
        <w:t xml:space="preserve">On May 11, 2023, in </w:t>
      </w:r>
      <w:r w:rsidRPr="00192D79">
        <w:rPr>
          <w:u w:val="single"/>
        </w:rPr>
        <w:t>Joseph Percoco v. United States</w:t>
      </w:r>
      <w:r>
        <w:t xml:space="preserve">, the U.S. Supreme Court held (9 to 0) in opinion by Justice Samuel Alito that jury instructions were improper regarding </w:t>
      </w:r>
      <w:r>
        <w:rPr>
          <w:rStyle w:val="markedcontent"/>
        </w:rPr>
        <w:t xml:space="preserve">honest-services-fraud </w:t>
      </w:r>
      <w:r>
        <w:t xml:space="preserve">and reversed conviction since conduct occurred when not a </w:t>
      </w:r>
      <w:proofErr w:type="gramStart"/>
      <w:r>
        <w:t>State</w:t>
      </w:r>
      <w:proofErr w:type="gramEnd"/>
      <w:r>
        <w:t xml:space="preserve"> employee. During </w:t>
      </w:r>
      <w:proofErr w:type="gramStart"/>
      <w:r>
        <w:t>8-months</w:t>
      </w:r>
      <w:proofErr w:type="gramEnd"/>
      <w:r>
        <w:t xml:space="preserve"> when he left position of </w:t>
      </w:r>
      <w:r>
        <w:rPr>
          <w:rStyle w:val="markedcontent"/>
        </w:rPr>
        <w:t xml:space="preserve">Executive Deputy Secretary for Governor Como to run his campaign, he accepted $35,000 in two payments from a developer seeking to do  business with the State of New York. </w:t>
      </w:r>
    </w:p>
    <w:p w14:paraId="14731F81" w14:textId="77777777" w:rsidR="00DC17BF" w:rsidRDefault="00DC17BF" w:rsidP="00DC17BF">
      <w:pPr>
        <w:pStyle w:val="NormalWeb"/>
        <w:ind w:left="720"/>
      </w:pPr>
      <w:r>
        <w:t>“</w:t>
      </w:r>
      <w:r>
        <w:rPr>
          <w:rStyle w:val="markedcontent"/>
        </w:rPr>
        <w:t>Petitioner Joseph Percoco was charged with conspiring to commit honest-services wire</w:t>
      </w:r>
      <w:r>
        <w:br/>
      </w:r>
      <w:r>
        <w:rPr>
          <w:rStyle w:val="markedcontent"/>
        </w:rPr>
        <w:t xml:space="preserve">fraud during </w:t>
      </w:r>
      <w:proofErr w:type="gramStart"/>
      <w:r>
        <w:rPr>
          <w:rStyle w:val="markedcontent"/>
        </w:rPr>
        <w:t>a period of time</w:t>
      </w:r>
      <w:proofErr w:type="gramEnd"/>
      <w:r>
        <w:rPr>
          <w:rStyle w:val="markedcontent"/>
        </w:rPr>
        <w:t xml:space="preserve"> that included an eight-month interval between two stints as a top aide to the Governor of New York. Percoco was convicted of this offense based on</w:t>
      </w:r>
      <w:r>
        <w:br/>
      </w:r>
      <w:r>
        <w:rPr>
          <w:rStyle w:val="markedcontent"/>
        </w:rPr>
        <w:t xml:space="preserve">instructions that required the jury to determine whether he had a ‘special relationship’ with the government and had ‘dominated and controlled’ government business…. We conclude that this is not the proper test for determining whether a private person may be convicted of </w:t>
      </w:r>
      <w:proofErr w:type="gramStart"/>
      <w:r>
        <w:rPr>
          <w:rStyle w:val="markedcontent"/>
        </w:rPr>
        <w:t>honest-services</w:t>
      </w:r>
      <w:proofErr w:type="gramEnd"/>
      <w:r>
        <w:rPr>
          <w:rStyle w:val="markedcontent"/>
        </w:rPr>
        <w:t xml:space="preserve"> fraud, and we therefore reverse and remand for further </w:t>
      </w:r>
      <w:proofErr w:type="gramStart"/>
      <w:r>
        <w:rPr>
          <w:rStyle w:val="markedcontent"/>
        </w:rPr>
        <w:t>proceedings.”</w:t>
      </w:r>
      <w:proofErr w:type="gramEnd"/>
      <w:r w:rsidRPr="00192D79">
        <w:t xml:space="preserve"> </w:t>
      </w:r>
      <w:hyperlink r:id="rId200" w:history="1">
        <w:r w:rsidRPr="003B7F1C">
          <w:rPr>
            <w:rStyle w:val="Hyperlink"/>
            <w:rFonts w:eastAsiaTheme="majorEastAsia"/>
          </w:rPr>
          <w:t>https://www.supremecourt.gov/opinions/22pdf/21-1158_p8k0.pdf</w:t>
        </w:r>
      </w:hyperlink>
      <w:r>
        <w:rPr>
          <w:rStyle w:val="markedcontent"/>
        </w:rPr>
        <w:t xml:space="preserve"> </w:t>
      </w:r>
    </w:p>
    <w:p w14:paraId="4AF30ACC" w14:textId="77777777" w:rsidR="00DC17BF" w:rsidRDefault="00DC17BF" w:rsidP="00DC17BF">
      <w:pPr>
        <w:pStyle w:val="NormalWeb"/>
        <w:rPr>
          <w:rStyle w:val="markedcontent"/>
          <w:b/>
          <w:bCs/>
        </w:rPr>
      </w:pPr>
      <w:r w:rsidRPr="00604354">
        <w:rPr>
          <w:rStyle w:val="markedcontent"/>
          <w:b/>
          <w:bCs/>
        </w:rPr>
        <w:t xml:space="preserve">Legal Lesson Learned: </w:t>
      </w:r>
      <w:r>
        <w:rPr>
          <w:rStyle w:val="markedcontent"/>
          <w:b/>
          <w:bCs/>
        </w:rPr>
        <w:t xml:space="preserve">This is a significant decision given the large number of Whistleblower lawsuits filed in the health care industry, including EMS billing cases. </w:t>
      </w:r>
    </w:p>
    <w:p w14:paraId="68F21D88" w14:textId="77777777" w:rsidR="00DC17BF" w:rsidRPr="00604354" w:rsidRDefault="00DC17BF" w:rsidP="00DC17BF">
      <w:pPr>
        <w:pStyle w:val="Heading1"/>
        <w:ind w:left="720"/>
        <w:rPr>
          <w:b w:val="0"/>
          <w:bCs w:val="0"/>
          <w:sz w:val="24"/>
          <w:szCs w:val="24"/>
        </w:rPr>
      </w:pPr>
      <w:r w:rsidRPr="00604354">
        <w:rPr>
          <w:rStyle w:val="markedcontent"/>
          <w:b w:val="0"/>
          <w:bCs w:val="0"/>
          <w:sz w:val="24"/>
          <w:szCs w:val="24"/>
        </w:rPr>
        <w:t xml:space="preserve">Note: </w:t>
      </w:r>
      <w:r>
        <w:rPr>
          <w:rStyle w:val="markedcontent"/>
          <w:b w:val="0"/>
          <w:bCs w:val="0"/>
          <w:sz w:val="24"/>
          <w:szCs w:val="24"/>
        </w:rPr>
        <w:t xml:space="preserve">See </w:t>
      </w:r>
      <w:r w:rsidRPr="00604354">
        <w:rPr>
          <w:rStyle w:val="markedcontent"/>
          <w:b w:val="0"/>
          <w:bCs w:val="0"/>
          <w:sz w:val="24"/>
          <w:szCs w:val="24"/>
        </w:rPr>
        <w:t>Feb. 7, 2023, the U.S. Department of Justice press release</w:t>
      </w:r>
      <w:r>
        <w:rPr>
          <w:rStyle w:val="markedcontent"/>
          <w:b w:val="0"/>
          <w:bCs w:val="0"/>
          <w:sz w:val="24"/>
          <w:szCs w:val="24"/>
        </w:rPr>
        <w:t>: “</w:t>
      </w:r>
      <w:r w:rsidRPr="00604354">
        <w:rPr>
          <w:b w:val="0"/>
          <w:bCs w:val="0"/>
          <w:sz w:val="24"/>
          <w:szCs w:val="24"/>
        </w:rPr>
        <w:t>False Claims Act Settlements and Judgments Exceed $2 Billion in Fiscal Year 2022</w:t>
      </w:r>
      <w:r>
        <w:rPr>
          <w:b w:val="0"/>
          <w:bCs w:val="0"/>
          <w:sz w:val="24"/>
          <w:szCs w:val="24"/>
        </w:rPr>
        <w:t xml:space="preserve">.  Second Highest Number of Settlements in History. </w:t>
      </w:r>
      <w:hyperlink r:id="rId201" w:history="1">
        <w:r w:rsidRPr="009A7773">
          <w:rPr>
            <w:rStyle w:val="Hyperlink"/>
            <w:rFonts w:eastAsiaTheme="majorEastAsia"/>
            <w:b w:val="0"/>
            <w:bCs w:val="0"/>
            <w:sz w:val="24"/>
            <w:szCs w:val="24"/>
          </w:rPr>
          <w:t>https://www.justice.gov/opa/pr/false-claims-act-settlements-and-judgments-exceed-2-billion-fiscal-year-2022</w:t>
        </w:r>
      </w:hyperlink>
      <w:r>
        <w:rPr>
          <w:b w:val="0"/>
          <w:bCs w:val="0"/>
          <w:sz w:val="24"/>
          <w:szCs w:val="24"/>
        </w:rPr>
        <w:t xml:space="preserve"> </w:t>
      </w:r>
    </w:p>
    <w:p w14:paraId="2B63DA0D" w14:textId="77777777" w:rsidR="00DC17BF" w:rsidRDefault="00DC17BF" w:rsidP="00DC17BF">
      <w:pPr>
        <w:pStyle w:val="NormalWeb"/>
        <w:ind w:left="1440"/>
      </w:pPr>
      <w:r>
        <w:t>“Of the more than $2.2 billion in False Claims Act settlements and judgments reported by the Department of Justice this past fiscal year, over $1.7 billion related to matters that involved the health care industry, including drug and medical device manufacturers, durable medical equipment, home health and managed care providers, hospitals, pharmacies, hospice organizations, and physicians. The amounts included in the $1.7 billion reflect recoveries arising only from federal losses, and, in many of these cases, the department was instrumental in recovering additional amounts for state Medicaid programs. The recoveries in fiscal year 2022 also reflected the department’s focus on new enforcement priorities, including fraud in pandemic relief programs and alleged violations of cybersecurity requirements in government contracts and grants.</w:t>
      </w:r>
    </w:p>
    <w:p w14:paraId="30B0F0ED" w14:textId="77777777" w:rsidR="00DC17BF" w:rsidRDefault="00DC17BF" w:rsidP="00DC17BF">
      <w:pPr>
        <w:pStyle w:val="NormalWeb"/>
        <w:ind w:left="1440"/>
      </w:pPr>
      <w:r>
        <w:t xml:space="preserve">In 1986, Congress strengthened the False Claims Act by increasing incentives for whistleblowers to file lawsuits alleging false claims on behalf of the government. </w:t>
      </w:r>
      <w:proofErr w:type="gramStart"/>
      <w:r>
        <w:t>These whistleblower</w:t>
      </w:r>
      <w:proofErr w:type="gramEnd"/>
      <w:r>
        <w:t>,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Whistleblowers filed 652 qui tam suits in fiscal year 2022, and this past year the department reported settlements and judgments exceeding $1.9 billion in these and earlier-filed suits.”</w:t>
      </w:r>
    </w:p>
    <w:p w14:paraId="0F178386" w14:textId="77777777" w:rsidR="00DC17BF" w:rsidRDefault="00DC17BF" w:rsidP="00DC17BF">
      <w:pPr>
        <w:pStyle w:val="NormalWeb"/>
      </w:pPr>
    </w:p>
    <w:p w14:paraId="236C3784" w14:textId="5977A549" w:rsidR="00DC17BF" w:rsidRDefault="00DC17BF" w:rsidP="00F326E5">
      <w:pPr>
        <w:pStyle w:val="NoSpacing"/>
        <w:rPr>
          <w:rFonts w:ascii="Arial Black" w:hAnsi="Arial Black"/>
          <w:sz w:val="24"/>
          <w:szCs w:val="24"/>
        </w:rPr>
      </w:pPr>
      <w:r>
        <w:rPr>
          <w:rFonts w:ascii="Arial Black" w:hAnsi="Arial Black"/>
          <w:sz w:val="24"/>
          <w:szCs w:val="24"/>
        </w:rPr>
        <w:t>1-121</w:t>
      </w:r>
    </w:p>
    <w:p w14:paraId="2DD4F80C" w14:textId="77777777" w:rsidR="00DC17BF" w:rsidRDefault="00DC17BF" w:rsidP="00F326E5">
      <w:pPr>
        <w:pStyle w:val="NoSpacing"/>
        <w:rPr>
          <w:rFonts w:ascii="Arial Black" w:hAnsi="Arial Black"/>
          <w:sz w:val="24"/>
          <w:szCs w:val="24"/>
        </w:rPr>
      </w:pPr>
    </w:p>
    <w:p w14:paraId="617F5931" w14:textId="77777777" w:rsidR="00DC17BF" w:rsidRDefault="00DC17BF" w:rsidP="00DC17BF">
      <w:pPr>
        <w:pStyle w:val="NormalWeb"/>
        <w:rPr>
          <w:b/>
          <w:bCs/>
        </w:rPr>
      </w:pPr>
      <w:bookmarkStart w:id="3" w:name="_Hlk136857835"/>
      <w:r>
        <w:rPr>
          <w:rFonts w:ascii="Arial Black" w:hAnsi="Arial Black"/>
          <w:b/>
          <w:bCs/>
          <w:sz w:val="28"/>
          <w:szCs w:val="28"/>
        </w:rPr>
        <w:t xml:space="preserve">CA (5/1/2023): ARSON – CONV. UPHELD – CIRCUMSTANTIAL EVIDENCE - DEFENDANT SEEN AT 4 OF 5 FIRES ONE YEAR </w:t>
      </w:r>
    </w:p>
    <w:bookmarkEnd w:id="3"/>
    <w:p w14:paraId="6D8D9D0A" w14:textId="77777777" w:rsidR="00DC17BF" w:rsidRPr="00DC17BF" w:rsidRDefault="00DC17BF" w:rsidP="00DC17BF">
      <w:pPr>
        <w:pStyle w:val="NormalWeb"/>
      </w:pPr>
      <w:r w:rsidRPr="00FD7241">
        <w:t xml:space="preserve">On May 1, 2023, in </w:t>
      </w:r>
      <w:r w:rsidRPr="00FD7241">
        <w:rPr>
          <w:u w:val="single"/>
        </w:rPr>
        <w:t>The People v. Franklin Alan Goubert</w:t>
      </w:r>
      <w:r>
        <w:t xml:space="preserve">, the California Court of Appeals, Third District, Tehama </w:t>
      </w:r>
      <w:r w:rsidRPr="00DC17BF">
        <w:t xml:space="preserve">held (3 to 0; unpublished decision) that the trial court judge, in a bench trial (no jury) properly found defendant guilty of two counts of arson to property, and one count of arson of forest land. </w:t>
      </w:r>
    </w:p>
    <w:p w14:paraId="57FE02DE" w14:textId="6CCE8C94" w:rsidR="00DC17BF" w:rsidRPr="00DC17BF" w:rsidRDefault="00DC17BF" w:rsidP="00DC17BF">
      <w:pPr>
        <w:pStyle w:val="NoSpacing"/>
        <w:rPr>
          <w:rFonts w:ascii="Times New Roman" w:hAnsi="Times New Roman"/>
          <w:sz w:val="24"/>
          <w:szCs w:val="24"/>
        </w:rPr>
      </w:pPr>
      <w:r w:rsidRPr="00DC17BF">
        <w:rPr>
          <w:rFonts w:ascii="Times New Roman" w:hAnsi="Times New Roman"/>
          <w:sz w:val="24"/>
          <w:szCs w:val="24"/>
        </w:rPr>
        <w:t xml:space="preserve">“The trial court heard testimony that the fire department saw defendant at four out of the five suspicious fires, and that seeing someone at multiple fires is unusual. The fifth suspicious </w:t>
      </w:r>
      <w:proofErr w:type="gramStart"/>
      <w:r w:rsidRPr="00DC17BF">
        <w:rPr>
          <w:rFonts w:ascii="Times New Roman" w:hAnsi="Times New Roman"/>
          <w:sz w:val="24"/>
          <w:szCs w:val="24"/>
        </w:rPr>
        <w:t>fire further</w:t>
      </w:r>
      <w:proofErr w:type="gramEnd"/>
      <w:r w:rsidRPr="00DC17BF">
        <w:rPr>
          <w:rFonts w:ascii="Times New Roman" w:hAnsi="Times New Roman"/>
          <w:sz w:val="24"/>
          <w:szCs w:val="24"/>
        </w:rPr>
        <w:t xml:space="preserve"> occurred near the camp where defendant was living. The five fires occurred over a one-year span; the fires were relatively small; two occurred near a railroad; at least three occurred in the middle of the night; four were near homeless encampments; and all five fires involved the burning of vegetation. There was further testimony that three of the fires were deliberately set and were not accidental or unintentional. Based on defendant's unusual presence at the restaurant fire (and the other fires), and the similarities between the restaurant fire and the other fires, it is reasonable to infer someone started the restaurant fire, and it was defendant who did so. (See </w:t>
      </w:r>
      <w:r w:rsidRPr="00DC17BF">
        <w:rPr>
          <w:rStyle w:val="Emphasis"/>
          <w:rFonts w:ascii="Times New Roman" w:hAnsi="Times New Roman"/>
          <w:sz w:val="24"/>
          <w:szCs w:val="24"/>
        </w:rPr>
        <w:t>Andrews I</w:t>
      </w:r>
      <w:r w:rsidRPr="00DC17BF">
        <w:rPr>
          <w:rFonts w:ascii="Times New Roman" w:hAnsi="Times New Roman"/>
          <w:sz w:val="24"/>
          <w:szCs w:val="24"/>
        </w:rPr>
        <w:t xml:space="preserve">, </w:t>
      </w:r>
      <w:r w:rsidRPr="00DC17BF">
        <w:rPr>
          <w:rStyle w:val="Emphasis"/>
          <w:rFonts w:ascii="Times New Roman" w:hAnsi="Times New Roman"/>
          <w:sz w:val="24"/>
          <w:szCs w:val="24"/>
        </w:rPr>
        <w:t>supra</w:t>
      </w:r>
      <w:r w:rsidRPr="00DC17BF">
        <w:rPr>
          <w:rFonts w:ascii="Times New Roman" w:hAnsi="Times New Roman"/>
          <w:sz w:val="24"/>
          <w:szCs w:val="24"/>
        </w:rPr>
        <w:t>, 222 Cal.App.2d at pp. 245-246 [finding sufficient evidence to establish the corpus delicti of arson when "[f]our fires within the same neighborhood, close in point of date . . ., closer in point of time of day . . ., all started by an apparently similar method, cumulate[d] to give to [the] circumstantial proof much more than prima facie veracity"].) The circumstantial evidence in this case "</w:t>
      </w:r>
      <w:proofErr w:type="spellStart"/>
      <w:r w:rsidRPr="00DC17BF">
        <w:rPr>
          <w:rFonts w:ascii="Times New Roman" w:hAnsi="Times New Roman"/>
          <w:sz w:val="24"/>
          <w:szCs w:val="24"/>
        </w:rPr>
        <w:t>snapp</w:t>
      </w:r>
      <w:proofErr w:type="spellEnd"/>
      <w:r w:rsidRPr="00DC17BF">
        <w:rPr>
          <w:rFonts w:ascii="Times New Roman" w:hAnsi="Times New Roman"/>
          <w:sz w:val="24"/>
          <w:szCs w:val="24"/>
        </w:rPr>
        <w:t>[ed] the long arm of coincidence" and established the corpus delicti for the restaurant fire. (</w:t>
      </w:r>
      <w:r w:rsidRPr="00DC17BF">
        <w:rPr>
          <w:rStyle w:val="Emphasis"/>
          <w:rFonts w:ascii="Times New Roman" w:hAnsi="Times New Roman"/>
          <w:sz w:val="24"/>
          <w:szCs w:val="24"/>
        </w:rPr>
        <w:t>Andrews I</w:t>
      </w:r>
      <w:r w:rsidRPr="00DC17BF">
        <w:rPr>
          <w:rFonts w:ascii="Times New Roman" w:hAnsi="Times New Roman"/>
          <w:sz w:val="24"/>
          <w:szCs w:val="24"/>
        </w:rPr>
        <w:t xml:space="preserve">, </w:t>
      </w:r>
      <w:r w:rsidRPr="00DC17BF">
        <w:rPr>
          <w:rStyle w:val="Emphasis"/>
          <w:rFonts w:ascii="Times New Roman" w:hAnsi="Times New Roman"/>
          <w:sz w:val="24"/>
          <w:szCs w:val="24"/>
        </w:rPr>
        <w:t>supra</w:t>
      </w:r>
      <w:r w:rsidRPr="00DC17BF">
        <w:rPr>
          <w:rFonts w:ascii="Times New Roman" w:hAnsi="Times New Roman"/>
          <w:sz w:val="24"/>
          <w:szCs w:val="24"/>
        </w:rPr>
        <w:t xml:space="preserve">, 222 Cal.App.2d at p. 245.)” </w:t>
      </w:r>
      <w:hyperlink r:id="rId202" w:history="1">
        <w:r w:rsidRPr="00DC17BF">
          <w:rPr>
            <w:rStyle w:val="Hyperlink"/>
            <w:rFonts w:ascii="Times New Roman" w:eastAsiaTheme="majorEastAsia" w:hAnsi="Times New Roman"/>
            <w:sz w:val="24"/>
            <w:szCs w:val="24"/>
          </w:rPr>
          <w:t>https://public.fastcase.com/ZZhmr5v9wN%2FXOe5IsQ%2FqDwpaI7JNx0yucAfBBTCYhVf6eRN0F6j2PHZ4Bf4v9PLOEuaobgTYEa8%2BzQGGWxAHAgvFhF3yj4k41BJEkNmdniM%3D?utm_medium=email&amp;_hsmi=226712652&amp;_hsenc=p2ANqtz-_dwT49KfhNPpDq3N3VwSjkZTEUiwZEDoqDlulVdR_yzkAg6581Fi_9SACtWrDkZJ_u8Xp6dukkkP4Lu33go_UmHv0HyQ&amp;utm_content=226712652&amp;utm_source=hs_email</w:t>
        </w:r>
      </w:hyperlink>
    </w:p>
    <w:p w14:paraId="059BAD30" w14:textId="77777777" w:rsidR="00DC17BF" w:rsidRDefault="00DC17BF" w:rsidP="00F326E5">
      <w:pPr>
        <w:pStyle w:val="NoSpacing"/>
        <w:rPr>
          <w:rFonts w:ascii="Arial Black" w:hAnsi="Arial Black"/>
          <w:sz w:val="24"/>
          <w:szCs w:val="24"/>
        </w:rPr>
      </w:pPr>
    </w:p>
    <w:p w14:paraId="15B5368A" w14:textId="77777777" w:rsidR="00DC17BF" w:rsidRPr="00DF03D1" w:rsidRDefault="00DC17BF" w:rsidP="00DC17BF">
      <w:pPr>
        <w:pStyle w:val="NormalWeb"/>
        <w:rPr>
          <w:b/>
          <w:bCs/>
        </w:rPr>
      </w:pPr>
      <w:r w:rsidRPr="00DF03D1">
        <w:rPr>
          <w:b/>
          <w:bCs/>
        </w:rPr>
        <w:t>Legal Lesson Learned:</w:t>
      </w:r>
      <w:r>
        <w:rPr>
          <w:b/>
          <w:bCs/>
        </w:rPr>
        <w:t xml:space="preserve"> Observing </w:t>
      </w:r>
      <w:proofErr w:type="gramStart"/>
      <w:r>
        <w:rPr>
          <w:b/>
          <w:bCs/>
        </w:rPr>
        <w:t>defendant</w:t>
      </w:r>
      <w:proofErr w:type="gramEnd"/>
      <w:r>
        <w:rPr>
          <w:b/>
          <w:bCs/>
        </w:rPr>
        <w:t xml:space="preserve"> at multiple fires led to his convictions. </w:t>
      </w:r>
    </w:p>
    <w:p w14:paraId="6529F552" w14:textId="5E513569" w:rsidR="00DC17BF" w:rsidRDefault="00DC17BF" w:rsidP="00F326E5">
      <w:pPr>
        <w:pStyle w:val="NoSpacing"/>
        <w:rPr>
          <w:rFonts w:ascii="Arial Black" w:hAnsi="Arial Black"/>
          <w:sz w:val="24"/>
          <w:szCs w:val="24"/>
        </w:rPr>
      </w:pPr>
      <w:r>
        <w:rPr>
          <w:rFonts w:ascii="Arial Black" w:hAnsi="Arial Black"/>
          <w:sz w:val="24"/>
          <w:szCs w:val="24"/>
        </w:rPr>
        <w:t xml:space="preserve"> </w:t>
      </w:r>
    </w:p>
    <w:p w14:paraId="4FCDB951" w14:textId="77777777" w:rsidR="00DC17BF" w:rsidRDefault="00DC17BF" w:rsidP="00F326E5">
      <w:pPr>
        <w:pStyle w:val="NoSpacing"/>
        <w:rPr>
          <w:rFonts w:ascii="Arial Black" w:hAnsi="Arial Black"/>
          <w:sz w:val="24"/>
          <w:szCs w:val="24"/>
        </w:rPr>
      </w:pPr>
    </w:p>
    <w:p w14:paraId="384D3DF7" w14:textId="77777777" w:rsidR="00DC17BF" w:rsidRDefault="00DC17BF" w:rsidP="00F326E5">
      <w:pPr>
        <w:pStyle w:val="NoSpacing"/>
        <w:rPr>
          <w:rFonts w:ascii="Arial Black" w:hAnsi="Arial Black"/>
          <w:sz w:val="24"/>
          <w:szCs w:val="24"/>
        </w:rPr>
      </w:pPr>
    </w:p>
    <w:p w14:paraId="31CAF639" w14:textId="1F591580" w:rsidR="007A0E71" w:rsidRDefault="007A0E71" w:rsidP="00F326E5">
      <w:pPr>
        <w:pStyle w:val="NoSpacing"/>
        <w:rPr>
          <w:rFonts w:ascii="Arial Black" w:hAnsi="Arial Black"/>
          <w:sz w:val="24"/>
          <w:szCs w:val="24"/>
        </w:rPr>
      </w:pPr>
      <w:r>
        <w:rPr>
          <w:rFonts w:ascii="Arial Black" w:hAnsi="Arial Black"/>
          <w:sz w:val="24"/>
          <w:szCs w:val="24"/>
        </w:rPr>
        <w:t>1-120</w:t>
      </w:r>
    </w:p>
    <w:p w14:paraId="5F584F5E" w14:textId="77777777" w:rsidR="007A0E71" w:rsidRDefault="007A0E71" w:rsidP="00F326E5">
      <w:pPr>
        <w:pStyle w:val="NoSpacing"/>
        <w:rPr>
          <w:rFonts w:ascii="Arial Black" w:hAnsi="Arial Black"/>
          <w:sz w:val="24"/>
          <w:szCs w:val="24"/>
        </w:rPr>
      </w:pPr>
    </w:p>
    <w:p w14:paraId="5779B036" w14:textId="77777777" w:rsidR="007A0E71" w:rsidRPr="001F782C" w:rsidRDefault="007A0E71" w:rsidP="007A0E71">
      <w:pPr>
        <w:pStyle w:val="NormalWeb"/>
        <w:rPr>
          <w:rFonts w:ascii="Arial Black" w:hAnsi="Arial Black"/>
          <w:sz w:val="28"/>
          <w:szCs w:val="28"/>
        </w:rPr>
      </w:pPr>
      <w:r w:rsidRPr="001F782C">
        <w:rPr>
          <w:rFonts w:ascii="Arial Black" w:hAnsi="Arial Black"/>
          <w:sz w:val="28"/>
          <w:szCs w:val="28"/>
        </w:rPr>
        <w:t>CA (4/12/2023)</w:t>
      </w:r>
      <w:r>
        <w:rPr>
          <w:rFonts w:ascii="Arial Black" w:hAnsi="Arial Black"/>
          <w:sz w:val="28"/>
          <w:szCs w:val="28"/>
        </w:rPr>
        <w:t xml:space="preserve"> – SAFER GRANT – FRAUD – RECRUITING VOL. FF - 12 MONTHS PRISON, $1.2 MILLION RESTITUTION</w:t>
      </w:r>
    </w:p>
    <w:p w14:paraId="7269FBFA" w14:textId="77777777" w:rsidR="007A0E71" w:rsidRDefault="007A0E71" w:rsidP="007A0E71">
      <w:pPr>
        <w:pStyle w:val="NormalWeb"/>
      </w:pPr>
      <w:r w:rsidRPr="001F782C">
        <w:rPr>
          <w:u w:val="single"/>
        </w:rPr>
        <w:t>United States v. Samuel Thomas Lanier</w:t>
      </w:r>
      <w:r>
        <w:t xml:space="preserve">, U.S. District Court Chief Judge Kimberly J. Mueller. </w:t>
      </w:r>
      <w:hyperlink r:id="rId203" w:history="1">
        <w:r w:rsidRPr="00173A17">
          <w:rPr>
            <w:rStyle w:val="Hyperlink"/>
            <w:rFonts w:eastAsiaTheme="majorEastAsia"/>
          </w:rPr>
          <w:t>https://www.leagle.com/decision/infdco20230413c44</w:t>
        </w:r>
      </w:hyperlink>
    </w:p>
    <w:p w14:paraId="20F88F65" w14:textId="77777777" w:rsidR="007A0E71" w:rsidRPr="004D4F51" w:rsidRDefault="007A0E71" w:rsidP="007A0E71">
      <w:pPr>
        <w:pStyle w:val="NormalWeb"/>
        <w:rPr>
          <w:b/>
          <w:bCs/>
        </w:rPr>
      </w:pPr>
      <w:r w:rsidRPr="004D4F51">
        <w:rPr>
          <w:b/>
          <w:bCs/>
        </w:rPr>
        <w:t xml:space="preserve">Legal Lesson Learned: </w:t>
      </w:r>
      <w:r>
        <w:rPr>
          <w:b/>
          <w:bCs/>
        </w:rPr>
        <w:t>Fraudulent charges to Fed. Government can lead to prison time and restitution.</w:t>
      </w:r>
    </w:p>
    <w:p w14:paraId="7568FB32" w14:textId="7AA1DB4C" w:rsidR="007A0E71" w:rsidRDefault="007A0E71" w:rsidP="007A0E71">
      <w:pPr>
        <w:pStyle w:val="NoSpacing"/>
        <w:rPr>
          <w:rFonts w:ascii="Arial Black" w:hAnsi="Arial Black"/>
          <w:sz w:val="24"/>
          <w:szCs w:val="24"/>
        </w:rPr>
      </w:pPr>
      <w:r w:rsidRPr="004D4F51">
        <w:rPr>
          <w:sz w:val="24"/>
          <w:szCs w:val="24"/>
        </w:rPr>
        <w:t xml:space="preserve">Note: See </w:t>
      </w:r>
      <w:r>
        <w:rPr>
          <w:sz w:val="24"/>
          <w:szCs w:val="24"/>
        </w:rPr>
        <w:t xml:space="preserve">Oct. 17, </w:t>
      </w:r>
      <w:proofErr w:type="gramStart"/>
      <w:r>
        <w:rPr>
          <w:sz w:val="24"/>
          <w:szCs w:val="24"/>
        </w:rPr>
        <w:t>2022</w:t>
      </w:r>
      <w:proofErr w:type="gramEnd"/>
      <w:r>
        <w:rPr>
          <w:sz w:val="24"/>
          <w:szCs w:val="24"/>
        </w:rPr>
        <w:t xml:space="preserve"> Press Release – “</w:t>
      </w:r>
      <w:r w:rsidRPr="004D4F51">
        <w:rPr>
          <w:rStyle w:val="field-formatter--string"/>
          <w:sz w:val="24"/>
          <w:szCs w:val="24"/>
        </w:rPr>
        <w:t>Siskiyou County Man Sentenced to 1 Year in Prison for Major Fraud Against the United States for Taking FEMA Grant Funds</w:t>
      </w:r>
      <w:r>
        <w:rPr>
          <w:rStyle w:val="field-formatter--string"/>
          <w:sz w:val="24"/>
          <w:szCs w:val="24"/>
        </w:rPr>
        <w:t xml:space="preserve">.” </w:t>
      </w:r>
      <w:hyperlink r:id="rId204" w:history="1">
        <w:r w:rsidRPr="00173A17">
          <w:rPr>
            <w:rStyle w:val="Hyperlink"/>
            <w:rFonts w:eastAsiaTheme="majorEastAsia"/>
            <w:sz w:val="24"/>
            <w:szCs w:val="24"/>
          </w:rPr>
          <w:t>https://www.justice.gov/usao-edca/pr/siskiyou-county-man-sentenced-1-year-prison-major-fraud-against-united-states-taking</w:t>
        </w:r>
      </w:hyperlink>
    </w:p>
    <w:p w14:paraId="15206FEB" w14:textId="77777777" w:rsidR="007A0E71" w:rsidRDefault="007A0E71" w:rsidP="00F326E5">
      <w:pPr>
        <w:pStyle w:val="NoSpacing"/>
        <w:rPr>
          <w:rFonts w:ascii="Arial Black" w:hAnsi="Arial Black"/>
          <w:sz w:val="24"/>
          <w:szCs w:val="24"/>
        </w:rPr>
      </w:pPr>
    </w:p>
    <w:p w14:paraId="7B7C6D24" w14:textId="5254AA91" w:rsidR="003F788B" w:rsidRDefault="003F788B" w:rsidP="00F326E5">
      <w:pPr>
        <w:pStyle w:val="NoSpacing"/>
        <w:rPr>
          <w:rFonts w:ascii="Arial Black" w:hAnsi="Arial Black"/>
          <w:sz w:val="24"/>
          <w:szCs w:val="24"/>
        </w:rPr>
      </w:pPr>
      <w:r>
        <w:rPr>
          <w:rFonts w:ascii="Arial Black" w:hAnsi="Arial Black"/>
          <w:sz w:val="24"/>
          <w:szCs w:val="24"/>
        </w:rPr>
        <w:t>1-119</w:t>
      </w:r>
    </w:p>
    <w:p w14:paraId="7FFB5D97" w14:textId="77777777" w:rsidR="003F788B" w:rsidRDefault="003F788B" w:rsidP="003F788B">
      <w:pPr>
        <w:pStyle w:val="NormalWeb"/>
        <w:rPr>
          <w:rFonts w:ascii="Arial Black" w:hAnsi="Arial Black"/>
          <w:sz w:val="28"/>
          <w:szCs w:val="28"/>
        </w:rPr>
      </w:pPr>
      <w:r>
        <w:rPr>
          <w:rFonts w:ascii="Arial Black" w:hAnsi="Arial Black"/>
          <w:sz w:val="28"/>
          <w:szCs w:val="28"/>
        </w:rPr>
        <w:t>MI: FIRE MARSHAL DENIED QUALIFIED IMMUNITY, CHANGED RPT “INCENDIARY” – LODD - BLDG OWNER SUES</w:t>
      </w:r>
    </w:p>
    <w:p w14:paraId="6942614A" w14:textId="77777777" w:rsidR="003F788B" w:rsidRDefault="003F788B" w:rsidP="003F788B">
      <w:pPr>
        <w:pStyle w:val="NormalWeb"/>
      </w:pPr>
      <w:r>
        <w:t xml:space="preserve">On March 24, 2023, in </w:t>
      </w:r>
      <w:r>
        <w:rPr>
          <w:u w:val="single"/>
        </w:rPr>
        <w:t xml:space="preserve">George Marvaso, et al. v. Richard Sanchez, et </w:t>
      </w:r>
      <w:r>
        <w:t>al., U.S. District Court Judge Linda V. Parker, Eastern District of Michigan (Southern Division) held that the lawsuit by the owners of the restaurant and adjacent pool hall may proceed in lawsuit against the Fire Marshal and others for alleged violation of their federal constitutional rights under 4</w:t>
      </w:r>
      <w:r>
        <w:rPr>
          <w:vertAlign w:val="superscript"/>
        </w:rPr>
        <w:t>th</w:t>
      </w:r>
      <w:r>
        <w:t xml:space="preserve"> &amp; 14</w:t>
      </w:r>
      <w:r>
        <w:rPr>
          <w:vertAlign w:val="superscript"/>
        </w:rPr>
        <w:t>th</w:t>
      </w:r>
      <w:r>
        <w:t xml:space="preserve"> Amendment, when Fire Marshall changed his origin and cause report from “undetermined: (May 2013) to “incendiary” (Nov. 2013).   During the fire, there was a building collapse and firefighter Brian Woelke was trapped and died. See NIOSH FF Fatality Report: </w:t>
      </w:r>
      <w:hyperlink r:id="rId205" w:history="1">
        <w:r>
          <w:rPr>
            <w:rStyle w:val="Hyperlink"/>
          </w:rPr>
          <w:t>https://www.cdc.gov/niosh/fire/pdfs/face201314.pdf</w:t>
        </w:r>
      </w:hyperlink>
      <w:r>
        <w:t xml:space="preserve">.  In Aug. 2013, state OSHA issued citations for LODD and FD paid $3,500 in fines. </w:t>
      </w:r>
    </w:p>
    <w:p w14:paraId="329B4267" w14:textId="77777777" w:rsidR="003F788B" w:rsidRDefault="003F788B" w:rsidP="003F788B">
      <w:pPr>
        <w:pStyle w:val="NormalWeb"/>
        <w:ind w:left="720"/>
      </w:pPr>
      <w:r>
        <w:t xml:space="preserve">The Court denied the Fire Marshall’s motion to dismiss the case and referenced the plaintiffs’ allegations. “On or about mid-September 2013, Fire Marshal Adams met with Westland City Councilman Bill Johnson. While Adams previously told Councilman Johnson that the cause of the fire was electrical in nature, he now indicated that he was changing his conclusion to an incendiary cause even though he had no new evidence. When Councilman Johnson asked Fire Marshal Adams why he was changing his mind, Fire Marshal Adams answered: ‘Because a firefighter died, Bill.’”  Plaintiffs further alleged:  “In mid-November 2013, Fire Marshal Adams submitted an alleged false fire origin and cause report to the Michigan State Police (‘MSP’) and Wayne County Prosecutor's Office, which triggered an MSP homicide investigation resulting in the allegedly unlawful search warrants … being executed for Plaintiffs' homes, where records and personal property were seized. Fire Marshal Adams' announcement that the fire had an incendiary cause, and that the MSP would be opening a homicide investigation into Woelke's death was widely reported in the statewide news media.” </w:t>
      </w:r>
      <w:hyperlink r:id="rId206" w:history="1">
        <w:r>
          <w:rPr>
            <w:rStyle w:val="Hyperlink"/>
          </w:rPr>
          <w:t>https://public.fastcase.com/J%2FJP6pdidelsXxEE4k%2BLMh%2BxgKCWLadJ0%2BOScffwypyz9KPkH6WwjXpW3uRa%2FlRTPk79L8Q2wc49Eb83uFrfiOwpLA5%2BzEeF6Sl%2BnZohK7o%3D?utm_medium=email&amp;_hsmi=226712652&amp;_hsenc=p2ANqtz--JRFw_odmHYH-3piiElV-hEg_p30YKZr85DqTYsa6cCP0cQTh9qrySQOzbjYsHMVm2otLm7TlEchGQvTofiaLZzRru3Q&amp;utm_content=226712652&amp;utm_source=hs_email</w:t>
        </w:r>
      </w:hyperlink>
      <w:r>
        <w:t xml:space="preserve"> </w:t>
      </w:r>
    </w:p>
    <w:p w14:paraId="094F4030" w14:textId="77777777" w:rsidR="003F788B" w:rsidRDefault="003F788B" w:rsidP="003F788B">
      <w:pPr>
        <w:pStyle w:val="NormalWeb"/>
        <w:ind w:left="720" w:firstLine="60"/>
      </w:pPr>
      <w:r>
        <w:t>“</w:t>
      </w:r>
      <w:r>
        <w:rPr>
          <w:rStyle w:val="Emphasis"/>
        </w:rPr>
        <w:t>Qualified Immunity as to Alleged Constitutional Violations…</w:t>
      </w:r>
      <w:r>
        <w:t xml:space="preserve"> Plaintiffs have presented sufficient evidence that Fire Marshal Adams was aware that his action was unlawful, which occurred when he allegedly responded to Councilman Johnson with his reasoning for changing the report. A reasonable fireman, officer, or anyone with the requisite training, is aware that engaging in such conduct would be unlawful and at the very least, would likely amount to a termination of employment. As such, absent any evidence on the record to rebut that statement, Fire Marshal Adams is not entitled to the protections of qualified immunity.” </w:t>
      </w:r>
    </w:p>
    <w:p w14:paraId="405E31F3" w14:textId="77777777" w:rsidR="003F788B" w:rsidRDefault="003F788B" w:rsidP="003F788B">
      <w:pPr>
        <w:pStyle w:val="NormalWeb"/>
        <w:rPr>
          <w:b/>
          <w:bCs/>
        </w:rPr>
      </w:pPr>
      <w:r>
        <w:rPr>
          <w:b/>
          <w:bCs/>
        </w:rPr>
        <w:t xml:space="preserve">Legal Lesson Learned: The plaintiffs’ allegations are </w:t>
      </w:r>
      <w:proofErr w:type="gramStart"/>
      <w:r>
        <w:rPr>
          <w:b/>
          <w:bCs/>
        </w:rPr>
        <w:t>shocking, but</w:t>
      </w:r>
      <w:proofErr w:type="gramEnd"/>
      <w:r>
        <w:rPr>
          <w:b/>
          <w:bCs/>
        </w:rPr>
        <w:t xml:space="preserve"> have not been proven at trial.  The Fire Marshall may decide to </w:t>
      </w:r>
      <w:proofErr w:type="gramStart"/>
      <w:r>
        <w:rPr>
          <w:b/>
          <w:bCs/>
        </w:rPr>
        <w:t>take</w:t>
      </w:r>
      <w:proofErr w:type="gramEnd"/>
      <w:r>
        <w:rPr>
          <w:b/>
          <w:bCs/>
        </w:rPr>
        <w:t xml:space="preserve"> an immediate appeal to 6</w:t>
      </w:r>
      <w:r>
        <w:rPr>
          <w:b/>
          <w:bCs/>
          <w:vertAlign w:val="superscript"/>
        </w:rPr>
        <w:t>th</w:t>
      </w:r>
      <w:r>
        <w:rPr>
          <w:b/>
          <w:bCs/>
        </w:rPr>
        <w:t xml:space="preserve"> Circuit on denial of qualified immunity. </w:t>
      </w:r>
    </w:p>
    <w:p w14:paraId="78AF202C" w14:textId="77777777" w:rsidR="003F788B" w:rsidRDefault="003F788B" w:rsidP="003F788B">
      <w:pPr>
        <w:pStyle w:val="NormalWeb"/>
        <w:ind w:left="720"/>
      </w:pPr>
      <w:r>
        <w:t xml:space="preserve">Note: The Court dismissed from this lawsuit the Michigan State Police lieutenant who submitted a search warrant affidavit, that included following: </w:t>
      </w:r>
    </w:p>
    <w:p w14:paraId="71724393"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 multiple tips that the fire was intentionally set, </w:t>
      </w:r>
    </w:p>
    <w:p w14:paraId="47974787"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(2) a vehicle in the parking lot of the business after hours on the night of the fire that matched a description of Marvaso, Jr.'s car,  </w:t>
      </w:r>
    </w:p>
    <w:p w14:paraId="119FD9E4"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(3) information from a Marvaso relative that Marvaso, Sr. was distraught because the fire was an insurance job and no one was supposed to get hurt, </w:t>
      </w:r>
    </w:p>
    <w:p w14:paraId="3C76BD1F"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(4) a recent fire cause and origin report from Westland determining that the fire was intentionally set, </w:t>
      </w:r>
    </w:p>
    <w:p w14:paraId="32421811"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(5) information that the entry doors were locked and not disturbed, </w:t>
      </w:r>
    </w:p>
    <w:p w14:paraId="2CA21ACB"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(6) the inference that no forced entry suggested an inside job, </w:t>
      </w:r>
    </w:p>
    <w:p w14:paraId="61EAB6AF"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(7) information about financial difficulties associated with the business, </w:t>
      </w:r>
    </w:p>
    <w:p w14:paraId="046F48B8"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(8) information that Plaintiffs removed items from the scene of the fire, </w:t>
      </w:r>
    </w:p>
    <w:p w14:paraId="3C4578F6"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(9) information regarding business related items that may be located at Plaintiffs' residences and storage lockers, </w:t>
      </w:r>
    </w:p>
    <w:p w14:paraId="503E3F19"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(10) information about telephone numbers associated with the business, </w:t>
      </w:r>
    </w:p>
    <w:p w14:paraId="7F0771BA"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(11) information about the role of each Plaintiff in the business, and </w:t>
      </w:r>
    </w:p>
    <w:p w14:paraId="5BA2EFFE"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(12) information that the insurance coverage was recently raised. </w:t>
      </w:r>
    </w:p>
    <w:p w14:paraId="46532D3D" w14:textId="23062BC0" w:rsidR="003F788B" w:rsidRDefault="003F788B" w:rsidP="00F326E5">
      <w:pPr>
        <w:pStyle w:val="NoSpacing"/>
        <w:rPr>
          <w:rFonts w:ascii="Arial Black" w:hAnsi="Arial Black"/>
          <w:sz w:val="24"/>
          <w:szCs w:val="24"/>
        </w:rPr>
      </w:pPr>
    </w:p>
    <w:p w14:paraId="1EDBFEF6" w14:textId="77777777" w:rsidR="003F788B" w:rsidRDefault="003F788B" w:rsidP="00F326E5">
      <w:pPr>
        <w:pStyle w:val="NoSpacing"/>
        <w:rPr>
          <w:rFonts w:ascii="Arial Black" w:hAnsi="Arial Black"/>
          <w:sz w:val="24"/>
          <w:szCs w:val="24"/>
        </w:rPr>
      </w:pPr>
    </w:p>
    <w:p w14:paraId="008C7A19" w14:textId="77777777" w:rsidR="003F788B" w:rsidRDefault="003F788B" w:rsidP="00F326E5">
      <w:pPr>
        <w:pStyle w:val="NoSpacing"/>
        <w:rPr>
          <w:rFonts w:ascii="Arial Black" w:hAnsi="Arial Black"/>
          <w:sz w:val="24"/>
          <w:szCs w:val="24"/>
        </w:rPr>
      </w:pPr>
    </w:p>
    <w:p w14:paraId="0D599D1F" w14:textId="77777777" w:rsidR="003F788B" w:rsidRDefault="003F788B" w:rsidP="00F326E5">
      <w:pPr>
        <w:pStyle w:val="NoSpacing"/>
        <w:rPr>
          <w:rFonts w:ascii="Arial Black" w:hAnsi="Arial Black"/>
          <w:sz w:val="24"/>
          <w:szCs w:val="24"/>
        </w:rPr>
      </w:pPr>
    </w:p>
    <w:p w14:paraId="4E3989D3" w14:textId="77777777" w:rsidR="003F788B" w:rsidRDefault="003F788B" w:rsidP="00F326E5">
      <w:pPr>
        <w:pStyle w:val="NoSpacing"/>
        <w:rPr>
          <w:rFonts w:ascii="Arial Black" w:hAnsi="Arial Black"/>
          <w:sz w:val="24"/>
          <w:szCs w:val="24"/>
        </w:rPr>
      </w:pPr>
    </w:p>
    <w:p w14:paraId="3EC93410" w14:textId="106930D5" w:rsidR="003F788B" w:rsidRDefault="003F788B" w:rsidP="00F326E5">
      <w:pPr>
        <w:pStyle w:val="NoSpacing"/>
        <w:rPr>
          <w:rFonts w:ascii="Arial Black" w:hAnsi="Arial Black"/>
          <w:sz w:val="24"/>
          <w:szCs w:val="24"/>
        </w:rPr>
      </w:pPr>
      <w:r>
        <w:rPr>
          <w:rFonts w:ascii="Arial Black" w:hAnsi="Arial Black"/>
          <w:sz w:val="24"/>
          <w:szCs w:val="24"/>
        </w:rPr>
        <w:t>1-118</w:t>
      </w:r>
    </w:p>
    <w:p w14:paraId="2E83124E" w14:textId="7561F347" w:rsidR="003F788B" w:rsidRDefault="003F788B" w:rsidP="00F326E5">
      <w:pPr>
        <w:pStyle w:val="NoSpacing"/>
        <w:rPr>
          <w:rFonts w:ascii="Arial Black" w:hAnsi="Arial Black"/>
          <w:sz w:val="24"/>
          <w:szCs w:val="24"/>
        </w:rPr>
      </w:pPr>
    </w:p>
    <w:p w14:paraId="3C8F0748" w14:textId="77777777" w:rsidR="003F788B" w:rsidRDefault="003F788B" w:rsidP="003F788B">
      <w:pPr>
        <w:pStyle w:val="NormalWeb"/>
        <w:rPr>
          <w:rFonts w:ascii="Arial Black" w:hAnsi="Arial Black"/>
          <w:b/>
          <w:bCs/>
          <w:sz w:val="28"/>
          <w:szCs w:val="28"/>
        </w:rPr>
      </w:pPr>
      <w:r>
        <w:rPr>
          <w:rFonts w:ascii="Arial Black" w:hAnsi="Arial Black"/>
          <w:b/>
          <w:bCs/>
          <w:sz w:val="28"/>
          <w:szCs w:val="28"/>
        </w:rPr>
        <w:t>KY: DRUG OVERDOSE – “GOOD SAMARITAN LAW” – DOES NOT PROTECT OVERDOSE VICTIM FOR TRAFFICKING</w:t>
      </w:r>
    </w:p>
    <w:p w14:paraId="56171F56" w14:textId="77777777" w:rsidR="003F788B" w:rsidRDefault="003F788B" w:rsidP="003F788B">
      <w:pPr>
        <w:pStyle w:val="NormalWeb"/>
      </w:pPr>
      <w:r>
        <w:t xml:space="preserve">On March 10, 2023, in </w:t>
      </w:r>
      <w:r>
        <w:rPr>
          <w:u w:val="single"/>
        </w:rPr>
        <w:t>Jordan Brown v. Commonwealth of Kentucky</w:t>
      </w:r>
      <w:r>
        <w:t xml:space="preserve">, the Court of Appeals of Kentucky held (3 to 0; unpublished decision) that trial court properly denied the defendant’s motion to dismiss. “On August 28, 2021, Brown overdosed at the home of Chandra Walker (‘Walker’). Walker called 911. Both law enforcement and emergency medical </w:t>
      </w:r>
      <w:proofErr w:type="gramStart"/>
      <w:r>
        <w:t>services (‘EMS’)</w:t>
      </w:r>
      <w:proofErr w:type="gramEnd"/>
      <w:r>
        <w:t xml:space="preserve"> responded to the call. EMS found Brown unresponsive, administered Narcan, and transported Brown to the hospital. Police searched Brown and his surroundings and discovered a loaded syringe, a scale, heroin, and an ounce of methamphetamine. As a result of this incident, Brown was indicted on one count of trafficking in controlled substances in the first degree. Thereafter, Brown filed a motion to dismiss, arguing KRS 218A.133 bars prosecution for trafficking. The trial court denied the motion. Brown then entered a conditional guilty </w:t>
      </w:r>
      <w:proofErr w:type="gramStart"/>
      <w:r>
        <w:t>plea</w:t>
      </w:r>
      <w:proofErr w:type="gramEnd"/>
      <w:r>
        <w:t xml:space="preserve"> and, upon entry of the final judgment, he was sentenced to seven years' imprisonment. This appeal followed.”</w:t>
      </w:r>
    </w:p>
    <w:p w14:paraId="5019F956" w14:textId="77777777" w:rsidR="003F788B" w:rsidRDefault="003F788B" w:rsidP="003F788B">
      <w:pPr>
        <w:pStyle w:val="NormalWeb"/>
        <w:ind w:left="720"/>
      </w:pPr>
      <w:r>
        <w:t xml:space="preserve">The Court held: “Prosecution for trafficking offenses is not prohibited by KRS 218A.133. It is fundamental to statutory construction that we first look "to the language of the statute, giving the words their plain and ordinary meaning." </w:t>
      </w:r>
      <w:r>
        <w:rPr>
          <w:rStyle w:val="Emphasis"/>
        </w:rPr>
        <w:t>Overstreet v. Kindred Nursing Centers Limited Partnership</w:t>
      </w:r>
      <w:r>
        <w:t xml:space="preserve">, 479 S.W.3d 69, 73 (Ky. 2015) (citation omitted). Where the language of the statute is unambiguous, we will not consider extrinsic evidence, including evidence of legislative intent. </w:t>
      </w:r>
      <w:r>
        <w:rPr>
          <w:rStyle w:val="Emphasis"/>
        </w:rPr>
        <w:t>Id</w:t>
      </w:r>
      <w:r>
        <w:t xml:space="preserve">. (citation omitted). KRS 218A.133 specifically prohibits charging or prosecuting an individual for criminal offenses related to </w:t>
      </w:r>
      <w:r>
        <w:rPr>
          <w:rStyle w:val="Strong"/>
        </w:rPr>
        <w:t>possession</w:t>
      </w:r>
      <w:r>
        <w:t xml:space="preserve"> of controlled substances and/or paraphernalia. The statute does not mention trafficking offenses. Trafficking offenses are distinct from possession charges. Trafficking is separately defined as ‘to manufacture, distribute, dispense, sell, transfer, or possess with intent to manufacture, distribute, dispense, or sell a controlled substance[.]’ KRS 218A.010(56). The General Assembly unambiguously chose only to prohibit charging or prosecuting for possession offenses but not for trafficking offenses.” </w:t>
      </w:r>
      <w:hyperlink r:id="rId207" w:history="1">
        <w:r>
          <w:rPr>
            <w:rStyle w:val="Hyperlink"/>
          </w:rPr>
          <w:t>https://law.justia.com/cases/kentucky/court-of-appeals/2023/2022-ca-0276-mr.html</w:t>
        </w:r>
      </w:hyperlink>
      <w:r>
        <w:t xml:space="preserve"> </w:t>
      </w:r>
    </w:p>
    <w:p w14:paraId="0F7F42F2" w14:textId="77777777" w:rsidR="003F788B" w:rsidRDefault="003F788B" w:rsidP="003F788B">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KRS 218A.133(2), “</w:t>
      </w:r>
      <w:r>
        <w:rPr>
          <w:rStyle w:val="markedcontent"/>
          <w:rFonts w:ascii="Times New Roman" w:hAnsi="Times New Roman"/>
          <w:sz w:val="24"/>
          <w:szCs w:val="24"/>
        </w:rPr>
        <w:t>Exemption from prosecution for possession of controlled substance or drug paraphernalia if seeking assistance with drug overdose.”</w:t>
      </w:r>
    </w:p>
    <w:p w14:paraId="2037E43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A person shall not be charged with or prosecuted for a criminal offense prohibiting the possession of a controlled substance or the possession of drug paraphernalia if: </w:t>
      </w:r>
    </w:p>
    <w:p w14:paraId="1B3A71C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(a) In good faith, medical assistance with a drug overdose is sought from a public safety answering point, emergency medical services, a law enforcement officer, or a health practitioner because the person: </w:t>
      </w:r>
    </w:p>
    <w:p w14:paraId="2C2B1BA2"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1. Requests emergency medical assistance for himself or herself or another person; </w:t>
      </w:r>
    </w:p>
    <w:p w14:paraId="0CCFEEDF"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2. Acts in concert with another person who requests emergency medical assistance; or </w:t>
      </w:r>
    </w:p>
    <w:p w14:paraId="200B8C66"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3. Appears to </w:t>
      </w:r>
      <w:proofErr w:type="gramStart"/>
      <w:r>
        <w:rPr>
          <w:rFonts w:ascii="Times New Roman" w:eastAsia="Times New Roman" w:hAnsi="Times New Roman"/>
          <w:sz w:val="24"/>
          <w:szCs w:val="24"/>
        </w:rPr>
        <w:t>be in need of</w:t>
      </w:r>
      <w:proofErr w:type="gramEnd"/>
      <w:r>
        <w:rPr>
          <w:rFonts w:ascii="Times New Roman" w:eastAsia="Times New Roman" w:hAnsi="Times New Roman"/>
          <w:sz w:val="24"/>
          <w:szCs w:val="24"/>
        </w:rPr>
        <w:t xml:space="preserve"> emergency medical assistance and is the individual for whom the request was made; </w:t>
      </w:r>
    </w:p>
    <w:p w14:paraId="7615DF0C"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(b) The person remains with, or is, the individual who appears to be experiencing a drug overdose until the requested assistance is provided; and </w:t>
      </w:r>
    </w:p>
    <w:p w14:paraId="401ABFD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(c) The evidence for the charge or prosecution is obtained </w:t>
      </w:r>
      <w:proofErr w:type="gramStart"/>
      <w:r>
        <w:rPr>
          <w:rFonts w:ascii="Times New Roman" w:eastAsia="Times New Roman" w:hAnsi="Times New Roman"/>
          <w:sz w:val="24"/>
          <w:szCs w:val="24"/>
        </w:rPr>
        <w:t>as a result of</w:t>
      </w:r>
      <w:proofErr w:type="gramEnd"/>
      <w:r>
        <w:rPr>
          <w:rFonts w:ascii="Times New Roman" w:eastAsia="Times New Roman" w:hAnsi="Times New Roman"/>
          <w:sz w:val="24"/>
          <w:szCs w:val="24"/>
        </w:rPr>
        <w:t xml:space="preserve"> the drug overdose and the need for medical assistance. </w:t>
      </w:r>
      <w:hyperlink r:id="rId208" w:history="1">
        <w:r>
          <w:rPr>
            <w:rStyle w:val="Hyperlink"/>
            <w:sz w:val="24"/>
            <w:szCs w:val="24"/>
          </w:rPr>
          <w:t>https://apps.legislature.ky.gov/law/statutes/statute.aspx?id=44007</w:t>
        </w:r>
      </w:hyperlink>
      <w:r>
        <w:rPr>
          <w:rFonts w:ascii="Times New Roman" w:eastAsia="Times New Roman" w:hAnsi="Times New Roman"/>
          <w:sz w:val="24"/>
          <w:szCs w:val="24"/>
        </w:rPr>
        <w:t xml:space="preserve"> </w:t>
      </w:r>
    </w:p>
    <w:p w14:paraId="5D3DF437" w14:textId="77777777" w:rsidR="003F788B" w:rsidRDefault="003F788B" w:rsidP="003F788B">
      <w:pPr>
        <w:pStyle w:val="NormalWeb"/>
        <w:rPr>
          <w:b/>
          <w:bCs/>
        </w:rPr>
      </w:pPr>
      <w:r>
        <w:rPr>
          <w:b/>
          <w:bCs/>
        </w:rPr>
        <w:t xml:space="preserve">Legal Lesson Learned: Numerous states have enacted similar laws, to encourage drug users and their friends to call 911. </w:t>
      </w:r>
    </w:p>
    <w:p w14:paraId="2CCED7C5" w14:textId="77777777" w:rsidR="003F788B" w:rsidRDefault="003F788B" w:rsidP="003F788B">
      <w:pPr>
        <w:pStyle w:val="NormalWeb"/>
        <w:ind w:left="720"/>
      </w:pPr>
      <w:r>
        <w:t xml:space="preserve">Note: See Ohio Good Samaritan law, Ohio Rev. Code 2925.11, </w:t>
      </w:r>
      <w:hyperlink r:id="rId209" w:history="1">
        <w:r>
          <w:rPr>
            <w:rStyle w:val="Hyperlink"/>
          </w:rPr>
          <w:t>https://codes.ohio.gov/ohio-revised-code/section-2925.11</w:t>
        </w:r>
      </w:hyperlink>
    </w:p>
    <w:p w14:paraId="163868BA" w14:textId="77777777" w:rsidR="003F788B" w:rsidRDefault="003F788B" w:rsidP="003F788B">
      <w:pPr>
        <w:pStyle w:val="NormalWeb"/>
        <w:ind w:left="720"/>
      </w:pPr>
      <w:r>
        <w:t>“(viii): ‘Qualified individual’ means a person who is not on community control or post-release control and is a person acting in good faith who seeks or obtains medical assistance for another person who is experiencing a drug overdose, a person who experiences a drug overdose and who seeks medical assistance for that overdose, or a person who is the subject of another person seeking or obtaining medical assistance for that overdose as described in division (B)(2)(b) of this section.</w:t>
      </w:r>
    </w:p>
    <w:p w14:paraId="0D1657FA" w14:textId="77777777" w:rsidR="003F788B" w:rsidRDefault="003F788B" w:rsidP="003F788B">
      <w:pPr>
        <w:pStyle w:val="NormalWeb"/>
        <w:ind w:left="720"/>
      </w:pPr>
      <w:r>
        <w:t>***</w:t>
      </w:r>
    </w:p>
    <w:p w14:paraId="2D39D256" w14:textId="77777777" w:rsidR="003F788B" w:rsidRDefault="003F788B" w:rsidP="003F788B">
      <w:pPr>
        <w:pStyle w:val="NormalWeb"/>
        <w:ind w:left="720"/>
      </w:pPr>
      <w:r>
        <w:t xml:space="preserve">Subject to division (B)(2)(f) of this section, a qualified individual shall not be arrested, charged, prosecuted, convicted, or penalized pursuant to this chapter for a minor drug possession offense if </w:t>
      </w:r>
      <w:proofErr w:type="gramStart"/>
      <w:r>
        <w:t>all of</w:t>
      </w:r>
      <w:proofErr w:type="gramEnd"/>
      <w:r>
        <w:t xml:space="preserve"> the following apply:</w:t>
      </w:r>
    </w:p>
    <w:p w14:paraId="1E46EFC8" w14:textId="77777777" w:rsidR="003F788B" w:rsidRDefault="003F788B" w:rsidP="003F788B">
      <w:pPr>
        <w:pStyle w:val="NormalWeb"/>
        <w:ind w:left="720"/>
      </w:pPr>
      <w:r>
        <w:t>(</w:t>
      </w:r>
      <w:proofErr w:type="spellStart"/>
      <w:r>
        <w:t>i</w:t>
      </w:r>
      <w:proofErr w:type="spellEnd"/>
      <w:r>
        <w:t xml:space="preserve">) The evidence of the obtaining, possession, or use of the controlled substance or controlled substance analog that would be the basis of the offense was obtained </w:t>
      </w:r>
      <w:proofErr w:type="gramStart"/>
      <w:r>
        <w:t>as a result of</w:t>
      </w:r>
      <w:proofErr w:type="gramEnd"/>
      <w:r>
        <w:t xml:space="preserve"> the qualified individual seeking </w:t>
      </w:r>
      <w:proofErr w:type="gramStart"/>
      <w:r>
        <w:t>the medical</w:t>
      </w:r>
      <w:proofErr w:type="gramEnd"/>
      <w:r>
        <w:t xml:space="preserve"> assistance or experiencing an overdose and needing medical assistance.</w:t>
      </w:r>
    </w:p>
    <w:p w14:paraId="22698A86" w14:textId="77777777" w:rsidR="003F788B" w:rsidRDefault="003F788B" w:rsidP="003F788B">
      <w:pPr>
        <w:pStyle w:val="NormalWeb"/>
        <w:ind w:left="720"/>
      </w:pPr>
      <w:r>
        <w:t xml:space="preserve">(ii) Subject to division (B)(2)(g) of this section, within thirty days after seeking or obtaining </w:t>
      </w:r>
      <w:proofErr w:type="gramStart"/>
      <w:r>
        <w:t>the medical</w:t>
      </w:r>
      <w:proofErr w:type="gramEnd"/>
      <w:r>
        <w:t xml:space="preserve"> assistance, the qualified individual seeks and obtains a screening and receives a referral for treatment from a community addiction services provider or a properly credentialed addiction treatment professional.</w:t>
      </w:r>
    </w:p>
    <w:p w14:paraId="45F3F95E" w14:textId="77777777" w:rsidR="003F788B" w:rsidRDefault="003F788B" w:rsidP="003F788B">
      <w:pPr>
        <w:pStyle w:val="NormalWeb"/>
        <w:ind w:left="720"/>
      </w:pPr>
      <w:r>
        <w:t>(iii) Subject to division (B)(2)(g) of this section, the qualified individual who obtains a screening and receives a referral for treatment under division (B)(2)(b)(ii) of this section, upon the request of any prosecuting attorney, submits documentation to the prosecuting attorney that verifies that the qualified individual satisfied the requirements of that division. The documentation shall be limited to the date and time of the screening obtained and referral received.”</w:t>
      </w:r>
    </w:p>
    <w:p w14:paraId="49BEECCB" w14:textId="77777777" w:rsidR="003F788B" w:rsidRDefault="003F788B" w:rsidP="00F326E5">
      <w:pPr>
        <w:pStyle w:val="NoSpacing"/>
        <w:rPr>
          <w:rFonts w:ascii="Arial Black" w:hAnsi="Arial Black"/>
          <w:sz w:val="24"/>
          <w:szCs w:val="24"/>
        </w:rPr>
      </w:pPr>
    </w:p>
    <w:p w14:paraId="504DBD8F" w14:textId="77777777" w:rsidR="003F788B" w:rsidRDefault="003F788B" w:rsidP="00F326E5">
      <w:pPr>
        <w:pStyle w:val="NoSpacing"/>
        <w:rPr>
          <w:rFonts w:ascii="Arial Black" w:hAnsi="Arial Black"/>
          <w:sz w:val="24"/>
          <w:szCs w:val="24"/>
        </w:rPr>
      </w:pPr>
    </w:p>
    <w:p w14:paraId="044AA993" w14:textId="77777777" w:rsidR="003F788B" w:rsidRDefault="003F788B" w:rsidP="00F326E5">
      <w:pPr>
        <w:pStyle w:val="NoSpacing"/>
        <w:rPr>
          <w:rFonts w:ascii="Arial Black" w:hAnsi="Arial Black"/>
          <w:sz w:val="24"/>
          <w:szCs w:val="24"/>
        </w:rPr>
      </w:pPr>
    </w:p>
    <w:p w14:paraId="5707DBC6" w14:textId="516E01DF" w:rsidR="00AB637D" w:rsidRDefault="00AB637D" w:rsidP="00F326E5">
      <w:pPr>
        <w:pStyle w:val="NoSpacing"/>
        <w:rPr>
          <w:rFonts w:ascii="Arial Black" w:hAnsi="Arial Black"/>
          <w:sz w:val="24"/>
          <w:szCs w:val="24"/>
        </w:rPr>
      </w:pPr>
      <w:r>
        <w:rPr>
          <w:rFonts w:ascii="Arial Black" w:hAnsi="Arial Black"/>
          <w:sz w:val="24"/>
          <w:szCs w:val="24"/>
        </w:rPr>
        <w:t>1-117</w:t>
      </w:r>
    </w:p>
    <w:p w14:paraId="6F0883FE" w14:textId="34BC8D8D" w:rsidR="00AB637D" w:rsidRDefault="00AB637D" w:rsidP="00F326E5">
      <w:pPr>
        <w:pStyle w:val="NoSpacing"/>
        <w:rPr>
          <w:rFonts w:ascii="Arial Black" w:hAnsi="Arial Black"/>
          <w:sz w:val="24"/>
          <w:szCs w:val="24"/>
        </w:rPr>
      </w:pPr>
    </w:p>
    <w:p w14:paraId="5076DF5D" w14:textId="77777777" w:rsidR="00AB637D" w:rsidRPr="00D33471" w:rsidRDefault="00AB637D" w:rsidP="00AB637D">
      <w:pPr>
        <w:pStyle w:val="Heading2"/>
        <w:rPr>
          <w:rStyle w:val="markedcontent"/>
          <w:rFonts w:ascii="Times New Roman" w:hAnsi="Times New Roman"/>
          <w:b w:val="0"/>
          <w:bCs w:val="0"/>
          <w:i w:val="0"/>
          <w:iCs w:val="0"/>
          <w:sz w:val="24"/>
          <w:szCs w:val="24"/>
        </w:rPr>
      </w:pPr>
      <w:r w:rsidRPr="00D33471">
        <w:rPr>
          <w:rStyle w:val="markedcontent"/>
          <w:rFonts w:ascii="Arial Black" w:hAnsi="Arial Black"/>
          <w:i w:val="0"/>
          <w:iCs w:val="0"/>
        </w:rPr>
        <w:t xml:space="preserve">OH: TEACHERS CAN HAVE FIREARMS – WITH SCHOOL PERMISSION - 24 HRS TRAINING – REQUEST LIST </w:t>
      </w:r>
    </w:p>
    <w:p w14:paraId="3FE459D4" w14:textId="77777777" w:rsidR="00AB637D" w:rsidRDefault="00AB637D" w:rsidP="00AB637D">
      <w:pPr>
        <w:rPr>
          <w:rStyle w:val="markedcontent"/>
          <w:rFonts w:ascii="Times New Roman" w:hAnsi="Times New Roman"/>
          <w:sz w:val="24"/>
          <w:szCs w:val="24"/>
        </w:rPr>
      </w:pPr>
      <w:r w:rsidRPr="00FD23CA">
        <w:rPr>
          <w:rStyle w:val="markedcontent"/>
          <w:rFonts w:ascii="Times New Roman" w:hAnsi="Times New Roman"/>
          <w:sz w:val="24"/>
          <w:szCs w:val="24"/>
        </w:rPr>
        <w:t xml:space="preserve">Now that this new statute </w:t>
      </w:r>
      <w:r>
        <w:rPr>
          <w:rStyle w:val="markedcontent"/>
          <w:rFonts w:ascii="Times New Roman" w:hAnsi="Times New Roman"/>
          <w:sz w:val="24"/>
          <w:szCs w:val="24"/>
        </w:rPr>
        <w:t xml:space="preserve">became effective September 12. 2022, </w:t>
      </w:r>
      <w:r w:rsidRPr="00FD23CA">
        <w:rPr>
          <w:rStyle w:val="markedcontent"/>
          <w:rFonts w:ascii="Times New Roman" w:hAnsi="Times New Roman"/>
          <w:sz w:val="24"/>
          <w:szCs w:val="24"/>
        </w:rPr>
        <w:t xml:space="preserve">Ohio Fire &amp; EMS Departments, as well as police departments, should have a current </w:t>
      </w:r>
      <w:proofErr w:type="gramStart"/>
      <w:r w:rsidRPr="00FD23CA">
        <w:rPr>
          <w:rStyle w:val="markedcontent"/>
          <w:rFonts w:ascii="Times New Roman" w:hAnsi="Times New Roman"/>
          <w:sz w:val="24"/>
          <w:szCs w:val="24"/>
        </w:rPr>
        <w:t>list</w:t>
      </w:r>
      <w:proofErr w:type="gramEnd"/>
      <w:r w:rsidRPr="00FD23CA">
        <w:rPr>
          <w:rStyle w:val="markedcontent"/>
          <w:rFonts w:ascii="Times New Roman" w:hAnsi="Times New Roman"/>
          <w:sz w:val="24"/>
          <w:szCs w:val="24"/>
        </w:rPr>
        <w:t xml:space="preserve"> school employees who are authorized to carry firearms. </w:t>
      </w:r>
      <w:hyperlink r:id="rId210" w:history="1">
        <w:r w:rsidRPr="00FE41C2">
          <w:rPr>
            <w:rStyle w:val="Hyperlink"/>
            <w:rFonts w:ascii="Times New Roman" w:hAnsi="Times New Roman"/>
            <w:sz w:val="24"/>
            <w:szCs w:val="24"/>
          </w:rPr>
          <w:t>https://www.legislature.ohio.gov/legislation/134/hb99</w:t>
        </w:r>
      </w:hyperlink>
      <w:r>
        <w:rPr>
          <w:rStyle w:val="markedcontent"/>
          <w:rFonts w:ascii="Times New Roman" w:hAnsi="Times New Roman"/>
          <w:sz w:val="24"/>
          <w:szCs w:val="24"/>
        </w:rPr>
        <w:t xml:space="preserve"> </w:t>
      </w:r>
      <w:r w:rsidRPr="00FD23CA">
        <w:rPr>
          <w:rStyle w:val="markedcontent"/>
          <w:rFonts w:ascii="Times New Roman" w:hAnsi="Times New Roman"/>
          <w:sz w:val="24"/>
          <w:szCs w:val="24"/>
        </w:rPr>
        <w:t xml:space="preserve">  It would also be helpful to have their photographs and invite them to participate in Active Shooter drills.</w:t>
      </w:r>
      <w:r>
        <w:rPr>
          <w:rStyle w:val="markedcontent"/>
          <w:rFonts w:ascii="Times New Roman" w:hAnsi="Times New Roman"/>
          <w:sz w:val="24"/>
          <w:szCs w:val="24"/>
        </w:rPr>
        <w:t xml:space="preserve"> </w:t>
      </w:r>
      <w:r w:rsidRPr="007818B5">
        <w:rPr>
          <w:rFonts w:ascii="Times New Roman" w:hAnsi="Times New Roman"/>
          <w:sz w:val="24"/>
          <w:szCs w:val="24"/>
        </w:rPr>
        <w:t>On June 13, 2022, Governor Mike DeWine signed House Bill 99</w:t>
      </w:r>
      <w:r>
        <w:rPr>
          <w:rFonts w:ascii="Times New Roman" w:hAnsi="Times New Roman"/>
          <w:sz w:val="24"/>
          <w:szCs w:val="24"/>
        </w:rPr>
        <w:t xml:space="preserve">.  The statute requires 24 hours of training, overturning a decision of Ohio Supreme Court, which held that teachers must take same training as police officers – about 60 hours.  </w:t>
      </w:r>
      <w:r w:rsidRPr="007818B5">
        <w:rPr>
          <w:rStyle w:val="markedcontent"/>
          <w:rFonts w:ascii="Times New Roman" w:hAnsi="Times New Roman"/>
          <w:sz w:val="24"/>
          <w:szCs w:val="24"/>
        </w:rPr>
        <w:t>Gabbard et al. v. Madison Local School District Board of Education</w:t>
      </w:r>
      <w:r>
        <w:rPr>
          <w:rStyle w:val="markedcontent"/>
          <w:rFonts w:ascii="Times New Roman" w:hAnsi="Times New Roman"/>
          <w:sz w:val="24"/>
          <w:szCs w:val="24"/>
        </w:rPr>
        <w:t xml:space="preserve">. June 23, 2021; </w:t>
      </w:r>
      <w:hyperlink r:id="rId211" w:history="1">
        <w:r w:rsidRPr="006169C4">
          <w:rPr>
            <w:rStyle w:val="Hyperlink"/>
            <w:rFonts w:ascii="Times New Roman" w:hAnsi="Times New Roman"/>
            <w:sz w:val="24"/>
            <w:szCs w:val="24"/>
          </w:rPr>
          <w:t>https://www.supremecourt.ohio.gov/rod/docs/pdf/0/2021/2021-ohio-2067.pdf</w:t>
        </w:r>
      </w:hyperlink>
      <w:r>
        <w:rPr>
          <w:rStyle w:val="markedcontent"/>
          <w:rFonts w:ascii="Times New Roman" w:hAnsi="Times New Roman"/>
          <w:sz w:val="24"/>
          <w:szCs w:val="24"/>
        </w:rPr>
        <w:t xml:space="preserve"> </w:t>
      </w:r>
    </w:p>
    <w:p w14:paraId="365702D7" w14:textId="77777777" w:rsidR="00AB637D" w:rsidRPr="0095101F" w:rsidRDefault="00AB637D" w:rsidP="00AB637D">
      <w:pPr>
        <w:ind w:left="720"/>
        <w:rPr>
          <w:rStyle w:val="markedcontent"/>
          <w:rFonts w:ascii="Times New Roman" w:hAnsi="Times New Roman"/>
          <w:sz w:val="24"/>
          <w:szCs w:val="24"/>
        </w:rPr>
      </w:pPr>
      <w:r>
        <w:rPr>
          <w:rFonts w:ascii="Times New Roman" w:hAnsi="Times New Roman"/>
          <w:sz w:val="24"/>
          <w:szCs w:val="24"/>
        </w:rPr>
        <w:t>“</w:t>
      </w:r>
      <w:r w:rsidRPr="0095101F">
        <w:rPr>
          <w:rFonts w:ascii="Times New Roman" w:hAnsi="Times New Roman"/>
          <w:sz w:val="24"/>
          <w:szCs w:val="24"/>
        </w:rPr>
        <w:t>In April 2018, just over two years after a school shooting at Madison</w:t>
      </w:r>
      <w:r w:rsidRPr="0095101F">
        <w:rPr>
          <w:rFonts w:ascii="Times New Roman" w:hAnsi="Times New Roman"/>
          <w:sz w:val="24"/>
          <w:szCs w:val="24"/>
        </w:rPr>
        <w:br/>
        <w:t>Junior/Senior High School that resulted in injuries to four students, appellant</w:t>
      </w:r>
      <w:r w:rsidRPr="0095101F">
        <w:rPr>
          <w:rFonts w:ascii="Times New Roman" w:hAnsi="Times New Roman"/>
          <w:sz w:val="24"/>
          <w:szCs w:val="24"/>
        </w:rPr>
        <w:br/>
        <w:t>Madison Local School District Board of Education (</w:t>
      </w:r>
      <w:r>
        <w:rPr>
          <w:rFonts w:ascii="Times New Roman" w:hAnsi="Times New Roman"/>
          <w:sz w:val="24"/>
          <w:szCs w:val="24"/>
        </w:rPr>
        <w:t>‘</w:t>
      </w:r>
      <w:r w:rsidRPr="0095101F">
        <w:rPr>
          <w:rFonts w:ascii="Times New Roman" w:hAnsi="Times New Roman"/>
          <w:sz w:val="24"/>
          <w:szCs w:val="24"/>
        </w:rPr>
        <w:t>the board</w:t>
      </w:r>
      <w:r>
        <w:rPr>
          <w:rFonts w:ascii="Times New Roman" w:hAnsi="Times New Roman"/>
          <w:sz w:val="24"/>
          <w:szCs w:val="24"/>
        </w:rPr>
        <w:t>’</w:t>
      </w:r>
      <w:r w:rsidRPr="0095101F">
        <w:rPr>
          <w:rFonts w:ascii="Times New Roman" w:hAnsi="Times New Roman"/>
          <w:sz w:val="24"/>
          <w:szCs w:val="24"/>
        </w:rPr>
        <w:t>) passed a</w:t>
      </w:r>
      <w:r w:rsidRPr="0095101F">
        <w:rPr>
          <w:rFonts w:ascii="Times New Roman" w:hAnsi="Times New Roman"/>
          <w:sz w:val="24"/>
          <w:szCs w:val="24"/>
        </w:rPr>
        <w:br/>
        <w:t>resolution to authorize certain school-district employees to carry a deadly weapon</w:t>
      </w:r>
      <w:r w:rsidRPr="0095101F">
        <w:rPr>
          <w:rFonts w:ascii="Times New Roman" w:hAnsi="Times New Roman"/>
          <w:sz w:val="24"/>
          <w:szCs w:val="24"/>
        </w:rPr>
        <w:br/>
        <w:t xml:space="preserve">or dangerous ordnance on school property </w:t>
      </w:r>
      <w:r>
        <w:rPr>
          <w:rFonts w:ascii="Times New Roman" w:hAnsi="Times New Roman"/>
          <w:sz w:val="24"/>
          <w:szCs w:val="24"/>
        </w:rPr>
        <w:t>‘</w:t>
      </w:r>
      <w:r w:rsidRPr="0095101F">
        <w:rPr>
          <w:rFonts w:ascii="Times New Roman" w:hAnsi="Times New Roman"/>
          <w:sz w:val="24"/>
          <w:szCs w:val="24"/>
        </w:rPr>
        <w:t>for the welfare and safety of [its]</w:t>
      </w:r>
      <w:r w:rsidRPr="0095101F">
        <w:rPr>
          <w:rFonts w:ascii="Times New Roman" w:hAnsi="Times New Roman"/>
          <w:sz w:val="24"/>
          <w:szCs w:val="24"/>
        </w:rPr>
        <w:br/>
        <w:t>students.</w:t>
      </w:r>
      <w:r>
        <w:rPr>
          <w:rFonts w:ascii="Times New Roman" w:hAnsi="Times New Roman"/>
          <w:sz w:val="24"/>
          <w:szCs w:val="24"/>
        </w:rPr>
        <w:t>’</w:t>
      </w:r>
      <w:r w:rsidRPr="0095101F">
        <w:rPr>
          <w:rFonts w:ascii="Times New Roman" w:hAnsi="Times New Roman"/>
          <w:sz w:val="24"/>
          <w:szCs w:val="24"/>
        </w:rPr>
        <w:t xml:space="preserve"> This appeal asks us to determine whether that resolution complies with</w:t>
      </w:r>
      <w:r w:rsidRPr="0095101F">
        <w:rPr>
          <w:rFonts w:ascii="Times New Roman" w:hAnsi="Times New Roman"/>
          <w:sz w:val="24"/>
          <w:szCs w:val="24"/>
        </w:rPr>
        <w:br/>
        <w:t>Ohio law. We conclude that it does not.</w:t>
      </w:r>
    </w:p>
    <w:p w14:paraId="4314D05E" w14:textId="77777777" w:rsidR="00AB637D" w:rsidRDefault="00AB637D" w:rsidP="00AB637D">
      <w:pPr>
        <w:rPr>
          <w:rStyle w:val="markedcontent"/>
          <w:rFonts w:ascii="Times New Roman" w:hAnsi="Times New Roman"/>
          <w:sz w:val="24"/>
          <w:szCs w:val="24"/>
        </w:rPr>
      </w:pPr>
      <w:r w:rsidRPr="00720D0B">
        <w:rPr>
          <w:rFonts w:ascii="Times New Roman" w:hAnsi="Times New Roman"/>
          <w:sz w:val="24"/>
          <w:szCs w:val="24"/>
        </w:rPr>
        <w:t xml:space="preserve">House Bill 99 requires each school district or governing body to maintain a list of personnel who are trained and qualified to carry a firearm. However, the bill explicitly exempts this list from the definition of a public record. </w:t>
      </w:r>
      <w:hyperlink r:id="rId212" w:history="1">
        <w:r w:rsidRPr="00B71FA0">
          <w:rPr>
            <w:rStyle w:val="Hyperlink"/>
            <w:rFonts w:ascii="Times New Roman" w:hAnsi="Times New Roman"/>
            <w:sz w:val="24"/>
            <w:szCs w:val="24"/>
          </w:rPr>
          <w:t>https://www.legislature.ohio.gov/download?key=19460&amp;format=pdf</w:t>
        </w:r>
      </w:hyperlink>
      <w:r>
        <w:rPr>
          <w:rStyle w:val="markedcontent"/>
          <w:rFonts w:ascii="Times New Roman" w:hAnsi="Times New Roman"/>
          <w:sz w:val="24"/>
          <w:szCs w:val="24"/>
        </w:rPr>
        <w:t xml:space="preserve"> </w:t>
      </w:r>
    </w:p>
    <w:p w14:paraId="108A6CF5" w14:textId="77777777" w:rsidR="00AB637D" w:rsidRDefault="00AB637D" w:rsidP="00AB637D">
      <w:pPr>
        <w:rPr>
          <w:rFonts w:ascii="Times New Roman" w:hAnsi="Times New Roman"/>
          <w:b/>
          <w:bCs/>
          <w:sz w:val="24"/>
          <w:szCs w:val="24"/>
        </w:rPr>
      </w:pPr>
      <w:r w:rsidRPr="001362CF">
        <w:rPr>
          <w:rFonts w:ascii="Times New Roman" w:hAnsi="Times New Roman"/>
          <w:b/>
          <w:bCs/>
          <w:sz w:val="24"/>
          <w:szCs w:val="24"/>
        </w:rPr>
        <w:t xml:space="preserve">Legal Lesson Learned: </w:t>
      </w:r>
      <w:r>
        <w:rPr>
          <w:rFonts w:ascii="Times New Roman" w:hAnsi="Times New Roman"/>
          <w:b/>
          <w:bCs/>
          <w:sz w:val="24"/>
          <w:szCs w:val="24"/>
        </w:rPr>
        <w:t xml:space="preserve"> Fire and Police Departments should have current list of </w:t>
      </w:r>
      <w:proofErr w:type="gramStart"/>
      <w:r>
        <w:rPr>
          <w:rFonts w:ascii="Times New Roman" w:hAnsi="Times New Roman"/>
          <w:b/>
          <w:bCs/>
          <w:sz w:val="24"/>
          <w:szCs w:val="24"/>
        </w:rPr>
        <w:t>these armed</w:t>
      </w:r>
      <w:proofErr w:type="gramEnd"/>
      <w:r>
        <w:rPr>
          <w:rFonts w:ascii="Times New Roman" w:hAnsi="Times New Roman"/>
          <w:b/>
          <w:bCs/>
          <w:sz w:val="24"/>
          <w:szCs w:val="24"/>
        </w:rPr>
        <w:t xml:space="preserve"> personnel. </w:t>
      </w:r>
    </w:p>
    <w:p w14:paraId="2982BF6F" w14:textId="77777777" w:rsidR="00AB637D" w:rsidRPr="001362CF" w:rsidRDefault="00AB637D" w:rsidP="00AB637D">
      <w:pPr>
        <w:rPr>
          <w:rFonts w:ascii="Times New Roman" w:hAnsi="Times New Roman"/>
          <w:sz w:val="24"/>
          <w:szCs w:val="24"/>
        </w:rPr>
      </w:pPr>
      <w:r>
        <w:rPr>
          <w:rFonts w:ascii="Times New Roman" w:hAnsi="Times New Roman"/>
          <w:b/>
          <w:bCs/>
          <w:sz w:val="24"/>
          <w:szCs w:val="24"/>
        </w:rPr>
        <w:tab/>
      </w:r>
      <w:r w:rsidRPr="001362CF">
        <w:rPr>
          <w:rFonts w:ascii="Times New Roman" w:hAnsi="Times New Roman"/>
          <w:sz w:val="24"/>
          <w:szCs w:val="24"/>
        </w:rPr>
        <w:t xml:space="preserve">Note: </w:t>
      </w:r>
      <w:r>
        <w:rPr>
          <w:rFonts w:ascii="Times New Roman" w:hAnsi="Times New Roman"/>
          <w:sz w:val="24"/>
          <w:szCs w:val="24"/>
        </w:rPr>
        <w:t xml:space="preserve">See newspaper comments on the law.  </w:t>
      </w:r>
    </w:p>
    <w:p w14:paraId="17F6C34B" w14:textId="77777777" w:rsidR="00AB637D" w:rsidRPr="001362CF" w:rsidRDefault="00AB637D" w:rsidP="00AB637D">
      <w:pPr>
        <w:ind w:left="720"/>
        <w:rPr>
          <w:rFonts w:ascii="Times New Roman" w:hAnsi="Times New Roman"/>
          <w:sz w:val="24"/>
          <w:szCs w:val="24"/>
        </w:rPr>
      </w:pPr>
      <w:r>
        <w:rPr>
          <w:rFonts w:ascii="Times New Roman" w:hAnsi="Times New Roman"/>
          <w:sz w:val="24"/>
          <w:szCs w:val="24"/>
        </w:rPr>
        <w:t xml:space="preserve"> </w:t>
      </w:r>
      <w:r w:rsidRPr="001362CF">
        <w:rPr>
          <w:rFonts w:ascii="Times New Roman" w:hAnsi="Times New Roman"/>
          <w:sz w:val="24"/>
          <w:szCs w:val="24"/>
        </w:rPr>
        <w:t xml:space="preserve">“Ohio Gov. Mike DeWine </w:t>
      </w:r>
      <w:hyperlink r:id="rId213" w:history="1">
        <w:r w:rsidRPr="001362CF">
          <w:rPr>
            <w:rStyle w:val="Hyperlink"/>
            <w:rFonts w:ascii="Times New Roman" w:hAnsi="Times New Roman"/>
            <w:sz w:val="24"/>
            <w:szCs w:val="24"/>
          </w:rPr>
          <w:t>signed a bill</w:t>
        </w:r>
      </w:hyperlink>
      <w:r w:rsidRPr="001362CF">
        <w:rPr>
          <w:rFonts w:ascii="Times New Roman" w:hAnsi="Times New Roman"/>
          <w:sz w:val="24"/>
          <w:szCs w:val="24"/>
        </w:rPr>
        <w:t xml:space="preserve"> on Monday allowing teachers to carry guns in class after 24 hours of training, over opposition from teachers and a police group. Backers say the policy will make schools safer, but critics say that's not the case, citing experts' analysis. The new law dramatically reduces the amount of training a teacher must undergo before they can carry a gun in a school safety zone. Instead of more than 700 hours of training that's currently required, school staff who want to be armed would get training that "shall not exceed" 24 hours, </w:t>
      </w:r>
      <w:hyperlink r:id="rId214" w:history="1">
        <w:r w:rsidRPr="001362CF">
          <w:rPr>
            <w:rStyle w:val="Hyperlink"/>
            <w:rFonts w:ascii="Times New Roman" w:hAnsi="Times New Roman"/>
            <w:sz w:val="24"/>
            <w:szCs w:val="24"/>
          </w:rPr>
          <w:t>House Bill 99</w:t>
        </w:r>
      </w:hyperlink>
      <w:r w:rsidRPr="001362CF">
        <w:rPr>
          <w:rFonts w:ascii="Times New Roman" w:hAnsi="Times New Roman"/>
          <w:sz w:val="24"/>
          <w:szCs w:val="24"/>
        </w:rPr>
        <w:t xml:space="preserve"> states.”*** "No school has to do this. </w:t>
      </w:r>
      <w:proofErr w:type="gramStart"/>
      <w:r w:rsidRPr="001362CF">
        <w:rPr>
          <w:rFonts w:ascii="Times New Roman" w:hAnsi="Times New Roman"/>
          <w:sz w:val="24"/>
          <w:szCs w:val="24"/>
        </w:rPr>
        <w:t>This</w:t>
      </w:r>
      <w:proofErr w:type="gramEnd"/>
      <w:r w:rsidRPr="001362CF">
        <w:rPr>
          <w:rFonts w:ascii="Times New Roman" w:hAnsi="Times New Roman"/>
          <w:sz w:val="24"/>
          <w:szCs w:val="24"/>
        </w:rPr>
        <w:t xml:space="preserve"> is up to a local school board," DeWine said, adding that some schools might have security officers or other plans to deter or counter an active shooter scenario. "The best thing is to have a police officer in the schools," he said. "They can be plain clothes, but some schools may not be able to do that."  </w:t>
      </w:r>
      <w:hyperlink r:id="rId215" w:history="1">
        <w:r w:rsidRPr="001362CF">
          <w:rPr>
            <w:rStyle w:val="Hyperlink"/>
            <w:rFonts w:ascii="Times New Roman" w:hAnsi="Times New Roman"/>
            <w:sz w:val="24"/>
            <w:szCs w:val="24"/>
          </w:rPr>
          <w:t>https://www.npr.org/2022/06/13/1104570419/ohio-dewine-guns-teachers</w:t>
        </w:r>
      </w:hyperlink>
      <w:r w:rsidRPr="001362CF">
        <w:rPr>
          <w:rFonts w:ascii="Times New Roman" w:hAnsi="Times New Roman"/>
          <w:sz w:val="24"/>
          <w:szCs w:val="24"/>
        </w:rPr>
        <w:t xml:space="preserve"> </w:t>
      </w:r>
    </w:p>
    <w:p w14:paraId="408F31D0" w14:textId="77777777" w:rsidR="00AB637D" w:rsidRDefault="00AB637D" w:rsidP="00F326E5">
      <w:pPr>
        <w:pStyle w:val="NoSpacing"/>
        <w:rPr>
          <w:rFonts w:ascii="Arial Black" w:hAnsi="Arial Black"/>
          <w:sz w:val="24"/>
          <w:szCs w:val="24"/>
        </w:rPr>
      </w:pPr>
    </w:p>
    <w:p w14:paraId="4FD5BF81" w14:textId="77777777" w:rsidR="00AB637D" w:rsidRDefault="00AB637D" w:rsidP="00F326E5">
      <w:pPr>
        <w:pStyle w:val="NoSpacing"/>
        <w:rPr>
          <w:rFonts w:ascii="Arial Black" w:hAnsi="Arial Black"/>
          <w:sz w:val="24"/>
          <w:szCs w:val="24"/>
        </w:rPr>
      </w:pPr>
    </w:p>
    <w:p w14:paraId="3DC5554E" w14:textId="6387124B" w:rsidR="007959C9" w:rsidRDefault="007959C9" w:rsidP="00F326E5">
      <w:pPr>
        <w:pStyle w:val="NoSpacing"/>
        <w:rPr>
          <w:rFonts w:ascii="Arial Black" w:hAnsi="Arial Black"/>
          <w:sz w:val="24"/>
          <w:szCs w:val="24"/>
        </w:rPr>
      </w:pPr>
      <w:r>
        <w:rPr>
          <w:rFonts w:ascii="Arial Black" w:hAnsi="Arial Black"/>
          <w:sz w:val="24"/>
          <w:szCs w:val="24"/>
        </w:rPr>
        <w:t>1-116</w:t>
      </w:r>
    </w:p>
    <w:p w14:paraId="2E9EF346" w14:textId="22E78BB0" w:rsidR="007959C9" w:rsidRDefault="007959C9" w:rsidP="00F326E5">
      <w:pPr>
        <w:pStyle w:val="NoSpacing"/>
        <w:rPr>
          <w:rFonts w:ascii="Arial Black" w:hAnsi="Arial Black"/>
          <w:sz w:val="24"/>
          <w:szCs w:val="24"/>
        </w:rPr>
      </w:pPr>
    </w:p>
    <w:p w14:paraId="3ECB468D" w14:textId="77777777" w:rsidR="007959C9" w:rsidRPr="004F0DF1" w:rsidRDefault="007959C9" w:rsidP="007959C9">
      <w:pPr>
        <w:pStyle w:val="NormalWeb"/>
        <w:rPr>
          <w:rFonts w:ascii="Arial Black" w:hAnsi="Arial Black"/>
          <w:b/>
          <w:bCs/>
          <w:sz w:val="28"/>
          <w:szCs w:val="28"/>
        </w:rPr>
      </w:pPr>
      <w:r>
        <w:rPr>
          <w:rFonts w:ascii="Arial Black" w:hAnsi="Arial Black"/>
          <w:b/>
          <w:bCs/>
          <w:sz w:val="28"/>
          <w:szCs w:val="28"/>
        </w:rPr>
        <w:t>SC: PUBLIC HOUSING – 2 DEAD - BAD FURNACE, NO CO DETECTORS – CITY CAN BE SUED - “SHOCK CONSCIOUS”</w:t>
      </w:r>
    </w:p>
    <w:p w14:paraId="175E5908" w14:textId="77777777" w:rsidR="007959C9" w:rsidRDefault="007959C9" w:rsidP="007959C9">
      <w:pPr>
        <w:pStyle w:val="NormalWeb"/>
      </w:pPr>
      <w:r w:rsidRPr="00493053">
        <w:t xml:space="preserve">On </w:t>
      </w:r>
      <w:r>
        <w:t xml:space="preserve">Jan. 19, 2023, in </w:t>
      </w:r>
      <w:r w:rsidRPr="00493053">
        <w:rPr>
          <w:u w:val="single"/>
        </w:rPr>
        <w:t>Daniel Washington, Personal Representative of the Estate of Calvin Witherspoon v. Housing Authority of the City of Columbia</w:t>
      </w:r>
      <w:r>
        <w:t>, the U.S. Court of Appeals for the Fourth Circuit (Richmond, VA) held (3 to 0) that that the U.S. District Court judge should not have dismissed this lawsuit.  “In sum, at this early stage, Plaintiff has alleged sufficient facts to establish that the Housing Authority's policies and customs were the moving force behind the constitutional injury.”   The gas furnace was installed in 1990, had never regularly inspected, tested, or maintained, and build-up of debris caused the furnace's carbon monoxide venting to stop functioning leading to two deaths and hospitalizations in 2019. Carbon dioxide detectors were required by law to be in each unit, but none were in any of the 244 units. The Court held: “</w:t>
      </w:r>
      <w:r>
        <w:rPr>
          <w:rStyle w:val="markedcontent"/>
          <w:rFonts w:eastAsiaTheme="majorEastAsia"/>
        </w:rPr>
        <w:t>Plaintiff has alleged enough facts at this early stage to establish that the Housing Authority recognized the risk of carbon monoxide poisoning and acted inappropriately in light of that risk.”</w:t>
      </w:r>
      <w:r>
        <w:t xml:space="preserve"> </w:t>
      </w:r>
      <w:hyperlink r:id="rId216" w:history="1">
        <w:r w:rsidRPr="006E56EF">
          <w:rPr>
            <w:rStyle w:val="Hyperlink"/>
          </w:rPr>
          <w:t>https://law.justia.com/cases/federal/appellate-courts/ca4/21-2059/21-2059-2023-01-19.html</w:t>
        </w:r>
      </w:hyperlink>
      <w:r>
        <w:t xml:space="preserve"> </w:t>
      </w:r>
    </w:p>
    <w:p w14:paraId="198A382A" w14:textId="77777777" w:rsidR="007959C9" w:rsidRDefault="007959C9" w:rsidP="007959C9">
      <w:pPr>
        <w:pStyle w:val="NormalWeb"/>
        <w:ind w:left="720"/>
      </w:pPr>
      <w:r>
        <w:t xml:space="preserve">“The police and fire chiefs determined that Witherspoon's death was entirely preventable had the Housing Authority performed regular maintenance. Yet they found that the Housing Authority had performed no preventative maintenance on appliances at the complex, maintenance reports were inadequate or incomplete, and tenants who lived at the apartments believed that "if they complained, things would not be fixed…. The Housing Authority only had a single inspector for all 2,600 of its housing units. And ultimately, an inspection of the apartments revealed 869 code violations, ranging from missing carbon monoxide detectors and faulty smoke detectors to exposed wires and expired fire extinguishers. The fire chief found that several stoves were leaking natural gas, presenting a ‘severe risk for the community and its occupants.’ </w:t>
      </w:r>
    </w:p>
    <w:p w14:paraId="669955D5" w14:textId="77777777" w:rsidR="007959C9" w:rsidRDefault="007959C9" w:rsidP="007959C9">
      <w:pPr>
        <w:pStyle w:val="NormalWeb"/>
        <w:ind w:left="720"/>
      </w:pPr>
      <w:r>
        <w:t>***</w:t>
      </w:r>
    </w:p>
    <w:p w14:paraId="237EBD86" w14:textId="77777777" w:rsidR="007959C9" w:rsidRDefault="007959C9" w:rsidP="007959C9">
      <w:pPr>
        <w:pStyle w:val="NormalWeb"/>
        <w:ind w:left="720"/>
      </w:pPr>
      <w:r>
        <w:t xml:space="preserve">Additionally, the Housing Authority adopted a specific policy in 2017 to ensure that missing carbon monoxide detectors, which it considered to be "life-threatening conditions," were installed in </w:t>
      </w:r>
      <w:r>
        <w:rPr>
          <w:rStyle w:val="Emphasis"/>
        </w:rPr>
        <w:t>some</w:t>
      </w:r>
      <w:r>
        <w:t xml:space="preserve"> (privately owned) properties…. But two years later</w:t>
      </w:r>
      <w:proofErr w:type="gramStart"/>
      <w:r>
        <w:t>-and</w:t>
      </w:r>
      <w:proofErr w:type="gramEnd"/>
      <w:r>
        <w:t xml:space="preserve"> with time to reflect that such "life-threatening conditions" from carbon monoxide threatened </w:t>
      </w:r>
      <w:proofErr w:type="gramStart"/>
      <w:r>
        <w:rPr>
          <w:rStyle w:val="Emphasis"/>
        </w:rPr>
        <w:t>all</w:t>
      </w:r>
      <w:r>
        <w:t xml:space="preserve"> of</w:t>
      </w:r>
      <w:proofErr w:type="gramEnd"/>
      <w:r>
        <w:t xml:space="preserve"> its properties</w:t>
      </w:r>
      <w:proofErr w:type="gramStart"/>
      <w:r>
        <w:t>-the</w:t>
      </w:r>
      <w:proofErr w:type="gramEnd"/>
      <w:r>
        <w:t xml:space="preserve"> Housing Authority had chosen not to apply the same policy to its </w:t>
      </w:r>
      <w:r>
        <w:rPr>
          <w:rStyle w:val="Emphasis"/>
        </w:rPr>
        <w:t>own</w:t>
      </w:r>
      <w:r>
        <w:t xml:space="preserve"> housing. Thus, the facts alleged show there was ample time to deliberate and reflect on those choices. Accordingly, deliberate indifference is the correct standard to apply here.</w:t>
      </w:r>
    </w:p>
    <w:p w14:paraId="50397BCB" w14:textId="77777777" w:rsidR="007959C9" w:rsidRDefault="007959C9" w:rsidP="007959C9">
      <w:pPr>
        <w:pStyle w:val="NormalWeb"/>
        <w:ind w:left="720"/>
      </w:pPr>
      <w:r>
        <w:t>***</w:t>
      </w:r>
    </w:p>
    <w:p w14:paraId="484F0AD7" w14:textId="77777777" w:rsidR="007959C9" w:rsidRDefault="007959C9" w:rsidP="007959C9">
      <w:pPr>
        <w:pStyle w:val="NormalWeb"/>
        <w:ind w:left="720"/>
      </w:pPr>
      <w:r>
        <w:t>To prove a violation of substantive-due-process rights under the Fourteenth Amendment, a plaintiff must show that a defendant's behavior was ‘so egregious, so outrageous, that it may fairly be said to shock the contemporary conscience.’</w:t>
      </w:r>
    </w:p>
    <w:p w14:paraId="1B5FA9C2" w14:textId="77777777" w:rsidR="007959C9" w:rsidRPr="005F7E68" w:rsidRDefault="007959C9" w:rsidP="007959C9">
      <w:pPr>
        <w:pStyle w:val="NormalWeb"/>
        <w:rPr>
          <w:b/>
          <w:bCs/>
        </w:rPr>
      </w:pPr>
      <w:r w:rsidRPr="005F7E68">
        <w:rPr>
          <w:b/>
          <w:bCs/>
        </w:rPr>
        <w:t xml:space="preserve">Legal Lesson Learned: </w:t>
      </w:r>
      <w:r>
        <w:rPr>
          <w:b/>
          <w:bCs/>
        </w:rPr>
        <w:t xml:space="preserve">The facts alleged do “shock the conscious” and </w:t>
      </w:r>
      <w:r w:rsidRPr="005F7E68">
        <w:rPr>
          <w:b/>
          <w:bCs/>
        </w:rPr>
        <w:t xml:space="preserve">the case will now proceed to pre-trial discovery.   </w:t>
      </w:r>
    </w:p>
    <w:p w14:paraId="40002E2D" w14:textId="77777777" w:rsidR="007959C9" w:rsidRDefault="007959C9" w:rsidP="007959C9">
      <w:pPr>
        <w:pStyle w:val="NormalWeb"/>
        <w:jc w:val="center"/>
        <w:rPr>
          <w:b/>
          <w:bCs/>
        </w:rPr>
      </w:pPr>
      <w:r>
        <w:rPr>
          <w:b/>
          <w:bCs/>
        </w:rPr>
        <w:t xml:space="preserve"> </w:t>
      </w:r>
    </w:p>
    <w:p w14:paraId="64893EC7" w14:textId="65A72606" w:rsidR="007959C9" w:rsidRDefault="007959C9" w:rsidP="00F326E5">
      <w:pPr>
        <w:pStyle w:val="NoSpacing"/>
        <w:rPr>
          <w:rFonts w:ascii="Arial Black" w:hAnsi="Arial Black"/>
          <w:sz w:val="24"/>
          <w:szCs w:val="24"/>
        </w:rPr>
      </w:pPr>
      <w:r>
        <w:rPr>
          <w:rFonts w:ascii="Arial Black" w:hAnsi="Arial Black"/>
          <w:sz w:val="24"/>
          <w:szCs w:val="24"/>
        </w:rPr>
        <w:t>1-115</w:t>
      </w:r>
    </w:p>
    <w:p w14:paraId="586AB0DC" w14:textId="100FCB5B" w:rsidR="007959C9" w:rsidRDefault="007959C9" w:rsidP="00F326E5">
      <w:pPr>
        <w:pStyle w:val="NoSpacing"/>
        <w:rPr>
          <w:rFonts w:ascii="Arial Black" w:hAnsi="Arial Black"/>
          <w:sz w:val="24"/>
          <w:szCs w:val="24"/>
        </w:rPr>
      </w:pPr>
    </w:p>
    <w:p w14:paraId="16F297FD" w14:textId="77777777" w:rsidR="007959C9" w:rsidRDefault="007959C9" w:rsidP="007959C9">
      <w:pPr>
        <w:pStyle w:val="NormalWeb"/>
        <w:rPr>
          <w:rFonts w:ascii="Arial Black" w:hAnsi="Arial Black"/>
          <w:sz w:val="28"/>
          <w:szCs w:val="28"/>
        </w:rPr>
      </w:pPr>
      <w:r>
        <w:rPr>
          <w:rFonts w:ascii="Arial Black" w:hAnsi="Arial Black"/>
          <w:sz w:val="28"/>
          <w:szCs w:val="28"/>
        </w:rPr>
        <w:t>SC: SPRINKLERS NOT REQUIRED IN ATTICS OF CONDOS – FIRE CHIEF &amp; BLDG OFFICIAL APPROVED – NO CASE</w:t>
      </w:r>
    </w:p>
    <w:p w14:paraId="73BD765C" w14:textId="77777777" w:rsidR="007959C9" w:rsidRPr="00382792" w:rsidRDefault="007959C9" w:rsidP="007959C9">
      <w:pPr>
        <w:pStyle w:val="NormalWeb"/>
      </w:pPr>
      <w:r>
        <w:t xml:space="preserve">On Jan. 11, 2023, in </w:t>
      </w:r>
      <w:r w:rsidRPr="001D61ED">
        <w:rPr>
          <w:u w:val="single"/>
        </w:rPr>
        <w:t>Palmetto Pointe at Peas Island Condominium Property Owners Association, Inc., et al. v. Island Pointe, LLC, et al</w:t>
      </w:r>
      <w:r>
        <w:t xml:space="preserve">., the Court of Appeals of South Carolina held (3 to 0; unpublished opinion) that jury’s verdict for in favor of WC Services, Inc. (WCS) is upheld.  The  subcontractor that was responsible for supplying and installing fire sprinkler systems in </w:t>
      </w:r>
      <w:proofErr w:type="gramStart"/>
      <w:r>
        <w:t>all of</w:t>
      </w:r>
      <w:proofErr w:type="gramEnd"/>
      <w:r>
        <w:t xml:space="preserve"> the units, per Fire Chief’s advice, was not required to install sprinklers in the attic.  The Court held: “</w:t>
      </w:r>
      <w:r>
        <w:rPr>
          <w:rStyle w:val="markedcontent"/>
          <w:rFonts w:eastAsiaTheme="majorEastAsia"/>
        </w:rPr>
        <w:t xml:space="preserve">Claims against several defendants went to the jury. This appeal concerns the POA's [Property Owners Association] claims against WC Services, Inc. (WCS). WCS is the subcontractor that was responsible for supplying and installing fire sprinkler systems in </w:t>
      </w:r>
      <w:proofErr w:type="gramStart"/>
      <w:r>
        <w:rPr>
          <w:rStyle w:val="markedcontent"/>
          <w:rFonts w:eastAsiaTheme="majorEastAsia"/>
        </w:rPr>
        <w:t>all of</w:t>
      </w:r>
      <w:proofErr w:type="gramEnd"/>
      <w:r>
        <w:rPr>
          <w:rStyle w:val="markedcontent"/>
          <w:rFonts w:eastAsiaTheme="majorEastAsia"/>
        </w:rPr>
        <w:t xml:space="preserve"> the units. The</w:t>
      </w:r>
      <w:r>
        <w:br/>
      </w:r>
      <w:r>
        <w:rPr>
          <w:rStyle w:val="markedcontent"/>
          <w:rFonts w:eastAsiaTheme="majorEastAsia"/>
        </w:rPr>
        <w:t xml:space="preserve">POA's claims against WCS are the only ones that resulted in a defense verdict. We </w:t>
      </w:r>
      <w:r>
        <w:br/>
      </w:r>
      <w:r>
        <w:rPr>
          <w:rStyle w:val="markedcontent"/>
          <w:rFonts w:eastAsiaTheme="majorEastAsia"/>
        </w:rPr>
        <w:t xml:space="preserve">affirm. ***   There is a reasonable </w:t>
      </w:r>
      <w:proofErr w:type="gramStart"/>
      <w:r>
        <w:rPr>
          <w:rStyle w:val="markedcontent"/>
          <w:rFonts w:eastAsiaTheme="majorEastAsia"/>
        </w:rPr>
        <w:t>inference</w:t>
      </w:r>
      <w:proofErr w:type="gramEnd"/>
      <w:r>
        <w:rPr>
          <w:rStyle w:val="markedcontent"/>
          <w:rFonts w:eastAsiaTheme="majorEastAsia"/>
        </w:rPr>
        <w:t xml:space="preserve"> the developer was instructed that it did not need to</w:t>
      </w:r>
      <w:r>
        <w:br/>
      </w:r>
      <w:r>
        <w:rPr>
          <w:rStyle w:val="markedcontent"/>
          <w:rFonts w:eastAsiaTheme="majorEastAsia"/>
        </w:rPr>
        <w:t>include sprinklers in the attics. A key piece of evidence is a memo—the "Hall</w:t>
      </w:r>
      <w:r>
        <w:br/>
      </w:r>
      <w:r>
        <w:rPr>
          <w:rStyle w:val="markedcontent"/>
          <w:rFonts w:eastAsiaTheme="majorEastAsia"/>
        </w:rPr>
        <w:t>Letter"—memorializing a meeting between the developer, the fire chief, and a local</w:t>
      </w:r>
      <w:r>
        <w:br/>
      </w:r>
      <w:r>
        <w:rPr>
          <w:rStyle w:val="markedcontent"/>
          <w:rFonts w:eastAsiaTheme="majorEastAsia"/>
        </w:rPr>
        <w:t>building official. The letter begins by referencing Folly Beach's local sprinkler</w:t>
      </w:r>
      <w:r>
        <w:br/>
      </w:r>
      <w:r>
        <w:rPr>
          <w:rStyle w:val="markedcontent"/>
          <w:rFonts w:eastAsiaTheme="majorEastAsia"/>
        </w:rPr>
        <w:t>system requirements, but after that, the letter explains the development's sprinkler</w:t>
      </w:r>
      <w:r>
        <w:br/>
      </w:r>
      <w:r>
        <w:rPr>
          <w:rStyle w:val="markedcontent"/>
          <w:rFonts w:eastAsiaTheme="majorEastAsia"/>
        </w:rPr>
        <w:t>systems must comply with a national standard. That standard does not require attic</w:t>
      </w:r>
      <w:r>
        <w:br/>
      </w:r>
      <w:r>
        <w:rPr>
          <w:rStyle w:val="markedcontent"/>
          <w:rFonts w:eastAsiaTheme="majorEastAsia"/>
        </w:rPr>
        <w:t xml:space="preserve">sprinklers in this situation.” </w:t>
      </w:r>
      <w:hyperlink r:id="rId217" w:history="1">
        <w:r w:rsidRPr="006E56EF">
          <w:rPr>
            <w:rStyle w:val="Hyperlink"/>
          </w:rPr>
          <w:t>https://www.sccourts.org/opinions//unpublishedopinions/HTMLFiles/COA/2023-UP-014.pdf</w:t>
        </w:r>
      </w:hyperlink>
      <w:r>
        <w:t xml:space="preserve"> </w:t>
      </w:r>
    </w:p>
    <w:p w14:paraId="4672A321" w14:textId="77777777" w:rsidR="007959C9" w:rsidRDefault="007959C9" w:rsidP="007959C9">
      <w:pPr>
        <w:pStyle w:val="NormalWeb"/>
        <w:ind w:left="720"/>
      </w:pPr>
      <w:r>
        <w:t xml:space="preserve">“Then, the letter references two </w:t>
      </w:r>
      <w:proofErr w:type="gramStart"/>
      <w:r>
        <w:t>particular provisions</w:t>
      </w:r>
      <w:proofErr w:type="gramEnd"/>
      <w:r>
        <w:t xml:space="preserve"> (and only those two provisions) of the local sprinkler ordinance. We agree with WCS that it is possible to read the </w:t>
      </w:r>
      <w:proofErr w:type="gramStart"/>
      <w:r>
        <w:t>letter as</w:t>
      </w:r>
      <w:proofErr w:type="gramEnd"/>
      <w:r>
        <w:t xml:space="preserve"> informing the developer that the national standard applies and (by implication) that attic sprinklers are not required.</w:t>
      </w:r>
    </w:p>
    <w:p w14:paraId="36E8FEA2" w14:textId="77777777" w:rsidR="007959C9" w:rsidRDefault="007959C9" w:rsidP="007959C9">
      <w:pPr>
        <w:pStyle w:val="NormalWeb"/>
        <w:ind w:left="720"/>
      </w:pPr>
      <w:r>
        <w:t>***</w:t>
      </w:r>
    </w:p>
    <w:p w14:paraId="237D57EF" w14:textId="77777777" w:rsidR="007959C9" w:rsidRDefault="007959C9" w:rsidP="007959C9">
      <w:pPr>
        <w:pStyle w:val="NormalWeb"/>
        <w:ind w:left="720"/>
      </w:pPr>
      <w:r>
        <w:t>WCS's expert testified that changes to design plans regularly occur in the field and that a building official always ensures that the installed system conforms to the plans before approving the system. This expert said building officials must have permitted changes to the original design because the project successfully received the national standard certificate of material and testing, which is completed by the sprinkler subcontractor and either a representative of the owner or the building official after physically inspecting and pressure testing the installed system. We hold that a jury could reasonably infer that the final plans for the project differed from the plans that were placed into evidence at trial.”</w:t>
      </w:r>
    </w:p>
    <w:p w14:paraId="1AA31F74" w14:textId="77777777" w:rsidR="007959C9" w:rsidRPr="00CB1526" w:rsidRDefault="007959C9" w:rsidP="007959C9">
      <w:pPr>
        <w:pStyle w:val="NormalWeb"/>
        <w:rPr>
          <w:b/>
          <w:bCs/>
        </w:rPr>
      </w:pPr>
      <w:r w:rsidRPr="00CB1526">
        <w:rPr>
          <w:b/>
          <w:bCs/>
        </w:rPr>
        <w:t xml:space="preserve">Legal Lesson Learned: </w:t>
      </w:r>
      <w:r>
        <w:rPr>
          <w:b/>
          <w:bCs/>
        </w:rPr>
        <w:t xml:space="preserve">Code does not require sprinklers in attics. </w:t>
      </w:r>
    </w:p>
    <w:p w14:paraId="48F916F5" w14:textId="77777777" w:rsidR="007959C9" w:rsidRDefault="007959C9" w:rsidP="00F326E5">
      <w:pPr>
        <w:pStyle w:val="NoSpacing"/>
        <w:rPr>
          <w:rFonts w:ascii="Arial Black" w:hAnsi="Arial Black"/>
          <w:sz w:val="24"/>
          <w:szCs w:val="24"/>
        </w:rPr>
      </w:pPr>
    </w:p>
    <w:p w14:paraId="0B60A5C5" w14:textId="15C425C6" w:rsidR="007959C9" w:rsidRDefault="007959C9" w:rsidP="00F326E5">
      <w:pPr>
        <w:pStyle w:val="NoSpacing"/>
        <w:rPr>
          <w:rFonts w:ascii="Arial Black" w:hAnsi="Arial Black"/>
          <w:sz w:val="24"/>
          <w:szCs w:val="24"/>
        </w:rPr>
      </w:pPr>
    </w:p>
    <w:p w14:paraId="20E9E10B" w14:textId="62420A41" w:rsidR="007959C9" w:rsidRDefault="007959C9" w:rsidP="00F326E5">
      <w:pPr>
        <w:pStyle w:val="NoSpacing"/>
        <w:rPr>
          <w:rFonts w:ascii="Arial Black" w:hAnsi="Arial Black"/>
          <w:sz w:val="24"/>
          <w:szCs w:val="24"/>
        </w:rPr>
      </w:pPr>
      <w:r>
        <w:rPr>
          <w:rFonts w:ascii="Arial Black" w:hAnsi="Arial Black"/>
          <w:sz w:val="24"/>
          <w:szCs w:val="24"/>
        </w:rPr>
        <w:t>1-114</w:t>
      </w:r>
    </w:p>
    <w:p w14:paraId="33CE1C24" w14:textId="4A03A9AE" w:rsidR="007959C9" w:rsidRDefault="007959C9" w:rsidP="00F326E5">
      <w:pPr>
        <w:pStyle w:val="NoSpacing"/>
        <w:rPr>
          <w:rFonts w:ascii="Arial Black" w:hAnsi="Arial Black"/>
          <w:sz w:val="24"/>
          <w:szCs w:val="24"/>
        </w:rPr>
      </w:pPr>
    </w:p>
    <w:p w14:paraId="26A99289" w14:textId="77777777" w:rsidR="007959C9" w:rsidRPr="0091639C" w:rsidRDefault="007959C9" w:rsidP="007959C9">
      <w:pPr>
        <w:pStyle w:val="NormalWeb"/>
        <w:rPr>
          <w:rFonts w:ascii="Arial Black" w:hAnsi="Arial Black"/>
          <w:sz w:val="28"/>
          <w:szCs w:val="28"/>
        </w:rPr>
      </w:pPr>
      <w:r>
        <w:rPr>
          <w:rFonts w:ascii="Arial Black" w:hAnsi="Arial Black"/>
          <w:sz w:val="28"/>
          <w:szCs w:val="28"/>
        </w:rPr>
        <w:t xml:space="preserve">NY: ARSONIST – DENIED “COMPASSIONATE RELEASE” - 1994 LODD FDNY LT. – MUST REMAIN PRISON ALL 43 YRS </w:t>
      </w:r>
    </w:p>
    <w:p w14:paraId="52675594" w14:textId="77777777" w:rsidR="007959C9" w:rsidRDefault="007959C9" w:rsidP="007959C9">
      <w:pPr>
        <w:pStyle w:val="NormalWeb"/>
      </w:pPr>
      <w:r>
        <w:t xml:space="preserve">On Jan. 5, 2023, in </w:t>
      </w:r>
      <w:r w:rsidRPr="0073742E">
        <w:rPr>
          <w:u w:val="single"/>
        </w:rPr>
        <w:t>United States of America v. Alberto Raposo</w:t>
      </w:r>
      <w:r>
        <w:t xml:space="preserve">, U.S. District Court Judge John P. Cronan, U.S. District Court for Southern District of New York, denied the prisoner’s motion for compassionate release.  The defendant started eight (8) fires on June 5, </w:t>
      </w:r>
      <w:proofErr w:type="gramStart"/>
      <w:r>
        <w:t>1994</w:t>
      </w:r>
      <w:proofErr w:type="gramEnd"/>
      <w:r>
        <w:t xml:space="preserve"> in a building in Manhattan, after a dispute with the two men he lived with on the fifth floor.  FDNY responded and unfortunately Lt. Gorge Lener died in subcellar.  The Federal judge reviewed his terrible misconduct and denied him early release from prison.  The judge held: “In sum, granting early release in this case would fail to reflect the seriousness of Raposo's crime of setting a fire that caused the death of Lieutenant Lener, would not justly punish that offense, would fail to promote respect for the law, and would not achieve adequate deterrence for such conduct. Thus, the applicable section 3553(a) factors compel the conclusion that no reduction of the imposed sentence is warranted.”  </w:t>
      </w:r>
      <w:hyperlink r:id="rId218" w:history="1">
        <w:r w:rsidRPr="003E040E">
          <w:rPr>
            <w:rStyle w:val="Hyperlink"/>
          </w:rPr>
          <w:t>https://casetext.com/case/united-states-v-raposo-6</w:t>
        </w:r>
      </w:hyperlink>
      <w:r>
        <w:t xml:space="preserve"> </w:t>
      </w:r>
    </w:p>
    <w:p w14:paraId="614AF75D" w14:textId="77777777" w:rsidR="007959C9" w:rsidRDefault="007959C9" w:rsidP="007959C9">
      <w:pPr>
        <w:pStyle w:val="NormalWeb"/>
        <w:ind w:left="720"/>
      </w:pPr>
      <w:r>
        <w:t xml:space="preserve">“On the evening of June 5, after a dispute with Ruiz, Raposo set eight fires throughout various floors and the subcellar of 79-81 Worth Street….  Raposo waited until Ruiz and Delvalle were inside the building on the fifth floor before setting the fires…. Raposo set the first fire in the subcellar, proceeded to the fourth floor where he gathered his belongings and set more fires, and then set additional fires on the second floor, in the lobby, and outside the building…. Raposo also strategically poured oil on </w:t>
      </w:r>
      <w:proofErr w:type="gramStart"/>
      <w:r>
        <w:t>egresses</w:t>
      </w:r>
      <w:proofErr w:type="gramEnd"/>
      <w:r>
        <w:t xml:space="preserve"> including a stairwell leading to </w:t>
      </w:r>
      <w:proofErr w:type="gramStart"/>
      <w:r>
        <w:t>a fire escape and the</w:t>
      </w:r>
      <w:proofErr w:type="gramEnd"/>
      <w:r>
        <w:t xml:space="preserve"> fire escapes themselves, locked the doors with a mortise lock to which he held the only key, and removed wires to disable the building's fire alarm. </w:t>
      </w:r>
    </w:p>
    <w:p w14:paraId="14009A82" w14:textId="77777777" w:rsidR="007959C9" w:rsidRDefault="007959C9" w:rsidP="007959C9">
      <w:pPr>
        <w:pStyle w:val="NormalWeb"/>
        <w:ind w:left="720"/>
        <w:rPr>
          <w:rStyle w:val="Emphasis"/>
        </w:rPr>
      </w:pPr>
      <w:r>
        <w:t>***</w:t>
      </w:r>
    </w:p>
    <w:p w14:paraId="76341A08" w14:textId="77777777" w:rsidR="007959C9" w:rsidRDefault="007959C9" w:rsidP="007959C9">
      <w:pPr>
        <w:pStyle w:val="NormalWeb"/>
        <w:ind w:left="720"/>
      </w:pPr>
      <w:r>
        <w:t>[F]</w:t>
      </w:r>
      <w:proofErr w:type="spellStart"/>
      <w:r>
        <w:t>irefighters</w:t>
      </w:r>
      <w:proofErr w:type="spellEnd"/>
      <w:r>
        <w:t xml:space="preserve"> with FDNY Ladder Company #6, led by Lieutenant George Lener, fought the blaze in the subcellar of the building, navigating their way through water that had accumulated from the sprinkler system…. Lieutenant Lener remained alone in the subcellar after the tanks of the firefighters under his command ran dry…. Subsequently, other firefighters heard a distress call, and one eventually found Lieutenant Lener facedown and unconscious in a foot of water in the subcellar…. Lieutenant Lener was carried out by five firefighters and rushed to a hospital in an ambulance…. Tragically, Lieutenant Lener never regained consciousness, and, approximately forty-five days later, died of carbon monoxide poisoning endured in the subcellar.”</w:t>
      </w:r>
    </w:p>
    <w:p w14:paraId="47D79693" w14:textId="77777777" w:rsidR="007959C9" w:rsidRPr="00651625" w:rsidRDefault="007959C9" w:rsidP="007959C9">
      <w:pPr>
        <w:pStyle w:val="NormalWeb"/>
        <w:rPr>
          <w:rStyle w:val="Emphasis"/>
          <w:b/>
          <w:bCs/>
          <w:i w:val="0"/>
          <w:iCs w:val="0"/>
        </w:rPr>
      </w:pPr>
      <w:r w:rsidRPr="00651625">
        <w:rPr>
          <w:rStyle w:val="Emphasis"/>
          <w:b/>
          <w:bCs/>
          <w:i w:val="0"/>
          <w:iCs w:val="0"/>
        </w:rPr>
        <w:t xml:space="preserve">Legal Lesson Learned: An arsonist is legally responsible for injuries and deaths to others, including firefighters. </w:t>
      </w:r>
    </w:p>
    <w:p w14:paraId="34B84E02" w14:textId="77777777" w:rsidR="007959C9" w:rsidRPr="007959C9" w:rsidRDefault="007959C9" w:rsidP="007959C9">
      <w:pPr>
        <w:pStyle w:val="NormalWeb"/>
        <w:ind w:left="720"/>
        <w:rPr>
          <w:rStyle w:val="Emphasis"/>
          <w:i w:val="0"/>
          <w:iCs w:val="0"/>
        </w:rPr>
      </w:pPr>
      <w:r w:rsidRPr="007959C9">
        <w:rPr>
          <w:rStyle w:val="Emphasis"/>
          <w:i w:val="0"/>
          <w:iCs w:val="0"/>
        </w:rPr>
        <w:t xml:space="preserve">Note: He was first tried in state court – surprisingly a jury found him not guilty.  Fortunately, he was then charged with federal offense of committing arson of property used in interstate commerce and convicted. </w:t>
      </w:r>
    </w:p>
    <w:p w14:paraId="1D957CF1" w14:textId="77777777" w:rsidR="007959C9" w:rsidRDefault="007959C9" w:rsidP="007959C9">
      <w:pPr>
        <w:pStyle w:val="NormalWeb"/>
        <w:ind w:left="1440" w:firstLine="60"/>
      </w:pPr>
      <w:r>
        <w:t>“Raposo originally was charged in New York Supreme Court, New York County, with arson in the first degree, arson in the third degree, and murder in the second degree…. On July 1, 1996, a jury found Raposo not guilty of those state charges….  A federal investigation followed Raposo's state court acquittal, leading to his arrest on federal arson charges on March 5, 1998…. The Indictment, which was filed on March 4, 1998, charged Raposo with one count of committing arson of property used in interstate commerce, with death resulting, in violation of 18 U.S.C. § 844(</w:t>
      </w:r>
      <w:proofErr w:type="spellStart"/>
      <w:r>
        <w:t>i</w:t>
      </w:r>
      <w:proofErr w:type="spellEnd"/>
      <w:r>
        <w:t>)…. On February 9, 1999, Raposo was found guilty of that count by a jury…. The conviction carried a maximum term of imprisonment of life.”</w:t>
      </w:r>
    </w:p>
    <w:p w14:paraId="09914FA8" w14:textId="77777777" w:rsidR="007959C9" w:rsidRDefault="007959C9" w:rsidP="00F326E5">
      <w:pPr>
        <w:pStyle w:val="NoSpacing"/>
        <w:rPr>
          <w:rFonts w:ascii="Arial Black" w:hAnsi="Arial Black"/>
          <w:sz w:val="24"/>
          <w:szCs w:val="24"/>
        </w:rPr>
      </w:pPr>
    </w:p>
    <w:p w14:paraId="5D853915" w14:textId="77777777" w:rsidR="007959C9" w:rsidRDefault="007959C9" w:rsidP="00F326E5">
      <w:pPr>
        <w:pStyle w:val="NoSpacing"/>
        <w:rPr>
          <w:rFonts w:ascii="Arial Black" w:hAnsi="Arial Black"/>
          <w:sz w:val="24"/>
          <w:szCs w:val="24"/>
        </w:rPr>
      </w:pPr>
    </w:p>
    <w:p w14:paraId="20CA6202" w14:textId="77777777" w:rsidR="007959C9" w:rsidRDefault="007959C9" w:rsidP="00F326E5">
      <w:pPr>
        <w:pStyle w:val="NoSpacing"/>
        <w:rPr>
          <w:rFonts w:ascii="Arial Black" w:hAnsi="Arial Black"/>
          <w:sz w:val="24"/>
          <w:szCs w:val="24"/>
        </w:rPr>
      </w:pPr>
    </w:p>
    <w:p w14:paraId="4DD5B44A" w14:textId="5AEBBD4F" w:rsidR="006C79BE" w:rsidRDefault="006C79BE" w:rsidP="00F326E5">
      <w:pPr>
        <w:pStyle w:val="NoSpacing"/>
        <w:rPr>
          <w:rFonts w:ascii="Arial Black" w:hAnsi="Arial Black"/>
          <w:sz w:val="24"/>
          <w:szCs w:val="24"/>
        </w:rPr>
      </w:pPr>
      <w:r>
        <w:rPr>
          <w:rFonts w:ascii="Arial Black" w:hAnsi="Arial Black"/>
          <w:sz w:val="24"/>
          <w:szCs w:val="24"/>
        </w:rPr>
        <w:t>1-113</w:t>
      </w:r>
    </w:p>
    <w:p w14:paraId="0F4C4BAB" w14:textId="1DBEFAFF" w:rsidR="006C79BE" w:rsidRDefault="006C79BE" w:rsidP="00F326E5">
      <w:pPr>
        <w:pStyle w:val="NoSpacing"/>
        <w:rPr>
          <w:rFonts w:ascii="Arial Black" w:hAnsi="Arial Black"/>
          <w:sz w:val="24"/>
          <w:szCs w:val="24"/>
        </w:rPr>
      </w:pPr>
    </w:p>
    <w:p w14:paraId="6DC19452" w14:textId="77777777" w:rsidR="006C79BE" w:rsidRPr="00F91DD5" w:rsidRDefault="006C79BE" w:rsidP="006C79BE">
      <w:pPr>
        <w:pStyle w:val="NormalWeb"/>
        <w:rPr>
          <w:rFonts w:ascii="Arial Black" w:hAnsi="Arial Black"/>
          <w:sz w:val="28"/>
          <w:szCs w:val="28"/>
        </w:rPr>
      </w:pPr>
      <w:r>
        <w:rPr>
          <w:rFonts w:ascii="Arial Black" w:hAnsi="Arial Black"/>
          <w:sz w:val="28"/>
          <w:szCs w:val="28"/>
        </w:rPr>
        <w:t>NJ:  ARSON – PROSECUTOR FILES CONFIDENTIAL – CIVIL SUIT $4M LOSS BLDG - SECURITY FENCE ONLY 3 SIDES</w:t>
      </w:r>
    </w:p>
    <w:p w14:paraId="366407FF" w14:textId="77777777" w:rsidR="006C79BE" w:rsidRDefault="006C79BE" w:rsidP="006C79BE">
      <w:pPr>
        <w:rPr>
          <w:rFonts w:ascii="Times New Roman" w:hAnsi="Times New Roman"/>
          <w:sz w:val="24"/>
          <w:szCs w:val="24"/>
        </w:rPr>
      </w:pPr>
      <w:r w:rsidRPr="00EE4FE2">
        <w:rPr>
          <w:rFonts w:ascii="Times New Roman" w:hAnsi="Times New Roman"/>
          <w:sz w:val="24"/>
          <w:szCs w:val="24"/>
        </w:rPr>
        <w:t xml:space="preserve">On Dec. 7, 2022, in </w:t>
      </w:r>
      <w:r w:rsidRPr="00EE4FE2">
        <w:rPr>
          <w:rFonts w:ascii="Times New Roman" w:hAnsi="Times New Roman"/>
          <w:sz w:val="24"/>
          <w:szCs w:val="24"/>
          <w:u w:val="single"/>
        </w:rPr>
        <w:t>American Insurance Company, et al. v. Meridia Downtown Urban Renewal, et al. and Somerset County Prosecutor’s Office</w:t>
      </w:r>
      <w:r w:rsidRPr="00EE4FE2">
        <w:rPr>
          <w:rFonts w:ascii="Times New Roman" w:hAnsi="Times New Roman"/>
          <w:sz w:val="24"/>
          <w:szCs w:val="24"/>
        </w:rPr>
        <w:t xml:space="preserve">, the Superior Court of New Jersey, Appellate Division, held (3 to 0) that trial judge improperly ordered the Prosecutor’s Office to disclose documents prior to the trial of the indicted arsonist concerning the January 12, </w:t>
      </w:r>
      <w:proofErr w:type="gramStart"/>
      <w:r w:rsidRPr="00EE4FE2">
        <w:rPr>
          <w:rFonts w:ascii="Times New Roman" w:hAnsi="Times New Roman"/>
          <w:sz w:val="24"/>
          <w:szCs w:val="24"/>
        </w:rPr>
        <w:t>2020</w:t>
      </w:r>
      <w:proofErr w:type="gramEnd"/>
      <w:r w:rsidRPr="00EE4FE2">
        <w:rPr>
          <w:rFonts w:ascii="Times New Roman" w:hAnsi="Times New Roman"/>
          <w:sz w:val="24"/>
          <w:szCs w:val="24"/>
        </w:rPr>
        <w:t xml:space="preserve"> fire, including videos and witness statements.  The pending civil litigation by the insurance company concerning construction company’s failure to fence in the entire property does not outweigh the </w:t>
      </w:r>
      <w:proofErr w:type="gramStart"/>
      <w:r w:rsidRPr="00EE4FE2">
        <w:rPr>
          <w:rFonts w:ascii="Times New Roman" w:hAnsi="Times New Roman"/>
          <w:sz w:val="24"/>
          <w:szCs w:val="24"/>
        </w:rPr>
        <w:t>public interest</w:t>
      </w:r>
      <w:proofErr w:type="gramEnd"/>
      <w:r w:rsidRPr="00EE4FE2">
        <w:rPr>
          <w:rFonts w:ascii="Times New Roman" w:hAnsi="Times New Roman"/>
          <w:sz w:val="24"/>
          <w:szCs w:val="24"/>
        </w:rPr>
        <w:t xml:space="preserve"> protected by the strict confidentiality that attaches to the criminal investigative file of an ongoing criminal prosecution.</w:t>
      </w:r>
    </w:p>
    <w:p w14:paraId="3693A55E" w14:textId="45323073" w:rsidR="006C79BE" w:rsidRDefault="006C79BE" w:rsidP="006C79BE">
      <w:pPr>
        <w:ind w:left="720"/>
        <w:rPr>
          <w:rFonts w:ascii="Times New Roman" w:hAnsi="Times New Roman"/>
          <w:sz w:val="24"/>
          <w:szCs w:val="24"/>
        </w:rPr>
      </w:pPr>
      <w:r>
        <w:rPr>
          <w:rFonts w:ascii="Times New Roman" w:hAnsi="Times New Roman"/>
          <w:sz w:val="24"/>
          <w:szCs w:val="24"/>
        </w:rPr>
        <w:t xml:space="preserve"> “[W]</w:t>
      </w:r>
      <w:r w:rsidRPr="00EE4FE2">
        <w:rPr>
          <w:rFonts w:ascii="Times New Roman" w:hAnsi="Times New Roman"/>
          <w:sz w:val="24"/>
          <w:szCs w:val="24"/>
        </w:rPr>
        <w:t>e believe the judge mistakenly exercised his discretion by failing to judiciously and painstakingly balance the competing interests at stake. Compelling the production of the materials sought here risks compromising the vital public interest protected by the strict confidentiality that attaches to the criminal investigative file of an ongoing criminal prosecution.</w:t>
      </w:r>
      <w:r>
        <w:rPr>
          <w:rFonts w:ascii="Times New Roman" w:hAnsi="Times New Roman"/>
          <w:sz w:val="24"/>
          <w:szCs w:val="24"/>
        </w:rPr>
        <w:t xml:space="preserve">” </w:t>
      </w:r>
      <w:hyperlink r:id="rId219" w:history="1">
        <w:r w:rsidRPr="00622894">
          <w:rPr>
            <w:rStyle w:val="Hyperlink"/>
            <w:rFonts w:ascii="Times New Roman" w:hAnsi="Times New Roman"/>
            <w:sz w:val="24"/>
            <w:szCs w:val="24"/>
          </w:rPr>
          <w:t>https://law.justia.com/cases/new-jersey/appellate-division-published/2022/a-1868-21.html</w:t>
        </w:r>
      </w:hyperlink>
      <w:r>
        <w:rPr>
          <w:rFonts w:ascii="Times New Roman" w:hAnsi="Times New Roman"/>
          <w:sz w:val="24"/>
          <w:szCs w:val="24"/>
        </w:rPr>
        <w:t xml:space="preserve"> </w:t>
      </w:r>
    </w:p>
    <w:p w14:paraId="593BD7EC" w14:textId="77777777" w:rsidR="006C79BE" w:rsidRPr="00EE4FE2" w:rsidRDefault="006C79BE" w:rsidP="006C79BE">
      <w:pPr>
        <w:rPr>
          <w:rFonts w:ascii="Times New Roman" w:hAnsi="Times New Roman"/>
          <w:b/>
          <w:bCs/>
          <w:sz w:val="24"/>
          <w:szCs w:val="24"/>
        </w:rPr>
      </w:pPr>
      <w:r w:rsidRPr="00EE4FE2">
        <w:rPr>
          <w:rFonts w:ascii="Times New Roman" w:hAnsi="Times New Roman"/>
          <w:b/>
          <w:bCs/>
          <w:sz w:val="24"/>
          <w:szCs w:val="24"/>
        </w:rPr>
        <w:t>Legal Lesson Learned:</w:t>
      </w:r>
      <w:r>
        <w:rPr>
          <w:rFonts w:ascii="Times New Roman" w:hAnsi="Times New Roman"/>
          <w:b/>
          <w:bCs/>
          <w:sz w:val="24"/>
          <w:szCs w:val="24"/>
        </w:rPr>
        <w:t xml:space="preserve"> There is very strong public interest in protecting the confidentiality of Prosecutor’s evidence pending trial of the arsonist. </w:t>
      </w:r>
    </w:p>
    <w:p w14:paraId="67D74B3A" w14:textId="77777777" w:rsidR="006C79BE" w:rsidRDefault="006C79BE" w:rsidP="006C79BE">
      <w:pPr>
        <w:pStyle w:val="NormalWeb"/>
      </w:pPr>
    </w:p>
    <w:p w14:paraId="42AFCFBE" w14:textId="77777777" w:rsidR="006C79BE" w:rsidRDefault="006C79BE" w:rsidP="00F326E5">
      <w:pPr>
        <w:pStyle w:val="NoSpacing"/>
        <w:rPr>
          <w:rFonts w:ascii="Arial Black" w:hAnsi="Arial Black"/>
          <w:sz w:val="24"/>
          <w:szCs w:val="24"/>
        </w:rPr>
      </w:pPr>
    </w:p>
    <w:p w14:paraId="31C6D0BF" w14:textId="77777777" w:rsidR="006C79BE" w:rsidRDefault="006C79BE" w:rsidP="00F326E5">
      <w:pPr>
        <w:pStyle w:val="NoSpacing"/>
        <w:rPr>
          <w:rFonts w:ascii="Arial Black" w:hAnsi="Arial Black"/>
          <w:sz w:val="24"/>
          <w:szCs w:val="24"/>
        </w:rPr>
      </w:pPr>
    </w:p>
    <w:p w14:paraId="230981A3" w14:textId="1A72662F" w:rsidR="00E8117B" w:rsidRDefault="006C79BE" w:rsidP="00F326E5">
      <w:pPr>
        <w:pStyle w:val="NoSpacing"/>
        <w:rPr>
          <w:rFonts w:ascii="Arial Black" w:hAnsi="Arial Black"/>
          <w:sz w:val="24"/>
          <w:szCs w:val="24"/>
        </w:rPr>
      </w:pPr>
      <w:r>
        <w:rPr>
          <w:rFonts w:ascii="Arial Black" w:hAnsi="Arial Black"/>
          <w:sz w:val="24"/>
          <w:szCs w:val="24"/>
        </w:rPr>
        <w:t>1-112</w:t>
      </w:r>
    </w:p>
    <w:p w14:paraId="4B7E437B" w14:textId="77777777" w:rsidR="006C79BE" w:rsidRPr="008B3217" w:rsidRDefault="006C79BE" w:rsidP="006C79BE">
      <w:pPr>
        <w:pStyle w:val="NormalWeb"/>
        <w:rPr>
          <w:rFonts w:ascii="Arial Black" w:hAnsi="Arial Black"/>
          <w:sz w:val="28"/>
          <w:szCs w:val="28"/>
        </w:rPr>
      </w:pPr>
      <w:r>
        <w:rPr>
          <w:rFonts w:ascii="Arial Black" w:hAnsi="Arial Black"/>
          <w:sz w:val="28"/>
          <w:szCs w:val="28"/>
        </w:rPr>
        <w:t>NY: COVID VACCINATIONS – RELIGIOUS EXEMPTION - FDNY FF ORDERED REHIRED – “REASONABLE ACCOMMODATION”</w:t>
      </w:r>
    </w:p>
    <w:p w14:paraId="45EFB268" w14:textId="77777777" w:rsidR="006C79BE" w:rsidRDefault="006C79BE" w:rsidP="006C79BE">
      <w:pPr>
        <w:pStyle w:val="NormalWeb"/>
      </w:pPr>
      <w:r>
        <w:t xml:space="preserve">On Oct. 7, 2022, in </w:t>
      </w:r>
      <w:r w:rsidRPr="004304FB">
        <w:rPr>
          <w:u w:val="single"/>
        </w:rPr>
        <w:t>Timothy Rivicci v. New Yok City Fire Department and The City of New York</w:t>
      </w:r>
      <w:r>
        <w:t xml:space="preserve">, Judge Ralp J. Porzio, Supreme Court, Richmond County (unpublished decision), granted the firefighters petition for reinstatement to full duties at Engine 158, back pay, and attorney fees.  The judge noted in his very direct opinion, that FDNY has granted 20 requests for religious or medical </w:t>
      </w:r>
      <w:proofErr w:type="gramStart"/>
      <w:r>
        <w:t>accommodations</w:t>
      </w:r>
      <w:proofErr w:type="gramEnd"/>
      <w:r>
        <w:t xml:space="preserve">, and referenced the affidavits of Robert Banome and Stephen Fitzgerald, members of the FDNY who were granted reasonable accommodations of weekly testing and mask wearing. The FF has been on FDNY since 2016.  During COVIC-19 pandemic, Mayor Bill DeBtasio declared a state of emergency and required all NYC employees be vaccinated by Oct. 28, 2021.  The FF was placed on leave without pay on Nov. 1, </w:t>
      </w:r>
      <w:proofErr w:type="gramStart"/>
      <w:r>
        <w:t>2021</w:t>
      </w:r>
      <w:proofErr w:type="gramEnd"/>
      <w:r>
        <w:t xml:space="preserve"> for not showing proof of vaccination. On Nov. 5, </w:t>
      </w:r>
      <w:proofErr w:type="gramStart"/>
      <w:r>
        <w:t>2021</w:t>
      </w:r>
      <w:proofErr w:type="gramEnd"/>
      <w:r>
        <w:t xml:space="preserve"> he submitted a </w:t>
      </w:r>
      <w:proofErr w:type="gramStart"/>
      <w:r>
        <w:t>religious reasonable</w:t>
      </w:r>
      <w:proofErr w:type="gramEnd"/>
      <w:r>
        <w:t xml:space="preserve"> accommodation request to the FDNY Equal Employment Opportunity Office (EEO).  Without any dialog with the FF, the EEO denied the request; he appealed to the NY Reasonable Accommodations Appeals Panel, and without any dialog with FF denied his appeal, and he was fired March 14, 2022.</w:t>
      </w:r>
    </w:p>
    <w:p w14:paraId="179C08C4" w14:textId="77777777" w:rsidR="006C79BE" w:rsidRDefault="006C79BE" w:rsidP="006C79BE">
      <w:pPr>
        <w:pStyle w:val="NormalWeb"/>
        <w:ind w:left="720"/>
      </w:pPr>
      <w:r>
        <w:t xml:space="preserve">“The Court cannot help but question, why were those accommodations of testing and masking granted, while this Petitioner's request for an accommodation would cause an ‘undue burden’ to the Department. It makes no difference to this Court whether the accommodation was granted for a religious or medical reason. The record is bereft of any reasoning, rational or otherwise.” </w:t>
      </w:r>
      <w:hyperlink r:id="rId220" w:history="1">
        <w:r w:rsidRPr="00617AE0">
          <w:rPr>
            <w:rStyle w:val="Hyperlink"/>
            <w:rFonts w:eastAsiaTheme="majorEastAsia"/>
          </w:rPr>
          <w:t>https://public.fastcase.com/J%2FJP6pdidelsXxEE4k%2BLMrfSCCaRdL8TI%2B5ioBWNQnh0kDz1GreH4%2B0yNBfnZOTE%2BnPBmU0h571R%2FJckMZe26svndIwXzFkT32fWB37fhjw%3D?utm_medium=email&amp;_hsmi=226712652&amp;_hsenc=p2ANqtz--GP8ZQooCAhfBpKdL9gU4tnEMPEYSQuJhpHC1xgU_R2XIHvEgQGIZy-l9drIqZUjYHZhAeqsmTG1Ww2RK_6TGoVdhMHQ&amp;utm_content=226712652&amp;utm_source=hs_email</w:t>
        </w:r>
      </w:hyperlink>
      <w:r>
        <w:t xml:space="preserve"> </w:t>
      </w:r>
    </w:p>
    <w:p w14:paraId="5808F788" w14:textId="77777777" w:rsidR="006C79BE" w:rsidRPr="0086106F" w:rsidRDefault="006C79BE" w:rsidP="006C79BE">
      <w:pPr>
        <w:pStyle w:val="NormalWeb"/>
        <w:rPr>
          <w:b/>
          <w:bCs/>
        </w:rPr>
      </w:pPr>
      <w:r w:rsidRPr="0086106F">
        <w:rPr>
          <w:b/>
          <w:bCs/>
        </w:rPr>
        <w:t>Legal Lesson Learned:</w:t>
      </w:r>
      <w:r>
        <w:rPr>
          <w:b/>
          <w:bCs/>
        </w:rPr>
        <w:t xml:space="preserve"> </w:t>
      </w:r>
      <w:proofErr w:type="gramStart"/>
      <w:r>
        <w:rPr>
          <w:b/>
          <w:bCs/>
        </w:rPr>
        <w:t>Similar to</w:t>
      </w:r>
      <w:proofErr w:type="gramEnd"/>
      <w:r>
        <w:rPr>
          <w:b/>
          <w:bCs/>
        </w:rPr>
        <w:t xml:space="preserve"> ADA claims, employers need to dialog with requests for accommodation before declaring request is an “undue hardship.” </w:t>
      </w:r>
    </w:p>
    <w:p w14:paraId="60056EF3" w14:textId="77777777" w:rsidR="006C79BE" w:rsidRDefault="006C79BE" w:rsidP="00F326E5">
      <w:pPr>
        <w:pStyle w:val="NoSpacing"/>
        <w:rPr>
          <w:rFonts w:ascii="Arial Black" w:hAnsi="Arial Black"/>
          <w:sz w:val="24"/>
          <w:szCs w:val="24"/>
        </w:rPr>
      </w:pPr>
    </w:p>
    <w:p w14:paraId="4650C6AC" w14:textId="77777777" w:rsidR="006C79BE" w:rsidRDefault="006C79BE" w:rsidP="00F326E5">
      <w:pPr>
        <w:pStyle w:val="NoSpacing"/>
        <w:rPr>
          <w:rFonts w:ascii="Arial Black" w:hAnsi="Arial Black"/>
          <w:sz w:val="24"/>
          <w:szCs w:val="24"/>
        </w:rPr>
      </w:pPr>
    </w:p>
    <w:p w14:paraId="46A2EA81" w14:textId="77777777" w:rsidR="006C79BE" w:rsidRDefault="006C79BE" w:rsidP="00F326E5">
      <w:pPr>
        <w:pStyle w:val="NoSpacing"/>
        <w:rPr>
          <w:rFonts w:ascii="Arial Black" w:hAnsi="Arial Black"/>
          <w:sz w:val="24"/>
          <w:szCs w:val="24"/>
        </w:rPr>
      </w:pPr>
    </w:p>
    <w:p w14:paraId="36E3F9E3" w14:textId="23E2960B" w:rsidR="00AE32D3" w:rsidRDefault="00AE32D3" w:rsidP="00F326E5">
      <w:pPr>
        <w:pStyle w:val="NoSpacing"/>
        <w:rPr>
          <w:rFonts w:ascii="Arial Black" w:hAnsi="Arial Black"/>
          <w:sz w:val="24"/>
          <w:szCs w:val="24"/>
        </w:rPr>
      </w:pPr>
      <w:r>
        <w:rPr>
          <w:rFonts w:ascii="Arial Black" w:hAnsi="Arial Black"/>
          <w:sz w:val="24"/>
          <w:szCs w:val="24"/>
        </w:rPr>
        <w:t>1-111</w:t>
      </w:r>
    </w:p>
    <w:p w14:paraId="0F3F64BC" w14:textId="77777777" w:rsidR="00AE32D3" w:rsidRDefault="00AE32D3" w:rsidP="00AE32D3">
      <w:pPr>
        <w:pStyle w:val="NormalWeb"/>
        <w:rPr>
          <w:rFonts w:ascii="Arial Black" w:hAnsi="Arial Black"/>
          <w:b/>
          <w:bCs/>
          <w:sz w:val="28"/>
          <w:szCs w:val="28"/>
        </w:rPr>
      </w:pPr>
      <w:r>
        <w:rPr>
          <w:rFonts w:ascii="Arial Black" w:hAnsi="Arial Black"/>
          <w:b/>
          <w:bCs/>
          <w:sz w:val="28"/>
          <w:szCs w:val="28"/>
        </w:rPr>
        <w:t>PA: TWO FIRE CALLS APARTMENT BLDG – “SPARKING OVEN” – NO SEARCH WARRANT REQ. ENTER BASEMENT</w:t>
      </w:r>
    </w:p>
    <w:p w14:paraId="0E083BCB" w14:textId="77777777" w:rsidR="00AE32D3" w:rsidRDefault="00AE32D3" w:rsidP="00AE32D3">
      <w:pPr>
        <w:pStyle w:val="NormalWeb"/>
      </w:pPr>
      <w:r w:rsidRPr="00376BC8">
        <w:t>On N</w:t>
      </w:r>
      <w:r>
        <w:t xml:space="preserve">ov. 29, 2022, in </w:t>
      </w:r>
      <w:r w:rsidRPr="00376BC8">
        <w:rPr>
          <w:u w:val="single"/>
        </w:rPr>
        <w:t>George Cannarozzo v. Borough of West Hazelton, et al</w:t>
      </w:r>
      <w:r>
        <w:t xml:space="preserve">., the U.S. Court of Appeals, Third Circuit (Philadelphia) held (3 to 0) that the basement search did not require a search warrant since with a “sparking oven” there was reasonable belief of imminent emergency and need to enter the basement to shut off electricity. </w:t>
      </w:r>
    </w:p>
    <w:p w14:paraId="6CEAA46B" w14:textId="77777777" w:rsidR="00AE32D3" w:rsidRDefault="00AE32D3" w:rsidP="00AE32D3">
      <w:pPr>
        <w:pStyle w:val="NormalWeb"/>
        <w:ind w:left="720"/>
      </w:pPr>
      <w:r>
        <w:t xml:space="preserve">“Cannarozzo [owner </w:t>
      </w:r>
      <w:proofErr w:type="gramStart"/>
      <w:r>
        <w:t>5 unit</w:t>
      </w:r>
      <w:proofErr w:type="gramEnd"/>
      <w:r>
        <w:t xml:space="preserve"> apartment building} contends the record contains factual discrepancies about the actual dangers precipitating the search. But based on the undisputed facts, Panzarella [Code Enforcement Officer and Building Code Official for Borough] had an ‘objectively reasonable </w:t>
      </w:r>
      <w:proofErr w:type="spellStart"/>
      <w:r>
        <w:t>basis’</w:t>
      </w:r>
      <w:proofErr w:type="spellEnd"/>
      <w:r>
        <w:t xml:space="preserve"> for believing an imminent emergency existed which created a ‘compelling urgency to inspect’ the basement.”  </w:t>
      </w:r>
      <w:hyperlink r:id="rId221" w:history="1">
        <w:r w:rsidRPr="00E8516D">
          <w:rPr>
            <w:rStyle w:val="Hyperlink"/>
            <w:rFonts w:eastAsiaTheme="majorEastAsia"/>
          </w:rPr>
          <w:t>https://law.justia.com/cases/federal/appellate-courts/ca3/22-1079/22-1079-2022-11-29.html</w:t>
        </w:r>
      </w:hyperlink>
      <w:r>
        <w:t xml:space="preserve"> </w:t>
      </w:r>
    </w:p>
    <w:p w14:paraId="51E08B2D" w14:textId="77777777" w:rsidR="00AE32D3" w:rsidRPr="00FA6891" w:rsidRDefault="00AE32D3" w:rsidP="00AE32D3">
      <w:pPr>
        <w:pStyle w:val="NormalWeb"/>
        <w:rPr>
          <w:b/>
          <w:bCs/>
        </w:rPr>
      </w:pPr>
      <w:r w:rsidRPr="00FA6891">
        <w:rPr>
          <w:b/>
          <w:bCs/>
        </w:rPr>
        <w:t xml:space="preserve">Legal Lesson Learned: Fire and Fire Code officials may enter property without a search warrant when there </w:t>
      </w:r>
      <w:r>
        <w:rPr>
          <w:b/>
          <w:bCs/>
        </w:rPr>
        <w:t xml:space="preserve">is a reasonable belief of </w:t>
      </w:r>
      <w:r w:rsidRPr="00FA6891">
        <w:rPr>
          <w:b/>
          <w:bCs/>
        </w:rPr>
        <w:t xml:space="preserve">an imminent emergency. </w:t>
      </w:r>
    </w:p>
    <w:p w14:paraId="000D09D8" w14:textId="77777777" w:rsidR="00AE32D3" w:rsidRDefault="00AE32D3" w:rsidP="00F326E5">
      <w:pPr>
        <w:pStyle w:val="NoSpacing"/>
        <w:rPr>
          <w:rFonts w:ascii="Arial Black" w:hAnsi="Arial Black"/>
          <w:sz w:val="24"/>
          <w:szCs w:val="24"/>
        </w:rPr>
      </w:pPr>
    </w:p>
    <w:p w14:paraId="1E56EF7A" w14:textId="77777777" w:rsidR="00AE32D3" w:rsidRDefault="00AE32D3" w:rsidP="00F326E5">
      <w:pPr>
        <w:pStyle w:val="NoSpacing"/>
        <w:rPr>
          <w:rFonts w:ascii="Arial Black" w:hAnsi="Arial Black"/>
          <w:sz w:val="24"/>
          <w:szCs w:val="24"/>
        </w:rPr>
      </w:pPr>
    </w:p>
    <w:p w14:paraId="4C685C89" w14:textId="62F64F8E" w:rsidR="00AE32D3" w:rsidRDefault="00AE32D3" w:rsidP="00F326E5">
      <w:pPr>
        <w:pStyle w:val="NoSpacing"/>
        <w:rPr>
          <w:rFonts w:ascii="Arial Black" w:hAnsi="Arial Black"/>
          <w:sz w:val="24"/>
          <w:szCs w:val="24"/>
        </w:rPr>
      </w:pPr>
      <w:r>
        <w:rPr>
          <w:rFonts w:ascii="Arial Black" w:hAnsi="Arial Black"/>
          <w:sz w:val="24"/>
          <w:szCs w:val="24"/>
        </w:rPr>
        <w:t>1-110</w:t>
      </w:r>
    </w:p>
    <w:p w14:paraId="1B7D8934" w14:textId="77777777" w:rsidR="00AE32D3" w:rsidRDefault="00AE32D3" w:rsidP="00F326E5">
      <w:pPr>
        <w:pStyle w:val="NoSpacing"/>
        <w:rPr>
          <w:rFonts w:ascii="Arial Black" w:hAnsi="Arial Black"/>
          <w:sz w:val="24"/>
          <w:szCs w:val="24"/>
        </w:rPr>
      </w:pPr>
    </w:p>
    <w:p w14:paraId="1FA5538D" w14:textId="77777777" w:rsidR="00AE32D3" w:rsidRDefault="00AE32D3" w:rsidP="00F326E5">
      <w:pPr>
        <w:pStyle w:val="NoSpacing"/>
        <w:rPr>
          <w:rFonts w:ascii="Arial Black" w:hAnsi="Arial Black"/>
          <w:sz w:val="24"/>
          <w:szCs w:val="24"/>
        </w:rPr>
      </w:pPr>
    </w:p>
    <w:p w14:paraId="56B43EEA" w14:textId="77777777" w:rsidR="00AE32D3" w:rsidRPr="00A443BC" w:rsidRDefault="00AE32D3" w:rsidP="00AE32D3">
      <w:pPr>
        <w:pStyle w:val="NormalWeb"/>
        <w:rPr>
          <w:rFonts w:ascii="Arial Black" w:hAnsi="Arial Black"/>
          <w:sz w:val="28"/>
          <w:szCs w:val="28"/>
        </w:rPr>
      </w:pPr>
      <w:r>
        <w:rPr>
          <w:rFonts w:ascii="Arial Black" w:hAnsi="Arial Black"/>
          <w:sz w:val="28"/>
          <w:szCs w:val="28"/>
        </w:rPr>
        <w:t xml:space="preserve">KY: OVEN FIRE – EXPERT OPINIONS THAT INSTALLERS SHOULD ENCLOSED BASE – MAY TESTIFY, NFPA GUIDELINE </w:t>
      </w:r>
    </w:p>
    <w:p w14:paraId="5BDE757E" w14:textId="77777777" w:rsidR="00AE32D3" w:rsidRDefault="00AE32D3" w:rsidP="00AE32D3">
      <w:pPr>
        <w:pStyle w:val="NormalWeb"/>
      </w:pPr>
      <w:r>
        <w:t xml:space="preserve">On Nov. 18, 2022, in </w:t>
      </w:r>
      <w:r w:rsidRPr="00A443BC">
        <w:rPr>
          <w:u w:val="single"/>
        </w:rPr>
        <w:t>American National Property &amp; Casualty Company, et al. v. R&amp;N Enterprises, Inc, D/B/A B&amp;W TV and Appliance Company</w:t>
      </w:r>
      <w:r>
        <w:t xml:space="preserve">, the Court of Appeals of Kentucky held (3 to 0) that the trial court improperly excluded the testimony of the insurance company’s expert.  Installers replace old oven, which never had enclosed bottom, directly over </w:t>
      </w:r>
      <w:proofErr w:type="gramStart"/>
      <w:r>
        <w:t>pull</w:t>
      </w:r>
      <w:proofErr w:type="gramEnd"/>
      <w:r>
        <w:t xml:space="preserve"> out drawer with lots of cloths.  Trial judge excluded insurance company’s two experts because they didn’t use another oven to measure the heat under the bottom, per NFPA 921, as did Appliance company’s expert.  Court of Appeals disagreed – NFPA guidelines, not mandatory under Kentucky law.  </w:t>
      </w:r>
    </w:p>
    <w:p w14:paraId="004E3E7D" w14:textId="77777777" w:rsidR="00AE32D3" w:rsidRDefault="00AE32D3" w:rsidP="00AE32D3">
      <w:pPr>
        <w:pStyle w:val="NormalWeb"/>
        <w:ind w:left="720"/>
      </w:pPr>
      <w:r>
        <w:t xml:space="preserve">“Appellant argues that the circuit court erred in excluding the testimony of Appellant's experts and in denying its request for a </w:t>
      </w:r>
      <w:r>
        <w:rPr>
          <w:rStyle w:val="Emphasis"/>
        </w:rPr>
        <w:t>Daubert</w:t>
      </w:r>
      <w:r>
        <w:rPr>
          <w:vertAlign w:val="superscript"/>
        </w:rPr>
        <w:t xml:space="preserve"> </w:t>
      </w:r>
      <w:r>
        <w:t xml:space="preserve">hearing. After careful review, we conclude that the testimony was improperly excluded. Accordingly, we reverse and </w:t>
      </w:r>
      <w:proofErr w:type="gramStart"/>
      <w:r>
        <w:t>remand</w:t>
      </w:r>
      <w:proofErr w:type="gramEnd"/>
      <w:r>
        <w:t xml:space="preserve"> the judgment on appeal. </w:t>
      </w:r>
    </w:p>
    <w:p w14:paraId="54C00179" w14:textId="77777777" w:rsidR="00AE32D3" w:rsidRDefault="00AE32D3" w:rsidP="00AE32D3">
      <w:pPr>
        <w:pStyle w:val="NormalWeb"/>
        <w:ind w:left="720"/>
      </w:pPr>
      <w:r>
        <w:t>***</w:t>
      </w:r>
    </w:p>
    <w:p w14:paraId="65056469" w14:textId="77777777" w:rsidR="00AE32D3" w:rsidRDefault="00AE32D3" w:rsidP="00AE32D3">
      <w:pPr>
        <w:pStyle w:val="NormalWeb"/>
        <w:ind w:left="720"/>
      </w:pPr>
      <w:r>
        <w:t xml:space="preserve">Appellee asserts, and the circuit court so found, that the framework for evaluating the reliability of the scientific principles of fire investigation found  in NFPA 921 is controlling in the matter before us. Appellee, however, has not cited any case law or statutory law from this jurisdiction so holding. Rather, Appellee has relied on unpublished federal case law and other extra-jurisdictional case law, wherein courts looked to NFPA 921 for guidance in fire investigations. While the guidelines of the National Fire Protection Association provide insight into fire investigation, and though extra-jurisdictional case law can be informative, our research has not revealed any Kentucky case which applied NFPA standards to fire investigation or holds that NFPA standards are controlling. </w:t>
      </w:r>
    </w:p>
    <w:p w14:paraId="1AE9F620" w14:textId="77777777" w:rsidR="00AE32D3" w:rsidRDefault="00AE32D3" w:rsidP="00AE32D3">
      <w:pPr>
        <w:pStyle w:val="NormalWeb"/>
        <w:ind w:left="720"/>
      </w:pPr>
      <w:r>
        <w:t>***</w:t>
      </w:r>
    </w:p>
    <w:p w14:paraId="1C93E545" w14:textId="77777777" w:rsidR="00AE32D3" w:rsidRDefault="00AE32D3" w:rsidP="00AE32D3">
      <w:pPr>
        <w:pStyle w:val="NormalWeb"/>
        <w:ind w:left="720"/>
      </w:pPr>
      <w:r>
        <w:t xml:space="preserve">Burns and Hollis found, and Appellee so acknowledges, that the fire started on the east wall of the kitchen. They excluded the possibility of other ignition sources based on physical examination and interviews with the </w:t>
      </w:r>
      <w:proofErr w:type="spellStart"/>
      <w:r>
        <w:t>Colletts</w:t>
      </w:r>
      <w:proofErr w:type="spellEnd"/>
      <w:r>
        <w:t xml:space="preserve">. Additionally, they found charred cloth material on the bottom of the </w:t>
      </w:r>
      <w:proofErr w:type="gramStart"/>
      <w:r>
        <w:t>oven, and</w:t>
      </w:r>
      <w:proofErr w:type="gramEnd"/>
      <w:r>
        <w:t xml:space="preserve"> noted that combustible kitchen towels and other items were stored in the drawer directly under the oven. And finally, they found no evidence of </w:t>
      </w:r>
      <w:proofErr w:type="gramStart"/>
      <w:r>
        <w:t>a full</w:t>
      </w:r>
      <w:proofErr w:type="gramEnd"/>
      <w:r>
        <w:t xml:space="preserve"> enclosure under the oven, though they acknowledged that it could have been destroyed by the fire. In sum, we conclude that their opinions rise to the level of deductive reasoning or thought </w:t>
      </w:r>
      <w:proofErr w:type="gramStart"/>
      <w:r>
        <w:t>experiments, and</w:t>
      </w:r>
      <w:proofErr w:type="gramEnd"/>
      <w:r>
        <w:t xml:space="preserve"> are more than mere baseless </w:t>
      </w:r>
      <w:proofErr w:type="gramStart"/>
      <w:r>
        <w:t>speculation.”</w:t>
      </w:r>
      <w:proofErr w:type="gramEnd"/>
      <w:r>
        <w:t xml:space="preserve"> </w:t>
      </w:r>
      <w:hyperlink r:id="rId222" w:history="1">
        <w:r w:rsidRPr="00185BEB">
          <w:rPr>
            <w:rStyle w:val="Hyperlink"/>
            <w:rFonts w:eastAsiaTheme="majorEastAsia"/>
          </w:rPr>
          <w:t>https://law.justia.com/cases/kentucky/court-of-appeals/2022/2022-ca-0258-mr.html</w:t>
        </w:r>
      </w:hyperlink>
      <w:r>
        <w:t xml:space="preserve"> </w:t>
      </w:r>
    </w:p>
    <w:p w14:paraId="7278C4F3" w14:textId="77777777" w:rsidR="00AE32D3" w:rsidRPr="002B389C" w:rsidRDefault="00AE32D3" w:rsidP="00AE32D3">
      <w:pPr>
        <w:pStyle w:val="NormalWeb"/>
        <w:rPr>
          <w:b/>
          <w:bCs/>
        </w:rPr>
      </w:pPr>
      <w:r w:rsidRPr="002B389C">
        <w:rPr>
          <w:b/>
          <w:bCs/>
        </w:rPr>
        <w:t xml:space="preserve">Legal Lesson Learned: Expert witnesses </w:t>
      </w:r>
      <w:r>
        <w:rPr>
          <w:b/>
          <w:bCs/>
        </w:rPr>
        <w:t xml:space="preserve">met </w:t>
      </w:r>
      <w:r w:rsidRPr="002B389C">
        <w:rPr>
          <w:b/>
          <w:bCs/>
        </w:rPr>
        <w:t xml:space="preserve">the standards in </w:t>
      </w:r>
      <w:r w:rsidRPr="002B389C">
        <w:rPr>
          <w:rStyle w:val="Emphasis"/>
          <w:b/>
          <w:bCs/>
        </w:rPr>
        <w:t>Daubert v. Merrell Dow Pharmaceuticals Inc</w:t>
      </w:r>
      <w:r w:rsidRPr="002B389C">
        <w:rPr>
          <w:b/>
          <w:bCs/>
        </w:rPr>
        <w:t>, 509 U.S. 579 (1993)</w:t>
      </w:r>
      <w:r>
        <w:rPr>
          <w:b/>
          <w:bCs/>
        </w:rPr>
        <w:t xml:space="preserve"> – their testimony was both relevant and reliable.</w:t>
      </w:r>
    </w:p>
    <w:p w14:paraId="518B81DA" w14:textId="77777777" w:rsidR="00AE32D3" w:rsidRDefault="00AE32D3" w:rsidP="00F326E5">
      <w:pPr>
        <w:pStyle w:val="NoSpacing"/>
        <w:rPr>
          <w:rFonts w:ascii="Arial Black" w:hAnsi="Arial Black"/>
          <w:sz w:val="24"/>
          <w:szCs w:val="24"/>
        </w:rPr>
      </w:pPr>
    </w:p>
    <w:p w14:paraId="010C3A15" w14:textId="77777777" w:rsidR="00AE32D3" w:rsidRDefault="00AE32D3" w:rsidP="00F326E5">
      <w:pPr>
        <w:pStyle w:val="NoSpacing"/>
        <w:rPr>
          <w:rFonts w:ascii="Arial Black" w:hAnsi="Arial Black"/>
          <w:sz w:val="24"/>
          <w:szCs w:val="24"/>
        </w:rPr>
      </w:pPr>
    </w:p>
    <w:p w14:paraId="69463E8C" w14:textId="77777777" w:rsidR="00AE32D3" w:rsidRDefault="00AE32D3" w:rsidP="00F326E5">
      <w:pPr>
        <w:pStyle w:val="NoSpacing"/>
        <w:rPr>
          <w:rFonts w:ascii="Arial Black" w:hAnsi="Arial Black"/>
          <w:sz w:val="24"/>
          <w:szCs w:val="24"/>
        </w:rPr>
      </w:pPr>
    </w:p>
    <w:p w14:paraId="479EB419" w14:textId="77777777" w:rsidR="00AE32D3" w:rsidRDefault="00AE32D3" w:rsidP="00F326E5">
      <w:pPr>
        <w:pStyle w:val="NoSpacing"/>
        <w:rPr>
          <w:rFonts w:ascii="Arial Black" w:hAnsi="Arial Black"/>
          <w:sz w:val="24"/>
          <w:szCs w:val="24"/>
        </w:rPr>
      </w:pPr>
    </w:p>
    <w:p w14:paraId="7A93D52D" w14:textId="3DF03813" w:rsidR="00AE32D3" w:rsidRDefault="00AE32D3" w:rsidP="00F326E5">
      <w:pPr>
        <w:pStyle w:val="NoSpacing"/>
        <w:rPr>
          <w:rFonts w:ascii="Arial Black" w:hAnsi="Arial Black"/>
          <w:sz w:val="24"/>
          <w:szCs w:val="24"/>
        </w:rPr>
      </w:pPr>
      <w:r>
        <w:rPr>
          <w:rFonts w:ascii="Arial Black" w:hAnsi="Arial Black"/>
          <w:sz w:val="24"/>
          <w:szCs w:val="24"/>
        </w:rPr>
        <w:t>1-109</w:t>
      </w:r>
    </w:p>
    <w:p w14:paraId="43A4081E" w14:textId="06D8513A" w:rsidR="00AE32D3" w:rsidRDefault="00AE32D3" w:rsidP="00F326E5">
      <w:pPr>
        <w:pStyle w:val="NoSpacing"/>
        <w:rPr>
          <w:rFonts w:ascii="Arial Black" w:hAnsi="Arial Black"/>
          <w:sz w:val="24"/>
          <w:szCs w:val="24"/>
        </w:rPr>
      </w:pPr>
    </w:p>
    <w:p w14:paraId="33B0C7E2" w14:textId="1FF0EA37" w:rsidR="00AE32D3" w:rsidRDefault="00AE32D3" w:rsidP="00F326E5">
      <w:pPr>
        <w:pStyle w:val="NoSpacing"/>
        <w:rPr>
          <w:rFonts w:ascii="Arial Black" w:hAnsi="Arial Black"/>
          <w:sz w:val="24"/>
          <w:szCs w:val="24"/>
        </w:rPr>
      </w:pPr>
    </w:p>
    <w:p w14:paraId="1946492E" w14:textId="77777777" w:rsidR="00AE32D3" w:rsidRDefault="00AE32D3" w:rsidP="00AE32D3">
      <w:pPr>
        <w:pStyle w:val="NormalWeb"/>
        <w:rPr>
          <w:rFonts w:ascii="Arial Black" w:hAnsi="Arial Black"/>
          <w:b/>
          <w:bCs/>
          <w:sz w:val="28"/>
          <w:szCs w:val="28"/>
        </w:rPr>
      </w:pPr>
      <w:r>
        <w:rPr>
          <w:rFonts w:ascii="Arial Black" w:hAnsi="Arial Black"/>
          <w:b/>
          <w:bCs/>
          <w:sz w:val="28"/>
          <w:szCs w:val="28"/>
        </w:rPr>
        <w:t>PA: SPONTANEOUS COMPUSTION – DECK STAIN, OILY RAGS ICONTAINER – SHERWIN-WILLIAMS LABEL WARNINGS</w:t>
      </w:r>
    </w:p>
    <w:p w14:paraId="38722F78" w14:textId="77777777" w:rsidR="00AE32D3" w:rsidRDefault="00AE32D3" w:rsidP="00AE32D3">
      <w:pPr>
        <w:pStyle w:val="NormalWeb"/>
      </w:pPr>
      <w:r w:rsidRPr="00DB1450">
        <w:t xml:space="preserve">On </w:t>
      </w:r>
      <w:r>
        <w:t xml:space="preserve">Nov. 10, 2022, in </w:t>
      </w:r>
      <w:r w:rsidRPr="00DB1450">
        <w:rPr>
          <w:u w:val="single"/>
        </w:rPr>
        <w:t>Scott Mains v. The Sherwin-Williams Company, d/b/a The Thompson’s Company</w:t>
      </w:r>
      <w:r>
        <w:t xml:space="preserve">, U.S. District Court Judge John M. Gallagher, U.S. District Court for Eastern District of Pennsylvania, granted the defendant’s motion for summary judgment; the label warned of the risk of spontaneous combustion.  Rags were left in metal painting cans, contrary to warnings on the label; the homeowner had never read the warnings. </w:t>
      </w:r>
    </w:p>
    <w:p w14:paraId="0F93EC8F" w14:textId="77777777" w:rsidR="00AE32D3" w:rsidRDefault="00AE32D3" w:rsidP="00AE32D3">
      <w:pPr>
        <w:pStyle w:val="NormalWeb"/>
        <w:ind w:left="600"/>
      </w:pPr>
      <w:r>
        <w:t>“Defendant asserts Plaintiffs insufficiently prove causation concerning the fire cause and origin, as well as the inadequate warnings claim because Mr. Main failed to consult any warnings on the can. The Court again finds Defendant's causation argument persuasive.</w:t>
      </w:r>
    </w:p>
    <w:p w14:paraId="38E6D4E2" w14:textId="77777777" w:rsidR="00AE32D3" w:rsidRDefault="00AE32D3" w:rsidP="00AE32D3">
      <w:pPr>
        <w:pStyle w:val="NormalWeb"/>
        <w:ind w:left="600"/>
      </w:pPr>
      <w:r>
        <w:t>***</w:t>
      </w:r>
    </w:p>
    <w:p w14:paraId="0A81BF04" w14:textId="77777777" w:rsidR="00AE32D3" w:rsidRDefault="00AE32D3" w:rsidP="00AE32D3">
      <w:pPr>
        <w:pStyle w:val="NormalWeb"/>
        <w:ind w:left="600"/>
      </w:pPr>
      <w:r>
        <w:t xml:space="preserve">The front panel also provides the following instruction: ‘Before using, carefully read CAUTIONS on back panel.’  The label's back panel provide instructions for the product's application and disposal…. Specifically addressing the possibility of spontaneous combustion, the label's back panel provides: </w:t>
      </w:r>
    </w:p>
    <w:p w14:paraId="2E89B8EC" w14:textId="77777777" w:rsidR="00AE32D3" w:rsidRPr="00A3199D" w:rsidRDefault="00AE32D3" w:rsidP="00AE32D3">
      <w:pPr>
        <w:ind w:left="1320"/>
        <w:rPr>
          <w:rFonts w:ascii="Times New Roman" w:hAnsi="Times New Roman"/>
          <w:sz w:val="24"/>
          <w:szCs w:val="24"/>
        </w:rPr>
      </w:pPr>
      <w:r w:rsidRPr="00A3199D">
        <w:rPr>
          <w:rStyle w:val="Strong"/>
          <w:rFonts w:ascii="Times New Roman" w:hAnsi="Times New Roman"/>
          <w:sz w:val="24"/>
          <w:szCs w:val="24"/>
        </w:rPr>
        <w:t>DANGER: Rags, steel wool, other waste soaked with this product, and I sanding residue may spontaneously catch fire if improperly discarded. Immediately place rags, steel wool, other waste soaked with this product and sanding residue in a sealed, watered, metal container. Dispose of in accordance with local fire regulations.</w:t>
      </w:r>
      <w:r w:rsidRPr="00A3199D">
        <w:rPr>
          <w:rFonts w:ascii="Times New Roman" w:hAnsi="Times New Roman"/>
          <w:sz w:val="24"/>
          <w:szCs w:val="24"/>
        </w:rPr>
        <w:t xml:space="preserve"> </w:t>
      </w:r>
    </w:p>
    <w:p w14:paraId="7487FF9C" w14:textId="77777777" w:rsidR="00AE32D3" w:rsidRDefault="00AE32D3" w:rsidP="00AE32D3">
      <w:pPr>
        <w:pStyle w:val="NormalWeb"/>
        <w:ind w:left="600"/>
      </w:pPr>
      <w:r>
        <w:t>***</w:t>
      </w:r>
    </w:p>
    <w:p w14:paraId="2066079F" w14:textId="77777777" w:rsidR="00AE32D3" w:rsidRDefault="00AE32D3" w:rsidP="00AE32D3">
      <w:pPr>
        <w:pStyle w:val="NormalWeb"/>
        <w:ind w:left="600"/>
      </w:pPr>
      <w:r>
        <w:t xml:space="preserve">Plaintiffs ask the Court to find a product is defective because it spontaneously combusted after use. But … Plaintiffs in the instant matter must provide evidence showing a defect in the wood stain's design or manufacture caused the fire at issue. And Plaintiffs have not put forward sufficient expert or circumstantial evidence to prove the product at issue caused the fire, let alone that a </w:t>
      </w:r>
      <w:r>
        <w:rPr>
          <w:rStyle w:val="Emphasis"/>
        </w:rPr>
        <w:t>defect</w:t>
      </w:r>
      <w:r>
        <w:t xml:space="preserve"> of the product at issue caused the fire. Plaintiffs minimal evidence concerning defect and causation is fatal where the alleged defect relies on the product lighting on fire.”  </w:t>
      </w:r>
      <w:hyperlink r:id="rId223" w:history="1">
        <w:r w:rsidRPr="00E92B9F">
          <w:rPr>
            <w:rStyle w:val="Hyperlink"/>
            <w:rFonts w:eastAsiaTheme="majorEastAsia"/>
          </w:rPr>
          <w:t>https://public.fastcase.com/J%2FJP6pdidelsXxEE4k%2BLMrejai%2Bw5%2BeDXQox0zGA5TAAjpgBNhW%2BTu8BKpGDyiMDLNszr4O4A0HJdAcQDg8WWefj18tLbckuVQCC3%2F5jGpg%3D?utm_medium=email&amp;_hsmi=226712652&amp;_hsenc=p2ANqtz-8ZmJA9o4nlUCIURyhETyHKM8lkOE8xo-FU4HGJipx6Boh4nCnx77GsOdK5dPH9YVtR5YzBPx6JahAT-_oeRPGcO0F8pg&amp;utm_content=226712652&amp;utm_source=hs_email</w:t>
        </w:r>
      </w:hyperlink>
      <w:r>
        <w:t xml:space="preserve"> </w:t>
      </w:r>
    </w:p>
    <w:p w14:paraId="02A2E056" w14:textId="77777777" w:rsidR="00AE32D3" w:rsidRPr="00A3199D" w:rsidRDefault="00AE32D3" w:rsidP="00AE32D3">
      <w:pPr>
        <w:pStyle w:val="NormalWeb"/>
        <w:rPr>
          <w:b/>
          <w:bCs/>
        </w:rPr>
      </w:pPr>
      <w:r w:rsidRPr="00A3199D">
        <w:rPr>
          <w:b/>
          <w:bCs/>
        </w:rPr>
        <w:t>Legal Lesson Learned:</w:t>
      </w:r>
      <w:r>
        <w:rPr>
          <w:b/>
          <w:bCs/>
        </w:rPr>
        <w:t xml:space="preserve"> Read and follow the warning label on products you purchase. </w:t>
      </w:r>
    </w:p>
    <w:p w14:paraId="785613E6" w14:textId="77777777" w:rsidR="00AE32D3" w:rsidRDefault="00AE32D3" w:rsidP="00F326E5">
      <w:pPr>
        <w:pStyle w:val="NoSpacing"/>
        <w:rPr>
          <w:rFonts w:ascii="Arial Black" w:hAnsi="Arial Black"/>
          <w:sz w:val="24"/>
          <w:szCs w:val="24"/>
        </w:rPr>
      </w:pPr>
    </w:p>
    <w:p w14:paraId="295FDDCE" w14:textId="77777777" w:rsidR="00AE32D3" w:rsidRDefault="00AE32D3" w:rsidP="00F326E5">
      <w:pPr>
        <w:pStyle w:val="NoSpacing"/>
        <w:rPr>
          <w:rFonts w:ascii="Arial Black" w:hAnsi="Arial Black"/>
          <w:sz w:val="24"/>
          <w:szCs w:val="24"/>
        </w:rPr>
      </w:pPr>
    </w:p>
    <w:p w14:paraId="187EECCC" w14:textId="77777777" w:rsidR="00AE32D3" w:rsidRDefault="00AE32D3" w:rsidP="00F326E5">
      <w:pPr>
        <w:pStyle w:val="NoSpacing"/>
        <w:rPr>
          <w:rFonts w:ascii="Arial Black" w:hAnsi="Arial Black"/>
          <w:sz w:val="24"/>
          <w:szCs w:val="24"/>
        </w:rPr>
      </w:pPr>
    </w:p>
    <w:p w14:paraId="359F16D8" w14:textId="5DCCE520" w:rsidR="00804F3A" w:rsidRDefault="00804F3A" w:rsidP="00F326E5">
      <w:pPr>
        <w:pStyle w:val="NoSpacing"/>
        <w:rPr>
          <w:rFonts w:ascii="Arial Black" w:hAnsi="Arial Black"/>
          <w:sz w:val="24"/>
          <w:szCs w:val="24"/>
        </w:rPr>
      </w:pPr>
      <w:r>
        <w:rPr>
          <w:rFonts w:ascii="Arial Black" w:hAnsi="Arial Black"/>
          <w:sz w:val="24"/>
          <w:szCs w:val="24"/>
        </w:rPr>
        <w:t>1-108</w:t>
      </w:r>
    </w:p>
    <w:p w14:paraId="02F741F9" w14:textId="62AA9FE2" w:rsidR="00804F3A" w:rsidRDefault="00804F3A" w:rsidP="00F326E5">
      <w:pPr>
        <w:pStyle w:val="NoSpacing"/>
        <w:rPr>
          <w:rFonts w:ascii="Arial Black" w:hAnsi="Arial Black"/>
          <w:sz w:val="24"/>
          <w:szCs w:val="24"/>
        </w:rPr>
      </w:pPr>
    </w:p>
    <w:p w14:paraId="7C14A80E" w14:textId="77777777" w:rsidR="00804F3A" w:rsidRPr="007B73F7" w:rsidRDefault="00804F3A" w:rsidP="00804F3A">
      <w:pPr>
        <w:pStyle w:val="NormalWeb"/>
        <w:rPr>
          <w:rFonts w:ascii="Arial Black" w:hAnsi="Arial Black"/>
          <w:sz w:val="28"/>
          <w:szCs w:val="28"/>
        </w:rPr>
      </w:pPr>
      <w:r>
        <w:rPr>
          <w:rFonts w:ascii="Arial Black" w:hAnsi="Arial Black"/>
          <w:sz w:val="28"/>
          <w:szCs w:val="28"/>
        </w:rPr>
        <w:t>MA: FIRE CHIEF SELECTION PROCESS CHANGED TO ASSESSMENT CENTER – NO NEED BARGAIN WITH UNION</w:t>
      </w:r>
    </w:p>
    <w:p w14:paraId="3F802DBA" w14:textId="77777777" w:rsidR="00804F3A" w:rsidRDefault="00804F3A" w:rsidP="00804F3A">
      <w:pPr>
        <w:pStyle w:val="NormalWeb"/>
      </w:pPr>
      <w:r w:rsidRPr="00D32866">
        <w:t xml:space="preserve">On Oct. 27, </w:t>
      </w:r>
      <w:proofErr w:type="gramStart"/>
      <w:r w:rsidRPr="00D32866">
        <w:t>2022</w:t>
      </w:r>
      <w:proofErr w:type="gramEnd"/>
      <w:r w:rsidRPr="00D32866">
        <w:t xml:space="preserve"> in </w:t>
      </w:r>
      <w:r w:rsidRPr="00D32866">
        <w:rPr>
          <w:u w:val="single"/>
        </w:rPr>
        <w:t>City of Everett v. Commonwealth Employment Relations Board</w:t>
      </w:r>
      <w:r w:rsidRPr="00D32866">
        <w:t xml:space="preserve">, </w:t>
      </w:r>
      <w:r>
        <w:t xml:space="preserve">the Appeals Court of Massachusetts held (3 to 0), unpublished opinion, that the State Board incorrectly ordered the city to collectively bargain the changes in hiring Fire Chief. In Jan. 2019, after one year of informal dialog with the union, the City proceeded with Assessment Center process; only the seven Deputy Fire Chiefs were eligible to apply. </w:t>
      </w:r>
    </w:p>
    <w:p w14:paraId="3367102A" w14:textId="77777777" w:rsidR="00804F3A" w:rsidRPr="007B73F7" w:rsidRDefault="00804F3A" w:rsidP="00804F3A">
      <w:pPr>
        <w:spacing w:before="100" w:beforeAutospacing="1" w:after="100" w:afterAutospacing="1" w:line="240" w:lineRule="auto"/>
        <w:ind w:left="720"/>
      </w:pPr>
      <w:r>
        <w:rPr>
          <w:rFonts w:ascii="Times New Roman" w:eastAsia="Times New Roman" w:hAnsi="Times New Roman"/>
          <w:sz w:val="24"/>
          <w:szCs w:val="24"/>
        </w:rPr>
        <w:t>“</w:t>
      </w:r>
      <w:r w:rsidRPr="007B73F7">
        <w:rPr>
          <w:rFonts w:ascii="Times New Roman" w:eastAsia="Times New Roman" w:hAnsi="Times New Roman"/>
          <w:sz w:val="24"/>
          <w:szCs w:val="24"/>
        </w:rPr>
        <w:t xml:space="preserve">Under those circumstances, it is incorrect to say that the processes for selecting the fire chief impact the </w:t>
      </w:r>
      <w:r>
        <w:rPr>
          <w:rFonts w:ascii="Times New Roman" w:eastAsia="Times New Roman" w:hAnsi="Times New Roman"/>
          <w:sz w:val="24"/>
          <w:szCs w:val="24"/>
        </w:rPr>
        <w:t>‘</w:t>
      </w:r>
      <w:r w:rsidRPr="007B73F7">
        <w:rPr>
          <w:rFonts w:ascii="Times New Roman" w:eastAsia="Times New Roman" w:hAnsi="Times New Roman"/>
          <w:sz w:val="24"/>
          <w:szCs w:val="24"/>
        </w:rPr>
        <w:t>terms and conditions of employment</w:t>
      </w:r>
      <w:r>
        <w:rPr>
          <w:rFonts w:ascii="Times New Roman" w:eastAsia="Times New Roman" w:hAnsi="Times New Roman"/>
          <w:sz w:val="24"/>
          <w:szCs w:val="24"/>
        </w:rPr>
        <w:t>’</w:t>
      </w:r>
      <w:r w:rsidRPr="007B73F7">
        <w:rPr>
          <w:rFonts w:ascii="Times New Roman" w:eastAsia="Times New Roman" w:hAnsi="Times New Roman"/>
          <w:sz w:val="24"/>
          <w:szCs w:val="24"/>
        </w:rPr>
        <w:t xml:space="preserve"> of the deputy fire chiefs. The selection processes for </w:t>
      </w:r>
      <w:proofErr w:type="gramStart"/>
      <w:r w:rsidRPr="007B73F7">
        <w:rPr>
          <w:rFonts w:ascii="Times New Roman" w:eastAsia="Times New Roman" w:hAnsi="Times New Roman"/>
          <w:sz w:val="24"/>
          <w:szCs w:val="24"/>
        </w:rPr>
        <w:t>chief</w:t>
      </w:r>
      <w:proofErr w:type="gramEnd"/>
      <w:r w:rsidRPr="007B73F7">
        <w:rPr>
          <w:rFonts w:ascii="Times New Roman" w:eastAsia="Times New Roman" w:hAnsi="Times New Roman"/>
          <w:sz w:val="24"/>
          <w:szCs w:val="24"/>
        </w:rPr>
        <w:t xml:space="preserve"> do not change, alter, or impose upon the current jobs of the deputy chiefs or other bargaining unit employees. Rather, the selection process has to do with the deputies' efforts to </w:t>
      </w:r>
      <w:r w:rsidRPr="007B73F7">
        <w:rPr>
          <w:rFonts w:ascii="Times New Roman" w:eastAsia="Times New Roman" w:hAnsi="Times New Roman"/>
          <w:i/>
          <w:iCs/>
          <w:sz w:val="24"/>
          <w:szCs w:val="24"/>
        </w:rPr>
        <w:t>leave</w:t>
      </w:r>
      <w:r w:rsidRPr="007B73F7">
        <w:rPr>
          <w:rFonts w:ascii="Times New Roman" w:eastAsia="Times New Roman" w:hAnsi="Times New Roman"/>
          <w:sz w:val="24"/>
          <w:szCs w:val="24"/>
        </w:rPr>
        <w:t xml:space="preserve"> the bargaining unit and to become part of management, where they would occupy a supervisory </w:t>
      </w:r>
      <w:proofErr w:type="gramStart"/>
      <w:r w:rsidRPr="007B73F7">
        <w:rPr>
          <w:rFonts w:ascii="Times New Roman" w:eastAsia="Times New Roman" w:hAnsi="Times New Roman"/>
          <w:sz w:val="24"/>
          <w:szCs w:val="24"/>
        </w:rPr>
        <w:t>and in some ways</w:t>
      </w:r>
      <w:proofErr w:type="gramEnd"/>
      <w:r w:rsidRPr="007B73F7">
        <w:rPr>
          <w:rFonts w:ascii="Times New Roman" w:eastAsia="Times New Roman" w:hAnsi="Times New Roman"/>
          <w:sz w:val="24"/>
          <w:szCs w:val="24"/>
        </w:rPr>
        <w:t xml:space="preserve"> adverse position to the bargaining unit. As the chief officer, the city's fire chief, among his or her other duties, leads the department, acts under the direction of the mayor, works with employee organizations, responds to employee grievances, assists city officials in the collective bargaining process, and is a member of the city's management team. Cf. </w:t>
      </w:r>
      <w:r w:rsidRPr="007B73F7">
        <w:rPr>
          <w:rFonts w:ascii="Times New Roman" w:eastAsia="Times New Roman" w:hAnsi="Times New Roman"/>
          <w:i/>
          <w:iCs/>
          <w:sz w:val="24"/>
          <w:szCs w:val="24"/>
        </w:rPr>
        <w:t>Harrison v. Labor Relations Comm'n</w:t>
      </w:r>
      <w:r w:rsidRPr="007B73F7">
        <w:rPr>
          <w:rFonts w:ascii="Times New Roman" w:eastAsia="Times New Roman" w:hAnsi="Times New Roman"/>
          <w:sz w:val="24"/>
          <w:szCs w:val="24"/>
        </w:rPr>
        <w:t xml:space="preserve">, 363 Mass. 548, 553 (1973) (fire chiefs participate in development of department policy and implement it on behalf of management). The board's suggestion that bargaining is required because the fire chief position is part of the </w:t>
      </w:r>
      <w:r>
        <w:rPr>
          <w:rFonts w:ascii="Times New Roman" w:eastAsia="Times New Roman" w:hAnsi="Times New Roman"/>
          <w:sz w:val="24"/>
          <w:szCs w:val="24"/>
        </w:rPr>
        <w:t>‘</w:t>
      </w:r>
      <w:r w:rsidRPr="007B73F7">
        <w:rPr>
          <w:rFonts w:ascii="Times New Roman" w:eastAsia="Times New Roman" w:hAnsi="Times New Roman"/>
          <w:sz w:val="24"/>
          <w:szCs w:val="24"/>
        </w:rPr>
        <w:t>promotional ladder</w:t>
      </w:r>
      <w:r>
        <w:rPr>
          <w:rFonts w:ascii="Times New Roman" w:eastAsia="Times New Roman" w:hAnsi="Times New Roman"/>
          <w:sz w:val="24"/>
          <w:szCs w:val="24"/>
        </w:rPr>
        <w:t>’</w:t>
      </w:r>
      <w:r w:rsidRPr="007B73F7">
        <w:rPr>
          <w:rFonts w:ascii="Times New Roman" w:eastAsia="Times New Roman" w:hAnsi="Times New Roman"/>
          <w:sz w:val="24"/>
          <w:szCs w:val="24"/>
        </w:rPr>
        <w:t xml:space="preserve"> for deputy chiefs is accordingly inapt. The promotion the deputies seek here would have them cross over to a fundamentally different job.</w:t>
      </w:r>
      <w:r>
        <w:rPr>
          <w:rFonts w:ascii="Times New Roman" w:eastAsia="Times New Roman" w:hAnsi="Times New Roman"/>
          <w:sz w:val="24"/>
          <w:szCs w:val="24"/>
        </w:rPr>
        <w:t xml:space="preserve">” </w:t>
      </w:r>
      <w:hyperlink r:id="rId224" w:history="1">
        <w:r w:rsidRPr="00671E3F">
          <w:rPr>
            <w:rStyle w:val="Hyperlink"/>
          </w:rPr>
          <w:t>https://public.fastcase.com/J%2FJP6pdidelsXxEE4k%2BLMkioZ6zkCvVA2f7m8MUdZzFChRnZ9pflbw23TgjkZYaZMPShomsfddWFkLQb1Ctqwom4ggqunMxdJpiD327M8Vc%3D?utm_medium=email&amp;_hsmi=226712652&amp;_hsenc=p2ANqtz-90P1mb2f8SYEeO6UfPTx4asdEjFOhLhRS07BbmdC1-wrC8kVAiG6jT85m4y6VmZBAFGCFSBZmuZ2NfaZLtEQDLtFBeQ&amp;utm_content=226712652&amp;utm_source=hs_email</w:t>
        </w:r>
      </w:hyperlink>
      <w:r>
        <w:t xml:space="preserve"> </w:t>
      </w:r>
    </w:p>
    <w:p w14:paraId="1F0CB0C6" w14:textId="77777777" w:rsidR="00804F3A" w:rsidRPr="00D32866" w:rsidRDefault="00804F3A" w:rsidP="00804F3A">
      <w:pPr>
        <w:pStyle w:val="NormalWeb"/>
        <w:rPr>
          <w:b/>
          <w:bCs/>
        </w:rPr>
      </w:pPr>
      <w:r w:rsidRPr="00D32866">
        <w:rPr>
          <w:b/>
          <w:bCs/>
        </w:rPr>
        <w:t xml:space="preserve">Legal Lesson Learned: </w:t>
      </w:r>
      <w:r>
        <w:rPr>
          <w:b/>
          <w:bCs/>
        </w:rPr>
        <w:t xml:space="preserve">A change in the hiring process for Fire Chief did not impact terms and conditions of employment of union members. </w:t>
      </w:r>
    </w:p>
    <w:p w14:paraId="46C4844F" w14:textId="77777777" w:rsidR="00804F3A" w:rsidRDefault="00804F3A" w:rsidP="00F326E5">
      <w:pPr>
        <w:pStyle w:val="NoSpacing"/>
        <w:rPr>
          <w:rFonts w:ascii="Arial Black" w:hAnsi="Arial Black"/>
          <w:sz w:val="24"/>
          <w:szCs w:val="24"/>
        </w:rPr>
      </w:pPr>
    </w:p>
    <w:p w14:paraId="277DCC10" w14:textId="77777777" w:rsidR="00804F3A" w:rsidRDefault="00804F3A" w:rsidP="00F326E5">
      <w:pPr>
        <w:pStyle w:val="NoSpacing"/>
        <w:rPr>
          <w:rFonts w:ascii="Arial Black" w:hAnsi="Arial Black"/>
          <w:sz w:val="24"/>
          <w:szCs w:val="24"/>
        </w:rPr>
      </w:pPr>
    </w:p>
    <w:p w14:paraId="46C73A39" w14:textId="77777777" w:rsidR="00804F3A" w:rsidRDefault="00804F3A" w:rsidP="00F326E5">
      <w:pPr>
        <w:pStyle w:val="NoSpacing"/>
        <w:rPr>
          <w:rFonts w:ascii="Arial Black" w:hAnsi="Arial Black"/>
          <w:sz w:val="24"/>
          <w:szCs w:val="24"/>
        </w:rPr>
      </w:pPr>
    </w:p>
    <w:p w14:paraId="453EA59D" w14:textId="200A50B7" w:rsidR="00E8117B" w:rsidRDefault="00E8117B" w:rsidP="00F326E5">
      <w:pPr>
        <w:pStyle w:val="NoSpacing"/>
        <w:rPr>
          <w:rFonts w:ascii="Arial Black" w:hAnsi="Arial Black"/>
          <w:sz w:val="24"/>
          <w:szCs w:val="24"/>
        </w:rPr>
      </w:pPr>
      <w:r>
        <w:rPr>
          <w:rFonts w:ascii="Arial Black" w:hAnsi="Arial Black"/>
          <w:sz w:val="24"/>
          <w:szCs w:val="24"/>
        </w:rPr>
        <w:t>1-107</w:t>
      </w:r>
    </w:p>
    <w:p w14:paraId="5863698D" w14:textId="78D519FD" w:rsidR="00E8117B" w:rsidRDefault="00E8117B" w:rsidP="00F326E5">
      <w:pPr>
        <w:pStyle w:val="NoSpacing"/>
        <w:rPr>
          <w:rFonts w:ascii="Arial Black" w:hAnsi="Arial Black"/>
          <w:sz w:val="24"/>
          <w:szCs w:val="24"/>
        </w:rPr>
      </w:pPr>
    </w:p>
    <w:p w14:paraId="657F085E"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 xml:space="preserve">MI: DRONE VIDEO OF JUNK YARD – NO ADMINISTRATIVE SEARCH WARRANT – MOTION TO SUPPRESS DENIED </w:t>
      </w:r>
    </w:p>
    <w:p w14:paraId="5570DB5C" w14:textId="77777777" w:rsidR="00E8117B" w:rsidRDefault="00E8117B" w:rsidP="00E8117B">
      <w:pPr>
        <w:pStyle w:val="NormalWeb"/>
      </w:pPr>
      <w:r>
        <w:t xml:space="preserve">On Sept. 15, 2022, in </w:t>
      </w:r>
      <w:r>
        <w:rPr>
          <w:u w:val="single"/>
        </w:rPr>
        <w:t>Long Lake Township v. Todd Maxon and Heather Maxon</w:t>
      </w:r>
      <w:r>
        <w:t xml:space="preserve">, the Court of Appeals of Michigan held (2 to1) that trial court judge properly denied the property owner’s motion to suppress aerial photographs taken by Long Lake Township using a drone without the </w:t>
      </w:r>
      <w:proofErr w:type="spellStart"/>
      <w:r>
        <w:t>Maxons</w:t>
      </w:r>
      <w:proofErr w:type="spellEnd"/>
      <w:r>
        <w:t xml:space="preserve">' permission, a warrant, or any other legal authorization.  </w:t>
      </w:r>
    </w:p>
    <w:p w14:paraId="659C30C3" w14:textId="77777777" w:rsidR="00E8117B" w:rsidRDefault="00E8117B" w:rsidP="00E8117B">
      <w:pPr>
        <w:pStyle w:val="NormalWeb"/>
        <w:ind w:left="720"/>
      </w:pPr>
      <w:r>
        <w:t xml:space="preserve">“The township relied on these photos to support a civil action against the </w:t>
      </w:r>
      <w:proofErr w:type="spellStart"/>
      <w:r>
        <w:t>Maxons</w:t>
      </w:r>
      <w:proofErr w:type="spellEnd"/>
      <w:r>
        <w:t xml:space="preserve"> for violating a zoning ordinance, creating a nuisance, and breaching a previous settlement agreement…. The exclusionary rule does not apply in this civil matter. Accordingly, even if the township violated the </w:t>
      </w:r>
      <w:proofErr w:type="spellStart"/>
      <w:r>
        <w:t>Maxons</w:t>
      </w:r>
      <w:proofErr w:type="spellEnd"/>
      <w:r>
        <w:t xml:space="preserve">' constitutional rights, suppression was not supported. We affirm the lower court's order.” </w:t>
      </w:r>
      <w:hyperlink r:id="rId225" w:history="1">
        <w:r>
          <w:rPr>
            <w:rStyle w:val="Hyperlink"/>
          </w:rPr>
          <w:t>https://caselaw.findlaw.com/mi-court-of-appeals/1912425.html</w:t>
        </w:r>
      </w:hyperlink>
      <w:r>
        <w:t xml:space="preserve"> </w:t>
      </w:r>
    </w:p>
    <w:p w14:paraId="406921BF" w14:textId="77777777" w:rsidR="00E8117B" w:rsidRDefault="00E8117B" w:rsidP="00E8117B">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use of drones to enforce nuisance ordinance is a hot topic. Avoid unnecessary litigation, get an administrative search warrant prior to flying drone over the nuisance property. </w:t>
      </w:r>
    </w:p>
    <w:p w14:paraId="225301F6" w14:textId="77777777" w:rsidR="00E8117B" w:rsidRDefault="00E8117B" w:rsidP="00F326E5">
      <w:pPr>
        <w:pStyle w:val="NoSpacing"/>
        <w:rPr>
          <w:rFonts w:ascii="Arial Black" w:hAnsi="Arial Black"/>
          <w:sz w:val="24"/>
          <w:szCs w:val="24"/>
        </w:rPr>
      </w:pPr>
    </w:p>
    <w:p w14:paraId="14D14521" w14:textId="77777777" w:rsidR="00E8117B" w:rsidRDefault="00E8117B" w:rsidP="00F326E5">
      <w:pPr>
        <w:pStyle w:val="NoSpacing"/>
        <w:rPr>
          <w:rFonts w:ascii="Arial Black" w:hAnsi="Arial Black"/>
          <w:sz w:val="24"/>
          <w:szCs w:val="24"/>
        </w:rPr>
      </w:pPr>
    </w:p>
    <w:p w14:paraId="3303EF4E" w14:textId="0F6445AA" w:rsidR="00D5141D" w:rsidRDefault="00D5141D" w:rsidP="00F326E5">
      <w:pPr>
        <w:pStyle w:val="NoSpacing"/>
        <w:rPr>
          <w:rFonts w:ascii="Arial Black" w:hAnsi="Arial Black"/>
          <w:sz w:val="24"/>
          <w:szCs w:val="24"/>
        </w:rPr>
      </w:pPr>
      <w:r>
        <w:rPr>
          <w:rFonts w:ascii="Arial Black" w:hAnsi="Arial Black"/>
          <w:sz w:val="24"/>
          <w:szCs w:val="24"/>
        </w:rPr>
        <w:t>1-106</w:t>
      </w:r>
    </w:p>
    <w:p w14:paraId="0CC5C889" w14:textId="1AAAF53B" w:rsidR="00D5141D" w:rsidRDefault="00D5141D" w:rsidP="00F326E5">
      <w:pPr>
        <w:pStyle w:val="NoSpacing"/>
        <w:rPr>
          <w:rFonts w:ascii="Arial Black" w:hAnsi="Arial Black"/>
          <w:sz w:val="24"/>
          <w:szCs w:val="24"/>
        </w:rPr>
      </w:pPr>
    </w:p>
    <w:p w14:paraId="18CAC21A" w14:textId="77777777" w:rsidR="00D5141D" w:rsidRPr="002441FA" w:rsidRDefault="00D5141D" w:rsidP="00D5141D">
      <w:pPr>
        <w:pStyle w:val="NormalWeb"/>
        <w:rPr>
          <w:rStyle w:val="markedcontent"/>
          <w:rFonts w:ascii="Arial Black" w:hAnsi="Arial Black"/>
          <w:sz w:val="28"/>
          <w:szCs w:val="28"/>
        </w:rPr>
      </w:pPr>
      <w:r>
        <w:rPr>
          <w:rStyle w:val="markedcontent"/>
          <w:rFonts w:ascii="Arial Black" w:hAnsi="Arial Black"/>
          <w:sz w:val="28"/>
          <w:szCs w:val="28"/>
        </w:rPr>
        <w:t xml:space="preserve">OH: STOPPED TRAINS BLOCKING AMBULANCES – HONDA PLANT MARYSVILLE – CAN’T ENFORCE, FED. STATUTE  </w:t>
      </w:r>
    </w:p>
    <w:p w14:paraId="3585147F" w14:textId="7BF32E82" w:rsidR="00D5141D" w:rsidRDefault="00D5141D" w:rsidP="00D5141D">
      <w:pPr>
        <w:pStyle w:val="NormalWeb"/>
        <w:rPr>
          <w:rStyle w:val="markedcontent"/>
        </w:rPr>
      </w:pPr>
      <w:r>
        <w:rPr>
          <w:rStyle w:val="markedcontent"/>
        </w:rPr>
        <w:t xml:space="preserve">On Aug. 17, 2022, in </w:t>
      </w:r>
      <w:r w:rsidRPr="003748FC">
        <w:rPr>
          <w:rStyle w:val="markedcontent"/>
          <w:u w:val="single"/>
        </w:rPr>
        <w:t>The State of Ohio v. CSX Transportation, Inc</w:t>
      </w:r>
      <w:r>
        <w:rPr>
          <w:rStyle w:val="markedcontent"/>
        </w:rPr>
        <w:t xml:space="preserve">., </w:t>
      </w:r>
      <w:r w:rsidRPr="005A3C5F">
        <w:rPr>
          <w:rStyle w:val="markedcontent"/>
        </w:rPr>
        <w:t>Slip Opinion No. 2022-Ohio-2832</w:t>
      </w:r>
      <w:r>
        <w:rPr>
          <w:rStyle w:val="markedcontent"/>
        </w:rPr>
        <w:t xml:space="preserve">, the Ohio Supreme Court held (5 to 2) that federal law prohibits enforcement of state statute imposing $1,000 fine.  </w:t>
      </w:r>
      <w:r w:rsidRPr="007242C6">
        <w:rPr>
          <w:rStyle w:val="markedcontent"/>
        </w:rPr>
        <w:t xml:space="preserve">In 2018, the state charged CSX </w:t>
      </w:r>
      <w:r>
        <w:rPr>
          <w:rStyle w:val="markedcontent"/>
        </w:rPr>
        <w:t xml:space="preserve">on five occasions </w:t>
      </w:r>
      <w:r w:rsidRPr="007242C6">
        <w:rPr>
          <w:rStyle w:val="markedcontent"/>
        </w:rPr>
        <w:t xml:space="preserve">with violating </w:t>
      </w:r>
      <w:r>
        <w:rPr>
          <w:rStyle w:val="markedcontent"/>
        </w:rPr>
        <w:t xml:space="preserve">Ohio </w:t>
      </w:r>
      <w:r w:rsidRPr="007242C6">
        <w:rPr>
          <w:rStyle w:val="markedcontent"/>
        </w:rPr>
        <w:t>R.C. 5589.21</w:t>
      </w:r>
      <w:r>
        <w:rPr>
          <w:rStyle w:val="markedcontent"/>
        </w:rPr>
        <w:t xml:space="preserve"> [maximum of five minutes blocking] for blocking roadways for 45 minutes to one hour near the Honda plant, but the trial court judge in Marysville Municipal Court dismissed the charges. The Court of Appeals reversed, and CSX appealed to Ohio Supreme Court which agreed with trial court. “</w:t>
      </w:r>
      <w:r w:rsidRPr="007242C6">
        <w:rPr>
          <w:rStyle w:val="markedcontent"/>
        </w:rPr>
        <w:t>We acknowledge the significant danger to the public that is created</w:t>
      </w:r>
      <w:r>
        <w:rPr>
          <w:rStyle w:val="markedcontent"/>
        </w:rPr>
        <w:t xml:space="preserve"> </w:t>
      </w:r>
      <w:r w:rsidRPr="007242C6">
        <w:rPr>
          <w:rStyle w:val="markedcontent"/>
        </w:rPr>
        <w:t>when stopped trains obstruct the movement of first responders across railroad</w:t>
      </w:r>
      <w:r>
        <w:rPr>
          <w:rStyle w:val="markedcontent"/>
        </w:rPr>
        <w:t xml:space="preserve"> </w:t>
      </w:r>
      <w:r w:rsidRPr="007242C6">
        <w:rPr>
          <w:rStyle w:val="markedcontent"/>
        </w:rPr>
        <w:t>tracks. However, the regulation of railroad transportation is a matter of federal law,</w:t>
      </w:r>
      <w:r>
        <w:rPr>
          <w:rStyle w:val="markedcontent"/>
        </w:rPr>
        <w:t xml:space="preserve"> </w:t>
      </w:r>
      <w:r w:rsidRPr="007242C6">
        <w:rPr>
          <w:rStyle w:val="markedcontent"/>
        </w:rPr>
        <w:t>and the federal government alone has the power to address the threat to public</w:t>
      </w:r>
      <w:r>
        <w:rPr>
          <w:rStyle w:val="markedcontent"/>
        </w:rPr>
        <w:t xml:space="preserve"> </w:t>
      </w:r>
      <w:r w:rsidRPr="007242C6">
        <w:rPr>
          <w:rStyle w:val="markedcontent"/>
        </w:rPr>
        <w:t>safety caused by blocked crossings. Because R.C. 5589.21 is preempted, it cannot</w:t>
      </w:r>
      <w:r>
        <w:rPr>
          <w:rStyle w:val="markedcontent"/>
        </w:rPr>
        <w:t xml:space="preserve"> </w:t>
      </w:r>
      <w:r w:rsidRPr="007242C6">
        <w:rPr>
          <w:rStyle w:val="markedcontent"/>
        </w:rPr>
        <w:t>be enforced against CSX. The trial court correctly dismissed the charges in this</w:t>
      </w:r>
      <w:r>
        <w:rPr>
          <w:rStyle w:val="markedcontent"/>
        </w:rPr>
        <w:t xml:space="preserve"> </w:t>
      </w:r>
      <w:r w:rsidRPr="007242C6">
        <w:rPr>
          <w:rStyle w:val="markedcontent"/>
        </w:rPr>
        <w:t>case.</w:t>
      </w:r>
      <w:r>
        <w:rPr>
          <w:rStyle w:val="markedcontent"/>
        </w:rPr>
        <w:t xml:space="preserve">” </w:t>
      </w:r>
      <w:hyperlink r:id="rId226" w:history="1">
        <w:r w:rsidRPr="00D270FB">
          <w:rPr>
            <w:rStyle w:val="Hyperlink"/>
            <w:rFonts w:eastAsiaTheme="majorEastAsia"/>
          </w:rPr>
          <w:t>https://www.supremecourt.ohio.gov/rod/docs/pdf/0/2022/2022-Ohio-2832.pdf</w:t>
        </w:r>
      </w:hyperlink>
      <w:r>
        <w:rPr>
          <w:rStyle w:val="markedcontent"/>
        </w:rPr>
        <w:t xml:space="preserve"> </w:t>
      </w:r>
    </w:p>
    <w:p w14:paraId="2DB8423F" w14:textId="77777777" w:rsidR="00D5141D" w:rsidRPr="00A516F8" w:rsidRDefault="00D5141D" w:rsidP="00D5141D">
      <w:pPr>
        <w:pStyle w:val="NormalWeb"/>
        <w:rPr>
          <w:b/>
          <w:bCs/>
        </w:rPr>
      </w:pPr>
      <w:r w:rsidRPr="00A516F8">
        <w:rPr>
          <w:b/>
          <w:bCs/>
        </w:rPr>
        <w:t xml:space="preserve">Legal Lesson Learned: </w:t>
      </w:r>
      <w:r>
        <w:rPr>
          <w:b/>
          <w:bCs/>
        </w:rPr>
        <w:t xml:space="preserve">This case illustrates the power of railroad lobbyists to influence Congress in passing a statute that preempts state laws. </w:t>
      </w:r>
    </w:p>
    <w:p w14:paraId="10D23C43" w14:textId="77777777" w:rsidR="00D5141D" w:rsidRPr="006A5641" w:rsidRDefault="00D5141D" w:rsidP="00D5141D">
      <w:pPr>
        <w:pStyle w:val="NormalWeb"/>
        <w:ind w:left="720"/>
      </w:pPr>
      <w:r>
        <w:t xml:space="preserve">Note:  See article - </w:t>
      </w:r>
      <w:r w:rsidRPr="006A5641">
        <w:t xml:space="preserve">Aug. 17, 2022: OH - No More Punishment </w:t>
      </w:r>
      <w:proofErr w:type="gramStart"/>
      <w:r w:rsidRPr="006A5641">
        <w:t>For</w:t>
      </w:r>
      <w:proofErr w:type="gramEnd"/>
      <w:r w:rsidRPr="006A5641">
        <w:t xml:space="preserve"> Trains Blocking Crossings </w:t>
      </w:r>
      <w:proofErr w:type="gramStart"/>
      <w:r w:rsidRPr="006A5641">
        <w:t>In</w:t>
      </w:r>
      <w:proofErr w:type="gramEnd"/>
      <w:r w:rsidRPr="006A5641">
        <w:t xml:space="preserve"> Ohio.</w:t>
      </w:r>
      <w:r>
        <w:t xml:space="preserve">” </w:t>
      </w:r>
      <w:hyperlink r:id="rId227" w:history="1">
        <w:r w:rsidRPr="006A5641">
          <w:rPr>
            <w:rStyle w:val="Hyperlink"/>
            <w:rFonts w:eastAsiaTheme="majorEastAsia"/>
          </w:rPr>
          <w:t>https://local12.com/news/local/blocked-railroad-crossings-ohio-supreme-court-ruling-no-more-fines-trains-safety-butler-county-lockland-emergencies-csx-transportation-anti-blocking-law-federal-railroad-administration-cincinnati-local-12-wkrc-tristate-ohio-kentucky-indiana-news</w:t>
        </w:r>
      </w:hyperlink>
      <w:r w:rsidRPr="006A5641">
        <w:t xml:space="preserve"> </w:t>
      </w:r>
    </w:p>
    <w:p w14:paraId="6C5E93DB" w14:textId="77777777" w:rsidR="00D5141D" w:rsidRPr="00214856" w:rsidRDefault="00D5141D" w:rsidP="00D5141D">
      <w:pPr>
        <w:pStyle w:val="Heading1"/>
        <w:ind w:left="720"/>
        <w:rPr>
          <w:b w:val="0"/>
          <w:bCs w:val="0"/>
          <w:sz w:val="24"/>
          <w:szCs w:val="24"/>
        </w:rPr>
      </w:pPr>
      <w:r w:rsidRPr="00214856">
        <w:rPr>
          <w:b w:val="0"/>
          <w:bCs w:val="0"/>
          <w:sz w:val="24"/>
          <w:szCs w:val="24"/>
        </w:rPr>
        <w:t xml:space="preserve">See also Ohio Revised Code: Section 5589.21 </w:t>
      </w:r>
      <w:r w:rsidRPr="00214856">
        <w:rPr>
          <w:rStyle w:val="codes-separator"/>
          <w:b w:val="0"/>
          <w:bCs w:val="0"/>
          <w:sz w:val="24"/>
          <w:szCs w:val="24"/>
        </w:rPr>
        <w:t>|</w:t>
      </w:r>
      <w:r w:rsidRPr="00214856">
        <w:rPr>
          <w:b w:val="0"/>
          <w:bCs w:val="0"/>
          <w:sz w:val="24"/>
          <w:szCs w:val="24"/>
        </w:rPr>
        <w:t xml:space="preserve"> Obstruction of roads by railroads. </w:t>
      </w:r>
      <w:hyperlink r:id="rId228" w:anchor=":~:text=(A)%20No%20railroad%20company%20shall,passing%20along%20or%20upon%20such" w:history="1">
        <w:r w:rsidRPr="00214856">
          <w:rPr>
            <w:rStyle w:val="Hyperlink"/>
            <w:rFonts w:eastAsiaTheme="majorEastAsia"/>
            <w:b w:val="0"/>
            <w:bCs w:val="0"/>
            <w:sz w:val="24"/>
            <w:szCs w:val="24"/>
          </w:rPr>
          <w:t>https://codes.ohio.gov/ohio-revised-code/section-5589.21#:~:text=(A)%20No%20railroad%20company%20shall,passing%20along%20or%20upon%20such</w:t>
        </w:r>
      </w:hyperlink>
      <w:r w:rsidRPr="00214856">
        <w:rPr>
          <w:b w:val="0"/>
          <w:bCs w:val="0"/>
          <w:sz w:val="24"/>
          <w:szCs w:val="24"/>
        </w:rPr>
        <w:t xml:space="preserve"> </w:t>
      </w:r>
    </w:p>
    <w:p w14:paraId="2B8E9A86" w14:textId="77777777" w:rsidR="00D5141D" w:rsidRDefault="00D5141D" w:rsidP="00F326E5">
      <w:pPr>
        <w:pStyle w:val="NoSpacing"/>
        <w:rPr>
          <w:rFonts w:ascii="Arial Black" w:hAnsi="Arial Black"/>
          <w:sz w:val="24"/>
          <w:szCs w:val="24"/>
        </w:rPr>
      </w:pPr>
    </w:p>
    <w:p w14:paraId="5E7373F9" w14:textId="77777777" w:rsidR="00D5141D" w:rsidRDefault="00D5141D" w:rsidP="00F326E5">
      <w:pPr>
        <w:pStyle w:val="NoSpacing"/>
        <w:rPr>
          <w:rFonts w:ascii="Arial Black" w:hAnsi="Arial Black"/>
          <w:sz w:val="24"/>
          <w:szCs w:val="24"/>
        </w:rPr>
      </w:pPr>
    </w:p>
    <w:p w14:paraId="24B16D64" w14:textId="77777777" w:rsidR="00D5141D" w:rsidRDefault="00D5141D" w:rsidP="00F326E5">
      <w:pPr>
        <w:pStyle w:val="NoSpacing"/>
        <w:rPr>
          <w:rFonts w:ascii="Arial Black" w:hAnsi="Arial Black"/>
          <w:sz w:val="24"/>
          <w:szCs w:val="24"/>
        </w:rPr>
      </w:pPr>
    </w:p>
    <w:p w14:paraId="08B8A70A" w14:textId="0E350FF2" w:rsidR="006D2C51" w:rsidRDefault="006D2C51" w:rsidP="00F326E5">
      <w:pPr>
        <w:pStyle w:val="NoSpacing"/>
        <w:rPr>
          <w:rFonts w:ascii="Arial Black" w:hAnsi="Arial Black"/>
          <w:sz w:val="24"/>
          <w:szCs w:val="24"/>
        </w:rPr>
      </w:pPr>
      <w:r>
        <w:rPr>
          <w:rFonts w:ascii="Arial Black" w:hAnsi="Arial Black"/>
          <w:sz w:val="24"/>
          <w:szCs w:val="24"/>
        </w:rPr>
        <w:t>1-105</w:t>
      </w:r>
    </w:p>
    <w:p w14:paraId="3347D185" w14:textId="3FF365A1" w:rsidR="006D2C51" w:rsidRDefault="006D2C51" w:rsidP="00F326E5">
      <w:pPr>
        <w:pStyle w:val="NoSpacing"/>
        <w:rPr>
          <w:rFonts w:ascii="Arial Black" w:hAnsi="Arial Black"/>
          <w:sz w:val="24"/>
          <w:szCs w:val="24"/>
        </w:rPr>
      </w:pPr>
    </w:p>
    <w:p w14:paraId="3746E794" w14:textId="1049C11B" w:rsidR="006D2C51" w:rsidRPr="00825136" w:rsidRDefault="006D2C51" w:rsidP="006D2C5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PA: ARSON – TENANT 3 MONTHS BEHIND ON HIS RENT -</w:t>
      </w:r>
      <w:r w:rsidR="004432C8">
        <w:rPr>
          <w:rFonts w:ascii="Arial Black" w:eastAsia="Times New Roman" w:hAnsi="Arial Black"/>
          <w:sz w:val="28"/>
          <w:szCs w:val="28"/>
        </w:rPr>
        <w:t xml:space="preserve"> </w:t>
      </w:r>
      <w:r>
        <w:rPr>
          <w:rFonts w:ascii="Arial Black" w:eastAsia="Times New Roman" w:hAnsi="Arial Black"/>
          <w:sz w:val="28"/>
          <w:szCs w:val="28"/>
        </w:rPr>
        <w:t>EVICTED DAY OF FIRE IN HIS ROOM – CONV. UPHELD</w:t>
      </w:r>
    </w:p>
    <w:p w14:paraId="4D530659" w14:textId="77777777" w:rsidR="00A40065" w:rsidRDefault="006D2C51" w:rsidP="006D2C51">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July 5, 2022, in </w:t>
      </w:r>
      <w:r w:rsidRPr="00825136">
        <w:rPr>
          <w:rFonts w:ascii="Times New Roman" w:eastAsia="Times New Roman" w:hAnsi="Times New Roman"/>
          <w:sz w:val="24"/>
          <w:szCs w:val="24"/>
          <w:u w:val="single"/>
        </w:rPr>
        <w:t>Commonwealth of Pennsylvania v. Wesley Wise</w:t>
      </w:r>
      <w:r>
        <w:rPr>
          <w:rFonts w:ascii="Times New Roman" w:eastAsia="Times New Roman" w:hAnsi="Times New Roman"/>
          <w:sz w:val="24"/>
          <w:szCs w:val="24"/>
        </w:rPr>
        <w:t xml:space="preserve">, the Superior Court of Pennsylvania held (3 to 0) in non-precedential decision, that conviction by trial judge after a bench trial [no jury] is affirmed.  Circumstantial evidence is sufficient to </w:t>
      </w:r>
      <w:proofErr w:type="gramStart"/>
      <w:r>
        <w:rPr>
          <w:rFonts w:ascii="Times New Roman" w:eastAsia="Times New Roman" w:hAnsi="Times New Roman"/>
          <w:sz w:val="24"/>
          <w:szCs w:val="24"/>
        </w:rPr>
        <w:t>convict for</w:t>
      </w:r>
      <w:proofErr w:type="gramEnd"/>
      <w:r>
        <w:rPr>
          <w:rFonts w:ascii="Times New Roman" w:eastAsia="Times New Roman" w:hAnsi="Times New Roman"/>
          <w:sz w:val="24"/>
          <w:szCs w:val="24"/>
        </w:rPr>
        <w:t xml:space="preserve"> arson. “</w:t>
      </w:r>
      <w:r w:rsidRPr="00073F76">
        <w:rPr>
          <w:rFonts w:ascii="Times New Roman" w:hAnsi="Times New Roman"/>
          <w:sz w:val="24"/>
          <w:szCs w:val="24"/>
        </w:rPr>
        <w:t xml:space="preserve">Direct evidence is not required. </w:t>
      </w:r>
      <w:r>
        <w:rPr>
          <w:rFonts w:ascii="Times New Roman" w:hAnsi="Times New Roman"/>
          <w:sz w:val="24"/>
          <w:szCs w:val="24"/>
        </w:rPr>
        <w:t>‘</w:t>
      </w:r>
      <w:r w:rsidRPr="00073F76">
        <w:rPr>
          <w:rFonts w:ascii="Times New Roman" w:hAnsi="Times New Roman"/>
          <w:sz w:val="24"/>
          <w:szCs w:val="24"/>
        </w:rPr>
        <w:t>[P]roof of guilt especially in arson cases, may be established [through] circumstantial evidence.</w:t>
      </w:r>
      <w:r>
        <w:rPr>
          <w:rFonts w:ascii="Times New Roman" w:hAnsi="Times New Roman"/>
          <w:sz w:val="24"/>
          <w:szCs w:val="24"/>
        </w:rPr>
        <w:t>’</w:t>
      </w:r>
      <w:r w:rsidRPr="00073F76">
        <w:rPr>
          <w:rFonts w:ascii="Times New Roman" w:hAnsi="Times New Roman"/>
          <w:sz w:val="24"/>
          <w:szCs w:val="24"/>
        </w:rPr>
        <w:t xml:space="preserve"> </w:t>
      </w:r>
      <w:r w:rsidRPr="00073F76">
        <w:rPr>
          <w:rStyle w:val="Emphasis"/>
          <w:rFonts w:ascii="Times New Roman" w:hAnsi="Times New Roman"/>
          <w:sz w:val="24"/>
          <w:szCs w:val="24"/>
        </w:rPr>
        <w:t>Commonwealth v. Counterman</w:t>
      </w:r>
      <w:r w:rsidRPr="00073F76">
        <w:rPr>
          <w:rFonts w:ascii="Times New Roman" w:hAnsi="Times New Roman"/>
          <w:sz w:val="24"/>
          <w:szCs w:val="24"/>
        </w:rPr>
        <w:t>, 719 A.2d 284 (Pa. 1998) (</w:t>
      </w:r>
      <w:r w:rsidRPr="00073F76">
        <w:rPr>
          <w:rStyle w:val="Emphasis"/>
          <w:rFonts w:ascii="Times New Roman" w:hAnsi="Times New Roman"/>
          <w:sz w:val="24"/>
          <w:szCs w:val="24"/>
        </w:rPr>
        <w:t>quoting Commonwealth v. DiNicola</w:t>
      </w:r>
      <w:r w:rsidRPr="00073F76">
        <w:rPr>
          <w:rFonts w:ascii="Times New Roman" w:hAnsi="Times New Roman"/>
          <w:sz w:val="24"/>
          <w:szCs w:val="24"/>
        </w:rPr>
        <w:t xml:space="preserve">, 468 A.2d 1078, 1081 (Pa. 1983). </w:t>
      </w:r>
      <w:r>
        <w:rPr>
          <w:rFonts w:ascii="Times New Roman" w:hAnsi="Times New Roman"/>
          <w:sz w:val="24"/>
          <w:szCs w:val="24"/>
        </w:rPr>
        <w:t>‘</w:t>
      </w:r>
      <w:r w:rsidRPr="00073F76">
        <w:rPr>
          <w:rFonts w:ascii="Times New Roman" w:hAnsi="Times New Roman"/>
          <w:sz w:val="24"/>
          <w:szCs w:val="24"/>
        </w:rPr>
        <w:t>[A]</w:t>
      </w:r>
      <w:proofErr w:type="spellStart"/>
      <w:proofErr w:type="gramStart"/>
      <w:r w:rsidRPr="00073F76">
        <w:rPr>
          <w:rFonts w:ascii="Times New Roman" w:hAnsi="Times New Roman"/>
          <w:sz w:val="24"/>
          <w:szCs w:val="24"/>
        </w:rPr>
        <w:t>rson</w:t>
      </w:r>
      <w:proofErr w:type="spellEnd"/>
      <w:proofErr w:type="gramEnd"/>
      <w:r w:rsidRPr="00073F76">
        <w:rPr>
          <w:rFonts w:ascii="Times New Roman" w:hAnsi="Times New Roman"/>
          <w:sz w:val="24"/>
          <w:szCs w:val="24"/>
        </w:rPr>
        <w:t>, by its very nature, is rarely committed in the presence of others, and a refusal to convict on circumstantial evidence alone would be tantamount to an invitation to commit the crime.</w:t>
      </w:r>
      <w:r>
        <w:rPr>
          <w:rFonts w:ascii="Times New Roman" w:hAnsi="Times New Roman"/>
          <w:sz w:val="24"/>
          <w:szCs w:val="24"/>
        </w:rPr>
        <w:t>’</w:t>
      </w:r>
      <w:r w:rsidRPr="00073F76">
        <w:rPr>
          <w:rFonts w:ascii="Times New Roman" w:hAnsi="Times New Roman"/>
          <w:sz w:val="24"/>
          <w:szCs w:val="24"/>
        </w:rPr>
        <w:t xml:space="preserve"> </w:t>
      </w:r>
      <w:r w:rsidRPr="00073F76">
        <w:rPr>
          <w:rStyle w:val="Emphasis"/>
          <w:rFonts w:ascii="Times New Roman" w:hAnsi="Times New Roman"/>
          <w:sz w:val="24"/>
          <w:szCs w:val="24"/>
        </w:rPr>
        <w:t>Commonwealth v. Colon</w:t>
      </w:r>
      <w:r w:rsidRPr="00073F76">
        <w:rPr>
          <w:rFonts w:ascii="Times New Roman" w:hAnsi="Times New Roman"/>
          <w:sz w:val="24"/>
          <w:szCs w:val="24"/>
        </w:rPr>
        <w:t>, 399 A.2d 1068, 1073 (Pa. Super. 1979).</w:t>
      </w:r>
      <w:r>
        <w:rPr>
          <w:rFonts w:ascii="Times New Roman" w:hAnsi="Times New Roman"/>
          <w:sz w:val="24"/>
          <w:szCs w:val="24"/>
        </w:rPr>
        <w:t xml:space="preserve"> *** </w:t>
      </w:r>
      <w:r w:rsidRPr="0034236E">
        <w:rPr>
          <w:rFonts w:ascii="Times New Roman" w:hAnsi="Times New Roman"/>
          <w:sz w:val="24"/>
          <w:szCs w:val="24"/>
        </w:rPr>
        <w:t>Indisputably, an individual started the fire with an open flame in Wise's bedroom closet; no one except Wise had been in there. Wise, who was evicted as of the day of the fire, left the house carrying a bag; he was the only one who had a reason to start the fire. Not long after he left, the smoke alarm went off; this is evident despite the varying times reflected in the record. Ms. Owens and Mr. Bowe risked their lives and tried to extinguish the fire but had to evacuate, along with Ms. Owens' two young grandchildren. The trial court evidently did not believe Ms. Minnis' testimony that Wise was at her house since early on the day of the fire.</w:t>
      </w:r>
      <w:r>
        <w:rPr>
          <w:rFonts w:ascii="Times New Roman" w:hAnsi="Times New Roman"/>
          <w:sz w:val="24"/>
          <w:szCs w:val="24"/>
        </w:rPr>
        <w:t xml:space="preserve">” </w:t>
      </w:r>
      <w:hyperlink r:id="rId229" w:history="1">
        <w:r w:rsidRPr="00661DF4">
          <w:rPr>
            <w:rStyle w:val="Hyperlink"/>
            <w:rFonts w:ascii="Times New Roman" w:hAnsi="Times New Roman"/>
            <w:sz w:val="24"/>
            <w:szCs w:val="24"/>
          </w:rPr>
          <w:t>https://casetext.com/case/commonwealth-v-wise-36</w:t>
        </w:r>
      </w:hyperlink>
      <w:r>
        <w:rPr>
          <w:rFonts w:ascii="Times New Roman" w:hAnsi="Times New Roman"/>
          <w:sz w:val="24"/>
          <w:szCs w:val="24"/>
        </w:rPr>
        <w:t xml:space="preserve"> </w:t>
      </w:r>
    </w:p>
    <w:p w14:paraId="399D9ACA" w14:textId="75BF775C" w:rsidR="006D2C51" w:rsidRPr="000B73D4" w:rsidRDefault="006D2C51" w:rsidP="006D2C51">
      <w:pPr>
        <w:spacing w:before="100" w:beforeAutospacing="1" w:after="100" w:afterAutospacing="1" w:line="240" w:lineRule="auto"/>
        <w:rPr>
          <w:rFonts w:ascii="Times New Roman" w:eastAsia="Times New Roman" w:hAnsi="Times New Roman"/>
          <w:sz w:val="24"/>
          <w:szCs w:val="24"/>
        </w:rPr>
      </w:pPr>
      <w:r w:rsidRPr="00E97CB8">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Circumstantial evidence may lead to arson conviction.</w:t>
      </w:r>
      <w:r w:rsidRPr="00AD3CF7">
        <w:rPr>
          <w:rFonts w:ascii="Times New Roman" w:eastAsia="Times New Roman" w:hAnsi="Times New Roman"/>
          <w:sz w:val="24"/>
          <w:szCs w:val="24"/>
        </w:rPr>
        <w:t xml:space="preserve"> </w:t>
      </w:r>
      <w:r w:rsidRPr="000B73D4">
        <w:rPr>
          <w:rFonts w:ascii="Times New Roman" w:eastAsia="Times New Roman" w:hAnsi="Times New Roman"/>
          <w:sz w:val="24"/>
          <w:szCs w:val="24"/>
        </w:rPr>
        <w:t xml:space="preserve">    </w:t>
      </w:r>
    </w:p>
    <w:p w14:paraId="778EAB19" w14:textId="77777777" w:rsidR="006D2C51" w:rsidRDefault="006D2C51" w:rsidP="00F326E5">
      <w:pPr>
        <w:pStyle w:val="NoSpacing"/>
        <w:rPr>
          <w:rFonts w:ascii="Arial Black" w:hAnsi="Arial Black"/>
          <w:sz w:val="24"/>
          <w:szCs w:val="24"/>
        </w:rPr>
      </w:pPr>
    </w:p>
    <w:p w14:paraId="4F87B00D" w14:textId="77777777" w:rsidR="006D2C51" w:rsidRDefault="006D2C51" w:rsidP="00F326E5">
      <w:pPr>
        <w:pStyle w:val="NoSpacing"/>
        <w:rPr>
          <w:rFonts w:ascii="Arial Black" w:hAnsi="Arial Black"/>
          <w:sz w:val="24"/>
          <w:szCs w:val="24"/>
        </w:rPr>
      </w:pPr>
    </w:p>
    <w:p w14:paraId="42FE7CC0" w14:textId="2EECDA83" w:rsidR="0073564D" w:rsidRDefault="0073564D" w:rsidP="00F326E5">
      <w:pPr>
        <w:pStyle w:val="NoSpacing"/>
        <w:rPr>
          <w:rFonts w:ascii="Arial Black" w:hAnsi="Arial Black"/>
          <w:sz w:val="24"/>
          <w:szCs w:val="24"/>
        </w:rPr>
      </w:pPr>
      <w:r>
        <w:rPr>
          <w:rFonts w:ascii="Arial Black" w:hAnsi="Arial Black"/>
          <w:sz w:val="24"/>
          <w:szCs w:val="24"/>
        </w:rPr>
        <w:t>1-104</w:t>
      </w:r>
    </w:p>
    <w:p w14:paraId="624F6D16" w14:textId="1C18D2D7" w:rsidR="0073564D" w:rsidRDefault="0073564D" w:rsidP="00F326E5">
      <w:pPr>
        <w:pStyle w:val="NoSpacing"/>
        <w:rPr>
          <w:rFonts w:ascii="Arial Black" w:hAnsi="Arial Black"/>
          <w:sz w:val="24"/>
          <w:szCs w:val="24"/>
        </w:rPr>
      </w:pPr>
    </w:p>
    <w:p w14:paraId="0D27CCCF" w14:textId="77777777" w:rsidR="0073564D" w:rsidRDefault="0073564D" w:rsidP="0073564D">
      <w:pPr>
        <w:pStyle w:val="Heading1"/>
        <w:rPr>
          <w:rFonts w:ascii="Arial Black" w:hAnsi="Arial Black"/>
          <w:sz w:val="28"/>
          <w:szCs w:val="28"/>
        </w:rPr>
      </w:pPr>
      <w:r>
        <w:rPr>
          <w:rFonts w:ascii="Arial Black" w:hAnsi="Arial Black"/>
          <w:sz w:val="28"/>
          <w:szCs w:val="28"/>
        </w:rPr>
        <w:t>IL: ANNUAL TESTING FIRE ALARMS REQ. EACH 48 UNITS – CONDO ASSOC. MUST GET OWNERS TO ALLOW TESTER</w:t>
      </w:r>
    </w:p>
    <w:p w14:paraId="4AE8EC5A" w14:textId="77777777" w:rsidR="0073564D" w:rsidRDefault="0073564D" w:rsidP="0073564D">
      <w:pPr>
        <w:pStyle w:val="Heading1"/>
        <w:rPr>
          <w:b w:val="0"/>
          <w:bCs w:val="0"/>
          <w:sz w:val="24"/>
          <w:szCs w:val="24"/>
        </w:rPr>
      </w:pPr>
      <w:r>
        <w:rPr>
          <w:b w:val="0"/>
          <w:bCs w:val="0"/>
          <w:sz w:val="24"/>
          <w:szCs w:val="24"/>
        </w:rPr>
        <w:t xml:space="preserve">On June 21, 2022, in </w:t>
      </w:r>
      <w:r>
        <w:rPr>
          <w:b w:val="0"/>
          <w:bCs w:val="0"/>
          <w:sz w:val="24"/>
          <w:szCs w:val="24"/>
          <w:u w:val="single"/>
        </w:rPr>
        <w:t>The Village of Downers Grove v. Village Square III Condominium Association</w:t>
      </w:r>
      <w:r>
        <w:rPr>
          <w:b w:val="0"/>
          <w:bCs w:val="0"/>
          <w:sz w:val="24"/>
          <w:szCs w:val="24"/>
        </w:rPr>
        <w:t xml:space="preserve">, the Court of Appeals of Illinois, Second District, held (3 to 0), 2022 IL App (2d) 210098, that the trial court, after a bench trial [no jury] properly upheld the citations. The complex consists of three separate two-story buildings, two that contain 18 units and one that contains 12 units, for a total of 48 units. None of the units </w:t>
      </w:r>
      <w:proofErr w:type="gramStart"/>
      <w:r>
        <w:rPr>
          <w:b w:val="0"/>
          <w:bCs w:val="0"/>
          <w:sz w:val="24"/>
          <w:szCs w:val="24"/>
        </w:rPr>
        <w:t>shares</w:t>
      </w:r>
      <w:proofErr w:type="gramEnd"/>
      <w:r>
        <w:rPr>
          <w:b w:val="0"/>
          <w:bCs w:val="0"/>
          <w:sz w:val="24"/>
          <w:szCs w:val="24"/>
        </w:rPr>
        <w:t xml:space="preserve"> any common entrances/exits or hallways. Rather, each unit has its own separate entrance/exit at grade level.  The fire alarms can only be accessed by unit owner allowing in outside testing company. The trial judge “ultimately found it was required to assess a daily fine and imposed an aggregate fine of $23, 475, which consisted of $75 per day for each of the 313 days between December 21, 2017, and October 29, 2018.”  </w:t>
      </w:r>
      <w:hyperlink r:id="rId230" w:history="1">
        <w:r>
          <w:rPr>
            <w:rStyle w:val="Hyperlink"/>
            <w:sz w:val="24"/>
            <w:szCs w:val="24"/>
          </w:rPr>
          <w:t>https://casetext.com/case/the-vill-of-downers-grove-v-vill-square-iii-condo-assn</w:t>
        </w:r>
      </w:hyperlink>
      <w:r>
        <w:rPr>
          <w:b w:val="0"/>
          <w:bCs w:val="0"/>
          <w:sz w:val="24"/>
          <w:szCs w:val="24"/>
        </w:rPr>
        <w:t xml:space="preserve"> </w:t>
      </w:r>
    </w:p>
    <w:p w14:paraId="0FE86FFD" w14:textId="77777777" w:rsidR="009A0402" w:rsidRDefault="009A0402" w:rsidP="009A0402">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Condo Association needs to educate unit </w:t>
      </w:r>
      <w:proofErr w:type="gramStart"/>
      <w:r>
        <w:rPr>
          <w:rFonts w:ascii="Times New Roman" w:hAnsi="Times New Roman"/>
          <w:b/>
          <w:bCs/>
          <w:sz w:val="24"/>
          <w:szCs w:val="24"/>
        </w:rPr>
        <w:t>owners, and</w:t>
      </w:r>
      <w:proofErr w:type="gramEnd"/>
      <w:r>
        <w:rPr>
          <w:rFonts w:ascii="Times New Roman" w:hAnsi="Times New Roman"/>
          <w:b/>
          <w:bCs/>
          <w:sz w:val="24"/>
          <w:szCs w:val="24"/>
        </w:rPr>
        <w:t xml:space="preserve"> adopt by laws that they must allow in the alarm testing company.   </w:t>
      </w:r>
    </w:p>
    <w:p w14:paraId="303DCFB1" w14:textId="77777777" w:rsidR="009A0402" w:rsidRDefault="009A0402" w:rsidP="00F326E5">
      <w:pPr>
        <w:pStyle w:val="NoSpacing"/>
        <w:rPr>
          <w:rFonts w:ascii="Arial Black" w:hAnsi="Arial Black"/>
          <w:sz w:val="24"/>
          <w:szCs w:val="24"/>
        </w:rPr>
      </w:pPr>
    </w:p>
    <w:p w14:paraId="2B083BEF" w14:textId="5D10BE65" w:rsidR="009579EB" w:rsidRPr="009579EB" w:rsidRDefault="009579EB" w:rsidP="00F326E5">
      <w:pPr>
        <w:pStyle w:val="NoSpacing"/>
        <w:rPr>
          <w:rFonts w:ascii="Arial Black" w:hAnsi="Arial Black"/>
          <w:sz w:val="24"/>
          <w:szCs w:val="24"/>
        </w:rPr>
      </w:pPr>
      <w:r w:rsidRPr="009579EB">
        <w:rPr>
          <w:rFonts w:ascii="Arial Black" w:hAnsi="Arial Black"/>
          <w:sz w:val="24"/>
          <w:szCs w:val="24"/>
        </w:rPr>
        <w:t>1-103</w:t>
      </w:r>
    </w:p>
    <w:p w14:paraId="0F000359" w14:textId="77777777" w:rsidR="009579EB" w:rsidRPr="00E93614" w:rsidRDefault="009579EB" w:rsidP="009579EB">
      <w:pPr>
        <w:spacing w:before="100" w:beforeAutospacing="1" w:after="100" w:afterAutospacing="1" w:line="240" w:lineRule="auto"/>
        <w:rPr>
          <w:rFonts w:ascii="Arial Black" w:eastAsia="Times New Roman" w:hAnsi="Arial Black"/>
          <w:sz w:val="28"/>
          <w:szCs w:val="28"/>
        </w:rPr>
      </w:pPr>
      <w:r>
        <w:rPr>
          <w:rFonts w:ascii="Arial Black" w:hAnsi="Arial Black"/>
          <w:b/>
          <w:sz w:val="28"/>
          <w:szCs w:val="28"/>
        </w:rPr>
        <w:t>AL: DEP. FIRE MARSHAL NO IMMUNITY – FALSELY TOLD PROS. DEF. ADMITTED BURN BARREL DESTROY EVIDENCE</w:t>
      </w:r>
    </w:p>
    <w:p w14:paraId="0E8D380A" w14:textId="29CC9FF9" w:rsidR="009579EB" w:rsidRDefault="009579EB" w:rsidP="009579EB">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27, 2022, in </w:t>
      </w:r>
      <w:r w:rsidRPr="00CD21F9">
        <w:rPr>
          <w:rFonts w:ascii="Times New Roman" w:eastAsia="Times New Roman" w:hAnsi="Times New Roman"/>
          <w:sz w:val="24"/>
          <w:szCs w:val="24"/>
          <w:u w:val="single"/>
        </w:rPr>
        <w:t xml:space="preserve">Ex </w:t>
      </w:r>
      <w:proofErr w:type="spellStart"/>
      <w:r w:rsidRPr="00CD21F9">
        <w:rPr>
          <w:rFonts w:ascii="Times New Roman" w:eastAsia="Times New Roman" w:hAnsi="Times New Roman"/>
          <w:sz w:val="24"/>
          <w:szCs w:val="24"/>
          <w:u w:val="single"/>
        </w:rPr>
        <w:t>parte</w:t>
      </w:r>
      <w:proofErr w:type="spellEnd"/>
      <w:r w:rsidRPr="00CD21F9">
        <w:rPr>
          <w:rFonts w:ascii="Times New Roman" w:eastAsia="Times New Roman" w:hAnsi="Times New Roman"/>
          <w:sz w:val="24"/>
          <w:szCs w:val="24"/>
          <w:u w:val="single"/>
        </w:rPr>
        <w:t xml:space="preserve"> Greg Pinkard</w:t>
      </w:r>
      <w:r>
        <w:rPr>
          <w:rFonts w:ascii="Times New Roman" w:eastAsia="Times New Roman" w:hAnsi="Times New Roman"/>
          <w:sz w:val="24"/>
          <w:szCs w:val="24"/>
          <w:u w:val="single"/>
        </w:rPr>
        <w:t xml:space="preserve"> (</w:t>
      </w:r>
      <w:r w:rsidRPr="00CD21F9">
        <w:rPr>
          <w:rFonts w:ascii="Times New Roman" w:eastAsia="Times New Roman" w:hAnsi="Times New Roman"/>
          <w:sz w:val="24"/>
          <w:szCs w:val="24"/>
          <w:u w:val="single"/>
        </w:rPr>
        <w:t>In re; Ronnie Taylor v. Allstate Property &amp; Casualty Insurance Company, et al.</w:t>
      </w:r>
      <w:r>
        <w:rPr>
          <w:rFonts w:ascii="Times New Roman" w:eastAsia="Times New Roman" w:hAnsi="Times New Roman"/>
          <w:sz w:val="24"/>
          <w:szCs w:val="24"/>
          <w:u w:val="single"/>
        </w:rPr>
        <w:t>)</w:t>
      </w:r>
      <w:r>
        <w:rPr>
          <w:rFonts w:ascii="Times New Roman" w:eastAsia="Times New Roman" w:hAnsi="Times New Roman"/>
          <w:sz w:val="24"/>
          <w:szCs w:val="24"/>
        </w:rPr>
        <w:t xml:space="preserve">, the Supreme Court of Alabama held (8 to 0) that State Deputy Fire Marshal Greg Pinkard’s is not entitled to governmental immunity, holding that the trial court judge properly held he can be personally sued for malicious prosecution and defamation for allegedly falsely reporting to District Attorney’s Office that the owner of a cabin [a volunteer FF] had admitted to placing </w:t>
      </w:r>
      <w:r w:rsidRPr="002A073B">
        <w:rPr>
          <w:rFonts w:ascii="Times New Roman" w:eastAsia="Times New Roman" w:hAnsi="Times New Roman"/>
          <w:sz w:val="24"/>
          <w:szCs w:val="24"/>
        </w:rPr>
        <w:t xml:space="preserve">a </w:t>
      </w:r>
      <w:r>
        <w:rPr>
          <w:rFonts w:ascii="Times New Roman" w:eastAsia="Times New Roman" w:hAnsi="Times New Roman"/>
          <w:sz w:val="24"/>
          <w:szCs w:val="24"/>
        </w:rPr>
        <w:t>55-gallon steel barrel “</w:t>
      </w:r>
      <w:r w:rsidRPr="002A073B">
        <w:rPr>
          <w:rFonts w:ascii="Times New Roman" w:hAnsi="Times New Roman"/>
          <w:sz w:val="24"/>
          <w:szCs w:val="24"/>
        </w:rPr>
        <w:t>onto the structure with extra fuel items to burn maintaining the fire and destroying evidence."</w:t>
      </w:r>
      <w:r>
        <w:rPr>
          <w:rFonts w:ascii="Times New Roman" w:hAnsi="Times New Roman"/>
          <w:sz w:val="24"/>
          <w:szCs w:val="24"/>
        </w:rPr>
        <w:t xml:space="preserve">  He was charged with arson and tampering with evidence; all charges later dropped.  Ronnie Taylor </w:t>
      </w:r>
      <w:proofErr w:type="gramStart"/>
      <w:r>
        <w:rPr>
          <w:rFonts w:ascii="Times New Roman" w:hAnsi="Times New Roman"/>
          <w:sz w:val="24"/>
          <w:szCs w:val="24"/>
        </w:rPr>
        <w:t>actually told</w:t>
      </w:r>
      <w:proofErr w:type="gramEnd"/>
      <w:r>
        <w:rPr>
          <w:rFonts w:ascii="Times New Roman" w:hAnsi="Times New Roman"/>
          <w:sz w:val="24"/>
          <w:szCs w:val="24"/>
        </w:rPr>
        <w:t xml:space="preserve"> the Deputy Fire Marshal that he only used the burn barrel after the fire to clean up remaining </w:t>
      </w:r>
      <w:proofErr w:type="gramStart"/>
      <w:r>
        <w:rPr>
          <w:rFonts w:ascii="Times New Roman" w:hAnsi="Times New Roman"/>
          <w:sz w:val="24"/>
          <w:szCs w:val="24"/>
        </w:rPr>
        <w:t>debris, and</w:t>
      </w:r>
      <w:proofErr w:type="gramEnd"/>
      <w:r>
        <w:rPr>
          <w:rFonts w:ascii="Times New Roman" w:hAnsi="Times New Roman"/>
          <w:sz w:val="24"/>
          <w:szCs w:val="24"/>
        </w:rPr>
        <w:t xml:space="preserve"> lawfully submitted an insurance claim of $40,000 for loss of his cabin, his tools and a 1996 Lincoln Town Car.  </w:t>
      </w:r>
      <w:r>
        <w:rPr>
          <w:rFonts w:ascii="Times New Roman" w:eastAsia="Times New Roman" w:hAnsi="Times New Roman"/>
          <w:sz w:val="24"/>
          <w:szCs w:val="24"/>
        </w:rPr>
        <w:t xml:space="preserve">The lawsuit for damages may now be decided by a civil jury. </w:t>
      </w:r>
      <w:hyperlink r:id="rId231" w:history="1">
        <w:r w:rsidRPr="00A10B90">
          <w:rPr>
            <w:rStyle w:val="Hyperlink"/>
            <w:rFonts w:ascii="Times New Roman" w:eastAsia="Times New Roman" w:hAnsi="Times New Roman"/>
            <w:sz w:val="24"/>
            <w:szCs w:val="24"/>
          </w:rPr>
          <w:t>https://acis.alabama.gov/displaydocs.cfm?no=1126944&amp;event=6CD0OUEMB</w:t>
        </w:r>
      </w:hyperlink>
      <w:r>
        <w:rPr>
          <w:rFonts w:ascii="Times New Roman" w:eastAsia="Times New Roman" w:hAnsi="Times New Roman"/>
          <w:sz w:val="24"/>
          <w:szCs w:val="24"/>
        </w:rPr>
        <w:t xml:space="preserve"> </w:t>
      </w:r>
    </w:p>
    <w:p w14:paraId="6E3560D8" w14:textId="77777777" w:rsidR="009579EB" w:rsidRDefault="009579EB" w:rsidP="009579EB">
      <w:pPr>
        <w:spacing w:before="100" w:beforeAutospacing="1" w:after="100" w:afterAutospacing="1" w:line="240" w:lineRule="auto"/>
        <w:rPr>
          <w:rFonts w:ascii="Times New Roman" w:eastAsia="Times New Roman" w:hAnsi="Times New Roman"/>
          <w:b/>
          <w:bCs/>
          <w:sz w:val="24"/>
          <w:szCs w:val="24"/>
        </w:rPr>
      </w:pPr>
      <w:r w:rsidRPr="007C62E3">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Arson investigators, in their reports to prosecutors, must use extreme care in describing the defendant’s admissions.  </w:t>
      </w:r>
    </w:p>
    <w:p w14:paraId="738B3CFD" w14:textId="77777777" w:rsidR="00CA1367" w:rsidRPr="00CA1367" w:rsidRDefault="00CA1367" w:rsidP="00CA1367">
      <w:pPr>
        <w:spacing w:before="100" w:beforeAutospacing="1" w:after="100" w:afterAutospacing="1" w:line="240" w:lineRule="auto"/>
        <w:ind w:left="720"/>
        <w:rPr>
          <w:rFonts w:eastAsia="Times New Roman"/>
          <w:sz w:val="24"/>
          <w:szCs w:val="24"/>
        </w:rPr>
      </w:pPr>
      <w:r w:rsidRPr="00CA1367">
        <w:rPr>
          <w:rFonts w:eastAsia="Times New Roman"/>
          <w:sz w:val="24"/>
          <w:szCs w:val="24"/>
        </w:rPr>
        <w:t xml:space="preserve">Note: See article on this case.  </w:t>
      </w:r>
    </w:p>
    <w:p w14:paraId="3FAFA9D3" w14:textId="77777777" w:rsidR="00CA1367" w:rsidRPr="00834159" w:rsidRDefault="00CA1367" w:rsidP="00CA1367">
      <w:pPr>
        <w:spacing w:before="100" w:beforeAutospacing="1" w:after="100" w:afterAutospacing="1" w:line="240" w:lineRule="auto"/>
        <w:ind w:left="720"/>
        <w:rPr>
          <w:rFonts w:ascii="Times New Roman" w:eastAsia="Times New Roman" w:hAnsi="Times New Roman"/>
          <w:sz w:val="24"/>
          <w:szCs w:val="24"/>
        </w:rPr>
      </w:pPr>
      <w:r w:rsidRPr="00CA1367">
        <w:rPr>
          <w:rFonts w:eastAsia="Times New Roman"/>
          <w:sz w:val="24"/>
          <w:szCs w:val="24"/>
        </w:rPr>
        <w:t xml:space="preserve">June 6, 2022. </w:t>
      </w:r>
      <w:r w:rsidRPr="00CA1367">
        <w:rPr>
          <w:rFonts w:ascii="Times New Roman" w:eastAsia="Times New Roman" w:hAnsi="Times New Roman"/>
          <w:sz w:val="24"/>
          <w:szCs w:val="24"/>
        </w:rPr>
        <w:t>State Immunity – State-Agent Immunity – Deputy Fire Marshal</w:t>
      </w:r>
      <w:r w:rsidRPr="00CA1367">
        <w:rPr>
          <w:rFonts w:eastAsia="Times New Roman"/>
          <w:sz w:val="24"/>
          <w:szCs w:val="24"/>
        </w:rPr>
        <w:t xml:space="preserve"> </w:t>
      </w:r>
      <w:hyperlink r:id="rId232" w:history="1">
        <w:r w:rsidRPr="00CA1367">
          <w:rPr>
            <w:rStyle w:val="Hyperlink"/>
            <w:rFonts w:eastAsia="Times New Roman"/>
            <w:sz w:val="24"/>
            <w:szCs w:val="24"/>
          </w:rPr>
          <w:t>https://www.cunninghambounds.com/blogs/2022/june/state-immunity-state-agent-immunity-deputy-fire-/</w:t>
        </w:r>
      </w:hyperlink>
      <w:r w:rsidRPr="00834159">
        <w:rPr>
          <w:rFonts w:eastAsia="Times New Roman"/>
          <w:szCs w:val="24"/>
        </w:rPr>
        <w:t xml:space="preserve"> </w:t>
      </w:r>
    </w:p>
    <w:p w14:paraId="2A21D000" w14:textId="77777777" w:rsidR="009579EB" w:rsidRDefault="009579EB" w:rsidP="009579EB">
      <w:pPr>
        <w:spacing w:before="100" w:beforeAutospacing="1" w:after="100" w:afterAutospacing="1" w:line="240" w:lineRule="auto"/>
        <w:rPr>
          <w:rFonts w:ascii="Times New Roman" w:eastAsia="Times New Roman" w:hAnsi="Times New Roman"/>
          <w:sz w:val="24"/>
          <w:szCs w:val="24"/>
        </w:rPr>
      </w:pPr>
    </w:p>
    <w:p w14:paraId="13AB87BF" w14:textId="368376BD" w:rsidR="009579EB" w:rsidRDefault="009579EB" w:rsidP="00F326E5">
      <w:pPr>
        <w:pStyle w:val="NoSpacing"/>
        <w:rPr>
          <w:rFonts w:ascii="Arial Black" w:hAnsi="Arial Black"/>
          <w:sz w:val="40"/>
          <w:szCs w:val="40"/>
        </w:rPr>
      </w:pPr>
    </w:p>
    <w:p w14:paraId="6C6F0E05" w14:textId="77777777" w:rsidR="009579EB" w:rsidRPr="007732FA" w:rsidRDefault="009579EB" w:rsidP="00F326E5">
      <w:pPr>
        <w:pStyle w:val="NoSpacing"/>
        <w:rPr>
          <w:rFonts w:ascii="Arial Black" w:hAnsi="Arial Black"/>
          <w:sz w:val="40"/>
          <w:szCs w:val="40"/>
        </w:rPr>
      </w:pPr>
    </w:p>
    <w:p w14:paraId="77877CDB" w14:textId="29643C46" w:rsidR="009579EB" w:rsidRDefault="009579EB" w:rsidP="002B1283">
      <w:pPr>
        <w:rPr>
          <w:rFonts w:ascii="Arial Black" w:hAnsi="Arial Black"/>
          <w:b/>
          <w:sz w:val="24"/>
          <w:szCs w:val="24"/>
        </w:rPr>
      </w:pPr>
      <w:r>
        <w:rPr>
          <w:rFonts w:ascii="Arial Black" w:hAnsi="Arial Black"/>
          <w:b/>
          <w:sz w:val="24"/>
          <w:szCs w:val="24"/>
        </w:rPr>
        <w:t>1-101</w:t>
      </w:r>
    </w:p>
    <w:p w14:paraId="7E5D28A0" w14:textId="77777777" w:rsidR="009579EB" w:rsidRPr="00222D33" w:rsidRDefault="009579EB" w:rsidP="009579EB">
      <w:pPr>
        <w:spacing w:before="100" w:beforeAutospacing="1" w:after="100" w:afterAutospacing="1" w:line="240" w:lineRule="auto"/>
        <w:rPr>
          <w:rFonts w:ascii="Arial Black" w:hAnsi="Arial Black"/>
          <w:sz w:val="28"/>
          <w:szCs w:val="28"/>
        </w:rPr>
      </w:pPr>
      <w:r>
        <w:rPr>
          <w:rFonts w:ascii="Arial Black" w:hAnsi="Arial Black"/>
          <w:sz w:val="28"/>
          <w:szCs w:val="28"/>
        </w:rPr>
        <w:t>AK: DEF. ENDANGERED FF – 60 MONTHS PRISON - TIMBER THEFT – FAILED REPORT FIRE HE STARTED NAT. FOREST</w:t>
      </w:r>
    </w:p>
    <w:p w14:paraId="56EC7FB4" w14:textId="77777777" w:rsidR="009579EB" w:rsidRDefault="009579EB" w:rsidP="009579E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May 27, 2022, in </w:t>
      </w:r>
      <w:r w:rsidRPr="00F138B9">
        <w:rPr>
          <w:rFonts w:ascii="Times New Roman" w:hAnsi="Times New Roman"/>
          <w:sz w:val="24"/>
          <w:szCs w:val="24"/>
          <w:u w:val="single"/>
        </w:rPr>
        <w:t>United States of America v. Jacob Edward Walls</w:t>
      </w:r>
      <w:r>
        <w:rPr>
          <w:rFonts w:ascii="Times New Roman" w:hAnsi="Times New Roman"/>
          <w:sz w:val="24"/>
          <w:szCs w:val="24"/>
        </w:rPr>
        <w:t xml:space="preserve">, the U.S. Court of Appeals for the Eight Circuit (St. Louis, Missouri) held (3 to 0) that trial court properly sentenced the defendant pursuant to the federal Sentencing Guidelines to the maximum of 60 months since he didn’t report the fire to cover up his illegal timber harvesting. </w:t>
      </w:r>
      <w:r w:rsidRPr="00D20A19">
        <w:rPr>
          <w:rFonts w:ascii="Times New Roman" w:hAnsi="Times New Roman"/>
          <w:sz w:val="24"/>
          <w:szCs w:val="24"/>
        </w:rPr>
        <w:t xml:space="preserve">Jacob Walls pleaded guilty to willfully setting fire to public lands, in violation of 18 U.S.C. § 1855. </w:t>
      </w:r>
      <w:r>
        <w:rPr>
          <w:rFonts w:ascii="Times New Roman" w:hAnsi="Times New Roman"/>
          <w:sz w:val="24"/>
          <w:szCs w:val="24"/>
        </w:rPr>
        <w:t>The fire started    when he “</w:t>
      </w:r>
      <w:r w:rsidRPr="00824081">
        <w:rPr>
          <w:rFonts w:ascii="Times New Roman" w:hAnsi="Times New Roman"/>
          <w:sz w:val="24"/>
          <w:szCs w:val="24"/>
        </w:rPr>
        <w:t xml:space="preserve">burn the debris using two different fires with accelerant from a </w:t>
      </w:r>
      <w:r>
        <w:rPr>
          <w:rFonts w:ascii="Times New Roman" w:hAnsi="Times New Roman"/>
          <w:sz w:val="24"/>
          <w:szCs w:val="24"/>
        </w:rPr>
        <w:t>‘</w:t>
      </w:r>
      <w:r w:rsidRPr="00824081">
        <w:rPr>
          <w:rFonts w:ascii="Times New Roman" w:hAnsi="Times New Roman"/>
          <w:sz w:val="24"/>
          <w:szCs w:val="24"/>
        </w:rPr>
        <w:t>Jerry Can.</w:t>
      </w:r>
      <w:r>
        <w:rPr>
          <w:rFonts w:ascii="Times New Roman" w:hAnsi="Times New Roman"/>
          <w:sz w:val="24"/>
          <w:szCs w:val="24"/>
        </w:rPr>
        <w:t xml:space="preserve">’” When the fire spread, he left the scene and did not report the spreading fire.  A resident notified Park Service, and firefighters working in difficult terrain after dark saved the neighbor’s home. </w:t>
      </w:r>
      <w:hyperlink r:id="rId233" w:history="1">
        <w:r w:rsidRPr="00A10B90">
          <w:rPr>
            <w:rStyle w:val="Hyperlink"/>
            <w:rFonts w:ascii="Times New Roman" w:hAnsi="Times New Roman"/>
            <w:sz w:val="24"/>
            <w:szCs w:val="24"/>
          </w:rPr>
          <w:t>https://ecf.ca8.uscourts.gov/opndir/22/05/212146P.pdf</w:t>
        </w:r>
      </w:hyperlink>
      <w:r>
        <w:rPr>
          <w:rFonts w:ascii="Times New Roman" w:hAnsi="Times New Roman"/>
          <w:sz w:val="24"/>
          <w:szCs w:val="24"/>
        </w:rPr>
        <w:t xml:space="preserve"> </w:t>
      </w:r>
    </w:p>
    <w:p w14:paraId="205F7B42" w14:textId="77777777" w:rsidR="009579EB" w:rsidRPr="00E93614" w:rsidRDefault="009579EB" w:rsidP="009579EB">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sentencing judge properly included the risk of firefighters when imposing the sentence. </w:t>
      </w:r>
    </w:p>
    <w:p w14:paraId="0A08482E" w14:textId="77777777" w:rsidR="009579EB" w:rsidRPr="00B82003" w:rsidRDefault="009579EB" w:rsidP="009579EB">
      <w:pPr>
        <w:spacing w:before="100" w:beforeAutospacing="1" w:after="100" w:afterAutospacing="1" w:line="240" w:lineRule="auto"/>
        <w:ind w:left="720"/>
        <w:rPr>
          <w:rFonts w:ascii="Times New Roman" w:hAnsi="Times New Roman"/>
          <w:bCs/>
          <w:sz w:val="24"/>
          <w:szCs w:val="24"/>
        </w:rPr>
      </w:pPr>
      <w:r w:rsidRPr="00B82003">
        <w:rPr>
          <w:rFonts w:ascii="Times New Roman" w:hAnsi="Times New Roman"/>
          <w:bCs/>
          <w:sz w:val="24"/>
          <w:szCs w:val="24"/>
        </w:rPr>
        <w:t>Note:</w:t>
      </w:r>
      <w:r w:rsidRPr="00B82003">
        <w:rPr>
          <w:rFonts w:ascii="Times New Roman" w:hAnsi="Times New Roman"/>
          <w:bCs/>
          <w:sz w:val="24"/>
          <w:szCs w:val="24"/>
        </w:rPr>
        <w:tab/>
        <w:t xml:space="preserve">Federal Sentencing Guidelines: </w:t>
      </w:r>
      <w:hyperlink r:id="rId234" w:history="1">
        <w:r w:rsidRPr="00B82003">
          <w:rPr>
            <w:rStyle w:val="Hyperlink"/>
            <w:rFonts w:ascii="Times New Roman" w:hAnsi="Times New Roman"/>
            <w:bCs/>
            <w:sz w:val="24"/>
            <w:szCs w:val="24"/>
          </w:rPr>
          <w:t>https://www.law.cornell.edu/wex/federal_sentencing_guidelines</w:t>
        </w:r>
      </w:hyperlink>
      <w:r w:rsidRPr="00B82003">
        <w:rPr>
          <w:rFonts w:ascii="Times New Roman" w:hAnsi="Times New Roman"/>
          <w:bCs/>
          <w:sz w:val="24"/>
          <w:szCs w:val="24"/>
        </w:rPr>
        <w:t xml:space="preserve"> </w:t>
      </w:r>
    </w:p>
    <w:p w14:paraId="7AC5BED6" w14:textId="77777777" w:rsidR="009579EB" w:rsidRPr="003A568B" w:rsidRDefault="009579EB" w:rsidP="009579EB">
      <w:pPr>
        <w:ind w:left="720"/>
        <w:rPr>
          <w:rFonts w:ascii="Times New Roman" w:hAnsi="Times New Roman"/>
          <w:sz w:val="24"/>
          <w:szCs w:val="24"/>
        </w:rPr>
      </w:pPr>
      <w:r>
        <w:rPr>
          <w:rFonts w:ascii="Times New Roman" w:hAnsi="Times New Roman"/>
          <w:sz w:val="24"/>
          <w:szCs w:val="24"/>
        </w:rPr>
        <w:t>“</w:t>
      </w:r>
      <w:r w:rsidRPr="003A568B">
        <w:rPr>
          <w:rFonts w:ascii="Times New Roman" w:hAnsi="Times New Roman"/>
          <w:sz w:val="24"/>
          <w:szCs w:val="24"/>
        </w:rPr>
        <w:t xml:space="preserve">The Federal Sentencing Guidelines are non-binding rules that set out a uniform sentencing policy for defendants convicted in the United States federal court system that became effective in 1987. The Guidelines provide for </w:t>
      </w:r>
      <w:r>
        <w:rPr>
          <w:rFonts w:ascii="Times New Roman" w:hAnsi="Times New Roman"/>
          <w:sz w:val="24"/>
          <w:szCs w:val="24"/>
        </w:rPr>
        <w:t>‘</w:t>
      </w:r>
      <w:r w:rsidRPr="003A568B">
        <w:rPr>
          <w:rFonts w:ascii="Times New Roman" w:hAnsi="Times New Roman"/>
          <w:sz w:val="24"/>
          <w:szCs w:val="24"/>
        </w:rPr>
        <w:t xml:space="preserve">very precise calibration of sentences, depending upon </w:t>
      </w:r>
      <w:proofErr w:type="gramStart"/>
      <w:r w:rsidRPr="003A568B">
        <w:rPr>
          <w:rFonts w:ascii="Times New Roman" w:hAnsi="Times New Roman"/>
          <w:sz w:val="24"/>
          <w:szCs w:val="24"/>
        </w:rPr>
        <w:t>a number of</w:t>
      </w:r>
      <w:proofErr w:type="gramEnd"/>
      <w:r w:rsidRPr="003A568B">
        <w:rPr>
          <w:rFonts w:ascii="Times New Roman" w:hAnsi="Times New Roman"/>
          <w:sz w:val="24"/>
          <w:szCs w:val="24"/>
        </w:rPr>
        <w:t xml:space="preserve"> factors. These factors relate both to the subjective guilt of the defendant and to the harm caused by his facts.</w:t>
      </w:r>
      <w:r>
        <w:rPr>
          <w:rFonts w:ascii="Times New Roman" w:hAnsi="Times New Roman"/>
          <w:sz w:val="24"/>
          <w:szCs w:val="24"/>
        </w:rPr>
        <w:t>’</w:t>
      </w:r>
      <w:r w:rsidRPr="003A568B">
        <w:rPr>
          <w:rFonts w:ascii="Times New Roman" w:hAnsi="Times New Roman"/>
          <w:sz w:val="24"/>
          <w:szCs w:val="24"/>
        </w:rPr>
        <w:t xml:space="preserve"> </w:t>
      </w:r>
      <w:hyperlink r:id="rId235" w:history="1">
        <w:r w:rsidRPr="003A568B">
          <w:rPr>
            <w:rStyle w:val="Hyperlink"/>
            <w:rFonts w:ascii="Times New Roman" w:hAnsi="Times New Roman"/>
            <w:i/>
            <w:iCs/>
            <w:sz w:val="24"/>
            <w:szCs w:val="24"/>
          </w:rPr>
          <w:t>Payne v. Tennessee</w:t>
        </w:r>
      </w:hyperlink>
      <w:r w:rsidRPr="003A568B">
        <w:rPr>
          <w:rFonts w:ascii="Times New Roman" w:hAnsi="Times New Roman"/>
          <w:sz w:val="24"/>
          <w:szCs w:val="24"/>
        </w:rPr>
        <w:t>, 501 U.S. 808, 820 (1991).</w:t>
      </w:r>
    </w:p>
    <w:p w14:paraId="0F370571" w14:textId="77777777" w:rsidR="009579EB" w:rsidRPr="003A568B" w:rsidRDefault="009579EB" w:rsidP="009579EB">
      <w:pPr>
        <w:ind w:left="720"/>
        <w:rPr>
          <w:rFonts w:ascii="Times New Roman" w:hAnsi="Times New Roman"/>
          <w:sz w:val="24"/>
          <w:szCs w:val="24"/>
        </w:rPr>
      </w:pPr>
      <w:r w:rsidRPr="003A568B">
        <w:rPr>
          <w:rFonts w:ascii="Times New Roman" w:hAnsi="Times New Roman"/>
          <w:sz w:val="24"/>
          <w:szCs w:val="24"/>
        </w:rPr>
        <w:t xml:space="preserve">The Guidelines are not mandatory, because they may result in a sentence based on facts not proven beyond a reasonable doubt to a jury, in violation of the Sixth Amendment. </w:t>
      </w:r>
      <w:hyperlink r:id="rId236" w:history="1">
        <w:r w:rsidRPr="003A568B">
          <w:rPr>
            <w:rStyle w:val="Emphasis"/>
            <w:rFonts w:ascii="Times New Roman" w:hAnsi="Times New Roman"/>
            <w:color w:val="0000FF"/>
            <w:sz w:val="24"/>
            <w:szCs w:val="24"/>
            <w:u w:val="single"/>
          </w:rPr>
          <w:t>United States v. Booker</w:t>
        </w:r>
        <w:r w:rsidRPr="003A568B">
          <w:rPr>
            <w:rStyle w:val="Hyperlink"/>
            <w:rFonts w:ascii="Times New Roman" w:hAnsi="Times New Roman"/>
            <w:sz w:val="24"/>
            <w:szCs w:val="24"/>
          </w:rPr>
          <w:t>, 543 U.S. 20 (2005)</w:t>
        </w:r>
      </w:hyperlink>
      <w:r w:rsidRPr="003A568B">
        <w:rPr>
          <w:rFonts w:ascii="Times New Roman" w:hAnsi="Times New Roman"/>
          <w:sz w:val="24"/>
          <w:szCs w:val="24"/>
        </w:rPr>
        <w:t>. However, judges must consider them when determining a criminal defendant's sentence. When a judge determines within his or her discretion to depart from the Guidelines, the judge must explain what factors warranted the increased or decreased sentence.</w:t>
      </w:r>
      <w:r>
        <w:rPr>
          <w:rFonts w:ascii="Times New Roman" w:hAnsi="Times New Roman"/>
          <w:sz w:val="24"/>
          <w:szCs w:val="24"/>
        </w:rPr>
        <w:t xml:space="preserve"> </w:t>
      </w:r>
      <w:r w:rsidRPr="003A568B">
        <w:rPr>
          <w:rFonts w:ascii="Times New Roman" w:hAnsi="Times New Roman"/>
          <w:sz w:val="24"/>
          <w:szCs w:val="24"/>
        </w:rPr>
        <w:t xml:space="preserve">When a Court of Appeals reviews a sentence imposed through a proper application the Guidelines, it may presume the sentence is reasonable. </w:t>
      </w:r>
      <w:hyperlink r:id="rId237" w:history="1">
        <w:r w:rsidRPr="003A568B">
          <w:rPr>
            <w:rStyle w:val="Hyperlink"/>
            <w:rFonts w:ascii="Times New Roman" w:hAnsi="Times New Roman"/>
            <w:i/>
            <w:iCs/>
            <w:sz w:val="24"/>
            <w:szCs w:val="24"/>
          </w:rPr>
          <w:t>Rita v. United States</w:t>
        </w:r>
      </w:hyperlink>
      <w:r w:rsidRPr="003A568B">
        <w:rPr>
          <w:rFonts w:ascii="Times New Roman" w:hAnsi="Times New Roman"/>
          <w:sz w:val="24"/>
          <w:szCs w:val="24"/>
        </w:rPr>
        <w:t xml:space="preserve">, 127 </w:t>
      </w:r>
      <w:proofErr w:type="spellStart"/>
      <w:r w:rsidRPr="003A568B">
        <w:rPr>
          <w:rFonts w:ascii="Times New Roman" w:hAnsi="Times New Roman"/>
          <w:sz w:val="24"/>
          <w:szCs w:val="24"/>
        </w:rPr>
        <w:t>S.Ct</w:t>
      </w:r>
      <w:proofErr w:type="spellEnd"/>
      <w:r w:rsidRPr="003A568B">
        <w:rPr>
          <w:rFonts w:ascii="Times New Roman" w:hAnsi="Times New Roman"/>
          <w:sz w:val="24"/>
          <w:szCs w:val="24"/>
        </w:rPr>
        <w:t>. 2456 (2007).</w:t>
      </w:r>
      <w:r>
        <w:rPr>
          <w:rFonts w:ascii="Times New Roman" w:hAnsi="Times New Roman"/>
          <w:sz w:val="24"/>
          <w:szCs w:val="24"/>
        </w:rPr>
        <w:t>”</w:t>
      </w:r>
    </w:p>
    <w:p w14:paraId="28ECF42E" w14:textId="77777777" w:rsidR="009579EB" w:rsidRDefault="009579EB" w:rsidP="002B1283">
      <w:pPr>
        <w:rPr>
          <w:rFonts w:ascii="Arial Black" w:hAnsi="Arial Black"/>
          <w:b/>
          <w:sz w:val="24"/>
          <w:szCs w:val="24"/>
        </w:rPr>
      </w:pPr>
    </w:p>
    <w:p w14:paraId="059A9A97" w14:textId="23CDCAE2" w:rsidR="00E97D63" w:rsidRDefault="00E97D63" w:rsidP="002B1283">
      <w:pPr>
        <w:rPr>
          <w:rFonts w:ascii="Arial Black" w:hAnsi="Arial Black"/>
          <w:b/>
          <w:sz w:val="24"/>
          <w:szCs w:val="24"/>
        </w:rPr>
      </w:pPr>
      <w:r>
        <w:rPr>
          <w:rFonts w:ascii="Arial Black" w:hAnsi="Arial Black"/>
          <w:b/>
          <w:sz w:val="24"/>
          <w:szCs w:val="24"/>
        </w:rPr>
        <w:t>1-100</w:t>
      </w:r>
    </w:p>
    <w:p w14:paraId="042BD835" w14:textId="77777777" w:rsidR="00E97D6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AGGRAVATED ARSON - OCCUPIED APARTMENTS - PLED GUILTY - 24 YEARS IN PRISON – SENTENCE UPHELD</w:t>
      </w:r>
    </w:p>
    <w:p w14:paraId="5AC37595" w14:textId="2CE8F02C" w:rsidR="00E97D63" w:rsidRDefault="00E97D63" w:rsidP="00E97D63">
      <w:pPr>
        <w:rPr>
          <w:rStyle w:val="Hyperlink"/>
          <w:rFonts w:ascii="Times New Roman" w:eastAsia="Times New Roman" w:hAnsi="Times New Roman"/>
          <w:sz w:val="24"/>
          <w:szCs w:val="24"/>
        </w:rPr>
      </w:pPr>
      <w:r w:rsidRPr="00C21EEF">
        <w:rPr>
          <w:rFonts w:ascii="Times New Roman" w:eastAsia="Times New Roman" w:hAnsi="Times New Roman"/>
          <w:sz w:val="24"/>
          <w:szCs w:val="24"/>
        </w:rPr>
        <w:t>On May 5, 2022</w:t>
      </w:r>
      <w:r>
        <w:rPr>
          <w:rFonts w:ascii="Times New Roman" w:eastAsia="Times New Roman" w:hAnsi="Times New Roman"/>
          <w:sz w:val="24"/>
          <w:szCs w:val="24"/>
        </w:rPr>
        <w:t>,</w:t>
      </w:r>
      <w:r w:rsidRPr="00C21EEF">
        <w:rPr>
          <w:rFonts w:ascii="Times New Roman" w:eastAsia="Times New Roman" w:hAnsi="Times New Roman"/>
          <w:sz w:val="24"/>
          <w:szCs w:val="24"/>
        </w:rPr>
        <w:t xml:space="preserve"> in </w:t>
      </w:r>
      <w:r w:rsidRPr="00C21EEF">
        <w:rPr>
          <w:rFonts w:ascii="Times New Roman" w:eastAsia="Times New Roman" w:hAnsi="Times New Roman"/>
          <w:sz w:val="24"/>
          <w:szCs w:val="24"/>
          <w:u w:val="single"/>
        </w:rPr>
        <w:t>The People of the State of Illinois v. Bryan T. Griffin</w:t>
      </w:r>
      <w:r>
        <w:rPr>
          <w:rFonts w:ascii="Times New Roman" w:eastAsia="Times New Roman" w:hAnsi="Times New Roman"/>
          <w:sz w:val="24"/>
          <w:szCs w:val="24"/>
        </w:rPr>
        <w:t xml:space="preserve">, the Court of Appeals of Illinois, Fourth Division, held (3 to 0) that the trial court judge properly rejected the defense suggested 12-year sentence and imposed 24 years which was within the sentencing range of 6 to 30 years (prosecutors recommended 30 years). The defendant set fire to a building where once was a tenant in apartments above Mother’s Bar. There were nine people in the building when the fire </w:t>
      </w:r>
      <w:proofErr w:type="gramStart"/>
      <w:r>
        <w:rPr>
          <w:rFonts w:ascii="Times New Roman" w:eastAsia="Times New Roman" w:hAnsi="Times New Roman"/>
          <w:sz w:val="24"/>
          <w:szCs w:val="24"/>
        </w:rPr>
        <w:t>was started</w:t>
      </w:r>
      <w:proofErr w:type="gramEnd"/>
      <w:r>
        <w:rPr>
          <w:rFonts w:ascii="Times New Roman" w:eastAsia="Times New Roman" w:hAnsi="Times New Roman"/>
          <w:sz w:val="24"/>
          <w:szCs w:val="24"/>
        </w:rPr>
        <w:t xml:space="preserve"> with gasoline, and the fire department had to rescue two from the roof. The trial court judge held a hearing prior to imposing the sentence, where numerous witnesses testified about the potential loss of life from the fire that destroyed the bar and the apartments above it.  </w:t>
      </w:r>
      <w:hyperlink r:id="rId238" w:history="1">
        <w:r w:rsidRPr="00B7678D">
          <w:rPr>
            <w:rStyle w:val="Hyperlink"/>
            <w:rFonts w:ascii="Times New Roman" w:eastAsia="Times New Roman" w:hAnsi="Times New Roman"/>
            <w:sz w:val="24"/>
            <w:szCs w:val="24"/>
          </w:rPr>
          <w:t>https://ilcourtsaudio.blob.core.windows.net/antilles-resources/resources/d420bdc6-9c63-45de-9274-2f897cb58b7d/People%20v.%20Griffin,%202022%20IL%20App%20(4th)%20210360-U.pdf</w:t>
        </w:r>
      </w:hyperlink>
    </w:p>
    <w:p w14:paraId="208CC806" w14:textId="77777777" w:rsidR="00E97D63" w:rsidRPr="00505C92" w:rsidRDefault="00E97D63" w:rsidP="00E97D63">
      <w:pPr>
        <w:spacing w:before="100" w:beforeAutospacing="1" w:after="100" w:afterAutospacing="1" w:line="240" w:lineRule="auto"/>
        <w:rPr>
          <w:rFonts w:ascii="Times New Roman" w:hAnsi="Times New Roman"/>
          <w:b/>
          <w:bCs/>
          <w:sz w:val="24"/>
          <w:szCs w:val="24"/>
        </w:rPr>
      </w:pPr>
      <w:r w:rsidRPr="00505C92">
        <w:rPr>
          <w:rFonts w:ascii="Times New Roman" w:hAnsi="Times New Roman"/>
          <w:b/>
          <w:bCs/>
          <w:sz w:val="24"/>
          <w:szCs w:val="24"/>
        </w:rPr>
        <w:t>Legal Lesson Learned:</w:t>
      </w:r>
      <w:r>
        <w:rPr>
          <w:rFonts w:ascii="Times New Roman" w:hAnsi="Times New Roman"/>
          <w:b/>
          <w:bCs/>
          <w:sz w:val="24"/>
          <w:szCs w:val="24"/>
        </w:rPr>
        <w:t xml:space="preserve">  The trial court properly considered the seriousness of the arsonist’s conduct in imposing the sentence. </w:t>
      </w:r>
    </w:p>
    <w:p w14:paraId="7F52A4E4" w14:textId="77777777" w:rsidR="00E97D63" w:rsidRDefault="00E97D63" w:rsidP="00E97D63">
      <w:pPr>
        <w:rPr>
          <w:rFonts w:ascii="Arial Black" w:hAnsi="Arial Black"/>
          <w:b/>
          <w:sz w:val="24"/>
          <w:szCs w:val="24"/>
        </w:rPr>
      </w:pPr>
    </w:p>
    <w:p w14:paraId="250BE199" w14:textId="77777777" w:rsidR="00E97D63" w:rsidRDefault="00E97D63" w:rsidP="002B1283">
      <w:pPr>
        <w:rPr>
          <w:rFonts w:ascii="Arial Black" w:hAnsi="Arial Black"/>
          <w:b/>
          <w:sz w:val="24"/>
          <w:szCs w:val="24"/>
        </w:rPr>
      </w:pPr>
    </w:p>
    <w:p w14:paraId="45EBE321" w14:textId="17294369" w:rsidR="00E97D63" w:rsidRDefault="00E97D63" w:rsidP="002B1283">
      <w:pPr>
        <w:rPr>
          <w:rFonts w:ascii="Arial Black" w:hAnsi="Arial Black"/>
          <w:b/>
          <w:sz w:val="24"/>
          <w:szCs w:val="24"/>
        </w:rPr>
      </w:pPr>
      <w:r>
        <w:rPr>
          <w:rFonts w:ascii="Arial Black" w:hAnsi="Arial Black"/>
          <w:b/>
          <w:sz w:val="24"/>
          <w:szCs w:val="24"/>
        </w:rPr>
        <w:t>1-99</w:t>
      </w:r>
    </w:p>
    <w:p w14:paraId="7FCA915D" w14:textId="77777777" w:rsidR="00E97D6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U.S. SUP. CT: BOSTON CITY HALL - FLAGPOLE - EMS WORKERS &amp; OTHERS – MUST ALLOW “CHRISTIAN” FLAG </w:t>
      </w:r>
    </w:p>
    <w:p w14:paraId="1937931A" w14:textId="77777777" w:rsidR="00E97D63" w:rsidRDefault="00E97D63" w:rsidP="00E97D63">
      <w:pPr>
        <w:spacing w:before="100" w:beforeAutospacing="1" w:after="100" w:afterAutospacing="1" w:line="240" w:lineRule="auto"/>
        <w:rPr>
          <w:rFonts w:ascii="Times New Roman" w:eastAsia="Times New Roman" w:hAnsi="Times New Roman"/>
          <w:sz w:val="24"/>
          <w:szCs w:val="24"/>
        </w:rPr>
      </w:pPr>
      <w:r w:rsidRPr="00175BB2">
        <w:rPr>
          <w:rFonts w:ascii="Times New Roman" w:eastAsia="Times New Roman" w:hAnsi="Times New Roman"/>
          <w:sz w:val="24"/>
          <w:szCs w:val="24"/>
        </w:rPr>
        <w:t xml:space="preserve">On </w:t>
      </w:r>
      <w:r>
        <w:rPr>
          <w:rFonts w:ascii="Times New Roman" w:eastAsia="Times New Roman" w:hAnsi="Times New Roman"/>
          <w:sz w:val="24"/>
          <w:szCs w:val="24"/>
        </w:rPr>
        <w:t xml:space="preserve">May 2, 2022, in </w:t>
      </w:r>
      <w:r w:rsidRPr="00175BB2">
        <w:rPr>
          <w:rFonts w:ascii="Times New Roman" w:eastAsia="Times New Roman" w:hAnsi="Times New Roman"/>
          <w:sz w:val="24"/>
          <w:szCs w:val="24"/>
          <w:u w:val="single"/>
        </w:rPr>
        <w:t>Shurtleff, et al. v. City of Boston</w:t>
      </w:r>
      <w:r>
        <w:rPr>
          <w:rFonts w:ascii="Times New Roman" w:eastAsia="Times New Roman" w:hAnsi="Times New Roman"/>
          <w:sz w:val="24"/>
          <w:szCs w:val="24"/>
        </w:rPr>
        <w:t xml:space="preserve">, the U.S. Supreme Court unanimously held (9 to 0) that the City of Boston has three flag poles at City Hall and has allowed the third pole to be used by wide variety of groups; refusal of a group to raise a “Christian flag” violated First Amendment’s </w:t>
      </w:r>
      <w:proofErr w:type="gramStart"/>
      <w:r>
        <w:rPr>
          <w:rFonts w:ascii="Times New Roman" w:eastAsia="Times New Roman" w:hAnsi="Times New Roman"/>
          <w:sz w:val="24"/>
          <w:szCs w:val="24"/>
        </w:rPr>
        <w:t>Free Speech</w:t>
      </w:r>
      <w:proofErr w:type="gramEnd"/>
      <w:r>
        <w:rPr>
          <w:rFonts w:ascii="Times New Roman" w:eastAsia="Times New Roman" w:hAnsi="Times New Roman"/>
          <w:sz w:val="24"/>
          <w:szCs w:val="24"/>
        </w:rPr>
        <w:t xml:space="preserve"> clause. </w:t>
      </w:r>
      <w:hyperlink r:id="rId239" w:history="1">
        <w:r w:rsidRPr="00C8589E">
          <w:rPr>
            <w:rStyle w:val="Hyperlink"/>
            <w:rFonts w:ascii="Times New Roman" w:eastAsia="Times New Roman" w:hAnsi="Times New Roman"/>
            <w:sz w:val="24"/>
            <w:szCs w:val="24"/>
          </w:rPr>
          <w:t>https://www.supremecourt.gov/opinions/21pdf/20-1800_7lho.pdf</w:t>
        </w:r>
      </w:hyperlink>
      <w:r>
        <w:rPr>
          <w:rFonts w:ascii="Times New Roman" w:eastAsia="Times New Roman" w:hAnsi="Times New Roman"/>
          <w:sz w:val="24"/>
          <w:szCs w:val="24"/>
        </w:rPr>
        <w:t xml:space="preserve"> </w:t>
      </w:r>
    </w:p>
    <w:p w14:paraId="26400BE2" w14:textId="77777777" w:rsidR="00E97D63" w:rsidRDefault="00E97D63" w:rsidP="00E97D63">
      <w:pPr>
        <w:spacing w:before="100" w:beforeAutospacing="1" w:after="100" w:afterAutospacing="1" w:line="240" w:lineRule="auto"/>
        <w:rPr>
          <w:rFonts w:ascii="Times New Roman" w:eastAsia="Times New Roman" w:hAnsi="Times New Roman"/>
          <w:b/>
          <w:bCs/>
          <w:sz w:val="24"/>
          <w:szCs w:val="24"/>
        </w:rPr>
      </w:pPr>
      <w:r w:rsidRPr="008B63AA">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Fire &amp; EMS Departments that have flag poles should adopt policy restricting use to official activities only.</w:t>
      </w:r>
    </w:p>
    <w:p w14:paraId="70025F4E" w14:textId="77777777" w:rsidR="00E97D63" w:rsidRDefault="00E97D63" w:rsidP="002B1283">
      <w:pPr>
        <w:rPr>
          <w:rFonts w:ascii="Arial Black" w:hAnsi="Arial Black"/>
          <w:b/>
          <w:sz w:val="24"/>
          <w:szCs w:val="24"/>
        </w:rPr>
      </w:pPr>
    </w:p>
    <w:p w14:paraId="0904F329" w14:textId="5A9061BC" w:rsidR="00E97D63" w:rsidRDefault="00E97D63" w:rsidP="002B1283">
      <w:pPr>
        <w:rPr>
          <w:rFonts w:ascii="Arial Black" w:hAnsi="Arial Black"/>
          <w:b/>
          <w:sz w:val="24"/>
          <w:szCs w:val="24"/>
        </w:rPr>
      </w:pPr>
      <w:r>
        <w:rPr>
          <w:rFonts w:ascii="Arial Black" w:hAnsi="Arial Black"/>
          <w:b/>
          <w:sz w:val="24"/>
          <w:szCs w:val="24"/>
        </w:rPr>
        <w:t>1-98</w:t>
      </w:r>
    </w:p>
    <w:p w14:paraId="19C5610F" w14:textId="77777777" w:rsidR="00E97D63" w:rsidRDefault="00E97D63" w:rsidP="00E97D63">
      <w:pPr>
        <w:spacing w:before="100" w:beforeAutospacing="1" w:after="100" w:afterAutospacing="1" w:line="240" w:lineRule="auto"/>
        <w:rPr>
          <w:rFonts w:ascii="Arial Black" w:hAnsi="Arial Black"/>
          <w:sz w:val="28"/>
          <w:szCs w:val="28"/>
        </w:rPr>
      </w:pPr>
      <w:r>
        <w:rPr>
          <w:rFonts w:ascii="Arial Black" w:hAnsi="Arial Black"/>
          <w:sz w:val="28"/>
          <w:szCs w:val="28"/>
        </w:rPr>
        <w:t>VA: HOMEOWNER CONV. ARSON UPHELD - FOUR SEPARATE FIRES – DEF. EXPERT NEVER TALKED FF WHO WERE THERE</w:t>
      </w:r>
    </w:p>
    <w:p w14:paraId="4BECB7C3" w14:textId="44293DC9" w:rsidR="00E97D63" w:rsidRDefault="00E97D63" w:rsidP="00E97D63">
      <w:pPr>
        <w:rPr>
          <w:rFonts w:ascii="Arial Black" w:hAnsi="Arial Black"/>
          <w:b/>
          <w:sz w:val="24"/>
          <w:szCs w:val="24"/>
        </w:rPr>
      </w:pPr>
      <w:r>
        <w:rPr>
          <w:rFonts w:ascii="Times New Roman" w:hAnsi="Times New Roman"/>
          <w:sz w:val="24"/>
          <w:szCs w:val="24"/>
        </w:rPr>
        <w:t xml:space="preserve">On April 26, 2022, in </w:t>
      </w:r>
      <w:r w:rsidRPr="00390AD2">
        <w:rPr>
          <w:rFonts w:ascii="Times New Roman" w:hAnsi="Times New Roman"/>
          <w:sz w:val="24"/>
          <w:szCs w:val="24"/>
          <w:u w:val="single"/>
        </w:rPr>
        <w:t>Maria Goodman v. Commonwealth of Virginia</w:t>
      </w:r>
      <w:r>
        <w:rPr>
          <w:rFonts w:ascii="Times New Roman" w:hAnsi="Times New Roman"/>
          <w:sz w:val="24"/>
          <w:szCs w:val="24"/>
        </w:rPr>
        <w:t xml:space="preserve">, the Court of Appeals of Virginia held (3 to 0) that the jury properly found the homeowner guilty of arson.  The defense expert </w:t>
      </w:r>
      <w:proofErr w:type="gramStart"/>
      <w:r>
        <w:rPr>
          <w:rFonts w:ascii="Times New Roman" w:hAnsi="Times New Roman"/>
          <w:sz w:val="24"/>
          <w:szCs w:val="24"/>
        </w:rPr>
        <w:t>speculated</w:t>
      </w:r>
      <w:proofErr w:type="gramEnd"/>
      <w:r>
        <w:rPr>
          <w:rFonts w:ascii="Times New Roman" w:hAnsi="Times New Roman"/>
          <w:sz w:val="24"/>
          <w:szCs w:val="24"/>
        </w:rPr>
        <w:t xml:space="preserve"> fire might have started in attic and then ignited for locations in </w:t>
      </w:r>
      <w:proofErr w:type="gramStart"/>
      <w:r>
        <w:rPr>
          <w:rFonts w:ascii="Times New Roman" w:hAnsi="Times New Roman"/>
          <w:sz w:val="24"/>
          <w:szCs w:val="24"/>
        </w:rPr>
        <w:t>house</w:t>
      </w:r>
      <w:proofErr w:type="gramEnd"/>
      <w:r>
        <w:rPr>
          <w:rFonts w:ascii="Times New Roman" w:hAnsi="Times New Roman"/>
          <w:sz w:val="24"/>
          <w:szCs w:val="24"/>
        </w:rPr>
        <w:t xml:space="preserve"> but the bedroom doors were shut and he never interviewed any of the firefighters. The jury recommended five </w:t>
      </w:r>
      <w:proofErr w:type="spellStart"/>
      <w:r>
        <w:rPr>
          <w:rFonts w:ascii="Times New Roman" w:hAnsi="Times New Roman"/>
          <w:sz w:val="24"/>
          <w:szCs w:val="24"/>
        </w:rPr>
        <w:t>years</w:t>
      </w:r>
      <w:proofErr w:type="spellEnd"/>
      <w:r>
        <w:rPr>
          <w:rFonts w:ascii="Times New Roman" w:hAnsi="Times New Roman"/>
          <w:sz w:val="24"/>
          <w:szCs w:val="24"/>
        </w:rPr>
        <w:t xml:space="preserve"> incarceration, but trial judge suspended four years. </w:t>
      </w:r>
      <w:hyperlink r:id="rId240" w:history="1">
        <w:r w:rsidRPr="00C8589E">
          <w:rPr>
            <w:rStyle w:val="Hyperlink"/>
            <w:rFonts w:ascii="Times New Roman" w:hAnsi="Times New Roman"/>
            <w:sz w:val="24"/>
            <w:szCs w:val="24"/>
          </w:rPr>
          <w:t>https://law.justia.com/cases/virginia/court-of-appeals-unpublished/2022/0509-21-2.html</w:t>
        </w:r>
      </w:hyperlink>
    </w:p>
    <w:p w14:paraId="09445627" w14:textId="77777777" w:rsidR="00E97D63" w:rsidRDefault="00E97D63" w:rsidP="00E97D63">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Defense expert testimony shown to be unreliable on cross examination. </w:t>
      </w:r>
    </w:p>
    <w:p w14:paraId="4807FD44" w14:textId="77777777" w:rsidR="00E97D63" w:rsidRDefault="00E97D63" w:rsidP="002B1283">
      <w:pPr>
        <w:rPr>
          <w:rFonts w:ascii="Arial Black" w:hAnsi="Arial Black"/>
          <w:b/>
          <w:sz w:val="24"/>
          <w:szCs w:val="24"/>
        </w:rPr>
      </w:pPr>
    </w:p>
    <w:p w14:paraId="08DFF939" w14:textId="1DF12AE9" w:rsidR="00E97D63" w:rsidRDefault="00E97D63" w:rsidP="002B1283">
      <w:pPr>
        <w:rPr>
          <w:rFonts w:ascii="Arial Black" w:hAnsi="Arial Black"/>
          <w:b/>
          <w:sz w:val="24"/>
          <w:szCs w:val="24"/>
        </w:rPr>
      </w:pPr>
      <w:r>
        <w:rPr>
          <w:rFonts w:ascii="Arial Black" w:hAnsi="Arial Black"/>
          <w:b/>
          <w:sz w:val="24"/>
          <w:szCs w:val="24"/>
        </w:rPr>
        <w:t>1-97</w:t>
      </w:r>
    </w:p>
    <w:p w14:paraId="0CA63E7F" w14:textId="77777777" w:rsidR="00E97D63" w:rsidRPr="00914550" w:rsidRDefault="00E97D63" w:rsidP="00E97D63">
      <w:pPr>
        <w:spacing w:before="100" w:beforeAutospacing="1" w:after="100" w:afterAutospacing="1" w:line="240" w:lineRule="auto"/>
        <w:rPr>
          <w:rFonts w:ascii="Arial Black" w:eastAsia="Times New Roman" w:hAnsi="Arial Black"/>
          <w:sz w:val="28"/>
          <w:szCs w:val="28"/>
        </w:rPr>
      </w:pPr>
      <w:r w:rsidRPr="00914550">
        <w:rPr>
          <w:rFonts w:ascii="Arial Black" w:eastAsia="Times New Roman" w:hAnsi="Arial Black"/>
          <w:sz w:val="28"/>
          <w:szCs w:val="28"/>
        </w:rPr>
        <w:t xml:space="preserve">TX: </w:t>
      </w:r>
      <w:r>
        <w:rPr>
          <w:rFonts w:ascii="Arial Black" w:eastAsia="Times New Roman" w:hAnsi="Arial Black"/>
          <w:sz w:val="28"/>
          <w:szCs w:val="28"/>
        </w:rPr>
        <w:t>NO INJURY MVA – INSURANCE CO. PHOTOS HELPFUL – HUSBAND KILLED TAKING PICTURES – CAN’T SUE CO.</w:t>
      </w:r>
    </w:p>
    <w:p w14:paraId="60B83386" w14:textId="77777777" w:rsidR="00E97D63" w:rsidRDefault="00E97D63" w:rsidP="00E97D6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22, 2022, in </w:t>
      </w:r>
      <w:r w:rsidRPr="00902188">
        <w:rPr>
          <w:rFonts w:ascii="Times New Roman" w:eastAsia="Times New Roman" w:hAnsi="Times New Roman"/>
          <w:sz w:val="24"/>
          <w:szCs w:val="24"/>
          <w:u w:val="single"/>
        </w:rPr>
        <w:t>Elephant Insurance Company, LLC v. Lorraine Kenyon, Individually and Executrix of Estate of Theodore Kenyon</w:t>
      </w:r>
      <w:r>
        <w:rPr>
          <w:rFonts w:ascii="Times New Roman" w:eastAsia="Times New Roman" w:hAnsi="Times New Roman"/>
          <w:sz w:val="24"/>
          <w:szCs w:val="24"/>
        </w:rPr>
        <w:t>, the Supreme Court of Texas held (3 to 0) that the Insurance Company did not breach a duty of care, and the trial court properly granted summary judgment to the company. Mrs. Kenyon lost control of her car on a rain-slick road, striking a guardrail. She called the Insurance Company’s call center in Virginia and was advised:</w:t>
      </w:r>
    </w:p>
    <w:p w14:paraId="159D8E06" w14:textId="77777777" w:rsidR="00E97D63" w:rsidRPr="00914550" w:rsidRDefault="00E97D63" w:rsidP="00E97D63">
      <w:pPr>
        <w:spacing w:before="100" w:beforeAutospacing="1" w:after="100" w:afterAutospacing="1" w:line="240" w:lineRule="auto"/>
        <w:rPr>
          <w:rFonts w:ascii="Times New Roman" w:eastAsia="Times New Roman" w:hAnsi="Times New Roman"/>
          <w:sz w:val="24"/>
          <w:szCs w:val="24"/>
        </w:rPr>
      </w:pPr>
      <w:r w:rsidRPr="00914550">
        <w:rPr>
          <w:rFonts w:ascii="Times New Roman" w:eastAsia="Times New Roman" w:hAnsi="Times New Roman"/>
          <w:sz w:val="24"/>
          <w:szCs w:val="24"/>
        </w:rPr>
        <w:t>         </w:t>
      </w:r>
      <w:r w:rsidRPr="00914550">
        <w:rPr>
          <w:rFonts w:ascii="Times New Roman" w:eastAsia="Times New Roman" w:hAnsi="Times New Roman"/>
          <w:i/>
          <w:iCs/>
          <w:sz w:val="24"/>
          <w:szCs w:val="24"/>
        </w:rPr>
        <w:t>Kenyon</w:t>
      </w:r>
      <w:r w:rsidRPr="00914550">
        <w:rPr>
          <w:rFonts w:ascii="Times New Roman" w:eastAsia="Times New Roman" w:hAnsi="Times New Roman"/>
          <w:sz w:val="24"/>
          <w:szCs w:val="24"/>
        </w:rPr>
        <w:t xml:space="preserve">: Do you want us to take pictures? </w:t>
      </w:r>
    </w:p>
    <w:p w14:paraId="585E36B3" w14:textId="77777777" w:rsidR="00E97D63" w:rsidRDefault="00E97D63" w:rsidP="00E97D63">
      <w:pPr>
        <w:spacing w:before="100" w:beforeAutospacing="1" w:after="100" w:afterAutospacing="1" w:line="240" w:lineRule="auto"/>
        <w:ind w:left="630"/>
        <w:rPr>
          <w:rFonts w:ascii="Times New Roman" w:eastAsia="Times New Roman" w:hAnsi="Times New Roman"/>
          <w:sz w:val="24"/>
          <w:szCs w:val="24"/>
        </w:rPr>
      </w:pPr>
      <w:r w:rsidRPr="00914550">
        <w:rPr>
          <w:rFonts w:ascii="Times New Roman" w:eastAsia="Times New Roman" w:hAnsi="Times New Roman"/>
          <w:i/>
          <w:iCs/>
          <w:sz w:val="24"/>
          <w:szCs w:val="24"/>
        </w:rPr>
        <w:t>Elephant</w:t>
      </w:r>
      <w:r w:rsidRPr="00914550">
        <w:rPr>
          <w:rFonts w:ascii="Times New Roman" w:eastAsia="Times New Roman" w:hAnsi="Times New Roman"/>
          <w:sz w:val="24"/>
          <w:szCs w:val="24"/>
        </w:rPr>
        <w:t xml:space="preserve">: Yes, ma'am. Go ahead and take pictures. And - And we always recommend that you get the police involved but it's up to you whether you call them or not. Is your vehicle </w:t>
      </w:r>
      <w:proofErr w:type="gramStart"/>
      <w:r w:rsidRPr="00914550">
        <w:rPr>
          <w:rFonts w:ascii="Times New Roman" w:eastAsia="Times New Roman" w:hAnsi="Times New Roman"/>
          <w:sz w:val="24"/>
          <w:szCs w:val="24"/>
        </w:rPr>
        <w:t>drivable</w:t>
      </w:r>
      <w:proofErr w:type="gramEnd"/>
      <w:r w:rsidRPr="00914550">
        <w:rPr>
          <w:rFonts w:ascii="Times New Roman" w:eastAsia="Times New Roman" w:hAnsi="Times New Roman"/>
          <w:sz w:val="24"/>
          <w:szCs w:val="24"/>
        </w:rPr>
        <w:t xml:space="preserve">? </w:t>
      </w:r>
    </w:p>
    <w:p w14:paraId="3165458C" w14:textId="77777777" w:rsidR="00E97D63" w:rsidRPr="00914550" w:rsidRDefault="00E97D63" w:rsidP="00E97D6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Her husband arrived at the scene and was taking photos when another motorist struck slid on the highway, struck and killed him. </w:t>
      </w:r>
      <w:hyperlink r:id="rId241" w:history="1">
        <w:r w:rsidRPr="00D45A3B">
          <w:rPr>
            <w:rStyle w:val="Hyperlink"/>
            <w:rFonts w:ascii="Times New Roman" w:eastAsia="Times New Roman" w:hAnsi="Times New Roman"/>
            <w:sz w:val="24"/>
            <w:szCs w:val="24"/>
          </w:rPr>
          <w:t>https://law.justia.com/cases/texas/supreme-court/2022/20-0366-0.html</w:t>
        </w:r>
      </w:hyperlink>
      <w:r>
        <w:rPr>
          <w:rFonts w:ascii="Times New Roman" w:eastAsia="Times New Roman" w:hAnsi="Times New Roman"/>
          <w:sz w:val="24"/>
          <w:szCs w:val="24"/>
        </w:rPr>
        <w:t xml:space="preserve"> </w:t>
      </w:r>
    </w:p>
    <w:p w14:paraId="7D60B29F" w14:textId="77777777" w:rsidR="00E97D63" w:rsidRPr="0050649F" w:rsidRDefault="00E97D63" w:rsidP="00E97D63">
      <w:pPr>
        <w:pStyle w:val="NormalWeb"/>
        <w:rPr>
          <w:b/>
          <w:bCs/>
        </w:rPr>
      </w:pPr>
      <w:r w:rsidRPr="0050649F">
        <w:rPr>
          <w:b/>
          <w:bCs/>
        </w:rPr>
        <w:t>Legal Lesson Learned:</w:t>
      </w:r>
      <w:r>
        <w:rPr>
          <w:b/>
          <w:bCs/>
        </w:rPr>
        <w:t xml:space="preserve">  Taking photos at MVA scene can be high risk not only for civilians but also for emergency responders; it’s a shame the driver didn’t call for a police officer to arrive and further protect the scene.  </w:t>
      </w:r>
    </w:p>
    <w:p w14:paraId="65872513" w14:textId="77777777" w:rsidR="00E97D63" w:rsidRDefault="00E97D63" w:rsidP="002B1283">
      <w:pPr>
        <w:rPr>
          <w:rFonts w:ascii="Arial Black" w:hAnsi="Arial Black"/>
          <w:b/>
          <w:sz w:val="24"/>
          <w:szCs w:val="24"/>
        </w:rPr>
      </w:pPr>
    </w:p>
    <w:p w14:paraId="3549C5BE" w14:textId="77777777" w:rsidR="00E97D63" w:rsidRDefault="00E97D63" w:rsidP="002B1283">
      <w:pPr>
        <w:rPr>
          <w:rFonts w:ascii="Arial Black" w:hAnsi="Arial Black"/>
          <w:b/>
          <w:sz w:val="24"/>
          <w:szCs w:val="24"/>
        </w:rPr>
      </w:pPr>
    </w:p>
    <w:p w14:paraId="5820F722" w14:textId="5AF92E07" w:rsidR="00E63B44" w:rsidRDefault="00E63B44" w:rsidP="002B1283">
      <w:pPr>
        <w:rPr>
          <w:rFonts w:ascii="Arial Black" w:hAnsi="Arial Black"/>
          <w:b/>
          <w:sz w:val="24"/>
          <w:szCs w:val="24"/>
        </w:rPr>
      </w:pPr>
      <w:r>
        <w:rPr>
          <w:rFonts w:ascii="Arial Black" w:hAnsi="Arial Black"/>
          <w:b/>
          <w:sz w:val="24"/>
          <w:szCs w:val="24"/>
        </w:rPr>
        <w:t>1-96</w:t>
      </w:r>
    </w:p>
    <w:p w14:paraId="2467B08A" w14:textId="107E004C" w:rsidR="00257457" w:rsidRDefault="00257457" w:rsidP="002B1283">
      <w:pPr>
        <w:rPr>
          <w:rFonts w:ascii="Arial Black" w:hAnsi="Arial Black"/>
          <w:b/>
          <w:sz w:val="24"/>
          <w:szCs w:val="24"/>
        </w:rPr>
      </w:pPr>
      <w:r>
        <w:rPr>
          <w:rFonts w:ascii="Arial Black" w:hAnsi="Arial Black"/>
          <w:b/>
          <w:sz w:val="24"/>
          <w:szCs w:val="24"/>
        </w:rPr>
        <w:t>IL – RESIDENTIAL PROPERTY – SPRINKLER ORDINANCE</w:t>
      </w:r>
      <w:r w:rsidR="00EE4546">
        <w:rPr>
          <w:rFonts w:ascii="Arial Black" w:hAnsi="Arial Black"/>
          <w:b/>
          <w:sz w:val="24"/>
          <w:szCs w:val="24"/>
        </w:rPr>
        <w:t xml:space="preserve"> UPHELD</w:t>
      </w:r>
    </w:p>
    <w:p w14:paraId="7CCE4B86" w14:textId="77777777" w:rsidR="00E63B44" w:rsidRDefault="00E63B44" w:rsidP="00E63B44">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March 17, 2022, in </w:t>
      </w:r>
      <w:r w:rsidRPr="00114240">
        <w:rPr>
          <w:rFonts w:ascii="Times New Roman" w:hAnsi="Times New Roman"/>
          <w:sz w:val="24"/>
          <w:szCs w:val="24"/>
          <w:u w:val="single"/>
        </w:rPr>
        <w:t>2095 Stonington, LLC v. Village of Hoffman Estates</w:t>
      </w:r>
      <w:r>
        <w:rPr>
          <w:rFonts w:ascii="Times New Roman" w:hAnsi="Times New Roman"/>
          <w:sz w:val="24"/>
          <w:szCs w:val="24"/>
        </w:rPr>
        <w:t xml:space="preserve">, the Court of Appeals of Illinois, First District (Fourth Division) held (3 to 0) that the trial court properly found that the ordinance is neither arbitrary or discriminatory, and the Plaintiff when acquiring the commercial property in 2016 (13 rental units, including manufacturing operations) had an obligation to comply with the 2002 Village ordinance, at cost of about $573,000 in a building worth $1.5 million.  </w:t>
      </w:r>
      <w:r w:rsidRPr="00BB5D93">
        <w:rPr>
          <w:rFonts w:ascii="Times New Roman" w:hAnsi="Times New Roman"/>
          <w:sz w:val="24"/>
          <w:szCs w:val="24"/>
        </w:rPr>
        <w:t>The trial court concluded that plaintiff failed to prove that residential properties and commercial properties are similarly situated for purposes of fire protection of the occupants and, therefore, plaintiff's equal protection claim failed.</w:t>
      </w:r>
      <w:r>
        <w:rPr>
          <w:rFonts w:ascii="Times New Roman" w:hAnsi="Times New Roman"/>
          <w:sz w:val="24"/>
          <w:szCs w:val="24"/>
        </w:rPr>
        <w:t xml:space="preserve"> </w:t>
      </w:r>
      <w:hyperlink r:id="rId242" w:history="1">
        <w:r w:rsidRPr="0083693C">
          <w:rPr>
            <w:rStyle w:val="Hyperlink"/>
            <w:rFonts w:ascii="Times New Roman" w:eastAsia="Times New Roman" w:hAnsi="Times New Roman"/>
            <w:sz w:val="24"/>
            <w:szCs w:val="24"/>
          </w:rPr>
          <w:t>https://casetext.com/case/2095-stonington-llc-v-vill-of-hoffman-estates</w:t>
        </w:r>
      </w:hyperlink>
      <w:r>
        <w:rPr>
          <w:rFonts w:ascii="Times New Roman" w:eastAsia="Times New Roman" w:hAnsi="Times New Roman"/>
          <w:sz w:val="24"/>
          <w:szCs w:val="24"/>
        </w:rPr>
        <w:t xml:space="preserve"> </w:t>
      </w:r>
    </w:p>
    <w:p w14:paraId="11345250" w14:textId="77777777" w:rsidR="00E63B44" w:rsidRPr="0064523F" w:rsidRDefault="00E63B44" w:rsidP="00E63B44">
      <w:pPr>
        <w:spacing w:before="100" w:beforeAutospacing="1" w:after="100" w:afterAutospacing="1" w:line="240" w:lineRule="auto"/>
        <w:ind w:left="720"/>
        <w:rPr>
          <w:rFonts w:ascii="Times New Roman" w:hAnsi="Times New Roman"/>
          <w:sz w:val="24"/>
          <w:szCs w:val="24"/>
        </w:rPr>
      </w:pPr>
      <w:r>
        <w:t>“</w:t>
      </w:r>
      <w:r w:rsidRPr="0064523F">
        <w:rPr>
          <w:rFonts w:ascii="Times New Roman" w:hAnsi="Times New Roman"/>
          <w:sz w:val="24"/>
          <w:szCs w:val="24"/>
        </w:rPr>
        <w:t>Plaintiff contends that it is both arbitrary and discriminatory as the ordinance makes irrational distinctions between commercial properties and multi-family dwellings. Specifically, plaintiff observes that while defendant amended the ordinance in 2002 to exclude multi-family dwellings based on cost, such an amendment was not considered for older commercial buildings. Furthermore, plaintiff argues that its particular property did not warrant the installation of an automatic sprinkler system because it is equipped with alternative fire prevention measures and his fire expert, Glenn, testified the construction and layout of the property made the property safer than most.</w:t>
      </w:r>
    </w:p>
    <w:p w14:paraId="1F4679A4" w14:textId="77777777" w:rsidR="00E63B44" w:rsidRPr="0064523F" w:rsidRDefault="00E63B44" w:rsidP="00E63B44">
      <w:pPr>
        <w:spacing w:before="100" w:beforeAutospacing="1" w:after="100" w:afterAutospacing="1" w:line="240" w:lineRule="auto"/>
        <w:ind w:left="720"/>
        <w:rPr>
          <w:rFonts w:ascii="Times New Roman" w:hAnsi="Times New Roman"/>
          <w:sz w:val="24"/>
          <w:szCs w:val="24"/>
        </w:rPr>
      </w:pPr>
      <w:r w:rsidRPr="0064523F">
        <w:rPr>
          <w:rFonts w:ascii="Times New Roman" w:hAnsi="Times New Roman"/>
          <w:sz w:val="24"/>
          <w:szCs w:val="24"/>
        </w:rPr>
        <w:t>***</w:t>
      </w:r>
    </w:p>
    <w:p w14:paraId="6DB5535B" w14:textId="77777777" w:rsidR="00E63B44" w:rsidRDefault="00E63B44" w:rsidP="00E63B44">
      <w:pPr>
        <w:spacing w:before="100" w:beforeAutospacing="1" w:after="100" w:afterAutospacing="1" w:line="240" w:lineRule="auto"/>
        <w:ind w:left="720"/>
        <w:rPr>
          <w:rFonts w:ascii="Times New Roman" w:eastAsia="Times New Roman" w:hAnsi="Times New Roman"/>
          <w:sz w:val="24"/>
          <w:szCs w:val="24"/>
        </w:rPr>
      </w:pPr>
      <w:r w:rsidRPr="00CD7D0E">
        <w:rPr>
          <w:rFonts w:ascii="Times New Roman" w:eastAsia="Times New Roman" w:hAnsi="Times New Roman"/>
          <w:sz w:val="24"/>
          <w:szCs w:val="24"/>
        </w:rPr>
        <w:t xml:space="preserve">While the property at issue is fitted with smoke detectors, a fire alarm system, manual pull stations, and a direct connection to the Hoffman Estates Fire Department, the evidence presented established that more can be done to protect the life and property of the occupants at the property; namely, retrofitting the property with an automatic sprinkler system. There was no dispute that </w:t>
      </w:r>
      <w:proofErr w:type="gramStart"/>
      <w:r w:rsidRPr="00CD7D0E">
        <w:rPr>
          <w:rFonts w:ascii="Times New Roman" w:eastAsia="Times New Roman" w:hAnsi="Times New Roman"/>
          <w:sz w:val="24"/>
          <w:szCs w:val="24"/>
        </w:rPr>
        <w:t>were</w:t>
      </w:r>
      <w:proofErr w:type="gramEnd"/>
      <w:r w:rsidRPr="00CD7D0E">
        <w:rPr>
          <w:rFonts w:ascii="Times New Roman" w:eastAsia="Times New Roman" w:hAnsi="Times New Roman"/>
          <w:sz w:val="24"/>
          <w:szCs w:val="24"/>
        </w:rPr>
        <w:t xml:space="preserve"> such a system installed it would benefit the public and offer more protection to the occupants than what is currently installed. The ordinance, as applied to plaintiff's property, is neither arbitrary nor discriminatory. Accordingly, we find that while the trial court did err in not applying the rational basis test, its ultimate finding was correct-the ordinance is not unconstitutional as applied to plaintiff.</w:t>
      </w:r>
      <w:r>
        <w:rPr>
          <w:rFonts w:ascii="Times New Roman" w:eastAsia="Times New Roman" w:hAnsi="Times New Roman"/>
          <w:sz w:val="24"/>
          <w:szCs w:val="24"/>
        </w:rPr>
        <w:t xml:space="preserve">” </w:t>
      </w:r>
      <w:hyperlink r:id="rId243" w:history="1">
        <w:r w:rsidRPr="0083693C">
          <w:rPr>
            <w:rStyle w:val="Hyperlink"/>
            <w:rFonts w:ascii="Times New Roman" w:eastAsia="Times New Roman" w:hAnsi="Times New Roman"/>
            <w:sz w:val="24"/>
            <w:szCs w:val="24"/>
          </w:rPr>
          <w:t>https://casetext.com/case/2095-stonington-llc-v-vill-of-hoffman-estates</w:t>
        </w:r>
      </w:hyperlink>
      <w:r>
        <w:rPr>
          <w:rFonts w:ascii="Times New Roman" w:eastAsia="Times New Roman" w:hAnsi="Times New Roman"/>
          <w:sz w:val="24"/>
          <w:szCs w:val="24"/>
        </w:rPr>
        <w:t xml:space="preserve"> </w:t>
      </w:r>
    </w:p>
    <w:p w14:paraId="59121ED6" w14:textId="77777777" w:rsidR="00E63B44" w:rsidRPr="002C3FE0" w:rsidRDefault="00E63B44" w:rsidP="00E63B44">
      <w:pPr>
        <w:spacing w:before="100" w:beforeAutospacing="1" w:after="100" w:afterAutospacing="1" w:line="240" w:lineRule="auto"/>
        <w:rPr>
          <w:rFonts w:ascii="Times New Roman" w:eastAsia="Times New Roman" w:hAnsi="Times New Roman"/>
          <w:b/>
          <w:bCs/>
          <w:sz w:val="24"/>
          <w:szCs w:val="24"/>
        </w:rPr>
      </w:pPr>
      <w:r w:rsidRPr="00091755">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Excellent decision, balancing the benefits of sprinklers versus costs. </w:t>
      </w:r>
    </w:p>
    <w:p w14:paraId="6ECCFF6C" w14:textId="77777777" w:rsidR="00E63B44" w:rsidRDefault="00E63B44" w:rsidP="002B1283">
      <w:pPr>
        <w:rPr>
          <w:rFonts w:ascii="Arial Black" w:hAnsi="Arial Black"/>
          <w:b/>
          <w:sz w:val="24"/>
          <w:szCs w:val="24"/>
        </w:rPr>
      </w:pPr>
    </w:p>
    <w:p w14:paraId="339A306A" w14:textId="03B5C180" w:rsidR="00A20CA7" w:rsidRDefault="00A20CA7" w:rsidP="002B1283">
      <w:pPr>
        <w:rPr>
          <w:rFonts w:ascii="Arial Black" w:hAnsi="Arial Black"/>
          <w:b/>
          <w:sz w:val="24"/>
          <w:szCs w:val="24"/>
        </w:rPr>
      </w:pPr>
      <w:r>
        <w:rPr>
          <w:rFonts w:ascii="Arial Black" w:hAnsi="Arial Black"/>
          <w:b/>
          <w:sz w:val="24"/>
          <w:szCs w:val="24"/>
        </w:rPr>
        <w:t>1-95</w:t>
      </w:r>
    </w:p>
    <w:p w14:paraId="5DF07700" w14:textId="77777777" w:rsidR="00A20CA7" w:rsidRDefault="00A20CA7" w:rsidP="00A20CA7">
      <w:pPr>
        <w:rPr>
          <w:rStyle w:val="markedcontent"/>
          <w:rFonts w:ascii="Arial Black" w:hAnsi="Arial Black"/>
          <w:sz w:val="28"/>
          <w:szCs w:val="28"/>
        </w:rPr>
      </w:pPr>
      <w:r>
        <w:rPr>
          <w:rStyle w:val="markedcontent"/>
          <w:rFonts w:ascii="Arial Black" w:hAnsi="Arial Black"/>
          <w:sz w:val="28"/>
          <w:szCs w:val="28"/>
        </w:rPr>
        <w:t>U.S. SUP. CT: COVID-19 - OSHA MANDATE SET ASIDE – CMS MANDATE FOR HEALTH WORKERS UPHELD</w:t>
      </w:r>
    </w:p>
    <w:p w14:paraId="6D123222" w14:textId="03B28E12" w:rsidR="00A20CA7" w:rsidRDefault="00A20CA7" w:rsidP="00A20CA7">
      <w:pPr>
        <w:rPr>
          <w:rFonts w:ascii="Times New Roman" w:hAnsi="Times New Roman"/>
          <w:sz w:val="24"/>
          <w:szCs w:val="24"/>
        </w:rPr>
      </w:pPr>
      <w:r>
        <w:rPr>
          <w:rFonts w:ascii="Times New Roman" w:hAnsi="Times New Roman"/>
          <w:sz w:val="24"/>
          <w:szCs w:val="24"/>
        </w:rPr>
        <w:t xml:space="preserve">On Jan. 13, 2022, in </w:t>
      </w:r>
      <w:r w:rsidRPr="00132CF6">
        <w:rPr>
          <w:rFonts w:ascii="Times New Roman" w:hAnsi="Times New Roman"/>
          <w:sz w:val="24"/>
          <w:szCs w:val="24"/>
          <w:u w:val="single"/>
        </w:rPr>
        <w:t>Biden v. Missouri</w:t>
      </w:r>
      <w:r>
        <w:rPr>
          <w:rFonts w:ascii="Times New Roman" w:hAnsi="Times New Roman"/>
          <w:sz w:val="24"/>
          <w:szCs w:val="24"/>
        </w:rPr>
        <w:t>, the U.S. Supreme Court (5 to 4) upheld the health worker</w:t>
      </w:r>
      <w:r w:rsidR="002E00D9">
        <w:rPr>
          <w:rFonts w:ascii="Times New Roman" w:hAnsi="Times New Roman"/>
          <w:sz w:val="24"/>
          <w:szCs w:val="24"/>
        </w:rPr>
        <w:t>’</w:t>
      </w:r>
      <w:r>
        <w:rPr>
          <w:rFonts w:ascii="Times New Roman" w:hAnsi="Times New Roman"/>
          <w:sz w:val="24"/>
          <w:szCs w:val="24"/>
        </w:rPr>
        <w:t xml:space="preserve">s mandate. </w:t>
      </w:r>
    </w:p>
    <w:p w14:paraId="6E1A3B35" w14:textId="00F62972" w:rsidR="00A20CA7" w:rsidRDefault="00A20CA7" w:rsidP="00A20CA7">
      <w:pPr>
        <w:ind w:left="720"/>
        <w:rPr>
          <w:rFonts w:ascii="Times New Roman" w:hAnsi="Times New Roman"/>
          <w:sz w:val="24"/>
          <w:szCs w:val="24"/>
        </w:rPr>
      </w:pPr>
      <w:r>
        <w:rPr>
          <w:rStyle w:val="markedcontent"/>
          <w:rFonts w:ascii="Times New Roman" w:hAnsi="Times New Roman"/>
          <w:sz w:val="24"/>
          <w:szCs w:val="24"/>
        </w:rPr>
        <w:t>“</w:t>
      </w:r>
      <w:r w:rsidRPr="00132CF6">
        <w:rPr>
          <w:rStyle w:val="markedcontent"/>
          <w:rFonts w:ascii="Times New Roman" w:hAnsi="Times New Roman"/>
          <w:sz w:val="24"/>
          <w:szCs w:val="24"/>
        </w:rPr>
        <w:t>The Secretary of Health and Human Services administers the Medicare and Medicaid programs, which provide</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 xml:space="preserve">health insurance for millions of elderly, disabled, and low-income Americans. In November 2021, the Secretary announced that, </w:t>
      </w:r>
      <w:proofErr w:type="gramStart"/>
      <w:r w:rsidRPr="00132CF6">
        <w:rPr>
          <w:rStyle w:val="markedcontent"/>
          <w:rFonts w:ascii="Times New Roman" w:hAnsi="Times New Roman"/>
          <w:sz w:val="24"/>
          <w:szCs w:val="24"/>
        </w:rPr>
        <w:t>in order to</w:t>
      </w:r>
      <w:proofErr w:type="gramEnd"/>
      <w:r w:rsidRPr="00132CF6">
        <w:rPr>
          <w:rStyle w:val="markedcontent"/>
          <w:rFonts w:ascii="Times New Roman" w:hAnsi="Times New Roman"/>
          <w:sz w:val="24"/>
          <w:szCs w:val="24"/>
        </w:rPr>
        <w:t xml:space="preserve"> receive Medicare and Medicaid</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funding, participating facilities must ensure that their</w:t>
      </w:r>
      <w:r w:rsidR="002E00D9">
        <w:rPr>
          <w:rStyle w:val="markedcontent"/>
          <w:rFonts w:ascii="Times New Roman" w:hAnsi="Times New Roman"/>
          <w:sz w:val="24"/>
          <w:szCs w:val="24"/>
        </w:rPr>
        <w:t xml:space="preserve"> </w:t>
      </w:r>
      <w:r w:rsidRPr="00132CF6">
        <w:rPr>
          <w:rStyle w:val="markedcontent"/>
          <w:rFonts w:ascii="Times New Roman" w:hAnsi="Times New Roman"/>
          <w:sz w:val="24"/>
          <w:szCs w:val="24"/>
        </w:rPr>
        <w:t>staff—unless exempt for medical or religious reasons—are</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vaccinated against COVID–19</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Two District Courts enjoined enforcement of the rule, and</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the Government now asks us to stay those injunctions.</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Agreeing that it is entitled to such relief, we grant the applications.</w:t>
      </w:r>
      <w:r>
        <w:rPr>
          <w:rStyle w:val="markedcontent"/>
          <w:rFonts w:ascii="Times New Roman" w:hAnsi="Times New Roman"/>
          <w:sz w:val="24"/>
          <w:szCs w:val="24"/>
        </w:rPr>
        <w:t>”</w:t>
      </w:r>
      <w:r w:rsidRPr="00132CF6">
        <w:rPr>
          <w:rFonts w:ascii="Times New Roman" w:hAnsi="Times New Roman"/>
          <w:sz w:val="24"/>
          <w:szCs w:val="24"/>
        </w:rPr>
        <w:t xml:space="preserve">  </w:t>
      </w:r>
      <w:hyperlink r:id="rId244" w:history="1">
        <w:r w:rsidRPr="00A83547">
          <w:rPr>
            <w:rStyle w:val="Hyperlink"/>
            <w:rFonts w:ascii="Times New Roman" w:hAnsi="Times New Roman"/>
            <w:sz w:val="24"/>
            <w:szCs w:val="24"/>
          </w:rPr>
          <w:t>https://www.supremecourt.gov/opinions/21pdf/21a240_d18e.pdf</w:t>
        </w:r>
      </w:hyperlink>
      <w:r>
        <w:rPr>
          <w:rFonts w:ascii="Times New Roman" w:hAnsi="Times New Roman"/>
          <w:sz w:val="24"/>
          <w:szCs w:val="24"/>
        </w:rPr>
        <w:t xml:space="preserve"> </w:t>
      </w:r>
    </w:p>
    <w:p w14:paraId="7F5E6001" w14:textId="77777777" w:rsidR="00A20CA7" w:rsidRDefault="00A20CA7" w:rsidP="00A20CA7">
      <w:pPr>
        <w:ind w:left="720"/>
        <w:rPr>
          <w:rFonts w:ascii="Times New Roman" w:hAnsi="Times New Roman"/>
          <w:sz w:val="24"/>
          <w:szCs w:val="24"/>
        </w:rPr>
      </w:pPr>
    </w:p>
    <w:p w14:paraId="6295FB06" w14:textId="77777777" w:rsidR="00A20CA7" w:rsidRDefault="00A20CA7" w:rsidP="00A20CA7">
      <w:pPr>
        <w:rPr>
          <w:rFonts w:ascii="Times New Roman" w:hAnsi="Times New Roman"/>
          <w:sz w:val="24"/>
          <w:szCs w:val="24"/>
        </w:rPr>
      </w:pPr>
      <w:r>
        <w:rPr>
          <w:rFonts w:ascii="Times New Roman" w:hAnsi="Times New Roman"/>
          <w:sz w:val="24"/>
          <w:szCs w:val="24"/>
        </w:rPr>
        <w:t xml:space="preserve">On Jan. 13, 2022, in </w:t>
      </w:r>
      <w:r w:rsidRPr="007918CC">
        <w:rPr>
          <w:rFonts w:ascii="Times New Roman" w:hAnsi="Times New Roman"/>
          <w:sz w:val="24"/>
          <w:szCs w:val="24"/>
          <w:u w:val="single"/>
        </w:rPr>
        <w:t>National Federal of Independent Business, et al. v. U.S. Department of Labor (OSHA)</w:t>
      </w:r>
      <w:r>
        <w:rPr>
          <w:rFonts w:ascii="Times New Roman" w:hAnsi="Times New Roman"/>
          <w:sz w:val="24"/>
          <w:szCs w:val="24"/>
        </w:rPr>
        <w:t>, the U.S. Supreme Court (6 to 3) struck down the OSHA rule.</w:t>
      </w:r>
    </w:p>
    <w:p w14:paraId="2ECC0E57" w14:textId="77777777" w:rsidR="00A20CA7" w:rsidRPr="007918CC" w:rsidRDefault="00A20CA7" w:rsidP="00A20CA7">
      <w:pPr>
        <w:ind w:left="720"/>
        <w:rPr>
          <w:rFonts w:ascii="Times New Roman" w:hAnsi="Times New Roman"/>
          <w:sz w:val="24"/>
          <w:szCs w:val="24"/>
        </w:rPr>
      </w:pPr>
      <w:r>
        <w:rPr>
          <w:rFonts w:ascii="Times New Roman" w:hAnsi="Times New Roman"/>
          <w:sz w:val="24"/>
          <w:szCs w:val="24"/>
        </w:rPr>
        <w:t>“</w:t>
      </w:r>
      <w:r w:rsidRPr="007918CC">
        <w:rPr>
          <w:rStyle w:val="markedcontent"/>
          <w:rFonts w:ascii="Times New Roman" w:hAnsi="Times New Roman"/>
          <w:sz w:val="24"/>
          <w:szCs w:val="24"/>
        </w:rPr>
        <w:t>The Secretary of Labor, acting through the Occupational</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Safety and Health Administration, recently enacted a vaccine mandate for much of the Nation’s work force. The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mandate, which employers must enforce, applies to roughly</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84 million workers, covering virtually all employers with at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least 100 employees. It requires that covered workers receive a COVID–19 vaccine, and it pre-empts contrary state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laws. The only exception is for workers who obtain a medical test each week at their own expense and on their own</w:t>
      </w:r>
      <w:r>
        <w:rPr>
          <w:rStyle w:val="markedcontent"/>
          <w:rFonts w:ascii="Times New Roman" w:hAnsi="Times New Roman"/>
          <w:sz w:val="24"/>
          <w:szCs w:val="24"/>
        </w:rPr>
        <w:t xml:space="preserve"> </w:t>
      </w:r>
      <w:proofErr w:type="gramStart"/>
      <w:r w:rsidRPr="007918CC">
        <w:rPr>
          <w:rStyle w:val="markedcontent"/>
          <w:rFonts w:ascii="Times New Roman" w:hAnsi="Times New Roman"/>
          <w:sz w:val="24"/>
          <w:szCs w:val="24"/>
        </w:rPr>
        <w:t>time, and</w:t>
      </w:r>
      <w:proofErr w:type="gramEnd"/>
      <w:r w:rsidRPr="007918CC">
        <w:rPr>
          <w:rStyle w:val="markedcontent"/>
          <w:rFonts w:ascii="Times New Roman" w:hAnsi="Times New Roman"/>
          <w:sz w:val="24"/>
          <w:szCs w:val="24"/>
        </w:rPr>
        <w:t xml:space="preserve"> also wear a mask each workday. OSHA has </w:t>
      </w:r>
      <w:proofErr w:type="gramStart"/>
      <w:r w:rsidRPr="007918CC">
        <w:rPr>
          <w:rStyle w:val="markedcontent"/>
          <w:rFonts w:ascii="Times New Roman" w:hAnsi="Times New Roman"/>
          <w:sz w:val="24"/>
          <w:szCs w:val="24"/>
        </w:rPr>
        <w:t>never</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before</w:t>
      </w:r>
      <w:proofErr w:type="gramEnd"/>
      <w:r w:rsidRPr="007918CC">
        <w:rPr>
          <w:rStyle w:val="markedcontent"/>
          <w:rFonts w:ascii="Times New Roman" w:hAnsi="Times New Roman"/>
          <w:sz w:val="24"/>
          <w:szCs w:val="24"/>
        </w:rPr>
        <w:t xml:space="preserve"> imposed such a mandate. Nor has Congress. Indeed,</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 xml:space="preserve">although Congress has enacted significant legislation addressing the COVID–19 pandemic, it has declined to enact any measure </w:t>
      </w:r>
      <w:proofErr w:type="gramStart"/>
      <w:r w:rsidRPr="007918CC">
        <w:rPr>
          <w:rStyle w:val="markedcontent"/>
          <w:rFonts w:ascii="Times New Roman" w:hAnsi="Times New Roman"/>
          <w:sz w:val="24"/>
          <w:szCs w:val="24"/>
        </w:rPr>
        <w:t>similar to</w:t>
      </w:r>
      <w:proofErr w:type="gramEnd"/>
      <w:r w:rsidRPr="007918CC">
        <w:rPr>
          <w:rStyle w:val="markedcontent"/>
          <w:rFonts w:ascii="Times New Roman" w:hAnsi="Times New Roman"/>
          <w:sz w:val="24"/>
          <w:szCs w:val="24"/>
        </w:rPr>
        <w:t xml:space="preserve"> what OSHA has promulgated here.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Many States, businesses, and nonprofit organizations</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challenged OSHA’s rule in Courts of Appeals across the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country. The Fifth Circuit initially entered a stay. But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when the cases were consolidated before the Sixth Circuit,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that court lifted the stay and allowed OSHA’s rule to take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effect. Applicants now seek emergency relief from this</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Court, arguing that OSHA’s mandate exceeds its statutory</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authority and is otherwise unlawful. Agreeing that applicants are likely to prevail, we grant their applications and</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stay the rule.</w:t>
      </w:r>
      <w:r>
        <w:rPr>
          <w:rStyle w:val="markedcontent"/>
          <w:rFonts w:ascii="Times New Roman" w:hAnsi="Times New Roman"/>
          <w:sz w:val="24"/>
          <w:szCs w:val="24"/>
        </w:rPr>
        <w:t xml:space="preserve">” </w:t>
      </w:r>
      <w:hyperlink r:id="rId245" w:history="1">
        <w:r w:rsidRPr="00A83547">
          <w:rPr>
            <w:rStyle w:val="Hyperlink"/>
            <w:rFonts w:ascii="Times New Roman" w:hAnsi="Times New Roman"/>
            <w:sz w:val="24"/>
            <w:szCs w:val="24"/>
          </w:rPr>
          <w:t>https://www.supremecourt.gov/opinions/21pdf/21a244_hgci.pdf</w:t>
        </w:r>
      </w:hyperlink>
      <w:r>
        <w:rPr>
          <w:rStyle w:val="markedcontent"/>
          <w:rFonts w:ascii="Times New Roman" w:hAnsi="Times New Roman"/>
          <w:sz w:val="24"/>
          <w:szCs w:val="24"/>
        </w:rPr>
        <w:t xml:space="preserve"> </w:t>
      </w:r>
    </w:p>
    <w:p w14:paraId="654EEE6E" w14:textId="77777777" w:rsidR="00A20CA7" w:rsidRPr="00893B6D" w:rsidRDefault="00A20CA7" w:rsidP="00A20CA7">
      <w:pPr>
        <w:rPr>
          <w:b/>
          <w:bCs/>
        </w:rPr>
      </w:pPr>
      <w:r w:rsidRPr="00893B6D">
        <w:rPr>
          <w:rFonts w:ascii="Times New Roman" w:hAnsi="Times New Roman"/>
          <w:b/>
          <w:bCs/>
          <w:sz w:val="24"/>
          <w:szCs w:val="24"/>
        </w:rPr>
        <w:t xml:space="preserve">Legal Lesson Learned: In Biden v. Missouri, the health mandate was upheld when two conservative Justices, </w:t>
      </w:r>
      <w:r w:rsidRPr="00E644C2">
        <w:rPr>
          <w:rFonts w:ascii="Times New Roman" w:eastAsia="Times New Roman" w:hAnsi="Times New Roman"/>
          <w:b/>
          <w:bCs/>
          <w:sz w:val="24"/>
          <w:szCs w:val="24"/>
        </w:rPr>
        <w:t>Chief Justice John G. Roberts Jr. and Brett M. Kavanaugh—joined with the court’s three liberal justices to form the majority</w:t>
      </w:r>
      <w:r w:rsidRPr="00893B6D">
        <w:rPr>
          <w:rFonts w:ascii="Times New Roman" w:eastAsia="Times New Roman" w:hAnsi="Times New Roman"/>
          <w:b/>
          <w:bCs/>
          <w:sz w:val="24"/>
          <w:szCs w:val="24"/>
        </w:rPr>
        <w:t xml:space="preserve">. </w:t>
      </w:r>
    </w:p>
    <w:p w14:paraId="201DCF19" w14:textId="77777777" w:rsidR="00A20CA7" w:rsidRPr="00910F74" w:rsidRDefault="00A20CA7" w:rsidP="00A20CA7">
      <w:pPr>
        <w:ind w:left="720" w:firstLine="50"/>
        <w:rPr>
          <w:rFonts w:ascii="Times New Roman" w:hAnsi="Times New Roman"/>
          <w:sz w:val="24"/>
          <w:szCs w:val="24"/>
        </w:rPr>
      </w:pPr>
      <w:r w:rsidRPr="00910F74">
        <w:rPr>
          <w:rFonts w:ascii="Times New Roman" w:hAnsi="Times New Roman"/>
          <w:sz w:val="24"/>
          <w:szCs w:val="24"/>
        </w:rPr>
        <w:t>Note:</w:t>
      </w:r>
      <w:r w:rsidRPr="00910F74">
        <w:rPr>
          <w:rFonts w:ascii="Times New Roman" w:hAnsi="Times New Roman"/>
          <w:color w:val="333333"/>
          <w:sz w:val="24"/>
          <w:szCs w:val="24"/>
        </w:rPr>
        <w:t xml:space="preserve"> On Jan. 13, 2022, the IAFC published this analysis.  “Fire and EMS departments are not covered by the CMS rule. However, if a fire or EMS department is engaged in interfacility transport, it should discuss the CMS rule with the facilities for which it provides interfacility transport to see if the fire or EMS department must come into compliance.” </w:t>
      </w:r>
      <w:hyperlink r:id="rId246" w:history="1">
        <w:r w:rsidRPr="00910F74">
          <w:rPr>
            <w:rStyle w:val="Hyperlink"/>
            <w:rFonts w:ascii="Times New Roman" w:hAnsi="Times New Roman"/>
            <w:sz w:val="24"/>
            <w:szCs w:val="24"/>
          </w:rPr>
          <w:t>https://www.iafc.org/blogs/blog/iafc/2022/01/13/supreme-court-decision-on-vaccine-mandates-what-it-means-for-fire-departments</w:t>
        </w:r>
      </w:hyperlink>
      <w:r w:rsidRPr="00910F74">
        <w:rPr>
          <w:rFonts w:ascii="Times New Roman" w:hAnsi="Times New Roman"/>
          <w:color w:val="333333"/>
          <w:sz w:val="24"/>
          <w:szCs w:val="24"/>
        </w:rPr>
        <w:t xml:space="preserve"> </w:t>
      </w:r>
    </w:p>
    <w:p w14:paraId="1609BAC7" w14:textId="77777777" w:rsidR="00A20CA7" w:rsidRDefault="00A20CA7" w:rsidP="002B1283">
      <w:pPr>
        <w:rPr>
          <w:rFonts w:ascii="Arial Black" w:hAnsi="Arial Black"/>
          <w:b/>
          <w:sz w:val="24"/>
          <w:szCs w:val="24"/>
        </w:rPr>
      </w:pPr>
    </w:p>
    <w:p w14:paraId="5DD8F335" w14:textId="77777777" w:rsidR="00A20CA7" w:rsidRDefault="00A20CA7" w:rsidP="002B1283">
      <w:pPr>
        <w:rPr>
          <w:rFonts w:ascii="Arial Black" w:hAnsi="Arial Black"/>
          <w:b/>
          <w:sz w:val="24"/>
          <w:szCs w:val="24"/>
        </w:rPr>
      </w:pPr>
    </w:p>
    <w:p w14:paraId="7427FFDE" w14:textId="3D401100" w:rsidR="00A20CA7" w:rsidRDefault="00A20CA7" w:rsidP="002B1283">
      <w:pPr>
        <w:rPr>
          <w:rFonts w:ascii="Arial Black" w:hAnsi="Arial Black"/>
          <w:b/>
          <w:sz w:val="24"/>
          <w:szCs w:val="24"/>
        </w:rPr>
      </w:pPr>
      <w:r>
        <w:rPr>
          <w:rFonts w:ascii="Arial Black" w:hAnsi="Arial Black"/>
          <w:b/>
          <w:sz w:val="24"/>
          <w:szCs w:val="24"/>
        </w:rPr>
        <w:t>1-94</w:t>
      </w:r>
    </w:p>
    <w:p w14:paraId="346A8ADF" w14:textId="77777777" w:rsidR="00A20CA7" w:rsidRPr="00182702" w:rsidRDefault="00A20CA7" w:rsidP="00A20CA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OK: RAILROAD FINED FOR BLOCKING ROADWAYS MORE 10 MIN. - STATE LAW SET ASIDE – FEDERAL LAW CONTROLS</w:t>
      </w:r>
    </w:p>
    <w:p w14:paraId="765E6DBE" w14:textId="77777777" w:rsidR="00A20CA7" w:rsidRPr="0028115D" w:rsidRDefault="00A20CA7" w:rsidP="00A20CA7">
      <w:pPr>
        <w:spacing w:before="100" w:beforeAutospacing="1" w:after="100" w:afterAutospacing="1" w:line="240" w:lineRule="auto"/>
        <w:rPr>
          <w:rFonts w:ascii="Times New Roman" w:eastAsia="Times New Roman" w:hAnsi="Times New Roman"/>
          <w:sz w:val="24"/>
          <w:szCs w:val="24"/>
        </w:rPr>
      </w:pPr>
      <w:r w:rsidRPr="0028115D">
        <w:rPr>
          <w:rFonts w:ascii="Times New Roman" w:eastAsia="Times New Roman" w:hAnsi="Times New Roman"/>
          <w:sz w:val="24"/>
          <w:szCs w:val="24"/>
        </w:rPr>
        <w:t xml:space="preserve">On Jan. 10, 2022, in </w:t>
      </w:r>
      <w:r w:rsidRPr="0028115D">
        <w:rPr>
          <w:rFonts w:ascii="Times New Roman" w:eastAsia="Times New Roman" w:hAnsi="Times New Roman"/>
          <w:sz w:val="24"/>
          <w:szCs w:val="24"/>
          <w:u w:val="single"/>
        </w:rPr>
        <w:t>BNSF Railway Company v. Todd Hiett, Chairman of Oklahoma Corporation Commission, et al</w:t>
      </w:r>
      <w:r>
        <w:rPr>
          <w:rFonts w:ascii="Times New Roman" w:eastAsia="Times New Roman" w:hAnsi="Times New Roman"/>
          <w:sz w:val="24"/>
          <w:szCs w:val="24"/>
        </w:rPr>
        <w:t>., the U.S. Court of Appeals for 10</w:t>
      </w:r>
      <w:r w:rsidRPr="0028115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(Denver) held (3 to 0) that the trial court properly held that Federal law preempts the state from issuing citations to railroads for blocking highway.  The Court recognized why the state has safety concerns, but Federal law prevails. “</w:t>
      </w:r>
      <w:r w:rsidRPr="0000659D">
        <w:rPr>
          <w:rFonts w:ascii="Times New Roman" w:hAnsi="Times New Roman"/>
          <w:sz w:val="24"/>
          <w:szCs w:val="24"/>
        </w:rPr>
        <w:t xml:space="preserve">Defendants explain that blocked crossings in Oklahoma have </w:t>
      </w:r>
      <w:r>
        <w:rPr>
          <w:rFonts w:ascii="Times New Roman" w:hAnsi="Times New Roman"/>
          <w:sz w:val="24"/>
          <w:szCs w:val="24"/>
        </w:rPr>
        <w:t>‘</w:t>
      </w:r>
      <w:r w:rsidRPr="0000659D">
        <w:rPr>
          <w:rFonts w:ascii="Times New Roman" w:hAnsi="Times New Roman"/>
          <w:sz w:val="24"/>
          <w:szCs w:val="24"/>
        </w:rPr>
        <w:t>forced a paramedic . . . to jump between rail cars of a stopped train to reach a patient in time,</w:t>
      </w:r>
      <w:r>
        <w:rPr>
          <w:rFonts w:ascii="Times New Roman" w:hAnsi="Times New Roman"/>
          <w:sz w:val="24"/>
          <w:szCs w:val="24"/>
        </w:rPr>
        <w:t>’</w:t>
      </w:r>
      <w:r w:rsidRPr="0000659D">
        <w:rPr>
          <w:rFonts w:ascii="Times New Roman" w:hAnsi="Times New Roman"/>
          <w:sz w:val="24"/>
          <w:szCs w:val="24"/>
        </w:rPr>
        <w:t xml:space="preserve"> delayed firefighters and paramedics' response times generally, and caused Oklahomans to engage in risky behavior to avoid blocked crossings.</w:t>
      </w:r>
      <w:r>
        <w:rPr>
          <w:rFonts w:ascii="Times New Roman" w:hAnsi="Times New Roman"/>
          <w:sz w:val="24"/>
          <w:szCs w:val="24"/>
        </w:rPr>
        <w:t xml:space="preserve">”   </w:t>
      </w:r>
      <w:hyperlink r:id="rId247" w:history="1">
        <w:r w:rsidRPr="00A83547">
          <w:rPr>
            <w:rStyle w:val="Hyperlink"/>
            <w:rFonts w:ascii="Times New Roman" w:hAnsi="Times New Roman"/>
            <w:sz w:val="24"/>
            <w:szCs w:val="24"/>
          </w:rPr>
          <w:t>https://www.ca10.uscourts.gov/sites/ca10/files/opinions/010110630282.pdf</w:t>
        </w:r>
      </w:hyperlink>
      <w:r>
        <w:rPr>
          <w:rFonts w:ascii="Times New Roman" w:hAnsi="Times New Roman"/>
          <w:sz w:val="24"/>
          <w:szCs w:val="24"/>
        </w:rPr>
        <w:t xml:space="preserve"> </w:t>
      </w:r>
    </w:p>
    <w:p w14:paraId="13CDF0A0" w14:textId="77777777" w:rsidR="00A20CA7" w:rsidRPr="006B6814" w:rsidRDefault="00A20CA7" w:rsidP="00A20CA7">
      <w:pPr>
        <w:spacing w:before="100" w:beforeAutospacing="1" w:after="100" w:afterAutospacing="1" w:line="240" w:lineRule="auto"/>
        <w:rPr>
          <w:rFonts w:ascii="Times New Roman" w:hAnsi="Times New Roman"/>
          <w:b/>
          <w:bCs/>
          <w:sz w:val="24"/>
          <w:szCs w:val="24"/>
        </w:rPr>
      </w:pPr>
      <w:r w:rsidRPr="006B6814">
        <w:rPr>
          <w:rFonts w:ascii="Times New Roman" w:hAnsi="Times New Roman"/>
          <w:b/>
          <w:bCs/>
          <w:sz w:val="24"/>
          <w:szCs w:val="24"/>
        </w:rPr>
        <w:t>Legal Lesson Learned:</w:t>
      </w:r>
      <w:r>
        <w:rPr>
          <w:rFonts w:ascii="Times New Roman" w:hAnsi="Times New Roman"/>
          <w:b/>
          <w:bCs/>
          <w:sz w:val="24"/>
          <w:szCs w:val="24"/>
        </w:rPr>
        <w:t xml:space="preserve"> Congress has preempted railroad safety issues; unfortunately grade crossing issues continue to grow with </w:t>
      </w:r>
      <w:proofErr w:type="gramStart"/>
      <w:r>
        <w:rPr>
          <w:rFonts w:ascii="Times New Roman" w:hAnsi="Times New Roman"/>
          <w:b/>
          <w:bCs/>
          <w:sz w:val="24"/>
          <w:szCs w:val="24"/>
        </w:rPr>
        <w:t>longer and longer</w:t>
      </w:r>
      <w:proofErr w:type="gramEnd"/>
      <w:r>
        <w:rPr>
          <w:rFonts w:ascii="Times New Roman" w:hAnsi="Times New Roman"/>
          <w:b/>
          <w:bCs/>
          <w:sz w:val="24"/>
          <w:szCs w:val="24"/>
        </w:rPr>
        <w:t xml:space="preserve"> trains. </w:t>
      </w:r>
    </w:p>
    <w:p w14:paraId="5E94F07B" w14:textId="77777777" w:rsidR="00A20CA7" w:rsidRPr="006B6814" w:rsidRDefault="00A20CA7" w:rsidP="00A20CA7">
      <w:pPr>
        <w:spacing w:before="100" w:beforeAutospacing="1" w:after="100" w:afterAutospacing="1" w:line="240" w:lineRule="auto"/>
        <w:ind w:left="720"/>
        <w:rPr>
          <w:rFonts w:ascii="Times New Roman" w:hAnsi="Times New Roman"/>
          <w:sz w:val="24"/>
          <w:szCs w:val="24"/>
        </w:rPr>
      </w:pPr>
      <w:r w:rsidRPr="006B6814">
        <w:rPr>
          <w:rFonts w:ascii="Times New Roman" w:hAnsi="Times New Roman"/>
          <w:sz w:val="24"/>
          <w:szCs w:val="24"/>
        </w:rPr>
        <w:t xml:space="preserve">Note: </w:t>
      </w:r>
      <w:r>
        <w:rPr>
          <w:rFonts w:ascii="Times New Roman" w:hAnsi="Times New Roman"/>
          <w:sz w:val="24"/>
          <w:szCs w:val="24"/>
        </w:rPr>
        <w:t>See Association of American Railroads article, Sept. 2021, “</w:t>
      </w:r>
      <w:r w:rsidRPr="006B6814">
        <w:rPr>
          <w:rStyle w:val="markedcontent"/>
          <w:rFonts w:ascii="Times New Roman" w:hAnsi="Times New Roman"/>
          <w:sz w:val="24"/>
          <w:szCs w:val="24"/>
        </w:rPr>
        <w:t>How Railroads Collaborate</w:t>
      </w:r>
      <w:r>
        <w:rPr>
          <w:rFonts w:ascii="Times New Roman" w:hAnsi="Times New Roman"/>
          <w:sz w:val="24"/>
          <w:szCs w:val="24"/>
        </w:rPr>
        <w:t xml:space="preserve"> </w:t>
      </w:r>
      <w:proofErr w:type="spellStart"/>
      <w:proofErr w:type="gramStart"/>
      <w:r w:rsidRPr="006B6814">
        <w:rPr>
          <w:rStyle w:val="markedcontent"/>
          <w:rFonts w:ascii="Times New Roman" w:hAnsi="Times New Roman"/>
          <w:sz w:val="24"/>
          <w:szCs w:val="24"/>
        </w:rPr>
        <w:t>ith</w:t>
      </w:r>
      <w:proofErr w:type="spellEnd"/>
      <w:proofErr w:type="gramEnd"/>
      <w:r w:rsidRPr="006B6814">
        <w:rPr>
          <w:rStyle w:val="markedcontent"/>
          <w:rFonts w:ascii="Times New Roman" w:hAnsi="Times New Roman"/>
          <w:sz w:val="24"/>
          <w:szCs w:val="24"/>
        </w:rPr>
        <w:t xml:space="preserve"> Stakeholders to Reduce Grade Crossing Impacts</w:t>
      </w:r>
      <w:r>
        <w:rPr>
          <w:rStyle w:val="markedcontent"/>
          <w:rFonts w:ascii="Times New Roman" w:hAnsi="Times New Roman"/>
          <w:sz w:val="24"/>
          <w:szCs w:val="24"/>
        </w:rPr>
        <w:t>.” “</w:t>
      </w:r>
      <w:r w:rsidRPr="006B6814">
        <w:rPr>
          <w:rStyle w:val="markedcontent"/>
          <w:rFonts w:ascii="Times New Roman" w:hAnsi="Times New Roman"/>
          <w:sz w:val="24"/>
          <w:szCs w:val="24"/>
        </w:rPr>
        <w:t>With more than 200,000 grade crossings nationwide, railroads</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work closely with community leaders, government partners,</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first responders and the public to manage and mitigate the</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impact of rail crossings on communities. Each grade crossing</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is unique, and railroad operational teams deploy a range of</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strategies, depending on the circumstances, to keep rail and</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 xml:space="preserve">vehicle traffic safely moving through these </w:t>
      </w:r>
      <w:proofErr w:type="gramStart"/>
      <w:r w:rsidRPr="006B6814">
        <w:rPr>
          <w:rStyle w:val="markedcontent"/>
          <w:rFonts w:ascii="Times New Roman" w:hAnsi="Times New Roman"/>
          <w:sz w:val="24"/>
          <w:szCs w:val="24"/>
        </w:rPr>
        <w:t>intersections.</w:t>
      </w:r>
      <w:r>
        <w:rPr>
          <w:rStyle w:val="markedcontent"/>
          <w:rFonts w:ascii="Times New Roman" w:hAnsi="Times New Roman"/>
          <w:sz w:val="24"/>
          <w:szCs w:val="24"/>
        </w:rPr>
        <w:t>”</w:t>
      </w:r>
      <w:proofErr w:type="gramEnd"/>
      <w:r>
        <w:rPr>
          <w:rStyle w:val="markedcontent"/>
          <w:rFonts w:ascii="Times New Roman" w:hAnsi="Times New Roman"/>
          <w:sz w:val="24"/>
          <w:szCs w:val="24"/>
        </w:rPr>
        <w:t xml:space="preserve"> </w:t>
      </w:r>
      <w:hyperlink r:id="rId248" w:history="1">
        <w:r w:rsidRPr="00A83547">
          <w:rPr>
            <w:rStyle w:val="Hyperlink"/>
            <w:rFonts w:ascii="Times New Roman" w:hAnsi="Times New Roman"/>
            <w:sz w:val="24"/>
            <w:szCs w:val="24"/>
          </w:rPr>
          <w:t>https://www.aar.org/wp-content/uploads/2020/02/AAR-Occupied-Crossings-Fact-Sheet.pdf</w:t>
        </w:r>
      </w:hyperlink>
      <w:r>
        <w:rPr>
          <w:rStyle w:val="markedcontent"/>
          <w:rFonts w:ascii="Times New Roman" w:hAnsi="Times New Roman"/>
          <w:sz w:val="24"/>
          <w:szCs w:val="24"/>
        </w:rPr>
        <w:t xml:space="preserve"> </w:t>
      </w:r>
    </w:p>
    <w:p w14:paraId="7474804A" w14:textId="77777777" w:rsidR="00A20CA7" w:rsidRDefault="00A20CA7" w:rsidP="002B1283">
      <w:pPr>
        <w:rPr>
          <w:rFonts w:ascii="Arial Black" w:hAnsi="Arial Black"/>
          <w:b/>
          <w:sz w:val="24"/>
          <w:szCs w:val="24"/>
        </w:rPr>
      </w:pPr>
    </w:p>
    <w:p w14:paraId="560EB8BC" w14:textId="77777777" w:rsidR="00A20CA7" w:rsidRDefault="00A20CA7" w:rsidP="002B1283">
      <w:pPr>
        <w:rPr>
          <w:rFonts w:ascii="Arial Black" w:hAnsi="Arial Black"/>
          <w:b/>
          <w:sz w:val="24"/>
          <w:szCs w:val="24"/>
        </w:rPr>
      </w:pPr>
    </w:p>
    <w:p w14:paraId="0E7F78EF" w14:textId="3D8FF09E" w:rsidR="00E51408" w:rsidRDefault="00E51408" w:rsidP="002B1283">
      <w:pPr>
        <w:rPr>
          <w:rFonts w:ascii="Arial Black" w:hAnsi="Arial Black"/>
          <w:b/>
          <w:sz w:val="24"/>
          <w:szCs w:val="24"/>
        </w:rPr>
      </w:pPr>
      <w:r>
        <w:rPr>
          <w:rFonts w:ascii="Arial Black" w:hAnsi="Arial Black"/>
          <w:b/>
          <w:sz w:val="24"/>
          <w:szCs w:val="24"/>
        </w:rPr>
        <w:t>1-93</w:t>
      </w:r>
    </w:p>
    <w:p w14:paraId="0EB691BF" w14:textId="77777777" w:rsidR="00E51408" w:rsidRDefault="00E51408" w:rsidP="00E5140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WARRANTLESS ENTRY - CAUSE &amp; ORIGIN OF HOUSE FIRE - DRUGS PLAIN VIEW – ADMISSIBLE IN EVIDENCE </w:t>
      </w:r>
    </w:p>
    <w:p w14:paraId="0D020A0E" w14:textId="77777777" w:rsidR="00E51408" w:rsidRPr="003A0F54" w:rsidRDefault="00E51408" w:rsidP="00E51408">
      <w:pPr>
        <w:rPr>
          <w:rFonts w:ascii="Times New Roman" w:hAnsi="Times New Roman"/>
          <w:bCs/>
          <w:sz w:val="24"/>
          <w:szCs w:val="24"/>
        </w:rPr>
      </w:pPr>
      <w:bookmarkStart w:id="4" w:name="_Hlk91595193"/>
      <w:r w:rsidRPr="003A0F54">
        <w:rPr>
          <w:rFonts w:ascii="Times New Roman" w:hAnsi="Times New Roman"/>
          <w:bCs/>
          <w:sz w:val="24"/>
          <w:szCs w:val="24"/>
        </w:rPr>
        <w:t xml:space="preserve">On Dec. 27, 2021, in </w:t>
      </w:r>
      <w:r w:rsidRPr="003A0F54">
        <w:rPr>
          <w:rFonts w:ascii="Times New Roman" w:hAnsi="Times New Roman"/>
          <w:bCs/>
          <w:sz w:val="24"/>
          <w:szCs w:val="24"/>
          <w:u w:val="single"/>
        </w:rPr>
        <w:t>State of Ohio v. Nicole L. Holmes</w:t>
      </w:r>
      <w:r w:rsidRPr="003A0F54">
        <w:rPr>
          <w:rFonts w:ascii="Times New Roman" w:hAnsi="Times New Roman"/>
          <w:bCs/>
          <w:sz w:val="24"/>
          <w:szCs w:val="24"/>
        </w:rPr>
        <w:t xml:space="preserve">, the Court of Appeals for the Eleventh District (Ashtabula) held (3 to 0) that trial judge improperly granted the defendant’s motion to suppress evidence.  Fire Captain lawfully entered house during overhaul and observed drugs in plain view; warrantless entry during “exigent circumstances” as authorized by U.S. Supreme Court in </w:t>
      </w:r>
      <w:r w:rsidRPr="003A0F54">
        <w:rPr>
          <w:rFonts w:ascii="Times New Roman" w:hAnsi="Times New Roman"/>
          <w:sz w:val="24"/>
          <w:szCs w:val="24"/>
        </w:rPr>
        <w:t xml:space="preserve">Michigan v. Tyler, 436 U.S. 499, 506, 98 </w:t>
      </w:r>
      <w:proofErr w:type="spellStart"/>
      <w:r w:rsidRPr="003A0F54">
        <w:rPr>
          <w:rFonts w:ascii="Times New Roman" w:hAnsi="Times New Roman"/>
          <w:sz w:val="24"/>
          <w:szCs w:val="24"/>
        </w:rPr>
        <w:t>S.Ct</w:t>
      </w:r>
      <w:proofErr w:type="spellEnd"/>
      <w:r w:rsidRPr="003A0F54">
        <w:rPr>
          <w:rFonts w:ascii="Times New Roman" w:hAnsi="Times New Roman"/>
          <w:sz w:val="24"/>
          <w:szCs w:val="24"/>
        </w:rPr>
        <w:t xml:space="preserve">. 1942, 56 L.Ed.2d 486 (1978). </w:t>
      </w:r>
      <w:r w:rsidRPr="003A0F54">
        <w:rPr>
          <w:rFonts w:ascii="Times New Roman" w:hAnsi="Times New Roman"/>
          <w:bCs/>
          <w:sz w:val="24"/>
          <w:szCs w:val="24"/>
        </w:rPr>
        <w:t xml:space="preserve">Case remanded for defendant’s criminal trial - </w:t>
      </w:r>
      <w:r w:rsidRPr="003A0F54">
        <w:rPr>
          <w:rFonts w:ascii="Times New Roman" w:hAnsi="Times New Roman"/>
          <w:sz w:val="24"/>
          <w:szCs w:val="24"/>
        </w:rPr>
        <w:t xml:space="preserve">aggravated trafficking in drugs, aggravated possession of drugs, possessing criminal tools, illegal use or possession of drug paraphernalia, and endangering children. </w:t>
      </w:r>
      <w:r w:rsidRPr="003A0F54">
        <w:rPr>
          <w:rFonts w:ascii="Times New Roman" w:hAnsi="Times New Roman"/>
          <w:bCs/>
          <w:sz w:val="24"/>
          <w:szCs w:val="24"/>
        </w:rPr>
        <w:t xml:space="preserve"> </w:t>
      </w:r>
    </w:p>
    <w:p w14:paraId="2248815F" w14:textId="77777777" w:rsidR="00E51408" w:rsidRPr="003A0F54" w:rsidRDefault="00E51408" w:rsidP="00E51408">
      <w:pPr>
        <w:ind w:left="720"/>
        <w:rPr>
          <w:rFonts w:ascii="Times New Roman" w:hAnsi="Times New Roman"/>
          <w:bCs/>
          <w:sz w:val="24"/>
          <w:szCs w:val="24"/>
        </w:rPr>
      </w:pPr>
      <w:r w:rsidRPr="003A0F54">
        <w:rPr>
          <w:rFonts w:ascii="Times New Roman" w:hAnsi="Times New Roman"/>
          <w:bCs/>
          <w:sz w:val="24"/>
          <w:szCs w:val="24"/>
        </w:rPr>
        <w:t xml:space="preserve">“Here, applying these Fourth Amendment standards and exceptions, we conclude that Captain Chase was permitted to enter the residence without a warrant under the doctrine of exigent circumstances. During the initial entry, while investigating and before he had determined the cause and origin of the fire, Captain Chase discovered contraband in plain view. Due to limitations on his training with evidence collection, he acted appropriately in requesting assistance from the police department. Patrolman Perry was permitted to enter the residence and seize the contraband without a warrant </w:t>
      </w:r>
      <w:r w:rsidRPr="003A0F54">
        <w:rPr>
          <w:rFonts w:ascii="Times New Roman" w:hAnsi="Times New Roman"/>
          <w:bCs/>
          <w:i/>
          <w:iCs/>
          <w:sz w:val="24"/>
          <w:szCs w:val="24"/>
        </w:rPr>
        <w:t>only</w:t>
      </w:r>
      <w:r w:rsidRPr="003A0F54">
        <w:rPr>
          <w:rFonts w:ascii="Times New Roman" w:hAnsi="Times New Roman"/>
          <w:bCs/>
          <w:sz w:val="24"/>
          <w:szCs w:val="24"/>
        </w:rPr>
        <w:t xml:space="preserve"> because he "stepped into the shoes" of Captain Chase, who was still on the scene conducting his initial investigation. Patrolman Perry entered solely for the purpose of assisting Captain Chase; he collected only the items to which he was directed by Captain Chase; he did not search any other area of the residence; and he did not further intrude  on Hommes' privacy interests. Accordingly, the warrantless seizure did not violate Hommes' Fourth Amendment rights. *** The trial court erred in granting Hommes' motion to suppress, and the state's sole assignment of error has merit. The judgment of the Ashtabula County Court of Common Pleas is reversed, and this matter is </w:t>
      </w:r>
      <w:proofErr w:type="gramStart"/>
      <w:r w:rsidRPr="003A0F54">
        <w:rPr>
          <w:rFonts w:ascii="Times New Roman" w:hAnsi="Times New Roman"/>
          <w:bCs/>
          <w:sz w:val="24"/>
          <w:szCs w:val="24"/>
        </w:rPr>
        <w:t>remanded</w:t>
      </w:r>
      <w:proofErr w:type="gramEnd"/>
      <w:r w:rsidRPr="003A0F54">
        <w:rPr>
          <w:rFonts w:ascii="Times New Roman" w:hAnsi="Times New Roman"/>
          <w:bCs/>
          <w:sz w:val="24"/>
          <w:szCs w:val="24"/>
        </w:rPr>
        <w:t xml:space="preserve"> for further proceedings consistent with this </w:t>
      </w:r>
      <w:proofErr w:type="gramStart"/>
      <w:r w:rsidRPr="003A0F54">
        <w:rPr>
          <w:rFonts w:ascii="Times New Roman" w:hAnsi="Times New Roman"/>
          <w:bCs/>
          <w:sz w:val="24"/>
          <w:szCs w:val="24"/>
        </w:rPr>
        <w:t>opinion.”</w:t>
      </w:r>
      <w:proofErr w:type="gramEnd"/>
      <w:r w:rsidRPr="003A0F54">
        <w:rPr>
          <w:rFonts w:ascii="Times New Roman" w:hAnsi="Times New Roman"/>
          <w:bCs/>
          <w:sz w:val="24"/>
          <w:szCs w:val="24"/>
        </w:rPr>
        <w:t xml:space="preserve">  </w:t>
      </w:r>
      <w:hyperlink r:id="rId249" w:history="1">
        <w:r w:rsidRPr="004065C6">
          <w:rPr>
            <w:rStyle w:val="Hyperlink"/>
            <w:rFonts w:ascii="Times New Roman" w:hAnsi="Times New Roman"/>
            <w:bCs/>
            <w:sz w:val="24"/>
            <w:szCs w:val="24"/>
          </w:rPr>
          <w:t>https://www.supremecourt.ohio.gov/rod/docs/pdf/11/2021/2021-Ohio-4568.pdf</w:t>
        </w:r>
      </w:hyperlink>
      <w:r>
        <w:rPr>
          <w:rFonts w:ascii="Times New Roman" w:hAnsi="Times New Roman"/>
          <w:bCs/>
          <w:sz w:val="24"/>
          <w:szCs w:val="24"/>
        </w:rPr>
        <w:t xml:space="preserve"> </w:t>
      </w:r>
    </w:p>
    <w:bookmarkEnd w:id="4"/>
    <w:p w14:paraId="5472100B" w14:textId="77777777" w:rsidR="00E51408" w:rsidRPr="003A0F54" w:rsidRDefault="00E51408" w:rsidP="00E51408">
      <w:pPr>
        <w:spacing w:after="100" w:line="240" w:lineRule="auto"/>
        <w:rPr>
          <w:rFonts w:ascii="Times New Roman" w:eastAsia="Times New Roman" w:hAnsi="Times New Roman"/>
          <w:b/>
          <w:bCs/>
          <w:sz w:val="24"/>
          <w:szCs w:val="24"/>
        </w:rPr>
      </w:pPr>
      <w:r w:rsidRPr="003A0F54">
        <w:rPr>
          <w:rFonts w:ascii="Times New Roman" w:eastAsia="Times New Roman" w:hAnsi="Times New Roman"/>
          <w:b/>
          <w:bCs/>
          <w:sz w:val="24"/>
          <w:szCs w:val="24"/>
        </w:rPr>
        <w:t>Legal Lesson Learned: Wonderful decision; exce</w:t>
      </w:r>
      <w:r>
        <w:rPr>
          <w:rFonts w:ascii="Times New Roman" w:eastAsia="Times New Roman" w:hAnsi="Times New Roman"/>
          <w:b/>
          <w:bCs/>
          <w:sz w:val="24"/>
          <w:szCs w:val="24"/>
        </w:rPr>
        <w:t xml:space="preserve">llent </w:t>
      </w:r>
      <w:r w:rsidRPr="003A0F54">
        <w:rPr>
          <w:rFonts w:ascii="Times New Roman" w:eastAsia="Times New Roman" w:hAnsi="Times New Roman"/>
          <w:b/>
          <w:bCs/>
          <w:sz w:val="24"/>
          <w:szCs w:val="24"/>
        </w:rPr>
        <w:t xml:space="preserve">appeal by the Ohio Attorney General’s office. </w:t>
      </w:r>
    </w:p>
    <w:p w14:paraId="36DE492B" w14:textId="77777777" w:rsidR="00E51408" w:rsidRPr="003A0F54" w:rsidRDefault="00E51408" w:rsidP="00E51408">
      <w:pPr>
        <w:spacing w:before="100" w:beforeAutospacing="1" w:after="100" w:afterAutospacing="1" w:line="240" w:lineRule="auto"/>
        <w:ind w:left="720"/>
        <w:rPr>
          <w:rFonts w:ascii="Times New Roman" w:eastAsia="Times New Roman" w:hAnsi="Times New Roman"/>
          <w:sz w:val="24"/>
          <w:szCs w:val="24"/>
        </w:rPr>
      </w:pPr>
    </w:p>
    <w:p w14:paraId="2CC3A87B" w14:textId="4B4F2E95" w:rsidR="00E51408" w:rsidRDefault="00E51408" w:rsidP="002B1283">
      <w:pPr>
        <w:rPr>
          <w:rFonts w:ascii="Arial Black" w:hAnsi="Arial Black"/>
          <w:b/>
          <w:sz w:val="24"/>
          <w:szCs w:val="24"/>
        </w:rPr>
      </w:pPr>
      <w:r>
        <w:rPr>
          <w:rFonts w:ascii="Arial Black" w:hAnsi="Arial Black"/>
          <w:b/>
          <w:sz w:val="24"/>
          <w:szCs w:val="24"/>
        </w:rPr>
        <w:t>1-92</w:t>
      </w:r>
    </w:p>
    <w:p w14:paraId="1171601C" w14:textId="77777777" w:rsidR="00E51408" w:rsidRDefault="00E51408" w:rsidP="00E5140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FD ENTRY BASEMENT WITHOUT WARRANT - ELECTRIC STOVE, CIRCUIT BRAKERS BASEMENT – BLDG CONDEMNED</w:t>
      </w:r>
    </w:p>
    <w:p w14:paraId="4580C6B2" w14:textId="77777777" w:rsidR="00E51408" w:rsidRPr="003A0F54" w:rsidRDefault="00E51408" w:rsidP="00E51408">
      <w:pPr>
        <w:spacing w:before="100" w:beforeAutospacing="1" w:after="100" w:afterAutospacing="1" w:line="240" w:lineRule="auto"/>
        <w:rPr>
          <w:rFonts w:ascii="Times New Roman" w:eastAsia="Times New Roman" w:hAnsi="Times New Roman"/>
          <w:sz w:val="24"/>
          <w:szCs w:val="24"/>
        </w:rPr>
      </w:pPr>
      <w:r w:rsidRPr="003A0F54">
        <w:rPr>
          <w:rFonts w:ascii="Times New Roman" w:eastAsia="Times New Roman" w:hAnsi="Times New Roman"/>
          <w:sz w:val="24"/>
          <w:szCs w:val="24"/>
        </w:rPr>
        <w:t xml:space="preserve">On Dec. 13, 2021, in </w:t>
      </w:r>
      <w:r w:rsidRPr="003A0F54">
        <w:rPr>
          <w:rFonts w:ascii="Times New Roman" w:eastAsia="Times New Roman" w:hAnsi="Times New Roman"/>
          <w:sz w:val="24"/>
          <w:szCs w:val="24"/>
          <w:u w:val="single"/>
        </w:rPr>
        <w:t>George Cannarozzo v. Borough of West Hazleton and Diane Panzarella</w:t>
      </w:r>
      <w:r w:rsidRPr="003A0F54">
        <w:rPr>
          <w:rFonts w:ascii="Times New Roman" w:eastAsia="Times New Roman" w:hAnsi="Times New Roman"/>
          <w:sz w:val="24"/>
          <w:szCs w:val="24"/>
        </w:rPr>
        <w:t xml:space="preserve">, U.S. District Court Judge Robert D. Mariani granted summary judgment to the Borough and their code enforcement officer, Diane Panzarella. The fire department had been dispatched twice to the building; first for light smoke on first floor (cleared scene in 10 minutes) and twelve minutes later called back for electrical stove sparking.  They removed the stove, but circuit brakers were in locked basement; when in basement they observed “dangling” and “hanging” wires, some without coatings and corroded.   </w:t>
      </w:r>
      <w:r>
        <w:rPr>
          <w:rFonts w:ascii="Times New Roman" w:eastAsia="Times New Roman" w:hAnsi="Times New Roman"/>
          <w:sz w:val="24"/>
          <w:szCs w:val="24"/>
        </w:rPr>
        <w:t xml:space="preserve"> </w:t>
      </w:r>
    </w:p>
    <w:p w14:paraId="0907F5E7" w14:textId="7853812A" w:rsidR="00E51408" w:rsidRDefault="00E51408" w:rsidP="00E51408">
      <w:pPr>
        <w:rPr>
          <w:rFonts w:ascii="Arial Black" w:hAnsi="Arial Black"/>
          <w:b/>
          <w:sz w:val="24"/>
          <w:szCs w:val="24"/>
        </w:rPr>
      </w:pPr>
      <w:r w:rsidRPr="003A0F54">
        <w:rPr>
          <w:rFonts w:ascii="Times New Roman" w:eastAsia="Times New Roman" w:hAnsi="Times New Roman"/>
          <w:sz w:val="24"/>
          <w:szCs w:val="24"/>
        </w:rPr>
        <w:t xml:space="preserve">“This evidence shows that the fire crew's entry into the basement was related to the second incident in which the stove was removed from the apartment unit, whether it was to check for extension of the fire or to turn off the circuit breaker "to secure the electrical oven" as </w:t>
      </w:r>
      <w:proofErr w:type="spellStart"/>
      <w:r w:rsidRPr="003A0F54">
        <w:rPr>
          <w:rFonts w:ascii="Times New Roman" w:eastAsia="Times New Roman" w:hAnsi="Times New Roman"/>
          <w:sz w:val="24"/>
          <w:szCs w:val="24"/>
        </w:rPr>
        <w:t>Segaria</w:t>
      </w:r>
      <w:proofErr w:type="spellEnd"/>
      <w:r w:rsidRPr="003A0F54">
        <w:rPr>
          <w:rFonts w:ascii="Times New Roman" w:eastAsia="Times New Roman" w:hAnsi="Times New Roman"/>
          <w:sz w:val="24"/>
          <w:szCs w:val="24"/>
        </w:rPr>
        <w:t xml:space="preserve"> said would be a concern ([Deputy Fire Chief Robert] </w:t>
      </w:r>
      <w:proofErr w:type="spellStart"/>
      <w:r w:rsidRPr="003A0F54">
        <w:rPr>
          <w:rFonts w:ascii="Times New Roman" w:eastAsia="Times New Roman" w:hAnsi="Times New Roman"/>
          <w:sz w:val="24"/>
          <w:szCs w:val="24"/>
        </w:rPr>
        <w:t>Segaria</w:t>
      </w:r>
      <w:proofErr w:type="spellEnd"/>
      <w:r w:rsidRPr="003A0F54">
        <w:rPr>
          <w:rFonts w:ascii="Times New Roman" w:eastAsia="Times New Roman" w:hAnsi="Times New Roman"/>
          <w:sz w:val="24"/>
          <w:szCs w:val="24"/>
        </w:rPr>
        <w:t xml:space="preserve"> Dep. 36:24-37:1 (Doc. 73-2 at 18)). As such, the fire crew's entry into the basement can be considered an extension of their firefighting duties, i.e., remediation of a potential hazard related to the incident or checking for an extension of the fire into the basement. Activities to prevent a fire's recurrence are properly characterized as reasons for firefighters to remain in a building with no warrant and present no Fourth Amendment violation. </w:t>
      </w:r>
      <w:r w:rsidRPr="003A0F54">
        <w:rPr>
          <w:rFonts w:ascii="Times New Roman" w:eastAsia="Times New Roman" w:hAnsi="Times New Roman"/>
          <w:i/>
          <w:iCs/>
          <w:sz w:val="24"/>
          <w:szCs w:val="24"/>
        </w:rPr>
        <w:t>See [U.S. Supreme Court decision in Michigan v.] Tyler,</w:t>
      </w:r>
      <w:r w:rsidRPr="003A0F54">
        <w:rPr>
          <w:rFonts w:ascii="Times New Roman" w:eastAsia="Times New Roman" w:hAnsi="Times New Roman"/>
          <w:sz w:val="24"/>
          <w:szCs w:val="24"/>
        </w:rPr>
        <w:t xml:space="preserve"> 436 U.S. at 510.” </w:t>
      </w:r>
      <w:hyperlink r:id="rId250" w:history="1">
        <w:r w:rsidRPr="00EC5853">
          <w:rPr>
            <w:rStyle w:val="Hyperlink"/>
            <w:rFonts w:ascii="Times New Roman" w:hAnsi="Times New Roman"/>
            <w:sz w:val="24"/>
            <w:szCs w:val="24"/>
          </w:rPr>
          <w:t>https://public.fastcase.com/9SKwsfNqTc6OieYDhNMyM7D5VS5NTHGa%2BVbO5LbgTVCol88giq6gEwqG77t7xxlVdoZinV7rGr3Vonxjs0f%2FBj%2FzJq07gNCdlFI%2FOtwWHGw%3D</w:t>
        </w:r>
      </w:hyperlink>
    </w:p>
    <w:p w14:paraId="4BAA07D2" w14:textId="77777777" w:rsidR="00E51408" w:rsidRPr="003A0F54" w:rsidRDefault="00E51408" w:rsidP="00E51408">
      <w:pPr>
        <w:spacing w:before="100" w:beforeAutospacing="1" w:after="100" w:afterAutospacing="1" w:line="240" w:lineRule="auto"/>
        <w:rPr>
          <w:rFonts w:ascii="Times New Roman" w:eastAsia="Times New Roman" w:hAnsi="Times New Roman"/>
          <w:b/>
          <w:bCs/>
          <w:sz w:val="24"/>
          <w:szCs w:val="24"/>
        </w:rPr>
      </w:pPr>
      <w:r w:rsidRPr="003A0F54">
        <w:rPr>
          <w:rFonts w:ascii="Times New Roman" w:eastAsia="Times New Roman" w:hAnsi="Times New Roman"/>
          <w:b/>
          <w:bCs/>
          <w:sz w:val="24"/>
          <w:szCs w:val="24"/>
        </w:rPr>
        <w:t xml:space="preserve">Legal Lesson Learned: The warrantless entry was lawful, and the Code Enforcement Officer enjoys qualified immunity.  The facts in this case are so clear, it makes you </w:t>
      </w:r>
      <w:proofErr w:type="gramStart"/>
      <w:r w:rsidRPr="003A0F54">
        <w:rPr>
          <w:rFonts w:ascii="Times New Roman" w:eastAsia="Times New Roman" w:hAnsi="Times New Roman"/>
          <w:b/>
          <w:bCs/>
          <w:sz w:val="24"/>
          <w:szCs w:val="24"/>
        </w:rPr>
        <w:t>wonderful</w:t>
      </w:r>
      <w:proofErr w:type="gramEnd"/>
      <w:r w:rsidRPr="003A0F54">
        <w:rPr>
          <w:rFonts w:ascii="Times New Roman" w:eastAsia="Times New Roman" w:hAnsi="Times New Roman"/>
          <w:b/>
          <w:bCs/>
          <w:sz w:val="24"/>
          <w:szCs w:val="24"/>
        </w:rPr>
        <w:t xml:space="preserve"> why the lawsuit was ever filed. </w:t>
      </w:r>
    </w:p>
    <w:p w14:paraId="07F51776" w14:textId="77777777" w:rsidR="00E51408" w:rsidRDefault="00E51408" w:rsidP="002B1283">
      <w:pPr>
        <w:rPr>
          <w:rFonts w:ascii="Arial Black" w:hAnsi="Arial Black"/>
          <w:b/>
          <w:sz w:val="24"/>
          <w:szCs w:val="24"/>
        </w:rPr>
      </w:pPr>
    </w:p>
    <w:p w14:paraId="353F8143" w14:textId="69233D57" w:rsidR="00365F63" w:rsidRDefault="00365F63" w:rsidP="002B1283">
      <w:pPr>
        <w:rPr>
          <w:rFonts w:ascii="Arial Black" w:hAnsi="Arial Black"/>
          <w:b/>
          <w:sz w:val="24"/>
          <w:szCs w:val="24"/>
        </w:rPr>
      </w:pPr>
      <w:r>
        <w:rPr>
          <w:rFonts w:ascii="Arial Black" w:hAnsi="Arial Black"/>
          <w:b/>
          <w:sz w:val="24"/>
          <w:szCs w:val="24"/>
        </w:rPr>
        <w:t>1-91</w:t>
      </w:r>
    </w:p>
    <w:p w14:paraId="71183945" w14:textId="77777777" w:rsidR="00365F63" w:rsidRPr="004620EA" w:rsidRDefault="00365F63" w:rsidP="00365F63">
      <w:pPr>
        <w:spacing w:before="100" w:beforeAutospacing="1" w:after="100" w:afterAutospacing="1" w:line="240" w:lineRule="auto"/>
        <w:rPr>
          <w:rFonts w:ascii="Arial Black" w:hAnsi="Arial Black"/>
          <w:sz w:val="28"/>
          <w:szCs w:val="28"/>
        </w:rPr>
      </w:pPr>
      <w:r>
        <w:rPr>
          <w:rFonts w:ascii="Arial Black" w:hAnsi="Arial Black"/>
          <w:sz w:val="28"/>
          <w:szCs w:val="28"/>
        </w:rPr>
        <w:t>ME: HOUSE UNFIT OCCUPANCY – BOILER, OIL FLOOR, BARE WIRES – NO VIOL. FED. DUE PROCESS, HAD APPEAL RIGHTS</w:t>
      </w:r>
    </w:p>
    <w:p w14:paraId="495A03F4" w14:textId="77777777" w:rsidR="00365F63" w:rsidRDefault="00365F63" w:rsidP="00365F6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18, 2021, in </w:t>
      </w:r>
      <w:r w:rsidRPr="00652AF8">
        <w:rPr>
          <w:rFonts w:ascii="Times New Roman" w:hAnsi="Times New Roman"/>
          <w:sz w:val="24"/>
          <w:szCs w:val="24"/>
          <w:u w:val="single"/>
        </w:rPr>
        <w:t>Joseph Jurkenas, et al. v. City of Brewer, et al</w:t>
      </w:r>
      <w:r>
        <w:rPr>
          <w:rFonts w:ascii="Times New Roman" w:hAnsi="Times New Roman"/>
          <w:sz w:val="24"/>
          <w:szCs w:val="24"/>
        </w:rPr>
        <w:t xml:space="preserve">., U.S. Magistrate Judge John C. Nivison, U.S. District Court, District of Maine, denied the homeowner’s motion for summary judgement, holding that their federal due process rights were not violated when there when the Fire Department ordered them out of the house because of the dangerous conditions, and the City later issued them a </w:t>
      </w:r>
      <w:r w:rsidRPr="00F22712">
        <w:rPr>
          <w:rFonts w:ascii="Times New Roman" w:hAnsi="Times New Roman"/>
          <w:sz w:val="24"/>
          <w:szCs w:val="24"/>
        </w:rPr>
        <w:t>Notice of Violation and Order of Corrective Action</w:t>
      </w:r>
      <w:r>
        <w:rPr>
          <w:rFonts w:ascii="Times New Roman" w:hAnsi="Times New Roman"/>
          <w:sz w:val="24"/>
          <w:szCs w:val="24"/>
        </w:rPr>
        <w:t xml:space="preserve"> on June 11, 2014. The Notice included their right to appeal to the Zoning Board of Appeals within 30 days; the City reject their late appeal (received July 22, 2014); and homeowners never challenged this in State court.  The City Council considered having building destroyed under State “dangerous building” law but tabled a hearing on Oct. 14, 2014, under their longstanding policy to use ongoing inspections to seek homeowner compliance. </w:t>
      </w:r>
    </w:p>
    <w:p w14:paraId="1D567319"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0B4DD9">
        <w:rPr>
          <w:rFonts w:ascii="Times New Roman" w:hAnsi="Times New Roman"/>
          <w:sz w:val="24"/>
          <w:szCs w:val="24"/>
        </w:rPr>
        <w:t xml:space="preserve">Even if Plaintiffs could ultimately convince a fact finder that there was no emergency that could justify the eviction, Plaintiffs have not shown there was inadequate post-deprivation process available for them to challenge the unfit for habitation determination because there was an administrative appeal and a cause of action in the state courts under Maine Rule of Civil Procedure 80B. </w:t>
      </w:r>
      <w:r>
        <w:rPr>
          <w:rFonts w:ascii="Times New Roman" w:hAnsi="Times New Roman"/>
          <w:sz w:val="24"/>
          <w:szCs w:val="24"/>
        </w:rPr>
        <w:t xml:space="preserve"> </w:t>
      </w:r>
    </w:p>
    <w:p w14:paraId="188A3630"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94D9A72" w14:textId="77777777" w:rsidR="00365F63" w:rsidRDefault="00365F63" w:rsidP="00365F63">
      <w:pPr>
        <w:spacing w:before="100" w:beforeAutospacing="1" w:after="100" w:afterAutospacing="1" w:line="240" w:lineRule="auto"/>
        <w:ind w:left="720"/>
      </w:pPr>
      <w:r w:rsidRPr="004620EA">
        <w:rPr>
          <w:rFonts w:ascii="Times New Roman" w:eastAsia="Times New Roman" w:hAnsi="Times New Roman"/>
          <w:sz w:val="24"/>
          <w:szCs w:val="24"/>
        </w:rPr>
        <w:t xml:space="preserve">Although Plaintiffs argue that they were not told of their right to appeal from the original unfit for habitation decision and dispute the grounds upon which the City denied their appeal, the failure to provide notice of the right to appeal </w:t>
      </w:r>
      <w:r>
        <w:rPr>
          <w:rFonts w:ascii="Times New Roman" w:eastAsia="Times New Roman" w:hAnsi="Times New Roman"/>
          <w:sz w:val="24"/>
          <w:szCs w:val="24"/>
        </w:rPr>
        <w:t>‘</w:t>
      </w:r>
      <w:r w:rsidRPr="004620EA">
        <w:rPr>
          <w:rFonts w:ascii="Times New Roman" w:eastAsia="Times New Roman" w:hAnsi="Times New Roman"/>
          <w:sz w:val="24"/>
          <w:szCs w:val="24"/>
        </w:rPr>
        <w:t>does not render the review remedy constitutionally inadequate</w:t>
      </w:r>
      <w:r>
        <w:rPr>
          <w:rFonts w:ascii="Times New Roman" w:eastAsia="Times New Roman" w:hAnsi="Times New Roman"/>
          <w:sz w:val="24"/>
          <w:szCs w:val="24"/>
        </w:rPr>
        <w:t>’</w:t>
      </w:r>
      <w:r w:rsidRPr="004620EA">
        <w:rPr>
          <w:rFonts w:ascii="Times New Roman" w:eastAsia="Times New Roman" w:hAnsi="Times New Roman"/>
          <w:sz w:val="24"/>
          <w:szCs w:val="24"/>
        </w:rPr>
        <w:t xml:space="preserve"> because </w:t>
      </w:r>
      <w:r>
        <w:rPr>
          <w:rFonts w:ascii="Times New Roman" w:eastAsia="Times New Roman" w:hAnsi="Times New Roman"/>
          <w:sz w:val="24"/>
          <w:szCs w:val="24"/>
        </w:rPr>
        <w:t>‘</w:t>
      </w:r>
      <w:r w:rsidRPr="004620EA">
        <w:rPr>
          <w:rFonts w:ascii="Times New Roman" w:eastAsia="Times New Roman" w:hAnsi="Times New Roman"/>
          <w:sz w:val="24"/>
          <w:szCs w:val="24"/>
        </w:rPr>
        <w:t>in most civil matters, citizens are expected to ask about the method to protest or appeal an initial administrative action (or to hire a lawyer)</w:t>
      </w:r>
      <w:r>
        <w:rPr>
          <w:rFonts w:ascii="Times New Roman" w:eastAsia="Times New Roman" w:hAnsi="Times New Roman"/>
          <w:sz w:val="24"/>
          <w:szCs w:val="24"/>
        </w:rPr>
        <w:t xml:space="preserve">’ </w:t>
      </w:r>
      <w:r w:rsidRPr="004620EA">
        <w:rPr>
          <w:rFonts w:ascii="Times New Roman" w:eastAsia="Times New Roman" w:hAnsi="Times New Roman"/>
          <w:sz w:val="24"/>
          <w:szCs w:val="24"/>
        </w:rPr>
        <w:t>and because Plaintiffs could have challenged the local decision on those grounds in state court</w:t>
      </w:r>
      <w:r>
        <w:rPr>
          <w:rFonts w:ascii="Times New Roman" w:eastAsia="Times New Roman" w:hAnsi="Times New Roman"/>
          <w:sz w:val="24"/>
          <w:szCs w:val="24"/>
        </w:rPr>
        <w:t>…</w:t>
      </w:r>
      <w:r w:rsidRPr="004620EA">
        <w:rPr>
          <w:rFonts w:ascii="Times New Roman" w:eastAsia="Times New Roman" w:hAnsi="Times New Roman"/>
          <w:sz w:val="24"/>
          <w:szCs w:val="24"/>
        </w:rPr>
        <w:t>. Plaintiffs have simply not demonstrated that as a matter of law there was no actual emergency nor have Plaintiffs demonstrated as a matter of law that they were due more process under the applicable legal authority.</w:t>
      </w:r>
    </w:p>
    <w:p w14:paraId="012AB413" w14:textId="77777777" w:rsidR="00365F63" w:rsidRDefault="00365F63" w:rsidP="00365F63">
      <w:pPr>
        <w:spacing w:before="100" w:beforeAutospacing="1" w:after="100" w:afterAutospacing="1" w:line="240" w:lineRule="auto"/>
        <w:ind w:left="720"/>
      </w:pPr>
      <w:r>
        <w:t>***</w:t>
      </w:r>
    </w:p>
    <w:p w14:paraId="4180465D" w14:textId="7638A9A2" w:rsidR="00365F63" w:rsidRDefault="00365F63" w:rsidP="00365F63">
      <w:pPr>
        <w:rPr>
          <w:rStyle w:val="Hyperlink"/>
          <w:rFonts w:ascii="Times New Roman" w:eastAsia="Times New Roman" w:hAnsi="Times New Roman"/>
          <w:sz w:val="24"/>
          <w:szCs w:val="24"/>
        </w:rPr>
      </w:pPr>
      <w:r w:rsidRPr="004620EA">
        <w:rPr>
          <w:rFonts w:ascii="Times New Roman" w:hAnsi="Times New Roman"/>
          <w:sz w:val="24"/>
          <w:szCs w:val="24"/>
        </w:rPr>
        <w:t>Accordingly, the Court informs Plaintiff that it will consider Defendants' request for summary judgment and that if Plaintiffs wish to respond to Defendants' request, Plaintiffs shall file their response on or before December 9, 2021.</w:t>
      </w:r>
      <w:r>
        <w:rPr>
          <w:rFonts w:ascii="Times New Roman" w:hAnsi="Times New Roman"/>
          <w:sz w:val="24"/>
          <w:szCs w:val="24"/>
        </w:rPr>
        <w:t xml:space="preserve">” </w:t>
      </w:r>
      <w:hyperlink r:id="rId251" w:history="1">
        <w:r w:rsidRPr="00A37CB0">
          <w:rPr>
            <w:rStyle w:val="Hyperlink"/>
            <w:rFonts w:ascii="Times New Roman" w:eastAsia="Times New Roman" w:hAnsi="Times New Roman"/>
            <w:sz w:val="24"/>
            <w:szCs w:val="24"/>
          </w:rPr>
          <w:t>https://public.fastcase.com/9SKwsfNqTc6OieYDhNMyM84JhiUntSQtUCBlgd6lzoL5y1g0gwdSndjfCHFHqJkk4vcRDuTZ3RRxLgM1%2Fyx%2BQdiK9wqe8J4wfwe4xg454y8%3D</w:t>
        </w:r>
      </w:hyperlink>
    </w:p>
    <w:p w14:paraId="3D37947D" w14:textId="77777777" w:rsidR="00365F63" w:rsidRPr="00917D62" w:rsidRDefault="00365F63" w:rsidP="00365F63">
      <w:pPr>
        <w:pStyle w:val="NormalWeb"/>
        <w:rPr>
          <w:b/>
          <w:bCs/>
        </w:rPr>
      </w:pPr>
      <w:r w:rsidRPr="00917D62">
        <w:rPr>
          <w:b/>
          <w:bCs/>
        </w:rPr>
        <w:t xml:space="preserve">Legal Lesson Learned: </w:t>
      </w:r>
      <w:r>
        <w:rPr>
          <w:b/>
          <w:bCs/>
        </w:rPr>
        <w:t xml:space="preserve"> The City properly gave homeowner opportunity to appeal to the Zoning Board of Appeals; there was no requirement that City hold a hearing since they decided not to destroy the home under State “dangerous buildings” statute. </w:t>
      </w:r>
    </w:p>
    <w:p w14:paraId="18484B2A" w14:textId="77777777" w:rsidR="00365F63" w:rsidRPr="00567B6A" w:rsidRDefault="00365F63" w:rsidP="00365F63">
      <w:pPr>
        <w:spacing w:before="100" w:beforeAutospacing="1" w:after="100" w:afterAutospacing="1" w:line="240" w:lineRule="auto"/>
        <w:ind w:left="720"/>
        <w:rPr>
          <w:rFonts w:ascii="Times New Roman" w:eastAsia="Times New Roman" w:hAnsi="Times New Roman"/>
          <w:sz w:val="24"/>
          <w:szCs w:val="24"/>
        </w:rPr>
      </w:pPr>
      <w:r w:rsidRPr="00567B6A">
        <w:rPr>
          <w:rFonts w:ascii="Times New Roman" w:eastAsia="Times New Roman" w:hAnsi="Times New Roman"/>
          <w:sz w:val="24"/>
          <w:szCs w:val="24"/>
        </w:rPr>
        <w:t>Note: See Maine “</w:t>
      </w:r>
      <w:r>
        <w:rPr>
          <w:rFonts w:ascii="Times New Roman" w:eastAsia="Times New Roman" w:hAnsi="Times New Roman"/>
          <w:sz w:val="24"/>
          <w:szCs w:val="24"/>
        </w:rPr>
        <w:t>d</w:t>
      </w:r>
      <w:r w:rsidRPr="00567B6A">
        <w:rPr>
          <w:rFonts w:ascii="Times New Roman" w:eastAsia="Times New Roman" w:hAnsi="Times New Roman"/>
          <w:sz w:val="24"/>
          <w:szCs w:val="24"/>
        </w:rPr>
        <w:t xml:space="preserve">angerous </w:t>
      </w:r>
      <w:r>
        <w:rPr>
          <w:rFonts w:ascii="Times New Roman" w:eastAsia="Times New Roman" w:hAnsi="Times New Roman"/>
          <w:sz w:val="24"/>
          <w:szCs w:val="24"/>
        </w:rPr>
        <w:t>b</w:t>
      </w:r>
      <w:r w:rsidRPr="00567B6A">
        <w:rPr>
          <w:rFonts w:ascii="Times New Roman" w:eastAsia="Times New Roman" w:hAnsi="Times New Roman"/>
          <w:sz w:val="24"/>
          <w:szCs w:val="24"/>
        </w:rPr>
        <w:t>uilding</w:t>
      </w:r>
      <w:r>
        <w:rPr>
          <w:rFonts w:ascii="Times New Roman" w:eastAsia="Times New Roman" w:hAnsi="Times New Roman"/>
          <w:sz w:val="24"/>
          <w:szCs w:val="24"/>
        </w:rPr>
        <w:t>s</w:t>
      </w:r>
      <w:r w:rsidRPr="00567B6A">
        <w:rPr>
          <w:rFonts w:ascii="Times New Roman" w:eastAsia="Times New Roman" w:hAnsi="Times New Roman"/>
          <w:sz w:val="24"/>
          <w:szCs w:val="24"/>
        </w:rPr>
        <w:t xml:space="preserve">” statute: </w:t>
      </w:r>
      <w:hyperlink r:id="rId252" w:history="1">
        <w:r w:rsidRPr="00567B6A">
          <w:rPr>
            <w:rStyle w:val="Hyperlink"/>
            <w:rFonts w:ascii="Times New Roman" w:eastAsia="Times New Roman" w:hAnsi="Times New Roman"/>
            <w:sz w:val="24"/>
            <w:szCs w:val="24"/>
          </w:rPr>
          <w:t>https://www.mainelegislature.org/legis/statutes/17/title17sec2851.html</w:t>
        </w:r>
      </w:hyperlink>
      <w:r w:rsidRPr="00567B6A">
        <w:rPr>
          <w:rFonts w:ascii="Times New Roman" w:eastAsia="Times New Roman" w:hAnsi="Times New Roman"/>
          <w:sz w:val="24"/>
          <w:szCs w:val="24"/>
        </w:rPr>
        <w:t xml:space="preserve"> </w:t>
      </w:r>
    </w:p>
    <w:p w14:paraId="2878563D" w14:textId="77777777" w:rsidR="00365F63" w:rsidRPr="00567B6A" w:rsidRDefault="00365F63" w:rsidP="00365F63">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567B6A">
        <w:rPr>
          <w:rFonts w:ascii="Times New Roman" w:hAnsi="Times New Roman"/>
          <w:sz w:val="24"/>
          <w:szCs w:val="24"/>
        </w:rPr>
        <w:t xml:space="preserve">The municipal officers in the case of a municipality or the county commissioners in the case of the unorganized or </w:t>
      </w:r>
      <w:proofErr w:type="spellStart"/>
      <w:r w:rsidRPr="00567B6A">
        <w:rPr>
          <w:rFonts w:ascii="Times New Roman" w:hAnsi="Times New Roman"/>
          <w:sz w:val="24"/>
          <w:szCs w:val="24"/>
        </w:rPr>
        <w:t>deorganized</w:t>
      </w:r>
      <w:proofErr w:type="spellEnd"/>
      <w:r w:rsidRPr="00567B6A">
        <w:rPr>
          <w:rFonts w:ascii="Times New Roman" w:hAnsi="Times New Roman"/>
          <w:sz w:val="24"/>
          <w:szCs w:val="24"/>
        </w:rPr>
        <w:t xml:space="preserve"> areas in their county may after notice pursuant to </w:t>
      </w:r>
      <w:hyperlink r:id="rId253" w:history="1">
        <w:r w:rsidRPr="00567B6A">
          <w:rPr>
            <w:rStyle w:val="Hyperlink"/>
            <w:rFonts w:ascii="Times New Roman" w:hAnsi="Times New Roman"/>
            <w:sz w:val="24"/>
            <w:szCs w:val="24"/>
          </w:rPr>
          <w:t>section 2857</w:t>
        </w:r>
      </w:hyperlink>
      <w:r w:rsidRPr="00567B6A">
        <w:rPr>
          <w:rFonts w:ascii="Times New Roman" w:hAnsi="Times New Roman"/>
          <w:sz w:val="24"/>
          <w:szCs w:val="24"/>
        </w:rPr>
        <w:t xml:space="preserve"> and hearing adjudge a building to be a nuisance or dangerous, in accordance with </w:t>
      </w:r>
      <w:hyperlink r:id="rId254" w:history="1">
        <w:r w:rsidRPr="00567B6A">
          <w:rPr>
            <w:rStyle w:val="Hyperlink"/>
            <w:rFonts w:ascii="Times New Roman" w:hAnsi="Times New Roman"/>
            <w:sz w:val="24"/>
            <w:szCs w:val="24"/>
          </w:rPr>
          <w:t>subsection 2-A</w:t>
        </w:r>
      </w:hyperlink>
      <w:r w:rsidRPr="00567B6A">
        <w:rPr>
          <w:rFonts w:ascii="Times New Roman" w:hAnsi="Times New Roman"/>
          <w:sz w:val="24"/>
          <w:szCs w:val="24"/>
        </w:rPr>
        <w:t xml:space="preserve">, and may make and record an order, in accordance with </w:t>
      </w:r>
      <w:hyperlink r:id="rId255" w:history="1">
        <w:r w:rsidRPr="00567B6A">
          <w:rPr>
            <w:rStyle w:val="Hyperlink"/>
            <w:rFonts w:ascii="Times New Roman" w:hAnsi="Times New Roman"/>
            <w:sz w:val="24"/>
            <w:szCs w:val="24"/>
          </w:rPr>
          <w:t>subsection 3</w:t>
        </w:r>
      </w:hyperlink>
      <w:r w:rsidRPr="00567B6A">
        <w:rPr>
          <w:rFonts w:ascii="Times New Roman" w:hAnsi="Times New Roman"/>
          <w:sz w:val="24"/>
          <w:szCs w:val="24"/>
        </w:rPr>
        <w:t>, prescribing what disposal must be made of that building. The order may allow for delay of disposal if the owner or party in interest has demonstrated the ability and willingness to satisfactorily rehabilitate the building</w:t>
      </w:r>
      <w:r>
        <w:rPr>
          <w:rFonts w:ascii="Times New Roman" w:hAnsi="Times New Roman"/>
          <w:sz w:val="24"/>
          <w:szCs w:val="24"/>
        </w:rPr>
        <w:t>.”</w:t>
      </w:r>
    </w:p>
    <w:p w14:paraId="76D0A42F" w14:textId="77777777" w:rsidR="00365F63" w:rsidRDefault="00365F63" w:rsidP="00365F63">
      <w:pPr>
        <w:rPr>
          <w:rFonts w:ascii="Arial Black" w:hAnsi="Arial Black"/>
          <w:b/>
          <w:sz w:val="24"/>
          <w:szCs w:val="24"/>
        </w:rPr>
      </w:pPr>
    </w:p>
    <w:p w14:paraId="4453A18D" w14:textId="77777777" w:rsidR="00365F63" w:rsidRDefault="00365F63" w:rsidP="002B1283">
      <w:pPr>
        <w:rPr>
          <w:rFonts w:ascii="Arial Black" w:hAnsi="Arial Black"/>
          <w:b/>
          <w:sz w:val="24"/>
          <w:szCs w:val="24"/>
        </w:rPr>
      </w:pPr>
    </w:p>
    <w:p w14:paraId="7BDE9A22" w14:textId="604EA66E" w:rsidR="00D84F3A" w:rsidRDefault="00D84F3A" w:rsidP="002B1283">
      <w:pPr>
        <w:rPr>
          <w:rFonts w:ascii="Arial Black" w:hAnsi="Arial Black"/>
          <w:b/>
          <w:sz w:val="24"/>
          <w:szCs w:val="24"/>
        </w:rPr>
      </w:pPr>
      <w:r>
        <w:rPr>
          <w:rFonts w:ascii="Arial Black" w:hAnsi="Arial Black"/>
          <w:b/>
          <w:sz w:val="24"/>
          <w:szCs w:val="24"/>
        </w:rPr>
        <w:t>1-90</w:t>
      </w:r>
    </w:p>
    <w:p w14:paraId="16E692C6" w14:textId="6503E5BB" w:rsidR="00D84F3A" w:rsidRPr="00AA3338" w:rsidRDefault="00D84F3A" w:rsidP="00D84F3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 FALSE ALARM ORDINANCE – ILLEGAL “DOUBLE TAX” -</w:t>
      </w:r>
      <w:r w:rsidR="00E869E6">
        <w:rPr>
          <w:rFonts w:ascii="Arial Black" w:eastAsia="Times New Roman" w:hAnsi="Arial Black"/>
          <w:b/>
          <w:bCs/>
          <w:sz w:val="28"/>
          <w:szCs w:val="28"/>
        </w:rPr>
        <w:t xml:space="preserve"> </w:t>
      </w:r>
      <w:r>
        <w:rPr>
          <w:rFonts w:ascii="Arial Black" w:eastAsia="Times New Roman" w:hAnsi="Arial Black"/>
          <w:b/>
          <w:bCs/>
          <w:sz w:val="28"/>
          <w:szCs w:val="28"/>
        </w:rPr>
        <w:t xml:space="preserve">ALARM CO. $250 / YR – RESID. $50, BUS. $100 TWO YRS.  </w:t>
      </w:r>
    </w:p>
    <w:p w14:paraId="269980DC" w14:textId="77777777" w:rsidR="00D84F3A" w:rsidRDefault="00D84F3A" w:rsidP="00D84F3A">
      <w:pPr>
        <w:rPr>
          <w:rFonts w:ascii="Times New Roman" w:hAnsi="Times New Roman"/>
          <w:sz w:val="24"/>
          <w:szCs w:val="24"/>
        </w:rPr>
      </w:pPr>
      <w:r>
        <w:rPr>
          <w:rFonts w:ascii="Times New Roman" w:hAnsi="Times New Roman"/>
          <w:sz w:val="24"/>
          <w:szCs w:val="24"/>
        </w:rPr>
        <w:t xml:space="preserve">On Nov. 10, 2021, in </w:t>
      </w:r>
      <w:r w:rsidRPr="006F3656">
        <w:rPr>
          <w:rFonts w:ascii="Times New Roman" w:hAnsi="Times New Roman"/>
          <w:sz w:val="24"/>
          <w:szCs w:val="24"/>
          <w:u w:val="single"/>
        </w:rPr>
        <w:t>Andrew White, et al. v. City of Cincinnati</w:t>
      </w:r>
      <w:r>
        <w:rPr>
          <w:rFonts w:ascii="Times New Roman" w:hAnsi="Times New Roman"/>
          <w:sz w:val="24"/>
          <w:szCs w:val="24"/>
        </w:rPr>
        <w:t xml:space="preserve">, the Ohio Court of Appeals, First Appellate District (Hamilton County), held (3 to 0) in lawsuit brought by companies that install and maintain alarm systems, and users of alarm systems, that the current city ordinance is unconstitutional.  </w:t>
      </w:r>
      <w:r w:rsidRPr="005555E8">
        <w:rPr>
          <w:rFonts w:ascii="Times New Roman" w:hAnsi="Times New Roman"/>
          <w:sz w:val="24"/>
          <w:szCs w:val="24"/>
        </w:rPr>
        <w:t>Alarm businesses must pay a registration fee of $250 annually. If an alarm business fails to register, the city imposes a $1000 civil penalty for each request for a police response related to an alarm system by an unregistered alarm business or for each request by an alarm user for registration of an alarm system installed by an unregistered alarm business.</w:t>
      </w:r>
      <w:r>
        <w:rPr>
          <w:rFonts w:ascii="Times New Roman" w:hAnsi="Times New Roman"/>
          <w:sz w:val="24"/>
          <w:szCs w:val="24"/>
        </w:rPr>
        <w:t xml:space="preserve"> </w:t>
      </w:r>
      <w:r w:rsidRPr="005555E8">
        <w:rPr>
          <w:rFonts w:ascii="Times New Roman" w:hAnsi="Times New Roman"/>
          <w:sz w:val="24"/>
          <w:szCs w:val="24"/>
        </w:rPr>
        <w:t xml:space="preserve">Alarm users must also register with </w:t>
      </w:r>
      <w:r>
        <w:rPr>
          <w:rFonts w:ascii="Times New Roman" w:hAnsi="Times New Roman"/>
          <w:sz w:val="24"/>
          <w:szCs w:val="24"/>
        </w:rPr>
        <w:t xml:space="preserve">Police Department </w:t>
      </w:r>
      <w:r w:rsidRPr="005555E8">
        <w:rPr>
          <w:rFonts w:ascii="Times New Roman" w:hAnsi="Times New Roman"/>
          <w:sz w:val="24"/>
          <w:szCs w:val="24"/>
        </w:rPr>
        <w:t xml:space="preserve">before an alarm system is activated. Residential alarm users must pay $50 every two </w:t>
      </w:r>
      <w:proofErr w:type="gramStart"/>
      <w:r w:rsidRPr="005555E8">
        <w:rPr>
          <w:rFonts w:ascii="Times New Roman" w:hAnsi="Times New Roman"/>
          <w:sz w:val="24"/>
          <w:szCs w:val="24"/>
        </w:rPr>
        <w:t>years</w:t>
      </w:r>
      <w:proofErr w:type="gramEnd"/>
      <w:r w:rsidRPr="005555E8">
        <w:rPr>
          <w:rFonts w:ascii="Times New Roman" w:hAnsi="Times New Roman"/>
          <w:sz w:val="24"/>
          <w:szCs w:val="24"/>
        </w:rPr>
        <w:t xml:space="preserve"> and nonresidential alarm users must pay $100 every two years. The city imposes a $100 civil penalty on an alarm user for using an unregistered alarm system, but the penalties may be waived if the alarm user completes registration within 21 days of the first notice of a violation. All fees imposed on both alarm businesses and alarm users are non-refundable, nontransferable, and </w:t>
      </w:r>
      <w:proofErr w:type="gramStart"/>
      <w:r w:rsidRPr="005555E8">
        <w:rPr>
          <w:rFonts w:ascii="Times New Roman" w:hAnsi="Times New Roman"/>
          <w:sz w:val="24"/>
          <w:szCs w:val="24"/>
        </w:rPr>
        <w:t>location-specific</w:t>
      </w:r>
      <w:proofErr w:type="gramEnd"/>
      <w:r w:rsidRPr="005555E8">
        <w:rPr>
          <w:rFonts w:ascii="Times New Roman" w:hAnsi="Times New Roman"/>
          <w:sz w:val="24"/>
          <w:szCs w:val="24"/>
        </w:rPr>
        <w:t>.</w:t>
      </w:r>
    </w:p>
    <w:p w14:paraId="69F143F9" w14:textId="77777777" w:rsidR="00D84F3A" w:rsidRDefault="00D84F3A" w:rsidP="00D84F3A">
      <w:pPr>
        <w:pStyle w:val="NormalWeb"/>
        <w:ind w:left="720"/>
      </w:pPr>
      <w:r>
        <w:t>“[T]</w:t>
      </w:r>
      <w:r w:rsidRPr="00AA3338">
        <w:t xml:space="preserve">he city does not provide the alarm businesses or the alarm users with any services over and above what it already provides for taxpayers in general. Chapter 807 does not entitle alarm business and alarm users to any particular response from the city or give them the right to any particular response. The city has not given anything to them for which it can ask for the assessments in return. The assessments, particularly the registration fees, do not bear a reasonable relationship </w:t>
      </w:r>
      <w:proofErr w:type="gramStart"/>
      <w:r w:rsidRPr="00AA3338">
        <w:t>to</w:t>
      </w:r>
      <w:proofErr w:type="gramEnd"/>
      <w:r w:rsidRPr="00AA3338">
        <w:t xml:space="preserve"> protections, benefits or opportunities provided by the city to those paying the assessments.</w:t>
      </w:r>
    </w:p>
    <w:p w14:paraId="67C98F4E" w14:textId="77777777" w:rsidR="00D84F3A" w:rsidRPr="00AA3338" w:rsidRDefault="00D84F3A" w:rsidP="00D84F3A">
      <w:pPr>
        <w:pStyle w:val="NormalWeb"/>
        <w:ind w:left="720"/>
      </w:pPr>
      <w:r w:rsidRPr="00AA3338">
        <w:t>Based on this analysis, we hold that the assessments imposed by Cincinnati Municipal Code 807-1-A4 violate the Due Process Clauses of the Ohio and United States Constitutions. We do not hold that the city is prohibited from amending the current ordinance or passing another ordinance regulating alarm systems and false alarms. If it is so inclined, the city must do so in a manner that assures that the assessments constitute a fee rather than a tax.</w:t>
      </w:r>
      <w:r>
        <w:t xml:space="preserve">” </w:t>
      </w:r>
      <w:hyperlink r:id="rId256" w:history="1">
        <w:r w:rsidRPr="0064789D">
          <w:rPr>
            <w:rStyle w:val="Hyperlink"/>
          </w:rPr>
          <w:t>https://www.supremecourt.ohio.gov/rod/docs/pdf/1/2021/2021-Ohio-4003.pdf</w:t>
        </w:r>
      </w:hyperlink>
      <w:r>
        <w:t xml:space="preserve"> </w:t>
      </w:r>
    </w:p>
    <w:p w14:paraId="37E55BF3" w14:textId="77777777" w:rsidR="00365F63" w:rsidRPr="00A77CD4" w:rsidRDefault="00365F63" w:rsidP="00365F63">
      <w:pPr>
        <w:pStyle w:val="NormalWeb"/>
        <w:rPr>
          <w:b/>
          <w:bCs/>
        </w:rPr>
      </w:pPr>
      <w:r w:rsidRPr="00A77CD4">
        <w:rPr>
          <w:b/>
          <w:bCs/>
        </w:rPr>
        <w:t>Legal Lesson Learned:</w:t>
      </w:r>
      <w:r>
        <w:rPr>
          <w:b/>
          <w:bCs/>
        </w:rPr>
        <w:t xml:space="preserve">  The City may now adopt a new ordinance only setting fines for false alarms. </w:t>
      </w:r>
    </w:p>
    <w:p w14:paraId="750545A0" w14:textId="77777777" w:rsidR="00365F63" w:rsidRDefault="00365F63" w:rsidP="00365F63">
      <w:pPr>
        <w:pStyle w:val="NormalWeb"/>
        <w:ind w:left="720"/>
        <w:rPr>
          <w:rStyle w:val="post-title"/>
          <w:rFonts w:eastAsiaTheme="majorEastAsia"/>
        </w:rPr>
      </w:pPr>
      <w:r>
        <w:t>Note: See article on this case; Nov. 15, 2021: “</w:t>
      </w:r>
      <w:r>
        <w:rPr>
          <w:rStyle w:val="post-title"/>
          <w:rFonts w:eastAsiaTheme="majorEastAsia"/>
        </w:rPr>
        <w:t xml:space="preserve">Cincinnati burglar arm fee struck down. ‘A giant scam’ says lawyer.” </w:t>
      </w:r>
      <w:hyperlink r:id="rId257" w:history="1">
        <w:r w:rsidRPr="00AA5D51">
          <w:rPr>
            <w:rStyle w:val="Hyperlink"/>
            <w:rFonts w:eastAsiaTheme="majorEastAsia"/>
          </w:rPr>
          <w:t>https://ohiotimes.news/cincinnati-burglar-arm-fee-struck-down-a-giant-scam-says-lawyer/?doing_wp_cron=1637522583.8115420341491699218750</w:t>
        </w:r>
      </w:hyperlink>
      <w:r>
        <w:rPr>
          <w:rStyle w:val="post-title"/>
          <w:rFonts w:eastAsiaTheme="majorEastAsia"/>
        </w:rPr>
        <w:t xml:space="preserve"> </w:t>
      </w:r>
    </w:p>
    <w:p w14:paraId="26549BB7" w14:textId="77777777" w:rsidR="00D84F3A" w:rsidRDefault="00D84F3A" w:rsidP="002B1283">
      <w:pPr>
        <w:rPr>
          <w:rFonts w:ascii="Arial Black" w:hAnsi="Arial Black"/>
          <w:b/>
          <w:sz w:val="24"/>
          <w:szCs w:val="24"/>
        </w:rPr>
      </w:pPr>
    </w:p>
    <w:p w14:paraId="1D8774E3" w14:textId="77777777" w:rsidR="00D84F3A" w:rsidRDefault="00D84F3A" w:rsidP="002B1283">
      <w:pPr>
        <w:rPr>
          <w:rFonts w:ascii="Arial Black" w:hAnsi="Arial Black"/>
          <w:b/>
          <w:sz w:val="24"/>
          <w:szCs w:val="24"/>
        </w:rPr>
      </w:pPr>
    </w:p>
    <w:p w14:paraId="36815AAF" w14:textId="25CBFBCC" w:rsidR="00D84F3A" w:rsidRDefault="00D84F3A" w:rsidP="002B1283">
      <w:pPr>
        <w:rPr>
          <w:rFonts w:ascii="Arial Black" w:hAnsi="Arial Black"/>
          <w:b/>
          <w:sz w:val="24"/>
          <w:szCs w:val="24"/>
        </w:rPr>
      </w:pPr>
      <w:r>
        <w:rPr>
          <w:rFonts w:ascii="Arial Black" w:hAnsi="Arial Black"/>
          <w:b/>
          <w:sz w:val="24"/>
          <w:szCs w:val="24"/>
        </w:rPr>
        <w:t>1-89</w:t>
      </w:r>
    </w:p>
    <w:p w14:paraId="54AFBDC8" w14:textId="77777777" w:rsidR="00D84F3A" w:rsidRPr="00E22703" w:rsidRDefault="00D84F3A" w:rsidP="00D84F3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KY: EVIDENCE SUPPRESSED - WELLNESS CHECK - VOL. FF HEADFIRST INTO CAR - NOT “COMMUNITY CARETAKING”</w:t>
      </w:r>
    </w:p>
    <w:p w14:paraId="751089A7" w14:textId="77777777" w:rsidR="00D84F3A" w:rsidRPr="00B20BEC" w:rsidRDefault="00D84F3A" w:rsidP="00D84F3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 2021, in </w:t>
      </w:r>
      <w:r w:rsidRPr="00B20BEC">
        <w:rPr>
          <w:rFonts w:ascii="Times New Roman" w:hAnsi="Times New Roman"/>
          <w:sz w:val="24"/>
          <w:szCs w:val="24"/>
          <w:u w:val="single"/>
        </w:rPr>
        <w:t xml:space="preserve">United States of America v. Michael M. Fairrow, </w:t>
      </w:r>
      <w:proofErr w:type="gramStart"/>
      <w:r w:rsidRPr="00B20BEC">
        <w:rPr>
          <w:rFonts w:ascii="Times New Roman" w:hAnsi="Times New Roman"/>
          <w:sz w:val="24"/>
          <w:szCs w:val="24"/>
          <w:u w:val="single"/>
        </w:rPr>
        <w:t>Jr</w:t>
      </w:r>
      <w:r>
        <w:rPr>
          <w:rFonts w:ascii="Times New Roman" w:hAnsi="Times New Roman"/>
          <w:sz w:val="24"/>
          <w:szCs w:val="24"/>
        </w:rPr>
        <w:t>,,</w:t>
      </w:r>
      <w:proofErr w:type="gramEnd"/>
      <w:r>
        <w:rPr>
          <w:rFonts w:ascii="Times New Roman" w:hAnsi="Times New Roman"/>
          <w:sz w:val="24"/>
          <w:szCs w:val="24"/>
        </w:rPr>
        <w:t xml:space="preserve"> U.S. District Court Senior Judge Joseph R. McKinley Jr., U.S. District Court for Western District of Kentucky (Owensboro Division) upheld defendant’s motion to suppress evidence seized in his car: </w:t>
      </w:r>
      <w:r w:rsidRPr="00B20BEC">
        <w:rPr>
          <w:rFonts w:ascii="Times New Roman" w:hAnsi="Times New Roman"/>
          <w:sz w:val="24"/>
          <w:szCs w:val="24"/>
        </w:rPr>
        <w:t xml:space="preserve">five bags of methamphetamine and a loaded nine-millimeter handgun in a backpack in the back seat. </w:t>
      </w:r>
      <w:r>
        <w:rPr>
          <w:rFonts w:ascii="Times New Roman" w:hAnsi="Times New Roman"/>
          <w:sz w:val="24"/>
          <w:szCs w:val="24"/>
        </w:rPr>
        <w:t xml:space="preserve">The Court rejected the government’s argument that volunteer firefighter Michael Wahl was lawfully trying to stop the car from leaving under the “Community Caretaking Doctrine.” </w:t>
      </w:r>
    </w:p>
    <w:p w14:paraId="167DD05E" w14:textId="77777777" w:rsidR="00D84F3A" w:rsidRDefault="00D84F3A" w:rsidP="00D84F3A">
      <w:pPr>
        <w:spacing w:before="100" w:beforeAutospacing="1" w:after="100" w:afterAutospacing="1" w:line="240" w:lineRule="auto"/>
        <w:ind w:left="720"/>
        <w:rPr>
          <w:rStyle w:val="Emphasis"/>
          <w:rFonts w:ascii="Times New Roman" w:hAnsi="Times New Roman"/>
          <w:sz w:val="24"/>
          <w:szCs w:val="24"/>
        </w:rPr>
      </w:pPr>
      <w:r>
        <w:rPr>
          <w:rFonts w:ascii="Times New Roman" w:hAnsi="Times New Roman"/>
          <w:sz w:val="24"/>
          <w:szCs w:val="24"/>
        </w:rPr>
        <w:t>“</w:t>
      </w:r>
      <w:r w:rsidRPr="005F7F88">
        <w:rPr>
          <w:rFonts w:ascii="Times New Roman" w:hAnsi="Times New Roman"/>
          <w:sz w:val="24"/>
          <w:szCs w:val="24"/>
        </w:rPr>
        <w:t>Basically, Wahl lacked facts about Fairrow's medical condition. He jumped through the window so he could figure out more. The Fourth Amendment flatly proscribes this shoot-</w:t>
      </w:r>
      <w:proofErr w:type="gramStart"/>
      <w:r w:rsidRPr="005F7F88">
        <w:rPr>
          <w:rFonts w:ascii="Times New Roman" w:hAnsi="Times New Roman"/>
          <w:sz w:val="24"/>
          <w:szCs w:val="24"/>
        </w:rPr>
        <w:t>first-ask</w:t>
      </w:r>
      <w:proofErr w:type="gramEnd"/>
      <w:r w:rsidRPr="005F7F88">
        <w:rPr>
          <w:rFonts w:ascii="Times New Roman" w:hAnsi="Times New Roman"/>
          <w:sz w:val="24"/>
          <w:szCs w:val="24"/>
        </w:rPr>
        <w:t xml:space="preserve">-questions-later approach. </w:t>
      </w:r>
    </w:p>
    <w:p w14:paraId="73AF73FF" w14:textId="77777777" w:rsidR="00D84F3A" w:rsidRPr="00BA25D8" w:rsidRDefault="00D84F3A" w:rsidP="00D84F3A">
      <w:pPr>
        <w:spacing w:before="100" w:beforeAutospacing="1" w:after="100" w:afterAutospacing="1" w:line="240" w:lineRule="auto"/>
        <w:ind w:left="720"/>
        <w:rPr>
          <w:rFonts w:ascii="Times New Roman" w:hAnsi="Times New Roman"/>
          <w:sz w:val="24"/>
          <w:szCs w:val="24"/>
        </w:rPr>
      </w:pPr>
      <w:r>
        <w:rPr>
          <w:rStyle w:val="Emphasis"/>
          <w:rFonts w:ascii="Times New Roman" w:hAnsi="Times New Roman"/>
          <w:sz w:val="24"/>
          <w:szCs w:val="24"/>
        </w:rPr>
        <w:t>***</w:t>
      </w:r>
    </w:p>
    <w:p w14:paraId="2D01F347" w14:textId="77777777" w:rsidR="00D84F3A" w:rsidRPr="00D81A8F" w:rsidRDefault="00D84F3A" w:rsidP="00D84F3A">
      <w:pPr>
        <w:spacing w:before="100" w:beforeAutospacing="1" w:after="100" w:afterAutospacing="1" w:line="240" w:lineRule="auto"/>
        <w:ind w:left="720"/>
        <w:rPr>
          <w:rFonts w:ascii="Times New Roman" w:hAnsi="Times New Roman"/>
          <w:sz w:val="24"/>
          <w:szCs w:val="24"/>
        </w:rPr>
      </w:pPr>
      <w:r w:rsidRPr="00D81A8F">
        <w:rPr>
          <w:rFonts w:ascii="Times New Roman" w:hAnsi="Times New Roman"/>
          <w:sz w:val="24"/>
          <w:szCs w:val="24"/>
        </w:rPr>
        <w:t xml:space="preserve">These facts render this case a far cry from </w:t>
      </w:r>
      <w:r w:rsidRPr="00D81A8F">
        <w:rPr>
          <w:rStyle w:val="Emphasis"/>
          <w:rFonts w:ascii="Times New Roman" w:hAnsi="Times New Roman"/>
          <w:sz w:val="24"/>
          <w:szCs w:val="24"/>
        </w:rPr>
        <w:t>United States v. Overton,</w:t>
      </w:r>
      <w:r w:rsidRPr="00D81A8F">
        <w:rPr>
          <w:rFonts w:ascii="Times New Roman" w:hAnsi="Times New Roman"/>
          <w:sz w:val="24"/>
          <w:szCs w:val="24"/>
        </w:rPr>
        <w:t xml:space="preserve"> the most relevant Sixth Circuit precedent. 600 </w:t>
      </w:r>
      <w:proofErr w:type="spellStart"/>
      <w:r w:rsidRPr="00D81A8F">
        <w:rPr>
          <w:rFonts w:ascii="Times New Roman" w:hAnsi="Times New Roman"/>
          <w:sz w:val="24"/>
          <w:szCs w:val="24"/>
        </w:rPr>
        <w:t>Fed.Appx</w:t>
      </w:r>
      <w:proofErr w:type="spellEnd"/>
      <w:r w:rsidRPr="00D81A8F">
        <w:rPr>
          <w:rFonts w:ascii="Times New Roman" w:hAnsi="Times New Roman"/>
          <w:sz w:val="24"/>
          <w:szCs w:val="24"/>
        </w:rPr>
        <w:t>. 303, 310 (6th Cir. 2014) ]</w:t>
      </w:r>
      <w:hyperlink r:id="rId258" w:history="1">
        <w:r w:rsidRPr="00D81A8F">
          <w:rPr>
            <w:rStyle w:val="Hyperlink"/>
            <w:rFonts w:ascii="Times New Roman" w:hAnsi="Times New Roman"/>
            <w:sz w:val="24"/>
            <w:szCs w:val="24"/>
          </w:rPr>
          <w:t>https://law.justia.com/cases/federal/appellate-courts/ca6/13-3274/13-3274-2014-03-13.html</w:t>
        </w:r>
      </w:hyperlink>
      <w:r w:rsidRPr="00D81A8F">
        <w:rPr>
          <w:rFonts w:ascii="Times New Roman" w:hAnsi="Times New Roman"/>
          <w:sz w:val="24"/>
          <w:szCs w:val="24"/>
        </w:rPr>
        <w:t xml:space="preserve">]. In Overton, the court held there was no unreasonable seizure when EMS personnel detained a man, who had been unconscious when they arrived on scene, for thirty seconds out of concern for his medical wellbeing. </w:t>
      </w:r>
      <w:r w:rsidRPr="00D81A8F">
        <w:rPr>
          <w:rStyle w:val="Emphasis"/>
          <w:rFonts w:ascii="Times New Roman" w:hAnsi="Times New Roman"/>
          <w:sz w:val="24"/>
          <w:szCs w:val="24"/>
        </w:rPr>
        <w:t>Id.</w:t>
      </w:r>
      <w:r w:rsidRPr="00D81A8F">
        <w:rPr>
          <w:rFonts w:ascii="Times New Roman" w:hAnsi="Times New Roman"/>
          <w:sz w:val="24"/>
          <w:szCs w:val="24"/>
        </w:rPr>
        <w:t xml:space="preserve"> at 310-311. The brief seizure to substantiate the man's claims that he was fine was reasonable in furtherance of their medical duties. </w:t>
      </w:r>
      <w:r w:rsidRPr="00D81A8F">
        <w:rPr>
          <w:rStyle w:val="Emphasis"/>
          <w:rFonts w:ascii="Times New Roman" w:hAnsi="Times New Roman"/>
          <w:sz w:val="24"/>
          <w:szCs w:val="24"/>
        </w:rPr>
        <w:t>Id.</w:t>
      </w:r>
      <w:r w:rsidRPr="00D81A8F">
        <w:rPr>
          <w:rFonts w:ascii="Times New Roman" w:hAnsi="Times New Roman"/>
          <w:sz w:val="24"/>
          <w:szCs w:val="24"/>
        </w:rPr>
        <w:t xml:space="preserve"> To analogize, a brief seizure here may have been reasonable if the firefighters found Fairrow unconscious, if Fairrow was slurring words, or if they had other specific concerns about Fairrow's medical capacity. But unlike the EMTs in Overton, the firefighters had no reason to question Fairrow's medical capacity. Fairrow was never unconscious, passed the medical screening, and repeatedly said he was fine, yet Wahl aggressively prevented his departure.” </w:t>
      </w:r>
      <w:hyperlink r:id="rId259" w:history="1">
        <w:r w:rsidRPr="00D81A8F">
          <w:rPr>
            <w:rStyle w:val="Hyperlink"/>
            <w:rFonts w:ascii="Times New Roman" w:hAnsi="Times New Roman"/>
            <w:sz w:val="24"/>
            <w:szCs w:val="24"/>
          </w:rPr>
          <w:t>https://www.leagle.com/decision/infdco20211108549</w:t>
        </w:r>
      </w:hyperlink>
      <w:r w:rsidRPr="00D81A8F">
        <w:rPr>
          <w:rFonts w:ascii="Times New Roman" w:hAnsi="Times New Roman"/>
          <w:sz w:val="24"/>
          <w:szCs w:val="24"/>
        </w:rPr>
        <w:t xml:space="preserve"> </w:t>
      </w:r>
    </w:p>
    <w:p w14:paraId="4A93D042" w14:textId="04F6CBF7" w:rsidR="00D84F3A" w:rsidRPr="005F7F88" w:rsidRDefault="00D84F3A" w:rsidP="00D84F3A">
      <w:pPr>
        <w:spacing w:before="100" w:beforeAutospacing="1" w:after="100" w:afterAutospacing="1" w:line="240" w:lineRule="auto"/>
        <w:rPr>
          <w:rFonts w:ascii="Times New Roman" w:eastAsia="Times New Roman" w:hAnsi="Times New Roman"/>
          <w:b/>
          <w:bCs/>
          <w:sz w:val="24"/>
          <w:szCs w:val="24"/>
        </w:rPr>
      </w:pPr>
      <w:bookmarkStart w:id="5" w:name="_Hlk89146577"/>
      <w:r w:rsidRPr="00FE5C3D">
        <w:rPr>
          <w:rFonts w:ascii="Times New Roman" w:hAnsi="Times New Roman"/>
          <w:b/>
          <w:bCs/>
          <w:sz w:val="24"/>
          <w:szCs w:val="24"/>
        </w:rPr>
        <w:t>Legal Lesson Learned: The “Community Caretaking Doctrine” has been widely applied when there is real danger</w:t>
      </w:r>
      <w:r>
        <w:rPr>
          <w:rFonts w:ascii="Times New Roman" w:hAnsi="Times New Roman"/>
          <w:b/>
          <w:bCs/>
          <w:sz w:val="24"/>
          <w:szCs w:val="24"/>
        </w:rPr>
        <w:t xml:space="preserve"> to</w:t>
      </w:r>
      <w:r w:rsidRPr="00FE5C3D">
        <w:rPr>
          <w:rFonts w:ascii="Times New Roman" w:hAnsi="Times New Roman"/>
          <w:b/>
          <w:bCs/>
          <w:sz w:val="24"/>
          <w:szCs w:val="24"/>
        </w:rPr>
        <w:t xml:space="preserve"> emergency responders</w:t>
      </w:r>
      <w:r>
        <w:rPr>
          <w:rFonts w:ascii="Times New Roman" w:hAnsi="Times New Roman"/>
          <w:b/>
          <w:bCs/>
          <w:sz w:val="24"/>
          <w:szCs w:val="24"/>
        </w:rPr>
        <w:t xml:space="preserve"> or to the public. If the volunteer firefighter had smelled strong odor of marijuana, Court may have not suppressed the evidence.  </w:t>
      </w:r>
      <w:r w:rsidRPr="00FE5C3D">
        <w:rPr>
          <w:rFonts w:ascii="Times New Roman" w:hAnsi="Times New Roman"/>
          <w:b/>
          <w:bCs/>
          <w:sz w:val="24"/>
          <w:szCs w:val="24"/>
        </w:rPr>
        <w:t xml:space="preserve"> </w:t>
      </w:r>
    </w:p>
    <w:bookmarkEnd w:id="5"/>
    <w:p w14:paraId="304EA8D5" w14:textId="77777777" w:rsidR="00D84F3A" w:rsidRDefault="00D84F3A" w:rsidP="002B1283">
      <w:pPr>
        <w:rPr>
          <w:rFonts w:ascii="Arial Black" w:hAnsi="Arial Black"/>
          <w:b/>
          <w:sz w:val="24"/>
          <w:szCs w:val="24"/>
        </w:rPr>
      </w:pPr>
    </w:p>
    <w:p w14:paraId="32F1E9E9" w14:textId="77777777" w:rsidR="00D84F3A" w:rsidRDefault="00D84F3A" w:rsidP="002B1283">
      <w:pPr>
        <w:rPr>
          <w:rFonts w:ascii="Arial Black" w:hAnsi="Arial Black"/>
          <w:b/>
          <w:sz w:val="24"/>
          <w:szCs w:val="24"/>
        </w:rPr>
      </w:pPr>
    </w:p>
    <w:p w14:paraId="525D6CE7" w14:textId="1B80B023" w:rsidR="00243A7F" w:rsidRDefault="00243A7F" w:rsidP="002B1283">
      <w:pPr>
        <w:rPr>
          <w:rFonts w:ascii="Arial Black" w:hAnsi="Arial Black"/>
          <w:b/>
          <w:sz w:val="24"/>
          <w:szCs w:val="24"/>
        </w:rPr>
      </w:pPr>
      <w:r>
        <w:rPr>
          <w:rFonts w:ascii="Arial Black" w:hAnsi="Arial Black"/>
          <w:b/>
          <w:sz w:val="24"/>
          <w:szCs w:val="24"/>
        </w:rPr>
        <w:t>1-88</w:t>
      </w:r>
    </w:p>
    <w:p w14:paraId="0BD96F53" w14:textId="77777777" w:rsidR="00243A7F" w:rsidRPr="004E6D58" w:rsidRDefault="00243A7F" w:rsidP="00243A7F">
      <w:pPr>
        <w:pStyle w:val="NormalWeb"/>
        <w:rPr>
          <w:rFonts w:ascii="Arial Black" w:hAnsi="Arial Black"/>
          <w:sz w:val="28"/>
          <w:szCs w:val="28"/>
        </w:rPr>
      </w:pPr>
      <w:r>
        <w:rPr>
          <w:rFonts w:ascii="Arial Black" w:hAnsi="Arial Black"/>
          <w:sz w:val="28"/>
          <w:szCs w:val="28"/>
        </w:rPr>
        <w:t>OH: WOMAN DIED IN HOUSE FIRE – IGNORED 13 WARNING LOW BATTERY FROM CABLE COMPANY – CASE DISMISSED</w:t>
      </w:r>
    </w:p>
    <w:p w14:paraId="2F9077AE" w14:textId="77777777" w:rsidR="00243A7F" w:rsidRDefault="00243A7F" w:rsidP="00243A7F">
      <w:pPr>
        <w:pStyle w:val="NormalWeb"/>
      </w:pPr>
      <w:r>
        <w:t xml:space="preserve">On Oct. 26, 2021, in </w:t>
      </w:r>
      <w:r w:rsidRPr="004E6D58">
        <w:rPr>
          <w:u w:val="single"/>
        </w:rPr>
        <w:t xml:space="preserve">Jeffrey Kahl v. </w:t>
      </w:r>
      <w:proofErr w:type="spellStart"/>
      <w:r w:rsidRPr="004E6D58">
        <w:rPr>
          <w:u w:val="single"/>
        </w:rPr>
        <w:t>Sectrum</w:t>
      </w:r>
      <w:proofErr w:type="spellEnd"/>
      <w:r w:rsidRPr="004E6D58">
        <w:rPr>
          <w:u w:val="single"/>
        </w:rPr>
        <w:t xml:space="preserve"> Security, LLC, doing business as Spectrum, et al</w:t>
      </w:r>
      <w:r>
        <w:t>., the U.S. Court of Appeals for the 6</w:t>
      </w:r>
      <w:r w:rsidRPr="004E6D58">
        <w:rPr>
          <w:vertAlign w:val="superscript"/>
        </w:rPr>
        <w:t>th</w:t>
      </w:r>
      <w:r>
        <w:t xml:space="preserve"> Circuit (Cincinnati) held (3 to 0) in unpublished decision that Federal District Court judge had properly dismissed the husband’s lawsuit. </w:t>
      </w:r>
    </w:p>
    <w:p w14:paraId="544C0E59" w14:textId="77777777" w:rsidR="00243A7F" w:rsidRPr="004E6D58" w:rsidRDefault="00243A7F" w:rsidP="00243A7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4E6D58">
        <w:rPr>
          <w:rFonts w:ascii="Times New Roman" w:eastAsia="Times New Roman" w:hAnsi="Times New Roman"/>
          <w:sz w:val="24"/>
          <w:szCs w:val="24"/>
        </w:rPr>
        <w:t>Under the unique facts of this case, a reasonable person must conclude that Heather's negligence in failing to heed the warnings provided by Spectrum about the low-battery signal outweighed any negligence by the defendants. At the outset, we emphasize that this is not a case where a fire-alarm company provided little or no warning about faulty equipment. Starting in June 2017, Spectrum repeatedly notified Heather of the smoke detector's dying battery, using different mediums to send duplicative alerts</w:t>
      </w:r>
      <w:r>
        <w:rPr>
          <w:rFonts w:ascii="Times New Roman" w:eastAsia="Times New Roman" w:hAnsi="Times New Roman"/>
          <w:sz w:val="24"/>
          <w:szCs w:val="24"/>
        </w:rPr>
        <w:t>….</w:t>
      </w:r>
      <w:r w:rsidRPr="004E6D58">
        <w:rPr>
          <w:rFonts w:ascii="Times New Roman" w:eastAsia="Times New Roman" w:hAnsi="Times New Roman"/>
          <w:sz w:val="24"/>
          <w:szCs w:val="24"/>
        </w:rPr>
        <w:t xml:space="preserve"> The company also provided a complimentary replacement battery to fix the problem</w:t>
      </w:r>
      <w:r>
        <w:rPr>
          <w:rFonts w:ascii="Times New Roman" w:eastAsia="Times New Roman" w:hAnsi="Times New Roman"/>
          <w:sz w:val="24"/>
          <w:szCs w:val="24"/>
        </w:rPr>
        <w:t>….</w:t>
      </w:r>
      <w:r w:rsidRPr="004E6D58">
        <w:rPr>
          <w:rFonts w:ascii="Times New Roman" w:eastAsia="Times New Roman" w:hAnsi="Times New Roman"/>
          <w:sz w:val="24"/>
          <w:szCs w:val="24"/>
        </w:rPr>
        <w:t xml:space="preserve"> When the issue persisted after Spectrum shipped the new battery to Heather, the company scheduled a maintenance appointment to have a technician examine the smoke detector</w:t>
      </w:r>
      <w:r>
        <w:rPr>
          <w:rFonts w:ascii="Times New Roman" w:eastAsia="Times New Roman" w:hAnsi="Times New Roman"/>
          <w:sz w:val="24"/>
          <w:szCs w:val="24"/>
        </w:rPr>
        <w:t xml:space="preserve">…. </w:t>
      </w:r>
      <w:r w:rsidRPr="004E6D58">
        <w:rPr>
          <w:rFonts w:ascii="Times New Roman" w:eastAsia="Times New Roman" w:hAnsi="Times New Roman"/>
          <w:sz w:val="24"/>
          <w:szCs w:val="24"/>
        </w:rPr>
        <w:t xml:space="preserve">Heather was certainly aware of the problem with the smoke detector as she cancelled that appointment the day it was scheduled to take place. </w:t>
      </w:r>
      <w:r>
        <w:rPr>
          <w:rFonts w:ascii="Times New Roman" w:eastAsia="Times New Roman" w:hAnsi="Times New Roman"/>
          <w:sz w:val="24"/>
          <w:szCs w:val="24"/>
        </w:rPr>
        <w:t xml:space="preserve">*** </w:t>
      </w:r>
      <w:r w:rsidRPr="004E6D58">
        <w:rPr>
          <w:rFonts w:ascii="Times New Roman" w:eastAsia="Times New Roman" w:hAnsi="Times New Roman"/>
          <w:sz w:val="24"/>
          <w:szCs w:val="24"/>
        </w:rPr>
        <w:t>It is true that the iControl panel in the Kahl residence registered a low-battery signal on September 14 and that the defendants did not alert Heather of that problem that day</w:t>
      </w:r>
      <w:r>
        <w:rPr>
          <w:rFonts w:ascii="Times New Roman" w:eastAsia="Times New Roman" w:hAnsi="Times New Roman"/>
          <w:sz w:val="24"/>
          <w:szCs w:val="24"/>
        </w:rPr>
        <w:t>…</w:t>
      </w:r>
      <w:r w:rsidRPr="004E6D58">
        <w:rPr>
          <w:rFonts w:ascii="Times New Roman" w:eastAsia="Times New Roman" w:hAnsi="Times New Roman"/>
          <w:sz w:val="24"/>
          <w:szCs w:val="24"/>
        </w:rPr>
        <w:t xml:space="preserve">. Crucially, however, Spectrum made five attempts </w:t>
      </w:r>
      <w:r w:rsidRPr="004E6D58">
        <w:rPr>
          <w:rFonts w:ascii="Times New Roman" w:eastAsia="Times New Roman" w:hAnsi="Times New Roman"/>
          <w:i/>
          <w:iCs/>
          <w:sz w:val="24"/>
          <w:szCs w:val="24"/>
        </w:rPr>
        <w:t>after</w:t>
      </w:r>
      <w:r w:rsidRPr="004E6D58">
        <w:rPr>
          <w:rFonts w:ascii="Times New Roman" w:eastAsia="Times New Roman" w:hAnsi="Times New Roman"/>
          <w:sz w:val="24"/>
          <w:szCs w:val="24"/>
        </w:rPr>
        <w:t xml:space="preserve"> September 14 to alert Heather to the issue, the last attempt coming approximately two weeks before the fire.</w:t>
      </w:r>
      <w:r>
        <w:rPr>
          <w:rFonts w:ascii="Times New Roman" w:eastAsia="Times New Roman" w:hAnsi="Times New Roman"/>
          <w:sz w:val="24"/>
          <w:szCs w:val="24"/>
        </w:rPr>
        <w:t xml:space="preserve"> *** </w:t>
      </w:r>
      <w:r w:rsidRPr="008F13A3">
        <w:rPr>
          <w:rFonts w:ascii="Times New Roman" w:eastAsia="Times New Roman" w:hAnsi="Times New Roman"/>
          <w:sz w:val="24"/>
          <w:szCs w:val="24"/>
        </w:rPr>
        <w:t xml:space="preserve">By the last notification on October 16, 2017, Spectrum had contacted Heather on thirteen different days about the smoke detector's low </w:t>
      </w:r>
      <w:proofErr w:type="gramStart"/>
      <w:r w:rsidRPr="008F13A3">
        <w:rPr>
          <w:rFonts w:ascii="Times New Roman" w:eastAsia="Times New Roman" w:hAnsi="Times New Roman"/>
          <w:sz w:val="24"/>
          <w:szCs w:val="24"/>
        </w:rPr>
        <w:t>battery.</w:t>
      </w:r>
      <w:r>
        <w:rPr>
          <w:rFonts w:ascii="Times New Roman" w:eastAsia="Times New Roman" w:hAnsi="Times New Roman"/>
          <w:sz w:val="24"/>
          <w:szCs w:val="24"/>
        </w:rPr>
        <w:t>”</w:t>
      </w:r>
      <w:proofErr w:type="gramEnd"/>
      <w:r w:rsidRPr="008F13A3">
        <w:rPr>
          <w:rFonts w:ascii="Times New Roman" w:eastAsia="Times New Roman" w:hAnsi="Times New Roman"/>
          <w:sz w:val="24"/>
          <w:szCs w:val="24"/>
        </w:rPr>
        <w:t xml:space="preserve"> </w:t>
      </w:r>
      <w:hyperlink r:id="rId260" w:history="1">
        <w:r w:rsidRPr="00AB11A6">
          <w:rPr>
            <w:rStyle w:val="Hyperlink"/>
            <w:sz w:val="24"/>
            <w:szCs w:val="24"/>
          </w:rPr>
          <w:t>https://www.opn.ca6.uscourts.gov/opinions.pdf/21a0484n-06.pdf</w:t>
        </w:r>
      </w:hyperlink>
      <w:r>
        <w:rPr>
          <w:rFonts w:ascii="Times New Roman" w:eastAsia="Times New Roman" w:hAnsi="Times New Roman"/>
          <w:sz w:val="24"/>
          <w:szCs w:val="24"/>
        </w:rPr>
        <w:t xml:space="preserve"> </w:t>
      </w:r>
    </w:p>
    <w:p w14:paraId="753DACBE" w14:textId="77777777" w:rsidR="00243A7F" w:rsidRPr="008F13A3" w:rsidRDefault="00243A7F" w:rsidP="00243A7F">
      <w:pPr>
        <w:spacing w:before="100" w:beforeAutospacing="1" w:after="100" w:afterAutospacing="1" w:line="240" w:lineRule="auto"/>
        <w:rPr>
          <w:rFonts w:ascii="Times New Roman" w:eastAsia="Times New Roman" w:hAnsi="Times New Roman"/>
          <w:b/>
          <w:bCs/>
          <w:sz w:val="24"/>
          <w:szCs w:val="24"/>
        </w:rPr>
      </w:pPr>
      <w:r w:rsidRPr="008F13A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Working smoke detectors save lives; cable </w:t>
      </w:r>
      <w:proofErr w:type="gramStart"/>
      <w:r>
        <w:rPr>
          <w:rFonts w:ascii="Times New Roman" w:eastAsia="Times New Roman" w:hAnsi="Times New Roman"/>
          <w:b/>
          <w:bCs/>
          <w:sz w:val="24"/>
          <w:szCs w:val="24"/>
        </w:rPr>
        <w:t>company</w:t>
      </w:r>
      <w:proofErr w:type="gramEnd"/>
      <w:r>
        <w:rPr>
          <w:rFonts w:ascii="Times New Roman" w:eastAsia="Times New Roman" w:hAnsi="Times New Roman"/>
          <w:b/>
          <w:bCs/>
          <w:sz w:val="24"/>
          <w:szCs w:val="24"/>
        </w:rPr>
        <w:t xml:space="preserve"> not liable when </w:t>
      </w:r>
      <w:proofErr w:type="gramStart"/>
      <w:r>
        <w:rPr>
          <w:rFonts w:ascii="Times New Roman" w:eastAsia="Times New Roman" w:hAnsi="Times New Roman"/>
          <w:b/>
          <w:bCs/>
          <w:sz w:val="24"/>
          <w:szCs w:val="24"/>
        </w:rPr>
        <w:t>customer ignores</w:t>
      </w:r>
      <w:proofErr w:type="gramEnd"/>
      <w:r>
        <w:rPr>
          <w:rFonts w:ascii="Times New Roman" w:eastAsia="Times New Roman" w:hAnsi="Times New Roman"/>
          <w:b/>
          <w:bCs/>
          <w:sz w:val="24"/>
          <w:szCs w:val="24"/>
        </w:rPr>
        <w:t xml:space="preserve"> 13 notifications of low </w:t>
      </w:r>
      <w:proofErr w:type="gramStart"/>
      <w:r>
        <w:rPr>
          <w:rFonts w:ascii="Times New Roman" w:eastAsia="Times New Roman" w:hAnsi="Times New Roman"/>
          <w:b/>
          <w:bCs/>
          <w:sz w:val="24"/>
          <w:szCs w:val="24"/>
        </w:rPr>
        <w:t>battery</w:t>
      </w:r>
      <w:proofErr w:type="gramEnd"/>
      <w:r>
        <w:rPr>
          <w:rFonts w:ascii="Times New Roman" w:eastAsia="Times New Roman" w:hAnsi="Times New Roman"/>
          <w:b/>
          <w:bCs/>
          <w:sz w:val="24"/>
          <w:szCs w:val="24"/>
        </w:rPr>
        <w:t xml:space="preserve">. </w:t>
      </w:r>
    </w:p>
    <w:p w14:paraId="0C8F577E" w14:textId="77777777" w:rsidR="00243A7F" w:rsidRDefault="00243A7F" w:rsidP="002B1283">
      <w:pPr>
        <w:rPr>
          <w:rFonts w:ascii="Arial Black" w:hAnsi="Arial Black"/>
          <w:b/>
          <w:sz w:val="24"/>
          <w:szCs w:val="24"/>
        </w:rPr>
      </w:pPr>
    </w:p>
    <w:p w14:paraId="574FA4E9" w14:textId="74328D23" w:rsidR="00243A7F" w:rsidRDefault="00243A7F" w:rsidP="002B1283">
      <w:pPr>
        <w:rPr>
          <w:rFonts w:ascii="Arial Black" w:hAnsi="Arial Black"/>
          <w:b/>
          <w:sz w:val="24"/>
          <w:szCs w:val="24"/>
        </w:rPr>
      </w:pPr>
      <w:r>
        <w:rPr>
          <w:rFonts w:ascii="Arial Black" w:hAnsi="Arial Black"/>
          <w:b/>
          <w:sz w:val="24"/>
          <w:szCs w:val="24"/>
        </w:rPr>
        <w:t>1-87</w:t>
      </w:r>
    </w:p>
    <w:p w14:paraId="696D3634" w14:textId="77777777" w:rsidR="00243A7F" w:rsidRPr="0029293F" w:rsidRDefault="00243A7F" w:rsidP="00243A7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GAS LEAK - DRUNK HOMEOWNER DROVE OVER HIS GAS METER – OFFICER PROB. CAUSE – NOT “SELF DRIVING” CAR</w:t>
      </w:r>
    </w:p>
    <w:p w14:paraId="1DC56174" w14:textId="77777777" w:rsidR="00243A7F" w:rsidRPr="0029293F" w:rsidRDefault="00243A7F" w:rsidP="00243A7F">
      <w:pPr>
        <w:spacing w:before="100" w:beforeAutospacing="1" w:after="100" w:afterAutospacing="1" w:line="240" w:lineRule="auto"/>
        <w:rPr>
          <w:rFonts w:ascii="Times New Roman" w:eastAsia="Times New Roman" w:hAnsi="Times New Roman"/>
          <w:sz w:val="24"/>
          <w:szCs w:val="24"/>
        </w:rPr>
      </w:pPr>
      <w:r w:rsidRPr="0029293F">
        <w:rPr>
          <w:rFonts w:ascii="Times New Roman" w:eastAsia="Times New Roman" w:hAnsi="Times New Roman"/>
          <w:sz w:val="24"/>
          <w:szCs w:val="24"/>
        </w:rPr>
        <w:t> </w:t>
      </w:r>
      <w:r>
        <w:rPr>
          <w:rFonts w:ascii="Times New Roman" w:eastAsia="Times New Roman" w:hAnsi="Times New Roman"/>
          <w:sz w:val="24"/>
          <w:szCs w:val="24"/>
        </w:rPr>
        <w:t xml:space="preserve">On Oct. 26, 2021, in </w:t>
      </w:r>
      <w:r w:rsidRPr="0029293F">
        <w:rPr>
          <w:rFonts w:ascii="Times New Roman" w:eastAsia="Times New Roman" w:hAnsi="Times New Roman"/>
          <w:sz w:val="24"/>
          <w:szCs w:val="24"/>
          <w:u w:val="single"/>
        </w:rPr>
        <w:t>Gregory A. Switzer v. The Village of Glassford, Illinois and Andrew Burgess</w:t>
      </w:r>
      <w:r>
        <w:rPr>
          <w:rFonts w:ascii="Times New Roman" w:eastAsia="Times New Roman" w:hAnsi="Times New Roman"/>
          <w:sz w:val="24"/>
          <w:szCs w:val="24"/>
        </w:rPr>
        <w:t>, U.S. District Court Judge James E. Shadid, Central District of Illinois, granted Officer Burgess’ motion for summary judgment since he had probable cause to arrest, even if charges later dropped. The judge comically commented on the homeowner’s claim that someone else must have been driving his vehicle.</w:t>
      </w:r>
    </w:p>
    <w:p w14:paraId="38385C95" w14:textId="77777777" w:rsidR="00243A7F" w:rsidRPr="007F2596" w:rsidRDefault="00243A7F" w:rsidP="00243A7F">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7F2596">
        <w:rPr>
          <w:rFonts w:ascii="Times New Roman" w:hAnsi="Times New Roman"/>
          <w:sz w:val="24"/>
          <w:szCs w:val="24"/>
        </w:rPr>
        <w:t xml:space="preserve">While that possibility becomes ever-so-slightly more possible with advances in self-driving technology, it does not yet exist. Notwithstanding the state courts' contrary conclusion, Justice Schmidt was </w:t>
      </w:r>
      <w:proofErr w:type="gramStart"/>
      <w:r w:rsidRPr="007F2596">
        <w:rPr>
          <w:rFonts w:ascii="Times New Roman" w:hAnsi="Times New Roman"/>
          <w:sz w:val="24"/>
          <w:szCs w:val="24"/>
        </w:rPr>
        <w:t>absolutely correct</w:t>
      </w:r>
      <w:proofErr w:type="gramEnd"/>
      <w:r w:rsidRPr="007F2596">
        <w:rPr>
          <w:rFonts w:ascii="Times New Roman" w:hAnsi="Times New Roman"/>
          <w:sz w:val="24"/>
          <w:szCs w:val="24"/>
        </w:rPr>
        <w:t>: Officer Burgess clearly had probable cause to arrest Switzer for the offense of driving under the influence. Accordingly, Defendants are entitled to summary judgment on each of Plaintiff's claims.</w:t>
      </w:r>
      <w:r>
        <w:rPr>
          <w:rFonts w:ascii="Times New Roman" w:hAnsi="Times New Roman"/>
          <w:sz w:val="24"/>
          <w:szCs w:val="24"/>
        </w:rPr>
        <w:t xml:space="preserve">” </w:t>
      </w:r>
      <w:hyperlink r:id="rId261" w:history="1">
        <w:r w:rsidRPr="007148A2">
          <w:rPr>
            <w:rStyle w:val="Hyperlink"/>
            <w:sz w:val="24"/>
            <w:szCs w:val="24"/>
          </w:rPr>
          <w:t>https://public.fastcase.com/9SKwsfNqTc6OieYDhNMyMxCncQbdnZBHHYClkb%2F5rq5vAcucBX21mkOLoZWomgOrkfyB0T1fu8X9VBZqJtLwyHdQaAVKSMi9mGC9zU6KrUc%3D</w:t>
        </w:r>
      </w:hyperlink>
      <w:r>
        <w:rPr>
          <w:rFonts w:ascii="Times New Roman" w:hAnsi="Times New Roman"/>
          <w:sz w:val="24"/>
          <w:szCs w:val="24"/>
        </w:rPr>
        <w:t xml:space="preserve"> </w:t>
      </w:r>
    </w:p>
    <w:p w14:paraId="13DD37C5" w14:textId="77777777" w:rsidR="00243A7F" w:rsidRPr="0029293F" w:rsidRDefault="00243A7F" w:rsidP="00243A7F">
      <w:pPr>
        <w:spacing w:before="100" w:beforeAutospacing="1" w:after="100" w:afterAutospacing="1" w:line="240" w:lineRule="auto"/>
        <w:rPr>
          <w:rFonts w:ascii="Times New Roman" w:eastAsia="Times New Roman" w:hAnsi="Times New Roman"/>
          <w:b/>
          <w:bCs/>
          <w:sz w:val="24"/>
          <w:szCs w:val="24"/>
        </w:rPr>
      </w:pPr>
      <w:r w:rsidRPr="007F259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Judges sometimes offer comical comments in their decision; reflects on the frivolous nature of the lawsuit. </w:t>
      </w:r>
    </w:p>
    <w:p w14:paraId="45347B8B" w14:textId="77777777" w:rsidR="00243A7F" w:rsidRDefault="00243A7F" w:rsidP="002B1283">
      <w:pPr>
        <w:rPr>
          <w:rFonts w:ascii="Arial Black" w:hAnsi="Arial Black"/>
          <w:b/>
          <w:sz w:val="24"/>
          <w:szCs w:val="24"/>
        </w:rPr>
      </w:pPr>
    </w:p>
    <w:p w14:paraId="4CFDBE78" w14:textId="205AD2A4" w:rsidR="00243A7F" w:rsidRDefault="00243A7F" w:rsidP="002B1283">
      <w:pPr>
        <w:rPr>
          <w:rFonts w:ascii="Arial Black" w:hAnsi="Arial Black"/>
          <w:b/>
          <w:sz w:val="24"/>
          <w:szCs w:val="24"/>
        </w:rPr>
      </w:pPr>
      <w:r>
        <w:rPr>
          <w:rFonts w:ascii="Arial Black" w:hAnsi="Arial Black"/>
          <w:b/>
          <w:sz w:val="24"/>
          <w:szCs w:val="24"/>
        </w:rPr>
        <w:t>1-86</w:t>
      </w:r>
    </w:p>
    <w:p w14:paraId="0EADFA80" w14:textId="77777777" w:rsidR="00243A7F" w:rsidRPr="009B4011" w:rsidRDefault="00243A7F" w:rsidP="00243A7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HOMEOWNDER REFUSED SIGN CITATION - BURNING 3 CANS POOL – ARRESTED – LAWSUIT DISMISSED</w:t>
      </w:r>
    </w:p>
    <w:p w14:paraId="436FB3D3" w14:textId="77777777" w:rsidR="00243A7F" w:rsidRDefault="00243A7F" w:rsidP="00243A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25, 2021, in </w:t>
      </w:r>
      <w:r w:rsidRPr="009B4011">
        <w:rPr>
          <w:rFonts w:ascii="Times New Roman" w:hAnsi="Times New Roman"/>
          <w:sz w:val="24"/>
          <w:szCs w:val="24"/>
          <w:u w:val="single"/>
        </w:rPr>
        <w:t>James I. McMillan v. County of Shasta</w:t>
      </w:r>
      <w:r>
        <w:rPr>
          <w:rFonts w:ascii="Times New Roman" w:hAnsi="Times New Roman"/>
          <w:sz w:val="24"/>
          <w:szCs w:val="24"/>
        </w:rPr>
        <w:t xml:space="preserve">, U.S. District Court judge John A. Mendez, U.S. District Court for Eastern District of California, dismissed the lawsuit filed by the plaintiff (an attorney, representing himself) against the County, the Fire Chief and police officers. </w:t>
      </w:r>
    </w:p>
    <w:p w14:paraId="2F528FC1" w14:textId="1110A5B7" w:rsidR="00243A7F" w:rsidRDefault="00243A7F" w:rsidP="00243A7F">
      <w:pPr>
        <w:spacing w:before="100" w:beforeAutospacing="1" w:after="100" w:afterAutospacing="1" w:line="240" w:lineRule="auto"/>
        <w:ind w:left="720"/>
        <w:rPr>
          <w:rFonts w:ascii="Times New Roman" w:hAnsi="Times New Roman"/>
          <w:sz w:val="24"/>
          <w:szCs w:val="24"/>
        </w:rPr>
      </w:pPr>
      <w:r w:rsidRPr="009A1AFE">
        <w:rPr>
          <w:rFonts w:ascii="Times New Roman" w:hAnsi="Times New Roman"/>
          <w:sz w:val="24"/>
          <w:szCs w:val="24"/>
        </w:rPr>
        <w:t>“Fire Defendants move to dismiss all claims against Chief Lowe and the Anderson Fire Protection District, contending that none of the factual allegations involving Lowe or the Anderson firefighters provide a basis for liability</w:t>
      </w:r>
      <w:r>
        <w:rPr>
          <w:rFonts w:ascii="Times New Roman" w:hAnsi="Times New Roman"/>
          <w:sz w:val="24"/>
          <w:szCs w:val="24"/>
        </w:rPr>
        <w:t xml:space="preserve">…. </w:t>
      </w:r>
      <w:r w:rsidRPr="009A1AFE">
        <w:rPr>
          <w:rFonts w:ascii="Times New Roman" w:hAnsi="Times New Roman"/>
          <w:sz w:val="24"/>
          <w:szCs w:val="24"/>
        </w:rPr>
        <w:t>The Court agrees.</w:t>
      </w:r>
      <w:r>
        <w:rPr>
          <w:rFonts w:ascii="Times New Roman" w:hAnsi="Times New Roman"/>
          <w:sz w:val="24"/>
          <w:szCs w:val="24"/>
        </w:rPr>
        <w:t xml:space="preserve"> *** </w:t>
      </w:r>
      <w:r w:rsidRPr="009A1AFE">
        <w:rPr>
          <w:rFonts w:ascii="Times New Roman" w:hAnsi="Times New Roman"/>
          <w:sz w:val="24"/>
          <w:szCs w:val="24"/>
        </w:rPr>
        <w:t xml:space="preserve">Simply put, Plaintiff still has not </w:t>
      </w:r>
      <w:proofErr w:type="gramStart"/>
      <w:r w:rsidRPr="009A1AFE">
        <w:rPr>
          <w:rFonts w:ascii="Times New Roman" w:hAnsi="Times New Roman"/>
          <w:sz w:val="24"/>
          <w:szCs w:val="24"/>
        </w:rPr>
        <w:t>pled</w:t>
      </w:r>
      <w:proofErr w:type="gramEnd"/>
      <w:r w:rsidRPr="009A1AFE">
        <w:rPr>
          <w:rFonts w:ascii="Times New Roman" w:hAnsi="Times New Roman"/>
          <w:sz w:val="24"/>
          <w:szCs w:val="24"/>
        </w:rPr>
        <w:t xml:space="preserve"> any legally actionable conduct by the Fire Defendants.</w:t>
      </w:r>
      <w:r>
        <w:rPr>
          <w:rFonts w:ascii="Times New Roman" w:hAnsi="Times New Roman"/>
          <w:sz w:val="24"/>
          <w:szCs w:val="24"/>
        </w:rPr>
        <w:t xml:space="preserve"> *** </w:t>
      </w:r>
      <w:r w:rsidRPr="009A1AFE">
        <w:rPr>
          <w:rFonts w:ascii="Times New Roman" w:hAnsi="Times New Roman"/>
          <w:sz w:val="24"/>
          <w:szCs w:val="24"/>
        </w:rPr>
        <w:t xml:space="preserve">This analysis is not altered by Plaintiff's presentment of new evidence - evidence not alleged in the </w:t>
      </w:r>
      <w:proofErr w:type="gramStart"/>
      <w:r w:rsidRPr="009A1AFE">
        <w:rPr>
          <w:rFonts w:ascii="Times New Roman" w:hAnsi="Times New Roman"/>
          <w:sz w:val="24"/>
          <w:szCs w:val="24"/>
        </w:rPr>
        <w:t>TAC, but</w:t>
      </w:r>
      <w:proofErr w:type="gramEnd"/>
      <w:r w:rsidRPr="009A1AFE">
        <w:rPr>
          <w:rFonts w:ascii="Times New Roman" w:hAnsi="Times New Roman"/>
          <w:sz w:val="24"/>
          <w:szCs w:val="24"/>
        </w:rPr>
        <w:t xml:space="preserve"> rather presented in Plaintiff's request for judicial notice filed with his opposition brief - that his criminal conviction has been vacated</w:t>
      </w:r>
      <w:r>
        <w:rPr>
          <w:rFonts w:ascii="Times New Roman" w:hAnsi="Times New Roman"/>
          <w:sz w:val="24"/>
          <w:szCs w:val="24"/>
        </w:rPr>
        <w:t xml:space="preserve">…. </w:t>
      </w:r>
      <w:r w:rsidRPr="009A1AFE">
        <w:rPr>
          <w:rFonts w:ascii="Times New Roman" w:hAnsi="Times New Roman"/>
          <w:sz w:val="24"/>
          <w:szCs w:val="24"/>
        </w:rPr>
        <w:t xml:space="preserve">Even if Plaintiff were correct that this update in his state criminal case means the Heck bar no longer applies, </w:t>
      </w:r>
      <w:r w:rsidRPr="009A1AFE">
        <w:rPr>
          <w:rStyle w:val="Emphasis"/>
          <w:rFonts w:ascii="Times New Roman" w:hAnsi="Times New Roman"/>
          <w:sz w:val="24"/>
          <w:szCs w:val="24"/>
        </w:rPr>
        <w:t>see</w:t>
      </w:r>
      <w:r w:rsidRPr="009A1AFE">
        <w:rPr>
          <w:rFonts w:ascii="Times New Roman" w:hAnsi="Times New Roman"/>
          <w:sz w:val="24"/>
          <w:szCs w:val="24"/>
        </w:rPr>
        <w:t xml:space="preserve"> Prior Order at 8-12, the factual deficiencies with the TAC remain and warrant dismissal.</w:t>
      </w:r>
      <w:r>
        <w:rPr>
          <w:rFonts w:ascii="Times New Roman" w:hAnsi="Times New Roman"/>
          <w:sz w:val="24"/>
          <w:szCs w:val="24"/>
        </w:rPr>
        <w:t xml:space="preserve">” </w:t>
      </w:r>
      <w:hyperlink r:id="rId262" w:history="1">
        <w:r w:rsidRPr="009545D0">
          <w:rPr>
            <w:rStyle w:val="Hyperlink"/>
            <w:sz w:val="24"/>
            <w:szCs w:val="24"/>
          </w:rPr>
          <w:t>https://public.fastcase.com/9SKwsfNqTc6OieYDhNMyM6jgODeMvtNo11ZvDvT9dExI019FDNN4wp%2BIWQLSUMw%2BxfaNzZaXSMuB0brgu1SRuIg3s6kJiaNRSylEv%2FkVP98%3D</w:t>
        </w:r>
      </w:hyperlink>
      <w:r>
        <w:rPr>
          <w:rFonts w:ascii="Times New Roman" w:hAnsi="Times New Roman"/>
          <w:sz w:val="24"/>
          <w:szCs w:val="24"/>
        </w:rPr>
        <w:t xml:space="preserve"> </w:t>
      </w:r>
    </w:p>
    <w:p w14:paraId="39CE06D4" w14:textId="77777777" w:rsidR="00243A7F" w:rsidRDefault="00243A7F" w:rsidP="00243A7F">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Refusal to sign the citation was very unwise and led to the arrest. </w:t>
      </w:r>
    </w:p>
    <w:p w14:paraId="46B21B4C" w14:textId="77777777" w:rsidR="00243A7F" w:rsidRPr="009A1AFE" w:rsidRDefault="00243A7F" w:rsidP="00243A7F">
      <w:pPr>
        <w:spacing w:before="100" w:beforeAutospacing="1" w:after="100" w:afterAutospacing="1" w:line="240" w:lineRule="auto"/>
        <w:ind w:left="720"/>
        <w:rPr>
          <w:rFonts w:ascii="Times New Roman" w:hAnsi="Times New Roman"/>
          <w:sz w:val="24"/>
          <w:szCs w:val="24"/>
        </w:rPr>
      </w:pPr>
    </w:p>
    <w:p w14:paraId="2094FCAB" w14:textId="77777777" w:rsidR="00243A7F" w:rsidRDefault="00243A7F" w:rsidP="002B1283">
      <w:pPr>
        <w:rPr>
          <w:rFonts w:ascii="Arial Black" w:hAnsi="Arial Black"/>
          <w:b/>
          <w:sz w:val="24"/>
          <w:szCs w:val="24"/>
        </w:rPr>
      </w:pPr>
    </w:p>
    <w:p w14:paraId="14241ADA" w14:textId="77777777" w:rsidR="00243A7F" w:rsidRDefault="00243A7F" w:rsidP="002B1283">
      <w:pPr>
        <w:rPr>
          <w:rFonts w:ascii="Arial Black" w:hAnsi="Arial Black"/>
          <w:b/>
          <w:sz w:val="24"/>
          <w:szCs w:val="24"/>
        </w:rPr>
      </w:pPr>
    </w:p>
    <w:p w14:paraId="170BCF9B" w14:textId="3D80E027" w:rsidR="00BD1702" w:rsidRDefault="00BD1702" w:rsidP="002B1283">
      <w:pPr>
        <w:rPr>
          <w:rFonts w:ascii="Arial Black" w:hAnsi="Arial Black"/>
          <w:b/>
          <w:sz w:val="24"/>
          <w:szCs w:val="24"/>
        </w:rPr>
      </w:pPr>
      <w:r>
        <w:rPr>
          <w:rFonts w:ascii="Arial Black" w:hAnsi="Arial Black"/>
          <w:b/>
          <w:sz w:val="24"/>
          <w:szCs w:val="24"/>
        </w:rPr>
        <w:t>1-85</w:t>
      </w:r>
    </w:p>
    <w:p w14:paraId="1759DDFB" w14:textId="77777777" w:rsidR="00BD1702" w:rsidRPr="00E43AE5" w:rsidRDefault="00BD1702" w:rsidP="00BD1702">
      <w:pPr>
        <w:rPr>
          <w:rFonts w:ascii="Arial Black" w:eastAsia="Times New Roman" w:hAnsi="Arial Black"/>
          <w:b/>
          <w:bCs/>
          <w:sz w:val="28"/>
          <w:szCs w:val="28"/>
        </w:rPr>
      </w:pPr>
      <w:r w:rsidRPr="00E43AE5">
        <w:rPr>
          <w:rFonts w:ascii="Arial Black" w:eastAsia="Times New Roman" w:hAnsi="Arial Black"/>
          <w:b/>
          <w:bCs/>
          <w:sz w:val="28"/>
          <w:szCs w:val="28"/>
        </w:rPr>
        <w:t>NY: FDNY FIRE INSPECTOR – RIGHT TO “GO PUBLIC” ABOUT WHAT HE BEL</w:t>
      </w:r>
      <w:r>
        <w:rPr>
          <w:rFonts w:ascii="Arial Black" w:eastAsia="Times New Roman" w:hAnsi="Arial Black"/>
          <w:b/>
          <w:bCs/>
          <w:sz w:val="28"/>
          <w:szCs w:val="28"/>
        </w:rPr>
        <w:t>IEVES</w:t>
      </w:r>
      <w:r w:rsidRPr="00E43AE5">
        <w:rPr>
          <w:rFonts w:ascii="Arial Black" w:eastAsia="Times New Roman" w:hAnsi="Arial Black"/>
          <w:b/>
          <w:bCs/>
          <w:sz w:val="28"/>
          <w:szCs w:val="28"/>
        </w:rPr>
        <w:t xml:space="preserve"> IS FALSE REPORT - FF LODD / MOVIE FILMED – LAWSUIT REINSTATED</w:t>
      </w:r>
    </w:p>
    <w:p w14:paraId="6DA59BAE" w14:textId="77777777" w:rsidR="00BD1702" w:rsidRDefault="00BD1702" w:rsidP="00BD1702">
      <w:pPr>
        <w:rPr>
          <w:rFonts w:ascii="Times New Roman" w:eastAsia="Times New Roman" w:hAnsi="Times New Roman"/>
          <w:sz w:val="24"/>
          <w:szCs w:val="24"/>
        </w:rPr>
      </w:pPr>
      <w:r>
        <w:rPr>
          <w:rFonts w:ascii="Times New Roman" w:eastAsia="Times New Roman" w:hAnsi="Times New Roman"/>
          <w:sz w:val="24"/>
          <w:szCs w:val="24"/>
        </w:rPr>
        <w:t xml:space="preserve">On Oct. 6, 2021, in </w:t>
      </w:r>
      <w:r>
        <w:rPr>
          <w:rFonts w:ascii="Times New Roman" w:eastAsia="Times New Roman" w:hAnsi="Times New Roman"/>
          <w:sz w:val="24"/>
          <w:szCs w:val="24"/>
          <w:u w:val="single"/>
        </w:rPr>
        <w:t>Scott P. Specht v. The City of New York, Thomas Kane, and John David Lynn</w:t>
      </w:r>
      <w:r>
        <w:rPr>
          <w:rFonts w:ascii="Times New Roman" w:eastAsia="Times New Roman" w:hAnsi="Times New Roman"/>
          <w:sz w:val="24"/>
          <w:szCs w:val="24"/>
        </w:rPr>
        <w:t xml:space="preserve">, the U.S. Court of Appeals for Second Circuit (New Yok City), held (3 to 0) that the retired fire marshal’s lawsuit for First Amendment retaliation is reinstated. </w:t>
      </w:r>
    </w:p>
    <w:p w14:paraId="1C522B75" w14:textId="0B7E6F2E" w:rsidR="00BD1702" w:rsidRDefault="00BD1702" w:rsidP="00BD1702">
      <w:pPr>
        <w:rPr>
          <w:rStyle w:val="Hyperlink"/>
          <w:sz w:val="24"/>
          <w:szCs w:val="24"/>
        </w:rPr>
      </w:pPr>
      <w:r>
        <w:rPr>
          <w:rFonts w:ascii="Times New Roman" w:eastAsia="Times New Roman" w:hAnsi="Times New Roman"/>
          <w:sz w:val="24"/>
          <w:szCs w:val="24"/>
        </w:rPr>
        <w:t>“</w:t>
      </w:r>
      <w:r>
        <w:rPr>
          <w:rFonts w:ascii="Times New Roman" w:hAnsi="Times New Roman"/>
          <w:sz w:val="24"/>
          <w:szCs w:val="24"/>
        </w:rPr>
        <w:t xml:space="preserve">Appellant Scott P. Specht, employed as a New York City fire marshal, alleges that after he refused to file a false report concerning the circumstances of a fire he was investigating and publicly discussed misconduct on the part of his supervisors, he was the subject of retaliation. *** </w:t>
      </w:r>
      <w:r>
        <w:rPr>
          <w:rFonts w:ascii="Times New Roman" w:eastAsia="Times New Roman" w:hAnsi="Times New Roman"/>
          <w:sz w:val="24"/>
          <w:szCs w:val="24"/>
        </w:rPr>
        <w:t>“</w:t>
      </w:r>
      <w:r>
        <w:rPr>
          <w:rStyle w:val="markedcontent"/>
          <w:rFonts w:ascii="Times New Roman" w:hAnsi="Times New Roman"/>
          <w:sz w:val="24"/>
          <w:szCs w:val="24"/>
        </w:rPr>
        <w:t>He concluded that the movie crew had improperly installed high-intensity lighting and had drilled holes in the wall, floors, and ceilings of the basement of the brownstone and that this work had caused the fire. Specht alleges that about three weeks into his investigation, [Chief Fire Marshal Thomas] Kane and [Assistant Chief Fire Marshal John David]</w:t>
      </w:r>
      <w:r>
        <w:rPr>
          <w:rStyle w:val="markedcontent"/>
          <w:sz w:val="33"/>
          <w:szCs w:val="33"/>
        </w:rPr>
        <w:t xml:space="preserve"> </w:t>
      </w:r>
      <w:r>
        <w:rPr>
          <w:rStyle w:val="markedcontent"/>
          <w:rFonts w:ascii="Times New Roman" w:hAnsi="Times New Roman"/>
          <w:sz w:val="24"/>
          <w:szCs w:val="24"/>
        </w:rPr>
        <w:t xml:space="preserve">Lynn convened a meeting at FDNY headquarters where they demanded that he prematurely terminate his work and ordered him to file a final report concluding that a flue connected to the boiler caused the fire.”  </w:t>
      </w:r>
      <w:hyperlink r:id="rId263" w:anchor="xml=https://www.ca2.uscourts.gov/decisions/isysquery/024ad429-f3ca-4195-b401-1dbc5e6424a8/1/hilite/" w:history="1">
        <w:r>
          <w:rPr>
            <w:rStyle w:val="Hyperlink"/>
            <w:sz w:val="24"/>
            <w:szCs w:val="24"/>
          </w:rPr>
          <w:t>https://www.ca2.uscourts.gov/decisions/isysquery/024ad429-f3ca-4195-b401-1dbc5e6424a8/1/doc/20-4211_opn.pdf#xml=https://www.ca2.uscourts.gov/decisions/isysquery/024ad429-f3ca-4195-b401-1dbc5e6424a8/1/hilite/</w:t>
        </w:r>
      </w:hyperlink>
    </w:p>
    <w:p w14:paraId="06C13BB8" w14:textId="77777777" w:rsidR="00BD1702" w:rsidRDefault="00BD1702" w:rsidP="00BD1702">
      <w:pPr>
        <w:rPr>
          <w:rStyle w:val="markedcontent"/>
          <w:b/>
          <w:bCs/>
        </w:rPr>
      </w:pPr>
      <w:r>
        <w:rPr>
          <w:rStyle w:val="markedcontent"/>
          <w:rFonts w:ascii="Times New Roman" w:hAnsi="Times New Roman"/>
          <w:b/>
          <w:bCs/>
          <w:sz w:val="24"/>
          <w:szCs w:val="24"/>
        </w:rPr>
        <w:t xml:space="preserve">Legal Lesson Learned: Fire Inspectors are protected from retaliation under the First Amendment when their speech deals with a matter of “public concern.” </w:t>
      </w:r>
    </w:p>
    <w:p w14:paraId="3E1CBF36" w14:textId="77777777" w:rsidR="00BD1702" w:rsidRDefault="00BD1702" w:rsidP="00BD1702">
      <w:pPr>
        <w:ind w:left="720"/>
        <w:rPr>
          <w:rFonts w:eastAsia="Times New Roman"/>
        </w:rPr>
      </w:pPr>
      <w:r>
        <w:rPr>
          <w:rFonts w:ascii="Times New Roman" w:eastAsia="Times New Roman" w:hAnsi="Times New Roman"/>
          <w:sz w:val="24"/>
          <w:szCs w:val="24"/>
        </w:rPr>
        <w:t xml:space="preserve">Note: See this March 24, </w:t>
      </w:r>
      <w:proofErr w:type="gramStart"/>
      <w:r>
        <w:rPr>
          <w:rFonts w:ascii="Times New Roman" w:eastAsia="Times New Roman" w:hAnsi="Times New Roman"/>
          <w:sz w:val="24"/>
          <w:szCs w:val="24"/>
        </w:rPr>
        <w:t>2018</w:t>
      </w:r>
      <w:proofErr w:type="gramEnd"/>
      <w:r>
        <w:rPr>
          <w:rFonts w:ascii="Times New Roman" w:eastAsia="Times New Roman" w:hAnsi="Times New Roman"/>
          <w:sz w:val="24"/>
          <w:szCs w:val="24"/>
        </w:rPr>
        <w:t xml:space="preserve"> TV video on death of FDNY FF Michael Davidson: </w:t>
      </w:r>
      <w:hyperlink r:id="rId264" w:history="1">
        <w:r>
          <w:rPr>
            <w:rStyle w:val="Hyperlink"/>
            <w:sz w:val="24"/>
            <w:szCs w:val="24"/>
          </w:rPr>
          <w:t>https://abc7ny.com/new-york-city-harlem-fire-edward-norton/3249411/</w:t>
        </w:r>
      </w:hyperlink>
      <w:r>
        <w:rPr>
          <w:rFonts w:ascii="Times New Roman" w:eastAsia="Times New Roman" w:hAnsi="Times New Roman"/>
          <w:sz w:val="24"/>
          <w:szCs w:val="24"/>
        </w:rPr>
        <w:t xml:space="preserve">  </w:t>
      </w:r>
    </w:p>
    <w:p w14:paraId="0C7BDC5B" w14:textId="77777777" w:rsidR="00BD1702" w:rsidRDefault="00BD1702" w:rsidP="00BD1702">
      <w:pPr>
        <w:rPr>
          <w:rFonts w:ascii="Arial Black" w:hAnsi="Arial Black"/>
          <w:b/>
          <w:sz w:val="24"/>
          <w:szCs w:val="24"/>
        </w:rPr>
      </w:pPr>
    </w:p>
    <w:p w14:paraId="0D78D0F4" w14:textId="77777777" w:rsidR="00BD1702" w:rsidRDefault="00BD1702" w:rsidP="002B1283">
      <w:pPr>
        <w:rPr>
          <w:rFonts w:ascii="Arial Black" w:hAnsi="Arial Black"/>
          <w:b/>
          <w:sz w:val="24"/>
          <w:szCs w:val="24"/>
        </w:rPr>
      </w:pPr>
    </w:p>
    <w:p w14:paraId="48D6F6EB" w14:textId="3B2820A3" w:rsidR="00382F02" w:rsidRDefault="00382F02" w:rsidP="002B1283">
      <w:pPr>
        <w:rPr>
          <w:rFonts w:ascii="Arial Black" w:hAnsi="Arial Black"/>
          <w:b/>
          <w:sz w:val="24"/>
          <w:szCs w:val="24"/>
        </w:rPr>
      </w:pPr>
      <w:r>
        <w:rPr>
          <w:rFonts w:ascii="Arial Black" w:hAnsi="Arial Black"/>
          <w:b/>
          <w:sz w:val="24"/>
          <w:szCs w:val="24"/>
        </w:rPr>
        <w:t>1-84</w:t>
      </w:r>
    </w:p>
    <w:p w14:paraId="1E258EFB" w14:textId="77777777" w:rsidR="00382F02" w:rsidRDefault="00382F02" w:rsidP="00382F02">
      <w:pPr>
        <w:pStyle w:val="NoSpacing"/>
        <w:rPr>
          <w:rStyle w:val="markedcontent"/>
          <w:rFonts w:ascii="Arial Black" w:hAnsi="Arial Black"/>
          <w:sz w:val="28"/>
          <w:szCs w:val="28"/>
        </w:rPr>
      </w:pPr>
      <w:bookmarkStart w:id="6" w:name="_Hlk81842473"/>
      <w:r w:rsidRPr="006B6F95">
        <w:rPr>
          <w:rStyle w:val="markedcontent"/>
          <w:rFonts w:ascii="Arial Black" w:hAnsi="Arial Black"/>
          <w:sz w:val="28"/>
          <w:szCs w:val="28"/>
        </w:rPr>
        <w:t xml:space="preserve">U.S. </w:t>
      </w:r>
      <w:r>
        <w:rPr>
          <w:rStyle w:val="markedcontent"/>
          <w:rFonts w:ascii="Arial Black" w:hAnsi="Arial Black"/>
          <w:sz w:val="28"/>
          <w:szCs w:val="28"/>
        </w:rPr>
        <w:t>SUPREME COURT: COVID-19 – CDC NOT AUTHORIZED BY CONGRESS TO STOP TENANTS FROM BEING EVICTED</w:t>
      </w:r>
    </w:p>
    <w:bookmarkEnd w:id="6"/>
    <w:p w14:paraId="21EAED55" w14:textId="77777777" w:rsidR="00382F02" w:rsidRDefault="00382F02" w:rsidP="00382F02">
      <w:pPr>
        <w:pStyle w:val="NoSpacing"/>
        <w:rPr>
          <w:rStyle w:val="markedcontent"/>
          <w:rFonts w:ascii="Arial Black" w:hAnsi="Arial Black"/>
          <w:sz w:val="28"/>
          <w:szCs w:val="28"/>
        </w:rPr>
      </w:pPr>
    </w:p>
    <w:p w14:paraId="4C9F878E" w14:textId="1B963511" w:rsidR="00382F02" w:rsidRDefault="00382F02" w:rsidP="00382F02">
      <w:pPr>
        <w:pStyle w:val="NoSpacing"/>
        <w:rPr>
          <w:rStyle w:val="markedcontent"/>
          <w:rFonts w:ascii="Times New Roman" w:hAnsi="Times New Roman"/>
          <w:sz w:val="24"/>
          <w:szCs w:val="24"/>
        </w:rPr>
      </w:pPr>
      <w:r w:rsidRPr="00B61B0E">
        <w:rPr>
          <w:rStyle w:val="markedcontent"/>
          <w:rFonts w:ascii="Times New Roman" w:hAnsi="Times New Roman"/>
          <w:sz w:val="24"/>
          <w:szCs w:val="24"/>
        </w:rPr>
        <w:t xml:space="preserve">On Aug. 26, 2021, in </w:t>
      </w:r>
      <w:r w:rsidRPr="00B61B0E">
        <w:rPr>
          <w:rStyle w:val="markedcontent"/>
          <w:rFonts w:ascii="Times New Roman" w:hAnsi="Times New Roman"/>
          <w:sz w:val="24"/>
          <w:szCs w:val="24"/>
          <w:u w:val="single"/>
        </w:rPr>
        <w:t>Alabama Association of Realtors, et al. v. Department of Health and Human Services, et al</w:t>
      </w:r>
      <w:r w:rsidRPr="00B61B0E">
        <w:rPr>
          <w:rStyle w:val="markedcontent"/>
          <w:rFonts w:ascii="Times New Roman" w:hAnsi="Times New Roman"/>
          <w:sz w:val="24"/>
          <w:szCs w:val="24"/>
        </w:rPr>
        <w:t xml:space="preserve">., the U.S. Supreme Court held (6 to 3) in a Per </w:t>
      </w:r>
      <w:r w:rsidR="009344F3" w:rsidRPr="00B61B0E">
        <w:rPr>
          <w:rStyle w:val="markedcontent"/>
          <w:rFonts w:ascii="Times New Roman" w:hAnsi="Times New Roman"/>
          <w:sz w:val="24"/>
          <w:szCs w:val="24"/>
        </w:rPr>
        <w:t>Curium</w:t>
      </w:r>
      <w:r w:rsidRPr="00B61B0E">
        <w:rPr>
          <w:rStyle w:val="markedcontent"/>
          <w:rFonts w:ascii="Times New Roman" w:hAnsi="Times New Roman"/>
          <w:sz w:val="24"/>
          <w:szCs w:val="24"/>
        </w:rPr>
        <w:t xml:space="preserve"> opinion (not signed by a single Justice) that the Centers For Disease </w:t>
      </w:r>
      <w:r>
        <w:rPr>
          <w:rStyle w:val="markedcontent"/>
          <w:rFonts w:ascii="Times New Roman" w:hAnsi="Times New Roman"/>
          <w:sz w:val="24"/>
          <w:szCs w:val="24"/>
        </w:rPr>
        <w:t>C</w:t>
      </w:r>
      <w:r w:rsidRPr="00B61B0E">
        <w:rPr>
          <w:rStyle w:val="markedcontent"/>
          <w:rFonts w:ascii="Times New Roman" w:hAnsi="Times New Roman"/>
          <w:sz w:val="24"/>
          <w:szCs w:val="24"/>
        </w:rPr>
        <w:t xml:space="preserve">ontrol </w:t>
      </w:r>
      <w:r>
        <w:rPr>
          <w:rStyle w:val="markedcontent"/>
          <w:rFonts w:ascii="Times New Roman" w:hAnsi="Times New Roman"/>
          <w:sz w:val="24"/>
          <w:szCs w:val="24"/>
        </w:rPr>
        <w:t xml:space="preserve">under President Biden had no authority when it issued a memorandum to prohibit evictions from Aug. 3, </w:t>
      </w:r>
      <w:proofErr w:type="gramStart"/>
      <w:r>
        <w:rPr>
          <w:rStyle w:val="markedcontent"/>
          <w:rFonts w:ascii="Times New Roman" w:hAnsi="Times New Roman"/>
          <w:sz w:val="24"/>
          <w:szCs w:val="24"/>
        </w:rPr>
        <w:t>2021</w:t>
      </w:r>
      <w:proofErr w:type="gramEnd"/>
      <w:r>
        <w:rPr>
          <w:rStyle w:val="markedcontent"/>
          <w:rFonts w:ascii="Times New Roman" w:hAnsi="Times New Roman"/>
          <w:sz w:val="24"/>
          <w:szCs w:val="24"/>
        </w:rPr>
        <w:t xml:space="preserve"> to Oct. 3, </w:t>
      </w:r>
      <w:proofErr w:type="gramStart"/>
      <w:r>
        <w:rPr>
          <w:rStyle w:val="markedcontent"/>
          <w:rFonts w:ascii="Times New Roman" w:hAnsi="Times New Roman"/>
          <w:sz w:val="24"/>
          <w:szCs w:val="24"/>
        </w:rPr>
        <w:t>2021</w:t>
      </w:r>
      <w:proofErr w:type="gramEnd"/>
      <w:r w:rsidR="00F8544A">
        <w:rPr>
          <w:rStyle w:val="markedcontent"/>
          <w:rFonts w:ascii="Times New Roman" w:hAnsi="Times New Roman"/>
          <w:sz w:val="24"/>
          <w:szCs w:val="24"/>
        </w:rPr>
        <w:t xml:space="preserve"> </w:t>
      </w:r>
      <w:r>
        <w:rPr>
          <w:rStyle w:val="markedcontent"/>
          <w:rFonts w:ascii="Times New Roman" w:hAnsi="Times New Roman"/>
          <w:sz w:val="24"/>
          <w:szCs w:val="24"/>
        </w:rPr>
        <w:t xml:space="preserve">in states with counties that had very high COVID-19 rates.  The CDC sought to </w:t>
      </w:r>
      <w:r w:rsidRPr="00B61B0E">
        <w:rPr>
          <w:rStyle w:val="markedcontent"/>
          <w:rFonts w:ascii="Times New Roman" w:hAnsi="Times New Roman"/>
          <w:sz w:val="24"/>
          <w:szCs w:val="24"/>
        </w:rPr>
        <w:t xml:space="preserve">extend the </w:t>
      </w:r>
      <w:r>
        <w:rPr>
          <w:rStyle w:val="markedcontent"/>
          <w:rFonts w:ascii="Times New Roman" w:hAnsi="Times New Roman"/>
          <w:sz w:val="24"/>
          <w:szCs w:val="24"/>
        </w:rPr>
        <w:t xml:space="preserve">2020 </w:t>
      </w:r>
      <w:r w:rsidRPr="00B61B0E">
        <w:rPr>
          <w:rStyle w:val="markedcontent"/>
          <w:rFonts w:ascii="Times New Roman" w:hAnsi="Times New Roman"/>
          <w:sz w:val="24"/>
          <w:szCs w:val="24"/>
        </w:rPr>
        <w:t>Congressional moratorium</w:t>
      </w:r>
      <w:r>
        <w:rPr>
          <w:rStyle w:val="markedcontent"/>
          <w:rFonts w:ascii="Times New Roman" w:hAnsi="Times New Roman"/>
          <w:sz w:val="24"/>
          <w:szCs w:val="24"/>
        </w:rPr>
        <w:t xml:space="preserve"> [issued during Trump Administration] which had expired in </w:t>
      </w:r>
      <w:proofErr w:type="gramStart"/>
      <w:r>
        <w:rPr>
          <w:rStyle w:val="markedcontent"/>
          <w:rFonts w:ascii="Times New Roman" w:hAnsi="Times New Roman"/>
          <w:sz w:val="24"/>
          <w:szCs w:val="24"/>
        </w:rPr>
        <w:t>July,</w:t>
      </w:r>
      <w:proofErr w:type="gramEnd"/>
      <w:r>
        <w:rPr>
          <w:rStyle w:val="markedcontent"/>
          <w:rFonts w:ascii="Times New Roman" w:hAnsi="Times New Roman"/>
          <w:sz w:val="24"/>
          <w:szCs w:val="24"/>
        </w:rPr>
        <w:t xml:space="preserve"> 2021, claiming the CDC had this power under the long-standing federal statute which gives CDC powers concerning fumigation, disinfection, sanitation, pest extermination, contaminated animals.  The plaintiff Associations represent landlords in Alabama and Georgia, and they sued in U.S. District Court in D.C. and federal judge issued an injunction to stop CDC moratorium; the U.S. sought a stay in the U.S. Supreme Court, which denied the stay. </w:t>
      </w:r>
    </w:p>
    <w:p w14:paraId="1F203CD6" w14:textId="77777777" w:rsidR="00382F02" w:rsidRDefault="00382F02" w:rsidP="00382F02">
      <w:pPr>
        <w:pStyle w:val="NoSpacing"/>
        <w:rPr>
          <w:rStyle w:val="markedcontent"/>
          <w:rFonts w:ascii="Times New Roman" w:hAnsi="Times New Roman"/>
          <w:sz w:val="24"/>
          <w:szCs w:val="24"/>
        </w:rPr>
      </w:pPr>
    </w:p>
    <w:p w14:paraId="32CAA6F3"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8E03C4">
        <w:rPr>
          <w:rStyle w:val="markedcontent"/>
          <w:rFonts w:ascii="Times New Roman" w:hAnsi="Times New Roman"/>
          <w:sz w:val="24"/>
          <w:szCs w:val="24"/>
        </w:rPr>
        <w:t>In March 2020, Congress passed the Coronavirus Aid, Relief, and Economic Security Act to alleviate burdens caused</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by the burgeoning COVID–19 pandemic. Pub. L. 116–136, 134 Stat. 281. Among other relief programs, the Act imposed a 120-day eviction moratorium for properties that</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participated in federal assistance programs or were subject</w:t>
      </w:r>
      <w:r w:rsidRPr="008E03C4">
        <w:rPr>
          <w:rFonts w:ascii="Times New Roman" w:hAnsi="Times New Roman"/>
          <w:sz w:val="24"/>
          <w:szCs w:val="24"/>
        </w:rPr>
        <w:br/>
      </w:r>
      <w:r w:rsidRPr="008E03C4">
        <w:rPr>
          <w:rStyle w:val="markedcontent"/>
          <w:rFonts w:ascii="Times New Roman" w:hAnsi="Times New Roman"/>
          <w:sz w:val="24"/>
          <w:szCs w:val="24"/>
        </w:rPr>
        <w:t>to federally backed loans. §4024, id., at 492–494. When the eviction moratorium expired in July, Congress</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 xml:space="preserve">did not renew it. </w:t>
      </w:r>
    </w:p>
    <w:p w14:paraId="23737D83" w14:textId="77777777" w:rsidR="00382F02" w:rsidRDefault="00382F02" w:rsidP="00382F02">
      <w:pPr>
        <w:pStyle w:val="NoSpacing"/>
        <w:ind w:left="720"/>
        <w:rPr>
          <w:rStyle w:val="markedcontent"/>
          <w:rFonts w:ascii="Times New Roman" w:hAnsi="Times New Roman"/>
          <w:sz w:val="24"/>
          <w:szCs w:val="24"/>
        </w:rPr>
      </w:pPr>
    </w:p>
    <w:p w14:paraId="20A2DE23" w14:textId="77777777" w:rsidR="00382F02" w:rsidRDefault="00382F02" w:rsidP="00382F02">
      <w:pPr>
        <w:pStyle w:val="NoSpacing"/>
        <w:ind w:left="720"/>
        <w:rPr>
          <w:rStyle w:val="markedcontent"/>
          <w:rFonts w:ascii="Times New Roman" w:hAnsi="Times New Roman"/>
          <w:sz w:val="24"/>
          <w:szCs w:val="24"/>
        </w:rPr>
      </w:pPr>
      <w:r w:rsidRPr="008E03C4">
        <w:rPr>
          <w:rStyle w:val="markedcontent"/>
          <w:rFonts w:ascii="Times New Roman" w:hAnsi="Times New Roman"/>
          <w:sz w:val="24"/>
          <w:szCs w:val="24"/>
        </w:rPr>
        <w:t xml:space="preserve">Concluding that further action was needed, the CDC decided to do what Congress had not. See 85 Fed. Reg. 55292 (2020). The new, administratively imposed moratorium went further than its statutory predecessor, covering all residential </w:t>
      </w:r>
      <w:proofErr w:type="gramStart"/>
      <w:r w:rsidRPr="008E03C4">
        <w:rPr>
          <w:rStyle w:val="markedcontent"/>
          <w:rFonts w:ascii="Times New Roman" w:hAnsi="Times New Roman"/>
          <w:sz w:val="24"/>
          <w:szCs w:val="24"/>
        </w:rPr>
        <w:t>properties</w:t>
      </w:r>
      <w:proofErr w:type="gramEnd"/>
      <w:r w:rsidRPr="008E03C4">
        <w:rPr>
          <w:rStyle w:val="markedcontent"/>
          <w:rFonts w:ascii="Times New Roman" w:hAnsi="Times New Roman"/>
          <w:sz w:val="24"/>
          <w:szCs w:val="24"/>
        </w:rPr>
        <w:t xml:space="preserve"> nationwide and imposing criminal penalties on violators. </w:t>
      </w:r>
    </w:p>
    <w:p w14:paraId="2330AC80" w14:textId="77777777" w:rsidR="00382F02" w:rsidRDefault="00382F02" w:rsidP="00382F02">
      <w:pPr>
        <w:pStyle w:val="NoSpacing"/>
        <w:ind w:left="720"/>
        <w:rPr>
          <w:rStyle w:val="markedcontent"/>
          <w:rFonts w:ascii="Times New Roman" w:hAnsi="Times New Roman"/>
          <w:sz w:val="24"/>
          <w:szCs w:val="24"/>
        </w:rPr>
      </w:pPr>
    </w:p>
    <w:p w14:paraId="1D565E6E"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p>
    <w:p w14:paraId="157150B8" w14:textId="77777777" w:rsidR="00382F02" w:rsidRDefault="00382F02" w:rsidP="00382F02">
      <w:pPr>
        <w:pStyle w:val="NoSpacing"/>
        <w:rPr>
          <w:rStyle w:val="markedcontent"/>
          <w:rFonts w:ascii="Times New Roman" w:hAnsi="Times New Roman"/>
          <w:sz w:val="24"/>
          <w:szCs w:val="24"/>
        </w:rPr>
      </w:pPr>
    </w:p>
    <w:p w14:paraId="37326382" w14:textId="77777777" w:rsidR="00382F02" w:rsidRPr="00B14006" w:rsidRDefault="00382F02" w:rsidP="00382F02">
      <w:pPr>
        <w:pStyle w:val="NoSpacing"/>
        <w:ind w:left="720"/>
        <w:rPr>
          <w:rStyle w:val="markedcontent"/>
          <w:rFonts w:ascii="Times New Roman" w:hAnsi="Times New Roman"/>
          <w:sz w:val="24"/>
          <w:szCs w:val="24"/>
        </w:rPr>
      </w:pPr>
      <w:r w:rsidRPr="00B14006">
        <w:rPr>
          <w:rStyle w:val="markedcontent"/>
          <w:rFonts w:ascii="Times New Roman" w:hAnsi="Times New Roman"/>
          <w:sz w:val="24"/>
          <w:szCs w:val="24"/>
        </w:rPr>
        <w:t>If a federally imposed eviction moratorium is to continue,</w:t>
      </w:r>
      <w:r>
        <w:rPr>
          <w:rStyle w:val="markedcontent"/>
          <w:rFonts w:ascii="Times New Roman" w:hAnsi="Times New Roman"/>
          <w:sz w:val="24"/>
          <w:szCs w:val="24"/>
        </w:rPr>
        <w:t xml:space="preserve"> </w:t>
      </w:r>
      <w:r w:rsidRPr="00B14006">
        <w:rPr>
          <w:rStyle w:val="markedcontent"/>
          <w:rFonts w:ascii="Times New Roman" w:hAnsi="Times New Roman"/>
          <w:sz w:val="24"/>
          <w:szCs w:val="24"/>
        </w:rPr>
        <w:t>Congress must specifically authorize it.</w:t>
      </w:r>
      <w:r>
        <w:rPr>
          <w:rStyle w:val="markedcontent"/>
          <w:rFonts w:ascii="Times New Roman" w:hAnsi="Times New Roman"/>
          <w:sz w:val="24"/>
          <w:szCs w:val="24"/>
        </w:rPr>
        <w:t xml:space="preserve">”  </w:t>
      </w:r>
      <w:hyperlink r:id="rId265" w:history="1">
        <w:r w:rsidRPr="007D2E44">
          <w:rPr>
            <w:rStyle w:val="Hyperlink"/>
            <w:sz w:val="24"/>
            <w:szCs w:val="24"/>
          </w:rPr>
          <w:t>https://www.supremecourt.gov/opinions/20pdf/21a23_ap6c.pdf</w:t>
        </w:r>
      </w:hyperlink>
      <w:r>
        <w:rPr>
          <w:rStyle w:val="markedcontent"/>
          <w:rFonts w:ascii="Times New Roman" w:hAnsi="Times New Roman"/>
          <w:sz w:val="24"/>
          <w:szCs w:val="24"/>
        </w:rPr>
        <w:t xml:space="preserve"> </w:t>
      </w:r>
    </w:p>
    <w:p w14:paraId="7ECD0B4D" w14:textId="77777777" w:rsidR="00382F02" w:rsidRDefault="00382F02" w:rsidP="00382F02">
      <w:pPr>
        <w:pStyle w:val="NoSpacing"/>
        <w:rPr>
          <w:rStyle w:val="markedcontent"/>
          <w:rFonts w:ascii="Times New Roman" w:hAnsi="Times New Roman"/>
          <w:b/>
          <w:bCs/>
          <w:sz w:val="24"/>
          <w:szCs w:val="24"/>
        </w:rPr>
      </w:pPr>
    </w:p>
    <w:p w14:paraId="42FBFAE0" w14:textId="6BE301E8" w:rsidR="00382F02" w:rsidRDefault="00382F02" w:rsidP="00382F02">
      <w:pPr>
        <w:pStyle w:val="NoSpacing"/>
        <w:rPr>
          <w:rStyle w:val="markedcontent"/>
          <w:rFonts w:ascii="Times New Roman" w:hAnsi="Times New Roman"/>
          <w:b/>
          <w:bCs/>
          <w:sz w:val="24"/>
          <w:szCs w:val="24"/>
        </w:rPr>
      </w:pPr>
      <w:r w:rsidRPr="00C708A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 The Court’s majority are obviously conservative; Congress can now act to implement a moratorium if it so chooses. </w:t>
      </w:r>
    </w:p>
    <w:p w14:paraId="57D444A1" w14:textId="77777777" w:rsidR="00382F02" w:rsidRDefault="00382F02" w:rsidP="00382F02">
      <w:pPr>
        <w:pStyle w:val="NoSpacing"/>
        <w:rPr>
          <w:rStyle w:val="markedcontent"/>
          <w:rFonts w:ascii="Times New Roman" w:hAnsi="Times New Roman"/>
          <w:b/>
          <w:bCs/>
          <w:sz w:val="24"/>
          <w:szCs w:val="24"/>
        </w:rPr>
      </w:pPr>
    </w:p>
    <w:p w14:paraId="0559CBDA"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 xml:space="preserve">Note:  Amicus Brief [twenty-two states and District of Columbia filed Amicus brief supporting the CDC memorandum.]  </w:t>
      </w:r>
    </w:p>
    <w:p w14:paraId="60EE2B3B" w14:textId="77777777" w:rsidR="00382F02" w:rsidRDefault="00382F02" w:rsidP="00382F02">
      <w:pPr>
        <w:pStyle w:val="NoSpacing"/>
        <w:rPr>
          <w:rStyle w:val="markedcontent"/>
          <w:rFonts w:ascii="Times New Roman" w:hAnsi="Times New Roman"/>
          <w:sz w:val="24"/>
          <w:szCs w:val="24"/>
        </w:rPr>
      </w:pPr>
    </w:p>
    <w:p w14:paraId="2BFD69C0"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B14006">
        <w:rPr>
          <w:rStyle w:val="markedcontent"/>
          <w:rFonts w:ascii="Times New Roman" w:hAnsi="Times New Roman"/>
          <w:sz w:val="24"/>
          <w:szCs w:val="24"/>
        </w:rPr>
        <w:t>Eviction protections have been key public health tools to slow the spread of the virus. They ensure individuals have a space to isolate, and they prevent vulnerable individuals from being forced out onto the street, into shelters, or into the homes of family or friends, potentially exposing themselves and others to the virus. Forty-four states—from Alabama to California and Hawaii to Montana—have implemented eviction protections of some sort during the pandemic.</w:t>
      </w:r>
      <w:r>
        <w:rPr>
          <w:rStyle w:val="markedcontent"/>
          <w:rFonts w:ascii="Times New Roman" w:hAnsi="Times New Roman"/>
          <w:sz w:val="24"/>
          <w:szCs w:val="24"/>
        </w:rPr>
        <w:t xml:space="preserve">” </w:t>
      </w:r>
      <w:hyperlink r:id="rId266" w:history="1">
        <w:r w:rsidRPr="007D2E44">
          <w:rPr>
            <w:rStyle w:val="Hyperlink"/>
            <w:sz w:val="24"/>
            <w:szCs w:val="24"/>
          </w:rPr>
          <w:t>https://www.supremecourt.gov/DocketPDF/20/20A169/181359/20210610165940894_20A169%20Amicus%20Mot.pdf</w:t>
        </w:r>
      </w:hyperlink>
      <w:r>
        <w:rPr>
          <w:rStyle w:val="markedcontent"/>
          <w:rFonts w:ascii="Times New Roman" w:hAnsi="Times New Roman"/>
          <w:sz w:val="24"/>
          <w:szCs w:val="24"/>
        </w:rPr>
        <w:t xml:space="preserve"> </w:t>
      </w:r>
    </w:p>
    <w:p w14:paraId="33CEB322" w14:textId="77777777" w:rsidR="00382F02" w:rsidRDefault="00382F02" w:rsidP="00382F02">
      <w:pPr>
        <w:pStyle w:val="NoSpacing"/>
        <w:ind w:left="720"/>
        <w:rPr>
          <w:rStyle w:val="markedcontent"/>
          <w:rFonts w:ascii="Times New Roman" w:hAnsi="Times New Roman"/>
          <w:sz w:val="24"/>
          <w:szCs w:val="24"/>
        </w:rPr>
      </w:pPr>
    </w:p>
    <w:p w14:paraId="1BBAE4AA" w14:textId="77777777" w:rsidR="00382F02" w:rsidRDefault="00382F02" w:rsidP="00382F02">
      <w:pPr>
        <w:pStyle w:val="articleparagraph"/>
        <w:ind w:left="720"/>
      </w:pPr>
      <w:r w:rsidRPr="00515C58">
        <w:rPr>
          <w:rStyle w:val="markedcontent"/>
        </w:rPr>
        <w:t>See article (Aug. 26, 2021): “</w:t>
      </w:r>
      <w:r w:rsidRPr="00515C58">
        <w:t xml:space="preserve">Supreme Court blocks Biden's COVID-19 eviction moratorium in a blow to renters.” </w:t>
      </w:r>
      <w:hyperlink r:id="rId267" w:history="1">
        <w:r w:rsidRPr="00515C58">
          <w:rPr>
            <w:rStyle w:val="Hyperlink"/>
          </w:rPr>
          <w:t>https://www.usatoday.com/story/news/politics/2021/08/27/supreme-court-blocks-president-bidens-covid-19-eviction-moratorium/8243599002/</w:t>
        </w:r>
      </w:hyperlink>
    </w:p>
    <w:p w14:paraId="0A37EA56" w14:textId="77777777" w:rsidR="00382F02" w:rsidRDefault="00382F02" w:rsidP="002B1283">
      <w:pPr>
        <w:rPr>
          <w:rFonts w:ascii="Arial Black" w:hAnsi="Arial Black"/>
          <w:b/>
          <w:sz w:val="24"/>
          <w:szCs w:val="24"/>
        </w:rPr>
      </w:pPr>
    </w:p>
    <w:p w14:paraId="0BE3A2E3" w14:textId="77777777" w:rsidR="00382F02" w:rsidRDefault="00382F02" w:rsidP="002B1283">
      <w:pPr>
        <w:rPr>
          <w:rFonts w:ascii="Arial Black" w:hAnsi="Arial Black"/>
          <w:b/>
          <w:sz w:val="24"/>
          <w:szCs w:val="24"/>
        </w:rPr>
      </w:pPr>
    </w:p>
    <w:p w14:paraId="159EF509" w14:textId="79CB6B63" w:rsidR="00382F02" w:rsidRDefault="00382F02" w:rsidP="002B1283">
      <w:pPr>
        <w:rPr>
          <w:rFonts w:ascii="Arial Black" w:hAnsi="Arial Black"/>
          <w:b/>
          <w:sz w:val="24"/>
          <w:szCs w:val="24"/>
        </w:rPr>
      </w:pPr>
      <w:r>
        <w:rPr>
          <w:rFonts w:ascii="Arial Black" w:hAnsi="Arial Black"/>
          <w:b/>
          <w:sz w:val="24"/>
          <w:szCs w:val="24"/>
        </w:rPr>
        <w:t>1-83</w:t>
      </w:r>
    </w:p>
    <w:p w14:paraId="1B388008" w14:textId="77777777" w:rsidR="00382F02" w:rsidRPr="00E900D2" w:rsidRDefault="00382F02" w:rsidP="00382F02">
      <w:pPr>
        <w:pStyle w:val="NoSpacing"/>
        <w:rPr>
          <w:rStyle w:val="markedcontent"/>
          <w:rFonts w:ascii="Arial Black" w:hAnsi="Arial Black"/>
          <w:sz w:val="28"/>
          <w:szCs w:val="28"/>
        </w:rPr>
      </w:pPr>
      <w:bookmarkStart w:id="7" w:name="_Hlk81840928"/>
      <w:r w:rsidRPr="00E900D2">
        <w:rPr>
          <w:rStyle w:val="markedcontent"/>
          <w:rFonts w:ascii="Arial Black" w:hAnsi="Arial Black"/>
          <w:sz w:val="28"/>
          <w:szCs w:val="28"/>
        </w:rPr>
        <w:t>U.S. SUPREME COURT</w:t>
      </w:r>
      <w:r>
        <w:rPr>
          <w:rStyle w:val="markedcontent"/>
          <w:rFonts w:ascii="Arial Black" w:hAnsi="Arial Black"/>
          <w:sz w:val="28"/>
          <w:szCs w:val="28"/>
        </w:rPr>
        <w:t>: DEPORTATIONS BACK TO MEXICO - TX, MO. WIN INJUNCTION, TRUMP POLICY RESTARTED</w:t>
      </w:r>
    </w:p>
    <w:bookmarkEnd w:id="7"/>
    <w:p w14:paraId="619460C3" w14:textId="77777777" w:rsidR="00382F02" w:rsidRDefault="00382F02" w:rsidP="00382F02">
      <w:pPr>
        <w:pStyle w:val="NoSpacing"/>
        <w:rPr>
          <w:rStyle w:val="markedcontent"/>
          <w:rFonts w:ascii="Courier New" w:hAnsi="Courier New" w:cs="Courier New"/>
          <w:sz w:val="25"/>
          <w:szCs w:val="25"/>
        </w:rPr>
      </w:pPr>
    </w:p>
    <w:p w14:paraId="1450F8FA" w14:textId="77777777" w:rsidR="00382F02" w:rsidRDefault="00382F02" w:rsidP="00382F02">
      <w:pPr>
        <w:pStyle w:val="NoSpacing"/>
        <w:rPr>
          <w:rStyle w:val="markedcontent"/>
          <w:rFonts w:ascii="Times New Roman" w:hAnsi="Times New Roman"/>
          <w:sz w:val="24"/>
          <w:szCs w:val="24"/>
        </w:rPr>
      </w:pPr>
      <w:r w:rsidRPr="00E900D2">
        <w:rPr>
          <w:rStyle w:val="markedcontent"/>
          <w:rFonts w:ascii="Times New Roman" w:hAnsi="Times New Roman"/>
          <w:sz w:val="24"/>
          <w:szCs w:val="24"/>
        </w:rPr>
        <w:t xml:space="preserve">On </w:t>
      </w:r>
      <w:r>
        <w:rPr>
          <w:rStyle w:val="markedcontent"/>
          <w:rFonts w:ascii="Times New Roman" w:hAnsi="Times New Roman"/>
          <w:sz w:val="24"/>
          <w:szCs w:val="24"/>
        </w:rPr>
        <w:t xml:space="preserve">Aug. 24, 2021, in </w:t>
      </w:r>
      <w:r w:rsidRPr="007029FC">
        <w:rPr>
          <w:rStyle w:val="markedcontent"/>
          <w:rFonts w:ascii="Times New Roman" w:hAnsi="Times New Roman"/>
          <w:sz w:val="24"/>
          <w:szCs w:val="24"/>
          <w:u w:val="single"/>
        </w:rPr>
        <w:t>Biden, President of U.S. v. Texas &amp; Missouri</w:t>
      </w:r>
      <w:r>
        <w:rPr>
          <w:rStyle w:val="markedcontent"/>
          <w:rFonts w:ascii="Times New Roman" w:hAnsi="Times New Roman"/>
          <w:sz w:val="24"/>
          <w:szCs w:val="24"/>
        </w:rPr>
        <w:t xml:space="preserve">, the U.S. Supreme Court denied the U.S. Government’s application to stay a nationwide injunction issued on Aug. 13, </w:t>
      </w:r>
      <w:proofErr w:type="gramStart"/>
      <w:r>
        <w:rPr>
          <w:rStyle w:val="markedcontent"/>
          <w:rFonts w:ascii="Times New Roman" w:hAnsi="Times New Roman"/>
          <w:sz w:val="24"/>
          <w:szCs w:val="24"/>
        </w:rPr>
        <w:t>2021</w:t>
      </w:r>
      <w:proofErr w:type="gramEnd"/>
      <w:r>
        <w:rPr>
          <w:rStyle w:val="markedcontent"/>
          <w:rFonts w:ascii="Times New Roman" w:hAnsi="Times New Roman"/>
          <w:sz w:val="24"/>
          <w:szCs w:val="24"/>
        </w:rPr>
        <w:t xml:space="preserve"> by Federal District Court Judge in Texas in a lawsuit filed by states of Texas and Missouri.  U.S. District Court Judge  Matthew J. Kacsmaryk, Northern District of Texas, held a one-day evidentiary hearing and found that President Biden’s </w:t>
      </w:r>
      <w:r w:rsidRPr="00054653">
        <w:rPr>
          <w:rStyle w:val="markedcontent"/>
          <w:rFonts w:ascii="Times New Roman" w:hAnsi="Times New Roman"/>
          <w:sz w:val="24"/>
          <w:szCs w:val="24"/>
        </w:rPr>
        <w:t>Secretary</w:t>
      </w:r>
      <w:r>
        <w:rPr>
          <w:rStyle w:val="markedcontent"/>
          <w:rFonts w:ascii="Times New Roman" w:hAnsi="Times New Roman"/>
          <w:sz w:val="24"/>
          <w:szCs w:val="24"/>
        </w:rPr>
        <w:t xml:space="preserve"> of Department of Homeland Security, in cancelling President Trump’s 2018 Migrant Protection Protocols [which had deported 68,000 aliens by Dec. 31, 2020] “</w:t>
      </w:r>
      <w:r w:rsidRPr="00054653">
        <w:rPr>
          <w:rStyle w:val="markedcontent"/>
          <w:rFonts w:ascii="Times New Roman" w:hAnsi="Times New Roman"/>
          <w:sz w:val="24"/>
          <w:szCs w:val="24"/>
        </w:rPr>
        <w:t xml:space="preserve">failed to consider the warnings by career DHS personnel that </w:t>
      </w:r>
      <w:r>
        <w:rPr>
          <w:rStyle w:val="markedcontent"/>
          <w:rFonts w:ascii="Times New Roman" w:hAnsi="Times New Roman"/>
          <w:sz w:val="24"/>
          <w:szCs w:val="24"/>
        </w:rPr>
        <w:t>‘</w:t>
      </w:r>
      <w:r w:rsidRPr="00054653">
        <w:rPr>
          <w:rStyle w:val="markedcontent"/>
          <w:rFonts w:ascii="Times New Roman" w:hAnsi="Times New Roman"/>
          <w:sz w:val="24"/>
          <w:szCs w:val="24"/>
        </w:rPr>
        <w:t>the suspension of the MPP</w:t>
      </w:r>
      <w:r>
        <w:rPr>
          <w:rStyle w:val="markedcontent"/>
          <w:rFonts w:ascii="Times New Roman" w:hAnsi="Times New Roman"/>
          <w:sz w:val="24"/>
          <w:szCs w:val="24"/>
        </w:rPr>
        <w:t xml:space="preserve"> </w:t>
      </w:r>
      <w:r w:rsidRPr="00054653">
        <w:rPr>
          <w:rStyle w:val="markedcontent"/>
          <w:rFonts w:ascii="Times New Roman" w:hAnsi="Times New Roman"/>
          <w:sz w:val="24"/>
          <w:szCs w:val="24"/>
        </w:rPr>
        <w:t xml:space="preserve"> along with other policies, would lead to a resurgence of illegal aliens attempting to illegally</w:t>
      </w:r>
      <w:r>
        <w:rPr>
          <w:rStyle w:val="markedcontent"/>
          <w:rFonts w:ascii="Times New Roman" w:hAnsi="Times New Roman"/>
          <w:sz w:val="24"/>
          <w:szCs w:val="24"/>
        </w:rPr>
        <w:t>’</w:t>
      </w:r>
      <w:r w:rsidRPr="00054653">
        <w:rPr>
          <w:rStyle w:val="markedcontent"/>
          <w:rFonts w:ascii="Times New Roman" w:hAnsi="Times New Roman"/>
          <w:sz w:val="24"/>
          <w:szCs w:val="24"/>
        </w:rPr>
        <w:t xml:space="preserve"> cross the border.</w:t>
      </w:r>
      <w:r>
        <w:rPr>
          <w:rStyle w:val="markedcontent"/>
          <w:rFonts w:ascii="Times New Roman" w:hAnsi="Times New Roman"/>
          <w:sz w:val="24"/>
          <w:szCs w:val="24"/>
        </w:rPr>
        <w:t xml:space="preserve">”  </w:t>
      </w:r>
      <w:hyperlink r:id="rId268" w:history="1">
        <w:r w:rsidRPr="007D2E44">
          <w:rPr>
            <w:rStyle w:val="Hyperlink"/>
            <w:sz w:val="24"/>
            <w:szCs w:val="24"/>
          </w:rPr>
          <w:t>https://storage.courtlistener.com/recap/gov.uscourts.txnd.346680/gov.uscourts.txnd.346680.94.0.pdf</w:t>
        </w:r>
      </w:hyperlink>
      <w:r>
        <w:rPr>
          <w:rStyle w:val="markedcontent"/>
          <w:rFonts w:ascii="Times New Roman" w:hAnsi="Times New Roman"/>
          <w:sz w:val="24"/>
          <w:szCs w:val="24"/>
        </w:rPr>
        <w:t xml:space="preserve"> </w:t>
      </w:r>
    </w:p>
    <w:p w14:paraId="032BF5D9" w14:textId="1282F4A8" w:rsidR="00382F02" w:rsidRDefault="00382F02" w:rsidP="002B1283">
      <w:pPr>
        <w:rPr>
          <w:rFonts w:ascii="Arial Black" w:hAnsi="Arial Black"/>
          <w:b/>
          <w:sz w:val="24"/>
          <w:szCs w:val="24"/>
        </w:rPr>
      </w:pPr>
    </w:p>
    <w:p w14:paraId="5A2C5FFE" w14:textId="77777777" w:rsidR="00382F02" w:rsidRDefault="00382F02" w:rsidP="00382F02">
      <w:pPr>
        <w:pStyle w:val="NoSpacing"/>
        <w:rPr>
          <w:rStyle w:val="markedcontent"/>
          <w:rFonts w:ascii="Times New Roman" w:hAnsi="Times New Roman"/>
          <w:b/>
          <w:bCs/>
          <w:sz w:val="24"/>
          <w:szCs w:val="24"/>
        </w:rPr>
      </w:pPr>
      <w:r w:rsidRPr="00DD6BC5">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A powerful win for the states of Texas and Missouri, and other states that are incurring costs from illegal aliens.  </w:t>
      </w:r>
    </w:p>
    <w:p w14:paraId="736B762D" w14:textId="77777777" w:rsidR="00382F02" w:rsidRDefault="00382F02" w:rsidP="00382F02">
      <w:pPr>
        <w:pStyle w:val="NoSpacing"/>
        <w:rPr>
          <w:rStyle w:val="markedcontent"/>
          <w:rFonts w:ascii="Times New Roman" w:hAnsi="Times New Roman"/>
          <w:b/>
          <w:bCs/>
          <w:sz w:val="24"/>
          <w:szCs w:val="24"/>
        </w:rPr>
      </w:pPr>
    </w:p>
    <w:p w14:paraId="7CA1938E" w14:textId="77777777" w:rsidR="00382F02" w:rsidRDefault="00382F02" w:rsidP="00382F02">
      <w:pPr>
        <w:pStyle w:val="NoSpacing"/>
        <w:ind w:left="720"/>
        <w:rPr>
          <w:rStyle w:val="markedcontent"/>
          <w:rFonts w:ascii="Times New Roman" w:hAnsi="Times New Roman"/>
          <w:sz w:val="24"/>
          <w:szCs w:val="24"/>
        </w:rPr>
      </w:pPr>
      <w:r w:rsidRPr="00DD6BC5">
        <w:rPr>
          <w:rStyle w:val="markedcontent"/>
          <w:rFonts w:ascii="Times New Roman" w:hAnsi="Times New Roman"/>
          <w:sz w:val="24"/>
          <w:szCs w:val="24"/>
        </w:rPr>
        <w:t xml:space="preserve">Note: The Administrative Procedures Act provides that “[t]he reviewing court shall . . . hold unlawful and set aside agency action, findings, and conclusions found to be . . . arbitrary, capricious, an abuse of discretion, or otherwise not in accordance with law.” 5 U.S.C. § 706(2)(A).  </w:t>
      </w:r>
    </w:p>
    <w:p w14:paraId="5DA6AE7D" w14:textId="77777777" w:rsidR="00382F02" w:rsidRDefault="00382F02" w:rsidP="00382F02">
      <w:pPr>
        <w:pStyle w:val="NoSpacing"/>
        <w:ind w:left="720"/>
        <w:rPr>
          <w:rStyle w:val="markedcontent"/>
          <w:sz w:val="24"/>
          <w:szCs w:val="24"/>
        </w:rPr>
      </w:pPr>
    </w:p>
    <w:p w14:paraId="5E80CDA5" w14:textId="77777777" w:rsidR="00382F02" w:rsidRDefault="00382F02" w:rsidP="00382F02">
      <w:pPr>
        <w:pStyle w:val="NoSpacing"/>
        <w:ind w:left="720"/>
        <w:rPr>
          <w:rStyle w:val="markedcontent"/>
          <w:rFonts w:ascii="Times New Roman" w:hAnsi="Times New Roman"/>
          <w:sz w:val="24"/>
          <w:szCs w:val="24"/>
        </w:rPr>
      </w:pPr>
      <w:r w:rsidRPr="00B17D11">
        <w:rPr>
          <w:rStyle w:val="markedcontent"/>
          <w:rFonts w:ascii="Times New Roman" w:hAnsi="Times New Roman"/>
          <w:sz w:val="24"/>
          <w:szCs w:val="24"/>
        </w:rPr>
        <w:t>See article: Aug. 25, 2021: “</w:t>
      </w:r>
      <w:r w:rsidRPr="00B17D11">
        <w:rPr>
          <w:rFonts w:ascii="Times New Roman" w:hAnsi="Times New Roman"/>
          <w:sz w:val="24"/>
          <w:szCs w:val="24"/>
        </w:rPr>
        <w:t>Supreme Court allows revival of Trump-era ‘Remain in Mexico’ asylum policy.”</w:t>
      </w:r>
      <w:r w:rsidRPr="00803923">
        <w:rPr>
          <w:sz w:val="24"/>
          <w:szCs w:val="24"/>
        </w:rPr>
        <w:t xml:space="preserve">  </w:t>
      </w:r>
      <w:hyperlink r:id="rId269" w:history="1">
        <w:r w:rsidRPr="00803923">
          <w:rPr>
            <w:rStyle w:val="Hyperlink"/>
            <w:sz w:val="24"/>
            <w:szCs w:val="24"/>
          </w:rPr>
          <w:t>https://indianexpress.com/article/world/supreme-court-allows-revival-of-trump-era-remain-in-mexico-asylum-policy-7469812/</w:t>
        </w:r>
      </w:hyperlink>
    </w:p>
    <w:p w14:paraId="44F08508" w14:textId="77777777" w:rsidR="00382F02" w:rsidRDefault="00382F02" w:rsidP="002B1283">
      <w:pPr>
        <w:rPr>
          <w:rFonts w:ascii="Arial Black" w:hAnsi="Arial Black"/>
          <w:b/>
          <w:sz w:val="24"/>
          <w:szCs w:val="24"/>
        </w:rPr>
      </w:pPr>
    </w:p>
    <w:p w14:paraId="25A3FF96" w14:textId="77777777" w:rsidR="00382F02" w:rsidRDefault="00382F02" w:rsidP="002B1283">
      <w:pPr>
        <w:rPr>
          <w:rFonts w:ascii="Arial Black" w:hAnsi="Arial Black"/>
          <w:b/>
          <w:sz w:val="24"/>
          <w:szCs w:val="24"/>
        </w:rPr>
      </w:pPr>
    </w:p>
    <w:p w14:paraId="379562E7" w14:textId="0E2B13D1" w:rsidR="00382F02" w:rsidRDefault="00382F02" w:rsidP="002B1283">
      <w:pPr>
        <w:rPr>
          <w:rFonts w:ascii="Arial Black" w:hAnsi="Arial Black"/>
          <w:b/>
          <w:sz w:val="24"/>
          <w:szCs w:val="24"/>
        </w:rPr>
      </w:pPr>
      <w:r>
        <w:rPr>
          <w:rFonts w:ascii="Arial Black" w:hAnsi="Arial Black"/>
          <w:b/>
          <w:sz w:val="24"/>
          <w:szCs w:val="24"/>
        </w:rPr>
        <w:t>1-82</w:t>
      </w:r>
    </w:p>
    <w:p w14:paraId="17C258E0" w14:textId="77777777" w:rsidR="00382F02" w:rsidRPr="00967053" w:rsidRDefault="00382F02" w:rsidP="00382F02">
      <w:pPr>
        <w:pStyle w:val="NormalWeb"/>
        <w:rPr>
          <w:rFonts w:ascii="Arial Black" w:hAnsi="Arial Black"/>
          <w:sz w:val="28"/>
          <w:szCs w:val="28"/>
        </w:rPr>
      </w:pPr>
      <w:bookmarkStart w:id="8" w:name="_Hlk81841064"/>
      <w:r>
        <w:rPr>
          <w:rFonts w:ascii="Arial Black" w:hAnsi="Arial Black"/>
          <w:sz w:val="28"/>
          <w:szCs w:val="28"/>
        </w:rPr>
        <w:t xml:space="preserve">OK: ARSON INVESTIGATORS OBTAINED ARREST WARRANT – NO LIABILITY WHEN FEDERAL ARSON CASE DROPPED </w:t>
      </w:r>
    </w:p>
    <w:bookmarkEnd w:id="8"/>
    <w:p w14:paraId="15D83E6D" w14:textId="77777777" w:rsidR="00382F02" w:rsidRDefault="00382F02" w:rsidP="00382F02">
      <w:pPr>
        <w:pStyle w:val="NormalWeb"/>
        <w:tabs>
          <w:tab w:val="left" w:pos="8070"/>
        </w:tabs>
      </w:pPr>
      <w:r>
        <w:t xml:space="preserve">On Aug. 10, 2021, in </w:t>
      </w:r>
      <w:r w:rsidRPr="00967053">
        <w:rPr>
          <w:u w:val="single"/>
        </w:rPr>
        <w:t>David Anthony Ciempa v. City of Del City, Oklahoma</w:t>
      </w:r>
      <w:r>
        <w:t>, the U.S. Court of Appeals for the 10</w:t>
      </w:r>
      <w:r w:rsidRPr="00967053">
        <w:rPr>
          <w:vertAlign w:val="superscript"/>
        </w:rPr>
        <w:t>th</w:t>
      </w:r>
      <w:r>
        <w:t xml:space="preserve"> Circuit (Denver, Colorado) held (3 to 0) that U.S. District Court properly dismissed the pro se [not represented by an attorney] lawsuit for “malicious prosecution” against Deputy Fire Chief Jeff Keester and police officer [Major] Zion Williams; an arrest warrant for arson had been obtained from a state judge based on probable cause, there were no false statements in warrant affidavit; the federal arson charges were dropped because of an uncooperative witness, not because arson defendant was innocent.  </w:t>
      </w:r>
    </w:p>
    <w:p w14:paraId="23DFA627" w14:textId="77777777" w:rsidR="00382F02" w:rsidRDefault="00382F02" w:rsidP="00382F02">
      <w:pPr>
        <w:pStyle w:val="NormalWeb"/>
        <w:ind w:left="720"/>
      </w:pPr>
      <w:r>
        <w:t xml:space="preserve">“In particular, the court said the criminal case was dismissed due to an uncooperative victim, not because Mr. Ciempa was </w:t>
      </w:r>
      <w:proofErr w:type="gramStart"/>
      <w:r>
        <w:t>actually innocent</w:t>
      </w:r>
      <w:proofErr w:type="gramEnd"/>
      <w:r>
        <w:t xml:space="preserve">. </w:t>
      </w:r>
      <w:r>
        <w:rPr>
          <w:rStyle w:val="Emphasis"/>
        </w:rPr>
        <w:t>See id.</w:t>
      </w:r>
      <w:r>
        <w:t xml:space="preserve"> at 802-03 (explaining that to qualify as a favorable termination, a dismissal must indicate the accused's innocence or at least be inconsistent with guilt). It also noted that the state judge had determined there was probable cause for the arrest and prosecution, and that Mr. Ciempa could not show the investigators procured the warrant by knowingly or recklessly relying on false information. </w:t>
      </w:r>
      <w:r>
        <w:rPr>
          <w:rStyle w:val="Emphasis"/>
        </w:rPr>
        <w:t>See Sanchez v. Hartley</w:t>
      </w:r>
      <w:r>
        <w:t xml:space="preserve">, 810 F.3d 750, 754 (10th Cir. 2016) (recognizing a plaintiff can establish a malicious prosecution constitutional violation by showing "officers . . . knowingly or recklessly </w:t>
      </w:r>
      <w:proofErr w:type="spellStart"/>
      <w:r>
        <w:t>rel</w:t>
      </w:r>
      <w:proofErr w:type="spellEnd"/>
      <w:r>
        <w:t>[</w:t>
      </w:r>
      <w:proofErr w:type="spellStart"/>
      <w:r>
        <w:t>ied</w:t>
      </w:r>
      <w:proofErr w:type="spellEnd"/>
      <w:r>
        <w:t>] on false information to institute legal process . . . result[</w:t>
      </w:r>
      <w:proofErr w:type="spellStart"/>
      <w:r>
        <w:t>ing</w:t>
      </w:r>
      <w:proofErr w:type="spellEnd"/>
      <w:r>
        <w:t xml:space="preserve">] in an unreasonable seizure"). It further concluded Mr. Ciempa could not establish malice, which requires "a substantial showing of deliberate falsehood or reckless disregard for truth," </w:t>
      </w:r>
      <w:r>
        <w:rPr>
          <w:rStyle w:val="Emphasis"/>
        </w:rPr>
        <w:t>Snell v. Tunnell</w:t>
      </w:r>
      <w:r>
        <w:t xml:space="preserve">, 920 F.2d 673, 698 (10th Cir. 1990). The court therefore granted summary judgment based on qualified immunity. Mr. Ciempa appealed the malicious prosecution ruling.” </w:t>
      </w:r>
      <w:hyperlink r:id="rId270" w:history="1">
        <w:r w:rsidRPr="00472D9E">
          <w:rPr>
            <w:rStyle w:val="Hyperlink"/>
          </w:rPr>
          <w:t>https://casetext.com/case/ciempa-v-city-of-del-city</w:t>
        </w:r>
      </w:hyperlink>
      <w:r>
        <w:t xml:space="preserve"> </w:t>
      </w:r>
    </w:p>
    <w:p w14:paraId="17707474" w14:textId="77777777" w:rsidR="00382F02" w:rsidRPr="005E5430" w:rsidRDefault="00382F02" w:rsidP="00382F02">
      <w:pPr>
        <w:rPr>
          <w:rFonts w:ascii="Times New Roman" w:hAnsi="Times New Roman"/>
          <w:b/>
          <w:bCs/>
          <w:sz w:val="24"/>
          <w:szCs w:val="24"/>
        </w:rPr>
      </w:pPr>
      <w:r w:rsidRPr="005E5430">
        <w:rPr>
          <w:rFonts w:ascii="Times New Roman" w:hAnsi="Times New Roman"/>
          <w:b/>
          <w:bCs/>
          <w:sz w:val="24"/>
          <w:szCs w:val="24"/>
        </w:rPr>
        <w:t>Legal Lesson Learned:</w:t>
      </w:r>
      <w:r>
        <w:rPr>
          <w:rFonts w:ascii="Times New Roman" w:hAnsi="Times New Roman"/>
          <w:b/>
          <w:bCs/>
          <w:sz w:val="24"/>
          <w:szCs w:val="24"/>
        </w:rPr>
        <w:t xml:space="preserve"> Arson investigators wisely obtained an arrest warrant based on probable cause.  </w:t>
      </w:r>
    </w:p>
    <w:p w14:paraId="21B0D404" w14:textId="77777777" w:rsidR="00382F02" w:rsidRDefault="00382F02" w:rsidP="002B1283">
      <w:pPr>
        <w:rPr>
          <w:rFonts w:ascii="Arial Black" w:hAnsi="Arial Black"/>
          <w:b/>
          <w:sz w:val="24"/>
          <w:szCs w:val="24"/>
        </w:rPr>
      </w:pPr>
    </w:p>
    <w:p w14:paraId="0F9F94B7" w14:textId="77777777" w:rsidR="00382F02" w:rsidRDefault="00382F02" w:rsidP="002B1283">
      <w:pPr>
        <w:rPr>
          <w:rFonts w:ascii="Arial Black" w:hAnsi="Arial Black"/>
          <w:b/>
          <w:sz w:val="24"/>
          <w:szCs w:val="24"/>
        </w:rPr>
      </w:pPr>
    </w:p>
    <w:p w14:paraId="01AE6D52" w14:textId="78FFFD26" w:rsidR="00382F02" w:rsidRDefault="00382F02" w:rsidP="002B1283">
      <w:pPr>
        <w:rPr>
          <w:rFonts w:ascii="Arial Black" w:hAnsi="Arial Black"/>
          <w:b/>
          <w:sz w:val="24"/>
          <w:szCs w:val="24"/>
        </w:rPr>
      </w:pPr>
      <w:r>
        <w:rPr>
          <w:rFonts w:ascii="Arial Black" w:hAnsi="Arial Black"/>
          <w:b/>
          <w:sz w:val="24"/>
          <w:szCs w:val="24"/>
        </w:rPr>
        <w:t>1-81</w:t>
      </w:r>
    </w:p>
    <w:p w14:paraId="0F1D3515" w14:textId="77777777" w:rsidR="00382F02" w:rsidRDefault="00382F02" w:rsidP="00382F02">
      <w:pPr>
        <w:pStyle w:val="NoSpacing"/>
        <w:rPr>
          <w:rStyle w:val="markedcontent"/>
          <w:rFonts w:ascii="Arial Black" w:hAnsi="Arial Black"/>
          <w:sz w:val="28"/>
          <w:szCs w:val="28"/>
        </w:rPr>
      </w:pPr>
      <w:bookmarkStart w:id="9" w:name="_Hlk81841159"/>
      <w:r>
        <w:rPr>
          <w:rStyle w:val="markedcontent"/>
          <w:rFonts w:ascii="Arial Black" w:hAnsi="Arial Black"/>
          <w:sz w:val="28"/>
          <w:szCs w:val="28"/>
        </w:rPr>
        <w:t xml:space="preserve">CA: FIRE MARSHAL FIRED – RETALIATION - JURY AWARDED HIM $4M – COURT: $1 MILLION &amp; $100,000 OR NEW TRIAL </w:t>
      </w:r>
    </w:p>
    <w:bookmarkEnd w:id="9"/>
    <w:p w14:paraId="6E8A1E86" w14:textId="77777777" w:rsidR="00382F02" w:rsidRDefault="00382F02" w:rsidP="00382F02">
      <w:pPr>
        <w:pStyle w:val="NoSpacing"/>
        <w:rPr>
          <w:rStyle w:val="markedcontent"/>
          <w:rFonts w:ascii="Arial Black" w:hAnsi="Arial Black"/>
          <w:sz w:val="28"/>
          <w:szCs w:val="28"/>
        </w:rPr>
      </w:pPr>
    </w:p>
    <w:p w14:paraId="43C1E7DA" w14:textId="77777777" w:rsidR="00382F02" w:rsidRDefault="00382F02" w:rsidP="00382F02">
      <w:pPr>
        <w:pStyle w:val="NoSpacing"/>
        <w:rPr>
          <w:rStyle w:val="markedcontent"/>
          <w:rFonts w:ascii="Times New Roman" w:hAnsi="Times New Roman"/>
          <w:sz w:val="24"/>
          <w:szCs w:val="24"/>
        </w:rPr>
      </w:pPr>
      <w:r w:rsidRPr="00D01726">
        <w:rPr>
          <w:rStyle w:val="markedcontent"/>
          <w:rFonts w:ascii="Times New Roman" w:hAnsi="Times New Roman"/>
          <w:sz w:val="24"/>
          <w:szCs w:val="24"/>
        </w:rPr>
        <w:t xml:space="preserve">On </w:t>
      </w:r>
      <w:r>
        <w:rPr>
          <w:rStyle w:val="markedcontent"/>
          <w:rFonts w:ascii="Times New Roman" w:hAnsi="Times New Roman"/>
          <w:sz w:val="24"/>
          <w:szCs w:val="24"/>
        </w:rPr>
        <w:t xml:space="preserve">July 1, 2021, in </w:t>
      </w:r>
      <w:r w:rsidRPr="00D01726">
        <w:rPr>
          <w:rStyle w:val="markedcontent"/>
          <w:rFonts w:ascii="Times New Roman" w:hAnsi="Times New Roman"/>
          <w:sz w:val="24"/>
          <w:szCs w:val="24"/>
          <w:u w:val="single"/>
        </w:rPr>
        <w:t>Jason Briley v. City of West Covina</w:t>
      </w:r>
      <w:r>
        <w:rPr>
          <w:rStyle w:val="markedcontent"/>
          <w:rFonts w:ascii="Times New Roman" w:hAnsi="Times New Roman"/>
          <w:sz w:val="24"/>
          <w:szCs w:val="24"/>
        </w:rPr>
        <w:t xml:space="preserve">, the Court of Appeal of the State of California, Second Appellate District (Division Four), held (3 to 0) that the jury verdict in favor of the former Fire Marshal for retaliation was affirmed; in June 2014 he complained that City Mgr. had approved building permit for a development before building plans passed fire inspection.  He was fired Sept. 2015 after city investigated him for using profanity in speaking to an employee at Victoria Secret after a fire </w:t>
      </w:r>
      <w:proofErr w:type="gramStart"/>
      <w:r>
        <w:rPr>
          <w:rStyle w:val="markedcontent"/>
          <w:rFonts w:ascii="Times New Roman" w:hAnsi="Times New Roman"/>
          <w:sz w:val="24"/>
          <w:szCs w:val="24"/>
        </w:rPr>
        <w:t>alarm, and</w:t>
      </w:r>
      <w:proofErr w:type="gramEnd"/>
      <w:r>
        <w:rPr>
          <w:rStyle w:val="markedcontent"/>
          <w:rFonts w:ascii="Times New Roman" w:hAnsi="Times New Roman"/>
          <w:sz w:val="24"/>
          <w:szCs w:val="24"/>
        </w:rPr>
        <w:t xml:space="preserve"> again using profanity talking to employees at a CrossFit gym.  On appeal, the city claimed he failed to exhaust his administrative remedy before filing lawsuit by not first appealing his firing to the City’s Human Relations Commission; but trial court judge, and the Court of Appeals held that this would have been a waste of time since the HR Commission merely makes a recommendation to the same City Manager that fired him.  However, Court of Appeals found $4 million jury verdict was excessive; several months after he was </w:t>
      </w:r>
      <w:proofErr w:type="gramStart"/>
      <w:r>
        <w:rPr>
          <w:rStyle w:val="markedcontent"/>
          <w:rFonts w:ascii="Times New Roman" w:hAnsi="Times New Roman"/>
          <w:sz w:val="24"/>
          <w:szCs w:val="24"/>
        </w:rPr>
        <w:t>fired</w:t>
      </w:r>
      <w:proofErr w:type="gramEnd"/>
      <w:r>
        <w:rPr>
          <w:rStyle w:val="markedcontent"/>
          <w:rFonts w:ascii="Times New Roman" w:hAnsi="Times New Roman"/>
          <w:sz w:val="24"/>
          <w:szCs w:val="24"/>
        </w:rPr>
        <w:t xml:space="preserve"> he was hired as Fire Marshall at City of Murrieta [resigned 10 months later] and testified he suffered little emotional damage.    </w:t>
      </w:r>
    </w:p>
    <w:p w14:paraId="00E862B4" w14:textId="77777777" w:rsidR="00382F02" w:rsidRDefault="00382F02" w:rsidP="00382F02">
      <w:pPr>
        <w:pStyle w:val="NoSpacing"/>
        <w:rPr>
          <w:rStyle w:val="markedcontent"/>
          <w:rFonts w:ascii="Times New Roman" w:hAnsi="Times New Roman"/>
          <w:sz w:val="24"/>
          <w:szCs w:val="24"/>
        </w:rPr>
      </w:pPr>
    </w:p>
    <w:p w14:paraId="6E1F31F5" w14:textId="77777777" w:rsidR="00382F02" w:rsidRDefault="00382F02" w:rsidP="00382F02">
      <w:pPr>
        <w:pStyle w:val="NoSpacing"/>
        <w:ind w:left="720"/>
        <w:rPr>
          <w:rFonts w:ascii="Times New Roman" w:hAnsi="Times New Roman"/>
          <w:sz w:val="24"/>
          <w:szCs w:val="24"/>
        </w:rPr>
      </w:pPr>
      <w:r>
        <w:rPr>
          <w:rStyle w:val="markedcontent"/>
          <w:rFonts w:ascii="Times New Roman" w:hAnsi="Times New Roman"/>
          <w:sz w:val="24"/>
          <w:szCs w:val="24"/>
        </w:rPr>
        <w:t>“</w:t>
      </w:r>
      <w:r w:rsidRPr="00A170C7">
        <w:rPr>
          <w:rFonts w:ascii="Times New Roman" w:hAnsi="Times New Roman"/>
          <w:sz w:val="24"/>
          <w:szCs w:val="24"/>
        </w:rPr>
        <w:t xml:space="preserve">On cross-examination, Briley confirmed he had experienced </w:t>
      </w:r>
      <w:r>
        <w:rPr>
          <w:rFonts w:ascii="Times New Roman" w:hAnsi="Times New Roman"/>
          <w:sz w:val="24"/>
          <w:szCs w:val="24"/>
        </w:rPr>
        <w:t>‘</w:t>
      </w:r>
      <w:r w:rsidRPr="00A170C7">
        <w:rPr>
          <w:rFonts w:ascii="Times New Roman" w:hAnsi="Times New Roman"/>
          <w:sz w:val="24"/>
          <w:szCs w:val="24"/>
        </w:rPr>
        <w:t>the gamut of emotions</w:t>
      </w:r>
      <w:r>
        <w:rPr>
          <w:rFonts w:ascii="Times New Roman" w:hAnsi="Times New Roman"/>
          <w:sz w:val="24"/>
          <w:szCs w:val="24"/>
        </w:rPr>
        <w:t>’</w:t>
      </w:r>
      <w:r w:rsidRPr="00A170C7">
        <w:rPr>
          <w:rFonts w:ascii="Times New Roman" w:hAnsi="Times New Roman"/>
          <w:sz w:val="24"/>
          <w:szCs w:val="24"/>
        </w:rPr>
        <w:t xml:space="preserve"> anyone would experience upon being terminated. He further revealed that he had seen a counselor once or </w:t>
      </w:r>
      <w:proofErr w:type="gramStart"/>
      <w:r w:rsidRPr="00A170C7">
        <w:rPr>
          <w:rFonts w:ascii="Times New Roman" w:hAnsi="Times New Roman"/>
          <w:sz w:val="24"/>
          <w:szCs w:val="24"/>
        </w:rPr>
        <w:t>twice, but</w:t>
      </w:r>
      <w:proofErr w:type="gramEnd"/>
      <w:r w:rsidRPr="00A170C7">
        <w:rPr>
          <w:rFonts w:ascii="Times New Roman" w:hAnsi="Times New Roman"/>
          <w:sz w:val="24"/>
          <w:szCs w:val="24"/>
        </w:rPr>
        <w:t xml:space="preserve"> reported no mental health issues. The City’s counsel noted that Briley had obtained a position as a fire marshal with the City of Murrieta </w:t>
      </w:r>
      <w:proofErr w:type="gramStart"/>
      <w:r w:rsidRPr="00A170C7">
        <w:rPr>
          <w:rFonts w:ascii="Times New Roman" w:hAnsi="Times New Roman"/>
          <w:sz w:val="24"/>
          <w:szCs w:val="24"/>
        </w:rPr>
        <w:t>subsequent to</w:t>
      </w:r>
      <w:proofErr w:type="gramEnd"/>
      <w:r w:rsidRPr="00A170C7">
        <w:rPr>
          <w:rFonts w:ascii="Times New Roman" w:hAnsi="Times New Roman"/>
          <w:sz w:val="24"/>
          <w:szCs w:val="24"/>
        </w:rPr>
        <w:t xml:space="preserve"> his termination and asked Briley if his decision to leave this position after about 10 months is what truly bothered him. In response, Briley admitted he had </w:t>
      </w:r>
      <w:r>
        <w:rPr>
          <w:rFonts w:ascii="Times New Roman" w:hAnsi="Times New Roman"/>
          <w:sz w:val="24"/>
          <w:szCs w:val="24"/>
        </w:rPr>
        <w:t>‘</w:t>
      </w:r>
      <w:r w:rsidRPr="00A170C7">
        <w:rPr>
          <w:rFonts w:ascii="Times New Roman" w:hAnsi="Times New Roman"/>
          <w:sz w:val="24"/>
          <w:szCs w:val="24"/>
        </w:rPr>
        <w:t>walked away</w:t>
      </w:r>
      <w:r>
        <w:rPr>
          <w:rFonts w:ascii="Times New Roman" w:hAnsi="Times New Roman"/>
          <w:sz w:val="24"/>
          <w:szCs w:val="24"/>
        </w:rPr>
        <w:t>’</w:t>
      </w:r>
      <w:r w:rsidRPr="00A170C7">
        <w:rPr>
          <w:rFonts w:ascii="Times New Roman" w:hAnsi="Times New Roman"/>
          <w:sz w:val="24"/>
          <w:szCs w:val="24"/>
        </w:rPr>
        <w:t xml:space="preserve"> from this fire-service </w:t>
      </w:r>
      <w:proofErr w:type="gramStart"/>
      <w:r w:rsidRPr="00A170C7">
        <w:rPr>
          <w:rFonts w:ascii="Times New Roman" w:hAnsi="Times New Roman"/>
          <w:sz w:val="24"/>
          <w:szCs w:val="24"/>
        </w:rPr>
        <w:t>position, but</w:t>
      </w:r>
      <w:proofErr w:type="gramEnd"/>
      <w:r w:rsidRPr="00A170C7">
        <w:rPr>
          <w:rFonts w:ascii="Times New Roman" w:hAnsi="Times New Roman"/>
          <w:sz w:val="24"/>
          <w:szCs w:val="24"/>
        </w:rPr>
        <w:t xml:space="preserve"> claimed that what bothered him were West Covina’s false allegations against him.</w:t>
      </w:r>
    </w:p>
    <w:p w14:paraId="3DCC8867" w14:textId="77777777" w:rsidR="00382F02" w:rsidRDefault="00382F02" w:rsidP="00382F02">
      <w:pPr>
        <w:pStyle w:val="NoSpacing"/>
        <w:ind w:left="720"/>
        <w:rPr>
          <w:rFonts w:ascii="Times New Roman" w:hAnsi="Times New Roman"/>
          <w:sz w:val="24"/>
          <w:szCs w:val="24"/>
        </w:rPr>
      </w:pPr>
    </w:p>
    <w:p w14:paraId="6A99BB4C" w14:textId="77777777" w:rsidR="00382F02" w:rsidRDefault="00382F02" w:rsidP="00382F02">
      <w:pPr>
        <w:pStyle w:val="NoSpacing"/>
        <w:ind w:left="720"/>
        <w:rPr>
          <w:rStyle w:val="markedcontent"/>
          <w:rFonts w:ascii="Times New Roman" w:hAnsi="Times New Roman"/>
          <w:sz w:val="24"/>
          <w:szCs w:val="24"/>
        </w:rPr>
      </w:pPr>
      <w:r>
        <w:rPr>
          <w:rFonts w:ascii="Times New Roman" w:hAnsi="Times New Roman"/>
          <w:sz w:val="24"/>
          <w:szCs w:val="24"/>
        </w:rPr>
        <w:t>***</w:t>
      </w:r>
    </w:p>
    <w:p w14:paraId="26B33152" w14:textId="77777777" w:rsidR="00382F02" w:rsidRDefault="00382F02" w:rsidP="00382F02">
      <w:pPr>
        <w:pStyle w:val="NoSpacing"/>
        <w:ind w:left="720"/>
        <w:rPr>
          <w:rStyle w:val="markedcontent"/>
          <w:rFonts w:ascii="Times New Roman" w:hAnsi="Times New Roman"/>
          <w:sz w:val="24"/>
          <w:szCs w:val="24"/>
        </w:rPr>
      </w:pPr>
    </w:p>
    <w:p w14:paraId="4377E10B" w14:textId="77777777" w:rsidR="00382F02" w:rsidRDefault="00382F02" w:rsidP="00382F02">
      <w:pPr>
        <w:pStyle w:val="NoSpacing"/>
        <w:ind w:left="720"/>
        <w:rPr>
          <w:rStyle w:val="markedcontent"/>
          <w:rFonts w:ascii="Times New Roman" w:hAnsi="Times New Roman"/>
          <w:sz w:val="24"/>
          <w:szCs w:val="24"/>
        </w:rPr>
      </w:pPr>
      <w:r w:rsidRPr="00C254BC">
        <w:rPr>
          <w:rStyle w:val="markedcontent"/>
          <w:rFonts w:ascii="Times New Roman" w:hAnsi="Times New Roman"/>
          <w:sz w:val="24"/>
          <w:szCs w:val="24"/>
        </w:rPr>
        <w:t xml:space="preserve">Based on our review of the record, and in our collective experience, the jury </w:t>
      </w:r>
      <w:r>
        <w:rPr>
          <w:rStyle w:val="markedcontent"/>
          <w:rFonts w:ascii="Times New Roman" w:hAnsi="Times New Roman"/>
          <w:sz w:val="24"/>
          <w:szCs w:val="24"/>
        </w:rPr>
        <w:t>[which awarded him $500,000 economic damages; $2 million past non-economic damages and $1.5 million in future non-economic damages]</w:t>
      </w:r>
      <w:r w:rsidRPr="00C254BC">
        <w:rPr>
          <w:rStyle w:val="markedcontent"/>
          <w:rFonts w:ascii="Times New Roman" w:hAnsi="Times New Roman"/>
          <w:sz w:val="24"/>
          <w:szCs w:val="24"/>
        </w:rPr>
        <w:t>,</w:t>
      </w:r>
      <w:r>
        <w:rPr>
          <w:rStyle w:val="markedcontent"/>
          <w:rFonts w:ascii="Times New Roman" w:hAnsi="Times New Roman"/>
          <w:sz w:val="24"/>
          <w:szCs w:val="24"/>
        </w:rPr>
        <w:t xml:space="preserve"> </w:t>
      </w:r>
      <w:r w:rsidRPr="00C254BC">
        <w:rPr>
          <w:rStyle w:val="markedcontent"/>
          <w:rFonts w:ascii="Times New Roman" w:hAnsi="Times New Roman"/>
          <w:sz w:val="24"/>
          <w:szCs w:val="24"/>
        </w:rPr>
        <w:t xml:space="preserve">could have awarded Briley no more than $1 million for past noneconomic damages reflecting the distress, financial uncertainty, and sleep-related issues he experienced in the aftermath of his termination. </w:t>
      </w:r>
      <w:proofErr w:type="gramStart"/>
      <w:r w:rsidRPr="00C254BC">
        <w:rPr>
          <w:rStyle w:val="markedcontent"/>
          <w:rFonts w:ascii="Times New Roman" w:hAnsi="Times New Roman"/>
          <w:sz w:val="24"/>
          <w:szCs w:val="24"/>
        </w:rPr>
        <w:t>We further</w:t>
      </w:r>
      <w:proofErr w:type="gramEnd"/>
      <w:r w:rsidRPr="00C254BC">
        <w:rPr>
          <w:rStyle w:val="markedcontent"/>
          <w:rFonts w:ascii="Times New Roman" w:hAnsi="Times New Roman"/>
          <w:sz w:val="24"/>
          <w:szCs w:val="24"/>
        </w:rPr>
        <w:t xml:space="preserve"> conclude the jury could have </w:t>
      </w:r>
      <w:proofErr w:type="gramStart"/>
      <w:r w:rsidRPr="00C254BC">
        <w:rPr>
          <w:rStyle w:val="markedcontent"/>
          <w:rFonts w:ascii="Times New Roman" w:hAnsi="Times New Roman"/>
          <w:sz w:val="24"/>
          <w:szCs w:val="24"/>
        </w:rPr>
        <w:t>awarded</w:t>
      </w:r>
      <w:proofErr w:type="gramEnd"/>
      <w:r w:rsidRPr="00C254BC">
        <w:rPr>
          <w:rStyle w:val="markedcontent"/>
          <w:rFonts w:ascii="Times New Roman" w:hAnsi="Times New Roman"/>
          <w:sz w:val="24"/>
          <w:szCs w:val="24"/>
        </w:rPr>
        <w:t xml:space="preserve"> no more than $100,000 for Briley’s future noneconomic damages, reflecting the largely diminished effects of his termination in the wake of the jury’s verdict. While these amounts remain high in relation to the evidence of Briley’s harm, we may not insert our own assessment for that of the jury; instead, we ask only what amount the jury could reasonably have awarded. (See Bigler-Engler, supra, 7 Cal.App.5th at 299.) Accordingly, we vacate the past and future noneconomic damages awards and </w:t>
      </w:r>
      <w:proofErr w:type="gramStart"/>
      <w:r w:rsidRPr="00C254BC">
        <w:rPr>
          <w:rStyle w:val="markedcontent"/>
          <w:rFonts w:ascii="Times New Roman" w:hAnsi="Times New Roman"/>
          <w:sz w:val="24"/>
          <w:szCs w:val="24"/>
        </w:rPr>
        <w:t>remand</w:t>
      </w:r>
      <w:proofErr w:type="gramEnd"/>
      <w:r w:rsidRPr="00C254BC">
        <w:rPr>
          <w:rStyle w:val="markedcontent"/>
          <w:rFonts w:ascii="Times New Roman" w:hAnsi="Times New Roman"/>
          <w:sz w:val="24"/>
          <w:szCs w:val="24"/>
        </w:rPr>
        <w:t xml:space="preserve"> for a new trial on those issues, unless Briley accepts a reduction of the awards to $1 million and $100,000, respectively. (See id., at 306.)</w:t>
      </w:r>
      <w:r>
        <w:rPr>
          <w:rStyle w:val="markedcontent"/>
          <w:rFonts w:ascii="Times New Roman" w:hAnsi="Times New Roman"/>
          <w:sz w:val="24"/>
          <w:szCs w:val="24"/>
        </w:rPr>
        <w:t xml:space="preserve">” </w:t>
      </w:r>
      <w:hyperlink r:id="rId271" w:history="1">
        <w:r w:rsidRPr="00C10414">
          <w:rPr>
            <w:rStyle w:val="Hyperlink"/>
            <w:sz w:val="24"/>
            <w:szCs w:val="24"/>
          </w:rPr>
          <w:t>https://cases.justia.com/california/court-of-appeal/2021-b295666.pdf?ts=1625180487</w:t>
        </w:r>
      </w:hyperlink>
      <w:r>
        <w:rPr>
          <w:rStyle w:val="markedcontent"/>
          <w:rFonts w:ascii="Times New Roman" w:hAnsi="Times New Roman"/>
          <w:sz w:val="24"/>
          <w:szCs w:val="24"/>
        </w:rPr>
        <w:t xml:space="preserve"> </w:t>
      </w:r>
    </w:p>
    <w:p w14:paraId="3D8E1736" w14:textId="4E8830E9" w:rsidR="00382F02" w:rsidRDefault="00382F02" w:rsidP="002B1283">
      <w:pPr>
        <w:rPr>
          <w:rFonts w:ascii="Arial Black" w:hAnsi="Arial Black"/>
          <w:b/>
          <w:sz w:val="24"/>
          <w:szCs w:val="24"/>
        </w:rPr>
      </w:pPr>
    </w:p>
    <w:p w14:paraId="1A6782C2" w14:textId="77777777" w:rsidR="00382F02" w:rsidRPr="002C56EC" w:rsidRDefault="00382F02" w:rsidP="00382F02">
      <w:pPr>
        <w:pStyle w:val="NoSpacing"/>
        <w:rPr>
          <w:rStyle w:val="markedcontent"/>
          <w:rFonts w:ascii="Times New Roman" w:hAnsi="Times New Roman"/>
          <w:b/>
          <w:bCs/>
          <w:sz w:val="24"/>
          <w:szCs w:val="24"/>
        </w:rPr>
      </w:pPr>
      <w:r w:rsidRPr="002C56EC">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Retaliation claims can result in very large jury verdicts. </w:t>
      </w:r>
    </w:p>
    <w:p w14:paraId="59C94BA3" w14:textId="77777777" w:rsidR="00382F02" w:rsidRDefault="00382F02" w:rsidP="002B1283">
      <w:pPr>
        <w:rPr>
          <w:rFonts w:ascii="Arial Black" w:hAnsi="Arial Black"/>
          <w:b/>
          <w:sz w:val="24"/>
          <w:szCs w:val="24"/>
        </w:rPr>
      </w:pPr>
    </w:p>
    <w:p w14:paraId="14002210" w14:textId="77777777" w:rsidR="00382F02" w:rsidRDefault="00382F02" w:rsidP="002B1283">
      <w:pPr>
        <w:rPr>
          <w:rFonts w:ascii="Arial Black" w:hAnsi="Arial Black"/>
          <w:b/>
          <w:sz w:val="24"/>
          <w:szCs w:val="24"/>
        </w:rPr>
      </w:pPr>
    </w:p>
    <w:p w14:paraId="4FFA695F" w14:textId="1BA4954B" w:rsidR="00A82898" w:rsidRDefault="00A82898" w:rsidP="002B1283">
      <w:pPr>
        <w:rPr>
          <w:rFonts w:ascii="Arial Black" w:hAnsi="Arial Black"/>
          <w:b/>
          <w:sz w:val="24"/>
          <w:szCs w:val="24"/>
        </w:rPr>
      </w:pPr>
      <w:r>
        <w:rPr>
          <w:rFonts w:ascii="Arial Black" w:hAnsi="Arial Black"/>
          <w:b/>
          <w:sz w:val="24"/>
          <w:szCs w:val="24"/>
        </w:rPr>
        <w:t>1-</w:t>
      </w:r>
      <w:r w:rsidR="00382F02">
        <w:rPr>
          <w:rFonts w:ascii="Arial Black" w:hAnsi="Arial Black"/>
          <w:b/>
          <w:sz w:val="24"/>
          <w:szCs w:val="24"/>
        </w:rPr>
        <w:t>80</w:t>
      </w:r>
    </w:p>
    <w:p w14:paraId="47C95009" w14:textId="77777777" w:rsidR="00A82898" w:rsidRPr="00C11FBB" w:rsidRDefault="00A82898" w:rsidP="00A82898">
      <w:pPr>
        <w:pStyle w:val="NormalWeb"/>
        <w:spacing w:before="0" w:beforeAutospacing="0" w:after="0" w:afterAutospacing="0" w:line="255" w:lineRule="atLeast"/>
        <w:rPr>
          <w:rFonts w:ascii="Arial Black" w:hAnsi="Arial Black"/>
          <w:sz w:val="28"/>
          <w:szCs w:val="28"/>
        </w:rPr>
      </w:pPr>
      <w:r>
        <w:rPr>
          <w:rFonts w:ascii="Arial Black" w:hAnsi="Arial Black"/>
          <w:sz w:val="28"/>
          <w:szCs w:val="28"/>
        </w:rPr>
        <w:t>PA: IMMUNITY / 5</w:t>
      </w:r>
      <w:r w:rsidRPr="000732DE">
        <w:rPr>
          <w:rFonts w:ascii="Arial Black" w:hAnsi="Arial Black"/>
          <w:sz w:val="28"/>
          <w:szCs w:val="28"/>
          <w:vertAlign w:val="superscript"/>
        </w:rPr>
        <w:t>th</w:t>
      </w:r>
      <w:r>
        <w:rPr>
          <w:rFonts w:ascii="Arial Black" w:hAnsi="Arial Black"/>
          <w:sz w:val="28"/>
          <w:szCs w:val="28"/>
        </w:rPr>
        <w:t xml:space="preserve"> AMENDMENT - BILL COSBY CONV. VACATED – DA’s UNCONDITIONAL PROMISE </w:t>
      </w:r>
    </w:p>
    <w:p w14:paraId="111054DF" w14:textId="77777777" w:rsidR="00A82898" w:rsidRDefault="00A82898" w:rsidP="00A82898">
      <w:pPr>
        <w:pStyle w:val="NormalWeb"/>
        <w:spacing w:before="0" w:beforeAutospacing="0" w:after="0" w:afterAutospacing="0" w:line="255" w:lineRule="atLeast"/>
      </w:pPr>
    </w:p>
    <w:p w14:paraId="3A949C32" w14:textId="77777777" w:rsidR="00A82898" w:rsidRDefault="00A82898" w:rsidP="00A82898">
      <w:pPr>
        <w:pStyle w:val="NormalWeb"/>
        <w:spacing w:before="0" w:beforeAutospacing="0" w:after="0" w:afterAutospacing="0" w:line="255" w:lineRule="atLeast"/>
      </w:pPr>
      <w:r>
        <w:t xml:space="preserve">On June 30, 2021, in </w:t>
      </w:r>
      <w:r w:rsidRPr="00C11FBB">
        <w:rPr>
          <w:u w:val="single"/>
        </w:rPr>
        <w:t>Commonwealth of Pennsylvania v. William Henry Cosby Jr.,</w:t>
      </w:r>
      <w:r>
        <w:t xml:space="preserve"> the Supreme Court of Pennsylvania, Middle District, held (4 to 3) that Cosby’s 5</w:t>
      </w:r>
      <w:r w:rsidRPr="002052D5">
        <w:rPr>
          <w:vertAlign w:val="superscript"/>
        </w:rPr>
        <w:t>th</w:t>
      </w:r>
      <w:r>
        <w:t xml:space="preserve"> Amendment rights were violated when the Montgomery County District Attorney made “an unconditional promise of non-prosecution.” Crosby was later indicted just prior to expiration of 12-year statute of limitations by new DA, who read Crosby’s 4 depositions in a civil lawsuit brought by female victim, where he testified about giving pills to other women, and the DA located 19 prior victims (going back 15 to 22 years).   </w:t>
      </w:r>
    </w:p>
    <w:p w14:paraId="7238F1F1" w14:textId="77777777" w:rsidR="00A82898" w:rsidRDefault="00A82898" w:rsidP="00A82898">
      <w:pPr>
        <w:pStyle w:val="NormalWeb"/>
        <w:spacing w:before="0" w:beforeAutospacing="0" w:after="0" w:afterAutospacing="0" w:line="255" w:lineRule="atLeast"/>
      </w:pPr>
    </w:p>
    <w:p w14:paraId="0DA6AB35" w14:textId="77777777" w:rsidR="00A82898" w:rsidRDefault="00A82898" w:rsidP="00A82898">
      <w:pPr>
        <w:pStyle w:val="NormalWeb"/>
        <w:spacing w:before="0" w:beforeAutospacing="0" w:after="0" w:afterAutospacing="0" w:line="255" w:lineRule="atLeast"/>
        <w:ind w:left="720"/>
      </w:pPr>
      <w:r>
        <w:t>“</w:t>
      </w:r>
      <w:r w:rsidRPr="009A1E55">
        <w:t>For the reasons detailed below, we hold that,</w:t>
      </w:r>
      <w:r>
        <w:t xml:space="preserve"> </w:t>
      </w:r>
      <w:r w:rsidRPr="009A1E55">
        <w:t>when a prosecutor makes</w:t>
      </w:r>
      <w:r>
        <w:t xml:space="preserve"> </w:t>
      </w:r>
      <w:r w:rsidRPr="009A1E55">
        <w:t>an unconditional promise</w:t>
      </w:r>
      <w:r>
        <w:t xml:space="preserve"> </w:t>
      </w:r>
      <w:r w:rsidRPr="009A1E55">
        <w:t>of non-prosecution, and when the defendant relies upon that guarantee</w:t>
      </w:r>
      <w:r>
        <w:t xml:space="preserve"> </w:t>
      </w:r>
      <w:r w:rsidRPr="009A1E55">
        <w:t>to the detriment of his constitutional right not to testify, the principle of fundamental fairness that undergirds</w:t>
      </w:r>
      <w:r>
        <w:t xml:space="preserve"> </w:t>
      </w:r>
      <w:r w:rsidRPr="009A1E55">
        <w:t>due process of law in</w:t>
      </w:r>
      <w:r>
        <w:t xml:space="preserve"> </w:t>
      </w:r>
      <w:r w:rsidRPr="009A1E55">
        <w:t xml:space="preserve">our criminal justice system demands that the promise be enforced. </w:t>
      </w:r>
    </w:p>
    <w:p w14:paraId="4E02BF15" w14:textId="77777777" w:rsidR="00A82898" w:rsidRDefault="00A82898" w:rsidP="00A82898">
      <w:pPr>
        <w:pStyle w:val="NormalWeb"/>
        <w:spacing w:before="0" w:beforeAutospacing="0" w:after="0" w:afterAutospacing="0" w:line="255" w:lineRule="atLeast"/>
      </w:pPr>
    </w:p>
    <w:p w14:paraId="5A69769F" w14:textId="77777777" w:rsidR="00A82898" w:rsidRDefault="00A82898" w:rsidP="00A82898">
      <w:pPr>
        <w:pStyle w:val="NormalWeb"/>
        <w:spacing w:before="0" w:beforeAutospacing="0" w:after="0" w:afterAutospacing="0" w:line="255" w:lineRule="atLeast"/>
        <w:ind w:firstLine="720"/>
      </w:pPr>
      <w:r>
        <w:t>***</w:t>
      </w:r>
    </w:p>
    <w:p w14:paraId="1AF8A47B" w14:textId="77777777" w:rsidR="00A82898" w:rsidRDefault="00A82898" w:rsidP="00A82898">
      <w:pPr>
        <w:pStyle w:val="NormalWeb"/>
        <w:spacing w:before="0" w:beforeAutospacing="0" w:after="0" w:afterAutospacing="0" w:line="255" w:lineRule="atLeast"/>
      </w:pPr>
    </w:p>
    <w:p w14:paraId="4FCAB9AE" w14:textId="77777777" w:rsidR="00A82898" w:rsidRDefault="00A82898" w:rsidP="00A82898">
      <w:pPr>
        <w:pStyle w:val="NormalWeb"/>
        <w:spacing w:before="0" w:beforeAutospacing="0" w:after="0" w:afterAutospacing="0" w:line="255" w:lineRule="atLeast"/>
        <w:ind w:left="720"/>
      </w:pPr>
      <w:r w:rsidRPr="00C11FBB">
        <w:rPr>
          <w:rStyle w:val="highlight"/>
        </w:rPr>
        <w:t>Cosby</w:t>
      </w:r>
      <w:r w:rsidRPr="00C11FBB">
        <w:t xml:space="preserve"> was forced to sit for four depositions. That he did not—and could not—choose to remain silent is apparent from the record. When </w:t>
      </w:r>
      <w:r w:rsidRPr="00C11FBB">
        <w:rPr>
          <w:rStyle w:val="highlight"/>
        </w:rPr>
        <w:t xml:space="preserve">Cosby </w:t>
      </w:r>
      <w:r w:rsidRPr="00C11FBB">
        <w:t xml:space="preserve">attempted to decline to answer certain questions about Constand, Constand’s attorneys obtained a ruling from the civil trial judge forcing </w:t>
      </w:r>
      <w:r w:rsidRPr="00C11FBB">
        <w:rPr>
          <w:rStyle w:val="highlight"/>
        </w:rPr>
        <w:t>Cosby</w:t>
      </w:r>
      <w:r w:rsidRPr="00C11FBB">
        <w:t xml:space="preserve"> to answer. Most significantly, </w:t>
      </w:r>
      <w:r w:rsidRPr="00C11FBB">
        <w:rPr>
          <w:rStyle w:val="highlight"/>
        </w:rPr>
        <w:t>Cosby</w:t>
      </w:r>
      <w:r w:rsidRPr="00C11FBB">
        <w:t>, having maintained his innocence in all matters and having been advised by a number of attorneys, provided critical evidence of his recurring history</w:t>
      </w:r>
      <w:r>
        <w:t xml:space="preserve"> </w:t>
      </w:r>
      <w:r w:rsidRPr="00C11FBB">
        <w:t>of supplying women with central nervous system depressants before engaging in (allegedly unwanted) sexual activity with them—the very assertion that undergirded Constand’s criminal complaint</w:t>
      </w:r>
      <w:r>
        <w:t>….</w:t>
      </w:r>
    </w:p>
    <w:p w14:paraId="2F422E7D" w14:textId="77777777" w:rsidR="00A82898" w:rsidRDefault="00A82898" w:rsidP="00A82898">
      <w:pPr>
        <w:pStyle w:val="NormalWeb"/>
        <w:spacing w:before="0" w:beforeAutospacing="0" w:after="0" w:afterAutospacing="0" w:line="255" w:lineRule="atLeast"/>
        <w:ind w:left="720"/>
      </w:pPr>
    </w:p>
    <w:p w14:paraId="18FE48EE" w14:textId="77777777" w:rsidR="00A82898" w:rsidRDefault="00A82898" w:rsidP="00A82898">
      <w:pPr>
        <w:pStyle w:val="NormalWeb"/>
        <w:spacing w:before="0" w:beforeAutospacing="0" w:after="0" w:afterAutospacing="0" w:line="255" w:lineRule="atLeast"/>
        <w:ind w:left="720"/>
      </w:pPr>
      <w:r>
        <w:t>***</w:t>
      </w:r>
    </w:p>
    <w:p w14:paraId="6E408BEE" w14:textId="77777777" w:rsidR="00A82898" w:rsidRDefault="00A82898" w:rsidP="00A82898">
      <w:pPr>
        <w:pStyle w:val="NormalWeb"/>
        <w:spacing w:before="0" w:beforeAutospacing="0" w:after="0" w:afterAutospacing="0" w:line="255" w:lineRule="atLeast"/>
        <w:ind w:left="720"/>
      </w:pPr>
    </w:p>
    <w:p w14:paraId="2107EAD9" w14:textId="3D450F84" w:rsidR="00A82898" w:rsidRDefault="00A82898" w:rsidP="00A82898">
      <w:pPr>
        <w:rPr>
          <w:rFonts w:ascii="Arial Black" w:hAnsi="Arial Black"/>
          <w:b/>
          <w:sz w:val="24"/>
          <w:szCs w:val="24"/>
        </w:rPr>
      </w:pPr>
      <w:r w:rsidRPr="00C11FBB">
        <w:t xml:space="preserve">For these reasons, </w:t>
      </w:r>
      <w:r w:rsidRPr="00C11FBB">
        <w:rPr>
          <w:rStyle w:val="highlight"/>
        </w:rPr>
        <w:t>Cosby</w:t>
      </w:r>
      <w:r w:rsidRPr="00C11FBB">
        <w:t>’s convictions and judgment of sentence are</w:t>
      </w:r>
      <w:r>
        <w:t xml:space="preserve"> </w:t>
      </w:r>
      <w:r w:rsidRPr="00C11FBB">
        <w:t>vacated, and he is discharged.</w:t>
      </w:r>
      <w:r>
        <w:t xml:space="preserve">” </w:t>
      </w:r>
      <w:hyperlink r:id="rId272" w:anchor="search=%22Cosby%20%27Supreme%2bCourt%27%22" w:history="1">
        <w:r w:rsidRPr="007B464E">
          <w:rPr>
            <w:rStyle w:val="Hyperlink"/>
          </w:rPr>
          <w:t>http://www.pacourts.us/assets/opinions/Supreme/out/j-100-2020mo%20-%20104821740139246918.pdf#search=%22Cosby%20%27Supreme%2bCourt%27%22</w:t>
        </w:r>
      </w:hyperlink>
    </w:p>
    <w:p w14:paraId="2A016F03" w14:textId="77777777" w:rsidR="00A82898" w:rsidRDefault="00A82898" w:rsidP="00A82898">
      <w:pPr>
        <w:pStyle w:val="NormalWeb"/>
        <w:spacing w:before="0" w:beforeAutospacing="0" w:after="0" w:afterAutospacing="0" w:line="255" w:lineRule="atLeast"/>
        <w:rPr>
          <w:rStyle w:val="markedcontent"/>
          <w:b/>
          <w:bCs/>
        </w:rPr>
      </w:pPr>
      <w:r w:rsidRPr="00DE31ED">
        <w:rPr>
          <w:rStyle w:val="markedcontent"/>
          <w:b/>
          <w:bCs/>
        </w:rPr>
        <w:t>Legal Lesson Learned:</w:t>
      </w:r>
      <w:r>
        <w:rPr>
          <w:rStyle w:val="markedcontent"/>
          <w:b/>
          <w:bCs/>
        </w:rPr>
        <w:t xml:space="preserve">  This is a very usual decision, finding that a DA’s Press Release and comments to defense counsel amounted to a “transactional immunity” agreement, binding other DAs during the 12-year statute of limitations.   In fire service, arson investigators seeking to obtain immunity for a key witness should consider asking Prosecutors to grant “use and derivative use” immunity, not “transactional immunity.”</w:t>
      </w:r>
    </w:p>
    <w:p w14:paraId="140C943E" w14:textId="77777777" w:rsidR="00A82898" w:rsidRDefault="00A82898" w:rsidP="00A82898">
      <w:pPr>
        <w:pStyle w:val="NormalWeb"/>
        <w:spacing w:before="0" w:beforeAutospacing="0" w:after="0" w:afterAutospacing="0" w:line="255" w:lineRule="atLeast"/>
        <w:rPr>
          <w:rStyle w:val="markedcontent"/>
          <w:b/>
          <w:bCs/>
        </w:rPr>
      </w:pPr>
    </w:p>
    <w:p w14:paraId="419FD34F" w14:textId="77777777" w:rsidR="00A82898" w:rsidRDefault="00A82898" w:rsidP="00A82898">
      <w:pPr>
        <w:pStyle w:val="NormalWeb"/>
        <w:spacing w:before="0" w:beforeAutospacing="0" w:after="0" w:afterAutospacing="0" w:line="255" w:lineRule="atLeast"/>
        <w:ind w:left="720"/>
      </w:pPr>
      <w:r>
        <w:t xml:space="preserve">“Use and derivative use immunity is more common (used by both state and federal prosecutors) and narrower than transactional immunity. It prevents the prosecution from using the witness's </w:t>
      </w:r>
      <w:proofErr w:type="gramStart"/>
      <w:r>
        <w:t>statements (‘</w:t>
      </w:r>
      <w:proofErr w:type="gramEnd"/>
      <w:r>
        <w:t xml:space="preserve">use’) or any evidence derived from those </w:t>
      </w:r>
      <w:proofErr w:type="gramStart"/>
      <w:r>
        <w:t>statements (‘</w:t>
      </w:r>
      <w:proofErr w:type="gramEnd"/>
      <w:r>
        <w:t>derivative use’) against the witness in a criminal prosecution. In theory, use and derivative use immunity provides as much protection as the witness not testifying.”</w:t>
      </w:r>
    </w:p>
    <w:p w14:paraId="2B7A4DCD" w14:textId="77777777" w:rsidR="00A82898" w:rsidRDefault="00A82898" w:rsidP="00A82898">
      <w:pPr>
        <w:pStyle w:val="NormalWeb"/>
        <w:spacing w:before="0" w:beforeAutospacing="0" w:after="0" w:afterAutospacing="0" w:line="255" w:lineRule="atLeast"/>
        <w:ind w:left="720"/>
      </w:pPr>
      <w:hyperlink r:id="rId273" w:history="1">
        <w:r w:rsidRPr="007B464E">
          <w:rPr>
            <w:rStyle w:val="Hyperlink"/>
          </w:rPr>
          <w:t>https://www.nolo.com/legal-encyclopedia/immunity-exchange-testimony.html</w:t>
        </w:r>
      </w:hyperlink>
      <w:r>
        <w:t xml:space="preserve"> </w:t>
      </w:r>
    </w:p>
    <w:p w14:paraId="0E076B9F" w14:textId="77777777" w:rsidR="00A82898" w:rsidRPr="00DE31ED" w:rsidRDefault="00A82898" w:rsidP="00A82898">
      <w:pPr>
        <w:pStyle w:val="NormalWeb"/>
        <w:spacing w:before="0" w:beforeAutospacing="0" w:after="0" w:afterAutospacing="0" w:line="255" w:lineRule="atLeast"/>
        <w:ind w:left="720"/>
        <w:rPr>
          <w:rStyle w:val="markedcontent"/>
          <w:b/>
          <w:bCs/>
        </w:rPr>
      </w:pPr>
    </w:p>
    <w:p w14:paraId="4DB86470" w14:textId="77777777" w:rsidR="00A82898" w:rsidRPr="007614C6" w:rsidRDefault="00A82898" w:rsidP="00A82898">
      <w:pPr>
        <w:ind w:left="720"/>
        <w:rPr>
          <w:rFonts w:ascii="Times New Roman" w:hAnsi="Times New Roman"/>
          <w:sz w:val="24"/>
          <w:szCs w:val="24"/>
        </w:rPr>
      </w:pPr>
      <w:r w:rsidRPr="002052D5">
        <w:rPr>
          <w:rStyle w:val="markedcontent"/>
          <w:rFonts w:ascii="Times New Roman" w:hAnsi="Times New Roman"/>
          <w:sz w:val="24"/>
          <w:szCs w:val="24"/>
        </w:rPr>
        <w:t xml:space="preserve">See June 30, </w:t>
      </w:r>
      <w:proofErr w:type="gramStart"/>
      <w:r w:rsidRPr="002052D5">
        <w:rPr>
          <w:rStyle w:val="markedcontent"/>
          <w:rFonts w:ascii="Times New Roman" w:hAnsi="Times New Roman"/>
          <w:sz w:val="24"/>
          <w:szCs w:val="24"/>
        </w:rPr>
        <w:t>2021</w:t>
      </w:r>
      <w:proofErr w:type="gramEnd"/>
      <w:r w:rsidRPr="002052D5">
        <w:rPr>
          <w:rStyle w:val="markedcontent"/>
          <w:rFonts w:ascii="Times New Roman" w:hAnsi="Times New Roman"/>
          <w:sz w:val="24"/>
          <w:szCs w:val="24"/>
        </w:rPr>
        <w:t xml:space="preserve"> article on the case: </w:t>
      </w:r>
      <w:r>
        <w:rPr>
          <w:rStyle w:val="markedcontent"/>
          <w:rFonts w:ascii="Times New Roman" w:hAnsi="Times New Roman"/>
          <w:sz w:val="24"/>
          <w:szCs w:val="24"/>
        </w:rPr>
        <w:t>“</w:t>
      </w:r>
      <w:r w:rsidRPr="002052D5">
        <w:rPr>
          <w:rFonts w:ascii="Times New Roman" w:hAnsi="Times New Roman"/>
          <w:sz w:val="24"/>
          <w:szCs w:val="24"/>
        </w:rPr>
        <w:t>All Your Questions About Bill Cosby’s Overturned Verdict, Answered</w:t>
      </w:r>
      <w:r>
        <w:rPr>
          <w:rFonts w:ascii="Times New Roman" w:hAnsi="Times New Roman"/>
          <w:sz w:val="24"/>
          <w:szCs w:val="24"/>
        </w:rPr>
        <w:t xml:space="preserve">.” </w:t>
      </w:r>
      <w:hyperlink r:id="rId274" w:history="1">
        <w:r w:rsidRPr="007614C6">
          <w:rPr>
            <w:rStyle w:val="Hyperlink"/>
            <w:sz w:val="24"/>
            <w:szCs w:val="24"/>
          </w:rPr>
          <w:t>https://www.vulture.com/article/bill-cosby-overturned-sexual-assault-conviction-explained.html</w:t>
        </w:r>
      </w:hyperlink>
      <w:r w:rsidRPr="007614C6">
        <w:rPr>
          <w:rFonts w:ascii="Times New Roman" w:hAnsi="Times New Roman"/>
          <w:sz w:val="24"/>
          <w:szCs w:val="24"/>
        </w:rPr>
        <w:t xml:space="preserve"> </w:t>
      </w:r>
    </w:p>
    <w:p w14:paraId="7BB878F7" w14:textId="706826DC" w:rsidR="00A82898" w:rsidRDefault="00382F02" w:rsidP="002B1283">
      <w:pPr>
        <w:rPr>
          <w:rFonts w:ascii="Arial Black" w:hAnsi="Arial Black"/>
          <w:b/>
          <w:sz w:val="24"/>
          <w:szCs w:val="24"/>
        </w:rPr>
      </w:pPr>
      <w:r>
        <w:rPr>
          <w:rFonts w:ascii="Arial Black" w:hAnsi="Arial Black"/>
          <w:b/>
          <w:sz w:val="24"/>
          <w:szCs w:val="24"/>
        </w:rPr>
        <w:t>1-79</w:t>
      </w:r>
    </w:p>
    <w:p w14:paraId="4C9F5FF7" w14:textId="77777777" w:rsidR="00382F02" w:rsidRDefault="00382F02" w:rsidP="00382F02">
      <w:pPr>
        <w:pStyle w:val="articleparagraph"/>
        <w:rPr>
          <w:rFonts w:ascii="Arial Black" w:hAnsi="Arial Black"/>
          <w:sz w:val="28"/>
          <w:szCs w:val="28"/>
        </w:rPr>
      </w:pPr>
      <w:bookmarkStart w:id="10" w:name="_Hlk81841241"/>
      <w:r>
        <w:rPr>
          <w:rFonts w:ascii="Arial Black" w:hAnsi="Arial Black"/>
          <w:sz w:val="28"/>
          <w:szCs w:val="28"/>
        </w:rPr>
        <w:t xml:space="preserve">U.S. SUPREME COURT: UNANIMOUS DECISION - SEARCH &amp; SEIZURE DRUNK DRIVER UPHELD – COMMUNITY SAFETY </w:t>
      </w:r>
    </w:p>
    <w:bookmarkEnd w:id="10"/>
    <w:p w14:paraId="1931539C" w14:textId="77777777" w:rsidR="00382F02" w:rsidRDefault="00382F02" w:rsidP="00382F02">
      <w:pPr>
        <w:pStyle w:val="articleparagraph"/>
      </w:pPr>
      <w:r>
        <w:t xml:space="preserve">On June 1, 2021, in </w:t>
      </w:r>
      <w:r w:rsidRPr="005E6136">
        <w:rPr>
          <w:u w:val="single"/>
        </w:rPr>
        <w:t>United States v. Cooley</w:t>
      </w:r>
      <w:r>
        <w:t xml:space="preserve">, the U.S. Supreme Court held (9 to 0) that the trial court judge improperly granted defense motion to suppress the meth found in the driver’s </w:t>
      </w:r>
      <w:proofErr w:type="gramStart"/>
      <w:r>
        <w:t>truck, and</w:t>
      </w:r>
      <w:proofErr w:type="gramEnd"/>
      <w:r>
        <w:t xml:space="preserve"> reversed the 3-judges on the 9</w:t>
      </w:r>
      <w:r w:rsidRPr="005E6136">
        <w:rPr>
          <w:vertAlign w:val="superscript"/>
        </w:rPr>
        <w:t>th</w:t>
      </w:r>
      <w:r>
        <w:t xml:space="preserve"> Circuit (San Francisco) that found the search illegal.  Justice Steven Breyer wrote the unanimous opinion of the court, which focused on the health and welfare of the Tribal police officer and the Indian reservation where the driver was pulled over. </w:t>
      </w:r>
    </w:p>
    <w:p w14:paraId="14614916" w14:textId="77777777" w:rsidR="00382F02" w:rsidRDefault="00382F02" w:rsidP="00382F02">
      <w:pPr>
        <w:ind w:left="720"/>
        <w:rPr>
          <w:rStyle w:val="markedcontent"/>
          <w:rFonts w:ascii="Times New Roman" w:hAnsi="Times New Roman"/>
          <w:sz w:val="24"/>
          <w:szCs w:val="24"/>
        </w:rPr>
      </w:pPr>
      <w:r>
        <w:rPr>
          <w:rStyle w:val="markedcontent"/>
          <w:rFonts w:ascii="Times New Roman" w:hAnsi="Times New Roman"/>
          <w:sz w:val="24"/>
          <w:szCs w:val="24"/>
        </w:rPr>
        <w:t>“</w:t>
      </w:r>
      <w:r w:rsidRPr="00512F9B">
        <w:rPr>
          <w:rStyle w:val="markedcontent"/>
          <w:rFonts w:ascii="Times New Roman" w:hAnsi="Times New Roman"/>
          <w:sz w:val="24"/>
          <w:szCs w:val="24"/>
        </w:rPr>
        <w:t xml:space="preserve">The second exception we have just quoted fits the present case, almost like a glove. The phrase speaks of the protection of the </w:t>
      </w:r>
      <w:r>
        <w:rPr>
          <w:rStyle w:val="markedcontent"/>
          <w:rFonts w:ascii="Times New Roman" w:hAnsi="Times New Roman"/>
          <w:sz w:val="24"/>
          <w:szCs w:val="24"/>
        </w:rPr>
        <w:t>‘</w:t>
      </w:r>
      <w:r w:rsidRPr="00512F9B">
        <w:rPr>
          <w:rStyle w:val="markedcontent"/>
          <w:rFonts w:ascii="Times New Roman" w:hAnsi="Times New Roman"/>
          <w:sz w:val="24"/>
          <w:szCs w:val="24"/>
        </w:rPr>
        <w:t>health or welfare of the tribe.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To deny a tribal</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police officer authority to search and detain for a reasonable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time any person he or she believes may commit or has committed a crime would make it difficult for tribes to protect</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themselves against ongoing threats. Such threats may be posed by, for instance, non-Indian drunk drivers, transporters of contraband, or other criminal offenders operating on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roads within the boundaries of a tribal reservation. As the Washington Supreme Court has noted, </w:t>
      </w:r>
      <w:r>
        <w:rPr>
          <w:rStyle w:val="markedcontent"/>
          <w:rFonts w:ascii="Times New Roman" w:hAnsi="Times New Roman"/>
          <w:sz w:val="24"/>
          <w:szCs w:val="24"/>
        </w:rPr>
        <w:t>‘</w:t>
      </w:r>
      <w:r w:rsidRPr="00512F9B">
        <w:rPr>
          <w:rStyle w:val="markedcontent"/>
          <w:rFonts w:ascii="Times New Roman" w:hAnsi="Times New Roman"/>
          <w:sz w:val="24"/>
          <w:szCs w:val="24"/>
        </w:rPr>
        <w:t>[a]</w:t>
      </w:r>
      <w:proofErr w:type="spellStart"/>
      <w:r w:rsidRPr="00512F9B">
        <w:rPr>
          <w:rStyle w:val="markedcontent"/>
          <w:rFonts w:ascii="Times New Roman" w:hAnsi="Times New Roman"/>
          <w:sz w:val="24"/>
          <w:szCs w:val="24"/>
        </w:rPr>
        <w:t>llowing</w:t>
      </w:r>
      <w:proofErr w:type="spellEnd"/>
      <w:r w:rsidRPr="00512F9B">
        <w:rPr>
          <w:rStyle w:val="markedcontent"/>
          <w:rFonts w:ascii="Times New Roman" w:hAnsi="Times New Roman"/>
          <w:sz w:val="24"/>
          <w:szCs w:val="24"/>
        </w:rPr>
        <w:t xml:space="preserve"> a known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drunk driver to get back in his or her car, careen off down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the road, and possibly kill or injure Indians or non-Indians</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would certainly be detrimental to the health or welfare of </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the </w:t>
      </w:r>
      <w:proofErr w:type="spellStart"/>
      <w:r w:rsidRPr="00512F9B">
        <w:rPr>
          <w:rStyle w:val="markedcontent"/>
          <w:rFonts w:ascii="Times New Roman" w:hAnsi="Times New Roman"/>
          <w:sz w:val="24"/>
          <w:szCs w:val="24"/>
        </w:rPr>
        <w:t>Tribe.”</w:t>
      </w:r>
      <w:r>
        <w:rPr>
          <w:rStyle w:val="markedcontent"/>
          <w:rFonts w:ascii="Times New Roman" w:hAnsi="Times New Roman"/>
          <w:sz w:val="24"/>
          <w:szCs w:val="24"/>
        </w:rPr>
        <w:t>’</w:t>
      </w:r>
      <w:r w:rsidRPr="00512F9B">
        <w:rPr>
          <w:rStyle w:val="markedcontent"/>
          <w:rFonts w:ascii="Times New Roman" w:hAnsi="Times New Roman"/>
          <w:sz w:val="24"/>
          <w:szCs w:val="24"/>
        </w:rPr>
        <w:t>State</w:t>
      </w:r>
      <w:proofErr w:type="spellEnd"/>
      <w:r w:rsidRPr="00512F9B">
        <w:rPr>
          <w:rStyle w:val="markedcontent"/>
          <w:rFonts w:ascii="Times New Roman" w:hAnsi="Times New Roman"/>
          <w:sz w:val="24"/>
          <w:szCs w:val="24"/>
        </w:rPr>
        <w:t xml:space="preserve"> v. Schmuck, 121 Wash. 2d 373, 391, 850 P. 2d 1332, 1341, cert. denied, 510 U. S. 931 (1993).</w:t>
      </w:r>
    </w:p>
    <w:p w14:paraId="733D9A6B" w14:textId="77777777" w:rsidR="00382F02" w:rsidRDefault="00382F02" w:rsidP="00382F02">
      <w:pPr>
        <w:ind w:left="720"/>
        <w:rPr>
          <w:rStyle w:val="markedcontent"/>
          <w:rFonts w:ascii="Times New Roman" w:hAnsi="Times New Roman"/>
          <w:sz w:val="24"/>
          <w:szCs w:val="24"/>
        </w:rPr>
      </w:pPr>
      <w:r>
        <w:rPr>
          <w:rStyle w:val="markedcontent"/>
          <w:rFonts w:ascii="Times New Roman" w:hAnsi="Times New Roman"/>
          <w:sz w:val="24"/>
          <w:szCs w:val="24"/>
        </w:rPr>
        <w:t>***</w:t>
      </w:r>
    </w:p>
    <w:p w14:paraId="1D59FB60" w14:textId="77777777" w:rsidR="00382F02" w:rsidRDefault="00382F02" w:rsidP="00382F02">
      <w:pPr>
        <w:ind w:left="720"/>
        <w:rPr>
          <w:rStyle w:val="markedcontent"/>
          <w:rFonts w:ascii="Times New Roman" w:hAnsi="Times New Roman"/>
          <w:sz w:val="24"/>
          <w:szCs w:val="24"/>
        </w:rPr>
      </w:pPr>
      <w:r w:rsidRPr="00512F9B">
        <w:rPr>
          <w:rStyle w:val="markedcontent"/>
          <w:rFonts w:ascii="Times New Roman" w:hAnsi="Times New Roman"/>
          <w:sz w:val="24"/>
          <w:szCs w:val="24"/>
        </w:rPr>
        <w:t>Finally, we have doubts about the workability of the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standards that the Ninth Circuit set out. Those standards require tribal officers first to determine whether a suspect</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is non-Indian and, if so, allow temporary detention only if the violation of law is </w:t>
      </w:r>
      <w:r>
        <w:rPr>
          <w:rStyle w:val="markedcontent"/>
          <w:rFonts w:ascii="Times New Roman" w:hAnsi="Times New Roman"/>
          <w:sz w:val="24"/>
          <w:szCs w:val="24"/>
        </w:rPr>
        <w:t>‘</w:t>
      </w:r>
      <w:r w:rsidRPr="00512F9B">
        <w:rPr>
          <w:rStyle w:val="markedcontent"/>
          <w:rFonts w:ascii="Times New Roman" w:hAnsi="Times New Roman"/>
          <w:sz w:val="24"/>
          <w:szCs w:val="24"/>
        </w:rPr>
        <w:t>apparent.</w:t>
      </w:r>
      <w:r>
        <w:rPr>
          <w:rStyle w:val="markedcontent"/>
          <w:rFonts w:ascii="Times New Roman" w:hAnsi="Times New Roman"/>
          <w:sz w:val="24"/>
          <w:szCs w:val="24"/>
        </w:rPr>
        <w:t>’</w:t>
      </w:r>
      <w:r w:rsidRPr="00512F9B">
        <w:rPr>
          <w:rStyle w:val="markedcontent"/>
          <w:rFonts w:ascii="Times New Roman" w:hAnsi="Times New Roman"/>
          <w:sz w:val="24"/>
          <w:szCs w:val="24"/>
        </w:rPr>
        <w:t xml:space="preserve"> 919 F. 3d, at 1142. The first requirement, even if limited to asking a single question, would produce an incentive to lie. The second requirement—that the violation of law be </w:t>
      </w:r>
      <w:r>
        <w:rPr>
          <w:rStyle w:val="markedcontent"/>
          <w:rFonts w:ascii="Times New Roman" w:hAnsi="Times New Roman"/>
          <w:sz w:val="24"/>
          <w:szCs w:val="24"/>
        </w:rPr>
        <w:t>‘</w:t>
      </w:r>
      <w:r w:rsidRPr="00512F9B">
        <w:rPr>
          <w:rStyle w:val="markedcontent"/>
          <w:rFonts w:ascii="Times New Roman" w:hAnsi="Times New Roman"/>
          <w:sz w:val="24"/>
          <w:szCs w:val="24"/>
        </w:rPr>
        <w:t>apparent</w:t>
      </w:r>
      <w:r>
        <w:rPr>
          <w:rStyle w:val="markedcontent"/>
          <w:rFonts w:ascii="Times New Roman" w:hAnsi="Times New Roman"/>
          <w:sz w:val="24"/>
          <w:szCs w:val="24"/>
        </w:rPr>
        <w:t>’</w:t>
      </w:r>
      <w:r w:rsidRPr="00512F9B">
        <w:rPr>
          <w:rStyle w:val="markedcontent"/>
          <w:rFonts w:ascii="Times New Roman" w:hAnsi="Times New Roman"/>
          <w:sz w:val="24"/>
          <w:szCs w:val="24"/>
        </w:rPr>
        <w:t>—introduces</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a new standard into search and seizure law.</w:t>
      </w:r>
      <w:r>
        <w:rPr>
          <w:rStyle w:val="markedcontent"/>
          <w:rFonts w:ascii="Times New Roman" w:hAnsi="Times New Roman"/>
          <w:sz w:val="24"/>
          <w:szCs w:val="24"/>
        </w:rPr>
        <w:t xml:space="preserve"> </w:t>
      </w:r>
      <w:r w:rsidRPr="005E6136">
        <w:rPr>
          <w:rStyle w:val="markedcontent"/>
          <w:rFonts w:ascii="Times New Roman" w:hAnsi="Times New Roman"/>
          <w:sz w:val="24"/>
          <w:szCs w:val="24"/>
        </w:rPr>
        <w:t>Whether, or how, that standard would be met is not obvious.</w:t>
      </w:r>
      <w:r>
        <w:rPr>
          <w:rStyle w:val="markedcontent"/>
          <w:rFonts w:ascii="Times New Roman" w:hAnsi="Times New Roman"/>
          <w:sz w:val="24"/>
          <w:szCs w:val="24"/>
        </w:rPr>
        <w:t xml:space="preserve">” </w:t>
      </w:r>
      <w:hyperlink r:id="rId275" w:history="1">
        <w:r w:rsidRPr="00843DBD">
          <w:rPr>
            <w:rStyle w:val="Hyperlink"/>
            <w:sz w:val="24"/>
            <w:szCs w:val="24"/>
          </w:rPr>
          <w:t>https://www.supremecourt.gov/opinions/20pdf/19-1414_8m58.pdf</w:t>
        </w:r>
      </w:hyperlink>
      <w:r>
        <w:rPr>
          <w:rStyle w:val="markedcontent"/>
          <w:rFonts w:ascii="Times New Roman" w:hAnsi="Times New Roman"/>
          <w:sz w:val="24"/>
          <w:szCs w:val="24"/>
        </w:rPr>
        <w:t xml:space="preserve"> </w:t>
      </w:r>
    </w:p>
    <w:p w14:paraId="49633F0D" w14:textId="77777777" w:rsidR="00382F02" w:rsidRPr="001B07D0" w:rsidRDefault="00382F02" w:rsidP="00382F02">
      <w:pPr>
        <w:pStyle w:val="NoSpacing"/>
        <w:rPr>
          <w:rStyle w:val="markedcontent"/>
          <w:rFonts w:ascii="Times New Roman" w:hAnsi="Times New Roman"/>
          <w:b/>
          <w:bCs/>
          <w:sz w:val="24"/>
          <w:szCs w:val="24"/>
        </w:rPr>
      </w:pPr>
      <w:r w:rsidRPr="001B07D0">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Very helpful to have a unanimous opinion upholding a search and focused on the safety of the officer and the community he protects. </w:t>
      </w:r>
    </w:p>
    <w:p w14:paraId="66A7C0E1" w14:textId="77777777" w:rsidR="00382F02" w:rsidRDefault="00382F02" w:rsidP="002B1283">
      <w:pPr>
        <w:rPr>
          <w:rFonts w:ascii="Arial Black" w:hAnsi="Arial Black"/>
          <w:b/>
          <w:sz w:val="24"/>
          <w:szCs w:val="24"/>
        </w:rPr>
      </w:pPr>
    </w:p>
    <w:p w14:paraId="472A5B54" w14:textId="77777777" w:rsidR="00A82898" w:rsidRDefault="00A82898" w:rsidP="002B1283">
      <w:pPr>
        <w:rPr>
          <w:rFonts w:ascii="Arial Black" w:hAnsi="Arial Black"/>
          <w:b/>
          <w:sz w:val="24"/>
          <w:szCs w:val="24"/>
        </w:rPr>
      </w:pPr>
    </w:p>
    <w:p w14:paraId="4DD4B24A" w14:textId="6F05A8D1" w:rsidR="0077274E" w:rsidRDefault="0077274E" w:rsidP="002B1283">
      <w:pPr>
        <w:rPr>
          <w:rFonts w:ascii="Arial Black" w:hAnsi="Arial Black"/>
          <w:b/>
          <w:sz w:val="24"/>
          <w:szCs w:val="24"/>
        </w:rPr>
      </w:pPr>
      <w:r>
        <w:rPr>
          <w:rFonts w:ascii="Arial Black" w:hAnsi="Arial Black"/>
          <w:b/>
          <w:sz w:val="24"/>
          <w:szCs w:val="24"/>
        </w:rPr>
        <w:t>1-78</w:t>
      </w:r>
    </w:p>
    <w:p w14:paraId="22CE8643" w14:textId="77777777" w:rsidR="0077274E" w:rsidRPr="0069099B" w:rsidRDefault="0077274E" w:rsidP="0077274E">
      <w:pPr>
        <w:pStyle w:val="Heading1"/>
        <w:rPr>
          <w:rFonts w:ascii="Arial Black" w:hAnsi="Arial Black"/>
          <w:sz w:val="28"/>
          <w:szCs w:val="28"/>
        </w:rPr>
      </w:pPr>
      <w:r>
        <w:rPr>
          <w:rFonts w:ascii="Arial Black" w:hAnsi="Arial Black"/>
          <w:sz w:val="28"/>
          <w:szCs w:val="28"/>
        </w:rPr>
        <w:t>FL: FATAL MVA I-95 – PD SEIZED PHONE PERSON TAKING PHOTOS - $1,000 JURY VERDICT – IMMUNE FALSE ARREST</w:t>
      </w:r>
    </w:p>
    <w:p w14:paraId="68018703" w14:textId="77777777" w:rsidR="0077274E" w:rsidRPr="008C6D29" w:rsidRDefault="0077274E" w:rsidP="0077274E">
      <w:pPr>
        <w:pStyle w:val="NoSpacing"/>
        <w:rPr>
          <w:rFonts w:ascii="Times New Roman" w:hAnsi="Times New Roman"/>
          <w:sz w:val="24"/>
          <w:szCs w:val="24"/>
        </w:rPr>
      </w:pPr>
      <w:r>
        <w:rPr>
          <w:rFonts w:ascii="Times New Roman" w:hAnsi="Times New Roman"/>
          <w:sz w:val="24"/>
          <w:szCs w:val="24"/>
        </w:rPr>
        <w:t xml:space="preserve">On April 20, </w:t>
      </w:r>
      <w:proofErr w:type="gramStart"/>
      <w:r>
        <w:rPr>
          <w:rFonts w:ascii="Times New Roman" w:hAnsi="Times New Roman"/>
          <w:sz w:val="24"/>
          <w:szCs w:val="24"/>
        </w:rPr>
        <w:t>2021</w:t>
      </w:r>
      <w:proofErr w:type="gramEnd"/>
      <w:r>
        <w:rPr>
          <w:rFonts w:ascii="Times New Roman" w:hAnsi="Times New Roman"/>
          <w:sz w:val="24"/>
          <w:szCs w:val="24"/>
        </w:rPr>
        <w:t xml:space="preserve"> </w:t>
      </w:r>
      <w:r w:rsidRPr="0069099B">
        <w:rPr>
          <w:rFonts w:ascii="Times New Roman" w:hAnsi="Times New Roman"/>
          <w:sz w:val="24"/>
          <w:szCs w:val="24"/>
          <w:u w:val="single"/>
        </w:rPr>
        <w:t>in James P. Crocker v. Deputy Sheriff Steve E. Beatty, Martin County Sheriff’s Office, in his individual capacity</w:t>
      </w:r>
      <w:r>
        <w:rPr>
          <w:rFonts w:ascii="Times New Roman" w:hAnsi="Times New Roman"/>
          <w:sz w:val="24"/>
          <w:szCs w:val="24"/>
        </w:rPr>
        <w:t>, the U.S. Court of Appeals for the 11</w:t>
      </w:r>
      <w:r w:rsidRPr="0069099B">
        <w:rPr>
          <w:rFonts w:ascii="Times New Roman" w:hAnsi="Times New Roman"/>
          <w:sz w:val="24"/>
          <w:szCs w:val="24"/>
          <w:vertAlign w:val="superscript"/>
        </w:rPr>
        <w:t>th</w:t>
      </w:r>
      <w:r>
        <w:rPr>
          <w:rFonts w:ascii="Times New Roman" w:hAnsi="Times New Roman"/>
          <w:sz w:val="24"/>
          <w:szCs w:val="24"/>
        </w:rPr>
        <w:t xml:space="preserve"> Circuit (Atlanta, GA) held (2 to 1) that the police officer enjoys immunity from false arrest since he had parked his car on shoulder of I-95 (a “limited access” highway) and refused to leave the scene until his cell phone was returned.  The Court noted: “</w:t>
      </w:r>
      <w:r w:rsidRPr="008C6D29">
        <w:rPr>
          <w:rFonts w:ascii="Times New Roman" w:hAnsi="Times New Roman"/>
          <w:sz w:val="24"/>
          <w:szCs w:val="24"/>
        </w:rPr>
        <w:t>In his affidavit, Crocker</w:t>
      </w:r>
      <w:r>
        <w:rPr>
          <w:rFonts w:ascii="Times New Roman" w:hAnsi="Times New Roman"/>
          <w:sz w:val="24"/>
          <w:szCs w:val="24"/>
        </w:rPr>
        <w:t xml:space="preserve"> s</w:t>
      </w:r>
      <w:r w:rsidRPr="008C6D29">
        <w:rPr>
          <w:rFonts w:ascii="Times New Roman" w:hAnsi="Times New Roman"/>
          <w:sz w:val="24"/>
          <w:szCs w:val="24"/>
        </w:rPr>
        <w:t xml:space="preserve">aid that he stood in the median </w:t>
      </w:r>
      <w:r>
        <w:rPr>
          <w:rFonts w:ascii="Times New Roman" w:hAnsi="Times New Roman"/>
          <w:sz w:val="24"/>
          <w:szCs w:val="24"/>
        </w:rPr>
        <w:t>‘</w:t>
      </w:r>
      <w:r w:rsidRPr="008C6D29">
        <w:rPr>
          <w:rFonts w:ascii="Times New Roman" w:hAnsi="Times New Roman"/>
          <w:sz w:val="24"/>
          <w:szCs w:val="24"/>
        </w:rPr>
        <w:t>taking photographs and recording video . . . of the crashed vehicle, the first responders and the jaws of life.</w:t>
      </w:r>
      <w:r>
        <w:rPr>
          <w:rFonts w:ascii="Times New Roman" w:hAnsi="Times New Roman"/>
          <w:sz w:val="24"/>
          <w:szCs w:val="24"/>
        </w:rPr>
        <w:t>’</w:t>
      </w:r>
      <w:r w:rsidRPr="008C6D29">
        <w:rPr>
          <w:rFonts w:ascii="Times New Roman" w:hAnsi="Times New Roman"/>
          <w:sz w:val="24"/>
          <w:szCs w:val="24"/>
        </w:rPr>
        <w:t xml:space="preserve"> Asked in his deposition, </w:t>
      </w:r>
      <w:r>
        <w:rPr>
          <w:rFonts w:ascii="Times New Roman" w:hAnsi="Times New Roman"/>
          <w:sz w:val="24"/>
          <w:szCs w:val="24"/>
        </w:rPr>
        <w:t>‘</w:t>
      </w:r>
      <w:r w:rsidRPr="008C6D29">
        <w:rPr>
          <w:rFonts w:ascii="Times New Roman" w:hAnsi="Times New Roman"/>
          <w:sz w:val="24"/>
          <w:szCs w:val="24"/>
        </w:rPr>
        <w:t>What were you taking pictures of?</w:t>
      </w:r>
      <w:r>
        <w:rPr>
          <w:rFonts w:ascii="Times New Roman" w:hAnsi="Times New Roman"/>
          <w:sz w:val="24"/>
          <w:szCs w:val="24"/>
        </w:rPr>
        <w:t>’</w:t>
      </w:r>
      <w:r w:rsidRPr="008C6D29">
        <w:rPr>
          <w:rFonts w:ascii="Times New Roman" w:hAnsi="Times New Roman"/>
          <w:sz w:val="24"/>
          <w:szCs w:val="24"/>
        </w:rPr>
        <w:t xml:space="preserve"> Crocker replied, </w:t>
      </w:r>
      <w:r>
        <w:rPr>
          <w:rFonts w:ascii="Times New Roman" w:hAnsi="Times New Roman"/>
          <w:sz w:val="24"/>
          <w:szCs w:val="24"/>
        </w:rPr>
        <w:t>‘</w:t>
      </w:r>
      <w:r w:rsidRPr="008C6D29">
        <w:rPr>
          <w:rFonts w:ascii="Times New Roman" w:hAnsi="Times New Roman"/>
          <w:sz w:val="24"/>
          <w:szCs w:val="24"/>
        </w:rPr>
        <w:t>The overall scene, overturned vehicle, firemen.</w:t>
      </w:r>
      <w:r>
        <w:rPr>
          <w:rFonts w:ascii="Times New Roman" w:hAnsi="Times New Roman"/>
          <w:sz w:val="24"/>
          <w:szCs w:val="24"/>
        </w:rPr>
        <w:t xml:space="preserve">’ </w:t>
      </w:r>
      <w:r w:rsidRPr="008C6D29">
        <w:rPr>
          <w:rFonts w:ascii="Times New Roman" w:hAnsi="Times New Roman"/>
          <w:sz w:val="24"/>
          <w:szCs w:val="24"/>
        </w:rPr>
        <w:t xml:space="preserve">And when asked if he had </w:t>
      </w:r>
      <w:r>
        <w:rPr>
          <w:rFonts w:ascii="Times New Roman" w:hAnsi="Times New Roman"/>
          <w:sz w:val="24"/>
          <w:szCs w:val="24"/>
        </w:rPr>
        <w:t>‘</w:t>
      </w:r>
      <w:r w:rsidRPr="008C6D29">
        <w:rPr>
          <w:rFonts w:ascii="Times New Roman" w:hAnsi="Times New Roman"/>
          <w:sz w:val="24"/>
          <w:szCs w:val="24"/>
        </w:rPr>
        <w:t>a specific reason</w:t>
      </w:r>
      <w:r>
        <w:rPr>
          <w:rFonts w:ascii="Times New Roman" w:hAnsi="Times New Roman"/>
          <w:sz w:val="24"/>
          <w:szCs w:val="24"/>
        </w:rPr>
        <w:t>’</w:t>
      </w:r>
      <w:r w:rsidRPr="008C6D29">
        <w:rPr>
          <w:rFonts w:ascii="Times New Roman" w:hAnsi="Times New Roman"/>
          <w:sz w:val="24"/>
          <w:szCs w:val="24"/>
        </w:rPr>
        <w:t xml:space="preserve"> for taking pictures of the accident scene, Crocker said: </w:t>
      </w:r>
      <w:r>
        <w:rPr>
          <w:rFonts w:ascii="Times New Roman" w:hAnsi="Times New Roman"/>
          <w:sz w:val="24"/>
          <w:szCs w:val="24"/>
        </w:rPr>
        <w:t>‘</w:t>
      </w:r>
      <w:r w:rsidRPr="008C6D29">
        <w:rPr>
          <w:rFonts w:ascii="Times New Roman" w:hAnsi="Times New Roman"/>
          <w:sz w:val="24"/>
          <w:szCs w:val="24"/>
        </w:rPr>
        <w:t>I really didn’t have a clear and present agenda. I do remember seeing beer bottles laying there and I do remember photographing the beer bottles.</w:t>
      </w:r>
      <w:r>
        <w:rPr>
          <w:rFonts w:ascii="Times New Roman" w:hAnsi="Times New Roman"/>
          <w:sz w:val="24"/>
          <w:szCs w:val="24"/>
        </w:rPr>
        <w:t>’”</w:t>
      </w:r>
    </w:p>
    <w:p w14:paraId="1DA573A8" w14:textId="77777777" w:rsidR="0077274E" w:rsidRPr="008C6D29" w:rsidRDefault="0077274E" w:rsidP="0077274E">
      <w:pPr>
        <w:pStyle w:val="NoSpacing"/>
        <w:rPr>
          <w:rFonts w:ascii="Times New Roman" w:hAnsi="Times New Roman"/>
          <w:sz w:val="24"/>
          <w:szCs w:val="24"/>
        </w:rPr>
      </w:pPr>
    </w:p>
    <w:p w14:paraId="6F52A748" w14:textId="77777777" w:rsidR="0077274E" w:rsidRDefault="0077274E" w:rsidP="0077274E">
      <w:pPr>
        <w:pStyle w:val="NoSpacing"/>
        <w:ind w:left="720"/>
        <w:rPr>
          <w:rFonts w:ascii="Times New Roman" w:hAnsi="Times New Roman"/>
          <w:sz w:val="24"/>
          <w:szCs w:val="24"/>
        </w:rPr>
      </w:pPr>
      <w:r>
        <w:rPr>
          <w:rFonts w:ascii="Times New Roman" w:hAnsi="Times New Roman"/>
          <w:sz w:val="24"/>
          <w:szCs w:val="24"/>
        </w:rPr>
        <w:t xml:space="preserve">“[W]e </w:t>
      </w:r>
      <w:r w:rsidRPr="005C18FF">
        <w:rPr>
          <w:rFonts w:ascii="Times New Roman" w:hAnsi="Times New Roman"/>
          <w:sz w:val="24"/>
          <w:szCs w:val="24"/>
        </w:rPr>
        <w:t>hold (1) that Crocker’s First Amendment claim is barred by qualified immunity, (2) that his false-arrest claims fail because Beatty had probable cause to arrest him, and (3) that his excessive-force claim fails on the merits and, in any event, is barred by qualified immunity.</w:t>
      </w:r>
    </w:p>
    <w:p w14:paraId="50E85849" w14:textId="77777777" w:rsidR="0077274E" w:rsidRDefault="0077274E" w:rsidP="0077274E">
      <w:pPr>
        <w:pStyle w:val="NoSpacing"/>
        <w:ind w:left="720"/>
        <w:rPr>
          <w:rFonts w:ascii="Times New Roman" w:hAnsi="Times New Roman"/>
          <w:sz w:val="24"/>
          <w:szCs w:val="24"/>
        </w:rPr>
      </w:pPr>
    </w:p>
    <w:p w14:paraId="7C8FCE58" w14:textId="77777777" w:rsidR="0077274E" w:rsidRDefault="0077274E" w:rsidP="0077274E">
      <w:pPr>
        <w:pStyle w:val="NoSpacing"/>
        <w:ind w:left="720"/>
        <w:rPr>
          <w:rFonts w:ascii="Times New Roman" w:hAnsi="Times New Roman"/>
          <w:sz w:val="24"/>
          <w:szCs w:val="24"/>
        </w:rPr>
      </w:pPr>
      <w:r>
        <w:rPr>
          <w:rFonts w:ascii="Times New Roman" w:hAnsi="Times New Roman"/>
          <w:sz w:val="24"/>
          <w:szCs w:val="24"/>
        </w:rPr>
        <w:t>***</w:t>
      </w:r>
    </w:p>
    <w:p w14:paraId="33EC0067" w14:textId="77777777" w:rsidR="0077274E" w:rsidRDefault="0077274E" w:rsidP="0077274E">
      <w:pPr>
        <w:pStyle w:val="NoSpacing"/>
        <w:ind w:left="720"/>
        <w:rPr>
          <w:rFonts w:ascii="Times New Roman" w:hAnsi="Times New Roman"/>
          <w:sz w:val="24"/>
          <w:szCs w:val="24"/>
        </w:rPr>
      </w:pPr>
      <w:r w:rsidRPr="009771AF">
        <w:rPr>
          <w:rFonts w:ascii="Times New Roman" w:hAnsi="Times New Roman"/>
          <w:sz w:val="24"/>
          <w:szCs w:val="24"/>
        </w:rPr>
        <w:t>Because Crocker’s car was parked on the shoulder of I-95, a “limited access facility,” the district court held that Beatty had probable cause to arrest him. And although Crocker might initially have been covered by the Good Samaritan exception, the court held that he no longer qualified by the time he encountered Beatty, at which point he was standing 40–50 feet away from the crash scene and merely observing it. We agree with the district court that Officer Beatty had probable cause to arrest Crocker.</w:t>
      </w:r>
      <w:r>
        <w:rPr>
          <w:rFonts w:ascii="Times New Roman" w:hAnsi="Times New Roman"/>
          <w:sz w:val="24"/>
          <w:szCs w:val="24"/>
        </w:rPr>
        <w:t>”</w:t>
      </w:r>
    </w:p>
    <w:p w14:paraId="7FD841C3" w14:textId="77777777" w:rsidR="0077274E" w:rsidRDefault="0077274E" w:rsidP="0077274E">
      <w:pPr>
        <w:pStyle w:val="NoSpacing"/>
        <w:ind w:firstLine="720"/>
        <w:rPr>
          <w:rFonts w:ascii="Times New Roman" w:hAnsi="Times New Roman"/>
          <w:sz w:val="24"/>
          <w:szCs w:val="24"/>
        </w:rPr>
      </w:pPr>
      <w:hyperlink r:id="rId276" w:history="1">
        <w:r w:rsidRPr="00E10E69">
          <w:rPr>
            <w:rStyle w:val="Hyperlink"/>
            <w:sz w:val="24"/>
            <w:szCs w:val="24"/>
          </w:rPr>
          <w:t>https://media.ca11.uscourts.gov/opinions/pub/files/201814682.pdf</w:t>
        </w:r>
      </w:hyperlink>
      <w:r>
        <w:rPr>
          <w:rFonts w:ascii="Times New Roman" w:hAnsi="Times New Roman"/>
          <w:sz w:val="24"/>
          <w:szCs w:val="24"/>
        </w:rPr>
        <w:t xml:space="preserve"> </w:t>
      </w:r>
    </w:p>
    <w:p w14:paraId="2E919A05" w14:textId="6DF869D9" w:rsidR="0077274E" w:rsidRDefault="0077274E" w:rsidP="002B1283">
      <w:pPr>
        <w:rPr>
          <w:rFonts w:ascii="Arial Black" w:hAnsi="Arial Black"/>
          <w:b/>
          <w:sz w:val="24"/>
          <w:szCs w:val="24"/>
        </w:rPr>
      </w:pPr>
    </w:p>
    <w:p w14:paraId="4EEB03C7" w14:textId="77777777" w:rsidR="0077274E" w:rsidRDefault="0077274E" w:rsidP="0077274E">
      <w:pPr>
        <w:pStyle w:val="NoSpacing"/>
        <w:rPr>
          <w:rFonts w:ascii="Times New Roman" w:hAnsi="Times New Roman"/>
          <w:sz w:val="24"/>
          <w:szCs w:val="24"/>
        </w:rPr>
      </w:pPr>
      <w:r>
        <w:rPr>
          <w:rFonts w:ascii="Times New Roman" w:hAnsi="Times New Roman"/>
          <w:sz w:val="24"/>
          <w:szCs w:val="24"/>
        </w:rPr>
        <w:t>Note:  The officer is still liable, however, for jury verdict (Oct. 3, 2018) of $1000 compensatory damages for seizing the cell phone, which the 11</w:t>
      </w:r>
      <w:r w:rsidRPr="005C18FF">
        <w:rPr>
          <w:rFonts w:ascii="Times New Roman" w:hAnsi="Times New Roman"/>
          <w:sz w:val="24"/>
          <w:szCs w:val="24"/>
          <w:vertAlign w:val="superscript"/>
        </w:rPr>
        <w:t>th</w:t>
      </w:r>
      <w:r>
        <w:rPr>
          <w:rFonts w:ascii="Times New Roman" w:hAnsi="Times New Roman"/>
          <w:sz w:val="24"/>
          <w:szCs w:val="24"/>
        </w:rPr>
        <w:t xml:space="preserve"> Circuit in decision (April 2, 2018) held was a violation of 4</w:t>
      </w:r>
      <w:r w:rsidRPr="005C18FF">
        <w:rPr>
          <w:rFonts w:ascii="Times New Roman" w:hAnsi="Times New Roman"/>
          <w:sz w:val="24"/>
          <w:szCs w:val="24"/>
          <w:vertAlign w:val="superscript"/>
        </w:rPr>
        <w:t>th</w:t>
      </w:r>
      <w:r>
        <w:rPr>
          <w:rFonts w:ascii="Times New Roman" w:hAnsi="Times New Roman"/>
          <w:sz w:val="24"/>
          <w:szCs w:val="24"/>
        </w:rPr>
        <w:t xml:space="preserve"> Amendment.  </w:t>
      </w:r>
    </w:p>
    <w:p w14:paraId="28FCC621" w14:textId="77777777" w:rsidR="0077274E" w:rsidRDefault="0077274E" w:rsidP="0077274E">
      <w:pPr>
        <w:pStyle w:val="NoSpacing"/>
        <w:ind w:firstLine="720"/>
        <w:rPr>
          <w:rFonts w:ascii="Times New Roman" w:hAnsi="Times New Roman"/>
          <w:sz w:val="24"/>
          <w:szCs w:val="24"/>
        </w:rPr>
      </w:pPr>
    </w:p>
    <w:p w14:paraId="0449BBDB" w14:textId="77777777" w:rsidR="0077274E" w:rsidRPr="00A30885" w:rsidRDefault="0077274E" w:rsidP="0077274E">
      <w:pPr>
        <w:pStyle w:val="NoSpacing"/>
        <w:ind w:left="720" w:firstLine="60"/>
        <w:rPr>
          <w:rFonts w:ascii="Times New Roman" w:hAnsi="Times New Roman"/>
          <w:sz w:val="24"/>
          <w:szCs w:val="24"/>
        </w:rPr>
      </w:pPr>
      <w:r>
        <w:rPr>
          <w:rFonts w:ascii="Times New Roman" w:hAnsi="Times New Roman"/>
          <w:sz w:val="24"/>
          <w:szCs w:val="24"/>
        </w:rPr>
        <w:t>“</w:t>
      </w:r>
      <w:r w:rsidRPr="000C4BE8">
        <w:rPr>
          <w:rFonts w:ascii="Times New Roman" w:hAnsi="Times New Roman"/>
          <w:sz w:val="24"/>
          <w:szCs w:val="24"/>
        </w:rPr>
        <w:t xml:space="preserve">Crocker, however, </w:t>
      </w:r>
      <w:proofErr w:type="gramStart"/>
      <w:r w:rsidRPr="000C4BE8">
        <w:rPr>
          <w:rFonts w:ascii="Times New Roman" w:hAnsi="Times New Roman"/>
          <w:sz w:val="24"/>
          <w:szCs w:val="24"/>
        </w:rPr>
        <w:t>had no involvement</w:t>
      </w:r>
      <w:proofErr w:type="gramEnd"/>
      <w:r w:rsidRPr="000C4BE8">
        <w:rPr>
          <w:rFonts w:ascii="Times New Roman" w:hAnsi="Times New Roman"/>
          <w:sz w:val="24"/>
          <w:szCs w:val="24"/>
        </w:rPr>
        <w:t xml:space="preserve"> with the car accident that he had photographed. He was merely a curious passerby.</w:t>
      </w:r>
      <w:r>
        <w:rPr>
          <w:rFonts w:ascii="Times New Roman" w:hAnsi="Times New Roman"/>
          <w:sz w:val="24"/>
          <w:szCs w:val="24"/>
        </w:rPr>
        <w:t xml:space="preserve"> </w:t>
      </w:r>
      <w:r w:rsidRPr="00606988">
        <w:rPr>
          <w:rFonts w:ascii="Times New Roman" w:hAnsi="Times New Roman"/>
          <w:sz w:val="24"/>
          <w:szCs w:val="24"/>
        </w:rPr>
        <w:t xml:space="preserve">When Beatty approached Crocker and took his iPhone before speaking, there was no indication whatsoever that Crocker </w:t>
      </w:r>
      <w:proofErr w:type="gramStart"/>
      <w:r w:rsidRPr="00606988">
        <w:rPr>
          <w:rFonts w:ascii="Times New Roman" w:hAnsi="Times New Roman"/>
          <w:sz w:val="24"/>
          <w:szCs w:val="24"/>
        </w:rPr>
        <w:t>would have soon deleted</w:t>
      </w:r>
      <w:proofErr w:type="gramEnd"/>
      <w:r w:rsidRPr="00606988">
        <w:rPr>
          <w:rFonts w:ascii="Times New Roman" w:hAnsi="Times New Roman"/>
          <w:sz w:val="24"/>
          <w:szCs w:val="24"/>
        </w:rPr>
        <w:t xml:space="preserve"> the photographs and videos he had just taken the time to capture himself. We conclude that no reasonable law enforcement officer would have believed that the evidence on Crocker’s iPhone was at risk of imminent destruction at the time of the seizure</w:t>
      </w:r>
      <w:r>
        <w:rPr>
          <w:rFonts w:ascii="Times New Roman" w:hAnsi="Times New Roman"/>
          <w:sz w:val="24"/>
          <w:szCs w:val="24"/>
        </w:rPr>
        <w:t xml:space="preserve">…  </w:t>
      </w:r>
      <w:r w:rsidRPr="00606988">
        <w:rPr>
          <w:rFonts w:ascii="Times New Roman" w:hAnsi="Times New Roman"/>
          <w:sz w:val="24"/>
          <w:szCs w:val="24"/>
        </w:rPr>
        <w:t>Under these facts (viewed in the light most favorable to Crocker), we determine that Beatty violated Crocker’s Fourth Amendment rights when he seized the iPhone. We further determine that these rights were clearly established at the time of the seizure such that Beatty is not entitled to qualified immunity.</w:t>
      </w:r>
      <w:r>
        <w:rPr>
          <w:rFonts w:ascii="Times New Roman" w:hAnsi="Times New Roman"/>
          <w:sz w:val="24"/>
          <w:szCs w:val="24"/>
        </w:rPr>
        <w:t xml:space="preserve">” </w:t>
      </w:r>
      <w:hyperlink r:id="rId277" w:history="1">
        <w:r w:rsidRPr="00A30885">
          <w:rPr>
            <w:rStyle w:val="Hyperlink"/>
            <w:sz w:val="24"/>
            <w:szCs w:val="24"/>
          </w:rPr>
          <w:t>https://media.ca11.uscourts.gov/opinions/pub/files/201713526.pdf</w:t>
        </w:r>
      </w:hyperlink>
    </w:p>
    <w:p w14:paraId="6E019CD8" w14:textId="0C0D147D" w:rsidR="0077274E" w:rsidRDefault="0077274E" w:rsidP="002B1283">
      <w:pPr>
        <w:rPr>
          <w:rFonts w:ascii="Arial Black" w:hAnsi="Arial Black"/>
          <w:b/>
          <w:sz w:val="24"/>
          <w:szCs w:val="24"/>
        </w:rPr>
      </w:pPr>
    </w:p>
    <w:p w14:paraId="2BDF2A27" w14:textId="77777777" w:rsidR="0077274E" w:rsidRPr="00AE31BB" w:rsidRDefault="0077274E" w:rsidP="0077274E">
      <w:pPr>
        <w:pStyle w:val="NoSpacing"/>
        <w:rPr>
          <w:rFonts w:ascii="Times New Roman" w:hAnsi="Times New Roman"/>
          <w:b/>
          <w:bCs/>
          <w:sz w:val="24"/>
          <w:szCs w:val="24"/>
        </w:rPr>
      </w:pPr>
      <w:r w:rsidRPr="00AE31BB">
        <w:rPr>
          <w:rFonts w:ascii="Times New Roman" w:hAnsi="Times New Roman"/>
          <w:b/>
          <w:bCs/>
          <w:sz w:val="24"/>
          <w:szCs w:val="24"/>
        </w:rPr>
        <w:t>Legal Lesson Learned:</w:t>
      </w:r>
      <w:r>
        <w:rPr>
          <w:rFonts w:ascii="Times New Roman" w:hAnsi="Times New Roman"/>
          <w:b/>
          <w:bCs/>
          <w:sz w:val="24"/>
          <w:szCs w:val="24"/>
        </w:rPr>
        <w:t xml:space="preserve"> Seizing a by-standers cell phone is violation of 4</w:t>
      </w:r>
      <w:r w:rsidRPr="00AE31BB">
        <w:rPr>
          <w:rFonts w:ascii="Times New Roman" w:hAnsi="Times New Roman"/>
          <w:b/>
          <w:bCs/>
          <w:sz w:val="24"/>
          <w:szCs w:val="24"/>
          <w:vertAlign w:val="superscript"/>
        </w:rPr>
        <w:t>th</w:t>
      </w:r>
      <w:r>
        <w:rPr>
          <w:rFonts w:ascii="Times New Roman" w:hAnsi="Times New Roman"/>
          <w:b/>
          <w:bCs/>
          <w:sz w:val="24"/>
          <w:szCs w:val="24"/>
        </w:rPr>
        <w:t xml:space="preserve"> Amendment unless there is reasonable </w:t>
      </w:r>
      <w:proofErr w:type="gramStart"/>
      <w:r>
        <w:rPr>
          <w:rFonts w:ascii="Times New Roman" w:hAnsi="Times New Roman"/>
          <w:b/>
          <w:bCs/>
          <w:sz w:val="24"/>
          <w:szCs w:val="24"/>
        </w:rPr>
        <w:t>believe</w:t>
      </w:r>
      <w:proofErr w:type="gramEnd"/>
      <w:r>
        <w:rPr>
          <w:rFonts w:ascii="Times New Roman" w:hAnsi="Times New Roman"/>
          <w:b/>
          <w:bCs/>
          <w:sz w:val="24"/>
          <w:szCs w:val="24"/>
        </w:rPr>
        <w:t xml:space="preserve"> the cell phone photos or videos contain evidence of crime. </w:t>
      </w:r>
    </w:p>
    <w:p w14:paraId="2B60E985" w14:textId="77777777" w:rsidR="0077274E" w:rsidRPr="00A30885" w:rsidRDefault="0077274E" w:rsidP="0077274E">
      <w:pPr>
        <w:pStyle w:val="Heading1"/>
        <w:ind w:left="720"/>
        <w:rPr>
          <w:b w:val="0"/>
          <w:bCs w:val="0"/>
          <w:sz w:val="24"/>
          <w:szCs w:val="24"/>
        </w:rPr>
      </w:pPr>
      <w:r w:rsidRPr="00A30885">
        <w:rPr>
          <w:b w:val="0"/>
          <w:bCs w:val="0"/>
          <w:sz w:val="24"/>
          <w:szCs w:val="24"/>
        </w:rPr>
        <w:t>Note:  See 11th Circuit decision in Smith v. City of Cumming (May 30, 2020):</w:t>
      </w:r>
      <w:hyperlink r:id="rId278" w:history="1">
        <w:r w:rsidRPr="00A30885">
          <w:rPr>
            <w:rStyle w:val="Hyperlink"/>
            <w:sz w:val="24"/>
            <w:szCs w:val="24"/>
          </w:rPr>
          <w:t>https://casetext.com/case/smith-v-city-of-</w:t>
        </w:r>
        <w:proofErr w:type="spellStart"/>
        <w:r w:rsidRPr="00A30885">
          <w:rPr>
            <w:rStyle w:val="Hyperlink"/>
            <w:sz w:val="24"/>
            <w:szCs w:val="24"/>
          </w:rPr>
          <w:t>cumming</w:t>
        </w:r>
        <w:proofErr w:type="spellEnd"/>
      </w:hyperlink>
      <w:r w:rsidRPr="00A30885">
        <w:rPr>
          <w:b w:val="0"/>
          <w:bCs w:val="0"/>
          <w:sz w:val="24"/>
          <w:szCs w:val="24"/>
        </w:rPr>
        <w:t xml:space="preserve"> </w:t>
      </w:r>
    </w:p>
    <w:p w14:paraId="3FEB5481" w14:textId="77777777" w:rsidR="0077274E" w:rsidRPr="00D91F21" w:rsidRDefault="0077274E" w:rsidP="0077274E">
      <w:pPr>
        <w:pStyle w:val="NoSpacing"/>
        <w:ind w:left="720"/>
        <w:rPr>
          <w:rFonts w:ascii="Times New Roman" w:hAnsi="Times New Roman"/>
          <w:sz w:val="24"/>
          <w:szCs w:val="24"/>
        </w:rPr>
      </w:pPr>
      <w:r>
        <w:rPr>
          <w:rFonts w:ascii="Times New Roman" w:hAnsi="Times New Roman"/>
          <w:sz w:val="24"/>
          <w:szCs w:val="24"/>
        </w:rPr>
        <w:t>“</w:t>
      </w:r>
      <w:r w:rsidRPr="00D91F21">
        <w:rPr>
          <w:rFonts w:ascii="Times New Roman" w:hAnsi="Times New Roman"/>
          <w:sz w:val="24"/>
          <w:szCs w:val="24"/>
        </w:rPr>
        <w:t>As to the First Amendment claim under Section 1983, we agree with the Smiths that they had a First Amendment right, subject to reasonable time, manner and place restrictions, to photograph or videotape police conduct</w:t>
      </w:r>
      <w:r>
        <w:rPr>
          <w:rFonts w:ascii="Times New Roman" w:hAnsi="Times New Roman"/>
          <w:sz w:val="24"/>
          <w:szCs w:val="24"/>
        </w:rPr>
        <w:t xml:space="preserve">. </w:t>
      </w:r>
      <w:r w:rsidRPr="00D91F21">
        <w:rPr>
          <w:rFonts w:ascii="Times New Roman" w:hAnsi="Times New Roman"/>
          <w:sz w:val="24"/>
          <w:szCs w:val="24"/>
        </w:rPr>
        <w:t xml:space="preserve">The First Amendment protects the right to gather information about what public officials do on public property, and specifically, a right to record matters of public </w:t>
      </w:r>
      <w:proofErr w:type="gramStart"/>
      <w:r w:rsidRPr="00D91F21">
        <w:rPr>
          <w:rFonts w:ascii="Times New Roman" w:hAnsi="Times New Roman"/>
          <w:sz w:val="24"/>
          <w:szCs w:val="24"/>
        </w:rPr>
        <w:t>interest.</w:t>
      </w:r>
      <w:r>
        <w:rPr>
          <w:rFonts w:ascii="Times New Roman" w:hAnsi="Times New Roman"/>
          <w:sz w:val="24"/>
          <w:szCs w:val="24"/>
        </w:rPr>
        <w:t>”</w:t>
      </w:r>
      <w:proofErr w:type="gramEnd"/>
    </w:p>
    <w:p w14:paraId="4215B3C0" w14:textId="77777777" w:rsidR="0077274E" w:rsidRPr="00A30885" w:rsidRDefault="0077274E" w:rsidP="0077274E">
      <w:pPr>
        <w:pStyle w:val="Heading1"/>
        <w:ind w:left="720"/>
        <w:rPr>
          <w:b w:val="0"/>
          <w:bCs w:val="0"/>
          <w:sz w:val="24"/>
          <w:szCs w:val="24"/>
        </w:rPr>
      </w:pPr>
      <w:r w:rsidRPr="00A30885">
        <w:rPr>
          <w:b w:val="0"/>
          <w:bCs w:val="0"/>
          <w:sz w:val="24"/>
          <w:szCs w:val="24"/>
        </w:rPr>
        <w:t xml:space="preserve">See the Oct. 5, </w:t>
      </w:r>
      <w:proofErr w:type="gramStart"/>
      <w:r w:rsidRPr="00A30885">
        <w:rPr>
          <w:b w:val="0"/>
          <w:bCs w:val="0"/>
          <w:sz w:val="24"/>
          <w:szCs w:val="24"/>
        </w:rPr>
        <w:t>2018</w:t>
      </w:r>
      <w:proofErr w:type="gramEnd"/>
      <w:r w:rsidRPr="00A30885">
        <w:rPr>
          <w:b w:val="0"/>
          <w:bCs w:val="0"/>
          <w:sz w:val="24"/>
          <w:szCs w:val="24"/>
        </w:rPr>
        <w:t xml:space="preserve"> article, “Federal jury finds Martin sheriff's deputy made illegal seizure when taking crash bystander's phone.”</w:t>
      </w:r>
    </w:p>
    <w:p w14:paraId="559DB340" w14:textId="77777777" w:rsidR="0077274E" w:rsidRPr="0041276B" w:rsidRDefault="0077274E" w:rsidP="0077274E">
      <w:pPr>
        <w:ind w:left="720"/>
        <w:rPr>
          <w:rFonts w:ascii="Times New Roman" w:hAnsi="Times New Roman"/>
          <w:b/>
          <w:bCs/>
          <w:sz w:val="24"/>
          <w:szCs w:val="24"/>
        </w:rPr>
      </w:pPr>
      <w:r w:rsidRPr="00606988">
        <w:rPr>
          <w:rFonts w:ascii="Times New Roman" w:hAnsi="Times New Roman"/>
          <w:sz w:val="24"/>
          <w:szCs w:val="24"/>
        </w:rPr>
        <w:t xml:space="preserve">“The jury of six women and one man in U.S. District Court deliberated for only an hour Wednesday before deciding Deputy Steven Beatty, a 29-year veteran of the Martin County Sheriff’s Office, violated county resident James Crocker's civil rights when the deputy grabbed the traffic accident bystander's cellphone saying any photos taken are state’s evidence.”  </w:t>
      </w:r>
      <w:hyperlink r:id="rId279" w:history="1">
        <w:r w:rsidRPr="0041276B">
          <w:rPr>
            <w:rStyle w:val="Hyperlink"/>
            <w:rFonts w:ascii="Times New Roman" w:hAnsi="Times New Roman"/>
            <w:sz w:val="24"/>
            <w:szCs w:val="24"/>
          </w:rPr>
          <w:t>https://www.tcpalm.com/story/news/crime/st-lucie-county/2018/10/05/verdict-deputy-violated-martin-mans-civil-rights/1526605002/</w:t>
        </w:r>
      </w:hyperlink>
    </w:p>
    <w:p w14:paraId="6CD7BF9F" w14:textId="77777777" w:rsidR="0077274E" w:rsidRDefault="0077274E" w:rsidP="002B1283">
      <w:pPr>
        <w:rPr>
          <w:rFonts w:ascii="Arial Black" w:hAnsi="Arial Black"/>
          <w:b/>
          <w:sz w:val="24"/>
          <w:szCs w:val="24"/>
        </w:rPr>
      </w:pPr>
    </w:p>
    <w:p w14:paraId="71FB7BD7" w14:textId="77777777" w:rsidR="0077274E" w:rsidRDefault="0077274E" w:rsidP="002B1283">
      <w:pPr>
        <w:rPr>
          <w:rFonts w:ascii="Arial Black" w:hAnsi="Arial Black"/>
          <w:b/>
          <w:sz w:val="24"/>
          <w:szCs w:val="24"/>
        </w:rPr>
      </w:pPr>
    </w:p>
    <w:p w14:paraId="6B2D18B6" w14:textId="73C89B52" w:rsidR="000915C1" w:rsidRDefault="000915C1"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7</w:t>
      </w:r>
    </w:p>
    <w:p w14:paraId="526953FD" w14:textId="77777777" w:rsidR="000915C1" w:rsidRPr="00B4563E" w:rsidRDefault="000915C1" w:rsidP="000915C1">
      <w:pPr>
        <w:pStyle w:val="NoSpacing"/>
        <w:rPr>
          <w:rFonts w:ascii="Arial Black" w:hAnsi="Arial Black"/>
          <w:sz w:val="28"/>
          <w:szCs w:val="28"/>
        </w:rPr>
      </w:pPr>
      <w:r>
        <w:rPr>
          <w:rFonts w:ascii="Arial Black" w:hAnsi="Arial Black"/>
          <w:sz w:val="28"/>
          <w:szCs w:val="28"/>
        </w:rPr>
        <w:t>U.S. SUP. CT: WOMAN FLEEING POLICE IN CAR – 13 SHOTS BY PD – PLED “NO CONTEST” ASSAULT – CAN ALSO SUE PD</w:t>
      </w:r>
    </w:p>
    <w:p w14:paraId="2DC7F58A" w14:textId="77777777" w:rsidR="000915C1" w:rsidRDefault="000915C1" w:rsidP="000915C1">
      <w:pPr>
        <w:pStyle w:val="NoSpacing"/>
      </w:pPr>
    </w:p>
    <w:p w14:paraId="6B2386CC" w14:textId="77777777" w:rsidR="000915C1" w:rsidRDefault="000915C1" w:rsidP="000915C1">
      <w:pPr>
        <w:pStyle w:val="NoSpacing"/>
        <w:rPr>
          <w:rFonts w:ascii="Times New Roman" w:hAnsi="Times New Roman"/>
          <w:sz w:val="24"/>
          <w:szCs w:val="24"/>
        </w:rPr>
      </w:pPr>
      <w:r w:rsidRPr="00B4563E">
        <w:rPr>
          <w:rFonts w:ascii="Times New Roman" w:hAnsi="Times New Roman"/>
          <w:sz w:val="24"/>
          <w:szCs w:val="24"/>
        </w:rPr>
        <w:t xml:space="preserve">On March 25, 2021, </w:t>
      </w:r>
      <w:r w:rsidRPr="00B4563E">
        <w:rPr>
          <w:rFonts w:ascii="Times New Roman" w:hAnsi="Times New Roman"/>
          <w:sz w:val="24"/>
          <w:szCs w:val="24"/>
          <w:u w:val="single"/>
        </w:rPr>
        <w:t>Roxanne Torres v. Janice Madrid, et al</w:t>
      </w:r>
      <w:r>
        <w:rPr>
          <w:rFonts w:ascii="Times New Roman" w:hAnsi="Times New Roman"/>
          <w:sz w:val="24"/>
          <w:szCs w:val="24"/>
        </w:rPr>
        <w:t>., the U.S. Supreme Court (5 to 3) held that a female who fled from police in vehicle, after being shot in her left arm, who later pled no contest in state court to “assault on a police officer,” “aggravated fleeing from an officer,” and unlawful taking of a motor vehicle,” may still proceed with her lawsuit against federal court against the police officers for violation of 4</w:t>
      </w:r>
      <w:r w:rsidRPr="00CD32CB">
        <w:rPr>
          <w:rFonts w:ascii="Times New Roman" w:hAnsi="Times New Roman"/>
          <w:sz w:val="24"/>
          <w:szCs w:val="24"/>
          <w:vertAlign w:val="superscript"/>
        </w:rPr>
        <w:t>th</w:t>
      </w:r>
      <w:r>
        <w:rPr>
          <w:rFonts w:ascii="Times New Roman" w:hAnsi="Times New Roman"/>
          <w:sz w:val="24"/>
          <w:szCs w:val="24"/>
        </w:rPr>
        <w:t xml:space="preserve"> Amendment protection against unreasonable seizures.   </w:t>
      </w:r>
    </w:p>
    <w:p w14:paraId="4CF72DE1" w14:textId="77777777" w:rsidR="000915C1" w:rsidRDefault="000915C1" w:rsidP="000915C1">
      <w:pPr>
        <w:pStyle w:val="NoSpacing"/>
        <w:rPr>
          <w:rFonts w:ascii="Times New Roman" w:hAnsi="Times New Roman"/>
          <w:sz w:val="24"/>
          <w:szCs w:val="24"/>
        </w:rPr>
      </w:pPr>
    </w:p>
    <w:p w14:paraId="20A3B86D" w14:textId="1DB4DBD3" w:rsidR="000915C1" w:rsidRPr="000915C1" w:rsidRDefault="000915C1" w:rsidP="000915C1">
      <w:pPr>
        <w:pStyle w:val="NoSpacing"/>
        <w:ind w:left="720"/>
        <w:rPr>
          <w:rFonts w:ascii="Times New Roman" w:hAnsi="Times New Roman"/>
          <w:sz w:val="24"/>
          <w:szCs w:val="24"/>
        </w:rPr>
      </w:pPr>
      <w:bookmarkStart w:id="11" w:name="_Hlk68349465"/>
      <w:r>
        <w:rPr>
          <w:rFonts w:ascii="Times New Roman" w:hAnsi="Times New Roman"/>
          <w:sz w:val="24"/>
          <w:szCs w:val="24"/>
        </w:rPr>
        <w:t>MAJORITY: “</w:t>
      </w:r>
      <w:r w:rsidRPr="00B4563E">
        <w:rPr>
          <w:rFonts w:ascii="Times New Roman" w:hAnsi="Times New Roman"/>
          <w:sz w:val="24"/>
          <w:szCs w:val="24"/>
        </w:rPr>
        <w:t>The question in this case is whether a seizure occurs when an officer shoots someone who temporarily eludes capture after the shooting. The answer is yes: The application of physical force to the body of a person with intent to restrain is a seizure, even if</w:t>
      </w:r>
      <w:r>
        <w:rPr>
          <w:rFonts w:ascii="Times New Roman" w:hAnsi="Times New Roman"/>
          <w:sz w:val="24"/>
          <w:szCs w:val="24"/>
        </w:rPr>
        <w:t xml:space="preserve"> </w:t>
      </w:r>
      <w:r w:rsidRPr="00B4563E">
        <w:rPr>
          <w:rFonts w:ascii="Times New Roman" w:hAnsi="Times New Roman"/>
          <w:sz w:val="24"/>
          <w:szCs w:val="24"/>
        </w:rPr>
        <w:t xml:space="preserve">the force </w:t>
      </w:r>
      <w:proofErr w:type="gramStart"/>
      <w:r w:rsidRPr="00B4563E">
        <w:rPr>
          <w:rFonts w:ascii="Times New Roman" w:hAnsi="Times New Roman"/>
          <w:sz w:val="24"/>
          <w:szCs w:val="24"/>
        </w:rPr>
        <w:t>does not succeed</w:t>
      </w:r>
      <w:proofErr w:type="gramEnd"/>
      <w:r w:rsidRPr="00B4563E">
        <w:rPr>
          <w:rFonts w:ascii="Times New Roman" w:hAnsi="Times New Roman"/>
          <w:sz w:val="24"/>
          <w:szCs w:val="24"/>
        </w:rPr>
        <w:t xml:space="preserve"> in subduing the </w:t>
      </w:r>
      <w:proofErr w:type="gramStart"/>
      <w:r w:rsidRPr="00B4563E">
        <w:rPr>
          <w:rFonts w:ascii="Times New Roman" w:hAnsi="Times New Roman"/>
          <w:sz w:val="24"/>
          <w:szCs w:val="24"/>
        </w:rPr>
        <w:t>person.</w:t>
      </w:r>
      <w:r>
        <w:rPr>
          <w:rFonts w:ascii="Times New Roman" w:hAnsi="Times New Roman"/>
          <w:sz w:val="24"/>
          <w:szCs w:val="24"/>
        </w:rPr>
        <w:t>”</w:t>
      </w:r>
      <w:proofErr w:type="gramEnd"/>
      <w:r>
        <w:rPr>
          <w:rFonts w:ascii="Times New Roman" w:hAnsi="Times New Roman"/>
          <w:sz w:val="24"/>
          <w:szCs w:val="24"/>
        </w:rPr>
        <w:t xml:space="preserve"> </w:t>
      </w:r>
      <w:hyperlink r:id="rId280" w:history="1">
        <w:r w:rsidRPr="000915C1">
          <w:rPr>
            <w:rStyle w:val="Hyperlink"/>
            <w:rFonts w:ascii="Times New Roman" w:hAnsi="Times New Roman"/>
            <w:sz w:val="24"/>
            <w:szCs w:val="24"/>
          </w:rPr>
          <w:t>https://www.supremecourt.gov/opinions/20pdf/19-292_21p3.pdf</w:t>
        </w:r>
      </w:hyperlink>
      <w:r w:rsidRPr="000915C1">
        <w:rPr>
          <w:rFonts w:ascii="Times New Roman" w:hAnsi="Times New Roman"/>
          <w:sz w:val="24"/>
          <w:szCs w:val="24"/>
        </w:rPr>
        <w:t xml:space="preserve"> </w:t>
      </w:r>
    </w:p>
    <w:p w14:paraId="627A3A74" w14:textId="77777777" w:rsidR="000915C1" w:rsidRDefault="000915C1" w:rsidP="000915C1">
      <w:pPr>
        <w:pStyle w:val="NoSpacing"/>
        <w:ind w:left="720"/>
        <w:rPr>
          <w:rFonts w:ascii="Times New Roman" w:hAnsi="Times New Roman"/>
          <w:sz w:val="24"/>
          <w:szCs w:val="24"/>
        </w:rPr>
      </w:pPr>
    </w:p>
    <w:p w14:paraId="0621552D" w14:textId="7BFD1A21" w:rsidR="000915C1" w:rsidRDefault="000915C1" w:rsidP="000915C1">
      <w:pPr>
        <w:pStyle w:val="NoSpacing"/>
        <w:ind w:left="720"/>
        <w:rPr>
          <w:rFonts w:ascii="Times New Roman" w:eastAsia="Times New Roman" w:hAnsi="Times New Roman"/>
          <w:b/>
          <w:bCs/>
          <w:sz w:val="24"/>
          <w:szCs w:val="24"/>
        </w:rPr>
      </w:pPr>
      <w:r w:rsidRPr="00D225BD">
        <w:rPr>
          <w:rFonts w:ascii="Times New Roman" w:hAnsi="Times New Roman"/>
          <w:sz w:val="24"/>
          <w:szCs w:val="24"/>
        </w:rPr>
        <w:t xml:space="preserve">DISSENT: “A fleeing suspect briefly touched by pursuing officers may have a claim. But a suspect who evades a hail of bullets unscathed, or one who endures a series of flash-bang grenades untouched, is out of luck. That distinction is no less </w:t>
      </w:r>
      <w:r>
        <w:rPr>
          <w:rFonts w:ascii="Times New Roman" w:hAnsi="Times New Roman"/>
          <w:sz w:val="24"/>
          <w:szCs w:val="24"/>
        </w:rPr>
        <w:t>‘</w:t>
      </w:r>
      <w:r w:rsidRPr="00D225BD">
        <w:rPr>
          <w:rFonts w:ascii="Times New Roman" w:hAnsi="Times New Roman"/>
          <w:sz w:val="24"/>
          <w:szCs w:val="24"/>
        </w:rPr>
        <w:t>artificial</w:t>
      </w:r>
      <w:r>
        <w:rPr>
          <w:rFonts w:ascii="Times New Roman" w:hAnsi="Times New Roman"/>
          <w:sz w:val="24"/>
          <w:szCs w:val="24"/>
        </w:rPr>
        <w:t>’</w:t>
      </w:r>
      <w:r w:rsidRPr="00D225BD">
        <w:rPr>
          <w:rFonts w:ascii="Times New Roman" w:hAnsi="Times New Roman"/>
          <w:sz w:val="24"/>
          <w:szCs w:val="24"/>
        </w:rPr>
        <w:t xml:space="preserve"> than the one the law has recognized for centuries. And the majority’s new rule promises such scarce relief that it can hardly claim more sensitivity to </w:t>
      </w:r>
      <w:r>
        <w:rPr>
          <w:rFonts w:ascii="Times New Roman" w:hAnsi="Times New Roman"/>
          <w:sz w:val="24"/>
          <w:szCs w:val="24"/>
        </w:rPr>
        <w:t>‘</w:t>
      </w:r>
      <w:r w:rsidRPr="00D225BD">
        <w:rPr>
          <w:rFonts w:ascii="Times New Roman" w:hAnsi="Times New Roman"/>
          <w:sz w:val="24"/>
          <w:szCs w:val="24"/>
        </w:rPr>
        <w:t>personal security</w:t>
      </w:r>
      <w:r>
        <w:rPr>
          <w:rFonts w:ascii="Times New Roman" w:hAnsi="Times New Roman"/>
          <w:sz w:val="24"/>
          <w:szCs w:val="24"/>
        </w:rPr>
        <w:t xml:space="preserve">’ </w:t>
      </w:r>
      <w:r w:rsidRPr="00D225BD">
        <w:rPr>
          <w:rFonts w:ascii="Times New Roman" w:hAnsi="Times New Roman"/>
          <w:sz w:val="24"/>
          <w:szCs w:val="24"/>
        </w:rPr>
        <w:t xml:space="preserve">than the rule the Constitution has long </w:t>
      </w:r>
      <w:proofErr w:type="gramStart"/>
      <w:r w:rsidRPr="00D225BD">
        <w:rPr>
          <w:rFonts w:ascii="Times New Roman" w:hAnsi="Times New Roman"/>
          <w:sz w:val="24"/>
          <w:szCs w:val="24"/>
        </w:rPr>
        <w:t>enshrined.</w:t>
      </w:r>
      <w:r>
        <w:rPr>
          <w:rFonts w:ascii="Times New Roman" w:eastAsia="Times New Roman" w:hAnsi="Times New Roman"/>
          <w:b/>
          <w:bCs/>
          <w:sz w:val="24"/>
          <w:szCs w:val="24"/>
        </w:rPr>
        <w:t>”</w:t>
      </w:r>
      <w:proofErr w:type="gramEnd"/>
      <w:r>
        <w:rPr>
          <w:rFonts w:ascii="Times New Roman" w:eastAsia="Times New Roman" w:hAnsi="Times New Roman"/>
          <w:b/>
          <w:bCs/>
          <w:sz w:val="24"/>
          <w:szCs w:val="24"/>
        </w:rPr>
        <w:t xml:space="preserve"> </w:t>
      </w:r>
    </w:p>
    <w:p w14:paraId="37E06D08" w14:textId="4EE56772" w:rsidR="000915C1" w:rsidRDefault="000915C1" w:rsidP="000915C1">
      <w:pPr>
        <w:pStyle w:val="NoSpacing"/>
        <w:ind w:left="1440"/>
        <w:rPr>
          <w:rFonts w:ascii="Times New Roman" w:hAnsi="Times New Roman"/>
          <w:sz w:val="24"/>
          <w:szCs w:val="24"/>
        </w:rPr>
      </w:pPr>
    </w:p>
    <w:p w14:paraId="309DB84F" w14:textId="77777777" w:rsidR="000915C1" w:rsidRPr="00CA7A75" w:rsidRDefault="000915C1" w:rsidP="000915C1">
      <w:pPr>
        <w:spacing w:before="100" w:beforeAutospacing="1" w:after="100" w:afterAutospacing="1" w:line="240" w:lineRule="auto"/>
        <w:rPr>
          <w:rFonts w:ascii="Times New Roman" w:hAnsi="Times New Roman"/>
          <w:b/>
          <w:bCs/>
          <w:sz w:val="24"/>
          <w:szCs w:val="24"/>
        </w:rPr>
      </w:pPr>
      <w:r w:rsidRPr="00CA7A75">
        <w:rPr>
          <w:rFonts w:ascii="Times New Roman" w:hAnsi="Times New Roman"/>
          <w:b/>
          <w:bCs/>
          <w:sz w:val="24"/>
          <w:szCs w:val="24"/>
        </w:rPr>
        <w:t>Legal Lesson Learned:</w:t>
      </w:r>
      <w:r>
        <w:rPr>
          <w:rFonts w:ascii="Times New Roman" w:hAnsi="Times New Roman"/>
          <w:b/>
          <w:bCs/>
          <w:sz w:val="24"/>
          <w:szCs w:val="24"/>
        </w:rPr>
        <w:t xml:space="preserve"> The Majority decision certainly </w:t>
      </w:r>
      <w:proofErr w:type="gramStart"/>
      <w:r>
        <w:rPr>
          <w:rFonts w:ascii="Times New Roman" w:hAnsi="Times New Roman"/>
          <w:b/>
          <w:bCs/>
          <w:sz w:val="24"/>
          <w:szCs w:val="24"/>
        </w:rPr>
        <w:t>opens up</w:t>
      </w:r>
      <w:proofErr w:type="gramEnd"/>
      <w:r>
        <w:rPr>
          <w:rFonts w:ascii="Times New Roman" w:hAnsi="Times New Roman"/>
          <w:b/>
          <w:bCs/>
          <w:sz w:val="24"/>
          <w:szCs w:val="24"/>
        </w:rPr>
        <w:t xml:space="preserve"> Federal courts to more lawsuits for alleged violation of Constitutional rights, including plaintiffs who have pled guilty or no contest to assaulting the police officers they are now suing. </w:t>
      </w:r>
    </w:p>
    <w:p w14:paraId="2DB47E80" w14:textId="77777777" w:rsidR="000915C1" w:rsidRDefault="000915C1" w:rsidP="000915C1">
      <w:pPr>
        <w:pStyle w:val="Heading1"/>
        <w:ind w:left="720"/>
        <w:rPr>
          <w:b w:val="0"/>
          <w:bCs w:val="0"/>
          <w:sz w:val="24"/>
          <w:szCs w:val="24"/>
        </w:rPr>
      </w:pPr>
      <w:r w:rsidRPr="00D406C0">
        <w:rPr>
          <w:b w:val="0"/>
          <w:bCs w:val="0"/>
          <w:sz w:val="24"/>
          <w:szCs w:val="24"/>
        </w:rPr>
        <w:t xml:space="preserve">Note: Case </w:t>
      </w:r>
      <w:proofErr w:type="gramStart"/>
      <w:r w:rsidRPr="00D406C0">
        <w:rPr>
          <w:b w:val="0"/>
          <w:bCs w:val="0"/>
          <w:sz w:val="24"/>
          <w:szCs w:val="24"/>
        </w:rPr>
        <w:t>made</w:t>
      </w:r>
      <w:proofErr w:type="gramEnd"/>
      <w:r w:rsidRPr="00D406C0">
        <w:rPr>
          <w:b w:val="0"/>
          <w:bCs w:val="0"/>
          <w:sz w:val="24"/>
          <w:szCs w:val="24"/>
        </w:rPr>
        <w:t xml:space="preserve"> national news</w:t>
      </w:r>
      <w:r>
        <w:rPr>
          <w:b w:val="0"/>
          <w:bCs w:val="0"/>
          <w:sz w:val="24"/>
          <w:szCs w:val="24"/>
        </w:rPr>
        <w:t>.</w:t>
      </w:r>
    </w:p>
    <w:p w14:paraId="0065B923" w14:textId="77777777" w:rsidR="000915C1" w:rsidRPr="00840EF8" w:rsidRDefault="000915C1" w:rsidP="000915C1">
      <w:pPr>
        <w:pStyle w:val="NoSpacing"/>
        <w:ind w:left="720"/>
        <w:rPr>
          <w:rFonts w:ascii="Times New Roman" w:hAnsi="Times New Roman"/>
          <w:sz w:val="24"/>
          <w:szCs w:val="24"/>
        </w:rPr>
      </w:pPr>
      <w:r w:rsidRPr="00840EF8">
        <w:rPr>
          <w:rFonts w:ascii="Times New Roman" w:hAnsi="Times New Roman"/>
          <w:sz w:val="24"/>
          <w:szCs w:val="24"/>
        </w:rPr>
        <w:t xml:space="preserve">“Supreme Court Dips Gingerly </w:t>
      </w:r>
      <w:proofErr w:type="gramStart"/>
      <w:r w:rsidRPr="00840EF8">
        <w:rPr>
          <w:rFonts w:ascii="Times New Roman" w:hAnsi="Times New Roman"/>
          <w:sz w:val="24"/>
          <w:szCs w:val="24"/>
        </w:rPr>
        <w:t>Into</w:t>
      </w:r>
      <w:proofErr w:type="gramEnd"/>
      <w:r w:rsidRPr="00840EF8">
        <w:rPr>
          <w:rFonts w:ascii="Times New Roman" w:hAnsi="Times New Roman"/>
          <w:sz w:val="24"/>
          <w:szCs w:val="24"/>
        </w:rPr>
        <w:t xml:space="preserve"> Roiling Police Misconduct Waters.” (March 25, 2021) </w:t>
      </w:r>
      <w:hyperlink r:id="rId281" w:history="1">
        <w:r w:rsidRPr="00840EF8">
          <w:rPr>
            <w:rStyle w:val="Hyperlink"/>
            <w:sz w:val="24"/>
            <w:szCs w:val="24"/>
          </w:rPr>
          <w:t>https://www.npr.org/2021/03/25/981297231/supreme-court-dips-gingerly-into-roiling-police-misconduct-waters</w:t>
        </w:r>
      </w:hyperlink>
      <w:r w:rsidRPr="00840EF8">
        <w:rPr>
          <w:rFonts w:ascii="Times New Roman" w:hAnsi="Times New Roman"/>
          <w:sz w:val="24"/>
          <w:szCs w:val="24"/>
        </w:rPr>
        <w:t xml:space="preserve"> </w:t>
      </w:r>
    </w:p>
    <w:p w14:paraId="597C35E0" w14:textId="77777777" w:rsidR="000915C1" w:rsidRDefault="000915C1" w:rsidP="000915C1">
      <w:pPr>
        <w:pStyle w:val="NoSpacing"/>
        <w:ind w:left="720"/>
      </w:pPr>
    </w:p>
    <w:p w14:paraId="0D2BBB21" w14:textId="77777777" w:rsidR="000915C1" w:rsidRPr="00D406C0" w:rsidRDefault="000915C1" w:rsidP="000915C1">
      <w:pPr>
        <w:pStyle w:val="NoSpacing"/>
        <w:ind w:left="720"/>
        <w:rPr>
          <w:rFonts w:ascii="Times New Roman" w:hAnsi="Times New Roman"/>
          <w:sz w:val="24"/>
          <w:szCs w:val="24"/>
        </w:rPr>
      </w:pPr>
      <w:r w:rsidRPr="00D406C0">
        <w:rPr>
          <w:rFonts w:ascii="Times New Roman" w:hAnsi="Times New Roman"/>
          <w:sz w:val="24"/>
          <w:szCs w:val="24"/>
        </w:rPr>
        <w:t xml:space="preserve">“'Nothing subtle about a bullet': Supreme Court says police 'seizure' includes shots fired at fleeing suspect.” </w:t>
      </w:r>
      <w:r>
        <w:rPr>
          <w:rFonts w:ascii="Times New Roman" w:hAnsi="Times New Roman"/>
          <w:sz w:val="24"/>
          <w:szCs w:val="24"/>
        </w:rPr>
        <w:t xml:space="preserve">(March 25, 2021) </w:t>
      </w:r>
      <w:hyperlink r:id="rId282" w:history="1">
        <w:r w:rsidRPr="00D60E44">
          <w:rPr>
            <w:rStyle w:val="Hyperlink"/>
            <w:sz w:val="24"/>
            <w:szCs w:val="24"/>
          </w:rPr>
          <w:t>https://www.usatoday.com/story/news/politics/2021/03/25/supreme-court-police-seizure-includes-shots-fired-fleeing-suspect/6995659002/</w:t>
        </w:r>
      </w:hyperlink>
      <w:r w:rsidRPr="00D406C0">
        <w:rPr>
          <w:rFonts w:ascii="Times New Roman" w:hAnsi="Times New Roman"/>
          <w:sz w:val="24"/>
          <w:szCs w:val="24"/>
        </w:rPr>
        <w:t xml:space="preserve"> </w:t>
      </w:r>
    </w:p>
    <w:p w14:paraId="61B6A04D" w14:textId="77777777" w:rsidR="000915C1" w:rsidRPr="00D406C0" w:rsidRDefault="000915C1" w:rsidP="000915C1">
      <w:pPr>
        <w:pStyle w:val="Heading1"/>
        <w:ind w:left="720"/>
        <w:rPr>
          <w:b w:val="0"/>
          <w:bCs w:val="0"/>
          <w:sz w:val="24"/>
          <w:szCs w:val="24"/>
        </w:rPr>
      </w:pPr>
      <w:r w:rsidRPr="00D406C0">
        <w:rPr>
          <w:b w:val="0"/>
          <w:bCs w:val="0"/>
          <w:sz w:val="24"/>
          <w:szCs w:val="24"/>
        </w:rPr>
        <w:t xml:space="preserve"> “Supreme Court sides with New Mexico woman shot by police while fleeing.” </w:t>
      </w:r>
      <w:r>
        <w:rPr>
          <w:b w:val="0"/>
          <w:bCs w:val="0"/>
          <w:sz w:val="24"/>
          <w:szCs w:val="24"/>
        </w:rPr>
        <w:t xml:space="preserve">(March 25, 2021) </w:t>
      </w:r>
      <w:hyperlink r:id="rId283" w:history="1">
        <w:r w:rsidRPr="00D60E44">
          <w:rPr>
            <w:rStyle w:val="Hyperlink"/>
            <w:sz w:val="24"/>
            <w:szCs w:val="24"/>
          </w:rPr>
          <w:t>https://ktla.com/news/nationworld/supreme-court-sides-with-new-mexico-woman-shot-by-police-while-fleeing/</w:t>
        </w:r>
      </w:hyperlink>
      <w:r w:rsidRPr="00D406C0">
        <w:rPr>
          <w:b w:val="0"/>
          <w:bCs w:val="0"/>
          <w:sz w:val="24"/>
          <w:szCs w:val="24"/>
        </w:rPr>
        <w:t xml:space="preserve"> </w:t>
      </w:r>
    </w:p>
    <w:p w14:paraId="51BE60B2" w14:textId="77777777" w:rsidR="000915C1" w:rsidRDefault="000915C1" w:rsidP="000915C1">
      <w:pPr>
        <w:pStyle w:val="NoSpacing"/>
        <w:ind w:left="1440"/>
        <w:rPr>
          <w:rFonts w:ascii="Times New Roman" w:hAnsi="Times New Roman"/>
          <w:sz w:val="24"/>
          <w:szCs w:val="24"/>
        </w:rPr>
      </w:pPr>
    </w:p>
    <w:bookmarkEnd w:id="11"/>
    <w:p w14:paraId="527114F4" w14:textId="77777777" w:rsidR="000915C1" w:rsidRDefault="000915C1" w:rsidP="002B1283">
      <w:pPr>
        <w:rPr>
          <w:rFonts w:ascii="Arial Black" w:hAnsi="Arial Black"/>
          <w:b/>
          <w:sz w:val="24"/>
          <w:szCs w:val="24"/>
        </w:rPr>
      </w:pPr>
    </w:p>
    <w:p w14:paraId="065E246C" w14:textId="4DC824D8" w:rsidR="000915C1" w:rsidRDefault="000915C1"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6</w:t>
      </w:r>
    </w:p>
    <w:p w14:paraId="772298AE" w14:textId="77777777" w:rsidR="000915C1" w:rsidRPr="00AA0D4F" w:rsidRDefault="000915C1" w:rsidP="000915C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WI:  PROPERTY OWNER BURNING DEBRIS WITHOUT PERMIT - FOREST PROTECTION AREA – CITATION UPHELD </w:t>
      </w:r>
    </w:p>
    <w:p w14:paraId="05484C04" w14:textId="77777777" w:rsidR="000915C1" w:rsidRDefault="000915C1" w:rsidP="000915C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4, 2021, in </w:t>
      </w:r>
      <w:r w:rsidRPr="00CE7812">
        <w:rPr>
          <w:rFonts w:ascii="Times New Roman" w:eastAsia="Times New Roman" w:hAnsi="Times New Roman"/>
          <w:sz w:val="24"/>
          <w:szCs w:val="24"/>
          <w:u w:val="single"/>
        </w:rPr>
        <w:t>State of Wisconsin v. Greg D. Griswold</w:t>
      </w:r>
      <w:r>
        <w:rPr>
          <w:rFonts w:ascii="Times New Roman" w:eastAsia="Times New Roman" w:hAnsi="Times New Roman"/>
          <w:sz w:val="24"/>
          <w:szCs w:val="24"/>
        </w:rPr>
        <w:t xml:space="preserve">, the State of Wisconsin Court of Appeals (District IV) held [one judge decision] that the trial court properly concluded the property owner did not show he was burning debris from his house, that had been destroyed by fire, for the purpose of warmth.  The Appeals judge agreed with the trial judge – he was burning wood at 8 pm on May 4 not to keep warm; he was simply avoiding cost of taking debris to the dump.  </w:t>
      </w:r>
    </w:p>
    <w:p w14:paraId="4198F238"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A0D4F">
        <w:rPr>
          <w:rFonts w:ascii="Times New Roman" w:eastAsia="Times New Roman" w:hAnsi="Times New Roman"/>
          <w:sz w:val="24"/>
          <w:szCs w:val="24"/>
        </w:rPr>
        <w:t>Greg Griswold appeals pro se from a judgment of conviction of a civil forfeiture, which was entered after the circuit court found him</w:t>
      </w:r>
      <w:r>
        <w:rPr>
          <w:rFonts w:ascii="Times New Roman" w:eastAsia="Times New Roman" w:hAnsi="Times New Roman"/>
          <w:sz w:val="24"/>
          <w:szCs w:val="24"/>
        </w:rPr>
        <w:t xml:space="preserve"> </w:t>
      </w:r>
      <w:r w:rsidRPr="00AA0D4F">
        <w:rPr>
          <w:rFonts w:ascii="Times New Roman" w:eastAsia="Times New Roman" w:hAnsi="Times New Roman"/>
          <w:sz w:val="24"/>
          <w:szCs w:val="24"/>
        </w:rPr>
        <w:t>guilty of violating WIS. STAT. § 26.12(5)(b). That statute prohibits setting unpermitted fires in certain areas of the state, but it contains an exception for fires that are set "for warming the person." Griswold contends that his fire fits within this exception, but I conclude that the trial evidence is sufficient to sustain the court's finding that it did not. Accordingly, I affirm.</w:t>
      </w:r>
      <w:r>
        <w:rPr>
          <w:rFonts w:ascii="Times New Roman" w:eastAsia="Times New Roman" w:hAnsi="Times New Roman"/>
          <w:sz w:val="24"/>
          <w:szCs w:val="24"/>
        </w:rPr>
        <w:t xml:space="preserve">” </w:t>
      </w:r>
      <w:hyperlink r:id="rId284" w:history="1">
        <w:r w:rsidRPr="00B568EC">
          <w:rPr>
            <w:rStyle w:val="Hyperlink"/>
            <w:rFonts w:ascii="Times New Roman" w:eastAsia="Times New Roman" w:hAnsi="Times New Roman"/>
            <w:sz w:val="24"/>
            <w:szCs w:val="24"/>
          </w:rPr>
          <w:t>https://www.wicourts.gov/ca/opinion/DisplayDocument.pdf?content=pdf&amp;seqNo=342440</w:t>
        </w:r>
      </w:hyperlink>
      <w:r>
        <w:rPr>
          <w:rFonts w:ascii="Times New Roman" w:eastAsia="Times New Roman" w:hAnsi="Times New Roman"/>
          <w:sz w:val="24"/>
          <w:szCs w:val="24"/>
        </w:rPr>
        <w:t xml:space="preserve"> </w:t>
      </w:r>
    </w:p>
    <w:p w14:paraId="2AFBBB8F" w14:textId="77777777" w:rsidR="000915C1" w:rsidRPr="006D6C21" w:rsidRDefault="000915C1" w:rsidP="000915C1">
      <w:pPr>
        <w:spacing w:before="100" w:beforeAutospacing="1" w:after="100" w:afterAutospacing="1" w:line="240" w:lineRule="auto"/>
        <w:rPr>
          <w:rFonts w:ascii="Times New Roman" w:eastAsia="Times New Roman" w:hAnsi="Times New Roman"/>
          <w:b/>
          <w:bCs/>
          <w:sz w:val="24"/>
          <w:szCs w:val="24"/>
        </w:rPr>
      </w:pPr>
      <w:r w:rsidRPr="006D6C21">
        <w:rPr>
          <w:rFonts w:ascii="Times New Roman" w:hAnsi="Times New Roman"/>
          <w:b/>
          <w:bCs/>
          <w:sz w:val="24"/>
          <w:szCs w:val="24"/>
        </w:rPr>
        <w:t>Legal Lesson Learned:</w:t>
      </w:r>
      <w:r>
        <w:rPr>
          <w:rFonts w:ascii="Times New Roman" w:hAnsi="Times New Roman"/>
          <w:b/>
          <w:bCs/>
          <w:sz w:val="24"/>
          <w:szCs w:val="24"/>
        </w:rPr>
        <w:t xml:space="preserve"> Citation upheld; good work by the Fire Chief and the Department of Natural Resources. </w:t>
      </w:r>
    </w:p>
    <w:p w14:paraId="16572B41" w14:textId="79D07F7A" w:rsidR="000915C1" w:rsidRPr="00CE7812" w:rsidRDefault="000915C1" w:rsidP="000915C1">
      <w:pPr>
        <w:spacing w:before="100" w:beforeAutospacing="1" w:after="100" w:afterAutospacing="1" w:line="240" w:lineRule="auto"/>
        <w:ind w:left="720"/>
        <w:rPr>
          <w:rFonts w:ascii="Times New Roman" w:eastAsia="Times New Roman" w:hAnsi="Times New Roman"/>
          <w:sz w:val="24"/>
          <w:szCs w:val="24"/>
        </w:rPr>
      </w:pPr>
      <w:bookmarkStart w:id="12" w:name="_Hlk68349328"/>
      <w:r>
        <w:rPr>
          <w:rFonts w:ascii="Times New Roman" w:eastAsia="Times New Roman" w:hAnsi="Times New Roman"/>
          <w:sz w:val="24"/>
          <w:szCs w:val="24"/>
        </w:rPr>
        <w:t>Note: “</w:t>
      </w:r>
      <w:r w:rsidRPr="00CE7812">
        <w:rPr>
          <w:rFonts w:ascii="Times New Roman" w:hAnsi="Times New Roman"/>
          <w:sz w:val="24"/>
          <w:szCs w:val="24"/>
        </w:rPr>
        <w:t>There was also testimony that, even if Griswold had had a permit, the fire would have violated the statewide burn ban that was in effect at the time due to the COVID-19 pandemic. We address this testimony no further, since neither the citation that was issued nor the circuit court's judgment of conviction were based on any statewide burn ban. Both were based on a violation of WIS. STAT. § 26.12(5)(b).</w:t>
      </w:r>
      <w:r>
        <w:rPr>
          <w:rFonts w:ascii="Times New Roman" w:hAnsi="Times New Roman"/>
          <w:sz w:val="24"/>
          <w:szCs w:val="24"/>
        </w:rPr>
        <w:t xml:space="preserve">”  </w:t>
      </w:r>
      <w:hyperlink r:id="rId285" w:history="1">
        <w:r w:rsidRPr="00B568EC">
          <w:rPr>
            <w:rStyle w:val="Hyperlink"/>
            <w:rFonts w:ascii="Times New Roman" w:eastAsia="Times New Roman" w:hAnsi="Times New Roman"/>
            <w:sz w:val="24"/>
            <w:szCs w:val="24"/>
          </w:rPr>
          <w:t>https://www.wicourts.gov/ca/opinion/DisplayDocument.pdf?content=pdf&amp;seqNo=342440</w:t>
        </w:r>
      </w:hyperlink>
    </w:p>
    <w:bookmarkEnd w:id="12"/>
    <w:p w14:paraId="763F5812" w14:textId="77777777" w:rsidR="000915C1" w:rsidRDefault="000915C1" w:rsidP="002B1283">
      <w:pPr>
        <w:rPr>
          <w:rFonts w:ascii="Arial Black" w:hAnsi="Arial Black"/>
          <w:b/>
          <w:sz w:val="24"/>
          <w:szCs w:val="24"/>
        </w:rPr>
      </w:pPr>
    </w:p>
    <w:p w14:paraId="1AB63588" w14:textId="77777777" w:rsidR="000915C1" w:rsidRDefault="000915C1" w:rsidP="002B1283">
      <w:pPr>
        <w:rPr>
          <w:rFonts w:ascii="Arial Black" w:hAnsi="Arial Black"/>
          <w:b/>
          <w:sz w:val="24"/>
          <w:szCs w:val="24"/>
        </w:rPr>
      </w:pPr>
    </w:p>
    <w:p w14:paraId="2046FA60" w14:textId="26F89856"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5</w:t>
      </w:r>
    </w:p>
    <w:p w14:paraId="306E032D" w14:textId="77777777" w:rsidR="00CD5950" w:rsidRPr="001D0C68" w:rsidRDefault="00CD5950" w:rsidP="00CD595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IA: CITY CODE OFFICER NOT PROTECTED 1</w:t>
      </w:r>
      <w:r w:rsidRPr="00EA2DE7">
        <w:rPr>
          <w:rFonts w:ascii="Arial Black" w:eastAsia="Times New Roman" w:hAnsi="Arial Black"/>
          <w:b/>
          <w:bCs/>
          <w:sz w:val="28"/>
          <w:szCs w:val="28"/>
          <w:vertAlign w:val="superscript"/>
        </w:rPr>
        <w:t>St</w:t>
      </w:r>
      <w:r>
        <w:rPr>
          <w:rFonts w:ascii="Arial Black" w:eastAsia="Times New Roman" w:hAnsi="Arial Black"/>
          <w:b/>
          <w:bCs/>
          <w:sz w:val="28"/>
          <w:szCs w:val="28"/>
        </w:rPr>
        <w:t xml:space="preserve"> AMENDMENT “FREEDOM OF SPEECH” – OFFICIAL DUTIES - FIRED   </w:t>
      </w:r>
    </w:p>
    <w:p w14:paraId="077CA167" w14:textId="77777777" w:rsidR="00CD5950" w:rsidRDefault="00CD5950" w:rsidP="00CD595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24, 2021, in </w:t>
      </w:r>
      <w:r w:rsidRPr="0019521C">
        <w:rPr>
          <w:rFonts w:ascii="Times New Roman" w:eastAsia="Times New Roman" w:hAnsi="Times New Roman"/>
          <w:sz w:val="24"/>
          <w:szCs w:val="24"/>
          <w:u w:val="single"/>
        </w:rPr>
        <w:t>David R. Christensen v. City of Sergeant Bluff</w:t>
      </w:r>
      <w:r>
        <w:rPr>
          <w:rFonts w:ascii="Times New Roman" w:eastAsia="Times New Roman" w:hAnsi="Times New Roman"/>
          <w:sz w:val="24"/>
          <w:szCs w:val="24"/>
        </w:rPr>
        <w:t xml:space="preserve">, U.S. District Court Chief Judge Leonard T. Strand, U.S. District Court for the Northern District of Iowa (Western District), granted the city’s motion for summary judgment.   City was installing underground wiring to 220 duplex houses and agreed to not require any city permits. State Fire Marshall informed the city that all meter installations had to be approved by a state inspector, since plaintiff didn’t have electrical certification.   Plaintiff is not protected under First Amendment freedom of speech since his job duties include reporting possible code violations to state officials.  Case </w:t>
      </w:r>
      <w:proofErr w:type="gramStart"/>
      <w:r>
        <w:rPr>
          <w:rFonts w:ascii="Times New Roman" w:eastAsia="Times New Roman" w:hAnsi="Times New Roman"/>
          <w:sz w:val="24"/>
          <w:szCs w:val="24"/>
        </w:rPr>
        <w:t>remanded</w:t>
      </w:r>
      <w:proofErr w:type="gramEnd"/>
      <w:r>
        <w:rPr>
          <w:rFonts w:ascii="Times New Roman" w:eastAsia="Times New Roman" w:hAnsi="Times New Roman"/>
          <w:sz w:val="24"/>
          <w:szCs w:val="24"/>
        </w:rPr>
        <w:t xml:space="preserve"> to state court on his claims of violation of Iowa whistleblower and state code enforcement laws. </w:t>
      </w:r>
    </w:p>
    <w:p w14:paraId="5348ADE8" w14:textId="77777777" w:rsidR="00CD5950" w:rsidRPr="00710662"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“[S]</w:t>
      </w:r>
      <w:r w:rsidRPr="00710662">
        <w:rPr>
          <w:rFonts w:ascii="Times New Roman" w:hAnsi="Times New Roman"/>
          <w:sz w:val="24"/>
          <w:szCs w:val="24"/>
        </w:rPr>
        <w:t xml:space="preserve">ee </w:t>
      </w:r>
      <w:r>
        <w:rPr>
          <w:rFonts w:ascii="Times New Roman" w:hAnsi="Times New Roman"/>
          <w:sz w:val="24"/>
          <w:szCs w:val="24"/>
        </w:rPr>
        <w:t xml:space="preserve">also </w:t>
      </w:r>
      <w:r w:rsidRPr="00710662">
        <w:rPr>
          <w:rFonts w:ascii="Times New Roman" w:hAnsi="Times New Roman"/>
          <w:sz w:val="24"/>
          <w:szCs w:val="24"/>
        </w:rPr>
        <w:t>Garcetti v. Ceballos, 547 U.S. 410, 421 (2006) "We hold that when public employees make statements pursuant to their official duties, the employees are not speaking as citizens for first Amendment purposes, and the Constitution does not insulate their communications from employer discipline."</w:t>
      </w:r>
    </w:p>
    <w:p w14:paraId="26446DAE" w14:textId="77777777" w:rsidR="00CD5950" w:rsidRPr="00BE4A1E" w:rsidRDefault="00CD5950" w:rsidP="00CD5950">
      <w:pPr>
        <w:spacing w:before="100" w:beforeAutospacing="1" w:after="100" w:afterAutospacing="1" w:line="240" w:lineRule="auto"/>
        <w:ind w:left="720"/>
        <w:rPr>
          <w:rFonts w:ascii="Times New Roman" w:eastAsia="Times New Roman" w:hAnsi="Times New Roman"/>
          <w:sz w:val="24"/>
          <w:szCs w:val="24"/>
        </w:rPr>
      </w:pPr>
      <w:r w:rsidRPr="00BE4A1E">
        <w:rPr>
          <w:rFonts w:ascii="Times New Roman" w:eastAsia="Times New Roman" w:hAnsi="Times New Roman"/>
          <w:sz w:val="24"/>
          <w:szCs w:val="24"/>
        </w:rPr>
        <w:t>***</w:t>
      </w:r>
    </w:p>
    <w:p w14:paraId="79A4556C" w14:textId="2A30823B" w:rsidR="00CD5950" w:rsidRDefault="00CD5950" w:rsidP="00CD5950">
      <w:pPr>
        <w:rPr>
          <w:rFonts w:ascii="Arial Black" w:hAnsi="Arial Black"/>
          <w:b/>
          <w:sz w:val="24"/>
          <w:szCs w:val="24"/>
        </w:rPr>
      </w:pPr>
      <w:r w:rsidRPr="00710662">
        <w:rPr>
          <w:rFonts w:ascii="Times New Roman" w:eastAsia="Times New Roman" w:hAnsi="Times New Roman"/>
          <w:sz w:val="24"/>
          <w:szCs w:val="24"/>
        </w:rPr>
        <w:t xml:space="preserve">Christensen's report of electrical violations to the regional state electrical inspector was also made pursuant to his position as the City Inspector/Code Enforcement Officer. </w:t>
      </w:r>
      <w:r w:rsidRPr="00710662">
        <w:rPr>
          <w:rFonts w:ascii="Times New Roman" w:eastAsia="Times New Roman" w:hAnsi="Times New Roman"/>
          <w:i/>
          <w:iCs/>
          <w:sz w:val="24"/>
          <w:szCs w:val="24"/>
        </w:rPr>
        <w:t>Compare McGee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Public Water Supply</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Dist</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No</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2 of Jefferson County</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Mo</w:t>
      </w:r>
      <w:r w:rsidRPr="00710662">
        <w:rPr>
          <w:rFonts w:ascii="Times New Roman" w:eastAsia="Times New Roman" w:hAnsi="Times New Roman"/>
          <w:sz w:val="24"/>
          <w:szCs w:val="24"/>
        </w:rPr>
        <w:t xml:space="preserve">., 471 F.3d 918, 921 (8th Cir. 2006) (concluding district manager of public water supply district who expressed concerns over the district's compliance with environmental regulations made the statements as part of his official duties); </w:t>
      </w:r>
      <w:r w:rsidRPr="00710662">
        <w:rPr>
          <w:rFonts w:ascii="Times New Roman" w:eastAsia="Times New Roman" w:hAnsi="Times New Roman"/>
          <w:i/>
          <w:iCs/>
          <w:sz w:val="24"/>
          <w:szCs w:val="24"/>
        </w:rPr>
        <w:t>Batz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City of Sebring</w:t>
      </w:r>
      <w:r w:rsidRPr="00710662">
        <w:rPr>
          <w:rFonts w:ascii="Times New Roman" w:eastAsia="Times New Roman" w:hAnsi="Times New Roman"/>
          <w:sz w:val="24"/>
          <w:szCs w:val="24"/>
        </w:rPr>
        <w:t xml:space="preserve">, 794 F. </w:t>
      </w:r>
      <w:proofErr w:type="spellStart"/>
      <w:r w:rsidRPr="00710662">
        <w:rPr>
          <w:rFonts w:ascii="Times New Roman" w:eastAsia="Times New Roman" w:hAnsi="Times New Roman"/>
          <w:sz w:val="24"/>
          <w:szCs w:val="24"/>
        </w:rPr>
        <w:t>App'x</w:t>
      </w:r>
      <w:proofErr w:type="spellEnd"/>
      <w:r w:rsidRPr="00710662">
        <w:rPr>
          <w:rFonts w:ascii="Times New Roman" w:eastAsia="Times New Roman" w:hAnsi="Times New Roman"/>
          <w:sz w:val="24"/>
          <w:szCs w:val="24"/>
        </w:rPr>
        <w:t xml:space="preserve"> 889, 898 (11th Cir. 2019) (concluding city fire chief spoke as an employee when he made complaints about various city officials undermining his efforts to enforce fire safety rules</w:t>
      </w:r>
      <w:r>
        <w:rPr>
          <w:rFonts w:ascii="Times New Roman" w:eastAsia="Times New Roman" w:hAnsi="Times New Roman"/>
          <w:sz w:val="24"/>
          <w:szCs w:val="24"/>
        </w:rPr>
        <w:t xml:space="preserve"> </w:t>
      </w:r>
      <w:r w:rsidRPr="00710662">
        <w:rPr>
          <w:rFonts w:ascii="Times New Roman" w:eastAsia="Times New Roman" w:hAnsi="Times New Roman"/>
          <w:sz w:val="24"/>
          <w:szCs w:val="24"/>
        </w:rPr>
        <w:t xml:space="preserve">at a historical building owned by persons with connections to the city council and administration); </w:t>
      </w:r>
      <w:r w:rsidRPr="00710662">
        <w:rPr>
          <w:rFonts w:ascii="Times New Roman" w:eastAsia="Times New Roman" w:hAnsi="Times New Roman"/>
          <w:i/>
          <w:iCs/>
          <w:sz w:val="24"/>
          <w:szCs w:val="24"/>
        </w:rPr>
        <w:t>Morris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Philadelphia Housing Authority</w:t>
      </w:r>
      <w:r w:rsidRPr="00710662">
        <w:rPr>
          <w:rFonts w:ascii="Times New Roman" w:eastAsia="Times New Roman" w:hAnsi="Times New Roman"/>
          <w:sz w:val="24"/>
          <w:szCs w:val="24"/>
        </w:rPr>
        <w:t xml:space="preserve">, 487 F. </w:t>
      </w:r>
      <w:proofErr w:type="spellStart"/>
      <w:r w:rsidRPr="00710662">
        <w:rPr>
          <w:rFonts w:ascii="Times New Roman" w:eastAsia="Times New Roman" w:hAnsi="Times New Roman"/>
          <w:sz w:val="24"/>
          <w:szCs w:val="24"/>
        </w:rPr>
        <w:t>App'x</w:t>
      </w:r>
      <w:proofErr w:type="spellEnd"/>
      <w:r w:rsidRPr="00710662">
        <w:rPr>
          <w:rFonts w:ascii="Times New Roman" w:eastAsia="Times New Roman" w:hAnsi="Times New Roman"/>
          <w:sz w:val="24"/>
          <w:szCs w:val="24"/>
        </w:rPr>
        <w:t xml:space="preserve"> 37, 40 (3d Cir. 2012) (concluding an executive assistant's complaints up the chain of command about legality of housing authority's actions fell within his job duties); </w:t>
      </w:r>
      <w:r w:rsidRPr="00710662">
        <w:rPr>
          <w:rFonts w:ascii="Times New Roman" w:eastAsia="Times New Roman" w:hAnsi="Times New Roman"/>
          <w:i/>
          <w:iCs/>
          <w:sz w:val="24"/>
          <w:szCs w:val="24"/>
        </w:rPr>
        <w:t>Lyons II</w:t>
      </w:r>
      <w:r w:rsidRPr="00710662">
        <w:rPr>
          <w:rFonts w:ascii="Times New Roman" w:eastAsia="Times New Roman" w:hAnsi="Times New Roman"/>
          <w:sz w:val="24"/>
          <w:szCs w:val="24"/>
        </w:rPr>
        <w:t xml:space="preserve">, 875 F.3d at 1175 (noting that court's analysis in </w:t>
      </w:r>
      <w:r w:rsidRPr="00710662">
        <w:rPr>
          <w:rFonts w:ascii="Times New Roman" w:eastAsia="Times New Roman" w:hAnsi="Times New Roman"/>
          <w:i/>
          <w:iCs/>
          <w:sz w:val="24"/>
          <w:szCs w:val="24"/>
        </w:rPr>
        <w:t>Kincade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City of Blue Springs</w:t>
      </w:r>
      <w:r w:rsidRPr="00710662">
        <w:rPr>
          <w:rFonts w:ascii="Times New Roman" w:eastAsia="Times New Roman" w:hAnsi="Times New Roman"/>
          <w:sz w:val="24"/>
          <w:szCs w:val="24"/>
        </w:rPr>
        <w:t xml:space="preserve">, 64 F.3d 389 (8th Cir. 1995) that city engineer's complaints about a dam's funding and safety issues that were made pursuant to an assignment from his employer and in his capacity as city engineer and that were deemed protected would not suffice under </w:t>
      </w:r>
      <w:r w:rsidRPr="00710662">
        <w:rPr>
          <w:rFonts w:ascii="Times New Roman" w:eastAsia="Times New Roman" w:hAnsi="Times New Roman"/>
          <w:i/>
          <w:iCs/>
          <w:sz w:val="24"/>
          <w:szCs w:val="24"/>
        </w:rPr>
        <w:t>Garcetti</w:t>
      </w:r>
      <w:r w:rsidRPr="00710662">
        <w:rPr>
          <w:rFonts w:ascii="Times New Roman" w:eastAsia="Times New Roman" w:hAnsi="Times New Roman"/>
          <w:sz w:val="24"/>
          <w:szCs w:val="24"/>
        </w:rPr>
        <w:t>).</w:t>
      </w:r>
      <w:r>
        <w:rPr>
          <w:rFonts w:ascii="Times New Roman" w:eastAsia="Times New Roman" w:hAnsi="Times New Roman"/>
          <w:sz w:val="24"/>
          <w:szCs w:val="24"/>
        </w:rPr>
        <w:t xml:space="preserve">” </w:t>
      </w:r>
      <w:hyperlink r:id="rId286" w:history="1">
        <w:r w:rsidRPr="004C3F50">
          <w:rPr>
            <w:rStyle w:val="Hyperlink"/>
            <w:rFonts w:ascii="Times New Roman" w:eastAsia="Times New Roman" w:hAnsi="Times New Roman"/>
            <w:sz w:val="24"/>
            <w:szCs w:val="24"/>
          </w:rPr>
          <w:t>https://public.fastcase.com/Wl%2B2t%2BeVuI35%2FN70vAMFZnSQz8BzpEWSl4qvcEU%2FNgbENUBBcIuF0iEqrodjguq8</w:t>
        </w:r>
      </w:hyperlink>
    </w:p>
    <w:p w14:paraId="6580BB5A" w14:textId="77777777" w:rsidR="00CD5950" w:rsidRDefault="00CD5950" w:rsidP="00CD5950">
      <w:pPr>
        <w:spacing w:before="100" w:beforeAutospacing="1" w:after="100" w:afterAutospacing="1" w:line="240" w:lineRule="auto"/>
        <w:rPr>
          <w:rFonts w:ascii="Times New Roman" w:hAnsi="Times New Roman"/>
          <w:b/>
          <w:bCs/>
          <w:sz w:val="24"/>
          <w:szCs w:val="24"/>
        </w:rPr>
      </w:pPr>
      <w:r w:rsidRPr="00710662">
        <w:rPr>
          <w:rFonts w:ascii="Times New Roman" w:hAnsi="Times New Roman"/>
          <w:b/>
          <w:bCs/>
          <w:sz w:val="24"/>
          <w:szCs w:val="24"/>
        </w:rPr>
        <w:t>Legal Lessons Learned:</w:t>
      </w:r>
      <w:r>
        <w:rPr>
          <w:rFonts w:ascii="Times New Roman" w:hAnsi="Times New Roman"/>
          <w:b/>
          <w:bCs/>
          <w:sz w:val="24"/>
          <w:szCs w:val="24"/>
        </w:rPr>
        <w:t xml:space="preserve"> This case is now </w:t>
      </w:r>
      <w:proofErr w:type="gramStart"/>
      <w:r>
        <w:rPr>
          <w:rFonts w:ascii="Times New Roman" w:hAnsi="Times New Roman"/>
          <w:b/>
          <w:bCs/>
          <w:sz w:val="24"/>
          <w:szCs w:val="24"/>
        </w:rPr>
        <w:t>remanded</w:t>
      </w:r>
      <w:proofErr w:type="gramEnd"/>
      <w:r>
        <w:rPr>
          <w:rFonts w:ascii="Times New Roman" w:hAnsi="Times New Roman"/>
          <w:b/>
          <w:bCs/>
          <w:sz w:val="24"/>
          <w:szCs w:val="24"/>
        </w:rPr>
        <w:t xml:space="preserve"> to Iowa state court where plaintiff may seek to prove to a jury that the city violated State whistleblower laws and State code enforcement laws. </w:t>
      </w:r>
    </w:p>
    <w:p w14:paraId="16A053A0" w14:textId="77777777" w:rsidR="00CD5950" w:rsidRDefault="00CD5950" w:rsidP="00CD5950">
      <w:pPr>
        <w:pStyle w:val="NormalWeb"/>
        <w:ind w:left="720"/>
      </w:pPr>
      <w:r w:rsidRPr="00710662">
        <w:t xml:space="preserve">Note: </w:t>
      </w:r>
      <w:r>
        <w:t xml:space="preserve">The U.S. Supreme Court in </w:t>
      </w:r>
      <w:r>
        <w:rPr>
          <w:i/>
          <w:iCs/>
        </w:rPr>
        <w:t>Garcetti v</w:t>
      </w:r>
      <w:r>
        <w:t xml:space="preserve">. </w:t>
      </w:r>
      <w:r>
        <w:rPr>
          <w:i/>
          <w:iCs/>
        </w:rPr>
        <w:t>Ceballos</w:t>
      </w:r>
      <w:r>
        <w:t xml:space="preserve">, 547 U.S. 410, 421 (2006), greatly limited the ability of public employees to sue in Federal court for retaliation in violation of the First Amendment “freedom of speech.”  Ceballos was a LA County Supervising attorney, who was re-assigned after questioning the accuracy of Deputy Sheriff’s search warrant application and writing a memo documenting his concerns.  The U.S. Supreme Court held [5 to 4]: “Proper application of our precedents thus leads to the conclusion that the First Amendment does not prohibit managerial discipline based on an employee’s expressions made pursuant to official responsibilities. Because Ceballos’ memo falls into this category, his allegation of unconstitutional retaliation must fail.” </w:t>
      </w:r>
      <w:hyperlink r:id="rId287" w:history="1">
        <w:r w:rsidRPr="004C3F50">
          <w:rPr>
            <w:rStyle w:val="Hyperlink"/>
          </w:rPr>
          <w:t>https://supreme.justia.com/cases/federal/us/547/410/</w:t>
        </w:r>
      </w:hyperlink>
      <w:r>
        <w:t xml:space="preserve"> </w:t>
      </w:r>
    </w:p>
    <w:p w14:paraId="3E47ED72" w14:textId="25978566" w:rsidR="00CD5950" w:rsidRDefault="00CD5950" w:rsidP="002B1283">
      <w:pPr>
        <w:rPr>
          <w:rFonts w:ascii="Arial Black" w:hAnsi="Arial Black"/>
          <w:b/>
          <w:sz w:val="24"/>
          <w:szCs w:val="24"/>
        </w:rPr>
      </w:pPr>
    </w:p>
    <w:p w14:paraId="40E55BEB" w14:textId="7F243F8F"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4</w:t>
      </w:r>
    </w:p>
    <w:p w14:paraId="62203C37" w14:textId="77777777" w:rsidR="00CD5950" w:rsidRDefault="00CD5950" w:rsidP="00CD5950">
      <w:r>
        <w:rPr>
          <w:rFonts w:ascii="Arial Black" w:hAnsi="Arial Black"/>
          <w:sz w:val="28"/>
          <w:szCs w:val="28"/>
        </w:rPr>
        <w:t>OH: OHIO ETHICS COMMISSION – HELPFUL NEW VIDEO – PUBLIC OFFICIALS &amp; GIFTS OF “SUBSTANTIAL VALUE”</w:t>
      </w:r>
    </w:p>
    <w:p w14:paraId="09B2E758" w14:textId="77777777" w:rsidR="00CD5950" w:rsidRDefault="00CD5950" w:rsidP="00CD5950">
      <w:pPr>
        <w:rPr>
          <w:rFonts w:ascii="Times New Roman" w:hAnsi="Times New Roman"/>
          <w:sz w:val="24"/>
          <w:szCs w:val="24"/>
        </w:rPr>
      </w:pPr>
      <w:r>
        <w:rPr>
          <w:rFonts w:ascii="Times New Roman" w:hAnsi="Times New Roman"/>
          <w:sz w:val="24"/>
          <w:szCs w:val="24"/>
        </w:rPr>
        <w:t xml:space="preserve">Feb. 22, 2021: </w:t>
      </w:r>
    </w:p>
    <w:p w14:paraId="2F61DAE2" w14:textId="77777777" w:rsidR="00CD5950" w:rsidRDefault="00CD5950" w:rsidP="00CD5950">
      <w:pPr>
        <w:rPr>
          <w:rStyle w:val="Hyperlink"/>
          <w:rFonts w:ascii="Times New Roman" w:hAnsi="Times New Roman"/>
          <w:sz w:val="24"/>
          <w:szCs w:val="24"/>
        </w:rPr>
      </w:pPr>
      <w:r>
        <w:rPr>
          <w:rFonts w:ascii="Times New Roman" w:hAnsi="Times New Roman"/>
          <w:sz w:val="24"/>
          <w:szCs w:val="24"/>
        </w:rPr>
        <w:t xml:space="preserve">See helpful new training video: </w:t>
      </w:r>
      <w:hyperlink r:id="rId288" w:history="1">
        <w:r w:rsidRPr="00EA374E">
          <w:rPr>
            <w:rStyle w:val="Hyperlink"/>
            <w:rFonts w:ascii="Times New Roman" w:hAnsi="Times New Roman"/>
            <w:sz w:val="24"/>
            <w:szCs w:val="24"/>
          </w:rPr>
          <w:t>https://ethics.ohio.gov/education/elearning/ecourses.html</w:t>
        </w:r>
      </w:hyperlink>
    </w:p>
    <w:p w14:paraId="5816E79E" w14:textId="77777777" w:rsidR="00CD5950" w:rsidRDefault="00CD5950" w:rsidP="00CD5950">
      <w:pPr>
        <w:rPr>
          <w:rFonts w:ascii="Times New Roman" w:hAnsi="Times New Roman"/>
          <w:sz w:val="24"/>
          <w:szCs w:val="24"/>
        </w:rPr>
      </w:pPr>
      <w:r>
        <w:rPr>
          <w:rFonts w:ascii="Times New Roman" w:hAnsi="Times New Roman"/>
          <w:sz w:val="24"/>
          <w:szCs w:val="24"/>
        </w:rPr>
        <w:t>See also: “</w:t>
      </w:r>
      <w:r w:rsidRPr="00D13E5D">
        <w:rPr>
          <w:rFonts w:ascii="Times New Roman" w:hAnsi="Times New Roman"/>
          <w:sz w:val="24"/>
          <w:szCs w:val="24"/>
        </w:rPr>
        <w:t xml:space="preserve">The first quarter edition of </w:t>
      </w:r>
      <w:hyperlink r:id="rId289" w:history="1">
        <w:r w:rsidRPr="00D13E5D">
          <w:rPr>
            <w:rStyle w:val="Hyperlink"/>
            <w:rFonts w:ascii="Times New Roman" w:hAnsi="Times New Roman"/>
            <w:sz w:val="24"/>
            <w:szCs w:val="24"/>
          </w:rPr>
          <w:t>The Voice of Ethics</w:t>
        </w:r>
      </w:hyperlink>
      <w:r w:rsidRPr="00D13E5D">
        <w:rPr>
          <w:rFonts w:ascii="Times New Roman" w:hAnsi="Times New Roman"/>
          <w:sz w:val="24"/>
          <w:szCs w:val="24"/>
        </w:rPr>
        <w:t xml:space="preserve"> has been issued!  I hope you enjoy it and as always, please feel free to contact me if I can be of any assistance.</w:t>
      </w:r>
      <w:r>
        <w:rPr>
          <w:rFonts w:ascii="Times New Roman" w:hAnsi="Times New Roman"/>
          <w:sz w:val="24"/>
          <w:szCs w:val="24"/>
        </w:rPr>
        <w:t>”</w:t>
      </w:r>
      <w:hyperlink r:id="rId290" w:history="1">
        <w:r w:rsidRPr="00BA411D">
          <w:rPr>
            <w:rStyle w:val="Hyperlink"/>
            <w:rFonts w:ascii="Times New Roman" w:hAnsi="Times New Roman"/>
            <w:sz w:val="24"/>
            <w:szCs w:val="24"/>
          </w:rPr>
          <w:t>https://ethics.ohio.gov/education/newsletters/VOE_21Q1.pdf</w:t>
        </w:r>
      </w:hyperlink>
      <w:r>
        <w:rPr>
          <w:rFonts w:ascii="Times New Roman" w:hAnsi="Times New Roman"/>
          <w:sz w:val="24"/>
          <w:szCs w:val="24"/>
        </w:rPr>
        <w:t xml:space="preserve"> </w:t>
      </w:r>
    </w:p>
    <w:p w14:paraId="01C0783C" w14:textId="77777777" w:rsidR="00CD5950" w:rsidRDefault="00CD5950" w:rsidP="00CD5950">
      <w:pPr>
        <w:rPr>
          <w:rFonts w:ascii="Times New Roman" w:hAnsi="Times New Roman"/>
          <w:sz w:val="24"/>
          <w:szCs w:val="24"/>
        </w:rPr>
      </w:pPr>
      <w:r>
        <w:rPr>
          <w:rFonts w:ascii="Times New Roman" w:hAnsi="Times New Roman"/>
          <w:sz w:val="24"/>
          <w:szCs w:val="24"/>
        </w:rPr>
        <w:t xml:space="preserve">Both kindly sent to me by: </w:t>
      </w:r>
    </w:p>
    <w:p w14:paraId="4FD1557C"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Susan Willeke</w:t>
      </w:r>
    </w:p>
    <w:p w14:paraId="2CC95F06"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Education &amp; Communications Administrator</w:t>
      </w:r>
    </w:p>
    <w:p w14:paraId="444F4604"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Ohio Ethics Commission</w:t>
      </w:r>
    </w:p>
    <w:p w14:paraId="303DE351"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William Green Building</w:t>
      </w:r>
    </w:p>
    <w:p w14:paraId="5146686D"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30 W. Spring St.</w:t>
      </w:r>
    </w:p>
    <w:p w14:paraId="1520FAD0"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Columbus, Ohio 43215</w:t>
      </w:r>
    </w:p>
    <w:p w14:paraId="2D42AF8B" w14:textId="77777777" w:rsidR="00CD5950" w:rsidRDefault="00CD5950" w:rsidP="00CD5950">
      <w:pPr>
        <w:pStyle w:val="NoSpacing"/>
        <w:ind w:firstLine="720"/>
        <w:rPr>
          <w:rFonts w:ascii="Times New Roman" w:hAnsi="Times New Roman"/>
          <w:sz w:val="24"/>
          <w:szCs w:val="24"/>
        </w:rPr>
      </w:pPr>
    </w:p>
    <w:p w14:paraId="725520E3" w14:textId="77777777" w:rsidR="00CD5950" w:rsidRDefault="00CD5950" w:rsidP="00CD5950">
      <w:pPr>
        <w:pStyle w:val="NoSpacing"/>
        <w:ind w:firstLine="720"/>
        <w:rPr>
          <w:rFonts w:ascii="Times New Roman" w:hAnsi="Times New Roman"/>
          <w:sz w:val="24"/>
          <w:szCs w:val="24"/>
        </w:rPr>
      </w:pPr>
    </w:p>
    <w:p w14:paraId="46DBA9E9"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(614) 466 – 7090</w:t>
      </w:r>
    </w:p>
    <w:p w14:paraId="74123CD0" w14:textId="77777777" w:rsidR="00CD5950" w:rsidRPr="00EB1AAF" w:rsidRDefault="00CD5950" w:rsidP="00CD5950">
      <w:pPr>
        <w:pStyle w:val="NoSpacing"/>
        <w:ind w:firstLine="720"/>
        <w:rPr>
          <w:rFonts w:ascii="Times New Roman" w:hAnsi="Times New Roman"/>
          <w:sz w:val="24"/>
          <w:szCs w:val="24"/>
        </w:rPr>
      </w:pPr>
      <w:hyperlink r:id="rId291" w:history="1">
        <w:r w:rsidRPr="00EA374E">
          <w:rPr>
            <w:rStyle w:val="Hyperlink"/>
            <w:rFonts w:ascii="Times New Roman" w:hAnsi="Times New Roman"/>
            <w:sz w:val="24"/>
            <w:szCs w:val="24"/>
          </w:rPr>
          <w:t>www.ethics.ohio.gov</w:t>
        </w:r>
      </w:hyperlink>
    </w:p>
    <w:p w14:paraId="7AB3EA59" w14:textId="77777777" w:rsidR="00CD5950" w:rsidRPr="00EB1AAF" w:rsidRDefault="00CD5950" w:rsidP="00CD5950">
      <w:pPr>
        <w:pStyle w:val="NoSpacing"/>
        <w:ind w:firstLine="720"/>
        <w:rPr>
          <w:rStyle w:val="Hyperlink"/>
          <w:rFonts w:ascii="Times New Roman" w:hAnsi="Times New Roman"/>
          <w:sz w:val="24"/>
          <w:szCs w:val="24"/>
        </w:rPr>
      </w:pPr>
      <w:hyperlink r:id="rId292" w:history="1">
        <w:r w:rsidRPr="00EA374E">
          <w:rPr>
            <w:rStyle w:val="Hyperlink"/>
            <w:rFonts w:ascii="Times New Roman" w:hAnsi="Times New Roman"/>
            <w:sz w:val="24"/>
            <w:szCs w:val="24"/>
          </w:rPr>
          <w:t>susan.willeke@ethics.ohio.gov</w:t>
        </w:r>
      </w:hyperlink>
    </w:p>
    <w:p w14:paraId="63326306" w14:textId="77777777" w:rsidR="00CD5950" w:rsidRPr="00EB1AAF" w:rsidRDefault="00CD5950" w:rsidP="00CD5950">
      <w:pPr>
        <w:pStyle w:val="NoSpacing"/>
        <w:rPr>
          <w:rStyle w:val="Hyperlink"/>
          <w:rFonts w:ascii="Times New Roman" w:hAnsi="Times New Roman"/>
          <w:sz w:val="24"/>
          <w:szCs w:val="24"/>
        </w:rPr>
      </w:pPr>
    </w:p>
    <w:p w14:paraId="1F0DBF6A" w14:textId="77777777" w:rsidR="00CD5950" w:rsidRPr="00716E29" w:rsidRDefault="00CD5950" w:rsidP="00CD5950">
      <w:pPr>
        <w:pStyle w:val="NoSpacing"/>
        <w:rPr>
          <w:rStyle w:val="Hyperlink"/>
          <w:rFonts w:ascii="Times New Roman" w:hAnsi="Times New Roman"/>
          <w:b/>
          <w:bCs/>
          <w:color w:val="auto"/>
          <w:sz w:val="24"/>
          <w:szCs w:val="24"/>
          <w:u w:val="none"/>
        </w:rPr>
      </w:pPr>
      <w:r w:rsidRPr="00716E29">
        <w:rPr>
          <w:rStyle w:val="Hyperlink"/>
          <w:rFonts w:ascii="Times New Roman" w:hAnsi="Times New Roman"/>
          <w:b/>
          <w:bCs/>
          <w:color w:val="auto"/>
          <w:sz w:val="24"/>
          <w:szCs w:val="24"/>
          <w:u w:val="none"/>
        </w:rPr>
        <w:t xml:space="preserve">Legal Lesson Learned: Golf outings, sports or theater tickets, vacations, jewelry have been items deemed items of “substantial value” by the Ohio Ethics Commission; when in doubt, consult with the Commission. </w:t>
      </w:r>
    </w:p>
    <w:p w14:paraId="6D74FE00" w14:textId="77777777" w:rsidR="00CD5950" w:rsidRDefault="00CD5950" w:rsidP="00CD5950">
      <w:pPr>
        <w:pStyle w:val="NoSpacing"/>
        <w:rPr>
          <w:rStyle w:val="Hyperlink"/>
          <w:rFonts w:ascii="Times New Roman" w:hAnsi="Times New Roman"/>
          <w:b/>
          <w:bCs/>
          <w:sz w:val="24"/>
          <w:szCs w:val="24"/>
        </w:rPr>
      </w:pPr>
    </w:p>
    <w:p w14:paraId="3C41448E" w14:textId="77777777" w:rsidR="00CD5950" w:rsidRDefault="00CD5950" w:rsidP="00CD5950">
      <w:pPr>
        <w:pStyle w:val="NoSpacing"/>
        <w:ind w:left="720"/>
        <w:rPr>
          <w:rFonts w:ascii="Times New Roman" w:hAnsi="Times New Roman"/>
          <w:sz w:val="24"/>
          <w:szCs w:val="24"/>
        </w:rPr>
      </w:pPr>
      <w:r w:rsidRPr="00167F7C">
        <w:rPr>
          <w:rStyle w:val="Hyperlink"/>
          <w:rFonts w:ascii="Times New Roman" w:hAnsi="Times New Roman"/>
          <w:sz w:val="24"/>
          <w:szCs w:val="24"/>
        </w:rPr>
        <w:t>Note: See Ohio Ethics Commission publication</w:t>
      </w:r>
      <w:r>
        <w:rPr>
          <w:rStyle w:val="Hyperlink"/>
          <w:rFonts w:ascii="Times New Roman" w:hAnsi="Times New Roman"/>
          <w:sz w:val="24"/>
          <w:szCs w:val="24"/>
        </w:rPr>
        <w:t>:</w:t>
      </w:r>
      <w:r w:rsidRPr="00167F7C">
        <w:rPr>
          <w:rStyle w:val="Hyperlink"/>
          <w:rFonts w:ascii="Times New Roman" w:hAnsi="Times New Roman"/>
          <w:sz w:val="24"/>
          <w:szCs w:val="24"/>
        </w:rPr>
        <w:t xml:space="preserve"> </w:t>
      </w:r>
      <w:r w:rsidRPr="00167F7C">
        <w:rPr>
          <w:rFonts w:ascii="Times New Roman" w:hAnsi="Times New Roman"/>
          <w:b/>
          <w:bCs/>
          <w:sz w:val="24"/>
          <w:szCs w:val="24"/>
        </w:rPr>
        <w:t>Gifts and the Ohio Ethics Law</w:t>
      </w:r>
      <w:r w:rsidRPr="00167F7C">
        <w:rPr>
          <w:rFonts w:ascii="Times New Roman" w:hAnsi="Times New Roman"/>
          <w:sz w:val="24"/>
          <w:szCs w:val="24"/>
        </w:rPr>
        <w:t xml:space="preserve">: </w:t>
      </w:r>
      <w:hyperlink r:id="rId293" w:history="1">
        <w:r w:rsidRPr="00EA374E">
          <w:rPr>
            <w:rStyle w:val="Hyperlink"/>
            <w:rFonts w:ascii="Times New Roman" w:hAnsi="Times New Roman"/>
            <w:sz w:val="24"/>
            <w:szCs w:val="24"/>
          </w:rPr>
          <w:t>https://www.ethics.ohio.gov/education/gifts.html</w:t>
        </w:r>
      </w:hyperlink>
      <w:r w:rsidRPr="00167F7C">
        <w:rPr>
          <w:rFonts w:ascii="Times New Roman" w:hAnsi="Times New Roman"/>
          <w:sz w:val="24"/>
          <w:szCs w:val="24"/>
        </w:rPr>
        <w:t xml:space="preserve"> </w:t>
      </w:r>
    </w:p>
    <w:p w14:paraId="2EEFCD7C" w14:textId="77777777" w:rsidR="00CD5950" w:rsidRDefault="00CD5950" w:rsidP="00CD5950">
      <w:pPr>
        <w:pStyle w:val="NoSpacing"/>
        <w:ind w:left="720"/>
        <w:rPr>
          <w:rFonts w:ascii="Times New Roman" w:hAnsi="Times New Roman"/>
          <w:sz w:val="24"/>
          <w:szCs w:val="24"/>
        </w:rPr>
      </w:pPr>
    </w:p>
    <w:p w14:paraId="40AAD5FA" w14:textId="77777777" w:rsidR="00CD5950" w:rsidRPr="00167F7C" w:rsidRDefault="00CD5950" w:rsidP="00CD5950">
      <w:pPr>
        <w:pStyle w:val="NoSpacing"/>
        <w:ind w:left="720"/>
        <w:rPr>
          <w:rFonts w:ascii="Times New Roman" w:hAnsi="Times New Roman"/>
          <w:sz w:val="24"/>
          <w:szCs w:val="24"/>
        </w:rPr>
      </w:pPr>
      <w:r>
        <w:rPr>
          <w:rFonts w:ascii="Times New Roman" w:hAnsi="Times New Roman"/>
          <w:sz w:val="24"/>
          <w:szCs w:val="24"/>
        </w:rPr>
        <w:t xml:space="preserve">See also Advisory Opinions on </w:t>
      </w:r>
      <w:r w:rsidRPr="00167F7C">
        <w:rPr>
          <w:rFonts w:ascii="Times New Roman" w:hAnsi="Times New Roman"/>
          <w:b/>
          <w:bCs/>
          <w:sz w:val="24"/>
          <w:szCs w:val="24"/>
        </w:rPr>
        <w:t>Conflict of Interest</w:t>
      </w:r>
      <w:r>
        <w:rPr>
          <w:rFonts w:ascii="Times New Roman" w:hAnsi="Times New Roman"/>
          <w:sz w:val="24"/>
          <w:szCs w:val="24"/>
        </w:rPr>
        <w:t xml:space="preserve">, and advisory opinions on </w:t>
      </w:r>
      <w:r w:rsidRPr="00167F7C">
        <w:rPr>
          <w:rFonts w:ascii="Times New Roman" w:hAnsi="Times New Roman"/>
          <w:b/>
          <w:bCs/>
          <w:sz w:val="24"/>
          <w:szCs w:val="24"/>
        </w:rPr>
        <w:t>Gifts:</w:t>
      </w:r>
      <w:r>
        <w:rPr>
          <w:rFonts w:ascii="Times New Roman" w:hAnsi="Times New Roman"/>
          <w:sz w:val="24"/>
          <w:szCs w:val="24"/>
        </w:rPr>
        <w:t xml:space="preserve"> </w:t>
      </w:r>
      <w:hyperlink r:id="rId294" w:anchor="Gifts" w:history="1">
        <w:r w:rsidRPr="00EA374E">
          <w:rPr>
            <w:rStyle w:val="Hyperlink"/>
            <w:rFonts w:ascii="Times New Roman" w:hAnsi="Times New Roman"/>
            <w:sz w:val="24"/>
            <w:szCs w:val="24"/>
          </w:rPr>
          <w:t>https://www.ethics.ohio.gov/advice/formaltopics.html#Gifts</w:t>
        </w:r>
      </w:hyperlink>
      <w:r>
        <w:rPr>
          <w:rFonts w:ascii="Times New Roman" w:hAnsi="Times New Roman"/>
          <w:sz w:val="24"/>
          <w:szCs w:val="24"/>
        </w:rPr>
        <w:t xml:space="preserve"> </w:t>
      </w:r>
    </w:p>
    <w:p w14:paraId="74DFC00B" w14:textId="77777777" w:rsidR="00CD5950" w:rsidRDefault="00CD5950" w:rsidP="00CD5950">
      <w:pPr>
        <w:pStyle w:val="Heading2"/>
        <w:ind w:left="720"/>
        <w:rPr>
          <w:rStyle w:val="Hyperlink"/>
          <w:rFonts w:ascii="Times New Roman" w:hAnsi="Times New Roman"/>
          <w:b w:val="0"/>
          <w:bCs w:val="0"/>
          <w:i w:val="0"/>
          <w:iCs w:val="0"/>
          <w:color w:val="auto"/>
          <w:sz w:val="24"/>
          <w:szCs w:val="24"/>
          <w:u w:val="none"/>
        </w:rPr>
      </w:pPr>
      <w:r w:rsidRPr="00716E29">
        <w:rPr>
          <w:rStyle w:val="Hyperlink"/>
          <w:rFonts w:ascii="Times New Roman" w:hAnsi="Times New Roman"/>
          <w:b w:val="0"/>
          <w:bCs w:val="0"/>
          <w:i w:val="0"/>
          <w:iCs w:val="0"/>
          <w:color w:val="auto"/>
          <w:sz w:val="24"/>
          <w:szCs w:val="24"/>
          <w:u w:val="none"/>
        </w:rPr>
        <w:t>Ohio Revised Code</w:t>
      </w:r>
      <w:r>
        <w:rPr>
          <w:rStyle w:val="Hyperlink"/>
          <w:rFonts w:ascii="Times New Roman" w:hAnsi="Times New Roman"/>
          <w:b w:val="0"/>
          <w:bCs w:val="0"/>
          <w:i w:val="0"/>
          <w:iCs w:val="0"/>
          <w:color w:val="auto"/>
          <w:sz w:val="24"/>
          <w:szCs w:val="24"/>
          <w:u w:val="none"/>
        </w:rPr>
        <w:t>:</w:t>
      </w:r>
    </w:p>
    <w:p w14:paraId="46D7593C" w14:textId="77777777" w:rsidR="00CD5950" w:rsidRPr="00716E29" w:rsidRDefault="00CD5950" w:rsidP="00CD5950">
      <w:pPr>
        <w:pStyle w:val="Heading2"/>
        <w:ind w:left="720"/>
        <w:rPr>
          <w:rStyle w:val="Hyperlink"/>
          <w:rFonts w:ascii="Times New Roman" w:hAnsi="Times New Roman"/>
          <w:b w:val="0"/>
          <w:bCs w:val="0"/>
          <w:i w:val="0"/>
          <w:iCs w:val="0"/>
          <w:sz w:val="24"/>
          <w:szCs w:val="24"/>
          <w:u w:val="none"/>
        </w:rPr>
      </w:pPr>
      <w:r w:rsidRPr="00716E29">
        <w:rPr>
          <w:rStyle w:val="Hyperlink"/>
          <w:rFonts w:ascii="Times New Roman" w:hAnsi="Times New Roman"/>
          <w:b w:val="0"/>
          <w:bCs w:val="0"/>
          <w:i w:val="0"/>
          <w:iCs w:val="0"/>
          <w:color w:val="auto"/>
          <w:sz w:val="24"/>
          <w:szCs w:val="24"/>
          <w:u w:val="none"/>
        </w:rPr>
        <w:t xml:space="preserve">102.01 Public officers – ethics definitions:  </w:t>
      </w:r>
      <w:hyperlink r:id="rId295" w:history="1">
        <w:r w:rsidRPr="002013DF">
          <w:rPr>
            <w:rStyle w:val="Hyperlink"/>
            <w:rFonts w:ascii="Times New Roman" w:hAnsi="Times New Roman"/>
            <w:b w:val="0"/>
            <w:bCs w:val="0"/>
            <w:i w:val="0"/>
            <w:iCs w:val="0"/>
            <w:sz w:val="24"/>
            <w:szCs w:val="24"/>
          </w:rPr>
          <w:t>http://codes.ohio.gov/orc/102.01</w:t>
        </w:r>
      </w:hyperlink>
      <w:r>
        <w:rPr>
          <w:rStyle w:val="Hyperlink"/>
          <w:rFonts w:ascii="Times New Roman" w:hAnsi="Times New Roman"/>
          <w:b w:val="0"/>
          <w:bCs w:val="0"/>
          <w:i w:val="0"/>
          <w:iCs w:val="0"/>
          <w:color w:val="auto"/>
          <w:sz w:val="24"/>
          <w:szCs w:val="24"/>
          <w:u w:val="none"/>
        </w:rPr>
        <w:t xml:space="preserve"> </w:t>
      </w:r>
    </w:p>
    <w:p w14:paraId="4E873AB9" w14:textId="77777777" w:rsidR="00CD5950" w:rsidRPr="00716E29" w:rsidRDefault="00CD5950" w:rsidP="00CD5950">
      <w:pPr>
        <w:pStyle w:val="Heading2"/>
        <w:ind w:left="720"/>
        <w:rPr>
          <w:rFonts w:ascii="Times New Roman" w:hAnsi="Times New Roman"/>
          <w:b w:val="0"/>
          <w:bCs w:val="0"/>
          <w:i w:val="0"/>
          <w:iCs w:val="0"/>
          <w:sz w:val="24"/>
          <w:szCs w:val="24"/>
        </w:rPr>
      </w:pPr>
      <w:r w:rsidRPr="00716E29">
        <w:rPr>
          <w:rFonts w:ascii="Times New Roman" w:hAnsi="Times New Roman"/>
          <w:b w:val="0"/>
          <w:bCs w:val="0"/>
          <w:i w:val="0"/>
          <w:iCs w:val="0"/>
          <w:sz w:val="24"/>
          <w:szCs w:val="24"/>
        </w:rPr>
        <w:t xml:space="preserve">2921.43 Soliciting or accepting improper compensation. </w:t>
      </w:r>
      <w:hyperlink r:id="rId296" w:history="1">
        <w:r w:rsidRPr="00716E29">
          <w:rPr>
            <w:rStyle w:val="Hyperlink"/>
            <w:rFonts w:ascii="Times New Roman" w:hAnsi="Times New Roman"/>
            <w:b w:val="0"/>
            <w:bCs w:val="0"/>
            <w:i w:val="0"/>
            <w:iCs w:val="0"/>
            <w:sz w:val="24"/>
            <w:szCs w:val="24"/>
          </w:rPr>
          <w:t>http://codes.ohio.gov/orc/2921.43</w:t>
        </w:r>
      </w:hyperlink>
      <w:r w:rsidRPr="00716E29">
        <w:rPr>
          <w:rFonts w:ascii="Times New Roman" w:hAnsi="Times New Roman"/>
          <w:b w:val="0"/>
          <w:bCs w:val="0"/>
          <w:i w:val="0"/>
          <w:iCs w:val="0"/>
          <w:sz w:val="24"/>
          <w:szCs w:val="24"/>
        </w:rPr>
        <w:t xml:space="preserve"> </w:t>
      </w:r>
    </w:p>
    <w:p w14:paraId="4871180E" w14:textId="541458E7" w:rsidR="00CD5950" w:rsidRDefault="00CD5950" w:rsidP="002B1283">
      <w:pPr>
        <w:rPr>
          <w:rFonts w:ascii="Arial Black" w:hAnsi="Arial Black"/>
          <w:b/>
          <w:sz w:val="24"/>
          <w:szCs w:val="24"/>
        </w:rPr>
      </w:pPr>
    </w:p>
    <w:p w14:paraId="2BA37E25" w14:textId="0CD43D28"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3</w:t>
      </w:r>
    </w:p>
    <w:p w14:paraId="51570D31" w14:textId="77777777" w:rsidR="00CD5950" w:rsidRPr="00DF1EAD" w:rsidRDefault="00CD5950" w:rsidP="00CD5950">
      <w:pPr>
        <w:rPr>
          <w:rStyle w:val="num"/>
          <w:rFonts w:ascii="Arial Black" w:hAnsi="Arial Black"/>
          <w:sz w:val="28"/>
          <w:szCs w:val="28"/>
        </w:rPr>
      </w:pPr>
      <w:r>
        <w:rPr>
          <w:rStyle w:val="num"/>
          <w:rFonts w:ascii="Arial Black" w:hAnsi="Arial Black"/>
          <w:sz w:val="28"/>
          <w:szCs w:val="28"/>
        </w:rPr>
        <w:t>VA:  FED. FIREARMS LAW – MISD. DOMESTIC VIOLENCE CONV. - LIFETIME BAN – VOL. FF MUST GET EXPUNGED</w:t>
      </w:r>
    </w:p>
    <w:p w14:paraId="13A1E40D" w14:textId="77777777" w:rsidR="00CD5950" w:rsidRDefault="00CD5950" w:rsidP="00CD5950">
      <w:pPr>
        <w:pStyle w:val="Heading1"/>
        <w:rPr>
          <w:b w:val="0"/>
          <w:bCs w:val="0"/>
          <w:sz w:val="24"/>
          <w:szCs w:val="24"/>
        </w:rPr>
      </w:pPr>
      <w:r>
        <w:rPr>
          <w:b w:val="0"/>
          <w:bCs w:val="0"/>
          <w:sz w:val="24"/>
          <w:szCs w:val="24"/>
        </w:rPr>
        <w:t xml:space="preserve">On Feb. 22, 2021, in </w:t>
      </w:r>
      <w:r w:rsidRPr="00506AF4">
        <w:rPr>
          <w:b w:val="0"/>
          <w:bCs w:val="0"/>
          <w:sz w:val="24"/>
          <w:szCs w:val="24"/>
          <w:u w:val="single"/>
        </w:rPr>
        <w:t>Robert Timothy Harley v. Robert M. Wil</w:t>
      </w:r>
      <w:r>
        <w:rPr>
          <w:b w:val="0"/>
          <w:bCs w:val="0"/>
          <w:sz w:val="24"/>
          <w:szCs w:val="24"/>
          <w:u w:val="single"/>
        </w:rPr>
        <w:t>kin</w:t>
      </w:r>
      <w:r w:rsidRPr="00506AF4">
        <w:rPr>
          <w:b w:val="0"/>
          <w:bCs w:val="0"/>
          <w:sz w:val="24"/>
          <w:szCs w:val="24"/>
          <w:u w:val="single"/>
        </w:rPr>
        <w:t>son, Acting Attorney General of United States</w:t>
      </w:r>
      <w:r>
        <w:rPr>
          <w:b w:val="0"/>
          <w:bCs w:val="0"/>
          <w:sz w:val="24"/>
          <w:szCs w:val="24"/>
        </w:rPr>
        <w:t>, the U.S. Court of Appeals for the Fourth Circuit held (2 to 1) that federal courts have no authority to amend the life-time ban imposed by Congress in 1996 on possession of a firearm by anyone convicted of “</w:t>
      </w:r>
      <w:hyperlink r:id="rId297" w:history="1">
        <w:r w:rsidRPr="00041BD1">
          <w:rPr>
            <w:rStyle w:val="Hyperlink"/>
            <w:b w:val="0"/>
            <w:bCs w:val="0"/>
            <w:sz w:val="24"/>
            <w:szCs w:val="24"/>
          </w:rPr>
          <w:t>misdemeanor crime of domestic violence</w:t>
        </w:r>
      </w:hyperlink>
      <w:r>
        <w:rPr>
          <w:b w:val="0"/>
          <w:bCs w:val="0"/>
          <w:sz w:val="24"/>
          <w:szCs w:val="24"/>
        </w:rPr>
        <w:t xml:space="preserve">” (18 USC 922 (g)(9)). His only remedy is to seek expungement of the conviction in Virginia, or a pardon from the President. </w:t>
      </w:r>
    </w:p>
    <w:p w14:paraId="44B672A1" w14:textId="77777777" w:rsidR="00CD5950" w:rsidRDefault="00CD5950" w:rsidP="00CD5950">
      <w:pPr>
        <w:pStyle w:val="Heading1"/>
        <w:ind w:left="720"/>
        <w:rPr>
          <w:b w:val="0"/>
          <w:bCs w:val="0"/>
          <w:sz w:val="24"/>
          <w:szCs w:val="24"/>
        </w:rPr>
      </w:pPr>
      <w:r>
        <w:rPr>
          <w:b w:val="0"/>
          <w:bCs w:val="0"/>
          <w:sz w:val="24"/>
          <w:szCs w:val="24"/>
        </w:rPr>
        <w:t>“</w:t>
      </w:r>
      <w:r w:rsidRPr="00A555AB">
        <w:rPr>
          <w:b w:val="0"/>
          <w:bCs w:val="0"/>
          <w:sz w:val="24"/>
          <w:szCs w:val="24"/>
        </w:rPr>
        <w:t>Harley argues that the district court improperly conducted its as-applied analysis under the Second Amendment because the court failed to consider Harley's personal history following his conviction. He contends that his individual characteristics, namely, the long passage of time since his misdemeanor conviction and his exemplary life in the many years since his conviction, render Section 922(g)(9) unconstitutional as applied to him.</w:t>
      </w:r>
    </w:p>
    <w:p w14:paraId="26587543" w14:textId="77777777" w:rsidR="00CD5950" w:rsidRDefault="00CD5950" w:rsidP="00CD5950">
      <w:pPr>
        <w:pStyle w:val="Heading1"/>
        <w:ind w:firstLine="720"/>
        <w:rPr>
          <w:b w:val="0"/>
          <w:bCs w:val="0"/>
          <w:sz w:val="24"/>
          <w:szCs w:val="24"/>
        </w:rPr>
      </w:pPr>
      <w:r>
        <w:rPr>
          <w:b w:val="0"/>
          <w:bCs w:val="0"/>
          <w:sz w:val="24"/>
          <w:szCs w:val="24"/>
        </w:rPr>
        <w:t>***</w:t>
      </w:r>
    </w:p>
    <w:p w14:paraId="2A975EF6" w14:textId="77777777" w:rsidR="00CD5950" w:rsidRDefault="00CD5950" w:rsidP="00CD5950">
      <w:pPr>
        <w:pStyle w:val="Heading1"/>
        <w:ind w:left="720"/>
        <w:rPr>
          <w:b w:val="0"/>
          <w:bCs w:val="0"/>
          <w:sz w:val="24"/>
          <w:szCs w:val="24"/>
        </w:rPr>
      </w:pPr>
      <w:r w:rsidRPr="00DF1EAD">
        <w:rPr>
          <w:b w:val="0"/>
          <w:bCs w:val="0"/>
          <w:sz w:val="24"/>
          <w:szCs w:val="24"/>
        </w:rPr>
        <w:t>Harley's suggested approach is fundamentally flawed because it effectively would create an exception to the statute that does not exist. The statute imposes a flat prohibition, with no reference to individual circumstances occurring after the disqualifying conviction. Despite its power to do so, Congress did not provide a sunset clause or a good behavior exception to the statute.</w:t>
      </w:r>
      <w:r>
        <w:rPr>
          <w:b w:val="0"/>
          <w:bCs w:val="0"/>
          <w:sz w:val="24"/>
          <w:szCs w:val="24"/>
        </w:rPr>
        <w:t xml:space="preserve">” </w:t>
      </w:r>
      <w:hyperlink r:id="rId298" w:history="1">
        <w:r w:rsidRPr="00EA374E">
          <w:rPr>
            <w:rStyle w:val="Hyperlink"/>
            <w:b w:val="0"/>
            <w:bCs w:val="0"/>
            <w:sz w:val="24"/>
            <w:szCs w:val="24"/>
          </w:rPr>
          <w:t>https://www.ca4.uscourts.gov/opinions/191632.P.pdf</w:t>
        </w:r>
      </w:hyperlink>
      <w:r>
        <w:rPr>
          <w:b w:val="0"/>
          <w:bCs w:val="0"/>
          <w:sz w:val="24"/>
          <w:szCs w:val="24"/>
        </w:rPr>
        <w:t xml:space="preserve"> </w:t>
      </w:r>
    </w:p>
    <w:p w14:paraId="0C22D21F" w14:textId="77777777" w:rsidR="00CD5950" w:rsidRDefault="00CD5950" w:rsidP="00CD5950">
      <w:pPr>
        <w:pStyle w:val="NoSpacing"/>
        <w:rPr>
          <w:rFonts w:ascii="Times New Roman" w:hAnsi="Times New Roman"/>
          <w:sz w:val="24"/>
          <w:szCs w:val="24"/>
        </w:rPr>
      </w:pPr>
    </w:p>
    <w:p w14:paraId="66E8928F" w14:textId="77777777" w:rsidR="00CD5950" w:rsidRDefault="00CD5950" w:rsidP="00CD5950">
      <w:pPr>
        <w:pStyle w:val="NoSpacing"/>
        <w:rPr>
          <w:rFonts w:ascii="Times New Roman" w:hAnsi="Times New Roman"/>
          <w:sz w:val="24"/>
          <w:szCs w:val="24"/>
        </w:rPr>
      </w:pPr>
      <w:r w:rsidRPr="00041BD1">
        <w:rPr>
          <w:rFonts w:ascii="Times New Roman" w:hAnsi="Times New Roman"/>
          <w:b/>
          <w:bCs/>
          <w:sz w:val="24"/>
          <w:szCs w:val="24"/>
        </w:rPr>
        <w:t>Legal Lesson Learned:</w:t>
      </w:r>
      <w:r>
        <w:rPr>
          <w:rFonts w:ascii="Times New Roman" w:hAnsi="Times New Roman"/>
          <w:b/>
          <w:bCs/>
          <w:sz w:val="24"/>
          <w:szCs w:val="24"/>
        </w:rPr>
        <w:t xml:space="preserve">  Congress enacted this statute in 1996 in response to an increase in use of firearms in domestic violence cases.  </w:t>
      </w:r>
    </w:p>
    <w:p w14:paraId="034B5DB5" w14:textId="77777777" w:rsidR="00CD5950" w:rsidRDefault="00CD5950" w:rsidP="00CD5950">
      <w:pPr>
        <w:pStyle w:val="NoSpacing"/>
        <w:rPr>
          <w:rFonts w:ascii="Times New Roman" w:hAnsi="Times New Roman"/>
          <w:sz w:val="24"/>
          <w:szCs w:val="24"/>
        </w:rPr>
      </w:pPr>
    </w:p>
    <w:p w14:paraId="7D568F7D"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t xml:space="preserve">Note:   See these additional facts [from Dissenting Opinion by Circuit Judge Julius N. Richardson]  </w:t>
      </w:r>
    </w:p>
    <w:p w14:paraId="7CCBAB17" w14:textId="77777777" w:rsidR="00CD5950" w:rsidRDefault="00CD5950" w:rsidP="00CD5950">
      <w:pPr>
        <w:pStyle w:val="NoSpacing"/>
        <w:rPr>
          <w:rFonts w:ascii="Times New Roman" w:hAnsi="Times New Roman"/>
          <w:sz w:val="24"/>
          <w:szCs w:val="24"/>
        </w:rPr>
      </w:pPr>
    </w:p>
    <w:p w14:paraId="2C6F8BDD" w14:textId="77777777" w:rsidR="00CD5950" w:rsidRPr="00420C04" w:rsidRDefault="00CD5950" w:rsidP="00CD5950">
      <w:pPr>
        <w:pStyle w:val="NoSpacing"/>
        <w:ind w:left="1440"/>
        <w:rPr>
          <w:rFonts w:ascii="Times New Roman" w:eastAsia="Times New Roman" w:hAnsi="Times New Roman"/>
          <w:sz w:val="24"/>
          <w:szCs w:val="24"/>
        </w:rPr>
      </w:pPr>
      <w:r>
        <w:rPr>
          <w:rFonts w:ascii="Times New Roman" w:hAnsi="Times New Roman"/>
          <w:sz w:val="24"/>
          <w:szCs w:val="24"/>
        </w:rPr>
        <w:t>“</w:t>
      </w:r>
      <w:r w:rsidRPr="00420C04">
        <w:rPr>
          <w:rFonts w:ascii="Times New Roman" w:eastAsia="Times New Roman" w:hAnsi="Times New Roman"/>
          <w:sz w:val="24"/>
          <w:szCs w:val="24"/>
        </w:rPr>
        <w:t>Nearly thirty years ago, Harley paid a $75 fine after pleading guilty to a misdemeanor domestic assault charge under Virginia Code § 18.2-57.2. As Harley alleges,</w:t>
      </w:r>
      <w:r>
        <w:rPr>
          <w:rFonts w:ascii="Times New Roman" w:eastAsia="Times New Roman" w:hAnsi="Times New Roman"/>
          <w:sz w:val="24"/>
          <w:szCs w:val="24"/>
        </w:rPr>
        <w:t xml:space="preserve"> </w:t>
      </w:r>
      <w:r w:rsidRPr="00420C04">
        <w:rPr>
          <w:rFonts w:ascii="Times New Roman" w:eastAsia="Times New Roman" w:hAnsi="Times New Roman"/>
          <w:sz w:val="24"/>
          <w:szCs w:val="24"/>
        </w:rPr>
        <w:t xml:space="preserve">[t]he charge was based on a single, </w:t>
      </w:r>
      <w:proofErr w:type="gramStart"/>
      <w:r w:rsidRPr="00420C04">
        <w:rPr>
          <w:rFonts w:ascii="Times New Roman" w:eastAsia="Times New Roman" w:hAnsi="Times New Roman"/>
          <w:sz w:val="24"/>
          <w:szCs w:val="24"/>
        </w:rPr>
        <w:t>one off</w:t>
      </w:r>
      <w:proofErr w:type="gramEnd"/>
      <w:r w:rsidRPr="00420C04">
        <w:rPr>
          <w:rFonts w:ascii="Times New Roman" w:eastAsia="Times New Roman" w:hAnsi="Times New Roman"/>
          <w:sz w:val="24"/>
          <w:szCs w:val="24"/>
        </w:rPr>
        <w:t xml:space="preserve"> incident[:] Mr. Harley and his wife had an argument while she was inside a </w:t>
      </w:r>
      <w:proofErr w:type="gramStart"/>
      <w:r w:rsidRPr="00420C04">
        <w:rPr>
          <w:rFonts w:ascii="Times New Roman" w:eastAsia="Times New Roman" w:hAnsi="Times New Roman"/>
          <w:sz w:val="24"/>
          <w:szCs w:val="24"/>
        </w:rPr>
        <w:t>SUV</w:t>
      </w:r>
      <w:proofErr w:type="gramEnd"/>
      <w:r w:rsidRPr="00420C04">
        <w:rPr>
          <w:rFonts w:ascii="Times New Roman" w:eastAsia="Times New Roman" w:hAnsi="Times New Roman"/>
          <w:sz w:val="24"/>
          <w:szCs w:val="24"/>
        </w:rPr>
        <w:t xml:space="preserve"> and he was standing outside the vehicle. He stood on the running board and reached into the vehicle to turn it off, and she pushed him. He reached inside the vehicle to hold on and, in so doing, he grabbed her arm</w:t>
      </w:r>
      <w:r>
        <w:rPr>
          <w:rFonts w:ascii="Times New Roman" w:eastAsia="Times New Roman" w:hAnsi="Times New Roman"/>
          <w:sz w:val="24"/>
          <w:szCs w:val="24"/>
        </w:rPr>
        <w:t xml:space="preserve">…. </w:t>
      </w:r>
      <w:r w:rsidRPr="00420C04">
        <w:rPr>
          <w:rFonts w:ascii="Times New Roman" w:eastAsia="Times New Roman" w:hAnsi="Times New Roman"/>
          <w:sz w:val="24"/>
          <w:szCs w:val="24"/>
        </w:rPr>
        <w:t xml:space="preserve">During the incident, there </w:t>
      </w:r>
      <w:r>
        <w:rPr>
          <w:rFonts w:ascii="Times New Roman" w:eastAsia="Times New Roman" w:hAnsi="Times New Roman"/>
          <w:sz w:val="24"/>
          <w:szCs w:val="24"/>
        </w:rPr>
        <w:t>‘</w:t>
      </w:r>
      <w:r w:rsidRPr="00420C04">
        <w:rPr>
          <w:rFonts w:ascii="Times New Roman" w:eastAsia="Times New Roman" w:hAnsi="Times New Roman"/>
          <w:sz w:val="24"/>
          <w:szCs w:val="24"/>
        </w:rPr>
        <w:t>was no punching, slapping, hitting, or violence.</w:t>
      </w:r>
      <w:r>
        <w:rPr>
          <w:rFonts w:ascii="Times New Roman" w:eastAsia="Times New Roman" w:hAnsi="Times New Roman"/>
          <w:sz w:val="24"/>
          <w:szCs w:val="24"/>
        </w:rPr>
        <w:t>’</w:t>
      </w:r>
      <w:r w:rsidRPr="00420C04">
        <w:rPr>
          <w:rFonts w:ascii="Times New Roman" w:eastAsia="Times New Roman" w:hAnsi="Times New Roman"/>
          <w:sz w:val="24"/>
          <w:szCs w:val="24"/>
        </w:rPr>
        <w:t xml:space="preserve"> </w:t>
      </w:r>
      <w:r w:rsidRPr="00420C04">
        <w:rPr>
          <w:rFonts w:ascii="Times New Roman" w:eastAsia="Times New Roman" w:hAnsi="Times New Roman"/>
          <w:i/>
          <w:iCs/>
          <w:sz w:val="24"/>
          <w:szCs w:val="24"/>
        </w:rPr>
        <w:t>Id</w:t>
      </w:r>
      <w:r w:rsidRPr="00420C04">
        <w:rPr>
          <w:rFonts w:ascii="Times New Roman" w:eastAsia="Times New Roman" w:hAnsi="Times New Roman"/>
          <w:sz w:val="24"/>
          <w:szCs w:val="24"/>
        </w:rPr>
        <w:t xml:space="preserve">. While Harley and his wife later separated and divorced, they </w:t>
      </w:r>
      <w:r>
        <w:rPr>
          <w:rFonts w:ascii="Times New Roman" w:eastAsia="Times New Roman" w:hAnsi="Times New Roman"/>
          <w:sz w:val="24"/>
          <w:szCs w:val="24"/>
        </w:rPr>
        <w:t>‘</w:t>
      </w:r>
      <w:r w:rsidRPr="00420C04">
        <w:rPr>
          <w:rFonts w:ascii="Times New Roman" w:eastAsia="Times New Roman" w:hAnsi="Times New Roman"/>
          <w:sz w:val="24"/>
          <w:szCs w:val="24"/>
        </w:rPr>
        <w:t>remained on friendly and amicable terms working collaboratively to successfully raise their children.</w:t>
      </w:r>
      <w:r>
        <w:rPr>
          <w:rFonts w:ascii="Times New Roman" w:eastAsia="Times New Roman" w:hAnsi="Times New Roman"/>
          <w:sz w:val="24"/>
          <w:szCs w:val="24"/>
        </w:rPr>
        <w:t>’</w:t>
      </w:r>
      <w:r w:rsidRPr="00420C04">
        <w:rPr>
          <w:rFonts w:ascii="Times New Roman" w:eastAsia="Times New Roman" w:hAnsi="Times New Roman"/>
          <w:sz w:val="24"/>
          <w:szCs w:val="24"/>
        </w:rPr>
        <w:t xml:space="preserve"> </w:t>
      </w:r>
      <w:r w:rsidRPr="00420C04">
        <w:rPr>
          <w:rFonts w:ascii="Times New Roman" w:eastAsia="Times New Roman" w:hAnsi="Times New Roman"/>
          <w:i/>
          <w:iCs/>
          <w:sz w:val="24"/>
          <w:szCs w:val="24"/>
        </w:rPr>
        <w:t>Id</w:t>
      </w:r>
      <w:r w:rsidRPr="00420C04">
        <w:rPr>
          <w:rFonts w:ascii="Times New Roman" w:eastAsia="Times New Roman" w:hAnsi="Times New Roman"/>
          <w:sz w:val="24"/>
          <w:szCs w:val="24"/>
        </w:rPr>
        <w:t>. Harley provided an affidavit from his ex-wife supporting his version of the incident underlying his conviction. J.A. 23-24.</w:t>
      </w:r>
    </w:p>
    <w:p w14:paraId="4E557686" w14:textId="77777777" w:rsidR="00CD5950" w:rsidRDefault="00CD5950" w:rsidP="00CD5950">
      <w:pPr>
        <w:pStyle w:val="NoSpacing"/>
        <w:ind w:left="720" w:firstLine="720"/>
        <w:rPr>
          <w:rFonts w:ascii="Times New Roman" w:hAnsi="Times New Roman"/>
          <w:sz w:val="24"/>
          <w:szCs w:val="24"/>
        </w:rPr>
      </w:pPr>
    </w:p>
    <w:p w14:paraId="7E8E65DF" w14:textId="77777777" w:rsidR="00CD5950" w:rsidRDefault="00CD5950" w:rsidP="00CD5950">
      <w:pPr>
        <w:pStyle w:val="NoSpacing"/>
        <w:ind w:left="720" w:firstLine="720"/>
        <w:rPr>
          <w:rFonts w:ascii="Times New Roman" w:hAnsi="Times New Roman"/>
          <w:sz w:val="24"/>
          <w:szCs w:val="24"/>
        </w:rPr>
      </w:pPr>
    </w:p>
    <w:p w14:paraId="37E70D9B" w14:textId="77777777" w:rsidR="00CD5950" w:rsidRDefault="00CD5950" w:rsidP="00CD5950">
      <w:pPr>
        <w:pStyle w:val="NoSpacing"/>
        <w:ind w:left="720" w:firstLine="720"/>
        <w:rPr>
          <w:rFonts w:ascii="Times New Roman" w:hAnsi="Times New Roman"/>
          <w:sz w:val="24"/>
          <w:szCs w:val="24"/>
        </w:rPr>
      </w:pPr>
      <w:r>
        <w:rPr>
          <w:rFonts w:ascii="Times New Roman" w:hAnsi="Times New Roman"/>
          <w:sz w:val="24"/>
          <w:szCs w:val="24"/>
        </w:rPr>
        <w:t>***</w:t>
      </w:r>
    </w:p>
    <w:p w14:paraId="3601B4DF" w14:textId="77777777" w:rsidR="00CD5950" w:rsidRPr="00420C04" w:rsidRDefault="00CD5950" w:rsidP="00CD5950">
      <w:pPr>
        <w:pStyle w:val="NoSpacing"/>
        <w:ind w:left="1440"/>
        <w:rPr>
          <w:rFonts w:ascii="Times New Roman" w:hAnsi="Times New Roman"/>
          <w:sz w:val="24"/>
          <w:szCs w:val="24"/>
        </w:rPr>
      </w:pPr>
      <w:r w:rsidRPr="00420C04">
        <w:rPr>
          <w:rFonts w:ascii="Times New Roman" w:hAnsi="Times New Roman"/>
          <w:sz w:val="24"/>
          <w:szCs w:val="24"/>
        </w:rPr>
        <w:t xml:space="preserve">The government, citing a police report, suggests that Harley's actions were more serious and perhaps not a lone incident. </w:t>
      </w:r>
      <w:r w:rsidRPr="00420C04">
        <w:rPr>
          <w:rFonts w:ascii="Times New Roman" w:hAnsi="Times New Roman"/>
          <w:i/>
          <w:iCs/>
          <w:sz w:val="24"/>
          <w:szCs w:val="24"/>
        </w:rPr>
        <w:t>See</w:t>
      </w:r>
      <w:r w:rsidRPr="00420C04">
        <w:rPr>
          <w:rFonts w:ascii="Times New Roman" w:hAnsi="Times New Roman"/>
          <w:sz w:val="24"/>
          <w:szCs w:val="24"/>
        </w:rPr>
        <w:t xml:space="preserve"> Appellee Br. 3; J.A. 73. Maybe so. But the district court ignored the conduct underlying the conviction, believing it was not germane, and granted summary judgment for the government. In doing so, the court disregarded Harley's particular conviction.</w:t>
      </w:r>
    </w:p>
    <w:p w14:paraId="7A84A660" w14:textId="77777777" w:rsidR="00CD5950" w:rsidRDefault="00CD5950" w:rsidP="00CD5950">
      <w:pPr>
        <w:pStyle w:val="NoSpacing"/>
        <w:ind w:left="720"/>
        <w:rPr>
          <w:rFonts w:ascii="Times New Roman" w:hAnsi="Times New Roman"/>
          <w:sz w:val="24"/>
          <w:szCs w:val="24"/>
        </w:rPr>
      </w:pPr>
    </w:p>
    <w:p w14:paraId="4DEFA922" w14:textId="77777777" w:rsidR="00CD5950" w:rsidRDefault="00CD5950" w:rsidP="00CD5950">
      <w:pPr>
        <w:pStyle w:val="NoSpacing"/>
        <w:ind w:left="720" w:firstLine="720"/>
        <w:rPr>
          <w:rFonts w:ascii="Times New Roman" w:hAnsi="Times New Roman"/>
          <w:sz w:val="24"/>
          <w:szCs w:val="24"/>
        </w:rPr>
      </w:pPr>
      <w:r>
        <w:rPr>
          <w:rFonts w:ascii="Times New Roman" w:hAnsi="Times New Roman"/>
          <w:sz w:val="24"/>
          <w:szCs w:val="24"/>
        </w:rPr>
        <w:t>***</w:t>
      </w:r>
    </w:p>
    <w:p w14:paraId="7E386BB8" w14:textId="77777777" w:rsidR="00CD5950" w:rsidRDefault="00CD5950" w:rsidP="00CD5950">
      <w:pPr>
        <w:pStyle w:val="NoSpacing"/>
        <w:rPr>
          <w:rFonts w:ascii="Times New Roman" w:hAnsi="Times New Roman"/>
          <w:sz w:val="24"/>
          <w:szCs w:val="24"/>
        </w:rPr>
      </w:pPr>
    </w:p>
    <w:p w14:paraId="55896109" w14:textId="77777777" w:rsidR="00CD5950" w:rsidRPr="00420C04" w:rsidRDefault="00CD5950" w:rsidP="00CD5950">
      <w:pPr>
        <w:pStyle w:val="NoSpacing"/>
        <w:ind w:left="1440"/>
        <w:rPr>
          <w:rFonts w:ascii="Times New Roman" w:hAnsi="Times New Roman"/>
          <w:sz w:val="24"/>
          <w:szCs w:val="24"/>
        </w:rPr>
      </w:pPr>
      <w:r w:rsidRPr="00420C04">
        <w:rPr>
          <w:rFonts w:ascii="Times New Roman" w:hAnsi="Times New Roman"/>
          <w:sz w:val="24"/>
          <w:szCs w:val="24"/>
        </w:rPr>
        <w:t>Harley plausibly claims that § 922(g)(9) cannot be constitutionally applied to him as an individual with a nearly thirty-year-old misdemeanor conviction for recklessly causing an offensive touching. We should not categorically reject that claim. Accordingly, I respectfully dissent.</w:t>
      </w:r>
      <w:r>
        <w:rPr>
          <w:rFonts w:ascii="Times New Roman" w:hAnsi="Times New Roman"/>
          <w:sz w:val="24"/>
          <w:szCs w:val="24"/>
        </w:rPr>
        <w:t>”</w:t>
      </w:r>
    </w:p>
    <w:p w14:paraId="125C8564" w14:textId="77777777" w:rsidR="00CD5950" w:rsidRDefault="00CD5950" w:rsidP="00CD5950">
      <w:pPr>
        <w:pStyle w:val="NoSpacing"/>
        <w:ind w:left="720"/>
        <w:rPr>
          <w:rFonts w:ascii="Times New Roman" w:hAnsi="Times New Roman"/>
          <w:sz w:val="24"/>
          <w:szCs w:val="24"/>
        </w:rPr>
      </w:pPr>
    </w:p>
    <w:p w14:paraId="30F0AFD9" w14:textId="77777777" w:rsidR="00CD5950" w:rsidRDefault="00CD5950" w:rsidP="002B1283">
      <w:pPr>
        <w:rPr>
          <w:rFonts w:ascii="Arial Black" w:hAnsi="Arial Black"/>
          <w:b/>
          <w:sz w:val="24"/>
          <w:szCs w:val="24"/>
        </w:rPr>
      </w:pPr>
    </w:p>
    <w:p w14:paraId="3772B35A" w14:textId="77777777" w:rsidR="00CD5950" w:rsidRDefault="00CD5950" w:rsidP="002B1283">
      <w:pPr>
        <w:rPr>
          <w:rFonts w:ascii="Arial Black" w:hAnsi="Arial Black"/>
          <w:b/>
          <w:sz w:val="24"/>
          <w:szCs w:val="24"/>
        </w:rPr>
      </w:pPr>
    </w:p>
    <w:p w14:paraId="50C66CFE" w14:textId="43748C91" w:rsidR="00F90EE5" w:rsidRDefault="00F90EE5"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2</w:t>
      </w:r>
    </w:p>
    <w:p w14:paraId="6F934797" w14:textId="77777777" w:rsidR="00F90EE5" w:rsidRDefault="00F90EE5" w:rsidP="00F90EE5">
      <w:pPr>
        <w:rPr>
          <w:rFonts w:ascii="Arial Black" w:hAnsi="Arial Black"/>
          <w:sz w:val="28"/>
          <w:szCs w:val="28"/>
        </w:rPr>
      </w:pPr>
      <w:r>
        <w:rPr>
          <w:rFonts w:ascii="Arial Black" w:hAnsi="Arial Black"/>
          <w:sz w:val="28"/>
          <w:szCs w:val="28"/>
        </w:rPr>
        <w:t>WA: BURN BAN – SMALL FIRE – PD NEEDED WARRANT, “COMMUNITY CARETAKING” EXCEPTION DOESN’T APPY</w:t>
      </w:r>
    </w:p>
    <w:p w14:paraId="002E708F" w14:textId="77777777" w:rsidR="00F90EE5" w:rsidRDefault="00F90EE5" w:rsidP="00F90EE5">
      <w:pPr>
        <w:rPr>
          <w:rFonts w:ascii="Times New Roman" w:hAnsi="Times New Roman"/>
          <w:sz w:val="24"/>
          <w:szCs w:val="24"/>
        </w:rPr>
      </w:pPr>
      <w:r>
        <w:rPr>
          <w:rFonts w:ascii="Times New Roman" w:hAnsi="Times New Roman"/>
          <w:sz w:val="24"/>
          <w:szCs w:val="24"/>
        </w:rPr>
        <w:t xml:space="preserve">On Jan. 26, 2021, in </w:t>
      </w:r>
      <w:r w:rsidRPr="00E17590">
        <w:rPr>
          <w:rFonts w:ascii="Times New Roman" w:hAnsi="Times New Roman"/>
          <w:sz w:val="24"/>
          <w:szCs w:val="24"/>
          <w:u w:val="single"/>
        </w:rPr>
        <w:t xml:space="preserve">State of Washington v. Troy C. </w:t>
      </w:r>
      <w:proofErr w:type="spellStart"/>
      <w:r w:rsidRPr="00E17590">
        <w:rPr>
          <w:rFonts w:ascii="Times New Roman" w:hAnsi="Times New Roman"/>
          <w:sz w:val="24"/>
          <w:szCs w:val="24"/>
          <w:u w:val="single"/>
        </w:rPr>
        <w:t>Restvedt</w:t>
      </w:r>
      <w:proofErr w:type="spellEnd"/>
      <w:r>
        <w:rPr>
          <w:rFonts w:ascii="Times New Roman" w:hAnsi="Times New Roman"/>
          <w:sz w:val="24"/>
          <w:szCs w:val="24"/>
        </w:rPr>
        <w:t xml:space="preserve">, the Court of Appeals of the State of Washington (Division II) held (2 to 1; unpublished opinion) that </w:t>
      </w:r>
      <w:r w:rsidRPr="00E17590">
        <w:rPr>
          <w:rFonts w:ascii="Times New Roman" w:hAnsi="Times New Roman"/>
          <w:sz w:val="24"/>
          <w:szCs w:val="24"/>
        </w:rPr>
        <w:t xml:space="preserve">the trial court trial court </w:t>
      </w:r>
      <w:r>
        <w:rPr>
          <w:rFonts w:ascii="Times New Roman" w:hAnsi="Times New Roman"/>
          <w:sz w:val="24"/>
          <w:szCs w:val="24"/>
        </w:rPr>
        <w:t xml:space="preserve">improperly ruled </w:t>
      </w:r>
      <w:r w:rsidRPr="00E17590">
        <w:rPr>
          <w:rFonts w:ascii="Times New Roman" w:hAnsi="Times New Roman"/>
          <w:sz w:val="24"/>
          <w:szCs w:val="24"/>
        </w:rPr>
        <w:t>that the emergency aid function of the community caretaking exception applied to the officers' warrantless search</w:t>
      </w:r>
      <w:r>
        <w:rPr>
          <w:rFonts w:ascii="Times New Roman" w:hAnsi="Times New Roman"/>
          <w:sz w:val="24"/>
          <w:szCs w:val="24"/>
        </w:rPr>
        <w:t xml:space="preserve"> of the property and reversed the homeowners convictions for violating the no burn ordinance and resisting arrest.  The dissenting justice agreed with the trial court judge that no search warrant was required.</w:t>
      </w:r>
    </w:p>
    <w:p w14:paraId="10A0C571" w14:textId="77777777" w:rsidR="00F90EE5" w:rsidRPr="00D52F5A" w:rsidRDefault="00F90EE5" w:rsidP="00F90EE5">
      <w:pPr>
        <w:ind w:left="720"/>
        <w:rPr>
          <w:rFonts w:ascii="Times New Roman" w:hAnsi="Times New Roman"/>
          <w:sz w:val="24"/>
          <w:szCs w:val="24"/>
        </w:rPr>
      </w:pPr>
      <w:r>
        <w:rPr>
          <w:rFonts w:ascii="Times New Roman" w:hAnsi="Times New Roman"/>
          <w:sz w:val="24"/>
          <w:szCs w:val="24"/>
        </w:rPr>
        <w:t>“[T]he</w:t>
      </w:r>
      <w:r w:rsidRPr="00D52F5A">
        <w:rPr>
          <w:rFonts w:ascii="Times New Roman" w:hAnsi="Times New Roman"/>
          <w:sz w:val="24"/>
          <w:szCs w:val="24"/>
        </w:rPr>
        <w:t xml:space="preserve"> community caretaking exception is not the only exception to the warrant requirement. If officers were addressing a fire that was out of control, the exigent circumstances exception to the warrant requirement could have applied. </w:t>
      </w:r>
      <w:r w:rsidRPr="00D52F5A">
        <w:rPr>
          <w:rFonts w:ascii="Times New Roman" w:hAnsi="Times New Roman"/>
          <w:i/>
          <w:iCs/>
          <w:sz w:val="24"/>
          <w:szCs w:val="24"/>
        </w:rPr>
        <w:t>See State v</w:t>
      </w:r>
      <w:r w:rsidRPr="00D52F5A">
        <w:rPr>
          <w:rFonts w:ascii="Times New Roman" w:hAnsi="Times New Roman"/>
          <w:sz w:val="24"/>
          <w:szCs w:val="24"/>
        </w:rPr>
        <w:t xml:space="preserve">. </w:t>
      </w:r>
      <w:r w:rsidRPr="00D52F5A">
        <w:rPr>
          <w:rFonts w:ascii="Times New Roman" w:hAnsi="Times New Roman"/>
          <w:i/>
          <w:iCs/>
          <w:sz w:val="24"/>
          <w:szCs w:val="24"/>
        </w:rPr>
        <w:t>Rawley</w:t>
      </w:r>
      <w:r w:rsidRPr="00D52F5A">
        <w:rPr>
          <w:rFonts w:ascii="Times New Roman" w:hAnsi="Times New Roman"/>
          <w:sz w:val="24"/>
          <w:szCs w:val="24"/>
        </w:rPr>
        <w:t xml:space="preserve">, 13 </w:t>
      </w:r>
      <w:proofErr w:type="spellStart"/>
      <w:r w:rsidRPr="00D52F5A">
        <w:rPr>
          <w:rFonts w:ascii="Times New Roman" w:hAnsi="Times New Roman"/>
          <w:sz w:val="24"/>
          <w:szCs w:val="24"/>
        </w:rPr>
        <w:t>Wn</w:t>
      </w:r>
      <w:proofErr w:type="spellEnd"/>
      <w:r w:rsidRPr="00D52F5A">
        <w:rPr>
          <w:rFonts w:ascii="Times New Roman" w:hAnsi="Times New Roman"/>
          <w:sz w:val="24"/>
          <w:szCs w:val="24"/>
        </w:rPr>
        <w:t>. App. 2d 474, 479, 466 P.3d 784 (2020). But here there was no evidence of any exigent circumstances.</w:t>
      </w:r>
      <w:r>
        <w:rPr>
          <w:rFonts w:ascii="Times New Roman" w:hAnsi="Times New Roman"/>
          <w:sz w:val="24"/>
          <w:szCs w:val="24"/>
        </w:rPr>
        <w:t xml:space="preserve">” </w:t>
      </w:r>
      <w:hyperlink r:id="rId299" w:history="1">
        <w:r w:rsidRPr="00741B4E">
          <w:rPr>
            <w:rStyle w:val="Hyperlink"/>
            <w:rFonts w:ascii="Times New Roman" w:hAnsi="Times New Roman"/>
            <w:sz w:val="24"/>
            <w:szCs w:val="24"/>
          </w:rPr>
          <w:t>https://law.justia.com/cases/washington/court-of-appeals-division-ii/2021/53365-1.html</w:t>
        </w:r>
      </w:hyperlink>
      <w:r>
        <w:rPr>
          <w:rFonts w:ascii="Times New Roman" w:hAnsi="Times New Roman"/>
          <w:sz w:val="24"/>
          <w:szCs w:val="24"/>
        </w:rPr>
        <w:t xml:space="preserve"> </w:t>
      </w:r>
    </w:p>
    <w:p w14:paraId="126D9A86" w14:textId="77777777" w:rsidR="00F90EE5" w:rsidRDefault="00F90EE5" w:rsidP="00F90EE5">
      <w:pPr>
        <w:spacing w:after="100" w:line="240" w:lineRule="auto"/>
        <w:rPr>
          <w:rFonts w:ascii="Times New Roman" w:hAnsi="Times New Roman"/>
          <w:b/>
          <w:bCs/>
          <w:sz w:val="24"/>
          <w:szCs w:val="24"/>
        </w:rPr>
      </w:pPr>
      <w:r w:rsidRPr="00AF6A7E">
        <w:rPr>
          <w:rFonts w:ascii="Times New Roman" w:hAnsi="Times New Roman"/>
          <w:b/>
          <w:bCs/>
          <w:sz w:val="24"/>
          <w:szCs w:val="24"/>
        </w:rPr>
        <w:t xml:space="preserve">Legal Lesson Learned: </w:t>
      </w:r>
      <w:r>
        <w:rPr>
          <w:rFonts w:ascii="Times New Roman" w:hAnsi="Times New Roman"/>
          <w:b/>
          <w:bCs/>
          <w:sz w:val="24"/>
          <w:szCs w:val="24"/>
        </w:rPr>
        <w:t xml:space="preserve"> The dissenting judge agreed with the trial court that the police did not need a search warrant to enter the property. </w:t>
      </w:r>
      <w:r>
        <w:rPr>
          <w:rFonts w:ascii="Times New Roman" w:hAnsi="Times New Roman"/>
          <w:b/>
          <w:bCs/>
          <w:sz w:val="24"/>
          <w:szCs w:val="24"/>
        </w:rPr>
        <w:br/>
      </w:r>
    </w:p>
    <w:p w14:paraId="11CDB43D" w14:textId="77777777" w:rsidR="00F90EE5" w:rsidRDefault="00F90EE5" w:rsidP="00F90EE5">
      <w:pPr>
        <w:spacing w:after="100" w:line="240" w:lineRule="auto"/>
        <w:rPr>
          <w:rFonts w:ascii="Times New Roman" w:hAnsi="Times New Roman"/>
          <w:b/>
          <w:bCs/>
          <w:sz w:val="24"/>
          <w:szCs w:val="24"/>
        </w:rPr>
      </w:pPr>
      <w:r>
        <w:rPr>
          <w:rFonts w:ascii="Times New Roman" w:hAnsi="Times New Roman"/>
          <w:b/>
          <w:bCs/>
          <w:sz w:val="24"/>
          <w:szCs w:val="24"/>
        </w:rPr>
        <w:tab/>
      </w:r>
      <w:r w:rsidRPr="00AF6A7E">
        <w:rPr>
          <w:rFonts w:ascii="Times New Roman" w:hAnsi="Times New Roman"/>
          <w:sz w:val="24"/>
          <w:szCs w:val="24"/>
        </w:rPr>
        <w:t>Note: Dissenting Judge</w:t>
      </w:r>
      <w:r>
        <w:rPr>
          <w:rFonts w:ascii="Times New Roman" w:hAnsi="Times New Roman"/>
          <w:sz w:val="24"/>
          <w:szCs w:val="24"/>
        </w:rPr>
        <w:t>’s opinion</w:t>
      </w:r>
      <w:r w:rsidRPr="00AF6A7E">
        <w:rPr>
          <w:rFonts w:ascii="Times New Roman" w:hAnsi="Times New Roman"/>
          <w:sz w:val="24"/>
          <w:szCs w:val="24"/>
        </w:rPr>
        <w:t>:</w:t>
      </w:r>
      <w:r>
        <w:rPr>
          <w:rFonts w:ascii="Times New Roman" w:hAnsi="Times New Roman"/>
          <w:b/>
          <w:bCs/>
          <w:sz w:val="24"/>
          <w:szCs w:val="24"/>
        </w:rPr>
        <w:t xml:space="preserve"> </w:t>
      </w:r>
    </w:p>
    <w:p w14:paraId="1B884C6C" w14:textId="77777777" w:rsidR="00F90EE5" w:rsidRPr="00AF6A7E" w:rsidRDefault="00F90EE5" w:rsidP="00F90EE5">
      <w:pPr>
        <w:spacing w:after="100" w:line="240" w:lineRule="auto"/>
        <w:ind w:left="720"/>
        <w:rPr>
          <w:rFonts w:ascii="Times New Roman" w:hAnsi="Times New Roman"/>
          <w:b/>
          <w:bCs/>
          <w:sz w:val="24"/>
          <w:szCs w:val="24"/>
        </w:rPr>
      </w:pPr>
      <w:r>
        <w:rPr>
          <w:rFonts w:ascii="Times New Roman" w:hAnsi="Times New Roman"/>
          <w:b/>
          <w:bCs/>
          <w:sz w:val="24"/>
          <w:szCs w:val="24"/>
        </w:rPr>
        <w:t>“</w:t>
      </w:r>
      <w:r w:rsidRPr="00AF6A7E">
        <w:rPr>
          <w:rFonts w:ascii="Times New Roman" w:hAnsi="Times New Roman"/>
          <w:sz w:val="24"/>
          <w:szCs w:val="24"/>
        </w:rPr>
        <w:t xml:space="preserve">The trial court concluded that given what the officers knew when they arrived, that there was a burn ban because of severe fire danger, that </w:t>
      </w:r>
      <w:proofErr w:type="spellStart"/>
      <w:r w:rsidRPr="00AF6A7E">
        <w:rPr>
          <w:rFonts w:ascii="Times New Roman" w:hAnsi="Times New Roman"/>
          <w:sz w:val="24"/>
          <w:szCs w:val="24"/>
        </w:rPr>
        <w:t>Restvedt</w:t>
      </w:r>
      <w:proofErr w:type="spellEnd"/>
      <w:r w:rsidRPr="00AF6A7E">
        <w:rPr>
          <w:rFonts w:ascii="Times New Roman" w:hAnsi="Times New Roman"/>
          <w:sz w:val="24"/>
          <w:szCs w:val="24"/>
        </w:rPr>
        <w:t xml:space="preserve"> was ignoring a fire department demand that he not burn fires in his backyard, that the fire department had asked for police assistance, that there were large trees nearby, and that they smelled smoke as soon as they arrived, this warranted them walking on the gravel driveway toward the backyard. Once they were near the backyard, they saw the fire through hanging tarps. All of this warranted them entering the backyard because they had </w:t>
      </w:r>
      <w:r>
        <w:rPr>
          <w:rFonts w:ascii="Times New Roman" w:hAnsi="Times New Roman"/>
          <w:sz w:val="24"/>
          <w:szCs w:val="24"/>
        </w:rPr>
        <w:t>‘</w:t>
      </w:r>
      <w:r w:rsidRPr="00AF6A7E">
        <w:rPr>
          <w:rFonts w:ascii="Times New Roman" w:hAnsi="Times New Roman"/>
          <w:sz w:val="24"/>
          <w:szCs w:val="24"/>
        </w:rPr>
        <w:t>a legitimate emergency concern in ensuring the defendant's fire was out during a county-wide burn ban</w:t>
      </w:r>
      <w:r>
        <w:rPr>
          <w:rFonts w:ascii="Times New Roman" w:hAnsi="Times New Roman"/>
          <w:sz w:val="24"/>
          <w:szCs w:val="24"/>
        </w:rPr>
        <w:t>’</w:t>
      </w:r>
      <w:r w:rsidRPr="00AF6A7E">
        <w:rPr>
          <w:rFonts w:ascii="Times New Roman" w:hAnsi="Times New Roman"/>
          <w:sz w:val="24"/>
          <w:szCs w:val="24"/>
        </w:rPr>
        <w:t xml:space="preserve"> under the community caretaking exception to the warrant requirement.</w:t>
      </w:r>
      <w:r>
        <w:rPr>
          <w:rFonts w:ascii="Times New Roman" w:hAnsi="Times New Roman"/>
          <w:sz w:val="24"/>
          <w:szCs w:val="24"/>
        </w:rPr>
        <w:t>”</w:t>
      </w:r>
    </w:p>
    <w:p w14:paraId="56E890EB" w14:textId="77777777" w:rsidR="00F90EE5" w:rsidRDefault="00F90EE5" w:rsidP="00F90EE5">
      <w:pPr>
        <w:spacing w:after="100" w:line="240" w:lineRule="auto"/>
        <w:ind w:left="720"/>
        <w:rPr>
          <w:rFonts w:ascii="Times New Roman" w:hAnsi="Times New Roman"/>
          <w:sz w:val="24"/>
          <w:szCs w:val="24"/>
        </w:rPr>
      </w:pPr>
    </w:p>
    <w:p w14:paraId="773E9EC0" w14:textId="40DF3C82" w:rsidR="00F90EE5" w:rsidRDefault="00F90EE5"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1</w:t>
      </w:r>
    </w:p>
    <w:p w14:paraId="2C155BE7" w14:textId="77777777" w:rsidR="00F90EE5" w:rsidRPr="00E91447" w:rsidRDefault="00F90EE5" w:rsidP="00F90EE5">
      <w:pPr>
        <w:rPr>
          <w:rFonts w:ascii="Arial Black" w:hAnsi="Arial Black"/>
          <w:sz w:val="28"/>
          <w:szCs w:val="28"/>
        </w:rPr>
      </w:pPr>
      <w:r>
        <w:rPr>
          <w:rFonts w:ascii="Arial Black" w:hAnsi="Arial Black"/>
          <w:sz w:val="28"/>
          <w:szCs w:val="28"/>
        </w:rPr>
        <w:t>IOWA:  ARSON – MOTORCYCLE HELMET / GLOVES / SUIT SMELLED GAS – USE NYLON EVIDENCE BAGS IF AVAILABLE</w:t>
      </w:r>
    </w:p>
    <w:p w14:paraId="4A736B42" w14:textId="77777777" w:rsidR="00F90EE5" w:rsidRDefault="00F90EE5" w:rsidP="00F90EE5">
      <w:pPr>
        <w:rPr>
          <w:rFonts w:ascii="Times New Roman" w:hAnsi="Times New Roman"/>
          <w:sz w:val="24"/>
          <w:szCs w:val="24"/>
        </w:rPr>
      </w:pPr>
      <w:r w:rsidRPr="00E91447">
        <w:rPr>
          <w:rFonts w:ascii="Times New Roman" w:hAnsi="Times New Roman"/>
          <w:sz w:val="24"/>
          <w:szCs w:val="24"/>
        </w:rPr>
        <w:t xml:space="preserve">On Jan. 21, 2021, in </w:t>
      </w:r>
      <w:r w:rsidRPr="00E91447">
        <w:rPr>
          <w:rFonts w:ascii="Times New Roman" w:hAnsi="Times New Roman"/>
          <w:sz w:val="24"/>
          <w:szCs w:val="24"/>
          <w:u w:val="single"/>
        </w:rPr>
        <w:t>State of Iowa v. Patrick Ryan Thompson</w:t>
      </w:r>
      <w:r>
        <w:rPr>
          <w:rFonts w:ascii="Times New Roman" w:hAnsi="Times New Roman"/>
          <w:sz w:val="24"/>
          <w:szCs w:val="24"/>
        </w:rPr>
        <w:t>, the Court of Appeals of Iowa upheld (3 to 0) the jury conviction for murder and arson; while the smell of gasoline on the defendant’s motorcycle suit, helmet and gloves, when evidence reached the state crime lab “</w:t>
      </w:r>
      <w:r w:rsidRPr="00A1755E">
        <w:rPr>
          <w:rFonts w:ascii="Times New Roman" w:hAnsi="Times New Roman"/>
          <w:sz w:val="24"/>
          <w:szCs w:val="24"/>
        </w:rPr>
        <w:t>none of the items had traces of gasoline.</w:t>
      </w:r>
      <w:r>
        <w:rPr>
          <w:rFonts w:ascii="Times New Roman" w:hAnsi="Times New Roman"/>
          <w:sz w:val="24"/>
          <w:szCs w:val="24"/>
        </w:rPr>
        <w:t xml:space="preserve">”  The trial judge properly refused to give the jury instruction on “spoliation.”  </w:t>
      </w:r>
    </w:p>
    <w:p w14:paraId="48E6A19C" w14:textId="77777777" w:rsidR="00F90EE5" w:rsidRDefault="00F90EE5" w:rsidP="00F90EE5">
      <w:pPr>
        <w:ind w:left="720"/>
        <w:rPr>
          <w:rFonts w:ascii="Times New Roman" w:hAnsi="Times New Roman"/>
          <w:sz w:val="24"/>
          <w:szCs w:val="24"/>
        </w:rPr>
      </w:pPr>
      <w:r>
        <w:rPr>
          <w:rFonts w:ascii="Times New Roman" w:hAnsi="Times New Roman"/>
          <w:sz w:val="24"/>
          <w:szCs w:val="24"/>
        </w:rPr>
        <w:t>“</w:t>
      </w:r>
      <w:r w:rsidRPr="00A1755E">
        <w:rPr>
          <w:rFonts w:ascii="Times New Roman" w:hAnsi="Times New Roman"/>
          <w:sz w:val="24"/>
          <w:szCs w:val="24"/>
        </w:rPr>
        <w:t>The nylon bags are expensive, and departments do not always have them. In this case, while waiting for a warrant to collect the evidence, which took more than two hours, law enforcement officials attempted to locate a nylon bag and were unable to do so. The items were placed in a paper bag and then placed in the trunk of the collecting officer's car. When the paper bag was delivered to the lab for testing, it was placed in a nylon bag. Later, when the bag was opened, the smell of gasoline had dissipated.</w:t>
      </w:r>
    </w:p>
    <w:p w14:paraId="7B3572F8" w14:textId="77777777" w:rsidR="00F90EE5" w:rsidRPr="00A1755E" w:rsidRDefault="00F90EE5" w:rsidP="00F90EE5">
      <w:pPr>
        <w:ind w:left="720"/>
        <w:rPr>
          <w:rFonts w:ascii="Times New Roman" w:hAnsi="Times New Roman"/>
          <w:sz w:val="24"/>
          <w:szCs w:val="24"/>
        </w:rPr>
      </w:pPr>
      <w:r>
        <w:rPr>
          <w:rFonts w:ascii="Times New Roman" w:hAnsi="Times New Roman"/>
          <w:sz w:val="24"/>
          <w:szCs w:val="24"/>
        </w:rPr>
        <w:t>***</w:t>
      </w:r>
    </w:p>
    <w:p w14:paraId="4C88A0A9" w14:textId="77777777" w:rsidR="00F90EE5" w:rsidRDefault="00F90EE5" w:rsidP="00F90EE5">
      <w:pPr>
        <w:pStyle w:val="NoSpacing"/>
        <w:ind w:left="720"/>
        <w:rPr>
          <w:rFonts w:ascii="Times New Roman" w:hAnsi="Times New Roman"/>
          <w:sz w:val="24"/>
          <w:szCs w:val="24"/>
        </w:rPr>
      </w:pPr>
      <w:r w:rsidRPr="009D30DF">
        <w:rPr>
          <w:rFonts w:ascii="Times New Roman" w:hAnsi="Times New Roman"/>
          <w:sz w:val="24"/>
          <w:szCs w:val="24"/>
        </w:rPr>
        <w:t xml:space="preserve">Thompson has failed to show there was an intentional destruction of evidence to necessitate a spoliation instruction. </w:t>
      </w:r>
      <w:hyperlink r:id="rId300" w:history="1">
        <w:r w:rsidRPr="00574F77">
          <w:rPr>
            <w:rStyle w:val="Hyperlink"/>
            <w:rFonts w:ascii="Times New Roman" w:hAnsi="Times New Roman"/>
            <w:sz w:val="24"/>
            <w:szCs w:val="24"/>
          </w:rPr>
          <w:t>https://law.justia.com/cases/iowa/court-of-appeals/2021/18-1821.html</w:t>
        </w:r>
      </w:hyperlink>
      <w:r>
        <w:rPr>
          <w:rFonts w:ascii="Times New Roman" w:hAnsi="Times New Roman"/>
          <w:sz w:val="24"/>
          <w:szCs w:val="24"/>
        </w:rPr>
        <w:t xml:space="preserve"> </w:t>
      </w:r>
    </w:p>
    <w:p w14:paraId="14D4A274" w14:textId="77777777" w:rsidR="00F90EE5" w:rsidRPr="00AC3DB0" w:rsidRDefault="00F90EE5" w:rsidP="00F90EE5">
      <w:pPr>
        <w:spacing w:before="100" w:beforeAutospacing="1" w:after="100" w:afterAutospacing="1" w:line="240" w:lineRule="auto"/>
        <w:rPr>
          <w:rFonts w:ascii="Times New Roman" w:eastAsia="Times New Roman" w:hAnsi="Times New Roman"/>
          <w:b/>
          <w:bCs/>
          <w:sz w:val="24"/>
          <w:szCs w:val="24"/>
        </w:rPr>
      </w:pPr>
      <w:r w:rsidRPr="00AC3DB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 jury instruction on “spoliation” is only required under Iowa law when there has been an intentional act of destruction.   Other states may require when evidence is </w:t>
      </w:r>
      <w:proofErr w:type="gramStart"/>
      <w:r>
        <w:rPr>
          <w:rFonts w:ascii="Times New Roman" w:eastAsia="Times New Roman" w:hAnsi="Times New Roman"/>
          <w:b/>
          <w:bCs/>
          <w:sz w:val="24"/>
          <w:szCs w:val="24"/>
        </w:rPr>
        <w:t>loss</w:t>
      </w:r>
      <w:proofErr w:type="gramEnd"/>
      <w:r>
        <w:rPr>
          <w:rFonts w:ascii="Times New Roman" w:eastAsia="Times New Roman" w:hAnsi="Times New Roman"/>
          <w:b/>
          <w:bCs/>
          <w:sz w:val="24"/>
          <w:szCs w:val="24"/>
        </w:rPr>
        <w:t xml:space="preserve"> due to negligence.  </w:t>
      </w:r>
    </w:p>
    <w:p w14:paraId="6C9FC22E" w14:textId="7FA88298" w:rsidR="00F90EE5" w:rsidRDefault="00F90EE5" w:rsidP="00F90EE5">
      <w:pPr>
        <w:pStyle w:val="NormalWeb"/>
        <w:ind w:left="720"/>
      </w:pPr>
      <w:r>
        <w:t xml:space="preserve">Note: Under Iowa case law: </w:t>
      </w:r>
      <w:r w:rsidRPr="00AC3DB0">
        <w:t> </w:t>
      </w:r>
      <w:r>
        <w:t xml:space="preserve">"Spoliation involves more than destruction of evidence. Application of the concept requires an intentional act of destruction. Only intentional destruction supports the rationale of the rule that </w:t>
      </w:r>
      <w:proofErr w:type="gramStart"/>
      <w:r>
        <w:t>the destruction</w:t>
      </w:r>
      <w:proofErr w:type="gramEnd"/>
      <w:r>
        <w:t xml:space="preserve"> amounts to an admission by conduct of the weakness of one's case." </w:t>
      </w:r>
      <w:r>
        <w:rPr>
          <w:i/>
          <w:iCs/>
        </w:rPr>
        <w:t>State v</w:t>
      </w:r>
      <w:r>
        <w:t xml:space="preserve">. </w:t>
      </w:r>
      <w:r>
        <w:rPr>
          <w:i/>
          <w:iCs/>
        </w:rPr>
        <w:t>Langlet</w:t>
      </w:r>
      <w:r>
        <w:t>, 283 N.W.2d 330, 333 (Iowa 1979).</w:t>
      </w:r>
      <w:r w:rsidR="00F00958">
        <w:t xml:space="preserve"> </w:t>
      </w:r>
      <w:r>
        <w:t xml:space="preserve">See other states: </w:t>
      </w:r>
      <w:hyperlink r:id="rId301" w:history="1">
        <w:r w:rsidRPr="00574F77">
          <w:rPr>
            <w:rStyle w:val="Hyperlink"/>
          </w:rPr>
          <w:t>https://www.mwl-law.com/wp-content/uploads/2018/02/SPOLIATION-OF-EVIDENCE-CHART.pdf</w:t>
        </w:r>
      </w:hyperlink>
      <w:r>
        <w:t xml:space="preserve"> </w:t>
      </w:r>
    </w:p>
    <w:p w14:paraId="308843F2" w14:textId="77777777" w:rsidR="00F90EE5" w:rsidRDefault="00F90EE5" w:rsidP="00F90EE5">
      <w:pPr>
        <w:pStyle w:val="NoSpacing"/>
        <w:ind w:left="720"/>
        <w:rPr>
          <w:rFonts w:ascii="Times New Roman" w:hAnsi="Times New Roman"/>
          <w:sz w:val="24"/>
          <w:szCs w:val="24"/>
        </w:rPr>
      </w:pPr>
    </w:p>
    <w:p w14:paraId="35377878" w14:textId="77777777" w:rsidR="00F90EE5" w:rsidRDefault="00F90EE5" w:rsidP="002B1283">
      <w:pPr>
        <w:rPr>
          <w:rFonts w:ascii="Arial Black" w:hAnsi="Arial Black"/>
          <w:b/>
          <w:sz w:val="24"/>
          <w:szCs w:val="24"/>
        </w:rPr>
      </w:pPr>
    </w:p>
    <w:p w14:paraId="67B7150B" w14:textId="77777777" w:rsidR="00F90EE5" w:rsidRDefault="00F90EE5" w:rsidP="002B1283">
      <w:pPr>
        <w:rPr>
          <w:rFonts w:ascii="Arial Black" w:hAnsi="Arial Black"/>
          <w:b/>
          <w:sz w:val="24"/>
          <w:szCs w:val="24"/>
        </w:rPr>
      </w:pPr>
    </w:p>
    <w:p w14:paraId="1A365E1E" w14:textId="6D6A4DE1" w:rsidR="005E132A" w:rsidRDefault="005E132A"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0</w:t>
      </w:r>
    </w:p>
    <w:p w14:paraId="7224EB54" w14:textId="77777777" w:rsidR="005E132A" w:rsidRDefault="005E132A" w:rsidP="005E132A">
      <w:pPr>
        <w:pStyle w:val="NoSpacing"/>
        <w:rPr>
          <w:rFonts w:ascii="Arial Black" w:hAnsi="Arial Black"/>
          <w:sz w:val="28"/>
          <w:szCs w:val="28"/>
        </w:rPr>
      </w:pPr>
      <w:bookmarkStart w:id="13" w:name="_Hlk66941108"/>
      <w:r>
        <w:rPr>
          <w:rFonts w:ascii="Arial Black" w:hAnsi="Arial Black"/>
          <w:sz w:val="28"/>
          <w:szCs w:val="28"/>
        </w:rPr>
        <w:t>IL: ARSON INVEST. (7 KILLED) - FIRE MARSHAL WAS EXPERT, FIRE REAR PORCH – NO ACCELERANT, BUT DEF. RECORDED</w:t>
      </w:r>
    </w:p>
    <w:p w14:paraId="0D64E5D6" w14:textId="77777777" w:rsidR="005E132A" w:rsidRDefault="005E132A" w:rsidP="005E132A">
      <w:pPr>
        <w:spacing w:before="100" w:beforeAutospacing="1" w:after="100" w:afterAutospacing="1" w:line="240" w:lineRule="auto"/>
        <w:rPr>
          <w:rFonts w:ascii="Times New Roman" w:hAnsi="Times New Roman"/>
          <w:sz w:val="24"/>
          <w:szCs w:val="24"/>
        </w:rPr>
      </w:pPr>
      <w:bookmarkStart w:id="14" w:name="_Hlk60572120"/>
      <w:r>
        <w:rPr>
          <w:rFonts w:ascii="Times New Roman" w:hAnsi="Times New Roman"/>
          <w:sz w:val="24"/>
          <w:szCs w:val="24"/>
        </w:rPr>
        <w:t xml:space="preserve">On Dec. 30, 2020, in </w:t>
      </w:r>
      <w:r>
        <w:rPr>
          <w:rFonts w:ascii="Times New Roman" w:hAnsi="Times New Roman"/>
          <w:sz w:val="24"/>
          <w:szCs w:val="24"/>
          <w:u w:val="single"/>
        </w:rPr>
        <w:t>The People of the State of Illinois v. Marion Andre Comier</w:t>
      </w:r>
      <w:r>
        <w:rPr>
          <w:rFonts w:ascii="Times New Roman" w:hAnsi="Times New Roman"/>
          <w:sz w:val="24"/>
          <w:szCs w:val="24"/>
        </w:rPr>
        <w:t xml:space="preserve">, the Appellate Court of Illinois, First Judicial District (Third Division), </w:t>
      </w:r>
      <w:r>
        <w:rPr>
          <w:rFonts w:ascii="Times New Roman" w:eastAsia="Times New Roman" w:hAnsi="Times New Roman"/>
          <w:sz w:val="24"/>
          <w:szCs w:val="24"/>
        </w:rPr>
        <w:t xml:space="preserve">2020 IL App (1st) 170500, </w:t>
      </w:r>
      <w:r>
        <w:rPr>
          <w:rFonts w:ascii="Times New Roman" w:hAnsi="Times New Roman"/>
          <w:sz w:val="24"/>
          <w:szCs w:val="24"/>
        </w:rPr>
        <w:t>held (3 to 1) that the defendant was properly convicted by jury of 7 murders and sentenced to life in prison [property owner</w:t>
      </w:r>
      <w:bookmarkEnd w:id="14"/>
      <w:r>
        <w:rPr>
          <w:rFonts w:ascii="Times New Roman" w:hAnsi="Times New Roman"/>
          <w:sz w:val="24"/>
          <w:szCs w:val="24"/>
        </w:rPr>
        <w:t xml:space="preserve">]. The Court held that the trial judge properly allowed the Fire Marshal to testify about his opinion on how the fire started, even if no accelerant was detected, since he </w:t>
      </w:r>
      <w:proofErr w:type="gramStart"/>
      <w:r>
        <w:rPr>
          <w:rFonts w:ascii="Times New Roman" w:hAnsi="Times New Roman"/>
          <w:sz w:val="24"/>
          <w:szCs w:val="24"/>
        </w:rPr>
        <w:t>knew</w:t>
      </w:r>
      <w:proofErr w:type="gramEnd"/>
      <w:r>
        <w:rPr>
          <w:rFonts w:ascii="Times New Roman" w:hAnsi="Times New Roman"/>
          <w:sz w:val="24"/>
          <w:szCs w:val="24"/>
        </w:rPr>
        <w:t xml:space="preserve"> the defendant had admitted starting the fire when defendant was recorded on a “wire” secretly warn by the girlfriend of the property owner.    </w:t>
      </w:r>
    </w:p>
    <w:bookmarkEnd w:id="13"/>
    <w:p w14:paraId="72D20101"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“Kushner's testimony concerning the nature and sources of his training, his methodology, industry standards, and the evidence upon which he relied in this case provided sufficient evidence that the underlying facts, data, and opinions were reasonably relied upon by experts in his field. "The opposing party has the responsibility to challenge on cross-examination the sufficiency or reliability of the expert's opinion" (</w:t>
      </w:r>
      <w:r>
        <w:rPr>
          <w:rFonts w:ascii="Times New Roman" w:eastAsia="Times New Roman" w:hAnsi="Times New Roman"/>
          <w:i/>
          <w:iCs/>
          <w:sz w:val="24"/>
          <w:szCs w:val="24"/>
        </w:rPr>
        <w:t>id</w:t>
      </w:r>
      <w:r>
        <w:rPr>
          <w:rFonts w:ascii="Times New Roman" w:eastAsia="Times New Roman" w:hAnsi="Times New Roman"/>
          <w:sz w:val="24"/>
          <w:szCs w:val="24"/>
        </w:rPr>
        <w:t>.), which defendant did in this case. Accordingly, we conclude that there existed an adequate foundation for Kushner's expert opinion and the trial court did not abuse its discretion in admitting Kushner's testimony.</w:t>
      </w:r>
    </w:p>
    <w:p w14:paraId="7D7D8164"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52D9C73F"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Regarding the conflicting evidence as to industry standards concerning ‘negative corpus’ at the time of the fire and at the time of trial, defendant's expert admitted that the determination by the State's fire investigators that the fire started on the rear porch and that the specific area of origin was somewhere near the couch complied with NFPA 921 but testified that the conclusion that the ignition source was an open flame, that an ignitable liquid was used, and that the fire was incendiary (man-made) were not reached in compliance with industry standards because those opinions were based solely on the negative corpus approach, and it was not based on any physical evidence, in violation of NFPA 921 and the standards in the relevant scientific community. We note the trial court found Kushner did rely on ‘some physical evidence.’ </w:t>
      </w:r>
      <w:proofErr w:type="gramStart"/>
      <w:r>
        <w:rPr>
          <w:rFonts w:ascii="Times New Roman" w:eastAsia="Times New Roman" w:hAnsi="Times New Roman"/>
          <w:sz w:val="24"/>
          <w:szCs w:val="24"/>
        </w:rPr>
        <w:t>Regardless, ‘[a]</w:t>
      </w:r>
      <w:proofErr w:type="spellStart"/>
      <w:r>
        <w:rPr>
          <w:rFonts w:ascii="Times New Roman" w:eastAsia="Times New Roman" w:hAnsi="Times New Roman"/>
          <w:sz w:val="24"/>
          <w:szCs w:val="24"/>
        </w:rPr>
        <w:t>ny</w:t>
      </w:r>
      <w:proofErr w:type="spellEnd"/>
      <w:proofErr w:type="gramEnd"/>
      <w:r>
        <w:rPr>
          <w:rFonts w:ascii="Times New Roman" w:eastAsia="Times New Roman" w:hAnsi="Times New Roman"/>
          <w:sz w:val="24"/>
          <w:szCs w:val="24"/>
        </w:rPr>
        <w:t xml:space="preserve"> weakness in the basis of an expert's opinion goes to the weight of the testimony; it should not affect its admissibility if the facts, data, or opinions are reasonably relied upon by experts in the relevant field.’ </w:t>
      </w:r>
      <w:r>
        <w:rPr>
          <w:rFonts w:ascii="Times New Roman" w:eastAsia="Times New Roman" w:hAnsi="Times New Roman"/>
          <w:i/>
          <w:iCs/>
          <w:sz w:val="24"/>
          <w:szCs w:val="24"/>
        </w:rPr>
        <w:t>People v</w:t>
      </w:r>
      <w:r>
        <w:rPr>
          <w:rFonts w:ascii="Times New Roman" w:eastAsia="Times New Roman" w:hAnsi="Times New Roman"/>
          <w:sz w:val="24"/>
          <w:szCs w:val="24"/>
        </w:rPr>
        <w:t xml:space="preserve">. </w:t>
      </w:r>
      <w:r>
        <w:rPr>
          <w:rFonts w:ascii="Times New Roman" w:eastAsia="Times New Roman" w:hAnsi="Times New Roman"/>
          <w:i/>
          <w:iCs/>
          <w:sz w:val="24"/>
          <w:szCs w:val="24"/>
        </w:rPr>
        <w:t>Lind</w:t>
      </w:r>
      <w:r>
        <w:rPr>
          <w:rFonts w:ascii="Times New Roman" w:eastAsia="Times New Roman" w:hAnsi="Times New Roman"/>
          <w:sz w:val="24"/>
          <w:szCs w:val="24"/>
        </w:rPr>
        <w:t xml:space="preserve">, 307 Ill. App. 3d 727, 739 (1999).” </w:t>
      </w:r>
      <w:bookmarkStart w:id="15" w:name="_Hlk66941130"/>
      <w:r w:rsidR="00F00958">
        <w:fldChar w:fldCharType="begin"/>
      </w:r>
      <w:r w:rsidR="00F00958">
        <w:instrText xml:space="preserve"> HYPERLINK "https://courts.illinois.gov/Opinions/AppellateCourt/2020/1stDistrict/1170500.pdf" </w:instrText>
      </w:r>
      <w:r w:rsidR="00F00958">
        <w:fldChar w:fldCharType="separate"/>
      </w:r>
      <w:r>
        <w:rPr>
          <w:rStyle w:val="Hyperlink"/>
        </w:rPr>
        <w:t>https://courts.illinois.gov/Opinions/AppellateCourt/2020/1stDistrict/1170500.pdf</w:t>
      </w:r>
      <w:r w:rsidR="00F00958">
        <w:rPr>
          <w:rStyle w:val="Hyperlink"/>
        </w:rPr>
        <w:fldChar w:fldCharType="end"/>
      </w:r>
      <w:r>
        <w:rPr>
          <w:rFonts w:ascii="Times New Roman" w:eastAsia="Times New Roman" w:hAnsi="Times New Roman"/>
          <w:sz w:val="24"/>
          <w:szCs w:val="24"/>
        </w:rPr>
        <w:t xml:space="preserve"> </w:t>
      </w:r>
    </w:p>
    <w:p w14:paraId="1202CAAE" w14:textId="77777777" w:rsidR="005E132A" w:rsidRDefault="005E132A" w:rsidP="005E132A">
      <w:pPr>
        <w:pStyle w:val="NormalWeb"/>
        <w:rPr>
          <w:b/>
          <w:bCs/>
        </w:rPr>
      </w:pPr>
      <w:bookmarkStart w:id="16" w:name="_Hlk66941171"/>
      <w:bookmarkEnd w:id="15"/>
      <w:r>
        <w:rPr>
          <w:b/>
          <w:bCs/>
        </w:rPr>
        <w:t xml:space="preserve">Legal Lesson Learned: Fire Marshal did rely on some physical evidence, as well as the secretly taped confession of the defendant. </w:t>
      </w:r>
    </w:p>
    <w:p w14:paraId="10262F35"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w:t>
      </w:r>
      <w:proofErr w:type="gramStart"/>
      <w:r>
        <w:rPr>
          <w:rFonts w:ascii="Times New Roman" w:eastAsia="Times New Roman" w:hAnsi="Times New Roman"/>
          <w:sz w:val="24"/>
          <w:szCs w:val="24"/>
        </w:rPr>
        <w:t>The girlfriend of the owner [Bonita Robertson],</w:t>
      </w:r>
      <w:proofErr w:type="gramEnd"/>
      <w:r>
        <w:rPr>
          <w:rFonts w:ascii="Times New Roman" w:eastAsia="Times New Roman" w:hAnsi="Times New Roman"/>
          <w:sz w:val="24"/>
          <w:szCs w:val="24"/>
        </w:rPr>
        <w:t xml:space="preserve"> wore a wire provided by police, and recorded following about why accelerant wasn’t detected by arson dog. </w:t>
      </w:r>
    </w:p>
    <w:bookmarkEnd w:id="16"/>
    <w:p w14:paraId="23EDCE5C"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br/>
        <w:t>ROBERTSON: They said they didn't smell any accelerants like gas or any of that.</w:t>
      </w:r>
      <w:r>
        <w:rPr>
          <w:rFonts w:ascii="Times New Roman" w:eastAsia="Times New Roman" w:hAnsi="Times New Roman"/>
          <w:sz w:val="24"/>
          <w:szCs w:val="24"/>
        </w:rPr>
        <w:br/>
      </w:r>
      <w:r>
        <w:rPr>
          <w:rFonts w:ascii="Times New Roman" w:eastAsia="Times New Roman" w:hAnsi="Times New Roman"/>
          <w:sz w:val="24"/>
          <w:szCs w:val="24"/>
        </w:rPr>
        <w:br/>
        <w:t>DEFENDANT: And I, and I know, and I know why, I know why they didn't.</w:t>
      </w:r>
    </w:p>
    <w:p w14:paraId="75126B8C" w14:textId="77777777" w:rsidR="005E132A" w:rsidRDefault="005E132A" w:rsidP="005E132A">
      <w:pPr>
        <w:spacing w:after="100" w:line="240" w:lineRule="auto"/>
        <w:rPr>
          <w:rFonts w:ascii="Times New Roman" w:eastAsia="Times New Roman" w:hAnsi="Times New Roman"/>
          <w:sz w:val="24"/>
          <w:szCs w:val="24"/>
        </w:rPr>
      </w:pPr>
    </w:p>
    <w:p w14:paraId="5EB4C8AD"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ROBERTSON: Why?</w:t>
      </w:r>
      <w:r>
        <w:rPr>
          <w:rFonts w:ascii="Times New Roman" w:eastAsia="Times New Roman" w:hAnsi="Times New Roman"/>
          <w:sz w:val="24"/>
          <w:szCs w:val="24"/>
        </w:rPr>
        <w:br/>
      </w:r>
      <w:r>
        <w:rPr>
          <w:rFonts w:ascii="Times New Roman" w:eastAsia="Times New Roman" w:hAnsi="Times New Roman"/>
          <w:sz w:val="24"/>
          <w:szCs w:val="24"/>
        </w:rPr>
        <w:br/>
        <w:t>***</w:t>
      </w:r>
      <w:r>
        <w:rPr>
          <w:rFonts w:ascii="Times New Roman" w:eastAsia="Times New Roman" w:hAnsi="Times New Roman"/>
          <w:sz w:val="24"/>
          <w:szCs w:val="24"/>
        </w:rPr>
        <w:br/>
      </w:r>
      <w:r>
        <w:rPr>
          <w:rFonts w:ascii="Times New Roman" w:eastAsia="Times New Roman" w:hAnsi="Times New Roman"/>
          <w:sz w:val="24"/>
          <w:szCs w:val="24"/>
        </w:rPr>
        <w:br/>
        <w:t xml:space="preserve">DEFENDANT: </w:t>
      </w:r>
      <w:proofErr w:type="gramStart"/>
      <w:r>
        <w:rPr>
          <w:rFonts w:ascii="Times New Roman" w:eastAsia="Times New Roman" w:hAnsi="Times New Roman"/>
          <w:sz w:val="24"/>
          <w:szCs w:val="24"/>
        </w:rPr>
        <w:t>Cause</w:t>
      </w:r>
      <w:proofErr w:type="gramEnd"/>
      <w:r>
        <w:rPr>
          <w:rFonts w:ascii="Times New Roman" w:eastAsia="Times New Roman" w:hAnsi="Times New Roman"/>
          <w:sz w:val="24"/>
          <w:szCs w:val="24"/>
        </w:rPr>
        <w:t xml:space="preserve"> I put oil with the gas. That's why.</w:t>
      </w:r>
    </w:p>
    <w:p w14:paraId="58838790" w14:textId="77777777" w:rsidR="005E132A" w:rsidRDefault="005E132A" w:rsidP="005E132A">
      <w:pPr>
        <w:spacing w:after="100" w:line="240" w:lineRule="auto"/>
        <w:ind w:left="720"/>
        <w:rPr>
          <w:rFonts w:ascii="Times New Roman" w:hAnsi="Times New Roman"/>
          <w:sz w:val="24"/>
          <w:szCs w:val="24"/>
        </w:rPr>
      </w:pPr>
      <w:r>
        <w:rPr>
          <w:rFonts w:ascii="Times New Roman" w:eastAsia="Times New Roman" w:hAnsi="Times New Roman"/>
          <w:sz w:val="24"/>
          <w:szCs w:val="24"/>
        </w:rPr>
        <w:t>***</w:t>
      </w:r>
    </w:p>
    <w:p w14:paraId="48F47CAC" w14:textId="77777777" w:rsidR="005E132A" w:rsidRDefault="005E132A" w:rsidP="005E132A">
      <w:pPr>
        <w:spacing w:after="100" w:line="240" w:lineRule="auto"/>
        <w:ind w:left="720"/>
        <w:rPr>
          <w:rFonts w:ascii="Times New Roman" w:hAnsi="Times New Roman"/>
          <w:sz w:val="24"/>
          <w:szCs w:val="24"/>
        </w:rPr>
      </w:pPr>
      <w:r>
        <w:rPr>
          <w:rFonts w:ascii="Times New Roman" w:hAnsi="Times New Roman"/>
          <w:sz w:val="24"/>
          <w:szCs w:val="24"/>
        </w:rPr>
        <w:t>ROBERTSON: So that the dogs couldn't pick it up?</w:t>
      </w:r>
      <w:r>
        <w:rPr>
          <w:rFonts w:ascii="Times New Roman" w:hAnsi="Times New Roman"/>
          <w:sz w:val="24"/>
          <w:szCs w:val="24"/>
        </w:rPr>
        <w:br/>
      </w:r>
      <w:r>
        <w:rPr>
          <w:rFonts w:ascii="Times New Roman" w:hAnsi="Times New Roman"/>
          <w:sz w:val="24"/>
          <w:szCs w:val="24"/>
        </w:rPr>
        <w:br/>
        <w:t xml:space="preserve">DEFENDANT: There you go, and, and it burnt too </w:t>
      </w:r>
      <w:proofErr w:type="gramStart"/>
      <w:r>
        <w:rPr>
          <w:rFonts w:ascii="Times New Roman" w:hAnsi="Times New Roman"/>
          <w:sz w:val="24"/>
          <w:szCs w:val="24"/>
        </w:rPr>
        <w:t>bad</w:t>
      </w:r>
      <w:proofErr w:type="gramEnd"/>
      <w:r>
        <w:rPr>
          <w:rFonts w:ascii="Times New Roman" w:hAnsi="Times New Roman"/>
          <w:sz w:val="24"/>
          <w:szCs w:val="24"/>
        </w:rPr>
        <w:t xml:space="preserve"> for them to find anything.</w:t>
      </w:r>
      <w:r>
        <w:rPr>
          <w:rFonts w:ascii="Times New Roman" w:hAnsi="Times New Roman"/>
          <w:sz w:val="24"/>
          <w:szCs w:val="24"/>
        </w:rPr>
        <w:br/>
      </w:r>
      <w:r>
        <w:rPr>
          <w:rFonts w:ascii="Times New Roman" w:hAnsi="Times New Roman"/>
          <w:sz w:val="24"/>
          <w:szCs w:val="24"/>
        </w:rPr>
        <w:br/>
        <w:t>ROBERTSON: But you started it on the back porch?</w:t>
      </w:r>
      <w:r>
        <w:rPr>
          <w:rFonts w:ascii="Times New Roman" w:hAnsi="Times New Roman"/>
          <w:sz w:val="24"/>
          <w:szCs w:val="24"/>
        </w:rPr>
        <w:br/>
      </w:r>
      <w:r>
        <w:rPr>
          <w:rFonts w:ascii="Times New Roman" w:hAnsi="Times New Roman"/>
          <w:sz w:val="24"/>
          <w:szCs w:val="24"/>
        </w:rPr>
        <w:br/>
        <w:t xml:space="preserve">DEFENDANT: And it went up, Bonita. I don't want to talk about this. *** Everybody just </w:t>
      </w:r>
      <w:proofErr w:type="gramStart"/>
      <w:r>
        <w:rPr>
          <w:rFonts w:ascii="Times New Roman" w:hAnsi="Times New Roman"/>
          <w:sz w:val="24"/>
          <w:szCs w:val="24"/>
        </w:rPr>
        <w:t>say</w:t>
      </w:r>
      <w:proofErr w:type="gramEnd"/>
      <w:r>
        <w:rPr>
          <w:rFonts w:ascii="Times New Roman" w:hAnsi="Times New Roman"/>
          <w:sz w:val="24"/>
          <w:szCs w:val="24"/>
        </w:rPr>
        <w:t xml:space="preserve"> they don't know, okay, just leave it like that. That's what you do. Don't worry, okay. They didn't find </w:t>
      </w:r>
      <w:proofErr w:type="gramStart"/>
      <w:r>
        <w:rPr>
          <w:rFonts w:ascii="Times New Roman" w:hAnsi="Times New Roman"/>
          <w:sz w:val="24"/>
          <w:szCs w:val="24"/>
        </w:rPr>
        <w:t>nothing</w:t>
      </w:r>
      <w:proofErr w:type="gramEnd"/>
      <w:r>
        <w:rPr>
          <w:rFonts w:ascii="Times New Roman" w:hAnsi="Times New Roman"/>
          <w:sz w:val="24"/>
          <w:szCs w:val="24"/>
        </w:rPr>
        <w:t xml:space="preserve"> and that's great. They think the electrical box did it.”</w:t>
      </w:r>
    </w:p>
    <w:p w14:paraId="665FB8C2" w14:textId="77777777" w:rsidR="005E132A" w:rsidRDefault="005E132A" w:rsidP="005E132A">
      <w:pPr>
        <w:rPr>
          <w:rFonts w:ascii="Times New Roman" w:hAnsi="Times New Roman"/>
          <w:sz w:val="24"/>
          <w:szCs w:val="24"/>
        </w:rPr>
      </w:pPr>
      <w:hyperlink r:id="rId302" w:history="1">
        <w:r>
          <w:rPr>
            <w:rStyle w:val="Hyperlink"/>
          </w:rPr>
          <w:t>https://public.fastcase.com/Wl%2B2t%2BeVuI35%2FN70vAMFZsWJ6AvEppVwuFRKTwz4M5aFuXQum0lUiq0Q02rKgFN1</w:t>
        </w:r>
      </w:hyperlink>
    </w:p>
    <w:p w14:paraId="6EACB191" w14:textId="77777777" w:rsidR="005E132A" w:rsidRDefault="005E132A" w:rsidP="002B1283">
      <w:pPr>
        <w:rPr>
          <w:rFonts w:ascii="Arial Black" w:hAnsi="Arial Black"/>
          <w:b/>
          <w:sz w:val="24"/>
          <w:szCs w:val="24"/>
        </w:rPr>
      </w:pPr>
    </w:p>
    <w:p w14:paraId="5BCA3F48" w14:textId="77777777" w:rsidR="005E132A" w:rsidRDefault="005E132A" w:rsidP="002B1283">
      <w:pPr>
        <w:rPr>
          <w:rFonts w:ascii="Arial Black" w:hAnsi="Arial Black"/>
          <w:b/>
          <w:sz w:val="24"/>
          <w:szCs w:val="24"/>
        </w:rPr>
      </w:pPr>
    </w:p>
    <w:p w14:paraId="68892771" w14:textId="7D31624C" w:rsidR="007D178F" w:rsidRDefault="007D178F" w:rsidP="002B1283">
      <w:pPr>
        <w:rPr>
          <w:rFonts w:ascii="Arial Black" w:hAnsi="Arial Black"/>
          <w:b/>
          <w:sz w:val="24"/>
          <w:szCs w:val="24"/>
        </w:rPr>
      </w:pPr>
      <w:r>
        <w:rPr>
          <w:rFonts w:ascii="Arial Black" w:hAnsi="Arial Black"/>
          <w:b/>
          <w:sz w:val="24"/>
          <w:szCs w:val="24"/>
        </w:rPr>
        <w:t>1-</w:t>
      </w:r>
      <w:r w:rsidR="000F483A">
        <w:rPr>
          <w:rFonts w:ascii="Arial Black" w:hAnsi="Arial Black"/>
          <w:b/>
          <w:sz w:val="24"/>
          <w:szCs w:val="24"/>
        </w:rPr>
        <w:t>69</w:t>
      </w:r>
    </w:p>
    <w:p w14:paraId="12408389" w14:textId="77777777" w:rsidR="007D178F" w:rsidRDefault="007D178F" w:rsidP="007D178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HOUSE FIRE - SPONTANEOUS COMBUSTION - OILY RAGS HARDWOOD FLOORS – CONFLICTING EXPERTS - CASE PROCEED</w:t>
      </w:r>
    </w:p>
    <w:p w14:paraId="5002E128" w14:textId="77777777" w:rsidR="007D178F" w:rsidRDefault="007D178F" w:rsidP="007D178F">
      <w:pPr>
        <w:rPr>
          <w:rFonts w:ascii="Times New Roman" w:hAnsi="Times New Roman"/>
          <w:sz w:val="24"/>
          <w:szCs w:val="24"/>
        </w:rPr>
      </w:pPr>
      <w:r w:rsidRPr="00ED36EF">
        <w:rPr>
          <w:rFonts w:ascii="Times New Roman" w:hAnsi="Times New Roman"/>
          <w:sz w:val="24"/>
          <w:szCs w:val="24"/>
        </w:rPr>
        <w:t xml:space="preserve">On Nov. 25, 2020, in </w:t>
      </w:r>
      <w:r w:rsidRPr="00ED36EF">
        <w:rPr>
          <w:rFonts w:ascii="Times New Roman" w:hAnsi="Times New Roman"/>
          <w:sz w:val="24"/>
          <w:szCs w:val="24"/>
          <w:u w:val="single"/>
        </w:rPr>
        <w:t>State Farm Fire &amp; Casualty Company, as Subrogee of Yolanda Clarke v. Real Wood Fabricating, LLC</w:t>
      </w:r>
      <w:r w:rsidRPr="00ED36EF">
        <w:rPr>
          <w:rFonts w:ascii="Times New Roman" w:hAnsi="Times New Roman"/>
          <w:sz w:val="24"/>
          <w:szCs w:val="24"/>
        </w:rPr>
        <w:t>, the Appellate Division of the Supreme Court of the State of New York, held (</w:t>
      </w:r>
      <w:r>
        <w:rPr>
          <w:rFonts w:ascii="Times New Roman" w:hAnsi="Times New Roman"/>
          <w:sz w:val="24"/>
          <w:szCs w:val="24"/>
        </w:rPr>
        <w:t>5</w:t>
      </w:r>
      <w:r w:rsidRPr="00ED36EF">
        <w:rPr>
          <w:rFonts w:ascii="Times New Roman" w:hAnsi="Times New Roman"/>
          <w:sz w:val="24"/>
          <w:szCs w:val="24"/>
        </w:rPr>
        <w:t xml:space="preserve"> to 0) that the trial court properly </w:t>
      </w:r>
      <w:r>
        <w:rPr>
          <w:rFonts w:ascii="Times New Roman" w:hAnsi="Times New Roman"/>
          <w:sz w:val="24"/>
          <w:szCs w:val="24"/>
        </w:rPr>
        <w:t xml:space="preserve">denied </w:t>
      </w:r>
      <w:r w:rsidRPr="00ED36EF">
        <w:rPr>
          <w:rFonts w:ascii="Times New Roman" w:hAnsi="Times New Roman"/>
          <w:sz w:val="24"/>
          <w:szCs w:val="24"/>
        </w:rPr>
        <w:t xml:space="preserve">summary judgment to the </w:t>
      </w:r>
      <w:r>
        <w:rPr>
          <w:rFonts w:ascii="Times New Roman" w:hAnsi="Times New Roman"/>
          <w:sz w:val="24"/>
          <w:szCs w:val="24"/>
        </w:rPr>
        <w:t xml:space="preserve">plaintiff </w:t>
      </w:r>
      <w:r w:rsidRPr="00ED36EF">
        <w:rPr>
          <w:rFonts w:ascii="Times New Roman" w:hAnsi="Times New Roman"/>
          <w:sz w:val="24"/>
          <w:szCs w:val="24"/>
        </w:rPr>
        <w:t>insurance compa</w:t>
      </w:r>
      <w:r>
        <w:rPr>
          <w:rFonts w:ascii="Times New Roman" w:hAnsi="Times New Roman"/>
          <w:sz w:val="24"/>
          <w:szCs w:val="24"/>
        </w:rPr>
        <w:t xml:space="preserve">ny and also to defendant </w:t>
      </w:r>
      <w:r w:rsidRPr="00ED36EF">
        <w:rPr>
          <w:rFonts w:ascii="Times New Roman" w:hAnsi="Times New Roman"/>
          <w:sz w:val="24"/>
          <w:szCs w:val="24"/>
        </w:rPr>
        <w:t>Real Wood Fabricating</w:t>
      </w:r>
      <w:r>
        <w:rPr>
          <w:rFonts w:ascii="Times New Roman" w:hAnsi="Times New Roman"/>
          <w:sz w:val="24"/>
          <w:szCs w:val="24"/>
        </w:rPr>
        <w:t xml:space="preserve">. </w:t>
      </w:r>
      <w:r w:rsidRPr="00ED36EF">
        <w:rPr>
          <w:rFonts w:ascii="Times New Roman" w:hAnsi="Times New Roman"/>
          <w:sz w:val="24"/>
          <w:szCs w:val="24"/>
        </w:rPr>
        <w:t xml:space="preserve"> </w:t>
      </w:r>
    </w:p>
    <w:p w14:paraId="198492D3" w14:textId="77777777" w:rsidR="007D178F" w:rsidRPr="003E7DDA" w:rsidRDefault="007D178F" w:rsidP="007D178F">
      <w:pPr>
        <w:ind w:left="720"/>
        <w:rPr>
          <w:rFonts w:ascii="Times New Roman" w:hAnsi="Times New Roman"/>
          <w:sz w:val="24"/>
          <w:szCs w:val="24"/>
        </w:rPr>
      </w:pPr>
      <w:r>
        <w:rPr>
          <w:rFonts w:ascii="Times New Roman" w:hAnsi="Times New Roman"/>
          <w:sz w:val="24"/>
          <w:szCs w:val="24"/>
        </w:rPr>
        <w:t>“</w:t>
      </w:r>
      <w:r w:rsidRPr="003E7DDA">
        <w:rPr>
          <w:rFonts w:ascii="Times New Roman" w:hAnsi="Times New Roman"/>
          <w:sz w:val="24"/>
          <w:szCs w:val="24"/>
        </w:rPr>
        <w:t xml:space="preserve">After paying Clarke over $389,000 for the property damage caused by the fire, plaintiff, as subrogee of Clarke, commenced this action against defendant, alleging that defendant negligently caused the fire by failing to remove combustible floor materials from the garage. Following joinder of issue, plaintiff moved for summary judgment on the complaint, relying on the opinions of Holter and Thomas and the deposition testimony of Clarke and McCarty. Defendant opposed the motion and cross-moved for summary judgment dismissing the complaint, submitting an affidavit of Jason Karasinski, president and owner of Fire Research &amp; Technology Inc., who was retained </w:t>
      </w:r>
      <w:r>
        <w:rPr>
          <w:rFonts w:ascii="Times New Roman" w:hAnsi="Times New Roman"/>
          <w:sz w:val="24"/>
          <w:szCs w:val="24"/>
        </w:rPr>
        <w:t>‘</w:t>
      </w:r>
      <w:r w:rsidRPr="003E7DDA">
        <w:rPr>
          <w:rFonts w:ascii="Times New Roman" w:hAnsi="Times New Roman"/>
          <w:sz w:val="24"/>
          <w:szCs w:val="24"/>
        </w:rPr>
        <w:t>to review the investigation of [the] fire.</w:t>
      </w:r>
      <w:r>
        <w:rPr>
          <w:rFonts w:ascii="Times New Roman" w:hAnsi="Times New Roman"/>
          <w:sz w:val="24"/>
          <w:szCs w:val="24"/>
        </w:rPr>
        <w:t>’</w:t>
      </w:r>
      <w:r w:rsidRPr="003E7DDA">
        <w:rPr>
          <w:rFonts w:ascii="Times New Roman" w:hAnsi="Times New Roman"/>
          <w:sz w:val="24"/>
          <w:szCs w:val="24"/>
        </w:rPr>
        <w:t xml:space="preserve"> Karasinski concluded that the reports prepared by Holter and Thomas were speculative and that their investigations failed to follow the standards promulgated by the National Fire Protection Association (hereinafter NFPA). Supreme Court denied both motions, finding that the conflicting expert opinions presented issues of fact and credibility as </w:t>
      </w:r>
      <w:proofErr w:type="gramStart"/>
      <w:r w:rsidRPr="003E7DDA">
        <w:rPr>
          <w:rFonts w:ascii="Times New Roman" w:hAnsi="Times New Roman"/>
          <w:sz w:val="24"/>
          <w:szCs w:val="24"/>
        </w:rPr>
        <w:t>to</w:t>
      </w:r>
      <w:proofErr w:type="gramEnd"/>
      <w:r w:rsidRPr="003E7DDA">
        <w:rPr>
          <w:rFonts w:ascii="Times New Roman" w:hAnsi="Times New Roman"/>
          <w:sz w:val="24"/>
          <w:szCs w:val="24"/>
        </w:rPr>
        <w:t xml:space="preserve"> causation. Defendant appeals and plaintiff cross-appeals.</w:t>
      </w:r>
    </w:p>
    <w:p w14:paraId="0E017396" w14:textId="77777777" w:rsidR="007D178F" w:rsidRPr="00865DC4" w:rsidRDefault="007D178F" w:rsidP="007D178F">
      <w:pPr>
        <w:ind w:left="720"/>
        <w:rPr>
          <w:rFonts w:ascii="Times New Roman" w:hAnsi="Times New Roman"/>
          <w:sz w:val="24"/>
          <w:szCs w:val="24"/>
        </w:rPr>
      </w:pPr>
      <w:r>
        <w:rPr>
          <w:rFonts w:ascii="Times New Roman" w:hAnsi="Times New Roman"/>
          <w:sz w:val="24"/>
          <w:szCs w:val="24"/>
        </w:rPr>
        <w:t>“</w:t>
      </w:r>
      <w:r w:rsidRPr="00865DC4">
        <w:rPr>
          <w:rFonts w:ascii="Times New Roman" w:hAnsi="Times New Roman"/>
          <w:sz w:val="24"/>
          <w:szCs w:val="24"/>
        </w:rPr>
        <w:t>We affirm. The record demonstrates that all three experts were duly qualified by their education, training and experience to conduct a fire scene investigation.</w:t>
      </w:r>
      <w:r>
        <w:rPr>
          <w:rFonts w:ascii="Times New Roman" w:hAnsi="Times New Roman"/>
          <w:sz w:val="24"/>
          <w:szCs w:val="24"/>
        </w:rPr>
        <w:t xml:space="preserve">”  </w:t>
      </w:r>
      <w:hyperlink r:id="rId303" w:history="1">
        <w:r w:rsidRPr="00695F3D">
          <w:rPr>
            <w:rStyle w:val="Hyperlink"/>
            <w:rFonts w:ascii="Times New Roman" w:hAnsi="Times New Roman"/>
            <w:sz w:val="24"/>
            <w:szCs w:val="24"/>
          </w:rPr>
          <w:t>http://decisions.courts.state.ny.us/ad3/Decisions/2020/530081.pdf</w:t>
        </w:r>
      </w:hyperlink>
      <w:r>
        <w:rPr>
          <w:rFonts w:ascii="Times New Roman" w:hAnsi="Times New Roman"/>
          <w:sz w:val="24"/>
          <w:szCs w:val="24"/>
        </w:rPr>
        <w:t xml:space="preserve"> </w:t>
      </w:r>
    </w:p>
    <w:p w14:paraId="03F612EB" w14:textId="77777777" w:rsidR="007D178F" w:rsidRDefault="007D178F" w:rsidP="002B1283">
      <w:pPr>
        <w:rPr>
          <w:rFonts w:ascii="Arial Black" w:hAnsi="Arial Black"/>
          <w:b/>
          <w:sz w:val="24"/>
          <w:szCs w:val="24"/>
        </w:rPr>
      </w:pPr>
    </w:p>
    <w:p w14:paraId="4FCC3C42" w14:textId="77777777" w:rsidR="007D178F" w:rsidRDefault="007D178F" w:rsidP="002B1283">
      <w:pPr>
        <w:rPr>
          <w:rFonts w:ascii="Arial Black" w:hAnsi="Arial Black"/>
          <w:b/>
          <w:sz w:val="24"/>
          <w:szCs w:val="24"/>
        </w:rPr>
      </w:pPr>
    </w:p>
    <w:p w14:paraId="483C2B5F" w14:textId="459531CA" w:rsidR="007D178F" w:rsidRDefault="007D178F"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8</w:t>
      </w:r>
    </w:p>
    <w:p w14:paraId="3366AEC9" w14:textId="77777777" w:rsidR="007D178F" w:rsidRPr="00297C6C" w:rsidRDefault="007D178F" w:rsidP="007D178F">
      <w:pPr>
        <w:rPr>
          <w:rFonts w:ascii="Arial Black" w:hAnsi="Arial Black"/>
          <w:sz w:val="28"/>
          <w:szCs w:val="28"/>
        </w:rPr>
      </w:pPr>
      <w:r>
        <w:rPr>
          <w:rFonts w:ascii="Arial Black" w:hAnsi="Arial Black"/>
          <w:sz w:val="28"/>
          <w:szCs w:val="28"/>
        </w:rPr>
        <w:t>MA: SPRINKLER LAW – WHEN CITY ADOPTS STATE LAW, UNLICENSED “SOBER HOMES” – 6+ RESIDENTS MUST COMPLY</w:t>
      </w:r>
    </w:p>
    <w:p w14:paraId="054C17EF" w14:textId="77777777" w:rsidR="007D178F" w:rsidRDefault="007D178F" w:rsidP="007D178F">
      <w:pPr>
        <w:rPr>
          <w:rFonts w:ascii="Times New Roman" w:hAnsi="Times New Roman"/>
          <w:sz w:val="24"/>
          <w:szCs w:val="24"/>
        </w:rPr>
      </w:pPr>
      <w:r>
        <w:rPr>
          <w:rFonts w:ascii="Times New Roman" w:hAnsi="Times New Roman"/>
          <w:sz w:val="24"/>
          <w:szCs w:val="24"/>
        </w:rPr>
        <w:t xml:space="preserve">On Nov. 23, 2020, in </w:t>
      </w:r>
      <w:r w:rsidRPr="00297C6C">
        <w:rPr>
          <w:rFonts w:ascii="Times New Roman" w:hAnsi="Times New Roman"/>
          <w:sz w:val="24"/>
          <w:szCs w:val="24"/>
          <w:u w:val="single"/>
        </w:rPr>
        <w:t>Crossing Over, Inc. v. City of Fitchburg</w:t>
      </w:r>
      <w:r>
        <w:rPr>
          <w:rFonts w:ascii="Times New Roman" w:hAnsi="Times New Roman"/>
          <w:sz w:val="24"/>
          <w:szCs w:val="24"/>
        </w:rPr>
        <w:t xml:space="preserve">, the Appeals Court of Massachusetts upheld (3 to 0) the trial judge’s decision upholding Automatic Sprinkler Appeals Board, and the Fire Chief’s March 8, </w:t>
      </w:r>
      <w:proofErr w:type="gramStart"/>
      <w:r>
        <w:rPr>
          <w:rFonts w:ascii="Times New Roman" w:hAnsi="Times New Roman"/>
          <w:sz w:val="24"/>
          <w:szCs w:val="24"/>
        </w:rPr>
        <w:t>2017</w:t>
      </w:r>
      <w:proofErr w:type="gramEnd"/>
      <w:r>
        <w:rPr>
          <w:rFonts w:ascii="Times New Roman" w:hAnsi="Times New Roman"/>
          <w:sz w:val="24"/>
          <w:szCs w:val="24"/>
        </w:rPr>
        <w:t xml:space="preserve"> letter requiring sprinklers </w:t>
      </w:r>
      <w:proofErr w:type="gramStart"/>
      <w:r>
        <w:rPr>
          <w:rFonts w:ascii="Times New Roman" w:hAnsi="Times New Roman"/>
          <w:sz w:val="24"/>
          <w:szCs w:val="24"/>
        </w:rPr>
        <w:t>be</w:t>
      </w:r>
      <w:proofErr w:type="gramEnd"/>
      <w:r>
        <w:rPr>
          <w:rFonts w:ascii="Times New Roman" w:hAnsi="Times New Roman"/>
          <w:sz w:val="24"/>
          <w:szCs w:val="24"/>
        </w:rPr>
        <w:t xml:space="preserve"> installed since home has 8 residents.  Case remanded to trail judge concerning whether statute violates federal or state laws discriminating against disabled.</w:t>
      </w:r>
    </w:p>
    <w:p w14:paraId="533EE72B" w14:textId="77777777" w:rsidR="007D178F" w:rsidRDefault="007D178F" w:rsidP="007D178F">
      <w:pPr>
        <w:spacing w:before="100" w:beforeAutospacing="1" w:after="100" w:afterAutospacing="1" w:line="240" w:lineRule="auto"/>
        <w:ind w:left="720"/>
        <w:rPr>
          <w:rFonts w:ascii="Times New Roman" w:eastAsia="Times New Roman" w:hAnsi="Times New Roman"/>
          <w:sz w:val="24"/>
          <w:szCs w:val="24"/>
        </w:rPr>
      </w:pPr>
      <w:r>
        <w:t>“</w:t>
      </w:r>
      <w:r w:rsidRPr="00F4679A">
        <w:rPr>
          <w:rFonts w:ascii="Times New Roman" w:eastAsia="Times New Roman" w:hAnsi="Times New Roman"/>
          <w:sz w:val="24"/>
          <w:szCs w:val="24"/>
        </w:rPr>
        <w:t>Crossing Over notes that G. L. c. 148, § 26H, carves out from the obligation to install sprinklers "fraternity houses or dormitories, rest homes or group residences licensed or regulated by agencies of the commonwealth," and suggests that the carve-out means that the Legislature either intended to relieve group homes and lodging houses of the obligation to install sprinklers, or that different treatment should be afforded group homes. Lodging houses for the disabled, Crossing Over argues, should be treated in the same manner. The premise is incorrect. The distinction drawn between the lodging houses and other congregate living</w:t>
      </w:r>
      <w:r>
        <w:rPr>
          <w:rFonts w:ascii="Times New Roman" w:eastAsia="Times New Roman" w:hAnsi="Times New Roman"/>
          <w:sz w:val="24"/>
          <w:szCs w:val="24"/>
        </w:rPr>
        <w:t xml:space="preserve"> </w:t>
      </w:r>
      <w:r w:rsidRPr="00F4679A">
        <w:rPr>
          <w:rFonts w:ascii="Times New Roman" w:eastAsia="Times New Roman" w:hAnsi="Times New Roman"/>
          <w:sz w:val="24"/>
          <w:szCs w:val="24"/>
        </w:rPr>
        <w:t>arrangements in G. L. c. 148, § 26H, preserves the regulatory authority granted to State agencies and municipalities over licensed group homes, dormitories, or fraternities, but does not generally exempt them from fire safety regulation.</w:t>
      </w:r>
      <w:r>
        <w:rPr>
          <w:rFonts w:ascii="Times New Roman" w:eastAsia="Times New Roman" w:hAnsi="Times New Roman"/>
          <w:sz w:val="24"/>
          <w:szCs w:val="24"/>
        </w:rPr>
        <w:t xml:space="preserve">”  </w:t>
      </w:r>
      <w:hyperlink r:id="rId304" w:history="1">
        <w:r w:rsidRPr="005709A5">
          <w:rPr>
            <w:rStyle w:val="Hyperlink"/>
            <w:rFonts w:ascii="Times New Roman" w:hAnsi="Times New Roman"/>
            <w:sz w:val="24"/>
            <w:szCs w:val="24"/>
          </w:rPr>
          <w:t>https://law.justia.com/cases/massachusetts/court-of-appeals/2020/19-p-903.html</w:t>
        </w:r>
      </w:hyperlink>
      <w:r>
        <w:rPr>
          <w:rFonts w:ascii="Times New Roman" w:eastAsia="Times New Roman" w:hAnsi="Times New Roman"/>
          <w:sz w:val="24"/>
          <w:szCs w:val="24"/>
        </w:rPr>
        <w:t xml:space="preserve"> </w:t>
      </w:r>
    </w:p>
    <w:p w14:paraId="2F373111" w14:textId="77777777" w:rsidR="007D178F" w:rsidRPr="00FE5C5F" w:rsidRDefault="007D178F" w:rsidP="007D178F">
      <w:pPr>
        <w:spacing w:before="100" w:beforeAutospacing="1" w:after="100" w:afterAutospacing="1" w:line="240" w:lineRule="auto"/>
        <w:ind w:firstLine="720"/>
        <w:rPr>
          <w:rFonts w:ascii="Times New Roman" w:eastAsia="Times New Roman" w:hAnsi="Times New Roman"/>
          <w:sz w:val="24"/>
          <w:szCs w:val="24"/>
        </w:rPr>
      </w:pPr>
      <w:r w:rsidRPr="00FE5C5F">
        <w:rPr>
          <w:rFonts w:ascii="Times New Roman" w:eastAsia="Times New Roman" w:hAnsi="Times New Roman"/>
          <w:sz w:val="24"/>
          <w:szCs w:val="24"/>
        </w:rPr>
        <w:t>***</w:t>
      </w:r>
    </w:p>
    <w:p w14:paraId="736227D9" w14:textId="77777777" w:rsidR="007D178F" w:rsidRPr="00FE5C5F" w:rsidRDefault="007D178F" w:rsidP="007D178F">
      <w:pPr>
        <w:spacing w:before="100" w:beforeAutospacing="1" w:after="100" w:afterAutospacing="1" w:line="240" w:lineRule="auto"/>
        <w:ind w:left="720"/>
        <w:rPr>
          <w:rFonts w:ascii="Times New Roman" w:hAnsi="Times New Roman"/>
          <w:sz w:val="24"/>
          <w:szCs w:val="24"/>
        </w:rPr>
      </w:pPr>
      <w:r w:rsidRPr="00FE5C5F">
        <w:rPr>
          <w:rFonts w:ascii="Times New Roman" w:hAnsi="Times New Roman"/>
          <w:sz w:val="24"/>
          <w:szCs w:val="24"/>
        </w:rPr>
        <w:t xml:space="preserve">Sober homes, however, are not licensed by the Commonwealth. </w:t>
      </w:r>
      <w:proofErr w:type="gramStart"/>
      <w:r w:rsidRPr="00FE5C5F">
        <w:rPr>
          <w:rFonts w:ascii="Times New Roman" w:hAnsi="Times New Roman"/>
          <w:sz w:val="24"/>
          <w:szCs w:val="24"/>
        </w:rPr>
        <w:t>Instead</w:t>
      </w:r>
      <w:proofErr w:type="gramEnd"/>
      <w:r w:rsidRPr="00FE5C5F">
        <w:rPr>
          <w:rFonts w:ascii="Times New Roman" w:hAnsi="Times New Roman"/>
          <w:sz w:val="24"/>
          <w:szCs w:val="24"/>
        </w:rPr>
        <w:t xml:space="preserve"> they are subject to a voluntary State accreditation and training program, G. L. c. 17, § 18A, inserted by St. 2014, c. 165, § 37; accreditation is required if the sober home is to receive referrals from State agencies. G. L. c. 17, § 18A (</w:t>
      </w:r>
      <w:r w:rsidRPr="00FE5C5F">
        <w:rPr>
          <w:rFonts w:ascii="Times New Roman" w:hAnsi="Times New Roman"/>
          <w:sz w:val="24"/>
          <w:szCs w:val="24"/>
          <w:u w:val="single"/>
        </w:rPr>
        <w:t>h</w:t>
      </w:r>
      <w:r w:rsidRPr="00FE5C5F">
        <w:rPr>
          <w:rFonts w:ascii="Times New Roman" w:hAnsi="Times New Roman"/>
          <w:sz w:val="24"/>
          <w:szCs w:val="24"/>
        </w:rPr>
        <w:t xml:space="preserve">). Contrast G. L. c. 111, § 73 (providing fines for operation of rest home without license). General Laws c. 148, 26H, thus has the effect of extending the sprinkler statute to lodging houses that are sober homes; other statutes and regulations extend varying levels of fire safety standards to other congregate living </w:t>
      </w:r>
      <w:proofErr w:type="gramStart"/>
      <w:r w:rsidRPr="00FE5C5F">
        <w:rPr>
          <w:rFonts w:ascii="Times New Roman" w:hAnsi="Times New Roman"/>
          <w:sz w:val="24"/>
          <w:szCs w:val="24"/>
        </w:rPr>
        <w:t>arrangements.”</w:t>
      </w:r>
      <w:proofErr w:type="gramEnd"/>
      <w:r w:rsidRPr="00FE5C5F">
        <w:rPr>
          <w:rFonts w:ascii="Times New Roman" w:hAnsi="Times New Roman"/>
          <w:sz w:val="24"/>
          <w:szCs w:val="24"/>
        </w:rPr>
        <w:t xml:space="preserve"> </w:t>
      </w:r>
      <w:hyperlink r:id="rId305" w:history="1">
        <w:r w:rsidRPr="00FE5C5F">
          <w:rPr>
            <w:rStyle w:val="Hyperlink"/>
            <w:rFonts w:ascii="Times New Roman" w:hAnsi="Times New Roman"/>
            <w:sz w:val="24"/>
            <w:szCs w:val="24"/>
          </w:rPr>
          <w:t>https://public.fastcase.com/Wl%2B2t%2BeVuI35%2FN70vAMFZn5gKg3cdbP6IN7E7ywDm7QNgGMGGIVm2eo9gH1WNWLv</w:t>
        </w:r>
      </w:hyperlink>
      <w:r w:rsidRPr="00FE5C5F">
        <w:rPr>
          <w:rFonts w:ascii="Times New Roman" w:hAnsi="Times New Roman"/>
          <w:sz w:val="24"/>
          <w:szCs w:val="24"/>
        </w:rPr>
        <w:t xml:space="preserve"> </w:t>
      </w:r>
    </w:p>
    <w:p w14:paraId="6F120D4E" w14:textId="77777777" w:rsidR="007D178F" w:rsidRDefault="007D178F" w:rsidP="007D178F">
      <w:pPr>
        <w:pStyle w:val="NoSpacing"/>
        <w:tabs>
          <w:tab w:val="left" w:pos="3200"/>
        </w:tabs>
        <w:rPr>
          <w:rFonts w:ascii="Times New Roman" w:hAnsi="Times New Roman"/>
          <w:b/>
          <w:bCs/>
          <w:sz w:val="24"/>
          <w:szCs w:val="24"/>
        </w:rPr>
      </w:pPr>
      <w:r w:rsidRPr="00091FFE">
        <w:rPr>
          <w:rFonts w:ascii="Times New Roman" w:hAnsi="Times New Roman"/>
          <w:b/>
          <w:bCs/>
          <w:sz w:val="24"/>
          <w:szCs w:val="24"/>
        </w:rPr>
        <w:t>Legal Lesson Learned:</w:t>
      </w:r>
      <w:r>
        <w:rPr>
          <w:rFonts w:ascii="Times New Roman" w:hAnsi="Times New Roman"/>
          <w:b/>
          <w:bCs/>
          <w:sz w:val="24"/>
          <w:szCs w:val="24"/>
        </w:rPr>
        <w:t xml:space="preserve"> State sprinkler code can be enforced not only against state-licensed facilities, such as rest homes and group mental health facilities, but also to unlicensed “sober houses” voluntarily seeking State accreditation </w:t>
      </w:r>
      <w:proofErr w:type="gramStart"/>
      <w:r>
        <w:rPr>
          <w:rFonts w:ascii="Times New Roman" w:hAnsi="Times New Roman"/>
          <w:b/>
          <w:bCs/>
          <w:sz w:val="24"/>
          <w:szCs w:val="24"/>
        </w:rPr>
        <w:t>in order to</w:t>
      </w:r>
      <w:proofErr w:type="gramEnd"/>
      <w:r>
        <w:rPr>
          <w:rFonts w:ascii="Times New Roman" w:hAnsi="Times New Roman"/>
          <w:b/>
          <w:bCs/>
          <w:sz w:val="24"/>
          <w:szCs w:val="24"/>
        </w:rPr>
        <w:t xml:space="preserve"> receive patient referrals from State agencies. </w:t>
      </w:r>
    </w:p>
    <w:p w14:paraId="22956CD6" w14:textId="77777777" w:rsidR="007D178F" w:rsidRDefault="007D178F" w:rsidP="007D178F">
      <w:pPr>
        <w:pStyle w:val="NoSpacing"/>
        <w:tabs>
          <w:tab w:val="left" w:pos="3200"/>
        </w:tabs>
        <w:rPr>
          <w:rFonts w:ascii="Times New Roman" w:hAnsi="Times New Roman"/>
          <w:b/>
          <w:bCs/>
          <w:sz w:val="24"/>
          <w:szCs w:val="24"/>
        </w:rPr>
      </w:pPr>
    </w:p>
    <w:p w14:paraId="597D1F30" w14:textId="77777777" w:rsidR="007D178F" w:rsidRDefault="007D178F" w:rsidP="007D178F">
      <w:pPr>
        <w:pStyle w:val="NoSpacing"/>
        <w:tabs>
          <w:tab w:val="left" w:pos="3200"/>
        </w:tabs>
        <w:ind w:left="630"/>
      </w:pPr>
      <w:r>
        <w:rPr>
          <w:rFonts w:ascii="Times New Roman" w:hAnsi="Times New Roman"/>
          <w:sz w:val="24"/>
          <w:szCs w:val="24"/>
        </w:rPr>
        <w:t xml:space="preserve">Note:  The Court described how fire codes nationwide have expanded after tragic fires, including </w:t>
      </w:r>
      <w:r w:rsidRPr="00906A73">
        <w:rPr>
          <w:rFonts w:ascii="Times New Roman" w:hAnsi="Times New Roman"/>
          <w:sz w:val="24"/>
          <w:szCs w:val="24"/>
        </w:rPr>
        <w:t>the Triangle Shirtwaist Factory Fire in New York</w:t>
      </w:r>
      <w:r>
        <w:rPr>
          <w:rFonts w:ascii="Times New Roman" w:hAnsi="Times New Roman"/>
          <w:sz w:val="24"/>
          <w:szCs w:val="24"/>
        </w:rPr>
        <w:t xml:space="preserve"> (1911 – 146 died), and the </w:t>
      </w:r>
      <w:r w:rsidRPr="00906A73">
        <w:rPr>
          <w:rFonts w:ascii="Times New Roman" w:hAnsi="Times New Roman"/>
          <w:sz w:val="24"/>
          <w:szCs w:val="24"/>
        </w:rPr>
        <w:t>Cocoanut Grove nightclub fire in Boston</w:t>
      </w:r>
      <w:r>
        <w:rPr>
          <w:rFonts w:ascii="Times New Roman" w:hAnsi="Times New Roman"/>
          <w:sz w:val="24"/>
          <w:szCs w:val="24"/>
        </w:rPr>
        <w:t xml:space="preserve"> (1942 – 492 died).  [Footnote 5.]  Sprinkler codes in Massachusetts were also expanded after tragic fires. </w:t>
      </w:r>
    </w:p>
    <w:p w14:paraId="30225F49" w14:textId="77777777" w:rsidR="007D178F" w:rsidRDefault="007D178F" w:rsidP="007D178F">
      <w:pPr>
        <w:pStyle w:val="NormalWeb"/>
        <w:ind w:left="720"/>
      </w:pPr>
      <w:r>
        <w:t xml:space="preserve">“The Commonwealth's sprinkler laws reflect a patchwork of requirements enacted, seriatim, in response to various </w:t>
      </w:r>
      <w:proofErr w:type="spellStart"/>
      <w:r>
        <w:t>tragedies.</w:t>
      </w:r>
      <w:bookmarkStart w:id="17" w:name="fn5"/>
      <w:r>
        <w:rPr>
          <w:sz w:val="20"/>
          <w:szCs w:val="20"/>
          <w:vertAlign w:val="superscript"/>
        </w:rPr>
        <w:fldChar w:fldCharType="begin"/>
      </w:r>
      <w:r>
        <w:rPr>
          <w:sz w:val="20"/>
          <w:szCs w:val="20"/>
          <w:vertAlign w:val="superscript"/>
        </w:rPr>
        <w:instrText xml:space="preserve"> HYPERLINK "https://public.fastcase.com/" \l "fr5"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fr5</w:t>
      </w:r>
      <w:r>
        <w:rPr>
          <w:sz w:val="20"/>
          <w:szCs w:val="20"/>
          <w:vertAlign w:val="superscript"/>
        </w:rPr>
        <w:fldChar w:fldCharType="end"/>
      </w:r>
      <w:bookmarkEnd w:id="17"/>
      <w:r>
        <w:rPr>
          <w:sz w:val="20"/>
          <w:szCs w:val="20"/>
          <w:vertAlign w:val="superscript"/>
        </w:rPr>
        <w:t xml:space="preserve"> </w:t>
      </w:r>
      <w:r>
        <w:t>‘[F]</w:t>
      </w:r>
      <w:proofErr w:type="spellStart"/>
      <w:r>
        <w:t>ollowing</w:t>
      </w:r>
      <w:proofErr w:type="spellEnd"/>
      <w:r>
        <w:t xml:space="preserve"> a fire in a luxury high rise hotel that killed nine firefighters,’ </w:t>
      </w:r>
      <w:proofErr w:type="spellStart"/>
      <w:r>
        <w:rPr>
          <w:u w:val="single"/>
        </w:rPr>
        <w:t>MacLaurin</w:t>
      </w:r>
      <w:proofErr w:type="spellEnd"/>
      <w:r>
        <w:t xml:space="preserve"> v. </w:t>
      </w:r>
      <w:r>
        <w:rPr>
          <w:u w:val="single"/>
        </w:rPr>
        <w:t>Holyoke</w:t>
      </w:r>
      <w:r>
        <w:t xml:space="preserve">, 475 Mass. 231, 245 n.33 (2016), "automatic sprinklers were first required in 1972, in new high rise buildings throughout the Commonwealth, for buildings built after March 1, 1974. See G. L. c. 148, § 26A; St. 1973, c. 395, § 1." </w:t>
      </w:r>
      <w:r>
        <w:rPr>
          <w:u w:val="single"/>
        </w:rPr>
        <w:t>Id</w:t>
      </w:r>
      <w:r>
        <w:t xml:space="preserve">. at 245. "In 1982, following a deadly fire in Fall River, the commercial sprinkler provision, applicable to new nonresidential buildings of more than 7,500 square feet, and existing such buildings when they underwent 'major alterations,' was adopted." </w:t>
      </w:r>
      <w:r>
        <w:rPr>
          <w:u w:val="single"/>
        </w:rPr>
        <w:t>Id</w:t>
      </w:r>
      <w:r>
        <w:t>., discussing G. L. c. 148, § 26G, inserted by St. 1982, c. 545, § 1. "[I]</w:t>
      </w:r>
      <w:proofErr w:type="gramStart"/>
      <w:r>
        <w:t>n 1986</w:t>
      </w:r>
      <w:proofErr w:type="gramEnd"/>
      <w:r>
        <w:t xml:space="preserve">, after a major fire in the Prudential Center in Boston, sprinklers were required in existing, and not just new, </w:t>
      </w:r>
      <w:proofErr w:type="gramStart"/>
      <w:r>
        <w:t>high rise</w:t>
      </w:r>
      <w:proofErr w:type="gramEnd"/>
      <w:r>
        <w:t xml:space="preserve"> buildings across the Commonwealth, G. L. c. 148, § 26A 1/2, with a ten-year phase-in period. St. 1986, c. 633, § 2." (Footnote omitted.) </w:t>
      </w:r>
      <w:proofErr w:type="spellStart"/>
      <w:r>
        <w:rPr>
          <w:u w:val="single"/>
        </w:rPr>
        <w:t>MacLaurin</w:t>
      </w:r>
      <w:proofErr w:type="spellEnd"/>
      <w:r>
        <w:t xml:space="preserve">, </w:t>
      </w:r>
      <w:r>
        <w:rPr>
          <w:u w:val="single"/>
        </w:rPr>
        <w:t>supra</w:t>
      </w:r>
      <w:r>
        <w:t>. The sprinkler requirement for lodging houses at issue in this case was enacted within two years of the 1984 Elliot Chambers rooming house fire, a fire in Beverly in which fifteen people died and fourteen more were injured. See G. L. c. 148, § 26H, inserted by St. 1986, c. 265; Ortega, 1984 Beverly Fire Etched into Memory of Witnesses, Boston Globe (July 4, 2014), https://www.bostonglobe.com/metro/2014/07/03/three-decades-later-beverly-rooming-house-fire-that-killed-leaves-legacy-loss-and-reform/PljEbDRo6WmiAs5L84MRNP/story.html [https://perma.cc/VXQ7-R5NF].”</w:t>
      </w:r>
    </w:p>
    <w:p w14:paraId="31AE4E1C" w14:textId="77777777" w:rsidR="007D178F" w:rsidRDefault="007D178F" w:rsidP="007D178F">
      <w:pPr>
        <w:pStyle w:val="NoSpacing"/>
        <w:tabs>
          <w:tab w:val="left" w:pos="3200"/>
        </w:tabs>
        <w:rPr>
          <w:rFonts w:ascii="Times New Roman" w:hAnsi="Times New Roman"/>
          <w:sz w:val="24"/>
          <w:szCs w:val="24"/>
        </w:rPr>
      </w:pPr>
      <w:r>
        <w:rPr>
          <w:rFonts w:ascii="Times New Roman" w:hAnsi="Times New Roman"/>
          <w:sz w:val="24"/>
          <w:szCs w:val="24"/>
        </w:rPr>
        <w:t xml:space="preserve"> </w:t>
      </w:r>
    </w:p>
    <w:p w14:paraId="06F752CE" w14:textId="77777777" w:rsidR="007D178F" w:rsidRDefault="007D178F" w:rsidP="007D178F">
      <w:pPr>
        <w:pStyle w:val="NoSpacing"/>
        <w:rPr>
          <w:rFonts w:ascii="Times New Roman" w:hAnsi="Times New Roman"/>
          <w:sz w:val="24"/>
          <w:szCs w:val="24"/>
        </w:rPr>
      </w:pPr>
    </w:p>
    <w:p w14:paraId="0D237155" w14:textId="77777777" w:rsidR="007D178F" w:rsidRDefault="007D178F" w:rsidP="002B1283">
      <w:pPr>
        <w:rPr>
          <w:rFonts w:ascii="Arial Black" w:hAnsi="Arial Black"/>
          <w:b/>
          <w:sz w:val="24"/>
          <w:szCs w:val="24"/>
        </w:rPr>
      </w:pPr>
    </w:p>
    <w:p w14:paraId="318E0B3B" w14:textId="77777777" w:rsidR="007D178F" w:rsidRDefault="007D178F" w:rsidP="002B1283">
      <w:pPr>
        <w:rPr>
          <w:rFonts w:ascii="Arial Black" w:hAnsi="Arial Black"/>
          <w:b/>
          <w:sz w:val="24"/>
          <w:szCs w:val="24"/>
        </w:rPr>
      </w:pPr>
    </w:p>
    <w:p w14:paraId="3BB07011" w14:textId="09CB6DEA" w:rsidR="00DD03E3" w:rsidRDefault="00DD03E3"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7</w:t>
      </w:r>
    </w:p>
    <w:p w14:paraId="5CBC4D03" w14:textId="77777777" w:rsidR="00DD03E3" w:rsidRPr="000A4BA4" w:rsidRDefault="00DD03E3" w:rsidP="00DD03E3">
      <w:pPr>
        <w:spacing w:before="100" w:beforeAutospacing="1" w:after="100" w:afterAutospacing="1" w:line="240" w:lineRule="auto"/>
        <w:rPr>
          <w:rFonts w:ascii="Arial Black" w:eastAsia="Times New Roman" w:hAnsi="Arial Black"/>
          <w:b/>
          <w:bCs/>
          <w:sz w:val="28"/>
          <w:szCs w:val="28"/>
        </w:rPr>
      </w:pPr>
      <w:r w:rsidRPr="000A4BA4">
        <w:rPr>
          <w:rFonts w:ascii="Arial Black" w:eastAsia="Times New Roman" w:hAnsi="Arial Black"/>
          <w:b/>
          <w:bCs/>
          <w:sz w:val="28"/>
          <w:szCs w:val="28"/>
        </w:rPr>
        <w:t>CA:</w:t>
      </w:r>
      <w:r>
        <w:rPr>
          <w:rFonts w:ascii="Arial Black" w:eastAsia="Times New Roman" w:hAnsi="Arial Black"/>
          <w:b/>
          <w:bCs/>
          <w:sz w:val="28"/>
          <w:szCs w:val="28"/>
        </w:rPr>
        <w:t xml:space="preserve"> ARSON – EMPLOYEE FIRED COFFEE SHOP - SEARCH WARRANT UPHELD – U.S. SUP. CT’s “GOOD FAITH EXCEPTION” ALSO APPLIES</w:t>
      </w:r>
    </w:p>
    <w:p w14:paraId="3EE354FD" w14:textId="77777777" w:rsidR="00DD03E3" w:rsidRDefault="00DD03E3" w:rsidP="00DD03E3">
      <w:pPr>
        <w:spacing w:before="100" w:beforeAutospacing="1" w:after="100" w:afterAutospacing="1" w:line="240" w:lineRule="auto"/>
        <w:rPr>
          <w:rFonts w:ascii="Times New Roman" w:hAnsi="Times New Roman"/>
          <w:sz w:val="24"/>
          <w:szCs w:val="24"/>
        </w:rPr>
      </w:pPr>
      <w:r w:rsidRPr="000A4BA4">
        <w:rPr>
          <w:rFonts w:ascii="Times New Roman" w:hAnsi="Times New Roman"/>
          <w:sz w:val="24"/>
          <w:szCs w:val="24"/>
        </w:rPr>
        <w:t xml:space="preserve">On Oct. 13, 2020, in </w:t>
      </w:r>
      <w:r w:rsidRPr="000A4BA4">
        <w:rPr>
          <w:rFonts w:ascii="Times New Roman" w:hAnsi="Times New Roman"/>
          <w:sz w:val="24"/>
          <w:szCs w:val="24"/>
          <w:u w:val="single"/>
        </w:rPr>
        <w:t>The People v. Muhammad Khan</w:t>
      </w:r>
      <w:r w:rsidRPr="000A4BA4">
        <w:rPr>
          <w:rFonts w:ascii="Times New Roman" w:hAnsi="Times New Roman"/>
          <w:sz w:val="24"/>
          <w:szCs w:val="24"/>
        </w:rPr>
        <w:t xml:space="preserve">, </w:t>
      </w:r>
      <w:r>
        <w:rPr>
          <w:rFonts w:ascii="Times New Roman" w:hAnsi="Times New Roman"/>
          <w:sz w:val="24"/>
          <w:szCs w:val="24"/>
        </w:rPr>
        <w:t xml:space="preserve">the Court of Appeal of the State of California (Sixth Appellate District), held (3 to 0) unpublished decision, that the trial court judge had properly denied the defense motion to suppress evidence seized at defendant’s home.  Court also held that even if the search warrant was found to be technically deficient, the evidence was properly allowed into evidence based on  the U.S. Supreme Court’s “good faith exception” in United States v. Leon, 468 U.S. 89 (1984), </w:t>
      </w:r>
      <w:hyperlink r:id="rId306" w:history="1">
        <w:r w:rsidRPr="00457ADD">
          <w:rPr>
            <w:rStyle w:val="Hyperlink"/>
            <w:rFonts w:ascii="Times New Roman" w:hAnsi="Times New Roman"/>
            <w:sz w:val="24"/>
            <w:szCs w:val="24"/>
          </w:rPr>
          <w:t>https://supreme.justia.com/cases/federal/us/468/897/</w:t>
        </w:r>
      </w:hyperlink>
      <w:r>
        <w:rPr>
          <w:rFonts w:ascii="Times New Roman" w:hAnsi="Times New Roman"/>
          <w:sz w:val="24"/>
          <w:szCs w:val="24"/>
        </w:rPr>
        <w:t xml:space="preserve"> </w:t>
      </w:r>
    </w:p>
    <w:p w14:paraId="32405324" w14:textId="77777777" w:rsidR="00DD03E3"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0A4BA4">
        <w:rPr>
          <w:rFonts w:ascii="Times New Roman" w:hAnsi="Times New Roman"/>
          <w:sz w:val="24"/>
          <w:szCs w:val="24"/>
        </w:rPr>
        <w:t>Even if a close question, we conclude that the issuing magistrate had a substantial basis for concluding that probable cause existed for issuance of the search warrant, i.e., there was a fair probability that evidence of the crime would be found in defendant's home.</w:t>
      </w:r>
      <w:r>
        <w:rPr>
          <w:rFonts w:ascii="Times New Roman" w:hAnsi="Times New Roman"/>
          <w:sz w:val="24"/>
          <w:szCs w:val="24"/>
        </w:rPr>
        <w:t xml:space="preserve"> </w:t>
      </w:r>
      <w:r w:rsidRPr="00F02ED3">
        <w:rPr>
          <w:rFonts w:ascii="Times New Roman" w:eastAsia="Times New Roman" w:hAnsi="Times New Roman"/>
          <w:sz w:val="24"/>
          <w:szCs w:val="24"/>
        </w:rPr>
        <w:t xml:space="preserve">In </w:t>
      </w:r>
      <w:r w:rsidRPr="00F02ED3">
        <w:rPr>
          <w:rFonts w:ascii="Times New Roman" w:eastAsia="Times New Roman" w:hAnsi="Times New Roman"/>
          <w:i/>
          <w:iCs/>
          <w:sz w:val="24"/>
          <w:szCs w:val="24"/>
        </w:rPr>
        <w:t>Leon</w:t>
      </w:r>
      <w:r w:rsidRPr="00F02ED3">
        <w:rPr>
          <w:rFonts w:ascii="Times New Roman" w:eastAsia="Times New Roman" w:hAnsi="Times New Roman"/>
          <w:sz w:val="24"/>
          <w:szCs w:val="24"/>
        </w:rPr>
        <w:t xml:space="preserve">, the United States Supreme Court recognized a good faith exception to the exclusionary rule where police conduct a search in </w:t>
      </w:r>
      <w:r>
        <w:rPr>
          <w:rFonts w:ascii="Times New Roman" w:eastAsia="Times New Roman" w:hAnsi="Times New Roman"/>
          <w:sz w:val="24"/>
          <w:szCs w:val="24"/>
        </w:rPr>
        <w:t>‘</w:t>
      </w:r>
      <w:r w:rsidRPr="00F02ED3">
        <w:rPr>
          <w:rFonts w:ascii="Times New Roman" w:eastAsia="Times New Roman" w:hAnsi="Times New Roman"/>
          <w:sz w:val="24"/>
          <w:szCs w:val="24"/>
        </w:rPr>
        <w:t>objectively reasonable reliance</w:t>
      </w:r>
      <w:r>
        <w:rPr>
          <w:rFonts w:ascii="Times New Roman" w:eastAsia="Times New Roman" w:hAnsi="Times New Roman"/>
          <w:sz w:val="24"/>
          <w:szCs w:val="24"/>
        </w:rPr>
        <w:t>’</w:t>
      </w:r>
      <w:r w:rsidRPr="00F02ED3">
        <w:rPr>
          <w:rFonts w:ascii="Times New Roman" w:eastAsia="Times New Roman" w:hAnsi="Times New Roman"/>
          <w:sz w:val="24"/>
          <w:szCs w:val="24"/>
        </w:rPr>
        <w:t xml:space="preserve"> on a warrant later held invalid. (</w:t>
      </w:r>
      <w:r w:rsidRPr="00F02ED3">
        <w:rPr>
          <w:rFonts w:ascii="Times New Roman" w:eastAsia="Times New Roman" w:hAnsi="Times New Roman"/>
          <w:i/>
          <w:iCs/>
          <w:sz w:val="24"/>
          <w:szCs w:val="24"/>
        </w:rPr>
        <w:t>Leon</w:t>
      </w:r>
      <w:r w:rsidRPr="00F02ED3">
        <w:rPr>
          <w:rFonts w:ascii="Times New Roman" w:eastAsia="Times New Roman" w:hAnsi="Times New Roman"/>
          <w:sz w:val="24"/>
          <w:szCs w:val="24"/>
        </w:rPr>
        <w:t xml:space="preserve">, </w:t>
      </w:r>
      <w:r w:rsidRPr="00F02ED3">
        <w:rPr>
          <w:rFonts w:ascii="Times New Roman" w:eastAsia="Times New Roman" w:hAnsi="Times New Roman"/>
          <w:i/>
          <w:iCs/>
          <w:sz w:val="24"/>
          <w:szCs w:val="24"/>
        </w:rPr>
        <w:t>supra</w:t>
      </w:r>
      <w:r w:rsidRPr="00F02ED3">
        <w:rPr>
          <w:rFonts w:ascii="Times New Roman" w:eastAsia="Times New Roman" w:hAnsi="Times New Roman"/>
          <w:sz w:val="24"/>
          <w:szCs w:val="24"/>
        </w:rPr>
        <w:t xml:space="preserve">, 468 U.S. at p. 922; see </w:t>
      </w:r>
      <w:r w:rsidRPr="00F02ED3">
        <w:rPr>
          <w:rFonts w:ascii="Times New Roman" w:eastAsia="Times New Roman" w:hAnsi="Times New Roman"/>
          <w:i/>
          <w:iCs/>
          <w:sz w:val="24"/>
          <w:szCs w:val="24"/>
        </w:rPr>
        <w:t>id</w:t>
      </w:r>
      <w:r w:rsidRPr="00F02ED3">
        <w:rPr>
          <w:rFonts w:ascii="Times New Roman" w:eastAsia="Times New Roman" w:hAnsi="Times New Roman"/>
          <w:sz w:val="24"/>
          <w:szCs w:val="24"/>
        </w:rPr>
        <w:t xml:space="preserve">. </w:t>
      </w:r>
      <w:proofErr w:type="gramStart"/>
      <w:r w:rsidRPr="00F02ED3">
        <w:rPr>
          <w:rFonts w:ascii="Times New Roman" w:eastAsia="Times New Roman" w:hAnsi="Times New Roman"/>
          <w:sz w:val="24"/>
          <w:szCs w:val="24"/>
        </w:rPr>
        <w:t>at p.</w:t>
      </w:r>
      <w:proofErr w:type="gramEnd"/>
      <w:r w:rsidRPr="00F02ED3">
        <w:rPr>
          <w:rFonts w:ascii="Times New Roman" w:eastAsia="Times New Roman" w:hAnsi="Times New Roman"/>
          <w:sz w:val="24"/>
          <w:szCs w:val="24"/>
        </w:rPr>
        <w:t xml:space="preserve"> 924 [the good-faith exception turns on objective reasonableness].) The court </w:t>
      </w:r>
      <w:proofErr w:type="gramStart"/>
      <w:r w:rsidRPr="00F02ED3">
        <w:rPr>
          <w:rFonts w:ascii="Times New Roman" w:eastAsia="Times New Roman" w:hAnsi="Times New Roman"/>
          <w:sz w:val="24"/>
          <w:szCs w:val="24"/>
        </w:rPr>
        <w:t xml:space="preserve">explained: </w:t>
      </w:r>
      <w:r>
        <w:rPr>
          <w:rFonts w:ascii="Times New Roman" w:eastAsia="Times New Roman" w:hAnsi="Times New Roman"/>
          <w:sz w:val="24"/>
          <w:szCs w:val="24"/>
        </w:rPr>
        <w:t>‘</w:t>
      </w:r>
      <w:proofErr w:type="gramEnd"/>
      <w:r w:rsidRPr="00F02ED3">
        <w:rPr>
          <w:rFonts w:ascii="Times New Roman" w:eastAsia="Times New Roman" w:hAnsi="Times New Roman"/>
          <w:sz w:val="24"/>
          <w:szCs w:val="24"/>
        </w:rPr>
        <w:t>It is the magistrate's responsibility to determine whether the officer's allegations establish probable cause and, if so, to issue a warrant comporting in form with the requirements of the Fourth Amendment. In the ordinary case, an officer cannot be expected to question</w:t>
      </w:r>
      <w:r>
        <w:rPr>
          <w:rFonts w:ascii="Times New Roman" w:eastAsia="Times New Roman" w:hAnsi="Times New Roman"/>
          <w:sz w:val="24"/>
          <w:szCs w:val="24"/>
        </w:rPr>
        <w:t xml:space="preserve"> </w:t>
      </w:r>
      <w:r w:rsidRPr="00F02ED3">
        <w:rPr>
          <w:rFonts w:ascii="Times New Roman" w:eastAsia="Times New Roman" w:hAnsi="Times New Roman"/>
          <w:sz w:val="24"/>
          <w:szCs w:val="24"/>
        </w:rPr>
        <w:t xml:space="preserve">the magistrate's probable-cause determination or his judgment that the form of the </w:t>
      </w:r>
      <w:proofErr w:type="gramStart"/>
      <w:r w:rsidRPr="00F02ED3">
        <w:rPr>
          <w:rFonts w:ascii="Times New Roman" w:eastAsia="Times New Roman" w:hAnsi="Times New Roman"/>
          <w:sz w:val="24"/>
          <w:szCs w:val="24"/>
        </w:rPr>
        <w:t>warrant</w:t>
      </w:r>
      <w:proofErr w:type="gramEnd"/>
      <w:r w:rsidRPr="00F02ED3">
        <w:rPr>
          <w:rFonts w:ascii="Times New Roman" w:eastAsia="Times New Roman" w:hAnsi="Times New Roman"/>
          <w:sz w:val="24"/>
          <w:szCs w:val="24"/>
        </w:rPr>
        <w:t xml:space="preserve"> is technically sufficient.</w:t>
      </w:r>
      <w:r>
        <w:rPr>
          <w:rFonts w:ascii="Times New Roman" w:eastAsia="Times New Roman" w:hAnsi="Times New Roman"/>
          <w:sz w:val="24"/>
          <w:szCs w:val="24"/>
        </w:rPr>
        <w:t>’</w:t>
      </w:r>
      <w:r w:rsidRPr="00F02ED3">
        <w:rPr>
          <w:rFonts w:ascii="Times New Roman" w:eastAsia="Times New Roman" w:hAnsi="Times New Roman"/>
          <w:sz w:val="24"/>
          <w:szCs w:val="24"/>
        </w:rPr>
        <w:t xml:space="preserve"> (</w:t>
      </w:r>
      <w:r w:rsidRPr="00F02ED3">
        <w:rPr>
          <w:rFonts w:ascii="Times New Roman" w:eastAsia="Times New Roman" w:hAnsi="Times New Roman"/>
          <w:i/>
          <w:iCs/>
          <w:sz w:val="24"/>
          <w:szCs w:val="24"/>
        </w:rPr>
        <w:t>Id</w:t>
      </w:r>
      <w:r w:rsidRPr="00F02ED3">
        <w:rPr>
          <w:rFonts w:ascii="Times New Roman" w:eastAsia="Times New Roman" w:hAnsi="Times New Roman"/>
          <w:sz w:val="24"/>
          <w:szCs w:val="24"/>
        </w:rPr>
        <w:t>. at p. 921.)</w:t>
      </w:r>
      <w:r>
        <w:rPr>
          <w:rFonts w:ascii="Times New Roman" w:eastAsia="Times New Roman" w:hAnsi="Times New Roman"/>
          <w:sz w:val="24"/>
          <w:szCs w:val="24"/>
        </w:rPr>
        <w:t xml:space="preserve"> </w:t>
      </w:r>
    </w:p>
    <w:p w14:paraId="68C24EC3" w14:textId="77777777" w:rsidR="00DD03E3"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1548202"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[SEARCH WARRANT AFFIDAVIT] </w:t>
      </w:r>
    </w:p>
    <w:p w14:paraId="220C412C" w14:textId="77777777" w:rsidR="00DD03E3" w:rsidRPr="00F02ED3" w:rsidRDefault="00DD03E3" w:rsidP="00DD03E3">
      <w:pPr>
        <w:spacing w:before="100" w:beforeAutospacing="1" w:after="100" w:afterAutospacing="1" w:line="240" w:lineRule="auto"/>
        <w:ind w:left="720"/>
        <w:rPr>
          <w:rFonts w:ascii="Times New Roman" w:eastAsia="Times New Roman" w:hAnsi="Times New Roman"/>
          <w:sz w:val="24"/>
          <w:szCs w:val="24"/>
        </w:rPr>
      </w:pPr>
      <w:r w:rsidRPr="001E6223">
        <w:rPr>
          <w:rFonts w:ascii="Times New Roman" w:hAnsi="Times New Roman"/>
          <w:sz w:val="24"/>
          <w:szCs w:val="24"/>
        </w:rPr>
        <w:t xml:space="preserve">Based on his experience that people often keep receipts from recent purchases, Detective Bulatao stated his belief that receipts from purchases of </w:t>
      </w:r>
      <w:r>
        <w:rPr>
          <w:rFonts w:ascii="Times New Roman" w:hAnsi="Times New Roman"/>
          <w:sz w:val="24"/>
          <w:szCs w:val="24"/>
        </w:rPr>
        <w:t>‘</w:t>
      </w:r>
      <w:r w:rsidRPr="001E6223">
        <w:rPr>
          <w:rFonts w:ascii="Times New Roman" w:hAnsi="Times New Roman"/>
          <w:sz w:val="24"/>
          <w:szCs w:val="24"/>
        </w:rPr>
        <w:t>items pertaining to [the] investigation (i.e. gas purchases, towels, canisters)</w:t>
      </w:r>
      <w:r>
        <w:rPr>
          <w:rFonts w:ascii="Times New Roman" w:hAnsi="Times New Roman"/>
          <w:sz w:val="24"/>
          <w:szCs w:val="24"/>
        </w:rPr>
        <w:t>’</w:t>
      </w:r>
      <w:r w:rsidRPr="001E6223">
        <w:rPr>
          <w:rFonts w:ascii="Times New Roman" w:hAnsi="Times New Roman"/>
          <w:sz w:val="24"/>
          <w:szCs w:val="24"/>
        </w:rPr>
        <w:t xml:space="preserve"> would be found in defendant’s residence. He also stated, based on his training and experience, that he knew that fire accelerant is </w:t>
      </w:r>
      <w:r>
        <w:rPr>
          <w:rFonts w:ascii="Times New Roman" w:hAnsi="Times New Roman"/>
          <w:sz w:val="24"/>
          <w:szCs w:val="24"/>
        </w:rPr>
        <w:t>‘</w:t>
      </w:r>
      <w:r w:rsidRPr="001E6223">
        <w:rPr>
          <w:rFonts w:ascii="Times New Roman" w:hAnsi="Times New Roman"/>
          <w:sz w:val="24"/>
          <w:szCs w:val="24"/>
        </w:rPr>
        <w:t>contained in canisters or other containers,</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persons who use accelerants to soak rags, such as the blue towels in this case, may do so in the safety of their homes to avoid detection,</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those canisters or other containers of accelerant may be found if a search is conducted,</w:t>
      </w:r>
      <w:r>
        <w:rPr>
          <w:rFonts w:ascii="Times New Roman" w:hAnsi="Times New Roman"/>
          <w:sz w:val="24"/>
          <w:szCs w:val="24"/>
        </w:rPr>
        <w:t>’</w:t>
      </w:r>
      <w:r w:rsidRPr="001E6223">
        <w:rPr>
          <w:rFonts w:ascii="Times New Roman" w:hAnsi="Times New Roman"/>
          <w:sz w:val="24"/>
          <w:szCs w:val="24"/>
        </w:rPr>
        <w:t xml:space="preserve"> and that </w:t>
      </w:r>
      <w:r>
        <w:rPr>
          <w:rFonts w:ascii="Times New Roman" w:hAnsi="Times New Roman"/>
          <w:sz w:val="24"/>
          <w:szCs w:val="24"/>
        </w:rPr>
        <w:t>‘</w:t>
      </w:r>
      <w:r w:rsidRPr="001E6223">
        <w:rPr>
          <w:rFonts w:ascii="Times New Roman" w:hAnsi="Times New Roman"/>
          <w:sz w:val="24"/>
          <w:szCs w:val="24"/>
        </w:rPr>
        <w:t>when a specific item is used in a crime—in this case, blue towels cut into rags</w:t>
      </w:r>
      <w:r>
        <w:rPr>
          <w:rFonts w:ascii="Times New Roman" w:hAnsi="Times New Roman"/>
          <w:sz w:val="24"/>
          <w:szCs w:val="24"/>
        </w:rPr>
        <w:t>’</w:t>
      </w:r>
      <w:r w:rsidRPr="001E6223">
        <w:rPr>
          <w:rFonts w:ascii="Times New Roman" w:hAnsi="Times New Roman"/>
          <w:sz w:val="24"/>
          <w:szCs w:val="24"/>
        </w:rPr>
        <w:t>—</w:t>
      </w:r>
      <w:r>
        <w:rPr>
          <w:rFonts w:ascii="Times New Roman" w:hAnsi="Times New Roman"/>
          <w:sz w:val="24"/>
          <w:szCs w:val="24"/>
        </w:rPr>
        <w:t>'</w:t>
      </w:r>
      <w:r w:rsidRPr="001E6223">
        <w:rPr>
          <w:rFonts w:ascii="Times New Roman" w:hAnsi="Times New Roman"/>
          <w:sz w:val="24"/>
          <w:szCs w:val="24"/>
        </w:rPr>
        <w:t>often more of the same type of items will be found in a person’s home.</w:t>
      </w:r>
      <w:r>
        <w:rPr>
          <w:rFonts w:ascii="Times New Roman" w:hAnsi="Times New Roman"/>
          <w:sz w:val="24"/>
          <w:szCs w:val="24"/>
        </w:rPr>
        <w:t>’</w:t>
      </w:r>
      <w:r w:rsidRPr="001E6223">
        <w:rPr>
          <w:rFonts w:ascii="Times New Roman" w:hAnsi="Times New Roman"/>
          <w:sz w:val="24"/>
          <w:szCs w:val="24"/>
        </w:rPr>
        <w:t xml:space="preserve"> The detective believed that </w:t>
      </w:r>
      <w:r>
        <w:rPr>
          <w:rFonts w:ascii="Times New Roman" w:hAnsi="Times New Roman"/>
          <w:sz w:val="24"/>
          <w:szCs w:val="24"/>
        </w:rPr>
        <w:t>‘</w:t>
      </w:r>
      <w:r w:rsidRPr="001E6223">
        <w:rPr>
          <w:rFonts w:ascii="Times New Roman" w:hAnsi="Times New Roman"/>
          <w:sz w:val="24"/>
          <w:szCs w:val="24"/>
        </w:rPr>
        <w:t>a certified canine</w:t>
      </w:r>
      <w:r>
        <w:rPr>
          <w:rFonts w:ascii="Times New Roman" w:hAnsi="Times New Roman"/>
          <w:sz w:val="24"/>
          <w:szCs w:val="24"/>
        </w:rPr>
        <w:t>’</w:t>
      </w:r>
      <w:r w:rsidRPr="001E6223">
        <w:rPr>
          <w:rFonts w:ascii="Times New Roman" w:hAnsi="Times New Roman"/>
          <w:sz w:val="24"/>
          <w:szCs w:val="24"/>
        </w:rPr>
        <w:t xml:space="preserve"> would provide </w:t>
      </w:r>
      <w:r>
        <w:rPr>
          <w:rFonts w:ascii="Times New Roman" w:hAnsi="Times New Roman"/>
          <w:sz w:val="24"/>
          <w:szCs w:val="24"/>
        </w:rPr>
        <w:t>‘</w:t>
      </w:r>
      <w:r w:rsidRPr="001E6223">
        <w:rPr>
          <w:rFonts w:ascii="Times New Roman" w:hAnsi="Times New Roman"/>
          <w:sz w:val="24"/>
          <w:szCs w:val="24"/>
        </w:rPr>
        <w:t>great assistance in locating the presence of accelerant.</w:t>
      </w:r>
      <w:r>
        <w:rPr>
          <w:rFonts w:ascii="Times New Roman" w:hAnsi="Times New Roman"/>
          <w:sz w:val="24"/>
          <w:szCs w:val="24"/>
        </w:rPr>
        <w:t>’</w:t>
      </w:r>
      <w:r w:rsidRPr="001E6223">
        <w:rPr>
          <w:rFonts w:ascii="Times New Roman" w:hAnsi="Times New Roman"/>
          <w:sz w:val="24"/>
          <w:szCs w:val="24"/>
        </w:rPr>
        <w:t xml:space="preserve"> The detective also knew, based on his training and/or experience, that </w:t>
      </w:r>
      <w:r>
        <w:rPr>
          <w:rFonts w:ascii="Times New Roman" w:hAnsi="Times New Roman"/>
          <w:sz w:val="24"/>
          <w:szCs w:val="24"/>
        </w:rPr>
        <w:t>‘</w:t>
      </w:r>
      <w:r w:rsidRPr="001E6223">
        <w:rPr>
          <w:rFonts w:ascii="Times New Roman" w:hAnsi="Times New Roman"/>
          <w:sz w:val="24"/>
          <w:szCs w:val="24"/>
        </w:rPr>
        <w:t>liquids [such] as a fire accelerant can often spill onto a person’s clothes,</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dogs trained in accelerant detection can alert to the presence or non-presence of an accelerant,</w:t>
      </w:r>
      <w:r>
        <w:rPr>
          <w:rFonts w:ascii="Times New Roman" w:hAnsi="Times New Roman"/>
          <w:sz w:val="24"/>
          <w:szCs w:val="24"/>
        </w:rPr>
        <w:t>’</w:t>
      </w:r>
      <w:r w:rsidRPr="001E6223">
        <w:rPr>
          <w:rFonts w:ascii="Times New Roman" w:hAnsi="Times New Roman"/>
          <w:sz w:val="24"/>
          <w:szCs w:val="24"/>
        </w:rPr>
        <w:t xml:space="preserve"> and that </w:t>
      </w:r>
      <w:r>
        <w:rPr>
          <w:rFonts w:ascii="Times New Roman" w:hAnsi="Times New Roman"/>
          <w:sz w:val="24"/>
          <w:szCs w:val="24"/>
        </w:rPr>
        <w:t>‘</w:t>
      </w:r>
      <w:r w:rsidRPr="001E6223">
        <w:rPr>
          <w:rFonts w:ascii="Times New Roman" w:hAnsi="Times New Roman"/>
          <w:sz w:val="24"/>
          <w:szCs w:val="24"/>
        </w:rPr>
        <w:t>personal items of clothing will be found in a person’s residence.</w:t>
      </w:r>
      <w:r>
        <w:rPr>
          <w:rFonts w:ascii="Times New Roman" w:hAnsi="Times New Roman"/>
          <w:sz w:val="24"/>
          <w:szCs w:val="24"/>
        </w:rPr>
        <w:t>’”</w:t>
      </w:r>
      <w:hyperlink r:id="rId307" w:history="1">
        <w:r w:rsidRPr="00C93B62">
          <w:rPr>
            <w:rStyle w:val="Hyperlink"/>
            <w:rFonts w:ascii="Times New Roman" w:hAnsi="Times New Roman"/>
            <w:sz w:val="24"/>
            <w:szCs w:val="24"/>
          </w:rPr>
          <w:t>https://law.justia.com/cases/california/court-of-appeal/2019/h045524.html</w:t>
        </w:r>
      </w:hyperlink>
      <w:r>
        <w:rPr>
          <w:rFonts w:ascii="Times New Roman" w:hAnsi="Times New Roman"/>
          <w:sz w:val="24"/>
          <w:szCs w:val="24"/>
        </w:rPr>
        <w:t xml:space="preserve"> </w:t>
      </w:r>
    </w:p>
    <w:p w14:paraId="1FE00AC0" w14:textId="77777777" w:rsidR="00DD03E3" w:rsidRPr="007C664A" w:rsidRDefault="00DD03E3" w:rsidP="00DD03E3">
      <w:pPr>
        <w:spacing w:before="100" w:beforeAutospacing="1" w:after="100" w:afterAutospacing="1" w:line="240" w:lineRule="auto"/>
        <w:rPr>
          <w:rFonts w:ascii="Times New Roman" w:hAnsi="Times New Roman"/>
          <w:b/>
          <w:bCs/>
          <w:sz w:val="24"/>
          <w:szCs w:val="24"/>
        </w:rPr>
      </w:pPr>
      <w:r w:rsidRPr="007C664A">
        <w:rPr>
          <w:rFonts w:ascii="Times New Roman" w:hAnsi="Times New Roman"/>
          <w:b/>
          <w:bCs/>
          <w:sz w:val="24"/>
          <w:szCs w:val="24"/>
        </w:rPr>
        <w:t>Legal Lesson Learned:</w:t>
      </w:r>
      <w:r>
        <w:rPr>
          <w:rFonts w:ascii="Times New Roman" w:hAnsi="Times New Roman"/>
          <w:b/>
          <w:bCs/>
          <w:sz w:val="24"/>
          <w:szCs w:val="24"/>
        </w:rPr>
        <w:t xml:space="preserve"> U.S. Supreme Court’s “Good Faith Exception” helps ensure that evidence seized pursuant to a search warrant will be introduced in evidence at trial. </w:t>
      </w:r>
    </w:p>
    <w:p w14:paraId="65CBF67F" w14:textId="77777777" w:rsidR="00DD03E3" w:rsidRDefault="00DD03E3" w:rsidP="002B1283">
      <w:pPr>
        <w:rPr>
          <w:rFonts w:ascii="Arial Black" w:hAnsi="Arial Black"/>
          <w:b/>
          <w:sz w:val="24"/>
          <w:szCs w:val="24"/>
        </w:rPr>
      </w:pPr>
    </w:p>
    <w:p w14:paraId="668EC551" w14:textId="77777777" w:rsidR="00DD03E3" w:rsidRDefault="00DD03E3" w:rsidP="002B1283">
      <w:pPr>
        <w:rPr>
          <w:rFonts w:ascii="Arial Black" w:hAnsi="Arial Black"/>
          <w:b/>
          <w:sz w:val="24"/>
          <w:szCs w:val="24"/>
        </w:rPr>
      </w:pPr>
    </w:p>
    <w:p w14:paraId="7FC3CA93" w14:textId="3F1C7874" w:rsidR="00F824FE" w:rsidRDefault="00F824FE"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6</w:t>
      </w:r>
    </w:p>
    <w:p w14:paraId="680E34FF" w14:textId="77777777" w:rsidR="00F824FE" w:rsidRPr="00AA2E64" w:rsidRDefault="00F824FE" w:rsidP="00F824FE">
      <w:pPr>
        <w:rPr>
          <w:rFonts w:ascii="Arial Black" w:hAnsi="Arial Black"/>
          <w:sz w:val="28"/>
          <w:szCs w:val="28"/>
        </w:rPr>
      </w:pPr>
      <w:r w:rsidRPr="00AA2E64">
        <w:rPr>
          <w:rFonts w:ascii="Arial Black" w:hAnsi="Arial Black"/>
          <w:sz w:val="28"/>
          <w:szCs w:val="28"/>
        </w:rPr>
        <w:t xml:space="preserve">TN: </w:t>
      </w:r>
      <w:r>
        <w:rPr>
          <w:rFonts w:ascii="Arial Black" w:hAnsi="Arial Black"/>
          <w:sz w:val="28"/>
          <w:szCs w:val="28"/>
        </w:rPr>
        <w:t>FIRE MARSHAL – OPPOSED CANDIDATE FOR ALDERMAN – CITY PHONE, ON DUTY – NO FED. 1</w:t>
      </w:r>
      <w:r w:rsidRPr="00911830">
        <w:rPr>
          <w:rFonts w:ascii="Arial Black" w:hAnsi="Arial Black"/>
          <w:sz w:val="28"/>
          <w:szCs w:val="28"/>
          <w:vertAlign w:val="superscript"/>
        </w:rPr>
        <w:t>st</w:t>
      </w:r>
      <w:r>
        <w:rPr>
          <w:rFonts w:ascii="Arial Black" w:hAnsi="Arial Black"/>
          <w:sz w:val="28"/>
          <w:szCs w:val="28"/>
        </w:rPr>
        <w:t xml:space="preserve"> AMEND VIOL., LAWSUIT DISMISSED</w:t>
      </w:r>
    </w:p>
    <w:p w14:paraId="041401D1" w14:textId="77777777" w:rsidR="00F824FE" w:rsidRDefault="00F824FE" w:rsidP="00F824FE">
      <w:pPr>
        <w:pStyle w:val="NormalWeb"/>
      </w:pPr>
      <w:r>
        <w:t xml:space="preserve">On Sept. 17, 2020, in </w:t>
      </w:r>
      <w:r w:rsidRPr="00AA2E64">
        <w:rPr>
          <w:u w:val="single"/>
        </w:rPr>
        <w:t>Chris Spencer v. City of Henderson, et al</w:t>
      </w:r>
      <w:r>
        <w:t xml:space="preserve">., U.S. District Court Judge Aleta A. Trauger, U.S. District Court for the Middle District of Tennessee (Nashville Division) granted the defendants’ motion to dismiss; a political activist who lost (by 359 votes) an election to become a </w:t>
      </w:r>
      <w:proofErr w:type="gramStart"/>
      <w:r>
        <w:t>city</w:t>
      </w:r>
      <w:proofErr w:type="gramEnd"/>
      <w:r>
        <w:t xml:space="preserve"> Alderman.  He had campaigned for “small government – anti-corruption” and sued Fire Marshal Paul Varble and City alleging Varble used city phones while on duty to oppose his candidacy. </w:t>
      </w:r>
    </w:p>
    <w:p w14:paraId="0E9666FA" w14:textId="77777777" w:rsidR="00F824FE" w:rsidRDefault="00F824FE" w:rsidP="00F824FE">
      <w:pPr>
        <w:pStyle w:val="NormalWeb"/>
        <w:ind w:left="720"/>
      </w:pPr>
      <w:r>
        <w:t xml:space="preserve">“Even though Varble is alleged to have engaged in this conduct during City time and using City resources, the court cannot find that this behavior would deter a person of ordinary firmness from continuing to campaign on his own behalf and to attempt to spread his own political message. An adverse campaign is the price of running for political office. The fact that Varble may have violated state law or a city ordinance while campaigning against Spencer does not make the conduct so adverse as to give rise to a First Amendment retaliation claim.” </w:t>
      </w:r>
      <w:hyperlink r:id="rId308" w:history="1">
        <w:r w:rsidRPr="00374F49">
          <w:rPr>
            <w:rStyle w:val="Hyperlink"/>
          </w:rPr>
          <w:t>https://public.fastcase.com/Wl%2B2t%2BeVuI35%2FN70vAMFZg2BMAXQvmThuD9oRUd4r3OTVcwOC01J7TzGKhK5Lojo</w:t>
        </w:r>
      </w:hyperlink>
      <w:r>
        <w:t xml:space="preserve"> </w:t>
      </w:r>
    </w:p>
    <w:p w14:paraId="799AF6F7" w14:textId="77777777" w:rsidR="00F824FE" w:rsidRDefault="00F824FE" w:rsidP="00F824FE">
      <w:pPr>
        <w:tabs>
          <w:tab w:val="left" w:pos="3360"/>
        </w:tabs>
        <w:rPr>
          <w:rFonts w:ascii="Times New Roman" w:hAnsi="Times New Roman"/>
          <w:b/>
          <w:bCs/>
          <w:sz w:val="24"/>
          <w:szCs w:val="24"/>
        </w:rPr>
      </w:pPr>
      <w:r w:rsidRPr="00C53C46">
        <w:rPr>
          <w:rFonts w:ascii="Times New Roman" w:hAnsi="Times New Roman"/>
          <w:b/>
          <w:bCs/>
          <w:sz w:val="24"/>
          <w:szCs w:val="24"/>
        </w:rPr>
        <w:t>Legal Lessons Learned</w:t>
      </w:r>
      <w:r>
        <w:rPr>
          <w:rFonts w:ascii="Times New Roman" w:hAnsi="Times New Roman"/>
          <w:b/>
          <w:bCs/>
          <w:sz w:val="24"/>
          <w:szCs w:val="24"/>
        </w:rPr>
        <w:t xml:space="preserve">: Fire &amp; EMS departments should have a policy concerning political activity on duty, and use of FD computers, cell phones or other property concerning political candidates. </w:t>
      </w:r>
    </w:p>
    <w:p w14:paraId="4901642E" w14:textId="77777777" w:rsidR="00F824FE" w:rsidRPr="00EA5852" w:rsidRDefault="00F824FE" w:rsidP="00F824FE">
      <w:pPr>
        <w:ind w:left="720"/>
        <w:rPr>
          <w:rFonts w:ascii="Times New Roman" w:hAnsi="Times New Roman"/>
          <w:sz w:val="24"/>
          <w:szCs w:val="24"/>
        </w:rPr>
      </w:pPr>
      <w:r w:rsidRPr="008D7ABD">
        <w:rPr>
          <w:rFonts w:ascii="Times New Roman" w:hAnsi="Times New Roman"/>
          <w:sz w:val="24"/>
          <w:szCs w:val="24"/>
        </w:rPr>
        <w:t>Note:</w:t>
      </w:r>
      <w:r w:rsidRPr="00156CE2">
        <w:rPr>
          <w:rFonts w:ascii="Times New Roman" w:hAnsi="Times New Roman"/>
          <w:b/>
          <w:bCs/>
          <w:sz w:val="24"/>
          <w:szCs w:val="24"/>
        </w:rPr>
        <w:t xml:space="preserve"> </w:t>
      </w:r>
      <w:r w:rsidRPr="005E6FCA">
        <w:rPr>
          <w:rFonts w:ascii="Times New Roman" w:hAnsi="Times New Roman"/>
          <w:sz w:val="24"/>
          <w:szCs w:val="24"/>
        </w:rPr>
        <w:t xml:space="preserve">Hamilton County Ohio requires </w:t>
      </w:r>
      <w:r>
        <w:rPr>
          <w:rFonts w:ascii="Times New Roman" w:hAnsi="Times New Roman"/>
          <w:sz w:val="24"/>
          <w:szCs w:val="24"/>
        </w:rPr>
        <w:t xml:space="preserve">employee </w:t>
      </w:r>
      <w:r w:rsidRPr="005E6FCA">
        <w:rPr>
          <w:rFonts w:ascii="Times New Roman" w:hAnsi="Times New Roman"/>
          <w:sz w:val="24"/>
          <w:szCs w:val="24"/>
        </w:rPr>
        <w:t>annual refresher training – see their Manual</w:t>
      </w:r>
      <w:r>
        <w:rPr>
          <w:rFonts w:ascii="Times New Roman" w:hAnsi="Times New Roman"/>
          <w:b/>
          <w:bCs/>
          <w:sz w:val="24"/>
          <w:szCs w:val="24"/>
        </w:rPr>
        <w:t xml:space="preserve">, </w:t>
      </w:r>
      <w:r w:rsidRPr="005E6FCA">
        <w:rPr>
          <w:rFonts w:ascii="Times New Roman" w:hAnsi="Times New Roman"/>
          <w:sz w:val="24"/>
          <w:szCs w:val="24"/>
        </w:rPr>
        <w:t xml:space="preserve">“Ethics </w:t>
      </w:r>
      <w:proofErr w:type="gramStart"/>
      <w:r w:rsidRPr="005E6FCA">
        <w:rPr>
          <w:rFonts w:ascii="Times New Roman" w:hAnsi="Times New Roman"/>
          <w:sz w:val="24"/>
          <w:szCs w:val="24"/>
        </w:rPr>
        <w:t>In</w:t>
      </w:r>
      <w:proofErr w:type="gramEnd"/>
      <w:r w:rsidRPr="005E6FCA">
        <w:rPr>
          <w:rFonts w:ascii="Times New Roman" w:hAnsi="Times New Roman"/>
          <w:sz w:val="24"/>
          <w:szCs w:val="24"/>
        </w:rPr>
        <w:t xml:space="preserve"> Government Guide</w:t>
      </w:r>
      <w:r>
        <w:rPr>
          <w:rFonts w:ascii="Times New Roman" w:hAnsi="Times New Roman"/>
          <w:sz w:val="24"/>
          <w:szCs w:val="24"/>
        </w:rPr>
        <w:t xml:space="preserve"> </w:t>
      </w:r>
      <w:proofErr w:type="gramStart"/>
      <w:r>
        <w:rPr>
          <w:rFonts w:ascii="Times New Roman" w:hAnsi="Times New Roman"/>
          <w:sz w:val="24"/>
          <w:szCs w:val="24"/>
        </w:rPr>
        <w:t>For</w:t>
      </w:r>
      <w:proofErr w:type="gramEnd"/>
      <w:r>
        <w:rPr>
          <w:rFonts w:ascii="Times New Roman" w:hAnsi="Times New Roman"/>
          <w:sz w:val="24"/>
          <w:szCs w:val="24"/>
        </w:rPr>
        <w:t xml:space="preserve"> Employees</w:t>
      </w:r>
      <w:r w:rsidRPr="005E6FCA">
        <w:rPr>
          <w:rFonts w:ascii="Times New Roman" w:hAnsi="Times New Roman"/>
          <w:sz w:val="24"/>
          <w:szCs w:val="24"/>
        </w:rPr>
        <w:t>”</w:t>
      </w:r>
      <w:r>
        <w:rPr>
          <w:rFonts w:ascii="Times New Roman" w:hAnsi="Times New Roman"/>
          <w:b/>
          <w:bCs/>
          <w:sz w:val="24"/>
          <w:szCs w:val="24"/>
        </w:rPr>
        <w:t xml:space="preserve">: </w:t>
      </w:r>
      <w:hyperlink r:id="rId309" w:history="1">
        <w:r w:rsidRPr="00443DB2">
          <w:rPr>
            <w:rStyle w:val="Hyperlink"/>
            <w:rFonts w:ascii="Times New Roman" w:hAnsi="Times New Roman"/>
            <w:sz w:val="24"/>
            <w:szCs w:val="24"/>
          </w:rPr>
          <w:t>https://www.hamiltoncountyohio.gov/UserFiles/Servers/Server_3788196/File/Government/Departments/Human%20Resources/Ethics%20in%20Government/HamiltonCountyEthicsBooklet.pdf</w:t>
        </w:r>
      </w:hyperlink>
      <w:r>
        <w:rPr>
          <w:rFonts w:ascii="Times New Roman" w:hAnsi="Times New Roman"/>
          <w:sz w:val="24"/>
          <w:szCs w:val="24"/>
        </w:rPr>
        <w:t xml:space="preserve"> </w:t>
      </w:r>
    </w:p>
    <w:p w14:paraId="556D1BB1" w14:textId="77777777" w:rsidR="00F824FE" w:rsidRPr="00EA5852" w:rsidRDefault="00F824FE" w:rsidP="00F824FE">
      <w:pPr>
        <w:ind w:left="720"/>
        <w:rPr>
          <w:rFonts w:ascii="Times New Roman" w:hAnsi="Times New Roman"/>
          <w:sz w:val="24"/>
          <w:szCs w:val="24"/>
        </w:rPr>
      </w:pPr>
      <w:r w:rsidRPr="005E6FCA">
        <w:rPr>
          <w:rFonts w:ascii="Times New Roman" w:hAnsi="Times New Roman"/>
          <w:sz w:val="24"/>
          <w:szCs w:val="24"/>
        </w:rPr>
        <w:t>Ohio Revised Code 2921.43(C)(2): 2921.43 Soliciting or accepting improper compensation</w:t>
      </w:r>
      <w:r>
        <w:rPr>
          <w:rFonts w:ascii="Times New Roman" w:hAnsi="Times New Roman"/>
          <w:sz w:val="24"/>
          <w:szCs w:val="24"/>
        </w:rPr>
        <w:t xml:space="preserve">: </w:t>
      </w:r>
      <w:hyperlink r:id="rId310" w:history="1">
        <w:r w:rsidRPr="00443DB2">
          <w:rPr>
            <w:rStyle w:val="Hyperlink"/>
            <w:rFonts w:ascii="Times New Roman" w:hAnsi="Times New Roman"/>
            <w:sz w:val="24"/>
            <w:szCs w:val="24"/>
          </w:rPr>
          <w:t>http://codes.ohio.gov/orc/2921.43</w:t>
        </w:r>
      </w:hyperlink>
      <w:r>
        <w:rPr>
          <w:rFonts w:ascii="Times New Roman" w:hAnsi="Times New Roman"/>
          <w:sz w:val="24"/>
          <w:szCs w:val="24"/>
        </w:rPr>
        <w:t xml:space="preserve">  [</w:t>
      </w:r>
      <w:r w:rsidRPr="00EA5852">
        <w:rPr>
          <w:rFonts w:ascii="Times New Roman" w:hAnsi="Times New Roman"/>
          <w:sz w:val="24"/>
          <w:szCs w:val="24"/>
        </w:rPr>
        <w:t>Note: RC 2921.43(C)(2) applies to ALL employees, both classified and unclassified</w:t>
      </w:r>
      <w:r>
        <w:rPr>
          <w:rFonts w:ascii="Times New Roman" w:hAnsi="Times New Roman"/>
          <w:sz w:val="24"/>
          <w:szCs w:val="24"/>
        </w:rPr>
        <w:t xml:space="preserve">.] </w:t>
      </w:r>
    </w:p>
    <w:p w14:paraId="55CC2D1E"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(C) No person for the benefit of a political party, campaign committee, legislative campaign fund, political action committee, or political contributing entity shall coerce any contribution in consideration of either of the following: </w:t>
      </w:r>
    </w:p>
    <w:p w14:paraId="14EBAD3F"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(1) Appointing or securing, maintaining, or renewing the appointment of any person to any public office, employment, or agency; </w:t>
      </w:r>
    </w:p>
    <w:p w14:paraId="3061F918"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(2) Preferring, or maintaining the status of, any public employee with respect to compensation, duties, placement, location, promotion, or other material aspects of employment. </w:t>
      </w:r>
    </w:p>
    <w:p w14:paraId="399DD1D4" w14:textId="77777777" w:rsidR="00F824FE" w:rsidRPr="002D3CB4" w:rsidRDefault="00F824FE" w:rsidP="00F824FE">
      <w:pPr>
        <w:pStyle w:val="Heading2"/>
        <w:ind w:left="720"/>
        <w:rPr>
          <w:rFonts w:ascii="Times New Roman" w:hAnsi="Times New Roman"/>
          <w:b w:val="0"/>
          <w:bCs w:val="0"/>
          <w:i w:val="0"/>
          <w:iCs w:val="0"/>
          <w:sz w:val="24"/>
          <w:szCs w:val="24"/>
        </w:rPr>
      </w:pPr>
      <w:r w:rsidRPr="002D3CB4">
        <w:rPr>
          <w:rFonts w:ascii="Times New Roman" w:hAnsi="Times New Roman"/>
          <w:b w:val="0"/>
          <w:bCs w:val="0"/>
          <w:i w:val="0"/>
          <w:iCs w:val="0"/>
          <w:sz w:val="24"/>
          <w:szCs w:val="24"/>
        </w:rPr>
        <w:t xml:space="preserve">See also: 123:1-46-02 Political activity of employees in the classified service of the state. </w:t>
      </w:r>
      <w:hyperlink r:id="rId311" w:history="1">
        <w:r w:rsidRPr="002D3CB4">
          <w:rPr>
            <w:rStyle w:val="Hyperlink"/>
            <w:rFonts w:ascii="Times New Roman" w:hAnsi="Times New Roman"/>
            <w:b w:val="0"/>
            <w:bCs w:val="0"/>
            <w:i w:val="0"/>
            <w:iCs w:val="0"/>
            <w:sz w:val="24"/>
            <w:szCs w:val="24"/>
          </w:rPr>
          <w:t>http://codes.ohio.gov/oac/123:1-46-02</w:t>
        </w:r>
      </w:hyperlink>
      <w:r w:rsidRPr="002D3CB4">
        <w:rPr>
          <w:rFonts w:ascii="Times New Roman" w:hAnsi="Times New Roman"/>
          <w:b w:val="0"/>
          <w:bCs w:val="0"/>
          <w:i w:val="0"/>
          <w:iCs w:val="0"/>
          <w:sz w:val="24"/>
          <w:szCs w:val="24"/>
        </w:rPr>
        <w:t xml:space="preserve"> </w:t>
      </w:r>
    </w:p>
    <w:p w14:paraId="7687901F" w14:textId="77777777" w:rsidR="00F824FE" w:rsidRPr="008D7ABD" w:rsidRDefault="00F824FE" w:rsidP="00F824FE">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(C)</w:t>
      </w:r>
      <w:r w:rsidRPr="008D7ABD">
        <w:rPr>
          <w:rFonts w:ascii="Times New Roman" w:eastAsia="Times New Roman" w:hAnsi="Times New Roman"/>
          <w:sz w:val="24"/>
          <w:szCs w:val="24"/>
        </w:rPr>
        <w:t xml:space="preserve">(7) Campaigning by writing for publications, by distributing political material, or by writing or making speeches on behalf of a candidate for partisan elective office, when such activities are directed toward party success; </w:t>
      </w:r>
    </w:p>
    <w:p w14:paraId="49B0FADC" w14:textId="77777777" w:rsidR="00F824FE" w:rsidRDefault="00F824FE" w:rsidP="00F824FE">
      <w:pPr>
        <w:spacing w:before="100" w:beforeAutospacing="1" w:after="100" w:afterAutospacing="1" w:line="240" w:lineRule="auto"/>
        <w:ind w:left="1440"/>
        <w:rPr>
          <w:rFonts w:ascii="Times New Roman" w:eastAsia="Times New Roman" w:hAnsi="Times New Roman"/>
          <w:sz w:val="24"/>
          <w:szCs w:val="24"/>
        </w:rPr>
      </w:pPr>
      <w:r w:rsidRPr="008D7ABD">
        <w:rPr>
          <w:rFonts w:ascii="Times New Roman" w:eastAsia="Times New Roman" w:hAnsi="Times New Roman"/>
          <w:sz w:val="24"/>
          <w:szCs w:val="24"/>
        </w:rPr>
        <w:t>(8) Solicitation, either directly or indirectly, of any assessment, contribution or subscription, either monetary or in-kind, for any political party or political candidate</w:t>
      </w:r>
      <w:r>
        <w:rPr>
          <w:rFonts w:ascii="Times New Roman" w:eastAsia="Times New Roman" w:hAnsi="Times New Roman"/>
          <w:sz w:val="24"/>
          <w:szCs w:val="24"/>
        </w:rPr>
        <w:t>….</w:t>
      </w:r>
    </w:p>
    <w:p w14:paraId="25949EAB" w14:textId="77777777" w:rsidR="00F824FE" w:rsidRPr="00156CE2" w:rsidRDefault="00F824FE" w:rsidP="00F824FE">
      <w:pPr>
        <w:spacing w:before="100" w:beforeAutospacing="1" w:after="100" w:afterAutospacing="1" w:line="240" w:lineRule="auto"/>
        <w:ind w:left="1440"/>
        <w:rPr>
          <w:rFonts w:ascii="Times New Roman" w:hAnsi="Times New Roman"/>
          <w:sz w:val="24"/>
          <w:szCs w:val="24"/>
        </w:rPr>
      </w:pPr>
      <w:r w:rsidRPr="00156CE2">
        <w:rPr>
          <w:rFonts w:ascii="Times New Roman" w:hAnsi="Times New Roman"/>
          <w:sz w:val="24"/>
          <w:szCs w:val="24"/>
        </w:rPr>
        <w:t xml:space="preserve">(D) An employee in the classified service who engages in any of the activities listed in paragraphs (C)(1) to (C)(13) of this rule is subject to removal from his or her position in the classified </w:t>
      </w:r>
      <w:proofErr w:type="gramStart"/>
      <w:r w:rsidRPr="00156CE2">
        <w:rPr>
          <w:rFonts w:ascii="Times New Roman" w:hAnsi="Times New Roman"/>
          <w:sz w:val="24"/>
          <w:szCs w:val="24"/>
        </w:rPr>
        <w:t>service.</w:t>
      </w:r>
      <w:r>
        <w:rPr>
          <w:rFonts w:ascii="Times New Roman" w:hAnsi="Times New Roman"/>
          <w:sz w:val="24"/>
          <w:szCs w:val="24"/>
        </w:rPr>
        <w:t>”</w:t>
      </w:r>
      <w:proofErr w:type="gramEnd"/>
    </w:p>
    <w:p w14:paraId="602AE132" w14:textId="77777777" w:rsidR="00F824FE" w:rsidRDefault="00F824FE" w:rsidP="002B1283">
      <w:pPr>
        <w:rPr>
          <w:rFonts w:ascii="Arial Black" w:hAnsi="Arial Black"/>
          <w:b/>
          <w:sz w:val="24"/>
          <w:szCs w:val="24"/>
        </w:rPr>
      </w:pPr>
    </w:p>
    <w:p w14:paraId="3CEB6F3F" w14:textId="77777777" w:rsidR="00F824FE" w:rsidRDefault="00F824FE" w:rsidP="002B1283">
      <w:pPr>
        <w:rPr>
          <w:rFonts w:ascii="Arial Black" w:hAnsi="Arial Black"/>
          <w:b/>
          <w:sz w:val="24"/>
          <w:szCs w:val="24"/>
        </w:rPr>
      </w:pPr>
    </w:p>
    <w:p w14:paraId="629E6569" w14:textId="01A51BF9" w:rsidR="00C630E7" w:rsidRDefault="00C630E7"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5</w:t>
      </w:r>
    </w:p>
    <w:p w14:paraId="0CFFD3A6" w14:textId="77777777" w:rsidR="00C630E7" w:rsidRDefault="00C630E7" w:rsidP="00C630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GA: CONTROLLED BURN AT FORT STEWART – BURN LEFT PROPERTY, DAMAGED LOGGING EQUIPMENT – IMMUNITY</w:t>
      </w:r>
    </w:p>
    <w:p w14:paraId="4D673622" w14:textId="77777777" w:rsidR="00C630E7" w:rsidRDefault="00C630E7" w:rsidP="00C630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August 24, 2020, in </w:t>
      </w:r>
      <w:r>
        <w:rPr>
          <w:rFonts w:ascii="Times New Roman" w:eastAsia="Times New Roman" w:hAnsi="Times New Roman"/>
          <w:sz w:val="24"/>
          <w:szCs w:val="24"/>
          <w:u w:val="single"/>
        </w:rPr>
        <w:t xml:space="preserve">Foster Logging, Inc. and </w:t>
      </w:r>
      <w:r>
        <w:rPr>
          <w:rFonts w:ascii="Times New Roman" w:hAnsi="Times New Roman"/>
          <w:sz w:val="24"/>
          <w:szCs w:val="24"/>
          <w:u w:val="single"/>
        </w:rPr>
        <w:t xml:space="preserve">American Guarantee &amp; Liability Insurance Company </w:t>
      </w:r>
      <w:r>
        <w:rPr>
          <w:rFonts w:ascii="Times New Roman" w:eastAsia="Times New Roman" w:hAnsi="Times New Roman"/>
          <w:sz w:val="24"/>
          <w:szCs w:val="24"/>
          <w:u w:val="single"/>
        </w:rPr>
        <w:t>v. United States of America</w:t>
      </w:r>
      <w:r>
        <w:rPr>
          <w:rFonts w:ascii="Times New Roman" w:eastAsia="Times New Roman" w:hAnsi="Times New Roman"/>
          <w:sz w:val="24"/>
          <w:szCs w:val="24"/>
        </w:rPr>
        <w:t xml:space="preserve">, the U.S. Court of Appeals for the Eleventh Circuit (Atlanta, GA) held (2 to 1) that U.S. District Court judge properly granted the U.S. Government’s motion to dismiss based on the “discretionary function”  exception to liability under the Federal Tort Claims Act, since the U.S. Forestry Branch exercised discretion on how it conducted and monitored the controlled burn at Fort Stewart – Hunter Army Airfield. </w:t>
      </w:r>
    </w:p>
    <w:p w14:paraId="78C73316" w14:textId="0B94A45A" w:rsidR="00C630E7" w:rsidRDefault="00C630E7" w:rsidP="00C630E7">
      <w:pPr>
        <w:rPr>
          <w:rFonts w:ascii="Arial Black" w:hAnsi="Arial Black"/>
          <w:b/>
          <w:sz w:val="24"/>
          <w:szCs w:val="24"/>
        </w:rPr>
      </w:pPr>
      <w:r>
        <w:rPr>
          <w:rFonts w:ascii="Times New Roman" w:hAnsi="Times New Roman"/>
          <w:sz w:val="24"/>
          <w:szCs w:val="24"/>
        </w:rPr>
        <w:t>“We assume, as we must at this stage, that U.S. Forestry Branch officials were negligent in their observation, monitoring, and maintenance during the controlled burn itself as alleged in the complaint. But that alleged conduct—the steps and measures taken to safely execute a controlled burn—by its nature, involves an exercise of discretion and considerations of social, economic, political, and public policy. *** The government's decisions about how to monitor and maintain a controlled burn are shielded from judicial second-guessing by the discretionary-function exception to the FTCA.”</w:t>
      </w:r>
      <w:r>
        <w:t xml:space="preserve"> </w:t>
      </w:r>
      <w:hyperlink r:id="rId312" w:history="1">
        <w:r>
          <w:rPr>
            <w:rStyle w:val="Hyperlink"/>
            <w:sz w:val="24"/>
            <w:szCs w:val="24"/>
          </w:rPr>
          <w:t>https://law.justia.com/cases/federal/appellate-courts/ca11/18-15033/18-15033-2020-08-24.html</w:t>
        </w:r>
      </w:hyperlink>
    </w:p>
    <w:p w14:paraId="5F9176DD" w14:textId="77777777" w:rsidR="00C630E7" w:rsidRDefault="00C630E7" w:rsidP="00C630E7">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This case does raise the question of why someone wasn’t posted to make sure the “controlled burns” stayed on Ft. Stewart property. </w:t>
      </w:r>
    </w:p>
    <w:p w14:paraId="6DBAB68B" w14:textId="77777777" w:rsidR="00C630E7" w:rsidRDefault="00C630E7" w:rsidP="002B1283">
      <w:pPr>
        <w:rPr>
          <w:rFonts w:ascii="Arial Black" w:hAnsi="Arial Black"/>
          <w:b/>
          <w:sz w:val="24"/>
          <w:szCs w:val="24"/>
        </w:rPr>
      </w:pPr>
    </w:p>
    <w:p w14:paraId="24DEA73A" w14:textId="63228175" w:rsidR="00C630E7" w:rsidRDefault="00C630E7" w:rsidP="002B1283">
      <w:pPr>
        <w:rPr>
          <w:rFonts w:ascii="Arial Black" w:hAnsi="Arial Black"/>
          <w:b/>
          <w:sz w:val="24"/>
          <w:szCs w:val="24"/>
        </w:rPr>
      </w:pPr>
      <w:r>
        <w:rPr>
          <w:rFonts w:ascii="Arial Black" w:hAnsi="Arial Black"/>
          <w:b/>
          <w:sz w:val="24"/>
          <w:szCs w:val="24"/>
        </w:rPr>
        <w:t>1-64</w:t>
      </w:r>
    </w:p>
    <w:p w14:paraId="3E3DB57D" w14:textId="77777777" w:rsidR="00C630E7" w:rsidRDefault="00C630E7" w:rsidP="00C630E7">
      <w:pPr>
        <w:rPr>
          <w:rFonts w:asciiTheme="minorHAnsi" w:hAnsiTheme="minorHAnsi"/>
        </w:rPr>
      </w:pPr>
      <w:r>
        <w:rPr>
          <w:rFonts w:ascii="Arial Black" w:hAnsi="Arial Black"/>
          <w:sz w:val="28"/>
          <w:szCs w:val="28"/>
        </w:rPr>
        <w:t>CT: WAREHOUSE FIRE – 1500 BARRELS OILS – NO CODE INSPECTIONS 15 YRS, USED WATER NOT FOAM - IMMUNITY</w:t>
      </w:r>
    </w:p>
    <w:p w14:paraId="60684C5B" w14:textId="77777777" w:rsidR="00C630E7" w:rsidRDefault="00C630E7" w:rsidP="00C630E7">
      <w:pPr>
        <w:rPr>
          <w:rFonts w:ascii="Times New Roman" w:hAnsi="Times New Roman"/>
          <w:sz w:val="24"/>
          <w:szCs w:val="24"/>
        </w:rPr>
      </w:pPr>
      <w:r>
        <w:rPr>
          <w:rFonts w:ascii="Times New Roman" w:hAnsi="Times New Roman"/>
          <w:sz w:val="24"/>
          <w:szCs w:val="24"/>
        </w:rPr>
        <w:t xml:space="preserve">On Aug.18, 2020, in </w:t>
      </w:r>
      <w:r>
        <w:rPr>
          <w:rFonts w:ascii="Times New Roman" w:hAnsi="Times New Roman"/>
          <w:sz w:val="24"/>
          <w:szCs w:val="24"/>
          <w:u w:val="single"/>
        </w:rPr>
        <w:t>25 Grant Street, LLC v. City of Bridgeport, et al</w:t>
      </w:r>
      <w:r>
        <w:rPr>
          <w:rFonts w:ascii="Times New Roman" w:hAnsi="Times New Roman"/>
          <w:sz w:val="24"/>
          <w:szCs w:val="24"/>
        </w:rPr>
        <w:t xml:space="preserve">., the Court of Appeals of the State of Connecticut, held (3 to 0) held that the trial court properly granted summary judgment to the City, but on different grounds: that the </w:t>
      </w:r>
      <w:proofErr w:type="gramStart"/>
      <w:r>
        <w:rPr>
          <w:rFonts w:ascii="Times New Roman" w:hAnsi="Times New Roman"/>
          <w:sz w:val="24"/>
          <w:szCs w:val="24"/>
        </w:rPr>
        <w:t>June,</w:t>
      </w:r>
      <w:proofErr w:type="gramEnd"/>
      <w:r>
        <w:rPr>
          <w:rFonts w:ascii="Times New Roman" w:hAnsi="Times New Roman"/>
          <w:sz w:val="24"/>
          <w:szCs w:val="24"/>
        </w:rPr>
        <w:t xml:space="preserve"> 2018 complaint alleging city negligence in failing to find fire code violations was filed too late under statute of limitations.</w:t>
      </w:r>
    </w:p>
    <w:p w14:paraId="1C4637FF" w14:textId="77777777" w:rsidR="00C630E7" w:rsidRDefault="00C630E7" w:rsidP="00C630E7">
      <w:pPr>
        <w:ind w:left="720"/>
        <w:rPr>
          <w:rFonts w:ascii="Times New Roman" w:hAnsi="Times New Roman"/>
          <w:sz w:val="24"/>
          <w:szCs w:val="24"/>
        </w:rPr>
      </w:pPr>
      <w:r>
        <w:rPr>
          <w:rFonts w:ascii="Times New Roman" w:hAnsi="Times New Roman"/>
          <w:sz w:val="24"/>
          <w:szCs w:val="24"/>
        </w:rPr>
        <w:t xml:space="preserve">“In the present case, the plaintiff failed to provide the city with notice of its theory of liability concerning fire code violations in the warehouse in all iterations of the complaint preceding the proposed </w:t>
      </w:r>
      <w:proofErr w:type="gramStart"/>
      <w:r>
        <w:rPr>
          <w:rFonts w:ascii="Times New Roman" w:hAnsi="Times New Roman"/>
          <w:sz w:val="24"/>
          <w:szCs w:val="24"/>
        </w:rPr>
        <w:t>June,</w:t>
      </w:r>
      <w:proofErr w:type="gramEnd"/>
      <w:r>
        <w:rPr>
          <w:rFonts w:ascii="Times New Roman" w:hAnsi="Times New Roman"/>
          <w:sz w:val="24"/>
          <w:szCs w:val="24"/>
        </w:rPr>
        <w:t xml:space="preserve"> 2018 complaint. Thus, even if the plaintiff described this theory in its response to an interrogatory, this response alone is insufficient for it to relate back for purposes of compliance with the statute of limitations.” </w:t>
      </w:r>
      <w:hyperlink r:id="rId313" w:history="1">
        <w:r>
          <w:rPr>
            <w:rStyle w:val="Hyperlink"/>
            <w:sz w:val="24"/>
            <w:szCs w:val="24"/>
          </w:rPr>
          <w:t>https://casetext.com/case/25-grant-st-llc-v-city-of-bridgeport</w:t>
        </w:r>
      </w:hyperlink>
      <w:r>
        <w:rPr>
          <w:rFonts w:ascii="Times New Roman" w:hAnsi="Times New Roman"/>
          <w:sz w:val="24"/>
          <w:szCs w:val="24"/>
        </w:rPr>
        <w:t xml:space="preserve">  </w:t>
      </w:r>
    </w:p>
    <w:p w14:paraId="2F256AFB" w14:textId="77777777" w:rsidR="00C630E7" w:rsidRDefault="00C630E7" w:rsidP="00C630E7">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Lessons Learned: Government mental immunity prevailed, but alleged failure to inspect a large warehouse in 15 years raises serious questions about the City’s code enforcement practices.</w:t>
      </w:r>
    </w:p>
    <w:p w14:paraId="4985EBE9" w14:textId="77777777" w:rsidR="00C630E7" w:rsidRDefault="00C630E7" w:rsidP="00C630E7">
      <w:pPr>
        <w:pStyle w:val="NormalWeb"/>
        <w:ind w:left="720"/>
      </w:pPr>
      <w:r>
        <w:t xml:space="preserve">Note: See the Supreme Court of Connecticut’s Dec. 26, </w:t>
      </w:r>
      <w:proofErr w:type="gramStart"/>
      <w:r>
        <w:t>2017</w:t>
      </w:r>
      <w:proofErr w:type="gramEnd"/>
      <w:r>
        <w:t xml:space="preserve"> decision establishing municipal liability for failure to conduct inspections: Williams v. Housing Authority of Bridgeport, 327 Ct. 338, 174 A.3d 137 (2017): </w:t>
      </w:r>
      <w:hyperlink r:id="rId314" w:history="1">
        <w:r>
          <w:rPr>
            <w:rStyle w:val="Hyperlink"/>
            <w:rFonts w:eastAsiaTheme="majorEastAsia"/>
          </w:rPr>
          <w:t>https://www.leagle.com/decision/inctco20171226041</w:t>
        </w:r>
      </w:hyperlink>
      <w:r>
        <w:t xml:space="preserve"> </w:t>
      </w:r>
    </w:p>
    <w:p w14:paraId="31B8237C" w14:textId="77777777" w:rsidR="00C630E7" w:rsidRDefault="00C630E7" w:rsidP="00C630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“This certified appeal arises out of a tragic fire in which four residents of a Bridgeport public housing complex — Tiana N.A. Black and her three young children — lost their lives. </w:t>
      </w:r>
    </w:p>
    <w:p w14:paraId="00361DB9" w14:textId="77777777" w:rsidR="00C630E7" w:rsidRDefault="00C630E7" w:rsidP="00C630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71EF53C" w14:textId="77777777" w:rsidR="00C630E7" w:rsidRDefault="00C630E7" w:rsidP="00C630E7">
      <w:pPr>
        <w:pStyle w:val="NormalWeb"/>
        <w:ind w:left="720"/>
      </w:pPr>
      <w:r>
        <w:t xml:space="preserve">“The Appellate Court reversed [trial court’s summary judgment for the city], concluding that a jury reasonably could find that the conduct of the municipal defendants demonstrated ‘a reckless disregard for </w:t>
      </w:r>
    </w:p>
    <w:p w14:paraId="39B2CD06" w14:textId="77777777" w:rsidR="00C630E7" w:rsidRDefault="00C630E7" w:rsidP="00C630E7">
      <w:pPr>
        <w:pStyle w:val="NormalWeb"/>
        <w:ind w:left="720"/>
      </w:pPr>
    </w:p>
    <w:p w14:paraId="1B703952" w14:textId="77777777" w:rsidR="00C630E7" w:rsidRDefault="00C630E7" w:rsidP="00C630E7">
      <w:pPr>
        <w:pStyle w:val="NormalWeb"/>
        <w:ind w:left="720"/>
      </w:pPr>
      <w:r>
        <w:t>health or safety under all the relevant circumstances’ and, therefore, that they were potentially liable pursuant to § 52-557n (b) (8).”</w:t>
      </w:r>
    </w:p>
    <w:p w14:paraId="1181DE66" w14:textId="77777777" w:rsidR="00C630E7" w:rsidRDefault="00C630E7" w:rsidP="002B1283">
      <w:pPr>
        <w:rPr>
          <w:rFonts w:ascii="Arial Black" w:hAnsi="Arial Black"/>
          <w:b/>
          <w:sz w:val="24"/>
          <w:szCs w:val="24"/>
        </w:rPr>
      </w:pPr>
    </w:p>
    <w:p w14:paraId="0D1A512E" w14:textId="77777777" w:rsidR="00C630E7" w:rsidRDefault="00C630E7" w:rsidP="002B1283">
      <w:pPr>
        <w:rPr>
          <w:rFonts w:ascii="Arial Black" w:hAnsi="Arial Black"/>
          <w:b/>
          <w:sz w:val="24"/>
          <w:szCs w:val="24"/>
        </w:rPr>
      </w:pPr>
    </w:p>
    <w:p w14:paraId="3D4DF684" w14:textId="0CC217DE" w:rsidR="00C630E7" w:rsidRDefault="00C630E7" w:rsidP="002B1283">
      <w:pPr>
        <w:rPr>
          <w:rFonts w:ascii="Arial Black" w:hAnsi="Arial Black"/>
          <w:b/>
          <w:sz w:val="24"/>
          <w:szCs w:val="24"/>
        </w:rPr>
      </w:pPr>
      <w:r>
        <w:rPr>
          <w:rFonts w:ascii="Arial Black" w:hAnsi="Arial Black"/>
          <w:b/>
          <w:sz w:val="24"/>
          <w:szCs w:val="24"/>
        </w:rPr>
        <w:t>1-63</w:t>
      </w:r>
    </w:p>
    <w:p w14:paraId="1EE2AABF" w14:textId="77777777" w:rsidR="00C630E7" w:rsidRDefault="00C630E7" w:rsidP="00C630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RI: FIRE INVESTIGATIONS - ADJUSTERS, RESTORES CAN CONTACT OWNERS, BUT NOT VISIT SCENE 24 HRS</w:t>
      </w:r>
    </w:p>
    <w:p w14:paraId="78BD2A24" w14:textId="77777777" w:rsidR="00C630E7" w:rsidRDefault="00C630E7" w:rsidP="00C630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11, 2020, in </w:t>
      </w:r>
      <w:r>
        <w:rPr>
          <w:rFonts w:ascii="Times New Roman" w:eastAsia="Times New Roman" w:hAnsi="Times New Roman"/>
          <w:sz w:val="24"/>
          <w:szCs w:val="24"/>
          <w:u w:val="single"/>
        </w:rPr>
        <w:t>Ernest G. Pullano, PA, doing business as Pullano Public Adjusters, LLC, et al. v. Rhode Island Division of State Fire Marshal</w:t>
      </w:r>
      <w:r>
        <w:rPr>
          <w:rFonts w:ascii="Times New Roman" w:eastAsia="Times New Roman" w:hAnsi="Times New Roman"/>
          <w:sz w:val="24"/>
          <w:szCs w:val="24"/>
        </w:rPr>
        <w:t xml:space="preserve">, U.S. District Court Judge John J. McConnell, Jr.,  District of Rhode Island, granted the State’s motion to dismiss, based on the Judge’s narrow interpretation of the statute – does not prohibit e-mail or other off-premises contact with property owner.  </w:t>
      </w:r>
    </w:p>
    <w:p w14:paraId="0C068F3B" w14:textId="77777777" w:rsidR="00C630E7" w:rsidRDefault="00C630E7" w:rsidP="00C630E7">
      <w:pPr>
        <w:pStyle w:val="NormalWeb"/>
        <w:ind w:left="720"/>
      </w:pPr>
      <w:r>
        <w:t xml:space="preserve">“The Court is convinced that the second interpretation, using the ‘series-qualifier principle,’ is the correct interpretation and thus holds that R.I. Gen. Laws § 23-28.2-11 only prohibits solicitation </w:t>
      </w:r>
      <w:r>
        <w:rPr>
          <w:i/>
          <w:iCs/>
        </w:rPr>
        <w:t>on the premises</w:t>
      </w:r>
      <w:r>
        <w:t xml:space="preserve"> during an investigation. It does not prohibit other types of non-</w:t>
      </w:r>
      <w:proofErr w:type="gramStart"/>
      <w:r>
        <w:t>premises</w:t>
      </w:r>
      <w:proofErr w:type="gramEnd"/>
      <w:r>
        <w:t xml:space="preserve"> solicitations, like phone, email, or mail. And it does not prevent on-the-premise solicitations if the person is invited onto the property by the homeowner. This is the right interpretation because it offers the most logical reading of the plain language of the Statute, while following the State's interpretation of the Statute, and avoiding constitutional </w:t>
      </w:r>
      <w:proofErr w:type="gramStart"/>
      <w:r>
        <w:t>transgressions.”</w:t>
      </w:r>
      <w:proofErr w:type="gramEnd"/>
      <w:r>
        <w:t xml:space="preserve"> </w:t>
      </w:r>
      <w:hyperlink r:id="rId315" w:history="1">
        <w:r>
          <w:rPr>
            <w:rStyle w:val="Hyperlink"/>
            <w:rFonts w:eastAsiaTheme="majorEastAsia"/>
          </w:rPr>
          <w:t>https://public.fastcase.com/Wl%2B2t%2BeVuI35%2FN70vAMFZuQf%2BCvER%2BbrYG4WrLB4YIQfdBBmlMCsuqEI%2FSqG9cxo</w:t>
        </w:r>
      </w:hyperlink>
      <w:r>
        <w:t xml:space="preserve"> </w:t>
      </w:r>
    </w:p>
    <w:p w14:paraId="52AA44D6" w14:textId="77777777" w:rsidR="00C630E7" w:rsidRDefault="00C630E7" w:rsidP="00C630E7">
      <w:pPr>
        <w:pStyle w:val="NormalWeb"/>
        <w:rPr>
          <w:b/>
          <w:bCs/>
        </w:rPr>
      </w:pPr>
      <w:r>
        <w:rPr>
          <w:b/>
          <w:bCs/>
        </w:rPr>
        <w:t xml:space="preserve">Legal Lessons Learned:  The State may now either accept this interpretation of the </w:t>
      </w:r>
      <w:proofErr w:type="gramStart"/>
      <w:r>
        <w:rPr>
          <w:b/>
          <w:bCs/>
        </w:rPr>
        <w:t>statute, or</w:t>
      </w:r>
      <w:proofErr w:type="gramEnd"/>
      <w:r>
        <w:rPr>
          <w:b/>
          <w:bCs/>
        </w:rPr>
        <w:t xml:space="preserve"> seek to appeal the decision. </w:t>
      </w:r>
    </w:p>
    <w:p w14:paraId="691FAD5E" w14:textId="77777777" w:rsidR="00C630E7" w:rsidRDefault="00C630E7" w:rsidP="00C630E7">
      <w:pPr>
        <w:pStyle w:val="Heading1"/>
        <w:ind w:left="720"/>
        <w:rPr>
          <w:b w:val="0"/>
          <w:bCs w:val="0"/>
          <w:sz w:val="24"/>
          <w:szCs w:val="24"/>
        </w:rPr>
      </w:pPr>
      <w:r>
        <w:rPr>
          <w:b w:val="0"/>
          <w:bCs w:val="0"/>
          <w:sz w:val="24"/>
          <w:szCs w:val="24"/>
        </w:rPr>
        <w:t xml:space="preserve">Note: See Florida statutes on public adjusters – </w:t>
      </w:r>
      <w:proofErr w:type="gramStart"/>
      <w:r>
        <w:rPr>
          <w:b w:val="0"/>
          <w:bCs w:val="0"/>
          <w:sz w:val="24"/>
          <w:szCs w:val="24"/>
        </w:rPr>
        <w:t>48 hour</w:t>
      </w:r>
      <w:proofErr w:type="gramEnd"/>
      <w:r>
        <w:rPr>
          <w:b w:val="0"/>
          <w:bCs w:val="0"/>
          <w:sz w:val="24"/>
          <w:szCs w:val="24"/>
        </w:rPr>
        <w:t xml:space="preserve"> notice visit property: </w:t>
      </w:r>
      <w:hyperlink r:id="rId316" w:history="1">
        <w:r>
          <w:rPr>
            <w:rStyle w:val="Hyperlink"/>
            <w:rFonts w:eastAsiaTheme="majorEastAsia"/>
            <w:b w:val="0"/>
            <w:bCs w:val="0"/>
            <w:sz w:val="24"/>
            <w:szCs w:val="24"/>
          </w:rPr>
          <w:t>https://www.myfloridacfo.com/division/agents/Industry/News/PubAdjRegs.htm</w:t>
        </w:r>
      </w:hyperlink>
      <w:r>
        <w:rPr>
          <w:b w:val="0"/>
          <w:bCs w:val="0"/>
          <w:sz w:val="24"/>
          <w:szCs w:val="24"/>
        </w:rPr>
        <w:t xml:space="preserve"> </w:t>
      </w:r>
    </w:p>
    <w:p w14:paraId="7F4AD100" w14:textId="77777777" w:rsidR="00C630E7" w:rsidRDefault="00C630E7" w:rsidP="00C630E7">
      <w:pPr>
        <w:pStyle w:val="Heading1"/>
        <w:ind w:left="720"/>
        <w:rPr>
          <w:b w:val="0"/>
          <w:bCs w:val="0"/>
          <w:sz w:val="24"/>
          <w:szCs w:val="24"/>
        </w:rPr>
      </w:pPr>
      <w:r>
        <w:rPr>
          <w:b w:val="0"/>
          <w:bCs w:val="0"/>
          <w:sz w:val="24"/>
          <w:szCs w:val="24"/>
        </w:rPr>
        <w:t xml:space="preserve">“The law states that company adjusters, independent adjusters, attorneys, investigators, or others acting on behalf of the insurer must give the insured, claimant, public adjuster or legal representative of the insured at least 48 </w:t>
      </w:r>
      <w:proofErr w:type="spellStart"/>
      <w:r>
        <w:rPr>
          <w:b w:val="0"/>
          <w:bCs w:val="0"/>
          <w:sz w:val="24"/>
          <w:szCs w:val="24"/>
        </w:rPr>
        <w:t>hours notice</w:t>
      </w:r>
      <w:proofErr w:type="spellEnd"/>
      <w:r>
        <w:rPr>
          <w:b w:val="0"/>
          <w:bCs w:val="0"/>
          <w:sz w:val="24"/>
          <w:szCs w:val="24"/>
        </w:rPr>
        <w:t xml:space="preserve"> that they need access to the damaged property. The insured or claimant can waive this notice.”</w:t>
      </w:r>
    </w:p>
    <w:p w14:paraId="3E66E55B" w14:textId="77777777" w:rsidR="00C630E7" w:rsidRDefault="00C630E7" w:rsidP="002B1283">
      <w:pPr>
        <w:rPr>
          <w:rFonts w:ascii="Arial Black" w:hAnsi="Arial Black"/>
          <w:b/>
          <w:sz w:val="24"/>
          <w:szCs w:val="24"/>
        </w:rPr>
      </w:pPr>
    </w:p>
    <w:p w14:paraId="092A3BA3" w14:textId="77777777" w:rsidR="00C630E7" w:rsidRDefault="00C630E7" w:rsidP="002B1283">
      <w:pPr>
        <w:rPr>
          <w:rFonts w:ascii="Arial Black" w:hAnsi="Arial Black"/>
          <w:b/>
          <w:sz w:val="24"/>
          <w:szCs w:val="24"/>
        </w:rPr>
      </w:pPr>
    </w:p>
    <w:p w14:paraId="312ECA1F" w14:textId="72F70290" w:rsidR="00C630E7" w:rsidRDefault="00C630E7" w:rsidP="002B1283">
      <w:pPr>
        <w:rPr>
          <w:rFonts w:ascii="Arial Black" w:hAnsi="Arial Black"/>
          <w:b/>
          <w:sz w:val="24"/>
          <w:szCs w:val="24"/>
        </w:rPr>
      </w:pPr>
      <w:r>
        <w:rPr>
          <w:rFonts w:ascii="Arial Black" w:hAnsi="Arial Black"/>
          <w:b/>
          <w:sz w:val="24"/>
          <w:szCs w:val="24"/>
        </w:rPr>
        <w:t>1-62</w:t>
      </w:r>
    </w:p>
    <w:p w14:paraId="736DFB5A" w14:textId="77777777" w:rsidR="00C630E7" w:rsidRDefault="00C630E7" w:rsidP="00C630E7">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MD: PG COUNTY FIRE CHIEF – BATTALION CHIEFS TO OUTRANK VOLUNTEER CO. CHIEF - AUTHORIZED</w:t>
      </w:r>
    </w:p>
    <w:p w14:paraId="5D509AAA" w14:textId="77777777" w:rsidR="00C630E7" w:rsidRDefault="00C630E7" w:rsidP="00C630E7">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4, 2020, in Prince George’s Volunteer Fire </w:t>
      </w:r>
      <w:proofErr w:type="gramStart"/>
      <w:r>
        <w:rPr>
          <w:rFonts w:ascii="Times New Roman" w:hAnsi="Times New Roman"/>
          <w:sz w:val="24"/>
          <w:szCs w:val="24"/>
        </w:rPr>
        <w:t>And</w:t>
      </w:r>
      <w:proofErr w:type="gramEnd"/>
      <w:r>
        <w:rPr>
          <w:rFonts w:ascii="Times New Roman" w:hAnsi="Times New Roman"/>
          <w:sz w:val="24"/>
          <w:szCs w:val="24"/>
        </w:rPr>
        <w:t xml:space="preserve"> Rescue Association, Inc. v. Prince George’s County, Maryland, the Court of Special Appeals of Maryland, held (3 to 0; unreported decision) that the County Fire Chief had the authority in 2016 to issue revised General Order 01-03 that elevated the rank of County Battalion Chiefs, over that of Chiefs of volunteer fire companies.   </w:t>
      </w:r>
    </w:p>
    <w:p w14:paraId="784A460B" w14:textId="77777777" w:rsidR="00C630E7" w:rsidRDefault="00C630E7" w:rsidP="00C630E7">
      <w:pPr>
        <w:spacing w:after="100" w:line="240" w:lineRule="auto"/>
        <w:ind w:left="720"/>
        <w:rPr>
          <w:rFonts w:ascii="Times New Roman" w:eastAsia="Times New Roman" w:hAnsi="Times New Roman"/>
          <w:sz w:val="24"/>
          <w:szCs w:val="24"/>
        </w:rPr>
      </w:pPr>
      <w:r>
        <w:rPr>
          <w:rFonts w:ascii="Times New Roman" w:hAnsi="Times New Roman"/>
          <w:sz w:val="24"/>
          <w:szCs w:val="24"/>
        </w:rPr>
        <w:t xml:space="preserve">“Ultimately, PGCVFRA failed to sufficiently allege that it suffered irreparable injury through the Fire Chief's revision of General Order 01-03 and its amendment of the chain of command. As noted in our discussion on PGCVFRA's governmental </w:t>
      </w:r>
      <w:proofErr w:type="gramStart"/>
      <w:r>
        <w:rPr>
          <w:rFonts w:ascii="Times New Roman" w:hAnsi="Times New Roman"/>
          <w:sz w:val="24"/>
          <w:szCs w:val="24"/>
        </w:rPr>
        <w:t>takings</w:t>
      </w:r>
      <w:proofErr w:type="gramEnd"/>
      <w:r>
        <w:rPr>
          <w:rFonts w:ascii="Times New Roman" w:hAnsi="Times New Roman"/>
          <w:sz w:val="24"/>
          <w:szCs w:val="24"/>
        </w:rPr>
        <w:t xml:space="preserve"> claim, PGCVFRA failed to establish any sort of injury. Its claims regarding potential injury are hypothetical, speculative, and depend on future—uncertain—conduct that PGCVFRA alleges the County may undertake. The speculative nature of these complaints is apparent, and these ‘mere allegations’ are insufficient to ground PGCVFRA's claim for permanent injunctive relief.” </w:t>
      </w:r>
      <w:hyperlink r:id="rId317"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2465D741" w14:textId="77777777" w:rsidR="00C630E7" w:rsidRDefault="00C630E7" w:rsidP="00C630E7">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County Fire Chief has authority over firefighting and chain of command. </w:t>
      </w:r>
    </w:p>
    <w:p w14:paraId="76D5DBAF" w14:textId="77777777" w:rsidR="00C630E7" w:rsidRDefault="00C630E7" w:rsidP="00C630E7">
      <w:pPr>
        <w:spacing w:after="100" w:line="240" w:lineRule="auto"/>
        <w:ind w:left="720"/>
        <w:rPr>
          <w:rFonts w:ascii="Times New Roman" w:eastAsiaTheme="minorHAnsi" w:hAnsi="Times New Roman"/>
          <w:sz w:val="24"/>
          <w:szCs w:val="24"/>
        </w:rPr>
      </w:pPr>
      <w:r>
        <w:rPr>
          <w:rFonts w:ascii="Times New Roman" w:eastAsia="Times New Roman" w:hAnsi="Times New Roman"/>
          <w:sz w:val="24"/>
          <w:szCs w:val="24"/>
        </w:rPr>
        <w:t xml:space="preserve">Note:  </w:t>
      </w:r>
      <w:r>
        <w:rPr>
          <w:rFonts w:ascii="Times New Roman" w:hAnsi="Times New Roman"/>
          <w:sz w:val="24"/>
          <w:szCs w:val="24"/>
        </w:rPr>
        <w:t>Under revised General Order 01-03, the relevant portion of the chain of command reads as follows:</w:t>
      </w:r>
    </w:p>
    <w:p w14:paraId="0559C14A" w14:textId="77777777" w:rsidR="00C630E7" w:rsidRDefault="00C630E7" w:rsidP="00C630E7">
      <w:pPr>
        <w:ind w:left="1440"/>
        <w:rPr>
          <w:rFonts w:ascii="Times New Roman" w:hAnsi="Times New Roman"/>
          <w:sz w:val="24"/>
          <w:szCs w:val="24"/>
        </w:rPr>
      </w:pPr>
      <w:r>
        <w:rPr>
          <w:rFonts w:ascii="Times New Roman" w:hAnsi="Times New Roman"/>
          <w:sz w:val="24"/>
          <w:szCs w:val="24"/>
        </w:rPr>
        <w:t>1. County Fire Chief</w:t>
      </w:r>
      <w:r>
        <w:rPr>
          <w:rFonts w:ascii="Times New Roman" w:hAnsi="Times New Roman"/>
          <w:sz w:val="24"/>
          <w:szCs w:val="24"/>
        </w:rPr>
        <w:br/>
        <w:t>2. Chief Deputy</w:t>
      </w:r>
      <w:r>
        <w:rPr>
          <w:rFonts w:ascii="Times New Roman" w:hAnsi="Times New Roman"/>
          <w:sz w:val="24"/>
          <w:szCs w:val="24"/>
        </w:rPr>
        <w:br/>
        <w:t>3. Deputy Fire Chief</w:t>
      </w:r>
      <w:r>
        <w:rPr>
          <w:rFonts w:ascii="Times New Roman" w:hAnsi="Times New Roman"/>
          <w:sz w:val="24"/>
          <w:szCs w:val="24"/>
        </w:rPr>
        <w:br/>
        <w:t>4. Assistant Fire Chief, Career/Volunteer</w:t>
      </w:r>
      <w:r>
        <w:rPr>
          <w:rFonts w:ascii="Times New Roman" w:hAnsi="Times New Roman"/>
          <w:sz w:val="24"/>
          <w:szCs w:val="24"/>
        </w:rPr>
        <w:br/>
        <w:t>5. Battalion Chief, Career/Volunteer</w:t>
      </w:r>
      <w:r>
        <w:rPr>
          <w:rFonts w:ascii="Times New Roman" w:hAnsi="Times New Roman"/>
          <w:sz w:val="24"/>
          <w:szCs w:val="24"/>
        </w:rPr>
        <w:br/>
        <w:t xml:space="preserve">6. Volunteer Company Chief   </w:t>
      </w:r>
    </w:p>
    <w:p w14:paraId="5F58D8F9" w14:textId="77777777" w:rsidR="00C630E7" w:rsidRDefault="00C630E7" w:rsidP="00C630E7">
      <w:pPr>
        <w:ind w:left="720"/>
        <w:rPr>
          <w:rFonts w:ascii="Times New Roman" w:hAnsi="Times New Roman"/>
          <w:sz w:val="24"/>
          <w:szCs w:val="24"/>
        </w:rPr>
      </w:pPr>
      <w:r>
        <w:rPr>
          <w:rFonts w:ascii="Times New Roman" w:hAnsi="Times New Roman"/>
          <w:sz w:val="24"/>
          <w:szCs w:val="24"/>
        </w:rPr>
        <w:t xml:space="preserve">[Footnote 8 of the Court’s decision.] </w:t>
      </w:r>
      <w:hyperlink r:id="rId318"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6DEB3570" w14:textId="77777777" w:rsidR="00C630E7" w:rsidRDefault="00C630E7" w:rsidP="002B1283">
      <w:pPr>
        <w:rPr>
          <w:rFonts w:ascii="Arial Black" w:hAnsi="Arial Black"/>
          <w:b/>
          <w:sz w:val="24"/>
          <w:szCs w:val="24"/>
        </w:rPr>
      </w:pPr>
    </w:p>
    <w:p w14:paraId="65F3ED55" w14:textId="77777777" w:rsidR="00C630E7" w:rsidRDefault="00C630E7" w:rsidP="002B1283">
      <w:pPr>
        <w:rPr>
          <w:rFonts w:ascii="Arial Black" w:hAnsi="Arial Black"/>
          <w:b/>
          <w:sz w:val="24"/>
          <w:szCs w:val="24"/>
        </w:rPr>
      </w:pPr>
    </w:p>
    <w:p w14:paraId="16F88F35" w14:textId="6B0CD27D" w:rsidR="00A672EE" w:rsidRDefault="00A672EE" w:rsidP="002B1283">
      <w:pPr>
        <w:rPr>
          <w:rFonts w:ascii="Arial Black" w:hAnsi="Arial Black"/>
          <w:b/>
          <w:sz w:val="24"/>
          <w:szCs w:val="24"/>
        </w:rPr>
      </w:pPr>
      <w:r>
        <w:rPr>
          <w:rFonts w:ascii="Arial Black" w:hAnsi="Arial Black"/>
          <w:b/>
          <w:sz w:val="24"/>
          <w:szCs w:val="24"/>
        </w:rPr>
        <w:t>1-61</w:t>
      </w:r>
    </w:p>
    <w:p w14:paraId="6591CB4B" w14:textId="77777777" w:rsidR="00A672EE" w:rsidRDefault="00A672EE" w:rsidP="00A672EE">
      <w:pPr>
        <w:pStyle w:val="NoSpacing"/>
        <w:rPr>
          <w:rFonts w:ascii="Arial Black" w:hAnsi="Arial Black"/>
          <w:sz w:val="28"/>
          <w:szCs w:val="28"/>
        </w:rPr>
      </w:pPr>
      <w:r w:rsidRPr="007501C3">
        <w:rPr>
          <w:rFonts w:ascii="Arial Black" w:hAnsi="Arial Black"/>
          <w:sz w:val="28"/>
          <w:szCs w:val="28"/>
        </w:rPr>
        <w:t xml:space="preserve">NY: </w:t>
      </w:r>
      <w:r>
        <w:rPr>
          <w:rFonts w:ascii="Arial Black" w:hAnsi="Arial Black"/>
          <w:sz w:val="28"/>
          <w:szCs w:val="28"/>
        </w:rPr>
        <w:t>CA WOMAN SUPPORTS STRONG IMMIGATION – CAN SUE TV COMMENTATOR - FALSE TWEETS TO 1.24 MILLION</w:t>
      </w:r>
    </w:p>
    <w:p w14:paraId="2530EFF0" w14:textId="77777777" w:rsidR="00A672EE" w:rsidRDefault="00A672EE" w:rsidP="00A672EE">
      <w:pPr>
        <w:pStyle w:val="NoSpacing"/>
        <w:rPr>
          <w:rFonts w:ascii="Arial Black" w:hAnsi="Arial Black"/>
          <w:sz w:val="28"/>
          <w:szCs w:val="28"/>
        </w:rPr>
      </w:pPr>
      <w:r>
        <w:rPr>
          <w:rFonts w:ascii="Arial Black" w:hAnsi="Arial Black"/>
          <w:sz w:val="28"/>
          <w:szCs w:val="28"/>
        </w:rPr>
        <w:t xml:space="preserve"> </w:t>
      </w:r>
    </w:p>
    <w:p w14:paraId="61718F0B" w14:textId="77777777" w:rsidR="00A672EE" w:rsidRDefault="00A672EE" w:rsidP="00A672EE">
      <w:pPr>
        <w:pStyle w:val="NoSpacing"/>
        <w:rPr>
          <w:rFonts w:ascii="Times New Roman" w:hAnsi="Times New Roman"/>
          <w:sz w:val="24"/>
          <w:szCs w:val="24"/>
        </w:rPr>
      </w:pPr>
      <w:r w:rsidRPr="000C4CED">
        <w:rPr>
          <w:rFonts w:ascii="Times New Roman" w:hAnsi="Times New Roman"/>
          <w:sz w:val="24"/>
          <w:szCs w:val="24"/>
        </w:rPr>
        <w:t xml:space="preserve">On </w:t>
      </w:r>
      <w:r>
        <w:rPr>
          <w:rFonts w:ascii="Times New Roman" w:hAnsi="Times New Roman"/>
          <w:sz w:val="24"/>
          <w:szCs w:val="24"/>
        </w:rPr>
        <w:t xml:space="preserve">July 15, 2020, in </w:t>
      </w:r>
      <w:r w:rsidRPr="000C4CED">
        <w:rPr>
          <w:rFonts w:ascii="Times New Roman" w:hAnsi="Times New Roman"/>
          <w:sz w:val="24"/>
          <w:szCs w:val="24"/>
          <w:u w:val="single"/>
        </w:rPr>
        <w:t>Roslyn La Liberte v. Joy Reid</w:t>
      </w:r>
      <w:r>
        <w:rPr>
          <w:rFonts w:ascii="Times New Roman" w:hAnsi="Times New Roman"/>
          <w:sz w:val="24"/>
          <w:szCs w:val="24"/>
        </w:rPr>
        <w:t xml:space="preserve">, the U.S. Court of Appeals for Second Circuit (New York City) held that the defamation lawsuit will be reinstated; the defendant, Joy Reid, an MSNBC commentator, sent Tweet to 1.24 million followers, falsely alleging Ms. La Liberte threated 14-year-old Hispanic boy at a Simi Valley Council Meeting.  La Liberte received hate mail, including threats of mutilation and recommendations she </w:t>
      </w:r>
      <w:proofErr w:type="gramStart"/>
      <w:r>
        <w:rPr>
          <w:rFonts w:ascii="Times New Roman" w:hAnsi="Times New Roman"/>
          <w:sz w:val="24"/>
          <w:szCs w:val="24"/>
        </w:rPr>
        <w:t>commit</w:t>
      </w:r>
      <w:proofErr w:type="gramEnd"/>
      <w:r>
        <w:rPr>
          <w:rFonts w:ascii="Times New Roman" w:hAnsi="Times New Roman"/>
          <w:sz w:val="24"/>
          <w:szCs w:val="24"/>
        </w:rPr>
        <w:t xml:space="preserve"> suicide.  Court wrote: “</w:t>
      </w:r>
      <w:r w:rsidRPr="003E3B28">
        <w:rPr>
          <w:rFonts w:ascii="Times New Roman" w:hAnsi="Times New Roman"/>
          <w:sz w:val="24"/>
          <w:szCs w:val="24"/>
        </w:rPr>
        <w:t xml:space="preserve">In effect, Reid is arguing </w:t>
      </w:r>
      <w:r>
        <w:rPr>
          <w:rFonts w:ascii="Times New Roman" w:hAnsi="Times New Roman"/>
          <w:sz w:val="24"/>
          <w:szCs w:val="24"/>
        </w:rPr>
        <w:t xml:space="preserve">[in this Appeal] </w:t>
      </w:r>
      <w:r w:rsidRPr="003E3B28">
        <w:rPr>
          <w:rFonts w:ascii="Times New Roman" w:hAnsi="Times New Roman"/>
          <w:sz w:val="24"/>
          <w:szCs w:val="24"/>
        </w:rPr>
        <w:t>that a plaintiff can sue only the first defamer. If that were so, a post by an obscure social media user with few followers, blogging in the recesses of the internet, would allow everyone else to pile on without consequence. No one’s reputation would be worth a thing.</w:t>
      </w:r>
      <w:r>
        <w:rPr>
          <w:rFonts w:ascii="Times New Roman" w:hAnsi="Times New Roman"/>
          <w:sz w:val="24"/>
          <w:szCs w:val="24"/>
        </w:rPr>
        <w:t>”</w:t>
      </w:r>
    </w:p>
    <w:p w14:paraId="5C89966D" w14:textId="77777777" w:rsidR="00A672EE" w:rsidRDefault="00A672EE" w:rsidP="00A672EE">
      <w:pPr>
        <w:pStyle w:val="NoSpacing"/>
        <w:rPr>
          <w:rFonts w:ascii="Times New Roman" w:hAnsi="Times New Roman"/>
          <w:sz w:val="24"/>
          <w:szCs w:val="24"/>
        </w:rPr>
      </w:pPr>
      <w:hyperlink r:id="rId319" w:anchor="xml=https://www.ca2.uscourts.gov/decisions/isysquery/2a455a3a-04be-4845-88fb-6da61a7004cf/1/hilite/" w:history="1">
        <w:r w:rsidRPr="00C24307">
          <w:rPr>
            <w:rStyle w:val="Hyperlink"/>
            <w:rFonts w:ascii="Times New Roman" w:hAnsi="Times New Roman"/>
            <w:sz w:val="24"/>
            <w:szCs w:val="24"/>
          </w:rPr>
          <w:t>https://www.ca2.uscourts.gov/decisions/isysquery/2a455a3a-04be-4845-88fb-6da61a7004cf/1/doc/19-3574_opn.pdf#xml=https://www.ca2.uscourts.gov/decisions/isysquery/2a455a3a-04be-4845-88fb-6da61a7004cf/1/hilite/</w:t>
        </w:r>
      </w:hyperlink>
      <w:r>
        <w:rPr>
          <w:rFonts w:ascii="Times New Roman" w:hAnsi="Times New Roman"/>
          <w:sz w:val="24"/>
          <w:szCs w:val="24"/>
        </w:rPr>
        <w:t xml:space="preserve"> </w:t>
      </w:r>
    </w:p>
    <w:p w14:paraId="45017FD4" w14:textId="752A78F5" w:rsidR="00A672EE" w:rsidRDefault="00A672EE" w:rsidP="002B1283">
      <w:pPr>
        <w:rPr>
          <w:rFonts w:ascii="Arial Black" w:hAnsi="Arial Black"/>
          <w:b/>
          <w:sz w:val="24"/>
          <w:szCs w:val="24"/>
        </w:rPr>
      </w:pPr>
    </w:p>
    <w:p w14:paraId="3AC35E18" w14:textId="77777777" w:rsidR="006B2083" w:rsidRPr="00143120" w:rsidRDefault="006B2083" w:rsidP="006B2083">
      <w:pPr>
        <w:pStyle w:val="NoSpacing"/>
        <w:rPr>
          <w:rFonts w:ascii="Times New Roman" w:hAnsi="Times New Roman"/>
          <w:b/>
          <w:bCs/>
          <w:sz w:val="24"/>
          <w:szCs w:val="24"/>
        </w:rPr>
      </w:pPr>
      <w:r w:rsidRPr="00AE2F30">
        <w:rPr>
          <w:rFonts w:ascii="Times New Roman" w:hAnsi="Times New Roman"/>
          <w:b/>
          <w:bCs/>
        </w:rPr>
        <w:t xml:space="preserve">Legal Lessons Learned: </w:t>
      </w:r>
      <w:r>
        <w:rPr>
          <w:rFonts w:ascii="Times New Roman" w:hAnsi="Times New Roman"/>
          <w:b/>
          <w:bCs/>
        </w:rPr>
        <w:t xml:space="preserve"> Fortunately, the Court also held that plaintiff is not a “public official</w:t>
      </w:r>
      <w:proofErr w:type="gramStart"/>
      <w:r>
        <w:rPr>
          <w:rFonts w:ascii="Times New Roman" w:hAnsi="Times New Roman"/>
          <w:b/>
          <w:bCs/>
        </w:rPr>
        <w:t>”</w:t>
      </w:r>
      <w:proofErr w:type="gramEnd"/>
      <w:r>
        <w:rPr>
          <w:rFonts w:ascii="Times New Roman" w:hAnsi="Times New Roman"/>
          <w:b/>
          <w:bCs/>
        </w:rPr>
        <w:t xml:space="preserve"> and she does not need to prove defendant posted with actual “malice.” </w:t>
      </w:r>
    </w:p>
    <w:p w14:paraId="73FD8453" w14:textId="77777777" w:rsidR="006B2083" w:rsidRDefault="006B2083" w:rsidP="006B2083">
      <w:pPr>
        <w:pStyle w:val="NoSpacing"/>
        <w:rPr>
          <w:rFonts w:ascii="Times New Roman" w:hAnsi="Times New Roman"/>
          <w:b/>
          <w:bCs/>
        </w:rPr>
      </w:pPr>
    </w:p>
    <w:p w14:paraId="5FCA5A8A" w14:textId="77777777" w:rsidR="006B2083" w:rsidRDefault="006B2083" w:rsidP="006B2083">
      <w:pPr>
        <w:pStyle w:val="NoSpacing"/>
        <w:ind w:left="720"/>
        <w:rPr>
          <w:rFonts w:ascii="Times New Roman" w:hAnsi="Times New Roman"/>
          <w:sz w:val="24"/>
          <w:szCs w:val="24"/>
        </w:rPr>
      </w:pPr>
      <w:r w:rsidRPr="00AE2F30">
        <w:rPr>
          <w:rFonts w:ascii="Times New Roman" w:hAnsi="Times New Roman"/>
          <w:sz w:val="24"/>
          <w:szCs w:val="24"/>
        </w:rPr>
        <w:t xml:space="preserve">Note: </w:t>
      </w:r>
      <w:r>
        <w:rPr>
          <w:rFonts w:ascii="Times New Roman" w:hAnsi="Times New Roman"/>
          <w:sz w:val="24"/>
          <w:szCs w:val="24"/>
        </w:rPr>
        <w:t>The 2</w:t>
      </w:r>
      <w:r w:rsidRPr="00143120">
        <w:rPr>
          <w:rFonts w:ascii="Times New Roman" w:hAnsi="Times New Roman"/>
          <w:sz w:val="24"/>
          <w:szCs w:val="24"/>
          <w:vertAlign w:val="superscript"/>
        </w:rPr>
        <w:t>nd</w:t>
      </w:r>
      <w:r>
        <w:rPr>
          <w:rFonts w:ascii="Times New Roman" w:hAnsi="Times New Roman"/>
          <w:sz w:val="24"/>
          <w:szCs w:val="24"/>
        </w:rPr>
        <w:t xml:space="preserve"> Circuit held that Joy Reed was also not protected by California Anti-SLAPP statute, which helps protect news organizations, reporters, journalists, </w:t>
      </w:r>
      <w:proofErr w:type="gramStart"/>
      <w:r>
        <w:rPr>
          <w:rFonts w:ascii="Times New Roman" w:hAnsi="Times New Roman"/>
          <w:sz w:val="24"/>
          <w:szCs w:val="24"/>
        </w:rPr>
        <w:t>other</w:t>
      </w:r>
      <w:proofErr w:type="gramEnd"/>
      <w:r>
        <w:rPr>
          <w:rFonts w:ascii="Times New Roman" w:hAnsi="Times New Roman"/>
          <w:sz w:val="24"/>
          <w:szCs w:val="24"/>
        </w:rPr>
        <w:t xml:space="preserve"> from defamation lawsuits. </w:t>
      </w:r>
      <w:hyperlink r:id="rId320" w:history="1">
        <w:r w:rsidRPr="00AE2F30">
          <w:rPr>
            <w:rStyle w:val="Hyperlink"/>
            <w:rFonts w:ascii="Times New Roman" w:hAnsi="Times New Roman"/>
            <w:sz w:val="24"/>
            <w:szCs w:val="24"/>
          </w:rPr>
          <w:t>https://www.rcfp.org/resources/anti-slapp-laws/</w:t>
        </w:r>
      </w:hyperlink>
    </w:p>
    <w:p w14:paraId="710039AB" w14:textId="77777777" w:rsidR="006B2083" w:rsidRDefault="006B2083" w:rsidP="006B2083">
      <w:pPr>
        <w:pStyle w:val="NoSpacing"/>
        <w:ind w:left="720"/>
        <w:rPr>
          <w:rFonts w:ascii="Times New Roman" w:hAnsi="Times New Roman"/>
          <w:sz w:val="24"/>
          <w:szCs w:val="24"/>
        </w:rPr>
      </w:pPr>
      <w:r>
        <w:rPr>
          <w:rFonts w:ascii="Times New Roman" w:hAnsi="Times New Roman"/>
          <w:sz w:val="24"/>
          <w:szCs w:val="24"/>
        </w:rPr>
        <w:t>The 2</w:t>
      </w:r>
      <w:r w:rsidRPr="00143120">
        <w:rPr>
          <w:rFonts w:ascii="Times New Roman" w:hAnsi="Times New Roman"/>
          <w:sz w:val="24"/>
          <w:szCs w:val="24"/>
          <w:vertAlign w:val="superscript"/>
        </w:rPr>
        <w:t>nd</w:t>
      </w:r>
      <w:r>
        <w:rPr>
          <w:rFonts w:ascii="Times New Roman" w:hAnsi="Times New Roman"/>
          <w:sz w:val="24"/>
          <w:szCs w:val="24"/>
        </w:rPr>
        <w:t xml:space="preserve"> Circuit held: “</w:t>
      </w:r>
      <w:r w:rsidRPr="00AE2F30">
        <w:rPr>
          <w:rFonts w:ascii="Times New Roman" w:hAnsi="Times New Roman"/>
          <w:sz w:val="24"/>
          <w:szCs w:val="24"/>
        </w:rPr>
        <w:t xml:space="preserve">As a matter of first impression in this Circuit, we hold that California’s anti-SLAPP statute is inapplicable in federal court because it increases a plaintiff’s burden to overcome pretrial dismissal, and thus conflicts with Federal Rules of Civil Procedure 12 and 56.” </w:t>
      </w:r>
    </w:p>
    <w:p w14:paraId="30B157A6" w14:textId="77777777" w:rsidR="006B2083" w:rsidRDefault="006B2083" w:rsidP="006B2083">
      <w:pPr>
        <w:pStyle w:val="NoSpacing"/>
        <w:ind w:left="720"/>
        <w:rPr>
          <w:rFonts w:ascii="Times New Roman" w:hAnsi="Times New Roman"/>
          <w:sz w:val="24"/>
          <w:szCs w:val="24"/>
        </w:rPr>
      </w:pPr>
    </w:p>
    <w:p w14:paraId="796F37FA" w14:textId="1E7C3EF8" w:rsidR="006B2083" w:rsidRDefault="006B2083" w:rsidP="006B2083">
      <w:pPr>
        <w:rPr>
          <w:rFonts w:ascii="Arial Black" w:hAnsi="Arial Black"/>
          <w:b/>
          <w:sz w:val="24"/>
          <w:szCs w:val="24"/>
        </w:rPr>
      </w:pPr>
      <w:r>
        <w:rPr>
          <w:rFonts w:ascii="Times New Roman" w:hAnsi="Times New Roman"/>
          <w:sz w:val="24"/>
          <w:szCs w:val="24"/>
        </w:rPr>
        <w:t xml:space="preserve">Courts have held that </w:t>
      </w:r>
      <w:r w:rsidRPr="00143120">
        <w:rPr>
          <w:rFonts w:ascii="Times New Roman" w:hAnsi="Times New Roman"/>
          <w:sz w:val="24"/>
          <w:szCs w:val="24"/>
        </w:rPr>
        <w:t xml:space="preserve">Fire Chiefs </w:t>
      </w:r>
      <w:r>
        <w:rPr>
          <w:rFonts w:ascii="Times New Roman" w:hAnsi="Times New Roman"/>
          <w:sz w:val="24"/>
          <w:szCs w:val="24"/>
        </w:rPr>
        <w:t xml:space="preserve">are </w:t>
      </w:r>
      <w:r w:rsidRPr="00143120">
        <w:rPr>
          <w:rFonts w:ascii="Times New Roman" w:hAnsi="Times New Roman"/>
          <w:sz w:val="24"/>
          <w:szCs w:val="24"/>
        </w:rPr>
        <w:t xml:space="preserve">“public officials” and </w:t>
      </w:r>
      <w:r>
        <w:rPr>
          <w:rFonts w:ascii="Times New Roman" w:hAnsi="Times New Roman"/>
          <w:sz w:val="24"/>
          <w:szCs w:val="24"/>
        </w:rPr>
        <w:t xml:space="preserve">must prove actual malice in defamation lawsuits.  </w:t>
      </w:r>
      <w:hyperlink r:id="rId321" w:history="1">
        <w:r w:rsidRPr="00143120">
          <w:rPr>
            <w:rStyle w:val="Hyperlink"/>
            <w:rFonts w:ascii="Times New Roman" w:hAnsi="Times New Roman"/>
            <w:sz w:val="24"/>
            <w:szCs w:val="24"/>
          </w:rPr>
          <w:t>http://www.firelawblog.com/wp-content/uploads/sites/19/2011/02/becker_final_ruling1.pdf</w:t>
        </w:r>
      </w:hyperlink>
    </w:p>
    <w:p w14:paraId="407ED2CB" w14:textId="77777777" w:rsidR="00A672EE" w:rsidRDefault="00A672EE" w:rsidP="002B1283">
      <w:pPr>
        <w:rPr>
          <w:rFonts w:ascii="Arial Black" w:hAnsi="Arial Black"/>
          <w:b/>
          <w:sz w:val="24"/>
          <w:szCs w:val="24"/>
        </w:rPr>
      </w:pPr>
    </w:p>
    <w:p w14:paraId="08E6CB3F" w14:textId="589AAA29" w:rsidR="00A672EE" w:rsidRDefault="00A672EE" w:rsidP="002B1283">
      <w:pPr>
        <w:rPr>
          <w:rFonts w:ascii="Arial Black" w:hAnsi="Arial Black"/>
          <w:b/>
          <w:sz w:val="24"/>
          <w:szCs w:val="24"/>
        </w:rPr>
      </w:pPr>
      <w:r>
        <w:rPr>
          <w:rFonts w:ascii="Arial Black" w:hAnsi="Arial Black"/>
          <w:b/>
          <w:sz w:val="24"/>
          <w:szCs w:val="24"/>
        </w:rPr>
        <w:t>1-60</w:t>
      </w:r>
    </w:p>
    <w:p w14:paraId="2466E906" w14:textId="77777777" w:rsidR="00A672EE" w:rsidRPr="007F777C" w:rsidRDefault="00A672EE" w:rsidP="00A672EE">
      <w:pPr>
        <w:pStyle w:val="NoSpacing"/>
        <w:rPr>
          <w:rFonts w:ascii="Arial Black" w:hAnsi="Arial Black"/>
          <w:sz w:val="28"/>
          <w:szCs w:val="28"/>
        </w:rPr>
      </w:pPr>
      <w:bookmarkStart w:id="18" w:name="_Hlk69187086"/>
      <w:r w:rsidRPr="007F777C">
        <w:rPr>
          <w:rFonts w:ascii="Arial Black" w:hAnsi="Arial Black"/>
          <w:sz w:val="28"/>
          <w:szCs w:val="28"/>
        </w:rPr>
        <w:t>PA</w:t>
      </w:r>
      <w:r>
        <w:rPr>
          <w:rFonts w:ascii="Arial Black" w:hAnsi="Arial Black"/>
          <w:sz w:val="28"/>
          <w:szCs w:val="28"/>
        </w:rPr>
        <w:t>:  CHILD DIED NEIGHBOR’S SWIMMING POOL – INWARD GATES – CODE OFFICIAL WAS NOT EMPLOYEE – STILL HAS GOV’T IMMUNITY</w:t>
      </w:r>
    </w:p>
    <w:bookmarkEnd w:id="18"/>
    <w:p w14:paraId="1B0656DC" w14:textId="77777777" w:rsidR="00A672EE" w:rsidRDefault="00A672EE" w:rsidP="00A672EE">
      <w:pPr>
        <w:pStyle w:val="NoSpacing"/>
        <w:rPr>
          <w:rFonts w:ascii="Times New Roman" w:hAnsi="Times New Roman"/>
          <w:sz w:val="24"/>
          <w:szCs w:val="24"/>
        </w:rPr>
      </w:pPr>
    </w:p>
    <w:p w14:paraId="5D3EFAEE" w14:textId="77777777" w:rsidR="00A672EE" w:rsidRPr="0039329F" w:rsidRDefault="00A672EE" w:rsidP="00A672EE">
      <w:pPr>
        <w:pStyle w:val="NoSpacing"/>
        <w:rPr>
          <w:rFonts w:ascii="Times New Roman" w:hAnsi="Times New Roman"/>
          <w:sz w:val="24"/>
          <w:szCs w:val="24"/>
        </w:rPr>
      </w:pPr>
      <w:r>
        <w:rPr>
          <w:rFonts w:ascii="Times New Roman" w:hAnsi="Times New Roman"/>
          <w:sz w:val="24"/>
          <w:szCs w:val="24"/>
        </w:rPr>
        <w:t xml:space="preserve">On July 9, 2020, in </w:t>
      </w:r>
      <w:r w:rsidRPr="007F777C">
        <w:rPr>
          <w:rFonts w:ascii="Times New Roman" w:hAnsi="Times New Roman"/>
          <w:sz w:val="24"/>
          <w:szCs w:val="24"/>
          <w:u w:val="single"/>
        </w:rPr>
        <w:t>Anna Oakes</w:t>
      </w:r>
      <w:r>
        <w:rPr>
          <w:rFonts w:ascii="Times New Roman" w:hAnsi="Times New Roman"/>
          <w:sz w:val="24"/>
          <w:szCs w:val="24"/>
          <w:u w:val="single"/>
        </w:rPr>
        <w:t xml:space="preserve">, Administratrix of Estate of </w:t>
      </w:r>
      <w:proofErr w:type="spellStart"/>
      <w:r>
        <w:rPr>
          <w:rFonts w:ascii="Times New Roman" w:hAnsi="Times New Roman"/>
          <w:sz w:val="24"/>
          <w:szCs w:val="24"/>
          <w:u w:val="single"/>
        </w:rPr>
        <w:t>Pheylan</w:t>
      </w:r>
      <w:proofErr w:type="spellEnd"/>
      <w:r>
        <w:rPr>
          <w:rFonts w:ascii="Times New Roman" w:hAnsi="Times New Roman"/>
          <w:sz w:val="24"/>
          <w:szCs w:val="24"/>
          <w:u w:val="single"/>
        </w:rPr>
        <w:t xml:space="preserve"> Marine Cline </w:t>
      </w:r>
      <w:r w:rsidRPr="007F777C">
        <w:rPr>
          <w:rFonts w:ascii="Times New Roman" w:hAnsi="Times New Roman"/>
          <w:sz w:val="24"/>
          <w:szCs w:val="24"/>
          <w:u w:val="single"/>
        </w:rPr>
        <w:t xml:space="preserve"> v. Jeff Richardson and Richardson Inspection Services, LLC</w:t>
      </w:r>
      <w:r>
        <w:rPr>
          <w:rFonts w:ascii="Times New Roman" w:hAnsi="Times New Roman"/>
          <w:sz w:val="24"/>
          <w:szCs w:val="24"/>
        </w:rPr>
        <w:t xml:space="preserve">, the Commonwealth Court of Pennsylvania, held (3 to 0) in an unreported decision that the trial court properly granted summary judgment to the defendants, since Jeff Richardson enjoyed governmental immunity. The Court wrote: </w:t>
      </w:r>
      <w:r w:rsidRPr="0039329F">
        <w:rPr>
          <w:rFonts w:ascii="Times New Roman" w:hAnsi="Times New Roman"/>
          <w:sz w:val="24"/>
          <w:szCs w:val="24"/>
        </w:rPr>
        <w:t xml:space="preserve">For these reasons, we conclude that the trial court correctly determined that Richardson acted on behalf of the Township as an </w:t>
      </w:r>
      <w:r>
        <w:rPr>
          <w:rFonts w:ascii="Times New Roman" w:hAnsi="Times New Roman"/>
          <w:sz w:val="24"/>
          <w:szCs w:val="24"/>
        </w:rPr>
        <w:t>‘</w:t>
      </w:r>
      <w:r w:rsidRPr="0039329F">
        <w:rPr>
          <w:rFonts w:ascii="Times New Roman" w:hAnsi="Times New Roman"/>
          <w:sz w:val="24"/>
          <w:szCs w:val="24"/>
        </w:rPr>
        <w:t>employee</w:t>
      </w:r>
      <w:r>
        <w:rPr>
          <w:rFonts w:ascii="Times New Roman" w:hAnsi="Times New Roman"/>
          <w:sz w:val="24"/>
          <w:szCs w:val="24"/>
        </w:rPr>
        <w:t xml:space="preserve">’ </w:t>
      </w:r>
      <w:r w:rsidRPr="0039329F">
        <w:rPr>
          <w:rFonts w:ascii="Times New Roman" w:hAnsi="Times New Roman"/>
          <w:sz w:val="24"/>
          <w:szCs w:val="24"/>
        </w:rPr>
        <w:t>and</w:t>
      </w:r>
      <w:r>
        <w:rPr>
          <w:rFonts w:ascii="Times New Roman" w:hAnsi="Times New Roman"/>
          <w:sz w:val="24"/>
          <w:szCs w:val="24"/>
        </w:rPr>
        <w:t xml:space="preserve"> </w:t>
      </w:r>
      <w:r w:rsidRPr="0039329F">
        <w:rPr>
          <w:rFonts w:ascii="Times New Roman" w:hAnsi="Times New Roman"/>
          <w:sz w:val="24"/>
          <w:szCs w:val="24"/>
        </w:rPr>
        <w:t>as such</w:t>
      </w:r>
      <w:r>
        <w:rPr>
          <w:rFonts w:ascii="Times New Roman" w:hAnsi="Times New Roman"/>
          <w:sz w:val="24"/>
          <w:szCs w:val="24"/>
        </w:rPr>
        <w:t xml:space="preserve"> </w:t>
      </w:r>
      <w:r w:rsidRPr="0039329F">
        <w:rPr>
          <w:rFonts w:ascii="Times New Roman" w:hAnsi="Times New Roman"/>
          <w:sz w:val="24"/>
          <w:szCs w:val="24"/>
        </w:rPr>
        <w:t xml:space="preserve">is entitled to governmental immunity under the Tort Claims </w:t>
      </w:r>
      <w:proofErr w:type="gramStart"/>
      <w:r w:rsidRPr="0039329F">
        <w:rPr>
          <w:rFonts w:ascii="Times New Roman" w:hAnsi="Times New Roman"/>
          <w:sz w:val="24"/>
          <w:szCs w:val="24"/>
        </w:rPr>
        <w:t>Act.</w:t>
      </w:r>
      <w:r>
        <w:rPr>
          <w:rFonts w:ascii="Times New Roman" w:hAnsi="Times New Roman"/>
          <w:sz w:val="24"/>
          <w:szCs w:val="24"/>
        </w:rPr>
        <w:t>”</w:t>
      </w:r>
      <w:proofErr w:type="gramEnd"/>
      <w:r>
        <w:rPr>
          <w:rFonts w:ascii="Times New Roman" w:hAnsi="Times New Roman"/>
          <w:sz w:val="24"/>
          <w:szCs w:val="24"/>
        </w:rPr>
        <w:t xml:space="preserve"> </w:t>
      </w:r>
    </w:p>
    <w:bookmarkStart w:id="19" w:name="_Hlk69187129"/>
    <w:p w14:paraId="542D6177" w14:textId="77777777" w:rsidR="00A672EE" w:rsidRDefault="000F483A" w:rsidP="00A672EE">
      <w:pPr>
        <w:pStyle w:val="NoSpacing"/>
        <w:rPr>
          <w:rFonts w:ascii="Times New Roman" w:hAnsi="Times New Roman"/>
          <w:sz w:val="24"/>
          <w:szCs w:val="24"/>
        </w:rPr>
      </w:pPr>
      <w:r>
        <w:fldChar w:fldCharType="begin"/>
      </w:r>
      <w:r>
        <w:instrText xml:space="preserve"> HYPERLINK "http://www.pacourts.us/assets/opinions/Commonwealth/out/1368CD19_7-9-20.pdf?cb=1" </w:instrText>
      </w:r>
      <w:r>
        <w:fldChar w:fldCharType="separate"/>
      </w:r>
      <w:r w:rsidR="00A672EE" w:rsidRPr="000603D4">
        <w:rPr>
          <w:rStyle w:val="Hyperlink"/>
          <w:rFonts w:ascii="Times New Roman" w:hAnsi="Times New Roman"/>
          <w:sz w:val="24"/>
          <w:szCs w:val="24"/>
        </w:rPr>
        <w:t>http://www.pacourts.us/assets/opinions/Commonwealth/out/1368CD19_7-9-20.pdf?cb=1</w:t>
      </w:r>
      <w:r>
        <w:rPr>
          <w:rStyle w:val="Hyperlink"/>
          <w:rFonts w:ascii="Times New Roman" w:hAnsi="Times New Roman"/>
          <w:sz w:val="24"/>
          <w:szCs w:val="24"/>
        </w:rPr>
        <w:fldChar w:fldCharType="end"/>
      </w:r>
    </w:p>
    <w:bookmarkEnd w:id="19"/>
    <w:p w14:paraId="1CDADCEA" w14:textId="77777777" w:rsidR="006B2083" w:rsidRDefault="006B2083" w:rsidP="006B2083">
      <w:pPr>
        <w:pStyle w:val="NoSpacing"/>
        <w:rPr>
          <w:rFonts w:ascii="Times New Roman" w:hAnsi="Times New Roman"/>
          <w:b/>
          <w:bCs/>
          <w:sz w:val="24"/>
          <w:szCs w:val="24"/>
        </w:rPr>
      </w:pPr>
    </w:p>
    <w:p w14:paraId="72E697F3" w14:textId="6B89B468" w:rsidR="006B2083" w:rsidRPr="008C3F94" w:rsidRDefault="006B2083" w:rsidP="006B2083">
      <w:pPr>
        <w:pStyle w:val="NoSpacing"/>
        <w:rPr>
          <w:rFonts w:ascii="Times New Roman" w:hAnsi="Times New Roman"/>
          <w:b/>
          <w:bCs/>
          <w:sz w:val="24"/>
          <w:szCs w:val="24"/>
        </w:rPr>
      </w:pPr>
      <w:r w:rsidRPr="008C3F94">
        <w:rPr>
          <w:rFonts w:ascii="Times New Roman" w:hAnsi="Times New Roman"/>
          <w:b/>
          <w:bCs/>
          <w:sz w:val="24"/>
          <w:szCs w:val="24"/>
        </w:rPr>
        <w:t>Legal Lessons Learned:</w:t>
      </w:r>
      <w:r>
        <w:rPr>
          <w:rFonts w:ascii="Times New Roman" w:hAnsi="Times New Roman"/>
          <w:b/>
          <w:bCs/>
          <w:sz w:val="24"/>
          <w:szCs w:val="24"/>
        </w:rPr>
        <w:t xml:space="preserve"> Tragic death of </w:t>
      </w:r>
      <w:proofErr w:type="gramStart"/>
      <w:r>
        <w:rPr>
          <w:rFonts w:ascii="Times New Roman" w:hAnsi="Times New Roman"/>
          <w:b/>
          <w:bCs/>
          <w:sz w:val="24"/>
          <w:szCs w:val="24"/>
        </w:rPr>
        <w:t>20-month old</w:t>
      </w:r>
      <w:proofErr w:type="gramEnd"/>
      <w:r>
        <w:rPr>
          <w:rFonts w:ascii="Times New Roman" w:hAnsi="Times New Roman"/>
          <w:b/>
          <w:bCs/>
          <w:sz w:val="24"/>
          <w:szCs w:val="24"/>
        </w:rPr>
        <w:t>; what is the Code requirement in your community for gates protecting an above-ground swimming pool?</w:t>
      </w:r>
    </w:p>
    <w:p w14:paraId="4A7FD04D" w14:textId="77777777" w:rsidR="00A672EE" w:rsidRDefault="00A672EE" w:rsidP="002B1283">
      <w:pPr>
        <w:rPr>
          <w:rFonts w:ascii="Arial Black" w:hAnsi="Arial Black"/>
          <w:b/>
          <w:sz w:val="24"/>
          <w:szCs w:val="24"/>
        </w:rPr>
      </w:pPr>
    </w:p>
    <w:p w14:paraId="10E5C038" w14:textId="316E5E0B" w:rsidR="00A672EE" w:rsidRDefault="00A672EE" w:rsidP="002B1283">
      <w:pPr>
        <w:rPr>
          <w:rFonts w:ascii="Arial Black" w:hAnsi="Arial Black"/>
          <w:b/>
          <w:sz w:val="24"/>
          <w:szCs w:val="24"/>
        </w:rPr>
      </w:pPr>
      <w:r>
        <w:rPr>
          <w:rFonts w:ascii="Arial Black" w:hAnsi="Arial Black"/>
          <w:b/>
          <w:sz w:val="24"/>
          <w:szCs w:val="24"/>
        </w:rPr>
        <w:t>1-59</w:t>
      </w:r>
    </w:p>
    <w:p w14:paraId="0327F69E" w14:textId="77777777" w:rsidR="00A672EE" w:rsidRPr="007F708E" w:rsidRDefault="00A672EE" w:rsidP="00A672EE">
      <w:pPr>
        <w:pStyle w:val="NoSpacing"/>
        <w:rPr>
          <w:rFonts w:ascii="Arial Black" w:hAnsi="Arial Black"/>
          <w:sz w:val="28"/>
          <w:szCs w:val="28"/>
        </w:rPr>
      </w:pPr>
      <w:r w:rsidRPr="007F708E">
        <w:rPr>
          <w:rFonts w:ascii="Arial Black" w:hAnsi="Arial Black"/>
          <w:sz w:val="28"/>
          <w:szCs w:val="28"/>
        </w:rPr>
        <w:t>A</w:t>
      </w:r>
      <w:r>
        <w:rPr>
          <w:rFonts w:ascii="Arial Black" w:hAnsi="Arial Black"/>
          <w:sz w:val="28"/>
          <w:szCs w:val="28"/>
        </w:rPr>
        <w:t xml:space="preserve">R: ARSON OF APARTMENTS – FINANCIAL FRAUD INVEST –DEFENDANTS CAN’T DEPOSE TUCSON FD INSPECTOR </w:t>
      </w:r>
    </w:p>
    <w:p w14:paraId="2F2CB7D5" w14:textId="77777777" w:rsidR="00A672EE" w:rsidRDefault="00A672EE" w:rsidP="00A672EE">
      <w:pPr>
        <w:pStyle w:val="NoSpacing"/>
      </w:pPr>
    </w:p>
    <w:p w14:paraId="61953534" w14:textId="77777777" w:rsidR="00A672EE" w:rsidRDefault="00A672EE" w:rsidP="00A672EE">
      <w:pPr>
        <w:pStyle w:val="NoSpacing"/>
        <w:rPr>
          <w:rFonts w:ascii="Times New Roman" w:eastAsia="Times New Roman" w:hAnsi="Times New Roman"/>
          <w:sz w:val="24"/>
          <w:szCs w:val="24"/>
        </w:rPr>
      </w:pPr>
      <w:r w:rsidRPr="003747BE">
        <w:rPr>
          <w:rFonts w:ascii="Times New Roman" w:hAnsi="Times New Roman"/>
          <w:sz w:val="24"/>
          <w:szCs w:val="24"/>
        </w:rPr>
        <w:t xml:space="preserve">On </w:t>
      </w:r>
      <w:r>
        <w:rPr>
          <w:rFonts w:ascii="Times New Roman" w:hAnsi="Times New Roman"/>
          <w:sz w:val="24"/>
          <w:szCs w:val="24"/>
        </w:rPr>
        <w:t xml:space="preserve">June 30, 2020, in </w:t>
      </w:r>
      <w:r w:rsidRPr="003747BE">
        <w:rPr>
          <w:rFonts w:ascii="Times New Roman" w:hAnsi="Times New Roman"/>
          <w:sz w:val="24"/>
          <w:szCs w:val="24"/>
          <w:u w:val="single"/>
        </w:rPr>
        <w:t>Greg Moore &amp; Patricia Moore v. Sean Garland, et al</w:t>
      </w:r>
      <w:r>
        <w:rPr>
          <w:rFonts w:ascii="Times New Roman" w:hAnsi="Times New Roman"/>
          <w:sz w:val="24"/>
          <w:szCs w:val="24"/>
        </w:rPr>
        <w:t>., U.S. District Court Judge Rosemary Marquez, District of Arizona, upheld the decision of the U.S. Magistrate Judge that two defendants arrested and awaiting trial, cannot use a civil lawsuit under 42 USC 1983 to take the deposition of the Tucson FD arson investigator, even after they received his report, since there is an ongoing financial fraud investigation.  Likewise, they cannot subpoena police department records that had been provided to insurance company investigators, or PD documents shared with IRS investigators  The District Court Judge agreed with the U.S. Magistrate, and held: “</w:t>
      </w:r>
      <w:r w:rsidRPr="00E9284B">
        <w:rPr>
          <w:rFonts w:ascii="Times New Roman" w:eastAsia="Times New Roman" w:hAnsi="Times New Roman"/>
          <w:sz w:val="24"/>
          <w:szCs w:val="24"/>
        </w:rPr>
        <w:t xml:space="preserve">The </w:t>
      </w:r>
    </w:p>
    <w:p w14:paraId="34270008" w14:textId="77777777" w:rsidR="00A672EE" w:rsidRPr="00E9284B" w:rsidRDefault="00A672EE" w:rsidP="00A672EE">
      <w:pPr>
        <w:pStyle w:val="NoSpacing"/>
        <w:rPr>
          <w:rFonts w:ascii="Times New Roman" w:eastAsia="Times New Roman" w:hAnsi="Times New Roman"/>
          <w:sz w:val="24"/>
          <w:szCs w:val="24"/>
        </w:rPr>
      </w:pPr>
      <w:r>
        <w:rPr>
          <w:rFonts w:ascii="Times New Roman" w:eastAsia="Times New Roman" w:hAnsi="Times New Roman"/>
          <w:sz w:val="24"/>
          <w:szCs w:val="24"/>
        </w:rPr>
        <w:t xml:space="preserve">[Magistrate’s] </w:t>
      </w:r>
      <w:r w:rsidRPr="00E9284B">
        <w:rPr>
          <w:rFonts w:ascii="Times New Roman" w:eastAsia="Times New Roman" w:hAnsi="Times New Roman"/>
          <w:sz w:val="24"/>
          <w:szCs w:val="24"/>
        </w:rPr>
        <w:t xml:space="preserve">Order notes that the City previously disclosed to Plaintiffs TFD Inspector Loya's fifteen-page report on the </w:t>
      </w:r>
      <w:proofErr w:type="spellStart"/>
      <w:r w:rsidRPr="00E9284B">
        <w:rPr>
          <w:rFonts w:ascii="Times New Roman" w:eastAsia="Times New Roman" w:hAnsi="Times New Roman"/>
          <w:sz w:val="24"/>
          <w:szCs w:val="24"/>
        </w:rPr>
        <w:t>Forgeus</w:t>
      </w:r>
      <w:proofErr w:type="spellEnd"/>
      <w:r w:rsidRPr="00E9284B">
        <w:rPr>
          <w:rFonts w:ascii="Times New Roman" w:eastAsia="Times New Roman" w:hAnsi="Times New Roman"/>
          <w:sz w:val="24"/>
          <w:szCs w:val="24"/>
        </w:rPr>
        <w:t xml:space="preserve"> fire </w:t>
      </w:r>
      <w:r>
        <w:rPr>
          <w:rFonts w:ascii="Times New Roman" w:eastAsia="Times New Roman" w:hAnsi="Times New Roman"/>
          <w:sz w:val="24"/>
          <w:szCs w:val="24"/>
        </w:rPr>
        <w:t xml:space="preserve">… </w:t>
      </w:r>
      <w:r w:rsidRPr="00E9284B">
        <w:rPr>
          <w:rFonts w:ascii="Times New Roman" w:eastAsia="Times New Roman" w:hAnsi="Times New Roman"/>
          <w:sz w:val="24"/>
          <w:szCs w:val="24"/>
        </w:rPr>
        <w:t xml:space="preserve">and holds, contrary to Plaintiffs' arguments, that </w:t>
      </w:r>
      <w:r>
        <w:rPr>
          <w:rFonts w:ascii="Times New Roman" w:eastAsia="Times New Roman" w:hAnsi="Times New Roman"/>
          <w:sz w:val="24"/>
          <w:szCs w:val="24"/>
        </w:rPr>
        <w:t>‘</w:t>
      </w:r>
      <w:r w:rsidRPr="00E9284B">
        <w:rPr>
          <w:rFonts w:ascii="Times New Roman" w:eastAsia="Times New Roman" w:hAnsi="Times New Roman"/>
          <w:sz w:val="24"/>
          <w:szCs w:val="24"/>
        </w:rPr>
        <w:t>in the context of the law enforcement privilege, the 'release of a document only waives the privilege for the document or information specifically released, and not for related materials.</w:t>
      </w:r>
      <w:r>
        <w:rPr>
          <w:rFonts w:ascii="Times New Roman" w:eastAsia="Times New Roman" w:hAnsi="Times New Roman"/>
          <w:sz w:val="24"/>
          <w:szCs w:val="24"/>
        </w:rPr>
        <w:t>’”</w:t>
      </w:r>
      <w:r w:rsidRPr="00E9284B">
        <w:t xml:space="preserve"> </w:t>
      </w:r>
      <w:hyperlink r:id="rId322" w:history="1">
        <w:r w:rsidRPr="00DE6B93">
          <w:rPr>
            <w:rStyle w:val="Hyperlink"/>
            <w:rFonts w:ascii="Times New Roman" w:hAnsi="Times New Roman"/>
            <w:sz w:val="24"/>
            <w:szCs w:val="24"/>
          </w:rPr>
          <w:t>https://public.fastcase.com/Wl%2B2t%2BeVuI35%2FN70vAMFZsoxzsfdSpYQWUHzr4LGn9%2B%2B5efEeYPRxdC77jaiEbzw</w:t>
        </w:r>
      </w:hyperlink>
      <w:r>
        <w:rPr>
          <w:rFonts w:ascii="Times New Roman" w:eastAsia="Times New Roman" w:hAnsi="Times New Roman"/>
          <w:sz w:val="24"/>
          <w:szCs w:val="24"/>
        </w:rPr>
        <w:t xml:space="preserve"> </w:t>
      </w:r>
    </w:p>
    <w:p w14:paraId="4377A2B9" w14:textId="77777777" w:rsidR="006B2083" w:rsidRDefault="006B2083" w:rsidP="006B2083">
      <w:pPr>
        <w:pStyle w:val="NoSpacing"/>
        <w:rPr>
          <w:rFonts w:ascii="Times New Roman" w:hAnsi="Times New Roman"/>
          <w:b/>
          <w:bCs/>
          <w:sz w:val="24"/>
          <w:szCs w:val="24"/>
        </w:rPr>
      </w:pPr>
    </w:p>
    <w:p w14:paraId="74A04206" w14:textId="1498C2D8" w:rsidR="006B2083" w:rsidRDefault="006B2083" w:rsidP="006B2083">
      <w:pPr>
        <w:pStyle w:val="NoSpacing"/>
        <w:rPr>
          <w:rFonts w:ascii="Arial Black" w:eastAsia="Times New Roman" w:hAnsi="Arial Black"/>
          <w:sz w:val="28"/>
          <w:szCs w:val="28"/>
        </w:rPr>
      </w:pPr>
      <w:r w:rsidRPr="0043496E">
        <w:rPr>
          <w:rFonts w:ascii="Times New Roman" w:hAnsi="Times New Roman"/>
          <w:b/>
          <w:bCs/>
          <w:sz w:val="24"/>
          <w:szCs w:val="24"/>
        </w:rPr>
        <w:t>Legal Lesson Learned:</w:t>
      </w:r>
      <w:r>
        <w:rPr>
          <w:rFonts w:ascii="Times New Roman" w:hAnsi="Times New Roman"/>
          <w:b/>
          <w:bCs/>
          <w:sz w:val="24"/>
          <w:szCs w:val="24"/>
        </w:rPr>
        <w:t xml:space="preserve"> The “law enforcement investigatory privilege” prevents defendants awaiting trial to use a civil lawsuit to obtain ongoing investigation records.</w:t>
      </w:r>
    </w:p>
    <w:p w14:paraId="38E18840" w14:textId="77777777" w:rsidR="00A672EE" w:rsidRDefault="00A672EE" w:rsidP="002B1283">
      <w:pPr>
        <w:rPr>
          <w:rFonts w:ascii="Arial Black" w:hAnsi="Arial Black"/>
          <w:b/>
          <w:sz w:val="24"/>
          <w:szCs w:val="24"/>
        </w:rPr>
      </w:pPr>
    </w:p>
    <w:p w14:paraId="4232BBF3" w14:textId="590BE874" w:rsidR="0020758F" w:rsidRDefault="0020758F" w:rsidP="002B1283">
      <w:pPr>
        <w:rPr>
          <w:rFonts w:ascii="Arial Black" w:hAnsi="Arial Black"/>
          <w:b/>
          <w:sz w:val="24"/>
          <w:szCs w:val="24"/>
        </w:rPr>
      </w:pPr>
      <w:r>
        <w:rPr>
          <w:rFonts w:ascii="Arial Black" w:hAnsi="Arial Black"/>
          <w:b/>
          <w:sz w:val="24"/>
          <w:szCs w:val="24"/>
        </w:rPr>
        <w:t>1-58</w:t>
      </w:r>
    </w:p>
    <w:p w14:paraId="6187A136" w14:textId="77777777" w:rsidR="0020758F" w:rsidRDefault="0020758F" w:rsidP="0020758F">
      <w:pPr>
        <w:pStyle w:val="Heading1"/>
        <w:rPr>
          <w:rFonts w:ascii="Arial Black" w:hAnsi="Arial Black"/>
          <w:sz w:val="28"/>
          <w:szCs w:val="28"/>
        </w:rPr>
      </w:pPr>
      <w:r w:rsidRPr="00423A7B">
        <w:rPr>
          <w:rFonts w:ascii="Arial Black" w:hAnsi="Arial Black"/>
          <w:sz w:val="28"/>
          <w:szCs w:val="28"/>
        </w:rPr>
        <w:t xml:space="preserve">NY: </w:t>
      </w:r>
      <w:r>
        <w:rPr>
          <w:rFonts w:ascii="Arial Black" w:hAnsi="Arial Black"/>
          <w:sz w:val="28"/>
          <w:szCs w:val="28"/>
        </w:rPr>
        <w:t xml:space="preserve">QUALIFIED IMMUNITY – HOT TOPIC FOR CONGESS - NYPD USED TASER TWICE – $30,000 PUNITIVE DAMAGES </w:t>
      </w:r>
    </w:p>
    <w:p w14:paraId="2B4073C7" w14:textId="77777777" w:rsidR="0020758F" w:rsidRDefault="0020758F" w:rsidP="0020758F">
      <w:pPr>
        <w:pStyle w:val="Heading1"/>
        <w:rPr>
          <w:b w:val="0"/>
          <w:bCs w:val="0"/>
          <w:sz w:val="24"/>
          <w:szCs w:val="24"/>
        </w:rPr>
      </w:pPr>
      <w:r w:rsidRPr="0011766A">
        <w:rPr>
          <w:b w:val="0"/>
          <w:bCs w:val="0"/>
          <w:sz w:val="24"/>
          <w:szCs w:val="24"/>
        </w:rPr>
        <w:t xml:space="preserve">On June 26, 2020, in </w:t>
      </w:r>
      <w:r w:rsidRPr="0011766A">
        <w:rPr>
          <w:b w:val="0"/>
          <w:bCs w:val="0"/>
          <w:sz w:val="24"/>
          <w:szCs w:val="24"/>
          <w:u w:val="single"/>
        </w:rPr>
        <w:t>Matthew Jones v. Lieutenant Christopher Treubig</w:t>
      </w:r>
      <w:r>
        <w:rPr>
          <w:b w:val="0"/>
          <w:bCs w:val="0"/>
          <w:sz w:val="24"/>
          <w:szCs w:val="24"/>
        </w:rPr>
        <w:t xml:space="preserve">, the U.S. Court of Appeals for the Second Circuit [NYC], held 3 to 0, that the U. S. District Court improperly set aside the jury verdict since the Lieutenant’s conduct of using taser twice on a suspect held by other officers on the ground was a clear constitutional violation.  </w:t>
      </w:r>
      <w:r w:rsidRPr="008017E3">
        <w:rPr>
          <w:b w:val="0"/>
          <w:bCs w:val="0"/>
          <w:sz w:val="24"/>
          <w:szCs w:val="24"/>
        </w:rPr>
        <w:t>“In sum, upon a review of the relevant legal authority, we hold that it was clearly established as of April 2015 that a police officer cannot use significant force, such as a taser, against an individual who is no longer resisting or posing a threat to the officers or others.”</w:t>
      </w:r>
      <w:r>
        <w:rPr>
          <w:sz w:val="33"/>
          <w:szCs w:val="33"/>
        </w:rPr>
        <w:t xml:space="preserve"> </w:t>
      </w:r>
      <w:hyperlink r:id="rId323" w:anchor="xml=https://www.ca2.uscourts.gov/decisions/isysquery/93d429af-6bc3-4a16-b287-422f5179acac/1/hilite/" w:history="1">
        <w:r w:rsidRPr="00E3681F">
          <w:rPr>
            <w:rStyle w:val="Hyperlink"/>
            <w:sz w:val="24"/>
            <w:szCs w:val="24"/>
          </w:rPr>
          <w:t>https://www.ca2.uscourts.gov/decisions/isysquery/93d429af-6bc3-4a16-b287-422f5179acac/1/doc/18-3775_opn.pdf#xml=https://www.ca2.uscourts.gov/decisions/isysquery/93d429af-6bc3-4a16-b287-422f5179acac/1/hilite/</w:t>
        </w:r>
      </w:hyperlink>
      <w:r>
        <w:rPr>
          <w:b w:val="0"/>
          <w:bCs w:val="0"/>
          <w:sz w:val="24"/>
          <w:szCs w:val="24"/>
        </w:rPr>
        <w:t xml:space="preserve"> </w:t>
      </w:r>
    </w:p>
    <w:p w14:paraId="006CEC62" w14:textId="77777777" w:rsidR="0020758F" w:rsidRPr="008017E3" w:rsidRDefault="0020758F" w:rsidP="0020758F">
      <w:pPr>
        <w:pStyle w:val="NoSpacing"/>
        <w:rPr>
          <w:rFonts w:ascii="Times New Roman" w:hAnsi="Times New Roman"/>
          <w:b/>
          <w:bCs/>
          <w:sz w:val="24"/>
          <w:szCs w:val="24"/>
        </w:rPr>
      </w:pPr>
      <w:r w:rsidRPr="0039343F">
        <w:rPr>
          <w:rFonts w:ascii="Times New Roman" w:hAnsi="Times New Roman"/>
          <w:b/>
          <w:bCs/>
          <w:sz w:val="24"/>
          <w:szCs w:val="24"/>
        </w:rPr>
        <w:t>Legal Lessons Learned:</w:t>
      </w:r>
      <w:r w:rsidRPr="00601B27">
        <w:t xml:space="preserve"> </w:t>
      </w:r>
      <w:r>
        <w:t xml:space="preserve"> </w:t>
      </w:r>
      <w:r w:rsidRPr="0039343F">
        <w:rPr>
          <w:rFonts w:ascii="Times New Roman" w:hAnsi="Times New Roman"/>
          <w:b/>
          <w:bCs/>
          <w:sz w:val="24"/>
          <w:szCs w:val="24"/>
        </w:rPr>
        <w:t xml:space="preserve">The “qualified immunity” doctrine has protected not only police officers, but also fire &amp; EMS from personal liability, with many lawsuits being dismissed prior to trial.  </w:t>
      </w:r>
      <w:r>
        <w:rPr>
          <w:rFonts w:ascii="Times New Roman" w:hAnsi="Times New Roman"/>
          <w:b/>
          <w:bCs/>
          <w:sz w:val="24"/>
          <w:szCs w:val="24"/>
        </w:rPr>
        <w:t xml:space="preserve">In litigation in federal court, and in many states, if the trial judge denies the motion to dismiss, there normally can be an immediate appeal by the public employee and employer to the Court of Appeals [in this case a pre-trial motion was apparently not filed]. </w:t>
      </w:r>
    </w:p>
    <w:p w14:paraId="6DB52153" w14:textId="77777777" w:rsidR="0020758F" w:rsidRDefault="0020758F" w:rsidP="0020758F">
      <w:pPr>
        <w:pStyle w:val="NoSpacing"/>
        <w:rPr>
          <w:rFonts w:ascii="Times New Roman" w:hAnsi="Times New Roman"/>
          <w:b/>
          <w:bCs/>
          <w:sz w:val="24"/>
          <w:szCs w:val="24"/>
        </w:rPr>
      </w:pPr>
    </w:p>
    <w:p w14:paraId="11B612FA" w14:textId="7A68AA41" w:rsidR="0020758F" w:rsidRDefault="0020758F" w:rsidP="0020758F">
      <w:pPr>
        <w:rPr>
          <w:rStyle w:val="Hyperlink"/>
          <w:rFonts w:ascii="Times New Roman" w:hAnsi="Times New Roman"/>
          <w:sz w:val="24"/>
          <w:szCs w:val="24"/>
        </w:rPr>
      </w:pPr>
      <w:r w:rsidRPr="008017E3">
        <w:rPr>
          <w:rFonts w:ascii="Times New Roman" w:hAnsi="Times New Roman"/>
          <w:sz w:val="24"/>
          <w:szCs w:val="24"/>
        </w:rPr>
        <w:t xml:space="preserve">Note: Following the death of George Floyd in Minneapolis, Congress is current considering enacting several bills to either amend or virtually eliminate the qualified immunity doctrine.  See article, June 19, 2020, “Republican rift opens up </w:t>
      </w:r>
      <w:proofErr w:type="gramStart"/>
      <w:r w:rsidRPr="008017E3">
        <w:rPr>
          <w:rFonts w:ascii="Times New Roman" w:hAnsi="Times New Roman"/>
          <w:sz w:val="24"/>
          <w:szCs w:val="24"/>
        </w:rPr>
        <w:t>over qualified</w:t>
      </w:r>
      <w:proofErr w:type="gramEnd"/>
      <w:r w:rsidRPr="008017E3">
        <w:rPr>
          <w:rFonts w:ascii="Times New Roman" w:hAnsi="Times New Roman"/>
          <w:sz w:val="24"/>
          <w:szCs w:val="24"/>
        </w:rPr>
        <w:t xml:space="preserve"> immunity for police.” </w:t>
      </w:r>
      <w:hyperlink r:id="rId324" w:history="1">
        <w:r w:rsidRPr="00E3681F">
          <w:rPr>
            <w:rStyle w:val="Hyperlink"/>
            <w:rFonts w:ascii="Times New Roman" w:hAnsi="Times New Roman"/>
            <w:sz w:val="24"/>
            <w:szCs w:val="24"/>
          </w:rPr>
          <w:t>https://thehill.com/homenews/senate/503496-republican-rift-opens-up-over-qualified-immunity-for-police</w:t>
        </w:r>
      </w:hyperlink>
    </w:p>
    <w:p w14:paraId="1C588104" w14:textId="77777777" w:rsidR="0020758F" w:rsidRDefault="0020758F" w:rsidP="0020758F">
      <w:pPr>
        <w:rPr>
          <w:rFonts w:ascii="Arial Black" w:hAnsi="Arial Black"/>
          <w:b/>
          <w:sz w:val="24"/>
          <w:szCs w:val="24"/>
        </w:rPr>
      </w:pPr>
    </w:p>
    <w:p w14:paraId="6FD10F59" w14:textId="4583C317" w:rsidR="0020758F" w:rsidRDefault="0020758F" w:rsidP="002B1283">
      <w:pPr>
        <w:rPr>
          <w:rFonts w:ascii="Arial Black" w:hAnsi="Arial Black"/>
          <w:b/>
          <w:sz w:val="24"/>
          <w:szCs w:val="24"/>
        </w:rPr>
      </w:pPr>
      <w:r>
        <w:rPr>
          <w:rFonts w:ascii="Arial Black" w:hAnsi="Arial Black"/>
          <w:b/>
          <w:sz w:val="24"/>
          <w:szCs w:val="24"/>
        </w:rPr>
        <w:t>1-57</w:t>
      </w:r>
    </w:p>
    <w:p w14:paraId="1E5A20DB" w14:textId="77777777" w:rsidR="0020758F" w:rsidRDefault="0020758F" w:rsidP="0020758F">
      <w:pPr>
        <w:pStyle w:val="NoSpacing"/>
        <w:rPr>
          <w:rFonts w:ascii="Arial Black" w:hAnsi="Arial Black"/>
          <w:sz w:val="28"/>
          <w:szCs w:val="28"/>
        </w:rPr>
      </w:pPr>
      <w:r w:rsidRPr="00A4095D">
        <w:rPr>
          <w:rFonts w:ascii="Arial Black" w:hAnsi="Arial Black"/>
          <w:sz w:val="28"/>
          <w:szCs w:val="28"/>
        </w:rPr>
        <w:t xml:space="preserve">MI: </w:t>
      </w:r>
      <w:r>
        <w:rPr>
          <w:rFonts w:ascii="Arial Black" w:hAnsi="Arial Black"/>
          <w:sz w:val="28"/>
          <w:szCs w:val="28"/>
        </w:rPr>
        <w:t>QUALIFIED IMMUNITY – DENIED UNIV. OF MICH. FOOTBALL GAME - “DRUNK” FAN – PD EXCESSIVE FORCE</w:t>
      </w:r>
    </w:p>
    <w:p w14:paraId="02AB3A78" w14:textId="77777777" w:rsidR="0020758F" w:rsidRDefault="0020758F" w:rsidP="0020758F">
      <w:pPr>
        <w:pStyle w:val="NoSpacing"/>
        <w:rPr>
          <w:rFonts w:ascii="Arial Black" w:hAnsi="Arial Black"/>
          <w:sz w:val="28"/>
          <w:szCs w:val="28"/>
        </w:rPr>
      </w:pPr>
    </w:p>
    <w:p w14:paraId="7DEEB6F3" w14:textId="77777777" w:rsidR="0020758F" w:rsidRDefault="0020758F" w:rsidP="0020758F">
      <w:pPr>
        <w:pStyle w:val="NoSpacing"/>
        <w:rPr>
          <w:rFonts w:ascii="Times New Roman" w:hAnsi="Times New Roman"/>
          <w:sz w:val="24"/>
          <w:szCs w:val="24"/>
        </w:rPr>
      </w:pPr>
      <w:r w:rsidRPr="00055D56">
        <w:rPr>
          <w:rFonts w:ascii="Times New Roman" w:hAnsi="Times New Roman"/>
          <w:sz w:val="24"/>
          <w:szCs w:val="24"/>
        </w:rPr>
        <w:t>On</w:t>
      </w:r>
      <w:r>
        <w:rPr>
          <w:rFonts w:ascii="Times New Roman" w:hAnsi="Times New Roman"/>
          <w:sz w:val="24"/>
          <w:szCs w:val="24"/>
        </w:rPr>
        <w:t xml:space="preserve"> June 24, 2020, in </w:t>
      </w:r>
      <w:r w:rsidRPr="00055D56">
        <w:rPr>
          <w:rFonts w:ascii="Times New Roman" w:hAnsi="Times New Roman"/>
          <w:sz w:val="24"/>
          <w:szCs w:val="24"/>
          <w:u w:val="single"/>
        </w:rPr>
        <w:t>Bryan Richards v. County of Washtenaw, et al. &amp; Justin Berent</w:t>
      </w:r>
      <w:r>
        <w:rPr>
          <w:rFonts w:ascii="Times New Roman" w:hAnsi="Times New Roman"/>
          <w:sz w:val="24"/>
          <w:szCs w:val="24"/>
        </w:rPr>
        <w:t>, the U,S. Court of Appeals for the 6</w:t>
      </w:r>
      <w:r w:rsidRPr="00055D56">
        <w:rPr>
          <w:rFonts w:ascii="Times New Roman" w:hAnsi="Times New Roman"/>
          <w:sz w:val="24"/>
          <w:szCs w:val="24"/>
          <w:vertAlign w:val="superscript"/>
        </w:rPr>
        <w:t>th</w:t>
      </w:r>
      <w:r>
        <w:rPr>
          <w:rFonts w:ascii="Times New Roman" w:hAnsi="Times New Roman"/>
          <w:sz w:val="24"/>
          <w:szCs w:val="24"/>
        </w:rPr>
        <w:t xml:space="preserve"> Circuit (Cincinnati) held (3 to 0) that the arresting officers enjoy qualified immunity for their arresting the fan for assaulting the uniformed medic in football stadium’s medical office, but the lawsuit may proceed for excessive force.  The 6</w:t>
      </w:r>
      <w:r w:rsidRPr="00452277">
        <w:rPr>
          <w:rFonts w:ascii="Times New Roman" w:hAnsi="Times New Roman"/>
          <w:sz w:val="24"/>
          <w:szCs w:val="24"/>
          <w:vertAlign w:val="superscript"/>
        </w:rPr>
        <w:t>th</w:t>
      </w:r>
      <w:r>
        <w:rPr>
          <w:rFonts w:ascii="Times New Roman" w:hAnsi="Times New Roman"/>
          <w:sz w:val="24"/>
          <w:szCs w:val="24"/>
        </w:rPr>
        <w:t xml:space="preserve"> Circuit held: “</w:t>
      </w:r>
      <w:r w:rsidRPr="007D0BEC">
        <w:rPr>
          <w:rFonts w:ascii="Times New Roman" w:hAnsi="Times New Roman"/>
          <w:sz w:val="24"/>
          <w:szCs w:val="24"/>
        </w:rPr>
        <w:t>Richards</w:t>
      </w:r>
      <w:r>
        <w:rPr>
          <w:rFonts w:ascii="Times New Roman" w:hAnsi="Times New Roman"/>
          <w:sz w:val="24"/>
          <w:szCs w:val="24"/>
        </w:rPr>
        <w:t xml:space="preserve"> </w:t>
      </w:r>
      <w:r w:rsidRPr="007D0BEC">
        <w:rPr>
          <w:rFonts w:ascii="Times New Roman" w:hAnsi="Times New Roman"/>
          <w:sz w:val="24"/>
          <w:szCs w:val="24"/>
        </w:rPr>
        <w:t>says he was never told he was under arrest and there was not enough time</w:t>
      </w:r>
      <w:r>
        <w:rPr>
          <w:rFonts w:ascii="Times New Roman" w:hAnsi="Times New Roman"/>
          <w:sz w:val="24"/>
          <w:szCs w:val="24"/>
        </w:rPr>
        <w:t xml:space="preserve"> </w:t>
      </w:r>
      <w:r w:rsidRPr="007D0BEC">
        <w:rPr>
          <w:rFonts w:ascii="Times New Roman" w:hAnsi="Times New Roman"/>
          <w:sz w:val="24"/>
          <w:szCs w:val="24"/>
        </w:rPr>
        <w:t>for him</w:t>
      </w:r>
      <w:r>
        <w:rPr>
          <w:rFonts w:ascii="Times New Roman" w:hAnsi="Times New Roman"/>
          <w:sz w:val="24"/>
          <w:szCs w:val="24"/>
        </w:rPr>
        <w:t xml:space="preserve"> </w:t>
      </w:r>
      <w:r w:rsidRPr="007D0BEC">
        <w:rPr>
          <w:rFonts w:ascii="Times New Roman" w:hAnsi="Times New Roman"/>
          <w:sz w:val="24"/>
          <w:szCs w:val="24"/>
        </w:rPr>
        <w:t>to</w:t>
      </w:r>
      <w:r>
        <w:rPr>
          <w:rFonts w:ascii="Times New Roman" w:hAnsi="Times New Roman"/>
          <w:sz w:val="24"/>
          <w:szCs w:val="24"/>
        </w:rPr>
        <w:t xml:space="preserve"> </w:t>
      </w:r>
      <w:r w:rsidRPr="007D0BEC">
        <w:rPr>
          <w:rFonts w:ascii="Times New Roman" w:hAnsi="Times New Roman"/>
          <w:sz w:val="24"/>
          <w:szCs w:val="24"/>
        </w:rPr>
        <w:t>have</w:t>
      </w:r>
      <w:r>
        <w:rPr>
          <w:rFonts w:ascii="Times New Roman" w:hAnsi="Times New Roman"/>
          <w:sz w:val="24"/>
          <w:szCs w:val="24"/>
        </w:rPr>
        <w:t xml:space="preserve"> </w:t>
      </w:r>
      <w:r w:rsidRPr="007D0BEC">
        <w:rPr>
          <w:rFonts w:ascii="Times New Roman" w:hAnsi="Times New Roman"/>
          <w:sz w:val="24"/>
          <w:szCs w:val="24"/>
        </w:rPr>
        <w:t>resisted</w:t>
      </w:r>
      <w:r>
        <w:rPr>
          <w:rFonts w:ascii="Times New Roman" w:hAnsi="Times New Roman"/>
          <w:sz w:val="24"/>
          <w:szCs w:val="24"/>
        </w:rPr>
        <w:t xml:space="preserve"> </w:t>
      </w:r>
      <w:r w:rsidRPr="007D0BEC">
        <w:rPr>
          <w:rFonts w:ascii="Times New Roman" w:hAnsi="Times New Roman"/>
          <w:sz w:val="24"/>
          <w:szCs w:val="24"/>
        </w:rPr>
        <w:t>the officers</w:t>
      </w:r>
      <w:r>
        <w:rPr>
          <w:rFonts w:ascii="Times New Roman" w:hAnsi="Times New Roman"/>
          <w:sz w:val="24"/>
          <w:szCs w:val="24"/>
        </w:rPr>
        <w:t xml:space="preserve"> </w:t>
      </w:r>
      <w:r w:rsidRPr="007D0BEC">
        <w:rPr>
          <w:rFonts w:ascii="Times New Roman" w:hAnsi="Times New Roman"/>
          <w:sz w:val="24"/>
          <w:szCs w:val="24"/>
        </w:rPr>
        <w:t>as they</w:t>
      </w:r>
      <w:r>
        <w:rPr>
          <w:rFonts w:ascii="Times New Roman" w:hAnsi="Times New Roman"/>
          <w:sz w:val="24"/>
          <w:szCs w:val="24"/>
        </w:rPr>
        <w:t xml:space="preserve"> </w:t>
      </w:r>
      <w:r w:rsidRPr="007D0BEC">
        <w:rPr>
          <w:rFonts w:ascii="Times New Roman" w:hAnsi="Times New Roman"/>
          <w:sz w:val="24"/>
          <w:szCs w:val="24"/>
        </w:rPr>
        <w:t>immediately converged on him upon</w:t>
      </w:r>
      <w:r>
        <w:rPr>
          <w:rFonts w:ascii="Times New Roman" w:hAnsi="Times New Roman"/>
          <w:sz w:val="24"/>
          <w:szCs w:val="24"/>
        </w:rPr>
        <w:t xml:space="preserve"> </w:t>
      </w:r>
      <w:r w:rsidRPr="007D0BEC">
        <w:rPr>
          <w:rFonts w:ascii="Times New Roman" w:hAnsi="Times New Roman"/>
          <w:sz w:val="24"/>
          <w:szCs w:val="24"/>
        </w:rPr>
        <w:t xml:space="preserve">entering the medical area. Berent acknowledges that he did not order Richards to stop before moving in for the arrest; and while Berent stated that he told Richards to </w:t>
      </w:r>
      <w:r>
        <w:rPr>
          <w:rFonts w:ascii="Times New Roman" w:hAnsi="Times New Roman"/>
          <w:sz w:val="24"/>
          <w:szCs w:val="24"/>
        </w:rPr>
        <w:t>‘</w:t>
      </w:r>
      <w:r w:rsidRPr="007D0BEC">
        <w:rPr>
          <w:rFonts w:ascii="Times New Roman" w:hAnsi="Times New Roman"/>
          <w:sz w:val="24"/>
          <w:szCs w:val="24"/>
        </w:rPr>
        <w:t>stop resistin</w:t>
      </w:r>
      <w:r>
        <w:rPr>
          <w:rFonts w:ascii="Times New Roman" w:hAnsi="Times New Roman"/>
          <w:sz w:val="24"/>
          <w:szCs w:val="24"/>
        </w:rPr>
        <w:t>g’</w:t>
      </w:r>
      <w:r w:rsidRPr="007D0BEC">
        <w:rPr>
          <w:rFonts w:ascii="Times New Roman" w:hAnsi="Times New Roman"/>
          <w:sz w:val="24"/>
          <w:szCs w:val="24"/>
        </w:rPr>
        <w:t xml:space="preserve"> several times</w:t>
      </w:r>
      <w:r>
        <w:rPr>
          <w:rFonts w:ascii="Times New Roman" w:hAnsi="Times New Roman"/>
          <w:sz w:val="24"/>
          <w:szCs w:val="24"/>
        </w:rPr>
        <w:t xml:space="preserve"> </w:t>
      </w:r>
      <w:r w:rsidRPr="007D0BEC">
        <w:rPr>
          <w:rFonts w:ascii="Times New Roman" w:hAnsi="Times New Roman"/>
          <w:sz w:val="24"/>
          <w:szCs w:val="24"/>
        </w:rPr>
        <w:t>before the officers took Richards to the ground,</w:t>
      </w:r>
      <w:r>
        <w:rPr>
          <w:rFonts w:ascii="Times New Roman" w:hAnsi="Times New Roman"/>
          <w:sz w:val="24"/>
          <w:szCs w:val="24"/>
        </w:rPr>
        <w:t xml:space="preserve"> </w:t>
      </w:r>
      <w:r w:rsidRPr="007D0BEC">
        <w:rPr>
          <w:rFonts w:ascii="Times New Roman" w:hAnsi="Times New Roman"/>
          <w:sz w:val="24"/>
          <w:szCs w:val="24"/>
        </w:rPr>
        <w:t>Richards denies</w:t>
      </w:r>
      <w:r>
        <w:rPr>
          <w:rFonts w:ascii="Times New Roman" w:hAnsi="Times New Roman"/>
          <w:sz w:val="24"/>
          <w:szCs w:val="24"/>
        </w:rPr>
        <w:t xml:space="preserve"> </w:t>
      </w:r>
      <w:r w:rsidRPr="007D0BEC">
        <w:rPr>
          <w:rFonts w:ascii="Times New Roman" w:hAnsi="Times New Roman"/>
          <w:sz w:val="24"/>
          <w:szCs w:val="24"/>
        </w:rPr>
        <w:t>this fact. Richards further testified that, while he was on the ground, he could not comply with any</w:t>
      </w:r>
      <w:r>
        <w:rPr>
          <w:rFonts w:ascii="Times New Roman" w:hAnsi="Times New Roman"/>
          <w:sz w:val="24"/>
          <w:szCs w:val="24"/>
        </w:rPr>
        <w:t xml:space="preserve"> </w:t>
      </w:r>
      <w:r w:rsidRPr="007D0BEC">
        <w:rPr>
          <w:rFonts w:ascii="Times New Roman" w:hAnsi="Times New Roman"/>
          <w:sz w:val="24"/>
          <w:szCs w:val="24"/>
        </w:rPr>
        <w:t>commands to place his hands behind his back as his arms were pinned beneath him.</w:t>
      </w:r>
      <w:r>
        <w:rPr>
          <w:rFonts w:ascii="Times New Roman" w:hAnsi="Times New Roman"/>
          <w:sz w:val="24"/>
          <w:szCs w:val="24"/>
        </w:rPr>
        <w:t>”</w:t>
      </w:r>
    </w:p>
    <w:p w14:paraId="49ED92AC" w14:textId="77777777" w:rsidR="0020758F" w:rsidRPr="007D0BEC" w:rsidRDefault="0020758F" w:rsidP="0020758F">
      <w:pPr>
        <w:pStyle w:val="NoSpacing"/>
        <w:rPr>
          <w:rFonts w:ascii="Times New Roman" w:hAnsi="Times New Roman"/>
          <w:sz w:val="24"/>
          <w:szCs w:val="24"/>
        </w:rPr>
      </w:pPr>
      <w:hyperlink r:id="rId325" w:history="1">
        <w:r w:rsidRPr="0037669D">
          <w:rPr>
            <w:rStyle w:val="Hyperlink"/>
            <w:rFonts w:ascii="Times New Roman" w:hAnsi="Times New Roman"/>
            <w:sz w:val="24"/>
            <w:szCs w:val="24"/>
          </w:rPr>
          <w:t>https://www.opn.ca6.uscourts.gov/opinions.pdf/20a0374n-06.pdf</w:t>
        </w:r>
      </w:hyperlink>
      <w:r>
        <w:rPr>
          <w:rFonts w:ascii="Times New Roman" w:hAnsi="Times New Roman"/>
          <w:sz w:val="24"/>
          <w:szCs w:val="24"/>
        </w:rPr>
        <w:t xml:space="preserve"> </w:t>
      </w:r>
    </w:p>
    <w:p w14:paraId="71828512" w14:textId="77777777" w:rsidR="0020758F" w:rsidRDefault="0020758F" w:rsidP="0020758F">
      <w:pPr>
        <w:pStyle w:val="NoSpacing"/>
        <w:rPr>
          <w:rFonts w:ascii="Times New Roman" w:hAnsi="Times New Roman"/>
          <w:b/>
          <w:bCs/>
          <w:sz w:val="24"/>
          <w:szCs w:val="24"/>
        </w:rPr>
      </w:pPr>
    </w:p>
    <w:p w14:paraId="04789D8B" w14:textId="30D83553" w:rsidR="0020758F" w:rsidRPr="00355FF4" w:rsidRDefault="0020758F" w:rsidP="0020758F">
      <w:pPr>
        <w:pStyle w:val="NoSpacing"/>
        <w:rPr>
          <w:rFonts w:ascii="Times New Roman" w:hAnsi="Times New Roman"/>
          <w:b/>
          <w:bCs/>
          <w:sz w:val="24"/>
          <w:szCs w:val="24"/>
        </w:rPr>
      </w:pPr>
      <w:r w:rsidRPr="00355FF4">
        <w:rPr>
          <w:rFonts w:ascii="Times New Roman" w:hAnsi="Times New Roman"/>
          <w:b/>
          <w:bCs/>
          <w:sz w:val="24"/>
          <w:szCs w:val="24"/>
        </w:rPr>
        <w:t xml:space="preserve">Legal Lessons Learned: </w:t>
      </w:r>
      <w:r>
        <w:rPr>
          <w:rFonts w:ascii="Times New Roman" w:hAnsi="Times New Roman"/>
          <w:b/>
          <w:bCs/>
          <w:sz w:val="24"/>
          <w:szCs w:val="24"/>
        </w:rPr>
        <w:t xml:space="preserve"> Consider installing video cameras in the football stadium medical office. </w:t>
      </w:r>
    </w:p>
    <w:p w14:paraId="264D746F" w14:textId="77777777" w:rsidR="0020758F" w:rsidRDefault="0020758F" w:rsidP="002B1283">
      <w:pPr>
        <w:rPr>
          <w:rFonts w:ascii="Arial Black" w:hAnsi="Arial Black"/>
          <w:b/>
          <w:sz w:val="24"/>
          <w:szCs w:val="24"/>
        </w:rPr>
      </w:pPr>
    </w:p>
    <w:p w14:paraId="3CB11191" w14:textId="4246C4F7" w:rsidR="0020758F" w:rsidRDefault="0020758F" w:rsidP="002B1283">
      <w:pPr>
        <w:rPr>
          <w:rFonts w:ascii="Arial Black" w:hAnsi="Arial Black"/>
          <w:b/>
          <w:sz w:val="24"/>
          <w:szCs w:val="24"/>
        </w:rPr>
      </w:pPr>
      <w:r>
        <w:rPr>
          <w:rFonts w:ascii="Arial Black" w:hAnsi="Arial Black"/>
          <w:b/>
          <w:sz w:val="24"/>
          <w:szCs w:val="24"/>
        </w:rPr>
        <w:t>1-56</w:t>
      </w:r>
    </w:p>
    <w:p w14:paraId="1BDC48CD" w14:textId="77777777" w:rsidR="0020758F" w:rsidRPr="007C314B" w:rsidRDefault="0020758F" w:rsidP="0020758F">
      <w:pPr>
        <w:pStyle w:val="NoSpacing"/>
      </w:pPr>
      <w:r w:rsidRPr="007C314B">
        <w:rPr>
          <w:rFonts w:ascii="Arial Black" w:hAnsi="Arial Black"/>
          <w:b/>
          <w:bCs/>
          <w:sz w:val="28"/>
          <w:szCs w:val="28"/>
        </w:rPr>
        <w:t>O</w:t>
      </w:r>
      <w:r>
        <w:rPr>
          <w:rFonts w:ascii="Arial Black" w:hAnsi="Arial Black"/>
          <w:b/>
          <w:bCs/>
          <w:sz w:val="28"/>
          <w:szCs w:val="28"/>
        </w:rPr>
        <w:t xml:space="preserve">H: TWO ARSON INVEST. TESTIFIED CAUSE &amp; ORIGIN – STRONG CASE – TRIAL JUDGE ALLOWED TESTIFY WITHOUT FIRST BEING QUALIFIED AS “EXPERT WITNESSES” </w:t>
      </w:r>
      <w:r w:rsidRPr="007C314B">
        <w:t xml:space="preserve"> </w:t>
      </w:r>
    </w:p>
    <w:p w14:paraId="6CE1AAA6" w14:textId="77777777" w:rsidR="0020758F" w:rsidRDefault="0020758F" w:rsidP="0020758F">
      <w:pPr>
        <w:spacing w:before="100" w:beforeAutospacing="1" w:after="100" w:afterAutospacing="1" w:line="240" w:lineRule="auto"/>
        <w:rPr>
          <w:rFonts w:ascii="Times New Roman" w:hAnsi="Times New Roman"/>
          <w:sz w:val="24"/>
          <w:szCs w:val="24"/>
        </w:rPr>
      </w:pPr>
      <w:r w:rsidRPr="007C314B">
        <w:rPr>
          <w:rFonts w:ascii="Times New Roman" w:hAnsi="Times New Roman"/>
          <w:sz w:val="24"/>
          <w:szCs w:val="24"/>
        </w:rPr>
        <w:t xml:space="preserve">On </w:t>
      </w:r>
      <w:r>
        <w:rPr>
          <w:rFonts w:ascii="Times New Roman" w:hAnsi="Times New Roman"/>
          <w:sz w:val="24"/>
          <w:szCs w:val="24"/>
        </w:rPr>
        <w:t xml:space="preserve">June 3, 2020, in </w:t>
      </w:r>
      <w:r w:rsidRPr="007C314B">
        <w:rPr>
          <w:rFonts w:ascii="Times New Roman" w:hAnsi="Times New Roman"/>
          <w:sz w:val="24"/>
          <w:szCs w:val="24"/>
          <w:u w:val="single"/>
        </w:rPr>
        <w:t xml:space="preserve">State of Ohio v. </w:t>
      </w:r>
      <w:proofErr w:type="spellStart"/>
      <w:r w:rsidRPr="007C314B">
        <w:rPr>
          <w:rFonts w:ascii="Times New Roman" w:hAnsi="Times New Roman"/>
          <w:sz w:val="24"/>
          <w:szCs w:val="24"/>
          <w:u w:val="single"/>
        </w:rPr>
        <w:t>Jauvaughn</w:t>
      </w:r>
      <w:proofErr w:type="spellEnd"/>
      <w:r w:rsidRPr="007C314B">
        <w:rPr>
          <w:rFonts w:ascii="Times New Roman" w:hAnsi="Times New Roman"/>
          <w:sz w:val="24"/>
          <w:szCs w:val="24"/>
          <w:u w:val="single"/>
        </w:rPr>
        <w:t xml:space="preserve"> Penn</w:t>
      </w:r>
      <w:r>
        <w:rPr>
          <w:rFonts w:ascii="Times New Roman" w:hAnsi="Times New Roman"/>
          <w:sz w:val="24"/>
          <w:szCs w:val="24"/>
        </w:rPr>
        <w:t xml:space="preserve">, the Court of Appeals Ninth Judicial District (Summit County), 2020 Ohio 3158, held (2 to 1) that defendant’s jury conviction of aggravated arson and burglary was affirmed. </w:t>
      </w:r>
      <w:r w:rsidRPr="00DB083C">
        <w:rPr>
          <w:rFonts w:ascii="Times New Roman" w:hAnsi="Times New Roman"/>
          <w:sz w:val="24"/>
          <w:szCs w:val="24"/>
        </w:rPr>
        <w:t xml:space="preserve">The Court </w:t>
      </w:r>
      <w:r>
        <w:rPr>
          <w:rFonts w:ascii="Times New Roman" w:hAnsi="Times New Roman"/>
          <w:sz w:val="24"/>
          <w:szCs w:val="24"/>
        </w:rPr>
        <w:t xml:space="preserve">of Appeals (2 judge majority) </w:t>
      </w:r>
      <w:r w:rsidRPr="00DB083C">
        <w:rPr>
          <w:rFonts w:ascii="Times New Roman" w:hAnsi="Times New Roman"/>
          <w:sz w:val="24"/>
          <w:szCs w:val="24"/>
        </w:rPr>
        <w:t>focused on the strength of the evidence</w:t>
      </w:r>
      <w:r>
        <w:rPr>
          <w:rFonts w:ascii="Times New Roman" w:hAnsi="Times New Roman"/>
          <w:sz w:val="24"/>
          <w:szCs w:val="24"/>
        </w:rPr>
        <w:t xml:space="preserve"> against the </w:t>
      </w:r>
      <w:proofErr w:type="gramStart"/>
      <w:r>
        <w:rPr>
          <w:rFonts w:ascii="Times New Roman" w:hAnsi="Times New Roman"/>
          <w:sz w:val="24"/>
          <w:szCs w:val="24"/>
        </w:rPr>
        <w:t>defendant, and</w:t>
      </w:r>
      <w:proofErr w:type="gramEnd"/>
      <w:r>
        <w:rPr>
          <w:rFonts w:ascii="Times New Roman" w:hAnsi="Times New Roman"/>
          <w:sz w:val="24"/>
          <w:szCs w:val="24"/>
        </w:rPr>
        <w:t xml:space="preserve"> concluded trial judge did not abuse his discretion in allowing two Akron fire investigators to testify without being first qualified as experts. “[L]</w:t>
      </w:r>
      <w:r w:rsidRPr="00DB083C">
        <w:rPr>
          <w:rFonts w:ascii="Times New Roman" w:hAnsi="Times New Roman"/>
          <w:sz w:val="24"/>
          <w:szCs w:val="24"/>
        </w:rPr>
        <w:t xml:space="preserve">ay opinion testimony is admissible so long as it is </w:t>
      </w:r>
      <w:r>
        <w:rPr>
          <w:rFonts w:ascii="Times New Roman" w:hAnsi="Times New Roman"/>
          <w:sz w:val="24"/>
          <w:szCs w:val="24"/>
        </w:rPr>
        <w:t>‘</w:t>
      </w:r>
      <w:r w:rsidRPr="00DB083C">
        <w:rPr>
          <w:rFonts w:ascii="Times New Roman" w:hAnsi="Times New Roman"/>
          <w:sz w:val="24"/>
          <w:szCs w:val="24"/>
        </w:rPr>
        <w:t>rationally based on the perception of the witness</w:t>
      </w:r>
      <w:r>
        <w:rPr>
          <w:rFonts w:ascii="Times New Roman" w:hAnsi="Times New Roman"/>
          <w:sz w:val="24"/>
          <w:szCs w:val="24"/>
        </w:rPr>
        <w:t>’</w:t>
      </w:r>
      <w:r w:rsidRPr="00DB083C">
        <w:rPr>
          <w:rFonts w:ascii="Times New Roman" w:hAnsi="Times New Roman"/>
          <w:sz w:val="24"/>
          <w:szCs w:val="24"/>
        </w:rPr>
        <w:t xml:space="preserve"> and </w:t>
      </w:r>
      <w:r>
        <w:rPr>
          <w:rFonts w:ascii="Times New Roman" w:hAnsi="Times New Roman"/>
          <w:sz w:val="24"/>
          <w:szCs w:val="24"/>
        </w:rPr>
        <w:t>‘</w:t>
      </w:r>
      <w:r w:rsidRPr="00DB083C">
        <w:rPr>
          <w:rFonts w:ascii="Times New Roman" w:hAnsi="Times New Roman"/>
          <w:sz w:val="24"/>
          <w:szCs w:val="24"/>
        </w:rPr>
        <w:t>helpful to a clear understanding of [his] testimony or the determination of a fact in issue.</w:t>
      </w:r>
      <w:r>
        <w:rPr>
          <w:rFonts w:ascii="Times New Roman" w:hAnsi="Times New Roman"/>
          <w:sz w:val="24"/>
          <w:szCs w:val="24"/>
        </w:rPr>
        <w:t>’</w:t>
      </w:r>
      <w:r w:rsidRPr="00DB083C">
        <w:rPr>
          <w:rFonts w:ascii="Times New Roman" w:hAnsi="Times New Roman"/>
          <w:sz w:val="24"/>
          <w:szCs w:val="24"/>
        </w:rPr>
        <w:t xml:space="preserve"> </w:t>
      </w:r>
      <w:proofErr w:type="spellStart"/>
      <w:r w:rsidRPr="00DB083C">
        <w:rPr>
          <w:rFonts w:ascii="Times New Roman" w:hAnsi="Times New Roman"/>
          <w:sz w:val="24"/>
          <w:szCs w:val="24"/>
        </w:rPr>
        <w:t>Evid.R</w:t>
      </w:r>
      <w:proofErr w:type="spellEnd"/>
      <w:r w:rsidRPr="00DB083C">
        <w:rPr>
          <w:rFonts w:ascii="Times New Roman" w:hAnsi="Times New Roman"/>
          <w:sz w:val="24"/>
          <w:szCs w:val="24"/>
        </w:rPr>
        <w:t xml:space="preserve">. 701. This Court reviews for an abuse of discretion a trial court's decision to admit lay opinion testimony under </w:t>
      </w:r>
      <w:proofErr w:type="spellStart"/>
      <w:r w:rsidRPr="00DB083C">
        <w:rPr>
          <w:rFonts w:ascii="Times New Roman" w:hAnsi="Times New Roman"/>
          <w:sz w:val="24"/>
          <w:szCs w:val="24"/>
        </w:rPr>
        <w:t>Evid.R</w:t>
      </w:r>
      <w:proofErr w:type="spellEnd"/>
      <w:r w:rsidRPr="00DB083C">
        <w:rPr>
          <w:rFonts w:ascii="Times New Roman" w:hAnsi="Times New Roman"/>
          <w:sz w:val="24"/>
          <w:szCs w:val="24"/>
        </w:rPr>
        <w:t>. 701</w:t>
      </w:r>
      <w:r>
        <w:rPr>
          <w:rFonts w:ascii="Times New Roman" w:hAnsi="Times New Roman"/>
          <w:sz w:val="24"/>
          <w:szCs w:val="24"/>
        </w:rPr>
        <w:t>….</w:t>
      </w:r>
      <w:r w:rsidRPr="00DB083C">
        <w:rPr>
          <w:rFonts w:ascii="Times New Roman" w:hAnsi="Times New Roman"/>
          <w:sz w:val="24"/>
          <w:szCs w:val="24"/>
        </w:rPr>
        <w:t xml:space="preserve"> A trial court may be found to have abused its discretion if it rules in an unreasonable, arbitrary, or unconscionable manner. </w:t>
      </w:r>
      <w:r w:rsidRPr="00DB083C">
        <w:rPr>
          <w:rFonts w:ascii="Times New Roman" w:hAnsi="Times New Roman"/>
          <w:i/>
          <w:iCs/>
          <w:sz w:val="24"/>
          <w:szCs w:val="24"/>
        </w:rPr>
        <w:t>Blakemore</w:t>
      </w:r>
      <w:r w:rsidRPr="00DB083C">
        <w:rPr>
          <w:rFonts w:ascii="Times New Roman" w:hAnsi="Times New Roman"/>
          <w:sz w:val="24"/>
          <w:szCs w:val="24"/>
        </w:rPr>
        <w:t>, 5 Ohio St.3d at 219.</w:t>
      </w:r>
      <w:r>
        <w:rPr>
          <w:rFonts w:ascii="Times New Roman" w:hAnsi="Times New Roman"/>
          <w:sz w:val="24"/>
          <w:szCs w:val="24"/>
        </w:rPr>
        <w:t xml:space="preserve">” </w:t>
      </w:r>
      <w:hyperlink r:id="rId326" w:history="1">
        <w:r w:rsidRPr="00B131BD">
          <w:rPr>
            <w:rStyle w:val="Hyperlink"/>
            <w:rFonts w:ascii="Times New Roman" w:hAnsi="Times New Roman"/>
            <w:sz w:val="24"/>
            <w:szCs w:val="24"/>
          </w:rPr>
          <w:t>https://www.supremecourt.ohio.gov/rod/docs/pdf/9/2020/2020-Ohio-3158.pdf</w:t>
        </w:r>
      </w:hyperlink>
      <w:r>
        <w:rPr>
          <w:rFonts w:ascii="Times New Roman" w:hAnsi="Times New Roman"/>
          <w:sz w:val="24"/>
          <w:szCs w:val="24"/>
        </w:rPr>
        <w:t xml:space="preserve"> </w:t>
      </w:r>
    </w:p>
    <w:p w14:paraId="4B821104" w14:textId="77777777" w:rsidR="0020758F" w:rsidRPr="00955CF2" w:rsidRDefault="0020758F" w:rsidP="0020758F">
      <w:pPr>
        <w:spacing w:before="100" w:beforeAutospacing="1" w:after="100" w:afterAutospacing="1" w:line="240" w:lineRule="auto"/>
        <w:rPr>
          <w:rFonts w:ascii="Times New Roman" w:eastAsia="Times New Roman" w:hAnsi="Times New Roman"/>
          <w:b/>
          <w:bCs/>
          <w:sz w:val="24"/>
          <w:szCs w:val="24"/>
        </w:rPr>
      </w:pPr>
      <w:r w:rsidRPr="00955CF2">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 Whenever possible, it is best for prosecutors to have the trial court qualify Arson investigators as expert witnesses and provide a written report to the defense prior to trial. </w:t>
      </w:r>
    </w:p>
    <w:p w14:paraId="57D3A5D6" w14:textId="77777777" w:rsidR="0020758F" w:rsidRDefault="0020758F" w:rsidP="0020758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ab/>
        <w:t xml:space="preserve">Note: One of three judges on the Court of Appeals wrote a partial dissenting opinion. </w:t>
      </w:r>
    </w:p>
    <w:p w14:paraId="6D8DE558" w14:textId="77777777" w:rsidR="0020758F" w:rsidRPr="00955CF2" w:rsidRDefault="0020758F" w:rsidP="0020758F">
      <w:pPr>
        <w:pStyle w:val="NoSpacing"/>
        <w:ind w:left="720"/>
        <w:rPr>
          <w:rFonts w:ascii="Times New Roman" w:hAnsi="Times New Roman"/>
          <w:sz w:val="24"/>
          <w:szCs w:val="24"/>
        </w:rPr>
      </w:pPr>
      <w:r>
        <w:rPr>
          <w:rFonts w:ascii="Times New Roman" w:hAnsi="Times New Roman"/>
          <w:sz w:val="24"/>
          <w:szCs w:val="24"/>
        </w:rPr>
        <w:t>“</w:t>
      </w:r>
      <w:r w:rsidRPr="00955CF2">
        <w:rPr>
          <w:rFonts w:ascii="Times New Roman" w:hAnsi="Times New Roman"/>
          <w:sz w:val="24"/>
          <w:szCs w:val="24"/>
        </w:rPr>
        <w:t xml:space="preserve">I respectfully dissent </w:t>
      </w:r>
      <w:proofErr w:type="gramStart"/>
      <w:r w:rsidRPr="00955CF2">
        <w:rPr>
          <w:rFonts w:ascii="Times New Roman" w:hAnsi="Times New Roman"/>
          <w:sz w:val="24"/>
          <w:szCs w:val="24"/>
        </w:rPr>
        <w:t>in regard to</w:t>
      </w:r>
      <w:proofErr w:type="gramEnd"/>
      <w:r w:rsidRPr="00955CF2">
        <w:rPr>
          <w:rFonts w:ascii="Times New Roman" w:hAnsi="Times New Roman"/>
          <w:sz w:val="24"/>
          <w:szCs w:val="24"/>
        </w:rPr>
        <w:t xml:space="preserve"> the majority’s resolution of the first assignment of error as I would conclude that the trial court abused its discretion when it permitted Mr. Hoch and Mr. </w:t>
      </w:r>
      <w:proofErr w:type="spellStart"/>
      <w:r w:rsidRPr="00955CF2">
        <w:rPr>
          <w:rFonts w:ascii="Times New Roman" w:hAnsi="Times New Roman"/>
          <w:sz w:val="24"/>
          <w:szCs w:val="24"/>
        </w:rPr>
        <w:t>D’Avello</w:t>
      </w:r>
      <w:proofErr w:type="spellEnd"/>
      <w:r w:rsidRPr="00955CF2">
        <w:rPr>
          <w:rFonts w:ascii="Times New Roman" w:hAnsi="Times New Roman"/>
          <w:sz w:val="24"/>
          <w:szCs w:val="24"/>
        </w:rPr>
        <w:t xml:space="preserve"> to give expert testimony at trial. *** Mr. Hoch and Mr. </w:t>
      </w:r>
      <w:proofErr w:type="spellStart"/>
      <w:r w:rsidRPr="00955CF2">
        <w:rPr>
          <w:rFonts w:ascii="Times New Roman" w:hAnsi="Times New Roman"/>
          <w:sz w:val="24"/>
          <w:szCs w:val="24"/>
        </w:rPr>
        <w:t>D’Avello</w:t>
      </w:r>
      <w:proofErr w:type="spellEnd"/>
      <w:r w:rsidRPr="00955CF2">
        <w:rPr>
          <w:rFonts w:ascii="Times New Roman" w:hAnsi="Times New Roman"/>
          <w:sz w:val="24"/>
          <w:szCs w:val="24"/>
        </w:rPr>
        <w:t xml:space="preserve"> expressed definitive opinions on the origin of the fire. These opinions were largely predicated on an understanding of charring levels and burn patterns on the walls. Testimony regarding the origin of a fire based on analysis of charring levels and burn patterns observed during a visual inspection frequently falls within the purview of expert testimony.</w:t>
      </w:r>
      <w:r>
        <w:rPr>
          <w:rFonts w:ascii="Times New Roman" w:hAnsi="Times New Roman"/>
          <w:sz w:val="24"/>
          <w:szCs w:val="24"/>
        </w:rPr>
        <w:t>”</w:t>
      </w:r>
    </w:p>
    <w:p w14:paraId="65237214" w14:textId="77777777" w:rsidR="0020758F" w:rsidRDefault="0020758F" w:rsidP="002B1283">
      <w:pPr>
        <w:rPr>
          <w:rFonts w:ascii="Arial Black" w:hAnsi="Arial Black"/>
          <w:b/>
          <w:sz w:val="24"/>
          <w:szCs w:val="24"/>
        </w:rPr>
      </w:pPr>
    </w:p>
    <w:p w14:paraId="25D1B26F" w14:textId="77777777" w:rsidR="0020758F" w:rsidRDefault="0020758F" w:rsidP="002B1283">
      <w:pPr>
        <w:rPr>
          <w:rFonts w:ascii="Arial Black" w:hAnsi="Arial Black"/>
          <w:b/>
          <w:sz w:val="24"/>
          <w:szCs w:val="24"/>
        </w:rPr>
      </w:pPr>
    </w:p>
    <w:p w14:paraId="0BE1BEB5" w14:textId="6FFBB167" w:rsidR="00D94DC4" w:rsidRDefault="00D94DC4" w:rsidP="002B1283">
      <w:pPr>
        <w:rPr>
          <w:rFonts w:ascii="Arial Black" w:hAnsi="Arial Black"/>
          <w:b/>
          <w:sz w:val="24"/>
          <w:szCs w:val="24"/>
        </w:rPr>
      </w:pPr>
      <w:r>
        <w:rPr>
          <w:rFonts w:ascii="Arial Black" w:hAnsi="Arial Black"/>
          <w:b/>
          <w:sz w:val="24"/>
          <w:szCs w:val="24"/>
        </w:rPr>
        <w:t>1-55</w:t>
      </w:r>
    </w:p>
    <w:p w14:paraId="1860BF59" w14:textId="77777777" w:rsidR="00D94DC4" w:rsidRPr="00AA035B" w:rsidRDefault="00D94DC4" w:rsidP="00D94DC4">
      <w:pPr>
        <w:spacing w:before="100" w:beforeAutospacing="1" w:after="100" w:afterAutospacing="1" w:line="240" w:lineRule="auto"/>
        <w:jc w:val="both"/>
        <w:rPr>
          <w:rFonts w:ascii="Arial Black" w:eastAsia="Times New Roman" w:hAnsi="Arial Black"/>
          <w:b/>
          <w:bCs/>
          <w:sz w:val="28"/>
          <w:szCs w:val="28"/>
        </w:rPr>
      </w:pPr>
      <w:r w:rsidRPr="00AA035B">
        <w:rPr>
          <w:rFonts w:ascii="Arial Black" w:eastAsia="Times New Roman" w:hAnsi="Arial Black"/>
          <w:b/>
          <w:bCs/>
          <w:sz w:val="28"/>
          <w:szCs w:val="28"/>
        </w:rPr>
        <w:t>NY:</w:t>
      </w:r>
      <w:r>
        <w:rPr>
          <w:rFonts w:ascii="Arial Black" w:eastAsia="Times New Roman" w:hAnsi="Arial Black"/>
          <w:b/>
          <w:bCs/>
          <w:sz w:val="28"/>
          <w:szCs w:val="28"/>
        </w:rPr>
        <w:t xml:space="preserve"> PHOTO OF KNEELING FDNY FIREFIGHTER DURING 911 RECOVERY – PROF. PHTOGRAPHER COPYRIGHTED PHOTO – COMPANY MUST PAY USE ON SWEATSHIRTS, TEE SHIRTS </w:t>
      </w:r>
    </w:p>
    <w:p w14:paraId="5F4C9799" w14:textId="529968FC" w:rsidR="00D94DC4" w:rsidRDefault="00D94DC4" w:rsidP="00D94DC4">
      <w:pPr>
        <w:rPr>
          <w:rFonts w:ascii="Arial Black" w:hAnsi="Arial Black"/>
          <w:b/>
          <w:sz w:val="24"/>
          <w:szCs w:val="24"/>
        </w:rPr>
      </w:pPr>
      <w:r w:rsidRPr="00A83726">
        <w:rPr>
          <w:rFonts w:ascii="Times New Roman" w:hAnsi="Times New Roman"/>
          <w:sz w:val="24"/>
          <w:szCs w:val="24"/>
        </w:rPr>
        <w:t xml:space="preserve">On May 28, 2020, in </w:t>
      </w:r>
      <w:r w:rsidRPr="00A83726">
        <w:rPr>
          <w:rFonts w:ascii="Times New Roman" w:hAnsi="Times New Roman"/>
          <w:sz w:val="24"/>
          <w:szCs w:val="24"/>
          <w:u w:val="single"/>
        </w:rPr>
        <w:t>Matthew McDermott v. NYFirestore.com, Inc</w:t>
      </w:r>
      <w:r w:rsidRPr="00A83726">
        <w:rPr>
          <w:rFonts w:ascii="Times New Roman" w:hAnsi="Times New Roman"/>
          <w:sz w:val="24"/>
          <w:szCs w:val="24"/>
        </w:rPr>
        <w:t>., U.S. District Court judge Alison J. Nathan</w:t>
      </w:r>
      <w:r>
        <w:rPr>
          <w:rFonts w:ascii="Times New Roman" w:hAnsi="Times New Roman"/>
          <w:sz w:val="24"/>
          <w:szCs w:val="24"/>
        </w:rPr>
        <w:t>, Southern District of New York,</w:t>
      </w:r>
      <w:r w:rsidRPr="00A83726">
        <w:rPr>
          <w:rFonts w:ascii="Times New Roman" w:hAnsi="Times New Roman"/>
          <w:sz w:val="24"/>
          <w:szCs w:val="24"/>
        </w:rPr>
        <w:t xml:space="preserve"> held that the plaintiff, a professional photographer, has </w:t>
      </w:r>
      <w:r>
        <w:rPr>
          <w:rFonts w:ascii="Times New Roman" w:hAnsi="Times New Roman"/>
          <w:sz w:val="24"/>
          <w:szCs w:val="24"/>
        </w:rPr>
        <w:t xml:space="preserve">provided the Court with the photograph’s Certificate of Registration, </w:t>
      </w:r>
      <w:r w:rsidRPr="00A83726">
        <w:rPr>
          <w:rFonts w:ascii="Times New Roman" w:hAnsi="Times New Roman"/>
          <w:sz w:val="24"/>
          <w:szCs w:val="24"/>
        </w:rPr>
        <w:t xml:space="preserve">and is granted a default judgment for liability against </w:t>
      </w:r>
      <w:proofErr w:type="spellStart"/>
      <w:r w:rsidRPr="00A83726">
        <w:rPr>
          <w:rFonts w:ascii="Times New Roman" w:hAnsi="Times New Roman"/>
          <w:sz w:val="24"/>
          <w:szCs w:val="24"/>
        </w:rPr>
        <w:t>NYFirestore</w:t>
      </w:r>
      <w:proofErr w:type="spellEnd"/>
      <w:r w:rsidRPr="00A83726">
        <w:rPr>
          <w:rFonts w:ascii="Times New Roman" w:hAnsi="Times New Roman"/>
          <w:sz w:val="24"/>
          <w:szCs w:val="24"/>
        </w:rPr>
        <w:t xml:space="preserve"> company for </w:t>
      </w:r>
      <w:r>
        <w:rPr>
          <w:rFonts w:ascii="Times New Roman" w:hAnsi="Times New Roman"/>
          <w:sz w:val="24"/>
          <w:szCs w:val="24"/>
        </w:rPr>
        <w:t xml:space="preserve">unauthorized use of </w:t>
      </w:r>
      <w:r w:rsidRPr="00A83726">
        <w:rPr>
          <w:rFonts w:ascii="Times New Roman" w:hAnsi="Times New Roman"/>
          <w:sz w:val="24"/>
          <w:szCs w:val="24"/>
        </w:rPr>
        <w:t xml:space="preserve">the photo on sweatshirts, tee shirts and throw blankets.   Plaintiff seeks $20,000 in actual damages; </w:t>
      </w:r>
      <w:r>
        <w:rPr>
          <w:rFonts w:ascii="Times New Roman" w:hAnsi="Times New Roman"/>
          <w:sz w:val="24"/>
          <w:szCs w:val="24"/>
        </w:rPr>
        <w:t xml:space="preserve">under the </w:t>
      </w:r>
      <w:r w:rsidRPr="00B0015B">
        <w:rPr>
          <w:rFonts w:ascii="Times New Roman" w:eastAsia="Times New Roman" w:hAnsi="Times New Roman"/>
          <w:sz w:val="24"/>
          <w:szCs w:val="24"/>
        </w:rPr>
        <w:t>Digital Millennium Copyright Act</w:t>
      </w:r>
      <w:r>
        <w:rPr>
          <w:rFonts w:ascii="Times New Roman" w:eastAsia="Times New Roman" w:hAnsi="Times New Roman"/>
          <w:sz w:val="24"/>
          <w:szCs w:val="24"/>
        </w:rPr>
        <w:t xml:space="preserve"> the photographer must now show he placed a digital watermark or other “</w:t>
      </w:r>
      <w:r w:rsidRPr="00B0015B">
        <w:rPr>
          <w:rFonts w:ascii="Times New Roman" w:eastAsia="Times New Roman" w:hAnsi="Times New Roman"/>
          <w:sz w:val="24"/>
          <w:szCs w:val="24"/>
        </w:rPr>
        <w:t>copyright management informatio</w:t>
      </w:r>
      <w:r>
        <w:rPr>
          <w:rFonts w:ascii="Times New Roman" w:eastAsia="Times New Roman" w:hAnsi="Times New Roman"/>
          <w:sz w:val="24"/>
          <w:szCs w:val="24"/>
        </w:rPr>
        <w:t xml:space="preserve">n” on the photo; </w:t>
      </w:r>
      <w:r w:rsidRPr="00A83726">
        <w:rPr>
          <w:rFonts w:ascii="Times New Roman" w:hAnsi="Times New Roman"/>
          <w:sz w:val="24"/>
          <w:szCs w:val="24"/>
        </w:rPr>
        <w:t>has 30 days to file motion for damages and attorney fees</w:t>
      </w:r>
      <w:r>
        <w:rPr>
          <w:rFonts w:ascii="Times New Roman" w:hAnsi="Times New Roman"/>
          <w:sz w:val="24"/>
          <w:szCs w:val="24"/>
        </w:rPr>
        <w:t>,</w:t>
      </w:r>
      <w:r w:rsidRPr="00A83726">
        <w:rPr>
          <w:rFonts w:ascii="Times New Roman" w:hAnsi="Times New Roman"/>
          <w:sz w:val="24"/>
          <w:szCs w:val="24"/>
        </w:rPr>
        <w:t xml:space="preserve"> with evidence of licensing fees he has charged </w:t>
      </w:r>
      <w:r>
        <w:rPr>
          <w:rFonts w:ascii="Times New Roman" w:hAnsi="Times New Roman"/>
          <w:sz w:val="24"/>
          <w:szCs w:val="24"/>
        </w:rPr>
        <w:t xml:space="preserve">others </w:t>
      </w:r>
      <w:r w:rsidRPr="00A83726">
        <w:rPr>
          <w:rFonts w:ascii="Times New Roman" w:hAnsi="Times New Roman"/>
          <w:sz w:val="24"/>
          <w:szCs w:val="24"/>
        </w:rPr>
        <w:t xml:space="preserve">for use of his photos. </w:t>
      </w:r>
      <w:hyperlink r:id="rId327" w:history="1">
        <w:r w:rsidRPr="00A83726">
          <w:rPr>
            <w:rStyle w:val="Hyperlink"/>
            <w:sz w:val="24"/>
            <w:szCs w:val="24"/>
          </w:rPr>
          <w:t>https://public.fastcase.com/Wl%2B2t%2BeVuI35%2FN70vAMFZgQb9URzc30c5cCnjaV%2BywxWbGQAvCbjQKWk6ixjSD1I</w:t>
        </w:r>
      </w:hyperlink>
    </w:p>
    <w:p w14:paraId="5B9F9095" w14:textId="77777777" w:rsidR="00D94DC4" w:rsidRDefault="00D94DC4" w:rsidP="00D94DC4">
      <w:pPr>
        <w:spacing w:after="100" w:line="240" w:lineRule="auto"/>
        <w:jc w:val="both"/>
        <w:rPr>
          <w:rFonts w:ascii="Times New Roman" w:hAnsi="Times New Roman"/>
          <w:b/>
          <w:bCs/>
          <w:sz w:val="24"/>
          <w:szCs w:val="24"/>
        </w:rPr>
      </w:pPr>
      <w:r w:rsidRPr="00B0015B">
        <w:rPr>
          <w:rFonts w:ascii="Times New Roman" w:hAnsi="Times New Roman"/>
          <w:b/>
          <w:bCs/>
          <w:sz w:val="24"/>
          <w:szCs w:val="24"/>
        </w:rPr>
        <w:t>Legal Lessons Learned:</w:t>
      </w:r>
      <w:r>
        <w:rPr>
          <w:rFonts w:ascii="Times New Roman" w:hAnsi="Times New Roman"/>
          <w:b/>
          <w:bCs/>
          <w:sz w:val="24"/>
          <w:szCs w:val="24"/>
        </w:rPr>
        <w:t xml:space="preserve"> </w:t>
      </w:r>
      <w:proofErr w:type="gramStart"/>
      <w:r>
        <w:rPr>
          <w:rFonts w:ascii="Times New Roman" w:hAnsi="Times New Roman"/>
          <w:b/>
          <w:bCs/>
          <w:sz w:val="24"/>
          <w:szCs w:val="24"/>
        </w:rPr>
        <w:t>In order to</w:t>
      </w:r>
      <w:proofErr w:type="gramEnd"/>
      <w:r>
        <w:rPr>
          <w:rFonts w:ascii="Times New Roman" w:hAnsi="Times New Roman"/>
          <w:b/>
          <w:bCs/>
          <w:sz w:val="24"/>
          <w:szCs w:val="24"/>
        </w:rPr>
        <w:t xml:space="preserve"> help protect copyrighted photos, add a copyright watermark pattern to the photo.  </w:t>
      </w:r>
    </w:p>
    <w:p w14:paraId="137A8850" w14:textId="77777777" w:rsidR="00D94DC4" w:rsidRDefault="00D94DC4" w:rsidP="00D94DC4">
      <w:pPr>
        <w:pStyle w:val="Heading1"/>
        <w:ind w:left="720"/>
        <w:jc w:val="both"/>
        <w:rPr>
          <w:b w:val="0"/>
          <w:bCs w:val="0"/>
          <w:sz w:val="24"/>
          <w:szCs w:val="24"/>
        </w:rPr>
      </w:pPr>
      <w:r w:rsidRPr="00B0015B">
        <w:rPr>
          <w:b w:val="0"/>
          <w:bCs w:val="0"/>
          <w:sz w:val="24"/>
          <w:szCs w:val="24"/>
        </w:rPr>
        <w:t xml:space="preserve">Note: See this article, “Add A Copyright Watermark Pattern </w:t>
      </w:r>
      <w:proofErr w:type="gramStart"/>
      <w:r w:rsidRPr="00B0015B">
        <w:rPr>
          <w:b w:val="0"/>
          <w:bCs w:val="0"/>
          <w:sz w:val="24"/>
          <w:szCs w:val="24"/>
        </w:rPr>
        <w:t>To</w:t>
      </w:r>
      <w:proofErr w:type="gramEnd"/>
      <w:r w:rsidRPr="00B0015B">
        <w:rPr>
          <w:b w:val="0"/>
          <w:bCs w:val="0"/>
          <w:sz w:val="24"/>
          <w:szCs w:val="24"/>
        </w:rPr>
        <w:t xml:space="preserve"> </w:t>
      </w:r>
      <w:proofErr w:type="gramStart"/>
      <w:r w:rsidRPr="00B0015B">
        <w:rPr>
          <w:b w:val="0"/>
          <w:bCs w:val="0"/>
          <w:sz w:val="24"/>
          <w:szCs w:val="24"/>
        </w:rPr>
        <w:t>A</w:t>
      </w:r>
      <w:proofErr w:type="gramEnd"/>
      <w:r w:rsidRPr="00B0015B">
        <w:rPr>
          <w:b w:val="0"/>
          <w:bCs w:val="0"/>
          <w:sz w:val="24"/>
          <w:szCs w:val="24"/>
        </w:rPr>
        <w:t xml:space="preserve"> Photo </w:t>
      </w:r>
      <w:proofErr w:type="gramStart"/>
      <w:r w:rsidRPr="00B0015B">
        <w:rPr>
          <w:b w:val="0"/>
          <w:bCs w:val="0"/>
          <w:sz w:val="24"/>
          <w:szCs w:val="24"/>
        </w:rPr>
        <w:t>With</w:t>
      </w:r>
      <w:proofErr w:type="gramEnd"/>
      <w:r w:rsidRPr="00B0015B">
        <w:rPr>
          <w:b w:val="0"/>
          <w:bCs w:val="0"/>
          <w:sz w:val="24"/>
          <w:szCs w:val="24"/>
        </w:rPr>
        <w:t xml:space="preserve"> Photoshop,” </w:t>
      </w:r>
      <w:hyperlink r:id="rId328" w:history="1">
        <w:r w:rsidRPr="00931365">
          <w:rPr>
            <w:rStyle w:val="Hyperlink"/>
            <w:sz w:val="24"/>
            <w:szCs w:val="24"/>
          </w:rPr>
          <w:t>https://www.photoshopessentials.com/photo-effects/copyright/</w:t>
        </w:r>
      </w:hyperlink>
      <w:r w:rsidRPr="00B0015B">
        <w:rPr>
          <w:b w:val="0"/>
          <w:bCs w:val="0"/>
          <w:sz w:val="24"/>
          <w:szCs w:val="24"/>
        </w:rPr>
        <w:t xml:space="preserve"> </w:t>
      </w:r>
    </w:p>
    <w:p w14:paraId="22EA6C85" w14:textId="77777777" w:rsidR="00D94DC4" w:rsidRDefault="00D94DC4" w:rsidP="002B1283">
      <w:pPr>
        <w:rPr>
          <w:rFonts w:ascii="Arial Black" w:hAnsi="Arial Black"/>
          <w:b/>
          <w:sz w:val="24"/>
          <w:szCs w:val="24"/>
        </w:rPr>
      </w:pPr>
    </w:p>
    <w:p w14:paraId="40B34CC8" w14:textId="6E5DE36B" w:rsidR="00D94DC4" w:rsidRDefault="00D94DC4" w:rsidP="002B1283">
      <w:pPr>
        <w:rPr>
          <w:rFonts w:ascii="Arial Black" w:hAnsi="Arial Black"/>
          <w:b/>
          <w:sz w:val="24"/>
          <w:szCs w:val="24"/>
        </w:rPr>
      </w:pPr>
      <w:r>
        <w:rPr>
          <w:rFonts w:ascii="Arial Black" w:hAnsi="Arial Black"/>
          <w:b/>
          <w:sz w:val="24"/>
          <w:szCs w:val="24"/>
        </w:rPr>
        <w:t>1-54</w:t>
      </w:r>
    </w:p>
    <w:p w14:paraId="662F2BA4" w14:textId="77777777" w:rsidR="00D94DC4" w:rsidRDefault="00D94DC4" w:rsidP="00D94DC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OR: FALSE 9-1-1 CALLS – FOUR CALLS, FEMALE DEF. CLAIMED ANOTHER FEMALE WAS REPEATEDLY STALKING HER – “SCREENSHOTS” GOOGLE MAPS PROVED SHE LIED</w:t>
      </w:r>
    </w:p>
    <w:p w14:paraId="3AAA2D50" w14:textId="77777777" w:rsidR="00D94DC4" w:rsidRDefault="00D94DC4" w:rsidP="00D94DC4">
      <w:pPr>
        <w:spacing w:after="0" w:line="240" w:lineRule="auto"/>
        <w:rPr>
          <w:rFonts w:ascii="Times New Roman" w:eastAsia="Times New Roman" w:hAnsi="Times New Roman"/>
          <w:sz w:val="27"/>
          <w:szCs w:val="27"/>
        </w:rPr>
      </w:pPr>
      <w:r w:rsidRPr="00B41A2A">
        <w:rPr>
          <w:rFonts w:ascii="Times New Roman" w:eastAsia="Times New Roman" w:hAnsi="Times New Roman"/>
          <w:sz w:val="24"/>
          <w:szCs w:val="24"/>
        </w:rPr>
        <w:t xml:space="preserve">On May 28, 2020, in </w:t>
      </w:r>
      <w:r w:rsidRPr="00B41A2A">
        <w:rPr>
          <w:rFonts w:ascii="Times New Roman" w:eastAsia="Times New Roman" w:hAnsi="Times New Roman"/>
          <w:sz w:val="24"/>
          <w:szCs w:val="24"/>
          <w:u w:val="single"/>
        </w:rPr>
        <w:t>State of Oregon v. H.D.E</w:t>
      </w:r>
      <w:r w:rsidRPr="00B41A2A">
        <w:rPr>
          <w:rFonts w:ascii="Times New Roman" w:eastAsia="Times New Roman" w:hAnsi="Times New Roman"/>
          <w:sz w:val="24"/>
          <w:szCs w:val="24"/>
        </w:rPr>
        <w:t>., 304 Or App 375, the Court of Appeals of the State of Oregon held (3 to 0) upheld her convictions, holding that trial judge properly allowed the screenshots into evidence, and State proved that claims by defendant that Ms. Garcia was stalking her were false.</w:t>
      </w:r>
      <w:r>
        <w:rPr>
          <w:rFonts w:ascii="On Times New Roman" w:eastAsia="Times New Roman" w:hAnsi="On Times New Roman"/>
          <w:sz w:val="24"/>
          <w:szCs w:val="24"/>
        </w:rPr>
        <w:t xml:space="preserve">  </w:t>
      </w:r>
      <w:hyperlink r:id="rId329" w:history="1">
        <w:r w:rsidRPr="003826A8">
          <w:rPr>
            <w:rStyle w:val="Hyperlink"/>
            <w:sz w:val="27"/>
            <w:szCs w:val="27"/>
          </w:rPr>
          <w:t>https://cdm17027.contentdm.oclc.org/digital/collection/p17027coll5/id/26716/rec/1</w:t>
        </w:r>
      </w:hyperlink>
      <w:r>
        <w:rPr>
          <w:rFonts w:ascii="Times New Roman" w:eastAsia="Times New Roman" w:hAnsi="Times New Roman"/>
          <w:sz w:val="27"/>
          <w:szCs w:val="27"/>
        </w:rPr>
        <w:t xml:space="preserve"> </w:t>
      </w:r>
    </w:p>
    <w:p w14:paraId="47AF9288" w14:textId="77777777" w:rsidR="00ED66A0" w:rsidRDefault="00ED66A0" w:rsidP="00D94DC4">
      <w:pPr>
        <w:spacing w:after="0" w:line="240" w:lineRule="auto"/>
        <w:jc w:val="both"/>
        <w:rPr>
          <w:rFonts w:ascii="Times New Roman" w:eastAsia="Times New Roman" w:hAnsi="Times New Roman"/>
          <w:b/>
          <w:bCs/>
          <w:sz w:val="24"/>
          <w:szCs w:val="24"/>
        </w:rPr>
      </w:pPr>
    </w:p>
    <w:p w14:paraId="18D8D20C" w14:textId="510BAB18" w:rsidR="00D94DC4" w:rsidRDefault="00D94DC4" w:rsidP="00D94DC4">
      <w:pPr>
        <w:spacing w:after="0" w:line="240" w:lineRule="auto"/>
        <w:jc w:val="both"/>
        <w:rPr>
          <w:rFonts w:ascii="Times New Roman" w:eastAsia="Times New Roman" w:hAnsi="Times New Roman"/>
          <w:b/>
          <w:bCs/>
          <w:sz w:val="24"/>
          <w:szCs w:val="24"/>
        </w:rPr>
      </w:pPr>
      <w:r w:rsidRPr="00585AB9">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New technology, such as cell phone screenshots, can be powerful proof in a trial. </w:t>
      </w:r>
    </w:p>
    <w:p w14:paraId="2A6B01C2" w14:textId="77777777" w:rsidR="00D94DC4" w:rsidRDefault="00D94DC4" w:rsidP="002B1283">
      <w:pPr>
        <w:rPr>
          <w:rFonts w:ascii="Arial Black" w:hAnsi="Arial Black"/>
          <w:b/>
          <w:sz w:val="24"/>
          <w:szCs w:val="24"/>
        </w:rPr>
      </w:pPr>
    </w:p>
    <w:p w14:paraId="3297C883" w14:textId="77777777" w:rsidR="00D94DC4" w:rsidRDefault="00D94DC4" w:rsidP="002B1283">
      <w:pPr>
        <w:rPr>
          <w:rFonts w:ascii="Arial Black" w:hAnsi="Arial Black"/>
          <w:b/>
          <w:sz w:val="24"/>
          <w:szCs w:val="24"/>
        </w:rPr>
      </w:pPr>
    </w:p>
    <w:p w14:paraId="4528C55A" w14:textId="77777777" w:rsidR="00D94DC4" w:rsidRDefault="00D94DC4" w:rsidP="002B1283">
      <w:pPr>
        <w:rPr>
          <w:rFonts w:ascii="Arial Black" w:hAnsi="Arial Black"/>
          <w:b/>
          <w:sz w:val="24"/>
          <w:szCs w:val="24"/>
        </w:rPr>
      </w:pPr>
    </w:p>
    <w:p w14:paraId="2A667339" w14:textId="03F4107A" w:rsidR="00D94DC4" w:rsidRDefault="00D94DC4" w:rsidP="002B1283">
      <w:pPr>
        <w:rPr>
          <w:rFonts w:ascii="Arial Black" w:hAnsi="Arial Black"/>
          <w:b/>
          <w:sz w:val="24"/>
          <w:szCs w:val="24"/>
        </w:rPr>
      </w:pPr>
      <w:r>
        <w:rPr>
          <w:rFonts w:ascii="Arial Black" w:hAnsi="Arial Black"/>
          <w:b/>
          <w:sz w:val="24"/>
          <w:szCs w:val="24"/>
        </w:rPr>
        <w:t>1-53</w:t>
      </w:r>
    </w:p>
    <w:p w14:paraId="14270DF9" w14:textId="77777777" w:rsidR="00D94DC4" w:rsidRDefault="00D94DC4" w:rsidP="00D94DC4">
      <w:pPr>
        <w:spacing w:before="100" w:beforeAutospacing="1" w:after="100" w:afterAutospacing="1" w:line="240" w:lineRule="auto"/>
        <w:jc w:val="both"/>
        <w:rPr>
          <w:rFonts w:ascii="Arial Black" w:eastAsia="Times New Roman" w:hAnsi="Arial Black"/>
          <w:b/>
          <w:bCs/>
          <w:sz w:val="28"/>
          <w:szCs w:val="28"/>
        </w:rPr>
      </w:pPr>
      <w:r w:rsidRPr="00FC7706">
        <w:rPr>
          <w:rFonts w:ascii="Arial Black" w:eastAsia="Times New Roman" w:hAnsi="Arial Black"/>
          <w:b/>
          <w:bCs/>
          <w:sz w:val="28"/>
          <w:szCs w:val="28"/>
        </w:rPr>
        <w:t xml:space="preserve">IA: </w:t>
      </w:r>
      <w:r>
        <w:rPr>
          <w:rFonts w:ascii="Arial Black" w:eastAsia="Times New Roman" w:hAnsi="Arial Black"/>
          <w:b/>
          <w:bCs/>
          <w:sz w:val="28"/>
          <w:szCs w:val="28"/>
        </w:rPr>
        <w:t>FF ARSONIST – SEARCH WARRANTS GPS TRACKER / CELL PHONE LOCATIONS – PLEA DEAL, COOPERATE, NO OTHER CHARGES - BUT INDICTED 4 MORE ARSONS, DISMISSED</w:t>
      </w:r>
    </w:p>
    <w:p w14:paraId="394FBFC8" w14:textId="77777777" w:rsidR="00D94DC4" w:rsidRDefault="00D94DC4" w:rsidP="00D94DC4">
      <w:pPr>
        <w:spacing w:before="100" w:beforeAutospacing="1" w:after="100" w:afterAutospacing="1" w:line="240" w:lineRule="auto"/>
        <w:rPr>
          <w:rFonts w:ascii="Times New Roman" w:hAnsi="Times New Roman"/>
          <w:sz w:val="24"/>
          <w:szCs w:val="24"/>
        </w:rPr>
      </w:pPr>
      <w:r w:rsidRPr="00F77985">
        <w:rPr>
          <w:rFonts w:ascii="Times New Roman" w:hAnsi="Times New Roman"/>
          <w:sz w:val="24"/>
          <w:szCs w:val="24"/>
        </w:rPr>
        <w:t xml:space="preserve">On May 15, 2020, in </w:t>
      </w:r>
      <w:r w:rsidRPr="00F77985">
        <w:rPr>
          <w:rFonts w:ascii="Times New Roman" w:hAnsi="Times New Roman"/>
          <w:sz w:val="24"/>
          <w:szCs w:val="24"/>
          <w:u w:val="single"/>
        </w:rPr>
        <w:t>State of Iowa v. Chance Ryan Beres</w:t>
      </w:r>
      <w:r>
        <w:rPr>
          <w:rFonts w:ascii="Times New Roman" w:hAnsi="Times New Roman"/>
          <w:sz w:val="24"/>
          <w:szCs w:val="24"/>
        </w:rPr>
        <w:t xml:space="preserve">, the Iowa Supreme Court held (7 to 0) that the State is bound by its plea </w:t>
      </w:r>
      <w:proofErr w:type="gramStart"/>
      <w:r>
        <w:rPr>
          <w:rFonts w:ascii="Times New Roman" w:hAnsi="Times New Roman"/>
          <w:sz w:val="24"/>
          <w:szCs w:val="24"/>
        </w:rPr>
        <w:t>agreement, and</w:t>
      </w:r>
      <w:proofErr w:type="gramEnd"/>
      <w:r>
        <w:rPr>
          <w:rFonts w:ascii="Times New Roman" w:hAnsi="Times New Roman"/>
          <w:sz w:val="24"/>
          <w:szCs w:val="24"/>
        </w:rPr>
        <w:t xml:space="preserve"> cannot bring four additional arson charges. </w:t>
      </w:r>
      <w:hyperlink r:id="rId330" w:history="1">
        <w:r w:rsidRPr="00250842">
          <w:rPr>
            <w:rStyle w:val="Hyperlink"/>
            <w:sz w:val="24"/>
            <w:szCs w:val="24"/>
          </w:rPr>
          <w:t>https://www.iowacourts.gov/courtcases/9747/embed/SupremeCourtOpinion</w:t>
        </w:r>
      </w:hyperlink>
      <w:r>
        <w:rPr>
          <w:rFonts w:ascii="Times New Roman" w:hAnsi="Times New Roman"/>
          <w:sz w:val="24"/>
          <w:szCs w:val="24"/>
        </w:rPr>
        <w:t xml:space="preserve"> </w:t>
      </w:r>
    </w:p>
    <w:p w14:paraId="78B1AED6" w14:textId="77777777" w:rsidR="00D94DC4" w:rsidRPr="00F77985" w:rsidRDefault="00D94DC4" w:rsidP="00D94DC4">
      <w:pPr>
        <w:spacing w:before="100" w:beforeAutospacing="1" w:after="100" w:afterAutospacing="1" w:line="240" w:lineRule="auto"/>
        <w:jc w:val="both"/>
        <w:rPr>
          <w:rFonts w:ascii="Times New Roman" w:hAnsi="Times New Roman"/>
          <w:b/>
          <w:bCs/>
          <w:sz w:val="24"/>
          <w:szCs w:val="24"/>
        </w:rPr>
      </w:pPr>
      <w:r w:rsidRPr="00F77985">
        <w:rPr>
          <w:rFonts w:ascii="Times New Roman" w:hAnsi="Times New Roman"/>
          <w:b/>
          <w:bCs/>
          <w:sz w:val="24"/>
          <w:szCs w:val="24"/>
        </w:rPr>
        <w:t>Legal Lessons Learned:</w:t>
      </w:r>
      <w:r>
        <w:rPr>
          <w:rFonts w:ascii="Times New Roman" w:hAnsi="Times New Roman"/>
          <w:b/>
          <w:bCs/>
          <w:sz w:val="24"/>
          <w:szCs w:val="24"/>
        </w:rPr>
        <w:t xml:space="preserve"> Prosecutors should not agree to a plea agreement until the defendant has been thoroughly interviewed, </w:t>
      </w:r>
      <w:proofErr w:type="gramStart"/>
      <w:r>
        <w:rPr>
          <w:rFonts w:ascii="Times New Roman" w:hAnsi="Times New Roman"/>
          <w:b/>
          <w:bCs/>
          <w:sz w:val="24"/>
          <w:szCs w:val="24"/>
        </w:rPr>
        <w:t>and also</w:t>
      </w:r>
      <w:proofErr w:type="gramEnd"/>
      <w:r>
        <w:rPr>
          <w:rFonts w:ascii="Times New Roman" w:hAnsi="Times New Roman"/>
          <w:b/>
          <w:bCs/>
          <w:sz w:val="24"/>
          <w:szCs w:val="24"/>
        </w:rPr>
        <w:t xml:space="preserve"> given a complete, written statement about all his arsons.</w:t>
      </w:r>
    </w:p>
    <w:p w14:paraId="59080C2D" w14:textId="77777777" w:rsidR="00D94DC4" w:rsidRDefault="00D94DC4" w:rsidP="002B1283">
      <w:pPr>
        <w:rPr>
          <w:rFonts w:ascii="Arial Black" w:hAnsi="Arial Black"/>
          <w:b/>
          <w:sz w:val="24"/>
          <w:szCs w:val="24"/>
        </w:rPr>
      </w:pPr>
    </w:p>
    <w:p w14:paraId="28F4E453" w14:textId="77777777" w:rsidR="00D94DC4" w:rsidRDefault="00D94DC4" w:rsidP="002B1283">
      <w:pPr>
        <w:rPr>
          <w:rFonts w:ascii="Arial Black" w:hAnsi="Arial Black"/>
          <w:b/>
          <w:sz w:val="24"/>
          <w:szCs w:val="24"/>
        </w:rPr>
      </w:pPr>
    </w:p>
    <w:p w14:paraId="5DE8CC03" w14:textId="24C80858" w:rsidR="00D94DC4" w:rsidRDefault="00D94DC4" w:rsidP="002B1283">
      <w:pPr>
        <w:rPr>
          <w:rFonts w:ascii="Arial Black" w:hAnsi="Arial Black"/>
          <w:b/>
          <w:sz w:val="24"/>
          <w:szCs w:val="24"/>
        </w:rPr>
      </w:pPr>
      <w:r>
        <w:rPr>
          <w:rFonts w:ascii="Arial Black" w:hAnsi="Arial Black"/>
          <w:b/>
          <w:sz w:val="24"/>
          <w:szCs w:val="24"/>
        </w:rPr>
        <w:t>1-52</w:t>
      </w:r>
    </w:p>
    <w:p w14:paraId="7223CCAC" w14:textId="77777777" w:rsidR="00D94DC4" w:rsidRPr="005B2EA2" w:rsidRDefault="00D94DC4" w:rsidP="00D94DC4">
      <w:pPr>
        <w:spacing w:before="100" w:beforeAutospacing="1" w:after="100" w:afterAutospacing="1" w:line="240" w:lineRule="auto"/>
        <w:rPr>
          <w:rFonts w:ascii="Arial Black" w:eastAsia="Times New Roman" w:hAnsi="Arial Black"/>
          <w:b/>
          <w:bCs/>
          <w:sz w:val="28"/>
          <w:szCs w:val="28"/>
        </w:rPr>
      </w:pPr>
      <w:bookmarkStart w:id="20" w:name="_Hlk69187208"/>
      <w:r w:rsidRPr="005B2EA2">
        <w:rPr>
          <w:rFonts w:ascii="Arial Black" w:eastAsia="Times New Roman" w:hAnsi="Arial Black"/>
          <w:b/>
          <w:bCs/>
          <w:sz w:val="28"/>
          <w:szCs w:val="28"/>
        </w:rPr>
        <w:t>KS:</w:t>
      </w:r>
      <w:r>
        <w:rPr>
          <w:rFonts w:ascii="Arial Black" w:eastAsia="Times New Roman" w:hAnsi="Arial Black"/>
          <w:b/>
          <w:bCs/>
          <w:sz w:val="28"/>
          <w:szCs w:val="28"/>
        </w:rPr>
        <w:t xml:space="preserve"> ARSON - 71-YR-OLD WOMAN, HOUSE FORECLOSURE – ARSON INVESTIGATOR INTERVIEWED HER 2-HOURS IN HOSPITAL – MIRANDA WARNING NOT REQUIRED, NOT IN CUSTODY</w:t>
      </w:r>
    </w:p>
    <w:bookmarkEnd w:id="20"/>
    <w:p w14:paraId="626FCB9B" w14:textId="77777777" w:rsidR="00D94DC4" w:rsidRDefault="00D94DC4" w:rsidP="00D94DC4">
      <w:pPr>
        <w:spacing w:before="100" w:beforeAutospacing="1" w:after="100" w:afterAutospacing="1" w:line="240" w:lineRule="auto"/>
        <w:rPr>
          <w:rFonts w:ascii="Times New Roman" w:hAnsi="Times New Roman"/>
          <w:sz w:val="24"/>
          <w:szCs w:val="24"/>
        </w:rPr>
      </w:pPr>
      <w:r w:rsidRPr="00F53109">
        <w:rPr>
          <w:rFonts w:ascii="Times New Roman" w:eastAsia="Times New Roman" w:hAnsi="Times New Roman"/>
          <w:sz w:val="24"/>
          <w:szCs w:val="24"/>
        </w:rPr>
        <w:t xml:space="preserve">On May 8, 2020, in </w:t>
      </w:r>
      <w:r w:rsidRPr="00F53109">
        <w:rPr>
          <w:rFonts w:ascii="Times New Roman" w:eastAsia="Times New Roman" w:hAnsi="Times New Roman"/>
          <w:sz w:val="24"/>
          <w:szCs w:val="24"/>
          <w:u w:val="single"/>
        </w:rPr>
        <w:t>State of Kansas v. Patricia E. Sinclair</w:t>
      </w:r>
      <w:r>
        <w:rPr>
          <w:rFonts w:ascii="Times New Roman" w:eastAsia="Times New Roman" w:hAnsi="Times New Roman"/>
          <w:sz w:val="24"/>
          <w:szCs w:val="24"/>
        </w:rPr>
        <w:t xml:space="preserve">, the Court of Appeals of State of Kansas, held (3 to 0) in unpublished opinion, that trial judge properly denied her motion to suppress the </w:t>
      </w:r>
      <w:proofErr w:type="gramStart"/>
      <w:r>
        <w:rPr>
          <w:rFonts w:ascii="Times New Roman" w:eastAsia="Times New Roman" w:hAnsi="Times New Roman"/>
          <w:sz w:val="24"/>
          <w:szCs w:val="24"/>
        </w:rPr>
        <w:t>tape recorded</w:t>
      </w:r>
      <w:proofErr w:type="gramEnd"/>
      <w:r>
        <w:rPr>
          <w:rFonts w:ascii="Times New Roman" w:eastAsia="Times New Roman" w:hAnsi="Times New Roman"/>
          <w:sz w:val="24"/>
          <w:szCs w:val="24"/>
        </w:rPr>
        <w:t xml:space="preserve"> interview.  “</w:t>
      </w:r>
      <w:r w:rsidRPr="00F53109">
        <w:rPr>
          <w:rFonts w:ascii="Times New Roman" w:hAnsi="Times New Roman"/>
          <w:sz w:val="24"/>
          <w:szCs w:val="24"/>
        </w:rPr>
        <w:t>Thus, looking at the totality of the circumstances, we find Sinclair's interview was not a custodial interrogation</w:t>
      </w:r>
      <w:r>
        <w:rPr>
          <w:rFonts w:ascii="Times New Roman" w:hAnsi="Times New Roman"/>
          <w:sz w:val="24"/>
          <w:szCs w:val="24"/>
        </w:rPr>
        <w:t xml:space="preserve">.”  </w:t>
      </w:r>
      <w:bookmarkStart w:id="21" w:name="_Hlk69187300"/>
      <w:r w:rsidR="000F483A">
        <w:fldChar w:fldCharType="begin"/>
      </w:r>
      <w:r w:rsidR="000F483A">
        <w:instrText xml:space="preserve"> HYPERLINK "https://www.courtlistener.com/pdf/2020/05/08/state_v._sinclair.pdf" </w:instrText>
      </w:r>
      <w:r w:rsidR="000F483A">
        <w:fldChar w:fldCharType="separate"/>
      </w:r>
      <w:r w:rsidRPr="00B56DB8">
        <w:rPr>
          <w:rStyle w:val="Hyperlink"/>
          <w:sz w:val="24"/>
          <w:szCs w:val="24"/>
        </w:rPr>
        <w:t>https://www.courtlistener.com/pdf/2020/05/08/state_v._sinclair.pdf</w:t>
      </w:r>
      <w:r w:rsidR="000F483A">
        <w:rPr>
          <w:rStyle w:val="Hyperlink"/>
          <w:sz w:val="24"/>
          <w:szCs w:val="24"/>
        </w:rPr>
        <w:fldChar w:fldCharType="end"/>
      </w:r>
      <w:r>
        <w:rPr>
          <w:rFonts w:ascii="Times New Roman" w:hAnsi="Times New Roman"/>
          <w:sz w:val="24"/>
          <w:szCs w:val="24"/>
        </w:rPr>
        <w:t xml:space="preserve"> </w:t>
      </w:r>
    </w:p>
    <w:bookmarkEnd w:id="21"/>
    <w:p w14:paraId="68F48E30" w14:textId="77777777" w:rsidR="00D94DC4" w:rsidRPr="006627F5" w:rsidRDefault="00D94DC4" w:rsidP="00D94DC4">
      <w:pPr>
        <w:spacing w:before="100" w:beforeAutospacing="1" w:after="100" w:afterAutospacing="1" w:line="240" w:lineRule="auto"/>
        <w:rPr>
          <w:rFonts w:ascii="Times New Roman" w:hAnsi="Times New Roman"/>
          <w:b/>
          <w:bCs/>
          <w:sz w:val="24"/>
          <w:szCs w:val="24"/>
        </w:rPr>
      </w:pPr>
      <w:r w:rsidRPr="006627F5">
        <w:rPr>
          <w:rFonts w:ascii="Times New Roman" w:hAnsi="Times New Roman"/>
          <w:b/>
          <w:bCs/>
          <w:sz w:val="24"/>
          <w:szCs w:val="24"/>
        </w:rPr>
        <w:t>Legal Lessons Learned:</w:t>
      </w:r>
      <w:r>
        <w:rPr>
          <w:rFonts w:ascii="Times New Roman" w:hAnsi="Times New Roman"/>
          <w:b/>
          <w:bCs/>
          <w:sz w:val="24"/>
          <w:szCs w:val="24"/>
        </w:rPr>
        <w:t xml:space="preserve"> Non-custodial interviews do not require a </w:t>
      </w:r>
      <w:r w:rsidRPr="006627F5">
        <w:rPr>
          <w:rFonts w:ascii="Times New Roman" w:hAnsi="Times New Roman"/>
          <w:b/>
          <w:bCs/>
          <w:i/>
          <w:iCs/>
          <w:sz w:val="24"/>
          <w:szCs w:val="24"/>
        </w:rPr>
        <w:t>Miranda</w:t>
      </w:r>
      <w:r>
        <w:rPr>
          <w:rFonts w:ascii="Times New Roman" w:hAnsi="Times New Roman"/>
          <w:b/>
          <w:bCs/>
          <w:sz w:val="24"/>
          <w:szCs w:val="24"/>
        </w:rPr>
        <w:t xml:space="preserve"> warning.  One technique is to start interview by informing person that it is an “investigative interview</w:t>
      </w:r>
      <w:proofErr w:type="gramStart"/>
      <w:r>
        <w:rPr>
          <w:rFonts w:ascii="Times New Roman" w:hAnsi="Times New Roman"/>
          <w:b/>
          <w:bCs/>
          <w:sz w:val="24"/>
          <w:szCs w:val="24"/>
        </w:rPr>
        <w:t>”</w:t>
      </w:r>
      <w:proofErr w:type="gramEnd"/>
      <w:r>
        <w:rPr>
          <w:rFonts w:ascii="Times New Roman" w:hAnsi="Times New Roman"/>
          <w:b/>
          <w:bCs/>
          <w:sz w:val="24"/>
          <w:szCs w:val="24"/>
        </w:rPr>
        <w:t xml:space="preserve"> and they are not in custody.</w:t>
      </w:r>
    </w:p>
    <w:p w14:paraId="374F6AA8" w14:textId="77777777" w:rsidR="00D94DC4" w:rsidRDefault="00D94DC4" w:rsidP="002B1283">
      <w:pPr>
        <w:rPr>
          <w:rFonts w:ascii="Arial Black" w:hAnsi="Arial Black"/>
          <w:b/>
          <w:sz w:val="24"/>
          <w:szCs w:val="24"/>
        </w:rPr>
      </w:pPr>
    </w:p>
    <w:p w14:paraId="424ABB80" w14:textId="77777777" w:rsidR="00D94DC4" w:rsidRDefault="00D94DC4" w:rsidP="002B1283">
      <w:pPr>
        <w:rPr>
          <w:rFonts w:ascii="Arial Black" w:hAnsi="Arial Black"/>
          <w:b/>
          <w:sz w:val="24"/>
          <w:szCs w:val="24"/>
        </w:rPr>
      </w:pPr>
    </w:p>
    <w:p w14:paraId="19000881" w14:textId="7CBB8E30" w:rsidR="00D94DC4" w:rsidRDefault="00D94DC4" w:rsidP="002B1283">
      <w:pPr>
        <w:rPr>
          <w:rFonts w:ascii="Arial Black" w:hAnsi="Arial Black"/>
          <w:b/>
          <w:sz w:val="24"/>
          <w:szCs w:val="24"/>
        </w:rPr>
      </w:pPr>
      <w:r>
        <w:rPr>
          <w:rFonts w:ascii="Arial Black" w:hAnsi="Arial Black"/>
          <w:b/>
          <w:sz w:val="24"/>
          <w:szCs w:val="24"/>
        </w:rPr>
        <w:t>1-51</w:t>
      </w:r>
    </w:p>
    <w:p w14:paraId="46DA5E2E" w14:textId="77777777" w:rsidR="00D94DC4" w:rsidRDefault="00D94DC4" w:rsidP="00D94DC4">
      <w:pPr>
        <w:spacing w:before="100" w:beforeAutospacing="1" w:after="100" w:afterAutospacing="1" w:line="240" w:lineRule="auto"/>
        <w:jc w:val="both"/>
        <w:rPr>
          <w:rFonts w:ascii="Arial Black" w:eastAsia="Times New Roman" w:hAnsi="Arial Black"/>
          <w:b/>
          <w:bCs/>
          <w:sz w:val="28"/>
          <w:szCs w:val="28"/>
        </w:rPr>
      </w:pPr>
      <w:r w:rsidRPr="002A7FBD">
        <w:rPr>
          <w:rFonts w:ascii="Arial Black" w:eastAsia="Times New Roman" w:hAnsi="Arial Black"/>
          <w:b/>
          <w:bCs/>
          <w:sz w:val="28"/>
          <w:szCs w:val="28"/>
        </w:rPr>
        <w:t>U.S.</w:t>
      </w:r>
      <w:r>
        <w:rPr>
          <w:rFonts w:ascii="Arial Black" w:eastAsia="Times New Roman" w:hAnsi="Arial Black"/>
          <w:b/>
          <w:bCs/>
          <w:sz w:val="28"/>
          <w:szCs w:val="28"/>
        </w:rPr>
        <w:t xml:space="preserve"> SUP. CT: NJ GOV STAFF SHUT DOWN LANES GW BRIDGE – POL. “BACKBACK” MAYOR FT. LEE – FED. CONVICTIONS </w:t>
      </w:r>
      <w:r w:rsidRPr="00D13D07">
        <w:rPr>
          <w:rFonts w:ascii="Arial Black" w:eastAsia="Times New Roman" w:hAnsi="Arial Black"/>
          <w:sz w:val="28"/>
          <w:szCs w:val="28"/>
        </w:rPr>
        <w:t>PROGRAM FRAUD</w:t>
      </w:r>
      <w:r>
        <w:rPr>
          <w:rFonts w:ascii="Arial Black" w:eastAsia="Times New Roman" w:hAnsi="Arial Black"/>
          <w:sz w:val="28"/>
          <w:szCs w:val="28"/>
        </w:rPr>
        <w:t xml:space="preserve"> &amp; </w:t>
      </w:r>
      <w:r w:rsidRPr="00D13D07">
        <w:rPr>
          <w:rFonts w:ascii="Arial Black" w:eastAsia="Times New Roman" w:hAnsi="Arial Black"/>
          <w:sz w:val="28"/>
          <w:szCs w:val="28"/>
        </w:rPr>
        <w:t>WIRE FRAUD</w:t>
      </w:r>
      <w:r>
        <w:rPr>
          <w:rFonts w:ascii="Arial Black" w:eastAsia="Times New Roman" w:hAnsi="Arial Black"/>
          <w:sz w:val="28"/>
          <w:szCs w:val="28"/>
        </w:rPr>
        <w:t xml:space="preserve"> REVERSED  </w:t>
      </w:r>
      <w:r>
        <w:rPr>
          <w:rFonts w:ascii="Arial Black" w:eastAsia="Times New Roman" w:hAnsi="Arial Black"/>
          <w:b/>
          <w:bCs/>
          <w:sz w:val="28"/>
          <w:szCs w:val="28"/>
        </w:rPr>
        <w:t xml:space="preserve"> </w:t>
      </w:r>
    </w:p>
    <w:p w14:paraId="425BEA2B" w14:textId="77777777" w:rsidR="00D94DC4" w:rsidRPr="009920B4" w:rsidRDefault="00D94DC4" w:rsidP="00D94DC4">
      <w:pPr>
        <w:spacing w:before="100" w:beforeAutospacing="1" w:after="100" w:afterAutospacing="1" w:line="240" w:lineRule="auto"/>
        <w:jc w:val="both"/>
        <w:rPr>
          <w:rFonts w:ascii="Times New Roman" w:eastAsia="Times New Roman" w:hAnsi="Times New Roman"/>
          <w:sz w:val="24"/>
          <w:szCs w:val="24"/>
        </w:rPr>
      </w:pPr>
      <w:r w:rsidRPr="009920B4">
        <w:rPr>
          <w:rFonts w:ascii="Times New Roman" w:eastAsia="Times New Roman" w:hAnsi="Times New Roman"/>
          <w:sz w:val="24"/>
          <w:szCs w:val="24"/>
        </w:rPr>
        <w:t xml:space="preserve">On May 7, 2020, in </w:t>
      </w:r>
      <w:r w:rsidRPr="009920B4">
        <w:rPr>
          <w:rFonts w:ascii="Times New Roman" w:eastAsia="Times New Roman" w:hAnsi="Times New Roman"/>
          <w:sz w:val="24"/>
          <w:szCs w:val="24"/>
          <w:u w:val="single"/>
        </w:rPr>
        <w:t>Bridget Anne Kelly v. United States, et al</w:t>
      </w:r>
      <w:r w:rsidRPr="009920B4">
        <w:rPr>
          <w:rFonts w:ascii="Times New Roman" w:eastAsia="Times New Roman" w:hAnsi="Times New Roman"/>
          <w:sz w:val="24"/>
          <w:szCs w:val="24"/>
        </w:rPr>
        <w:t>., the U.S. Supreme Court (9 to 0) held that convictions of Ms. Kelly</w:t>
      </w:r>
      <w:r>
        <w:rPr>
          <w:rFonts w:ascii="Times New Roman" w:eastAsia="Times New Roman" w:hAnsi="Times New Roman"/>
          <w:sz w:val="24"/>
          <w:szCs w:val="24"/>
        </w:rPr>
        <w:t xml:space="preserve">, Deputy Chief of Staff of New Jersey Governor Chris Christie, </w:t>
      </w:r>
      <w:r w:rsidRPr="009920B4">
        <w:rPr>
          <w:rFonts w:ascii="Times New Roman" w:eastAsia="Times New Roman" w:hAnsi="Times New Roman"/>
          <w:sz w:val="24"/>
          <w:szCs w:val="24"/>
        </w:rPr>
        <w:t xml:space="preserve">and </w:t>
      </w:r>
      <w:r w:rsidRPr="009920B4">
        <w:rPr>
          <w:rFonts w:ascii="Times New Roman" w:hAnsi="Times New Roman"/>
          <w:sz w:val="24"/>
          <w:szCs w:val="24"/>
        </w:rPr>
        <w:t>William Baroni</w:t>
      </w:r>
      <w:r>
        <w:rPr>
          <w:rFonts w:ascii="Times New Roman" w:hAnsi="Times New Roman"/>
          <w:sz w:val="24"/>
          <w:szCs w:val="24"/>
        </w:rPr>
        <w:t xml:space="preserve">, Deputy Executive Director of tri-state Port Authority, </w:t>
      </w:r>
      <w:r w:rsidRPr="009920B4">
        <w:rPr>
          <w:rFonts w:ascii="Times New Roman" w:hAnsi="Times New Roman"/>
          <w:sz w:val="24"/>
          <w:szCs w:val="24"/>
        </w:rPr>
        <w:t xml:space="preserve">were reversed.  </w:t>
      </w:r>
      <w:r>
        <w:rPr>
          <w:rFonts w:ascii="Times New Roman" w:hAnsi="Times New Roman"/>
          <w:sz w:val="24"/>
          <w:szCs w:val="24"/>
        </w:rPr>
        <w:t>Justice Elana Kagan, writing for unanimous Court, wrote: “</w:t>
      </w:r>
      <w:r w:rsidRPr="009920B4">
        <w:rPr>
          <w:rFonts w:ascii="Times New Roman" w:hAnsi="Times New Roman"/>
          <w:sz w:val="24"/>
          <w:szCs w:val="24"/>
        </w:rPr>
        <w:t>But not every corrupt act by state or local officials is a federal crime. Because the scheme here did not aim to obtain money or property, Baroni and Kelly could not</w:t>
      </w:r>
      <w:r>
        <w:rPr>
          <w:rFonts w:ascii="Times New Roman" w:hAnsi="Times New Roman"/>
          <w:sz w:val="24"/>
          <w:szCs w:val="24"/>
        </w:rPr>
        <w:t xml:space="preserve"> </w:t>
      </w:r>
      <w:r w:rsidRPr="009920B4">
        <w:rPr>
          <w:rFonts w:ascii="Times New Roman" w:hAnsi="Times New Roman"/>
          <w:sz w:val="24"/>
          <w:szCs w:val="24"/>
        </w:rPr>
        <w:t xml:space="preserve">have violated the federal-program fraud or wire fraud </w:t>
      </w:r>
      <w:proofErr w:type="gramStart"/>
      <w:r w:rsidRPr="009920B4">
        <w:rPr>
          <w:rFonts w:ascii="Times New Roman" w:hAnsi="Times New Roman"/>
          <w:sz w:val="24"/>
          <w:szCs w:val="24"/>
        </w:rPr>
        <w:t>laws.</w:t>
      </w:r>
      <w:r>
        <w:rPr>
          <w:rFonts w:ascii="Times New Roman" w:hAnsi="Times New Roman"/>
          <w:sz w:val="24"/>
          <w:szCs w:val="24"/>
        </w:rPr>
        <w:t>”</w:t>
      </w:r>
      <w:proofErr w:type="gramEnd"/>
      <w:r>
        <w:rPr>
          <w:rFonts w:ascii="Times New Roman" w:hAnsi="Times New Roman"/>
          <w:sz w:val="24"/>
          <w:szCs w:val="24"/>
        </w:rPr>
        <w:t xml:space="preserve"> </w:t>
      </w:r>
      <w:hyperlink r:id="rId331" w:history="1">
        <w:r w:rsidRPr="00502F08">
          <w:rPr>
            <w:rStyle w:val="Hyperlink"/>
            <w:sz w:val="24"/>
            <w:szCs w:val="24"/>
          </w:rPr>
          <w:t>https://www.supremecourt.gov/opinions/19pdf/18-1059_e2p3.pdf</w:t>
        </w:r>
      </w:hyperlink>
      <w:r w:rsidRPr="009920B4">
        <w:rPr>
          <w:rFonts w:ascii="Times New Roman" w:hAnsi="Times New Roman"/>
          <w:sz w:val="24"/>
          <w:szCs w:val="24"/>
        </w:rPr>
        <w:t xml:space="preserve"> </w:t>
      </w:r>
    </w:p>
    <w:p w14:paraId="478DB97C" w14:textId="77777777" w:rsidR="00D94DC4" w:rsidRPr="008A7C9E" w:rsidRDefault="00D94DC4" w:rsidP="00D94DC4">
      <w:pPr>
        <w:spacing w:before="100" w:beforeAutospacing="1" w:after="100" w:afterAutospacing="1" w:line="240" w:lineRule="auto"/>
        <w:jc w:val="both"/>
        <w:rPr>
          <w:rFonts w:ascii="Times New Roman" w:eastAsia="Times New Roman" w:hAnsi="Times New Roman"/>
          <w:b/>
          <w:bCs/>
          <w:sz w:val="24"/>
          <w:szCs w:val="24"/>
        </w:rPr>
      </w:pPr>
      <w:r w:rsidRPr="008A7C9E">
        <w:rPr>
          <w:rFonts w:ascii="Times New Roman" w:hAnsi="Times New Roman"/>
          <w:b/>
          <w:bCs/>
          <w:sz w:val="24"/>
          <w:szCs w:val="24"/>
        </w:rPr>
        <w:t>Legal Lessons Learned: Public corruption is a common issue; Fire &amp; EMS must be extremely careful in expending funds for only public purposes</w:t>
      </w:r>
      <w:r>
        <w:rPr>
          <w:rFonts w:ascii="Times New Roman" w:hAnsi="Times New Roman"/>
          <w:b/>
          <w:bCs/>
          <w:sz w:val="24"/>
          <w:szCs w:val="24"/>
        </w:rPr>
        <w:t xml:space="preserve"> [classic case of using fire engine to fill a politician’s pool can result in state criminal charges]. </w:t>
      </w:r>
    </w:p>
    <w:p w14:paraId="07F23BA6" w14:textId="77777777" w:rsidR="00D94DC4" w:rsidRDefault="00D94DC4" w:rsidP="002B1283">
      <w:pPr>
        <w:rPr>
          <w:rFonts w:ascii="Arial Black" w:hAnsi="Arial Black"/>
          <w:b/>
          <w:sz w:val="24"/>
          <w:szCs w:val="24"/>
        </w:rPr>
      </w:pPr>
    </w:p>
    <w:p w14:paraId="585EEE4F" w14:textId="77777777" w:rsidR="00D94DC4" w:rsidRDefault="00D94DC4" w:rsidP="002B1283">
      <w:pPr>
        <w:rPr>
          <w:rFonts w:ascii="Arial Black" w:hAnsi="Arial Black"/>
          <w:b/>
          <w:sz w:val="24"/>
          <w:szCs w:val="24"/>
        </w:rPr>
      </w:pPr>
    </w:p>
    <w:p w14:paraId="270B12B9" w14:textId="77777777" w:rsidR="00D94DC4" w:rsidRDefault="00D94DC4" w:rsidP="002B1283">
      <w:pPr>
        <w:rPr>
          <w:rFonts w:ascii="Arial Black" w:hAnsi="Arial Black"/>
          <w:b/>
          <w:sz w:val="24"/>
          <w:szCs w:val="24"/>
        </w:rPr>
      </w:pPr>
    </w:p>
    <w:p w14:paraId="179AF845" w14:textId="2DE2F4D1" w:rsidR="00A01ACA" w:rsidRDefault="00A01ACA" w:rsidP="002B1283">
      <w:pPr>
        <w:rPr>
          <w:rFonts w:ascii="Arial Black" w:hAnsi="Arial Black"/>
          <w:b/>
          <w:sz w:val="24"/>
          <w:szCs w:val="24"/>
        </w:rPr>
      </w:pPr>
      <w:r>
        <w:rPr>
          <w:rFonts w:ascii="Arial Black" w:hAnsi="Arial Black"/>
          <w:b/>
          <w:sz w:val="24"/>
          <w:szCs w:val="24"/>
        </w:rPr>
        <w:t>1-</w:t>
      </w:r>
      <w:r w:rsidR="00D94DC4">
        <w:rPr>
          <w:rFonts w:ascii="Arial Black" w:hAnsi="Arial Black"/>
          <w:b/>
          <w:sz w:val="24"/>
          <w:szCs w:val="24"/>
        </w:rPr>
        <w:t>50</w:t>
      </w:r>
    </w:p>
    <w:p w14:paraId="5CD7EC60" w14:textId="77777777" w:rsidR="00A01ACA" w:rsidRPr="00845EB0" w:rsidRDefault="00A01ACA" w:rsidP="00A01ACA">
      <w:pPr>
        <w:pStyle w:val="NoSpacing"/>
        <w:rPr>
          <w:rStyle w:val="citation"/>
          <w:rFonts w:ascii="Arial Black" w:hAnsi="Arial Black"/>
          <w:sz w:val="28"/>
          <w:szCs w:val="28"/>
        </w:rPr>
      </w:pPr>
      <w:r w:rsidRPr="001A0E1F">
        <w:rPr>
          <w:rStyle w:val="citation"/>
          <w:rFonts w:ascii="Arial Black" w:hAnsi="Arial Black"/>
          <w:sz w:val="28"/>
          <w:szCs w:val="28"/>
        </w:rPr>
        <w:t xml:space="preserve">FL: </w:t>
      </w:r>
      <w:r>
        <w:rPr>
          <w:rStyle w:val="citation"/>
          <w:rFonts w:ascii="Arial Black" w:hAnsi="Arial Black"/>
          <w:sz w:val="28"/>
          <w:szCs w:val="28"/>
        </w:rPr>
        <w:t xml:space="preserve">POLICE CANINES – BOTH ALERTED BODY ODOR IN CAR - MURDER CONVICTION UPHELD - </w:t>
      </w:r>
      <w:r w:rsidRPr="00845EB0">
        <w:rPr>
          <w:rStyle w:val="citation"/>
          <w:rFonts w:ascii="Arial Black" w:hAnsi="Arial Black"/>
          <w:i/>
          <w:iCs/>
          <w:sz w:val="28"/>
          <w:szCs w:val="28"/>
        </w:rPr>
        <w:t>DAUBERT</w:t>
      </w:r>
      <w:r>
        <w:rPr>
          <w:rStyle w:val="citation"/>
          <w:rFonts w:ascii="Arial Black" w:hAnsi="Arial Black"/>
          <w:i/>
          <w:iCs/>
          <w:sz w:val="28"/>
          <w:szCs w:val="28"/>
        </w:rPr>
        <w:t xml:space="preserve"> </w:t>
      </w:r>
      <w:r>
        <w:rPr>
          <w:rStyle w:val="citation"/>
          <w:rFonts w:ascii="Arial Black" w:hAnsi="Arial Black"/>
          <w:sz w:val="28"/>
          <w:szCs w:val="28"/>
        </w:rPr>
        <w:t xml:space="preserve">STANDARD </w:t>
      </w:r>
    </w:p>
    <w:p w14:paraId="45E88309" w14:textId="77777777" w:rsidR="006E2F85" w:rsidRDefault="006E2F85" w:rsidP="00A01ACA">
      <w:pPr>
        <w:tabs>
          <w:tab w:val="left" w:pos="5590"/>
        </w:tabs>
        <w:rPr>
          <w:rStyle w:val="citation"/>
          <w:rFonts w:ascii="Times New Roman" w:hAnsi="Times New Roman"/>
          <w:sz w:val="24"/>
          <w:szCs w:val="24"/>
        </w:rPr>
      </w:pPr>
    </w:p>
    <w:p w14:paraId="23A1618A" w14:textId="4DE0D8C3" w:rsidR="00A01ACA" w:rsidRDefault="00A01ACA" w:rsidP="00A01ACA">
      <w:pPr>
        <w:tabs>
          <w:tab w:val="left" w:pos="5590"/>
        </w:tabs>
        <w:rPr>
          <w:rStyle w:val="citation"/>
          <w:rFonts w:ascii="Times New Roman" w:hAnsi="Times New Roman"/>
          <w:sz w:val="24"/>
          <w:szCs w:val="24"/>
        </w:rPr>
      </w:pPr>
      <w:r w:rsidRPr="00002F10">
        <w:rPr>
          <w:rStyle w:val="citation"/>
          <w:rFonts w:ascii="Times New Roman" w:hAnsi="Times New Roman"/>
          <w:sz w:val="24"/>
          <w:szCs w:val="24"/>
        </w:rPr>
        <w:t xml:space="preserve">On April 22, 2020, in </w:t>
      </w:r>
      <w:r w:rsidRPr="00002F10">
        <w:rPr>
          <w:rStyle w:val="citation"/>
          <w:rFonts w:ascii="Times New Roman" w:hAnsi="Times New Roman"/>
          <w:sz w:val="24"/>
          <w:szCs w:val="24"/>
          <w:u w:val="single"/>
        </w:rPr>
        <w:t>Cid Torrez v. State of Florida</w:t>
      </w:r>
      <w:r w:rsidRPr="00002F10">
        <w:rPr>
          <w:rStyle w:val="citation"/>
          <w:rFonts w:ascii="Times New Roman" w:hAnsi="Times New Roman"/>
          <w:sz w:val="24"/>
          <w:szCs w:val="24"/>
        </w:rPr>
        <w:t xml:space="preserve">, </w:t>
      </w:r>
      <w:r>
        <w:rPr>
          <w:rStyle w:val="citation"/>
          <w:rFonts w:ascii="Times New Roman" w:hAnsi="Times New Roman"/>
          <w:sz w:val="24"/>
          <w:szCs w:val="24"/>
        </w:rPr>
        <w:t xml:space="preserve">the District Court of Appeal of the State of Florida (Fourth District), held (3 to 0) that the trial court properly allowed two police detectives and an expert witness to testify that the dogs alerted to human body odor in trunk of defendant’s vehicle. The defendant was convicted of </w:t>
      </w:r>
      <w:proofErr w:type="gramStart"/>
      <w:r>
        <w:rPr>
          <w:rStyle w:val="citation"/>
          <w:rFonts w:ascii="Times New Roman" w:hAnsi="Times New Roman"/>
          <w:sz w:val="24"/>
          <w:szCs w:val="24"/>
        </w:rPr>
        <w:t>murder of</w:t>
      </w:r>
      <w:proofErr w:type="gramEnd"/>
      <w:r>
        <w:rPr>
          <w:rStyle w:val="citation"/>
          <w:rFonts w:ascii="Times New Roman" w:hAnsi="Times New Roman"/>
          <w:sz w:val="24"/>
          <w:szCs w:val="24"/>
        </w:rPr>
        <w:t xml:space="preserve"> his wife, even though her body was never discovered.  The Court found canine evidence admissible under the </w:t>
      </w:r>
      <w:r w:rsidRPr="00832E13">
        <w:rPr>
          <w:rStyle w:val="citation"/>
          <w:rFonts w:ascii="Times New Roman" w:hAnsi="Times New Roman"/>
          <w:i/>
          <w:iCs/>
          <w:sz w:val="24"/>
          <w:szCs w:val="24"/>
        </w:rPr>
        <w:t>Daubert</w:t>
      </w:r>
      <w:r>
        <w:rPr>
          <w:rStyle w:val="citation"/>
          <w:rFonts w:ascii="Times New Roman" w:hAnsi="Times New Roman"/>
          <w:sz w:val="24"/>
          <w:szCs w:val="24"/>
        </w:rPr>
        <w:t xml:space="preserve"> standard [U.S. Supreme Court’s decision in </w:t>
      </w:r>
      <w:r w:rsidRPr="00832E13">
        <w:rPr>
          <w:rFonts w:ascii="Times New Roman" w:hAnsi="Times New Roman"/>
          <w:sz w:val="24"/>
          <w:szCs w:val="24"/>
        </w:rPr>
        <w:t>Daubert v. Merrell Dow Pharmaceuticals (92-102), 509 U.S. 579 (1993)</w:t>
      </w:r>
      <w:r>
        <w:rPr>
          <w:rFonts w:ascii="Times New Roman" w:hAnsi="Times New Roman"/>
          <w:sz w:val="24"/>
          <w:szCs w:val="24"/>
        </w:rPr>
        <w:t>]</w:t>
      </w:r>
      <w:r w:rsidRPr="00832E13">
        <w:rPr>
          <w:rFonts w:ascii="Times New Roman" w:hAnsi="Times New Roman"/>
          <w:sz w:val="24"/>
          <w:szCs w:val="24"/>
        </w:rPr>
        <w:t xml:space="preserve">. </w:t>
      </w:r>
      <w:bookmarkStart w:id="22" w:name="_Hlk39765274"/>
      <w:r>
        <w:rPr>
          <w:rStyle w:val="citation"/>
          <w:rFonts w:ascii="Times New Roman" w:hAnsi="Times New Roman"/>
          <w:sz w:val="24"/>
          <w:szCs w:val="24"/>
        </w:rPr>
        <w:t xml:space="preserve">Judge Mark W. Klingensmith, in his decision for the Court, cited Bob Dylan song: </w:t>
      </w:r>
    </w:p>
    <w:p w14:paraId="01279F70" w14:textId="77777777" w:rsidR="00A01ACA" w:rsidRDefault="00A01ACA" w:rsidP="00A01ACA">
      <w:pPr>
        <w:tabs>
          <w:tab w:val="left" w:pos="5590"/>
        </w:tabs>
        <w:ind w:left="720"/>
        <w:rPr>
          <w:rStyle w:val="citation"/>
          <w:rFonts w:ascii="Times New Roman" w:hAnsi="Times New Roman"/>
          <w:sz w:val="24"/>
          <w:szCs w:val="24"/>
        </w:rPr>
      </w:pPr>
      <w:r>
        <w:rPr>
          <w:rStyle w:val="citation"/>
          <w:rFonts w:ascii="Times New Roman" w:hAnsi="Times New Roman"/>
          <w:sz w:val="24"/>
          <w:szCs w:val="24"/>
        </w:rPr>
        <w:t xml:space="preserve"> </w:t>
      </w:r>
      <w:r w:rsidRPr="00002F10">
        <w:rPr>
          <w:rStyle w:val="citation"/>
          <w:rFonts w:ascii="Times New Roman" w:hAnsi="Times New Roman"/>
          <w:sz w:val="24"/>
          <w:szCs w:val="24"/>
        </w:rPr>
        <w:t>“</w:t>
      </w:r>
      <w:r w:rsidRPr="00002F10">
        <w:rPr>
          <w:rFonts w:ascii="Times New Roman" w:hAnsi="Times New Roman"/>
          <w:sz w:val="24"/>
          <w:szCs w:val="24"/>
        </w:rPr>
        <w:t xml:space="preserve">The evidence of the reliability of a dog’s alert is “readily understood by a jury.” … </w:t>
      </w:r>
      <w:r w:rsidRPr="00002F10">
        <w:rPr>
          <w:rStyle w:val="citation"/>
          <w:rFonts w:ascii="Times New Roman" w:hAnsi="Times New Roman"/>
          <w:sz w:val="24"/>
          <w:szCs w:val="24"/>
        </w:rPr>
        <w:t xml:space="preserve"> </w:t>
      </w:r>
      <w:r w:rsidRPr="00002F10">
        <w:rPr>
          <w:rFonts w:ascii="Times New Roman" w:hAnsi="Times New Roman"/>
          <w:sz w:val="24"/>
          <w:szCs w:val="24"/>
        </w:rPr>
        <w:t xml:space="preserve">Or as </w:t>
      </w:r>
      <w:r>
        <w:rPr>
          <w:rFonts w:ascii="Times New Roman" w:hAnsi="Times New Roman"/>
          <w:sz w:val="24"/>
          <w:szCs w:val="24"/>
        </w:rPr>
        <w:t xml:space="preserve">    </w:t>
      </w:r>
      <w:r w:rsidRPr="00002F10">
        <w:rPr>
          <w:rFonts w:ascii="Times New Roman" w:hAnsi="Times New Roman"/>
          <w:sz w:val="24"/>
          <w:szCs w:val="24"/>
        </w:rPr>
        <w:t>Bob Dylan once said, “you don’t need a weatherman to know which way the wind blows.” BOB DYLAN,</w:t>
      </w:r>
      <w:r>
        <w:rPr>
          <w:rFonts w:ascii="Times New Roman" w:hAnsi="Times New Roman"/>
          <w:sz w:val="24"/>
          <w:szCs w:val="24"/>
        </w:rPr>
        <w:t xml:space="preserve"> </w:t>
      </w:r>
      <w:r w:rsidRPr="00002F10">
        <w:rPr>
          <w:rFonts w:ascii="Times New Roman" w:hAnsi="Times New Roman"/>
          <w:sz w:val="24"/>
          <w:szCs w:val="24"/>
        </w:rPr>
        <w:t>Subterranean Homesick Blues, on BRINGING IT ALL BACK HOME (Columbia Records 1965).</w:t>
      </w:r>
      <w:r>
        <w:rPr>
          <w:rFonts w:ascii="Times New Roman" w:hAnsi="Times New Roman"/>
          <w:sz w:val="24"/>
          <w:szCs w:val="24"/>
        </w:rPr>
        <w:t xml:space="preserve">” </w:t>
      </w:r>
      <w:hyperlink r:id="rId332" w:history="1">
        <w:r w:rsidRPr="00643124">
          <w:rPr>
            <w:rStyle w:val="Hyperlink"/>
            <w:rFonts w:ascii="Times New Roman" w:hAnsi="Times New Roman"/>
            <w:sz w:val="24"/>
            <w:szCs w:val="24"/>
          </w:rPr>
          <w:t>https://www.courtlistener.com/opinion/4747432/cid-torrez-v-state-of-florida/</w:t>
        </w:r>
      </w:hyperlink>
      <w:r>
        <w:rPr>
          <w:rFonts w:ascii="Times New Roman" w:hAnsi="Times New Roman"/>
          <w:sz w:val="24"/>
          <w:szCs w:val="24"/>
        </w:rPr>
        <w:t xml:space="preserve"> </w:t>
      </w:r>
    </w:p>
    <w:bookmarkEnd w:id="22"/>
    <w:p w14:paraId="72731103"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The </w:t>
      </w:r>
      <w:r w:rsidRPr="00976742">
        <w:rPr>
          <w:rFonts w:ascii="Times New Roman" w:hAnsi="Times New Roman"/>
          <w:b/>
          <w:bCs/>
          <w:i/>
          <w:iCs/>
          <w:sz w:val="24"/>
          <w:szCs w:val="24"/>
        </w:rPr>
        <w:t xml:space="preserve">Daubert </w:t>
      </w:r>
      <w:r w:rsidRPr="00976742">
        <w:rPr>
          <w:rFonts w:ascii="Times New Roman" w:hAnsi="Times New Roman"/>
          <w:b/>
          <w:bCs/>
          <w:sz w:val="24"/>
          <w:szCs w:val="24"/>
        </w:rPr>
        <w:t xml:space="preserve">standard must be met for expert testimony, including testimony by canine handlers.  </w:t>
      </w:r>
    </w:p>
    <w:p w14:paraId="436092BB" w14:textId="77777777" w:rsidR="00A01ACA" w:rsidRPr="00976742" w:rsidRDefault="00A01ACA" w:rsidP="00A01ACA">
      <w:pPr>
        <w:pStyle w:val="NoSpacing"/>
        <w:rPr>
          <w:rFonts w:ascii="Times New Roman" w:hAnsi="Times New Roman"/>
          <w:b/>
          <w:bCs/>
          <w:sz w:val="24"/>
          <w:szCs w:val="24"/>
        </w:rPr>
      </w:pPr>
    </w:p>
    <w:p w14:paraId="6AE9E679"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Note: The U.S. Supreme Court decision in </w:t>
      </w:r>
      <w:r w:rsidRPr="00976742">
        <w:rPr>
          <w:rFonts w:ascii="Times New Roman" w:hAnsi="Times New Roman"/>
          <w:bCs/>
          <w:i/>
          <w:iCs/>
          <w:sz w:val="24"/>
          <w:szCs w:val="24"/>
        </w:rPr>
        <w:t>Daubert v. Merrell Dow Pharmaceuticals, Inc.</w:t>
      </w:r>
      <w:r w:rsidRPr="00976742">
        <w:rPr>
          <w:rFonts w:ascii="Times New Roman" w:hAnsi="Times New Roman"/>
          <w:bCs/>
          <w:sz w:val="24"/>
          <w:szCs w:val="24"/>
        </w:rPr>
        <w:t xml:space="preserve">, 509 U.S. 579 (1993), involved a lawsuit alleging that birth defects might have been caused by pregnant women taking Bendectin for anti-nausea.  The federal judge granted summary judgment to Merrell Dow, finding plaintiff’s expert testimony was not based on medical studies of humans, but based “upon ‘in vitro’ (test tube) and ‘in vivo’ (live) animal studies that found a link between Bendectin and malformations.”  </w:t>
      </w:r>
      <w:hyperlink r:id="rId333" w:history="1">
        <w:r w:rsidRPr="00976742">
          <w:rPr>
            <w:rStyle w:val="Hyperlink"/>
            <w:rFonts w:ascii="Times New Roman" w:hAnsi="Times New Roman"/>
            <w:b/>
            <w:sz w:val="24"/>
            <w:szCs w:val="24"/>
          </w:rPr>
          <w:t>https://www.law.cornell.edu/supct/html/92-102.ZO.html</w:t>
        </w:r>
      </w:hyperlink>
      <w:r w:rsidRPr="00976742">
        <w:rPr>
          <w:rFonts w:ascii="Times New Roman" w:hAnsi="Times New Roman"/>
          <w:bCs/>
          <w:sz w:val="24"/>
          <w:szCs w:val="24"/>
        </w:rPr>
        <w:t>.   The Supreme Court remanded the case, and directed the judge to decide if the plaintiffs’ experts met Rule 702 of the Federal Rules of Evidence, which provides (in part):</w:t>
      </w:r>
    </w:p>
    <w:p w14:paraId="2A3BA84B" w14:textId="77777777" w:rsidR="00A01ACA" w:rsidRPr="00976742" w:rsidRDefault="00A01ACA" w:rsidP="00A01ACA">
      <w:pPr>
        <w:pStyle w:val="NoSpacing"/>
        <w:ind w:left="1440"/>
        <w:rPr>
          <w:rFonts w:ascii="Times New Roman" w:eastAsia="Times New Roman" w:hAnsi="Times New Roman"/>
          <w:b/>
          <w:bCs/>
          <w:sz w:val="24"/>
          <w:szCs w:val="24"/>
        </w:rPr>
      </w:pPr>
    </w:p>
    <w:p w14:paraId="4DB4144C" w14:textId="77777777" w:rsidR="00A01ACA" w:rsidRPr="00976742" w:rsidRDefault="00A01ACA" w:rsidP="00A01ACA">
      <w:pPr>
        <w:pStyle w:val="NoSpacing"/>
        <w:ind w:left="1440"/>
        <w:rPr>
          <w:rFonts w:ascii="Times New Roman" w:hAnsi="Times New Roman"/>
          <w:b/>
          <w:bCs/>
          <w:sz w:val="24"/>
          <w:szCs w:val="24"/>
        </w:rPr>
      </w:pPr>
      <w:r>
        <w:rPr>
          <w:rFonts w:ascii="Times New Roman" w:eastAsia="Times New Roman" w:hAnsi="Times New Roman"/>
          <w:bCs/>
          <w:sz w:val="24"/>
          <w:szCs w:val="24"/>
        </w:rPr>
        <w:t>“</w:t>
      </w:r>
      <w:r w:rsidRPr="00976742">
        <w:rPr>
          <w:rFonts w:ascii="Times New Roman" w:eastAsia="Times New Roman" w:hAnsi="Times New Roman"/>
          <w:bCs/>
          <w:sz w:val="24"/>
          <w:szCs w:val="24"/>
        </w:rPr>
        <w:t>If scientific, technical, or other specialized knowledge will assist the trier of fact to understand the evidence or to determine a fact in issue, a witness qualified as an expert by knowledge, skill, experience, training, or education, may testify thereto in the form of an opinion or otherwise...</w:t>
      </w:r>
      <w:r>
        <w:rPr>
          <w:rFonts w:ascii="Times New Roman" w:eastAsia="Times New Roman" w:hAnsi="Times New Roman"/>
          <w:bCs/>
          <w:sz w:val="24"/>
          <w:szCs w:val="24"/>
        </w:rPr>
        <w:t>.”</w:t>
      </w:r>
      <w:r w:rsidRPr="00976742">
        <w:rPr>
          <w:rFonts w:ascii="Times New Roman" w:eastAsia="Times New Roman" w:hAnsi="Times New Roman"/>
          <w:bCs/>
          <w:sz w:val="24"/>
          <w:szCs w:val="24"/>
        </w:rPr>
        <w:t xml:space="preserve"> </w:t>
      </w:r>
    </w:p>
    <w:p w14:paraId="107B734A" w14:textId="77777777" w:rsidR="00A01ACA" w:rsidRPr="00976742" w:rsidRDefault="00A01ACA" w:rsidP="00A01ACA">
      <w:pPr>
        <w:pStyle w:val="NoSpacing"/>
        <w:ind w:left="720"/>
        <w:rPr>
          <w:rFonts w:ascii="Times New Roman" w:hAnsi="Times New Roman"/>
          <w:b/>
          <w:bCs/>
          <w:i/>
          <w:iCs/>
          <w:sz w:val="24"/>
          <w:szCs w:val="24"/>
        </w:rPr>
      </w:pPr>
    </w:p>
    <w:p w14:paraId="6B02A2E4"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The U.S. Supreme Court applied those standards in </w:t>
      </w:r>
      <w:r w:rsidRPr="00976742">
        <w:rPr>
          <w:rFonts w:ascii="Times New Roman" w:hAnsi="Times New Roman"/>
          <w:bCs/>
          <w:i/>
          <w:iCs/>
          <w:sz w:val="24"/>
          <w:szCs w:val="24"/>
        </w:rPr>
        <w:t>Kumho Tire Co. v. Carmichael</w:t>
      </w:r>
      <w:r w:rsidRPr="00976742">
        <w:rPr>
          <w:rFonts w:ascii="Times New Roman" w:hAnsi="Times New Roman"/>
          <w:bCs/>
          <w:sz w:val="24"/>
          <w:szCs w:val="24"/>
        </w:rPr>
        <w:t xml:space="preserve">, 526 U.S. 137 (1999), involving steel belted radial tire on a minivan, where passenger was killed.  The Court rejected the plaintiff’s tire expert: “Applying these standards, we determine that the District Court's decision in this case—not to admit certain expert testimony—was within its discretion and therefore lawful.” </w:t>
      </w:r>
      <w:hyperlink r:id="rId334" w:history="1">
        <w:r w:rsidRPr="00976742">
          <w:rPr>
            <w:rStyle w:val="Hyperlink"/>
            <w:rFonts w:ascii="Times New Roman" w:hAnsi="Times New Roman"/>
            <w:b/>
            <w:sz w:val="24"/>
            <w:szCs w:val="24"/>
          </w:rPr>
          <w:t>https://scholar.google.com/scholar_case?case=11404623739922196630&amp;q=Kumho+Tire+Co.+v.+Carmichael&amp;hl=en&amp;as_sdt=6,36&amp;as_vis=1</w:t>
        </w:r>
      </w:hyperlink>
      <w:r w:rsidRPr="00976742">
        <w:rPr>
          <w:rFonts w:ascii="Times New Roman" w:hAnsi="Times New Roman"/>
          <w:bCs/>
          <w:sz w:val="24"/>
          <w:szCs w:val="24"/>
        </w:rPr>
        <w:t xml:space="preserve"> </w:t>
      </w:r>
    </w:p>
    <w:p w14:paraId="259B960B" w14:textId="77777777" w:rsidR="00A01ACA" w:rsidRDefault="00A01ACA" w:rsidP="002B1283">
      <w:pPr>
        <w:rPr>
          <w:rFonts w:ascii="Arial Black" w:hAnsi="Arial Black"/>
          <w:b/>
          <w:sz w:val="24"/>
          <w:szCs w:val="24"/>
        </w:rPr>
      </w:pPr>
    </w:p>
    <w:p w14:paraId="56904DE0" w14:textId="64536183" w:rsidR="00A01ACA" w:rsidRDefault="00D94DC4" w:rsidP="002B1283">
      <w:pPr>
        <w:rPr>
          <w:rFonts w:ascii="Arial Black" w:hAnsi="Arial Black"/>
          <w:b/>
          <w:sz w:val="24"/>
          <w:szCs w:val="24"/>
        </w:rPr>
      </w:pPr>
      <w:r>
        <w:rPr>
          <w:rFonts w:ascii="Arial Black" w:hAnsi="Arial Black"/>
          <w:b/>
          <w:sz w:val="24"/>
          <w:szCs w:val="24"/>
        </w:rPr>
        <w:t>1-49</w:t>
      </w:r>
    </w:p>
    <w:p w14:paraId="7E0BE56D" w14:textId="77777777" w:rsidR="00D94DC4" w:rsidRPr="005F058B" w:rsidRDefault="00D94DC4" w:rsidP="00D94DC4">
      <w:pPr>
        <w:spacing w:before="100" w:beforeAutospacing="1" w:after="100" w:afterAutospacing="1" w:line="240" w:lineRule="auto"/>
        <w:rPr>
          <w:rFonts w:ascii="Arial Black" w:eastAsia="Times New Roman" w:hAnsi="Arial Black"/>
          <w:b/>
          <w:bCs/>
          <w:sz w:val="28"/>
          <w:szCs w:val="28"/>
        </w:rPr>
      </w:pPr>
      <w:bookmarkStart w:id="23" w:name="_Hlk69187401"/>
      <w:r w:rsidRPr="005F058B">
        <w:rPr>
          <w:rFonts w:ascii="Arial Black" w:eastAsia="Times New Roman" w:hAnsi="Arial Black"/>
          <w:b/>
          <w:bCs/>
          <w:sz w:val="28"/>
          <w:szCs w:val="28"/>
        </w:rPr>
        <w:t xml:space="preserve">MN: </w:t>
      </w:r>
      <w:r>
        <w:rPr>
          <w:rFonts w:ascii="Arial Black" w:eastAsia="Times New Roman" w:hAnsi="Arial Black"/>
          <w:b/>
          <w:bCs/>
          <w:sz w:val="28"/>
          <w:szCs w:val="28"/>
        </w:rPr>
        <w:t xml:space="preserve">ARSON – HOMEOWNER INTENTIONALLY SET FIRE - 41 MONTHS PRISON – TRIAL JUDGE REJECTED PROBATION - KILLED DOG, LIED INVESTIGATORS, INSURANCE FRAUD </w:t>
      </w:r>
    </w:p>
    <w:bookmarkEnd w:id="23"/>
    <w:p w14:paraId="296D9018" w14:textId="77777777" w:rsidR="00D94DC4" w:rsidRDefault="00D94DC4" w:rsidP="00D94DC4">
      <w:pPr>
        <w:spacing w:before="100" w:beforeAutospacing="1" w:after="100" w:afterAutospacing="1" w:line="240" w:lineRule="auto"/>
        <w:rPr>
          <w:rFonts w:ascii="Times New Roman" w:eastAsia="Times New Roman" w:hAnsi="Times New Roman"/>
          <w:sz w:val="24"/>
          <w:szCs w:val="24"/>
        </w:rPr>
      </w:pPr>
      <w:r w:rsidRPr="008067AC">
        <w:rPr>
          <w:rFonts w:ascii="Times New Roman" w:eastAsia="Times New Roman" w:hAnsi="Times New Roman"/>
          <w:sz w:val="24"/>
          <w:szCs w:val="24"/>
        </w:rPr>
        <w:t xml:space="preserve">On April 13, 2020, in </w:t>
      </w:r>
      <w:r w:rsidRPr="008067AC">
        <w:rPr>
          <w:rFonts w:ascii="Times New Roman" w:eastAsia="Times New Roman" w:hAnsi="Times New Roman"/>
          <w:sz w:val="24"/>
          <w:szCs w:val="24"/>
          <w:u w:val="single"/>
        </w:rPr>
        <w:t>State of Minnesota v. Jeffrey George Ackerson, Jr.</w:t>
      </w:r>
      <w:r>
        <w:rPr>
          <w:rFonts w:ascii="Times New Roman" w:eastAsia="Times New Roman" w:hAnsi="Times New Roman"/>
          <w:sz w:val="24"/>
          <w:szCs w:val="24"/>
        </w:rPr>
        <w:t xml:space="preserve">, the State of Minnesota Court of Appeals, held (3 to 0) that the trial judge did not abuse his discretion in refusing to impose a reduced sentence. </w:t>
      </w:r>
      <w:bookmarkStart w:id="24" w:name="_Hlk69187457"/>
      <w:r w:rsidR="000F483A">
        <w:fldChar w:fldCharType="begin"/>
      </w:r>
      <w:r w:rsidR="000F483A">
        <w:instrText xml:space="preserve"> HYPERLINK "https://mn.gov/law-library-stat/archive/ctapun/2020/OPa190562-041320.pdf" </w:instrText>
      </w:r>
      <w:r w:rsidR="000F483A">
        <w:fldChar w:fldCharType="separate"/>
      </w:r>
      <w:r w:rsidRPr="00C46C1D">
        <w:rPr>
          <w:rStyle w:val="Hyperlink"/>
          <w:sz w:val="24"/>
          <w:szCs w:val="24"/>
        </w:rPr>
        <w:t>https://mn.gov/law-library-stat/archive/ctapun/2020/OPa190562-041320.pdf</w:t>
      </w:r>
      <w:r w:rsidR="000F483A">
        <w:rPr>
          <w:rStyle w:val="Hyperlink"/>
          <w:sz w:val="24"/>
          <w:szCs w:val="24"/>
        </w:rPr>
        <w:fldChar w:fldCharType="end"/>
      </w:r>
      <w:r>
        <w:rPr>
          <w:rFonts w:ascii="Times New Roman" w:eastAsia="Times New Roman" w:hAnsi="Times New Roman"/>
          <w:sz w:val="24"/>
          <w:szCs w:val="24"/>
        </w:rPr>
        <w:t xml:space="preserve"> </w:t>
      </w:r>
    </w:p>
    <w:bookmarkEnd w:id="24"/>
    <w:p w14:paraId="355638C3" w14:textId="77777777" w:rsidR="00D94DC4" w:rsidRPr="008067AC" w:rsidRDefault="00D94DC4" w:rsidP="00D94DC4">
      <w:pPr>
        <w:spacing w:before="100" w:beforeAutospacing="1" w:after="100" w:afterAutospacing="1" w:line="240" w:lineRule="auto"/>
        <w:jc w:val="both"/>
        <w:rPr>
          <w:rFonts w:ascii="Times New Roman" w:hAnsi="Times New Roman"/>
          <w:b/>
          <w:bCs/>
          <w:sz w:val="24"/>
          <w:szCs w:val="24"/>
        </w:rPr>
      </w:pPr>
      <w:r w:rsidRPr="008067AC">
        <w:rPr>
          <w:rFonts w:ascii="Times New Roman" w:hAnsi="Times New Roman"/>
          <w:b/>
          <w:bCs/>
          <w:sz w:val="24"/>
          <w:szCs w:val="24"/>
        </w:rPr>
        <w:t xml:space="preserve">Legal Lessons Learned: </w:t>
      </w:r>
      <w:r>
        <w:rPr>
          <w:rFonts w:ascii="Times New Roman" w:hAnsi="Times New Roman"/>
          <w:b/>
          <w:bCs/>
          <w:sz w:val="24"/>
          <w:szCs w:val="24"/>
        </w:rPr>
        <w:t xml:space="preserve">Minnesota uses presumptive sentencing guidelines; the trial court wisely rejected the public defender office </w:t>
      </w:r>
      <w:r w:rsidRPr="00C01962">
        <w:rPr>
          <w:rFonts w:ascii="Times New Roman" w:hAnsi="Times New Roman"/>
          <w:b/>
          <w:bCs/>
          <w:sz w:val="24"/>
          <w:szCs w:val="24"/>
        </w:rPr>
        <w:t>“dispositional advisor”</w:t>
      </w:r>
      <w:r>
        <w:rPr>
          <w:rFonts w:ascii="Times New Roman" w:hAnsi="Times New Roman"/>
          <w:b/>
          <w:bCs/>
          <w:sz w:val="24"/>
          <w:szCs w:val="24"/>
        </w:rPr>
        <w:t xml:space="preserve"> recommendation of probation. </w:t>
      </w:r>
    </w:p>
    <w:p w14:paraId="6DD0CB15" w14:textId="77777777" w:rsidR="00D94DC4" w:rsidRDefault="00D94DC4" w:rsidP="002B1283">
      <w:pPr>
        <w:rPr>
          <w:rFonts w:ascii="Arial Black" w:hAnsi="Arial Black"/>
          <w:b/>
          <w:sz w:val="24"/>
          <w:szCs w:val="24"/>
        </w:rPr>
      </w:pPr>
    </w:p>
    <w:p w14:paraId="54214AD2" w14:textId="77777777" w:rsidR="00A01ACA" w:rsidRDefault="00A01ACA" w:rsidP="002B1283">
      <w:pPr>
        <w:rPr>
          <w:rFonts w:ascii="Arial Black" w:hAnsi="Arial Black"/>
          <w:b/>
          <w:sz w:val="24"/>
          <w:szCs w:val="24"/>
        </w:rPr>
      </w:pPr>
    </w:p>
    <w:p w14:paraId="0E4FF9CA" w14:textId="749AE805" w:rsidR="00A01ACA" w:rsidRDefault="00A01ACA" w:rsidP="002B1283">
      <w:pPr>
        <w:rPr>
          <w:rFonts w:ascii="Arial Black" w:hAnsi="Arial Black"/>
          <w:b/>
          <w:sz w:val="24"/>
          <w:szCs w:val="24"/>
        </w:rPr>
      </w:pPr>
      <w:r>
        <w:rPr>
          <w:rFonts w:ascii="Arial Black" w:hAnsi="Arial Black"/>
          <w:b/>
          <w:sz w:val="24"/>
          <w:szCs w:val="24"/>
        </w:rPr>
        <w:t>1-4</w:t>
      </w:r>
      <w:r w:rsidR="00334940">
        <w:rPr>
          <w:rFonts w:ascii="Arial Black" w:hAnsi="Arial Black"/>
          <w:b/>
          <w:sz w:val="24"/>
          <w:szCs w:val="24"/>
        </w:rPr>
        <w:t>8</w:t>
      </w:r>
    </w:p>
    <w:p w14:paraId="5CD55791" w14:textId="77777777" w:rsidR="00A01ACA" w:rsidRPr="00B6039F" w:rsidRDefault="00A01ACA" w:rsidP="00A01ACA">
      <w:pPr>
        <w:pStyle w:val="NoSpacing"/>
        <w:rPr>
          <w:rFonts w:ascii="Arial Black" w:hAnsi="Arial Black"/>
          <w:sz w:val="28"/>
          <w:szCs w:val="28"/>
        </w:rPr>
      </w:pPr>
      <w:bookmarkStart w:id="25" w:name="_Hlk41315198"/>
      <w:r w:rsidRPr="00B6039F">
        <w:rPr>
          <w:rFonts w:ascii="Arial Black" w:hAnsi="Arial Black"/>
          <w:sz w:val="28"/>
          <w:szCs w:val="28"/>
        </w:rPr>
        <w:t>U.S. SUP</w:t>
      </w:r>
      <w:r>
        <w:rPr>
          <w:rFonts w:ascii="Arial Black" w:hAnsi="Arial Black"/>
          <w:sz w:val="28"/>
          <w:szCs w:val="28"/>
        </w:rPr>
        <w:t xml:space="preserve">. CT:  CRIMINAL CONV. MUST BE </w:t>
      </w:r>
      <w:r w:rsidRPr="00B6039F">
        <w:rPr>
          <w:rFonts w:ascii="Arial Black" w:hAnsi="Arial Black"/>
          <w:sz w:val="28"/>
          <w:szCs w:val="28"/>
        </w:rPr>
        <w:t>UNANIMOUS</w:t>
      </w:r>
      <w:r>
        <w:rPr>
          <w:rFonts w:ascii="Arial Black" w:hAnsi="Arial Black"/>
          <w:sz w:val="28"/>
          <w:szCs w:val="28"/>
        </w:rPr>
        <w:t xml:space="preserve"> JURY – LOUISIANA, OREGON 10-2 UNCONSTITUTIONAL</w:t>
      </w:r>
    </w:p>
    <w:p w14:paraId="7F8D42D8" w14:textId="77777777" w:rsidR="00A01ACA" w:rsidRDefault="00A01ACA" w:rsidP="00A01ACA">
      <w:pPr>
        <w:pStyle w:val="NoSpacing"/>
        <w:rPr>
          <w:sz w:val="27"/>
          <w:szCs w:val="27"/>
        </w:rPr>
      </w:pPr>
    </w:p>
    <w:p w14:paraId="694A4B42"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20, </w:t>
      </w:r>
      <w:proofErr w:type="gramStart"/>
      <w:r w:rsidRPr="00976742">
        <w:rPr>
          <w:rFonts w:ascii="Times New Roman" w:hAnsi="Times New Roman"/>
          <w:bCs/>
          <w:sz w:val="24"/>
          <w:szCs w:val="24"/>
        </w:rPr>
        <w:t>2020</w:t>
      </w:r>
      <w:proofErr w:type="gramEnd"/>
      <w:r w:rsidRPr="00976742">
        <w:rPr>
          <w:rFonts w:ascii="Times New Roman" w:hAnsi="Times New Roman"/>
          <w:bCs/>
          <w:sz w:val="24"/>
          <w:szCs w:val="24"/>
        </w:rPr>
        <w:t xml:space="preserve"> in </w:t>
      </w:r>
      <w:proofErr w:type="spellStart"/>
      <w:r w:rsidRPr="00976742">
        <w:rPr>
          <w:rFonts w:ascii="Times New Roman" w:hAnsi="Times New Roman"/>
          <w:bCs/>
          <w:sz w:val="24"/>
          <w:szCs w:val="24"/>
          <w:u w:val="single"/>
        </w:rPr>
        <w:t>Evangelisto</w:t>
      </w:r>
      <w:proofErr w:type="spellEnd"/>
      <w:r w:rsidRPr="00976742">
        <w:rPr>
          <w:rFonts w:ascii="Times New Roman" w:hAnsi="Times New Roman"/>
          <w:bCs/>
          <w:sz w:val="24"/>
          <w:szCs w:val="24"/>
          <w:u w:val="single"/>
        </w:rPr>
        <w:t xml:space="preserve"> Ramos v. Louisiana</w:t>
      </w:r>
      <w:r w:rsidRPr="00976742">
        <w:rPr>
          <w:rFonts w:ascii="Times New Roman" w:hAnsi="Times New Roman"/>
          <w:bCs/>
          <w:sz w:val="24"/>
          <w:szCs w:val="24"/>
        </w:rPr>
        <w:t xml:space="preserve">, the U.S. Supreme Court (6 to 3) set aside prior court precedent from 1972, overturned Ramos’s conviction for second-degree murder, and life imprisonment. Six Justices agreed on setting aside the conviction, but 4 of the 6 wrote concurring opinions outlining different legal reasoning. Louisiana and Oregon are the only states allowing convictions on less than unanimous verdicts (implemented in Louisiana in 1898 out of concern about African American jurors on jury; Oregon in 1930s implemented out of concern of KKK members getting on jury).  Louisiana in 2019 started requiring unanimous verdicts for crimes committed in 2019 or later.  Presumably they will re-try Ramos (an oil-supply boat worker, who admitted having consensual sex with </w:t>
      </w:r>
      <w:proofErr w:type="gramStart"/>
      <w:r w:rsidRPr="00976742">
        <w:rPr>
          <w:rFonts w:ascii="Times New Roman" w:hAnsi="Times New Roman"/>
          <w:bCs/>
          <w:sz w:val="24"/>
          <w:szCs w:val="24"/>
        </w:rPr>
        <w:t>43-year old</w:t>
      </w:r>
      <w:proofErr w:type="gramEnd"/>
      <w:r w:rsidRPr="00976742">
        <w:rPr>
          <w:rFonts w:ascii="Times New Roman" w:hAnsi="Times New Roman"/>
          <w:bCs/>
          <w:sz w:val="24"/>
          <w:szCs w:val="24"/>
        </w:rPr>
        <w:t xml:space="preserve"> </w:t>
      </w:r>
      <w:proofErr w:type="spellStart"/>
      <w:r w:rsidRPr="00976742">
        <w:rPr>
          <w:rFonts w:ascii="Times New Roman" w:hAnsi="Times New Roman"/>
          <w:bCs/>
          <w:sz w:val="24"/>
          <w:szCs w:val="24"/>
        </w:rPr>
        <w:t>Ternice</w:t>
      </w:r>
      <w:proofErr w:type="spellEnd"/>
      <w:r w:rsidRPr="00976742">
        <w:rPr>
          <w:rFonts w:ascii="Times New Roman" w:hAnsi="Times New Roman"/>
          <w:bCs/>
          <w:sz w:val="24"/>
          <w:szCs w:val="24"/>
        </w:rPr>
        <w:t xml:space="preserve"> Fedison the night before her body was stuffed into a garbage can).   </w:t>
      </w:r>
    </w:p>
    <w:p w14:paraId="6236074E" w14:textId="77777777" w:rsidR="00A01ACA" w:rsidRPr="00976742" w:rsidRDefault="00A01ACA" w:rsidP="00A01ACA">
      <w:pPr>
        <w:pStyle w:val="NoSpacing"/>
        <w:rPr>
          <w:rFonts w:ascii="Times New Roman" w:hAnsi="Times New Roman"/>
          <w:b/>
          <w:bCs/>
          <w:sz w:val="24"/>
          <w:szCs w:val="24"/>
        </w:rPr>
      </w:pPr>
    </w:p>
    <w:p w14:paraId="4DC31D7E" w14:textId="77777777" w:rsidR="00A01ACA" w:rsidRPr="00976742" w:rsidRDefault="00A01ACA" w:rsidP="00A01ACA">
      <w:pPr>
        <w:pStyle w:val="NoSpacing"/>
        <w:ind w:left="720"/>
        <w:rPr>
          <w:rFonts w:ascii="Times New Roman" w:hAnsi="Times New Roman"/>
          <w:b/>
          <w:bCs/>
          <w:sz w:val="24"/>
          <w:szCs w:val="24"/>
        </w:rPr>
      </w:pPr>
      <w:bookmarkStart w:id="26" w:name="_Hlk39765318"/>
      <w:r w:rsidRPr="00976742">
        <w:rPr>
          <w:rFonts w:ascii="Times New Roman" w:hAnsi="Times New Roman"/>
          <w:bCs/>
          <w:sz w:val="24"/>
          <w:szCs w:val="24"/>
        </w:rPr>
        <w:t xml:space="preserve">“On what ground would anyone </w:t>
      </w:r>
      <w:proofErr w:type="gramStart"/>
      <w:r w:rsidRPr="00976742">
        <w:rPr>
          <w:rFonts w:ascii="Times New Roman" w:hAnsi="Times New Roman"/>
          <w:bCs/>
          <w:sz w:val="24"/>
          <w:szCs w:val="24"/>
        </w:rPr>
        <w:t>have</w:t>
      </w:r>
      <w:proofErr w:type="gramEnd"/>
      <w:r w:rsidRPr="00976742">
        <w:rPr>
          <w:rFonts w:ascii="Times New Roman" w:hAnsi="Times New Roman"/>
          <w:bCs/>
          <w:sz w:val="24"/>
          <w:szCs w:val="24"/>
        </w:rPr>
        <w:t xml:space="preserve"> us leave Mr. Ramos in prison for the rest of his life? Not a single Member of this Court is prepared to say Louisiana secured his conviction constitutionally under the Sixth Amendment. No one </w:t>
      </w:r>
      <w:proofErr w:type="gramStart"/>
      <w:r w:rsidRPr="00976742">
        <w:rPr>
          <w:rFonts w:ascii="Times New Roman" w:hAnsi="Times New Roman"/>
          <w:bCs/>
          <w:sz w:val="24"/>
          <w:szCs w:val="24"/>
        </w:rPr>
        <w:t>be-fore</w:t>
      </w:r>
      <w:proofErr w:type="gramEnd"/>
      <w:r w:rsidRPr="00976742">
        <w:rPr>
          <w:rFonts w:ascii="Times New Roman" w:hAnsi="Times New Roman"/>
          <w:bCs/>
          <w:sz w:val="24"/>
          <w:szCs w:val="24"/>
        </w:rPr>
        <w:t xml:space="preserve"> us suggests that the error was harmless. Louisiana does not claim precedent commands an affirmance. In the end, the </w:t>
      </w:r>
      <w:proofErr w:type="gramStart"/>
      <w:r w:rsidRPr="00976742">
        <w:rPr>
          <w:rFonts w:ascii="Times New Roman" w:hAnsi="Times New Roman"/>
          <w:bCs/>
          <w:sz w:val="24"/>
          <w:szCs w:val="24"/>
        </w:rPr>
        <w:t>best</w:t>
      </w:r>
      <w:proofErr w:type="gramEnd"/>
      <w:r w:rsidRPr="00976742">
        <w:rPr>
          <w:rFonts w:ascii="Times New Roman" w:hAnsi="Times New Roman"/>
          <w:bCs/>
          <w:sz w:val="24"/>
          <w:szCs w:val="24"/>
        </w:rPr>
        <w:t xml:space="preserve"> anyone </w:t>
      </w:r>
      <w:proofErr w:type="gramStart"/>
      <w:r w:rsidRPr="00976742">
        <w:rPr>
          <w:rFonts w:ascii="Times New Roman" w:hAnsi="Times New Roman"/>
          <w:bCs/>
          <w:sz w:val="24"/>
          <w:szCs w:val="24"/>
        </w:rPr>
        <w:t>can</w:t>
      </w:r>
      <w:proofErr w:type="gramEnd"/>
      <w:r w:rsidRPr="00976742">
        <w:rPr>
          <w:rFonts w:ascii="Times New Roman" w:hAnsi="Times New Roman"/>
          <w:bCs/>
          <w:sz w:val="24"/>
          <w:szCs w:val="24"/>
        </w:rPr>
        <w:t xml:space="preserve"> seem to muster against Mr. Ramos is that, if we dared to admit in his case what we all know to be true about the Sixth Amendment, we might have to say the same in some others. But where is </w:t>
      </w:r>
      <w:proofErr w:type="gramStart"/>
      <w:r w:rsidRPr="00976742">
        <w:rPr>
          <w:rFonts w:ascii="Times New Roman" w:hAnsi="Times New Roman"/>
          <w:bCs/>
          <w:sz w:val="24"/>
          <w:szCs w:val="24"/>
        </w:rPr>
        <w:t>the justice</w:t>
      </w:r>
      <w:proofErr w:type="gramEnd"/>
      <w:r w:rsidRPr="00976742">
        <w:rPr>
          <w:rFonts w:ascii="Times New Roman" w:hAnsi="Times New Roman"/>
          <w:bCs/>
          <w:sz w:val="24"/>
          <w:szCs w:val="24"/>
        </w:rPr>
        <w:t xml:space="preserve"> in that? Every judge must learn to live with the fact he or she will make some mistakes; it comes with the territory. But it is something else entirely to perpetuate something we all know to be wrong only because we fear the consequences of being right. The judgment of the Court of Appeals is Reversed.” </w:t>
      </w:r>
      <w:hyperlink r:id="rId335" w:history="1">
        <w:r w:rsidRPr="00976742">
          <w:rPr>
            <w:rStyle w:val="Hyperlink"/>
            <w:rFonts w:ascii="Times New Roman" w:hAnsi="Times New Roman"/>
            <w:b/>
            <w:sz w:val="24"/>
            <w:szCs w:val="24"/>
          </w:rPr>
          <w:t>https://www.supremecourt.gov/opinions/19pdf/18-5924_n6io.pdf</w:t>
        </w:r>
      </w:hyperlink>
      <w:r w:rsidRPr="00976742">
        <w:rPr>
          <w:rFonts w:ascii="Times New Roman" w:hAnsi="Times New Roman"/>
          <w:bCs/>
          <w:sz w:val="24"/>
          <w:szCs w:val="24"/>
        </w:rPr>
        <w:t xml:space="preserve"> </w:t>
      </w:r>
    </w:p>
    <w:bookmarkEnd w:id="26"/>
    <w:p w14:paraId="7F74FADB" w14:textId="77777777" w:rsidR="00A01ACA" w:rsidRDefault="00A01ACA" w:rsidP="00A01ACA">
      <w:pPr>
        <w:pStyle w:val="NoSpacing"/>
        <w:rPr>
          <w:rFonts w:ascii="Times New Roman" w:hAnsi="Times New Roman"/>
          <w:b/>
          <w:bCs/>
          <w:sz w:val="24"/>
          <w:szCs w:val="24"/>
        </w:rPr>
      </w:pPr>
    </w:p>
    <w:p w14:paraId="6DFB1564" w14:textId="54709E4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Our Nation will now be uniform – unanimous jury verdicts will be required to convict (or to acquit). </w:t>
      </w:r>
    </w:p>
    <w:bookmarkEnd w:id="25"/>
    <w:p w14:paraId="41B593FD" w14:textId="77777777" w:rsidR="00A01ACA" w:rsidRDefault="00A01ACA" w:rsidP="002B1283">
      <w:pPr>
        <w:rPr>
          <w:rFonts w:ascii="Arial Black" w:hAnsi="Arial Black"/>
          <w:b/>
          <w:sz w:val="24"/>
          <w:szCs w:val="24"/>
        </w:rPr>
      </w:pPr>
    </w:p>
    <w:p w14:paraId="6A22381E" w14:textId="77777777" w:rsidR="00A01ACA" w:rsidRDefault="00A01ACA" w:rsidP="002B1283">
      <w:pPr>
        <w:rPr>
          <w:rFonts w:ascii="Arial Black" w:hAnsi="Arial Black"/>
          <w:b/>
          <w:sz w:val="24"/>
          <w:szCs w:val="24"/>
        </w:rPr>
      </w:pPr>
    </w:p>
    <w:p w14:paraId="6562A152" w14:textId="77777777" w:rsidR="00A01ACA" w:rsidRDefault="00A01ACA" w:rsidP="002B1283">
      <w:pPr>
        <w:rPr>
          <w:rFonts w:ascii="Arial Black" w:hAnsi="Arial Black"/>
          <w:b/>
          <w:sz w:val="24"/>
          <w:szCs w:val="24"/>
        </w:rPr>
      </w:pPr>
    </w:p>
    <w:p w14:paraId="24419917" w14:textId="6BCF8A7B" w:rsidR="00A01ACA" w:rsidRDefault="00A01ACA" w:rsidP="002B1283">
      <w:pPr>
        <w:rPr>
          <w:rFonts w:ascii="Arial Black" w:hAnsi="Arial Black"/>
          <w:b/>
          <w:sz w:val="24"/>
          <w:szCs w:val="24"/>
        </w:rPr>
      </w:pPr>
      <w:r>
        <w:rPr>
          <w:rFonts w:ascii="Arial Black" w:hAnsi="Arial Black"/>
          <w:b/>
          <w:sz w:val="24"/>
          <w:szCs w:val="24"/>
        </w:rPr>
        <w:t>1-4</w:t>
      </w:r>
      <w:r w:rsidR="00334940">
        <w:rPr>
          <w:rFonts w:ascii="Arial Black" w:hAnsi="Arial Black"/>
          <w:b/>
          <w:sz w:val="24"/>
          <w:szCs w:val="24"/>
        </w:rPr>
        <w:t>7</w:t>
      </w:r>
    </w:p>
    <w:p w14:paraId="17E45F19" w14:textId="77777777" w:rsidR="00A01ACA" w:rsidRPr="008D16D7" w:rsidRDefault="00A01ACA" w:rsidP="00A01ACA">
      <w:pPr>
        <w:pStyle w:val="NoSpacing"/>
        <w:rPr>
          <w:rFonts w:ascii="Arial Black" w:hAnsi="Arial Black"/>
          <w:sz w:val="28"/>
          <w:szCs w:val="28"/>
        </w:rPr>
      </w:pPr>
      <w:bookmarkStart w:id="27" w:name="_Hlk69187531"/>
      <w:r>
        <w:rPr>
          <w:rFonts w:ascii="Arial Black" w:hAnsi="Arial Black"/>
          <w:sz w:val="28"/>
          <w:szCs w:val="28"/>
        </w:rPr>
        <w:t>OH:  FIRE CODES - TWO FIRES AT RECYCLING CENTER – LARGE PILE OF CONSTRUCTION DEBRI - INJUNCTION</w:t>
      </w:r>
    </w:p>
    <w:bookmarkEnd w:id="27"/>
    <w:p w14:paraId="2F2112DB" w14:textId="77777777" w:rsidR="00A01ACA" w:rsidRDefault="00A01ACA" w:rsidP="00A01ACA">
      <w:pPr>
        <w:pStyle w:val="NoSpacing"/>
        <w:rPr>
          <w:b/>
          <w:bCs/>
          <w:sz w:val="24"/>
          <w:szCs w:val="24"/>
        </w:rPr>
      </w:pPr>
    </w:p>
    <w:p w14:paraId="22DD2E0F"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w:t>
      </w:r>
      <w:bookmarkStart w:id="28" w:name="_Hlk39822336"/>
      <w:r w:rsidRPr="00976742">
        <w:rPr>
          <w:rFonts w:ascii="Times New Roman" w:hAnsi="Times New Roman"/>
          <w:bCs/>
          <w:sz w:val="24"/>
          <w:szCs w:val="24"/>
        </w:rPr>
        <w:t xml:space="preserve">April 16, 2020, in </w:t>
      </w:r>
      <w:r w:rsidRPr="00976742">
        <w:rPr>
          <w:rFonts w:ascii="Times New Roman" w:hAnsi="Times New Roman"/>
          <w:bCs/>
          <w:sz w:val="24"/>
          <w:szCs w:val="24"/>
          <w:u w:val="single"/>
        </w:rPr>
        <w:t>State ex rel. Yost v. Baumann's Recycling Ctr., L.L.C.</w:t>
      </w:r>
      <w:r w:rsidRPr="00976742">
        <w:rPr>
          <w:rFonts w:ascii="Times New Roman" w:hAnsi="Times New Roman"/>
          <w:sz w:val="24"/>
          <w:szCs w:val="24"/>
        </w:rPr>
        <w:t xml:space="preserve">, </w:t>
      </w:r>
      <w:r w:rsidRPr="00976742">
        <w:rPr>
          <w:rFonts w:ascii="Times New Roman" w:hAnsi="Times New Roman"/>
          <w:bCs/>
          <w:sz w:val="24"/>
          <w:szCs w:val="24"/>
        </w:rPr>
        <w:t>2020-Ohio-1504</w:t>
      </w:r>
      <w:bookmarkEnd w:id="28"/>
      <w:r w:rsidRPr="00976742">
        <w:rPr>
          <w:rFonts w:ascii="Times New Roman" w:hAnsi="Times New Roman"/>
          <w:bCs/>
          <w:sz w:val="24"/>
          <w:szCs w:val="24"/>
        </w:rPr>
        <w:t xml:space="preserve">, the Ohio Court of Appeals for Eight Appellate District (Cuyahoga County), held (3 to 0) that the trial court properly issued an injunction.  On June 13, 2019, the trial court granted Ohio Attorney General’s lawsuit seeking an injunction, after a bench trial. </w:t>
      </w:r>
    </w:p>
    <w:p w14:paraId="1A3CA867" w14:textId="77777777" w:rsidR="00A01ACA" w:rsidRPr="00976742" w:rsidRDefault="00A01ACA" w:rsidP="00A01ACA">
      <w:pPr>
        <w:pStyle w:val="NoSpacing"/>
        <w:rPr>
          <w:rFonts w:ascii="Times New Roman" w:hAnsi="Times New Roman"/>
          <w:b/>
          <w:bCs/>
          <w:sz w:val="24"/>
          <w:szCs w:val="24"/>
        </w:rPr>
      </w:pPr>
    </w:p>
    <w:p w14:paraId="24153EAD" w14:textId="77777777" w:rsidR="00A01ACA" w:rsidRPr="00976742" w:rsidRDefault="00A01ACA" w:rsidP="00A01ACA">
      <w:pPr>
        <w:pStyle w:val="NoSpacing"/>
        <w:ind w:left="720"/>
        <w:rPr>
          <w:rFonts w:ascii="Times New Roman" w:hAnsi="Times New Roman"/>
          <w:b/>
          <w:bCs/>
          <w:sz w:val="24"/>
          <w:szCs w:val="24"/>
        </w:rPr>
      </w:pPr>
      <w:bookmarkStart w:id="29" w:name="_Hlk39765373"/>
      <w:r w:rsidRPr="00976742">
        <w:rPr>
          <w:rFonts w:ascii="Times New Roman" w:hAnsi="Times New Roman"/>
          <w:bCs/>
          <w:sz w:val="24"/>
          <w:szCs w:val="24"/>
        </w:rPr>
        <w:t>“Here, the evidence of record indicated that the disputed pile of C&amp;DD materials had not decreased in size since 2011. The judge properly found that this was not temporary. Further, the evidence demonstrated that the material was producing steam vents from active decomposition, so the court could properly conclude that the material was not ‘substantially unchanged’ or ‘retrievable.’ Therefore, the court did not err in rejecting BRC’s claim that it simply engaged in permissible storage in connection with its ‘processing’ of C&amp;DD within the facility exclusion from the requirements for C&amp;DD ‘disposal’ set forth in R.C. Chapter 3714.”</w:t>
      </w:r>
    </w:p>
    <w:bookmarkStart w:id="30" w:name="_Hlk39820985"/>
    <w:bookmarkStart w:id="31" w:name="_Hlk69187577"/>
    <w:p w14:paraId="5E1242B8" w14:textId="77777777" w:rsidR="00A01ACA" w:rsidRPr="00976742" w:rsidRDefault="00F2621E" w:rsidP="00A01ACA">
      <w:pPr>
        <w:pStyle w:val="NoSpacing"/>
        <w:ind w:left="720"/>
        <w:rPr>
          <w:rFonts w:ascii="Times New Roman" w:hAnsi="Times New Roman"/>
          <w:b/>
          <w:bCs/>
          <w:sz w:val="24"/>
          <w:szCs w:val="24"/>
        </w:rPr>
      </w:pPr>
      <w:r>
        <w:fldChar w:fldCharType="begin"/>
      </w:r>
      <w:r>
        <w:instrText xml:space="preserve"> HYPERLINK "https://www.supremecourt.ohio.gov/rod/docs/pdf/8/2020/2020-Ohio-1504.pdf" </w:instrText>
      </w:r>
      <w:r>
        <w:fldChar w:fldCharType="separate"/>
      </w:r>
      <w:r w:rsidR="00A01ACA" w:rsidRPr="00976742">
        <w:rPr>
          <w:rStyle w:val="Hyperlink"/>
          <w:rFonts w:ascii="Times New Roman" w:hAnsi="Times New Roman"/>
          <w:b/>
          <w:sz w:val="24"/>
          <w:szCs w:val="24"/>
        </w:rPr>
        <w:t>https://www.supremecourt.ohio.gov/rod/docs/pdf/8/2020/2020-Ohio-1504.pdf</w:t>
      </w:r>
      <w:r>
        <w:rPr>
          <w:rStyle w:val="Hyperlink"/>
          <w:rFonts w:ascii="Times New Roman" w:hAnsi="Times New Roman"/>
          <w:b/>
          <w:sz w:val="24"/>
          <w:szCs w:val="24"/>
        </w:rPr>
        <w:fldChar w:fldCharType="end"/>
      </w:r>
      <w:bookmarkEnd w:id="30"/>
      <w:r w:rsidR="00A01ACA" w:rsidRPr="00976742">
        <w:rPr>
          <w:rFonts w:ascii="Times New Roman" w:hAnsi="Times New Roman"/>
          <w:bCs/>
          <w:sz w:val="24"/>
          <w:szCs w:val="24"/>
        </w:rPr>
        <w:t xml:space="preserve"> </w:t>
      </w:r>
    </w:p>
    <w:bookmarkEnd w:id="29"/>
    <w:bookmarkEnd w:id="31"/>
    <w:p w14:paraId="7D967ECE" w14:textId="77777777" w:rsidR="00A01ACA" w:rsidRPr="00976742" w:rsidRDefault="00A01ACA" w:rsidP="00A01ACA">
      <w:pPr>
        <w:pStyle w:val="NoSpacing"/>
        <w:rPr>
          <w:rFonts w:ascii="Times New Roman" w:hAnsi="Times New Roman"/>
          <w:b/>
          <w:bCs/>
          <w:sz w:val="24"/>
          <w:szCs w:val="24"/>
        </w:rPr>
      </w:pPr>
    </w:p>
    <w:p w14:paraId="5F93B0E3"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The FD wisely called in the Ohio EPA, and when the owner did not promptly act to remove the fire hazard, the Ohio AG obtained an injunction.  </w:t>
      </w:r>
    </w:p>
    <w:p w14:paraId="3FF5F112" w14:textId="77777777" w:rsidR="00A01ACA" w:rsidRPr="00976742" w:rsidRDefault="00A01ACA" w:rsidP="00A01ACA">
      <w:pPr>
        <w:pStyle w:val="NoSpacing"/>
        <w:ind w:left="720"/>
        <w:rPr>
          <w:rFonts w:ascii="Times New Roman" w:hAnsi="Times New Roman"/>
          <w:b/>
          <w:bCs/>
          <w:sz w:val="24"/>
          <w:szCs w:val="24"/>
        </w:rPr>
      </w:pPr>
    </w:p>
    <w:p w14:paraId="592E1C00"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Note: See article, </w:t>
      </w:r>
      <w:bookmarkStart w:id="32" w:name="_Hlk39820886"/>
      <w:r w:rsidRPr="00976742">
        <w:rPr>
          <w:rFonts w:ascii="Times New Roman" w:hAnsi="Times New Roman"/>
          <w:bCs/>
          <w:sz w:val="24"/>
          <w:szCs w:val="24"/>
        </w:rPr>
        <w:t xml:space="preserve">Jan. 27, 2020: “Garfield Heights Recycling Center Held in Contempt of Court for Failing to Address Hazard,” </w:t>
      </w:r>
    </w:p>
    <w:p w14:paraId="58F50B62" w14:textId="77777777" w:rsidR="00A01ACA" w:rsidRPr="00976742" w:rsidRDefault="00A01ACA" w:rsidP="00A01ACA">
      <w:pPr>
        <w:pStyle w:val="NoSpacing"/>
        <w:ind w:left="720"/>
        <w:rPr>
          <w:rFonts w:ascii="Times New Roman" w:hAnsi="Times New Roman"/>
          <w:b/>
          <w:bCs/>
          <w:sz w:val="24"/>
          <w:szCs w:val="24"/>
        </w:rPr>
      </w:pPr>
      <w:hyperlink r:id="rId336" w:history="1">
        <w:r w:rsidRPr="00976742">
          <w:rPr>
            <w:rStyle w:val="Hyperlink"/>
            <w:rFonts w:ascii="Times New Roman" w:hAnsi="Times New Roman"/>
            <w:b/>
            <w:sz w:val="24"/>
            <w:szCs w:val="24"/>
          </w:rPr>
          <w:t>https://www.ohioattorneygeneral.gov/Media/News-Releases/January-2020/Garfield-Heights-Recycling-Center-Held-in-Contempt</w:t>
        </w:r>
      </w:hyperlink>
      <w:r w:rsidRPr="00976742">
        <w:rPr>
          <w:rFonts w:ascii="Times New Roman" w:hAnsi="Times New Roman"/>
          <w:bCs/>
          <w:sz w:val="24"/>
          <w:szCs w:val="24"/>
        </w:rPr>
        <w:t xml:space="preserve"> </w:t>
      </w:r>
    </w:p>
    <w:bookmarkEnd w:id="32"/>
    <w:p w14:paraId="429F2907" w14:textId="6EF5D0C6" w:rsidR="00A01ACA" w:rsidRDefault="00A01ACA" w:rsidP="002B1283">
      <w:pPr>
        <w:rPr>
          <w:rFonts w:ascii="Arial Black" w:hAnsi="Arial Black"/>
          <w:b/>
          <w:sz w:val="24"/>
          <w:szCs w:val="24"/>
        </w:rPr>
      </w:pPr>
    </w:p>
    <w:p w14:paraId="675736F6" w14:textId="77777777" w:rsidR="00A01ACA" w:rsidRDefault="00A01ACA" w:rsidP="002B1283">
      <w:pPr>
        <w:rPr>
          <w:rFonts w:ascii="Arial Black" w:hAnsi="Arial Black"/>
          <w:b/>
          <w:sz w:val="24"/>
          <w:szCs w:val="24"/>
        </w:rPr>
      </w:pPr>
    </w:p>
    <w:p w14:paraId="663FBE09" w14:textId="5398388A" w:rsidR="00A01ACA" w:rsidRDefault="00A01ACA" w:rsidP="002B1283">
      <w:pPr>
        <w:rPr>
          <w:rFonts w:ascii="Arial Black" w:hAnsi="Arial Black"/>
          <w:b/>
          <w:sz w:val="24"/>
          <w:szCs w:val="24"/>
        </w:rPr>
      </w:pPr>
      <w:r>
        <w:rPr>
          <w:rFonts w:ascii="Arial Black" w:hAnsi="Arial Black"/>
          <w:b/>
          <w:sz w:val="24"/>
          <w:szCs w:val="24"/>
        </w:rPr>
        <w:t>1-46</w:t>
      </w:r>
    </w:p>
    <w:p w14:paraId="05E033BC" w14:textId="77777777" w:rsidR="00A01ACA" w:rsidRDefault="00A01ACA" w:rsidP="00A01ACA">
      <w:pPr>
        <w:pStyle w:val="NoSpacing"/>
        <w:rPr>
          <w:rFonts w:ascii="Arial Black" w:hAnsi="Arial Black"/>
          <w:sz w:val="28"/>
          <w:szCs w:val="28"/>
        </w:rPr>
      </w:pPr>
      <w:r>
        <w:rPr>
          <w:rFonts w:ascii="Arial Black" w:hAnsi="Arial Black"/>
          <w:sz w:val="28"/>
          <w:szCs w:val="28"/>
        </w:rPr>
        <w:t>DC: JUROR’S PRE-TRIAL FACEBOOK POSTS - ANTI-TRUMP POSTS – CONVICTION UPHELD - NOT ABOUT DEFENDANT</w:t>
      </w:r>
    </w:p>
    <w:p w14:paraId="052D5851" w14:textId="77777777" w:rsidR="00A01ACA" w:rsidRDefault="00A01ACA" w:rsidP="00A01ACA">
      <w:pPr>
        <w:pStyle w:val="NoSpacing"/>
        <w:tabs>
          <w:tab w:val="left" w:pos="5860"/>
        </w:tabs>
        <w:rPr>
          <w:rFonts w:ascii="Arial Black" w:hAnsi="Arial Black"/>
          <w:sz w:val="28"/>
          <w:szCs w:val="28"/>
        </w:rPr>
      </w:pPr>
    </w:p>
    <w:p w14:paraId="37A1C490" w14:textId="77777777" w:rsidR="00A01ACA" w:rsidRPr="00976742" w:rsidRDefault="00A01ACA" w:rsidP="00A01ACA">
      <w:pPr>
        <w:pStyle w:val="NoSpacing"/>
        <w:tabs>
          <w:tab w:val="left" w:pos="5860"/>
        </w:tabs>
        <w:rPr>
          <w:rFonts w:ascii="Times New Roman" w:hAnsi="Times New Roman"/>
          <w:b/>
          <w:bCs/>
          <w:sz w:val="24"/>
          <w:szCs w:val="24"/>
        </w:rPr>
      </w:pPr>
      <w:r w:rsidRPr="00976742">
        <w:rPr>
          <w:rFonts w:ascii="Times New Roman" w:hAnsi="Times New Roman"/>
          <w:bCs/>
          <w:sz w:val="24"/>
          <w:szCs w:val="24"/>
        </w:rPr>
        <w:t xml:space="preserve">On April 16, 2020, in </w:t>
      </w:r>
      <w:r w:rsidRPr="00976742">
        <w:rPr>
          <w:rFonts w:ascii="Times New Roman" w:hAnsi="Times New Roman"/>
          <w:bCs/>
          <w:sz w:val="24"/>
          <w:szCs w:val="24"/>
          <w:u w:val="single"/>
        </w:rPr>
        <w:t>United States v. Roger Stone, Jr</w:t>
      </w:r>
      <w:r w:rsidRPr="00976742">
        <w:rPr>
          <w:rFonts w:ascii="Times New Roman" w:hAnsi="Times New Roman"/>
          <w:bCs/>
          <w:sz w:val="24"/>
          <w:szCs w:val="24"/>
        </w:rPr>
        <w:t xml:space="preserve">., U.S. District Court Judge Amy Berman Jackson denied the defense motion for new trial.   On the pre-trial Jury Questionnaire, the juror [she became foreperson of the jury] was asked about any social media posts the jury may have posted about the House of Representatives’ investigation of President Trump. The juror truthfully wrote: “I can’t remember if I did, but I may have shared an article on Facebook. Honestly not sure.” The Court denied the motion: “The motion is a tower of indignation, but at the end of the day, there is little of substance holding it up.” </w:t>
      </w:r>
    </w:p>
    <w:p w14:paraId="53FE9770" w14:textId="77777777" w:rsidR="00A01ACA" w:rsidRPr="00976742" w:rsidRDefault="00A01ACA" w:rsidP="00A01ACA">
      <w:pPr>
        <w:pStyle w:val="NoSpacing"/>
        <w:tabs>
          <w:tab w:val="left" w:pos="5860"/>
        </w:tabs>
        <w:ind w:left="720"/>
        <w:rPr>
          <w:rFonts w:ascii="Times New Roman" w:hAnsi="Times New Roman"/>
          <w:b/>
          <w:bCs/>
          <w:sz w:val="24"/>
          <w:szCs w:val="24"/>
        </w:rPr>
      </w:pPr>
    </w:p>
    <w:p w14:paraId="69047655" w14:textId="77777777" w:rsidR="00A01ACA" w:rsidRPr="00976742" w:rsidRDefault="00A01ACA" w:rsidP="00A01ACA">
      <w:pPr>
        <w:pStyle w:val="NoSpacing"/>
        <w:ind w:firstLine="630"/>
        <w:rPr>
          <w:rFonts w:ascii="Times New Roman" w:hAnsi="Times New Roman"/>
          <w:b/>
          <w:bCs/>
          <w:sz w:val="24"/>
          <w:szCs w:val="24"/>
        </w:rPr>
      </w:pPr>
      <w:r w:rsidRPr="00976742">
        <w:rPr>
          <w:rFonts w:ascii="Times New Roman" w:hAnsi="Times New Roman"/>
          <w:bCs/>
          <w:sz w:val="24"/>
          <w:szCs w:val="24"/>
        </w:rPr>
        <w:t>“The defendant has not shown that the juror lied; nor has he shown that the supposedly</w:t>
      </w:r>
    </w:p>
    <w:p w14:paraId="6B3C8221" w14:textId="77777777" w:rsidR="00A01ACA" w:rsidRPr="00976742" w:rsidRDefault="00A01ACA" w:rsidP="00A01ACA">
      <w:pPr>
        <w:pStyle w:val="NoSpacing"/>
        <w:ind w:left="630"/>
        <w:rPr>
          <w:rFonts w:ascii="Times New Roman" w:hAnsi="Times New Roman"/>
          <w:b/>
          <w:bCs/>
          <w:sz w:val="24"/>
          <w:szCs w:val="24"/>
        </w:rPr>
      </w:pPr>
      <w:r w:rsidRPr="00976742">
        <w:rPr>
          <w:rFonts w:ascii="Times New Roman" w:hAnsi="Times New Roman"/>
          <w:bCs/>
          <w:sz w:val="24"/>
          <w:szCs w:val="24"/>
        </w:rPr>
        <w:t xml:space="preserve">disqualifying evidence could not have been found through the exercise of due diligence at the time the jury was selected. Moreover, while the social media communications may suggest that the juror has strong opinions about certain people or issues, they do not reveal that she had an opinion about Roger Stone, which is the opinion that matters.” </w:t>
      </w:r>
      <w:hyperlink r:id="rId337" w:history="1">
        <w:r w:rsidRPr="00976742">
          <w:rPr>
            <w:rStyle w:val="Hyperlink"/>
            <w:rFonts w:ascii="Times New Roman" w:hAnsi="Times New Roman"/>
            <w:b/>
            <w:sz w:val="24"/>
            <w:szCs w:val="24"/>
          </w:rPr>
          <w:t>https://drive.google.com/file/d/1VWwIseEl7gdzhv6UxgyZNZeTX7Y_8-m_/view</w:t>
        </w:r>
      </w:hyperlink>
      <w:r w:rsidRPr="00976742">
        <w:rPr>
          <w:rFonts w:ascii="Times New Roman" w:hAnsi="Times New Roman"/>
          <w:bCs/>
          <w:sz w:val="24"/>
          <w:szCs w:val="24"/>
        </w:rPr>
        <w:t xml:space="preserve"> </w:t>
      </w:r>
    </w:p>
    <w:p w14:paraId="1D4B213C" w14:textId="77777777" w:rsidR="00A01ACA" w:rsidRDefault="00A01ACA" w:rsidP="00A01ACA">
      <w:pPr>
        <w:pStyle w:val="NoSpacing"/>
        <w:rPr>
          <w:rFonts w:ascii="Times New Roman" w:hAnsi="Times New Roman"/>
          <w:b/>
          <w:bCs/>
          <w:sz w:val="24"/>
          <w:szCs w:val="24"/>
        </w:rPr>
      </w:pPr>
    </w:p>
    <w:p w14:paraId="4B92375C" w14:textId="39E83BCE"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Juror’s use of social media is not a basis for setting aside the verdict, unless the posts deal with the case on which they are serving.  </w:t>
      </w:r>
    </w:p>
    <w:p w14:paraId="4362A1DC" w14:textId="77777777" w:rsidR="00A01ACA" w:rsidRDefault="00A01ACA" w:rsidP="00A01ACA">
      <w:pPr>
        <w:pStyle w:val="NoSpacing"/>
        <w:ind w:left="720"/>
        <w:rPr>
          <w:b/>
          <w:bCs/>
          <w:sz w:val="24"/>
          <w:szCs w:val="24"/>
        </w:rPr>
      </w:pPr>
    </w:p>
    <w:p w14:paraId="147FCCCB" w14:textId="77777777" w:rsidR="00A01ACA" w:rsidRDefault="00A01ACA" w:rsidP="002B1283">
      <w:pPr>
        <w:rPr>
          <w:rFonts w:ascii="Arial Black" w:hAnsi="Arial Black"/>
          <w:b/>
          <w:sz w:val="24"/>
          <w:szCs w:val="24"/>
        </w:rPr>
      </w:pPr>
    </w:p>
    <w:p w14:paraId="25B3069C" w14:textId="77777777" w:rsidR="00A01ACA" w:rsidRDefault="00A01ACA" w:rsidP="002B1283">
      <w:pPr>
        <w:rPr>
          <w:rFonts w:ascii="Arial Black" w:hAnsi="Arial Black"/>
          <w:b/>
          <w:sz w:val="24"/>
          <w:szCs w:val="24"/>
        </w:rPr>
      </w:pPr>
    </w:p>
    <w:p w14:paraId="02450068" w14:textId="366A43AD" w:rsidR="00A01ACA" w:rsidRDefault="00A01ACA" w:rsidP="002B1283">
      <w:pPr>
        <w:rPr>
          <w:rFonts w:ascii="Arial Black" w:hAnsi="Arial Black"/>
          <w:b/>
          <w:sz w:val="24"/>
          <w:szCs w:val="24"/>
        </w:rPr>
      </w:pPr>
      <w:r>
        <w:rPr>
          <w:rFonts w:ascii="Arial Black" w:hAnsi="Arial Black"/>
          <w:b/>
          <w:sz w:val="24"/>
          <w:szCs w:val="24"/>
        </w:rPr>
        <w:t>1-45</w:t>
      </w:r>
    </w:p>
    <w:p w14:paraId="1341531D" w14:textId="77777777" w:rsidR="00A01ACA" w:rsidRPr="00496CBF" w:rsidRDefault="00A01ACA" w:rsidP="00A01ACA">
      <w:pPr>
        <w:pStyle w:val="NoSpacing"/>
        <w:rPr>
          <w:rFonts w:ascii="Arial Black" w:hAnsi="Arial Black"/>
          <w:sz w:val="28"/>
          <w:szCs w:val="28"/>
        </w:rPr>
      </w:pPr>
      <w:bookmarkStart w:id="33" w:name="_Hlk39749155"/>
      <w:r w:rsidRPr="00496CBF">
        <w:rPr>
          <w:rFonts w:ascii="Arial Black" w:hAnsi="Arial Black"/>
          <w:sz w:val="28"/>
          <w:szCs w:val="28"/>
        </w:rPr>
        <w:t xml:space="preserve">IA: </w:t>
      </w:r>
      <w:r>
        <w:rPr>
          <w:rFonts w:ascii="Arial Black" w:hAnsi="Arial Black"/>
          <w:sz w:val="28"/>
          <w:szCs w:val="28"/>
        </w:rPr>
        <w:t>FIRE INVESTIGATION - TOASTER FIRE – STATE FARM INSURANCE PROPERLY REFUSED PAY HOMEOWNER</w:t>
      </w:r>
    </w:p>
    <w:p w14:paraId="4C1E4764" w14:textId="77777777" w:rsidR="00A01ACA" w:rsidRDefault="00A01ACA" w:rsidP="00A01ACA">
      <w:pPr>
        <w:pStyle w:val="NoSpacing"/>
        <w:rPr>
          <w:b/>
          <w:bCs/>
          <w:sz w:val="24"/>
          <w:szCs w:val="24"/>
        </w:rPr>
      </w:pPr>
    </w:p>
    <w:p w14:paraId="40A5A896"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6, 2020, in </w:t>
      </w:r>
      <w:r w:rsidRPr="00976742">
        <w:rPr>
          <w:rFonts w:ascii="Times New Roman" w:hAnsi="Times New Roman"/>
          <w:bCs/>
          <w:sz w:val="24"/>
          <w:szCs w:val="24"/>
          <w:u w:val="single"/>
        </w:rPr>
        <w:t>Bryan Jones and Sarah Jones v. State Farm And Casualty Company</w:t>
      </w:r>
      <w:r w:rsidRPr="00976742">
        <w:rPr>
          <w:rFonts w:ascii="Times New Roman" w:hAnsi="Times New Roman"/>
          <w:bCs/>
          <w:sz w:val="24"/>
          <w:szCs w:val="24"/>
        </w:rPr>
        <w:t>, U.S. District Court Judge Leonard T. Strand, Chief Judge, U.S. District Court for the Northern District of Iowa, Western Division, granted summary judgment to State Farm and dismissed the lawsuit.  The insurance company refused to pay for the fire damage when evidence showed that paper was put in the toaster, it was turned on and a roll of paper towels was left on top of the toaster.  Former co-workers of Sarah Jones also informed State Farm about suspicious comments.</w:t>
      </w:r>
    </w:p>
    <w:p w14:paraId="2E41537E" w14:textId="77777777" w:rsidR="00A01ACA" w:rsidRPr="00976742" w:rsidRDefault="00A01ACA" w:rsidP="00A01ACA">
      <w:pPr>
        <w:pStyle w:val="NoSpacing"/>
        <w:rPr>
          <w:rFonts w:ascii="Times New Roman" w:hAnsi="Times New Roman"/>
          <w:b/>
          <w:bCs/>
          <w:sz w:val="24"/>
          <w:szCs w:val="24"/>
        </w:rPr>
      </w:pPr>
    </w:p>
    <w:p w14:paraId="1B2CC9D0"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“In short, there is undisputed evidence that the fire started at the toaster, that a paper-like material was observed on top of the toaster after the fire and that the toaster was in the ‘on’ position. There is also unrebutted expert opinion evidence that a defect in the toaster, or in the home's electrical system, could not have caused the fire and that the fire could have been started by putting paper products in and on the toaster. On this record, and regardless of plaintiffs' denials, no reasonable jury could find that the fire was accidental. As such, and as a matter of law, State Farm did not breach the insurance contract by denying coverage for the loss that resulted from the fire.” </w:t>
      </w:r>
    </w:p>
    <w:p w14:paraId="3E9299E7" w14:textId="2046FD84" w:rsidR="00A01ACA" w:rsidRDefault="00A01ACA" w:rsidP="00A01ACA">
      <w:pPr>
        <w:rPr>
          <w:rFonts w:ascii="Arial Black" w:hAnsi="Arial Black"/>
          <w:b/>
          <w:sz w:val="24"/>
          <w:szCs w:val="24"/>
        </w:rPr>
      </w:pPr>
      <w:hyperlink r:id="rId338" w:history="1">
        <w:r w:rsidRPr="00976742">
          <w:rPr>
            <w:rStyle w:val="Hyperlink"/>
            <w:rFonts w:ascii="Times New Roman" w:hAnsi="Times New Roman"/>
            <w:b/>
            <w:sz w:val="24"/>
            <w:szCs w:val="24"/>
          </w:rPr>
          <w:t>https://public.fastcase.com/Wl%2B2t%2BeVuI35%2FN70vAMFZiMSkjeFjM9WB95jitKYLwuiXut%2FEoidjwwdPtdsEj9z</w:t>
        </w:r>
      </w:hyperlink>
    </w:p>
    <w:bookmarkEnd w:id="33"/>
    <w:p w14:paraId="7F114673" w14:textId="77777777" w:rsidR="00A01ACA" w:rsidRPr="00976742" w:rsidRDefault="00A01ACA" w:rsidP="00A01ACA">
      <w:pPr>
        <w:pStyle w:val="NoSpacing"/>
        <w:rPr>
          <w:rFonts w:ascii="Times New Roman" w:hAnsi="Times New Roman"/>
          <w:b/>
          <w:bCs/>
          <w:sz w:val="24"/>
          <w:szCs w:val="24"/>
        </w:rPr>
      </w:pPr>
      <w:r w:rsidRPr="00976742">
        <w:rPr>
          <w:rFonts w:ascii="Times New Roman" w:eastAsia="Times New Roman" w:hAnsi="Times New Roman"/>
          <w:b/>
          <w:bCs/>
          <w:sz w:val="24"/>
          <w:szCs w:val="24"/>
        </w:rPr>
        <w:t xml:space="preserve">Legal Lessons Learned:  Insurance companies wisely use experts to investigate suspicious claims. </w:t>
      </w:r>
      <w:r w:rsidRPr="00976742">
        <w:rPr>
          <w:rFonts w:ascii="Times New Roman" w:hAnsi="Times New Roman"/>
          <w:b/>
          <w:bCs/>
          <w:sz w:val="24"/>
          <w:szCs w:val="24"/>
        </w:rPr>
        <w:t xml:space="preserve">The U.S. District Court judge added this footnote at the end of his decision about prior arson conviction of Bryan Jones. </w:t>
      </w:r>
    </w:p>
    <w:p w14:paraId="54C8A1BD" w14:textId="77777777" w:rsidR="00A01ACA" w:rsidRPr="00976742" w:rsidRDefault="00A01ACA" w:rsidP="00A01ACA">
      <w:pPr>
        <w:pStyle w:val="NoSpacing"/>
        <w:rPr>
          <w:rFonts w:ascii="Times New Roman" w:hAnsi="Times New Roman"/>
          <w:b/>
          <w:bCs/>
          <w:sz w:val="24"/>
          <w:szCs w:val="24"/>
        </w:rPr>
      </w:pPr>
    </w:p>
    <w:p w14:paraId="2FF1A228"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Footnote 4: “Plaintiffs dispute the admissibility of certain other evidence State Farm discovered during its investigation. For example, plaintiffs were experiencing serious financial difficulties, Bryan has a prior arson conviction, Sarah had submitted a prior fire loss </w:t>
      </w:r>
      <w:proofErr w:type="gramStart"/>
      <w:r w:rsidRPr="00976742">
        <w:rPr>
          <w:rFonts w:ascii="Times New Roman" w:hAnsi="Times New Roman"/>
          <w:bCs/>
          <w:sz w:val="24"/>
          <w:szCs w:val="24"/>
        </w:rPr>
        <w:t>claim</w:t>
      </w:r>
      <w:proofErr w:type="gramEnd"/>
      <w:r w:rsidRPr="00976742">
        <w:rPr>
          <w:rFonts w:ascii="Times New Roman" w:hAnsi="Times New Roman"/>
          <w:bCs/>
          <w:sz w:val="24"/>
          <w:szCs w:val="24"/>
        </w:rPr>
        <w:t xml:space="preserve"> and Bryan had once reported a vehicle stolen but it was located a short distance away and had been set on fire….  It is not necessary to consider this evidence to conclude that plaintiffs have failed to meet their burden of producing evidence from which reasonable jurors could find that the fire was accidental or that they did not intentionally start the fire. As such, I need not resolve the admissibility issue. I do note that evidence of these additional facts would almost certainly be relevant, at minimum, for purposes of determining whether State Farm acted in bad faith in denying coverage, if that claim could otherwise proceed to trial.”</w:t>
      </w:r>
    </w:p>
    <w:p w14:paraId="6EAB909D" w14:textId="77777777" w:rsidR="00A01ACA" w:rsidRDefault="00A01ACA" w:rsidP="002B1283">
      <w:pPr>
        <w:rPr>
          <w:rFonts w:ascii="Arial Black" w:hAnsi="Arial Black"/>
          <w:b/>
          <w:sz w:val="24"/>
          <w:szCs w:val="24"/>
        </w:rPr>
      </w:pPr>
    </w:p>
    <w:p w14:paraId="602CDF22" w14:textId="62E91B05" w:rsidR="00A01ACA" w:rsidRDefault="00A01ACA" w:rsidP="002B1283">
      <w:pPr>
        <w:rPr>
          <w:rFonts w:ascii="Arial Black" w:hAnsi="Arial Black"/>
          <w:b/>
          <w:sz w:val="24"/>
          <w:szCs w:val="24"/>
        </w:rPr>
      </w:pPr>
      <w:r>
        <w:rPr>
          <w:rFonts w:ascii="Arial Black" w:hAnsi="Arial Black"/>
          <w:b/>
          <w:sz w:val="24"/>
          <w:szCs w:val="24"/>
        </w:rPr>
        <w:t>1-44</w:t>
      </w:r>
    </w:p>
    <w:p w14:paraId="77DBBD28" w14:textId="77777777" w:rsidR="00A01ACA" w:rsidRPr="00FE6BFF" w:rsidRDefault="00A01ACA" w:rsidP="00A01ACA">
      <w:pPr>
        <w:pStyle w:val="NoSpacing"/>
        <w:rPr>
          <w:rFonts w:ascii="Arial Black" w:hAnsi="Arial Black"/>
          <w:b/>
          <w:bCs/>
          <w:sz w:val="28"/>
          <w:szCs w:val="28"/>
        </w:rPr>
      </w:pPr>
      <w:bookmarkStart w:id="34" w:name="_Hlk39749233"/>
      <w:bookmarkStart w:id="35" w:name="_Hlk41315261"/>
      <w:r>
        <w:rPr>
          <w:rFonts w:ascii="Arial Black" w:hAnsi="Arial Black"/>
          <w:bCs/>
          <w:sz w:val="28"/>
          <w:szCs w:val="28"/>
        </w:rPr>
        <w:t xml:space="preserve">U.S. SUP. CT:  POLICE USED “COMMON SENSE” – DRIVER WITH REVOKED LICENSE - REASONABLE SUSPICION </w:t>
      </w:r>
    </w:p>
    <w:p w14:paraId="43F48CFC" w14:textId="77777777" w:rsidR="00A01ACA" w:rsidRDefault="00A01ACA" w:rsidP="00A01ACA">
      <w:pPr>
        <w:pStyle w:val="NoSpacing"/>
        <w:rPr>
          <w:b/>
          <w:bCs/>
          <w:sz w:val="24"/>
          <w:szCs w:val="24"/>
        </w:rPr>
      </w:pPr>
    </w:p>
    <w:p w14:paraId="17D1774A" w14:textId="3D84C8E7" w:rsidR="00A01ACA" w:rsidRPr="00976742" w:rsidRDefault="00A01ACA" w:rsidP="00A01ACA">
      <w:pPr>
        <w:pStyle w:val="NoSpacing"/>
        <w:rPr>
          <w:rFonts w:ascii="Times New Roman" w:hAnsi="Times New Roman"/>
          <w:b/>
          <w:sz w:val="24"/>
          <w:szCs w:val="24"/>
        </w:rPr>
      </w:pPr>
      <w:r w:rsidRPr="00976742">
        <w:rPr>
          <w:rFonts w:ascii="Times New Roman" w:hAnsi="Times New Roman"/>
          <w:sz w:val="24"/>
          <w:szCs w:val="24"/>
        </w:rPr>
        <w:t xml:space="preserve">On April 6, 2020, in </w:t>
      </w:r>
      <w:r w:rsidRPr="00976742">
        <w:rPr>
          <w:rFonts w:ascii="Times New Roman" w:hAnsi="Times New Roman"/>
          <w:sz w:val="24"/>
          <w:szCs w:val="24"/>
          <w:u w:val="single"/>
        </w:rPr>
        <w:t>Kansas v. Charles Glover, Jr</w:t>
      </w:r>
      <w:r w:rsidRPr="00976742">
        <w:rPr>
          <w:rFonts w:ascii="Times New Roman" w:hAnsi="Times New Roman"/>
          <w:sz w:val="24"/>
          <w:szCs w:val="24"/>
        </w:rPr>
        <w:t xml:space="preserve">., held (8 to 0) in an opinion by Justice Clarence Thomas that the Deputy Sheriff on patrol, who runs a license plate and learns owner of vehicle has revoked driver’s license, used his “common sense” and had “reasonable suspicion” to make a traffic stop of the male driver.   The trial judge had granted defense motion to suppress, which the Court of Appeals reversed. The Kansas Supreme Court, however, agreed with the trial judge, finding the Deputy Sheriff  did not have reasonable suspicion because his inference that Glover was behind the wheel amounted to “only a hunch.”  </w:t>
      </w:r>
      <w:proofErr w:type="gramStart"/>
      <w:r w:rsidRPr="00976742">
        <w:rPr>
          <w:rFonts w:ascii="Times New Roman" w:hAnsi="Times New Roman"/>
          <w:sz w:val="24"/>
          <w:szCs w:val="24"/>
        </w:rPr>
        <w:t>Fortunately</w:t>
      </w:r>
      <w:proofErr w:type="gramEnd"/>
      <w:r w:rsidRPr="00976742">
        <w:rPr>
          <w:rFonts w:ascii="Times New Roman" w:hAnsi="Times New Roman"/>
          <w:sz w:val="24"/>
          <w:szCs w:val="24"/>
        </w:rPr>
        <w:t xml:space="preserve"> the U.S. Supreme Court reversed the Kansas Supreme Court.</w:t>
      </w:r>
    </w:p>
    <w:bookmarkEnd w:id="34"/>
    <w:p w14:paraId="59DA2042" w14:textId="77777777" w:rsidR="00A01ACA" w:rsidRPr="00976742" w:rsidRDefault="00A01ACA" w:rsidP="00A01ACA">
      <w:pPr>
        <w:pStyle w:val="NoSpacing"/>
        <w:rPr>
          <w:rFonts w:ascii="Times New Roman" w:hAnsi="Times New Roman"/>
          <w:b/>
          <w:sz w:val="24"/>
          <w:szCs w:val="24"/>
        </w:rPr>
      </w:pPr>
    </w:p>
    <w:p w14:paraId="20145DAB" w14:textId="77777777" w:rsidR="00A01ACA" w:rsidRPr="00976742" w:rsidRDefault="00A01ACA" w:rsidP="00A01ACA">
      <w:pPr>
        <w:pStyle w:val="NoSpacing"/>
        <w:rPr>
          <w:rFonts w:ascii="Times New Roman" w:hAnsi="Times New Roman"/>
          <w:b/>
          <w:sz w:val="24"/>
          <w:szCs w:val="24"/>
        </w:rPr>
      </w:pPr>
      <w:r w:rsidRPr="00976742">
        <w:rPr>
          <w:rFonts w:ascii="Times New Roman" w:hAnsi="Times New Roman"/>
          <w:sz w:val="24"/>
          <w:szCs w:val="24"/>
        </w:rPr>
        <w:t xml:space="preserve">“Because it is a ‘less demanding’ standard, ‘reasonable suspicion can be established with information that is different in quantity or content than that required to establish probable cause.’ Alabama v. White, 496 U. S. 325, 330 (1990). The standard ‘depends on the factual and practical considerations of everyday life on which reasonable and prudent men, not legal technicians, act.’ Navarette, supra, at 402 (quoting Ornelas v. United States, 517 U. S. 690, 695 (1996) (emphasis added; internal quotation marks omitted)). Courts “cannot reasonably demand scientific certainty . . . where none exists.” Illinois v. Wardlow, 528 U. S. 119, 125 (2000). Rather, they must permit officers to make ‘commonsense judgments and inferences about human behavior.’ Ibid.”  </w:t>
      </w:r>
      <w:bookmarkStart w:id="36" w:name="_Hlk39749259"/>
      <w:r w:rsidR="00334940">
        <w:fldChar w:fldCharType="begin"/>
      </w:r>
      <w:r w:rsidR="00334940">
        <w:instrText xml:space="preserve"> HYPERLINK "https://www.supremecourt.gov/opinions/19pdf/18-556_e1pf.pdf" </w:instrText>
      </w:r>
      <w:r w:rsidR="00334940">
        <w:fldChar w:fldCharType="separate"/>
      </w:r>
      <w:r w:rsidRPr="00976742">
        <w:rPr>
          <w:rStyle w:val="Hyperlink"/>
          <w:rFonts w:ascii="Times New Roman" w:hAnsi="Times New Roman"/>
          <w:b/>
          <w:sz w:val="24"/>
          <w:szCs w:val="24"/>
        </w:rPr>
        <w:t>https://www.supremecourt.gov/opinions/19pdf/18-556_e1pf.pdf</w:t>
      </w:r>
      <w:r w:rsidR="00334940">
        <w:rPr>
          <w:rStyle w:val="Hyperlink"/>
          <w:rFonts w:ascii="Times New Roman" w:hAnsi="Times New Roman"/>
          <w:b/>
          <w:sz w:val="24"/>
          <w:szCs w:val="24"/>
        </w:rPr>
        <w:fldChar w:fldCharType="end"/>
      </w:r>
      <w:r w:rsidRPr="00976742">
        <w:rPr>
          <w:rFonts w:ascii="Times New Roman" w:hAnsi="Times New Roman"/>
          <w:sz w:val="24"/>
          <w:szCs w:val="24"/>
        </w:rPr>
        <w:t xml:space="preserve"> </w:t>
      </w:r>
    </w:p>
    <w:bookmarkEnd w:id="36"/>
    <w:p w14:paraId="2D786138" w14:textId="77777777" w:rsidR="00A01ACA" w:rsidRDefault="00A01ACA" w:rsidP="00A01ACA">
      <w:pPr>
        <w:pStyle w:val="NoSpacing"/>
        <w:rPr>
          <w:rFonts w:ascii="Times New Roman" w:hAnsi="Times New Roman"/>
          <w:b/>
          <w:sz w:val="24"/>
          <w:szCs w:val="24"/>
        </w:rPr>
      </w:pPr>
    </w:p>
    <w:p w14:paraId="30124E97" w14:textId="495DC5C1" w:rsidR="00A01ACA" w:rsidRPr="00976742" w:rsidRDefault="00A01ACA" w:rsidP="00A01ACA">
      <w:pPr>
        <w:pStyle w:val="NoSpacing"/>
        <w:rPr>
          <w:rFonts w:ascii="Times New Roman" w:hAnsi="Times New Roman"/>
          <w:b/>
          <w:sz w:val="24"/>
          <w:szCs w:val="24"/>
        </w:rPr>
      </w:pPr>
      <w:r w:rsidRPr="00976742">
        <w:rPr>
          <w:rFonts w:ascii="Times New Roman" w:hAnsi="Times New Roman"/>
          <w:b/>
          <w:sz w:val="24"/>
          <w:szCs w:val="24"/>
        </w:rPr>
        <w:t xml:space="preserve">Legal Lessons Learned:  Excellent “common sense” decision. </w:t>
      </w:r>
    </w:p>
    <w:p w14:paraId="7888B846" w14:textId="77777777" w:rsidR="00A01ACA" w:rsidRDefault="00A01ACA" w:rsidP="002B1283">
      <w:pPr>
        <w:rPr>
          <w:rFonts w:ascii="Arial Black" w:hAnsi="Arial Black"/>
          <w:b/>
          <w:sz w:val="24"/>
          <w:szCs w:val="24"/>
        </w:rPr>
      </w:pPr>
    </w:p>
    <w:bookmarkEnd w:id="35"/>
    <w:p w14:paraId="64B13BB6" w14:textId="77777777" w:rsidR="00A01ACA" w:rsidRDefault="00A01ACA" w:rsidP="002B1283">
      <w:pPr>
        <w:rPr>
          <w:rFonts w:ascii="Arial Black" w:hAnsi="Arial Black"/>
          <w:b/>
          <w:sz w:val="24"/>
          <w:szCs w:val="24"/>
        </w:rPr>
      </w:pPr>
    </w:p>
    <w:p w14:paraId="5FB81DC1" w14:textId="77777777" w:rsidR="00A01ACA" w:rsidRDefault="00A01ACA" w:rsidP="002B1283">
      <w:pPr>
        <w:rPr>
          <w:rFonts w:ascii="Arial Black" w:hAnsi="Arial Black"/>
          <w:b/>
          <w:sz w:val="24"/>
          <w:szCs w:val="24"/>
        </w:rPr>
      </w:pPr>
    </w:p>
    <w:p w14:paraId="62CA3ED8" w14:textId="7E4CB491" w:rsidR="00A01ACA" w:rsidRDefault="00A01ACA" w:rsidP="002B1283">
      <w:pPr>
        <w:rPr>
          <w:rFonts w:ascii="Arial Black" w:hAnsi="Arial Black"/>
          <w:b/>
          <w:sz w:val="24"/>
          <w:szCs w:val="24"/>
        </w:rPr>
      </w:pPr>
      <w:r>
        <w:rPr>
          <w:rFonts w:ascii="Arial Black" w:hAnsi="Arial Black"/>
          <w:b/>
          <w:sz w:val="24"/>
          <w:szCs w:val="24"/>
        </w:rPr>
        <w:t>1-43</w:t>
      </w:r>
    </w:p>
    <w:p w14:paraId="1CB8A4E4" w14:textId="77777777" w:rsidR="00A01ACA" w:rsidRPr="00295EFD" w:rsidRDefault="00A01ACA" w:rsidP="00A01ACA">
      <w:pPr>
        <w:pStyle w:val="NoSpacing"/>
        <w:rPr>
          <w:rFonts w:ascii="Arial Black" w:hAnsi="Arial Black"/>
          <w:sz w:val="28"/>
          <w:szCs w:val="28"/>
        </w:rPr>
      </w:pPr>
      <w:bookmarkStart w:id="37" w:name="_Hlk39749327"/>
      <w:r w:rsidRPr="00295EFD">
        <w:rPr>
          <w:rFonts w:ascii="Arial Black" w:hAnsi="Arial Black"/>
          <w:sz w:val="28"/>
          <w:szCs w:val="28"/>
        </w:rPr>
        <w:t xml:space="preserve">CA: </w:t>
      </w:r>
      <w:r>
        <w:rPr>
          <w:rFonts w:ascii="Arial Black" w:hAnsi="Arial Black"/>
          <w:sz w:val="28"/>
          <w:szCs w:val="28"/>
        </w:rPr>
        <w:t xml:space="preserve">FIRE INVESTIGATION - HOMEOWNER CONFESSED - PROS. DELAYED DISCOSURE OF LAB RECEIPTS – NO HARM </w:t>
      </w:r>
    </w:p>
    <w:p w14:paraId="729A7719" w14:textId="77777777" w:rsidR="00A01ACA" w:rsidRDefault="00A01ACA" w:rsidP="00A01ACA">
      <w:pPr>
        <w:pStyle w:val="NoSpacing"/>
        <w:rPr>
          <w:b/>
          <w:bCs/>
          <w:sz w:val="24"/>
          <w:szCs w:val="24"/>
        </w:rPr>
      </w:pPr>
    </w:p>
    <w:p w14:paraId="2AD7E3BC"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3, 2020, in </w:t>
      </w:r>
      <w:r w:rsidRPr="00976742">
        <w:rPr>
          <w:rFonts w:ascii="Times New Roman" w:hAnsi="Times New Roman"/>
          <w:bCs/>
          <w:sz w:val="24"/>
          <w:szCs w:val="24"/>
          <w:u w:val="single"/>
        </w:rPr>
        <w:t xml:space="preserve">The People v. Lincoln </w:t>
      </w:r>
      <w:proofErr w:type="spellStart"/>
      <w:r w:rsidRPr="00976742">
        <w:rPr>
          <w:rFonts w:ascii="Times New Roman" w:hAnsi="Times New Roman"/>
          <w:bCs/>
          <w:sz w:val="24"/>
          <w:szCs w:val="24"/>
          <w:u w:val="single"/>
        </w:rPr>
        <w:t>Testro</w:t>
      </w:r>
      <w:proofErr w:type="spellEnd"/>
      <w:r w:rsidRPr="00976742">
        <w:rPr>
          <w:rFonts w:ascii="Times New Roman" w:hAnsi="Times New Roman"/>
          <w:bCs/>
          <w:sz w:val="24"/>
          <w:szCs w:val="24"/>
          <w:u w:val="single"/>
        </w:rPr>
        <w:t xml:space="preserve"> Smith</w:t>
      </w:r>
      <w:r w:rsidRPr="00976742">
        <w:rPr>
          <w:rFonts w:ascii="Times New Roman" w:hAnsi="Times New Roman"/>
          <w:bCs/>
          <w:sz w:val="24"/>
          <w:szCs w:val="24"/>
        </w:rPr>
        <w:t xml:space="preserve">, the Court of Appeal of California (Second Appellate District / Division Five) held (3 to 0) in an unpublished decision, that trial court properly refused to instruct the jury about late disclosure of 75 pages of lab receipts, since the disclosure the night prior to the second (and last) day of trial was made prior to the LA County Sheriff’s senior criminalist’s testimony, did not cause any harm to the defense.   Defense already had his two page </w:t>
      </w:r>
      <w:proofErr w:type="gramStart"/>
      <w:r w:rsidRPr="00976742">
        <w:rPr>
          <w:rFonts w:ascii="Times New Roman" w:hAnsi="Times New Roman"/>
          <w:bCs/>
          <w:sz w:val="24"/>
          <w:szCs w:val="24"/>
        </w:rPr>
        <w:t>report, and</w:t>
      </w:r>
      <w:proofErr w:type="gramEnd"/>
      <w:r w:rsidRPr="00976742">
        <w:rPr>
          <w:rFonts w:ascii="Times New Roman" w:hAnsi="Times New Roman"/>
          <w:bCs/>
          <w:sz w:val="24"/>
          <w:szCs w:val="24"/>
        </w:rPr>
        <w:t xml:space="preserve"> did not request a continuance of the trial. </w:t>
      </w:r>
    </w:p>
    <w:bookmarkEnd w:id="37"/>
    <w:p w14:paraId="37485B45" w14:textId="77777777" w:rsidR="00A01ACA" w:rsidRPr="00976742" w:rsidRDefault="00A01ACA" w:rsidP="00A01ACA">
      <w:pPr>
        <w:pStyle w:val="NoSpacing"/>
        <w:rPr>
          <w:rFonts w:ascii="Times New Roman" w:hAnsi="Times New Roman"/>
          <w:b/>
          <w:bCs/>
          <w:sz w:val="24"/>
          <w:szCs w:val="24"/>
        </w:rPr>
      </w:pPr>
    </w:p>
    <w:p w14:paraId="6DE233D7"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“[T]he prosecution’s explanation for the discovery delay offered at trial did not reveal any willful misconduct. And most importantly, the defense was unable to articulate any concrete disadvantage occasioned by the production of the data and notes underlying West’s  [Michael West, a senior criminalist with the Los Angeles County Sheriff’s Department, two </w:t>
      </w:r>
      <w:proofErr w:type="gramStart"/>
      <w:r w:rsidRPr="00976742">
        <w:rPr>
          <w:rFonts w:ascii="Times New Roman" w:hAnsi="Times New Roman"/>
          <w:bCs/>
          <w:sz w:val="24"/>
          <w:szCs w:val="24"/>
        </w:rPr>
        <w:t>page</w:t>
      </w:r>
      <w:proofErr w:type="gramEnd"/>
      <w:r w:rsidRPr="00976742">
        <w:rPr>
          <w:rFonts w:ascii="Times New Roman" w:hAnsi="Times New Roman"/>
          <w:bCs/>
          <w:sz w:val="24"/>
          <w:szCs w:val="24"/>
        </w:rPr>
        <w:t xml:space="preserve">] summary report (which had been timely produced) before West testified.” </w:t>
      </w:r>
      <w:bookmarkStart w:id="38" w:name="_Hlk39749347"/>
      <w:r w:rsidR="00334940">
        <w:fldChar w:fldCharType="begin"/>
      </w:r>
      <w:r w:rsidR="00334940">
        <w:instrText xml:space="preserve"> HYPERLINK "https://www.courts.ca.gov/opinions/nonpub/B294627.PDF" </w:instrText>
      </w:r>
      <w:r w:rsidR="00334940">
        <w:fldChar w:fldCharType="separate"/>
      </w:r>
      <w:r w:rsidRPr="00976742">
        <w:rPr>
          <w:rStyle w:val="Hyperlink"/>
          <w:rFonts w:ascii="Times New Roman" w:hAnsi="Times New Roman"/>
          <w:b/>
          <w:sz w:val="24"/>
          <w:szCs w:val="24"/>
        </w:rPr>
        <w:t>https://www.courts.ca.gov/opinions/nonpub/B294627.PDF</w:t>
      </w:r>
      <w:r w:rsidR="00334940">
        <w:rPr>
          <w:rStyle w:val="Hyperlink"/>
          <w:rFonts w:ascii="Times New Roman" w:hAnsi="Times New Roman"/>
          <w:b/>
          <w:sz w:val="24"/>
          <w:szCs w:val="24"/>
        </w:rPr>
        <w:fldChar w:fldCharType="end"/>
      </w:r>
      <w:r w:rsidRPr="00976742">
        <w:rPr>
          <w:rFonts w:ascii="Times New Roman" w:hAnsi="Times New Roman"/>
          <w:bCs/>
          <w:sz w:val="24"/>
          <w:szCs w:val="24"/>
        </w:rPr>
        <w:t xml:space="preserve"> </w:t>
      </w:r>
    </w:p>
    <w:bookmarkEnd w:id="38"/>
    <w:p w14:paraId="51DFCA96" w14:textId="77777777" w:rsidR="00A01ACA" w:rsidRDefault="00A01ACA" w:rsidP="00A01ACA">
      <w:pPr>
        <w:pStyle w:val="NoSpacing"/>
        <w:rPr>
          <w:rFonts w:ascii="Times New Roman" w:hAnsi="Times New Roman"/>
          <w:b/>
          <w:bCs/>
          <w:sz w:val="24"/>
          <w:szCs w:val="24"/>
        </w:rPr>
      </w:pPr>
    </w:p>
    <w:p w14:paraId="017669B6" w14:textId="36C22A5C"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Defense counsel is entitled to expert reports, and lab receipts, prior to trial. In this case, was no continuance requested, and no harm. </w:t>
      </w:r>
    </w:p>
    <w:p w14:paraId="0E756384" w14:textId="77777777" w:rsidR="00A01ACA" w:rsidRDefault="00A01ACA" w:rsidP="002B1283">
      <w:pPr>
        <w:rPr>
          <w:rFonts w:ascii="Arial Black" w:hAnsi="Arial Black"/>
          <w:b/>
          <w:sz w:val="24"/>
          <w:szCs w:val="24"/>
        </w:rPr>
      </w:pPr>
    </w:p>
    <w:p w14:paraId="563B0DC8" w14:textId="77777777" w:rsidR="00A01ACA" w:rsidRDefault="00A01ACA" w:rsidP="002B1283">
      <w:pPr>
        <w:rPr>
          <w:rFonts w:ascii="Arial Black" w:hAnsi="Arial Black"/>
          <w:b/>
          <w:sz w:val="24"/>
          <w:szCs w:val="24"/>
        </w:rPr>
      </w:pPr>
    </w:p>
    <w:p w14:paraId="6648F8A8" w14:textId="03D9D132" w:rsidR="007540BD" w:rsidRDefault="007540BD" w:rsidP="002B1283">
      <w:pPr>
        <w:rPr>
          <w:rFonts w:ascii="Arial Black" w:hAnsi="Arial Black"/>
          <w:b/>
          <w:sz w:val="24"/>
          <w:szCs w:val="24"/>
        </w:rPr>
      </w:pPr>
      <w:r>
        <w:rPr>
          <w:rFonts w:ascii="Arial Black" w:hAnsi="Arial Black"/>
          <w:b/>
          <w:sz w:val="24"/>
          <w:szCs w:val="24"/>
        </w:rPr>
        <w:t>1-42</w:t>
      </w:r>
    </w:p>
    <w:p w14:paraId="7E025176" w14:textId="77777777" w:rsidR="007540BD" w:rsidRPr="008B3DEE" w:rsidRDefault="007540BD" w:rsidP="007540BD">
      <w:pPr>
        <w:pStyle w:val="NoSpacing"/>
        <w:rPr>
          <w:rFonts w:ascii="Arial Black" w:hAnsi="Arial Black"/>
          <w:b/>
          <w:bCs/>
          <w:sz w:val="28"/>
          <w:szCs w:val="28"/>
        </w:rPr>
      </w:pPr>
      <w:bookmarkStart w:id="39" w:name="_Hlk69187636"/>
      <w:bookmarkStart w:id="40" w:name="_Hlk39749408"/>
      <w:r w:rsidRPr="008B3DEE">
        <w:rPr>
          <w:rFonts w:ascii="Arial Black" w:hAnsi="Arial Black"/>
          <w:bCs/>
          <w:sz w:val="28"/>
          <w:szCs w:val="28"/>
        </w:rPr>
        <w:t xml:space="preserve">OH: </w:t>
      </w:r>
      <w:r>
        <w:rPr>
          <w:rFonts w:ascii="Arial Black" w:hAnsi="Arial Black"/>
          <w:bCs/>
          <w:sz w:val="28"/>
          <w:szCs w:val="28"/>
        </w:rPr>
        <w:t>42 VIOLATIONS OHIO FIRE CODE – 110 YR-OLD MINI-MALL, “THE ARCADE” - COURT UPHOLDS CITATIONS</w:t>
      </w:r>
    </w:p>
    <w:bookmarkEnd w:id="39"/>
    <w:p w14:paraId="39FC22F7" w14:textId="77777777" w:rsidR="007540BD" w:rsidRPr="00322F87" w:rsidRDefault="007540BD" w:rsidP="007540BD">
      <w:pPr>
        <w:pStyle w:val="NoSpacing"/>
        <w:rPr>
          <w:b/>
          <w:bCs/>
          <w:sz w:val="24"/>
          <w:szCs w:val="24"/>
        </w:rPr>
      </w:pPr>
      <w:r w:rsidRPr="00322F87">
        <w:rPr>
          <w:rStyle w:val="Strong"/>
          <w:sz w:val="24"/>
          <w:szCs w:val="24"/>
        </w:rPr>
        <w:t xml:space="preserve"> </w:t>
      </w:r>
    </w:p>
    <w:p w14:paraId="18D62464" w14:textId="5E1BDF02"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w:t>
      </w:r>
      <w:bookmarkStart w:id="41" w:name="_Hlk39822442"/>
      <w:r w:rsidRPr="007C7258">
        <w:rPr>
          <w:rFonts w:ascii="Times New Roman" w:hAnsi="Times New Roman"/>
          <w:bCs/>
          <w:sz w:val="24"/>
          <w:szCs w:val="24"/>
        </w:rPr>
        <w:t>March 23, 20</w:t>
      </w:r>
      <w:r w:rsidR="00F2621E">
        <w:rPr>
          <w:rFonts w:ascii="Times New Roman" w:hAnsi="Times New Roman"/>
          <w:bCs/>
          <w:sz w:val="24"/>
          <w:szCs w:val="24"/>
        </w:rPr>
        <w:t>20</w:t>
      </w:r>
      <w:r w:rsidRPr="007C7258">
        <w:rPr>
          <w:rFonts w:ascii="Times New Roman" w:hAnsi="Times New Roman"/>
          <w:bCs/>
          <w:sz w:val="24"/>
          <w:szCs w:val="24"/>
        </w:rPr>
        <w:t xml:space="preserve">, in </w:t>
      </w:r>
      <w:r w:rsidRPr="007C7258">
        <w:rPr>
          <w:rFonts w:ascii="Times New Roman" w:hAnsi="Times New Roman"/>
          <w:bCs/>
          <w:sz w:val="24"/>
          <w:szCs w:val="24"/>
          <w:u w:val="single"/>
        </w:rPr>
        <w:t>Tom Cotton v. Patrick Connor, Fire Chief, City of Newark Fire Department</w:t>
      </w:r>
      <w:r w:rsidRPr="007C7258">
        <w:rPr>
          <w:rFonts w:ascii="Times New Roman" w:hAnsi="Times New Roman"/>
          <w:bCs/>
          <w:sz w:val="24"/>
          <w:szCs w:val="24"/>
        </w:rPr>
        <w:t>, the Court of Appeals for Licking County, Fifth Appellate District, 2020-Ohio-1129</w:t>
      </w:r>
      <w:bookmarkEnd w:id="41"/>
      <w:r w:rsidRPr="007C7258">
        <w:rPr>
          <w:rFonts w:ascii="Times New Roman" w:hAnsi="Times New Roman"/>
          <w:bCs/>
          <w:sz w:val="24"/>
          <w:szCs w:val="24"/>
        </w:rPr>
        <w:t>, held (3 to 0),  that the Ohio Board of Building Appeals, and a Common Pleas trial judge, properly denied the appeal of the building owner.  Citations included water flow alarm devices not functioning or disconnected; no fire extinguishers in common hallway; marked exit door with flush bolt locks; holes in fire-rated or resistant construction on floors, walls and ceilings.</w:t>
      </w:r>
    </w:p>
    <w:bookmarkEnd w:id="40"/>
    <w:p w14:paraId="6A3ECED1" w14:textId="77777777" w:rsidR="007540BD" w:rsidRPr="007C7258" w:rsidRDefault="007540BD" w:rsidP="007540BD">
      <w:pPr>
        <w:pStyle w:val="NoSpacing"/>
        <w:rPr>
          <w:rFonts w:ascii="Times New Roman" w:hAnsi="Times New Roman"/>
          <w:b/>
          <w:bCs/>
          <w:sz w:val="24"/>
          <w:szCs w:val="24"/>
        </w:rPr>
      </w:pPr>
    </w:p>
    <w:p w14:paraId="0691148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“We concur with the trial court's decision. Between the first inspection date of August 3, 2017, and the first citation date of September 19, 2017, </w:t>
      </w:r>
      <w:proofErr w:type="gramStart"/>
      <w:r w:rsidRPr="007C7258">
        <w:rPr>
          <w:rFonts w:ascii="Times New Roman" w:hAnsi="Times New Roman"/>
          <w:bCs/>
          <w:sz w:val="24"/>
          <w:szCs w:val="24"/>
        </w:rPr>
        <w:t>appellant</w:t>
      </w:r>
      <w:proofErr w:type="gramEnd"/>
      <w:r w:rsidRPr="007C7258">
        <w:rPr>
          <w:rFonts w:ascii="Times New Roman" w:hAnsi="Times New Roman"/>
          <w:bCs/>
          <w:sz w:val="24"/>
          <w:szCs w:val="24"/>
        </w:rPr>
        <w:t xml:space="preserve"> had forty-seven days to correct the violations. As for the second citation, appellant had fifteen days to correct the violations from the last inspection date (March 26, 2018) to the issuance of the citation (April 10, 2018). According to the Timeline and Summary of the Inspections outline, appellee worked with appellant from July 2017 through April 2018 to correct the fire code deficiencies on the subject property. As of </w:t>
      </w:r>
      <w:proofErr w:type="gramStart"/>
      <w:r w:rsidRPr="007C7258">
        <w:rPr>
          <w:rFonts w:ascii="Times New Roman" w:hAnsi="Times New Roman"/>
          <w:bCs/>
          <w:sz w:val="24"/>
          <w:szCs w:val="24"/>
        </w:rPr>
        <w:t>the October</w:t>
      </w:r>
      <w:proofErr w:type="gramEnd"/>
      <w:r w:rsidRPr="007C7258">
        <w:rPr>
          <w:rFonts w:ascii="Times New Roman" w:hAnsi="Times New Roman"/>
          <w:bCs/>
          <w:sz w:val="24"/>
          <w:szCs w:val="24"/>
        </w:rPr>
        <w:t xml:space="preserve"> 30, </w:t>
      </w:r>
      <w:proofErr w:type="gramStart"/>
      <w:r w:rsidRPr="007C7258">
        <w:rPr>
          <w:rFonts w:ascii="Times New Roman" w:hAnsi="Times New Roman"/>
          <w:bCs/>
          <w:sz w:val="24"/>
          <w:szCs w:val="24"/>
        </w:rPr>
        <w:t>2018</w:t>
      </w:r>
      <w:proofErr w:type="gramEnd"/>
      <w:r w:rsidRPr="007C7258">
        <w:rPr>
          <w:rFonts w:ascii="Times New Roman" w:hAnsi="Times New Roman"/>
          <w:bCs/>
          <w:sz w:val="24"/>
          <w:szCs w:val="24"/>
        </w:rPr>
        <w:t xml:space="preserve"> hearing date, outstanding violations existed and some of the corrective measures were in question. We do not find testimony from a ‘representative from the Building Code Enforcement for the City of Newark’ was necessary. Appellant's Brief at 6. Upon review, we find a preponderance of reliable, probative, and substantial evidence to support the trial court's decision. The trial court did not abuse its discretion in affirming the decision of the board of building appeals.”   </w:t>
      </w:r>
      <w:bookmarkStart w:id="42" w:name="_Hlk39749430"/>
      <w:bookmarkStart w:id="43" w:name="_Hlk39821152"/>
      <w:r w:rsidR="00334940">
        <w:fldChar w:fldCharType="begin"/>
      </w:r>
      <w:r w:rsidR="00334940">
        <w:instrText xml:space="preserve"> HYPERLINK "https://www.supremecourt.ohio.gov/rod/docs/pdf/5/2020/2020-Ohio-1129.pdf" </w:instrText>
      </w:r>
      <w:r w:rsidR="00334940">
        <w:fldChar w:fldCharType="separate"/>
      </w:r>
      <w:r w:rsidRPr="007C7258">
        <w:rPr>
          <w:rStyle w:val="Hyperlink"/>
          <w:rFonts w:ascii="Times New Roman" w:hAnsi="Times New Roman"/>
          <w:b/>
          <w:sz w:val="24"/>
          <w:szCs w:val="24"/>
        </w:rPr>
        <w:t>https://www.supremecourt.ohio.gov/rod/docs/pdf/5/2020/2020-Ohio-1129.pdf</w:t>
      </w:r>
      <w:r w:rsidR="00334940">
        <w:rPr>
          <w:rStyle w:val="Hyperlink"/>
          <w:rFonts w:ascii="Times New Roman" w:hAnsi="Times New Roman"/>
          <w:b/>
          <w:sz w:val="24"/>
          <w:szCs w:val="24"/>
        </w:rPr>
        <w:fldChar w:fldCharType="end"/>
      </w:r>
      <w:bookmarkEnd w:id="42"/>
    </w:p>
    <w:bookmarkEnd w:id="43"/>
    <w:p w14:paraId="06CC2D8C" w14:textId="77777777" w:rsidR="007540BD" w:rsidRPr="007C7258" w:rsidRDefault="007540BD" w:rsidP="007540BD">
      <w:pPr>
        <w:pStyle w:val="NoSpacing"/>
        <w:ind w:left="720"/>
        <w:rPr>
          <w:rFonts w:ascii="Times New Roman" w:hAnsi="Times New Roman"/>
          <w:b/>
          <w:bCs/>
          <w:sz w:val="24"/>
          <w:szCs w:val="24"/>
        </w:rPr>
      </w:pPr>
    </w:p>
    <w:p w14:paraId="6E831AFF"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Legal Lessons Learned: Well documented code violations</w:t>
      </w:r>
      <w:r>
        <w:rPr>
          <w:rFonts w:ascii="Times New Roman" w:hAnsi="Times New Roman"/>
          <w:b/>
          <w:bCs/>
          <w:sz w:val="24"/>
          <w:szCs w:val="24"/>
        </w:rPr>
        <w:t xml:space="preserve">. </w:t>
      </w:r>
      <w:r w:rsidRPr="007C7258">
        <w:rPr>
          <w:rFonts w:ascii="Times New Roman" w:hAnsi="Times New Roman"/>
          <w:b/>
          <w:bCs/>
          <w:sz w:val="24"/>
          <w:szCs w:val="24"/>
        </w:rPr>
        <w:t xml:space="preserve"> </w:t>
      </w:r>
    </w:p>
    <w:p w14:paraId="0B0FFFFA" w14:textId="5483B796" w:rsidR="007540BD" w:rsidRPr="007C7258" w:rsidRDefault="007540BD" w:rsidP="007540BD">
      <w:pPr>
        <w:pStyle w:val="p-text"/>
        <w:ind w:left="720"/>
        <w:rPr>
          <w:b/>
        </w:rPr>
      </w:pPr>
      <w:bookmarkStart w:id="44" w:name="_Hlk39821066"/>
      <w:r w:rsidRPr="007C7258">
        <w:rPr>
          <w:bCs/>
        </w:rPr>
        <w:t xml:space="preserve">See Oct. 14, </w:t>
      </w:r>
      <w:proofErr w:type="gramStart"/>
      <w:r w:rsidRPr="007C7258">
        <w:rPr>
          <w:bCs/>
        </w:rPr>
        <w:t>2019</w:t>
      </w:r>
      <w:proofErr w:type="gramEnd"/>
      <w:r w:rsidRPr="007C7258">
        <w:rPr>
          <w:bCs/>
        </w:rPr>
        <w:t xml:space="preserve"> article about this property: “Long saga of downtown Newark Arcade property may be near resolution.”  </w:t>
      </w:r>
      <w:bookmarkEnd w:id="44"/>
      <w:r w:rsidRPr="007C7258">
        <w:rPr>
          <w:bCs/>
        </w:rPr>
        <w:t>“</w:t>
      </w:r>
      <w:r w:rsidRPr="007C7258">
        <w:t xml:space="preserve">A year ago, the Ohio Board of Building Appeals upheld violations from April 10, 2018, and Sept. 19, 2017. For the April violations, the board issued Cotton a one-time penalty of $9,000, and an additional $9,000 per month if all violations were not remedied in 60 days.  For the 2017 violations, the board issued a one-time penalty of $6,700 and $6,700 per month if violations remained after 60 days. The 2018 violations included: water flow alarm devices not functioning or disconnected; no fire extinguishers in common hallway; marked exit door with flush bolt locks; holes in fire-rated or resistant construction on floors, walls and </w:t>
      </w:r>
      <w:proofErr w:type="gramStart"/>
      <w:r w:rsidRPr="007C7258">
        <w:t>ceilings.”</w:t>
      </w:r>
      <w:proofErr w:type="gramEnd"/>
      <w:r w:rsidRPr="007C7258">
        <w:t xml:space="preserve"> </w:t>
      </w:r>
      <w:bookmarkStart w:id="45" w:name="_Hlk39821109"/>
      <w:r w:rsidR="00F2621E">
        <w:fldChar w:fldCharType="begin"/>
      </w:r>
      <w:r w:rsidR="00F2621E">
        <w:instrText xml:space="preserve"> HYPERLINK "https://www.newarkadvocate.com/story/news/2019/10/14/downtown-newark-arcade-saga-may-nearing-some-resolution-not/3924621002/" </w:instrText>
      </w:r>
      <w:r w:rsidR="00F2621E">
        <w:fldChar w:fldCharType="separate"/>
      </w:r>
      <w:r w:rsidRPr="007C7258">
        <w:rPr>
          <w:rStyle w:val="Hyperlink"/>
        </w:rPr>
        <w:t>https://www.newarkadvocate.com/story/news/2019/10/14/downtown-newark-arcade-saga-may-nearing-some-resolution-not/3924621002/</w:t>
      </w:r>
      <w:r w:rsidR="00F2621E">
        <w:rPr>
          <w:rStyle w:val="Hyperlink"/>
        </w:rPr>
        <w:fldChar w:fldCharType="end"/>
      </w:r>
      <w:r w:rsidRPr="007C7258">
        <w:rPr>
          <w:b/>
        </w:rPr>
        <w:t xml:space="preserve"> </w:t>
      </w:r>
    </w:p>
    <w:bookmarkEnd w:id="45"/>
    <w:p w14:paraId="01E0050E" w14:textId="77777777" w:rsidR="007540BD" w:rsidRDefault="007540BD" w:rsidP="002B1283">
      <w:pPr>
        <w:rPr>
          <w:rFonts w:ascii="Arial Black" w:hAnsi="Arial Black"/>
          <w:b/>
          <w:sz w:val="24"/>
          <w:szCs w:val="24"/>
        </w:rPr>
      </w:pPr>
    </w:p>
    <w:p w14:paraId="47B2F3CD" w14:textId="31F0E723" w:rsidR="007540BD" w:rsidRDefault="007540BD" w:rsidP="002B1283">
      <w:pPr>
        <w:rPr>
          <w:rFonts w:ascii="Arial Black" w:hAnsi="Arial Black"/>
          <w:b/>
          <w:sz w:val="24"/>
          <w:szCs w:val="24"/>
        </w:rPr>
      </w:pPr>
      <w:r>
        <w:rPr>
          <w:rFonts w:ascii="Arial Black" w:hAnsi="Arial Black"/>
          <w:b/>
          <w:sz w:val="24"/>
          <w:szCs w:val="24"/>
        </w:rPr>
        <w:t>1-41</w:t>
      </w:r>
    </w:p>
    <w:p w14:paraId="239B976A" w14:textId="77777777" w:rsidR="007540BD" w:rsidRPr="00907DE2" w:rsidRDefault="007540BD" w:rsidP="007540BD">
      <w:pPr>
        <w:spacing w:before="100" w:beforeAutospacing="1" w:after="100" w:afterAutospacing="1" w:line="240" w:lineRule="auto"/>
        <w:rPr>
          <w:rFonts w:ascii="Arial Black" w:hAnsi="Arial Black"/>
          <w:sz w:val="28"/>
          <w:szCs w:val="28"/>
        </w:rPr>
      </w:pPr>
      <w:bookmarkStart w:id="46" w:name="_Hlk39817639"/>
      <w:r w:rsidRPr="00907DE2">
        <w:rPr>
          <w:rFonts w:ascii="Arial Black" w:hAnsi="Arial Black"/>
          <w:sz w:val="28"/>
          <w:szCs w:val="28"/>
        </w:rPr>
        <w:t xml:space="preserve">NY: </w:t>
      </w:r>
      <w:r>
        <w:rPr>
          <w:rFonts w:ascii="Arial Black" w:hAnsi="Arial Black"/>
          <w:sz w:val="28"/>
          <w:szCs w:val="28"/>
        </w:rPr>
        <w:t xml:space="preserve">ARSON – ADULT / 3 CHILDREN KILLED – CONVICTIONS – BUT CHARGES LATER DROPPED ONE MAN – ATF AGENTS HAVE IMMUNITY </w:t>
      </w:r>
    </w:p>
    <w:p w14:paraId="230C873D" w14:textId="77777777" w:rsidR="007540BD" w:rsidRDefault="007540BD" w:rsidP="007540BD">
      <w:pPr>
        <w:spacing w:before="100" w:beforeAutospacing="1" w:after="100" w:afterAutospacing="1" w:line="240" w:lineRule="auto"/>
        <w:rPr>
          <w:rFonts w:ascii="Times New Roman" w:hAnsi="Times New Roman"/>
          <w:sz w:val="24"/>
          <w:szCs w:val="24"/>
        </w:rPr>
      </w:pPr>
      <w:r w:rsidRPr="00907DE2">
        <w:rPr>
          <w:rFonts w:ascii="Times New Roman" w:hAnsi="Times New Roman"/>
          <w:sz w:val="24"/>
          <w:szCs w:val="24"/>
        </w:rPr>
        <w:t xml:space="preserve">On March 23, 2020, in </w:t>
      </w:r>
      <w:r w:rsidRPr="00907DE2">
        <w:rPr>
          <w:rFonts w:ascii="Times New Roman" w:hAnsi="Times New Roman"/>
          <w:sz w:val="24"/>
          <w:szCs w:val="24"/>
          <w:u w:val="single"/>
        </w:rPr>
        <w:t>Robert Butler v. Eric Hesch, et al</w:t>
      </w:r>
      <w:r>
        <w:rPr>
          <w:rFonts w:ascii="Times New Roman" w:hAnsi="Times New Roman"/>
          <w:sz w:val="24"/>
          <w:szCs w:val="24"/>
        </w:rPr>
        <w:t xml:space="preserve">., U.S. District Court Judge Mae A. D’Agostino, U.S. District Court for Northern District of New York, granted ATF agents’ motion to dismiss. </w:t>
      </w:r>
    </w:p>
    <w:p w14:paraId="32ACFECF"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“Plaintiff commenced this action on December 28, 2016, pursuant to 42 U.S.C. §§ 1983 and 1985, and </w:t>
      </w:r>
      <w:r w:rsidRPr="007C7258">
        <w:rPr>
          <w:rFonts w:ascii="Times New Roman" w:hAnsi="Times New Roman"/>
          <w:bCs/>
          <w:i/>
          <w:iCs/>
          <w:sz w:val="24"/>
          <w:szCs w:val="24"/>
        </w:rPr>
        <w:t>Bivens v</w:t>
      </w:r>
      <w:r w:rsidRPr="007C7258">
        <w:rPr>
          <w:rFonts w:ascii="Times New Roman" w:hAnsi="Times New Roman"/>
          <w:bCs/>
          <w:sz w:val="24"/>
          <w:szCs w:val="24"/>
        </w:rPr>
        <w:t xml:space="preserve">. </w:t>
      </w:r>
      <w:r w:rsidRPr="007C7258">
        <w:rPr>
          <w:rFonts w:ascii="Times New Roman" w:hAnsi="Times New Roman"/>
          <w:bCs/>
          <w:i/>
          <w:iCs/>
          <w:sz w:val="24"/>
          <w:szCs w:val="24"/>
        </w:rPr>
        <w:t>Six Unknown Named Agents of the Federal Bureau of Narcotics</w:t>
      </w:r>
      <w:r w:rsidRPr="007C7258">
        <w:rPr>
          <w:rFonts w:ascii="Times New Roman" w:hAnsi="Times New Roman"/>
          <w:bCs/>
          <w:sz w:val="24"/>
          <w:szCs w:val="24"/>
        </w:rPr>
        <w:t>, 403 U.S. 388 (1971), complaining of constitutional and civil rights violations stemming from Plaintiff's arrest and detention.</w:t>
      </w:r>
    </w:p>
    <w:p w14:paraId="31B82843" w14:textId="77777777" w:rsidR="007540BD" w:rsidRPr="007C7258" w:rsidRDefault="007540BD" w:rsidP="007540BD">
      <w:pPr>
        <w:pStyle w:val="NoSpacing"/>
        <w:ind w:left="720"/>
        <w:rPr>
          <w:rFonts w:ascii="Times New Roman" w:hAnsi="Times New Roman"/>
          <w:b/>
          <w:bCs/>
          <w:sz w:val="24"/>
          <w:szCs w:val="24"/>
        </w:rPr>
      </w:pPr>
    </w:p>
    <w:p w14:paraId="00ED5CBF"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2D0BCD06" w14:textId="77777777" w:rsidR="007540BD" w:rsidRPr="007C7258" w:rsidRDefault="007540BD" w:rsidP="007540BD">
      <w:pPr>
        <w:pStyle w:val="NoSpacing"/>
        <w:ind w:left="720"/>
        <w:rPr>
          <w:rFonts w:ascii="Times New Roman" w:hAnsi="Times New Roman"/>
          <w:b/>
          <w:bCs/>
          <w:sz w:val="24"/>
          <w:szCs w:val="24"/>
        </w:rPr>
      </w:pPr>
    </w:p>
    <w:p w14:paraId="221891BC" w14:textId="38C53D84" w:rsidR="007540BD" w:rsidRDefault="007540BD" w:rsidP="007540BD">
      <w:pPr>
        <w:ind w:left="720"/>
        <w:rPr>
          <w:rFonts w:ascii="Arial Black" w:hAnsi="Arial Black"/>
          <w:b/>
          <w:sz w:val="24"/>
          <w:szCs w:val="24"/>
        </w:rPr>
      </w:pPr>
      <w:r w:rsidRPr="007C7258">
        <w:rPr>
          <w:rFonts w:ascii="Times New Roman" w:hAnsi="Times New Roman"/>
          <w:bCs/>
          <w:sz w:val="24"/>
          <w:szCs w:val="24"/>
        </w:rPr>
        <w:t xml:space="preserve">In short, Plaintiff's criminal case was fully managed by the federal prosecutors, who independently interviewed all relevant witnesses and then decided to bring charges against Plaintiff. There is no evidence that the ATF Defendants withheld relevant evidence from the prosecutors, or provided false evidence to them, as would be necessary to establish that the ATF Defendants were responsible for initiating or continuing the prosecution. As such, the ATF Defendants are entitled to summary judgment because Plaintiff failed to satisfy the first element of his malicious prosecution claim. </w:t>
      </w:r>
      <w:r w:rsidRPr="007C7258">
        <w:rPr>
          <w:rFonts w:ascii="Times New Roman" w:hAnsi="Times New Roman"/>
          <w:bCs/>
          <w:i/>
          <w:iCs/>
          <w:sz w:val="24"/>
          <w:szCs w:val="24"/>
        </w:rPr>
        <w:t>See Battisti v</w:t>
      </w:r>
      <w:r w:rsidRPr="007C7258">
        <w:rPr>
          <w:rFonts w:ascii="Times New Roman" w:hAnsi="Times New Roman"/>
          <w:bCs/>
          <w:sz w:val="24"/>
          <w:szCs w:val="24"/>
        </w:rPr>
        <w:t xml:space="preserve">. </w:t>
      </w:r>
      <w:r w:rsidRPr="007C7258">
        <w:rPr>
          <w:rFonts w:ascii="Times New Roman" w:hAnsi="Times New Roman"/>
          <w:bCs/>
          <w:i/>
          <w:iCs/>
          <w:sz w:val="24"/>
          <w:szCs w:val="24"/>
        </w:rPr>
        <w:t>Rice</w:t>
      </w:r>
      <w:r w:rsidRPr="007C7258">
        <w:rPr>
          <w:rFonts w:ascii="Times New Roman" w:hAnsi="Times New Roman"/>
          <w:bCs/>
          <w:sz w:val="24"/>
          <w:szCs w:val="24"/>
        </w:rPr>
        <w:t xml:space="preserve">, No. 10-cv-4139, 2017 WL 78891, *10 (E.D.N.Y. Jan. 9, 2017) (dismissing the plaintiff's malicious prosecution claim because "[t]here is no evidence that either officer importuned [the prosecutor] to prosecute Plaintiff or that either officer fabricated or withheld evidence from [the prosecutor]") (citation omitted); </w:t>
      </w:r>
      <w:r w:rsidRPr="007C7258">
        <w:rPr>
          <w:rFonts w:ascii="Times New Roman" w:hAnsi="Times New Roman"/>
          <w:bCs/>
          <w:i/>
          <w:iCs/>
          <w:sz w:val="24"/>
          <w:szCs w:val="24"/>
        </w:rPr>
        <w:t>Stukes v</w:t>
      </w:r>
      <w:r w:rsidRPr="007C7258">
        <w:rPr>
          <w:rFonts w:ascii="Times New Roman" w:hAnsi="Times New Roman"/>
          <w:bCs/>
          <w:sz w:val="24"/>
          <w:szCs w:val="24"/>
        </w:rPr>
        <w:t xml:space="preserve">. </w:t>
      </w:r>
      <w:r w:rsidRPr="007C7258">
        <w:rPr>
          <w:rFonts w:ascii="Times New Roman" w:hAnsi="Times New Roman"/>
          <w:bCs/>
          <w:i/>
          <w:iCs/>
          <w:sz w:val="24"/>
          <w:szCs w:val="24"/>
        </w:rPr>
        <w:t>City of New York</w:t>
      </w:r>
      <w:r w:rsidRPr="007C7258">
        <w:rPr>
          <w:rFonts w:ascii="Times New Roman" w:hAnsi="Times New Roman"/>
          <w:bCs/>
          <w:sz w:val="24"/>
          <w:szCs w:val="24"/>
        </w:rPr>
        <w:t xml:space="preserve">, No. 13-cv-6166, 2015 WL 1246542, *9 (E.D.N.Y. Mar. 17, 2015).” </w:t>
      </w:r>
      <w:hyperlink r:id="rId339" w:history="1">
        <w:r w:rsidRPr="007C7258">
          <w:rPr>
            <w:rStyle w:val="Hyperlink"/>
            <w:rFonts w:ascii="Times New Roman" w:hAnsi="Times New Roman"/>
            <w:b/>
            <w:sz w:val="24"/>
            <w:szCs w:val="24"/>
          </w:rPr>
          <w:t>https://public.fastcase.com/Wl%2B2t%2BeVuI35%2FN70vAMFZj1n7kcpr8halXGGcU2zGib4k7w6DLSXX7%2BQNj%2B4S4J7</w:t>
        </w:r>
      </w:hyperlink>
    </w:p>
    <w:bookmarkEnd w:id="46"/>
    <w:p w14:paraId="7F3A5218"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 xml:space="preserve">Legal Lessons Learned:  </w:t>
      </w:r>
      <w:r>
        <w:rPr>
          <w:rFonts w:ascii="Times New Roman" w:hAnsi="Times New Roman"/>
          <w:b/>
          <w:bCs/>
          <w:sz w:val="24"/>
          <w:szCs w:val="24"/>
        </w:rPr>
        <w:t>ATF and other a</w:t>
      </w:r>
      <w:r w:rsidRPr="007C7258">
        <w:rPr>
          <w:rFonts w:ascii="Times New Roman" w:hAnsi="Times New Roman"/>
          <w:b/>
          <w:bCs/>
          <w:sz w:val="24"/>
          <w:szCs w:val="24"/>
        </w:rPr>
        <w:t xml:space="preserve">rson investigators enjoy qualified immunity; the fact that charges were later dropped </w:t>
      </w:r>
      <w:r>
        <w:rPr>
          <w:rFonts w:ascii="Times New Roman" w:hAnsi="Times New Roman"/>
          <w:b/>
          <w:bCs/>
          <w:sz w:val="24"/>
          <w:szCs w:val="24"/>
        </w:rPr>
        <w:t xml:space="preserve">by prosecutors </w:t>
      </w:r>
      <w:r w:rsidRPr="007C7258">
        <w:rPr>
          <w:rFonts w:ascii="Times New Roman" w:hAnsi="Times New Roman"/>
          <w:b/>
          <w:bCs/>
          <w:sz w:val="24"/>
          <w:szCs w:val="24"/>
        </w:rPr>
        <w:t xml:space="preserve">against a person does not give the individual a right to sue the investigators. </w:t>
      </w:r>
    </w:p>
    <w:p w14:paraId="7B6C5E59" w14:textId="77777777" w:rsidR="007540BD" w:rsidRPr="007C7258" w:rsidRDefault="007540BD" w:rsidP="007540BD">
      <w:pPr>
        <w:spacing w:before="100" w:beforeAutospacing="1" w:after="100" w:afterAutospacing="1" w:line="240" w:lineRule="auto"/>
        <w:rPr>
          <w:rFonts w:ascii="Times New Roman" w:eastAsia="Times New Roman" w:hAnsi="Times New Roman"/>
          <w:sz w:val="24"/>
          <w:szCs w:val="24"/>
        </w:rPr>
      </w:pPr>
    </w:p>
    <w:p w14:paraId="28555A2A" w14:textId="77777777" w:rsidR="007540BD" w:rsidRDefault="007540BD" w:rsidP="002B1283">
      <w:pPr>
        <w:rPr>
          <w:rFonts w:ascii="Arial Black" w:hAnsi="Arial Black"/>
          <w:b/>
          <w:sz w:val="24"/>
          <w:szCs w:val="24"/>
        </w:rPr>
      </w:pPr>
    </w:p>
    <w:p w14:paraId="1D32292B" w14:textId="77777777" w:rsidR="007540BD" w:rsidRDefault="007540BD" w:rsidP="002B1283">
      <w:pPr>
        <w:rPr>
          <w:rFonts w:ascii="Arial Black" w:hAnsi="Arial Black"/>
          <w:b/>
          <w:sz w:val="24"/>
          <w:szCs w:val="24"/>
        </w:rPr>
      </w:pPr>
    </w:p>
    <w:p w14:paraId="597A8EE6" w14:textId="6D70D898" w:rsidR="00663160" w:rsidRDefault="00663160" w:rsidP="002B1283">
      <w:pPr>
        <w:rPr>
          <w:rFonts w:ascii="Arial Black" w:hAnsi="Arial Black"/>
          <w:b/>
          <w:sz w:val="24"/>
          <w:szCs w:val="24"/>
        </w:rPr>
      </w:pPr>
      <w:r>
        <w:rPr>
          <w:rFonts w:ascii="Arial Black" w:hAnsi="Arial Black"/>
          <w:b/>
          <w:sz w:val="24"/>
          <w:szCs w:val="24"/>
        </w:rPr>
        <w:t>1-</w:t>
      </w:r>
      <w:r w:rsidR="00637A12">
        <w:rPr>
          <w:rFonts w:ascii="Arial Black" w:hAnsi="Arial Black"/>
          <w:b/>
          <w:sz w:val="24"/>
          <w:szCs w:val="24"/>
        </w:rPr>
        <w:t>40</w:t>
      </w:r>
    </w:p>
    <w:p w14:paraId="3208EC89" w14:textId="77777777" w:rsidR="00663160" w:rsidRPr="00615BC7" w:rsidRDefault="00663160" w:rsidP="00663160">
      <w:pPr>
        <w:spacing w:before="100" w:beforeAutospacing="1" w:after="100" w:afterAutospacing="1" w:line="240" w:lineRule="auto"/>
        <w:rPr>
          <w:rFonts w:ascii="Arial Black" w:eastAsia="Times New Roman" w:hAnsi="Arial Black"/>
          <w:b/>
          <w:bCs/>
          <w:sz w:val="28"/>
          <w:szCs w:val="28"/>
        </w:rPr>
      </w:pPr>
      <w:bookmarkStart w:id="47" w:name="_Hlk39749496"/>
      <w:bookmarkStart w:id="48" w:name="_Hlk41315334"/>
      <w:r w:rsidRPr="00615BC7">
        <w:rPr>
          <w:rFonts w:ascii="Arial Black" w:eastAsia="Times New Roman" w:hAnsi="Arial Black"/>
          <w:b/>
          <w:bCs/>
          <w:sz w:val="28"/>
          <w:szCs w:val="28"/>
        </w:rPr>
        <w:t xml:space="preserve">TX:  </w:t>
      </w:r>
      <w:r>
        <w:rPr>
          <w:rFonts w:ascii="Arial Black" w:eastAsia="Times New Roman" w:hAnsi="Arial Black"/>
          <w:b/>
          <w:bCs/>
          <w:sz w:val="28"/>
          <w:szCs w:val="28"/>
        </w:rPr>
        <w:t>GRANDMOTHER’S 911 CALLS DID NOT GO THROUGH – BABY DIED – T-MOBILE HAS IMMUNITY UNDER STATE LAW</w:t>
      </w:r>
    </w:p>
    <w:p w14:paraId="1B671B23" w14:textId="77777777" w:rsidR="00663160" w:rsidRPr="0049503A" w:rsidRDefault="00663160" w:rsidP="00663160">
      <w:pPr>
        <w:pStyle w:val="NoSpacing"/>
        <w:rPr>
          <w:rFonts w:ascii="Times New Roman" w:hAnsi="Times New Roman"/>
          <w:b/>
          <w:bCs/>
          <w:sz w:val="24"/>
          <w:szCs w:val="24"/>
        </w:rPr>
      </w:pPr>
      <w:r w:rsidRPr="0049503A">
        <w:rPr>
          <w:rFonts w:ascii="Times New Roman" w:hAnsi="Times New Roman"/>
          <w:bCs/>
          <w:sz w:val="24"/>
          <w:szCs w:val="24"/>
        </w:rPr>
        <w:t xml:space="preserve">On Feb. 27, 2020, in </w:t>
      </w:r>
      <w:r w:rsidRPr="0049503A">
        <w:rPr>
          <w:rFonts w:ascii="Times New Roman" w:hAnsi="Times New Roman"/>
          <w:bCs/>
          <w:sz w:val="24"/>
          <w:szCs w:val="24"/>
          <w:u w:val="single"/>
        </w:rPr>
        <w:t>Bridget Alex v. T-Mobile USA</w:t>
      </w:r>
      <w:r w:rsidRPr="0049503A">
        <w:rPr>
          <w:rFonts w:ascii="Times New Roman" w:hAnsi="Times New Roman"/>
          <w:bCs/>
          <w:sz w:val="24"/>
          <w:szCs w:val="24"/>
        </w:rPr>
        <w:t>, the U.S. Court of Appeals for 5</w:t>
      </w:r>
      <w:r w:rsidRPr="0049503A">
        <w:rPr>
          <w:rFonts w:ascii="Times New Roman" w:hAnsi="Times New Roman"/>
          <w:bCs/>
          <w:sz w:val="24"/>
          <w:szCs w:val="24"/>
          <w:vertAlign w:val="superscript"/>
        </w:rPr>
        <w:t>th</w:t>
      </w:r>
      <w:r w:rsidRPr="0049503A">
        <w:rPr>
          <w:rFonts w:ascii="Times New Roman" w:hAnsi="Times New Roman"/>
          <w:bCs/>
          <w:sz w:val="24"/>
          <w:szCs w:val="24"/>
        </w:rPr>
        <w:t xml:space="preserve"> Circuit (New Orleans) held (3 to 0)  that T-Mobile enjoys immunity under State statute. </w:t>
      </w:r>
    </w:p>
    <w:p w14:paraId="5D88DF9C" w14:textId="77777777" w:rsidR="00663160" w:rsidRPr="0049503A" w:rsidRDefault="00663160" w:rsidP="00663160">
      <w:pPr>
        <w:pStyle w:val="NoSpacing"/>
        <w:rPr>
          <w:rFonts w:ascii="Times New Roman" w:hAnsi="Times New Roman"/>
          <w:b/>
          <w:bCs/>
          <w:sz w:val="24"/>
          <w:szCs w:val="24"/>
        </w:rPr>
      </w:pPr>
    </w:p>
    <w:p w14:paraId="7552E761" w14:textId="210A0D85"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“Seven-month-old Brandon Alex was injured after falling from a daybed. His babysitter dialed 9-1-1 three separate </w:t>
      </w:r>
      <w:proofErr w:type="gramStart"/>
      <w:r w:rsidRPr="0049503A">
        <w:rPr>
          <w:rFonts w:ascii="Times New Roman" w:hAnsi="Times New Roman"/>
          <w:bCs/>
          <w:sz w:val="24"/>
          <w:szCs w:val="24"/>
        </w:rPr>
        <w:t>times, and</w:t>
      </w:r>
      <w:proofErr w:type="gramEnd"/>
      <w:r w:rsidRPr="0049503A">
        <w:rPr>
          <w:rFonts w:ascii="Times New Roman" w:hAnsi="Times New Roman"/>
          <w:bCs/>
          <w:sz w:val="24"/>
          <w:szCs w:val="24"/>
        </w:rPr>
        <w:t xml:space="preserve"> stayed on an unconnected line for over thirty minutes. Unable to connect to a dispatcher, Brandon’s grandmother drove him to an emergency room over an hour after the first 9-1-1 call. Brandon was pronounced dead shortly after arriving at the hospital.</w:t>
      </w:r>
      <w:r w:rsidR="000B4D9F">
        <w:rPr>
          <w:rFonts w:ascii="Times New Roman" w:hAnsi="Times New Roman"/>
          <w:bCs/>
          <w:sz w:val="24"/>
          <w:szCs w:val="24"/>
        </w:rPr>
        <w:t xml:space="preserve"> *** </w:t>
      </w:r>
      <w:r w:rsidRPr="0049503A">
        <w:rPr>
          <w:rFonts w:ascii="Times New Roman" w:hAnsi="Times New Roman"/>
          <w:bCs/>
          <w:sz w:val="24"/>
          <w:szCs w:val="24"/>
        </w:rPr>
        <w:t xml:space="preserve">This court has already held that, under the Supreme Court of Texas’s decision in City of Dallas v. Sanchez, 494 S.W.3d 722 (Tex. 2016), Plaintiffs failed to allege proximate cause sufficient to overcome T-Mobile’s immunity…. Because T-Mobile and T-Systems are immune under Texas law, the district court did not err in dismissing Plaintiffs’ claims against them—we affirm. </w:t>
      </w:r>
    </w:p>
    <w:p w14:paraId="088374BE" w14:textId="77777777" w:rsidR="00663160" w:rsidRPr="0049503A" w:rsidRDefault="00663160" w:rsidP="00663160">
      <w:pPr>
        <w:pStyle w:val="NoSpacing"/>
        <w:ind w:left="720"/>
        <w:rPr>
          <w:rFonts w:ascii="Times New Roman" w:eastAsia="Times New Roman" w:hAnsi="Times New Roman"/>
          <w:b/>
          <w:bCs/>
          <w:sz w:val="24"/>
          <w:szCs w:val="24"/>
        </w:rPr>
      </w:pPr>
      <w:hyperlink r:id="rId340" w:history="1">
        <w:r w:rsidRPr="0049503A">
          <w:rPr>
            <w:rStyle w:val="Hyperlink"/>
            <w:rFonts w:ascii="Times New Roman" w:hAnsi="Times New Roman"/>
            <w:bCs/>
            <w:sz w:val="24"/>
            <w:szCs w:val="24"/>
          </w:rPr>
          <w:t>http://www.ca5.uscourts.gov/opinions/unpub/19/19-10878.0.pdf</w:t>
        </w:r>
      </w:hyperlink>
      <w:r w:rsidRPr="0049503A">
        <w:rPr>
          <w:rFonts w:ascii="Times New Roman" w:hAnsi="Times New Roman"/>
          <w:bCs/>
          <w:sz w:val="24"/>
          <w:szCs w:val="24"/>
        </w:rPr>
        <w:t xml:space="preserve"> </w:t>
      </w:r>
    </w:p>
    <w:bookmarkEnd w:id="47"/>
    <w:p w14:paraId="73EF83A1" w14:textId="77777777" w:rsidR="00663160" w:rsidRDefault="00663160" w:rsidP="00663160">
      <w:pPr>
        <w:pStyle w:val="NoSpacing"/>
        <w:rPr>
          <w:rFonts w:ascii="Times New Roman" w:hAnsi="Times New Roman"/>
          <w:b/>
          <w:bCs/>
          <w:sz w:val="24"/>
          <w:szCs w:val="24"/>
        </w:rPr>
      </w:pPr>
    </w:p>
    <w:p w14:paraId="606DEE07" w14:textId="74517482" w:rsidR="00663160" w:rsidRPr="0049503A" w:rsidRDefault="00663160" w:rsidP="00663160">
      <w:pPr>
        <w:pStyle w:val="NoSpacing"/>
        <w:rPr>
          <w:rFonts w:ascii="Times New Roman" w:hAnsi="Times New Roman"/>
          <w:b/>
          <w:bCs/>
          <w:sz w:val="24"/>
          <w:szCs w:val="24"/>
        </w:rPr>
      </w:pPr>
      <w:r w:rsidRPr="0049503A">
        <w:rPr>
          <w:rFonts w:ascii="Times New Roman" w:hAnsi="Times New Roman"/>
          <w:b/>
          <w:bCs/>
          <w:sz w:val="24"/>
          <w:szCs w:val="24"/>
        </w:rPr>
        <w:t xml:space="preserve">Legal Lessons Learned: State statutes often provide immunity to 911 equipment suppliers; this helps avoid suppliers charging municipal </w:t>
      </w:r>
      <w:proofErr w:type="gramStart"/>
      <w:r w:rsidRPr="0049503A">
        <w:rPr>
          <w:rFonts w:ascii="Times New Roman" w:hAnsi="Times New Roman"/>
          <w:b/>
          <w:bCs/>
          <w:sz w:val="24"/>
          <w:szCs w:val="24"/>
        </w:rPr>
        <w:t>governments will</w:t>
      </w:r>
      <w:proofErr w:type="gramEnd"/>
      <w:r w:rsidRPr="0049503A">
        <w:rPr>
          <w:rFonts w:ascii="Times New Roman" w:hAnsi="Times New Roman"/>
          <w:b/>
          <w:bCs/>
          <w:sz w:val="24"/>
          <w:szCs w:val="24"/>
        </w:rPr>
        <w:t xml:space="preserve"> large insurance costs. </w:t>
      </w:r>
    </w:p>
    <w:bookmarkEnd w:id="48"/>
    <w:p w14:paraId="3047154D" w14:textId="77777777" w:rsidR="00663160" w:rsidRDefault="00663160" w:rsidP="002B1283">
      <w:pPr>
        <w:rPr>
          <w:rFonts w:ascii="Arial Black" w:hAnsi="Arial Black"/>
          <w:b/>
          <w:sz w:val="24"/>
          <w:szCs w:val="24"/>
        </w:rPr>
      </w:pPr>
    </w:p>
    <w:p w14:paraId="2EB9C037" w14:textId="049FEAAF" w:rsidR="00663160" w:rsidRDefault="00663160"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9</w:t>
      </w:r>
    </w:p>
    <w:p w14:paraId="6E23A3A0" w14:textId="77777777" w:rsidR="00663160" w:rsidRPr="00562D96" w:rsidRDefault="00663160" w:rsidP="00663160">
      <w:pPr>
        <w:pStyle w:val="NoSpacing"/>
        <w:rPr>
          <w:rFonts w:ascii="Arial Black" w:hAnsi="Arial Black"/>
          <w:sz w:val="28"/>
          <w:szCs w:val="28"/>
        </w:rPr>
      </w:pPr>
      <w:bookmarkStart w:id="49" w:name="_Hlk39749579"/>
      <w:bookmarkStart w:id="50" w:name="_Hlk39817858"/>
      <w:r w:rsidRPr="00562D96">
        <w:rPr>
          <w:rFonts w:ascii="Arial Black" w:hAnsi="Arial Black"/>
          <w:sz w:val="28"/>
          <w:szCs w:val="28"/>
        </w:rPr>
        <w:t xml:space="preserve">MI: </w:t>
      </w:r>
      <w:r>
        <w:rPr>
          <w:rFonts w:ascii="Arial Black" w:hAnsi="Arial Black"/>
          <w:sz w:val="28"/>
          <w:szCs w:val="28"/>
        </w:rPr>
        <w:t>ARSON CASE TO BE RE-TRIED – ARSON INVESTIGATORS CHANGED OPINION – 2 POINTS OF ORIGIN TO 1 LOCATION</w:t>
      </w:r>
    </w:p>
    <w:p w14:paraId="68491680" w14:textId="77777777" w:rsidR="00663160" w:rsidRDefault="00663160" w:rsidP="00663160">
      <w:pPr>
        <w:pStyle w:val="NoSpacing"/>
        <w:rPr>
          <w:b/>
          <w:bCs/>
          <w:sz w:val="24"/>
          <w:szCs w:val="24"/>
        </w:rPr>
      </w:pPr>
    </w:p>
    <w:p w14:paraId="56F1238F" w14:textId="77777777" w:rsidR="00663160" w:rsidRPr="0049503A" w:rsidRDefault="00663160" w:rsidP="00663160">
      <w:pPr>
        <w:pStyle w:val="NoSpacing"/>
        <w:rPr>
          <w:rFonts w:ascii="Times New Roman" w:hAnsi="Times New Roman"/>
          <w:b/>
          <w:bCs/>
          <w:sz w:val="24"/>
          <w:szCs w:val="24"/>
        </w:rPr>
      </w:pPr>
      <w:r w:rsidRPr="0049503A">
        <w:rPr>
          <w:rFonts w:ascii="Times New Roman" w:hAnsi="Times New Roman"/>
          <w:bCs/>
          <w:sz w:val="24"/>
          <w:szCs w:val="24"/>
        </w:rPr>
        <w:t xml:space="preserve">On Feb. 25, 2020, in </w:t>
      </w:r>
      <w:r w:rsidRPr="0049503A">
        <w:rPr>
          <w:rFonts w:ascii="Times New Roman" w:hAnsi="Times New Roman"/>
          <w:bCs/>
          <w:sz w:val="24"/>
          <w:szCs w:val="24"/>
          <w:u w:val="single"/>
        </w:rPr>
        <w:t>People of the State of Michigan v. Joshua Mark Burger</w:t>
      </w:r>
      <w:r w:rsidRPr="0049503A">
        <w:rPr>
          <w:rFonts w:ascii="Times New Roman" w:hAnsi="Times New Roman"/>
          <w:bCs/>
          <w:sz w:val="24"/>
          <w:szCs w:val="24"/>
        </w:rPr>
        <w:t xml:space="preserve">, the Michigan Court of Appeals held (3 to 0) that the defendant must re-tried.   Two arson investigators also changed their opinion from two points or origin to </w:t>
      </w:r>
      <w:proofErr w:type="gramStart"/>
      <w:r w:rsidRPr="0049503A">
        <w:rPr>
          <w:rFonts w:ascii="Times New Roman" w:hAnsi="Times New Roman"/>
          <w:bCs/>
          <w:sz w:val="24"/>
          <w:szCs w:val="24"/>
        </w:rPr>
        <w:t>one, but</w:t>
      </w:r>
      <w:proofErr w:type="gramEnd"/>
      <w:r w:rsidRPr="0049503A">
        <w:rPr>
          <w:rFonts w:ascii="Times New Roman" w:hAnsi="Times New Roman"/>
          <w:bCs/>
          <w:sz w:val="24"/>
          <w:szCs w:val="24"/>
        </w:rPr>
        <w:t xml:space="preserve"> not disclosed to defense until first day of trial. Also, defendant owned a successful pawn shop, and the trial court improperly prohibited him from calling two witnesses who would testify his pawn shop was financially doing well – insurance adjustor, and the landlord.  </w:t>
      </w:r>
    </w:p>
    <w:p w14:paraId="7BEE16D6" w14:textId="77777777" w:rsidR="00663160" w:rsidRPr="0049503A" w:rsidRDefault="00663160" w:rsidP="00663160">
      <w:pPr>
        <w:pStyle w:val="NoSpacing"/>
        <w:rPr>
          <w:rFonts w:ascii="Times New Roman" w:hAnsi="Times New Roman"/>
          <w:b/>
          <w:bCs/>
          <w:sz w:val="24"/>
          <w:szCs w:val="24"/>
        </w:rPr>
      </w:pPr>
    </w:p>
    <w:bookmarkEnd w:id="49"/>
    <w:p w14:paraId="77EF138A" w14:textId="77777777"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“Defendant’s primary theory of the case was spontaneous combustion of the rag soaked with linseed oil that he had been using to finish a guitar in the days leading up to the fire, as he argued in closing. *** </w:t>
      </w:r>
    </w:p>
    <w:p w14:paraId="29CD8274" w14:textId="77777777"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It is undisputed in this case that defendant learned for the first time at trial that the fire chiefs had changed their opinion regarding the fire’s point of origin. In their original reports, which were disclosed to </w:t>
      </w:r>
      <w:proofErr w:type="gramStart"/>
      <w:r w:rsidRPr="0049503A">
        <w:rPr>
          <w:rFonts w:ascii="Times New Roman" w:hAnsi="Times New Roman"/>
          <w:bCs/>
          <w:sz w:val="24"/>
          <w:szCs w:val="24"/>
        </w:rPr>
        <w:t>defendant</w:t>
      </w:r>
      <w:proofErr w:type="gramEnd"/>
      <w:r w:rsidRPr="0049503A">
        <w:rPr>
          <w:rFonts w:ascii="Times New Roman" w:hAnsi="Times New Roman"/>
          <w:bCs/>
          <w:sz w:val="24"/>
          <w:szCs w:val="24"/>
        </w:rPr>
        <w:t>, both chiefs opined that the fire had two points of origin. However, the chiefs later altered their conclusions, indicating that indeed, the fire had a single point of origin. We conclude that this information was suppressed, as it was not disclosed until the beginning of trial, and that it was material to defendant’s case.”</w:t>
      </w:r>
    </w:p>
    <w:bookmarkStart w:id="51" w:name="_Hlk39749601"/>
    <w:p w14:paraId="4C127694" w14:textId="77777777" w:rsidR="00663160" w:rsidRPr="0049503A" w:rsidRDefault="00334940" w:rsidP="00663160">
      <w:pPr>
        <w:pStyle w:val="NoSpacing"/>
        <w:ind w:left="720"/>
        <w:rPr>
          <w:rFonts w:ascii="Times New Roman" w:hAnsi="Times New Roman"/>
          <w:b/>
          <w:bCs/>
          <w:sz w:val="24"/>
          <w:szCs w:val="24"/>
        </w:rPr>
      </w:pPr>
      <w:r>
        <w:fldChar w:fldCharType="begin"/>
      </w:r>
      <w:r>
        <w:instrText xml:space="preserve"> HYPERLINK "https://cases.justia.com/michigan/court-of-appeals-published/2020-343332.pdf?ts=1582725736" </w:instrText>
      </w:r>
      <w:r>
        <w:fldChar w:fldCharType="separate"/>
      </w:r>
      <w:r w:rsidR="00663160" w:rsidRPr="0049503A">
        <w:rPr>
          <w:rStyle w:val="Hyperlink"/>
          <w:rFonts w:ascii="Times New Roman" w:hAnsi="Times New Roman"/>
          <w:bCs/>
          <w:sz w:val="24"/>
          <w:szCs w:val="24"/>
        </w:rPr>
        <w:t>https://cases.justia.com/michigan/court-of-appeals-published/2020-343332.pdf?ts=1582725736</w:t>
      </w:r>
      <w:r>
        <w:rPr>
          <w:rStyle w:val="Hyperlink"/>
          <w:rFonts w:ascii="Times New Roman" w:hAnsi="Times New Roman"/>
          <w:bCs/>
          <w:sz w:val="24"/>
          <w:szCs w:val="24"/>
        </w:rPr>
        <w:fldChar w:fldCharType="end"/>
      </w:r>
      <w:r w:rsidR="00663160" w:rsidRPr="0049503A">
        <w:rPr>
          <w:rFonts w:ascii="Times New Roman" w:hAnsi="Times New Roman"/>
          <w:bCs/>
          <w:sz w:val="24"/>
          <w:szCs w:val="24"/>
        </w:rPr>
        <w:t xml:space="preserve"> </w:t>
      </w:r>
    </w:p>
    <w:bookmarkEnd w:id="50"/>
    <w:bookmarkEnd w:id="51"/>
    <w:p w14:paraId="762A0384" w14:textId="77777777" w:rsidR="00663160" w:rsidRDefault="00663160" w:rsidP="00663160">
      <w:pPr>
        <w:pStyle w:val="NoSpacing"/>
        <w:tabs>
          <w:tab w:val="left" w:pos="2970"/>
        </w:tabs>
        <w:rPr>
          <w:rFonts w:ascii="Times New Roman" w:hAnsi="Times New Roman"/>
          <w:b/>
          <w:bCs/>
          <w:sz w:val="24"/>
          <w:szCs w:val="24"/>
        </w:rPr>
      </w:pPr>
    </w:p>
    <w:p w14:paraId="5AF92333" w14:textId="22C83871" w:rsidR="00663160" w:rsidRPr="0049503A" w:rsidRDefault="00663160" w:rsidP="00663160">
      <w:pPr>
        <w:pStyle w:val="NoSpacing"/>
        <w:tabs>
          <w:tab w:val="left" w:pos="2970"/>
        </w:tabs>
        <w:rPr>
          <w:rFonts w:ascii="Times New Roman" w:hAnsi="Times New Roman"/>
          <w:b/>
          <w:bCs/>
          <w:sz w:val="24"/>
          <w:szCs w:val="24"/>
        </w:rPr>
      </w:pPr>
      <w:r w:rsidRPr="0049503A">
        <w:rPr>
          <w:rFonts w:ascii="Times New Roman" w:hAnsi="Times New Roman"/>
          <w:b/>
          <w:bCs/>
          <w:sz w:val="24"/>
          <w:szCs w:val="24"/>
        </w:rPr>
        <w:t xml:space="preserve">Legal Lessons Learned:  Prosecutors must disclose, prior to trial, when arson investigators change their findings from two points of origin to one point. </w:t>
      </w:r>
    </w:p>
    <w:p w14:paraId="7B5BEED1" w14:textId="77777777" w:rsidR="00663160" w:rsidRPr="0049503A" w:rsidRDefault="00663160" w:rsidP="00663160">
      <w:pPr>
        <w:pStyle w:val="NoSpacing"/>
        <w:rPr>
          <w:rFonts w:ascii="Times New Roman" w:hAnsi="Times New Roman"/>
          <w:b/>
          <w:bCs/>
          <w:sz w:val="24"/>
          <w:szCs w:val="24"/>
        </w:rPr>
      </w:pPr>
    </w:p>
    <w:p w14:paraId="55C127E0" w14:textId="77777777" w:rsidR="00663160" w:rsidRDefault="00663160" w:rsidP="002B1283">
      <w:pPr>
        <w:rPr>
          <w:rFonts w:ascii="Arial Black" w:hAnsi="Arial Black"/>
          <w:b/>
          <w:sz w:val="24"/>
          <w:szCs w:val="24"/>
        </w:rPr>
      </w:pPr>
    </w:p>
    <w:p w14:paraId="22FA65F1" w14:textId="77777777" w:rsidR="00663160" w:rsidRDefault="00663160" w:rsidP="002B1283">
      <w:pPr>
        <w:rPr>
          <w:rFonts w:ascii="Arial Black" w:hAnsi="Arial Black"/>
          <w:b/>
          <w:sz w:val="24"/>
          <w:szCs w:val="24"/>
        </w:rPr>
      </w:pPr>
    </w:p>
    <w:p w14:paraId="6B2A9EFE" w14:textId="77777777" w:rsidR="00663160" w:rsidRDefault="00663160" w:rsidP="002B1283">
      <w:pPr>
        <w:rPr>
          <w:rFonts w:ascii="Arial Black" w:hAnsi="Arial Black"/>
          <w:b/>
          <w:sz w:val="24"/>
          <w:szCs w:val="24"/>
        </w:rPr>
      </w:pPr>
    </w:p>
    <w:p w14:paraId="48F9AA74" w14:textId="41AFD911" w:rsidR="00C9355B" w:rsidRDefault="00C9355B"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8</w:t>
      </w:r>
    </w:p>
    <w:p w14:paraId="33EED068" w14:textId="77777777" w:rsidR="00C9355B" w:rsidRPr="00B51160" w:rsidRDefault="00C9355B" w:rsidP="00C9355B">
      <w:pPr>
        <w:pStyle w:val="Heading1"/>
        <w:rPr>
          <w:rFonts w:ascii="Arial Black" w:hAnsi="Arial Black"/>
          <w:sz w:val="28"/>
          <w:szCs w:val="28"/>
        </w:rPr>
      </w:pPr>
      <w:bookmarkStart w:id="52" w:name="_Hlk69187758"/>
      <w:bookmarkStart w:id="53" w:name="_Hlk39749674"/>
      <w:bookmarkStart w:id="54" w:name="_Hlk39817933"/>
      <w:r w:rsidRPr="00B51160">
        <w:rPr>
          <w:rFonts w:ascii="Arial Black" w:hAnsi="Arial Black"/>
          <w:sz w:val="28"/>
          <w:szCs w:val="28"/>
        </w:rPr>
        <w:t>CA:</w:t>
      </w:r>
      <w:r>
        <w:rPr>
          <w:rFonts w:ascii="Arial Black" w:hAnsi="Arial Black"/>
          <w:sz w:val="28"/>
          <w:szCs w:val="28"/>
        </w:rPr>
        <w:t xml:space="preserve"> HOUSE EXPLOSION – HASHISH OIL – AFTER FIRE OUT, HAZMAT CAPT. / PD LATER SEARCHED WITHOUT WARRANT </w:t>
      </w:r>
    </w:p>
    <w:bookmarkEnd w:id="52"/>
    <w:p w14:paraId="6BBE029D" w14:textId="77777777"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28, 2020, in </w:t>
      </w:r>
      <w:r w:rsidRPr="00695030">
        <w:rPr>
          <w:rFonts w:ascii="Times New Roman" w:hAnsi="Times New Roman"/>
          <w:bCs/>
          <w:sz w:val="24"/>
          <w:szCs w:val="24"/>
          <w:u w:val="single"/>
        </w:rPr>
        <w:t>United States of America v. Joseph Jay Spadafore</w:t>
      </w:r>
      <w:r w:rsidRPr="00695030">
        <w:rPr>
          <w:rFonts w:ascii="Times New Roman" w:hAnsi="Times New Roman"/>
          <w:bCs/>
          <w:sz w:val="24"/>
          <w:szCs w:val="24"/>
        </w:rPr>
        <w:t>, the U.S. Court of Appeals for the 9</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(San Francisco) held (3 to 0, unpublished decision) that trial judge properly denied his motion to suppress evidence; it was reasonable for a fire department Captain and police officers to conduct the later search the home without a search warrant, due to presence of hazardous and volatile materials.  </w:t>
      </w:r>
    </w:p>
    <w:bookmarkEnd w:id="53"/>
    <w:p w14:paraId="73774342" w14:textId="77777777" w:rsidR="00C9355B" w:rsidRPr="00695030" w:rsidRDefault="00C9355B" w:rsidP="00C9355B">
      <w:pPr>
        <w:pStyle w:val="NoSpacing"/>
        <w:rPr>
          <w:rFonts w:ascii="Times New Roman" w:hAnsi="Times New Roman"/>
          <w:b/>
          <w:bCs/>
          <w:sz w:val="24"/>
          <w:szCs w:val="24"/>
        </w:rPr>
      </w:pPr>
    </w:p>
    <w:p w14:paraId="415C2F7E"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“[E]</w:t>
      </w:r>
      <w:proofErr w:type="spellStart"/>
      <w:r w:rsidRPr="00695030">
        <w:rPr>
          <w:rFonts w:ascii="Times New Roman" w:hAnsi="Times New Roman"/>
          <w:bCs/>
          <w:sz w:val="24"/>
          <w:szCs w:val="24"/>
        </w:rPr>
        <w:t>xigent</w:t>
      </w:r>
      <w:proofErr w:type="spellEnd"/>
      <w:r w:rsidRPr="00695030">
        <w:rPr>
          <w:rFonts w:ascii="Times New Roman" w:hAnsi="Times New Roman"/>
          <w:bCs/>
          <w:sz w:val="24"/>
          <w:szCs w:val="24"/>
        </w:rPr>
        <w:t xml:space="preserve"> circumstances involving the explosion of volatile materials used for manufacturing hashish oil justified the search of the residence by fire department personnel and law enforcement officers. During the initial search for potential victims of the explosion, first responders observed ‘glassware, tubing, jars, and other equipment that resembled a drug lab.’ Later in the night, a fire captain with the ‘hazardous materials unit’ accompanied law enforcement officers, while wearing ‘air monitoring devices . . . in order to check the air quality and confirm the nature of the lab inside the home, particularly whether it involved hazardous materials that could pose a danger to life, property, or the environment.’ Although the fire had been extinguished, it was reasonable for fire department personnel and law enforcement officers to search the property due to the explosion and the presence of other hazardous and volatile materials.” </w:t>
      </w:r>
      <w:bookmarkStart w:id="55" w:name="_Hlk69187822"/>
      <w:bookmarkStart w:id="56" w:name="_Hlk39749691"/>
      <w:r w:rsidR="00334940">
        <w:fldChar w:fldCharType="begin"/>
      </w:r>
      <w:r w:rsidR="00334940">
        <w:instrText xml:space="preserve"> HYPERLINK "http://cdn.ca9.uscourts.gov/datastore/memoranda/2020/01/28/18-50189.pdf" </w:instrText>
      </w:r>
      <w:r w:rsidR="00334940">
        <w:fldChar w:fldCharType="separate"/>
      </w:r>
      <w:r w:rsidRPr="00695030">
        <w:rPr>
          <w:rStyle w:val="Hyperlink"/>
          <w:rFonts w:ascii="Times New Roman" w:hAnsi="Times New Roman"/>
          <w:b/>
          <w:sz w:val="24"/>
          <w:szCs w:val="24"/>
        </w:rPr>
        <w:t>http://cdn.ca9.uscourts.gov/datastore/memoranda/2020/01/28/18-50189.pdf</w:t>
      </w:r>
      <w:r w:rsidR="00334940">
        <w:rPr>
          <w:rStyle w:val="Hyperlink"/>
          <w:rFonts w:ascii="Times New Roman" w:hAnsi="Times New Roman"/>
          <w:b/>
          <w:sz w:val="24"/>
          <w:szCs w:val="24"/>
        </w:rPr>
        <w:fldChar w:fldCharType="end"/>
      </w:r>
      <w:r w:rsidRPr="00695030">
        <w:rPr>
          <w:rFonts w:ascii="Times New Roman" w:hAnsi="Times New Roman"/>
          <w:bCs/>
          <w:sz w:val="24"/>
          <w:szCs w:val="24"/>
        </w:rPr>
        <w:t xml:space="preserve"> </w:t>
      </w:r>
      <w:bookmarkEnd w:id="55"/>
    </w:p>
    <w:bookmarkEnd w:id="56"/>
    <w:p w14:paraId="2D46859A" w14:textId="77777777" w:rsidR="007A1E7A" w:rsidRDefault="007A1E7A" w:rsidP="00C9355B">
      <w:pPr>
        <w:pStyle w:val="NoSpacing"/>
        <w:rPr>
          <w:rFonts w:ascii="Times New Roman" w:hAnsi="Times New Roman"/>
          <w:b/>
          <w:bCs/>
          <w:sz w:val="24"/>
          <w:szCs w:val="24"/>
        </w:rPr>
      </w:pPr>
    </w:p>
    <w:bookmarkEnd w:id="54"/>
    <w:p w14:paraId="195C52EC" w14:textId="3B7C5E9D"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Great decision; remember to keep a firefighter at the scene while waiting for HAZMAT, fire investigator, or other specialized resources to arrive. </w:t>
      </w:r>
    </w:p>
    <w:p w14:paraId="6ECC6FED" w14:textId="77777777" w:rsidR="00C9355B" w:rsidRDefault="00C9355B" w:rsidP="002B1283">
      <w:pPr>
        <w:rPr>
          <w:rFonts w:ascii="Arial Black" w:hAnsi="Arial Black"/>
          <w:b/>
          <w:sz w:val="24"/>
          <w:szCs w:val="24"/>
        </w:rPr>
      </w:pPr>
    </w:p>
    <w:p w14:paraId="66EE328D" w14:textId="77777777" w:rsidR="00C9355B" w:rsidRDefault="00C9355B" w:rsidP="002B1283">
      <w:pPr>
        <w:rPr>
          <w:rFonts w:ascii="Arial Black" w:hAnsi="Arial Black"/>
          <w:b/>
          <w:sz w:val="24"/>
          <w:szCs w:val="24"/>
        </w:rPr>
      </w:pPr>
    </w:p>
    <w:p w14:paraId="7EF421D0" w14:textId="77777777" w:rsidR="00C9355B" w:rsidRDefault="00C9355B" w:rsidP="002B1283">
      <w:pPr>
        <w:rPr>
          <w:rFonts w:ascii="Arial Black" w:hAnsi="Arial Black"/>
          <w:b/>
          <w:sz w:val="24"/>
          <w:szCs w:val="24"/>
        </w:rPr>
      </w:pPr>
    </w:p>
    <w:p w14:paraId="4AB217A3" w14:textId="5A96FFB4" w:rsidR="00980EAD"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7</w:t>
      </w:r>
    </w:p>
    <w:p w14:paraId="7B07AE07" w14:textId="77777777" w:rsidR="007C6FEF" w:rsidRPr="007B1262" w:rsidRDefault="007C6FEF" w:rsidP="007C6FEF">
      <w:pPr>
        <w:spacing w:before="100" w:beforeAutospacing="1" w:after="100" w:afterAutospacing="1" w:line="240" w:lineRule="auto"/>
        <w:rPr>
          <w:rFonts w:ascii="Arial Black" w:hAnsi="Arial Black"/>
          <w:sz w:val="28"/>
          <w:szCs w:val="28"/>
        </w:rPr>
      </w:pPr>
      <w:r>
        <w:rPr>
          <w:rFonts w:ascii="Arial Black" w:hAnsi="Arial Black"/>
          <w:sz w:val="28"/>
          <w:szCs w:val="28"/>
        </w:rPr>
        <w:t>FL:</w:t>
      </w:r>
      <w:r w:rsidRPr="007B1262">
        <w:rPr>
          <w:rFonts w:ascii="Arial Black" w:hAnsi="Arial Black"/>
          <w:sz w:val="28"/>
          <w:szCs w:val="28"/>
        </w:rPr>
        <w:t xml:space="preserve"> </w:t>
      </w:r>
      <w:r>
        <w:rPr>
          <w:rFonts w:ascii="Arial Black" w:hAnsi="Arial Black"/>
          <w:sz w:val="28"/>
          <w:szCs w:val="28"/>
        </w:rPr>
        <w:t>FIRE CHIEF – CODE ENFORCEMENT / 100-YR OLD LODGE WAS CONDEMNED – FIRED – 1</w:t>
      </w:r>
      <w:r w:rsidRPr="002A643A">
        <w:rPr>
          <w:rFonts w:ascii="Arial Black" w:hAnsi="Arial Black"/>
          <w:sz w:val="28"/>
          <w:szCs w:val="28"/>
          <w:vertAlign w:val="superscript"/>
        </w:rPr>
        <w:t>st</w:t>
      </w:r>
      <w:r>
        <w:rPr>
          <w:rFonts w:ascii="Arial Black" w:hAnsi="Arial Black"/>
          <w:sz w:val="28"/>
          <w:szCs w:val="28"/>
        </w:rPr>
        <w:t xml:space="preserve"> AMENDMENT CASE DISMISSED</w:t>
      </w:r>
    </w:p>
    <w:p w14:paraId="70AC31BC" w14:textId="77777777" w:rsidR="007C6FEF" w:rsidRPr="00B47705" w:rsidRDefault="007C6FEF" w:rsidP="007C6FEF">
      <w:pPr>
        <w:spacing w:before="100" w:beforeAutospacing="1" w:after="100" w:afterAutospacing="1" w:line="240" w:lineRule="auto"/>
        <w:rPr>
          <w:rFonts w:ascii="Times New Roman" w:hAnsi="Times New Roman"/>
          <w:sz w:val="24"/>
          <w:szCs w:val="24"/>
        </w:rPr>
      </w:pPr>
      <w:r w:rsidRPr="00B47705">
        <w:rPr>
          <w:rFonts w:ascii="Times New Roman" w:hAnsi="Times New Roman"/>
          <w:sz w:val="24"/>
          <w:szCs w:val="24"/>
        </w:rPr>
        <w:t xml:space="preserve">On Dec. 12, 2019, in </w:t>
      </w:r>
      <w:r w:rsidRPr="00B47705">
        <w:rPr>
          <w:rFonts w:ascii="Times New Roman" w:hAnsi="Times New Roman"/>
          <w:sz w:val="24"/>
          <w:szCs w:val="24"/>
          <w:u w:val="single"/>
        </w:rPr>
        <w:t>Bradley Batz v. City of Sebring</w:t>
      </w:r>
      <w:r w:rsidRPr="00B47705">
        <w:rPr>
          <w:rFonts w:ascii="Times New Roman" w:hAnsi="Times New Roman"/>
          <w:sz w:val="24"/>
          <w:szCs w:val="24"/>
        </w:rPr>
        <w:t>, the U.S. Court of Appeals for the 11</w:t>
      </w:r>
      <w:r w:rsidRPr="00B47705">
        <w:rPr>
          <w:rFonts w:ascii="Times New Roman" w:hAnsi="Times New Roman"/>
          <w:sz w:val="24"/>
          <w:szCs w:val="24"/>
          <w:vertAlign w:val="superscript"/>
        </w:rPr>
        <w:t>th</w:t>
      </w:r>
      <w:r w:rsidRPr="00B47705">
        <w:rPr>
          <w:rFonts w:ascii="Times New Roman" w:hAnsi="Times New Roman"/>
          <w:sz w:val="24"/>
          <w:szCs w:val="24"/>
        </w:rPr>
        <w:t xml:space="preserve"> Circuit (Atlanta) held (3 to 0) that the U.S. District Court judge had properly dismissed his First Amendment lawsuit, despite his claims of retaliation for his lawful efforts to condemn a </w:t>
      </w:r>
      <w:proofErr w:type="gramStart"/>
      <w:r w:rsidRPr="00B47705">
        <w:rPr>
          <w:rFonts w:ascii="Times New Roman" w:hAnsi="Times New Roman"/>
          <w:sz w:val="24"/>
          <w:szCs w:val="24"/>
        </w:rPr>
        <w:t>100-year old</w:t>
      </w:r>
      <w:proofErr w:type="gramEnd"/>
      <w:r w:rsidRPr="00B47705">
        <w:rPr>
          <w:rFonts w:ascii="Times New Roman" w:hAnsi="Times New Roman"/>
          <w:sz w:val="24"/>
          <w:szCs w:val="24"/>
        </w:rPr>
        <w:t xml:space="preserve"> Lodge, partially owned by a member of City Council.   </w:t>
      </w:r>
    </w:p>
    <w:p w14:paraId="18FCE86B" w14:textId="77777777" w:rsidR="007C6FEF" w:rsidRPr="007B1262" w:rsidRDefault="007C6FEF" w:rsidP="007C6FEF">
      <w:pPr>
        <w:pStyle w:val="NoSpacing"/>
        <w:ind w:left="720"/>
        <w:rPr>
          <w:rFonts w:ascii="Times New Roman" w:eastAsia="Times New Roman" w:hAnsi="Times New Roman"/>
          <w:b/>
          <w:bCs/>
          <w:sz w:val="24"/>
          <w:szCs w:val="24"/>
        </w:rPr>
      </w:pPr>
      <w:r>
        <w:rPr>
          <w:rFonts w:ascii="Times New Roman" w:hAnsi="Times New Roman"/>
          <w:sz w:val="24"/>
          <w:szCs w:val="24"/>
        </w:rPr>
        <w:t>“</w:t>
      </w:r>
      <w:r w:rsidRPr="007B1262">
        <w:rPr>
          <w:rFonts w:ascii="Times New Roman" w:hAnsi="Times New Roman"/>
          <w:sz w:val="24"/>
          <w:szCs w:val="24"/>
        </w:rPr>
        <w:t xml:space="preserve">In other words, one of Batz’s core responsibilities as the </w:t>
      </w:r>
      <w:proofErr w:type="gramStart"/>
      <w:r w:rsidRPr="007B1262">
        <w:rPr>
          <w:rFonts w:ascii="Times New Roman" w:hAnsi="Times New Roman"/>
          <w:sz w:val="24"/>
          <w:szCs w:val="24"/>
        </w:rPr>
        <w:t>City</w:t>
      </w:r>
      <w:proofErr w:type="gramEnd"/>
      <w:r w:rsidRPr="007B1262">
        <w:rPr>
          <w:rFonts w:ascii="Times New Roman" w:hAnsi="Times New Roman"/>
          <w:sz w:val="24"/>
          <w:szCs w:val="24"/>
        </w:rPr>
        <w:t xml:space="preserve"> employee responsible for enforcing the Safety Code was ensuring public safety. Thus, his continued assertion that his speech was motivated by a concern for public safety does not remove it from the realm of employment-related speech…. At the very least, he made no effort to communicate his safety concerns to the public or otherwise communicate with anyone outside other government officials…. Accordingly, we conclude Batz spoke in his role as a </w:t>
      </w:r>
      <w:proofErr w:type="gramStart"/>
      <w:r w:rsidRPr="007B1262">
        <w:rPr>
          <w:rFonts w:ascii="Times New Roman" w:hAnsi="Times New Roman"/>
          <w:sz w:val="24"/>
          <w:szCs w:val="24"/>
        </w:rPr>
        <w:t>City</w:t>
      </w:r>
      <w:proofErr w:type="gramEnd"/>
      <w:r w:rsidRPr="007B1262">
        <w:rPr>
          <w:rFonts w:ascii="Times New Roman" w:hAnsi="Times New Roman"/>
          <w:sz w:val="24"/>
          <w:szCs w:val="24"/>
        </w:rPr>
        <w:t xml:space="preserve"> employee when he expressed concerns about efforts to undermine and delay his enforcement efforts against the Lodge. His speech therefore was not protected by the First Amendment.</w:t>
      </w:r>
      <w:r>
        <w:rPr>
          <w:rFonts w:ascii="Times New Roman" w:hAnsi="Times New Roman"/>
          <w:sz w:val="24"/>
          <w:szCs w:val="24"/>
        </w:rPr>
        <w:t xml:space="preserve"> </w:t>
      </w:r>
      <w:hyperlink r:id="rId341" w:history="1">
        <w:r w:rsidRPr="00D24870">
          <w:rPr>
            <w:rStyle w:val="Hyperlink"/>
            <w:rFonts w:ascii="Times New Roman" w:hAnsi="Times New Roman"/>
            <w:sz w:val="24"/>
            <w:szCs w:val="24"/>
          </w:rPr>
          <w:t>https://cases.justia.com/federal/appellate-courts/ca11/19-11399/19-11399-2019-12-12.pdf?ts=1576184426</w:t>
        </w:r>
      </w:hyperlink>
      <w:r>
        <w:rPr>
          <w:rFonts w:ascii="Times New Roman" w:hAnsi="Times New Roman"/>
          <w:sz w:val="24"/>
          <w:szCs w:val="24"/>
        </w:rPr>
        <w:t xml:space="preserve"> </w:t>
      </w:r>
    </w:p>
    <w:p w14:paraId="01FAB458" w14:textId="05803340" w:rsidR="003464C5" w:rsidRDefault="003464C5" w:rsidP="002B1283">
      <w:pPr>
        <w:rPr>
          <w:rFonts w:ascii="Times New Roman" w:hAnsi="Times New Roman"/>
          <w:bCs/>
          <w:sz w:val="24"/>
          <w:szCs w:val="24"/>
        </w:rPr>
      </w:pPr>
    </w:p>
    <w:p w14:paraId="223ACA9C" w14:textId="39C517A8" w:rsidR="007A1E7A" w:rsidRDefault="007A1E7A" w:rsidP="002B1283">
      <w:pPr>
        <w:rPr>
          <w:rFonts w:ascii="Times New Roman" w:hAnsi="Times New Roman"/>
          <w:b/>
          <w:bCs/>
          <w:sz w:val="24"/>
          <w:szCs w:val="24"/>
        </w:rPr>
      </w:pPr>
      <w:r w:rsidRPr="007A1E7A">
        <w:rPr>
          <w:rFonts w:ascii="Times New Roman" w:hAnsi="Times New Roman"/>
          <w:b/>
          <w:bCs/>
          <w:sz w:val="24"/>
          <w:szCs w:val="24"/>
        </w:rPr>
        <w:t xml:space="preserve">Legal Lessons Learned: Fire Chiefs are other public employees have only limited First Amendment rights under the “balancing test.” The Court also dismissed his Florida Whistleblower claims because he did not submit a “written and signed complaint.” </w:t>
      </w:r>
    </w:p>
    <w:p w14:paraId="592965FD" w14:textId="77777777" w:rsidR="007A1E7A" w:rsidRPr="007A1E7A" w:rsidRDefault="007A1E7A" w:rsidP="002B1283">
      <w:pPr>
        <w:rPr>
          <w:rFonts w:ascii="Times New Roman" w:hAnsi="Times New Roman"/>
          <w:b/>
          <w:bCs/>
          <w:sz w:val="24"/>
          <w:szCs w:val="24"/>
        </w:rPr>
      </w:pPr>
    </w:p>
    <w:p w14:paraId="156DD20A" w14:textId="26031537" w:rsidR="007C6FEF"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6</w:t>
      </w:r>
    </w:p>
    <w:p w14:paraId="0ADD3840" w14:textId="77777777" w:rsidR="007C6FEF" w:rsidRPr="00A2453E" w:rsidRDefault="007C6FEF" w:rsidP="007C6FEF">
      <w:pPr>
        <w:rPr>
          <w:rFonts w:ascii="Arial Black" w:hAnsi="Arial Black"/>
          <w:sz w:val="28"/>
          <w:szCs w:val="28"/>
        </w:rPr>
      </w:pPr>
      <w:bookmarkStart w:id="57" w:name="_Hlk29226241"/>
      <w:r w:rsidRPr="00A2453E">
        <w:rPr>
          <w:rFonts w:ascii="Arial Black" w:hAnsi="Arial Black"/>
          <w:sz w:val="28"/>
          <w:szCs w:val="28"/>
        </w:rPr>
        <w:t xml:space="preserve">VA: </w:t>
      </w:r>
      <w:r>
        <w:rPr>
          <w:rFonts w:ascii="Arial Black" w:hAnsi="Arial Black"/>
          <w:sz w:val="28"/>
          <w:szCs w:val="28"/>
        </w:rPr>
        <w:t xml:space="preserve"> HYDRANT NEAR HOUSE OUT OF SERVICE – 1000 FOOT LAY – PERSON DIED - GOVERNMENTAL IMMUNITY, CASE DISMISSED</w:t>
      </w:r>
    </w:p>
    <w:p w14:paraId="63C3AA5E" w14:textId="77777777" w:rsidR="007C6FEF" w:rsidRDefault="007C6FEF" w:rsidP="007C6FEF">
      <w:pPr>
        <w:rPr>
          <w:rFonts w:ascii="Times New Roman" w:hAnsi="Times New Roman"/>
          <w:sz w:val="24"/>
          <w:szCs w:val="24"/>
        </w:rPr>
      </w:pPr>
      <w:r>
        <w:rPr>
          <w:rFonts w:ascii="Times New Roman" w:hAnsi="Times New Roman"/>
          <w:sz w:val="24"/>
          <w:szCs w:val="24"/>
        </w:rPr>
        <w:t xml:space="preserve">On Dec. 12, 2019, in </w:t>
      </w:r>
      <w:r w:rsidRPr="003F4B77">
        <w:rPr>
          <w:rFonts w:ascii="Times New Roman" w:hAnsi="Times New Roman"/>
          <w:sz w:val="24"/>
          <w:szCs w:val="24"/>
          <w:u w:val="single"/>
        </w:rPr>
        <w:t>Sam Massenburg, Administrator of the Estate of Corey Demetrius Massenburg, Deceased v. City of Petersburg</w:t>
      </w:r>
      <w:r>
        <w:rPr>
          <w:rFonts w:ascii="Times New Roman" w:hAnsi="Times New Roman"/>
          <w:sz w:val="24"/>
          <w:szCs w:val="24"/>
        </w:rPr>
        <w:t xml:space="preserve">, the Supreme Court of Appeals of Virginia, held that the Circuit Court judge properly granted summary judgment to the City. </w:t>
      </w:r>
    </w:p>
    <w:p w14:paraId="47D6ADEA" w14:textId="6CF97968" w:rsidR="007C6FEF" w:rsidRDefault="007C6FEF" w:rsidP="007C6FEF">
      <w:pPr>
        <w:ind w:left="720"/>
        <w:rPr>
          <w:rFonts w:ascii="Times New Roman" w:hAnsi="Times New Roman"/>
          <w:sz w:val="24"/>
          <w:szCs w:val="24"/>
        </w:rPr>
      </w:pPr>
      <w:r>
        <w:rPr>
          <w:rFonts w:ascii="Times New Roman" w:hAnsi="Times New Roman"/>
          <w:sz w:val="24"/>
          <w:szCs w:val="24"/>
        </w:rPr>
        <w:t>“</w:t>
      </w:r>
      <w:r w:rsidRPr="003F4B77">
        <w:rPr>
          <w:rFonts w:ascii="Times New Roman" w:hAnsi="Times New Roman"/>
          <w:sz w:val="24"/>
          <w:szCs w:val="24"/>
        </w:rPr>
        <w:t xml:space="preserve">A fire hydrant, as the name suggests, exists to facilitate the firefighting function of the municipality that installed it. That function is quintessentially governmental. That fire hydrants can be put to other uses is inconsequential because the sole reason municipalities undertake the expense of installing fire hydrants is to promote their ability to respond to fire emergencies. </w:t>
      </w:r>
      <w:r>
        <w:rPr>
          <w:rFonts w:ascii="Times New Roman" w:hAnsi="Times New Roman"/>
          <w:sz w:val="24"/>
          <w:szCs w:val="24"/>
        </w:rPr>
        <w:t xml:space="preserve">*** </w:t>
      </w:r>
      <w:r w:rsidRPr="003F4B77">
        <w:rPr>
          <w:rFonts w:ascii="Times New Roman" w:hAnsi="Times New Roman"/>
          <w:sz w:val="24"/>
          <w:szCs w:val="24"/>
        </w:rPr>
        <w:t>The City’s provision and maintenance of fire hydrants is therefore an immune governmental function.</w:t>
      </w:r>
      <w:r>
        <w:rPr>
          <w:rFonts w:ascii="Times New Roman" w:hAnsi="Times New Roman"/>
          <w:sz w:val="24"/>
          <w:szCs w:val="24"/>
        </w:rPr>
        <w:t xml:space="preserve"> </w:t>
      </w:r>
      <w:bookmarkStart w:id="58" w:name="_Hlk29226264"/>
      <w:bookmarkEnd w:id="57"/>
      <w:r>
        <w:rPr>
          <w:rFonts w:asciiTheme="minorHAnsi" w:hAnsiTheme="minorHAnsi" w:cstheme="minorBidi"/>
        </w:rPr>
        <w:fldChar w:fldCharType="begin"/>
      </w:r>
      <w:r>
        <w:instrText xml:space="preserve"> HYPERLINK "https://cases.justia.com/virginia/supreme-court/2019-190071.pdf?ts=1576159671" </w:instrText>
      </w:r>
      <w:r>
        <w:rPr>
          <w:rFonts w:asciiTheme="minorHAnsi" w:hAnsiTheme="minorHAnsi" w:cstheme="minorBidi"/>
        </w:rPr>
      </w:r>
      <w:r>
        <w:rPr>
          <w:rFonts w:asciiTheme="minorHAnsi" w:hAnsiTheme="minorHAnsi" w:cstheme="minorBidi"/>
        </w:rPr>
        <w:fldChar w:fldCharType="separate"/>
      </w:r>
      <w:r w:rsidRPr="00BF6E5A">
        <w:rPr>
          <w:rStyle w:val="Hyperlink"/>
          <w:rFonts w:ascii="Times New Roman" w:hAnsi="Times New Roman"/>
          <w:sz w:val="24"/>
          <w:szCs w:val="24"/>
        </w:rPr>
        <w:t>https://cases.justia.com/virginia/supreme-court/2019-190071.pdf?ts=1576159671</w:t>
      </w:r>
      <w:r>
        <w:rPr>
          <w:rStyle w:val="Hyperlink"/>
          <w:rFonts w:ascii="Times New Roman" w:hAnsi="Times New Roman"/>
          <w:sz w:val="24"/>
          <w:szCs w:val="24"/>
        </w:rPr>
        <w:fldChar w:fldCharType="end"/>
      </w:r>
      <w:r>
        <w:rPr>
          <w:rFonts w:ascii="Times New Roman" w:hAnsi="Times New Roman"/>
          <w:sz w:val="24"/>
          <w:szCs w:val="24"/>
        </w:rPr>
        <w:t xml:space="preserve"> </w:t>
      </w:r>
      <w:bookmarkEnd w:id="58"/>
    </w:p>
    <w:p w14:paraId="772D0160" w14:textId="24A8FDA9" w:rsidR="006C7F17" w:rsidRPr="006C7F17" w:rsidRDefault="006C7F17" w:rsidP="006C7F17">
      <w:pPr>
        <w:rPr>
          <w:rFonts w:ascii="Times New Roman" w:hAnsi="Times New Roman"/>
          <w:b/>
          <w:bCs/>
          <w:sz w:val="24"/>
          <w:szCs w:val="24"/>
        </w:rPr>
      </w:pPr>
      <w:r w:rsidRPr="006C7F17">
        <w:rPr>
          <w:rFonts w:ascii="Times New Roman" w:hAnsi="Times New Roman"/>
          <w:b/>
          <w:bCs/>
          <w:sz w:val="24"/>
          <w:szCs w:val="24"/>
        </w:rPr>
        <w:t xml:space="preserve">Legal Lessons Learned: Governmental immunity is recognized in </w:t>
      </w:r>
      <w:proofErr w:type="gramStart"/>
      <w:r w:rsidRPr="006C7F17">
        <w:rPr>
          <w:rFonts w:ascii="Times New Roman" w:hAnsi="Times New Roman"/>
          <w:b/>
          <w:bCs/>
          <w:sz w:val="24"/>
          <w:szCs w:val="24"/>
        </w:rPr>
        <w:t>Virginia, and</w:t>
      </w:r>
      <w:proofErr w:type="gramEnd"/>
      <w:r w:rsidRPr="006C7F17">
        <w:rPr>
          <w:rFonts w:ascii="Times New Roman" w:hAnsi="Times New Roman"/>
          <w:b/>
          <w:bCs/>
          <w:sz w:val="24"/>
          <w:szCs w:val="24"/>
        </w:rPr>
        <w:t xml:space="preserve"> protects the city when performing services that are not provided by private companies.</w:t>
      </w:r>
    </w:p>
    <w:p w14:paraId="1EF2D9A6" w14:textId="77777777" w:rsidR="007C6FEF" w:rsidRDefault="007C6FEF" w:rsidP="002B1283">
      <w:pPr>
        <w:rPr>
          <w:rFonts w:ascii="Arial Black" w:hAnsi="Arial Black"/>
          <w:b/>
          <w:sz w:val="24"/>
          <w:szCs w:val="24"/>
        </w:rPr>
      </w:pPr>
    </w:p>
    <w:p w14:paraId="56C6B4D2" w14:textId="205A337C" w:rsidR="007C6FEF"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5</w:t>
      </w:r>
    </w:p>
    <w:p w14:paraId="3EF82BA9" w14:textId="77777777" w:rsidR="007C6FEF" w:rsidRDefault="007C6FEF" w:rsidP="007C6FEF">
      <w:pPr>
        <w:pStyle w:val="NoSpacing"/>
        <w:rPr>
          <w:rFonts w:ascii="Arial Black" w:hAnsi="Arial Black"/>
          <w:sz w:val="28"/>
          <w:szCs w:val="28"/>
        </w:rPr>
      </w:pPr>
      <w:bookmarkStart w:id="59" w:name="_Hlk29226180"/>
      <w:r w:rsidRPr="00243657">
        <w:rPr>
          <w:rFonts w:ascii="Arial Black" w:hAnsi="Arial Black"/>
          <w:sz w:val="28"/>
          <w:szCs w:val="28"/>
        </w:rPr>
        <w:t>OH:</w:t>
      </w:r>
      <w:r>
        <w:rPr>
          <w:rFonts w:ascii="Arial Black" w:hAnsi="Arial Black"/>
          <w:sz w:val="28"/>
          <w:szCs w:val="28"/>
        </w:rPr>
        <w:t xml:space="preserve"> ARSON CONVICTION UPHELD – FIRE IN 3 LOCATIONS – FESH GASOLINE – DIRECT &amp; CIRCUMSTANTIAL EVIDENCE</w:t>
      </w:r>
    </w:p>
    <w:p w14:paraId="51AFC736" w14:textId="77777777" w:rsidR="007C6FEF" w:rsidRPr="00E73E17" w:rsidRDefault="007C6FEF" w:rsidP="007C6FEF">
      <w:pPr>
        <w:spacing w:before="100" w:beforeAutospacing="1" w:after="100" w:afterAutospacing="1" w:line="240" w:lineRule="auto"/>
        <w:rPr>
          <w:rFonts w:ascii="Times New Roman" w:eastAsia="Times New Roman" w:hAnsi="Times New Roman"/>
          <w:sz w:val="24"/>
          <w:szCs w:val="24"/>
        </w:rPr>
      </w:pPr>
      <w:r w:rsidRPr="00243657">
        <w:rPr>
          <w:rFonts w:ascii="Times New Roman" w:hAnsi="Times New Roman"/>
          <w:sz w:val="24"/>
          <w:szCs w:val="24"/>
        </w:rPr>
        <w:t>On</w:t>
      </w:r>
      <w:r>
        <w:rPr>
          <w:rFonts w:ascii="Times New Roman" w:hAnsi="Times New Roman"/>
          <w:sz w:val="24"/>
          <w:szCs w:val="24"/>
        </w:rPr>
        <w:t xml:space="preserve"> Dec. 12, 2019, in </w:t>
      </w:r>
      <w:r w:rsidRPr="00B47705">
        <w:rPr>
          <w:rFonts w:ascii="Times New Roman" w:hAnsi="Times New Roman"/>
          <w:sz w:val="24"/>
          <w:szCs w:val="24"/>
          <w:u w:val="single"/>
        </w:rPr>
        <w:t xml:space="preserve">State of Ohio v. Gina M. </w:t>
      </w:r>
      <w:proofErr w:type="spellStart"/>
      <w:r w:rsidRPr="00B47705">
        <w:rPr>
          <w:rFonts w:ascii="Times New Roman" w:hAnsi="Times New Roman"/>
          <w:sz w:val="24"/>
          <w:szCs w:val="24"/>
          <w:u w:val="single"/>
        </w:rPr>
        <w:t>Huler</w:t>
      </w:r>
      <w:proofErr w:type="spellEnd"/>
      <w:r>
        <w:rPr>
          <w:rFonts w:ascii="Times New Roman" w:hAnsi="Times New Roman"/>
          <w:sz w:val="24"/>
          <w:szCs w:val="24"/>
        </w:rPr>
        <w:t>, the Ohio Court of Appeals for the 8</w:t>
      </w:r>
      <w:r w:rsidRPr="00243657">
        <w:rPr>
          <w:rFonts w:ascii="Times New Roman" w:hAnsi="Times New Roman"/>
          <w:sz w:val="24"/>
          <w:szCs w:val="24"/>
          <w:vertAlign w:val="superscript"/>
        </w:rPr>
        <w:t>th</w:t>
      </w:r>
      <w:r>
        <w:rPr>
          <w:rFonts w:ascii="Times New Roman" w:hAnsi="Times New Roman"/>
          <w:sz w:val="24"/>
          <w:szCs w:val="24"/>
        </w:rPr>
        <w:t xml:space="preserve"> District (Cuyahoga County), held (3 to 0) </w:t>
      </w:r>
      <w:r>
        <w:rPr>
          <w:rFonts w:ascii="Times New Roman" w:eastAsia="Times New Roman" w:hAnsi="Times New Roman"/>
          <w:sz w:val="24"/>
          <w:szCs w:val="24"/>
        </w:rPr>
        <w:t xml:space="preserve">that there was sufficient direct and circumstantial evidence for the trial judge to find her guilty of aggravated arson. </w:t>
      </w:r>
    </w:p>
    <w:p w14:paraId="5F7A5422" w14:textId="77777777" w:rsidR="007C6FEF" w:rsidRPr="00E73E17" w:rsidRDefault="007C6FEF" w:rsidP="007C6FEF">
      <w:pPr>
        <w:pStyle w:val="NoSpacing"/>
        <w:ind w:left="720"/>
        <w:rPr>
          <w:rFonts w:ascii="Times New Roman" w:hAnsi="Times New Roman"/>
          <w:sz w:val="24"/>
          <w:szCs w:val="24"/>
        </w:rPr>
      </w:pPr>
      <w:r>
        <w:rPr>
          <w:rFonts w:ascii="Times New Roman" w:hAnsi="Times New Roman"/>
          <w:sz w:val="24"/>
          <w:szCs w:val="24"/>
        </w:rPr>
        <w:t>“[Jeff] K</w:t>
      </w:r>
      <w:r w:rsidRPr="00243657">
        <w:rPr>
          <w:rFonts w:ascii="Times New Roman" w:hAnsi="Times New Roman"/>
          <w:sz w:val="24"/>
          <w:szCs w:val="24"/>
        </w:rPr>
        <w:t>oehn</w:t>
      </w:r>
      <w:r>
        <w:rPr>
          <w:rFonts w:ascii="Times New Roman" w:hAnsi="Times New Roman"/>
          <w:sz w:val="24"/>
          <w:szCs w:val="24"/>
        </w:rPr>
        <w:t xml:space="preserve"> [Ohio Fire Marshal investigator] </w:t>
      </w:r>
      <w:r w:rsidRPr="00243657">
        <w:rPr>
          <w:rFonts w:ascii="Times New Roman" w:hAnsi="Times New Roman"/>
          <w:sz w:val="24"/>
          <w:szCs w:val="24"/>
        </w:rPr>
        <w:t xml:space="preserve">also determined that three separate fires were set in three separate locations in the house and a fourth was </w:t>
      </w:r>
      <w:proofErr w:type="gramStart"/>
      <w:r w:rsidRPr="00243657">
        <w:rPr>
          <w:rFonts w:ascii="Times New Roman" w:hAnsi="Times New Roman"/>
          <w:sz w:val="24"/>
          <w:szCs w:val="24"/>
        </w:rPr>
        <w:t>attempted, but</w:t>
      </w:r>
      <w:proofErr w:type="gramEnd"/>
      <w:r w:rsidRPr="00243657">
        <w:rPr>
          <w:rFonts w:ascii="Times New Roman" w:hAnsi="Times New Roman"/>
          <w:sz w:val="24"/>
          <w:szCs w:val="24"/>
        </w:rPr>
        <w:t xml:space="preserve"> failed to erupt. In support of his determination, Koehn discussed in detail three distinct fire patterns, which had no connection to each other and did not spread across the ceiling as a normal house fire would spread. A determination that there were three separate and distinct fires, with no connecting patterns, serves to eliminate the notion that sparks from the masonry work completed earlier that day could have gone down the chimney, into the house, and started the fire. </w:t>
      </w:r>
      <w:r>
        <w:rPr>
          <w:rFonts w:ascii="Times New Roman" w:hAnsi="Times New Roman"/>
          <w:sz w:val="24"/>
          <w:szCs w:val="24"/>
        </w:rPr>
        <w:t xml:space="preserve">*** </w:t>
      </w:r>
      <w:r w:rsidRPr="00243657">
        <w:rPr>
          <w:rFonts w:ascii="Times New Roman" w:hAnsi="Times New Roman"/>
          <w:sz w:val="24"/>
          <w:szCs w:val="24"/>
        </w:rPr>
        <w:t>The debris from the trash can on the stairs tested positive for acetone; debris from the attic tested positive for gasoline, and the plastic water bottle tested positive for gasoline. The forensic lab report also indicated the gasoline was fresh, not weathered or aged gasoline</w:t>
      </w:r>
      <w:r>
        <w:t xml:space="preserve">. *** </w:t>
      </w:r>
      <w:r w:rsidRPr="00E73E17">
        <w:rPr>
          <w:rFonts w:ascii="Times New Roman" w:hAnsi="Times New Roman"/>
          <w:sz w:val="24"/>
          <w:szCs w:val="24"/>
        </w:rPr>
        <w:t xml:space="preserve">Further, although the fire investigation determined that the cause of the fire was classified as incendiary and was intentionally set by Huler, we could arrive at the same conclusion using only circumstantial evidence. </w:t>
      </w:r>
      <w:r>
        <w:rPr>
          <w:rFonts w:ascii="Times New Roman" w:hAnsi="Times New Roman"/>
          <w:sz w:val="24"/>
          <w:szCs w:val="24"/>
        </w:rPr>
        <w:t>‘</w:t>
      </w:r>
      <w:r w:rsidRPr="00E73E17">
        <w:rPr>
          <w:rFonts w:ascii="Times New Roman" w:hAnsi="Times New Roman"/>
          <w:sz w:val="24"/>
          <w:szCs w:val="24"/>
        </w:rPr>
        <w:t>Circumstantial evidence and direct evidence inherently possess the same probative value.</w:t>
      </w:r>
      <w:r>
        <w:rPr>
          <w:rFonts w:ascii="Times New Roman" w:hAnsi="Times New Roman"/>
          <w:sz w:val="24"/>
          <w:szCs w:val="24"/>
        </w:rPr>
        <w:t>’</w:t>
      </w:r>
      <w:r w:rsidRPr="00E73E17">
        <w:rPr>
          <w:rFonts w:ascii="Times New Roman" w:hAnsi="Times New Roman"/>
          <w:sz w:val="24"/>
          <w:szCs w:val="24"/>
        </w:rPr>
        <w:t xml:space="preserve"> Jenks, 61 Ohio St.3d 259, 574 N.E.2d 492, at paragraph one of the </w:t>
      </w:r>
      <w:proofErr w:type="gramStart"/>
      <w:r w:rsidRPr="00E73E17">
        <w:rPr>
          <w:rFonts w:ascii="Times New Roman" w:hAnsi="Times New Roman"/>
          <w:sz w:val="24"/>
          <w:szCs w:val="24"/>
        </w:rPr>
        <w:t>syllabus</w:t>
      </w:r>
      <w:proofErr w:type="gramEnd"/>
      <w:r w:rsidRPr="00E73E17">
        <w:rPr>
          <w:rFonts w:ascii="Times New Roman" w:hAnsi="Times New Roman"/>
          <w:sz w:val="24"/>
          <w:szCs w:val="24"/>
        </w:rPr>
        <w:t>.</w:t>
      </w:r>
      <w:r>
        <w:rPr>
          <w:rFonts w:ascii="Times New Roman" w:hAnsi="Times New Roman"/>
          <w:sz w:val="24"/>
          <w:szCs w:val="24"/>
        </w:rPr>
        <w:t>”</w:t>
      </w:r>
    </w:p>
    <w:p w14:paraId="72FA7D4E" w14:textId="77777777" w:rsidR="007C6FEF" w:rsidRDefault="007C6FEF" w:rsidP="007C6FEF">
      <w:pPr>
        <w:pStyle w:val="NoSpacing"/>
        <w:ind w:left="720"/>
      </w:pPr>
      <w:hyperlink r:id="rId342" w:history="1">
        <w:r w:rsidRPr="00BF6E5A">
          <w:rPr>
            <w:rStyle w:val="Hyperlink"/>
          </w:rPr>
          <w:t>https://cases.justia.com/ohio/eighth-district-court-of-appeals/2019-108224.pdf?ts=1576167401</w:t>
        </w:r>
      </w:hyperlink>
      <w:r>
        <w:t xml:space="preserve"> </w:t>
      </w:r>
      <w:bookmarkEnd w:id="59"/>
    </w:p>
    <w:p w14:paraId="488D8B6E" w14:textId="0192DB9B" w:rsidR="003464C5" w:rsidRDefault="003464C5" w:rsidP="002B1283">
      <w:pPr>
        <w:rPr>
          <w:rFonts w:ascii="Arial Black" w:hAnsi="Arial Black"/>
          <w:b/>
          <w:sz w:val="24"/>
          <w:szCs w:val="24"/>
        </w:rPr>
      </w:pPr>
    </w:p>
    <w:p w14:paraId="79FF78CF" w14:textId="1B2BC6E0" w:rsidR="006C7F17" w:rsidRPr="006C7F17" w:rsidRDefault="006C7F17" w:rsidP="002B1283">
      <w:pPr>
        <w:rPr>
          <w:rFonts w:ascii="Times New Roman" w:hAnsi="Times New Roman"/>
          <w:b/>
          <w:bCs/>
          <w:sz w:val="24"/>
          <w:szCs w:val="24"/>
        </w:rPr>
      </w:pPr>
      <w:r w:rsidRPr="006C7F17">
        <w:rPr>
          <w:rFonts w:ascii="Times New Roman" w:hAnsi="Times New Roman"/>
          <w:b/>
          <w:bCs/>
          <w:sz w:val="24"/>
          <w:szCs w:val="24"/>
        </w:rPr>
        <w:t>Legal Lessons Learned: Expert testimony by State Fire Marshal investigator who “meticulously” eliminated other causes, and laboratory tests confirming gasoline, led to this conviction.</w:t>
      </w:r>
    </w:p>
    <w:p w14:paraId="61DEDD0F" w14:textId="77777777" w:rsidR="003464C5" w:rsidRDefault="003464C5" w:rsidP="002B1283">
      <w:pPr>
        <w:rPr>
          <w:rFonts w:ascii="Arial Black" w:hAnsi="Arial Black"/>
          <w:b/>
          <w:sz w:val="24"/>
          <w:szCs w:val="24"/>
        </w:rPr>
      </w:pPr>
    </w:p>
    <w:p w14:paraId="76B585C5" w14:textId="77777777" w:rsidR="003464C5" w:rsidRDefault="003464C5" w:rsidP="002B1283">
      <w:pPr>
        <w:rPr>
          <w:rFonts w:ascii="Arial Black" w:hAnsi="Arial Black"/>
          <w:b/>
          <w:sz w:val="24"/>
          <w:szCs w:val="24"/>
        </w:rPr>
      </w:pPr>
    </w:p>
    <w:p w14:paraId="3931366C" w14:textId="77777777" w:rsidR="003464C5" w:rsidRDefault="003464C5" w:rsidP="002B1283">
      <w:pPr>
        <w:rPr>
          <w:rFonts w:ascii="Arial Black" w:hAnsi="Arial Black"/>
          <w:b/>
          <w:sz w:val="24"/>
          <w:szCs w:val="24"/>
        </w:rPr>
      </w:pPr>
    </w:p>
    <w:p w14:paraId="493ACD09" w14:textId="2838F8A1" w:rsidR="00980EAD" w:rsidRDefault="00980EAD"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4</w:t>
      </w:r>
    </w:p>
    <w:p w14:paraId="10AA4EB5" w14:textId="77777777" w:rsidR="00980EAD" w:rsidRDefault="00980EAD" w:rsidP="00980EAD">
      <w:pPr>
        <w:pStyle w:val="NoSpacing"/>
        <w:rPr>
          <w:rFonts w:ascii="Arial Black" w:hAnsi="Arial Black"/>
          <w:sz w:val="28"/>
          <w:szCs w:val="28"/>
        </w:rPr>
      </w:pPr>
      <w:r>
        <w:rPr>
          <w:rFonts w:ascii="Arial Black" w:hAnsi="Arial Black"/>
          <w:sz w:val="28"/>
          <w:szCs w:val="28"/>
        </w:rPr>
        <w:t>WA: ARSON – DEFENSE EXPERT FAILED TO FOLLOW NFPA 921 – TESTIMONY PROPERLY LIMITED – SENTENCED TO LIFE IN PRISON</w:t>
      </w:r>
    </w:p>
    <w:p w14:paraId="709A3B5C" w14:textId="77777777" w:rsidR="00980EAD" w:rsidRDefault="00980EAD" w:rsidP="00980EAD">
      <w:pPr>
        <w:pStyle w:val="NoSpacing"/>
        <w:rPr>
          <w:rFonts w:ascii="Arial Black" w:hAnsi="Arial Black"/>
          <w:sz w:val="28"/>
          <w:szCs w:val="28"/>
        </w:rPr>
      </w:pPr>
    </w:p>
    <w:p w14:paraId="67E42ECE" w14:textId="77777777" w:rsidR="00980EAD" w:rsidRDefault="00980EAD" w:rsidP="00980EAD">
      <w:pPr>
        <w:pStyle w:val="NoSpacing"/>
        <w:rPr>
          <w:rFonts w:ascii="Times New Roman" w:hAnsi="Times New Roman"/>
          <w:sz w:val="24"/>
          <w:szCs w:val="24"/>
        </w:rPr>
      </w:pPr>
      <w:r>
        <w:rPr>
          <w:rFonts w:ascii="Times New Roman" w:hAnsi="Times New Roman"/>
          <w:sz w:val="24"/>
          <w:szCs w:val="24"/>
        </w:rPr>
        <w:t xml:space="preserve">On Dec. 5, 2019, in </w:t>
      </w:r>
      <w:r>
        <w:rPr>
          <w:rFonts w:ascii="Times New Roman" w:hAnsi="Times New Roman"/>
          <w:sz w:val="24"/>
          <w:szCs w:val="24"/>
          <w:u w:val="single"/>
        </w:rPr>
        <w:t>State of Washington v. Shelly Margaret Arndt</w:t>
      </w:r>
      <w:r>
        <w:rPr>
          <w:rFonts w:ascii="Times New Roman" w:hAnsi="Times New Roman"/>
          <w:sz w:val="24"/>
          <w:szCs w:val="24"/>
        </w:rPr>
        <w:t>, the Supreme Court of Washington (</w:t>
      </w:r>
      <w:proofErr w:type="spellStart"/>
      <w:r>
        <w:rPr>
          <w:rFonts w:ascii="Times New Roman" w:hAnsi="Times New Roman"/>
          <w:sz w:val="24"/>
          <w:szCs w:val="24"/>
        </w:rPr>
        <w:t>en</w:t>
      </w:r>
      <w:proofErr w:type="spellEnd"/>
      <w:r>
        <w:rPr>
          <w:rFonts w:ascii="Times New Roman" w:hAnsi="Times New Roman"/>
          <w:sz w:val="24"/>
          <w:szCs w:val="24"/>
        </w:rPr>
        <w:t xml:space="preserve"> banc – all 9 Justices hearing the case) held (8 to 1) that the trial court properly restricted the testimony of the defense expert,  Dale Mann (former State Patrol crime lab supervisor and certified arson investigator) for failure to conduct a cause and origin investigation under NFPA 921. </w:t>
      </w:r>
    </w:p>
    <w:p w14:paraId="37E494BD" w14:textId="77777777" w:rsidR="00980EAD" w:rsidRDefault="00980EAD" w:rsidP="00980EAD">
      <w:pPr>
        <w:pStyle w:val="NoSpacing"/>
        <w:rPr>
          <w:rFonts w:ascii="Arial Black" w:hAnsi="Arial Black" w:cstheme="minorBidi"/>
          <w:sz w:val="28"/>
          <w:szCs w:val="28"/>
        </w:rPr>
      </w:pPr>
    </w:p>
    <w:p w14:paraId="572AF2D2"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“After a </w:t>
      </w:r>
      <w:proofErr w:type="gramStart"/>
      <w:r>
        <w:rPr>
          <w:rFonts w:ascii="Times New Roman" w:hAnsi="Times New Roman"/>
          <w:sz w:val="24"/>
          <w:szCs w:val="24"/>
        </w:rPr>
        <w:t>three month</w:t>
      </w:r>
      <w:proofErr w:type="gramEnd"/>
      <w:r>
        <w:rPr>
          <w:rFonts w:ascii="Times New Roman" w:hAnsi="Times New Roman"/>
          <w:sz w:val="24"/>
          <w:szCs w:val="24"/>
        </w:rPr>
        <w:t xml:space="preserve"> trial, a jury found Arndt guilty [in death of her boyfriend] of all crimes as charged by the State. The trial court sentenced Arndt to life without the possibility of parole per RCW 10.95.030(1). CP at 475.</w:t>
      </w:r>
    </w:p>
    <w:p w14:paraId="25B24C2A" w14:textId="77777777" w:rsidR="00980EAD" w:rsidRDefault="00980EAD" w:rsidP="00980EAD">
      <w:pPr>
        <w:pStyle w:val="NoSpacing"/>
        <w:ind w:left="720"/>
        <w:rPr>
          <w:rFonts w:ascii="Times New Roman" w:hAnsi="Times New Roman"/>
          <w:sz w:val="24"/>
          <w:szCs w:val="24"/>
        </w:rPr>
      </w:pPr>
    </w:p>
    <w:p w14:paraId="4420B3FC"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w:t>
      </w:r>
    </w:p>
    <w:p w14:paraId="35A5A463" w14:textId="77777777" w:rsidR="00980EAD" w:rsidRDefault="00980EAD" w:rsidP="00980EAD">
      <w:pPr>
        <w:pStyle w:val="NoSpacing"/>
        <w:ind w:left="720"/>
        <w:rPr>
          <w:rFonts w:ascii="Times New Roman" w:hAnsi="Times New Roman"/>
          <w:sz w:val="24"/>
          <w:szCs w:val="24"/>
        </w:rPr>
      </w:pPr>
    </w:p>
    <w:p w14:paraId="2EA03BA3"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Arndt takes issue with the limitations the trial judge placed on Mann's testimony </w:t>
      </w:r>
      <w:proofErr w:type="gramStart"/>
      <w:r>
        <w:rPr>
          <w:rFonts w:ascii="Times New Roman" w:hAnsi="Times New Roman"/>
          <w:sz w:val="24"/>
          <w:szCs w:val="24"/>
        </w:rPr>
        <w:t>due to the fact that</w:t>
      </w:r>
      <w:proofErr w:type="gramEnd"/>
      <w:r>
        <w:rPr>
          <w:rFonts w:ascii="Times New Roman" w:hAnsi="Times New Roman"/>
          <w:sz w:val="24"/>
          <w:szCs w:val="24"/>
        </w:rPr>
        <w:t xml:space="preserve"> he had not personally conducted a complete origin and cause investigation of the scene…. In placing these limitations on Mann's testimony, the judge clearly stated that her rationale was based on Mann's failure to follow well established scientific methodology:</w:t>
      </w:r>
    </w:p>
    <w:p w14:paraId="541CB59A" w14:textId="77777777" w:rsidR="00980EAD" w:rsidRDefault="00980EAD" w:rsidP="00980EAD">
      <w:pPr>
        <w:pStyle w:val="NoSpacing"/>
        <w:ind w:left="720"/>
        <w:rPr>
          <w:rFonts w:ascii="Times New Roman" w:hAnsi="Times New Roman"/>
          <w:sz w:val="24"/>
          <w:szCs w:val="24"/>
        </w:rPr>
      </w:pPr>
    </w:p>
    <w:p w14:paraId="6C6FC988"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THE COURT: It is not a problem that he goes to the scene, as [the]defense argues, but it is a problem when he starts to test ….  If he were to do an origin and cause, he would need to follow the scientific method and eliminate various hypotheses. Instead </w:t>
      </w:r>
      <w:proofErr w:type="gramStart"/>
      <w:r>
        <w:rPr>
          <w:rFonts w:ascii="Times New Roman" w:hAnsi="Times New Roman"/>
          <w:sz w:val="24"/>
          <w:szCs w:val="24"/>
        </w:rPr>
        <w:t>by</w:t>
      </w:r>
      <w:proofErr w:type="gramEnd"/>
      <w:r>
        <w:rPr>
          <w:rFonts w:ascii="Times New Roman" w:hAnsi="Times New Roman"/>
          <w:sz w:val="24"/>
          <w:szCs w:val="24"/>
        </w:rPr>
        <w:t xml:space="preserve"> focusing on one area, which seems to be this foosball area, he's taking one hypothesis and testing it. And not eliminating, under the scientific method, the entire scene.</w:t>
      </w:r>
    </w:p>
    <w:p w14:paraId="17935886" w14:textId="77777777" w:rsidR="00980EAD" w:rsidRDefault="00980EAD" w:rsidP="00980EAD">
      <w:pPr>
        <w:pStyle w:val="NoSpacing"/>
        <w:ind w:left="720"/>
        <w:rPr>
          <w:rFonts w:ascii="Times New Roman" w:hAnsi="Times New Roman"/>
          <w:sz w:val="24"/>
          <w:szCs w:val="24"/>
        </w:rPr>
      </w:pPr>
      <w:hyperlink r:id="rId343" w:history="1">
        <w:r>
          <w:rPr>
            <w:rStyle w:val="Hyperlink"/>
            <w:rFonts w:ascii="Times New Roman" w:hAnsi="Times New Roman"/>
            <w:sz w:val="24"/>
            <w:szCs w:val="24"/>
          </w:rPr>
          <w:t>https://www.courts.wa.gov/opinions/pdf/953961.pdf</w:t>
        </w:r>
      </w:hyperlink>
      <w:r>
        <w:rPr>
          <w:rFonts w:ascii="Times New Roman" w:hAnsi="Times New Roman"/>
          <w:sz w:val="24"/>
          <w:szCs w:val="24"/>
        </w:rPr>
        <w:t xml:space="preserve"> </w:t>
      </w:r>
    </w:p>
    <w:p w14:paraId="6E28073B" w14:textId="4A0265C9" w:rsidR="00980EAD" w:rsidRDefault="00980EAD" w:rsidP="002B1283">
      <w:pPr>
        <w:rPr>
          <w:rFonts w:ascii="Arial Black" w:hAnsi="Arial Black"/>
          <w:b/>
          <w:sz w:val="24"/>
          <w:szCs w:val="24"/>
        </w:rPr>
      </w:pPr>
    </w:p>
    <w:p w14:paraId="14A1FEE4" w14:textId="77777777" w:rsidR="00980EAD" w:rsidRDefault="00980EAD" w:rsidP="00980EAD">
      <w:pPr>
        <w:pStyle w:val="NoSpacing"/>
        <w:rPr>
          <w:rFonts w:ascii="Times New Roman" w:hAnsi="Times New Roman"/>
          <w:sz w:val="24"/>
          <w:szCs w:val="24"/>
        </w:rPr>
      </w:pPr>
      <w:r>
        <w:rPr>
          <w:rFonts w:ascii="Times New Roman" w:hAnsi="Times New Roman"/>
          <w:b/>
          <w:bCs/>
          <w:sz w:val="24"/>
          <w:szCs w:val="24"/>
        </w:rPr>
        <w:t>Legal Lessons Learned:  The trial court properly restricted the testimony of the defense expert for failure to follow NFPA 921, Guide for Fire and Explosion Investigations (excellent guide for conducting cause &amp; origin investigations):</w:t>
      </w:r>
      <w:r>
        <w:rPr>
          <w:rFonts w:ascii="Times New Roman" w:hAnsi="Times New Roman"/>
          <w:sz w:val="24"/>
          <w:szCs w:val="24"/>
        </w:rPr>
        <w:t xml:space="preserve">  </w:t>
      </w:r>
      <w:hyperlink r:id="rId344" w:history="1">
        <w:r>
          <w:rPr>
            <w:rStyle w:val="Hyperlink"/>
            <w:rFonts w:ascii="Times New Roman" w:hAnsi="Times New Roman"/>
            <w:sz w:val="24"/>
            <w:szCs w:val="24"/>
          </w:rPr>
          <w:t>https://catalog.nfpa.org/NFPA-921-Guide-for-Fire-and-Explosion-Investigations-C472.aspx?order_src=C900&amp;gclid=EAIaIQobChMI3pOKsKem5gIVJIVaBR1UwAkCEAAYASAAEgLHSvD_BwE</w:t>
        </w:r>
      </w:hyperlink>
      <w:r>
        <w:rPr>
          <w:rFonts w:ascii="Times New Roman" w:hAnsi="Times New Roman"/>
          <w:sz w:val="24"/>
          <w:szCs w:val="24"/>
        </w:rPr>
        <w:t xml:space="preserve"> </w:t>
      </w:r>
    </w:p>
    <w:p w14:paraId="658648E5" w14:textId="77777777" w:rsidR="00980EAD" w:rsidRDefault="00980EAD" w:rsidP="002B1283">
      <w:pPr>
        <w:rPr>
          <w:rFonts w:ascii="Arial Black" w:hAnsi="Arial Black"/>
          <w:b/>
          <w:sz w:val="24"/>
          <w:szCs w:val="24"/>
        </w:rPr>
      </w:pPr>
    </w:p>
    <w:p w14:paraId="5C84FAC9" w14:textId="4DC9FA31" w:rsidR="00A06387" w:rsidRDefault="00A06387"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3</w:t>
      </w:r>
    </w:p>
    <w:p w14:paraId="6D61F3E4" w14:textId="55C3DD9F" w:rsidR="00A06387" w:rsidRPr="00706498" w:rsidRDefault="00A06387" w:rsidP="00A06387">
      <w:pPr>
        <w:rPr>
          <w:rFonts w:ascii="Arial Black" w:hAnsi="Arial Black"/>
          <w:sz w:val="28"/>
          <w:szCs w:val="28"/>
        </w:rPr>
      </w:pPr>
      <w:r w:rsidRPr="00706498">
        <w:rPr>
          <w:rFonts w:ascii="Arial Black" w:hAnsi="Arial Black"/>
          <w:sz w:val="28"/>
          <w:szCs w:val="28"/>
        </w:rPr>
        <w:t xml:space="preserve">IN: DRONE – WOMAN FINDS DRONE IN HER YARD – ONBOARD VIDEO SHOWS NEIGHBOR CARRYING DRUGS </w:t>
      </w:r>
      <w:r w:rsidR="007471AF">
        <w:rPr>
          <w:rFonts w:ascii="Arial Black" w:hAnsi="Arial Black"/>
          <w:sz w:val="28"/>
          <w:szCs w:val="28"/>
        </w:rPr>
        <w:t>[also filed, Chap. 4]</w:t>
      </w:r>
    </w:p>
    <w:p w14:paraId="61D656D4"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Cs/>
          <w:sz w:val="24"/>
          <w:szCs w:val="24"/>
        </w:rPr>
        <w:t xml:space="preserve">On Oct. 24, 2019, in </w:t>
      </w:r>
      <w:r w:rsidRPr="006C7F17">
        <w:rPr>
          <w:rFonts w:ascii="Times New Roman" w:hAnsi="Times New Roman"/>
          <w:bCs/>
          <w:sz w:val="24"/>
          <w:szCs w:val="24"/>
          <w:u w:val="single"/>
        </w:rPr>
        <w:t>Galen Byers v. State of Indiana</w:t>
      </w:r>
      <w:r w:rsidRPr="006C7F17">
        <w:rPr>
          <w:rFonts w:ascii="Times New Roman" w:hAnsi="Times New Roman"/>
          <w:bCs/>
          <w:sz w:val="24"/>
          <w:szCs w:val="24"/>
        </w:rPr>
        <w:t xml:space="preserve">, Court of Appeals of Indiana held (3 to 0) that the search warrant was obtained timely, and the trial court properly denied the defendant’s motion to suppress.  Criminal </w:t>
      </w:r>
      <w:proofErr w:type="gramStart"/>
      <w:r w:rsidRPr="006C7F17">
        <w:rPr>
          <w:rFonts w:ascii="Times New Roman" w:hAnsi="Times New Roman"/>
          <w:bCs/>
          <w:sz w:val="24"/>
          <w:szCs w:val="24"/>
        </w:rPr>
        <w:t>case</w:t>
      </w:r>
      <w:proofErr w:type="gramEnd"/>
      <w:r w:rsidRPr="006C7F17">
        <w:rPr>
          <w:rFonts w:ascii="Times New Roman" w:hAnsi="Times New Roman"/>
          <w:bCs/>
          <w:sz w:val="24"/>
          <w:szCs w:val="24"/>
        </w:rPr>
        <w:t xml:space="preserve"> for </w:t>
      </w:r>
      <w:proofErr w:type="gramStart"/>
      <w:r w:rsidRPr="006C7F17">
        <w:rPr>
          <w:rFonts w:ascii="Times New Roman" w:hAnsi="Times New Roman"/>
          <w:bCs/>
          <w:sz w:val="24"/>
          <w:szCs w:val="24"/>
        </w:rPr>
        <w:t>dealing</w:t>
      </w:r>
      <w:proofErr w:type="gramEnd"/>
      <w:r w:rsidRPr="006C7F17">
        <w:rPr>
          <w:rFonts w:ascii="Times New Roman" w:hAnsi="Times New Roman"/>
          <w:bCs/>
          <w:sz w:val="24"/>
          <w:szCs w:val="24"/>
        </w:rPr>
        <w:t xml:space="preserve"> methamphetamine will now be tried, unless the defendant enters a guilty plea.  </w:t>
      </w:r>
    </w:p>
    <w:p w14:paraId="76CDFD85" w14:textId="77777777" w:rsidR="00A06387" w:rsidRPr="006C7F17" w:rsidRDefault="00A06387" w:rsidP="00A06387">
      <w:pPr>
        <w:pStyle w:val="NoSpacing"/>
        <w:rPr>
          <w:rFonts w:ascii="Times New Roman" w:hAnsi="Times New Roman"/>
          <w:b/>
          <w:bCs/>
          <w:sz w:val="24"/>
          <w:szCs w:val="24"/>
        </w:rPr>
      </w:pPr>
    </w:p>
    <w:p w14:paraId="5783D6D8" w14:textId="77777777" w:rsidR="00A06387" w:rsidRPr="006C7F17" w:rsidRDefault="00A06387" w:rsidP="00A06387">
      <w:pPr>
        <w:pStyle w:val="NoSpacing"/>
        <w:ind w:left="720"/>
        <w:rPr>
          <w:rFonts w:ascii="Times New Roman" w:hAnsi="Times New Roman"/>
          <w:b/>
          <w:bCs/>
          <w:sz w:val="24"/>
          <w:szCs w:val="24"/>
        </w:rPr>
      </w:pPr>
      <w:r w:rsidRPr="006C7F17">
        <w:rPr>
          <w:rFonts w:ascii="Times New Roman" w:hAnsi="Times New Roman"/>
          <w:bCs/>
          <w:sz w:val="24"/>
          <w:szCs w:val="24"/>
        </w:rPr>
        <w:t xml:space="preserve">“Moreover, while we look at the date of the video footage to determine whether probable cause existed, some lapse can also be accounted for here because [Marcie] </w:t>
      </w:r>
      <w:proofErr w:type="spellStart"/>
      <w:r w:rsidRPr="006C7F17">
        <w:rPr>
          <w:rFonts w:ascii="Times New Roman" w:hAnsi="Times New Roman"/>
          <w:bCs/>
          <w:sz w:val="24"/>
          <w:szCs w:val="24"/>
        </w:rPr>
        <w:t>Vormohr</w:t>
      </w:r>
      <w:proofErr w:type="spellEnd"/>
      <w:r w:rsidRPr="006C7F17">
        <w:rPr>
          <w:rFonts w:ascii="Times New Roman" w:hAnsi="Times New Roman"/>
          <w:bCs/>
          <w:sz w:val="24"/>
          <w:szCs w:val="24"/>
        </w:rPr>
        <w:t xml:space="preserve"> was in possession of the drone for likely at least one of those days. And, although we acknowledge that the woman in the video handled the alleged substances, the video also shows another individual—a man who </w:t>
      </w:r>
      <w:proofErr w:type="spellStart"/>
      <w:r w:rsidRPr="006C7F17">
        <w:rPr>
          <w:rFonts w:ascii="Times New Roman" w:hAnsi="Times New Roman"/>
          <w:bCs/>
          <w:sz w:val="24"/>
          <w:szCs w:val="24"/>
        </w:rPr>
        <w:t>Vormohr</w:t>
      </w:r>
      <w:proofErr w:type="spellEnd"/>
      <w:r w:rsidRPr="006C7F17">
        <w:rPr>
          <w:rFonts w:ascii="Times New Roman" w:hAnsi="Times New Roman"/>
          <w:bCs/>
          <w:sz w:val="24"/>
          <w:szCs w:val="24"/>
        </w:rPr>
        <w:t xml:space="preserve"> testified was Byers—handling the drone moments later in the same and subsequent video recordings. Based on the facts and circumstances before us, we cannot say that a four-day period between the activity and the finding of probable cause renders the warrant constitutionally stale.”</w:t>
      </w:r>
    </w:p>
    <w:p w14:paraId="77D5FC4D" w14:textId="77777777" w:rsidR="00A06387" w:rsidRPr="006C7F17" w:rsidRDefault="00A06387" w:rsidP="00A06387">
      <w:pPr>
        <w:pStyle w:val="NoSpacing"/>
        <w:ind w:left="720"/>
        <w:rPr>
          <w:rFonts w:ascii="Times New Roman" w:hAnsi="Times New Roman"/>
          <w:b/>
          <w:bCs/>
          <w:sz w:val="24"/>
          <w:szCs w:val="24"/>
        </w:rPr>
      </w:pPr>
      <w:hyperlink r:id="rId345" w:history="1">
        <w:r w:rsidRPr="006C7F17">
          <w:rPr>
            <w:rStyle w:val="Hyperlink"/>
            <w:rFonts w:ascii="Times New Roman" w:hAnsi="Times New Roman"/>
            <w:bCs/>
            <w:sz w:val="24"/>
            <w:szCs w:val="24"/>
          </w:rPr>
          <w:t>https://www.in.gov/judiciary/opinions/pdf/10241902eft.pdf</w:t>
        </w:r>
      </w:hyperlink>
      <w:r w:rsidRPr="006C7F17">
        <w:rPr>
          <w:rFonts w:ascii="Times New Roman" w:hAnsi="Times New Roman"/>
          <w:bCs/>
          <w:sz w:val="24"/>
          <w:szCs w:val="24"/>
        </w:rPr>
        <w:t xml:space="preserve"> </w:t>
      </w:r>
    </w:p>
    <w:p w14:paraId="429BAC24" w14:textId="77777777" w:rsidR="006C7F17" w:rsidRPr="006C7F17" w:rsidRDefault="006C7F17" w:rsidP="00A06387">
      <w:pPr>
        <w:pStyle w:val="NoSpacing"/>
        <w:rPr>
          <w:rFonts w:ascii="Times New Roman" w:hAnsi="Times New Roman"/>
          <w:b/>
          <w:bCs/>
          <w:sz w:val="24"/>
          <w:szCs w:val="24"/>
        </w:rPr>
      </w:pPr>
    </w:p>
    <w:p w14:paraId="544C4F7E" w14:textId="19B151CC" w:rsidR="00A06387" w:rsidRPr="006C7F17" w:rsidRDefault="00A06387" w:rsidP="00A06387">
      <w:pPr>
        <w:pStyle w:val="NoSpacing"/>
        <w:rPr>
          <w:rFonts w:ascii="Times New Roman" w:hAnsi="Times New Roman"/>
          <w:b/>
          <w:bCs/>
          <w:sz w:val="24"/>
          <w:szCs w:val="24"/>
        </w:rPr>
      </w:pPr>
      <w:r w:rsidRPr="006C7F17">
        <w:rPr>
          <w:rFonts w:ascii="Times New Roman" w:hAnsi="Times New Roman"/>
          <w:b/>
          <w:bCs/>
          <w:sz w:val="24"/>
          <w:szCs w:val="24"/>
        </w:rPr>
        <w:t xml:space="preserve">Legal Lessons Learned:  If you are a drug dealer, be cautious of drones with video cameras. </w:t>
      </w:r>
    </w:p>
    <w:p w14:paraId="7FB2F241" w14:textId="0F04A306" w:rsidR="00A67C57" w:rsidRDefault="00A67C57" w:rsidP="00A06387">
      <w:pPr>
        <w:pStyle w:val="NoSpacing"/>
        <w:rPr>
          <w:b/>
          <w:bCs/>
          <w:sz w:val="24"/>
          <w:szCs w:val="24"/>
        </w:rPr>
      </w:pPr>
    </w:p>
    <w:p w14:paraId="670D9A77" w14:textId="1313CE54" w:rsidR="00A67C57" w:rsidRDefault="00A67C57" w:rsidP="002B1283">
      <w:pPr>
        <w:rPr>
          <w:rFonts w:ascii="Arial Black" w:hAnsi="Arial Black"/>
          <w:b/>
          <w:sz w:val="24"/>
          <w:szCs w:val="24"/>
        </w:rPr>
      </w:pPr>
    </w:p>
    <w:p w14:paraId="11CDF6E0" w14:textId="43645BE2" w:rsidR="00A06387" w:rsidRDefault="00A06387" w:rsidP="00A06387">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2</w:t>
      </w:r>
    </w:p>
    <w:p w14:paraId="525842C4" w14:textId="77777777" w:rsidR="00A06387" w:rsidRPr="00C60A81" w:rsidRDefault="00A06387" w:rsidP="00A06387">
      <w:pPr>
        <w:pStyle w:val="NoSpacing"/>
        <w:rPr>
          <w:rFonts w:ascii="Arial Black" w:hAnsi="Arial Black"/>
          <w:sz w:val="28"/>
          <w:szCs w:val="28"/>
        </w:rPr>
      </w:pPr>
      <w:r w:rsidRPr="00C60A81">
        <w:rPr>
          <w:rFonts w:ascii="Arial Black" w:hAnsi="Arial Black"/>
          <w:sz w:val="28"/>
          <w:szCs w:val="28"/>
        </w:rPr>
        <w:t xml:space="preserve">PA:  </w:t>
      </w:r>
      <w:r>
        <w:rPr>
          <w:rFonts w:ascii="Arial Black" w:hAnsi="Arial Black"/>
          <w:sz w:val="28"/>
          <w:szCs w:val="28"/>
        </w:rPr>
        <w:t xml:space="preserve">HOUSE FIRE - </w:t>
      </w:r>
      <w:r w:rsidRPr="00C60A81">
        <w:rPr>
          <w:rFonts w:ascii="Arial Black" w:hAnsi="Arial Black"/>
          <w:sz w:val="28"/>
          <w:szCs w:val="28"/>
        </w:rPr>
        <w:t xml:space="preserve">ARSON </w:t>
      </w:r>
      <w:r>
        <w:rPr>
          <w:rFonts w:ascii="Arial Black" w:hAnsi="Arial Black"/>
          <w:sz w:val="28"/>
          <w:szCs w:val="28"/>
        </w:rPr>
        <w:t xml:space="preserve">SUSPECTED, OWNER BEHIND MORTGAGE – </w:t>
      </w:r>
      <w:r w:rsidRPr="00C60A81">
        <w:rPr>
          <w:rFonts w:ascii="Arial Black" w:hAnsi="Arial Black"/>
          <w:sz w:val="28"/>
          <w:szCs w:val="28"/>
        </w:rPr>
        <w:t>INSUR</w:t>
      </w:r>
      <w:r>
        <w:rPr>
          <w:rFonts w:ascii="Arial Black" w:hAnsi="Arial Black"/>
          <w:sz w:val="28"/>
          <w:szCs w:val="28"/>
        </w:rPr>
        <w:t xml:space="preserve">. CO. PROPERLY DELAYED PAYMENT </w:t>
      </w:r>
    </w:p>
    <w:p w14:paraId="1F064AF2" w14:textId="77777777" w:rsidR="00A06387" w:rsidRDefault="00A06387" w:rsidP="00A06387">
      <w:pPr>
        <w:pStyle w:val="NoSpacing"/>
        <w:rPr>
          <w:rFonts w:ascii="PArial Black" w:hAnsi="PArial Black"/>
          <w:sz w:val="28"/>
          <w:szCs w:val="28"/>
        </w:rPr>
      </w:pPr>
    </w:p>
    <w:p w14:paraId="4F75F56A"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Cs/>
          <w:sz w:val="24"/>
          <w:szCs w:val="24"/>
        </w:rPr>
        <w:t xml:space="preserve">On Oct. 21, 2019, in </w:t>
      </w:r>
      <w:r w:rsidRPr="006C7F17">
        <w:rPr>
          <w:rFonts w:ascii="Times New Roman" w:hAnsi="Times New Roman"/>
          <w:bCs/>
          <w:sz w:val="24"/>
          <w:szCs w:val="24"/>
          <w:u w:val="single"/>
        </w:rPr>
        <w:t xml:space="preserve">Darlene </w:t>
      </w:r>
      <w:proofErr w:type="spellStart"/>
      <w:r w:rsidRPr="006C7F17">
        <w:rPr>
          <w:rFonts w:ascii="Times New Roman" w:hAnsi="Times New Roman"/>
          <w:bCs/>
          <w:sz w:val="24"/>
          <w:szCs w:val="24"/>
          <w:u w:val="single"/>
        </w:rPr>
        <w:t>Merrone</w:t>
      </w:r>
      <w:proofErr w:type="spellEnd"/>
      <w:r w:rsidRPr="006C7F17">
        <w:rPr>
          <w:rFonts w:ascii="Times New Roman" w:hAnsi="Times New Roman"/>
          <w:bCs/>
          <w:sz w:val="24"/>
          <w:szCs w:val="24"/>
          <w:u w:val="single"/>
        </w:rPr>
        <w:t xml:space="preserve"> v. for Allstate Vehicle </w:t>
      </w:r>
      <w:proofErr w:type="gramStart"/>
      <w:r w:rsidRPr="006C7F17">
        <w:rPr>
          <w:rFonts w:ascii="Times New Roman" w:hAnsi="Times New Roman"/>
          <w:bCs/>
          <w:sz w:val="24"/>
          <w:szCs w:val="24"/>
          <w:u w:val="single"/>
        </w:rPr>
        <w:t>And</w:t>
      </w:r>
      <w:proofErr w:type="gramEnd"/>
      <w:r w:rsidRPr="006C7F17">
        <w:rPr>
          <w:rFonts w:ascii="Times New Roman" w:hAnsi="Times New Roman"/>
          <w:bCs/>
          <w:sz w:val="24"/>
          <w:szCs w:val="24"/>
          <w:u w:val="single"/>
        </w:rPr>
        <w:t xml:space="preserve"> Property Insurance Company</w:t>
      </w:r>
      <w:r w:rsidRPr="006C7F17">
        <w:rPr>
          <w:rFonts w:ascii="Times New Roman" w:hAnsi="Times New Roman"/>
          <w:bCs/>
          <w:sz w:val="24"/>
          <w:szCs w:val="24"/>
        </w:rPr>
        <w:t xml:space="preserve">, U.S. District Court Judge Kim R. Gibson, U.S. District Court for Western District of Pennsylvania, granted summary judgment for Allstate. </w:t>
      </w:r>
    </w:p>
    <w:p w14:paraId="7B54B2A1" w14:textId="77777777" w:rsidR="00A06387" w:rsidRPr="006C7F17" w:rsidRDefault="00A06387" w:rsidP="00A06387">
      <w:pPr>
        <w:pStyle w:val="NoSpacing"/>
        <w:rPr>
          <w:rFonts w:ascii="Times New Roman" w:hAnsi="Times New Roman"/>
          <w:b/>
          <w:bCs/>
          <w:sz w:val="24"/>
          <w:szCs w:val="24"/>
        </w:rPr>
      </w:pPr>
    </w:p>
    <w:p w14:paraId="7B55C37F" w14:textId="77777777" w:rsidR="00A06387" w:rsidRPr="006C7F17" w:rsidRDefault="00A06387" w:rsidP="00A06387">
      <w:pPr>
        <w:pStyle w:val="NoSpacing"/>
        <w:ind w:left="720"/>
        <w:rPr>
          <w:rFonts w:ascii="Times New Roman" w:hAnsi="Times New Roman"/>
          <w:b/>
          <w:bCs/>
          <w:sz w:val="24"/>
          <w:szCs w:val="24"/>
        </w:rPr>
      </w:pPr>
      <w:r w:rsidRPr="006C7F17">
        <w:rPr>
          <w:rFonts w:ascii="Times New Roman" w:hAnsi="Times New Roman"/>
          <w:bCs/>
          <w:sz w:val="24"/>
          <w:szCs w:val="24"/>
        </w:rPr>
        <w:t xml:space="preserve">“Because payment of the insurance proceeds negates any breach of contract action, Allstate has paid the policy limits on both the structure and ALE claims, and Plaintiff has not presented any evidence that Allstate has failed to compensate her for lost personal property, Plaintiff's claim must fail. Plaintiff argues that Allstate breached the insurance contract by failing to pay her claim once it was clear that Allstate could not prove arson. (ECF No. 28 at 9.) Allstate responds that it had a reasonable basis to investigate and delay payment. For the reasons discussed in depth above, Plaintiff has not shown that Allstate did not have a reasonable basis to investigate and delay payment, so this delay cannot form the basis of a breach of </w:t>
      </w:r>
      <w:proofErr w:type="gramStart"/>
      <w:r w:rsidRPr="006C7F17">
        <w:rPr>
          <w:rFonts w:ascii="Times New Roman" w:hAnsi="Times New Roman"/>
          <w:bCs/>
          <w:sz w:val="24"/>
          <w:szCs w:val="24"/>
        </w:rPr>
        <w:t>contract.”</w:t>
      </w:r>
      <w:proofErr w:type="gramEnd"/>
      <w:r w:rsidRPr="006C7F17">
        <w:rPr>
          <w:rFonts w:ascii="Times New Roman" w:hAnsi="Times New Roman"/>
          <w:bCs/>
          <w:sz w:val="24"/>
          <w:szCs w:val="24"/>
        </w:rPr>
        <w:t xml:space="preserve">  </w:t>
      </w:r>
    </w:p>
    <w:p w14:paraId="5E2BD35B" w14:textId="48987128" w:rsidR="00A06387" w:rsidRPr="006C7F17" w:rsidRDefault="006C7F17" w:rsidP="006C7F17">
      <w:pPr>
        <w:ind w:left="720"/>
        <w:rPr>
          <w:rFonts w:ascii="Times New Roman" w:hAnsi="Times New Roman"/>
          <w:b/>
          <w:sz w:val="24"/>
          <w:szCs w:val="24"/>
        </w:rPr>
      </w:pPr>
      <w:hyperlink r:id="rId346" w:history="1">
        <w:r w:rsidRPr="002F304C">
          <w:rPr>
            <w:rStyle w:val="Hyperlink"/>
            <w:rFonts w:ascii="Times New Roman" w:hAnsi="Times New Roman"/>
            <w:bCs/>
            <w:sz w:val="24"/>
            <w:szCs w:val="24"/>
          </w:rPr>
          <w:t>https://cases.justia.com/federal/district-courts/pennsylvania/pawdce/3:2018cv00193/249675/37/0.pdf?ts=1571736238</w:t>
        </w:r>
      </w:hyperlink>
    </w:p>
    <w:p w14:paraId="6BDBD660"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
          <w:bCs/>
          <w:sz w:val="24"/>
          <w:szCs w:val="24"/>
        </w:rPr>
        <w:t xml:space="preserve">Legal Lessons Learned: “Red flags” were certainly flying in this case.  </w:t>
      </w:r>
    </w:p>
    <w:p w14:paraId="35AD5C64" w14:textId="3CEF3DE9" w:rsidR="00A06387" w:rsidRDefault="00A06387" w:rsidP="002B1283">
      <w:pPr>
        <w:rPr>
          <w:rFonts w:ascii="Arial Black" w:hAnsi="Arial Black"/>
          <w:b/>
          <w:sz w:val="24"/>
          <w:szCs w:val="24"/>
        </w:rPr>
      </w:pPr>
    </w:p>
    <w:p w14:paraId="4126F2F4" w14:textId="77777777" w:rsidR="00A67C57" w:rsidRDefault="00A67C57" w:rsidP="002B1283">
      <w:pPr>
        <w:rPr>
          <w:rFonts w:ascii="Arial Black" w:hAnsi="Arial Black"/>
          <w:b/>
          <w:sz w:val="24"/>
          <w:szCs w:val="24"/>
        </w:rPr>
      </w:pPr>
    </w:p>
    <w:p w14:paraId="5ABB4BC7" w14:textId="77777777" w:rsidR="00A06387" w:rsidRDefault="00A06387" w:rsidP="002B1283">
      <w:pPr>
        <w:rPr>
          <w:rFonts w:ascii="Arial Black" w:hAnsi="Arial Black"/>
          <w:b/>
          <w:sz w:val="24"/>
          <w:szCs w:val="24"/>
        </w:rPr>
      </w:pPr>
    </w:p>
    <w:p w14:paraId="12296DC6" w14:textId="2C667427" w:rsidR="005A414F" w:rsidRDefault="005A414F" w:rsidP="002B1283">
      <w:pPr>
        <w:rPr>
          <w:rFonts w:ascii="Arial Black" w:hAnsi="Arial Black"/>
          <w:b/>
          <w:sz w:val="24"/>
          <w:szCs w:val="24"/>
        </w:rPr>
      </w:pPr>
      <w:r>
        <w:rPr>
          <w:rFonts w:ascii="Arial Black" w:hAnsi="Arial Black"/>
          <w:b/>
          <w:sz w:val="24"/>
          <w:szCs w:val="24"/>
        </w:rPr>
        <w:t>1-</w:t>
      </w:r>
      <w:r w:rsidR="00637A12">
        <w:rPr>
          <w:rFonts w:ascii="Arial Black" w:hAnsi="Arial Black"/>
          <w:b/>
          <w:sz w:val="24"/>
          <w:szCs w:val="24"/>
        </w:rPr>
        <w:t>31</w:t>
      </w:r>
    </w:p>
    <w:p w14:paraId="5E3ABD8C" w14:textId="77777777" w:rsidR="005A414F" w:rsidRDefault="005A414F" w:rsidP="005A414F">
      <w:pPr>
        <w:rPr>
          <w:rFonts w:ascii="Arial Black" w:hAnsi="Arial Black"/>
          <w:sz w:val="28"/>
          <w:szCs w:val="28"/>
        </w:rPr>
      </w:pPr>
      <w:r w:rsidRPr="007313FF">
        <w:rPr>
          <w:rFonts w:ascii="Arial Black" w:hAnsi="Arial Black"/>
          <w:sz w:val="28"/>
          <w:szCs w:val="28"/>
        </w:rPr>
        <w:t xml:space="preserve">CA: </w:t>
      </w:r>
      <w:r>
        <w:rPr>
          <w:rFonts w:ascii="Arial Black" w:hAnsi="Arial Black"/>
          <w:sz w:val="28"/>
          <w:szCs w:val="28"/>
        </w:rPr>
        <w:t xml:space="preserve"> ARSON - FF TESTIFIED AGAIN GIRLFRIEND – SHE ADMITTED ARSON CAR FIRE – HE WAS NOT ACCOMPLICE, NO JURY INSTRUCTION NEEDED</w:t>
      </w:r>
    </w:p>
    <w:p w14:paraId="75AF396B" w14:textId="170C65C2" w:rsidR="005A414F" w:rsidRDefault="005A414F" w:rsidP="005A414F">
      <w:pPr>
        <w:rPr>
          <w:rStyle w:val="Hyperlink"/>
          <w:rFonts w:ascii="Times New Roman" w:hAnsi="Times New Roman"/>
          <w:sz w:val="24"/>
          <w:szCs w:val="24"/>
        </w:rPr>
      </w:pPr>
      <w:r w:rsidRPr="005F65FF">
        <w:rPr>
          <w:rFonts w:ascii="Times New Roman" w:hAnsi="Times New Roman"/>
          <w:sz w:val="24"/>
          <w:szCs w:val="24"/>
        </w:rPr>
        <w:t>On</w:t>
      </w:r>
      <w:r>
        <w:rPr>
          <w:rFonts w:ascii="Times New Roman" w:hAnsi="Times New Roman"/>
          <w:sz w:val="24"/>
          <w:szCs w:val="24"/>
        </w:rPr>
        <w:t xml:space="preserve"> Aug. 29, 2019, in </w:t>
      </w:r>
      <w:r w:rsidRPr="00D929D6">
        <w:rPr>
          <w:rFonts w:ascii="Times New Roman" w:hAnsi="Times New Roman"/>
          <w:sz w:val="24"/>
          <w:szCs w:val="24"/>
          <w:u w:val="single"/>
        </w:rPr>
        <w:t>The People v. Crystal Lynn Rothgery</w:t>
      </w:r>
      <w:r w:rsidRPr="00D929D6">
        <w:rPr>
          <w:rFonts w:ascii="Times New Roman" w:hAnsi="Times New Roman"/>
          <w:sz w:val="24"/>
          <w:szCs w:val="24"/>
        </w:rPr>
        <w:t>, the</w:t>
      </w:r>
      <w:r>
        <w:rPr>
          <w:rFonts w:ascii="Times New Roman" w:hAnsi="Times New Roman"/>
          <w:sz w:val="24"/>
          <w:szCs w:val="24"/>
          <w:u w:val="single"/>
        </w:rPr>
        <w:t xml:space="preserve"> </w:t>
      </w:r>
      <w:r w:rsidRPr="005238A8">
        <w:rPr>
          <w:rFonts w:ascii="Times New Roman" w:hAnsi="Times New Roman"/>
          <w:sz w:val="24"/>
          <w:szCs w:val="24"/>
        </w:rPr>
        <w:t xml:space="preserve">Court of Appeal of State of California, Third Appellate District, </w:t>
      </w:r>
      <w:r>
        <w:rPr>
          <w:rFonts w:ascii="Times New Roman" w:hAnsi="Times New Roman"/>
          <w:sz w:val="24"/>
          <w:szCs w:val="24"/>
        </w:rPr>
        <w:t xml:space="preserve">in an unpublished opinion, denied (3 to 0) her appeal of jury conviction of arson.   The trial judge did not need to instructor jury about being suspicious of accomplice testimony since no evidence that her boyfriend [a “wilderness firefighter”] was involved in the car fire. </w:t>
      </w:r>
      <w:hyperlink r:id="rId347" w:history="1">
        <w:r w:rsidRPr="0075063D">
          <w:rPr>
            <w:rStyle w:val="Hyperlink"/>
            <w:rFonts w:ascii="Times New Roman" w:hAnsi="Times New Roman"/>
            <w:sz w:val="24"/>
            <w:szCs w:val="24"/>
          </w:rPr>
          <w:t>https://www.courts.ca.gov/opinions/nonpub/C087060.PDF</w:t>
        </w:r>
      </w:hyperlink>
    </w:p>
    <w:p w14:paraId="484410AA" w14:textId="77777777" w:rsidR="005A414F" w:rsidRDefault="005A414F" w:rsidP="005A414F">
      <w:pPr>
        <w:rPr>
          <w:rFonts w:ascii="Times New Roman" w:hAnsi="Times New Roman"/>
          <w:sz w:val="24"/>
          <w:szCs w:val="24"/>
        </w:rPr>
      </w:pPr>
      <w:r w:rsidRPr="00285E04">
        <w:rPr>
          <w:rFonts w:ascii="Times New Roman" w:hAnsi="Times New Roman"/>
          <w:sz w:val="24"/>
          <w:szCs w:val="24"/>
        </w:rPr>
        <w:t>The Court wrote:</w:t>
      </w:r>
    </w:p>
    <w:p w14:paraId="76402338" w14:textId="77777777" w:rsidR="005A414F" w:rsidRPr="007E4C13" w:rsidRDefault="005A414F" w:rsidP="005A414F">
      <w:pPr>
        <w:pStyle w:val="NoSpacing"/>
        <w:ind w:left="1440"/>
        <w:rPr>
          <w:rFonts w:ascii="Times New Roman" w:hAnsi="Times New Roman"/>
          <w:sz w:val="24"/>
          <w:szCs w:val="24"/>
        </w:rPr>
      </w:pPr>
      <w:r>
        <w:rPr>
          <w:rFonts w:ascii="Times New Roman" w:hAnsi="Times New Roman"/>
          <w:sz w:val="24"/>
          <w:szCs w:val="24"/>
        </w:rPr>
        <w:t>“</w:t>
      </w:r>
      <w:r w:rsidRPr="007E4C13">
        <w:rPr>
          <w:rFonts w:ascii="Times New Roman" w:hAnsi="Times New Roman"/>
          <w:sz w:val="24"/>
          <w:szCs w:val="24"/>
        </w:rPr>
        <w:t xml:space="preserve">Here, the trial court was not required to instruct the jury </w:t>
      </w:r>
      <w:proofErr w:type="spellStart"/>
      <w:r w:rsidRPr="007E4C13">
        <w:rPr>
          <w:rFonts w:ascii="Times New Roman" w:hAnsi="Times New Roman"/>
          <w:sz w:val="24"/>
          <w:szCs w:val="24"/>
        </w:rPr>
        <w:t>sua</w:t>
      </w:r>
      <w:proofErr w:type="spellEnd"/>
      <w:r w:rsidRPr="007E4C13">
        <w:rPr>
          <w:rFonts w:ascii="Times New Roman" w:hAnsi="Times New Roman"/>
          <w:sz w:val="24"/>
          <w:szCs w:val="24"/>
        </w:rPr>
        <w:t xml:space="preserve"> sponte on accomplice testimony because there was no evidence from which a reasonable jury could find Hoskey was an accomplice. To be an accomplice, one </w:t>
      </w:r>
      <w:proofErr w:type="gramStart"/>
      <w:r w:rsidRPr="007E4C13">
        <w:rPr>
          <w:rFonts w:ascii="Times New Roman" w:hAnsi="Times New Roman"/>
          <w:sz w:val="24"/>
          <w:szCs w:val="24"/>
        </w:rPr>
        <w:t>must,</w:t>
      </w:r>
      <w:r>
        <w:rPr>
          <w:rFonts w:ascii="Times New Roman" w:hAnsi="Times New Roman"/>
          <w:sz w:val="24"/>
          <w:szCs w:val="24"/>
        </w:rPr>
        <w:t xml:space="preserve"> </w:t>
      </w:r>
      <w:r w:rsidRPr="007E4C13">
        <w:rPr>
          <w:rFonts w:ascii="Times New Roman" w:hAnsi="Times New Roman"/>
          <w:sz w:val="24"/>
          <w:szCs w:val="24"/>
        </w:rPr>
        <w:t>‘</w:t>
      </w:r>
      <w:proofErr w:type="gramEnd"/>
      <w:r w:rsidRPr="007E4C13">
        <w:rPr>
          <w:rFonts w:ascii="Times New Roman" w:hAnsi="Times New Roman"/>
          <w:sz w:val="24"/>
          <w:szCs w:val="24"/>
        </w:rPr>
        <w:t>act with knowledge of the criminal purpose of the perpetrator and</w:t>
      </w:r>
      <w:r>
        <w:rPr>
          <w:rFonts w:ascii="Times New Roman" w:hAnsi="Times New Roman"/>
          <w:sz w:val="24"/>
          <w:szCs w:val="24"/>
        </w:rPr>
        <w:t xml:space="preserve"> </w:t>
      </w:r>
      <w:r w:rsidRPr="007E4C13">
        <w:rPr>
          <w:rFonts w:ascii="Times New Roman" w:hAnsi="Times New Roman"/>
          <w:sz w:val="24"/>
          <w:szCs w:val="24"/>
        </w:rPr>
        <w:t>with an intent or purpose either of committing, or of encouraging or facilitating commission of, the offense.’ (People v. Stankewitz (1990) 51 Cal.3d 72, 90-91.)</w:t>
      </w:r>
      <w:r>
        <w:rPr>
          <w:rFonts w:ascii="Times New Roman" w:hAnsi="Times New Roman"/>
          <w:sz w:val="24"/>
          <w:szCs w:val="24"/>
        </w:rPr>
        <w:t xml:space="preserve">  </w:t>
      </w:r>
      <w:r w:rsidRPr="007E4C13">
        <w:rPr>
          <w:rFonts w:ascii="Times New Roman" w:hAnsi="Times New Roman"/>
          <w:sz w:val="24"/>
          <w:szCs w:val="24"/>
        </w:rPr>
        <w:t>In arguing Hoskey was an accomplice, defendant cites no evidence to satisfy these elements.</w:t>
      </w:r>
      <w:r>
        <w:rPr>
          <w:rFonts w:ascii="Times New Roman" w:hAnsi="Times New Roman"/>
          <w:sz w:val="24"/>
          <w:szCs w:val="24"/>
        </w:rPr>
        <w:t>”</w:t>
      </w:r>
    </w:p>
    <w:p w14:paraId="51A88005" w14:textId="77777777" w:rsidR="005A414F" w:rsidRDefault="005A414F" w:rsidP="005A414F">
      <w:pPr>
        <w:rPr>
          <w:rStyle w:val="Hyperlink"/>
          <w:rFonts w:ascii="Times New Roman" w:hAnsi="Times New Roman"/>
          <w:sz w:val="24"/>
          <w:szCs w:val="24"/>
        </w:rPr>
      </w:pPr>
    </w:p>
    <w:p w14:paraId="204CC706" w14:textId="569889B0" w:rsidR="005A414F" w:rsidRDefault="005A414F" w:rsidP="005A414F">
      <w:pPr>
        <w:pStyle w:val="NoSpacing"/>
        <w:rPr>
          <w:rFonts w:ascii="Times New Roman" w:hAnsi="Times New Roman"/>
          <w:b/>
          <w:bCs/>
          <w:sz w:val="24"/>
          <w:szCs w:val="24"/>
        </w:rPr>
      </w:pPr>
      <w:r w:rsidRPr="00F524F6">
        <w:rPr>
          <w:rFonts w:ascii="Times New Roman" w:hAnsi="Times New Roman"/>
          <w:b/>
          <w:bCs/>
          <w:sz w:val="24"/>
          <w:szCs w:val="24"/>
        </w:rPr>
        <w:t xml:space="preserve">Legal Lessons Learned: </w:t>
      </w:r>
      <w:r>
        <w:rPr>
          <w:rFonts w:ascii="Times New Roman" w:hAnsi="Times New Roman"/>
          <w:b/>
          <w:bCs/>
          <w:sz w:val="24"/>
          <w:szCs w:val="24"/>
        </w:rPr>
        <w:t xml:space="preserve">No proof this “wilderness firefighter” was involved in his live-in girlfriend’s arson.  </w:t>
      </w:r>
    </w:p>
    <w:p w14:paraId="6DC9502B" w14:textId="77777777" w:rsidR="00E26EA8" w:rsidRDefault="00E26EA8" w:rsidP="005A414F">
      <w:pPr>
        <w:pStyle w:val="NoSpacing"/>
        <w:rPr>
          <w:rFonts w:ascii="Times New Roman" w:hAnsi="Times New Roman"/>
          <w:b/>
          <w:bCs/>
          <w:sz w:val="24"/>
          <w:szCs w:val="24"/>
        </w:rPr>
      </w:pPr>
    </w:p>
    <w:p w14:paraId="2A4D2958" w14:textId="77777777" w:rsidR="00715CF2" w:rsidRDefault="00715CF2" w:rsidP="002B1283">
      <w:pPr>
        <w:rPr>
          <w:rFonts w:ascii="Arial Black" w:hAnsi="Arial Black"/>
          <w:b/>
          <w:sz w:val="24"/>
          <w:szCs w:val="24"/>
        </w:rPr>
      </w:pPr>
    </w:p>
    <w:p w14:paraId="4EEE914F" w14:textId="0C8E98AD" w:rsidR="00791CA3" w:rsidRDefault="00791CA3" w:rsidP="002B1283">
      <w:pPr>
        <w:rPr>
          <w:rFonts w:ascii="Arial Black" w:hAnsi="Arial Black"/>
          <w:sz w:val="28"/>
          <w:szCs w:val="28"/>
        </w:rPr>
      </w:pPr>
      <w:r w:rsidRPr="00791CA3">
        <w:rPr>
          <w:rFonts w:ascii="Arial Black" w:hAnsi="Arial Black"/>
          <w:b/>
          <w:sz w:val="24"/>
          <w:szCs w:val="24"/>
        </w:rPr>
        <w:t>1-</w:t>
      </w:r>
      <w:r w:rsidR="00637A12">
        <w:rPr>
          <w:rFonts w:ascii="Arial Black" w:hAnsi="Arial Black"/>
          <w:b/>
          <w:sz w:val="24"/>
          <w:szCs w:val="24"/>
        </w:rPr>
        <w:t>30</w:t>
      </w:r>
    </w:p>
    <w:p w14:paraId="29D072AB" w14:textId="54FED2EC" w:rsidR="002B1283" w:rsidRDefault="002B1283" w:rsidP="002B1283">
      <w:pPr>
        <w:rPr>
          <w:rFonts w:ascii="Arial Black" w:hAnsi="Arial Black"/>
          <w:sz w:val="28"/>
          <w:szCs w:val="28"/>
        </w:rPr>
      </w:pPr>
      <w:r>
        <w:rPr>
          <w:rFonts w:ascii="Arial Black" w:hAnsi="Arial Black"/>
          <w:sz w:val="28"/>
          <w:szCs w:val="28"/>
        </w:rPr>
        <w:t>IL: COMMERCIAL BUILDING FIRE ALARMS MUST GO DIRECT TO 911 DISPATCH – ORDINANCE REQ. ONE PROVIDER UPHELD</w:t>
      </w:r>
    </w:p>
    <w:p w14:paraId="3CCBDA25" w14:textId="77777777" w:rsidR="002B1283" w:rsidRDefault="002B1283" w:rsidP="002B1283">
      <w:pPr>
        <w:rPr>
          <w:rFonts w:ascii="Times New Roman" w:hAnsi="Times New Roman"/>
          <w:sz w:val="24"/>
          <w:szCs w:val="24"/>
        </w:rPr>
      </w:pPr>
      <w:r w:rsidRPr="00C338B2">
        <w:rPr>
          <w:rFonts w:ascii="Times New Roman" w:hAnsi="Times New Roman"/>
          <w:sz w:val="24"/>
          <w:szCs w:val="24"/>
        </w:rPr>
        <w:t xml:space="preserve">On July 15, 2019, in </w:t>
      </w:r>
      <w:r w:rsidRPr="00C338B2">
        <w:rPr>
          <w:rFonts w:ascii="Times New Roman" w:hAnsi="Times New Roman"/>
          <w:sz w:val="24"/>
          <w:szCs w:val="24"/>
          <w:u w:val="single"/>
        </w:rPr>
        <w:t>Alarm Detection Systems, Inc. v. Orland Fire Protect District, et al</w:t>
      </w:r>
      <w:r w:rsidRPr="00C338B2">
        <w:rPr>
          <w:rFonts w:ascii="Times New Roman" w:hAnsi="Times New Roman"/>
          <w:sz w:val="24"/>
          <w:szCs w:val="24"/>
        </w:rPr>
        <w:t xml:space="preserve">, </w:t>
      </w:r>
      <w:r>
        <w:rPr>
          <w:rFonts w:ascii="Times New Roman" w:hAnsi="Times New Roman"/>
          <w:sz w:val="24"/>
          <w:szCs w:val="24"/>
        </w:rPr>
        <w:t>the U.S. Court of Appeals for 7</w:t>
      </w:r>
      <w:r w:rsidRPr="00C338B2">
        <w:rPr>
          <w:rFonts w:ascii="Times New Roman" w:hAnsi="Times New Roman"/>
          <w:sz w:val="24"/>
          <w:szCs w:val="24"/>
          <w:vertAlign w:val="superscript"/>
        </w:rPr>
        <w:t>th</w:t>
      </w:r>
      <w:r>
        <w:rPr>
          <w:rFonts w:ascii="Times New Roman" w:hAnsi="Times New Roman"/>
          <w:sz w:val="24"/>
          <w:szCs w:val="24"/>
        </w:rPr>
        <w:t xml:space="preserve"> Circuit held (3 to 0) that ordinances by several Villages were lawful and no violation of Sherman Antitrust Act. </w:t>
      </w:r>
    </w:p>
    <w:p w14:paraId="737C96FA"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100A56">
        <w:rPr>
          <w:rFonts w:ascii="Times New Roman" w:hAnsi="Times New Roman"/>
          <w:sz w:val="24"/>
          <w:szCs w:val="24"/>
        </w:rPr>
        <w:t>ADS worries that without introducing competition against Tyco the alarm-system market will stagnate; Tyco will have little reason to innovate and more flexibility to charge high prices. We are not unsympathetic to the point, in theory. But ADS had its chance at trial to demonstrate to the district court that its alternative methods can work in an RSS system, and it did not. And no one should lose sight of the fact that competition for the exclusive contract is competition.</w:t>
      </w:r>
      <w:r>
        <w:rPr>
          <w:rFonts w:ascii="Times New Roman" w:hAnsi="Times New Roman"/>
          <w:sz w:val="24"/>
          <w:szCs w:val="24"/>
        </w:rPr>
        <w:t>”</w:t>
      </w:r>
    </w:p>
    <w:p w14:paraId="0DB8F759" w14:textId="77777777" w:rsidR="002B1283" w:rsidRDefault="002B1283" w:rsidP="002B1283">
      <w:pPr>
        <w:ind w:left="720"/>
      </w:pPr>
      <w:hyperlink r:id="rId348" w:history="1">
        <w:r w:rsidRPr="00455844">
          <w:rPr>
            <w:rStyle w:val="Hyperlink"/>
          </w:rPr>
          <w:t>https://cases.justia.com/federal/appellate-courts/ca7/18-2926/18-2926-2019-07-15.pdf?ts=1563219019</w:t>
        </w:r>
      </w:hyperlink>
      <w:r>
        <w:t xml:space="preserve"> </w:t>
      </w:r>
    </w:p>
    <w:p w14:paraId="6EB00456" w14:textId="3BE822F9" w:rsidR="002B1283" w:rsidRDefault="002B1283" w:rsidP="002B1283">
      <w:pPr>
        <w:rPr>
          <w:rFonts w:ascii="Times New Roman" w:hAnsi="Times New Roman"/>
          <w:b/>
          <w:bCs/>
          <w:sz w:val="24"/>
          <w:szCs w:val="24"/>
        </w:rPr>
      </w:pPr>
      <w:r w:rsidRPr="00100A56">
        <w:rPr>
          <w:rFonts w:ascii="Times New Roman" w:hAnsi="Times New Roman"/>
          <w:b/>
          <w:bCs/>
          <w:sz w:val="24"/>
          <w:szCs w:val="24"/>
        </w:rPr>
        <w:t xml:space="preserve">Legal Lessons Learned: </w:t>
      </w:r>
      <w:r>
        <w:rPr>
          <w:rFonts w:ascii="Times New Roman" w:hAnsi="Times New Roman"/>
          <w:b/>
          <w:bCs/>
          <w:sz w:val="24"/>
          <w:szCs w:val="24"/>
        </w:rPr>
        <w:t xml:space="preserve"> The Court of Appeals upheld the findings of the U.S. District Court judge, who held a 6-day bench [non-jury] trial, and referenced NFPA 72 and the safety need for an exclusive fire-alarm provider.  </w:t>
      </w:r>
    </w:p>
    <w:p w14:paraId="0B7D4E64" w14:textId="149D5C28" w:rsidR="0097592D" w:rsidRPr="0097592D" w:rsidRDefault="0097592D" w:rsidP="002B1283">
      <w:pPr>
        <w:rPr>
          <w:rFonts w:ascii="Times New Roman" w:hAnsi="Times New Roman"/>
          <w:sz w:val="24"/>
          <w:szCs w:val="24"/>
        </w:rPr>
      </w:pPr>
    </w:p>
    <w:p w14:paraId="2A31529E" w14:textId="77777777" w:rsidR="00F326E5" w:rsidRDefault="00F326E5" w:rsidP="00F326E5">
      <w:pPr>
        <w:pStyle w:val="NoSpacing"/>
        <w:rPr>
          <w:rFonts w:ascii="Times New Roman" w:hAnsi="Times New Roman"/>
          <w:sz w:val="24"/>
          <w:szCs w:val="24"/>
        </w:rPr>
      </w:pPr>
    </w:p>
    <w:p w14:paraId="5AC1EE6D" w14:textId="48B9E2F1" w:rsidR="005A414F" w:rsidRDefault="005A414F"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9</w:t>
      </w:r>
    </w:p>
    <w:p w14:paraId="4D276FD2" w14:textId="77777777" w:rsidR="005A414F" w:rsidRPr="00A95E8D" w:rsidRDefault="005A414F" w:rsidP="005A414F">
      <w:pPr>
        <w:rPr>
          <w:rFonts w:ascii="Arial Black" w:hAnsi="Arial Black"/>
          <w:sz w:val="28"/>
          <w:szCs w:val="28"/>
        </w:rPr>
      </w:pPr>
      <w:r w:rsidRPr="00A95E8D">
        <w:rPr>
          <w:rFonts w:ascii="Arial Black" w:hAnsi="Arial Black"/>
          <w:sz w:val="28"/>
          <w:szCs w:val="28"/>
        </w:rPr>
        <w:t>U.S. SUP</w:t>
      </w:r>
      <w:r>
        <w:rPr>
          <w:rFonts w:ascii="Arial Black" w:hAnsi="Arial Black"/>
          <w:sz w:val="28"/>
          <w:szCs w:val="28"/>
        </w:rPr>
        <w:t>REME CT: DRUNK DRIVER UNCONSCIOUS – BLOOD DRAW WITHOUT SEARCH WARRANT PERMITTED - EXIGENT CIRCUMSTANCES</w:t>
      </w:r>
    </w:p>
    <w:p w14:paraId="7CF99BE9" w14:textId="77777777" w:rsidR="005A414F" w:rsidRDefault="005A414F" w:rsidP="005A414F">
      <w:pPr>
        <w:rPr>
          <w:rFonts w:ascii="Times New Roman" w:hAnsi="Times New Roman"/>
          <w:sz w:val="24"/>
          <w:szCs w:val="24"/>
        </w:rPr>
      </w:pPr>
      <w:r>
        <w:rPr>
          <w:rFonts w:ascii="Times New Roman" w:hAnsi="Times New Roman"/>
          <w:sz w:val="24"/>
          <w:szCs w:val="24"/>
        </w:rPr>
        <w:t xml:space="preserve">On June 27, 2019, in </w:t>
      </w:r>
      <w:r w:rsidRPr="000D023B">
        <w:rPr>
          <w:rFonts w:ascii="Times New Roman" w:hAnsi="Times New Roman"/>
          <w:sz w:val="24"/>
          <w:szCs w:val="24"/>
          <w:u w:val="single"/>
        </w:rPr>
        <w:t>Mitchell v. Wisconsin</w:t>
      </w:r>
      <w:r>
        <w:rPr>
          <w:rFonts w:ascii="Times New Roman" w:hAnsi="Times New Roman"/>
          <w:sz w:val="24"/>
          <w:szCs w:val="24"/>
        </w:rPr>
        <w:t xml:space="preserve">, the U.S. Supreme Court held (5 to 4), on the defendant’s appeal from decision of the Wisconsin Supreme Court, that when the driver is unconscious, and cannot be given a breath test, they may generally obtain a blood draw at a hospital without a search warrant under the “exigent circumstances” doctrine.  </w:t>
      </w:r>
      <w:hyperlink r:id="rId349" w:history="1">
        <w:r w:rsidRPr="00DD407F">
          <w:rPr>
            <w:rStyle w:val="Hyperlink"/>
            <w:rFonts w:ascii="Times New Roman" w:hAnsi="Times New Roman"/>
            <w:sz w:val="24"/>
            <w:szCs w:val="24"/>
          </w:rPr>
          <w:t>https://www.supremecourt.gov/opinions/18pdf/18-6210_2co3.pdf</w:t>
        </w:r>
      </w:hyperlink>
      <w:r>
        <w:rPr>
          <w:rFonts w:ascii="Times New Roman" w:hAnsi="Times New Roman"/>
          <w:sz w:val="24"/>
          <w:szCs w:val="24"/>
        </w:rPr>
        <w:t xml:space="preserve"> </w:t>
      </w:r>
    </w:p>
    <w:p w14:paraId="0EDF2492" w14:textId="77777777" w:rsidR="005A414F" w:rsidRPr="00230C85" w:rsidRDefault="005A414F" w:rsidP="005A414F">
      <w:pPr>
        <w:pStyle w:val="NoSpacing"/>
        <w:rPr>
          <w:rFonts w:ascii="Times New Roman" w:hAnsi="Times New Roman"/>
          <w:b/>
          <w:bCs/>
          <w:sz w:val="24"/>
          <w:szCs w:val="24"/>
        </w:rPr>
      </w:pPr>
      <w:r w:rsidRPr="00230C85">
        <w:rPr>
          <w:rFonts w:ascii="Times New Roman" w:hAnsi="Times New Roman"/>
          <w:b/>
          <w:bCs/>
          <w:sz w:val="24"/>
          <w:szCs w:val="24"/>
        </w:rPr>
        <w:t xml:space="preserve">Legal Lessons Learned: </w:t>
      </w:r>
      <w:r>
        <w:rPr>
          <w:rFonts w:ascii="Times New Roman" w:hAnsi="Times New Roman"/>
          <w:b/>
          <w:bCs/>
          <w:sz w:val="24"/>
          <w:szCs w:val="24"/>
        </w:rPr>
        <w:t xml:space="preserve">Very helpful majority decision, expanding the “exigent circumstances” doctrine, to allow police to rapidly obtain blood draws without a search warrant. </w:t>
      </w:r>
    </w:p>
    <w:p w14:paraId="7003CA67" w14:textId="77777777" w:rsidR="000D5056" w:rsidRDefault="000D5056" w:rsidP="005A414F">
      <w:pPr>
        <w:ind w:firstLine="720"/>
        <w:rPr>
          <w:rFonts w:ascii="Times New Roman" w:hAnsi="Times New Roman"/>
          <w:sz w:val="24"/>
          <w:szCs w:val="24"/>
        </w:rPr>
      </w:pPr>
    </w:p>
    <w:p w14:paraId="609A942C" w14:textId="502D2C28" w:rsidR="005A414F" w:rsidRDefault="005A414F" w:rsidP="005A414F">
      <w:pPr>
        <w:ind w:firstLine="720"/>
        <w:rPr>
          <w:rFonts w:ascii="Times New Roman" w:hAnsi="Times New Roman"/>
          <w:sz w:val="24"/>
          <w:szCs w:val="24"/>
        </w:rPr>
      </w:pPr>
      <w:r>
        <w:rPr>
          <w:rFonts w:ascii="Times New Roman" w:hAnsi="Times New Roman"/>
          <w:sz w:val="24"/>
          <w:szCs w:val="24"/>
        </w:rPr>
        <w:t xml:space="preserve">Justice Samuel Alito wrote the majority opinion: </w:t>
      </w:r>
    </w:p>
    <w:p w14:paraId="25335525" w14:textId="02D5DFF3" w:rsidR="005A414F" w:rsidRDefault="005A414F" w:rsidP="005A414F">
      <w:pPr>
        <w:ind w:left="1440"/>
        <w:rPr>
          <w:rFonts w:ascii="Times New Roman" w:hAnsi="Times New Roman"/>
          <w:sz w:val="24"/>
          <w:szCs w:val="24"/>
        </w:rPr>
      </w:pPr>
      <w:r>
        <w:rPr>
          <w:rFonts w:ascii="Times New Roman" w:hAnsi="Times New Roman"/>
          <w:sz w:val="24"/>
          <w:szCs w:val="24"/>
        </w:rPr>
        <w:t>“</w:t>
      </w:r>
      <w:r w:rsidRPr="00A95E8D">
        <w:rPr>
          <w:rFonts w:ascii="Times New Roman" w:hAnsi="Times New Roman"/>
          <w:sz w:val="24"/>
          <w:szCs w:val="24"/>
        </w:rPr>
        <w:t>Today, we consider what police officers may do in a narrow but important category of cases: those in which the driver is unconscious and therefore cannot be given a breath test. In such cases, we hold, the exigent</w:t>
      </w:r>
      <w:r>
        <w:rPr>
          <w:rFonts w:ascii="Times New Roman" w:hAnsi="Times New Roman"/>
          <w:sz w:val="24"/>
          <w:szCs w:val="24"/>
        </w:rPr>
        <w:t>-</w:t>
      </w:r>
      <w:r w:rsidRPr="00A95E8D">
        <w:rPr>
          <w:rFonts w:ascii="Times New Roman" w:hAnsi="Times New Roman"/>
          <w:sz w:val="24"/>
          <w:szCs w:val="24"/>
        </w:rPr>
        <w:t>circumstances rule almost always permits a blood test without a warrant. When a breath test is impossible, enforcement of the drunk-driving laws depends upon the administration of a blood test. And when a police officer</w:t>
      </w:r>
      <w:r>
        <w:rPr>
          <w:rFonts w:ascii="Times New Roman" w:hAnsi="Times New Roman"/>
          <w:sz w:val="24"/>
          <w:szCs w:val="24"/>
        </w:rPr>
        <w:t xml:space="preserve"> </w:t>
      </w:r>
      <w:r w:rsidRPr="00A95E8D">
        <w:rPr>
          <w:rFonts w:ascii="Times New Roman" w:hAnsi="Times New Roman"/>
          <w:sz w:val="24"/>
          <w:szCs w:val="24"/>
        </w:rPr>
        <w:t>encounters an unconscious driver, it is very likely that the driver would be taken to an emergency room and that his blood would be drawn for diagnostic purposes even if the police were not seeking BAC information. In addition, police officers most frequently come upon unconscious drivers when they report to the scene of an accident, and under those circumstances, the officers’ many responsibilities—such as attending to other injured drivers or passengers</w:t>
      </w:r>
      <w:r>
        <w:rPr>
          <w:rFonts w:ascii="Times New Roman" w:hAnsi="Times New Roman"/>
          <w:sz w:val="24"/>
          <w:szCs w:val="24"/>
        </w:rPr>
        <w:t xml:space="preserve"> </w:t>
      </w:r>
      <w:r w:rsidRPr="00A95E8D">
        <w:rPr>
          <w:rFonts w:ascii="Times New Roman" w:hAnsi="Times New Roman"/>
          <w:sz w:val="24"/>
          <w:szCs w:val="24"/>
        </w:rPr>
        <w:t>and preventing further accidents—may be incompatible with the procedures that would be required to obtain a warrant. Thus, when a driver is unconscious, the general rule is that a warrant is not needed.</w:t>
      </w:r>
      <w:r>
        <w:rPr>
          <w:rFonts w:ascii="Times New Roman" w:hAnsi="Times New Roman"/>
          <w:sz w:val="24"/>
          <w:szCs w:val="24"/>
        </w:rPr>
        <w:t>”</w:t>
      </w:r>
    </w:p>
    <w:p w14:paraId="28A37239" w14:textId="77777777" w:rsidR="00715CF2" w:rsidRDefault="00715CF2" w:rsidP="00791CA3">
      <w:pPr>
        <w:rPr>
          <w:rFonts w:ascii="Arial Black" w:hAnsi="Arial Black"/>
          <w:b/>
          <w:sz w:val="24"/>
          <w:szCs w:val="24"/>
        </w:rPr>
      </w:pPr>
    </w:p>
    <w:p w14:paraId="1763116F" w14:textId="5BD9E373" w:rsidR="00B22CD4" w:rsidRDefault="00791CA3" w:rsidP="00791CA3">
      <w:pPr>
        <w:rPr>
          <w:rFonts w:ascii="Times New Roman" w:hAnsi="Times New Roman"/>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8</w:t>
      </w:r>
    </w:p>
    <w:p w14:paraId="24111B64" w14:textId="39359B2E" w:rsidR="00B22CD4" w:rsidRPr="00B60691" w:rsidRDefault="00B22CD4" w:rsidP="00B22CD4">
      <w:pPr>
        <w:pStyle w:val="NoSpacing"/>
        <w:rPr>
          <w:rFonts w:ascii="Arial Black" w:hAnsi="Arial Black"/>
          <w:sz w:val="28"/>
          <w:szCs w:val="28"/>
        </w:rPr>
      </w:pPr>
      <w:bookmarkStart w:id="60" w:name="_Hlk10126418"/>
      <w:r>
        <w:rPr>
          <w:rFonts w:ascii="Arial Black" w:hAnsi="Arial Black"/>
          <w:sz w:val="28"/>
          <w:szCs w:val="28"/>
        </w:rPr>
        <w:t>IL: SUICIDE - U.S. SUP. CT. NOT TAKE APPEAL – SUICIDE BY ATTORNEY ON ANTI-DEPRESSANTS - FDA DID NOT APPROVE LABEL</w:t>
      </w:r>
    </w:p>
    <w:p w14:paraId="3F548AF1" w14:textId="77777777" w:rsidR="00B22CD4" w:rsidRPr="002F51DD" w:rsidRDefault="00B22CD4" w:rsidP="00B22CD4">
      <w:pPr>
        <w:pStyle w:val="Heading1"/>
        <w:rPr>
          <w:b w:val="0"/>
          <w:sz w:val="24"/>
          <w:szCs w:val="24"/>
        </w:rPr>
      </w:pPr>
      <w:r w:rsidRPr="002F51DD">
        <w:rPr>
          <w:b w:val="0"/>
          <w:sz w:val="24"/>
          <w:szCs w:val="24"/>
        </w:rPr>
        <w:t xml:space="preserve">On May 28, 2019, in </w:t>
      </w:r>
      <w:r w:rsidRPr="002F51DD">
        <w:rPr>
          <w:b w:val="0"/>
          <w:sz w:val="24"/>
          <w:szCs w:val="24"/>
          <w:u w:val="single"/>
        </w:rPr>
        <w:t>Wendy B. Dolin v. GlaxoSmith</w:t>
      </w:r>
      <w:r>
        <w:rPr>
          <w:b w:val="0"/>
          <w:sz w:val="24"/>
          <w:szCs w:val="24"/>
          <w:u w:val="single"/>
        </w:rPr>
        <w:t>K</w:t>
      </w:r>
      <w:r w:rsidRPr="002F51DD">
        <w:rPr>
          <w:b w:val="0"/>
          <w:sz w:val="24"/>
          <w:szCs w:val="24"/>
          <w:u w:val="single"/>
        </w:rPr>
        <w:t>line</w:t>
      </w:r>
      <w:r>
        <w:rPr>
          <w:b w:val="0"/>
          <w:sz w:val="24"/>
          <w:szCs w:val="24"/>
          <w:u w:val="single"/>
        </w:rPr>
        <w:t>, LLC</w:t>
      </w:r>
      <w:r w:rsidRPr="002F51DD">
        <w:rPr>
          <w:b w:val="0"/>
          <w:sz w:val="24"/>
          <w:szCs w:val="24"/>
        </w:rPr>
        <w:t xml:space="preserve">, the U.S. Supreme Court declined to hear the appeal of widow of </w:t>
      </w:r>
      <w:proofErr w:type="gramStart"/>
      <w:r w:rsidRPr="002F51DD">
        <w:rPr>
          <w:b w:val="0"/>
          <w:sz w:val="24"/>
          <w:szCs w:val="24"/>
        </w:rPr>
        <w:t>57-year old</w:t>
      </w:r>
      <w:proofErr w:type="gramEnd"/>
      <w:r w:rsidRPr="002F51DD">
        <w:rPr>
          <w:b w:val="0"/>
          <w:sz w:val="24"/>
          <w:szCs w:val="24"/>
        </w:rPr>
        <w:t xml:space="preserve"> attorney who committed suicide after taking Paxil.  Thereby leaving in place the decision of the U.S. Court of Appeals for the 7</w:t>
      </w:r>
      <w:r w:rsidRPr="002F51DD">
        <w:rPr>
          <w:b w:val="0"/>
          <w:sz w:val="24"/>
          <w:szCs w:val="24"/>
          <w:vertAlign w:val="superscript"/>
        </w:rPr>
        <w:t>th</w:t>
      </w:r>
      <w:r w:rsidRPr="002F51DD">
        <w:rPr>
          <w:b w:val="0"/>
          <w:sz w:val="24"/>
          <w:szCs w:val="24"/>
        </w:rPr>
        <w:t xml:space="preserve"> Circuit, which had set aside $3 million jury verdict for widow.  </w:t>
      </w:r>
      <w:hyperlink r:id="rId350" w:history="1">
        <w:r w:rsidRPr="002F51DD">
          <w:rPr>
            <w:rStyle w:val="Hyperlink"/>
            <w:b w:val="0"/>
            <w:sz w:val="24"/>
            <w:szCs w:val="24"/>
          </w:rPr>
          <w:t>https://www.supremecourt.gov/orders/courtorders/052819zor_2dq3.pdf</w:t>
        </w:r>
      </w:hyperlink>
      <w:r w:rsidRPr="002F51DD">
        <w:rPr>
          <w:b w:val="0"/>
          <w:sz w:val="24"/>
          <w:szCs w:val="24"/>
        </w:rPr>
        <w:t xml:space="preserve"> </w:t>
      </w:r>
    </w:p>
    <w:p w14:paraId="2963218F" w14:textId="77777777" w:rsidR="00B22CD4" w:rsidRPr="008E1A98" w:rsidRDefault="00B22CD4" w:rsidP="00B22CD4">
      <w:pPr>
        <w:pStyle w:val="NoSpacing"/>
        <w:rPr>
          <w:rFonts w:ascii="Times New Roman" w:hAnsi="Times New Roman"/>
          <w:sz w:val="24"/>
          <w:szCs w:val="24"/>
        </w:rPr>
      </w:pPr>
      <w:r w:rsidRPr="008E1A98">
        <w:rPr>
          <w:rFonts w:ascii="Times New Roman" w:hAnsi="Times New Roman"/>
          <w:sz w:val="24"/>
          <w:szCs w:val="24"/>
        </w:rPr>
        <w:t>On Aug. 22, 2018, the 7</w:t>
      </w:r>
      <w:r w:rsidRPr="008E1A98">
        <w:rPr>
          <w:rFonts w:ascii="Times New Roman" w:hAnsi="Times New Roman"/>
          <w:sz w:val="24"/>
          <w:szCs w:val="24"/>
          <w:vertAlign w:val="superscript"/>
        </w:rPr>
        <w:t>th</w:t>
      </w:r>
      <w:r w:rsidRPr="008E1A98">
        <w:rPr>
          <w:rFonts w:ascii="Times New Roman" w:hAnsi="Times New Roman"/>
          <w:sz w:val="24"/>
          <w:szCs w:val="24"/>
        </w:rPr>
        <w:t xml:space="preserve"> Circuit held that Food and Drug Administration refused to allow the manufacturer </w:t>
      </w:r>
      <w:r>
        <w:rPr>
          <w:rFonts w:ascii="Times New Roman" w:hAnsi="Times New Roman"/>
          <w:sz w:val="24"/>
          <w:szCs w:val="24"/>
        </w:rPr>
        <w:t xml:space="preserve">to added to Paxil label a warning that the drug may lead to increase in suicide of not only patients under 24, but also in older adults.  The FDA wanted the same, </w:t>
      </w:r>
      <w:r w:rsidRPr="008E1A98">
        <w:rPr>
          <w:rFonts w:ascii="Times New Roman" w:hAnsi="Times New Roman"/>
          <w:sz w:val="24"/>
          <w:szCs w:val="24"/>
        </w:rPr>
        <w:t>uniform warning on all anti-depressant drugs</w:t>
      </w:r>
      <w:r>
        <w:rPr>
          <w:rFonts w:ascii="Times New Roman" w:hAnsi="Times New Roman"/>
          <w:sz w:val="24"/>
          <w:szCs w:val="24"/>
        </w:rPr>
        <w:t xml:space="preserve">.  </w:t>
      </w:r>
      <w:r w:rsidRPr="008E1A98">
        <w:rPr>
          <w:rFonts w:ascii="Times New Roman" w:hAnsi="Times New Roman"/>
          <w:sz w:val="24"/>
          <w:szCs w:val="24"/>
        </w:rPr>
        <w:t xml:space="preserve"> </w:t>
      </w:r>
      <w:hyperlink r:id="rId351" w:history="1">
        <w:r w:rsidRPr="008E1A98">
          <w:rPr>
            <w:rStyle w:val="Hyperlink"/>
            <w:rFonts w:ascii="Times New Roman" w:hAnsi="Times New Roman"/>
            <w:sz w:val="24"/>
            <w:szCs w:val="24"/>
          </w:rPr>
          <w:t>https://law.justia.com/cases/federal/appellate-courts/ca7/17-3030/17-3030-2018-08-22.html</w:t>
        </w:r>
      </w:hyperlink>
      <w:r w:rsidRPr="008E1A98">
        <w:rPr>
          <w:rFonts w:ascii="Times New Roman" w:hAnsi="Times New Roman"/>
          <w:sz w:val="24"/>
          <w:szCs w:val="24"/>
        </w:rPr>
        <w:t xml:space="preserve"> </w:t>
      </w:r>
    </w:p>
    <w:p w14:paraId="5B0B34E7" w14:textId="77777777" w:rsidR="00B22CD4" w:rsidRPr="008E1A98" w:rsidRDefault="00B22CD4" w:rsidP="00B22CD4">
      <w:pPr>
        <w:pStyle w:val="NoSpacing"/>
        <w:rPr>
          <w:rFonts w:ascii="Times New Roman" w:hAnsi="Times New Roman"/>
          <w:sz w:val="24"/>
          <w:szCs w:val="24"/>
        </w:rPr>
      </w:pPr>
    </w:p>
    <w:p w14:paraId="57F96678" w14:textId="77777777" w:rsidR="00B22CD4" w:rsidRPr="008E1A98" w:rsidRDefault="00B22CD4" w:rsidP="00B22CD4">
      <w:pPr>
        <w:pStyle w:val="NoSpacing"/>
        <w:ind w:left="720"/>
        <w:rPr>
          <w:rFonts w:ascii="Times New Roman" w:hAnsi="Times New Roman"/>
          <w:sz w:val="24"/>
          <w:szCs w:val="24"/>
        </w:rPr>
      </w:pPr>
      <w:r w:rsidRPr="008E1A98">
        <w:rPr>
          <w:rFonts w:ascii="Times New Roman" w:hAnsi="Times New Roman"/>
          <w:sz w:val="24"/>
          <w:szCs w:val="24"/>
        </w:rPr>
        <w:t xml:space="preserve">“GSK asked the FDA for permission to modify the paroxetine label as plaintiff argues was needed. The FDA said no, repeatedly. Federal law thus preempted plaintiff’s Illinois‐law claim that GSK should have warned of a risk of adult suicidality on the paroxetine label in 2010. GSK added a similar warning in 2006, and the FDA ordered that GSK remove that label and replace it with a class‐wide SSRI warning in 2007.” </w:t>
      </w:r>
    </w:p>
    <w:bookmarkEnd w:id="60"/>
    <w:p w14:paraId="035FC5ED" w14:textId="77777777" w:rsidR="00B22CD4" w:rsidRDefault="00B22CD4" w:rsidP="00F326E5">
      <w:pPr>
        <w:pStyle w:val="NoSpacing"/>
        <w:rPr>
          <w:rFonts w:ascii="Times New Roman" w:hAnsi="Times New Roman"/>
          <w:sz w:val="24"/>
          <w:szCs w:val="24"/>
        </w:rPr>
      </w:pPr>
    </w:p>
    <w:p w14:paraId="5EE36E18" w14:textId="77777777" w:rsidR="00B22CD4" w:rsidRDefault="00B22CD4" w:rsidP="00B22CD4">
      <w:pPr>
        <w:pStyle w:val="NoSpacing"/>
        <w:rPr>
          <w:rFonts w:ascii="Times New Roman" w:hAnsi="Times New Roman"/>
          <w:b/>
          <w:sz w:val="24"/>
          <w:szCs w:val="24"/>
        </w:rPr>
      </w:pPr>
      <w:bookmarkStart w:id="61" w:name="_Hlk10126496"/>
      <w:r w:rsidRPr="00F26738">
        <w:rPr>
          <w:rFonts w:ascii="Times New Roman" w:hAnsi="Times New Roman"/>
          <w:b/>
          <w:sz w:val="24"/>
          <w:szCs w:val="24"/>
        </w:rPr>
        <w:t>Legal Lessons Learned:</w:t>
      </w:r>
      <w:r>
        <w:rPr>
          <w:rFonts w:ascii="Times New Roman" w:hAnsi="Times New Roman"/>
          <w:b/>
          <w:sz w:val="24"/>
          <w:szCs w:val="24"/>
        </w:rPr>
        <w:t xml:space="preserve">  FDs should have a drug-free workplace policy that requires disclosure of anti-depressant medication that could affect performance of their duties. </w:t>
      </w:r>
    </w:p>
    <w:p w14:paraId="560388DA" w14:textId="77777777" w:rsidR="00B22CD4" w:rsidRDefault="00B22CD4" w:rsidP="00B22CD4">
      <w:pPr>
        <w:pStyle w:val="NoSpacing"/>
        <w:rPr>
          <w:rFonts w:ascii="Times New Roman" w:hAnsi="Times New Roman"/>
          <w:b/>
          <w:sz w:val="24"/>
          <w:szCs w:val="24"/>
        </w:rPr>
      </w:pPr>
    </w:p>
    <w:p w14:paraId="60A5EFE1" w14:textId="77777777" w:rsidR="00B22CD4" w:rsidRPr="0082157F" w:rsidRDefault="00B22CD4" w:rsidP="00B22CD4">
      <w:pPr>
        <w:pStyle w:val="NoSpacing"/>
        <w:ind w:firstLine="720"/>
        <w:rPr>
          <w:rFonts w:ascii="Times New Roman" w:hAnsi="Times New Roman"/>
          <w:sz w:val="24"/>
          <w:szCs w:val="24"/>
        </w:rPr>
      </w:pPr>
      <w:r w:rsidRPr="0082157F">
        <w:rPr>
          <w:rFonts w:ascii="Times New Roman" w:hAnsi="Times New Roman"/>
          <w:sz w:val="24"/>
          <w:szCs w:val="24"/>
        </w:rPr>
        <w:t>See IAFC Position: Drug and Alcohol-Free Awareness, including:</w:t>
      </w:r>
    </w:p>
    <w:p w14:paraId="58F07F07" w14:textId="77777777" w:rsidR="00B22CD4" w:rsidRPr="0082157F" w:rsidRDefault="00B22CD4" w:rsidP="00B22CD4">
      <w:pPr>
        <w:pStyle w:val="NoSpacing"/>
        <w:rPr>
          <w:rFonts w:ascii="Times New Roman" w:hAnsi="Times New Roman"/>
          <w:b/>
          <w:sz w:val="24"/>
          <w:szCs w:val="24"/>
        </w:rPr>
      </w:pPr>
    </w:p>
    <w:p w14:paraId="1D4605CA" w14:textId="77777777" w:rsidR="00B22CD4" w:rsidRDefault="00B22CD4" w:rsidP="00B22CD4">
      <w:pPr>
        <w:pStyle w:val="NoSpacing"/>
        <w:ind w:left="720"/>
        <w:rPr>
          <w:rFonts w:ascii="Times New Roman" w:hAnsi="Times New Roman"/>
          <w:sz w:val="24"/>
          <w:szCs w:val="24"/>
        </w:rPr>
      </w:pPr>
      <w:r>
        <w:rPr>
          <w:rFonts w:ascii="Times New Roman" w:hAnsi="Times New Roman"/>
          <w:sz w:val="24"/>
          <w:szCs w:val="24"/>
        </w:rPr>
        <w:t>“</w:t>
      </w:r>
      <w:r w:rsidRPr="0082157F">
        <w:rPr>
          <w:rFonts w:ascii="Times New Roman" w:hAnsi="Times New Roman"/>
          <w:sz w:val="24"/>
          <w:szCs w:val="24"/>
        </w:rPr>
        <w:t xml:space="preserve">Any personnel using </w:t>
      </w:r>
      <w:proofErr w:type="gramStart"/>
      <w:r w:rsidRPr="0082157F">
        <w:rPr>
          <w:rFonts w:ascii="Times New Roman" w:hAnsi="Times New Roman"/>
          <w:sz w:val="24"/>
          <w:szCs w:val="24"/>
        </w:rPr>
        <w:t>over-the-counter</w:t>
      </w:r>
      <w:proofErr w:type="gramEnd"/>
      <w:r w:rsidRPr="0082157F">
        <w:rPr>
          <w:rFonts w:ascii="Times New Roman" w:hAnsi="Times New Roman"/>
          <w:sz w:val="24"/>
          <w:szCs w:val="24"/>
        </w:rPr>
        <w:t xml:space="preserve"> or prescription medications where potential side effects that may reasonably affect the performance of their duties have been identified by a healthcare provider or manufacturer’s packaging should report their use to their supervisor when they are functioning in a capacity responsible for emergency and non-emergency operations. Upon notification, supervisors should, in the case of prescription medications, direct personnel to obtain appropriate documentation from the prescribing healthcare provider attesting to the medication’s safety while performing the essential duties of the fire service position. In the case of over-the-counter medications, supervisors should contact the fire department physician or other health care provider to consult on the potential side effects. Personnel should refrain from engaging in such activities until the appropriate release is </w:t>
      </w:r>
      <w:proofErr w:type="gramStart"/>
      <w:r w:rsidRPr="0082157F">
        <w:rPr>
          <w:rFonts w:ascii="Times New Roman" w:hAnsi="Times New Roman"/>
          <w:sz w:val="24"/>
          <w:szCs w:val="24"/>
        </w:rPr>
        <w:t>obtained.</w:t>
      </w:r>
      <w:r>
        <w:rPr>
          <w:rFonts w:ascii="Times New Roman" w:hAnsi="Times New Roman"/>
          <w:sz w:val="24"/>
          <w:szCs w:val="24"/>
        </w:rPr>
        <w:t>”</w:t>
      </w:r>
      <w:proofErr w:type="gramEnd"/>
    </w:p>
    <w:p w14:paraId="2258CC7C" w14:textId="77777777" w:rsidR="00B22CD4" w:rsidRPr="0082157F" w:rsidRDefault="00B22CD4" w:rsidP="00B22CD4">
      <w:pPr>
        <w:pStyle w:val="NoSpacing"/>
        <w:ind w:left="720"/>
        <w:rPr>
          <w:rFonts w:ascii="Times New Roman" w:hAnsi="Times New Roman"/>
          <w:b/>
          <w:sz w:val="24"/>
          <w:szCs w:val="24"/>
        </w:rPr>
      </w:pPr>
      <w:hyperlink r:id="rId352" w:history="1">
        <w:r w:rsidRPr="0082157F">
          <w:rPr>
            <w:rStyle w:val="Hyperlink"/>
            <w:rFonts w:ascii="Times New Roman" w:hAnsi="Times New Roman"/>
            <w:sz w:val="24"/>
            <w:szCs w:val="24"/>
          </w:rPr>
          <w:t>https://www.iafc.org/topics-and-tools/resources/resource/iafc-position-drug-and-alcohol-free-awareness</w:t>
        </w:r>
      </w:hyperlink>
      <w:r w:rsidRPr="0082157F">
        <w:rPr>
          <w:rFonts w:ascii="Times New Roman" w:hAnsi="Times New Roman"/>
          <w:sz w:val="24"/>
          <w:szCs w:val="24"/>
        </w:rPr>
        <w:t xml:space="preserve"> </w:t>
      </w:r>
      <w:bookmarkEnd w:id="61"/>
    </w:p>
    <w:p w14:paraId="76DB7EF2" w14:textId="77777777" w:rsidR="00B22CD4" w:rsidRDefault="00B22CD4" w:rsidP="00F326E5">
      <w:pPr>
        <w:pStyle w:val="NoSpacing"/>
        <w:rPr>
          <w:rFonts w:ascii="Times New Roman" w:hAnsi="Times New Roman"/>
          <w:sz w:val="24"/>
          <w:szCs w:val="24"/>
        </w:rPr>
      </w:pPr>
    </w:p>
    <w:p w14:paraId="2B489FC9" w14:textId="1C85579B" w:rsidR="00B22CD4" w:rsidRDefault="00B22CD4" w:rsidP="00F326E5">
      <w:pPr>
        <w:pStyle w:val="NoSpacing"/>
        <w:rPr>
          <w:rFonts w:ascii="Times New Roman" w:hAnsi="Times New Roman"/>
          <w:sz w:val="24"/>
          <w:szCs w:val="24"/>
        </w:rPr>
      </w:pPr>
    </w:p>
    <w:p w14:paraId="49F22C3D" w14:textId="6A980B75" w:rsidR="00F4486C" w:rsidRDefault="00F4486C" w:rsidP="00F326E5">
      <w:pPr>
        <w:pStyle w:val="NoSpacing"/>
        <w:rPr>
          <w:rFonts w:ascii="Times New Roman" w:hAnsi="Times New Roman"/>
          <w:sz w:val="24"/>
          <w:szCs w:val="24"/>
        </w:rPr>
      </w:pPr>
    </w:p>
    <w:p w14:paraId="65FC6589" w14:textId="77777777" w:rsidR="00F4486C" w:rsidRDefault="00F4486C" w:rsidP="00F326E5">
      <w:pPr>
        <w:pStyle w:val="NoSpacing"/>
        <w:rPr>
          <w:rFonts w:ascii="Times New Roman" w:hAnsi="Times New Roman"/>
          <w:sz w:val="24"/>
          <w:szCs w:val="24"/>
        </w:rPr>
      </w:pPr>
    </w:p>
    <w:p w14:paraId="2575213C" w14:textId="58EC5B0D"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7</w:t>
      </w:r>
    </w:p>
    <w:p w14:paraId="071AA3F8" w14:textId="77777777" w:rsidR="00B22CD4" w:rsidRDefault="00B22CD4" w:rsidP="00F326E5">
      <w:pPr>
        <w:pStyle w:val="NoSpacing"/>
        <w:rPr>
          <w:rFonts w:ascii="Times New Roman" w:hAnsi="Times New Roman"/>
          <w:sz w:val="24"/>
          <w:szCs w:val="24"/>
        </w:rPr>
      </w:pPr>
    </w:p>
    <w:p w14:paraId="413B3DE8" w14:textId="588EF400" w:rsidR="00F326E5" w:rsidRDefault="00F326E5" w:rsidP="00F326E5">
      <w:pPr>
        <w:pStyle w:val="NoSpacing"/>
        <w:rPr>
          <w:rFonts w:ascii="Arial Black" w:hAnsi="Arial Black"/>
          <w:sz w:val="28"/>
          <w:szCs w:val="28"/>
        </w:rPr>
      </w:pPr>
      <w:r w:rsidRPr="00CE4550">
        <w:rPr>
          <w:rFonts w:ascii="Arial Black" w:hAnsi="Arial Black"/>
          <w:sz w:val="28"/>
          <w:szCs w:val="28"/>
        </w:rPr>
        <w:t xml:space="preserve">IL: </w:t>
      </w:r>
      <w:r>
        <w:rPr>
          <w:rFonts w:ascii="Arial Black" w:hAnsi="Arial Black"/>
          <w:sz w:val="28"/>
          <w:szCs w:val="28"/>
        </w:rPr>
        <w:t>BILLING FOR FD SERVICES – ORDINANCE LAWFUL TO BILL NON-RESIDENTS</w:t>
      </w:r>
    </w:p>
    <w:p w14:paraId="0B0A7BEE" w14:textId="77777777" w:rsidR="006C7F17"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March 28, 2019, in </w:t>
      </w:r>
      <w:r w:rsidRPr="00015208">
        <w:rPr>
          <w:rFonts w:ascii="Times New Roman" w:hAnsi="Times New Roman"/>
          <w:sz w:val="24"/>
          <w:szCs w:val="24"/>
          <w:u w:val="single"/>
        </w:rPr>
        <w:t>The City of Effingham, Illinois v. Diss Truck &amp; Repair, LLC</w:t>
      </w:r>
      <w:r w:rsidRPr="00015208">
        <w:rPr>
          <w:rFonts w:ascii="Times New Roman" w:hAnsi="Times New Roman"/>
          <w:sz w:val="24"/>
          <w:szCs w:val="24"/>
        </w:rPr>
        <w:t xml:space="preserve">, the Appellate Court of Illinois - Fifth District, held (3 to 0), that the Fire Department may bill for these services for a non-resident. </w:t>
      </w:r>
    </w:p>
    <w:p w14:paraId="54BA1A75" w14:textId="77777777" w:rsidR="006C7F17" w:rsidRDefault="006C7F17" w:rsidP="00F326E5">
      <w:pPr>
        <w:pStyle w:val="NoSpacing"/>
        <w:rPr>
          <w:rFonts w:ascii="Times New Roman" w:hAnsi="Times New Roman"/>
          <w:sz w:val="24"/>
          <w:szCs w:val="24"/>
        </w:rPr>
      </w:pPr>
    </w:p>
    <w:p w14:paraId="18C2C433" w14:textId="2C41006D" w:rsidR="00F326E5" w:rsidRPr="00015208" w:rsidRDefault="00F326E5" w:rsidP="006C7F17">
      <w:pPr>
        <w:pStyle w:val="NoSpacing"/>
        <w:ind w:left="720"/>
        <w:rPr>
          <w:rFonts w:ascii="Times New Roman" w:hAnsi="Times New Roman"/>
          <w:b/>
          <w:sz w:val="24"/>
          <w:szCs w:val="24"/>
        </w:rPr>
      </w:pPr>
      <w:r w:rsidRPr="00015208">
        <w:rPr>
          <w:rFonts w:ascii="Times New Roman" w:hAnsi="Times New Roman"/>
          <w:sz w:val="24"/>
          <w:szCs w:val="24"/>
        </w:rPr>
        <w:t xml:space="preserve">“After reviewing the legislative history, both before and after the enactment of the statute, we conclude that the legislature’s intent in allowing a municipality to seek reimbursement for firefighting services provided to nonresidents was to eliminate the taxpayer’s burden for such services; the intent was to allocate the cost of the services to nonresidents so that the citizens of the municipality were not forced to bear the cost of services performed on behalf of those not paying taxes to the municipality.” </w:t>
      </w:r>
      <w:hyperlink r:id="rId353" w:history="1">
        <w:r w:rsidRPr="00015208">
          <w:rPr>
            <w:rStyle w:val="Hyperlink"/>
            <w:rFonts w:ascii="Times New Roman" w:hAnsi="Times New Roman"/>
            <w:sz w:val="24"/>
            <w:szCs w:val="24"/>
          </w:rPr>
          <w:t>https://cases.justia.com/illinois/court-of-appeals-fifth-appellate-district/2019-5-18-0064.pdf?ts=1553818548</w:t>
        </w:r>
      </w:hyperlink>
      <w:r w:rsidRPr="00015208">
        <w:rPr>
          <w:rFonts w:ascii="Times New Roman" w:hAnsi="Times New Roman"/>
          <w:b/>
          <w:sz w:val="24"/>
          <w:szCs w:val="24"/>
        </w:rPr>
        <w:t xml:space="preserve"> </w:t>
      </w:r>
    </w:p>
    <w:p w14:paraId="4895AA6D" w14:textId="77777777" w:rsidR="006C7F17" w:rsidRDefault="006C7F17" w:rsidP="00F326E5">
      <w:pPr>
        <w:pStyle w:val="NoSpacing"/>
        <w:rPr>
          <w:rFonts w:ascii="Times New Roman" w:hAnsi="Times New Roman"/>
          <w:b/>
          <w:sz w:val="24"/>
          <w:szCs w:val="24"/>
        </w:rPr>
      </w:pPr>
      <w:bookmarkStart w:id="62" w:name="_Hlk6656862"/>
    </w:p>
    <w:p w14:paraId="02EDA6FB" w14:textId="0295D193"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Soft billing of residents deemed lawful. </w:t>
      </w:r>
    </w:p>
    <w:bookmarkEnd w:id="62"/>
    <w:p w14:paraId="37411F91" w14:textId="77777777" w:rsidR="00D07E6E" w:rsidRPr="00015208" w:rsidRDefault="00D07E6E" w:rsidP="00F326E5">
      <w:pPr>
        <w:pStyle w:val="NoSpacing"/>
        <w:rPr>
          <w:rFonts w:ascii="Times New Roman" w:hAnsi="Times New Roman"/>
          <w:bCs/>
          <w:sz w:val="24"/>
          <w:szCs w:val="24"/>
        </w:rPr>
      </w:pPr>
    </w:p>
    <w:p w14:paraId="4650D12A" w14:textId="3D7B7B5F" w:rsidR="00791CA3" w:rsidRDefault="00791CA3" w:rsidP="00791CA3">
      <w:pPr>
        <w:rPr>
          <w:rFonts w:ascii="Arial Black" w:hAnsi="Arial Black"/>
          <w:b/>
          <w:sz w:val="24"/>
          <w:szCs w:val="24"/>
        </w:rPr>
      </w:pPr>
    </w:p>
    <w:p w14:paraId="4538AD60" w14:textId="77777777" w:rsidR="006C7F17" w:rsidRDefault="006C7F17" w:rsidP="00791CA3">
      <w:pPr>
        <w:rPr>
          <w:rFonts w:ascii="Arial Black" w:hAnsi="Arial Black"/>
          <w:b/>
          <w:sz w:val="24"/>
          <w:szCs w:val="24"/>
        </w:rPr>
      </w:pPr>
    </w:p>
    <w:p w14:paraId="1333F74C" w14:textId="151B39C1"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6</w:t>
      </w:r>
    </w:p>
    <w:p w14:paraId="69863D94" w14:textId="7F3377FE" w:rsidR="00B22CD4" w:rsidRDefault="00B22CD4" w:rsidP="00B22CD4">
      <w:pPr>
        <w:pStyle w:val="NoSpacing"/>
        <w:rPr>
          <w:rFonts w:ascii="Arial Black" w:hAnsi="Arial Black"/>
          <w:sz w:val="28"/>
          <w:szCs w:val="28"/>
        </w:rPr>
      </w:pPr>
      <w:proofErr w:type="spellStart"/>
      <w:r>
        <w:rPr>
          <w:rFonts w:ascii="Arial Black" w:hAnsi="Arial Black"/>
          <w:sz w:val="28"/>
          <w:szCs w:val="28"/>
        </w:rPr>
        <w:t>lA</w:t>
      </w:r>
      <w:proofErr w:type="spellEnd"/>
      <w:r>
        <w:rPr>
          <w:rFonts w:ascii="Arial Black" w:hAnsi="Arial Black"/>
          <w:sz w:val="28"/>
          <w:szCs w:val="28"/>
        </w:rPr>
        <w:t xml:space="preserve">:  STATE SUP. CT. UPHOLDS STATUTE - NO PAYROLL DEDUCT. OF UNION DUES – LIMITED COLLECTIVE BARG. LESS 30% PUB SAFETY </w:t>
      </w:r>
    </w:p>
    <w:p w14:paraId="24BDA04F" w14:textId="77777777" w:rsidR="00B22CD4" w:rsidRPr="00AD3B98" w:rsidRDefault="00B22CD4" w:rsidP="00B22CD4">
      <w:pPr>
        <w:pStyle w:val="NoSpacing"/>
        <w:rPr>
          <w:rFonts w:ascii="Times New Roman" w:hAnsi="Times New Roman"/>
          <w:sz w:val="24"/>
          <w:szCs w:val="24"/>
        </w:rPr>
      </w:pPr>
      <w:r w:rsidRPr="00AD3B98">
        <w:rPr>
          <w:rFonts w:ascii="Times New Roman" w:hAnsi="Times New Roman"/>
          <w:sz w:val="24"/>
          <w:szCs w:val="24"/>
        </w:rPr>
        <w:t xml:space="preserve">On May 17, 2019, in </w:t>
      </w:r>
      <w:r w:rsidRPr="00AD3B98">
        <w:rPr>
          <w:rFonts w:ascii="Times New Roman" w:hAnsi="Times New Roman"/>
          <w:sz w:val="24"/>
          <w:szCs w:val="24"/>
          <w:u w:val="single"/>
        </w:rPr>
        <w:t xml:space="preserve">AFSCME Iowa Council 61, et al. v. State of Iowa and Iowa </w:t>
      </w:r>
      <w:proofErr w:type="gramStart"/>
      <w:r w:rsidRPr="00AD3B98">
        <w:rPr>
          <w:rFonts w:ascii="Times New Roman" w:hAnsi="Times New Roman"/>
          <w:sz w:val="24"/>
          <w:szCs w:val="24"/>
          <w:u w:val="single"/>
        </w:rPr>
        <w:t>Public Employment</w:t>
      </w:r>
      <w:proofErr w:type="gramEnd"/>
      <w:r w:rsidRPr="00AD3B98">
        <w:rPr>
          <w:rFonts w:ascii="Times New Roman" w:hAnsi="Times New Roman"/>
          <w:sz w:val="24"/>
          <w:szCs w:val="24"/>
          <w:u w:val="single"/>
        </w:rPr>
        <w:t xml:space="preserve"> Relations Board</w:t>
      </w:r>
      <w:r w:rsidRPr="00AD3B98">
        <w:rPr>
          <w:rFonts w:ascii="Times New Roman" w:hAnsi="Times New Roman"/>
          <w:sz w:val="24"/>
          <w:szCs w:val="24"/>
        </w:rPr>
        <w:t>, the Iowa Supreme Court held (4 to 3)</w:t>
      </w:r>
      <w:r>
        <w:rPr>
          <w:rFonts w:ascii="Times New Roman" w:hAnsi="Times New Roman"/>
          <w:sz w:val="24"/>
          <w:szCs w:val="24"/>
        </w:rPr>
        <w:t xml:space="preserve"> </w:t>
      </w:r>
      <w:r w:rsidRPr="00AD3B98">
        <w:rPr>
          <w:rFonts w:ascii="Times New Roman" w:hAnsi="Times New Roman"/>
          <w:sz w:val="24"/>
          <w:szCs w:val="24"/>
        </w:rPr>
        <w:t>that the 2017 statute was constitutional.</w:t>
      </w:r>
    </w:p>
    <w:p w14:paraId="19BBAA2D" w14:textId="77777777" w:rsidR="00B22CD4" w:rsidRPr="00AD3B98" w:rsidRDefault="00B22CD4" w:rsidP="00B22CD4">
      <w:pPr>
        <w:pStyle w:val="NoSpacing"/>
        <w:rPr>
          <w:rFonts w:ascii="Times New Roman" w:hAnsi="Times New Roman"/>
        </w:rPr>
      </w:pPr>
    </w:p>
    <w:p w14:paraId="4F7C5205" w14:textId="77777777" w:rsidR="00B22CD4" w:rsidRPr="006C2CBF" w:rsidRDefault="00B22CD4" w:rsidP="00B22CD4">
      <w:pPr>
        <w:pStyle w:val="NoSpacing"/>
        <w:ind w:left="720"/>
        <w:rPr>
          <w:rFonts w:ascii="Times New Roman" w:hAnsi="Times New Roman"/>
          <w:b/>
          <w:sz w:val="24"/>
          <w:szCs w:val="24"/>
        </w:rPr>
      </w:pPr>
      <w:r w:rsidRPr="006C2CBF">
        <w:rPr>
          <w:rFonts w:ascii="Times New Roman" w:hAnsi="Times New Roman"/>
          <w:sz w:val="24"/>
          <w:szCs w:val="24"/>
        </w:rPr>
        <w:t>“Our role is to decide whether constitutional lines were crossed, not to sit as a super</w:t>
      </w:r>
      <w:r>
        <w:rPr>
          <w:rFonts w:ascii="Times New Roman" w:hAnsi="Times New Roman"/>
          <w:sz w:val="24"/>
          <w:szCs w:val="24"/>
        </w:rPr>
        <w:t xml:space="preserve"> </w:t>
      </w:r>
      <w:r w:rsidRPr="006C2CBF">
        <w:rPr>
          <w:rFonts w:ascii="Times New Roman" w:hAnsi="Times New Roman"/>
          <w:sz w:val="24"/>
          <w:szCs w:val="24"/>
        </w:rPr>
        <w:t>legislature rethinking policy choices of the elected branches. We conclude the 2017 amendments withstand the constitutional challenges. The plaintiffs concede there is no constitutional right to public-sector collective bargaining or payroll deductions. The parties agree the equal protection claims are reviewed under the rational basis test. The legislature could reasonably conclude that the goal of keeping labor peace with unions comprised of at least thirty percent public safety employees, and the greater risks faced by emergency first responders, justified the classification. We hold the legislative classifications are not so overinclusive or underinclusive as to be unconstitutional under our highly deferential standard of review. We further hold the amendments do not violate constitutional rights of freedom of association. Public employees remain free to belong to the same unions. Accordingly, we affirm the district court's summary judgment.</w:t>
      </w:r>
      <w:r>
        <w:rPr>
          <w:rFonts w:ascii="Times New Roman" w:hAnsi="Times New Roman"/>
          <w:sz w:val="24"/>
          <w:szCs w:val="24"/>
        </w:rPr>
        <w:t>”</w:t>
      </w:r>
    </w:p>
    <w:p w14:paraId="6F636334" w14:textId="77777777" w:rsidR="00B22CD4" w:rsidRDefault="00B22CD4" w:rsidP="00B22CD4">
      <w:pPr>
        <w:pStyle w:val="NoSpacing"/>
        <w:rPr>
          <w:rFonts w:ascii="Times New Roman" w:hAnsi="Times New Roman"/>
          <w:sz w:val="24"/>
          <w:szCs w:val="24"/>
        </w:rPr>
      </w:pPr>
      <w:r>
        <w:rPr>
          <w:rFonts w:ascii="Times New Roman" w:hAnsi="Times New Roman"/>
          <w:sz w:val="24"/>
          <w:szCs w:val="24"/>
        </w:rPr>
        <w:tab/>
      </w:r>
      <w:hyperlink r:id="rId354" w:history="1">
        <w:r w:rsidRPr="001602A2">
          <w:rPr>
            <w:rStyle w:val="Hyperlink"/>
            <w:rFonts w:ascii="Times New Roman" w:hAnsi="Times New Roman"/>
            <w:sz w:val="24"/>
            <w:szCs w:val="24"/>
          </w:rPr>
          <w:t>https://www.leagle.com/decision/iniaco20190517282</w:t>
        </w:r>
      </w:hyperlink>
      <w:r>
        <w:rPr>
          <w:rFonts w:ascii="Times New Roman" w:hAnsi="Times New Roman"/>
          <w:sz w:val="24"/>
          <w:szCs w:val="24"/>
        </w:rPr>
        <w:t xml:space="preserve"> </w:t>
      </w:r>
    </w:p>
    <w:p w14:paraId="1862C2B6" w14:textId="334E9A67" w:rsidR="00B22CD4" w:rsidRDefault="00B22CD4" w:rsidP="00ED63B1">
      <w:pPr>
        <w:pStyle w:val="NoSpacing"/>
        <w:rPr>
          <w:sz w:val="24"/>
          <w:szCs w:val="24"/>
        </w:rPr>
      </w:pPr>
    </w:p>
    <w:p w14:paraId="114BC2BA" w14:textId="1B89CA5E" w:rsidR="00B22CD4" w:rsidRDefault="00B22CD4" w:rsidP="00B22CD4">
      <w:pPr>
        <w:pStyle w:val="NoSpacing"/>
        <w:rPr>
          <w:rFonts w:ascii="Times New Roman" w:hAnsi="Times New Roman"/>
          <w:b/>
          <w:sz w:val="24"/>
          <w:szCs w:val="24"/>
        </w:rPr>
      </w:pPr>
      <w:bookmarkStart w:id="63" w:name="_Hlk10126588"/>
      <w:r w:rsidRPr="00A14F0A">
        <w:rPr>
          <w:rFonts w:ascii="Times New Roman" w:hAnsi="Times New Roman"/>
          <w:b/>
          <w:sz w:val="24"/>
          <w:szCs w:val="24"/>
        </w:rPr>
        <w:t xml:space="preserve">Legal Lessons Learned: </w:t>
      </w:r>
      <w:r>
        <w:rPr>
          <w:rFonts w:ascii="Times New Roman" w:hAnsi="Times New Roman"/>
          <w:b/>
          <w:sz w:val="24"/>
          <w:szCs w:val="24"/>
        </w:rPr>
        <w:t xml:space="preserve">Collective bargaining for fire &amp; police has been addressed by many state legislatures.  </w:t>
      </w:r>
      <w:r w:rsidRPr="00A265CA">
        <w:rPr>
          <w:rFonts w:ascii="Times New Roman" w:hAnsi="Times New Roman"/>
          <w:b/>
          <w:sz w:val="24"/>
          <w:szCs w:val="24"/>
        </w:rPr>
        <w:t xml:space="preserve">The U.S. Supreme Court’s </w:t>
      </w:r>
      <w:r w:rsidRPr="00A265CA">
        <w:rPr>
          <w:rFonts w:ascii="Times New Roman" w:hAnsi="Times New Roman"/>
          <w:b/>
          <w:sz w:val="24"/>
          <w:szCs w:val="24"/>
          <w:u w:val="single"/>
        </w:rPr>
        <w:t>Janis</w:t>
      </w:r>
      <w:r w:rsidRPr="00A265CA">
        <w:rPr>
          <w:rFonts w:ascii="Times New Roman" w:hAnsi="Times New Roman"/>
          <w:b/>
          <w:sz w:val="24"/>
          <w:szCs w:val="24"/>
        </w:rPr>
        <w:t xml:space="preserve"> decision on June 27, 2018,</w:t>
      </w:r>
      <w:r>
        <w:rPr>
          <w:rFonts w:ascii="Times New Roman" w:hAnsi="Times New Roman"/>
          <w:b/>
          <w:sz w:val="24"/>
          <w:szCs w:val="24"/>
        </w:rPr>
        <w:t xml:space="preserve">  “</w:t>
      </w:r>
      <w:r w:rsidRPr="00A265CA">
        <w:rPr>
          <w:rFonts w:ascii="Times New Roman" w:hAnsi="Times New Roman"/>
          <w:b/>
          <w:sz w:val="24"/>
          <w:szCs w:val="24"/>
        </w:rPr>
        <w:t>States and public-sector unions may no longer extract agency fees from nonconsenting employees</w:t>
      </w:r>
      <w:r>
        <w:rPr>
          <w:rFonts w:ascii="Times New Roman" w:hAnsi="Times New Roman"/>
          <w:b/>
          <w:sz w:val="24"/>
          <w:szCs w:val="24"/>
        </w:rPr>
        <w:t xml:space="preserve">” - </w:t>
      </w:r>
      <w:r w:rsidRPr="00A265CA">
        <w:rPr>
          <w:rFonts w:ascii="Times New Roman" w:hAnsi="Times New Roman"/>
          <w:b/>
          <w:sz w:val="24"/>
          <w:szCs w:val="24"/>
        </w:rPr>
        <w:t>may lead other states to also limit employer deduction of union dues.</w:t>
      </w:r>
      <w:r>
        <w:rPr>
          <w:rFonts w:ascii="Times New Roman" w:hAnsi="Times New Roman"/>
          <w:b/>
          <w:sz w:val="24"/>
          <w:szCs w:val="24"/>
        </w:rPr>
        <w:t xml:space="preserve"> </w:t>
      </w:r>
      <w:bookmarkStart w:id="64" w:name="_Hlk39821565"/>
      <w:r w:rsidR="00F2621E">
        <w:fldChar w:fldCharType="begin"/>
      </w:r>
      <w:r w:rsidR="00F2621E">
        <w:instrText xml:space="preserve"> HYPERLINK "https://www.supremecourt.gov/opinions/17pdf/16-1466_2b3j.pdf" </w:instrText>
      </w:r>
      <w:r w:rsidR="00F2621E">
        <w:fldChar w:fldCharType="separate"/>
      </w:r>
      <w:r w:rsidRPr="001602A2">
        <w:rPr>
          <w:rStyle w:val="Hyperlink"/>
          <w:rFonts w:ascii="Times New Roman" w:hAnsi="Times New Roman"/>
          <w:b/>
          <w:sz w:val="24"/>
          <w:szCs w:val="24"/>
        </w:rPr>
        <w:t>https://www.supremecourt.gov/opinions/17pdf/16-1466_2b3j.pdf</w:t>
      </w:r>
      <w:r w:rsidR="00F2621E">
        <w:rPr>
          <w:rStyle w:val="Hyperlink"/>
          <w:rFonts w:ascii="Times New Roman" w:hAnsi="Times New Roman"/>
          <w:b/>
          <w:sz w:val="24"/>
          <w:szCs w:val="24"/>
        </w:rPr>
        <w:fldChar w:fldCharType="end"/>
      </w:r>
      <w:r>
        <w:rPr>
          <w:rFonts w:ascii="Times New Roman" w:hAnsi="Times New Roman"/>
          <w:b/>
          <w:sz w:val="24"/>
          <w:szCs w:val="24"/>
        </w:rPr>
        <w:t xml:space="preserve"> </w:t>
      </w:r>
      <w:bookmarkEnd w:id="64"/>
    </w:p>
    <w:p w14:paraId="227A24A7" w14:textId="77777777" w:rsidR="00B22CD4" w:rsidRDefault="00B22CD4" w:rsidP="00B22CD4">
      <w:pPr>
        <w:pStyle w:val="NoSpacing"/>
        <w:ind w:firstLine="720"/>
        <w:rPr>
          <w:rFonts w:ascii="Times New Roman" w:hAnsi="Times New Roman"/>
          <w:sz w:val="24"/>
          <w:szCs w:val="24"/>
        </w:rPr>
      </w:pPr>
    </w:p>
    <w:p w14:paraId="42DCCE4B" w14:textId="77777777" w:rsidR="00B22CD4" w:rsidRDefault="00B22CD4" w:rsidP="00B22CD4">
      <w:pPr>
        <w:pStyle w:val="NoSpacing"/>
        <w:ind w:firstLine="720"/>
        <w:rPr>
          <w:rFonts w:ascii="Times New Roman" w:hAnsi="Times New Roman"/>
          <w:sz w:val="24"/>
          <w:szCs w:val="24"/>
        </w:rPr>
      </w:pPr>
      <w:r>
        <w:rPr>
          <w:rFonts w:ascii="Times New Roman" w:hAnsi="Times New Roman"/>
          <w:sz w:val="24"/>
          <w:szCs w:val="24"/>
        </w:rPr>
        <w:t xml:space="preserve">See footnote 4 of the Majority’s decision: </w:t>
      </w:r>
    </w:p>
    <w:p w14:paraId="2BE2F2DB" w14:textId="77777777" w:rsidR="00B22CD4" w:rsidRPr="00A14F0A" w:rsidRDefault="00B22CD4" w:rsidP="00B22CD4">
      <w:pPr>
        <w:spacing w:after="0" w:line="240" w:lineRule="auto"/>
        <w:ind w:left="1440"/>
        <w:rPr>
          <w:rFonts w:ascii="Times New Roman" w:eastAsia="Times New Roman" w:hAnsi="Times New Roman"/>
          <w:sz w:val="24"/>
          <w:szCs w:val="24"/>
        </w:rPr>
      </w:pPr>
      <w:r w:rsidRPr="00A14F0A">
        <w:rPr>
          <w:rFonts w:ascii="Times New Roman" w:eastAsia="Times New Roman" w:hAnsi="Times New Roman"/>
          <w:sz w:val="24"/>
          <w:szCs w:val="24"/>
        </w:rPr>
        <w:t xml:space="preserve">As of 2018, twenty-eight states require collective bargaining. Eric J. Brunner &amp; Andrew Ju, </w:t>
      </w:r>
      <w:r w:rsidRPr="00A14F0A">
        <w:rPr>
          <w:rFonts w:ascii="Times New Roman" w:eastAsia="Times New Roman" w:hAnsi="Times New Roman"/>
          <w:i/>
          <w:iCs/>
          <w:sz w:val="24"/>
          <w:szCs w:val="24"/>
        </w:rPr>
        <w:t>State Collective Bargaining Laws and Public-Sector Pay,</w:t>
      </w:r>
      <w:r w:rsidRPr="00A14F0A">
        <w:rPr>
          <w:rFonts w:ascii="Times New Roman" w:eastAsia="Times New Roman" w:hAnsi="Times New Roman"/>
          <w:sz w:val="24"/>
          <w:szCs w:val="24"/>
        </w:rPr>
        <w:t xml:space="preserve"> 72 ILR Rev. 480, 487 (2019) [hereinafter Brunner &amp; Ju]. Fifteen states allow state employers to decide </w:t>
      </w:r>
      <w:proofErr w:type="gramStart"/>
      <w:r w:rsidRPr="00A14F0A">
        <w:rPr>
          <w:rFonts w:ascii="Times New Roman" w:eastAsia="Times New Roman" w:hAnsi="Times New Roman"/>
          <w:sz w:val="24"/>
          <w:szCs w:val="24"/>
        </w:rPr>
        <w:t>whether or not</w:t>
      </w:r>
      <w:proofErr w:type="gramEnd"/>
      <w:r w:rsidRPr="00A14F0A">
        <w:rPr>
          <w:rFonts w:ascii="Times New Roman" w:eastAsia="Times New Roman" w:hAnsi="Times New Roman"/>
          <w:sz w:val="24"/>
          <w:szCs w:val="24"/>
        </w:rPr>
        <w:t xml:space="preserve"> to collectively bargain. </w:t>
      </w:r>
      <w:r w:rsidRPr="00A14F0A">
        <w:rPr>
          <w:rFonts w:ascii="Times New Roman" w:eastAsia="Times New Roman" w:hAnsi="Times New Roman"/>
          <w:i/>
          <w:iCs/>
          <w:sz w:val="24"/>
          <w:szCs w:val="24"/>
        </w:rPr>
        <w:t>Id.</w:t>
      </w:r>
      <w:r w:rsidRPr="00A14F0A">
        <w:rPr>
          <w:rFonts w:ascii="Times New Roman" w:eastAsia="Times New Roman" w:hAnsi="Times New Roman"/>
          <w:sz w:val="24"/>
          <w:szCs w:val="24"/>
        </w:rPr>
        <w:t xml:space="preserve"> The range of topics public employees </w:t>
      </w:r>
      <w:proofErr w:type="gramStart"/>
      <w:r w:rsidRPr="00A14F0A">
        <w:rPr>
          <w:rFonts w:ascii="Times New Roman" w:eastAsia="Times New Roman" w:hAnsi="Times New Roman"/>
          <w:sz w:val="24"/>
          <w:szCs w:val="24"/>
        </w:rPr>
        <w:t>are able to</w:t>
      </w:r>
      <w:proofErr w:type="gramEnd"/>
      <w:r w:rsidRPr="00A14F0A">
        <w:rPr>
          <w:rFonts w:ascii="Times New Roman" w:eastAsia="Times New Roman" w:hAnsi="Times New Roman"/>
          <w:sz w:val="24"/>
          <w:szCs w:val="24"/>
        </w:rPr>
        <w:t xml:space="preserve"> bargain over varies from state to state, as does the employees' ability to compel arbitration in the event of an impasse. Raskin-Ortiz &amp; Martin at 4-10. Of the states that require or permit collective bargaining, Alabama, Delaware, Idaho, Kentucky, Oklahoma, Rhode Island, and Wyoming have separate bargaining rights for police officers and/or firefighters. </w:t>
      </w:r>
      <w:r w:rsidRPr="00A14F0A">
        <w:rPr>
          <w:rFonts w:ascii="Times New Roman" w:eastAsia="Times New Roman" w:hAnsi="Times New Roman"/>
          <w:i/>
          <w:iCs/>
          <w:sz w:val="24"/>
          <w:szCs w:val="24"/>
        </w:rPr>
        <w:t>Id.</w:t>
      </w:r>
      <w:r w:rsidRPr="00A14F0A">
        <w:rPr>
          <w:rFonts w:ascii="Times New Roman" w:eastAsia="Times New Roman" w:hAnsi="Times New Roman"/>
          <w:sz w:val="24"/>
          <w:szCs w:val="24"/>
        </w:rPr>
        <w:t xml:space="preserve"> Three states—North Carolina, South Carolina, and Virginia—prohibit collective bargaining for any public employees. Brunner &amp; Ju at 487. Arizona and Texas limit collective bargaining to police officers and firefighters, while Georgia limits collective bargaining rights to firefighters alone. </w:t>
      </w:r>
      <w:r w:rsidRPr="00A14F0A">
        <w:rPr>
          <w:rFonts w:ascii="Times New Roman" w:eastAsia="Times New Roman" w:hAnsi="Times New Roman"/>
          <w:i/>
          <w:iCs/>
          <w:sz w:val="24"/>
          <w:szCs w:val="24"/>
        </w:rPr>
        <w:t>Id.</w:t>
      </w:r>
    </w:p>
    <w:p w14:paraId="3C8B8CB5" w14:textId="0184A27D" w:rsidR="00B22CD4" w:rsidRPr="0082157F" w:rsidRDefault="00B22CD4" w:rsidP="00B22CD4">
      <w:pPr>
        <w:pStyle w:val="Heading2"/>
        <w:ind w:left="720"/>
        <w:rPr>
          <w:rFonts w:ascii="Times New Roman" w:hAnsi="Times New Roman"/>
          <w:b w:val="0"/>
          <w:i w:val="0"/>
          <w:sz w:val="24"/>
          <w:szCs w:val="24"/>
        </w:rPr>
      </w:pPr>
      <w:r w:rsidRPr="0082157F">
        <w:rPr>
          <w:rFonts w:ascii="Times New Roman" w:hAnsi="Times New Roman"/>
          <w:b w:val="0"/>
          <w:i w:val="0"/>
          <w:sz w:val="24"/>
          <w:szCs w:val="24"/>
        </w:rPr>
        <w:t xml:space="preserve">See also this </w:t>
      </w:r>
      <w:bookmarkStart w:id="65" w:name="_Hlk39821485"/>
      <w:r w:rsidR="00AF713A">
        <w:rPr>
          <w:rFonts w:ascii="Times New Roman" w:hAnsi="Times New Roman"/>
          <w:b w:val="0"/>
          <w:i w:val="0"/>
          <w:sz w:val="24"/>
          <w:szCs w:val="24"/>
        </w:rPr>
        <w:t xml:space="preserve">May 16, </w:t>
      </w:r>
      <w:proofErr w:type="gramStart"/>
      <w:r w:rsidR="00AF713A">
        <w:rPr>
          <w:rFonts w:ascii="Times New Roman" w:hAnsi="Times New Roman"/>
          <w:b w:val="0"/>
          <w:i w:val="0"/>
          <w:sz w:val="24"/>
          <w:szCs w:val="24"/>
        </w:rPr>
        <w:t>2019</w:t>
      </w:r>
      <w:proofErr w:type="gramEnd"/>
      <w:r w:rsidR="00AF713A">
        <w:rPr>
          <w:rFonts w:ascii="Times New Roman" w:hAnsi="Times New Roman"/>
          <w:b w:val="0"/>
          <w:i w:val="0"/>
          <w:sz w:val="24"/>
          <w:szCs w:val="24"/>
        </w:rPr>
        <w:t xml:space="preserve"> </w:t>
      </w:r>
      <w:r w:rsidRPr="0082157F">
        <w:rPr>
          <w:rFonts w:ascii="Times New Roman" w:hAnsi="Times New Roman"/>
          <w:b w:val="0"/>
          <w:i w:val="0"/>
          <w:sz w:val="24"/>
          <w:szCs w:val="24"/>
        </w:rPr>
        <w:t xml:space="preserve">article: “Union Dues Deductions – Tips for Public Employers” -  </w:t>
      </w:r>
      <w:hyperlink r:id="rId355" w:history="1">
        <w:r w:rsidRPr="005B46AA">
          <w:rPr>
            <w:rStyle w:val="Hyperlink"/>
            <w:rFonts w:ascii="Times New Roman" w:hAnsi="Times New Roman"/>
            <w:b w:val="0"/>
            <w:i w:val="0"/>
            <w:sz w:val="24"/>
            <w:szCs w:val="24"/>
          </w:rPr>
          <w:t>https://fisheldowney.com/union-dues-deductions-tips-public-employers/</w:t>
        </w:r>
      </w:hyperlink>
      <w:r w:rsidRPr="0082157F">
        <w:rPr>
          <w:rFonts w:ascii="Times New Roman" w:hAnsi="Times New Roman"/>
          <w:b w:val="0"/>
          <w:i w:val="0"/>
          <w:sz w:val="24"/>
          <w:szCs w:val="24"/>
        </w:rPr>
        <w:t xml:space="preserve"> </w:t>
      </w:r>
    </w:p>
    <w:bookmarkEnd w:id="63"/>
    <w:bookmarkEnd w:id="65"/>
    <w:p w14:paraId="77AD563B" w14:textId="413C9587" w:rsidR="00F4486C" w:rsidRDefault="00F4486C" w:rsidP="00F4486C">
      <w:pPr>
        <w:pStyle w:val="NoSpacing"/>
        <w:rPr>
          <w:rFonts w:ascii="Times New Roman" w:hAnsi="Times New Roman"/>
          <w:sz w:val="24"/>
          <w:szCs w:val="24"/>
        </w:rPr>
      </w:pPr>
    </w:p>
    <w:p w14:paraId="55B17074" w14:textId="78B94C34" w:rsidR="00791CA3" w:rsidRDefault="00791CA3" w:rsidP="00791CA3">
      <w:pPr>
        <w:rPr>
          <w:rFonts w:ascii="Arial Black" w:hAnsi="Arial Black"/>
          <w:b/>
          <w:sz w:val="24"/>
          <w:szCs w:val="24"/>
        </w:rPr>
      </w:pPr>
    </w:p>
    <w:p w14:paraId="7F6931DF" w14:textId="2D30854D"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5</w:t>
      </w:r>
    </w:p>
    <w:p w14:paraId="01F667B8" w14:textId="748F3CDD" w:rsidR="00B22CD4" w:rsidRPr="00A14F0A" w:rsidRDefault="00B22CD4" w:rsidP="00B22CD4">
      <w:pPr>
        <w:pStyle w:val="NoSpacing"/>
        <w:tabs>
          <w:tab w:val="left" w:pos="2280"/>
        </w:tabs>
        <w:rPr>
          <w:rFonts w:ascii="Arial Black" w:hAnsi="Arial Black"/>
          <w:sz w:val="28"/>
          <w:szCs w:val="28"/>
        </w:rPr>
      </w:pPr>
      <w:bookmarkStart w:id="66" w:name="_Hlk10126640"/>
      <w:r w:rsidRPr="00A14F0A">
        <w:rPr>
          <w:rFonts w:ascii="Arial Black" w:hAnsi="Arial Black"/>
          <w:sz w:val="28"/>
          <w:szCs w:val="28"/>
        </w:rPr>
        <w:t xml:space="preserve">TX: </w:t>
      </w:r>
      <w:r>
        <w:rPr>
          <w:rFonts w:ascii="Arial Black" w:hAnsi="Arial Black"/>
          <w:sz w:val="28"/>
          <w:szCs w:val="28"/>
        </w:rPr>
        <w:t>APARTMENT FIRE - DRUG PARAPHERNALIA IN “PLAIN VIEW” - PD CALLED IN, SEARCH WARRANT – METH CONVICTION UPHELD</w:t>
      </w:r>
    </w:p>
    <w:p w14:paraId="4277D341" w14:textId="77777777" w:rsidR="00B22CD4" w:rsidRDefault="00B22CD4" w:rsidP="00B22CD4">
      <w:pPr>
        <w:pStyle w:val="NoSpacing"/>
        <w:rPr>
          <w:rFonts w:ascii="Times New Roman" w:hAnsi="Times New Roman"/>
          <w:sz w:val="24"/>
          <w:szCs w:val="24"/>
        </w:rPr>
      </w:pPr>
      <w:r w:rsidRPr="00BA2225">
        <w:rPr>
          <w:rFonts w:ascii="Times New Roman" w:hAnsi="Times New Roman"/>
          <w:sz w:val="24"/>
          <w:szCs w:val="24"/>
        </w:rPr>
        <w:t xml:space="preserve">On May 16, 2019, in </w:t>
      </w:r>
      <w:r w:rsidRPr="00BA2225">
        <w:rPr>
          <w:rFonts w:ascii="Times New Roman" w:hAnsi="Times New Roman"/>
          <w:sz w:val="24"/>
          <w:szCs w:val="24"/>
          <w:u w:val="single"/>
        </w:rPr>
        <w:t>Casey Allen Martin v. State of Texas</w:t>
      </w:r>
      <w:r w:rsidRPr="00BA2225">
        <w:rPr>
          <w:rFonts w:ascii="Times New Roman" w:hAnsi="Times New Roman"/>
          <w:sz w:val="24"/>
          <w:szCs w:val="24"/>
        </w:rPr>
        <w:t>, the Court of Appeals of Texas, Second Appellate District (Fort Worth) held (3 to 0) the trial court properly denied the defendant’s motion to suppress the methamphetamine.</w:t>
      </w:r>
      <w:r>
        <w:rPr>
          <w:rFonts w:ascii="Times New Roman" w:hAnsi="Times New Roman"/>
          <w:sz w:val="24"/>
          <w:szCs w:val="24"/>
        </w:rPr>
        <w:t xml:space="preserve">  </w:t>
      </w:r>
    </w:p>
    <w:p w14:paraId="09F03D55" w14:textId="77777777" w:rsidR="00B22CD4" w:rsidRDefault="00B22CD4" w:rsidP="00B22CD4">
      <w:pPr>
        <w:pStyle w:val="NoSpacing"/>
        <w:rPr>
          <w:rFonts w:ascii="Times New Roman" w:hAnsi="Times New Roman"/>
          <w:sz w:val="24"/>
          <w:szCs w:val="24"/>
        </w:rPr>
      </w:pPr>
    </w:p>
    <w:p w14:paraId="606D9BC0" w14:textId="77777777" w:rsidR="00B22CD4" w:rsidRPr="00BA2225" w:rsidRDefault="00B22CD4" w:rsidP="00B22CD4">
      <w:pPr>
        <w:pStyle w:val="NoSpacing"/>
        <w:ind w:left="720"/>
        <w:rPr>
          <w:rFonts w:ascii="Times New Roman" w:hAnsi="Times New Roman"/>
          <w:sz w:val="24"/>
          <w:szCs w:val="24"/>
        </w:rPr>
      </w:pPr>
      <w:r>
        <w:rPr>
          <w:rFonts w:ascii="Times New Roman" w:hAnsi="Times New Roman"/>
          <w:sz w:val="24"/>
          <w:szCs w:val="24"/>
        </w:rPr>
        <w:t>“</w:t>
      </w:r>
      <w:r w:rsidRPr="00BA2225">
        <w:rPr>
          <w:rFonts w:ascii="Times New Roman" w:hAnsi="Times New Roman"/>
          <w:sz w:val="24"/>
          <w:szCs w:val="24"/>
        </w:rPr>
        <w:t>Fire broke out in appellant Casey Allen Martin’s apartment, and firefighters entered to battle the blaze. Firefighters saw drug paraphernalia inside, and they called police in to observe the scene. Officers then obtained a search warrant, which led to the discovery of the methamphetamine that was the basis for Martin’s conviction.</w:t>
      </w:r>
      <w:r>
        <w:rPr>
          <w:rFonts w:ascii="Times New Roman" w:hAnsi="Times New Roman"/>
          <w:sz w:val="24"/>
          <w:szCs w:val="24"/>
        </w:rPr>
        <w:t xml:space="preserve"> </w:t>
      </w:r>
      <w:r w:rsidRPr="00BA2225">
        <w:rPr>
          <w:rFonts w:ascii="Times New Roman" w:hAnsi="Times New Roman"/>
          <w:sz w:val="24"/>
          <w:szCs w:val="24"/>
        </w:rPr>
        <w:t>In one issue, Martin appeals the denial of his motion to suppress. Martin does not dispute that the fire permitted firefighters to enter the apartment. But he contends that the same exigent circumstances did not also authorize officers to enter and observe, in plain view, the same contraband that firefighters had already seen. Because we disagree, we affirm.</w:t>
      </w:r>
    </w:p>
    <w:p w14:paraId="67FD0597" w14:textId="3223F1B5" w:rsidR="00B22CD4" w:rsidRDefault="00B22CD4" w:rsidP="00B22CD4">
      <w:pPr>
        <w:pStyle w:val="NoSpacing"/>
        <w:ind w:left="720"/>
        <w:rPr>
          <w:rFonts w:ascii="Times New Roman" w:hAnsi="Times New Roman"/>
          <w:sz w:val="24"/>
          <w:szCs w:val="24"/>
        </w:rPr>
      </w:pPr>
      <w:hyperlink r:id="rId356" w:history="1">
        <w:r w:rsidRPr="00BA2225">
          <w:rPr>
            <w:rStyle w:val="Hyperlink"/>
            <w:rFonts w:ascii="Times New Roman" w:hAnsi="Times New Roman"/>
            <w:sz w:val="24"/>
            <w:szCs w:val="24"/>
          </w:rPr>
          <w:t>https://cases.justia.com/texas/second-court-of-appeals/2019-02-18-00333-cr.pdf?ts=1558106104</w:t>
        </w:r>
      </w:hyperlink>
      <w:r w:rsidRPr="00BA2225">
        <w:rPr>
          <w:rFonts w:ascii="Times New Roman" w:hAnsi="Times New Roman"/>
          <w:sz w:val="24"/>
          <w:szCs w:val="24"/>
        </w:rPr>
        <w:t xml:space="preserve"> </w:t>
      </w:r>
    </w:p>
    <w:p w14:paraId="27FC7F07" w14:textId="1CA1F3F4" w:rsidR="00B22CD4" w:rsidRDefault="00B22CD4" w:rsidP="00B22CD4">
      <w:pPr>
        <w:pStyle w:val="NoSpacing"/>
        <w:ind w:left="720"/>
        <w:rPr>
          <w:rFonts w:ascii="Times New Roman" w:hAnsi="Times New Roman"/>
          <w:sz w:val="24"/>
          <w:szCs w:val="24"/>
        </w:rPr>
      </w:pPr>
    </w:p>
    <w:p w14:paraId="296EF817" w14:textId="77777777" w:rsidR="00B22CD4" w:rsidRPr="00BA2225" w:rsidRDefault="00B22CD4" w:rsidP="00B22CD4">
      <w:pPr>
        <w:pStyle w:val="NoSpacing"/>
        <w:rPr>
          <w:rFonts w:ascii="Times New Roman" w:hAnsi="Times New Roman"/>
          <w:b/>
          <w:sz w:val="24"/>
          <w:szCs w:val="24"/>
        </w:rPr>
      </w:pPr>
      <w:bookmarkStart w:id="67" w:name="_Hlk10126666"/>
      <w:r w:rsidRPr="00BA2225">
        <w:rPr>
          <w:rFonts w:ascii="Times New Roman" w:hAnsi="Times New Roman"/>
          <w:b/>
          <w:sz w:val="24"/>
          <w:szCs w:val="24"/>
        </w:rPr>
        <w:t>Legal Lessons Learned:</w:t>
      </w:r>
      <w:r>
        <w:rPr>
          <w:rFonts w:ascii="Times New Roman" w:hAnsi="Times New Roman"/>
          <w:b/>
          <w:sz w:val="24"/>
          <w:szCs w:val="24"/>
        </w:rPr>
        <w:t xml:space="preserve"> The “Plain View Rule” is alive and well.  The police probably could have seized the meth and the firearm without a search </w:t>
      </w:r>
      <w:proofErr w:type="gramStart"/>
      <w:r>
        <w:rPr>
          <w:rFonts w:ascii="Times New Roman" w:hAnsi="Times New Roman"/>
          <w:b/>
          <w:sz w:val="24"/>
          <w:szCs w:val="24"/>
        </w:rPr>
        <w:t>warrant, but</w:t>
      </w:r>
      <w:proofErr w:type="gramEnd"/>
      <w:r>
        <w:rPr>
          <w:rFonts w:ascii="Times New Roman" w:hAnsi="Times New Roman"/>
          <w:b/>
          <w:sz w:val="24"/>
          <w:szCs w:val="24"/>
        </w:rPr>
        <w:t xml:space="preserve"> getting the warrant “virtually guaranteed” that a motion to suppress would be denied.</w:t>
      </w:r>
    </w:p>
    <w:bookmarkEnd w:id="67"/>
    <w:p w14:paraId="0C18AB44" w14:textId="77777777" w:rsidR="00B22CD4" w:rsidRPr="00BA2225" w:rsidRDefault="00B22CD4" w:rsidP="00B22CD4">
      <w:pPr>
        <w:pStyle w:val="NoSpacing"/>
        <w:ind w:left="720"/>
        <w:rPr>
          <w:rFonts w:ascii="Times New Roman" w:hAnsi="Times New Roman"/>
          <w:sz w:val="24"/>
          <w:szCs w:val="24"/>
        </w:rPr>
      </w:pPr>
    </w:p>
    <w:bookmarkEnd w:id="66"/>
    <w:p w14:paraId="3807C109" w14:textId="77777777" w:rsidR="006C7F17" w:rsidRDefault="006C7F17" w:rsidP="00791CA3">
      <w:pPr>
        <w:rPr>
          <w:rFonts w:ascii="Arial Black" w:hAnsi="Arial Black"/>
          <w:b/>
          <w:sz w:val="24"/>
          <w:szCs w:val="24"/>
        </w:rPr>
      </w:pPr>
    </w:p>
    <w:p w14:paraId="2AFFFACF" w14:textId="2BE51347" w:rsidR="00D07E6E" w:rsidRDefault="00D07E6E"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4</w:t>
      </w:r>
    </w:p>
    <w:p w14:paraId="4C26BCE1" w14:textId="77777777" w:rsidR="00D07E6E" w:rsidRPr="00D07E6E" w:rsidRDefault="00D07E6E" w:rsidP="00791CA3">
      <w:pPr>
        <w:rPr>
          <w:rFonts w:ascii="Arial Black" w:hAnsi="Arial Black" w:cs="Arial"/>
          <w:b/>
          <w:bCs/>
          <w:sz w:val="28"/>
          <w:szCs w:val="28"/>
        </w:rPr>
      </w:pPr>
      <w:r w:rsidRPr="00D07E6E">
        <w:rPr>
          <w:rFonts w:ascii="Arial Black" w:hAnsi="Arial Black" w:cs="Arial"/>
          <w:b/>
          <w:bCs/>
          <w:sz w:val="28"/>
          <w:szCs w:val="28"/>
        </w:rPr>
        <w:t xml:space="preserve">NY: 911 CALL - ELEVATOR SUDDENLY DROPPED WHILE FDNY AT SCENE – LAWSUIT DISMISSED, “SPECIAL DUTY” RULE </w:t>
      </w:r>
    </w:p>
    <w:p w14:paraId="74893CC1" w14:textId="77777777" w:rsidR="006C7F17" w:rsidRDefault="00D07E6E" w:rsidP="00791CA3">
      <w:pPr>
        <w:rPr>
          <w:rFonts w:ascii="Times New Roman" w:hAnsi="Times New Roman"/>
          <w:sz w:val="24"/>
          <w:szCs w:val="24"/>
        </w:rPr>
      </w:pPr>
      <w:r w:rsidRPr="00015208">
        <w:rPr>
          <w:rFonts w:ascii="Times New Roman" w:hAnsi="Times New Roman"/>
          <w:sz w:val="24"/>
          <w:szCs w:val="24"/>
        </w:rPr>
        <w:t>On April 24, 2019, in Daniel Ortiz v. City of New York, et al, the Supreme Court of New York, Appellate Division, Second Department, 2019 NY Slip Op 03062,</w:t>
      </w:r>
      <w:r w:rsidR="006C7F17">
        <w:rPr>
          <w:rFonts w:ascii="Times New Roman" w:hAnsi="Times New Roman"/>
          <w:sz w:val="24"/>
          <w:szCs w:val="24"/>
        </w:rPr>
        <w:t xml:space="preserve"> </w:t>
      </w:r>
      <w:r w:rsidRPr="00015208">
        <w:rPr>
          <w:rFonts w:ascii="Times New Roman" w:hAnsi="Times New Roman"/>
          <w:sz w:val="24"/>
          <w:szCs w:val="24"/>
        </w:rPr>
        <w:t>held (5 to 0) that the lawsuit was properly dismissed by Kings County judge.</w:t>
      </w:r>
    </w:p>
    <w:p w14:paraId="3FB174CF" w14:textId="21311F44" w:rsidR="00D07E6E" w:rsidRPr="00015208" w:rsidRDefault="00D07E6E" w:rsidP="006C7F17">
      <w:pPr>
        <w:ind w:left="720"/>
        <w:rPr>
          <w:rFonts w:ascii="Times New Roman" w:hAnsi="Times New Roman"/>
          <w:sz w:val="24"/>
          <w:szCs w:val="24"/>
        </w:rPr>
      </w:pPr>
      <w:r w:rsidRPr="00015208">
        <w:rPr>
          <w:rFonts w:ascii="Times New Roman" w:hAnsi="Times New Roman"/>
          <w:sz w:val="24"/>
          <w:szCs w:val="24"/>
        </w:rPr>
        <w:t xml:space="preserve">“Here, the City defendants were acting in a governmental capacity when the plaintiff was injured during the firefighters' rescue operation (see </w:t>
      </w:r>
      <w:proofErr w:type="spellStart"/>
      <w:r w:rsidRPr="00015208">
        <w:rPr>
          <w:rFonts w:ascii="Times New Roman" w:hAnsi="Times New Roman"/>
          <w:sz w:val="24"/>
          <w:szCs w:val="24"/>
        </w:rPr>
        <w:t>Kadymir</w:t>
      </w:r>
      <w:proofErr w:type="spellEnd"/>
      <w:r w:rsidRPr="00015208">
        <w:rPr>
          <w:rFonts w:ascii="Times New Roman" w:hAnsi="Times New Roman"/>
          <w:sz w:val="24"/>
          <w:szCs w:val="24"/>
        </w:rPr>
        <w:t xml:space="preserve"> v New York City Tr. Auth., 55 AD3d 549, 552). The inquiry then turns to whether the </w:t>
      </w:r>
      <w:proofErr w:type="gramStart"/>
      <w:r w:rsidRPr="00015208">
        <w:rPr>
          <w:rFonts w:ascii="Times New Roman" w:hAnsi="Times New Roman"/>
          <w:sz w:val="24"/>
          <w:szCs w:val="24"/>
        </w:rPr>
        <w:t>City</w:t>
      </w:r>
      <w:proofErr w:type="gramEnd"/>
      <w:r w:rsidRPr="00015208">
        <w:rPr>
          <w:rFonts w:ascii="Times New Roman" w:hAnsi="Times New Roman"/>
          <w:sz w:val="24"/>
          <w:szCs w:val="24"/>
        </w:rPr>
        <w:t xml:space="preserve"> defendants owed the plaintiff a special duty (see Applewhite v </w:t>
      </w:r>
      <w:proofErr w:type="spellStart"/>
      <w:r w:rsidRPr="00015208">
        <w:rPr>
          <w:rFonts w:ascii="Times New Roman" w:hAnsi="Times New Roman"/>
          <w:sz w:val="24"/>
          <w:szCs w:val="24"/>
        </w:rPr>
        <w:t>Accuhealth</w:t>
      </w:r>
      <w:proofErr w:type="spellEnd"/>
      <w:r w:rsidRPr="00015208">
        <w:rPr>
          <w:rFonts w:ascii="Times New Roman" w:hAnsi="Times New Roman"/>
          <w:sz w:val="24"/>
          <w:szCs w:val="24"/>
        </w:rPr>
        <w:t xml:space="preserve">, Inc., 21 NY3d at 426). Contrary to the plaintiff's contention that no special duty was required, a special duty was ‘an essential element of the negligence claim itself’ (id.). Because the plaintiff concedes that the City defendants owed him no special duty of care, ‘the analysis ends and liability may not be imputed to the’ City defendants (id.).” </w:t>
      </w:r>
      <w:hyperlink r:id="rId357" w:history="1">
        <w:r w:rsidRPr="00015208">
          <w:rPr>
            <w:rStyle w:val="Hyperlink"/>
            <w:rFonts w:ascii="Times New Roman" w:hAnsi="Times New Roman"/>
            <w:sz w:val="24"/>
            <w:szCs w:val="24"/>
          </w:rPr>
          <w:t>https://law.justia.com/cases/new-york/appellate-division-second-department/2019/2017-01910.html</w:t>
        </w:r>
      </w:hyperlink>
      <w:r w:rsidRPr="00015208">
        <w:rPr>
          <w:rFonts w:ascii="Times New Roman" w:hAnsi="Times New Roman"/>
          <w:sz w:val="24"/>
          <w:szCs w:val="24"/>
        </w:rPr>
        <w:t xml:space="preserve"> </w:t>
      </w:r>
    </w:p>
    <w:p w14:paraId="0073D181" w14:textId="5CFC4257" w:rsidR="00D07E6E" w:rsidRPr="00015208" w:rsidRDefault="00D07E6E" w:rsidP="00791CA3">
      <w:pPr>
        <w:rPr>
          <w:rFonts w:ascii="Times New Roman" w:hAnsi="Times New Roman"/>
          <w:b/>
          <w:bCs/>
          <w:sz w:val="24"/>
          <w:szCs w:val="24"/>
        </w:rPr>
      </w:pPr>
      <w:r w:rsidRPr="00015208">
        <w:rPr>
          <w:rFonts w:ascii="Times New Roman" w:hAnsi="Times New Roman"/>
          <w:b/>
          <w:bCs/>
          <w:sz w:val="24"/>
          <w:szCs w:val="24"/>
        </w:rPr>
        <w:t>Legal Lessons Learned: The “special duty rule” protects municipalities when performing a governmental function.</w:t>
      </w:r>
    </w:p>
    <w:p w14:paraId="0C38FD85" w14:textId="4C412579" w:rsidR="00D07E6E" w:rsidRPr="00015208" w:rsidRDefault="00D07E6E" w:rsidP="00791CA3">
      <w:pPr>
        <w:rPr>
          <w:rFonts w:ascii="Times New Roman" w:hAnsi="Times New Roman"/>
          <w:bCs/>
          <w:sz w:val="24"/>
          <w:szCs w:val="24"/>
        </w:rPr>
      </w:pPr>
    </w:p>
    <w:p w14:paraId="072F49C2" w14:textId="77777777" w:rsidR="00D07E6E" w:rsidRDefault="00D07E6E" w:rsidP="00791CA3">
      <w:pPr>
        <w:rPr>
          <w:rFonts w:ascii="Arial Black" w:hAnsi="Arial Black"/>
          <w:b/>
          <w:sz w:val="24"/>
          <w:szCs w:val="24"/>
        </w:rPr>
      </w:pPr>
    </w:p>
    <w:p w14:paraId="355C8987" w14:textId="6F919A94" w:rsidR="00C17A9D" w:rsidRDefault="00C17A9D"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3</w:t>
      </w:r>
    </w:p>
    <w:p w14:paraId="19ED4F76" w14:textId="77777777" w:rsidR="00015208" w:rsidRDefault="00C17A9D" w:rsidP="00791CA3">
      <w:pPr>
        <w:rPr>
          <w:rFonts w:ascii="Arial" w:hAnsi="Arial" w:cs="Arial"/>
          <w:sz w:val="35"/>
          <w:szCs w:val="35"/>
        </w:rPr>
      </w:pPr>
      <w:r w:rsidRPr="00C17A9D">
        <w:rPr>
          <w:rFonts w:ascii="Arial Black" w:hAnsi="Arial Black"/>
          <w:sz w:val="28"/>
          <w:szCs w:val="28"/>
        </w:rPr>
        <w:t>IL: BILLING FOR FD SEVICES – ORDINANCE LAWFUL TO BILL NON-RESIDENTS, INCLUDING EXTRICATING EMPLOYEE UNDER VEHICLE</w:t>
      </w:r>
      <w:r>
        <w:rPr>
          <w:rFonts w:ascii="Arial" w:hAnsi="Arial" w:cs="Arial"/>
          <w:sz w:val="35"/>
          <w:szCs w:val="35"/>
        </w:rPr>
        <w:t xml:space="preserve"> </w:t>
      </w:r>
    </w:p>
    <w:p w14:paraId="47FA66A7" w14:textId="77777777" w:rsidR="006C7F17" w:rsidRDefault="00C17A9D" w:rsidP="00791CA3">
      <w:pPr>
        <w:rPr>
          <w:rFonts w:ascii="Times New Roman" w:hAnsi="Times New Roman"/>
          <w:sz w:val="24"/>
          <w:szCs w:val="24"/>
        </w:rPr>
      </w:pPr>
      <w:r w:rsidRPr="00015208">
        <w:rPr>
          <w:rFonts w:ascii="Times New Roman" w:hAnsi="Times New Roman"/>
          <w:sz w:val="24"/>
          <w:szCs w:val="24"/>
        </w:rPr>
        <w:t xml:space="preserve">On March 28, 2019, in The City of Effingham, Illinois v. Diss Truck &amp; Repair, LLC, the Appellate Court of Illinois - Fifth District, held (3 to 0) that the Fire Department may bill for these services for a non-resident. </w:t>
      </w:r>
    </w:p>
    <w:p w14:paraId="5F7F2EDA" w14:textId="341FFB8F" w:rsidR="00C17A9D" w:rsidRPr="00015208" w:rsidRDefault="00C17A9D" w:rsidP="006C7F17">
      <w:pPr>
        <w:ind w:left="720"/>
        <w:rPr>
          <w:rFonts w:ascii="Times New Roman" w:hAnsi="Times New Roman"/>
          <w:b/>
          <w:sz w:val="24"/>
          <w:szCs w:val="24"/>
        </w:rPr>
      </w:pPr>
      <w:r w:rsidRPr="00015208">
        <w:rPr>
          <w:rFonts w:ascii="Times New Roman" w:hAnsi="Times New Roman"/>
          <w:sz w:val="24"/>
          <w:szCs w:val="24"/>
        </w:rPr>
        <w:t>“After reviewing the legislative history, both before and after the enactment of the statute, we conclude that the legislature’s intent in allowing a municipality to seek reimbursement for firefighting services provided to nonresidents was to eliminate the taxpayer’s burden for such services; the intent was to allocate the cost of the services to nonresidents so that the citizens of the municipality were not forced to bear the cost of services performed on behalf of those not paying taxes to the municipality.”</w:t>
      </w:r>
      <w:r w:rsidR="006C7F17">
        <w:rPr>
          <w:rFonts w:ascii="Times New Roman" w:hAnsi="Times New Roman"/>
          <w:sz w:val="24"/>
          <w:szCs w:val="24"/>
        </w:rPr>
        <w:t xml:space="preserve"> </w:t>
      </w:r>
      <w:hyperlink r:id="rId358" w:history="1">
        <w:r w:rsidR="006C7F17" w:rsidRPr="002F304C">
          <w:rPr>
            <w:rStyle w:val="Hyperlink"/>
            <w:rFonts w:ascii="Times New Roman" w:hAnsi="Times New Roman"/>
            <w:sz w:val="24"/>
            <w:szCs w:val="24"/>
          </w:rPr>
          <w:t>https://law.justia.com/cases/illinois/court-of-appeals-fifth-appellate-district/2019/5-18-0064.html</w:t>
        </w:r>
      </w:hyperlink>
      <w:r w:rsidR="006C7F17">
        <w:rPr>
          <w:rFonts w:ascii="Times New Roman" w:hAnsi="Times New Roman"/>
          <w:sz w:val="24"/>
          <w:szCs w:val="24"/>
        </w:rPr>
        <w:t xml:space="preserve"> </w:t>
      </w:r>
    </w:p>
    <w:p w14:paraId="4959EE6B" w14:textId="282598F9" w:rsidR="00C17A9D" w:rsidRPr="00015208" w:rsidRDefault="00C17A9D" w:rsidP="00791CA3">
      <w:pPr>
        <w:rPr>
          <w:rFonts w:ascii="Times New Roman" w:hAnsi="Times New Roman"/>
          <w:b/>
          <w:bCs/>
          <w:sz w:val="24"/>
          <w:szCs w:val="24"/>
        </w:rPr>
      </w:pPr>
      <w:r w:rsidRPr="00015208">
        <w:rPr>
          <w:rFonts w:ascii="Times New Roman" w:hAnsi="Times New Roman"/>
          <w:b/>
          <w:bCs/>
          <w:sz w:val="24"/>
          <w:szCs w:val="24"/>
        </w:rPr>
        <w:t>Legal Lessons Learned: Ordinances authorizing billing of non-residents for fire department services are becoming increasingly common.</w:t>
      </w:r>
    </w:p>
    <w:p w14:paraId="35D80C66" w14:textId="77777777" w:rsidR="00015208" w:rsidRDefault="00015208" w:rsidP="00791CA3">
      <w:pPr>
        <w:rPr>
          <w:rFonts w:ascii="Arial Black" w:hAnsi="Arial Black"/>
          <w:b/>
          <w:sz w:val="24"/>
          <w:szCs w:val="24"/>
        </w:rPr>
      </w:pPr>
    </w:p>
    <w:p w14:paraId="5BA77B5B" w14:textId="77777777" w:rsidR="00C17A9D" w:rsidRDefault="00C17A9D" w:rsidP="00791CA3">
      <w:pPr>
        <w:rPr>
          <w:rFonts w:ascii="Arial Black" w:hAnsi="Arial Black"/>
          <w:b/>
          <w:sz w:val="24"/>
          <w:szCs w:val="24"/>
        </w:rPr>
      </w:pPr>
    </w:p>
    <w:p w14:paraId="6AF48E99" w14:textId="15E9BF94" w:rsidR="00B22CD4" w:rsidRDefault="00791CA3" w:rsidP="00791CA3">
      <w:pPr>
        <w:rPr>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2</w:t>
      </w:r>
    </w:p>
    <w:p w14:paraId="48B44BFB" w14:textId="361ED236" w:rsidR="00ED63B1" w:rsidRDefault="00ED63B1" w:rsidP="00ED63B1">
      <w:pPr>
        <w:pStyle w:val="NoSpacing"/>
        <w:rPr>
          <w:rFonts w:ascii="Arial Black" w:hAnsi="Arial Black"/>
          <w:sz w:val="28"/>
          <w:szCs w:val="28"/>
        </w:rPr>
      </w:pPr>
      <w:r w:rsidRPr="004875B7">
        <w:rPr>
          <w:rFonts w:ascii="Arial Black" w:hAnsi="Arial Black"/>
          <w:sz w:val="28"/>
          <w:szCs w:val="28"/>
        </w:rPr>
        <w:t xml:space="preserve">CO:  ARSON - $3M </w:t>
      </w:r>
      <w:r>
        <w:rPr>
          <w:rFonts w:ascii="Arial Black" w:hAnsi="Arial Black"/>
          <w:sz w:val="28"/>
          <w:szCs w:val="28"/>
        </w:rPr>
        <w:t xml:space="preserve">LOSS TO HOTEL BEING BUILT– NO SECURITY </w:t>
      </w:r>
      <w:r w:rsidRPr="004875B7">
        <w:rPr>
          <w:rFonts w:ascii="Arial Black" w:hAnsi="Arial Black"/>
          <w:sz w:val="28"/>
          <w:szCs w:val="28"/>
        </w:rPr>
        <w:t>FENCE</w:t>
      </w:r>
      <w:r>
        <w:rPr>
          <w:rFonts w:ascii="Arial Black" w:hAnsi="Arial Black"/>
          <w:sz w:val="28"/>
          <w:szCs w:val="28"/>
        </w:rPr>
        <w:t xml:space="preserve">, NO INSURANCE </w:t>
      </w:r>
    </w:p>
    <w:p w14:paraId="5766A52A" w14:textId="77777777" w:rsidR="006C7F17" w:rsidRDefault="00ED63B1" w:rsidP="00ED63B1">
      <w:pPr>
        <w:pStyle w:val="NoSpacing"/>
        <w:rPr>
          <w:rFonts w:ascii="Times New Roman" w:hAnsi="Times New Roman"/>
          <w:sz w:val="24"/>
          <w:szCs w:val="24"/>
        </w:rPr>
      </w:pPr>
      <w:r w:rsidRPr="00015208">
        <w:rPr>
          <w:rFonts w:ascii="Times New Roman" w:hAnsi="Times New Roman"/>
          <w:sz w:val="24"/>
          <w:szCs w:val="24"/>
        </w:rPr>
        <w:t xml:space="preserve">On March 1, 2019, in </w:t>
      </w:r>
      <w:r w:rsidRPr="00015208">
        <w:rPr>
          <w:rFonts w:ascii="Times New Roman" w:hAnsi="Times New Roman"/>
          <w:sz w:val="24"/>
          <w:szCs w:val="24"/>
          <w:u w:val="single"/>
        </w:rPr>
        <w:t>Praetorian Insurance Company v. Axia Contracting, LLC and 255 Blackhawk Hospitality, LLP</w:t>
      </w:r>
      <w:r w:rsidRPr="00015208">
        <w:rPr>
          <w:rFonts w:ascii="Times New Roman" w:hAnsi="Times New Roman"/>
          <w:sz w:val="24"/>
          <w:szCs w:val="24"/>
        </w:rPr>
        <w:t xml:space="preserve">, U.S. District Court Judge William J. Martinez, District of Colorado, granted summary judgment to the insurance company. </w:t>
      </w:r>
    </w:p>
    <w:p w14:paraId="4AA0D21E" w14:textId="77777777" w:rsidR="006C7F17" w:rsidRDefault="006C7F17" w:rsidP="00ED63B1">
      <w:pPr>
        <w:pStyle w:val="NoSpacing"/>
        <w:rPr>
          <w:rFonts w:ascii="Times New Roman" w:hAnsi="Times New Roman"/>
          <w:sz w:val="24"/>
          <w:szCs w:val="24"/>
        </w:rPr>
      </w:pPr>
    </w:p>
    <w:p w14:paraId="47D3A58A" w14:textId="16A99A59" w:rsidR="00ED63B1" w:rsidRDefault="00ED63B1" w:rsidP="006C7F17">
      <w:pPr>
        <w:pStyle w:val="NoSpacing"/>
        <w:ind w:left="720"/>
        <w:rPr>
          <w:rFonts w:ascii="Times New Roman" w:eastAsia="Times New Roman" w:hAnsi="Times New Roman"/>
          <w:bCs/>
          <w:sz w:val="24"/>
          <w:szCs w:val="24"/>
        </w:rPr>
      </w:pPr>
      <w:r w:rsidRPr="00015208">
        <w:rPr>
          <w:rFonts w:ascii="Times New Roman" w:hAnsi="Times New Roman"/>
          <w:sz w:val="24"/>
          <w:szCs w:val="24"/>
        </w:rPr>
        <w:t xml:space="preserve">“On summary judgment, the parties seek clarity from this Court on whether, under the Policy, Defendants’ failure to maintain a protective device, a six-foot fence enclosing the entire job site, which was listed in an endorsement and schedule attached to the contract, relieves Praetorian of its obligation to pay for Defendants’ losses due to fire…. For the reasons discussed below, the Court will grant Praetorian’s Motion for Summary Judgment (‘the Motion’), direct entry of judgment, and terminate this case.” </w:t>
      </w:r>
      <w:hyperlink r:id="rId359" w:history="1">
        <w:r w:rsidRPr="00015208">
          <w:rPr>
            <w:rStyle w:val="Hyperlink"/>
            <w:rFonts w:ascii="Times New Roman" w:eastAsia="Times New Roman" w:hAnsi="Times New Roman"/>
            <w:sz w:val="24"/>
            <w:szCs w:val="24"/>
          </w:rPr>
          <w:t>https://cases.justia.com/federal/district-courts/colorado/codce/1:2017cv02034/173671/65/0.pdf?ts=1551517811</w:t>
        </w:r>
      </w:hyperlink>
      <w:r w:rsidRPr="00015208">
        <w:rPr>
          <w:rFonts w:ascii="Times New Roman" w:eastAsia="Times New Roman" w:hAnsi="Times New Roman"/>
          <w:bCs/>
          <w:sz w:val="24"/>
          <w:szCs w:val="24"/>
        </w:rPr>
        <w:t xml:space="preserve"> </w:t>
      </w:r>
    </w:p>
    <w:p w14:paraId="03930CD2" w14:textId="77777777" w:rsidR="006C7F17" w:rsidRPr="00015208" w:rsidRDefault="006C7F17" w:rsidP="006C7F17">
      <w:pPr>
        <w:pStyle w:val="NoSpacing"/>
        <w:ind w:left="720"/>
        <w:rPr>
          <w:rFonts w:ascii="Times New Roman" w:eastAsia="Times New Roman" w:hAnsi="Times New Roman"/>
          <w:bCs/>
          <w:sz w:val="24"/>
          <w:szCs w:val="24"/>
        </w:rPr>
      </w:pPr>
    </w:p>
    <w:p w14:paraId="1D82724E" w14:textId="77777777" w:rsidR="00ED63B1" w:rsidRPr="00015208" w:rsidRDefault="00ED63B1" w:rsidP="00ED63B1">
      <w:pPr>
        <w:pStyle w:val="NoSpacing"/>
        <w:rPr>
          <w:rFonts w:ascii="Times New Roman" w:hAnsi="Times New Roman"/>
          <w:b/>
          <w:sz w:val="24"/>
          <w:szCs w:val="24"/>
        </w:rPr>
      </w:pPr>
      <w:r w:rsidRPr="00015208">
        <w:rPr>
          <w:rFonts w:ascii="Times New Roman" w:hAnsi="Times New Roman"/>
          <w:b/>
          <w:sz w:val="24"/>
          <w:szCs w:val="24"/>
        </w:rPr>
        <w:t>Legal Lessons Learned:  FDs should encourage owners of large construction sites to enclose the site with fencing and nighttime lights.</w:t>
      </w:r>
    </w:p>
    <w:p w14:paraId="07F65D9E" w14:textId="77777777" w:rsidR="00FB71EA" w:rsidRPr="00015208" w:rsidRDefault="00FB71EA" w:rsidP="00ED63B1">
      <w:pPr>
        <w:pStyle w:val="NoSpacing"/>
        <w:rPr>
          <w:rFonts w:ascii="Times New Roman" w:hAnsi="Times New Roman"/>
          <w:bCs/>
          <w:sz w:val="24"/>
          <w:szCs w:val="24"/>
        </w:rPr>
      </w:pPr>
    </w:p>
    <w:p w14:paraId="05D957A7" w14:textId="77777777" w:rsidR="00F326E5" w:rsidRDefault="00F326E5" w:rsidP="00F326E5">
      <w:pPr>
        <w:pStyle w:val="NoSpacing"/>
        <w:rPr>
          <w:rFonts w:ascii="Times New Roman" w:eastAsia="Times New Roman" w:hAnsi="Times New Roman"/>
          <w:sz w:val="24"/>
          <w:szCs w:val="24"/>
        </w:rPr>
      </w:pPr>
    </w:p>
    <w:p w14:paraId="46AD8CDA" w14:textId="77777777" w:rsidR="00ED63B1" w:rsidRDefault="00ED63B1" w:rsidP="00F326E5">
      <w:pPr>
        <w:pStyle w:val="NoSpacing"/>
        <w:rPr>
          <w:rFonts w:ascii="Times New Roman" w:eastAsia="Times New Roman" w:hAnsi="Times New Roman"/>
          <w:sz w:val="24"/>
          <w:szCs w:val="24"/>
        </w:rPr>
      </w:pPr>
    </w:p>
    <w:p w14:paraId="75B027F1" w14:textId="42604589" w:rsidR="00ED63B1" w:rsidRDefault="00791CA3" w:rsidP="00791CA3">
      <w:pPr>
        <w:rPr>
          <w:rFonts w:ascii="Times New Roman" w:eastAsia="Times New Roman" w:hAnsi="Times New Roman"/>
          <w:sz w:val="24"/>
          <w:szCs w:val="24"/>
        </w:rPr>
      </w:pPr>
      <w:r w:rsidRPr="00791CA3">
        <w:rPr>
          <w:rFonts w:ascii="Arial Black" w:hAnsi="Arial Black"/>
          <w:b/>
          <w:sz w:val="24"/>
          <w:szCs w:val="24"/>
        </w:rPr>
        <w:t>1-</w:t>
      </w:r>
      <w:r w:rsidR="00637A12">
        <w:rPr>
          <w:rFonts w:ascii="Arial Black" w:hAnsi="Arial Black"/>
          <w:b/>
          <w:sz w:val="24"/>
          <w:szCs w:val="24"/>
        </w:rPr>
        <w:t>21</w:t>
      </w:r>
    </w:p>
    <w:p w14:paraId="7E0460AE" w14:textId="5773390F" w:rsidR="00F326E5" w:rsidRDefault="00F326E5" w:rsidP="00F326E5">
      <w:pPr>
        <w:pStyle w:val="NoSpacing"/>
        <w:rPr>
          <w:rFonts w:ascii="Times New Roman" w:hAnsi="Times New Roman"/>
          <w:sz w:val="24"/>
          <w:szCs w:val="24"/>
        </w:rPr>
      </w:pPr>
      <w:bookmarkStart w:id="68" w:name="_Hlk7339238"/>
      <w:r w:rsidRPr="000D5825">
        <w:rPr>
          <w:rFonts w:ascii="Arial Black" w:hAnsi="Arial Black"/>
          <w:b/>
          <w:sz w:val="28"/>
          <w:szCs w:val="28"/>
        </w:rPr>
        <w:t xml:space="preserve">MD:  GOVT IMMUNITY – COUNTY 911 </w:t>
      </w:r>
      <w:r>
        <w:rPr>
          <w:rFonts w:ascii="Arial Black" w:hAnsi="Arial Black"/>
          <w:b/>
          <w:sz w:val="28"/>
          <w:szCs w:val="28"/>
        </w:rPr>
        <w:t xml:space="preserve">SYSTEM </w:t>
      </w:r>
      <w:r w:rsidRPr="000D5825">
        <w:rPr>
          <w:rFonts w:ascii="Arial Black" w:hAnsi="Arial Black"/>
          <w:b/>
          <w:sz w:val="28"/>
          <w:szCs w:val="28"/>
        </w:rPr>
        <w:t>DOWN 3 HOURS</w:t>
      </w:r>
      <w:r>
        <w:rPr>
          <w:rFonts w:ascii="Arial Black" w:hAnsi="Arial Black"/>
          <w:b/>
          <w:sz w:val="28"/>
          <w:szCs w:val="28"/>
        </w:rPr>
        <w:t xml:space="preserve"> – RESIDENT DIED </w:t>
      </w:r>
      <w:r w:rsidRPr="000D5825">
        <w:rPr>
          <w:rFonts w:ascii="Arial Black" w:hAnsi="Arial Black"/>
          <w:b/>
          <w:sz w:val="28"/>
          <w:szCs w:val="28"/>
        </w:rPr>
        <w:t xml:space="preserve"> </w:t>
      </w:r>
      <w:r w:rsidRPr="000D5825">
        <w:rPr>
          <w:rFonts w:ascii="Times New Roman" w:hAnsi="Times New Roman"/>
          <w:sz w:val="24"/>
          <w:szCs w:val="24"/>
        </w:rPr>
        <w:t xml:space="preserve"> </w:t>
      </w:r>
    </w:p>
    <w:p w14:paraId="5B04FA95" w14:textId="77777777" w:rsidR="006C7F17" w:rsidRDefault="006C7F17" w:rsidP="00F326E5">
      <w:pPr>
        <w:pStyle w:val="NoSpacing"/>
        <w:rPr>
          <w:rFonts w:ascii="Times New Roman" w:hAnsi="Times New Roman"/>
          <w:sz w:val="24"/>
          <w:szCs w:val="24"/>
        </w:rPr>
      </w:pPr>
    </w:p>
    <w:p w14:paraId="58A32474" w14:textId="77777777" w:rsidR="006C7F17" w:rsidRDefault="00F326E5" w:rsidP="00F326E5">
      <w:pPr>
        <w:pStyle w:val="NoSpacing"/>
        <w:rPr>
          <w:rFonts w:ascii="Times New Roman" w:hAnsi="Times New Roman"/>
          <w:sz w:val="24"/>
          <w:szCs w:val="24"/>
        </w:rPr>
      </w:pPr>
      <w:r w:rsidRPr="000D5825">
        <w:rPr>
          <w:rFonts w:ascii="Times New Roman" w:hAnsi="Times New Roman"/>
          <w:sz w:val="24"/>
          <w:szCs w:val="24"/>
        </w:rPr>
        <w:t xml:space="preserve">On Feb. 22, 2019, in </w:t>
      </w:r>
      <w:r w:rsidRPr="000D5825">
        <w:rPr>
          <w:rFonts w:ascii="Times New Roman" w:hAnsi="Times New Roman"/>
          <w:sz w:val="24"/>
          <w:szCs w:val="24"/>
          <w:u w:val="single"/>
        </w:rPr>
        <w:t xml:space="preserve">Raul T. </w:t>
      </w:r>
      <w:proofErr w:type="spellStart"/>
      <w:r w:rsidRPr="000D5825">
        <w:rPr>
          <w:rFonts w:ascii="Times New Roman" w:hAnsi="Times New Roman"/>
          <w:sz w:val="24"/>
          <w:szCs w:val="24"/>
          <w:u w:val="single"/>
        </w:rPr>
        <w:t>Aristorenas</w:t>
      </w:r>
      <w:proofErr w:type="spellEnd"/>
      <w:r w:rsidRPr="000D5825">
        <w:rPr>
          <w:rFonts w:ascii="Times New Roman" w:hAnsi="Times New Roman"/>
          <w:sz w:val="24"/>
          <w:szCs w:val="24"/>
          <w:u w:val="single"/>
        </w:rPr>
        <w:t>, et al. v. Montgomery County, Maryland</w:t>
      </w:r>
      <w:r w:rsidRPr="000D5825">
        <w:rPr>
          <w:rFonts w:ascii="Times New Roman" w:hAnsi="Times New Roman"/>
          <w:sz w:val="24"/>
          <w:szCs w:val="24"/>
        </w:rPr>
        <w:t xml:space="preserve">, the Court of Appeals of Maryland, held (3 to 0) in unreported decision upheld the dismissal of the lawsuit by Circuit Court trial judge: </w:t>
      </w:r>
    </w:p>
    <w:p w14:paraId="5BB73285" w14:textId="77777777" w:rsidR="006C7F17" w:rsidRDefault="006C7F17" w:rsidP="00F326E5">
      <w:pPr>
        <w:pStyle w:val="NoSpacing"/>
        <w:rPr>
          <w:rFonts w:ascii="Times New Roman" w:hAnsi="Times New Roman"/>
          <w:sz w:val="24"/>
          <w:szCs w:val="24"/>
        </w:rPr>
      </w:pPr>
    </w:p>
    <w:p w14:paraId="056A9A0A" w14:textId="77777777" w:rsidR="006C7F17" w:rsidRPr="006C7F17" w:rsidRDefault="00F326E5" w:rsidP="006C7F17">
      <w:pPr>
        <w:pStyle w:val="NoSpacing"/>
        <w:ind w:left="720"/>
        <w:rPr>
          <w:rFonts w:ascii="Times New Roman" w:hAnsi="Times New Roman"/>
          <w:sz w:val="24"/>
          <w:szCs w:val="24"/>
        </w:rPr>
      </w:pPr>
      <w:r w:rsidRPr="006C7F17">
        <w:rPr>
          <w:rFonts w:ascii="Times New Roman" w:hAnsi="Times New Roman"/>
          <w:sz w:val="24"/>
          <w:szCs w:val="24"/>
        </w:rPr>
        <w:t>“The [trial] court concluded that the allegations did not state a claim for negligence—which underlies both the wrongful death and the survival claims—because the County is immune from suit and the individual defendants did not owe a duty to Mr. Somarriba or Marlon. We agree and affirm.”</w:t>
      </w:r>
    </w:p>
    <w:p w14:paraId="08FDEA33" w14:textId="76716B15" w:rsidR="00F326E5" w:rsidRPr="006C7F17" w:rsidRDefault="006C7F17" w:rsidP="006C7F17">
      <w:pPr>
        <w:pStyle w:val="NoSpacing"/>
        <w:ind w:left="720"/>
        <w:rPr>
          <w:rFonts w:ascii="Times New Roman" w:hAnsi="Times New Roman"/>
          <w:sz w:val="24"/>
          <w:szCs w:val="24"/>
        </w:rPr>
      </w:pPr>
      <w:hyperlink r:id="rId360" w:history="1">
        <w:r w:rsidRPr="006C7F17">
          <w:rPr>
            <w:rStyle w:val="Hyperlink"/>
            <w:rFonts w:ascii="Times New Roman" w:hAnsi="Times New Roman"/>
            <w:sz w:val="24"/>
            <w:szCs w:val="24"/>
          </w:rPr>
          <w:t>https://mdcourts.gov/sites/default/files/unreported-opinions/2279s17.pdf</w:t>
        </w:r>
      </w:hyperlink>
      <w:r w:rsidR="00F326E5" w:rsidRPr="006C7F17">
        <w:rPr>
          <w:rFonts w:ascii="Times New Roman" w:hAnsi="Times New Roman"/>
          <w:sz w:val="24"/>
          <w:szCs w:val="24"/>
        </w:rPr>
        <w:t xml:space="preserve"> </w:t>
      </w:r>
    </w:p>
    <w:p w14:paraId="43C66349" w14:textId="77777777" w:rsidR="006C7F17" w:rsidRDefault="006C7F17" w:rsidP="00F326E5">
      <w:pPr>
        <w:pStyle w:val="NoSpacing"/>
        <w:rPr>
          <w:rFonts w:ascii="Times New Roman" w:hAnsi="Times New Roman"/>
          <w:b/>
          <w:sz w:val="24"/>
          <w:szCs w:val="24"/>
        </w:rPr>
      </w:pPr>
    </w:p>
    <w:p w14:paraId="100E6B17" w14:textId="51D06BDA" w:rsidR="00F326E5" w:rsidRPr="000D5825" w:rsidRDefault="00F326E5" w:rsidP="00F326E5">
      <w:pPr>
        <w:pStyle w:val="NoSpacing"/>
        <w:rPr>
          <w:rFonts w:ascii="Times New Roman" w:hAnsi="Times New Roman"/>
          <w:b/>
          <w:sz w:val="24"/>
          <w:szCs w:val="24"/>
        </w:rPr>
      </w:pPr>
      <w:r w:rsidRPr="000D5825">
        <w:rPr>
          <w:rFonts w:ascii="Times New Roman" w:hAnsi="Times New Roman"/>
          <w:b/>
          <w:sz w:val="24"/>
          <w:szCs w:val="24"/>
        </w:rPr>
        <w:t xml:space="preserve">Legal Lessons Learned:  This is a tragic case – amazing there was no back up system, or ability to have another 911 Center pick up the calls. </w:t>
      </w:r>
    </w:p>
    <w:bookmarkEnd w:id="68"/>
    <w:p w14:paraId="3EEDA415" w14:textId="77777777" w:rsidR="006C7F17" w:rsidRDefault="006C7F17" w:rsidP="00791CA3">
      <w:pPr>
        <w:rPr>
          <w:rFonts w:ascii="Arial Black" w:hAnsi="Arial Black"/>
          <w:b/>
          <w:sz w:val="24"/>
          <w:szCs w:val="24"/>
        </w:rPr>
      </w:pPr>
    </w:p>
    <w:p w14:paraId="07668947" w14:textId="77777777" w:rsidR="006C7F17" w:rsidRDefault="006C7F17" w:rsidP="00791CA3">
      <w:pPr>
        <w:rPr>
          <w:rFonts w:ascii="Arial Black" w:hAnsi="Arial Black"/>
          <w:b/>
          <w:sz w:val="24"/>
          <w:szCs w:val="24"/>
        </w:rPr>
      </w:pPr>
    </w:p>
    <w:p w14:paraId="079033DB" w14:textId="5A48DD72" w:rsidR="00F326E5" w:rsidRDefault="00791CA3" w:rsidP="00791CA3">
      <w:pPr>
        <w:rPr>
          <w:sz w:val="24"/>
          <w:szCs w:val="24"/>
        </w:rPr>
      </w:pPr>
      <w:r w:rsidRPr="00791CA3">
        <w:rPr>
          <w:rFonts w:ascii="Arial Black" w:hAnsi="Arial Black"/>
          <w:b/>
          <w:sz w:val="24"/>
          <w:szCs w:val="24"/>
        </w:rPr>
        <w:t>1-</w:t>
      </w:r>
      <w:r w:rsidR="00637A12">
        <w:rPr>
          <w:rFonts w:ascii="Arial Black" w:hAnsi="Arial Black"/>
          <w:b/>
          <w:sz w:val="24"/>
          <w:szCs w:val="24"/>
        </w:rPr>
        <w:t>20</w:t>
      </w:r>
    </w:p>
    <w:p w14:paraId="422200A5" w14:textId="7A60CD50" w:rsidR="00F326E5" w:rsidRDefault="00F326E5" w:rsidP="00F326E5">
      <w:pPr>
        <w:pStyle w:val="NoSpacing"/>
        <w:rPr>
          <w:rFonts w:ascii="Arial Black" w:hAnsi="Arial Black"/>
          <w:sz w:val="28"/>
          <w:szCs w:val="28"/>
        </w:rPr>
      </w:pPr>
      <w:bookmarkStart w:id="69" w:name="_Hlk7339326"/>
      <w:r w:rsidRPr="006F4065">
        <w:rPr>
          <w:rFonts w:ascii="Arial Black" w:hAnsi="Arial Black"/>
          <w:sz w:val="28"/>
          <w:szCs w:val="28"/>
        </w:rPr>
        <w:t>U.S. SUPREME COURT:  EXECUTION</w:t>
      </w:r>
      <w:r>
        <w:rPr>
          <w:rFonts w:ascii="Arial Black" w:hAnsi="Arial Black"/>
          <w:sz w:val="28"/>
          <w:szCs w:val="28"/>
        </w:rPr>
        <w:t xml:space="preserve"> – INMATE NOT ENTITLED TO HAVE IMAM PRESENT IN DEATH CHAMBER </w:t>
      </w:r>
    </w:p>
    <w:p w14:paraId="0CAD3B26" w14:textId="77777777" w:rsidR="00637A12" w:rsidRDefault="00637A12" w:rsidP="00F326E5">
      <w:pPr>
        <w:rPr>
          <w:rFonts w:ascii="Times New Roman" w:hAnsi="Times New Roman"/>
          <w:sz w:val="24"/>
          <w:szCs w:val="24"/>
        </w:rPr>
      </w:pPr>
    </w:p>
    <w:p w14:paraId="2D7F9A9A" w14:textId="3FDFEDA9" w:rsidR="00F326E5" w:rsidRPr="00015208" w:rsidRDefault="00F326E5" w:rsidP="00F326E5">
      <w:pPr>
        <w:rPr>
          <w:rStyle w:val="Hyperlink"/>
          <w:rFonts w:ascii="Times New Roman" w:hAnsi="Times New Roman"/>
          <w:sz w:val="24"/>
          <w:szCs w:val="24"/>
        </w:rPr>
      </w:pPr>
      <w:r w:rsidRPr="00015208">
        <w:rPr>
          <w:rFonts w:ascii="Times New Roman" w:hAnsi="Times New Roman"/>
          <w:sz w:val="24"/>
          <w:szCs w:val="24"/>
        </w:rPr>
        <w:t xml:space="preserve">On Feb. 7, 2019, in </w:t>
      </w:r>
      <w:r w:rsidRPr="00015208">
        <w:rPr>
          <w:rFonts w:ascii="Times New Roman" w:hAnsi="Times New Roman"/>
          <w:sz w:val="24"/>
          <w:szCs w:val="24"/>
          <w:u w:val="single"/>
        </w:rPr>
        <w:t>Jefferson S. Dunn, Commissioner, Alabama Department of Corrections v. Dominique Hakim Marcelle Ray</w:t>
      </w:r>
      <w:r w:rsidRPr="00015208">
        <w:rPr>
          <w:rFonts w:ascii="Times New Roman" w:hAnsi="Times New Roman"/>
          <w:sz w:val="24"/>
          <w:szCs w:val="24"/>
        </w:rPr>
        <w:t xml:space="preserve">, </w:t>
      </w:r>
      <w:proofErr w:type="gramStart"/>
      <w:r w:rsidRPr="00015208">
        <w:rPr>
          <w:rFonts w:ascii="Times New Roman" w:hAnsi="Times New Roman"/>
          <w:sz w:val="24"/>
          <w:szCs w:val="24"/>
        </w:rPr>
        <w:t>the majority of</w:t>
      </w:r>
      <w:proofErr w:type="gramEnd"/>
      <w:r w:rsidRPr="00015208">
        <w:rPr>
          <w:rFonts w:ascii="Times New Roman" w:hAnsi="Times New Roman"/>
          <w:sz w:val="24"/>
          <w:szCs w:val="24"/>
        </w:rPr>
        <w:t xml:space="preserve"> Justices [5 to 4] overturned 11</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Circuit’s Feb. 6, </w:t>
      </w:r>
      <w:proofErr w:type="gramStart"/>
      <w:r w:rsidRPr="00015208">
        <w:rPr>
          <w:rFonts w:ascii="Times New Roman" w:hAnsi="Times New Roman"/>
          <w:sz w:val="24"/>
          <w:szCs w:val="24"/>
        </w:rPr>
        <w:t>2019</w:t>
      </w:r>
      <w:proofErr w:type="gramEnd"/>
      <w:r w:rsidRPr="00015208">
        <w:rPr>
          <w:rFonts w:ascii="Times New Roman" w:hAnsi="Times New Roman"/>
          <w:sz w:val="24"/>
          <w:szCs w:val="24"/>
        </w:rPr>
        <w:t xml:space="preserve"> stay of execution of Ray, who has raped and murdered a </w:t>
      </w:r>
      <w:proofErr w:type="gramStart"/>
      <w:r w:rsidRPr="00015208">
        <w:rPr>
          <w:rFonts w:ascii="Times New Roman" w:hAnsi="Times New Roman"/>
          <w:sz w:val="24"/>
          <w:szCs w:val="24"/>
        </w:rPr>
        <w:t>15-year old</w:t>
      </w:r>
      <w:proofErr w:type="gramEnd"/>
      <w:r w:rsidRPr="00015208">
        <w:rPr>
          <w:rFonts w:ascii="Times New Roman" w:hAnsi="Times New Roman"/>
          <w:sz w:val="24"/>
          <w:szCs w:val="24"/>
        </w:rPr>
        <w:t xml:space="preserve"> girl in 1995.   Ray had asked Alabama prison officials to allow an imam to be in the death chamber, but only correction employees are allowed, including a long employed Christian chaplain. [The State of Alabama then executed the prisoner on Feb. 7, at 10:12 pm.] </w:t>
      </w:r>
      <w:hyperlink r:id="rId361" w:history="1">
        <w:r w:rsidRPr="00015208">
          <w:rPr>
            <w:rStyle w:val="Hyperlink"/>
            <w:rFonts w:ascii="Times New Roman" w:hAnsi="Times New Roman"/>
            <w:sz w:val="24"/>
            <w:szCs w:val="24"/>
          </w:rPr>
          <w:t>https://www.supremecourt.gov/opinions/18pdf/18a815_3d9g.pdf</w:t>
        </w:r>
      </w:hyperlink>
    </w:p>
    <w:p w14:paraId="135AC590" w14:textId="77777777" w:rsidR="00F326E5" w:rsidRPr="00015208" w:rsidRDefault="00F326E5" w:rsidP="00F326E5">
      <w:pPr>
        <w:pStyle w:val="NoSpacing"/>
        <w:rPr>
          <w:rFonts w:ascii="Times New Roman" w:hAnsi="Times New Roman"/>
          <w:sz w:val="24"/>
          <w:szCs w:val="24"/>
        </w:rPr>
      </w:pPr>
      <w:r w:rsidRPr="00015208">
        <w:rPr>
          <w:rFonts w:ascii="Times New Roman" w:hAnsi="Times New Roman"/>
          <w:b/>
          <w:sz w:val="24"/>
          <w:szCs w:val="24"/>
        </w:rPr>
        <w:t>Legal Lessons Learned:  The Supreme Court’s five “conservative” Justices have made it clear that last minute stays of execution are not favored</w:t>
      </w:r>
      <w:r w:rsidRPr="00015208">
        <w:rPr>
          <w:rFonts w:ascii="Times New Roman" w:hAnsi="Times New Roman"/>
          <w:sz w:val="24"/>
          <w:szCs w:val="24"/>
        </w:rPr>
        <w:t xml:space="preserve">. </w:t>
      </w:r>
    </w:p>
    <w:p w14:paraId="25C5C679" w14:textId="77777777" w:rsidR="002B1283" w:rsidRDefault="002B1283" w:rsidP="00F326E5">
      <w:pPr>
        <w:pStyle w:val="NoSpacing"/>
        <w:ind w:left="720"/>
        <w:rPr>
          <w:sz w:val="24"/>
          <w:szCs w:val="24"/>
        </w:rPr>
      </w:pPr>
    </w:p>
    <w:p w14:paraId="3F17E0F5" w14:textId="6EB1603C" w:rsidR="00F326E5" w:rsidRPr="00015208" w:rsidRDefault="00F326E5" w:rsidP="00F326E5">
      <w:pPr>
        <w:pStyle w:val="NoSpacing"/>
        <w:ind w:left="720"/>
        <w:rPr>
          <w:rFonts w:ascii="Times New Roman" w:hAnsi="Times New Roman"/>
          <w:sz w:val="24"/>
          <w:szCs w:val="24"/>
        </w:rPr>
      </w:pPr>
      <w:r w:rsidRPr="00015208">
        <w:rPr>
          <w:rFonts w:ascii="Times New Roman" w:hAnsi="Times New Roman"/>
          <w:sz w:val="24"/>
          <w:szCs w:val="24"/>
        </w:rPr>
        <w:t xml:space="preserve">See Feb. 7, </w:t>
      </w:r>
      <w:proofErr w:type="gramStart"/>
      <w:r w:rsidRPr="00015208">
        <w:rPr>
          <w:rFonts w:ascii="Times New Roman" w:hAnsi="Times New Roman"/>
          <w:sz w:val="24"/>
          <w:szCs w:val="24"/>
        </w:rPr>
        <w:t>2018</w:t>
      </w:r>
      <w:proofErr w:type="gramEnd"/>
      <w:r w:rsidRPr="00015208">
        <w:rPr>
          <w:rFonts w:ascii="Times New Roman" w:hAnsi="Times New Roman"/>
          <w:sz w:val="24"/>
          <w:szCs w:val="24"/>
        </w:rPr>
        <w:t xml:space="preserve"> article, “Alabama Executes Muslim Inmate Who Wanted Imam Present.”   “Ray was convicted in 1999 after another man, Marcus Owden, confessed to his role in the crime and implicated Ray.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told police that they had picked the girl up for a night out on the town and then raped her.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said that Ray cut the girl’s throat.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pleaded guilty to murder, testified against Ray and is serving a life sentence without parole. A jury recommended the death penalty for Ray by an 11-1 vote.” </w:t>
      </w:r>
      <w:hyperlink r:id="rId362" w:history="1">
        <w:r w:rsidRPr="00015208">
          <w:rPr>
            <w:rStyle w:val="Hyperlink"/>
            <w:rFonts w:ascii="Times New Roman" w:hAnsi="Times New Roman"/>
            <w:sz w:val="24"/>
            <w:szCs w:val="24"/>
          </w:rPr>
          <w:t>https://www.apnews.com/50ced4152dc74df1975a925e4fa29038</w:t>
        </w:r>
      </w:hyperlink>
    </w:p>
    <w:p w14:paraId="121DFB90" w14:textId="77777777" w:rsidR="00F326E5" w:rsidRPr="00015208" w:rsidRDefault="00F326E5" w:rsidP="00F326E5">
      <w:pPr>
        <w:pStyle w:val="NoSpacing"/>
        <w:ind w:left="720"/>
        <w:rPr>
          <w:rStyle w:val="Hyperlink"/>
          <w:rFonts w:ascii="Times New Roman" w:hAnsi="Times New Roman"/>
          <w:sz w:val="24"/>
          <w:szCs w:val="24"/>
        </w:rPr>
      </w:pPr>
      <w:r w:rsidRPr="00015208">
        <w:rPr>
          <w:rFonts w:ascii="Times New Roman" w:hAnsi="Times New Roman"/>
          <w:sz w:val="24"/>
          <w:szCs w:val="24"/>
        </w:rPr>
        <w:t xml:space="preserve">See Feb. 8, </w:t>
      </w:r>
      <w:proofErr w:type="gramStart"/>
      <w:r w:rsidRPr="00015208">
        <w:rPr>
          <w:rFonts w:ascii="Times New Roman" w:hAnsi="Times New Roman"/>
          <w:sz w:val="24"/>
          <w:szCs w:val="24"/>
        </w:rPr>
        <w:t>2019</w:t>
      </w:r>
      <w:proofErr w:type="gramEnd"/>
      <w:r w:rsidRPr="00015208">
        <w:rPr>
          <w:rFonts w:ascii="Times New Roman" w:hAnsi="Times New Roman"/>
          <w:sz w:val="24"/>
          <w:szCs w:val="24"/>
        </w:rPr>
        <w:t xml:space="preserve"> Washington Post article: “Abortion, Death Penalty, Religion: Late-Night Rulings Show New Alliances </w:t>
      </w:r>
      <w:proofErr w:type="gramStart"/>
      <w:r w:rsidRPr="00015208">
        <w:rPr>
          <w:rFonts w:ascii="Times New Roman" w:hAnsi="Times New Roman"/>
          <w:sz w:val="24"/>
          <w:szCs w:val="24"/>
        </w:rPr>
        <w:t>At</w:t>
      </w:r>
      <w:proofErr w:type="gramEnd"/>
      <w:r w:rsidRPr="00015208">
        <w:rPr>
          <w:rFonts w:ascii="Times New Roman" w:hAnsi="Times New Roman"/>
          <w:sz w:val="24"/>
          <w:szCs w:val="24"/>
        </w:rPr>
        <w:t xml:space="preserve"> Supreme Court.”  </w:t>
      </w:r>
      <w:hyperlink r:id="rId363" w:history="1">
        <w:r w:rsidRPr="00015208">
          <w:rPr>
            <w:rStyle w:val="Hyperlink"/>
            <w:rFonts w:ascii="Times New Roman" w:hAnsi="Times New Roman"/>
            <w:sz w:val="24"/>
            <w:szCs w:val="24"/>
          </w:rPr>
          <w:t>https://www.washingtonpost.com/politics/courts_law/abortion-death-penalty-religion-late-night-rulings-show-new-alliances-at-supreme-court/2019/02/08/681cc252-2bb9-11e9-b011-d8500644dc98_story.html?utm_term=.6e954895539e&amp;wpisrc=nl_evening&amp;wpmm=1</w:t>
        </w:r>
      </w:hyperlink>
    </w:p>
    <w:p w14:paraId="23486DA6" w14:textId="77777777" w:rsidR="00F326E5" w:rsidRPr="00015208" w:rsidRDefault="00F326E5" w:rsidP="00F326E5">
      <w:pPr>
        <w:pStyle w:val="NoSpacing"/>
        <w:rPr>
          <w:rFonts w:ascii="Times New Roman" w:hAnsi="Times New Roman"/>
          <w:sz w:val="24"/>
          <w:szCs w:val="24"/>
        </w:rPr>
      </w:pPr>
    </w:p>
    <w:bookmarkEnd w:id="69"/>
    <w:p w14:paraId="00DEA165" w14:textId="77777777" w:rsidR="00536545" w:rsidRDefault="00536545" w:rsidP="00791CA3">
      <w:pPr>
        <w:rPr>
          <w:rFonts w:ascii="Arial Black" w:hAnsi="Arial Black"/>
          <w:b/>
          <w:sz w:val="24"/>
          <w:szCs w:val="24"/>
        </w:rPr>
      </w:pPr>
    </w:p>
    <w:p w14:paraId="0E947CD1" w14:textId="08C9C62B" w:rsidR="00F326E5" w:rsidRDefault="00791CA3" w:rsidP="00791CA3">
      <w:pPr>
        <w:rPr>
          <w:b/>
          <w:sz w:val="24"/>
          <w:szCs w:val="24"/>
        </w:rPr>
      </w:pPr>
      <w:r w:rsidRPr="00791CA3">
        <w:rPr>
          <w:rFonts w:ascii="Arial Black" w:hAnsi="Arial Black"/>
          <w:b/>
          <w:sz w:val="24"/>
          <w:szCs w:val="24"/>
        </w:rPr>
        <w:t>1-</w:t>
      </w:r>
      <w:r>
        <w:rPr>
          <w:rFonts w:ascii="Arial Black" w:hAnsi="Arial Black"/>
          <w:b/>
          <w:sz w:val="24"/>
          <w:szCs w:val="24"/>
        </w:rPr>
        <w:t>1</w:t>
      </w:r>
      <w:r w:rsidR="00637A12">
        <w:rPr>
          <w:rFonts w:ascii="Arial Black" w:hAnsi="Arial Black"/>
          <w:b/>
          <w:sz w:val="24"/>
          <w:szCs w:val="24"/>
        </w:rPr>
        <w:t>9</w:t>
      </w:r>
    </w:p>
    <w:p w14:paraId="718524CE" w14:textId="2F5BE05B" w:rsidR="00F326E5" w:rsidRDefault="00F326E5" w:rsidP="00F326E5">
      <w:pPr>
        <w:pStyle w:val="NoSpacing"/>
        <w:rPr>
          <w:rFonts w:ascii="Arial Black" w:hAnsi="Arial Black"/>
          <w:sz w:val="28"/>
          <w:szCs w:val="28"/>
        </w:rPr>
      </w:pPr>
      <w:bookmarkStart w:id="70" w:name="_Hlk7339379"/>
      <w:r w:rsidRPr="00C25785">
        <w:rPr>
          <w:rFonts w:ascii="Arial Black" w:hAnsi="Arial Black"/>
          <w:sz w:val="28"/>
          <w:szCs w:val="28"/>
        </w:rPr>
        <w:t xml:space="preserve">MA: </w:t>
      </w:r>
      <w:r>
        <w:rPr>
          <w:rFonts w:ascii="Arial Black" w:hAnsi="Arial Black"/>
          <w:sz w:val="28"/>
          <w:szCs w:val="28"/>
        </w:rPr>
        <w:t>SPRINKLERS - DRUG REHAB HOUSE WITH 8 PATIENTS – COURT UPHOLDS FIRE CODE</w:t>
      </w:r>
    </w:p>
    <w:p w14:paraId="1BE1EC99" w14:textId="77777777" w:rsidR="00F326E5" w:rsidRPr="00015208" w:rsidRDefault="00F326E5" w:rsidP="00F326E5">
      <w:pPr>
        <w:rPr>
          <w:rFonts w:ascii="Times New Roman" w:hAnsi="Times New Roman"/>
          <w:sz w:val="24"/>
          <w:szCs w:val="24"/>
        </w:rPr>
      </w:pPr>
      <w:r w:rsidRPr="00015208">
        <w:rPr>
          <w:rFonts w:ascii="Times New Roman" w:hAnsi="Times New Roman"/>
          <w:sz w:val="24"/>
          <w:szCs w:val="24"/>
        </w:rPr>
        <w:t xml:space="preserve">On Jan. 29, 2019, in </w:t>
      </w:r>
      <w:r w:rsidRPr="00015208">
        <w:rPr>
          <w:rFonts w:ascii="Times New Roman" w:hAnsi="Times New Roman"/>
          <w:sz w:val="24"/>
          <w:szCs w:val="24"/>
          <w:u w:val="single"/>
        </w:rPr>
        <w:t xml:space="preserve">Crossing Over, Inc, et al. v. City of </w:t>
      </w:r>
      <w:proofErr w:type="spellStart"/>
      <w:r w:rsidRPr="00015208">
        <w:rPr>
          <w:rFonts w:ascii="Times New Roman" w:hAnsi="Times New Roman"/>
          <w:sz w:val="24"/>
          <w:szCs w:val="24"/>
          <w:u w:val="single"/>
        </w:rPr>
        <w:t>Fitchberg</w:t>
      </w:r>
      <w:proofErr w:type="spellEnd"/>
      <w:r w:rsidRPr="00015208">
        <w:rPr>
          <w:rFonts w:ascii="Times New Roman" w:hAnsi="Times New Roman"/>
          <w:sz w:val="24"/>
          <w:szCs w:val="24"/>
        </w:rPr>
        <w:t xml:space="preserve">, Justice Rosemary Connelly, MA Superior Court upheld the July 14, </w:t>
      </w:r>
      <w:proofErr w:type="gramStart"/>
      <w:r w:rsidRPr="00015208">
        <w:rPr>
          <w:rFonts w:ascii="Times New Roman" w:hAnsi="Times New Roman"/>
          <w:sz w:val="24"/>
          <w:szCs w:val="24"/>
        </w:rPr>
        <w:t>2017</w:t>
      </w:r>
      <w:proofErr w:type="gramEnd"/>
      <w:r w:rsidRPr="00015208">
        <w:rPr>
          <w:rFonts w:ascii="Times New Roman" w:hAnsi="Times New Roman"/>
          <w:sz w:val="24"/>
          <w:szCs w:val="24"/>
        </w:rPr>
        <w:t xml:space="preserve"> decision of the “Automatic Sprinkler Appeals Board” which held:</w:t>
      </w:r>
    </w:p>
    <w:p w14:paraId="453E6380" w14:textId="5AE47AAE" w:rsidR="00F326E5" w:rsidRPr="00015208" w:rsidRDefault="006C7F17" w:rsidP="00F326E5">
      <w:pPr>
        <w:ind w:left="720"/>
        <w:rPr>
          <w:rFonts w:ascii="Times New Roman" w:hAnsi="Times New Roman"/>
          <w:b/>
          <w:sz w:val="24"/>
          <w:szCs w:val="24"/>
        </w:rPr>
      </w:pPr>
      <w:r>
        <w:rPr>
          <w:rFonts w:ascii="Times New Roman" w:hAnsi="Times New Roman"/>
          <w:sz w:val="24"/>
          <w:szCs w:val="24"/>
        </w:rPr>
        <w:t>“</w:t>
      </w:r>
      <w:r w:rsidR="00F326E5" w:rsidRPr="00015208">
        <w:rPr>
          <w:rFonts w:ascii="Times New Roman" w:hAnsi="Times New Roman"/>
          <w:sz w:val="24"/>
          <w:szCs w:val="24"/>
        </w:rPr>
        <w:t xml:space="preserve">Based upon the aforementioned findings and reasoning, the Board hereby upholds the Order of the Fitchburg Fire Department and requires the installation of an adequate system of sprinklers throughout all portions of the subject building used and/or occupied for boarding or lodging purposes….” </w:t>
      </w:r>
      <w:hyperlink r:id="rId364" w:history="1">
        <w:r w:rsidR="00F326E5" w:rsidRPr="00015208">
          <w:rPr>
            <w:rStyle w:val="Hyperlink"/>
            <w:rFonts w:ascii="Times New Roman" w:hAnsi="Times New Roman"/>
            <w:sz w:val="24"/>
            <w:szCs w:val="24"/>
          </w:rPr>
          <w:t>https://www.mass.gov/files/documents/2018/06/22/ASAB%2017-04%20%2044%20Mt.%20Vernon%20St.%2C%20Fitchburg.pdf?_ga=2.103697088.170248601.1551215432-2018690554.1551215432</w:t>
        </w:r>
      </w:hyperlink>
      <w:r w:rsidR="00F326E5" w:rsidRPr="00015208">
        <w:rPr>
          <w:rFonts w:ascii="Times New Roman" w:hAnsi="Times New Roman"/>
          <w:b/>
          <w:sz w:val="24"/>
          <w:szCs w:val="24"/>
        </w:rPr>
        <w:t xml:space="preserve"> </w:t>
      </w:r>
    </w:p>
    <w:p w14:paraId="057C0F01" w14:textId="77777777" w:rsidR="00F326E5" w:rsidRPr="00015208" w:rsidRDefault="00F326E5" w:rsidP="006C7F17">
      <w:pPr>
        <w:pStyle w:val="NoSpacing"/>
        <w:ind w:left="720"/>
        <w:rPr>
          <w:rStyle w:val="Hyperlink"/>
          <w:rFonts w:ascii="Times New Roman" w:hAnsi="Times New Roman"/>
          <w:bCs/>
          <w:sz w:val="24"/>
          <w:szCs w:val="24"/>
        </w:rPr>
      </w:pPr>
      <w:r w:rsidRPr="00015208">
        <w:rPr>
          <w:rFonts w:ascii="Times New Roman" w:hAnsi="Times New Roman"/>
          <w:sz w:val="24"/>
          <w:szCs w:val="24"/>
        </w:rPr>
        <w:t xml:space="preserve">Justice Connelly denied the property owner’s motion to reverse the Board, holding that the Board’s decision is legal, supported by the record, and the Board has not exceeded </w:t>
      </w:r>
      <w:proofErr w:type="spellStart"/>
      <w:proofErr w:type="gramStart"/>
      <w:r w:rsidRPr="00015208">
        <w:rPr>
          <w:rFonts w:ascii="Times New Roman" w:hAnsi="Times New Roman"/>
          <w:sz w:val="24"/>
          <w:szCs w:val="24"/>
        </w:rPr>
        <w:t>it</w:t>
      </w:r>
      <w:proofErr w:type="spellEnd"/>
      <w:proofErr w:type="gramEnd"/>
      <w:r w:rsidRPr="00015208">
        <w:rPr>
          <w:rFonts w:ascii="Times New Roman" w:hAnsi="Times New Roman"/>
          <w:sz w:val="24"/>
          <w:szCs w:val="24"/>
        </w:rPr>
        <w:t xml:space="preserve"> authority.  The court will give deference to the Board’s reasonable interpretation of its own statute.” </w:t>
      </w:r>
      <w:hyperlink r:id="rId365" w:history="1">
        <w:r w:rsidRPr="00015208">
          <w:rPr>
            <w:rStyle w:val="Hyperlink"/>
            <w:rFonts w:ascii="Times New Roman" w:hAnsi="Times New Roman"/>
            <w:sz w:val="24"/>
            <w:szCs w:val="24"/>
          </w:rPr>
          <w:t>https://d279m997dpfwgl.cloudfront.net/wp/2019/02/EPSON520.pdf</w:t>
        </w:r>
      </w:hyperlink>
    </w:p>
    <w:p w14:paraId="5077CBA9" w14:textId="77777777" w:rsidR="006C7F17" w:rsidRDefault="006C7F17" w:rsidP="00F326E5">
      <w:pPr>
        <w:pStyle w:val="NoSpacing"/>
        <w:rPr>
          <w:rFonts w:ascii="Times New Roman" w:hAnsi="Times New Roman"/>
          <w:b/>
          <w:sz w:val="24"/>
          <w:szCs w:val="24"/>
        </w:rPr>
      </w:pPr>
    </w:p>
    <w:p w14:paraId="03584341" w14:textId="0A433C95"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Sprinkler ordinances save lives. </w:t>
      </w:r>
    </w:p>
    <w:p w14:paraId="64C176AE" w14:textId="61D989AA" w:rsidR="00FB71EA" w:rsidRDefault="00FB71EA" w:rsidP="00F326E5">
      <w:pPr>
        <w:rPr>
          <w:bCs/>
          <w:sz w:val="24"/>
          <w:szCs w:val="24"/>
        </w:rPr>
      </w:pPr>
    </w:p>
    <w:p w14:paraId="79229CA2" w14:textId="77777777" w:rsidR="00637A12" w:rsidRDefault="00637A12" w:rsidP="00F326E5">
      <w:pPr>
        <w:rPr>
          <w:rFonts w:ascii="Arial Black" w:hAnsi="Arial Black"/>
          <w:bCs/>
          <w:sz w:val="24"/>
          <w:szCs w:val="24"/>
        </w:rPr>
      </w:pPr>
    </w:p>
    <w:p w14:paraId="71831CF1" w14:textId="42595BC6" w:rsidR="00637A12" w:rsidRPr="00637A12" w:rsidRDefault="00637A12" w:rsidP="00F326E5">
      <w:pPr>
        <w:rPr>
          <w:rFonts w:ascii="Arial Black" w:hAnsi="Arial Black"/>
          <w:bCs/>
          <w:sz w:val="24"/>
          <w:szCs w:val="24"/>
        </w:rPr>
      </w:pPr>
      <w:r w:rsidRPr="00637A12">
        <w:rPr>
          <w:rFonts w:ascii="Arial Black" w:hAnsi="Arial Black"/>
          <w:bCs/>
          <w:sz w:val="24"/>
          <w:szCs w:val="24"/>
        </w:rPr>
        <w:t>1-18</w:t>
      </w:r>
    </w:p>
    <w:p w14:paraId="39A0482A" w14:textId="77777777" w:rsidR="006C7F17" w:rsidRDefault="006C7F17" w:rsidP="00F326E5">
      <w:pPr>
        <w:pStyle w:val="NoSpacing"/>
        <w:rPr>
          <w:rFonts w:ascii="Arial Black" w:hAnsi="Arial Black"/>
          <w:b/>
          <w:sz w:val="28"/>
          <w:szCs w:val="28"/>
        </w:rPr>
      </w:pPr>
      <w:bookmarkStart w:id="71" w:name="_Hlk7339428"/>
      <w:bookmarkEnd w:id="70"/>
    </w:p>
    <w:p w14:paraId="404CBBDD" w14:textId="1ECD00B1" w:rsidR="00F326E5" w:rsidRDefault="00F326E5" w:rsidP="00F326E5">
      <w:pPr>
        <w:pStyle w:val="NoSpacing"/>
        <w:rPr>
          <w:rFonts w:ascii="Arial Black" w:hAnsi="Arial Black"/>
          <w:b/>
          <w:sz w:val="28"/>
          <w:szCs w:val="28"/>
        </w:rPr>
      </w:pPr>
      <w:r>
        <w:rPr>
          <w:rFonts w:ascii="Arial Black" w:hAnsi="Arial Black"/>
          <w:b/>
          <w:sz w:val="28"/>
          <w:szCs w:val="28"/>
        </w:rPr>
        <w:t>PA: ARSON – DEFENDANT SMELLED OF GASOLINE, TRAINED ARSON DOG ALERTED</w:t>
      </w:r>
    </w:p>
    <w:p w14:paraId="5ACFF1EA" w14:textId="77777777" w:rsidR="00F326E5" w:rsidRPr="00015208" w:rsidRDefault="00F326E5" w:rsidP="00F326E5">
      <w:pPr>
        <w:pStyle w:val="NoSpacing"/>
        <w:rPr>
          <w:rStyle w:val="Hyperlink"/>
          <w:rFonts w:ascii="Times New Roman" w:hAnsi="Times New Roman"/>
          <w:sz w:val="24"/>
          <w:szCs w:val="24"/>
        </w:rPr>
      </w:pPr>
      <w:r w:rsidRPr="00015208">
        <w:rPr>
          <w:rFonts w:ascii="Times New Roman" w:hAnsi="Times New Roman"/>
          <w:sz w:val="24"/>
          <w:szCs w:val="24"/>
        </w:rPr>
        <w:t xml:space="preserve">On Jan. 11, 2019, in </w:t>
      </w:r>
      <w:r w:rsidRPr="00015208">
        <w:rPr>
          <w:rFonts w:ascii="Times New Roman" w:hAnsi="Times New Roman"/>
          <w:sz w:val="24"/>
          <w:szCs w:val="24"/>
          <w:u w:val="single"/>
        </w:rPr>
        <w:t>Commonwealth of Pennsylvania v. Jamat Ali Manzoor</w:t>
      </w:r>
      <w:r w:rsidRPr="00015208">
        <w:rPr>
          <w:rFonts w:ascii="Times New Roman" w:hAnsi="Times New Roman"/>
          <w:sz w:val="24"/>
          <w:szCs w:val="24"/>
        </w:rPr>
        <w:t xml:space="preserve">,  the Superior Court of PA (3 to 0) upheld the jury conviction on two counts of arson, and insurance fraud.  </w:t>
      </w:r>
      <w:hyperlink r:id="rId366" w:history="1">
        <w:r w:rsidRPr="00015208">
          <w:rPr>
            <w:rStyle w:val="Hyperlink"/>
            <w:rFonts w:ascii="Times New Roman" w:hAnsi="Times New Roman"/>
            <w:sz w:val="24"/>
            <w:szCs w:val="24"/>
          </w:rPr>
          <w:t>https://cases.justia.com/pennsylvania/superior-court/2019-1121-mda-2017.pdf?ts=1547235373</w:t>
        </w:r>
      </w:hyperlink>
    </w:p>
    <w:p w14:paraId="768075AC" w14:textId="77777777"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Evidence of trained arson K-9 </w:t>
      </w:r>
      <w:proofErr w:type="gramStart"/>
      <w:r w:rsidRPr="00015208">
        <w:rPr>
          <w:rFonts w:ascii="Times New Roman" w:hAnsi="Times New Roman"/>
          <w:b/>
          <w:sz w:val="24"/>
          <w:szCs w:val="24"/>
        </w:rPr>
        <w:t>alerting for</w:t>
      </w:r>
      <w:proofErr w:type="gramEnd"/>
      <w:r w:rsidRPr="00015208">
        <w:rPr>
          <w:rFonts w:ascii="Times New Roman" w:hAnsi="Times New Roman"/>
          <w:b/>
          <w:sz w:val="24"/>
          <w:szCs w:val="24"/>
        </w:rPr>
        <w:t xml:space="preserve"> accelerants to admissible in arson trial. </w:t>
      </w:r>
    </w:p>
    <w:p w14:paraId="1804AFE1" w14:textId="77777777" w:rsidR="00015208" w:rsidRDefault="00015208" w:rsidP="00F326E5">
      <w:pPr>
        <w:pStyle w:val="NoSpacing"/>
        <w:rPr>
          <w:rFonts w:ascii="Times New Roman" w:hAnsi="Times New Roman"/>
          <w:b/>
          <w:sz w:val="24"/>
          <w:szCs w:val="24"/>
        </w:rPr>
      </w:pPr>
    </w:p>
    <w:p w14:paraId="392F3541" w14:textId="250DA877" w:rsidR="00F326E5" w:rsidRPr="00015208" w:rsidRDefault="00F326E5" w:rsidP="00F326E5">
      <w:pPr>
        <w:pStyle w:val="NoSpacing"/>
        <w:rPr>
          <w:rFonts w:ascii="Times New Roman" w:hAnsi="Times New Roman"/>
          <w:bCs/>
          <w:sz w:val="24"/>
          <w:szCs w:val="24"/>
        </w:rPr>
      </w:pPr>
      <w:r w:rsidRPr="00015208">
        <w:rPr>
          <w:rFonts w:ascii="Times New Roman" w:hAnsi="Times New Roman"/>
          <w:bCs/>
          <w:sz w:val="24"/>
          <w:szCs w:val="24"/>
        </w:rPr>
        <w:t xml:space="preserve">See my case analysis: </w:t>
      </w:r>
      <w:hyperlink r:id="rId367" w:history="1">
        <w:r w:rsidRPr="00015208">
          <w:rPr>
            <w:rStyle w:val="Hyperlink"/>
            <w:rFonts w:ascii="Times New Roman" w:hAnsi="Times New Roman"/>
            <w:bCs/>
            <w:sz w:val="24"/>
            <w:szCs w:val="24"/>
          </w:rPr>
          <w:t>https://ceas.uc.edu/content/dam/refresh/ceas-62/documents/academics/departments/aerospace-engineering-&amp;-engineering-mechanics/fire-science/1Jan.%202019%20Newsletter%20ADA%200.pdf</w:t>
        </w:r>
      </w:hyperlink>
      <w:r w:rsidRPr="00015208">
        <w:rPr>
          <w:rFonts w:ascii="Times New Roman" w:hAnsi="Times New Roman"/>
          <w:bCs/>
          <w:sz w:val="24"/>
          <w:szCs w:val="24"/>
        </w:rPr>
        <w:t xml:space="preserve"> </w:t>
      </w:r>
      <w:r w:rsidRPr="00015208">
        <w:rPr>
          <w:rFonts w:ascii="Times New Roman" w:hAnsi="Times New Roman"/>
          <w:bCs/>
          <w:sz w:val="24"/>
          <w:szCs w:val="24"/>
        </w:rPr>
        <w:tab/>
      </w:r>
    </w:p>
    <w:p w14:paraId="631ADC7F" w14:textId="77777777" w:rsidR="00F326E5" w:rsidRDefault="00F326E5" w:rsidP="00F326E5">
      <w:pPr>
        <w:pStyle w:val="NoSpacing"/>
        <w:rPr>
          <w:rFonts w:ascii="Times New Roman" w:hAnsi="Times New Roman"/>
          <w:sz w:val="24"/>
          <w:szCs w:val="24"/>
        </w:rPr>
      </w:pPr>
    </w:p>
    <w:bookmarkEnd w:id="71"/>
    <w:p w14:paraId="1889E4D5" w14:textId="77777777" w:rsidR="00F326E5" w:rsidRDefault="00F326E5" w:rsidP="00F326E5">
      <w:pPr>
        <w:pStyle w:val="NoSpacing"/>
        <w:rPr>
          <w:rFonts w:ascii="Times New Roman" w:hAnsi="Times New Roman"/>
          <w:sz w:val="24"/>
          <w:szCs w:val="24"/>
        </w:rPr>
      </w:pPr>
    </w:p>
    <w:p w14:paraId="7D1C7A0B" w14:textId="77777777" w:rsidR="00F326E5" w:rsidRDefault="00F326E5" w:rsidP="00F326E5">
      <w:pPr>
        <w:pStyle w:val="NoSpacing"/>
        <w:rPr>
          <w:sz w:val="24"/>
          <w:szCs w:val="24"/>
        </w:rPr>
      </w:pPr>
    </w:p>
    <w:p w14:paraId="488300D1" w14:textId="6A379CE0" w:rsidR="00F326E5" w:rsidRPr="00637A12" w:rsidRDefault="00637A12" w:rsidP="00F326E5">
      <w:pPr>
        <w:pStyle w:val="NoSpacing"/>
        <w:rPr>
          <w:rFonts w:ascii="Arial Black" w:hAnsi="Arial Black"/>
          <w:sz w:val="24"/>
          <w:szCs w:val="24"/>
        </w:rPr>
      </w:pPr>
      <w:r w:rsidRPr="00637A12">
        <w:rPr>
          <w:rFonts w:ascii="Arial Black" w:hAnsi="Arial Black"/>
          <w:sz w:val="24"/>
          <w:szCs w:val="24"/>
        </w:rPr>
        <w:t>1-17</w:t>
      </w:r>
    </w:p>
    <w:p w14:paraId="728A3735" w14:textId="77777777" w:rsidR="00637A12" w:rsidRDefault="00637A12" w:rsidP="00F326E5">
      <w:pPr>
        <w:pStyle w:val="NoSpacing"/>
        <w:rPr>
          <w:sz w:val="24"/>
          <w:szCs w:val="24"/>
        </w:rPr>
      </w:pPr>
    </w:p>
    <w:p w14:paraId="64C31F7A" w14:textId="05269BD3" w:rsidR="00F326E5" w:rsidRDefault="00F326E5" w:rsidP="00F326E5">
      <w:pPr>
        <w:pStyle w:val="NoSpacing"/>
        <w:rPr>
          <w:rFonts w:ascii="Arial Black" w:hAnsi="Arial Black"/>
          <w:b/>
          <w:sz w:val="28"/>
          <w:szCs w:val="28"/>
        </w:rPr>
      </w:pPr>
      <w:bookmarkStart w:id="72" w:name="_Hlk7339518"/>
      <w:r>
        <w:rPr>
          <w:rFonts w:ascii="Arial Black" w:hAnsi="Arial Black"/>
          <w:b/>
          <w:sz w:val="28"/>
          <w:szCs w:val="28"/>
        </w:rPr>
        <w:t>U.S. SUPREME COURT: QUALIFIED IMMUNITY FOR POLICE OFFICERS – DOMESTIC VIOLENCE ARREST</w:t>
      </w:r>
    </w:p>
    <w:p w14:paraId="44BE66DA" w14:textId="568B43A7" w:rsidR="00637A12" w:rsidRDefault="00F326E5" w:rsidP="00F326E5">
      <w:pPr>
        <w:rPr>
          <w:rFonts w:ascii="Times New Roman" w:hAnsi="Times New Roman"/>
          <w:sz w:val="24"/>
          <w:szCs w:val="24"/>
        </w:rPr>
      </w:pPr>
      <w:r w:rsidRPr="00015208">
        <w:rPr>
          <w:rFonts w:ascii="Times New Roman" w:hAnsi="Times New Roman"/>
          <w:sz w:val="24"/>
          <w:szCs w:val="24"/>
        </w:rPr>
        <w:t xml:space="preserve">On Jan. 7, 2019, in </w:t>
      </w:r>
      <w:r w:rsidRPr="00015208">
        <w:rPr>
          <w:rFonts w:ascii="Times New Roman" w:hAnsi="Times New Roman"/>
          <w:sz w:val="24"/>
          <w:szCs w:val="24"/>
          <w:u w:val="single"/>
        </w:rPr>
        <w:t>City of Escondido, California v. Mart Emmons</w:t>
      </w:r>
      <w:r w:rsidRPr="00015208">
        <w:rPr>
          <w:rFonts w:ascii="Times New Roman" w:hAnsi="Times New Roman"/>
          <w:sz w:val="24"/>
          <w:szCs w:val="24"/>
        </w:rPr>
        <w:t>, the U.S. Supreme Court (9 to 0), in a per curiam decision [not authored by a specific Justice], reversed the 9</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 without the need to even hear oral argument.  The Court held: </w:t>
      </w:r>
    </w:p>
    <w:p w14:paraId="2C9B6516" w14:textId="59A25C5E" w:rsidR="00F326E5" w:rsidRPr="00015208" w:rsidRDefault="00F326E5" w:rsidP="00637A12">
      <w:pPr>
        <w:ind w:left="720"/>
        <w:rPr>
          <w:rFonts w:ascii="Times New Roman" w:eastAsia="Times New Roman" w:hAnsi="Times New Roman"/>
          <w:sz w:val="24"/>
          <w:szCs w:val="24"/>
        </w:rPr>
      </w:pPr>
      <w:r w:rsidRPr="00015208">
        <w:rPr>
          <w:rFonts w:ascii="Times New Roman" w:hAnsi="Times New Roman"/>
          <w:sz w:val="24"/>
          <w:szCs w:val="24"/>
        </w:rPr>
        <w:t>“</w:t>
      </w:r>
      <w:r w:rsidRPr="00015208">
        <w:rPr>
          <w:rFonts w:ascii="Times New Roman" w:eastAsia="Times New Roman" w:hAnsi="Times New Roman"/>
          <w:sz w:val="24"/>
          <w:szCs w:val="24"/>
        </w:rPr>
        <w:t xml:space="preserve">As to Officer Craig, the Ninth Circuit also erred. As we have explained many </w:t>
      </w:r>
      <w:proofErr w:type="gramStart"/>
      <w:r w:rsidRPr="00015208">
        <w:rPr>
          <w:rFonts w:ascii="Times New Roman" w:eastAsia="Times New Roman" w:hAnsi="Times New Roman"/>
          <w:sz w:val="24"/>
          <w:szCs w:val="24"/>
        </w:rPr>
        <w:t>times: ‘</w:t>
      </w:r>
      <w:proofErr w:type="gramEnd"/>
      <w:r w:rsidRPr="00015208">
        <w:rPr>
          <w:rFonts w:ascii="Times New Roman" w:eastAsia="Times New Roman" w:hAnsi="Times New Roman"/>
          <w:sz w:val="24"/>
          <w:szCs w:val="24"/>
        </w:rPr>
        <w:t>Qualified immunity attaches when an official’s conduct does not violate clearly established statutory or constitutional rights of which a reasonable person would have known.’ Kisela v. Hughes, 584 U. S. ___, ___ (2018) (per curiam). The Court of Appeals made no effort to explain how that case law prohibited Officer Craig’s actions in this case.”</w:t>
      </w:r>
      <w:r w:rsidRPr="00015208">
        <w:rPr>
          <w:rFonts w:ascii="Times New Roman" w:hAnsi="Times New Roman"/>
          <w:sz w:val="24"/>
          <w:szCs w:val="24"/>
        </w:rPr>
        <w:t xml:space="preserve"> </w:t>
      </w:r>
      <w:hyperlink r:id="rId368" w:history="1">
        <w:r w:rsidRPr="00015208">
          <w:rPr>
            <w:rStyle w:val="Hyperlink"/>
            <w:rFonts w:ascii="Times New Roman" w:hAnsi="Times New Roman"/>
            <w:sz w:val="24"/>
            <w:szCs w:val="24"/>
          </w:rPr>
          <w:t>https://www.supremecourt.gov/opinions/18pdf/17-1660_5ifl.pdf</w:t>
        </w:r>
      </w:hyperlink>
      <w:r w:rsidRPr="00015208">
        <w:rPr>
          <w:rFonts w:ascii="Times New Roman" w:eastAsia="Times New Roman" w:hAnsi="Times New Roman"/>
          <w:sz w:val="24"/>
          <w:szCs w:val="24"/>
        </w:rPr>
        <w:t xml:space="preserve"> </w:t>
      </w:r>
    </w:p>
    <w:p w14:paraId="6081C7B2" w14:textId="577C97D4" w:rsidR="00F326E5" w:rsidRPr="00015208" w:rsidRDefault="00F326E5" w:rsidP="00F326E5">
      <w:pPr>
        <w:rPr>
          <w:rFonts w:ascii="Times New Roman" w:eastAsia="Times New Roman" w:hAnsi="Times New Roman"/>
          <w:sz w:val="24"/>
          <w:szCs w:val="24"/>
        </w:rPr>
      </w:pPr>
      <w:r w:rsidRPr="00015208">
        <w:rPr>
          <w:rFonts w:ascii="Times New Roman" w:eastAsia="Times New Roman" w:hAnsi="Times New Roman"/>
          <w:b/>
          <w:sz w:val="24"/>
          <w:szCs w:val="24"/>
        </w:rPr>
        <w:t xml:space="preserve">Legal Lessons Learned:  Great decision on “qualified immunity” for emergency responders. </w:t>
      </w:r>
    </w:p>
    <w:p w14:paraId="65BCED32" w14:textId="0C276829" w:rsidR="00F326E5" w:rsidRPr="00015208" w:rsidRDefault="00F326E5" w:rsidP="00ED63B1">
      <w:pPr>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See also Chap. 13:  Aug. 14, </w:t>
      </w:r>
      <w:proofErr w:type="gramStart"/>
      <w:r w:rsidRPr="00015208">
        <w:rPr>
          <w:rFonts w:ascii="Times New Roman" w:eastAsia="Times New Roman" w:hAnsi="Times New Roman"/>
          <w:sz w:val="24"/>
          <w:szCs w:val="24"/>
        </w:rPr>
        <w:t>2018</w:t>
      </w:r>
      <w:proofErr w:type="gramEnd"/>
      <w:r w:rsidRPr="00015208">
        <w:rPr>
          <w:rFonts w:ascii="Times New Roman" w:eastAsia="Times New Roman" w:hAnsi="Times New Roman"/>
          <w:sz w:val="24"/>
          <w:szCs w:val="24"/>
        </w:rPr>
        <w:t xml:space="preserve"> decision by 7</w:t>
      </w:r>
      <w:r w:rsidRPr="00015208">
        <w:rPr>
          <w:rFonts w:ascii="Times New Roman" w:eastAsia="Times New Roman" w:hAnsi="Times New Roman"/>
          <w:sz w:val="24"/>
          <w:szCs w:val="24"/>
          <w:vertAlign w:val="superscript"/>
        </w:rPr>
        <w:t>th</w:t>
      </w:r>
      <w:r w:rsidRPr="00015208">
        <w:rPr>
          <w:rFonts w:ascii="Times New Roman" w:eastAsia="Times New Roman" w:hAnsi="Times New Roman"/>
          <w:sz w:val="24"/>
          <w:szCs w:val="24"/>
        </w:rPr>
        <w:t xml:space="preserve"> Circuit in </w:t>
      </w:r>
      <w:r w:rsidRPr="00015208">
        <w:rPr>
          <w:rFonts w:ascii="Times New Roman" w:eastAsia="Times New Roman" w:hAnsi="Times New Roman"/>
          <w:sz w:val="24"/>
          <w:szCs w:val="24"/>
          <w:u w:val="single"/>
        </w:rPr>
        <w:t>Billie Thompson v. Lance Cope</w:t>
      </w:r>
      <w:r w:rsidRPr="00015208">
        <w:rPr>
          <w:rFonts w:ascii="Times New Roman" w:eastAsia="Times New Roman" w:hAnsi="Times New Roman"/>
          <w:sz w:val="24"/>
          <w:szCs w:val="24"/>
        </w:rPr>
        <w:t xml:space="preserve"> where Indianapolis police called EMS to help with </w:t>
      </w:r>
      <w:proofErr w:type="gramStart"/>
      <w:r w:rsidRPr="00015208">
        <w:rPr>
          <w:rFonts w:ascii="Times New Roman" w:eastAsia="Times New Roman" w:hAnsi="Times New Roman"/>
          <w:sz w:val="24"/>
          <w:szCs w:val="24"/>
        </w:rPr>
        <w:t>person</w:t>
      </w:r>
      <w:proofErr w:type="gramEnd"/>
      <w:r w:rsidRPr="00015208">
        <w:rPr>
          <w:rFonts w:ascii="Times New Roman" w:eastAsia="Times New Roman" w:hAnsi="Times New Roman"/>
          <w:sz w:val="24"/>
          <w:szCs w:val="24"/>
        </w:rPr>
        <w:t xml:space="preserve"> found naked, running in street, high on amphetamines, and combative.  EMS administered a sedative – </w:t>
      </w:r>
      <w:r w:rsidRPr="00015208">
        <w:rPr>
          <w:rFonts w:ascii="Times New Roman" w:hAnsi="Times New Roman"/>
          <w:sz w:val="24"/>
          <w:szCs w:val="24"/>
        </w:rPr>
        <w:t xml:space="preserve">Versed - </w:t>
      </w:r>
      <w:r w:rsidRPr="00015208">
        <w:rPr>
          <w:rFonts w:ascii="Times New Roman" w:eastAsia="Times New Roman" w:hAnsi="Times New Roman"/>
          <w:sz w:val="24"/>
          <w:szCs w:val="24"/>
        </w:rPr>
        <w:t xml:space="preserve">patient stopped </w:t>
      </w:r>
      <w:proofErr w:type="gramStart"/>
      <w:r w:rsidRPr="00015208">
        <w:rPr>
          <w:rFonts w:ascii="Times New Roman" w:eastAsia="Times New Roman" w:hAnsi="Times New Roman"/>
          <w:sz w:val="24"/>
          <w:szCs w:val="24"/>
        </w:rPr>
        <w:t>breathing, and</w:t>
      </w:r>
      <w:proofErr w:type="gramEnd"/>
      <w:r w:rsidRPr="00015208">
        <w:rPr>
          <w:rFonts w:ascii="Times New Roman" w:eastAsia="Times New Roman" w:hAnsi="Times New Roman"/>
          <w:sz w:val="24"/>
          <w:szCs w:val="24"/>
        </w:rPr>
        <w:t xml:space="preserve"> was revived; he ultimately died 8-days later.  The Court held (3 to 0), “The paramedic is entitled to qualified immunity on the excessive force claim. Case law did not (and does not) clearly establish that a paramedic can violate a patient-arrestee’s Fourth Amendment rights by exercising medical judgment to administer a sedative in a medical </w:t>
      </w:r>
      <w:proofErr w:type="gramStart"/>
      <w:r w:rsidRPr="00015208">
        <w:rPr>
          <w:rFonts w:ascii="Times New Roman" w:eastAsia="Times New Roman" w:hAnsi="Times New Roman"/>
          <w:sz w:val="24"/>
          <w:szCs w:val="24"/>
        </w:rPr>
        <w:t>emergency.”</w:t>
      </w:r>
      <w:proofErr w:type="gramEnd"/>
      <w:r w:rsidRPr="00015208">
        <w:rPr>
          <w:rFonts w:ascii="Times New Roman" w:eastAsia="Times New Roman" w:hAnsi="Times New Roman"/>
          <w:sz w:val="24"/>
          <w:szCs w:val="24"/>
        </w:rPr>
        <w:t xml:space="preserve"> </w:t>
      </w:r>
      <w:hyperlink r:id="rId369" w:history="1">
        <w:r w:rsidRPr="00015208">
          <w:rPr>
            <w:rStyle w:val="Hyperlink"/>
            <w:rFonts w:ascii="Times New Roman" w:hAnsi="Times New Roman"/>
            <w:sz w:val="24"/>
            <w:szCs w:val="24"/>
          </w:rPr>
          <w:t>https://cases.justia.com/federal/appellate-courts/ca7/17-3060/17-3060-2018-08-14.pdf?ts=1534262420</w:t>
        </w:r>
      </w:hyperlink>
      <w:r w:rsidRPr="00015208">
        <w:rPr>
          <w:rFonts w:ascii="Times New Roman" w:eastAsia="Times New Roman" w:hAnsi="Times New Roman"/>
          <w:sz w:val="24"/>
          <w:szCs w:val="24"/>
        </w:rPr>
        <w:t xml:space="preserve"> </w:t>
      </w:r>
    </w:p>
    <w:p w14:paraId="15417390" w14:textId="77777777" w:rsidR="00637A12" w:rsidRDefault="00637A12" w:rsidP="00791CA3">
      <w:pPr>
        <w:rPr>
          <w:rFonts w:ascii="Arial Black" w:hAnsi="Arial Black"/>
          <w:b/>
          <w:sz w:val="24"/>
          <w:szCs w:val="24"/>
        </w:rPr>
      </w:pPr>
      <w:bookmarkStart w:id="73" w:name="_Hlk7339594"/>
      <w:bookmarkEnd w:id="72"/>
    </w:p>
    <w:p w14:paraId="35BEB28B" w14:textId="3190A61D" w:rsidR="002B1283" w:rsidRDefault="00791CA3" w:rsidP="00791CA3">
      <w:pPr>
        <w:rPr>
          <w:rFonts w:ascii="Arial Black" w:hAnsi="Arial Black"/>
          <w:b/>
          <w:sz w:val="28"/>
          <w:szCs w:val="28"/>
        </w:rPr>
      </w:pPr>
      <w:r w:rsidRPr="00791CA3">
        <w:rPr>
          <w:rFonts w:ascii="Arial Black" w:hAnsi="Arial Black"/>
          <w:b/>
          <w:sz w:val="24"/>
          <w:szCs w:val="24"/>
        </w:rPr>
        <w:t>1-</w:t>
      </w:r>
      <w:r>
        <w:rPr>
          <w:rFonts w:ascii="Arial Black" w:hAnsi="Arial Black"/>
          <w:b/>
          <w:sz w:val="24"/>
          <w:szCs w:val="24"/>
        </w:rPr>
        <w:t>16</w:t>
      </w:r>
    </w:p>
    <w:p w14:paraId="76AFE2FC" w14:textId="41C8219F" w:rsidR="00F326E5" w:rsidRPr="007732FA" w:rsidRDefault="00F326E5" w:rsidP="00F326E5">
      <w:pPr>
        <w:pStyle w:val="NoSpacing"/>
        <w:rPr>
          <w:rFonts w:ascii="Arial Black" w:hAnsi="Arial Black"/>
          <w:b/>
          <w:sz w:val="28"/>
          <w:szCs w:val="28"/>
        </w:rPr>
      </w:pPr>
      <w:r w:rsidRPr="007732FA">
        <w:rPr>
          <w:rFonts w:ascii="Arial Black" w:hAnsi="Arial Black"/>
          <w:b/>
          <w:sz w:val="28"/>
          <w:szCs w:val="28"/>
        </w:rPr>
        <w:t>KY</w:t>
      </w:r>
      <w:r>
        <w:rPr>
          <w:rFonts w:ascii="Arial Black" w:hAnsi="Arial Black"/>
          <w:b/>
          <w:sz w:val="28"/>
          <w:szCs w:val="28"/>
        </w:rPr>
        <w:t xml:space="preserve">: </w:t>
      </w:r>
      <w:r w:rsidRPr="007732FA">
        <w:rPr>
          <w:rFonts w:ascii="Arial Black" w:hAnsi="Arial Black"/>
          <w:b/>
          <w:sz w:val="28"/>
          <w:szCs w:val="28"/>
        </w:rPr>
        <w:t>“R</w:t>
      </w:r>
      <w:r>
        <w:rPr>
          <w:rFonts w:ascii="Arial Black" w:hAnsi="Arial Black"/>
          <w:b/>
          <w:sz w:val="28"/>
          <w:szCs w:val="28"/>
        </w:rPr>
        <w:t xml:space="preserve">IGHT TO WORK” </w:t>
      </w:r>
      <w:r w:rsidRPr="007732FA">
        <w:rPr>
          <w:rFonts w:ascii="Arial Black" w:hAnsi="Arial Black"/>
          <w:b/>
          <w:sz w:val="28"/>
          <w:szCs w:val="28"/>
        </w:rPr>
        <w:t xml:space="preserve">STATUTE UPHELD; SIMILAR TO U.S. SUPREME COURT DECISION IN </w:t>
      </w:r>
      <w:r w:rsidRPr="007732FA">
        <w:rPr>
          <w:rFonts w:ascii="Arial Black" w:hAnsi="Arial Black"/>
          <w:b/>
          <w:i/>
          <w:sz w:val="28"/>
          <w:szCs w:val="28"/>
        </w:rPr>
        <w:t xml:space="preserve">Janis </w:t>
      </w:r>
    </w:p>
    <w:p w14:paraId="31DFDE5E" w14:textId="77777777" w:rsidR="00F17F7A" w:rsidRDefault="00F17F7A" w:rsidP="00F326E5">
      <w:pPr>
        <w:rPr>
          <w:rFonts w:ascii="Times New Roman" w:eastAsia="Times New Roman" w:hAnsi="Times New Roman"/>
          <w:sz w:val="24"/>
          <w:szCs w:val="24"/>
        </w:rPr>
      </w:pPr>
    </w:p>
    <w:p w14:paraId="483BC5F0" w14:textId="42542A19" w:rsidR="00637A12" w:rsidRDefault="00F326E5" w:rsidP="00F326E5">
      <w:pPr>
        <w:rPr>
          <w:rFonts w:ascii="Times New Roman" w:eastAsia="Times New Roman" w:hAnsi="Times New Roman"/>
          <w:sz w:val="24"/>
          <w:szCs w:val="24"/>
        </w:rPr>
      </w:pPr>
      <w:r w:rsidRPr="00013C4B">
        <w:rPr>
          <w:rFonts w:ascii="Times New Roman" w:eastAsia="Times New Roman" w:hAnsi="Times New Roman"/>
          <w:sz w:val="24"/>
          <w:szCs w:val="24"/>
        </w:rPr>
        <w:t xml:space="preserve">On Nov. 15, 2018, in </w:t>
      </w:r>
      <w:r w:rsidRPr="00013C4B">
        <w:rPr>
          <w:rFonts w:ascii="Times New Roman" w:eastAsia="Times New Roman" w:hAnsi="Times New Roman"/>
          <w:sz w:val="24"/>
          <w:szCs w:val="24"/>
          <w:u w:val="single"/>
        </w:rPr>
        <w:t xml:space="preserve">Fred Zuckerman, As Representative </w:t>
      </w:r>
      <w:proofErr w:type="gramStart"/>
      <w:r w:rsidRPr="00013C4B">
        <w:rPr>
          <w:rFonts w:ascii="Times New Roman" w:eastAsia="Times New Roman" w:hAnsi="Times New Roman"/>
          <w:sz w:val="24"/>
          <w:szCs w:val="24"/>
          <w:u w:val="single"/>
        </w:rPr>
        <w:t>Of</w:t>
      </w:r>
      <w:proofErr w:type="gramEnd"/>
      <w:r w:rsidRPr="00013C4B">
        <w:rPr>
          <w:rFonts w:ascii="Times New Roman" w:eastAsia="Times New Roman" w:hAnsi="Times New Roman"/>
          <w:sz w:val="24"/>
          <w:szCs w:val="24"/>
          <w:u w:val="single"/>
        </w:rPr>
        <w:t xml:space="preserve"> </w:t>
      </w:r>
      <w:proofErr w:type="gramStart"/>
      <w:r w:rsidRPr="00013C4B">
        <w:rPr>
          <w:rFonts w:ascii="Times New Roman" w:eastAsia="Times New Roman" w:hAnsi="Times New Roman"/>
          <w:sz w:val="24"/>
          <w:szCs w:val="24"/>
          <w:u w:val="single"/>
        </w:rPr>
        <w:t>The</w:t>
      </w:r>
      <w:proofErr w:type="gramEnd"/>
      <w:r w:rsidRPr="00013C4B">
        <w:rPr>
          <w:rFonts w:ascii="Times New Roman" w:eastAsia="Times New Roman" w:hAnsi="Times New Roman"/>
          <w:sz w:val="24"/>
          <w:szCs w:val="24"/>
          <w:u w:val="single"/>
        </w:rPr>
        <w:t xml:space="preserve"> General Drivers, Warehousemen </w:t>
      </w:r>
      <w:proofErr w:type="gramStart"/>
      <w:r w:rsidRPr="00013C4B">
        <w:rPr>
          <w:rFonts w:ascii="Times New Roman" w:eastAsia="Times New Roman" w:hAnsi="Times New Roman"/>
          <w:sz w:val="24"/>
          <w:szCs w:val="24"/>
          <w:u w:val="single"/>
        </w:rPr>
        <w:t>And</w:t>
      </w:r>
      <w:proofErr w:type="gramEnd"/>
      <w:r w:rsidRPr="00013C4B">
        <w:rPr>
          <w:rFonts w:ascii="Times New Roman" w:eastAsia="Times New Roman" w:hAnsi="Times New Roman"/>
          <w:sz w:val="24"/>
          <w:szCs w:val="24"/>
          <w:u w:val="single"/>
        </w:rPr>
        <w:t xml:space="preserve"> Helpers Local Union No. 89 v. Matthew G. Bevin, Governor</w:t>
      </w:r>
      <w:r w:rsidRPr="00013C4B">
        <w:rPr>
          <w:rFonts w:ascii="Times New Roman" w:eastAsia="Times New Roman" w:hAnsi="Times New Roman"/>
          <w:sz w:val="24"/>
          <w:szCs w:val="24"/>
        </w:rPr>
        <w:t xml:space="preserve">, the Kentucky Supreme Court (4 to 3) upheld the statute: </w:t>
      </w:r>
    </w:p>
    <w:p w14:paraId="54A3C40C" w14:textId="38255271" w:rsidR="00F326E5" w:rsidRPr="00013C4B" w:rsidRDefault="00F326E5" w:rsidP="00637A12">
      <w:pPr>
        <w:ind w:left="720"/>
        <w:rPr>
          <w:rFonts w:ascii="Times New Roman" w:eastAsia="Times New Roman" w:hAnsi="Times New Roman"/>
          <w:sz w:val="24"/>
          <w:szCs w:val="24"/>
        </w:rPr>
      </w:pPr>
      <w:r w:rsidRPr="00013C4B">
        <w:rPr>
          <w:rFonts w:ascii="Times New Roman" w:eastAsia="Times New Roman" w:hAnsi="Times New Roman"/>
          <w:sz w:val="24"/>
          <w:szCs w:val="24"/>
        </w:rPr>
        <w:t>“</w:t>
      </w:r>
      <w:proofErr w:type="gramStart"/>
      <w:r w:rsidRPr="00013C4B">
        <w:rPr>
          <w:rFonts w:ascii="Times New Roman" w:eastAsia="Times New Roman" w:hAnsi="Times New Roman"/>
          <w:sz w:val="24"/>
          <w:szCs w:val="24"/>
        </w:rPr>
        <w:t>we</w:t>
      </w:r>
      <w:proofErr w:type="gramEnd"/>
      <w:r w:rsidRPr="00013C4B">
        <w:rPr>
          <w:rFonts w:ascii="Times New Roman" w:eastAsia="Times New Roman" w:hAnsi="Times New Roman"/>
          <w:sz w:val="24"/>
          <w:szCs w:val="24"/>
        </w:rPr>
        <w:t xml:space="preserve"> hold that the Unions’ constitutional challenges to the Act are without merit. In this area of economic legislation, the legislature and the executive branch make the policy, not the courts.” </w:t>
      </w:r>
      <w:hyperlink r:id="rId370" w:history="1">
        <w:r w:rsidRPr="00013C4B">
          <w:rPr>
            <w:rStyle w:val="Hyperlink"/>
            <w:sz w:val="24"/>
            <w:szCs w:val="24"/>
          </w:rPr>
          <w:t>https://cases.justia.com/kentucky/supreme-court/2018-2018-sc-000097-tg.pdf?ts=1542294839</w:t>
        </w:r>
      </w:hyperlink>
      <w:r w:rsidRPr="00013C4B">
        <w:rPr>
          <w:rFonts w:ascii="Times New Roman" w:eastAsia="Times New Roman" w:hAnsi="Times New Roman"/>
          <w:sz w:val="24"/>
          <w:szCs w:val="24"/>
        </w:rPr>
        <w:t xml:space="preserve"> </w:t>
      </w:r>
    </w:p>
    <w:p w14:paraId="29A4ECC8" w14:textId="77777777" w:rsidR="00F326E5" w:rsidRDefault="00F326E5" w:rsidP="00F326E5">
      <w:pPr>
        <w:rPr>
          <w:rFonts w:ascii="Times New Roman" w:eastAsia="Times New Roman" w:hAnsi="Times New Roman"/>
          <w:sz w:val="24"/>
          <w:szCs w:val="24"/>
        </w:rPr>
      </w:pPr>
      <w:r w:rsidRPr="00013C4B">
        <w:rPr>
          <w:rFonts w:ascii="Times New Roman" w:eastAsia="Times New Roman" w:hAnsi="Times New Roman"/>
          <w:b/>
          <w:sz w:val="24"/>
          <w:szCs w:val="24"/>
        </w:rPr>
        <w:t xml:space="preserve">Legal Lessons Learned:  Fire &amp; EMS departments, not only in Kentucky, but in all states must now follow the U.S. Supreme Court’s decision, June 27, 2018, in </w:t>
      </w:r>
      <w:r w:rsidRPr="00013C4B">
        <w:rPr>
          <w:rFonts w:ascii="Times New Roman" w:eastAsia="Times New Roman" w:hAnsi="Times New Roman"/>
          <w:b/>
          <w:sz w:val="24"/>
          <w:szCs w:val="24"/>
          <w:u w:val="single"/>
        </w:rPr>
        <w:t>Janus v. American Federation of State, County, and Municipal Employees, Council 31</w:t>
      </w:r>
      <w:r w:rsidRPr="00013C4B">
        <w:rPr>
          <w:rFonts w:ascii="Times New Roman" w:eastAsia="Times New Roman" w:hAnsi="Times New Roman"/>
          <w:b/>
          <w:sz w:val="24"/>
          <w:szCs w:val="24"/>
        </w:rPr>
        <w:t>, which held (5 to 4), “Under Illinois law, public employees are forced to subsi</w:t>
      </w:r>
      <w:r w:rsidRPr="00013C4B">
        <w:rPr>
          <w:rFonts w:ascii="Times New Roman" w:eastAsia="Times New Roman" w:hAnsi="Times New Roman"/>
          <w:b/>
          <w:sz w:val="24"/>
          <w:szCs w:val="24"/>
        </w:rPr>
        <w:softHyphen/>
        <w:t>dize a union, even if they choose not to join and strongly object to the positions the union takes in collective bar</w:t>
      </w:r>
      <w:r w:rsidRPr="00013C4B">
        <w:rPr>
          <w:rFonts w:ascii="Times New Roman" w:eastAsia="Times New Roman" w:hAnsi="Times New Roman"/>
          <w:b/>
          <w:sz w:val="24"/>
          <w:szCs w:val="24"/>
        </w:rPr>
        <w:softHyphen/>
        <w:t xml:space="preserve"> gaining and related activities. We conclude that this arrangement violates the </w:t>
      </w:r>
      <w:proofErr w:type="gramStart"/>
      <w:r w:rsidRPr="00013C4B">
        <w:rPr>
          <w:rFonts w:ascii="Times New Roman" w:eastAsia="Times New Roman" w:hAnsi="Times New Roman"/>
          <w:b/>
          <w:sz w:val="24"/>
          <w:szCs w:val="24"/>
        </w:rPr>
        <w:t>free speech</w:t>
      </w:r>
      <w:proofErr w:type="gramEnd"/>
      <w:r w:rsidRPr="00013C4B">
        <w:rPr>
          <w:rFonts w:ascii="Times New Roman" w:eastAsia="Times New Roman" w:hAnsi="Times New Roman"/>
          <w:b/>
          <w:sz w:val="24"/>
          <w:szCs w:val="24"/>
        </w:rPr>
        <w:t xml:space="preserve"> rights of nonmem</w:t>
      </w:r>
      <w:r w:rsidRPr="00013C4B">
        <w:rPr>
          <w:rFonts w:ascii="Times New Roman" w:eastAsia="Times New Roman" w:hAnsi="Times New Roman"/>
          <w:b/>
          <w:sz w:val="24"/>
          <w:szCs w:val="24"/>
        </w:rPr>
        <w:softHyphen/>
        <w:t xml:space="preserve">bers by compelling them to subsidize private speech on matters of substantial public </w:t>
      </w:r>
      <w:proofErr w:type="gramStart"/>
      <w:r w:rsidRPr="00013C4B">
        <w:rPr>
          <w:rFonts w:ascii="Times New Roman" w:eastAsia="Times New Roman" w:hAnsi="Times New Roman"/>
          <w:b/>
          <w:sz w:val="24"/>
          <w:szCs w:val="24"/>
        </w:rPr>
        <w:t>concern.”</w:t>
      </w:r>
      <w:proofErr w:type="gramEnd"/>
      <w:r w:rsidRPr="00013C4B">
        <w:rPr>
          <w:rFonts w:ascii="Times New Roman" w:eastAsia="Times New Roman" w:hAnsi="Times New Roman"/>
          <w:sz w:val="24"/>
          <w:szCs w:val="24"/>
        </w:rPr>
        <w:t xml:space="preserve">   </w:t>
      </w:r>
      <w:hyperlink r:id="rId371" w:history="1">
        <w:r w:rsidRPr="00013C4B">
          <w:rPr>
            <w:rStyle w:val="Hyperlink"/>
            <w:sz w:val="24"/>
            <w:szCs w:val="24"/>
          </w:rPr>
          <w:t>https://www.supremecourt.gov/opinions/17pdf/16-1466_2b3j.pdf</w:t>
        </w:r>
      </w:hyperlink>
      <w:r w:rsidRPr="00013C4B">
        <w:rPr>
          <w:rFonts w:ascii="Times New Roman" w:eastAsia="Times New Roman" w:hAnsi="Times New Roman"/>
          <w:sz w:val="24"/>
          <w:szCs w:val="24"/>
        </w:rPr>
        <w:t xml:space="preserve"> </w:t>
      </w:r>
    </w:p>
    <w:p w14:paraId="5C9F1ACD" w14:textId="77777777" w:rsidR="00F326E5" w:rsidRPr="00013C4B" w:rsidRDefault="00F326E5" w:rsidP="00F326E5">
      <w:pPr>
        <w:ind w:firstLine="720"/>
        <w:rPr>
          <w:rFonts w:ascii="Times New Roman" w:eastAsia="Times New Roman" w:hAnsi="Times New Roman"/>
          <w:bCs/>
          <w:sz w:val="24"/>
          <w:szCs w:val="24"/>
        </w:rPr>
      </w:pPr>
      <w:r w:rsidRPr="00013C4B">
        <w:rPr>
          <w:rFonts w:ascii="Times New Roman" w:eastAsia="Times New Roman" w:hAnsi="Times New Roman"/>
          <w:sz w:val="24"/>
          <w:szCs w:val="24"/>
        </w:rPr>
        <w:t xml:space="preserve">See IAFF statement in response to the </w:t>
      </w:r>
      <w:r w:rsidRPr="00013C4B">
        <w:rPr>
          <w:rFonts w:ascii="Times New Roman" w:eastAsia="Times New Roman" w:hAnsi="Times New Roman"/>
          <w:i/>
          <w:sz w:val="24"/>
          <w:szCs w:val="24"/>
        </w:rPr>
        <w:t>Janus</w:t>
      </w:r>
      <w:r w:rsidRPr="00013C4B">
        <w:rPr>
          <w:rFonts w:ascii="Times New Roman" w:eastAsia="Times New Roman" w:hAnsi="Times New Roman"/>
          <w:sz w:val="24"/>
          <w:szCs w:val="24"/>
        </w:rPr>
        <w:t xml:space="preserve"> decision:  </w:t>
      </w:r>
    </w:p>
    <w:p w14:paraId="5ED408E1" w14:textId="77777777" w:rsidR="00F326E5" w:rsidRPr="00013C4B" w:rsidRDefault="00F326E5" w:rsidP="00F326E5">
      <w:pPr>
        <w:ind w:left="720"/>
        <w:rPr>
          <w:rFonts w:ascii="Times New Roman" w:eastAsia="Times New Roman" w:hAnsi="Times New Roman"/>
          <w:sz w:val="24"/>
          <w:szCs w:val="24"/>
        </w:rPr>
      </w:pPr>
      <w:r w:rsidRPr="00013C4B">
        <w:rPr>
          <w:rFonts w:ascii="Times New Roman" w:eastAsia="Times New Roman" w:hAnsi="Times New Roman"/>
          <w:bCs/>
          <w:sz w:val="24"/>
          <w:szCs w:val="24"/>
        </w:rPr>
        <w:t xml:space="preserve">General President Harold Schaitberger issued this statement on the Supreme Court 5-4 decision overruling decades of precedent in the case of </w:t>
      </w:r>
      <w:r w:rsidRPr="00013C4B">
        <w:rPr>
          <w:rFonts w:ascii="Times New Roman" w:eastAsia="Times New Roman" w:hAnsi="Times New Roman"/>
          <w:bCs/>
          <w:i/>
          <w:iCs/>
          <w:sz w:val="24"/>
          <w:szCs w:val="24"/>
        </w:rPr>
        <w:t>Janus v AFSCME Council 31</w:t>
      </w:r>
      <w:r w:rsidRPr="00013C4B">
        <w:rPr>
          <w:rFonts w:ascii="Times New Roman" w:eastAsia="Times New Roman" w:hAnsi="Times New Roman"/>
          <w:bCs/>
          <w:sz w:val="24"/>
          <w:szCs w:val="24"/>
        </w:rPr>
        <w:t xml:space="preserve">: </w:t>
      </w:r>
      <w:hyperlink r:id="rId372" w:anchor="contentid=68451" w:history="1">
        <w:r w:rsidRPr="00013C4B">
          <w:rPr>
            <w:rStyle w:val="Hyperlink"/>
            <w:sz w:val="24"/>
            <w:szCs w:val="24"/>
          </w:rPr>
          <w:t>http://client.prod.iaff.org/#contentid=68451</w:t>
        </w:r>
      </w:hyperlink>
      <w:r w:rsidRPr="00013C4B">
        <w:rPr>
          <w:rFonts w:ascii="Times New Roman" w:eastAsia="Times New Roman" w:hAnsi="Times New Roman"/>
          <w:bCs/>
          <w:sz w:val="24"/>
          <w:szCs w:val="24"/>
        </w:rPr>
        <w:t xml:space="preserve"> </w:t>
      </w:r>
    </w:p>
    <w:p w14:paraId="07659AD9"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Washington, DC – “The Janus v AFSCME Council 31 case was pushed by forces that want to take away the voices of fire fighters and the power of all public employee unions. The intent is to </w:t>
      </w:r>
      <w:proofErr w:type="gramStart"/>
      <w:r w:rsidRPr="00013C4B">
        <w:rPr>
          <w:rFonts w:ascii="Times New Roman" w:eastAsia="Times New Roman" w:hAnsi="Times New Roman"/>
          <w:sz w:val="24"/>
          <w:szCs w:val="24"/>
        </w:rPr>
        <w:t>handicap</w:t>
      </w:r>
      <w:proofErr w:type="gramEnd"/>
      <w:r w:rsidRPr="00013C4B">
        <w:rPr>
          <w:rFonts w:ascii="Times New Roman" w:eastAsia="Times New Roman" w:hAnsi="Times New Roman"/>
          <w:sz w:val="24"/>
          <w:szCs w:val="24"/>
        </w:rPr>
        <w:t xml:space="preserve"> unions in our ability to improve members' lives and to weaken the political power of public employees.</w:t>
      </w:r>
    </w:p>
    <w:p w14:paraId="5FF23B04"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“We know the potential negative impacts that could come from the Supreme Court’s decision in </w:t>
      </w:r>
      <w:proofErr w:type="gramStart"/>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w:t>
      </w:r>
      <w:proofErr w:type="gramEnd"/>
      <w:r w:rsidRPr="00013C4B">
        <w:rPr>
          <w:rFonts w:ascii="Times New Roman" w:eastAsia="Times New Roman" w:hAnsi="Times New Roman"/>
          <w:sz w:val="24"/>
          <w:szCs w:val="24"/>
        </w:rPr>
        <w:t xml:space="preserve"> however we are ready to take the best punch and deliver some blows ourselves to those that want to see fire fighters and their unions weakened.</w:t>
      </w:r>
    </w:p>
    <w:p w14:paraId="6ACEED87"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“While the Janus decision is another attack on organized labor, every attack can be turned into an opportunity, and we are determined not to let this decision hold us back from our important mission. The IAFF has operated successfully under </w:t>
      </w:r>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-like rules in right-to-work and non-collective bargaining states for decades. We have proven that you can have strong affiliates that deliver better pay, health care, retirement security, health and safety provisions and a voice in keeping their communities safe in these tough environments.</w:t>
      </w:r>
    </w:p>
    <w:p w14:paraId="1F7B5585"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“We represent more than 85 percent of all professional fire fighters and paramedics in the U.S. because we consistently demonstrate our value, through our strong affiliates, that being union fire fighters provides a significantly better standard of living and safer working environment than those who are not union. We believe that difference will become even more stark, and we are working to represent that small percentage of fire fighters who aren't in our union so that we can raise their standard of living and increase their ability to have a strong voice in public safety.</w:t>
      </w:r>
    </w:p>
    <w:p w14:paraId="598CA45C"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“This case was intended as a political push to eliminate the power of people who work to support their families and the power of their unions. But instead, the </w:t>
      </w:r>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 xml:space="preserve"> case is activating an army of union leaders to better engage their members.”</w:t>
      </w:r>
    </w:p>
    <w:bookmarkEnd w:id="73"/>
    <w:p w14:paraId="038A3D7C" w14:textId="77777777" w:rsidR="00F326E5" w:rsidRDefault="00F326E5" w:rsidP="00F326E5">
      <w:pPr>
        <w:pStyle w:val="NoSpacing"/>
        <w:rPr>
          <w:sz w:val="24"/>
          <w:szCs w:val="24"/>
        </w:rPr>
      </w:pPr>
    </w:p>
    <w:p w14:paraId="0AB6162E" w14:textId="77777777" w:rsidR="002B1283" w:rsidRDefault="002B1283" w:rsidP="00F326E5">
      <w:pPr>
        <w:pStyle w:val="NoSpacing"/>
        <w:rPr>
          <w:rFonts w:ascii="Arial Black" w:hAnsi="Arial Black"/>
          <w:b/>
          <w:sz w:val="28"/>
          <w:szCs w:val="28"/>
        </w:rPr>
      </w:pPr>
      <w:bookmarkStart w:id="74" w:name="_Hlk7339701"/>
    </w:p>
    <w:p w14:paraId="1B731B8D" w14:textId="77777777" w:rsidR="002B1283" w:rsidRDefault="002B1283" w:rsidP="00F326E5">
      <w:pPr>
        <w:pStyle w:val="NoSpacing"/>
        <w:rPr>
          <w:rFonts w:ascii="Arial Black" w:hAnsi="Arial Black"/>
          <w:b/>
          <w:sz w:val="28"/>
          <w:szCs w:val="28"/>
        </w:rPr>
      </w:pPr>
    </w:p>
    <w:p w14:paraId="2432A207" w14:textId="7002696A"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15</w:t>
      </w:r>
    </w:p>
    <w:p w14:paraId="309AE323" w14:textId="78D1E78A" w:rsidR="00F326E5" w:rsidRDefault="00F326E5" w:rsidP="00F326E5">
      <w:pPr>
        <w:pStyle w:val="NoSpacing"/>
        <w:rPr>
          <w:rFonts w:ascii="Arial Black" w:hAnsi="Arial Black"/>
          <w:b/>
          <w:sz w:val="24"/>
          <w:szCs w:val="24"/>
        </w:rPr>
      </w:pPr>
      <w:r w:rsidRPr="00BC5C14">
        <w:rPr>
          <w:rFonts w:ascii="Arial Black" w:hAnsi="Arial Black"/>
          <w:b/>
          <w:sz w:val="28"/>
          <w:szCs w:val="28"/>
        </w:rPr>
        <w:t>WI</w:t>
      </w:r>
      <w:r>
        <w:rPr>
          <w:rFonts w:ascii="Arial Black" w:hAnsi="Arial Black"/>
          <w:b/>
          <w:sz w:val="28"/>
          <w:szCs w:val="28"/>
        </w:rPr>
        <w:t xml:space="preserve">: </w:t>
      </w:r>
      <w:r w:rsidRPr="00BC5C14">
        <w:rPr>
          <w:rFonts w:ascii="Arial Black" w:hAnsi="Arial Black"/>
          <w:b/>
          <w:sz w:val="28"/>
          <w:szCs w:val="28"/>
        </w:rPr>
        <w:t>F</w:t>
      </w:r>
      <w:r>
        <w:rPr>
          <w:rFonts w:ascii="Arial Black" w:hAnsi="Arial Black"/>
          <w:b/>
          <w:sz w:val="28"/>
          <w:szCs w:val="28"/>
        </w:rPr>
        <w:t>OREST FIRE – INSURANCE COMPANY HAS LIMITED LIABILITY OF $500,000</w:t>
      </w:r>
    </w:p>
    <w:p w14:paraId="5E3F2990" w14:textId="77777777" w:rsidR="00637A12"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Oct. 30, 2018, in </w:t>
      </w:r>
      <w:r w:rsidRPr="00015208">
        <w:rPr>
          <w:rFonts w:ascii="Times New Roman" w:hAnsi="Times New Roman"/>
          <w:sz w:val="24"/>
          <w:szCs w:val="24"/>
          <w:u w:val="single"/>
        </w:rPr>
        <w:t>SECURA Insurance, A Mutual Company v. Lyme St. Croix Forest Company, LLC, et al.</w:t>
      </w:r>
      <w:r w:rsidRPr="00015208">
        <w:rPr>
          <w:rFonts w:ascii="Times New Roman" w:hAnsi="Times New Roman"/>
          <w:sz w:val="24"/>
          <w:szCs w:val="24"/>
        </w:rPr>
        <w:t xml:space="preserve">, the Wisconsin Supreme Court reversed the trial court, and the Wisconsin Appeals Court, and held (7 to 0): </w:t>
      </w:r>
    </w:p>
    <w:p w14:paraId="4E9BE49C" w14:textId="77777777" w:rsidR="00637A12" w:rsidRDefault="00637A12" w:rsidP="00637A12">
      <w:pPr>
        <w:pStyle w:val="NoSpacing"/>
        <w:ind w:firstLine="720"/>
        <w:rPr>
          <w:rFonts w:ascii="Times New Roman" w:hAnsi="Times New Roman"/>
          <w:sz w:val="24"/>
          <w:szCs w:val="24"/>
        </w:rPr>
      </w:pPr>
    </w:p>
    <w:p w14:paraId="41089480" w14:textId="382A6CC7"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“Despite the fact that the fire crossed several property lines, Secura contends it was a single, uninterrupted cause of the alleged damages. *** We conclude that the fire at issue constitutes a single occurrence pursuant to the CGL [Commercial General Liability] policy. Consequently, the $500,000 per-occurrence limit for property damage applies.”</w:t>
      </w:r>
    </w:p>
    <w:p w14:paraId="0135C3BA" w14:textId="0360C5D9" w:rsidR="00F326E5" w:rsidRPr="00015208" w:rsidRDefault="00637A12" w:rsidP="00637A12">
      <w:pPr>
        <w:pStyle w:val="NoSpacing"/>
        <w:ind w:firstLine="720"/>
        <w:rPr>
          <w:rFonts w:ascii="Times New Roman" w:hAnsi="Times New Roman"/>
          <w:sz w:val="24"/>
          <w:szCs w:val="24"/>
        </w:rPr>
      </w:pPr>
      <w:hyperlink r:id="rId373" w:history="1">
        <w:r w:rsidRPr="002F304C">
          <w:rPr>
            <w:rStyle w:val="Hyperlink"/>
            <w:rFonts w:ascii="Times New Roman" w:hAnsi="Times New Roman"/>
            <w:sz w:val="24"/>
            <w:szCs w:val="24"/>
          </w:rPr>
          <w:t>https://www.wicourts.gov/sc/opinion/DisplayDocument.pdf?content=pdf&amp;seqNo=224718</w:t>
        </w:r>
      </w:hyperlink>
      <w:r w:rsidR="00F326E5" w:rsidRPr="00015208">
        <w:rPr>
          <w:rFonts w:ascii="Times New Roman" w:hAnsi="Times New Roman"/>
          <w:sz w:val="24"/>
          <w:szCs w:val="24"/>
        </w:rPr>
        <w:t xml:space="preserve"> </w:t>
      </w:r>
    </w:p>
    <w:p w14:paraId="43337987" w14:textId="77777777" w:rsidR="00637A12" w:rsidRDefault="00637A12" w:rsidP="00F326E5">
      <w:pPr>
        <w:rPr>
          <w:rFonts w:ascii="Times New Roman" w:eastAsia="Times New Roman" w:hAnsi="Times New Roman"/>
          <w:b/>
          <w:sz w:val="24"/>
          <w:szCs w:val="24"/>
        </w:rPr>
      </w:pPr>
    </w:p>
    <w:p w14:paraId="06A26627" w14:textId="3292C244"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The logging equipment company, which paid for insurance against this type of loss, must feel that its insurance company has treated their customer like “manure.”  Insurance policies are often difficult to interpret.  Fire &amp; EMS departments should invite their liability insurance carrier(s) in for a discussion about what is covered and what is not covered. </w:t>
      </w:r>
    </w:p>
    <w:bookmarkEnd w:id="74"/>
    <w:p w14:paraId="684B357A" w14:textId="77777777" w:rsidR="00F326E5" w:rsidRPr="00DE6D89" w:rsidRDefault="00F326E5" w:rsidP="00F326E5">
      <w:pPr>
        <w:pStyle w:val="NoSpacing"/>
        <w:rPr>
          <w:b/>
          <w:sz w:val="24"/>
          <w:szCs w:val="24"/>
        </w:rPr>
      </w:pPr>
    </w:p>
    <w:p w14:paraId="6A686F15" w14:textId="77777777" w:rsidR="00637A12" w:rsidRDefault="00637A12" w:rsidP="00791CA3">
      <w:pPr>
        <w:rPr>
          <w:rFonts w:ascii="Arial Black" w:hAnsi="Arial Black"/>
          <w:b/>
          <w:sz w:val="24"/>
          <w:szCs w:val="24"/>
        </w:rPr>
      </w:pPr>
    </w:p>
    <w:p w14:paraId="7041406B" w14:textId="28CA0D2E"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14</w:t>
      </w:r>
    </w:p>
    <w:p w14:paraId="132A03EF" w14:textId="77777777" w:rsidR="00791CA3" w:rsidRDefault="00791CA3" w:rsidP="00F326E5">
      <w:pPr>
        <w:pStyle w:val="NoSpacing"/>
        <w:rPr>
          <w:sz w:val="24"/>
          <w:szCs w:val="24"/>
        </w:rPr>
      </w:pPr>
    </w:p>
    <w:p w14:paraId="0ABF84E5" w14:textId="29F4B1DD" w:rsidR="00F326E5" w:rsidRPr="00992A0C" w:rsidRDefault="00F326E5" w:rsidP="00F326E5">
      <w:pPr>
        <w:pStyle w:val="NoSpacing"/>
        <w:rPr>
          <w:rFonts w:ascii="Arial Black" w:hAnsi="Arial Black"/>
          <w:b/>
          <w:sz w:val="28"/>
          <w:szCs w:val="28"/>
        </w:rPr>
      </w:pPr>
      <w:bookmarkStart w:id="75" w:name="_Hlk7339777"/>
      <w:r w:rsidRPr="00992A0C">
        <w:rPr>
          <w:rFonts w:ascii="Arial Black" w:hAnsi="Arial Black"/>
          <w:b/>
          <w:sz w:val="28"/>
          <w:szCs w:val="28"/>
        </w:rPr>
        <w:t>OH</w:t>
      </w:r>
      <w:r>
        <w:rPr>
          <w:rFonts w:ascii="Arial Black" w:hAnsi="Arial Black"/>
          <w:b/>
          <w:sz w:val="28"/>
          <w:szCs w:val="28"/>
        </w:rPr>
        <w:t xml:space="preserve">: FIRE CODE VIOLATIONS - COURT MAY ORDER INSPECTION OF UNOCCUPIED BUILDING </w:t>
      </w:r>
    </w:p>
    <w:p w14:paraId="55FBF1BB" w14:textId="77777777" w:rsidR="00637A12" w:rsidRDefault="00F326E5" w:rsidP="00F326E5">
      <w:pPr>
        <w:rPr>
          <w:rFonts w:ascii="Times New Roman" w:eastAsia="Times New Roman" w:hAnsi="Times New Roman"/>
          <w:sz w:val="24"/>
          <w:szCs w:val="24"/>
        </w:rPr>
      </w:pPr>
      <w:r w:rsidRPr="00015208">
        <w:rPr>
          <w:rFonts w:ascii="Times New Roman" w:eastAsia="Times New Roman" w:hAnsi="Times New Roman"/>
          <w:sz w:val="24"/>
          <w:szCs w:val="24"/>
        </w:rPr>
        <w:t xml:space="preserve">On Oct. 11, 2018, in </w:t>
      </w:r>
      <w:r w:rsidRPr="00015208">
        <w:rPr>
          <w:rFonts w:ascii="Times New Roman" w:eastAsia="Times New Roman" w:hAnsi="Times New Roman"/>
          <w:sz w:val="24"/>
          <w:szCs w:val="24"/>
          <w:u w:val="single"/>
        </w:rPr>
        <w:t>City of Cleveland v. James Grunt, Jr.,</w:t>
      </w:r>
      <w:r w:rsidRPr="00015208">
        <w:rPr>
          <w:rFonts w:ascii="Times New Roman" w:eastAsia="Times New Roman" w:hAnsi="Times New Roman"/>
          <w:sz w:val="24"/>
          <w:szCs w:val="24"/>
        </w:rPr>
        <w:t xml:space="preserve"> the Ohio Court of Appeals for Cuyahoga County held (3 to 0) that a judge on the Cleveland Municipal Court – Housing Division had authority to allow warrantless inspections of the property to confirm that owner is complying with Cleveland Building Department requirements. </w:t>
      </w:r>
    </w:p>
    <w:p w14:paraId="705A094C" w14:textId="74AE18D7" w:rsidR="00F326E5" w:rsidRPr="00015208" w:rsidRDefault="00F326E5" w:rsidP="00637A12">
      <w:pPr>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“[W]e </w:t>
      </w:r>
      <w:proofErr w:type="gramStart"/>
      <w:r w:rsidRPr="00015208">
        <w:rPr>
          <w:rFonts w:ascii="Times New Roman" w:eastAsia="Times New Roman" w:hAnsi="Times New Roman"/>
          <w:sz w:val="24"/>
          <w:szCs w:val="24"/>
        </w:rPr>
        <w:t>find</w:t>
      </w:r>
      <w:proofErr w:type="gramEnd"/>
      <w:r w:rsidRPr="00015208">
        <w:rPr>
          <w:rFonts w:ascii="Times New Roman" w:eastAsia="Times New Roman" w:hAnsi="Times New Roman"/>
          <w:sz w:val="24"/>
          <w:szCs w:val="24"/>
        </w:rPr>
        <w:t xml:space="preserve"> no cases in Ohio directly on point, i.e., discussing the constitutionality of ordering a property inspection as a condition of CCS. However, we find guidance in R.C. 2951.02, which authorizes warrantless searches during an offender’s misdemeanor CCS under certain </w:t>
      </w:r>
      <w:proofErr w:type="gramStart"/>
      <w:r w:rsidRPr="00015208">
        <w:rPr>
          <w:rFonts w:ascii="Times New Roman" w:eastAsia="Times New Roman" w:hAnsi="Times New Roman"/>
          <w:sz w:val="24"/>
          <w:szCs w:val="24"/>
        </w:rPr>
        <w:t>circumstances.”</w:t>
      </w:r>
      <w:proofErr w:type="gramEnd"/>
      <w:r w:rsidRPr="00015208">
        <w:rPr>
          <w:rFonts w:ascii="Times New Roman" w:eastAsia="Times New Roman" w:hAnsi="Times New Roman"/>
          <w:sz w:val="24"/>
          <w:szCs w:val="24"/>
        </w:rPr>
        <w:t xml:space="preserve"> </w:t>
      </w:r>
      <w:hyperlink r:id="rId374" w:history="1">
        <w:r w:rsidRPr="00015208">
          <w:rPr>
            <w:rStyle w:val="Hyperlink"/>
            <w:rFonts w:ascii="Times New Roman" w:hAnsi="Times New Roman"/>
            <w:sz w:val="24"/>
            <w:szCs w:val="24"/>
          </w:rPr>
          <w:t>https://www.supremecourt.ohio.gov/rod/docs/pdf/8/2018/2018-Ohio-4109.pdf</w:t>
        </w:r>
      </w:hyperlink>
      <w:r w:rsidRPr="00015208">
        <w:rPr>
          <w:rFonts w:ascii="Times New Roman" w:eastAsia="Times New Roman" w:hAnsi="Times New Roman"/>
          <w:sz w:val="24"/>
          <w:szCs w:val="24"/>
        </w:rPr>
        <w:t xml:space="preserve"> </w:t>
      </w:r>
    </w:p>
    <w:p w14:paraId="4923AD15"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This decision can be helpful precedence in Ohio for communities struggling with empty properties. </w:t>
      </w:r>
    </w:p>
    <w:bookmarkEnd w:id="75"/>
    <w:p w14:paraId="46CB0502" w14:textId="77777777" w:rsidR="00791CA3" w:rsidRDefault="00791CA3" w:rsidP="00791CA3">
      <w:pPr>
        <w:rPr>
          <w:rFonts w:ascii="Arial Black" w:hAnsi="Arial Black"/>
          <w:b/>
          <w:sz w:val="24"/>
          <w:szCs w:val="24"/>
        </w:rPr>
      </w:pPr>
    </w:p>
    <w:p w14:paraId="4443AB19" w14:textId="07B5069A"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w:t>
      </w:r>
      <w:r w:rsidRPr="00791CA3">
        <w:rPr>
          <w:rFonts w:ascii="Arial Black" w:hAnsi="Arial Black"/>
          <w:b/>
          <w:sz w:val="24"/>
          <w:szCs w:val="24"/>
        </w:rPr>
        <w:t>3</w:t>
      </w:r>
    </w:p>
    <w:p w14:paraId="2B328449" w14:textId="2B582342" w:rsidR="00F326E5" w:rsidRPr="001456E2" w:rsidRDefault="00F326E5" w:rsidP="00F326E5">
      <w:pPr>
        <w:pStyle w:val="NoSpacing"/>
        <w:rPr>
          <w:rFonts w:ascii="Arial Black" w:hAnsi="Arial Black"/>
          <w:sz w:val="28"/>
          <w:szCs w:val="28"/>
        </w:rPr>
      </w:pPr>
      <w:bookmarkStart w:id="76" w:name="_Hlk7339826"/>
      <w:r w:rsidRPr="001456E2">
        <w:rPr>
          <w:rFonts w:ascii="Arial Black" w:hAnsi="Arial Black"/>
          <w:sz w:val="28"/>
          <w:szCs w:val="28"/>
        </w:rPr>
        <w:t>OH: AUTOPSY REPORTS NOT PUBLIC RECORDS – ONGOING INVESTIGATION, BUT JOURNALISTS CAN READ</w:t>
      </w:r>
      <w:r w:rsidRPr="001456E2">
        <w:rPr>
          <w:sz w:val="28"/>
          <w:szCs w:val="28"/>
        </w:rPr>
        <w:t xml:space="preserve"> </w:t>
      </w:r>
    </w:p>
    <w:p w14:paraId="428EA072" w14:textId="77777777" w:rsidR="00637A12" w:rsidRDefault="00F326E5" w:rsidP="00F326E5">
      <w:pPr>
        <w:rPr>
          <w:rFonts w:ascii="Times New Roman" w:eastAsia="Times New Roman" w:hAnsi="Times New Roman"/>
          <w:sz w:val="24"/>
          <w:szCs w:val="24"/>
        </w:rPr>
      </w:pPr>
      <w:r w:rsidRPr="00015208">
        <w:rPr>
          <w:rFonts w:ascii="Times New Roman" w:eastAsia="Times New Roman" w:hAnsi="Times New Roman"/>
          <w:sz w:val="24"/>
          <w:szCs w:val="24"/>
        </w:rPr>
        <w:t xml:space="preserve">On Sept. 19, 2018, in </w:t>
      </w:r>
      <w:r w:rsidRPr="00015208">
        <w:rPr>
          <w:rFonts w:ascii="Times New Roman" w:eastAsia="Times New Roman" w:hAnsi="Times New Roman"/>
          <w:sz w:val="24"/>
          <w:szCs w:val="24"/>
          <w:u w:val="single"/>
        </w:rPr>
        <w:t>The State Ex Rel. Cincinnati Enquirer v. Pike County General Health District, et al.</w:t>
      </w:r>
      <w:r w:rsidRPr="00015208">
        <w:rPr>
          <w:rFonts w:ascii="Times New Roman" w:eastAsia="Times New Roman" w:hAnsi="Times New Roman"/>
          <w:sz w:val="24"/>
          <w:szCs w:val="24"/>
        </w:rPr>
        <w:t xml:space="preserve">, the Ohio Supreme Court held (5 to 0) that: </w:t>
      </w:r>
    </w:p>
    <w:p w14:paraId="4C09B704" w14:textId="34B5EE95" w:rsidR="00F326E5" w:rsidRPr="00015208" w:rsidRDefault="00F326E5" w:rsidP="00637A12">
      <w:pPr>
        <w:ind w:left="720"/>
        <w:rPr>
          <w:rFonts w:ascii="Times New Roman" w:eastAsia="Times New Roman" w:hAnsi="Times New Roman"/>
          <w:b/>
          <w:sz w:val="24"/>
          <w:szCs w:val="24"/>
        </w:rPr>
      </w:pPr>
      <w:r w:rsidRPr="00015208">
        <w:rPr>
          <w:rFonts w:ascii="Times New Roman" w:eastAsia="Times New Roman" w:hAnsi="Times New Roman"/>
          <w:sz w:val="24"/>
          <w:szCs w:val="24"/>
        </w:rPr>
        <w:t>“</w:t>
      </w:r>
      <w:proofErr w:type="gramStart"/>
      <w:r w:rsidRPr="00015208">
        <w:rPr>
          <w:rFonts w:ascii="Times New Roman" w:eastAsia="Times New Roman" w:hAnsi="Times New Roman"/>
          <w:sz w:val="24"/>
          <w:szCs w:val="24"/>
        </w:rPr>
        <w:t>the</w:t>
      </w:r>
      <w:proofErr w:type="gramEnd"/>
      <w:r w:rsidRPr="00015208">
        <w:rPr>
          <w:rFonts w:ascii="Times New Roman" w:eastAsia="Times New Roman" w:hAnsi="Times New Roman"/>
          <w:sz w:val="24"/>
          <w:szCs w:val="24"/>
        </w:rPr>
        <w:t xml:space="preserve"> function of R.C. 313.10(D) is to give journalists limited access to records that are not public records. If a journalist could review only autopsy reports that are public records, then he would have no greater access than the </w:t>
      </w:r>
      <w:proofErr w:type="gramStart"/>
      <w:r w:rsidRPr="00015208">
        <w:rPr>
          <w:rFonts w:ascii="Times New Roman" w:eastAsia="Times New Roman" w:hAnsi="Times New Roman"/>
          <w:sz w:val="24"/>
          <w:szCs w:val="24"/>
        </w:rPr>
        <w:t>general public</w:t>
      </w:r>
      <w:proofErr w:type="gramEnd"/>
      <w:r w:rsidRPr="00015208">
        <w:rPr>
          <w:rFonts w:ascii="Times New Roman" w:eastAsia="Times New Roman" w:hAnsi="Times New Roman"/>
          <w:sz w:val="24"/>
          <w:szCs w:val="24"/>
        </w:rPr>
        <w:t xml:space="preserve">, and R.C. 313.10(D) would be a dead letter.” </w:t>
      </w:r>
      <w:hyperlink r:id="rId375" w:history="1">
        <w:r w:rsidRPr="00015208">
          <w:rPr>
            <w:rStyle w:val="Hyperlink"/>
            <w:rFonts w:ascii="Times New Roman" w:hAnsi="Times New Roman"/>
            <w:sz w:val="24"/>
            <w:szCs w:val="24"/>
          </w:rPr>
          <w:t>https://www.supremecourt.ohio.gov/rod/docs/pdf/0/2018/2018-Ohio-3721.pdf</w:t>
        </w:r>
      </w:hyperlink>
      <w:r w:rsidRPr="00015208">
        <w:rPr>
          <w:rFonts w:ascii="Times New Roman" w:eastAsia="Times New Roman" w:hAnsi="Times New Roman"/>
          <w:b/>
          <w:sz w:val="24"/>
          <w:szCs w:val="24"/>
        </w:rPr>
        <w:t xml:space="preserve"> </w:t>
      </w:r>
    </w:p>
    <w:p w14:paraId="0E495C83" w14:textId="77777777" w:rsidR="00ED63B1"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The Cincinnati Enquirer may next seek reimbursement of attorney fees.  Fire &amp; EMS departments, when requested to produce documents that may not be “public records” (for example, HIPAA-protected EMS run reports), should consult legal counsel before deciding whether to release the documents. </w:t>
      </w:r>
    </w:p>
    <w:bookmarkEnd w:id="76"/>
    <w:p w14:paraId="61B31F86" w14:textId="77777777" w:rsidR="00F326E5" w:rsidRPr="00015208" w:rsidRDefault="00F326E5" w:rsidP="00F326E5">
      <w:pPr>
        <w:pStyle w:val="NoSpacing"/>
        <w:ind w:left="720"/>
        <w:rPr>
          <w:rFonts w:ascii="Times New Roman" w:hAnsi="Times New Roman"/>
          <w:sz w:val="24"/>
          <w:szCs w:val="24"/>
        </w:rPr>
      </w:pPr>
      <w:r w:rsidRPr="00015208">
        <w:rPr>
          <w:rFonts w:ascii="Times New Roman" w:eastAsia="Times New Roman" w:hAnsi="Times New Roman"/>
          <w:sz w:val="24"/>
          <w:szCs w:val="24"/>
        </w:rPr>
        <w:t>Note: On Nov. 13, 2018, arrests were made: “</w:t>
      </w:r>
      <w:r w:rsidRPr="00015208">
        <w:rPr>
          <w:rFonts w:ascii="Times New Roman" w:hAnsi="Times New Roman"/>
          <w:sz w:val="24"/>
          <w:szCs w:val="24"/>
        </w:rPr>
        <w:t xml:space="preserve">Pike County: Wagner Family Arrested </w:t>
      </w:r>
      <w:proofErr w:type="gramStart"/>
      <w:r w:rsidRPr="00015208">
        <w:rPr>
          <w:rFonts w:ascii="Times New Roman" w:hAnsi="Times New Roman"/>
          <w:sz w:val="24"/>
          <w:szCs w:val="24"/>
        </w:rPr>
        <w:t>In</w:t>
      </w:r>
      <w:proofErr w:type="gramEnd"/>
      <w:r w:rsidRPr="00015208">
        <w:rPr>
          <w:rFonts w:ascii="Times New Roman" w:hAnsi="Times New Roman"/>
          <w:sz w:val="24"/>
          <w:szCs w:val="24"/>
        </w:rPr>
        <w:t xml:space="preserve"> </w:t>
      </w:r>
      <w:proofErr w:type="gramStart"/>
      <w:r w:rsidRPr="00015208">
        <w:rPr>
          <w:rFonts w:ascii="Times New Roman" w:hAnsi="Times New Roman"/>
          <w:sz w:val="24"/>
          <w:szCs w:val="24"/>
        </w:rPr>
        <w:t>The</w:t>
      </w:r>
      <w:proofErr w:type="gramEnd"/>
      <w:r w:rsidRPr="00015208">
        <w:rPr>
          <w:rFonts w:ascii="Times New Roman" w:hAnsi="Times New Roman"/>
          <w:sz w:val="24"/>
          <w:szCs w:val="24"/>
        </w:rPr>
        <w:t xml:space="preserve"> Rhoden Family Massacre…. Arrested and charged with murder and a slew of other charges were Angela Wagner, 48, her husband George ‘Billy’ Wagner, 47, and their two sons, George Wagner IV, 27, and Edward ‘Jake’ Wagner, 26.” </w:t>
      </w:r>
      <w:hyperlink r:id="rId376" w:history="1">
        <w:r w:rsidRPr="00015208">
          <w:rPr>
            <w:rStyle w:val="Hyperlink"/>
            <w:rFonts w:ascii="Times New Roman" w:hAnsi="Times New Roman"/>
            <w:sz w:val="24"/>
            <w:szCs w:val="24"/>
          </w:rPr>
          <w:t>https://www.cincinnati.com/story/news/crime/crime-and-courts/2018/11/13/pike-county-massacre-wagner-family-arrested-rhoden-family-homicides/1373456002/</w:t>
        </w:r>
      </w:hyperlink>
      <w:r w:rsidRPr="00015208">
        <w:rPr>
          <w:rFonts w:ascii="Times New Roman" w:hAnsi="Times New Roman"/>
          <w:sz w:val="24"/>
          <w:szCs w:val="24"/>
        </w:rPr>
        <w:t xml:space="preserve"> </w:t>
      </w:r>
    </w:p>
    <w:p w14:paraId="2FCD49A6" w14:textId="77777777" w:rsidR="00F326E5" w:rsidRPr="00015208" w:rsidRDefault="00F326E5" w:rsidP="00F326E5">
      <w:pPr>
        <w:pStyle w:val="NoSpacing"/>
        <w:rPr>
          <w:rFonts w:ascii="Times New Roman" w:hAnsi="Times New Roman"/>
          <w:b/>
          <w:sz w:val="24"/>
          <w:szCs w:val="24"/>
        </w:rPr>
      </w:pPr>
    </w:p>
    <w:p w14:paraId="7918B77A" w14:textId="77777777" w:rsidR="00791CA3" w:rsidRPr="00015208" w:rsidRDefault="00791CA3" w:rsidP="00791CA3">
      <w:pPr>
        <w:rPr>
          <w:rFonts w:ascii="Times New Roman" w:hAnsi="Times New Roman"/>
          <w:b/>
          <w:sz w:val="24"/>
          <w:szCs w:val="24"/>
        </w:rPr>
      </w:pPr>
      <w:bookmarkStart w:id="77" w:name="_Hlk7339892"/>
    </w:p>
    <w:p w14:paraId="7AC0E8AE" w14:textId="6A487761"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12</w:t>
      </w:r>
    </w:p>
    <w:p w14:paraId="718F2358" w14:textId="44D21E5D" w:rsidR="00F326E5" w:rsidRPr="00237787" w:rsidRDefault="00F326E5" w:rsidP="00F326E5">
      <w:pPr>
        <w:pStyle w:val="Heading1"/>
        <w:rPr>
          <w:sz w:val="24"/>
          <w:szCs w:val="24"/>
        </w:rPr>
      </w:pPr>
      <w:r w:rsidRPr="001456E2">
        <w:rPr>
          <w:rFonts w:ascii="Arial Black" w:hAnsi="Arial Black"/>
          <w:sz w:val="28"/>
          <w:szCs w:val="28"/>
        </w:rPr>
        <w:t>TX: FREE SPEECH - PD OFFICER LAWSUIT MAY PROCEED - FIRED ORGANIZING POLICE ASSOCIATION</w:t>
      </w:r>
      <w:r>
        <w:rPr>
          <w:rFonts w:ascii="Arial Black" w:hAnsi="Arial Black"/>
          <w:sz w:val="24"/>
          <w:szCs w:val="24"/>
        </w:rPr>
        <w:t xml:space="preserve"> </w:t>
      </w:r>
      <w:r w:rsidRPr="00237787">
        <w:rPr>
          <w:sz w:val="24"/>
          <w:szCs w:val="24"/>
        </w:rPr>
        <w:t>[also filed, Chap. 16]</w:t>
      </w:r>
    </w:p>
    <w:p w14:paraId="5EDF39B6" w14:textId="77777777" w:rsidR="00637A12" w:rsidRDefault="00F326E5" w:rsidP="00F326E5">
      <w:pPr>
        <w:rPr>
          <w:rFonts w:ascii="Times New Roman" w:hAnsi="Times New Roman"/>
          <w:sz w:val="24"/>
          <w:szCs w:val="24"/>
        </w:rPr>
      </w:pPr>
      <w:r w:rsidRPr="00015208">
        <w:rPr>
          <w:rFonts w:ascii="Times New Roman" w:hAnsi="Times New Roman"/>
          <w:sz w:val="24"/>
          <w:szCs w:val="24"/>
        </w:rPr>
        <w:t xml:space="preserve">On Aug. 31, 2018, in </w:t>
      </w:r>
      <w:r w:rsidRPr="00015208">
        <w:rPr>
          <w:rFonts w:ascii="Times New Roman" w:hAnsi="Times New Roman"/>
          <w:sz w:val="24"/>
          <w:szCs w:val="24"/>
          <w:u w:val="single"/>
        </w:rPr>
        <w:t>Marcus Mote v. Debra Walthall</w:t>
      </w:r>
      <w:r w:rsidRPr="00015208">
        <w:rPr>
          <w:rFonts w:ascii="Times New Roman" w:hAnsi="Times New Roman"/>
          <w:sz w:val="24"/>
          <w:szCs w:val="24"/>
        </w:rPr>
        <w:t>, the U.S. Court of Appeals for 5</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 held (3 to 0) that Police Chief Debra Walthall is not entitled to qualified immunity, and Officer Mote’s lawsuit against her may proceed.  Officer Mote sought before he was fired to organize police officers with the City of </w:t>
      </w:r>
      <w:proofErr w:type="spellStart"/>
      <w:r w:rsidRPr="00015208">
        <w:rPr>
          <w:rFonts w:ascii="Times New Roman" w:hAnsi="Times New Roman"/>
          <w:sz w:val="24"/>
          <w:szCs w:val="24"/>
        </w:rPr>
        <w:t>Corith</w:t>
      </w:r>
      <w:proofErr w:type="spellEnd"/>
      <w:r w:rsidRPr="00015208">
        <w:rPr>
          <w:rFonts w:ascii="Times New Roman" w:hAnsi="Times New Roman"/>
          <w:sz w:val="24"/>
          <w:szCs w:val="24"/>
        </w:rPr>
        <w:t xml:space="preserve">, TX into a </w:t>
      </w:r>
    </w:p>
    <w:p w14:paraId="467AFC90" w14:textId="07FBB86F" w:rsidR="00F326E5" w:rsidRPr="00015208" w:rsidRDefault="00F326E5" w:rsidP="00637A12">
      <w:pPr>
        <w:ind w:left="720"/>
        <w:rPr>
          <w:rFonts w:ascii="Times New Roman" w:eastAsia="Times New Roman" w:hAnsi="Times New Roman"/>
          <w:sz w:val="24"/>
          <w:szCs w:val="24"/>
        </w:rPr>
      </w:pPr>
      <w:r w:rsidRPr="00015208">
        <w:rPr>
          <w:rFonts w:ascii="Times New Roman" w:hAnsi="Times New Roman"/>
          <w:sz w:val="24"/>
          <w:szCs w:val="24"/>
        </w:rPr>
        <w:t>“</w:t>
      </w:r>
      <w:proofErr w:type="spellStart"/>
      <w:r w:rsidRPr="00015208">
        <w:rPr>
          <w:rFonts w:ascii="Times New Roman" w:hAnsi="Times New Roman"/>
          <w:sz w:val="24"/>
          <w:szCs w:val="24"/>
        </w:rPr>
        <w:t>Corith</w:t>
      </w:r>
      <w:proofErr w:type="spellEnd"/>
      <w:r w:rsidRPr="00015208">
        <w:rPr>
          <w:rFonts w:ascii="Times New Roman" w:hAnsi="Times New Roman"/>
          <w:sz w:val="24"/>
          <w:szCs w:val="24"/>
        </w:rPr>
        <w:t xml:space="preserve"> Police Officers Association” [no collective bargaining rights under TX law], affiliated with the Texas Municipal Police Association.  The Court wrote, “</w:t>
      </w:r>
      <w:r w:rsidRPr="00015208">
        <w:rPr>
          <w:rFonts w:ascii="Times New Roman" w:eastAsia="Times New Roman" w:hAnsi="Times New Roman"/>
          <w:sz w:val="24"/>
          <w:szCs w:val="24"/>
        </w:rPr>
        <w:t>The First Amendment protects the right of all persons to associate together in groups to ‘</w:t>
      </w:r>
      <w:proofErr w:type="spellStart"/>
      <w:r w:rsidRPr="00015208">
        <w:rPr>
          <w:rFonts w:ascii="Times New Roman" w:eastAsia="Times New Roman" w:hAnsi="Times New Roman"/>
          <w:sz w:val="24"/>
          <w:szCs w:val="24"/>
        </w:rPr>
        <w:t>advanc</w:t>
      </w:r>
      <w:proofErr w:type="spellEnd"/>
      <w:r w:rsidRPr="00015208">
        <w:rPr>
          <w:rFonts w:ascii="Times New Roman" w:eastAsia="Times New Roman" w:hAnsi="Times New Roman"/>
          <w:sz w:val="24"/>
          <w:szCs w:val="24"/>
        </w:rPr>
        <w:t>[e] beliefs and ideas.’ Put another way, ‘the [F]</w:t>
      </w:r>
      <w:proofErr w:type="spellStart"/>
      <w:r w:rsidRPr="00015208">
        <w:rPr>
          <w:rFonts w:ascii="Times New Roman" w:eastAsia="Times New Roman" w:hAnsi="Times New Roman"/>
          <w:sz w:val="24"/>
          <w:szCs w:val="24"/>
        </w:rPr>
        <w:t>irst</w:t>
      </w:r>
      <w:proofErr w:type="spellEnd"/>
      <w:r w:rsidRPr="00015208">
        <w:rPr>
          <w:rFonts w:ascii="Times New Roman" w:eastAsia="Times New Roman" w:hAnsi="Times New Roman"/>
          <w:sz w:val="24"/>
          <w:szCs w:val="24"/>
        </w:rPr>
        <w:t xml:space="preserve"> [A]</w:t>
      </w:r>
      <w:proofErr w:type="spellStart"/>
      <w:r w:rsidRPr="00015208">
        <w:rPr>
          <w:rFonts w:ascii="Times New Roman" w:eastAsia="Times New Roman" w:hAnsi="Times New Roman"/>
          <w:sz w:val="24"/>
          <w:szCs w:val="24"/>
        </w:rPr>
        <w:t>mendment</w:t>
      </w:r>
      <w:proofErr w:type="spellEnd"/>
      <w:r w:rsidRPr="00015208">
        <w:rPr>
          <w:rFonts w:ascii="Times New Roman" w:eastAsia="Times New Roman" w:hAnsi="Times New Roman"/>
          <w:sz w:val="24"/>
          <w:szCs w:val="24"/>
        </w:rPr>
        <w:t xml:space="preserve"> protects the right of all persons to associate together in groups to further their lawful interests.’ When groups </w:t>
      </w:r>
      <w:proofErr w:type="gramStart"/>
      <w:r w:rsidRPr="00015208">
        <w:rPr>
          <w:rFonts w:ascii="Times New Roman" w:eastAsia="Times New Roman" w:hAnsi="Times New Roman"/>
          <w:sz w:val="24"/>
          <w:szCs w:val="24"/>
        </w:rPr>
        <w:t>gather together</w:t>
      </w:r>
      <w:proofErr w:type="gramEnd"/>
      <w:r w:rsidRPr="00015208">
        <w:rPr>
          <w:rFonts w:ascii="Times New Roman" w:eastAsia="Times New Roman" w:hAnsi="Times New Roman"/>
          <w:sz w:val="24"/>
          <w:szCs w:val="24"/>
        </w:rPr>
        <w:t xml:space="preserve"> for this </w:t>
      </w:r>
      <w:proofErr w:type="gramStart"/>
      <w:r w:rsidRPr="00015208">
        <w:rPr>
          <w:rFonts w:ascii="Times New Roman" w:eastAsia="Times New Roman" w:hAnsi="Times New Roman"/>
          <w:sz w:val="24"/>
          <w:szCs w:val="24"/>
        </w:rPr>
        <w:t>purpose, ‘</w:t>
      </w:r>
      <w:proofErr w:type="gramEnd"/>
      <w:r w:rsidRPr="00015208">
        <w:rPr>
          <w:rFonts w:ascii="Times New Roman" w:eastAsia="Times New Roman" w:hAnsi="Times New Roman"/>
          <w:sz w:val="24"/>
          <w:szCs w:val="24"/>
        </w:rPr>
        <w:t xml:space="preserve">it cannot be seriously doubted’ that they comprise associations protected by the First Amendment. *** </w:t>
      </w:r>
      <w:r w:rsidRPr="00015208">
        <w:rPr>
          <w:rFonts w:ascii="Times New Roman" w:hAnsi="Times New Roman"/>
          <w:sz w:val="24"/>
          <w:szCs w:val="24"/>
        </w:rPr>
        <w:t xml:space="preserve">We conclude that Mote’s right to speak </w:t>
      </w:r>
      <w:r w:rsidRPr="00015208">
        <w:rPr>
          <w:rFonts w:ascii="Times New Roman" w:eastAsia="Times New Roman" w:hAnsi="Times New Roman"/>
          <w:sz w:val="24"/>
          <w:szCs w:val="24"/>
        </w:rPr>
        <w:t xml:space="preserve">in furtherance of forming the CPOA was clearly established as an integral part of his association rights. *** We agree with the district court that Mote’s association and speech rights to engage in the activities he alleged were </w:t>
      </w:r>
      <w:proofErr w:type="spellStart"/>
      <w:r w:rsidRPr="00015208">
        <w:rPr>
          <w:rFonts w:ascii="Times New Roman" w:eastAsia="Times New Roman" w:hAnsi="Times New Roman"/>
          <w:sz w:val="24"/>
          <w:szCs w:val="24"/>
        </w:rPr>
        <w:t>cle</w:t>
      </w:r>
      <w:r w:rsidRPr="00015208">
        <w:rPr>
          <w:rFonts w:ascii="Times New Roman" w:hAnsi="Times New Roman"/>
          <w:sz w:val="24"/>
          <w:szCs w:val="24"/>
        </w:rPr>
        <w:t>O</w:t>
      </w:r>
      <w:r w:rsidRPr="00015208">
        <w:rPr>
          <w:rFonts w:ascii="Times New Roman" w:eastAsia="Times New Roman" w:hAnsi="Times New Roman"/>
          <w:sz w:val="24"/>
          <w:szCs w:val="24"/>
        </w:rPr>
        <w:t>arly</w:t>
      </w:r>
      <w:proofErr w:type="spellEnd"/>
      <w:r w:rsidRPr="00015208">
        <w:rPr>
          <w:rFonts w:ascii="Times New Roman" w:eastAsia="Times New Roman" w:hAnsi="Times New Roman"/>
          <w:sz w:val="24"/>
          <w:szCs w:val="24"/>
        </w:rPr>
        <w:t xml:space="preserve"> established. We therefore DISMISS the appeal.” </w:t>
      </w:r>
      <w:hyperlink r:id="rId377" w:history="1">
        <w:r w:rsidRPr="00015208">
          <w:rPr>
            <w:rStyle w:val="Hyperlink"/>
            <w:rFonts w:ascii="Times New Roman" w:hAnsi="Times New Roman"/>
            <w:sz w:val="24"/>
            <w:szCs w:val="24"/>
          </w:rPr>
          <w:t>https://cases.justia.com/federal/appellate-courts/ca5/17-40754/17-40754-2018-08-31.pdf?ts=1535736678</w:t>
        </w:r>
      </w:hyperlink>
      <w:r w:rsidRPr="00015208">
        <w:rPr>
          <w:rFonts w:ascii="Times New Roman" w:eastAsia="Times New Roman" w:hAnsi="Times New Roman"/>
          <w:sz w:val="24"/>
          <w:szCs w:val="24"/>
        </w:rPr>
        <w:t xml:space="preserve"> </w:t>
      </w:r>
    </w:p>
    <w:p w14:paraId="773803F7"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Very strong opinion concerning </w:t>
      </w:r>
      <w:proofErr w:type="gramStart"/>
      <w:r w:rsidRPr="00015208">
        <w:rPr>
          <w:rFonts w:ascii="Times New Roman" w:eastAsia="Times New Roman" w:hAnsi="Times New Roman"/>
          <w:b/>
          <w:sz w:val="24"/>
          <w:szCs w:val="24"/>
        </w:rPr>
        <w:t>free speech</w:t>
      </w:r>
      <w:proofErr w:type="gramEnd"/>
      <w:r w:rsidRPr="00015208">
        <w:rPr>
          <w:rFonts w:ascii="Times New Roman" w:eastAsia="Times New Roman" w:hAnsi="Times New Roman"/>
          <w:b/>
          <w:sz w:val="24"/>
          <w:szCs w:val="24"/>
        </w:rPr>
        <w:t xml:space="preserve"> rights of public employees.  Fire &amp; EMS departments should adopt a “Social Media” policy that recognizes free speech </w:t>
      </w:r>
      <w:proofErr w:type="gramStart"/>
      <w:r w:rsidRPr="00015208">
        <w:rPr>
          <w:rFonts w:ascii="Times New Roman" w:eastAsia="Times New Roman" w:hAnsi="Times New Roman"/>
          <w:b/>
          <w:sz w:val="24"/>
          <w:szCs w:val="24"/>
        </w:rPr>
        <w:t>rights, but</w:t>
      </w:r>
      <w:proofErr w:type="gramEnd"/>
      <w:r w:rsidRPr="00015208">
        <w:rPr>
          <w:rFonts w:ascii="Times New Roman" w:eastAsia="Times New Roman" w:hAnsi="Times New Roman"/>
          <w:b/>
          <w:sz w:val="24"/>
          <w:szCs w:val="24"/>
        </w:rPr>
        <w:t xml:space="preserve"> also cautions members to not publicly discuss internal matters</w:t>
      </w:r>
      <w:r w:rsidRPr="00015208">
        <w:rPr>
          <w:rFonts w:ascii="Times New Roman" w:eastAsia="Times New Roman" w:hAnsi="Times New Roman"/>
          <w:sz w:val="24"/>
          <w:szCs w:val="24"/>
        </w:rPr>
        <w:t>.</w:t>
      </w:r>
    </w:p>
    <w:bookmarkEnd w:id="77"/>
    <w:p w14:paraId="3AFD0AE6" w14:textId="77777777" w:rsidR="00F326E5" w:rsidRPr="00015208" w:rsidRDefault="00F326E5" w:rsidP="00F326E5">
      <w:pPr>
        <w:pStyle w:val="NoSpacing"/>
        <w:rPr>
          <w:rFonts w:ascii="Times New Roman" w:hAnsi="Times New Roman"/>
          <w:b/>
          <w:sz w:val="24"/>
          <w:szCs w:val="24"/>
        </w:rPr>
      </w:pPr>
    </w:p>
    <w:p w14:paraId="1897F040" w14:textId="77777777" w:rsidR="00F326E5" w:rsidRPr="00015208" w:rsidRDefault="00F326E5" w:rsidP="00F326E5">
      <w:pPr>
        <w:pStyle w:val="NoSpacing"/>
        <w:rPr>
          <w:rFonts w:ascii="Times New Roman" w:hAnsi="Times New Roman"/>
          <w:sz w:val="24"/>
          <w:szCs w:val="24"/>
        </w:rPr>
      </w:pPr>
    </w:p>
    <w:p w14:paraId="2411D8D4" w14:textId="77777777" w:rsidR="00791CA3" w:rsidRDefault="00791CA3" w:rsidP="00F326E5">
      <w:pPr>
        <w:pStyle w:val="NoSpacing"/>
        <w:rPr>
          <w:rFonts w:ascii="Arial Black" w:hAnsi="Arial Black"/>
          <w:b/>
          <w:sz w:val="28"/>
          <w:szCs w:val="28"/>
        </w:rPr>
      </w:pPr>
      <w:bookmarkStart w:id="78" w:name="_Hlk7339942"/>
    </w:p>
    <w:p w14:paraId="1AA97805" w14:textId="6797C79F" w:rsidR="00791CA3" w:rsidRDefault="00791CA3" w:rsidP="00791CA3">
      <w:pPr>
        <w:rPr>
          <w:rFonts w:ascii="Arial Black" w:hAnsi="Arial Black"/>
          <w:b/>
          <w:sz w:val="28"/>
          <w:szCs w:val="28"/>
        </w:rPr>
      </w:pPr>
      <w:r w:rsidRPr="00791CA3">
        <w:rPr>
          <w:rFonts w:ascii="Arial Black" w:hAnsi="Arial Black"/>
          <w:b/>
          <w:sz w:val="24"/>
          <w:szCs w:val="24"/>
        </w:rPr>
        <w:t>1-</w:t>
      </w:r>
      <w:r>
        <w:rPr>
          <w:rFonts w:ascii="Arial Black" w:hAnsi="Arial Black"/>
          <w:b/>
          <w:sz w:val="24"/>
          <w:szCs w:val="24"/>
        </w:rPr>
        <w:t>11</w:t>
      </w:r>
    </w:p>
    <w:p w14:paraId="17E880CC" w14:textId="2D0457CF" w:rsidR="00F326E5" w:rsidRPr="0002048B" w:rsidRDefault="00F326E5" w:rsidP="00F326E5">
      <w:pPr>
        <w:pStyle w:val="NoSpacing"/>
        <w:rPr>
          <w:b/>
          <w:sz w:val="24"/>
          <w:szCs w:val="24"/>
        </w:rPr>
      </w:pPr>
      <w:r w:rsidRPr="00BF4082">
        <w:rPr>
          <w:rFonts w:ascii="Arial Black" w:hAnsi="Arial Black"/>
          <w:b/>
          <w:sz w:val="28"/>
          <w:szCs w:val="28"/>
        </w:rPr>
        <w:t>OH: DYING DECLARATION IN BACK OF AMBULANCE ADMISSIBLE IN MURDER TRIAL</w:t>
      </w:r>
      <w:r>
        <w:rPr>
          <w:rFonts w:ascii="Arial Black" w:hAnsi="Arial Black"/>
          <w:b/>
          <w:sz w:val="24"/>
          <w:szCs w:val="24"/>
        </w:rPr>
        <w:t xml:space="preserve"> </w:t>
      </w:r>
      <w:r w:rsidRPr="0002048B">
        <w:rPr>
          <w:b/>
          <w:sz w:val="24"/>
          <w:szCs w:val="24"/>
        </w:rPr>
        <w:t>[also filed Chap. 13]</w:t>
      </w:r>
    </w:p>
    <w:p w14:paraId="4DA1D8C4" w14:textId="77777777" w:rsidR="00F326E5" w:rsidRPr="00015208" w:rsidRDefault="00F326E5" w:rsidP="00F326E5">
      <w:pPr>
        <w:rPr>
          <w:rFonts w:ascii="Times New Roman" w:eastAsia="Times New Roman" w:hAnsi="Times New Roman"/>
          <w:sz w:val="24"/>
          <w:szCs w:val="24"/>
        </w:rPr>
      </w:pPr>
      <w:r w:rsidRPr="00015208">
        <w:rPr>
          <w:rFonts w:ascii="Times New Roman" w:hAnsi="Times New Roman"/>
          <w:sz w:val="24"/>
          <w:szCs w:val="24"/>
        </w:rPr>
        <w:t xml:space="preserve">On July 25, 2018, in </w:t>
      </w:r>
      <w:r w:rsidRPr="00015208">
        <w:rPr>
          <w:rFonts w:ascii="Times New Roman" w:eastAsia="Times New Roman" w:hAnsi="Times New Roman"/>
          <w:sz w:val="24"/>
          <w:szCs w:val="24"/>
          <w:u w:val="single"/>
        </w:rPr>
        <w:t>State v. Fred Taylor</w:t>
      </w:r>
      <w:r w:rsidRPr="00015208">
        <w:rPr>
          <w:rFonts w:ascii="Times New Roman" w:eastAsia="Times New Roman" w:hAnsi="Times New Roman"/>
          <w:sz w:val="24"/>
          <w:szCs w:val="24"/>
        </w:rPr>
        <w:t xml:space="preserve">, 2018-Ohio-2921, the Ohio Court of Appeals for Summit County, upheld (3 to 0) his conviction of felony murder of Javon Knaff.   </w:t>
      </w:r>
    </w:p>
    <w:p w14:paraId="580C51A8" w14:textId="5E629BB1" w:rsidR="00F326E5" w:rsidRPr="00015208" w:rsidRDefault="00F326E5" w:rsidP="00637A12">
      <w:pPr>
        <w:ind w:left="720"/>
        <w:rPr>
          <w:rFonts w:ascii="Times New Roman" w:eastAsia="Times New Roman" w:hAnsi="Times New Roman"/>
          <w:sz w:val="24"/>
          <w:szCs w:val="24"/>
        </w:rPr>
      </w:pPr>
      <w:r w:rsidRPr="00015208">
        <w:rPr>
          <w:rFonts w:ascii="Times New Roman" w:eastAsia="Times New Roman" w:hAnsi="Times New Roman"/>
          <w:sz w:val="24"/>
          <w:szCs w:val="24"/>
        </w:rPr>
        <w:t>“Mr. Knaff’s repeated statements concerning the fact that he was dying, coupled with the severity of his condition, demonstrate his awareness of his impending death at the time that he stated, ‘Fred shot [me].’ Consequently, this statement was admissible as a dying declaration.”</w:t>
      </w:r>
      <w:hyperlink r:id="rId378" w:history="1">
        <w:r w:rsidR="00637A12" w:rsidRPr="002F304C">
          <w:rPr>
            <w:rStyle w:val="Hyperlink"/>
            <w:rFonts w:ascii="Times New Roman" w:hAnsi="Times New Roman"/>
            <w:sz w:val="24"/>
            <w:szCs w:val="24"/>
          </w:rPr>
          <w:t>https://cases.justia.com/ohio/ninth-district-court-of-appeals/2018-28746.pdf?ts=1532525904</w:t>
        </w:r>
      </w:hyperlink>
      <w:r w:rsidRPr="00015208">
        <w:rPr>
          <w:rFonts w:ascii="Times New Roman" w:eastAsia="Times New Roman" w:hAnsi="Times New Roman"/>
          <w:sz w:val="24"/>
          <w:szCs w:val="24"/>
        </w:rPr>
        <w:t xml:space="preserve"> </w:t>
      </w:r>
    </w:p>
    <w:p w14:paraId="6BA57B70" w14:textId="77777777" w:rsidR="00F326E5" w:rsidRPr="00015208" w:rsidRDefault="00F326E5" w:rsidP="00F326E5">
      <w:pPr>
        <w:rPr>
          <w:rFonts w:ascii="Times New Roman" w:hAnsi="Times New Roman"/>
          <w:b/>
          <w:sz w:val="24"/>
          <w:szCs w:val="24"/>
        </w:rPr>
      </w:pPr>
      <w:r w:rsidRPr="00015208">
        <w:rPr>
          <w:rFonts w:ascii="Times New Roman" w:hAnsi="Times New Roman"/>
          <w:b/>
          <w:sz w:val="24"/>
          <w:szCs w:val="24"/>
        </w:rPr>
        <w:t xml:space="preserve">Legal Lessons Learned:  Document on your EMS run report the actual words spoken by the patient; a “dying declaration” is admissible in evidence.   Recording the words on your run report can help prosecution reach a plea agreement. </w:t>
      </w:r>
    </w:p>
    <w:p w14:paraId="0EB84B91" w14:textId="77777777" w:rsidR="00791CA3" w:rsidRPr="00015208" w:rsidRDefault="00791CA3" w:rsidP="00791CA3">
      <w:pPr>
        <w:rPr>
          <w:rFonts w:ascii="Times New Roman" w:hAnsi="Times New Roman"/>
          <w:b/>
          <w:sz w:val="24"/>
          <w:szCs w:val="24"/>
        </w:rPr>
      </w:pPr>
      <w:bookmarkStart w:id="79" w:name="_Hlk7340011"/>
      <w:bookmarkEnd w:id="78"/>
    </w:p>
    <w:p w14:paraId="0335F4AB" w14:textId="41DB221B"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10</w:t>
      </w:r>
    </w:p>
    <w:p w14:paraId="649C7EBA" w14:textId="4B89F9A6" w:rsidR="00D46F1E" w:rsidRDefault="00F326E5" w:rsidP="00D46F1E">
      <w:pPr>
        <w:rPr>
          <w:rFonts w:ascii="Arial Black" w:hAnsi="Arial Black"/>
          <w:sz w:val="28"/>
          <w:szCs w:val="28"/>
        </w:rPr>
      </w:pPr>
      <w:r w:rsidRPr="0002048B">
        <w:rPr>
          <w:rFonts w:ascii="Arial Black" w:hAnsi="Arial Black"/>
          <w:sz w:val="28"/>
          <w:szCs w:val="28"/>
        </w:rPr>
        <w:t>MI</w:t>
      </w:r>
      <w:r>
        <w:rPr>
          <w:rFonts w:ascii="Arial Black" w:hAnsi="Arial Black"/>
          <w:sz w:val="28"/>
          <w:szCs w:val="28"/>
        </w:rPr>
        <w:t xml:space="preserve">: </w:t>
      </w:r>
      <w:r w:rsidRPr="0002048B">
        <w:rPr>
          <w:rFonts w:ascii="Arial Black" w:hAnsi="Arial Black"/>
          <w:sz w:val="28"/>
          <w:szCs w:val="28"/>
        </w:rPr>
        <w:t>HOMEOWNER CONV. ARSON – NO “MIRANDA WARNING” REQUIRED</w:t>
      </w:r>
      <w:r>
        <w:rPr>
          <w:rFonts w:ascii="Arial Black" w:hAnsi="Arial Black"/>
          <w:sz w:val="28"/>
          <w:szCs w:val="28"/>
        </w:rPr>
        <w:t xml:space="preserve">, SPOKE TO PD INFORMANT </w:t>
      </w:r>
    </w:p>
    <w:p w14:paraId="74DA3B4E" w14:textId="35003921" w:rsidR="00F326E5" w:rsidRPr="00015208" w:rsidRDefault="00F326E5" w:rsidP="00D46F1E">
      <w:pPr>
        <w:rPr>
          <w:rFonts w:ascii="Times New Roman" w:hAnsi="Times New Roman"/>
          <w:b/>
          <w:sz w:val="24"/>
          <w:szCs w:val="24"/>
        </w:rPr>
      </w:pPr>
      <w:r w:rsidRPr="00015208">
        <w:rPr>
          <w:rFonts w:ascii="Times New Roman" w:hAnsi="Times New Roman"/>
          <w:sz w:val="24"/>
          <w:szCs w:val="24"/>
        </w:rPr>
        <w:t xml:space="preserve">On July 24, 2018, in </w:t>
      </w:r>
      <w:r w:rsidRPr="00015208">
        <w:rPr>
          <w:rFonts w:ascii="Times New Roman" w:hAnsi="Times New Roman"/>
          <w:sz w:val="24"/>
          <w:szCs w:val="24"/>
          <w:u w:val="single"/>
        </w:rPr>
        <w:t>Cynthia Marie Stewart-Matzen v. Shawn Brewer</w:t>
      </w:r>
      <w:r w:rsidRPr="00015208">
        <w:rPr>
          <w:rFonts w:ascii="Times New Roman" w:hAnsi="Times New Roman"/>
          <w:sz w:val="24"/>
          <w:szCs w:val="24"/>
        </w:rPr>
        <w:t xml:space="preserve"> [Deputy Warden, Michigan state prison], U.S. District Court judge David M. Lawson, Eastern District of Michigan, Case No. 15-13050 denied prisoner’s petition for </w:t>
      </w:r>
      <w:proofErr w:type="spellStart"/>
      <w:r w:rsidRPr="00015208">
        <w:rPr>
          <w:rFonts w:ascii="Times New Roman" w:hAnsi="Times New Roman"/>
          <w:sz w:val="24"/>
          <w:szCs w:val="24"/>
        </w:rPr>
        <w:t>write</w:t>
      </w:r>
      <w:proofErr w:type="spellEnd"/>
      <w:r w:rsidRPr="00015208">
        <w:rPr>
          <w:rFonts w:ascii="Times New Roman" w:hAnsi="Times New Roman"/>
          <w:sz w:val="24"/>
          <w:szCs w:val="24"/>
        </w:rPr>
        <w:t xml:space="preserve"> of habeas corpus: </w:t>
      </w:r>
    </w:p>
    <w:p w14:paraId="7AD6B447" w14:textId="1DC6A9A4"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 xml:space="preserve">“The petitioner was not entitled to Miranda warnings when she was questioned by an informant at a restaurant or when questioned by Detective Morey in connection with her unemployment benefits because she was not in “Miranda custody.” </w:t>
      </w:r>
    </w:p>
    <w:p w14:paraId="19CF0FF1" w14:textId="7E95BA0C" w:rsidR="00F326E5" w:rsidRPr="00015208" w:rsidRDefault="00637A12" w:rsidP="00637A12">
      <w:pPr>
        <w:pStyle w:val="NoSpacing"/>
        <w:ind w:left="720"/>
        <w:rPr>
          <w:rFonts w:ascii="Times New Roman" w:hAnsi="Times New Roman"/>
          <w:sz w:val="24"/>
          <w:szCs w:val="24"/>
        </w:rPr>
      </w:pPr>
      <w:hyperlink r:id="rId379" w:history="1">
        <w:r w:rsidRPr="002F304C">
          <w:rPr>
            <w:rStyle w:val="Hyperlink"/>
            <w:rFonts w:ascii="Times New Roman" w:hAnsi="Times New Roman"/>
            <w:sz w:val="24"/>
            <w:szCs w:val="24"/>
          </w:rPr>
          <w:t>https://cases.justia.com/federal/district-courts/michigan/miedce/2:2015cv13050/304138/9/0.pdf?ts=1532512098</w:t>
        </w:r>
      </w:hyperlink>
    </w:p>
    <w:p w14:paraId="57327A78" w14:textId="77777777" w:rsidR="00637A12" w:rsidRDefault="00637A12" w:rsidP="00F326E5">
      <w:pPr>
        <w:rPr>
          <w:rFonts w:ascii="Times New Roman" w:hAnsi="Times New Roman"/>
          <w:b/>
          <w:sz w:val="24"/>
          <w:szCs w:val="24"/>
        </w:rPr>
      </w:pPr>
    </w:p>
    <w:p w14:paraId="37A345AD" w14:textId="510F68C0" w:rsidR="00F326E5" w:rsidRPr="00015208" w:rsidRDefault="00F326E5" w:rsidP="00F326E5">
      <w:pPr>
        <w:rPr>
          <w:rFonts w:ascii="Times New Roman" w:hAnsi="Times New Roman"/>
          <w:b/>
          <w:sz w:val="24"/>
          <w:szCs w:val="24"/>
        </w:rPr>
      </w:pPr>
      <w:r w:rsidRPr="00015208">
        <w:rPr>
          <w:rFonts w:ascii="Times New Roman" w:hAnsi="Times New Roman"/>
          <w:b/>
          <w:sz w:val="24"/>
          <w:szCs w:val="24"/>
        </w:rPr>
        <w:t xml:space="preserve">Legal Lessons Learned: If suspect in arson case is not in custody, then Miranda warnings </w:t>
      </w:r>
      <w:proofErr w:type="gramStart"/>
      <w:r w:rsidRPr="00015208">
        <w:rPr>
          <w:rFonts w:ascii="Times New Roman" w:hAnsi="Times New Roman"/>
          <w:b/>
          <w:sz w:val="24"/>
          <w:szCs w:val="24"/>
        </w:rPr>
        <w:t>not</w:t>
      </w:r>
      <w:proofErr w:type="gramEnd"/>
      <w:r w:rsidRPr="00015208">
        <w:rPr>
          <w:rFonts w:ascii="Times New Roman" w:hAnsi="Times New Roman"/>
          <w:b/>
          <w:sz w:val="24"/>
          <w:szCs w:val="24"/>
        </w:rPr>
        <w:t xml:space="preserve"> required.</w:t>
      </w:r>
    </w:p>
    <w:bookmarkEnd w:id="79"/>
    <w:p w14:paraId="1685B2FE" w14:textId="77777777" w:rsidR="00791CA3" w:rsidRDefault="00791CA3" w:rsidP="00791CA3">
      <w:pPr>
        <w:rPr>
          <w:rFonts w:ascii="Arial Black" w:hAnsi="Arial Black"/>
          <w:b/>
          <w:sz w:val="24"/>
          <w:szCs w:val="24"/>
        </w:rPr>
      </w:pPr>
    </w:p>
    <w:p w14:paraId="51FA47C9" w14:textId="10D6ABB3"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9</w:t>
      </w:r>
    </w:p>
    <w:p w14:paraId="6C843AF6" w14:textId="073B3AE9" w:rsidR="00F326E5" w:rsidRPr="00BF4082" w:rsidRDefault="00F326E5" w:rsidP="00F326E5">
      <w:pPr>
        <w:pStyle w:val="NoSpacing"/>
        <w:rPr>
          <w:rFonts w:ascii="Arial Black" w:hAnsi="Arial Black"/>
          <w:b/>
          <w:sz w:val="28"/>
          <w:szCs w:val="28"/>
        </w:rPr>
      </w:pPr>
      <w:bookmarkStart w:id="80" w:name="_Hlk7340104"/>
      <w:r w:rsidRPr="00BF4082">
        <w:rPr>
          <w:rFonts w:ascii="Arial Black" w:hAnsi="Arial Black"/>
          <w:b/>
          <w:sz w:val="28"/>
          <w:szCs w:val="28"/>
        </w:rPr>
        <w:t xml:space="preserve">U.S. SUPREME COURT – UNION “FAIR SHARE” FEES </w:t>
      </w:r>
      <w:r>
        <w:rPr>
          <w:rFonts w:ascii="Arial Black" w:hAnsi="Arial Black"/>
          <w:b/>
          <w:sz w:val="28"/>
          <w:szCs w:val="28"/>
        </w:rPr>
        <w:t xml:space="preserve">– REQUIRES </w:t>
      </w:r>
      <w:r w:rsidRPr="00BF4082">
        <w:rPr>
          <w:rFonts w:ascii="Arial Black" w:hAnsi="Arial Black"/>
          <w:b/>
          <w:sz w:val="28"/>
          <w:szCs w:val="28"/>
        </w:rPr>
        <w:t xml:space="preserve">EMPLOYEE </w:t>
      </w:r>
      <w:r>
        <w:rPr>
          <w:rFonts w:ascii="Arial Black" w:hAnsi="Arial Black"/>
          <w:b/>
          <w:sz w:val="28"/>
          <w:szCs w:val="28"/>
        </w:rPr>
        <w:t xml:space="preserve">SPECIFIC </w:t>
      </w:r>
      <w:r w:rsidRPr="00BF4082">
        <w:rPr>
          <w:rFonts w:ascii="Arial Black" w:hAnsi="Arial Black"/>
          <w:b/>
          <w:sz w:val="28"/>
          <w:szCs w:val="28"/>
        </w:rPr>
        <w:t xml:space="preserve">CONSENT </w:t>
      </w:r>
    </w:p>
    <w:p w14:paraId="27D6EC33" w14:textId="77777777" w:rsidR="00F326E5" w:rsidRPr="00015208" w:rsidRDefault="00F326E5" w:rsidP="00F326E5">
      <w:pPr>
        <w:rPr>
          <w:rFonts w:ascii="Times New Roman" w:hAnsi="Times New Roman"/>
          <w:sz w:val="24"/>
          <w:szCs w:val="24"/>
        </w:rPr>
      </w:pPr>
      <w:r w:rsidRPr="00015208">
        <w:rPr>
          <w:rFonts w:ascii="Times New Roman" w:hAnsi="Times New Roman"/>
          <w:sz w:val="24"/>
          <w:szCs w:val="24"/>
        </w:rPr>
        <w:t xml:space="preserve">On June 27, 2018, in </w:t>
      </w:r>
      <w:r w:rsidRPr="00015208">
        <w:rPr>
          <w:rFonts w:ascii="Times New Roman" w:hAnsi="Times New Roman"/>
          <w:sz w:val="24"/>
          <w:szCs w:val="24"/>
          <w:u w:val="single"/>
        </w:rPr>
        <w:t>Janus v. American Federation of State, County, And Municipal Employee, Council 32, et al</w:t>
      </w:r>
      <w:r w:rsidRPr="00015208">
        <w:rPr>
          <w:rFonts w:ascii="Times New Roman" w:hAnsi="Times New Roman"/>
          <w:sz w:val="24"/>
          <w:szCs w:val="24"/>
        </w:rPr>
        <w:t xml:space="preserve">,  the U.S. Supreme Court (5 to 4) held in opinion by Justice </w:t>
      </w:r>
      <w:r w:rsidRPr="00015208">
        <w:rPr>
          <w:rFonts w:ascii="Times New Roman" w:eastAsia="Times New Roman" w:hAnsi="Times New Roman"/>
          <w:sz w:val="24"/>
          <w:szCs w:val="24"/>
        </w:rPr>
        <w:t xml:space="preserve">Alito: </w:t>
      </w:r>
      <w:r w:rsidRPr="00015208">
        <w:rPr>
          <w:rFonts w:ascii="Times New Roman" w:hAnsi="Times New Roman"/>
          <w:sz w:val="24"/>
          <w:szCs w:val="24"/>
        </w:rPr>
        <w:t xml:space="preserve"> </w:t>
      </w:r>
    </w:p>
    <w:p w14:paraId="7B302BAD" w14:textId="77777777" w:rsidR="00F326E5" w:rsidRPr="00015208" w:rsidRDefault="00F326E5" w:rsidP="00F326E5">
      <w:pPr>
        <w:ind w:left="720"/>
        <w:rPr>
          <w:rFonts w:ascii="Times New Roman" w:eastAsia="Times New Roman" w:hAnsi="Times New Roman"/>
          <w:b/>
          <w:sz w:val="24"/>
          <w:szCs w:val="24"/>
        </w:rPr>
      </w:pPr>
      <w:r w:rsidRPr="00015208">
        <w:rPr>
          <w:rFonts w:ascii="Times New Roman" w:hAnsi="Times New Roman"/>
          <w:sz w:val="24"/>
          <w:szCs w:val="24"/>
        </w:rPr>
        <w:t>“</w:t>
      </w:r>
      <w:r w:rsidRPr="00015208">
        <w:rPr>
          <w:rFonts w:ascii="Times New Roman" w:eastAsia="Times New Roman" w:hAnsi="Times New Roman"/>
          <w:sz w:val="24"/>
          <w:szCs w:val="24"/>
        </w:rPr>
        <w:t>Under Illinois law, public employees are forced to subsi</w:t>
      </w:r>
      <w:r w:rsidRPr="00015208">
        <w:rPr>
          <w:rFonts w:ascii="Times New Roman" w:eastAsia="Times New Roman" w:hAnsi="Times New Roman"/>
          <w:sz w:val="24"/>
          <w:szCs w:val="24"/>
        </w:rPr>
        <w:softHyphen/>
        <w:t>dize a union, even if they choose not to join and strongly object to the positions the union takes in collective bar</w:t>
      </w:r>
      <w:r w:rsidRPr="00015208">
        <w:rPr>
          <w:rFonts w:ascii="Times New Roman" w:eastAsia="Times New Roman" w:hAnsi="Times New Roman"/>
          <w:sz w:val="24"/>
          <w:szCs w:val="24"/>
        </w:rPr>
        <w:softHyphen/>
        <w:t xml:space="preserve">gaining and related activities. We conclude that this arrangement violates the </w:t>
      </w:r>
      <w:proofErr w:type="gramStart"/>
      <w:r w:rsidRPr="00015208">
        <w:rPr>
          <w:rFonts w:ascii="Times New Roman" w:eastAsia="Times New Roman" w:hAnsi="Times New Roman"/>
          <w:sz w:val="24"/>
          <w:szCs w:val="24"/>
        </w:rPr>
        <w:t>free speech</w:t>
      </w:r>
      <w:proofErr w:type="gramEnd"/>
      <w:r w:rsidRPr="00015208">
        <w:rPr>
          <w:rFonts w:ascii="Times New Roman" w:eastAsia="Times New Roman" w:hAnsi="Times New Roman"/>
          <w:sz w:val="24"/>
          <w:szCs w:val="24"/>
        </w:rPr>
        <w:t xml:space="preserve"> rights of nonmem</w:t>
      </w:r>
      <w:r w:rsidRPr="00015208">
        <w:rPr>
          <w:rFonts w:ascii="Times New Roman" w:eastAsia="Times New Roman" w:hAnsi="Times New Roman"/>
          <w:sz w:val="24"/>
          <w:szCs w:val="24"/>
        </w:rPr>
        <w:softHyphen/>
        <w:t>bers by compelling them to subsidize private speech on matters of substantial public concern.”</w:t>
      </w:r>
      <w:hyperlink r:id="rId380" w:history="1">
        <w:r w:rsidRPr="00015208">
          <w:rPr>
            <w:rStyle w:val="Hyperlink"/>
            <w:rFonts w:ascii="Times New Roman" w:hAnsi="Times New Roman"/>
            <w:sz w:val="24"/>
            <w:szCs w:val="24"/>
          </w:rPr>
          <w:t>https://www.supremecourt.gov/opinions/17pdf/16-1466_2b3j.pdf</w:t>
        </w:r>
      </w:hyperlink>
      <w:r w:rsidRPr="00015208">
        <w:rPr>
          <w:rFonts w:ascii="Times New Roman" w:eastAsia="Times New Roman" w:hAnsi="Times New Roman"/>
          <w:b/>
          <w:sz w:val="24"/>
          <w:szCs w:val="24"/>
        </w:rPr>
        <w:t xml:space="preserve"> </w:t>
      </w:r>
    </w:p>
    <w:p w14:paraId="0208932C" w14:textId="77777777" w:rsidR="00F326E5" w:rsidRPr="00FC2C52" w:rsidRDefault="00F326E5" w:rsidP="00F326E5">
      <w:pPr>
        <w:rPr>
          <w:sz w:val="24"/>
          <w:szCs w:val="24"/>
        </w:rPr>
      </w:pPr>
      <w:r w:rsidRPr="00015208">
        <w:rPr>
          <w:rFonts w:ascii="Times New Roman" w:hAnsi="Times New Roman"/>
          <w:b/>
          <w:sz w:val="24"/>
          <w:szCs w:val="24"/>
        </w:rPr>
        <w:t>Legal Lessons Learned:  Fire &amp; EMS Departments with unions need to dialog with their union officers about getting written authorization from each employee to deduct “fair share” or other union fees.</w:t>
      </w:r>
      <w:r w:rsidRPr="00015208">
        <w:rPr>
          <w:rFonts w:ascii="Times New Roman" w:hAnsi="Times New Roman"/>
          <w:sz w:val="24"/>
          <w:szCs w:val="24"/>
        </w:rPr>
        <w:t xml:space="preserve">  See also IAFF Statement: </w:t>
      </w:r>
      <w:hyperlink r:id="rId381" w:anchor="contentid=68451" w:history="1">
        <w:r w:rsidRPr="00015208">
          <w:rPr>
            <w:rStyle w:val="Hyperlink"/>
            <w:rFonts w:ascii="Times New Roman" w:hAnsi="Times New Roman"/>
            <w:sz w:val="24"/>
            <w:szCs w:val="24"/>
          </w:rPr>
          <w:t>https://client.prod.iaff.org/#contentid=68451</w:t>
        </w:r>
      </w:hyperlink>
      <w:r w:rsidRPr="00015208">
        <w:rPr>
          <w:rFonts w:ascii="Times New Roman" w:hAnsi="Times New Roman"/>
          <w:sz w:val="24"/>
          <w:szCs w:val="24"/>
        </w:rPr>
        <w:t xml:space="preserve">, and Blog: </w:t>
      </w:r>
      <w:hyperlink r:id="rId382" w:history="1">
        <w:r w:rsidRPr="00015208">
          <w:rPr>
            <w:rStyle w:val="Hyperlink"/>
            <w:rFonts w:ascii="Times New Roman" w:hAnsi="Times New Roman"/>
            <w:sz w:val="24"/>
            <w:szCs w:val="24"/>
          </w:rPr>
          <w:t>http://blog.iaff.org/post/2018/06/05/preparing-for-the-janus-v-afscme-council-31-supreme-court-ruling</w:t>
        </w:r>
      </w:hyperlink>
      <w:bookmarkEnd w:id="80"/>
      <w:r w:rsidRPr="00FC2C52">
        <w:rPr>
          <w:sz w:val="24"/>
          <w:szCs w:val="24"/>
        </w:rPr>
        <w:t xml:space="preserve"> </w:t>
      </w:r>
    </w:p>
    <w:p w14:paraId="1E02B443" w14:textId="77777777" w:rsidR="00F326E5" w:rsidRPr="00A56BFE" w:rsidRDefault="00F326E5" w:rsidP="00F326E5">
      <w:pPr>
        <w:pStyle w:val="NoSpacing"/>
        <w:ind w:firstLine="720"/>
        <w:rPr>
          <w:rFonts w:eastAsia="Times New Roman"/>
          <w:b/>
          <w:sz w:val="24"/>
          <w:szCs w:val="24"/>
        </w:rPr>
      </w:pPr>
    </w:p>
    <w:p w14:paraId="6EA447FC" w14:textId="2515D788" w:rsidR="00791CA3" w:rsidRPr="00791CA3" w:rsidRDefault="00791CA3" w:rsidP="00791CA3">
      <w:pPr>
        <w:rPr>
          <w:rFonts w:ascii="Arial Black" w:hAnsi="Arial Black"/>
          <w:b/>
          <w:sz w:val="24"/>
          <w:szCs w:val="24"/>
        </w:rPr>
      </w:pPr>
      <w:bookmarkStart w:id="81" w:name="_Hlk7340141"/>
      <w:r w:rsidRPr="00791CA3">
        <w:rPr>
          <w:rFonts w:ascii="Arial Black" w:hAnsi="Arial Black"/>
          <w:b/>
          <w:sz w:val="24"/>
          <w:szCs w:val="24"/>
        </w:rPr>
        <w:t>1-</w:t>
      </w:r>
      <w:r>
        <w:rPr>
          <w:rFonts w:ascii="Arial Black" w:hAnsi="Arial Black"/>
          <w:b/>
          <w:sz w:val="24"/>
          <w:szCs w:val="24"/>
        </w:rPr>
        <w:t>8</w:t>
      </w:r>
    </w:p>
    <w:p w14:paraId="68CA276F" w14:textId="34F546BB" w:rsidR="00F326E5" w:rsidRPr="00BF4082" w:rsidRDefault="00F326E5" w:rsidP="00F326E5">
      <w:pPr>
        <w:pStyle w:val="NormalWeb"/>
        <w:rPr>
          <w:rFonts w:ascii="Arial Black" w:hAnsi="Arial Black"/>
          <w:b/>
          <w:sz w:val="28"/>
          <w:szCs w:val="28"/>
        </w:rPr>
      </w:pPr>
      <w:r w:rsidRPr="00BF4082">
        <w:rPr>
          <w:rFonts w:ascii="Arial Black" w:hAnsi="Arial Black"/>
          <w:b/>
          <w:sz w:val="28"/>
          <w:szCs w:val="28"/>
        </w:rPr>
        <w:t>U.S. SUPREME COURT</w:t>
      </w:r>
      <w:r>
        <w:rPr>
          <w:rFonts w:ascii="Arial Black" w:hAnsi="Arial Black"/>
          <w:b/>
          <w:sz w:val="28"/>
          <w:szCs w:val="28"/>
        </w:rPr>
        <w:t xml:space="preserve">: </w:t>
      </w:r>
      <w:r w:rsidRPr="00BF4082">
        <w:rPr>
          <w:rFonts w:ascii="Arial Black" w:hAnsi="Arial Black"/>
          <w:b/>
          <w:sz w:val="28"/>
          <w:szCs w:val="28"/>
        </w:rPr>
        <w:t xml:space="preserve">SEARCH WARRANT REQUIRED FOR CELL TOWER DATA, UNLESS EMERGENCY </w:t>
      </w:r>
    </w:p>
    <w:p w14:paraId="2E57CDE7" w14:textId="77777777" w:rsidR="00F326E5" w:rsidRPr="00015208" w:rsidRDefault="00F326E5" w:rsidP="00F326E5">
      <w:pPr>
        <w:pStyle w:val="NormalWeb"/>
      </w:pPr>
      <w:r w:rsidRPr="00015208">
        <w:t xml:space="preserve">On June 22, 2018, in </w:t>
      </w:r>
      <w:r w:rsidRPr="00015208">
        <w:rPr>
          <w:u w:val="single"/>
        </w:rPr>
        <w:t>Carpenter v. United States</w:t>
      </w:r>
      <w:r w:rsidRPr="00015208">
        <w:t>, the U.S. Supreme Court (5 to 4), in opinion by Chief Justice Roberts, held that a search warrant is normally required to track a person’s cell phone location, but also recognized an emergency exception.</w:t>
      </w:r>
    </w:p>
    <w:p w14:paraId="7982E511" w14:textId="77777777" w:rsidR="00F326E5" w:rsidRPr="00015208" w:rsidRDefault="00F326E5" w:rsidP="00F326E5">
      <w:pPr>
        <w:ind w:left="720"/>
        <w:rPr>
          <w:rFonts w:ascii="Times New Roman" w:eastAsia="Times New Roman" w:hAnsi="Times New Roman"/>
          <w:sz w:val="24"/>
          <w:szCs w:val="24"/>
        </w:rPr>
      </w:pPr>
      <w:r w:rsidRPr="00015208">
        <w:rPr>
          <w:rFonts w:ascii="Times New Roman" w:eastAsia="Times New Roman" w:hAnsi="Times New Roman"/>
          <w:sz w:val="24"/>
          <w:szCs w:val="24"/>
        </w:rPr>
        <w:t>“Further, even though the Government will generally need a warrant to access CSLI [cell-site location information], case-specific exceptions may support a warrantless search of an individual’s cell-site records under certain circumstances. ‘One well-recognized exception applies when “the exigencies of the situation” make the needs of law enforcement so compelling that [a] warrantless search is objectively reasonable under the Fourth Amendment.’ Kentucky v. King, 563 U. S. 452, 460 (2011) (quoting Mincey v. Arizona, 437 U. S. 385, 394 (1978)). Such exigencies include the need to pursue a fleeing suspect, protect individuals who are threatened with imminent harm, or prevent the imminent destruction of evidence. 563 U. S., at 460, and n. 3. As a result, if law enforcement is confronted with an urgent situation, such fact-specific threats will likely justify the warrantless collection of CSLI.  Lower courts, for instance, have approved warrantless searches related to bomb threats, active shootings, and child abductions. Our decision today does not call into doubt warrantless access to CSLI in such circumstances. While police must get a warrant when collecting CSLI to assist in the mine-run criminal investigation, the rule we set forth does not limit their ability to respond to an ongoing emergency.”</w:t>
      </w:r>
    </w:p>
    <w:p w14:paraId="2D9AA853" w14:textId="77777777" w:rsidR="00F326E5" w:rsidRPr="00015208" w:rsidRDefault="00F326E5" w:rsidP="00F326E5">
      <w:pPr>
        <w:ind w:firstLine="720"/>
        <w:rPr>
          <w:rFonts w:ascii="Times New Roman" w:eastAsia="Times New Roman" w:hAnsi="Times New Roman"/>
          <w:sz w:val="24"/>
          <w:szCs w:val="24"/>
        </w:rPr>
      </w:pPr>
      <w:hyperlink r:id="rId383" w:history="1">
        <w:r w:rsidRPr="00015208">
          <w:rPr>
            <w:rStyle w:val="Hyperlink"/>
            <w:rFonts w:ascii="Times New Roman" w:hAnsi="Times New Roman"/>
            <w:sz w:val="24"/>
            <w:szCs w:val="24"/>
          </w:rPr>
          <w:t>https://www.supremecourt.gov/opinions/17pdf/16-402_h315.pdf</w:t>
        </w:r>
      </w:hyperlink>
      <w:r w:rsidRPr="00015208">
        <w:rPr>
          <w:rFonts w:ascii="Times New Roman" w:eastAsia="Times New Roman" w:hAnsi="Times New Roman"/>
          <w:sz w:val="24"/>
          <w:szCs w:val="24"/>
        </w:rPr>
        <w:t xml:space="preserve"> </w:t>
      </w:r>
    </w:p>
    <w:p w14:paraId="776437A2" w14:textId="77777777" w:rsidR="00354767" w:rsidRDefault="00F326E5" w:rsidP="00F326E5">
      <w:pPr>
        <w:ind w:left="720"/>
        <w:rPr>
          <w:rFonts w:ascii="Times New Roman" w:eastAsia="Times New Roman" w:hAnsi="Times New Roman"/>
          <w:b/>
          <w:sz w:val="24"/>
          <w:szCs w:val="24"/>
        </w:rPr>
      </w:pPr>
      <w:r w:rsidRPr="00015208">
        <w:rPr>
          <w:rFonts w:ascii="Times New Roman" w:eastAsia="Times New Roman" w:hAnsi="Times New Roman"/>
          <w:b/>
          <w:sz w:val="24"/>
          <w:szCs w:val="24"/>
        </w:rPr>
        <w:t>Legal Lessons Learned:  Fire &amp; EMS Departments in emergency situations – for example, when conducting search for a missing person who may be carrying a cell phone – may still coordinate with law enforcement and get cell tower information without a search warrant</w:t>
      </w:r>
    </w:p>
    <w:p w14:paraId="21384867" w14:textId="07A8E2DE" w:rsidR="00F326E5" w:rsidRPr="00015208" w:rsidRDefault="00F326E5" w:rsidP="00F326E5">
      <w:pPr>
        <w:ind w:left="720"/>
        <w:rPr>
          <w:rFonts w:ascii="Times New Roman" w:eastAsia="Times New Roman" w:hAnsi="Times New Roman"/>
          <w:sz w:val="24"/>
          <w:szCs w:val="24"/>
        </w:rPr>
      </w:pPr>
      <w:r w:rsidRPr="00015208">
        <w:rPr>
          <w:rFonts w:ascii="Times New Roman" w:eastAsia="Times New Roman" w:hAnsi="Times New Roman"/>
          <w:sz w:val="24"/>
          <w:szCs w:val="24"/>
        </w:rPr>
        <w:t>Note:  Justice Kennedy announced his retirement on June 27, 2018; he has been the “swing vote” in many 5 to 4 decisions.  Future cases involving access to electronic records will undoubtedly get to the U.S. Supreme Court.</w:t>
      </w:r>
    </w:p>
    <w:bookmarkEnd w:id="81"/>
    <w:p w14:paraId="4F13D79F" w14:textId="1033F972"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7</w:t>
      </w:r>
    </w:p>
    <w:p w14:paraId="52872B9B" w14:textId="5761C3D6" w:rsidR="00F326E5" w:rsidRPr="00F707DC" w:rsidRDefault="00F326E5" w:rsidP="00F326E5">
      <w:pPr>
        <w:rPr>
          <w:sz w:val="24"/>
          <w:szCs w:val="24"/>
        </w:rPr>
      </w:pPr>
      <w:bookmarkStart w:id="82" w:name="_Hlk7340196"/>
      <w:r w:rsidRPr="00F707DC">
        <w:rPr>
          <w:rFonts w:ascii="Arial Black" w:hAnsi="Arial Black"/>
          <w:sz w:val="28"/>
          <w:szCs w:val="28"/>
        </w:rPr>
        <w:t>PA:  DOT E</w:t>
      </w:r>
      <w:r>
        <w:rPr>
          <w:rFonts w:ascii="Arial Black" w:hAnsi="Arial Black"/>
          <w:sz w:val="28"/>
          <w:szCs w:val="28"/>
        </w:rPr>
        <w:t xml:space="preserve">MPLOYEE FIRED FOR </w:t>
      </w:r>
      <w:r w:rsidRPr="00F707DC">
        <w:rPr>
          <w:rFonts w:ascii="Arial Black" w:hAnsi="Arial Black"/>
          <w:sz w:val="28"/>
          <w:szCs w:val="28"/>
        </w:rPr>
        <w:t>FACEBOOK P</w:t>
      </w:r>
      <w:r>
        <w:rPr>
          <w:rFonts w:ascii="Arial Black" w:hAnsi="Arial Black"/>
          <w:sz w:val="28"/>
          <w:szCs w:val="28"/>
        </w:rPr>
        <w:t xml:space="preserve">OSTS ON BAD SCHOOL BUS DRIVERS – REINSTATED </w:t>
      </w:r>
      <w:r w:rsidRPr="00F707DC">
        <w:rPr>
          <w:sz w:val="24"/>
          <w:szCs w:val="24"/>
        </w:rPr>
        <w:t>[also filed, Chap. 16]</w:t>
      </w:r>
    </w:p>
    <w:p w14:paraId="1C8919E6" w14:textId="73F763FF" w:rsidR="00637A12"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June 12, 2018, in </w:t>
      </w:r>
      <w:r w:rsidRPr="00015208">
        <w:rPr>
          <w:rFonts w:ascii="Times New Roman" w:hAnsi="Times New Roman"/>
          <w:sz w:val="24"/>
          <w:szCs w:val="24"/>
          <w:u w:val="single"/>
        </w:rPr>
        <w:t>Rachel L. Carr v. Commonwealth of Pennsylvania / Department of Transportation and Civil Service Commission</w:t>
      </w:r>
      <w:r w:rsidRPr="00015208">
        <w:rPr>
          <w:rFonts w:ascii="Times New Roman" w:hAnsi="Times New Roman"/>
          <w:sz w:val="24"/>
          <w:szCs w:val="24"/>
        </w:rPr>
        <w:t xml:space="preserve">, the Commonwealth Court of Pennsylvania held (3 to 0) that the employee’s FACEBOOK posts about local school bus drivers were “inappropriate” but were protected since it </w:t>
      </w:r>
    </w:p>
    <w:p w14:paraId="26A0C1D6" w14:textId="448424EB" w:rsidR="00F326E5" w:rsidRPr="00015208" w:rsidRDefault="00F326E5" w:rsidP="008D07C2">
      <w:pPr>
        <w:pStyle w:val="NoSpacing"/>
        <w:rPr>
          <w:rFonts w:ascii="Times New Roman" w:hAnsi="Times New Roman"/>
          <w:sz w:val="24"/>
          <w:szCs w:val="24"/>
        </w:rPr>
      </w:pPr>
      <w:r w:rsidRPr="00015208">
        <w:rPr>
          <w:rFonts w:ascii="Times New Roman" w:hAnsi="Times New Roman"/>
          <w:sz w:val="24"/>
          <w:szCs w:val="24"/>
        </w:rPr>
        <w:t>“</w:t>
      </w:r>
      <w:proofErr w:type="gramStart"/>
      <w:r w:rsidRPr="00015208">
        <w:rPr>
          <w:rFonts w:ascii="Times New Roman" w:hAnsi="Times New Roman"/>
          <w:sz w:val="24"/>
          <w:szCs w:val="24"/>
        </w:rPr>
        <w:t>touched</w:t>
      </w:r>
      <w:proofErr w:type="gramEnd"/>
      <w:r w:rsidRPr="00015208">
        <w:rPr>
          <w:rFonts w:ascii="Times New Roman" w:hAnsi="Times New Roman"/>
          <w:sz w:val="24"/>
          <w:szCs w:val="24"/>
        </w:rPr>
        <w:t xml:space="preserve"> on a matter of public concern.” The Court wrote: “After a thorough review of the record and a conscientious analysis of the factors articulated by the United States Supreme Court, we conclude that the Department’s generalized interest in the safety of the traveling public does not outweigh Carr’s specific interest in commenting on the safety of a particular bus driver. While Carr’s comments are undoubtedly inappropriate, such comments still receive protection under the First Amendment.”</w:t>
      </w:r>
    </w:p>
    <w:p w14:paraId="0038F122" w14:textId="54B662C1" w:rsidR="00F326E5" w:rsidRPr="00015208" w:rsidRDefault="00637A12" w:rsidP="008D07C2">
      <w:pPr>
        <w:pStyle w:val="NoSpacing"/>
        <w:rPr>
          <w:rFonts w:ascii="Times New Roman" w:hAnsi="Times New Roman"/>
          <w:sz w:val="24"/>
          <w:szCs w:val="24"/>
        </w:rPr>
      </w:pPr>
      <w:hyperlink r:id="rId384" w:history="1">
        <w:r w:rsidRPr="002F304C">
          <w:rPr>
            <w:rStyle w:val="Hyperlink"/>
            <w:rFonts w:ascii="Times New Roman" w:hAnsi="Times New Roman"/>
            <w:sz w:val="24"/>
            <w:szCs w:val="24"/>
          </w:rPr>
          <w:t>http://www.pacourts.us/assets/opinions/Commonwealth/out/380md17_6-12-18.pdf</w:t>
        </w:r>
      </w:hyperlink>
      <w:r w:rsidR="00F326E5" w:rsidRPr="00015208">
        <w:rPr>
          <w:rFonts w:ascii="Times New Roman" w:hAnsi="Times New Roman"/>
          <w:sz w:val="24"/>
          <w:szCs w:val="24"/>
        </w:rPr>
        <w:t xml:space="preserve"> </w:t>
      </w:r>
    </w:p>
    <w:p w14:paraId="22CC5D8D" w14:textId="77777777" w:rsidR="00637A12" w:rsidRDefault="00637A12" w:rsidP="00F326E5">
      <w:pPr>
        <w:pStyle w:val="NoSpacing"/>
        <w:rPr>
          <w:rFonts w:ascii="Times New Roman" w:hAnsi="Times New Roman"/>
          <w:b/>
          <w:sz w:val="24"/>
          <w:szCs w:val="24"/>
        </w:rPr>
      </w:pPr>
    </w:p>
    <w:p w14:paraId="23875648" w14:textId="74C41E53"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Legal Lessons Learned:  Fire &amp; EMS Departments should have a Social Media Policy that clearly advises personnel that their “</w:t>
      </w:r>
      <w:proofErr w:type="gramStart"/>
      <w:r w:rsidRPr="00015208">
        <w:rPr>
          <w:rFonts w:ascii="Times New Roman" w:hAnsi="Times New Roman"/>
          <w:b/>
          <w:sz w:val="24"/>
          <w:szCs w:val="24"/>
        </w:rPr>
        <w:t>Free Speech</w:t>
      </w:r>
      <w:proofErr w:type="gramEnd"/>
      <w:r w:rsidRPr="00015208">
        <w:rPr>
          <w:rFonts w:ascii="Times New Roman" w:hAnsi="Times New Roman"/>
          <w:b/>
          <w:sz w:val="24"/>
          <w:szCs w:val="24"/>
        </w:rPr>
        <w:t xml:space="preserve"> rights” are limited when discussing FD internal matters. </w:t>
      </w:r>
    </w:p>
    <w:bookmarkEnd w:id="82"/>
    <w:p w14:paraId="1A05D317" w14:textId="77777777" w:rsidR="00F326E5" w:rsidRPr="00A56BFE" w:rsidRDefault="00F326E5" w:rsidP="00F326E5">
      <w:pPr>
        <w:ind w:firstLine="720"/>
        <w:rPr>
          <w:rFonts w:eastAsia="Times New Roman"/>
          <w:b/>
          <w:sz w:val="24"/>
          <w:szCs w:val="24"/>
        </w:rPr>
      </w:pPr>
    </w:p>
    <w:p w14:paraId="13551EB3" w14:textId="77777777" w:rsidR="00637A12" w:rsidRDefault="00637A12" w:rsidP="00791CA3">
      <w:pPr>
        <w:rPr>
          <w:rFonts w:ascii="Arial Black" w:hAnsi="Arial Black"/>
          <w:b/>
          <w:sz w:val="24"/>
          <w:szCs w:val="24"/>
        </w:rPr>
      </w:pPr>
    </w:p>
    <w:p w14:paraId="40627F9E" w14:textId="77777777" w:rsidR="00637A12" w:rsidRDefault="00637A12" w:rsidP="00791CA3">
      <w:pPr>
        <w:rPr>
          <w:rFonts w:ascii="Arial Black" w:hAnsi="Arial Black"/>
          <w:b/>
          <w:sz w:val="24"/>
          <w:szCs w:val="24"/>
        </w:rPr>
      </w:pPr>
    </w:p>
    <w:p w14:paraId="52AAB86B" w14:textId="438780BC"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6</w:t>
      </w:r>
    </w:p>
    <w:p w14:paraId="7DF8D803" w14:textId="5CA2CE91" w:rsidR="00F326E5" w:rsidRDefault="00F326E5" w:rsidP="00F326E5">
      <w:pPr>
        <w:pStyle w:val="NoSpacing"/>
        <w:rPr>
          <w:rFonts w:ascii="Arial Black" w:hAnsi="Arial Black"/>
          <w:b/>
          <w:sz w:val="28"/>
          <w:szCs w:val="28"/>
        </w:rPr>
      </w:pPr>
      <w:bookmarkStart w:id="83" w:name="_Hlk7340230"/>
      <w:r w:rsidRPr="0002084E">
        <w:rPr>
          <w:rFonts w:ascii="Arial Black" w:hAnsi="Arial Black"/>
          <w:b/>
          <w:sz w:val="28"/>
          <w:szCs w:val="28"/>
        </w:rPr>
        <w:t>NY</w:t>
      </w:r>
      <w:r>
        <w:rPr>
          <w:rFonts w:ascii="Arial Black" w:hAnsi="Arial Black"/>
          <w:b/>
          <w:sz w:val="28"/>
          <w:szCs w:val="28"/>
        </w:rPr>
        <w:t>: NY</w:t>
      </w:r>
      <w:r w:rsidRPr="0002084E">
        <w:rPr>
          <w:rFonts w:ascii="Arial Black" w:hAnsi="Arial Black"/>
          <w:b/>
          <w:sz w:val="28"/>
          <w:szCs w:val="28"/>
        </w:rPr>
        <w:t>PD / FDNY TRDEMARKS – CITY SUING “COP SHOP”</w:t>
      </w:r>
    </w:p>
    <w:p w14:paraId="5AD30D1F" w14:textId="77777777" w:rsidR="00637A12" w:rsidRDefault="00637A12" w:rsidP="00F326E5">
      <w:pPr>
        <w:pStyle w:val="NoSpacing"/>
        <w:rPr>
          <w:rFonts w:ascii="Times New Roman" w:hAnsi="Times New Roman"/>
          <w:sz w:val="24"/>
          <w:szCs w:val="24"/>
        </w:rPr>
      </w:pPr>
    </w:p>
    <w:p w14:paraId="4E83F063" w14:textId="35BAD03A" w:rsidR="00F326E5" w:rsidRPr="00015208"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June 7, 2018, in </w:t>
      </w:r>
      <w:r w:rsidRPr="00015208">
        <w:rPr>
          <w:rFonts w:ascii="Times New Roman" w:hAnsi="Times New Roman"/>
          <w:sz w:val="24"/>
          <w:szCs w:val="24"/>
          <w:u w:val="single"/>
        </w:rPr>
        <w:t>The City Of New York v. Blue Rage Inc, d/b/a THE COP SHOP, and Salvatore Piccolo &amp; Susan Piccolo</w:t>
      </w:r>
      <w:r w:rsidRPr="00015208">
        <w:rPr>
          <w:rFonts w:ascii="Times New Roman" w:hAnsi="Times New Roman"/>
          <w:sz w:val="24"/>
          <w:szCs w:val="24"/>
        </w:rPr>
        <w:t xml:space="preserve">, a United States Magistrate Judge in Central Islip, New York, held in a pre-trial dispute that the City does not need to disclose the profits it makes on its merchandise, or its contributions to non-profit organizations. </w:t>
      </w:r>
      <w:hyperlink r:id="rId385" w:history="1">
        <w:r w:rsidRPr="00015208">
          <w:rPr>
            <w:rStyle w:val="Hyperlink"/>
            <w:rFonts w:ascii="Times New Roman" w:hAnsi="Times New Roman"/>
            <w:sz w:val="24"/>
            <w:szCs w:val="24"/>
          </w:rPr>
          <w:t>https://cases.justia.com/federal/district-courts/new-york/nyedce/2:2017cv03480/402865/37/0.pdf?ts=1528277681</w:t>
        </w:r>
      </w:hyperlink>
      <w:r w:rsidRPr="00015208">
        <w:rPr>
          <w:rFonts w:ascii="Times New Roman" w:hAnsi="Times New Roman"/>
          <w:sz w:val="24"/>
          <w:szCs w:val="24"/>
        </w:rPr>
        <w:t xml:space="preserve"> </w:t>
      </w:r>
    </w:p>
    <w:p w14:paraId="6BBFBCCC" w14:textId="77777777" w:rsidR="00637A12" w:rsidRDefault="00637A12" w:rsidP="00F326E5">
      <w:pPr>
        <w:pStyle w:val="NoSpacing"/>
        <w:rPr>
          <w:rFonts w:ascii="Times New Roman" w:hAnsi="Times New Roman"/>
          <w:b/>
          <w:sz w:val="24"/>
          <w:szCs w:val="24"/>
        </w:rPr>
      </w:pPr>
    </w:p>
    <w:p w14:paraId="36A9E533" w14:textId="0B6639B0"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Protect your trademarks. “Under trademark law, the </w:t>
      </w:r>
      <w:proofErr w:type="gramStart"/>
      <w:r w:rsidRPr="00015208">
        <w:rPr>
          <w:rFonts w:ascii="Times New Roman" w:hAnsi="Times New Roman"/>
          <w:b/>
          <w:sz w:val="24"/>
          <w:szCs w:val="24"/>
        </w:rPr>
        <w:t>amount</w:t>
      </w:r>
      <w:proofErr w:type="gramEnd"/>
      <w:r w:rsidRPr="00015208">
        <w:rPr>
          <w:rFonts w:ascii="Times New Roman" w:hAnsi="Times New Roman"/>
          <w:b/>
          <w:sz w:val="24"/>
          <w:szCs w:val="24"/>
        </w:rPr>
        <w:t xml:space="preserve"> of statutory damages can range from a low of $1,000 for innocent infringement to a high of $2,000,000 for willful infringement.” 15 U.S.C. § 1117(c).  </w:t>
      </w:r>
      <w:hyperlink r:id="rId386" w:history="1">
        <w:r w:rsidRPr="00015208">
          <w:rPr>
            <w:rStyle w:val="Hyperlink"/>
            <w:rFonts w:ascii="Times New Roman" w:hAnsi="Times New Roman"/>
            <w:sz w:val="24"/>
            <w:szCs w:val="24"/>
          </w:rPr>
          <w:t>http://buchanan-labs.com/statutory-damages-for-infringement-of-your-copyrights-and-trademarks/</w:t>
        </w:r>
      </w:hyperlink>
    </w:p>
    <w:bookmarkEnd w:id="83"/>
    <w:p w14:paraId="2ECAAA33" w14:textId="77777777" w:rsidR="00F326E5" w:rsidRDefault="00F326E5" w:rsidP="00F326E5">
      <w:pPr>
        <w:pStyle w:val="NoSpacing"/>
        <w:rPr>
          <w:rFonts w:ascii="Arial Black" w:hAnsi="Arial Black"/>
          <w:b/>
          <w:sz w:val="24"/>
          <w:szCs w:val="24"/>
        </w:rPr>
      </w:pPr>
    </w:p>
    <w:p w14:paraId="2FF023BF" w14:textId="2FFA0C00" w:rsidR="00F326E5" w:rsidRDefault="00F326E5" w:rsidP="00F326E5">
      <w:pPr>
        <w:rPr>
          <w:sz w:val="24"/>
          <w:szCs w:val="24"/>
        </w:rPr>
      </w:pPr>
    </w:p>
    <w:p w14:paraId="5CD0C33D" w14:textId="328FD352" w:rsidR="00791CA3" w:rsidRPr="00791CA3" w:rsidRDefault="00791CA3" w:rsidP="00791CA3">
      <w:pPr>
        <w:rPr>
          <w:rFonts w:ascii="Arial Black" w:hAnsi="Arial Black"/>
          <w:b/>
          <w:sz w:val="24"/>
          <w:szCs w:val="24"/>
        </w:rPr>
      </w:pPr>
      <w:bookmarkStart w:id="84" w:name="_Hlk7340267"/>
      <w:r w:rsidRPr="00791CA3">
        <w:rPr>
          <w:rFonts w:ascii="Arial Black" w:hAnsi="Arial Black"/>
          <w:b/>
          <w:sz w:val="24"/>
          <w:szCs w:val="24"/>
        </w:rPr>
        <w:t>1-</w:t>
      </w:r>
      <w:r>
        <w:rPr>
          <w:rFonts w:ascii="Arial Black" w:hAnsi="Arial Black"/>
          <w:b/>
          <w:sz w:val="24"/>
          <w:szCs w:val="24"/>
        </w:rPr>
        <w:t>5</w:t>
      </w:r>
    </w:p>
    <w:p w14:paraId="4ED0EB42" w14:textId="6CDB8B1B" w:rsidR="00D46F1E" w:rsidRDefault="00F326E5" w:rsidP="00F326E5">
      <w:pPr>
        <w:rPr>
          <w:rFonts w:ascii="Arial Black" w:hAnsi="Arial Black"/>
          <w:b/>
          <w:sz w:val="28"/>
          <w:szCs w:val="28"/>
        </w:rPr>
      </w:pPr>
      <w:r w:rsidRPr="003257B0">
        <w:rPr>
          <w:rFonts w:ascii="Arial Black" w:hAnsi="Arial Black"/>
          <w:b/>
          <w:sz w:val="28"/>
          <w:szCs w:val="28"/>
        </w:rPr>
        <w:t>OH</w:t>
      </w:r>
      <w:r>
        <w:rPr>
          <w:rFonts w:ascii="Arial Black" w:hAnsi="Arial Black"/>
          <w:b/>
          <w:sz w:val="28"/>
          <w:szCs w:val="28"/>
        </w:rPr>
        <w:t xml:space="preserve">: </w:t>
      </w:r>
      <w:r w:rsidRPr="003257B0">
        <w:rPr>
          <w:rFonts w:ascii="Arial Black" w:hAnsi="Arial Black"/>
          <w:b/>
          <w:sz w:val="28"/>
          <w:szCs w:val="28"/>
        </w:rPr>
        <w:t xml:space="preserve">FIRE LOSS INSURANCE – CLEVELAND MUST RETURN </w:t>
      </w:r>
      <w:r>
        <w:rPr>
          <w:rFonts w:ascii="Arial Black" w:hAnsi="Arial Black"/>
          <w:b/>
          <w:sz w:val="28"/>
          <w:szCs w:val="28"/>
        </w:rPr>
        <w:t xml:space="preserve">$175,000 DEPOSITED WITH CITY </w:t>
      </w:r>
    </w:p>
    <w:p w14:paraId="280C7A72" w14:textId="3B1925EE" w:rsidR="00F326E5" w:rsidRPr="00015208" w:rsidRDefault="00F326E5" w:rsidP="00F326E5">
      <w:pPr>
        <w:rPr>
          <w:rFonts w:ascii="Times New Roman" w:hAnsi="Times New Roman"/>
          <w:b/>
          <w:sz w:val="28"/>
          <w:szCs w:val="28"/>
        </w:rPr>
      </w:pPr>
      <w:r w:rsidRPr="00015208">
        <w:rPr>
          <w:rFonts w:ascii="Times New Roman" w:eastAsia="Times New Roman" w:hAnsi="Times New Roman"/>
          <w:sz w:val="24"/>
          <w:szCs w:val="24"/>
        </w:rPr>
        <w:t xml:space="preserve">On May 31, 2018, in </w:t>
      </w:r>
      <w:r w:rsidRPr="00015208">
        <w:rPr>
          <w:rFonts w:ascii="Times New Roman" w:eastAsia="Times New Roman" w:hAnsi="Times New Roman"/>
          <w:sz w:val="24"/>
          <w:szCs w:val="24"/>
          <w:u w:val="single"/>
        </w:rPr>
        <w:t>WRRS, L.L.C. v. City of Cleveland</w:t>
      </w:r>
      <w:r w:rsidRPr="00015208">
        <w:rPr>
          <w:rFonts w:ascii="Times New Roman" w:eastAsia="Times New Roman" w:hAnsi="Times New Roman"/>
          <w:sz w:val="24"/>
          <w:szCs w:val="24"/>
        </w:rPr>
        <w:t>, the Court of Appeals for 8</w:t>
      </w:r>
      <w:r w:rsidRPr="00015208">
        <w:rPr>
          <w:rFonts w:ascii="Times New Roman" w:eastAsia="Times New Roman" w:hAnsi="Times New Roman"/>
          <w:sz w:val="24"/>
          <w:szCs w:val="24"/>
          <w:vertAlign w:val="superscript"/>
        </w:rPr>
        <w:t>th</w:t>
      </w:r>
      <w:r w:rsidRPr="00015208">
        <w:rPr>
          <w:rFonts w:ascii="Times New Roman" w:eastAsia="Times New Roman" w:hAnsi="Times New Roman"/>
          <w:sz w:val="24"/>
          <w:szCs w:val="24"/>
        </w:rPr>
        <w:t xml:space="preserve"> Appellate District (County of Cuyahoga), 2018 Ohio 2129, held (3 to 0):</w:t>
      </w:r>
    </w:p>
    <w:p w14:paraId="01C23FFC" w14:textId="77777777" w:rsidR="00F326E5" w:rsidRPr="00015208" w:rsidRDefault="00F326E5" w:rsidP="00F326E5">
      <w:pPr>
        <w:pStyle w:val="NormalWeb"/>
        <w:ind w:left="720"/>
      </w:pPr>
      <w:r w:rsidRPr="00015208">
        <w:t xml:space="preserve">“The Board's 2012 decision, however, does preclude the </w:t>
      </w:r>
      <w:proofErr w:type="gramStart"/>
      <w:r w:rsidRPr="00015208">
        <w:t>City</w:t>
      </w:r>
      <w:proofErr w:type="gramEnd"/>
      <w:r w:rsidRPr="00015208">
        <w:t xml:space="preserve"> from continuing to withhold the $175,000 WRRS deposited with the </w:t>
      </w:r>
      <w:proofErr w:type="gramStart"/>
      <w:r w:rsidRPr="00015208">
        <w:t>City</w:t>
      </w:r>
      <w:proofErr w:type="gramEnd"/>
      <w:r w:rsidRPr="00015208">
        <w:t xml:space="preserve"> pursuant to Ohio's fire loss statute. In 2012, the Board </w:t>
      </w:r>
      <w:proofErr w:type="gramStart"/>
      <w:r w:rsidRPr="00015208">
        <w:t xml:space="preserve">[of </w:t>
      </w:r>
      <w:proofErr w:type="gramEnd"/>
      <w:r w:rsidRPr="00015208">
        <w:t xml:space="preserve">Building Standards] found the WRRS property to </w:t>
      </w:r>
      <w:proofErr w:type="gramStart"/>
      <w:r w:rsidRPr="00015208">
        <w:t>be in compliance</w:t>
      </w:r>
      <w:proofErr w:type="gramEnd"/>
      <w:r w:rsidRPr="00015208">
        <w:t xml:space="preserve"> after the fire. The City could have appealed from the 2012 </w:t>
      </w:r>
      <w:proofErr w:type="gramStart"/>
      <w:r w:rsidRPr="00015208">
        <w:t>decision,  but</w:t>
      </w:r>
      <w:proofErr w:type="gramEnd"/>
      <w:r w:rsidRPr="00015208">
        <w:t xml:space="preserve"> chose not to do so. Thus, the </w:t>
      </w:r>
      <w:proofErr w:type="gramStart"/>
      <w:r w:rsidRPr="00015208">
        <w:t>City</w:t>
      </w:r>
      <w:proofErr w:type="gramEnd"/>
      <w:r w:rsidRPr="00015208">
        <w:t xml:space="preserve"> is now precluded under res judicata from challenging the Board's 2012 decision. As a result, the </w:t>
      </w:r>
      <w:proofErr w:type="gramStart"/>
      <w:r w:rsidRPr="00015208">
        <w:t>City</w:t>
      </w:r>
      <w:proofErr w:type="gramEnd"/>
      <w:r w:rsidRPr="00015208">
        <w:t xml:space="preserve"> is ordered to return the $175,000 to WRRS.”</w:t>
      </w:r>
      <w:hyperlink r:id="rId387" w:history="1">
        <w:r w:rsidRPr="00015208">
          <w:rPr>
            <w:rStyle w:val="Hyperlink"/>
          </w:rPr>
          <w:t>https://cases.justia.com/ohio/eighth-district-court-of-appeals/2018-105661.pdf?ts=1528147387</w:t>
        </w:r>
      </w:hyperlink>
      <w:r w:rsidRPr="00015208">
        <w:t xml:space="preserve"> </w:t>
      </w:r>
    </w:p>
    <w:p w14:paraId="141D4E7D"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Under Ohio Revised Code 3929.86, “Fire loss claims,” for claims in excess of $5000, insurance companies must first deposit payment with political subdivision.” </w:t>
      </w:r>
    </w:p>
    <w:p w14:paraId="4358BDC5" w14:textId="77777777" w:rsidR="00F326E5" w:rsidRPr="00015208" w:rsidRDefault="00F326E5" w:rsidP="00F326E5">
      <w:pPr>
        <w:pStyle w:val="NormalWeb"/>
        <w:ind w:left="720"/>
      </w:pPr>
      <w:bookmarkStart w:id="85" w:name="3929.86(A)"/>
      <w:r w:rsidRPr="00015208">
        <w:t>“(A)</w:t>
      </w:r>
      <w:bookmarkEnd w:id="85"/>
      <w:r w:rsidRPr="00015208">
        <w:t xml:space="preserve"> No insurance company doing business in this state shall pay a claim of a named insured for fire damage to a structure located within a municipal corporation or township in this state where the amount recoverable for the fire loss to the structure under all policies exceeds five thousand dollars, unless the company is furnished with a certificate pursuant to division (B) of this section, and unless there is compliance with the procedures set forth in divisions (C) and (D) of this section.”</w:t>
      </w:r>
    </w:p>
    <w:p w14:paraId="48AFB97A" w14:textId="77777777" w:rsidR="00791CA3" w:rsidRDefault="00791CA3" w:rsidP="00F326E5">
      <w:pPr>
        <w:rPr>
          <w:rFonts w:ascii="Arial Black" w:hAnsi="Arial Black"/>
          <w:b/>
          <w:sz w:val="28"/>
          <w:szCs w:val="28"/>
        </w:rPr>
      </w:pPr>
      <w:bookmarkStart w:id="86" w:name="_Hlk7340314"/>
      <w:bookmarkEnd w:id="84"/>
    </w:p>
    <w:p w14:paraId="4EEEC114" w14:textId="07E9D0C0"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4</w:t>
      </w:r>
    </w:p>
    <w:p w14:paraId="2B90E6CA" w14:textId="4B582080" w:rsidR="00F326E5" w:rsidRDefault="00F326E5" w:rsidP="00F326E5">
      <w:pPr>
        <w:rPr>
          <w:rFonts w:ascii="Arial Black" w:hAnsi="Arial Black"/>
          <w:b/>
          <w:sz w:val="28"/>
          <w:szCs w:val="28"/>
        </w:rPr>
      </w:pPr>
      <w:r w:rsidRPr="00CB3546">
        <w:rPr>
          <w:rFonts w:ascii="Arial Black" w:hAnsi="Arial Black"/>
          <w:b/>
          <w:sz w:val="28"/>
          <w:szCs w:val="28"/>
        </w:rPr>
        <w:t>S</w:t>
      </w:r>
      <w:r>
        <w:rPr>
          <w:rFonts w:ascii="Arial Black" w:hAnsi="Arial Black"/>
          <w:b/>
          <w:sz w:val="28"/>
          <w:szCs w:val="28"/>
        </w:rPr>
        <w:t xml:space="preserve">C: </w:t>
      </w:r>
      <w:r w:rsidRPr="00CB3546">
        <w:rPr>
          <w:rFonts w:ascii="Arial Black" w:hAnsi="Arial Black"/>
          <w:b/>
          <w:sz w:val="28"/>
          <w:szCs w:val="28"/>
        </w:rPr>
        <w:t xml:space="preserve">ARSON INVESTIGATOR </w:t>
      </w:r>
      <w:r>
        <w:rPr>
          <w:rFonts w:ascii="Arial Black" w:hAnsi="Arial Black"/>
          <w:b/>
          <w:sz w:val="28"/>
          <w:szCs w:val="28"/>
        </w:rPr>
        <w:t>“</w:t>
      </w:r>
      <w:r w:rsidRPr="00CB3546">
        <w:rPr>
          <w:rFonts w:ascii="Arial Black" w:hAnsi="Arial Black"/>
          <w:b/>
          <w:sz w:val="28"/>
          <w:szCs w:val="28"/>
        </w:rPr>
        <w:t>EXPERT</w:t>
      </w:r>
      <w:r>
        <w:rPr>
          <w:rFonts w:ascii="Arial Black" w:hAnsi="Arial Black"/>
          <w:b/>
          <w:sz w:val="28"/>
          <w:szCs w:val="28"/>
        </w:rPr>
        <w:t xml:space="preserve">” – 1YEAR OF EXPERIENCE - </w:t>
      </w:r>
      <w:r w:rsidRPr="00CB3546">
        <w:rPr>
          <w:rFonts w:ascii="Arial Black" w:hAnsi="Arial Black"/>
          <w:b/>
          <w:sz w:val="28"/>
          <w:szCs w:val="28"/>
        </w:rPr>
        <w:t>ARSON DOG ALSO QUALIFIED</w:t>
      </w:r>
    </w:p>
    <w:p w14:paraId="70F2A534" w14:textId="2094E6C8" w:rsidR="00F326E5" w:rsidRPr="00015208" w:rsidRDefault="00F326E5" w:rsidP="00F326E5">
      <w:pPr>
        <w:rPr>
          <w:rStyle w:val="Hyperlink"/>
          <w:rFonts w:ascii="Times New Roman" w:hAnsi="Times New Roman"/>
          <w:sz w:val="24"/>
          <w:szCs w:val="24"/>
        </w:rPr>
      </w:pPr>
      <w:r w:rsidRPr="00015208">
        <w:rPr>
          <w:rFonts w:ascii="Times New Roman" w:hAnsi="Times New Roman"/>
          <w:sz w:val="24"/>
          <w:szCs w:val="24"/>
        </w:rPr>
        <w:t xml:space="preserve">On April 11, 2018, in </w:t>
      </w:r>
      <w:r w:rsidRPr="00015208">
        <w:rPr>
          <w:rFonts w:ascii="Times New Roman" w:hAnsi="Times New Roman"/>
          <w:sz w:val="24"/>
          <w:szCs w:val="24"/>
          <w:u w:val="single"/>
        </w:rPr>
        <w:t>The State v. Paula Reed Rose</w:t>
      </w:r>
      <w:r w:rsidRPr="00015208">
        <w:rPr>
          <w:rFonts w:ascii="Times New Roman" w:hAnsi="Times New Roman"/>
          <w:sz w:val="24"/>
          <w:szCs w:val="24"/>
        </w:rPr>
        <w:t xml:space="preserve">, the South Carolina Court of Appeals affirmed (3 to 0) the conviction of Ms. Rose of  third-degree arson, filing a false police report, burning personal property to defraud an insurer, and making a false insurance claim to obtain benefits for fire loss, for which the trial court sentenced her to a </w:t>
      </w:r>
      <w:r w:rsidR="00637A12">
        <w:rPr>
          <w:rFonts w:ascii="Times New Roman" w:hAnsi="Times New Roman"/>
          <w:sz w:val="24"/>
          <w:szCs w:val="24"/>
        </w:rPr>
        <w:t>“</w:t>
      </w:r>
      <w:r w:rsidRPr="00015208">
        <w:rPr>
          <w:rFonts w:ascii="Times New Roman" w:hAnsi="Times New Roman"/>
          <w:sz w:val="24"/>
          <w:szCs w:val="24"/>
        </w:rPr>
        <w:t xml:space="preserve">cumulative term of five years' home incarceration with five years' probation.” </w:t>
      </w:r>
      <w:hyperlink r:id="rId388" w:history="1">
        <w:r w:rsidRPr="00015208">
          <w:rPr>
            <w:rStyle w:val="Hyperlink"/>
            <w:rFonts w:ascii="Times New Roman" w:hAnsi="Times New Roman"/>
            <w:sz w:val="24"/>
            <w:szCs w:val="24"/>
          </w:rPr>
          <w:t>https://caselaw.findlaw.com/sc-court-of-appeals/1893632.html</w:t>
        </w:r>
      </w:hyperlink>
    </w:p>
    <w:p w14:paraId="27B8A338" w14:textId="2EA5FACE" w:rsidR="00F326E5" w:rsidRPr="00015208" w:rsidRDefault="00F326E5" w:rsidP="00F326E5">
      <w:pPr>
        <w:rPr>
          <w:rFonts w:ascii="Times New Roman" w:hAnsi="Times New Roman"/>
          <w:sz w:val="24"/>
          <w:szCs w:val="24"/>
        </w:rPr>
      </w:pPr>
      <w:r w:rsidRPr="00015208">
        <w:rPr>
          <w:rFonts w:ascii="Times New Roman" w:hAnsi="Times New Roman"/>
          <w:b/>
          <w:sz w:val="24"/>
          <w:szCs w:val="24"/>
        </w:rPr>
        <w:t>LEGAL LESSONS LEARNED:  There is no specific “time on the job” requirement to be qualified as an expert in origin and cause</w:t>
      </w:r>
      <w:r w:rsidRPr="00015208">
        <w:rPr>
          <w:rFonts w:ascii="Times New Roman" w:hAnsi="Times New Roman"/>
          <w:sz w:val="24"/>
          <w:szCs w:val="24"/>
        </w:rPr>
        <w:t xml:space="preserve">. </w:t>
      </w:r>
    </w:p>
    <w:p w14:paraId="30937DF0" w14:textId="77777777" w:rsidR="00791CA3" w:rsidRPr="00E456E9" w:rsidRDefault="00791CA3" w:rsidP="00F326E5">
      <w:pPr>
        <w:rPr>
          <w:sz w:val="24"/>
          <w:szCs w:val="24"/>
        </w:rPr>
      </w:pPr>
    </w:p>
    <w:bookmarkEnd w:id="86"/>
    <w:p w14:paraId="715A6166" w14:textId="7CF06D81" w:rsidR="00F326E5" w:rsidRPr="00791CA3" w:rsidRDefault="00791CA3" w:rsidP="00F326E5">
      <w:pPr>
        <w:rPr>
          <w:rFonts w:ascii="Arial Black" w:hAnsi="Arial Black"/>
          <w:b/>
          <w:sz w:val="24"/>
          <w:szCs w:val="24"/>
        </w:rPr>
      </w:pPr>
      <w:r w:rsidRPr="00791CA3">
        <w:rPr>
          <w:rFonts w:ascii="Arial Black" w:hAnsi="Arial Black"/>
          <w:b/>
          <w:sz w:val="24"/>
          <w:szCs w:val="24"/>
        </w:rPr>
        <w:t>1-3</w:t>
      </w:r>
    </w:p>
    <w:p w14:paraId="33577FE4" w14:textId="39E09107" w:rsidR="00F326E5" w:rsidRPr="0026507F" w:rsidRDefault="00F326E5" w:rsidP="00F326E5">
      <w:pPr>
        <w:rPr>
          <w:rFonts w:ascii="Times New Roman" w:hAnsi="Times New Roman"/>
          <w:b/>
          <w:color w:val="4A4A4A"/>
          <w:sz w:val="24"/>
          <w:szCs w:val="24"/>
          <w:lang w:val="en"/>
        </w:rPr>
      </w:pPr>
      <w:bookmarkStart w:id="87" w:name="_Hlk515041397"/>
      <w:bookmarkStart w:id="88" w:name="_Hlk6659978"/>
      <w:r w:rsidRPr="00B87096">
        <w:rPr>
          <w:rFonts w:ascii="Arial Black" w:hAnsi="Arial Black"/>
          <w:color w:val="4A4A4A"/>
          <w:sz w:val="28"/>
          <w:szCs w:val="28"/>
          <w:lang w:val="en"/>
        </w:rPr>
        <w:t>U.S. SUPREME COURT</w:t>
      </w:r>
      <w:r>
        <w:rPr>
          <w:rFonts w:ascii="Arial Black" w:hAnsi="Arial Black"/>
          <w:color w:val="4A4A4A"/>
          <w:sz w:val="28"/>
          <w:szCs w:val="28"/>
          <w:lang w:val="en"/>
        </w:rPr>
        <w:t xml:space="preserve">: LANDMARK DECISION ON </w:t>
      </w:r>
      <w:r w:rsidRPr="00B87096">
        <w:rPr>
          <w:rFonts w:ascii="Arial Black" w:hAnsi="Arial Black"/>
          <w:color w:val="4A4A4A"/>
          <w:sz w:val="28"/>
          <w:szCs w:val="28"/>
          <w:lang w:val="en"/>
        </w:rPr>
        <w:t>QUALIFIED IMMUNITY</w:t>
      </w:r>
      <w:r>
        <w:rPr>
          <w:rFonts w:ascii="Arial Black" w:hAnsi="Arial Black"/>
          <w:color w:val="4A4A4A"/>
          <w:sz w:val="28"/>
          <w:szCs w:val="28"/>
          <w:lang w:val="en"/>
        </w:rPr>
        <w:t xml:space="preserve"> – ONLY IF CLEAR CONSTIT. VIOL. </w:t>
      </w:r>
      <w:r>
        <w:rPr>
          <w:rFonts w:ascii="Times New Roman" w:hAnsi="Times New Roman"/>
          <w:color w:val="4A4A4A"/>
          <w:sz w:val="24"/>
          <w:szCs w:val="24"/>
          <w:lang w:val="en"/>
        </w:rPr>
        <w:t>[also filed, Chap. 2]</w:t>
      </w:r>
    </w:p>
    <w:bookmarkEnd w:id="87"/>
    <w:p w14:paraId="33750B5C" w14:textId="77777777" w:rsidR="00637A12" w:rsidRDefault="00F326E5" w:rsidP="00F326E5">
      <w:pPr>
        <w:pStyle w:val="NoSpacing"/>
        <w:rPr>
          <w:rFonts w:ascii="Times New Roman" w:hAnsi="Times New Roman"/>
          <w:sz w:val="24"/>
          <w:szCs w:val="24"/>
          <w:lang w:val="en"/>
        </w:rPr>
      </w:pPr>
      <w:r w:rsidRPr="00015208">
        <w:rPr>
          <w:rFonts w:ascii="Times New Roman" w:hAnsi="Times New Roman"/>
          <w:sz w:val="24"/>
          <w:szCs w:val="24"/>
          <w:lang w:val="en"/>
        </w:rPr>
        <w:t xml:space="preserve">On April 2, 2018, in </w:t>
      </w:r>
      <w:r w:rsidRPr="00015208">
        <w:rPr>
          <w:rFonts w:ascii="Times New Roman" w:hAnsi="Times New Roman"/>
          <w:sz w:val="24"/>
          <w:szCs w:val="24"/>
          <w:u w:val="single"/>
          <w:lang w:val="en"/>
        </w:rPr>
        <w:t>Andrew Kisela v. Amy Hughes</w:t>
      </w:r>
      <w:r w:rsidRPr="00015208">
        <w:rPr>
          <w:rFonts w:ascii="Times New Roman" w:hAnsi="Times New Roman"/>
          <w:sz w:val="24"/>
          <w:szCs w:val="24"/>
          <w:lang w:val="en"/>
        </w:rPr>
        <w:t>, the U.S. Supreme Court reversed the 9</w:t>
      </w:r>
      <w:r w:rsidRPr="00015208">
        <w:rPr>
          <w:rFonts w:ascii="Times New Roman" w:hAnsi="Times New Roman"/>
          <w:sz w:val="24"/>
          <w:szCs w:val="24"/>
          <w:vertAlign w:val="superscript"/>
          <w:lang w:val="en"/>
        </w:rPr>
        <w:t>th</w:t>
      </w:r>
      <w:r w:rsidRPr="00015208">
        <w:rPr>
          <w:rFonts w:ascii="Times New Roman" w:hAnsi="Times New Roman"/>
          <w:sz w:val="24"/>
          <w:szCs w:val="24"/>
          <w:lang w:val="en"/>
        </w:rPr>
        <w:t xml:space="preserve"> Circuit and held (7 to 2) the police officer who shot Amy Hughes should have been dismissed from the lawsuit: </w:t>
      </w:r>
    </w:p>
    <w:p w14:paraId="6A2376BB" w14:textId="77777777" w:rsidR="00637A12" w:rsidRDefault="00637A12" w:rsidP="00F326E5">
      <w:pPr>
        <w:pStyle w:val="NoSpacing"/>
        <w:rPr>
          <w:rFonts w:ascii="Times New Roman" w:hAnsi="Times New Roman"/>
          <w:sz w:val="24"/>
          <w:szCs w:val="24"/>
          <w:lang w:val="en"/>
        </w:rPr>
      </w:pPr>
    </w:p>
    <w:p w14:paraId="3ED20ECB" w14:textId="2C418F4E" w:rsidR="00F326E5" w:rsidRPr="00015208" w:rsidRDefault="00F326E5" w:rsidP="00637A12">
      <w:pPr>
        <w:pStyle w:val="NoSpacing"/>
        <w:ind w:left="720"/>
        <w:rPr>
          <w:rFonts w:ascii="Times New Roman" w:hAnsi="Times New Roman"/>
          <w:b/>
          <w:sz w:val="24"/>
          <w:szCs w:val="24"/>
        </w:rPr>
      </w:pPr>
      <w:r w:rsidRPr="00015208">
        <w:rPr>
          <w:rFonts w:ascii="Times New Roman" w:hAnsi="Times New Roman"/>
          <w:sz w:val="24"/>
          <w:szCs w:val="24"/>
          <w:lang w:val="en"/>
        </w:rPr>
        <w:t>“Here, the Court need not, and does not, decide whether Kisela violated the Fourth Amendment when he used deadly force against Hughes.  For even assuming a Fourth Amendment violation occurred—a proposition that is not at all evident—on these facts Kisela was at least entitled to qualified immunity. Qualified immunity attaches when an official’s conduct does not violate clearly established statutory or constitutional rights of which a reasonable person would have known.”</w:t>
      </w:r>
      <w:r w:rsidRPr="00015208">
        <w:rPr>
          <w:rFonts w:ascii="Times New Roman" w:hAnsi="Times New Roman"/>
          <w:b/>
          <w:sz w:val="24"/>
          <w:szCs w:val="24"/>
        </w:rPr>
        <w:t xml:space="preserve"> </w:t>
      </w:r>
    </w:p>
    <w:p w14:paraId="1B8E47BB" w14:textId="3463FD99" w:rsidR="00F326E5" w:rsidRPr="00015208" w:rsidRDefault="00637A12" w:rsidP="00637A12">
      <w:pPr>
        <w:pStyle w:val="NoSpacing"/>
        <w:ind w:firstLine="720"/>
        <w:rPr>
          <w:rStyle w:val="Hyperlink"/>
          <w:rFonts w:ascii="Times New Roman" w:hAnsi="Times New Roman"/>
          <w:sz w:val="24"/>
          <w:szCs w:val="24"/>
          <w:lang w:val="en"/>
        </w:rPr>
      </w:pPr>
      <w:hyperlink r:id="rId389" w:history="1">
        <w:r w:rsidRPr="002F304C">
          <w:rPr>
            <w:rStyle w:val="Hyperlink"/>
            <w:rFonts w:ascii="Times New Roman" w:hAnsi="Times New Roman"/>
            <w:sz w:val="24"/>
            <w:szCs w:val="24"/>
            <w:lang w:val="en"/>
          </w:rPr>
          <w:t>https://supreme.justia.com/cases/federal/us/584/17-467/</w:t>
        </w:r>
      </w:hyperlink>
      <w:r w:rsidR="00F326E5" w:rsidRPr="00015208">
        <w:rPr>
          <w:rStyle w:val="Hyperlink"/>
          <w:rFonts w:ascii="Times New Roman" w:hAnsi="Times New Roman"/>
          <w:sz w:val="24"/>
          <w:szCs w:val="24"/>
          <w:lang w:val="en"/>
        </w:rPr>
        <w:t xml:space="preserve"> </w:t>
      </w:r>
    </w:p>
    <w:p w14:paraId="7AA0F70E" w14:textId="77777777" w:rsidR="00637A12" w:rsidRDefault="00637A12" w:rsidP="00F326E5">
      <w:pPr>
        <w:rPr>
          <w:rFonts w:ascii="Times New Roman" w:hAnsi="Times New Roman"/>
          <w:b/>
          <w:sz w:val="24"/>
          <w:szCs w:val="24"/>
          <w:lang w:val="en"/>
        </w:rPr>
      </w:pPr>
    </w:p>
    <w:p w14:paraId="3C629D70" w14:textId="7B049A50" w:rsidR="00F326E5" w:rsidRPr="00015208" w:rsidRDefault="00F326E5" w:rsidP="00F326E5">
      <w:pPr>
        <w:rPr>
          <w:rFonts w:ascii="Times New Roman" w:hAnsi="Times New Roman"/>
          <w:b/>
          <w:sz w:val="24"/>
          <w:szCs w:val="24"/>
          <w:lang w:val="en"/>
        </w:rPr>
      </w:pPr>
      <w:r w:rsidRPr="00015208">
        <w:rPr>
          <w:rFonts w:ascii="Times New Roman" w:hAnsi="Times New Roman"/>
          <w:b/>
          <w:sz w:val="24"/>
          <w:szCs w:val="24"/>
          <w:lang w:val="en"/>
        </w:rPr>
        <w:t xml:space="preserve">Legal Lessons Learned:  Justices sent a message that qualified immunity protects police officers from personal liability unless conduct clearly unjustified.  </w:t>
      </w:r>
    </w:p>
    <w:p w14:paraId="2E3E969F" w14:textId="77777777" w:rsidR="00F326E5" w:rsidRPr="00015208" w:rsidRDefault="00F326E5" w:rsidP="00F326E5">
      <w:pPr>
        <w:ind w:left="720"/>
        <w:rPr>
          <w:rFonts w:ascii="Times New Roman" w:hAnsi="Times New Roman"/>
          <w:b/>
          <w:color w:val="4A4A4A"/>
          <w:sz w:val="24"/>
          <w:szCs w:val="24"/>
          <w:lang w:val="en"/>
        </w:rPr>
      </w:pPr>
      <w:r w:rsidRPr="00015208">
        <w:rPr>
          <w:rFonts w:ascii="Times New Roman" w:hAnsi="Times New Roman"/>
          <w:color w:val="4A4A4A"/>
          <w:sz w:val="24"/>
          <w:szCs w:val="24"/>
          <w:lang w:val="en"/>
        </w:rPr>
        <w:t>See New York Times article on this decision: “</w:t>
      </w:r>
      <w:r w:rsidRPr="00015208">
        <w:rPr>
          <w:rFonts w:ascii="Times New Roman" w:hAnsi="Times New Roman"/>
          <w:sz w:val="24"/>
          <w:szCs w:val="24"/>
          <w:lang w:val="en"/>
        </w:rPr>
        <w:t>The court’s decision was unsigned and issued without full briefing and oral argument, an indication that the majority found the case to be easy.”</w:t>
      </w:r>
      <w:r w:rsidRPr="00015208">
        <w:rPr>
          <w:rFonts w:ascii="Times New Roman" w:hAnsi="Times New Roman"/>
          <w:color w:val="4A4A4A"/>
          <w:sz w:val="24"/>
          <w:szCs w:val="24"/>
          <w:lang w:val="en"/>
        </w:rPr>
        <w:t xml:space="preserve"> </w:t>
      </w:r>
      <w:hyperlink r:id="rId390" w:history="1">
        <w:r w:rsidRPr="00015208">
          <w:rPr>
            <w:rStyle w:val="Hyperlink"/>
            <w:rFonts w:ascii="Times New Roman" w:hAnsi="Times New Roman"/>
            <w:sz w:val="24"/>
            <w:szCs w:val="24"/>
            <w:lang w:val="en"/>
          </w:rPr>
          <w:t>https://www.nytimes.com/2018/04/02/us/politics/supreme-court-rules-for-police-officer-in-excessive-force-case.html</w:t>
        </w:r>
      </w:hyperlink>
      <w:r w:rsidRPr="00015208">
        <w:rPr>
          <w:rFonts w:ascii="Times New Roman" w:hAnsi="Times New Roman"/>
          <w:b/>
          <w:color w:val="4A4A4A"/>
          <w:sz w:val="24"/>
          <w:szCs w:val="24"/>
          <w:lang w:val="en"/>
        </w:rPr>
        <w:t xml:space="preserve"> “</w:t>
      </w:r>
    </w:p>
    <w:bookmarkEnd w:id="88"/>
    <w:p w14:paraId="32252FCC" w14:textId="77777777" w:rsidR="00F326E5" w:rsidRPr="008F54C5" w:rsidRDefault="00F326E5" w:rsidP="00F326E5">
      <w:pPr>
        <w:pStyle w:val="NoSpacing"/>
        <w:rPr>
          <w:rFonts w:ascii="Arial Black" w:hAnsi="Arial Black"/>
          <w:b/>
          <w:sz w:val="24"/>
          <w:szCs w:val="24"/>
        </w:rPr>
      </w:pPr>
    </w:p>
    <w:p w14:paraId="57A77D60" w14:textId="0149C388" w:rsidR="00F326E5" w:rsidRPr="00791CA3" w:rsidRDefault="00791CA3" w:rsidP="00F326E5">
      <w:pPr>
        <w:pStyle w:val="NoSpacing"/>
        <w:rPr>
          <w:rFonts w:ascii="Arial Black" w:hAnsi="Arial Black"/>
          <w:sz w:val="24"/>
          <w:szCs w:val="24"/>
        </w:rPr>
      </w:pPr>
      <w:r w:rsidRPr="00791CA3">
        <w:rPr>
          <w:rFonts w:ascii="Arial Black" w:hAnsi="Arial Black"/>
          <w:sz w:val="24"/>
          <w:szCs w:val="24"/>
        </w:rPr>
        <w:t>1-2</w:t>
      </w:r>
    </w:p>
    <w:p w14:paraId="05DED64E" w14:textId="77777777" w:rsidR="00791CA3" w:rsidRDefault="00791CA3" w:rsidP="00F326E5">
      <w:pPr>
        <w:pStyle w:val="NoSpacing"/>
        <w:rPr>
          <w:sz w:val="24"/>
          <w:szCs w:val="24"/>
        </w:rPr>
      </w:pPr>
    </w:p>
    <w:p w14:paraId="4F81A4AA" w14:textId="77289840" w:rsidR="00F326E5" w:rsidRPr="009213BD" w:rsidRDefault="00F326E5" w:rsidP="00F326E5">
      <w:pPr>
        <w:pStyle w:val="NoSpacing"/>
        <w:rPr>
          <w:sz w:val="28"/>
          <w:szCs w:val="28"/>
        </w:rPr>
      </w:pPr>
      <w:bookmarkStart w:id="89" w:name="_Hlk7340402"/>
      <w:r>
        <w:rPr>
          <w:rFonts w:ascii="Arial Black" w:hAnsi="Arial Black"/>
          <w:sz w:val="28"/>
          <w:szCs w:val="28"/>
        </w:rPr>
        <w:t>TX: M</w:t>
      </w:r>
      <w:r w:rsidRPr="009213BD">
        <w:rPr>
          <w:rFonts w:ascii="Arial Black" w:hAnsi="Arial Black"/>
          <w:sz w:val="28"/>
          <w:szCs w:val="28"/>
        </w:rPr>
        <w:t>URDER TRIAL FOR KILLING A POLICE OFFICER –</w:t>
      </w:r>
      <w:r>
        <w:rPr>
          <w:rFonts w:ascii="Arial Black" w:hAnsi="Arial Black"/>
          <w:sz w:val="28"/>
          <w:szCs w:val="28"/>
        </w:rPr>
        <w:t xml:space="preserve"> POLICE MAY ATTEND TRIAL IN </w:t>
      </w:r>
      <w:r w:rsidRPr="009213BD">
        <w:rPr>
          <w:rFonts w:ascii="Arial Black" w:hAnsi="Arial Black"/>
          <w:sz w:val="28"/>
          <w:szCs w:val="28"/>
        </w:rPr>
        <w:t>UNIFORM</w:t>
      </w:r>
    </w:p>
    <w:p w14:paraId="13E003AF" w14:textId="77777777" w:rsidR="00637A12" w:rsidRDefault="00F326E5" w:rsidP="00F326E5">
      <w:pPr>
        <w:rPr>
          <w:rFonts w:ascii="Times New Roman" w:hAnsi="Times New Roman"/>
          <w:color w:val="4A4A4A"/>
          <w:sz w:val="24"/>
          <w:szCs w:val="24"/>
          <w:lang w:val="en"/>
        </w:rPr>
      </w:pPr>
      <w:r w:rsidRPr="00015208">
        <w:rPr>
          <w:rFonts w:ascii="Times New Roman" w:hAnsi="Times New Roman"/>
          <w:color w:val="4A4A4A"/>
          <w:sz w:val="24"/>
          <w:szCs w:val="24"/>
          <w:lang w:val="en"/>
        </w:rPr>
        <w:t xml:space="preserve">On March 27, 2018, in </w:t>
      </w:r>
      <w:r w:rsidRPr="00015208">
        <w:rPr>
          <w:rFonts w:ascii="Times New Roman" w:hAnsi="Times New Roman"/>
          <w:color w:val="4A4A4A"/>
          <w:sz w:val="24"/>
          <w:szCs w:val="24"/>
          <w:u w:val="single"/>
          <w:lang w:val="en"/>
        </w:rPr>
        <w:t xml:space="preserve">Shelton </w:t>
      </w:r>
      <w:proofErr w:type="spellStart"/>
      <w:r w:rsidRPr="00015208">
        <w:rPr>
          <w:rFonts w:ascii="Times New Roman" w:hAnsi="Times New Roman"/>
          <w:color w:val="4A4A4A"/>
          <w:sz w:val="24"/>
          <w:szCs w:val="24"/>
          <w:u w:val="single"/>
          <w:lang w:val="en"/>
        </w:rPr>
        <w:t>Denoria</w:t>
      </w:r>
      <w:proofErr w:type="spellEnd"/>
      <w:r w:rsidRPr="00015208">
        <w:rPr>
          <w:rFonts w:ascii="Times New Roman" w:hAnsi="Times New Roman"/>
          <w:color w:val="4A4A4A"/>
          <w:sz w:val="24"/>
          <w:szCs w:val="24"/>
          <w:u w:val="single"/>
          <w:lang w:val="en"/>
        </w:rPr>
        <w:t xml:space="preserve"> Jones v. Lorie Davis, Director, Texas Department of Criminal Justice</w:t>
      </w:r>
      <w:r w:rsidRPr="00015208">
        <w:rPr>
          <w:rFonts w:ascii="Times New Roman" w:hAnsi="Times New Roman"/>
          <w:color w:val="4A4A4A"/>
          <w:sz w:val="24"/>
          <w:szCs w:val="24"/>
          <w:lang w:val="en"/>
        </w:rPr>
        <w:t>, the U.S. Court of Appeals for 5</w:t>
      </w:r>
      <w:r w:rsidRPr="00015208">
        <w:rPr>
          <w:rFonts w:ascii="Times New Roman" w:hAnsi="Times New Roman"/>
          <w:color w:val="4A4A4A"/>
          <w:sz w:val="24"/>
          <w:szCs w:val="24"/>
          <w:vertAlign w:val="superscript"/>
          <w:lang w:val="en"/>
        </w:rPr>
        <w:t>th</w:t>
      </w:r>
      <w:r w:rsidRPr="00015208">
        <w:rPr>
          <w:rFonts w:ascii="Times New Roman" w:hAnsi="Times New Roman"/>
          <w:color w:val="4A4A4A"/>
          <w:sz w:val="24"/>
          <w:szCs w:val="24"/>
          <w:lang w:val="en"/>
        </w:rPr>
        <w:t xml:space="preserve"> Circuit, held (3 to 0) that the defendant was not deprived of a fair trial in state court: </w:t>
      </w:r>
    </w:p>
    <w:p w14:paraId="3B96F0F7" w14:textId="54B9FF0F" w:rsidR="00F326E5" w:rsidRPr="00015208" w:rsidRDefault="00F326E5" w:rsidP="00637A12">
      <w:pPr>
        <w:ind w:left="720"/>
        <w:rPr>
          <w:rFonts w:ascii="Times New Roman" w:hAnsi="Times New Roman"/>
          <w:color w:val="4A4A4A"/>
          <w:sz w:val="24"/>
          <w:szCs w:val="24"/>
          <w:lang w:val="en"/>
        </w:rPr>
      </w:pPr>
      <w:r w:rsidRPr="00015208">
        <w:rPr>
          <w:rFonts w:ascii="Times New Roman" w:hAnsi="Times New Roman"/>
          <w:color w:val="4A4A4A"/>
          <w:sz w:val="24"/>
          <w:szCs w:val="24"/>
          <w:lang w:val="en"/>
        </w:rPr>
        <w:t>“</w:t>
      </w:r>
      <w:proofErr w:type="gramStart"/>
      <w:r w:rsidRPr="00015208">
        <w:rPr>
          <w:rFonts w:ascii="Times New Roman" w:hAnsi="Times New Roman"/>
          <w:color w:val="4A4A4A"/>
          <w:sz w:val="24"/>
          <w:szCs w:val="24"/>
          <w:lang w:val="en"/>
        </w:rPr>
        <w:t>the</w:t>
      </w:r>
      <w:proofErr w:type="gramEnd"/>
      <w:r w:rsidRPr="00015208">
        <w:rPr>
          <w:rFonts w:ascii="Times New Roman" w:hAnsi="Times New Roman"/>
          <w:color w:val="4A4A4A"/>
          <w:sz w:val="24"/>
          <w:szCs w:val="24"/>
          <w:lang w:val="en"/>
        </w:rPr>
        <w:t xml:space="preserve"> record before us does not suggest the police presence intimidated the jury or disrupted the factfinding process in any way.” </w:t>
      </w:r>
      <w:hyperlink r:id="rId391" w:history="1">
        <w:r w:rsidRPr="00015208">
          <w:rPr>
            <w:rStyle w:val="Hyperlink"/>
            <w:rFonts w:ascii="Times New Roman" w:hAnsi="Times New Roman"/>
            <w:sz w:val="24"/>
            <w:szCs w:val="24"/>
            <w:lang w:val="en"/>
          </w:rPr>
          <w:t>file:///C:/Users/lawre/AppData/Local/Microsoft/Windows/INetCache/IE/XO250S7T/15-70040-CV0.pdf</w:t>
        </w:r>
      </w:hyperlink>
      <w:r w:rsidRPr="00015208">
        <w:rPr>
          <w:rFonts w:ascii="Times New Roman" w:hAnsi="Times New Roman"/>
          <w:color w:val="4A4A4A"/>
          <w:sz w:val="24"/>
          <w:szCs w:val="24"/>
          <w:lang w:val="en"/>
        </w:rPr>
        <w:t xml:space="preserve"> </w:t>
      </w:r>
    </w:p>
    <w:p w14:paraId="28A6FA17" w14:textId="77777777" w:rsidR="00F326E5" w:rsidRPr="00637A12" w:rsidRDefault="00F326E5" w:rsidP="00637A12">
      <w:pPr>
        <w:pStyle w:val="NoSpacing"/>
        <w:rPr>
          <w:rFonts w:ascii="Times New Roman" w:hAnsi="Times New Roman"/>
          <w:b/>
          <w:bCs/>
          <w:sz w:val="24"/>
          <w:szCs w:val="24"/>
          <w:lang w:val="en"/>
        </w:rPr>
      </w:pPr>
      <w:r w:rsidRPr="00637A12">
        <w:rPr>
          <w:rFonts w:ascii="Times New Roman" w:hAnsi="Times New Roman"/>
          <w:b/>
          <w:bCs/>
          <w:sz w:val="24"/>
          <w:szCs w:val="24"/>
          <w:lang w:val="en"/>
        </w:rPr>
        <w:t xml:space="preserve">LEGAL LESSONS LEARNED:  Helpful decision – no evidence of jury intimidation by having emergency responders in uniform, watching a jury trial.  Before showing up in uniform, please discuss with your Chief and the prosecutor, who may want to review with trial judge, prior to start of trial. </w:t>
      </w:r>
    </w:p>
    <w:bookmarkEnd w:id="89"/>
    <w:p w14:paraId="71B3B905" w14:textId="13F9FF68" w:rsidR="00791CA3" w:rsidRDefault="00791CA3" w:rsidP="00F326E5">
      <w:pPr>
        <w:rPr>
          <w:rFonts w:ascii="Arial Black" w:hAnsi="Arial Black"/>
          <w:sz w:val="24"/>
          <w:szCs w:val="24"/>
        </w:rPr>
      </w:pPr>
    </w:p>
    <w:p w14:paraId="78C80069" w14:textId="77777777" w:rsidR="00637A12" w:rsidRPr="00791CA3" w:rsidRDefault="00637A12" w:rsidP="00F326E5">
      <w:pPr>
        <w:rPr>
          <w:rFonts w:ascii="Arial Black" w:hAnsi="Arial Black"/>
          <w:sz w:val="24"/>
          <w:szCs w:val="24"/>
        </w:rPr>
      </w:pPr>
    </w:p>
    <w:p w14:paraId="28D50D56" w14:textId="26D5C357" w:rsidR="00F326E5" w:rsidRPr="00791CA3" w:rsidRDefault="00791CA3" w:rsidP="00F326E5">
      <w:pPr>
        <w:rPr>
          <w:rFonts w:ascii="Arial Black" w:hAnsi="Arial Black"/>
          <w:sz w:val="24"/>
          <w:szCs w:val="24"/>
        </w:rPr>
      </w:pPr>
      <w:r w:rsidRPr="00791CA3">
        <w:rPr>
          <w:rFonts w:ascii="Arial Black" w:hAnsi="Arial Black"/>
          <w:sz w:val="24"/>
          <w:szCs w:val="24"/>
        </w:rPr>
        <w:t>1-1</w:t>
      </w:r>
    </w:p>
    <w:p w14:paraId="106D72F0" w14:textId="6B65BFDD" w:rsidR="00F326E5" w:rsidRPr="00586D43" w:rsidRDefault="00F326E5" w:rsidP="00F326E5">
      <w:pPr>
        <w:pStyle w:val="NoSpacing"/>
        <w:rPr>
          <w:sz w:val="24"/>
          <w:szCs w:val="24"/>
        </w:rPr>
      </w:pPr>
      <w:bookmarkStart w:id="90" w:name="_Hlk7340446"/>
      <w:r w:rsidRPr="009213BD">
        <w:rPr>
          <w:rFonts w:ascii="Arial Black" w:hAnsi="Arial Black" w:cs="Arial"/>
          <w:sz w:val="28"/>
          <w:szCs w:val="28"/>
        </w:rPr>
        <w:t xml:space="preserve">IL: DEPUTY FIRE CHIEF FIRED </w:t>
      </w:r>
      <w:r>
        <w:rPr>
          <w:rFonts w:ascii="Arial Black" w:hAnsi="Arial Black" w:cs="Arial"/>
          <w:sz w:val="28"/>
          <w:szCs w:val="28"/>
        </w:rPr>
        <w:t xml:space="preserve">- </w:t>
      </w:r>
      <w:r w:rsidRPr="009213BD">
        <w:rPr>
          <w:rFonts w:ascii="Arial Black" w:hAnsi="Arial Black" w:cs="Arial"/>
          <w:sz w:val="28"/>
          <w:szCs w:val="28"/>
        </w:rPr>
        <w:t xml:space="preserve">WARNED ABOUT “POLITICAL COMMENTARY” ON FACEBOOK </w:t>
      </w:r>
      <w:r w:rsidRPr="00586D43">
        <w:rPr>
          <w:sz w:val="24"/>
          <w:szCs w:val="24"/>
        </w:rPr>
        <w:t>[also filed, Chap. 16]</w:t>
      </w:r>
    </w:p>
    <w:p w14:paraId="142B050B" w14:textId="77777777" w:rsidR="00637A12"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Jan. 11, 2018, in Richard Banske v. City of Calumet City, U.S. District Court, Northern District of Illinois (Case No. 17C5263), Judge Harry D. </w:t>
      </w:r>
      <w:proofErr w:type="spellStart"/>
      <w:r w:rsidRPr="00015208">
        <w:rPr>
          <w:rFonts w:ascii="Times New Roman" w:hAnsi="Times New Roman"/>
          <w:sz w:val="24"/>
          <w:szCs w:val="24"/>
        </w:rPr>
        <w:t>Leinenweber</w:t>
      </w:r>
      <w:proofErr w:type="spellEnd"/>
      <w:r w:rsidRPr="00015208">
        <w:rPr>
          <w:rFonts w:ascii="Times New Roman" w:hAnsi="Times New Roman"/>
          <w:sz w:val="24"/>
          <w:szCs w:val="24"/>
        </w:rPr>
        <w:t xml:space="preserve"> granted City’s motion to dismiss. </w:t>
      </w:r>
    </w:p>
    <w:p w14:paraId="66957803" w14:textId="77777777" w:rsidR="00637A12" w:rsidRDefault="00637A12" w:rsidP="00F326E5">
      <w:pPr>
        <w:pStyle w:val="NoSpacing"/>
        <w:rPr>
          <w:rFonts w:ascii="Times New Roman" w:hAnsi="Times New Roman"/>
          <w:sz w:val="24"/>
          <w:szCs w:val="24"/>
        </w:rPr>
      </w:pPr>
    </w:p>
    <w:p w14:paraId="51DF1ABB" w14:textId="516D3BA1"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 xml:space="preserve">“[A] policymaking employee may be discharged ‘when that individual has engaged in speech on a matter of public concern in a manner that is critical of superiors or their stated </w:t>
      </w:r>
      <w:proofErr w:type="spellStart"/>
      <w:r w:rsidRPr="00015208">
        <w:rPr>
          <w:rFonts w:ascii="Times New Roman" w:hAnsi="Times New Roman"/>
          <w:sz w:val="24"/>
          <w:szCs w:val="24"/>
        </w:rPr>
        <w:t>policies.’Hagan</w:t>
      </w:r>
      <w:proofErr w:type="spellEnd"/>
      <w:r w:rsidRPr="00015208">
        <w:rPr>
          <w:rFonts w:ascii="Times New Roman" w:hAnsi="Times New Roman"/>
          <w:sz w:val="24"/>
          <w:szCs w:val="24"/>
        </w:rPr>
        <w:t xml:space="preserve">, 867 F.3d at 826 (quoting Kiddy-Brown v. Blagojevich, 408 F.3d 346, 358 (7th Cir. 2005)). *** Without well pled factual allegations, the Court is left to guess whether </w:t>
      </w:r>
      <w:proofErr w:type="spellStart"/>
      <w:r w:rsidRPr="00015208">
        <w:rPr>
          <w:rFonts w:ascii="Times New Roman" w:hAnsi="Times New Roman"/>
          <w:sz w:val="24"/>
          <w:szCs w:val="24"/>
        </w:rPr>
        <w:t>Banske's</w:t>
      </w:r>
      <w:proofErr w:type="spellEnd"/>
      <w:r w:rsidRPr="00015208">
        <w:rPr>
          <w:rFonts w:ascii="Times New Roman" w:hAnsi="Times New Roman"/>
          <w:sz w:val="24"/>
          <w:szCs w:val="24"/>
        </w:rPr>
        <w:t xml:space="preserve"> at-issue speech touches upon a subject of public concern. This the Court will not do. The Complaint fails to establish that </w:t>
      </w:r>
      <w:proofErr w:type="spellStart"/>
      <w:r w:rsidRPr="00015208">
        <w:rPr>
          <w:rFonts w:ascii="Times New Roman" w:hAnsi="Times New Roman"/>
          <w:sz w:val="24"/>
          <w:szCs w:val="24"/>
        </w:rPr>
        <w:t>Banske</w:t>
      </w:r>
      <w:proofErr w:type="spellEnd"/>
      <w:r w:rsidRPr="00015208">
        <w:rPr>
          <w:rFonts w:ascii="Times New Roman" w:hAnsi="Times New Roman"/>
          <w:sz w:val="24"/>
          <w:szCs w:val="24"/>
        </w:rPr>
        <w:t xml:space="preserve"> engaged in constitutionally protected speech, so it fails to state a claim upon which relief may be granted.” </w:t>
      </w:r>
    </w:p>
    <w:p w14:paraId="771164F4" w14:textId="32F50D58" w:rsidR="00F326E5" w:rsidRDefault="00637A12" w:rsidP="00637A12">
      <w:pPr>
        <w:pStyle w:val="NoSpacing"/>
        <w:ind w:firstLine="720"/>
        <w:rPr>
          <w:rFonts w:ascii="Times New Roman" w:hAnsi="Times New Roman"/>
          <w:sz w:val="24"/>
          <w:szCs w:val="24"/>
        </w:rPr>
      </w:pPr>
      <w:hyperlink r:id="rId392" w:history="1">
        <w:r w:rsidRPr="002F304C">
          <w:rPr>
            <w:rStyle w:val="Hyperlink"/>
            <w:rFonts w:ascii="Times New Roman" w:hAnsi="Times New Roman"/>
            <w:sz w:val="24"/>
            <w:szCs w:val="24"/>
          </w:rPr>
          <w:t>https://casetext.com/case/banske-v-city-of-calumet-city</w:t>
        </w:r>
      </w:hyperlink>
      <w:r w:rsidR="00F326E5" w:rsidRPr="00015208">
        <w:rPr>
          <w:rFonts w:ascii="Times New Roman" w:hAnsi="Times New Roman"/>
          <w:sz w:val="24"/>
          <w:szCs w:val="24"/>
        </w:rPr>
        <w:t xml:space="preserve"> </w:t>
      </w:r>
    </w:p>
    <w:p w14:paraId="7E0DB95D" w14:textId="77777777" w:rsidR="00637A12" w:rsidRPr="00015208" w:rsidRDefault="00637A12" w:rsidP="00637A12">
      <w:pPr>
        <w:pStyle w:val="NoSpacing"/>
        <w:ind w:firstLine="720"/>
        <w:rPr>
          <w:rFonts w:ascii="Times New Roman" w:hAnsi="Times New Roman"/>
          <w:sz w:val="24"/>
          <w:szCs w:val="24"/>
        </w:rPr>
      </w:pPr>
    </w:p>
    <w:p w14:paraId="715AC97E" w14:textId="77777777" w:rsidR="00F326E5" w:rsidRPr="00015208" w:rsidRDefault="00F326E5" w:rsidP="00F326E5">
      <w:pPr>
        <w:rPr>
          <w:rFonts w:ascii="Times New Roman" w:eastAsia="Times New Roman" w:hAnsi="Times New Roman"/>
          <w:sz w:val="24"/>
          <w:szCs w:val="24"/>
        </w:rPr>
      </w:pPr>
      <w:r w:rsidRPr="00015208">
        <w:rPr>
          <w:rFonts w:ascii="Times New Roman" w:eastAsia="Times New Roman" w:hAnsi="Times New Roman"/>
          <w:b/>
          <w:sz w:val="24"/>
          <w:szCs w:val="24"/>
        </w:rPr>
        <w:t>Legal Lessons Learned: Fire, EMS, police and other public employees have only limited First Amendment rights under the “balancing test” of U.S. Supreme Court’s decision in Pickering v. Board of Education, 391 U.S. 563 (1968).</w:t>
      </w:r>
    </w:p>
    <w:p w14:paraId="42F0D37F" w14:textId="77777777" w:rsidR="00F326E5" w:rsidRPr="00015208" w:rsidRDefault="00F326E5" w:rsidP="00F326E5">
      <w:pPr>
        <w:ind w:left="720"/>
        <w:rPr>
          <w:rFonts w:ascii="Times New Roman" w:hAnsi="Times New Roman"/>
          <w:sz w:val="24"/>
          <w:szCs w:val="24"/>
        </w:rPr>
      </w:pPr>
      <w:r w:rsidRPr="00015208">
        <w:rPr>
          <w:rFonts w:ascii="Times New Roman" w:eastAsia="Times New Roman" w:hAnsi="Times New Roman"/>
          <w:sz w:val="24"/>
          <w:szCs w:val="24"/>
        </w:rPr>
        <w:t xml:space="preserve">Pickering decision:  “Appellant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In sum, we hold that, in a case such as this, absent proof of false statements knowingly or recklessly made by him, a teacher's exercise of his right to speak on issues of public importance may not furnish the basis for his dismissal from public employment. *** Footnote 3: It is possible to conceive of some positions in public employment in which the need for confidentiality is so great that even completely correct public statements might furnish a permissible ground for dismissal.” </w:t>
      </w:r>
      <w:hyperlink r:id="rId393" w:history="1">
        <w:r w:rsidRPr="00015208">
          <w:rPr>
            <w:rStyle w:val="Hyperlink"/>
            <w:rFonts w:ascii="Times New Roman" w:hAnsi="Times New Roman"/>
            <w:sz w:val="24"/>
            <w:szCs w:val="24"/>
          </w:rPr>
          <w:t>https://supreme.justia.com/cases/federal/us/391/563/</w:t>
        </w:r>
      </w:hyperlink>
      <w:r w:rsidRPr="00015208">
        <w:rPr>
          <w:rFonts w:ascii="Times New Roman" w:eastAsia="Times New Roman" w:hAnsi="Times New Roman"/>
          <w:sz w:val="24"/>
          <w:szCs w:val="24"/>
        </w:rPr>
        <w:t xml:space="preserve"> </w:t>
      </w:r>
    </w:p>
    <w:p w14:paraId="2BEE7831" w14:textId="77777777" w:rsidR="00F326E5" w:rsidRDefault="00F326E5" w:rsidP="00F326E5">
      <w:pPr>
        <w:rPr>
          <w:rFonts w:ascii="Times New Roman" w:hAnsi="Times New Roman"/>
          <w:sz w:val="24"/>
          <w:szCs w:val="24"/>
        </w:rPr>
      </w:pPr>
    </w:p>
    <w:bookmarkEnd w:id="90"/>
    <w:p w14:paraId="7685CD75" w14:textId="77777777" w:rsidR="00F326E5" w:rsidRDefault="00F326E5" w:rsidP="00F326E5">
      <w:pPr>
        <w:rPr>
          <w:rFonts w:ascii="Arial Black" w:hAnsi="Arial Black"/>
          <w:sz w:val="40"/>
          <w:szCs w:val="40"/>
        </w:rPr>
      </w:pPr>
      <w:r>
        <w:rPr>
          <w:rFonts w:ascii="Arial Black" w:hAnsi="Arial Black"/>
          <w:sz w:val="40"/>
          <w:szCs w:val="40"/>
        </w:rPr>
        <w:br w:type="page"/>
      </w:r>
    </w:p>
    <w:p w14:paraId="062803A9" w14:textId="77777777" w:rsidR="00F326E5" w:rsidRDefault="00F326E5" w:rsidP="00F326E5">
      <w:pPr>
        <w:pStyle w:val="NoSpacing"/>
        <w:rPr>
          <w:rFonts w:ascii="Arial Black" w:hAnsi="Arial Black"/>
          <w:sz w:val="40"/>
          <w:szCs w:val="40"/>
        </w:rPr>
      </w:pPr>
    </w:p>
    <w:p w14:paraId="3F43366F" w14:textId="77777777" w:rsidR="008229A3" w:rsidRDefault="008229A3" w:rsidP="00F326E5">
      <w:pPr>
        <w:pStyle w:val="NoSpacing"/>
        <w:rPr>
          <w:rFonts w:ascii="Arial Black" w:hAnsi="Arial Black"/>
          <w:sz w:val="40"/>
          <w:szCs w:val="40"/>
        </w:rPr>
      </w:pPr>
    </w:p>
    <w:p w14:paraId="6933962B" w14:textId="77777777" w:rsidR="008229A3" w:rsidRDefault="008229A3" w:rsidP="00F326E5">
      <w:pPr>
        <w:pStyle w:val="NoSpacing"/>
        <w:rPr>
          <w:rFonts w:ascii="Arial Black" w:hAnsi="Arial Black"/>
          <w:sz w:val="40"/>
          <w:szCs w:val="40"/>
        </w:rPr>
      </w:pPr>
    </w:p>
    <w:p w14:paraId="6D470310" w14:textId="77777777" w:rsidR="008229A3" w:rsidRDefault="008229A3" w:rsidP="00F326E5">
      <w:pPr>
        <w:pStyle w:val="NoSpacing"/>
        <w:rPr>
          <w:rFonts w:ascii="Arial Black" w:hAnsi="Arial Black"/>
          <w:sz w:val="40"/>
          <w:szCs w:val="40"/>
        </w:rPr>
      </w:pPr>
    </w:p>
    <w:p w14:paraId="2E746334" w14:textId="77777777" w:rsidR="008229A3" w:rsidRDefault="008229A3" w:rsidP="00F326E5">
      <w:pPr>
        <w:pStyle w:val="NoSpacing"/>
        <w:rPr>
          <w:rFonts w:ascii="Arial Black" w:hAnsi="Arial Black"/>
          <w:sz w:val="40"/>
          <w:szCs w:val="40"/>
        </w:rPr>
      </w:pPr>
    </w:p>
    <w:p w14:paraId="4359DF0C" w14:textId="77777777" w:rsidR="008229A3" w:rsidRDefault="008229A3" w:rsidP="00F326E5">
      <w:pPr>
        <w:pStyle w:val="NoSpacing"/>
        <w:rPr>
          <w:rFonts w:ascii="Arial Black" w:hAnsi="Arial Black"/>
          <w:sz w:val="40"/>
          <w:szCs w:val="40"/>
        </w:rPr>
      </w:pPr>
    </w:p>
    <w:p w14:paraId="39EA27EE" w14:textId="77777777" w:rsidR="008229A3" w:rsidRDefault="008229A3" w:rsidP="00F326E5">
      <w:pPr>
        <w:pStyle w:val="NoSpacing"/>
        <w:rPr>
          <w:rFonts w:ascii="Arial Black" w:hAnsi="Arial Black"/>
          <w:sz w:val="40"/>
          <w:szCs w:val="40"/>
        </w:rPr>
      </w:pPr>
    </w:p>
    <w:p w14:paraId="1FDA0FD0" w14:textId="77777777" w:rsidR="008229A3" w:rsidRDefault="008229A3" w:rsidP="00F326E5">
      <w:pPr>
        <w:pStyle w:val="NoSpacing"/>
        <w:rPr>
          <w:rFonts w:ascii="Arial Black" w:hAnsi="Arial Black"/>
          <w:sz w:val="40"/>
          <w:szCs w:val="40"/>
        </w:rPr>
      </w:pPr>
    </w:p>
    <w:p w14:paraId="2D1EFE48" w14:textId="77777777" w:rsidR="008229A3" w:rsidRDefault="008229A3" w:rsidP="00F326E5">
      <w:pPr>
        <w:pStyle w:val="NoSpacing"/>
        <w:rPr>
          <w:rFonts w:ascii="Arial Black" w:hAnsi="Arial Black"/>
          <w:sz w:val="40"/>
          <w:szCs w:val="40"/>
        </w:rPr>
      </w:pPr>
    </w:p>
    <w:p w14:paraId="42BA7122" w14:textId="77777777" w:rsidR="008229A3" w:rsidRDefault="008229A3" w:rsidP="00F326E5">
      <w:pPr>
        <w:pStyle w:val="NoSpacing"/>
        <w:rPr>
          <w:rFonts w:ascii="Arial Black" w:hAnsi="Arial Black"/>
          <w:sz w:val="40"/>
          <w:szCs w:val="40"/>
        </w:rPr>
      </w:pPr>
    </w:p>
    <w:p w14:paraId="71DC3D69" w14:textId="77777777" w:rsidR="008229A3" w:rsidRDefault="008229A3" w:rsidP="00F326E5">
      <w:pPr>
        <w:pStyle w:val="NoSpacing"/>
        <w:rPr>
          <w:rFonts w:ascii="Arial Black" w:hAnsi="Arial Black"/>
          <w:sz w:val="40"/>
          <w:szCs w:val="40"/>
        </w:rPr>
      </w:pPr>
    </w:p>
    <w:p w14:paraId="3AC07525" w14:textId="77777777" w:rsidR="008229A3" w:rsidRDefault="008229A3" w:rsidP="00F326E5">
      <w:pPr>
        <w:pStyle w:val="NoSpacing"/>
        <w:rPr>
          <w:rFonts w:ascii="Arial Black" w:hAnsi="Arial Black"/>
          <w:sz w:val="40"/>
          <w:szCs w:val="40"/>
        </w:rPr>
      </w:pPr>
    </w:p>
    <w:p w14:paraId="2E60C868" w14:textId="77777777" w:rsidR="008229A3" w:rsidRDefault="008229A3" w:rsidP="00F326E5">
      <w:pPr>
        <w:pStyle w:val="NoSpacing"/>
        <w:rPr>
          <w:rFonts w:ascii="Arial Black" w:hAnsi="Arial Black"/>
          <w:sz w:val="40"/>
          <w:szCs w:val="40"/>
        </w:rPr>
      </w:pPr>
    </w:p>
    <w:p w14:paraId="417B6D3D" w14:textId="77777777" w:rsidR="008229A3" w:rsidRDefault="008229A3" w:rsidP="00F326E5">
      <w:pPr>
        <w:pStyle w:val="NoSpacing"/>
        <w:rPr>
          <w:rFonts w:ascii="Arial Black" w:hAnsi="Arial Black"/>
          <w:sz w:val="40"/>
          <w:szCs w:val="40"/>
        </w:rPr>
      </w:pPr>
    </w:p>
    <w:p w14:paraId="0FF4E5A3" w14:textId="77777777" w:rsidR="008229A3" w:rsidRDefault="008229A3" w:rsidP="00F326E5">
      <w:pPr>
        <w:pStyle w:val="NoSpacing"/>
        <w:rPr>
          <w:rFonts w:ascii="Arial Black" w:hAnsi="Arial Black"/>
          <w:sz w:val="40"/>
          <w:szCs w:val="40"/>
        </w:rPr>
      </w:pPr>
    </w:p>
    <w:p w14:paraId="2821B778" w14:textId="77777777" w:rsidR="008229A3" w:rsidRDefault="008229A3" w:rsidP="00F326E5">
      <w:pPr>
        <w:pStyle w:val="NoSpacing"/>
        <w:rPr>
          <w:rFonts w:ascii="Arial Black" w:hAnsi="Arial Black"/>
          <w:sz w:val="40"/>
          <w:szCs w:val="40"/>
        </w:rPr>
      </w:pPr>
    </w:p>
    <w:p w14:paraId="74C54F0F" w14:textId="77777777" w:rsidR="008229A3" w:rsidRDefault="008229A3" w:rsidP="00F326E5">
      <w:pPr>
        <w:pStyle w:val="NoSpacing"/>
        <w:rPr>
          <w:rFonts w:ascii="Arial Black" w:hAnsi="Arial Black"/>
          <w:sz w:val="40"/>
          <w:szCs w:val="40"/>
        </w:rPr>
      </w:pPr>
    </w:p>
    <w:p w14:paraId="7CE6323E" w14:textId="77777777" w:rsidR="008229A3" w:rsidRDefault="008229A3" w:rsidP="00F326E5">
      <w:pPr>
        <w:pStyle w:val="NoSpacing"/>
        <w:rPr>
          <w:rFonts w:ascii="Arial Black" w:hAnsi="Arial Black"/>
          <w:sz w:val="40"/>
          <w:szCs w:val="40"/>
        </w:rPr>
      </w:pPr>
    </w:p>
    <w:p w14:paraId="140CE813" w14:textId="77777777" w:rsidR="008229A3" w:rsidRDefault="008229A3" w:rsidP="00F326E5">
      <w:pPr>
        <w:pStyle w:val="NoSpacing"/>
        <w:rPr>
          <w:rFonts w:ascii="Arial Black" w:hAnsi="Arial Black"/>
          <w:sz w:val="40"/>
          <w:szCs w:val="40"/>
        </w:rPr>
      </w:pPr>
    </w:p>
    <w:p w14:paraId="1D99EBE7" w14:textId="77777777" w:rsidR="008229A3" w:rsidRDefault="008229A3" w:rsidP="00F326E5">
      <w:pPr>
        <w:pStyle w:val="NoSpacing"/>
        <w:rPr>
          <w:rFonts w:ascii="Arial Black" w:hAnsi="Arial Black"/>
          <w:sz w:val="40"/>
          <w:szCs w:val="40"/>
        </w:rPr>
      </w:pPr>
    </w:p>
    <w:p w14:paraId="37CD374D" w14:textId="77777777" w:rsidR="008229A3" w:rsidRDefault="008229A3" w:rsidP="00F326E5">
      <w:pPr>
        <w:pStyle w:val="NoSpacing"/>
        <w:rPr>
          <w:rFonts w:ascii="Arial Black" w:hAnsi="Arial Black"/>
          <w:sz w:val="40"/>
          <w:szCs w:val="40"/>
        </w:rPr>
      </w:pPr>
    </w:p>
    <w:p w14:paraId="6D413A0D" w14:textId="77777777" w:rsidR="008229A3" w:rsidRDefault="008229A3" w:rsidP="00F326E5">
      <w:pPr>
        <w:pStyle w:val="NoSpacing"/>
        <w:rPr>
          <w:rFonts w:ascii="Arial Black" w:hAnsi="Arial Black"/>
          <w:sz w:val="40"/>
          <w:szCs w:val="40"/>
        </w:rPr>
      </w:pPr>
    </w:p>
    <w:p w14:paraId="59E6D40F" w14:textId="77777777" w:rsidR="008229A3" w:rsidRDefault="008229A3" w:rsidP="00F326E5">
      <w:pPr>
        <w:pStyle w:val="NoSpacing"/>
        <w:rPr>
          <w:rFonts w:ascii="Arial Black" w:hAnsi="Arial Black"/>
          <w:sz w:val="40"/>
          <w:szCs w:val="40"/>
        </w:rPr>
      </w:pPr>
    </w:p>
    <w:p w14:paraId="5AB6E9CB" w14:textId="77777777" w:rsidR="008229A3" w:rsidRDefault="008229A3" w:rsidP="00F326E5">
      <w:pPr>
        <w:pStyle w:val="NoSpacing"/>
        <w:rPr>
          <w:rFonts w:ascii="Arial Black" w:hAnsi="Arial Black"/>
          <w:sz w:val="40"/>
          <w:szCs w:val="40"/>
        </w:rPr>
      </w:pPr>
    </w:p>
    <w:p w14:paraId="03DA6A37" w14:textId="77777777" w:rsidR="008229A3" w:rsidRDefault="008229A3" w:rsidP="00F326E5">
      <w:pPr>
        <w:pStyle w:val="NoSpacing"/>
        <w:rPr>
          <w:rFonts w:ascii="Arial Black" w:hAnsi="Arial Black"/>
          <w:sz w:val="40"/>
          <w:szCs w:val="40"/>
        </w:rPr>
      </w:pPr>
    </w:p>
    <w:p w14:paraId="6AF718E6" w14:textId="77777777" w:rsidR="008229A3" w:rsidRDefault="008229A3" w:rsidP="00F326E5">
      <w:pPr>
        <w:pStyle w:val="NoSpacing"/>
        <w:rPr>
          <w:rFonts w:ascii="Arial Black" w:hAnsi="Arial Black"/>
          <w:sz w:val="40"/>
          <w:szCs w:val="40"/>
        </w:rPr>
      </w:pPr>
    </w:p>
    <w:p w14:paraId="48210B23" w14:textId="6D297840" w:rsidR="00F326E5" w:rsidRDefault="00F326E5" w:rsidP="00F326E5">
      <w:pPr>
        <w:pStyle w:val="NoSpacing"/>
        <w:rPr>
          <w:rFonts w:ascii="Arial Black" w:hAnsi="Arial Black"/>
          <w:sz w:val="40"/>
          <w:szCs w:val="40"/>
        </w:rPr>
      </w:pPr>
      <w:r w:rsidRPr="007732FA">
        <w:rPr>
          <w:rFonts w:ascii="Arial Black" w:hAnsi="Arial Black"/>
          <w:sz w:val="40"/>
          <w:szCs w:val="40"/>
        </w:rPr>
        <w:t>Chap. 2</w:t>
      </w:r>
      <w:r w:rsidRPr="007732FA">
        <w:rPr>
          <w:rFonts w:ascii="Arial Black" w:hAnsi="Arial Black"/>
          <w:sz w:val="40"/>
          <w:szCs w:val="40"/>
        </w:rPr>
        <w:tab/>
        <w:t xml:space="preserve">Line </w:t>
      </w:r>
      <w:proofErr w:type="gramStart"/>
      <w:r w:rsidRPr="007732FA">
        <w:rPr>
          <w:rFonts w:ascii="Arial Black" w:hAnsi="Arial Black"/>
          <w:sz w:val="40"/>
          <w:szCs w:val="40"/>
        </w:rPr>
        <w:t>Of</w:t>
      </w:r>
      <w:proofErr w:type="gramEnd"/>
      <w:r w:rsidRPr="007732FA">
        <w:rPr>
          <w:rFonts w:ascii="Arial Black" w:hAnsi="Arial Black"/>
          <w:sz w:val="40"/>
          <w:szCs w:val="40"/>
        </w:rPr>
        <w:t xml:space="preserve"> Duty Death</w:t>
      </w:r>
      <w:r w:rsidR="00636395">
        <w:rPr>
          <w:rFonts w:ascii="Arial Black" w:hAnsi="Arial Black"/>
          <w:sz w:val="40"/>
          <w:szCs w:val="40"/>
        </w:rPr>
        <w:t xml:space="preserve"> / </w:t>
      </w:r>
      <w:r w:rsidRPr="007732FA">
        <w:rPr>
          <w:rFonts w:ascii="Arial Black" w:hAnsi="Arial Black"/>
          <w:sz w:val="40"/>
          <w:szCs w:val="40"/>
        </w:rPr>
        <w:t>Safety</w:t>
      </w:r>
    </w:p>
    <w:p w14:paraId="4E5DB655" w14:textId="0D554EF9" w:rsidR="00C342C1" w:rsidRDefault="00F326E5" w:rsidP="00853142">
      <w:pPr>
        <w:rPr>
          <w:rFonts w:ascii="Times New Roman" w:hAnsi="Times New Roman"/>
          <w:sz w:val="24"/>
          <w:szCs w:val="24"/>
        </w:rPr>
      </w:pPr>
      <w:r>
        <w:rPr>
          <w:rFonts w:ascii="Times New Roman" w:hAnsi="Times New Roman"/>
          <w:sz w:val="24"/>
          <w:szCs w:val="24"/>
        </w:rPr>
        <w:t xml:space="preserve"> </w:t>
      </w:r>
      <w:bookmarkStart w:id="91" w:name="_Hlk7340594"/>
    </w:p>
    <w:p w14:paraId="6E7A7C3C" w14:textId="7F428049" w:rsidR="00F6750B" w:rsidRDefault="00F6750B" w:rsidP="00F6750B">
      <w:pPr>
        <w:rPr>
          <w:rFonts w:ascii="Arial Black" w:hAnsi="Arial Black"/>
          <w:sz w:val="28"/>
          <w:szCs w:val="28"/>
        </w:rPr>
      </w:pPr>
      <w:r>
        <w:rPr>
          <w:rFonts w:ascii="Arial Black" w:hAnsi="Arial Black"/>
          <w:sz w:val="24"/>
          <w:szCs w:val="24"/>
        </w:rPr>
        <w:t>2-1</w:t>
      </w:r>
      <w:r>
        <w:rPr>
          <w:rFonts w:ascii="Arial Black" w:hAnsi="Arial Black"/>
          <w:sz w:val="24"/>
          <w:szCs w:val="24"/>
        </w:rPr>
        <w:t>20</w:t>
      </w:r>
    </w:p>
    <w:p w14:paraId="5745E7C8" w14:textId="6BFCFFF5" w:rsidR="00F6750B" w:rsidRPr="00003AB3" w:rsidRDefault="00F6750B" w:rsidP="00F6750B">
      <w:pPr>
        <w:rPr>
          <w:rFonts w:ascii="Arial Black" w:hAnsi="Arial Black"/>
          <w:sz w:val="28"/>
          <w:szCs w:val="28"/>
        </w:rPr>
      </w:pPr>
      <w:r>
        <w:rPr>
          <w:rFonts w:ascii="Arial Black" w:hAnsi="Arial Black"/>
          <w:sz w:val="28"/>
          <w:szCs w:val="28"/>
        </w:rPr>
        <w:t>CT: CANCER - PPE – 3M, DUPONT, OTHERS – CASE PROCEED</w:t>
      </w:r>
    </w:p>
    <w:p w14:paraId="2FD9C0A5" w14:textId="77777777" w:rsidR="00F6750B" w:rsidRDefault="00F6750B" w:rsidP="00F6750B">
      <w:pPr>
        <w:rPr>
          <w:bCs/>
        </w:rPr>
      </w:pPr>
      <w:r>
        <w:t xml:space="preserve">On September 15, 2026, in </w:t>
      </w:r>
      <w:r w:rsidRPr="003F2979">
        <w:rPr>
          <w:u w:val="single"/>
        </w:rPr>
        <w:t xml:space="preserve">Uniformed Professional Fire Fighters Association of Connecticut, et al. v. 3M Company, </w:t>
      </w:r>
      <w:r>
        <w:rPr>
          <w:u w:val="single"/>
        </w:rPr>
        <w:t xml:space="preserve">Dupont, </w:t>
      </w:r>
      <w:r w:rsidRPr="003F2979">
        <w:rPr>
          <w:u w:val="single"/>
        </w:rPr>
        <w:t>et al</w:t>
      </w:r>
      <w:r>
        <w:t xml:space="preserve">., U.S. District Court Judge </w:t>
      </w:r>
      <w:r w:rsidRPr="00DF37D2">
        <w:t>Alvin W. Thompson</w:t>
      </w:r>
      <w:r>
        <w:t>, United States District Court for the District of Connecticut held that 15 IAFF unions and 12 firefighters have standing to sue 3M and numerous other manufacturers for cancer-causing forever chemicals in turn out gear.  P</w:t>
      </w:r>
      <w:r w:rsidRPr="00E3394D">
        <w:t xml:space="preserve">laintiffs </w:t>
      </w:r>
      <w:r>
        <w:t xml:space="preserve">in the 2024 lawsuit seek damages and </w:t>
      </w:r>
      <w:r w:rsidRPr="00E3394D">
        <w:t>would require the defendants to "contribute to the establishment of a diagnostic medical testing program and medical monitoring protocol."</w:t>
      </w:r>
      <w:r>
        <w:t xml:space="preserve"> </w:t>
      </w:r>
      <w:hyperlink r:id="rId394" w:history="1">
        <w:r w:rsidRPr="00BE159C">
          <w:rPr>
            <w:rStyle w:val="Hyperlink"/>
          </w:rPr>
          <w:t>www.casemine.com/judgement/us/6aac0620f0ddefeec2e11731</w:t>
        </w:r>
      </w:hyperlink>
      <w:r>
        <w:t xml:space="preserve"> </w:t>
      </w:r>
    </w:p>
    <w:p w14:paraId="4FC03D60" w14:textId="77777777" w:rsidR="00F6750B" w:rsidRDefault="00F6750B" w:rsidP="00F6750B">
      <w:r>
        <w:t xml:space="preserve">THE COURT WROTE: </w:t>
      </w:r>
    </w:p>
    <w:p w14:paraId="1CFF7800" w14:textId="77777777" w:rsidR="00F6750B" w:rsidRDefault="00F6750B" w:rsidP="00F6750B">
      <w:pPr>
        <w:ind w:left="720"/>
      </w:pPr>
      <w:r>
        <w:t>“</w:t>
      </w:r>
      <w:r w:rsidRPr="002B3E3F">
        <w:t xml:space="preserve">Like the Union Plaintiffs, the Firefighter Plaintiffs seek the establishment of a medical monitoring program and damages. </w:t>
      </w:r>
      <w:proofErr w:type="gramStart"/>
      <w:r w:rsidRPr="002B3E3F">
        <w:t>All of</w:t>
      </w:r>
      <w:proofErr w:type="gramEnd"/>
      <w:r w:rsidRPr="002B3E3F">
        <w:t xml:space="preserve"> the defendants assert that the Firefighter Plaintiffs lack standing because they have not alleged injury. The court disagrees</w:t>
      </w:r>
      <w:r>
        <w:t xml:space="preserve">…. </w:t>
      </w:r>
      <w:r w:rsidRPr="00966D13">
        <w:t xml:space="preserve">While the plaintiffs do allege that </w:t>
      </w:r>
      <w:r>
        <w:t>‘</w:t>
      </w:r>
      <w:r w:rsidRPr="00966D13">
        <w:t>the vast majority of people in the United States are exposed to background levels of PFAS via drinking water,</w:t>
      </w:r>
      <w:r>
        <w:t xml:space="preserve"> </w:t>
      </w:r>
      <w:r w:rsidRPr="00966D13">
        <w:t>food, and other sources,</w:t>
      </w:r>
      <w:r>
        <w:t>’</w:t>
      </w:r>
      <w:r w:rsidRPr="00966D13">
        <w:t xml:space="preserve"> they also allege that </w:t>
      </w:r>
      <w:r>
        <w:t>‘</w:t>
      </w:r>
      <w:r w:rsidRPr="00966D13">
        <w:t>certain populations have higher levels of PFAS exposure, including as an occupational hazard.</w:t>
      </w:r>
      <w:r>
        <w:t xml:space="preserve">’… </w:t>
      </w:r>
      <w:r w:rsidRPr="00966D13">
        <w:t xml:space="preserve">The plaintiffs make additional allegations as to the PFAS exposure and resulting injury experienced by individual Firefighter Plaintiffs. </w:t>
      </w:r>
    </w:p>
    <w:p w14:paraId="0FAB4F9A" w14:textId="77777777" w:rsidR="00F6750B" w:rsidRDefault="00F6750B" w:rsidP="00F6750B">
      <w:pPr>
        <w:ind w:left="720"/>
      </w:pPr>
      <w:r>
        <w:t>***</w:t>
      </w:r>
    </w:p>
    <w:p w14:paraId="3A1971E1" w14:textId="77777777" w:rsidR="00F6750B" w:rsidRPr="00EF3C7A" w:rsidRDefault="00F6750B" w:rsidP="00F6750B">
      <w:pPr>
        <w:ind w:left="720"/>
      </w:pPr>
      <w:r>
        <w:t xml:space="preserve">The </w:t>
      </w:r>
      <w:r w:rsidRPr="00EF3C7A">
        <w:t xml:space="preserve">following is a non-exhaustive list </w:t>
      </w:r>
      <w:r>
        <w:t xml:space="preserve">[in plaintiffs’ complaint] </w:t>
      </w:r>
      <w:r w:rsidRPr="00EF3C7A">
        <w:t>of adverse health outcomes that can result from exposure to PFOA and PFOS, many of which can manifest after years of exposure:</w:t>
      </w:r>
    </w:p>
    <w:p w14:paraId="7D32A1A5" w14:textId="77777777" w:rsidR="00F6750B" w:rsidRDefault="00F6750B" w:rsidP="00F6750B">
      <w:pPr>
        <w:ind w:left="720"/>
      </w:pPr>
      <w:r w:rsidRPr="00EF3C7A">
        <w:t>a. increased risk of kidney cancer, testicular cancer, thyroid cancer, prostate cancer, bladder</w:t>
      </w:r>
      <w:r>
        <w:t xml:space="preserve"> </w:t>
      </w:r>
      <w:r w:rsidRPr="00EF3C7A">
        <w:t>cancer, breast cancer, and ovarian cancer;</w:t>
      </w:r>
    </w:p>
    <w:p w14:paraId="1A704023" w14:textId="77777777" w:rsidR="00F6750B" w:rsidRPr="00EF3C7A" w:rsidRDefault="00F6750B" w:rsidP="00F6750B">
      <w:pPr>
        <w:ind w:left="720" w:firstLine="60"/>
      </w:pPr>
      <w:r w:rsidRPr="00EF3C7A">
        <w:t>b. reduced ability of the body's immune system to fight off infections, including reduced vaccine response;</w:t>
      </w:r>
    </w:p>
    <w:p w14:paraId="5F5948AB" w14:textId="77777777" w:rsidR="00F6750B" w:rsidRPr="00EF3C7A" w:rsidRDefault="00F6750B" w:rsidP="00F6750B">
      <w:pPr>
        <w:ind w:firstLine="720"/>
      </w:pPr>
      <w:r w:rsidRPr="00EF3C7A">
        <w:t>c. interference with the body's natural hormones and liver enzymes;</w:t>
      </w:r>
    </w:p>
    <w:p w14:paraId="7F45ACAC" w14:textId="77777777" w:rsidR="00F6750B" w:rsidRPr="00EF3C7A" w:rsidRDefault="00F6750B" w:rsidP="00F6750B">
      <w:pPr>
        <w:ind w:firstLine="720"/>
      </w:pPr>
      <w:r w:rsidRPr="00EF3C7A">
        <w:t>d. changes in liver enzymes;</w:t>
      </w:r>
    </w:p>
    <w:p w14:paraId="2EFE398C" w14:textId="77777777" w:rsidR="00F6750B" w:rsidRPr="00EF3C7A" w:rsidRDefault="00F6750B" w:rsidP="00F6750B">
      <w:pPr>
        <w:ind w:firstLine="720"/>
      </w:pPr>
      <w:r w:rsidRPr="00EF3C7A">
        <w:t>e. reproductive effects including decreased fertility;</w:t>
      </w:r>
    </w:p>
    <w:p w14:paraId="69F27B76" w14:textId="77777777" w:rsidR="00F6750B" w:rsidRPr="00EF3C7A" w:rsidRDefault="00F6750B" w:rsidP="00F6750B">
      <w:pPr>
        <w:ind w:left="720"/>
      </w:pPr>
      <w:r w:rsidRPr="00EF3C7A">
        <w:t>f. developmental effects or delays in children, including low birthweight, accelerated puberty, bone variations, or behavioral changes; g. increased cholesterol levels and/or risk of obesity;</w:t>
      </w:r>
    </w:p>
    <w:p w14:paraId="16774246" w14:textId="77777777" w:rsidR="00F6750B" w:rsidRPr="00EF3C7A" w:rsidRDefault="00F6750B" w:rsidP="00F6750B">
      <w:pPr>
        <w:ind w:firstLine="720"/>
      </w:pPr>
      <w:r w:rsidRPr="00EF3C7A">
        <w:t>h. increased risk of high blood pressure or pre-eclampsia in pregnant women; and;</w:t>
      </w:r>
    </w:p>
    <w:p w14:paraId="78363A30" w14:textId="77777777" w:rsidR="00F6750B" w:rsidRDefault="00F6750B" w:rsidP="00F6750B">
      <w:pPr>
        <w:ind w:left="720"/>
      </w:pPr>
      <w:proofErr w:type="spellStart"/>
      <w:r w:rsidRPr="00EF3C7A">
        <w:t>i</w:t>
      </w:r>
      <w:proofErr w:type="spellEnd"/>
      <w:r w:rsidRPr="00EF3C7A">
        <w:t>. interference with and suppression of vaccine response (decreased serum antibody concentrations) in children.</w:t>
      </w:r>
      <w:r>
        <w:t>”</w:t>
      </w:r>
    </w:p>
    <w:p w14:paraId="53633D92" w14:textId="77777777" w:rsidR="00F6750B" w:rsidRPr="000D44BF" w:rsidRDefault="00F6750B" w:rsidP="00F6750B">
      <w:pPr>
        <w:rPr>
          <w:b/>
          <w:bCs/>
        </w:rPr>
      </w:pPr>
      <w:r>
        <w:rPr>
          <w:b/>
        </w:rPr>
        <w:t xml:space="preserve">Legal lesson learned: The pre-trial discovery will proceed. </w:t>
      </w:r>
    </w:p>
    <w:p w14:paraId="213DE6E1" w14:textId="77777777" w:rsidR="00F6750B" w:rsidRPr="005368AE" w:rsidRDefault="00F6750B" w:rsidP="00F6750B">
      <w:pPr>
        <w:ind w:left="720"/>
        <w:rPr>
          <w:b/>
        </w:rPr>
      </w:pPr>
      <w:r>
        <w:t xml:space="preserve">Note: See this September 15, </w:t>
      </w:r>
      <w:proofErr w:type="gramStart"/>
      <w:r>
        <w:t>2026</w:t>
      </w:r>
      <w:proofErr w:type="gramEnd"/>
      <w:r>
        <w:t xml:space="preserve"> article. “</w:t>
      </w:r>
      <w:r w:rsidRPr="005368AE">
        <w:t>3M, DuPont must face Connecticut firefighters' lawsuit over 'forever chemicals'</w:t>
      </w:r>
      <w:r>
        <w:t xml:space="preserve">” </w:t>
      </w:r>
      <w:hyperlink r:id="rId395" w:history="1">
        <w:r w:rsidRPr="00BE159C">
          <w:rPr>
            <w:rStyle w:val="Hyperlink"/>
          </w:rPr>
          <w:t>https://www.reuters.com/legal/government/3m-dupont-must-face-connecticut-firefighters-lawsuit-over-forever-chemicals-2026-09-15/</w:t>
        </w:r>
      </w:hyperlink>
      <w:r>
        <w:t xml:space="preserve"> </w:t>
      </w:r>
    </w:p>
    <w:p w14:paraId="5ECEFB3C" w14:textId="77777777" w:rsidR="00F6750B" w:rsidRDefault="00F6750B" w:rsidP="00F6750B">
      <w:pPr>
        <w:ind w:left="720"/>
      </w:pPr>
      <w:r>
        <w:t>“</w:t>
      </w:r>
      <w:r w:rsidRPr="00BD29C0">
        <w:t>The judge also said the plaintiffs sufficiently ​alleged that 3M, one of the largest manufacturers of PFAS, owed a duty to warn about the risks and committed negligence</w:t>
      </w:r>
      <w:r>
        <w:t xml:space="preserve">…. </w:t>
      </w:r>
      <w:r w:rsidRPr="00A75514">
        <w:t>In 2023, DuPont, 3M and two other companies ​reached more than $11 billion in settlements to resolve claims that firefighting foam and other products containing their PFAS polluted ​drinking water. None admitted wrongdoing.</w:t>
      </w:r>
      <w:r>
        <w:t>”</w:t>
      </w:r>
    </w:p>
    <w:p w14:paraId="6BD2AA66" w14:textId="77777777" w:rsidR="00F6750B" w:rsidRDefault="00F6750B" w:rsidP="005E5108">
      <w:pPr>
        <w:rPr>
          <w:rFonts w:ascii="Arial Black" w:hAnsi="Arial Black"/>
          <w:sz w:val="24"/>
          <w:szCs w:val="24"/>
        </w:rPr>
      </w:pPr>
    </w:p>
    <w:p w14:paraId="2834A43E" w14:textId="77777777" w:rsidR="00F6750B" w:rsidRDefault="00F6750B" w:rsidP="005E5108">
      <w:pPr>
        <w:rPr>
          <w:rFonts w:ascii="Arial Black" w:hAnsi="Arial Black"/>
          <w:sz w:val="24"/>
          <w:szCs w:val="24"/>
        </w:rPr>
      </w:pPr>
    </w:p>
    <w:p w14:paraId="0531819C" w14:textId="77777777" w:rsidR="00F6750B" w:rsidRDefault="00F6750B" w:rsidP="005E5108">
      <w:pPr>
        <w:rPr>
          <w:rFonts w:ascii="Arial Black" w:hAnsi="Arial Black"/>
          <w:sz w:val="24"/>
          <w:szCs w:val="24"/>
        </w:rPr>
      </w:pPr>
    </w:p>
    <w:p w14:paraId="5B358C30" w14:textId="068DB3A5" w:rsidR="001858F2" w:rsidRDefault="001858F2" w:rsidP="005E5108">
      <w:pPr>
        <w:rPr>
          <w:rFonts w:ascii="Arial Black" w:hAnsi="Arial Black"/>
          <w:b/>
          <w:sz w:val="28"/>
          <w:szCs w:val="28"/>
        </w:rPr>
      </w:pPr>
      <w:r>
        <w:rPr>
          <w:rFonts w:ascii="Arial Black" w:hAnsi="Arial Black"/>
          <w:sz w:val="24"/>
          <w:szCs w:val="24"/>
        </w:rPr>
        <w:t>2-11</w:t>
      </w:r>
      <w:r w:rsidR="00ED5F90">
        <w:rPr>
          <w:rFonts w:ascii="Arial Black" w:hAnsi="Arial Black"/>
          <w:sz w:val="24"/>
          <w:szCs w:val="24"/>
        </w:rPr>
        <w:t>9</w:t>
      </w:r>
    </w:p>
    <w:p w14:paraId="3BF1F69B" w14:textId="304FFA76" w:rsidR="005E5108" w:rsidRDefault="005E5108" w:rsidP="005E5108">
      <w:pPr>
        <w:rPr>
          <w:rFonts w:ascii="Arial Black" w:hAnsi="Arial Black"/>
          <w:b/>
          <w:sz w:val="28"/>
          <w:szCs w:val="28"/>
        </w:rPr>
      </w:pPr>
      <w:r>
        <w:rPr>
          <w:rFonts w:ascii="Arial Black" w:hAnsi="Arial Black"/>
          <w:b/>
          <w:sz w:val="28"/>
          <w:szCs w:val="28"/>
        </w:rPr>
        <w:t>CA: PFAS TURNOUT GEAR – CLASS ACTION CASES TO MN</w:t>
      </w:r>
    </w:p>
    <w:p w14:paraId="4C8E75F8" w14:textId="77777777" w:rsidR="005E5108" w:rsidRDefault="005E5108" w:rsidP="005E5108">
      <w:pPr>
        <w:rPr>
          <w:b/>
        </w:rPr>
      </w:pPr>
      <w:r>
        <w:t xml:space="preserve">On August 18, 2026, </w:t>
      </w:r>
      <w:r w:rsidRPr="007E0983">
        <w:t>IN RE: FIREFIGHTER TURNOUT GEAR MARKETING, SALES PRACTICES, AND PRODUCTS LIABILITY LITIGATION</w:t>
      </w:r>
      <w:r>
        <w:t xml:space="preserve">, U.S. District Court Judge - </w:t>
      </w:r>
      <w:r w:rsidRPr="00E305CA">
        <w:t>Matthew F. Kennelly</w:t>
      </w:r>
      <w:r>
        <w:t xml:space="preserve">, United States District Court for the Northern District of California (Acting Chair of panel in this multi district litigation class action) has, with agreement of plaintiffs and defendants, transfer the class action to U.S. District Court in Minnesota – where 3M (a key defendant) is headquartered. </w:t>
      </w:r>
      <w:r w:rsidRPr="000406FE">
        <w:t xml:space="preserve">The consolidated cases </w:t>
      </w:r>
      <w:r>
        <w:t xml:space="preserve">allege </w:t>
      </w:r>
      <w:r w:rsidRPr="000406FE">
        <w:t>that firefighter turnout gear,</w:t>
      </w:r>
      <w:r>
        <w:t xml:space="preserve"> </w:t>
      </w:r>
      <w:r w:rsidRPr="000406FE">
        <w:t>includ</w:t>
      </w:r>
      <w:r>
        <w:t xml:space="preserve">ing </w:t>
      </w:r>
      <w:r w:rsidRPr="000406FE">
        <w:t xml:space="preserve">self-contained breathing apparatuses, hoods, helmets, coats, pants, gloves, boots, and reflective tape—contains per- or polyfluoroalkyl substances (PFAS) that are toxic and harmful to both firefighters and the environment. </w:t>
      </w:r>
      <w:r>
        <w:t>Cases transferred include County of San Mateo; City of Peabody, MA; City of Rochester, NY; Earlville Community Fire Protection District, IL; and City and County of Butte-Silver Bow, MT.   The cases are not transferred to U.S. District Court of South Carolina – Judge Richard M. Gergel is handling 15,000 actions (</w:t>
      </w:r>
      <w:r w:rsidRPr="00E36EC3">
        <w:t>AFFF MDL</w:t>
      </w:r>
      <w:r>
        <w:t xml:space="preserve"> - a</w:t>
      </w:r>
      <w:r w:rsidRPr="00065525">
        <w:t>queous film-forming foam</w:t>
      </w:r>
      <w:r>
        <w:t xml:space="preserve">) claiming </w:t>
      </w:r>
      <w:r w:rsidRPr="00E36EC3">
        <w:t>harm caused by AFFF manufacture, use, or disposal, and these turnout gear actions do not involve AFFF claims.</w:t>
      </w:r>
      <w:r>
        <w:t xml:space="preserve"> </w:t>
      </w:r>
      <w:hyperlink r:id="rId396" w:history="1">
        <w:r w:rsidRPr="0045711E">
          <w:rPr>
            <w:rStyle w:val="Hyperlink"/>
            <w:b/>
          </w:rPr>
          <w:t>https://public.fastcase.com/Jhe1Qn%2BmJndQYQU6z%2FeNmxUKEbGbaFlexcqUctyrnFvzVwwOmAVBm%2FWENjBOa41qr2N0tipNbogFx7Hzz9DDPoKHACO1lVQSrxkGgspUxq8%3D?utm_medium=email&amp;_hsenc=p2ANqtz-_D8uetZhSrdYqgOH6RbHUGR4NBkHGJgxz2M-KgfAGsZ-SE4dcuskkSbWcZUd-KZIzGe72P5qRDJGEH2ZuuPQ98-RV4iA&amp;_hsmi=226712652&amp;utm_content=226712652&amp;utm_source=hs_email</w:t>
        </w:r>
      </w:hyperlink>
      <w:r>
        <w:rPr>
          <w:b/>
        </w:rPr>
        <w:t xml:space="preserve"> </w:t>
      </w:r>
    </w:p>
    <w:p w14:paraId="105086E2" w14:textId="77777777" w:rsidR="005E5108" w:rsidRDefault="005E5108" w:rsidP="005E5108">
      <w:pPr>
        <w:rPr>
          <w:bCs/>
        </w:rPr>
      </w:pPr>
      <w:r>
        <w:t xml:space="preserve">THE COURT WROTE: </w:t>
      </w:r>
    </w:p>
    <w:p w14:paraId="7C535321" w14:textId="77777777" w:rsidR="005E5108" w:rsidRDefault="005E5108" w:rsidP="005E5108">
      <w:pPr>
        <w:ind w:left="720"/>
      </w:pPr>
      <w:r>
        <w:t>“</w:t>
      </w:r>
      <w:r w:rsidRPr="0080428E">
        <w:t>With respect to the request to transfer these actions to the AFFF MDL, we agree that there is significant overlap between these turnout gear purchaser class actions and the thousands of turnout gear personal injury actions pending in the MDL. Even so, we are not convinced that this overlap merits expanding the scope of the AFFF MDL to encompass non-AFFF actions</w:t>
      </w:r>
      <w:r>
        <w:t xml:space="preserve">…. </w:t>
      </w:r>
      <w:r w:rsidRPr="00EE3569">
        <w:t>M</w:t>
      </w:r>
      <w:r>
        <w:t xml:space="preserve">innesota </w:t>
      </w:r>
      <w:r w:rsidRPr="00EE3569">
        <w:t>also presents a convenient and accessible forum for this litigation. We assign this litigation to Judge Jeffrey M. Bryan, who presides over the three actions in this district. Judge Bryan is an able and experienced jurist who has not yet had the opportunity to preside over an MDL. We are confident that he will steer this litigation on a prudent and expeditious course.</w:t>
      </w:r>
      <w:r>
        <w:t>”</w:t>
      </w:r>
    </w:p>
    <w:p w14:paraId="23A920AF" w14:textId="77777777" w:rsidR="005E5108" w:rsidRDefault="005E5108" w:rsidP="005E5108">
      <w:r>
        <w:rPr>
          <w:b/>
        </w:rPr>
        <w:t xml:space="preserve">Legal lesson learned: Lots of litigation concerning PFAS in turnout gear and in firefighting foam. </w:t>
      </w:r>
      <w:r w:rsidRPr="00EE3569">
        <w:t xml:space="preserve"> </w:t>
      </w:r>
    </w:p>
    <w:p w14:paraId="2A57B19E" w14:textId="77777777" w:rsidR="005E5108" w:rsidRDefault="005E5108" w:rsidP="005E5108">
      <w:pPr>
        <w:ind w:left="720"/>
        <w:rPr>
          <w:bCs/>
        </w:rPr>
      </w:pPr>
      <w:r>
        <w:t>Note: See this article on the transfer order. “</w:t>
      </w:r>
      <w:r w:rsidRPr="004F56F1">
        <w:t>JPML Creates New MDL for Non-AFFF Firefighter Turnout Gear Litigation</w:t>
      </w:r>
      <w:r>
        <w:t xml:space="preserve">.” August 24, 2026. </w:t>
      </w:r>
      <w:hyperlink r:id="rId397" w:history="1">
        <w:r w:rsidRPr="0045711E">
          <w:rPr>
            <w:rStyle w:val="Hyperlink"/>
          </w:rPr>
          <w:t>https://www.thompsonhine.com/insights/jpml-creates-new-mdl-for-non-afff-firefighter-turnout-gear-litigation/</w:t>
        </w:r>
      </w:hyperlink>
      <w:r>
        <w:t xml:space="preserve"> </w:t>
      </w:r>
    </w:p>
    <w:p w14:paraId="0145BE4A" w14:textId="77777777" w:rsidR="005E5108" w:rsidRDefault="005E5108" w:rsidP="005E5108">
      <w:pPr>
        <w:ind w:left="720"/>
        <w:rPr>
          <w:bCs/>
        </w:rPr>
      </w:pPr>
    </w:p>
    <w:p w14:paraId="6BA1BFB9" w14:textId="77777777" w:rsidR="005E5108" w:rsidRDefault="005E5108" w:rsidP="005E5108">
      <w:pPr>
        <w:pStyle w:val="NoSpacing"/>
      </w:pPr>
      <w:r>
        <w:t xml:space="preserve">See also: July 28, </w:t>
      </w:r>
      <w:proofErr w:type="gramStart"/>
      <w:r>
        <w:t>2026</w:t>
      </w:r>
      <w:proofErr w:type="gramEnd"/>
      <w:r>
        <w:t xml:space="preserve"> class action already case in Montana, </w:t>
      </w:r>
      <w:r w:rsidRPr="007C4079">
        <w:rPr>
          <w:u w:val="single"/>
        </w:rPr>
        <w:t>City and County of Butte-Silver Bow, et al v, 3 M Company, et al</w:t>
      </w:r>
      <w:r>
        <w:t xml:space="preserve">., where 16 municipalities from throughout the nation </w:t>
      </w:r>
      <w:r w:rsidRPr="00312897">
        <w:t xml:space="preserve">bring </w:t>
      </w:r>
      <w:r>
        <w:t xml:space="preserve">a </w:t>
      </w:r>
      <w:r w:rsidRPr="00312897">
        <w:t>nationwide class action against Defendants for the alleged sale, manufacture, and distribution of protective firefighter gear ("turnout gear") containing per- and polyfluoroalkyl substances ("PFAS") to fire departments and fire responding agencies.</w:t>
      </w:r>
      <w:r>
        <w:t xml:space="preserve"> The Court denied defense motions to dismiss. </w:t>
      </w:r>
      <w:hyperlink r:id="rId398" w:history="1">
        <w:r w:rsidRPr="009234CB">
          <w:rPr>
            <w:rStyle w:val="Hyperlink"/>
          </w:rPr>
          <w:t>https://www.casemine.com/judgement/us/6a70a2cd9499dcd9c1f502f5</w:t>
        </w:r>
      </w:hyperlink>
    </w:p>
    <w:p w14:paraId="374507CE" w14:textId="77777777" w:rsidR="005E5108" w:rsidRDefault="005E5108" w:rsidP="005E5108">
      <w:pPr>
        <w:pStyle w:val="NoSpacing"/>
      </w:pPr>
    </w:p>
    <w:p w14:paraId="6D72416F" w14:textId="0D2D185D" w:rsidR="001858F2" w:rsidRDefault="001858F2" w:rsidP="001858F2">
      <w:pPr>
        <w:rPr>
          <w:rFonts w:ascii="Arial Black" w:hAnsi="Arial Black"/>
          <w:sz w:val="28"/>
          <w:szCs w:val="28"/>
        </w:rPr>
      </w:pPr>
      <w:r>
        <w:rPr>
          <w:rFonts w:ascii="Arial Black" w:hAnsi="Arial Black"/>
          <w:sz w:val="24"/>
          <w:szCs w:val="24"/>
        </w:rPr>
        <w:t>2-11</w:t>
      </w:r>
      <w:r w:rsidR="00ED5F90">
        <w:rPr>
          <w:rFonts w:ascii="Arial Black" w:hAnsi="Arial Black"/>
          <w:sz w:val="24"/>
          <w:szCs w:val="24"/>
        </w:rPr>
        <w:t>8</w:t>
      </w:r>
    </w:p>
    <w:p w14:paraId="21AE9ADC" w14:textId="77777777" w:rsidR="001858F2" w:rsidRDefault="001858F2" w:rsidP="001858F2">
      <w:pPr>
        <w:pStyle w:val="NoSpacing"/>
        <w:rPr>
          <w:rFonts w:ascii="Arial Black" w:hAnsi="Arial Black"/>
          <w:sz w:val="28"/>
          <w:szCs w:val="28"/>
        </w:rPr>
      </w:pPr>
    </w:p>
    <w:p w14:paraId="2B3A0F69" w14:textId="53453928" w:rsidR="001858F2" w:rsidRPr="00F4305B" w:rsidRDefault="001858F2" w:rsidP="001858F2">
      <w:pPr>
        <w:pStyle w:val="NoSpacing"/>
        <w:rPr>
          <w:rFonts w:ascii="Arial Black" w:hAnsi="Arial Black"/>
          <w:sz w:val="28"/>
          <w:szCs w:val="28"/>
        </w:rPr>
      </w:pPr>
      <w:r>
        <w:rPr>
          <w:rFonts w:ascii="Arial Black" w:hAnsi="Arial Black"/>
          <w:sz w:val="28"/>
          <w:szCs w:val="28"/>
        </w:rPr>
        <w:t xml:space="preserve">IL: “BAILOUT” DRILL – LEATHER BELT – INSTRUCT IMMUN </w:t>
      </w:r>
    </w:p>
    <w:p w14:paraId="6D6E02D6" w14:textId="77777777" w:rsidR="001858F2" w:rsidRDefault="001858F2" w:rsidP="001858F2">
      <w:pPr>
        <w:pStyle w:val="NoSpacing"/>
      </w:pPr>
    </w:p>
    <w:p w14:paraId="306FC7D3" w14:textId="77777777" w:rsidR="001858F2" w:rsidRPr="00C73B6E" w:rsidRDefault="001858F2" w:rsidP="001858F2">
      <w:pPr>
        <w:rPr>
          <w:bCs/>
        </w:rPr>
      </w:pPr>
      <w:r>
        <w:t xml:space="preserve">On August 11, 2026, in </w:t>
      </w:r>
      <w:r w:rsidRPr="00C73B6E">
        <w:rPr>
          <w:u w:val="single"/>
        </w:rPr>
        <w:t>George Hidalgo v. Village of Romeoville</w:t>
      </w:r>
      <w:r>
        <w:t xml:space="preserve">, the </w:t>
      </w:r>
      <w:r w:rsidRPr="00C73B6E">
        <w:t>Court of Appeals of Illinois, Third District</w:t>
      </w:r>
      <w:r>
        <w:t xml:space="preserve"> held (3 to 0) held the trial court judge properly granted summary judgment to the village; firefighter seriously injured when fell from third floor wearing </w:t>
      </w:r>
      <w:r w:rsidRPr="00964316">
        <w:t xml:space="preserve">a leather </w:t>
      </w:r>
      <w:r>
        <w:t>“</w:t>
      </w:r>
      <w:r w:rsidRPr="00964316">
        <w:t>truckman's belt</w:t>
      </w:r>
      <w:r>
        <w:t xml:space="preserve">” (or gut belt) instead of a </w:t>
      </w:r>
      <w:r w:rsidRPr="00AD3C1F">
        <w:t>Class 3 pre-sewn harness</w:t>
      </w:r>
      <w:r>
        <w:t xml:space="preserve">.   Under Illinois state law, </w:t>
      </w:r>
      <w:r w:rsidRPr="00295474">
        <w:t xml:space="preserve">"The purpose of [the] Act is to protect local public entities and public employees from liability arising from the operation of government." 745 ILCS 10/1-101.1(a) (West 2018). "A local public entity includes a *** municipal corporation" and" 'public employee' means an employee of a local public entity." </w:t>
      </w:r>
      <w:r w:rsidRPr="00295474">
        <w:rPr>
          <w:i/>
          <w:iCs/>
        </w:rPr>
        <w:t>Id</w:t>
      </w:r>
      <w:r w:rsidRPr="00295474">
        <w:t xml:space="preserve">. §§ 1-206, 1-207. </w:t>
      </w:r>
      <w:r>
        <w:t xml:space="preserve"> The three instructors cannot be sued for </w:t>
      </w:r>
      <w:r w:rsidRPr="00B34248">
        <w:t>willful and wanton conduct</w:t>
      </w:r>
      <w:r>
        <w:t>, since “</w:t>
      </w:r>
      <w:r w:rsidRPr="00B34248">
        <w:t>immunity under section 2-201 is absolute and not subject to any exceptions based on willful and wanton conduct.</w:t>
      </w:r>
      <w:r>
        <w:t xml:space="preserve">”  </w:t>
      </w:r>
      <w:hyperlink r:id="rId399" w:history="1">
        <w:r w:rsidRPr="00162EE0">
          <w:rPr>
            <w:rStyle w:val="Hyperlink"/>
          </w:rPr>
          <w:t>https://ilcourtsaudio.blob.core.windows.net/antilles-resources/resources/1c448368-41d4-4c8c-ab9a-5c785b8aaec0/Hidalgo%20v.%20Village%20Of%20Romeoville%202026%20IL%20App%20(3d)%20240676-U.pdf</w:t>
        </w:r>
      </w:hyperlink>
      <w:r>
        <w:t xml:space="preserve"> </w:t>
      </w:r>
    </w:p>
    <w:p w14:paraId="4B51BBB3" w14:textId="77777777" w:rsidR="001858F2" w:rsidRDefault="001858F2" w:rsidP="001858F2">
      <w:pPr>
        <w:pStyle w:val="NoSpacing"/>
      </w:pPr>
      <w:r>
        <w:t>THE COURT WROTE:</w:t>
      </w:r>
    </w:p>
    <w:p w14:paraId="199A97E6" w14:textId="77777777" w:rsidR="001858F2" w:rsidRDefault="001858F2" w:rsidP="001858F2">
      <w:pPr>
        <w:pStyle w:val="NoSpacing"/>
      </w:pPr>
    </w:p>
    <w:p w14:paraId="5AC20C2C" w14:textId="77777777" w:rsidR="001858F2" w:rsidRDefault="001858F2" w:rsidP="001858F2">
      <w:pPr>
        <w:pStyle w:val="NoSpacing"/>
        <w:ind w:left="720"/>
        <w:rPr>
          <w:vertAlign w:val="superscript"/>
        </w:rPr>
      </w:pPr>
      <w:r>
        <w:t>“</w:t>
      </w:r>
      <w:r w:rsidRPr="002913B6">
        <w:t xml:space="preserve">Beginning in 2017, the City of </w:t>
      </w:r>
      <w:proofErr w:type="gramStart"/>
      <w:r w:rsidRPr="002913B6">
        <w:t>Des</w:t>
      </w:r>
      <w:proofErr w:type="gramEnd"/>
      <w:r w:rsidRPr="002913B6">
        <w:t xml:space="preserve"> Plaines employed plaintiff to serve as a firefighter and paramedic on a rotating basis. From December 2 through 4, 2019, plaintiff attended an Advanced Technician Firefighter training course at the Romeoville Fire Academy (Academy). The purpose of the training course was to train experienced firefighters in skills needed to obtain their Advanced Technician Firefighter certification via a curriculum that included classroom instruction and hands-on practical evolutions</w:t>
      </w:r>
      <w:r>
        <w:rPr>
          <w:vertAlign w:val="superscript"/>
        </w:rPr>
        <w:t>.</w:t>
      </w:r>
    </w:p>
    <w:p w14:paraId="6159E7F9" w14:textId="77777777" w:rsidR="001858F2" w:rsidRDefault="001858F2" w:rsidP="001858F2">
      <w:pPr>
        <w:pStyle w:val="NoSpacing"/>
        <w:ind w:left="720"/>
        <w:rPr>
          <w:vertAlign w:val="superscript"/>
        </w:rPr>
      </w:pPr>
    </w:p>
    <w:p w14:paraId="51251C30" w14:textId="77777777" w:rsidR="001858F2" w:rsidRDefault="001858F2" w:rsidP="001858F2">
      <w:pPr>
        <w:pStyle w:val="NoSpacing"/>
        <w:ind w:left="720"/>
      </w:pPr>
      <w:r>
        <w:t>O</w:t>
      </w:r>
      <w:r w:rsidRPr="0009279A">
        <w:t xml:space="preserve">ne of the practical evolutions involved in the training course was a </w:t>
      </w:r>
      <w:r>
        <w:t>‘</w:t>
      </w:r>
      <w:r w:rsidRPr="0009279A">
        <w:t>bailout</w:t>
      </w:r>
      <w:r>
        <w:t xml:space="preserve">’ </w:t>
      </w:r>
      <w:r w:rsidRPr="0009279A">
        <w:t xml:space="preserve">drill, which was a drill that was used to teach the trainees how to evacuate a burning building from an elevated height. To complete the bailout drill, the trainees were required to exit a third-story window of a hose tower one leg at a time and then use rappel lines to perform a controlled descent down the side of the tower. The equipment that was needed to conduct the bailout drill included rope, carabiners, webbing, anchors, and hand tools. A portion of the rope was anchored to a steel post inside of the hose tower to form a bailout, or </w:t>
      </w:r>
      <w:proofErr w:type="gramStart"/>
      <w:r w:rsidRPr="0009279A">
        <w:t>main,</w:t>
      </w:r>
      <w:proofErr w:type="gramEnd"/>
      <w:r w:rsidRPr="0009279A">
        <w:t xml:space="preserve"> line. Another portion of the rope was connected to a pulley system at the top of the hose tower to form a safety, or belay, line. The carabiners were used to connect and lock the bailout and belay lines to D-rings on the trainees' harnesses, which, in turn, enabled the trainees to control their descent using friction.</w:t>
      </w:r>
    </w:p>
    <w:p w14:paraId="17B74A63" w14:textId="77777777" w:rsidR="001858F2" w:rsidRDefault="001858F2" w:rsidP="001858F2">
      <w:pPr>
        <w:pStyle w:val="NoSpacing"/>
        <w:ind w:left="720"/>
      </w:pPr>
    </w:p>
    <w:p w14:paraId="6DAD6F7C" w14:textId="77777777" w:rsidR="001858F2" w:rsidRDefault="001858F2" w:rsidP="001858F2">
      <w:pPr>
        <w:pStyle w:val="NoSpacing"/>
        <w:ind w:left="720"/>
      </w:pPr>
      <w:r>
        <w:t>***</w:t>
      </w:r>
    </w:p>
    <w:p w14:paraId="319AD8BD" w14:textId="77777777" w:rsidR="001858F2" w:rsidRDefault="001858F2" w:rsidP="001858F2">
      <w:pPr>
        <w:pStyle w:val="NoSpacing"/>
        <w:ind w:left="720"/>
      </w:pPr>
      <w:r w:rsidRPr="00AD3C1F">
        <w:t>Class 1 harnesses and Class 3 pre-</w:t>
      </w:r>
      <w:proofErr w:type="gramStart"/>
      <w:r w:rsidRPr="00AD3C1F">
        <w:t>sewn</w:t>
      </w:r>
      <w:proofErr w:type="gramEnd"/>
      <w:r w:rsidRPr="00AD3C1F">
        <w:t xml:space="preserve"> harnesses were also available for the trainees to use during the bailout drill. A Class 1 harness, or </w:t>
      </w:r>
      <w:r>
        <w:t>‘</w:t>
      </w:r>
      <w:r w:rsidRPr="00AD3C1F">
        <w:t>gut belt,</w:t>
      </w:r>
      <w:r>
        <w:t>’</w:t>
      </w:r>
      <w:r w:rsidRPr="00AD3C1F">
        <w:t xml:space="preserve"> is a body harness that goes around a firefighter's waist, whereas a Class 3 pre-sewn harness is a manufactured body harness that goes around a firefighter's waist and shoulders. </w:t>
      </w:r>
      <w:r>
        <w:t xml:space="preserve"> </w:t>
      </w:r>
      <w:r w:rsidRPr="00E1684D">
        <w:t>On December 4, 2019, the third day of the training course, plaintiff performed the bailout drill using a Class 1 harness. After plaintiff stepped out of the third-story window of the hose tower while performing the drill, he separated from his harness, fell to the ground, and was injured.</w:t>
      </w:r>
    </w:p>
    <w:p w14:paraId="1C79ABB2" w14:textId="77777777" w:rsidR="001858F2" w:rsidRDefault="001858F2" w:rsidP="001858F2">
      <w:pPr>
        <w:pStyle w:val="NoSpacing"/>
        <w:ind w:left="720"/>
      </w:pPr>
    </w:p>
    <w:p w14:paraId="02BC87C3" w14:textId="77777777" w:rsidR="001858F2" w:rsidRDefault="001858F2" w:rsidP="001858F2">
      <w:pPr>
        <w:pStyle w:val="NoSpacing"/>
        <w:ind w:left="720"/>
      </w:pPr>
      <w:r>
        <w:t>***</w:t>
      </w:r>
    </w:p>
    <w:p w14:paraId="15B0EAE1" w14:textId="77777777" w:rsidR="001858F2" w:rsidRPr="00AD3C1F" w:rsidRDefault="001858F2" w:rsidP="001858F2">
      <w:pPr>
        <w:pStyle w:val="NoSpacing"/>
        <w:ind w:left="720"/>
      </w:pPr>
    </w:p>
    <w:p w14:paraId="3F2F8592" w14:textId="77777777" w:rsidR="001858F2" w:rsidRDefault="001858F2" w:rsidP="001858F2">
      <w:pPr>
        <w:pStyle w:val="NoSpacing"/>
        <w:ind w:left="720"/>
      </w:pPr>
      <w:r>
        <w:t xml:space="preserve">[Plaintiff alleges] </w:t>
      </w:r>
      <w:r w:rsidRPr="00E63707">
        <w:t>during the bailout drill, he had separated from his belt, fallen to the ground, and sustained serious injuries; and that his fall would have been prevented had he worn a Class 3 harness and his belay line been attached to something other than his Class 1 harness</w:t>
      </w:r>
      <w:r>
        <w:t xml:space="preserve">…. </w:t>
      </w:r>
      <w:r w:rsidRPr="0035021C">
        <w:t>Plaintiff testified that he performed the December 4 bailout drill while wearing a Class 1 harness. Before plaintiff exited the third-story window of the hose tower to perform the drill, one instructor attached the bailout line to the front of his harness using a D-ring and carabiner and a second instructor attached the belay line to the back of his harness using another D-ring and carabiner. After an instructor affirmed that plaintiff's harness was properly secured, plaintiff exited the third-story window one leg after another and fell to the ground as he brought his second leg over the windowsill. While plaintiff was on the ground, he observed that his harness was still connected to the bailout and belay lines and suspended below the windowsill.</w:t>
      </w:r>
    </w:p>
    <w:p w14:paraId="1D23F5A0" w14:textId="77777777" w:rsidR="001858F2" w:rsidRDefault="001858F2" w:rsidP="001858F2">
      <w:pPr>
        <w:pStyle w:val="NoSpacing"/>
        <w:ind w:left="720"/>
      </w:pPr>
    </w:p>
    <w:p w14:paraId="0792CED3" w14:textId="77777777" w:rsidR="001858F2" w:rsidRDefault="001858F2" w:rsidP="001858F2">
      <w:pPr>
        <w:pStyle w:val="NoSpacing"/>
        <w:ind w:left="720"/>
      </w:pPr>
    </w:p>
    <w:p w14:paraId="26152402" w14:textId="77777777" w:rsidR="001858F2" w:rsidRDefault="001858F2" w:rsidP="001858F2">
      <w:pPr>
        <w:pStyle w:val="NoSpacing"/>
        <w:ind w:left="720"/>
      </w:pPr>
      <w:r>
        <w:t>***</w:t>
      </w:r>
    </w:p>
    <w:p w14:paraId="141332C7" w14:textId="77777777" w:rsidR="001858F2" w:rsidRDefault="001858F2" w:rsidP="001858F2">
      <w:pPr>
        <w:pStyle w:val="NoSpacing"/>
        <w:ind w:left="720"/>
      </w:pPr>
    </w:p>
    <w:p w14:paraId="3F8FABCC" w14:textId="77777777" w:rsidR="001858F2" w:rsidRDefault="001858F2" w:rsidP="001858F2">
      <w:pPr>
        <w:pStyle w:val="NoSpacing"/>
        <w:ind w:left="720"/>
      </w:pPr>
      <w:r>
        <w:t xml:space="preserve">[Instructor </w:t>
      </w:r>
      <w:r w:rsidRPr="008D38D6">
        <w:t>Brian</w:t>
      </w:r>
      <w:r>
        <w:t xml:space="preserve">] </w:t>
      </w:r>
      <w:r w:rsidRPr="008D38D6">
        <w:t xml:space="preserve">Kulaga testified that about one-third of the trainees who </w:t>
      </w:r>
      <w:proofErr w:type="gramStart"/>
      <w:r w:rsidRPr="008D38D6">
        <w:t>had performed</w:t>
      </w:r>
      <w:proofErr w:type="gramEnd"/>
      <w:r w:rsidRPr="008D38D6">
        <w:t xml:space="preserve"> the bailout drill at the Academy during his time there prior to plaintiff's fall had used a Class 3 harness.</w:t>
      </w:r>
    </w:p>
    <w:p w14:paraId="05BE9119" w14:textId="77777777" w:rsidR="001858F2" w:rsidRDefault="001858F2" w:rsidP="001858F2">
      <w:pPr>
        <w:pStyle w:val="NoSpacing"/>
        <w:ind w:left="720"/>
      </w:pPr>
    </w:p>
    <w:p w14:paraId="7AD11357" w14:textId="77777777" w:rsidR="001858F2" w:rsidRDefault="001858F2" w:rsidP="001858F2">
      <w:pPr>
        <w:pStyle w:val="NoSpacing"/>
        <w:ind w:left="720"/>
      </w:pPr>
      <w:r>
        <w:t>***</w:t>
      </w:r>
    </w:p>
    <w:p w14:paraId="41DFF7B4" w14:textId="77777777" w:rsidR="001858F2" w:rsidRDefault="001858F2" w:rsidP="001858F2">
      <w:pPr>
        <w:pStyle w:val="NoSpacing"/>
        <w:ind w:left="720"/>
      </w:pPr>
    </w:p>
    <w:p w14:paraId="482E7B0C" w14:textId="77777777" w:rsidR="001858F2" w:rsidRDefault="001858F2" w:rsidP="001858F2">
      <w:pPr>
        <w:pStyle w:val="NoSpacing"/>
        <w:ind w:left="720"/>
      </w:pPr>
      <w:r>
        <w:t xml:space="preserve">[Instructor Michael] </w:t>
      </w:r>
      <w:r w:rsidRPr="007B2C27">
        <w:t>Pemble further testified that the Academy guidelines did not specify certain details pertaining to the bailout drill, such as where the belay line needed to be attached; that a Class 3 harness needed to be used; or that two, rather than three, points of contact were needed.</w:t>
      </w:r>
    </w:p>
    <w:p w14:paraId="3A336037" w14:textId="77777777" w:rsidR="001858F2" w:rsidRDefault="001858F2" w:rsidP="001858F2">
      <w:pPr>
        <w:pStyle w:val="NoSpacing"/>
        <w:ind w:left="720"/>
      </w:pPr>
    </w:p>
    <w:p w14:paraId="5FFEE430" w14:textId="77777777" w:rsidR="001858F2" w:rsidRDefault="001858F2" w:rsidP="001858F2">
      <w:pPr>
        <w:pStyle w:val="NoSpacing"/>
        <w:ind w:left="720"/>
      </w:pPr>
      <w:r>
        <w:t>***</w:t>
      </w:r>
    </w:p>
    <w:p w14:paraId="5084E6D8" w14:textId="77777777" w:rsidR="001858F2" w:rsidRDefault="001858F2" w:rsidP="001858F2">
      <w:pPr>
        <w:pStyle w:val="NoSpacing"/>
        <w:ind w:left="720"/>
      </w:pPr>
    </w:p>
    <w:p w14:paraId="1598CB68" w14:textId="77777777" w:rsidR="001858F2" w:rsidRDefault="001858F2" w:rsidP="001858F2">
      <w:pPr>
        <w:pStyle w:val="NoSpacing"/>
        <w:ind w:left="720"/>
      </w:pPr>
      <w:r w:rsidRPr="00964316">
        <w:t>Furthermore, we note that our determinations that immunity applies with respect to Hardin and Kulaga are not disturbed by the witness testimony that, in 2007, a firefighter fell while performing a bailout drill at the Academy while wearing a leather truckman's belt</w:t>
      </w:r>
      <w:r>
        <w:t xml:space="preserve">…. </w:t>
      </w:r>
      <w:r w:rsidRPr="00661F98">
        <w:t xml:space="preserve">That Hardin and Kulaga did not know about the 2007 fall does not negate the fact that they occupied positions that involved the exercise of discretion and, after considering factors other than the 2007 fall, determined policy in exercising their discretion. It is for this reason that we find plaintiff's contentions regarding the alleged fall to be </w:t>
      </w:r>
      <w:proofErr w:type="gramStart"/>
      <w:r>
        <w:t>u</w:t>
      </w:r>
      <w:r w:rsidRPr="00661F98">
        <w:t>npersuasive.</w:t>
      </w:r>
      <w:r>
        <w:t>”</w:t>
      </w:r>
      <w:proofErr w:type="gramEnd"/>
    </w:p>
    <w:p w14:paraId="21C00D94" w14:textId="77777777" w:rsidR="001858F2" w:rsidRDefault="001858F2" w:rsidP="001858F2">
      <w:pPr>
        <w:pStyle w:val="NoSpacing"/>
        <w:ind w:left="720"/>
      </w:pPr>
    </w:p>
    <w:p w14:paraId="5FD5B477" w14:textId="77777777" w:rsidR="001858F2" w:rsidRDefault="001858F2" w:rsidP="001858F2">
      <w:pPr>
        <w:rPr>
          <w:b/>
        </w:rPr>
      </w:pPr>
      <w:r>
        <w:rPr>
          <w:b/>
        </w:rPr>
        <w:t xml:space="preserve">Legal lesson learned: Absolute immunity protects the instructors and the Village; review your policy concerning use of a leather truckman’s belt during bailout drills. </w:t>
      </w:r>
    </w:p>
    <w:p w14:paraId="2516936E" w14:textId="77777777" w:rsidR="00ED5F90" w:rsidRPr="00661F98" w:rsidRDefault="00ED5F90" w:rsidP="001858F2">
      <w:pPr>
        <w:rPr>
          <w:b/>
          <w:bCs/>
        </w:rPr>
      </w:pPr>
    </w:p>
    <w:p w14:paraId="12BD3F63" w14:textId="45F3FDDE" w:rsidR="00ED5F90" w:rsidRDefault="00ED5F90" w:rsidP="00ED5F90">
      <w:pPr>
        <w:rPr>
          <w:rFonts w:ascii="Arial Black" w:hAnsi="Arial Black"/>
          <w:sz w:val="24"/>
          <w:szCs w:val="24"/>
        </w:rPr>
      </w:pPr>
      <w:r>
        <w:rPr>
          <w:rFonts w:ascii="Arial Black" w:hAnsi="Arial Black"/>
          <w:sz w:val="24"/>
          <w:szCs w:val="24"/>
        </w:rPr>
        <w:t>2-117 [also filed Chap. 14]</w:t>
      </w:r>
    </w:p>
    <w:p w14:paraId="01F0DCD4" w14:textId="77777777" w:rsidR="00ED5F90" w:rsidRPr="00DF126F" w:rsidRDefault="00ED5F90" w:rsidP="00ED5F90">
      <w:pPr>
        <w:pStyle w:val="NoSpacing"/>
        <w:rPr>
          <w:rFonts w:ascii="Arial Black" w:hAnsi="Arial Black"/>
          <w:sz w:val="28"/>
          <w:szCs w:val="28"/>
        </w:rPr>
      </w:pPr>
      <w:r>
        <w:rPr>
          <w:rFonts w:ascii="Arial Black" w:hAnsi="Arial Black"/>
          <w:sz w:val="28"/>
          <w:szCs w:val="28"/>
        </w:rPr>
        <w:t>VA: RECRUIT DEATH – HEAT INDEX 116 / HIGH HEART RATE</w:t>
      </w:r>
    </w:p>
    <w:p w14:paraId="1054573B" w14:textId="77777777" w:rsidR="00ED5F90" w:rsidRDefault="00ED5F90" w:rsidP="00ED5F90">
      <w:pPr>
        <w:pStyle w:val="NoSpacing"/>
      </w:pPr>
    </w:p>
    <w:p w14:paraId="0EA33E57" w14:textId="77777777" w:rsidR="00ED5F90" w:rsidRDefault="00ED5F90" w:rsidP="00ED5F90">
      <w:pPr>
        <w:rPr>
          <w:b/>
        </w:rPr>
      </w:pPr>
      <w:r>
        <w:t xml:space="preserve">On July 30, 2026, in </w:t>
      </w:r>
      <w:r w:rsidRPr="008E7FF3">
        <w:rPr>
          <w:u w:val="single"/>
        </w:rPr>
        <w:t>Estate of Ian Strickler, by Stephanie Fiandaca-Strickler, Administrator of Estate v. Frederick County, et al.</w:t>
      </w:r>
      <w:r w:rsidRPr="003C778B">
        <w:t xml:space="preserve">, </w:t>
      </w:r>
      <w:r>
        <w:t>U.S. District Court Judge Jasmine H. Yoon, United States District Court for Western District of Virginia, Harrisonburg Division,  denied the defense motion to dismiss.  Ian Stricker, a 35-year-old recruit died during first day of fitness training of Recruit Class 14 on July 5, 2023.  By</w:t>
      </w:r>
      <w:r w:rsidRPr="00D435A3">
        <w:t xml:space="preserve"> 8:34 a.m., the heat index reached approximately 110°F.</w:t>
      </w:r>
      <w:r>
        <w:t xml:space="preserve">; Lead instructor, Lt. </w:t>
      </w:r>
      <w:r w:rsidRPr="00847EFF">
        <w:t xml:space="preserve">Kyle Ritter, a former United States Marine, </w:t>
      </w:r>
      <w:r>
        <w:t xml:space="preserve">allegedly dismissed the concern of fellow instructor that </w:t>
      </w:r>
      <w:r w:rsidRPr="00D435A3">
        <w:t>Strickler's heart was beating above 100 percent of his maximum rate</w:t>
      </w:r>
      <w:r>
        <w:t xml:space="preserve">.  </w:t>
      </w:r>
      <w:r w:rsidRPr="00CE4828">
        <w:t>At approximately 9:12 a.m.</w:t>
      </w:r>
      <w:r>
        <w:t xml:space="preserve"> t</w:t>
      </w:r>
      <w:r w:rsidRPr="00585449">
        <w:t xml:space="preserve">he heat index </w:t>
      </w:r>
      <w:r>
        <w:t xml:space="preserve">was </w:t>
      </w:r>
      <w:r w:rsidRPr="00585449">
        <w:t>now between 116°F and 124°F</w:t>
      </w:r>
      <w:r>
        <w:t>, Stricker collapsed.  “He</w:t>
      </w:r>
      <w:r w:rsidRPr="00372DCE">
        <w:t xml:space="preserve"> was transported to Winchester Medical Center at 9:30 a.m. and suffered cardiac arrest </w:t>
      </w:r>
      <w:proofErr w:type="spellStart"/>
      <w:r w:rsidRPr="00372DCE">
        <w:rPr>
          <w:i/>
          <w:iCs/>
        </w:rPr>
        <w:t>en</w:t>
      </w:r>
      <w:proofErr w:type="spellEnd"/>
      <w:r w:rsidRPr="00372DCE">
        <w:rPr>
          <w:i/>
          <w:iCs/>
        </w:rPr>
        <w:t xml:space="preserve"> route</w:t>
      </w:r>
      <w:r>
        <w:t xml:space="preserve">…. </w:t>
      </w:r>
      <w:r w:rsidRPr="00372DCE">
        <w:t>His body temperature was recorded at 104°F</w:t>
      </w:r>
      <w:r>
        <w:t xml:space="preserve">…. </w:t>
      </w:r>
      <w:r w:rsidRPr="00372DCE">
        <w:t xml:space="preserve">Resuscitation was terminated at 9:52 a.m., and Strickler was pronounced dead. </w:t>
      </w:r>
      <w:r>
        <w:t>“</w:t>
      </w:r>
      <w:r w:rsidRPr="00CE3819">
        <w:t>Plaintiff adequately pleaded failure to train liability for Frederick County.</w:t>
      </w:r>
      <w:r>
        <w:t>”  The Court held: “</w:t>
      </w:r>
      <w:r w:rsidRPr="00D60077">
        <w:t xml:space="preserve">Defendants argue that Plaintiff alleges only </w:t>
      </w:r>
      <w:r>
        <w:t>‘</w:t>
      </w:r>
      <w:r w:rsidRPr="00D60077">
        <w:t>negligently inflicted harm on Strickler during the new recruit program,</w:t>
      </w:r>
      <w:r>
        <w:t>’</w:t>
      </w:r>
      <w:r w:rsidRPr="00D60077">
        <w:t xml:space="preserve"> and therefore fails to allege a constitutional violation by Ritter that </w:t>
      </w:r>
      <w:r>
        <w:t>‘</w:t>
      </w:r>
      <w:r w:rsidRPr="00D60077">
        <w:t>shocks the conscience.</w:t>
      </w:r>
      <w:r>
        <w:t xml:space="preserve">’ … </w:t>
      </w:r>
      <w:r w:rsidRPr="00D60077">
        <w:t xml:space="preserve"> But the court is not persuaded by Defendants' argument. Plaintiff plausibly alleges that Ritter intended to injure Strickler and other recruits through his training </w:t>
      </w:r>
      <w:proofErr w:type="gramStart"/>
      <w:r w:rsidRPr="00D60077">
        <w:t>program.</w:t>
      </w:r>
      <w:r>
        <w:t>”</w:t>
      </w:r>
      <w:proofErr w:type="gramEnd"/>
      <w:r>
        <w:t xml:space="preserve"> </w:t>
      </w:r>
      <w:hyperlink r:id="rId400" w:history="1">
        <w:r w:rsidRPr="009E02D9">
          <w:rPr>
            <w:rStyle w:val="Hyperlink"/>
            <w:b/>
          </w:rPr>
          <w:t>https://cases.justia.com/federal/district-courts/virginia/vawdce/5:2025cv00063/135495/23/0.pdf?ts=1785772612</w:t>
        </w:r>
      </w:hyperlink>
      <w:r>
        <w:rPr>
          <w:b/>
        </w:rPr>
        <w:t xml:space="preserve"> </w:t>
      </w:r>
    </w:p>
    <w:p w14:paraId="279B5A29" w14:textId="77777777" w:rsidR="00ED5F90" w:rsidRDefault="00ED5F90" w:rsidP="00ED5F90">
      <w:pPr>
        <w:pStyle w:val="NoSpacing"/>
      </w:pPr>
    </w:p>
    <w:p w14:paraId="0DDEA679" w14:textId="77777777" w:rsidR="00ED5F90" w:rsidRDefault="00ED5F90" w:rsidP="00ED5F90">
      <w:pPr>
        <w:pStyle w:val="NoSpacing"/>
      </w:pPr>
      <w:r>
        <w:t>THE COURT WROTE:</w:t>
      </w:r>
    </w:p>
    <w:p w14:paraId="31A51FB0" w14:textId="77777777" w:rsidR="00ED5F90" w:rsidRDefault="00ED5F90" w:rsidP="00ED5F90">
      <w:pPr>
        <w:pStyle w:val="NoSpacing"/>
      </w:pPr>
    </w:p>
    <w:p w14:paraId="26BD7177" w14:textId="77777777" w:rsidR="00ED5F90" w:rsidRDefault="00ED5F90" w:rsidP="00ED5F90">
      <w:pPr>
        <w:pStyle w:val="NoSpacing"/>
        <w:ind w:left="720"/>
      </w:pPr>
      <w:r>
        <w:t>“</w:t>
      </w:r>
      <w:r w:rsidRPr="00FF44FB">
        <w:t xml:space="preserve">Sometime prior to 2016, then-Fire Chief Dennis Linaburg and Deputy Chief Keith Jenkins devised a plan to turn FCFR's recruit school into a </w:t>
      </w:r>
      <w:r>
        <w:t>‘</w:t>
      </w:r>
      <w:r w:rsidRPr="00FF44FB">
        <w:t>paramilitary</w:t>
      </w:r>
      <w:r>
        <w:t>’</w:t>
      </w:r>
      <w:r w:rsidRPr="00FF44FB">
        <w:t xml:space="preserve"> school, </w:t>
      </w:r>
      <w:r>
        <w:t>‘</w:t>
      </w:r>
      <w:r w:rsidRPr="00FF44FB">
        <w:t>designed to transform firefighters into soldiers when deployed to the field.</w:t>
      </w:r>
      <w:r>
        <w:t xml:space="preserve">’ … </w:t>
      </w:r>
      <w:r w:rsidRPr="00FF44FB">
        <w:t>To do so, Deputy Chief Jenkins recruited Lieutenant Kyle Ritter, a former United States Marine, as a training instructor</w:t>
      </w:r>
      <w:r>
        <w:t xml:space="preserve">…. </w:t>
      </w:r>
      <w:r w:rsidRPr="00FF44FB">
        <w:t xml:space="preserve">Ritter was selected solely </w:t>
      </w:r>
      <w:r>
        <w:t>‘</w:t>
      </w:r>
      <w:r w:rsidRPr="00FF44FB">
        <w:t>because of his prior military service,</w:t>
      </w:r>
      <w:r>
        <w:t xml:space="preserve">’… </w:t>
      </w:r>
      <w:r w:rsidRPr="00FF44FB">
        <w:t>and was not certified to lead physical training</w:t>
      </w:r>
      <w:r>
        <w:t>.”</w:t>
      </w:r>
    </w:p>
    <w:p w14:paraId="4CB6A37E" w14:textId="77777777" w:rsidR="00ED5F90" w:rsidRDefault="00ED5F90" w:rsidP="00ED5F90">
      <w:pPr>
        <w:pStyle w:val="NoSpacing"/>
        <w:ind w:left="720"/>
      </w:pPr>
    </w:p>
    <w:p w14:paraId="15AAFAA2" w14:textId="77777777" w:rsidR="00ED5F90" w:rsidRDefault="00ED5F90" w:rsidP="00ED5F90">
      <w:pPr>
        <w:pStyle w:val="NoSpacing"/>
        <w:ind w:left="720"/>
      </w:pPr>
      <w:r>
        <w:t>***</w:t>
      </w:r>
    </w:p>
    <w:p w14:paraId="5B5DD4DE" w14:textId="77777777" w:rsidR="00ED5F90" w:rsidRDefault="00ED5F90" w:rsidP="00ED5F90">
      <w:pPr>
        <w:pStyle w:val="NoSpacing"/>
        <w:ind w:left="720"/>
      </w:pPr>
    </w:p>
    <w:p w14:paraId="39BC3572" w14:textId="77777777" w:rsidR="00ED5F90" w:rsidRDefault="00ED5F90" w:rsidP="00ED5F90">
      <w:pPr>
        <w:pStyle w:val="NoSpacing"/>
        <w:ind w:left="720"/>
      </w:pPr>
    </w:p>
    <w:p w14:paraId="045B265E" w14:textId="77777777" w:rsidR="00ED5F90" w:rsidRDefault="00ED5F90" w:rsidP="00ED5F90">
      <w:pPr>
        <w:pStyle w:val="NoSpacing"/>
        <w:ind w:left="720"/>
      </w:pPr>
      <w:r>
        <w:t xml:space="preserve">[On Jul5, 2023 at] </w:t>
      </w:r>
      <w:r w:rsidRPr="007F3C18">
        <w:t xml:space="preserve">approximately 8:30 a.m., the recruits were bused to FCFR's Public Safety Building, and Ritter directed the recruits to put on heart rate sensors, which linked their heart rates to an iPad monitored by </w:t>
      </w:r>
      <w:r>
        <w:t xml:space="preserve">[Instructor] </w:t>
      </w:r>
      <w:r w:rsidRPr="007F3C18">
        <w:t>Toler</w:t>
      </w:r>
      <w:r>
        <w:t xml:space="preserve">…. </w:t>
      </w:r>
      <w:r w:rsidRPr="007F3C18">
        <w:t>When Strickler strapped his sensor on at 8:34 a.m., his heart rate already registered at or slightly above 184 beats per minute</w:t>
      </w:r>
      <w:r>
        <w:t xml:space="preserve">…. </w:t>
      </w:r>
      <w:r w:rsidRPr="007F3C18">
        <w:t>This was virtually Strickler's maximum heart rate, exceeding his recommended ceiling of 167 beats per minute</w:t>
      </w:r>
      <w:r>
        <w:t xml:space="preserve">…. </w:t>
      </w:r>
      <w:r w:rsidRPr="00E3391C">
        <w:t> During the break, Toler informed Strickler about his heart rate, which had not dropped below 195 beats per minute</w:t>
      </w:r>
      <w:r>
        <w:t xml:space="preserve">…. </w:t>
      </w:r>
      <w:r w:rsidRPr="00E3391C">
        <w:t>She did not tell Strickler that his readings were dangerous, but asked only whether he felt lightheaded, nauseated, or in pain</w:t>
      </w:r>
      <w:r>
        <w:t xml:space="preserve">…. </w:t>
      </w:r>
      <w:r w:rsidRPr="00E3391C">
        <w:t>Strickler said he did not</w:t>
      </w:r>
      <w:r>
        <w:t xml:space="preserve">…. </w:t>
      </w:r>
      <w:r w:rsidRPr="00E3391C">
        <w:t>Toler then showed the readings to Ritter and told him Strickler's heart was beating above 100 percent of his maximum rate</w:t>
      </w:r>
      <w:r>
        <w:t xml:space="preserve">…. </w:t>
      </w:r>
      <w:r w:rsidRPr="00E3391C">
        <w:t xml:space="preserve">Ritter dismissed her concerns and lined the recruits up </w:t>
      </w:r>
      <w:proofErr w:type="gramStart"/>
      <w:r w:rsidRPr="00E3391C">
        <w:t>for</w:t>
      </w:r>
      <w:proofErr w:type="gramEnd"/>
      <w:r w:rsidRPr="00E3391C">
        <w:t xml:space="preserve"> bear crawls, despite having witnessed at least two cardiac events in prior </w:t>
      </w:r>
      <w:proofErr w:type="gramStart"/>
      <w:r w:rsidRPr="00E3391C">
        <w:t>trainings</w:t>
      </w:r>
      <w:proofErr w:type="gramEnd"/>
      <w:r w:rsidRPr="00E3391C">
        <w:t xml:space="preserve">. </w:t>
      </w:r>
    </w:p>
    <w:p w14:paraId="37DB905B" w14:textId="77777777" w:rsidR="00ED5F90" w:rsidRDefault="00ED5F90" w:rsidP="00ED5F90">
      <w:pPr>
        <w:pStyle w:val="NoSpacing"/>
        <w:ind w:left="720"/>
      </w:pPr>
    </w:p>
    <w:p w14:paraId="7D3DD357" w14:textId="77777777" w:rsidR="00ED5F90" w:rsidRDefault="00ED5F90" w:rsidP="00ED5F90">
      <w:pPr>
        <w:pStyle w:val="NoSpacing"/>
        <w:ind w:left="720"/>
      </w:pPr>
      <w:r>
        <w:t>***</w:t>
      </w:r>
    </w:p>
    <w:p w14:paraId="47E19A1B" w14:textId="77777777" w:rsidR="00ED5F90" w:rsidRDefault="00ED5F90" w:rsidP="00ED5F90">
      <w:pPr>
        <w:pStyle w:val="NoSpacing"/>
        <w:ind w:left="720"/>
      </w:pPr>
      <w:r w:rsidRPr="00CE3819">
        <w:t xml:space="preserve">First, as discussed above, Plaintiff plausibly alleged that Ritter violated Strickler's constitutional rights. Second, Plaintiff alleges </w:t>
      </w:r>
      <w:r>
        <w:t>‘</w:t>
      </w:r>
      <w:r w:rsidRPr="00CE3819">
        <w:t>that policymakers were aware of, and acquiesced in, a pattern of constitutional violations.</w:t>
      </w:r>
      <w:r>
        <w:t xml:space="preserve">’… </w:t>
      </w:r>
      <w:r w:rsidRPr="00CE3819">
        <w:t xml:space="preserve">The complaint includes allegations that Ritter </w:t>
      </w:r>
      <w:r>
        <w:t>[</w:t>
      </w:r>
      <w:r w:rsidRPr="006F4C97">
        <w:t xml:space="preserve">Lieutenant Kyle Ritter, a former United States Marine, </w:t>
      </w:r>
      <w:r>
        <w:t>w</w:t>
      </w:r>
      <w:r w:rsidRPr="006F4C97">
        <w:t xml:space="preserve">as </w:t>
      </w:r>
      <w:r>
        <w:t xml:space="preserve">recruited in 2016 as </w:t>
      </w:r>
      <w:r w:rsidRPr="006F4C97">
        <w:t>a training instructor</w:t>
      </w:r>
      <w:r>
        <w:t xml:space="preserve">] </w:t>
      </w:r>
      <w:r w:rsidRPr="00CE3819">
        <w:t>intentionally caused over a dozen injuries, including two cardiac emergencies</w:t>
      </w:r>
      <w:r>
        <w:t xml:space="preserve"> …</w:t>
      </w:r>
      <w:r w:rsidRPr="00CE3819">
        <w:t>; that Ritter methodically hazed recruits</w:t>
      </w:r>
      <w:r>
        <w:t xml:space="preserve"> … </w:t>
      </w:r>
      <w:r w:rsidRPr="00CE3819">
        <w:t>; that a female recruit sustained so many injuries that Ritter was warned to stop documenting injuries or lose his position</w:t>
      </w:r>
      <w:r>
        <w:t xml:space="preserve"> … </w:t>
      </w:r>
      <w:r w:rsidRPr="00CE3819">
        <w:t xml:space="preserve">; that Ritter threatened to </w:t>
      </w:r>
      <w:r>
        <w:t>‘</w:t>
      </w:r>
      <w:r w:rsidRPr="00CE3819">
        <w:t>fuck [a recruit] up,</w:t>
      </w:r>
      <w:r>
        <w:t>’ …</w:t>
      </w:r>
      <w:r w:rsidRPr="00CE3819">
        <w:t>; and that a lieutenant warned Ritter that he was endangering recruits' lives</w:t>
      </w:r>
      <w:r>
        <w:t xml:space="preserve">…. </w:t>
      </w:r>
      <w:r w:rsidRPr="00CE3819">
        <w:t xml:space="preserve"> Plaintiff also alleges that Fire Chief Majchrzak witnessed and approved of Ritter's physical training methods, despite these injuries</w:t>
      </w:r>
      <w:r>
        <w:t xml:space="preserve"> …. </w:t>
      </w:r>
      <w:r w:rsidRPr="00CE3819">
        <w:t xml:space="preserve">; that the Deputy Fire Chief, when told that recruits' lives were at risk, stated that he </w:t>
      </w:r>
      <w:r>
        <w:t>‘</w:t>
      </w:r>
      <w:r w:rsidRPr="00CE3819">
        <w:t>stood by [his] marine,</w:t>
      </w:r>
      <w:r>
        <w:t xml:space="preserve">’ … </w:t>
      </w:r>
      <w:r w:rsidRPr="00CE3819">
        <w:t>and that senior leadership encouraged Ritter to stop generating a paper trail of injuries</w:t>
      </w:r>
      <w:r>
        <w:t xml:space="preserve"> …. </w:t>
      </w:r>
      <w:r w:rsidRPr="00CE3819">
        <w:t xml:space="preserve"> At the pleading stage, this sufficiently alleges </w:t>
      </w:r>
      <w:r>
        <w:t>‘</w:t>
      </w:r>
      <w:r w:rsidRPr="00CE3819">
        <w:t>deliberate indifference</w:t>
      </w:r>
      <w:r>
        <w:t>’</w:t>
      </w:r>
      <w:r w:rsidRPr="00CE3819">
        <w:t xml:space="preserve"> to the individuals that Ritter trained. </w:t>
      </w:r>
      <w:r w:rsidRPr="00CE3819">
        <w:rPr>
          <w:i/>
          <w:iCs/>
        </w:rPr>
        <w:t>See Brown v. Mitchell,</w:t>
      </w:r>
      <w:r w:rsidRPr="00CE3819">
        <w:t xml:space="preserve"> 308 F.Supp.2d 682, 703 (E.D. Va. 2004) (collecting cases showing that </w:t>
      </w:r>
      <w:r>
        <w:t>‘</w:t>
      </w:r>
      <w:r w:rsidRPr="00CE3819">
        <w:t>if the supervisory power is actually aware of the fact that its subordinates are regularly violating constitutional or statutory rights, and the supervisory power fails to implement a training program to quell this pattern, deliberate indifference exists.</w:t>
      </w:r>
      <w:r>
        <w:t>’</w:t>
      </w:r>
      <w:r w:rsidRPr="00CE3819">
        <w:t>).</w:t>
      </w:r>
      <w:r>
        <w:t>”</w:t>
      </w:r>
    </w:p>
    <w:p w14:paraId="34E1CE0F" w14:textId="77777777" w:rsidR="00ED5F90" w:rsidRDefault="00ED5F90" w:rsidP="00ED5F90">
      <w:pPr>
        <w:pStyle w:val="NoSpacing"/>
        <w:ind w:left="720"/>
      </w:pPr>
    </w:p>
    <w:p w14:paraId="55AADD87" w14:textId="77777777" w:rsidR="00ED5F90" w:rsidRDefault="00ED5F90" w:rsidP="00ED5F90">
      <w:pPr>
        <w:pStyle w:val="NoSpacing"/>
        <w:ind w:left="720"/>
      </w:pPr>
    </w:p>
    <w:p w14:paraId="17017A35" w14:textId="77777777" w:rsidR="00ED5F90" w:rsidRPr="00B00C32" w:rsidRDefault="00ED5F90" w:rsidP="00ED5F90">
      <w:pPr>
        <w:pStyle w:val="NoSpacing"/>
        <w:rPr>
          <w:b/>
          <w:bCs/>
        </w:rPr>
      </w:pPr>
      <w:r w:rsidRPr="00B00C32">
        <w:rPr>
          <w:b/>
        </w:rPr>
        <w:t xml:space="preserve">Legal lesson learned: </w:t>
      </w:r>
      <w:r>
        <w:rPr>
          <w:b/>
        </w:rPr>
        <w:t>Strenuous r</w:t>
      </w:r>
      <w:r w:rsidRPr="00B00C32">
        <w:rPr>
          <w:b/>
        </w:rPr>
        <w:t>ecruit training with heat index between 116°F and 124°F can lead to tragic results; case will now proceed to pre-trial discovery.</w:t>
      </w:r>
    </w:p>
    <w:p w14:paraId="2EBA07E4" w14:textId="77777777" w:rsidR="00ED5F90" w:rsidRDefault="00ED5F90" w:rsidP="00ED5F90">
      <w:pPr>
        <w:pStyle w:val="NoSpacing"/>
      </w:pPr>
    </w:p>
    <w:p w14:paraId="0648372B" w14:textId="77777777" w:rsidR="005E5108" w:rsidRDefault="005E5108" w:rsidP="00B40D58">
      <w:pPr>
        <w:rPr>
          <w:rFonts w:ascii="Arial Black" w:hAnsi="Arial Black"/>
          <w:sz w:val="24"/>
          <w:szCs w:val="24"/>
        </w:rPr>
      </w:pPr>
    </w:p>
    <w:p w14:paraId="139450F1" w14:textId="77777777" w:rsidR="005E5108" w:rsidRDefault="005E5108" w:rsidP="00B40D58">
      <w:pPr>
        <w:rPr>
          <w:rFonts w:ascii="Arial Black" w:hAnsi="Arial Black"/>
          <w:sz w:val="24"/>
          <w:szCs w:val="24"/>
        </w:rPr>
      </w:pPr>
    </w:p>
    <w:p w14:paraId="6844DAC3" w14:textId="1B793288" w:rsidR="00812F8E" w:rsidRDefault="00812F8E" w:rsidP="00B40D58">
      <w:pPr>
        <w:rPr>
          <w:rFonts w:ascii="Arial Black" w:hAnsi="Arial Black"/>
          <w:sz w:val="24"/>
          <w:szCs w:val="24"/>
        </w:rPr>
      </w:pPr>
      <w:r>
        <w:rPr>
          <w:rFonts w:ascii="Arial Black" w:hAnsi="Arial Black"/>
          <w:sz w:val="24"/>
          <w:szCs w:val="24"/>
        </w:rPr>
        <w:t>2-116</w:t>
      </w:r>
    </w:p>
    <w:p w14:paraId="48A1769F" w14:textId="77777777" w:rsidR="00812F8E" w:rsidRPr="00555863" w:rsidRDefault="00812F8E" w:rsidP="00812F8E">
      <w:pPr>
        <w:pStyle w:val="NoSpacing"/>
        <w:rPr>
          <w:rFonts w:ascii="Arial Black" w:hAnsi="Arial Black"/>
          <w:sz w:val="28"/>
          <w:szCs w:val="28"/>
        </w:rPr>
      </w:pPr>
      <w:r>
        <w:rPr>
          <w:rFonts w:ascii="Arial Black" w:hAnsi="Arial Black"/>
          <w:sz w:val="28"/>
          <w:szCs w:val="28"/>
        </w:rPr>
        <w:t xml:space="preserve">AZ: DEATH BENEFITS - WILDLAND FF PREP TO DEPLOY  </w:t>
      </w:r>
    </w:p>
    <w:p w14:paraId="75509603" w14:textId="77777777" w:rsidR="00812F8E" w:rsidRDefault="00812F8E" w:rsidP="00812F8E">
      <w:pPr>
        <w:pStyle w:val="NoSpacing"/>
      </w:pPr>
    </w:p>
    <w:p w14:paraId="2F97F2A4" w14:textId="77777777" w:rsidR="00812F8E" w:rsidRPr="007429BD" w:rsidRDefault="00812F8E" w:rsidP="00812F8E">
      <w:pPr>
        <w:pStyle w:val="NoSpacing"/>
        <w:rPr>
          <w:u w:val="single"/>
        </w:rPr>
      </w:pPr>
      <w:r>
        <w:t xml:space="preserve">On July 6, 2026, </w:t>
      </w:r>
      <w:proofErr w:type="gramStart"/>
      <w:r>
        <w:t>in</w:t>
      </w:r>
      <w:proofErr w:type="gramEnd"/>
      <w:r>
        <w:t xml:space="preserve"> </w:t>
      </w:r>
      <w:r w:rsidRPr="007429BD">
        <w:rPr>
          <w:u w:val="single"/>
        </w:rPr>
        <w:t>Adventure Medics LLC, et al v. The Industrial Commission of Arizona</w:t>
      </w:r>
    </w:p>
    <w:p w14:paraId="734459AA" w14:textId="77777777" w:rsidR="00812F8E" w:rsidRDefault="00812F8E" w:rsidP="00812F8E">
      <w:pPr>
        <w:pStyle w:val="NoSpacing"/>
        <w:rPr>
          <w:bCs/>
        </w:rPr>
      </w:pPr>
      <w:r w:rsidRPr="007429BD">
        <w:rPr>
          <w:u w:val="single"/>
        </w:rPr>
        <w:t>; Steven Keller, Decedent</w:t>
      </w:r>
      <w:r>
        <w:t xml:space="preserve">, the </w:t>
      </w:r>
      <w:r w:rsidRPr="007429BD">
        <w:t>Court of Appeals of Arizona, First Division</w:t>
      </w:r>
      <w:r>
        <w:t xml:space="preserve"> held (3 to 0) that the Administrative Law Judge properly determined that the wildland firefighter / paramedic, having just returned from 3-week deployment, and preparing to deploy again in 106-degree day, with heavy lifting and assembling his gear for 3-hours, was a “</w:t>
      </w:r>
      <w:r w:rsidRPr="00EC665C">
        <w:t>substantial contributing cause</w:t>
      </w:r>
      <w:r>
        <w:t xml:space="preserve">” in his heart attack.  </w:t>
      </w:r>
      <w:hyperlink r:id="rId401" w:history="1">
        <w:r w:rsidRPr="004D58FA">
          <w:rPr>
            <w:rStyle w:val="Hyperlink"/>
          </w:rPr>
          <w:t>https://jpr.azcourts.gov/Portals/1/OpinionFiles/Div1/2026/1%20CA-IC%2025-0025%20ADVENTURE%20v.%20KEFFER%20FINAL.pdf?ver=hx0rmccmFEWVVBJi2He9pA%3D%3D</w:t>
        </w:r>
      </w:hyperlink>
      <w:r>
        <w:t xml:space="preserve"> </w:t>
      </w:r>
    </w:p>
    <w:p w14:paraId="2030B1AA" w14:textId="77777777" w:rsidR="00812F8E" w:rsidRDefault="00812F8E" w:rsidP="00812F8E">
      <w:pPr>
        <w:pStyle w:val="NoSpacing"/>
        <w:rPr>
          <w:bCs/>
        </w:rPr>
      </w:pPr>
    </w:p>
    <w:p w14:paraId="071C979C" w14:textId="77777777" w:rsidR="00812F8E" w:rsidRPr="002C26A5" w:rsidRDefault="00812F8E" w:rsidP="00812F8E">
      <w:pPr>
        <w:pStyle w:val="NoSpacing"/>
        <w:rPr>
          <w:b/>
        </w:rPr>
      </w:pPr>
      <w:r>
        <w:t>THE COURT WROTE:</w:t>
      </w:r>
    </w:p>
    <w:p w14:paraId="6EF0EEC5" w14:textId="77777777" w:rsidR="00812F8E" w:rsidRDefault="00812F8E" w:rsidP="00812F8E">
      <w:pPr>
        <w:pStyle w:val="NoSpacing"/>
      </w:pPr>
    </w:p>
    <w:p w14:paraId="2C04F720" w14:textId="77777777" w:rsidR="00812F8E" w:rsidRPr="003528B6" w:rsidRDefault="00812F8E" w:rsidP="00812F8E">
      <w:pPr>
        <w:pStyle w:val="NoSpacing"/>
      </w:pPr>
      <w:r>
        <w:t>“K</w:t>
      </w:r>
      <w:r w:rsidRPr="003528B6">
        <w:t>effer worked seasonally as a firefighter and paramedic for</w:t>
      </w:r>
      <w:r>
        <w:t xml:space="preserve"> </w:t>
      </w:r>
      <w:r w:rsidRPr="003528B6">
        <w:t>Adventure Medics, a company that provides first responders to wildland</w:t>
      </w:r>
      <w:r>
        <w:t xml:space="preserve"> </w:t>
      </w:r>
      <w:r w:rsidRPr="003528B6">
        <w:t>fires. On a 106-degree day in August 2023, Keffer returned home from a</w:t>
      </w:r>
      <w:r>
        <w:t xml:space="preserve"> </w:t>
      </w:r>
      <w:r w:rsidRPr="003528B6">
        <w:t>three-week deployment fighting a wildland fire. Keffer had to prepare</w:t>
      </w:r>
      <w:r>
        <w:t xml:space="preserve"> </w:t>
      </w:r>
      <w:r w:rsidRPr="003528B6">
        <w:t>immediately to redeploy the next day to another fire. He was alone at the</w:t>
      </w:r>
      <w:r>
        <w:t xml:space="preserve"> </w:t>
      </w:r>
      <w:r w:rsidRPr="003528B6">
        <w:t>house, and his wife and teenage children were in another state. He talked</w:t>
      </w:r>
      <w:r>
        <w:t xml:space="preserve"> </w:t>
      </w:r>
      <w:r w:rsidRPr="003528B6">
        <w:t>to his wife on the phone at about 3:00 p.m. and was seen washing his</w:t>
      </w:r>
      <w:r>
        <w:t xml:space="preserve"> </w:t>
      </w:r>
      <w:r w:rsidRPr="003528B6">
        <w:t xml:space="preserve">work truck in his </w:t>
      </w:r>
      <w:proofErr w:type="gramStart"/>
      <w:r w:rsidRPr="003528B6">
        <w:t>driveway</w:t>
      </w:r>
      <w:proofErr w:type="gramEnd"/>
      <w:r w:rsidRPr="003528B6">
        <w:t xml:space="preserve"> about 3:30 p.m. He sent a text message to a</w:t>
      </w:r>
    </w:p>
    <w:p w14:paraId="55894E55" w14:textId="77777777" w:rsidR="00812F8E" w:rsidRPr="003528B6" w:rsidRDefault="00812F8E" w:rsidP="00812F8E">
      <w:pPr>
        <w:pStyle w:val="NoSpacing"/>
      </w:pPr>
      <w:r w:rsidRPr="003528B6">
        <w:t>co-worker around 5:30 p.m. which was the last outgoing communication</w:t>
      </w:r>
      <w:r>
        <w:t xml:space="preserve"> </w:t>
      </w:r>
      <w:r w:rsidRPr="003528B6">
        <w:t>on his phone. The next day, the police conducted a welfare check and</w:t>
      </w:r>
      <w:r>
        <w:t xml:space="preserve"> </w:t>
      </w:r>
      <w:r w:rsidRPr="003528B6">
        <w:t>found Keffer dead, lying face down in his bedroom. The coroner</w:t>
      </w:r>
      <w:r>
        <w:t xml:space="preserve"> </w:t>
      </w:r>
      <w:r w:rsidRPr="003528B6">
        <w:t>conducted an autopsy and determined Keffer died of natural causes,</w:t>
      </w:r>
    </w:p>
    <w:p w14:paraId="0F8EE634" w14:textId="77777777" w:rsidR="00812F8E" w:rsidRDefault="00812F8E" w:rsidP="00812F8E">
      <w:pPr>
        <w:pStyle w:val="NoSpacing"/>
      </w:pPr>
      <w:proofErr w:type="gramStart"/>
      <w:r w:rsidRPr="003528B6">
        <w:t>specifically</w:t>
      </w:r>
      <w:proofErr w:type="gramEnd"/>
      <w:r w:rsidRPr="003528B6">
        <w:t xml:space="preserve"> a heart attack.</w:t>
      </w:r>
    </w:p>
    <w:p w14:paraId="78220BC4" w14:textId="77777777" w:rsidR="00812F8E" w:rsidRDefault="00812F8E" w:rsidP="00812F8E">
      <w:pPr>
        <w:pStyle w:val="NoSpacing"/>
      </w:pPr>
    </w:p>
    <w:p w14:paraId="4D2A44DB" w14:textId="77777777" w:rsidR="00812F8E" w:rsidRDefault="00812F8E" w:rsidP="00812F8E">
      <w:pPr>
        <w:pStyle w:val="NoSpacing"/>
      </w:pPr>
      <w:r>
        <w:t>Keffer was 62 years old and in good health, with no reported heart problems or any other health problems. Uncontested evidence showed Keffer's preparation routine consisted of removing, cleaning and checking, and repacking all his equipment from his work truck, including</w:t>
      </w:r>
    </w:p>
    <w:p w14:paraId="69A059B3" w14:textId="77777777" w:rsidR="00812F8E" w:rsidRDefault="00812F8E" w:rsidP="00812F8E">
      <w:pPr>
        <w:pStyle w:val="NoSpacing"/>
      </w:pPr>
      <w:r>
        <w:t xml:space="preserve">both medical and camping equipment. This preparation was done in his garage and driveway. The preparations usually took about three to four hours to complete. Adventure Medics admitted Keffer was on duty when he died….  Dr. Ehrlich, a cardiologist, provided a medical opinion about the relationship between Keffer's employment activities and his heart attack. Dr. Ehrlich testified that Keffer ‘had a heart attack from a ruptured plaque that blocked off his coronary artery’ which caused ‘cardiac arrest.’ He described risk factors that could cause a plaque to rupture such as heavy physical activity and high temperatures. He determined those factors were present on the day Keffer died, stating: ‘[I]t's the perfect setup for a man who has these really easy-to-break plaques to have one break.’ He opined that ‘the activities outside in the heat were what triggered’ the ruptured plaque, saying the rupture was ‘very, very, very probably related to’ what Keffer was doing outside before he went into the house….  The medical examiner, Dr. Hu, also testified. He opined, based on the circumstances in which Keffer's body was found, that the rupture in the artery happened sometime during the day but he could not say exactly when. He acknowledged that heavy lifting and </w:t>
      </w:r>
      <w:proofErr w:type="spellStart"/>
      <w:r>
        <w:t>expos’re</w:t>
      </w:r>
      <w:proofErr w:type="spellEnd"/>
      <w:r>
        <w:t xml:space="preserve"> to heat could have contributed to the heart attack. Dr. Hu testified that he could not say with a "reasonable degree of medical certainty’ that the excess lifting and heat was a substantial contributing cause of the plaque rupture because he did not know Keffer's activity before his death, but these types of activities ‘could be substantial.</w:t>
      </w:r>
    </w:p>
    <w:p w14:paraId="479E278E" w14:textId="77777777" w:rsidR="00812F8E" w:rsidRDefault="00812F8E" w:rsidP="00812F8E">
      <w:pPr>
        <w:pStyle w:val="NoSpacing"/>
      </w:pPr>
    </w:p>
    <w:p w14:paraId="19605246" w14:textId="77777777" w:rsidR="00812F8E" w:rsidRDefault="00812F8E" w:rsidP="00812F8E">
      <w:pPr>
        <w:pStyle w:val="NoSpacing"/>
      </w:pPr>
      <w:r>
        <w:t>***</w:t>
      </w:r>
    </w:p>
    <w:p w14:paraId="1F40F92F" w14:textId="77777777" w:rsidR="00812F8E" w:rsidRDefault="00812F8E" w:rsidP="00812F8E">
      <w:pPr>
        <w:pStyle w:val="NoSpacing"/>
      </w:pPr>
      <w:r>
        <w:t>After reviewing the evidence, the ALJ found Dr. Ehrlich's opinion ‘more probably correct and well-founded’ that the work activities Keffer was performing were a substantial contributing cause of the heart attack and death. He noted the only difference in the opinion of Dr. Hu</w:t>
      </w:r>
    </w:p>
    <w:p w14:paraId="1AA44AEE" w14:textId="77777777" w:rsidR="00812F8E" w:rsidRDefault="00812F8E" w:rsidP="00812F8E">
      <w:pPr>
        <w:pStyle w:val="NoSpacing"/>
      </w:pPr>
      <w:r>
        <w:t xml:space="preserve">was he </w:t>
      </w:r>
      <w:proofErr w:type="gramStart"/>
      <w:r>
        <w:t>was</w:t>
      </w:r>
      <w:proofErr w:type="gramEnd"/>
      <w:r>
        <w:t xml:space="preserve"> less certain than Dr. Ehrlich about causation. The ALJ issued an award finding the claim compensable.”</w:t>
      </w:r>
    </w:p>
    <w:p w14:paraId="2BDB518C" w14:textId="77777777" w:rsidR="00812F8E" w:rsidRDefault="00812F8E" w:rsidP="00812F8E">
      <w:pPr>
        <w:pStyle w:val="NoSpacing"/>
      </w:pPr>
    </w:p>
    <w:p w14:paraId="17D42D78" w14:textId="77777777" w:rsidR="00812F8E" w:rsidRPr="001F1D24" w:rsidRDefault="00812F8E" w:rsidP="00812F8E">
      <w:pPr>
        <w:pStyle w:val="NoSpacing"/>
        <w:rPr>
          <w:b/>
          <w:bCs/>
        </w:rPr>
      </w:pPr>
      <w:r w:rsidRPr="001F1D24">
        <w:rPr>
          <w:b/>
        </w:rPr>
        <w:t xml:space="preserve">Legal lesson learned: </w:t>
      </w:r>
      <w:r>
        <w:rPr>
          <w:b/>
        </w:rPr>
        <w:t xml:space="preserve">Death benefits awarded based on wildland firefighting recent deployment, his pre-deployment heat, heavy lifting. </w:t>
      </w:r>
    </w:p>
    <w:p w14:paraId="41E1249E" w14:textId="77777777" w:rsidR="00812F8E" w:rsidRDefault="00812F8E" w:rsidP="00812F8E">
      <w:pPr>
        <w:pStyle w:val="NoSpacing"/>
        <w:rPr>
          <w:b/>
        </w:rPr>
      </w:pPr>
    </w:p>
    <w:p w14:paraId="75469AEF" w14:textId="77777777" w:rsidR="00812F8E" w:rsidRDefault="00812F8E" w:rsidP="00812F8E">
      <w:pPr>
        <w:pStyle w:val="NoSpacing"/>
        <w:rPr>
          <w:b/>
        </w:rPr>
      </w:pPr>
    </w:p>
    <w:p w14:paraId="30B2C55A" w14:textId="77777777" w:rsidR="00812F8E" w:rsidRDefault="00812F8E" w:rsidP="00812F8E">
      <w:pPr>
        <w:pStyle w:val="NoSpacing"/>
        <w:rPr>
          <w:b/>
        </w:rPr>
      </w:pPr>
    </w:p>
    <w:p w14:paraId="1EFC1AEB" w14:textId="77777777" w:rsidR="00812F8E" w:rsidRDefault="00812F8E" w:rsidP="00B40D58">
      <w:pPr>
        <w:rPr>
          <w:rFonts w:ascii="Arial Black" w:hAnsi="Arial Black"/>
          <w:sz w:val="24"/>
          <w:szCs w:val="24"/>
        </w:rPr>
      </w:pPr>
    </w:p>
    <w:p w14:paraId="13B49B03" w14:textId="77777777" w:rsidR="00812F8E" w:rsidRDefault="00812F8E" w:rsidP="00B40D58">
      <w:pPr>
        <w:rPr>
          <w:rFonts w:ascii="Arial Black" w:hAnsi="Arial Black"/>
          <w:sz w:val="24"/>
          <w:szCs w:val="24"/>
        </w:rPr>
      </w:pPr>
    </w:p>
    <w:p w14:paraId="57C9E1D6" w14:textId="77777777" w:rsidR="00812F8E" w:rsidRDefault="00812F8E" w:rsidP="00B40D58">
      <w:pPr>
        <w:rPr>
          <w:rFonts w:ascii="Arial Black" w:hAnsi="Arial Black"/>
          <w:sz w:val="24"/>
          <w:szCs w:val="24"/>
        </w:rPr>
      </w:pPr>
    </w:p>
    <w:p w14:paraId="7F6AB17A" w14:textId="77777777" w:rsidR="00812F8E" w:rsidRDefault="00812F8E" w:rsidP="00B40D58">
      <w:pPr>
        <w:rPr>
          <w:rFonts w:ascii="Arial Black" w:hAnsi="Arial Black"/>
          <w:sz w:val="24"/>
          <w:szCs w:val="24"/>
        </w:rPr>
      </w:pPr>
    </w:p>
    <w:p w14:paraId="21426237" w14:textId="76E9B8FD" w:rsidR="00B40D58" w:rsidRDefault="00B40D58" w:rsidP="00B40D58">
      <w:pPr>
        <w:rPr>
          <w:rFonts w:ascii="Arial Black" w:hAnsi="Arial Black"/>
          <w:b/>
          <w:sz w:val="28"/>
          <w:szCs w:val="28"/>
        </w:rPr>
      </w:pPr>
      <w:r>
        <w:rPr>
          <w:rFonts w:ascii="Arial Black" w:hAnsi="Arial Black"/>
          <w:sz w:val="24"/>
          <w:szCs w:val="24"/>
        </w:rPr>
        <w:t>2-115</w:t>
      </w:r>
    </w:p>
    <w:p w14:paraId="556B8546" w14:textId="66C7FD04" w:rsidR="00B40D58" w:rsidRPr="00F562FA" w:rsidRDefault="00B40D58" w:rsidP="00B40D58">
      <w:pPr>
        <w:pStyle w:val="NoSpacing"/>
        <w:rPr>
          <w:rFonts w:ascii="Arial Black" w:hAnsi="Arial Black"/>
          <w:b/>
          <w:sz w:val="28"/>
          <w:szCs w:val="28"/>
        </w:rPr>
      </w:pPr>
      <w:r>
        <w:rPr>
          <w:rFonts w:ascii="Arial Black" w:hAnsi="Arial Black"/>
          <w:b/>
          <w:sz w:val="28"/>
          <w:szCs w:val="28"/>
        </w:rPr>
        <w:t xml:space="preserve">U.S. SUP. CT – ROUNDUP - EPA NO CANCER WARNING - IARC </w:t>
      </w:r>
    </w:p>
    <w:p w14:paraId="18E4A3ED" w14:textId="77777777" w:rsidR="00B40D58" w:rsidRDefault="00B40D58" w:rsidP="00B40D58">
      <w:pPr>
        <w:pStyle w:val="NoSpacing"/>
        <w:rPr>
          <w:bCs/>
        </w:rPr>
      </w:pPr>
    </w:p>
    <w:p w14:paraId="1671783E" w14:textId="77777777" w:rsidR="00B40D58" w:rsidRDefault="00B40D58" w:rsidP="00B40D58">
      <w:pPr>
        <w:pStyle w:val="NoSpacing"/>
      </w:pPr>
      <w:r w:rsidRPr="006F77FB">
        <w:t xml:space="preserve">On June 25, 2026, in </w:t>
      </w:r>
      <w:r w:rsidRPr="00F3323C">
        <w:rPr>
          <w:u w:val="single"/>
        </w:rPr>
        <w:t>Monsanto Co. v. John Durnell</w:t>
      </w:r>
      <w:r w:rsidRPr="006F77FB">
        <w:t xml:space="preserve">, </w:t>
      </w:r>
      <w:r>
        <w:t>the United States Supreme Court held (7 to 2), the Court in opinion by Justice Brett Kavanaugh, held that the “failure to warn” jury verdict must be set aside. Monsanto followed EPA requirements on its label, and EPA concluded there is no scientific consensus that Roundup causes cancer even after the International Agency for Research on Cancer in 2017 and 2019 classified glyphosate as a probable carcinogen.  The Court wrote: “EPA’s assessment of glyphosate is shared by many other regulatory bodies around the world that have likewise concluded that glyphosate is not carcinogenic, including regulators in Canada, Australia, Japan, and the European Union.”</w:t>
      </w:r>
    </w:p>
    <w:p w14:paraId="1A1E9E65" w14:textId="77777777" w:rsidR="00B40D58" w:rsidRPr="006F77FB" w:rsidRDefault="00B40D58" w:rsidP="00B40D58">
      <w:pPr>
        <w:pStyle w:val="NoSpacing"/>
        <w:rPr>
          <w:bCs/>
        </w:rPr>
      </w:pPr>
      <w:hyperlink r:id="rId402" w:history="1">
        <w:r w:rsidRPr="00AE0467">
          <w:rPr>
            <w:rStyle w:val="Hyperlink"/>
          </w:rPr>
          <w:t>https://www.supremecourt.gov/opinions/25pdf/24-1068_n7ip.pdf</w:t>
        </w:r>
      </w:hyperlink>
      <w:r>
        <w:t xml:space="preserve"> </w:t>
      </w:r>
    </w:p>
    <w:p w14:paraId="23AF4130" w14:textId="77777777" w:rsidR="00B40D58" w:rsidRPr="006F77FB" w:rsidRDefault="00B40D58" w:rsidP="00B40D58">
      <w:pPr>
        <w:pStyle w:val="NoSpacing"/>
        <w:rPr>
          <w:bCs/>
        </w:rPr>
      </w:pPr>
    </w:p>
    <w:p w14:paraId="1564A6A2" w14:textId="77777777" w:rsidR="00B40D58" w:rsidRPr="002B7C70" w:rsidRDefault="00B40D58" w:rsidP="00B40D58">
      <w:pPr>
        <w:pStyle w:val="NoSpacing"/>
        <w:rPr>
          <w:b/>
        </w:rPr>
      </w:pPr>
      <w:r w:rsidRPr="002B7C70">
        <w:rPr>
          <w:b/>
        </w:rPr>
        <w:t>FACTS:</w:t>
      </w:r>
    </w:p>
    <w:p w14:paraId="5159404F" w14:textId="77777777" w:rsidR="00B40D58" w:rsidRDefault="00B40D58" w:rsidP="00B40D58">
      <w:pPr>
        <w:pStyle w:val="NoSpacing"/>
      </w:pPr>
    </w:p>
    <w:p w14:paraId="6804FE06" w14:textId="77777777" w:rsidR="00B40D58" w:rsidRPr="002B7C70" w:rsidRDefault="00B40D58" w:rsidP="00B40D58">
      <w:pPr>
        <w:pStyle w:val="NoSpacing"/>
      </w:pPr>
      <w:r>
        <w:t>“</w:t>
      </w:r>
      <w:r w:rsidRPr="002B7C70">
        <w:t>In 2019, John Durnell sued Monsanto in Missouri state</w:t>
      </w:r>
      <w:r>
        <w:t xml:space="preserve"> </w:t>
      </w:r>
      <w:r w:rsidRPr="002B7C70">
        <w:t>court. Durnell alleged that he had used Monsanto’s</w:t>
      </w:r>
      <w:r>
        <w:t xml:space="preserve"> </w:t>
      </w:r>
      <w:r w:rsidRPr="002B7C70">
        <w:t>Roundup products for about 20 years and that they had</w:t>
      </w:r>
      <w:r>
        <w:t xml:space="preserve"> </w:t>
      </w:r>
      <w:r w:rsidRPr="002B7C70">
        <w:t>caused his non-Hodgkin’s lymphoma, a form of cancer. As</w:t>
      </w:r>
      <w:r>
        <w:t xml:space="preserve"> </w:t>
      </w:r>
      <w:r w:rsidRPr="002B7C70">
        <w:t>relevant here, Durnell brought a failure-to-warn tort claim,</w:t>
      </w:r>
    </w:p>
    <w:p w14:paraId="22921887" w14:textId="77777777" w:rsidR="00B40D58" w:rsidRDefault="00B40D58" w:rsidP="00B40D58">
      <w:pPr>
        <w:pStyle w:val="NoSpacing"/>
      </w:pPr>
      <w:r w:rsidRPr="002B7C70">
        <w:t>claiming that Monsanto should have included a cancer</w:t>
      </w:r>
      <w:r>
        <w:t xml:space="preserve"> </w:t>
      </w:r>
      <w:r w:rsidRPr="002B7C70">
        <w:t>warning on Roundup’s label. A jury agreed and awarded</w:t>
      </w:r>
      <w:r>
        <w:t xml:space="preserve"> </w:t>
      </w:r>
      <w:r w:rsidRPr="002B7C70">
        <w:t>Durnell more than $1 million on the failure-to-warn theory</w:t>
      </w:r>
      <w:r>
        <w:t xml:space="preserve">. </w:t>
      </w:r>
    </w:p>
    <w:p w14:paraId="59C3BF8B" w14:textId="77777777" w:rsidR="00B40D58" w:rsidRDefault="00B40D58" w:rsidP="00B40D58">
      <w:pPr>
        <w:pStyle w:val="NoSpacing"/>
      </w:pPr>
    </w:p>
    <w:p w14:paraId="459822CB" w14:textId="77777777" w:rsidR="00B40D58" w:rsidRDefault="00B40D58" w:rsidP="00B40D58">
      <w:pPr>
        <w:pStyle w:val="NoSpacing"/>
      </w:pPr>
      <w:r>
        <w:t>***</w:t>
      </w:r>
    </w:p>
    <w:p w14:paraId="787BA3C7" w14:textId="77777777" w:rsidR="00B40D58" w:rsidRDefault="00B40D58" w:rsidP="00B40D58">
      <w:pPr>
        <w:pStyle w:val="NoSpacing"/>
      </w:pPr>
      <w:r>
        <w:t>Footnote 4: Monsanto has phased out residential Roundup products that contain</w:t>
      </w:r>
    </w:p>
    <w:p w14:paraId="3A4707EC" w14:textId="77777777" w:rsidR="00B40D58" w:rsidRDefault="00B40D58" w:rsidP="00B40D58">
      <w:pPr>
        <w:pStyle w:val="NoSpacing"/>
      </w:pPr>
      <w:r>
        <w:t>glyphosate.”</w:t>
      </w:r>
    </w:p>
    <w:p w14:paraId="5207C1AC" w14:textId="77777777" w:rsidR="00B40D58" w:rsidRDefault="00B40D58" w:rsidP="00B40D58">
      <w:pPr>
        <w:pStyle w:val="NoSpacing"/>
      </w:pPr>
    </w:p>
    <w:p w14:paraId="0E9DD4A1" w14:textId="77777777" w:rsidR="00B40D58" w:rsidRDefault="00B40D58" w:rsidP="00B40D58">
      <w:pPr>
        <w:pStyle w:val="NoSpacing"/>
        <w:rPr>
          <w:b/>
          <w:bCs/>
        </w:rPr>
      </w:pPr>
      <w:r w:rsidRPr="00384753">
        <w:rPr>
          <w:b/>
        </w:rPr>
        <w:t>COURT HELD:</w:t>
      </w:r>
    </w:p>
    <w:p w14:paraId="57F2E29A" w14:textId="77777777" w:rsidR="00B40D58" w:rsidRDefault="00B40D58" w:rsidP="00B40D58">
      <w:pPr>
        <w:pStyle w:val="NoSpacing"/>
        <w:rPr>
          <w:b/>
          <w:bCs/>
        </w:rPr>
      </w:pPr>
    </w:p>
    <w:p w14:paraId="1BEC1E0A" w14:textId="77777777" w:rsidR="00B40D58" w:rsidRPr="001D30DE" w:rsidRDefault="00B40D58" w:rsidP="00B40D58">
      <w:pPr>
        <w:pStyle w:val="NoSpacing"/>
      </w:pPr>
      <w:r>
        <w:t>“</w:t>
      </w:r>
      <w:r w:rsidRPr="001D30DE">
        <w:t>But Durnell’s state tort claim would require Monsanto to</w:t>
      </w:r>
      <w:r>
        <w:t xml:space="preserve"> </w:t>
      </w:r>
      <w:r w:rsidRPr="001D30DE">
        <w:t>add a cancer warning to Roundup’s label even though</w:t>
      </w:r>
      <w:r>
        <w:t xml:space="preserve"> </w:t>
      </w:r>
      <w:r w:rsidRPr="001D30DE">
        <w:t>federal law requires Monsanto to use the EPA-approved</w:t>
      </w:r>
      <w:r>
        <w:t xml:space="preserve"> </w:t>
      </w:r>
      <w:r w:rsidRPr="001D30DE">
        <w:t>label without a cancer warning. Because Durnell’s state</w:t>
      </w:r>
      <w:r>
        <w:t xml:space="preserve"> </w:t>
      </w:r>
      <w:r w:rsidRPr="001D30DE">
        <w:t>tort claim would impose a pesticide labeling requirement</w:t>
      </w:r>
    </w:p>
    <w:p w14:paraId="4C493548" w14:textId="77777777" w:rsidR="00B40D58" w:rsidRPr="001D30DE" w:rsidRDefault="00B40D58" w:rsidP="00B40D58">
      <w:pPr>
        <w:pStyle w:val="NoSpacing"/>
      </w:pPr>
      <w:r>
        <w:t>‘</w:t>
      </w:r>
      <w:proofErr w:type="gramStart"/>
      <w:r w:rsidRPr="001D30DE">
        <w:t>in</w:t>
      </w:r>
      <w:proofErr w:type="gramEnd"/>
      <w:r w:rsidRPr="001D30DE">
        <w:t xml:space="preserve"> addition to or different from</w:t>
      </w:r>
      <w:r>
        <w:t xml:space="preserve">’ </w:t>
      </w:r>
      <w:r w:rsidRPr="001D30DE">
        <w:t>the label required by EPA,</w:t>
      </w:r>
      <w:r>
        <w:t xml:space="preserve"> </w:t>
      </w:r>
      <w:r w:rsidRPr="001D30DE">
        <w:t>FIFRA expressly preempts Durnell’s claim.</w:t>
      </w:r>
    </w:p>
    <w:p w14:paraId="2F8DE838" w14:textId="77777777" w:rsidR="00B40D58" w:rsidRDefault="00B40D58" w:rsidP="00B40D58">
      <w:pPr>
        <w:pStyle w:val="NoSpacing"/>
      </w:pPr>
    </w:p>
    <w:p w14:paraId="721276BF" w14:textId="77777777" w:rsidR="00B40D58" w:rsidRDefault="00B40D58" w:rsidP="00B40D58">
      <w:pPr>
        <w:pStyle w:val="NoSpacing"/>
      </w:pPr>
      <w:r>
        <w:t>***</w:t>
      </w:r>
    </w:p>
    <w:p w14:paraId="49626563" w14:textId="77777777" w:rsidR="00B40D58" w:rsidRDefault="00B40D58" w:rsidP="00B40D58">
      <w:pPr>
        <w:pStyle w:val="NoSpacing"/>
      </w:pPr>
      <w:r>
        <w:t>In 1991 and for the more than three decades since, EPA has repeatedly re-evaluated glyphosate and has repeatedly concluded that glyphosate is not likely to cause cancer…. In 2017 and 2019, after the International Agency for Research on Cancer classified glyphosate as a probable</w:t>
      </w:r>
    </w:p>
    <w:p w14:paraId="5ED8654C" w14:textId="77777777" w:rsidR="00B40D58" w:rsidRDefault="00B40D58" w:rsidP="00B40D58">
      <w:pPr>
        <w:pStyle w:val="NoSpacing"/>
      </w:pPr>
      <w:r>
        <w:t>carcinogen, EPA re-examined the issue but still adhered to its longstanding position on glyphosate…. EPA’s assessment of glyphosate is shared by many other regulatory bodies around the world that have likewise concluded that glyphosate is not carcinogenic, including regulators in Canada, Australia, Japan, and the European Union.”</w:t>
      </w:r>
    </w:p>
    <w:p w14:paraId="2EB308C0" w14:textId="77777777" w:rsidR="00B40D58" w:rsidRDefault="00B40D58" w:rsidP="00B40D58">
      <w:pPr>
        <w:pStyle w:val="NoSpacing"/>
      </w:pPr>
    </w:p>
    <w:p w14:paraId="2563760F" w14:textId="77777777" w:rsidR="00B40D58" w:rsidRDefault="00B40D58" w:rsidP="00B40D58">
      <w:pPr>
        <w:pStyle w:val="NoSpacing"/>
        <w:rPr>
          <w:b/>
          <w:bCs/>
        </w:rPr>
      </w:pPr>
      <w:r>
        <w:rPr>
          <w:b/>
        </w:rPr>
        <w:t xml:space="preserve">Legal lesson learned: Monsanto has successfully dodged not only this one jury verdict, but many similar cases. </w:t>
      </w:r>
    </w:p>
    <w:p w14:paraId="73B4DBC9" w14:textId="77777777" w:rsidR="00B40D58" w:rsidRDefault="00B40D58" w:rsidP="00B40D58">
      <w:pPr>
        <w:pStyle w:val="NoSpacing"/>
        <w:rPr>
          <w:b/>
          <w:bCs/>
        </w:rPr>
      </w:pPr>
    </w:p>
    <w:p w14:paraId="7C60B304" w14:textId="77777777" w:rsidR="00B40D58" w:rsidRPr="006823FA" w:rsidRDefault="00B40D58" w:rsidP="00B40D58">
      <w:pPr>
        <w:pStyle w:val="NoSpacing"/>
        <w:ind w:left="720"/>
      </w:pPr>
      <w:r w:rsidRPr="006823FA">
        <w:t xml:space="preserve">Note: The International Agency for Research on Cancer classification of cancer-causing materials is important in fire service.  For example, in Ohio and employer can challenge a firefighter’s workers comp claim. “(2) The presumption described in division (X)(1) of this section is rebuttable in any of the following situations: … (c) There is evidence that the firefighter was not exposed to an agent classified by the international agency for research on cancer as a group 1 or 2A carcinogen.” </w:t>
      </w:r>
      <w:hyperlink r:id="rId403" w:history="1">
        <w:r w:rsidRPr="006823FA">
          <w:rPr>
            <w:rStyle w:val="Hyperlink"/>
          </w:rPr>
          <w:t>https://codes.ohio.gov/ohio-revised-code/section-4123.68</w:t>
        </w:r>
      </w:hyperlink>
      <w:r w:rsidRPr="006823FA">
        <w:t xml:space="preserve"> </w:t>
      </w:r>
    </w:p>
    <w:p w14:paraId="24C08A2E" w14:textId="77777777" w:rsidR="00B40D58" w:rsidRPr="006823FA" w:rsidRDefault="00B40D58" w:rsidP="00B40D58">
      <w:pPr>
        <w:pStyle w:val="NoSpacing"/>
      </w:pPr>
    </w:p>
    <w:p w14:paraId="0981C594" w14:textId="77777777" w:rsidR="00B40D58" w:rsidRDefault="00B40D58" w:rsidP="00B40D58">
      <w:pPr>
        <w:ind w:left="720"/>
      </w:pPr>
      <w:r>
        <w:t xml:space="preserve">See the IARC Group 1 (carcinogenic to humans) and Group 2 A (probably carcinogenic to humans). </w:t>
      </w:r>
      <w:hyperlink r:id="rId404" w:history="1">
        <w:r w:rsidRPr="008A03D1">
          <w:rPr>
            <w:rStyle w:val="Hyperlink"/>
          </w:rPr>
          <w:t>https://monographs.iarc.who.int/agents-classified-by-the-iarc/</w:t>
        </w:r>
      </w:hyperlink>
    </w:p>
    <w:p w14:paraId="52858173" w14:textId="77777777" w:rsidR="00B40D58" w:rsidRDefault="00B40D58" w:rsidP="00B40D58">
      <w:pPr>
        <w:pStyle w:val="NoSpacing"/>
        <w:rPr>
          <w:rFonts w:ascii="Arial Black" w:hAnsi="Arial Black"/>
          <w:b/>
          <w:sz w:val="28"/>
          <w:szCs w:val="28"/>
        </w:rPr>
      </w:pPr>
    </w:p>
    <w:p w14:paraId="66C40BF1" w14:textId="77777777" w:rsidR="00B40D58" w:rsidRDefault="00B40D58" w:rsidP="00B40D58"/>
    <w:p w14:paraId="7E5373AD" w14:textId="53485602" w:rsidR="00B40D58" w:rsidRDefault="00B40D58" w:rsidP="00B40D58">
      <w:pPr>
        <w:rPr>
          <w:rFonts w:ascii="Arial Black" w:hAnsi="Arial Black"/>
          <w:sz w:val="28"/>
          <w:szCs w:val="28"/>
        </w:rPr>
      </w:pPr>
      <w:r>
        <w:rPr>
          <w:rFonts w:ascii="Arial Black" w:hAnsi="Arial Black"/>
          <w:sz w:val="24"/>
          <w:szCs w:val="24"/>
        </w:rPr>
        <w:t>2-114</w:t>
      </w:r>
    </w:p>
    <w:p w14:paraId="28884D39" w14:textId="77777777" w:rsidR="00B40D58" w:rsidRPr="00343696" w:rsidRDefault="00B40D58" w:rsidP="00B40D58">
      <w:pPr>
        <w:rPr>
          <w:rFonts w:ascii="Arial Black" w:hAnsi="Arial Black"/>
          <w:b/>
          <w:sz w:val="28"/>
          <w:szCs w:val="28"/>
        </w:rPr>
      </w:pPr>
      <w:r>
        <w:rPr>
          <w:rFonts w:ascii="Arial Black" w:hAnsi="Arial Black"/>
          <w:b/>
          <w:sz w:val="28"/>
          <w:szCs w:val="28"/>
        </w:rPr>
        <w:t>TX: “PUBLIC SAFETY OFFICER RULE” – CAN’T SUE DRIVER</w:t>
      </w:r>
    </w:p>
    <w:p w14:paraId="10074E6A" w14:textId="77777777" w:rsidR="00B40D58" w:rsidRDefault="00B40D58" w:rsidP="00B40D58">
      <w:pPr>
        <w:pStyle w:val="NoSpacing"/>
        <w:tabs>
          <w:tab w:val="left" w:pos="2580"/>
        </w:tabs>
        <w:rPr>
          <w:bCs/>
        </w:rPr>
      </w:pPr>
      <w:r w:rsidRPr="00FC1E9E">
        <w:t xml:space="preserve">On June 18, 2026, </w:t>
      </w:r>
      <w:r>
        <w:t xml:space="preserve">in </w:t>
      </w:r>
      <w:r w:rsidRPr="001B2B07">
        <w:rPr>
          <w:u w:val="single"/>
        </w:rPr>
        <w:t xml:space="preserve">Richard Humphries v. </w:t>
      </w:r>
      <w:proofErr w:type="spellStart"/>
      <w:r w:rsidRPr="001B2B07">
        <w:rPr>
          <w:u w:val="single"/>
        </w:rPr>
        <w:t>TForce</w:t>
      </w:r>
      <w:proofErr w:type="spellEnd"/>
      <w:r w:rsidRPr="001B2B07">
        <w:rPr>
          <w:u w:val="single"/>
        </w:rPr>
        <w:t xml:space="preserve"> Freight, Inc.,</w:t>
      </w:r>
      <w:r>
        <w:rPr>
          <w:u w:val="single"/>
        </w:rPr>
        <w:t xml:space="preserve"> and Bhutta Hussein Javeed. </w:t>
      </w:r>
      <w:r>
        <w:t xml:space="preserve"> U.S. District Court Judge </w:t>
      </w:r>
      <w:proofErr w:type="spellStart"/>
      <w:r>
        <w:t>Matyhew</w:t>
      </w:r>
      <w:proofErr w:type="spellEnd"/>
      <w:r>
        <w:t xml:space="preserve"> J. Kacsmaryk, United States District Court for the Northern District of Texas, held that the truck company and its truck driver cannot be sued by the police officer, who was seriously injured while aiding the truck driver after an accident.  Federal judge is following the precedence of the Texas Supreme Court’s “public-safety officer’s rule.”  The Court wrote: “</w:t>
      </w:r>
      <w:r w:rsidRPr="004D7EFA">
        <w:t>First, the rule encourages those who need assistance from public-safety officers to call for it without fear of liability</w:t>
      </w:r>
      <w:r>
        <w:t>.”</w:t>
      </w:r>
    </w:p>
    <w:p w14:paraId="0357EFA9" w14:textId="77777777" w:rsidR="00B40D58" w:rsidRDefault="00B40D58" w:rsidP="00B40D58">
      <w:pPr>
        <w:rPr>
          <w:b/>
        </w:rPr>
      </w:pPr>
      <w:hyperlink r:id="rId405" w:history="1">
        <w:r w:rsidRPr="00014504">
          <w:rPr>
            <w:rStyle w:val="Hyperlink"/>
            <w:b/>
          </w:rPr>
          <w:t>https://www.casemine.com/judgement/us/6a36782a174bb89f9fdb2fa9</w:t>
        </w:r>
      </w:hyperlink>
      <w:r>
        <w:rPr>
          <w:b/>
        </w:rPr>
        <w:t xml:space="preserve"> </w:t>
      </w:r>
    </w:p>
    <w:p w14:paraId="5F91CDE1" w14:textId="77777777" w:rsidR="00B40D58" w:rsidRDefault="00B40D58" w:rsidP="00B40D58">
      <w:pPr>
        <w:rPr>
          <w:bCs/>
        </w:rPr>
      </w:pPr>
      <w:r w:rsidRPr="00AB37D4">
        <w:rPr>
          <w:b/>
        </w:rPr>
        <w:t>FACTS:</w:t>
      </w:r>
      <w:r>
        <w:t xml:space="preserve"> </w:t>
      </w:r>
    </w:p>
    <w:p w14:paraId="7794265F" w14:textId="77777777" w:rsidR="00B40D58" w:rsidRDefault="00B40D58" w:rsidP="00B40D58">
      <w:r>
        <w:t>“</w:t>
      </w:r>
      <w:r w:rsidRPr="00CB1BC0">
        <w:t xml:space="preserve">Defendant Bhutta Hussain Javed ("Javed") is an employee truck driver for Defendant </w:t>
      </w:r>
      <w:proofErr w:type="spellStart"/>
      <w:r w:rsidRPr="00CB1BC0">
        <w:t>TForce</w:t>
      </w:r>
      <w:proofErr w:type="spellEnd"/>
      <w:r w:rsidRPr="00CB1BC0">
        <w:t xml:space="preserve"> Freight Inc. ("</w:t>
      </w:r>
      <w:proofErr w:type="spellStart"/>
      <w:r w:rsidRPr="00CB1BC0">
        <w:t>TForce</w:t>
      </w:r>
      <w:proofErr w:type="spellEnd"/>
      <w:r w:rsidRPr="00CB1BC0">
        <w:t xml:space="preserve">"). On January 28, 2024, Javed was driving a tractor-trailer owned by </w:t>
      </w:r>
      <w:proofErr w:type="spellStart"/>
      <w:r w:rsidRPr="00CB1BC0">
        <w:t>TForce</w:t>
      </w:r>
      <w:proofErr w:type="spellEnd"/>
      <w:r w:rsidRPr="00CB1BC0">
        <w:t xml:space="preserve"> on I-40. The highway was covered in snow and ice, and Javed was allegedly</w:t>
      </w:r>
      <w:r>
        <w:t xml:space="preserve"> </w:t>
      </w:r>
      <w:r w:rsidRPr="004E100F">
        <w:t xml:space="preserve">driving too fast for the conditions. As a result, Javed's tractor-trailer </w:t>
      </w:r>
      <w:r>
        <w:t>‘</w:t>
      </w:r>
      <w:r w:rsidRPr="004E100F">
        <w:t>jackknifed</w:t>
      </w:r>
      <w:r>
        <w:t>’</w:t>
      </w:r>
      <w:r w:rsidRPr="004E100F">
        <w:t xml:space="preserve"> and slid into the center median, coming to a rest after striking the cable barrier. Plaintiff Richard Humphries </w:t>
      </w:r>
      <w:r>
        <w:t xml:space="preserve">… </w:t>
      </w:r>
      <w:r w:rsidRPr="004E100F">
        <w:t xml:space="preserve">is an Oldham County </w:t>
      </w:r>
      <w:proofErr w:type="spellStart"/>
      <w:r w:rsidRPr="004E100F">
        <w:t>Sheriffs</w:t>
      </w:r>
      <w:proofErr w:type="spellEnd"/>
      <w:r w:rsidRPr="004E100F">
        <w:t xml:space="preserve"> Deputy. At the time of Javed's crash, he was on duty responding to a call involving a separate crash. Humphries observed Javed's crash and stopped to render aid. Shortly thereafter, another tractor-trailer jackknifed and started sliding on the snowy and icy highway directly toward Humphries. While trying to avoid the second tractor-trailer, Humphries fell and suffered a significant head </w:t>
      </w:r>
      <w:proofErr w:type="gramStart"/>
      <w:r w:rsidRPr="004E100F">
        <w:t>injury.</w:t>
      </w:r>
      <w:r>
        <w:t>”</w:t>
      </w:r>
      <w:proofErr w:type="gramEnd"/>
    </w:p>
    <w:p w14:paraId="09911176" w14:textId="77777777" w:rsidR="00B40D58" w:rsidRDefault="00B40D58" w:rsidP="00B40D58">
      <w:r w:rsidRPr="00005E37">
        <w:rPr>
          <w:b/>
        </w:rPr>
        <w:t>COURT HELD:</w:t>
      </w:r>
      <w:r>
        <w:t xml:space="preserve"> </w:t>
      </w:r>
    </w:p>
    <w:p w14:paraId="1D579497" w14:textId="77777777" w:rsidR="00B40D58" w:rsidRDefault="00B40D58" w:rsidP="00B40D58">
      <w:r>
        <w:t>“</w:t>
      </w:r>
      <w:r w:rsidRPr="00E655C1">
        <w:t xml:space="preserve">But Texas has adopted a common law </w:t>
      </w:r>
      <w:r>
        <w:t>‘</w:t>
      </w:r>
      <w:r w:rsidRPr="00E655C1">
        <w:t>public-safety officer's rule.</w:t>
      </w:r>
      <w:r>
        <w:t>’</w:t>
      </w:r>
      <w:r w:rsidRPr="00E655C1">
        <w:t xml:space="preserve"> This rule precludes recovery for public- safety officers who suffer certain injuries while performing emergency activities. Because the public-safety officer's rule applies here, the Complaint fails to state a claim for which relief can be grante</w:t>
      </w:r>
      <w:r>
        <w:t>d.</w:t>
      </w:r>
    </w:p>
    <w:p w14:paraId="43EC2B96" w14:textId="77777777" w:rsidR="00B40D58" w:rsidRDefault="00B40D58" w:rsidP="00B40D58">
      <w:r>
        <w:t>***</w:t>
      </w:r>
    </w:p>
    <w:p w14:paraId="56510550" w14:textId="77777777" w:rsidR="00B40D58" w:rsidRPr="00934873" w:rsidRDefault="00B40D58" w:rsidP="00B40D58">
      <w:r w:rsidRPr="00934873">
        <w:t xml:space="preserve">The Texas Supreme Court recently adopted the </w:t>
      </w:r>
      <w:r>
        <w:t>‘</w:t>
      </w:r>
      <w:r w:rsidRPr="00934873">
        <w:t>public-safety officer's rule,</w:t>
      </w:r>
      <w:r>
        <w:t>’ … ‘</w:t>
      </w:r>
      <w:r w:rsidRPr="00934873">
        <w:t>which restricts the duties owed to responding officers.</w:t>
      </w:r>
      <w:r>
        <w:t>’</w:t>
      </w:r>
      <w:r w:rsidRPr="00934873">
        <w:t xml:space="preserve"> Seward v. Santander, 713 S.W.3d 341, 359 (Tex. 2025). Specifically, the Texas Supreme Court adopted the following rule:</w:t>
      </w:r>
    </w:p>
    <w:p w14:paraId="7D45B682" w14:textId="77777777" w:rsidR="00B40D58" w:rsidRPr="00934873" w:rsidRDefault="00B40D58" w:rsidP="00B40D58">
      <w:pPr>
        <w:ind w:left="720"/>
      </w:pPr>
      <w:r w:rsidRPr="00934873">
        <w:t>An actor who innocently or negligently creates a peril that occasions the presence of a public-safety officer owes no duty to that officer when the officer is injured by the very same peril that occasioned the officer's presence, and the officer is injured while (1) on duty, (2) acting within the scope of employment, and (3) engaged in the performance of emergency activities.</w:t>
      </w:r>
    </w:p>
    <w:p w14:paraId="7677A15E" w14:textId="77777777" w:rsidR="00B40D58" w:rsidRDefault="00B40D58" w:rsidP="00B40D58">
      <w:r w:rsidRPr="004D7EFA">
        <w:t xml:space="preserve">The court grounded the rule in public policy considerations, finding three policy arguments </w:t>
      </w:r>
      <w:r>
        <w:t>‘</w:t>
      </w:r>
      <w:r w:rsidRPr="004D7EFA">
        <w:t>especially compelling.</w:t>
      </w:r>
      <w:r>
        <w:t xml:space="preserve">’ … </w:t>
      </w:r>
      <w:r w:rsidRPr="004D7EFA">
        <w:t>First, the rule encourages those who need assistance from public-safety officers to call for it without fear of liability</w:t>
      </w:r>
      <w:r>
        <w:t xml:space="preserve">…. </w:t>
      </w:r>
      <w:r w:rsidRPr="004D7EFA">
        <w:t xml:space="preserve">Second, the rule minimizes the </w:t>
      </w:r>
      <w:r>
        <w:t>‘</w:t>
      </w:r>
      <w:r w:rsidRPr="004D7EFA">
        <w:t>specter of invidious discrimination'—that public-safety officers will be more eager to assist and risk injury when they are more likely to recover in a tort action</w:t>
      </w:r>
      <w:r>
        <w:t xml:space="preserve">…. </w:t>
      </w:r>
      <w:r w:rsidRPr="004D7EFA">
        <w:t>And third, the rule spreads the risk and cost of injuries to the public rather than solely to the individuals who require public-safety officer assistance.</w:t>
      </w:r>
      <w:r>
        <w:t>”</w:t>
      </w:r>
    </w:p>
    <w:p w14:paraId="667694FF" w14:textId="77777777" w:rsidR="00B40D58" w:rsidRDefault="00B40D58" w:rsidP="00B40D58">
      <w:pPr>
        <w:rPr>
          <w:b/>
          <w:bCs/>
        </w:rPr>
      </w:pPr>
      <w:r>
        <w:rPr>
          <w:b/>
        </w:rPr>
        <w:t xml:space="preserve">Legal lesson learned: About 18 states have abolished or significantly modified the “Public-Safety Officer Rule” or “Fireman’s Rule” to allow an injured police officer or firefighter to sue for damages; but not Texas. </w:t>
      </w:r>
    </w:p>
    <w:p w14:paraId="6E3EF298" w14:textId="77777777" w:rsidR="00B40D58" w:rsidRPr="00FC1E9E" w:rsidRDefault="00B40D58" w:rsidP="00B40D58">
      <w:pPr>
        <w:pStyle w:val="NoSpacing"/>
        <w:ind w:left="720"/>
        <w:rPr>
          <w:bCs/>
        </w:rPr>
      </w:pPr>
      <w:r>
        <w:t>Note: See this article. “</w:t>
      </w:r>
      <w:r w:rsidRPr="00A6014C">
        <w:t>Notably, a sizable minority of states (18) do not currently apply the Fireman’s Rule and have either explicitly</w:t>
      </w:r>
      <w:r>
        <w:t xml:space="preserve"> </w:t>
      </w:r>
      <w:r w:rsidRPr="00A6014C">
        <w:t>declined to adopt, rejected, limited, or failed to address it.</w:t>
      </w:r>
      <w:r>
        <w:t xml:space="preserve"> </w:t>
      </w:r>
      <w:r w:rsidRPr="00A6014C">
        <w:t>The remaining jurisdictions still invoke the Fireman’s Rule</w:t>
      </w:r>
      <w:r>
        <w:t xml:space="preserve"> </w:t>
      </w:r>
      <w:r w:rsidRPr="00A6014C">
        <w:t>as a bar to recovery for negligence in association with the cause of a fire. The reasoning behind this bar, however,</w:t>
      </w:r>
      <w:r>
        <w:t xml:space="preserve"> </w:t>
      </w:r>
      <w:r w:rsidRPr="00A6014C">
        <w:t>varies from jurisdiction to jurisdiction.</w:t>
      </w:r>
      <w:r>
        <w:t xml:space="preserve">” </w:t>
      </w:r>
      <w:hyperlink r:id="rId406" w:history="1">
        <w:r w:rsidRPr="00295025">
          <w:rPr>
            <w:rStyle w:val="Hyperlink"/>
          </w:rPr>
          <w:t>file:///C:/Users/lawre/Downloads/0182139.PDF</w:t>
        </w:r>
      </w:hyperlink>
      <w:r>
        <w:t xml:space="preserve"> </w:t>
      </w:r>
    </w:p>
    <w:p w14:paraId="7FEDAA00" w14:textId="77777777" w:rsidR="00B40D58" w:rsidRDefault="00B40D58" w:rsidP="00B40D58">
      <w:pPr>
        <w:rPr>
          <w:b/>
        </w:rPr>
      </w:pPr>
    </w:p>
    <w:p w14:paraId="614C7C7B" w14:textId="77777777" w:rsidR="00B40D58" w:rsidRDefault="00B40D58" w:rsidP="001B7551">
      <w:pPr>
        <w:rPr>
          <w:rFonts w:ascii="Arial Black" w:hAnsi="Arial Black"/>
          <w:sz w:val="24"/>
          <w:szCs w:val="24"/>
        </w:rPr>
      </w:pPr>
    </w:p>
    <w:p w14:paraId="7BA1E085" w14:textId="77777777" w:rsidR="00B40D58" w:rsidRDefault="00B40D58" w:rsidP="001B7551">
      <w:pPr>
        <w:rPr>
          <w:rFonts w:ascii="Arial Black" w:hAnsi="Arial Black"/>
          <w:sz w:val="24"/>
          <w:szCs w:val="24"/>
        </w:rPr>
      </w:pPr>
    </w:p>
    <w:p w14:paraId="0CE161B5" w14:textId="77777777" w:rsidR="00B40D58" w:rsidRDefault="00B40D58" w:rsidP="001B7551">
      <w:pPr>
        <w:rPr>
          <w:rFonts w:ascii="Arial Black" w:hAnsi="Arial Black"/>
          <w:sz w:val="24"/>
          <w:szCs w:val="24"/>
        </w:rPr>
      </w:pPr>
    </w:p>
    <w:p w14:paraId="4182E3D7" w14:textId="77777777" w:rsidR="00B40D58" w:rsidRDefault="00B40D58" w:rsidP="001B7551">
      <w:pPr>
        <w:rPr>
          <w:rFonts w:ascii="Arial Black" w:hAnsi="Arial Black"/>
          <w:sz w:val="24"/>
          <w:szCs w:val="24"/>
        </w:rPr>
      </w:pPr>
    </w:p>
    <w:p w14:paraId="00C15719" w14:textId="3D6E0A03" w:rsidR="001B7551" w:rsidRDefault="001B7551" w:rsidP="001B7551">
      <w:pPr>
        <w:rPr>
          <w:rFonts w:ascii="Arial Black" w:hAnsi="Arial Black"/>
          <w:sz w:val="28"/>
          <w:szCs w:val="28"/>
        </w:rPr>
      </w:pPr>
      <w:r>
        <w:rPr>
          <w:rFonts w:ascii="Arial Black" w:hAnsi="Arial Black"/>
          <w:sz w:val="24"/>
          <w:szCs w:val="24"/>
        </w:rPr>
        <w:t>2-113</w:t>
      </w:r>
    </w:p>
    <w:p w14:paraId="4E604E2B" w14:textId="77777777" w:rsidR="001B7551" w:rsidRPr="00965815" w:rsidRDefault="001B7551" w:rsidP="001B7551">
      <w:pPr>
        <w:pStyle w:val="NoSpacing"/>
        <w:rPr>
          <w:rFonts w:ascii="Arial Black" w:hAnsi="Arial Black"/>
          <w:sz w:val="28"/>
          <w:szCs w:val="28"/>
        </w:rPr>
      </w:pPr>
      <w:r>
        <w:rPr>
          <w:rFonts w:ascii="Arial Black" w:hAnsi="Arial Black"/>
          <w:sz w:val="28"/>
          <w:szCs w:val="28"/>
        </w:rPr>
        <w:t>OH: SPEEDING IN MVA AREA – KILLED FF – 15 YRS/LIFE</w:t>
      </w:r>
    </w:p>
    <w:p w14:paraId="5FA3A6B4" w14:textId="77777777" w:rsidR="001B7551" w:rsidRDefault="001B7551" w:rsidP="001B7551">
      <w:pPr>
        <w:pStyle w:val="NoSpacing"/>
      </w:pPr>
    </w:p>
    <w:p w14:paraId="243F347D" w14:textId="77777777" w:rsidR="001B7551" w:rsidRDefault="001B7551" w:rsidP="001B7551">
      <w:pPr>
        <w:pStyle w:val="NoSpacing"/>
      </w:pPr>
      <w:r>
        <w:t xml:space="preserve">On May 29, 2026, in </w:t>
      </w:r>
      <w:r w:rsidRPr="00B03864">
        <w:rPr>
          <w:u w:val="single"/>
        </w:rPr>
        <w:t>The State of Ohio v. Leander Bissell</w:t>
      </w:r>
      <w:r>
        <w:t xml:space="preserve">, the Supreme Court of Ohio held (7 to 0) that conviction for felony-murder after bench trial (no jury) is affirmed; the defendant must serve 15 years to life for the crimes of felonious assault, felony murder, involuntary manslaughter, aggravated vehicular homicide, failure to comply with an order or signal of a police officer, and failure to stop after an accident.  The Court reversed the Ohio Eight District Court of Appeals (Cuyahoga County) which held (2 to 1) there was insufficient evidence of driver’s intent to harm. On November 19, 2022, at approximately 8:15 p.m., Engine Company 22 of the City of Cleveland Division of Fire received an emergency dispatch for a vehicle crash on Interstate 90, a four-lane highway, near the exit of Martin Luther King Boulevard. One vehicle had flipped over onto its top on the left shoulder of the highway, blocking a part of the far-left high-speed lane. Firefighter </w:t>
      </w:r>
      <w:r w:rsidRPr="00A956B8">
        <w:t>Johnny Tetrick</w:t>
      </w:r>
      <w:r>
        <w:t xml:space="preserve"> was struck and killed, picking up debris from the highway, when the defendant sped by police cars at 49 mph, throwing Tetrick </w:t>
      </w:r>
      <w:r w:rsidRPr="00762BA4">
        <w:t xml:space="preserve">102.5 feet, </w:t>
      </w:r>
      <w:r>
        <w:t>and then fled the scene. THE COURT WROTE: The Eighth District’s reasoning is wrong. The Eighth District reasoned that criminal knowledge requires an offender’s ‘intention that a result will occur,’ id., but that is not so. ‘A person acts knowingly, regardless of purpose, when the person is aware that the person’s conduct will probably cause a certain result or will probably be of a certain nature.’ (Emphasis added.) R.C. 2901.22(B).</w:t>
      </w:r>
    </w:p>
    <w:p w14:paraId="27CD64DF" w14:textId="77777777" w:rsidR="001B7551" w:rsidRDefault="001B7551" w:rsidP="001B7551">
      <w:pPr>
        <w:pStyle w:val="NoSpacing"/>
      </w:pPr>
      <w:r>
        <w:t>Therefore, an offender’s purpose or intention to cause a result is not required when</w:t>
      </w:r>
    </w:p>
    <w:p w14:paraId="0DA3811A" w14:textId="77777777" w:rsidR="001B7551" w:rsidRDefault="001B7551" w:rsidP="001B7551">
      <w:pPr>
        <w:pStyle w:val="NoSpacing"/>
      </w:pPr>
      <w:r>
        <w:t xml:space="preserve">determining an offender’s </w:t>
      </w:r>
      <w:proofErr w:type="gramStart"/>
      <w:r>
        <w:t>knowledge, ‘</w:t>
      </w:r>
      <w:proofErr w:type="gramEnd"/>
      <w:r>
        <w:t>only an awareness of the probable</w:t>
      </w:r>
    </w:p>
    <w:p w14:paraId="549C7DDD" w14:textId="77777777" w:rsidR="001B7551" w:rsidRDefault="001B7551" w:rsidP="001B7551">
      <w:pPr>
        <w:rPr>
          <w:b/>
        </w:rPr>
      </w:pPr>
      <w:r>
        <w:t xml:space="preserve">consequences of one’s actions.’” </w:t>
      </w:r>
      <w:hyperlink r:id="rId407" w:history="1">
        <w:r w:rsidRPr="00BC462E">
          <w:rPr>
            <w:rStyle w:val="Hyperlink"/>
            <w:b/>
          </w:rPr>
          <w:t>https://www.supremecourt.ohio.gov/rod/docs/pdf/0/2026/2026-Ohio-1965.pdf</w:t>
        </w:r>
      </w:hyperlink>
      <w:r>
        <w:rPr>
          <w:b/>
        </w:rPr>
        <w:t xml:space="preserve"> </w:t>
      </w:r>
    </w:p>
    <w:p w14:paraId="129562B3" w14:textId="77777777" w:rsidR="001B7551" w:rsidRDefault="001B7551" w:rsidP="001B7551">
      <w:pPr>
        <w:pStyle w:val="NoSpacing"/>
      </w:pPr>
      <w:r>
        <w:t xml:space="preserve"> </w:t>
      </w:r>
    </w:p>
    <w:p w14:paraId="07F83796" w14:textId="77777777" w:rsidR="001B7551" w:rsidRDefault="001B7551" w:rsidP="001B7551">
      <w:pPr>
        <w:pStyle w:val="NoSpacing"/>
      </w:pPr>
      <w:r>
        <w:t xml:space="preserve">THE COURT HELD: </w:t>
      </w:r>
    </w:p>
    <w:p w14:paraId="58791EB4" w14:textId="77777777" w:rsidR="001B7551" w:rsidRDefault="001B7551" w:rsidP="001B7551">
      <w:pPr>
        <w:pStyle w:val="NoSpacing"/>
      </w:pPr>
    </w:p>
    <w:p w14:paraId="399BB57C" w14:textId="77777777" w:rsidR="001B7551" w:rsidRDefault="001B7551" w:rsidP="001B7551">
      <w:pPr>
        <w:pStyle w:val="NoSpacing"/>
        <w:ind w:firstLine="720"/>
      </w:pPr>
      <w:r>
        <w:t xml:space="preserve">“Judge </w:t>
      </w:r>
      <w:proofErr w:type="spellStart"/>
      <w:r>
        <w:t>Celebrezze</w:t>
      </w:r>
      <w:proofErr w:type="spellEnd"/>
      <w:r>
        <w:t xml:space="preserve"> [Court of Appeals] dissented from the majority opinion. According</w:t>
      </w:r>
    </w:p>
    <w:p w14:paraId="258E2493" w14:textId="77777777" w:rsidR="001B7551" w:rsidRDefault="001B7551" w:rsidP="001B7551">
      <w:pPr>
        <w:pStyle w:val="NoSpacing"/>
        <w:ind w:firstLine="720"/>
      </w:pPr>
      <w:r>
        <w:t>to Judge Celebrezze, Bissell’s conduct in speeding through an area of stopped</w:t>
      </w:r>
    </w:p>
    <w:p w14:paraId="591DDCAA" w14:textId="77777777" w:rsidR="001B7551" w:rsidRDefault="001B7551" w:rsidP="001B7551">
      <w:pPr>
        <w:pStyle w:val="NoSpacing"/>
        <w:ind w:firstLine="720"/>
      </w:pPr>
      <w:r>
        <w:t>traffic and a heavy first-</w:t>
      </w:r>
      <w:proofErr w:type="gramStart"/>
      <w:r>
        <w:t>responder presence</w:t>
      </w:r>
      <w:proofErr w:type="gramEnd"/>
      <w:r>
        <w:t xml:space="preserve"> established sufficient evidence that</w:t>
      </w:r>
    </w:p>
    <w:p w14:paraId="69A7479D" w14:textId="77777777" w:rsidR="001B7551" w:rsidRDefault="001B7551" w:rsidP="001B7551">
      <w:pPr>
        <w:pStyle w:val="NoSpacing"/>
        <w:ind w:firstLine="720"/>
      </w:pPr>
      <w:r>
        <w:t>Bissell acted knowingly when he hit Tetrick in the roadway because it was probable</w:t>
      </w:r>
    </w:p>
    <w:p w14:paraId="5173346A" w14:textId="77777777" w:rsidR="001B7551" w:rsidRDefault="001B7551" w:rsidP="001B7551">
      <w:pPr>
        <w:pStyle w:val="NoSpacing"/>
        <w:ind w:firstLine="720"/>
      </w:pPr>
      <w:r>
        <w:t>that Bissell’s conduct would cause physical harm…. (</w:t>
      </w:r>
      <w:proofErr w:type="spellStart"/>
      <w:r>
        <w:t>Celebrezze</w:t>
      </w:r>
      <w:proofErr w:type="spellEnd"/>
      <w:r>
        <w:t>, J.,</w:t>
      </w:r>
    </w:p>
    <w:p w14:paraId="4BAEB34E" w14:textId="77777777" w:rsidR="001B7551" w:rsidRDefault="001B7551" w:rsidP="001B7551">
      <w:pPr>
        <w:pStyle w:val="NoSpacing"/>
        <w:ind w:firstLine="720"/>
      </w:pPr>
      <w:r>
        <w:t xml:space="preserve">dissenting). With respect to the failure-to-comply charge, Judge </w:t>
      </w:r>
      <w:proofErr w:type="spellStart"/>
      <w:r>
        <w:t>Celebrezze</w:t>
      </w:r>
      <w:proofErr w:type="spellEnd"/>
    </w:p>
    <w:p w14:paraId="0821874A" w14:textId="77777777" w:rsidR="001B7551" w:rsidRDefault="001B7551" w:rsidP="001B7551">
      <w:pPr>
        <w:pStyle w:val="NoSpacing"/>
        <w:ind w:firstLine="720"/>
      </w:pPr>
      <w:r>
        <w:t>reasoned that the parked police vehicles with flashing lights on the highway served</w:t>
      </w:r>
    </w:p>
    <w:p w14:paraId="094FCE18" w14:textId="77777777" w:rsidR="001B7551" w:rsidRDefault="001B7551" w:rsidP="001B7551">
      <w:pPr>
        <w:pStyle w:val="NoSpacing"/>
        <w:ind w:firstLine="720"/>
      </w:pPr>
      <w:r>
        <w:t>as an order or direction from police officers…. (</w:t>
      </w:r>
      <w:proofErr w:type="spellStart"/>
      <w:r>
        <w:t>Celebrezze</w:t>
      </w:r>
      <w:proofErr w:type="spellEnd"/>
      <w:r>
        <w:t>, J., dissenting).</w:t>
      </w:r>
    </w:p>
    <w:p w14:paraId="55A228A3" w14:textId="77777777" w:rsidR="001B7551" w:rsidRDefault="001B7551" w:rsidP="001B7551">
      <w:pPr>
        <w:pStyle w:val="NoSpacing"/>
        <w:ind w:firstLine="720"/>
      </w:pPr>
    </w:p>
    <w:p w14:paraId="48FDDEB7" w14:textId="77777777" w:rsidR="001B7551" w:rsidRDefault="001B7551" w:rsidP="001B7551">
      <w:pPr>
        <w:pStyle w:val="NoSpacing"/>
        <w:ind w:firstLine="720"/>
      </w:pPr>
      <w:r>
        <w:t>***</w:t>
      </w:r>
    </w:p>
    <w:p w14:paraId="4E55E2BA" w14:textId="77777777" w:rsidR="001B7551" w:rsidRDefault="001B7551" w:rsidP="001B7551">
      <w:pPr>
        <w:pStyle w:val="NoSpacing"/>
        <w:ind w:firstLine="720"/>
      </w:pPr>
      <w:r>
        <w:t>Considering the evidence in this case in the light most favorable to</w:t>
      </w:r>
    </w:p>
    <w:p w14:paraId="4FE7E804" w14:textId="77777777" w:rsidR="001B7551" w:rsidRDefault="001B7551" w:rsidP="001B7551">
      <w:pPr>
        <w:pStyle w:val="NoSpacing"/>
        <w:ind w:firstLine="720"/>
      </w:pPr>
      <w:r>
        <w:t>the State, sufficient evidence exists to establish that Bissell was aware that his</w:t>
      </w:r>
    </w:p>
    <w:p w14:paraId="0EBCB141" w14:textId="77777777" w:rsidR="001B7551" w:rsidRDefault="001B7551" w:rsidP="001B7551">
      <w:pPr>
        <w:pStyle w:val="NoSpacing"/>
        <w:ind w:firstLine="720"/>
      </w:pPr>
      <w:r>
        <w:t>conduct would probably cause serious physical harm to a bystander or first</w:t>
      </w:r>
    </w:p>
    <w:p w14:paraId="77E8CF3F" w14:textId="77777777" w:rsidR="001B7551" w:rsidRDefault="001B7551" w:rsidP="001B7551">
      <w:pPr>
        <w:pStyle w:val="NoSpacing"/>
        <w:ind w:firstLine="720"/>
      </w:pPr>
      <w:r>
        <w:t>responder like Tetrick for purposes of Bissell’s felony-murder conviction.”</w:t>
      </w:r>
    </w:p>
    <w:p w14:paraId="39638C6A" w14:textId="77777777" w:rsidR="001B7551" w:rsidRDefault="001B7551" w:rsidP="001B7551">
      <w:pPr>
        <w:pStyle w:val="NoSpacing"/>
        <w:ind w:firstLine="720"/>
      </w:pPr>
    </w:p>
    <w:p w14:paraId="3B0E80F8" w14:textId="77777777" w:rsidR="001B7551" w:rsidRPr="00594AB3" w:rsidRDefault="001B7551" w:rsidP="001B7551">
      <w:pPr>
        <w:rPr>
          <w:b/>
          <w:bCs/>
        </w:rPr>
      </w:pPr>
      <w:r>
        <w:rPr>
          <w:b/>
        </w:rPr>
        <w:t xml:space="preserve">Legal lesson learned: Important decision; driver is held responsible for killing a firefighter at a busy accident scene. </w:t>
      </w:r>
    </w:p>
    <w:p w14:paraId="3676885B" w14:textId="77777777" w:rsidR="001B7551" w:rsidRDefault="001B7551" w:rsidP="001B7551">
      <w:pPr>
        <w:pStyle w:val="NoSpacing"/>
      </w:pPr>
    </w:p>
    <w:p w14:paraId="7C59D1DD" w14:textId="77777777" w:rsidR="001B7551" w:rsidRDefault="001B7551" w:rsidP="001B7551">
      <w:pPr>
        <w:pStyle w:val="NoSpacing"/>
      </w:pPr>
    </w:p>
    <w:p w14:paraId="1CD4FE14" w14:textId="77777777" w:rsidR="001B7551" w:rsidRDefault="001B7551" w:rsidP="001B7551">
      <w:pPr>
        <w:pStyle w:val="NoSpacing"/>
      </w:pPr>
    </w:p>
    <w:p w14:paraId="53BE5197" w14:textId="65978475" w:rsidR="001B7551" w:rsidRDefault="001B7551" w:rsidP="001B7551">
      <w:pPr>
        <w:rPr>
          <w:rFonts w:ascii="Arial Black" w:hAnsi="Arial Black"/>
          <w:sz w:val="28"/>
          <w:szCs w:val="28"/>
        </w:rPr>
      </w:pPr>
      <w:r>
        <w:rPr>
          <w:rFonts w:ascii="Arial Black" w:hAnsi="Arial Black"/>
          <w:sz w:val="24"/>
          <w:szCs w:val="24"/>
        </w:rPr>
        <w:t>2-112</w:t>
      </w:r>
    </w:p>
    <w:p w14:paraId="5CFB08BF" w14:textId="77777777" w:rsidR="001B7551" w:rsidRPr="00444200" w:rsidRDefault="001B7551" w:rsidP="001B7551">
      <w:pPr>
        <w:rPr>
          <w:rFonts w:ascii="Arial Black" w:hAnsi="Arial Black"/>
          <w:bCs/>
          <w:sz w:val="28"/>
          <w:szCs w:val="28"/>
        </w:rPr>
      </w:pPr>
      <w:r>
        <w:rPr>
          <w:rFonts w:ascii="Arial Black" w:hAnsi="Arial Black"/>
          <w:sz w:val="28"/>
          <w:szCs w:val="28"/>
        </w:rPr>
        <w:t xml:space="preserve">CA: DEF. SHOT &amp; KILLED CAPT – UNIFORMED FFs AT TRIAL </w:t>
      </w:r>
    </w:p>
    <w:p w14:paraId="258B63B3" w14:textId="77777777" w:rsidR="001B7551" w:rsidRDefault="001B7551" w:rsidP="001B7551">
      <w:pPr>
        <w:pStyle w:val="NoSpacing"/>
        <w:rPr>
          <w:bCs/>
        </w:rPr>
      </w:pPr>
      <w:r>
        <w:t xml:space="preserve">On May 29, 2026, in </w:t>
      </w:r>
      <w:r w:rsidRPr="004924E7">
        <w:rPr>
          <w:u w:val="single"/>
        </w:rPr>
        <w:t>The People v. Robert Alston Sommerville</w:t>
      </w:r>
      <w:r>
        <w:t xml:space="preserve">, the </w:t>
      </w:r>
      <w:r w:rsidRPr="004924E7">
        <w:t>California Court of Appeals, Third District, San Joaquin</w:t>
      </w:r>
      <w:r>
        <w:t xml:space="preserve"> held (3 to 0) the conviction was affirmed.  </w:t>
      </w:r>
      <w:r w:rsidRPr="0027757B">
        <w:t xml:space="preserve">Somerville was found guilty on Feb. 14, 2023, by a jury of the shooting death of 47-year-old Stockton Fire Capt. Vidal </w:t>
      </w:r>
      <w:r>
        <w:t>“</w:t>
      </w:r>
      <w:r w:rsidRPr="0027757B">
        <w:t>Max” Fortuna</w:t>
      </w:r>
      <w:r>
        <w:t xml:space="preserve">; he was sentenced </w:t>
      </w:r>
      <w:r w:rsidRPr="005D6C9B">
        <w:t>to 15 years to life in prison.</w:t>
      </w:r>
      <w:r>
        <w:t xml:space="preserve"> On January 31, 2022, at 4:45 am, </w:t>
      </w:r>
      <w:r w:rsidRPr="00000601">
        <w:t>a fire department dispatcher received</w:t>
      </w:r>
      <w:r>
        <w:t xml:space="preserve"> </w:t>
      </w:r>
      <w:r w:rsidRPr="00000601">
        <w:t>multiple calls regarding a fire near the Crosstown Freeway and Aurora Street in Stockton.</w:t>
      </w:r>
      <w:r>
        <w:t xml:space="preserve"> </w:t>
      </w:r>
      <w:r w:rsidRPr="00000601">
        <w:t>The dispatcher instructed Engine 2 to respond and described it as an outdoor fire. A few</w:t>
      </w:r>
      <w:r>
        <w:t xml:space="preserve"> </w:t>
      </w:r>
      <w:r w:rsidRPr="00000601">
        <w:t>minutes later, an alarm company called the dispatcher to report an audible alarm at a</w:t>
      </w:r>
      <w:r>
        <w:t xml:space="preserve"> </w:t>
      </w:r>
      <w:r w:rsidRPr="00000601">
        <w:t>commercial building at an address on South Aurora Street. The dispatcher then updated</w:t>
      </w:r>
      <w:r>
        <w:t xml:space="preserve"> </w:t>
      </w:r>
      <w:r w:rsidRPr="00000601">
        <w:t xml:space="preserve">Engine 2 </w:t>
      </w:r>
      <w:proofErr w:type="gramStart"/>
      <w:r w:rsidRPr="00000601">
        <w:t>on</w:t>
      </w:r>
      <w:proofErr w:type="gramEnd"/>
      <w:r w:rsidRPr="00000601">
        <w:t xml:space="preserve"> the building alarm and location.</w:t>
      </w:r>
      <w:r>
        <w:t xml:space="preserve"> </w:t>
      </w:r>
      <w:r w:rsidRPr="00B4394A">
        <w:t xml:space="preserve">Robert Somerville was living in </w:t>
      </w:r>
      <w:r>
        <w:t xml:space="preserve">his </w:t>
      </w:r>
      <w:r w:rsidRPr="00B4394A">
        <w:t>commercial building in Stockton</w:t>
      </w:r>
      <w:r>
        <w:t xml:space="preserve">; not </w:t>
      </w:r>
      <w:r w:rsidRPr="00B4394A">
        <w:t>realizing there was a fire outside and firefighters were trying to get in, defendant</w:t>
      </w:r>
      <w:r>
        <w:t xml:space="preserve"> </w:t>
      </w:r>
      <w:r w:rsidRPr="00B4394A">
        <w:t>grabbed his gun, announced he had a firearm, told the perceived intruders to move away,</w:t>
      </w:r>
      <w:r>
        <w:t xml:space="preserve"> </w:t>
      </w:r>
      <w:r w:rsidRPr="00B4394A">
        <w:t xml:space="preserve">and shot </w:t>
      </w:r>
      <w:r>
        <w:t>‘</w:t>
      </w:r>
      <w:r w:rsidRPr="00B4394A">
        <w:t>a couple rounds at the door.</w:t>
      </w:r>
      <w:r>
        <w:t xml:space="preserve">’ </w:t>
      </w:r>
      <w:r w:rsidRPr="00B4394A">
        <w:t xml:space="preserve"> Captain Max Fortuna (captain) was</w:t>
      </w:r>
      <w:r>
        <w:t xml:space="preserve"> </w:t>
      </w:r>
      <w:r w:rsidRPr="00B4394A">
        <w:t>struck and died.</w:t>
      </w:r>
      <w:r>
        <w:t xml:space="preserve">  THE COURT WROTE: “</w:t>
      </w:r>
      <w:r w:rsidRPr="00E4309D">
        <w:t>After the jury rendered its verdict, defendant filed a motion for new trial. Among</w:t>
      </w:r>
      <w:r>
        <w:t xml:space="preserve"> </w:t>
      </w:r>
      <w:r w:rsidRPr="00E4309D">
        <w:t>other things, he argued that the uniformed firefighter presence denied him a fair trial,</w:t>
      </w:r>
      <w:r>
        <w:t xml:space="preserve"> </w:t>
      </w:r>
      <w:r w:rsidRPr="00E4309D">
        <w:t xml:space="preserve">claiming there were over 25 uniformed firefighters in the courtroom at </w:t>
      </w:r>
      <w:proofErr w:type="gramStart"/>
      <w:r w:rsidRPr="00E4309D">
        <w:t>times</w:t>
      </w:r>
      <w:proofErr w:type="gramEnd"/>
      <w:r w:rsidRPr="00E4309D">
        <w:t xml:space="preserve"> and the</w:t>
      </w:r>
      <w:r>
        <w:t xml:space="preserve"> </w:t>
      </w:r>
      <w:r w:rsidRPr="00E4309D">
        <w:t xml:space="preserve">hallway was </w:t>
      </w:r>
      <w:r>
        <w:t>‘</w:t>
      </w:r>
      <w:r w:rsidRPr="00E4309D">
        <w:t>packed with clusters of firefighters in uniform</w:t>
      </w:r>
      <w:r>
        <w:t>’</w:t>
      </w:r>
      <w:r w:rsidRPr="00E4309D">
        <w:t xml:space="preserve"> in the morning and after</w:t>
      </w:r>
      <w:r>
        <w:t xml:space="preserve"> </w:t>
      </w:r>
      <w:r w:rsidRPr="00E4309D">
        <w:t xml:space="preserve">lunch. At the hearing on the motion, defendant also argued </w:t>
      </w:r>
      <w:proofErr w:type="gramStart"/>
      <w:r w:rsidRPr="00E4309D">
        <w:t xml:space="preserve">that </w:t>
      </w:r>
      <w:r>
        <w:t>‘</w:t>
      </w:r>
      <w:r w:rsidRPr="00E4309D">
        <w:t>[</w:t>
      </w:r>
      <w:proofErr w:type="gramEnd"/>
      <w:r w:rsidRPr="00E4309D">
        <w:t>E]</w:t>
      </w:r>
      <w:proofErr w:type="spellStart"/>
      <w:r w:rsidRPr="00E4309D">
        <w:t>ngine</w:t>
      </w:r>
      <w:proofErr w:type="spellEnd"/>
      <w:r w:rsidRPr="00E4309D">
        <w:t xml:space="preserve"> 2 [had] circled</w:t>
      </w:r>
      <w:r>
        <w:t xml:space="preserve"> </w:t>
      </w:r>
      <w:r w:rsidRPr="00E4309D">
        <w:t>this courthouse almost every day during the lunch hour.</w:t>
      </w:r>
      <w:r>
        <w:t xml:space="preserve">’ </w:t>
      </w:r>
      <w:r w:rsidRPr="00E4309D">
        <w:t>The court denied the motion, citing (1) its records on the number of uniformed</w:t>
      </w:r>
      <w:r>
        <w:t xml:space="preserve"> </w:t>
      </w:r>
      <w:r w:rsidRPr="00E4309D">
        <w:t>firefighters in the courtroom; (2) the fact that the jury went to the jury room rather than</w:t>
      </w:r>
      <w:r>
        <w:t xml:space="preserve"> </w:t>
      </w:r>
      <w:r w:rsidRPr="00E4309D">
        <w:t>the hallway during breaks; (3) the fact that it did not witness or become aware of any</w:t>
      </w:r>
      <w:r>
        <w:t xml:space="preserve"> </w:t>
      </w:r>
      <w:r w:rsidRPr="00E4309D">
        <w:t>intimidating conduct; (4) the fact that the jury never saw more uniformed firefighters than</w:t>
      </w:r>
      <w:r>
        <w:t xml:space="preserve"> </w:t>
      </w:r>
      <w:r w:rsidRPr="00E4309D">
        <w:t>civilians; (5) the right of firefighters to watch the trial just like any member of the public;</w:t>
      </w:r>
      <w:r>
        <w:t xml:space="preserve"> </w:t>
      </w:r>
      <w:r w:rsidRPr="00E4309D">
        <w:t>and (6) the jurors’ agreement during voir dire not be influenced by hearing a firefighter</w:t>
      </w:r>
      <w:r>
        <w:t xml:space="preserve"> </w:t>
      </w:r>
      <w:r w:rsidRPr="00E4309D">
        <w:t>case or having firefighters in the audience</w:t>
      </w:r>
      <w:r>
        <w:t xml:space="preserve">. *** </w:t>
      </w:r>
      <w:r w:rsidRPr="00DD512F">
        <w:t>Defendant contends the presence of uniformed firefighters in the courtroom and</w:t>
      </w:r>
      <w:r>
        <w:t xml:space="preserve"> </w:t>
      </w:r>
      <w:r w:rsidRPr="00DD512F">
        <w:t>the circling of Engine 2 during the lunch hour denied him a fair trial. In support, he cites</w:t>
      </w:r>
      <w:r>
        <w:t xml:space="preserve"> </w:t>
      </w:r>
      <w:r w:rsidRPr="00DD512F">
        <w:t>the number of firefighters in the hallway in the morning and at lunch and the many media</w:t>
      </w:r>
      <w:r>
        <w:t xml:space="preserve"> </w:t>
      </w:r>
      <w:r w:rsidRPr="00DD512F">
        <w:t xml:space="preserve">requests indicating the </w:t>
      </w:r>
      <w:r>
        <w:t>‘</w:t>
      </w:r>
      <w:r w:rsidRPr="00DD512F">
        <w:t>local community’s close and strong relationship with the</w:t>
      </w:r>
      <w:r>
        <w:t xml:space="preserve"> </w:t>
      </w:r>
      <w:r w:rsidRPr="00DD512F">
        <w:t>firefighters.</w:t>
      </w:r>
      <w:r>
        <w:t>’</w:t>
      </w:r>
      <w:r w:rsidRPr="00DD512F">
        <w:t xml:space="preserve"> We are not persuaded.</w:t>
      </w:r>
      <w:r>
        <w:t xml:space="preserve">*** </w:t>
      </w:r>
      <w:r w:rsidRPr="000E4EF6">
        <w:t>Here, the trial court acted within its discretion. At the beginning and end of trial,</w:t>
      </w:r>
      <w:r>
        <w:t xml:space="preserve"> </w:t>
      </w:r>
      <w:r w:rsidRPr="000E4EF6">
        <w:t>the court instructed the jury against letting bias influence its decision, and both parties</w:t>
      </w:r>
      <w:r>
        <w:t xml:space="preserve"> </w:t>
      </w:r>
      <w:r w:rsidRPr="000E4EF6">
        <w:t>reinforced that instruction in closing arguments. The court noted it never saw more</w:t>
      </w:r>
      <w:r>
        <w:t xml:space="preserve"> </w:t>
      </w:r>
      <w:r w:rsidRPr="000E4EF6">
        <w:t>uniformed firefighters than civilians in the courtroom, and that observation does not</w:t>
      </w:r>
      <w:r>
        <w:t xml:space="preserve"> </w:t>
      </w:r>
      <w:r w:rsidRPr="000E4EF6">
        <w:t>conflict with counsel’s statements on the record. And counsel never objected to</w:t>
      </w:r>
      <w:r>
        <w:t xml:space="preserve"> </w:t>
      </w:r>
      <w:r w:rsidRPr="000E4EF6">
        <w:t>firefighter presence in the hallways.</w:t>
      </w:r>
      <w:r>
        <w:t xml:space="preserve">” </w:t>
      </w:r>
    </w:p>
    <w:p w14:paraId="6F7C9B79" w14:textId="77777777" w:rsidR="001B7551" w:rsidRDefault="001B7551" w:rsidP="001B7551">
      <w:pPr>
        <w:pStyle w:val="NoSpacing"/>
        <w:rPr>
          <w:b/>
        </w:rPr>
      </w:pPr>
      <w:r w:rsidRPr="00DD512F">
        <w:t xml:space="preserve"> </w:t>
      </w:r>
      <w:hyperlink r:id="rId408" w:history="1">
        <w:r w:rsidRPr="00DD512F">
          <w:rPr>
            <w:rStyle w:val="Hyperlink"/>
          </w:rPr>
          <w:t>https://www4.courts.ca.gov/opinions/nonpub/C102004.PDF</w:t>
        </w:r>
      </w:hyperlink>
      <w:r>
        <w:rPr>
          <w:b/>
        </w:rPr>
        <w:t xml:space="preserve"> </w:t>
      </w:r>
    </w:p>
    <w:p w14:paraId="1A655BCF" w14:textId="77777777" w:rsidR="001B7551" w:rsidRDefault="001B7551" w:rsidP="001B7551">
      <w:pPr>
        <w:rPr>
          <w:bCs/>
        </w:rPr>
      </w:pPr>
      <w:r>
        <w:t xml:space="preserve"> </w:t>
      </w:r>
    </w:p>
    <w:p w14:paraId="3D7FC893" w14:textId="77777777" w:rsidR="001B7551" w:rsidRPr="00897771" w:rsidRDefault="001B7551" w:rsidP="001B7551">
      <w:pPr>
        <w:rPr>
          <w:bCs/>
        </w:rPr>
      </w:pPr>
      <w:r>
        <w:t xml:space="preserve">THE COURT HELD: </w:t>
      </w:r>
    </w:p>
    <w:p w14:paraId="6A3E87F7" w14:textId="77777777" w:rsidR="001B7551" w:rsidRPr="00000601" w:rsidRDefault="001B7551" w:rsidP="001B7551">
      <w:pPr>
        <w:pStyle w:val="NoSpacing"/>
        <w:ind w:firstLine="720"/>
      </w:pPr>
      <w:r>
        <w:t>“</w:t>
      </w:r>
      <w:r w:rsidRPr="00000601">
        <w:t>Engine 2 arrived carrying three firefighters – the driver, a probationary firefighter,</w:t>
      </w:r>
    </w:p>
    <w:p w14:paraId="7BF30364" w14:textId="77777777" w:rsidR="001B7551" w:rsidRPr="00000601" w:rsidRDefault="001B7551" w:rsidP="001B7551">
      <w:pPr>
        <w:pStyle w:val="NoSpacing"/>
        <w:ind w:firstLine="720"/>
      </w:pPr>
      <w:r w:rsidRPr="00000601">
        <w:t>and captain. After opening the outer property gate with a saw, probationary firefighter</w:t>
      </w:r>
    </w:p>
    <w:p w14:paraId="34D60C6A" w14:textId="77777777" w:rsidR="001B7551" w:rsidRPr="00000601" w:rsidRDefault="001B7551" w:rsidP="001B7551">
      <w:pPr>
        <w:pStyle w:val="NoSpacing"/>
        <w:ind w:firstLine="720"/>
      </w:pPr>
      <w:r w:rsidRPr="00000601">
        <w:t>started spraying the area. Captain told them they needed to get inside the building, so he</w:t>
      </w:r>
    </w:p>
    <w:p w14:paraId="12A7065E" w14:textId="77777777" w:rsidR="001B7551" w:rsidRPr="00000601" w:rsidRDefault="001B7551" w:rsidP="001B7551">
      <w:pPr>
        <w:pStyle w:val="NoSpacing"/>
        <w:ind w:firstLine="720"/>
      </w:pPr>
      <w:r w:rsidRPr="00000601">
        <w:t>and driver went to a roll-up door and started cutting into the padlocks with a saw and an</w:t>
      </w:r>
    </w:p>
    <w:p w14:paraId="2CABFF0B" w14:textId="77777777" w:rsidR="001B7551" w:rsidRDefault="001B7551" w:rsidP="001B7551">
      <w:pPr>
        <w:pStyle w:val="NoSpacing"/>
        <w:ind w:firstLine="720"/>
      </w:pPr>
      <w:r w:rsidRPr="00000601">
        <w:t>angle grinder.</w:t>
      </w:r>
    </w:p>
    <w:p w14:paraId="5D6419FE" w14:textId="77777777" w:rsidR="001B7551" w:rsidRDefault="001B7551" w:rsidP="001B7551">
      <w:pPr>
        <w:pStyle w:val="NoSpacing"/>
        <w:ind w:firstLine="720"/>
      </w:pPr>
    </w:p>
    <w:p w14:paraId="64460CAC" w14:textId="77777777" w:rsidR="001B7551" w:rsidRDefault="001B7551" w:rsidP="001B7551">
      <w:pPr>
        <w:pStyle w:val="NoSpacing"/>
        <w:ind w:firstLine="720"/>
      </w:pPr>
      <w:r>
        <w:t>Meanwhile, inside the building, defendant was asleep in his room. One of his</w:t>
      </w:r>
    </w:p>
    <w:p w14:paraId="6E6115CC" w14:textId="77777777" w:rsidR="001B7551" w:rsidRDefault="001B7551" w:rsidP="001B7551">
      <w:pPr>
        <w:pStyle w:val="NoSpacing"/>
        <w:ind w:firstLine="720"/>
      </w:pPr>
      <w:r>
        <w:t>employees (</w:t>
      </w:r>
      <w:proofErr w:type="gramStart"/>
      <w:r>
        <w:t>employee</w:t>
      </w:r>
      <w:proofErr w:type="gramEnd"/>
      <w:r>
        <w:t xml:space="preserve">) </w:t>
      </w:r>
      <w:proofErr w:type="gramStart"/>
      <w:r>
        <w:t>was</w:t>
      </w:r>
      <w:proofErr w:type="gramEnd"/>
      <w:r>
        <w:t xml:space="preserve"> also inside the building sleeping in a trailer. </w:t>
      </w:r>
      <w:proofErr w:type="gramStart"/>
      <w:r>
        <w:t>Defendant</w:t>
      </w:r>
      <w:proofErr w:type="gramEnd"/>
      <w:r>
        <w:t xml:space="preserve"> </w:t>
      </w:r>
      <w:proofErr w:type="gramStart"/>
      <w:r>
        <w:t>woke</w:t>
      </w:r>
      <w:proofErr w:type="gramEnd"/>
    </w:p>
    <w:p w14:paraId="1D8E21DB" w14:textId="77777777" w:rsidR="001B7551" w:rsidRDefault="001B7551" w:rsidP="001B7551">
      <w:pPr>
        <w:pStyle w:val="NoSpacing"/>
        <w:ind w:firstLine="720"/>
      </w:pPr>
      <w:r>
        <w:t>to the sound of cutting noises in the back of the building that made him think someone</w:t>
      </w:r>
    </w:p>
    <w:p w14:paraId="70B59404" w14:textId="77777777" w:rsidR="001B7551" w:rsidRDefault="001B7551" w:rsidP="001B7551">
      <w:pPr>
        <w:pStyle w:val="NoSpacing"/>
        <w:ind w:firstLine="720"/>
      </w:pPr>
      <w:r>
        <w:t>was trying to break in. He didn’t know there was a fire happening. He did smell smoke,</w:t>
      </w:r>
    </w:p>
    <w:p w14:paraId="00FC45E8" w14:textId="77777777" w:rsidR="001B7551" w:rsidRDefault="001B7551" w:rsidP="001B7551">
      <w:pPr>
        <w:pStyle w:val="NoSpacing"/>
        <w:ind w:firstLine="720"/>
      </w:pPr>
      <w:r>
        <w:t>but it smelled the ‘same way [as] when you’re cutting metal.’ He ‘went out there and</w:t>
      </w:r>
    </w:p>
    <w:p w14:paraId="691290D9" w14:textId="77777777" w:rsidR="001B7551" w:rsidRDefault="001B7551" w:rsidP="001B7551">
      <w:pPr>
        <w:pStyle w:val="NoSpacing"/>
        <w:ind w:firstLine="720"/>
      </w:pPr>
      <w:r>
        <w:t>said, ‘Move away from the building</w:t>
      </w:r>
      <w:proofErr w:type="gramStart"/>
      <w:r>
        <w:t>.</w:t>
      </w:r>
      <w:proofErr w:type="gramEnd"/>
      <w:r>
        <w:t xml:space="preserve"> I have a firearm.’  After ‘nobody said anything,’</w:t>
      </w:r>
    </w:p>
    <w:p w14:paraId="084BBE30" w14:textId="77777777" w:rsidR="001B7551" w:rsidRDefault="001B7551" w:rsidP="001B7551">
      <w:pPr>
        <w:pStyle w:val="NoSpacing"/>
        <w:ind w:firstLine="720"/>
      </w:pPr>
      <w:r>
        <w:t>he ‘squeezed a couple of rounds at the door,’ specifically ‘down in the corner’ because</w:t>
      </w:r>
    </w:p>
    <w:p w14:paraId="5CCBDED9" w14:textId="77777777" w:rsidR="001B7551" w:rsidRDefault="001B7551" w:rsidP="001B7551">
      <w:pPr>
        <w:pStyle w:val="NoSpacing"/>
        <w:ind w:firstLine="720"/>
      </w:pPr>
      <w:r>
        <w:t>he was ‘not trying to shoot anybody.’ He just wanted to ‘scare them off’ because he:</w:t>
      </w:r>
    </w:p>
    <w:p w14:paraId="14311981" w14:textId="77777777" w:rsidR="001B7551" w:rsidRDefault="001B7551" w:rsidP="001B7551">
      <w:pPr>
        <w:pStyle w:val="NoSpacing"/>
        <w:ind w:firstLine="720"/>
      </w:pPr>
      <w:r>
        <w:t>(1) had a ‘problem with people trying to break in,’ (2) had ‘a lot of valuable equipment</w:t>
      </w:r>
    </w:p>
    <w:p w14:paraId="3AAC2834" w14:textId="77777777" w:rsidR="001B7551" w:rsidRDefault="001B7551" w:rsidP="001B7551">
      <w:pPr>
        <w:pStyle w:val="NoSpacing"/>
        <w:ind w:firstLine="720"/>
      </w:pPr>
      <w:r>
        <w:t>in there,’ (3) had a ‘problem in the back trailer with homeless people,’ and (4) figured</w:t>
      </w:r>
    </w:p>
    <w:p w14:paraId="798F3186" w14:textId="77777777" w:rsidR="001B7551" w:rsidRDefault="001B7551" w:rsidP="001B7551">
      <w:pPr>
        <w:pStyle w:val="NoSpacing"/>
        <w:ind w:firstLine="720"/>
      </w:pPr>
      <w:r>
        <w:t>people brazen enough to break in had to be armed. He also had macular degeneration</w:t>
      </w:r>
    </w:p>
    <w:p w14:paraId="056BCB55" w14:textId="77777777" w:rsidR="001B7551" w:rsidRDefault="001B7551" w:rsidP="001B7551">
      <w:pPr>
        <w:pStyle w:val="NoSpacing"/>
        <w:ind w:firstLine="720"/>
      </w:pPr>
      <w:r>
        <w:t>and could not see well in the dark. At some point, he woke employee and told her to call</w:t>
      </w:r>
    </w:p>
    <w:p w14:paraId="136433DA" w14:textId="77777777" w:rsidR="001B7551" w:rsidRDefault="001B7551" w:rsidP="001B7551">
      <w:pPr>
        <w:pStyle w:val="NoSpacing"/>
        <w:ind w:firstLine="720"/>
      </w:pPr>
      <w:r>
        <w:t>for help, which she did by calling 911 twice. Employee later testified that defendant</w:t>
      </w:r>
    </w:p>
    <w:p w14:paraId="0625FFFA" w14:textId="77777777" w:rsidR="001B7551" w:rsidRDefault="001B7551" w:rsidP="001B7551">
      <w:pPr>
        <w:pStyle w:val="NoSpacing"/>
        <w:ind w:firstLine="720"/>
      </w:pPr>
      <w:r>
        <w:t>saved her life that day by waking her up.</w:t>
      </w:r>
    </w:p>
    <w:p w14:paraId="7AD9BBC2" w14:textId="77777777" w:rsidR="001B7551" w:rsidRDefault="001B7551" w:rsidP="001B7551">
      <w:pPr>
        <w:pStyle w:val="NoSpacing"/>
        <w:ind w:firstLine="720"/>
      </w:pPr>
    </w:p>
    <w:p w14:paraId="0E050C8C" w14:textId="77777777" w:rsidR="001B7551" w:rsidRDefault="001B7551" w:rsidP="001B7551">
      <w:pPr>
        <w:pStyle w:val="NoSpacing"/>
        <w:ind w:firstLine="720"/>
      </w:pPr>
      <w:r>
        <w:t>***</w:t>
      </w:r>
    </w:p>
    <w:p w14:paraId="72BF0F21" w14:textId="77777777" w:rsidR="001B7551" w:rsidRDefault="001B7551" w:rsidP="001B7551">
      <w:pPr>
        <w:pStyle w:val="NoSpacing"/>
        <w:ind w:left="720"/>
      </w:pPr>
      <w:r>
        <w:t xml:space="preserve">The court also avoided unnecessary juror exposure to spectators by returning jurors to the jury room during breaks. Even assuming the multiple media requests evidenced a “close and strong relationship” between the community and the firefighters, as defendant argues, we conclude the court properly exercised its discretion to guard against any improper influence or pressure without impairing the firefighters’ rights to attend the trial. For these reasons, we conclude the presence of uniformed firefighters at trial was not inherently prejudicial. And because </w:t>
      </w:r>
      <w:proofErr w:type="gramStart"/>
      <w:r>
        <w:t>defendant does</w:t>
      </w:r>
      <w:proofErr w:type="gramEnd"/>
      <w:r>
        <w:t xml:space="preserve"> not contend there was actual prejudice, we reject his fair trial claim.</w:t>
      </w:r>
    </w:p>
    <w:p w14:paraId="26B44EA4" w14:textId="77777777" w:rsidR="001B7551" w:rsidRDefault="001B7551" w:rsidP="001B7551">
      <w:pPr>
        <w:pStyle w:val="NoSpacing"/>
        <w:ind w:left="720"/>
      </w:pPr>
    </w:p>
    <w:p w14:paraId="6E39A18C" w14:textId="77777777" w:rsidR="001B7551" w:rsidRDefault="001B7551" w:rsidP="001B7551">
      <w:pPr>
        <w:pStyle w:val="NoSpacing"/>
        <w:ind w:left="720"/>
      </w:pPr>
      <w:r>
        <w:t>***</w:t>
      </w:r>
    </w:p>
    <w:p w14:paraId="33F76C00" w14:textId="77777777" w:rsidR="001B7551" w:rsidRDefault="001B7551" w:rsidP="001B7551">
      <w:pPr>
        <w:pStyle w:val="NoSpacing"/>
        <w:ind w:left="720"/>
      </w:pPr>
      <w:r>
        <w:t>Here, the trial court instructed the jury that defendant was not guilty of murder if,</w:t>
      </w:r>
    </w:p>
    <w:p w14:paraId="35F70475" w14:textId="77777777" w:rsidR="001B7551" w:rsidRDefault="001B7551" w:rsidP="001B7551">
      <w:pPr>
        <w:pStyle w:val="NoSpacing"/>
        <w:ind w:left="720"/>
      </w:pPr>
      <w:r>
        <w:t>among other requirements, he reasonably believed he was defending a home from</w:t>
      </w:r>
    </w:p>
    <w:p w14:paraId="6072C8C7" w14:textId="77777777" w:rsidR="001B7551" w:rsidRDefault="001B7551" w:rsidP="001B7551">
      <w:pPr>
        <w:pStyle w:val="NoSpacing"/>
        <w:ind w:left="720"/>
      </w:pPr>
      <w:r>
        <w:t>someone who intended or tried to commit a robbery ‘whose character and manner</w:t>
      </w:r>
    </w:p>
    <w:p w14:paraId="2E8D770D" w14:textId="77777777" w:rsidR="001B7551" w:rsidRDefault="001B7551" w:rsidP="001B7551">
      <w:pPr>
        <w:pStyle w:val="NoSpacing"/>
        <w:ind w:left="720"/>
      </w:pPr>
      <w:r>
        <w:t>reasonably created a fear of death or serious bodily harm’ or ‘violently or tumultuously</w:t>
      </w:r>
    </w:p>
    <w:p w14:paraId="041CF1C3" w14:textId="77777777" w:rsidR="001B7551" w:rsidRDefault="001B7551" w:rsidP="001B7551">
      <w:pPr>
        <w:pStyle w:val="NoSpacing"/>
        <w:ind w:left="720"/>
      </w:pPr>
      <w:r>
        <w:t>tried to enter that home intending to commit an act of violence against someone inside.’</w:t>
      </w:r>
    </w:p>
    <w:p w14:paraId="6573769E" w14:textId="77777777" w:rsidR="001B7551" w:rsidRDefault="001B7551" w:rsidP="001B7551">
      <w:pPr>
        <w:pStyle w:val="NoSpacing"/>
        <w:ind w:left="720"/>
      </w:pPr>
      <w:r>
        <w:t>This instruction accurately stated the law as applied to the facts.”</w:t>
      </w:r>
    </w:p>
    <w:p w14:paraId="199A6EC2" w14:textId="77777777" w:rsidR="001B7551" w:rsidRDefault="001B7551" w:rsidP="001B7551">
      <w:pPr>
        <w:pStyle w:val="NoSpacing"/>
        <w:ind w:left="720"/>
      </w:pPr>
    </w:p>
    <w:p w14:paraId="5497B668" w14:textId="77777777" w:rsidR="001B7551" w:rsidRPr="00B53984" w:rsidRDefault="001B7551" w:rsidP="001B7551">
      <w:pPr>
        <w:rPr>
          <w:b/>
          <w:bCs/>
        </w:rPr>
      </w:pPr>
      <w:r>
        <w:rPr>
          <w:b/>
        </w:rPr>
        <w:t xml:space="preserve">Legal lesson learned: The defendant received a fair trial, with uniformed firefighters in attendance. </w:t>
      </w:r>
    </w:p>
    <w:p w14:paraId="5B3D9AE2" w14:textId="77777777" w:rsidR="001B7551" w:rsidRPr="007213A9" w:rsidRDefault="001B7551" w:rsidP="001B7551">
      <w:pPr>
        <w:pStyle w:val="NoSpacing"/>
        <w:ind w:left="720"/>
      </w:pPr>
      <w:r w:rsidRPr="007213A9">
        <w:t xml:space="preserve">Note: See Aug. 22, </w:t>
      </w:r>
      <w:proofErr w:type="gramStart"/>
      <w:r w:rsidRPr="007213A9">
        <w:t>2024</w:t>
      </w:r>
      <w:proofErr w:type="gramEnd"/>
      <w:r w:rsidRPr="007213A9">
        <w:t xml:space="preserve"> article: </w:t>
      </w:r>
      <w:r>
        <w:t>“</w:t>
      </w:r>
      <w:r w:rsidRPr="007213A9">
        <w:t>Man given 15 years to life for fatally shooting fire captain in 2022.</w:t>
      </w:r>
      <w:r>
        <w:t>”</w:t>
      </w:r>
      <w:r w:rsidRPr="007213A9">
        <w:t xml:space="preserve"> </w:t>
      </w:r>
      <w:hyperlink r:id="rId409" w:history="1">
        <w:r w:rsidRPr="007213A9">
          <w:rPr>
            <w:rStyle w:val="Hyperlink"/>
          </w:rPr>
          <w:t>https://stocktonia.org/news/public-safety/2024/08/22/man-given-15-years-to-life-for-fatally-shooting-fire-captain-in-2022/</w:t>
        </w:r>
      </w:hyperlink>
      <w:r w:rsidRPr="007213A9">
        <w:t xml:space="preserve"> </w:t>
      </w:r>
    </w:p>
    <w:p w14:paraId="656BA78A" w14:textId="77777777" w:rsidR="001B7551" w:rsidRDefault="001B7551" w:rsidP="001B7551">
      <w:pPr>
        <w:pStyle w:val="NoSpacing"/>
        <w:rPr>
          <w:bCs/>
        </w:rPr>
      </w:pPr>
    </w:p>
    <w:p w14:paraId="6E07585C" w14:textId="77777777" w:rsidR="001B7551" w:rsidRDefault="001B7551" w:rsidP="001B7551">
      <w:pPr>
        <w:pStyle w:val="NoSpacing"/>
        <w:rPr>
          <w:bCs/>
        </w:rPr>
      </w:pPr>
    </w:p>
    <w:p w14:paraId="2AD5AB99" w14:textId="77777777" w:rsidR="001B7551" w:rsidRDefault="001B7551" w:rsidP="001B7551">
      <w:pPr>
        <w:pStyle w:val="NoSpacing"/>
        <w:rPr>
          <w:bCs/>
        </w:rPr>
      </w:pPr>
    </w:p>
    <w:p w14:paraId="6224CEE4" w14:textId="77777777" w:rsidR="001B7551" w:rsidRDefault="001B7551" w:rsidP="001B7551">
      <w:pPr>
        <w:pStyle w:val="NoSpacing"/>
        <w:rPr>
          <w:bCs/>
        </w:rPr>
      </w:pPr>
    </w:p>
    <w:p w14:paraId="3921F784" w14:textId="77777777" w:rsidR="001B7551" w:rsidRDefault="001B7551" w:rsidP="001B7551">
      <w:pPr>
        <w:pStyle w:val="NoSpacing"/>
        <w:rPr>
          <w:bCs/>
        </w:rPr>
      </w:pPr>
    </w:p>
    <w:p w14:paraId="67215200" w14:textId="77777777" w:rsidR="001B7551" w:rsidRDefault="001B7551" w:rsidP="001B7551">
      <w:pPr>
        <w:pStyle w:val="NoSpacing"/>
        <w:rPr>
          <w:bCs/>
        </w:rPr>
      </w:pPr>
    </w:p>
    <w:p w14:paraId="37C3A343" w14:textId="708FA99B" w:rsidR="001B7551" w:rsidRDefault="001B7551" w:rsidP="001B7551">
      <w:pPr>
        <w:rPr>
          <w:rFonts w:ascii="Arial Black" w:hAnsi="Arial Black"/>
          <w:sz w:val="28"/>
          <w:szCs w:val="28"/>
        </w:rPr>
      </w:pPr>
      <w:r>
        <w:rPr>
          <w:rFonts w:ascii="Arial Black" w:hAnsi="Arial Black"/>
          <w:sz w:val="24"/>
          <w:szCs w:val="24"/>
        </w:rPr>
        <w:t>2-111</w:t>
      </w:r>
    </w:p>
    <w:p w14:paraId="1B61B702" w14:textId="77777777" w:rsidR="001B7551" w:rsidRPr="009501FD" w:rsidRDefault="001B7551" w:rsidP="001B7551">
      <w:pPr>
        <w:pStyle w:val="NoSpacing"/>
        <w:rPr>
          <w:bCs/>
        </w:rPr>
      </w:pPr>
    </w:p>
    <w:p w14:paraId="0EB6865F" w14:textId="77777777" w:rsidR="001B7551" w:rsidRPr="00F81800" w:rsidRDefault="001B7551" w:rsidP="001B7551">
      <w:pPr>
        <w:pStyle w:val="NoSpacing"/>
        <w:rPr>
          <w:rFonts w:ascii="Arial Black" w:hAnsi="Arial Black"/>
          <w:sz w:val="28"/>
          <w:szCs w:val="28"/>
        </w:rPr>
      </w:pPr>
      <w:r>
        <w:rPr>
          <w:rFonts w:ascii="Arial Black" w:hAnsi="Arial Black"/>
          <w:sz w:val="28"/>
          <w:szCs w:val="28"/>
        </w:rPr>
        <w:t>MO: LODD PAYMENT - MUST FILE 1-YR – EVEN WC GRANTED</w:t>
      </w:r>
    </w:p>
    <w:p w14:paraId="0B4D984C" w14:textId="77777777" w:rsidR="001B7551" w:rsidRDefault="001B7551" w:rsidP="001B7551">
      <w:pPr>
        <w:pStyle w:val="NoSpacing"/>
      </w:pPr>
    </w:p>
    <w:p w14:paraId="3AD84E69" w14:textId="77777777" w:rsidR="001B7551" w:rsidRDefault="001B7551" w:rsidP="001B7551">
      <w:pPr>
        <w:pStyle w:val="NoSpacing"/>
        <w:rPr>
          <w:b/>
          <w:bCs/>
        </w:rPr>
      </w:pPr>
      <w:r>
        <w:t xml:space="preserve">On May 26, 2026, in </w:t>
      </w:r>
      <w:r w:rsidRPr="006D5499">
        <w:rPr>
          <w:u w:val="single"/>
        </w:rPr>
        <w:t>Patrick Brian Williams (Deceased), and Jennifer Williams v. City of Kansas City, et al</w:t>
      </w:r>
      <w:r>
        <w:t xml:space="preserve">., the </w:t>
      </w:r>
      <w:r w:rsidRPr="006D5499">
        <w:t>Court of Appeals of Missouri, Western District, Second Division</w:t>
      </w:r>
      <w:r>
        <w:t xml:space="preserve"> held (3 to 0) that the </w:t>
      </w:r>
      <w:r w:rsidRPr="00001213">
        <w:t>Labor and</w:t>
      </w:r>
      <w:r>
        <w:t xml:space="preserve"> </w:t>
      </w:r>
      <w:r w:rsidRPr="00001213">
        <w:t>Industrial Relations Commission</w:t>
      </w:r>
      <w:r>
        <w:t xml:space="preserve"> properly denied Line of Duty Death cash benefits (currently </w:t>
      </w:r>
      <w:r w:rsidRPr="00147F68">
        <w:t>$25,000</w:t>
      </w:r>
      <w:r>
        <w:t>; and up to $20,000 f</w:t>
      </w:r>
      <w:r w:rsidRPr="00147F68">
        <w:t>or funeral expenses</w:t>
      </w:r>
      <w:r>
        <w:t>)</w:t>
      </w:r>
      <w:r w:rsidRPr="00147F68">
        <w:t>,</w:t>
      </w:r>
      <w:r>
        <w:t xml:space="preserve"> since the claim was not filed within one year of his death.  </w:t>
      </w:r>
      <w:r w:rsidRPr="00BF7576">
        <w:t>Firefighter Williams served as a firefighter for the City of Kansas City,</w:t>
      </w:r>
      <w:r>
        <w:t xml:space="preserve"> </w:t>
      </w:r>
      <w:r w:rsidRPr="00BF7576">
        <w:t>Missouri, for 38 years. Due to his exposure to multiple workplace carcinogens, he</w:t>
      </w:r>
      <w:r>
        <w:t xml:space="preserve"> </w:t>
      </w:r>
      <w:r w:rsidRPr="00BF7576">
        <w:t>developed metastatic neuroendocrine carcinoma and multiple myeloma</w:t>
      </w:r>
      <w:r>
        <w:t xml:space="preserve">, and he died </w:t>
      </w:r>
      <w:r w:rsidRPr="00BF7576">
        <w:t>on February 23, 2018.</w:t>
      </w:r>
      <w:r>
        <w:t xml:space="preserve">  Mrs. Williams didn’t file LODD claim until September 25, 2023.  Prior to filing the LDC claim, she timely filed Worker’s Comp claim and on </w:t>
      </w:r>
      <w:r w:rsidRPr="00385676">
        <w:t>August 31, 2023, the ALJ issued an award of workers’</w:t>
      </w:r>
      <w:r>
        <w:t xml:space="preserve"> </w:t>
      </w:r>
      <w:r w:rsidRPr="00385676">
        <w:t>compensation benefits</w:t>
      </w:r>
      <w:r>
        <w:t>.  THE COURT WROTE: “Specifically, Williams argues the LDC Claim is a successive adjudication presenting the same facts and issues as those previously decided in her WC Award. She asserts the WC Award issued findings of fact and conclusions of law which were dispositive of the issues before the Commission in the LDC Claim, thus the Commission is bound by its findings in the WC Award.</w:t>
      </w:r>
      <w:r w:rsidRPr="002B19C9">
        <w:t xml:space="preserve"> </w:t>
      </w:r>
      <w:proofErr w:type="gramStart"/>
      <w:r>
        <w:t>The end result</w:t>
      </w:r>
      <w:proofErr w:type="gramEnd"/>
      <w:r>
        <w:t xml:space="preserve"> of her argument appears to be that the time limit in which to file an LDC claim is somehow tolled until the WC claim is resolved. On the other hand, Respondent argues that the law of the case doctrine is not implicated here because the doctrine only applies to subsequent proceedings in the same case, and Williams’s WC Claim and LDC Claim are two entirely separate matters. We agree with Respondent</w:t>
      </w:r>
      <w:r w:rsidRPr="00B701F9">
        <w:t xml:space="preserve">.”  </w:t>
      </w:r>
      <w:hyperlink r:id="rId410" w:history="1">
        <w:r w:rsidRPr="00B701F9">
          <w:rPr>
            <w:rStyle w:val="Hyperlink"/>
          </w:rPr>
          <w:t>https://cases.justia.com/missouri/court-of-appeals/2026-wd88291.pdf?ts=1779809421</w:t>
        </w:r>
      </w:hyperlink>
      <w:r>
        <w:rPr>
          <w:b/>
        </w:rPr>
        <w:t xml:space="preserve"> </w:t>
      </w:r>
    </w:p>
    <w:p w14:paraId="1744F1D5" w14:textId="77777777" w:rsidR="001B7551" w:rsidRDefault="001B7551" w:rsidP="001B7551">
      <w:pPr>
        <w:pStyle w:val="NoSpacing"/>
        <w:rPr>
          <w:b/>
          <w:bCs/>
        </w:rPr>
      </w:pPr>
    </w:p>
    <w:p w14:paraId="4AFE2A22" w14:textId="77777777" w:rsidR="001B7551" w:rsidRDefault="001B7551" w:rsidP="001B7551">
      <w:pPr>
        <w:pStyle w:val="NoSpacing"/>
      </w:pPr>
      <w:r>
        <w:t>THE COURT HELD:</w:t>
      </w:r>
    </w:p>
    <w:p w14:paraId="13A32535" w14:textId="77777777" w:rsidR="001B7551" w:rsidRDefault="001B7551" w:rsidP="001B7551">
      <w:pPr>
        <w:pStyle w:val="NoSpacing"/>
      </w:pPr>
    </w:p>
    <w:p w14:paraId="74D72756" w14:textId="77777777" w:rsidR="001B7551" w:rsidRDefault="001B7551" w:rsidP="001B7551">
      <w:pPr>
        <w:pStyle w:val="NoSpacing"/>
        <w:ind w:left="720"/>
      </w:pPr>
      <w:r>
        <w:t xml:space="preserve">“LDC claims and WC claims are also subject to different statutes of limitations, further evidencing their separate nature. Contrast section 287.243.3(1) (creating a one-year statute of limitations in which to file an LDC claim), with section 287.430 (creating a statute of limitations </w:t>
      </w:r>
      <w:r w:rsidRPr="001058BE">
        <w:t>ranging from one to three years for WC claims, depending on the circumstances).</w:t>
      </w:r>
    </w:p>
    <w:p w14:paraId="7D0CFA36" w14:textId="77777777" w:rsidR="001B7551" w:rsidRDefault="001B7551" w:rsidP="001B7551">
      <w:pPr>
        <w:pStyle w:val="NoSpacing"/>
        <w:ind w:left="720"/>
      </w:pPr>
    </w:p>
    <w:p w14:paraId="75E7E013" w14:textId="77777777" w:rsidR="001B7551" w:rsidRDefault="001B7551" w:rsidP="001B7551">
      <w:pPr>
        <w:pStyle w:val="NoSpacing"/>
        <w:ind w:left="720"/>
      </w:pPr>
      <w:r>
        <w:t>***</w:t>
      </w:r>
    </w:p>
    <w:p w14:paraId="5B8C3FD9" w14:textId="77777777" w:rsidR="001B7551" w:rsidRDefault="001B7551" w:rsidP="001B7551">
      <w:pPr>
        <w:pStyle w:val="NoSpacing"/>
        <w:ind w:left="720"/>
      </w:pPr>
    </w:p>
    <w:p w14:paraId="2E7A46EB" w14:textId="77777777" w:rsidR="001B7551" w:rsidRDefault="001B7551" w:rsidP="001B7551">
      <w:pPr>
        <w:pStyle w:val="NoSpacing"/>
        <w:ind w:left="720"/>
      </w:pPr>
      <w:r>
        <w:t xml:space="preserve">Williams’s point on appeal relating to the law of the case doctrine is denied as her WC Claim is wholly separate and distinct from her LDC Claim such that the </w:t>
      </w:r>
      <w:proofErr w:type="spellStart"/>
      <w:r w:rsidRPr="00286D94">
        <w:t>aw</w:t>
      </w:r>
      <w:proofErr w:type="spellEnd"/>
      <w:r w:rsidRPr="00286D94">
        <w:t xml:space="preserve"> of the case doctrine is not implicated</w:t>
      </w:r>
      <w:r>
        <w:t>.”</w:t>
      </w:r>
    </w:p>
    <w:p w14:paraId="23FF6C1B" w14:textId="77777777" w:rsidR="001B7551" w:rsidRDefault="001B7551" w:rsidP="001B7551">
      <w:pPr>
        <w:pStyle w:val="NoSpacing"/>
        <w:ind w:left="720"/>
      </w:pPr>
    </w:p>
    <w:p w14:paraId="18E30D45" w14:textId="77777777" w:rsidR="001B7551" w:rsidRPr="00286D94" w:rsidRDefault="001B7551" w:rsidP="001B7551">
      <w:pPr>
        <w:pStyle w:val="NoSpacing"/>
        <w:rPr>
          <w:b/>
          <w:bCs/>
        </w:rPr>
      </w:pPr>
      <w:r>
        <w:rPr>
          <w:b/>
        </w:rPr>
        <w:t xml:space="preserve">Legal lesson learned: Unfortunate that the state has two different statutes of limitations for a family of filing for work comp and line of duty death benefits. </w:t>
      </w:r>
    </w:p>
    <w:p w14:paraId="5980D227" w14:textId="77777777" w:rsidR="001B7551" w:rsidRDefault="001B7551" w:rsidP="001B7551">
      <w:pPr>
        <w:pStyle w:val="NoSpacing"/>
      </w:pPr>
    </w:p>
    <w:p w14:paraId="5CE1E527" w14:textId="77777777" w:rsidR="001B7551" w:rsidRDefault="001B7551" w:rsidP="00816870">
      <w:pPr>
        <w:rPr>
          <w:rFonts w:ascii="Arial Black" w:hAnsi="Arial Black"/>
          <w:sz w:val="24"/>
          <w:szCs w:val="24"/>
        </w:rPr>
      </w:pPr>
    </w:p>
    <w:p w14:paraId="4829F8F2" w14:textId="77777777" w:rsidR="001B7551" w:rsidRDefault="001B7551" w:rsidP="00816870">
      <w:pPr>
        <w:rPr>
          <w:rFonts w:ascii="Arial Black" w:hAnsi="Arial Black"/>
          <w:sz w:val="24"/>
          <w:szCs w:val="24"/>
        </w:rPr>
      </w:pPr>
    </w:p>
    <w:p w14:paraId="42958980" w14:textId="2E5CD55E" w:rsidR="00816870" w:rsidRDefault="00816870" w:rsidP="00816870">
      <w:pPr>
        <w:rPr>
          <w:rFonts w:ascii="Arial Black" w:hAnsi="Arial Black"/>
          <w:sz w:val="28"/>
          <w:szCs w:val="28"/>
        </w:rPr>
      </w:pPr>
      <w:r>
        <w:rPr>
          <w:rFonts w:ascii="Arial Black" w:hAnsi="Arial Black"/>
          <w:sz w:val="24"/>
          <w:szCs w:val="24"/>
        </w:rPr>
        <w:t>2-110</w:t>
      </w:r>
    </w:p>
    <w:p w14:paraId="55718CA1" w14:textId="03CF4BA4" w:rsidR="00997F6F" w:rsidRPr="00ED3EF8" w:rsidRDefault="00997F6F" w:rsidP="00997F6F">
      <w:pPr>
        <w:pStyle w:val="NoSpacing"/>
        <w:rPr>
          <w:rFonts w:ascii="Arial Black" w:hAnsi="Arial Black"/>
          <w:sz w:val="28"/>
          <w:szCs w:val="28"/>
        </w:rPr>
      </w:pPr>
      <w:r>
        <w:rPr>
          <w:rFonts w:ascii="Arial Black" w:hAnsi="Arial Black"/>
          <w:sz w:val="28"/>
          <w:szCs w:val="28"/>
        </w:rPr>
        <w:t>IL: CATASTROPHIC INJURY – ADDED BENEFITS REMOVED</w:t>
      </w:r>
    </w:p>
    <w:p w14:paraId="002CEB03" w14:textId="77777777" w:rsidR="00997F6F" w:rsidRDefault="00997F6F" w:rsidP="00997F6F">
      <w:pPr>
        <w:pStyle w:val="NoSpacing"/>
      </w:pPr>
    </w:p>
    <w:p w14:paraId="5640827E" w14:textId="77777777" w:rsidR="00997F6F" w:rsidRDefault="00997F6F" w:rsidP="00997F6F">
      <w:pPr>
        <w:pStyle w:val="NoSpacing"/>
      </w:pPr>
      <w:r>
        <w:t xml:space="preserve">On May 1, 2026, in </w:t>
      </w:r>
      <w:r w:rsidRPr="00B944BC">
        <w:rPr>
          <w:u w:val="single"/>
        </w:rPr>
        <w:t>Benjamin Carter v. Fox Lake Fire Protection District</w:t>
      </w:r>
      <w:r>
        <w:t xml:space="preserve">, the </w:t>
      </w:r>
      <w:r w:rsidRPr="00653FCF">
        <w:t>Court of Appeals of Illinois, Second District</w:t>
      </w:r>
      <w:r>
        <w:t xml:space="preserve"> held (3 to 0) that trial court properly held that while state’s </w:t>
      </w:r>
      <w:r w:rsidRPr="00CA16B0">
        <w:t>Public Safety Employee Benefits Act</w:t>
      </w:r>
      <w:r>
        <w:t xml:space="preserve"> required FD to pay premiums for health insurance for his lifetime, the FD can remove “supplemental benefits” offered to him (and all current firefighters) for past six years - vision, dental, and life insurance, and the HRA benefit [Health Reimbursement Arrangement plan] to help pay the high medical expense deductibles and co-pays under the Blue Cross / Blue Shield.  </w:t>
      </w:r>
      <w:hyperlink r:id="rId411" w:history="1">
        <w:r w:rsidRPr="00EF04F6">
          <w:rPr>
            <w:rStyle w:val="Hyperlink"/>
          </w:rPr>
          <w:t>https://ilcourtsaudio.blob.core.windows.net/antilles-resources/resources/865bbd6b-111a-42c0-93b7-0362e44b14c7/Carter%20v.%20Fox%20Lake%20Fire%20Protection%20District%202026%20IL%20App%20(2d)%20250374.pdf</w:t>
        </w:r>
      </w:hyperlink>
      <w:r>
        <w:t xml:space="preserve"> </w:t>
      </w:r>
    </w:p>
    <w:p w14:paraId="03DB02A8" w14:textId="77777777" w:rsidR="00997F6F" w:rsidRDefault="00997F6F" w:rsidP="00997F6F">
      <w:pPr>
        <w:pStyle w:val="NoSpacing"/>
      </w:pPr>
    </w:p>
    <w:p w14:paraId="04019198" w14:textId="77777777" w:rsidR="00997F6F" w:rsidRDefault="00997F6F" w:rsidP="00997F6F">
      <w:pPr>
        <w:pStyle w:val="NoSpacing"/>
      </w:pPr>
      <w:r>
        <w:t>THE COURT HELD:</w:t>
      </w:r>
    </w:p>
    <w:p w14:paraId="4B3B2E4A" w14:textId="77777777" w:rsidR="00997F6F" w:rsidRDefault="00997F6F" w:rsidP="00997F6F">
      <w:pPr>
        <w:pStyle w:val="NoSpacing"/>
      </w:pPr>
    </w:p>
    <w:p w14:paraId="386B9DF5" w14:textId="77777777" w:rsidR="00997F6F" w:rsidRDefault="00997F6F" w:rsidP="00997F6F">
      <w:pPr>
        <w:pStyle w:val="NoSpacing"/>
        <w:ind w:left="720"/>
      </w:pPr>
      <w:r>
        <w:t>“Carter was a firefighter with the District from March 16, 2012, until August 9, 2017. On</w:t>
      </w:r>
    </w:p>
    <w:p w14:paraId="13978803" w14:textId="77777777" w:rsidR="00997F6F" w:rsidRDefault="00997F6F" w:rsidP="00997F6F">
      <w:pPr>
        <w:pStyle w:val="NoSpacing"/>
        <w:ind w:left="720"/>
      </w:pPr>
      <w:r>
        <w:t xml:space="preserve">October 20, 2014, he suffered a catastrophic injury while responding to a motor vehicle crash. On August 9, 2017, Carter was awarded a duty-related disability pension. Further, under section 10 of </w:t>
      </w:r>
      <w:proofErr w:type="spellStart"/>
      <w:proofErr w:type="gramStart"/>
      <w:r>
        <w:t>he</w:t>
      </w:r>
      <w:proofErr w:type="spellEnd"/>
      <w:proofErr w:type="gramEnd"/>
      <w:r>
        <w:t xml:space="preserve"> Public Safety Employee Benefits Act (Benefits Act) (820 ILCS 320/10 (West 2016)), Carter became entitled to receive certain health insurance benefits for the remainder of his life at no cost.</w:t>
      </w:r>
    </w:p>
    <w:p w14:paraId="3749A3EC" w14:textId="77777777" w:rsidR="00997F6F" w:rsidRDefault="00997F6F" w:rsidP="00997F6F">
      <w:pPr>
        <w:pStyle w:val="NoSpacing"/>
        <w:ind w:left="720"/>
      </w:pPr>
    </w:p>
    <w:p w14:paraId="1F225D7E" w14:textId="77777777" w:rsidR="00997F6F" w:rsidRDefault="00997F6F" w:rsidP="00997F6F">
      <w:pPr>
        <w:pStyle w:val="NoSpacing"/>
        <w:ind w:left="720"/>
      </w:pPr>
      <w:r>
        <w:t xml:space="preserve">Since 2012, the </w:t>
      </w:r>
      <w:proofErr w:type="gramStart"/>
      <w:r>
        <w:t>District</w:t>
      </w:r>
      <w:proofErr w:type="gramEnd"/>
      <w:r>
        <w:t xml:space="preserve"> had provided all its employees with a high-deductible group health insurance plan through Blue Cross/Blue Shield. The </w:t>
      </w:r>
      <w:proofErr w:type="gramStart"/>
      <w:r>
        <w:t>District</w:t>
      </w:r>
      <w:proofErr w:type="gramEnd"/>
      <w:r>
        <w:t xml:space="preserve"> also provided all its active members with a Health Reimbursement Arrangement plan (HRA), through Employment Benefits Corporation (EBC), to help pay the high medical expense deductibles and co-pays under the Blue Cross/Blue Shield plan. The HRA benefit was provided in the form of a debit card funded by the </w:t>
      </w:r>
      <w:proofErr w:type="gramStart"/>
      <w:r>
        <w:t>District</w:t>
      </w:r>
      <w:proofErr w:type="gramEnd"/>
      <w:r>
        <w:t xml:space="preserve"> that employees could use to pay non-covered medical expenses.</w:t>
      </w:r>
    </w:p>
    <w:p w14:paraId="04696C90" w14:textId="77777777" w:rsidR="00997F6F" w:rsidRDefault="00997F6F" w:rsidP="00997F6F">
      <w:pPr>
        <w:pStyle w:val="NoSpacing"/>
        <w:ind w:left="720"/>
      </w:pPr>
    </w:p>
    <w:p w14:paraId="5B769638" w14:textId="77777777" w:rsidR="00997F6F" w:rsidRDefault="00997F6F" w:rsidP="00997F6F">
      <w:pPr>
        <w:pStyle w:val="NoSpacing"/>
        <w:ind w:left="720"/>
      </w:pPr>
      <w:r>
        <w:t>***</w:t>
      </w:r>
    </w:p>
    <w:p w14:paraId="6F6DCE3D" w14:textId="77777777" w:rsidR="00997F6F" w:rsidRDefault="00997F6F" w:rsidP="00997F6F">
      <w:pPr>
        <w:pStyle w:val="NoSpacing"/>
        <w:ind w:left="720"/>
      </w:pPr>
      <w:r>
        <w:t xml:space="preserve">From August 2017 through December 31, 2023, the District continued to provide the same benefits to Carter that it provided to its active employees. That is, the </w:t>
      </w:r>
      <w:proofErr w:type="gramStart"/>
      <w:r>
        <w:t>District</w:t>
      </w:r>
      <w:proofErr w:type="gramEnd"/>
      <w:r>
        <w:t xml:space="preserve"> paid the premium for Carter’s coverage in the Blue Cross/Blue Shield group health insurance plan and provided Carter with the HRA benefit. The </w:t>
      </w:r>
      <w:proofErr w:type="gramStart"/>
      <w:r>
        <w:t>District</w:t>
      </w:r>
      <w:proofErr w:type="gramEnd"/>
      <w:r>
        <w:t xml:space="preserve"> also provided Carter with vision, dental, and life insurance.</w:t>
      </w:r>
    </w:p>
    <w:p w14:paraId="628DE994" w14:textId="77777777" w:rsidR="00997F6F" w:rsidRDefault="00997F6F" w:rsidP="00997F6F">
      <w:pPr>
        <w:pStyle w:val="NoSpacing"/>
        <w:ind w:left="720"/>
      </w:pPr>
    </w:p>
    <w:p w14:paraId="7946B07F" w14:textId="77777777" w:rsidR="00997F6F" w:rsidRDefault="00997F6F" w:rsidP="00997F6F">
      <w:pPr>
        <w:pStyle w:val="NoSpacing"/>
        <w:ind w:left="720"/>
      </w:pPr>
      <w:r>
        <w:t>On September 28, 2023, the District notified Carter that it had determined that he was</w:t>
      </w:r>
    </w:p>
    <w:p w14:paraId="27EE0142" w14:textId="77777777" w:rsidR="00997F6F" w:rsidRDefault="00997F6F" w:rsidP="00997F6F">
      <w:pPr>
        <w:pStyle w:val="NoSpacing"/>
        <w:ind w:left="720"/>
      </w:pPr>
      <w:r>
        <w:t xml:space="preserve">receiving benefits beyond those he was entitled to receive under the Benefits Act. Specifically, the District informed Carter that he was not entitled to receive vision, dental, or life insurance or any HRA benefits. The </w:t>
      </w:r>
      <w:proofErr w:type="gramStart"/>
      <w:r>
        <w:t>District</w:t>
      </w:r>
      <w:proofErr w:type="gramEnd"/>
      <w:r>
        <w:t xml:space="preserve"> indicated that those benefits would cease on January 1, 2024.</w:t>
      </w:r>
    </w:p>
    <w:p w14:paraId="70B30409" w14:textId="77777777" w:rsidR="00997F6F" w:rsidRDefault="00997F6F" w:rsidP="00997F6F">
      <w:pPr>
        <w:pStyle w:val="NoSpacing"/>
        <w:ind w:left="720"/>
      </w:pPr>
    </w:p>
    <w:p w14:paraId="1EAEBCEA" w14:textId="77777777" w:rsidR="00997F6F" w:rsidRDefault="00997F6F" w:rsidP="00997F6F">
      <w:pPr>
        <w:pStyle w:val="NoSpacing"/>
        <w:ind w:left="720"/>
      </w:pPr>
      <w:r>
        <w:t>***</w:t>
      </w:r>
    </w:p>
    <w:p w14:paraId="3092295C" w14:textId="77777777" w:rsidR="00997F6F" w:rsidRDefault="00997F6F" w:rsidP="00997F6F">
      <w:pPr>
        <w:pStyle w:val="NoSpacing"/>
        <w:ind w:left="720"/>
      </w:pPr>
      <w:r>
        <w:t xml:space="preserve">The language of the Benefits Act is clear— the </w:t>
      </w:r>
      <w:proofErr w:type="gramStart"/>
      <w:r>
        <w:t>District</w:t>
      </w:r>
      <w:proofErr w:type="gramEnd"/>
      <w:r>
        <w:t xml:space="preserve"> must continue to provide its injured employees with health insurance coverage by paying the entire premium associated with its health insurance plan…. The Benefits Act also plainly states </w:t>
      </w:r>
      <w:proofErr w:type="gramStart"/>
      <w:r>
        <w:t>that ‘[t]</w:t>
      </w:r>
      <w:proofErr w:type="gramEnd"/>
      <w:r>
        <w:t xml:space="preserve">he term ‘health insurance plan’ does not include supplemental benefits that are not part of the basic group health insurance </w:t>
      </w:r>
      <w:proofErr w:type="gramStart"/>
      <w:r>
        <w:t>plan.’</w:t>
      </w:r>
      <w:proofErr w:type="gramEnd"/>
      <w:r>
        <w:t xml:space="preserve"> … There is no indication in the </w:t>
      </w:r>
      <w:proofErr w:type="gramStart"/>
      <w:r>
        <w:t>District’s</w:t>
      </w:r>
      <w:proofErr w:type="gramEnd"/>
      <w:r>
        <w:t xml:space="preserve"> health insurance plan that HRA benefits are part of this plan. Thus, HRA benefits are supplemental benefits that are not mandated by the Benefits Act.”</w:t>
      </w:r>
    </w:p>
    <w:p w14:paraId="72498BC8" w14:textId="77777777" w:rsidR="00997F6F" w:rsidRDefault="00997F6F" w:rsidP="00997F6F">
      <w:pPr>
        <w:pStyle w:val="NoSpacing"/>
        <w:ind w:left="720"/>
      </w:pPr>
    </w:p>
    <w:p w14:paraId="0A845DF0" w14:textId="77777777" w:rsidR="00997F6F" w:rsidRPr="00C46E56" w:rsidRDefault="00997F6F" w:rsidP="00997F6F">
      <w:pPr>
        <w:rPr>
          <w:b/>
          <w:bCs/>
        </w:rPr>
      </w:pPr>
      <w:r>
        <w:rPr>
          <w:b/>
        </w:rPr>
        <w:t xml:space="preserve">Legal lesson learned:  The statute needs to be amended; hard to understand why the Fire District removed benefits they were proving to an injured firefighter for six years.  </w:t>
      </w:r>
    </w:p>
    <w:p w14:paraId="1314716B" w14:textId="77777777" w:rsidR="00997F6F" w:rsidRDefault="00997F6F" w:rsidP="00997F6F">
      <w:pPr>
        <w:pStyle w:val="NoSpacing"/>
      </w:pPr>
      <w:r>
        <w:tab/>
        <w:t xml:space="preserve">Note: See benefits </w:t>
      </w:r>
    </w:p>
    <w:p w14:paraId="124FD650" w14:textId="77777777" w:rsidR="00997F6F" w:rsidRDefault="00997F6F" w:rsidP="00997F6F">
      <w:pPr>
        <w:pStyle w:val="NoSpacing"/>
      </w:pPr>
    </w:p>
    <w:p w14:paraId="1BDD76A2" w14:textId="77777777" w:rsidR="00997F6F" w:rsidRDefault="00997F6F" w:rsidP="00997F6F">
      <w:pPr>
        <w:pStyle w:val="NoSpacing"/>
        <w:ind w:firstLine="720"/>
      </w:pPr>
      <w:r>
        <w:t xml:space="preserve">Section 10(a) of </w:t>
      </w:r>
      <w:r w:rsidRPr="00CA16B0">
        <w:t>Public Safety Employee Benefits Act</w:t>
      </w:r>
      <w:r>
        <w:t>:</w:t>
      </w:r>
    </w:p>
    <w:p w14:paraId="1A1CE7D7" w14:textId="77777777" w:rsidR="00997F6F" w:rsidRDefault="00997F6F" w:rsidP="00997F6F">
      <w:pPr>
        <w:pStyle w:val="NoSpacing"/>
        <w:ind w:firstLine="720"/>
      </w:pPr>
      <w:r>
        <w:t xml:space="preserve">(a) An employer who employs </w:t>
      </w:r>
      <w:proofErr w:type="gramStart"/>
      <w:r>
        <w:t>a full</w:t>
      </w:r>
      <w:proofErr w:type="gramEnd"/>
      <w:r>
        <w:t>-time law enforcement, correctional or</w:t>
      </w:r>
    </w:p>
    <w:p w14:paraId="61F6E56A" w14:textId="77777777" w:rsidR="00997F6F" w:rsidRDefault="00997F6F" w:rsidP="00997F6F">
      <w:pPr>
        <w:pStyle w:val="NoSpacing"/>
        <w:ind w:firstLine="720"/>
      </w:pPr>
      <w:r>
        <w:t>correctional probation officer, or firefighter, who, on or after the effective date of this Act</w:t>
      </w:r>
    </w:p>
    <w:p w14:paraId="57CC0A31" w14:textId="77777777" w:rsidR="00997F6F" w:rsidRDefault="00997F6F" w:rsidP="00997F6F">
      <w:pPr>
        <w:pStyle w:val="NoSpacing"/>
        <w:ind w:firstLine="720"/>
      </w:pPr>
      <w:r>
        <w:t>suffers a catastrophic injury or is killed in the line of duty shall pay the entire premium of</w:t>
      </w:r>
    </w:p>
    <w:p w14:paraId="49AFEF37" w14:textId="77777777" w:rsidR="00997F6F" w:rsidRDefault="00997F6F" w:rsidP="00997F6F">
      <w:pPr>
        <w:pStyle w:val="NoSpacing"/>
        <w:ind w:firstLine="720"/>
      </w:pPr>
      <w:r>
        <w:t>the employer’s health insurance plan for the injured employee, the injured employee’s</w:t>
      </w:r>
    </w:p>
    <w:p w14:paraId="7D78DCA8" w14:textId="77777777" w:rsidR="00997F6F" w:rsidRDefault="00997F6F" w:rsidP="00997F6F">
      <w:pPr>
        <w:pStyle w:val="NoSpacing"/>
        <w:ind w:firstLine="720"/>
      </w:pPr>
      <w:r>
        <w:t>spouse, and for each dependent child of the injured employee until the child reaches the</w:t>
      </w:r>
    </w:p>
    <w:p w14:paraId="20B60468" w14:textId="77777777" w:rsidR="00997F6F" w:rsidRDefault="00997F6F" w:rsidP="00997F6F">
      <w:pPr>
        <w:pStyle w:val="NoSpacing"/>
        <w:ind w:firstLine="720"/>
      </w:pPr>
      <w:r>
        <w:t>age of majority or until the end of the calendar year in which the child reaches the age of</w:t>
      </w:r>
    </w:p>
    <w:p w14:paraId="01D3C880" w14:textId="77777777" w:rsidR="00997F6F" w:rsidRDefault="00997F6F" w:rsidP="00997F6F">
      <w:pPr>
        <w:pStyle w:val="NoSpacing"/>
        <w:ind w:left="720"/>
      </w:pPr>
      <w:r>
        <w:t xml:space="preserve">25 if the child continues to be dependent </w:t>
      </w:r>
      <w:proofErr w:type="gramStart"/>
      <w:r>
        <w:t>for</w:t>
      </w:r>
      <w:proofErr w:type="gramEnd"/>
      <w:r>
        <w:t xml:space="preserve"> support or the child is a full-time or part-time student and is dependent </w:t>
      </w:r>
      <w:proofErr w:type="gramStart"/>
      <w:r>
        <w:t>for</w:t>
      </w:r>
      <w:proofErr w:type="gramEnd"/>
      <w:r>
        <w:t xml:space="preserve"> support. The term “health insurance plan” does not include supplemental benefits that are not part of the basic group health insurance plan. If the injured employee subsequently dies, the employer shall continue to pay the entire health insurance premium for the surviving spouse until remarried and for the dependent children under the conditions established in this Section. (Emphases added.) 820 ILCS </w:t>
      </w:r>
      <w:r w:rsidRPr="008F024B">
        <w:t>320/10(a) (West 2016).</w:t>
      </w:r>
    </w:p>
    <w:p w14:paraId="34BF8B40" w14:textId="77777777" w:rsidR="00997F6F" w:rsidRDefault="00997F6F" w:rsidP="00997F6F">
      <w:pPr>
        <w:pStyle w:val="NoSpacing"/>
      </w:pPr>
    </w:p>
    <w:p w14:paraId="1E845C54" w14:textId="77777777" w:rsidR="00816870" w:rsidRDefault="00816870" w:rsidP="00816870">
      <w:pPr>
        <w:rPr>
          <w:rFonts w:ascii="Arial Black" w:hAnsi="Arial Black"/>
          <w:sz w:val="24"/>
          <w:szCs w:val="24"/>
        </w:rPr>
      </w:pPr>
    </w:p>
    <w:p w14:paraId="4401F132" w14:textId="78C451D5" w:rsidR="00816870" w:rsidRDefault="00816870" w:rsidP="00816870">
      <w:pPr>
        <w:rPr>
          <w:rFonts w:ascii="Arial Black" w:hAnsi="Arial Black"/>
          <w:sz w:val="24"/>
          <w:szCs w:val="24"/>
        </w:rPr>
      </w:pPr>
      <w:r>
        <w:rPr>
          <w:rFonts w:ascii="Arial Black" w:hAnsi="Arial Black"/>
          <w:sz w:val="24"/>
          <w:szCs w:val="24"/>
        </w:rPr>
        <w:t>2-109</w:t>
      </w:r>
    </w:p>
    <w:p w14:paraId="24261033" w14:textId="77777777" w:rsidR="006801BF" w:rsidRPr="00395AD6" w:rsidRDefault="006801BF" w:rsidP="006801BF">
      <w:pPr>
        <w:pStyle w:val="NoSpacing"/>
        <w:rPr>
          <w:rFonts w:ascii="Arial Black" w:hAnsi="Arial Black"/>
          <w:bCs/>
          <w:sz w:val="28"/>
          <w:szCs w:val="28"/>
        </w:rPr>
      </w:pPr>
      <w:r>
        <w:rPr>
          <w:rFonts w:ascii="Arial Black" w:hAnsi="Arial Black"/>
          <w:sz w:val="28"/>
          <w:szCs w:val="28"/>
        </w:rPr>
        <w:t>NY: LODD – NUSING HOME – PRIOR INSPECTIONS RPTS</w:t>
      </w:r>
    </w:p>
    <w:p w14:paraId="63483D6F" w14:textId="77777777" w:rsidR="006801BF" w:rsidRDefault="006801BF" w:rsidP="006801BF">
      <w:pPr>
        <w:pStyle w:val="NoSpacing"/>
        <w:rPr>
          <w:bCs/>
        </w:rPr>
      </w:pPr>
    </w:p>
    <w:p w14:paraId="6569B20D" w14:textId="77777777" w:rsidR="006801BF" w:rsidRDefault="006801BF" w:rsidP="006801BF">
      <w:pPr>
        <w:pStyle w:val="NoSpacing"/>
      </w:pPr>
      <w:r>
        <w:t xml:space="preserve">On April 22, 2026, in </w:t>
      </w:r>
      <w:proofErr w:type="spellStart"/>
      <w:r w:rsidRPr="00CB7B90">
        <w:rPr>
          <w:u w:val="single"/>
        </w:rPr>
        <w:t>Sabrail</w:t>
      </w:r>
      <w:proofErr w:type="spellEnd"/>
      <w:r w:rsidRPr="00CB7B90">
        <w:rPr>
          <w:u w:val="single"/>
        </w:rPr>
        <w:t xml:space="preserve"> Davenport, as Administrator of the Estate of Jared Calvin Lloyd v. Evergreen Court Home for Adults SP LLC, et al</w:t>
      </w:r>
      <w:r w:rsidRPr="002943E4">
        <w:t xml:space="preserve">., </w:t>
      </w:r>
      <w:r>
        <w:t xml:space="preserve">Judge </w:t>
      </w:r>
      <w:r w:rsidRPr="00220073">
        <w:t>John P. Collins, Jr.</w:t>
      </w:r>
      <w:r>
        <w:t xml:space="preserve">, </w:t>
      </w:r>
      <w:r w:rsidRPr="00AD4E97">
        <w:t>Supreme Court, Rockland County</w:t>
      </w:r>
      <w:r>
        <w:t xml:space="preserve">, quashed subpoenas by the firefighters’ family that seek a Wisconsin based  commercial insurance company’s post-fire claims files which include privileged information, but may issue a “narrowly tailed subpoena” concerning pre-loss inspection reports by the insurance company.  </w:t>
      </w:r>
      <w:r w:rsidRPr="00DB3494">
        <w:t> </w:t>
      </w:r>
      <w:r>
        <w:t>“</w:t>
      </w:r>
      <w:r w:rsidRPr="00DB3494">
        <w:t>A liability insurer's claim file, created in connection with its defense of third-party claims against its insured, is conditionally immune from disclosure as material prepared in anticipation of litigation.</w:t>
      </w:r>
      <w:r>
        <w:t xml:space="preserve">” Firefighter Jared Calvin Lloyd was killed on March 23, </w:t>
      </w:r>
      <w:proofErr w:type="gramStart"/>
      <w:r>
        <w:t>2021</w:t>
      </w:r>
      <w:proofErr w:type="gramEnd"/>
      <w:r>
        <w:t xml:space="preserve"> structure fire at </w:t>
      </w:r>
      <w:r w:rsidRPr="001C5294">
        <w:t>Evergreen Home for Adults</w:t>
      </w:r>
      <w:r>
        <w:t xml:space="preserve"> when a rabbi and his son used a blowtorch for a </w:t>
      </w:r>
      <w:r w:rsidRPr="00B62261">
        <w:t>pre-Passover cleaning process</w:t>
      </w:r>
      <w:r>
        <w:t xml:space="preserve">. </w:t>
      </w:r>
      <w:hyperlink r:id="rId412" w:history="1">
        <w:r w:rsidRPr="00ED3F08">
          <w:rPr>
            <w:rStyle w:val="Hyperlink"/>
          </w:rPr>
          <w:t>https://public.fastcase.com/Jhe1Qn%2BmJndQYQU6z%2FeNm1Wc0BhwXqbgUcnfM0G%2F8LGBWKhbC8yUkIyVwLGd8HWj?utm_medium=email&amp;_hsenc=p2ANqtz-85mlG7bjjwBnXQBs8DYGyySvCPBDEvbYyrF7EMhR5VCH2hTuoCLWnOKD3mejXOTkKYawSsNFXD_QLidauQN_0-kPfmHA&amp;_hsmi=226712652&amp;utm_content=226712652&amp;utm_source=hs_email</w:t>
        </w:r>
      </w:hyperlink>
      <w:r>
        <w:t xml:space="preserve"> </w:t>
      </w:r>
    </w:p>
    <w:p w14:paraId="22E077B0" w14:textId="77777777" w:rsidR="006801BF" w:rsidRDefault="006801BF" w:rsidP="006801BF">
      <w:pPr>
        <w:pStyle w:val="NoSpacing"/>
      </w:pPr>
    </w:p>
    <w:p w14:paraId="185C620C" w14:textId="77777777" w:rsidR="006801BF" w:rsidRDefault="006801BF" w:rsidP="006801BF">
      <w:pPr>
        <w:pStyle w:val="NoSpacing"/>
        <w:rPr>
          <w:bCs/>
        </w:rPr>
      </w:pPr>
      <w:r>
        <w:t xml:space="preserve">THE COURT HELD: </w:t>
      </w:r>
    </w:p>
    <w:p w14:paraId="2B2A284C" w14:textId="77777777" w:rsidR="006801BF" w:rsidRDefault="006801BF" w:rsidP="006801BF">
      <w:pPr>
        <w:pStyle w:val="NoSpacing"/>
        <w:rPr>
          <w:bCs/>
        </w:rPr>
      </w:pPr>
    </w:p>
    <w:p w14:paraId="0B58BF75" w14:textId="77777777" w:rsidR="006801BF" w:rsidRDefault="006801BF" w:rsidP="006801BF">
      <w:pPr>
        <w:pStyle w:val="NoSpacing"/>
        <w:ind w:left="720"/>
      </w:pPr>
      <w:r>
        <w:t xml:space="preserve">“[The Court held that family may now issue] “narrowly tailored subpoena … </w:t>
      </w:r>
      <w:r w:rsidRPr="00D83B5B">
        <w:t>seeking specifically: (</w:t>
      </w:r>
      <w:proofErr w:type="spellStart"/>
      <w:r w:rsidRPr="00D83B5B">
        <w:t>i</w:t>
      </w:r>
      <w:proofErr w:type="spellEnd"/>
      <w:r w:rsidRPr="00D83B5B">
        <w:t xml:space="preserve">) any pre-loss inspection reports, hazard assessment reports or written communications between Church Mutual </w:t>
      </w:r>
      <w:r>
        <w:t xml:space="preserve">[insurance company] </w:t>
      </w:r>
      <w:r w:rsidRPr="00D83B5B">
        <w:t>and the insured concerning the physical condition of the premises at 65 Lafayette Street, Spring Valley, New York, generated in connection with the underwriting or renewal of any policy covering those premises; and (ii) any written requirements or recommendations made by Church Mutual to the insured concerning fire safety, building conditions or hazard remediation at the premises.</w:t>
      </w:r>
    </w:p>
    <w:p w14:paraId="66B5A8CB" w14:textId="77777777" w:rsidR="006801BF" w:rsidRDefault="006801BF" w:rsidP="006801BF">
      <w:pPr>
        <w:pStyle w:val="NoSpacing"/>
        <w:ind w:left="720"/>
      </w:pPr>
    </w:p>
    <w:p w14:paraId="621963E9" w14:textId="77777777" w:rsidR="006801BF" w:rsidRDefault="006801BF" w:rsidP="006801BF">
      <w:pPr>
        <w:pStyle w:val="NoSpacing"/>
        <w:ind w:left="720"/>
      </w:pPr>
      <w:r>
        <w:t>***</w:t>
      </w:r>
    </w:p>
    <w:p w14:paraId="031ADEA1" w14:textId="77777777" w:rsidR="006801BF" w:rsidRDefault="006801BF" w:rsidP="006801BF">
      <w:pPr>
        <w:pStyle w:val="NoSpacing"/>
        <w:ind w:left="720"/>
      </w:pPr>
    </w:p>
    <w:p w14:paraId="38DB7911" w14:textId="77777777" w:rsidR="006801BF" w:rsidRDefault="006801BF" w:rsidP="006801BF">
      <w:pPr>
        <w:pStyle w:val="NoSpacing"/>
        <w:ind w:left="720"/>
      </w:pPr>
      <w:r w:rsidRPr="001C5294">
        <w:t>This is a wrongful death and conscious pain and suffering action arising from a catastrophic fire on March 22-23, 2021, at the Evergreen Court Home for Adults, located at 65 Lafayette Street, Village of Spring Valley, Rockland County. Plaintiff decedent, Jared Calvin Lloyd, was a volunteer firefighter with the Spring Valley Fire Department who was killed when he became trapped inside the burning building, which ultimately collapsed. A resident of Evergreen Home for Adults, Oliver Hueston, also perished in the fire. The premises were owned by defendant SPJJ LLC and operated by defendant Evergreen Court Home for Adults SP LLC. Church Mutual Insurance Company, S.I</w:t>
      </w:r>
      <w:proofErr w:type="gramStart"/>
      <w:r w:rsidRPr="001C5294">
        <w:t>. (</w:t>
      </w:r>
      <w:r>
        <w:t>‘</w:t>
      </w:r>
      <w:proofErr w:type="gramEnd"/>
      <w:r w:rsidRPr="001C5294">
        <w:t>Church Mutual</w:t>
      </w:r>
      <w:r>
        <w:t>’</w:t>
      </w:r>
      <w:r w:rsidRPr="001C5294">
        <w:t>) is a Wisconsin-based commercial insurer that issued liability and property insurance policies to the facility.</w:t>
      </w:r>
    </w:p>
    <w:p w14:paraId="56C04BF5" w14:textId="77777777" w:rsidR="006801BF" w:rsidRDefault="006801BF" w:rsidP="006801BF">
      <w:pPr>
        <w:pStyle w:val="NoSpacing"/>
      </w:pPr>
    </w:p>
    <w:p w14:paraId="2A2ECB20" w14:textId="77777777" w:rsidR="006801BF" w:rsidRDefault="006801BF" w:rsidP="006801BF">
      <w:pPr>
        <w:pStyle w:val="NoSpacing"/>
        <w:ind w:left="720"/>
      </w:pPr>
      <w:r w:rsidRPr="00BA6DCB">
        <w:t>The fire prompted investigations by at least five governmental agencies, including the New York State Department of Public Service (</w:t>
      </w:r>
      <w:r>
        <w:t>‘</w:t>
      </w:r>
      <w:r w:rsidRPr="00BA6DCB">
        <w:t>DPS</w:t>
      </w:r>
      <w:r>
        <w:t>’</w:t>
      </w:r>
      <w:r w:rsidRPr="00BA6DCB">
        <w:t>), the New York State Office of Fire Prevention and Control (</w:t>
      </w:r>
      <w:r>
        <w:t>‘</w:t>
      </w:r>
      <w:r w:rsidRPr="00BA6DCB">
        <w:t>OFPC</w:t>
      </w:r>
      <w:r>
        <w:t>’</w:t>
      </w:r>
      <w:r w:rsidRPr="00BA6DCB">
        <w:t>), the Rockland County Sheriff's Office, the Spring Valley Police Department, and the United States Bureau of Alcohol, Tobacco, Firearms and Explosives (</w:t>
      </w:r>
      <w:r>
        <w:t>‘</w:t>
      </w:r>
      <w:r w:rsidRPr="00BA6DCB">
        <w:t>ATF</w:t>
      </w:r>
      <w:r>
        <w:t>’</w:t>
      </w:r>
      <w:r w:rsidRPr="00BA6DCB">
        <w:t>). Criminal charges were brought against certain defendants and ultimately resolved by plea agreement.</w:t>
      </w:r>
    </w:p>
    <w:p w14:paraId="60334B49" w14:textId="77777777" w:rsidR="006801BF" w:rsidRDefault="006801BF" w:rsidP="006801BF">
      <w:pPr>
        <w:pStyle w:val="NoSpacing"/>
        <w:ind w:left="720"/>
      </w:pPr>
    </w:p>
    <w:p w14:paraId="2ADC265B" w14:textId="77777777" w:rsidR="006801BF" w:rsidRDefault="006801BF" w:rsidP="006801BF">
      <w:pPr>
        <w:pStyle w:val="NoSpacing"/>
        <w:ind w:left="720"/>
      </w:pPr>
      <w:r>
        <w:t>***</w:t>
      </w:r>
    </w:p>
    <w:p w14:paraId="5AB84E0B" w14:textId="77777777" w:rsidR="006801BF" w:rsidRDefault="006801BF" w:rsidP="006801BF">
      <w:pPr>
        <w:pStyle w:val="NoSpacing"/>
        <w:ind w:left="720"/>
      </w:pPr>
    </w:p>
    <w:p w14:paraId="6B96E5CB" w14:textId="77777777" w:rsidR="006801BF" w:rsidRDefault="006801BF" w:rsidP="006801BF">
      <w:pPr>
        <w:pStyle w:val="NoSpacing"/>
        <w:ind w:left="720"/>
      </w:pPr>
      <w:r w:rsidRPr="00E635C4">
        <w:t>Defense counsel documented that, in 3.7 hours of standard internet research, he was able to locate and download the complete 117-page DPS report, the 12-page OFPC report (originally submitted to the District Attorney with a non-disclosure request), and a 202-page criminal omnibus motion containing color photographs, a detailed kitchen blueprint, the complete 44 Control call detail report and a 19-page expert fire analysis report prepared by John Lentini of Scientific Fire Analysis, LLC. Five governmental agencies participated in the on-site investigation; the identities of whose investigators are specifically named in the record. With all criminal proceedings resolved, FOIL requests will yield the complete investigative record compiled by public agencies with unlimited access to the scene. Plaintiff has not rebutted this showing in any meaningful way.</w:t>
      </w:r>
      <w:r>
        <w:t>”</w:t>
      </w:r>
    </w:p>
    <w:p w14:paraId="16FA88DF" w14:textId="77777777" w:rsidR="006801BF" w:rsidRDefault="006801BF" w:rsidP="006801BF">
      <w:pPr>
        <w:pStyle w:val="NoSpacing"/>
        <w:ind w:left="720"/>
      </w:pPr>
    </w:p>
    <w:p w14:paraId="24618AAF" w14:textId="77777777" w:rsidR="006801BF" w:rsidRPr="00E635C4" w:rsidRDefault="006801BF" w:rsidP="006801BF">
      <w:pPr>
        <w:pStyle w:val="NoSpacing"/>
        <w:rPr>
          <w:b/>
          <w:bCs/>
        </w:rPr>
      </w:pPr>
      <w:r>
        <w:rPr>
          <w:b/>
        </w:rPr>
        <w:t xml:space="preserve">Legal lesson learned: Pre-trial discovery may include prior inspection reports about the building. </w:t>
      </w:r>
    </w:p>
    <w:p w14:paraId="4D1233D7" w14:textId="77777777" w:rsidR="006801BF" w:rsidRDefault="006801BF" w:rsidP="006801BF">
      <w:pPr>
        <w:pStyle w:val="NoSpacing"/>
        <w:rPr>
          <w:bCs/>
        </w:rPr>
      </w:pPr>
    </w:p>
    <w:p w14:paraId="4E5B97E5" w14:textId="77777777" w:rsidR="006801BF" w:rsidRDefault="006801BF" w:rsidP="006801BF">
      <w:pPr>
        <w:pStyle w:val="NoSpacing"/>
        <w:ind w:left="720"/>
        <w:rPr>
          <w:bCs/>
        </w:rPr>
      </w:pPr>
      <w:r>
        <w:t xml:space="preserve">Note: See TV report, five years after the fire. </w:t>
      </w:r>
      <w:hyperlink r:id="rId413" w:history="1">
        <w:r w:rsidRPr="00ED3F08">
          <w:rPr>
            <w:rStyle w:val="Hyperlink"/>
          </w:rPr>
          <w:t>https://www.newsbreak.com/news-12-2283883/4553774051867-today-is-the-fifth-anniversary-of-a-rockland-county-fire-that-killed-two-including-a-local-firefighter</w:t>
        </w:r>
      </w:hyperlink>
      <w:r>
        <w:t xml:space="preserve"> </w:t>
      </w:r>
    </w:p>
    <w:p w14:paraId="2ADF0F66" w14:textId="77777777" w:rsidR="006801BF" w:rsidRDefault="006801BF" w:rsidP="006801BF">
      <w:pPr>
        <w:pStyle w:val="NoSpacing"/>
        <w:ind w:left="720"/>
        <w:rPr>
          <w:bCs/>
        </w:rPr>
      </w:pPr>
    </w:p>
    <w:p w14:paraId="4A5E8269" w14:textId="77777777" w:rsidR="006801BF" w:rsidRPr="00004B01" w:rsidRDefault="006801BF" w:rsidP="006801BF">
      <w:pPr>
        <w:pStyle w:val="NoSpacing"/>
        <w:ind w:left="720"/>
        <w:rPr>
          <w:bCs/>
        </w:rPr>
      </w:pPr>
      <w:r>
        <w:t xml:space="preserve">July 1, 2021: </w:t>
      </w:r>
      <w:r w:rsidRPr="00004B01">
        <w:t xml:space="preserve">Massive blaze in adult care home which killed a resident and a firefighter 'was caused by rabbi and his son who used a BLOWTORCH in pre-Passover kitchen cleaning ritual.  </w:t>
      </w:r>
      <w:hyperlink r:id="rId414" w:history="1">
        <w:r w:rsidRPr="00004B01">
          <w:rPr>
            <w:rStyle w:val="Hyperlink"/>
          </w:rPr>
          <w:t>https://www.dailymail.com/news/article-9746389/Fatal-assisted-living-fire-linked-cleaning-ritual.html</w:t>
        </w:r>
      </w:hyperlink>
      <w:r w:rsidRPr="00004B01">
        <w:t xml:space="preserve"> </w:t>
      </w:r>
    </w:p>
    <w:p w14:paraId="26BDE57D" w14:textId="77777777" w:rsidR="006801BF" w:rsidRDefault="006801BF" w:rsidP="006801BF">
      <w:pPr>
        <w:pStyle w:val="NoSpacing"/>
        <w:ind w:left="720"/>
        <w:rPr>
          <w:bCs/>
        </w:rPr>
      </w:pPr>
    </w:p>
    <w:p w14:paraId="5E19C31A" w14:textId="77777777" w:rsidR="006801BF" w:rsidRPr="0033656E" w:rsidRDefault="006801BF" w:rsidP="006801BF">
      <w:pPr>
        <w:pStyle w:val="NoSpacing"/>
        <w:ind w:left="720"/>
        <w:rPr>
          <w:bCs/>
        </w:rPr>
      </w:pPr>
      <w:r w:rsidRPr="0033656E">
        <w:t xml:space="preserve">National Fallen Firefighters Foundation - Roll of Honor: </w:t>
      </w:r>
      <w:hyperlink r:id="rId415" w:history="1">
        <w:r w:rsidRPr="0033656E">
          <w:rPr>
            <w:rStyle w:val="Hyperlink"/>
          </w:rPr>
          <w:t>https://www.firehero.org/fallen-firefighter/jared-c-lloyd/</w:t>
        </w:r>
      </w:hyperlink>
      <w:r w:rsidRPr="0033656E">
        <w:t xml:space="preserve"> </w:t>
      </w:r>
    </w:p>
    <w:p w14:paraId="1D5E9C5B" w14:textId="77777777" w:rsidR="006801BF" w:rsidRDefault="006801BF" w:rsidP="006801BF">
      <w:pPr>
        <w:pStyle w:val="NoSpacing"/>
        <w:ind w:left="720"/>
        <w:rPr>
          <w:bCs/>
        </w:rPr>
      </w:pPr>
    </w:p>
    <w:p w14:paraId="16AA91FE" w14:textId="75629BB2" w:rsidR="00816870" w:rsidRDefault="00816870" w:rsidP="00816870">
      <w:pPr>
        <w:rPr>
          <w:rFonts w:ascii="Arial Black" w:hAnsi="Arial Black"/>
          <w:sz w:val="24"/>
          <w:szCs w:val="24"/>
        </w:rPr>
      </w:pPr>
      <w:r>
        <w:rPr>
          <w:rFonts w:ascii="Arial Black" w:hAnsi="Arial Black"/>
          <w:sz w:val="24"/>
          <w:szCs w:val="24"/>
        </w:rPr>
        <w:t>2-108</w:t>
      </w:r>
    </w:p>
    <w:p w14:paraId="3380FEDC" w14:textId="77777777" w:rsidR="00785DBA" w:rsidRDefault="00785DBA" w:rsidP="00785DBA">
      <w:pPr>
        <w:pStyle w:val="NoSpacing"/>
        <w:rPr>
          <w:rFonts w:ascii="Arial Black" w:hAnsi="Arial Black"/>
          <w:sz w:val="28"/>
          <w:szCs w:val="28"/>
        </w:rPr>
      </w:pPr>
      <w:r>
        <w:rPr>
          <w:rFonts w:ascii="Arial Black" w:hAnsi="Arial Black"/>
          <w:sz w:val="28"/>
          <w:szCs w:val="28"/>
        </w:rPr>
        <w:t>MO: THYROID CANCER / TURNOUT GEAR – STATE COURT</w:t>
      </w:r>
    </w:p>
    <w:p w14:paraId="76BDFE82" w14:textId="77777777" w:rsidR="00785DBA" w:rsidRDefault="00785DBA" w:rsidP="00785DBA">
      <w:pPr>
        <w:pStyle w:val="NoSpacing"/>
        <w:rPr>
          <w:rFonts w:ascii="Arial Black" w:hAnsi="Arial Black"/>
          <w:sz w:val="28"/>
          <w:szCs w:val="28"/>
        </w:rPr>
      </w:pPr>
    </w:p>
    <w:p w14:paraId="71D9C818" w14:textId="77777777" w:rsidR="00785DBA" w:rsidRDefault="00785DBA" w:rsidP="00785DBA">
      <w:pPr>
        <w:pStyle w:val="NoSpacing"/>
      </w:pPr>
      <w:r>
        <w:t xml:space="preserve">On April 7, 2026, in </w:t>
      </w:r>
      <w:r w:rsidRPr="00CF1C54">
        <w:rPr>
          <w:u w:val="single"/>
        </w:rPr>
        <w:t>Jason Crady and Nicole Crady v. 3M Company</w:t>
      </w:r>
      <w:r>
        <w:t xml:space="preserve">, U.S. District Court Judge John A Ross, United States District Court for Eastern District of Missouri, Eastern Division, granted the firefighter’s motion to return the case to state court. The plaintiff has been a firefighter since </w:t>
      </w:r>
      <w:r w:rsidRPr="00C94CAF">
        <w:t>2005</w:t>
      </w:r>
      <w:r>
        <w:t xml:space="preserve">, and in </w:t>
      </w:r>
      <w:r w:rsidRPr="00C94CAF">
        <w:t>March 2024, Crady was diagnosed with thyroid cancer.</w:t>
      </w:r>
      <w:r>
        <w:t xml:space="preserve">  He and his wife filed suit against 3M in state court, claiming his turn out gear caused his cancer (not  exposure to AFFF foam).  3M removed case to federal court so it could assert the “federal contractor defense” – that </w:t>
      </w:r>
      <w:r w:rsidRPr="00DB077F">
        <w:t>3M manufactured and sold to the U.S. military in accordance with the military's specifications (</w:t>
      </w:r>
      <w:r>
        <w:t>“</w:t>
      </w:r>
      <w:proofErr w:type="spellStart"/>
      <w:r w:rsidRPr="00DB077F">
        <w:t>MilSpec</w:t>
      </w:r>
      <w:proofErr w:type="spellEnd"/>
      <w:r w:rsidRPr="00DB077F">
        <w:t xml:space="preserve"> AFFF</w:t>
      </w:r>
      <w:r>
        <w:t>”).  The firefighter’s attorneys, to avoid that defense, wisely only sued 3M regarding turn out exposure, not AFFF foam exposure. The plaintiff’s deposition was taken in the federal case showing very limited exposure to foam:</w:t>
      </w:r>
    </w:p>
    <w:p w14:paraId="4ADE3F1F" w14:textId="77777777" w:rsidR="00785DBA" w:rsidRDefault="00785DBA" w:rsidP="00785DBA">
      <w:pPr>
        <w:pStyle w:val="NoSpacing"/>
      </w:pPr>
    </w:p>
    <w:p w14:paraId="4B287296" w14:textId="77777777" w:rsidR="00785DBA" w:rsidRDefault="00785DBA" w:rsidP="00785DBA">
      <w:pPr>
        <w:ind w:left="720"/>
      </w:pPr>
      <w:r>
        <w:t>“</w:t>
      </w:r>
      <w:r w:rsidRPr="00310C62">
        <w:t>Crady testified that in one instance during firefighting training, he was in a group that handled a hose used to discharge foam</w:t>
      </w:r>
      <w:r>
        <w:t xml:space="preserve">…. </w:t>
      </w:r>
      <w:r w:rsidRPr="00310C62">
        <w:t xml:space="preserve">He </w:t>
      </w:r>
      <w:r>
        <w:t>‘</w:t>
      </w:r>
      <w:r w:rsidRPr="00310C62">
        <w:t>was probably the fourth person on the hose</w:t>
      </w:r>
      <w:r>
        <w:t>’</w:t>
      </w:r>
      <w:r w:rsidRPr="00310C62">
        <w:t xml:space="preserve"> and approximately ten to twenty feet from the nozzle</w:t>
      </w:r>
      <w:r>
        <w:t xml:space="preserve">…. </w:t>
      </w:r>
      <w:r w:rsidRPr="00310C62">
        <w:t>He did not mix, load, wade in, or touch the foam during that training</w:t>
      </w:r>
      <w:r>
        <w:t xml:space="preserve">…. </w:t>
      </w:r>
      <w:r w:rsidRPr="00310C62">
        <w:t>At another training session, Crady learned how to load foam into a truck, but he did not personally load any foam or open any foam container</w:t>
      </w:r>
      <w:r>
        <w:t xml:space="preserve">…. </w:t>
      </w:r>
      <w:r w:rsidRPr="00310C62">
        <w:t>He confirmed that he never loaded foam himself</w:t>
      </w:r>
      <w:r>
        <w:t xml:space="preserve">…. </w:t>
      </w:r>
      <w:r w:rsidRPr="00310C62">
        <w:t xml:space="preserve"> Crady testified that he did not believe he had ever been exposed to foam</w:t>
      </w:r>
      <w:r>
        <w:t xml:space="preserve">…. </w:t>
      </w:r>
      <w:r w:rsidRPr="00310C62">
        <w:t xml:space="preserve">Plaintiffs state that Crady testified </w:t>
      </w:r>
      <w:r>
        <w:t>‘</w:t>
      </w:r>
      <w:r w:rsidRPr="00310C62">
        <w:t>no less than ten times he was not exposed to foam, and he didn't train anyone on the use of foam.</w:t>
      </w:r>
      <w:r>
        <w:t xml:space="preserve">’ </w:t>
      </w:r>
    </w:p>
    <w:p w14:paraId="69C0B4AA" w14:textId="77777777" w:rsidR="00785DBA" w:rsidRDefault="00785DBA" w:rsidP="00785DBA">
      <w:r>
        <w:t xml:space="preserve">The case is now returned to state court for pre-trial discovery. </w:t>
      </w:r>
      <w:hyperlink r:id="rId416" w:history="1">
        <w:r w:rsidRPr="00BB6E17">
          <w:rPr>
            <w:rStyle w:val="Hyperlink"/>
          </w:rPr>
          <w:t>https://public.fastcase.com/Jhe1Qn%2BmJndQYQU6z%2FeNm2HEaeCCWkcBCeUCujqGNVlbyw33GV3OIPoGmz91llGj?utm_medium=email&amp;_hsenc=p2ANqtz--_2koWPJH8aNw9hArqKJahBiDeDbHde9hJY14uLqxi48R0NPU4q8g0_WpBiId9hecTh5LabDNFfk8DSpNZX48Jer-K6w&amp;_hsmi=226712652&amp;utm_content=226712652&amp;utm_source=hs_email</w:t>
        </w:r>
      </w:hyperlink>
      <w:r>
        <w:t xml:space="preserve"> </w:t>
      </w:r>
    </w:p>
    <w:p w14:paraId="20DFC53C" w14:textId="77777777" w:rsidR="00785DBA" w:rsidRDefault="00785DBA" w:rsidP="00785DBA">
      <w:pPr>
        <w:pStyle w:val="NoSpacing"/>
      </w:pPr>
    </w:p>
    <w:p w14:paraId="439E62B7" w14:textId="77777777" w:rsidR="00785DBA" w:rsidRDefault="00785DBA" w:rsidP="00785DBA">
      <w:pPr>
        <w:pStyle w:val="NoSpacing"/>
      </w:pPr>
      <w:r>
        <w:t xml:space="preserve">THE COURT HELD: </w:t>
      </w:r>
    </w:p>
    <w:p w14:paraId="2E3DF11B" w14:textId="77777777" w:rsidR="00785DBA" w:rsidRDefault="00785DBA" w:rsidP="00785DBA">
      <w:pPr>
        <w:pStyle w:val="NoSpacing"/>
      </w:pPr>
    </w:p>
    <w:p w14:paraId="19575E7F" w14:textId="77777777" w:rsidR="00785DBA" w:rsidRDefault="00785DBA" w:rsidP="00785DBA">
      <w:pPr>
        <w:pStyle w:val="NoSpacing"/>
        <w:ind w:left="720"/>
      </w:pPr>
      <w:r>
        <w:t>“</w:t>
      </w:r>
      <w:r w:rsidRPr="00CF1490">
        <w:t xml:space="preserve">Based on the insufficiency of the facts in this </w:t>
      </w:r>
      <w:proofErr w:type="gramStart"/>
      <w:r w:rsidRPr="00CF1490">
        <w:t>particular case</w:t>
      </w:r>
      <w:proofErr w:type="gramEnd"/>
      <w:r w:rsidRPr="00CF1490">
        <w:t>, the Court finds that 3M has failed to establish a colorable federal defense</w:t>
      </w:r>
      <w:r>
        <w:t xml:space="preserve">….  </w:t>
      </w:r>
    </w:p>
    <w:p w14:paraId="47D0DEC4" w14:textId="77777777" w:rsidR="00785DBA" w:rsidRDefault="00785DBA" w:rsidP="00785DBA">
      <w:pPr>
        <w:pStyle w:val="NoSpacing"/>
      </w:pPr>
    </w:p>
    <w:p w14:paraId="32FEDA9F" w14:textId="77777777" w:rsidR="00785DBA" w:rsidRDefault="00785DBA" w:rsidP="00785DBA">
      <w:pPr>
        <w:pStyle w:val="NoSpacing"/>
        <w:ind w:left="720"/>
      </w:pPr>
      <w:r>
        <w:t>T</w:t>
      </w:r>
      <w:r w:rsidRPr="005677C0">
        <w:t xml:space="preserve">he Court finds that Plaintiffs' statement that they have effectively disclaimed AFFF exposure and their additional confirmations that they are not claiming AFFF exposure are sufficient to serve as an express disclaimer of the right to claim damages relating to, or arising out of, exposure to, or injuries suffered as a result of </w:t>
      </w:r>
      <w:proofErr w:type="spellStart"/>
      <w:r w:rsidRPr="005677C0">
        <w:t>MilSpec</w:t>
      </w:r>
      <w:proofErr w:type="spellEnd"/>
      <w:r w:rsidRPr="005677C0">
        <w:t xml:space="preserve"> AFFF.</w:t>
      </w:r>
    </w:p>
    <w:p w14:paraId="7615E24C" w14:textId="77777777" w:rsidR="00785DBA" w:rsidRDefault="00785DBA" w:rsidP="00785DBA">
      <w:pPr>
        <w:pStyle w:val="NoSpacing"/>
        <w:ind w:left="720"/>
      </w:pPr>
    </w:p>
    <w:p w14:paraId="409763F6" w14:textId="77777777" w:rsidR="00785DBA" w:rsidRDefault="00785DBA" w:rsidP="00785DBA">
      <w:pPr>
        <w:pStyle w:val="NoSpacing"/>
        <w:ind w:left="720"/>
      </w:pPr>
      <w:r>
        <w:t xml:space="preserve">***  </w:t>
      </w:r>
    </w:p>
    <w:p w14:paraId="0AE2B301" w14:textId="77777777" w:rsidR="00785DBA" w:rsidRDefault="00785DBA" w:rsidP="00785DBA">
      <w:pPr>
        <w:pStyle w:val="NoSpacing"/>
        <w:ind w:left="720"/>
      </w:pPr>
      <w:r w:rsidRPr="00DB077F">
        <w:t xml:space="preserve">On September 16, 2025, 3M filed a notice of removal in this Court pursuant to 28 U.S.C. § 1442, the federal officer removal statute. In its notice of removal, 3M alleges that the </w:t>
      </w:r>
      <w:proofErr w:type="gramStart"/>
      <w:r w:rsidRPr="00DB077F">
        <w:t>cancer</w:t>
      </w:r>
      <w:r>
        <w:t xml:space="preserve"> </w:t>
      </w:r>
      <w:r w:rsidRPr="00DB077F">
        <w:t>causing</w:t>
      </w:r>
      <w:proofErr w:type="gramEnd"/>
      <w:r w:rsidRPr="00DB077F">
        <w:t xml:space="preserve"> chemicals to which Crady was exposed consisted of per- and poly fluoroalkyl substances (</w:t>
      </w:r>
      <w:r>
        <w:t>‘</w:t>
      </w:r>
      <w:r w:rsidRPr="00DB077F">
        <w:t>PFAS</w:t>
      </w:r>
      <w:r>
        <w:t>’</w:t>
      </w:r>
      <w:r w:rsidRPr="00DB077F">
        <w:t>), which are contained in AFFF that 3M manufactured and sold to the U.S. military in accordance with the military's specifications (</w:t>
      </w:r>
      <w:r>
        <w:t>‘</w:t>
      </w:r>
      <w:proofErr w:type="spellStart"/>
      <w:r w:rsidRPr="00DB077F">
        <w:t>MilSpec</w:t>
      </w:r>
      <w:proofErr w:type="spellEnd"/>
      <w:r w:rsidRPr="00DB077F">
        <w:t xml:space="preserve"> AFFF</w:t>
      </w:r>
      <w:r>
        <w:t>’</w:t>
      </w:r>
      <w:r w:rsidRPr="00DB077F">
        <w:t>)</w:t>
      </w:r>
      <w:r>
        <w:t xml:space="preserve">. </w:t>
      </w:r>
    </w:p>
    <w:p w14:paraId="35F9F0A6" w14:textId="77777777" w:rsidR="00785DBA" w:rsidRDefault="00785DBA" w:rsidP="00785DBA">
      <w:pPr>
        <w:pStyle w:val="NoSpacing"/>
        <w:ind w:left="720"/>
      </w:pPr>
    </w:p>
    <w:p w14:paraId="5091EE7D" w14:textId="77777777" w:rsidR="00785DBA" w:rsidRDefault="00785DBA" w:rsidP="00785DBA">
      <w:pPr>
        <w:pStyle w:val="NoSpacing"/>
        <w:ind w:left="720"/>
      </w:pPr>
      <w:r>
        <w:t>***</w:t>
      </w:r>
    </w:p>
    <w:p w14:paraId="0977179E" w14:textId="77777777" w:rsidR="00785DBA" w:rsidRDefault="00785DBA" w:rsidP="00785DBA">
      <w:pPr>
        <w:pStyle w:val="NoSpacing"/>
        <w:ind w:left="720"/>
      </w:pPr>
    </w:p>
    <w:p w14:paraId="38D1B295" w14:textId="77777777" w:rsidR="00785DBA" w:rsidRDefault="00785DBA" w:rsidP="00785DBA">
      <w:pPr>
        <w:pStyle w:val="NoSpacing"/>
        <w:ind w:left="720"/>
      </w:pPr>
      <w:r w:rsidRPr="00D94D0A">
        <w:t xml:space="preserve">On September 26, 2025, 3M moved to stay all proceedings until the Judicial Panel on Multidistrict Litigation (the “JPML”) rendered a final decision on 3M's motion to transfer this action to the District of South Carolina for inclusion in the multidistrict litigation proceeding captioned </w:t>
      </w:r>
      <w:proofErr w:type="gramStart"/>
      <w:r w:rsidRPr="00D94D0A">
        <w:rPr>
          <w:i/>
          <w:iCs/>
        </w:rPr>
        <w:t>In</w:t>
      </w:r>
      <w:proofErr w:type="gramEnd"/>
      <w:r w:rsidRPr="00D94D0A">
        <w:rPr>
          <w:i/>
          <w:iCs/>
        </w:rPr>
        <w:t xml:space="preserve"> re Aqueous Film-Forming Foams (AFFF) Products Liability Litigation</w:t>
      </w:r>
      <w:r w:rsidRPr="00D94D0A">
        <w:t xml:space="preserve"> (MDL No. 2873) (the </w:t>
      </w:r>
      <w:r>
        <w:t>‘</w:t>
      </w:r>
      <w:r w:rsidRPr="00D94D0A">
        <w:t>MDL</w:t>
      </w:r>
      <w:r>
        <w:t>’</w:t>
      </w:r>
      <w:r w:rsidRPr="00D94D0A">
        <w:t>)</w:t>
      </w:r>
      <w:r>
        <w:t xml:space="preserve">…. </w:t>
      </w:r>
      <w:r w:rsidRPr="00376CC0">
        <w:t>On December 11, 2025, the JPML denied 3M's motion to transfer.</w:t>
      </w:r>
    </w:p>
    <w:p w14:paraId="5FBCE215" w14:textId="77777777" w:rsidR="00785DBA" w:rsidRDefault="00785DBA" w:rsidP="00785DBA">
      <w:pPr>
        <w:pStyle w:val="NoSpacing"/>
        <w:ind w:left="720"/>
      </w:pPr>
    </w:p>
    <w:p w14:paraId="6C3A254E" w14:textId="77777777" w:rsidR="00785DBA" w:rsidRDefault="00785DBA" w:rsidP="00785DBA">
      <w:pPr>
        <w:pStyle w:val="NoSpacing"/>
        <w:ind w:left="720"/>
      </w:pPr>
      <w:r>
        <w:t>***</w:t>
      </w:r>
    </w:p>
    <w:p w14:paraId="0DB60DD6" w14:textId="77777777" w:rsidR="00785DBA" w:rsidRDefault="00785DBA" w:rsidP="00785DBA">
      <w:pPr>
        <w:pStyle w:val="NoSpacing"/>
        <w:ind w:left="720"/>
      </w:pPr>
      <w:r w:rsidRPr="0041479E">
        <w:t xml:space="preserve">3M maintains that Plaintiffs are attempting to use state law to attack design choices dictated by the military to impose tort liability on 3M for alleged injuries that were caused in whole or in part by 3M's compliance with military specifications. According to 3M, its status as a government contractor grants that the federal officer defense precludes such an attack. </w:t>
      </w:r>
      <w:r w:rsidRPr="0041479E">
        <w:rPr>
          <w:i/>
          <w:iCs/>
        </w:rPr>
        <w:t>See Boyle v. United Techs. Corp.,</w:t>
      </w:r>
      <w:r w:rsidRPr="0041479E">
        <w:t xml:space="preserve"> 487 U.S. 500, 509 (1988). 3M argues that this defense asserted by 3M and other </w:t>
      </w:r>
      <w:proofErr w:type="spellStart"/>
      <w:r w:rsidRPr="0041479E">
        <w:t>MilSpec</w:t>
      </w:r>
      <w:proofErr w:type="spellEnd"/>
      <w:r w:rsidRPr="0041479E">
        <w:t xml:space="preserve"> AFFF manufacturers presents genuine issues of fact for trial based on an extensive factual record in the MDL. </w:t>
      </w:r>
      <w:r w:rsidRPr="0041479E">
        <w:rPr>
          <w:i/>
          <w:iCs/>
        </w:rPr>
        <w:t xml:space="preserve">See In re AFFF Prods. </w:t>
      </w:r>
      <w:proofErr w:type="spellStart"/>
      <w:r w:rsidRPr="0041479E">
        <w:rPr>
          <w:i/>
          <w:iCs/>
        </w:rPr>
        <w:t>Liab</w:t>
      </w:r>
      <w:proofErr w:type="spellEnd"/>
      <w:r w:rsidRPr="0041479E">
        <w:rPr>
          <w:i/>
          <w:iCs/>
        </w:rPr>
        <w:t>. Litig.,</w:t>
      </w:r>
      <w:r w:rsidRPr="0041479E">
        <w:t xml:space="preserve"> 2:18-mn-02873, 2022 WL 4291357, at *12, 15 (D.S.C. Sept. 16, 2022). 3M submits that a defense that presents triable issues is colorable and that it has satisfied the remaining element required for federal jurisdiction.</w:t>
      </w:r>
      <w:r>
        <w:t>”</w:t>
      </w:r>
    </w:p>
    <w:p w14:paraId="1C3D7ED2" w14:textId="77777777" w:rsidR="00785DBA" w:rsidRDefault="00785DBA" w:rsidP="00785DBA">
      <w:pPr>
        <w:pStyle w:val="NoSpacing"/>
        <w:ind w:left="720"/>
      </w:pPr>
    </w:p>
    <w:p w14:paraId="7E36FAFA" w14:textId="77777777" w:rsidR="00785DBA" w:rsidRPr="00B47E84" w:rsidRDefault="00785DBA" w:rsidP="00785DBA">
      <w:pPr>
        <w:rPr>
          <w:b/>
          <w:bCs/>
        </w:rPr>
      </w:pPr>
      <w:r>
        <w:rPr>
          <w:b/>
        </w:rPr>
        <w:t xml:space="preserve">Legal lesson learned: The case is back to state court where pre-trial discovery will proceed. </w:t>
      </w:r>
    </w:p>
    <w:p w14:paraId="1E474DF8" w14:textId="77777777" w:rsidR="00785DBA" w:rsidRDefault="00785DBA" w:rsidP="00785DBA">
      <w:pPr>
        <w:pStyle w:val="NoSpacing"/>
        <w:ind w:left="720"/>
      </w:pPr>
      <w:r>
        <w:t xml:space="preserve">Note: Military contractor defense was addressed by U.S. Supreme Court in </w:t>
      </w:r>
      <w:r w:rsidRPr="0041479E">
        <w:rPr>
          <w:i/>
          <w:iCs/>
        </w:rPr>
        <w:t>Boyle v. United Techs. Corp.,</w:t>
      </w:r>
      <w:r w:rsidRPr="0041479E">
        <w:t xml:space="preserve"> 487 U.S. 500</w:t>
      </w:r>
      <w:r>
        <w:t xml:space="preserve"> </w:t>
      </w:r>
      <w:r w:rsidRPr="0041479E">
        <w:t>(1988)</w:t>
      </w:r>
      <w:r>
        <w:t xml:space="preserve">.  </w:t>
      </w:r>
      <w:r w:rsidRPr="00FB25AF">
        <w:t xml:space="preserve">Military equipment that meets prior requirements set by the federal government cannot have a design defect sufficient to hold its manufacturer liable. </w:t>
      </w:r>
      <w:hyperlink r:id="rId417" w:history="1">
        <w:r w:rsidRPr="00BB6E17">
          <w:rPr>
            <w:rStyle w:val="Hyperlink"/>
          </w:rPr>
          <w:t>https://supreme.justia.com/cases/federal/us/487/500/</w:t>
        </w:r>
      </w:hyperlink>
      <w:r>
        <w:t xml:space="preserve"> </w:t>
      </w:r>
    </w:p>
    <w:p w14:paraId="3086F464" w14:textId="77777777" w:rsidR="00785DBA" w:rsidRDefault="00785DBA" w:rsidP="00785DBA">
      <w:pPr>
        <w:pStyle w:val="NoSpacing"/>
        <w:ind w:left="720"/>
      </w:pPr>
    </w:p>
    <w:p w14:paraId="445A7D3D" w14:textId="77777777" w:rsidR="00785DBA" w:rsidRDefault="00785DBA" w:rsidP="00785DBA">
      <w:pPr>
        <w:pStyle w:val="NoSpacing"/>
        <w:ind w:left="1440"/>
      </w:pPr>
      <w:r>
        <w:t>“</w:t>
      </w:r>
      <w:r w:rsidRPr="00C7452C">
        <w:t>This case requires us to decide when a contractor providing military equipment to the Federal Government can be held liable under state tort law for injury caused by a design defect</w:t>
      </w:r>
      <w:r>
        <w:t xml:space="preserve">…. [Plaintiff’s] </w:t>
      </w:r>
      <w:r w:rsidRPr="001532A7">
        <w:t>broadest contention is that, in the absence of legislation specifically immunizing Government contractors from liability for design defects, there is no basis for judicial recognition of such a defense. We disagree.</w:t>
      </w:r>
    </w:p>
    <w:p w14:paraId="5E836FFD" w14:textId="77777777" w:rsidR="00785DBA" w:rsidRDefault="00785DBA" w:rsidP="00785DBA">
      <w:pPr>
        <w:pStyle w:val="NoSpacing"/>
        <w:ind w:left="1440"/>
      </w:pPr>
    </w:p>
    <w:p w14:paraId="736C2D26" w14:textId="77777777" w:rsidR="00785DBA" w:rsidRDefault="00785DBA" w:rsidP="00785DBA">
      <w:pPr>
        <w:pStyle w:val="NoSpacing"/>
        <w:ind w:left="1440"/>
      </w:pPr>
      <w:r>
        <w:t>***</w:t>
      </w:r>
    </w:p>
    <w:p w14:paraId="180D0EC2" w14:textId="77777777" w:rsidR="00785DBA" w:rsidRDefault="00785DBA" w:rsidP="00785DBA">
      <w:pPr>
        <w:pStyle w:val="NoSpacing"/>
        <w:ind w:left="1440"/>
      </w:pPr>
    </w:p>
    <w:p w14:paraId="47FBD702" w14:textId="77777777" w:rsidR="00785DBA" w:rsidRDefault="00785DBA" w:rsidP="00785DBA">
      <w:pPr>
        <w:pStyle w:val="NoSpacing"/>
        <w:ind w:left="1440"/>
      </w:pPr>
      <w:r w:rsidRPr="004465FA">
        <w:t xml:space="preserve">On April 27, 1983, David A. Boyle, a United States Marine helicopter copilot, was killed when the CH-53D helicopter in which he was flying crashed off the coast of Virginia Beach, Virginia, during a training exercise. Although Boyle survived the impact of the crash, he was unable to escape from the </w:t>
      </w:r>
      <w:proofErr w:type="gramStart"/>
      <w:r w:rsidRPr="004465FA">
        <w:t>helicopter, and</w:t>
      </w:r>
      <w:proofErr w:type="gramEnd"/>
      <w:r w:rsidRPr="004465FA">
        <w:t xml:space="preserve"> drowned</w:t>
      </w:r>
      <w:r>
        <w:t xml:space="preserve">…. </w:t>
      </w:r>
      <w:r w:rsidRPr="00514E02">
        <w:t>At trial</w:t>
      </w:r>
      <w:r>
        <w:t xml:space="preserve"> [in federal court]</w:t>
      </w:r>
      <w:r w:rsidRPr="00514E02">
        <w:t xml:space="preserve">, petitioner presented two theories of liability under Virginia tort law that were submitted to the jury. First, petitioner alleged that Sikorsky had defectively repaired a device called the servo in the helicopter's automatic flight control system, which allegedly malfunctioned and caused the crash. Second, petitioner alleged that Sikorsky had defectively designed the copilot's emergency escape system: the escape hatch opened out instead of in (and was therefore ineffective in a submerged craft because of water pressure), and access to the escape hatch handle was obstructed by other equipment. The jury returned a general verdict in favor of </w:t>
      </w:r>
      <w:proofErr w:type="gramStart"/>
      <w:r w:rsidRPr="00514E02">
        <w:t>petitioner, and</w:t>
      </w:r>
      <w:proofErr w:type="gramEnd"/>
      <w:r w:rsidRPr="00514E02">
        <w:t xml:space="preserve"> awarded him $725,000</w:t>
      </w:r>
      <w:r>
        <w:t xml:space="preserve">….  [U.S. Court of Appeals reversed; just as Federal Government cannot be sued for defective design, </w:t>
      </w:r>
      <w:r w:rsidRPr="007B4C6E">
        <w:t>Sikorsky</w:t>
      </w:r>
      <w:r>
        <w:t xml:space="preserve"> as military contractor is not liable.] </w:t>
      </w:r>
    </w:p>
    <w:p w14:paraId="237439DA" w14:textId="77777777" w:rsidR="00785DBA" w:rsidRDefault="00785DBA" w:rsidP="00785DBA">
      <w:pPr>
        <w:pStyle w:val="NoSpacing"/>
        <w:ind w:left="1440"/>
      </w:pPr>
    </w:p>
    <w:p w14:paraId="3CDC16AB" w14:textId="77777777" w:rsidR="00785DBA" w:rsidRDefault="00785DBA" w:rsidP="00785DBA">
      <w:pPr>
        <w:pStyle w:val="NoSpacing"/>
        <w:ind w:left="1440"/>
      </w:pPr>
    </w:p>
    <w:p w14:paraId="17135C41" w14:textId="40466002" w:rsidR="00816870" w:rsidRDefault="00816870" w:rsidP="00816870">
      <w:pPr>
        <w:rPr>
          <w:rFonts w:ascii="Arial Black" w:hAnsi="Arial Black"/>
          <w:sz w:val="24"/>
          <w:szCs w:val="24"/>
        </w:rPr>
      </w:pPr>
      <w:r>
        <w:rPr>
          <w:rFonts w:ascii="Arial Black" w:hAnsi="Arial Black"/>
          <w:sz w:val="24"/>
          <w:szCs w:val="24"/>
        </w:rPr>
        <w:t>2-107</w:t>
      </w:r>
    </w:p>
    <w:p w14:paraId="276FA9D6" w14:textId="77777777" w:rsidR="00816870" w:rsidRDefault="00816870" w:rsidP="00816870">
      <w:pPr>
        <w:pStyle w:val="NoSpacing"/>
      </w:pPr>
      <w:r>
        <w:rPr>
          <w:rFonts w:ascii="Arial Black" w:hAnsi="Arial Black"/>
          <w:sz w:val="28"/>
          <w:szCs w:val="28"/>
        </w:rPr>
        <w:t>NH: FIRE POLE – VISITOR “PHOTO” – IMMUNITY / AIR BASE</w:t>
      </w:r>
    </w:p>
    <w:p w14:paraId="01D330AA" w14:textId="77777777" w:rsidR="00816870" w:rsidRDefault="00816870" w:rsidP="00816870">
      <w:pPr>
        <w:pStyle w:val="NoSpacing"/>
      </w:pPr>
    </w:p>
    <w:p w14:paraId="1DFEACE5" w14:textId="77777777" w:rsidR="00816870" w:rsidRDefault="00816870" w:rsidP="00816870">
      <w:pPr>
        <w:pStyle w:val="NoSpacing"/>
      </w:pPr>
      <w:r>
        <w:t xml:space="preserve">On March 31, 2026, in </w:t>
      </w:r>
      <w:r w:rsidRPr="00852BDB">
        <w:rPr>
          <w:u w:val="single"/>
        </w:rPr>
        <w:t>Celena Nixon v. United States of America</w:t>
      </w:r>
      <w:r>
        <w:t xml:space="preserve">, U.S. District Court Judge </w:t>
      </w:r>
      <w:r w:rsidRPr="00100189">
        <w:t>Paul J. Barbadoro</w:t>
      </w:r>
      <w:r>
        <w:t xml:space="preserve">, United States District Court for the District of New Hampshire, held that a visitor at the fire station </w:t>
      </w:r>
      <w:r w:rsidRPr="009B4B39">
        <w:t>Pease Air</w:t>
      </w:r>
      <w:r>
        <w:t xml:space="preserve"> </w:t>
      </w:r>
      <w:r w:rsidRPr="009B4B39">
        <w:t>National Guard Base in Newington, New Hampshire</w:t>
      </w:r>
      <w:r>
        <w:t xml:space="preserve"> cannot sue the government for most of her claims under Federal Tort Claims Act, but further briefing on “failure to train invitees” claim.   </w:t>
      </w:r>
      <w:r w:rsidRPr="00FC696C">
        <w:t>On Easter Sunday in April 2022, the fire department invited the</w:t>
      </w:r>
      <w:r>
        <w:t xml:space="preserve"> </w:t>
      </w:r>
      <w:r w:rsidRPr="00FC696C">
        <w:t>families of its on-duty firefighters to visit the fire station for a holiday</w:t>
      </w:r>
      <w:r>
        <w:t xml:space="preserve"> </w:t>
      </w:r>
      <w:r w:rsidRPr="00FC696C">
        <w:t>gathering.</w:t>
      </w:r>
      <w:r>
        <w:t xml:space="preserve"> Plaintiff’s husband was on duty, and gave his wife, two sons and daughter a tour, including second floor; he and two boys then entered the gated pole and safely went down the pole. Mrs. Nixon asked her daughter to take her photo by pole – fell down the hole.  The Court describes what happened:</w:t>
      </w:r>
    </w:p>
    <w:p w14:paraId="4E3B9D71" w14:textId="77777777" w:rsidR="00816870" w:rsidRDefault="00816870" w:rsidP="00816870">
      <w:pPr>
        <w:pStyle w:val="NoSpacing"/>
      </w:pPr>
    </w:p>
    <w:p w14:paraId="6013D722" w14:textId="77777777" w:rsidR="00816870" w:rsidRDefault="00816870" w:rsidP="00816870">
      <w:pPr>
        <w:pStyle w:val="NoSpacing"/>
        <w:ind w:left="720"/>
      </w:pPr>
      <w:r>
        <w:t>“</w:t>
      </w:r>
      <w:r w:rsidRPr="00C3098E">
        <w:t xml:space="preserve">Upon entering the pole room, Nixon was struck by the pole’s </w:t>
      </w:r>
      <w:r>
        <w:t>‘</w:t>
      </w:r>
      <w:r w:rsidRPr="00C3098E">
        <w:t>timeless</w:t>
      </w:r>
      <w:r>
        <w:t>’ ‘</w:t>
      </w:r>
      <w:r w:rsidRPr="00C3098E">
        <w:t>beauty[y]</w:t>
      </w:r>
      <w:r>
        <w:t>’</w:t>
      </w:r>
      <w:r w:rsidRPr="00C3098E">
        <w:t xml:space="preserve"> and </w:t>
      </w:r>
      <w:r>
        <w:t>‘</w:t>
      </w:r>
      <w:r w:rsidRPr="00C3098E">
        <w:t>wanted [her] picture taken.</w:t>
      </w:r>
      <w:r>
        <w:t xml:space="preserve">’ … </w:t>
      </w:r>
      <w:r w:rsidRPr="00C3098E">
        <w:t>After handing her</w:t>
      </w:r>
      <w:r>
        <w:t xml:space="preserve"> </w:t>
      </w:r>
      <w:r w:rsidRPr="00C3098E">
        <w:t>phone to her daughter, she says that she walked over to the pole, where the</w:t>
      </w:r>
      <w:r>
        <w:t xml:space="preserve"> </w:t>
      </w:r>
      <w:r w:rsidRPr="00C3098E">
        <w:t>gate into its surrounding cage was open</w:t>
      </w:r>
      <w:r>
        <w:t xml:space="preserve">…. </w:t>
      </w:r>
      <w:r w:rsidRPr="00C3098E">
        <w:t>In her telling, she</w:t>
      </w:r>
      <w:r>
        <w:t xml:space="preserve"> </w:t>
      </w:r>
      <w:r w:rsidRPr="00C3098E">
        <w:t xml:space="preserve">stepped inside and placed her weight onto </w:t>
      </w:r>
      <w:r>
        <w:t>‘</w:t>
      </w:r>
      <w:r w:rsidRPr="00C3098E">
        <w:t>another platform</w:t>
      </w:r>
      <w:r>
        <w:t>’</w:t>
      </w:r>
      <w:r w:rsidRPr="00C3098E">
        <w:t xml:space="preserve"> (ostensibly the</w:t>
      </w:r>
      <w:r>
        <w:t xml:space="preserve"> </w:t>
      </w:r>
      <w:r w:rsidRPr="00C3098E">
        <w:t xml:space="preserve">hatch) that </w:t>
      </w:r>
      <w:r>
        <w:t>‘</w:t>
      </w:r>
      <w:r w:rsidRPr="00C3098E">
        <w:t>gave way.</w:t>
      </w:r>
      <w:r>
        <w:t xml:space="preserve">’ … </w:t>
      </w:r>
      <w:r w:rsidRPr="00C3098E">
        <w:t xml:space="preserve"> Because she </w:t>
      </w:r>
      <w:r>
        <w:t>‘</w:t>
      </w:r>
      <w:r w:rsidRPr="00C3098E">
        <w:t>wasn’t like hanging on</w:t>
      </w:r>
      <w:r>
        <w:t xml:space="preserve">’ </w:t>
      </w:r>
      <w:r w:rsidRPr="00C3098E">
        <w:t>as she tried to get a picture, she fell through the hatch to the ground and was</w:t>
      </w:r>
      <w:r>
        <w:t xml:space="preserve"> </w:t>
      </w:r>
      <w:r w:rsidRPr="00C3098E">
        <w:t>injured.</w:t>
      </w:r>
      <w:r>
        <w:t>”</w:t>
      </w:r>
    </w:p>
    <w:p w14:paraId="74312072" w14:textId="77777777" w:rsidR="00816870" w:rsidRDefault="00816870" w:rsidP="00816870">
      <w:pPr>
        <w:pStyle w:val="NoSpacing"/>
      </w:pPr>
      <w:hyperlink r:id="rId418" w:history="1">
        <w:r w:rsidRPr="00402DB2">
          <w:rPr>
            <w:rStyle w:val="Hyperlink"/>
          </w:rPr>
          <w:t>https://cases.justia.com/federal/district-courts/new-hampshire/nhdce/1:2024cv00213/63777/56/0.pdf?ts=1775080109</w:t>
        </w:r>
      </w:hyperlink>
      <w:r>
        <w:t xml:space="preserve"> </w:t>
      </w:r>
    </w:p>
    <w:p w14:paraId="1BB6A13D" w14:textId="77777777" w:rsidR="00816870" w:rsidRDefault="00816870" w:rsidP="00816870">
      <w:pPr>
        <w:pStyle w:val="NoSpacing"/>
      </w:pPr>
    </w:p>
    <w:p w14:paraId="48546352" w14:textId="77777777" w:rsidR="00816870" w:rsidRDefault="00816870" w:rsidP="00816870">
      <w:pPr>
        <w:pStyle w:val="NoSpacing"/>
      </w:pPr>
      <w:r>
        <w:t>THE COURT HELD:</w:t>
      </w:r>
    </w:p>
    <w:p w14:paraId="68732989" w14:textId="77777777" w:rsidR="00816870" w:rsidRDefault="00816870" w:rsidP="00816870">
      <w:pPr>
        <w:pStyle w:val="NoSpacing"/>
        <w:rPr>
          <w:bCs/>
        </w:rPr>
      </w:pPr>
    </w:p>
    <w:p w14:paraId="250D6A6D" w14:textId="77777777" w:rsidR="00816870" w:rsidRDefault="00816870" w:rsidP="00816870">
      <w:pPr>
        <w:pStyle w:val="NoSpacing"/>
        <w:ind w:left="720"/>
      </w:pPr>
      <w:r>
        <w:t>“Nixon filed this lawsuit against the United States in July 2024…. She asserted claims for negligence and premises liability based on the fire department’s failure to: ‘safely secure the premises for invitees’ (‘Theory 1’); ‘train invitees in the proper use”’ of the pole (‘Theory 2’); ‘restrict access to the pole and the pole room’  to individuals without such training (‘Theory 3’); ‘post signs warning invitees not to approach the pole’ (‘Theory 4’); ‘post signs’ warning that the floor plate ‘was not solid footing and would give upon</w:t>
      </w:r>
    </w:p>
    <w:p w14:paraId="0EB8A287" w14:textId="77777777" w:rsidR="00816870" w:rsidRDefault="00816870" w:rsidP="00816870">
      <w:pPr>
        <w:pStyle w:val="NoSpacing"/>
        <w:ind w:left="720"/>
      </w:pPr>
      <w:r>
        <w:t xml:space="preserve">placement of any weight’ (‘Theory 5’); ‘secure’ the hatch ‘such that it did not immediately allow individuals to fall through’ or remove it altogether (‘Theory 6’); and ‘install barriers to prevent’ someone from ‘approaching the pole’ and hatch beneath (‘Theory 7’)…. Nixon demanded damages for physical and mental suffering, medical treatment, and loss of earning capacity. </w:t>
      </w:r>
    </w:p>
    <w:p w14:paraId="5C3FE118" w14:textId="77777777" w:rsidR="00816870" w:rsidRDefault="00816870" w:rsidP="00816870">
      <w:pPr>
        <w:pStyle w:val="NoSpacing"/>
        <w:ind w:left="720"/>
      </w:pPr>
    </w:p>
    <w:p w14:paraId="19AB3D92" w14:textId="77777777" w:rsidR="00816870" w:rsidRDefault="00816870" w:rsidP="00816870">
      <w:pPr>
        <w:pStyle w:val="NoSpacing"/>
        <w:ind w:left="720"/>
      </w:pPr>
      <w:r>
        <w:t>***</w:t>
      </w:r>
    </w:p>
    <w:p w14:paraId="5965DA70" w14:textId="77777777" w:rsidR="00816870" w:rsidRDefault="00816870" w:rsidP="00816870">
      <w:pPr>
        <w:pStyle w:val="NoSpacing"/>
        <w:ind w:left="720"/>
      </w:pPr>
    </w:p>
    <w:p w14:paraId="3379D0B5" w14:textId="77777777" w:rsidR="00816870" w:rsidRDefault="00816870" w:rsidP="00816870">
      <w:pPr>
        <w:pStyle w:val="NoSpacing"/>
        <w:ind w:left="720"/>
      </w:pPr>
      <w:r>
        <w:t>Because Nixon’s failure-to-warn claims are inextricably reliant on the fire department’s alleged failure to communicate information, they are subject to the misrepresentation exception. And, because her remaining claims are barred by the discretionary-function exception, I lack jurisdiction over those claims as well.</w:t>
      </w:r>
    </w:p>
    <w:p w14:paraId="6348774F" w14:textId="77777777" w:rsidR="00816870" w:rsidRDefault="00816870" w:rsidP="00816870">
      <w:pPr>
        <w:pStyle w:val="NoSpacing"/>
        <w:ind w:left="720"/>
      </w:pPr>
    </w:p>
    <w:p w14:paraId="6E15FD72" w14:textId="77777777" w:rsidR="00816870" w:rsidRDefault="00816870" w:rsidP="00816870">
      <w:pPr>
        <w:pStyle w:val="NoSpacing"/>
        <w:ind w:left="720"/>
      </w:pPr>
      <w:r>
        <w:t>***</w:t>
      </w:r>
    </w:p>
    <w:p w14:paraId="5CA8DFE5" w14:textId="77777777" w:rsidR="00816870" w:rsidRDefault="00816870" w:rsidP="00816870">
      <w:pPr>
        <w:pStyle w:val="NoSpacing"/>
        <w:ind w:left="720"/>
      </w:pPr>
      <w:r>
        <w:t>Nixon asserts that the government is liable in part because it failed to ‘train invitees in the proper use’ of the fire pole (Theory 2)….Although it is likely that any claims based on this theory are also barred by the discretion-function exception, I do not presume as much, as the government has not challenged this theory of liability in its motion for</w:t>
      </w:r>
    </w:p>
    <w:p w14:paraId="55A23A2B" w14:textId="77777777" w:rsidR="00816870" w:rsidRDefault="00816870" w:rsidP="00816870">
      <w:pPr>
        <w:pStyle w:val="NoSpacing"/>
        <w:ind w:left="720"/>
      </w:pPr>
      <w:r>
        <w:t>summary judgment. And as applied to this theory, the government’s alternative arguments concerning the scope of the fire department’s duties, the foreseeability of danger posed by the fire pole, and Nixon’s comparative fault present triable disputes of material fact. I therefore deny the government’s motion for summary judgment as to Theory 2 without prejudice to any motion addressing this Court’s jurisdiction over those claims.”</w:t>
      </w:r>
    </w:p>
    <w:p w14:paraId="4B9E65A0" w14:textId="77777777" w:rsidR="00816870" w:rsidRDefault="00816870" w:rsidP="00816870">
      <w:pPr>
        <w:pStyle w:val="NoSpacing"/>
        <w:ind w:left="720"/>
      </w:pPr>
    </w:p>
    <w:p w14:paraId="16AD9B72" w14:textId="77777777" w:rsidR="00816870" w:rsidRDefault="00816870" w:rsidP="00816870">
      <w:r>
        <w:rPr>
          <w:b/>
        </w:rPr>
        <w:t xml:space="preserve">Legal lesson learned: During tours of station, tell all visitors to stay away from fire pole hole. </w:t>
      </w:r>
    </w:p>
    <w:p w14:paraId="1D31229B" w14:textId="77777777" w:rsidR="00816870" w:rsidRDefault="00816870" w:rsidP="00816870">
      <w:pPr>
        <w:pStyle w:val="NoSpacing"/>
        <w:ind w:left="720"/>
      </w:pPr>
      <w:r>
        <w:t xml:space="preserve">Note: Court commented on NFPA 1500: </w:t>
      </w:r>
    </w:p>
    <w:p w14:paraId="01096503" w14:textId="77777777" w:rsidR="00816870" w:rsidRDefault="00816870" w:rsidP="00816870">
      <w:pPr>
        <w:pStyle w:val="NoSpacing"/>
        <w:ind w:left="720" w:firstLine="720"/>
      </w:pPr>
      <w:r>
        <w:t xml:space="preserve"> “In relevant part, section 10.1.8 of the NFPA 1500 directs that:</w:t>
      </w:r>
    </w:p>
    <w:p w14:paraId="6074C941" w14:textId="77777777" w:rsidR="00816870" w:rsidRDefault="00816870" w:rsidP="00816870">
      <w:pPr>
        <w:pStyle w:val="NoSpacing"/>
        <w:ind w:left="720" w:firstLine="720"/>
      </w:pPr>
      <w:r>
        <w:t>Stations utilizing poles to provide rapid access to lower</w:t>
      </w:r>
    </w:p>
    <w:p w14:paraId="7B59A00C" w14:textId="77777777" w:rsidR="00816870" w:rsidRDefault="00816870" w:rsidP="00816870">
      <w:pPr>
        <w:pStyle w:val="NoSpacing"/>
        <w:ind w:left="720" w:firstLine="720"/>
      </w:pPr>
      <w:r>
        <w:t>floors shall ensure that the area around the pole hole</w:t>
      </w:r>
    </w:p>
    <w:p w14:paraId="385DE512" w14:textId="77777777" w:rsidR="00816870" w:rsidRDefault="00816870" w:rsidP="00816870">
      <w:pPr>
        <w:pStyle w:val="NoSpacing"/>
        <w:ind w:left="720" w:firstLine="720"/>
      </w:pPr>
      <w:r>
        <w:t>is secured by means of a cover, enclosure, or other</w:t>
      </w:r>
    </w:p>
    <w:p w14:paraId="0529AEFF" w14:textId="77777777" w:rsidR="00816870" w:rsidRDefault="00816870" w:rsidP="00816870">
      <w:pPr>
        <w:pStyle w:val="NoSpacing"/>
        <w:ind w:left="720" w:firstLine="720"/>
      </w:pPr>
      <w:r>
        <w:t>means to prevent someone from accidentally falling</w:t>
      </w:r>
    </w:p>
    <w:p w14:paraId="2B2B1CBE" w14:textId="77777777" w:rsidR="00816870" w:rsidRDefault="00816870" w:rsidP="00816870">
      <w:pPr>
        <w:pStyle w:val="NoSpacing"/>
        <w:ind w:left="1440"/>
      </w:pPr>
      <w:r>
        <w:t>though the pole hole.</w:t>
      </w:r>
    </w:p>
    <w:p w14:paraId="2FFA7007" w14:textId="77777777" w:rsidR="00816870" w:rsidRDefault="00816870" w:rsidP="00816870">
      <w:pPr>
        <w:pStyle w:val="NoSpacing"/>
        <w:ind w:left="1440"/>
      </w:pPr>
    </w:p>
    <w:p w14:paraId="35A88F91" w14:textId="77777777" w:rsidR="00816870" w:rsidRDefault="00816870" w:rsidP="00816870">
      <w:pPr>
        <w:pStyle w:val="NoSpacing"/>
        <w:ind w:left="1440"/>
      </w:pPr>
      <w:r>
        <w:t>***</w:t>
      </w:r>
    </w:p>
    <w:p w14:paraId="1E986B0B" w14:textId="77777777" w:rsidR="00816870" w:rsidRDefault="00816870" w:rsidP="00816870">
      <w:pPr>
        <w:pStyle w:val="NoSpacing"/>
        <w:ind w:left="1440"/>
      </w:pPr>
    </w:p>
    <w:p w14:paraId="584F55C5" w14:textId="77777777" w:rsidR="00816870" w:rsidRDefault="00816870" w:rsidP="00816870">
      <w:pPr>
        <w:pStyle w:val="NoSpacing"/>
        <w:ind w:left="1440"/>
      </w:pPr>
      <w:r>
        <w:t>Phrased disjunctively, this provision does not require the department to use a cover if it uses an enclosure, which is what it did in this case.”</w:t>
      </w:r>
    </w:p>
    <w:p w14:paraId="769A390F" w14:textId="77777777" w:rsidR="00816870" w:rsidRDefault="00816870" w:rsidP="00816870">
      <w:pPr>
        <w:pStyle w:val="NoSpacing"/>
        <w:rPr>
          <w:bCs/>
        </w:rPr>
      </w:pPr>
    </w:p>
    <w:p w14:paraId="194FDA20" w14:textId="77777777" w:rsidR="00816870" w:rsidRDefault="00816870" w:rsidP="00646EE3">
      <w:pPr>
        <w:rPr>
          <w:rFonts w:ascii="Arial Black" w:hAnsi="Arial Black"/>
          <w:sz w:val="24"/>
          <w:szCs w:val="24"/>
        </w:rPr>
      </w:pPr>
    </w:p>
    <w:p w14:paraId="5454D4B8" w14:textId="77777777" w:rsidR="00997F6F" w:rsidRDefault="00997F6F" w:rsidP="00646EE3">
      <w:pPr>
        <w:rPr>
          <w:rFonts w:ascii="Arial Black" w:hAnsi="Arial Black"/>
          <w:sz w:val="24"/>
          <w:szCs w:val="24"/>
        </w:rPr>
      </w:pPr>
    </w:p>
    <w:p w14:paraId="4BCC8CD0" w14:textId="1D2FF849" w:rsidR="00961DF4" w:rsidRDefault="00961DF4" w:rsidP="00646EE3">
      <w:pPr>
        <w:rPr>
          <w:rFonts w:ascii="Arial Black" w:hAnsi="Arial Black"/>
          <w:sz w:val="24"/>
          <w:szCs w:val="24"/>
        </w:rPr>
      </w:pPr>
      <w:r>
        <w:rPr>
          <w:rFonts w:ascii="Arial Black" w:hAnsi="Arial Black"/>
          <w:sz w:val="24"/>
          <w:szCs w:val="24"/>
        </w:rPr>
        <w:t>2-10</w:t>
      </w:r>
      <w:r w:rsidR="00F52698">
        <w:rPr>
          <w:rFonts w:ascii="Arial Black" w:hAnsi="Arial Black"/>
          <w:sz w:val="24"/>
          <w:szCs w:val="24"/>
        </w:rPr>
        <w:t>6</w:t>
      </w:r>
    </w:p>
    <w:p w14:paraId="591B0E79" w14:textId="77777777" w:rsidR="00916D00" w:rsidRDefault="00916D00" w:rsidP="00916D00">
      <w:pPr>
        <w:pStyle w:val="NoSpacing"/>
        <w:rPr>
          <w:rFonts w:ascii="Arial Black" w:hAnsi="Arial Black"/>
          <w:b/>
          <w:sz w:val="28"/>
          <w:szCs w:val="28"/>
        </w:rPr>
      </w:pPr>
      <w:r>
        <w:rPr>
          <w:rFonts w:ascii="Arial Black" w:hAnsi="Arial Black"/>
          <w:b/>
          <w:sz w:val="28"/>
          <w:szCs w:val="28"/>
        </w:rPr>
        <w:t>TX: DRUNK – HEAD ON AMBULANCE – 2 DEAD / 30 YRS</w:t>
      </w:r>
    </w:p>
    <w:p w14:paraId="7E070C79" w14:textId="77777777" w:rsidR="00916D00" w:rsidRDefault="00916D00" w:rsidP="00916D00">
      <w:pPr>
        <w:pStyle w:val="NoSpacing"/>
        <w:rPr>
          <w:rFonts w:ascii="Arial Black" w:hAnsi="Arial Black"/>
          <w:b/>
          <w:sz w:val="28"/>
          <w:szCs w:val="28"/>
        </w:rPr>
      </w:pPr>
    </w:p>
    <w:p w14:paraId="6F7679F6" w14:textId="77777777" w:rsidR="00916D00" w:rsidRDefault="00916D00" w:rsidP="00916D00">
      <w:pPr>
        <w:pStyle w:val="NoSpacing"/>
        <w:rPr>
          <w:bCs/>
        </w:rPr>
      </w:pPr>
      <w:r w:rsidRPr="00F90D69">
        <w:t xml:space="preserve">On March 19, 2026, in </w:t>
      </w:r>
      <w:r w:rsidRPr="00F90D69">
        <w:rPr>
          <w:u w:val="single"/>
        </w:rPr>
        <w:t>Mitchell Trevino v. The State of Texas</w:t>
      </w:r>
      <w:r w:rsidRPr="00F90D69">
        <w:t>,</w:t>
      </w:r>
      <w:r>
        <w:t xml:space="preserve"> the </w:t>
      </w:r>
      <w:r w:rsidRPr="00E31049">
        <w:t>Court of Appeals of Texas, Thirteenth District, Corpus Christi-Edinburg</w:t>
      </w:r>
      <w:r>
        <w:t xml:space="preserve"> held (3 to 0; unpublished opinion) that trial court judge properly rejected defendant’s offer to stipulate that he was intoxicated and two were killed (EMS driver and patient) and third seriously injured (EMT). The prosecution had every right to provide testimony, photographs, body-camera video of the horrible scene.  The jury assessed imprisonment of total 30 years.</w:t>
      </w:r>
    </w:p>
    <w:p w14:paraId="2F31C3E3" w14:textId="77777777" w:rsidR="00916D00" w:rsidRDefault="00916D00" w:rsidP="00916D00">
      <w:pPr>
        <w:pStyle w:val="NoSpacing"/>
        <w:rPr>
          <w:b/>
        </w:rPr>
      </w:pPr>
      <w:hyperlink r:id="rId419" w:history="1">
        <w:r w:rsidRPr="001F11D0">
          <w:rPr>
            <w:rStyle w:val="Hyperlink"/>
            <w:b/>
          </w:rPr>
          <w:t>https://cases.justia.com/texas/thirteenth-court-of-appeals/2026-13-24-00335-cr.pdf?ts=1773937817</w:t>
        </w:r>
      </w:hyperlink>
      <w:r>
        <w:rPr>
          <w:b/>
        </w:rPr>
        <w:t xml:space="preserve"> </w:t>
      </w:r>
    </w:p>
    <w:p w14:paraId="23349623" w14:textId="77777777" w:rsidR="00916D00" w:rsidRDefault="00916D00" w:rsidP="00916D00">
      <w:pPr>
        <w:pStyle w:val="NoSpacing"/>
        <w:rPr>
          <w:bCs/>
        </w:rPr>
      </w:pPr>
      <w:r>
        <w:t xml:space="preserve"> </w:t>
      </w:r>
    </w:p>
    <w:p w14:paraId="337078CF" w14:textId="77777777" w:rsidR="00916D00" w:rsidRPr="008F1BAC" w:rsidRDefault="00916D00" w:rsidP="00916D00">
      <w:pPr>
        <w:pStyle w:val="NoSpacing"/>
      </w:pPr>
      <w:r>
        <w:t>THE COURT HELD: “</w:t>
      </w:r>
      <w:r w:rsidRPr="008F1BAC">
        <w:t>In December 2018, Trevino collided with the rear of a vehicle traveling in front of</w:t>
      </w:r>
      <w:r>
        <w:t xml:space="preserve"> </w:t>
      </w:r>
      <w:r w:rsidRPr="008F1BAC">
        <w:t>him, crossed into an oncoming lane of traffic, and hit an ambulance head on. The</w:t>
      </w:r>
    </w:p>
    <w:p w14:paraId="7CD76A99" w14:textId="77777777" w:rsidR="00916D00" w:rsidRPr="008F1BAC" w:rsidRDefault="00916D00" w:rsidP="00916D00">
      <w:pPr>
        <w:pStyle w:val="NoSpacing"/>
      </w:pPr>
      <w:r w:rsidRPr="008F1BAC">
        <w:t>ambulance driver was killed, a patient was killed, and an emergency medical technician</w:t>
      </w:r>
    </w:p>
    <w:p w14:paraId="6F2161C5" w14:textId="77777777" w:rsidR="00916D00" w:rsidRPr="008F1BAC" w:rsidRDefault="00916D00" w:rsidP="00916D00">
      <w:pPr>
        <w:pStyle w:val="NoSpacing"/>
      </w:pPr>
      <w:r w:rsidRPr="008F1BAC">
        <w:t>(EMT) was injured. Prior to the commencement of trial, Trevino offered to stipulate that</w:t>
      </w:r>
    </w:p>
    <w:p w14:paraId="6EB0BBDF" w14:textId="77777777" w:rsidR="00916D00" w:rsidRPr="008F1BAC" w:rsidRDefault="00916D00" w:rsidP="00916D00">
      <w:pPr>
        <w:pStyle w:val="NoSpacing"/>
      </w:pPr>
      <w:proofErr w:type="gramStart"/>
      <w:r w:rsidRPr="008F1BAC">
        <w:t>he</w:t>
      </w:r>
      <w:proofErr w:type="gramEnd"/>
      <w:r w:rsidRPr="008F1BAC">
        <w:t xml:space="preserve"> was intoxicated, there were two fatalities, and one person suffered serious bodily</w:t>
      </w:r>
    </w:p>
    <w:p w14:paraId="0D245D37" w14:textId="77777777" w:rsidR="00916D00" w:rsidRDefault="00916D00" w:rsidP="00916D00">
      <w:pPr>
        <w:pStyle w:val="NoSpacing"/>
      </w:pPr>
      <w:r w:rsidRPr="008F1BAC">
        <w:t>injury. The State did not accept Trevino’s offer to stipulate in lieu of presenting evidence.</w:t>
      </w:r>
    </w:p>
    <w:p w14:paraId="4718BC8E" w14:textId="77777777" w:rsidR="00916D00" w:rsidRDefault="00916D00" w:rsidP="00916D00">
      <w:pPr>
        <w:pStyle w:val="NoSpacing"/>
      </w:pPr>
      <w:r>
        <w:t>***</w:t>
      </w:r>
    </w:p>
    <w:p w14:paraId="1B06688F" w14:textId="77777777" w:rsidR="00916D00" w:rsidRDefault="00916D00" w:rsidP="00916D00">
      <w:pPr>
        <w:pStyle w:val="NoSpacing"/>
      </w:pPr>
      <w:r>
        <w:t>Here, Trevino cannot ‘stipulate or admit his way out of the full evidentiary force of</w:t>
      </w:r>
    </w:p>
    <w:p w14:paraId="5FE5E8AD" w14:textId="77777777" w:rsidR="00916D00" w:rsidRDefault="00916D00" w:rsidP="00916D00">
      <w:pPr>
        <w:pStyle w:val="NoSpacing"/>
      </w:pPr>
      <w:r>
        <w:t>the case as the [state chose] chooses to present it.’ … While the State’s evidence is certainly necessary for definitionally proving the elements of an offense, that is not the only role of such evidence…. Evidence also plays a role in providing human jurors what stipulations cannot: narratives, complexity, ability to draw inferences, and connection to human experience.”</w:t>
      </w:r>
    </w:p>
    <w:p w14:paraId="121C0D91" w14:textId="77777777" w:rsidR="00916D00" w:rsidRDefault="00916D00" w:rsidP="00916D00">
      <w:pPr>
        <w:pStyle w:val="NoSpacing"/>
      </w:pPr>
    </w:p>
    <w:p w14:paraId="5941298C" w14:textId="77777777" w:rsidR="00916D00" w:rsidRPr="00FF0645" w:rsidRDefault="00916D00" w:rsidP="00916D00">
      <w:pPr>
        <w:pStyle w:val="NoSpacing"/>
        <w:rPr>
          <w:b/>
          <w:bCs/>
        </w:rPr>
      </w:pPr>
      <w:r w:rsidRPr="00FF0645">
        <w:rPr>
          <w:b/>
        </w:rPr>
        <w:t xml:space="preserve">Legal lesson learned: </w:t>
      </w:r>
      <w:r>
        <w:rPr>
          <w:b/>
        </w:rPr>
        <w:t xml:space="preserve">State was entitled to show the jury the terrible result of drunk driving. </w:t>
      </w:r>
    </w:p>
    <w:p w14:paraId="33E3D0B4" w14:textId="77777777" w:rsidR="00916D00" w:rsidRPr="00FF0645" w:rsidRDefault="00916D00" w:rsidP="00916D00">
      <w:pPr>
        <w:pStyle w:val="NoSpacing"/>
        <w:rPr>
          <w:b/>
          <w:bCs/>
        </w:rPr>
      </w:pPr>
    </w:p>
    <w:p w14:paraId="2A58A00C" w14:textId="77777777" w:rsidR="00916D00" w:rsidRDefault="00916D00" w:rsidP="00646EE3">
      <w:pPr>
        <w:rPr>
          <w:rFonts w:ascii="Arial Black" w:hAnsi="Arial Black"/>
          <w:sz w:val="24"/>
          <w:szCs w:val="24"/>
        </w:rPr>
      </w:pPr>
    </w:p>
    <w:p w14:paraId="7D834173" w14:textId="72679317" w:rsidR="00961DF4" w:rsidRDefault="00916D00" w:rsidP="00646EE3">
      <w:pPr>
        <w:rPr>
          <w:rFonts w:ascii="Arial Black" w:hAnsi="Arial Black"/>
          <w:sz w:val="24"/>
          <w:szCs w:val="24"/>
        </w:rPr>
      </w:pPr>
      <w:r>
        <w:rPr>
          <w:rFonts w:ascii="Arial Black" w:hAnsi="Arial Black"/>
          <w:sz w:val="24"/>
          <w:szCs w:val="24"/>
        </w:rPr>
        <w:t>2-10</w:t>
      </w:r>
      <w:r w:rsidR="00056D43">
        <w:rPr>
          <w:rFonts w:ascii="Arial Black" w:hAnsi="Arial Black"/>
          <w:sz w:val="24"/>
          <w:szCs w:val="24"/>
        </w:rPr>
        <w:t>5</w:t>
      </w:r>
    </w:p>
    <w:p w14:paraId="18670608" w14:textId="77777777" w:rsidR="00F52698" w:rsidRDefault="00F52698" w:rsidP="00F52698">
      <w:pPr>
        <w:pStyle w:val="NoSpacing"/>
        <w:rPr>
          <w:rFonts w:ascii="Arial Black" w:hAnsi="Arial Black"/>
          <w:b/>
          <w:sz w:val="28"/>
          <w:szCs w:val="28"/>
        </w:rPr>
      </w:pPr>
      <w:r>
        <w:rPr>
          <w:rFonts w:ascii="Arial Black" w:hAnsi="Arial Black"/>
          <w:b/>
          <w:sz w:val="28"/>
          <w:szCs w:val="28"/>
        </w:rPr>
        <w:t>PA: SPEEDING DRIVER – KILLED “FIRE POLICE” - 25 YRS</w:t>
      </w:r>
    </w:p>
    <w:p w14:paraId="435F1B6D" w14:textId="77777777" w:rsidR="00F52698" w:rsidRDefault="00F52698" w:rsidP="00F52698">
      <w:pPr>
        <w:pStyle w:val="NoSpacing"/>
        <w:rPr>
          <w:bCs/>
        </w:rPr>
      </w:pPr>
    </w:p>
    <w:p w14:paraId="32ABF91E" w14:textId="77777777" w:rsidR="00F52698" w:rsidRDefault="00F52698" w:rsidP="00F52698">
      <w:pPr>
        <w:pStyle w:val="NoSpacing"/>
      </w:pPr>
      <w:r w:rsidRPr="00434D0D">
        <w:t xml:space="preserve">On March 10, 2026, in </w:t>
      </w:r>
      <w:r w:rsidRPr="00434D0D">
        <w:rPr>
          <w:u w:val="single"/>
        </w:rPr>
        <w:t>Commonwealth of Pennsylvania v. Dawann Matrick Simmons</w:t>
      </w:r>
      <w:r w:rsidRPr="00434D0D">
        <w:t xml:space="preserve">, </w:t>
      </w:r>
      <w:r>
        <w:t xml:space="preserve">the </w:t>
      </w:r>
      <w:r w:rsidRPr="00295533">
        <w:t>Superior Court of Pennsylvania</w:t>
      </w:r>
      <w:r>
        <w:t xml:space="preserve"> held (3 to 0; non precedential) that the trial court judge properly rejected criminal defendant’s motion to set aside his guilty plea.  Court wrote: “His statement that he was unaware of the likelihood of the imposition of the maximum sentence may be true, but it is of no matter.”  On November 7, </w:t>
      </w:r>
      <w:proofErr w:type="gramStart"/>
      <w:r>
        <w:t>2024</w:t>
      </w:r>
      <w:proofErr w:type="gramEnd"/>
      <w:r>
        <w:t xml:space="preserve"> he pled no contest to first count - Count 1, Homicide by Vehicle, a Felony of the Third Degree; and guilty to 9 other counts, with trial court judge advising him of max sentence for each count, and total aggregate of 25 years and six months. On January 2, </w:t>
      </w:r>
      <w:proofErr w:type="gramStart"/>
      <w:r>
        <w:t>2025</w:t>
      </w:r>
      <w:proofErr w:type="gramEnd"/>
      <w:r>
        <w:t xml:space="preserve"> he was sentenced to an aggregate of 109 to 218 months’ incarceration.  </w:t>
      </w:r>
    </w:p>
    <w:p w14:paraId="0A80C98C" w14:textId="77777777" w:rsidR="00F52698" w:rsidRDefault="00F52698" w:rsidP="00F52698">
      <w:pPr>
        <w:pStyle w:val="NoSpacing"/>
      </w:pPr>
      <w:hyperlink r:id="rId420" w:history="1">
        <w:r w:rsidRPr="004D13CD">
          <w:rPr>
            <w:rStyle w:val="Hyperlink"/>
          </w:rPr>
          <w:t>https://www.pacourts.us/assets/opinions/Superior/out/J-S01044-26m%20-%20106707559350028927.pdf?cb=1</w:t>
        </w:r>
      </w:hyperlink>
      <w:r>
        <w:t xml:space="preserve"> </w:t>
      </w:r>
    </w:p>
    <w:p w14:paraId="09C0A494" w14:textId="77777777" w:rsidR="00F52698" w:rsidRDefault="00F52698" w:rsidP="00F52698">
      <w:pPr>
        <w:pStyle w:val="NoSpacing"/>
      </w:pPr>
    </w:p>
    <w:p w14:paraId="3E767564" w14:textId="77777777" w:rsidR="00F52698" w:rsidRDefault="00F52698" w:rsidP="00F52698">
      <w:pPr>
        <w:pStyle w:val="NoSpacing"/>
      </w:pPr>
      <w:r>
        <w:t xml:space="preserve">THE COURT HELD:  “On August 20, 2023, near the intersection of West Main Road and Brickyard Road in </w:t>
      </w:r>
      <w:proofErr w:type="gramStart"/>
      <w:r>
        <w:t>North East</w:t>
      </w:r>
      <w:proofErr w:type="gramEnd"/>
      <w:r>
        <w:t>, Pennsylvania, emergency personnel responded to a two-</w:t>
      </w:r>
    </w:p>
    <w:p w14:paraId="61825CEF" w14:textId="77777777" w:rsidR="00F52698" w:rsidRDefault="00F52698" w:rsidP="00F52698">
      <w:pPr>
        <w:pStyle w:val="NoSpacing"/>
      </w:pPr>
      <w:r>
        <w:t xml:space="preserve">vehicle crash…. Emergency personnel included the Fuller Hose Company of the </w:t>
      </w:r>
      <w:proofErr w:type="gramStart"/>
      <w:r>
        <w:t>North East</w:t>
      </w:r>
      <w:proofErr w:type="gramEnd"/>
    </w:p>
    <w:p w14:paraId="61343455" w14:textId="77777777" w:rsidR="00F52698" w:rsidRDefault="00F52698" w:rsidP="00F52698">
      <w:pPr>
        <w:pStyle w:val="NoSpacing"/>
      </w:pPr>
      <w:r>
        <w:t>Volunteer Fire Department and Pennsylvania State Troopers, relevantly including Fire Police Officer Shawn Giles…. Officer Giles was responsible for traffic control in the eastbound lane while firefighters and state troopers performed their investigation of the crash…. Officer Giles was wearing fluorescent clothing and holding fluorescent flags while conducting these</w:t>
      </w:r>
    </w:p>
    <w:p w14:paraId="2AC89638" w14:textId="77777777" w:rsidR="00F52698" w:rsidRDefault="00F52698" w:rsidP="00F52698">
      <w:pPr>
        <w:pStyle w:val="NoSpacing"/>
      </w:pPr>
      <w:r>
        <w:t>official duties…. At this time, Appellant was traveling in a silver Lexus at a high rate of</w:t>
      </w:r>
    </w:p>
    <w:p w14:paraId="6C37A70D" w14:textId="77777777" w:rsidR="00F52698" w:rsidRDefault="00F52698" w:rsidP="00F52698">
      <w:pPr>
        <w:pStyle w:val="NoSpacing"/>
      </w:pPr>
      <w:r>
        <w:t>speed in the left eastbound lane on State Route 20. Notably, Appellant, the driver and sole occupant of the Lexus, was driving with his license suspended by PennDOT…. Maintaining a high rate of speed, Appellant traveled into the right lane, then abruptly swerved back into the left lane to avoid colliding with a vehicle stopped by Officer Giles…. During this maneuver,</w:t>
      </w:r>
    </w:p>
    <w:p w14:paraId="2E108D38" w14:textId="77777777" w:rsidR="00F52698" w:rsidRDefault="00F52698" w:rsidP="00F52698">
      <w:pPr>
        <w:pStyle w:val="NoSpacing"/>
      </w:pPr>
      <w:r>
        <w:t xml:space="preserve">Appellant’s Lexus struck Officer Giles, causing his death </w:t>
      </w:r>
      <w:proofErr w:type="gramStart"/>
      <w:r>
        <w:t>as a result of</w:t>
      </w:r>
      <w:proofErr w:type="gramEnd"/>
      <w:r>
        <w:t xml:space="preserve"> blunt force trauma. </w:t>
      </w:r>
    </w:p>
    <w:p w14:paraId="4C065B9C" w14:textId="77777777" w:rsidR="00F52698" w:rsidRDefault="00F52698" w:rsidP="00F52698">
      <w:pPr>
        <w:pStyle w:val="NoSpacing"/>
      </w:pPr>
    </w:p>
    <w:p w14:paraId="2AF54757" w14:textId="77777777" w:rsidR="00F52698" w:rsidRDefault="00F52698" w:rsidP="00F52698">
      <w:pPr>
        <w:pStyle w:val="NoSpacing"/>
      </w:pPr>
      <w:r>
        <w:t>Through forensic calculation and investigation, Appellant’s vehicle was determined to have been traveling approximately 78 miles per hour (mph) immediately prior to the crash and approximately 58 mph when his vehicle impacted the victim. The posted speed limit was 55 mph, and the required speed limit in an emergency response area is 20 mph less than the posted</w:t>
      </w:r>
    </w:p>
    <w:p w14:paraId="1EBE9C04" w14:textId="77777777" w:rsidR="00F52698" w:rsidRDefault="00F52698" w:rsidP="00F52698">
      <w:pPr>
        <w:pStyle w:val="NoSpacing"/>
      </w:pPr>
      <w:r>
        <w:t>speed limit, thus resulting in a reduced speed limit of 35 mph.”</w:t>
      </w:r>
      <w:r>
        <w:br/>
      </w:r>
    </w:p>
    <w:p w14:paraId="1173FCE7" w14:textId="77777777" w:rsidR="00F52698" w:rsidRDefault="00F52698" w:rsidP="00F52698">
      <w:pPr>
        <w:pStyle w:val="NoSpacing"/>
        <w:rPr>
          <w:b/>
        </w:rPr>
      </w:pPr>
      <w:r w:rsidRPr="00857C9E">
        <w:rPr>
          <w:b/>
        </w:rPr>
        <w:t xml:space="preserve">Legal lesson learned: </w:t>
      </w:r>
      <w:r>
        <w:rPr>
          <w:b/>
        </w:rPr>
        <w:t xml:space="preserve">Trial court gave him the “max” – very appropriate for his misconduct. </w:t>
      </w:r>
    </w:p>
    <w:p w14:paraId="54D08383" w14:textId="77777777" w:rsidR="00056D43" w:rsidRDefault="00056D43" w:rsidP="00F52698">
      <w:pPr>
        <w:pStyle w:val="NoSpacing"/>
        <w:rPr>
          <w:b/>
        </w:rPr>
      </w:pPr>
    </w:p>
    <w:p w14:paraId="0DED33E3" w14:textId="77777777" w:rsidR="00056D43" w:rsidRDefault="00056D43" w:rsidP="00F52698">
      <w:pPr>
        <w:pStyle w:val="NoSpacing"/>
        <w:rPr>
          <w:b/>
        </w:rPr>
      </w:pPr>
    </w:p>
    <w:p w14:paraId="047C9DA2" w14:textId="7BF933BD" w:rsidR="00056D43" w:rsidRDefault="00056D43" w:rsidP="00F52698">
      <w:pPr>
        <w:pStyle w:val="NoSpacing"/>
        <w:rPr>
          <w:b/>
          <w:sz w:val="28"/>
          <w:szCs w:val="28"/>
        </w:rPr>
      </w:pPr>
      <w:r w:rsidRPr="00056D43">
        <w:rPr>
          <w:b/>
          <w:sz w:val="28"/>
          <w:szCs w:val="28"/>
        </w:rPr>
        <w:t>2-104</w:t>
      </w:r>
    </w:p>
    <w:p w14:paraId="0D178866" w14:textId="77777777" w:rsidR="00BE7AC1" w:rsidRDefault="00BE7AC1" w:rsidP="00F52698">
      <w:pPr>
        <w:pStyle w:val="NoSpacing"/>
        <w:rPr>
          <w:b/>
          <w:sz w:val="28"/>
          <w:szCs w:val="28"/>
        </w:rPr>
      </w:pPr>
    </w:p>
    <w:p w14:paraId="69FFCFDC" w14:textId="77777777" w:rsidR="00BE7AC1" w:rsidRPr="00847DEF" w:rsidRDefault="00BE7AC1" w:rsidP="00BE7AC1">
      <w:pPr>
        <w:pStyle w:val="NoSpacing"/>
        <w:rPr>
          <w:rFonts w:ascii="Arial Black" w:hAnsi="Arial Black"/>
          <w:sz w:val="28"/>
          <w:szCs w:val="28"/>
        </w:rPr>
      </w:pPr>
      <w:r>
        <w:rPr>
          <w:rFonts w:ascii="Arial Black" w:hAnsi="Arial Black"/>
          <w:sz w:val="28"/>
          <w:szCs w:val="28"/>
        </w:rPr>
        <w:t>TX: FD CAPTAIN / DISPATCHER – BEARD - NO OVERTIME</w:t>
      </w:r>
    </w:p>
    <w:p w14:paraId="15D60D02" w14:textId="77777777" w:rsidR="00BE7AC1" w:rsidRDefault="00BE7AC1" w:rsidP="00BE7AC1">
      <w:pPr>
        <w:pStyle w:val="NoSpacing"/>
      </w:pPr>
    </w:p>
    <w:p w14:paraId="4FBDB049" w14:textId="77777777" w:rsidR="00BE7AC1" w:rsidRDefault="00BE7AC1" w:rsidP="00BE7AC1">
      <w:pPr>
        <w:pStyle w:val="NoSpacing"/>
      </w:pPr>
      <w:r>
        <w:t xml:space="preserve">On March 6, 2026, in </w:t>
      </w:r>
      <w:r w:rsidRPr="00383B07">
        <w:rPr>
          <w:u w:val="single"/>
        </w:rPr>
        <w:t>Brandon E. O’Neal v. City of Houston, et al</w:t>
      </w:r>
      <w:r>
        <w:t xml:space="preserve">., U.S. District Court Judge </w:t>
      </w:r>
      <w:r w:rsidRPr="00925618">
        <w:t>Keith P. Ellison,</w:t>
      </w:r>
      <w:r>
        <w:t xml:space="preserve"> United States District Court for Southern District of Texas, Houston Division, denied the City’s motion for summary judgment concerning religious discrimination. The plaintiff, African American man and a devout non-denominational Christian is a </w:t>
      </w:r>
      <w:r w:rsidRPr="006A1E85">
        <w:t xml:space="preserve">Senior Communication Captain </w:t>
      </w:r>
      <w:r>
        <w:t xml:space="preserve">and dispatcher </w:t>
      </w:r>
      <w:r w:rsidRPr="006A1E85">
        <w:t xml:space="preserve">at the Houston Emergency Center </w:t>
      </w:r>
      <w:r>
        <w:t xml:space="preserve">where </w:t>
      </w:r>
      <w:r w:rsidRPr="00064791">
        <w:t>other City employees who work alongside Plaintiff</w:t>
      </w:r>
      <w:r>
        <w:t xml:space="preserve">, </w:t>
      </w:r>
      <w:r w:rsidRPr="00064791">
        <w:t>such as police officers, wear beards.</w:t>
      </w:r>
      <w:r>
        <w:t xml:space="preserve"> The Fire Department refuses to allow plaintiff to work overtime so long as he is in breach of the </w:t>
      </w:r>
      <w:proofErr w:type="gramStart"/>
      <w:r>
        <w:t>no beard</w:t>
      </w:r>
      <w:proofErr w:type="gramEnd"/>
      <w:r>
        <w:t xml:space="preserve"> policy. </w:t>
      </w:r>
      <w:hyperlink r:id="rId421" w:history="1">
        <w:r w:rsidRPr="00D74803">
          <w:rPr>
            <w:rStyle w:val="Hyperlink"/>
          </w:rPr>
          <w:t>https://public.fastcase.com/Jhe1Qn%2BmJndQYQU6z%2FeNm3W8hWyjy%2F1qvTK0bYKmSBd7FCE1skWJo447G5Oh2b2vHFVB1fMS7gUR6rAKwE%2FNSCY%2BUXiquDJL%2FDOTOozOi%2FE%3D?utm_medium=email&amp;_hsenc=p2ANqtz--CwMJ1WgahfFouwurH1AvRaq-FpGCK4j_ZGMvVW2VvGo-JzLehL1L025aP9c9K1EJ-bt_z2jfpLFjtfV3Ucq7sQ0mkPQ&amp;_hsmi=226712652&amp;utm_content=226712652&amp;utm_source=hs_email</w:t>
        </w:r>
      </w:hyperlink>
      <w:r>
        <w:t xml:space="preserve"> </w:t>
      </w:r>
    </w:p>
    <w:p w14:paraId="3B20C0F4" w14:textId="77777777" w:rsidR="00BE7AC1" w:rsidRDefault="00BE7AC1" w:rsidP="00BE7AC1">
      <w:pPr>
        <w:pStyle w:val="NoSpacing"/>
      </w:pPr>
    </w:p>
    <w:p w14:paraId="729721B6" w14:textId="77777777" w:rsidR="00BE7AC1" w:rsidRPr="00EC544D" w:rsidRDefault="00BE7AC1" w:rsidP="00BE7AC1">
      <w:pPr>
        <w:pStyle w:val="NoSpacing"/>
      </w:pPr>
      <w:r>
        <w:t>THE COURT HELD: “</w:t>
      </w:r>
      <w:r w:rsidRPr="00EC544D">
        <w:t>O'Neal is a nondenominational Christian. Since 2020, O'Neal has worn a beard. According to O'Neal, his Christian faith compels him to wear a beard, particularly during observance of the “Nazarite Vow.”</w:t>
      </w:r>
      <w:r>
        <w:t xml:space="preserve"> … </w:t>
      </w:r>
      <w:r w:rsidRPr="00EC544D">
        <w:t>(</w:t>
      </w:r>
      <w:r>
        <w:t>‘</w:t>
      </w:r>
      <w:r w:rsidRPr="00EC544D">
        <w:t xml:space="preserve">My religious belief is to have a beard as commanded and </w:t>
      </w:r>
    </w:p>
    <w:p w14:paraId="2AF5317D" w14:textId="77777777" w:rsidR="00BE7AC1" w:rsidRDefault="00BE7AC1" w:rsidP="00BE7AC1">
      <w:pPr>
        <w:pStyle w:val="NoSpacing"/>
      </w:pPr>
      <w:r w:rsidRPr="00EC544D">
        <w:t>required in the Holy Bible.</w:t>
      </w:r>
      <w:r>
        <w:t>’</w:t>
      </w:r>
      <w:r w:rsidRPr="00EC544D">
        <w:t xml:space="preserve">); </w:t>
      </w:r>
      <w:r>
        <w:t>…</w:t>
      </w:r>
      <w:r w:rsidRPr="00EC544D">
        <w:t>(</w:t>
      </w:r>
      <w:r>
        <w:t>‘</w:t>
      </w:r>
      <w:r w:rsidRPr="00EC544D">
        <w:t xml:space="preserve">When I observe the Nazarite Vow it requires no razor to touch my head and let the hair grow long.). </w:t>
      </w:r>
    </w:p>
    <w:p w14:paraId="1B785151" w14:textId="77777777" w:rsidR="00BE7AC1" w:rsidRDefault="00BE7AC1" w:rsidP="00BE7AC1">
      <w:pPr>
        <w:pStyle w:val="NoSpacing"/>
      </w:pPr>
    </w:p>
    <w:p w14:paraId="71D46026" w14:textId="77777777" w:rsidR="00BE7AC1" w:rsidRDefault="00BE7AC1" w:rsidP="00BE7AC1">
      <w:pPr>
        <w:pStyle w:val="NoSpacing"/>
      </w:pPr>
      <w:r>
        <w:t>***</w:t>
      </w:r>
    </w:p>
    <w:p w14:paraId="7B7975D5" w14:textId="77777777" w:rsidR="00BE7AC1" w:rsidRDefault="00BE7AC1" w:rsidP="00BE7AC1">
      <w:pPr>
        <w:pStyle w:val="NoSpacing"/>
      </w:pPr>
      <w:r w:rsidRPr="00064791">
        <w:t>The relevant question is therefore whether, as a matter of law, Defendant has shown that allowing O'Neal to wear a three inch long, one-and-a-half-inch thick beard presented an undue hardship. The Court concludes that it has not. Notably, Plaintiff does not work in an active firefighting setting and is not deployed in emergencies. Rather, he works in dispatch at the Houston Emergency Center (HEC), alongside many other City and non-City employees. He is not required to wear personal protective gear and has not even been issued such gear</w:t>
      </w:r>
      <w:r>
        <w:t xml:space="preserve">…. </w:t>
      </w:r>
      <w:r w:rsidRPr="00064791">
        <w:t>Chief West specifically stated in his deposition that safety concerns were not relevant to the denial of Plaintiff's request</w:t>
      </w:r>
      <w:r>
        <w:t>…. (</w:t>
      </w:r>
      <w:r w:rsidRPr="00064791">
        <w:t>Q: [D]id safety come into play in the decision to deny Captain O'Neil's request? A: Safety did not.”). Additionally, the Court took judicial notice of the fact that other City employees who work alongside Plaintiff at the HEC, such as police officers, wear beards</w:t>
      </w:r>
      <w:r>
        <w:t xml:space="preserve">…. </w:t>
      </w:r>
      <w:r w:rsidRPr="00064791">
        <w:t>Finally, the undue burden now asserted by Defendant in its summary judgment motion—</w:t>
      </w:r>
      <w:r>
        <w:t>'</w:t>
      </w:r>
      <w:r w:rsidRPr="00064791">
        <w:t>safety concerns related to O'Neal's ability to wear SCBA face piece and/or other safety equipment</w:t>
      </w:r>
      <w:r>
        <w:t>’</w:t>
      </w:r>
      <w:r w:rsidRPr="00064791">
        <w:t xml:space="preserve">—were never mentioned in the letters denying O'Neal's requests for accommodation. Thus, a jury could reasonably conclude that accommodating O'Neal's religious practice would not pose an undue hardship to the </w:t>
      </w:r>
      <w:proofErr w:type="gramStart"/>
      <w:r w:rsidRPr="00064791">
        <w:t>City</w:t>
      </w:r>
      <w:proofErr w:type="gramEnd"/>
      <w:r>
        <w:t>.”</w:t>
      </w:r>
    </w:p>
    <w:p w14:paraId="7DAA5919" w14:textId="77777777" w:rsidR="00BE7AC1" w:rsidRDefault="00BE7AC1" w:rsidP="00BE7AC1">
      <w:pPr>
        <w:pStyle w:val="NoSpacing"/>
      </w:pPr>
    </w:p>
    <w:p w14:paraId="0B290381" w14:textId="77777777" w:rsidR="00BE7AC1" w:rsidRPr="00735A39" w:rsidRDefault="00BE7AC1" w:rsidP="00BE7AC1">
      <w:pPr>
        <w:pStyle w:val="NoSpacing"/>
        <w:rPr>
          <w:b/>
          <w:bCs/>
        </w:rPr>
      </w:pPr>
      <w:r w:rsidRPr="00735A39">
        <w:rPr>
          <w:b/>
        </w:rPr>
        <w:t xml:space="preserve">Legal lesson learned: </w:t>
      </w:r>
      <w:r>
        <w:rPr>
          <w:b/>
        </w:rPr>
        <w:t xml:space="preserve">A jury will be asked to decide whether a firefighter / dispatcher must be clean-shaven. </w:t>
      </w:r>
    </w:p>
    <w:p w14:paraId="3F78233C" w14:textId="77777777" w:rsidR="00BE7AC1" w:rsidRPr="00735A39" w:rsidRDefault="00BE7AC1" w:rsidP="00BE7AC1">
      <w:pPr>
        <w:pStyle w:val="NoSpacing"/>
        <w:rPr>
          <w:b/>
          <w:bCs/>
        </w:rPr>
      </w:pPr>
    </w:p>
    <w:p w14:paraId="7EEC978D" w14:textId="77777777" w:rsidR="00BE7AC1" w:rsidRDefault="00BE7AC1" w:rsidP="00BE7AC1">
      <w:pPr>
        <w:pStyle w:val="NoSpacing"/>
        <w:rPr>
          <w:bCs/>
        </w:rPr>
      </w:pPr>
    </w:p>
    <w:p w14:paraId="3B2DE039" w14:textId="77777777" w:rsidR="00BE7AC1" w:rsidRPr="00056D43" w:rsidRDefault="00BE7AC1" w:rsidP="00F52698">
      <w:pPr>
        <w:pStyle w:val="NoSpacing"/>
        <w:rPr>
          <w:b/>
          <w:sz w:val="28"/>
          <w:szCs w:val="28"/>
        </w:rPr>
      </w:pPr>
    </w:p>
    <w:p w14:paraId="77EC5934" w14:textId="77777777" w:rsidR="00056D43" w:rsidRDefault="00056D43" w:rsidP="00F52698">
      <w:pPr>
        <w:pStyle w:val="NoSpacing"/>
        <w:rPr>
          <w:b/>
        </w:rPr>
      </w:pPr>
    </w:p>
    <w:p w14:paraId="149CAF54" w14:textId="77777777" w:rsidR="00056D43" w:rsidRPr="00857C9E" w:rsidRDefault="00056D43" w:rsidP="00F52698">
      <w:pPr>
        <w:pStyle w:val="NoSpacing"/>
        <w:rPr>
          <w:b/>
          <w:bCs/>
        </w:rPr>
      </w:pPr>
    </w:p>
    <w:p w14:paraId="29B9ED48" w14:textId="77777777" w:rsidR="00F52698" w:rsidRPr="00857C9E" w:rsidRDefault="00F52698" w:rsidP="00F52698">
      <w:pPr>
        <w:pStyle w:val="NoSpacing"/>
        <w:rPr>
          <w:b/>
          <w:bCs/>
        </w:rPr>
      </w:pPr>
    </w:p>
    <w:p w14:paraId="3038AB40" w14:textId="77777777" w:rsidR="00916D00" w:rsidRDefault="00916D00" w:rsidP="00646EE3">
      <w:pPr>
        <w:rPr>
          <w:rFonts w:ascii="Arial Black" w:hAnsi="Arial Black"/>
          <w:sz w:val="24"/>
          <w:szCs w:val="24"/>
        </w:rPr>
      </w:pPr>
    </w:p>
    <w:p w14:paraId="62B900F4" w14:textId="77777777" w:rsidR="00961DF4" w:rsidRDefault="00961DF4" w:rsidP="00646EE3">
      <w:pPr>
        <w:rPr>
          <w:rFonts w:ascii="Arial Black" w:hAnsi="Arial Black"/>
          <w:sz w:val="24"/>
          <w:szCs w:val="24"/>
        </w:rPr>
      </w:pPr>
    </w:p>
    <w:p w14:paraId="784B8DE9" w14:textId="2F72D097" w:rsidR="000A5A6C" w:rsidRDefault="000A5A6C" w:rsidP="00646EE3">
      <w:pPr>
        <w:rPr>
          <w:rFonts w:ascii="Arial Black" w:hAnsi="Arial Black"/>
          <w:sz w:val="24"/>
          <w:szCs w:val="24"/>
        </w:rPr>
      </w:pPr>
      <w:r>
        <w:rPr>
          <w:rFonts w:ascii="Arial Black" w:hAnsi="Arial Black"/>
          <w:sz w:val="24"/>
          <w:szCs w:val="24"/>
        </w:rPr>
        <w:t>2-10</w:t>
      </w:r>
      <w:r w:rsidR="00956699">
        <w:rPr>
          <w:rFonts w:ascii="Arial Black" w:hAnsi="Arial Black"/>
          <w:sz w:val="24"/>
          <w:szCs w:val="24"/>
        </w:rPr>
        <w:t>3</w:t>
      </w:r>
    </w:p>
    <w:p w14:paraId="1B991A90" w14:textId="77777777" w:rsidR="000A5A6C" w:rsidRPr="00086CAB" w:rsidRDefault="000A5A6C" w:rsidP="000A5A6C">
      <w:pPr>
        <w:pStyle w:val="NoSpacing"/>
        <w:rPr>
          <w:rFonts w:ascii="Arial Black" w:hAnsi="Arial Black"/>
          <w:sz w:val="28"/>
          <w:szCs w:val="28"/>
        </w:rPr>
      </w:pPr>
      <w:r>
        <w:rPr>
          <w:rFonts w:ascii="Arial Black" w:hAnsi="Arial Black"/>
          <w:sz w:val="28"/>
          <w:szCs w:val="28"/>
        </w:rPr>
        <w:t xml:space="preserve">MD: 3 LODDs – BLDG NOT MARKED / CAD – WK COMP ONLY </w:t>
      </w:r>
    </w:p>
    <w:p w14:paraId="5B9CBA63" w14:textId="77777777" w:rsidR="000A5A6C" w:rsidRDefault="000A5A6C" w:rsidP="000A5A6C">
      <w:pPr>
        <w:pStyle w:val="NoSpacing"/>
      </w:pPr>
    </w:p>
    <w:p w14:paraId="26A74B06" w14:textId="77777777" w:rsidR="000A5A6C" w:rsidRDefault="000A5A6C" w:rsidP="000A5A6C">
      <w:pPr>
        <w:pStyle w:val="NoSpacing"/>
      </w:pPr>
      <w:r>
        <w:t xml:space="preserve">On Feb. 20, 2026, in </w:t>
      </w:r>
      <w:r w:rsidRPr="00326D71">
        <w:rPr>
          <w:u w:val="single"/>
        </w:rPr>
        <w:t>Rachel Butrim, et al. v. Mayor and City Council of Baltimore</w:t>
      </w:r>
      <w:r>
        <w:t xml:space="preserve">,  U.S. District Court Judge </w:t>
      </w:r>
      <w:r w:rsidRPr="00326D71">
        <w:t>Matthew J. Maddox</w:t>
      </w:r>
      <w:r>
        <w:t xml:space="preserve">. United States District Court for the District of Maryland dismissed the lawsuit by the families of the three firefighters who died on January 24, </w:t>
      </w:r>
      <w:proofErr w:type="gramStart"/>
      <w:r>
        <w:t>2022</w:t>
      </w:r>
      <w:proofErr w:type="gramEnd"/>
      <w:r>
        <w:t xml:space="preserve"> in a condemned rowhome (no marking; not in CAD) since there was no proof of City’s </w:t>
      </w:r>
      <w:r w:rsidRPr="00086CAB">
        <w:t>“deliberate intent of the employer to injure or kill</w:t>
      </w:r>
      <w:r>
        <w:t>.</w:t>
      </w:r>
      <w:r w:rsidRPr="00086CAB">
        <w:t>”</w:t>
      </w:r>
      <w:r>
        <w:t xml:space="preserve">  Their sole remedy is worker’s comp. This is the second lawsuit filed by the families; first dismissed by Judge Maddox on </w:t>
      </w:r>
      <w:r w:rsidRPr="000626FA">
        <w:t xml:space="preserve">Dec. </w:t>
      </w:r>
      <w:r>
        <w:t>20</w:t>
      </w:r>
      <w:r w:rsidRPr="000626FA">
        <w:t>, 2024</w:t>
      </w:r>
      <w:r>
        <w:t>, and this case was filed in state court alleging “</w:t>
      </w:r>
      <w:r w:rsidRPr="00973E1E">
        <w:t>state-created danger</w:t>
      </w:r>
      <w:r>
        <w:t xml:space="preserve">” and then removed by City to federal court.  </w:t>
      </w:r>
      <w:hyperlink r:id="rId422" w:history="1">
        <w:r w:rsidRPr="00700767">
          <w:rPr>
            <w:rStyle w:val="Hyperlink"/>
          </w:rPr>
          <w:t>https://cases.justia.com/federal/district-courts/maryland/mddce/1:2025cv00796/578117/19/0.pdf?ts=1771692701</w:t>
        </w:r>
      </w:hyperlink>
      <w:r>
        <w:t xml:space="preserve"> </w:t>
      </w:r>
    </w:p>
    <w:p w14:paraId="7AF5DD99" w14:textId="77777777" w:rsidR="000A5A6C" w:rsidRDefault="000A5A6C" w:rsidP="000A5A6C">
      <w:pPr>
        <w:pStyle w:val="NoSpacing"/>
      </w:pPr>
    </w:p>
    <w:p w14:paraId="45432E2B" w14:textId="77777777" w:rsidR="000A5A6C" w:rsidRPr="00A539D8" w:rsidRDefault="000A5A6C" w:rsidP="000A5A6C">
      <w:pPr>
        <w:pStyle w:val="NoSpacing"/>
      </w:pPr>
      <w:r>
        <w:t>THE COURT HELD:  “</w:t>
      </w:r>
      <w:r w:rsidRPr="001B1356">
        <w:t>In the minutes before 6:00 a.m. on January 24, 2022, firefighters from the Third Battalion of the Baltimore City Fire Department (</w:t>
      </w:r>
      <w:r>
        <w:t>‘</w:t>
      </w:r>
      <w:r w:rsidRPr="001B1356">
        <w:t>BFD</w:t>
      </w:r>
      <w:r>
        <w:t>’</w:t>
      </w:r>
      <w:r w:rsidRPr="001B1356">
        <w:t xml:space="preserve">) responded to a fire at 205 South Stricker Street (the </w:t>
      </w:r>
      <w:r>
        <w:t>‘</w:t>
      </w:r>
      <w:r w:rsidRPr="001B1356">
        <w:t>Property</w:t>
      </w:r>
      <w:r>
        <w:t>’</w:t>
      </w:r>
      <w:r w:rsidRPr="001B1356">
        <w:t>), a condemned rowhome in the Mount Clare neighborhood of Baltimore, Maryland</w:t>
      </w:r>
      <w:r>
        <w:t xml:space="preserve">…. </w:t>
      </w:r>
      <w:r w:rsidRPr="001B1356">
        <w:t>Six firefighters were ordered to enter the structure, and the house collapsed moments later</w:t>
      </w:r>
      <w:r>
        <w:t xml:space="preserve">…. </w:t>
      </w:r>
      <w:r w:rsidRPr="001B1356">
        <w:t>There were no markings or placards placed outside the Property indicating that it was structurally compromised</w:t>
      </w:r>
      <w:r>
        <w:t xml:space="preserve">…. </w:t>
      </w:r>
      <w:r w:rsidRPr="001B1356">
        <w:t xml:space="preserve"> After the collapse, a rescue team removed two firefighters from the home; three of the others-Paul Butrim, Kelsey Sadler, and Kenneth Lacayo-died; and the sixth firefighter-John McMaster-sustained serious permanent injuries</w:t>
      </w:r>
      <w:r>
        <w:t>….</w:t>
      </w:r>
      <w:r w:rsidRPr="001B1356">
        <w:t xml:space="preserve"> (Paul Butrim, Kelsey Sadler, Kenneth Lacayo, and John McMaster are referred to herein as </w:t>
      </w:r>
      <w:r>
        <w:t>‘</w:t>
      </w:r>
      <w:r w:rsidRPr="001B1356">
        <w:t>Plaintiff Firefighters.</w:t>
      </w:r>
      <w:r>
        <w:t>’</w:t>
      </w:r>
      <w:r w:rsidRPr="001B1356">
        <w:t>)</w:t>
      </w:r>
      <w:r>
        <w:t xml:space="preserve">… </w:t>
      </w:r>
      <w:r w:rsidRPr="00F463A5">
        <w:t xml:space="preserve">In 2010, </w:t>
      </w:r>
      <w:r>
        <w:t>‘</w:t>
      </w:r>
      <w:r w:rsidRPr="00F463A5">
        <w:t>to comply with federal regulators and industry standards,</w:t>
      </w:r>
      <w:r>
        <w:t>’</w:t>
      </w:r>
      <w:r w:rsidRPr="00F463A5">
        <w:t xml:space="preserve"> as well as </w:t>
      </w:r>
      <w:r>
        <w:t>‘</w:t>
      </w:r>
      <w:r w:rsidRPr="00F463A5">
        <w:t>in response to the ‘serious known threats associated with unsafe vacant buildings,” the City implemented a program called Code X-Ray to ensure that firefighters would never be ordered into a structurally unsafe condemned property</w:t>
      </w:r>
      <w:r>
        <w:t xml:space="preserve">…. </w:t>
      </w:r>
      <w:r w:rsidRPr="00F463A5">
        <w:t xml:space="preserve">Under Code X-Ray, the </w:t>
      </w:r>
      <w:proofErr w:type="gramStart"/>
      <w:r w:rsidRPr="00F463A5">
        <w:t>City</w:t>
      </w:r>
      <w:proofErr w:type="gramEnd"/>
      <w:r w:rsidRPr="00F463A5">
        <w:t xml:space="preserve"> marked structurally compromised buildings with reflective placards or a painted red X, which warned firefighters not to enter</w:t>
      </w:r>
      <w:r>
        <w:t xml:space="preserve">…. </w:t>
      </w:r>
      <w:r w:rsidRPr="00F463A5">
        <w:t xml:space="preserve">A marking system like Code X-Ray was necessary for the City to secure and maintain grants for municipal services, as new federal funding was </w:t>
      </w:r>
      <w:r>
        <w:t>‘</w:t>
      </w:r>
      <w:r w:rsidRPr="00F463A5">
        <w:t>increasingly conditioned on adequate safety and mitigation strategies for vacant and condemned properties.</w:t>
      </w:r>
      <w:r>
        <w:t xml:space="preserve">’ … According to the Complaint, Plaintiff Firefighters would not have continued working for the </w:t>
      </w:r>
      <w:proofErr w:type="gramStart"/>
      <w:r>
        <w:t>City</w:t>
      </w:r>
      <w:proofErr w:type="gramEnd"/>
      <w:r>
        <w:t xml:space="preserve"> if they knew that it had lied about Code X-Ray’s discontinuation ‘because they valued their lives and families more than their municipal jobs.’ *** </w:t>
      </w:r>
      <w:r w:rsidRPr="00A539D8">
        <w:t xml:space="preserve">But even if all the foregoing acts attributed to the </w:t>
      </w:r>
      <w:proofErr w:type="gramStart"/>
      <w:r w:rsidRPr="00A539D8">
        <w:t>City</w:t>
      </w:r>
      <w:proofErr w:type="gramEnd"/>
      <w:r w:rsidRPr="00A539D8">
        <w:t xml:space="preserve"> constituted </w:t>
      </w:r>
      <w:r>
        <w:t>‘</w:t>
      </w:r>
      <w:r w:rsidRPr="00A539D8">
        <w:t>affirmative acts</w:t>
      </w:r>
      <w:r>
        <w:t xml:space="preserve">’ </w:t>
      </w:r>
      <w:r w:rsidRPr="00A539D8">
        <w:t>for purposes of a state-created danger claim, Plaintiffs do not allege any facts to support a reasonable inference that any City or BFD official, at any point, acted “</w:t>
      </w:r>
      <w:r w:rsidRPr="00A539D8">
        <w:rPr>
          <w:i/>
          <w:iCs/>
        </w:rPr>
        <w:t>with the purpose of</w:t>
      </w:r>
      <w:r w:rsidRPr="00A539D8">
        <w:t>” harming Plaintiff Firefighters.</w:t>
      </w:r>
      <w:r>
        <w:t xml:space="preserve">” </w:t>
      </w:r>
    </w:p>
    <w:p w14:paraId="3D4EFD90" w14:textId="77777777" w:rsidR="000A5A6C" w:rsidRPr="001B1356" w:rsidRDefault="000A5A6C" w:rsidP="000A5A6C">
      <w:pPr>
        <w:pStyle w:val="NoSpacing"/>
      </w:pPr>
    </w:p>
    <w:p w14:paraId="1A626444" w14:textId="77777777" w:rsidR="000A5A6C" w:rsidRPr="00F27D15" w:rsidRDefault="000A5A6C" w:rsidP="000A5A6C">
      <w:pPr>
        <w:pStyle w:val="NoSpacing"/>
        <w:rPr>
          <w:b/>
          <w:bCs/>
        </w:rPr>
      </w:pPr>
      <w:r>
        <w:rPr>
          <w:b/>
        </w:rPr>
        <w:t xml:space="preserve">Legal lesson learned: Tragic set of facts, but worker’s comp appears to be the only remedy of the families of the three firefighters killed in this abandoned rowhome. </w:t>
      </w:r>
    </w:p>
    <w:p w14:paraId="4BAD4E35" w14:textId="77777777" w:rsidR="000A5A6C" w:rsidRDefault="000A5A6C" w:rsidP="000A5A6C">
      <w:pPr>
        <w:pStyle w:val="NoSpacing"/>
      </w:pPr>
    </w:p>
    <w:p w14:paraId="35FBE551" w14:textId="529E285C" w:rsidR="000A5A6C" w:rsidRDefault="000A5A6C" w:rsidP="000A5A6C">
      <w:pPr>
        <w:rPr>
          <w:rFonts w:ascii="Arial Black" w:hAnsi="Arial Black"/>
          <w:sz w:val="24"/>
          <w:szCs w:val="24"/>
        </w:rPr>
      </w:pPr>
      <w:r>
        <w:t xml:space="preserve">Note: See the first case that was dismissed in 2024. </w:t>
      </w:r>
      <w:r w:rsidRPr="008A697E">
        <w:rPr>
          <w:i/>
          <w:iCs/>
        </w:rPr>
        <w:t>Butrim v. Mayor of Balt.</w:t>
      </w:r>
      <w:r w:rsidRPr="008A697E">
        <w:t xml:space="preserve"> (“</w:t>
      </w:r>
      <w:r w:rsidRPr="008A697E">
        <w:rPr>
          <w:i/>
          <w:iCs/>
        </w:rPr>
        <w:t>Butrim I</w:t>
      </w:r>
      <w:r w:rsidRPr="008A697E">
        <w:t>”),</w:t>
      </w:r>
      <w:r>
        <w:t xml:space="preserve"> </w:t>
      </w:r>
      <w:hyperlink r:id="rId423" w:history="1">
        <w:r w:rsidRPr="00700767">
          <w:rPr>
            <w:rStyle w:val="Hyperlink"/>
          </w:rPr>
          <w:t>https://cases.justia.com/federal/district-courts/maryland/mddce/1:2025cv00796/578117/19/0.pdf?ts=1771692701</w:t>
        </w:r>
      </w:hyperlink>
    </w:p>
    <w:p w14:paraId="057430E4" w14:textId="77777777" w:rsidR="000A5A6C" w:rsidRDefault="000A5A6C" w:rsidP="00646EE3">
      <w:pPr>
        <w:rPr>
          <w:rFonts w:ascii="Arial Black" w:hAnsi="Arial Black"/>
          <w:sz w:val="24"/>
          <w:szCs w:val="24"/>
        </w:rPr>
      </w:pPr>
    </w:p>
    <w:p w14:paraId="4FF3758D" w14:textId="34709832" w:rsidR="000A5A6C" w:rsidRDefault="005E79E8" w:rsidP="00646EE3">
      <w:pPr>
        <w:rPr>
          <w:rFonts w:ascii="Arial Black" w:hAnsi="Arial Black"/>
          <w:sz w:val="24"/>
          <w:szCs w:val="24"/>
        </w:rPr>
      </w:pPr>
      <w:r>
        <w:rPr>
          <w:rFonts w:ascii="Arial Black" w:hAnsi="Arial Black"/>
          <w:sz w:val="24"/>
          <w:szCs w:val="24"/>
        </w:rPr>
        <w:t>2-10</w:t>
      </w:r>
      <w:r w:rsidR="00956699">
        <w:rPr>
          <w:rFonts w:ascii="Arial Black" w:hAnsi="Arial Black"/>
          <w:sz w:val="24"/>
          <w:szCs w:val="24"/>
        </w:rPr>
        <w:t>2</w:t>
      </w:r>
    </w:p>
    <w:p w14:paraId="7A0E3919" w14:textId="77777777" w:rsidR="005E79E8" w:rsidRDefault="005E79E8" w:rsidP="005E79E8">
      <w:pPr>
        <w:pStyle w:val="NoSpacing"/>
        <w:rPr>
          <w:rFonts w:ascii="Arial Black" w:hAnsi="Arial Black"/>
          <w:bCs/>
          <w:sz w:val="28"/>
          <w:szCs w:val="28"/>
        </w:rPr>
      </w:pPr>
      <w:r>
        <w:rPr>
          <w:rFonts w:ascii="Arial Black" w:hAnsi="Arial Black"/>
          <w:sz w:val="28"/>
          <w:szCs w:val="28"/>
        </w:rPr>
        <w:t>GA: FF LOST FINGERS – CARGO TRAY MFR – PUNITIVE DAM.</w:t>
      </w:r>
    </w:p>
    <w:p w14:paraId="0EB16D3F" w14:textId="77777777" w:rsidR="005E79E8" w:rsidRDefault="005E79E8" w:rsidP="005E79E8">
      <w:pPr>
        <w:pStyle w:val="NoSpacing"/>
        <w:rPr>
          <w:bCs/>
        </w:rPr>
      </w:pPr>
    </w:p>
    <w:p w14:paraId="13A1BD57" w14:textId="77777777" w:rsidR="005E79E8" w:rsidRPr="00497602" w:rsidRDefault="005E79E8" w:rsidP="005E79E8">
      <w:pPr>
        <w:pStyle w:val="NoSpacing"/>
        <w:rPr>
          <w:bCs/>
        </w:rPr>
      </w:pPr>
      <w:r>
        <w:t xml:space="preserve">On February 12, 2026, in </w:t>
      </w:r>
      <w:r w:rsidRPr="00901190">
        <w:rPr>
          <w:u w:val="single"/>
        </w:rPr>
        <w:t xml:space="preserve">Joshua Tayor Chillous v. Kovatch Mobile Equipment Corporation and </w:t>
      </w:r>
      <w:proofErr w:type="spellStart"/>
      <w:r w:rsidRPr="00901190">
        <w:rPr>
          <w:u w:val="single"/>
        </w:rPr>
        <w:t>Onscene</w:t>
      </w:r>
      <w:proofErr w:type="spellEnd"/>
      <w:r w:rsidRPr="00901190">
        <w:rPr>
          <w:u w:val="single"/>
        </w:rPr>
        <w:t xml:space="preserve"> Solutions, LLC</w:t>
      </w:r>
      <w:r>
        <w:t xml:space="preserve">, U.S. District Court Judge Lisa Godbey Wood, </w:t>
      </w:r>
      <w:r w:rsidRPr="00497602">
        <w:t xml:space="preserve">United States District Court for </w:t>
      </w:r>
      <w:r>
        <w:t>S</w:t>
      </w:r>
      <w:r w:rsidRPr="00497602">
        <w:t>outhern District of Georgia, Brunswick Division</w:t>
      </w:r>
      <w:r>
        <w:t xml:space="preserve">, denied partial summary judgments by </w:t>
      </w:r>
      <w:proofErr w:type="spellStart"/>
      <w:r>
        <w:t>OnScene</w:t>
      </w:r>
      <w:proofErr w:type="spellEnd"/>
      <w:r>
        <w:t xml:space="preserve"> (sued for punitive damages; bolts were too short); and KME for negligence (3 fire engines needing repair in Norfolk, Groton, and Guam, but never inspected this engine).  The plaintiff, a civilian firefighter at Kings Bay Naval Base, had two fingers severed on June 16, </w:t>
      </w:r>
      <w:proofErr w:type="gramStart"/>
      <w:r>
        <w:t>2022</w:t>
      </w:r>
      <w:proofErr w:type="gramEnd"/>
      <w:r>
        <w:t xml:space="preserve"> when the cargo bay fell off the KME engine. </w:t>
      </w:r>
      <w:hyperlink r:id="rId424" w:history="1">
        <w:r w:rsidRPr="00C72C21">
          <w:rPr>
            <w:rStyle w:val="Hyperlink"/>
          </w:rPr>
          <w:t>https://cases.justia.com/federal/district-courts/georgia/gasdce/2:2024cv00049/96644/96/0.pdf?ts=1771001361</w:t>
        </w:r>
      </w:hyperlink>
      <w:r>
        <w:t xml:space="preserve"> </w:t>
      </w:r>
    </w:p>
    <w:p w14:paraId="4E5F865A" w14:textId="77777777" w:rsidR="005E79E8" w:rsidRDefault="005E79E8" w:rsidP="005E79E8">
      <w:pPr>
        <w:pStyle w:val="NoSpacing"/>
        <w:rPr>
          <w:bCs/>
        </w:rPr>
      </w:pPr>
    </w:p>
    <w:p w14:paraId="41B21A30" w14:textId="77777777" w:rsidR="005E79E8" w:rsidRDefault="005E79E8" w:rsidP="005E79E8">
      <w:pPr>
        <w:pStyle w:val="NoSpacing"/>
        <w:rPr>
          <w:bCs/>
        </w:rPr>
      </w:pPr>
      <w:r>
        <w:t>THE COURT HELD: “</w:t>
      </w:r>
      <w:r w:rsidRPr="008B2C56">
        <w:t>Plaintiff filed this personal injury action after he was injured by an allegedly defective sliding cargo tray attached to a firetruck located at Kings Bay Naval Base in St. Mary's, Georgia</w:t>
      </w:r>
      <w:r>
        <w:t>…</w:t>
      </w:r>
      <w:r w:rsidRPr="008B2C56">
        <w:t>. On June 16, 2022, Plaintiff, a civil firefighter employed by the Department of Defense, was attempting to access the cargo tray while gathering supplies for an emergency when the deployed tray fell to the ground, trapping his middle and ring finger and severing both fingers at the first joint</w:t>
      </w:r>
      <w:r>
        <w:t xml:space="preserve">…. </w:t>
      </w:r>
      <w:r w:rsidRPr="008B2C56">
        <w:t xml:space="preserve"> A Naval Safety Specialist, Dean Merrill, later investigated the incident and reported that the screws of the tray door had failed, the screws being too short for the screw hold</w:t>
      </w:r>
      <w:r>
        <w:t xml:space="preserve">…. </w:t>
      </w:r>
      <w:proofErr w:type="spellStart"/>
      <w:r w:rsidRPr="008B2C56">
        <w:t>OnScene</w:t>
      </w:r>
      <w:proofErr w:type="spellEnd"/>
      <w:r w:rsidRPr="008B2C56">
        <w:t xml:space="preserve"> designed and built the cargo tray, including the stopping mechanism</w:t>
      </w:r>
      <w:r>
        <w:t xml:space="preserve">…. </w:t>
      </w:r>
      <w:r w:rsidRPr="008B2C56">
        <w:t>The tray was then affixed to the firetruck by the truck's manufacturer, KME, who then sold the truck to the Department of the Navy (</w:t>
      </w:r>
      <w:r>
        <w:t>‘</w:t>
      </w:r>
      <w:r w:rsidRPr="008B2C56">
        <w:t>the Navy</w:t>
      </w:r>
      <w:r>
        <w:t>’</w:t>
      </w:r>
      <w:r w:rsidRPr="008B2C56">
        <w:t>)</w:t>
      </w:r>
      <w:r>
        <w:t xml:space="preserve">…. </w:t>
      </w:r>
      <w:r w:rsidRPr="000F01AB">
        <w:t xml:space="preserve">Plaintiff also points to deposition testimony provided by an </w:t>
      </w:r>
      <w:proofErr w:type="spellStart"/>
      <w:r w:rsidRPr="000F01AB">
        <w:t>OnScene</w:t>
      </w:r>
      <w:proofErr w:type="spellEnd"/>
      <w:r w:rsidRPr="000F01AB">
        <w:t xml:space="preserve"> representative that the cargo tray was approved by non-engineers, after alleged tests that did not include calculations of expected force exerted in the field, even though </w:t>
      </w:r>
      <w:proofErr w:type="spellStart"/>
      <w:r w:rsidRPr="000F01AB">
        <w:t>OnScene</w:t>
      </w:r>
      <w:proofErr w:type="spellEnd"/>
      <w:r w:rsidRPr="000F01AB">
        <w:t xml:space="preserve"> was aware of the danger of a defective cargo tray at the inception of the product</w:t>
      </w:r>
      <w:r>
        <w:t xml:space="preserve">…. </w:t>
      </w:r>
      <w:r w:rsidRPr="000F01AB">
        <w:t xml:space="preserve">Further, </w:t>
      </w:r>
      <w:proofErr w:type="spellStart"/>
      <w:r w:rsidRPr="000F01AB">
        <w:t>OnScene</w:t>
      </w:r>
      <w:proofErr w:type="spellEnd"/>
      <w:r w:rsidRPr="000F01AB">
        <w:t xml:space="preserve"> retained no documentation of the tests</w:t>
      </w:r>
      <w:r>
        <w:t>….  N</w:t>
      </w:r>
      <w:r w:rsidRPr="000F01AB">
        <w:t xml:space="preserve">or did </w:t>
      </w:r>
      <w:proofErr w:type="spellStart"/>
      <w:r w:rsidRPr="000F01AB">
        <w:t>OnScene</w:t>
      </w:r>
      <w:proofErr w:type="spellEnd"/>
      <w:r w:rsidRPr="000F01AB">
        <w:t xml:space="preserve"> retain any design drawings or documents identifying the defective units</w:t>
      </w:r>
      <w:r>
        <w:t xml:space="preserve">…. </w:t>
      </w:r>
      <w:proofErr w:type="spellStart"/>
      <w:r w:rsidRPr="00FA6BE6">
        <w:t>OnScene</w:t>
      </w:r>
      <w:proofErr w:type="spellEnd"/>
      <w:r w:rsidRPr="00FA6BE6">
        <w:t xml:space="preserve"> had identified three trucks with short hardware, Norfolk, Groton, and Guam, omitting the truck at Kings Bay</w:t>
      </w:r>
      <w:r>
        <w:t xml:space="preserve">. *** </w:t>
      </w:r>
      <w:r w:rsidRPr="002478EA">
        <w:t>From these facts, a reasonable jury could conclude that KME's failure to inspect the Kings Bay truck or identify the Kings Bay truck as having a defective cargo tray would foreseeably lead to Plaintiff's injury.</w:t>
      </w:r>
    </w:p>
    <w:p w14:paraId="68A38810" w14:textId="77777777" w:rsidR="005E79E8" w:rsidRDefault="005E79E8" w:rsidP="005E79E8">
      <w:pPr>
        <w:pStyle w:val="NoSpacing"/>
        <w:rPr>
          <w:bCs/>
        </w:rPr>
      </w:pPr>
    </w:p>
    <w:p w14:paraId="64A7CBD7" w14:textId="77777777" w:rsidR="005E79E8" w:rsidRPr="00BE1E86" w:rsidRDefault="005E79E8" w:rsidP="005E79E8">
      <w:pPr>
        <w:pStyle w:val="NoSpacing"/>
        <w:rPr>
          <w:b/>
        </w:rPr>
      </w:pPr>
      <w:r>
        <w:rPr>
          <w:b/>
        </w:rPr>
        <w:t xml:space="preserve">Legal lesson learned: The civilian firefighter may now proceed to trial and seek from a </w:t>
      </w:r>
      <w:proofErr w:type="gramStart"/>
      <w:r>
        <w:rPr>
          <w:b/>
        </w:rPr>
        <w:t>jury punitive damages</w:t>
      </w:r>
      <w:proofErr w:type="gramEnd"/>
      <w:r>
        <w:rPr>
          <w:b/>
        </w:rPr>
        <w:t xml:space="preserve"> against </w:t>
      </w:r>
      <w:proofErr w:type="spellStart"/>
      <w:r>
        <w:rPr>
          <w:b/>
        </w:rPr>
        <w:t>OnScene</w:t>
      </w:r>
      <w:proofErr w:type="spellEnd"/>
      <w:r>
        <w:rPr>
          <w:b/>
        </w:rPr>
        <w:t xml:space="preserve"> and ordinary damages against KME. </w:t>
      </w:r>
    </w:p>
    <w:p w14:paraId="1DE52020" w14:textId="77777777" w:rsidR="005E79E8" w:rsidRDefault="005E79E8" w:rsidP="00646EE3">
      <w:pPr>
        <w:rPr>
          <w:rFonts w:ascii="Arial Black" w:hAnsi="Arial Black"/>
          <w:sz w:val="24"/>
          <w:szCs w:val="24"/>
        </w:rPr>
      </w:pPr>
    </w:p>
    <w:p w14:paraId="4BF2F962" w14:textId="71A37097" w:rsidR="0082202A" w:rsidRDefault="00E90661" w:rsidP="00646EE3">
      <w:pPr>
        <w:rPr>
          <w:rFonts w:ascii="Arial Black" w:hAnsi="Arial Black"/>
          <w:sz w:val="24"/>
          <w:szCs w:val="24"/>
        </w:rPr>
      </w:pPr>
      <w:r>
        <w:rPr>
          <w:rFonts w:ascii="Arial Black" w:hAnsi="Arial Black"/>
          <w:sz w:val="24"/>
          <w:szCs w:val="24"/>
        </w:rPr>
        <w:t>2-</w:t>
      </w:r>
      <w:r w:rsidR="00016469">
        <w:rPr>
          <w:rFonts w:ascii="Arial Black" w:hAnsi="Arial Black"/>
          <w:sz w:val="24"/>
          <w:szCs w:val="24"/>
        </w:rPr>
        <w:t>10</w:t>
      </w:r>
      <w:r w:rsidR="00956699">
        <w:rPr>
          <w:rFonts w:ascii="Arial Black" w:hAnsi="Arial Black"/>
          <w:sz w:val="24"/>
          <w:szCs w:val="24"/>
        </w:rPr>
        <w:t>1</w:t>
      </w:r>
    </w:p>
    <w:p w14:paraId="51AAAB58" w14:textId="77777777" w:rsidR="00016469" w:rsidRPr="00D70545" w:rsidRDefault="00016469" w:rsidP="00016469">
      <w:pPr>
        <w:rPr>
          <w:rFonts w:ascii="Arial Black" w:hAnsi="Arial Black"/>
          <w:b/>
          <w:sz w:val="28"/>
          <w:szCs w:val="28"/>
        </w:rPr>
      </w:pPr>
      <w:r>
        <w:rPr>
          <w:rFonts w:ascii="Arial Black" w:hAnsi="Arial Black"/>
          <w:b/>
          <w:sz w:val="28"/>
          <w:szCs w:val="28"/>
        </w:rPr>
        <w:t xml:space="preserve">NY: FIRE CHIEF – BURNED BY SHOE INSOLE HEATER </w:t>
      </w:r>
    </w:p>
    <w:p w14:paraId="1B7C2C1B" w14:textId="77777777" w:rsidR="00016469" w:rsidRDefault="00016469" w:rsidP="00016469">
      <w:r>
        <w:t xml:space="preserve">On Jan. 22, 2026, in </w:t>
      </w:r>
      <w:r w:rsidRPr="00D86CB4">
        <w:rPr>
          <w:u w:val="single"/>
        </w:rPr>
        <w:t xml:space="preserve">Gregory George v, Shenzhen </w:t>
      </w:r>
      <w:proofErr w:type="spellStart"/>
      <w:r w:rsidRPr="00D86CB4">
        <w:rPr>
          <w:u w:val="single"/>
        </w:rPr>
        <w:t>Tejiali</w:t>
      </w:r>
      <w:proofErr w:type="spellEnd"/>
      <w:r w:rsidRPr="00D86CB4">
        <w:rPr>
          <w:u w:val="single"/>
        </w:rPr>
        <w:t xml:space="preserve"> Technology Co., LTB, d/b/a IHeat</w:t>
      </w:r>
      <w:r>
        <w:t>, U.S. Chief District Court Judge Brenda K. Sannes, United States District Court for Northern District of New York, granted the plaintiff’s m</w:t>
      </w:r>
      <w:r w:rsidRPr="00EB443B">
        <w:t xml:space="preserve">otion for </w:t>
      </w:r>
      <w:r>
        <w:t>d</w:t>
      </w:r>
      <w:r w:rsidRPr="00EB443B">
        <w:t xml:space="preserve">efault </w:t>
      </w:r>
      <w:r>
        <w:t>j</w:t>
      </w:r>
      <w:r w:rsidRPr="00EB443B">
        <w:t>udgmen</w:t>
      </w:r>
      <w:r>
        <w:t xml:space="preserve">t against the manufacturer of the </w:t>
      </w:r>
      <w:r w:rsidRPr="006C1CE4">
        <w:t>lithium battery-powered heated shoe insoles</w:t>
      </w:r>
      <w:r>
        <w:t xml:space="preserve">, located in </w:t>
      </w:r>
      <w:r w:rsidRPr="006C1CE4">
        <w:t>Shenzhen, Guangdong, People's Republic of China</w:t>
      </w:r>
      <w:r>
        <w:t xml:space="preserve">, which he bought through Amazon.  The manufacturer </w:t>
      </w:r>
      <w:r w:rsidRPr="009D675B">
        <w:t>has not answered the complaint or appeared in this action.</w:t>
      </w:r>
      <w:r>
        <w:t xml:space="preserve">  </w:t>
      </w:r>
      <w:hyperlink r:id="rId425" w:history="1">
        <w:r w:rsidRPr="004147E7">
          <w:rPr>
            <w:rStyle w:val="Hyperlink"/>
          </w:rPr>
          <w:t>https://cases.justia.com/federal/district-courts/new-york/nyndce/6:2024cv00956/144608/40/0.pdf?ts=1769171952</w:t>
        </w:r>
      </w:hyperlink>
      <w:r>
        <w:t xml:space="preserve"> </w:t>
      </w:r>
    </w:p>
    <w:p w14:paraId="05B4D92F" w14:textId="77777777" w:rsidR="00016469" w:rsidRDefault="00016469" w:rsidP="00016469">
      <w:r>
        <w:t>THE COURT HELD:</w:t>
      </w:r>
    </w:p>
    <w:p w14:paraId="05FC9D98" w14:textId="77777777" w:rsidR="00016469" w:rsidRDefault="00016469" w:rsidP="00016469">
      <w:pPr>
        <w:ind w:left="720"/>
      </w:pPr>
      <w:r>
        <w:t xml:space="preserve">“Gregory </w:t>
      </w:r>
      <w:r w:rsidRPr="00B008B4">
        <w:t xml:space="preserve">George turned the insoles on </w:t>
      </w:r>
      <w:r>
        <w:t>‘</w:t>
      </w:r>
      <w:r w:rsidRPr="00B008B4">
        <w:t>in accordance with the instructions, put them in his boots, put socks on his feet, and put his boots on.</w:t>
      </w:r>
      <w:r>
        <w:t>’…</w:t>
      </w:r>
      <w:r w:rsidRPr="00B008B4">
        <w:t>He set the insoles to the medium setting (which could heat to a temperature range of 122-131°F) and walked outside</w:t>
      </w:r>
      <w:r>
        <w:t xml:space="preserve">…. </w:t>
      </w:r>
      <w:r w:rsidRPr="00B008B4">
        <w:t xml:space="preserve"> Around five minutes </w:t>
      </w:r>
      <w:proofErr w:type="gramStart"/>
      <w:r w:rsidRPr="00B008B4">
        <w:t xml:space="preserve">later, </w:t>
      </w:r>
      <w:r>
        <w:t>‘</w:t>
      </w:r>
      <w:proofErr w:type="gramEnd"/>
      <w:r w:rsidRPr="00B008B4">
        <w:t>he felt an electric shock to his right foot and his right boot burst into flames.</w:t>
      </w:r>
      <w:r>
        <w:t xml:space="preserve">’ … </w:t>
      </w:r>
      <w:r w:rsidRPr="00B008B4">
        <w:t xml:space="preserve">It took him about 40 seconds to take the boot off. </w:t>
      </w:r>
      <w:r>
        <w:t>‘</w:t>
      </w:r>
      <w:r w:rsidRPr="00B008B4">
        <w:t>George's right foot was severely burned, the skin of his right foot was blackened and some had started to peel off, and he was in extreme pain.</w:t>
      </w:r>
      <w:r>
        <w:t>’ ,,,</w:t>
      </w:r>
      <w:r w:rsidRPr="00B008B4">
        <w:t xml:space="preserve"> He went to the hospital, </w:t>
      </w:r>
      <w:r>
        <w:t>w</w:t>
      </w:r>
      <w:r w:rsidRPr="00B008B4">
        <w:t xml:space="preserve">here he was diagnosed with </w:t>
      </w:r>
      <w:r>
        <w:t>‘</w:t>
      </w:r>
      <w:r w:rsidRPr="00B008B4">
        <w:t>second-degree burns, as well as full-thickness, or third-degree, burns covering 1.5% of his right foot.</w:t>
      </w:r>
      <w:r>
        <w:t xml:space="preserve">’ … </w:t>
      </w:r>
      <w:r w:rsidRPr="00B008B4">
        <w:t xml:space="preserve"> The affected skin was debrided, and he was referred to a burn center for further care</w:t>
      </w:r>
      <w:r>
        <w:t xml:space="preserve">…. </w:t>
      </w:r>
      <w:r w:rsidRPr="00B008B4">
        <w:t xml:space="preserve"> There, he received in-patient wound care for five days</w:t>
      </w:r>
      <w:r>
        <w:t xml:space="preserve">…. </w:t>
      </w:r>
      <w:r w:rsidRPr="00B008B4">
        <w:t xml:space="preserve"> He later returned to the burn center for </w:t>
      </w:r>
      <w:r>
        <w:t>‘</w:t>
      </w:r>
      <w:r w:rsidRPr="00B008B4">
        <w:t>skin grafting using donor skin from two locations on his right thigh to replace the skin that was burned on his right foot.</w:t>
      </w:r>
      <w:r>
        <w:t xml:space="preserve">’ … </w:t>
      </w:r>
      <w:r w:rsidRPr="00B008B4">
        <w:t>He remained</w:t>
      </w:r>
      <w:r>
        <w:t xml:space="preserve"> </w:t>
      </w:r>
      <w:r w:rsidRPr="00E9334F">
        <w:t>at the center for inpatient care for ten days</w:t>
      </w:r>
      <w:r>
        <w:t xml:space="preserve">….  </w:t>
      </w:r>
      <w:r w:rsidRPr="00B91A1F">
        <w:t xml:space="preserve">ORDERED that the Court will hold an evidentiary hearing on February 24, 2026, at 10:30 a.m. to determine damages in accordance with this </w:t>
      </w:r>
      <w:proofErr w:type="gramStart"/>
      <w:r w:rsidRPr="00B91A1F">
        <w:t>order</w:t>
      </w:r>
      <w:r>
        <w:t>.”</w:t>
      </w:r>
      <w:proofErr w:type="gramEnd"/>
      <w:r>
        <w:t xml:space="preserve"> </w:t>
      </w:r>
    </w:p>
    <w:p w14:paraId="47368891" w14:textId="77777777" w:rsidR="00016469" w:rsidRDefault="00016469" w:rsidP="00016469">
      <w:pPr>
        <w:rPr>
          <w:b/>
          <w:bCs/>
        </w:rPr>
      </w:pPr>
      <w:r>
        <w:rPr>
          <w:b/>
        </w:rPr>
        <w:t xml:space="preserve">Legal lesson learned: Be very caution </w:t>
      </w:r>
      <w:r w:rsidRPr="00E9334F">
        <w:rPr>
          <w:b/>
        </w:rPr>
        <w:t>of lithium battery-powered heated shoe insoles</w:t>
      </w:r>
      <w:r>
        <w:rPr>
          <w:b/>
        </w:rPr>
        <w:t xml:space="preserve">.  With a foreign manufacturer he may have great difficulty collecting any </w:t>
      </w:r>
      <w:proofErr w:type="gramStart"/>
      <w:r>
        <w:rPr>
          <w:b/>
        </w:rPr>
        <w:t>damages</w:t>
      </w:r>
      <w:proofErr w:type="gramEnd"/>
      <w:r>
        <w:rPr>
          <w:b/>
        </w:rPr>
        <w:t xml:space="preserve">.  </w:t>
      </w:r>
    </w:p>
    <w:p w14:paraId="1221ECEF" w14:textId="77777777" w:rsidR="00016469" w:rsidRDefault="00016469" w:rsidP="00016469">
      <w:pPr>
        <w:ind w:left="720"/>
      </w:pPr>
      <w:r w:rsidRPr="008C1EE8">
        <w:t xml:space="preserve">Note: Defendants Amazon </w:t>
      </w:r>
      <w:r>
        <w:t xml:space="preserve">and seller </w:t>
      </w:r>
      <w:r w:rsidRPr="008C1EE8">
        <w:t xml:space="preserve">Mirror </w:t>
      </w:r>
      <w:proofErr w:type="spellStart"/>
      <w:r w:rsidRPr="008C1EE8">
        <w:t>Eleanos</w:t>
      </w:r>
      <w:proofErr w:type="spellEnd"/>
      <w:r w:rsidRPr="008C1EE8">
        <w:t xml:space="preserve"> have been dismissed from this action.</w:t>
      </w:r>
      <w:r>
        <w:t xml:space="preserve"> </w:t>
      </w:r>
    </w:p>
    <w:p w14:paraId="164FCEBD" w14:textId="77777777" w:rsidR="00016469" w:rsidRDefault="00016469" w:rsidP="00646EE3">
      <w:pPr>
        <w:rPr>
          <w:rFonts w:ascii="Arial Black" w:hAnsi="Arial Black"/>
          <w:sz w:val="24"/>
          <w:szCs w:val="24"/>
        </w:rPr>
      </w:pPr>
    </w:p>
    <w:p w14:paraId="340BC053" w14:textId="7FA0FF65" w:rsidR="00016469" w:rsidRDefault="00F20BC1" w:rsidP="00646EE3">
      <w:pPr>
        <w:rPr>
          <w:rFonts w:ascii="Arial Black" w:hAnsi="Arial Black"/>
          <w:sz w:val="24"/>
          <w:szCs w:val="24"/>
        </w:rPr>
      </w:pPr>
      <w:r>
        <w:rPr>
          <w:rFonts w:ascii="Arial Black" w:hAnsi="Arial Black"/>
          <w:sz w:val="24"/>
          <w:szCs w:val="24"/>
        </w:rPr>
        <w:t>2-</w:t>
      </w:r>
      <w:r w:rsidR="00956699">
        <w:rPr>
          <w:rFonts w:ascii="Arial Black" w:hAnsi="Arial Black"/>
          <w:sz w:val="24"/>
          <w:szCs w:val="24"/>
        </w:rPr>
        <w:t>100</w:t>
      </w:r>
    </w:p>
    <w:p w14:paraId="33F3D7B5" w14:textId="77777777" w:rsidR="00F20BC1" w:rsidRPr="005D2602" w:rsidRDefault="00F20BC1" w:rsidP="00F20BC1">
      <w:pPr>
        <w:rPr>
          <w:rFonts w:ascii="Arial Black" w:hAnsi="Arial Black"/>
          <w:b/>
          <w:sz w:val="28"/>
          <w:szCs w:val="28"/>
        </w:rPr>
      </w:pPr>
      <w:r>
        <w:rPr>
          <w:rFonts w:ascii="Arial Black" w:hAnsi="Arial Black"/>
          <w:b/>
          <w:sz w:val="28"/>
          <w:szCs w:val="28"/>
        </w:rPr>
        <w:t>MN: PFAS CLASS ACTION – CASE REMAINS IN MONTANA</w:t>
      </w:r>
    </w:p>
    <w:p w14:paraId="2CA6F98C" w14:textId="77777777" w:rsidR="00F20BC1" w:rsidRDefault="00F20BC1" w:rsidP="00F20BC1">
      <w:pPr>
        <w:rPr>
          <w:bCs/>
        </w:rPr>
      </w:pPr>
      <w:r>
        <w:t xml:space="preserve">On January 12, 2026, in </w:t>
      </w:r>
      <w:r w:rsidRPr="00287078">
        <w:rPr>
          <w:u w:val="single"/>
        </w:rPr>
        <w:t>City and County of Butte-Silver Bow v. 3M Company, Dupont, et al</w:t>
      </w:r>
      <w:r>
        <w:t xml:space="preserve">., U.S. District Court Judge Brian Morris, United States District Court for the District of Montana, Butte Division, rejected Dupont’s additional argument that they cannot be sued in Montana. On January 6, </w:t>
      </w:r>
      <w:proofErr w:type="gramStart"/>
      <w:r>
        <w:t>2026</w:t>
      </w:r>
      <w:proofErr w:type="gramEnd"/>
      <w:r>
        <w:t xml:space="preserve"> the Court previously denied the defense motion to dismiss.  In this latest ruling,  the Court found that unlike a case dismissed in Massachusetts on December 30, 2025, Dupont and other defendants’ sales and marketing activities with Montana fire departments established the </w:t>
      </w:r>
      <w:r w:rsidRPr="00C347AF">
        <w:t>requisite</w:t>
      </w:r>
      <w:r>
        <w:t xml:space="preserve"> presence in Montana to proceed.  </w:t>
      </w:r>
      <w:hyperlink r:id="rId426" w:history="1">
        <w:r w:rsidRPr="003004D8">
          <w:rPr>
            <w:rStyle w:val="Hyperlink"/>
          </w:rPr>
          <w:t>https://cases.justia.com/federal/district-courts/montana/mtdce/2:2025cv00036/80451/160/0.pdf?ts=1768305911</w:t>
        </w:r>
      </w:hyperlink>
      <w:r>
        <w:t xml:space="preserve"> </w:t>
      </w:r>
    </w:p>
    <w:p w14:paraId="1CC02B94" w14:textId="77777777" w:rsidR="00F20BC1" w:rsidRDefault="00F20BC1" w:rsidP="00F20BC1">
      <w:pPr>
        <w:rPr>
          <w:bCs/>
        </w:rPr>
      </w:pPr>
      <w:r>
        <w:t>THE COURT HELD:</w:t>
      </w:r>
    </w:p>
    <w:p w14:paraId="13549DB1" w14:textId="77777777" w:rsidR="00F20BC1" w:rsidRPr="00D1073C" w:rsidRDefault="00F20BC1" w:rsidP="00F20BC1">
      <w:pPr>
        <w:pStyle w:val="NoSpacing"/>
        <w:ind w:left="720"/>
        <w:rPr>
          <w:bCs/>
        </w:rPr>
      </w:pPr>
      <w:r>
        <w:t>“</w:t>
      </w:r>
      <w:r w:rsidRPr="00DA50ED">
        <w:t>Plaintiff City and County of Butte Silver</w:t>
      </w:r>
      <w:r>
        <w:t xml:space="preserve"> </w:t>
      </w:r>
      <w:r w:rsidRPr="00DA50ED">
        <w:t>Bow (</w:t>
      </w:r>
      <w:r>
        <w:t>‘</w:t>
      </w:r>
      <w:r w:rsidRPr="00DA50ED">
        <w:t>Plaintiff</w:t>
      </w:r>
      <w:r>
        <w:t>’</w:t>
      </w:r>
      <w:r w:rsidRPr="00DA50ED">
        <w:t>) provided the Court with affidavits and other evidence that</w:t>
      </w:r>
      <w:r>
        <w:t xml:space="preserve"> </w:t>
      </w:r>
      <w:r w:rsidRPr="00D1073C">
        <w:t>Dupont purposefully has directed its conduct toward Montana. The Court found</w:t>
      </w:r>
      <w:r>
        <w:t xml:space="preserve"> </w:t>
      </w:r>
      <w:r w:rsidRPr="00D1073C">
        <w:t>relevant Dupont’s conduct of awarding Montana fire departments turnout gear sets</w:t>
      </w:r>
      <w:r>
        <w:t xml:space="preserve"> </w:t>
      </w:r>
      <w:r w:rsidRPr="00D1073C">
        <w:t>in an annual giveaway</w:t>
      </w:r>
      <w:r>
        <w:t xml:space="preserve">…. </w:t>
      </w:r>
      <w:r w:rsidRPr="00D1073C">
        <w:t>Plaintiff provided declarations that</w:t>
      </w:r>
      <w:r>
        <w:t xml:space="preserve"> </w:t>
      </w:r>
      <w:r w:rsidRPr="00D1073C">
        <w:t>Dupont, in collaboration with another Defendant, Globe, had shipped similar</w:t>
      </w:r>
    </w:p>
    <w:p w14:paraId="3032495F" w14:textId="77777777" w:rsidR="00F20BC1" w:rsidRPr="00D1073C" w:rsidRDefault="00F20BC1" w:rsidP="00F20BC1">
      <w:pPr>
        <w:pStyle w:val="NoSpacing"/>
        <w:ind w:left="720"/>
        <w:rPr>
          <w:bCs/>
        </w:rPr>
      </w:pPr>
      <w:r w:rsidRPr="00D1073C">
        <w:t>turnout gear at issue in this case to Montana fire departments as winners of the</w:t>
      </w:r>
    </w:p>
    <w:p w14:paraId="14359296" w14:textId="77777777" w:rsidR="00F20BC1" w:rsidRDefault="00F20BC1" w:rsidP="00F20BC1">
      <w:pPr>
        <w:pStyle w:val="NoSpacing"/>
        <w:ind w:left="720"/>
        <w:rPr>
          <w:bCs/>
        </w:rPr>
      </w:pPr>
      <w:r w:rsidRPr="00D1073C">
        <w:t>giveaway</w:t>
      </w:r>
      <w:r>
        <w:t xml:space="preserve">…. </w:t>
      </w:r>
      <w:r w:rsidRPr="00D1073C">
        <w:t>Plaintiff asserted that Defendants had encouraged the</w:t>
      </w:r>
      <w:r>
        <w:t xml:space="preserve"> </w:t>
      </w:r>
      <w:r w:rsidRPr="00D1073C">
        <w:t>Montana fire departments who received the Dupont/Globe turnout gear sets to</w:t>
      </w:r>
      <w:r>
        <w:t xml:space="preserve"> </w:t>
      </w:r>
      <w:r w:rsidRPr="00D1073C">
        <w:t>advertise the winnings and charitable acts of Dupont/Globe on social media</w:t>
      </w:r>
      <w:r>
        <w:t xml:space="preserve">…. </w:t>
      </w:r>
    </w:p>
    <w:p w14:paraId="66454C7F" w14:textId="77777777" w:rsidR="00F20BC1" w:rsidRDefault="00F20BC1" w:rsidP="00F20BC1">
      <w:pPr>
        <w:pStyle w:val="NoSpacing"/>
        <w:ind w:left="720"/>
        <w:rPr>
          <w:bCs/>
        </w:rPr>
      </w:pPr>
    </w:p>
    <w:p w14:paraId="0B949355" w14:textId="77777777" w:rsidR="00F20BC1" w:rsidRPr="00732221" w:rsidRDefault="00F20BC1" w:rsidP="00F20BC1">
      <w:pPr>
        <w:pStyle w:val="NoSpacing"/>
        <w:ind w:left="720"/>
        <w:rPr>
          <w:bCs/>
        </w:rPr>
      </w:pPr>
      <w:r w:rsidRPr="00732221">
        <w:t>Plaintiff further provided an affidavit by Diane Evankovich attesting that she</w:t>
      </w:r>
    </w:p>
    <w:p w14:paraId="5DE4ECA2" w14:textId="77777777" w:rsidR="00F20BC1" w:rsidRPr="00732221" w:rsidRDefault="00F20BC1" w:rsidP="00F20BC1">
      <w:pPr>
        <w:pStyle w:val="NoSpacing"/>
        <w:ind w:left="720"/>
        <w:rPr>
          <w:bCs/>
        </w:rPr>
      </w:pPr>
      <w:r w:rsidRPr="00732221">
        <w:t>had been made aware of these Dupont/Globe giveaways in Montana. (Doc. 132.)</w:t>
      </w:r>
    </w:p>
    <w:p w14:paraId="3256EB01" w14:textId="77777777" w:rsidR="00F20BC1" w:rsidRPr="00732221" w:rsidRDefault="00F20BC1" w:rsidP="00F20BC1">
      <w:pPr>
        <w:pStyle w:val="NoSpacing"/>
        <w:ind w:left="720"/>
        <w:rPr>
          <w:bCs/>
        </w:rPr>
      </w:pPr>
      <w:r w:rsidRPr="00732221">
        <w:t>The Court also found relevant Plaintiff’s assertion that Evankovich and Zach</w:t>
      </w:r>
    </w:p>
    <w:p w14:paraId="4B824B45" w14:textId="77777777" w:rsidR="00F20BC1" w:rsidRPr="00732221" w:rsidRDefault="00F20BC1" w:rsidP="00F20BC1">
      <w:pPr>
        <w:pStyle w:val="NoSpacing"/>
        <w:ind w:left="720"/>
        <w:rPr>
          <w:bCs/>
        </w:rPr>
      </w:pPr>
      <w:r w:rsidRPr="00732221">
        <w:t>Osborne, the Butte Silver Bow Fire Chief, attested that they were contacted about</w:t>
      </w:r>
    </w:p>
    <w:p w14:paraId="608E81F6" w14:textId="77777777" w:rsidR="00F20BC1" w:rsidRDefault="00F20BC1" w:rsidP="00F20BC1">
      <w:pPr>
        <w:pStyle w:val="NoSpacing"/>
        <w:ind w:left="720"/>
        <w:rPr>
          <w:bCs/>
        </w:rPr>
      </w:pPr>
      <w:r w:rsidRPr="00732221">
        <w:t>and marketed directly to purchase turnout gear containing Dupont’s PFAS.</w:t>
      </w:r>
      <w:r>
        <w:t>”</w:t>
      </w:r>
    </w:p>
    <w:p w14:paraId="561CA9C9" w14:textId="77777777" w:rsidR="00F20BC1" w:rsidRDefault="00F20BC1" w:rsidP="00F20BC1">
      <w:pPr>
        <w:pStyle w:val="NoSpacing"/>
        <w:ind w:left="720"/>
        <w:rPr>
          <w:bCs/>
        </w:rPr>
      </w:pPr>
    </w:p>
    <w:p w14:paraId="24AA61AF" w14:textId="77777777" w:rsidR="00F20BC1" w:rsidRDefault="00F20BC1" w:rsidP="00F20BC1">
      <w:pPr>
        <w:pStyle w:val="NoSpacing"/>
        <w:rPr>
          <w:b/>
        </w:rPr>
      </w:pPr>
      <w:r>
        <w:rPr>
          <w:b/>
        </w:rPr>
        <w:t xml:space="preserve">Legal lesson learned: Pre-trial discovery will now proceed in this class-action lawsuit. </w:t>
      </w:r>
    </w:p>
    <w:p w14:paraId="37722C00" w14:textId="77777777" w:rsidR="00F20BC1" w:rsidRDefault="00F20BC1" w:rsidP="00F20BC1">
      <w:pPr>
        <w:pStyle w:val="NoSpacing"/>
        <w:rPr>
          <w:b/>
        </w:rPr>
      </w:pPr>
    </w:p>
    <w:p w14:paraId="320EC308" w14:textId="77777777" w:rsidR="00F20BC1" w:rsidRDefault="00F20BC1" w:rsidP="00F20BC1">
      <w:pPr>
        <w:pStyle w:val="NoSpacing"/>
        <w:ind w:left="720"/>
        <w:rPr>
          <w:bCs/>
        </w:rPr>
      </w:pPr>
      <w:r>
        <w:t xml:space="preserve">Note:  </w:t>
      </w:r>
    </w:p>
    <w:p w14:paraId="7B5CEB3C" w14:textId="77777777" w:rsidR="00F20BC1" w:rsidRDefault="00F20BC1" w:rsidP="00F20BC1">
      <w:pPr>
        <w:pStyle w:val="NoSpacing"/>
        <w:ind w:left="720"/>
        <w:rPr>
          <w:bCs/>
        </w:rPr>
      </w:pPr>
    </w:p>
    <w:p w14:paraId="36B95B20" w14:textId="77777777" w:rsidR="00F20BC1" w:rsidRDefault="00F20BC1" w:rsidP="00F20BC1">
      <w:pPr>
        <w:pStyle w:val="NoSpacing"/>
        <w:ind w:left="720"/>
        <w:rPr>
          <w:bCs/>
        </w:rPr>
      </w:pPr>
      <w:r>
        <w:t xml:space="preserve">See Jan. 6, </w:t>
      </w:r>
      <w:proofErr w:type="gramStart"/>
      <w:r>
        <w:t>2025</w:t>
      </w:r>
      <w:proofErr w:type="gramEnd"/>
      <w:r>
        <w:t xml:space="preserve"> law firm press release:  </w:t>
      </w:r>
      <w:r w:rsidRPr="009D04CB">
        <w:t>Montana Court Denies Motions to Dismiss Class-Action Lawsuit Fighting PFAS in Firefighter Turnout</w:t>
      </w:r>
      <w:r>
        <w:t xml:space="preserve"> </w:t>
      </w:r>
      <w:r w:rsidRPr="009D04CB">
        <w:t>Gear</w:t>
      </w:r>
      <w:r>
        <w:t>.</w:t>
      </w:r>
    </w:p>
    <w:p w14:paraId="7FE9BE0D" w14:textId="77777777" w:rsidR="00F20BC1" w:rsidRDefault="00F20BC1" w:rsidP="00F20BC1">
      <w:pPr>
        <w:pStyle w:val="NoSpacing"/>
        <w:ind w:left="720"/>
        <w:rPr>
          <w:bCs/>
        </w:rPr>
      </w:pPr>
      <w:hyperlink r:id="rId427" w:history="1">
        <w:r w:rsidRPr="003004D8">
          <w:rPr>
            <w:rStyle w:val="Hyperlink"/>
          </w:rPr>
          <w:t>https://www.hbsslaw.com/press/pfas-firefighter-turnout-gear/montana-court-denies-motions-to-dismiss-class-action-lawsuit-fighting-pfas-in-firefighter-turnout-gear</w:t>
        </w:r>
      </w:hyperlink>
      <w:r>
        <w:t xml:space="preserve"> </w:t>
      </w:r>
    </w:p>
    <w:p w14:paraId="452CFA59" w14:textId="77777777" w:rsidR="00F20BC1" w:rsidRDefault="00F20BC1" w:rsidP="00F20BC1">
      <w:pPr>
        <w:ind w:left="720"/>
        <w:rPr>
          <w:bCs/>
        </w:rPr>
      </w:pPr>
      <w:r>
        <w:t>“</w:t>
      </w:r>
      <w:r w:rsidRPr="00105A76">
        <w:t xml:space="preserve">A Montana federal judge today denied motions to dismiss a class-action lawsuit brought by attorneys at law firms Hagens Berman, Heenan &amp; Cook and Bliven Law Firm to combat </w:t>
      </w:r>
      <w:hyperlink r:id="rId428" w:history="1">
        <w:r w:rsidRPr="00105A76">
          <w:rPr>
            <w:rStyle w:val="Hyperlink"/>
          </w:rPr>
          <w:t>toxic “forever chemicals” in firefighter turnout gear sold by DuPont/Chemours, 3M</w:t>
        </w:r>
      </w:hyperlink>
      <w:r w:rsidRPr="00105A76">
        <w:t xml:space="preserve"> and other major corporations. The firms represent the city and county of Butte-Silver Bow, Montana, to assist them and other municipalities in abating the costly premature gear replacements faced due to the rampant health risks of perfluoroalkyl and polyfluoroalkyl substances (PFAS).</w:t>
      </w:r>
      <w:r>
        <w:t xml:space="preserve"> *** </w:t>
      </w:r>
      <w:r w:rsidRPr="001C3C1C">
        <w:t xml:space="preserve">The court rejected the defendants’ argument that they were engaging in ordinary commercial activities, explaining that </w:t>
      </w:r>
      <w:r>
        <w:t>‘</w:t>
      </w:r>
      <w:r w:rsidRPr="001C3C1C">
        <w:t>Defendants could not have achieved their goals of selling PFAS and turnout gear containing PFAS if Defendants’ knowledge of the harms of PFAS had been exposed. These actions by Defendants, allegedly acting together to conceal the known dangers of PFAS, do not constitute merely normal or ordinary commercial relationships.</w:t>
      </w:r>
      <w:r>
        <w:t>’”</w:t>
      </w:r>
    </w:p>
    <w:p w14:paraId="698D0B76" w14:textId="77777777" w:rsidR="00F20BC1" w:rsidRDefault="00F20BC1" w:rsidP="00F20BC1">
      <w:pPr>
        <w:ind w:left="720"/>
        <w:rPr>
          <w:bCs/>
        </w:rPr>
      </w:pPr>
      <w:r>
        <w:t xml:space="preserve">See the April 4, 2025 law firm press release </w:t>
      </w:r>
      <w:r w:rsidRPr="00E84B6A">
        <w:t>Butte, Montana Files Class-Action Lawsuit Fighting PFAS in Firefighter Turnout Gear to Aid Those Facing Costly Replacements</w:t>
      </w:r>
      <w:r>
        <w:t>.</w:t>
      </w:r>
      <w:hyperlink r:id="rId429" w:history="1">
        <w:r w:rsidRPr="003004D8">
          <w:rPr>
            <w:rStyle w:val="Hyperlink"/>
          </w:rPr>
          <w:t>https://www.hbsslaw.com/press/pfas-firefighter-turnout-gear/butte-montana-files-class-action-lawsuit-fighting-pfas-in-firefighter-turnout-gear-to-aid-those-facing-costly-replacements</w:t>
        </w:r>
      </w:hyperlink>
      <w:r>
        <w:t xml:space="preserve"> </w:t>
      </w:r>
    </w:p>
    <w:p w14:paraId="62FD939E" w14:textId="77777777" w:rsidR="00F20BC1" w:rsidRPr="000C43B0" w:rsidRDefault="00F20BC1" w:rsidP="00F20BC1">
      <w:pPr>
        <w:ind w:left="720"/>
        <w:rPr>
          <w:bCs/>
        </w:rPr>
      </w:pPr>
    </w:p>
    <w:p w14:paraId="3B0E7038" w14:textId="351507DD" w:rsidR="00F20BC1" w:rsidRDefault="00F20BC1" w:rsidP="00F20BC1">
      <w:pPr>
        <w:rPr>
          <w:rFonts w:ascii="Arial Black" w:hAnsi="Arial Black"/>
          <w:sz w:val="24"/>
          <w:szCs w:val="24"/>
        </w:rPr>
      </w:pPr>
      <w:r w:rsidRPr="000C43B0">
        <w:t xml:space="preserve">See </w:t>
      </w:r>
      <w:r>
        <w:t xml:space="preserve">Jan. 9, </w:t>
      </w:r>
      <w:proofErr w:type="gramStart"/>
      <w:r>
        <w:t>2026</w:t>
      </w:r>
      <w:proofErr w:type="gramEnd"/>
      <w:r>
        <w:t xml:space="preserve"> </w:t>
      </w:r>
      <w:r w:rsidRPr="000C43B0">
        <w:t>case: UNIFORMED PROFESSIONAL FIRE FIGHTERS ASSOCIATION OF CONNECTICUT, et al. v. 3M, et al.</w:t>
      </w:r>
      <w:r>
        <w:t xml:space="preserve"> </w:t>
      </w:r>
      <w:hyperlink r:id="rId430" w:history="1">
        <w:r w:rsidRPr="002B4D2D">
          <w:rPr>
            <w:rStyle w:val="Hyperlink"/>
          </w:rPr>
          <w:t>https://www.casemine.com/judgement/us/6963a657827d4c0685d5653a</w:t>
        </w:r>
      </w:hyperlink>
    </w:p>
    <w:p w14:paraId="2B390073" w14:textId="77777777" w:rsidR="00956699" w:rsidRDefault="00956699" w:rsidP="00646EE3">
      <w:pPr>
        <w:rPr>
          <w:rFonts w:ascii="Arial Black" w:hAnsi="Arial Black"/>
          <w:sz w:val="24"/>
          <w:szCs w:val="24"/>
        </w:rPr>
      </w:pPr>
    </w:p>
    <w:p w14:paraId="7C57DC48" w14:textId="4A9AAF04" w:rsidR="00016469" w:rsidRDefault="00956699" w:rsidP="00646EE3">
      <w:pPr>
        <w:rPr>
          <w:rFonts w:ascii="Arial Black" w:hAnsi="Arial Black"/>
          <w:sz w:val="24"/>
          <w:szCs w:val="24"/>
        </w:rPr>
      </w:pPr>
      <w:r>
        <w:rPr>
          <w:rFonts w:ascii="Arial Black" w:hAnsi="Arial Black"/>
          <w:sz w:val="24"/>
          <w:szCs w:val="24"/>
        </w:rPr>
        <w:t>2-99</w:t>
      </w:r>
    </w:p>
    <w:p w14:paraId="08D06CDE" w14:textId="29660A02" w:rsidR="00956699" w:rsidRPr="00956699" w:rsidRDefault="00956699" w:rsidP="00956699">
      <w:pPr>
        <w:pStyle w:val="NoSpacing"/>
        <w:rPr>
          <w:rFonts w:ascii="Times New Roman" w:hAnsi="Times New Roman"/>
          <w:b/>
          <w:bCs/>
          <w:sz w:val="24"/>
          <w:szCs w:val="24"/>
        </w:rPr>
      </w:pPr>
      <w:r>
        <w:rPr>
          <w:rFonts w:ascii="Arial Black" w:hAnsi="Arial Black"/>
          <w:sz w:val="28"/>
          <w:szCs w:val="28"/>
        </w:rPr>
        <w:t>FL: “HALO LAW”  – 25 FEET NO APPROACH ZONE</w:t>
      </w:r>
      <w:r>
        <w:t xml:space="preserve">  </w:t>
      </w:r>
      <w:r w:rsidRPr="00E96FEA">
        <w:rPr>
          <w:rFonts w:ascii="Arial Black" w:hAnsi="Arial Black"/>
          <w:sz w:val="28"/>
          <w:szCs w:val="28"/>
        </w:rPr>
        <w:t xml:space="preserve">- </w:t>
      </w:r>
      <w:r>
        <w:rPr>
          <w:rFonts w:ascii="Arial Black" w:hAnsi="Arial Black"/>
          <w:sz w:val="28"/>
          <w:szCs w:val="28"/>
        </w:rPr>
        <w:t xml:space="preserve">Eff. </w:t>
      </w:r>
      <w:r w:rsidRPr="00E96FEA">
        <w:rPr>
          <w:rFonts w:ascii="Arial Black" w:hAnsi="Arial Black"/>
          <w:sz w:val="28"/>
          <w:szCs w:val="28"/>
        </w:rPr>
        <w:t>1/1/2025</w:t>
      </w:r>
      <w:r>
        <w:rPr>
          <w:rFonts w:ascii="Arial Black" w:hAnsi="Arial Black"/>
          <w:sz w:val="28"/>
          <w:szCs w:val="28"/>
        </w:rPr>
        <w:t xml:space="preserve">  </w:t>
      </w:r>
      <w:r w:rsidRPr="00956699">
        <w:rPr>
          <w:rFonts w:ascii="Times New Roman" w:hAnsi="Times New Roman"/>
          <w:b/>
          <w:bCs/>
          <w:sz w:val="24"/>
          <w:szCs w:val="24"/>
        </w:rPr>
        <w:t xml:space="preserve">[also filed, Chap. </w:t>
      </w:r>
      <w:r>
        <w:rPr>
          <w:rFonts w:ascii="Times New Roman" w:hAnsi="Times New Roman"/>
          <w:b/>
          <w:bCs/>
          <w:sz w:val="24"/>
          <w:szCs w:val="24"/>
        </w:rPr>
        <w:t>18</w:t>
      </w:r>
      <w:r w:rsidRPr="00956699">
        <w:rPr>
          <w:rFonts w:ascii="Times New Roman" w:hAnsi="Times New Roman"/>
          <w:b/>
          <w:bCs/>
          <w:sz w:val="24"/>
          <w:szCs w:val="24"/>
        </w:rPr>
        <w:t>]</w:t>
      </w:r>
    </w:p>
    <w:p w14:paraId="3EED2F7B" w14:textId="77777777" w:rsidR="00956699" w:rsidRDefault="00956699" w:rsidP="00956699">
      <w:pPr>
        <w:pStyle w:val="NoSpacing"/>
      </w:pPr>
    </w:p>
    <w:p w14:paraId="2C4354D1" w14:textId="77777777" w:rsidR="00956699" w:rsidRPr="009564B9" w:rsidRDefault="00956699" w:rsidP="00956699">
      <w:pPr>
        <w:pStyle w:val="NoSpacing"/>
        <w:rPr>
          <w:b/>
        </w:rPr>
      </w:pPr>
      <w:r>
        <w:t xml:space="preserve">On January 1, 2025, the new “Halo Law” became effective. On April 12, 2024, Governor Ron DeSantis </w:t>
      </w:r>
      <w:proofErr w:type="gramStart"/>
      <w:r>
        <w:t>signed into law</w:t>
      </w:r>
      <w:proofErr w:type="gramEnd"/>
      <w:r>
        <w:t xml:space="preserve"> the Halo Law, passed under House Bill 184, </w:t>
      </w:r>
      <w:r w:rsidRPr="009564B9">
        <w:t>Impeding, Threatening, or Harassing First Responders</w:t>
      </w:r>
      <w:r>
        <w:t xml:space="preserve">. </w:t>
      </w:r>
      <w:hyperlink r:id="rId431" w:history="1">
        <w:r w:rsidRPr="00734647">
          <w:rPr>
            <w:rStyle w:val="Hyperlink"/>
          </w:rPr>
          <w:t>https://www.flhouse.gov/Sections/Bills/billsdetail.aspx?BillId=78745</w:t>
        </w:r>
      </w:hyperlink>
      <w:r>
        <w:t xml:space="preserve"> </w:t>
      </w:r>
    </w:p>
    <w:p w14:paraId="2E19B0E4" w14:textId="77777777" w:rsidR="00956699" w:rsidRDefault="00956699" w:rsidP="00956699">
      <w:pPr>
        <w:pStyle w:val="NoSpacing"/>
      </w:pPr>
    </w:p>
    <w:p w14:paraId="2AA3E1F0" w14:textId="77777777" w:rsidR="00956699" w:rsidRDefault="00956699" w:rsidP="00956699">
      <w:pPr>
        <w:pStyle w:val="NoSpacing"/>
      </w:pPr>
      <w:r>
        <w:t xml:space="preserve">Read the statute: </w:t>
      </w:r>
      <w:hyperlink r:id="rId432" w:history="1">
        <w:r w:rsidRPr="00734647">
          <w:rPr>
            <w:rStyle w:val="Hyperlink"/>
          </w:rPr>
          <w:t>https://www.flhouse.gov/Sections/Documents/loaddoc.aspx?FileName=_s0184er.DOCX&amp;DocumentType=Bill&amp;BillNumber=184&amp;Session=2024</w:t>
        </w:r>
      </w:hyperlink>
      <w:r>
        <w:t xml:space="preserve"> </w:t>
      </w:r>
    </w:p>
    <w:p w14:paraId="6C1F761F" w14:textId="77777777" w:rsidR="00956699" w:rsidRDefault="00956699" w:rsidP="00956699">
      <w:pPr>
        <w:pStyle w:val="NoSpacing"/>
      </w:pPr>
      <w:r>
        <w:t>Section 1</w:t>
      </w:r>
    </w:p>
    <w:p w14:paraId="0E037D79" w14:textId="77777777" w:rsidR="00956699" w:rsidRDefault="00956699" w:rsidP="00956699">
      <w:pPr>
        <w:pStyle w:val="NoSpacing"/>
      </w:pPr>
      <w:r>
        <w:t>Approaching a first responder with specified intent after a warning</w:t>
      </w:r>
    </w:p>
    <w:p w14:paraId="36F14853" w14:textId="77777777" w:rsidR="00956699" w:rsidRDefault="00956699" w:rsidP="00956699">
      <w:pPr>
        <w:pStyle w:val="NoSpacing"/>
      </w:pPr>
      <w:r>
        <w:t>(1) As used in this section, the term:</w:t>
      </w:r>
    </w:p>
    <w:p w14:paraId="617068EC" w14:textId="77777777" w:rsidR="00956699" w:rsidRDefault="00956699" w:rsidP="00956699">
      <w:pPr>
        <w:pStyle w:val="NoSpacing"/>
      </w:pPr>
      <w:r>
        <w:t>(a) “First responder” includes a law enforcement officer as defined in s. 943.10(1), a correctional probation officer as defined in s. 943.10(3), a firefighter as defined in s784.07(1), and an emergency medical care provider as defined in s. 784.07(1)</w:t>
      </w:r>
    </w:p>
    <w:p w14:paraId="30761E98" w14:textId="77777777" w:rsidR="00956699" w:rsidRDefault="00956699" w:rsidP="00956699">
      <w:pPr>
        <w:pStyle w:val="NoSpacing"/>
      </w:pPr>
      <w:r>
        <w:t>(b) “Harass” means to willfully engage in a course of conduct directed at a first responder which intentionally causes substantial emotional distress in that first responder and serves no legitimate purpose.</w:t>
      </w:r>
    </w:p>
    <w:p w14:paraId="3E808689" w14:textId="77777777" w:rsidR="00956699" w:rsidRDefault="00956699" w:rsidP="00956699">
      <w:pPr>
        <w:pStyle w:val="NoSpacing"/>
      </w:pPr>
      <w:r>
        <w:t>(2)(a) It is unlawful for a person, after receiving a verbal warning not to approach from a person he or she knows or reasonably should know is a first responder, who is engaged in the lawful performance of a legal duty, to knowingly and willfully violate such warning and approach or remain within 25 feet of the first responder with the intent to:</w:t>
      </w:r>
    </w:p>
    <w:p w14:paraId="63B5FD06" w14:textId="77777777" w:rsidR="00956699" w:rsidRDefault="00956699" w:rsidP="00956699">
      <w:pPr>
        <w:pStyle w:val="NoSpacing"/>
      </w:pPr>
      <w:r>
        <w:t>1. Impede or interfere with the first responder’s ability to perform such duty;</w:t>
      </w:r>
    </w:p>
    <w:p w14:paraId="57B8C56A" w14:textId="77777777" w:rsidR="00956699" w:rsidRDefault="00956699" w:rsidP="00956699">
      <w:pPr>
        <w:pStyle w:val="NoSpacing"/>
      </w:pPr>
      <w:r>
        <w:t>2. Threaten the first responder with physical harm; or</w:t>
      </w:r>
    </w:p>
    <w:p w14:paraId="667A6579" w14:textId="77777777" w:rsidR="00956699" w:rsidRDefault="00956699" w:rsidP="00956699">
      <w:pPr>
        <w:pStyle w:val="NoSpacing"/>
      </w:pPr>
      <w:r>
        <w:t>3. Harass the first responder.</w:t>
      </w:r>
    </w:p>
    <w:p w14:paraId="0093B75D" w14:textId="77777777" w:rsidR="00956699" w:rsidRDefault="00956699" w:rsidP="00956699">
      <w:pPr>
        <w:pStyle w:val="NoSpacing"/>
      </w:pPr>
      <w:r>
        <w:t>(b) A person who violates this subsection commits a misdemeanor of the second degree, punishable as provided in s. 775.082 or s. 775.083.40</w:t>
      </w:r>
    </w:p>
    <w:p w14:paraId="3DEE2D8C" w14:textId="77777777" w:rsidR="00956699" w:rsidRDefault="00956699" w:rsidP="00956699">
      <w:pPr>
        <w:pStyle w:val="NoSpacing"/>
      </w:pPr>
      <w:r>
        <w:t>Section 2. This act shall take effect January 1, 2025.</w:t>
      </w:r>
    </w:p>
    <w:p w14:paraId="755627A1" w14:textId="77777777" w:rsidR="00956699" w:rsidRDefault="00956699" w:rsidP="00956699">
      <w:pPr>
        <w:pStyle w:val="NoSpacing"/>
      </w:pPr>
    </w:p>
    <w:p w14:paraId="053B33A4" w14:textId="77777777" w:rsidR="00956699" w:rsidRPr="00313F24" w:rsidRDefault="00956699" w:rsidP="00956699">
      <w:pPr>
        <w:pStyle w:val="NoSpacing"/>
        <w:rPr>
          <w:b/>
          <w:bCs/>
        </w:rPr>
      </w:pPr>
      <w:r>
        <w:rPr>
          <w:b/>
        </w:rPr>
        <w:t xml:space="preserve">Legal lesson learned: An excellent statute; hopefully similar laws will be enacted in many other </w:t>
      </w:r>
      <w:proofErr w:type="gramStart"/>
      <w:r>
        <w:rPr>
          <w:b/>
        </w:rPr>
        <w:t>state</w:t>
      </w:r>
      <w:proofErr w:type="gramEnd"/>
      <w:r>
        <w:rPr>
          <w:b/>
        </w:rPr>
        <w:t xml:space="preserve">. </w:t>
      </w:r>
    </w:p>
    <w:p w14:paraId="4B38E0A3" w14:textId="77777777" w:rsidR="00956699" w:rsidRDefault="00956699" w:rsidP="00956699">
      <w:pPr>
        <w:pStyle w:val="NoSpacing"/>
      </w:pPr>
    </w:p>
    <w:p w14:paraId="600EA0AF" w14:textId="77777777" w:rsidR="00956699" w:rsidRPr="00F642E3" w:rsidRDefault="00956699" w:rsidP="00956699">
      <w:pPr>
        <w:pStyle w:val="NoSpacing"/>
        <w:ind w:left="720"/>
        <w:rPr>
          <w:b/>
        </w:rPr>
      </w:pPr>
      <w:r>
        <w:t xml:space="preserve">Note: Jan. 28, 2026:  </w:t>
      </w:r>
      <w:r w:rsidRPr="00F642E3">
        <w:rPr>
          <w:b/>
        </w:rPr>
        <w:t>Man arrested under Florida's Halo Law</w:t>
      </w:r>
      <w:r>
        <w:rPr>
          <w:b/>
        </w:rPr>
        <w:t xml:space="preserve">. </w:t>
      </w:r>
      <w:hyperlink r:id="rId433" w:history="1">
        <w:r w:rsidRPr="00734647">
          <w:rPr>
            <w:rStyle w:val="Hyperlink"/>
            <w:b/>
          </w:rPr>
          <w:t>https://www.youtube.com/watch?v=US5dFGLzqQo</w:t>
        </w:r>
      </w:hyperlink>
      <w:r>
        <w:rPr>
          <w:b/>
        </w:rPr>
        <w:t xml:space="preserve"> </w:t>
      </w:r>
    </w:p>
    <w:p w14:paraId="2C3740C1" w14:textId="77777777" w:rsidR="00956699" w:rsidRPr="00210AB7" w:rsidRDefault="00956699" w:rsidP="00956699">
      <w:pPr>
        <w:pStyle w:val="NoSpacing"/>
        <w:ind w:firstLine="720"/>
        <w:rPr>
          <w:b/>
        </w:rPr>
      </w:pPr>
      <w:r w:rsidRPr="00210AB7">
        <w:rPr>
          <w:b/>
        </w:rPr>
        <w:t>What Is the Halo Law?</w:t>
      </w:r>
    </w:p>
    <w:p w14:paraId="5EBBE428" w14:textId="77777777" w:rsidR="00956699" w:rsidRPr="00210AB7" w:rsidRDefault="00956699" w:rsidP="00956699">
      <w:pPr>
        <w:pStyle w:val="NoSpacing"/>
        <w:ind w:left="720"/>
      </w:pPr>
      <w:r w:rsidRPr="00210AB7">
        <w:t xml:space="preserve">The Halo Law, passed under </w:t>
      </w:r>
      <w:r w:rsidRPr="00210AB7">
        <w:rPr>
          <w:b/>
        </w:rPr>
        <w:t>House Bill 184</w:t>
      </w:r>
      <w:r w:rsidRPr="00210AB7">
        <w:t xml:space="preserve">, was signed into law by Governor Ron DeSantis in April 2024. It establishes a </w:t>
      </w:r>
      <w:r w:rsidRPr="00210AB7">
        <w:rPr>
          <w:b/>
        </w:rPr>
        <w:t>25-foot no-approach zone</w:t>
      </w:r>
      <w:r w:rsidRPr="00210AB7">
        <w:t xml:space="preserve"> around first responders engaged in their official duties. If someone is verbally warned to stay back and continues to approach within this zone, they could face penalties, including fines and potential jail time.</w:t>
      </w:r>
    </w:p>
    <w:p w14:paraId="692CCDA3" w14:textId="77777777" w:rsidR="00956699" w:rsidRPr="00210AB7" w:rsidRDefault="00956699" w:rsidP="00956699">
      <w:pPr>
        <w:pStyle w:val="NoSpacing"/>
        <w:ind w:left="720"/>
      </w:pPr>
      <w:r w:rsidRPr="00210AB7">
        <w:t>Sheriff Grady Judd of Polk County has been a vocal advocate for the law, emphasizing that it does not restrict the public’s right to record first responders but aims to prevent interference or harassment while they work.</w:t>
      </w:r>
      <w:r>
        <w:t xml:space="preserve"> </w:t>
      </w:r>
      <w:hyperlink r:id="rId434" w:history="1">
        <w:r w:rsidRPr="00FF51FB">
          <w:rPr>
            <w:rStyle w:val="Hyperlink"/>
          </w:rPr>
          <w:t>https://www.muscalaw.com/blog/understanding-floridas-new-halo-law-and-its-impact-first-amendment-rights</w:t>
        </w:r>
      </w:hyperlink>
      <w:r>
        <w:t xml:space="preserve"> </w:t>
      </w:r>
    </w:p>
    <w:p w14:paraId="76D9D0C3" w14:textId="77777777" w:rsidR="00956699" w:rsidRDefault="00956699" w:rsidP="00956699">
      <w:pPr>
        <w:pStyle w:val="NoSpacing"/>
      </w:pPr>
    </w:p>
    <w:p w14:paraId="1D2AADEC" w14:textId="77777777" w:rsidR="00956699" w:rsidRDefault="00956699" w:rsidP="00956699">
      <w:pPr>
        <w:pStyle w:val="NoSpacing"/>
      </w:pPr>
    </w:p>
    <w:p w14:paraId="095EEB90" w14:textId="77777777" w:rsidR="00956699" w:rsidRDefault="00956699" w:rsidP="00956699">
      <w:pPr>
        <w:pStyle w:val="NoSpacing"/>
        <w:ind w:left="720"/>
        <w:rPr>
          <w:b/>
        </w:rPr>
      </w:pPr>
      <w:r>
        <w:t xml:space="preserve">See also: ACLU of Florida: </w:t>
      </w:r>
      <w:r w:rsidRPr="00F41534">
        <w:t>HB 75/SB 184 - Criminalizing Bystanders for Exercising First Amendment Rights</w:t>
      </w:r>
      <w:r>
        <w:t xml:space="preserve">. </w:t>
      </w:r>
      <w:r w:rsidRPr="00910752">
        <w:rPr>
          <w:b/>
        </w:rPr>
        <w:t xml:space="preserve"> </w:t>
      </w:r>
      <w:hyperlink r:id="rId435" w:history="1">
        <w:r w:rsidRPr="00FF51FB">
          <w:rPr>
            <w:rStyle w:val="Hyperlink"/>
            <w:b/>
          </w:rPr>
          <w:t>https://www.aclufl.org/legislation/hb-75sb-184-criminalizing-bystanders-exercising-first-amendment-rights/</w:t>
        </w:r>
      </w:hyperlink>
      <w:r>
        <w:rPr>
          <w:b/>
        </w:rPr>
        <w:t xml:space="preserve"> </w:t>
      </w:r>
    </w:p>
    <w:p w14:paraId="197FA8F7" w14:textId="77777777" w:rsidR="00956699" w:rsidRDefault="00956699" w:rsidP="00956699">
      <w:pPr>
        <w:pStyle w:val="NoSpacing"/>
        <w:rPr>
          <w:b/>
        </w:rPr>
      </w:pPr>
    </w:p>
    <w:p w14:paraId="5181C14E" w14:textId="77777777" w:rsidR="00956699" w:rsidRDefault="00956699" w:rsidP="00956699">
      <w:pPr>
        <w:pStyle w:val="NoSpacing"/>
      </w:pPr>
    </w:p>
    <w:p w14:paraId="01111E9F" w14:textId="77777777" w:rsidR="00956699" w:rsidRDefault="00956699" w:rsidP="00646EE3">
      <w:pPr>
        <w:rPr>
          <w:rFonts w:ascii="Arial Black" w:hAnsi="Arial Black"/>
          <w:sz w:val="24"/>
          <w:szCs w:val="24"/>
        </w:rPr>
      </w:pPr>
    </w:p>
    <w:p w14:paraId="55FD9BFD" w14:textId="452D4E55" w:rsidR="0082202A" w:rsidRDefault="00A84727" w:rsidP="00646EE3">
      <w:pPr>
        <w:rPr>
          <w:rFonts w:ascii="Arial Black" w:hAnsi="Arial Black"/>
          <w:sz w:val="24"/>
          <w:szCs w:val="24"/>
        </w:rPr>
      </w:pPr>
      <w:r>
        <w:rPr>
          <w:rFonts w:ascii="Arial Black" w:hAnsi="Arial Black"/>
          <w:sz w:val="24"/>
          <w:szCs w:val="24"/>
        </w:rPr>
        <w:t>2-</w:t>
      </w:r>
      <w:r w:rsidR="008963C8">
        <w:rPr>
          <w:rFonts w:ascii="Arial Black" w:hAnsi="Arial Black"/>
          <w:sz w:val="24"/>
          <w:szCs w:val="24"/>
        </w:rPr>
        <w:t>98</w:t>
      </w:r>
    </w:p>
    <w:p w14:paraId="70297D16" w14:textId="0F151088" w:rsidR="00A84727" w:rsidRPr="00AB2E2B" w:rsidRDefault="00A84727" w:rsidP="00A84727">
      <w:pPr>
        <w:rPr>
          <w:rFonts w:ascii="Arial Black" w:hAnsi="Arial Black"/>
          <w:bCs/>
          <w:sz w:val="28"/>
          <w:szCs w:val="28"/>
        </w:rPr>
      </w:pPr>
      <w:r>
        <w:rPr>
          <w:rFonts w:ascii="Arial Black" w:hAnsi="Arial Black"/>
          <w:sz w:val="28"/>
          <w:szCs w:val="28"/>
        </w:rPr>
        <w:t xml:space="preserve">CT: RUN </w:t>
      </w:r>
      <w:r w:rsidR="00A44AF2">
        <w:rPr>
          <w:rFonts w:ascii="Arial Black" w:hAnsi="Arial Black"/>
          <w:sz w:val="28"/>
          <w:szCs w:val="28"/>
        </w:rPr>
        <w:t xml:space="preserve">FOR </w:t>
      </w:r>
      <w:r>
        <w:rPr>
          <w:rFonts w:ascii="Arial Black" w:hAnsi="Arial Black"/>
          <w:sz w:val="28"/>
          <w:szCs w:val="28"/>
        </w:rPr>
        <w:t>SMOKE</w:t>
      </w:r>
      <w:r w:rsidR="00A44AF2">
        <w:rPr>
          <w:rFonts w:ascii="Arial Black" w:hAnsi="Arial Black"/>
          <w:sz w:val="28"/>
          <w:szCs w:val="28"/>
        </w:rPr>
        <w:t xml:space="preserve"> AREA</w:t>
      </w:r>
      <w:r>
        <w:rPr>
          <w:rFonts w:ascii="Arial Black" w:hAnsi="Arial Black"/>
          <w:sz w:val="28"/>
          <w:szCs w:val="28"/>
        </w:rPr>
        <w:t xml:space="preserve"> – THREAT TO SHOOT FF - 14 MONTHS </w:t>
      </w:r>
    </w:p>
    <w:p w14:paraId="02B0B01A" w14:textId="77777777" w:rsidR="00A84727" w:rsidRDefault="00A84727" w:rsidP="00A84727">
      <w:r>
        <w:t xml:space="preserve">On December 23, 2025, in </w:t>
      </w:r>
      <w:r w:rsidRPr="00CA0F9D">
        <w:rPr>
          <w:u w:val="single"/>
        </w:rPr>
        <w:t>State of Connecticut v. David Valle</w:t>
      </w:r>
      <w:r>
        <w:t xml:space="preserve">, the Court of Appeals of Connecticut held (3 to 0) that jury properly found homeowner guilty of one count of threatening in the second degree, and one count of interfering with an officer, and two counts of cruelty to animals. The defendant “got right into [Captain’s] face’’ and said that the shed was his smokehouse, that he was smoking a deer inside of it, and that he would ‘put a bullet in every one of [the firefighters’] heads if [they] didn’t get off his property.’ </w:t>
      </w:r>
      <w:hyperlink r:id="rId436" w:history="1">
        <w:r w:rsidRPr="003C581C">
          <w:rPr>
            <w:rStyle w:val="Hyperlink"/>
            <w:b/>
          </w:rPr>
          <w:t>https://cases.justia.com/connecticut/court-of-appeals/2025-ac46735.pdf?ts=1766582340</w:t>
        </w:r>
      </w:hyperlink>
    </w:p>
    <w:p w14:paraId="4F6099B4" w14:textId="77777777" w:rsidR="00A84727" w:rsidRDefault="00A84727" w:rsidP="00A84727">
      <w:r>
        <w:t>THE COURT HELD:</w:t>
      </w:r>
    </w:p>
    <w:p w14:paraId="47F57A70" w14:textId="77777777" w:rsidR="00A84727" w:rsidRPr="002E2696" w:rsidRDefault="00A84727" w:rsidP="00A84727">
      <w:pPr>
        <w:pStyle w:val="NoSpacing"/>
        <w:ind w:left="720"/>
      </w:pPr>
      <w:r>
        <w:t>“</w:t>
      </w:r>
      <w:r w:rsidRPr="002E2696">
        <w:t>On the evening of December 1, 2020, the Bridgeport Fire Department (fire department) was dispatched</w:t>
      </w:r>
      <w:r>
        <w:t xml:space="preserve"> </w:t>
      </w:r>
      <w:r w:rsidRPr="002E2696">
        <w:t>to the vicinity of Wayne Street following a report of</w:t>
      </w:r>
      <w:r>
        <w:t xml:space="preserve"> </w:t>
      </w:r>
      <w:r w:rsidRPr="002E2696">
        <w:t>smoke in the area. The responding firefighters noticed</w:t>
      </w:r>
      <w:r>
        <w:t xml:space="preserve"> </w:t>
      </w:r>
      <w:r w:rsidRPr="002E2696">
        <w:t>smoke coming from behind a stockade fence at 675</w:t>
      </w:r>
    </w:p>
    <w:p w14:paraId="2F6708AF" w14:textId="77777777" w:rsidR="00A84727" w:rsidRDefault="00A84727" w:rsidP="00A84727">
      <w:pPr>
        <w:pStyle w:val="NoSpacing"/>
        <w:ind w:left="720"/>
      </w:pPr>
      <w:r w:rsidRPr="002E2696">
        <w:t>Wayne Street. Scott Boris, then a captain with the fire</w:t>
      </w:r>
      <w:r>
        <w:t xml:space="preserve"> </w:t>
      </w:r>
      <w:r w:rsidRPr="002E2696">
        <w:t>department, entered the property to investigate and</w:t>
      </w:r>
      <w:r>
        <w:t xml:space="preserve"> </w:t>
      </w:r>
      <w:r w:rsidRPr="002E2696">
        <w:t xml:space="preserve">saw a three-sided </w:t>
      </w:r>
      <w:proofErr w:type="gramStart"/>
      <w:r w:rsidRPr="002E2696">
        <w:t>shed</w:t>
      </w:r>
      <w:r>
        <w:t xml:space="preserve"> </w:t>
      </w:r>
      <w:r w:rsidRPr="002E2696">
        <w:t>like</w:t>
      </w:r>
      <w:proofErr w:type="gramEnd"/>
      <w:r w:rsidRPr="002E2696">
        <w:t xml:space="preserve"> structure aflame with smoke</w:t>
      </w:r>
      <w:r>
        <w:t xml:space="preserve"> </w:t>
      </w:r>
      <w:r w:rsidRPr="002E2696">
        <w:t>billowing from the top. When Boris opened the gate to</w:t>
      </w:r>
      <w:r>
        <w:t xml:space="preserve"> </w:t>
      </w:r>
      <w:r w:rsidRPr="002E2696">
        <w:t xml:space="preserve">the fence, a ‘‘tiny and </w:t>
      </w:r>
      <w:proofErr w:type="gramStart"/>
      <w:r w:rsidRPr="002E2696">
        <w:t>frail,’</w:t>
      </w:r>
      <w:proofErr w:type="gramEnd"/>
      <w:r w:rsidRPr="002E2696">
        <w:t xml:space="preserve">’ ‘‘unhealthy </w:t>
      </w:r>
      <w:proofErr w:type="gramStart"/>
      <w:r w:rsidRPr="002E2696">
        <w:t>looking’’</w:t>
      </w:r>
      <w:proofErr w:type="gramEnd"/>
      <w:r w:rsidRPr="002E2696">
        <w:t xml:space="preserve"> dog,</w:t>
      </w:r>
      <w:r>
        <w:t xml:space="preserve"> </w:t>
      </w:r>
      <w:r w:rsidRPr="002E2696">
        <w:t>later identified as Sheeba, ran toward him. Boris also</w:t>
      </w:r>
      <w:r>
        <w:t xml:space="preserve"> </w:t>
      </w:r>
      <w:r w:rsidRPr="002E2696">
        <w:t>noticed a kennel behind the shed with another</w:t>
      </w:r>
      <w:r>
        <w:t xml:space="preserve"> </w:t>
      </w:r>
      <w:proofErr w:type="gramStart"/>
      <w:r w:rsidRPr="002E2696">
        <w:t>unhealthy looking</w:t>
      </w:r>
      <w:proofErr w:type="gramEnd"/>
      <w:r w:rsidRPr="002E2696">
        <w:t xml:space="preserve"> dog, later identified as Honey,</w:t>
      </w:r>
      <w:r>
        <w:t xml:space="preserve"> </w:t>
      </w:r>
      <w:r w:rsidRPr="002E2696">
        <w:t>locked inside.</w:t>
      </w:r>
      <w:r>
        <w:t xml:space="preserve"> </w:t>
      </w:r>
      <w:r w:rsidRPr="002E2696">
        <w:t>As the fire department was attempting to extinguish</w:t>
      </w:r>
      <w:r>
        <w:t xml:space="preserve"> </w:t>
      </w:r>
      <w:r w:rsidRPr="002E2696">
        <w:t>the fire, a man exited the residence and told Boris</w:t>
      </w:r>
      <w:r>
        <w:t xml:space="preserve"> </w:t>
      </w:r>
      <w:r w:rsidRPr="002E2696">
        <w:t>that he was burning wood and did not want the fire</w:t>
      </w:r>
      <w:r>
        <w:t xml:space="preserve"> </w:t>
      </w:r>
      <w:r w:rsidRPr="002E2696">
        <w:t>extinguished. Boris explained to the man that a Bridgeport city ordinance prohibited such fires and that the</w:t>
      </w:r>
      <w:r>
        <w:t xml:space="preserve"> </w:t>
      </w:r>
      <w:r w:rsidRPr="002E2696">
        <w:t>fire department was required to extinguish it. The man</w:t>
      </w:r>
      <w:r>
        <w:t xml:space="preserve"> </w:t>
      </w:r>
      <w:r w:rsidRPr="002E2696">
        <w:t xml:space="preserve">went back inside the </w:t>
      </w:r>
      <w:proofErr w:type="gramStart"/>
      <w:r w:rsidRPr="002E2696">
        <w:t>house</w:t>
      </w:r>
      <w:proofErr w:type="gramEnd"/>
      <w:r w:rsidRPr="002E2696">
        <w:t xml:space="preserve"> and Boris called the Bridgeport Police Department (police department) for assistance. A short time later, the same man came back</w:t>
      </w:r>
      <w:r>
        <w:t xml:space="preserve"> </w:t>
      </w:r>
      <w:r w:rsidRPr="002E2696">
        <w:t xml:space="preserve">outside </w:t>
      </w:r>
      <w:proofErr w:type="gramStart"/>
      <w:r w:rsidRPr="002E2696">
        <w:t>and,</w:t>
      </w:r>
      <w:proofErr w:type="gramEnd"/>
      <w:r w:rsidRPr="002E2696">
        <w:t xml:space="preserve"> now agitated and yelling, told Boris that</w:t>
      </w:r>
      <w:r>
        <w:t xml:space="preserve"> </w:t>
      </w:r>
      <w:r w:rsidRPr="002E2696">
        <w:t>the homeowner was on his way and wanted the fire</w:t>
      </w:r>
      <w:r>
        <w:t xml:space="preserve"> </w:t>
      </w:r>
      <w:r w:rsidRPr="002E2696">
        <w:t>department off the property.</w:t>
      </w:r>
    </w:p>
    <w:p w14:paraId="1EC4EDEE" w14:textId="77777777" w:rsidR="00A84727" w:rsidRDefault="00A84727" w:rsidP="00A84727">
      <w:pPr>
        <w:pStyle w:val="NoSpacing"/>
      </w:pPr>
    </w:p>
    <w:p w14:paraId="03E87A76" w14:textId="77777777" w:rsidR="00A84727" w:rsidRDefault="00A84727" w:rsidP="00A84727">
      <w:pPr>
        <w:pStyle w:val="NoSpacing"/>
        <w:ind w:left="720"/>
      </w:pPr>
      <w:r>
        <w:t xml:space="preserve">Shortly thereafter, the defendant drove at a high rate of speed toward the residence, slammed on his brakes, jumped out of the vehicle, and charged toward the firefighters. The defendant ‘’got right into [Boris’] </w:t>
      </w:r>
      <w:proofErr w:type="gramStart"/>
      <w:r>
        <w:t>face’’’</w:t>
      </w:r>
      <w:proofErr w:type="gramEnd"/>
      <w:r>
        <w:t xml:space="preserve"> and said that the shed was his smokehouse, that he was smoking a deer inside of it, and that he would ‘put a bullet in every one of [the firefighters’] heads if [they] didn’t get off his property.’ The defendant also attempted to pull the hose away from the firefighters as they attempted to extinguish the fire. While the confrontation between the defendant and the firefighters was ongoing, the police arrived and detained the defendant. During the ensuing investigation, Hiram Velez, a fire inspector for the city of Bridgeport, found three deceased dogs inside the shed amidst a pile of burned trash and other debris. </w:t>
      </w:r>
    </w:p>
    <w:p w14:paraId="08AEC0C9" w14:textId="77777777" w:rsidR="00A84727" w:rsidRDefault="00A84727" w:rsidP="00A84727">
      <w:pPr>
        <w:pStyle w:val="NoSpacing"/>
        <w:ind w:left="720"/>
      </w:pPr>
    </w:p>
    <w:p w14:paraId="3326902C" w14:textId="77777777" w:rsidR="00A84727" w:rsidRDefault="00A84727" w:rsidP="00A84727">
      <w:pPr>
        <w:pStyle w:val="NoSpacing"/>
        <w:ind w:left="720"/>
      </w:pPr>
      <w:r>
        <w:t>***</w:t>
      </w:r>
    </w:p>
    <w:p w14:paraId="6975C7D1" w14:textId="77777777" w:rsidR="00A84727" w:rsidRDefault="00A84727" w:rsidP="00A84727">
      <w:pPr>
        <w:pStyle w:val="NoSpacing"/>
        <w:ind w:left="720"/>
      </w:pPr>
    </w:p>
    <w:p w14:paraId="667F82FA" w14:textId="77777777" w:rsidR="00A84727" w:rsidRDefault="00A84727" w:rsidP="00A84727">
      <w:pPr>
        <w:ind w:left="720"/>
        <w:rPr>
          <w:b/>
        </w:rPr>
      </w:pPr>
      <w:r w:rsidRPr="004B50B7">
        <w:t>On July 14, 2023, the court imposed a total</w:t>
      </w:r>
      <w:r>
        <w:t xml:space="preserve"> </w:t>
      </w:r>
      <w:r w:rsidRPr="004B50B7">
        <w:t>effective sentence of 1456 days of incarceration, execution suspended after fourteen months, followed by</w:t>
      </w:r>
      <w:r>
        <w:t xml:space="preserve"> </w:t>
      </w:r>
      <w:r w:rsidRPr="004B50B7">
        <w:t>three years of probation. This appeal followed.</w:t>
      </w:r>
      <w:r>
        <w:t xml:space="preserve">” </w:t>
      </w:r>
    </w:p>
    <w:p w14:paraId="44D099CB" w14:textId="77777777" w:rsidR="00A84727" w:rsidRDefault="00A84727" w:rsidP="00A84727">
      <w:pPr>
        <w:rPr>
          <w:b/>
        </w:rPr>
      </w:pPr>
      <w:r>
        <w:rPr>
          <w:b/>
        </w:rPr>
        <w:t xml:space="preserve">Legal lesson learned: FD Captain wisely called police when the resident became belligerent; when the owner of home threatened to </w:t>
      </w:r>
      <w:proofErr w:type="gramStart"/>
      <w:r>
        <w:rPr>
          <w:b/>
        </w:rPr>
        <w:t>shot</w:t>
      </w:r>
      <w:proofErr w:type="gramEnd"/>
      <w:r>
        <w:rPr>
          <w:b/>
        </w:rPr>
        <w:t xml:space="preserve"> firefighters, police were there to make a prompt arrest.  </w:t>
      </w:r>
    </w:p>
    <w:p w14:paraId="11A8ECF2" w14:textId="77777777" w:rsidR="00A84727" w:rsidRDefault="00A84727" w:rsidP="00A84727">
      <w:pPr>
        <w:ind w:left="720"/>
      </w:pPr>
      <w:r>
        <w:t xml:space="preserve">Note:  The trial court judge dismissed some counts at close of prosecution’s case.  “The defendant argued that it was undisputed that he was not on the property when the fire was discovered and that there was not sufficient evidence to support a finding beyond a reasonable doubt that he started the fire or that he had any connection to the three deceased dogs that were found in the shed.”  All the photos and other exhibits were provided to jury.  Defense failed to object to specific evidence being excluded. </w:t>
      </w:r>
    </w:p>
    <w:p w14:paraId="1896BE7B" w14:textId="77777777" w:rsidR="00A84727" w:rsidRDefault="00A84727" w:rsidP="00A84727">
      <w:pPr>
        <w:pStyle w:val="NoSpacing"/>
      </w:pPr>
    </w:p>
    <w:p w14:paraId="05808F3A" w14:textId="77777777" w:rsidR="00A84727" w:rsidRDefault="00A84727" w:rsidP="00646EE3">
      <w:pPr>
        <w:rPr>
          <w:rFonts w:ascii="Arial Black" w:hAnsi="Arial Black"/>
          <w:sz w:val="24"/>
          <w:szCs w:val="24"/>
        </w:rPr>
      </w:pPr>
    </w:p>
    <w:p w14:paraId="6A847CA2" w14:textId="77777777" w:rsidR="0082202A" w:rsidRDefault="0082202A" w:rsidP="00646EE3">
      <w:pPr>
        <w:rPr>
          <w:rFonts w:ascii="Arial Black" w:hAnsi="Arial Black"/>
          <w:sz w:val="24"/>
          <w:szCs w:val="24"/>
        </w:rPr>
      </w:pPr>
    </w:p>
    <w:p w14:paraId="70BF0A0D" w14:textId="7D561585" w:rsidR="00F039D1" w:rsidRDefault="00F039D1" w:rsidP="00646EE3">
      <w:pPr>
        <w:rPr>
          <w:rFonts w:ascii="Arial Black" w:hAnsi="Arial Black"/>
          <w:sz w:val="24"/>
          <w:szCs w:val="24"/>
        </w:rPr>
      </w:pPr>
      <w:r>
        <w:rPr>
          <w:rFonts w:ascii="Arial Black" w:hAnsi="Arial Black"/>
          <w:sz w:val="24"/>
          <w:szCs w:val="24"/>
        </w:rPr>
        <w:t>2-97</w:t>
      </w:r>
    </w:p>
    <w:p w14:paraId="739C4F01" w14:textId="77777777" w:rsidR="00F039D1" w:rsidRPr="00853198" w:rsidRDefault="00F039D1" w:rsidP="00F039D1">
      <w:pPr>
        <w:rPr>
          <w:rFonts w:ascii="Arial Black" w:hAnsi="Arial Black"/>
          <w:b/>
          <w:sz w:val="28"/>
          <w:szCs w:val="28"/>
        </w:rPr>
      </w:pPr>
      <w:r>
        <w:rPr>
          <w:rFonts w:ascii="Arial Black" w:hAnsi="Arial Black"/>
          <w:b/>
          <w:sz w:val="28"/>
          <w:szCs w:val="28"/>
        </w:rPr>
        <w:t>NY: ARSONIST –- 1994 LODD – MUST STAY PRISON 43 YRS</w:t>
      </w:r>
    </w:p>
    <w:p w14:paraId="4E8FD6CB" w14:textId="77777777" w:rsidR="00F039D1" w:rsidRDefault="00F039D1" w:rsidP="00F039D1">
      <w:pPr>
        <w:rPr>
          <w:b/>
        </w:rPr>
      </w:pPr>
      <w:r>
        <w:t xml:space="preserve">On November 25, 2025, in </w:t>
      </w:r>
      <w:r w:rsidRPr="00461D2E">
        <w:rPr>
          <w:u w:val="single"/>
        </w:rPr>
        <w:t>United States of America v. Alberto Raposo</w:t>
      </w:r>
      <w:r>
        <w:t>, U.S. District Court Judge John P. Cronan, United States District Court for the Southern District of New York, denied the prisoner’s third motion for sentence reduction; he must serve out his sentence of 524 months.   THE COURT WROTE: “</w:t>
      </w:r>
      <w:r w:rsidRPr="003133EB">
        <w:t>On June 5, 1994, Defendant Alberto Raposo set fire to a Manhattan building after a fight with his roommates. Waiting until his roommates were inside, Raposo ignited fires in front of the building's front door and in the subcellar, lobby, and second and fourth floors</w:t>
      </w:r>
      <w:r>
        <w:t xml:space="preserve">…. </w:t>
      </w:r>
      <w:r w:rsidRPr="003133EB">
        <w:t>He then poured oil on the stairs and on the fire escapes, locked the front door even though he had the only key, and removed wires to disable the building's fire alarm</w:t>
      </w:r>
      <w:r>
        <w:t xml:space="preserve">…. </w:t>
      </w:r>
      <w:r w:rsidRPr="003133EB">
        <w:t xml:space="preserve"> Miraculously, Raposo's roommates survived, but New York City Fire Department Lieutenant George Lener died from carbon monoxide poisoning after he bravely responded to the scene.</w:t>
      </w:r>
      <w:r>
        <w:t xml:space="preserve"> *** </w:t>
      </w:r>
      <w:r w:rsidRPr="00853198">
        <w:t>Because of Raposo's actions, a firefighter of fifteen years, a husband, and a father of three young children lost his life</w:t>
      </w:r>
      <w:r>
        <w:t xml:space="preserve">…. </w:t>
      </w:r>
      <w:r w:rsidRPr="00853198">
        <w:t>So although Raposo was young when he committed his crime</w:t>
      </w:r>
      <w:r>
        <w:t xml:space="preserve"> [age 22]</w:t>
      </w:r>
      <w:r w:rsidRPr="00853198">
        <w:t>, received a lengthy sentence for his offense, and appears to have made the most of his time in custody by engaging in rehabilitation efforts, the Court remains convinced that a sentence reduction is not warranted.</w:t>
      </w:r>
      <w:r>
        <w:t>”</w:t>
      </w:r>
      <w:r w:rsidRPr="007612B9">
        <w:t xml:space="preserve"> </w:t>
      </w:r>
      <w:hyperlink r:id="rId437" w:history="1">
        <w:r w:rsidRPr="00A550B3">
          <w:rPr>
            <w:rStyle w:val="Hyperlink"/>
            <w:b/>
          </w:rPr>
          <w:t>https://public.fastcase.com/jaEE2PXzRXmZ99jOLMt1ItgJpO3cenZHWG8%2BVkmKxH1HTTAbABiD6rHSJp3pZ1gN%2FmUtcGj1MYmfK4vUiVXj%2F7KJALcf9RQ89nZBN4g9WoM%3D?utm_medium=email&amp;_hsenc=p2ANqtz-8GKw_r7YMLn5ao1TZxs4WqNRhri-535W3eCNA3JduD9CnJg4Ez99C9vjqiY3t5lfrKsWh0EQkMPqhDg1IfFNoFLO22ZQ&amp;_hsmi=226712652&amp;utm_content=226712652&amp;utm_source=hs_email</w:t>
        </w:r>
      </w:hyperlink>
      <w:r>
        <w:rPr>
          <w:b/>
        </w:rPr>
        <w:t xml:space="preserve"> </w:t>
      </w:r>
    </w:p>
    <w:p w14:paraId="7F300647" w14:textId="77777777" w:rsidR="00F039D1" w:rsidRPr="00390FA3" w:rsidRDefault="00F039D1" w:rsidP="00F039D1">
      <w:pPr>
        <w:rPr>
          <w:bCs/>
        </w:rPr>
      </w:pPr>
      <w:r w:rsidRPr="00390FA3">
        <w:t>THE COURT HELD:</w:t>
      </w:r>
    </w:p>
    <w:p w14:paraId="706DDE81" w14:textId="77777777" w:rsidR="00F039D1" w:rsidRDefault="00F039D1" w:rsidP="00F039D1">
      <w:pPr>
        <w:ind w:left="720"/>
      </w:pPr>
      <w:r>
        <w:t>“</w:t>
      </w:r>
      <w:r w:rsidRPr="00CA78AD">
        <w:t>Following a jury trial, Raposo was found guilty on February 9, 1999, of committing arson of property used in interstate commerce, with death resulting</w:t>
      </w:r>
      <w:r>
        <w:t xml:space="preserve">…. </w:t>
      </w:r>
      <w:r w:rsidRPr="00CA78AD">
        <w:t xml:space="preserve"> On June 8, 1999, the Honorable Deborah A. Batts sentenced Raposo to 524 months of imprisonment followed by five years of supervised release</w:t>
      </w:r>
      <w:r>
        <w:t xml:space="preserve">…. </w:t>
      </w:r>
      <w:r w:rsidRPr="00CA78AD">
        <w:t xml:space="preserve">Raposo is currently incarcerated at the Federal Correctional Institution in Danbury, Connecticut, with a projected release date of June 13, </w:t>
      </w:r>
      <w:r>
        <w:t xml:space="preserve">[2033]. </w:t>
      </w:r>
      <w:r w:rsidRPr="00CA78AD">
        <w:rPr>
          <w:i/>
          <w:iCs/>
        </w:rPr>
        <w:t>See</w:t>
      </w:r>
      <w:r w:rsidRPr="00CA78AD">
        <w:t xml:space="preserve"> Federal Bureau of Prisons, Find an Inmate, https://www.bop.gov/inmateloc/ (last visited Nov. 24, 2025).</w:t>
      </w:r>
      <w:r>
        <w:t xml:space="preserve">” </w:t>
      </w:r>
    </w:p>
    <w:p w14:paraId="41FDFFDC" w14:textId="77777777" w:rsidR="00F039D1" w:rsidRPr="00734B1E" w:rsidRDefault="00F039D1" w:rsidP="00F039D1">
      <w:pPr>
        <w:rPr>
          <w:b/>
          <w:bCs/>
        </w:rPr>
      </w:pPr>
      <w:r w:rsidRPr="00734B1E">
        <w:rPr>
          <w:b/>
        </w:rPr>
        <w:t>Legal lesson learned:</w:t>
      </w:r>
      <w:r>
        <w:rPr>
          <w:b/>
        </w:rPr>
        <w:t xml:space="preserve"> Prisoner will serve full time for the death of a firefighter. </w:t>
      </w:r>
    </w:p>
    <w:p w14:paraId="6908045D" w14:textId="77777777" w:rsidR="00F039D1" w:rsidRDefault="00F039D1" w:rsidP="00646EE3">
      <w:pPr>
        <w:rPr>
          <w:rFonts w:ascii="Arial Black" w:hAnsi="Arial Black"/>
          <w:sz w:val="24"/>
          <w:szCs w:val="24"/>
        </w:rPr>
      </w:pPr>
    </w:p>
    <w:p w14:paraId="29B24A79" w14:textId="77777777" w:rsidR="00F039D1" w:rsidRDefault="00F039D1" w:rsidP="00646EE3">
      <w:pPr>
        <w:rPr>
          <w:rFonts w:ascii="Arial Black" w:hAnsi="Arial Black"/>
          <w:sz w:val="24"/>
          <w:szCs w:val="24"/>
        </w:rPr>
      </w:pPr>
    </w:p>
    <w:p w14:paraId="1FC8C9C1" w14:textId="77777777" w:rsidR="00F039D1" w:rsidRDefault="00F039D1" w:rsidP="00646EE3">
      <w:pPr>
        <w:rPr>
          <w:rFonts w:ascii="Arial Black" w:hAnsi="Arial Black"/>
          <w:sz w:val="24"/>
          <w:szCs w:val="24"/>
        </w:rPr>
      </w:pPr>
    </w:p>
    <w:p w14:paraId="56E61D23" w14:textId="37DFCD03" w:rsidR="001D5809" w:rsidRDefault="00161ED7" w:rsidP="00646EE3">
      <w:pPr>
        <w:rPr>
          <w:rFonts w:ascii="Arial Black" w:hAnsi="Arial Black"/>
          <w:sz w:val="24"/>
          <w:szCs w:val="24"/>
        </w:rPr>
      </w:pPr>
      <w:r>
        <w:rPr>
          <w:rFonts w:ascii="Arial Black" w:hAnsi="Arial Black"/>
          <w:sz w:val="24"/>
          <w:szCs w:val="24"/>
        </w:rPr>
        <w:t>2-9</w:t>
      </w:r>
      <w:r w:rsidR="0099399D">
        <w:rPr>
          <w:rFonts w:ascii="Arial Black" w:hAnsi="Arial Black"/>
          <w:sz w:val="24"/>
          <w:szCs w:val="24"/>
        </w:rPr>
        <w:t>6</w:t>
      </w:r>
    </w:p>
    <w:p w14:paraId="3171DC16" w14:textId="1D2D381C" w:rsidR="001D5809" w:rsidRPr="00FF5E77" w:rsidRDefault="001D5809" w:rsidP="001D5809">
      <w:pPr>
        <w:pStyle w:val="NoSpacing"/>
        <w:rPr>
          <w:rFonts w:ascii="Arial Black" w:hAnsi="Arial Black"/>
          <w:b/>
          <w:sz w:val="28"/>
          <w:szCs w:val="28"/>
        </w:rPr>
      </w:pPr>
      <w:r>
        <w:rPr>
          <w:rFonts w:ascii="Arial Black" w:hAnsi="Arial Black"/>
          <w:b/>
          <w:sz w:val="28"/>
          <w:szCs w:val="28"/>
        </w:rPr>
        <w:t xml:space="preserve">MN: </w:t>
      </w:r>
      <w:r w:rsidR="00120DAE">
        <w:rPr>
          <w:rFonts w:ascii="Arial Black" w:hAnsi="Arial Black"/>
          <w:b/>
          <w:sz w:val="28"/>
          <w:szCs w:val="28"/>
        </w:rPr>
        <w:t xml:space="preserve">OFF-DUTY FF </w:t>
      </w:r>
      <w:r>
        <w:rPr>
          <w:rFonts w:ascii="Arial Black" w:hAnsi="Arial Black"/>
          <w:b/>
          <w:sz w:val="28"/>
          <w:szCs w:val="28"/>
        </w:rPr>
        <w:t xml:space="preserve">- PUNCHED IN FACE – “ROAD RAGE”  </w:t>
      </w:r>
    </w:p>
    <w:p w14:paraId="7814F2CF" w14:textId="77777777" w:rsidR="001D5809" w:rsidRDefault="001D5809" w:rsidP="001D5809">
      <w:pPr>
        <w:pStyle w:val="NoSpacing"/>
        <w:rPr>
          <w:b/>
        </w:rPr>
      </w:pPr>
    </w:p>
    <w:p w14:paraId="56B3DF97" w14:textId="77777777" w:rsidR="001D5809" w:rsidRDefault="001D5809" w:rsidP="001D5809">
      <w:pPr>
        <w:pStyle w:val="NoSpacing"/>
        <w:rPr>
          <w:b/>
        </w:rPr>
      </w:pPr>
      <w:r w:rsidRPr="000C0FAB">
        <w:t xml:space="preserve">On October 21, 2025, in </w:t>
      </w:r>
      <w:r w:rsidRPr="00F2361B">
        <w:rPr>
          <w:u w:val="single"/>
        </w:rPr>
        <w:t>State of Montana v. Jeffrey W. Burrington</w:t>
      </w:r>
      <w:r>
        <w:t xml:space="preserve">, the Supreme Court of Montana held (5 to 0) that jury properly convicted the defendant of Aggravated Assault of Ryan Williams. The Trial Court judge sentenced him to seven years, but all suspended.  The firefighter (a smoke jumper) pulled over when the defendant was “tailgating” him and then was punched in the face – fractured </w:t>
      </w:r>
      <w:r w:rsidRPr="00B31A1C">
        <w:t>mandible</w:t>
      </w:r>
      <w:r>
        <w:t xml:space="preserve">.  The jury rejected the defense that Burrington was particularly fearful for being involved with two prior “road range” incidents -  his wife testified about 1987 incident (person pulled a gun on he and his wife); 2023 (a driver </w:t>
      </w:r>
      <w:r w:rsidRPr="007B0A97">
        <w:t>brandished a machete</w:t>
      </w:r>
      <w:r>
        <w:t xml:space="preserve"> at his wife).  The trial court would not allow prosecution to tell jury about third incident:  2017 (he pled guilty to disorderly conduct after he </w:t>
      </w:r>
      <w:r w:rsidRPr="008376FD">
        <w:t>punched one of the</w:t>
      </w:r>
      <w:r>
        <w:t xml:space="preserve"> </w:t>
      </w:r>
      <w:r w:rsidRPr="008376FD">
        <w:t>motorcyclists</w:t>
      </w:r>
      <w:r>
        <w:t xml:space="preserve"> where a group of bikers were </w:t>
      </w:r>
      <w:r w:rsidRPr="00490EEB">
        <w:t>“boxing in” his car</w:t>
      </w:r>
      <w:r>
        <w:t>)</w:t>
      </w:r>
      <w:r w:rsidRPr="00490EEB">
        <w:t>.</w:t>
      </w:r>
      <w:r>
        <w:t xml:space="preserve">  </w:t>
      </w:r>
      <w:hyperlink r:id="rId438" w:history="1">
        <w:r w:rsidRPr="00410A8E">
          <w:rPr>
            <w:rStyle w:val="Hyperlink"/>
            <w:b/>
          </w:rPr>
          <w:t>https://cases.justia.com/montana/supreme-court/2025-da-25-0100.pdf?ts=1761082851</w:t>
        </w:r>
      </w:hyperlink>
      <w:r>
        <w:rPr>
          <w:b/>
        </w:rPr>
        <w:t xml:space="preserve"> </w:t>
      </w:r>
    </w:p>
    <w:p w14:paraId="4D958F61" w14:textId="77777777" w:rsidR="001D5809" w:rsidRDefault="001D5809" w:rsidP="001D5809">
      <w:pPr>
        <w:pStyle w:val="NoSpacing"/>
        <w:rPr>
          <w:b/>
        </w:rPr>
      </w:pPr>
    </w:p>
    <w:p w14:paraId="7DAA48D0" w14:textId="77777777" w:rsidR="001D5809" w:rsidRDefault="001D5809" w:rsidP="001D5809">
      <w:pPr>
        <w:pStyle w:val="NoSpacing"/>
        <w:rPr>
          <w:bCs/>
        </w:rPr>
      </w:pPr>
      <w:r>
        <w:t>THE COURT HELD:</w:t>
      </w:r>
    </w:p>
    <w:p w14:paraId="08B845D5" w14:textId="77777777" w:rsidR="001D5809" w:rsidRDefault="001D5809" w:rsidP="001D5809">
      <w:pPr>
        <w:pStyle w:val="NoSpacing"/>
        <w:rPr>
          <w:bCs/>
        </w:rPr>
      </w:pPr>
    </w:p>
    <w:p w14:paraId="205BB002" w14:textId="77777777" w:rsidR="001D5809" w:rsidRPr="00F051AB" w:rsidRDefault="001D5809" w:rsidP="001D5809">
      <w:pPr>
        <w:pStyle w:val="NoSpacing"/>
        <w:ind w:firstLine="720"/>
        <w:rPr>
          <w:bCs/>
        </w:rPr>
      </w:pPr>
      <w:r>
        <w:t>“</w:t>
      </w:r>
      <w:r w:rsidRPr="00F051AB">
        <w:t>On July 22, 2023, Burrington was driving with his wife, Sally Burrington, when he</w:t>
      </w:r>
    </w:p>
    <w:p w14:paraId="787BF5F8" w14:textId="77777777" w:rsidR="001D5809" w:rsidRPr="00F051AB" w:rsidRDefault="001D5809" w:rsidP="001D5809">
      <w:pPr>
        <w:pStyle w:val="NoSpacing"/>
        <w:ind w:firstLine="720"/>
        <w:rPr>
          <w:bCs/>
        </w:rPr>
      </w:pPr>
      <w:r w:rsidRPr="00F051AB">
        <w:t xml:space="preserve">began </w:t>
      </w:r>
      <w:r>
        <w:t>‘</w:t>
      </w:r>
      <w:r w:rsidRPr="00F051AB">
        <w:t>tailgating</w:t>
      </w:r>
      <w:r>
        <w:t>’</w:t>
      </w:r>
      <w:r w:rsidRPr="00F051AB">
        <w:t xml:space="preserve"> Ryan Williams’s car. Williams pulled over, and the </w:t>
      </w:r>
      <w:proofErr w:type="spellStart"/>
      <w:r w:rsidRPr="00F051AB">
        <w:t>Burringtons</w:t>
      </w:r>
      <w:proofErr w:type="spellEnd"/>
    </w:p>
    <w:p w14:paraId="4698229B" w14:textId="77777777" w:rsidR="001D5809" w:rsidRPr="00F051AB" w:rsidRDefault="001D5809" w:rsidP="001D5809">
      <w:pPr>
        <w:pStyle w:val="NoSpacing"/>
        <w:ind w:firstLine="720"/>
        <w:rPr>
          <w:bCs/>
        </w:rPr>
      </w:pPr>
      <w:r w:rsidRPr="00F051AB">
        <w:t>stopped their vehicle behind him. Both parties stepped out of their vehicles. Williams</w:t>
      </w:r>
    </w:p>
    <w:p w14:paraId="5574635B" w14:textId="77777777" w:rsidR="001D5809" w:rsidRPr="00F051AB" w:rsidRDefault="001D5809" w:rsidP="001D5809">
      <w:pPr>
        <w:pStyle w:val="NoSpacing"/>
        <w:ind w:firstLine="720"/>
        <w:rPr>
          <w:bCs/>
        </w:rPr>
      </w:pPr>
      <w:r w:rsidRPr="00F051AB">
        <w:t xml:space="preserve">asked Burrington, </w:t>
      </w:r>
      <w:r>
        <w:t>‘</w:t>
      </w:r>
      <w:r w:rsidRPr="00F051AB">
        <w:t>What’s wrong?</w:t>
      </w:r>
      <w:r>
        <w:t>’</w:t>
      </w:r>
      <w:r w:rsidRPr="00F051AB">
        <w:t xml:space="preserve"> and Burrington became </w:t>
      </w:r>
      <w:r>
        <w:t>‘</w:t>
      </w:r>
      <w:r w:rsidRPr="00F051AB">
        <w:t>extremely belligerent.</w:t>
      </w:r>
      <w:r>
        <w:t>’</w:t>
      </w:r>
      <w:r w:rsidRPr="00F051AB">
        <w:t xml:space="preserve"> As</w:t>
      </w:r>
    </w:p>
    <w:p w14:paraId="6D148C19" w14:textId="77777777" w:rsidR="001D5809" w:rsidRPr="00F051AB" w:rsidRDefault="001D5809" w:rsidP="001D5809">
      <w:pPr>
        <w:pStyle w:val="NoSpacing"/>
        <w:ind w:firstLine="720"/>
        <w:rPr>
          <w:bCs/>
        </w:rPr>
      </w:pPr>
      <w:proofErr w:type="gramStart"/>
      <w:r w:rsidRPr="00F051AB">
        <w:t>the</w:t>
      </w:r>
      <w:proofErr w:type="gramEnd"/>
      <w:r w:rsidRPr="00F051AB">
        <w:t xml:space="preserve"> altercation escalated, Burrington began accusing Williams of being from Washington.</w:t>
      </w:r>
    </w:p>
    <w:p w14:paraId="484F8674" w14:textId="77777777" w:rsidR="001D5809" w:rsidRPr="00F051AB" w:rsidRDefault="001D5809" w:rsidP="001D5809">
      <w:pPr>
        <w:pStyle w:val="NoSpacing"/>
        <w:ind w:firstLine="720"/>
        <w:rPr>
          <w:bCs/>
        </w:rPr>
      </w:pPr>
      <w:r w:rsidRPr="00F051AB">
        <w:t>Burrington then punched Williams in the face, at which point Williams returned to his car</w:t>
      </w:r>
    </w:p>
    <w:p w14:paraId="2DE5F538" w14:textId="77777777" w:rsidR="001D5809" w:rsidRDefault="001D5809" w:rsidP="001D5809">
      <w:pPr>
        <w:pStyle w:val="NoSpacing"/>
        <w:ind w:left="720"/>
        <w:rPr>
          <w:bCs/>
        </w:rPr>
      </w:pPr>
      <w:r w:rsidRPr="00F051AB">
        <w:t xml:space="preserve">and the </w:t>
      </w:r>
      <w:proofErr w:type="spellStart"/>
      <w:r w:rsidRPr="00F051AB">
        <w:t>Burringtons</w:t>
      </w:r>
      <w:proofErr w:type="spellEnd"/>
      <w:r w:rsidRPr="00F051AB">
        <w:t xml:space="preserve"> left in their vehicle</w:t>
      </w:r>
      <w:r>
        <w:t xml:space="preserve">…. </w:t>
      </w:r>
      <w:r w:rsidRPr="000F227C">
        <w:t>The next day, after suffering significant pain and</w:t>
      </w:r>
      <w:r>
        <w:t xml:space="preserve"> </w:t>
      </w:r>
      <w:r w:rsidRPr="000F227C">
        <w:t>swelling, Williams left work and went to the hospital. He was diagnosed with a fractured</w:t>
      </w:r>
      <w:r>
        <w:t xml:space="preserve"> </w:t>
      </w:r>
      <w:r w:rsidRPr="000F227C">
        <w:t>mandible. He filed a police report after his medical diagnosis.</w:t>
      </w:r>
    </w:p>
    <w:p w14:paraId="69FD4074" w14:textId="77777777" w:rsidR="001D5809" w:rsidRDefault="001D5809" w:rsidP="001D5809">
      <w:pPr>
        <w:pStyle w:val="NoSpacing"/>
        <w:ind w:left="720"/>
        <w:rPr>
          <w:bCs/>
        </w:rPr>
      </w:pPr>
    </w:p>
    <w:p w14:paraId="339E9D8C" w14:textId="77777777" w:rsidR="001D5809" w:rsidRDefault="001D5809" w:rsidP="001D5809">
      <w:pPr>
        <w:pStyle w:val="NoSpacing"/>
        <w:ind w:left="720"/>
        <w:rPr>
          <w:bCs/>
        </w:rPr>
      </w:pPr>
      <w:r>
        <w:t>***</w:t>
      </w:r>
    </w:p>
    <w:p w14:paraId="670EE3EA" w14:textId="77777777" w:rsidR="001D5809" w:rsidRDefault="001D5809" w:rsidP="001D5809">
      <w:pPr>
        <w:pStyle w:val="NoSpacing"/>
        <w:ind w:left="720"/>
        <w:rPr>
          <w:bCs/>
        </w:rPr>
      </w:pPr>
      <w:r>
        <w:t>T</w:t>
      </w:r>
      <w:r w:rsidRPr="007B0A97">
        <w:t xml:space="preserve">o support the JUOF </w:t>
      </w:r>
      <w:r>
        <w:t>[</w:t>
      </w:r>
      <w:r w:rsidRPr="0011479A">
        <w:t>justifiable use of force</w:t>
      </w:r>
      <w:r>
        <w:t xml:space="preserve">] </w:t>
      </w:r>
      <w:r w:rsidRPr="007B0A97">
        <w:t>defense, Burrington introduced two incidents relating to road</w:t>
      </w:r>
      <w:r>
        <w:t xml:space="preserve"> </w:t>
      </w:r>
      <w:r w:rsidRPr="007B0A97">
        <w:t xml:space="preserve">rage. These incidents were meant to demonstrate </w:t>
      </w:r>
      <w:proofErr w:type="spellStart"/>
      <w:r w:rsidRPr="007B0A97">
        <w:t>Burringtons</w:t>
      </w:r>
      <w:proofErr w:type="spellEnd"/>
      <w:r w:rsidRPr="007B0A97">
        <w:t>’ fear during the event.</w:t>
      </w:r>
      <w:r>
        <w:t xml:space="preserve"> </w:t>
      </w:r>
      <w:r w:rsidRPr="007B0A97">
        <w:t>Burrington’s wife, Sally Burrington, testified first. She testified to both incidents. The</w:t>
      </w:r>
      <w:r>
        <w:t xml:space="preserve"> </w:t>
      </w:r>
      <w:r w:rsidRPr="007B0A97">
        <w:t>first incident, which occurred in 1987, involved both Burrington and his wife being</w:t>
      </w:r>
      <w:r>
        <w:t xml:space="preserve"> </w:t>
      </w:r>
      <w:r w:rsidRPr="007B0A97">
        <w:t xml:space="preserve">allegedly involved in a roadside incident where someone </w:t>
      </w:r>
      <w:r>
        <w:t>‘</w:t>
      </w:r>
      <w:r w:rsidRPr="007B0A97">
        <w:t>pulled a gun</w:t>
      </w:r>
      <w:r>
        <w:t xml:space="preserve">’ </w:t>
      </w:r>
      <w:r w:rsidRPr="007B0A97">
        <w:t>on them</w:t>
      </w:r>
      <w:r>
        <w:t xml:space="preserve">. </w:t>
      </w:r>
      <w:r w:rsidRPr="007B0A97">
        <w:t>The</w:t>
      </w:r>
      <w:r>
        <w:t xml:space="preserve"> </w:t>
      </w:r>
      <w:r w:rsidRPr="007B0A97">
        <w:t>second incident occurred in 2023, where another driver brandished a machete at Sally</w:t>
      </w:r>
      <w:r>
        <w:t xml:space="preserve">.   </w:t>
      </w:r>
      <w:r w:rsidRPr="007B0A97">
        <w:t>Burrington in a parking lot behind a gas station. Sally also testified about her husband’</w:t>
      </w:r>
      <w:r>
        <w:t xml:space="preserve">s </w:t>
      </w:r>
      <w:r w:rsidRPr="005753F3">
        <w:t>protective instincts towards his family</w:t>
      </w:r>
      <w:r>
        <w:t>.</w:t>
      </w:r>
    </w:p>
    <w:p w14:paraId="414A82F7" w14:textId="77777777" w:rsidR="001D5809" w:rsidRDefault="001D5809" w:rsidP="001D5809">
      <w:pPr>
        <w:pStyle w:val="NoSpacing"/>
        <w:ind w:left="720"/>
        <w:rPr>
          <w:bCs/>
        </w:rPr>
      </w:pPr>
    </w:p>
    <w:p w14:paraId="628F1A57" w14:textId="77777777" w:rsidR="001D5809" w:rsidRDefault="001D5809" w:rsidP="001D5809">
      <w:pPr>
        <w:pStyle w:val="NoSpacing"/>
        <w:ind w:left="720"/>
        <w:rPr>
          <w:bCs/>
        </w:rPr>
      </w:pPr>
      <w:r>
        <w:t>***</w:t>
      </w:r>
    </w:p>
    <w:p w14:paraId="26F268ED" w14:textId="77777777" w:rsidR="001D5809" w:rsidRDefault="001D5809" w:rsidP="001D5809">
      <w:pPr>
        <w:pStyle w:val="NoSpacing"/>
        <w:ind w:left="720"/>
        <w:rPr>
          <w:bCs/>
        </w:rPr>
      </w:pPr>
      <w:r w:rsidRPr="00C4196C">
        <w:t>Burrington also testified about the two prior incidents introduced in Sally’s</w:t>
      </w:r>
      <w:r>
        <w:t xml:space="preserve"> </w:t>
      </w:r>
      <w:r w:rsidRPr="00C4196C">
        <w:t>testimony. On cross-examination, the State inquired into more detail regarding these</w:t>
      </w:r>
      <w:r>
        <w:t xml:space="preserve"> </w:t>
      </w:r>
      <w:r w:rsidRPr="00C4196C">
        <w:t>events. As the State’s questioning moved from the 2023 incident to the 1987 incident,</w:t>
      </w:r>
      <w:r>
        <w:t xml:space="preserve"> </w:t>
      </w:r>
      <w:r w:rsidRPr="00C4196C">
        <w:t>Burrington’s attorney—anticipating the State was asking about the excluded 2017</w:t>
      </w:r>
      <w:r>
        <w:t xml:space="preserve"> </w:t>
      </w:r>
      <w:r w:rsidRPr="00C4196C">
        <w:t>incident</w:t>
      </w:r>
      <w:r>
        <w:t xml:space="preserve"> [where defendant assaulted a motorcyclist and pled guilty to disorderly conduct]</w:t>
      </w:r>
      <w:r w:rsidRPr="00C4196C">
        <w:t>—objected to the State’s question. The court explained defense counsel was</w:t>
      </w:r>
      <w:r>
        <w:t xml:space="preserve"> </w:t>
      </w:r>
      <w:r w:rsidRPr="00C4196C">
        <w:t xml:space="preserve">mistaken, stating </w:t>
      </w:r>
      <w:r>
        <w:t>‘</w:t>
      </w:r>
      <w:r w:rsidRPr="00C4196C">
        <w:t>He’s talking about Ms. Burrington’s previous road rage.</w:t>
      </w:r>
      <w:r>
        <w:t>’</w:t>
      </w:r>
      <w:r w:rsidRPr="00C4196C">
        <w:t xml:space="preserve"> Burrington</w:t>
      </w:r>
      <w:r>
        <w:t xml:space="preserve"> </w:t>
      </w:r>
      <w:r w:rsidRPr="00C4196C">
        <w:t xml:space="preserve">did not object to the court’s reference </w:t>
      </w:r>
      <w:proofErr w:type="gramStart"/>
      <w:r w:rsidRPr="00C4196C">
        <w:t>of</w:t>
      </w:r>
      <w:proofErr w:type="gramEnd"/>
      <w:r w:rsidRPr="00C4196C">
        <w:t xml:space="preserve"> the 1980’s incident as </w:t>
      </w:r>
      <w:r>
        <w:t>‘</w:t>
      </w:r>
      <w:r w:rsidRPr="00C4196C">
        <w:t>Ms. Burrington’s previous</w:t>
      </w:r>
      <w:r>
        <w:t xml:space="preserve"> </w:t>
      </w:r>
      <w:r w:rsidRPr="00C4196C">
        <w:t>road rage.</w:t>
      </w:r>
      <w:r>
        <w:t>’</w:t>
      </w:r>
    </w:p>
    <w:p w14:paraId="3CB02676" w14:textId="77777777" w:rsidR="001D5809" w:rsidRDefault="001D5809" w:rsidP="001D5809">
      <w:pPr>
        <w:pStyle w:val="NoSpacing"/>
        <w:ind w:left="720"/>
        <w:rPr>
          <w:bCs/>
        </w:rPr>
      </w:pPr>
    </w:p>
    <w:p w14:paraId="4CC058F4" w14:textId="77777777" w:rsidR="001D5809" w:rsidRDefault="001D5809" w:rsidP="001D5809">
      <w:pPr>
        <w:pStyle w:val="NoSpacing"/>
        <w:ind w:left="720"/>
        <w:rPr>
          <w:bCs/>
        </w:rPr>
      </w:pPr>
      <w:r>
        <w:t>***</w:t>
      </w:r>
    </w:p>
    <w:p w14:paraId="0A216B8D" w14:textId="77777777" w:rsidR="001D5809" w:rsidRDefault="001D5809" w:rsidP="001D5809">
      <w:pPr>
        <w:pStyle w:val="NoSpacing"/>
        <w:ind w:left="720"/>
        <w:rPr>
          <w:bCs/>
        </w:rPr>
      </w:pPr>
    </w:p>
    <w:p w14:paraId="3F27AAB5" w14:textId="77777777" w:rsidR="001D5809" w:rsidRPr="009A521B" w:rsidRDefault="001D5809" w:rsidP="001D5809">
      <w:pPr>
        <w:pStyle w:val="NoSpacing"/>
        <w:ind w:left="720"/>
        <w:rPr>
          <w:bCs/>
        </w:rPr>
      </w:pPr>
      <w:r w:rsidRPr="009A521B">
        <w:t>Ultimately, it was Burrington who introduced</w:t>
      </w:r>
      <w:r>
        <w:t xml:space="preserve"> </w:t>
      </w:r>
      <w:r w:rsidRPr="009A521B">
        <w:t xml:space="preserve">this evidence </w:t>
      </w:r>
      <w:r>
        <w:t xml:space="preserve">[prior “road rage” incidents] </w:t>
      </w:r>
      <w:r w:rsidRPr="009A521B">
        <w:t>in the first instance, opening the door for the State to challenge Burrington’s</w:t>
      </w:r>
    </w:p>
    <w:p w14:paraId="6FCCBB37" w14:textId="77777777" w:rsidR="001D5809" w:rsidRPr="009A521B" w:rsidRDefault="001D5809" w:rsidP="001D5809">
      <w:pPr>
        <w:pStyle w:val="NoSpacing"/>
        <w:ind w:firstLine="720"/>
        <w:rPr>
          <w:bCs/>
        </w:rPr>
      </w:pPr>
      <w:r w:rsidRPr="009A521B">
        <w:t>characterization of the events, and did not object to the State’s question or request other</w:t>
      </w:r>
    </w:p>
    <w:p w14:paraId="1C37288A" w14:textId="77777777" w:rsidR="001D5809" w:rsidRDefault="001D5809" w:rsidP="001D5809">
      <w:pPr>
        <w:pStyle w:val="NoSpacing"/>
        <w:ind w:left="720"/>
        <w:rPr>
          <w:bCs/>
        </w:rPr>
      </w:pPr>
      <w:r w:rsidRPr="009A521B">
        <w:t>acts jury instruction. The comment and the lack of other acts instructions did not implicate</w:t>
      </w:r>
      <w:r>
        <w:t xml:space="preserve"> </w:t>
      </w:r>
      <w:r w:rsidRPr="009A521B">
        <w:t>Burrington’s fundamental rights and failure to review it would not result in manifest</w:t>
      </w:r>
      <w:r>
        <w:t xml:space="preserve"> </w:t>
      </w:r>
      <w:r w:rsidRPr="009A521B">
        <w:t>injustice.</w:t>
      </w:r>
      <w:r>
        <w:t>”</w:t>
      </w:r>
    </w:p>
    <w:p w14:paraId="0B1AFDD8" w14:textId="77777777" w:rsidR="001D5809" w:rsidRDefault="001D5809" w:rsidP="001D5809">
      <w:pPr>
        <w:pStyle w:val="NoSpacing"/>
        <w:ind w:left="720"/>
        <w:rPr>
          <w:bCs/>
        </w:rPr>
      </w:pPr>
    </w:p>
    <w:p w14:paraId="2588F46D" w14:textId="2F2E1355" w:rsidR="001D5809" w:rsidRPr="0048238D" w:rsidRDefault="001D5809" w:rsidP="001D5809">
      <w:pPr>
        <w:pStyle w:val="NoSpacing"/>
        <w:rPr>
          <w:b/>
        </w:rPr>
      </w:pPr>
      <w:r>
        <w:rPr>
          <w:b/>
        </w:rPr>
        <w:t xml:space="preserve">Lesson learned: Unfortunate the “road rage” defendant received suspended sentence. </w:t>
      </w:r>
    </w:p>
    <w:p w14:paraId="1215D2D7" w14:textId="77777777" w:rsidR="001D5809" w:rsidRDefault="001D5809" w:rsidP="001D5809">
      <w:pPr>
        <w:tabs>
          <w:tab w:val="left" w:pos="264"/>
        </w:tabs>
      </w:pPr>
    </w:p>
    <w:p w14:paraId="60A85E46" w14:textId="0EE93AE0" w:rsidR="001D5809" w:rsidRDefault="00515316" w:rsidP="00646EE3">
      <w:pPr>
        <w:rPr>
          <w:rFonts w:ascii="Arial Black" w:hAnsi="Arial Black"/>
          <w:sz w:val="24"/>
          <w:szCs w:val="24"/>
        </w:rPr>
      </w:pPr>
      <w:r>
        <w:rPr>
          <w:rFonts w:ascii="Arial Black" w:hAnsi="Arial Black"/>
          <w:sz w:val="24"/>
          <w:szCs w:val="24"/>
        </w:rPr>
        <w:t>2-9</w:t>
      </w:r>
      <w:r w:rsidR="003D47D0">
        <w:rPr>
          <w:rFonts w:ascii="Arial Black" w:hAnsi="Arial Black"/>
          <w:sz w:val="24"/>
          <w:szCs w:val="24"/>
        </w:rPr>
        <w:t>5</w:t>
      </w:r>
    </w:p>
    <w:p w14:paraId="0D90FDC2" w14:textId="77777777" w:rsidR="00515316" w:rsidRDefault="00515316" w:rsidP="00515316">
      <w:pPr>
        <w:pStyle w:val="NoSpacing"/>
        <w:rPr>
          <w:rFonts w:ascii="Arial Black" w:hAnsi="Arial Black"/>
          <w:sz w:val="28"/>
          <w:szCs w:val="28"/>
        </w:rPr>
      </w:pPr>
      <w:r>
        <w:rPr>
          <w:rFonts w:ascii="Arial Black" w:hAnsi="Arial Black"/>
          <w:sz w:val="28"/>
          <w:szCs w:val="28"/>
        </w:rPr>
        <w:t xml:space="preserve">OH: MOBILE HOME FIRE – OWNER THREATENS FF – CONV </w:t>
      </w:r>
    </w:p>
    <w:p w14:paraId="0E63A537" w14:textId="77777777" w:rsidR="00515316" w:rsidRDefault="00515316" w:rsidP="00515316">
      <w:pPr>
        <w:pStyle w:val="NoSpacing"/>
        <w:rPr>
          <w:rFonts w:ascii="Arial Black" w:hAnsi="Arial Black"/>
          <w:sz w:val="28"/>
          <w:szCs w:val="28"/>
        </w:rPr>
      </w:pPr>
    </w:p>
    <w:p w14:paraId="1FC5E921" w14:textId="77777777" w:rsidR="00515316" w:rsidRPr="00742C8D" w:rsidRDefault="00515316" w:rsidP="00515316">
      <w:pPr>
        <w:pStyle w:val="NoSpacing"/>
        <w:rPr>
          <w:b/>
        </w:rPr>
      </w:pPr>
      <w:r>
        <w:t xml:space="preserve">On Oct. 20, 2025, in </w:t>
      </w:r>
      <w:r w:rsidRPr="00D12508">
        <w:rPr>
          <w:u w:val="single"/>
        </w:rPr>
        <w:t>State of Ohio v. Christopher W. Longnecker</w:t>
      </w:r>
      <w:r w:rsidRPr="00D12508">
        <w:t xml:space="preserve">, the Court of Appeals of Ohio, Twelfth District (Clermont County), </w:t>
      </w:r>
      <w:r>
        <w:t xml:space="preserve">held (3 to 0) conviction affirmed.   </w:t>
      </w:r>
      <w:r w:rsidRPr="00A62117">
        <w:t>On July 31, 2023, firefighters were dispatched to extinguish a fire at</w:t>
      </w:r>
      <w:r>
        <w:t xml:space="preserve"> defendant’s mobile home where his son was burned and two pet cats died.  </w:t>
      </w:r>
      <w:r w:rsidRPr="00A62117">
        <w:t>Longnecker arrived, became</w:t>
      </w:r>
      <w:r>
        <w:t xml:space="preserve"> </w:t>
      </w:r>
      <w:r w:rsidRPr="00A62117">
        <w:t>agitated, and threatened to "bash" volunteer firefighter Justin Pendergrass' "face in."</w:t>
      </w:r>
      <w:r>
        <w:t xml:space="preserve"> The jury returned guilty verdicts on all three counts;  trial court judge sentenced Longnecker to 180 days in jail and a $200 fine for aggravated menacing, and 30 days in jail and a $100 fine for misconduct at an emergency (to be served consecutively), plus court costs. On appeal the Court of Appeals held that prosecution had no duty to disclose the oral statements he made to </w:t>
      </w:r>
      <w:r w:rsidRPr="00A0476E">
        <w:t>fire investigation team leader, Christopher</w:t>
      </w:r>
      <w:r>
        <w:t xml:space="preserve"> </w:t>
      </w:r>
      <w:r w:rsidRPr="00A0476E">
        <w:t>Mullins</w:t>
      </w:r>
      <w:r>
        <w:t xml:space="preserve"> - that  “</w:t>
      </w:r>
      <w:r w:rsidRPr="00F1325D">
        <w:t>he was going into the house no matter what</w:t>
      </w:r>
      <w:r>
        <w:t xml:space="preserve">”-  since the statement were not recorded by Mullins or other investigators on a document or on video.   </w:t>
      </w:r>
      <w:hyperlink r:id="rId439" w:history="1">
        <w:r w:rsidRPr="006C2601">
          <w:rPr>
            <w:rStyle w:val="Hyperlink"/>
            <w:b/>
          </w:rPr>
          <w:t>https://www.supremecourt.ohio.gov/rod/docs/pdf/12/2025/2025-Ohio-4780.pdf</w:t>
        </w:r>
      </w:hyperlink>
      <w:r>
        <w:rPr>
          <w:b/>
        </w:rPr>
        <w:t xml:space="preserve"> </w:t>
      </w:r>
    </w:p>
    <w:p w14:paraId="068D48AB" w14:textId="77777777" w:rsidR="00515316" w:rsidRDefault="00515316" w:rsidP="00515316">
      <w:pPr>
        <w:pStyle w:val="NoSpacing"/>
      </w:pPr>
      <w:r>
        <w:t xml:space="preserve"> </w:t>
      </w:r>
    </w:p>
    <w:p w14:paraId="75298C01" w14:textId="77777777" w:rsidR="00515316" w:rsidRDefault="00515316" w:rsidP="00515316">
      <w:pPr>
        <w:pStyle w:val="NoSpacing"/>
      </w:pPr>
      <w:r>
        <w:t>THE COURT HELD:</w:t>
      </w:r>
    </w:p>
    <w:p w14:paraId="55ECF1EE" w14:textId="77777777" w:rsidR="00515316" w:rsidRDefault="00515316" w:rsidP="00515316">
      <w:pPr>
        <w:pStyle w:val="NoSpacing"/>
      </w:pPr>
    </w:p>
    <w:p w14:paraId="7E0A2321" w14:textId="77777777" w:rsidR="00515316" w:rsidRDefault="00515316" w:rsidP="00515316">
      <w:pPr>
        <w:pStyle w:val="NoSpacing"/>
        <w:ind w:left="720"/>
        <w:rPr>
          <w:bCs/>
        </w:rPr>
      </w:pPr>
      <w:r>
        <w:t>“</w:t>
      </w:r>
      <w:r w:rsidRPr="00A62117">
        <w:t>On July 31, 2023, firefighters from the Felicity-Franklin, Washington</w:t>
      </w:r>
      <w:r>
        <w:t xml:space="preserve"> </w:t>
      </w:r>
      <w:r w:rsidRPr="00A62117">
        <w:t>Township, and Bethel-Tate Fire Departments were dispatched to extinguish a fire at</w:t>
      </w:r>
      <w:r>
        <w:t xml:space="preserve"> </w:t>
      </w:r>
      <w:r w:rsidRPr="00A62117">
        <w:t>Christopher Longnecker's home in the Country View Mobile Home Park. Due to the fire,</w:t>
      </w:r>
      <w:r>
        <w:t xml:space="preserve"> </w:t>
      </w:r>
      <w:r w:rsidRPr="00A62117">
        <w:t>Longnecker's home was badly damaged, his son was burned, and his two pet cats died.</w:t>
      </w:r>
      <w:r>
        <w:t xml:space="preserve"> </w:t>
      </w:r>
      <w:r w:rsidRPr="00A62117">
        <w:t>While the firefighters were still working at the scene, Longnecker arrived, became</w:t>
      </w:r>
      <w:r>
        <w:t xml:space="preserve"> </w:t>
      </w:r>
      <w:r w:rsidRPr="00A62117">
        <w:t>agitated, and threatened to "bash" volunteer firefighter Justin Pendergrass' "face in."</w:t>
      </w:r>
    </w:p>
    <w:p w14:paraId="65F2A9DD" w14:textId="77777777" w:rsidR="00515316" w:rsidRDefault="00515316" w:rsidP="00515316">
      <w:pPr>
        <w:pStyle w:val="NoSpacing"/>
        <w:ind w:left="720"/>
        <w:rPr>
          <w:bCs/>
        </w:rPr>
      </w:pPr>
    </w:p>
    <w:p w14:paraId="296B6D4F" w14:textId="77777777" w:rsidR="00515316" w:rsidRDefault="00515316" w:rsidP="00515316">
      <w:pPr>
        <w:pStyle w:val="NoSpacing"/>
        <w:ind w:left="720"/>
      </w:pPr>
      <w:r>
        <w:t>***</w:t>
      </w:r>
    </w:p>
    <w:p w14:paraId="194D4A5D" w14:textId="77777777" w:rsidR="00515316" w:rsidRDefault="00515316" w:rsidP="00515316">
      <w:pPr>
        <w:pStyle w:val="NoSpacing"/>
        <w:ind w:left="720"/>
      </w:pPr>
      <w:r>
        <w:t>Clermont County fire investigation team leader, Christopher Mullins, spoke with Longnecker to obtain consent to search the home for the cause of the fire, but Longnecker refused. Mullins also warned Longnecker that he was not permitted to enter the home, as it was still too dangerous and might interfere with the fire investigation. While the fire investigation team waited to obtain a search warrant, Clermont County Sherrif's deputies followed Longnecker around the property to ensure he did not interfere with the firefighters. Longnecker then attempted to enter the home and was tackled and arrested by the deputies.</w:t>
      </w:r>
    </w:p>
    <w:p w14:paraId="452AA362" w14:textId="77777777" w:rsidR="00515316" w:rsidRDefault="00515316" w:rsidP="00515316">
      <w:pPr>
        <w:pStyle w:val="NoSpacing"/>
      </w:pPr>
    </w:p>
    <w:p w14:paraId="0FCAB907" w14:textId="77777777" w:rsidR="00515316" w:rsidRDefault="00515316" w:rsidP="00515316">
      <w:pPr>
        <w:pStyle w:val="NoSpacing"/>
        <w:ind w:left="720"/>
      </w:pPr>
      <w:r>
        <w:t xml:space="preserve">Longnecker was later indicted for misconduct at an emergency, aggravated menacing, and menacing; the case proceeded to jury trial on October 8, 2024. One of the central theories of Longnecker's defense was that none of the public officials at the scene that day specifically told him he could not enter his home. However, at trial, Fire Investigator Mullins testified that he told Longnecker he could not enter his home and Longnecker answered ‘that he was going into the house no matter what. It was his </w:t>
      </w:r>
      <w:r w:rsidRPr="00523DF2">
        <w:t>house.</w:t>
      </w:r>
      <w:r>
        <w:t>’</w:t>
      </w:r>
    </w:p>
    <w:p w14:paraId="6F28ED86" w14:textId="77777777" w:rsidR="00515316" w:rsidRDefault="00515316" w:rsidP="00515316">
      <w:pPr>
        <w:pStyle w:val="NoSpacing"/>
        <w:ind w:left="720"/>
      </w:pPr>
    </w:p>
    <w:p w14:paraId="102D1F6D" w14:textId="77777777" w:rsidR="00515316" w:rsidRPr="008C4A2B" w:rsidRDefault="00515316" w:rsidP="00515316">
      <w:pPr>
        <w:pStyle w:val="NoSpacing"/>
        <w:ind w:left="720"/>
      </w:pPr>
      <w:r>
        <w:t>***</w:t>
      </w:r>
    </w:p>
    <w:p w14:paraId="2E1B41E2" w14:textId="77777777" w:rsidR="00515316" w:rsidRDefault="00515316" w:rsidP="00515316">
      <w:pPr>
        <w:pStyle w:val="NoSpacing"/>
        <w:rPr>
          <w:b/>
        </w:rPr>
      </w:pPr>
    </w:p>
    <w:p w14:paraId="66BB5829" w14:textId="77777777" w:rsidR="00515316" w:rsidRDefault="00515316" w:rsidP="00515316">
      <w:pPr>
        <w:pStyle w:val="NoSpacing"/>
        <w:ind w:left="720"/>
      </w:pPr>
      <w:r w:rsidRPr="00536C39">
        <w:t>During the sidebar</w:t>
      </w:r>
      <w:r>
        <w:t xml:space="preserve"> </w:t>
      </w:r>
      <w:r w:rsidRPr="00536C39">
        <w:t>discussion, the State did not deny that it was aware Mullins was going to testify to</w:t>
      </w:r>
      <w:r>
        <w:t xml:space="preserve"> </w:t>
      </w:r>
      <w:r w:rsidRPr="00536C39">
        <w:t>Longnecker's statement and responded dismissively to the defense's apparent surprise:</w:t>
      </w:r>
    </w:p>
    <w:p w14:paraId="3C320DAA" w14:textId="77777777" w:rsidR="00515316" w:rsidRPr="00536C39" w:rsidRDefault="00515316" w:rsidP="00515316">
      <w:pPr>
        <w:pStyle w:val="NoSpacing"/>
        <w:ind w:left="720"/>
      </w:pPr>
    </w:p>
    <w:p w14:paraId="6742F465" w14:textId="77777777" w:rsidR="00515316" w:rsidRDefault="00515316" w:rsidP="00515316">
      <w:pPr>
        <w:pStyle w:val="NoSpacing"/>
        <w:ind w:left="1440"/>
      </w:pPr>
      <w:r>
        <w:t>‘</w:t>
      </w:r>
      <w:r w:rsidRPr="00536C39">
        <w:t>I can ask him if he told this man not to go in the property and the fact that they think it's</w:t>
      </w:r>
      <w:r>
        <w:t xml:space="preserve"> </w:t>
      </w:r>
      <w:r w:rsidRPr="00536C39">
        <w:t>prejudicial, it is. Maybe they should pick up the phone and call the witness and interview</w:t>
      </w:r>
      <w:r>
        <w:t xml:space="preserve"> </w:t>
      </w:r>
      <w:r w:rsidRPr="00536C39">
        <w:t>them. I don't have a report to give them. I disclosed the witness. I've done my job. I can</w:t>
      </w:r>
      <w:r>
        <w:t xml:space="preserve"> </w:t>
      </w:r>
      <w:r w:rsidRPr="00536C39">
        <w:t>ask the question.</w:t>
      </w:r>
      <w:r>
        <w:t>’</w:t>
      </w:r>
      <w:r w:rsidRPr="00536C39">
        <w:t xml:space="preserve"> </w:t>
      </w:r>
    </w:p>
    <w:p w14:paraId="0EA6A508" w14:textId="77777777" w:rsidR="00515316" w:rsidRDefault="00515316" w:rsidP="00515316">
      <w:pPr>
        <w:pStyle w:val="NoSpacing"/>
        <w:ind w:left="720"/>
      </w:pPr>
    </w:p>
    <w:p w14:paraId="2A15CB52" w14:textId="77777777" w:rsidR="00515316" w:rsidRPr="00536C39" w:rsidRDefault="00515316" w:rsidP="00515316">
      <w:pPr>
        <w:pStyle w:val="NoSpacing"/>
        <w:ind w:left="720"/>
      </w:pPr>
      <w:r w:rsidRPr="00536C39">
        <w:t>The trial court overruled Longnecker's objections and permitted the</w:t>
      </w:r>
      <w:r>
        <w:t xml:space="preserve"> </w:t>
      </w:r>
      <w:r w:rsidRPr="00536C39">
        <w:t>testimony. Longnecker's oral statement to Mullins was never recorded, summarized, or</w:t>
      </w:r>
    </w:p>
    <w:p w14:paraId="2125D119" w14:textId="77777777" w:rsidR="00515316" w:rsidRDefault="00515316" w:rsidP="00515316">
      <w:pPr>
        <w:pStyle w:val="NoSpacing"/>
        <w:ind w:firstLine="720"/>
      </w:pPr>
      <w:r w:rsidRPr="00536C39">
        <w:t>otherwise documented prior to Mullins' testimony at trial.</w:t>
      </w:r>
    </w:p>
    <w:p w14:paraId="42D36A6C" w14:textId="77777777" w:rsidR="00515316" w:rsidRDefault="00515316" w:rsidP="00515316">
      <w:pPr>
        <w:pStyle w:val="NoSpacing"/>
        <w:ind w:firstLine="720"/>
      </w:pPr>
    </w:p>
    <w:p w14:paraId="43A68FDE" w14:textId="77777777" w:rsidR="00515316" w:rsidRDefault="00515316" w:rsidP="00515316">
      <w:pPr>
        <w:pStyle w:val="NoSpacing"/>
        <w:ind w:firstLine="720"/>
      </w:pPr>
      <w:r>
        <w:t>***</w:t>
      </w:r>
    </w:p>
    <w:p w14:paraId="67EA214C" w14:textId="77777777" w:rsidR="00515316" w:rsidRDefault="00515316" w:rsidP="00515316">
      <w:pPr>
        <w:pStyle w:val="NoSpacing"/>
        <w:ind w:firstLine="720"/>
      </w:pPr>
      <w:r>
        <w:t>Under the plain text of the rule [</w:t>
      </w:r>
      <w:proofErr w:type="spellStart"/>
      <w:r w:rsidRPr="00063EF3">
        <w:t>Crim.R</w:t>
      </w:r>
      <w:proofErr w:type="spellEnd"/>
      <w:r w:rsidRPr="00063EF3">
        <w:t>. 16(B)</w:t>
      </w:r>
      <w:r>
        <w:t>] unrecorded oral statements to a law</w:t>
      </w:r>
    </w:p>
    <w:p w14:paraId="1C0C3ECC" w14:textId="77777777" w:rsidR="00515316" w:rsidRDefault="00515316" w:rsidP="00515316">
      <w:pPr>
        <w:pStyle w:val="NoSpacing"/>
        <w:ind w:firstLine="720"/>
      </w:pPr>
      <w:r>
        <w:t xml:space="preserve">enforcement </w:t>
      </w:r>
      <w:proofErr w:type="gramStart"/>
      <w:r>
        <w:t>officer</w:t>
      </w:r>
      <w:proofErr w:type="gramEnd"/>
      <w:r>
        <w:t>, that are not subsequently documented in a summary or report, are</w:t>
      </w:r>
    </w:p>
    <w:p w14:paraId="1CD1D7F3" w14:textId="77777777" w:rsidR="00515316" w:rsidRDefault="00515316" w:rsidP="00515316">
      <w:pPr>
        <w:pStyle w:val="NoSpacing"/>
        <w:ind w:left="720"/>
      </w:pPr>
      <w:r>
        <w:t>not subject to disclosure in discovery.  [Footnote 1.] Accordingly, we find the trial court did not abuse its discretion when it admitted Mullins' testimony regarding Longnecker's oral statement and did not abuse its discretion when it denied Longnecker's motion for a mistrial. Longnecker's sole assignment of error is overruled.</w:t>
      </w:r>
    </w:p>
    <w:p w14:paraId="395655D3" w14:textId="77777777" w:rsidR="00515316" w:rsidRDefault="00515316" w:rsidP="00515316">
      <w:pPr>
        <w:pStyle w:val="NoSpacing"/>
        <w:ind w:left="720"/>
      </w:pPr>
    </w:p>
    <w:p w14:paraId="4027639B" w14:textId="77777777" w:rsidR="00515316" w:rsidRDefault="00515316" w:rsidP="00515316">
      <w:pPr>
        <w:pStyle w:val="NoSpacing"/>
        <w:ind w:left="1440"/>
      </w:pPr>
      <w:r>
        <w:t xml:space="preserve">Footnote 1: Not every oral statement made by a defendant is always recorded or documented in a report by law enforcement. Therefore, the onus is now on defendants to remember their oral statements. There is concern that a law enforcement officer could specifically choose not to document certain oral statements to avoid disclosure and obtain a surprise advantage at trial.  Nevertheless, we are bound to apply the plain text of the rule without making our own additions or </w:t>
      </w:r>
      <w:proofErr w:type="gramStart"/>
      <w:r>
        <w:t>subtractions.”</w:t>
      </w:r>
      <w:proofErr w:type="gramEnd"/>
    </w:p>
    <w:p w14:paraId="422516FD" w14:textId="77777777" w:rsidR="00515316" w:rsidRDefault="00515316" w:rsidP="00515316">
      <w:pPr>
        <w:pStyle w:val="NoSpacing"/>
        <w:ind w:left="1440"/>
      </w:pPr>
    </w:p>
    <w:p w14:paraId="23EFAE0C" w14:textId="5732968E" w:rsidR="00515316" w:rsidRPr="00971AF7" w:rsidRDefault="00515316" w:rsidP="00515316">
      <w:pPr>
        <w:pStyle w:val="NoSpacing"/>
        <w:rPr>
          <w:b/>
          <w:bCs/>
        </w:rPr>
      </w:pPr>
      <w:r>
        <w:rPr>
          <w:b/>
        </w:rPr>
        <w:t xml:space="preserve">Lesson learned: Defendant sent to prison for threats to firefighters. </w:t>
      </w:r>
    </w:p>
    <w:p w14:paraId="37B09D58" w14:textId="77777777" w:rsidR="00515316" w:rsidRDefault="00515316" w:rsidP="00646EE3">
      <w:pPr>
        <w:rPr>
          <w:rFonts w:ascii="Arial Black" w:hAnsi="Arial Black"/>
          <w:sz w:val="24"/>
          <w:szCs w:val="24"/>
        </w:rPr>
      </w:pPr>
    </w:p>
    <w:p w14:paraId="40CDE6CD" w14:textId="77777777" w:rsidR="001D5809" w:rsidRDefault="001D5809" w:rsidP="00646EE3">
      <w:pPr>
        <w:rPr>
          <w:rFonts w:ascii="Arial Black" w:hAnsi="Arial Black"/>
          <w:sz w:val="24"/>
          <w:szCs w:val="24"/>
        </w:rPr>
      </w:pPr>
    </w:p>
    <w:p w14:paraId="71ED9943" w14:textId="4A8483A5" w:rsidR="001D5809" w:rsidRDefault="00D811D3" w:rsidP="00646EE3">
      <w:pPr>
        <w:rPr>
          <w:rFonts w:ascii="Arial Black" w:hAnsi="Arial Black"/>
          <w:sz w:val="24"/>
          <w:szCs w:val="24"/>
        </w:rPr>
      </w:pPr>
      <w:r>
        <w:rPr>
          <w:rFonts w:ascii="Arial Black" w:hAnsi="Arial Black"/>
          <w:sz w:val="24"/>
          <w:szCs w:val="24"/>
        </w:rPr>
        <w:t>2-9</w:t>
      </w:r>
      <w:r w:rsidR="003D47D0">
        <w:rPr>
          <w:rFonts w:ascii="Arial Black" w:hAnsi="Arial Black"/>
          <w:sz w:val="24"/>
          <w:szCs w:val="24"/>
        </w:rPr>
        <w:t>4</w:t>
      </w:r>
    </w:p>
    <w:p w14:paraId="1CE92539" w14:textId="77777777" w:rsidR="00D811D3" w:rsidRPr="00FE58E1" w:rsidRDefault="00D811D3" w:rsidP="00D811D3">
      <w:pPr>
        <w:spacing w:after="0"/>
        <w:rPr>
          <w:rFonts w:ascii="Arial Black" w:hAnsi="Arial Black"/>
          <w:sz w:val="28"/>
          <w:szCs w:val="28"/>
        </w:rPr>
      </w:pPr>
      <w:r>
        <w:rPr>
          <w:rFonts w:ascii="Arial Black" w:hAnsi="Arial Black"/>
          <w:sz w:val="28"/>
          <w:szCs w:val="28"/>
        </w:rPr>
        <w:t>NY: FDNY INJURED - CAN SUE CONST. CO FOR DEBRY</w:t>
      </w:r>
    </w:p>
    <w:p w14:paraId="3745B5DA" w14:textId="77777777" w:rsidR="00D811D3" w:rsidRDefault="00D811D3" w:rsidP="00D811D3">
      <w:pPr>
        <w:spacing w:after="0"/>
      </w:pPr>
    </w:p>
    <w:p w14:paraId="085E443D" w14:textId="77777777" w:rsidR="00D811D3" w:rsidRDefault="00D811D3" w:rsidP="00D811D3">
      <w:pPr>
        <w:spacing w:after="0"/>
      </w:pPr>
      <w:r>
        <w:t xml:space="preserve">On Oct. 19, 2025, in </w:t>
      </w:r>
      <w:r w:rsidRPr="003A5D65">
        <w:rPr>
          <w:u w:val="single"/>
        </w:rPr>
        <w:t>Christopher Martucci v. 500 W25th Owner, LLC, et al</w:t>
      </w:r>
      <w:r>
        <w:t xml:space="preserve">., Judge Leslie A. Stroth, </w:t>
      </w:r>
      <w:r w:rsidRPr="009D7660">
        <w:t>Supreme Court, New York County</w:t>
      </w:r>
      <w:r>
        <w:t xml:space="preserve"> (unpublished opinion), held that the firefighter may proceed with his lawsuit under the New York statute that amended the “Fireman’s Rule.”  The NY state statute allows firefighters to sue a property owner for damages for </w:t>
      </w:r>
      <w:r w:rsidRPr="002A64EB">
        <w:t>failing to comply with the requirements of any statutes, ordinances, rules, orders and requirements of the federal, state ... or [local] governments' 'directly or indirectly' causes the firefighter's injury or death during the discharge of his or her duties</w:t>
      </w:r>
      <w:r>
        <w:t>. The firefighter injured his leg and arm on March 12, 2018, when moving a construction worker on a stokes basket after the worker’s recovery from a 30–</w:t>
      </w:r>
      <w:proofErr w:type="gramStart"/>
      <w:r>
        <w:t>40 foot</w:t>
      </w:r>
      <w:proofErr w:type="gramEnd"/>
      <w:r>
        <w:t xml:space="preserve"> pit. The firefighter says he fell when walking on “material piles” and this violated </w:t>
      </w:r>
      <w:r w:rsidRPr="00C833B7">
        <w:t>Industrial Code § 23-2.1(a)(1)</w:t>
      </w:r>
      <w:r>
        <w:t xml:space="preserve"> which requires building materials cannot </w:t>
      </w:r>
      <w:r w:rsidRPr="00C833B7">
        <w:t xml:space="preserve">obstruct any </w:t>
      </w:r>
      <w:r>
        <w:t>“</w:t>
      </w:r>
      <w:r w:rsidRPr="00C833B7">
        <w:t>passageway, walkway, stairway or other thoroughfare.</w:t>
      </w:r>
      <w:r>
        <w:t xml:space="preserve">”  </w:t>
      </w:r>
      <w:hyperlink r:id="rId440" w:history="1">
        <w:r w:rsidRPr="00356365">
          <w:rPr>
            <w:rStyle w:val="Hyperlink"/>
          </w:rPr>
          <w:t>https://cases.justia.com/new-york/other-courts/2025-2025-ny-slip-op-33918-u.pdf?ts=1761341322</w:t>
        </w:r>
      </w:hyperlink>
      <w:r>
        <w:t xml:space="preserve"> </w:t>
      </w:r>
    </w:p>
    <w:p w14:paraId="236C9C0C" w14:textId="77777777" w:rsidR="00D811D3" w:rsidRDefault="00D811D3" w:rsidP="00D811D3">
      <w:pPr>
        <w:spacing w:after="0"/>
      </w:pPr>
    </w:p>
    <w:p w14:paraId="18AB4191" w14:textId="77777777" w:rsidR="00D811D3" w:rsidRDefault="00D811D3" w:rsidP="00D811D3">
      <w:pPr>
        <w:spacing w:after="0"/>
      </w:pPr>
      <w:r>
        <w:t>THE COURT HELD:</w:t>
      </w:r>
    </w:p>
    <w:p w14:paraId="7CFF1CE8" w14:textId="77777777" w:rsidR="00D811D3" w:rsidRPr="00C833B7" w:rsidRDefault="00D811D3" w:rsidP="00D811D3">
      <w:pPr>
        <w:spacing w:after="0"/>
      </w:pPr>
    </w:p>
    <w:p w14:paraId="6204EA30" w14:textId="77777777" w:rsidR="00D811D3" w:rsidRDefault="00D811D3" w:rsidP="00D811D3">
      <w:pPr>
        <w:spacing w:after="0"/>
        <w:ind w:left="720"/>
      </w:pPr>
      <w:r>
        <w:t>“</w:t>
      </w:r>
      <w:r w:rsidRPr="00BB1B7E">
        <w:t xml:space="preserve">The Court finds that an issue of material fact remains as to whether there were </w:t>
      </w:r>
      <w:r>
        <w:t>‘</w:t>
      </w:r>
      <w:r w:rsidRPr="00BB1B7E">
        <w:t>material piles</w:t>
      </w:r>
      <w:r>
        <w:t xml:space="preserve">’ </w:t>
      </w:r>
      <w:r w:rsidRPr="00BB1B7E">
        <w:t xml:space="preserve">on a </w:t>
      </w:r>
      <w:r>
        <w:t>‘</w:t>
      </w:r>
      <w:r w:rsidRPr="00BB1B7E">
        <w:t>passageway, walkway, stairway or thoroughfare.</w:t>
      </w:r>
      <w:r>
        <w:t>’</w:t>
      </w:r>
    </w:p>
    <w:p w14:paraId="719921A8" w14:textId="77777777" w:rsidR="00D811D3" w:rsidRDefault="00D811D3" w:rsidP="00D811D3">
      <w:pPr>
        <w:spacing w:after="0"/>
        <w:ind w:left="720"/>
      </w:pPr>
    </w:p>
    <w:p w14:paraId="1AAD0B4A" w14:textId="77777777" w:rsidR="00D811D3" w:rsidRDefault="00D811D3" w:rsidP="00D811D3">
      <w:pPr>
        <w:spacing w:after="0"/>
        <w:ind w:left="720"/>
      </w:pPr>
      <w:r>
        <w:t>***</w:t>
      </w:r>
    </w:p>
    <w:p w14:paraId="7B96E707" w14:textId="77777777" w:rsidR="00D811D3" w:rsidRDefault="00D811D3" w:rsidP="00D811D3">
      <w:pPr>
        <w:spacing w:after="0"/>
        <w:ind w:left="720"/>
      </w:pPr>
    </w:p>
    <w:p w14:paraId="6729ECE1" w14:textId="77777777" w:rsidR="00D811D3" w:rsidRDefault="00D811D3" w:rsidP="00D811D3">
      <w:pPr>
        <w:spacing w:after="0"/>
        <w:ind w:left="720"/>
      </w:pPr>
      <w:r w:rsidRPr="00176E60">
        <w:t>Plaintiff alleges that he responded to an accident on a construction site located at 500 W 25 Street, New York, NY on March 12, 2018. A construction worker had been injured at the bottom of a large excavation pit that was approximately 30-40 feet deep and Plaintiff was dispatched as part of the FDNY Special Operations Rescue Unit. After the injured worker was pulled up from the excavation pit, Plaintiff assisted in carrying him in a titanium basket from the perimeter of the pit, across the construction site, and to the ambulance. As Plaintiff was transporting the injured worker, Plaintiff alleges that he had to step over large amounts of debris and material, that he lost his footing, and that he felt a pop and shooting pain in his left leg and a strain in his arm.</w:t>
      </w:r>
    </w:p>
    <w:p w14:paraId="4E715EF6" w14:textId="77777777" w:rsidR="00D811D3" w:rsidRDefault="00D811D3" w:rsidP="00D811D3">
      <w:pPr>
        <w:spacing w:after="0"/>
        <w:ind w:left="720"/>
      </w:pPr>
    </w:p>
    <w:p w14:paraId="6E54DA6E" w14:textId="77777777" w:rsidR="00D811D3" w:rsidRDefault="00D811D3" w:rsidP="00D811D3">
      <w:pPr>
        <w:spacing w:after="0"/>
        <w:ind w:left="720"/>
      </w:pPr>
      <w:r>
        <w:t>***</w:t>
      </w:r>
    </w:p>
    <w:p w14:paraId="484CB0B6" w14:textId="77777777" w:rsidR="00D811D3" w:rsidRDefault="00D811D3" w:rsidP="00D811D3">
      <w:pPr>
        <w:spacing w:after="0"/>
        <w:ind w:left="720"/>
      </w:pPr>
      <w:r w:rsidRPr="002A64EB">
        <w:t xml:space="preserve">General Municipal Law § 205-a provides an exception to the common-law </w:t>
      </w:r>
      <w:r>
        <w:t>‘</w:t>
      </w:r>
      <w:r w:rsidRPr="002A64EB">
        <w:t>firefighter rule,</w:t>
      </w:r>
      <w:r>
        <w:t>’</w:t>
      </w:r>
      <w:r w:rsidRPr="002A64EB">
        <w:t xml:space="preserve"> </w:t>
      </w:r>
      <w:r w:rsidRPr="002A64EB">
        <w:rPr>
          <w:i/>
          <w:iCs/>
        </w:rPr>
        <w:t>(</w:t>
      </w:r>
      <w:proofErr w:type="spellStart"/>
      <w:r w:rsidRPr="002A64EB">
        <w:rPr>
          <w:i/>
          <w:iCs/>
        </w:rPr>
        <w:t>Galapo</w:t>
      </w:r>
      <w:proofErr w:type="spellEnd"/>
      <w:r w:rsidRPr="002A64EB">
        <w:rPr>
          <w:i/>
          <w:iCs/>
        </w:rPr>
        <w:t xml:space="preserve"> v City of New York,</w:t>
      </w:r>
      <w:r w:rsidRPr="002A64EB">
        <w:t xml:space="preserve"> 95 N.Y.2d 568, 573 [2000]). Under General Municipal Law § 205-a, a firefighter has a right of action where </w:t>
      </w:r>
      <w:r>
        <w:t>‘</w:t>
      </w:r>
      <w:r w:rsidRPr="002A64EB">
        <w:t xml:space="preserve">the negligence of any person ... in failing to comply with the requirements of any statutes, ordinances, rules, orders and requirements of the federal, state ... or [local] governments' 'directly or indirectly' causes the firefighter's injury or death during the discharge of his or her duties </w:t>
      </w:r>
      <w:r w:rsidRPr="002A64EB">
        <w:rPr>
          <w:i/>
          <w:iCs/>
        </w:rPr>
        <w:t>(Giuffrida v Citibank Corp.,</w:t>
      </w:r>
      <w:r w:rsidRPr="002A64EB">
        <w:t xml:space="preserve"> 100 N.Y.2d 72, 77 [2003]).</w:t>
      </w:r>
      <w:r w:rsidRPr="00107955">
        <w:t>"the negligence of any person ... in failing to comply with the requirements of any statutes, ordinances, rules, orders and requirements of the federal, state ... or [local] governments</w:t>
      </w:r>
      <w:r>
        <w:t xml:space="preserve"> </w:t>
      </w:r>
      <w:r w:rsidRPr="00107955">
        <w:t>directly or indirectly causes the firefighter's injury or death during the discharge of his or her duties</w:t>
      </w:r>
      <w:r>
        <w:t>.”</w:t>
      </w:r>
    </w:p>
    <w:p w14:paraId="41240E9C" w14:textId="77777777" w:rsidR="00D811D3" w:rsidRDefault="00D811D3" w:rsidP="00D811D3">
      <w:pPr>
        <w:spacing w:after="0"/>
        <w:ind w:left="720"/>
      </w:pPr>
      <w:r>
        <w:t>***</w:t>
      </w:r>
    </w:p>
    <w:p w14:paraId="1F513E02" w14:textId="77777777" w:rsidR="00D811D3" w:rsidRDefault="00D811D3" w:rsidP="00D811D3">
      <w:pPr>
        <w:spacing w:after="0"/>
        <w:ind w:left="720"/>
      </w:pPr>
      <w:r w:rsidRPr="006404C4">
        <w:t xml:space="preserve">Additionally, Defendants argue that debris is not considered </w:t>
      </w:r>
      <w:r>
        <w:t>‘</w:t>
      </w:r>
      <w:r w:rsidRPr="006404C4">
        <w:t>material piles</w:t>
      </w:r>
      <w:r>
        <w:t>’</w:t>
      </w:r>
      <w:r w:rsidRPr="006404C4">
        <w:t xml:space="preserve"> under Industrial Code § 23-2.1(a)(1). </w:t>
      </w:r>
    </w:p>
    <w:p w14:paraId="0AC48335" w14:textId="77777777" w:rsidR="00D811D3" w:rsidRDefault="00D811D3" w:rsidP="00D811D3">
      <w:pPr>
        <w:spacing w:after="0"/>
        <w:ind w:left="720"/>
      </w:pPr>
    </w:p>
    <w:p w14:paraId="2FEA4FBD" w14:textId="77777777" w:rsidR="00D811D3" w:rsidRDefault="00D811D3" w:rsidP="00D811D3">
      <w:pPr>
        <w:spacing w:after="0"/>
        <w:ind w:left="720"/>
      </w:pPr>
      <w:r w:rsidRPr="006404C4">
        <w:t xml:space="preserve">Conversely, Plaintiff asserts that his testimony clearly demonstrates that he was injured </w:t>
      </w:r>
      <w:proofErr w:type="gramStart"/>
      <w:r w:rsidRPr="006404C4">
        <w:t>as a result of</w:t>
      </w:r>
      <w:proofErr w:type="gramEnd"/>
      <w:r w:rsidRPr="006404C4">
        <w:t xml:space="preserve"> materials and debris. Specifically, Plaintiff </w:t>
      </w:r>
      <w:proofErr w:type="gramStart"/>
      <w:r w:rsidRPr="006404C4">
        <w:t>stated</w:t>
      </w:r>
      <w:proofErr w:type="gramEnd"/>
      <w:r w:rsidRPr="006404C4">
        <w:t xml:space="preserve"> </w:t>
      </w:r>
      <w:r>
        <w:t>‘</w:t>
      </w:r>
      <w:r w:rsidRPr="006404C4">
        <w:t>I had to climb over and step on concrete forms of all different shapes and sizes, buckets, cut pieces of plywood, bits of construction, concrete and the dirt that was hardened from you know, deep boot footprints and that's when the ground was just moving under me</w:t>
      </w:r>
      <w:r>
        <w:t>’</w:t>
      </w:r>
      <w:r w:rsidRPr="006404C4">
        <w:t xml:space="preserve"> (NYSCEF Doc. No. 188 at 65:3-11). Plaintiff further testified that he was in an area filled with debris and construction material</w:t>
      </w:r>
      <w:r>
        <w:t>….”</w:t>
      </w:r>
    </w:p>
    <w:p w14:paraId="4B01C413" w14:textId="77777777" w:rsidR="00D811D3" w:rsidRDefault="00D811D3" w:rsidP="00D811D3">
      <w:pPr>
        <w:spacing w:after="0"/>
        <w:ind w:left="720"/>
      </w:pPr>
    </w:p>
    <w:p w14:paraId="1DCBF282" w14:textId="742F4473" w:rsidR="00D811D3" w:rsidRPr="006404C4" w:rsidRDefault="00D811D3" w:rsidP="00D811D3">
      <w:pPr>
        <w:spacing w:after="0"/>
        <w:rPr>
          <w:b/>
          <w:bCs/>
        </w:rPr>
      </w:pPr>
      <w:r>
        <w:rPr>
          <w:b/>
        </w:rPr>
        <w:t>L</w:t>
      </w:r>
      <w:r w:rsidRPr="00CB20EE">
        <w:rPr>
          <w:b/>
        </w:rPr>
        <w:t xml:space="preserve">esson Learned:  </w:t>
      </w:r>
      <w:r>
        <w:rPr>
          <w:b/>
        </w:rPr>
        <w:t>The firefighter is covered by worker’s comp</w:t>
      </w:r>
      <w:r>
        <w:rPr>
          <w:b/>
          <w:bCs/>
        </w:rPr>
        <w:t>.</w:t>
      </w:r>
      <w:r>
        <w:rPr>
          <w:b/>
        </w:rPr>
        <w:t xml:space="preserve"> and may be able to obtain damages if he can prove a violation of the N.Y. Industrial Code. </w:t>
      </w:r>
    </w:p>
    <w:p w14:paraId="5F1EA07E" w14:textId="77777777" w:rsidR="00D811D3" w:rsidRDefault="00D811D3" w:rsidP="00646EE3">
      <w:pPr>
        <w:rPr>
          <w:rFonts w:ascii="Arial Black" w:hAnsi="Arial Black"/>
          <w:sz w:val="24"/>
          <w:szCs w:val="24"/>
        </w:rPr>
      </w:pPr>
    </w:p>
    <w:p w14:paraId="63645EE5" w14:textId="77777777" w:rsidR="001D5809" w:rsidRDefault="001D5809" w:rsidP="00646EE3">
      <w:pPr>
        <w:rPr>
          <w:rFonts w:ascii="Arial Black" w:hAnsi="Arial Black"/>
          <w:sz w:val="24"/>
          <w:szCs w:val="24"/>
        </w:rPr>
      </w:pPr>
    </w:p>
    <w:p w14:paraId="44166B6D" w14:textId="11864653" w:rsidR="001D5809" w:rsidRDefault="009B6C6E" w:rsidP="00646EE3">
      <w:pPr>
        <w:rPr>
          <w:rFonts w:ascii="Arial Black" w:hAnsi="Arial Black"/>
          <w:sz w:val="24"/>
          <w:szCs w:val="24"/>
        </w:rPr>
      </w:pPr>
      <w:r>
        <w:rPr>
          <w:rFonts w:ascii="Arial Black" w:hAnsi="Arial Black"/>
          <w:sz w:val="24"/>
          <w:szCs w:val="24"/>
        </w:rPr>
        <w:t>2-93</w:t>
      </w:r>
    </w:p>
    <w:p w14:paraId="4A29BA42" w14:textId="77777777" w:rsidR="009B6C6E" w:rsidRPr="003F3E92" w:rsidRDefault="009B6C6E" w:rsidP="009B6C6E">
      <w:pPr>
        <w:pStyle w:val="NoSpacing"/>
        <w:rPr>
          <w:rFonts w:ascii="Arial Black" w:hAnsi="Arial Black"/>
          <w:sz w:val="28"/>
          <w:szCs w:val="28"/>
        </w:rPr>
      </w:pPr>
      <w:r>
        <w:rPr>
          <w:rFonts w:ascii="Arial Black" w:hAnsi="Arial Black"/>
          <w:sz w:val="28"/>
          <w:szCs w:val="28"/>
        </w:rPr>
        <w:t xml:space="preserve">NY: FDNY – FIRE 2011 / CAN’T SUE LACK TRAINING ON TIC </w:t>
      </w:r>
    </w:p>
    <w:p w14:paraId="3DDB5F07" w14:textId="77777777" w:rsidR="009B6C6E" w:rsidRDefault="009B6C6E" w:rsidP="009B6C6E">
      <w:pPr>
        <w:pStyle w:val="NoSpacing"/>
      </w:pPr>
    </w:p>
    <w:p w14:paraId="23D95C59" w14:textId="77777777" w:rsidR="009B6C6E" w:rsidRDefault="009B6C6E" w:rsidP="009B6C6E">
      <w:pPr>
        <w:pStyle w:val="NoSpacing"/>
        <w:rPr>
          <w:b/>
        </w:rPr>
      </w:pPr>
      <w:r>
        <w:t xml:space="preserve">On Oct. 15, 2025, in </w:t>
      </w:r>
      <w:r w:rsidRPr="009D5624">
        <w:rPr>
          <w:u w:val="single"/>
        </w:rPr>
        <w:t>James Gersbeck v. Robert Wiedmann, Jr., et al., Haldane Rodgers, et al., defendants, City of New York, respondent</w:t>
      </w:r>
      <w:r>
        <w:t xml:space="preserve">, the </w:t>
      </w:r>
      <w:r w:rsidRPr="00684B09">
        <w:t>Supreme Court of New York, Second Department</w:t>
      </w:r>
      <w:r>
        <w:t xml:space="preserve"> held (5 to 0) that lawsuit was properly dismissed.  He was injured in a fire in December 2011. </w:t>
      </w:r>
      <w:r w:rsidRPr="002B7B2B">
        <w:t xml:space="preserve">In February 2013, the injured plaintiff and Catherine </w:t>
      </w:r>
      <w:proofErr w:type="gramStart"/>
      <w:r w:rsidRPr="002B7B2B">
        <w:t>Wiedmann,</w:t>
      </w:r>
      <w:proofErr w:type="gramEnd"/>
      <w:r w:rsidRPr="002B7B2B">
        <w:t xml:space="preserve"> commenced this action against the </w:t>
      </w:r>
      <w:proofErr w:type="gramStart"/>
      <w:r w:rsidRPr="002B7B2B">
        <w:t>City</w:t>
      </w:r>
      <w:proofErr w:type="gramEnd"/>
      <w:r>
        <w:t xml:space="preserve">.  </w:t>
      </w:r>
      <w:r w:rsidRPr="008C7C72">
        <w:t xml:space="preserve">In March 2012, </w:t>
      </w:r>
      <w:r>
        <w:t xml:space="preserve">he </w:t>
      </w:r>
      <w:r w:rsidRPr="008C7C72">
        <w:t xml:space="preserve">filed a notice of claim with the City of New York alleging that the </w:t>
      </w:r>
      <w:proofErr w:type="gramStart"/>
      <w:r w:rsidRPr="008C7C72">
        <w:t>City</w:t>
      </w:r>
      <w:proofErr w:type="gramEnd"/>
      <w:r w:rsidRPr="008C7C72">
        <w:t xml:space="preserve"> was negligent</w:t>
      </w:r>
      <w:r>
        <w:t xml:space="preserve"> in training on use of thermal imaging camera (TIC)</w:t>
      </w:r>
      <w:r w:rsidRPr="008C7C72">
        <w:t xml:space="preserve">. </w:t>
      </w:r>
      <w:r>
        <w:t xml:space="preserve"> </w:t>
      </w:r>
      <w:r w:rsidRPr="008C7C72">
        <w:t xml:space="preserve">A hearing was held, and an investigation by </w:t>
      </w:r>
      <w:proofErr w:type="gramStart"/>
      <w:r w:rsidRPr="008C7C72">
        <w:t>the FDNY</w:t>
      </w:r>
      <w:proofErr w:type="gramEnd"/>
      <w:r w:rsidRPr="008C7C72">
        <w:t xml:space="preserve"> was conducted.</w:t>
      </w:r>
      <w:r>
        <w:t xml:space="preserve">  His </w:t>
      </w:r>
      <w:r w:rsidRPr="00272AE0">
        <w:t>theory of liability that the defendant failed to properly follow an FDNY internal training bulletin regarding the use of thermal imaging cameras—</w:t>
      </w:r>
      <w:r>
        <w:t xml:space="preserve"> </w:t>
      </w:r>
      <w:r w:rsidRPr="00272AE0">
        <w:t>does not fall within the scope of General Municipal Law § 205-a</w:t>
      </w:r>
      <w:r>
        <w:t xml:space="preserve">.  </w:t>
      </w:r>
      <w:hyperlink r:id="rId441" w:history="1">
        <w:r w:rsidRPr="0024236A">
          <w:rPr>
            <w:rStyle w:val="Hyperlink"/>
            <w:b/>
          </w:rPr>
          <w:t>https://law.justia.com/cases/new-york/appellate-division-second-department/2025/2024-09583.html</w:t>
        </w:r>
      </w:hyperlink>
      <w:r>
        <w:rPr>
          <w:b/>
        </w:rPr>
        <w:t xml:space="preserve"> </w:t>
      </w:r>
    </w:p>
    <w:p w14:paraId="64B87CC6" w14:textId="77777777" w:rsidR="009B6C6E" w:rsidRDefault="009B6C6E" w:rsidP="009B6C6E">
      <w:pPr>
        <w:pStyle w:val="NoSpacing"/>
      </w:pPr>
      <w:r>
        <w:t xml:space="preserve"> </w:t>
      </w:r>
    </w:p>
    <w:p w14:paraId="1497ABD9" w14:textId="77777777" w:rsidR="009B6C6E" w:rsidRDefault="009B6C6E" w:rsidP="009B6C6E">
      <w:pPr>
        <w:pStyle w:val="NoSpacing"/>
      </w:pPr>
      <w:r>
        <w:t>THE COURT HELD:</w:t>
      </w:r>
    </w:p>
    <w:p w14:paraId="19A8573C" w14:textId="77777777" w:rsidR="009B6C6E" w:rsidRDefault="009B6C6E" w:rsidP="009B6C6E">
      <w:pPr>
        <w:pStyle w:val="NoSpacing"/>
      </w:pPr>
    </w:p>
    <w:p w14:paraId="6A276380" w14:textId="77777777" w:rsidR="009B6C6E" w:rsidRDefault="009B6C6E" w:rsidP="009B6C6E">
      <w:pPr>
        <w:pStyle w:val="NoSpacing"/>
        <w:ind w:left="720"/>
      </w:pPr>
      <w:r>
        <w:t>“</w:t>
      </w:r>
      <w:r w:rsidRPr="00287D80">
        <w:t xml:space="preserve">Contrary to the plaintiffs' contention, the court properly determined that their notice of claim was insufficient to enable the </w:t>
      </w:r>
      <w:proofErr w:type="gramStart"/>
      <w:r w:rsidRPr="00287D80">
        <w:t>City</w:t>
      </w:r>
      <w:proofErr w:type="gramEnd"/>
      <w:r w:rsidRPr="00287D80">
        <w:t xml:space="preserve"> to investigate, collect evidence, and evaluate the merits</w:t>
      </w:r>
      <w:r>
        <w:t xml:space="preserve"> </w:t>
      </w:r>
      <w:r w:rsidRPr="00287D80">
        <w:t>of the plaintiffs' allegations regarding negligent training in violation of General Municipal Law § 205-a.</w:t>
      </w:r>
    </w:p>
    <w:p w14:paraId="04210304" w14:textId="77777777" w:rsidR="009B6C6E" w:rsidRDefault="009B6C6E" w:rsidP="009B6C6E">
      <w:pPr>
        <w:pStyle w:val="NoSpacing"/>
        <w:ind w:left="720"/>
      </w:pPr>
    </w:p>
    <w:p w14:paraId="017D57F2" w14:textId="77777777" w:rsidR="009B6C6E" w:rsidRDefault="009B6C6E" w:rsidP="009B6C6E">
      <w:pPr>
        <w:pStyle w:val="NoSpacing"/>
        <w:ind w:left="720"/>
      </w:pPr>
      <w:r>
        <w:t>***</w:t>
      </w:r>
    </w:p>
    <w:p w14:paraId="40A387D3" w14:textId="77777777" w:rsidR="009B6C6E" w:rsidRDefault="009B6C6E" w:rsidP="009B6C6E">
      <w:pPr>
        <w:pStyle w:val="NoSpacing"/>
        <w:ind w:left="720"/>
      </w:pPr>
      <w:r w:rsidRPr="00E426EA">
        <w:t>Here, the plaintiffs' notice of claim failed to set forth any negligent training allegations that could later form the basis of their cause of action alleging a violation of General Municipal Law § 205-a.</w:t>
      </w:r>
    </w:p>
    <w:p w14:paraId="5C9E8A3C" w14:textId="77777777" w:rsidR="009B6C6E" w:rsidRDefault="009B6C6E" w:rsidP="009B6C6E">
      <w:pPr>
        <w:pStyle w:val="NoSpacing"/>
        <w:ind w:left="720"/>
      </w:pPr>
    </w:p>
    <w:p w14:paraId="492A0A45" w14:textId="77777777" w:rsidR="009B6C6E" w:rsidRDefault="009B6C6E" w:rsidP="009B6C6E">
      <w:pPr>
        <w:pStyle w:val="NoSpacing"/>
        <w:ind w:left="720"/>
      </w:pPr>
      <w:r>
        <w:t>***</w:t>
      </w:r>
    </w:p>
    <w:p w14:paraId="6CD8D72D" w14:textId="77777777" w:rsidR="009B6C6E" w:rsidRDefault="009B6C6E" w:rsidP="009B6C6E">
      <w:pPr>
        <w:pStyle w:val="NoSpacing"/>
        <w:ind w:left="720"/>
      </w:pPr>
      <w:r>
        <w:t>‘</w:t>
      </w:r>
      <w:r w:rsidRPr="008E352B">
        <w:t>General Municipal Law § 205-a establishes the right of an injured firefighter to recover against any party whose neglect or omission to comply with governmental requirements results directly or indirectly in the firefighter's injury</w:t>
      </w:r>
      <w:r>
        <w:t>’</w:t>
      </w:r>
      <w:r w:rsidRPr="008E352B">
        <w:t xml:space="preserve"> (</w:t>
      </w:r>
      <w:r w:rsidRPr="008E352B">
        <w:rPr>
          <w:i/>
          <w:iCs/>
        </w:rPr>
        <w:t>Annunziata v City of New York</w:t>
      </w:r>
      <w:r w:rsidRPr="008E352B">
        <w:t xml:space="preserve">, 175 AD3d 438, 442 [internal quotation marks omitted]; </w:t>
      </w:r>
      <w:r w:rsidRPr="008E352B">
        <w:rPr>
          <w:i/>
          <w:iCs/>
        </w:rPr>
        <w:t>see Shea v New York City Economic Dev. Corp.</w:t>
      </w:r>
      <w:r w:rsidRPr="008E352B">
        <w:t xml:space="preserve">, 161 AD3d 803, 805). </w:t>
      </w:r>
      <w:r>
        <w:t>‘</w:t>
      </w:r>
      <w:r w:rsidRPr="008E352B">
        <w:t>A plaintiff seeking recovery under General Municipal Law § 205-a must identify the statute or ordinance with which the defendant failed to comply, describe the manner in which the firefighter was injured, and set forth those facts from which it may be inferred that the defendant's negligence directly or indirectly caused the harm to the firefighter</w:t>
      </w:r>
      <w:r>
        <w:t>’</w:t>
      </w:r>
      <w:r w:rsidRPr="008E352B">
        <w:t xml:space="preserve"> (</w:t>
      </w:r>
      <w:r w:rsidRPr="008E352B">
        <w:rPr>
          <w:i/>
          <w:iCs/>
        </w:rPr>
        <w:t>Annunziata v City of New York</w:t>
      </w:r>
      <w:r w:rsidRPr="008E352B">
        <w:t xml:space="preserve">, 175 AD3d at 442 [alteration and internal quotation marks omitted]; </w:t>
      </w:r>
      <w:r w:rsidRPr="008E352B">
        <w:rPr>
          <w:i/>
          <w:iCs/>
        </w:rPr>
        <w:t>see Shea v New York City Economic Dev. Corp.</w:t>
      </w:r>
      <w:r w:rsidRPr="008E352B">
        <w:t>, 161 AD3d at 805).</w:t>
      </w:r>
      <w:r>
        <w:t>”</w:t>
      </w:r>
    </w:p>
    <w:p w14:paraId="55C3B895" w14:textId="77777777" w:rsidR="009B6C6E" w:rsidRDefault="009B6C6E" w:rsidP="009B6C6E">
      <w:pPr>
        <w:pStyle w:val="NoSpacing"/>
        <w:ind w:left="720"/>
      </w:pPr>
    </w:p>
    <w:p w14:paraId="508D00DF" w14:textId="631FD494" w:rsidR="009B6C6E" w:rsidRDefault="009B6C6E" w:rsidP="009B6C6E">
      <w:pPr>
        <w:pStyle w:val="NoSpacing"/>
        <w:rPr>
          <w:b/>
          <w:bCs/>
        </w:rPr>
      </w:pPr>
      <w:r>
        <w:rPr>
          <w:b/>
        </w:rPr>
        <w:t xml:space="preserve">Lesson learned:  The NY law allowing injured </w:t>
      </w:r>
      <w:proofErr w:type="gramStart"/>
      <w:r>
        <w:rPr>
          <w:b/>
        </w:rPr>
        <w:t>firefighter</w:t>
      </w:r>
      <w:proofErr w:type="gramEnd"/>
      <w:r>
        <w:rPr>
          <w:b/>
        </w:rPr>
        <w:t xml:space="preserve"> and police to sue third parties requires proof of violation of regulations. </w:t>
      </w:r>
    </w:p>
    <w:p w14:paraId="4C67558F" w14:textId="77777777" w:rsidR="009B6C6E" w:rsidRDefault="009B6C6E" w:rsidP="009B6C6E">
      <w:pPr>
        <w:pStyle w:val="NoSpacing"/>
        <w:rPr>
          <w:b/>
          <w:bCs/>
        </w:rPr>
      </w:pPr>
    </w:p>
    <w:p w14:paraId="334A3407" w14:textId="77777777" w:rsidR="009B6C6E" w:rsidRDefault="009B6C6E" w:rsidP="009B6C6E">
      <w:pPr>
        <w:pStyle w:val="NoSpacing"/>
        <w:ind w:left="720"/>
        <w:rPr>
          <w:bCs/>
        </w:rPr>
      </w:pPr>
      <w:r>
        <w:t xml:space="preserve">Note:  Read the statute: </w:t>
      </w:r>
      <w:r w:rsidRPr="00997FE5">
        <w:t>New York Consolidated Laws, General Municipal Law - GMU § 205-a. Additional right of action to certain injured or representatives of certain deceased firefighters</w:t>
      </w:r>
    </w:p>
    <w:p w14:paraId="40BACBA8" w14:textId="77777777" w:rsidR="009B6C6E" w:rsidRPr="00997FE5" w:rsidRDefault="009B6C6E" w:rsidP="009B6C6E">
      <w:pPr>
        <w:pStyle w:val="NoSpacing"/>
        <w:ind w:left="720"/>
        <w:rPr>
          <w:bCs/>
        </w:rPr>
      </w:pPr>
      <w:hyperlink r:id="rId442" w:history="1">
        <w:r w:rsidRPr="0024236A">
          <w:rPr>
            <w:rStyle w:val="Hyperlink"/>
          </w:rPr>
          <w:t>https://codes.findlaw.com/ny/general-municipal-law/gmu-sect-205-a/</w:t>
        </w:r>
      </w:hyperlink>
      <w:r>
        <w:t xml:space="preserve"> </w:t>
      </w:r>
    </w:p>
    <w:p w14:paraId="5923C113" w14:textId="77777777" w:rsidR="009B6C6E" w:rsidRDefault="009B6C6E" w:rsidP="009B6C6E">
      <w:pPr>
        <w:pStyle w:val="NoSpacing"/>
      </w:pPr>
    </w:p>
    <w:p w14:paraId="4BB2D5F6" w14:textId="77777777" w:rsidR="009B6C6E" w:rsidRPr="00E12E19" w:rsidRDefault="009B6C6E" w:rsidP="009B6C6E">
      <w:pPr>
        <w:pStyle w:val="NoSpacing"/>
        <w:ind w:left="720"/>
      </w:pPr>
      <w:r>
        <w:t>“</w:t>
      </w:r>
      <w:r w:rsidRPr="00E12E19">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r>
        <w:t>”</w:t>
      </w:r>
    </w:p>
    <w:p w14:paraId="4E87C8A8" w14:textId="77777777" w:rsidR="009B6C6E" w:rsidRDefault="009B6C6E" w:rsidP="00646EE3">
      <w:pPr>
        <w:rPr>
          <w:rFonts w:ascii="Arial Black" w:hAnsi="Arial Black"/>
          <w:sz w:val="24"/>
          <w:szCs w:val="24"/>
        </w:rPr>
      </w:pPr>
    </w:p>
    <w:p w14:paraId="23027C93" w14:textId="77777777" w:rsidR="001D5809" w:rsidRDefault="001D5809" w:rsidP="00646EE3">
      <w:pPr>
        <w:rPr>
          <w:rFonts w:ascii="Arial Black" w:hAnsi="Arial Black"/>
          <w:sz w:val="24"/>
          <w:szCs w:val="24"/>
        </w:rPr>
      </w:pPr>
    </w:p>
    <w:p w14:paraId="68A35A19" w14:textId="2B2419E7" w:rsidR="000D2571" w:rsidRDefault="000D2571" w:rsidP="00646EE3">
      <w:pPr>
        <w:rPr>
          <w:rFonts w:ascii="Arial Black" w:hAnsi="Arial Black"/>
          <w:sz w:val="24"/>
          <w:szCs w:val="24"/>
        </w:rPr>
      </w:pPr>
      <w:r>
        <w:rPr>
          <w:rFonts w:ascii="Arial Black" w:hAnsi="Arial Black"/>
          <w:sz w:val="24"/>
          <w:szCs w:val="24"/>
        </w:rPr>
        <w:t>2-9</w:t>
      </w:r>
      <w:r w:rsidR="00393C3E">
        <w:rPr>
          <w:rFonts w:ascii="Arial Black" w:hAnsi="Arial Black"/>
          <w:sz w:val="24"/>
          <w:szCs w:val="24"/>
        </w:rPr>
        <w:t>2</w:t>
      </w:r>
    </w:p>
    <w:p w14:paraId="667789B7" w14:textId="5DB041DD" w:rsidR="000D2571" w:rsidRDefault="000D2571" w:rsidP="000D2571">
      <w:pPr>
        <w:rPr>
          <w:rFonts w:ascii="Arial Black" w:hAnsi="Arial Black"/>
          <w:b/>
          <w:sz w:val="28"/>
          <w:szCs w:val="28"/>
        </w:rPr>
      </w:pPr>
      <w:r>
        <w:rPr>
          <w:rFonts w:ascii="Arial Black" w:hAnsi="Arial Black"/>
          <w:b/>
          <w:sz w:val="28"/>
          <w:szCs w:val="28"/>
        </w:rPr>
        <w:t xml:space="preserve">NY: LODD - BDG INSPEC ARRESTED - FALSE STATE REPORTS </w:t>
      </w:r>
    </w:p>
    <w:p w14:paraId="12EB1391" w14:textId="77777777" w:rsidR="000D2571" w:rsidRDefault="000D2571" w:rsidP="000D2571">
      <w:pPr>
        <w:pStyle w:val="NoSpacing"/>
        <w:rPr>
          <w:bCs/>
        </w:rPr>
      </w:pPr>
      <w:r>
        <w:t xml:space="preserve">On September 2, 2025, in </w:t>
      </w:r>
      <w:r w:rsidRPr="00A91A31">
        <w:rPr>
          <w:u w:val="single"/>
        </w:rPr>
        <w:t>Raymond Canario v. The County of Rockland, et al</w:t>
      </w:r>
      <w:r>
        <w:t xml:space="preserve">., U.S. District Court Judge Kenneth M. Karas, United States District Court for the Southern District of New York, dismissed the false arrest lawsuit by the former Assistant Building Inspector, who was charged with submitting false reports to the state about building inspections in Spring Valley, NY.  He was arrested and indicted but at bench trial was found not guilty since no intent to defraud.    The investigation of building inspections was launched by District Attorney after the </w:t>
      </w:r>
      <w:r w:rsidRPr="00534AF1">
        <w:t xml:space="preserve">March 23, </w:t>
      </w:r>
      <w:proofErr w:type="gramStart"/>
      <w:r w:rsidRPr="00534AF1">
        <w:t>2021</w:t>
      </w:r>
      <w:proofErr w:type="gramEnd"/>
      <w:r>
        <w:t xml:space="preserve"> </w:t>
      </w:r>
      <w:r w:rsidRPr="00534AF1">
        <w:t xml:space="preserve">fire at the Evergreen Court Home for Adults, </w:t>
      </w:r>
      <w:r>
        <w:t xml:space="preserve">which killed </w:t>
      </w:r>
      <w:r w:rsidRPr="00534AF1">
        <w:t>a</w:t>
      </w:r>
      <w:r>
        <w:t xml:space="preserve"> </w:t>
      </w:r>
      <w:r w:rsidRPr="00534AF1">
        <w:t xml:space="preserve">firefighter </w:t>
      </w:r>
      <w:r>
        <w:t xml:space="preserve">(volunteer </w:t>
      </w:r>
      <w:r w:rsidRPr="003178B7">
        <w:t>Jared Lloyd</w:t>
      </w:r>
      <w:r>
        <w:rPr>
          <w:b/>
        </w:rPr>
        <w:t xml:space="preserve">) </w:t>
      </w:r>
      <w:r w:rsidRPr="00534AF1">
        <w:t>and a resident</w:t>
      </w:r>
      <w:r>
        <w:t>.  In September 2023, t</w:t>
      </w:r>
      <w:r w:rsidRPr="00BB5EAD">
        <w:t>wo rabbis, a father and son, were sentenced to probation following a plea deal</w:t>
      </w:r>
      <w:r>
        <w:t xml:space="preserve">; they had used a </w:t>
      </w:r>
      <w:r w:rsidRPr="00D01FB6">
        <w:t>blowtorch to clean the kitchen and utensils of traces of forbidden food before Passover.</w:t>
      </w:r>
    </w:p>
    <w:p w14:paraId="5F5A4C3C" w14:textId="77777777" w:rsidR="000D2571" w:rsidRDefault="000D2571" w:rsidP="000D2571">
      <w:pPr>
        <w:pStyle w:val="NoSpacing"/>
        <w:rPr>
          <w:bCs/>
        </w:rPr>
      </w:pPr>
    </w:p>
    <w:p w14:paraId="262B7A3B" w14:textId="77777777" w:rsidR="000D2571" w:rsidRDefault="000D2571" w:rsidP="000D2571">
      <w:pPr>
        <w:pStyle w:val="NoSpacing"/>
      </w:pPr>
      <w:r w:rsidRPr="002C4FA3">
        <w:rPr>
          <w:b/>
        </w:rPr>
        <w:t xml:space="preserve">THE COURT HELD: </w:t>
      </w:r>
      <w:r>
        <w:t>“</w:t>
      </w:r>
      <w:r w:rsidRPr="00AC5646">
        <w:t>Even drawing inferences in Plaintiff’s</w:t>
      </w:r>
      <w:r>
        <w:t xml:space="preserve"> </w:t>
      </w:r>
      <w:r w:rsidRPr="00AC5646">
        <w:t>favor, the totality of the circumstances supports the existence of probable cause to arrest Plaintiff</w:t>
      </w:r>
      <w:r>
        <w:t xml:space="preserve"> </w:t>
      </w:r>
      <w:r w:rsidRPr="00AC5646">
        <w:t>for offering a false instrument for filing in the first degree.</w:t>
      </w:r>
      <w:r>
        <w:t xml:space="preserve"> These discrepancies may reasonably be seen as false statements or false information, and there is no dispute that the New York Department of State is an entity covered by the statute…. Accordingly, because there was probable cause to arrest, the Court dismisses Plaintiff’s false arrest claims.”  </w:t>
      </w:r>
      <w:hyperlink r:id="rId443" w:history="1">
        <w:r w:rsidRPr="00FC5CC7">
          <w:rPr>
            <w:rStyle w:val="Hyperlink"/>
          </w:rPr>
          <w:t>https://cases.justia.com/federal/district-courts/new-york/nysdce/7:2024cv04470/623029/85/0.pdf?ts=1756903853</w:t>
        </w:r>
      </w:hyperlink>
      <w:r>
        <w:t xml:space="preserve"> </w:t>
      </w:r>
    </w:p>
    <w:p w14:paraId="6CFCFA81" w14:textId="77777777" w:rsidR="000D2571" w:rsidRDefault="000D2571" w:rsidP="000D2571">
      <w:pPr>
        <w:pStyle w:val="NoSpacing"/>
      </w:pPr>
    </w:p>
    <w:p w14:paraId="4023153C" w14:textId="77777777" w:rsidR="000D2571" w:rsidRDefault="000D2571" w:rsidP="000D2571">
      <w:pPr>
        <w:pStyle w:val="NoSpacing"/>
        <w:rPr>
          <w:b/>
          <w:bCs/>
        </w:rPr>
      </w:pPr>
      <w:r w:rsidRPr="00E4138B">
        <w:rPr>
          <w:b/>
        </w:rPr>
        <w:t xml:space="preserve">KEY FACTS: </w:t>
      </w:r>
    </w:p>
    <w:p w14:paraId="1CF267B4" w14:textId="77777777" w:rsidR="000D2571" w:rsidRDefault="000D2571" w:rsidP="000D2571">
      <w:pPr>
        <w:pStyle w:val="NoSpacing"/>
        <w:rPr>
          <w:b/>
          <w:bCs/>
        </w:rPr>
      </w:pPr>
    </w:p>
    <w:p w14:paraId="1A81341E" w14:textId="77777777" w:rsidR="000D2571" w:rsidRPr="00E4138B" w:rsidRDefault="000D2571" w:rsidP="000D2571">
      <w:pPr>
        <w:pStyle w:val="NoSpacing"/>
        <w:ind w:firstLine="720"/>
      </w:pPr>
      <w:r>
        <w:t>“</w:t>
      </w:r>
      <w:r w:rsidRPr="00E4138B">
        <w:t>In April 2019, Plaintiff was hired as Assistant Building Inspector by the mayor of Spring</w:t>
      </w:r>
    </w:p>
    <w:p w14:paraId="69B92090" w14:textId="77777777" w:rsidR="000D2571" w:rsidRPr="00E4138B" w:rsidRDefault="000D2571" w:rsidP="000D2571">
      <w:pPr>
        <w:pStyle w:val="NoSpacing"/>
        <w:ind w:firstLine="720"/>
      </w:pPr>
      <w:r w:rsidRPr="00E4138B">
        <w:t>Valley, New York</w:t>
      </w:r>
      <w:r>
        <w:t xml:space="preserve">…. </w:t>
      </w:r>
      <w:r w:rsidRPr="00E4138B">
        <w:t>19 N.Y.C.R.R. § 1203 requires that municipalities like</w:t>
      </w:r>
    </w:p>
    <w:p w14:paraId="7E2320F4" w14:textId="77777777" w:rsidR="000D2571" w:rsidRDefault="000D2571" w:rsidP="000D2571">
      <w:pPr>
        <w:pStyle w:val="NoSpacing"/>
        <w:ind w:left="720"/>
      </w:pPr>
      <w:r w:rsidRPr="00E4138B">
        <w:t xml:space="preserve">Spring Valley </w:t>
      </w:r>
      <w:r>
        <w:t>‘</w:t>
      </w:r>
      <w:r w:rsidRPr="00E4138B">
        <w:t xml:space="preserve">annually </w:t>
      </w:r>
      <w:proofErr w:type="gramStart"/>
      <w:r w:rsidRPr="00E4138B">
        <w:t>submit</w:t>
      </w:r>
      <w:proofErr w:type="gramEnd"/>
      <w:r w:rsidRPr="00E4138B">
        <w:t xml:space="preserve"> to the [New York] Secretary of State . . . a report of its activities</w:t>
      </w:r>
      <w:r>
        <w:t xml:space="preserve"> </w:t>
      </w:r>
      <w:proofErr w:type="gramStart"/>
      <w:r w:rsidRPr="00E4138B">
        <w:t>relative</w:t>
      </w:r>
      <w:proofErr w:type="gramEnd"/>
      <w:r w:rsidRPr="00E4138B">
        <w:t xml:space="preserve"> to administration and enforcement of the [New York State Uniform Fire Prevention and</w:t>
      </w:r>
      <w:r>
        <w:t xml:space="preserve"> </w:t>
      </w:r>
      <w:r w:rsidRPr="00E4138B">
        <w:t>Building Code and the New York State Energy Conservation Construction Code].</w:t>
      </w:r>
      <w:r>
        <w:t xml:space="preserve">’ … These reports are also called “1203 Reports.”… Plaintiff was assigned to file 1203 Reports…. Plaintiff, who had no prior experience as a building inspector, was supposed to report to the Building Inspector, a position that was vacant…. Plaintiff had difficulty completing the 1203 Reports, … and based his reporting ‘upon charts noting inspection status provided by the staff [and] not from personal visits and investigations,’ which Plaintiff “believe[ed] . . . accurately reflected . . . [building] inspections,’ </w:t>
      </w:r>
      <w:proofErr w:type="gramStart"/>
      <w:r>
        <w:t>…..</w:t>
      </w:r>
      <w:proofErr w:type="gramEnd"/>
      <w:r>
        <w:t xml:space="preserve"> Plaintiff characterized the information contained in the 1203 Reports that he submitted as ‘an estimate.’ </w:t>
      </w:r>
    </w:p>
    <w:p w14:paraId="24B43F62" w14:textId="77777777" w:rsidR="000D2571" w:rsidRDefault="000D2571" w:rsidP="000D2571">
      <w:pPr>
        <w:pStyle w:val="NoSpacing"/>
        <w:ind w:left="720"/>
      </w:pPr>
    </w:p>
    <w:p w14:paraId="31F04721" w14:textId="77777777" w:rsidR="000D2571" w:rsidRDefault="000D2571" w:rsidP="000D2571">
      <w:pPr>
        <w:pStyle w:val="NoSpacing"/>
        <w:ind w:left="720"/>
      </w:pPr>
      <w:r>
        <w:t>***</w:t>
      </w:r>
    </w:p>
    <w:p w14:paraId="69E57D20" w14:textId="77777777" w:rsidR="000D2571" w:rsidRDefault="000D2571" w:rsidP="000D2571">
      <w:pPr>
        <w:pStyle w:val="NoSpacing"/>
        <w:ind w:left="720"/>
      </w:pPr>
      <w:r>
        <w:t>The 1203 Reports list information including, for example, the number of building permits</w:t>
      </w:r>
    </w:p>
    <w:p w14:paraId="23FE210C" w14:textId="77777777" w:rsidR="000D2571" w:rsidRDefault="000D2571" w:rsidP="000D2571">
      <w:pPr>
        <w:pStyle w:val="NoSpacing"/>
        <w:ind w:left="720"/>
      </w:pPr>
      <w:r>
        <w:t xml:space="preserve">issued by building type, the number of buildings by type and how many of each were inspected in the last year, and the number of new constructions complete and percentage thereof that are at least 90% compliant…. </w:t>
      </w:r>
    </w:p>
    <w:p w14:paraId="67469CD4" w14:textId="77777777" w:rsidR="000D2571" w:rsidRDefault="000D2571" w:rsidP="000D2571">
      <w:pPr>
        <w:pStyle w:val="NoSpacing"/>
        <w:ind w:left="720"/>
      </w:pPr>
    </w:p>
    <w:p w14:paraId="1AFB5832" w14:textId="77777777" w:rsidR="000D2571" w:rsidRDefault="000D2571" w:rsidP="000D2571">
      <w:pPr>
        <w:pStyle w:val="NoSpacing"/>
        <w:ind w:left="720"/>
      </w:pPr>
      <w:r>
        <w:t>On March 23, 2021, a fire ignited at the Evergreen Court Home for Adults, killing a</w:t>
      </w:r>
    </w:p>
    <w:p w14:paraId="37732E36" w14:textId="77777777" w:rsidR="000D2571" w:rsidRDefault="000D2571" w:rsidP="000D2571">
      <w:pPr>
        <w:pStyle w:val="NoSpacing"/>
        <w:ind w:left="720"/>
      </w:pPr>
      <w:r>
        <w:t>firefighter and a resident…. The Spring Valley Police Department investigated the fire and concluded its investigation without making any arrests….Plaintiff alleges that, after the police department’s investigation concluded, the DA’s Office ‘took up the criminal investigation,’ at least partly because ‘[t]</w:t>
      </w:r>
      <w:proofErr w:type="gramStart"/>
      <w:r>
        <w:t>he</w:t>
      </w:r>
      <w:proofErr w:type="gramEnd"/>
      <w:r>
        <w:t xml:space="preserve"> local media was pressuring [District Attorney] Walsh to punish someone for the deadly fire.’</w:t>
      </w:r>
    </w:p>
    <w:p w14:paraId="58C0A25C" w14:textId="77777777" w:rsidR="000D2571" w:rsidRDefault="000D2571" w:rsidP="000D2571">
      <w:pPr>
        <w:pStyle w:val="NoSpacing"/>
        <w:ind w:left="720"/>
      </w:pPr>
    </w:p>
    <w:p w14:paraId="71218DF8" w14:textId="77777777" w:rsidR="000D2571" w:rsidRDefault="000D2571" w:rsidP="000D2571">
      <w:pPr>
        <w:pStyle w:val="NoSpacing"/>
        <w:ind w:left="720"/>
      </w:pPr>
      <w:r>
        <w:t>***</w:t>
      </w:r>
    </w:p>
    <w:p w14:paraId="2F50482C" w14:textId="77777777" w:rsidR="000D2571" w:rsidRDefault="000D2571" w:rsidP="000D2571">
      <w:pPr>
        <w:pStyle w:val="NoSpacing"/>
        <w:ind w:left="720"/>
      </w:pPr>
      <w:r>
        <w:t>On June 28, 2021, Chief Criminal Investigator Walker signed a felony complaint that</w:t>
      </w:r>
    </w:p>
    <w:p w14:paraId="35ED9B2C" w14:textId="77777777" w:rsidR="000D2571" w:rsidRDefault="000D2571" w:rsidP="000D2571">
      <w:pPr>
        <w:pStyle w:val="NoSpacing"/>
        <w:ind w:left="720"/>
      </w:pPr>
      <w:r>
        <w:t>charged Plaintiff with three counts of offering a false instrument for filing in the first degree and three counts of falsifying business records in the second degree…. On June 29, 2021, Plaintiff was arrested and given a desk appearance ticket…. Wayne Ballard, another building inspector, was also arrested.</w:t>
      </w:r>
    </w:p>
    <w:p w14:paraId="7766C2FE" w14:textId="77777777" w:rsidR="000D2571" w:rsidRDefault="000D2571" w:rsidP="000D2571">
      <w:pPr>
        <w:pStyle w:val="NoSpacing"/>
      </w:pPr>
    </w:p>
    <w:p w14:paraId="3C538C93" w14:textId="77777777" w:rsidR="000D2571" w:rsidRDefault="000D2571" w:rsidP="000D2571">
      <w:pPr>
        <w:pStyle w:val="NoSpacing"/>
      </w:pPr>
      <w:r>
        <w:tab/>
        <w:t xml:space="preserve">*** </w:t>
      </w:r>
    </w:p>
    <w:p w14:paraId="6C44B872" w14:textId="77777777" w:rsidR="000D2571" w:rsidRDefault="000D2571" w:rsidP="000D2571">
      <w:pPr>
        <w:pStyle w:val="NoSpacing"/>
      </w:pPr>
    </w:p>
    <w:p w14:paraId="2364CD79" w14:textId="77777777" w:rsidR="000D2571" w:rsidRDefault="000D2571" w:rsidP="000D2571">
      <w:pPr>
        <w:pStyle w:val="NoSpacing"/>
        <w:ind w:left="720"/>
      </w:pPr>
      <w:r>
        <w:t>A bench trial was held before Judge Russo in March 2023…. The exact duration of the trial is unclear. On March 14, 2023, Judge Russo dismissed Counts 1, 2, 3, 7, 8, and 9 for lack of evidence going to Plaintiff’s intent to defraud. (March 14 Trial Tr. at 467:13–25.) On March 17, 2023, Plaintiff was found not guilty on Counts 4, 5, and 6. (See March 17 Trial Tr. at 565:20–24.)”</w:t>
      </w:r>
    </w:p>
    <w:p w14:paraId="6D2B6FB3" w14:textId="77777777" w:rsidR="000D2571" w:rsidRPr="00E4138B" w:rsidRDefault="000D2571" w:rsidP="000D2571">
      <w:pPr>
        <w:pStyle w:val="NoSpacing"/>
        <w:ind w:left="720"/>
      </w:pPr>
    </w:p>
    <w:p w14:paraId="36691094" w14:textId="77777777" w:rsidR="000D2571" w:rsidRPr="0025206D" w:rsidRDefault="000D2571" w:rsidP="000D2571">
      <w:pPr>
        <w:pStyle w:val="NoSpacing"/>
        <w:rPr>
          <w:b/>
        </w:rPr>
      </w:pPr>
      <w:r>
        <w:rPr>
          <w:b/>
        </w:rPr>
        <w:t>Legal lesson learned: Building inspection reports must be accurate; submitting reports are “mere estimates” can lead to arrest and prosecution, and civil litigation.</w:t>
      </w:r>
    </w:p>
    <w:p w14:paraId="77ADBCA1" w14:textId="77777777" w:rsidR="000D2571" w:rsidRDefault="000D2571" w:rsidP="000D2571">
      <w:pPr>
        <w:pStyle w:val="NoSpacing"/>
        <w:rPr>
          <w:bCs/>
        </w:rPr>
      </w:pPr>
    </w:p>
    <w:p w14:paraId="5F2A5589" w14:textId="77777777" w:rsidR="000D2571" w:rsidRDefault="000D2571" w:rsidP="000D2571">
      <w:pPr>
        <w:pStyle w:val="NoSpacing"/>
        <w:ind w:left="720"/>
      </w:pPr>
      <w:r>
        <w:t xml:space="preserve">Note: See September 21, </w:t>
      </w:r>
      <w:proofErr w:type="gramStart"/>
      <w:r>
        <w:t>2023</w:t>
      </w:r>
      <w:proofErr w:type="gramEnd"/>
      <w:r>
        <w:t xml:space="preserve"> article and TV VIDEO, </w:t>
      </w:r>
      <w:r w:rsidRPr="007C1410">
        <w:t>“Father, son sentenced to probation in deadly Spring Valley fire that killed 2 people.</w:t>
      </w:r>
      <w:r>
        <w:t>”</w:t>
      </w:r>
    </w:p>
    <w:p w14:paraId="76205C15" w14:textId="77777777" w:rsidR="000D2571" w:rsidRPr="00F46264" w:rsidRDefault="000D2571" w:rsidP="000D2571">
      <w:pPr>
        <w:pStyle w:val="NoSpacing"/>
        <w:ind w:left="720"/>
        <w:rPr>
          <w:bCs/>
        </w:rPr>
      </w:pPr>
      <w:hyperlink r:id="rId444" w:history="1">
        <w:r w:rsidRPr="00F56611">
          <w:rPr>
            <w:rStyle w:val="Hyperlink"/>
          </w:rPr>
          <w:t>https://www.nbcnewyork.com/news/local/father-son-sentenced-to-probation-in-deadly-spring-valley-fire-that-killed-2/4696054/</w:t>
        </w:r>
      </w:hyperlink>
      <w:r>
        <w:t xml:space="preserve"> </w:t>
      </w:r>
    </w:p>
    <w:p w14:paraId="318C5A6C" w14:textId="77777777" w:rsidR="000D2571" w:rsidRDefault="000D2571" w:rsidP="00646EE3">
      <w:pPr>
        <w:rPr>
          <w:rFonts w:ascii="Arial Black" w:hAnsi="Arial Black"/>
          <w:sz w:val="24"/>
          <w:szCs w:val="24"/>
        </w:rPr>
      </w:pPr>
    </w:p>
    <w:p w14:paraId="4F724649" w14:textId="12578EE6" w:rsidR="000D2571" w:rsidRDefault="00393C3E" w:rsidP="00646EE3">
      <w:pPr>
        <w:rPr>
          <w:rFonts w:ascii="Arial Black" w:hAnsi="Arial Black"/>
          <w:sz w:val="24"/>
          <w:szCs w:val="24"/>
        </w:rPr>
      </w:pPr>
      <w:r>
        <w:rPr>
          <w:rFonts w:ascii="Arial Black" w:hAnsi="Arial Black"/>
          <w:sz w:val="24"/>
          <w:szCs w:val="24"/>
        </w:rPr>
        <w:t>2-91</w:t>
      </w:r>
    </w:p>
    <w:p w14:paraId="48AF307D" w14:textId="77777777" w:rsidR="00393C3E" w:rsidRPr="00A31DEF" w:rsidRDefault="00393C3E" w:rsidP="00393C3E">
      <w:pPr>
        <w:pStyle w:val="NoSpacing"/>
        <w:rPr>
          <w:rFonts w:ascii="Arial Black" w:hAnsi="Arial Black"/>
          <w:b/>
          <w:sz w:val="28"/>
          <w:szCs w:val="28"/>
        </w:rPr>
      </w:pPr>
      <w:r>
        <w:rPr>
          <w:rFonts w:ascii="Arial Black" w:hAnsi="Arial Black"/>
          <w:b/>
          <w:sz w:val="28"/>
          <w:szCs w:val="28"/>
        </w:rPr>
        <w:t>IN: POLICE “25-FT BUFFER ZONE” – CAN’T “INTERFERE”</w:t>
      </w:r>
    </w:p>
    <w:p w14:paraId="03E40002" w14:textId="77777777" w:rsidR="00393C3E" w:rsidRDefault="00393C3E" w:rsidP="00393C3E">
      <w:pPr>
        <w:pStyle w:val="NoSpacing"/>
        <w:rPr>
          <w:bCs/>
        </w:rPr>
      </w:pPr>
    </w:p>
    <w:p w14:paraId="5CE102F9" w14:textId="77777777" w:rsidR="00393C3E" w:rsidRDefault="00393C3E" w:rsidP="00393C3E">
      <w:pPr>
        <w:pStyle w:val="NoSpacing"/>
        <w:rPr>
          <w:bCs/>
        </w:rPr>
      </w:pPr>
      <w:r>
        <w:t xml:space="preserve">On August 5, 2025, in </w:t>
      </w:r>
      <w:r w:rsidRPr="00BC797C">
        <w:rPr>
          <w:u w:val="single"/>
        </w:rPr>
        <w:t>Reporters Committee For Freedom of The Press, et al. v. Todd R. Okita, Attorney General of Indiana, et al</w:t>
      </w:r>
      <w:r>
        <w:t>., the United States Court of Appeals for 7</w:t>
      </w:r>
      <w:r w:rsidRPr="00BC797C">
        <w:rPr>
          <w:vertAlign w:val="superscript"/>
        </w:rPr>
        <w:t>th</w:t>
      </w:r>
      <w:r>
        <w:t xml:space="preserve"> Circuit (Chicago) held (3 to 0) that U.S. District Court </w:t>
      </w:r>
      <w:r w:rsidRPr="002E3B7C">
        <w:t xml:space="preserve">Judge James R. Sweeney II </w:t>
      </w:r>
      <w:r>
        <w:t xml:space="preserve">properly issued a preliminary injunction to </w:t>
      </w:r>
      <w:r w:rsidRPr="00600E74">
        <w:t>enjoin enforcement of the buffer law.</w:t>
      </w:r>
      <w:r>
        <w:t xml:space="preserve">  I</w:t>
      </w:r>
      <w:r w:rsidRPr="009F7379">
        <w:t>ndiana’s</w:t>
      </w:r>
      <w:r>
        <w:t xml:space="preserve"> original</w:t>
      </w:r>
      <w:r w:rsidRPr="009F7379">
        <w:t xml:space="preserve"> “buffer law” </w:t>
      </w:r>
      <w:r>
        <w:t xml:space="preserve">effective July 1, 2023, </w:t>
      </w:r>
      <w:r w:rsidRPr="009F7379">
        <w:t>makes it a</w:t>
      </w:r>
      <w:r>
        <w:t xml:space="preserve"> </w:t>
      </w:r>
      <w:r w:rsidRPr="009F7379">
        <w:t>crime for a person to knowingly or intentionally approach</w:t>
      </w:r>
      <w:r>
        <w:t xml:space="preserve"> </w:t>
      </w:r>
      <w:r w:rsidRPr="009F7379">
        <w:t>within 25 feet of a law enforcement officer who is “lawfully</w:t>
      </w:r>
      <w:r>
        <w:t xml:space="preserve"> </w:t>
      </w:r>
      <w:r w:rsidRPr="009F7379">
        <w:t>engaged in the execution of the law enforcement officer’s duties after the law enforcement officer has ordered the person</w:t>
      </w:r>
      <w:r>
        <w:t xml:space="preserve"> </w:t>
      </w:r>
      <w:r w:rsidRPr="009F7379">
        <w:t>to stop approaching.” Indiana Code (I.C.) § 35-44.1-2-14.</w:t>
      </w:r>
      <w:r>
        <w:t xml:space="preserve"> Wisely, while this appeal was pending, Indiana has now enacted a new law, effective July 1, 2025, where police </w:t>
      </w:r>
      <w:r w:rsidRPr="00030AD6">
        <w:t>may only order an individual to stop approaching if he “reasonably believes that a person’s presence”</w:t>
      </w:r>
      <w:r>
        <w:t xml:space="preserve"> </w:t>
      </w:r>
      <w:r w:rsidRPr="00030AD6">
        <w:t>within 25 feet “will interfere with the performance” of his</w:t>
      </w:r>
      <w:r>
        <w:t xml:space="preserve"> </w:t>
      </w:r>
      <w:r w:rsidRPr="00030AD6">
        <w:t>“duties.”</w:t>
      </w:r>
      <w:r>
        <w:t xml:space="preserve"> </w:t>
      </w:r>
    </w:p>
    <w:p w14:paraId="3F3BF7C7" w14:textId="77777777" w:rsidR="00393C3E" w:rsidRDefault="00393C3E" w:rsidP="00393C3E">
      <w:pPr>
        <w:pStyle w:val="NoSpacing"/>
        <w:rPr>
          <w:bCs/>
        </w:rPr>
      </w:pPr>
    </w:p>
    <w:p w14:paraId="7A9D67A7" w14:textId="77777777" w:rsidR="00393C3E" w:rsidRDefault="00393C3E" w:rsidP="00393C3E">
      <w:pPr>
        <w:pStyle w:val="NoSpacing"/>
        <w:rPr>
          <w:bCs/>
        </w:rPr>
      </w:pPr>
      <w:r w:rsidRPr="007772CA">
        <w:rPr>
          <w:b/>
        </w:rPr>
        <w:t>THE COURT HELD:</w:t>
      </w:r>
      <w:r>
        <w:t xml:space="preserve"> “As the plaintiffs point out, the problem is more upstream: the [original 223 ] buffer law offers no ‘guidance to the officer deciding whether [a do-not-approach] order should issue’ in the first place…. Without such guidance, any on-duty officer can use the buffer law to subject any pedestrian to potential criminal liability by simply ordering them not to approach, even if the pedestrian is doing nothing more than taking a morning stroll or merely walking up to an officer to ask for directions…. As the Supreme Court explained 60 years ago, a law that effectively says ‘a person may stand on a public sidewalk in [a city] only at the whim of any police officer of that city’ is too vague to satisfy due process. Shuttlesworth v. City of Birmingham, 382 U.S. 87, 90 (1965). The buffer law does just that. The Fourteenth Amendment will not tolerate a law subjecting pedestrians to arrest merely because a police officer had a bad breakfast—no matter how bitter the coffee or how soggy the scrambled eggs.” </w:t>
      </w:r>
      <w:hyperlink r:id="rId445" w:history="1">
        <w:r w:rsidRPr="00FE3641">
          <w:rPr>
            <w:rStyle w:val="Hyperlink"/>
          </w:rPr>
          <w:t>https://www.rcfp.org/wp-content/uploads/2025/08/2025-08-05-RCFP-v.-Rokita-Seventh-Circuit-opinion.pdf</w:t>
        </w:r>
      </w:hyperlink>
    </w:p>
    <w:p w14:paraId="039E741F" w14:textId="77777777" w:rsidR="00393C3E" w:rsidRDefault="00393C3E" w:rsidP="00393C3E">
      <w:pPr>
        <w:rPr>
          <w:bCs/>
        </w:rPr>
      </w:pPr>
    </w:p>
    <w:p w14:paraId="70D985E0" w14:textId="77777777" w:rsidR="00393C3E" w:rsidRDefault="00393C3E" w:rsidP="00393C3E">
      <w:pPr>
        <w:rPr>
          <w:b/>
        </w:rPr>
      </w:pPr>
      <w:r w:rsidRPr="007772CA">
        <w:rPr>
          <w:b/>
        </w:rPr>
        <w:t xml:space="preserve">KEY FACTS: </w:t>
      </w:r>
    </w:p>
    <w:p w14:paraId="63F1E08D" w14:textId="77777777" w:rsidR="00393C3E" w:rsidRDefault="00393C3E" w:rsidP="00393C3E">
      <w:pPr>
        <w:pStyle w:val="NoSpacing"/>
        <w:ind w:left="720"/>
      </w:pPr>
      <w:r>
        <w:t>“I</w:t>
      </w:r>
      <w:r w:rsidRPr="0063384C">
        <w:t xml:space="preserve">ndiana’s </w:t>
      </w:r>
      <w:r>
        <w:t>‘</w:t>
      </w:r>
      <w:r w:rsidRPr="0063384C">
        <w:t>buffer law</w:t>
      </w:r>
      <w:r>
        <w:t>’ m</w:t>
      </w:r>
      <w:r w:rsidRPr="0063384C">
        <w:t>akes it a</w:t>
      </w:r>
      <w:r>
        <w:t xml:space="preserve"> </w:t>
      </w:r>
      <w:r w:rsidRPr="0063384C">
        <w:t>crime for a person to knowingly or intentionally approach</w:t>
      </w:r>
      <w:r>
        <w:t xml:space="preserve"> </w:t>
      </w:r>
      <w:r w:rsidRPr="0063384C">
        <w:t xml:space="preserve">within 25 feet of a law enforcement officer who is </w:t>
      </w:r>
      <w:r>
        <w:t>‘</w:t>
      </w:r>
      <w:r w:rsidRPr="0063384C">
        <w:t>lawfully</w:t>
      </w:r>
      <w:r>
        <w:t xml:space="preserve"> </w:t>
      </w:r>
      <w:r w:rsidRPr="0063384C">
        <w:t>engaged in the execution of the law enforcement officer’s duties after the law enforcement officer has ordered the person</w:t>
      </w:r>
      <w:r>
        <w:t xml:space="preserve"> </w:t>
      </w:r>
      <w:r w:rsidRPr="0063384C">
        <w:t>to stop approaching.</w:t>
      </w:r>
      <w:r>
        <w:t>’</w:t>
      </w:r>
      <w:r w:rsidRPr="0063384C">
        <w:t xml:space="preserve"> Indiana Code (I.C.) § 35-44.1-2-14</w:t>
      </w:r>
      <w:r>
        <w:t>.</w:t>
      </w:r>
    </w:p>
    <w:p w14:paraId="51407CEE" w14:textId="77777777" w:rsidR="00393C3E" w:rsidRDefault="00393C3E" w:rsidP="00393C3E">
      <w:pPr>
        <w:pStyle w:val="NoSpacing"/>
        <w:ind w:left="720"/>
      </w:pPr>
      <w:r>
        <w:t>The plaintiffs, who are various media and media-related organizations, argue that the buffer law is unconstitutionally vague under the Fourteenth Amendment’s Due Process</w:t>
      </w:r>
    </w:p>
    <w:p w14:paraId="32058C08" w14:textId="77777777" w:rsidR="00393C3E" w:rsidRDefault="00393C3E" w:rsidP="00393C3E">
      <w:pPr>
        <w:pStyle w:val="NoSpacing"/>
        <w:ind w:left="720"/>
      </w:pPr>
      <w:r>
        <w:t>Clause because it is susceptible to arbitrary or discriminatory enforcement by the police. The district court concluded that the plaintiffs were likely to succeed in their Fourteenth</w:t>
      </w:r>
    </w:p>
    <w:p w14:paraId="19D9D305" w14:textId="77777777" w:rsidR="00393C3E" w:rsidRPr="007772CA" w:rsidRDefault="00393C3E" w:rsidP="00393C3E">
      <w:pPr>
        <w:pStyle w:val="NoSpacing"/>
        <w:ind w:left="720"/>
      </w:pPr>
      <w:r>
        <w:t xml:space="preserve">Amendment </w:t>
      </w:r>
      <w:proofErr w:type="gramStart"/>
      <w:r>
        <w:t>challenge to</w:t>
      </w:r>
      <w:proofErr w:type="gramEnd"/>
      <w:r>
        <w:t xml:space="preserve"> the buffer law, so the court issued a preliminary injunction blocking its enforcement. For the reasons below, we affirm the district court’s decision to preliminarily enjoin enforcement of the buffer law.”</w:t>
      </w:r>
    </w:p>
    <w:p w14:paraId="54811E90" w14:textId="77777777" w:rsidR="00393C3E" w:rsidRDefault="00393C3E" w:rsidP="00393C3E">
      <w:pPr>
        <w:pStyle w:val="NoSpacing"/>
        <w:rPr>
          <w:b/>
          <w:bCs/>
        </w:rPr>
      </w:pPr>
    </w:p>
    <w:p w14:paraId="787E598B" w14:textId="77777777" w:rsidR="00393C3E" w:rsidRPr="00DD7B9E" w:rsidRDefault="00393C3E" w:rsidP="00393C3E">
      <w:pPr>
        <w:pStyle w:val="NoSpacing"/>
        <w:rPr>
          <w:b/>
          <w:bCs/>
        </w:rPr>
      </w:pPr>
      <w:r w:rsidRPr="00DD7B9E">
        <w:rPr>
          <w:b/>
        </w:rPr>
        <w:t xml:space="preserve">Legal lesson learned: </w:t>
      </w:r>
      <w:r>
        <w:rPr>
          <w:b/>
        </w:rPr>
        <w:t xml:space="preserve">Fire and EMS must allow press reasonable access to </w:t>
      </w:r>
      <w:proofErr w:type="gramStart"/>
      <w:r>
        <w:rPr>
          <w:b/>
        </w:rPr>
        <w:t>scenes, but</w:t>
      </w:r>
      <w:proofErr w:type="gramEnd"/>
      <w:r>
        <w:rPr>
          <w:b/>
        </w:rPr>
        <w:t xml:space="preserve"> can cover patients to protect their identity.  </w:t>
      </w:r>
    </w:p>
    <w:p w14:paraId="223E2488" w14:textId="77777777" w:rsidR="00393C3E" w:rsidRDefault="00393C3E" w:rsidP="00393C3E">
      <w:pPr>
        <w:pStyle w:val="NoSpacing"/>
      </w:pPr>
    </w:p>
    <w:p w14:paraId="450C32C6" w14:textId="77777777" w:rsidR="00393C3E" w:rsidRDefault="00393C3E" w:rsidP="00393C3E">
      <w:pPr>
        <w:ind w:left="720"/>
        <w:rPr>
          <w:bCs/>
        </w:rPr>
      </w:pPr>
      <w:r>
        <w:t xml:space="preserve">Note:  See August 6, </w:t>
      </w:r>
      <w:proofErr w:type="gramStart"/>
      <w:r>
        <w:t>2025</w:t>
      </w:r>
      <w:proofErr w:type="gramEnd"/>
      <w:r>
        <w:t xml:space="preserve"> article, </w:t>
      </w:r>
      <w:r w:rsidRPr="00B33217">
        <w:t>“7th Circuit: Indiana’s police ‘buffer zone’ law is unconstitutional.</w:t>
      </w:r>
      <w:r>
        <w:rPr>
          <w:b/>
        </w:rPr>
        <w:t xml:space="preserve">” </w:t>
      </w:r>
      <w:hyperlink r:id="rId446" w:history="1">
        <w:r w:rsidRPr="00D87E9E">
          <w:rPr>
            <w:rStyle w:val="Hyperlink"/>
          </w:rPr>
          <w:t>https://www.rcfp.org/indiana-buffer-zone-law-7th-circuit/</w:t>
        </w:r>
      </w:hyperlink>
      <w:r>
        <w:t xml:space="preserve"> </w:t>
      </w:r>
    </w:p>
    <w:p w14:paraId="2673EF47" w14:textId="0004A6B5" w:rsidR="00393C3E" w:rsidRDefault="00393C3E" w:rsidP="00393C3E">
      <w:pPr>
        <w:rPr>
          <w:rFonts w:ascii="Arial Black" w:hAnsi="Arial Black"/>
          <w:sz w:val="24"/>
          <w:szCs w:val="24"/>
        </w:rPr>
      </w:pPr>
      <w:r>
        <w:t xml:space="preserve">See also March 11, </w:t>
      </w:r>
      <w:proofErr w:type="gramStart"/>
      <w:r>
        <w:t>2025</w:t>
      </w:r>
      <w:proofErr w:type="gramEnd"/>
      <w:r>
        <w:t xml:space="preserve"> article, “</w:t>
      </w:r>
      <w:r w:rsidRPr="00723714">
        <w:t xml:space="preserve">Buffer zone’ clarification heads to </w:t>
      </w:r>
      <w:proofErr w:type="spellStart"/>
      <w:proofErr w:type="gramStart"/>
      <w:r w:rsidRPr="00723714">
        <w:t>governors</w:t>
      </w:r>
      <w:proofErr w:type="spellEnd"/>
      <w:proofErr w:type="gramEnd"/>
      <w:r w:rsidRPr="00723714">
        <w:t xml:space="preserve"> desk.”</w:t>
      </w:r>
      <w:hyperlink r:id="rId447" w:history="1">
        <w:r w:rsidRPr="00D87E9E">
          <w:rPr>
            <w:rStyle w:val="Hyperlink"/>
          </w:rPr>
          <w:t>https://indianacapitalchronicle.com/briefs/buffer-zone-clarification-heads-to-governors-desk/</w:t>
        </w:r>
      </w:hyperlink>
    </w:p>
    <w:p w14:paraId="7DE2DB41" w14:textId="77777777" w:rsidR="000D2571" w:rsidRDefault="000D2571" w:rsidP="00646EE3">
      <w:pPr>
        <w:rPr>
          <w:rFonts w:ascii="Arial Black" w:hAnsi="Arial Black"/>
          <w:sz w:val="24"/>
          <w:szCs w:val="24"/>
        </w:rPr>
      </w:pPr>
    </w:p>
    <w:p w14:paraId="2B88B869" w14:textId="5542C741" w:rsidR="00646EE3" w:rsidRDefault="00646EE3" w:rsidP="00646EE3">
      <w:pPr>
        <w:rPr>
          <w:rFonts w:ascii="Arial Black" w:hAnsi="Arial Black"/>
          <w:sz w:val="24"/>
          <w:szCs w:val="24"/>
        </w:rPr>
      </w:pPr>
      <w:r>
        <w:rPr>
          <w:rFonts w:ascii="Arial Black" w:hAnsi="Arial Black"/>
          <w:sz w:val="24"/>
          <w:szCs w:val="24"/>
        </w:rPr>
        <w:t>2-9</w:t>
      </w:r>
      <w:r w:rsidR="006528FB">
        <w:rPr>
          <w:rFonts w:ascii="Arial Black" w:hAnsi="Arial Black"/>
          <w:sz w:val="24"/>
          <w:szCs w:val="24"/>
        </w:rPr>
        <w:t>0</w:t>
      </w:r>
    </w:p>
    <w:p w14:paraId="0DF2E8EC" w14:textId="77777777" w:rsidR="007D33D8" w:rsidRDefault="007D33D8" w:rsidP="007D33D8">
      <w:pPr>
        <w:pStyle w:val="NoSpacing"/>
        <w:rPr>
          <w:rFonts w:ascii="Arial Black" w:hAnsi="Arial Black"/>
          <w:sz w:val="28"/>
          <w:szCs w:val="28"/>
        </w:rPr>
      </w:pPr>
      <w:r>
        <w:rPr>
          <w:rFonts w:ascii="Arial Black" w:hAnsi="Arial Black"/>
          <w:sz w:val="28"/>
          <w:szCs w:val="28"/>
        </w:rPr>
        <w:t>KY: TRAIN DERAIL. - CSX “LIED” / SULFOR DIOXIDE – FF SUE</w:t>
      </w:r>
    </w:p>
    <w:p w14:paraId="3ADE6A4B" w14:textId="77777777" w:rsidR="007D33D8" w:rsidRDefault="007D33D8" w:rsidP="007D33D8">
      <w:pPr>
        <w:pStyle w:val="NoSpacing"/>
        <w:rPr>
          <w:rFonts w:ascii="Arial Black" w:hAnsi="Arial Black"/>
          <w:sz w:val="28"/>
          <w:szCs w:val="28"/>
        </w:rPr>
      </w:pPr>
    </w:p>
    <w:p w14:paraId="5BCB0CE6" w14:textId="01A0A0CF" w:rsidR="007D33D8" w:rsidRPr="00911EB2" w:rsidRDefault="007D33D8" w:rsidP="007D33D8">
      <w:pPr>
        <w:rPr>
          <w:rFonts w:ascii="Times New Roman" w:hAnsi="Times New Roman"/>
          <w:sz w:val="24"/>
          <w:szCs w:val="24"/>
        </w:rPr>
      </w:pPr>
      <w:r w:rsidRPr="00911EB2">
        <w:rPr>
          <w:rFonts w:ascii="Times New Roman" w:hAnsi="Times New Roman"/>
          <w:sz w:val="24"/>
          <w:szCs w:val="24"/>
        </w:rPr>
        <w:t xml:space="preserve">On June 16, 2025, in </w:t>
      </w:r>
      <w:r w:rsidRPr="00911EB2">
        <w:rPr>
          <w:rFonts w:ascii="Times New Roman" w:hAnsi="Times New Roman"/>
          <w:sz w:val="24"/>
          <w:szCs w:val="24"/>
          <w:u w:val="single"/>
        </w:rPr>
        <w:t>Shannon Franklin, et al. v. CSX Transportation, Inc. et al</w:t>
      </w:r>
      <w:r w:rsidRPr="00911EB2">
        <w:rPr>
          <w:rFonts w:ascii="Times New Roman" w:hAnsi="Times New Roman"/>
          <w:sz w:val="24"/>
          <w:szCs w:val="24"/>
        </w:rPr>
        <w:t xml:space="preserve">., U.S. District Court Judge Gregory F. Van Tatenhove, United States District Court for Eastern District of Kentucky, Southern Division / London, held that the “Fireman’s Rule” does not prohibit firefighters suffering from respiratory issues from suing CSX for November 22, 2023 train derailment in Rockcastle County, Kentucky, but they must prove “willful and wanton misconduct” by CSX (lied about contents being “food grade” non-hazardous).  Other claims, such as negligence, and “medical monitoring” were dismissed.  THE COURT HELD:  Plaintiffs suggest that the Firefighter’s Rule is inapplicable in this case because they allege that CSX intentionally mislead responders by telling them the railroad cars ‘were carrying substances that were food grade.’ … They suggest that the Firefighter’s Rule applies only to negligent conduct and not harms ‘resulting from gross negligence, or reckless or intentional conduct.’… The Court agrees.” </w:t>
      </w:r>
      <w:hyperlink r:id="rId448" w:history="1">
        <w:r w:rsidRPr="00911EB2">
          <w:rPr>
            <w:rStyle w:val="Hyperlink"/>
            <w:rFonts w:ascii="Times New Roman" w:hAnsi="Times New Roman"/>
            <w:sz w:val="24"/>
            <w:szCs w:val="24"/>
          </w:rPr>
          <w:t>https://cases.justia.com/federal/district-courts/kentucky/kyedce/6:2024cv00173/106630/18/0.pdf?ts=1750154108</w:t>
        </w:r>
      </w:hyperlink>
    </w:p>
    <w:p w14:paraId="35038B9F" w14:textId="189182C1" w:rsidR="00911EB2" w:rsidRPr="00911EB2" w:rsidRDefault="00911EB2" w:rsidP="00911EB2">
      <w:pPr>
        <w:pStyle w:val="NoSpacing"/>
        <w:rPr>
          <w:rFonts w:ascii="Times New Roman" w:hAnsi="Times New Roman"/>
          <w:b/>
          <w:bCs/>
          <w:sz w:val="24"/>
          <w:szCs w:val="24"/>
        </w:rPr>
      </w:pPr>
      <w:r w:rsidRPr="00911EB2">
        <w:rPr>
          <w:rFonts w:ascii="Times New Roman" w:hAnsi="Times New Roman"/>
          <w:b/>
          <w:sz w:val="24"/>
          <w:szCs w:val="24"/>
        </w:rPr>
        <w:t>Legal lesson learned: When responding to a train enrollment, confirm contents no</w:t>
      </w:r>
      <w:r w:rsidR="0087760A">
        <w:rPr>
          <w:rFonts w:ascii="Times New Roman" w:hAnsi="Times New Roman"/>
          <w:b/>
          <w:sz w:val="24"/>
          <w:szCs w:val="24"/>
        </w:rPr>
        <w:t>t</w:t>
      </w:r>
      <w:r w:rsidRPr="00911EB2">
        <w:rPr>
          <w:rFonts w:ascii="Times New Roman" w:hAnsi="Times New Roman"/>
          <w:b/>
          <w:sz w:val="24"/>
          <w:szCs w:val="24"/>
        </w:rPr>
        <w:t xml:space="preserve"> only with train company but also by reading the hazardous material </w:t>
      </w:r>
      <w:r w:rsidR="004538AA">
        <w:rPr>
          <w:rFonts w:ascii="Times New Roman" w:hAnsi="Times New Roman"/>
          <w:b/>
          <w:sz w:val="24"/>
          <w:szCs w:val="24"/>
        </w:rPr>
        <w:t>placards</w:t>
      </w:r>
      <w:r w:rsidRPr="00911EB2">
        <w:rPr>
          <w:rFonts w:ascii="Times New Roman" w:hAnsi="Times New Roman"/>
          <w:b/>
          <w:sz w:val="24"/>
          <w:szCs w:val="24"/>
        </w:rPr>
        <w:t xml:space="preserve"> on the leaking train cars. </w:t>
      </w:r>
    </w:p>
    <w:p w14:paraId="6410313F" w14:textId="77777777" w:rsidR="00911EB2" w:rsidRPr="00911EB2" w:rsidRDefault="00911EB2" w:rsidP="00911EB2">
      <w:pPr>
        <w:pStyle w:val="NoSpacing"/>
        <w:rPr>
          <w:rFonts w:ascii="Times New Roman" w:hAnsi="Times New Roman"/>
          <w:sz w:val="24"/>
          <w:szCs w:val="24"/>
        </w:rPr>
      </w:pPr>
    </w:p>
    <w:p w14:paraId="3F927537" w14:textId="331B0DD8" w:rsidR="00C342C1" w:rsidRPr="00C342C1" w:rsidRDefault="00C342C1" w:rsidP="00C342C1">
      <w:pPr>
        <w:ind w:left="720"/>
        <w:rPr>
          <w:rFonts w:ascii="Times New Roman" w:hAnsi="Times New Roman"/>
          <w:bCs/>
          <w:sz w:val="24"/>
          <w:szCs w:val="24"/>
        </w:rPr>
      </w:pPr>
    </w:p>
    <w:p w14:paraId="09E144F9" w14:textId="283D180C" w:rsidR="009C21FE" w:rsidRDefault="009C21FE" w:rsidP="009C21FE">
      <w:pPr>
        <w:rPr>
          <w:rFonts w:ascii="Arial Black" w:hAnsi="Arial Black"/>
          <w:sz w:val="24"/>
          <w:szCs w:val="24"/>
        </w:rPr>
      </w:pPr>
      <w:r>
        <w:rPr>
          <w:rFonts w:ascii="Arial Black" w:hAnsi="Arial Black"/>
          <w:sz w:val="24"/>
          <w:szCs w:val="24"/>
        </w:rPr>
        <w:t>2-89</w:t>
      </w:r>
    </w:p>
    <w:p w14:paraId="730D33C6" w14:textId="77777777" w:rsidR="00767EBD" w:rsidRPr="00796314" w:rsidRDefault="00767EBD" w:rsidP="00767EBD">
      <w:pPr>
        <w:rPr>
          <w:rFonts w:ascii="Arial Black" w:hAnsi="Arial Black"/>
          <w:b/>
          <w:sz w:val="28"/>
          <w:szCs w:val="28"/>
        </w:rPr>
      </w:pPr>
      <w:r>
        <w:rPr>
          <w:rFonts w:ascii="Arial Black" w:hAnsi="Arial Black"/>
          <w:b/>
          <w:sz w:val="28"/>
          <w:szCs w:val="28"/>
        </w:rPr>
        <w:t xml:space="preserve">NJ: BEARD - AIR MASK TECH – WHEN DID NO FIREFIGHTING </w:t>
      </w:r>
    </w:p>
    <w:p w14:paraId="5C8825A5" w14:textId="77777777" w:rsidR="00767EBD" w:rsidRPr="005C77FB" w:rsidRDefault="00767EBD" w:rsidP="00767EBD">
      <w:pPr>
        <w:pStyle w:val="NoSpacing"/>
        <w:rPr>
          <w:rFonts w:ascii="Times New Roman" w:hAnsi="Times New Roman"/>
          <w:sz w:val="24"/>
          <w:szCs w:val="24"/>
        </w:rPr>
      </w:pPr>
      <w:r w:rsidRPr="005C77FB">
        <w:rPr>
          <w:rFonts w:ascii="Times New Roman" w:hAnsi="Times New Roman"/>
          <w:sz w:val="24"/>
          <w:szCs w:val="24"/>
        </w:rPr>
        <w:t xml:space="preserve">On May 30, 2025, in </w:t>
      </w:r>
      <w:r w:rsidRPr="005C77FB">
        <w:rPr>
          <w:rFonts w:ascii="Times New Roman" w:hAnsi="Times New Roman"/>
          <w:sz w:val="24"/>
          <w:szCs w:val="24"/>
          <w:u w:val="single"/>
        </w:rPr>
        <w:t>Alexander Smith v. City of Atlantic City, et al</w:t>
      </w:r>
      <w:r w:rsidRPr="005C77FB">
        <w:rPr>
          <w:rFonts w:ascii="Times New Roman" w:hAnsi="Times New Roman"/>
          <w:sz w:val="24"/>
          <w:szCs w:val="24"/>
        </w:rPr>
        <w:t xml:space="preserve">.,  the U.S. Court of Appeals for Third Circuit (Philadelphia), held (2 to 1) that a firefighter may proceed with his lawsuit for failure to accommodate his request to wear a beard for religious reasons, but not his claim of retaliation.  He last fought a fire in 2015 and then became FD’s </w:t>
      </w:r>
      <w:proofErr w:type="gramStart"/>
      <w:r w:rsidRPr="005C77FB">
        <w:rPr>
          <w:rFonts w:ascii="Times New Roman" w:hAnsi="Times New Roman"/>
          <w:sz w:val="24"/>
          <w:szCs w:val="24"/>
        </w:rPr>
        <w:t>full time</w:t>
      </w:r>
      <w:proofErr w:type="gramEnd"/>
      <w:r w:rsidRPr="005C77FB">
        <w:rPr>
          <w:rFonts w:ascii="Times New Roman" w:hAnsi="Times New Roman"/>
          <w:sz w:val="24"/>
          <w:szCs w:val="24"/>
        </w:rPr>
        <w:t xml:space="preserve"> Air Mask Technician – and duties included bringing the Air Truck to structure fires and changing out SCBAs.   He like other “administrative” firefighters were not required to take annual fit testing.  In Dec. 2018 he submitted an accommodation request to wear a beard for religious reasons; that was denied, he was ordered to no longer respond to structure fires and he filed this lawsuit.  In 2020, all “administrative” firefighters were required to pass annual fit testing.   On Aug. 4, 2020, Hurricane Isaias hit New Jersey and all off duty personnel.  He was assigned to Engine 23, but he refused to respond (turned out there were no structure fire, but numerous other runs);  the </w:t>
      </w:r>
      <w:proofErr w:type="gramStart"/>
      <w:r w:rsidRPr="005C77FB">
        <w:rPr>
          <w:rFonts w:ascii="Times New Roman" w:hAnsi="Times New Roman"/>
          <w:sz w:val="24"/>
          <w:szCs w:val="24"/>
        </w:rPr>
        <w:t>City</w:t>
      </w:r>
      <w:proofErr w:type="gramEnd"/>
      <w:r w:rsidRPr="005C77FB">
        <w:rPr>
          <w:rFonts w:ascii="Times New Roman" w:hAnsi="Times New Roman"/>
          <w:sz w:val="24"/>
          <w:szCs w:val="24"/>
        </w:rPr>
        <w:t xml:space="preserve"> charged Smith with insubordination and suspended him for forty days, including twenty without pay.   THE COURT HELD: “The City could remove Smith from fire suppression duty as it did before 2020 or reclassify him as a civilian who is not subject to the SCBA and grooming policies. It could, as a simple fix, at least try and fit test Smith with facial hair to see if his facial hair, at any length, would interfere with the SCBA to a point that creates the risk of air leakage that the </w:t>
      </w:r>
      <w:proofErr w:type="gramStart"/>
      <w:r w:rsidRPr="005C77FB">
        <w:rPr>
          <w:rFonts w:ascii="Times New Roman" w:hAnsi="Times New Roman"/>
          <w:sz w:val="24"/>
          <w:szCs w:val="24"/>
        </w:rPr>
        <w:t>City</w:t>
      </w:r>
      <w:proofErr w:type="gramEnd"/>
      <w:r w:rsidRPr="005C77FB">
        <w:rPr>
          <w:rFonts w:ascii="Times New Roman" w:hAnsi="Times New Roman"/>
          <w:sz w:val="24"/>
          <w:szCs w:val="24"/>
        </w:rPr>
        <w:t xml:space="preserve"> fears. See Potter v. District of Columbia, 382 F. Supp. 2d 35, 38 (D.D.C. 2005) (Muslim employee seeking exception passed fit test with beard). There are likely more solutions than these three, but ‘so long as the government can achieve its interests in a manner that does not burden religion, it must do so.’ Fulton, 593 U.S. at 541. Because the policy fails strict scrutiny, we will vacate the District Court’s judgment.”   </w:t>
      </w:r>
      <w:hyperlink r:id="rId449" w:history="1">
        <w:r w:rsidRPr="005C77FB">
          <w:rPr>
            <w:rStyle w:val="Hyperlink"/>
            <w:rFonts w:ascii="Times New Roman" w:hAnsi="Times New Roman"/>
            <w:sz w:val="24"/>
            <w:szCs w:val="24"/>
          </w:rPr>
          <w:t>https://cases.justia.com/federal/appellate-courts/ca3/23-3265/23-3265-2025-05-30.pdf?ts=1748624416</w:t>
        </w:r>
      </w:hyperlink>
      <w:r w:rsidRPr="005C77FB">
        <w:rPr>
          <w:rFonts w:ascii="Times New Roman" w:hAnsi="Times New Roman"/>
          <w:sz w:val="24"/>
          <w:szCs w:val="24"/>
        </w:rPr>
        <w:t xml:space="preserve"> </w:t>
      </w:r>
    </w:p>
    <w:p w14:paraId="45CB05D0" w14:textId="77777777" w:rsidR="005C77FB" w:rsidRPr="005C77FB" w:rsidRDefault="005C77FB" w:rsidP="005C77FB">
      <w:pPr>
        <w:pStyle w:val="NoSpacing"/>
        <w:rPr>
          <w:rFonts w:ascii="Times New Roman" w:hAnsi="Times New Roman"/>
          <w:b/>
          <w:sz w:val="24"/>
          <w:szCs w:val="24"/>
        </w:rPr>
      </w:pPr>
    </w:p>
    <w:p w14:paraId="77942307" w14:textId="44B7447B" w:rsidR="005C77FB" w:rsidRPr="005C77FB" w:rsidRDefault="005C77FB" w:rsidP="005C77FB">
      <w:pPr>
        <w:pStyle w:val="NoSpacing"/>
        <w:rPr>
          <w:rFonts w:ascii="Times New Roman" w:hAnsi="Times New Roman"/>
          <w:b/>
          <w:bCs/>
          <w:sz w:val="24"/>
          <w:szCs w:val="24"/>
        </w:rPr>
      </w:pPr>
      <w:r w:rsidRPr="005C77FB">
        <w:rPr>
          <w:rFonts w:ascii="Times New Roman" w:hAnsi="Times New Roman"/>
          <w:b/>
          <w:sz w:val="24"/>
          <w:szCs w:val="24"/>
        </w:rPr>
        <w:t>Legal lesson learned: This decision has limited precedent; most fire departments</w:t>
      </w:r>
      <w:r w:rsidRPr="005C77FB">
        <w:rPr>
          <w:rFonts w:ascii="Times New Roman" w:hAnsi="Times New Roman"/>
          <w:b/>
          <w:bCs/>
          <w:sz w:val="24"/>
          <w:szCs w:val="24"/>
        </w:rPr>
        <w:t xml:space="preserve"> require</w:t>
      </w:r>
      <w:r w:rsidRPr="005C77FB">
        <w:rPr>
          <w:rFonts w:ascii="Times New Roman" w:hAnsi="Times New Roman"/>
          <w:b/>
          <w:sz w:val="24"/>
          <w:szCs w:val="24"/>
        </w:rPr>
        <w:t xml:space="preserve"> annual fit testing for all firefighters.  </w:t>
      </w:r>
    </w:p>
    <w:p w14:paraId="0910A866" w14:textId="77777777" w:rsidR="005C77FB" w:rsidRPr="005C77FB" w:rsidRDefault="005C77FB" w:rsidP="005C77FB">
      <w:pPr>
        <w:pStyle w:val="NoSpacing"/>
        <w:rPr>
          <w:rFonts w:ascii="Times New Roman" w:hAnsi="Times New Roman"/>
          <w:b/>
          <w:bCs/>
          <w:sz w:val="24"/>
          <w:szCs w:val="24"/>
        </w:rPr>
      </w:pPr>
    </w:p>
    <w:p w14:paraId="5F191769" w14:textId="77777777" w:rsidR="005C77FB" w:rsidRPr="005C77FB" w:rsidRDefault="005C77FB" w:rsidP="005C77FB">
      <w:pPr>
        <w:ind w:left="720"/>
        <w:rPr>
          <w:rFonts w:ascii="Times New Roman" w:hAnsi="Times New Roman"/>
          <w:b/>
          <w:sz w:val="24"/>
          <w:szCs w:val="24"/>
        </w:rPr>
      </w:pPr>
      <w:r w:rsidRPr="005C77FB">
        <w:rPr>
          <w:rFonts w:ascii="Times New Roman" w:hAnsi="Times New Roman"/>
          <w:sz w:val="24"/>
          <w:szCs w:val="24"/>
        </w:rPr>
        <w:t xml:space="preserve">Note: See this article, “Jersey Shore firefighter wins court battle over growing beard on religious grounds.” </w:t>
      </w:r>
      <w:hyperlink r:id="rId450" w:history="1">
        <w:r w:rsidRPr="005C77FB">
          <w:rPr>
            <w:rStyle w:val="Hyperlink"/>
            <w:rFonts w:ascii="Times New Roman" w:hAnsi="Times New Roman"/>
            <w:sz w:val="24"/>
            <w:szCs w:val="24"/>
          </w:rPr>
          <w:t>https://www.nj.com/atlantic/2025/06/jersey-shore-firefighter-wins-court-battle-over-growing-beard-on-religious-grounds.html?mc_cid=2cb6755cd5&amp;mc_eid=cbaa4ade01</w:t>
        </w:r>
      </w:hyperlink>
    </w:p>
    <w:p w14:paraId="64C869EA" w14:textId="77777777" w:rsidR="005C77FB" w:rsidRDefault="005C77FB" w:rsidP="00767EBD">
      <w:pPr>
        <w:pStyle w:val="NoSpacing"/>
      </w:pPr>
    </w:p>
    <w:p w14:paraId="4CBA1C95" w14:textId="66424917" w:rsidR="00E04C78" w:rsidRDefault="00E04C78" w:rsidP="005D5A0C">
      <w:pPr>
        <w:rPr>
          <w:rFonts w:ascii="Arial Black" w:hAnsi="Arial Black"/>
          <w:sz w:val="24"/>
          <w:szCs w:val="24"/>
        </w:rPr>
      </w:pPr>
      <w:r>
        <w:rPr>
          <w:rFonts w:ascii="Arial Black" w:hAnsi="Arial Black"/>
          <w:sz w:val="24"/>
          <w:szCs w:val="24"/>
        </w:rPr>
        <w:t>2-88</w:t>
      </w:r>
    </w:p>
    <w:p w14:paraId="23E70DC1" w14:textId="77777777" w:rsidR="00E04C78" w:rsidRPr="006F2B87" w:rsidRDefault="00E04C78" w:rsidP="00E04C78">
      <w:pPr>
        <w:pStyle w:val="NoSpacing"/>
        <w:rPr>
          <w:rFonts w:ascii="Arial Black" w:hAnsi="Arial Black"/>
          <w:sz w:val="28"/>
          <w:szCs w:val="28"/>
        </w:rPr>
      </w:pPr>
      <w:r w:rsidRPr="006F2B87">
        <w:rPr>
          <w:rFonts w:ascii="Arial Black" w:hAnsi="Arial Black"/>
          <w:sz w:val="28"/>
          <w:szCs w:val="28"/>
        </w:rPr>
        <w:t xml:space="preserve">U.S. SUP. CT: PD </w:t>
      </w:r>
      <w:r>
        <w:rPr>
          <w:rFonts w:ascii="Arial Black" w:hAnsi="Arial Black"/>
          <w:sz w:val="28"/>
          <w:szCs w:val="28"/>
        </w:rPr>
        <w:t xml:space="preserve">SHOOTINGS - </w:t>
      </w:r>
      <w:r w:rsidRPr="006F2B87">
        <w:rPr>
          <w:rFonts w:ascii="Arial Black" w:hAnsi="Arial Black"/>
          <w:sz w:val="28"/>
          <w:szCs w:val="28"/>
        </w:rPr>
        <w:t xml:space="preserve">REVIEW TOTAL CIRCUM. </w:t>
      </w:r>
    </w:p>
    <w:p w14:paraId="72075FA1" w14:textId="77777777" w:rsidR="00E04C78" w:rsidRPr="006F2B87" w:rsidRDefault="00E04C78" w:rsidP="00E04C78">
      <w:pPr>
        <w:pStyle w:val="NoSpacing"/>
      </w:pPr>
    </w:p>
    <w:p w14:paraId="1FEC9E5F" w14:textId="77777777" w:rsidR="00E04C78" w:rsidRPr="00E04C78" w:rsidRDefault="00E04C78" w:rsidP="00E04C78">
      <w:pPr>
        <w:pStyle w:val="NoSpacing"/>
        <w:rPr>
          <w:rFonts w:ascii="Times New Roman" w:hAnsi="Times New Roman"/>
          <w:sz w:val="24"/>
          <w:szCs w:val="24"/>
        </w:rPr>
      </w:pPr>
      <w:r w:rsidRPr="00E04C78">
        <w:rPr>
          <w:rFonts w:ascii="Times New Roman" w:hAnsi="Times New Roman"/>
          <w:sz w:val="24"/>
          <w:szCs w:val="24"/>
        </w:rPr>
        <w:t xml:space="preserve">On May 15, 2025, in </w:t>
      </w:r>
      <w:r w:rsidRPr="00E04C78">
        <w:rPr>
          <w:rFonts w:ascii="Times New Roman" w:hAnsi="Times New Roman"/>
          <w:sz w:val="24"/>
          <w:szCs w:val="24"/>
          <w:u w:val="single"/>
        </w:rPr>
        <w:t>Janice Hughes Barnes, individually and as representative of the estate of Ashtian Barnes, deceased v. Roberto Felix, et al</w:t>
      </w:r>
      <w:r w:rsidRPr="00E04C78">
        <w:rPr>
          <w:rFonts w:ascii="Times New Roman" w:hAnsi="Times New Roman"/>
          <w:sz w:val="24"/>
          <w:szCs w:val="24"/>
        </w:rPr>
        <w:t>., the United States Supreme Court held (9 to 0) that lawsuit against officer is reinstated; trial court judge when deciding qualified immunity must review all the circumstances involving the incident, as in this case the officer jumped on door of stopped vehicle before the driver tried to speed away.  The Court rejected the 5</w:t>
      </w:r>
      <w:r w:rsidRPr="00E04C78">
        <w:rPr>
          <w:rFonts w:ascii="Times New Roman" w:hAnsi="Times New Roman"/>
          <w:sz w:val="24"/>
          <w:szCs w:val="24"/>
          <w:vertAlign w:val="superscript"/>
        </w:rPr>
        <w:t>th</w:t>
      </w:r>
      <w:r w:rsidRPr="00E04C78">
        <w:rPr>
          <w:rFonts w:ascii="Times New Roman" w:hAnsi="Times New Roman"/>
          <w:sz w:val="24"/>
          <w:szCs w:val="24"/>
        </w:rPr>
        <w:t xml:space="preserve"> Circuit precedent that in police shooting the trial court judge should only review the seconds involving the “moment-of-threat.”  </w:t>
      </w:r>
    </w:p>
    <w:p w14:paraId="53847827" w14:textId="77777777" w:rsidR="00E04C78" w:rsidRPr="00E04C78" w:rsidRDefault="00E04C78" w:rsidP="00E04C78">
      <w:pPr>
        <w:pStyle w:val="NoSpacing"/>
        <w:rPr>
          <w:rFonts w:ascii="Times New Roman" w:hAnsi="Times New Roman"/>
          <w:sz w:val="24"/>
          <w:szCs w:val="24"/>
        </w:rPr>
      </w:pPr>
    </w:p>
    <w:p w14:paraId="1C02619D" w14:textId="77777777" w:rsidR="00E04C78" w:rsidRPr="00E04C78" w:rsidRDefault="00E04C78" w:rsidP="00E04C78">
      <w:pPr>
        <w:pStyle w:val="NoSpacing"/>
        <w:rPr>
          <w:rFonts w:ascii="Times New Roman" w:hAnsi="Times New Roman"/>
          <w:sz w:val="24"/>
          <w:szCs w:val="24"/>
        </w:rPr>
      </w:pPr>
      <w:r w:rsidRPr="00E04C78">
        <w:rPr>
          <w:rFonts w:ascii="Times New Roman" w:hAnsi="Times New Roman"/>
          <w:sz w:val="24"/>
          <w:szCs w:val="24"/>
        </w:rPr>
        <w:t xml:space="preserve">Justice Elena Kagam wrote Court’s opinion: “On the afternoon of April 28, 2016, Roberto Felix, Jr., a law enforcement officer patrolling a highway outside Houston, received a radio alert about an automobile on the road with outstanding toll violations. Felix soon spotted the car, a Toyota Corolla, and turned on his emergency lights to initiate a traffic stop. The driver, Ashtian Barnes, pulled over to the highway’s shoulder…. With his right hand resting on his holster, Felix told Barnes to get out of the car. Barnes opened the door but did not </w:t>
      </w:r>
      <w:proofErr w:type="gramStart"/>
      <w:r w:rsidRPr="00E04C78">
        <w:rPr>
          <w:rFonts w:ascii="Times New Roman" w:hAnsi="Times New Roman"/>
          <w:sz w:val="24"/>
          <w:szCs w:val="24"/>
        </w:rPr>
        <w:t>exit</w:t>
      </w:r>
      <w:proofErr w:type="gramEnd"/>
      <w:r w:rsidRPr="00E04C78">
        <w:rPr>
          <w:rFonts w:ascii="Times New Roman" w:hAnsi="Times New Roman"/>
          <w:sz w:val="24"/>
          <w:szCs w:val="24"/>
        </w:rPr>
        <w:t xml:space="preserve">; instead, he turned the ignition back on. Felix unholstered his gun and, as the car began to move forward, jumped onto its doorsill. He twice shouted, ‘Don’t fucking move.’ And with no visibility into the car (because his head was above the roof), he fired two quick shots inside. Barnes was hit. but managed to stop the car. Felix then radioed for back-up. By the time it arrived, Barnes was dead. All told, about five seconds elapsed between when the car started moving and when it stopped. And within that period, two seconds passed between the moment Felix stepped on the doorsill and the moment he fired his first shot. *** The question here is whether that framework permits courts, in evaluating a police shooting (or other use of force), to apply the so-called moment-of-threat rule used in the courts below. Under that rule, a court looks only to the circumstances existing at the precise time an officer perceived the threat inducing him to shoot. Today, we reject that approach as improperly narrowing the requisite Fourth Amendment analysis. To assess whether an officer acted reasonably in using force, a court must consider all the relevant circumstances, including facts and events leading up to the climactic moment.” ***  [W]e return everything else to the courts below. It is for them now to consider the reasonableness of the shooting, using the lengthier timeframe we have prescribed.” </w:t>
      </w:r>
      <w:hyperlink r:id="rId451" w:history="1">
        <w:r w:rsidRPr="00E04C78">
          <w:rPr>
            <w:rStyle w:val="Hyperlink"/>
            <w:rFonts w:ascii="Times New Roman" w:hAnsi="Times New Roman"/>
            <w:sz w:val="24"/>
            <w:szCs w:val="24"/>
          </w:rPr>
          <w:t>https://www.supremecourt.gov/opinions/24pdf/23-1239_onjq.pdf</w:t>
        </w:r>
      </w:hyperlink>
      <w:r w:rsidRPr="00E04C78">
        <w:rPr>
          <w:rFonts w:ascii="Times New Roman" w:hAnsi="Times New Roman"/>
          <w:sz w:val="24"/>
          <w:szCs w:val="24"/>
        </w:rPr>
        <w:t xml:space="preserve"> </w:t>
      </w:r>
    </w:p>
    <w:p w14:paraId="4920B742" w14:textId="77777777" w:rsidR="0049084F" w:rsidRDefault="0049084F" w:rsidP="0049084F">
      <w:pPr>
        <w:pStyle w:val="NoSpacing"/>
        <w:rPr>
          <w:rFonts w:ascii="Times New Roman" w:hAnsi="Times New Roman"/>
          <w:b/>
          <w:sz w:val="24"/>
          <w:szCs w:val="24"/>
        </w:rPr>
      </w:pPr>
    </w:p>
    <w:p w14:paraId="37451D0C" w14:textId="69930B2D" w:rsidR="0049084F" w:rsidRPr="0049084F" w:rsidRDefault="0049084F" w:rsidP="0049084F">
      <w:pPr>
        <w:pStyle w:val="NoSpacing"/>
        <w:rPr>
          <w:rFonts w:ascii="Times New Roman" w:hAnsi="Times New Roman"/>
          <w:b/>
          <w:bCs/>
          <w:sz w:val="24"/>
          <w:szCs w:val="24"/>
        </w:rPr>
      </w:pPr>
      <w:r w:rsidRPr="0049084F">
        <w:rPr>
          <w:rFonts w:ascii="Times New Roman" w:hAnsi="Times New Roman"/>
          <w:b/>
          <w:sz w:val="24"/>
          <w:szCs w:val="24"/>
        </w:rPr>
        <w:t>Legal Lesson Learned: The unanimous decision will also be</w:t>
      </w:r>
      <w:r w:rsidRPr="0049084F">
        <w:rPr>
          <w:rFonts w:ascii="Times New Roman" w:hAnsi="Times New Roman"/>
          <w:b/>
          <w:bCs/>
          <w:sz w:val="24"/>
          <w:szCs w:val="24"/>
        </w:rPr>
        <w:t xml:space="preserve"> precedent </w:t>
      </w:r>
      <w:r w:rsidRPr="0049084F">
        <w:rPr>
          <w:rFonts w:ascii="Times New Roman" w:hAnsi="Times New Roman"/>
          <w:b/>
          <w:sz w:val="24"/>
          <w:szCs w:val="24"/>
        </w:rPr>
        <w:t xml:space="preserve">when reviewing </w:t>
      </w:r>
      <w:r w:rsidRPr="0049084F">
        <w:rPr>
          <w:rFonts w:ascii="Times New Roman" w:hAnsi="Times New Roman"/>
          <w:b/>
          <w:bCs/>
          <w:sz w:val="24"/>
          <w:szCs w:val="24"/>
        </w:rPr>
        <w:t xml:space="preserve">Fire &amp; </w:t>
      </w:r>
      <w:r w:rsidRPr="0049084F">
        <w:rPr>
          <w:rFonts w:ascii="Times New Roman" w:hAnsi="Times New Roman"/>
          <w:b/>
          <w:sz w:val="24"/>
          <w:szCs w:val="24"/>
        </w:rPr>
        <w:t>MS actions when facing possible harm</w:t>
      </w:r>
      <w:r w:rsidRPr="0049084F">
        <w:rPr>
          <w:rFonts w:ascii="Times New Roman" w:hAnsi="Times New Roman"/>
          <w:b/>
          <w:bCs/>
          <w:sz w:val="24"/>
          <w:szCs w:val="24"/>
        </w:rPr>
        <w:t>, s</w:t>
      </w:r>
      <w:r w:rsidRPr="0049084F">
        <w:rPr>
          <w:rFonts w:ascii="Times New Roman" w:hAnsi="Times New Roman"/>
          <w:b/>
          <w:sz w:val="24"/>
          <w:szCs w:val="24"/>
        </w:rPr>
        <w:t xml:space="preserve">uch as mental patient struggling </w:t>
      </w:r>
      <w:proofErr w:type="gramStart"/>
      <w:r w:rsidRPr="0049084F">
        <w:rPr>
          <w:rFonts w:ascii="Times New Roman" w:hAnsi="Times New Roman"/>
          <w:b/>
          <w:sz w:val="24"/>
          <w:szCs w:val="24"/>
        </w:rPr>
        <w:t>in back of</w:t>
      </w:r>
      <w:proofErr w:type="gramEnd"/>
      <w:r w:rsidRPr="0049084F">
        <w:rPr>
          <w:rFonts w:ascii="Times New Roman" w:hAnsi="Times New Roman"/>
          <w:b/>
          <w:sz w:val="24"/>
          <w:szCs w:val="24"/>
        </w:rPr>
        <w:t xml:space="preserve"> an ambulance</w:t>
      </w:r>
      <w:r w:rsidRPr="0049084F">
        <w:rPr>
          <w:rFonts w:ascii="Times New Roman" w:hAnsi="Times New Roman"/>
          <w:b/>
          <w:bCs/>
          <w:sz w:val="24"/>
          <w:szCs w:val="24"/>
        </w:rPr>
        <w:t xml:space="preserve">. </w:t>
      </w:r>
    </w:p>
    <w:p w14:paraId="71782994" w14:textId="77777777" w:rsidR="0049084F" w:rsidRPr="0049084F" w:rsidRDefault="0049084F" w:rsidP="0049084F">
      <w:pPr>
        <w:pStyle w:val="NoSpacing"/>
        <w:rPr>
          <w:rFonts w:ascii="Times New Roman" w:hAnsi="Times New Roman"/>
          <w:bCs/>
          <w:sz w:val="24"/>
          <w:szCs w:val="24"/>
        </w:rPr>
      </w:pPr>
    </w:p>
    <w:p w14:paraId="36FAC1B5" w14:textId="77777777" w:rsidR="00E04C78" w:rsidRPr="0049084F" w:rsidRDefault="00E04C78" w:rsidP="005D5A0C">
      <w:pPr>
        <w:rPr>
          <w:rFonts w:ascii="Times New Roman" w:hAnsi="Times New Roman"/>
          <w:sz w:val="24"/>
          <w:szCs w:val="24"/>
        </w:rPr>
      </w:pPr>
    </w:p>
    <w:p w14:paraId="3256B2E2" w14:textId="77777777" w:rsidR="00E04C78" w:rsidRDefault="00E04C78" w:rsidP="005D5A0C">
      <w:pPr>
        <w:rPr>
          <w:rFonts w:ascii="Arial Black" w:hAnsi="Arial Black"/>
          <w:sz w:val="24"/>
          <w:szCs w:val="24"/>
        </w:rPr>
      </w:pPr>
    </w:p>
    <w:p w14:paraId="116A7DF5" w14:textId="4CE618EA" w:rsidR="00883B5F" w:rsidRDefault="00883B5F" w:rsidP="005D5A0C">
      <w:pPr>
        <w:rPr>
          <w:rFonts w:ascii="Arial Black" w:hAnsi="Arial Black"/>
          <w:sz w:val="24"/>
          <w:szCs w:val="24"/>
        </w:rPr>
      </w:pPr>
      <w:r>
        <w:rPr>
          <w:rFonts w:ascii="Arial Black" w:hAnsi="Arial Black"/>
          <w:sz w:val="24"/>
          <w:szCs w:val="24"/>
        </w:rPr>
        <w:t>2-87</w:t>
      </w:r>
    </w:p>
    <w:p w14:paraId="329CEA14" w14:textId="77777777" w:rsidR="00E63984" w:rsidRPr="00830E6C" w:rsidRDefault="00E63984" w:rsidP="00E63984">
      <w:pPr>
        <w:rPr>
          <w:rFonts w:ascii="Arial Black" w:hAnsi="Arial Black"/>
          <w:b/>
          <w:sz w:val="28"/>
          <w:szCs w:val="28"/>
        </w:rPr>
      </w:pPr>
      <w:r>
        <w:rPr>
          <w:rFonts w:ascii="Arial Black" w:hAnsi="Arial Black"/>
          <w:b/>
          <w:sz w:val="28"/>
          <w:szCs w:val="28"/>
        </w:rPr>
        <w:t>AK: FF / OTHERS - FORMIC ACID - $75M JURY EXCESSIVE</w:t>
      </w:r>
    </w:p>
    <w:p w14:paraId="3288511F" w14:textId="48CCE21C" w:rsidR="00E63984" w:rsidRDefault="00E63984" w:rsidP="00E63984">
      <w:pPr>
        <w:rPr>
          <w:rFonts w:ascii="Times New Roman" w:hAnsi="Times New Roman"/>
          <w:sz w:val="24"/>
          <w:szCs w:val="24"/>
        </w:rPr>
      </w:pPr>
      <w:r w:rsidRPr="00E63984">
        <w:rPr>
          <w:rFonts w:ascii="Times New Roman" w:hAnsi="Times New Roman"/>
          <w:sz w:val="24"/>
          <w:szCs w:val="24"/>
        </w:rPr>
        <w:t xml:space="preserve">On April 30, 2025, in </w:t>
      </w:r>
      <w:r w:rsidRPr="00E63984">
        <w:rPr>
          <w:rFonts w:ascii="Times New Roman" w:hAnsi="Times New Roman"/>
          <w:sz w:val="24"/>
          <w:szCs w:val="24"/>
          <w:u w:val="single"/>
        </w:rPr>
        <w:t>Old Dominion Freight Line, Inc., and Aaron Marvel Foster v. Frank McMillion, Allen Jones, Carlton Pettus, Hunter Bokker, Bengi Bokker and Zack Billingsley</w:t>
      </w:r>
      <w:r w:rsidRPr="00E63984">
        <w:rPr>
          <w:rFonts w:ascii="Times New Roman" w:hAnsi="Times New Roman"/>
          <w:sz w:val="24"/>
          <w:szCs w:val="24"/>
        </w:rPr>
        <w:t xml:space="preserve">, the Court of Appeals of Arkansas, Division II held (3 to 0) that the jury’s combined award of $75 million for six plaintiffs was excessive and must be retried given the limited injuries suffered.  The six plaintiffs included two law enforcement officers, and a 4-person crew from a tow-truck company, including off-duty firefighter Carlton Pettus who was awarded $5 million. On April 20, </w:t>
      </w:r>
      <w:proofErr w:type="gramStart"/>
      <w:r w:rsidRPr="00E63984">
        <w:rPr>
          <w:rFonts w:ascii="Times New Roman" w:hAnsi="Times New Roman"/>
          <w:sz w:val="24"/>
          <w:szCs w:val="24"/>
        </w:rPr>
        <w:t>2018</w:t>
      </w:r>
      <w:proofErr w:type="gramEnd"/>
      <w:r w:rsidRPr="00E63984">
        <w:rPr>
          <w:rFonts w:ascii="Times New Roman" w:hAnsi="Times New Roman"/>
          <w:sz w:val="24"/>
          <w:szCs w:val="24"/>
        </w:rPr>
        <w:t xml:space="preserve"> a pick-up truck that ran head on into an Old Dominion semi carrying one barrel of formic acid weighing 565 pounds.  The semi-truck was on fire and the Old Dominion driver, Aaron Marvel Foster, falsely told responders that there were no hazardous materials on board.  There also was no HAZMAT placard displayed since the load was less than 1,000 pounds. The six plaintiffs all experienced at the scene difficulty breathing and had burning sensations in their noses, throats, and eyes, and various breathing difficulties thereafter. </w:t>
      </w:r>
      <w:hyperlink r:id="rId452" w:history="1">
        <w:r w:rsidRPr="00E63984">
          <w:rPr>
            <w:rStyle w:val="Hyperlink"/>
            <w:rFonts w:ascii="Times New Roman" w:hAnsi="Times New Roman"/>
            <w:sz w:val="24"/>
            <w:szCs w:val="24"/>
          </w:rPr>
          <w:t>https://cases.justia.com/arkansas/court-of-appeals/2025-cv-22-305.pdf?ts=1746026138</w:t>
        </w:r>
      </w:hyperlink>
    </w:p>
    <w:p w14:paraId="63EE9060" w14:textId="77777777" w:rsidR="006E3103" w:rsidRPr="006E3103" w:rsidRDefault="006E3103" w:rsidP="006E3103">
      <w:pPr>
        <w:pStyle w:val="NoSpacing"/>
        <w:rPr>
          <w:rFonts w:ascii="Times New Roman" w:hAnsi="Times New Roman"/>
          <w:b/>
          <w:sz w:val="24"/>
          <w:szCs w:val="24"/>
        </w:rPr>
      </w:pPr>
      <w:r w:rsidRPr="006E3103">
        <w:rPr>
          <w:rFonts w:ascii="Times New Roman" w:hAnsi="Times New Roman"/>
          <w:b/>
          <w:sz w:val="24"/>
          <w:szCs w:val="24"/>
        </w:rPr>
        <w:t xml:space="preserve">Legal Lesson Learned:  The jury with $75 million judgment “sent a message” to Old Dominion Company and their truck driver that they must disclose hazardous materials to responders. </w:t>
      </w:r>
    </w:p>
    <w:p w14:paraId="0E656C0B" w14:textId="77777777" w:rsidR="006E3103" w:rsidRPr="00E63984" w:rsidRDefault="006E3103" w:rsidP="00E63984">
      <w:pPr>
        <w:rPr>
          <w:rFonts w:ascii="Times New Roman" w:hAnsi="Times New Roman"/>
          <w:sz w:val="24"/>
          <w:szCs w:val="24"/>
        </w:rPr>
      </w:pPr>
    </w:p>
    <w:p w14:paraId="5E1E9997" w14:textId="77777777" w:rsidR="00883B5F" w:rsidRDefault="00883B5F" w:rsidP="005D5A0C">
      <w:pPr>
        <w:rPr>
          <w:rFonts w:ascii="Arial Black" w:hAnsi="Arial Black"/>
          <w:sz w:val="24"/>
          <w:szCs w:val="24"/>
        </w:rPr>
      </w:pPr>
    </w:p>
    <w:p w14:paraId="1C41F4F1" w14:textId="3D6EC8EA" w:rsidR="00A56D83" w:rsidRDefault="00A56D83" w:rsidP="005D5A0C">
      <w:pPr>
        <w:rPr>
          <w:rFonts w:ascii="Arial Black" w:hAnsi="Arial Black"/>
          <w:sz w:val="24"/>
          <w:szCs w:val="24"/>
        </w:rPr>
      </w:pPr>
      <w:r>
        <w:rPr>
          <w:rFonts w:ascii="Arial Black" w:hAnsi="Arial Black"/>
          <w:sz w:val="24"/>
          <w:szCs w:val="24"/>
        </w:rPr>
        <w:t>2-86</w:t>
      </w:r>
    </w:p>
    <w:p w14:paraId="069AC4B2" w14:textId="77777777" w:rsidR="00186708" w:rsidRPr="00C31E7C" w:rsidRDefault="00186708" w:rsidP="00186708">
      <w:pPr>
        <w:rPr>
          <w:rFonts w:ascii="Arial Black" w:hAnsi="Arial Black"/>
          <w:bCs/>
          <w:sz w:val="28"/>
          <w:szCs w:val="28"/>
        </w:rPr>
      </w:pPr>
      <w:r>
        <w:rPr>
          <w:rFonts w:ascii="Arial Black" w:hAnsi="Arial Black"/>
          <w:sz w:val="28"/>
          <w:szCs w:val="28"/>
        </w:rPr>
        <w:t>NY:  HEAD</w:t>
      </w:r>
      <w:r>
        <w:rPr>
          <w:rFonts w:ascii="Arial Black" w:hAnsi="Arial Black"/>
          <w:bCs/>
          <w:sz w:val="28"/>
          <w:szCs w:val="28"/>
        </w:rPr>
        <w:t xml:space="preserve"> INJURY</w:t>
      </w:r>
      <w:r>
        <w:rPr>
          <w:rFonts w:ascii="Arial Black" w:hAnsi="Arial Black"/>
          <w:sz w:val="28"/>
          <w:szCs w:val="28"/>
        </w:rPr>
        <w:t xml:space="preserve"> – ENGINE HIT BUMP – ROAD REPAIR CO.</w:t>
      </w:r>
    </w:p>
    <w:p w14:paraId="7A789EB4" w14:textId="77777777" w:rsidR="00186708" w:rsidRPr="00186708" w:rsidRDefault="00186708" w:rsidP="00186708">
      <w:pPr>
        <w:rPr>
          <w:rFonts w:ascii="Times New Roman" w:hAnsi="Times New Roman"/>
          <w:b/>
          <w:sz w:val="24"/>
          <w:szCs w:val="24"/>
        </w:rPr>
      </w:pPr>
      <w:r w:rsidRPr="00186708">
        <w:rPr>
          <w:rFonts w:ascii="Times New Roman" w:hAnsi="Times New Roman"/>
          <w:sz w:val="24"/>
          <w:szCs w:val="24"/>
        </w:rPr>
        <w:t xml:space="preserve">On April 23, 2025, in </w:t>
      </w:r>
      <w:r w:rsidRPr="00186708">
        <w:rPr>
          <w:rFonts w:ascii="Times New Roman" w:hAnsi="Times New Roman"/>
          <w:sz w:val="24"/>
          <w:szCs w:val="24"/>
          <w:u w:val="single"/>
        </w:rPr>
        <w:t>Vincent Inglese, et al. v. City of New York and Vall Industries, Inc</w:t>
      </w:r>
      <w:r w:rsidRPr="00186708">
        <w:rPr>
          <w:rFonts w:ascii="Times New Roman" w:hAnsi="Times New Roman"/>
          <w:sz w:val="24"/>
          <w:szCs w:val="24"/>
        </w:rPr>
        <w:t xml:space="preserve">., the Supreme Court of New York, Second Department held (4 to 0) that trial court properly held that the injured FF may sue Vall Industries for personal injury suffered when his head hit the ceiling as the fire truck went over the raised section of road that Vall Industries was hired to repair.  The “Fireman’s Rule” was </w:t>
      </w:r>
      <w:r w:rsidRPr="00186708">
        <w:rPr>
          <w:rFonts w:ascii="Times New Roman" w:hAnsi="Times New Roman"/>
          <w:bCs/>
          <w:sz w:val="24"/>
          <w:szCs w:val="24"/>
        </w:rPr>
        <w:t xml:space="preserve">modified </w:t>
      </w:r>
      <w:r w:rsidRPr="00186708">
        <w:rPr>
          <w:rFonts w:ascii="Times New Roman" w:hAnsi="Times New Roman"/>
          <w:sz w:val="24"/>
          <w:szCs w:val="24"/>
        </w:rPr>
        <w:t xml:space="preserve">in New York.  </w:t>
      </w:r>
      <w:hyperlink r:id="rId453" w:history="1">
        <w:r w:rsidRPr="00186708">
          <w:rPr>
            <w:rStyle w:val="Hyperlink"/>
            <w:rFonts w:ascii="Times New Roman" w:hAnsi="Times New Roman"/>
            <w:sz w:val="24"/>
            <w:szCs w:val="24"/>
          </w:rPr>
          <w:t>https://law.justia.com/cases/new-york/appellate-division-second-department/2025/2023-00001.html</w:t>
        </w:r>
      </w:hyperlink>
      <w:r w:rsidRPr="00186708">
        <w:rPr>
          <w:rFonts w:ascii="Times New Roman" w:hAnsi="Times New Roman"/>
          <w:sz w:val="24"/>
          <w:szCs w:val="24"/>
        </w:rPr>
        <w:t xml:space="preserve"> </w:t>
      </w:r>
    </w:p>
    <w:p w14:paraId="1C32B199" w14:textId="77777777" w:rsidR="00883B5F" w:rsidRPr="00883B5F" w:rsidRDefault="00883B5F" w:rsidP="00883B5F">
      <w:pPr>
        <w:rPr>
          <w:b/>
          <w:bCs/>
          <w:sz w:val="24"/>
          <w:szCs w:val="24"/>
        </w:rPr>
      </w:pPr>
      <w:r w:rsidRPr="00883B5F">
        <w:rPr>
          <w:b/>
          <w:sz w:val="24"/>
          <w:szCs w:val="24"/>
        </w:rPr>
        <w:t xml:space="preserve">Legal Lesson Learned: A road repair company can be sued by the firefighter for negligence. </w:t>
      </w:r>
    </w:p>
    <w:p w14:paraId="2993CA02" w14:textId="77777777" w:rsidR="00A56D83" w:rsidRDefault="00A56D83" w:rsidP="005D5A0C">
      <w:pPr>
        <w:rPr>
          <w:rFonts w:ascii="Arial Black" w:hAnsi="Arial Black"/>
          <w:sz w:val="24"/>
          <w:szCs w:val="24"/>
        </w:rPr>
      </w:pPr>
    </w:p>
    <w:p w14:paraId="7556E1F0" w14:textId="295E8151" w:rsidR="008B2721" w:rsidRDefault="00742E47" w:rsidP="005D5A0C">
      <w:pPr>
        <w:rPr>
          <w:rFonts w:ascii="Arial Black" w:hAnsi="Arial Black"/>
          <w:sz w:val="24"/>
          <w:szCs w:val="24"/>
        </w:rPr>
      </w:pPr>
      <w:r>
        <w:rPr>
          <w:rFonts w:ascii="Arial Black" w:hAnsi="Arial Black"/>
          <w:sz w:val="24"/>
          <w:szCs w:val="24"/>
        </w:rPr>
        <w:t>2-85</w:t>
      </w:r>
    </w:p>
    <w:p w14:paraId="59DF50D8" w14:textId="77777777" w:rsidR="0022097E" w:rsidRPr="001A6210" w:rsidRDefault="0022097E" w:rsidP="0022097E">
      <w:pPr>
        <w:pStyle w:val="NoSpacing"/>
        <w:rPr>
          <w:rFonts w:ascii="Arial Black" w:hAnsi="Arial Black"/>
          <w:sz w:val="28"/>
          <w:szCs w:val="28"/>
        </w:rPr>
      </w:pPr>
      <w:r>
        <w:rPr>
          <w:rFonts w:ascii="Arial Black" w:hAnsi="Arial Black"/>
          <w:sz w:val="28"/>
          <w:szCs w:val="28"/>
        </w:rPr>
        <w:t>OH: DRIVER STRUCK / KILLED FF –16-YRS-LIFE – RE-SENT.</w:t>
      </w:r>
    </w:p>
    <w:p w14:paraId="672D5737" w14:textId="77777777" w:rsidR="0022097E" w:rsidRDefault="0022097E" w:rsidP="0022097E">
      <w:pPr>
        <w:pStyle w:val="NoSpacing"/>
      </w:pPr>
    </w:p>
    <w:p w14:paraId="5177D6A2" w14:textId="77777777" w:rsidR="0022097E" w:rsidRPr="0022097E" w:rsidRDefault="0022097E" w:rsidP="0022097E">
      <w:pPr>
        <w:pStyle w:val="NoSpacing"/>
        <w:rPr>
          <w:rFonts w:ascii="Times New Roman" w:hAnsi="Times New Roman"/>
          <w:sz w:val="24"/>
          <w:szCs w:val="24"/>
        </w:rPr>
      </w:pPr>
      <w:r w:rsidRPr="0022097E">
        <w:rPr>
          <w:rFonts w:ascii="Times New Roman" w:hAnsi="Times New Roman"/>
          <w:sz w:val="24"/>
          <w:szCs w:val="24"/>
        </w:rPr>
        <w:t xml:space="preserve">On April 14, 2025, in </w:t>
      </w:r>
      <w:r w:rsidRPr="0022097E">
        <w:rPr>
          <w:rFonts w:ascii="Times New Roman" w:hAnsi="Times New Roman"/>
          <w:sz w:val="24"/>
          <w:szCs w:val="24"/>
          <w:u w:val="single"/>
        </w:rPr>
        <w:t>State of Ohio v. Leander Bissell</w:t>
      </w:r>
      <w:r w:rsidRPr="0022097E">
        <w:rPr>
          <w:rFonts w:ascii="Times New Roman" w:hAnsi="Times New Roman"/>
          <w:sz w:val="24"/>
          <w:szCs w:val="24"/>
        </w:rPr>
        <w:t xml:space="preserve">, the Ohio Supreme Court declined to hear the State’s appeal [requires at least 4 of 7 Justices] after Court of Appeals set aside his felony murder conviction for lesser charge of involuntary manslaughter.  Bissell will be resentenced; he  is currently serving 16 years to life. Bissell on Nov. 19, </w:t>
      </w:r>
      <w:proofErr w:type="gramStart"/>
      <w:r w:rsidRPr="0022097E">
        <w:rPr>
          <w:rFonts w:ascii="Times New Roman" w:hAnsi="Times New Roman"/>
          <w:sz w:val="24"/>
          <w:szCs w:val="24"/>
        </w:rPr>
        <w:t>2022</w:t>
      </w:r>
      <w:proofErr w:type="gramEnd"/>
      <w:r w:rsidRPr="0022097E">
        <w:rPr>
          <w:rFonts w:ascii="Times New Roman" w:hAnsi="Times New Roman"/>
          <w:sz w:val="24"/>
          <w:szCs w:val="24"/>
        </w:rPr>
        <w:t xml:space="preserve"> at accident scene on I-90, in Cleveland drove through at a speed between 45 and 60 m.p.h., hitting and killing firefighter [Johnny] Tetrick. The impact knocked firefighter Tetrick across three lanes of traffic into the berm on the right side of the highway. Bissell did not stop and fled the scene.  On Nov 7, 2024,  the Eighth District Court of Appeals [2 to 1] vacated Bissell’s felony-murder conviction, modified the verdict to a finding of guilt on the lesser included offense of involuntary manslaughter under R.C. 2903.04(A), and remanded the matter to the trial court for resentencing. </w:t>
      </w:r>
      <w:hyperlink r:id="rId454" w:history="1">
        <w:r w:rsidRPr="0022097E">
          <w:rPr>
            <w:rStyle w:val="Hyperlink"/>
            <w:rFonts w:ascii="Times New Roman" w:hAnsi="Times New Roman"/>
            <w:sz w:val="24"/>
            <w:szCs w:val="24"/>
          </w:rPr>
          <w:t>https://www.supremecourt.ohio.gov/rod/docs/pdf/8/2024/2024-Ohio-5317.pdf</w:t>
        </w:r>
      </w:hyperlink>
      <w:r w:rsidRPr="0022097E">
        <w:rPr>
          <w:rFonts w:ascii="Times New Roman" w:hAnsi="Times New Roman"/>
          <w:sz w:val="24"/>
          <w:szCs w:val="24"/>
        </w:rPr>
        <w:t xml:space="preserve"> . </w:t>
      </w:r>
    </w:p>
    <w:p w14:paraId="7D71F624" w14:textId="77777777" w:rsidR="0022097E" w:rsidRDefault="0022097E" w:rsidP="0022097E">
      <w:pPr>
        <w:pStyle w:val="NoSpacing"/>
      </w:pPr>
      <w:r w:rsidRPr="0022097E">
        <w:rPr>
          <w:rFonts w:ascii="Times New Roman" w:hAnsi="Times New Roman"/>
          <w:sz w:val="24"/>
          <w:szCs w:val="24"/>
        </w:rPr>
        <w:t xml:space="preserve">On April 14, 2025, only three Ohio Supreme Court Justices agreed to hear the State’s appeal;  Justice Jennifer Brunner wrote a dissenting opinion.  </w:t>
      </w:r>
      <w:hyperlink r:id="rId455" w:history="1">
        <w:r w:rsidRPr="0022097E">
          <w:rPr>
            <w:rStyle w:val="Hyperlink"/>
            <w:rFonts w:ascii="Times New Roman" w:hAnsi="Times New Roman"/>
            <w:sz w:val="24"/>
            <w:szCs w:val="24"/>
          </w:rPr>
          <w:t>https://www.supremecourt.ohio.gov/rod/docs/pdf/0/2025/2025-Ohio-1296.pdf</w:t>
        </w:r>
      </w:hyperlink>
      <w:r>
        <w:t xml:space="preserve"> </w:t>
      </w:r>
    </w:p>
    <w:p w14:paraId="375AF909" w14:textId="77777777" w:rsidR="00A56D83" w:rsidRDefault="00A56D83" w:rsidP="0022097E">
      <w:pPr>
        <w:pStyle w:val="NoSpacing"/>
      </w:pPr>
    </w:p>
    <w:p w14:paraId="19D73359" w14:textId="77777777" w:rsidR="00A56D83" w:rsidRPr="00A56D83" w:rsidRDefault="00A56D83" w:rsidP="00A56D83">
      <w:pPr>
        <w:pStyle w:val="NoSpacing"/>
        <w:rPr>
          <w:rFonts w:ascii="Times New Roman" w:hAnsi="Times New Roman"/>
          <w:b/>
          <w:bCs/>
          <w:sz w:val="24"/>
          <w:szCs w:val="24"/>
        </w:rPr>
      </w:pPr>
      <w:r w:rsidRPr="00A56D83">
        <w:rPr>
          <w:rFonts w:ascii="Times New Roman" w:hAnsi="Times New Roman"/>
          <w:b/>
          <w:sz w:val="24"/>
          <w:szCs w:val="24"/>
        </w:rPr>
        <w:t xml:space="preserve">Legal Lesson Learned:  Hopefully the defendant gets a substantial new sentence. </w:t>
      </w:r>
    </w:p>
    <w:p w14:paraId="6FD9A5C9" w14:textId="77777777" w:rsidR="00A56D83" w:rsidRDefault="00A56D83" w:rsidP="00A56D83">
      <w:pPr>
        <w:pStyle w:val="NoSpacing"/>
        <w:rPr>
          <w:sz w:val="20"/>
          <w:szCs w:val="20"/>
        </w:rPr>
      </w:pPr>
    </w:p>
    <w:p w14:paraId="73082097" w14:textId="77777777" w:rsidR="00A56D83" w:rsidRDefault="00A56D83" w:rsidP="0022097E">
      <w:pPr>
        <w:pStyle w:val="NoSpacing"/>
      </w:pPr>
    </w:p>
    <w:p w14:paraId="17FCB57F" w14:textId="77777777" w:rsidR="0022097E" w:rsidRDefault="0022097E" w:rsidP="0022097E">
      <w:pPr>
        <w:pStyle w:val="NoSpacing"/>
      </w:pPr>
    </w:p>
    <w:p w14:paraId="1324022F" w14:textId="77777777" w:rsidR="00742E47" w:rsidRDefault="00742E47" w:rsidP="005D5A0C">
      <w:pPr>
        <w:rPr>
          <w:rFonts w:ascii="Arial Black" w:hAnsi="Arial Black"/>
          <w:sz w:val="24"/>
          <w:szCs w:val="24"/>
        </w:rPr>
      </w:pPr>
    </w:p>
    <w:p w14:paraId="13628548" w14:textId="06140CC0" w:rsidR="008B2721" w:rsidRDefault="008B2721" w:rsidP="005D5A0C">
      <w:pPr>
        <w:rPr>
          <w:rFonts w:ascii="Arial Black" w:hAnsi="Arial Black"/>
          <w:sz w:val="24"/>
          <w:szCs w:val="24"/>
        </w:rPr>
      </w:pPr>
      <w:r>
        <w:rPr>
          <w:rFonts w:ascii="Arial Black" w:hAnsi="Arial Black"/>
          <w:sz w:val="24"/>
          <w:szCs w:val="24"/>
        </w:rPr>
        <w:t>2-84</w:t>
      </w:r>
    </w:p>
    <w:p w14:paraId="114383A1" w14:textId="77777777" w:rsidR="0057078B" w:rsidRDefault="0057078B" w:rsidP="0057078B">
      <w:pPr>
        <w:pStyle w:val="NoSpacing"/>
        <w:rPr>
          <w:rFonts w:ascii="Arial Black" w:hAnsi="Arial Black"/>
          <w:bCs/>
          <w:sz w:val="28"/>
          <w:szCs w:val="28"/>
        </w:rPr>
      </w:pPr>
      <w:r>
        <w:rPr>
          <w:rFonts w:ascii="Arial Black" w:hAnsi="Arial Black"/>
          <w:sz w:val="28"/>
          <w:szCs w:val="28"/>
        </w:rPr>
        <w:t>KY: CSX DERAIL – FF MAY SUE – FIREMAN’S RULE NOT BAR</w:t>
      </w:r>
    </w:p>
    <w:p w14:paraId="661D7501" w14:textId="77777777" w:rsidR="0057078B" w:rsidRPr="0029038E" w:rsidRDefault="0057078B" w:rsidP="0057078B">
      <w:pPr>
        <w:pStyle w:val="NoSpacing"/>
        <w:rPr>
          <w:rFonts w:ascii="Times New Roman" w:hAnsi="Times New Roman"/>
          <w:bCs/>
          <w:sz w:val="24"/>
          <w:szCs w:val="24"/>
        </w:rPr>
      </w:pPr>
    </w:p>
    <w:p w14:paraId="131E8613" w14:textId="77777777" w:rsidR="0057078B" w:rsidRPr="0029038E" w:rsidRDefault="0057078B" w:rsidP="0057078B">
      <w:pPr>
        <w:pStyle w:val="NoSpacing"/>
        <w:rPr>
          <w:rFonts w:ascii="Times New Roman" w:hAnsi="Times New Roman"/>
          <w:bCs/>
          <w:sz w:val="24"/>
          <w:szCs w:val="24"/>
        </w:rPr>
      </w:pPr>
      <w:r w:rsidRPr="0029038E">
        <w:rPr>
          <w:rFonts w:ascii="Times New Roman" w:hAnsi="Times New Roman"/>
          <w:sz w:val="24"/>
          <w:szCs w:val="24"/>
        </w:rPr>
        <w:t xml:space="preserve">On March 28, 2025, in </w:t>
      </w:r>
      <w:r w:rsidRPr="0029038E">
        <w:rPr>
          <w:rFonts w:ascii="Times New Roman" w:hAnsi="Times New Roman"/>
          <w:sz w:val="24"/>
          <w:szCs w:val="24"/>
          <w:u w:val="single"/>
        </w:rPr>
        <w:t>Lauren Webb, et al. v. CSX Transportation, Inc.,</w:t>
      </w:r>
      <w:r w:rsidRPr="0029038E">
        <w:rPr>
          <w:rFonts w:ascii="Times New Roman" w:hAnsi="Times New Roman"/>
          <w:sz w:val="24"/>
          <w:szCs w:val="24"/>
        </w:rPr>
        <w:t xml:space="preserve"> U.S. District Court Judge Robert E. Wier, United States District Court, E.D. Kentucky, Southern Division, London, held that lawsuit by three residents near the Nov. 22, </w:t>
      </w:r>
      <w:proofErr w:type="gramStart"/>
      <w:r w:rsidRPr="0029038E">
        <w:rPr>
          <w:rFonts w:ascii="Times New Roman" w:hAnsi="Times New Roman"/>
          <w:sz w:val="24"/>
          <w:szCs w:val="24"/>
        </w:rPr>
        <w:t>2023</w:t>
      </w:r>
      <w:proofErr w:type="gramEnd"/>
      <w:r w:rsidRPr="0029038E">
        <w:rPr>
          <w:rFonts w:ascii="Times New Roman" w:hAnsi="Times New Roman"/>
          <w:sz w:val="24"/>
          <w:szCs w:val="24"/>
        </w:rPr>
        <w:t xml:space="preserve"> derailment [hot bearing detectors didn’t alert train engineer] may proceed with pre-trial discovery, including Lauren Webb, “a local firefighter who assisted in the evacuation and spent ‘many hours’ at the crash site. She alleges her exposure to SO2 caused ‘sore throat, trouble breathing, headaches and a respiratory infection[,]’ as well as ‘ongoing pulmonary irritation and fear for the long-term consequences to her health’ given her status as an ‘immunocompromised individual.’” The Court rejected CSX argument that the KY Fireman’s Rule prohibits firefighter Webb from filing her claim for damages. </w:t>
      </w:r>
      <w:hyperlink r:id="rId456" w:history="1">
        <w:r w:rsidRPr="0029038E">
          <w:rPr>
            <w:rStyle w:val="Hyperlink"/>
            <w:rFonts w:ascii="Times New Roman" w:hAnsi="Times New Roman"/>
            <w:sz w:val="24"/>
            <w:szCs w:val="24"/>
          </w:rPr>
          <w:t>https://public.fastcase.com/jaEE2PXzRXmZ99jOLMt1IgoAeG7S%2FykfBuI6YcrwSiPTGWPBCOsZ9U9hhbKPvFCclEcN8%2BwauJ9ACloifFNsJP5SY607BhdVsV5o4yY4x1s%3D?utm_medium=email&amp;_hsenc=p2ANqtz-_cDTCyDUjf-GWGQHLWs90oLVQoI7WEBtlECxGBA_PvhPlM3MPPBeVtmuAidKContkLHE5q5E9gdRGYeBGS5gCqwJlBfg&amp;_hsmi=226712652&amp;utm_content=226712652&amp;utm_source=hs_email</w:t>
        </w:r>
      </w:hyperlink>
      <w:r w:rsidRPr="0029038E">
        <w:rPr>
          <w:rFonts w:ascii="Times New Roman" w:hAnsi="Times New Roman"/>
          <w:sz w:val="24"/>
          <w:szCs w:val="24"/>
        </w:rPr>
        <w:t xml:space="preserve">  </w:t>
      </w:r>
    </w:p>
    <w:p w14:paraId="150A5129" w14:textId="77777777" w:rsidR="0057078B" w:rsidRPr="0029038E" w:rsidRDefault="0057078B" w:rsidP="0057078B">
      <w:pPr>
        <w:pStyle w:val="NoSpacing"/>
        <w:rPr>
          <w:rFonts w:ascii="Times New Roman" w:hAnsi="Times New Roman"/>
          <w:bCs/>
          <w:sz w:val="24"/>
          <w:szCs w:val="24"/>
        </w:rPr>
      </w:pPr>
    </w:p>
    <w:p w14:paraId="0D215252" w14:textId="77777777" w:rsidR="0029038E" w:rsidRPr="0029038E" w:rsidRDefault="0029038E" w:rsidP="0029038E">
      <w:pPr>
        <w:pStyle w:val="NoSpacing"/>
        <w:rPr>
          <w:rFonts w:ascii="Times New Roman" w:hAnsi="Times New Roman"/>
          <w:b/>
          <w:sz w:val="24"/>
          <w:szCs w:val="24"/>
        </w:rPr>
      </w:pPr>
      <w:r w:rsidRPr="0029038E">
        <w:rPr>
          <w:rFonts w:ascii="Times New Roman" w:hAnsi="Times New Roman"/>
          <w:b/>
          <w:sz w:val="24"/>
          <w:szCs w:val="24"/>
        </w:rPr>
        <w:t xml:space="preserve">Legal Lesson Learned: The firefighter and her two neighbors may now proceed with pre-trial discovery.  </w:t>
      </w:r>
    </w:p>
    <w:p w14:paraId="525FC8EA" w14:textId="77777777" w:rsidR="0029038E" w:rsidRPr="0029038E" w:rsidRDefault="0029038E" w:rsidP="0029038E">
      <w:pPr>
        <w:pStyle w:val="NoSpacing"/>
        <w:rPr>
          <w:rFonts w:ascii="Times New Roman" w:hAnsi="Times New Roman"/>
          <w:b/>
          <w:sz w:val="24"/>
          <w:szCs w:val="24"/>
        </w:rPr>
      </w:pPr>
    </w:p>
    <w:p w14:paraId="3FAB8A88"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 xml:space="preserve">Note:  See April 25, </w:t>
      </w:r>
      <w:proofErr w:type="gramStart"/>
      <w:r w:rsidRPr="0029038E">
        <w:rPr>
          <w:rFonts w:ascii="Times New Roman" w:hAnsi="Times New Roman"/>
          <w:sz w:val="24"/>
          <w:szCs w:val="24"/>
        </w:rPr>
        <w:t>2024</w:t>
      </w:r>
      <w:proofErr w:type="gramEnd"/>
      <w:r w:rsidRPr="0029038E">
        <w:rPr>
          <w:rFonts w:ascii="Times New Roman" w:hAnsi="Times New Roman"/>
          <w:sz w:val="24"/>
          <w:szCs w:val="24"/>
        </w:rPr>
        <w:t xml:space="preserve"> lawsuit involving massive train derailment and failure of hot bearing detectors;  February 3, 2023, a 149-car Norfolk Southern train derailed in East Palestine, Ohio.  </w:t>
      </w:r>
      <w:hyperlink r:id="rId457" w:history="1">
        <w:r w:rsidRPr="0029038E">
          <w:rPr>
            <w:rStyle w:val="Hyperlink"/>
            <w:rFonts w:ascii="Times New Roman" w:hAnsi="Times New Roman"/>
            <w:sz w:val="24"/>
            <w:szCs w:val="24"/>
          </w:rPr>
          <w:t>https://www.ktmc.com/featured-case/norfolk-southern-corporation</w:t>
        </w:r>
      </w:hyperlink>
      <w:r w:rsidRPr="0029038E">
        <w:rPr>
          <w:rFonts w:ascii="Times New Roman" w:hAnsi="Times New Roman"/>
          <w:sz w:val="24"/>
          <w:szCs w:val="24"/>
        </w:rPr>
        <w:t xml:space="preserve"> </w:t>
      </w:r>
    </w:p>
    <w:p w14:paraId="32EE4EDC" w14:textId="77777777" w:rsidR="0029038E" w:rsidRPr="0029038E" w:rsidRDefault="0029038E" w:rsidP="0029038E">
      <w:pPr>
        <w:pStyle w:val="NoSpacing"/>
        <w:ind w:left="720"/>
        <w:rPr>
          <w:rFonts w:ascii="Times New Roman" w:hAnsi="Times New Roman"/>
          <w:sz w:val="24"/>
          <w:szCs w:val="24"/>
        </w:rPr>
      </w:pPr>
    </w:p>
    <w:p w14:paraId="7B542463"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“As Train 32N neared East Palestine, it passed an HBD registering a journal bearing on the 23rd car that was running 38°F above ambient temperature. Just ten miles later, the next HBD indicated that same bearing was running 65ºF hotter at 103°F above ambient</w:t>
      </w:r>
    </w:p>
    <w:p w14:paraId="6604DB54"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temperature – an increase of nearly 200%. The train’s crew was unaware of the 65°F temperature increase and was not told to stop. In fact, the single Norfolk Southern employee operating Norfolk Southern’s Wayside Detector Help Desk, which monitors HBD alerts for the Company’s entire rail system from a desk in Atlanta, was attending to three other alerts at the time and missed the alert on Train 32N. Twenty miles later, the train passed a third and final HBD, which recorded that the same journal bearing had</w:t>
      </w:r>
    </w:p>
    <w:p w14:paraId="635F1EF9"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reached a temperature of 253°F above ambient. Only at this point did the train crew</w:t>
      </w:r>
    </w:p>
    <w:p w14:paraId="53342127"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receive an alarm to slow the train to inspect the hot axle, but seconds later, the</w:t>
      </w:r>
    </w:p>
    <w:p w14:paraId="11E8C830"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automatic emergency brake initiated. When the train stopped, 38 cars had derailed,</w:t>
      </w:r>
    </w:p>
    <w:p w14:paraId="2A5485F2"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and the train, including cars containing vinyl chloride, was on fire.”</w:t>
      </w:r>
    </w:p>
    <w:p w14:paraId="27F800C5" w14:textId="77777777" w:rsidR="008B2721" w:rsidRDefault="008B2721" w:rsidP="005D5A0C">
      <w:pPr>
        <w:rPr>
          <w:rFonts w:ascii="Arial Black" w:hAnsi="Arial Black"/>
          <w:sz w:val="24"/>
          <w:szCs w:val="24"/>
        </w:rPr>
      </w:pPr>
    </w:p>
    <w:p w14:paraId="3A8CEA66" w14:textId="77777777" w:rsidR="008B2721" w:rsidRDefault="008B2721" w:rsidP="005D5A0C">
      <w:pPr>
        <w:rPr>
          <w:rFonts w:ascii="Arial Black" w:hAnsi="Arial Black"/>
          <w:sz w:val="24"/>
          <w:szCs w:val="24"/>
        </w:rPr>
      </w:pPr>
    </w:p>
    <w:p w14:paraId="652B0EC4" w14:textId="0E4FB8B1" w:rsidR="008B2721" w:rsidRDefault="008B2721" w:rsidP="005D5A0C">
      <w:pPr>
        <w:rPr>
          <w:rFonts w:ascii="Arial Black" w:hAnsi="Arial Black"/>
          <w:sz w:val="24"/>
          <w:szCs w:val="24"/>
        </w:rPr>
      </w:pPr>
      <w:r>
        <w:rPr>
          <w:rFonts w:ascii="Arial Black" w:hAnsi="Arial Black"/>
          <w:sz w:val="24"/>
          <w:szCs w:val="24"/>
        </w:rPr>
        <w:t>2-83</w:t>
      </w:r>
    </w:p>
    <w:p w14:paraId="1E21E502" w14:textId="77777777" w:rsidR="008B2721" w:rsidRPr="00CB1316" w:rsidRDefault="008B2721" w:rsidP="008B2721">
      <w:pPr>
        <w:pStyle w:val="NoSpacing"/>
        <w:rPr>
          <w:rFonts w:ascii="Arial Black" w:hAnsi="Arial Black"/>
          <w:bCs/>
          <w:sz w:val="28"/>
          <w:szCs w:val="28"/>
        </w:rPr>
      </w:pPr>
      <w:r>
        <w:rPr>
          <w:rFonts w:ascii="Arial Black" w:hAnsi="Arial Black"/>
          <w:sz w:val="28"/>
          <w:szCs w:val="28"/>
        </w:rPr>
        <w:t>VA: RECRUIT DIED – ANONYMOUS LETTER – HOSTILE WORK</w:t>
      </w:r>
    </w:p>
    <w:p w14:paraId="155B42BD" w14:textId="77777777" w:rsidR="008B2721" w:rsidRDefault="008B2721" w:rsidP="008B2721">
      <w:pPr>
        <w:pStyle w:val="NoSpacing"/>
        <w:rPr>
          <w:bCs/>
        </w:rPr>
      </w:pPr>
    </w:p>
    <w:p w14:paraId="691C0B4C" w14:textId="77777777" w:rsidR="008B2721" w:rsidRPr="008B2721" w:rsidRDefault="008B2721" w:rsidP="008B2721">
      <w:pPr>
        <w:pStyle w:val="NoSpacing"/>
        <w:rPr>
          <w:rFonts w:ascii="Times New Roman" w:hAnsi="Times New Roman"/>
          <w:bCs/>
          <w:sz w:val="24"/>
          <w:szCs w:val="24"/>
        </w:rPr>
      </w:pPr>
      <w:r w:rsidRPr="008B2721">
        <w:rPr>
          <w:rFonts w:ascii="Times New Roman" w:hAnsi="Times New Roman"/>
          <w:sz w:val="24"/>
          <w:szCs w:val="24"/>
        </w:rPr>
        <w:t xml:space="preserve">On March 25, 2025, in </w:t>
      </w:r>
      <w:r w:rsidRPr="008B2721">
        <w:rPr>
          <w:rFonts w:ascii="Times New Roman" w:hAnsi="Times New Roman"/>
          <w:sz w:val="24"/>
          <w:szCs w:val="24"/>
          <w:u w:val="single"/>
        </w:rPr>
        <w:t>Casey Blake v. Frederick County Fire and Rescue Dept. et al</w:t>
      </w:r>
      <w:r w:rsidRPr="008B2721">
        <w:rPr>
          <w:rFonts w:ascii="Times New Roman" w:hAnsi="Times New Roman"/>
          <w:sz w:val="24"/>
          <w:szCs w:val="24"/>
        </w:rPr>
        <w:t xml:space="preserve">,  U.S. District Court Judge Jasmine H. Yoon, U.S. District Court for the Western District of Virginia, Harrisonburg Division, held that the lawsuit filed by Casey Blake, administrative assistant to the former Fire Chief, who wrote an anonymous letter, may proceed with her hostile workplace lawsuit against the current Fire Chief, and the County Administrator.  Ms. Blake alleges retaliation when the Chief learned she had written an anonymous letter to the family of a recruit, Ian Strickler, who died on July 5, </w:t>
      </w:r>
      <w:proofErr w:type="gramStart"/>
      <w:r w:rsidRPr="008B2721">
        <w:rPr>
          <w:rFonts w:ascii="Times New Roman" w:hAnsi="Times New Roman"/>
          <w:sz w:val="24"/>
          <w:szCs w:val="24"/>
        </w:rPr>
        <w:t>2023</w:t>
      </w:r>
      <w:proofErr w:type="gramEnd"/>
      <w:r w:rsidRPr="008B2721">
        <w:rPr>
          <w:rFonts w:ascii="Times New Roman" w:hAnsi="Times New Roman"/>
          <w:sz w:val="24"/>
          <w:szCs w:val="24"/>
        </w:rPr>
        <w:t xml:space="preserve"> during physical training.  She encouraged them to hire an attorney and investigate the recruit training officer. “Strickler’s heart rate measured at over 200 beats-per-minute before he collapsed, and his body temperature was recorded at 104 degrees Fahrenheit.”  Ms. Blake’s own son, Nick Blake, had to drop out of recruit school on March 3, </w:t>
      </w:r>
      <w:proofErr w:type="gramStart"/>
      <w:r w:rsidRPr="008B2721">
        <w:rPr>
          <w:rFonts w:ascii="Times New Roman" w:hAnsi="Times New Roman"/>
          <w:sz w:val="24"/>
          <w:szCs w:val="24"/>
        </w:rPr>
        <w:t>2022</w:t>
      </w:r>
      <w:proofErr w:type="gramEnd"/>
      <w:r w:rsidRPr="008B2721">
        <w:rPr>
          <w:rFonts w:ascii="Times New Roman" w:hAnsi="Times New Roman"/>
          <w:sz w:val="24"/>
          <w:szCs w:val="24"/>
        </w:rPr>
        <w:t xml:space="preserve"> when he had medical emergency during recruit class run with same training officer in charge of Ian Strickler class. </w:t>
      </w:r>
    </w:p>
    <w:p w14:paraId="73EA5D1D" w14:textId="77777777" w:rsidR="008B2721" w:rsidRPr="008B2721" w:rsidRDefault="008B2721" w:rsidP="008B2721">
      <w:pPr>
        <w:pStyle w:val="NoSpacing"/>
        <w:rPr>
          <w:rFonts w:ascii="Times New Roman" w:hAnsi="Times New Roman"/>
          <w:bCs/>
          <w:sz w:val="24"/>
          <w:szCs w:val="24"/>
        </w:rPr>
      </w:pPr>
    </w:p>
    <w:p w14:paraId="01032111"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 xml:space="preserve">“In Count I, Blake asserts a claim for a declaratory judgment against [Fire Chief </w:t>
      </w:r>
      <w:proofErr w:type="spellStart"/>
      <w:r w:rsidRPr="008B2721">
        <w:rPr>
          <w:rFonts w:ascii="Times New Roman" w:hAnsi="Times New Roman"/>
          <w:sz w:val="24"/>
          <w:szCs w:val="24"/>
        </w:rPr>
        <w:t>tephen</w:t>
      </w:r>
      <w:proofErr w:type="spellEnd"/>
      <w:r w:rsidRPr="008B2721">
        <w:rPr>
          <w:rFonts w:ascii="Times New Roman" w:hAnsi="Times New Roman"/>
          <w:sz w:val="24"/>
          <w:szCs w:val="24"/>
        </w:rPr>
        <w:t>] Majchrzak and [County Administrator Michael] Bollhoefer…. Here, Blake’s allegations describe a real and substantial injury: a hostile workplace and damage to her reputation. In addition, Blake alleges that the controversy remains ongoing, as she claims that she continues to experience a hostile work environment, limited job responsibilities, and active monitoring by an administrator as she works from home…. Blake’s requested declaration would have a concrete remedial effect, as she continues to work from home in the same position. Accepting Blake’s allegations as true, the challenged retaliatory conduct by Defendants has not been rectified, thus is not past conduct, and a declaration regarding its constitutionality would not be advisory. As a result, Defendants’ argument on this issue fails.</w:t>
      </w:r>
    </w:p>
    <w:p w14:paraId="701842A5" w14:textId="77777777" w:rsidR="008B2721" w:rsidRPr="008B2721" w:rsidRDefault="008B2721" w:rsidP="008B2721">
      <w:pPr>
        <w:pStyle w:val="NoSpacing"/>
        <w:ind w:left="720"/>
        <w:rPr>
          <w:rFonts w:ascii="Times New Roman" w:hAnsi="Times New Roman"/>
          <w:bCs/>
          <w:sz w:val="24"/>
          <w:szCs w:val="24"/>
        </w:rPr>
      </w:pPr>
    </w:p>
    <w:p w14:paraId="6DC199FE"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w:t>
      </w:r>
    </w:p>
    <w:p w14:paraId="373D99CA" w14:textId="77777777" w:rsidR="008B2721" w:rsidRPr="008B2721" w:rsidRDefault="008B2721" w:rsidP="008B2721">
      <w:pPr>
        <w:pStyle w:val="NoSpacing"/>
        <w:rPr>
          <w:rFonts w:ascii="Times New Roman" w:hAnsi="Times New Roman"/>
          <w:bCs/>
          <w:sz w:val="24"/>
          <w:szCs w:val="24"/>
        </w:rPr>
      </w:pPr>
    </w:p>
    <w:p w14:paraId="51419F3E"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[Count II - First Amendment retaliation]  Blake responds by pointing to her allegations that Majchrzak limited Blake’s job duties and responsibilities, prevented her from attending staff meetings, and turned her co-workers against her by facilitating a hostile work environment…. Blake has sufficiently alleged retaliatory acts that are more than de minimis or trivial. … Blake alleged that Majchrzak purposefully excluded her from attending meetings by moving the meeting’s physical location and avoided her….  And Majchrzak took steps to reduce Blake’s job responsibilities by managing his own schedule…. Over time, Blake claims that she was deprived of many of her job duties. … As a result, the court will deny Defendants’ motions to dismiss Count II.”</w:t>
      </w:r>
    </w:p>
    <w:p w14:paraId="5D86E497"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w:t>
      </w:r>
    </w:p>
    <w:p w14:paraId="1AFC513F" w14:textId="77777777" w:rsidR="008B2721" w:rsidRPr="008B2721" w:rsidRDefault="008B2721" w:rsidP="008B2721">
      <w:pPr>
        <w:pStyle w:val="NoSpacing"/>
        <w:rPr>
          <w:rFonts w:ascii="Times New Roman" w:hAnsi="Times New Roman"/>
          <w:bCs/>
          <w:sz w:val="24"/>
          <w:szCs w:val="24"/>
        </w:rPr>
      </w:pPr>
    </w:p>
    <w:p w14:paraId="5CC58FF0"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 xml:space="preserve">[Court dismissed other claims, including Intentional Infliction of Emotional Distress claim.] The court finds that the alleged conduct from Majchrzak and Bollhoefer does not rise to the level of ‘outrageous and intolerable.’ Although unprofessional and indecorous, Defendants’ alleged efforts to ostracize her at work, limit her job responsibilities, and exclude her from meetings do not meet the high bar Virginia law requires.” </w:t>
      </w:r>
    </w:p>
    <w:p w14:paraId="222FD0EB" w14:textId="77777777" w:rsidR="008B2721" w:rsidRPr="008B2721" w:rsidRDefault="008B2721" w:rsidP="008B2721">
      <w:pPr>
        <w:pStyle w:val="NoSpacing"/>
        <w:ind w:left="720"/>
        <w:rPr>
          <w:rFonts w:ascii="Times New Roman" w:hAnsi="Times New Roman"/>
          <w:bCs/>
          <w:sz w:val="24"/>
          <w:szCs w:val="24"/>
        </w:rPr>
      </w:pPr>
    </w:p>
    <w:p w14:paraId="6BA52E9D" w14:textId="77777777" w:rsidR="00B404C3" w:rsidRPr="00B404C3" w:rsidRDefault="00B404C3" w:rsidP="00B404C3">
      <w:pPr>
        <w:pStyle w:val="NoSpacing"/>
        <w:rPr>
          <w:rFonts w:ascii="Times New Roman" w:hAnsi="Times New Roman"/>
          <w:b/>
          <w:sz w:val="24"/>
          <w:szCs w:val="24"/>
        </w:rPr>
      </w:pPr>
      <w:r w:rsidRPr="00B404C3">
        <w:rPr>
          <w:rFonts w:ascii="Times New Roman" w:hAnsi="Times New Roman"/>
          <w:b/>
          <w:sz w:val="24"/>
          <w:szCs w:val="24"/>
        </w:rPr>
        <w:t xml:space="preserve">Legal Lesson Learned: The case will now proceed to pre-trial discovery; carefully review your protocols on medical exams for recruits and their fitness testing. </w:t>
      </w:r>
    </w:p>
    <w:p w14:paraId="6C96C690" w14:textId="77777777" w:rsidR="008B2721" w:rsidRDefault="008B2721" w:rsidP="008B2721">
      <w:pPr>
        <w:pStyle w:val="NoSpacing"/>
        <w:ind w:left="720"/>
        <w:rPr>
          <w:bCs/>
        </w:rPr>
      </w:pPr>
    </w:p>
    <w:p w14:paraId="28E2C164" w14:textId="77777777" w:rsidR="008B2721" w:rsidRDefault="008B2721" w:rsidP="005D5A0C">
      <w:pPr>
        <w:rPr>
          <w:rFonts w:ascii="Arial Black" w:hAnsi="Arial Black"/>
          <w:sz w:val="24"/>
          <w:szCs w:val="24"/>
        </w:rPr>
      </w:pPr>
    </w:p>
    <w:p w14:paraId="69BCB69F" w14:textId="77777777" w:rsidR="008B2721" w:rsidRDefault="008B2721" w:rsidP="005D5A0C">
      <w:pPr>
        <w:rPr>
          <w:rFonts w:ascii="Arial Black" w:hAnsi="Arial Black"/>
          <w:sz w:val="24"/>
          <w:szCs w:val="24"/>
        </w:rPr>
      </w:pPr>
    </w:p>
    <w:p w14:paraId="6E9B4DA7" w14:textId="3FE25AA8" w:rsidR="00042223" w:rsidRDefault="00042223" w:rsidP="005D5A0C">
      <w:pPr>
        <w:rPr>
          <w:rFonts w:ascii="Arial Black" w:hAnsi="Arial Black"/>
          <w:sz w:val="24"/>
          <w:szCs w:val="24"/>
        </w:rPr>
      </w:pPr>
      <w:r>
        <w:rPr>
          <w:rFonts w:ascii="Arial Black" w:hAnsi="Arial Black"/>
          <w:sz w:val="24"/>
          <w:szCs w:val="24"/>
        </w:rPr>
        <w:t>2-82</w:t>
      </w:r>
    </w:p>
    <w:p w14:paraId="7436A6A9" w14:textId="77777777" w:rsidR="00042223" w:rsidRPr="000B7F2C" w:rsidRDefault="00042223" w:rsidP="00042223">
      <w:pPr>
        <w:rPr>
          <w:rFonts w:ascii="Arial Black" w:hAnsi="Arial Black"/>
          <w:b/>
          <w:sz w:val="28"/>
          <w:szCs w:val="28"/>
        </w:rPr>
      </w:pPr>
      <w:r w:rsidRPr="000B7F2C">
        <w:rPr>
          <w:rFonts w:ascii="Arial Black" w:hAnsi="Arial Black"/>
          <w:b/>
          <w:sz w:val="28"/>
          <w:szCs w:val="28"/>
        </w:rPr>
        <w:t>MS: LT MURDERED</w:t>
      </w:r>
      <w:r>
        <w:rPr>
          <w:rFonts w:ascii="Arial Black" w:hAnsi="Arial Black"/>
          <w:b/>
          <w:sz w:val="28"/>
          <w:szCs w:val="28"/>
        </w:rPr>
        <w:t xml:space="preserve"> - </w:t>
      </w:r>
      <w:r w:rsidRPr="000B7F2C">
        <w:rPr>
          <w:rFonts w:ascii="Arial Black" w:hAnsi="Arial Black"/>
          <w:b/>
          <w:sz w:val="28"/>
          <w:szCs w:val="28"/>
        </w:rPr>
        <w:t xml:space="preserve">HALF BROTHER – CONV. </w:t>
      </w:r>
      <w:r>
        <w:rPr>
          <w:rFonts w:ascii="Arial Black" w:hAnsi="Arial Black"/>
          <w:b/>
          <w:sz w:val="28"/>
          <w:szCs w:val="28"/>
        </w:rPr>
        <w:t>AFFIRMED</w:t>
      </w:r>
    </w:p>
    <w:p w14:paraId="6FA49322" w14:textId="77777777" w:rsidR="00042223" w:rsidRPr="00042223" w:rsidRDefault="00042223" w:rsidP="00042223">
      <w:pPr>
        <w:rPr>
          <w:rFonts w:ascii="Times New Roman" w:hAnsi="Times New Roman"/>
          <w:bCs/>
          <w:sz w:val="24"/>
          <w:szCs w:val="24"/>
        </w:rPr>
      </w:pPr>
      <w:r w:rsidRPr="00042223">
        <w:rPr>
          <w:rFonts w:ascii="Times New Roman" w:hAnsi="Times New Roman"/>
          <w:sz w:val="24"/>
          <w:szCs w:val="24"/>
        </w:rPr>
        <w:t xml:space="preserve">On Feb. 20, 2025, in </w:t>
      </w:r>
      <w:r w:rsidRPr="00042223">
        <w:rPr>
          <w:rFonts w:ascii="Times New Roman" w:hAnsi="Times New Roman"/>
          <w:sz w:val="24"/>
          <w:szCs w:val="24"/>
          <w:u w:val="single"/>
        </w:rPr>
        <w:t>Terrance Watts v. State of Mississippi</w:t>
      </w:r>
      <w:r w:rsidRPr="00042223">
        <w:rPr>
          <w:rFonts w:ascii="Times New Roman" w:hAnsi="Times New Roman"/>
          <w:sz w:val="24"/>
          <w:szCs w:val="24"/>
        </w:rPr>
        <w:t xml:space="preserve">, the Supreme Court of Mississippi held (3 to 0) that the defendants </w:t>
      </w:r>
      <w:proofErr w:type="gramStart"/>
      <w:r w:rsidRPr="00042223">
        <w:rPr>
          <w:rFonts w:ascii="Times New Roman" w:hAnsi="Times New Roman"/>
          <w:sz w:val="24"/>
          <w:szCs w:val="24"/>
        </w:rPr>
        <w:t>was</w:t>
      </w:r>
      <w:proofErr w:type="gramEnd"/>
      <w:r w:rsidRPr="00042223">
        <w:rPr>
          <w:rFonts w:ascii="Times New Roman" w:hAnsi="Times New Roman"/>
          <w:sz w:val="24"/>
          <w:szCs w:val="24"/>
        </w:rPr>
        <w:t xml:space="preserve"> properly convicted by a jury of first degree </w:t>
      </w:r>
      <w:proofErr w:type="gramStart"/>
      <w:r w:rsidRPr="00042223">
        <w:rPr>
          <w:rFonts w:ascii="Times New Roman" w:hAnsi="Times New Roman"/>
          <w:sz w:val="24"/>
          <w:szCs w:val="24"/>
        </w:rPr>
        <w:t>murder, and</w:t>
      </w:r>
      <w:proofErr w:type="gramEnd"/>
      <w:r w:rsidRPr="00042223">
        <w:rPr>
          <w:rFonts w:ascii="Times New Roman" w:hAnsi="Times New Roman"/>
          <w:sz w:val="24"/>
          <w:szCs w:val="24"/>
        </w:rPr>
        <w:t xml:space="preserve"> sentenced by the judge to life imprisonment. “Around 8:00 a.m., Watts turned himself in at the Flora Police Department. Watts agreed to be interviewed by McNeal. During the video and audio recording of the interview, Watts recounted that he had just met Williams after finding out they were </w:t>
      </w:r>
      <w:proofErr w:type="spellStart"/>
      <w:r w:rsidRPr="00042223">
        <w:rPr>
          <w:rFonts w:ascii="Times New Roman" w:hAnsi="Times New Roman"/>
          <w:sz w:val="24"/>
          <w:szCs w:val="24"/>
        </w:rPr>
        <w:t>half brothers</w:t>
      </w:r>
      <w:proofErr w:type="spellEnd"/>
      <w:r w:rsidRPr="00042223">
        <w:rPr>
          <w:rFonts w:ascii="Times New Roman" w:hAnsi="Times New Roman"/>
          <w:sz w:val="24"/>
          <w:szCs w:val="24"/>
        </w:rPr>
        <w:t xml:space="preserve">. Williams </w:t>
      </w:r>
      <w:proofErr w:type="gramStart"/>
      <w:r w:rsidRPr="00042223">
        <w:rPr>
          <w:rFonts w:ascii="Times New Roman" w:hAnsi="Times New Roman"/>
          <w:sz w:val="24"/>
          <w:szCs w:val="24"/>
        </w:rPr>
        <w:t>had met</w:t>
      </w:r>
      <w:proofErr w:type="gramEnd"/>
      <w:r w:rsidRPr="00042223">
        <w:rPr>
          <w:rFonts w:ascii="Times New Roman" w:hAnsi="Times New Roman"/>
          <w:sz w:val="24"/>
          <w:szCs w:val="24"/>
        </w:rPr>
        <w:t xml:space="preserve"> up with Watts on March 22, 2020, to get to know each </w:t>
      </w:r>
      <w:proofErr w:type="gramStart"/>
      <w:r w:rsidRPr="00042223">
        <w:rPr>
          <w:rFonts w:ascii="Times New Roman" w:hAnsi="Times New Roman"/>
          <w:sz w:val="24"/>
          <w:szCs w:val="24"/>
        </w:rPr>
        <w:t>other.”</w:t>
      </w:r>
      <w:proofErr w:type="gramEnd"/>
      <w:r w:rsidRPr="00042223">
        <w:rPr>
          <w:rFonts w:ascii="Times New Roman" w:hAnsi="Times New Roman"/>
          <w:sz w:val="24"/>
          <w:szCs w:val="24"/>
        </w:rPr>
        <w:t xml:space="preserve">  </w:t>
      </w:r>
      <w:hyperlink r:id="rId458" w:history="1">
        <w:r w:rsidRPr="00042223">
          <w:rPr>
            <w:rStyle w:val="Hyperlink"/>
            <w:rFonts w:ascii="Times New Roman" w:hAnsi="Times New Roman"/>
            <w:sz w:val="24"/>
            <w:szCs w:val="24"/>
          </w:rPr>
          <w:t>https://www.courts.ms.gov/images/Opinions/CO182132.pdf</w:t>
        </w:r>
      </w:hyperlink>
      <w:r w:rsidRPr="00042223">
        <w:rPr>
          <w:rFonts w:ascii="Times New Roman" w:hAnsi="Times New Roman"/>
          <w:sz w:val="24"/>
          <w:szCs w:val="24"/>
        </w:rPr>
        <w:t xml:space="preserve"> </w:t>
      </w:r>
    </w:p>
    <w:p w14:paraId="17AD755E" w14:textId="77777777" w:rsidR="00042223" w:rsidRPr="00042223" w:rsidRDefault="00042223" w:rsidP="00042223">
      <w:pPr>
        <w:rPr>
          <w:rFonts w:ascii="Times New Roman" w:hAnsi="Times New Roman"/>
          <w:bCs/>
          <w:sz w:val="24"/>
          <w:szCs w:val="24"/>
        </w:rPr>
      </w:pPr>
      <w:r w:rsidRPr="00042223">
        <w:rPr>
          <w:rFonts w:ascii="Times New Roman" w:hAnsi="Times New Roman"/>
          <w:sz w:val="24"/>
          <w:szCs w:val="24"/>
        </w:rPr>
        <w:t>The Court held:</w:t>
      </w:r>
    </w:p>
    <w:p w14:paraId="747C4DE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“Shortly after midnight on March 23, 2020, Crime Scene Investigator Andrew Harris</w:t>
      </w:r>
    </w:p>
    <w:p w14:paraId="5FC6281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of the Jackson Police Department (JPD) was dispatched to a shooting at a Marathon gas</w:t>
      </w:r>
    </w:p>
    <w:p w14:paraId="4FFD77D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station on Hanging Moss Road. Harris photographed the scene and collected evidence.</w:t>
      </w:r>
    </w:p>
    <w:p w14:paraId="49EB3963"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Several of Harris’s photographs depicted a deceased male lying on the ground with a gunshot wound to his head.</w:t>
      </w:r>
    </w:p>
    <w:p w14:paraId="60057357" w14:textId="77777777" w:rsidR="00042223" w:rsidRPr="00042223" w:rsidRDefault="00042223" w:rsidP="00042223">
      <w:pPr>
        <w:pStyle w:val="NoSpacing"/>
        <w:rPr>
          <w:rFonts w:ascii="Times New Roman" w:hAnsi="Times New Roman"/>
          <w:bCs/>
          <w:sz w:val="24"/>
          <w:szCs w:val="24"/>
        </w:rPr>
      </w:pPr>
    </w:p>
    <w:p w14:paraId="4C26AB6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028B076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Also dispatched to the Marathon was Kevin McNeal, who was a detective with JPD</w:t>
      </w:r>
    </w:p>
    <w:p w14:paraId="2AA7EAF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at the time. McNeal obtained the surveillance footage from the Marathon. These </w:t>
      </w:r>
      <w:proofErr w:type="gramStart"/>
      <w:r w:rsidRPr="00042223">
        <w:rPr>
          <w:rFonts w:ascii="Times New Roman" w:hAnsi="Times New Roman"/>
          <w:sz w:val="24"/>
          <w:szCs w:val="24"/>
        </w:rPr>
        <w:t>video</w:t>
      </w:r>
      <w:proofErr w:type="gramEnd"/>
    </w:p>
    <w:p w14:paraId="06EDB278"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recordings were played in front of the jury. McNeal also spoke with the firemen who</w:t>
      </w:r>
    </w:p>
    <w:p w14:paraId="67E45A91"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responded to the shooting and was informed that Williams had visited Jackson Fire Station Number 20 on March 22, 2023, with a man named Terrance, later identified as Terrance Watts.</w:t>
      </w:r>
      <w:r w:rsidRPr="00042223">
        <w:rPr>
          <w:rFonts w:ascii="Times New Roman" w:hAnsi="Times New Roman"/>
          <w:sz w:val="24"/>
          <w:szCs w:val="24"/>
        </w:rPr>
        <w:tab/>
      </w:r>
    </w:p>
    <w:p w14:paraId="3E7356A0" w14:textId="77777777" w:rsidR="00042223" w:rsidRPr="00042223" w:rsidRDefault="00042223" w:rsidP="00042223">
      <w:pPr>
        <w:pStyle w:val="NoSpacing"/>
        <w:rPr>
          <w:rFonts w:ascii="Times New Roman" w:hAnsi="Times New Roman"/>
          <w:bCs/>
          <w:sz w:val="24"/>
          <w:szCs w:val="24"/>
        </w:rPr>
      </w:pPr>
    </w:p>
    <w:p w14:paraId="69CF0BD1"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47054D02"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Michael Stinson was a fireman at JFD with Williams. He recounted seeing Williams</w:t>
      </w:r>
    </w:p>
    <w:p w14:paraId="316817C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twice on March 22, 2020. The first </w:t>
      </w:r>
      <w:proofErr w:type="gramStart"/>
      <w:r w:rsidRPr="00042223">
        <w:rPr>
          <w:rFonts w:ascii="Times New Roman" w:hAnsi="Times New Roman"/>
          <w:sz w:val="24"/>
          <w:szCs w:val="24"/>
        </w:rPr>
        <w:t>time when</w:t>
      </w:r>
      <w:proofErr w:type="gramEnd"/>
      <w:r w:rsidRPr="00042223">
        <w:rPr>
          <w:rFonts w:ascii="Times New Roman" w:hAnsi="Times New Roman"/>
          <w:sz w:val="24"/>
          <w:szCs w:val="24"/>
        </w:rPr>
        <w:t xml:space="preserve"> Williams brought Watts to Fire Station</w:t>
      </w:r>
    </w:p>
    <w:p w14:paraId="0164DCCD"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Number 20, Stinson recalled wrestling around with Williams and related that they would</w:t>
      </w:r>
    </w:p>
    <w:p w14:paraId="15775E18"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wrestle almost every shift. The second time Stinson saw Williams that day, Williams was</w:t>
      </w:r>
    </w:p>
    <w:p w14:paraId="1F618C59"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deceased at the Marathon. Stinson was part of the rescue unit that responded to the shooting. Stinson identified the deceased body as Williams.</w:t>
      </w:r>
    </w:p>
    <w:p w14:paraId="7C51F833" w14:textId="77777777" w:rsidR="00042223" w:rsidRPr="00042223" w:rsidRDefault="00042223" w:rsidP="00042223">
      <w:pPr>
        <w:pStyle w:val="NoSpacing"/>
        <w:rPr>
          <w:rFonts w:ascii="Times New Roman" w:hAnsi="Times New Roman"/>
          <w:bCs/>
          <w:sz w:val="24"/>
          <w:szCs w:val="24"/>
        </w:rPr>
      </w:pPr>
    </w:p>
    <w:p w14:paraId="6FABB81E"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29C35B9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A reasonable juror could infer based on common sense and lived experience that</w:t>
      </w:r>
    </w:p>
    <w:p w14:paraId="469DCA6F"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Watts formed a plan to kill Williams when he retrieved Williams’s pistol from the center</w:t>
      </w:r>
    </w:p>
    <w:p w14:paraId="2E6BD39A"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console, pulled back the slide, and ejected one live round onto the floorboard. The jury</w:t>
      </w:r>
    </w:p>
    <w:p w14:paraId="79A1752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reasonably could have found that Watts’s actions revealed that he, being previously</w:t>
      </w:r>
    </w:p>
    <w:p w14:paraId="4218AB44"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unfamiliar with Williams’s pistol, was unsure whether the </w:t>
      </w:r>
      <w:proofErr w:type="gramStart"/>
      <w:r w:rsidRPr="00042223">
        <w:rPr>
          <w:rFonts w:ascii="Times New Roman" w:hAnsi="Times New Roman"/>
          <w:sz w:val="24"/>
          <w:szCs w:val="24"/>
        </w:rPr>
        <w:t>hand gun</w:t>
      </w:r>
      <w:proofErr w:type="gramEnd"/>
      <w:r w:rsidRPr="00042223">
        <w:rPr>
          <w:rFonts w:ascii="Times New Roman" w:hAnsi="Times New Roman"/>
          <w:sz w:val="24"/>
          <w:szCs w:val="24"/>
        </w:rPr>
        <w:t xml:space="preserve"> had a bullet in the</w:t>
      </w:r>
    </w:p>
    <w:p w14:paraId="476F35D5"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chamber. The jury reasonably could have found that once Watts ejected the live round, he</w:t>
      </w:r>
    </w:p>
    <w:p w14:paraId="1070F5F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then had confirmation that the pistol was ready to fire. Accordingly, the jury reasonably</w:t>
      </w:r>
    </w:p>
    <w:p w14:paraId="5898A014"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 xml:space="preserve">could have found that Watts was fully aware of what he was doing when he exited the Tahoe and intentionally shot Williams in the head. Viewing the evidence in the light most favorable to the prosecution, therefore, any rational juror could have found each element of </w:t>
      </w:r>
      <w:proofErr w:type="gramStart"/>
      <w:r w:rsidRPr="00042223">
        <w:rPr>
          <w:rFonts w:ascii="Times New Roman" w:hAnsi="Times New Roman"/>
          <w:sz w:val="24"/>
          <w:szCs w:val="24"/>
        </w:rPr>
        <w:t>first degree</w:t>
      </w:r>
      <w:proofErr w:type="gramEnd"/>
      <w:r w:rsidRPr="00042223">
        <w:rPr>
          <w:rFonts w:ascii="Times New Roman" w:hAnsi="Times New Roman"/>
          <w:sz w:val="24"/>
          <w:szCs w:val="24"/>
        </w:rPr>
        <w:t xml:space="preserve"> murder beyond a reasonable doubt.</w:t>
      </w:r>
    </w:p>
    <w:p w14:paraId="72420491" w14:textId="77777777" w:rsidR="00042223" w:rsidRPr="00042223" w:rsidRDefault="00042223" w:rsidP="00042223">
      <w:pPr>
        <w:pStyle w:val="NoSpacing"/>
        <w:rPr>
          <w:rFonts w:ascii="Times New Roman" w:hAnsi="Times New Roman"/>
          <w:bCs/>
          <w:sz w:val="24"/>
          <w:szCs w:val="24"/>
        </w:rPr>
      </w:pPr>
    </w:p>
    <w:p w14:paraId="69B61EB1"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0AC45B6C"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Occurrences of fratricide are nearly as old as humanity itself. The factual details of</w:t>
      </w:r>
    </w:p>
    <w:p w14:paraId="29F40006"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 xml:space="preserve">today’s case unfortunately </w:t>
      </w:r>
      <w:proofErr w:type="gramStart"/>
      <w:r w:rsidRPr="00042223">
        <w:rPr>
          <w:rFonts w:ascii="Times New Roman" w:hAnsi="Times New Roman"/>
          <w:sz w:val="24"/>
          <w:szCs w:val="24"/>
        </w:rPr>
        <w:t>add</w:t>
      </w:r>
      <w:proofErr w:type="gramEnd"/>
      <w:r w:rsidRPr="00042223">
        <w:rPr>
          <w:rFonts w:ascii="Times New Roman" w:hAnsi="Times New Roman"/>
          <w:sz w:val="24"/>
          <w:szCs w:val="24"/>
        </w:rPr>
        <w:t xml:space="preserve"> another example to this ancient litany. Finding no error, we affirm.”</w:t>
      </w:r>
    </w:p>
    <w:p w14:paraId="10B1AC17" w14:textId="77777777" w:rsidR="00042223" w:rsidRPr="00042223" w:rsidRDefault="00042223" w:rsidP="00042223">
      <w:pPr>
        <w:pStyle w:val="NoSpacing"/>
        <w:rPr>
          <w:rFonts w:ascii="Times New Roman" w:hAnsi="Times New Roman"/>
          <w:bCs/>
          <w:sz w:val="24"/>
          <w:szCs w:val="24"/>
        </w:rPr>
      </w:pPr>
    </w:p>
    <w:p w14:paraId="0B23B3E4" w14:textId="77777777" w:rsidR="00042223" w:rsidRPr="00042223" w:rsidRDefault="00042223" w:rsidP="00042223">
      <w:pPr>
        <w:pStyle w:val="NoSpacing"/>
        <w:rPr>
          <w:rFonts w:ascii="Times New Roman" w:hAnsi="Times New Roman"/>
          <w:b/>
          <w:sz w:val="24"/>
          <w:szCs w:val="24"/>
        </w:rPr>
      </w:pPr>
      <w:r w:rsidRPr="00042223">
        <w:rPr>
          <w:rFonts w:ascii="Times New Roman" w:hAnsi="Times New Roman"/>
          <w:b/>
          <w:sz w:val="24"/>
          <w:szCs w:val="24"/>
        </w:rPr>
        <w:t xml:space="preserve">Legal Lesson Learned: Responding to a shooting and finding body of fellow firefighter is particularly tragic. </w:t>
      </w:r>
    </w:p>
    <w:p w14:paraId="73B8FAE1" w14:textId="77777777" w:rsidR="00042223" w:rsidRPr="00042223" w:rsidRDefault="00042223" w:rsidP="00042223">
      <w:pPr>
        <w:pStyle w:val="NoSpacing"/>
        <w:rPr>
          <w:rFonts w:ascii="Times New Roman" w:hAnsi="Times New Roman"/>
          <w:bCs/>
          <w:sz w:val="24"/>
          <w:szCs w:val="24"/>
        </w:rPr>
      </w:pPr>
    </w:p>
    <w:p w14:paraId="1A7D8DC4" w14:textId="77777777" w:rsidR="00042223" w:rsidRPr="00042223" w:rsidRDefault="00042223" w:rsidP="00042223">
      <w:pPr>
        <w:ind w:left="720"/>
        <w:rPr>
          <w:rFonts w:ascii="Times New Roman" w:hAnsi="Times New Roman"/>
          <w:bCs/>
          <w:sz w:val="24"/>
          <w:szCs w:val="24"/>
        </w:rPr>
      </w:pPr>
      <w:r w:rsidRPr="00042223">
        <w:rPr>
          <w:rFonts w:ascii="Times New Roman" w:hAnsi="Times New Roman"/>
          <w:sz w:val="24"/>
          <w:szCs w:val="24"/>
        </w:rPr>
        <w:t xml:space="preserve">Note: See article / video on the case. Feb. 20, 2025. “Court upholds man’s conviction for killing Jackson firefighter.”  </w:t>
      </w:r>
      <w:hyperlink r:id="rId459" w:history="1">
        <w:r w:rsidRPr="00042223">
          <w:rPr>
            <w:rStyle w:val="Hyperlink"/>
            <w:rFonts w:ascii="Times New Roman" w:hAnsi="Times New Roman"/>
            <w:sz w:val="24"/>
            <w:szCs w:val="24"/>
          </w:rPr>
          <w:t>https://www.wjtv.com/news/local-news/court-upholds-mans-conviction-for-killing-jackson-firefighter/</w:t>
        </w:r>
      </w:hyperlink>
      <w:r w:rsidRPr="00042223">
        <w:rPr>
          <w:rFonts w:ascii="Times New Roman" w:hAnsi="Times New Roman"/>
          <w:sz w:val="24"/>
          <w:szCs w:val="24"/>
        </w:rPr>
        <w:t xml:space="preserve"> </w:t>
      </w:r>
    </w:p>
    <w:p w14:paraId="5DB44DC6" w14:textId="77777777" w:rsidR="00042223" w:rsidRPr="00042223" w:rsidRDefault="00042223" w:rsidP="00042223">
      <w:pPr>
        <w:ind w:left="720"/>
        <w:rPr>
          <w:rFonts w:ascii="Times New Roman" w:hAnsi="Times New Roman"/>
          <w:bCs/>
          <w:sz w:val="24"/>
          <w:szCs w:val="24"/>
        </w:rPr>
      </w:pPr>
      <w:r w:rsidRPr="00042223">
        <w:rPr>
          <w:rFonts w:ascii="Times New Roman" w:hAnsi="Times New Roman"/>
          <w:sz w:val="24"/>
          <w:szCs w:val="24"/>
        </w:rPr>
        <w:t xml:space="preserve">March 23, 2000: </w:t>
      </w:r>
      <w:hyperlink r:id="rId460" w:history="1">
        <w:r w:rsidRPr="00042223">
          <w:rPr>
            <w:rStyle w:val="Hyperlink"/>
            <w:rFonts w:ascii="Times New Roman" w:hAnsi="Times New Roman"/>
            <w:sz w:val="24"/>
            <w:szCs w:val="24"/>
          </w:rPr>
          <w:t>https://www.firerescue1.com/firefighter-death/articles/miss-fire-lieutenant-killed-in-gas-station-robbery-jMwIEdZ3rDnt54xe/</w:t>
        </w:r>
      </w:hyperlink>
      <w:r w:rsidRPr="00042223">
        <w:rPr>
          <w:rFonts w:ascii="Times New Roman" w:hAnsi="Times New Roman"/>
          <w:sz w:val="24"/>
          <w:szCs w:val="24"/>
        </w:rPr>
        <w:t xml:space="preserve"> </w:t>
      </w:r>
    </w:p>
    <w:p w14:paraId="6918A042" w14:textId="77777777" w:rsidR="00042223" w:rsidRPr="000B7F2C" w:rsidRDefault="00042223" w:rsidP="00042223"/>
    <w:p w14:paraId="11219453" w14:textId="56FF0351" w:rsidR="00BE6877" w:rsidRDefault="00BE6877" w:rsidP="005D5A0C">
      <w:pPr>
        <w:rPr>
          <w:rFonts w:ascii="Arial Black" w:hAnsi="Arial Black"/>
          <w:sz w:val="24"/>
          <w:szCs w:val="24"/>
        </w:rPr>
      </w:pPr>
      <w:r>
        <w:rPr>
          <w:rFonts w:ascii="Arial Black" w:hAnsi="Arial Black"/>
          <w:sz w:val="24"/>
          <w:szCs w:val="24"/>
        </w:rPr>
        <w:t>2-81</w:t>
      </w:r>
    </w:p>
    <w:p w14:paraId="0AD4A004" w14:textId="77777777" w:rsidR="00C35636" w:rsidRDefault="00C35636" w:rsidP="00C35636">
      <w:pPr>
        <w:pStyle w:val="NoSpacing"/>
        <w:rPr>
          <w:rFonts w:ascii="Arial Black" w:hAnsi="Arial Black"/>
          <w:bCs/>
          <w:sz w:val="28"/>
          <w:szCs w:val="28"/>
        </w:rPr>
      </w:pPr>
      <w:r>
        <w:rPr>
          <w:rFonts w:ascii="Arial Black" w:hAnsi="Arial Black"/>
          <w:sz w:val="28"/>
          <w:szCs w:val="28"/>
        </w:rPr>
        <w:t>PA: FLEEING DRIVER ALMOST HIT EMS – 5-10 YRS</w:t>
      </w:r>
    </w:p>
    <w:p w14:paraId="1A0B7732" w14:textId="77777777" w:rsidR="00C35636" w:rsidRDefault="00C35636" w:rsidP="00C35636">
      <w:pPr>
        <w:pStyle w:val="NoSpacing"/>
        <w:rPr>
          <w:bCs/>
        </w:rPr>
      </w:pPr>
    </w:p>
    <w:p w14:paraId="44E8866A" w14:textId="77777777" w:rsidR="00C35636" w:rsidRPr="00C35636" w:rsidRDefault="00C35636" w:rsidP="00C35636">
      <w:pPr>
        <w:pStyle w:val="NoSpacing"/>
        <w:rPr>
          <w:rFonts w:ascii="Times New Roman" w:hAnsi="Times New Roman"/>
          <w:bCs/>
          <w:sz w:val="24"/>
          <w:szCs w:val="24"/>
        </w:rPr>
      </w:pPr>
      <w:r w:rsidRPr="00C35636">
        <w:rPr>
          <w:rFonts w:ascii="Times New Roman" w:hAnsi="Times New Roman"/>
          <w:sz w:val="24"/>
          <w:szCs w:val="24"/>
        </w:rPr>
        <w:t xml:space="preserve">On Dec. 23, 2024, in </w:t>
      </w:r>
      <w:r w:rsidRPr="00C35636">
        <w:rPr>
          <w:rFonts w:ascii="Times New Roman" w:hAnsi="Times New Roman"/>
          <w:sz w:val="24"/>
          <w:szCs w:val="24"/>
          <w:u w:val="single"/>
        </w:rPr>
        <w:t>Commonwealth of Pennsylvania v. Marisa Nicole Liddington</w:t>
      </w:r>
      <w:r w:rsidRPr="00C35636">
        <w:rPr>
          <w:rFonts w:ascii="Times New Roman" w:hAnsi="Times New Roman"/>
          <w:sz w:val="24"/>
          <w:szCs w:val="24"/>
        </w:rPr>
        <w:t>, the Superior Court of Pennsylvania held (3 to 0; non-precedential decision) that the sentence of 5 – 10 years in prison was appropriate for aggravate assault on two EMS and for the DUI. The Court wrote:</w:t>
      </w:r>
    </w:p>
    <w:p w14:paraId="277974C4" w14:textId="77777777" w:rsidR="00C35636" w:rsidRPr="00C35636" w:rsidRDefault="00C35636" w:rsidP="00C35636">
      <w:pPr>
        <w:pStyle w:val="NoSpacing"/>
        <w:rPr>
          <w:rFonts w:ascii="Times New Roman" w:hAnsi="Times New Roman"/>
          <w:bCs/>
          <w:sz w:val="24"/>
          <w:szCs w:val="24"/>
        </w:rPr>
      </w:pPr>
    </w:p>
    <w:p w14:paraId="79813806"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““Marisa Nicole Liddington appeals from the judgment of sentence of five to twelve years of imprisonment imposed upon her convictions for driving under the influence (“DUI”) and four counts of aggravated assault. We affirm.</w:t>
      </w:r>
    </w:p>
    <w:p w14:paraId="6D4F408D" w14:textId="77777777" w:rsidR="00C35636" w:rsidRPr="00C35636" w:rsidRDefault="00C35636" w:rsidP="00C35636">
      <w:pPr>
        <w:pStyle w:val="NoSpacing"/>
        <w:rPr>
          <w:rFonts w:ascii="Times New Roman" w:hAnsi="Times New Roman"/>
          <w:b/>
          <w:sz w:val="24"/>
          <w:szCs w:val="24"/>
        </w:rPr>
      </w:pPr>
    </w:p>
    <w:p w14:paraId="146C6387"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w:t>
      </w:r>
    </w:p>
    <w:p w14:paraId="1D32E0BA"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We first assess whether the evidence demonstrated that Appellant attempted to cause serious bodily injury to [EMS] Messrs. Ebersole and Eppley and attempted by physical menace to put them in fear of serious bodily injury…. Appellant argues that, even when viewed in the light most favorable to the Commonwealth, the evidence in this case does not prove that she acted with the specific intent to harm or menace anyone. She posits that Mr. Ebersole placed himself in harm’s way by attempting to detain her, and that Mr. Eppley was hit by the car door when she backed up only because he reached to grab Mr. Ebersole…. Here, it appears that neither Appellant’s motivation nor her ultimate</w:t>
      </w:r>
    </w:p>
    <w:p w14:paraId="09389E6D" w14:textId="43E3F944" w:rsidR="00BE6877" w:rsidRPr="00C35636" w:rsidRDefault="00C35636" w:rsidP="00C35636">
      <w:pPr>
        <w:ind w:left="720"/>
        <w:rPr>
          <w:rFonts w:ascii="Times New Roman" w:hAnsi="Times New Roman"/>
          <w:sz w:val="24"/>
          <w:szCs w:val="24"/>
        </w:rPr>
      </w:pPr>
      <w:r w:rsidRPr="00C35636">
        <w:rPr>
          <w:rFonts w:ascii="Times New Roman" w:hAnsi="Times New Roman"/>
          <w:sz w:val="24"/>
          <w:szCs w:val="24"/>
        </w:rPr>
        <w:t xml:space="preserve">goal was to injure the first responders on scene in the Walmart parking lot. Rather, it seems plain that what she wanted was to get away before the police arrived. However, under the totality of the circumstances, the jury was within its rights to conclude that Appellant made the conscious decision to achieve her goal by any means necessary, including causing serious bodily injury to any of the first responders who were in her way.” </w:t>
      </w:r>
      <w:hyperlink r:id="rId461" w:history="1">
        <w:r w:rsidRPr="00C35636">
          <w:rPr>
            <w:rStyle w:val="Hyperlink"/>
            <w:rFonts w:ascii="Times New Roman" w:hAnsi="Times New Roman"/>
            <w:sz w:val="24"/>
            <w:szCs w:val="24"/>
          </w:rPr>
          <w:t>https://www.pacourts.us/assets/opinions/Superior/out/J-A11020-24m%20-%20106209941292398313.pdf?cb=1</w:t>
        </w:r>
      </w:hyperlink>
    </w:p>
    <w:p w14:paraId="697D8929" w14:textId="77777777" w:rsidR="00FE0B61" w:rsidRPr="00FE0B61" w:rsidRDefault="00FE0B61" w:rsidP="00FE0B61">
      <w:pPr>
        <w:pStyle w:val="NoSpacing"/>
        <w:rPr>
          <w:rFonts w:ascii="Times New Roman" w:hAnsi="Times New Roman"/>
          <w:bCs/>
          <w:sz w:val="24"/>
          <w:szCs w:val="24"/>
        </w:rPr>
      </w:pPr>
      <w:r w:rsidRPr="00FE0B61">
        <w:rPr>
          <w:rFonts w:ascii="Times New Roman" w:hAnsi="Times New Roman"/>
          <w:sz w:val="24"/>
          <w:szCs w:val="24"/>
        </w:rPr>
        <w:t>HOLDING:</w:t>
      </w:r>
    </w:p>
    <w:p w14:paraId="1003DAD1" w14:textId="77777777" w:rsidR="00FE0B61" w:rsidRPr="00FE0B61" w:rsidRDefault="00FE0B61" w:rsidP="00FE0B61">
      <w:pPr>
        <w:pStyle w:val="NoSpacing"/>
        <w:rPr>
          <w:rFonts w:ascii="Times New Roman" w:hAnsi="Times New Roman"/>
          <w:bCs/>
          <w:sz w:val="24"/>
          <w:szCs w:val="24"/>
        </w:rPr>
      </w:pPr>
    </w:p>
    <w:p w14:paraId="7EEE2D22" w14:textId="77777777" w:rsidR="00FE0B61" w:rsidRPr="00FE0B61" w:rsidRDefault="00FE0B61" w:rsidP="00FE0B61">
      <w:pPr>
        <w:pStyle w:val="NoSpacing"/>
        <w:ind w:left="720"/>
        <w:rPr>
          <w:rFonts w:ascii="Times New Roman" w:hAnsi="Times New Roman"/>
          <w:bCs/>
          <w:sz w:val="24"/>
          <w:szCs w:val="24"/>
        </w:rPr>
      </w:pPr>
      <w:r w:rsidRPr="00FE0B61">
        <w:rPr>
          <w:rFonts w:ascii="Times New Roman" w:hAnsi="Times New Roman"/>
          <w:b/>
          <w:sz w:val="24"/>
          <w:szCs w:val="24"/>
        </w:rPr>
        <w:t>“</w:t>
      </w:r>
      <w:r w:rsidRPr="00FE0B61">
        <w:rPr>
          <w:rFonts w:ascii="Times New Roman" w:hAnsi="Times New Roman"/>
          <w:sz w:val="24"/>
          <w:szCs w:val="24"/>
        </w:rPr>
        <w:t xml:space="preserve">Messrs. Ebersole and Eppley were not at the Walmart to shop, socialize, or engage in any other personal business. They were there, on duty, in response to an emergency call, and remained in that capacity for the duration of the encounter. Plainly, they were performing their duties at the time she nearly ran them over in her desire to avoid the consequences of her criminal </w:t>
      </w:r>
      <w:proofErr w:type="gramStart"/>
      <w:r w:rsidRPr="00FE0B61">
        <w:rPr>
          <w:rFonts w:ascii="Times New Roman" w:hAnsi="Times New Roman"/>
          <w:sz w:val="24"/>
          <w:szCs w:val="24"/>
        </w:rPr>
        <w:t>conduct.”</w:t>
      </w:r>
      <w:proofErr w:type="gramEnd"/>
    </w:p>
    <w:p w14:paraId="12466DD0" w14:textId="77777777" w:rsidR="00FE0B61" w:rsidRPr="00FE0B61" w:rsidRDefault="00FE0B61" w:rsidP="00FE0B61">
      <w:pPr>
        <w:pStyle w:val="NoSpacing"/>
        <w:ind w:left="720"/>
        <w:rPr>
          <w:rFonts w:ascii="Times New Roman" w:hAnsi="Times New Roman"/>
          <w:bCs/>
          <w:sz w:val="24"/>
          <w:szCs w:val="24"/>
        </w:rPr>
      </w:pPr>
    </w:p>
    <w:p w14:paraId="32EF6CCD" w14:textId="77777777" w:rsidR="00FE0B61" w:rsidRPr="00FE0B61" w:rsidRDefault="00FE0B61" w:rsidP="00FE0B61">
      <w:pPr>
        <w:pStyle w:val="NoSpacing"/>
        <w:rPr>
          <w:rFonts w:ascii="Times New Roman" w:hAnsi="Times New Roman"/>
          <w:b/>
          <w:sz w:val="24"/>
          <w:szCs w:val="24"/>
        </w:rPr>
      </w:pPr>
      <w:r w:rsidRPr="00FE0B61">
        <w:rPr>
          <w:rFonts w:ascii="Times New Roman" w:hAnsi="Times New Roman"/>
          <w:b/>
          <w:sz w:val="24"/>
          <w:szCs w:val="24"/>
        </w:rPr>
        <w:t>Legal Lesson Learned:  The sentence reflects the seriousness of the defendant’s conduct; she could have killed or serious injured the two EMS.</w:t>
      </w:r>
    </w:p>
    <w:p w14:paraId="262DBCB5" w14:textId="77777777" w:rsidR="00FE0B61" w:rsidRPr="00FE0B61" w:rsidRDefault="00FE0B61" w:rsidP="00FE0B61">
      <w:pPr>
        <w:pStyle w:val="NoSpacing"/>
        <w:rPr>
          <w:rFonts w:ascii="Times New Roman" w:hAnsi="Times New Roman"/>
          <w:b/>
          <w:sz w:val="24"/>
          <w:szCs w:val="24"/>
        </w:rPr>
      </w:pPr>
    </w:p>
    <w:p w14:paraId="5BB1B3C6" w14:textId="77777777" w:rsidR="00BE6877" w:rsidRPr="00FE0B61" w:rsidRDefault="00BE6877" w:rsidP="005D5A0C">
      <w:pPr>
        <w:rPr>
          <w:rFonts w:ascii="Times New Roman" w:hAnsi="Times New Roman"/>
          <w:sz w:val="24"/>
          <w:szCs w:val="24"/>
        </w:rPr>
      </w:pPr>
    </w:p>
    <w:p w14:paraId="098DCAA2" w14:textId="77777777" w:rsidR="00BE6877" w:rsidRDefault="00BE6877" w:rsidP="005D5A0C">
      <w:pPr>
        <w:rPr>
          <w:rFonts w:ascii="Arial Black" w:hAnsi="Arial Black"/>
          <w:sz w:val="24"/>
          <w:szCs w:val="24"/>
        </w:rPr>
      </w:pPr>
    </w:p>
    <w:p w14:paraId="153E61DB" w14:textId="4B4AA44C" w:rsidR="00F755DB" w:rsidRDefault="00F755DB" w:rsidP="005D5A0C">
      <w:pPr>
        <w:rPr>
          <w:rFonts w:ascii="Arial Black" w:hAnsi="Arial Black"/>
          <w:sz w:val="24"/>
          <w:szCs w:val="24"/>
        </w:rPr>
      </w:pPr>
      <w:r>
        <w:rPr>
          <w:rFonts w:ascii="Arial Black" w:hAnsi="Arial Black"/>
          <w:sz w:val="24"/>
          <w:szCs w:val="24"/>
        </w:rPr>
        <w:t>2-80</w:t>
      </w:r>
    </w:p>
    <w:p w14:paraId="2F1C945F" w14:textId="77777777" w:rsidR="007353DC" w:rsidRPr="00DE5D8F" w:rsidRDefault="007353DC" w:rsidP="007353DC">
      <w:pPr>
        <w:pStyle w:val="NoSpacing"/>
        <w:rPr>
          <w:rFonts w:ascii="Arial Black" w:hAnsi="Arial Black"/>
          <w:b/>
          <w:sz w:val="28"/>
          <w:szCs w:val="28"/>
        </w:rPr>
      </w:pPr>
      <w:r>
        <w:rPr>
          <w:rFonts w:ascii="Arial Black" w:hAnsi="Arial Black"/>
          <w:b/>
          <w:sz w:val="28"/>
          <w:szCs w:val="28"/>
        </w:rPr>
        <w:t xml:space="preserve">PA: 2 LODD – CONDEMNED BLDG – CITY DISMISSED </w:t>
      </w:r>
    </w:p>
    <w:p w14:paraId="7674CE5C" w14:textId="77777777" w:rsidR="007353DC" w:rsidRDefault="007353DC" w:rsidP="007353DC">
      <w:pPr>
        <w:pStyle w:val="NoSpacing"/>
        <w:rPr>
          <w:bCs/>
        </w:rPr>
      </w:pPr>
    </w:p>
    <w:p w14:paraId="73CDD307" w14:textId="77777777" w:rsidR="00DF7446" w:rsidRPr="00DF7446" w:rsidRDefault="00DF7446" w:rsidP="00DF7446">
      <w:pPr>
        <w:pStyle w:val="NoSpacing"/>
        <w:rPr>
          <w:rFonts w:ascii="Times New Roman" w:hAnsi="Times New Roman"/>
          <w:bCs/>
          <w:sz w:val="24"/>
          <w:szCs w:val="24"/>
        </w:rPr>
      </w:pPr>
      <w:r w:rsidRPr="00DF7446">
        <w:rPr>
          <w:rFonts w:ascii="Times New Roman" w:hAnsi="Times New Roman"/>
          <w:sz w:val="24"/>
          <w:szCs w:val="24"/>
        </w:rPr>
        <w:t xml:space="preserve">On Dec. 9, 2024, in </w:t>
      </w:r>
      <w:r w:rsidRPr="00DF7446">
        <w:rPr>
          <w:rFonts w:ascii="Times New Roman" w:hAnsi="Times New Roman"/>
          <w:sz w:val="24"/>
          <w:szCs w:val="24"/>
          <w:u w:val="single"/>
        </w:rPr>
        <w:t>Rachel Butrim, et al. v. Maor and City Council of Baltimore</w:t>
      </w:r>
      <w:r w:rsidRPr="00DF7446">
        <w:rPr>
          <w:rFonts w:ascii="Times New Roman" w:hAnsi="Times New Roman"/>
          <w:sz w:val="24"/>
          <w:szCs w:val="24"/>
        </w:rPr>
        <w:t xml:space="preserve">, United States District Court Judge Matthew J. Maddox, U.S. District Court for the District of Maryland, granted the city’s motion to dismiss.  Even though the building was condemned, and not marked to warn firefighters, there was no proof the city intended to harm the firefighters. </w:t>
      </w:r>
      <w:hyperlink r:id="rId462" w:history="1">
        <w:r w:rsidRPr="00DF7446">
          <w:rPr>
            <w:rStyle w:val="Hyperlink"/>
            <w:rFonts w:ascii="Times New Roman" w:hAnsi="Times New Roman"/>
            <w:sz w:val="24"/>
            <w:szCs w:val="24"/>
          </w:rPr>
          <w:t>https://storage.courtlistener.com/recap/gov.uscourts.mdd.559142/gov.uscourts.mdd.559142.21.0.pdf</w:t>
        </w:r>
      </w:hyperlink>
      <w:r w:rsidRPr="00DF7446">
        <w:rPr>
          <w:rFonts w:ascii="Times New Roman" w:hAnsi="Times New Roman"/>
          <w:sz w:val="24"/>
          <w:szCs w:val="24"/>
        </w:rPr>
        <w:t xml:space="preserve"> </w:t>
      </w:r>
    </w:p>
    <w:p w14:paraId="3F4389C0" w14:textId="3DBB8B9B" w:rsidR="00DF7446" w:rsidRPr="00DF7446" w:rsidRDefault="00DF7446" w:rsidP="007353DC">
      <w:pPr>
        <w:pStyle w:val="NoSpacing"/>
        <w:rPr>
          <w:rFonts w:ascii="Times New Roman" w:hAnsi="Times New Roman"/>
          <w:sz w:val="24"/>
          <w:szCs w:val="24"/>
        </w:rPr>
      </w:pPr>
    </w:p>
    <w:p w14:paraId="64BA5587" w14:textId="77777777" w:rsidR="00DF7446" w:rsidRDefault="00DF7446" w:rsidP="007353DC">
      <w:pPr>
        <w:pStyle w:val="NoSpacing"/>
        <w:rPr>
          <w:rFonts w:ascii="Times New Roman" w:hAnsi="Times New Roman"/>
          <w:sz w:val="24"/>
          <w:szCs w:val="24"/>
        </w:rPr>
      </w:pPr>
    </w:p>
    <w:p w14:paraId="7A1D950E" w14:textId="1D085BE6" w:rsidR="007353DC" w:rsidRPr="007353DC" w:rsidRDefault="007353DC" w:rsidP="007353DC">
      <w:pPr>
        <w:pStyle w:val="NoSpacing"/>
        <w:rPr>
          <w:rFonts w:ascii="Times New Roman" w:hAnsi="Times New Roman"/>
          <w:bCs/>
          <w:sz w:val="24"/>
          <w:szCs w:val="24"/>
        </w:rPr>
      </w:pPr>
      <w:r w:rsidRPr="007353DC">
        <w:rPr>
          <w:rFonts w:ascii="Times New Roman" w:hAnsi="Times New Roman"/>
          <w:sz w:val="24"/>
          <w:szCs w:val="24"/>
        </w:rPr>
        <w:t>The Court wrote:</w:t>
      </w:r>
    </w:p>
    <w:p w14:paraId="5BEC412E" w14:textId="77777777" w:rsidR="007353DC" w:rsidRPr="007353DC" w:rsidRDefault="007353DC" w:rsidP="007353DC">
      <w:pPr>
        <w:pStyle w:val="NoSpacing"/>
        <w:rPr>
          <w:rFonts w:ascii="Times New Roman" w:hAnsi="Times New Roman"/>
          <w:bCs/>
          <w:sz w:val="24"/>
          <w:szCs w:val="24"/>
        </w:rPr>
      </w:pPr>
    </w:p>
    <w:p w14:paraId="118D6EBC" w14:textId="77777777" w:rsidR="007353DC" w:rsidRPr="007353DC" w:rsidRDefault="007353DC" w:rsidP="007353DC">
      <w:pPr>
        <w:pStyle w:val="NoSpacing"/>
        <w:ind w:firstLine="720"/>
        <w:rPr>
          <w:rFonts w:ascii="Times New Roman" w:hAnsi="Times New Roman"/>
          <w:bCs/>
          <w:sz w:val="24"/>
          <w:szCs w:val="24"/>
        </w:rPr>
      </w:pPr>
      <w:r w:rsidRPr="007353DC">
        <w:rPr>
          <w:rFonts w:ascii="Times New Roman" w:hAnsi="Times New Roman"/>
          <w:sz w:val="24"/>
          <w:szCs w:val="24"/>
        </w:rPr>
        <w:t>“The Motion is fully briefed and ripe for disposition. No hearing is necessary.</w:t>
      </w:r>
    </w:p>
    <w:p w14:paraId="79DDE0C9" w14:textId="77777777" w:rsidR="007353DC" w:rsidRPr="007353DC" w:rsidRDefault="007353DC" w:rsidP="007353DC">
      <w:pPr>
        <w:pStyle w:val="NoSpacing"/>
        <w:ind w:firstLine="720"/>
        <w:rPr>
          <w:rFonts w:ascii="Times New Roman" w:hAnsi="Times New Roman"/>
          <w:bCs/>
          <w:sz w:val="24"/>
          <w:szCs w:val="24"/>
        </w:rPr>
      </w:pPr>
    </w:p>
    <w:p w14:paraId="50056B97" w14:textId="77777777" w:rsidR="007353DC" w:rsidRPr="007353DC" w:rsidRDefault="007353DC" w:rsidP="007353DC">
      <w:pPr>
        <w:pStyle w:val="NoSpacing"/>
        <w:ind w:firstLine="720"/>
        <w:rPr>
          <w:rFonts w:ascii="Times New Roman" w:hAnsi="Times New Roman"/>
          <w:bCs/>
          <w:sz w:val="24"/>
          <w:szCs w:val="24"/>
        </w:rPr>
      </w:pPr>
      <w:r w:rsidRPr="007353DC">
        <w:rPr>
          <w:rFonts w:ascii="Times New Roman" w:hAnsi="Times New Roman"/>
          <w:sz w:val="24"/>
          <w:szCs w:val="24"/>
        </w:rPr>
        <w:t>***</w:t>
      </w:r>
    </w:p>
    <w:p w14:paraId="7AFD6155" w14:textId="77777777" w:rsidR="007353DC" w:rsidRPr="007353DC" w:rsidRDefault="007353DC" w:rsidP="007353DC">
      <w:pPr>
        <w:pStyle w:val="NoSpacing"/>
        <w:rPr>
          <w:rFonts w:ascii="Times New Roman" w:hAnsi="Times New Roman"/>
          <w:bCs/>
          <w:sz w:val="24"/>
          <w:szCs w:val="24"/>
        </w:rPr>
      </w:pPr>
    </w:p>
    <w:p w14:paraId="415100C2" w14:textId="67070486" w:rsidR="007353DC" w:rsidRPr="007353DC" w:rsidRDefault="007353DC" w:rsidP="007353DC">
      <w:pPr>
        <w:pStyle w:val="NoSpacing"/>
        <w:ind w:left="720"/>
        <w:rPr>
          <w:rFonts w:ascii="Times New Roman" w:hAnsi="Times New Roman"/>
          <w:bCs/>
          <w:sz w:val="24"/>
          <w:szCs w:val="24"/>
        </w:rPr>
      </w:pPr>
      <w:r w:rsidRPr="007353DC">
        <w:rPr>
          <w:rFonts w:ascii="Times New Roman" w:hAnsi="Times New Roman"/>
          <w:sz w:val="24"/>
          <w:szCs w:val="24"/>
        </w:rPr>
        <w:t>Although Plaintiffs allege that the City acted ‘deliberately’ and ‘intended to harm</w:t>
      </w:r>
      <w:r>
        <w:rPr>
          <w:rFonts w:ascii="Times New Roman" w:hAnsi="Times New Roman"/>
          <w:sz w:val="24"/>
          <w:szCs w:val="24"/>
        </w:rPr>
        <w:t xml:space="preserve"> </w:t>
      </w:r>
      <w:r w:rsidRPr="007353DC">
        <w:rPr>
          <w:rFonts w:ascii="Times New Roman" w:hAnsi="Times New Roman"/>
          <w:sz w:val="24"/>
          <w:szCs w:val="24"/>
        </w:rPr>
        <w:t xml:space="preserve"> . . . through its egregious affirmative acts,’ … they fail to allege sufficient facts to support these conclusory and formulaic allegations. Plainly, Plaintiffs do not allege that</w:t>
      </w:r>
      <w:r>
        <w:rPr>
          <w:rFonts w:ascii="Times New Roman" w:hAnsi="Times New Roman"/>
          <w:sz w:val="24"/>
          <w:szCs w:val="24"/>
        </w:rPr>
        <w:t xml:space="preserve"> </w:t>
      </w:r>
      <w:r w:rsidRPr="007353DC">
        <w:rPr>
          <w:rFonts w:ascii="Times New Roman" w:hAnsi="Times New Roman"/>
          <w:sz w:val="24"/>
          <w:szCs w:val="24"/>
        </w:rPr>
        <w:t xml:space="preserve">the City sent Plaintiff Firefighters into the Property on January 24, 2022, with the intent to injure them. The only plausible purpose for sending Plaintiff Firefighters into the Property supported by the facts in the Complaint was to fight the fire that engulfed the building. The only facts offered that speak to the City’s motivations in failing to mark the Property as structurally compromised concern the City’s agreement with the Southwest Partnership, a nonprofit community organization. See </w:t>
      </w:r>
      <w:proofErr w:type="spellStart"/>
      <w:r w:rsidRPr="007353DC">
        <w:rPr>
          <w:rFonts w:ascii="Times New Roman" w:hAnsi="Times New Roman"/>
          <w:sz w:val="24"/>
          <w:szCs w:val="24"/>
        </w:rPr>
        <w:t>Compl</w:t>
      </w:r>
      <w:proofErr w:type="spellEnd"/>
      <w:r w:rsidRPr="007353DC">
        <w:rPr>
          <w:rFonts w:ascii="Times New Roman" w:hAnsi="Times New Roman"/>
          <w:sz w:val="24"/>
          <w:szCs w:val="24"/>
        </w:rPr>
        <w:t>. ¶¶ 63–68. Plaintiffs allege on information and belief that this agreement caused the City to avoid marking certain compromised properties because the markings would make them unattractive to potential investors. See id. ¶¶ 64–65, 68. Accepting these allegations as true—and accepting that they may describe wrongful or even egregious conduct by Defendant—the Court does not find that the allegations support a reasonable inference that Defendant acted with the</w:t>
      </w:r>
    </w:p>
    <w:p w14:paraId="7A5911DC" w14:textId="60FB76A9" w:rsidR="00AF7EA6" w:rsidRPr="007353DC" w:rsidRDefault="007353DC" w:rsidP="00037999">
      <w:pPr>
        <w:pStyle w:val="NoSpacing"/>
        <w:ind w:left="720"/>
        <w:rPr>
          <w:rFonts w:ascii="Times New Roman" w:hAnsi="Times New Roman"/>
          <w:sz w:val="24"/>
          <w:szCs w:val="24"/>
        </w:rPr>
      </w:pPr>
      <w:r w:rsidRPr="007353DC">
        <w:rPr>
          <w:rFonts w:ascii="Times New Roman" w:hAnsi="Times New Roman"/>
          <w:sz w:val="24"/>
          <w:szCs w:val="24"/>
        </w:rPr>
        <w:t xml:space="preserve">purpose of causing harm to Plaintiff Firefighters.” </w:t>
      </w:r>
    </w:p>
    <w:p w14:paraId="2A7C560F" w14:textId="77777777" w:rsidR="00037999" w:rsidRDefault="00037999" w:rsidP="00100878">
      <w:pPr>
        <w:pStyle w:val="NoSpacing"/>
        <w:rPr>
          <w:rFonts w:ascii="Times New Roman" w:hAnsi="Times New Roman"/>
          <w:sz w:val="24"/>
          <w:szCs w:val="24"/>
        </w:rPr>
      </w:pPr>
    </w:p>
    <w:p w14:paraId="2B0384C4" w14:textId="3A24A28A" w:rsidR="00100878" w:rsidRPr="00037999" w:rsidRDefault="00100878" w:rsidP="00100878">
      <w:pPr>
        <w:pStyle w:val="NoSpacing"/>
        <w:rPr>
          <w:rFonts w:ascii="Times New Roman" w:hAnsi="Times New Roman"/>
          <w:bCs/>
          <w:sz w:val="24"/>
          <w:szCs w:val="24"/>
        </w:rPr>
      </w:pPr>
      <w:r w:rsidRPr="00037999">
        <w:rPr>
          <w:rFonts w:ascii="Times New Roman" w:hAnsi="Times New Roman"/>
          <w:sz w:val="24"/>
          <w:szCs w:val="24"/>
        </w:rPr>
        <w:t xml:space="preserve">HOLDING: </w:t>
      </w:r>
    </w:p>
    <w:p w14:paraId="4109288C" w14:textId="77777777" w:rsidR="00100878" w:rsidRDefault="00100878" w:rsidP="00100878">
      <w:pPr>
        <w:pStyle w:val="NoSpacing"/>
        <w:ind w:firstLine="720"/>
        <w:rPr>
          <w:bCs/>
        </w:rPr>
      </w:pPr>
    </w:p>
    <w:p w14:paraId="1765586E"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“In Collins [Collins v. Harker Heights, Feb. 26, 1992; </w:t>
      </w:r>
      <w:hyperlink r:id="rId463" w:history="1">
        <w:r w:rsidRPr="00100878">
          <w:rPr>
            <w:rStyle w:val="Hyperlink"/>
            <w:rFonts w:ascii="Times New Roman" w:hAnsi="Times New Roman"/>
            <w:sz w:val="24"/>
            <w:szCs w:val="24"/>
          </w:rPr>
          <w:t>https://supreme.justia.com/cases/federal/us/503/115/</w:t>
        </w:r>
      </w:hyperlink>
      <w:r w:rsidRPr="00100878">
        <w:rPr>
          <w:rFonts w:ascii="Times New Roman" w:hAnsi="Times New Roman"/>
          <w:sz w:val="24"/>
          <w:szCs w:val="24"/>
        </w:rPr>
        <w:t xml:space="preserve"> ] , the Supreme Court affirmed dismissal of a § 1983 due process claim based on ‘the city’s </w:t>
      </w:r>
      <w:proofErr w:type="spellStart"/>
      <w:r w:rsidRPr="00100878">
        <w:rPr>
          <w:rFonts w:ascii="Times New Roman" w:hAnsi="Times New Roman"/>
          <w:sz w:val="24"/>
          <w:szCs w:val="24"/>
        </w:rPr>
        <w:t>customar</w:t>
      </w:r>
      <w:proofErr w:type="spellEnd"/>
      <w:r w:rsidRPr="00100878">
        <w:rPr>
          <w:rFonts w:ascii="Times New Roman" w:hAnsi="Times New Roman"/>
          <w:sz w:val="24"/>
          <w:szCs w:val="24"/>
        </w:rPr>
        <w:t>[y] fail[</w:t>
      </w:r>
      <w:proofErr w:type="spellStart"/>
      <w:r w:rsidRPr="00100878">
        <w:rPr>
          <w:rFonts w:ascii="Times New Roman" w:hAnsi="Times New Roman"/>
          <w:sz w:val="24"/>
          <w:szCs w:val="24"/>
        </w:rPr>
        <w:t>ure</w:t>
      </w:r>
      <w:proofErr w:type="spellEnd"/>
      <w:r w:rsidRPr="00100878">
        <w:rPr>
          <w:rFonts w:ascii="Times New Roman" w:hAnsi="Times New Roman"/>
          <w:sz w:val="24"/>
          <w:szCs w:val="24"/>
        </w:rPr>
        <w:t>] to train or warn its employees about known hazards in the workplace[,]” which was alleged to have resulted in the death of a municipal employee…. The Court rejected the proposition that “the governmental employer’s duty to provide its employees with a safe working environment is a substantive component of the Due Process Clause.”</w:t>
      </w:r>
    </w:p>
    <w:p w14:paraId="25FE3813" w14:textId="77777777" w:rsidR="00100878" w:rsidRPr="00100878" w:rsidRDefault="00100878" w:rsidP="00100878">
      <w:pPr>
        <w:pStyle w:val="NoSpacing"/>
        <w:ind w:left="720"/>
        <w:rPr>
          <w:rFonts w:ascii="Times New Roman" w:hAnsi="Times New Roman"/>
          <w:bCs/>
          <w:sz w:val="24"/>
          <w:szCs w:val="24"/>
        </w:rPr>
      </w:pPr>
    </w:p>
    <w:p w14:paraId="24B9E8A7"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0B1F078B"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In </w:t>
      </w:r>
      <w:r w:rsidRPr="00100878">
        <w:rPr>
          <w:rFonts w:ascii="Times New Roman" w:hAnsi="Times New Roman"/>
          <w:i/>
          <w:iCs/>
          <w:sz w:val="24"/>
          <w:szCs w:val="24"/>
        </w:rPr>
        <w:t>Waybright v. Frederick Cnty.,</w:t>
      </w:r>
      <w:r w:rsidRPr="00100878">
        <w:rPr>
          <w:rFonts w:ascii="Times New Roman" w:hAnsi="Times New Roman"/>
          <w:sz w:val="24"/>
          <w:szCs w:val="24"/>
        </w:rPr>
        <w:t xml:space="preserve"> Md., [June 2, 2008; </w:t>
      </w:r>
      <w:hyperlink r:id="rId464" w:history="1">
        <w:r w:rsidRPr="00100878">
          <w:rPr>
            <w:rStyle w:val="Hyperlink"/>
            <w:rFonts w:ascii="Times New Roman" w:hAnsi="Times New Roman"/>
            <w:sz w:val="24"/>
            <w:szCs w:val="24"/>
          </w:rPr>
          <w:t>https://casetext.com/case/waybright-v-frederick-county-2</w:t>
        </w:r>
      </w:hyperlink>
      <w:r w:rsidRPr="00100878">
        <w:rPr>
          <w:rFonts w:ascii="Times New Roman" w:hAnsi="Times New Roman"/>
          <w:sz w:val="24"/>
          <w:szCs w:val="24"/>
        </w:rPr>
        <w:t xml:space="preserve"> ] the Fourth Circuit affirmed summary judgment in favor of the municipal defendants on the plaintiffs’ due process claim based upon a fire department</w:t>
      </w:r>
    </w:p>
    <w:p w14:paraId="40710DCD"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recruit’s accidental death following an intensive physical training session. 528 F.3d at 208. As relevant here, the Fourth Circuit rejected the plaintiffs’ contention that Waybright was in a ‘special relationship’ with his supervisor such that the government had ‘a duty to act on [Waybright’s] behalf and its failures to act [were] measured on a deliberate indifference standard[.]’  </w:t>
      </w:r>
    </w:p>
    <w:p w14:paraId="4C2B550D" w14:textId="77777777" w:rsidR="00100878" w:rsidRPr="00100878" w:rsidRDefault="00100878" w:rsidP="00100878">
      <w:pPr>
        <w:pStyle w:val="NoSpacing"/>
        <w:ind w:left="720"/>
        <w:rPr>
          <w:rFonts w:ascii="Times New Roman" w:hAnsi="Times New Roman"/>
          <w:bCs/>
          <w:sz w:val="24"/>
          <w:szCs w:val="24"/>
        </w:rPr>
      </w:pPr>
    </w:p>
    <w:p w14:paraId="356ABCEC"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5ADE8479"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In </w:t>
      </w:r>
      <w:r w:rsidRPr="00100878">
        <w:rPr>
          <w:rFonts w:ascii="Times New Roman" w:hAnsi="Times New Roman"/>
          <w:i/>
          <w:iCs/>
          <w:sz w:val="24"/>
          <w:szCs w:val="24"/>
        </w:rPr>
        <w:t xml:space="preserve">Slaughter v. Mayor &amp; City Council of Baltimore </w:t>
      </w:r>
      <w:r w:rsidRPr="00100878">
        <w:rPr>
          <w:rFonts w:ascii="Times New Roman" w:hAnsi="Times New Roman"/>
          <w:sz w:val="24"/>
          <w:szCs w:val="24"/>
        </w:rPr>
        <w:t>[June 7, 2012</w:t>
      </w:r>
      <w:r w:rsidRPr="00100878">
        <w:rPr>
          <w:rFonts w:ascii="Times New Roman" w:hAnsi="Times New Roman"/>
          <w:i/>
          <w:iCs/>
          <w:sz w:val="24"/>
          <w:szCs w:val="24"/>
        </w:rPr>
        <w:t xml:space="preserve">; </w:t>
      </w:r>
      <w:hyperlink r:id="rId465" w:history="1">
        <w:r w:rsidRPr="00100878">
          <w:rPr>
            <w:rStyle w:val="Hyperlink"/>
            <w:rFonts w:ascii="Times New Roman" w:hAnsi="Times New Roman"/>
            <w:sz w:val="24"/>
            <w:szCs w:val="24"/>
          </w:rPr>
          <w:t>https://casetext.com/case/slaughter-v-mayor-city-council-of-balt</w:t>
        </w:r>
      </w:hyperlink>
      <w:r w:rsidRPr="00100878">
        <w:rPr>
          <w:rFonts w:ascii="Times New Roman" w:hAnsi="Times New Roman"/>
          <w:sz w:val="24"/>
          <w:szCs w:val="24"/>
        </w:rPr>
        <w:t xml:space="preserve"> ] a fire department recruit, Racheal Wilson, died during a ‘live burn’ training exercise…. The Fourth Circuit affirmed dismissal of the complaint for failure to state a claim … because they did not assert that the Fire Department intended to harm Wilson…. The Fourth Circuit</w:t>
      </w:r>
    </w:p>
    <w:p w14:paraId="258CEE86"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ultimately held, in the context of this case, that the fire department’s constitutional liability ‘turn[ed] on whether it intended to harm the new recruits.’</w:t>
      </w:r>
    </w:p>
    <w:p w14:paraId="2AA758FB" w14:textId="77777777" w:rsidR="00100878" w:rsidRPr="00100878" w:rsidRDefault="00100878" w:rsidP="00100878">
      <w:pPr>
        <w:pStyle w:val="NoSpacing"/>
        <w:ind w:left="720"/>
        <w:rPr>
          <w:rFonts w:ascii="Times New Roman" w:hAnsi="Times New Roman"/>
          <w:bCs/>
          <w:sz w:val="24"/>
          <w:szCs w:val="24"/>
        </w:rPr>
      </w:pPr>
    </w:p>
    <w:p w14:paraId="710D67E7"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2A57F724"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Because Plaintiffs fail to allege a plausible constitutional violation, their </w:t>
      </w:r>
      <w:r w:rsidRPr="00100878">
        <w:rPr>
          <w:rFonts w:ascii="Times New Roman" w:hAnsi="Times New Roman"/>
          <w:i/>
          <w:iCs/>
          <w:sz w:val="24"/>
          <w:szCs w:val="24"/>
        </w:rPr>
        <w:t>Monell</w:t>
      </w:r>
      <w:r w:rsidRPr="00100878">
        <w:rPr>
          <w:rFonts w:ascii="Times New Roman" w:hAnsi="Times New Roman"/>
          <w:sz w:val="24"/>
          <w:szCs w:val="24"/>
        </w:rPr>
        <w:t xml:space="preserve"> claim</w:t>
      </w:r>
    </w:p>
    <w:p w14:paraId="0BB0DB0D"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cannot survive Defendant’s motion to dismiss.”</w:t>
      </w:r>
    </w:p>
    <w:p w14:paraId="1AD03354" w14:textId="77777777" w:rsidR="00100878" w:rsidRPr="00100878" w:rsidRDefault="00100878" w:rsidP="00100878">
      <w:pPr>
        <w:pStyle w:val="NoSpacing"/>
        <w:ind w:left="720"/>
        <w:rPr>
          <w:rFonts w:ascii="Times New Roman" w:hAnsi="Times New Roman"/>
          <w:bCs/>
          <w:sz w:val="24"/>
          <w:szCs w:val="24"/>
        </w:rPr>
      </w:pPr>
    </w:p>
    <w:p w14:paraId="404DDA6F" w14:textId="77777777" w:rsidR="00100878" w:rsidRPr="00100878" w:rsidRDefault="00100878" w:rsidP="00100878">
      <w:pPr>
        <w:pStyle w:val="NoSpacing"/>
        <w:rPr>
          <w:rFonts w:ascii="Times New Roman" w:hAnsi="Times New Roman"/>
          <w:b/>
          <w:sz w:val="24"/>
          <w:szCs w:val="24"/>
        </w:rPr>
      </w:pPr>
      <w:r w:rsidRPr="00100878">
        <w:rPr>
          <w:rFonts w:ascii="Times New Roman" w:hAnsi="Times New Roman"/>
          <w:b/>
          <w:sz w:val="24"/>
          <w:szCs w:val="24"/>
        </w:rPr>
        <w:t>Legal Lesson Learned: Tragic set of facts, but no city intent to injure was alleged.  Plaintiffs are expected to appeal to the 4</w:t>
      </w:r>
      <w:r w:rsidRPr="00100878">
        <w:rPr>
          <w:rFonts w:ascii="Times New Roman" w:hAnsi="Times New Roman"/>
          <w:b/>
          <w:sz w:val="24"/>
          <w:szCs w:val="24"/>
          <w:vertAlign w:val="superscript"/>
        </w:rPr>
        <w:t>th</w:t>
      </w:r>
      <w:r w:rsidRPr="00100878">
        <w:rPr>
          <w:rFonts w:ascii="Times New Roman" w:hAnsi="Times New Roman"/>
          <w:b/>
          <w:sz w:val="24"/>
          <w:szCs w:val="24"/>
        </w:rPr>
        <w:t xml:space="preserve"> Circuit.</w:t>
      </w:r>
    </w:p>
    <w:p w14:paraId="05C1A1A7" w14:textId="77777777" w:rsidR="00100878" w:rsidRPr="00100878" w:rsidRDefault="00100878" w:rsidP="00100878">
      <w:pPr>
        <w:pStyle w:val="NoSpacing"/>
        <w:rPr>
          <w:rFonts w:ascii="Times New Roman" w:hAnsi="Times New Roman"/>
          <w:b/>
          <w:sz w:val="24"/>
          <w:szCs w:val="24"/>
        </w:rPr>
      </w:pPr>
    </w:p>
    <w:p w14:paraId="70634886" w14:textId="78339C64"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See Dec. 27</w:t>
      </w:r>
      <w:r w:rsidR="00BE6877">
        <w:rPr>
          <w:rFonts w:ascii="Times New Roman" w:hAnsi="Times New Roman"/>
          <w:sz w:val="24"/>
          <w:szCs w:val="24"/>
        </w:rPr>
        <w:t>,</w:t>
      </w:r>
      <w:r w:rsidRPr="00100878">
        <w:rPr>
          <w:rFonts w:ascii="Times New Roman" w:hAnsi="Times New Roman"/>
          <w:sz w:val="24"/>
          <w:szCs w:val="24"/>
        </w:rPr>
        <w:t xml:space="preserve"> </w:t>
      </w:r>
      <w:proofErr w:type="gramStart"/>
      <w:r w:rsidRPr="00100878">
        <w:rPr>
          <w:rFonts w:ascii="Times New Roman" w:hAnsi="Times New Roman"/>
          <w:sz w:val="24"/>
          <w:szCs w:val="24"/>
        </w:rPr>
        <w:t>2024</w:t>
      </w:r>
      <w:proofErr w:type="gramEnd"/>
      <w:r w:rsidRPr="00100878">
        <w:rPr>
          <w:rFonts w:ascii="Times New Roman" w:hAnsi="Times New Roman"/>
          <w:sz w:val="24"/>
          <w:szCs w:val="24"/>
        </w:rPr>
        <w:t xml:space="preserve"> article: “Judge tosses out lawsuit from families of Baltimore firefighters killed in blaze.” </w:t>
      </w:r>
    </w:p>
    <w:p w14:paraId="2BE23A1C" w14:textId="77777777" w:rsidR="00100878" w:rsidRPr="00100878" w:rsidRDefault="00100878" w:rsidP="00100878">
      <w:pPr>
        <w:pStyle w:val="NoSpacing"/>
        <w:ind w:left="720"/>
        <w:rPr>
          <w:rFonts w:ascii="Times New Roman" w:hAnsi="Times New Roman"/>
          <w:b/>
          <w:sz w:val="24"/>
          <w:szCs w:val="24"/>
        </w:rPr>
      </w:pPr>
      <w:hyperlink r:id="rId466" w:history="1">
        <w:r w:rsidRPr="00100878">
          <w:rPr>
            <w:rStyle w:val="Hyperlink"/>
            <w:rFonts w:ascii="Times New Roman" w:hAnsi="Times New Roman"/>
            <w:b/>
            <w:sz w:val="24"/>
            <w:szCs w:val="24"/>
          </w:rPr>
          <w:t>https://www.firerescue1.com/legal/judge-tosses-out-lawsuit-from-families-of-baltimore-firefighters-killed-in-2022-blaze?utm_source=delivra&amp;utm_medium=email&amp;utm_campaign=FR1-Daily-12-27-24&amp;utm_id=8279434&amp;dlv-emuid=fed355b8-46a2-4fa4-b55c-4d602dde33c4&amp;dlv-mlid=8279434</w:t>
        </w:r>
      </w:hyperlink>
      <w:r w:rsidRPr="00100878">
        <w:rPr>
          <w:rFonts w:ascii="Times New Roman" w:hAnsi="Times New Roman"/>
          <w:b/>
          <w:sz w:val="24"/>
          <w:szCs w:val="24"/>
        </w:rPr>
        <w:t xml:space="preserve"> </w:t>
      </w:r>
    </w:p>
    <w:p w14:paraId="5A705C76" w14:textId="77777777" w:rsidR="00F755DB" w:rsidRPr="00100878" w:rsidRDefault="00F755DB" w:rsidP="005D5A0C">
      <w:pPr>
        <w:rPr>
          <w:rFonts w:ascii="Times New Roman" w:hAnsi="Times New Roman"/>
          <w:sz w:val="24"/>
          <w:szCs w:val="24"/>
        </w:rPr>
      </w:pPr>
    </w:p>
    <w:p w14:paraId="19AD1D3F" w14:textId="77777777" w:rsidR="00F755DB" w:rsidRDefault="00F755DB" w:rsidP="005D5A0C">
      <w:pPr>
        <w:rPr>
          <w:rFonts w:ascii="Arial Black" w:hAnsi="Arial Black"/>
          <w:sz w:val="24"/>
          <w:szCs w:val="24"/>
        </w:rPr>
      </w:pPr>
    </w:p>
    <w:p w14:paraId="3CB4C5FA" w14:textId="239802B8" w:rsidR="00BC0732" w:rsidRDefault="00BC0732" w:rsidP="005D5A0C">
      <w:pPr>
        <w:rPr>
          <w:rFonts w:ascii="Arial Black" w:hAnsi="Arial Black"/>
          <w:sz w:val="24"/>
          <w:szCs w:val="24"/>
        </w:rPr>
      </w:pPr>
      <w:r>
        <w:rPr>
          <w:rFonts w:ascii="Arial Black" w:hAnsi="Arial Black"/>
          <w:sz w:val="24"/>
          <w:szCs w:val="24"/>
        </w:rPr>
        <w:t>2-7</w:t>
      </w:r>
      <w:r w:rsidR="006D1B8F">
        <w:rPr>
          <w:rFonts w:ascii="Arial Black" w:hAnsi="Arial Black"/>
          <w:sz w:val="24"/>
          <w:szCs w:val="24"/>
        </w:rPr>
        <w:t>9</w:t>
      </w:r>
    </w:p>
    <w:p w14:paraId="13364B28" w14:textId="77777777" w:rsidR="00BC0732" w:rsidRPr="00037999" w:rsidRDefault="00BC0732" w:rsidP="00BC0732">
      <w:pPr>
        <w:pStyle w:val="NoSpacing"/>
        <w:rPr>
          <w:rFonts w:ascii="Arial Black" w:hAnsi="Arial Black"/>
          <w:b/>
          <w:sz w:val="28"/>
          <w:szCs w:val="28"/>
        </w:rPr>
      </w:pPr>
      <w:r w:rsidRPr="00037999">
        <w:rPr>
          <w:rFonts w:ascii="Arial Black" w:hAnsi="Arial Black"/>
          <w:b/>
          <w:sz w:val="28"/>
          <w:szCs w:val="28"/>
        </w:rPr>
        <w:t>OH: FF KILLED AT MVA SCEEN – MOTORIST FAILED YIELD – MURDER LOWERED TO MANSLAUGHTER – PD NOT CONTROL</w:t>
      </w:r>
    </w:p>
    <w:p w14:paraId="24EDE64B" w14:textId="77777777" w:rsidR="00BC0732" w:rsidRPr="00253954" w:rsidRDefault="00BC0732" w:rsidP="00BC0732">
      <w:pPr>
        <w:pStyle w:val="NoSpacing"/>
        <w:ind w:firstLine="720"/>
        <w:rPr>
          <w:rFonts w:ascii="Times New Roman" w:hAnsi="Times New Roman"/>
          <w:b/>
          <w:sz w:val="24"/>
          <w:szCs w:val="24"/>
        </w:rPr>
      </w:pPr>
    </w:p>
    <w:p w14:paraId="55A89DE4" w14:textId="7CF01596" w:rsidR="00BC0732" w:rsidRPr="00253954" w:rsidRDefault="00BC0732" w:rsidP="00BC0732">
      <w:pPr>
        <w:pStyle w:val="NoSpacing"/>
        <w:rPr>
          <w:rFonts w:ascii="Times New Roman" w:hAnsi="Times New Roman"/>
          <w:bCs/>
          <w:sz w:val="24"/>
          <w:szCs w:val="24"/>
        </w:rPr>
      </w:pPr>
      <w:r w:rsidRPr="00253954">
        <w:rPr>
          <w:rFonts w:ascii="Times New Roman" w:hAnsi="Times New Roman"/>
          <w:sz w:val="24"/>
          <w:szCs w:val="24"/>
        </w:rPr>
        <w:t xml:space="preserve">On Nov. 7, 2024, in </w:t>
      </w:r>
      <w:r w:rsidRPr="00253954">
        <w:rPr>
          <w:rFonts w:ascii="Times New Roman" w:hAnsi="Times New Roman"/>
          <w:sz w:val="24"/>
          <w:szCs w:val="24"/>
          <w:u w:val="single"/>
        </w:rPr>
        <w:t>State of Ohio v. Leander Bissell</w:t>
      </w:r>
      <w:r w:rsidRPr="00253954">
        <w:rPr>
          <w:rFonts w:ascii="Times New Roman" w:hAnsi="Times New Roman"/>
          <w:sz w:val="24"/>
          <w:szCs w:val="24"/>
        </w:rPr>
        <w:t xml:space="preserve">, the Ohio Court of Appeals for Eight District, Cuyahoga County, held (2 to 1) that defendant’s conviction and life sentence under the felony-murder statute must be reversed to a lower involuntary manslaughter.  The Court wrote: “[A]s there was no testimony regarding an order or direction, and no officer testified that they were invested with the authority to direct traffic, there was insufficient evidence to support the conviction for failure to comply with the order or signal of a police officer. *** There is no doubt that Bissell caused the death of Firefighter Tetrick. Unlike the cases cited by the State, there is no evidence Bissell knowingly used his car as a weapon to cause serious physical </w:t>
      </w:r>
      <w:proofErr w:type="gramStart"/>
      <w:r w:rsidRPr="00253954">
        <w:rPr>
          <w:rFonts w:ascii="Times New Roman" w:hAnsi="Times New Roman"/>
          <w:sz w:val="24"/>
          <w:szCs w:val="24"/>
        </w:rPr>
        <w:t>harm.</w:t>
      </w:r>
      <w:r w:rsidR="00C34177">
        <w:rPr>
          <w:rFonts w:ascii="Times New Roman" w:hAnsi="Times New Roman"/>
          <w:sz w:val="24"/>
          <w:szCs w:val="24"/>
        </w:rPr>
        <w:t>”</w:t>
      </w:r>
      <w:proofErr w:type="gramEnd"/>
      <w:r w:rsidRPr="00253954">
        <w:rPr>
          <w:rFonts w:ascii="Times New Roman" w:hAnsi="Times New Roman"/>
          <w:sz w:val="24"/>
          <w:szCs w:val="24"/>
        </w:rPr>
        <w:t xml:space="preserve"> </w:t>
      </w:r>
      <w:hyperlink r:id="rId467" w:history="1">
        <w:r w:rsidRPr="00253954">
          <w:rPr>
            <w:rStyle w:val="Hyperlink"/>
            <w:rFonts w:ascii="Times New Roman" w:hAnsi="Times New Roman"/>
            <w:sz w:val="24"/>
            <w:szCs w:val="24"/>
          </w:rPr>
          <w:t>https://www.supremecourt.ohio.gov/rod/docs/pdf/8/2024/2024-Ohio-5317.pdf</w:t>
        </w:r>
      </w:hyperlink>
      <w:r w:rsidRPr="00253954">
        <w:rPr>
          <w:rFonts w:ascii="Times New Roman" w:hAnsi="Times New Roman"/>
          <w:sz w:val="24"/>
          <w:szCs w:val="24"/>
        </w:rPr>
        <w:t xml:space="preserve"> </w:t>
      </w:r>
    </w:p>
    <w:p w14:paraId="44DAD0D3" w14:textId="77777777" w:rsidR="00253954" w:rsidRPr="00253954" w:rsidRDefault="00253954" w:rsidP="00253954">
      <w:pPr>
        <w:pStyle w:val="NoSpacing"/>
        <w:rPr>
          <w:rFonts w:ascii="Times New Roman" w:hAnsi="Times New Roman"/>
          <w:b/>
          <w:sz w:val="24"/>
          <w:szCs w:val="24"/>
        </w:rPr>
      </w:pPr>
    </w:p>
    <w:p w14:paraId="5FAB38FD" w14:textId="2E71ABDC" w:rsidR="00253954" w:rsidRPr="00351E0A" w:rsidRDefault="00253954" w:rsidP="00253954">
      <w:pPr>
        <w:pStyle w:val="NoSpacing"/>
        <w:rPr>
          <w:rFonts w:ascii="Times New Roman" w:hAnsi="Times New Roman"/>
          <w:bCs/>
          <w:sz w:val="24"/>
          <w:szCs w:val="24"/>
        </w:rPr>
      </w:pPr>
      <w:r w:rsidRPr="00351E0A">
        <w:rPr>
          <w:rFonts w:ascii="Times New Roman" w:hAnsi="Times New Roman"/>
          <w:bCs/>
          <w:sz w:val="24"/>
          <w:szCs w:val="24"/>
        </w:rPr>
        <w:t>See Dissent</w:t>
      </w:r>
    </w:p>
    <w:p w14:paraId="5305C9EA" w14:textId="77777777" w:rsidR="00253954" w:rsidRPr="00253954" w:rsidRDefault="00253954" w:rsidP="00253954">
      <w:pPr>
        <w:pStyle w:val="NoSpacing"/>
        <w:rPr>
          <w:rFonts w:ascii="Times New Roman" w:hAnsi="Times New Roman"/>
          <w:b/>
          <w:sz w:val="24"/>
          <w:szCs w:val="24"/>
        </w:rPr>
      </w:pPr>
    </w:p>
    <w:p w14:paraId="0AE32BA3" w14:textId="46B619BA" w:rsidR="00253954" w:rsidRPr="00253954" w:rsidRDefault="00253954" w:rsidP="00253954">
      <w:pPr>
        <w:pStyle w:val="NoSpacing"/>
        <w:rPr>
          <w:rFonts w:ascii="Times New Roman" w:hAnsi="Times New Roman"/>
          <w:b/>
          <w:sz w:val="24"/>
          <w:szCs w:val="24"/>
        </w:rPr>
      </w:pPr>
      <w:r w:rsidRPr="00253954">
        <w:rPr>
          <w:rFonts w:ascii="Times New Roman" w:hAnsi="Times New Roman"/>
          <w:b/>
          <w:sz w:val="24"/>
          <w:szCs w:val="24"/>
        </w:rPr>
        <w:t xml:space="preserve">Legal Lesson Learned: High risk scene when firefighters are at MVA and traffic control not yet established; defendant will be resentenced. </w:t>
      </w:r>
    </w:p>
    <w:p w14:paraId="480DB7D3" w14:textId="77777777" w:rsidR="00253954" w:rsidRPr="00253954" w:rsidRDefault="00253954" w:rsidP="00253954">
      <w:pPr>
        <w:pStyle w:val="NoSpacing"/>
        <w:rPr>
          <w:rFonts w:ascii="Times New Roman" w:hAnsi="Times New Roman"/>
          <w:b/>
          <w:sz w:val="24"/>
          <w:szCs w:val="24"/>
        </w:rPr>
      </w:pPr>
    </w:p>
    <w:p w14:paraId="5151E88D" w14:textId="77777777" w:rsidR="00253954" w:rsidRPr="00253954" w:rsidRDefault="00253954" w:rsidP="00253954">
      <w:pPr>
        <w:pStyle w:val="NoSpacing"/>
        <w:ind w:left="720"/>
        <w:rPr>
          <w:rFonts w:ascii="Times New Roman" w:hAnsi="Times New Roman"/>
          <w:bCs/>
          <w:sz w:val="24"/>
          <w:szCs w:val="24"/>
        </w:rPr>
      </w:pPr>
      <w:r w:rsidRPr="00253954">
        <w:rPr>
          <w:rFonts w:ascii="Times New Roman" w:hAnsi="Times New Roman"/>
          <w:sz w:val="24"/>
          <w:szCs w:val="24"/>
        </w:rPr>
        <w:t xml:space="preserve">Note:  See YouTube of defendant’s original sentencing.  </w:t>
      </w:r>
      <w:hyperlink r:id="rId468" w:history="1">
        <w:r w:rsidRPr="00253954">
          <w:rPr>
            <w:rStyle w:val="Hyperlink"/>
            <w:rFonts w:ascii="Times New Roman" w:hAnsi="Times New Roman"/>
            <w:sz w:val="24"/>
            <w:szCs w:val="24"/>
          </w:rPr>
          <w:t>https://www.youtube.com/watch?v=Y-qURehCp-0</w:t>
        </w:r>
      </w:hyperlink>
      <w:r w:rsidRPr="00253954">
        <w:rPr>
          <w:rFonts w:ascii="Times New Roman" w:hAnsi="Times New Roman"/>
          <w:sz w:val="24"/>
          <w:szCs w:val="24"/>
        </w:rPr>
        <w:t xml:space="preserve"> </w:t>
      </w:r>
    </w:p>
    <w:p w14:paraId="4E534D54" w14:textId="77777777" w:rsidR="00253954" w:rsidRPr="00253954" w:rsidRDefault="00253954" w:rsidP="00253954">
      <w:pPr>
        <w:pStyle w:val="NoSpacing"/>
        <w:ind w:left="720"/>
        <w:rPr>
          <w:rFonts w:ascii="Times New Roman" w:hAnsi="Times New Roman"/>
          <w:bCs/>
          <w:sz w:val="24"/>
          <w:szCs w:val="24"/>
        </w:rPr>
      </w:pPr>
    </w:p>
    <w:p w14:paraId="6CCA5CC4" w14:textId="77777777" w:rsidR="00253954" w:rsidRPr="00253954" w:rsidRDefault="00253954" w:rsidP="00253954">
      <w:pPr>
        <w:pStyle w:val="NoSpacing"/>
        <w:ind w:left="720"/>
        <w:rPr>
          <w:rFonts w:ascii="Times New Roman" w:hAnsi="Times New Roman"/>
          <w:b/>
          <w:sz w:val="24"/>
          <w:szCs w:val="24"/>
        </w:rPr>
      </w:pPr>
      <w:r w:rsidRPr="00253954">
        <w:rPr>
          <w:rFonts w:ascii="Times New Roman" w:hAnsi="Times New Roman"/>
          <w:sz w:val="24"/>
          <w:szCs w:val="24"/>
        </w:rPr>
        <w:t>Leander Bissell apologizes at sentencing for hit-and-run death of Cleveland firefighter Tetrick.</w:t>
      </w:r>
      <w:r w:rsidRPr="00253954">
        <w:rPr>
          <w:rFonts w:ascii="Times New Roman" w:hAnsi="Times New Roman"/>
          <w:b/>
          <w:sz w:val="24"/>
          <w:szCs w:val="24"/>
        </w:rPr>
        <w:t xml:space="preserve"> </w:t>
      </w:r>
      <w:hyperlink r:id="rId469" w:history="1">
        <w:r w:rsidRPr="00253954">
          <w:rPr>
            <w:rStyle w:val="Hyperlink"/>
            <w:rFonts w:ascii="Times New Roman" w:hAnsi="Times New Roman"/>
            <w:b/>
            <w:sz w:val="24"/>
            <w:szCs w:val="24"/>
          </w:rPr>
          <w:t>https://www.youtube.com/watch?v=teM31tC2TMo</w:t>
        </w:r>
      </w:hyperlink>
      <w:r w:rsidRPr="00253954">
        <w:rPr>
          <w:rFonts w:ascii="Times New Roman" w:hAnsi="Times New Roman"/>
          <w:b/>
          <w:sz w:val="24"/>
          <w:szCs w:val="24"/>
        </w:rPr>
        <w:t xml:space="preserve"> </w:t>
      </w:r>
    </w:p>
    <w:p w14:paraId="2A55AF75" w14:textId="77777777" w:rsidR="00253954" w:rsidRPr="00253954" w:rsidRDefault="00253954" w:rsidP="00253954">
      <w:pPr>
        <w:pStyle w:val="NoSpacing"/>
        <w:rPr>
          <w:rFonts w:ascii="Times New Roman" w:hAnsi="Times New Roman"/>
          <w:bCs/>
          <w:sz w:val="24"/>
          <w:szCs w:val="24"/>
        </w:rPr>
      </w:pPr>
    </w:p>
    <w:p w14:paraId="56D84F68" w14:textId="77777777" w:rsidR="00351E0A" w:rsidRDefault="00351E0A" w:rsidP="005D5A0C">
      <w:pPr>
        <w:rPr>
          <w:rFonts w:ascii="Arial Black" w:hAnsi="Arial Black"/>
          <w:sz w:val="24"/>
          <w:szCs w:val="24"/>
        </w:rPr>
      </w:pPr>
    </w:p>
    <w:p w14:paraId="0B62A7F6" w14:textId="0E0E54CF" w:rsidR="00BC0732" w:rsidRDefault="006D1B8F" w:rsidP="005D5A0C">
      <w:pPr>
        <w:rPr>
          <w:rFonts w:ascii="Arial Black" w:hAnsi="Arial Black"/>
          <w:sz w:val="24"/>
          <w:szCs w:val="24"/>
        </w:rPr>
      </w:pPr>
      <w:r w:rsidRPr="006D1B8F">
        <w:rPr>
          <w:rFonts w:ascii="Arial Black" w:hAnsi="Arial Black"/>
          <w:sz w:val="24"/>
          <w:szCs w:val="24"/>
        </w:rPr>
        <w:t>2-78</w:t>
      </w:r>
    </w:p>
    <w:p w14:paraId="304CB382" w14:textId="77777777" w:rsidR="00277909" w:rsidRPr="00402FF4" w:rsidRDefault="00277909" w:rsidP="00277909">
      <w:pPr>
        <w:rPr>
          <w:rFonts w:ascii="Arial Black" w:hAnsi="Arial Black"/>
          <w:sz w:val="28"/>
          <w:szCs w:val="28"/>
        </w:rPr>
      </w:pPr>
      <w:r w:rsidRPr="00402FF4">
        <w:rPr>
          <w:rFonts w:ascii="Arial Black" w:hAnsi="Arial Black"/>
          <w:sz w:val="28"/>
          <w:szCs w:val="28"/>
        </w:rPr>
        <w:t>NY:</w:t>
      </w:r>
      <w:r>
        <w:rPr>
          <w:rFonts w:ascii="Arial Black" w:hAnsi="Arial Black"/>
          <w:sz w:val="28"/>
          <w:szCs w:val="28"/>
        </w:rPr>
        <w:t xml:space="preserve"> FDNY FF STROKE AFTER BLDG FIRE – CAN SUE OWNER BREACH CODE / BLDG NOT SECURED – NY FIREMAN’S RULE </w:t>
      </w:r>
    </w:p>
    <w:p w14:paraId="43338BC4" w14:textId="098F5ED7" w:rsidR="00277909" w:rsidRPr="00351E0A" w:rsidRDefault="00277909" w:rsidP="00277909">
      <w:pPr>
        <w:rPr>
          <w:rStyle w:val="Hyperlink"/>
          <w:rFonts w:ascii="Times New Roman" w:hAnsi="Times New Roman"/>
          <w:sz w:val="24"/>
          <w:szCs w:val="24"/>
        </w:rPr>
      </w:pPr>
      <w:r w:rsidRPr="00351E0A">
        <w:rPr>
          <w:rFonts w:ascii="Times New Roman" w:hAnsi="Times New Roman"/>
          <w:sz w:val="24"/>
          <w:szCs w:val="24"/>
        </w:rPr>
        <w:t xml:space="preserve">On Oct. 29, 2024, in </w:t>
      </w:r>
      <w:r w:rsidRPr="00351E0A">
        <w:rPr>
          <w:rFonts w:ascii="Times New Roman" w:hAnsi="Times New Roman"/>
          <w:sz w:val="24"/>
          <w:szCs w:val="24"/>
          <w:u w:val="single"/>
        </w:rPr>
        <w:t>David Pickford and Rosemarie Pickford v. Noel M. Deleon</w:t>
      </w:r>
      <w:r w:rsidRPr="00351E0A">
        <w:rPr>
          <w:rFonts w:ascii="Times New Roman" w:hAnsi="Times New Roman"/>
          <w:sz w:val="24"/>
          <w:szCs w:val="24"/>
        </w:rPr>
        <w:t xml:space="preserve">, Judge Richard Montelione, Supreme Court of the State of New York, County of Kings, Part 99, granted the plaintiffs’ motion for default judgment.  The Court wrote: “General Municipal Law§ 205-a(l) provides that a firefighter has a cause of action when he or she sustains an injury in the line of duty as a result of any neglect, omission, willful or culpable negligence of any person or persons in failing to comply with the requirements of any of the statutes, ordinances, rules, orders and requirements of the federal, state, county, village, town or city government.’” </w:t>
      </w:r>
      <w:hyperlink r:id="rId470" w:history="1">
        <w:r w:rsidRPr="00351E0A">
          <w:rPr>
            <w:rStyle w:val="Hyperlink"/>
            <w:rFonts w:ascii="Times New Roman" w:hAnsi="Times New Roman"/>
            <w:sz w:val="24"/>
            <w:szCs w:val="24"/>
          </w:rPr>
          <w:t>https://cases.justia.com/new-york/other-courts/2024-2024-ny-slip-op-33987-u.pdf?ts=1731644847</w:t>
        </w:r>
      </w:hyperlink>
    </w:p>
    <w:p w14:paraId="56D45E31" w14:textId="77777777" w:rsidR="00351E0A" w:rsidRPr="00351E0A" w:rsidRDefault="00351E0A" w:rsidP="00351E0A">
      <w:pPr>
        <w:pStyle w:val="NoSpacing"/>
        <w:rPr>
          <w:rFonts w:ascii="Times New Roman" w:hAnsi="Times New Roman"/>
          <w:b/>
          <w:bCs/>
          <w:sz w:val="24"/>
          <w:szCs w:val="24"/>
        </w:rPr>
      </w:pPr>
      <w:r w:rsidRPr="00351E0A">
        <w:rPr>
          <w:rFonts w:ascii="Times New Roman" w:hAnsi="Times New Roman"/>
          <w:b/>
          <w:sz w:val="24"/>
          <w:szCs w:val="24"/>
        </w:rPr>
        <w:t>Legal Lesson Learned:  The New York statute has modified the Fireman’s Rule to permit emergency responders to sue for damages for injury arising from code violations.</w:t>
      </w:r>
    </w:p>
    <w:p w14:paraId="2C2E58D7" w14:textId="77777777" w:rsidR="00351E0A" w:rsidRPr="00351E0A" w:rsidRDefault="00351E0A" w:rsidP="00351E0A">
      <w:pPr>
        <w:pStyle w:val="NoSpacing"/>
        <w:rPr>
          <w:rFonts w:ascii="Times New Roman" w:hAnsi="Times New Roman"/>
          <w:b/>
          <w:sz w:val="24"/>
          <w:szCs w:val="24"/>
        </w:rPr>
      </w:pPr>
    </w:p>
    <w:p w14:paraId="0912FE2F" w14:textId="77777777" w:rsidR="00351E0A" w:rsidRPr="00351E0A" w:rsidRDefault="00351E0A" w:rsidP="00351E0A">
      <w:pPr>
        <w:pStyle w:val="NoSpacing"/>
        <w:rPr>
          <w:rFonts w:ascii="Times New Roman" w:hAnsi="Times New Roman"/>
          <w:sz w:val="24"/>
          <w:szCs w:val="24"/>
        </w:rPr>
      </w:pPr>
      <w:r w:rsidRPr="00351E0A">
        <w:rPr>
          <w:rFonts w:ascii="Times New Roman" w:hAnsi="Times New Roman"/>
          <w:b/>
          <w:sz w:val="24"/>
          <w:szCs w:val="24"/>
        </w:rPr>
        <w:tab/>
      </w:r>
      <w:r w:rsidRPr="00351E0A">
        <w:rPr>
          <w:rFonts w:ascii="Times New Roman" w:hAnsi="Times New Roman"/>
          <w:sz w:val="24"/>
          <w:szCs w:val="24"/>
        </w:rPr>
        <w:t xml:space="preserve">Note: Some states have abolished the Fireman's Rule, including: </w:t>
      </w:r>
    </w:p>
    <w:p w14:paraId="38AE0EE4"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New Jersey</w:t>
      </w:r>
      <w:r w:rsidRPr="00351E0A">
        <w:rPr>
          <w:rFonts w:ascii="Times New Roman" w:hAnsi="Times New Roman"/>
          <w:sz w:val="24"/>
          <w:szCs w:val="24"/>
        </w:rPr>
        <w:t xml:space="preserve">: In 2007, the New Jersey Supreme Court ruled that the Fireman's Rule was no longer in effect. Ruiz v. Mero, A28/29-06; </w:t>
      </w:r>
      <w:hyperlink r:id="rId471" w:history="1">
        <w:r w:rsidRPr="00351E0A">
          <w:rPr>
            <w:rStyle w:val="Hyperlink"/>
            <w:rFonts w:ascii="Times New Roman" w:hAnsi="Times New Roman"/>
            <w:sz w:val="24"/>
            <w:szCs w:val="24"/>
          </w:rPr>
          <w:t>https://grsl.com/firefighters-rule-struck-down-by-new-jersey-supreme-court/</w:t>
        </w:r>
      </w:hyperlink>
      <w:r w:rsidRPr="00351E0A">
        <w:rPr>
          <w:rFonts w:ascii="Times New Roman" w:hAnsi="Times New Roman"/>
          <w:sz w:val="24"/>
          <w:szCs w:val="24"/>
        </w:rPr>
        <w:t xml:space="preserve"> </w:t>
      </w:r>
    </w:p>
    <w:p w14:paraId="087E150D"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Oregon</w:t>
      </w:r>
      <w:r w:rsidRPr="00351E0A">
        <w:rPr>
          <w:rFonts w:ascii="Times New Roman" w:hAnsi="Times New Roman"/>
          <w:sz w:val="24"/>
          <w:szCs w:val="24"/>
        </w:rPr>
        <w:t xml:space="preserve">: In 1984, the Oregon Supreme Court abolished the Fireman's Rule in the case Christensen v. Murphy, 296 Or. 610 (Or. 1984); </w:t>
      </w:r>
      <w:hyperlink r:id="rId472" w:history="1">
        <w:r w:rsidRPr="00351E0A">
          <w:rPr>
            <w:rStyle w:val="Hyperlink"/>
            <w:rFonts w:ascii="Times New Roman" w:hAnsi="Times New Roman"/>
            <w:sz w:val="24"/>
            <w:szCs w:val="24"/>
          </w:rPr>
          <w:t>https://casetext.com/case/christensen-v-murphy</w:t>
        </w:r>
      </w:hyperlink>
      <w:r w:rsidRPr="00351E0A">
        <w:rPr>
          <w:rFonts w:ascii="Times New Roman" w:hAnsi="Times New Roman"/>
          <w:sz w:val="24"/>
          <w:szCs w:val="24"/>
        </w:rPr>
        <w:t xml:space="preserve"> </w:t>
      </w:r>
    </w:p>
    <w:p w14:paraId="67FA4D7E"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Florida</w:t>
      </w:r>
      <w:r w:rsidRPr="00351E0A">
        <w:rPr>
          <w:rFonts w:ascii="Times New Roman" w:hAnsi="Times New Roman"/>
          <w:sz w:val="24"/>
          <w:szCs w:val="24"/>
        </w:rPr>
        <w:t xml:space="preserve">: By statute, Florida in the 1990s abolished the Rule. </w:t>
      </w:r>
      <w:hyperlink r:id="rId473" w:history="1">
        <w:r w:rsidRPr="00351E0A">
          <w:rPr>
            <w:rStyle w:val="Hyperlink"/>
            <w:rFonts w:ascii="Times New Roman" w:hAnsi="Times New Roman"/>
            <w:sz w:val="24"/>
            <w:szCs w:val="24"/>
          </w:rPr>
          <w:t>https://codes.findlaw.com/fl/title-x-public-officers-employees-and-records/fl-st-sect-112-182/</w:t>
        </w:r>
      </w:hyperlink>
    </w:p>
    <w:p w14:paraId="087BB657" w14:textId="77777777" w:rsidR="00351E0A" w:rsidRPr="00351E0A" w:rsidRDefault="00351E0A" w:rsidP="00351E0A">
      <w:pPr>
        <w:pStyle w:val="ListParagraph"/>
        <w:numPr>
          <w:ilvl w:val="0"/>
          <w:numId w:val="24"/>
        </w:numPr>
        <w:spacing w:after="0" w:line="240" w:lineRule="auto"/>
        <w:rPr>
          <w:rFonts w:ascii="Times New Roman" w:eastAsia="Times New Roman" w:hAnsi="Times New Roman" w:cs="Times New Roman"/>
          <w:sz w:val="24"/>
          <w:szCs w:val="24"/>
        </w:rPr>
      </w:pPr>
      <w:r w:rsidRPr="00351E0A">
        <w:rPr>
          <w:rFonts w:ascii="Times New Roman" w:eastAsia="Times New Roman" w:hAnsi="Times New Roman" w:cs="Times New Roman"/>
          <w:b/>
          <w:sz w:val="24"/>
          <w:szCs w:val="24"/>
        </w:rPr>
        <w:t>Minnesota:</w:t>
      </w:r>
      <w:r w:rsidRPr="00351E0A">
        <w:rPr>
          <w:rFonts w:ascii="Times New Roman" w:eastAsia="Times New Roman" w:hAnsi="Times New Roman" w:cs="Times New Roman"/>
          <w:sz w:val="24"/>
          <w:szCs w:val="24"/>
        </w:rPr>
        <w:t xml:space="preserve">  </w:t>
      </w:r>
      <w:r w:rsidRPr="00351E0A">
        <w:rPr>
          <w:rFonts w:ascii="Times New Roman" w:eastAsia="Times New Roman" w:hAnsi="Times New Roman" w:cs="Times New Roman"/>
          <w:i/>
          <w:iCs/>
          <w:sz w:val="24"/>
          <w:szCs w:val="24"/>
        </w:rPr>
        <w:t>Armstrong v. Mailand,</w:t>
      </w:r>
      <w:r w:rsidRPr="00351E0A">
        <w:rPr>
          <w:rFonts w:ascii="Times New Roman" w:eastAsia="Times New Roman" w:hAnsi="Times New Roman" w:cs="Times New Roman"/>
          <w:sz w:val="24"/>
          <w:szCs w:val="24"/>
        </w:rPr>
        <w:t xml:space="preserve"> Feb. 9, 1979; Supreme Court of MN; </w:t>
      </w:r>
      <w:hyperlink r:id="rId474" w:history="1">
        <w:r w:rsidRPr="00351E0A">
          <w:rPr>
            <w:rStyle w:val="Hyperlink"/>
            <w:rFonts w:ascii="Times New Roman" w:eastAsia="Times New Roman" w:hAnsi="Times New Roman" w:cs="Times New Roman"/>
            <w:sz w:val="24"/>
            <w:szCs w:val="24"/>
          </w:rPr>
          <w:t>https://casetext.com/case/armstrong-v-mailand</w:t>
        </w:r>
      </w:hyperlink>
      <w:r w:rsidRPr="00351E0A">
        <w:rPr>
          <w:rFonts w:ascii="Times New Roman" w:eastAsia="Times New Roman" w:hAnsi="Times New Roman" w:cs="Times New Roman"/>
          <w:sz w:val="24"/>
          <w:szCs w:val="24"/>
        </w:rPr>
        <w:t xml:space="preserve"> </w:t>
      </w:r>
    </w:p>
    <w:p w14:paraId="0D0ED9BC" w14:textId="77777777" w:rsidR="00351E0A" w:rsidRPr="00351E0A" w:rsidRDefault="00351E0A" w:rsidP="00351E0A">
      <w:pPr>
        <w:spacing w:after="0" w:line="240" w:lineRule="auto"/>
        <w:rPr>
          <w:rFonts w:ascii="Times New Roman" w:eastAsia="Times New Roman" w:hAnsi="Times New Roman"/>
          <w:sz w:val="24"/>
          <w:szCs w:val="24"/>
        </w:rPr>
      </w:pPr>
    </w:p>
    <w:p w14:paraId="0DC3C8A2" w14:textId="77777777" w:rsidR="00351E0A" w:rsidRPr="00351E0A" w:rsidRDefault="00351E0A" w:rsidP="00351E0A">
      <w:pPr>
        <w:spacing w:after="0" w:line="240" w:lineRule="auto"/>
        <w:ind w:left="1080"/>
        <w:rPr>
          <w:rFonts w:ascii="Times New Roman" w:eastAsia="Times New Roman" w:hAnsi="Times New Roman"/>
          <w:sz w:val="24"/>
          <w:szCs w:val="24"/>
        </w:rPr>
      </w:pPr>
    </w:p>
    <w:p w14:paraId="2AF49F55"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New York</w:t>
      </w:r>
      <w:r w:rsidRPr="00351E0A">
        <w:rPr>
          <w:rFonts w:ascii="Times New Roman" w:hAnsi="Times New Roman"/>
          <w:sz w:val="24"/>
          <w:szCs w:val="24"/>
        </w:rPr>
        <w:t xml:space="preserve">:  By statute, the </w:t>
      </w:r>
      <w:r w:rsidRPr="00351E0A">
        <w:rPr>
          <w:rFonts w:ascii="Times New Roman" w:hAnsi="Times New Roman"/>
          <w:sz w:val="24"/>
          <w:szCs w:val="24"/>
          <w:lang w:val="en"/>
        </w:rPr>
        <w:t xml:space="preserve">General Municipal Law § 205-a, permits firefighters to sue when they are injured as the result of a violation of a statute, rule, or regulation. </w:t>
      </w:r>
      <w:hyperlink r:id="rId475" w:history="1">
        <w:r w:rsidRPr="00351E0A">
          <w:rPr>
            <w:rStyle w:val="Hyperlink"/>
            <w:rFonts w:ascii="Times New Roman" w:hAnsi="Times New Roman"/>
            <w:sz w:val="24"/>
            <w:szCs w:val="24"/>
            <w:lang w:val="en"/>
          </w:rPr>
          <w:t>https://www.sullivangalleshaw.com/the-professional-rescuers-rule/</w:t>
        </w:r>
      </w:hyperlink>
      <w:r w:rsidRPr="00351E0A">
        <w:rPr>
          <w:rFonts w:ascii="Times New Roman" w:hAnsi="Times New Roman"/>
          <w:sz w:val="24"/>
          <w:szCs w:val="24"/>
          <w:lang w:val="en"/>
        </w:rPr>
        <w:t xml:space="preserve"> </w:t>
      </w:r>
    </w:p>
    <w:p w14:paraId="0591475D" w14:textId="77777777" w:rsidR="00351E0A" w:rsidRPr="00351E0A" w:rsidRDefault="00351E0A" w:rsidP="00351E0A">
      <w:pPr>
        <w:spacing w:after="0" w:line="240" w:lineRule="auto"/>
        <w:ind w:left="720" w:firstLine="720"/>
        <w:rPr>
          <w:rFonts w:ascii="Times New Roman" w:eastAsia="Times New Roman" w:hAnsi="Times New Roman"/>
          <w:sz w:val="24"/>
          <w:szCs w:val="24"/>
        </w:rPr>
      </w:pPr>
      <w:r w:rsidRPr="00351E0A">
        <w:rPr>
          <w:rFonts w:ascii="Times New Roman" w:eastAsia="Times New Roman" w:hAnsi="Times New Roman"/>
          <w:b/>
          <w:sz w:val="24"/>
          <w:szCs w:val="24"/>
        </w:rPr>
        <w:t>General Municipal Law § 205-a</w:t>
      </w:r>
      <w:r w:rsidRPr="00351E0A">
        <w:rPr>
          <w:rFonts w:ascii="Times New Roman" w:eastAsia="Times New Roman" w:hAnsi="Times New Roman"/>
          <w:sz w:val="24"/>
          <w:szCs w:val="24"/>
        </w:rPr>
        <w:t xml:space="preserve"> </w:t>
      </w:r>
    </w:p>
    <w:p w14:paraId="316B7934"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allows firefighters to sue the city for injuries caused by a violation of a rule, statute, or regulation. The law was enacted in 1935 to provide relief from the Fireman's Rule. </w:t>
      </w:r>
    </w:p>
    <w:p w14:paraId="03157F22" w14:textId="77777777" w:rsidR="00351E0A" w:rsidRPr="00351E0A" w:rsidRDefault="00351E0A" w:rsidP="00351E0A">
      <w:pPr>
        <w:spacing w:after="0" w:line="240" w:lineRule="auto"/>
        <w:rPr>
          <w:rFonts w:ascii="Times New Roman" w:eastAsia="Times New Roman" w:hAnsi="Times New Roman"/>
          <w:sz w:val="24"/>
          <w:szCs w:val="24"/>
        </w:rPr>
      </w:pPr>
      <w:r w:rsidRPr="00351E0A">
        <w:rPr>
          <w:rFonts w:ascii="Times New Roman" w:eastAsia="Times New Roman" w:hAnsi="Times New Roman"/>
          <w:sz w:val="24"/>
          <w:szCs w:val="24"/>
        </w:rPr>
        <w:t xml:space="preserve"> </w:t>
      </w:r>
      <w:r w:rsidRPr="00351E0A">
        <w:rPr>
          <w:rFonts w:ascii="Times New Roman" w:eastAsia="Times New Roman" w:hAnsi="Times New Roman"/>
          <w:sz w:val="24"/>
          <w:szCs w:val="24"/>
        </w:rPr>
        <w:tab/>
      </w:r>
      <w:r w:rsidRPr="00351E0A">
        <w:rPr>
          <w:rFonts w:ascii="Times New Roman" w:eastAsia="Times New Roman" w:hAnsi="Times New Roman"/>
          <w:sz w:val="24"/>
          <w:szCs w:val="24"/>
        </w:rPr>
        <w:tab/>
      </w:r>
      <w:r w:rsidRPr="00351E0A">
        <w:rPr>
          <w:rFonts w:ascii="Times New Roman" w:eastAsia="Times New Roman" w:hAnsi="Times New Roman"/>
          <w:b/>
          <w:sz w:val="24"/>
          <w:szCs w:val="24"/>
        </w:rPr>
        <w:t>General Obligations Law 11-106</w:t>
      </w:r>
      <w:r w:rsidRPr="00351E0A">
        <w:rPr>
          <w:rFonts w:ascii="Times New Roman" w:eastAsia="Times New Roman" w:hAnsi="Times New Roman"/>
          <w:sz w:val="24"/>
          <w:szCs w:val="24"/>
        </w:rPr>
        <w:t xml:space="preserve"> </w:t>
      </w:r>
    </w:p>
    <w:p w14:paraId="6ABAFA84"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was enacted in 1996 to ensure that the Fireman's Rule would no longer apply, except for suits against the firefighter's employer and co-workers. </w:t>
      </w:r>
    </w:p>
    <w:p w14:paraId="22297884" w14:textId="77777777" w:rsidR="00351E0A" w:rsidRPr="00351E0A" w:rsidRDefault="00351E0A" w:rsidP="00351E0A">
      <w:pPr>
        <w:spacing w:after="0" w:line="240" w:lineRule="auto"/>
        <w:ind w:left="720" w:firstLine="720"/>
        <w:rPr>
          <w:rFonts w:ascii="Times New Roman" w:eastAsia="Times New Roman" w:hAnsi="Times New Roman"/>
          <w:sz w:val="24"/>
          <w:szCs w:val="24"/>
        </w:rPr>
      </w:pPr>
      <w:r w:rsidRPr="00351E0A">
        <w:rPr>
          <w:rFonts w:ascii="Times New Roman" w:eastAsia="Times New Roman" w:hAnsi="Times New Roman"/>
          <w:b/>
          <w:sz w:val="24"/>
          <w:szCs w:val="24"/>
        </w:rPr>
        <w:t>General Municipal Law § 205-e</w:t>
      </w:r>
      <w:r w:rsidRPr="00351E0A">
        <w:rPr>
          <w:rFonts w:ascii="Times New Roman" w:eastAsia="Times New Roman" w:hAnsi="Times New Roman"/>
          <w:sz w:val="24"/>
          <w:szCs w:val="24"/>
        </w:rPr>
        <w:t xml:space="preserve"> </w:t>
      </w:r>
    </w:p>
    <w:p w14:paraId="2C013346"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gives police officers similar rights to those afforded to firefighters under General Municipal Law § 205-a</w:t>
      </w:r>
    </w:p>
    <w:p w14:paraId="4518DDAB" w14:textId="77777777" w:rsidR="00351E0A" w:rsidRDefault="00351E0A" w:rsidP="00351E0A">
      <w:pPr>
        <w:rPr>
          <w:bCs/>
          <w:sz w:val="20"/>
          <w:szCs w:val="20"/>
        </w:rPr>
      </w:pPr>
    </w:p>
    <w:p w14:paraId="7C9E0FE2" w14:textId="77777777" w:rsidR="00351E0A" w:rsidRPr="006D1B8F" w:rsidRDefault="00351E0A" w:rsidP="00277909">
      <w:pPr>
        <w:rPr>
          <w:rFonts w:ascii="Arial Black" w:hAnsi="Arial Black"/>
          <w:sz w:val="24"/>
          <w:szCs w:val="24"/>
        </w:rPr>
      </w:pPr>
    </w:p>
    <w:p w14:paraId="38FAC05D" w14:textId="77777777" w:rsidR="00BC0732" w:rsidRPr="00253954" w:rsidRDefault="00BC0732" w:rsidP="005D5A0C">
      <w:pPr>
        <w:rPr>
          <w:rFonts w:ascii="Times New Roman" w:hAnsi="Times New Roman"/>
          <w:sz w:val="24"/>
          <w:szCs w:val="24"/>
        </w:rPr>
      </w:pPr>
    </w:p>
    <w:p w14:paraId="2ACFF06A" w14:textId="62D24DAD" w:rsidR="005D5A0C" w:rsidRDefault="005D5A0C" w:rsidP="005D5A0C">
      <w:pPr>
        <w:rPr>
          <w:rFonts w:ascii="Arial Black" w:hAnsi="Arial Black"/>
          <w:sz w:val="24"/>
          <w:szCs w:val="24"/>
        </w:rPr>
      </w:pPr>
      <w:r>
        <w:rPr>
          <w:rFonts w:ascii="Arial Black" w:hAnsi="Arial Black"/>
          <w:sz w:val="24"/>
          <w:szCs w:val="24"/>
        </w:rPr>
        <w:t>2-7</w:t>
      </w:r>
      <w:r w:rsidR="00891E1D">
        <w:rPr>
          <w:rFonts w:ascii="Arial Black" w:hAnsi="Arial Black"/>
          <w:sz w:val="24"/>
          <w:szCs w:val="24"/>
        </w:rPr>
        <w:t>7</w:t>
      </w:r>
    </w:p>
    <w:p w14:paraId="01DD8DEF" w14:textId="77777777" w:rsidR="00DE4B6F" w:rsidRPr="00097DD5" w:rsidRDefault="00DE4B6F" w:rsidP="00DE4B6F">
      <w:pPr>
        <w:pStyle w:val="NoSpacing"/>
        <w:rPr>
          <w:rFonts w:ascii="Times New Roman" w:hAnsi="Times New Roman"/>
          <w:b/>
          <w:bCs/>
          <w:sz w:val="24"/>
          <w:szCs w:val="24"/>
        </w:rPr>
      </w:pPr>
      <w:r w:rsidRPr="00097DD5">
        <w:rPr>
          <w:rFonts w:ascii="Times New Roman" w:hAnsi="Times New Roman"/>
          <w:b/>
          <w:bCs/>
          <w:sz w:val="24"/>
          <w:szCs w:val="24"/>
        </w:rPr>
        <w:t>AR: TUCSON – UNCONSCIOUS BUS STOP – STRUCK FF IN FACE – SENTENCED MAX AGGRAVATED ASSAULT – 3.75 YRS</w:t>
      </w:r>
    </w:p>
    <w:p w14:paraId="2B9AB74F" w14:textId="77777777" w:rsidR="00DE4B6F" w:rsidRPr="00097DD5" w:rsidRDefault="00DE4B6F" w:rsidP="00DE4B6F">
      <w:pPr>
        <w:pStyle w:val="NoSpacing"/>
        <w:rPr>
          <w:rFonts w:ascii="Times New Roman" w:hAnsi="Times New Roman"/>
          <w:sz w:val="24"/>
          <w:szCs w:val="24"/>
        </w:rPr>
      </w:pPr>
    </w:p>
    <w:p w14:paraId="69770EFE" w14:textId="77777777" w:rsidR="00DE4B6F" w:rsidRPr="00097DD5" w:rsidRDefault="00DE4B6F" w:rsidP="00DE4B6F">
      <w:pPr>
        <w:pStyle w:val="NoSpacing"/>
        <w:rPr>
          <w:rFonts w:ascii="Times New Roman" w:hAnsi="Times New Roman"/>
          <w:sz w:val="24"/>
          <w:szCs w:val="24"/>
        </w:rPr>
      </w:pPr>
      <w:r w:rsidRPr="00097DD5">
        <w:rPr>
          <w:rFonts w:ascii="Times New Roman" w:hAnsi="Times New Roman"/>
          <w:sz w:val="24"/>
          <w:szCs w:val="24"/>
        </w:rPr>
        <w:t xml:space="preserve">On Oct. 30, 2024, in </w:t>
      </w:r>
      <w:r w:rsidRPr="00097DD5">
        <w:rPr>
          <w:rFonts w:ascii="Times New Roman" w:hAnsi="Times New Roman"/>
          <w:sz w:val="24"/>
          <w:szCs w:val="24"/>
          <w:u w:val="single"/>
        </w:rPr>
        <w:t>State of Arizona v. Adam F. Rivas</w:t>
      </w:r>
      <w:r w:rsidRPr="00097DD5">
        <w:rPr>
          <w:rFonts w:ascii="Times New Roman" w:hAnsi="Times New Roman"/>
          <w:sz w:val="24"/>
          <w:szCs w:val="24"/>
        </w:rPr>
        <w:t xml:space="preserve">, the Arizona Court of Appeals, Division Two held (3 to 0; not for publication decision): “Adam Rivas appeals from his conviction and sentence for aggravated assault, arguing the trial court erred when it considered a prohibited aggravating factor at sentencing. </w:t>
      </w:r>
      <w:proofErr w:type="gramStart"/>
      <w:r w:rsidRPr="00097DD5">
        <w:rPr>
          <w:rFonts w:ascii="Times New Roman" w:hAnsi="Times New Roman"/>
          <w:sz w:val="24"/>
          <w:szCs w:val="24"/>
        </w:rPr>
        <w:t>For the reasons that</w:t>
      </w:r>
      <w:proofErr w:type="gramEnd"/>
      <w:r w:rsidRPr="00097DD5">
        <w:rPr>
          <w:rFonts w:ascii="Times New Roman" w:hAnsi="Times New Roman"/>
          <w:sz w:val="24"/>
          <w:szCs w:val="24"/>
        </w:rPr>
        <w:t xml:space="preserve"> follow, we affirm.” </w:t>
      </w:r>
    </w:p>
    <w:p w14:paraId="17870715" w14:textId="77777777" w:rsidR="00DE4B6F" w:rsidRPr="00097DD5" w:rsidRDefault="00DE4B6F" w:rsidP="00DE4B6F">
      <w:pPr>
        <w:pStyle w:val="NoSpacing"/>
        <w:rPr>
          <w:rFonts w:ascii="Times New Roman" w:hAnsi="Times New Roman"/>
          <w:sz w:val="24"/>
          <w:szCs w:val="24"/>
        </w:rPr>
      </w:pPr>
      <w:hyperlink r:id="rId476" w:history="1">
        <w:r w:rsidRPr="00097DD5">
          <w:rPr>
            <w:rStyle w:val="Hyperlink"/>
            <w:rFonts w:ascii="Times New Roman" w:hAnsi="Times New Roman"/>
            <w:sz w:val="24"/>
            <w:szCs w:val="24"/>
          </w:rPr>
          <w:t>https://cases.justia.com/arizona/court-of-appeals-division-two-unpublished/2024-2-ca-cr-2024-0065.pdf?ts=1730333249</w:t>
        </w:r>
      </w:hyperlink>
      <w:r w:rsidRPr="00097DD5">
        <w:rPr>
          <w:rFonts w:ascii="Times New Roman" w:hAnsi="Times New Roman"/>
          <w:sz w:val="24"/>
          <w:szCs w:val="24"/>
        </w:rPr>
        <w:t xml:space="preserve"> </w:t>
      </w:r>
    </w:p>
    <w:p w14:paraId="22FCB9D7" w14:textId="77777777" w:rsidR="00097DD5" w:rsidRPr="00097DD5" w:rsidRDefault="00097DD5" w:rsidP="00097DD5">
      <w:pPr>
        <w:pStyle w:val="NoSpacing"/>
        <w:rPr>
          <w:rFonts w:ascii="Times New Roman" w:hAnsi="Times New Roman"/>
          <w:b/>
          <w:sz w:val="24"/>
          <w:szCs w:val="24"/>
        </w:rPr>
      </w:pPr>
    </w:p>
    <w:p w14:paraId="5643AABF" w14:textId="576D9BBE" w:rsidR="00097DD5" w:rsidRDefault="00097DD5" w:rsidP="00097DD5">
      <w:pPr>
        <w:pStyle w:val="NoSpacing"/>
        <w:rPr>
          <w:rFonts w:ascii="Times New Roman" w:hAnsi="Times New Roman"/>
          <w:b/>
          <w:sz w:val="24"/>
          <w:szCs w:val="24"/>
        </w:rPr>
      </w:pPr>
      <w:r w:rsidRPr="00097DD5">
        <w:rPr>
          <w:rFonts w:ascii="Times New Roman" w:hAnsi="Times New Roman"/>
          <w:b/>
          <w:sz w:val="24"/>
          <w:szCs w:val="24"/>
        </w:rPr>
        <w:t>Legal Lesson Learned: Trial court when imposing a sentence will consider aggravating facts, such as assaulting a firefighter.</w:t>
      </w:r>
    </w:p>
    <w:p w14:paraId="26EF2BF3" w14:textId="77777777" w:rsidR="00F97332" w:rsidRDefault="00F97332" w:rsidP="00097DD5">
      <w:pPr>
        <w:pStyle w:val="NoSpacing"/>
        <w:rPr>
          <w:rFonts w:ascii="Times New Roman" w:hAnsi="Times New Roman"/>
          <w:b/>
          <w:sz w:val="24"/>
          <w:szCs w:val="24"/>
        </w:rPr>
      </w:pPr>
    </w:p>
    <w:p w14:paraId="012FFA45" w14:textId="77777777" w:rsidR="00F97332" w:rsidRDefault="00F97332" w:rsidP="00097DD5">
      <w:pPr>
        <w:pStyle w:val="NoSpacing"/>
        <w:rPr>
          <w:rFonts w:ascii="Times New Roman" w:hAnsi="Times New Roman"/>
          <w:b/>
          <w:sz w:val="24"/>
          <w:szCs w:val="24"/>
        </w:rPr>
      </w:pPr>
    </w:p>
    <w:p w14:paraId="47309A73" w14:textId="3464B1E6" w:rsidR="005D5A0C" w:rsidRDefault="005D5A0C" w:rsidP="005D5A0C">
      <w:pPr>
        <w:rPr>
          <w:rFonts w:ascii="Arial Black" w:hAnsi="Arial Black"/>
          <w:sz w:val="24"/>
          <w:szCs w:val="24"/>
        </w:rPr>
      </w:pPr>
      <w:r>
        <w:rPr>
          <w:rFonts w:ascii="Arial Black" w:hAnsi="Arial Black"/>
          <w:sz w:val="24"/>
          <w:szCs w:val="24"/>
        </w:rPr>
        <w:t>2-7</w:t>
      </w:r>
      <w:r w:rsidR="00891E1D">
        <w:rPr>
          <w:rFonts w:ascii="Arial Black" w:hAnsi="Arial Black"/>
          <w:sz w:val="24"/>
          <w:szCs w:val="24"/>
        </w:rPr>
        <w:t>6</w:t>
      </w:r>
    </w:p>
    <w:p w14:paraId="3EC94BB4" w14:textId="77777777" w:rsidR="00F97332" w:rsidRDefault="00F97332" w:rsidP="00097DD5">
      <w:pPr>
        <w:pStyle w:val="NoSpacing"/>
        <w:rPr>
          <w:rFonts w:ascii="Times New Roman" w:hAnsi="Times New Roman"/>
          <w:b/>
          <w:sz w:val="24"/>
          <w:szCs w:val="24"/>
        </w:rPr>
      </w:pPr>
    </w:p>
    <w:p w14:paraId="5193593C" w14:textId="77777777" w:rsidR="005D5A0C" w:rsidRPr="0007510D" w:rsidRDefault="005D5A0C" w:rsidP="005D5A0C">
      <w:pPr>
        <w:rPr>
          <w:rFonts w:ascii="Times New Roman" w:hAnsi="Times New Roman"/>
          <w:b/>
          <w:sz w:val="24"/>
          <w:szCs w:val="24"/>
        </w:rPr>
      </w:pPr>
      <w:r w:rsidRPr="0007510D">
        <w:rPr>
          <w:rFonts w:ascii="Times New Roman" w:hAnsi="Times New Roman"/>
          <w:b/>
          <w:sz w:val="24"/>
          <w:szCs w:val="24"/>
        </w:rPr>
        <w:t xml:space="preserve">OH: COLUMBUS FD - FIRE POLE – RIDE-ALONG BREAKS LEG – IMMUNITY “NEG. TRAINING” BUT CASE PROCEED SAFETY </w:t>
      </w:r>
    </w:p>
    <w:p w14:paraId="1CD32692" w14:textId="77777777" w:rsidR="005D5A0C" w:rsidRPr="0007510D" w:rsidRDefault="005D5A0C" w:rsidP="005D5A0C">
      <w:pPr>
        <w:pStyle w:val="NoSpacing"/>
        <w:rPr>
          <w:rFonts w:ascii="Times New Roman" w:hAnsi="Times New Roman"/>
          <w:sz w:val="24"/>
          <w:szCs w:val="24"/>
        </w:rPr>
      </w:pPr>
      <w:r w:rsidRPr="0007510D">
        <w:rPr>
          <w:rFonts w:ascii="Times New Roman" w:hAnsi="Times New Roman"/>
          <w:sz w:val="24"/>
          <w:szCs w:val="24"/>
        </w:rPr>
        <w:t xml:space="preserve">On Oct. 29, 2024, in </w:t>
      </w:r>
      <w:r w:rsidRPr="0007510D">
        <w:rPr>
          <w:rFonts w:ascii="Times New Roman" w:hAnsi="Times New Roman"/>
          <w:sz w:val="24"/>
          <w:szCs w:val="24"/>
          <w:u w:val="single"/>
        </w:rPr>
        <w:t>Keri Howard, et al. v. City of Columbus</w:t>
      </w:r>
      <w:r w:rsidRPr="0007510D">
        <w:rPr>
          <w:rFonts w:ascii="Times New Roman" w:hAnsi="Times New Roman"/>
          <w:sz w:val="24"/>
          <w:szCs w:val="24"/>
        </w:rPr>
        <w:t xml:space="preserve">, the Court of Appeals of Ohio, Tenth Appellate District, held (3 to 0): “Defendant-appellant, City of Columbus (“City”), appeals from a January 23, </w:t>
      </w:r>
      <w:proofErr w:type="gramStart"/>
      <w:r w:rsidRPr="0007510D">
        <w:rPr>
          <w:rFonts w:ascii="Times New Roman" w:hAnsi="Times New Roman"/>
          <w:sz w:val="24"/>
          <w:szCs w:val="24"/>
        </w:rPr>
        <w:t>2024</w:t>
      </w:r>
      <w:proofErr w:type="gramEnd"/>
      <w:r w:rsidRPr="0007510D">
        <w:rPr>
          <w:rFonts w:ascii="Times New Roman" w:hAnsi="Times New Roman"/>
          <w:sz w:val="24"/>
          <w:szCs w:val="24"/>
        </w:rPr>
        <w:t xml:space="preserve"> decision and entry from the Franklin County Court of Common Pleas granting in part and denying in part its motion for judgment on the pleadings. </w:t>
      </w:r>
      <w:proofErr w:type="gramStart"/>
      <w:r w:rsidRPr="0007510D">
        <w:rPr>
          <w:rFonts w:ascii="Times New Roman" w:hAnsi="Times New Roman"/>
          <w:sz w:val="24"/>
          <w:szCs w:val="24"/>
        </w:rPr>
        <w:t>For the reasons that</w:t>
      </w:r>
      <w:proofErr w:type="gramEnd"/>
      <w:r w:rsidRPr="0007510D">
        <w:rPr>
          <w:rFonts w:ascii="Times New Roman" w:hAnsi="Times New Roman"/>
          <w:sz w:val="24"/>
          <w:szCs w:val="24"/>
        </w:rPr>
        <w:t xml:space="preserve"> follow, we reverse. *** In the City’s sole assignment of error, it argues that the trial court </w:t>
      </w:r>
      <w:proofErr w:type="gramStart"/>
      <w:r w:rsidRPr="0007510D">
        <w:rPr>
          <w:rFonts w:ascii="Times New Roman" w:hAnsi="Times New Roman"/>
          <w:sz w:val="24"/>
          <w:szCs w:val="24"/>
        </w:rPr>
        <w:t>erred by</w:t>
      </w:r>
      <w:proofErr w:type="gramEnd"/>
      <w:r w:rsidRPr="0007510D">
        <w:rPr>
          <w:rFonts w:ascii="Times New Roman" w:hAnsi="Times New Roman"/>
          <w:sz w:val="24"/>
          <w:szCs w:val="24"/>
        </w:rPr>
        <w:t xml:space="preserve"> denying its claim for immunity as to the appellees’ negligent training and supervision</w:t>
      </w:r>
    </w:p>
    <w:p w14:paraId="6B7B655C" w14:textId="77777777" w:rsidR="005D5A0C" w:rsidRPr="0007510D" w:rsidRDefault="005D5A0C" w:rsidP="005D5A0C">
      <w:pPr>
        <w:pStyle w:val="NoSpacing"/>
        <w:rPr>
          <w:rFonts w:ascii="Times New Roman" w:hAnsi="Times New Roman"/>
          <w:sz w:val="24"/>
          <w:szCs w:val="24"/>
        </w:rPr>
      </w:pPr>
      <w:r w:rsidRPr="0007510D">
        <w:rPr>
          <w:rFonts w:ascii="Times New Roman" w:hAnsi="Times New Roman"/>
          <w:sz w:val="24"/>
          <w:szCs w:val="24"/>
        </w:rPr>
        <w:t xml:space="preserve">theory of premises liability. *** The City’s sole assignment of error is sustained, and this matter is </w:t>
      </w:r>
      <w:proofErr w:type="gramStart"/>
      <w:r w:rsidRPr="0007510D">
        <w:rPr>
          <w:rFonts w:ascii="Times New Roman" w:hAnsi="Times New Roman"/>
          <w:sz w:val="24"/>
          <w:szCs w:val="24"/>
        </w:rPr>
        <w:t>remanded</w:t>
      </w:r>
      <w:proofErr w:type="gramEnd"/>
      <w:r w:rsidRPr="0007510D">
        <w:rPr>
          <w:rFonts w:ascii="Times New Roman" w:hAnsi="Times New Roman"/>
          <w:sz w:val="24"/>
          <w:szCs w:val="24"/>
        </w:rPr>
        <w:t xml:space="preserve"> for further proceedings as to the remaining causes of action [including (2) Defendants failed to warn [Mrs. Howard] not to go down the fire pole. 3) Defendants were negligent due to the absence of any warning or safety equipment appended to the fire pole or near it. 4) Defendant failed to train [Mrs. Howard] how to go down the fire pole].</w:t>
      </w:r>
    </w:p>
    <w:p w14:paraId="77EC6EB5" w14:textId="77777777" w:rsidR="005D5A0C" w:rsidRPr="0007510D" w:rsidRDefault="005D5A0C" w:rsidP="005D5A0C">
      <w:pPr>
        <w:pStyle w:val="NoSpacing"/>
        <w:rPr>
          <w:rFonts w:ascii="Times New Roman" w:hAnsi="Times New Roman"/>
          <w:sz w:val="24"/>
          <w:szCs w:val="24"/>
        </w:rPr>
      </w:pPr>
      <w:hyperlink r:id="rId477" w:history="1">
        <w:r w:rsidRPr="0007510D">
          <w:rPr>
            <w:rStyle w:val="Hyperlink"/>
            <w:rFonts w:ascii="Times New Roman" w:hAnsi="Times New Roman"/>
            <w:sz w:val="24"/>
            <w:szCs w:val="24"/>
          </w:rPr>
          <w:t>https://www.supremecourt.ohio.gov/rod/docs/pdf/10/2024/2024-Ohio-5181.pdf</w:t>
        </w:r>
      </w:hyperlink>
      <w:r w:rsidRPr="0007510D">
        <w:rPr>
          <w:rFonts w:ascii="Times New Roman" w:hAnsi="Times New Roman"/>
          <w:sz w:val="24"/>
          <w:szCs w:val="24"/>
        </w:rPr>
        <w:t xml:space="preserve"> </w:t>
      </w:r>
    </w:p>
    <w:p w14:paraId="4460125C" w14:textId="77777777" w:rsidR="005D5A0C" w:rsidRPr="0007510D" w:rsidRDefault="005D5A0C" w:rsidP="005D5A0C">
      <w:pPr>
        <w:pStyle w:val="NoSpacing"/>
        <w:rPr>
          <w:rFonts w:ascii="Times New Roman" w:hAnsi="Times New Roman"/>
          <w:b/>
          <w:sz w:val="24"/>
          <w:szCs w:val="24"/>
        </w:rPr>
      </w:pPr>
    </w:p>
    <w:p w14:paraId="34AD2FF6" w14:textId="77777777" w:rsidR="005D5A0C" w:rsidRPr="0007510D" w:rsidRDefault="005D5A0C" w:rsidP="005D5A0C">
      <w:pPr>
        <w:pStyle w:val="NoSpacing"/>
        <w:rPr>
          <w:rFonts w:ascii="Times New Roman" w:hAnsi="Times New Roman"/>
          <w:b/>
          <w:bCs/>
          <w:sz w:val="24"/>
          <w:szCs w:val="24"/>
        </w:rPr>
      </w:pPr>
      <w:r w:rsidRPr="0007510D">
        <w:rPr>
          <w:rFonts w:ascii="Times New Roman" w:hAnsi="Times New Roman"/>
          <w:b/>
          <w:sz w:val="24"/>
          <w:szCs w:val="24"/>
        </w:rPr>
        <w:t xml:space="preserve">egal Lesson Learned – Make sure “ride-along” </w:t>
      </w:r>
      <w:r w:rsidRPr="0007510D">
        <w:rPr>
          <w:rFonts w:ascii="Times New Roman" w:hAnsi="Times New Roman"/>
          <w:b/>
          <w:bCs/>
          <w:sz w:val="24"/>
          <w:szCs w:val="24"/>
        </w:rPr>
        <w:t xml:space="preserve">demonstrates </w:t>
      </w:r>
      <w:r w:rsidRPr="0007510D">
        <w:rPr>
          <w:rFonts w:ascii="Times New Roman" w:hAnsi="Times New Roman"/>
          <w:b/>
          <w:sz w:val="24"/>
          <w:szCs w:val="24"/>
        </w:rPr>
        <w:t xml:space="preserve">how to </w:t>
      </w:r>
      <w:r w:rsidRPr="0007510D">
        <w:rPr>
          <w:rFonts w:ascii="Times New Roman" w:hAnsi="Times New Roman"/>
          <w:b/>
          <w:bCs/>
          <w:sz w:val="24"/>
          <w:szCs w:val="24"/>
        </w:rPr>
        <w:t xml:space="preserve">safely </w:t>
      </w:r>
      <w:r w:rsidRPr="0007510D">
        <w:rPr>
          <w:rFonts w:ascii="Times New Roman" w:hAnsi="Times New Roman"/>
          <w:b/>
          <w:sz w:val="24"/>
          <w:szCs w:val="24"/>
        </w:rPr>
        <w:t>go down the fire pole or require</w:t>
      </w:r>
      <w:r w:rsidRPr="0007510D">
        <w:rPr>
          <w:rFonts w:ascii="Times New Roman" w:hAnsi="Times New Roman"/>
          <w:b/>
          <w:bCs/>
          <w:sz w:val="24"/>
          <w:szCs w:val="24"/>
        </w:rPr>
        <w:t xml:space="preserve"> </w:t>
      </w:r>
      <w:r w:rsidRPr="0007510D">
        <w:rPr>
          <w:rFonts w:ascii="Times New Roman" w:hAnsi="Times New Roman"/>
          <w:b/>
          <w:sz w:val="24"/>
          <w:szCs w:val="24"/>
        </w:rPr>
        <w:t xml:space="preserve">use </w:t>
      </w:r>
      <w:r w:rsidRPr="0007510D">
        <w:rPr>
          <w:rFonts w:ascii="Times New Roman" w:hAnsi="Times New Roman"/>
          <w:b/>
          <w:bCs/>
          <w:sz w:val="24"/>
          <w:szCs w:val="24"/>
        </w:rPr>
        <w:t>of the</w:t>
      </w:r>
      <w:r w:rsidRPr="0007510D">
        <w:rPr>
          <w:rFonts w:ascii="Times New Roman" w:hAnsi="Times New Roman"/>
          <w:b/>
          <w:sz w:val="24"/>
          <w:szCs w:val="24"/>
        </w:rPr>
        <w:t xml:space="preserve"> stairs.  </w:t>
      </w:r>
    </w:p>
    <w:p w14:paraId="7315B05A" w14:textId="77777777" w:rsidR="005D5A0C" w:rsidRDefault="005D5A0C" w:rsidP="005D5A0C">
      <w:pPr>
        <w:pStyle w:val="NoSpacing"/>
        <w:rPr>
          <w:rFonts w:asciiTheme="majorHAnsi" w:hAnsiTheme="majorHAnsi"/>
          <w:b/>
          <w:bCs/>
          <w:sz w:val="28"/>
        </w:rPr>
      </w:pPr>
    </w:p>
    <w:p w14:paraId="3ED008A4" w14:textId="77777777" w:rsidR="00F97332" w:rsidRPr="00097DD5" w:rsidRDefault="00F97332" w:rsidP="00097DD5">
      <w:pPr>
        <w:pStyle w:val="NoSpacing"/>
        <w:rPr>
          <w:rFonts w:ascii="Times New Roman" w:hAnsi="Times New Roman"/>
          <w:b/>
          <w:sz w:val="24"/>
          <w:szCs w:val="24"/>
        </w:rPr>
      </w:pPr>
    </w:p>
    <w:p w14:paraId="7CFA4D6E" w14:textId="77777777" w:rsidR="00097DD5" w:rsidRPr="00097DD5" w:rsidRDefault="00097DD5" w:rsidP="00097DD5">
      <w:pPr>
        <w:pStyle w:val="NoSpacing"/>
        <w:rPr>
          <w:rFonts w:ascii="Times New Roman" w:hAnsi="Times New Roman"/>
          <w:sz w:val="24"/>
          <w:szCs w:val="24"/>
        </w:rPr>
      </w:pPr>
    </w:p>
    <w:p w14:paraId="422EDACD" w14:textId="77777777" w:rsidR="00727472" w:rsidRPr="00097DD5" w:rsidRDefault="00727472" w:rsidP="00286F24">
      <w:pPr>
        <w:rPr>
          <w:rFonts w:ascii="Times New Roman" w:hAnsi="Times New Roman"/>
          <w:sz w:val="24"/>
          <w:szCs w:val="24"/>
        </w:rPr>
      </w:pPr>
    </w:p>
    <w:p w14:paraId="23AA95E0" w14:textId="1EFB9C98" w:rsidR="00727472" w:rsidRDefault="00727472"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5</w:t>
      </w:r>
    </w:p>
    <w:p w14:paraId="00F6BBC9" w14:textId="77777777" w:rsidR="008545A2" w:rsidRPr="000617DD" w:rsidRDefault="008545A2" w:rsidP="008545A2">
      <w:pPr>
        <w:pStyle w:val="NoSpacing"/>
        <w:rPr>
          <w:rFonts w:ascii="Times New Roman" w:hAnsi="Times New Roman"/>
          <w:b/>
          <w:bCs/>
          <w:sz w:val="24"/>
          <w:szCs w:val="24"/>
        </w:rPr>
      </w:pPr>
      <w:r w:rsidRPr="000617DD">
        <w:rPr>
          <w:rFonts w:ascii="Times New Roman" w:hAnsi="Times New Roman"/>
          <w:b/>
          <w:bCs/>
          <w:sz w:val="24"/>
          <w:szCs w:val="24"/>
        </w:rPr>
        <w:t>KY: “FIREMAN’S RULE” EXCEPTION - TROPPER I-71 INJURED BY 2 TRUCKERS SPEEDING – SUE COMPANIES DAMAGES</w:t>
      </w:r>
    </w:p>
    <w:p w14:paraId="6B144FC2" w14:textId="77777777" w:rsidR="00434296" w:rsidRPr="000617DD" w:rsidRDefault="00434296" w:rsidP="00434296">
      <w:pPr>
        <w:pStyle w:val="NoSpacing"/>
        <w:rPr>
          <w:b/>
          <w:bCs/>
          <w:sz w:val="24"/>
          <w:szCs w:val="24"/>
        </w:rPr>
      </w:pPr>
    </w:p>
    <w:p w14:paraId="0544A9A9" w14:textId="77777777" w:rsidR="00434296" w:rsidRPr="000617DD" w:rsidRDefault="00434296" w:rsidP="00434296">
      <w:pPr>
        <w:pStyle w:val="NoSpacing"/>
        <w:rPr>
          <w:rFonts w:ascii="Times New Roman" w:hAnsi="Times New Roman"/>
          <w:sz w:val="24"/>
          <w:szCs w:val="24"/>
        </w:rPr>
      </w:pPr>
      <w:r w:rsidRPr="000617DD">
        <w:rPr>
          <w:rFonts w:ascii="Times New Roman" w:hAnsi="Times New Roman"/>
          <w:sz w:val="24"/>
          <w:szCs w:val="24"/>
        </w:rPr>
        <w:t xml:space="preserve">On Oct. 24, 2024, in </w:t>
      </w:r>
      <w:r w:rsidRPr="000617DD">
        <w:rPr>
          <w:rFonts w:ascii="Times New Roman" w:hAnsi="Times New Roman"/>
          <w:sz w:val="24"/>
          <w:szCs w:val="24"/>
          <w:u w:val="single"/>
        </w:rPr>
        <w:t>Wooster Motor Ways, Inc.; James Baumhower; EC Delivery. LLC; Kentucky Farm Bureau Mutual Insurance ;and Teddy Seer v. Michael Gonterman; Jenna Gonterman; and Kentucky Self-Insured Auto Program Risk &amp; Insurance Services Division</w:t>
      </w:r>
      <w:r w:rsidRPr="000617DD">
        <w:rPr>
          <w:rFonts w:ascii="Times New Roman" w:hAnsi="Times New Roman"/>
          <w:sz w:val="24"/>
          <w:szCs w:val="24"/>
        </w:rPr>
        <w:t>, the Supreme Court of Kentucky held (7 to 0):  “The Firefighter’s Rule (‘the Rule’) is a ‘common law rule of long standing,’ judicially created as a ‘public policy’ exception to the liability for</w:t>
      </w:r>
    </w:p>
    <w:p w14:paraId="362D6654" w14:textId="77777777" w:rsidR="00434296" w:rsidRPr="000617DD" w:rsidRDefault="00434296" w:rsidP="00434296">
      <w:pPr>
        <w:pStyle w:val="NoSpacing"/>
        <w:rPr>
          <w:rFonts w:ascii="Times New Roman" w:hAnsi="Times New Roman"/>
          <w:sz w:val="24"/>
          <w:szCs w:val="24"/>
        </w:rPr>
      </w:pPr>
      <w:r w:rsidRPr="000617DD">
        <w:rPr>
          <w:rFonts w:ascii="Times New Roman" w:hAnsi="Times New Roman"/>
          <w:sz w:val="24"/>
          <w:szCs w:val="24"/>
        </w:rPr>
        <w:t>negligence which might otherwise exist.’ *** As applied here, a police officer is injured by the independent negligence of another while performing his duty as a public employee, the Rule will not act to bar suit against the negligent party.”</w:t>
      </w:r>
    </w:p>
    <w:p w14:paraId="35B05D25" w14:textId="06BB6542" w:rsidR="00434296" w:rsidRPr="000617DD" w:rsidRDefault="00434296" w:rsidP="00434296">
      <w:pPr>
        <w:rPr>
          <w:rFonts w:ascii="Times New Roman" w:hAnsi="Times New Roman"/>
          <w:sz w:val="24"/>
          <w:szCs w:val="24"/>
        </w:rPr>
      </w:pPr>
      <w:hyperlink r:id="rId478" w:history="1">
        <w:r w:rsidRPr="000617DD">
          <w:rPr>
            <w:rStyle w:val="Hyperlink"/>
            <w:rFonts w:ascii="Times New Roman" w:hAnsi="Times New Roman"/>
            <w:sz w:val="24"/>
            <w:szCs w:val="24"/>
          </w:rPr>
          <w:t>https://cases.justia.com/kentucky/supreme-court/2024-2023-sc-0062-dg.pdf?ts=1729778750</w:t>
        </w:r>
      </w:hyperlink>
    </w:p>
    <w:p w14:paraId="2B1EBEBB" w14:textId="77777777" w:rsidR="000617DD" w:rsidRPr="000617DD" w:rsidRDefault="000617DD" w:rsidP="000617DD">
      <w:pPr>
        <w:rPr>
          <w:rFonts w:ascii="Times New Roman" w:hAnsi="Times New Roman"/>
          <w:b/>
          <w:bCs/>
          <w:sz w:val="24"/>
          <w:szCs w:val="24"/>
        </w:rPr>
      </w:pPr>
      <w:r w:rsidRPr="000617DD">
        <w:rPr>
          <w:rFonts w:ascii="Times New Roman" w:hAnsi="Times New Roman"/>
          <w:b/>
          <w:sz w:val="24"/>
          <w:szCs w:val="24"/>
        </w:rPr>
        <w:t>Legal Lesson Learned: Excellent decision finding an exception to the Fireman’s Rule</w:t>
      </w:r>
      <w:r w:rsidRPr="000617DD">
        <w:rPr>
          <w:rFonts w:ascii="Times New Roman" w:hAnsi="Times New Roman"/>
          <w:b/>
          <w:bCs/>
          <w:sz w:val="24"/>
          <w:szCs w:val="24"/>
        </w:rPr>
        <w:t xml:space="preserve">; some states have abolished the Fireman’s Rule completely. </w:t>
      </w:r>
    </w:p>
    <w:p w14:paraId="5FA19E77" w14:textId="77777777" w:rsidR="0025049B" w:rsidRDefault="0025049B" w:rsidP="00286F24">
      <w:pPr>
        <w:rPr>
          <w:rFonts w:ascii="Arial Black" w:hAnsi="Arial Black"/>
          <w:sz w:val="24"/>
          <w:szCs w:val="24"/>
        </w:rPr>
      </w:pPr>
    </w:p>
    <w:p w14:paraId="35784B6E" w14:textId="77ED1449" w:rsidR="003C080C" w:rsidRDefault="003C080C"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4</w:t>
      </w:r>
    </w:p>
    <w:p w14:paraId="769C9414" w14:textId="77777777" w:rsidR="003C080C" w:rsidRPr="00A71365" w:rsidRDefault="003C080C" w:rsidP="003C080C">
      <w:pPr>
        <w:pStyle w:val="NoSpacing"/>
        <w:rPr>
          <w:rFonts w:ascii="Arial Black" w:hAnsi="Arial Black"/>
          <w:sz w:val="28"/>
        </w:rPr>
      </w:pPr>
      <w:r w:rsidRPr="00A71365">
        <w:rPr>
          <w:rFonts w:ascii="Arial Black" w:hAnsi="Arial Black"/>
          <w:sz w:val="28"/>
        </w:rPr>
        <w:t>CA: FED</w:t>
      </w:r>
      <w:r>
        <w:rPr>
          <w:rFonts w:ascii="Arial Black" w:hAnsi="Arial Black"/>
          <w:sz w:val="28"/>
        </w:rPr>
        <w:t xml:space="preserve">ERAL GOV’T SUES </w:t>
      </w:r>
      <w:r w:rsidRPr="00A71365">
        <w:rPr>
          <w:rFonts w:ascii="Arial Black" w:hAnsi="Arial Black"/>
          <w:sz w:val="28"/>
        </w:rPr>
        <w:t>MANUF</w:t>
      </w:r>
      <w:r>
        <w:rPr>
          <w:rFonts w:ascii="Arial Black" w:hAnsi="Arial Black"/>
          <w:sz w:val="28"/>
        </w:rPr>
        <w:t xml:space="preserve">. OF </w:t>
      </w:r>
      <w:r w:rsidRPr="00A71365">
        <w:rPr>
          <w:rFonts w:ascii="Arial Black" w:hAnsi="Arial Black"/>
          <w:sz w:val="28"/>
        </w:rPr>
        <w:t>SMOKE BOMBS</w:t>
      </w:r>
      <w:r>
        <w:rPr>
          <w:rFonts w:ascii="Arial Black" w:hAnsi="Arial Black"/>
          <w:sz w:val="28"/>
        </w:rPr>
        <w:t xml:space="preserve"> – EXCESSIVE SPARKS</w:t>
      </w:r>
      <w:r w:rsidRPr="00A71365">
        <w:rPr>
          <w:rFonts w:ascii="Arial Black" w:hAnsi="Arial Black"/>
          <w:sz w:val="28"/>
        </w:rPr>
        <w:t xml:space="preserve"> –</w:t>
      </w:r>
      <w:r>
        <w:rPr>
          <w:rFonts w:ascii="Arial Black" w:hAnsi="Arial Black"/>
          <w:sz w:val="28"/>
        </w:rPr>
        <w:t xml:space="preserve"> </w:t>
      </w:r>
      <w:r w:rsidRPr="00A71365">
        <w:rPr>
          <w:rFonts w:ascii="Arial Black" w:hAnsi="Arial Black"/>
          <w:sz w:val="28"/>
        </w:rPr>
        <w:t>FOREST FIRE</w:t>
      </w:r>
      <w:r>
        <w:rPr>
          <w:rFonts w:ascii="Arial Black" w:hAnsi="Arial Black"/>
          <w:sz w:val="28"/>
        </w:rPr>
        <w:t xml:space="preserve"> / L</w:t>
      </w:r>
      <w:r w:rsidRPr="00A71365">
        <w:rPr>
          <w:rFonts w:ascii="Arial Black" w:hAnsi="Arial Black"/>
          <w:sz w:val="28"/>
        </w:rPr>
        <w:t>ODD</w:t>
      </w:r>
      <w:r>
        <w:rPr>
          <w:rFonts w:ascii="Arial Black" w:hAnsi="Arial Black"/>
          <w:sz w:val="28"/>
        </w:rPr>
        <w:t xml:space="preserve"> / </w:t>
      </w:r>
      <w:r w:rsidRPr="00A71365">
        <w:rPr>
          <w:rFonts w:ascii="Arial Black" w:hAnsi="Arial Black"/>
          <w:sz w:val="28"/>
        </w:rPr>
        <w:t xml:space="preserve">$41M </w:t>
      </w:r>
    </w:p>
    <w:p w14:paraId="6FE9C962" w14:textId="77777777" w:rsidR="003C080C" w:rsidRPr="00CE14C4" w:rsidRDefault="003C080C" w:rsidP="003C080C">
      <w:pPr>
        <w:pStyle w:val="NoSpacing"/>
        <w:rPr>
          <w:rFonts w:ascii="Times New Roman" w:hAnsi="Times New Roman"/>
          <w:sz w:val="24"/>
          <w:szCs w:val="24"/>
        </w:rPr>
      </w:pPr>
    </w:p>
    <w:p w14:paraId="76DFBA32" w14:textId="77777777" w:rsidR="003C080C" w:rsidRPr="00CE14C4" w:rsidRDefault="003C080C" w:rsidP="003C080C">
      <w:pPr>
        <w:pStyle w:val="NoSpacing"/>
        <w:rPr>
          <w:rFonts w:ascii="Times New Roman" w:hAnsi="Times New Roman"/>
          <w:sz w:val="24"/>
          <w:szCs w:val="24"/>
        </w:rPr>
      </w:pPr>
      <w:r w:rsidRPr="00CE14C4">
        <w:rPr>
          <w:rFonts w:ascii="Times New Roman" w:hAnsi="Times New Roman"/>
          <w:sz w:val="24"/>
          <w:szCs w:val="24"/>
        </w:rPr>
        <w:t xml:space="preserve">On September 27, 2024, in </w:t>
      </w:r>
      <w:r w:rsidRPr="00CE14C4">
        <w:rPr>
          <w:rFonts w:ascii="Times New Roman" w:hAnsi="Times New Roman"/>
          <w:sz w:val="24"/>
          <w:szCs w:val="24"/>
          <w:u w:val="single"/>
        </w:rPr>
        <w:t>United States of America v. Wholesale Fireworks Corporation, et al</w:t>
      </w:r>
      <w:r w:rsidRPr="00CE14C4">
        <w:rPr>
          <w:rFonts w:ascii="Times New Roman" w:hAnsi="Times New Roman"/>
          <w:sz w:val="24"/>
          <w:szCs w:val="24"/>
        </w:rPr>
        <w:t xml:space="preserve">.,  United States District Court Judge Maame Ewusi-Mensah Frimpong,  U.S. District Court for Central District of California, denied Wholesale Firework Corporation’s (Hubard, Ohio) motion to dismiss; lawsuit to proceed against that corporation, as well as their distributor (American Fireworks Warehouse) and family that set off the two smoke bombs.  On Sept. 5, 2020, defendants Refugio and Angelina Jimenz set off two smoke bombs at a “gender reveal” party near the National Forest in San Bernadino; the fire destroyed 22,744 acres, damaged or destroyed 24 buildings, resulted in line-of-duty death of Charles Morton, and cost $41 million in fire suppression cost.  The Court wrote:  “[t] the United States alleges Wholesale Fireworks’ failure to properly design and manufacture the gender reveal smoke bombs resulted in the emission of excessive sparks, flames, and molten materials…. The FAC [First Amended Complaint] also alleges that Wholesale Fireworks failed to adequately provide labeling to warn of dangers or instruct on the safe use of the gender reveal smoke bombs….  Additionally, the gender reveal smoke bombs failed to bear the California State Fire Marshall Registration Seal, rendering them illegal in California….  Accordingly, the Court finds that the United States has plausibly alleged that Wholesale Fireworks breached the duty of care imposed by California and federal law.” </w:t>
      </w:r>
      <w:hyperlink r:id="rId479" w:history="1">
        <w:r w:rsidRPr="00CE14C4">
          <w:rPr>
            <w:rStyle w:val="Hyperlink"/>
            <w:rFonts w:ascii="Times New Roman" w:hAnsi="Times New Roman"/>
            <w:sz w:val="24"/>
            <w:szCs w:val="24"/>
          </w:rPr>
          <w:t>https://www.courthousenews.com/wp-content/uploads/2024/09/wholesale-fireworks-ruling.pdf</w:t>
        </w:r>
      </w:hyperlink>
      <w:r w:rsidRPr="00CE14C4">
        <w:rPr>
          <w:rFonts w:ascii="Times New Roman" w:hAnsi="Times New Roman"/>
          <w:sz w:val="24"/>
          <w:szCs w:val="24"/>
        </w:rPr>
        <w:t xml:space="preserve"> </w:t>
      </w:r>
    </w:p>
    <w:p w14:paraId="7FF70B45" w14:textId="77777777" w:rsidR="003C080C" w:rsidRPr="00CE14C4" w:rsidRDefault="003C080C" w:rsidP="003C080C">
      <w:pPr>
        <w:pStyle w:val="NoSpacing"/>
        <w:rPr>
          <w:rFonts w:ascii="Times New Roman" w:hAnsi="Times New Roman"/>
          <w:sz w:val="24"/>
          <w:szCs w:val="24"/>
        </w:rPr>
      </w:pPr>
    </w:p>
    <w:p w14:paraId="437840B1" w14:textId="77777777" w:rsidR="003C080C" w:rsidRPr="00CE14C4" w:rsidRDefault="003C080C" w:rsidP="003C080C">
      <w:pPr>
        <w:pStyle w:val="NoSpacing"/>
        <w:rPr>
          <w:rFonts w:ascii="Times New Roman" w:hAnsi="Times New Roman"/>
          <w:sz w:val="24"/>
          <w:szCs w:val="24"/>
        </w:rPr>
      </w:pPr>
      <w:r w:rsidRPr="00CE14C4">
        <w:rPr>
          <w:rFonts w:ascii="Times New Roman" w:hAnsi="Times New Roman"/>
          <w:sz w:val="24"/>
          <w:szCs w:val="24"/>
        </w:rPr>
        <w:t>THE COURT HELD:</w:t>
      </w:r>
    </w:p>
    <w:p w14:paraId="77568C0E" w14:textId="77777777" w:rsidR="003C080C" w:rsidRPr="00CE14C4" w:rsidRDefault="003C080C" w:rsidP="003C080C">
      <w:pPr>
        <w:pStyle w:val="NoSpacing"/>
        <w:rPr>
          <w:rFonts w:ascii="Times New Roman" w:hAnsi="Times New Roman"/>
          <w:sz w:val="24"/>
          <w:szCs w:val="24"/>
        </w:rPr>
      </w:pPr>
    </w:p>
    <w:p w14:paraId="4E47F969" w14:textId="77777777" w:rsidR="003C080C" w:rsidRDefault="003C080C" w:rsidP="003C080C">
      <w:pPr>
        <w:pStyle w:val="NoSpacing"/>
        <w:ind w:left="720"/>
        <w:rPr>
          <w:rFonts w:ascii="Times New Roman" w:hAnsi="Times New Roman"/>
          <w:sz w:val="24"/>
          <w:szCs w:val="24"/>
        </w:rPr>
      </w:pPr>
      <w:r w:rsidRPr="00CE14C4">
        <w:rPr>
          <w:rFonts w:ascii="Times New Roman" w:hAnsi="Times New Roman"/>
          <w:sz w:val="24"/>
          <w:szCs w:val="24"/>
        </w:rPr>
        <w:t xml:space="preserve">“T]he Court finds that it is plausible that Wholesale Fireworks allowed the fire to occur. If an entity knows or has reason to know of the risks that may result from the defective labeling or design of its product, yet fails to adequately provide such labeling, it follows that the entity consequently allowed for that danger to ensue. Wholesale Fireworks knew or had reason to know of the risks of fire that may result from the defective labeling or design of the gender </w:t>
      </w:r>
      <w:proofErr w:type="gramStart"/>
      <w:r w:rsidRPr="00CE14C4">
        <w:rPr>
          <w:rFonts w:ascii="Times New Roman" w:hAnsi="Times New Roman"/>
          <w:sz w:val="24"/>
          <w:szCs w:val="24"/>
        </w:rPr>
        <w:t>reveal</w:t>
      </w:r>
      <w:proofErr w:type="gramEnd"/>
      <w:r w:rsidRPr="00CE14C4">
        <w:rPr>
          <w:rFonts w:ascii="Times New Roman" w:hAnsi="Times New Roman"/>
          <w:sz w:val="24"/>
          <w:szCs w:val="24"/>
        </w:rPr>
        <w:t xml:space="preserve"> smoke bombs given </w:t>
      </w:r>
      <w:proofErr w:type="gramStart"/>
      <w:r w:rsidRPr="00CE14C4">
        <w:rPr>
          <w:rFonts w:ascii="Times New Roman" w:hAnsi="Times New Roman"/>
          <w:sz w:val="24"/>
          <w:szCs w:val="24"/>
        </w:rPr>
        <w:t>its</w:t>
      </w:r>
      <w:proofErr w:type="gramEnd"/>
      <w:r w:rsidRPr="00CE14C4">
        <w:rPr>
          <w:rFonts w:ascii="Times New Roman" w:hAnsi="Times New Roman"/>
          <w:sz w:val="24"/>
          <w:szCs w:val="24"/>
        </w:rPr>
        <w:t xml:space="preserve"> training in the industry. Wholesale Fireworks failed to adequately provide warnings </w:t>
      </w:r>
      <w:proofErr w:type="gramStart"/>
      <w:r w:rsidRPr="00CE14C4">
        <w:rPr>
          <w:rFonts w:ascii="Times New Roman" w:hAnsi="Times New Roman"/>
          <w:sz w:val="24"/>
          <w:szCs w:val="24"/>
        </w:rPr>
        <w:t>of</w:t>
      </w:r>
      <w:proofErr w:type="gramEnd"/>
      <w:r w:rsidRPr="00CE14C4">
        <w:rPr>
          <w:rFonts w:ascii="Times New Roman" w:hAnsi="Times New Roman"/>
          <w:sz w:val="24"/>
          <w:szCs w:val="24"/>
        </w:rPr>
        <w:t xml:space="preserve"> the risk of fire that may </w:t>
      </w:r>
      <w:proofErr w:type="gramStart"/>
      <w:r w:rsidRPr="00CE14C4">
        <w:rPr>
          <w:rFonts w:ascii="Times New Roman" w:hAnsi="Times New Roman"/>
          <w:sz w:val="24"/>
          <w:szCs w:val="24"/>
        </w:rPr>
        <w:t>ensue</w:t>
      </w:r>
      <w:proofErr w:type="gramEnd"/>
      <w:r w:rsidRPr="00CE14C4">
        <w:rPr>
          <w:rFonts w:ascii="Times New Roman" w:hAnsi="Times New Roman"/>
          <w:sz w:val="24"/>
          <w:szCs w:val="24"/>
        </w:rPr>
        <w:t xml:space="preserve"> from the misuse of its product, despite knowing or having reason to know of the risks of such danger. Further, this failure was in violation of the law. Therefore, Wholesale Fireworks, in essence, allowed the fire to occur.”</w:t>
      </w:r>
    </w:p>
    <w:p w14:paraId="3A380298" w14:textId="77777777" w:rsidR="003C080C" w:rsidRPr="00BE0BB3" w:rsidRDefault="003C080C" w:rsidP="003C080C">
      <w:pPr>
        <w:pStyle w:val="NoSpacing"/>
        <w:rPr>
          <w:rFonts w:ascii="Times New Roman" w:hAnsi="Times New Roman"/>
          <w:b/>
          <w:bCs/>
          <w:sz w:val="24"/>
          <w:szCs w:val="24"/>
        </w:rPr>
      </w:pPr>
      <w:r w:rsidRPr="00BE0BB3">
        <w:rPr>
          <w:rFonts w:ascii="Times New Roman" w:hAnsi="Times New Roman"/>
          <w:b/>
          <w:bCs/>
          <w:sz w:val="24"/>
          <w:szCs w:val="24"/>
        </w:rPr>
        <w:t>Legal Lesson Learned: The manufacturer of smoke bombs has a duty to warn users about the risks of excessive sparks, flames, and molten materials.</w:t>
      </w:r>
    </w:p>
    <w:p w14:paraId="60F5FA5A" w14:textId="77777777" w:rsidR="006D679A" w:rsidRDefault="006D679A" w:rsidP="003C080C">
      <w:pPr>
        <w:ind w:left="720"/>
        <w:rPr>
          <w:rFonts w:ascii="Times New Roman" w:hAnsi="Times New Roman"/>
          <w:sz w:val="24"/>
          <w:szCs w:val="24"/>
        </w:rPr>
      </w:pPr>
    </w:p>
    <w:p w14:paraId="11C845B5" w14:textId="5AD2B852" w:rsidR="003C080C" w:rsidRPr="00BE0BB3" w:rsidRDefault="003C080C" w:rsidP="003C080C">
      <w:pPr>
        <w:ind w:left="720"/>
        <w:rPr>
          <w:rFonts w:ascii="Times New Roman" w:hAnsi="Times New Roman"/>
          <w:sz w:val="24"/>
          <w:szCs w:val="24"/>
        </w:rPr>
      </w:pPr>
      <w:r w:rsidRPr="00BE0BB3">
        <w:rPr>
          <w:rFonts w:ascii="Times New Roman" w:hAnsi="Times New Roman"/>
          <w:sz w:val="24"/>
          <w:szCs w:val="24"/>
        </w:rPr>
        <w:t xml:space="preserve">Note: National Fallen Firefighter Foundation: “Charles Morton, squad boss on the Big Bear Interagency Hotshot Crew, died during interagency fire suppression activities on the El Dorado Fire in the San Bernardino National Forest in California on September 17, 2020. He had been a firefighter for 18 years, 14 of those with the U.S. Forest Service.” </w:t>
      </w:r>
      <w:hyperlink r:id="rId480" w:history="1">
        <w:r w:rsidRPr="00BE0BB3">
          <w:rPr>
            <w:rStyle w:val="Hyperlink"/>
            <w:rFonts w:ascii="Times New Roman" w:hAnsi="Times New Roman"/>
            <w:sz w:val="24"/>
            <w:szCs w:val="24"/>
          </w:rPr>
          <w:t>https://www.firehero.org/fallen-firefighter/charles-e-morton/</w:t>
        </w:r>
      </w:hyperlink>
      <w:r w:rsidRPr="00BE0BB3">
        <w:rPr>
          <w:rFonts w:ascii="Times New Roman" w:hAnsi="Times New Roman"/>
          <w:sz w:val="24"/>
          <w:szCs w:val="24"/>
        </w:rPr>
        <w:t xml:space="preserve"> </w:t>
      </w:r>
    </w:p>
    <w:p w14:paraId="4B26E4FB" w14:textId="77777777" w:rsidR="003C080C" w:rsidRPr="00CE14C4" w:rsidRDefault="003C080C" w:rsidP="003C080C">
      <w:pPr>
        <w:pStyle w:val="NoSpacing"/>
        <w:ind w:left="720"/>
        <w:rPr>
          <w:rFonts w:ascii="Times New Roman" w:hAnsi="Times New Roman"/>
          <w:sz w:val="24"/>
          <w:szCs w:val="24"/>
        </w:rPr>
      </w:pPr>
    </w:p>
    <w:p w14:paraId="2E2B3BD0" w14:textId="77777777" w:rsidR="003C080C" w:rsidRDefault="003C080C" w:rsidP="003C080C">
      <w:pPr>
        <w:pStyle w:val="NoSpacing"/>
        <w:ind w:left="720"/>
      </w:pPr>
    </w:p>
    <w:p w14:paraId="519FB2D6" w14:textId="144D49D1" w:rsidR="003C080C" w:rsidRDefault="00B34767"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3</w:t>
      </w:r>
    </w:p>
    <w:p w14:paraId="30DB49B2" w14:textId="77777777" w:rsidR="00B34767" w:rsidRDefault="00B34767" w:rsidP="00B34767">
      <w:pPr>
        <w:pStyle w:val="NoSpacing"/>
        <w:rPr>
          <w:rFonts w:ascii="Arial Black" w:hAnsi="Arial Black"/>
          <w:sz w:val="28"/>
        </w:rPr>
      </w:pPr>
      <w:r>
        <w:rPr>
          <w:rFonts w:ascii="Arial Black" w:hAnsi="Arial Black"/>
          <w:sz w:val="28"/>
        </w:rPr>
        <w:t>TX: PATIENT FIRES 2 SHOTS / THEN PULLS KNIFE ON EMS DURING TRANSPORT – SENTENCED LIFE IMPRISONMENT</w:t>
      </w:r>
    </w:p>
    <w:p w14:paraId="67A7050F" w14:textId="77777777" w:rsidR="00B34767" w:rsidRDefault="00B34767" w:rsidP="00B34767">
      <w:pPr>
        <w:pStyle w:val="NoSpacing"/>
        <w:rPr>
          <w:szCs w:val="24"/>
        </w:rPr>
      </w:pPr>
    </w:p>
    <w:p w14:paraId="0D79F0A9"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On September 19, 2024, in </w:t>
      </w:r>
      <w:r w:rsidRPr="00B34767">
        <w:rPr>
          <w:rFonts w:ascii="Times New Roman" w:hAnsi="Times New Roman"/>
          <w:sz w:val="24"/>
          <w:szCs w:val="24"/>
          <w:u w:val="single"/>
        </w:rPr>
        <w:t>Michael McMillian v. The State of Texas</w:t>
      </w:r>
      <w:r w:rsidRPr="00B34767">
        <w:rPr>
          <w:rFonts w:ascii="Times New Roman" w:hAnsi="Times New Roman"/>
          <w:sz w:val="24"/>
          <w:szCs w:val="24"/>
        </w:rPr>
        <w:t>, the Court of Appeals of Texas, Eleventh District, held (3 to 0; unpublished decision) that jury properly convicted defendant of two separate offenses against same victim – aggravated assault with gun, and aggravated assault with knife against EMT Tahnee Marks.  The Court wrote: “The jury found Appellant guilty of all six counts and the trial court assessed punishment at confinement in the Institutional Division of the Texas Department of Criminal Justice for terms ranging from forty years to life—all to run concurrently. *** Here, Appellant was charged with,</w:t>
      </w:r>
    </w:p>
    <w:p w14:paraId="1A123F91"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convicted </w:t>
      </w:r>
      <w:proofErr w:type="gramStart"/>
      <w:r w:rsidRPr="00B34767">
        <w:rPr>
          <w:rFonts w:ascii="Times New Roman" w:hAnsi="Times New Roman"/>
          <w:sz w:val="24"/>
          <w:szCs w:val="24"/>
        </w:rPr>
        <w:t>of, and</w:t>
      </w:r>
      <w:proofErr w:type="gramEnd"/>
      <w:r w:rsidRPr="00B34767">
        <w:rPr>
          <w:rFonts w:ascii="Times New Roman" w:hAnsi="Times New Roman"/>
          <w:sz w:val="24"/>
          <w:szCs w:val="24"/>
        </w:rPr>
        <w:t xml:space="preserve"> punished for two separate violations of a single statutory offense.</w:t>
      </w:r>
    </w:p>
    <w:p w14:paraId="491D4BAE"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Therefore, the double jeopardy protections are not implicated here.” </w:t>
      </w:r>
      <w:hyperlink r:id="rId481" w:history="1">
        <w:r w:rsidRPr="00B34767">
          <w:rPr>
            <w:rStyle w:val="Hyperlink"/>
            <w:rFonts w:ascii="Times New Roman" w:hAnsi="Times New Roman"/>
            <w:sz w:val="24"/>
            <w:szCs w:val="24"/>
          </w:rPr>
          <w:t>https://cases.justia.com/texas/eleventh-court-of-appeals/2024-11-22-00155-cr.pdf?ts=1726749633</w:t>
        </w:r>
      </w:hyperlink>
      <w:r w:rsidRPr="00B34767">
        <w:rPr>
          <w:rFonts w:ascii="Times New Roman" w:hAnsi="Times New Roman"/>
          <w:sz w:val="24"/>
          <w:szCs w:val="24"/>
        </w:rPr>
        <w:t xml:space="preserve"> </w:t>
      </w:r>
    </w:p>
    <w:p w14:paraId="03ED4049" w14:textId="77777777" w:rsidR="00B34767" w:rsidRPr="00B34767" w:rsidRDefault="00B34767" w:rsidP="00B34767">
      <w:pPr>
        <w:pStyle w:val="NoSpacing"/>
        <w:rPr>
          <w:rFonts w:ascii="Times New Roman" w:hAnsi="Times New Roman"/>
          <w:sz w:val="24"/>
          <w:szCs w:val="24"/>
        </w:rPr>
      </w:pPr>
    </w:p>
    <w:p w14:paraId="3FC7DD7A"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THE COURT HELD:</w:t>
      </w:r>
    </w:p>
    <w:p w14:paraId="71886A8F" w14:textId="77777777" w:rsidR="00B34767" w:rsidRPr="00B34767" w:rsidRDefault="00B34767" w:rsidP="00B34767">
      <w:pPr>
        <w:pStyle w:val="NoSpacing"/>
        <w:rPr>
          <w:rFonts w:ascii="Times New Roman" w:hAnsi="Times New Roman"/>
          <w:sz w:val="24"/>
          <w:szCs w:val="24"/>
        </w:rPr>
      </w:pPr>
    </w:p>
    <w:p w14:paraId="196CD69B"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“The testimony shows there was a separation—though short—between the first</w:t>
      </w:r>
    </w:p>
    <w:p w14:paraId="7F71A616"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time Appellant threatened Meeks with a gun, and the second time Appellant</w:t>
      </w:r>
    </w:p>
    <w:p w14:paraId="45FD9985"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threatened Meeks with a knife. Meeks described the time in which she was not in</w:t>
      </w:r>
    </w:p>
    <w:p w14:paraId="2CF76327"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the ambulance and was not in a direct struggle with Appellant. Meeks additionally</w:t>
      </w:r>
    </w:p>
    <w:p w14:paraId="29A38EDC"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was able to radio for help two times, once at the end of the first threat, and again</w:t>
      </w:r>
    </w:p>
    <w:p w14:paraId="02AC508A"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right before the second threat. Double jeopardy defines the “same offense” as</w:t>
      </w:r>
    </w:p>
    <w:p w14:paraId="279A5D9B"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 xml:space="preserve">identical criminal acts—not merely the same offense by name. See Ex </w:t>
      </w:r>
      <w:proofErr w:type="spellStart"/>
      <w:r w:rsidRPr="00B34767">
        <w:rPr>
          <w:rFonts w:ascii="Times New Roman" w:hAnsi="Times New Roman"/>
          <w:sz w:val="24"/>
          <w:szCs w:val="24"/>
        </w:rPr>
        <w:t>parte</w:t>
      </w:r>
      <w:proofErr w:type="spellEnd"/>
    </w:p>
    <w:p w14:paraId="6805C1E0"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Goodbread, 967 S.W.2d 859, 860 (Tex. Crim. App. 1998) (citing Luna v. State, 439</w:t>
      </w:r>
    </w:p>
    <w:p w14:paraId="3FEB928E"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S.W.2d 854, 855 (Tex. Crim. App. 1973)).”</w:t>
      </w:r>
    </w:p>
    <w:p w14:paraId="4B6225CE" w14:textId="77777777" w:rsidR="00B34767" w:rsidRPr="00B34767" w:rsidRDefault="00B34767" w:rsidP="00B34767">
      <w:pPr>
        <w:pStyle w:val="NoSpacing"/>
        <w:ind w:firstLine="720"/>
        <w:rPr>
          <w:rFonts w:ascii="Times New Roman" w:hAnsi="Times New Roman"/>
          <w:sz w:val="24"/>
          <w:szCs w:val="24"/>
        </w:rPr>
      </w:pPr>
    </w:p>
    <w:p w14:paraId="5419B923" w14:textId="77777777" w:rsidR="00B34767" w:rsidRPr="00B34767" w:rsidRDefault="00B34767" w:rsidP="00B34767">
      <w:pPr>
        <w:pStyle w:val="NoSpacing"/>
        <w:ind w:left="720"/>
        <w:rPr>
          <w:rFonts w:ascii="Times New Roman" w:hAnsi="Times New Roman"/>
          <w:sz w:val="24"/>
          <w:szCs w:val="24"/>
        </w:rPr>
      </w:pPr>
    </w:p>
    <w:p w14:paraId="79E0593E" w14:textId="29179A1D" w:rsidR="00B34767" w:rsidRPr="00B34767" w:rsidRDefault="00B34767" w:rsidP="00B34767">
      <w:pPr>
        <w:pStyle w:val="NoSpacing"/>
        <w:rPr>
          <w:rFonts w:ascii="Times New Roman" w:hAnsi="Times New Roman"/>
          <w:b/>
          <w:bCs/>
          <w:sz w:val="24"/>
          <w:szCs w:val="24"/>
        </w:rPr>
      </w:pPr>
      <w:r w:rsidRPr="00B34767">
        <w:rPr>
          <w:rFonts w:ascii="Times New Roman" w:hAnsi="Times New Roman"/>
          <w:b/>
          <w:bCs/>
          <w:sz w:val="24"/>
          <w:szCs w:val="24"/>
        </w:rPr>
        <w:t xml:space="preserve">Legal Lesson Learned: No double jeopardy for two offenses against </w:t>
      </w:r>
      <w:r w:rsidR="00B276FE">
        <w:rPr>
          <w:rFonts w:ascii="Times New Roman" w:hAnsi="Times New Roman"/>
          <w:b/>
          <w:bCs/>
          <w:sz w:val="24"/>
          <w:szCs w:val="24"/>
        </w:rPr>
        <w:t xml:space="preserve">the </w:t>
      </w:r>
      <w:r w:rsidRPr="00B34767">
        <w:rPr>
          <w:rFonts w:ascii="Times New Roman" w:hAnsi="Times New Roman"/>
          <w:b/>
          <w:bCs/>
          <w:sz w:val="24"/>
          <w:szCs w:val="24"/>
        </w:rPr>
        <w:t>same victim.  EMS should check patient clothing for weapons prior to transport.</w:t>
      </w:r>
    </w:p>
    <w:p w14:paraId="2ECC9516" w14:textId="77777777" w:rsidR="00B34767" w:rsidRDefault="00B34767" w:rsidP="00B34767">
      <w:pPr>
        <w:pStyle w:val="NoSpacing"/>
      </w:pPr>
    </w:p>
    <w:p w14:paraId="798046AE" w14:textId="77777777" w:rsidR="00B34767" w:rsidRDefault="00B34767" w:rsidP="00B34767">
      <w:pPr>
        <w:pStyle w:val="NoSpacing"/>
      </w:pPr>
    </w:p>
    <w:p w14:paraId="6B36D020" w14:textId="77777777" w:rsidR="00B34767" w:rsidRDefault="00B34767" w:rsidP="00286F24">
      <w:pPr>
        <w:rPr>
          <w:rFonts w:ascii="Arial Black" w:hAnsi="Arial Black"/>
          <w:sz w:val="24"/>
          <w:szCs w:val="24"/>
        </w:rPr>
      </w:pPr>
    </w:p>
    <w:p w14:paraId="0F548D5F" w14:textId="77777777" w:rsidR="003C080C" w:rsidRDefault="003C080C" w:rsidP="00286F24">
      <w:pPr>
        <w:rPr>
          <w:rFonts w:ascii="Arial Black" w:hAnsi="Arial Black"/>
          <w:sz w:val="24"/>
          <w:szCs w:val="24"/>
        </w:rPr>
      </w:pPr>
    </w:p>
    <w:p w14:paraId="7AEAC9BB" w14:textId="2E2CB599" w:rsidR="005C3A2A" w:rsidRDefault="00E03026"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2</w:t>
      </w:r>
    </w:p>
    <w:p w14:paraId="630C1EA6" w14:textId="1A838424" w:rsidR="00671D64" w:rsidRDefault="00671D64" w:rsidP="00671D64">
      <w:pPr>
        <w:rPr>
          <w:rFonts w:ascii="Arial Black" w:hAnsi="Arial Black"/>
          <w:b/>
          <w:bCs/>
          <w:sz w:val="28"/>
        </w:rPr>
      </w:pPr>
      <w:r>
        <w:rPr>
          <w:rFonts w:ascii="Arial Black" w:hAnsi="Arial Black"/>
          <w:b/>
          <w:bCs/>
          <w:sz w:val="28"/>
        </w:rPr>
        <w:t xml:space="preserve">MI: FF KILLED RESTAURANT FIRE – SEARCH WARRANT OWNER’S PROPERTIES, NOT CHARGED – </w:t>
      </w:r>
      <w:r w:rsidR="00D50A15">
        <w:rPr>
          <w:rFonts w:ascii="Arial Black" w:hAnsi="Arial Black"/>
          <w:b/>
          <w:bCs/>
          <w:sz w:val="28"/>
        </w:rPr>
        <w:t>INVESTIGATOR</w:t>
      </w:r>
      <w:r>
        <w:rPr>
          <w:rFonts w:ascii="Arial Black" w:hAnsi="Arial Black"/>
          <w:b/>
          <w:bCs/>
          <w:sz w:val="28"/>
        </w:rPr>
        <w:t xml:space="preserve"> IMMUNITY</w:t>
      </w:r>
    </w:p>
    <w:p w14:paraId="6300B98B" w14:textId="77777777" w:rsidR="00671D64" w:rsidRPr="00671D64" w:rsidRDefault="00671D64" w:rsidP="00671D64">
      <w:pPr>
        <w:rPr>
          <w:rFonts w:ascii="Times New Roman" w:hAnsi="Times New Roman"/>
          <w:sz w:val="24"/>
          <w:szCs w:val="24"/>
        </w:rPr>
      </w:pPr>
      <w:r w:rsidRPr="00671D64">
        <w:rPr>
          <w:rFonts w:ascii="Times New Roman" w:hAnsi="Times New Roman"/>
          <w:sz w:val="24"/>
          <w:szCs w:val="24"/>
        </w:rPr>
        <w:t xml:space="preserve">On Aug. 23, 2024, in </w:t>
      </w:r>
      <w:r w:rsidRPr="00671D64">
        <w:rPr>
          <w:rFonts w:ascii="Times New Roman" w:hAnsi="Times New Roman"/>
          <w:sz w:val="24"/>
          <w:szCs w:val="24"/>
          <w:u w:val="single"/>
        </w:rPr>
        <w:t>George Marvaso, et al. v. Richard Sanchez</w:t>
      </w:r>
      <w:r w:rsidRPr="00671D64">
        <w:rPr>
          <w:rFonts w:ascii="Times New Roman" w:hAnsi="Times New Roman"/>
          <w:sz w:val="24"/>
          <w:szCs w:val="24"/>
        </w:rPr>
        <w:t>, the U.S. Court of Appeals for 6</w:t>
      </w:r>
      <w:r w:rsidRPr="00671D64">
        <w:rPr>
          <w:rFonts w:ascii="Times New Roman" w:hAnsi="Times New Roman"/>
          <w:sz w:val="24"/>
          <w:szCs w:val="24"/>
          <w:vertAlign w:val="superscript"/>
        </w:rPr>
        <w:t>th</w:t>
      </w:r>
      <w:r w:rsidRPr="00671D64">
        <w:rPr>
          <w:rFonts w:ascii="Times New Roman" w:hAnsi="Times New Roman"/>
          <w:sz w:val="24"/>
          <w:szCs w:val="24"/>
        </w:rPr>
        <w:t xml:space="preserve"> Circuit (Cincinnati) held (3 to 0; unpublished opinion) that Michigan State Patrol lieutenant Richard Sanchez was properly dismissed from lawsuit.  Firefighter Brian Woehlke died </w:t>
      </w:r>
      <w:proofErr w:type="gramStart"/>
      <w:r w:rsidRPr="00671D64">
        <w:rPr>
          <w:rFonts w:ascii="Times New Roman" w:hAnsi="Times New Roman"/>
          <w:sz w:val="24"/>
          <w:szCs w:val="24"/>
        </w:rPr>
        <w:t>in</w:t>
      </w:r>
      <w:proofErr w:type="gramEnd"/>
      <w:r w:rsidRPr="00671D64">
        <w:rPr>
          <w:rFonts w:ascii="Times New Roman" w:hAnsi="Times New Roman"/>
          <w:sz w:val="24"/>
          <w:szCs w:val="24"/>
        </w:rPr>
        <w:t xml:space="preserve"> May 8, </w:t>
      </w:r>
      <w:proofErr w:type="gramStart"/>
      <w:r w:rsidRPr="00671D64">
        <w:rPr>
          <w:rFonts w:ascii="Times New Roman" w:hAnsi="Times New Roman"/>
          <w:sz w:val="24"/>
          <w:szCs w:val="24"/>
        </w:rPr>
        <w:t>2013</w:t>
      </w:r>
      <w:proofErr w:type="gramEnd"/>
      <w:r w:rsidRPr="00671D64">
        <w:rPr>
          <w:rFonts w:ascii="Times New Roman" w:hAnsi="Times New Roman"/>
          <w:sz w:val="24"/>
          <w:szCs w:val="24"/>
        </w:rPr>
        <w:t xml:space="preserve"> fire at Marvaso’s Italian Grille in Westland, Michigan. The Court wrote: “According to Plaintiffs, Sanchez knowingly omitted key information and knowingly included false information in drafting the affidavits, which resulted in the execution of illegal search warrants that violated their Fourth Amendment rights. To support their argument, Plaintiffs list various factual omissions that they claim would have affected the magistrate judge’s ultimate probable cause determination. However, with or without </w:t>
      </w:r>
      <w:proofErr w:type="gramStart"/>
      <w:r w:rsidRPr="00671D64">
        <w:rPr>
          <w:rFonts w:ascii="Times New Roman" w:hAnsi="Times New Roman"/>
          <w:sz w:val="24"/>
          <w:szCs w:val="24"/>
        </w:rPr>
        <w:t>the consideration</w:t>
      </w:r>
      <w:proofErr w:type="gramEnd"/>
      <w:r w:rsidRPr="00671D64">
        <w:rPr>
          <w:rFonts w:ascii="Times New Roman" w:hAnsi="Times New Roman"/>
          <w:sz w:val="24"/>
          <w:szCs w:val="24"/>
        </w:rPr>
        <w:t xml:space="preserve"> of the additional facts that Plaintiffs proffer, there would have been probable cause to search their homes. Because no Fourth Amendment violation occurred, we agree with the district court’s determination that Sanchez is entitled to qualified immunity.” </w:t>
      </w:r>
      <w:hyperlink r:id="rId482" w:history="1">
        <w:r w:rsidRPr="00671D64">
          <w:rPr>
            <w:rStyle w:val="Hyperlink"/>
            <w:rFonts w:ascii="Times New Roman" w:hAnsi="Times New Roman"/>
            <w:sz w:val="24"/>
            <w:szCs w:val="24"/>
          </w:rPr>
          <w:t>https://www.opn.ca6.uscourts.gov/opinions.pdf/24a0367n-06.pdf</w:t>
        </w:r>
      </w:hyperlink>
      <w:r w:rsidRPr="00671D64">
        <w:rPr>
          <w:rFonts w:ascii="Times New Roman" w:hAnsi="Times New Roman"/>
          <w:sz w:val="24"/>
          <w:szCs w:val="24"/>
        </w:rPr>
        <w:t xml:space="preserve"> </w:t>
      </w:r>
    </w:p>
    <w:p w14:paraId="2DDAF146" w14:textId="77777777" w:rsidR="00671D64" w:rsidRPr="00671D64" w:rsidRDefault="00671D64" w:rsidP="00671D64">
      <w:pPr>
        <w:rPr>
          <w:rFonts w:ascii="Times New Roman" w:hAnsi="Times New Roman"/>
          <w:sz w:val="24"/>
          <w:szCs w:val="24"/>
        </w:rPr>
      </w:pPr>
      <w:r w:rsidRPr="00671D64">
        <w:rPr>
          <w:rFonts w:ascii="Times New Roman" w:hAnsi="Times New Roman"/>
          <w:sz w:val="24"/>
          <w:szCs w:val="24"/>
        </w:rPr>
        <w:t xml:space="preserve">[Note: State OSHA fined the FD $3,500; FF entered; evacuation ordered but only 2 came out. </w:t>
      </w:r>
      <w:hyperlink r:id="rId483" w:history="1">
        <w:r w:rsidRPr="00671D64">
          <w:rPr>
            <w:rStyle w:val="Hyperlink"/>
            <w:rFonts w:ascii="Times New Roman" w:hAnsi="Times New Roman"/>
            <w:sz w:val="24"/>
            <w:szCs w:val="24"/>
          </w:rPr>
          <w:t>https://www.osha.gov/ords/imis/establishment.inspection_detail?id=315378885</w:t>
        </w:r>
      </w:hyperlink>
      <w:r w:rsidRPr="00671D64">
        <w:rPr>
          <w:rFonts w:ascii="Times New Roman" w:hAnsi="Times New Roman"/>
          <w:sz w:val="24"/>
          <w:szCs w:val="24"/>
        </w:rPr>
        <w:t>.]</w:t>
      </w:r>
    </w:p>
    <w:p w14:paraId="4366D3DC" w14:textId="77777777" w:rsidR="00671D64" w:rsidRPr="00671D64" w:rsidRDefault="00671D64" w:rsidP="00671D64">
      <w:pPr>
        <w:pStyle w:val="NoSpacing"/>
        <w:rPr>
          <w:rFonts w:ascii="Times New Roman" w:hAnsi="Times New Roman"/>
          <w:sz w:val="24"/>
          <w:szCs w:val="24"/>
        </w:rPr>
      </w:pPr>
      <w:r w:rsidRPr="00671D64">
        <w:rPr>
          <w:rFonts w:ascii="Times New Roman" w:hAnsi="Times New Roman"/>
          <w:sz w:val="24"/>
          <w:szCs w:val="24"/>
        </w:rPr>
        <w:t xml:space="preserve"> </w:t>
      </w:r>
    </w:p>
    <w:p w14:paraId="5ADA790F" w14:textId="77777777" w:rsidR="00671D64" w:rsidRPr="00671D64" w:rsidRDefault="00671D64" w:rsidP="00671D64">
      <w:pPr>
        <w:pStyle w:val="NoSpacing"/>
        <w:rPr>
          <w:rFonts w:ascii="Times New Roman" w:hAnsi="Times New Roman"/>
          <w:sz w:val="24"/>
          <w:szCs w:val="24"/>
        </w:rPr>
      </w:pPr>
      <w:r w:rsidRPr="00671D64">
        <w:rPr>
          <w:rFonts w:ascii="Times New Roman" w:hAnsi="Times New Roman"/>
          <w:sz w:val="24"/>
          <w:szCs w:val="24"/>
        </w:rPr>
        <w:t>THE COURT HELD:</w:t>
      </w:r>
    </w:p>
    <w:p w14:paraId="0A6321FF" w14:textId="77777777" w:rsidR="00671D64" w:rsidRPr="00671D64" w:rsidRDefault="00671D64" w:rsidP="00671D64">
      <w:pPr>
        <w:pStyle w:val="NoSpacing"/>
        <w:rPr>
          <w:rFonts w:ascii="Times New Roman" w:hAnsi="Times New Roman"/>
          <w:sz w:val="24"/>
          <w:szCs w:val="24"/>
        </w:rPr>
      </w:pPr>
    </w:p>
    <w:p w14:paraId="181BFC8B" w14:textId="77777777" w:rsidR="00671D64" w:rsidRPr="00671D64" w:rsidRDefault="00671D64" w:rsidP="00671D64">
      <w:pPr>
        <w:pStyle w:val="NoSpacing"/>
        <w:ind w:left="720"/>
        <w:rPr>
          <w:rFonts w:ascii="Times New Roman" w:hAnsi="Times New Roman"/>
          <w:sz w:val="24"/>
          <w:szCs w:val="24"/>
        </w:rPr>
      </w:pPr>
      <w:r w:rsidRPr="00671D64">
        <w:rPr>
          <w:rFonts w:ascii="Times New Roman" w:hAnsi="Times New Roman"/>
          <w:sz w:val="24"/>
          <w:szCs w:val="24"/>
        </w:rPr>
        <w:t xml:space="preserve">“First, and perhaps most importantly, Plaintiffs argue that Sanchez withheld the </w:t>
      </w:r>
    </w:p>
    <w:p w14:paraId="04B43039" w14:textId="77777777" w:rsidR="00671D64" w:rsidRPr="00671D64" w:rsidRDefault="00671D64" w:rsidP="00671D64">
      <w:pPr>
        <w:pStyle w:val="NoSpacing"/>
        <w:ind w:left="720"/>
        <w:rPr>
          <w:rFonts w:ascii="Times New Roman" w:hAnsi="Times New Roman"/>
          <w:sz w:val="24"/>
          <w:szCs w:val="24"/>
        </w:rPr>
      </w:pPr>
      <w:r w:rsidRPr="00671D64">
        <w:rPr>
          <w:rFonts w:ascii="Times New Roman" w:hAnsi="Times New Roman"/>
          <w:sz w:val="24"/>
          <w:szCs w:val="24"/>
        </w:rPr>
        <w:t>reports of two other fire investigators that concluded that the fire classification was ‘undetermined,’ not ‘incendiary.’  Yet, in writing his search warrant affidavits, Sanchez solely mentioned the most recent fire investigation report, which concluded that the fire was incendiary. Although Sanchez certainly should have provided the magistrate judge with the full picture of the various investigations that had occurred, a status of ‘undetermined’ does not rule out arson. In other words, two reports that failed to arrive at any conclusion at all do not negate or contradict the third report that concluded the fire was likely incendiary. And, without any reports directly contradicting the report that concluded foul play caused the fire, this third report serves as essential evidence to the determination of probable cause, even considering the other two reports. Further, even if the magistrate had the two ‘undetermined’ reports, there was still likely enough evidence in the affidavit to clear the low bar of probable cause. Cf. Gerstein v. Pugh, 420 U.S. 103, 121(1975) (holding that the probable cause determination ‘does not require the fine resolution of conflicting evidence that a reasonable-doubt or even a preponderance standard demands’). Therefore, this omitted fact does not defeat the probable cause determination.”</w:t>
      </w:r>
    </w:p>
    <w:p w14:paraId="0FAAB860" w14:textId="77777777" w:rsidR="00671D64" w:rsidRPr="00671D64" w:rsidRDefault="00671D64" w:rsidP="00671D64">
      <w:pPr>
        <w:pStyle w:val="NoSpacing"/>
        <w:rPr>
          <w:rFonts w:ascii="Times New Roman" w:hAnsi="Times New Roman"/>
          <w:sz w:val="24"/>
          <w:szCs w:val="24"/>
        </w:rPr>
      </w:pPr>
    </w:p>
    <w:p w14:paraId="2C273E6A" w14:textId="77777777" w:rsidR="00671D64" w:rsidRDefault="00671D64" w:rsidP="00671D64">
      <w:pPr>
        <w:pStyle w:val="NoSpacing"/>
        <w:rPr>
          <w:rFonts w:ascii="Times New Roman" w:hAnsi="Times New Roman"/>
          <w:b/>
          <w:bCs/>
          <w:sz w:val="24"/>
          <w:szCs w:val="24"/>
        </w:rPr>
      </w:pPr>
      <w:r w:rsidRPr="00671D64">
        <w:rPr>
          <w:rFonts w:ascii="Times New Roman" w:hAnsi="Times New Roman"/>
          <w:b/>
          <w:bCs/>
          <w:sz w:val="24"/>
          <w:szCs w:val="24"/>
        </w:rPr>
        <w:t xml:space="preserve">Legal Lesson Learned: Arson investigators enjoy qualified immunity if search warrant was sufficient to show probable cause, even if some exculpatory information was not included. </w:t>
      </w:r>
    </w:p>
    <w:p w14:paraId="72819135" w14:textId="77777777" w:rsidR="008A1352" w:rsidRDefault="008A1352" w:rsidP="00671D64">
      <w:pPr>
        <w:pStyle w:val="NoSpacing"/>
        <w:rPr>
          <w:rFonts w:ascii="Times New Roman" w:hAnsi="Times New Roman"/>
          <w:b/>
          <w:bCs/>
          <w:sz w:val="24"/>
          <w:szCs w:val="24"/>
        </w:rPr>
      </w:pPr>
    </w:p>
    <w:p w14:paraId="44FCEAF4" w14:textId="77777777" w:rsidR="008A1352" w:rsidRPr="008A1352" w:rsidRDefault="008A1352" w:rsidP="008A1352">
      <w:pPr>
        <w:ind w:left="720"/>
        <w:rPr>
          <w:rFonts w:ascii="Times New Roman" w:hAnsi="Times New Roman"/>
          <w:sz w:val="24"/>
          <w:szCs w:val="24"/>
        </w:rPr>
      </w:pPr>
      <w:r w:rsidRPr="008A1352">
        <w:rPr>
          <w:rFonts w:ascii="Times New Roman" w:hAnsi="Times New Roman"/>
          <w:sz w:val="24"/>
          <w:szCs w:val="24"/>
        </w:rPr>
        <w:t xml:space="preserve">Note: </w:t>
      </w:r>
    </w:p>
    <w:p w14:paraId="35CE6BA8"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See May 30, </w:t>
      </w:r>
      <w:proofErr w:type="gramStart"/>
      <w:r w:rsidRPr="008A1352">
        <w:rPr>
          <w:rFonts w:ascii="Times New Roman" w:hAnsi="Times New Roman" w:cs="Times New Roman"/>
          <w:sz w:val="24"/>
          <w:szCs w:val="24"/>
        </w:rPr>
        <w:t>2023</w:t>
      </w:r>
      <w:proofErr w:type="gramEnd"/>
      <w:r w:rsidRPr="008A1352">
        <w:rPr>
          <w:rFonts w:ascii="Times New Roman" w:hAnsi="Times New Roman" w:cs="Times New Roman"/>
          <w:sz w:val="24"/>
          <w:szCs w:val="24"/>
        </w:rPr>
        <w:t xml:space="preserve"> article - Westland firefighters remember Brian Woehlke's 'biggest smile' a decade after his death. </w:t>
      </w:r>
      <w:hyperlink r:id="rId484" w:history="1">
        <w:r w:rsidRPr="008A1352">
          <w:rPr>
            <w:rStyle w:val="Hyperlink"/>
            <w:rFonts w:ascii="Times New Roman" w:hAnsi="Times New Roman" w:cs="Times New Roman"/>
            <w:sz w:val="24"/>
            <w:szCs w:val="24"/>
          </w:rPr>
          <w:t>https://www.hometownlife.com/story/news/2023/05/27/westland-firefighters-brian-woehlke-arson-homicide-investigation/70244259007/</w:t>
        </w:r>
      </w:hyperlink>
      <w:r w:rsidRPr="008A1352">
        <w:rPr>
          <w:rFonts w:ascii="Times New Roman" w:hAnsi="Times New Roman" w:cs="Times New Roman"/>
          <w:sz w:val="24"/>
          <w:szCs w:val="24"/>
        </w:rPr>
        <w:t xml:space="preserve">   “Michigan State Police Lt. Mike Shaw said the case is still </w:t>
      </w:r>
      <w:proofErr w:type="gramStart"/>
      <w:r w:rsidRPr="008A1352">
        <w:rPr>
          <w:rFonts w:ascii="Times New Roman" w:hAnsi="Times New Roman" w:cs="Times New Roman"/>
          <w:sz w:val="24"/>
          <w:szCs w:val="24"/>
        </w:rPr>
        <w:t>open</w:t>
      </w:r>
      <w:proofErr w:type="gramEnd"/>
      <w:r w:rsidRPr="008A1352">
        <w:rPr>
          <w:rFonts w:ascii="Times New Roman" w:hAnsi="Times New Roman" w:cs="Times New Roman"/>
          <w:sz w:val="24"/>
          <w:szCs w:val="24"/>
        </w:rPr>
        <w:t xml:space="preserve"> and the agency is still actively seeking information. A National Institute of Occupational Safety and Health </w:t>
      </w:r>
      <w:hyperlink r:id="rId485" w:history="1">
        <w:r w:rsidRPr="008A1352">
          <w:rPr>
            <w:rStyle w:val="Hyperlink"/>
            <w:rFonts w:ascii="Times New Roman" w:hAnsi="Times New Roman" w:cs="Times New Roman"/>
            <w:sz w:val="24"/>
            <w:szCs w:val="24"/>
          </w:rPr>
          <w:t>report from 2016 concluded</w:t>
        </w:r>
      </w:hyperlink>
      <w:r w:rsidRPr="008A1352">
        <w:rPr>
          <w:rFonts w:ascii="Times New Roman" w:hAnsi="Times New Roman" w:cs="Times New Roman"/>
          <w:sz w:val="24"/>
          <w:szCs w:val="24"/>
        </w:rPr>
        <w:t xml:space="preserve"> staffing issues and below-industry standard equipment could have played roles in Woehlke's death.”</w:t>
      </w:r>
    </w:p>
    <w:p w14:paraId="4B04DDC7" w14:textId="77777777" w:rsidR="008A1352" w:rsidRPr="008A1352" w:rsidRDefault="008A1352" w:rsidP="008A1352">
      <w:pPr>
        <w:ind w:left="720"/>
        <w:rPr>
          <w:rFonts w:ascii="Times New Roman" w:hAnsi="Times New Roman"/>
          <w:sz w:val="24"/>
          <w:szCs w:val="24"/>
        </w:rPr>
      </w:pPr>
    </w:p>
    <w:p w14:paraId="14BCFBA7"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April 15, </w:t>
      </w:r>
      <w:proofErr w:type="gramStart"/>
      <w:r w:rsidRPr="008A1352">
        <w:rPr>
          <w:rFonts w:ascii="Times New Roman" w:hAnsi="Times New Roman" w:cs="Times New Roman"/>
          <w:sz w:val="24"/>
          <w:szCs w:val="24"/>
        </w:rPr>
        <w:t>2016</w:t>
      </w:r>
      <w:proofErr w:type="gramEnd"/>
      <w:r w:rsidRPr="008A1352">
        <w:rPr>
          <w:rFonts w:ascii="Times New Roman" w:hAnsi="Times New Roman" w:cs="Times New Roman"/>
          <w:sz w:val="24"/>
          <w:szCs w:val="24"/>
        </w:rPr>
        <w:t xml:space="preserve"> article – “Federal agency releases report on fatal Westland fire.” </w:t>
      </w:r>
      <w:hyperlink r:id="rId486" w:history="1">
        <w:r w:rsidRPr="008A1352">
          <w:rPr>
            <w:rStyle w:val="Hyperlink"/>
            <w:rFonts w:ascii="Times New Roman" w:hAnsi="Times New Roman" w:cs="Times New Roman"/>
            <w:sz w:val="24"/>
            <w:szCs w:val="24"/>
          </w:rPr>
          <w:t>https://www.hometownlife.com/story/news/local/westland/2016/04/15/report-released-westland-firefighter-death/83087498/</w:t>
        </w:r>
      </w:hyperlink>
      <w:r w:rsidRPr="008A1352">
        <w:rPr>
          <w:rFonts w:ascii="Times New Roman" w:hAnsi="Times New Roman" w:cs="Times New Roman"/>
          <w:sz w:val="24"/>
          <w:szCs w:val="24"/>
        </w:rPr>
        <w:t xml:space="preserve">  “On Friday, the National Institute of Occupational Safety and Health, a division of the Centers for Disease Control, officially issued its 113-page report investigating the death of Brian Woehlke, who died in the line of duty May 8, 2013. The report provides a detailed account of what happened during the fatal fire, which has been ruled a case of arson and homicide. *** The hose team decided to exit the structure. As they were leaving, Woehlke became separated from the other two crew members. The incident commander saw the two members of the hose team and called over the radio for Woehlke, who responded, giving his location as being at the rear of the building.”</w:t>
      </w:r>
    </w:p>
    <w:p w14:paraId="310EFFC6" w14:textId="77777777" w:rsidR="008A1352" w:rsidRPr="008A1352" w:rsidRDefault="008A1352" w:rsidP="008A1352">
      <w:pPr>
        <w:ind w:left="720"/>
        <w:rPr>
          <w:rFonts w:ascii="Times New Roman" w:hAnsi="Times New Roman"/>
          <w:sz w:val="24"/>
          <w:szCs w:val="24"/>
        </w:rPr>
      </w:pPr>
    </w:p>
    <w:p w14:paraId="27771B0F"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Read NIOSH April 15, </w:t>
      </w:r>
      <w:proofErr w:type="gramStart"/>
      <w:r w:rsidRPr="008A1352">
        <w:rPr>
          <w:rFonts w:ascii="Times New Roman" w:hAnsi="Times New Roman" w:cs="Times New Roman"/>
          <w:sz w:val="24"/>
          <w:szCs w:val="24"/>
        </w:rPr>
        <w:t>2016</w:t>
      </w:r>
      <w:proofErr w:type="gramEnd"/>
      <w:r w:rsidRPr="008A1352">
        <w:rPr>
          <w:rFonts w:ascii="Times New Roman" w:hAnsi="Times New Roman" w:cs="Times New Roman"/>
          <w:sz w:val="24"/>
          <w:szCs w:val="24"/>
        </w:rPr>
        <w:t xml:space="preserve"> report: </w:t>
      </w:r>
      <w:hyperlink r:id="rId487" w:history="1">
        <w:r w:rsidRPr="008A1352">
          <w:rPr>
            <w:rStyle w:val="Hyperlink"/>
            <w:rFonts w:ascii="Times New Roman" w:hAnsi="Times New Roman" w:cs="Times New Roman"/>
            <w:sz w:val="24"/>
            <w:szCs w:val="24"/>
          </w:rPr>
          <w:t>https://www.scribd.com/document/312245216/Career-Probationary-Firefighter-Runs-Out-of-Air-and-Dies-in-Commercial-Structure-Fire</w:t>
        </w:r>
      </w:hyperlink>
      <w:r w:rsidRPr="008A1352">
        <w:rPr>
          <w:rFonts w:ascii="Times New Roman" w:hAnsi="Times New Roman" w:cs="Times New Roman"/>
          <w:sz w:val="24"/>
          <w:szCs w:val="24"/>
        </w:rPr>
        <w:t xml:space="preserve"> </w:t>
      </w:r>
    </w:p>
    <w:p w14:paraId="1F55D6E8" w14:textId="77777777" w:rsidR="008A1352" w:rsidRPr="008A1352" w:rsidRDefault="008A1352" w:rsidP="008A1352">
      <w:pPr>
        <w:ind w:left="720"/>
        <w:rPr>
          <w:rFonts w:ascii="Times New Roman" w:hAnsi="Times New Roman"/>
          <w:sz w:val="24"/>
          <w:szCs w:val="24"/>
        </w:rPr>
      </w:pPr>
    </w:p>
    <w:p w14:paraId="3B224E8F"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June 27, 2013: “Michigan OSHA investigation - $3,500 fine recommended.” Employee #1 was later found approximately six feet from an exit door at the rear of the building and had succumbed to smoke inhalation after running out of air. The hose had looped over itself when the team encountered a wall and moved to the right. It is unknown if this led to Employee #1 becoming disoriented and unable to follow the hose out of the structure.” </w:t>
      </w:r>
      <w:hyperlink r:id="rId488" w:history="1">
        <w:r w:rsidRPr="008A1352">
          <w:rPr>
            <w:rStyle w:val="Hyperlink"/>
            <w:rFonts w:ascii="Times New Roman" w:hAnsi="Times New Roman" w:cs="Times New Roman"/>
            <w:sz w:val="24"/>
            <w:szCs w:val="24"/>
          </w:rPr>
          <w:t>https://www.osha.gov/ords/imis/establishment.inspection_detail?id=315378885</w:t>
        </w:r>
      </w:hyperlink>
    </w:p>
    <w:p w14:paraId="4911A53D" w14:textId="77777777" w:rsidR="008A1352" w:rsidRPr="00671D64" w:rsidRDefault="008A1352" w:rsidP="00671D64">
      <w:pPr>
        <w:pStyle w:val="NoSpacing"/>
        <w:rPr>
          <w:rFonts w:ascii="Times New Roman" w:hAnsi="Times New Roman"/>
          <w:b/>
          <w:bCs/>
          <w:sz w:val="24"/>
          <w:szCs w:val="24"/>
        </w:rPr>
      </w:pPr>
    </w:p>
    <w:p w14:paraId="0EB87AA4" w14:textId="77777777" w:rsidR="00E03026" w:rsidRPr="00671D64" w:rsidRDefault="00E03026" w:rsidP="00286F24">
      <w:pPr>
        <w:rPr>
          <w:rFonts w:ascii="Times New Roman" w:hAnsi="Times New Roman"/>
          <w:sz w:val="24"/>
          <w:szCs w:val="24"/>
        </w:rPr>
      </w:pPr>
    </w:p>
    <w:p w14:paraId="5CBA3091" w14:textId="6F63A2DC" w:rsidR="005C3A2A" w:rsidRDefault="005C3A2A"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1</w:t>
      </w:r>
    </w:p>
    <w:p w14:paraId="691E0CCF" w14:textId="77777777" w:rsidR="004B7CDA" w:rsidRPr="00E179B9" w:rsidRDefault="004B7CDA" w:rsidP="004B7CDA">
      <w:pPr>
        <w:rPr>
          <w:rFonts w:ascii="Arial Black" w:hAnsi="Arial Black"/>
          <w:b/>
          <w:bCs/>
          <w:sz w:val="28"/>
        </w:rPr>
      </w:pPr>
      <w:r>
        <w:rPr>
          <w:rFonts w:ascii="Arial Black" w:hAnsi="Arial Black"/>
          <w:b/>
          <w:bCs/>
          <w:sz w:val="28"/>
        </w:rPr>
        <w:t>KY: EMPLOYEE HAND INJURED IN PRINTER – LOCKED FD, OSHA INSPECTED – COMPANY CONSENTED OSHA</w:t>
      </w:r>
    </w:p>
    <w:p w14:paraId="40DE54F7" w14:textId="77777777" w:rsidR="004B7CDA" w:rsidRPr="004B7CDA" w:rsidRDefault="004B7CDA" w:rsidP="004B7CDA">
      <w:pPr>
        <w:rPr>
          <w:rFonts w:ascii="Times New Roman" w:hAnsi="Times New Roman"/>
          <w:sz w:val="24"/>
          <w:szCs w:val="24"/>
        </w:rPr>
      </w:pPr>
      <w:r w:rsidRPr="004B7CDA">
        <w:rPr>
          <w:rFonts w:ascii="Times New Roman" w:hAnsi="Times New Roman"/>
          <w:sz w:val="24"/>
          <w:szCs w:val="24"/>
        </w:rPr>
        <w:t xml:space="preserve">On August 23, 2024, in </w:t>
      </w:r>
      <w:r w:rsidRPr="004B7CDA">
        <w:rPr>
          <w:rFonts w:ascii="Times New Roman" w:hAnsi="Times New Roman"/>
          <w:sz w:val="24"/>
          <w:szCs w:val="24"/>
          <w:u w:val="single"/>
        </w:rPr>
        <w:t xml:space="preserve">Harland Clarke Corp. v. Kentucky Safety </w:t>
      </w:r>
      <w:proofErr w:type="gramStart"/>
      <w:r w:rsidRPr="004B7CDA">
        <w:rPr>
          <w:rFonts w:ascii="Times New Roman" w:hAnsi="Times New Roman"/>
          <w:sz w:val="24"/>
          <w:szCs w:val="24"/>
          <w:u w:val="single"/>
        </w:rPr>
        <w:t>And</w:t>
      </w:r>
      <w:proofErr w:type="gramEnd"/>
      <w:r w:rsidRPr="004B7CDA">
        <w:rPr>
          <w:rFonts w:ascii="Times New Roman" w:hAnsi="Times New Roman"/>
          <w:sz w:val="24"/>
          <w:szCs w:val="24"/>
          <w:u w:val="single"/>
        </w:rPr>
        <w:t xml:space="preserve"> Health Commission</w:t>
      </w:r>
      <w:r w:rsidRPr="004B7CDA">
        <w:rPr>
          <w:rFonts w:ascii="Times New Roman" w:hAnsi="Times New Roman"/>
          <w:sz w:val="24"/>
          <w:szCs w:val="24"/>
        </w:rPr>
        <w:t xml:space="preserve">, the Kentucky Court of Appeals held (3 to 0; unpublished decision) that the company consented to the Kentucky OSHA [KOSH] inspection of the printer, and the FD policy of locking machinery causing an injury until KOSH inspection did not invalidate the consent. The Court wrote: “In this case, the evidence of record, including Harland’s own witnesses, supported the hearing officer’s finding that valid consent for the inspection was given. A Harland employee contacted the Cabinet to come to its facility. Moreover, Harland gave the KOSH officers access to the facility two separate times.” </w:t>
      </w:r>
      <w:hyperlink r:id="rId489" w:history="1">
        <w:r w:rsidRPr="004B7CDA">
          <w:rPr>
            <w:rStyle w:val="Hyperlink"/>
            <w:rFonts w:ascii="Times New Roman" w:hAnsi="Times New Roman"/>
            <w:sz w:val="24"/>
            <w:szCs w:val="24"/>
          </w:rPr>
          <w:t>https://cases.justia.com/kentucky/court-of-appeals/2024-2023-ca-0968-mr.pdf?ts=1724421865</w:t>
        </w:r>
      </w:hyperlink>
      <w:r w:rsidRPr="004B7CDA">
        <w:rPr>
          <w:rFonts w:ascii="Times New Roman" w:hAnsi="Times New Roman"/>
          <w:sz w:val="24"/>
          <w:szCs w:val="24"/>
        </w:rPr>
        <w:t xml:space="preserve"> </w:t>
      </w:r>
    </w:p>
    <w:p w14:paraId="2C6E538F" w14:textId="77777777" w:rsidR="004B7CDA" w:rsidRPr="004B7CDA" w:rsidRDefault="004B7CDA" w:rsidP="004B7CDA">
      <w:pPr>
        <w:rPr>
          <w:rFonts w:ascii="Times New Roman" w:hAnsi="Times New Roman"/>
          <w:sz w:val="24"/>
          <w:szCs w:val="24"/>
        </w:rPr>
      </w:pPr>
      <w:r w:rsidRPr="004B7CDA">
        <w:rPr>
          <w:rFonts w:ascii="Times New Roman" w:hAnsi="Times New Roman"/>
          <w:sz w:val="24"/>
          <w:szCs w:val="24"/>
        </w:rPr>
        <w:t xml:space="preserve">THE COURT HELD: </w:t>
      </w:r>
    </w:p>
    <w:p w14:paraId="1F8867E6" w14:textId="77777777" w:rsidR="004B7CDA" w:rsidRPr="004B7CDA" w:rsidRDefault="004B7CDA" w:rsidP="004B7CDA">
      <w:pPr>
        <w:ind w:left="720"/>
        <w:rPr>
          <w:rFonts w:ascii="Times New Roman" w:hAnsi="Times New Roman"/>
          <w:sz w:val="24"/>
          <w:szCs w:val="24"/>
        </w:rPr>
      </w:pPr>
      <w:r w:rsidRPr="004B7CDA">
        <w:rPr>
          <w:rFonts w:ascii="Times New Roman" w:hAnsi="Times New Roman"/>
          <w:sz w:val="24"/>
          <w:szCs w:val="24"/>
        </w:rPr>
        <w:t>“On appeal, Harland’s sole argument is that its consent to the KOSH inspection and on-premises investigation was not freely and voluntarily given. Rather, they allege it was coerced by the Fire Department’s actions in locking the printer so that it could not be used until Harland consented to KOSH’s inspection and investigation.  However, we agree with the circuit court, who stated the following:</w:t>
      </w:r>
    </w:p>
    <w:p w14:paraId="4F0698F4" w14:textId="77777777" w:rsidR="004B7CDA" w:rsidRPr="004B7CDA" w:rsidRDefault="004B7CDA" w:rsidP="004B7CDA">
      <w:pPr>
        <w:pStyle w:val="NoSpacing"/>
        <w:ind w:left="1440"/>
        <w:jc w:val="both"/>
        <w:rPr>
          <w:rFonts w:ascii="Times New Roman" w:hAnsi="Times New Roman"/>
          <w:sz w:val="24"/>
          <w:szCs w:val="24"/>
        </w:rPr>
      </w:pPr>
      <w:r w:rsidRPr="004B7CDA">
        <w:rPr>
          <w:rFonts w:ascii="Times New Roman" w:hAnsi="Times New Roman"/>
          <w:sz w:val="24"/>
          <w:szCs w:val="24"/>
        </w:rPr>
        <w:t xml:space="preserve">[Harland] spends </w:t>
      </w:r>
      <w:proofErr w:type="gramStart"/>
      <w:r w:rsidRPr="004B7CDA">
        <w:rPr>
          <w:rFonts w:ascii="Times New Roman" w:hAnsi="Times New Roman"/>
          <w:sz w:val="24"/>
          <w:szCs w:val="24"/>
        </w:rPr>
        <w:t>the majority of</w:t>
      </w:r>
      <w:proofErr w:type="gramEnd"/>
      <w:r w:rsidRPr="004B7CDA">
        <w:rPr>
          <w:rFonts w:ascii="Times New Roman" w:hAnsi="Times New Roman"/>
          <w:sz w:val="24"/>
          <w:szCs w:val="24"/>
        </w:rPr>
        <w:t xml:space="preserve"> its brief asserting that the Fire Department violated its constitutional rights, however, the Fire Department is not under the jurisdiction of the Cabinet and is not a party to this action. Although the Fire Department said it was their policy that the injury causing machine </w:t>
      </w:r>
      <w:proofErr w:type="gramStart"/>
      <w:r w:rsidRPr="004B7CDA">
        <w:rPr>
          <w:rFonts w:ascii="Times New Roman" w:hAnsi="Times New Roman"/>
          <w:sz w:val="24"/>
          <w:szCs w:val="24"/>
        </w:rPr>
        <w:t>be</w:t>
      </w:r>
      <w:proofErr w:type="gramEnd"/>
      <w:r w:rsidRPr="004B7CDA">
        <w:rPr>
          <w:rFonts w:ascii="Times New Roman" w:hAnsi="Times New Roman"/>
          <w:sz w:val="24"/>
          <w:szCs w:val="24"/>
        </w:rPr>
        <w:t xml:space="preserve"> locked up until KOSH] </w:t>
      </w:r>
      <w:proofErr w:type="gramStart"/>
      <w:r w:rsidRPr="004B7CDA">
        <w:rPr>
          <w:rFonts w:ascii="Times New Roman" w:hAnsi="Times New Roman"/>
          <w:sz w:val="24"/>
          <w:szCs w:val="24"/>
        </w:rPr>
        <w:t>conducted an investigation</w:t>
      </w:r>
      <w:proofErr w:type="gramEnd"/>
      <w:r w:rsidRPr="004B7CDA">
        <w:rPr>
          <w:rFonts w:ascii="Times New Roman" w:hAnsi="Times New Roman"/>
          <w:sz w:val="24"/>
          <w:szCs w:val="24"/>
        </w:rPr>
        <w:t>, that policy does not belong to the Cabinet who has the statutory authority to inspect and prosecute occupational violations. At the administrative hearing, the Director of [K]OSH Compliance testified that the Cabinet does not have any policy that would require the Fire Department to lock up a potentially unsafe machine. The Court understands [Harland’s] frustration with the Fire Department’s actions, however, any disagreement with the placement of a lock on the printer is between [Harland] and the Fire Department, a nonparty to this action with zero authority to inspect and prosecute occupational violations.</w:t>
      </w:r>
    </w:p>
    <w:p w14:paraId="4B269D89" w14:textId="77777777" w:rsidR="004B7CDA" w:rsidRPr="004B7CDA" w:rsidRDefault="004B7CDA" w:rsidP="004B7CDA">
      <w:pPr>
        <w:pStyle w:val="NoSpacing"/>
        <w:rPr>
          <w:rFonts w:ascii="Times New Roman" w:hAnsi="Times New Roman"/>
          <w:sz w:val="24"/>
          <w:szCs w:val="24"/>
        </w:rPr>
      </w:pPr>
    </w:p>
    <w:p w14:paraId="0FBCA1AB" w14:textId="6DCE0100" w:rsidR="004B7CDA" w:rsidRDefault="004B7CDA" w:rsidP="004B7CDA">
      <w:pPr>
        <w:pStyle w:val="NoSpacing"/>
        <w:ind w:left="720"/>
        <w:rPr>
          <w:rFonts w:ascii="Times New Roman" w:hAnsi="Times New Roman"/>
          <w:sz w:val="24"/>
          <w:szCs w:val="24"/>
        </w:rPr>
      </w:pPr>
      <w:r w:rsidRPr="004B7CDA">
        <w:rPr>
          <w:rFonts w:ascii="Times New Roman" w:hAnsi="Times New Roman"/>
          <w:sz w:val="24"/>
          <w:szCs w:val="24"/>
        </w:rPr>
        <w:t xml:space="preserve">In this case, the evidence of record, including Harland’s own witnesses, supported the hearing officer’s finding that valid consent for the inspection was given. A Harland employee contacted the Cabinet to come to its facility. Moreover, Harland gave the KOSH officers access to the facility two separate times. Harland – through Birkenfeld – gave the compliance officers verbal consent to conduct an inspection and never made an objection. Finally, another Harland employee, </w:t>
      </w:r>
      <w:proofErr w:type="spellStart"/>
      <w:r w:rsidRPr="004B7CDA">
        <w:rPr>
          <w:rFonts w:ascii="Times New Roman" w:hAnsi="Times New Roman"/>
          <w:sz w:val="24"/>
          <w:szCs w:val="24"/>
        </w:rPr>
        <w:t>Chetson</w:t>
      </w:r>
      <w:proofErr w:type="spellEnd"/>
      <w:r w:rsidRPr="004B7CDA">
        <w:rPr>
          <w:rFonts w:ascii="Times New Roman" w:hAnsi="Times New Roman"/>
          <w:sz w:val="24"/>
          <w:szCs w:val="24"/>
        </w:rPr>
        <w:t xml:space="preserve"> Hammonds, participated in the inspection and never made an </w:t>
      </w:r>
      <w:proofErr w:type="gramStart"/>
      <w:r w:rsidRPr="004B7CDA">
        <w:rPr>
          <w:rFonts w:ascii="Times New Roman" w:hAnsi="Times New Roman"/>
          <w:sz w:val="24"/>
          <w:szCs w:val="24"/>
        </w:rPr>
        <w:t>objection.”</w:t>
      </w:r>
      <w:proofErr w:type="gramEnd"/>
      <w:r>
        <w:rPr>
          <w:rFonts w:ascii="Times New Roman" w:hAnsi="Times New Roman"/>
          <w:sz w:val="24"/>
          <w:szCs w:val="24"/>
        </w:rPr>
        <w:t xml:space="preserve"> </w:t>
      </w:r>
    </w:p>
    <w:p w14:paraId="4390531B" w14:textId="77777777" w:rsidR="00E03026" w:rsidRPr="004B7CDA" w:rsidRDefault="00E03026" w:rsidP="004B7CDA">
      <w:pPr>
        <w:pStyle w:val="NoSpacing"/>
        <w:ind w:left="720"/>
        <w:rPr>
          <w:rFonts w:ascii="Times New Roman" w:hAnsi="Times New Roman"/>
          <w:sz w:val="24"/>
          <w:szCs w:val="24"/>
        </w:rPr>
      </w:pPr>
    </w:p>
    <w:p w14:paraId="5DDB40F6" w14:textId="07521E73" w:rsidR="004B7CDA" w:rsidRPr="004B7CDA" w:rsidRDefault="004B7CDA" w:rsidP="004B7CDA">
      <w:pPr>
        <w:pStyle w:val="NoSpacing"/>
        <w:rPr>
          <w:rFonts w:ascii="Times New Roman" w:hAnsi="Times New Roman"/>
          <w:b/>
          <w:bCs/>
          <w:sz w:val="24"/>
          <w:szCs w:val="24"/>
        </w:rPr>
      </w:pPr>
      <w:r>
        <w:rPr>
          <w:rFonts w:ascii="Times New Roman" w:hAnsi="Times New Roman"/>
          <w:b/>
          <w:bCs/>
          <w:sz w:val="24"/>
          <w:szCs w:val="24"/>
        </w:rPr>
        <w:t>L</w:t>
      </w:r>
      <w:r w:rsidRPr="004B7CDA">
        <w:rPr>
          <w:rFonts w:ascii="Times New Roman" w:hAnsi="Times New Roman"/>
          <w:b/>
          <w:bCs/>
          <w:sz w:val="24"/>
          <w:szCs w:val="24"/>
        </w:rPr>
        <w:t xml:space="preserve">egal Lesson Learned: Consent was given for the Kentucky OSHA inspection; interesting FD policy of locking machines causing injury until inspected by KY OSHA. </w:t>
      </w:r>
    </w:p>
    <w:p w14:paraId="30220144" w14:textId="77777777" w:rsidR="005C3A2A" w:rsidRDefault="005C3A2A" w:rsidP="00286F24">
      <w:pPr>
        <w:rPr>
          <w:rFonts w:ascii="Arial Black" w:hAnsi="Arial Black"/>
          <w:sz w:val="24"/>
          <w:szCs w:val="24"/>
        </w:rPr>
      </w:pPr>
    </w:p>
    <w:p w14:paraId="25BE5B39" w14:textId="14B4F0E8" w:rsidR="00277A51" w:rsidRDefault="00277A51"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0</w:t>
      </w:r>
    </w:p>
    <w:p w14:paraId="0651D9DA" w14:textId="22CE4D49" w:rsidR="00277A51" w:rsidRDefault="00277A51" w:rsidP="00277A51">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IN: CAPTAIN FELL DOWN STAIRWELL BDG FIRE – GAP IN WALL - “FIREMAN’S RULE” EXCEPTION IF </w:t>
      </w:r>
      <w:r w:rsidR="009B2200">
        <w:rPr>
          <w:rFonts w:ascii="Arial Black" w:hAnsi="Arial Black"/>
          <w:b/>
          <w:bCs/>
          <w:color w:val="454545"/>
          <w:sz w:val="28"/>
          <w:szCs w:val="28"/>
          <w:shd w:val="clear" w:color="auto" w:fill="FFFFFF"/>
        </w:rPr>
        <w:t xml:space="preserve">BREACH OF </w:t>
      </w:r>
      <w:r>
        <w:rPr>
          <w:rFonts w:ascii="Arial Black" w:hAnsi="Arial Black"/>
          <w:b/>
          <w:bCs/>
          <w:color w:val="454545"/>
          <w:sz w:val="28"/>
          <w:szCs w:val="28"/>
          <w:shd w:val="clear" w:color="auto" w:fill="FFFFFF"/>
        </w:rPr>
        <w:t>“DUTY TO WARN”</w:t>
      </w:r>
    </w:p>
    <w:p w14:paraId="0D1F3A58" w14:textId="78C1D4A7" w:rsidR="00277A51" w:rsidRPr="00114561" w:rsidRDefault="00277A51" w:rsidP="00277A51">
      <w:pPr>
        <w:pStyle w:val="NormalWeb"/>
        <w:rPr>
          <w:shd w:val="clear" w:color="auto" w:fill="FFFFFF"/>
        </w:rPr>
      </w:pPr>
      <w:r w:rsidRPr="00114561">
        <w:rPr>
          <w:color w:val="454545"/>
          <w:shd w:val="clear" w:color="auto" w:fill="FFFFFF"/>
        </w:rPr>
        <w:t xml:space="preserve">On July 2, 2024, in </w:t>
      </w:r>
      <w:r w:rsidRPr="00114561">
        <w:rPr>
          <w:color w:val="454545"/>
          <w:u w:val="single"/>
          <w:shd w:val="clear" w:color="auto" w:fill="FFFFFF"/>
        </w:rPr>
        <w:t xml:space="preserve">Richard Dolsen, Jr. v. </w:t>
      </w:r>
      <w:proofErr w:type="spellStart"/>
      <w:r w:rsidRPr="00114561">
        <w:rPr>
          <w:color w:val="454545"/>
          <w:u w:val="single"/>
          <w:shd w:val="clear" w:color="auto" w:fill="FFFFFF"/>
        </w:rPr>
        <w:t>VeoRide</w:t>
      </w:r>
      <w:proofErr w:type="spellEnd"/>
      <w:r w:rsidRPr="00114561">
        <w:rPr>
          <w:color w:val="454545"/>
          <w:u w:val="single"/>
          <w:shd w:val="clear" w:color="auto" w:fill="FFFFFF"/>
        </w:rPr>
        <w:t>. Inc. and Sweet Real Estate – City Center, LLC</w:t>
      </w:r>
      <w:r w:rsidRPr="00114561">
        <w:rPr>
          <w:color w:val="454545"/>
          <w:shd w:val="clear" w:color="auto" w:fill="FFFFFF"/>
        </w:rPr>
        <w:t xml:space="preserve">, the Supreme Court of Indiana held (3 to 0) that trial court should not have dismissed the </w:t>
      </w:r>
      <w:proofErr w:type="gramStart"/>
      <w:r w:rsidR="009B2200">
        <w:rPr>
          <w:color w:val="454545"/>
          <w:shd w:val="clear" w:color="auto" w:fill="FFFFFF"/>
        </w:rPr>
        <w:t>C</w:t>
      </w:r>
      <w:r w:rsidR="009B2200" w:rsidRPr="00114561">
        <w:rPr>
          <w:color w:val="454545"/>
          <w:shd w:val="clear" w:color="auto" w:fill="FFFFFF"/>
        </w:rPr>
        <w:t>aptain’s</w:t>
      </w:r>
      <w:proofErr w:type="gramEnd"/>
      <w:r w:rsidRPr="00114561">
        <w:rPr>
          <w:color w:val="454545"/>
          <w:shd w:val="clear" w:color="auto" w:fill="FFFFFF"/>
        </w:rPr>
        <w:t xml:space="preserve"> lawsuit, and case remanded for pre-trial discovery and trial.  He was injured in </w:t>
      </w:r>
      <w:r w:rsidR="009B2200" w:rsidRPr="00114561">
        <w:rPr>
          <w:color w:val="454545"/>
          <w:shd w:val="clear" w:color="auto" w:fill="FFFFFF"/>
        </w:rPr>
        <w:t>a warehouse</w:t>
      </w:r>
      <w:r w:rsidRPr="00114561">
        <w:rPr>
          <w:color w:val="454545"/>
          <w:shd w:val="clear" w:color="auto" w:fill="FFFFFF"/>
        </w:rPr>
        <w:t xml:space="preserve"> fire; the company rents electric scooters and electric bicycles that are powered by lithium batteries, and one of the batteries caught fire.  As the Captain </w:t>
      </w:r>
      <w:r w:rsidR="009B2200" w:rsidRPr="00114561">
        <w:rPr>
          <w:color w:val="454545"/>
          <w:shd w:val="clear" w:color="auto" w:fill="FFFFFF"/>
        </w:rPr>
        <w:t>conducted</w:t>
      </w:r>
      <w:r w:rsidRPr="00114561">
        <w:rPr>
          <w:color w:val="454545"/>
          <w:shd w:val="clear" w:color="auto" w:fill="FFFFFF"/>
        </w:rPr>
        <w:t xml:space="preserve"> </w:t>
      </w:r>
      <w:r w:rsidR="009B2200">
        <w:rPr>
          <w:color w:val="454545"/>
          <w:shd w:val="clear" w:color="auto" w:fill="FFFFFF"/>
        </w:rPr>
        <w:t xml:space="preserve">his </w:t>
      </w:r>
      <w:r w:rsidRPr="00114561">
        <w:rPr>
          <w:color w:val="454545"/>
          <w:shd w:val="clear" w:color="auto" w:fill="FFFFFF"/>
        </w:rPr>
        <w:t>primary search along a wall, it “</w:t>
      </w:r>
      <w:r w:rsidRPr="00114561">
        <w:rPr>
          <w:shd w:val="clear" w:color="auto" w:fill="FFFFFF"/>
        </w:rPr>
        <w:t xml:space="preserve">was composed of bare wooden studs, with a gap left by a missing stud. Dolsen ‘could not see the opening in the wall due to the lack of light and the presence of smoke.’ Id. Dolsen ‘fell to the bottom of the stairwell’ and was injured.” </w:t>
      </w:r>
      <w:hyperlink r:id="rId490" w:history="1">
        <w:r w:rsidRPr="00114561">
          <w:rPr>
            <w:rStyle w:val="Hyperlink"/>
            <w:shd w:val="clear" w:color="auto" w:fill="FFFFFF"/>
          </w:rPr>
          <w:t>https://cases.justia.com/indiana/court-of-appeals/2023-23a-ct-00945.pdf?ts=1698084643</w:t>
        </w:r>
      </w:hyperlink>
      <w:r w:rsidRPr="00114561">
        <w:rPr>
          <w:shd w:val="clear" w:color="auto" w:fill="FFFFFF"/>
        </w:rPr>
        <w:t xml:space="preserve"> </w:t>
      </w:r>
    </w:p>
    <w:p w14:paraId="020DF3A6" w14:textId="77777777" w:rsidR="00277A51" w:rsidRPr="00BC6AAE" w:rsidRDefault="00277A51" w:rsidP="00277A51">
      <w:pPr>
        <w:pStyle w:val="NoSpacing"/>
        <w:rPr>
          <w:rFonts w:ascii="Times New Roman" w:hAnsi="Times New Roman"/>
          <w:sz w:val="24"/>
          <w:szCs w:val="24"/>
          <w:shd w:val="clear" w:color="auto" w:fill="FFFFFF"/>
        </w:rPr>
      </w:pPr>
      <w:r w:rsidRPr="00BC6AAE">
        <w:rPr>
          <w:rFonts w:ascii="Times New Roman" w:hAnsi="Times New Roman"/>
          <w:sz w:val="24"/>
          <w:szCs w:val="24"/>
          <w:shd w:val="clear" w:color="auto" w:fill="FFFFFF"/>
        </w:rPr>
        <w:t xml:space="preserve">THE COURT HELD: </w:t>
      </w:r>
    </w:p>
    <w:p w14:paraId="6C48EB30" w14:textId="77777777" w:rsidR="00277A51" w:rsidRPr="00BC6AAE" w:rsidRDefault="00277A51" w:rsidP="00277A51">
      <w:pPr>
        <w:pStyle w:val="NoSpacing"/>
        <w:rPr>
          <w:rFonts w:ascii="Times New Roman" w:hAnsi="Times New Roman"/>
          <w:sz w:val="24"/>
          <w:szCs w:val="24"/>
          <w:shd w:val="clear" w:color="auto" w:fill="FFFFFF"/>
        </w:rPr>
      </w:pPr>
    </w:p>
    <w:p w14:paraId="44738002" w14:textId="77777777" w:rsidR="00277A51" w:rsidRDefault="00277A51" w:rsidP="00277A51">
      <w:pPr>
        <w:pStyle w:val="NoSpacing"/>
        <w:ind w:left="720"/>
        <w:rPr>
          <w:rFonts w:ascii="Times New Roman" w:hAnsi="Times New Roman"/>
          <w:sz w:val="24"/>
          <w:szCs w:val="24"/>
          <w:shd w:val="clear" w:color="auto" w:fill="FFFFFF"/>
        </w:rPr>
      </w:pPr>
      <w:r w:rsidRPr="00BC6AAE">
        <w:rPr>
          <w:rFonts w:ascii="Times New Roman" w:hAnsi="Times New Roman"/>
          <w:sz w:val="24"/>
          <w:szCs w:val="24"/>
          <w:shd w:val="clear" w:color="auto" w:fill="FFFFFF"/>
        </w:rPr>
        <w:t>“</w:t>
      </w:r>
      <w:r w:rsidRPr="00195E1E">
        <w:rPr>
          <w:rFonts w:ascii="Times New Roman" w:hAnsi="Times New Roman"/>
          <w:sz w:val="24"/>
          <w:szCs w:val="24"/>
          <w:shd w:val="clear" w:color="auto" w:fill="FFFFFF"/>
        </w:rPr>
        <w:t>Fort Wayne Fire Department Captain Richard Dolsen, Jr., was injured while</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 xml:space="preserve">responding to a fire in a building leased by </w:t>
      </w:r>
      <w:proofErr w:type="spellStart"/>
      <w:r w:rsidRPr="00195E1E">
        <w:rPr>
          <w:rFonts w:ascii="Times New Roman" w:hAnsi="Times New Roman"/>
          <w:sz w:val="24"/>
          <w:szCs w:val="24"/>
          <w:shd w:val="clear" w:color="auto" w:fill="FFFFFF"/>
        </w:rPr>
        <w:t>VeoRide</w:t>
      </w:r>
      <w:proofErr w:type="spellEnd"/>
      <w:r w:rsidRPr="00195E1E">
        <w:rPr>
          <w:rFonts w:ascii="Times New Roman" w:hAnsi="Times New Roman"/>
          <w:sz w:val="24"/>
          <w:szCs w:val="24"/>
          <w:shd w:val="clear" w:color="auto" w:fill="FFFFFF"/>
        </w:rPr>
        <w:t xml:space="preserve">, Inc. Dolsen sued </w:t>
      </w:r>
      <w:proofErr w:type="spellStart"/>
      <w:r w:rsidRPr="00195E1E">
        <w:rPr>
          <w:rFonts w:ascii="Times New Roman" w:hAnsi="Times New Roman"/>
          <w:sz w:val="24"/>
          <w:szCs w:val="24"/>
          <w:shd w:val="clear" w:color="auto" w:fill="FFFFFF"/>
        </w:rPr>
        <w:t>VeoRide</w:t>
      </w:r>
      <w:proofErr w:type="spellEnd"/>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 xml:space="preserve">for negligence. </w:t>
      </w:r>
      <w:proofErr w:type="spellStart"/>
      <w:r w:rsidRPr="00195E1E">
        <w:rPr>
          <w:rFonts w:ascii="Times New Roman" w:hAnsi="Times New Roman"/>
          <w:sz w:val="24"/>
          <w:szCs w:val="24"/>
          <w:shd w:val="clear" w:color="auto" w:fill="FFFFFF"/>
        </w:rPr>
        <w:t>VeoRide</w:t>
      </w:r>
      <w:proofErr w:type="spellEnd"/>
      <w:r w:rsidRPr="00195E1E">
        <w:rPr>
          <w:rFonts w:ascii="Times New Roman" w:hAnsi="Times New Roman"/>
          <w:sz w:val="24"/>
          <w:szCs w:val="24"/>
          <w:shd w:val="clear" w:color="auto" w:fill="FFFFFF"/>
        </w:rPr>
        <w:t xml:space="preserve"> moved for summary judgment on the basis that</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Dolsen’s claims were barred by Indiana’s firefighter’s rule,1 and the trial court</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granted that motion. On appeal, Dolsen argues that the trial court erred. We</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agree, so we reverse and remand for further proceedings.</w:t>
      </w:r>
    </w:p>
    <w:p w14:paraId="1E02A8F7" w14:textId="77777777" w:rsidR="00277A51" w:rsidRDefault="00277A51" w:rsidP="00277A51">
      <w:pPr>
        <w:pStyle w:val="NoSpacing"/>
        <w:ind w:left="720"/>
        <w:rPr>
          <w:rFonts w:ascii="Times New Roman" w:hAnsi="Times New Roman"/>
          <w:sz w:val="24"/>
          <w:szCs w:val="24"/>
          <w:shd w:val="clear" w:color="auto" w:fill="FFFFFF"/>
        </w:rPr>
      </w:pPr>
    </w:p>
    <w:p w14:paraId="6718D635" w14:textId="77777777" w:rsidR="00277A51" w:rsidRDefault="00277A51" w:rsidP="00277A51">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3EDE9E39" w14:textId="77777777" w:rsidR="00277A51" w:rsidRDefault="00277A51" w:rsidP="00277A51">
      <w:pPr>
        <w:pStyle w:val="NoSpacing"/>
        <w:ind w:left="720"/>
        <w:rPr>
          <w:rFonts w:ascii="Times New Roman" w:hAnsi="Times New Roman"/>
          <w:sz w:val="24"/>
          <w:szCs w:val="24"/>
          <w:shd w:val="clear" w:color="auto" w:fill="FFFFFF"/>
        </w:rPr>
      </w:pPr>
    </w:p>
    <w:p w14:paraId="7D68CAEB" w14:textId="77777777" w:rsidR="00277A51" w:rsidRPr="00BC6AAE" w:rsidRDefault="00277A51" w:rsidP="00277A51">
      <w:pPr>
        <w:pStyle w:val="NoSpacing"/>
        <w:ind w:left="720"/>
        <w:rPr>
          <w:rFonts w:ascii="Times New Roman" w:hAnsi="Times New Roman"/>
          <w:sz w:val="24"/>
          <w:szCs w:val="24"/>
          <w:shd w:val="clear" w:color="auto" w:fill="FFFFFF"/>
        </w:rPr>
      </w:pPr>
      <w:r w:rsidRPr="00BC6AAE">
        <w:rPr>
          <w:rFonts w:ascii="Times New Roman" w:hAnsi="Times New Roman"/>
          <w:sz w:val="24"/>
          <w:szCs w:val="24"/>
          <w:shd w:val="clear" w:color="auto" w:fill="FFFFFF"/>
        </w:rPr>
        <w:t xml:space="preserve">Based on the foregoing, we conclude that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owed Dolsen a duty to warn him of the gap in the wall next to the stairwell depends upon underlying facts that require resolution by the trier of fact, including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should have realized that the condition involved an unreasonable risk of causing physical harm to Dolsen (who did not know or have reason to know of the condition and the risk involved),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should have expected that Dolsen would not discover or realize the danger, and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had reason to expect that Dolsen would encounter the condition in the exercise of his license.</w:t>
      </w:r>
      <w:r w:rsidRPr="00BC6AAE">
        <w:rPr>
          <w:rFonts w:ascii="Times New Roman" w:hAnsi="Times New Roman"/>
          <w:sz w:val="24"/>
          <w:szCs w:val="24"/>
        </w:rPr>
        <w:t xml:space="preserve"> </w:t>
      </w:r>
      <w:r w:rsidRPr="00BC6AAE">
        <w:rPr>
          <w:rFonts w:ascii="Times New Roman" w:hAnsi="Times New Roman"/>
          <w:sz w:val="24"/>
          <w:szCs w:val="24"/>
          <w:shd w:val="clear" w:color="auto" w:fill="FFFFFF"/>
        </w:rPr>
        <w:t xml:space="preserve">Assuming arguendo that such a duty existed, we further conclude that genuine issues of material fact exist regarding whether </w:t>
      </w:r>
      <w:proofErr w:type="spellStart"/>
      <w:r w:rsidRPr="00BC6AAE">
        <w:rPr>
          <w:rFonts w:ascii="Times New Roman" w:hAnsi="Times New Roman"/>
          <w:sz w:val="24"/>
          <w:szCs w:val="24"/>
          <w:shd w:val="clear" w:color="auto" w:fill="FFFFFF"/>
        </w:rPr>
        <w:t>VeoRide’s</w:t>
      </w:r>
      <w:proofErr w:type="spellEnd"/>
      <w:r w:rsidRPr="00BC6AAE">
        <w:rPr>
          <w:rFonts w:ascii="Times New Roman" w:hAnsi="Times New Roman"/>
          <w:sz w:val="24"/>
          <w:szCs w:val="24"/>
          <w:shd w:val="clear" w:color="auto" w:fill="FFFFFF"/>
        </w:rPr>
        <w:t xml:space="preserve"> failure to warn Dolsen of the condition and the risk involved was a breach of that duty, that is, a failure to exercise reasonable care under the circumstances pursuant to Restatement Section 342(b); among the factors to be considered are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had a reasonable opportunity to alert fire department personnel. Additional issues of material fact exist regarding whether any breach of a duty to warn proximately caused Dolsen’s injuries and the extent to which Dolsen might have contributed to his injuries for purposes of the Comparative Fault Act. Consequently, we reverse the trial court’s entry of summary judgment in</w:t>
      </w:r>
    </w:p>
    <w:p w14:paraId="383D8DE3" w14:textId="77777777" w:rsidR="00277A51" w:rsidRDefault="00277A51" w:rsidP="00277A51">
      <w:pPr>
        <w:pStyle w:val="NoSpacing"/>
        <w:ind w:firstLine="720"/>
        <w:rPr>
          <w:rFonts w:ascii="Times New Roman" w:hAnsi="Times New Roman"/>
          <w:sz w:val="24"/>
          <w:szCs w:val="24"/>
          <w:shd w:val="clear" w:color="auto" w:fill="FFFFFF"/>
        </w:rPr>
      </w:pPr>
      <w:proofErr w:type="spellStart"/>
      <w:r w:rsidRPr="00BC6AAE">
        <w:rPr>
          <w:rFonts w:ascii="Times New Roman" w:hAnsi="Times New Roman"/>
          <w:sz w:val="24"/>
          <w:szCs w:val="24"/>
          <w:shd w:val="clear" w:color="auto" w:fill="FFFFFF"/>
        </w:rPr>
        <w:t>VeoRide’s</w:t>
      </w:r>
      <w:proofErr w:type="spellEnd"/>
      <w:r w:rsidRPr="00BC6AAE">
        <w:rPr>
          <w:rFonts w:ascii="Times New Roman" w:hAnsi="Times New Roman"/>
          <w:sz w:val="24"/>
          <w:szCs w:val="24"/>
          <w:shd w:val="clear" w:color="auto" w:fill="FFFFFF"/>
        </w:rPr>
        <w:t xml:space="preserve"> favor and </w:t>
      </w:r>
      <w:proofErr w:type="gramStart"/>
      <w:r w:rsidRPr="00BC6AAE">
        <w:rPr>
          <w:rFonts w:ascii="Times New Roman" w:hAnsi="Times New Roman"/>
          <w:sz w:val="24"/>
          <w:szCs w:val="24"/>
          <w:shd w:val="clear" w:color="auto" w:fill="FFFFFF"/>
        </w:rPr>
        <w:t>remand</w:t>
      </w:r>
      <w:proofErr w:type="gramEnd"/>
      <w:r w:rsidRPr="00BC6AAE">
        <w:rPr>
          <w:rFonts w:ascii="Times New Roman" w:hAnsi="Times New Roman"/>
          <w:sz w:val="24"/>
          <w:szCs w:val="24"/>
          <w:shd w:val="clear" w:color="auto" w:fill="FFFFFF"/>
        </w:rPr>
        <w:t xml:space="preserve"> for further </w:t>
      </w:r>
      <w:proofErr w:type="gramStart"/>
      <w:r w:rsidRPr="00BC6AAE">
        <w:rPr>
          <w:rFonts w:ascii="Times New Roman" w:hAnsi="Times New Roman"/>
          <w:sz w:val="24"/>
          <w:szCs w:val="24"/>
          <w:shd w:val="clear" w:color="auto" w:fill="FFFFFF"/>
        </w:rPr>
        <w:t>proceedings.”</w:t>
      </w:r>
      <w:proofErr w:type="gramEnd"/>
    </w:p>
    <w:p w14:paraId="143D14C1" w14:textId="77777777" w:rsidR="00277A51" w:rsidRDefault="00277A51" w:rsidP="00286F24">
      <w:pPr>
        <w:rPr>
          <w:rFonts w:ascii="Arial Black" w:hAnsi="Arial Black"/>
          <w:sz w:val="24"/>
          <w:szCs w:val="24"/>
        </w:rPr>
      </w:pPr>
    </w:p>
    <w:p w14:paraId="6F533D41" w14:textId="3A77974A" w:rsidR="00325688" w:rsidRPr="008757E3" w:rsidRDefault="00325688" w:rsidP="00325688">
      <w:pPr>
        <w:pStyle w:val="NoSpacing"/>
        <w:rPr>
          <w:rFonts w:ascii="Times New Roman" w:hAnsi="Times New Roman"/>
          <w:b/>
          <w:bCs/>
          <w:sz w:val="24"/>
          <w:szCs w:val="24"/>
          <w:shd w:val="clear" w:color="auto" w:fill="FFFFFF"/>
        </w:rPr>
      </w:pPr>
      <w:r w:rsidRPr="008757E3">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w:t>
      </w:r>
      <w:r w:rsidR="009B2323">
        <w:rPr>
          <w:rFonts w:ascii="Times New Roman" w:hAnsi="Times New Roman"/>
          <w:b/>
          <w:bCs/>
          <w:sz w:val="24"/>
          <w:szCs w:val="24"/>
          <w:shd w:val="clear" w:color="auto" w:fill="FFFFFF"/>
        </w:rPr>
        <w:t xml:space="preserve">If </w:t>
      </w:r>
      <w:r>
        <w:rPr>
          <w:rFonts w:ascii="Times New Roman" w:hAnsi="Times New Roman"/>
          <w:b/>
          <w:bCs/>
          <w:sz w:val="24"/>
          <w:szCs w:val="24"/>
          <w:shd w:val="clear" w:color="auto" w:fill="FFFFFF"/>
        </w:rPr>
        <w:t xml:space="preserve">trial court </w:t>
      </w:r>
      <w:r w:rsidR="00D20D16">
        <w:rPr>
          <w:rFonts w:ascii="Times New Roman" w:hAnsi="Times New Roman"/>
          <w:b/>
          <w:bCs/>
          <w:sz w:val="24"/>
          <w:szCs w:val="24"/>
          <w:shd w:val="clear" w:color="auto" w:fill="FFFFFF"/>
        </w:rPr>
        <w:t xml:space="preserve">determines the company had </w:t>
      </w:r>
      <w:r>
        <w:rPr>
          <w:rFonts w:ascii="Times New Roman" w:hAnsi="Times New Roman"/>
          <w:b/>
          <w:bCs/>
          <w:sz w:val="24"/>
          <w:szCs w:val="24"/>
          <w:shd w:val="clear" w:color="auto" w:fill="FFFFFF"/>
        </w:rPr>
        <w:t>a “duty to warn” the</w:t>
      </w:r>
      <w:r w:rsidR="00D20D16">
        <w:rPr>
          <w:rFonts w:ascii="Times New Roman" w:hAnsi="Times New Roman"/>
          <w:b/>
          <w:bCs/>
          <w:sz w:val="24"/>
          <w:szCs w:val="24"/>
          <w:shd w:val="clear" w:color="auto" w:fill="FFFFFF"/>
        </w:rPr>
        <w:t xml:space="preserve">n case may proceed to jury trial </w:t>
      </w:r>
      <w:r w:rsidR="00C76A59">
        <w:rPr>
          <w:rFonts w:ascii="Times New Roman" w:hAnsi="Times New Roman"/>
          <w:b/>
          <w:bCs/>
          <w:sz w:val="24"/>
          <w:szCs w:val="24"/>
          <w:shd w:val="clear" w:color="auto" w:fill="FFFFFF"/>
        </w:rPr>
        <w:t xml:space="preserve">for damages. </w:t>
      </w:r>
      <w:r>
        <w:rPr>
          <w:rFonts w:ascii="Times New Roman" w:hAnsi="Times New Roman"/>
          <w:b/>
          <w:bCs/>
          <w:sz w:val="24"/>
          <w:szCs w:val="24"/>
          <w:shd w:val="clear" w:color="auto" w:fill="FFFFFF"/>
        </w:rPr>
        <w:t xml:space="preserve">  </w:t>
      </w:r>
    </w:p>
    <w:p w14:paraId="60EFEC90" w14:textId="77777777" w:rsidR="00325688" w:rsidRDefault="00325688" w:rsidP="00286F24">
      <w:pPr>
        <w:rPr>
          <w:rFonts w:ascii="Arial Black" w:hAnsi="Arial Black"/>
          <w:sz w:val="24"/>
          <w:szCs w:val="24"/>
        </w:rPr>
      </w:pPr>
    </w:p>
    <w:p w14:paraId="2D7529C7" w14:textId="77777777" w:rsidR="00277A51" w:rsidRDefault="00277A51" w:rsidP="00286F24">
      <w:pPr>
        <w:rPr>
          <w:rFonts w:ascii="Arial Black" w:hAnsi="Arial Black"/>
          <w:sz w:val="24"/>
          <w:szCs w:val="24"/>
        </w:rPr>
      </w:pPr>
    </w:p>
    <w:p w14:paraId="1348FA76" w14:textId="77777777" w:rsidR="00277A51" w:rsidRDefault="00277A51" w:rsidP="00286F24">
      <w:pPr>
        <w:rPr>
          <w:rFonts w:ascii="Arial Black" w:hAnsi="Arial Black"/>
          <w:sz w:val="24"/>
          <w:szCs w:val="24"/>
        </w:rPr>
      </w:pPr>
    </w:p>
    <w:p w14:paraId="52DA5E9E" w14:textId="64467CF0" w:rsidR="008E2491" w:rsidRDefault="008E2491" w:rsidP="00286F24">
      <w:pPr>
        <w:rPr>
          <w:rFonts w:ascii="Arial Black" w:hAnsi="Arial Black"/>
          <w:sz w:val="24"/>
          <w:szCs w:val="24"/>
        </w:rPr>
      </w:pPr>
      <w:r>
        <w:rPr>
          <w:rFonts w:ascii="Arial Black" w:hAnsi="Arial Black"/>
          <w:sz w:val="24"/>
          <w:szCs w:val="24"/>
        </w:rPr>
        <w:t>2-</w:t>
      </w:r>
      <w:r w:rsidR="00891E1D">
        <w:rPr>
          <w:rFonts w:ascii="Arial Black" w:hAnsi="Arial Black"/>
          <w:sz w:val="24"/>
          <w:szCs w:val="24"/>
        </w:rPr>
        <w:t>69</w:t>
      </w:r>
    </w:p>
    <w:p w14:paraId="465D29B6" w14:textId="14B56FA8" w:rsidR="00474B94" w:rsidRPr="00DC4333" w:rsidRDefault="00474B94" w:rsidP="00474B94">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PA: FF KILLED - OTHERS INJURED - WOMAN DROVE JEEP </w:t>
      </w:r>
      <w:r w:rsidR="009D06F9">
        <w:rPr>
          <w:rFonts w:ascii="Arial Black" w:hAnsi="Arial Black"/>
          <w:b/>
          <w:bCs/>
          <w:color w:val="454545"/>
          <w:sz w:val="28"/>
          <w:szCs w:val="28"/>
          <w:shd w:val="clear" w:color="auto" w:fill="FFFFFF"/>
        </w:rPr>
        <w:t xml:space="preserve">WITH </w:t>
      </w:r>
      <w:r>
        <w:rPr>
          <w:rFonts w:ascii="Arial Black" w:hAnsi="Arial Black"/>
          <w:b/>
          <w:bCs/>
          <w:color w:val="454545"/>
          <w:sz w:val="28"/>
          <w:szCs w:val="28"/>
          <w:shd w:val="clear" w:color="auto" w:fill="FFFFFF"/>
        </w:rPr>
        <w:t>BAD BREAKS INTO ACCIDENT SCENE – 12-24 YRS PRISON</w:t>
      </w:r>
    </w:p>
    <w:p w14:paraId="43CCD9B3" w14:textId="77777777" w:rsidR="001603B7" w:rsidRDefault="00474B94" w:rsidP="001603B7">
      <w:pPr>
        <w:pStyle w:val="NormalWeb"/>
      </w:pPr>
      <w:r>
        <w:t xml:space="preserve">On May 17, 2024, in </w:t>
      </w:r>
      <w:r w:rsidRPr="008C4838">
        <w:rPr>
          <w:u w:val="single"/>
        </w:rPr>
        <w:t>Commonwealth of Pennsylvania v. Jacquelyn Walker</w:t>
      </w:r>
      <w:r>
        <w:t xml:space="preserve">, the Superior Court of Pennsylvania held (3 to 0) that the sentence was appropriate.  The accident scene on July 24, </w:t>
      </w:r>
      <w:proofErr w:type="gramStart"/>
      <w:r>
        <w:t>2021</w:t>
      </w:r>
      <w:proofErr w:type="gramEnd"/>
      <w:r>
        <w:t xml:space="preserve"> was westbound on I-76 at 3 am.  The defendant drove her 2004 Jeep Grand Cherokee over the rumble strips and into the right berm, and struck three members of the Belmont Hills Fire Department, killing firefighter Thomas Royds, </w:t>
      </w:r>
      <w:proofErr w:type="gramStart"/>
      <w:r>
        <w:t>and also</w:t>
      </w:r>
      <w:proofErr w:type="gramEnd"/>
      <w:r>
        <w:t xml:space="preserve"> striking a Trooper.  The Superior Court agreed with the Sentencing Judge who wrote: “Who protects those first responders who are willing to expose themselves to possible harm or death to protect us? </w:t>
      </w:r>
      <w:r>
        <w:rPr>
          <w:rStyle w:val="Emphasis"/>
          <w:rFonts w:eastAsiaTheme="majorEastAsia"/>
        </w:rPr>
        <w:t>Id</w:t>
      </w:r>
      <w:r>
        <w:t xml:space="preserve">. at 83. [T]hey should not have to be exposed to sustained reckless behavior amounting to malicious conduct almost certain to cause death or serious bodily injury such as the conduct of this defendant.’ </w:t>
      </w:r>
      <w:r>
        <w:rPr>
          <w:rStyle w:val="Emphasis"/>
          <w:rFonts w:eastAsiaTheme="majorEastAsia"/>
        </w:rPr>
        <w:t>Id</w:t>
      </w:r>
      <w:r>
        <w:t xml:space="preserve">. It answered its own question by concluding that ‘first responders can only be protected by the Court,’ and that it could only do so by imposing "appropriate punishment for this type of malice criminal conduct.’ </w:t>
      </w:r>
      <w:r>
        <w:rPr>
          <w:rStyle w:val="Emphasis"/>
          <w:rFonts w:eastAsiaTheme="majorEastAsia"/>
        </w:rPr>
        <w:t>Id</w:t>
      </w:r>
      <w:r>
        <w:t xml:space="preserve">. at 84.”  </w:t>
      </w:r>
      <w:hyperlink r:id="rId491" w:history="1">
        <w:r w:rsidR="001603B7" w:rsidRPr="00CE1BCF">
          <w:rPr>
            <w:rStyle w:val="Hyperlink"/>
          </w:rPr>
          <w:t>https://www.pacourts.us/assets/opinions/Superior/out/J-S40043-23m%20-%20105940494266483578.pdf?cb=1</w:t>
        </w:r>
      </w:hyperlink>
      <w:r w:rsidR="001603B7">
        <w:t xml:space="preserve"> </w:t>
      </w:r>
    </w:p>
    <w:p w14:paraId="7F160434" w14:textId="304A7E87" w:rsidR="00474B94" w:rsidRDefault="00CF7974" w:rsidP="00474B94">
      <w:pPr>
        <w:pStyle w:val="NormalWeb"/>
      </w:pPr>
      <w:r>
        <w:t xml:space="preserve">THE COURT HELD: </w:t>
      </w:r>
      <w:r w:rsidR="00474B94">
        <w:t xml:space="preserve"> </w:t>
      </w:r>
    </w:p>
    <w:p w14:paraId="0AAC3DF9" w14:textId="77777777" w:rsidR="00474B94" w:rsidRDefault="00474B94" w:rsidP="00474B94">
      <w:pPr>
        <w:pStyle w:val="NormalWeb"/>
        <w:ind w:left="720" w:firstLine="60"/>
      </w:pPr>
      <w:r>
        <w:t>“Appellant argues that the sentence imposed ‘amounted to the functional equivalent of a life sentence,’ because she is a 64-year-old disabled woman, and therefore was "at odds with the fundamental norms of the sentencing process.’</w:t>
      </w:r>
    </w:p>
    <w:p w14:paraId="0CD22F55" w14:textId="77777777" w:rsidR="00474B94" w:rsidRDefault="00474B94" w:rsidP="00474B94">
      <w:pPr>
        <w:pStyle w:val="NormalWeb"/>
        <w:ind w:left="720" w:firstLine="60"/>
      </w:pPr>
      <w:r>
        <w:t>***</w:t>
      </w:r>
    </w:p>
    <w:p w14:paraId="766E9A5B" w14:textId="77777777" w:rsidR="00474B94" w:rsidRDefault="00474B94" w:rsidP="00474B94">
      <w:pPr>
        <w:pStyle w:val="NormalWeb"/>
        <w:ind w:left="720"/>
      </w:pPr>
      <w:r>
        <w:t xml:space="preserve">We cannot say that the sentencing court abused its discretion by imposing an aggregate term of 12 to 24 years' imprisonment where Appellant admitted to acting with such recklessness that it amounted to legal malice and which resulted in the killing of one person, caused severe injuries to two others, and endangered several more, all of whom were first responders who had clearly marked the road with sufficient warnings. The three sentence terms that make up the aggregate sentence are all within the standard range, and each are for a different victim: murder in the third degree of Firefighter Thomas Royds; aggravated assault by vehicle of Firefighter Alex Fischer; and aggravated assault by vehicle of Firefighter Sam Sheffer. </w:t>
      </w:r>
    </w:p>
    <w:p w14:paraId="0C248408" w14:textId="34E4CD3F" w:rsidR="00474B94" w:rsidRDefault="00474B94" w:rsidP="00474B94">
      <w:pPr>
        <w:pStyle w:val="NormalWeb"/>
        <w:ind w:left="720"/>
      </w:pPr>
      <w:r>
        <w:t xml:space="preserve">Appellant's implicit argument is that the severity of the crime and admitted malice with which she caused death and serious injury could not warrant standard range sentence terms. As the sentencing court explained: The amount of pain and suffering that this defendant has caused is enormous. The terrible impact of her crime is certainly enduring. It's clearly apparent that the injuries could have been far worse; we have firefighters and the Trooper Burnett who escaped death or serious bodily injury just simply by inches that day. She acted recklessly and she acted with malice. She did not care about the rules of the road or the safety of others. She had no justification or excuse for her conduct.” </w:t>
      </w:r>
    </w:p>
    <w:p w14:paraId="2C969782" w14:textId="77777777" w:rsidR="00AD6C0A" w:rsidRPr="00E76DDF" w:rsidRDefault="00AD6C0A" w:rsidP="00AD6C0A">
      <w:pPr>
        <w:pStyle w:val="NormalWeb"/>
        <w:rPr>
          <w:b/>
          <w:bCs/>
        </w:rPr>
      </w:pPr>
      <w:r>
        <w:rPr>
          <w:b/>
          <w:bCs/>
        </w:rPr>
        <w:t xml:space="preserve">Legal Lesson Learned:  The sentence imposed was appropriate for pain inflicted. </w:t>
      </w:r>
    </w:p>
    <w:p w14:paraId="283F267A" w14:textId="77777777" w:rsidR="00AD6C0A" w:rsidRPr="00AD6C0A" w:rsidRDefault="00AD6C0A" w:rsidP="00AD6C0A">
      <w:pPr>
        <w:pStyle w:val="Heading1"/>
        <w:ind w:left="720"/>
        <w:rPr>
          <w:b w:val="0"/>
          <w:bCs w:val="0"/>
          <w:sz w:val="24"/>
          <w:szCs w:val="24"/>
        </w:rPr>
      </w:pPr>
      <w:r w:rsidRPr="00AD6C0A">
        <w:rPr>
          <w:b w:val="0"/>
          <w:bCs w:val="0"/>
          <w:sz w:val="24"/>
          <w:szCs w:val="24"/>
        </w:rPr>
        <w:t>Note: See National Fallen Firefighters Foundation article on FF Thomas E. Royds, better known as “</w:t>
      </w:r>
      <w:proofErr w:type="spellStart"/>
      <w:r w:rsidRPr="00AD6C0A">
        <w:rPr>
          <w:b w:val="0"/>
          <w:bCs w:val="0"/>
          <w:sz w:val="24"/>
          <w:szCs w:val="24"/>
        </w:rPr>
        <w:t>Roydsy</w:t>
      </w:r>
      <w:proofErr w:type="spellEnd"/>
      <w:r w:rsidRPr="00AD6C0A">
        <w:rPr>
          <w:b w:val="0"/>
          <w:bCs w:val="0"/>
          <w:sz w:val="24"/>
          <w:szCs w:val="24"/>
        </w:rPr>
        <w:t>.”</w:t>
      </w:r>
      <w:r w:rsidRPr="00F125FC">
        <w:t xml:space="preserve"> </w:t>
      </w:r>
      <w:hyperlink r:id="rId492" w:history="1">
        <w:r w:rsidRPr="00AD6C0A">
          <w:rPr>
            <w:rStyle w:val="Hyperlink"/>
            <w:b w:val="0"/>
            <w:bCs w:val="0"/>
            <w:sz w:val="24"/>
            <w:szCs w:val="24"/>
          </w:rPr>
          <w:t>https://www.firehero.org/fallen-firefighter/thomas-e-royds/</w:t>
        </w:r>
      </w:hyperlink>
      <w:r w:rsidRPr="00AD6C0A">
        <w:rPr>
          <w:b w:val="0"/>
          <w:bCs w:val="0"/>
          <w:sz w:val="24"/>
          <w:szCs w:val="24"/>
        </w:rPr>
        <w:t xml:space="preserve"> </w:t>
      </w:r>
    </w:p>
    <w:p w14:paraId="2F963009" w14:textId="77777777" w:rsidR="008E2491" w:rsidRDefault="008E2491" w:rsidP="00286F24">
      <w:pPr>
        <w:rPr>
          <w:rFonts w:ascii="Arial Black" w:hAnsi="Arial Black"/>
          <w:sz w:val="24"/>
          <w:szCs w:val="24"/>
        </w:rPr>
      </w:pPr>
    </w:p>
    <w:p w14:paraId="4B94DF71" w14:textId="77777777" w:rsidR="008E2491" w:rsidRDefault="008E2491" w:rsidP="00286F24">
      <w:pPr>
        <w:rPr>
          <w:rFonts w:ascii="Arial Black" w:hAnsi="Arial Black"/>
          <w:sz w:val="24"/>
          <w:szCs w:val="24"/>
        </w:rPr>
      </w:pPr>
    </w:p>
    <w:p w14:paraId="03648DED" w14:textId="77777777" w:rsidR="008E2491" w:rsidRDefault="008E2491" w:rsidP="00286F24">
      <w:pPr>
        <w:rPr>
          <w:rFonts w:ascii="Arial Black" w:hAnsi="Arial Black"/>
          <w:sz w:val="24"/>
          <w:szCs w:val="24"/>
        </w:rPr>
      </w:pPr>
    </w:p>
    <w:p w14:paraId="04A4600D" w14:textId="4DFC9DA1" w:rsidR="007276B8" w:rsidRDefault="007276B8"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8</w:t>
      </w:r>
    </w:p>
    <w:p w14:paraId="739DB05B" w14:textId="77777777" w:rsidR="00C9473D" w:rsidRPr="00310BF3" w:rsidRDefault="00C9473D" w:rsidP="00C9473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NY: FDNY EMT INJURED UNEVEN CONCRETE FD – CAN’T SUE CITY NY “FIREMAN’S RULE” – ONLY WORKER COMP</w:t>
      </w:r>
    </w:p>
    <w:p w14:paraId="19FB3B66" w14:textId="77777777" w:rsidR="009F1660" w:rsidRPr="001D1878" w:rsidRDefault="00C9473D" w:rsidP="009F1660">
      <w:pPr>
        <w:spacing w:before="100" w:beforeAutospacing="1" w:after="100" w:afterAutospacing="1" w:line="240" w:lineRule="auto"/>
        <w:rPr>
          <w:rFonts w:ascii="Times New Roman" w:hAnsi="Times New Roman"/>
          <w:sz w:val="24"/>
          <w:szCs w:val="24"/>
        </w:rPr>
      </w:pPr>
      <w:r w:rsidRPr="00B93E70">
        <w:rPr>
          <w:rFonts w:ascii="Times New Roman" w:eastAsia="Times New Roman" w:hAnsi="Times New Roman"/>
          <w:sz w:val="24"/>
          <w:szCs w:val="24"/>
        </w:rPr>
        <w:t xml:space="preserve">On May 15, 2024, in </w:t>
      </w:r>
      <w:r w:rsidRPr="00B93E70">
        <w:rPr>
          <w:rFonts w:ascii="Times New Roman" w:eastAsia="Times New Roman" w:hAnsi="Times New Roman"/>
          <w:sz w:val="24"/>
          <w:szCs w:val="24"/>
          <w:u w:val="single"/>
        </w:rPr>
        <w:t>Maritza Sanchez v, The City of New York</w:t>
      </w:r>
      <w:r w:rsidRPr="00B93E70">
        <w:rPr>
          <w:rFonts w:ascii="Times New Roman" w:eastAsia="Times New Roman" w:hAnsi="Times New Roman"/>
          <w:sz w:val="24"/>
          <w:szCs w:val="24"/>
        </w:rPr>
        <w:t xml:space="preserve">, Judge </w:t>
      </w:r>
      <w:r w:rsidRPr="00B93E70">
        <w:rPr>
          <w:rFonts w:ascii="Times New Roman" w:hAnsi="Times New Roman"/>
          <w:sz w:val="24"/>
          <w:szCs w:val="24"/>
        </w:rPr>
        <w:t xml:space="preserve"> J. Machelle Sweeting, Supreme Court, New York County, granted the City’s motion to dismiss this lawsuit.  The EMT was injured on July 25, 2022, filed for workers’ comp</w:t>
      </w:r>
      <w:r>
        <w:rPr>
          <w:rFonts w:ascii="Times New Roman" w:hAnsi="Times New Roman"/>
          <w:sz w:val="24"/>
          <w:szCs w:val="24"/>
        </w:rPr>
        <w:t xml:space="preserve">ensation, </w:t>
      </w:r>
      <w:r w:rsidRPr="00B93E70">
        <w:rPr>
          <w:rFonts w:ascii="Times New Roman" w:hAnsi="Times New Roman"/>
          <w:sz w:val="24"/>
          <w:szCs w:val="24"/>
        </w:rPr>
        <w:t xml:space="preserve">and received approximately $8,767.85 in workers' compensation benefits and $8,767.85 in medical benefits.  </w:t>
      </w:r>
      <w:r>
        <w:rPr>
          <w:rFonts w:ascii="Times New Roman" w:hAnsi="Times New Roman"/>
          <w:sz w:val="24"/>
          <w:szCs w:val="24"/>
        </w:rPr>
        <w:t xml:space="preserve">While NY has amended the “fireman’s rule” to allow police and firefighters to sue third parties for injuries at premises cause by breach of statutes and safety codes, this does not allow lawsuits against their employer. </w:t>
      </w:r>
      <w:hyperlink r:id="rId493" w:history="1">
        <w:r w:rsidR="009F1660" w:rsidRPr="00220336">
          <w:rPr>
            <w:rStyle w:val="Hyperlink"/>
            <w:rFonts w:ascii="Times New Roman" w:eastAsia="Times New Roman" w:hAnsi="Times New Roman"/>
            <w:sz w:val="24"/>
            <w:szCs w:val="24"/>
          </w:rPr>
          <w:t>https://cases.justia.com/new-york/other-courts/2024-2024-ny-slip-op-31696-u.pdf?ts=1716238363</w:t>
        </w:r>
      </w:hyperlink>
      <w:r w:rsidR="009F1660">
        <w:rPr>
          <w:rFonts w:ascii="Times New Roman" w:eastAsia="Times New Roman" w:hAnsi="Times New Roman"/>
          <w:sz w:val="24"/>
          <w:szCs w:val="24"/>
        </w:rPr>
        <w:t xml:space="preserve"> </w:t>
      </w:r>
    </w:p>
    <w:p w14:paraId="69704630" w14:textId="49F28EF4" w:rsidR="00C9473D" w:rsidRPr="001D1878" w:rsidRDefault="009F1660" w:rsidP="001D1878">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w:t>
      </w:r>
      <w:r w:rsidR="001D1878">
        <w:rPr>
          <w:rFonts w:ascii="Times New Roman" w:hAnsi="Times New Roman"/>
          <w:sz w:val="24"/>
          <w:szCs w:val="24"/>
        </w:rPr>
        <w:t xml:space="preserve">THE COURT HELD: </w:t>
      </w:r>
      <w:r w:rsidR="00C9473D">
        <w:rPr>
          <w:rFonts w:ascii="Times New Roman" w:hAnsi="Times New Roman"/>
          <w:sz w:val="24"/>
          <w:szCs w:val="24"/>
        </w:rPr>
        <w:t xml:space="preserve">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More importantly, even if GML 205-e </w:t>
      </w:r>
      <w:r w:rsidR="00C9473D">
        <w:rPr>
          <w:rFonts w:ascii="Times New Roman" w:eastAsia="Times New Roman" w:hAnsi="Times New Roman"/>
          <w:sz w:val="24"/>
          <w:szCs w:val="24"/>
        </w:rPr>
        <w:t xml:space="preserve">[amending Fireman’s Rule’] </w:t>
      </w:r>
      <w:r w:rsidR="00C9473D" w:rsidRPr="00310BF3">
        <w:rPr>
          <w:rFonts w:ascii="Times New Roman" w:eastAsia="Times New Roman" w:hAnsi="Times New Roman"/>
          <w:sz w:val="24"/>
          <w:szCs w:val="24"/>
        </w:rPr>
        <w:t xml:space="preserve">were applicable here, the New York Court of Appeals has made clear that an employee who receives workers' compensation benefits cannot also seek to hold his employer liable under GML 205-e. </w:t>
      </w:r>
      <w:r w:rsidR="00C9473D" w:rsidRPr="00310BF3">
        <w:rPr>
          <w:rFonts w:ascii="Times New Roman" w:eastAsia="Times New Roman" w:hAnsi="Times New Roman"/>
          <w:i/>
          <w:iCs/>
          <w:sz w:val="24"/>
          <w:szCs w:val="24"/>
        </w:rPr>
        <w:t>See Matter of Diegelman v City of Buffalo</w:t>
      </w:r>
      <w:r w:rsidR="00C9473D" w:rsidRPr="00310BF3">
        <w:rPr>
          <w:rFonts w:ascii="Times New Roman" w:eastAsia="Times New Roman" w:hAnsi="Times New Roman"/>
          <w:sz w:val="24"/>
          <w:szCs w:val="24"/>
        </w:rPr>
        <w:t xml:space="preserve">, 28 N.Y.3d 231 (2016):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It is well settled that workers' compensation benefits are generally the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sole and exclusive remedy of an employee against his [or her] employer for injuries in the course of employment,</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 and that the receipt of such benefits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precludes suits against an employer for injuries in the course of employment</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 </w:t>
      </w:r>
      <w:r w:rsidR="00C9473D" w:rsidRPr="00310BF3">
        <w:rPr>
          <w:rFonts w:ascii="Times New Roman" w:eastAsia="Times New Roman" w:hAnsi="Times New Roman"/>
          <w:i/>
          <w:iCs/>
          <w:sz w:val="24"/>
          <w:szCs w:val="24"/>
        </w:rPr>
        <w:t>(Weiner v. City of New York,</w:t>
      </w:r>
      <w:r w:rsidR="00C9473D" w:rsidRPr="00310BF3">
        <w:rPr>
          <w:rFonts w:ascii="Times New Roman" w:eastAsia="Times New Roman" w:hAnsi="Times New Roman"/>
          <w:sz w:val="24"/>
          <w:szCs w:val="24"/>
        </w:rPr>
        <w:t xml:space="preserve"> 19 N.Y.3d 852, 854, 947 N.Y.S.2d 404, 970 N.E.2d 427 [2012]).</w:t>
      </w:r>
      <w:r w:rsidR="00C9473D">
        <w:rPr>
          <w:rFonts w:ascii="Times New Roman" w:eastAsia="Times New Roman" w:hAnsi="Times New Roman"/>
          <w:sz w:val="24"/>
          <w:szCs w:val="24"/>
        </w:rPr>
        <w:t xml:space="preserve">” </w:t>
      </w:r>
    </w:p>
    <w:p w14:paraId="3089FE8E" w14:textId="77777777" w:rsidR="008E2491" w:rsidRDefault="008E2491" w:rsidP="008E2491">
      <w:pPr>
        <w:spacing w:after="100" w:line="240" w:lineRule="auto"/>
        <w:rPr>
          <w:rFonts w:ascii="Times New Roman" w:hAnsi="Times New Roman"/>
          <w:b/>
          <w:bCs/>
          <w:sz w:val="24"/>
          <w:szCs w:val="24"/>
        </w:rPr>
      </w:pPr>
      <w:r w:rsidRPr="00A06313">
        <w:rPr>
          <w:rFonts w:ascii="Times New Roman" w:hAnsi="Times New Roman"/>
          <w:b/>
          <w:bCs/>
          <w:sz w:val="24"/>
          <w:szCs w:val="24"/>
        </w:rPr>
        <w:t>Legal Lesson Learned:</w:t>
      </w:r>
      <w:r>
        <w:rPr>
          <w:rFonts w:ascii="Times New Roman" w:hAnsi="Times New Roman"/>
          <w:b/>
          <w:bCs/>
          <w:sz w:val="24"/>
          <w:szCs w:val="24"/>
        </w:rPr>
        <w:t xml:space="preserve"> EMT’s only remedy is worker’s comp.</w:t>
      </w:r>
    </w:p>
    <w:p w14:paraId="38F74DE0" w14:textId="77777777" w:rsidR="008E2491" w:rsidRDefault="008E2491" w:rsidP="008E2491">
      <w:pPr>
        <w:spacing w:after="100" w:line="240" w:lineRule="auto"/>
        <w:ind w:left="720"/>
        <w:rPr>
          <w:rFonts w:ascii="Times New Roman" w:hAnsi="Times New Roman"/>
          <w:sz w:val="24"/>
          <w:szCs w:val="24"/>
        </w:rPr>
      </w:pPr>
      <w:r w:rsidRPr="00A06313">
        <w:rPr>
          <w:rFonts w:ascii="Times New Roman" w:hAnsi="Times New Roman"/>
          <w:sz w:val="24"/>
          <w:szCs w:val="24"/>
        </w:rPr>
        <w:t xml:space="preserve">Note: </w:t>
      </w:r>
      <w:r>
        <w:rPr>
          <w:rFonts w:ascii="Times New Roman" w:hAnsi="Times New Roman"/>
          <w:sz w:val="24"/>
          <w:szCs w:val="24"/>
        </w:rPr>
        <w:t>Several states have abolished the “Fireman’s Rule” to allow fire and police to sue third parties for injuries at a premises. Ohio has not abolished the Fireman’s Rule.</w:t>
      </w:r>
    </w:p>
    <w:p w14:paraId="02735E60" w14:textId="77777777" w:rsidR="008E2491" w:rsidRDefault="008E2491" w:rsidP="008E2491">
      <w:pPr>
        <w:spacing w:after="100" w:line="240" w:lineRule="auto"/>
        <w:ind w:left="1440"/>
        <w:rPr>
          <w:rFonts w:ascii="Times New Roman" w:hAnsi="Times New Roman"/>
          <w:sz w:val="24"/>
          <w:szCs w:val="24"/>
        </w:rPr>
      </w:pPr>
      <w:r>
        <w:rPr>
          <w:rFonts w:ascii="Times New Roman" w:hAnsi="Times New Roman"/>
          <w:sz w:val="24"/>
          <w:szCs w:val="24"/>
        </w:rPr>
        <w:t xml:space="preserve">Florida: </w:t>
      </w:r>
      <w:hyperlink r:id="rId494" w:history="1">
        <w:r w:rsidRPr="00220336">
          <w:rPr>
            <w:rStyle w:val="Hyperlink"/>
            <w:rFonts w:ascii="Times New Roman" w:hAnsi="Times New Roman"/>
            <w:sz w:val="24"/>
            <w:szCs w:val="24"/>
          </w:rPr>
          <w:t>https://casetext.com/statute/florida-statutes/title-x-public-officers-employees-and-records/chapter-112-public-officers-and-employees-general-provisions/part-i-conditions-of-employment-retirement-travel-expenses/section-112182-firefighter-rule-abolished</w:t>
        </w:r>
      </w:hyperlink>
      <w:r>
        <w:rPr>
          <w:rFonts w:ascii="Times New Roman" w:hAnsi="Times New Roman"/>
          <w:sz w:val="24"/>
          <w:szCs w:val="24"/>
        </w:rPr>
        <w:t xml:space="preserve"> </w:t>
      </w:r>
    </w:p>
    <w:p w14:paraId="1EF82DBE" w14:textId="77777777" w:rsidR="008E2491" w:rsidRDefault="008E2491" w:rsidP="008E2491">
      <w:pPr>
        <w:spacing w:after="100" w:line="240" w:lineRule="auto"/>
        <w:ind w:left="720"/>
        <w:rPr>
          <w:rFonts w:ascii="Times New Roman" w:hAnsi="Times New Roman"/>
          <w:sz w:val="24"/>
          <w:szCs w:val="24"/>
        </w:rPr>
      </w:pPr>
    </w:p>
    <w:p w14:paraId="31FF9397" w14:textId="77777777" w:rsidR="008E2491" w:rsidRDefault="008E2491" w:rsidP="008E2491">
      <w:pPr>
        <w:spacing w:after="100" w:line="240" w:lineRule="auto"/>
        <w:ind w:left="720" w:firstLine="720"/>
        <w:rPr>
          <w:rFonts w:ascii="Times New Roman" w:hAnsi="Times New Roman"/>
          <w:sz w:val="24"/>
          <w:szCs w:val="24"/>
        </w:rPr>
      </w:pPr>
      <w:r>
        <w:rPr>
          <w:rFonts w:ascii="Times New Roman" w:hAnsi="Times New Roman"/>
          <w:sz w:val="24"/>
          <w:szCs w:val="24"/>
        </w:rPr>
        <w:t xml:space="preserve">Minnesota: </w:t>
      </w:r>
      <w:hyperlink r:id="rId495" w:history="1">
        <w:r w:rsidRPr="00220336">
          <w:rPr>
            <w:rStyle w:val="Hyperlink"/>
            <w:rFonts w:ascii="Times New Roman" w:hAnsi="Times New Roman"/>
            <w:sz w:val="24"/>
            <w:szCs w:val="24"/>
          </w:rPr>
          <w:t>https://www.revisor.mn.gov/statutes/cite/604.06</w:t>
        </w:r>
      </w:hyperlink>
      <w:r>
        <w:rPr>
          <w:rFonts w:ascii="Times New Roman" w:hAnsi="Times New Roman"/>
          <w:sz w:val="24"/>
          <w:szCs w:val="24"/>
        </w:rPr>
        <w:t xml:space="preserve"> </w:t>
      </w:r>
    </w:p>
    <w:p w14:paraId="34CDCFDD" w14:textId="77777777" w:rsidR="008E2491" w:rsidRPr="0032228A" w:rsidRDefault="008E2491" w:rsidP="008E2491">
      <w:pPr>
        <w:spacing w:after="100" w:line="240" w:lineRule="auto"/>
        <w:ind w:left="1440"/>
        <w:rPr>
          <w:rFonts w:ascii="Times New Roman" w:eastAsia="Times New Roman" w:hAnsi="Times New Roman"/>
          <w:sz w:val="24"/>
          <w:szCs w:val="24"/>
        </w:rPr>
      </w:pPr>
      <w:r>
        <w:rPr>
          <w:rFonts w:ascii="Times New Roman" w:hAnsi="Times New Roman"/>
          <w:sz w:val="24"/>
          <w:szCs w:val="24"/>
        </w:rPr>
        <w:t>New Jersey.  “</w:t>
      </w:r>
      <w:r w:rsidRPr="0032228A">
        <w:rPr>
          <w:rFonts w:ascii="Times New Roman" w:hAnsi="Times New Roman"/>
          <w:sz w:val="24"/>
          <w:szCs w:val="24"/>
        </w:rPr>
        <w:t>In a decision issued on March 13, 2007, the Supreme Court of New Jersey ruled that the common law doctrine prohibiting first responders from recovering damages from a property owner for a personal injury sustained while confronting an emergency on the owner’s premises, is no longer in effect.</w:t>
      </w:r>
      <w:r>
        <w:rPr>
          <w:rFonts w:ascii="Times New Roman" w:hAnsi="Times New Roman"/>
          <w:sz w:val="24"/>
          <w:szCs w:val="24"/>
        </w:rPr>
        <w:t xml:space="preserve">” </w:t>
      </w:r>
      <w:hyperlink r:id="rId496" w:history="1">
        <w:r w:rsidRPr="00220336">
          <w:rPr>
            <w:rStyle w:val="Hyperlink"/>
            <w:rFonts w:ascii="Times New Roman" w:hAnsi="Times New Roman"/>
            <w:sz w:val="24"/>
            <w:szCs w:val="24"/>
          </w:rPr>
          <w:t>https://www.pralaw.com/articles/the-supreme-court-of-new-jersey-rules-that-the-firefighters-rule-has-been-abolished</w:t>
        </w:r>
      </w:hyperlink>
      <w:r>
        <w:rPr>
          <w:rFonts w:ascii="Times New Roman" w:hAnsi="Times New Roman"/>
          <w:sz w:val="24"/>
          <w:szCs w:val="24"/>
        </w:rPr>
        <w:t xml:space="preserve"> </w:t>
      </w:r>
    </w:p>
    <w:p w14:paraId="56AC1A1D" w14:textId="77777777" w:rsidR="008E2491" w:rsidRDefault="008E2491" w:rsidP="008E24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Ohio has not abolished the Fireman’s Rule.</w:t>
      </w:r>
    </w:p>
    <w:p w14:paraId="2372B9A8" w14:textId="77777777" w:rsidR="008E2491" w:rsidRDefault="008E2491" w:rsidP="008E2491">
      <w:pPr>
        <w:pStyle w:val="NormalWeb"/>
        <w:ind w:left="720"/>
      </w:pPr>
      <w:r>
        <w:t>“</w:t>
      </w:r>
      <w:r w:rsidRPr="00BC1644">
        <w:t xml:space="preserve">In a victory for the rights of police officers and firefighters throughout the State of Ohio, on March 25, 2009, </w:t>
      </w:r>
      <w:proofErr w:type="gramStart"/>
      <w:r w:rsidRPr="00BC1644">
        <w:t>an</w:t>
      </w:r>
      <w:proofErr w:type="gramEnd"/>
      <w:r w:rsidRPr="00BC1644">
        <w:t xml:space="preserve"> unanimous Ohio Supreme Court refused to extend Ohio’s Fireman’s Rule to allow independent contractors to escape liability where an emergency responder (police officer, firefighter, etc.) is injured in the course of their employment as a result of a defective condition created by that contractor. In announcing its decision in the case of </w:t>
      </w:r>
      <w:proofErr w:type="spellStart"/>
      <w:r w:rsidRPr="00BC1644">
        <w:rPr>
          <w:i/>
          <w:iCs/>
        </w:rPr>
        <w:t>Torchik</w:t>
      </w:r>
      <w:proofErr w:type="spellEnd"/>
      <w:r w:rsidRPr="00BC1644">
        <w:rPr>
          <w:i/>
          <w:iCs/>
        </w:rPr>
        <w:t xml:space="preserve"> v. Boyce</w:t>
      </w:r>
      <w:r w:rsidRPr="00BC1644">
        <w:t xml:space="preserve">, the Court wrote that it </w:t>
      </w:r>
      <w:r>
        <w:t>‘</w:t>
      </w:r>
      <w:r w:rsidRPr="00BC1644">
        <w:t>ruled today that an independent contractor whose negligent work is alleged to have caused injury to a public safety officer is not covered by a common law ‘fireman’s rule’ that immunizes property owners from civil liability for injuries suffered by public safety officers who enter their property while on duty.</w:t>
      </w:r>
      <w:r>
        <w:t>’”</w:t>
      </w:r>
      <w:r w:rsidRPr="00F01FC6">
        <w:t xml:space="preserve"> </w:t>
      </w:r>
      <w:hyperlink r:id="rId497" w:history="1">
        <w:r w:rsidRPr="00220336">
          <w:rPr>
            <w:rStyle w:val="Hyperlink"/>
          </w:rPr>
          <w:t>https://livornoandarnett.com/ohios-firemans-rule/</w:t>
        </w:r>
      </w:hyperlink>
    </w:p>
    <w:p w14:paraId="554AC590" w14:textId="77777777" w:rsidR="008E2491" w:rsidRDefault="008E2491" w:rsidP="00C9473D">
      <w:pPr>
        <w:spacing w:before="100" w:beforeAutospacing="1" w:after="100" w:afterAutospacing="1" w:line="240" w:lineRule="auto"/>
        <w:ind w:left="720"/>
        <w:rPr>
          <w:rFonts w:ascii="Times New Roman" w:eastAsia="Times New Roman" w:hAnsi="Times New Roman"/>
          <w:sz w:val="24"/>
          <w:szCs w:val="24"/>
        </w:rPr>
      </w:pPr>
    </w:p>
    <w:p w14:paraId="6209AD80" w14:textId="77777777" w:rsidR="007276B8" w:rsidRDefault="007276B8" w:rsidP="00286F24">
      <w:pPr>
        <w:rPr>
          <w:rFonts w:ascii="Arial Black" w:hAnsi="Arial Black"/>
          <w:sz w:val="24"/>
          <w:szCs w:val="24"/>
        </w:rPr>
      </w:pPr>
    </w:p>
    <w:p w14:paraId="3CC35B26" w14:textId="77777777" w:rsidR="007276B8" w:rsidRDefault="007276B8" w:rsidP="00286F24">
      <w:pPr>
        <w:rPr>
          <w:rFonts w:ascii="Arial Black" w:hAnsi="Arial Black"/>
          <w:sz w:val="24"/>
          <w:szCs w:val="24"/>
        </w:rPr>
      </w:pPr>
    </w:p>
    <w:p w14:paraId="0DF52923" w14:textId="205F2041" w:rsidR="008C7F06" w:rsidRDefault="008C7F06"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7</w:t>
      </w:r>
    </w:p>
    <w:p w14:paraId="667B89CE" w14:textId="77777777" w:rsidR="008C7F06" w:rsidRPr="005E58F4" w:rsidRDefault="008C7F06" w:rsidP="008C7F0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IN: SCUFFLE WITH MENTAL AT FIRE STATION – TRIED ESCAPE PD CRUISER – HABITUAL OFFENDER – 26 YRS </w:t>
      </w:r>
    </w:p>
    <w:p w14:paraId="2C62A2D7" w14:textId="77777777" w:rsidR="008C7F06" w:rsidRDefault="008C7F06" w:rsidP="008C7F06">
      <w:pPr>
        <w:pStyle w:val="NormalWeb"/>
        <w:spacing w:before="0" w:beforeAutospacing="0"/>
        <w:rPr>
          <w:color w:val="454545"/>
          <w:shd w:val="clear" w:color="auto" w:fill="FFFFFF"/>
        </w:rPr>
      </w:pPr>
      <w:r>
        <w:rPr>
          <w:color w:val="454545"/>
          <w:shd w:val="clear" w:color="auto" w:fill="FFFFFF"/>
        </w:rPr>
        <w:t xml:space="preserve">On April 29, 2024, in </w:t>
      </w:r>
      <w:r w:rsidRPr="001F6456">
        <w:rPr>
          <w:color w:val="454545"/>
          <w:u w:val="single"/>
          <w:shd w:val="clear" w:color="auto" w:fill="FFFFFF"/>
        </w:rPr>
        <w:t>Warren A. Beals v. State of Indiana</w:t>
      </w:r>
      <w:r>
        <w:rPr>
          <w:color w:val="454545"/>
          <w:shd w:val="clear" w:color="auto" w:fill="FFFFFF"/>
        </w:rPr>
        <w:t xml:space="preserve">, the Court of Appeals of Indiana held (3 to 0) that the defendant was properly convicted by a jury and there is no basis for resentencing. On April 27, 2021, members of Marengo Volunteer FD heard yelling outside.  When defendant poked finger at Fire Chief (and reserve PD) </w:t>
      </w:r>
      <w:proofErr w:type="gramStart"/>
      <w:r>
        <w:rPr>
          <w:color w:val="454545"/>
          <w:shd w:val="clear" w:color="auto" w:fill="FFFFFF"/>
        </w:rPr>
        <w:t>tried</w:t>
      </w:r>
      <w:proofErr w:type="gramEnd"/>
      <w:r>
        <w:rPr>
          <w:color w:val="454545"/>
          <w:shd w:val="clear" w:color="auto" w:fill="FFFFFF"/>
        </w:rPr>
        <w:t xml:space="preserve"> to grab his service weapon, firefighters pushed him to floor.  When PD was transporting him to jail in front seat of patrol car without a cage, he tried to escape. </w:t>
      </w:r>
      <w:r>
        <w:t xml:space="preserve">The trial court sentenced Beals to six years for the Level 4 felony, attempted escape from PD causing bodily injury, plus a habitual offender sentencing enhancement of twenty years. </w:t>
      </w:r>
      <w:hyperlink r:id="rId498" w:history="1">
        <w:r w:rsidRPr="00A2355F">
          <w:rPr>
            <w:rStyle w:val="Hyperlink"/>
            <w:shd w:val="clear" w:color="auto" w:fill="FFFFFF"/>
          </w:rPr>
          <w:t>https://caselaw.findlaw.com/court/in-court-of-appeals/116108297.html</w:t>
        </w:r>
      </w:hyperlink>
      <w:r>
        <w:rPr>
          <w:color w:val="454545"/>
          <w:shd w:val="clear" w:color="auto" w:fill="FFFFFF"/>
        </w:rPr>
        <w:t xml:space="preserve"> </w:t>
      </w:r>
    </w:p>
    <w:p w14:paraId="5F0DE75F" w14:textId="77777777" w:rsidR="008C7F06" w:rsidRDefault="008C7F06" w:rsidP="008C7F06">
      <w:pPr>
        <w:pStyle w:val="NormalWeb"/>
        <w:spacing w:before="0" w:beforeAutospacing="0"/>
        <w:rPr>
          <w:color w:val="454545"/>
          <w:shd w:val="clear" w:color="auto" w:fill="FFFFFF"/>
        </w:rPr>
      </w:pPr>
      <w:r>
        <w:rPr>
          <w:color w:val="454545"/>
          <w:shd w:val="clear" w:color="auto" w:fill="FFFFFF"/>
        </w:rPr>
        <w:t>THE COURT HELD:</w:t>
      </w:r>
    </w:p>
    <w:p w14:paraId="33721C7A" w14:textId="77777777" w:rsidR="008C7F06" w:rsidRDefault="008C7F06" w:rsidP="008C7F06">
      <w:pPr>
        <w:pStyle w:val="NormalWeb"/>
        <w:spacing w:before="0" w:beforeAutospacing="0"/>
        <w:ind w:left="720"/>
      </w:pPr>
      <w:r>
        <w:t>“Police officers arrested Warren Beals after a scuffle at a fire station. On the way to jail, Beals opened the door to the police vehicle and attempted to get out, but the transporting officer restrained Beals until he could stop the car. A jury convicted Beals of Level 4 felony attempted escape causing bodily injury and Class A misdemeanor resisting law enforcement. The jury further determined Beals was a habitual offender.</w:t>
      </w:r>
    </w:p>
    <w:p w14:paraId="3BBB3C8D" w14:textId="77777777" w:rsidR="008C7F06" w:rsidRDefault="008C7F06" w:rsidP="008C7F06">
      <w:pPr>
        <w:pStyle w:val="NormalWeb"/>
        <w:spacing w:before="0" w:beforeAutospacing="0"/>
        <w:ind w:left="720"/>
      </w:pPr>
      <w:r>
        <w:t>***</w:t>
      </w:r>
      <w:r>
        <w:rPr>
          <w:color w:val="454545"/>
          <w:shd w:val="clear" w:color="auto" w:fill="FFFFFF"/>
        </w:rPr>
        <w:br/>
      </w:r>
      <w:r>
        <w:t xml:space="preserve">Beals </w:t>
      </w:r>
      <w:proofErr w:type="gramStart"/>
      <w:r>
        <w:t>was</w:t>
      </w:r>
      <w:proofErr w:type="gramEnd"/>
      <w:r>
        <w:t xml:space="preserve"> thirty-two years old at sentencing. He has three prior felony convictions: Class C battery resulting in serious bodily injury; Class D battery resulting in bodily injury to a law enforcement officer; and Class D intimidation. He has four prior misdemeanor convictions: Class A cruelty to an animal; Class B strangulation; Class B reckless driving; and Class B public intoxication. Beals </w:t>
      </w:r>
      <w:proofErr w:type="gramStart"/>
      <w:r>
        <w:t>has</w:t>
      </w:r>
      <w:proofErr w:type="gramEnd"/>
      <w:r>
        <w:t xml:space="preserve"> been placed on probation six times and </w:t>
      </w:r>
      <w:proofErr w:type="gramStart"/>
      <w:r>
        <w:t>has</w:t>
      </w:r>
      <w:proofErr w:type="gramEnd"/>
      <w:r>
        <w:t xml:space="preserve"> violated the terms of probation three times. His lengthy criminal history, including repeated acts of violence, speaks poorly of his character. And Beals' history of probation violations weighs against a lengthy term of probation here.</w:t>
      </w:r>
    </w:p>
    <w:p w14:paraId="190ECAF6" w14:textId="77777777" w:rsidR="008C7F06" w:rsidRDefault="008C7F06" w:rsidP="008C7F06">
      <w:pPr>
        <w:pStyle w:val="NormalWeb"/>
        <w:spacing w:before="0" w:beforeAutospacing="0"/>
        <w:ind w:left="720"/>
      </w:pPr>
      <w:r>
        <w:t>***</w:t>
      </w:r>
    </w:p>
    <w:p w14:paraId="678CFBC2" w14:textId="77777777" w:rsidR="008C7F06" w:rsidRDefault="008C7F06" w:rsidP="008C7F06">
      <w:pPr>
        <w:pStyle w:val="NormalWeb"/>
        <w:spacing w:before="0" w:beforeAutospacing="0"/>
        <w:ind w:left="720"/>
      </w:pPr>
      <w:r>
        <w:t>Based on the foregoing, we do not conclude that Beals was unable to control his behavior when he tried to get out of the vehicle and then tried to walk away. Considering Beals' history of mental illness in context with his extensive violent criminal record and the nature of the offenses, he has failed to persuade us that his sentence is an outlier needing revision.”</w:t>
      </w:r>
    </w:p>
    <w:p w14:paraId="7B47443A" w14:textId="77777777" w:rsidR="008C7F06" w:rsidRPr="001D73FB" w:rsidRDefault="008C7F06" w:rsidP="008C7F06">
      <w:pPr>
        <w:pStyle w:val="NormalWeb"/>
        <w:rPr>
          <w:b/>
          <w:bCs/>
        </w:rPr>
      </w:pPr>
      <w:r w:rsidRPr="001D73FB">
        <w:rPr>
          <w:b/>
          <w:bCs/>
        </w:rPr>
        <w:t>Legal Lesson Learned:</w:t>
      </w:r>
      <w:r>
        <w:rPr>
          <w:b/>
          <w:bCs/>
        </w:rPr>
        <w:t xml:space="preserve"> Habitual offender laws can substantially increase a defendant’s sentence. </w:t>
      </w:r>
    </w:p>
    <w:p w14:paraId="78116891" w14:textId="77777777" w:rsidR="008C7F06" w:rsidRDefault="008C7F06" w:rsidP="008C7F06">
      <w:pPr>
        <w:rPr>
          <w:rFonts w:ascii="Arial Black" w:hAnsi="Arial Black"/>
          <w:sz w:val="28"/>
          <w:szCs w:val="28"/>
        </w:rPr>
      </w:pPr>
    </w:p>
    <w:p w14:paraId="160C072A" w14:textId="77777777" w:rsidR="008C7F06" w:rsidRDefault="008C7F06" w:rsidP="00286F24">
      <w:pPr>
        <w:rPr>
          <w:rFonts w:ascii="Arial Black" w:hAnsi="Arial Black"/>
          <w:sz w:val="24"/>
          <w:szCs w:val="24"/>
        </w:rPr>
      </w:pPr>
    </w:p>
    <w:p w14:paraId="256CCE4E" w14:textId="77777777" w:rsidR="008C7F06" w:rsidRDefault="008C7F06" w:rsidP="00286F24">
      <w:pPr>
        <w:rPr>
          <w:rFonts w:ascii="Arial Black" w:hAnsi="Arial Black"/>
          <w:sz w:val="24"/>
          <w:szCs w:val="24"/>
        </w:rPr>
      </w:pPr>
    </w:p>
    <w:p w14:paraId="0E15BC69" w14:textId="21B7B23E" w:rsidR="00286F24" w:rsidRDefault="00286F24"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6</w:t>
      </w:r>
    </w:p>
    <w:p w14:paraId="179C4A70" w14:textId="7BD3FCC6" w:rsidR="00286F24" w:rsidRPr="00A85425" w:rsidRDefault="00286F24" w:rsidP="00286F24">
      <w:pPr>
        <w:pStyle w:val="NoSpacing"/>
        <w:rPr>
          <w:rFonts w:ascii="Arial Black" w:hAnsi="Arial Black"/>
          <w:sz w:val="28"/>
          <w:szCs w:val="28"/>
        </w:rPr>
      </w:pPr>
      <w:r>
        <w:rPr>
          <w:rFonts w:ascii="Arial Black" w:hAnsi="Arial Black"/>
          <w:sz w:val="28"/>
          <w:szCs w:val="28"/>
        </w:rPr>
        <w:t>PA: PSYCH SEVERLY INJURED EMT - TRANSPORT FROM HOSP TO PSCH UNIT – NO PROOF HOSP MALPRACTICE</w:t>
      </w:r>
    </w:p>
    <w:p w14:paraId="61E07A56" w14:textId="16B89E9F" w:rsidR="00286F24" w:rsidRDefault="00286F24" w:rsidP="00286F24">
      <w:pPr>
        <w:pStyle w:val="NormalWeb"/>
      </w:pPr>
      <w:r>
        <w:t xml:space="preserve">On March 20, 2024, in </w:t>
      </w:r>
      <w:r w:rsidRPr="004B6EC2">
        <w:rPr>
          <w:u w:val="single"/>
        </w:rPr>
        <w:t>Cori Larsen v. Wayne Memorial Hospital and Paige Castelino, et al</w:t>
      </w:r>
      <w:r>
        <w:t xml:space="preserve">., the Superior Court of Pennsylvania, held (3 to 0) that the trial court judge properly granted defense motion for summary judgment; the EMT was severely injured by the minor patient during transport: </w:t>
      </w:r>
      <w:r w:rsidRPr="00486655">
        <w:t>detached retina, fractured teeth, concussion, and contusions of the knee and ribs</w:t>
      </w:r>
      <w:r>
        <w:t xml:space="preserve">, but the EMT failed to prove a breach of standard of care when hospital released the patient to a </w:t>
      </w:r>
      <w:r w:rsidRPr="00486655">
        <w:t>psychiatric facility</w:t>
      </w:r>
      <w:r>
        <w:t>. The EMT’s</w:t>
      </w:r>
      <w:r w:rsidRPr="00486655">
        <w:t xml:space="preserve"> </w:t>
      </w:r>
      <w:r>
        <w:t>expert witness affidavit was from an ER doctor, not an Internal Medicine / mental health physician.</w:t>
      </w:r>
    </w:p>
    <w:p w14:paraId="4B60F0E8"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BC2124D" w14:textId="77777777" w:rsidR="00286F24" w:rsidRDefault="00286F24" w:rsidP="00286F24">
      <w:pPr>
        <w:pStyle w:val="NormalWeb"/>
        <w:ind w:left="720"/>
      </w:pPr>
      <w:r>
        <w:t xml:space="preserve">“On appeal, Larsen argues the trial court erred in granting Appellees' motion for summary judgment because (1) Appellees owed Larsen a duty, notwithstanding the fact that Larsen was not Appellees' patient, and (2) Larsen's liability expert was qualified to opine on breaches of the standard of care by Appellees.  Due to our disposition on the second issue, we need not reach the first issue - as even if we assume, arguendo, that Appellees owed Larsen a duty, we agree with the trial court that Larsen failed to meet her burden of producing a qualified expert to opine on a breach of the standard of care by Appellees. </w:t>
      </w:r>
    </w:p>
    <w:p w14:paraId="5F4504BD" w14:textId="77777777" w:rsidR="00286F24" w:rsidRPr="00A85425" w:rsidRDefault="00286F24" w:rsidP="00286F24">
      <w:pPr>
        <w:spacing w:before="100" w:beforeAutospacing="1" w:after="100" w:afterAutospacing="1" w:line="240" w:lineRule="auto"/>
        <w:rPr>
          <w:rFonts w:ascii="Times New Roman" w:eastAsia="Times New Roman" w:hAnsi="Times New Roman"/>
          <w:sz w:val="24"/>
          <w:szCs w:val="24"/>
        </w:rPr>
      </w:pPr>
      <w:r w:rsidRPr="00A85425">
        <w:rPr>
          <w:rFonts w:ascii="Times New Roman" w:eastAsia="Times New Roman" w:hAnsi="Times New Roman"/>
          <w:sz w:val="24"/>
          <w:szCs w:val="24"/>
        </w:rPr>
        <w:t xml:space="preserve">Dr. Kenneth Robinson authored a report in which he concluded "that Dr. Castelino and [WMH] failed to meet the standard of care, and that these failures caused the significant injuries sustained by [] Larsen." Brief in Support of Motion for Summary Judgment, 4/3/23, at Exhibit P. </w:t>
      </w:r>
    </w:p>
    <w:p w14:paraId="75D3AEBC" w14:textId="77777777" w:rsidR="00286F24" w:rsidRPr="00A85425" w:rsidRDefault="00286F24" w:rsidP="00286F24">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w:t>
      </w:r>
      <w:r w:rsidRPr="00A85425">
        <w:rPr>
          <w:rFonts w:ascii="Times New Roman" w:eastAsia="Times New Roman" w:hAnsi="Times New Roman"/>
          <w:sz w:val="24"/>
          <w:szCs w:val="24"/>
        </w:rPr>
        <w:t xml:space="preserve">In its opinion, the trial court concluded Dr. Robinson is not qualified to render an opinion regarding the standard of care of Appellees, explaining as follows: </w:t>
      </w:r>
    </w:p>
    <w:p w14:paraId="54E34799" w14:textId="77777777" w:rsidR="00286F24" w:rsidRPr="00A85425" w:rsidRDefault="00286F24" w:rsidP="00286F24">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A85425">
        <w:rPr>
          <w:rFonts w:ascii="Times New Roman" w:eastAsia="Times New Roman" w:hAnsi="Times New Roman"/>
          <w:sz w:val="24"/>
          <w:szCs w:val="24"/>
        </w:rPr>
        <w:t xml:space="preserve">Dr. Robinson is board certified in emergency medicine while Dr. Castelino is board certified in internal medicine. Dr. Castelino, in her role as a specialist in internal medicine, treated T.D. and monitored her mental health over the course of T.D.'s multi-day commitment at WMH. Dr. Castelino is a hospitalist who coordinates the care of a patient during his or her stay. This is much different than the role of Dr. Robinson, chief of a hospital's department of emergency medicine. Further, Dr. Robinson states generally in the conclusion of his report that he has years of experience treating </w:t>
      </w:r>
      <w:r>
        <w:rPr>
          <w:rFonts w:ascii="Times New Roman" w:eastAsia="Times New Roman" w:hAnsi="Times New Roman"/>
          <w:sz w:val="24"/>
          <w:szCs w:val="24"/>
        </w:rPr>
        <w:t>‘</w:t>
      </w:r>
      <w:r w:rsidRPr="00A85425">
        <w:rPr>
          <w:rFonts w:ascii="Times New Roman" w:eastAsia="Times New Roman" w:hAnsi="Times New Roman"/>
          <w:sz w:val="24"/>
          <w:szCs w:val="24"/>
        </w:rPr>
        <w:t>a wide variety of patients</w:t>
      </w:r>
      <w:r>
        <w:rPr>
          <w:rFonts w:ascii="Times New Roman" w:eastAsia="Times New Roman" w:hAnsi="Times New Roman"/>
          <w:sz w:val="24"/>
          <w:szCs w:val="24"/>
        </w:rPr>
        <w:t>’</w:t>
      </w:r>
      <w:r w:rsidRPr="00A85425">
        <w:rPr>
          <w:rFonts w:ascii="Times New Roman" w:eastAsia="Times New Roman" w:hAnsi="Times New Roman"/>
          <w:sz w:val="24"/>
          <w:szCs w:val="24"/>
        </w:rPr>
        <w:t xml:space="preserve"> including </w:t>
      </w:r>
      <w:r>
        <w:rPr>
          <w:rFonts w:ascii="Times New Roman" w:eastAsia="Times New Roman" w:hAnsi="Times New Roman"/>
          <w:sz w:val="24"/>
          <w:szCs w:val="24"/>
        </w:rPr>
        <w:t>‘</w:t>
      </w:r>
      <w:r w:rsidRPr="00A85425">
        <w:rPr>
          <w:rFonts w:ascii="Times New Roman" w:eastAsia="Times New Roman" w:hAnsi="Times New Roman"/>
          <w:sz w:val="24"/>
          <w:szCs w:val="24"/>
        </w:rPr>
        <w:t>Behavioral Health patients.</w:t>
      </w:r>
      <w:r>
        <w:rPr>
          <w:rFonts w:ascii="Times New Roman" w:eastAsia="Times New Roman" w:hAnsi="Times New Roman"/>
          <w:sz w:val="24"/>
          <w:szCs w:val="24"/>
        </w:rPr>
        <w:t>’</w:t>
      </w:r>
      <w:r w:rsidRPr="00A85425">
        <w:rPr>
          <w:rFonts w:ascii="Times New Roman" w:eastAsia="Times New Roman" w:hAnsi="Times New Roman"/>
          <w:sz w:val="24"/>
          <w:szCs w:val="24"/>
        </w:rPr>
        <w:t xml:space="preserve"> However, his curriculum vitae, while replete with experience, certifications and acclaim in the areas of emergency medical services and trauma, is silent with regard to internal medicine and experience coordinating care of mental health patients</w:t>
      </w:r>
      <w:r>
        <w:rPr>
          <w:rFonts w:ascii="Times New Roman" w:eastAsia="Times New Roman" w:hAnsi="Times New Roman"/>
          <w:sz w:val="24"/>
          <w:szCs w:val="24"/>
        </w:rPr>
        <w:t xml:space="preserve">.” </w:t>
      </w:r>
      <w:hyperlink r:id="rId499" w:history="1">
        <w:r w:rsidRPr="0090046C">
          <w:rPr>
            <w:rStyle w:val="Hyperlink"/>
            <w:rFonts w:ascii="Times New Roman" w:eastAsia="Times New Roman" w:hAnsi="Times New Roman"/>
            <w:sz w:val="24"/>
            <w:szCs w:val="24"/>
          </w:rPr>
          <w:t>https://public.fastcase.com/H1P9uiW3J20SFp%2BGCG%2BxLbl0r%2FVDwzY9bFFJYqsh2zfJNVHn0JMcdFbkvIZSEaI0?utm_medium=email&amp;_hsmi=226712652&amp;_hsenc=p2ANqtz-8YA_f1AfCb15SVfFtIs0GBJg2UPhrOC0M_f0Fb9rbVagQyKLN71UFoiLhG6tJj5xQri87F989l3qtQXeXvmTCDhcNwWw&amp;utm_content=226712652&amp;utm_source=hs_email</w:t>
        </w:r>
      </w:hyperlink>
      <w:r>
        <w:rPr>
          <w:rFonts w:ascii="Times New Roman" w:eastAsia="Times New Roman" w:hAnsi="Times New Roman"/>
          <w:sz w:val="24"/>
          <w:szCs w:val="24"/>
        </w:rPr>
        <w:t xml:space="preserve"> </w:t>
      </w:r>
    </w:p>
    <w:p w14:paraId="5BCC5217" w14:textId="77777777" w:rsidR="00286F24" w:rsidRDefault="00286F24" w:rsidP="00286F24">
      <w:pPr>
        <w:pStyle w:val="NormalWeb"/>
      </w:pPr>
      <w:r w:rsidRPr="00E9331E">
        <w:rPr>
          <w:b/>
          <w:bCs/>
        </w:rPr>
        <w:t xml:space="preserve">Legal Lesson Learned:  The </w:t>
      </w:r>
      <w:r>
        <w:rPr>
          <w:b/>
          <w:bCs/>
        </w:rPr>
        <w:t xml:space="preserve">EMT </w:t>
      </w:r>
      <w:r w:rsidRPr="00E9331E">
        <w:rPr>
          <w:b/>
          <w:bCs/>
        </w:rPr>
        <w:t>failed to meet her burden of producing a qualified expert to opine on a breach of the standard of care</w:t>
      </w:r>
      <w:r>
        <w:rPr>
          <w:b/>
          <w:bCs/>
        </w:rPr>
        <w:t xml:space="preserve"> by hospital MD</w:t>
      </w:r>
      <w:r>
        <w:t xml:space="preserve">. </w:t>
      </w:r>
    </w:p>
    <w:p w14:paraId="48762F4C" w14:textId="77777777" w:rsidR="00286F24" w:rsidRDefault="00286F24" w:rsidP="00286F24">
      <w:pPr>
        <w:pStyle w:val="NormalWeb"/>
        <w:spacing w:before="0" w:beforeAutospacing="0"/>
      </w:pPr>
    </w:p>
    <w:p w14:paraId="79014282" w14:textId="77777777" w:rsidR="00286F24" w:rsidRDefault="00286F24" w:rsidP="00286F24">
      <w:pPr>
        <w:pStyle w:val="NormalWeb"/>
        <w:spacing w:before="0" w:beforeAutospacing="0"/>
      </w:pPr>
    </w:p>
    <w:p w14:paraId="40617581" w14:textId="53CCD726" w:rsidR="00286F24" w:rsidRPr="00760B23" w:rsidRDefault="00286F24" w:rsidP="00286F24">
      <w:pPr>
        <w:rPr>
          <w:rFonts w:ascii="Times New Roman" w:hAnsi="Times New Roman"/>
          <w:b/>
          <w:bCs/>
          <w:sz w:val="24"/>
          <w:szCs w:val="24"/>
        </w:rPr>
      </w:pPr>
      <w:r>
        <w:rPr>
          <w:rFonts w:ascii="Arial Black" w:hAnsi="Arial Black"/>
          <w:sz w:val="24"/>
          <w:szCs w:val="24"/>
        </w:rPr>
        <w:t>2-6</w:t>
      </w:r>
      <w:r w:rsidR="007C073D">
        <w:rPr>
          <w:rFonts w:ascii="Arial Black" w:hAnsi="Arial Black"/>
          <w:sz w:val="24"/>
          <w:szCs w:val="24"/>
        </w:rPr>
        <w:t>5</w:t>
      </w:r>
    </w:p>
    <w:p w14:paraId="75E5AE80" w14:textId="77777777" w:rsidR="00286F24" w:rsidRDefault="00286F24" w:rsidP="00286F24">
      <w:pPr>
        <w:pStyle w:val="NoSpacing"/>
        <w:jc w:val="center"/>
        <w:rPr>
          <w:rFonts w:ascii="Times New Roman" w:hAnsi="Times New Roman"/>
          <w:sz w:val="24"/>
          <w:szCs w:val="24"/>
          <w:shd w:val="clear" w:color="auto" w:fill="FFFFFF"/>
        </w:rPr>
      </w:pPr>
    </w:p>
    <w:p w14:paraId="218B069D" w14:textId="77777777" w:rsidR="00286F24" w:rsidRPr="005E4817" w:rsidRDefault="00286F24" w:rsidP="00286F24">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NJ: FF BACKGROUND CHECK – POOR DRIVING RECORD, FIRED FROM PD, DISORD. CONV – FF PROPERLY NOT HIRED </w:t>
      </w:r>
    </w:p>
    <w:p w14:paraId="6D898A87" w14:textId="77777777" w:rsidR="00286F24" w:rsidRDefault="00286F24" w:rsidP="00286F24">
      <w:pPr>
        <w:pStyle w:val="NoSpacing"/>
        <w:rPr>
          <w:rFonts w:ascii="Times New Roman" w:hAnsi="Times New Roman"/>
          <w:sz w:val="24"/>
          <w:szCs w:val="24"/>
        </w:rPr>
      </w:pPr>
      <w:r>
        <w:rPr>
          <w:rFonts w:ascii="Times New Roman" w:hAnsi="Times New Roman"/>
          <w:sz w:val="24"/>
          <w:szCs w:val="24"/>
        </w:rPr>
        <w:t xml:space="preserve">On March 19, 2024, </w:t>
      </w:r>
      <w:r w:rsidRPr="00AA0C7F">
        <w:rPr>
          <w:rFonts w:ascii="Times New Roman" w:hAnsi="Times New Roman"/>
          <w:sz w:val="24"/>
          <w:szCs w:val="24"/>
          <w:u w:val="single"/>
        </w:rPr>
        <w:t xml:space="preserve">In </w:t>
      </w:r>
      <w:r>
        <w:rPr>
          <w:rFonts w:ascii="Times New Roman" w:hAnsi="Times New Roman"/>
          <w:sz w:val="24"/>
          <w:szCs w:val="24"/>
          <w:u w:val="single"/>
        </w:rPr>
        <w:t>t</w:t>
      </w:r>
      <w:r w:rsidRPr="00AA0C7F">
        <w:rPr>
          <w:rFonts w:ascii="Times New Roman" w:hAnsi="Times New Roman"/>
          <w:sz w:val="24"/>
          <w:szCs w:val="24"/>
          <w:u w:val="single"/>
        </w:rPr>
        <w:t>he Matter of Albert Gonzales, Jr., Fire Fighter (M1844W), Jersey City</w:t>
      </w:r>
      <w:r>
        <w:rPr>
          <w:rFonts w:ascii="Times New Roman" w:hAnsi="Times New Roman"/>
          <w:sz w:val="24"/>
          <w:szCs w:val="24"/>
        </w:rPr>
        <w:t xml:space="preserve">, the Superior Court of New Jersey, Appellate Division, held (2 to 1) that the </w:t>
      </w:r>
      <w:r w:rsidRPr="00BA4882">
        <w:rPr>
          <w:rFonts w:ascii="Times New Roman" w:hAnsi="Times New Roman"/>
          <w:sz w:val="24"/>
          <w:szCs w:val="24"/>
        </w:rPr>
        <w:t>New Jersey Civil Service Commission</w:t>
      </w:r>
      <w:r>
        <w:rPr>
          <w:rFonts w:ascii="Times New Roman" w:hAnsi="Times New Roman"/>
          <w:sz w:val="24"/>
          <w:szCs w:val="24"/>
        </w:rPr>
        <w:t xml:space="preserve"> properly denied the applicant’s appeal.  </w:t>
      </w:r>
    </w:p>
    <w:p w14:paraId="483A3A0F" w14:textId="77777777" w:rsidR="009A27F2" w:rsidRDefault="009A27F2" w:rsidP="00286F24">
      <w:pPr>
        <w:pStyle w:val="NoSpacing"/>
        <w:rPr>
          <w:rFonts w:ascii="Times New Roman" w:hAnsi="Times New Roman"/>
          <w:sz w:val="24"/>
          <w:szCs w:val="24"/>
        </w:rPr>
      </w:pPr>
    </w:p>
    <w:p w14:paraId="58B6A9CF"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5094408C" w14:textId="77777777" w:rsidR="00286F24" w:rsidRDefault="00286F24" w:rsidP="00286F24">
      <w:pPr>
        <w:pStyle w:val="NoSpacing"/>
        <w:rPr>
          <w:rFonts w:ascii="Times New Roman" w:hAnsi="Times New Roman"/>
          <w:sz w:val="24"/>
          <w:szCs w:val="24"/>
        </w:rPr>
      </w:pPr>
    </w:p>
    <w:p w14:paraId="627D1D17" w14:textId="77777777" w:rsidR="00286F24" w:rsidRDefault="00286F24" w:rsidP="00286F24">
      <w:pPr>
        <w:pStyle w:val="NoSpacing"/>
        <w:ind w:left="720"/>
        <w:rPr>
          <w:rFonts w:ascii="Times New Roman" w:hAnsi="Times New Roman"/>
          <w:sz w:val="24"/>
          <w:szCs w:val="24"/>
        </w:rPr>
      </w:pPr>
      <w:r>
        <w:rPr>
          <w:rFonts w:ascii="Times New Roman" w:hAnsi="Times New Roman"/>
          <w:sz w:val="24"/>
          <w:szCs w:val="24"/>
        </w:rPr>
        <w:t>“</w:t>
      </w:r>
      <w:r w:rsidRPr="005E4817">
        <w:rPr>
          <w:rFonts w:ascii="Times New Roman" w:hAnsi="Times New Roman"/>
          <w:sz w:val="24"/>
          <w:szCs w:val="24"/>
        </w:rPr>
        <w:t xml:space="preserve">Appellant appeals from the February 7, 2022, Final Administrative Action (Final Action) of the Civil Service Commission (CSC) denying his motion for reconsideration and upholding his removal from the Jersey City firefighter eligibility list. Appellant was removed from the eligibility list after the review of his background report revealed he was terminated as a police officer from the Jersey City Police Department (JCPD) in 2009 and from another job in 2017. In addition, the report listed arrests in 2009 and 2010. He was convicted of a disorderly </w:t>
      </w:r>
      <w:proofErr w:type="gramStart"/>
      <w:r w:rsidRPr="005E4817">
        <w:rPr>
          <w:rFonts w:ascii="Times New Roman" w:hAnsi="Times New Roman"/>
          <w:sz w:val="24"/>
          <w:szCs w:val="24"/>
        </w:rPr>
        <w:t>persons</w:t>
      </w:r>
      <w:proofErr w:type="gramEnd"/>
      <w:r w:rsidRPr="005E4817">
        <w:rPr>
          <w:rFonts w:ascii="Times New Roman" w:hAnsi="Times New Roman"/>
          <w:sz w:val="24"/>
          <w:szCs w:val="24"/>
        </w:rPr>
        <w:t xml:space="preserve"> offense in 2010 and his driving record showed a history of motor vehicle violations and accidents.</w:t>
      </w:r>
    </w:p>
    <w:p w14:paraId="74D1DA36" w14:textId="77777777" w:rsidR="00286F24" w:rsidRDefault="00286F24" w:rsidP="00286F24">
      <w:pPr>
        <w:pStyle w:val="NoSpacing"/>
        <w:ind w:left="720"/>
        <w:rPr>
          <w:rFonts w:ascii="Times New Roman" w:hAnsi="Times New Roman"/>
          <w:sz w:val="24"/>
          <w:szCs w:val="24"/>
        </w:rPr>
      </w:pPr>
    </w:p>
    <w:p w14:paraId="31AD482C" w14:textId="77777777" w:rsidR="00286F24" w:rsidRDefault="00286F24" w:rsidP="00286F24">
      <w:pPr>
        <w:pStyle w:val="NoSpacing"/>
        <w:ind w:left="720"/>
        <w:rPr>
          <w:rFonts w:ascii="Times New Roman" w:hAnsi="Times New Roman"/>
          <w:sz w:val="24"/>
          <w:szCs w:val="24"/>
        </w:rPr>
      </w:pPr>
      <w:r>
        <w:rPr>
          <w:rFonts w:ascii="Times New Roman" w:hAnsi="Times New Roman"/>
          <w:sz w:val="24"/>
          <w:szCs w:val="24"/>
        </w:rPr>
        <w:t>***</w:t>
      </w:r>
    </w:p>
    <w:p w14:paraId="5FB691E1" w14:textId="77777777" w:rsidR="00286F24" w:rsidRDefault="00286F24" w:rsidP="00286F24">
      <w:pPr>
        <w:pStyle w:val="NoSpacing"/>
        <w:ind w:left="720"/>
        <w:rPr>
          <w:rFonts w:ascii="Times New Roman" w:hAnsi="Times New Roman"/>
          <w:sz w:val="24"/>
          <w:szCs w:val="24"/>
        </w:rPr>
      </w:pPr>
    </w:p>
    <w:p w14:paraId="7A075308" w14:textId="77777777" w:rsidR="00286F24" w:rsidRDefault="00286F24" w:rsidP="00286F24">
      <w:pPr>
        <w:pStyle w:val="NoSpacing"/>
        <w:ind w:left="720"/>
      </w:pPr>
      <w:r w:rsidRPr="00240555">
        <w:rPr>
          <w:rFonts w:ascii="Times New Roman" w:hAnsi="Times New Roman"/>
          <w:sz w:val="24"/>
          <w:szCs w:val="24"/>
        </w:rPr>
        <w:t xml:space="preserve">Appellant's disciplinary adjudications and his disorderly persons conviction all involved instances of dishonesty and deceit-traits not tolerated in </w:t>
      </w:r>
      <w:proofErr w:type="gramStart"/>
      <w:r w:rsidRPr="00240555">
        <w:rPr>
          <w:rFonts w:ascii="Times New Roman" w:hAnsi="Times New Roman"/>
          <w:sz w:val="24"/>
          <w:szCs w:val="24"/>
        </w:rPr>
        <w:t>a position</w:t>
      </w:r>
      <w:proofErr w:type="gramEnd"/>
      <w:r w:rsidRPr="00240555">
        <w:rPr>
          <w:rFonts w:ascii="Times New Roman" w:hAnsi="Times New Roman"/>
          <w:sz w:val="24"/>
          <w:szCs w:val="24"/>
        </w:rPr>
        <w:t xml:space="preserve"> of public service and of a firefighter. In such a visible position, the public must have the utmost confidence and trust in a firefighter and expects the candidate to have an impeccable character. Quite simply, a firefighter candidate must show respect for the law and the rules.</w:t>
      </w:r>
      <w:r>
        <w:rPr>
          <w:rFonts w:ascii="Times New Roman" w:hAnsi="Times New Roman"/>
          <w:sz w:val="24"/>
          <w:szCs w:val="24"/>
        </w:rPr>
        <w:t xml:space="preserve">” </w:t>
      </w:r>
      <w:hyperlink r:id="rId500" w:history="1">
        <w:r w:rsidRPr="007E4CA8">
          <w:rPr>
            <w:rStyle w:val="Hyperlink"/>
          </w:rPr>
          <w:t>https://public.fastcase.com/H1P9uiW3J20SFp%2BGCG%2BxLYPdFYBU6rXmSQ%2By5I06IYNauAow%2BFD183wwpB9seHw0huG9jZnFzDNjvlfgYqLRMXl7VVMzVdIElYOfNiWEhG4%3D?utm_medium=email&amp;_hsmi=226712652&amp;_hsenc=p2ANqtz-9dIeusfdAjuYcHWZc-tZCt-VYwNMyt2XrZBQ64qnpV1yAnhv8veUFYKRs_yaW_VBF9gsQcut_JaRzapEXH-rHIPbxEPQ&amp;utm_content=226712652&amp;utm_source=hs_email</w:t>
        </w:r>
      </w:hyperlink>
      <w:r>
        <w:t xml:space="preserve"> </w:t>
      </w:r>
    </w:p>
    <w:p w14:paraId="06094223" w14:textId="77777777" w:rsidR="00286F24" w:rsidRDefault="00286F24" w:rsidP="00286F24">
      <w:pPr>
        <w:pStyle w:val="NoSpacing"/>
        <w:ind w:left="720"/>
        <w:rPr>
          <w:rFonts w:ascii="Times New Roman" w:hAnsi="Times New Roman"/>
          <w:sz w:val="24"/>
          <w:szCs w:val="24"/>
        </w:rPr>
      </w:pPr>
    </w:p>
    <w:p w14:paraId="6AF5A688" w14:textId="77777777" w:rsidR="00286F24" w:rsidRPr="002E778E" w:rsidRDefault="00286F24" w:rsidP="00286F24">
      <w:pPr>
        <w:pStyle w:val="NormalWeb"/>
        <w:rPr>
          <w:b/>
          <w:bCs/>
        </w:rPr>
      </w:pPr>
      <w:r>
        <w:rPr>
          <w:b/>
          <w:bCs/>
        </w:rPr>
        <w:t>Legal Lesson Learned: Thorough background checks are essential in hiring fire &amp; EMS.</w:t>
      </w:r>
    </w:p>
    <w:p w14:paraId="6D02AE55" w14:textId="77777777" w:rsidR="00286F24" w:rsidRDefault="00286F24" w:rsidP="00286F24">
      <w:pPr>
        <w:pStyle w:val="NormalWeb"/>
        <w:ind w:left="720"/>
      </w:pPr>
    </w:p>
    <w:p w14:paraId="548CDD85" w14:textId="1660C901" w:rsidR="005B2CD1" w:rsidRDefault="005B2CD1" w:rsidP="00853142">
      <w:pPr>
        <w:rPr>
          <w:rFonts w:ascii="Arial Black" w:hAnsi="Arial Black"/>
          <w:sz w:val="24"/>
          <w:szCs w:val="24"/>
        </w:rPr>
      </w:pPr>
      <w:r>
        <w:rPr>
          <w:rFonts w:ascii="Arial Black" w:hAnsi="Arial Black"/>
          <w:sz w:val="24"/>
          <w:szCs w:val="24"/>
        </w:rPr>
        <w:t>2-6</w:t>
      </w:r>
      <w:r w:rsidR="007C073D">
        <w:rPr>
          <w:rFonts w:ascii="Arial Black" w:hAnsi="Arial Black"/>
          <w:sz w:val="24"/>
          <w:szCs w:val="24"/>
        </w:rPr>
        <w:t>4</w:t>
      </w:r>
    </w:p>
    <w:p w14:paraId="1829B3C5" w14:textId="77777777" w:rsidR="005B2CD1" w:rsidRDefault="005B2CD1" w:rsidP="005B2CD1">
      <w:pPr>
        <w:pStyle w:val="NormalWeb"/>
        <w:rPr>
          <w:rFonts w:ascii="Arial Black" w:hAnsi="Arial Black"/>
          <w:sz w:val="28"/>
          <w:szCs w:val="28"/>
        </w:rPr>
      </w:pPr>
      <w:r>
        <w:rPr>
          <w:rFonts w:ascii="Arial Black" w:hAnsi="Arial Black"/>
          <w:sz w:val="28"/>
          <w:szCs w:val="28"/>
        </w:rPr>
        <w:t>WI:  FF INJURED KNEE CARRYING CHILD DOWN STEPS – BOTTOM RISER WAS 10-11” / MAX IS 8” - CASE PROCEED</w:t>
      </w:r>
    </w:p>
    <w:p w14:paraId="12E25B65" w14:textId="77777777" w:rsidR="005B2CD1" w:rsidRDefault="005B2CD1" w:rsidP="005B2CD1">
      <w:pPr>
        <w:pStyle w:val="NormalWeb"/>
      </w:pPr>
      <w:r>
        <w:t xml:space="preserve">On Feb. 22, 2024, in </w:t>
      </w:r>
      <w:r w:rsidRPr="00202B6D">
        <w:rPr>
          <w:u w:val="single"/>
        </w:rPr>
        <w:t>Bradley J. Herring and Kerry L. Hering, et. al. v. Rural Mutual Insurance Company and Edward Bruenig</w:t>
      </w:r>
      <w:r>
        <w:t xml:space="preserve">, the Court of Appeals of Wisconsin (District IV) held (3 to 0; unpublished opinion) that trial court mistakenly granted summary judgment to the building owner and his insurance company; the bottom step had apparently settled over time to 10-11 inches, and the Wisconsin statute barring lawsuits 7 years after a building was installed with unknown “structural defect” did not apply to steps or sidewalk settling. </w:t>
      </w:r>
    </w:p>
    <w:p w14:paraId="68312931"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C5AEE9A" w14:textId="77777777" w:rsidR="005B2CD1" w:rsidRDefault="005B2CD1" w:rsidP="005B2CD1">
      <w:pPr>
        <w:pStyle w:val="NormalWeb"/>
        <w:ind w:left="720"/>
      </w:pPr>
      <w:r>
        <w:t xml:space="preserve">“The </w:t>
      </w:r>
      <w:proofErr w:type="spellStart"/>
      <w:r>
        <w:t>Herings</w:t>
      </w:r>
      <w:proofErr w:type="spellEnd"/>
      <w:r>
        <w:t xml:space="preserve"> sued </w:t>
      </w:r>
      <w:proofErr w:type="spellStart"/>
      <w:r>
        <w:t>Bruenig</w:t>
      </w:r>
      <w:proofErr w:type="spellEnd"/>
      <w:r>
        <w:t xml:space="preserve"> for injuries that Hering sustained while descending the front steps of a private residence owned by </w:t>
      </w:r>
      <w:proofErr w:type="spellStart"/>
      <w:r>
        <w:t>Bruenig</w:t>
      </w:r>
      <w:proofErr w:type="spellEnd"/>
      <w:r>
        <w:t xml:space="preserve">. The court dismissed the </w:t>
      </w:r>
      <w:proofErr w:type="spellStart"/>
      <w:r>
        <w:t>Herings</w:t>
      </w:r>
      <w:proofErr w:type="spellEnd"/>
      <w:r>
        <w:t>' claims because it concluded that the claims were time barred by the statute of repose, WIS. STAT. § 893.89 (2021-22).</w:t>
      </w:r>
      <w:r>
        <w:rPr>
          <w:vertAlign w:val="superscript"/>
        </w:rPr>
        <w:t>[</w:t>
      </w:r>
      <w:hyperlink r:id="rId501" w:anchor="ftn.FN2" w:history="1">
        <w:r>
          <w:rPr>
            <w:rStyle w:val="Hyperlink"/>
            <w:vertAlign w:val="superscript"/>
          </w:rPr>
          <w:t>2</w:t>
        </w:r>
      </w:hyperlink>
      <w:r>
        <w:rPr>
          <w:vertAlign w:val="superscript"/>
        </w:rPr>
        <w:t>]</w:t>
      </w:r>
      <w:r>
        <w:t xml:space="preserve"> The </w:t>
      </w:r>
      <w:proofErr w:type="spellStart"/>
      <w:r>
        <w:t>Herings</w:t>
      </w:r>
      <w:proofErr w:type="spellEnd"/>
      <w:r>
        <w:t xml:space="preserve"> argue that the court erred because </w:t>
      </w:r>
      <w:proofErr w:type="spellStart"/>
      <w:r>
        <w:t>Bruenig</w:t>
      </w:r>
      <w:proofErr w:type="spellEnd"/>
      <w:r>
        <w:t xml:space="preserve"> failed to show on summary judgment that Hering's injuries were caused by a "deficiency or defect in the design ... [or] construction of [an] improvement to real property," as required to invoke the statute of repose. </w:t>
      </w:r>
      <w:r>
        <w:rPr>
          <w:rStyle w:val="Emphasis"/>
        </w:rPr>
        <w:t>See</w:t>
      </w:r>
      <w:r>
        <w:t xml:space="preserve"> § 893.89(2). We agree. Accordingly, we reverse the circuit court's summary judgment order.</w:t>
      </w:r>
    </w:p>
    <w:p w14:paraId="77806DD2" w14:textId="77777777" w:rsidR="005B2CD1" w:rsidRDefault="005B2CD1" w:rsidP="005B2CD1">
      <w:pPr>
        <w:pStyle w:val="NormalWeb"/>
        <w:ind w:left="720"/>
      </w:pPr>
      <w:r>
        <w:t>***</w:t>
      </w:r>
    </w:p>
    <w:p w14:paraId="15021671" w14:textId="77777777" w:rsidR="005B2CD1" w:rsidRDefault="005B2CD1" w:rsidP="005B2CD1">
      <w:pPr>
        <w:pStyle w:val="NormalWeb"/>
        <w:ind w:left="720"/>
      </w:pPr>
      <w:proofErr w:type="spellStart"/>
      <w:r>
        <w:t>Bruenig</w:t>
      </w:r>
      <w:proofErr w:type="spellEnd"/>
      <w:r>
        <w:t xml:space="preserve"> moved for summary judgment, arguing that the </w:t>
      </w:r>
      <w:proofErr w:type="spellStart"/>
      <w:r>
        <w:t>Herings</w:t>
      </w:r>
      <w:proofErr w:type="spellEnd"/>
      <w:r>
        <w:t xml:space="preserve">' claims are time barred by the statute of repose, WIS. STAT. § 893.89, because they were brought more than seven years after the walkway and steps were substantially completed and because any injuries that Hering sustained would have been caused by a structural defect of the steps or walkway. The circuit court granted </w:t>
      </w:r>
      <w:proofErr w:type="spellStart"/>
      <w:r>
        <w:t>Bruenig's</w:t>
      </w:r>
      <w:proofErr w:type="spellEnd"/>
      <w:r>
        <w:t xml:space="preserve"> motion. The court did so based on three facts that it characterized as undisputed: that the walkway was constructed in 1999, that the walkway ‘existed through 2019 with no changes,’ and that ‘the condition of the height of the risers of the steps and changes to a cement stoop step[] over time would be a settling, which would go to the construction of the steps at the time.’” </w:t>
      </w:r>
      <w:hyperlink r:id="rId502" w:history="1">
        <w:r w:rsidRPr="00E15FC9">
          <w:rPr>
            <w:rStyle w:val="Hyperlink"/>
          </w:rPr>
          <w:t>https://casetext.com/case/hering-v-rural-mut-ins-co</w:t>
        </w:r>
      </w:hyperlink>
      <w:r>
        <w:t xml:space="preserve"> </w:t>
      </w:r>
    </w:p>
    <w:p w14:paraId="77AF1A55" w14:textId="77777777" w:rsidR="005B2CD1" w:rsidRDefault="005B2CD1" w:rsidP="005B2CD1">
      <w:pPr>
        <w:pStyle w:val="NormalWeb"/>
        <w:rPr>
          <w:b/>
          <w:bCs/>
        </w:rPr>
      </w:pPr>
      <w:r w:rsidRPr="003F00DC">
        <w:rPr>
          <w:b/>
          <w:bCs/>
        </w:rPr>
        <w:t>Legal Lesson Learned:</w:t>
      </w:r>
      <w:r>
        <w:rPr>
          <w:b/>
          <w:bCs/>
        </w:rPr>
        <w:t xml:space="preserve"> If the firefighter wins damages, then his City of Watertown Fire Department will be entitled to reimbursement for </w:t>
      </w:r>
      <w:proofErr w:type="gramStart"/>
      <w:r>
        <w:rPr>
          <w:b/>
          <w:bCs/>
        </w:rPr>
        <w:t>workers</w:t>
      </w:r>
      <w:proofErr w:type="gramEnd"/>
      <w:r>
        <w:rPr>
          <w:b/>
          <w:bCs/>
        </w:rPr>
        <w:t xml:space="preserve"> comp payments.</w:t>
      </w:r>
    </w:p>
    <w:p w14:paraId="13921F20" w14:textId="77777777" w:rsidR="005B2CD1" w:rsidRDefault="005B2CD1" w:rsidP="005B2CD1">
      <w:pPr>
        <w:pStyle w:val="NormalWeb"/>
        <w:ind w:left="720"/>
      </w:pPr>
      <w:r w:rsidRPr="00DB67C5">
        <w:t xml:space="preserve">Note: In many states the “Fireman’s Rule” would prohibit a firefighter for suing homeowner for on duty injuries. </w:t>
      </w:r>
    </w:p>
    <w:p w14:paraId="67C0C5FF" w14:textId="77777777" w:rsidR="005B2CD1" w:rsidRDefault="005B2CD1" w:rsidP="005B2CD1">
      <w:pPr>
        <w:pStyle w:val="NormalWeb"/>
        <w:ind w:left="720"/>
      </w:pPr>
      <w:r>
        <w:t xml:space="preserve">The Wisconsin Supreme Court in 1989 held that Fireman’s Rule normally prohibits firefighters from suing a homeowner for </w:t>
      </w:r>
      <w:proofErr w:type="gramStart"/>
      <w:r>
        <w:t>damages</w:t>
      </w:r>
      <w:proofErr w:type="gramEnd"/>
      <w:r>
        <w:t xml:space="preserve"> unless they created a hidden hazard; such as </w:t>
      </w:r>
      <w:proofErr w:type="gramStart"/>
      <w:r>
        <w:t>storying</w:t>
      </w:r>
      <w:proofErr w:type="gramEnd"/>
      <w:r>
        <w:t xml:space="preserve"> gasoline in basement. “Thus, this court has decided as a matter of policy that, were the landowner's or occupier's negligence is in starting a fire or in failing to curtail its spread, there is no liability to a firefighter.”</w:t>
      </w:r>
      <w:r w:rsidRPr="00335ED9">
        <w:t xml:space="preserve"> </w:t>
      </w:r>
      <w:r>
        <w:t xml:space="preserve">Wright v. Coleman, </w:t>
      </w:r>
      <w:hyperlink r:id="rId503" w:history="1">
        <w:r w:rsidRPr="00E15FC9">
          <w:rPr>
            <w:rStyle w:val="Hyperlink"/>
          </w:rPr>
          <w:t>https://law.justia.com/cases/wisconsin/supreme-court/1989/87-1094-9.html</w:t>
        </w:r>
      </w:hyperlink>
      <w:r>
        <w:t xml:space="preserve"> </w:t>
      </w:r>
    </w:p>
    <w:p w14:paraId="6978AA64" w14:textId="77777777" w:rsidR="005B2CD1" w:rsidRDefault="005B2CD1" w:rsidP="005B2CD1">
      <w:pPr>
        <w:pStyle w:val="NormalWeb"/>
        <w:ind w:left="1440"/>
      </w:pPr>
      <w:r>
        <w:t xml:space="preserve">“Bud Wright, the plaintiff and petitioner before this court, was employed as </w:t>
      </w:r>
      <w:proofErr w:type="gramStart"/>
      <w:r>
        <w:t>a</w:t>
      </w:r>
      <w:proofErr w:type="gramEnd"/>
      <w:r>
        <w:t xml:space="preserve"> </w:t>
      </w:r>
      <w:proofErr w:type="spellStart"/>
      <w:r>
        <w:t>irefighter</w:t>
      </w:r>
      <w:proofErr w:type="spellEnd"/>
      <w:r>
        <w:t xml:space="preserve"> by the city of Brookfield when, on January 8, 1983, at about three o'clock in the morning, he, with his fire company, responded to a report of a fire on the property of Thomas Coleman. The first officer at the scene was a police officer, who ordered Coleman, the landowner, into the house and away from the detached garage, where the fire was blazing. After Wright arrived at the scene, he was attempting to bring a hose line up to the garage when he fell on ‘glare ice’ on the driveway. There were assertions at trial that this ice was the result of Coleman's son using a garden hose late in the preceding afternoon to wash a car. There was some evidence that, on the </w:t>
      </w:r>
      <w:proofErr w:type="gramStart"/>
      <w:r>
        <w:t>particular evening</w:t>
      </w:r>
      <w:proofErr w:type="gramEnd"/>
      <w:r>
        <w:t>, there was no ice anywhere else in the city of Brookfield only this artificially created icy area. It is asserted that Wright so severely injured his knee that he was obliged to retire as a firefighter.”</w:t>
      </w:r>
    </w:p>
    <w:p w14:paraId="715824E6" w14:textId="77777777" w:rsidR="005B2CD1" w:rsidRDefault="005B2CD1" w:rsidP="00853142">
      <w:pPr>
        <w:rPr>
          <w:rFonts w:ascii="Arial Black" w:hAnsi="Arial Black"/>
          <w:sz w:val="24"/>
          <w:szCs w:val="24"/>
        </w:rPr>
      </w:pPr>
    </w:p>
    <w:p w14:paraId="20B242A3" w14:textId="614B2688" w:rsidR="002C34C9" w:rsidRDefault="002C34C9" w:rsidP="00853142">
      <w:pPr>
        <w:rPr>
          <w:rFonts w:ascii="Arial Black" w:hAnsi="Arial Black"/>
          <w:sz w:val="24"/>
          <w:szCs w:val="24"/>
        </w:rPr>
      </w:pPr>
      <w:r>
        <w:rPr>
          <w:rFonts w:ascii="Arial Black" w:hAnsi="Arial Black"/>
          <w:sz w:val="24"/>
          <w:szCs w:val="24"/>
        </w:rPr>
        <w:t>2-6</w:t>
      </w:r>
      <w:r w:rsidR="007C073D">
        <w:rPr>
          <w:rFonts w:ascii="Arial Black" w:hAnsi="Arial Black"/>
          <w:sz w:val="24"/>
          <w:szCs w:val="24"/>
        </w:rPr>
        <w:t>3</w:t>
      </w:r>
    </w:p>
    <w:p w14:paraId="24639D17" w14:textId="65A6BCD4" w:rsidR="00625F79" w:rsidRDefault="00625F79" w:rsidP="00625F79">
      <w:pPr>
        <w:pStyle w:val="NormalWeb"/>
        <w:rPr>
          <w:rFonts w:ascii="Arial Black" w:hAnsi="Arial Black"/>
          <w:sz w:val="28"/>
          <w:szCs w:val="28"/>
        </w:rPr>
      </w:pPr>
      <w:r>
        <w:rPr>
          <w:rFonts w:ascii="Arial Black" w:hAnsi="Arial Black"/>
          <w:sz w:val="28"/>
          <w:szCs w:val="28"/>
        </w:rPr>
        <w:t xml:space="preserve">NY: VOLUNTEER FF - INJURED FELL </w:t>
      </w:r>
      <w:r w:rsidR="009F1D79">
        <w:rPr>
          <w:rFonts w:ascii="Arial Black" w:hAnsi="Arial Black"/>
          <w:sz w:val="28"/>
          <w:szCs w:val="28"/>
        </w:rPr>
        <w:t xml:space="preserve">OFF </w:t>
      </w:r>
      <w:r>
        <w:rPr>
          <w:rFonts w:ascii="Arial Black" w:hAnsi="Arial Black"/>
          <w:sz w:val="28"/>
          <w:szCs w:val="28"/>
        </w:rPr>
        <w:t xml:space="preserve">BACK </w:t>
      </w:r>
      <w:r w:rsidR="009F1D79">
        <w:rPr>
          <w:rFonts w:ascii="Arial Black" w:hAnsi="Arial Black"/>
          <w:sz w:val="28"/>
          <w:szCs w:val="28"/>
        </w:rPr>
        <w:t xml:space="preserve">OF </w:t>
      </w:r>
      <w:r>
        <w:rPr>
          <w:rFonts w:ascii="Arial Black" w:hAnsi="Arial Black"/>
          <w:sz w:val="28"/>
          <w:szCs w:val="28"/>
        </w:rPr>
        <w:t xml:space="preserve">FIRE ENGINE – CANNOT SUE DRILL TEAM, FD OR </w:t>
      </w:r>
      <w:r w:rsidR="009F1D79">
        <w:rPr>
          <w:rFonts w:ascii="Arial Black" w:hAnsi="Arial Black"/>
          <w:sz w:val="28"/>
          <w:szCs w:val="28"/>
        </w:rPr>
        <w:t xml:space="preserve">VOL. FF </w:t>
      </w:r>
      <w:r>
        <w:rPr>
          <w:rFonts w:ascii="Arial Black" w:hAnsi="Arial Black"/>
          <w:sz w:val="28"/>
          <w:szCs w:val="28"/>
        </w:rPr>
        <w:t>DRIVER</w:t>
      </w:r>
    </w:p>
    <w:p w14:paraId="4C07661E" w14:textId="77777777" w:rsidR="00614665" w:rsidRPr="00614665" w:rsidRDefault="00625F79" w:rsidP="00614665">
      <w:pPr>
        <w:rPr>
          <w:rFonts w:ascii="Times New Roman" w:hAnsi="Times New Roman"/>
          <w:sz w:val="24"/>
          <w:szCs w:val="24"/>
        </w:rPr>
      </w:pPr>
      <w:r w:rsidRPr="00614665">
        <w:rPr>
          <w:rFonts w:ascii="Times New Roman" w:hAnsi="Times New Roman"/>
          <w:sz w:val="24"/>
          <w:szCs w:val="24"/>
        </w:rPr>
        <w:t xml:space="preserve">On Jan. 17, 2024, in </w:t>
      </w:r>
      <w:r w:rsidRPr="00614665">
        <w:rPr>
          <w:rFonts w:ascii="Times New Roman" w:hAnsi="Times New Roman"/>
          <w:sz w:val="24"/>
          <w:szCs w:val="24"/>
          <w:u w:val="single"/>
        </w:rPr>
        <w:t xml:space="preserve">William A. Knipper v. Drill Team of </w:t>
      </w:r>
      <w:proofErr w:type="spellStart"/>
      <w:r w:rsidRPr="00614665">
        <w:rPr>
          <w:rFonts w:ascii="Times New Roman" w:hAnsi="Times New Roman"/>
          <w:sz w:val="24"/>
          <w:szCs w:val="24"/>
          <w:u w:val="single"/>
        </w:rPr>
        <w:t>Lindenhust</w:t>
      </w:r>
      <w:proofErr w:type="spellEnd"/>
      <w:r w:rsidRPr="00614665">
        <w:rPr>
          <w:rFonts w:ascii="Times New Roman" w:hAnsi="Times New Roman"/>
          <w:sz w:val="24"/>
          <w:szCs w:val="24"/>
          <w:u w:val="single"/>
        </w:rPr>
        <w:t xml:space="preserve"> Fire Department, Inc, et al.</w:t>
      </w:r>
      <w:r w:rsidRPr="00614665">
        <w:rPr>
          <w:rFonts w:ascii="Times New Roman" w:hAnsi="Times New Roman"/>
          <w:sz w:val="24"/>
          <w:szCs w:val="24"/>
        </w:rPr>
        <w:t xml:space="preserve">, the Superior Court of New York held (4 to 0) that the trial court properly dismissed the lawsuit against the Drill Team, the Fire Department and the volunteer firefighter who drove the fire engine. The injured firefighter already applied for is workers comp, and under the state Volunteer Firefighters’ Benefit Law he cannot sue for damages. </w:t>
      </w:r>
      <w:hyperlink r:id="rId504" w:history="1">
        <w:r w:rsidR="00614665" w:rsidRPr="00614665">
          <w:rPr>
            <w:rStyle w:val="Hyperlink"/>
            <w:rFonts w:ascii="Times New Roman" w:hAnsi="Times New Roman"/>
            <w:sz w:val="24"/>
            <w:szCs w:val="24"/>
          </w:rPr>
          <w:t>https://casetext.com/case/knipper-v-drill-team-of-lindenhurst-fire-dept</w:t>
        </w:r>
      </w:hyperlink>
    </w:p>
    <w:p w14:paraId="6ACC8E5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A2AFF10" w14:textId="77777777" w:rsidR="00625F79" w:rsidRDefault="00625F79" w:rsidP="00625F79">
      <w:pPr>
        <w:pStyle w:val="NormalWeb"/>
        <w:ind w:left="720"/>
      </w:pPr>
      <w:r>
        <w:t>“</w:t>
      </w:r>
      <w:hyperlink r:id="rId505" w:history="1">
        <w:r w:rsidRPr="00616D93">
          <w:rPr>
            <w:rStyle w:val="Hyperlink"/>
          </w:rPr>
          <w:t>Section 19 of the Volunteer Firefighters' Benefit Law</w:t>
        </w:r>
      </w:hyperlink>
      <w:r w:rsidRPr="00616D93">
        <w:t xml:space="preserve"> provides, in pertinent part, that </w:t>
      </w:r>
      <w:r>
        <w:t>‘</w:t>
      </w:r>
      <w:r w:rsidRPr="00616D93">
        <w:t>[t]he benefits provided by this chapter shall be the exclusive</w:t>
      </w:r>
      <w:r>
        <w:t xml:space="preserve"> remedy of a volunteer firefighter" for injuries sustained "in line of duty... as against... any person or agency acting under governmental or statutory authority in furtherance of the duties or activities in relation to which any such injury resulted.’ Thus, where a volunteer firefighter sustains an injury in the line of duty, the injured firefighter is barred from seeking recovery against either a fire company with which he or she had an employer/employee relationship … or fellow firefighters acting "in furtherance of their duties and activities" (</w:t>
      </w:r>
      <w:r>
        <w:rPr>
          <w:i/>
          <w:iCs/>
        </w:rPr>
        <w:t xml:space="preserve">Maines v </w:t>
      </w:r>
      <w:proofErr w:type="spellStart"/>
      <w:r>
        <w:rPr>
          <w:i/>
          <w:iCs/>
        </w:rPr>
        <w:t>Cronomer</w:t>
      </w:r>
      <w:proofErr w:type="spellEnd"/>
      <w:r>
        <w:rPr>
          <w:i/>
          <w:iCs/>
        </w:rPr>
        <w:t xml:space="preserve"> Val. Fire Dept.</w:t>
      </w:r>
      <w:r>
        <w:t xml:space="preserve">, </w:t>
      </w:r>
      <w:hyperlink r:id="rId506" w:anchor="p546" w:history="1">
        <w:r>
          <w:rPr>
            <w:rStyle w:val="Hyperlink"/>
          </w:rPr>
          <w:t>50 N.Y.2d 535, 546</w:t>
        </w:r>
      </w:hyperlink>
      <w:r>
        <w:t xml:space="preserve"> [internal quotation marks omitted]).</w:t>
      </w:r>
    </w:p>
    <w:p w14:paraId="7E87DB28" w14:textId="77777777" w:rsidR="00625F79" w:rsidRDefault="00625F79" w:rsidP="00625F79">
      <w:pPr>
        <w:pStyle w:val="NormalWeb"/>
        <w:ind w:left="720"/>
      </w:pPr>
      <w:r>
        <w:t>***</w:t>
      </w:r>
    </w:p>
    <w:p w14:paraId="27DD1F30" w14:textId="3CEF7F46" w:rsidR="002C34C9" w:rsidRPr="00625F79" w:rsidRDefault="00625F79" w:rsidP="00625F79">
      <w:pPr>
        <w:ind w:left="720"/>
        <w:rPr>
          <w:rFonts w:ascii="Times New Roman" w:hAnsi="Times New Roman"/>
          <w:sz w:val="24"/>
          <w:szCs w:val="24"/>
        </w:rPr>
      </w:pPr>
      <w:r w:rsidRPr="00625F79">
        <w:rPr>
          <w:rFonts w:ascii="Times New Roman" w:hAnsi="Times New Roman"/>
          <w:sz w:val="24"/>
          <w:szCs w:val="24"/>
        </w:rPr>
        <w:t>Here, the Lindenhurst defendants submitted, and Weckerle referenced, evidence showing that the plaintiff applied for and was awarded workers' compensation benefits based upon a determination that he was injured in the line of duty. Moreover, viewing the plaintiff's allegations in the light most favorable to him, the plaintiff failed to allege that Weckerle was not acting in furtherance of his duties and activities as a volunteer firefighter at the time of the accident by preparing for a competitive tournament (</w:t>
      </w:r>
      <w:r w:rsidRPr="00625F79">
        <w:rPr>
          <w:rFonts w:ascii="Times New Roman" w:hAnsi="Times New Roman"/>
          <w:i/>
          <w:iCs/>
          <w:sz w:val="24"/>
          <w:szCs w:val="24"/>
        </w:rPr>
        <w:t>see</w:t>
      </w:r>
      <w:r w:rsidRPr="00625F79">
        <w:rPr>
          <w:rFonts w:ascii="Times New Roman" w:hAnsi="Times New Roman"/>
          <w:sz w:val="24"/>
          <w:szCs w:val="24"/>
        </w:rPr>
        <w:t xml:space="preserve"> </w:t>
      </w:r>
      <w:hyperlink r:id="rId507" w:history="1">
        <w:r w:rsidRPr="00625F79">
          <w:rPr>
            <w:rStyle w:val="Hyperlink"/>
            <w:rFonts w:ascii="Times New Roman" w:hAnsi="Times New Roman"/>
            <w:sz w:val="24"/>
            <w:szCs w:val="24"/>
          </w:rPr>
          <w:t>Volunteer Firefighters' Benefit Law § 5</w:t>
        </w:r>
      </w:hyperlink>
      <w:r w:rsidRPr="00625F79">
        <w:rPr>
          <w:rFonts w:ascii="Times New Roman" w:hAnsi="Times New Roman"/>
          <w:sz w:val="24"/>
          <w:szCs w:val="24"/>
        </w:rPr>
        <w:t>[1][</w:t>
      </w:r>
      <w:proofErr w:type="spellStart"/>
      <w:r w:rsidRPr="00625F79">
        <w:rPr>
          <w:rFonts w:ascii="Times New Roman" w:hAnsi="Times New Roman"/>
          <w:sz w:val="24"/>
          <w:szCs w:val="24"/>
        </w:rPr>
        <w:t>i</w:t>
      </w:r>
      <w:proofErr w:type="spellEnd"/>
      <w:r w:rsidRPr="00625F79">
        <w:rPr>
          <w:rFonts w:ascii="Times New Roman" w:hAnsi="Times New Roman"/>
          <w:sz w:val="24"/>
          <w:szCs w:val="24"/>
        </w:rPr>
        <w:t xml:space="preserve">]). Thus, the Lindenhurst defendants and Weckerle demonstrated that the plaintiff did not have a cause of action against them because the plaintiff's claims against them were barred by the exclusivity provisions of </w:t>
      </w:r>
      <w:hyperlink r:id="rId508" w:history="1">
        <w:r w:rsidRPr="00625F79">
          <w:rPr>
            <w:rStyle w:val="Hyperlink"/>
            <w:rFonts w:ascii="Times New Roman" w:hAnsi="Times New Roman"/>
            <w:sz w:val="24"/>
            <w:szCs w:val="24"/>
          </w:rPr>
          <w:t>Volunteer Firefighters' Benefit Law § 19</w:t>
        </w:r>
      </w:hyperlink>
      <w:r w:rsidRPr="00625F79">
        <w:rPr>
          <w:rFonts w:ascii="Times New Roman" w:hAnsi="Times New Roman"/>
          <w:sz w:val="24"/>
          <w:szCs w:val="24"/>
        </w:rPr>
        <w:t xml:space="preserve"> (</w:t>
      </w:r>
      <w:r w:rsidRPr="00625F79">
        <w:rPr>
          <w:rFonts w:ascii="Times New Roman" w:hAnsi="Times New Roman"/>
          <w:i/>
          <w:iCs/>
          <w:sz w:val="24"/>
          <w:szCs w:val="24"/>
        </w:rPr>
        <w:t>see Brady v Village of Malverne</w:t>
      </w:r>
      <w:r w:rsidRPr="00625F79">
        <w:rPr>
          <w:rFonts w:ascii="Times New Roman" w:hAnsi="Times New Roman"/>
          <w:sz w:val="24"/>
          <w:szCs w:val="24"/>
        </w:rPr>
        <w:t xml:space="preserve">, </w:t>
      </w:r>
      <w:hyperlink r:id="rId509" w:anchor="p693" w:history="1">
        <w:r w:rsidRPr="00625F79">
          <w:rPr>
            <w:rStyle w:val="Hyperlink"/>
            <w:rFonts w:ascii="Times New Roman" w:hAnsi="Times New Roman"/>
            <w:sz w:val="24"/>
            <w:szCs w:val="24"/>
          </w:rPr>
          <w:t>76 A.D.3d 691, 693</w:t>
        </w:r>
      </w:hyperlink>
      <w:r w:rsidRPr="00625F79">
        <w:rPr>
          <w:rFonts w:ascii="Times New Roman" w:hAnsi="Times New Roman"/>
          <w:sz w:val="24"/>
          <w:szCs w:val="24"/>
        </w:rPr>
        <w:t xml:space="preserve">; </w:t>
      </w:r>
      <w:proofErr w:type="spellStart"/>
      <w:r w:rsidRPr="00625F79">
        <w:rPr>
          <w:rFonts w:ascii="Times New Roman" w:hAnsi="Times New Roman"/>
          <w:i/>
          <w:iCs/>
          <w:sz w:val="24"/>
          <w:szCs w:val="24"/>
        </w:rPr>
        <w:t>Theodoreu</w:t>
      </w:r>
      <w:proofErr w:type="spellEnd"/>
      <w:r w:rsidRPr="00625F79">
        <w:rPr>
          <w:rFonts w:ascii="Times New Roman" w:hAnsi="Times New Roman"/>
          <w:i/>
          <w:iCs/>
          <w:sz w:val="24"/>
          <w:szCs w:val="24"/>
        </w:rPr>
        <w:t xml:space="preserve"> v Chester Fire Dist.</w:t>
      </w:r>
      <w:r w:rsidRPr="00625F79">
        <w:rPr>
          <w:rFonts w:ascii="Times New Roman" w:hAnsi="Times New Roman"/>
          <w:sz w:val="24"/>
          <w:szCs w:val="24"/>
        </w:rPr>
        <w:t xml:space="preserve">, </w:t>
      </w:r>
      <w:hyperlink r:id="rId510" w:anchor="p500" w:history="1">
        <w:r w:rsidRPr="00625F79">
          <w:rPr>
            <w:rStyle w:val="Hyperlink"/>
            <w:rFonts w:ascii="Times New Roman" w:hAnsi="Times New Roman"/>
            <w:sz w:val="24"/>
            <w:szCs w:val="24"/>
          </w:rPr>
          <w:t>12 A.D.3d at 500</w:t>
        </w:r>
      </w:hyperlink>
      <w:r w:rsidRPr="00625F79">
        <w:rPr>
          <w:rFonts w:ascii="Times New Roman" w:hAnsi="Times New Roman"/>
          <w:sz w:val="24"/>
          <w:szCs w:val="24"/>
        </w:rPr>
        <w:t xml:space="preserve">; </w:t>
      </w:r>
      <w:r w:rsidRPr="00625F79">
        <w:rPr>
          <w:rFonts w:ascii="Times New Roman" w:hAnsi="Times New Roman"/>
          <w:i/>
          <w:iCs/>
          <w:sz w:val="24"/>
          <w:szCs w:val="24"/>
        </w:rPr>
        <w:t>Malone v Jacobs</w:t>
      </w:r>
      <w:r w:rsidRPr="00625F79">
        <w:rPr>
          <w:rFonts w:ascii="Times New Roman" w:hAnsi="Times New Roman"/>
          <w:sz w:val="24"/>
          <w:szCs w:val="24"/>
        </w:rPr>
        <w:t xml:space="preserve">, </w:t>
      </w:r>
      <w:hyperlink r:id="rId511" w:anchor="p928" w:history="1">
        <w:r w:rsidRPr="00625F79">
          <w:rPr>
            <w:rStyle w:val="Hyperlink"/>
            <w:rFonts w:ascii="Times New Roman" w:hAnsi="Times New Roman"/>
            <w:sz w:val="24"/>
            <w:szCs w:val="24"/>
          </w:rPr>
          <w:t>88 A.D.2d at 928</w:t>
        </w:r>
      </w:hyperlink>
      <w:r w:rsidRPr="00625F79">
        <w:rPr>
          <w:rFonts w:ascii="Times New Roman" w:hAnsi="Times New Roman"/>
          <w:sz w:val="24"/>
          <w:szCs w:val="24"/>
        </w:rPr>
        <w:t xml:space="preserve">). Accordingly, the Supreme Court properly granted the motions of the Lindenhurst defendants and Weckerle pursuant to </w:t>
      </w:r>
      <w:hyperlink r:id="rId512" w:history="1">
        <w:r w:rsidRPr="00625F79">
          <w:rPr>
            <w:rStyle w:val="Hyperlink"/>
            <w:rFonts w:ascii="Times New Roman" w:hAnsi="Times New Roman"/>
            <w:sz w:val="24"/>
            <w:szCs w:val="24"/>
          </w:rPr>
          <w:t>CPLR 3211(a)(7)</w:t>
        </w:r>
      </w:hyperlink>
      <w:r w:rsidRPr="00625F79">
        <w:rPr>
          <w:rFonts w:ascii="Times New Roman" w:hAnsi="Times New Roman"/>
          <w:sz w:val="24"/>
          <w:szCs w:val="24"/>
        </w:rPr>
        <w:t xml:space="preserve"> to dismiss the amended complaint insofar as asserted against each of </w:t>
      </w:r>
      <w:proofErr w:type="gramStart"/>
      <w:r w:rsidRPr="00625F79">
        <w:rPr>
          <w:rFonts w:ascii="Times New Roman" w:hAnsi="Times New Roman"/>
          <w:sz w:val="24"/>
          <w:szCs w:val="24"/>
        </w:rPr>
        <w:t>them.”</w:t>
      </w:r>
      <w:proofErr w:type="gramEnd"/>
      <w:r w:rsidRPr="00625F79">
        <w:rPr>
          <w:rFonts w:ascii="Times New Roman" w:hAnsi="Times New Roman"/>
          <w:sz w:val="24"/>
          <w:szCs w:val="24"/>
        </w:rPr>
        <w:t xml:space="preserve"> </w:t>
      </w:r>
      <w:hyperlink r:id="rId513" w:history="1">
        <w:r w:rsidRPr="00625F79">
          <w:rPr>
            <w:rStyle w:val="Hyperlink"/>
            <w:rFonts w:ascii="Times New Roman" w:hAnsi="Times New Roman"/>
            <w:sz w:val="24"/>
            <w:szCs w:val="24"/>
          </w:rPr>
          <w:t>https://casetext.com/case/knipper-v-drill-team-of-lindenhurst-fire-dept</w:t>
        </w:r>
      </w:hyperlink>
    </w:p>
    <w:p w14:paraId="4E028C7C" w14:textId="67E416AF" w:rsidR="001B3B5F" w:rsidRPr="00187D4E" w:rsidRDefault="001B3B5F" w:rsidP="001B3B5F">
      <w:pPr>
        <w:pStyle w:val="NormalWeb"/>
        <w:rPr>
          <w:b/>
          <w:bCs/>
        </w:rPr>
      </w:pPr>
      <w:r w:rsidRPr="00187D4E">
        <w:rPr>
          <w:b/>
          <w:bCs/>
        </w:rPr>
        <w:t>Legal Lesson Learned:</w:t>
      </w:r>
      <w:r>
        <w:rPr>
          <w:b/>
          <w:bCs/>
        </w:rPr>
        <w:t xml:space="preserve"> Volunteer firefighter injured in line of duty </w:t>
      </w:r>
      <w:r w:rsidR="00EE2DFE">
        <w:rPr>
          <w:b/>
          <w:bCs/>
        </w:rPr>
        <w:t xml:space="preserve">is </w:t>
      </w:r>
      <w:r>
        <w:rPr>
          <w:b/>
          <w:bCs/>
        </w:rPr>
        <w:t>covered by worker’s comp</w:t>
      </w:r>
      <w:r w:rsidR="00EE2DFE">
        <w:rPr>
          <w:b/>
          <w:bCs/>
        </w:rPr>
        <w:t xml:space="preserve">; cannot sue </w:t>
      </w:r>
      <w:r w:rsidR="009504C8">
        <w:rPr>
          <w:b/>
          <w:bCs/>
        </w:rPr>
        <w:t xml:space="preserve">for damages. </w:t>
      </w:r>
      <w:r>
        <w:rPr>
          <w:b/>
          <w:bCs/>
        </w:rPr>
        <w:t xml:space="preserve"> </w:t>
      </w:r>
    </w:p>
    <w:p w14:paraId="04214FC8" w14:textId="378EC4AA" w:rsidR="002C34C9" w:rsidRDefault="001B3B5F" w:rsidP="00853142">
      <w:pPr>
        <w:rPr>
          <w:rFonts w:ascii="Arial Black" w:hAnsi="Arial Black"/>
          <w:sz w:val="24"/>
          <w:szCs w:val="24"/>
        </w:rPr>
      </w:pPr>
      <w:r>
        <w:rPr>
          <w:rFonts w:ascii="Arial Black" w:hAnsi="Arial Black"/>
          <w:sz w:val="24"/>
          <w:szCs w:val="24"/>
        </w:rPr>
        <w:t xml:space="preserve"> </w:t>
      </w:r>
    </w:p>
    <w:p w14:paraId="138F044E" w14:textId="77777777" w:rsidR="002C34C9" w:rsidRDefault="002C34C9" w:rsidP="00853142">
      <w:pPr>
        <w:rPr>
          <w:rFonts w:ascii="Arial Black" w:hAnsi="Arial Black"/>
          <w:sz w:val="24"/>
          <w:szCs w:val="24"/>
        </w:rPr>
      </w:pPr>
    </w:p>
    <w:p w14:paraId="4AC80DC2" w14:textId="1EABE174" w:rsidR="00A21A2D" w:rsidRDefault="00A21A2D"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2</w:t>
      </w:r>
    </w:p>
    <w:p w14:paraId="0AB9BC36" w14:textId="77777777" w:rsidR="003312BD" w:rsidRDefault="003312BD" w:rsidP="003312BD">
      <w:pPr>
        <w:pStyle w:val="NormalWeb"/>
        <w:rPr>
          <w:rFonts w:ascii="Arial Black" w:hAnsi="Arial Black"/>
          <w:b/>
          <w:bCs/>
          <w:sz w:val="28"/>
          <w:szCs w:val="28"/>
        </w:rPr>
      </w:pPr>
      <w:r>
        <w:rPr>
          <w:rFonts w:ascii="Arial Black" w:hAnsi="Arial Black"/>
          <w:b/>
          <w:bCs/>
          <w:sz w:val="28"/>
          <w:szCs w:val="28"/>
        </w:rPr>
        <w:t>MO: VOLUNTEER FF LODD – WIFE AWARDED ONLY MIN. OF $40 / WEEK – REVERSED - COMPARE WAGES OF CAREER FF</w:t>
      </w:r>
    </w:p>
    <w:p w14:paraId="12760CC2" w14:textId="77777777" w:rsidR="003312BD" w:rsidRDefault="003312BD" w:rsidP="003312BD">
      <w:pPr>
        <w:pStyle w:val="NormalWeb"/>
      </w:pPr>
      <w:r>
        <w:t xml:space="preserve">On Jan. 10, 2024, in </w:t>
      </w:r>
      <w:r w:rsidRPr="007A32A0">
        <w:rPr>
          <w:u w:val="single"/>
        </w:rPr>
        <w:t>Dependent of Russell Hayes, Deceased, Susan Hayes v. City of Eldorado Springs,</w:t>
      </w:r>
      <w:r>
        <w:t xml:space="preserve"> the Court of Appeals of Missouri, Southern District, held (3 to 0) that Labor and Industrial Commission” is reversed, and must conduct a new hearing before an Administrative Law Judge to determine if duties on a volunteer FF are “similar” to those of a career FF; if they are similar then award a monthly amount consistent with the “usual wage” of a career FF. </w:t>
      </w:r>
    </w:p>
    <w:p w14:paraId="55D4173D" w14:textId="77777777" w:rsidR="003312BD" w:rsidRDefault="003312BD" w:rsidP="003312BD">
      <w:pPr>
        <w:pStyle w:val="NormalWeb"/>
        <w:ind w:left="720"/>
        <w:rPr>
          <w:b/>
          <w:bCs/>
        </w:rPr>
      </w:pPr>
      <w:r>
        <w:t xml:space="preserve">“Having found that Wife presented evidence of the ‘usual wage’ of firefighters, the Commission did not then compare the services provided by such firefighters to the services provided by Husband as a volunteer firefighter to determine whether those services are ‘similar’ as is required by section 287.250.1(6). Rather, the Commission misapplied the law in suggesting that Wife was misguided in asserting ‘that the services rendered by a full-time career firefighter and by a rural volunteer firefighter are similar’ and in ruling that ‘[t]his [Commission] cannot assume facts not in evidence’ as the record reveals that such evidence was produced by Wife.” </w:t>
      </w:r>
      <w:hyperlink r:id="rId514" w:history="1">
        <w:r w:rsidRPr="00092358">
          <w:rPr>
            <w:rStyle w:val="Hyperlink"/>
          </w:rPr>
          <w:t>https://casetext.com/case/dependent-of-hayes-v-city-of-eldorado-springs</w:t>
        </w:r>
      </w:hyperlink>
      <w:r>
        <w:t xml:space="preserve"> </w:t>
      </w:r>
    </w:p>
    <w:p w14:paraId="528956A7" w14:textId="77777777" w:rsidR="002C34C9" w:rsidRDefault="002C34C9" w:rsidP="002C34C9">
      <w:pPr>
        <w:rPr>
          <w:rFonts w:ascii="Times New Roman" w:hAnsi="Times New Roman"/>
          <w:b/>
          <w:bCs/>
          <w:sz w:val="24"/>
          <w:szCs w:val="24"/>
        </w:rPr>
      </w:pPr>
      <w:r w:rsidRPr="00452E49">
        <w:rPr>
          <w:rFonts w:ascii="Times New Roman" w:hAnsi="Times New Roman"/>
          <w:b/>
          <w:bCs/>
          <w:sz w:val="24"/>
          <w:szCs w:val="24"/>
        </w:rPr>
        <w:t xml:space="preserve">Legal Lesson Learned: </w:t>
      </w:r>
      <w:r>
        <w:rPr>
          <w:rFonts w:ascii="Times New Roman" w:hAnsi="Times New Roman"/>
          <w:b/>
          <w:bCs/>
          <w:sz w:val="24"/>
          <w:szCs w:val="24"/>
        </w:rPr>
        <w:t xml:space="preserve">A very positive decision for volunteer firefighters. </w:t>
      </w:r>
    </w:p>
    <w:p w14:paraId="79CE1B05" w14:textId="77777777" w:rsidR="002C34C9" w:rsidRDefault="002C34C9" w:rsidP="002C34C9">
      <w:pPr>
        <w:ind w:left="720"/>
        <w:rPr>
          <w:rFonts w:ascii="Times New Roman" w:hAnsi="Times New Roman"/>
          <w:sz w:val="24"/>
          <w:szCs w:val="24"/>
        </w:rPr>
      </w:pPr>
      <w:r w:rsidRPr="00EB23DB">
        <w:rPr>
          <w:rFonts w:ascii="Times New Roman" w:hAnsi="Times New Roman"/>
          <w:sz w:val="24"/>
          <w:szCs w:val="24"/>
        </w:rPr>
        <w:t xml:space="preserve">Note:  See USA Fire Administration report on death of Firefighter Russell “Russ” H. Hayes. </w:t>
      </w:r>
      <w:hyperlink r:id="rId515" w:history="1">
        <w:r w:rsidRPr="00092358">
          <w:rPr>
            <w:rStyle w:val="Hyperlink"/>
            <w:rFonts w:ascii="Times New Roman" w:hAnsi="Times New Roman"/>
            <w:sz w:val="24"/>
            <w:szCs w:val="24"/>
          </w:rPr>
          <w:t>https://apps.usfa.fema.gov/firefighter-fatalities/fatalityData/detail?fatalityId=4784</w:t>
        </w:r>
      </w:hyperlink>
      <w:r>
        <w:rPr>
          <w:rFonts w:ascii="Times New Roman" w:hAnsi="Times New Roman"/>
          <w:sz w:val="24"/>
          <w:szCs w:val="24"/>
        </w:rPr>
        <w:t xml:space="preserve"> </w:t>
      </w:r>
    </w:p>
    <w:p w14:paraId="72EF88F2" w14:textId="77777777" w:rsidR="002C34C9" w:rsidRDefault="002C34C9" w:rsidP="002C34C9">
      <w:pPr>
        <w:ind w:left="720"/>
        <w:rPr>
          <w:rFonts w:ascii="Times New Roman" w:hAnsi="Times New Roman"/>
          <w:sz w:val="24"/>
          <w:szCs w:val="24"/>
        </w:rPr>
      </w:pPr>
      <w:r w:rsidRPr="00EB23DB">
        <w:rPr>
          <w:rFonts w:ascii="Times New Roman" w:hAnsi="Times New Roman"/>
          <w:sz w:val="24"/>
          <w:szCs w:val="24"/>
        </w:rPr>
        <w:t xml:space="preserve">“On October 3, </w:t>
      </w:r>
      <w:proofErr w:type="gramStart"/>
      <w:r w:rsidRPr="00EB23DB">
        <w:rPr>
          <w:rFonts w:ascii="Times New Roman" w:hAnsi="Times New Roman"/>
          <w:sz w:val="24"/>
          <w:szCs w:val="24"/>
        </w:rPr>
        <w:t>2018</w:t>
      </w:r>
      <w:proofErr w:type="gramEnd"/>
      <w:r w:rsidRPr="00EB23DB">
        <w:rPr>
          <w:rFonts w:ascii="Times New Roman" w:hAnsi="Times New Roman"/>
          <w:sz w:val="24"/>
          <w:szCs w:val="24"/>
        </w:rPr>
        <w:t xml:space="preserve"> at approximately 0855hrs, Firefighter Hayes was driving an engine apparatus along a local highway on the way to a pump test.  Witnesses indicated that they observed the right front tire go </w:t>
      </w:r>
      <w:proofErr w:type="gramStart"/>
      <w:r w:rsidRPr="00EB23DB">
        <w:rPr>
          <w:rFonts w:ascii="Times New Roman" w:hAnsi="Times New Roman"/>
          <w:sz w:val="24"/>
          <w:szCs w:val="24"/>
        </w:rPr>
        <w:t>off of</w:t>
      </w:r>
      <w:proofErr w:type="gramEnd"/>
      <w:r w:rsidRPr="00EB23DB">
        <w:rPr>
          <w:rFonts w:ascii="Times New Roman" w:hAnsi="Times New Roman"/>
          <w:sz w:val="24"/>
          <w:szCs w:val="24"/>
        </w:rPr>
        <w:t xml:space="preserve"> the roadway.  Firefighter Hayes overcorrected as he brought the apparatus back onto the roadway, thereby causing it to travel to the opposite ditch and overturn.  Firefighter Hayes was ejected from the vehicle. He was treated on the scene by local EMS personnel and then flown by medical helicopter to a regional hospital.   Firefighter Hayes was admitted to the hospital and died from his injuries the following day.”</w:t>
      </w:r>
    </w:p>
    <w:p w14:paraId="6A65AF1C" w14:textId="77777777" w:rsidR="002C34C9" w:rsidRPr="00EB23DB" w:rsidRDefault="002C34C9" w:rsidP="002C34C9">
      <w:pPr>
        <w:ind w:left="720"/>
        <w:rPr>
          <w:rFonts w:ascii="Times New Roman" w:hAnsi="Times New Roman"/>
          <w:sz w:val="24"/>
          <w:szCs w:val="24"/>
        </w:rPr>
      </w:pPr>
      <w:r>
        <w:rPr>
          <w:rFonts w:ascii="Times New Roman" w:hAnsi="Times New Roman"/>
          <w:sz w:val="24"/>
          <w:szCs w:val="24"/>
        </w:rPr>
        <w:t xml:space="preserve">See also: </w:t>
      </w:r>
      <w:hyperlink r:id="rId516" w:history="1">
        <w:r w:rsidRPr="00092358">
          <w:rPr>
            <w:rStyle w:val="Hyperlink"/>
            <w:rFonts w:ascii="Times New Roman" w:hAnsi="Times New Roman"/>
            <w:sz w:val="24"/>
            <w:szCs w:val="24"/>
          </w:rPr>
          <w:t>https://www.firehero.org/fallen-firefighter/russell-h-hayes/</w:t>
        </w:r>
      </w:hyperlink>
      <w:r>
        <w:rPr>
          <w:rFonts w:ascii="Times New Roman" w:hAnsi="Times New Roman"/>
          <w:sz w:val="24"/>
          <w:szCs w:val="24"/>
        </w:rPr>
        <w:t xml:space="preserve"> </w:t>
      </w:r>
    </w:p>
    <w:p w14:paraId="59FBC779" w14:textId="77777777" w:rsidR="002C34C9" w:rsidRPr="00013DF2" w:rsidRDefault="002C34C9" w:rsidP="002C34C9">
      <w:pPr>
        <w:pStyle w:val="NoSpacing"/>
        <w:ind w:left="720"/>
        <w:rPr>
          <w:rFonts w:ascii="Times New Roman" w:hAnsi="Times New Roman"/>
          <w:sz w:val="24"/>
          <w:szCs w:val="24"/>
        </w:rPr>
      </w:pPr>
      <w:r w:rsidRPr="00013DF2">
        <w:rPr>
          <w:rFonts w:ascii="Times New Roman" w:hAnsi="Times New Roman"/>
          <w:sz w:val="24"/>
          <w:szCs w:val="24"/>
        </w:rPr>
        <w:t xml:space="preserve">See article on this case. “Volunteer firefighter’s widow wins chance for higher benefits.” (Jan. 18, 2024). </w:t>
      </w:r>
    </w:p>
    <w:p w14:paraId="2B2041ED" w14:textId="77777777" w:rsidR="002C34C9" w:rsidRPr="00013DF2" w:rsidRDefault="002C34C9" w:rsidP="002C34C9">
      <w:pPr>
        <w:pStyle w:val="NoSpacing"/>
        <w:ind w:left="720"/>
        <w:rPr>
          <w:rFonts w:ascii="Times New Roman" w:hAnsi="Times New Roman"/>
          <w:sz w:val="24"/>
          <w:szCs w:val="24"/>
        </w:rPr>
      </w:pPr>
      <w:hyperlink r:id="rId517" w:history="1">
        <w:r w:rsidRPr="00092358">
          <w:rPr>
            <w:rStyle w:val="Hyperlink"/>
            <w:rFonts w:ascii="Times New Roman" w:hAnsi="Times New Roman"/>
            <w:sz w:val="24"/>
            <w:szCs w:val="24"/>
          </w:rPr>
          <w:t>https://molawyersmedia.com/2024/01/18/volunteer-firefighters-widow-wins-chance-for-higher-benefits/</w:t>
        </w:r>
      </w:hyperlink>
      <w:r w:rsidRPr="00013DF2">
        <w:rPr>
          <w:rFonts w:ascii="Times New Roman" w:hAnsi="Times New Roman"/>
          <w:sz w:val="24"/>
          <w:szCs w:val="24"/>
        </w:rPr>
        <w:t xml:space="preserve"> </w:t>
      </w:r>
    </w:p>
    <w:p w14:paraId="4FC768ED" w14:textId="77777777" w:rsidR="00A21A2D" w:rsidRDefault="00A21A2D" w:rsidP="00853142">
      <w:pPr>
        <w:rPr>
          <w:rFonts w:ascii="Arial Black" w:hAnsi="Arial Black"/>
          <w:sz w:val="24"/>
          <w:szCs w:val="24"/>
        </w:rPr>
      </w:pPr>
    </w:p>
    <w:p w14:paraId="1CE37A1F" w14:textId="77777777" w:rsidR="00A21A2D" w:rsidRDefault="00A21A2D" w:rsidP="00853142">
      <w:pPr>
        <w:rPr>
          <w:rFonts w:ascii="Arial Black" w:hAnsi="Arial Black"/>
          <w:sz w:val="24"/>
          <w:szCs w:val="24"/>
        </w:rPr>
      </w:pPr>
    </w:p>
    <w:p w14:paraId="73DAAEFB" w14:textId="75811B02" w:rsidR="000B6343" w:rsidRDefault="000B6343"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1</w:t>
      </w:r>
    </w:p>
    <w:p w14:paraId="5282ABDF" w14:textId="77777777" w:rsidR="009C4318" w:rsidRPr="00DC23A0" w:rsidRDefault="009C4318" w:rsidP="009C4318">
      <w:pPr>
        <w:pStyle w:val="NormalWeb"/>
        <w:rPr>
          <w:rFonts w:ascii="Arial Black" w:hAnsi="Arial Black"/>
          <w:sz w:val="28"/>
          <w:szCs w:val="28"/>
        </w:rPr>
      </w:pPr>
      <w:r>
        <w:rPr>
          <w:rFonts w:ascii="Arial Black" w:hAnsi="Arial Black"/>
          <w:sz w:val="28"/>
          <w:szCs w:val="28"/>
        </w:rPr>
        <w:t xml:space="preserve">CA: FIREHOSE - FF SERIOUSLY INJURED – CITY MUNI BUS DROVE OVER HOSE – CAN’T SUE CITY OR BUS DRIVER </w:t>
      </w:r>
    </w:p>
    <w:p w14:paraId="7A085F5A" w14:textId="77777777" w:rsidR="009C4318" w:rsidRDefault="009C4318" w:rsidP="009C4318">
      <w:pPr>
        <w:pStyle w:val="NormalWeb"/>
      </w:pPr>
      <w:r>
        <w:t xml:space="preserve">On Dec. 12, 2023, in </w:t>
      </w:r>
      <w:r w:rsidRPr="0097494F">
        <w:rPr>
          <w:u w:val="single"/>
        </w:rPr>
        <w:t>Matthew Vann v. City and County of San Franciso, et al.</w:t>
      </w:r>
      <w:r>
        <w:t xml:space="preserve">, the California Court of Appeals, First District, Second Division, held (3 to 0) that trial court properly dismissed the </w:t>
      </w:r>
      <w:proofErr w:type="gramStart"/>
      <w:r>
        <w:t>firefighters</w:t>
      </w:r>
      <w:proofErr w:type="gramEnd"/>
      <w:r>
        <w:t xml:space="preserve"> lawsuit against the city.  The Court wrote: “Here, in contrast, we are dealing with the Workers' Compensation Act, which must be liberally construed in favor of awarding workers' compensation benefits. (§ 3202; </w:t>
      </w:r>
      <w:r>
        <w:rPr>
          <w:rStyle w:val="Emphasis"/>
        </w:rPr>
        <w:t xml:space="preserve">King v. </w:t>
      </w:r>
      <w:proofErr w:type="spellStart"/>
      <w:r>
        <w:rPr>
          <w:rStyle w:val="Emphasis"/>
        </w:rPr>
        <w:t>CompPartners</w:t>
      </w:r>
      <w:proofErr w:type="spellEnd"/>
      <w:r>
        <w:rPr>
          <w:rStyle w:val="Emphasis"/>
        </w:rPr>
        <w:t>, Inc</w:t>
      </w:r>
      <w:r>
        <w:t xml:space="preserve">., </w:t>
      </w:r>
      <w:r>
        <w:rPr>
          <w:rStyle w:val="Emphasis"/>
        </w:rPr>
        <w:t>supra</w:t>
      </w:r>
      <w:r>
        <w:t xml:space="preserve">, 5 Cal.5th at p. 1051.) Application of these principles cuts against concluding that SFMTA [San Francisco Municipal Transportation Agency] and SFFD [San Francisco Fire Department] are distinct entities, and therefore that Yu and appellant have separate employers. To do so would have the effect of circumventing the workers' compensation exclusivity rule, which prevents employees from bringing actions against fellow employees acting in the scope of employment, such that the fellow employees' negligence could be imputed to their employers.” </w:t>
      </w:r>
      <w:hyperlink r:id="rId518" w:history="1">
        <w:r w:rsidRPr="001075D9">
          <w:rPr>
            <w:rStyle w:val="Hyperlink"/>
          </w:rPr>
          <w:t>https://casetext.com/case/vann-v-city-of-san-francisco</w:t>
        </w:r>
      </w:hyperlink>
      <w:r>
        <w:t xml:space="preserve"> </w:t>
      </w:r>
    </w:p>
    <w:p w14:paraId="7F9A64BD" w14:textId="77777777" w:rsidR="00063E80" w:rsidRPr="002D0030" w:rsidRDefault="00063E80" w:rsidP="00063E80">
      <w:pPr>
        <w:pStyle w:val="NormalWeb"/>
        <w:rPr>
          <w:b/>
          <w:bCs/>
        </w:rPr>
      </w:pPr>
      <w:r w:rsidRPr="002D0030">
        <w:rPr>
          <w:b/>
          <w:bCs/>
        </w:rPr>
        <w:t xml:space="preserve">Legal Lesson Learned: </w:t>
      </w:r>
      <w:r>
        <w:rPr>
          <w:b/>
          <w:bCs/>
        </w:rPr>
        <w:t xml:space="preserve">Both the FD and the bus department are part of the same city; cannot sue the City or the bus driver; only remedy for injured </w:t>
      </w:r>
      <w:proofErr w:type="gramStart"/>
      <w:r>
        <w:rPr>
          <w:b/>
          <w:bCs/>
        </w:rPr>
        <w:t>firefighter</w:t>
      </w:r>
      <w:proofErr w:type="gramEnd"/>
      <w:r>
        <w:rPr>
          <w:b/>
          <w:bCs/>
        </w:rPr>
        <w:t xml:space="preserve"> is workers comp. </w:t>
      </w:r>
    </w:p>
    <w:p w14:paraId="47AA9B25" w14:textId="77777777" w:rsidR="000B6343" w:rsidRDefault="000B6343" w:rsidP="00853142">
      <w:pPr>
        <w:rPr>
          <w:rFonts w:ascii="Arial Black" w:hAnsi="Arial Black"/>
          <w:sz w:val="24"/>
          <w:szCs w:val="24"/>
        </w:rPr>
      </w:pPr>
    </w:p>
    <w:p w14:paraId="7B1C81E0" w14:textId="11890DB2" w:rsidR="001257CC" w:rsidRDefault="00044FB1"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0</w:t>
      </w:r>
    </w:p>
    <w:p w14:paraId="137ACF5F" w14:textId="77777777" w:rsidR="006728B9" w:rsidRDefault="006728B9" w:rsidP="006728B9">
      <w:pPr>
        <w:pStyle w:val="Heading1"/>
        <w:rPr>
          <w:rFonts w:ascii="Arial Black" w:hAnsi="Arial Black"/>
          <w:b w:val="0"/>
          <w:bCs w:val="0"/>
          <w:sz w:val="28"/>
          <w:szCs w:val="28"/>
        </w:rPr>
      </w:pPr>
      <w:r>
        <w:rPr>
          <w:rFonts w:ascii="Arial Black" w:hAnsi="Arial Black"/>
          <w:b w:val="0"/>
          <w:bCs w:val="0"/>
          <w:sz w:val="28"/>
          <w:szCs w:val="28"/>
        </w:rPr>
        <w:t>CA: BLOCKING ENGINE - MOTORIST RAN INTO ENGINE AT MVA - 2 FF HURT - FF GET NEW JURY TRIAL FOR DAMAGES</w:t>
      </w:r>
    </w:p>
    <w:p w14:paraId="69723006" w14:textId="77777777" w:rsidR="006728B9" w:rsidRPr="00BC37ED" w:rsidRDefault="006728B9" w:rsidP="006728B9">
      <w:pPr>
        <w:pStyle w:val="Heading1"/>
        <w:rPr>
          <w:b w:val="0"/>
          <w:bCs w:val="0"/>
          <w:sz w:val="24"/>
          <w:szCs w:val="24"/>
        </w:rPr>
      </w:pPr>
      <w:r>
        <w:rPr>
          <w:b w:val="0"/>
          <w:bCs w:val="0"/>
          <w:sz w:val="24"/>
          <w:szCs w:val="24"/>
        </w:rPr>
        <w:t xml:space="preserve">On Nov. 29, 2023, in </w:t>
      </w:r>
      <w:r w:rsidRPr="004901CF">
        <w:rPr>
          <w:b w:val="0"/>
          <w:bCs w:val="0"/>
          <w:sz w:val="24"/>
          <w:szCs w:val="24"/>
          <w:u w:val="single"/>
        </w:rPr>
        <w:t>Michael Rattary and Stephen Rogness v. Brian Favro</w:t>
      </w:r>
      <w:r>
        <w:rPr>
          <w:b w:val="0"/>
          <w:bCs w:val="0"/>
          <w:sz w:val="24"/>
          <w:szCs w:val="24"/>
        </w:rPr>
        <w:t xml:space="preserve">, the </w:t>
      </w:r>
      <w:r w:rsidRPr="00E60013">
        <w:rPr>
          <w:b w:val="0"/>
          <w:bCs w:val="0"/>
          <w:sz w:val="24"/>
          <w:szCs w:val="24"/>
        </w:rPr>
        <w:t>California Court of Appeals, First District, Fourth Division</w:t>
      </w:r>
      <w:r>
        <w:rPr>
          <w:b w:val="0"/>
          <w:bCs w:val="0"/>
          <w:sz w:val="24"/>
          <w:szCs w:val="24"/>
        </w:rPr>
        <w:t xml:space="preserve">, held (3 to 0) that the two firefighters are entitled to a new civil jury trial since the attorney for Favro told jury in closing argument an improper standard on liability (jury voted against awarding damages to </w:t>
      </w:r>
      <w:proofErr w:type="spellStart"/>
      <w:r>
        <w:rPr>
          <w:b w:val="0"/>
          <w:bCs w:val="0"/>
          <w:sz w:val="24"/>
          <w:szCs w:val="24"/>
        </w:rPr>
        <w:t>Rattery</w:t>
      </w:r>
      <w:proofErr w:type="spellEnd"/>
      <w:r>
        <w:rPr>
          <w:b w:val="0"/>
          <w:bCs w:val="0"/>
          <w:sz w:val="24"/>
          <w:szCs w:val="24"/>
        </w:rPr>
        <w:t xml:space="preserve">  10-2, and against Rogness 12-0).  Their initial lawsuit was dismissed by trial court judge based on Fireman’s Rule; but Court of Appeals reversed and ordered case to be tried on motorist’s duty of ordinary care when </w:t>
      </w:r>
      <w:proofErr w:type="gramStart"/>
      <w:r>
        <w:rPr>
          <w:b w:val="0"/>
          <w:bCs w:val="0"/>
          <w:sz w:val="24"/>
          <w:szCs w:val="24"/>
        </w:rPr>
        <w:t>approach</w:t>
      </w:r>
      <w:proofErr w:type="gramEnd"/>
      <w:r>
        <w:rPr>
          <w:b w:val="0"/>
          <w:bCs w:val="0"/>
          <w:sz w:val="24"/>
          <w:szCs w:val="24"/>
        </w:rPr>
        <w:t xml:space="preserve"> accident scene. Now the Court of Appeals orders a new trial, because Favro’s attorney in closing argument told jury FFs can only get damages if “</w:t>
      </w:r>
      <w:r w:rsidRPr="00BC37ED">
        <w:rPr>
          <w:b w:val="0"/>
          <w:bCs w:val="0"/>
          <w:sz w:val="24"/>
          <w:szCs w:val="24"/>
        </w:rPr>
        <w:t xml:space="preserve">faced from the person they are suing was </w:t>
      </w:r>
      <w:r w:rsidRPr="00BC37ED">
        <w:rPr>
          <w:b w:val="0"/>
          <w:bCs w:val="0"/>
          <w:i/>
          <w:iCs/>
          <w:sz w:val="24"/>
          <w:szCs w:val="24"/>
        </w:rPr>
        <w:t>beyond the risk that's inherent to their job</w:t>
      </w:r>
      <w:r w:rsidRPr="00BC37ED">
        <w:rPr>
          <w:b w:val="0"/>
          <w:bCs w:val="0"/>
          <w:sz w:val="24"/>
          <w:szCs w:val="24"/>
        </w:rPr>
        <w:t>." (Italics added.)</w:t>
      </w:r>
      <w:r>
        <w:rPr>
          <w:b w:val="0"/>
          <w:bCs w:val="0"/>
          <w:sz w:val="24"/>
          <w:szCs w:val="24"/>
        </w:rPr>
        <w:t xml:space="preserve"> The Court of Appeals </w:t>
      </w:r>
      <w:proofErr w:type="gramStart"/>
      <w:r>
        <w:rPr>
          <w:b w:val="0"/>
          <w:bCs w:val="0"/>
          <w:sz w:val="24"/>
          <w:szCs w:val="24"/>
        </w:rPr>
        <w:t>reverses,</w:t>
      </w:r>
      <w:proofErr w:type="gramEnd"/>
      <w:r>
        <w:rPr>
          <w:b w:val="0"/>
          <w:bCs w:val="0"/>
          <w:sz w:val="24"/>
          <w:szCs w:val="24"/>
        </w:rPr>
        <w:t xml:space="preserve"> writing: </w:t>
      </w:r>
    </w:p>
    <w:p w14:paraId="5CA93F14" w14:textId="77777777" w:rsidR="006728B9" w:rsidRPr="000C74F9" w:rsidRDefault="006728B9" w:rsidP="006728B9">
      <w:pPr>
        <w:pStyle w:val="Heading1"/>
        <w:ind w:left="720"/>
        <w:rPr>
          <w:b w:val="0"/>
          <w:bCs w:val="0"/>
          <w:sz w:val="24"/>
          <w:szCs w:val="24"/>
        </w:rPr>
      </w:pPr>
      <w:hyperlink r:id="rId519" w:history="1">
        <w:r w:rsidRPr="00876603">
          <w:rPr>
            <w:rStyle w:val="Hyperlink"/>
            <w:b w:val="0"/>
            <w:bCs w:val="0"/>
            <w:sz w:val="24"/>
            <w:szCs w:val="24"/>
          </w:rPr>
          <w:t>Section 1714.9</w:t>
        </w:r>
      </w:hyperlink>
      <w:r w:rsidRPr="00876603">
        <w:rPr>
          <w:b w:val="0"/>
          <w:bCs w:val="0"/>
          <w:sz w:val="24"/>
          <w:szCs w:val="24"/>
        </w:rPr>
        <w:t>, subdivision (a)(1) concerns liability to a firefighter for tortious "conduct . . . occur[ring] after the person knows or should have known of the presence of the . . . firefighter." (</w:t>
      </w:r>
      <w:hyperlink r:id="rId520" w:history="1">
        <w:r w:rsidRPr="00876603">
          <w:rPr>
            <w:rStyle w:val="Hyperlink"/>
            <w:b w:val="0"/>
            <w:bCs w:val="0"/>
            <w:sz w:val="24"/>
            <w:szCs w:val="24"/>
          </w:rPr>
          <w:t>§ 1714.9, subd. (a)(1)</w:t>
        </w:r>
      </w:hyperlink>
      <w:r w:rsidRPr="00876603">
        <w:rPr>
          <w:b w:val="0"/>
          <w:bCs w:val="0"/>
          <w:sz w:val="24"/>
          <w:szCs w:val="24"/>
        </w:rPr>
        <w:t>.)</w:t>
      </w:r>
      <w:r>
        <w:rPr>
          <w:b w:val="0"/>
          <w:bCs w:val="0"/>
          <w:sz w:val="24"/>
          <w:szCs w:val="24"/>
        </w:rPr>
        <w:t xml:space="preserve"> </w:t>
      </w:r>
      <w:r w:rsidRPr="000C74F9">
        <w:rPr>
          <w:b w:val="0"/>
          <w:bCs w:val="0"/>
          <w:sz w:val="24"/>
          <w:szCs w:val="24"/>
        </w:rPr>
        <w:t xml:space="preserve">… </w:t>
      </w:r>
      <w:r w:rsidRPr="00D46FA3">
        <w:rPr>
          <w:b w:val="0"/>
          <w:bCs w:val="0"/>
          <w:sz w:val="24"/>
          <w:szCs w:val="24"/>
        </w:rPr>
        <w:t xml:space="preserve">"Although most of the cases analyzing the effect of </w:t>
      </w:r>
      <w:hyperlink r:id="rId521" w:history="1">
        <w:r w:rsidRPr="00D46FA3">
          <w:rPr>
            <w:rStyle w:val="Hyperlink"/>
            <w:b w:val="0"/>
            <w:bCs w:val="0"/>
            <w:sz w:val="24"/>
            <w:szCs w:val="24"/>
          </w:rPr>
          <w:t>section 1714.9</w:t>
        </w:r>
      </w:hyperlink>
      <w:r w:rsidRPr="00D46FA3">
        <w:rPr>
          <w:b w:val="0"/>
          <w:bCs w:val="0"/>
          <w:sz w:val="24"/>
          <w:szCs w:val="24"/>
        </w:rPr>
        <w:t xml:space="preserve"> treat it as stating an exception to the firefighter's rule (e.g. </w:t>
      </w:r>
      <w:r w:rsidRPr="00D46FA3">
        <w:rPr>
          <w:b w:val="0"/>
          <w:bCs w:val="0"/>
          <w:i/>
          <w:iCs/>
          <w:sz w:val="24"/>
          <w:szCs w:val="24"/>
        </w:rPr>
        <w:t>Gibb v. Stetson</w:t>
      </w:r>
      <w:r w:rsidRPr="00D46FA3">
        <w:rPr>
          <w:b w:val="0"/>
          <w:bCs w:val="0"/>
          <w:sz w:val="24"/>
          <w:szCs w:val="24"/>
        </w:rPr>
        <w:t xml:space="preserve"> [(1988)] </w:t>
      </w:r>
      <w:hyperlink r:id="rId522" w:anchor="p1014" w:history="1">
        <w:r w:rsidRPr="00D46FA3">
          <w:rPr>
            <w:rStyle w:val="Hyperlink"/>
            <w:b w:val="0"/>
            <w:bCs w:val="0"/>
            <w:sz w:val="24"/>
            <w:szCs w:val="24"/>
          </w:rPr>
          <w:t>199 Cal.App.3d 1008, 1014-1015</w:t>
        </w:r>
      </w:hyperlink>
      <w:r w:rsidRPr="00D46FA3">
        <w:rPr>
          <w:b w:val="0"/>
          <w:bCs w:val="0"/>
          <w:sz w:val="24"/>
          <w:szCs w:val="24"/>
        </w:rPr>
        <w:t xml:space="preserve">), </w:t>
      </w:r>
      <w:proofErr w:type="spellStart"/>
      <w:r w:rsidRPr="00D46FA3">
        <w:rPr>
          <w:b w:val="0"/>
          <w:bCs w:val="0"/>
          <w:sz w:val="24"/>
          <w:szCs w:val="24"/>
        </w:rPr>
        <w:t>thethe</w:t>
      </w:r>
      <w:proofErr w:type="spellEnd"/>
      <w:r w:rsidRPr="00D46FA3">
        <w:rPr>
          <w:b w:val="0"/>
          <w:bCs w:val="0"/>
          <w:sz w:val="24"/>
          <w:szCs w:val="24"/>
        </w:rPr>
        <w:t xml:space="preserve"> Supreme Court has more accurately described</w:t>
      </w:r>
      <w:r w:rsidRPr="000C74F9">
        <w:rPr>
          <w:b w:val="0"/>
          <w:bCs w:val="0"/>
          <w:sz w:val="24"/>
          <w:szCs w:val="24"/>
        </w:rPr>
        <w:t xml:space="preserve"> the effect of the statute as reimposing 'a duty of ordinary care (see [Civ. Code,] </w:t>
      </w:r>
      <w:hyperlink r:id="rId523" w:history="1">
        <w:r w:rsidRPr="000C74F9">
          <w:rPr>
            <w:rStyle w:val="Hyperlink"/>
            <w:b w:val="0"/>
            <w:bCs w:val="0"/>
            <w:sz w:val="24"/>
            <w:szCs w:val="24"/>
          </w:rPr>
          <w:t>§ 1714</w:t>
        </w:r>
      </w:hyperlink>
      <w:r w:rsidRPr="000C74F9">
        <w:rPr>
          <w:b w:val="0"/>
          <w:bCs w:val="0"/>
          <w:sz w:val="24"/>
          <w:szCs w:val="24"/>
        </w:rPr>
        <w:t>), which would otherwise be abrogated by the firefighter's rule.'" (</w:t>
      </w:r>
      <w:r w:rsidRPr="000C74F9">
        <w:rPr>
          <w:b w:val="0"/>
          <w:bCs w:val="0"/>
          <w:i/>
          <w:iCs/>
          <w:sz w:val="24"/>
          <w:szCs w:val="24"/>
        </w:rPr>
        <w:t>Boon v. Rivera</w:t>
      </w:r>
      <w:r w:rsidRPr="000C74F9">
        <w:rPr>
          <w:b w:val="0"/>
          <w:bCs w:val="0"/>
          <w:sz w:val="24"/>
          <w:szCs w:val="24"/>
        </w:rPr>
        <w:t xml:space="preserve"> (2000) </w:t>
      </w:r>
      <w:hyperlink r:id="rId524" w:anchor="p1330" w:history="1">
        <w:r w:rsidRPr="000C74F9">
          <w:rPr>
            <w:rStyle w:val="Hyperlink"/>
            <w:b w:val="0"/>
            <w:bCs w:val="0"/>
            <w:sz w:val="24"/>
            <w:szCs w:val="24"/>
          </w:rPr>
          <w:t>80 Cal.App.4th 1322, 1330-31</w:t>
        </w:r>
      </w:hyperlink>
      <w:r w:rsidRPr="000C74F9">
        <w:rPr>
          <w:b w:val="0"/>
          <w:bCs w:val="0"/>
          <w:sz w:val="24"/>
          <w:szCs w:val="24"/>
        </w:rPr>
        <w:t xml:space="preserve">, quoting </w:t>
      </w:r>
      <w:r w:rsidRPr="000C74F9">
        <w:rPr>
          <w:b w:val="0"/>
          <w:bCs w:val="0"/>
          <w:i/>
          <w:iCs/>
          <w:sz w:val="24"/>
          <w:szCs w:val="24"/>
        </w:rPr>
        <w:t>Calatayud v. State of California</w:t>
      </w:r>
      <w:r w:rsidRPr="000C74F9">
        <w:rPr>
          <w:b w:val="0"/>
          <w:bCs w:val="0"/>
          <w:sz w:val="24"/>
          <w:szCs w:val="24"/>
        </w:rPr>
        <w:t xml:space="preserve"> (1998) </w:t>
      </w:r>
      <w:hyperlink r:id="rId525" w:anchor="p1068" w:history="1">
        <w:r w:rsidRPr="000C74F9">
          <w:rPr>
            <w:rStyle w:val="Hyperlink"/>
            <w:b w:val="0"/>
            <w:bCs w:val="0"/>
            <w:sz w:val="24"/>
            <w:szCs w:val="24"/>
          </w:rPr>
          <w:t>18 Cal.4th 1057, 1068</w:t>
        </w:r>
      </w:hyperlink>
      <w:r w:rsidRPr="000C74F9">
        <w:rPr>
          <w:b w:val="0"/>
          <w:bCs w:val="0"/>
          <w:sz w:val="24"/>
          <w:szCs w:val="24"/>
        </w:rPr>
        <w:t>.)</w:t>
      </w:r>
    </w:p>
    <w:p w14:paraId="6CD0A834" w14:textId="77777777" w:rsidR="000B6343" w:rsidRPr="003470F7" w:rsidRDefault="000B6343" w:rsidP="000B6343">
      <w:pPr>
        <w:pStyle w:val="Heading1"/>
        <w:rPr>
          <w:sz w:val="24"/>
          <w:szCs w:val="24"/>
        </w:rPr>
      </w:pPr>
      <w:r w:rsidRPr="003470F7">
        <w:rPr>
          <w:sz w:val="24"/>
          <w:szCs w:val="24"/>
        </w:rPr>
        <w:t xml:space="preserve">Legal Lesson Learned: </w:t>
      </w:r>
      <w:r>
        <w:rPr>
          <w:sz w:val="24"/>
          <w:szCs w:val="24"/>
        </w:rPr>
        <w:t xml:space="preserve">The firefighters now get a “second chance” at convincing a jury that they are entitled to damages. </w:t>
      </w:r>
    </w:p>
    <w:p w14:paraId="0DF6AEAE" w14:textId="77777777" w:rsidR="00044FB1" w:rsidRDefault="00044FB1" w:rsidP="00853142">
      <w:pPr>
        <w:rPr>
          <w:rFonts w:ascii="Arial Black" w:hAnsi="Arial Black"/>
          <w:sz w:val="24"/>
          <w:szCs w:val="24"/>
        </w:rPr>
      </w:pPr>
    </w:p>
    <w:p w14:paraId="54D67C1B" w14:textId="194B736A" w:rsidR="001257CC" w:rsidRDefault="001257CC" w:rsidP="00853142">
      <w:pPr>
        <w:rPr>
          <w:rFonts w:ascii="Arial Black" w:hAnsi="Arial Black"/>
          <w:sz w:val="24"/>
          <w:szCs w:val="24"/>
        </w:rPr>
      </w:pPr>
      <w:r>
        <w:rPr>
          <w:rFonts w:ascii="Arial Black" w:hAnsi="Arial Black"/>
          <w:sz w:val="24"/>
          <w:szCs w:val="24"/>
        </w:rPr>
        <w:t>2-</w:t>
      </w:r>
      <w:r w:rsidR="00BB73D4">
        <w:rPr>
          <w:rFonts w:ascii="Arial Black" w:hAnsi="Arial Black"/>
          <w:sz w:val="24"/>
          <w:szCs w:val="24"/>
        </w:rPr>
        <w:t>59</w:t>
      </w:r>
    </w:p>
    <w:p w14:paraId="7F3401D7" w14:textId="77777777" w:rsidR="00E761A8" w:rsidRPr="00583360" w:rsidRDefault="00E761A8" w:rsidP="00E761A8">
      <w:pPr>
        <w:pStyle w:val="NormalWeb"/>
        <w:rPr>
          <w:rFonts w:ascii="Arial Black" w:hAnsi="Arial Black"/>
          <w:sz w:val="28"/>
          <w:szCs w:val="28"/>
        </w:rPr>
      </w:pPr>
      <w:r>
        <w:rPr>
          <w:rFonts w:ascii="Arial Black" w:hAnsi="Arial Black"/>
          <w:sz w:val="28"/>
          <w:szCs w:val="28"/>
        </w:rPr>
        <w:t>NJ: BEARDS - BLACK FF GROWING 3-INCH BEARD - ALSO MINISTER – ORDERED NOT RESPOND FIRES – NO CASE</w:t>
      </w:r>
    </w:p>
    <w:p w14:paraId="3C1B5260" w14:textId="09379490" w:rsidR="00E761A8" w:rsidRDefault="00E761A8" w:rsidP="00E761A8">
      <w:pPr>
        <w:rPr>
          <w:rStyle w:val="Hyperlink"/>
          <w:rFonts w:ascii="Times New Roman" w:hAnsi="Times New Roman"/>
          <w:sz w:val="24"/>
          <w:szCs w:val="24"/>
        </w:rPr>
      </w:pPr>
      <w:r w:rsidRPr="00E761A8">
        <w:rPr>
          <w:rFonts w:ascii="Times New Roman" w:hAnsi="Times New Roman"/>
          <w:sz w:val="24"/>
          <w:szCs w:val="24"/>
        </w:rPr>
        <w:t xml:space="preserve">On Nov. 29, 2023, in </w:t>
      </w:r>
      <w:r w:rsidRPr="00E761A8">
        <w:rPr>
          <w:rFonts w:ascii="Times New Roman" w:hAnsi="Times New Roman"/>
          <w:sz w:val="24"/>
          <w:szCs w:val="24"/>
          <w:u w:val="single"/>
        </w:rPr>
        <w:t>Alexander Smith v. City pf Atlantic City, et al</w:t>
      </w:r>
      <w:r w:rsidRPr="00E761A8">
        <w:rPr>
          <w:rFonts w:ascii="Times New Roman" w:hAnsi="Times New Roman"/>
          <w:sz w:val="24"/>
          <w:szCs w:val="24"/>
        </w:rPr>
        <w:t xml:space="preserve">., U.S. District Court Judge Chritine P. O’Hearn, U.S. District Court for District of New Jersey, granted City’s motion for summary judgment.  The Court held:  “ Defendants submit that the grooming policy advances the government's legitimate objectives of (1) firefighter safety and (2) following state and federal regulations which prohibit facial hair. (ECF No. 115-29 at 13-14). Safety is a well-recognized legitimate government objective. </w:t>
      </w:r>
      <w:r w:rsidRPr="00E761A8">
        <w:rPr>
          <w:rStyle w:val="Emphasis"/>
          <w:rFonts w:ascii="Times New Roman" w:hAnsi="Times New Roman"/>
          <w:sz w:val="24"/>
          <w:szCs w:val="24"/>
        </w:rPr>
        <w:t>Fraternal Ord.</w:t>
      </w:r>
      <w:r w:rsidRPr="00E761A8">
        <w:rPr>
          <w:rFonts w:ascii="Times New Roman" w:hAnsi="Times New Roman"/>
          <w:sz w:val="24"/>
          <w:szCs w:val="24"/>
        </w:rPr>
        <w:t xml:space="preserve">, 170 F.3d at 366. And a fire department's ability to comply with state and federal regulations is certainly a legitimate government objective. </w:t>
      </w:r>
      <w:r w:rsidRPr="00E761A8">
        <w:rPr>
          <w:rStyle w:val="Emphasis"/>
          <w:rFonts w:ascii="Times New Roman" w:hAnsi="Times New Roman"/>
          <w:sz w:val="24"/>
          <w:szCs w:val="24"/>
        </w:rPr>
        <w:t>See e.g.</w:t>
      </w:r>
      <w:r w:rsidRPr="00E761A8">
        <w:rPr>
          <w:rFonts w:ascii="Times New Roman" w:hAnsi="Times New Roman"/>
          <w:sz w:val="24"/>
          <w:szCs w:val="24"/>
        </w:rPr>
        <w:t xml:space="preserve">, </w:t>
      </w:r>
      <w:r w:rsidRPr="00E761A8">
        <w:rPr>
          <w:rStyle w:val="Emphasis"/>
          <w:rFonts w:ascii="Times New Roman" w:hAnsi="Times New Roman"/>
          <w:sz w:val="24"/>
          <w:szCs w:val="24"/>
        </w:rPr>
        <w:t>Hamilton</w:t>
      </w:r>
      <w:r w:rsidRPr="00E761A8">
        <w:rPr>
          <w:rFonts w:ascii="Times New Roman" w:hAnsi="Times New Roman"/>
          <w:sz w:val="24"/>
          <w:szCs w:val="24"/>
        </w:rPr>
        <w:t xml:space="preserve">, 563 F.Supp.3d at 60. The grooming policy is rationally related to these objectives. First, and most obviously, the policy ensures that the ACFD complies with various state and federal regulations that prohibit devices like SCBAs to be worn by those with facial hair. </w:t>
      </w:r>
      <w:r w:rsidRPr="00E761A8">
        <w:rPr>
          <w:rStyle w:val="Emphasis"/>
          <w:rFonts w:ascii="Times New Roman" w:hAnsi="Times New Roman"/>
          <w:sz w:val="24"/>
          <w:szCs w:val="24"/>
        </w:rPr>
        <w:t>See</w:t>
      </w:r>
      <w:r w:rsidRPr="00E761A8">
        <w:rPr>
          <w:rFonts w:ascii="Times New Roman" w:hAnsi="Times New Roman"/>
          <w:sz w:val="24"/>
          <w:szCs w:val="24"/>
        </w:rPr>
        <w:t xml:space="preserve">, </w:t>
      </w:r>
      <w:r w:rsidRPr="00E761A8">
        <w:rPr>
          <w:rStyle w:val="Emphasis"/>
          <w:rFonts w:ascii="Times New Roman" w:hAnsi="Times New Roman"/>
          <w:sz w:val="24"/>
          <w:szCs w:val="24"/>
        </w:rPr>
        <w:t>e.g.</w:t>
      </w:r>
      <w:r w:rsidRPr="00E761A8">
        <w:rPr>
          <w:rFonts w:ascii="Times New Roman" w:hAnsi="Times New Roman"/>
          <w:sz w:val="24"/>
          <w:szCs w:val="24"/>
        </w:rPr>
        <w:t>, 20 C.F.R. § 1910.134(g). Second, there is no dispute that PEOSH and OSHA find that an ill-fitting SCBA creates a safety risk not only to the firefighter wearing it, but also to fellow firefighters who may be tasked with rescuing those with an ill-fitted mask. Firefighter safety is put at risk when anything inhibits the seal of an SCBA, including facial hair. This is contemplated in the text of the policy which provides that ‘[f]</w:t>
      </w:r>
      <w:proofErr w:type="spellStart"/>
      <w:r w:rsidRPr="00E761A8">
        <w:rPr>
          <w:rFonts w:ascii="Times New Roman" w:hAnsi="Times New Roman"/>
          <w:sz w:val="24"/>
          <w:szCs w:val="24"/>
        </w:rPr>
        <w:t>acial</w:t>
      </w:r>
      <w:proofErr w:type="spellEnd"/>
      <w:r w:rsidRPr="00E761A8">
        <w:rPr>
          <w:rFonts w:ascii="Times New Roman" w:hAnsi="Times New Roman"/>
          <w:sz w:val="24"/>
          <w:szCs w:val="24"/>
        </w:rPr>
        <w:t xml:space="preserve"> hair of any type shall not interfere with the seal of SCBA face piece.’” </w:t>
      </w:r>
      <w:hyperlink r:id="rId526" w:history="1">
        <w:r w:rsidRPr="00E761A8">
          <w:rPr>
            <w:rStyle w:val="Hyperlink"/>
            <w:rFonts w:ascii="Times New Roman" w:hAnsi="Times New Roman"/>
            <w:sz w:val="24"/>
            <w:szCs w:val="24"/>
          </w:rPr>
          <w:t>https://www.anylaw.com/case/smith-v-city-of-atlantic-city-et-al/d-new-jersey/11-28-2023/WMlWRYwBqcoRgE-ICuER</w:t>
        </w:r>
      </w:hyperlink>
    </w:p>
    <w:p w14:paraId="03010CF1" w14:textId="5A5A32DF" w:rsidR="00044FB1" w:rsidRPr="00044FB1" w:rsidRDefault="00044FB1" w:rsidP="00E761A8">
      <w:pPr>
        <w:rPr>
          <w:rFonts w:ascii="Times New Roman" w:hAnsi="Times New Roman"/>
          <w:sz w:val="24"/>
          <w:szCs w:val="24"/>
        </w:rPr>
      </w:pPr>
      <w:r w:rsidRPr="00044FB1">
        <w:rPr>
          <w:rFonts w:ascii="Times New Roman" w:hAnsi="Times New Roman"/>
          <w:b/>
          <w:bCs/>
          <w:sz w:val="24"/>
          <w:szCs w:val="24"/>
        </w:rPr>
        <w:t>Legal Lesson Learned: FF must comply with OSHA standards on facial hair.</w:t>
      </w:r>
    </w:p>
    <w:p w14:paraId="6CD857DC" w14:textId="77777777" w:rsidR="001257CC" w:rsidRDefault="001257CC" w:rsidP="00853142">
      <w:pPr>
        <w:rPr>
          <w:rFonts w:ascii="Arial Black" w:hAnsi="Arial Black"/>
          <w:sz w:val="24"/>
          <w:szCs w:val="24"/>
        </w:rPr>
      </w:pPr>
    </w:p>
    <w:p w14:paraId="2EEE3822" w14:textId="68C9A93B" w:rsidR="00BB49C5" w:rsidRDefault="00BB49C5"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8</w:t>
      </w:r>
    </w:p>
    <w:p w14:paraId="620160D4" w14:textId="77777777" w:rsidR="00BB49C5" w:rsidRPr="00525651" w:rsidRDefault="00BB49C5" w:rsidP="00BB49C5">
      <w:pPr>
        <w:pStyle w:val="paragraph"/>
        <w:rPr>
          <w:rFonts w:ascii="Arial Black" w:hAnsi="Arial Black"/>
          <w:sz w:val="28"/>
          <w:szCs w:val="28"/>
        </w:rPr>
      </w:pPr>
      <w:r>
        <w:rPr>
          <w:rFonts w:ascii="Arial Black" w:hAnsi="Arial Black"/>
          <w:sz w:val="28"/>
          <w:szCs w:val="28"/>
        </w:rPr>
        <w:t xml:space="preserve">OH: SMOKE IN APARTMENT – RESIDENT TACKLED LT. &amp; DREW GUN – LT. TESTIFIED DEF. SENTENCING - 6 MONTHS </w:t>
      </w:r>
    </w:p>
    <w:p w14:paraId="69EC93AF" w14:textId="77777777" w:rsidR="00BB49C5" w:rsidRPr="00E17731" w:rsidRDefault="00BB49C5" w:rsidP="00BB49C5">
      <w:pPr>
        <w:pStyle w:val="paragraph"/>
      </w:pPr>
      <w:r>
        <w:t xml:space="preserve">On Oct. 26, 2023, in </w:t>
      </w:r>
      <w:r w:rsidRPr="00525651">
        <w:rPr>
          <w:u w:val="single"/>
        </w:rPr>
        <w:t>State of Ohio v. Victor Hatcher</w:t>
      </w:r>
      <w:r>
        <w:t xml:space="preserve">, the Court of Appeals of Ohio, Eight District, Cuyahoga County, held (3 to 0) that the </w:t>
      </w:r>
      <w:proofErr w:type="gramStart"/>
      <w:r>
        <w:t>six month</w:t>
      </w:r>
      <w:proofErr w:type="gramEnd"/>
      <w:r>
        <w:t xml:space="preserve"> jail sentence was appropriate for assaulting the Lieutenant of the Cleveland Fire Department, and then pulling a gun on firefighters in front of the building. In a plea bargain, he plead guilty to attempted assault, a felony of the fifth degree.  Court described the incident: “While the firefighters were investigating, appellant approached the firefighters and became angry, demanding that they leave. Lt. Todd O’Neill was the last to leave, and as he did so, appellant tackled him to the ground. Two other firefighters had to pull appellant </w:t>
      </w:r>
      <w:proofErr w:type="gramStart"/>
      <w:r>
        <w:t>off of</w:t>
      </w:r>
      <w:proofErr w:type="gramEnd"/>
      <w:r>
        <w:t xml:space="preserve"> O’Neill. Once the firefighters were outside, appellant went to his vehicle and retrieved a firearm. He waved the firearm at the firefighters and yelled at them. The battalion chief ordered the firefighters back to their rigs and called the police, who subsequently arrested appellant.” </w:t>
      </w:r>
      <w:hyperlink r:id="rId527" w:history="1">
        <w:r w:rsidRPr="0097451D">
          <w:rPr>
            <w:rStyle w:val="Hyperlink"/>
            <w:rFonts w:eastAsiaTheme="majorEastAsia"/>
          </w:rPr>
          <w:t>https://www.supremecourt.ohio.gov/rod/docs/pdf/8/2023/2023-Ohio-3884.pdf</w:t>
        </w:r>
      </w:hyperlink>
      <w:r>
        <w:t xml:space="preserve"> </w:t>
      </w:r>
      <w:r w:rsidRPr="00525651">
        <w:t xml:space="preserve"> </w:t>
      </w:r>
      <w:r>
        <w:t xml:space="preserve"> </w:t>
      </w:r>
      <w:r w:rsidRPr="00E17731">
        <w:t xml:space="preserve"> </w:t>
      </w:r>
    </w:p>
    <w:p w14:paraId="0B096F1A" w14:textId="77777777" w:rsidR="00BB49C5" w:rsidRPr="00E17731" w:rsidRDefault="00BB49C5" w:rsidP="00BB49C5">
      <w:pPr>
        <w:rPr>
          <w:rFonts w:ascii="Times New Roman" w:hAnsi="Times New Roman"/>
          <w:b/>
          <w:bCs/>
          <w:sz w:val="24"/>
          <w:szCs w:val="24"/>
        </w:rPr>
      </w:pPr>
      <w:r w:rsidRPr="00E17731">
        <w:rPr>
          <w:rFonts w:ascii="Times New Roman" w:hAnsi="Times New Roman"/>
          <w:b/>
          <w:bCs/>
          <w:sz w:val="24"/>
          <w:szCs w:val="24"/>
        </w:rPr>
        <w:t>Legal Lesson Learned:</w:t>
      </w:r>
      <w:r>
        <w:rPr>
          <w:rFonts w:ascii="Times New Roman" w:hAnsi="Times New Roman"/>
          <w:b/>
          <w:bCs/>
          <w:sz w:val="24"/>
          <w:szCs w:val="24"/>
        </w:rPr>
        <w:t xml:space="preserve"> Excellent to have Lieutenant testify at sentencing hearing. </w:t>
      </w:r>
    </w:p>
    <w:p w14:paraId="2F0336DF" w14:textId="5451D265" w:rsidR="00BB49C5" w:rsidRPr="00E17731" w:rsidRDefault="00BB49C5" w:rsidP="00BB49C5">
      <w:pPr>
        <w:pStyle w:val="paragraph"/>
      </w:pPr>
      <w:r>
        <w:t xml:space="preserve"> </w:t>
      </w:r>
      <w:r w:rsidRPr="00525651">
        <w:t xml:space="preserve"> </w:t>
      </w:r>
      <w:r>
        <w:t xml:space="preserve"> </w:t>
      </w:r>
      <w:r w:rsidRPr="00E17731">
        <w:t xml:space="preserve"> </w:t>
      </w:r>
    </w:p>
    <w:p w14:paraId="4263D095" w14:textId="77777777" w:rsidR="00BB49C5" w:rsidRDefault="00BB49C5" w:rsidP="00853142">
      <w:pPr>
        <w:rPr>
          <w:rFonts w:ascii="Arial Black" w:hAnsi="Arial Black"/>
          <w:sz w:val="24"/>
          <w:szCs w:val="24"/>
        </w:rPr>
      </w:pPr>
    </w:p>
    <w:p w14:paraId="1B06AA0D" w14:textId="77777777" w:rsidR="00BB49C5" w:rsidRDefault="00BB49C5" w:rsidP="00853142">
      <w:pPr>
        <w:rPr>
          <w:rFonts w:ascii="Arial Black" w:hAnsi="Arial Black"/>
          <w:sz w:val="24"/>
          <w:szCs w:val="24"/>
        </w:rPr>
      </w:pPr>
    </w:p>
    <w:p w14:paraId="2985DEB8" w14:textId="4A9E8FFF" w:rsidR="0056123D" w:rsidRDefault="0056123D"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7</w:t>
      </w:r>
    </w:p>
    <w:p w14:paraId="236F745B" w14:textId="77777777" w:rsidR="0056123D" w:rsidRPr="009932E6" w:rsidRDefault="0056123D" w:rsidP="0056123D">
      <w:pPr>
        <w:pStyle w:val="NoSpacing"/>
        <w:rPr>
          <w:rFonts w:ascii="Arial Black" w:hAnsi="Arial Black"/>
          <w:sz w:val="28"/>
          <w:szCs w:val="28"/>
        </w:rPr>
      </w:pPr>
      <w:r>
        <w:rPr>
          <w:rFonts w:ascii="Arial Black" w:hAnsi="Arial Black"/>
          <w:sz w:val="28"/>
          <w:szCs w:val="28"/>
        </w:rPr>
        <w:t>CA: FOREST FIRE – BULLDOZER OPERATOR KILLED, TWO INJURED – EMPLOYED BY CONTRACTOR - CAN’T SUE STATE</w:t>
      </w:r>
    </w:p>
    <w:p w14:paraId="05CF9F7A" w14:textId="77777777" w:rsidR="0056123D" w:rsidRDefault="0056123D" w:rsidP="0056123D">
      <w:pPr>
        <w:pStyle w:val="NoSpacing"/>
        <w:rPr>
          <w:rFonts w:ascii="Times New Roman" w:hAnsi="Times New Roman"/>
          <w:sz w:val="24"/>
          <w:szCs w:val="24"/>
        </w:rPr>
      </w:pPr>
    </w:p>
    <w:p w14:paraId="0925CBB0"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27, 2023, in </w:t>
      </w:r>
      <w:r w:rsidRPr="00E350E5">
        <w:rPr>
          <w:rFonts w:ascii="Times New Roman" w:hAnsi="Times New Roman"/>
          <w:sz w:val="24"/>
          <w:szCs w:val="24"/>
          <w:u w:val="single"/>
        </w:rPr>
        <w:t>Connie Vandorien, et al. v. Department of Transportation</w:t>
      </w:r>
      <w:r>
        <w:rPr>
          <w:rFonts w:ascii="Times New Roman" w:hAnsi="Times New Roman"/>
          <w:sz w:val="24"/>
          <w:szCs w:val="24"/>
        </w:rPr>
        <w:t>, the Court of Appeal of State of California, Third Appellate District (Shasta), held (3 to 0; unpublished decision) that family of the deceased bulldoze operator (Don Smith) and two injured bulldoze operators (D</w:t>
      </w:r>
      <w:r w:rsidRPr="00E350E5">
        <w:rPr>
          <w:rFonts w:ascii="Times New Roman" w:hAnsi="Times New Roman"/>
          <w:sz w:val="24"/>
          <w:szCs w:val="24"/>
        </w:rPr>
        <w:t>onald Andrews and Terry Cumming</w:t>
      </w:r>
      <w:r>
        <w:rPr>
          <w:rFonts w:ascii="Times New Roman" w:hAnsi="Times New Roman"/>
          <w:sz w:val="24"/>
          <w:szCs w:val="24"/>
        </w:rPr>
        <w:t xml:space="preserve">s) cannot sue California Department of Forestry And Fire Protection (CalFire) or Department of Transportation (Cal Tran) for failure to assess the fire risk in 2018 “Carr Fire” and failure to adequately maintain vegetation near State Route 299. </w:t>
      </w:r>
    </w:p>
    <w:p w14:paraId="0A03D38A" w14:textId="77777777" w:rsidR="0056123D" w:rsidRPr="009932E6" w:rsidRDefault="0056123D" w:rsidP="0056123D">
      <w:pPr>
        <w:pStyle w:val="NoSpacing"/>
        <w:ind w:firstLine="720"/>
        <w:rPr>
          <w:rFonts w:ascii="Times New Roman" w:hAnsi="Times New Roman"/>
          <w:sz w:val="24"/>
          <w:szCs w:val="24"/>
        </w:rPr>
      </w:pPr>
      <w:r>
        <w:rPr>
          <w:rFonts w:ascii="Times New Roman" w:hAnsi="Times New Roman"/>
          <w:sz w:val="24"/>
          <w:szCs w:val="24"/>
        </w:rPr>
        <w:t>“</w:t>
      </w:r>
      <w:proofErr w:type="spellStart"/>
      <w:r w:rsidRPr="009932E6">
        <w:rPr>
          <w:rFonts w:ascii="Times New Roman" w:hAnsi="Times New Roman"/>
          <w:sz w:val="24"/>
          <w:szCs w:val="24"/>
        </w:rPr>
        <w:t>CalTrans</w:t>
      </w:r>
      <w:proofErr w:type="spellEnd"/>
      <w:r w:rsidRPr="009932E6">
        <w:rPr>
          <w:rFonts w:ascii="Times New Roman" w:hAnsi="Times New Roman"/>
          <w:sz w:val="24"/>
          <w:szCs w:val="24"/>
        </w:rPr>
        <w:t xml:space="preserve"> successfully demurred to the SAC and the heirs’ wrongful death claim</w:t>
      </w:r>
    </w:p>
    <w:p w14:paraId="4FD71C3D"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on the basis that it was not liable under our Supreme Court’s holding in Privette v.</w:t>
      </w:r>
    </w:p>
    <w:p w14:paraId="0A633877"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Superior Court (1993) 5 Cal.4th 689 (Privette) and its progeny, which generally prohibit</w:t>
      </w:r>
    </w:p>
    <w:p w14:paraId="1B79DAB7"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an independent contractor or its employees from suing the hirer of the contractor for</w:t>
      </w:r>
    </w:p>
    <w:p w14:paraId="2CC85BC6"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workplace injuries except where the hirer has negligently exercised retained control or</w:t>
      </w:r>
    </w:p>
    <w:p w14:paraId="1D7584BD" w14:textId="77777777" w:rsidR="0056123D" w:rsidRDefault="0056123D" w:rsidP="0056123D">
      <w:pPr>
        <w:pStyle w:val="NoSpacing"/>
        <w:ind w:left="720"/>
        <w:rPr>
          <w:rFonts w:ascii="Times New Roman" w:hAnsi="Times New Roman"/>
          <w:sz w:val="24"/>
          <w:szCs w:val="24"/>
        </w:rPr>
      </w:pPr>
      <w:r w:rsidRPr="009932E6">
        <w:rPr>
          <w:rFonts w:ascii="Times New Roman" w:hAnsi="Times New Roman"/>
          <w:sz w:val="24"/>
          <w:szCs w:val="24"/>
        </w:rPr>
        <w:t>concealed a preexisting hazard.</w:t>
      </w:r>
      <w:r>
        <w:rPr>
          <w:rFonts w:ascii="Times New Roman" w:hAnsi="Times New Roman"/>
          <w:sz w:val="24"/>
          <w:szCs w:val="24"/>
        </w:rPr>
        <w:t xml:space="preserve">”  </w:t>
      </w:r>
      <w:hyperlink r:id="rId528" w:history="1">
        <w:r w:rsidRPr="00537EB6">
          <w:rPr>
            <w:rStyle w:val="Hyperlink"/>
            <w:rFonts w:ascii="Times New Roman" w:hAnsi="Times New Roman"/>
            <w:sz w:val="24"/>
            <w:szCs w:val="24"/>
          </w:rPr>
          <w:t>https://www.courts.ca.gov/opinions/nonpub/C096220.PDF</w:t>
        </w:r>
      </w:hyperlink>
      <w:r>
        <w:rPr>
          <w:rFonts w:ascii="Times New Roman" w:hAnsi="Times New Roman"/>
          <w:sz w:val="24"/>
          <w:szCs w:val="24"/>
        </w:rPr>
        <w:t xml:space="preserve"> </w:t>
      </w:r>
    </w:p>
    <w:p w14:paraId="713BBEF4" w14:textId="77777777" w:rsidR="0056123D" w:rsidRDefault="0056123D" w:rsidP="0056123D">
      <w:pPr>
        <w:pStyle w:val="NoSpacing"/>
        <w:rPr>
          <w:rFonts w:ascii="Times New Roman" w:hAnsi="Times New Roman"/>
          <w:b/>
          <w:bCs/>
          <w:sz w:val="24"/>
          <w:szCs w:val="24"/>
        </w:rPr>
      </w:pPr>
    </w:p>
    <w:p w14:paraId="568A8A30" w14:textId="604FD218" w:rsidR="0056123D" w:rsidRPr="0059137D" w:rsidRDefault="0056123D" w:rsidP="0056123D">
      <w:pPr>
        <w:pStyle w:val="NoSpacing"/>
        <w:rPr>
          <w:rFonts w:ascii="Times New Roman" w:hAnsi="Times New Roman"/>
          <w:b/>
          <w:bCs/>
          <w:sz w:val="24"/>
          <w:szCs w:val="24"/>
        </w:rPr>
      </w:pPr>
      <w:r w:rsidRPr="0059137D">
        <w:rPr>
          <w:rFonts w:ascii="Times New Roman" w:hAnsi="Times New Roman"/>
          <w:b/>
          <w:bCs/>
          <w:sz w:val="24"/>
          <w:szCs w:val="24"/>
        </w:rPr>
        <w:t>Legal Lesson Learned:</w:t>
      </w:r>
      <w:r>
        <w:rPr>
          <w:rFonts w:ascii="Times New Roman" w:hAnsi="Times New Roman"/>
          <w:b/>
          <w:bCs/>
          <w:sz w:val="24"/>
          <w:szCs w:val="24"/>
        </w:rPr>
        <w:t xml:space="preserve"> The bulldoze operators were employees to the independent contractor; their remedy is worker’s comp through their employer. </w:t>
      </w:r>
    </w:p>
    <w:p w14:paraId="1BE42B68" w14:textId="77777777" w:rsidR="0056123D" w:rsidRDefault="0056123D" w:rsidP="0056123D">
      <w:pPr>
        <w:pStyle w:val="NoSpacing"/>
        <w:rPr>
          <w:rFonts w:ascii="Times New Roman" w:hAnsi="Times New Roman"/>
          <w:sz w:val="24"/>
          <w:szCs w:val="24"/>
        </w:rPr>
      </w:pPr>
    </w:p>
    <w:p w14:paraId="1C848859" w14:textId="77777777" w:rsidR="0056123D" w:rsidRDefault="0056123D" w:rsidP="00853142">
      <w:pPr>
        <w:rPr>
          <w:rFonts w:ascii="Arial Black" w:hAnsi="Arial Black"/>
          <w:sz w:val="24"/>
          <w:szCs w:val="24"/>
        </w:rPr>
      </w:pPr>
    </w:p>
    <w:p w14:paraId="76679C0E" w14:textId="75666C9F" w:rsidR="00FE60DA" w:rsidRDefault="00FE60DA"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6</w:t>
      </w:r>
    </w:p>
    <w:p w14:paraId="301CE9F2" w14:textId="77777777" w:rsidR="00FE60DA" w:rsidRPr="009C2567"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NY:  1992 ARSON CLOTHING STORE - LODD OF FDNY LT. –BLDG OWNER 36 YRS PRISON - DENIED HOME DETENTION</w:t>
      </w:r>
    </w:p>
    <w:p w14:paraId="6047AD8C" w14:textId="77777777" w:rsidR="00FE60DA" w:rsidRDefault="00FE60DA" w:rsidP="00FE60DA">
      <w:pPr>
        <w:spacing w:before="100" w:beforeAutospacing="1" w:after="100" w:afterAutospacing="1" w:line="240" w:lineRule="auto"/>
        <w:rPr>
          <w:rFonts w:ascii="Times New Roman" w:hAnsi="Times New Roman"/>
          <w:sz w:val="24"/>
          <w:szCs w:val="24"/>
        </w:rPr>
      </w:pPr>
      <w:r w:rsidRPr="007C560E">
        <w:rPr>
          <w:rFonts w:ascii="Times New Roman" w:eastAsia="Times New Roman" w:hAnsi="Times New Roman"/>
          <w:sz w:val="24"/>
          <w:szCs w:val="24"/>
        </w:rPr>
        <w:t xml:space="preserve">On June 30, 2023, in </w:t>
      </w:r>
      <w:r w:rsidRPr="007C560E">
        <w:rPr>
          <w:rFonts w:ascii="Times New Roman" w:eastAsia="Times New Roman" w:hAnsi="Times New Roman"/>
          <w:sz w:val="24"/>
          <w:szCs w:val="24"/>
          <w:u w:val="single"/>
        </w:rPr>
        <w:t>Jack Ferranti v. Warden Allenwood LSCI</w:t>
      </w:r>
      <w:r w:rsidRPr="007C560E">
        <w:rPr>
          <w:rFonts w:ascii="Times New Roman" w:eastAsia="Times New Roman" w:hAnsi="Times New Roman"/>
          <w:sz w:val="24"/>
          <w:szCs w:val="24"/>
        </w:rPr>
        <w:t xml:space="preserve">, the U.S. Court of Appeals for Third Circuit (Philadelphia) held (3 to 0) that U.S. Bureau of Prisons, and U.S. District Court properly denied his request to serve the remainder of his sentence at home under the </w:t>
      </w:r>
      <w:r w:rsidRPr="007C560E">
        <w:rPr>
          <w:rFonts w:ascii="Times New Roman" w:hAnsi="Times New Roman"/>
          <w:sz w:val="24"/>
          <w:szCs w:val="24"/>
        </w:rPr>
        <w:t xml:space="preserve">Elderly Offender Home Detention Program (EOHDP), a pilot program expanded as part of the 2018 First Step Act signed into law by President Trump. The Feb. 24, 1992, fire, in a three-story brick building with stores on the ground floor, sent smoke-choked tenants into the street and killed Lieut. Thomas A. Williams, 52, a 30-year veteran of the department and the father of two college-age daughters. Lieutenant Williams either fell or was blown out of a second-story window after a buildup of smoke and gases. He was </w:t>
      </w:r>
      <w:proofErr w:type="gramStart"/>
      <w:r w:rsidRPr="007C560E">
        <w:rPr>
          <w:rFonts w:ascii="Times New Roman" w:hAnsi="Times New Roman"/>
          <w:sz w:val="24"/>
          <w:szCs w:val="24"/>
        </w:rPr>
        <w:t>sentenced</w:t>
      </w:r>
      <w:proofErr w:type="gramEnd"/>
      <w:r w:rsidRPr="007C560E">
        <w:rPr>
          <w:rFonts w:ascii="Times New Roman" w:hAnsi="Times New Roman"/>
          <w:sz w:val="24"/>
          <w:szCs w:val="24"/>
        </w:rPr>
        <w:t xml:space="preserve"> 435 months' </w:t>
      </w:r>
      <w:r>
        <w:rPr>
          <w:rFonts w:ascii="Times New Roman" w:hAnsi="Times New Roman"/>
          <w:sz w:val="24"/>
          <w:szCs w:val="24"/>
        </w:rPr>
        <w:t xml:space="preserve">(36 years) </w:t>
      </w:r>
      <w:r w:rsidRPr="007C560E">
        <w:rPr>
          <w:rFonts w:ascii="Times New Roman" w:hAnsi="Times New Roman"/>
          <w:sz w:val="24"/>
          <w:szCs w:val="24"/>
        </w:rPr>
        <w:t>imprisonment</w:t>
      </w:r>
      <w:r>
        <w:rPr>
          <w:rFonts w:ascii="Times New Roman" w:hAnsi="Times New Roman"/>
          <w:sz w:val="24"/>
          <w:szCs w:val="24"/>
        </w:rPr>
        <w:t xml:space="preserve"> and </w:t>
      </w:r>
      <w:r w:rsidRPr="007C560E">
        <w:rPr>
          <w:rFonts w:ascii="Times New Roman" w:hAnsi="Times New Roman"/>
          <w:sz w:val="24"/>
          <w:szCs w:val="24"/>
        </w:rPr>
        <w:t xml:space="preserve">with </w:t>
      </w:r>
      <w:proofErr w:type="gramStart"/>
      <w:r w:rsidRPr="007C560E">
        <w:rPr>
          <w:rFonts w:ascii="Times New Roman" w:hAnsi="Times New Roman"/>
          <w:sz w:val="24"/>
          <w:szCs w:val="24"/>
        </w:rPr>
        <w:t>good time</w:t>
      </w:r>
      <w:proofErr w:type="gramEnd"/>
      <w:r w:rsidRPr="007C560E">
        <w:rPr>
          <w:rFonts w:ascii="Times New Roman" w:hAnsi="Times New Roman"/>
          <w:sz w:val="24"/>
          <w:szCs w:val="24"/>
        </w:rPr>
        <w:t xml:space="preserve"> credits, the Bureau of Prisons (BOP) expects he will be released from prison in April 2026.</w:t>
      </w:r>
      <w:r>
        <w:rPr>
          <w:rFonts w:ascii="Times New Roman" w:hAnsi="Times New Roman"/>
          <w:sz w:val="24"/>
          <w:szCs w:val="24"/>
        </w:rPr>
        <w:t xml:space="preserve"> </w:t>
      </w:r>
    </w:p>
    <w:p w14:paraId="38D9BC63" w14:textId="77777777" w:rsidR="00FE60DA" w:rsidRPr="009C2567" w:rsidRDefault="00FE60DA" w:rsidP="00FE60DA">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The 3</w:t>
      </w:r>
      <w:r w:rsidRPr="009C2567">
        <w:rPr>
          <w:rFonts w:ascii="Times New Roman" w:hAnsi="Times New Roman"/>
          <w:sz w:val="24"/>
          <w:szCs w:val="24"/>
          <w:vertAlign w:val="superscript"/>
        </w:rPr>
        <w:t>rd</w:t>
      </w:r>
      <w:r>
        <w:rPr>
          <w:rFonts w:ascii="Times New Roman" w:hAnsi="Times New Roman"/>
          <w:sz w:val="24"/>
          <w:szCs w:val="24"/>
        </w:rPr>
        <w:t xml:space="preserve"> Circuit held: “</w:t>
      </w:r>
      <w:r>
        <w:rPr>
          <w:rFonts w:ascii="Times New Roman" w:eastAsia="Times New Roman" w:hAnsi="Times New Roman"/>
          <w:sz w:val="24"/>
          <w:szCs w:val="24"/>
        </w:rPr>
        <w:t>[T]</w:t>
      </w:r>
      <w:r w:rsidRPr="009C2567">
        <w:rPr>
          <w:rFonts w:ascii="Times New Roman" w:eastAsia="Times New Roman" w:hAnsi="Times New Roman"/>
          <w:sz w:val="24"/>
          <w:szCs w:val="24"/>
        </w:rPr>
        <w:t>he BOP did not err by concluding that Ferranti's history of violence-comprised of the underlying conduct for his convictions as well as disciplinary infractions in prison-disqualified him from participating in the EOHDP. For the foregoing reasons, we will affirm the District Court's orders denying relief.</w:t>
      </w:r>
      <w:r>
        <w:rPr>
          <w:rFonts w:ascii="Times New Roman" w:eastAsia="Times New Roman" w:hAnsi="Times New Roman"/>
          <w:sz w:val="24"/>
          <w:szCs w:val="24"/>
        </w:rPr>
        <w:t xml:space="preserve">” </w:t>
      </w:r>
      <w:hyperlink r:id="rId529" w:history="1">
        <w:r w:rsidRPr="00812663">
          <w:rPr>
            <w:rStyle w:val="Hyperlink"/>
            <w:sz w:val="24"/>
            <w:szCs w:val="24"/>
          </w:rPr>
          <w:t>https://law.justia.com/cases/federal/appellate-courts/ca3/22-1892/22-1892-2023-06-30.html</w:t>
        </w:r>
      </w:hyperlink>
      <w:r>
        <w:rPr>
          <w:rFonts w:ascii="Times New Roman" w:eastAsia="Times New Roman" w:hAnsi="Times New Roman"/>
          <w:sz w:val="24"/>
          <w:szCs w:val="24"/>
        </w:rPr>
        <w:t xml:space="preserve"> </w:t>
      </w:r>
    </w:p>
    <w:p w14:paraId="17541C2E" w14:textId="77777777" w:rsidR="00FE60DA" w:rsidRPr="007C560E" w:rsidRDefault="00FE60DA" w:rsidP="00FE60DA">
      <w:pPr>
        <w:pStyle w:val="NormalWeb"/>
        <w:rPr>
          <w:b/>
          <w:bCs/>
        </w:rPr>
      </w:pPr>
      <w:r w:rsidRPr="007C560E">
        <w:rPr>
          <w:b/>
          <w:bCs/>
        </w:rPr>
        <w:t>Legal Lesson Learned: Arsonists</w:t>
      </w:r>
      <w:r>
        <w:rPr>
          <w:b/>
          <w:bCs/>
        </w:rPr>
        <w:t>, and other violent offenders,</w:t>
      </w:r>
      <w:r w:rsidRPr="007C560E">
        <w:rPr>
          <w:b/>
          <w:bCs/>
        </w:rPr>
        <w:t xml:space="preserve"> are not qualified for Elderly Offender Home Detention Program</w:t>
      </w:r>
      <w:r>
        <w:rPr>
          <w:b/>
          <w:bCs/>
        </w:rPr>
        <w:t xml:space="preserve"> (age 60 or older)</w:t>
      </w:r>
      <w:r w:rsidRPr="007C560E">
        <w:rPr>
          <w:b/>
          <w:bCs/>
        </w:rPr>
        <w:t xml:space="preserve">. </w:t>
      </w:r>
    </w:p>
    <w:p w14:paraId="10C9BBCC" w14:textId="77777777" w:rsidR="00FE60DA" w:rsidRDefault="00FE60DA" w:rsidP="00FE60DA">
      <w:pPr>
        <w:pStyle w:val="NormalWeb"/>
        <w:ind w:left="720"/>
      </w:pPr>
      <w:r w:rsidRPr="007C560E">
        <w:t xml:space="preserve">Note:  See Aug. 16, </w:t>
      </w:r>
      <w:proofErr w:type="gramStart"/>
      <w:r w:rsidRPr="007C560E">
        <w:t>1995</w:t>
      </w:r>
      <w:proofErr w:type="gramEnd"/>
      <w:r w:rsidRPr="007C560E">
        <w:t xml:space="preserve"> </w:t>
      </w:r>
      <w:r>
        <w:t xml:space="preserve">New York Times </w:t>
      </w:r>
      <w:r w:rsidRPr="007C560E">
        <w:t>article, “Storeowner Guilty of Arson Where Fireman Died.”</w:t>
      </w:r>
      <w:r>
        <w:t xml:space="preserve"> </w:t>
      </w:r>
      <w:hyperlink r:id="rId530" w:history="1">
        <w:r w:rsidRPr="00AA56D8">
          <w:rPr>
            <w:rStyle w:val="Hyperlink"/>
          </w:rPr>
          <w:t>https://www.nytimes.com/1995/08/16/nyregion/storeowner-guilty-of-arson-where-fireman-died.html</w:t>
        </w:r>
      </w:hyperlink>
      <w:r>
        <w:t xml:space="preserve"> </w:t>
      </w:r>
    </w:p>
    <w:p w14:paraId="26364599" w14:textId="77777777" w:rsidR="00FE60DA" w:rsidRDefault="00FE60DA" w:rsidP="00FE60DA">
      <w:pPr>
        <w:pStyle w:val="css-at9mc1"/>
        <w:ind w:left="720"/>
      </w:pPr>
      <w:r>
        <w:t xml:space="preserve">“The owner of a Queens clothing store was convicted of arson by a </w:t>
      </w:r>
      <w:proofErr w:type="gramStart"/>
      <w:r>
        <w:t>Federal</w:t>
      </w:r>
      <w:proofErr w:type="gramEnd"/>
      <w:r>
        <w:t xml:space="preserve"> court jury in Brooklyn yesterday in a fire that killed a highly decorated firefighter. The storeowner, Jack Ferranti, 42, of Manhattan, could receive life in prison. Mr. Ferranti's brother, Mario, 37, was convicted of arson conspiracy, and could receive five years in prison. The sentencing by Judge Jack B. Weinstein will not be scheduled until after the trial of Thomas Tocco, 29, a third defendant, whose case was severed from the Ferranti trial, officials said. Mr. Tocco's trial is scheduled to begin on Monday…. The indictment, unsealed in February, three years after the Feb. 24, 1992, fire, charged that shortly before the blaze, Jack Ferranti had moved a large amount of merchandise from the store, Today's Styles, at 66-45 Grand Avenue in Maspeth, and that after the fire he falsely claimed the goods had been destroyed, for a loss of $100,000. During the investigation, Mr. Ferranti withdrew the insurance claim. Besides the arson charge, Mr. Ferranti was found guilty of 16 counts of mail fraud in connection with the insurance claims and one count of witness tampering. The fire, in a three-story brick building with stores on the ground floor, sent smoke-choked tenants into the street and killed Lieut. Thomas A. Williams, 52, a 30-year veteran of the department and the father of two college-age daughters. Lieutenant Williams either fell or was blown out of a second-story window after a buildup of smoke and gases.”</w:t>
      </w:r>
    </w:p>
    <w:p w14:paraId="087FF66A" w14:textId="7238ED89" w:rsidR="00FE60DA" w:rsidRDefault="00FE60DA"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5</w:t>
      </w:r>
    </w:p>
    <w:p w14:paraId="6175D787" w14:textId="77777777" w:rsidR="00FE60DA" w:rsidRPr="00171981"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PA: KIDNEY CANCER – STATE LAW PROPERLY EXTENDS COVERAGE TO CHEMICALS LATER PLACED IN “GROUP 1” </w:t>
      </w:r>
    </w:p>
    <w:p w14:paraId="00DA3C06"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21, 2023, in </w:t>
      </w:r>
      <w:r w:rsidRPr="005949A3">
        <w:rPr>
          <w:rFonts w:ascii="Times New Roman" w:hAnsi="Times New Roman"/>
          <w:sz w:val="24"/>
          <w:szCs w:val="24"/>
          <w:u w:val="single"/>
        </w:rPr>
        <w:t>City of Philadelphia v. Joseph Healey (Workers’ Compensation Appeal Board)</w:t>
      </w:r>
      <w:r>
        <w:rPr>
          <w:rFonts w:ascii="Times New Roman" w:hAnsi="Times New Roman"/>
          <w:sz w:val="24"/>
          <w:szCs w:val="24"/>
        </w:rPr>
        <w:t xml:space="preserve">, the Commonwealth Court of Pennsylvania held (7 to 0) that the firefighter was properly granted workers comp for his kidney cancer, rejecting the City’s argument that the state’s 2011 statute improperly allows additional substances like </w:t>
      </w:r>
      <w:r w:rsidRPr="00DB7D8B">
        <w:rPr>
          <w:rFonts w:ascii="Times New Roman" w:hAnsi="Times New Roman"/>
          <w:sz w:val="24"/>
          <w:szCs w:val="24"/>
        </w:rPr>
        <w:t>trichlorethylene</w:t>
      </w:r>
      <w:r>
        <w:t xml:space="preserve"> (</w:t>
      </w:r>
      <w:r>
        <w:rPr>
          <w:rFonts w:ascii="Times New Roman" w:hAnsi="Times New Roman"/>
          <w:sz w:val="24"/>
          <w:szCs w:val="24"/>
        </w:rPr>
        <w:t xml:space="preserve">TCE is </w:t>
      </w:r>
      <w:r w:rsidRPr="00DB7D8B">
        <w:rPr>
          <w:rFonts w:ascii="Times New Roman" w:hAnsi="Times New Roman"/>
          <w:sz w:val="24"/>
          <w:szCs w:val="24"/>
        </w:rPr>
        <w:t>industrial solvent for degreasing metal parts)</w:t>
      </w:r>
      <w:r>
        <w:rPr>
          <w:rFonts w:ascii="Times New Roman" w:hAnsi="Times New Roman"/>
          <w:sz w:val="24"/>
          <w:szCs w:val="24"/>
        </w:rPr>
        <w:t xml:space="preserve"> to be added to Group 1 list by the </w:t>
      </w:r>
      <w:r w:rsidRPr="005949A3">
        <w:rPr>
          <w:rFonts w:ascii="Times New Roman" w:hAnsi="Times New Roman"/>
          <w:sz w:val="24"/>
          <w:szCs w:val="24"/>
        </w:rPr>
        <w:t>International Agency for Research on Cancer</w:t>
      </w:r>
      <w:r>
        <w:rPr>
          <w:rFonts w:ascii="Times New Roman" w:hAnsi="Times New Roman"/>
          <w:sz w:val="24"/>
          <w:szCs w:val="24"/>
        </w:rPr>
        <w:t xml:space="preserve">. In 2011, TCE was listed as a Group 2a substance (“probably carcinogenic to humans”). </w:t>
      </w:r>
    </w:p>
    <w:p w14:paraId="4F3D6DD2" w14:textId="77777777" w:rsidR="00FE60DA" w:rsidRPr="0003518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 “E</w:t>
      </w:r>
      <w:r w:rsidRPr="005949A3">
        <w:rPr>
          <w:rFonts w:ascii="Times New Roman" w:hAnsi="Times New Roman"/>
          <w:sz w:val="24"/>
          <w:szCs w:val="24"/>
        </w:rPr>
        <w:t xml:space="preserve">mployer argues that the WCJ erred by relying on Claimant's TCE exposure to grant the Claim Petition under Section 108(r) of the Act. Specifically, Employer contends that interpreting Section 108(r) of the Act to include TCE as a Group 1 carcinogen </w:t>
      </w:r>
      <w:r w:rsidRPr="005949A3">
        <w:rPr>
          <w:rStyle w:val="Emphasis"/>
          <w:rFonts w:ascii="Times New Roman" w:hAnsi="Times New Roman"/>
          <w:sz w:val="24"/>
          <w:szCs w:val="24"/>
        </w:rPr>
        <w:t>after</w:t>
      </w:r>
      <w:r w:rsidRPr="005949A3">
        <w:rPr>
          <w:rFonts w:ascii="Times New Roman" w:hAnsi="Times New Roman"/>
          <w:sz w:val="24"/>
          <w:szCs w:val="24"/>
        </w:rPr>
        <w:t xml:space="preserve"> Act 46 became law on July 7, 2011, makes Section 108(r) of the Act reliant on the IARC's ever-changing Group 1 carcinogen list and, thus, the General Assembly unconstitutionally delegated its lawmaking authority to the IARC.</w:t>
      </w:r>
      <w:r>
        <w:rPr>
          <w:rFonts w:ascii="Times New Roman" w:hAnsi="Times New Roman"/>
          <w:sz w:val="24"/>
          <w:szCs w:val="24"/>
        </w:rPr>
        <w:t xml:space="preserve"> *** [Footnote 11. </w:t>
      </w:r>
      <w:r w:rsidRPr="00DB7D8B">
        <w:rPr>
          <w:rFonts w:ascii="Times New Roman" w:hAnsi="Times New Roman"/>
          <w:sz w:val="24"/>
          <w:szCs w:val="24"/>
        </w:rPr>
        <w:t xml:space="preserve">In addition, well-settled delegation standards and case law specify that the General Assembly has the authority </w:t>
      </w:r>
      <w:r>
        <w:rPr>
          <w:rFonts w:ascii="Times New Roman" w:hAnsi="Times New Roman"/>
          <w:sz w:val="24"/>
          <w:szCs w:val="24"/>
        </w:rPr>
        <w:t>‘</w:t>
      </w:r>
      <w:r w:rsidRPr="00DB7D8B">
        <w:rPr>
          <w:rFonts w:ascii="Times New Roman" w:hAnsi="Times New Roman"/>
          <w:sz w:val="24"/>
          <w:szCs w:val="24"/>
        </w:rPr>
        <w:t>to delegate to [the IARC], its execution and administrative authority over Pennsylvania's [occupational disease classifications], . . . as long as: (1) basic policy choices are still made by the General Assembly; and (2) the legislation contains adequate standards to guide and restrain the exercise of those functions.</w:t>
      </w:r>
      <w:r>
        <w:rPr>
          <w:rFonts w:ascii="Times New Roman" w:hAnsi="Times New Roman"/>
          <w:sz w:val="24"/>
          <w:szCs w:val="24"/>
        </w:rPr>
        <w:t>’</w:t>
      </w:r>
      <w:r w:rsidRPr="00DB7D8B">
        <w:rPr>
          <w:rFonts w:ascii="Times New Roman" w:hAnsi="Times New Roman"/>
          <w:sz w:val="24"/>
          <w:szCs w:val="24"/>
        </w:rPr>
        <w:t xml:space="preserve"> </w:t>
      </w:r>
      <w:r w:rsidRPr="00DB7D8B">
        <w:rPr>
          <w:rStyle w:val="Emphasis"/>
          <w:rFonts w:ascii="Times New Roman" w:hAnsi="Times New Roman"/>
          <w:sz w:val="24"/>
          <w:szCs w:val="24"/>
        </w:rPr>
        <w:t xml:space="preserve">Pa. Builders </w:t>
      </w:r>
      <w:proofErr w:type="spellStart"/>
      <w:r w:rsidRPr="00DB7D8B">
        <w:rPr>
          <w:rStyle w:val="Emphasis"/>
          <w:rFonts w:ascii="Times New Roman" w:hAnsi="Times New Roman"/>
          <w:sz w:val="24"/>
          <w:szCs w:val="24"/>
        </w:rPr>
        <w:t>Ass'n</w:t>
      </w:r>
      <w:proofErr w:type="spellEnd"/>
      <w:r w:rsidRPr="00DB7D8B">
        <w:rPr>
          <w:rStyle w:val="Emphasis"/>
          <w:rFonts w:ascii="Times New Roman" w:hAnsi="Times New Roman"/>
          <w:sz w:val="24"/>
          <w:szCs w:val="24"/>
        </w:rPr>
        <w:t xml:space="preserve"> v. </w:t>
      </w:r>
      <w:proofErr w:type="spellStart"/>
      <w:r w:rsidRPr="00DB7D8B">
        <w:rPr>
          <w:rStyle w:val="Emphasis"/>
          <w:rFonts w:ascii="Times New Roman" w:hAnsi="Times New Roman"/>
          <w:sz w:val="24"/>
          <w:szCs w:val="24"/>
        </w:rPr>
        <w:t>Dep't</w:t>
      </w:r>
      <w:proofErr w:type="spellEnd"/>
      <w:r w:rsidRPr="00DB7D8B">
        <w:rPr>
          <w:rStyle w:val="Emphasis"/>
          <w:rFonts w:ascii="Times New Roman" w:hAnsi="Times New Roman"/>
          <w:sz w:val="24"/>
          <w:szCs w:val="24"/>
        </w:rPr>
        <w:t xml:space="preserve"> of Lab. &amp; Indus.</w:t>
      </w:r>
      <w:r w:rsidRPr="00DB7D8B">
        <w:rPr>
          <w:rFonts w:ascii="Times New Roman" w:hAnsi="Times New Roman"/>
          <w:sz w:val="24"/>
          <w:szCs w:val="24"/>
        </w:rPr>
        <w:t xml:space="preserve">, 4 A.3d 215, 224 (Pa. </w:t>
      </w:r>
      <w:proofErr w:type="spellStart"/>
      <w:r w:rsidRPr="00DB7D8B">
        <w:rPr>
          <w:rFonts w:ascii="Times New Roman" w:hAnsi="Times New Roman"/>
          <w:sz w:val="24"/>
          <w:szCs w:val="24"/>
        </w:rPr>
        <w:t>Cmwlth</w:t>
      </w:r>
      <w:proofErr w:type="spellEnd"/>
      <w:r w:rsidRPr="00DB7D8B">
        <w:rPr>
          <w:rFonts w:ascii="Times New Roman" w:hAnsi="Times New Roman"/>
          <w:sz w:val="24"/>
          <w:szCs w:val="24"/>
        </w:rPr>
        <w:t xml:space="preserve">. 2010); </w:t>
      </w:r>
      <w:r w:rsidRPr="00DB7D8B">
        <w:rPr>
          <w:rStyle w:val="Emphasis"/>
          <w:rFonts w:ascii="Times New Roman" w:hAnsi="Times New Roman"/>
          <w:sz w:val="24"/>
          <w:szCs w:val="24"/>
        </w:rPr>
        <w:t>see also Protz</w:t>
      </w:r>
      <w:r w:rsidRPr="00DB7D8B">
        <w:rPr>
          <w:rFonts w:ascii="Times New Roman" w:hAnsi="Times New Roman"/>
          <w:sz w:val="24"/>
          <w:szCs w:val="24"/>
        </w:rPr>
        <w:t>.</w:t>
      </w:r>
      <w:r>
        <w:rPr>
          <w:rFonts w:ascii="Times New Roman" w:hAnsi="Times New Roman"/>
          <w:sz w:val="24"/>
          <w:szCs w:val="24"/>
        </w:rPr>
        <w:t>”</w:t>
      </w:r>
      <w:r w:rsidRPr="00DB7D8B">
        <w:t xml:space="preserve"> </w:t>
      </w:r>
      <w:hyperlink r:id="rId531" w:history="1">
        <w:r w:rsidRPr="0003518A">
          <w:rPr>
            <w:rStyle w:val="Hyperlink"/>
            <w:sz w:val="24"/>
            <w:szCs w:val="24"/>
          </w:rPr>
          <w:t>https://casetext.com/case/city-of-philadelphia-v-healey</w:t>
        </w:r>
      </w:hyperlink>
      <w:r w:rsidRPr="0003518A">
        <w:rPr>
          <w:rFonts w:ascii="Times New Roman" w:hAnsi="Times New Roman"/>
          <w:sz w:val="24"/>
          <w:szCs w:val="24"/>
        </w:rPr>
        <w:t xml:space="preserve"> </w:t>
      </w:r>
    </w:p>
    <w:p w14:paraId="7775C6CC" w14:textId="77777777" w:rsidR="00FE60DA" w:rsidRPr="00726ADA" w:rsidRDefault="00FE60DA" w:rsidP="00FE60DA">
      <w:pPr>
        <w:spacing w:before="100" w:beforeAutospacing="1" w:after="100" w:afterAutospacing="1" w:line="240" w:lineRule="auto"/>
        <w:rPr>
          <w:rFonts w:ascii="Times New Roman" w:hAnsi="Times New Roman"/>
          <w:b/>
          <w:bCs/>
          <w:sz w:val="24"/>
          <w:szCs w:val="24"/>
        </w:rPr>
      </w:pPr>
      <w:r w:rsidRPr="00726ADA">
        <w:rPr>
          <w:rFonts w:ascii="Times New Roman" w:hAnsi="Times New Roman"/>
          <w:b/>
          <w:bCs/>
          <w:sz w:val="24"/>
          <w:szCs w:val="24"/>
        </w:rPr>
        <w:t xml:space="preserve">Legal Lesson Learned: </w:t>
      </w:r>
      <w:r>
        <w:rPr>
          <w:rFonts w:ascii="Times New Roman" w:hAnsi="Times New Roman"/>
          <w:b/>
          <w:bCs/>
          <w:sz w:val="24"/>
          <w:szCs w:val="24"/>
        </w:rPr>
        <w:t xml:space="preserve">It’s amazing what “weak” arguments employer’s workers comp. representatives sometimes make to avoid liability. </w:t>
      </w:r>
    </w:p>
    <w:p w14:paraId="1462041B" w14:textId="77777777" w:rsidR="00FE60DA" w:rsidRPr="00FE60DA" w:rsidRDefault="00FE60DA" w:rsidP="00853142">
      <w:pPr>
        <w:rPr>
          <w:rFonts w:ascii="Arial Black" w:hAnsi="Arial Black"/>
          <w:b/>
          <w:bCs/>
          <w:sz w:val="24"/>
          <w:szCs w:val="24"/>
        </w:rPr>
      </w:pPr>
    </w:p>
    <w:p w14:paraId="0465755D" w14:textId="77777777" w:rsidR="00FE60DA" w:rsidRDefault="00FE60DA" w:rsidP="00853142">
      <w:pPr>
        <w:rPr>
          <w:rFonts w:ascii="Arial Black" w:hAnsi="Arial Black"/>
          <w:sz w:val="24"/>
          <w:szCs w:val="24"/>
        </w:rPr>
      </w:pPr>
    </w:p>
    <w:p w14:paraId="0E7E6A53" w14:textId="77777777" w:rsidR="00FE60DA" w:rsidRDefault="00FE60DA" w:rsidP="00853142">
      <w:pPr>
        <w:rPr>
          <w:rFonts w:ascii="Arial Black" w:hAnsi="Arial Black"/>
          <w:sz w:val="24"/>
          <w:szCs w:val="24"/>
        </w:rPr>
      </w:pPr>
    </w:p>
    <w:p w14:paraId="119A4B9B" w14:textId="3FC4B487" w:rsidR="00DC17BF" w:rsidRPr="00DC17BF" w:rsidRDefault="00DC17BF" w:rsidP="00853142">
      <w:pPr>
        <w:rPr>
          <w:rFonts w:ascii="Arial Black" w:hAnsi="Arial Black"/>
          <w:sz w:val="24"/>
          <w:szCs w:val="24"/>
        </w:rPr>
      </w:pPr>
      <w:r w:rsidRPr="00DC17BF">
        <w:rPr>
          <w:rFonts w:ascii="Arial Black" w:hAnsi="Arial Black"/>
          <w:sz w:val="24"/>
          <w:szCs w:val="24"/>
        </w:rPr>
        <w:t>2-5</w:t>
      </w:r>
      <w:r w:rsidR="00BB73D4">
        <w:rPr>
          <w:rFonts w:ascii="Arial Black" w:hAnsi="Arial Black"/>
          <w:sz w:val="24"/>
          <w:szCs w:val="24"/>
        </w:rPr>
        <w:t>4</w:t>
      </w:r>
    </w:p>
    <w:p w14:paraId="58CC1446" w14:textId="77777777" w:rsidR="00DC17BF" w:rsidRPr="007B16B3" w:rsidRDefault="00DC17BF" w:rsidP="00DC17BF">
      <w:pPr>
        <w:pStyle w:val="NormalWeb"/>
        <w:rPr>
          <w:rFonts w:ascii="Arial Black" w:hAnsi="Arial Black"/>
          <w:b/>
          <w:bCs/>
          <w:sz w:val="28"/>
          <w:szCs w:val="28"/>
        </w:rPr>
      </w:pPr>
      <w:bookmarkStart w:id="92" w:name="_Hlk136858036"/>
      <w:r>
        <w:rPr>
          <w:rFonts w:ascii="Arial Black" w:hAnsi="Arial Black"/>
          <w:b/>
          <w:bCs/>
          <w:sz w:val="28"/>
          <w:szCs w:val="28"/>
        </w:rPr>
        <w:t>IL: FF CANCER - LINE-OF-DUTY DISABILTY PENSION WITH HEALTH INSURANCE - EVEN OFF-DUTY JOBS EXPOSURES</w:t>
      </w:r>
    </w:p>
    <w:bookmarkEnd w:id="92"/>
    <w:p w14:paraId="28329D85" w14:textId="77777777" w:rsidR="00DC17BF" w:rsidRPr="00DC17BF" w:rsidRDefault="00DC17BF" w:rsidP="00DC17BF">
      <w:pPr>
        <w:pStyle w:val="NormalWeb"/>
      </w:pPr>
      <w:r w:rsidRPr="00DC17BF">
        <w:t xml:space="preserve">On May 22, 2023, in </w:t>
      </w:r>
      <w:r w:rsidRPr="00DC17BF">
        <w:rPr>
          <w:u w:val="single"/>
        </w:rPr>
        <w:t xml:space="preserve">James </w:t>
      </w:r>
      <w:proofErr w:type="spellStart"/>
      <w:r w:rsidRPr="00DC17BF">
        <w:rPr>
          <w:u w:val="single"/>
        </w:rPr>
        <w:t>Ivetic</w:t>
      </w:r>
      <w:proofErr w:type="spellEnd"/>
      <w:r w:rsidRPr="00DC17BF">
        <w:rPr>
          <w:u w:val="single"/>
        </w:rPr>
        <w:t xml:space="preserve"> et al. v. The Bensenville Fire Protection District No. 2</w:t>
      </w:r>
      <w:r w:rsidRPr="00DC17BF">
        <w:t xml:space="preserve">, the Court of Appeals of Illinois, First District, First Division, held (3 to 0) that the firefighter and his wife were entitled to health insurance premium benefits.  The Court wrote: </w:t>
      </w:r>
    </w:p>
    <w:p w14:paraId="1E7E4B07" w14:textId="38D1B3DC" w:rsidR="00DC17BF" w:rsidRDefault="00DC17BF" w:rsidP="00DC17BF">
      <w:pPr>
        <w:pStyle w:val="NoSpacing"/>
        <w:rPr>
          <w:rStyle w:val="Hyperlink"/>
          <w:rFonts w:ascii="Times New Roman" w:eastAsiaTheme="majorEastAsia" w:hAnsi="Times New Roman"/>
          <w:sz w:val="24"/>
          <w:szCs w:val="24"/>
        </w:rPr>
      </w:pPr>
      <w:r w:rsidRPr="00DC17BF">
        <w:rPr>
          <w:rFonts w:ascii="Times New Roman" w:hAnsi="Times New Roman"/>
          <w:sz w:val="24"/>
          <w:szCs w:val="24"/>
        </w:rPr>
        <w:t xml:space="preserve">“The Pension Board held a hearing on James' pension application beginning on September 18, 2015. The evidence showed that James worked at a restaurant and a grocery store prior to becoming a firefighter. Additionally, during his career as a firefighter, James worked </w:t>
      </w:r>
      <w:proofErr w:type="gramStart"/>
      <w:r w:rsidRPr="00DC17BF">
        <w:rPr>
          <w:rFonts w:ascii="Times New Roman" w:hAnsi="Times New Roman"/>
          <w:sz w:val="24"/>
          <w:szCs w:val="24"/>
        </w:rPr>
        <w:t>a number of</w:t>
      </w:r>
      <w:proofErr w:type="gramEnd"/>
      <w:r w:rsidRPr="00DC17BF">
        <w:rPr>
          <w:rFonts w:ascii="Times New Roman" w:hAnsi="Times New Roman"/>
          <w:sz w:val="24"/>
          <w:szCs w:val="24"/>
        </w:rPr>
        <w:t xml:space="preserve"> part-time jobs, including being taxi and truck drivers and remodeling homes. James admitted that he was likely exposed to some chemicals from his part-time jobs, like oil-based paints and wallpaper removing chemicals. *** Here, the District essentially argues that James cannot satisfy the emergency prong of section 10 because there was no evidence of a direct cause of his cancer. Stated differently, </w:t>
      </w:r>
      <w:proofErr w:type="gramStart"/>
      <w:r w:rsidRPr="00DC17BF">
        <w:rPr>
          <w:rFonts w:ascii="Times New Roman" w:hAnsi="Times New Roman"/>
          <w:sz w:val="24"/>
          <w:szCs w:val="24"/>
        </w:rPr>
        <w:t>in order to</w:t>
      </w:r>
      <w:proofErr w:type="gramEnd"/>
      <w:r w:rsidRPr="00DC17BF">
        <w:rPr>
          <w:rFonts w:ascii="Times New Roman" w:hAnsi="Times New Roman"/>
          <w:sz w:val="24"/>
          <w:szCs w:val="24"/>
        </w:rPr>
        <w:t xml:space="preserve"> recover benefits under the Act, James had to prove that his injury was received during an emergency response and that it was the sole cause of his cancer. This argument, however, ignores </w:t>
      </w:r>
      <w:proofErr w:type="gramStart"/>
      <w:r w:rsidRPr="00DC17BF">
        <w:rPr>
          <w:rFonts w:ascii="Times New Roman" w:hAnsi="Times New Roman"/>
          <w:sz w:val="24"/>
          <w:szCs w:val="24"/>
        </w:rPr>
        <w:t xml:space="preserve">that ‘[a]n </w:t>
      </w:r>
      <w:proofErr w:type="gramEnd"/>
      <w:r w:rsidRPr="00DC17BF">
        <w:rPr>
          <w:rFonts w:ascii="Times New Roman" w:hAnsi="Times New Roman"/>
          <w:sz w:val="24"/>
          <w:szCs w:val="24"/>
        </w:rPr>
        <w:t xml:space="preserve">injury may have more than one proximate cause.’ (Internal quotation marks omitted.) </w:t>
      </w:r>
      <w:r w:rsidRPr="00DC17BF">
        <w:rPr>
          <w:rStyle w:val="Emphasis"/>
          <w:rFonts w:ascii="Times New Roman" w:hAnsi="Times New Roman"/>
          <w:sz w:val="24"/>
          <w:szCs w:val="24"/>
        </w:rPr>
        <w:t>Richter v. Village of Oak Brook</w:t>
      </w:r>
      <w:r w:rsidRPr="00DC17BF">
        <w:rPr>
          <w:rFonts w:ascii="Times New Roman" w:hAnsi="Times New Roman"/>
          <w:sz w:val="24"/>
          <w:szCs w:val="24"/>
        </w:rPr>
        <w:t xml:space="preserve">, 2011 IL App (2d) 100114, ¶ 21. Under Illinois law, proximate cause is defined as a cause that, in the natural or ordinary course of events, produced the plaintiff's injury, but a cause need not be the only, last, or nearest cause; rather, the combination of multiple causes may result in the injury.” </w:t>
      </w:r>
      <w:hyperlink r:id="rId532" w:history="1">
        <w:r w:rsidRPr="00DC17BF">
          <w:rPr>
            <w:rStyle w:val="Hyperlink"/>
            <w:rFonts w:ascii="Times New Roman" w:eastAsiaTheme="majorEastAsia" w:hAnsi="Times New Roman"/>
            <w:sz w:val="24"/>
            <w:szCs w:val="24"/>
          </w:rPr>
          <w:t>https://public.fastcase.com/ZZhmr5v9wN%2FXOe5IsQ%2FqDy4piE023A%2FvmSBZ1OCyQDEvBrcypTxVYbDuh3sY1MRUTGEZ3quKqv94bkTO%2F3v9wUJnk5dj4IB3vpOq4w%2BY%2Blk%3D?utm_medium=email&amp;_hsmi=226712652&amp;_hsenc=p2ANqtz-8dDlTMCBDdR7Y6gBwCrwIFOUd7uQb6M2Q9eK5s_ERy0q0NLXHPkcRz9CocUT1WV-MgV98KLfaLWIoQPZBtf1lJjMQcjw&amp;utm_content=226712652&amp;utm_source=hs_email</w:t>
        </w:r>
      </w:hyperlink>
    </w:p>
    <w:p w14:paraId="04E691BD" w14:textId="77777777" w:rsidR="00DC17BF" w:rsidRDefault="00DC17BF" w:rsidP="00DC17BF">
      <w:pPr>
        <w:pStyle w:val="NoSpacing"/>
        <w:rPr>
          <w:rStyle w:val="Hyperlink"/>
          <w:rFonts w:ascii="Times New Roman" w:eastAsiaTheme="majorEastAsia" w:hAnsi="Times New Roman"/>
          <w:sz w:val="24"/>
          <w:szCs w:val="24"/>
        </w:rPr>
      </w:pPr>
    </w:p>
    <w:p w14:paraId="6BFCE5CF" w14:textId="77777777" w:rsidR="00DC17BF" w:rsidRPr="00287115" w:rsidRDefault="00DC17BF" w:rsidP="00DC17BF">
      <w:pPr>
        <w:pStyle w:val="NormalWeb"/>
        <w:rPr>
          <w:b/>
          <w:bCs/>
        </w:rPr>
      </w:pPr>
      <w:r w:rsidRPr="00287115">
        <w:rPr>
          <w:b/>
          <w:bCs/>
        </w:rPr>
        <w:t xml:space="preserve">Legal Lesson Learned: Under Illinois statute, and case law, there is no requirement that </w:t>
      </w:r>
      <w:proofErr w:type="gramStart"/>
      <w:r w:rsidRPr="00287115">
        <w:rPr>
          <w:b/>
          <w:bCs/>
        </w:rPr>
        <w:t>firefighter</w:t>
      </w:r>
      <w:proofErr w:type="gramEnd"/>
      <w:r w:rsidRPr="00287115">
        <w:rPr>
          <w:b/>
          <w:bCs/>
        </w:rPr>
        <w:t xml:space="preserve"> prove a specific emergency run was the cause of cancer. </w:t>
      </w:r>
    </w:p>
    <w:p w14:paraId="6A0C1134" w14:textId="77777777" w:rsidR="00DC17BF" w:rsidRPr="00DC17BF" w:rsidRDefault="00DC17BF" w:rsidP="00DC17BF">
      <w:pPr>
        <w:pStyle w:val="NoSpacing"/>
        <w:rPr>
          <w:rFonts w:ascii="Times New Roman" w:hAnsi="Times New Roman"/>
          <w:sz w:val="24"/>
          <w:szCs w:val="24"/>
        </w:rPr>
      </w:pPr>
    </w:p>
    <w:p w14:paraId="20756D90" w14:textId="77777777" w:rsidR="00DC17BF" w:rsidRDefault="00DC17BF" w:rsidP="00EF1133">
      <w:pPr>
        <w:pStyle w:val="NoSpacing"/>
        <w:rPr>
          <w:rFonts w:ascii="Arial Black" w:hAnsi="Arial Black"/>
          <w:sz w:val="24"/>
          <w:szCs w:val="24"/>
        </w:rPr>
      </w:pPr>
    </w:p>
    <w:p w14:paraId="69AEBD4D" w14:textId="41BFFDA8" w:rsidR="007A0E71" w:rsidRDefault="007A0E71"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3</w:t>
      </w:r>
    </w:p>
    <w:p w14:paraId="2035D518" w14:textId="77777777" w:rsidR="007A0E71" w:rsidRPr="00B8618D" w:rsidRDefault="007A0E71" w:rsidP="007A0E71">
      <w:pPr>
        <w:pStyle w:val="NormalWeb"/>
        <w:rPr>
          <w:rFonts w:ascii="Arial Black" w:hAnsi="Arial Black"/>
          <w:sz w:val="28"/>
          <w:szCs w:val="28"/>
        </w:rPr>
      </w:pPr>
      <w:r>
        <w:rPr>
          <w:rFonts w:ascii="Arial Black" w:hAnsi="Arial Black"/>
          <w:sz w:val="28"/>
          <w:szCs w:val="28"/>
        </w:rPr>
        <w:t>WV (4/10.2023) – VOL. FF WATERTAKER LOST CONTROL – DIED – WIFE DEATH BENEFITS – CARDIAC NOT PROVEN</w:t>
      </w:r>
    </w:p>
    <w:p w14:paraId="4C3CCC4A" w14:textId="77777777" w:rsidR="007A0E71" w:rsidRPr="008D3008" w:rsidRDefault="007A0E71" w:rsidP="007A0E71">
      <w:pPr>
        <w:pStyle w:val="NormalWeb"/>
      </w:pPr>
      <w:r w:rsidRPr="008D3008">
        <w:rPr>
          <w:u w:val="single"/>
        </w:rPr>
        <w:t>Clover-Roane Volunteer Fire Department v. Sarah Horwich, dependent of Mark Horwich</w:t>
      </w:r>
      <w:r w:rsidRPr="008D3008">
        <w:t>, Intermediate Court of Appeals of West Virginia</w:t>
      </w:r>
      <w:r>
        <w:t xml:space="preserve">. </w:t>
      </w:r>
      <w:hyperlink r:id="rId533" w:history="1">
        <w:r w:rsidRPr="003E63F4">
          <w:rPr>
            <w:rStyle w:val="Hyperlink"/>
            <w:rFonts w:eastAsiaTheme="majorEastAsia"/>
          </w:rPr>
          <w:t>http://courtswv.gov/Intermediate-Court/memo-decisions/Spring2023/22-ICA-216%20md.pdf</w:t>
        </w:r>
      </w:hyperlink>
      <w:r>
        <w:t xml:space="preserve"> </w:t>
      </w:r>
    </w:p>
    <w:p w14:paraId="2BE20572" w14:textId="77777777" w:rsidR="007A0E71" w:rsidRPr="00B8618D" w:rsidRDefault="007A0E71" w:rsidP="007A0E71">
      <w:pPr>
        <w:pStyle w:val="NormalWeb"/>
        <w:rPr>
          <w:b/>
          <w:bCs/>
        </w:rPr>
      </w:pPr>
      <w:r w:rsidRPr="00B8618D">
        <w:rPr>
          <w:b/>
          <w:bCs/>
        </w:rPr>
        <w:t xml:space="preserve">Legal Lesson Learned: Courts will not overturn Workers Comp Board unless decision is clearly wrong. </w:t>
      </w:r>
    </w:p>
    <w:p w14:paraId="6C07B3BC" w14:textId="18F7ADE6" w:rsidR="007A0E71" w:rsidRDefault="007A0E71" w:rsidP="007A0E71">
      <w:pPr>
        <w:pStyle w:val="NoSpacing"/>
        <w:rPr>
          <w:rFonts w:ascii="Arial Black" w:hAnsi="Arial Black"/>
          <w:sz w:val="24"/>
          <w:szCs w:val="24"/>
        </w:rPr>
      </w:pPr>
      <w:r w:rsidRPr="00941D1F">
        <w:rPr>
          <w:sz w:val="24"/>
          <w:szCs w:val="24"/>
        </w:rPr>
        <w:t xml:space="preserve">Note: See Jan. 13, </w:t>
      </w:r>
      <w:proofErr w:type="gramStart"/>
      <w:r w:rsidRPr="00941D1F">
        <w:rPr>
          <w:sz w:val="24"/>
          <w:szCs w:val="24"/>
        </w:rPr>
        <w:t>2020</w:t>
      </w:r>
      <w:proofErr w:type="gramEnd"/>
      <w:r w:rsidRPr="00941D1F">
        <w:rPr>
          <w:sz w:val="24"/>
          <w:szCs w:val="24"/>
        </w:rPr>
        <w:t xml:space="preserve"> article, </w:t>
      </w:r>
      <w:r>
        <w:rPr>
          <w:sz w:val="24"/>
          <w:szCs w:val="24"/>
        </w:rPr>
        <w:t>“</w:t>
      </w:r>
      <w:r w:rsidRPr="00941D1F">
        <w:rPr>
          <w:sz w:val="24"/>
          <w:szCs w:val="24"/>
        </w:rPr>
        <w:t>West Virginia firefighter killed in crash while responding to fire.</w:t>
      </w:r>
      <w:r>
        <w:rPr>
          <w:sz w:val="24"/>
          <w:szCs w:val="24"/>
        </w:rPr>
        <w:t xml:space="preserve">” </w:t>
      </w:r>
      <w:hyperlink r:id="rId534" w:history="1">
        <w:r w:rsidRPr="00297A44">
          <w:rPr>
            <w:rStyle w:val="Hyperlink"/>
            <w:sz w:val="24"/>
            <w:szCs w:val="24"/>
          </w:rPr>
          <w:t>https://www.whsv.com/content/news/West-Virginia-firefighter-killed-in-crash-while-responding-to-fire-566946181.html</w:t>
        </w:r>
      </w:hyperlink>
    </w:p>
    <w:p w14:paraId="1488CA4B" w14:textId="77777777" w:rsidR="007A0E71" w:rsidRDefault="007A0E71" w:rsidP="00EF1133">
      <w:pPr>
        <w:pStyle w:val="NoSpacing"/>
        <w:rPr>
          <w:rFonts w:ascii="Arial Black" w:hAnsi="Arial Black"/>
          <w:sz w:val="24"/>
          <w:szCs w:val="24"/>
        </w:rPr>
      </w:pPr>
    </w:p>
    <w:p w14:paraId="129D718C" w14:textId="4081601C" w:rsidR="007959C9" w:rsidRDefault="00AB637D"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2</w:t>
      </w:r>
    </w:p>
    <w:p w14:paraId="23D2A18D" w14:textId="7C25644F" w:rsidR="00AB637D" w:rsidRDefault="00AB637D" w:rsidP="00EF1133">
      <w:pPr>
        <w:pStyle w:val="NoSpacing"/>
        <w:rPr>
          <w:rFonts w:ascii="Arial Black" w:hAnsi="Arial Black"/>
          <w:sz w:val="24"/>
          <w:szCs w:val="24"/>
        </w:rPr>
      </w:pPr>
    </w:p>
    <w:p w14:paraId="503A737E" w14:textId="77777777" w:rsidR="00AB637D" w:rsidRPr="00144FC9" w:rsidRDefault="00AB637D" w:rsidP="00AB637D">
      <w:pPr>
        <w:pStyle w:val="Heading1"/>
        <w:rPr>
          <w:rFonts w:ascii="Arial Black" w:hAnsi="Arial Black"/>
          <w:sz w:val="28"/>
          <w:szCs w:val="28"/>
        </w:rPr>
      </w:pPr>
      <w:r>
        <w:rPr>
          <w:rFonts w:ascii="Arial Black" w:hAnsi="Arial Black"/>
          <w:sz w:val="28"/>
          <w:szCs w:val="28"/>
        </w:rPr>
        <w:t>FL: JACKSONVILLE FD - NO BEARD RULE UPHELD – OSHA REQUIREMENT - BLACK FIREFIGHTERS CASE DISMISSED</w:t>
      </w:r>
    </w:p>
    <w:p w14:paraId="6D6D9185" w14:textId="77777777" w:rsidR="00AB637D" w:rsidRDefault="00AB637D" w:rsidP="00AB637D">
      <w:pPr>
        <w:pStyle w:val="Heading1"/>
        <w:rPr>
          <w:b w:val="0"/>
          <w:bCs w:val="0"/>
          <w:sz w:val="24"/>
          <w:szCs w:val="24"/>
        </w:rPr>
      </w:pPr>
      <w:r>
        <w:rPr>
          <w:b w:val="0"/>
          <w:bCs w:val="0"/>
          <w:sz w:val="24"/>
          <w:szCs w:val="24"/>
        </w:rPr>
        <w:t xml:space="preserve">On Jan. 13, 2023, in </w:t>
      </w:r>
      <w:r w:rsidRPr="00144FC9">
        <w:rPr>
          <w:b w:val="0"/>
          <w:bCs w:val="0"/>
          <w:sz w:val="24"/>
          <w:szCs w:val="24"/>
          <w:u w:val="single"/>
        </w:rPr>
        <w:t>Terrance Jones v. City of Jacksonville</w:t>
      </w:r>
      <w:r>
        <w:rPr>
          <w:b w:val="0"/>
          <w:bCs w:val="0"/>
          <w:sz w:val="24"/>
          <w:szCs w:val="24"/>
        </w:rPr>
        <w:t xml:space="preserve">, U.S. District Court Judge Harvey E. Schlesinger granted summary judgment to the City of Jacksonville.  The judge wrote: “Title VII does not require employers to depart from binding federal regulations…. Binding federal {OSHA] regulations present a complete defense…. The OSHA regulation in question strictly prohibits any facial hair between the mask and the wearer’s face. Thus, any proposed alternative involving even a scant amount of facial hair would not be an available </w:t>
      </w:r>
      <w:proofErr w:type="gramStart"/>
      <w:r>
        <w:rPr>
          <w:b w:val="0"/>
          <w:bCs w:val="0"/>
          <w:sz w:val="24"/>
          <w:szCs w:val="24"/>
        </w:rPr>
        <w:t>alternative.”</w:t>
      </w:r>
      <w:proofErr w:type="gramEnd"/>
      <w:r>
        <w:rPr>
          <w:b w:val="0"/>
          <w:bCs w:val="0"/>
          <w:sz w:val="24"/>
          <w:szCs w:val="24"/>
        </w:rPr>
        <w:t xml:space="preserve"> </w:t>
      </w:r>
      <w:hyperlink r:id="rId535" w:history="1">
        <w:r w:rsidRPr="00CE4DCE">
          <w:rPr>
            <w:rStyle w:val="Hyperlink"/>
            <w:rFonts w:eastAsiaTheme="majorEastAsia"/>
            <w:b w:val="0"/>
            <w:bCs w:val="0"/>
            <w:sz w:val="24"/>
            <w:szCs w:val="24"/>
          </w:rPr>
          <w:t>https://www.documentcloud.org/documents/23589006-firefighter-suit-terrance-jones-et-al-v-coj-order-finalizing-case011323</w:t>
        </w:r>
      </w:hyperlink>
      <w:r>
        <w:rPr>
          <w:b w:val="0"/>
          <w:bCs w:val="0"/>
          <w:sz w:val="24"/>
          <w:szCs w:val="24"/>
        </w:rPr>
        <w:t xml:space="preserve"> </w:t>
      </w:r>
    </w:p>
    <w:p w14:paraId="1F7498F9" w14:textId="77777777" w:rsidR="00AB637D" w:rsidRPr="005B4DF7" w:rsidRDefault="00AB637D" w:rsidP="00AB637D">
      <w:pPr>
        <w:pStyle w:val="NormalWeb"/>
      </w:pPr>
      <w:r w:rsidRPr="005B4DF7">
        <w:t xml:space="preserve">See Jan. 31, </w:t>
      </w:r>
      <w:proofErr w:type="gramStart"/>
      <w:r w:rsidRPr="005B4DF7">
        <w:t>2023</w:t>
      </w:r>
      <w:proofErr w:type="gramEnd"/>
      <w:r w:rsidRPr="005B4DF7">
        <w:t xml:space="preserve"> newspaper description of case. “Black firefighters who sued Jacksonville for requiring them to shave lost case.” </w:t>
      </w:r>
      <w:hyperlink r:id="rId536" w:history="1">
        <w:r w:rsidRPr="005B4DF7">
          <w:rPr>
            <w:rStyle w:val="Hyperlink"/>
            <w:rFonts w:eastAsiaTheme="majorEastAsia"/>
          </w:rPr>
          <w:t>https://www.firstcoastnews.com/article/news/local/judge-jacksonville-has-mechanism-to-deviate-from-rule-making-black-firefighters-shave/77-7e962b25-bfed-4f9c-817e-ba6883a1f94b</w:t>
        </w:r>
      </w:hyperlink>
      <w:r w:rsidRPr="005B4DF7">
        <w:t xml:space="preserve"> </w:t>
      </w:r>
    </w:p>
    <w:p w14:paraId="571D5376" w14:textId="77777777" w:rsidR="00AB637D" w:rsidRDefault="00AB637D" w:rsidP="00AB637D">
      <w:pPr>
        <w:pStyle w:val="NormalWeb"/>
        <w:ind w:left="720"/>
      </w:pPr>
      <w:r w:rsidRPr="005B4DF7">
        <w:t>“The firefighters went to court in 2020 arguing the fire department was wrongly burdening Black firefighters by requiring them to be cleanshaven even if they had a condition called </w:t>
      </w:r>
      <w:hyperlink r:id="rId537" w:history="1">
        <w:r w:rsidRPr="005B4DF7">
          <w:rPr>
            <w:rStyle w:val="Hyperlink"/>
            <w:rFonts w:eastAsiaTheme="majorEastAsia"/>
          </w:rPr>
          <w:t>pseudofolliculitis barbae</w:t>
        </w:r>
      </w:hyperlink>
      <w:r w:rsidRPr="005B4DF7">
        <w:t xml:space="preserve">, or PFB, which can involve ingrown hairs, irritated skin and scarring.*** “At issue is whether the city discriminated against plaintiffs when it required firefighters with PFB, which primarily affects African American men, to be cleanshaven,” U.S. Senior District Judge </w:t>
      </w:r>
      <w:hyperlink r:id="rId538" w:history="1">
        <w:r w:rsidRPr="005B4DF7">
          <w:rPr>
            <w:rStyle w:val="Hyperlink"/>
            <w:rFonts w:eastAsiaTheme="majorEastAsia"/>
          </w:rPr>
          <w:t>Harvey Schlesinger</w:t>
        </w:r>
      </w:hyperlink>
      <w:r w:rsidRPr="005B4DF7">
        <w:t xml:space="preserve"> wrote this month in </w:t>
      </w:r>
      <w:hyperlink r:id="rId539" w:history="1">
        <w:r w:rsidRPr="005B4DF7">
          <w:rPr>
            <w:rStyle w:val="Hyperlink"/>
            <w:rFonts w:eastAsiaTheme="majorEastAsia"/>
          </w:rPr>
          <w:t>an order</w:t>
        </w:r>
      </w:hyperlink>
      <w:r w:rsidRPr="005B4DF7">
        <w:t xml:space="preserve"> that ends the case. Thirty firefighters initially sued, saying they should be allowed to have close-trimmed beards that would be enough to avoid skin inflammation but wouldn’t harm the fit of oxygen masks their jobs require in emergency settings. *** The firefighters had argued the trimmed-bear standard they wanted counted as a “reasonable accommodation” for PFB under the Americans with Disabilities Act, but the ask “is not reasonable within the meaning of the ADA because it is specifically prohibited by a by a binding regulation,” Schlesinger concluded. “The federal regulations do not allow for individual consideration of facial hair,” the judge wrote. “…[I]t prohibits all facial hair. There is no mechanism for the city to deviate.” The city followed the exact accommodation the firefighters were seeking back in </w:t>
      </w:r>
      <w:proofErr w:type="gramStart"/>
      <w:r w:rsidRPr="005B4DF7">
        <w:t>2015, but</w:t>
      </w:r>
      <w:proofErr w:type="gramEnd"/>
      <w:r w:rsidRPr="005B4DF7">
        <w:t xml:space="preserve"> had </w:t>
      </w:r>
      <w:hyperlink r:id="rId540" w:history="1">
        <w:r w:rsidRPr="005B4DF7">
          <w:rPr>
            <w:rStyle w:val="Hyperlink"/>
            <w:rFonts w:eastAsiaTheme="majorEastAsia"/>
          </w:rPr>
          <w:t>backtracked in 2016</w:t>
        </w:r>
      </w:hyperlink>
      <w:r w:rsidRPr="005B4DF7">
        <w:t xml:space="preserve"> after city lawyers said that concession was improper. That had left the firefighters frustrated and confused, leading to attorneys in Jacksonville becoming part of a lengthening list of cities nationwide where rules on firefighter hair were decided by litigation.</w:t>
      </w:r>
      <w:r>
        <w:t>”</w:t>
      </w:r>
    </w:p>
    <w:p w14:paraId="1B17A8E4" w14:textId="77777777" w:rsidR="00AB637D" w:rsidRPr="00CA4868" w:rsidRDefault="00AB637D" w:rsidP="00AB637D">
      <w:pPr>
        <w:pStyle w:val="Heading1"/>
        <w:rPr>
          <w:sz w:val="24"/>
          <w:szCs w:val="24"/>
        </w:rPr>
      </w:pPr>
      <w:r>
        <w:rPr>
          <w:sz w:val="24"/>
          <w:szCs w:val="24"/>
        </w:rPr>
        <w:t xml:space="preserve">Legal Lesson Learned: Fire Departments must follow OSHA regulation. </w:t>
      </w:r>
    </w:p>
    <w:p w14:paraId="41861758" w14:textId="77777777" w:rsidR="00AB637D" w:rsidRDefault="00AB637D" w:rsidP="00EF1133">
      <w:pPr>
        <w:pStyle w:val="NoSpacing"/>
        <w:rPr>
          <w:rFonts w:ascii="Arial Black" w:hAnsi="Arial Black"/>
          <w:sz w:val="24"/>
          <w:szCs w:val="24"/>
        </w:rPr>
      </w:pPr>
    </w:p>
    <w:p w14:paraId="3C32912F" w14:textId="7AF880FA" w:rsidR="00AB637D" w:rsidRDefault="00AB637D" w:rsidP="00EF1133">
      <w:pPr>
        <w:pStyle w:val="NoSpacing"/>
        <w:rPr>
          <w:rFonts w:ascii="Arial Black" w:hAnsi="Arial Black"/>
          <w:sz w:val="24"/>
          <w:szCs w:val="24"/>
        </w:rPr>
      </w:pPr>
    </w:p>
    <w:p w14:paraId="2A78ECE9" w14:textId="77777777" w:rsidR="00AB637D" w:rsidRDefault="00AB637D" w:rsidP="00EF1133">
      <w:pPr>
        <w:pStyle w:val="NoSpacing"/>
        <w:rPr>
          <w:rFonts w:ascii="Arial Black" w:hAnsi="Arial Black"/>
          <w:sz w:val="24"/>
          <w:szCs w:val="24"/>
        </w:rPr>
      </w:pPr>
    </w:p>
    <w:p w14:paraId="1FCCFD10" w14:textId="4BBB8392" w:rsidR="007959C9" w:rsidRDefault="007959C9"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1</w:t>
      </w:r>
    </w:p>
    <w:p w14:paraId="3AE49DA7" w14:textId="77777777" w:rsidR="007959C9" w:rsidRPr="001D5000" w:rsidRDefault="007959C9" w:rsidP="007959C9">
      <w:pPr>
        <w:pStyle w:val="NormalWeb"/>
        <w:rPr>
          <w:rFonts w:ascii="Arial Black" w:hAnsi="Arial Black"/>
          <w:sz w:val="28"/>
          <w:szCs w:val="28"/>
        </w:rPr>
      </w:pPr>
      <w:r>
        <w:rPr>
          <w:rFonts w:ascii="Arial Black" w:hAnsi="Arial Black"/>
          <w:sz w:val="28"/>
          <w:szCs w:val="28"/>
        </w:rPr>
        <w:t>NJ: VOL. FF CLAIMED STRUCK BY CAR – INDICTED FOR INSURANCE FRAUD, NOT GUILTY – BOROUGH IMMUNITY</w:t>
      </w:r>
    </w:p>
    <w:p w14:paraId="6F80F1AC" w14:textId="77777777" w:rsidR="007959C9" w:rsidRDefault="007959C9" w:rsidP="007959C9">
      <w:pPr>
        <w:pStyle w:val="NormalWeb"/>
      </w:pPr>
      <w:r>
        <w:t xml:space="preserve">On Jan. 25, 2023, in </w:t>
      </w:r>
      <w:r w:rsidRPr="009C24E8">
        <w:rPr>
          <w:u w:val="single"/>
        </w:rPr>
        <w:t>Joseph Fehl v. Borough of Allington, et al</w:t>
      </w:r>
      <w:r>
        <w:t xml:space="preserve">., the U.S. Court of Appeals for the Third Circuit (Philadelphia), held (3 to 0) that U.S. District Court properly granted summary judgment to the Borough, its former business administrator, and Police Captain who investigated the claim.  “Drawing all reasonable inferences in Fehl's favor, we see no error in the District Court's analysis. The facts known to Kudlacik at the time of Fehl's arrest provided a sufficient basis to doubt Fehl's credibility and to believe he committed the </w:t>
      </w:r>
      <w:proofErr w:type="gramStart"/>
      <w:r>
        <w:t>charged crimes</w:t>
      </w:r>
      <w:proofErr w:type="gramEnd"/>
      <w:r>
        <w:t xml:space="preserve">. Contrast, for instance, Fehl's statement in his benefits application that he was struck by a car, with the absence of any corroborating physical evidence. Or take Fehl's claim that he suffered nerve damage from the accident-an injury that, according to a responding EMS lieutenant, conflicts with the extent and type of physical harm a victim would typically suffer in a hit-and-run. And Fehl changed his story, first claiming that a vehicle hit him, then conceding that he might have merely tripped and fallen. These facts are sufficient to find probable cause.” </w:t>
      </w:r>
      <w:hyperlink r:id="rId541" w:history="1">
        <w:r w:rsidRPr="001F75F8">
          <w:rPr>
            <w:rStyle w:val="Hyperlink"/>
          </w:rPr>
          <w:t>https://law.justia.com/cases/federal/appellate-courts/ca3/21-3019/21-3019-2023-01-25.html</w:t>
        </w:r>
      </w:hyperlink>
      <w:r>
        <w:t xml:space="preserve"> </w:t>
      </w:r>
    </w:p>
    <w:p w14:paraId="40C443CD" w14:textId="77777777" w:rsidR="007959C9" w:rsidRDefault="007959C9" w:rsidP="007959C9">
      <w:pPr>
        <w:pStyle w:val="NormalWeb"/>
        <w:ind w:left="720"/>
      </w:pPr>
      <w:r>
        <w:t xml:space="preserve">“Fehl served as a volunteer EMT and firefighter for the Borough of Wallington. He filed for worker's compensation, claiming he was "hit by [a] car" during an emergency response. App. 123. Kudlacik </w:t>
      </w:r>
      <w:proofErr w:type="gramStart"/>
      <w:r>
        <w:t>conducted an investigation</w:t>
      </w:r>
      <w:proofErr w:type="gramEnd"/>
      <w:r>
        <w:t xml:space="preserve"> that raised questions about Fehl's story, as it found no physical evidence, no indication of serious injury, and no vehicle matching the description Fehl provided. Nor did video from the scene show any vehicles in the area where the accident allegedly occurred. As a result, Fehl was indicted for criminal insurance fraud and tampering with public records. Following trial, a jury acquitted him of those charges. </w:t>
      </w:r>
    </w:p>
    <w:p w14:paraId="4469F41A" w14:textId="77777777" w:rsidR="007959C9" w:rsidRDefault="007959C9" w:rsidP="007959C9">
      <w:pPr>
        <w:pStyle w:val="NormalWeb"/>
        <w:ind w:left="720"/>
        <w:rPr>
          <w:vertAlign w:val="superscript"/>
        </w:rPr>
      </w:pPr>
      <w:r>
        <w:t>Based on the acquittal, Fehl sued Baginski, Kudlacik, the Borough, and the Bergen County Prosecutor's Office, asserting several claims arising from his arrest and prosecution.</w:t>
      </w:r>
      <w:r>
        <w:rPr>
          <w:vertAlign w:val="superscript"/>
        </w:rPr>
        <w:t xml:space="preserve"> </w:t>
      </w:r>
      <w:r>
        <w:t>The District Court granted the Defendants' motions for summary judgment, concluding their acts were supported by probable cause. Finding no error, we will affirm.</w:t>
      </w:r>
    </w:p>
    <w:p w14:paraId="2FC6611D" w14:textId="77777777" w:rsidR="007959C9" w:rsidRDefault="007959C9" w:rsidP="007959C9">
      <w:pPr>
        <w:pStyle w:val="NormalWeb"/>
        <w:ind w:left="720"/>
        <w:rPr>
          <w:vertAlign w:val="superscript"/>
        </w:rPr>
      </w:pPr>
      <w:r>
        <w:rPr>
          <w:vertAlign w:val="superscript"/>
        </w:rPr>
        <w:t>***</w:t>
      </w:r>
    </w:p>
    <w:p w14:paraId="68885CF1" w14:textId="77777777" w:rsidR="007959C9" w:rsidRDefault="007959C9" w:rsidP="007959C9">
      <w:pPr>
        <w:pStyle w:val="NormalWeb"/>
        <w:ind w:left="720"/>
      </w:pPr>
      <w:r>
        <w:t xml:space="preserve">Guilt in a criminal case must be proven beyond a reasonable doubt, a standard enforced by the rules of evidence. </w:t>
      </w:r>
      <w:r>
        <w:rPr>
          <w:rStyle w:val="Emphasis"/>
        </w:rPr>
        <w:t>Brinegar</w:t>
      </w:r>
      <w:r>
        <w:t xml:space="preserve">, 338 U.S. at 174. But probable cause imposes no such burden on the Government-rather, it demands that police officers find merely a "fair probability" that a crime was committed. </w:t>
      </w:r>
      <w:r>
        <w:rPr>
          <w:rStyle w:val="Emphasis"/>
        </w:rPr>
        <w:t>Dempsey</w:t>
      </w:r>
      <w:r>
        <w:t>, 834 F.3d at 467. That standard was satisfied at the time of Fehl's arrest, and the jury's verdict does not alter that finding.”</w:t>
      </w:r>
    </w:p>
    <w:p w14:paraId="5262675C" w14:textId="77777777" w:rsidR="007959C9" w:rsidRPr="009C24E8" w:rsidRDefault="007959C9" w:rsidP="007959C9">
      <w:pPr>
        <w:pStyle w:val="NormalWeb"/>
        <w:rPr>
          <w:b/>
          <w:bCs/>
        </w:rPr>
      </w:pPr>
      <w:r w:rsidRPr="009C24E8">
        <w:rPr>
          <w:b/>
          <w:bCs/>
        </w:rPr>
        <w:t>Legal Lesson Learned:</w:t>
      </w:r>
      <w:r>
        <w:rPr>
          <w:b/>
          <w:bCs/>
        </w:rPr>
        <w:t xml:space="preserve"> </w:t>
      </w:r>
      <w:proofErr w:type="gramStart"/>
      <w:r>
        <w:rPr>
          <w:b/>
          <w:bCs/>
        </w:rPr>
        <w:t>Workers</w:t>
      </w:r>
      <w:proofErr w:type="gramEnd"/>
      <w:r>
        <w:rPr>
          <w:b/>
          <w:bCs/>
        </w:rPr>
        <w:t xml:space="preserve"> comp claim, unsupported by physical or other evidence, can lead to indictment. </w:t>
      </w:r>
    </w:p>
    <w:p w14:paraId="3FD93D6A" w14:textId="0C15D3E4" w:rsidR="007959C9" w:rsidRDefault="007959C9" w:rsidP="00EF1133">
      <w:pPr>
        <w:pStyle w:val="NoSpacing"/>
        <w:rPr>
          <w:rFonts w:ascii="Arial Black" w:hAnsi="Arial Black"/>
          <w:sz w:val="24"/>
          <w:szCs w:val="24"/>
        </w:rPr>
      </w:pPr>
    </w:p>
    <w:p w14:paraId="7B6165A9" w14:textId="0A384A40" w:rsidR="007959C9" w:rsidRDefault="00A24839" w:rsidP="00EF1133">
      <w:pPr>
        <w:pStyle w:val="NoSpacing"/>
        <w:rPr>
          <w:rFonts w:ascii="Arial Black" w:hAnsi="Arial Black"/>
          <w:sz w:val="24"/>
          <w:szCs w:val="24"/>
        </w:rPr>
      </w:pPr>
      <w:r>
        <w:rPr>
          <w:rFonts w:ascii="Arial Black" w:hAnsi="Arial Black"/>
          <w:sz w:val="24"/>
          <w:szCs w:val="24"/>
        </w:rPr>
        <w:t>2-50</w:t>
      </w:r>
    </w:p>
    <w:p w14:paraId="7D2C3E35" w14:textId="77777777" w:rsidR="0029560A" w:rsidRDefault="0029560A" w:rsidP="0029560A">
      <w:pPr>
        <w:pStyle w:val="NormalWeb"/>
      </w:pPr>
      <w:r>
        <w:rPr>
          <w:rFonts w:ascii="Arial Black" w:hAnsi="Arial Black"/>
          <w:sz w:val="28"/>
          <w:szCs w:val="28"/>
        </w:rPr>
        <w:t>NJ: CAPT. INJURED - HOSE COUPLING OFF HYDRANT – PROBIE ERROR - CAN’T SUE, NO “SHOCK THE CONSCIOUS”</w:t>
      </w:r>
    </w:p>
    <w:p w14:paraId="255B8193" w14:textId="77777777" w:rsidR="0029560A" w:rsidRDefault="0029560A" w:rsidP="0029560A">
      <w:pPr>
        <w:pStyle w:val="NormalWeb"/>
      </w:pPr>
      <w:r>
        <w:t xml:space="preserve">On Jan. 9, 2023, in </w:t>
      </w:r>
      <w:r w:rsidRPr="002851C1">
        <w:rPr>
          <w:u w:val="single"/>
        </w:rPr>
        <w:t>Robert Eckert v. City of Camden</w:t>
      </w:r>
      <w:r>
        <w:t xml:space="preserve">, the Superior Court of New Jersey, Appellate Division, held (3 to 0) that trial court judge properly held that the </w:t>
      </w:r>
      <w:proofErr w:type="gramStart"/>
      <w:r>
        <w:t>Captain’s</w:t>
      </w:r>
      <w:proofErr w:type="gramEnd"/>
      <w:r>
        <w:t xml:space="preserve"> sole remedy is workers comp.  In </w:t>
      </w:r>
      <w:proofErr w:type="gramStart"/>
      <w:r>
        <w:t>May,</w:t>
      </w:r>
      <w:proofErr w:type="gramEnd"/>
      <w:r>
        <w:t xml:space="preserve"> 2017, FD hired 33 probationary FF, and assigned two to each engine company, instead of usual practice of only one.  On Jan. 31, 2018, at a fire scene the </w:t>
      </w:r>
      <w:proofErr w:type="gramStart"/>
      <w:r>
        <w:t>Captain</w:t>
      </w:r>
      <w:proofErr w:type="gramEnd"/>
      <w:r>
        <w:t xml:space="preserve"> was injured when a probationary FF apparently did not properly secure hose to a hydrant and coupling struck him in the head. The Court held: “Plaintiff here contends that it is sufficient to sustain a cause of action under the ‘state-created danger’ doctrine if the state actor acts with ‘willful disregard’ for the safety of another, even if that conduct or inaction does not ‘shock the conscience.’ We reject that argument.” </w:t>
      </w:r>
      <w:hyperlink r:id="rId542" w:history="1">
        <w:r w:rsidRPr="001F75F8">
          <w:rPr>
            <w:rStyle w:val="Hyperlink"/>
          </w:rPr>
          <w:t>https://www.njcourts.gov/sites/default/files/court-opinions/2023/a2431-20.pdf</w:t>
        </w:r>
      </w:hyperlink>
      <w:r>
        <w:t xml:space="preserve"> </w:t>
      </w:r>
    </w:p>
    <w:p w14:paraId="4286A3DE" w14:textId="77777777" w:rsidR="0029560A" w:rsidRDefault="0029560A" w:rsidP="0029560A">
      <w:pPr>
        <w:pStyle w:val="NormalWeb"/>
        <w:ind w:left="720"/>
      </w:pPr>
      <w:r>
        <w:t>“On January 31, 2018, plaintiff Robert Eckert, a captain in the City of Camden's Fire Department (Department), was injured responding to a fire along with two "probationary firefighters," Achabe Quinones and Jose A. Berrios, both recently transferred to plaintiff's fire company. Quinones and Berrios were two of thirty-three probationary firefighters hired in May 2017. In July, the Chief of the Department, Michael Harper, assigned two probationary firefighters to each of eight companies, including plaintiff's company.</w:t>
      </w:r>
    </w:p>
    <w:p w14:paraId="42494FB8" w14:textId="77777777" w:rsidR="0029560A" w:rsidRDefault="0029560A" w:rsidP="0029560A">
      <w:pPr>
        <w:pStyle w:val="NormalWeb"/>
        <w:ind w:left="720"/>
      </w:pPr>
      <w:r>
        <w:t>***</w:t>
      </w:r>
    </w:p>
    <w:p w14:paraId="1184180B" w14:textId="77777777" w:rsidR="0029560A" w:rsidRDefault="0029560A" w:rsidP="0029560A">
      <w:pPr>
        <w:pStyle w:val="NormalWeb"/>
        <w:ind w:left="720"/>
      </w:pPr>
      <w:r>
        <w:t xml:space="preserve">The president of the fire officers' union and captains other than plaintiff complained to Chief Harper about assigning more than one probationary firefighter to a company. Edward Glassman, a Deputy Chief of the Department who retired in 2020, certified that he was aware of </w:t>
      </w:r>
      <w:proofErr w:type="spellStart"/>
      <w:r>
        <w:t>Gforer's</w:t>
      </w:r>
      <w:proofErr w:type="spellEnd"/>
      <w:r>
        <w:t xml:space="preserve"> memorandum [17 years ago, Joseph Gforer, then Deputy Chief of Operations memo wrote that FD make every effort to only assign only one </w:t>
      </w:r>
      <w:proofErr w:type="spellStart"/>
      <w:r>
        <w:t>probie</w:t>
      </w:r>
      <w:proofErr w:type="spellEnd"/>
      <w:r>
        <w:t xml:space="preserve"> per engine company], and Chief Harper knew that captains and other officers in the Department were concerned that assigning two probationary firefighters to a company jeopardized the safety of other firefighters and the public. Glassman also asserted that probationary firefighters did not receive adequate training on ‘Camden-type hydrants.’</w:t>
      </w:r>
    </w:p>
    <w:p w14:paraId="139B1B71" w14:textId="77777777" w:rsidR="0029560A" w:rsidRDefault="0029560A" w:rsidP="0029560A">
      <w:pPr>
        <w:pStyle w:val="NormalWeb"/>
        <w:ind w:left="720"/>
      </w:pPr>
      <w:r>
        <w:t>***</w:t>
      </w:r>
    </w:p>
    <w:p w14:paraId="40786F6E" w14:textId="77777777" w:rsidR="0029560A" w:rsidRDefault="0029560A" w:rsidP="0029560A">
      <w:pPr>
        <w:pStyle w:val="NormalWeb"/>
        <w:ind w:left="720"/>
      </w:pPr>
      <w:r>
        <w:t>{P]</w:t>
      </w:r>
      <w:proofErr w:type="spellStart"/>
      <w:r>
        <w:t>laintiff</w:t>
      </w:r>
      <w:proofErr w:type="spellEnd"/>
      <w:r>
        <w:t xml:space="preserve"> fails to meet the second prong of </w:t>
      </w:r>
      <w:r>
        <w:rPr>
          <w:rStyle w:val="Emphasis"/>
        </w:rPr>
        <w:t>Gormley</w:t>
      </w:r>
      <w:r>
        <w:t xml:space="preserve">'s test because no reasonable factfinder could conclude that when Camden assigned two probationary firefighters to plaintiff's company, it acted with a degree of culpability that shocked the conscience. Conscience-shocking conduct occurs if the state actor intentionally caused unjustifiable harm and never occurs if the harm arose from negligence. </w:t>
      </w:r>
      <w:r>
        <w:rPr>
          <w:rStyle w:val="Emphasis"/>
        </w:rPr>
        <w:t>Id.</w:t>
      </w:r>
      <w:r>
        <w:t xml:space="preserve"> at 102 (citing </w:t>
      </w:r>
      <w:r>
        <w:rPr>
          <w:rStyle w:val="Emphasis"/>
        </w:rPr>
        <w:t>Lewis</w:t>
      </w:r>
      <w:r>
        <w:t>, 523 U.S. at 849). ‘[W]</w:t>
      </w:r>
      <w:proofErr w:type="spellStart"/>
      <w:r>
        <w:t>hether</w:t>
      </w:r>
      <w:proofErr w:type="spellEnd"/>
      <w:r>
        <w:t xml:space="preserve"> conduct is conscience-shocking is a fact-sensitive analysis’ which depends on ‘whether the officials' conduct is egregious in light of the particular circumstances.’ </w:t>
      </w:r>
      <w:r>
        <w:rPr>
          <w:rStyle w:val="Emphasis"/>
        </w:rPr>
        <w:t>Id.</w:t>
      </w:r>
      <w:r>
        <w:t xml:space="preserve"> at 103 (citing </w:t>
      </w:r>
      <w:r>
        <w:rPr>
          <w:rStyle w:val="Emphasis"/>
        </w:rPr>
        <w:t>Lewis</w:t>
      </w:r>
      <w:r>
        <w:t>, 523 U.S. at 850).”</w:t>
      </w:r>
    </w:p>
    <w:p w14:paraId="67579D55" w14:textId="77777777" w:rsidR="0029560A" w:rsidRPr="00755BF1" w:rsidRDefault="0029560A" w:rsidP="0029560A">
      <w:pPr>
        <w:pStyle w:val="NormalWeb"/>
        <w:rPr>
          <w:b/>
          <w:bCs/>
        </w:rPr>
      </w:pPr>
      <w:r w:rsidRPr="00755BF1">
        <w:rPr>
          <w:b/>
          <w:bCs/>
        </w:rPr>
        <w:t>Legal Lesson Learned:</w:t>
      </w:r>
      <w:r>
        <w:rPr>
          <w:b/>
          <w:bCs/>
        </w:rPr>
        <w:t xml:space="preserve"> In vast majority of firefighter injuries, workers comp is only remedy.</w:t>
      </w:r>
    </w:p>
    <w:p w14:paraId="491AE289" w14:textId="77777777" w:rsidR="007959C9" w:rsidRDefault="007959C9" w:rsidP="00EF1133">
      <w:pPr>
        <w:pStyle w:val="NoSpacing"/>
        <w:rPr>
          <w:rFonts w:ascii="Arial Black" w:hAnsi="Arial Black"/>
          <w:sz w:val="24"/>
          <w:szCs w:val="24"/>
        </w:rPr>
      </w:pPr>
    </w:p>
    <w:p w14:paraId="15440494" w14:textId="77777777" w:rsidR="0029560A" w:rsidRDefault="0029560A" w:rsidP="00EF1133">
      <w:pPr>
        <w:pStyle w:val="NoSpacing"/>
        <w:rPr>
          <w:rFonts w:ascii="Arial Black" w:hAnsi="Arial Black"/>
          <w:sz w:val="24"/>
          <w:szCs w:val="24"/>
        </w:rPr>
      </w:pPr>
    </w:p>
    <w:p w14:paraId="0A29B5B3" w14:textId="77777777" w:rsidR="0029560A" w:rsidRDefault="0029560A" w:rsidP="00EF1133">
      <w:pPr>
        <w:pStyle w:val="NoSpacing"/>
        <w:rPr>
          <w:rFonts w:ascii="Arial Black" w:hAnsi="Arial Black"/>
          <w:sz w:val="24"/>
          <w:szCs w:val="24"/>
        </w:rPr>
      </w:pPr>
    </w:p>
    <w:p w14:paraId="53EB7F7A" w14:textId="6D705996" w:rsidR="00AE32D3" w:rsidRDefault="006C79BE" w:rsidP="00EF1133">
      <w:pPr>
        <w:pStyle w:val="NoSpacing"/>
        <w:rPr>
          <w:rFonts w:ascii="Arial Black" w:hAnsi="Arial Black"/>
          <w:sz w:val="24"/>
          <w:szCs w:val="24"/>
        </w:rPr>
      </w:pPr>
      <w:r>
        <w:rPr>
          <w:rFonts w:ascii="Arial Black" w:hAnsi="Arial Black"/>
          <w:sz w:val="24"/>
          <w:szCs w:val="24"/>
        </w:rPr>
        <w:t>2-49</w:t>
      </w:r>
    </w:p>
    <w:p w14:paraId="45C3D55B" w14:textId="04DCE518" w:rsidR="006C79BE" w:rsidRDefault="006C79BE" w:rsidP="00EF1133">
      <w:pPr>
        <w:pStyle w:val="NoSpacing"/>
        <w:rPr>
          <w:rFonts w:ascii="Arial Black" w:hAnsi="Arial Black"/>
          <w:sz w:val="24"/>
          <w:szCs w:val="24"/>
        </w:rPr>
      </w:pPr>
    </w:p>
    <w:p w14:paraId="576933F7" w14:textId="77777777" w:rsidR="006C79BE" w:rsidRDefault="006C79BE" w:rsidP="006C79BE">
      <w:pPr>
        <w:pStyle w:val="NormalWeb"/>
        <w:rPr>
          <w:rFonts w:ascii="Arial Black" w:hAnsi="Arial Black"/>
          <w:b/>
          <w:bCs/>
          <w:sz w:val="28"/>
          <w:szCs w:val="28"/>
        </w:rPr>
      </w:pPr>
      <w:r>
        <w:rPr>
          <w:rFonts w:ascii="Arial Black" w:hAnsi="Arial Black"/>
          <w:b/>
          <w:bCs/>
          <w:sz w:val="28"/>
          <w:szCs w:val="28"/>
        </w:rPr>
        <w:t>NY: “FIREMAN’S RULE” MODIFIED BY STATUTE – INJURED FDNY FF MAY SUE RESTAURANT IF CODE VIOLATION</w:t>
      </w:r>
    </w:p>
    <w:p w14:paraId="79FB6E88" w14:textId="77777777" w:rsidR="006C79BE" w:rsidRDefault="006C79BE" w:rsidP="006C79BE">
      <w:pPr>
        <w:pStyle w:val="NormalWeb"/>
      </w:pPr>
      <w:r w:rsidRPr="00C40446">
        <w:t xml:space="preserve">On Dec. 1, 2022, </w:t>
      </w:r>
      <w:r>
        <w:t xml:space="preserve">in </w:t>
      </w:r>
      <w:r w:rsidRPr="00C40446">
        <w:rPr>
          <w:u w:val="single"/>
        </w:rPr>
        <w:t>Frank Ruggiero &amp; Amy Ruggiero v. 357-359 Sixth Avenue Associates, LLC, et al</w:t>
      </w:r>
      <w:r>
        <w:t xml:space="preserve">., Judge Paul A. Goetz, Supreme Court, New York County, in unpublished decision, denied the restaurant’s motion for summary judgement.  On Jan. 11, 2019, the firefighter responded to a fire above the hood from the wood stove; the firefighter went to the second floor to check for extensions and injured his </w:t>
      </w:r>
      <w:proofErr w:type="gramStart"/>
      <w:r>
        <w:t>back</w:t>
      </w:r>
      <w:proofErr w:type="gramEnd"/>
      <w:r>
        <w:t xml:space="preserve"> moving the couch in the </w:t>
      </w:r>
      <w:proofErr w:type="gramStart"/>
      <w:r>
        <w:t>second floor</w:t>
      </w:r>
      <w:proofErr w:type="gramEnd"/>
      <w:r>
        <w:t xml:space="preserve"> storage area with a low ceiling.  NY statute allows fire and police to sue if code violation directly or indirectly caused injuries.</w:t>
      </w:r>
    </w:p>
    <w:p w14:paraId="3DCC5583" w14:textId="77777777" w:rsidR="006C79BE" w:rsidRDefault="006C79BE" w:rsidP="006C79BE">
      <w:pPr>
        <w:pStyle w:val="NormalWeb"/>
        <w:ind w:left="720"/>
      </w:pPr>
      <w:r>
        <w:t xml:space="preserve">“[I]t is undisputed that the only reason plaintiff was at the premises and allegedly lifting the couch was to check for the presence of fire in the floorboards, a fire which allegedly resulted from defendant Llama San's violations of the fire code and negligence. Thus, </w:t>
      </w:r>
      <w:proofErr w:type="spellStart"/>
      <w:r>
        <w:t>plaintiffs</w:t>
      </w:r>
      <w:proofErr w:type="spellEnd"/>
      <w:r>
        <w:t xml:space="preserve"> </w:t>
      </w:r>
      <w:proofErr w:type="gramStart"/>
      <w:r>
        <w:t>claims</w:t>
      </w:r>
      <w:proofErr w:type="gramEnd"/>
      <w:r>
        <w:t xml:space="preserve"> for common law negligence and under the more liberal causation standard under General Municipal Law Section 205-a cannot be </w:t>
      </w:r>
      <w:proofErr w:type="gramStart"/>
      <w:r>
        <w:t>dismissed.’’</w:t>
      </w:r>
      <w:proofErr w:type="gramEnd"/>
      <w:r>
        <w:t xml:space="preserve"> </w:t>
      </w:r>
      <w:hyperlink r:id="rId543" w:history="1">
        <w:r w:rsidRPr="006335C7">
          <w:rPr>
            <w:rStyle w:val="Hyperlink"/>
            <w:rFonts w:eastAsiaTheme="majorEastAsia"/>
          </w:rPr>
          <w:t>https://law.justia.com/cases/new-york/other-courts/2022/2022-ny-slip-op-34279-u.html</w:t>
        </w:r>
      </w:hyperlink>
      <w:r>
        <w:t xml:space="preserve">  </w:t>
      </w:r>
    </w:p>
    <w:p w14:paraId="6D44FD47" w14:textId="77777777" w:rsidR="006C79BE" w:rsidRPr="00923166" w:rsidRDefault="006C79BE" w:rsidP="006C79BE">
      <w:pPr>
        <w:pStyle w:val="NoSpacing"/>
        <w:rPr>
          <w:rFonts w:ascii="Times New Roman" w:hAnsi="Times New Roman"/>
          <w:b/>
          <w:bCs/>
          <w:sz w:val="24"/>
          <w:szCs w:val="24"/>
        </w:rPr>
      </w:pPr>
      <w:r w:rsidRPr="00923166">
        <w:rPr>
          <w:rFonts w:ascii="Times New Roman" w:hAnsi="Times New Roman"/>
          <w:b/>
          <w:bCs/>
          <w:sz w:val="24"/>
          <w:szCs w:val="24"/>
        </w:rPr>
        <w:t>Legal Lessons Learned:</w:t>
      </w:r>
      <w:r>
        <w:rPr>
          <w:rFonts w:ascii="Times New Roman" w:hAnsi="Times New Roman"/>
          <w:b/>
          <w:bCs/>
          <w:sz w:val="24"/>
          <w:szCs w:val="24"/>
        </w:rPr>
        <w:t xml:space="preserve"> Some states like Florida have completely abolished the Fireman’s Rule, while other states like Ohio have not modified or abolished it. </w:t>
      </w:r>
    </w:p>
    <w:p w14:paraId="294D85D0" w14:textId="1E1349F7" w:rsidR="006C79BE" w:rsidRDefault="006C79BE" w:rsidP="00EF1133">
      <w:pPr>
        <w:pStyle w:val="NoSpacing"/>
        <w:rPr>
          <w:rFonts w:ascii="Arial Black" w:hAnsi="Arial Black"/>
          <w:sz w:val="24"/>
          <w:szCs w:val="24"/>
        </w:rPr>
      </w:pPr>
    </w:p>
    <w:p w14:paraId="6509548E" w14:textId="77777777" w:rsidR="006C79BE" w:rsidRDefault="006C79BE" w:rsidP="00EF1133">
      <w:pPr>
        <w:pStyle w:val="NoSpacing"/>
        <w:rPr>
          <w:rFonts w:ascii="Arial Black" w:hAnsi="Arial Black"/>
          <w:sz w:val="24"/>
          <w:szCs w:val="24"/>
        </w:rPr>
      </w:pPr>
    </w:p>
    <w:p w14:paraId="17B03534" w14:textId="77777777" w:rsidR="00AE32D3" w:rsidRDefault="00AE32D3" w:rsidP="00EF1133">
      <w:pPr>
        <w:pStyle w:val="NoSpacing"/>
        <w:rPr>
          <w:rFonts w:ascii="Arial Black" w:hAnsi="Arial Black"/>
          <w:sz w:val="24"/>
          <w:szCs w:val="24"/>
        </w:rPr>
      </w:pPr>
    </w:p>
    <w:p w14:paraId="3BF41A32" w14:textId="45A275E8" w:rsidR="00AE32D3" w:rsidRDefault="00AE32D3" w:rsidP="00EF1133">
      <w:pPr>
        <w:pStyle w:val="NoSpacing"/>
        <w:rPr>
          <w:rFonts w:ascii="Arial Black" w:hAnsi="Arial Black"/>
          <w:sz w:val="24"/>
          <w:szCs w:val="24"/>
        </w:rPr>
      </w:pPr>
      <w:r>
        <w:rPr>
          <w:rFonts w:ascii="Arial Black" w:hAnsi="Arial Black"/>
          <w:sz w:val="24"/>
          <w:szCs w:val="24"/>
        </w:rPr>
        <w:t>2-48</w:t>
      </w:r>
    </w:p>
    <w:p w14:paraId="660E1923" w14:textId="77777777" w:rsidR="00AE32D3" w:rsidRDefault="00AE32D3" w:rsidP="00EF1133">
      <w:pPr>
        <w:pStyle w:val="NoSpacing"/>
        <w:rPr>
          <w:rFonts w:ascii="Arial Black" w:hAnsi="Arial Black"/>
          <w:sz w:val="24"/>
          <w:szCs w:val="24"/>
        </w:rPr>
      </w:pPr>
    </w:p>
    <w:p w14:paraId="38B3B30D" w14:textId="77777777" w:rsidR="00AE32D3" w:rsidRPr="001E1C4B" w:rsidRDefault="00AE32D3" w:rsidP="00AE32D3">
      <w:pPr>
        <w:pStyle w:val="NormalWeb"/>
        <w:rPr>
          <w:rFonts w:ascii="Arial Black" w:hAnsi="Arial Black"/>
          <w:b/>
          <w:bCs/>
          <w:sz w:val="28"/>
          <w:szCs w:val="28"/>
        </w:rPr>
      </w:pPr>
      <w:r>
        <w:rPr>
          <w:rFonts w:ascii="Arial Black" w:hAnsi="Arial Black"/>
          <w:b/>
          <w:bCs/>
          <w:sz w:val="28"/>
          <w:szCs w:val="28"/>
        </w:rPr>
        <w:t xml:space="preserve">DE: LINE-OF-DUTY DEATH – DEATH BENEFITS TO CHILDREN – FATHER’S BREACH FIDUCIARY DUTY – HE OWES $366,412   </w:t>
      </w:r>
    </w:p>
    <w:p w14:paraId="60E8C313" w14:textId="77777777" w:rsidR="00AE32D3" w:rsidRDefault="00AE32D3" w:rsidP="00AE32D3">
      <w:pPr>
        <w:pStyle w:val="NormalWeb"/>
      </w:pPr>
      <w:r>
        <w:t xml:space="preserve">On Nov. 28, 2022, in </w:t>
      </w:r>
      <w:r w:rsidRPr="001E1C4B">
        <w:rPr>
          <w:u w:val="single"/>
        </w:rPr>
        <w:t xml:space="preserve">Senior Partner, Inc. As Trustee </w:t>
      </w:r>
      <w:proofErr w:type="gramStart"/>
      <w:r w:rsidRPr="001E1C4B">
        <w:rPr>
          <w:u w:val="single"/>
        </w:rPr>
        <w:t>Of</w:t>
      </w:r>
      <w:proofErr w:type="gramEnd"/>
      <w:r w:rsidRPr="001E1C4B">
        <w:rPr>
          <w:u w:val="single"/>
        </w:rPr>
        <w:t xml:space="preserve"> </w:t>
      </w:r>
      <w:proofErr w:type="gramStart"/>
      <w:r w:rsidRPr="001E1C4B">
        <w:rPr>
          <w:u w:val="single"/>
        </w:rPr>
        <w:t>The</w:t>
      </w:r>
      <w:proofErr w:type="gramEnd"/>
      <w:r w:rsidRPr="001E1C4B">
        <w:rPr>
          <w:u w:val="single"/>
        </w:rPr>
        <w:t xml:space="preserve"> Ardythe Hope Children’s Hospital v. David L. Lee</w:t>
      </w:r>
      <w:r>
        <w:t xml:space="preserve">, Selena E. Molina, Master in Chancery, Court of Chancery of Delaware, issued a Final Report in this “breach of fiduciary duty action” against father of three daughters of  Ardythe Hope.  She was a senior firefighter with the City of Wilmington, who was injured in the line of duty on September 24, 2016. She succumbed to her injuries December 1, 2016, leaving behind three (3) daughters: Aryelle Hope, Alexis D. Lee, and </w:t>
      </w:r>
      <w:proofErr w:type="spellStart"/>
      <w:r>
        <w:t>Ardavia</w:t>
      </w:r>
      <w:proofErr w:type="spellEnd"/>
      <w:r>
        <w:t xml:space="preserve"> D. Lee.  See article, Dec. 1, 2026: “Third firefighter dies from Canby Park blaze.” “Ardythe Hope, seriously injured in the Canby Park rowhome blaze that killed two colleagues in September, has died. </w:t>
      </w:r>
      <w:hyperlink r:id="rId544" w:history="1">
        <w:r>
          <w:rPr>
            <w:rStyle w:val="Hyperlink"/>
            <w:rFonts w:eastAsiaTheme="majorEastAsia"/>
          </w:rPr>
          <w:t>Hope</w:t>
        </w:r>
      </w:hyperlink>
      <w:r>
        <w:t xml:space="preserve"> was injured after entering the </w:t>
      </w:r>
      <w:proofErr w:type="gramStart"/>
      <w:r>
        <w:t>rowhome</w:t>
      </w:r>
      <w:proofErr w:type="gramEnd"/>
      <w:r>
        <w:t xml:space="preserve"> </w:t>
      </w:r>
      <w:proofErr w:type="gramStart"/>
      <w:r>
        <w:t>in an attempt to</w:t>
      </w:r>
      <w:proofErr w:type="gramEnd"/>
      <w:r>
        <w:t xml:space="preserve"> save another firefighter when the floor gave way. Burned over more than 70 percent of her body, she had been at Crozer-Chester Medical Center in critical condition since the fire.” </w:t>
      </w:r>
      <w:hyperlink r:id="rId545" w:history="1">
        <w:r w:rsidRPr="00AF231E">
          <w:rPr>
            <w:rStyle w:val="Hyperlink"/>
            <w:rFonts w:eastAsiaTheme="majorEastAsia"/>
          </w:rPr>
          <w:t>https://www.delawareonline.com/story/news/local/2016/12/01/ardythe-hope-firefighter-injured-canby-park-blaze-dies/94758432/</w:t>
        </w:r>
      </w:hyperlink>
      <w:r>
        <w:t xml:space="preserve"> </w:t>
      </w:r>
    </w:p>
    <w:p w14:paraId="2E1ED9A3" w14:textId="77777777" w:rsidR="00AE32D3" w:rsidRDefault="00AE32D3" w:rsidP="00AE32D3">
      <w:pPr>
        <w:pStyle w:val="NormalWeb"/>
        <w:ind w:left="720"/>
      </w:pPr>
      <w:r>
        <w:t xml:space="preserve">“Based on the above findings, judgment should be entered against the Defendant in the total amount of $366,412.34, representing $46,653.23 in missing income, $331,401.82 in unsupported expenditures, and $2,750.00 for attorneys' fees, minus a credit of $14,392.71. Pre-judgment and post-judgment interest should be added to this judgment, compounded quarterly. I find the Defendant should be required to make monthly payments on the judgment and accept the Defendant's proposal for a 360-month period as unopposed. </w:t>
      </w:r>
    </w:p>
    <w:p w14:paraId="70900845" w14:textId="77777777" w:rsidR="00AE32D3" w:rsidRDefault="00AE32D3" w:rsidP="00AE32D3">
      <w:pPr>
        <w:pStyle w:val="NormalWeb"/>
        <w:ind w:left="720"/>
      </w:pPr>
      <w:r>
        <w:t>***</w:t>
      </w:r>
    </w:p>
    <w:p w14:paraId="52919DD3" w14:textId="609A38E6" w:rsidR="00AE32D3" w:rsidRPr="00AE32D3" w:rsidRDefault="00AE32D3" w:rsidP="00AE32D3">
      <w:pPr>
        <w:pStyle w:val="NoSpacing"/>
        <w:ind w:left="720"/>
        <w:rPr>
          <w:rFonts w:ascii="Times New Roman" w:hAnsi="Times New Roman"/>
          <w:sz w:val="24"/>
          <w:szCs w:val="24"/>
        </w:rPr>
      </w:pPr>
      <w:r w:rsidRPr="00AE32D3">
        <w:rPr>
          <w:rFonts w:ascii="Times New Roman" w:hAnsi="Times New Roman"/>
          <w:sz w:val="24"/>
          <w:szCs w:val="24"/>
        </w:rPr>
        <w:t xml:space="preserve">[Regarding new house he purchased with their LODD benefits] I recommend the Defendant be ordered to convey the Property to the Trust and vacate the Property within one year of this report becoming an order of the Court.” </w:t>
      </w:r>
      <w:hyperlink r:id="rId546" w:history="1">
        <w:r w:rsidRPr="00AE32D3">
          <w:rPr>
            <w:rStyle w:val="Hyperlink"/>
            <w:rFonts w:ascii="Times New Roman" w:eastAsiaTheme="majorEastAsia" w:hAnsi="Times New Roman"/>
            <w:sz w:val="24"/>
            <w:szCs w:val="24"/>
          </w:rPr>
          <w:t>https://law.justia.com/cases/delaware/court-of-chancery/2022/c-a-no-2020-0226-sem.html</w:t>
        </w:r>
      </w:hyperlink>
    </w:p>
    <w:p w14:paraId="0C6B8F6A" w14:textId="77777777" w:rsidR="00AE32D3" w:rsidRDefault="00AE32D3" w:rsidP="00EF1133">
      <w:pPr>
        <w:pStyle w:val="NoSpacing"/>
        <w:rPr>
          <w:rFonts w:ascii="Arial Black" w:hAnsi="Arial Black"/>
          <w:sz w:val="24"/>
          <w:szCs w:val="24"/>
        </w:rPr>
      </w:pPr>
    </w:p>
    <w:p w14:paraId="350B0A03" w14:textId="77777777" w:rsidR="00AE32D3" w:rsidRPr="0067736B" w:rsidRDefault="00AE32D3" w:rsidP="00AE32D3">
      <w:pPr>
        <w:pStyle w:val="NormalWeb"/>
        <w:rPr>
          <w:b/>
          <w:bCs/>
        </w:rPr>
      </w:pPr>
      <w:r w:rsidRPr="0067736B">
        <w:rPr>
          <w:b/>
          <w:bCs/>
        </w:rPr>
        <w:t>Legal Lesson Learned:</w:t>
      </w:r>
      <w:r>
        <w:rPr>
          <w:b/>
          <w:bCs/>
        </w:rPr>
        <w:t xml:space="preserve"> The father breached </w:t>
      </w:r>
      <w:proofErr w:type="spellStart"/>
      <w:r>
        <w:rPr>
          <w:b/>
          <w:bCs/>
        </w:rPr>
        <w:t>is</w:t>
      </w:r>
      <w:proofErr w:type="spellEnd"/>
      <w:r>
        <w:rPr>
          <w:b/>
          <w:bCs/>
        </w:rPr>
        <w:t xml:space="preserve"> fiduciary duty as original Trustee of the funds. </w:t>
      </w:r>
    </w:p>
    <w:p w14:paraId="038BE8F0" w14:textId="77777777" w:rsidR="00AE32D3" w:rsidRDefault="00AE32D3" w:rsidP="00AE32D3">
      <w:pPr>
        <w:pStyle w:val="NormalWeb"/>
      </w:pPr>
      <w:r>
        <w:tab/>
        <w:t xml:space="preserve">Note: The Master in Chancery shared this comment. </w:t>
      </w:r>
    </w:p>
    <w:p w14:paraId="2973FC7B" w14:textId="77777777" w:rsidR="00AE32D3" w:rsidRPr="0067736B" w:rsidRDefault="00AE32D3" w:rsidP="00AE32D3">
      <w:pPr>
        <w:pStyle w:val="NormalWeb"/>
        <w:ind w:left="720"/>
      </w:pPr>
      <w:r>
        <w:t>[Footnote 5.] “</w:t>
      </w:r>
      <w:r w:rsidRPr="0067736B">
        <w:t xml:space="preserve">I would be remiss not to acknowledge the triumphs and successes of the Beneficiaries. When this matter was heard, the Beneficiaries were both in college, with Alexis on a full volleyball scholarship at Maryland Eastern Shore and </w:t>
      </w:r>
      <w:proofErr w:type="spellStart"/>
      <w:r w:rsidRPr="0067736B">
        <w:t>Ardavia</w:t>
      </w:r>
      <w:proofErr w:type="spellEnd"/>
      <w:r w:rsidRPr="0067736B">
        <w:t xml:space="preserve"> studying political science and pre-law at Delaware State University</w:t>
      </w:r>
      <w:r>
        <w:t xml:space="preserve">…. </w:t>
      </w:r>
      <w:r w:rsidRPr="0067736B">
        <w:t>Their perseverance, drive, and determination in the face of tragedy is inspiring</w:t>
      </w:r>
      <w:r>
        <w:t xml:space="preserve"> … </w:t>
      </w:r>
      <w:r w:rsidRPr="0067736B">
        <w:t xml:space="preserve">(explaining that not only is Alexis on a volleyball scholarship but that she was All-State in basketball and track and field, and that </w:t>
      </w:r>
      <w:proofErr w:type="spellStart"/>
      <w:r w:rsidRPr="0067736B">
        <w:t>Ardavia</w:t>
      </w:r>
      <w:proofErr w:type="spellEnd"/>
      <w:r w:rsidRPr="0067736B">
        <w:t xml:space="preserve"> was Delaware's Boys and Girls Club Youth of the Year and awarded a Sallie Mae scholarship).</w:t>
      </w:r>
      <w:r>
        <w:t>”</w:t>
      </w:r>
    </w:p>
    <w:p w14:paraId="240B34AE" w14:textId="715DA75B" w:rsidR="00AE32D3" w:rsidRDefault="00AE32D3" w:rsidP="00EF1133">
      <w:pPr>
        <w:pStyle w:val="NoSpacing"/>
        <w:rPr>
          <w:rFonts w:ascii="Arial Black" w:hAnsi="Arial Black"/>
          <w:sz w:val="24"/>
          <w:szCs w:val="24"/>
        </w:rPr>
      </w:pPr>
      <w:r>
        <w:rPr>
          <w:rFonts w:ascii="Arial Black" w:hAnsi="Arial Black"/>
          <w:sz w:val="24"/>
          <w:szCs w:val="24"/>
        </w:rPr>
        <w:t>2-47</w:t>
      </w:r>
    </w:p>
    <w:p w14:paraId="30EA49EB" w14:textId="27227997" w:rsidR="00AE32D3" w:rsidRDefault="00AE32D3" w:rsidP="00EF1133">
      <w:pPr>
        <w:pStyle w:val="NoSpacing"/>
        <w:rPr>
          <w:rFonts w:ascii="Arial Black" w:hAnsi="Arial Black"/>
          <w:sz w:val="24"/>
          <w:szCs w:val="24"/>
        </w:rPr>
      </w:pPr>
    </w:p>
    <w:p w14:paraId="025DF895" w14:textId="77777777" w:rsidR="00AE32D3" w:rsidRDefault="00AE32D3" w:rsidP="00AE32D3">
      <w:pPr>
        <w:pStyle w:val="NormalWeb"/>
        <w:rPr>
          <w:rFonts w:ascii="Arial Black" w:hAnsi="Arial Black"/>
          <w:sz w:val="28"/>
          <w:szCs w:val="28"/>
        </w:rPr>
      </w:pPr>
      <w:r>
        <w:rPr>
          <w:rFonts w:ascii="Arial Black" w:hAnsi="Arial Black"/>
          <w:sz w:val="28"/>
          <w:szCs w:val="28"/>
        </w:rPr>
        <w:t>TX: FF FELL THROUGH 3½ FOOT OPENING IN OVERPASS CATWALK – FELL 20+ FEET – DOT CONTRACTOR IMMUNITY</w:t>
      </w:r>
    </w:p>
    <w:p w14:paraId="6A162885" w14:textId="77777777" w:rsidR="00AE32D3" w:rsidRDefault="00AE32D3" w:rsidP="00AE32D3">
      <w:pPr>
        <w:pStyle w:val="NormalWeb"/>
      </w:pPr>
      <w:r>
        <w:t xml:space="preserve">On Nov. 18, 2022, in </w:t>
      </w:r>
      <w:r w:rsidRPr="009D04E6">
        <w:rPr>
          <w:u w:val="single"/>
        </w:rPr>
        <w:t>A.S. Horner, Inc. v. Rafael Navarrette</w:t>
      </w:r>
      <w:r>
        <w:t xml:space="preserve">, the Court of Appeals of Texas, Eight District, El Paso, held (3 to 0)that the trial court improperly denied the construction company’s motion for summary judgment; under Texas statute, a contractor who performs work pursuant to the Texas DOT contract is immune from liability; court rules this applies both during the construction phase and afterwards.  </w:t>
      </w:r>
    </w:p>
    <w:p w14:paraId="6F1D5F97" w14:textId="77777777" w:rsidR="00AE32D3" w:rsidRDefault="00AE32D3" w:rsidP="00AE32D3">
      <w:pPr>
        <w:pStyle w:val="NormalWeb"/>
        <w:ind w:left="720"/>
      </w:pPr>
      <w:r>
        <w:t>“At the time of the incident that is a basis of the suit, Navarrette was on duty responding to a multi-vehicle crash that occurred in the middle of the night on a Loop 375 overpass. Navarrette's suit alleged that, ‘[w]</w:t>
      </w:r>
      <w:proofErr w:type="spellStart"/>
      <w:r>
        <w:t>hile</w:t>
      </w:r>
      <w:proofErr w:type="spellEnd"/>
      <w:r>
        <w:t xml:space="preserve"> between the barricades, on a defectively designed and installed cement catwalk without restraining railings he fell 20 to 30 feet through [a] 3 1/2 or 4 feet opening.’ Horner constructed the overpass from which Navarrette fell. Navarrette asserted claims against Horner pursuant to premises liability based on a dangerous condition on the road or property, and alternatively, based on theories of negligence.  </w:t>
      </w:r>
    </w:p>
    <w:p w14:paraId="54E91C90" w14:textId="77777777" w:rsidR="00AE32D3" w:rsidRDefault="00AE32D3" w:rsidP="00AE32D3">
      <w:pPr>
        <w:pStyle w:val="NormalWeb"/>
        <w:ind w:left="720"/>
      </w:pPr>
      <w:r>
        <w:t>***</w:t>
      </w:r>
    </w:p>
    <w:p w14:paraId="0DF9B222" w14:textId="77777777" w:rsidR="00AE32D3" w:rsidRDefault="00AE32D3" w:rsidP="00AE32D3">
      <w:pPr>
        <w:pStyle w:val="NormalWeb"/>
        <w:ind w:left="720"/>
        <w:rPr>
          <w:rStyle w:val="Hyperlink"/>
          <w:rFonts w:eastAsiaTheme="majorEastAsia"/>
        </w:rPr>
      </w:pPr>
      <w:r>
        <w:t xml:space="preserve">Because TxDOT designed this project and required Horner to perform its work pursuant to contract terms, and because Navarrette did not challenge or otherwise dispute that Horner's work complied with those terms, we determine that section 97.002's conditional pre-requisite was met. </w:t>
      </w:r>
      <w:hyperlink r:id="rId547" w:history="1">
        <w:r w:rsidRPr="00335B71">
          <w:rPr>
            <w:rStyle w:val="Hyperlink"/>
            <w:rFonts w:eastAsiaTheme="majorEastAsia"/>
          </w:rPr>
          <w:t>https://casetext.com/case/as-horner-inc-v-navarrette-4</w:t>
        </w:r>
      </w:hyperlink>
    </w:p>
    <w:p w14:paraId="2962AFC6" w14:textId="77777777" w:rsidR="00AE32D3" w:rsidRDefault="00AE32D3" w:rsidP="00AE32D3">
      <w:pPr>
        <w:pStyle w:val="NormalWeb"/>
        <w:rPr>
          <w:b/>
          <w:bCs/>
        </w:rPr>
      </w:pPr>
      <w:r w:rsidRPr="00A3198D">
        <w:rPr>
          <w:b/>
          <w:bCs/>
        </w:rPr>
        <w:t>Legal Lesson Learned:</w:t>
      </w:r>
      <w:r>
        <w:rPr>
          <w:b/>
          <w:bCs/>
        </w:rPr>
        <w:t xml:space="preserve">  The Texas statute provides immunity to contracts who follow DOT contract requirements. </w:t>
      </w:r>
    </w:p>
    <w:p w14:paraId="49FE13E6" w14:textId="77777777" w:rsidR="00AE32D3" w:rsidRDefault="00AE32D3" w:rsidP="00AE32D3">
      <w:pPr>
        <w:pStyle w:val="Heading1"/>
        <w:ind w:left="720"/>
        <w:rPr>
          <w:b w:val="0"/>
          <w:bCs w:val="0"/>
          <w:sz w:val="24"/>
          <w:szCs w:val="24"/>
        </w:rPr>
      </w:pPr>
      <w:r w:rsidRPr="00876015">
        <w:rPr>
          <w:b w:val="0"/>
          <w:bCs w:val="0"/>
          <w:sz w:val="24"/>
          <w:szCs w:val="24"/>
        </w:rPr>
        <w:t xml:space="preserve">Note: See June 4, </w:t>
      </w:r>
      <w:proofErr w:type="gramStart"/>
      <w:r w:rsidRPr="00876015">
        <w:rPr>
          <w:b w:val="0"/>
          <w:bCs w:val="0"/>
          <w:sz w:val="24"/>
          <w:szCs w:val="24"/>
        </w:rPr>
        <w:t>2014</w:t>
      </w:r>
      <w:proofErr w:type="gramEnd"/>
      <w:r w:rsidRPr="00876015">
        <w:rPr>
          <w:b w:val="0"/>
          <w:bCs w:val="0"/>
          <w:sz w:val="24"/>
          <w:szCs w:val="24"/>
        </w:rPr>
        <w:t xml:space="preserve"> article: Texas firefighter plunges 20 feet off overpass at crash scene; The lieutenant fell through an opening in the overpass and suffered fractures to his face. </w:t>
      </w:r>
      <w:hyperlink r:id="rId548" w:history="1">
        <w:r w:rsidRPr="00335B71">
          <w:rPr>
            <w:rStyle w:val="Hyperlink"/>
            <w:rFonts w:eastAsiaTheme="majorEastAsia"/>
            <w:b w:val="0"/>
            <w:bCs w:val="0"/>
            <w:sz w:val="24"/>
            <w:szCs w:val="24"/>
          </w:rPr>
          <w:t>https://www.firerescue1.com/fire-ems/articles/texas-firefighter-plunges-20-feet-off-overpass-at-crash-scene-lBARe4alhxd9zIr4/</w:t>
        </w:r>
      </w:hyperlink>
      <w:r>
        <w:rPr>
          <w:b w:val="0"/>
          <w:bCs w:val="0"/>
          <w:sz w:val="24"/>
          <w:szCs w:val="24"/>
        </w:rPr>
        <w:t xml:space="preserve"> </w:t>
      </w:r>
    </w:p>
    <w:p w14:paraId="709F58B0" w14:textId="4B762CFC" w:rsidR="00AE32D3" w:rsidRPr="00AE32D3" w:rsidRDefault="00AE32D3" w:rsidP="00AE32D3">
      <w:pPr>
        <w:pStyle w:val="NoSpacing"/>
        <w:ind w:left="720"/>
        <w:rPr>
          <w:rFonts w:ascii="Times New Roman" w:hAnsi="Times New Roman"/>
          <w:sz w:val="24"/>
          <w:szCs w:val="24"/>
        </w:rPr>
      </w:pPr>
      <w:r w:rsidRPr="00AE32D3">
        <w:rPr>
          <w:rFonts w:ascii="Times New Roman" w:hAnsi="Times New Roman"/>
          <w:sz w:val="24"/>
          <w:szCs w:val="24"/>
        </w:rPr>
        <w:t xml:space="preserve">See also: June 3, 2014: El Paso (TX) Firefighter Injured in Fall at MVA Scene. </w:t>
      </w:r>
      <w:hyperlink r:id="rId549" w:anchor="gref" w:history="1">
        <w:r w:rsidRPr="00E01337">
          <w:rPr>
            <w:rStyle w:val="Hyperlink"/>
            <w:rFonts w:ascii="Times New Roman" w:eastAsiaTheme="majorEastAsia" w:hAnsi="Times New Roman"/>
            <w:sz w:val="24"/>
            <w:szCs w:val="24"/>
          </w:rPr>
          <w:t>https://www.fireengineering.com/firefighting/el-paso-tx-firefighter-injured-while-rendering-care/#gref</w:t>
        </w:r>
      </w:hyperlink>
    </w:p>
    <w:p w14:paraId="187D6BDA" w14:textId="77777777" w:rsidR="00AE32D3" w:rsidRPr="00AE32D3" w:rsidRDefault="00AE32D3" w:rsidP="00EF1133">
      <w:pPr>
        <w:pStyle w:val="NoSpacing"/>
        <w:rPr>
          <w:rFonts w:ascii="Times New Roman" w:hAnsi="Times New Roman"/>
          <w:sz w:val="24"/>
          <w:szCs w:val="24"/>
        </w:rPr>
      </w:pPr>
    </w:p>
    <w:p w14:paraId="612CDD34" w14:textId="77777777" w:rsidR="00AE32D3" w:rsidRDefault="00AE32D3" w:rsidP="00EF1133">
      <w:pPr>
        <w:pStyle w:val="NoSpacing"/>
        <w:rPr>
          <w:rFonts w:ascii="Arial Black" w:hAnsi="Arial Black"/>
          <w:sz w:val="24"/>
          <w:szCs w:val="24"/>
        </w:rPr>
      </w:pPr>
    </w:p>
    <w:p w14:paraId="11CB1FD4" w14:textId="1E9F5281" w:rsidR="00804F3A" w:rsidRDefault="00804F3A" w:rsidP="00EF1133">
      <w:pPr>
        <w:pStyle w:val="NoSpacing"/>
        <w:rPr>
          <w:rFonts w:ascii="Arial Black" w:hAnsi="Arial Black"/>
          <w:sz w:val="24"/>
          <w:szCs w:val="24"/>
        </w:rPr>
      </w:pPr>
      <w:r>
        <w:rPr>
          <w:rFonts w:ascii="Arial Black" w:hAnsi="Arial Black"/>
          <w:sz w:val="24"/>
          <w:szCs w:val="24"/>
        </w:rPr>
        <w:t>2-46</w:t>
      </w:r>
    </w:p>
    <w:p w14:paraId="6CF2E265" w14:textId="77777777" w:rsidR="00804F3A" w:rsidRPr="00486C28" w:rsidRDefault="00804F3A" w:rsidP="00804F3A">
      <w:pPr>
        <w:pStyle w:val="NormalWeb"/>
        <w:rPr>
          <w:rFonts w:ascii="Arial Black" w:hAnsi="Arial Black"/>
          <w:b/>
          <w:bCs/>
          <w:sz w:val="28"/>
          <w:szCs w:val="28"/>
        </w:rPr>
      </w:pPr>
      <w:r w:rsidRPr="00486C28">
        <w:rPr>
          <w:rFonts w:ascii="Arial Black" w:hAnsi="Arial Black"/>
          <w:b/>
          <w:bCs/>
          <w:sz w:val="28"/>
          <w:szCs w:val="28"/>
        </w:rPr>
        <w:t xml:space="preserve">LA: </w:t>
      </w:r>
      <w:r>
        <w:rPr>
          <w:rFonts w:ascii="Arial Black" w:hAnsi="Arial Black"/>
          <w:b/>
          <w:bCs/>
          <w:sz w:val="28"/>
          <w:szCs w:val="28"/>
        </w:rPr>
        <w:t>RAILROAD BLOCKED ROAD – CARDIAC PATIENT – NEW HELICOPTER PICKUP, 8 MINUTES – DIED – NO LIAB. FOR RR</w:t>
      </w:r>
    </w:p>
    <w:p w14:paraId="3CE43986" w14:textId="77777777" w:rsidR="00804F3A" w:rsidRDefault="00804F3A" w:rsidP="00804F3A">
      <w:pPr>
        <w:pStyle w:val="NormalWeb"/>
      </w:pPr>
      <w:r>
        <w:t xml:space="preserve">On Oct. 20, 2022, in </w:t>
      </w:r>
      <w:r w:rsidRPr="00486C28">
        <w:rPr>
          <w:u w:val="single"/>
        </w:rPr>
        <w:t>Brenda R. Blalock v. Union Pacific Railroad Company</w:t>
      </w:r>
      <w:r>
        <w:t xml:space="preserve">, U.S. Court of Appeals for Fifth Circuit (New Orleans), the Court held (3 to 0) that trial court properly granted summary judgment to the railroad, since they were not aware of emergency transport until after the ambulance driver decided to take another route. </w:t>
      </w:r>
    </w:p>
    <w:p w14:paraId="1A7F94D6" w14:textId="77777777" w:rsidR="00804F3A" w:rsidRPr="00C40187" w:rsidRDefault="00804F3A" w:rsidP="00804F3A">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“[T]</w:t>
      </w:r>
      <w:r w:rsidRPr="00AC0E66">
        <w:rPr>
          <w:rFonts w:ascii="Times New Roman" w:eastAsia="Times New Roman" w:hAnsi="Times New Roman"/>
          <w:sz w:val="24"/>
          <w:szCs w:val="24"/>
        </w:rPr>
        <w:t xml:space="preserve">here is insufficient evidence to support Brenda's claims that Union Pacific caused a delay in Leo receiving medical care. The timespan from the </w:t>
      </w:r>
      <w:proofErr w:type="spellStart"/>
      <w:r w:rsidRPr="00AC0E66">
        <w:rPr>
          <w:rFonts w:ascii="Times New Roman" w:eastAsia="Times New Roman" w:hAnsi="Times New Roman"/>
          <w:sz w:val="24"/>
          <w:szCs w:val="24"/>
        </w:rPr>
        <w:t>Blalocks</w:t>
      </w:r>
      <w:proofErr w:type="spellEnd"/>
      <w:r w:rsidRPr="00AC0E66">
        <w:rPr>
          <w:rFonts w:ascii="Times New Roman" w:eastAsia="Times New Roman" w:hAnsi="Times New Roman"/>
          <w:sz w:val="24"/>
          <w:szCs w:val="24"/>
        </w:rPr>
        <w:t xml:space="preserve">' home to the new rerouted landing zone was approximately eight minutes. Evidence shows that when the ambulance approached the railroad crossing and noticed it was blocked, paramedics immediately rerouted to Alexandria where the new landing zone and destination hospital were located. The paramedic testified that she did not </w:t>
      </w:r>
      <w:r>
        <w:rPr>
          <w:rFonts w:ascii="Times New Roman" w:eastAsia="Times New Roman" w:hAnsi="Times New Roman"/>
          <w:sz w:val="24"/>
          <w:szCs w:val="24"/>
        </w:rPr>
        <w:t>‘</w:t>
      </w:r>
      <w:r w:rsidRPr="00AC0E66">
        <w:rPr>
          <w:rFonts w:ascii="Times New Roman" w:eastAsia="Times New Roman" w:hAnsi="Times New Roman"/>
          <w:sz w:val="24"/>
          <w:szCs w:val="24"/>
        </w:rPr>
        <w:t xml:space="preserve">even </w:t>
      </w:r>
      <w:proofErr w:type="gramStart"/>
      <w:r w:rsidRPr="00AC0E66">
        <w:rPr>
          <w:rFonts w:ascii="Times New Roman" w:eastAsia="Times New Roman" w:hAnsi="Times New Roman"/>
          <w:sz w:val="24"/>
          <w:szCs w:val="24"/>
        </w:rPr>
        <w:t>waste like</w:t>
      </w:r>
      <w:proofErr w:type="gramEnd"/>
      <w:r w:rsidRPr="00AC0E66">
        <w:rPr>
          <w:rFonts w:ascii="Times New Roman" w:eastAsia="Times New Roman" w:hAnsi="Times New Roman"/>
          <w:sz w:val="24"/>
          <w:szCs w:val="24"/>
        </w:rPr>
        <w:t xml:space="preserve"> 30 </w:t>
      </w:r>
      <w:proofErr w:type="gramStart"/>
      <w:r w:rsidRPr="00AC0E66">
        <w:rPr>
          <w:rFonts w:ascii="Times New Roman" w:eastAsia="Times New Roman" w:hAnsi="Times New Roman"/>
          <w:sz w:val="24"/>
          <w:szCs w:val="24"/>
        </w:rPr>
        <w:t>seconds</w:t>
      </w:r>
      <w:r>
        <w:rPr>
          <w:rFonts w:ascii="Times New Roman" w:eastAsia="Times New Roman" w:hAnsi="Times New Roman"/>
          <w:sz w:val="24"/>
          <w:szCs w:val="24"/>
        </w:rPr>
        <w:t>’</w:t>
      </w:r>
      <w:proofErr w:type="gramEnd"/>
      <w:r w:rsidRPr="00AC0E66">
        <w:rPr>
          <w:rFonts w:ascii="Times New Roman" w:eastAsia="Times New Roman" w:hAnsi="Times New Roman"/>
          <w:sz w:val="24"/>
          <w:szCs w:val="24"/>
        </w:rPr>
        <w:t xml:space="preserve"> and when asked did they </w:t>
      </w:r>
      <w:proofErr w:type="gramStart"/>
      <w:r w:rsidRPr="00AC0E66">
        <w:rPr>
          <w:rFonts w:ascii="Times New Roman" w:eastAsia="Times New Roman" w:hAnsi="Times New Roman"/>
          <w:sz w:val="24"/>
          <w:szCs w:val="24"/>
        </w:rPr>
        <w:t>wait</w:t>
      </w:r>
      <w:proofErr w:type="gramEnd"/>
      <w:r w:rsidRPr="00AC0E66">
        <w:rPr>
          <w:rFonts w:ascii="Times New Roman" w:eastAsia="Times New Roman" w:hAnsi="Times New Roman"/>
          <w:sz w:val="24"/>
          <w:szCs w:val="24"/>
        </w:rPr>
        <w:t xml:space="preserve"> at the track, she responded</w:t>
      </w:r>
      <w:r>
        <w:rPr>
          <w:rFonts w:ascii="Times New Roman" w:eastAsia="Times New Roman" w:hAnsi="Times New Roman"/>
          <w:sz w:val="24"/>
          <w:szCs w:val="24"/>
        </w:rPr>
        <w:t xml:space="preserve"> ‘</w:t>
      </w:r>
      <w:r w:rsidRPr="00AC0E66">
        <w:rPr>
          <w:rFonts w:ascii="Times New Roman" w:eastAsia="Times New Roman" w:hAnsi="Times New Roman"/>
          <w:sz w:val="24"/>
          <w:szCs w:val="24"/>
        </w:rPr>
        <w:t>[w]e didn't.</w:t>
      </w:r>
      <w:r>
        <w:rPr>
          <w:rFonts w:ascii="Times New Roman" w:eastAsia="Times New Roman" w:hAnsi="Times New Roman"/>
          <w:sz w:val="24"/>
          <w:szCs w:val="24"/>
        </w:rPr>
        <w:t>’</w:t>
      </w:r>
      <w:r w:rsidRPr="00AC0E66">
        <w:rPr>
          <w:rFonts w:ascii="Times New Roman" w:eastAsia="Times New Roman" w:hAnsi="Times New Roman"/>
          <w:sz w:val="24"/>
          <w:szCs w:val="24"/>
        </w:rPr>
        <w:t xml:space="preserve"> The evidence also shows that Union Pacific was not notified about the emergency vehicle until </w:t>
      </w:r>
      <w:r w:rsidRPr="00AC0E66">
        <w:rPr>
          <w:rFonts w:ascii="Times New Roman" w:eastAsia="Times New Roman" w:hAnsi="Times New Roman"/>
          <w:i/>
          <w:iCs/>
          <w:sz w:val="24"/>
          <w:szCs w:val="24"/>
        </w:rPr>
        <w:t>after</w:t>
      </w:r>
      <w:r w:rsidRPr="00AC0E66">
        <w:rPr>
          <w:rFonts w:ascii="Times New Roman" w:eastAsia="Times New Roman" w:hAnsi="Times New Roman"/>
          <w:sz w:val="24"/>
          <w:szCs w:val="24"/>
        </w:rPr>
        <w:t xml:space="preserve"> the ambulance had already </w:t>
      </w:r>
      <w:proofErr w:type="gramStart"/>
      <w:r w:rsidRPr="00AC0E66">
        <w:rPr>
          <w:rFonts w:ascii="Times New Roman" w:eastAsia="Times New Roman" w:hAnsi="Times New Roman"/>
          <w:sz w:val="24"/>
          <w:szCs w:val="24"/>
        </w:rPr>
        <w:t>rerouted</w:t>
      </w:r>
      <w:proofErr w:type="gramEnd"/>
      <w:r w:rsidRPr="00AC0E66">
        <w:rPr>
          <w:rFonts w:ascii="Times New Roman" w:eastAsia="Times New Roman" w:hAnsi="Times New Roman"/>
          <w:sz w:val="24"/>
          <w:szCs w:val="24"/>
        </w:rPr>
        <w:t xml:space="preserve">. Therefore, at the time the ambulance needed to cross the railroad tracks, Union Pacific was not aware of Leo's emergency. And even if it were, it </w:t>
      </w:r>
      <w:r>
        <w:rPr>
          <w:rFonts w:ascii="Times New Roman" w:eastAsia="Times New Roman" w:hAnsi="Times New Roman"/>
          <w:sz w:val="24"/>
          <w:szCs w:val="24"/>
        </w:rPr>
        <w:t>‘</w:t>
      </w:r>
      <w:r w:rsidRPr="00AC0E66">
        <w:rPr>
          <w:rFonts w:ascii="Times New Roman" w:eastAsia="Times New Roman" w:hAnsi="Times New Roman"/>
          <w:sz w:val="24"/>
          <w:szCs w:val="24"/>
        </w:rPr>
        <w:t>would have been impossible</w:t>
      </w:r>
      <w:r>
        <w:rPr>
          <w:rFonts w:ascii="Times New Roman" w:eastAsia="Times New Roman" w:hAnsi="Times New Roman"/>
          <w:sz w:val="24"/>
          <w:szCs w:val="24"/>
        </w:rPr>
        <w:t>’</w:t>
      </w:r>
      <w:r w:rsidRPr="00AC0E66">
        <w:rPr>
          <w:rFonts w:ascii="Times New Roman" w:eastAsia="Times New Roman" w:hAnsi="Times New Roman"/>
          <w:sz w:val="24"/>
          <w:szCs w:val="24"/>
        </w:rPr>
        <w:t xml:space="preserve"> for the train to break within the </w:t>
      </w:r>
      <w:r>
        <w:rPr>
          <w:rFonts w:ascii="Times New Roman" w:eastAsia="Times New Roman" w:hAnsi="Times New Roman"/>
          <w:sz w:val="24"/>
          <w:szCs w:val="24"/>
        </w:rPr>
        <w:t>‘</w:t>
      </w:r>
      <w:r w:rsidRPr="00AC0E66">
        <w:rPr>
          <w:rFonts w:ascii="Times New Roman" w:eastAsia="Times New Roman" w:hAnsi="Times New Roman"/>
          <w:sz w:val="24"/>
          <w:szCs w:val="24"/>
        </w:rPr>
        <w:t>seconds</w:t>
      </w:r>
      <w:r>
        <w:rPr>
          <w:rFonts w:ascii="Times New Roman" w:eastAsia="Times New Roman" w:hAnsi="Times New Roman"/>
          <w:sz w:val="24"/>
          <w:szCs w:val="24"/>
        </w:rPr>
        <w:t>’</w:t>
      </w:r>
      <w:r w:rsidRPr="00AC0E66">
        <w:rPr>
          <w:rFonts w:ascii="Times New Roman" w:eastAsia="Times New Roman" w:hAnsi="Times New Roman"/>
          <w:sz w:val="24"/>
          <w:szCs w:val="24"/>
        </w:rPr>
        <w:t xml:space="preserve"> the paramedics were at the crossing. In the absence of sufficient evidence to the contrary, we conclude that Brenda has failed to show a genuine issue of material fact as to </w:t>
      </w:r>
      <w:r w:rsidRPr="00C40187">
        <w:rPr>
          <w:rFonts w:ascii="Times New Roman" w:eastAsia="Times New Roman" w:hAnsi="Times New Roman"/>
          <w:sz w:val="24"/>
          <w:szCs w:val="24"/>
        </w:rPr>
        <w:t>causation.”</w:t>
      </w:r>
      <w:hyperlink r:id="rId550" w:history="1">
        <w:r w:rsidRPr="00C40187">
          <w:rPr>
            <w:rStyle w:val="Hyperlink"/>
            <w:rFonts w:ascii="Times New Roman" w:hAnsi="Times New Roman"/>
            <w:sz w:val="24"/>
            <w:szCs w:val="24"/>
          </w:rPr>
          <w:t>http://www.ca5.uscourts.gov/opinions/unpub/22/22-30100.0.pdf</w:t>
        </w:r>
      </w:hyperlink>
      <w:r w:rsidRPr="00C40187">
        <w:rPr>
          <w:rFonts w:ascii="Times New Roman" w:hAnsi="Times New Roman"/>
          <w:sz w:val="24"/>
          <w:szCs w:val="24"/>
        </w:rPr>
        <w:t xml:space="preserve"> </w:t>
      </w:r>
    </w:p>
    <w:p w14:paraId="0367F1DE" w14:textId="77777777" w:rsidR="00804F3A" w:rsidRPr="00AC0E66" w:rsidRDefault="00804F3A" w:rsidP="00804F3A">
      <w:pPr>
        <w:spacing w:before="100" w:beforeAutospacing="1" w:after="100" w:afterAutospacing="1" w:line="240" w:lineRule="auto"/>
        <w:rPr>
          <w:rFonts w:ascii="Times New Roman" w:eastAsia="Times New Roman" w:hAnsi="Times New Roman"/>
          <w:b/>
          <w:bCs/>
          <w:sz w:val="24"/>
          <w:szCs w:val="24"/>
        </w:rPr>
      </w:pPr>
      <w:r w:rsidRPr="00AC0E6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Establish protocol for EMS transports when railroad blocking route. </w:t>
      </w:r>
    </w:p>
    <w:p w14:paraId="45B67AC9" w14:textId="77777777" w:rsidR="00804F3A" w:rsidRDefault="00804F3A" w:rsidP="00804F3A">
      <w:pPr>
        <w:pStyle w:val="NormalWeb"/>
        <w:ind w:left="720"/>
      </w:pPr>
      <w:r>
        <w:t>Note:  See this article (Fall 2021):</w:t>
      </w:r>
    </w:p>
    <w:p w14:paraId="04914026" w14:textId="77777777" w:rsidR="00804F3A" w:rsidRPr="002A3E85" w:rsidRDefault="00804F3A" w:rsidP="00804F3A">
      <w:pPr>
        <w:pStyle w:val="NoSpacing"/>
        <w:ind w:firstLine="720"/>
        <w:rPr>
          <w:rFonts w:ascii="Times New Roman" w:hAnsi="Times New Roman"/>
          <w:sz w:val="28"/>
          <w:szCs w:val="28"/>
        </w:rPr>
      </w:pPr>
      <w:r w:rsidRPr="002A3E85">
        <w:rPr>
          <w:rFonts w:ascii="Times New Roman" w:hAnsi="Times New Roman"/>
          <w:sz w:val="28"/>
          <w:szCs w:val="28"/>
        </w:rPr>
        <w:t>Don’t Let Railroads Become Roadblocks</w:t>
      </w:r>
    </w:p>
    <w:p w14:paraId="53569E16" w14:textId="77777777" w:rsidR="00804F3A" w:rsidRPr="00AC0E66" w:rsidRDefault="00804F3A" w:rsidP="00804F3A">
      <w:pPr>
        <w:pStyle w:val="NoSpacing"/>
        <w:ind w:left="720"/>
        <w:rPr>
          <w:rFonts w:ascii="Times New Roman" w:hAnsi="Times New Roman"/>
          <w:i/>
          <w:iCs/>
          <w:sz w:val="24"/>
          <w:szCs w:val="24"/>
        </w:rPr>
      </w:pPr>
      <w:r w:rsidRPr="00AC0E66">
        <w:rPr>
          <w:rFonts w:ascii="Times New Roman" w:hAnsi="Times New Roman"/>
          <w:i/>
          <w:iCs/>
          <w:sz w:val="24"/>
          <w:szCs w:val="24"/>
        </w:rPr>
        <w:t>Take advantage of resources available to help EMS and other first responders avoid delays caused by railroads and respond safely to incidents on or near railroad crossings.</w:t>
      </w:r>
    </w:p>
    <w:p w14:paraId="3CFB993E" w14:textId="77777777" w:rsidR="00804F3A" w:rsidRDefault="00804F3A" w:rsidP="00804F3A">
      <w:pPr>
        <w:pStyle w:val="NoSpacing"/>
        <w:ind w:firstLine="720"/>
      </w:pPr>
      <w:hyperlink r:id="rId551" w:history="1">
        <w:r w:rsidRPr="00A7079D">
          <w:rPr>
            <w:rStyle w:val="Hyperlink"/>
            <w:rFonts w:ascii="Times New Roman" w:hAnsi="Times New Roman"/>
          </w:rPr>
          <w:t>https://www.ems.gov/newsletter/fall2021/dont_let_railroads_become_roadblocks.html</w:t>
        </w:r>
      </w:hyperlink>
      <w:r>
        <w:t xml:space="preserve"> </w:t>
      </w:r>
    </w:p>
    <w:p w14:paraId="1B32C4E7" w14:textId="77777777" w:rsidR="00804F3A" w:rsidRDefault="00804F3A" w:rsidP="00804F3A">
      <w:pPr>
        <w:pStyle w:val="NormalWeb"/>
        <w:ind w:left="720"/>
      </w:pPr>
      <w:r>
        <w:t xml:space="preserve">“Fortunately, resources exist to help first responders facing these circumstances. According to Michail </w:t>
      </w:r>
      <w:proofErr w:type="spellStart"/>
      <w:r>
        <w:t>Grizkewitsch</w:t>
      </w:r>
      <w:proofErr w:type="spellEnd"/>
      <w:r>
        <w:t xml:space="preserve"> with the Federal Railroad Administration’s Office of Railroad Safety, one of the first things responders can do is look for a blue </w:t>
      </w:r>
      <w:proofErr w:type="gramStart"/>
      <w:r>
        <w:t>Emergency Notification</w:t>
      </w:r>
      <w:proofErr w:type="gramEnd"/>
      <w:r>
        <w:t xml:space="preserve"> System sign with two sets of numbers on it. One is the phone number that will connect them directly to the railroad dispatcher overseeing that specific track. The other number is a unique Department of Transportation identifier for that crossing, so you can quickly let the dispatcher know where you are.”</w:t>
      </w:r>
    </w:p>
    <w:p w14:paraId="23B4DF9A" w14:textId="77777777" w:rsidR="00804F3A" w:rsidRDefault="00804F3A" w:rsidP="00EF1133">
      <w:pPr>
        <w:pStyle w:val="NoSpacing"/>
        <w:rPr>
          <w:rFonts w:ascii="Arial Black" w:hAnsi="Arial Black"/>
          <w:sz w:val="24"/>
          <w:szCs w:val="24"/>
        </w:rPr>
      </w:pPr>
    </w:p>
    <w:p w14:paraId="0585D65C" w14:textId="77777777" w:rsidR="00804F3A" w:rsidRDefault="00804F3A" w:rsidP="00EF1133">
      <w:pPr>
        <w:pStyle w:val="NoSpacing"/>
        <w:rPr>
          <w:rFonts w:ascii="Arial Black" w:hAnsi="Arial Black"/>
          <w:sz w:val="24"/>
          <w:szCs w:val="24"/>
        </w:rPr>
      </w:pPr>
    </w:p>
    <w:p w14:paraId="30EA7F7F" w14:textId="77777777" w:rsidR="00804F3A" w:rsidRDefault="00804F3A" w:rsidP="00EF1133">
      <w:pPr>
        <w:pStyle w:val="NoSpacing"/>
        <w:rPr>
          <w:rFonts w:ascii="Arial Black" w:hAnsi="Arial Black"/>
          <w:sz w:val="24"/>
          <w:szCs w:val="24"/>
        </w:rPr>
      </w:pPr>
    </w:p>
    <w:p w14:paraId="5F18F400" w14:textId="7A7D386C" w:rsidR="00E8117B" w:rsidRDefault="00E8117B" w:rsidP="00EF1133">
      <w:pPr>
        <w:pStyle w:val="NoSpacing"/>
        <w:rPr>
          <w:rFonts w:ascii="Arial Black" w:hAnsi="Arial Black"/>
          <w:sz w:val="24"/>
          <w:szCs w:val="24"/>
        </w:rPr>
      </w:pPr>
      <w:r>
        <w:rPr>
          <w:rFonts w:ascii="Arial Black" w:hAnsi="Arial Black"/>
          <w:sz w:val="24"/>
          <w:szCs w:val="24"/>
        </w:rPr>
        <w:t>2-45</w:t>
      </w:r>
    </w:p>
    <w:p w14:paraId="368A07F0" w14:textId="685F4EB0" w:rsidR="00E8117B" w:rsidRDefault="00E8117B" w:rsidP="00EF1133">
      <w:pPr>
        <w:pStyle w:val="NoSpacing"/>
        <w:rPr>
          <w:rFonts w:ascii="Arial Black" w:hAnsi="Arial Black"/>
          <w:sz w:val="24"/>
          <w:szCs w:val="24"/>
        </w:rPr>
      </w:pPr>
    </w:p>
    <w:p w14:paraId="4EE858D5" w14:textId="77777777" w:rsidR="00E8117B" w:rsidRDefault="00E8117B" w:rsidP="00E8117B">
      <w:pPr>
        <w:pStyle w:val="NormalWeb"/>
        <w:rPr>
          <w:rFonts w:ascii="Arial Black" w:hAnsi="Arial Black"/>
          <w:sz w:val="28"/>
          <w:szCs w:val="28"/>
        </w:rPr>
      </w:pPr>
      <w:r>
        <w:rPr>
          <w:rFonts w:ascii="Arial Black" w:hAnsi="Arial Black"/>
          <w:sz w:val="28"/>
          <w:szCs w:val="28"/>
        </w:rPr>
        <w:t xml:space="preserve">OH: LODD – ARSON DEFENDANT’S APPEAL DENIED – PROVIDED SIX WITNESS STATEMENTS BEFORE TRIAL </w:t>
      </w:r>
    </w:p>
    <w:p w14:paraId="42A4BBA5" w14:textId="77777777" w:rsidR="00E8117B" w:rsidRDefault="00E8117B" w:rsidP="00E8117B">
      <w:pPr>
        <w:pStyle w:val="NormalWeb"/>
      </w:pPr>
      <w:r>
        <w:t xml:space="preserve">On Sept. 19, 2022, in </w:t>
      </w:r>
      <w:r>
        <w:rPr>
          <w:u w:val="single"/>
        </w:rPr>
        <w:t>State of Ohio v. William R. Tucker</w:t>
      </w:r>
      <w:r>
        <w:t xml:space="preserve">, the Court of Appeals of Ohio, Twelfth District (Butler County) held (3 to 0) that trial court did not err in denying Tucker's untimely postconviction relief petition.  </w:t>
      </w:r>
    </w:p>
    <w:p w14:paraId="44BF81BB" w14:textId="77777777" w:rsidR="00E8117B" w:rsidRDefault="00E8117B" w:rsidP="00E8117B">
      <w:pPr>
        <w:pStyle w:val="NormalWeb"/>
        <w:ind w:left="720"/>
      </w:pPr>
      <w:r>
        <w:t xml:space="preserve">“After reviewing the record, we find Tucker's assertions are without merit. Tucker does not demonstrate that he was unavoidably prevented from discovering the facts necessary for his claim of relief. Instead, the record shows that the six witness statements were initially provided to Tucker and his attorney during discovery. On January 21, 2017, nearly ten months before trial, the State answered Tucker's request for discovery. Included in the response were items numbered 138, 140, 141, 147, 156, and 157, representing the witness statements of Sebastian, Hartford, Hatfield, Haynes, McAdams, and McDonald, respectively.” </w:t>
      </w:r>
      <w:hyperlink r:id="rId552" w:history="1">
        <w:r>
          <w:rPr>
            <w:rStyle w:val="Hyperlink"/>
          </w:rPr>
          <w:t>https://law.justia.com/cases/ohio/twelfth-district-court-of-appeals/2022/ca2022-02-020.html</w:t>
        </w:r>
      </w:hyperlink>
      <w:r>
        <w:t xml:space="preserve"> </w:t>
      </w:r>
    </w:p>
    <w:p w14:paraId="374A83A4" w14:textId="77777777" w:rsidR="00E8117B" w:rsidRDefault="00E8117B" w:rsidP="00E8117B">
      <w:pPr>
        <w:pStyle w:val="NormalWeb"/>
        <w:rPr>
          <w:b/>
          <w:bCs/>
        </w:rPr>
      </w:pPr>
      <w:r>
        <w:rPr>
          <w:b/>
          <w:bCs/>
        </w:rPr>
        <w:t xml:space="preserve">Legal Lesson Learned: Defendant must remain in prison - </w:t>
      </w:r>
      <w:r>
        <w:rPr>
          <w:rFonts w:eastAsiaTheme="minorHAnsi"/>
          <w:b/>
          <w:bCs/>
        </w:rPr>
        <w:t xml:space="preserve">15 years to life.   </w:t>
      </w:r>
    </w:p>
    <w:p w14:paraId="2B5AA13D" w14:textId="77777777" w:rsidR="00E8117B" w:rsidRDefault="00E8117B" w:rsidP="00EF1133">
      <w:pPr>
        <w:pStyle w:val="NoSpacing"/>
        <w:rPr>
          <w:rFonts w:ascii="Arial Black" w:hAnsi="Arial Black"/>
          <w:sz w:val="24"/>
          <w:szCs w:val="24"/>
        </w:rPr>
      </w:pPr>
    </w:p>
    <w:p w14:paraId="79454FBA" w14:textId="77777777" w:rsidR="00E8117B" w:rsidRDefault="00E8117B" w:rsidP="00EF1133">
      <w:pPr>
        <w:pStyle w:val="NoSpacing"/>
        <w:rPr>
          <w:rFonts w:ascii="Arial Black" w:hAnsi="Arial Black"/>
          <w:sz w:val="24"/>
          <w:szCs w:val="24"/>
        </w:rPr>
      </w:pPr>
    </w:p>
    <w:p w14:paraId="5C183C0E" w14:textId="77777777" w:rsidR="00E8117B" w:rsidRDefault="00E8117B" w:rsidP="00EF1133">
      <w:pPr>
        <w:pStyle w:val="NoSpacing"/>
        <w:rPr>
          <w:rFonts w:ascii="Arial Black" w:hAnsi="Arial Black"/>
          <w:sz w:val="24"/>
          <w:szCs w:val="24"/>
        </w:rPr>
      </w:pPr>
    </w:p>
    <w:p w14:paraId="04A3A2F3" w14:textId="73108702" w:rsidR="009A0402" w:rsidRDefault="009A0402" w:rsidP="00EF1133">
      <w:pPr>
        <w:pStyle w:val="NoSpacing"/>
        <w:rPr>
          <w:rFonts w:ascii="Arial Black" w:hAnsi="Arial Black"/>
          <w:sz w:val="24"/>
          <w:szCs w:val="24"/>
        </w:rPr>
      </w:pPr>
      <w:r>
        <w:rPr>
          <w:rFonts w:ascii="Arial Black" w:hAnsi="Arial Black"/>
          <w:sz w:val="24"/>
          <w:szCs w:val="24"/>
        </w:rPr>
        <w:t>2-44</w:t>
      </w:r>
    </w:p>
    <w:p w14:paraId="1D196A05" w14:textId="77777777" w:rsidR="009A0402" w:rsidRDefault="009A0402" w:rsidP="009A0402">
      <w:pPr>
        <w:spacing w:before="100" w:beforeAutospacing="1" w:after="100" w:afterAutospacing="1" w:line="240" w:lineRule="auto"/>
        <w:rPr>
          <w:rFonts w:ascii="Arial Black" w:hAnsi="Arial Black"/>
          <w:sz w:val="28"/>
          <w:szCs w:val="28"/>
        </w:rPr>
      </w:pPr>
      <w:r>
        <w:rPr>
          <w:rFonts w:ascii="Arial Black" w:hAnsi="Arial Black"/>
          <w:sz w:val="28"/>
          <w:szCs w:val="28"/>
        </w:rPr>
        <w:t>U.S. SUP. COURT:  FIREARMS – STATE OF NEW YORK “PROPER-CAUSE” REQUIREMENT UNCONSTITUTIONAL</w:t>
      </w:r>
    </w:p>
    <w:p w14:paraId="73050240" w14:textId="77777777" w:rsidR="009A0402" w:rsidRDefault="009A0402" w:rsidP="009A040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23, 2022, in </w:t>
      </w:r>
      <w:r>
        <w:rPr>
          <w:rFonts w:ascii="Times New Roman" w:hAnsi="Times New Roman"/>
          <w:sz w:val="24"/>
          <w:szCs w:val="24"/>
          <w:u w:val="single"/>
        </w:rPr>
        <w:t>New York State Rifle &amp; Pistol Association, et al. v. Bruen, Superintendent of New York State Police</w:t>
      </w:r>
      <w:r>
        <w:rPr>
          <w:rFonts w:ascii="Times New Roman" w:hAnsi="Times New Roman"/>
          <w:sz w:val="24"/>
          <w:szCs w:val="24"/>
        </w:rPr>
        <w:t>, the U.S. Supreme Court held (6 to 3) that the State’s requirement that residents must show a “</w:t>
      </w:r>
      <w:proofErr w:type="gramStart"/>
      <w:r>
        <w:rPr>
          <w:rFonts w:ascii="Times New Roman" w:hAnsi="Times New Roman"/>
          <w:sz w:val="24"/>
          <w:szCs w:val="24"/>
        </w:rPr>
        <w:t>proper-cause</w:t>
      </w:r>
      <w:proofErr w:type="gramEnd"/>
      <w:r>
        <w:rPr>
          <w:rFonts w:ascii="Times New Roman" w:hAnsi="Times New Roman"/>
          <w:sz w:val="24"/>
          <w:szCs w:val="24"/>
        </w:rPr>
        <w:t xml:space="preserve">” to be able to carry a firearm violates their Second Amendment right to bear arms in public for self-defense. Brandon Koch, </w:t>
      </w:r>
      <w:r>
        <w:rPr>
          <w:rStyle w:val="markedcontent"/>
          <w:rFonts w:ascii="Times New Roman" w:hAnsi="Times New Roman"/>
          <w:sz w:val="24"/>
          <w:szCs w:val="24"/>
        </w:rPr>
        <w:t>Rensselaer County</w:t>
      </w:r>
      <w:r>
        <w:rPr>
          <w:rFonts w:ascii="Times New Roman" w:hAnsi="Times New Roman"/>
          <w:sz w:val="24"/>
          <w:szCs w:val="24"/>
        </w:rPr>
        <w:t xml:space="preserve"> and Robert Nash, </w:t>
      </w:r>
      <w:r>
        <w:rPr>
          <w:rStyle w:val="markedcontent"/>
          <w:rFonts w:ascii="Times New Roman" w:hAnsi="Times New Roman"/>
          <w:sz w:val="24"/>
          <w:szCs w:val="24"/>
        </w:rPr>
        <w:t>Averill Park,</w:t>
      </w:r>
      <w:r>
        <w:rPr>
          <w:rFonts w:ascii="Times New Roman" w:hAnsi="Times New Roman"/>
          <w:sz w:val="24"/>
          <w:szCs w:val="24"/>
        </w:rPr>
        <w:t xml:space="preserve"> are both members of the New York Rifle &amp; Pistol Association and were denied licenses to carry a firearm in public since they didn’t show any “special danger” and could only receive restricted licenses for only hunting and target practice. </w:t>
      </w:r>
      <w:hyperlink r:id="rId553" w:history="1">
        <w:r>
          <w:rPr>
            <w:rStyle w:val="Hyperlink"/>
            <w:sz w:val="24"/>
            <w:szCs w:val="24"/>
          </w:rPr>
          <w:t>https://www.supremecourt.gov/opinions/21pdf/20-843_7j80.pdf</w:t>
        </w:r>
      </w:hyperlink>
      <w:r>
        <w:rPr>
          <w:rFonts w:ascii="Times New Roman" w:hAnsi="Times New Roman"/>
          <w:sz w:val="24"/>
          <w:szCs w:val="24"/>
        </w:rPr>
        <w:t xml:space="preserve"> </w:t>
      </w:r>
    </w:p>
    <w:p w14:paraId="24BF93C5" w14:textId="77777777" w:rsidR="009A0402" w:rsidRDefault="009A0402" w:rsidP="009A0402">
      <w:pPr>
        <w:spacing w:before="100" w:beforeAutospacing="1" w:after="100" w:afterAutospacing="1" w:line="240" w:lineRule="auto"/>
        <w:rPr>
          <w:rFonts w:eastAsia="Times New Roman"/>
          <w:b/>
          <w:bCs/>
        </w:rPr>
      </w:pPr>
      <w:r>
        <w:rPr>
          <w:rFonts w:ascii="Times New Roman" w:eastAsia="Times New Roman" w:hAnsi="Times New Roman"/>
          <w:b/>
          <w:bCs/>
          <w:sz w:val="24"/>
          <w:szCs w:val="24"/>
        </w:rPr>
        <w:t xml:space="preserve">Legal Lesson Learned:  Fire &amp; EMS Department can post signs and issue policies prohibiting any firearms in their buildings, or apparatus, including by emergency responders. </w:t>
      </w:r>
    </w:p>
    <w:p w14:paraId="6494AA3B" w14:textId="77777777" w:rsidR="009A0402" w:rsidRDefault="009A0402" w:rsidP="009A0402">
      <w:pPr>
        <w:pStyle w:val="Heading1"/>
        <w:ind w:left="720"/>
        <w:rPr>
          <w:b w:val="0"/>
          <w:bCs w:val="0"/>
          <w:sz w:val="24"/>
          <w:szCs w:val="24"/>
        </w:rPr>
      </w:pPr>
      <w:r>
        <w:rPr>
          <w:b w:val="0"/>
          <w:bCs w:val="0"/>
          <w:sz w:val="24"/>
          <w:szCs w:val="24"/>
        </w:rPr>
        <w:t xml:space="preserve">Note this article: “What the Supreme Court’s Gun Ruling Means for New York” (June 24, 2022); </w:t>
      </w:r>
      <w:hyperlink r:id="rId554" w:history="1">
        <w:r>
          <w:rPr>
            <w:rStyle w:val="Hyperlink"/>
            <w:sz w:val="24"/>
            <w:szCs w:val="24"/>
          </w:rPr>
          <w:t>https://www.newyorker.com/news/our-local-correspondents/what-the-supreme-courts-gun-ruling-means-for-new-york</w:t>
        </w:r>
      </w:hyperlink>
      <w:r>
        <w:rPr>
          <w:b w:val="0"/>
          <w:bCs w:val="0"/>
          <w:sz w:val="24"/>
          <w:szCs w:val="24"/>
        </w:rPr>
        <w:t xml:space="preserve"> .  Within minutes of the ruling’s release, Governor Kathy Hochul, who called the ruling “shocking” and “frightful in its scope,” announced that she would call a special session of the state legislature, likely in the next few weeks, to respond. Just a few days ago, Hochul signed a package of new gun-control laws—including raising the minimum age for buying an AR-15-type rifle from eighteen to twenty-one—in response to the </w:t>
      </w:r>
      <w:hyperlink r:id="rId555" w:history="1">
        <w:r>
          <w:rPr>
            <w:rStyle w:val="Hyperlink"/>
            <w:sz w:val="24"/>
            <w:szCs w:val="24"/>
          </w:rPr>
          <w:t>racist mass shooting in Buffalo</w:t>
        </w:r>
      </w:hyperlink>
      <w:r>
        <w:rPr>
          <w:b w:val="0"/>
          <w:bCs w:val="0"/>
          <w:sz w:val="24"/>
          <w:szCs w:val="24"/>
        </w:rPr>
        <w:t xml:space="preserve">. New York has been one of the few states able to pass robust gun-control measures in response to mass shootings in recent years, and now its lawmakers will be tasked with coming up with a replacement for the Sullivan Act. This will likely include declaring public spaces such as schools and hospitals “sensitive spaces” where guns are barred, even for those with permits. Much of the focus in the debate will surely be on New York City, which saw a spike in shootings last year, and where arguments about crime and violence have lately been dominating the city’s interior monologue. When asked, on Thursday, whether New York City’s subways would qualify as ‘sensitive spaces,’ Hochul replied, ‘In my opinion, they </w:t>
      </w:r>
      <w:proofErr w:type="gramStart"/>
      <w:r>
        <w:rPr>
          <w:b w:val="0"/>
          <w:bCs w:val="0"/>
          <w:sz w:val="24"/>
          <w:szCs w:val="24"/>
        </w:rPr>
        <w:t>are.’”</w:t>
      </w:r>
      <w:proofErr w:type="gramEnd"/>
    </w:p>
    <w:p w14:paraId="593D3B51" w14:textId="77777777" w:rsidR="009A0402" w:rsidRDefault="009A0402" w:rsidP="00EF1133">
      <w:pPr>
        <w:pStyle w:val="NoSpacing"/>
        <w:rPr>
          <w:rFonts w:ascii="Arial Black" w:hAnsi="Arial Black"/>
          <w:sz w:val="24"/>
          <w:szCs w:val="24"/>
        </w:rPr>
      </w:pPr>
    </w:p>
    <w:p w14:paraId="150D93B0" w14:textId="77777777" w:rsidR="009A0402" w:rsidRDefault="009A0402" w:rsidP="00EF1133">
      <w:pPr>
        <w:pStyle w:val="NoSpacing"/>
        <w:rPr>
          <w:rFonts w:ascii="Arial Black" w:hAnsi="Arial Black"/>
          <w:sz w:val="24"/>
          <w:szCs w:val="24"/>
        </w:rPr>
      </w:pPr>
    </w:p>
    <w:p w14:paraId="16C65A2A" w14:textId="14AEE82C" w:rsidR="00E97D63" w:rsidRDefault="003F4E70" w:rsidP="00EF1133">
      <w:pPr>
        <w:pStyle w:val="NoSpacing"/>
        <w:rPr>
          <w:rFonts w:ascii="Arial Black" w:hAnsi="Arial Black"/>
          <w:sz w:val="24"/>
          <w:szCs w:val="24"/>
        </w:rPr>
      </w:pPr>
      <w:r>
        <w:rPr>
          <w:rFonts w:ascii="Arial Black" w:hAnsi="Arial Black"/>
          <w:sz w:val="24"/>
          <w:szCs w:val="24"/>
        </w:rPr>
        <w:t>2-43</w:t>
      </w:r>
    </w:p>
    <w:p w14:paraId="051F219D" w14:textId="77777777" w:rsidR="003F4E70" w:rsidRPr="00CD3B6F" w:rsidRDefault="003F4E70" w:rsidP="003F4E70">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IN: FF DIED CANCER – 4 DAYS PRIOR HE MARRIED FEMALE FF – $1.6M PENSION - SON LOSES ATTEMPT TO ANNUL </w:t>
      </w:r>
    </w:p>
    <w:p w14:paraId="77544263" w14:textId="16594154" w:rsidR="003F4E70" w:rsidRDefault="003F4E70" w:rsidP="003F4E70">
      <w:pPr>
        <w:pStyle w:val="NoSpacing"/>
        <w:rPr>
          <w:rFonts w:ascii="Arial Black" w:hAnsi="Arial Black"/>
          <w:sz w:val="24"/>
          <w:szCs w:val="24"/>
        </w:rPr>
      </w:pPr>
      <w:r>
        <w:rPr>
          <w:rFonts w:ascii="Times New Roman" w:hAnsi="Times New Roman"/>
          <w:sz w:val="24"/>
          <w:szCs w:val="24"/>
        </w:rPr>
        <w:t xml:space="preserve">On April 18, 2002, in </w:t>
      </w:r>
      <w:r w:rsidRPr="000C6632">
        <w:rPr>
          <w:rFonts w:ascii="Times New Roman" w:hAnsi="Times New Roman"/>
          <w:sz w:val="24"/>
          <w:szCs w:val="24"/>
          <w:u w:val="single"/>
        </w:rPr>
        <w:t>The Estate of Michael David Estridge, Sr. v. Lana Ann Taylor</w:t>
      </w:r>
      <w:r>
        <w:rPr>
          <w:rFonts w:ascii="Times New Roman" w:hAnsi="Times New Roman"/>
          <w:sz w:val="24"/>
          <w:szCs w:val="24"/>
        </w:rPr>
        <w:t>, the Court of Appeals of Indiana held (3 to 0) that the trial court judge, after a two-</w:t>
      </w:r>
      <w:proofErr w:type="gramStart"/>
      <w:r>
        <w:rPr>
          <w:rFonts w:ascii="Times New Roman" w:hAnsi="Times New Roman"/>
          <w:sz w:val="24"/>
          <w:szCs w:val="24"/>
        </w:rPr>
        <w:t>day bench</w:t>
      </w:r>
      <w:proofErr w:type="gramEnd"/>
      <w:r>
        <w:rPr>
          <w:rFonts w:ascii="Times New Roman" w:hAnsi="Times New Roman"/>
          <w:sz w:val="24"/>
          <w:szCs w:val="24"/>
        </w:rPr>
        <w:t xml:space="preserve"> trial, properly denied the petition to annul the marriage. </w:t>
      </w:r>
      <w:r w:rsidRPr="00642716">
        <w:rPr>
          <w:rFonts w:ascii="Times New Roman" w:eastAsia="Times New Roman" w:hAnsi="Times New Roman"/>
          <w:sz w:val="24"/>
          <w:szCs w:val="24"/>
        </w:rPr>
        <w:t xml:space="preserve">Estridge and Taylor, both firefighters and EMT/paramedics, first met in 2011 while employed at the same fire station. Estridge was diagnosed with cancer in 2015, and Taylor was informed of this diagnosis together with other co-workers and mutual friends. In the fall of 2016, Estridge and Taylor started dating and near the end of that year, Estridge first broached the subject of marriage. In the beginning of 2017, the relationship became sexual and toward the end of the year, Estridge proposed to </w:t>
      </w:r>
      <w:proofErr w:type="gramStart"/>
      <w:r w:rsidRPr="00642716">
        <w:rPr>
          <w:rFonts w:ascii="Times New Roman" w:eastAsia="Times New Roman" w:hAnsi="Times New Roman"/>
          <w:sz w:val="24"/>
          <w:szCs w:val="24"/>
        </w:rPr>
        <w:t>Taylor</w:t>
      </w:r>
      <w:proofErr w:type="gramEnd"/>
      <w:r w:rsidRPr="00642716">
        <w:rPr>
          <w:rFonts w:ascii="Times New Roman" w:eastAsia="Times New Roman" w:hAnsi="Times New Roman"/>
          <w:sz w:val="24"/>
          <w:szCs w:val="24"/>
        </w:rPr>
        <w:t xml:space="preserve"> but she was hesitant to commit. After another marriage proposal in early 2018, Taylor agreed and accepted Estridge's ring.</w:t>
      </w:r>
      <w:r>
        <w:rPr>
          <w:rFonts w:ascii="Times New Roman" w:eastAsia="Times New Roman" w:hAnsi="Times New Roman"/>
          <w:sz w:val="24"/>
          <w:szCs w:val="24"/>
        </w:rPr>
        <w:t xml:space="preserve"> </w:t>
      </w:r>
      <w:r>
        <w:rPr>
          <w:rFonts w:ascii="Times New Roman" w:hAnsi="Times New Roman"/>
          <w:sz w:val="24"/>
          <w:szCs w:val="24"/>
        </w:rPr>
        <w:t xml:space="preserve">They were married on May 2, </w:t>
      </w:r>
      <w:proofErr w:type="gramStart"/>
      <w:r>
        <w:rPr>
          <w:rFonts w:ascii="Times New Roman" w:hAnsi="Times New Roman"/>
          <w:sz w:val="24"/>
          <w:szCs w:val="24"/>
        </w:rPr>
        <w:t>2019</w:t>
      </w:r>
      <w:proofErr w:type="gramEnd"/>
      <w:r>
        <w:rPr>
          <w:rFonts w:ascii="Times New Roman" w:hAnsi="Times New Roman"/>
          <w:sz w:val="24"/>
          <w:szCs w:val="24"/>
        </w:rPr>
        <w:t xml:space="preserve"> in a courthouse, videotaped with fellow firefighters attending, without informing the firefighter’s children because they might object (36-year-age difference), and he died four days </w:t>
      </w:r>
      <w:proofErr w:type="gramStart"/>
      <w:r>
        <w:rPr>
          <w:rFonts w:ascii="Times New Roman" w:hAnsi="Times New Roman"/>
          <w:sz w:val="24"/>
          <w:szCs w:val="24"/>
        </w:rPr>
        <w:t>later on</w:t>
      </w:r>
      <w:proofErr w:type="gramEnd"/>
      <w:r>
        <w:rPr>
          <w:rFonts w:ascii="Times New Roman" w:hAnsi="Times New Roman"/>
          <w:sz w:val="24"/>
          <w:szCs w:val="24"/>
        </w:rPr>
        <w:t xml:space="preserve"> May 6, 2019.  The trial judge noted that </w:t>
      </w:r>
      <w:r w:rsidRPr="004518B5">
        <w:rPr>
          <w:rFonts w:ascii="Times New Roman" w:eastAsia="Times New Roman" w:hAnsi="Times New Roman"/>
          <w:sz w:val="24"/>
          <w:szCs w:val="24"/>
        </w:rPr>
        <w:t xml:space="preserve">Estridge had always intended Taylor to have his firefighter's pension, because, if he died unmarried, it would go </w:t>
      </w:r>
      <w:r>
        <w:rPr>
          <w:rFonts w:ascii="Times New Roman" w:eastAsia="Times New Roman" w:hAnsi="Times New Roman"/>
          <w:sz w:val="24"/>
          <w:szCs w:val="24"/>
        </w:rPr>
        <w:t>‘</w:t>
      </w:r>
      <w:r w:rsidRPr="004518B5">
        <w:rPr>
          <w:rFonts w:ascii="Times New Roman" w:eastAsia="Times New Roman" w:hAnsi="Times New Roman"/>
          <w:sz w:val="24"/>
          <w:szCs w:val="24"/>
        </w:rPr>
        <w:t>back into the till</w:t>
      </w:r>
      <w:r>
        <w:rPr>
          <w:rFonts w:ascii="Times New Roman" w:eastAsia="Times New Roman" w:hAnsi="Times New Roman"/>
          <w:sz w:val="24"/>
          <w:szCs w:val="24"/>
        </w:rPr>
        <w:t>’</w:t>
      </w:r>
      <w:r w:rsidRPr="004518B5">
        <w:rPr>
          <w:rFonts w:ascii="Times New Roman" w:eastAsia="Times New Roman" w:hAnsi="Times New Roman"/>
          <w:sz w:val="24"/>
          <w:szCs w:val="24"/>
        </w:rPr>
        <w:t xml:space="preserve"> and he </w:t>
      </w:r>
      <w:r>
        <w:rPr>
          <w:rFonts w:ascii="Times New Roman" w:eastAsia="Times New Roman" w:hAnsi="Times New Roman"/>
          <w:sz w:val="24"/>
          <w:szCs w:val="24"/>
        </w:rPr>
        <w:t>‘</w:t>
      </w:r>
      <w:r w:rsidRPr="004518B5">
        <w:rPr>
          <w:rFonts w:ascii="Times New Roman" w:eastAsia="Times New Roman" w:hAnsi="Times New Roman"/>
          <w:sz w:val="24"/>
          <w:szCs w:val="24"/>
        </w:rPr>
        <w:t>didn't want to work that long for nothing[, ]</w:t>
      </w:r>
      <w:r>
        <w:rPr>
          <w:rFonts w:ascii="Times New Roman" w:eastAsia="Times New Roman" w:hAnsi="Times New Roman"/>
          <w:sz w:val="24"/>
          <w:szCs w:val="24"/>
        </w:rPr>
        <w:t>’</w:t>
      </w:r>
      <w:r w:rsidRPr="004518B5">
        <w:rPr>
          <w:rFonts w:ascii="Times New Roman" w:eastAsia="Times New Roman" w:hAnsi="Times New Roman"/>
          <w:sz w:val="24"/>
          <w:szCs w:val="24"/>
        </w:rPr>
        <w:t xml:space="preserve"> so Estridge also signed a pension benefits beneficiary designation, listing Taylor as his spousal beneficiary. (Transcript Vol. II, p. 234). </w:t>
      </w:r>
      <w:r>
        <w:rPr>
          <w:rFonts w:ascii="Times New Roman" w:eastAsia="Times New Roman" w:hAnsi="Times New Roman"/>
          <w:sz w:val="24"/>
          <w:szCs w:val="24"/>
        </w:rPr>
        <w:t xml:space="preserve"> </w:t>
      </w:r>
      <w:r>
        <w:rPr>
          <w:rFonts w:ascii="Times New Roman" w:hAnsi="Times New Roman"/>
          <w:sz w:val="24"/>
          <w:szCs w:val="24"/>
        </w:rPr>
        <w:t xml:space="preserve">She will now receive $2,711.34 per month, or approximately $1,6 million over her lifetime.  </w:t>
      </w:r>
      <w:r w:rsidRPr="00642716">
        <w:rPr>
          <w:rFonts w:ascii="Times New Roman" w:hAnsi="Times New Roman"/>
          <w:sz w:val="24"/>
          <w:szCs w:val="24"/>
        </w:rPr>
        <w:t xml:space="preserve">In the absence of </w:t>
      </w:r>
      <w:proofErr w:type="gramStart"/>
      <w:r w:rsidRPr="00642716">
        <w:rPr>
          <w:rFonts w:ascii="Times New Roman" w:hAnsi="Times New Roman"/>
          <w:sz w:val="24"/>
          <w:szCs w:val="24"/>
        </w:rPr>
        <w:t>the marriage</w:t>
      </w:r>
      <w:proofErr w:type="gramEnd"/>
      <w:r w:rsidRPr="00642716">
        <w:rPr>
          <w:rFonts w:ascii="Times New Roman" w:hAnsi="Times New Roman"/>
          <w:sz w:val="24"/>
          <w:szCs w:val="24"/>
        </w:rPr>
        <w:t xml:space="preserve">, Estridge's estate would have received </w:t>
      </w:r>
      <w:r>
        <w:rPr>
          <w:rFonts w:ascii="Times New Roman" w:hAnsi="Times New Roman"/>
          <w:sz w:val="24"/>
          <w:szCs w:val="24"/>
        </w:rPr>
        <w:t xml:space="preserve">only </w:t>
      </w:r>
      <w:r w:rsidRPr="00642716">
        <w:rPr>
          <w:rFonts w:ascii="Times New Roman" w:hAnsi="Times New Roman"/>
          <w:sz w:val="24"/>
          <w:szCs w:val="24"/>
        </w:rPr>
        <w:t>the value of his contributions to the pension plan, which would have amounted to approximately $170, 000.</w:t>
      </w:r>
      <w:r>
        <w:rPr>
          <w:rFonts w:ascii="Times New Roman" w:hAnsi="Times New Roman"/>
          <w:sz w:val="24"/>
          <w:szCs w:val="24"/>
        </w:rPr>
        <w:t xml:space="preserve"> </w:t>
      </w:r>
      <w:hyperlink r:id="rId556" w:history="1">
        <w:r w:rsidRPr="00E9684A">
          <w:rPr>
            <w:rStyle w:val="Hyperlink"/>
            <w:rFonts w:ascii="Times New Roman" w:hAnsi="Times New Roman"/>
            <w:sz w:val="24"/>
            <w:szCs w:val="24"/>
          </w:rPr>
          <w:t>https://law.justia.com/cases/indiana/court-of-appeals/2022/21a-dn-01379.html</w:t>
        </w:r>
      </w:hyperlink>
    </w:p>
    <w:p w14:paraId="72A61B46" w14:textId="0C4836C1" w:rsidR="003F4E70" w:rsidRDefault="003F4E70" w:rsidP="00EF1133">
      <w:pPr>
        <w:pStyle w:val="NoSpacing"/>
        <w:rPr>
          <w:rFonts w:ascii="Arial Black" w:hAnsi="Arial Black"/>
          <w:sz w:val="24"/>
          <w:szCs w:val="24"/>
        </w:rPr>
      </w:pPr>
    </w:p>
    <w:p w14:paraId="572E2EDF" w14:textId="77777777" w:rsidR="003F4E70" w:rsidRDefault="003F4E70" w:rsidP="003F4E70">
      <w:pPr>
        <w:spacing w:after="100" w:line="240" w:lineRule="auto"/>
        <w:rPr>
          <w:rFonts w:ascii="Times New Roman" w:hAnsi="Times New Roman"/>
          <w:b/>
          <w:bCs/>
          <w:sz w:val="24"/>
          <w:szCs w:val="24"/>
        </w:rPr>
      </w:pPr>
      <w:r w:rsidRPr="00642716">
        <w:rPr>
          <w:rFonts w:ascii="Times New Roman" w:hAnsi="Times New Roman"/>
          <w:b/>
          <w:bCs/>
          <w:sz w:val="24"/>
          <w:szCs w:val="24"/>
        </w:rPr>
        <w:t>Legal Lesson Learned:</w:t>
      </w:r>
      <w:r>
        <w:rPr>
          <w:rFonts w:ascii="Times New Roman" w:hAnsi="Times New Roman"/>
          <w:b/>
          <w:bCs/>
          <w:sz w:val="24"/>
          <w:szCs w:val="24"/>
        </w:rPr>
        <w:t xml:space="preserve"> They wisely videotaped the wedding. </w:t>
      </w:r>
    </w:p>
    <w:p w14:paraId="0A7F5EC1" w14:textId="5362BF12" w:rsidR="003F4E70" w:rsidRDefault="003F4E70" w:rsidP="00EF1133">
      <w:pPr>
        <w:pStyle w:val="NoSpacing"/>
        <w:rPr>
          <w:rFonts w:ascii="Arial Black" w:hAnsi="Arial Black"/>
          <w:sz w:val="24"/>
          <w:szCs w:val="24"/>
        </w:rPr>
      </w:pPr>
    </w:p>
    <w:p w14:paraId="0E48EEC8" w14:textId="71FECDE8" w:rsidR="003F4E70" w:rsidRDefault="003F4E70" w:rsidP="00EF1133">
      <w:pPr>
        <w:pStyle w:val="NoSpacing"/>
        <w:rPr>
          <w:rFonts w:ascii="Arial Black" w:hAnsi="Arial Black"/>
          <w:sz w:val="24"/>
          <w:szCs w:val="24"/>
        </w:rPr>
      </w:pPr>
    </w:p>
    <w:p w14:paraId="3A1777CC" w14:textId="42708B8B" w:rsidR="00E97D63" w:rsidRDefault="00E97D63" w:rsidP="00EF1133">
      <w:pPr>
        <w:pStyle w:val="NoSpacing"/>
        <w:rPr>
          <w:rFonts w:ascii="Arial Black" w:hAnsi="Arial Black"/>
          <w:sz w:val="24"/>
          <w:szCs w:val="24"/>
        </w:rPr>
      </w:pPr>
      <w:r>
        <w:rPr>
          <w:rFonts w:ascii="Arial Black" w:hAnsi="Arial Black"/>
          <w:sz w:val="24"/>
          <w:szCs w:val="24"/>
        </w:rPr>
        <w:t>2-42</w:t>
      </w:r>
    </w:p>
    <w:p w14:paraId="529F3E56" w14:textId="77777777" w:rsidR="00E97D63" w:rsidRPr="00FF6BD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NM: BORDER PATROL RECRUIT DIED – TIMED RUN  / WARM /  ALTITUDE – SICLE CELL - DEATH BENEFITS NEW REVIEW</w:t>
      </w:r>
    </w:p>
    <w:p w14:paraId="42275D75" w14:textId="77777777" w:rsidR="00E97D63" w:rsidRPr="00EE0394" w:rsidRDefault="00E97D63" w:rsidP="00E97D63">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sz w:val="24"/>
          <w:szCs w:val="24"/>
        </w:rPr>
        <w:t xml:space="preserve">On April 15, 2022, in </w:t>
      </w:r>
      <w:r w:rsidRPr="00EE0394">
        <w:rPr>
          <w:rFonts w:ascii="Times New Roman" w:eastAsia="Times New Roman" w:hAnsi="Times New Roman"/>
          <w:sz w:val="24"/>
          <w:szCs w:val="24"/>
          <w:u w:val="single"/>
        </w:rPr>
        <w:t>Lisa Afolayan, Widow of Nathaniel Afolayan v. U.S. Department of Justice</w:t>
      </w:r>
      <w:r>
        <w:rPr>
          <w:rFonts w:ascii="Times New Roman" w:eastAsia="Times New Roman" w:hAnsi="Times New Roman"/>
          <w:sz w:val="24"/>
          <w:szCs w:val="24"/>
        </w:rPr>
        <w:t xml:space="preserve">, the U.S. Court of Appeals for Federal Circuit (D.C.), held (3 to 0) that the denial of death benefits is vacated, and case remanded for further review.  The recruit died after a </w:t>
      </w:r>
      <w:r w:rsidRPr="00EE0394">
        <w:rPr>
          <w:rFonts w:ascii="Times New Roman" w:hAnsi="Times New Roman"/>
          <w:sz w:val="24"/>
          <w:szCs w:val="24"/>
        </w:rPr>
        <w:t xml:space="preserve">one-and-a-half mile run </w:t>
      </w:r>
      <w:r>
        <w:rPr>
          <w:rFonts w:ascii="Times New Roman" w:hAnsi="Times New Roman"/>
          <w:sz w:val="24"/>
          <w:szCs w:val="24"/>
        </w:rPr>
        <w:t xml:space="preserve">on April 30, 2019, </w:t>
      </w:r>
      <w:r w:rsidRPr="00EE0394">
        <w:rPr>
          <w:rFonts w:ascii="Times New Roman" w:hAnsi="Times New Roman"/>
          <w:sz w:val="24"/>
          <w:szCs w:val="24"/>
        </w:rPr>
        <w:t>to be completed in thirteen minutes or less</w:t>
      </w:r>
      <w:r>
        <w:rPr>
          <w:rFonts w:ascii="Times New Roman" w:hAnsi="Times New Roman"/>
          <w:sz w:val="24"/>
          <w:szCs w:val="24"/>
        </w:rPr>
        <w:t xml:space="preserve">; </w:t>
      </w:r>
      <w:r w:rsidRPr="00EE0394">
        <w:rPr>
          <w:rFonts w:ascii="Times New Roman" w:hAnsi="Times New Roman"/>
          <w:sz w:val="24"/>
          <w:szCs w:val="24"/>
        </w:rPr>
        <w:t>at approximately 3, 400 feet above sea level, with the temperature at approximately 88 degrees Fahrenheit and relative humidity between six and seven percent.</w:t>
      </w:r>
      <w:r>
        <w:rPr>
          <w:rFonts w:ascii="Times New Roman" w:hAnsi="Times New Roman"/>
          <w:sz w:val="24"/>
          <w:szCs w:val="24"/>
        </w:rPr>
        <w:t xml:space="preserve">  The death certificate listed “Heath Illness” as cause of death. </w:t>
      </w:r>
      <w:r>
        <w:rPr>
          <w:rFonts w:ascii="Times New Roman" w:eastAsia="Times New Roman" w:hAnsi="Times New Roman"/>
          <w:sz w:val="24"/>
          <w:szCs w:val="24"/>
        </w:rPr>
        <w:t xml:space="preserve">The Court found that the </w:t>
      </w:r>
      <w:proofErr w:type="spellStart"/>
      <w:r>
        <w:rPr>
          <w:rFonts w:ascii="Times New Roman" w:eastAsia="Times New Roman" w:hAnsi="Times New Roman"/>
          <w:sz w:val="24"/>
          <w:szCs w:val="24"/>
        </w:rPr>
        <w:t>DoJ</w:t>
      </w:r>
      <w:proofErr w:type="spellEnd"/>
      <w:r>
        <w:rPr>
          <w:rFonts w:ascii="Times New Roman" w:eastAsia="Times New Roman" w:hAnsi="Times New Roman"/>
          <w:sz w:val="24"/>
          <w:szCs w:val="24"/>
        </w:rPr>
        <w:t xml:space="preserve"> Bureau of Justice Assistance </w:t>
      </w:r>
      <w:r w:rsidRPr="00EE0394">
        <w:rPr>
          <w:rFonts w:ascii="Times New Roman" w:hAnsi="Times New Roman"/>
          <w:sz w:val="24"/>
          <w:szCs w:val="24"/>
        </w:rPr>
        <w:t xml:space="preserve">failed to determine whether the climatic conditions surrounding Agent Afolayan's death were a "direct and proximate cause" of his injuries, and if climatic conditions were a cause, whether Agent Afolayan's sickle cell trait could properly be considered in evaluating alternate causation. </w:t>
      </w:r>
      <w:hyperlink r:id="rId557" w:history="1">
        <w:r w:rsidRPr="00451CC8">
          <w:rPr>
            <w:rStyle w:val="Hyperlink"/>
            <w:rFonts w:ascii="Times New Roman" w:hAnsi="Times New Roman"/>
            <w:sz w:val="24"/>
            <w:szCs w:val="24"/>
          </w:rPr>
          <w:t>https://cafc.uscourts.gov/opinions-orders/21-1452.OPINION.4-15-2022_1936831.pdf</w:t>
        </w:r>
      </w:hyperlink>
      <w:r>
        <w:rPr>
          <w:rFonts w:ascii="Times New Roman" w:hAnsi="Times New Roman"/>
          <w:sz w:val="24"/>
          <w:szCs w:val="24"/>
        </w:rPr>
        <w:t xml:space="preserve"> </w:t>
      </w:r>
    </w:p>
    <w:p w14:paraId="05F98EEB" w14:textId="77777777" w:rsidR="003F4E70" w:rsidRPr="00CA3047" w:rsidRDefault="003F4E70" w:rsidP="003F4E70">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Climate conditions can qualify as a “direct and proximate cause” of death. </w:t>
      </w:r>
    </w:p>
    <w:p w14:paraId="6301AEE4" w14:textId="77777777" w:rsidR="00E97D63" w:rsidRDefault="00E97D63" w:rsidP="00EF1133">
      <w:pPr>
        <w:pStyle w:val="NoSpacing"/>
        <w:rPr>
          <w:rFonts w:ascii="Arial Black" w:hAnsi="Arial Black"/>
          <w:sz w:val="24"/>
          <w:szCs w:val="24"/>
        </w:rPr>
      </w:pPr>
    </w:p>
    <w:p w14:paraId="2500BFDD" w14:textId="77777777" w:rsidR="00E97D63" w:rsidRDefault="00E97D63" w:rsidP="00EF1133">
      <w:pPr>
        <w:pStyle w:val="NoSpacing"/>
        <w:rPr>
          <w:rFonts w:ascii="Arial Black" w:hAnsi="Arial Black"/>
          <w:sz w:val="24"/>
          <w:szCs w:val="24"/>
        </w:rPr>
      </w:pPr>
    </w:p>
    <w:p w14:paraId="66EEC629" w14:textId="77777777" w:rsidR="00E97D63" w:rsidRDefault="00E97D63" w:rsidP="00EF1133">
      <w:pPr>
        <w:pStyle w:val="NoSpacing"/>
        <w:rPr>
          <w:rFonts w:ascii="Arial Black" w:hAnsi="Arial Black"/>
          <w:sz w:val="24"/>
          <w:szCs w:val="24"/>
        </w:rPr>
      </w:pPr>
    </w:p>
    <w:p w14:paraId="645A88D2" w14:textId="28CD4C24" w:rsidR="00A20CA7" w:rsidRDefault="00A20CA7" w:rsidP="00EF1133">
      <w:pPr>
        <w:pStyle w:val="NoSpacing"/>
        <w:rPr>
          <w:rFonts w:ascii="Arial Black" w:hAnsi="Arial Black"/>
          <w:sz w:val="24"/>
          <w:szCs w:val="24"/>
        </w:rPr>
      </w:pPr>
      <w:r>
        <w:rPr>
          <w:rFonts w:ascii="Arial Black" w:hAnsi="Arial Black"/>
          <w:sz w:val="24"/>
          <w:szCs w:val="24"/>
        </w:rPr>
        <w:t>2-4</w:t>
      </w:r>
      <w:r w:rsidR="00680939">
        <w:rPr>
          <w:rFonts w:ascii="Arial Black" w:hAnsi="Arial Black"/>
          <w:sz w:val="24"/>
          <w:szCs w:val="24"/>
        </w:rPr>
        <w:t>1</w:t>
      </w:r>
    </w:p>
    <w:p w14:paraId="2594A18E" w14:textId="77777777" w:rsidR="00A20CA7" w:rsidRPr="00D42366" w:rsidRDefault="00A20CA7" w:rsidP="00A20CA7">
      <w:pPr>
        <w:spacing w:before="100" w:beforeAutospacing="1" w:after="100" w:afterAutospacing="1" w:line="240" w:lineRule="auto"/>
        <w:jc w:val="both"/>
        <w:rPr>
          <w:rFonts w:ascii="Arial Black" w:eastAsia="Times New Roman" w:hAnsi="Arial Black"/>
          <w:sz w:val="28"/>
          <w:szCs w:val="28"/>
        </w:rPr>
      </w:pPr>
      <w:r>
        <w:rPr>
          <w:rFonts w:ascii="Arial Black" w:eastAsia="Times New Roman" w:hAnsi="Arial Black"/>
          <w:b/>
          <w:bCs/>
          <w:sz w:val="28"/>
          <w:szCs w:val="28"/>
        </w:rPr>
        <w:t xml:space="preserve">LA: FF BLADDER CANCER – CLAIMS EXPOSURE AFFF FOAM - 2,000 CASES (50% FF) </w:t>
      </w:r>
      <w:r>
        <w:rPr>
          <w:rFonts w:ascii="Arial Black" w:eastAsia="Times New Roman" w:hAnsi="Arial Black"/>
          <w:sz w:val="28"/>
          <w:szCs w:val="28"/>
        </w:rPr>
        <w:t xml:space="preserve">WTH FED. JUDGE IN </w:t>
      </w:r>
      <w:r w:rsidRPr="00D42366">
        <w:rPr>
          <w:rFonts w:ascii="Arial Black" w:eastAsia="Times New Roman" w:hAnsi="Arial Black"/>
          <w:sz w:val="28"/>
          <w:szCs w:val="28"/>
        </w:rPr>
        <w:t>SOUTH CAROLINA</w:t>
      </w:r>
    </w:p>
    <w:p w14:paraId="28782E4A" w14:textId="490503B1" w:rsidR="00A20CA7" w:rsidRDefault="00A20CA7" w:rsidP="00A20CA7">
      <w:pPr>
        <w:pStyle w:val="NoSpacing"/>
        <w:rPr>
          <w:rStyle w:val="Hyperlink"/>
          <w:rFonts w:ascii="Times New Roman" w:hAnsi="Times New Roman"/>
          <w:sz w:val="24"/>
          <w:szCs w:val="24"/>
        </w:rPr>
      </w:pPr>
      <w:r w:rsidRPr="00D42366">
        <w:rPr>
          <w:rFonts w:ascii="Times New Roman" w:eastAsia="Times New Roman" w:hAnsi="Times New Roman"/>
          <w:sz w:val="24"/>
          <w:szCs w:val="24"/>
        </w:rPr>
        <w:t xml:space="preserve">On </w:t>
      </w:r>
      <w:r>
        <w:rPr>
          <w:rFonts w:ascii="Times New Roman" w:eastAsia="Times New Roman" w:hAnsi="Times New Roman"/>
          <w:sz w:val="24"/>
          <w:szCs w:val="24"/>
        </w:rPr>
        <w:t xml:space="preserve">Jan. 27, 2022, in </w:t>
      </w:r>
      <w:r w:rsidRPr="00D42366">
        <w:rPr>
          <w:rFonts w:ascii="Times New Roman" w:eastAsia="Times New Roman" w:hAnsi="Times New Roman"/>
          <w:sz w:val="24"/>
          <w:szCs w:val="24"/>
          <w:u w:val="single"/>
        </w:rPr>
        <w:t xml:space="preserve">David G. Tibbetts v. 3M Company, </w:t>
      </w:r>
      <w:r w:rsidRPr="00AE059C">
        <w:rPr>
          <w:rFonts w:ascii="Times New Roman" w:hAnsi="Times New Roman"/>
          <w:sz w:val="24"/>
          <w:szCs w:val="24"/>
        </w:rPr>
        <w:t xml:space="preserve">Tyco Fire Products LP and </w:t>
      </w:r>
      <w:proofErr w:type="spellStart"/>
      <w:r w:rsidRPr="00AE059C">
        <w:rPr>
          <w:rFonts w:ascii="Times New Roman" w:hAnsi="Times New Roman"/>
          <w:sz w:val="24"/>
          <w:szCs w:val="24"/>
        </w:rPr>
        <w:t>Chemguard</w:t>
      </w:r>
      <w:proofErr w:type="spellEnd"/>
      <w:r w:rsidRPr="00AE059C">
        <w:rPr>
          <w:rFonts w:ascii="Times New Roman" w:hAnsi="Times New Roman"/>
          <w:sz w:val="24"/>
          <w:szCs w:val="24"/>
        </w:rPr>
        <w:t>, Inc</w:t>
      </w:r>
      <w:r>
        <w:t xml:space="preserve">., </w:t>
      </w:r>
      <w:r>
        <w:rPr>
          <w:rFonts w:ascii="Times New Roman" w:eastAsia="Times New Roman" w:hAnsi="Times New Roman"/>
          <w:sz w:val="24"/>
          <w:szCs w:val="24"/>
        </w:rPr>
        <w:t xml:space="preserve">Chief U.S. District Court Judge Nannette Brown, U.S. District Court, Eastern District of Louisiana, granted defense motion to stay all discovery in this case so the Judicial Panel on </w:t>
      </w:r>
      <w:r w:rsidRPr="00AE059C">
        <w:rPr>
          <w:rFonts w:ascii="Times New Roman" w:eastAsia="Times New Roman" w:hAnsi="Times New Roman"/>
          <w:sz w:val="24"/>
          <w:szCs w:val="24"/>
        </w:rPr>
        <w:t xml:space="preserve">Multidistrict Litigation </w:t>
      </w:r>
      <w:r w:rsidRPr="00AE059C">
        <w:rPr>
          <w:rFonts w:ascii="Times New Roman" w:hAnsi="Times New Roman"/>
          <w:sz w:val="24"/>
          <w:szCs w:val="24"/>
        </w:rPr>
        <w:t xml:space="preserve">can decide </w:t>
      </w:r>
      <w:r>
        <w:rPr>
          <w:rFonts w:ascii="Times New Roman" w:hAnsi="Times New Roman"/>
          <w:sz w:val="24"/>
          <w:szCs w:val="24"/>
        </w:rPr>
        <w:t xml:space="preserve">to transfer it to </w:t>
      </w:r>
      <w:r w:rsidRPr="00843A24">
        <w:rPr>
          <w:rFonts w:ascii="Times New Roman" w:hAnsi="Times New Roman"/>
          <w:sz w:val="24"/>
          <w:szCs w:val="24"/>
        </w:rPr>
        <w:t>Judge Richard M. Gergel</w:t>
      </w:r>
      <w:r>
        <w:rPr>
          <w:rFonts w:ascii="Times New Roman" w:hAnsi="Times New Roman"/>
          <w:sz w:val="24"/>
          <w:szCs w:val="24"/>
        </w:rPr>
        <w:t xml:space="preserve">, </w:t>
      </w:r>
      <w:r w:rsidRPr="00843A24">
        <w:rPr>
          <w:rFonts w:ascii="Times New Roman" w:hAnsi="Times New Roman"/>
          <w:sz w:val="24"/>
          <w:szCs w:val="24"/>
        </w:rPr>
        <w:t>U</w:t>
      </w:r>
      <w:r>
        <w:rPr>
          <w:rFonts w:ascii="Times New Roman" w:hAnsi="Times New Roman"/>
          <w:sz w:val="24"/>
          <w:szCs w:val="24"/>
        </w:rPr>
        <w:t xml:space="preserve">.S. District Court in South Carolina, who has been presiding over similar cases since 2018 (now over 2,000 lawsuits, with more than half are firefighters with cancer).   </w:t>
      </w:r>
      <w:hyperlink r:id="rId558" w:history="1">
        <w:r w:rsidRPr="00AC2C12">
          <w:rPr>
            <w:rStyle w:val="Hyperlink"/>
            <w:rFonts w:ascii="Times New Roman" w:hAnsi="Times New Roman"/>
            <w:sz w:val="24"/>
            <w:szCs w:val="24"/>
          </w:rPr>
          <w:t>https://public.fastcase.com/9SKwsfNqTc6OieYDhNMyM9xc2pxP%2FDu9FaHS39uIywoNWZfMpeo5x%2FagXmZgtb6udFSKN2SMusDFZQbDcDfWSogmOURw4QaQEmhtdPNd1MI%3D</w:t>
        </w:r>
      </w:hyperlink>
    </w:p>
    <w:p w14:paraId="606B738B" w14:textId="153C77F6" w:rsidR="00A20CA7" w:rsidRDefault="00A20CA7" w:rsidP="00A20CA7">
      <w:pPr>
        <w:pStyle w:val="NoSpacing"/>
        <w:rPr>
          <w:rStyle w:val="Hyperlink"/>
          <w:rFonts w:ascii="Times New Roman" w:hAnsi="Times New Roman"/>
          <w:sz w:val="24"/>
          <w:szCs w:val="24"/>
        </w:rPr>
      </w:pPr>
    </w:p>
    <w:p w14:paraId="71B7A591" w14:textId="6A9810B9" w:rsidR="00A20CA7" w:rsidRDefault="00A20CA7" w:rsidP="00A20CA7">
      <w:pPr>
        <w:spacing w:before="100" w:beforeAutospacing="1" w:after="100" w:afterAutospacing="1" w:line="240" w:lineRule="auto"/>
        <w:rPr>
          <w:rFonts w:ascii="Times New Roman" w:hAnsi="Times New Roman"/>
          <w:b/>
          <w:bCs/>
          <w:sz w:val="24"/>
          <w:szCs w:val="24"/>
        </w:rPr>
      </w:pPr>
      <w:r w:rsidRPr="00843A24">
        <w:rPr>
          <w:rFonts w:ascii="Times New Roman" w:hAnsi="Times New Roman"/>
          <w:b/>
          <w:bCs/>
          <w:sz w:val="24"/>
          <w:szCs w:val="24"/>
        </w:rPr>
        <w:t xml:space="preserve">Legal Lesson Learned: </w:t>
      </w:r>
      <w:r>
        <w:rPr>
          <w:rFonts w:ascii="Times New Roman" w:hAnsi="Times New Roman"/>
          <w:b/>
          <w:bCs/>
          <w:sz w:val="24"/>
          <w:szCs w:val="24"/>
        </w:rPr>
        <w:t xml:space="preserve">AFFF should not be used at your FD. </w:t>
      </w:r>
    </w:p>
    <w:p w14:paraId="66C66DD5" w14:textId="65708268" w:rsidR="00680939" w:rsidRDefault="00680939" w:rsidP="00A20CA7">
      <w:pPr>
        <w:spacing w:before="100" w:beforeAutospacing="1" w:after="100" w:afterAutospacing="1" w:line="240" w:lineRule="auto"/>
        <w:rPr>
          <w:rFonts w:ascii="Times New Roman" w:hAnsi="Times New Roman"/>
          <w:b/>
          <w:bCs/>
          <w:sz w:val="24"/>
          <w:szCs w:val="24"/>
        </w:rPr>
      </w:pPr>
    </w:p>
    <w:p w14:paraId="2847BD8E" w14:textId="7C82A379" w:rsidR="00680939" w:rsidRDefault="00680939" w:rsidP="00A20CA7">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2-40 [also filed Chap. 17]</w:t>
      </w:r>
    </w:p>
    <w:p w14:paraId="4B7019A4" w14:textId="77777777" w:rsidR="00680939" w:rsidRPr="000007E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CBA – 5 FF MINIMUM MANNING – CHIEF CANNOT UNILATERALLY CHANGE – ARBITRATION TO PROCEED</w:t>
      </w:r>
    </w:p>
    <w:p w14:paraId="26948AA9" w14:textId="77777777" w:rsidR="00680939" w:rsidRDefault="00680939" w:rsidP="00680939">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13, 2022, </w:t>
      </w:r>
      <w:r w:rsidRPr="00DA4E6C">
        <w:rPr>
          <w:rFonts w:ascii="Times New Roman" w:eastAsia="Times New Roman" w:hAnsi="Times New Roman"/>
          <w:sz w:val="24"/>
          <w:szCs w:val="24"/>
          <w:u w:val="single"/>
        </w:rPr>
        <w:t xml:space="preserve">In the Matter of the Arbitration Between </w:t>
      </w:r>
      <w:proofErr w:type="gramStart"/>
      <w:r w:rsidRPr="00DA4E6C">
        <w:rPr>
          <w:rFonts w:ascii="Times New Roman" w:eastAsia="Times New Roman" w:hAnsi="Times New Roman"/>
          <w:sz w:val="24"/>
          <w:szCs w:val="24"/>
          <w:u w:val="single"/>
        </w:rPr>
        <w:t>The</w:t>
      </w:r>
      <w:proofErr w:type="gramEnd"/>
      <w:r w:rsidRPr="00DA4E6C">
        <w:rPr>
          <w:rFonts w:ascii="Times New Roman" w:eastAsia="Times New Roman" w:hAnsi="Times New Roman"/>
          <w:sz w:val="24"/>
          <w:szCs w:val="24"/>
          <w:u w:val="single"/>
        </w:rPr>
        <w:t xml:space="preserve"> City of Ogdensburg and IAFF Local 1792</w:t>
      </w:r>
      <w:r>
        <w:rPr>
          <w:rFonts w:ascii="Times New Roman" w:eastAsia="Times New Roman" w:hAnsi="Times New Roman"/>
          <w:sz w:val="24"/>
          <w:szCs w:val="24"/>
        </w:rPr>
        <w:t xml:space="preserve">, the Superior Court of New York (Third Department), held (5 to 0) that the trial court improperly granted the City’s </w:t>
      </w:r>
      <w:proofErr w:type="gramStart"/>
      <w:r>
        <w:rPr>
          <w:rFonts w:ascii="Times New Roman" w:eastAsia="Times New Roman" w:hAnsi="Times New Roman"/>
          <w:sz w:val="24"/>
          <w:szCs w:val="24"/>
        </w:rPr>
        <w:t>motion to</w:t>
      </w:r>
      <w:proofErr w:type="gramEnd"/>
      <w:r>
        <w:rPr>
          <w:rFonts w:ascii="Times New Roman" w:eastAsia="Times New Roman" w:hAnsi="Times New Roman"/>
          <w:sz w:val="24"/>
          <w:szCs w:val="24"/>
        </w:rPr>
        <w:t xml:space="preserve"> </w:t>
      </w:r>
      <w:r w:rsidRPr="00DA4E6C">
        <w:rPr>
          <w:rFonts w:ascii="Times New Roman" w:hAnsi="Times New Roman"/>
          <w:sz w:val="24"/>
          <w:szCs w:val="24"/>
        </w:rPr>
        <w:t>permanently stay arbitration between the parties.</w:t>
      </w:r>
      <w:r>
        <w:rPr>
          <w:rFonts w:ascii="Times New Roman" w:hAnsi="Times New Roman"/>
          <w:sz w:val="24"/>
          <w:szCs w:val="24"/>
        </w:rPr>
        <w:t xml:space="preserve">  The CBA provides for arbitration, and “</w:t>
      </w:r>
      <w:r w:rsidRPr="00BA6C00">
        <w:rPr>
          <w:rFonts w:ascii="Times New Roman" w:hAnsi="Times New Roman"/>
          <w:sz w:val="24"/>
          <w:szCs w:val="24"/>
        </w:rPr>
        <w:t>having adequate personnel on hand would be essential to ensure firefighter safety as well as success in fighting the fires.</w:t>
      </w:r>
      <w:r>
        <w:rPr>
          <w:rFonts w:ascii="Times New Roman" w:hAnsi="Times New Roman"/>
          <w:sz w:val="24"/>
          <w:szCs w:val="24"/>
        </w:rPr>
        <w:t xml:space="preserve">” </w:t>
      </w:r>
      <w:hyperlink r:id="rId559" w:history="1">
        <w:r w:rsidRPr="00A83547">
          <w:rPr>
            <w:rStyle w:val="Hyperlink"/>
            <w:rFonts w:ascii="Times New Roman" w:hAnsi="Times New Roman"/>
            <w:sz w:val="24"/>
            <w:szCs w:val="24"/>
          </w:rPr>
          <w:t>https://casetext.com/case/in-re-arbitration-between-city-of-ogdensburg</w:t>
        </w:r>
      </w:hyperlink>
      <w:r>
        <w:rPr>
          <w:rFonts w:ascii="Times New Roman" w:hAnsi="Times New Roman"/>
          <w:sz w:val="24"/>
          <w:szCs w:val="24"/>
        </w:rPr>
        <w:t xml:space="preserve"> </w:t>
      </w:r>
    </w:p>
    <w:p w14:paraId="2B984652" w14:textId="77777777" w:rsidR="00680939" w:rsidRDefault="00680939" w:rsidP="00680939">
      <w:pPr>
        <w:spacing w:before="100" w:beforeAutospacing="1" w:after="100" w:afterAutospacing="1" w:line="240" w:lineRule="auto"/>
      </w:pPr>
      <w:r>
        <w:rPr>
          <w:rFonts w:ascii="Times New Roman" w:eastAsia="Times New Roman" w:hAnsi="Times New Roman"/>
          <w:b/>
          <w:bCs/>
          <w:sz w:val="24"/>
          <w:szCs w:val="24"/>
        </w:rPr>
        <w:t xml:space="preserve">Legal Lesson Learned:  If CBA includes provision on minimum manning per shift, it cannot be unilaterally changed. </w:t>
      </w:r>
    </w:p>
    <w:p w14:paraId="1C1E24A2" w14:textId="77777777" w:rsidR="00680939" w:rsidRPr="00843A24" w:rsidRDefault="00680939" w:rsidP="00A20CA7">
      <w:pPr>
        <w:spacing w:before="100" w:beforeAutospacing="1" w:after="100" w:afterAutospacing="1" w:line="240" w:lineRule="auto"/>
        <w:rPr>
          <w:rFonts w:ascii="Times New Roman" w:hAnsi="Times New Roman"/>
          <w:b/>
          <w:bCs/>
          <w:sz w:val="24"/>
          <w:szCs w:val="24"/>
        </w:rPr>
      </w:pPr>
    </w:p>
    <w:p w14:paraId="4BD2D163" w14:textId="5BCBAE04" w:rsidR="00A20CA7" w:rsidRDefault="00A20CA7" w:rsidP="00A20CA7">
      <w:pPr>
        <w:pStyle w:val="NoSpacing"/>
        <w:rPr>
          <w:rFonts w:ascii="Arial Black" w:hAnsi="Arial Black"/>
          <w:sz w:val="24"/>
          <w:szCs w:val="24"/>
        </w:rPr>
      </w:pPr>
    </w:p>
    <w:p w14:paraId="2FDFC8B0" w14:textId="0B184564" w:rsidR="00A20CA7" w:rsidRDefault="00A20CA7" w:rsidP="00A20CA7">
      <w:pPr>
        <w:pStyle w:val="NoSpacing"/>
        <w:rPr>
          <w:rFonts w:ascii="Arial Black" w:hAnsi="Arial Black"/>
          <w:sz w:val="24"/>
          <w:szCs w:val="24"/>
        </w:rPr>
      </w:pPr>
      <w:r>
        <w:rPr>
          <w:rFonts w:ascii="Arial Black" w:hAnsi="Arial Black"/>
          <w:sz w:val="24"/>
          <w:szCs w:val="24"/>
        </w:rPr>
        <w:t>2-39</w:t>
      </w:r>
    </w:p>
    <w:p w14:paraId="0A52E03C" w14:textId="77777777" w:rsidR="00A20CA7" w:rsidRPr="00233069" w:rsidRDefault="00A20CA7" w:rsidP="00A20CA7">
      <w:pPr>
        <w:pStyle w:val="NormalWeb"/>
        <w:rPr>
          <w:rFonts w:ascii="Arial Black" w:hAnsi="Arial Black"/>
          <w:b/>
          <w:bCs/>
          <w:sz w:val="28"/>
          <w:szCs w:val="28"/>
        </w:rPr>
      </w:pPr>
      <w:r>
        <w:rPr>
          <w:rFonts w:ascii="Arial Black" w:hAnsi="Arial Black"/>
          <w:b/>
          <w:bCs/>
          <w:sz w:val="28"/>
          <w:szCs w:val="28"/>
        </w:rPr>
        <w:t xml:space="preserve">MD: FIREFIGHTER’S RULE – DEPUTY SHERRIF CAN’T SUE MOTORIST WHO STRUCK HER MOVING CAR AT ACCIDENT </w:t>
      </w:r>
    </w:p>
    <w:p w14:paraId="28711EFC" w14:textId="77777777" w:rsidR="00A20CA7" w:rsidRPr="006B4314" w:rsidRDefault="00A20CA7" w:rsidP="00A20CA7">
      <w:pPr>
        <w:rPr>
          <w:rFonts w:ascii="Times New Roman" w:hAnsi="Times New Roman"/>
          <w:sz w:val="24"/>
          <w:szCs w:val="24"/>
        </w:rPr>
      </w:pPr>
      <w:r w:rsidRPr="006B4314">
        <w:rPr>
          <w:rFonts w:ascii="Times New Roman" w:hAnsi="Times New Roman"/>
          <w:sz w:val="24"/>
          <w:szCs w:val="24"/>
        </w:rPr>
        <w:t xml:space="preserve">On Jan. 4, 2022, in </w:t>
      </w:r>
      <w:r w:rsidRPr="006B4314">
        <w:rPr>
          <w:rFonts w:ascii="Times New Roman" w:hAnsi="Times New Roman"/>
          <w:sz w:val="24"/>
          <w:szCs w:val="24"/>
          <w:u w:val="single"/>
        </w:rPr>
        <w:t xml:space="preserve">Kassondra Topper v. John C. Thomas, As Special Administrator of the estate of </w:t>
      </w:r>
      <w:proofErr w:type="spellStart"/>
      <w:r w:rsidRPr="006B4314">
        <w:rPr>
          <w:rFonts w:ascii="Times New Roman" w:hAnsi="Times New Roman"/>
          <w:sz w:val="24"/>
          <w:szCs w:val="24"/>
          <w:u w:val="single"/>
        </w:rPr>
        <w:t>Lynwod</w:t>
      </w:r>
      <w:proofErr w:type="spellEnd"/>
      <w:r w:rsidRPr="006B4314">
        <w:rPr>
          <w:rFonts w:ascii="Times New Roman" w:hAnsi="Times New Roman"/>
          <w:sz w:val="24"/>
          <w:szCs w:val="24"/>
          <w:u w:val="single"/>
        </w:rPr>
        <w:t xml:space="preserve"> Samuel Stride</w:t>
      </w:r>
      <w:r w:rsidRPr="006B4314">
        <w:rPr>
          <w:rFonts w:ascii="Times New Roman" w:hAnsi="Times New Roman"/>
          <w:sz w:val="24"/>
          <w:szCs w:val="24"/>
        </w:rPr>
        <w:t xml:space="preserve">, the Court of Special Appeals of Maryland, held (3 to 0) that a Deputy Sheriff is barred by the Fireman’s Rule from suing a motorist (or his estate, since he is now deceased) who ran into her for damages sustained while she was performing her normal duties. “The possibility of injury from the movement of the vehicle involved in the initial accident away from the lanes of travel was reasonably foreseeable as part of Deputy Topper's occupational risk in investigating a motor vehicle collision.” </w:t>
      </w:r>
      <w:hyperlink r:id="rId560" w:history="1">
        <w:r w:rsidRPr="006B4314">
          <w:rPr>
            <w:rStyle w:val="Hyperlink"/>
            <w:rFonts w:ascii="Times New Roman" w:hAnsi="Times New Roman"/>
            <w:sz w:val="24"/>
            <w:szCs w:val="24"/>
          </w:rPr>
          <w:t>https://casetext.com/case/topper-v-thomas</w:t>
        </w:r>
      </w:hyperlink>
      <w:r w:rsidRPr="006B4314">
        <w:rPr>
          <w:rFonts w:ascii="Times New Roman" w:hAnsi="Times New Roman"/>
          <w:sz w:val="24"/>
          <w:szCs w:val="24"/>
        </w:rPr>
        <w:t xml:space="preserve"> </w:t>
      </w:r>
    </w:p>
    <w:p w14:paraId="5F4FBC4C" w14:textId="77777777" w:rsidR="00A20CA7" w:rsidRPr="00DB3B03" w:rsidRDefault="00A20CA7" w:rsidP="00A20CA7">
      <w:pPr>
        <w:pStyle w:val="NormalWeb"/>
        <w:rPr>
          <w:b/>
          <w:bCs/>
        </w:rPr>
      </w:pPr>
      <w:r w:rsidRPr="00DB3B03">
        <w:rPr>
          <w:b/>
          <w:bCs/>
        </w:rPr>
        <w:t>Legal Lesson Learned:</w:t>
      </w:r>
      <w:r>
        <w:rPr>
          <w:b/>
          <w:bCs/>
        </w:rPr>
        <w:t xml:space="preserve"> The Fireman’s Rule is still effective in MD, OH and many other states.  It </w:t>
      </w:r>
      <w:proofErr w:type="gramStart"/>
      <w:r>
        <w:rPr>
          <w:b/>
          <w:bCs/>
        </w:rPr>
        <w:t>has been</w:t>
      </w:r>
      <w:proofErr w:type="gramEnd"/>
      <w:r>
        <w:rPr>
          <w:b/>
          <w:bCs/>
        </w:rPr>
        <w:t xml:space="preserve"> abolished in FL and narrowed in NY. </w:t>
      </w:r>
    </w:p>
    <w:p w14:paraId="1743424A" w14:textId="77777777" w:rsidR="00A20CA7" w:rsidRDefault="00A20CA7" w:rsidP="00A20CA7">
      <w:pPr>
        <w:pStyle w:val="NoSpacing"/>
        <w:rPr>
          <w:rFonts w:ascii="Arial Black" w:hAnsi="Arial Black"/>
          <w:sz w:val="24"/>
          <w:szCs w:val="24"/>
        </w:rPr>
      </w:pPr>
    </w:p>
    <w:p w14:paraId="66491E95" w14:textId="77777777" w:rsidR="00A20CA7" w:rsidRDefault="00A20CA7" w:rsidP="00EF1133">
      <w:pPr>
        <w:pStyle w:val="NoSpacing"/>
        <w:rPr>
          <w:rFonts w:ascii="Arial Black" w:hAnsi="Arial Black"/>
          <w:sz w:val="24"/>
          <w:szCs w:val="24"/>
        </w:rPr>
      </w:pPr>
    </w:p>
    <w:p w14:paraId="22EDEC2A" w14:textId="21FC4754" w:rsidR="00954D68" w:rsidRDefault="00954D68" w:rsidP="00EF1133">
      <w:pPr>
        <w:pStyle w:val="NoSpacing"/>
        <w:rPr>
          <w:rFonts w:ascii="Arial Black" w:hAnsi="Arial Black"/>
          <w:sz w:val="24"/>
          <w:szCs w:val="24"/>
        </w:rPr>
      </w:pPr>
      <w:r>
        <w:rPr>
          <w:rFonts w:ascii="Arial Black" w:hAnsi="Arial Black"/>
          <w:sz w:val="24"/>
          <w:szCs w:val="24"/>
        </w:rPr>
        <w:t>2-38</w:t>
      </w:r>
    </w:p>
    <w:p w14:paraId="50ABCA28" w14:textId="77777777" w:rsidR="00954D68" w:rsidRDefault="00954D68" w:rsidP="00954D68">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NY: POST 9/11 – SINUS/ BREATH - FDNY MEDIC TRAPPED NORTH TOWER - FINALLY GETS 100% DISABILITY </w:t>
      </w:r>
    </w:p>
    <w:p w14:paraId="69773AF8" w14:textId="77777777" w:rsidR="00954D68" w:rsidRPr="0099025C" w:rsidRDefault="00954D68" w:rsidP="00954D68">
      <w:pPr>
        <w:rPr>
          <w:rFonts w:ascii="Times New Roman" w:hAnsi="Times New Roman"/>
          <w:sz w:val="24"/>
          <w:szCs w:val="24"/>
        </w:rPr>
      </w:pPr>
      <w:r w:rsidRPr="0099025C">
        <w:rPr>
          <w:rFonts w:ascii="Times New Roman" w:hAnsi="Times New Roman"/>
          <w:sz w:val="24"/>
          <w:szCs w:val="24"/>
        </w:rPr>
        <w:t xml:space="preserve">On Dec. 13, 2021, </w:t>
      </w:r>
      <w:r w:rsidRPr="0099025C">
        <w:rPr>
          <w:rFonts w:ascii="Times New Roman" w:hAnsi="Times New Roman"/>
          <w:sz w:val="24"/>
          <w:szCs w:val="24"/>
          <w:u w:val="single"/>
        </w:rPr>
        <w:t>In the Matter of the Application of Gary Smiley v. Melanie Winnery, as the Executive Director of the New York City Employee’s Retirement System</w:t>
      </w:r>
      <w:r w:rsidRPr="0099025C">
        <w:rPr>
          <w:rFonts w:ascii="Times New Roman" w:hAnsi="Times New Roman"/>
          <w:sz w:val="24"/>
          <w:szCs w:val="24"/>
        </w:rPr>
        <w:t xml:space="preserve">, Justice Loren Bailey-Schiffman, Supreme Court (Kings County) held (unpublished decision) held that the firefighter is entitled to full “Performance of Duty” (POD) disability benefits since he is no longer able to perform duties of a paramedic. The Workers’ Compensation Board in 2013 </w:t>
      </w:r>
      <w:proofErr w:type="gramStart"/>
      <w:r w:rsidRPr="0099025C">
        <w:rPr>
          <w:rFonts w:ascii="Times New Roman" w:hAnsi="Times New Roman"/>
          <w:sz w:val="24"/>
          <w:szCs w:val="24"/>
        </w:rPr>
        <w:t>had only awarded</w:t>
      </w:r>
      <w:proofErr w:type="gramEnd"/>
      <w:r w:rsidRPr="0099025C">
        <w:rPr>
          <w:rFonts w:ascii="Times New Roman" w:hAnsi="Times New Roman"/>
          <w:sz w:val="24"/>
          <w:szCs w:val="24"/>
        </w:rPr>
        <w:t xml:space="preserve"> him a 45% partial disability for reactive airway disease, eye irritation, shortness of breath, sinusitis &amp; PTSD.</w:t>
      </w:r>
    </w:p>
    <w:p w14:paraId="6FC416CE" w14:textId="1E1E1F27" w:rsidR="00954D68" w:rsidRDefault="00954D68" w:rsidP="00954D68">
      <w:pPr>
        <w:pStyle w:val="NoSpacing"/>
        <w:ind w:left="720"/>
        <w:rPr>
          <w:rFonts w:ascii="Arial Black" w:hAnsi="Arial Black"/>
          <w:sz w:val="24"/>
          <w:szCs w:val="24"/>
        </w:rPr>
      </w:pPr>
      <w:r w:rsidRPr="0099025C">
        <w:rPr>
          <w:rFonts w:ascii="Times New Roman" w:eastAsia="Times New Roman" w:hAnsi="Times New Roman"/>
          <w:sz w:val="24"/>
          <w:szCs w:val="24"/>
        </w:rPr>
        <w:t>“</w:t>
      </w:r>
      <w:r w:rsidRPr="0099025C">
        <w:rPr>
          <w:rFonts w:ascii="Times New Roman" w:hAnsi="Times New Roman"/>
          <w:sz w:val="24"/>
          <w:szCs w:val="24"/>
        </w:rPr>
        <w:t xml:space="preserve">The Board repeatedly found that Petitioner has no functional impairment despite confirmed reports that he cannot be exposed to smoke or other irritants, often has to lie down for hours at a time due to headaches and dizziness and is required to administer no less than three to four sinus rinses per day as well as two or three inhalers and possibly the nebulizer. Clearly, the standard as set forth above has not been met…. </w:t>
      </w:r>
      <w:r w:rsidRPr="0099025C">
        <w:rPr>
          <w:rFonts w:ascii="Times New Roman" w:eastAsia="Times New Roman" w:hAnsi="Times New Roman"/>
          <w:sz w:val="24"/>
          <w:szCs w:val="24"/>
        </w:rPr>
        <w:t xml:space="preserve">The reports upon which Respondents' denials are based fail to set forth any facts supporting the conclusion that Petitioner does not have a functional impairment. No less than four doctors confirmed Petitioner's </w:t>
      </w:r>
      <w:proofErr w:type="gramStart"/>
      <w:r w:rsidRPr="0099025C">
        <w:rPr>
          <w:rFonts w:ascii="Times New Roman" w:eastAsia="Times New Roman" w:hAnsi="Times New Roman"/>
          <w:sz w:val="24"/>
          <w:szCs w:val="24"/>
        </w:rPr>
        <w:t>debilitating severe</w:t>
      </w:r>
      <w:proofErr w:type="gramEnd"/>
      <w:r w:rsidRPr="0099025C">
        <w:rPr>
          <w:rFonts w:ascii="Times New Roman" w:eastAsia="Times New Roman" w:hAnsi="Times New Roman"/>
          <w:sz w:val="24"/>
          <w:szCs w:val="24"/>
        </w:rPr>
        <w:t xml:space="preserve"> and debilitating sinusitis accompanied by headaches and dizziness. Moreover, Dr. Shohet, Dr. Lin, Dr. Crane and all treating doctors have opined that Mr. Smiley cannot perform the duties of a paramedic. No reason is given why these opinions are ignored.” </w:t>
      </w:r>
      <w:hyperlink r:id="rId561" w:history="1">
        <w:r w:rsidRPr="00EC5853">
          <w:rPr>
            <w:rStyle w:val="Hyperlink"/>
            <w:rFonts w:ascii="Times New Roman" w:eastAsia="Times New Roman" w:hAnsi="Times New Roman"/>
            <w:sz w:val="24"/>
            <w:szCs w:val="24"/>
          </w:rPr>
          <w:t>https://public.fastcase.com/9SKwsfNqTc6OieYDhNMyM3GFxg7E14LGt6irGiW6D0AdOSai6WztEAqO8TQbOt2UAfcs%2Ff2iM4MWcxpFzO0W88e5H95ADB2MkHVFfrY4yKc%3D</w:t>
        </w:r>
      </w:hyperlink>
    </w:p>
    <w:p w14:paraId="2C40145E" w14:textId="77777777" w:rsidR="00954D68" w:rsidRDefault="00954D68" w:rsidP="00EF1133">
      <w:pPr>
        <w:pStyle w:val="NoSpacing"/>
        <w:rPr>
          <w:rFonts w:ascii="Arial Black" w:hAnsi="Arial Black"/>
          <w:sz w:val="24"/>
          <w:szCs w:val="24"/>
        </w:rPr>
      </w:pPr>
    </w:p>
    <w:p w14:paraId="15F530DA" w14:textId="77777777" w:rsidR="00954D68" w:rsidRPr="0099025C" w:rsidRDefault="00954D68" w:rsidP="00954D68">
      <w:pPr>
        <w:spacing w:before="100" w:beforeAutospacing="1" w:after="100" w:afterAutospacing="1" w:line="240" w:lineRule="auto"/>
        <w:rPr>
          <w:rFonts w:ascii="Times New Roman" w:hAnsi="Times New Roman"/>
          <w:b/>
          <w:bCs/>
          <w:sz w:val="24"/>
          <w:szCs w:val="24"/>
        </w:rPr>
      </w:pPr>
      <w:r w:rsidRPr="0099025C">
        <w:rPr>
          <w:rFonts w:ascii="Times New Roman" w:hAnsi="Times New Roman"/>
          <w:b/>
          <w:bCs/>
          <w:sz w:val="24"/>
          <w:szCs w:val="24"/>
        </w:rPr>
        <w:t xml:space="preserve">Legal Lesson Learned:  Helpful opinion; the Medical Board cannot “cherry pick” the evidence on disability. </w:t>
      </w:r>
    </w:p>
    <w:p w14:paraId="0AB8AF96" w14:textId="77777777" w:rsidR="00954D68" w:rsidRDefault="00954D68" w:rsidP="00EF1133">
      <w:pPr>
        <w:pStyle w:val="NoSpacing"/>
        <w:rPr>
          <w:rFonts w:ascii="Arial Black" w:hAnsi="Arial Black"/>
          <w:sz w:val="24"/>
          <w:szCs w:val="24"/>
        </w:rPr>
      </w:pPr>
    </w:p>
    <w:p w14:paraId="0731A0DF" w14:textId="77777777" w:rsidR="00954D68" w:rsidRDefault="00954D68" w:rsidP="00EF1133">
      <w:pPr>
        <w:pStyle w:val="NoSpacing"/>
        <w:rPr>
          <w:rFonts w:ascii="Arial Black" w:hAnsi="Arial Black"/>
          <w:sz w:val="24"/>
          <w:szCs w:val="24"/>
        </w:rPr>
      </w:pPr>
    </w:p>
    <w:p w14:paraId="384872EB" w14:textId="6A34D08D" w:rsidR="00365F63" w:rsidRDefault="00365F63" w:rsidP="00EF1133">
      <w:pPr>
        <w:pStyle w:val="NoSpacing"/>
        <w:rPr>
          <w:rFonts w:ascii="Arial Black" w:hAnsi="Arial Black"/>
          <w:sz w:val="24"/>
          <w:szCs w:val="24"/>
        </w:rPr>
      </w:pPr>
      <w:r>
        <w:rPr>
          <w:rFonts w:ascii="Arial Black" w:hAnsi="Arial Black"/>
          <w:sz w:val="24"/>
          <w:szCs w:val="24"/>
        </w:rPr>
        <w:t>2-37</w:t>
      </w:r>
    </w:p>
    <w:p w14:paraId="1BB1AB65" w14:textId="77777777" w:rsidR="00365F63" w:rsidRDefault="00365F63" w:rsidP="00365F63">
      <w:pPr>
        <w:pStyle w:val="NormalWeb"/>
        <w:rPr>
          <w:rFonts w:ascii="Arial Black" w:hAnsi="Arial Black"/>
          <w:sz w:val="28"/>
          <w:szCs w:val="28"/>
        </w:rPr>
      </w:pPr>
      <w:r>
        <w:rPr>
          <w:rFonts w:ascii="Arial Black" w:hAnsi="Arial Black"/>
          <w:sz w:val="28"/>
          <w:szCs w:val="28"/>
        </w:rPr>
        <w:t>KS: FIREFIGHTER HEARING LOSS – ENTITLED TO WORKER’S COMP FOR SIRENS – OTHER LOUD NOISES IN HIS CAREER</w:t>
      </w:r>
    </w:p>
    <w:p w14:paraId="0A08F2FF" w14:textId="77777777" w:rsidR="00365F63" w:rsidRDefault="00365F63" w:rsidP="00365F63">
      <w:pPr>
        <w:pStyle w:val="NormalWeb"/>
      </w:pPr>
      <w:r>
        <w:t xml:space="preserve">On Nov. 19, 2021, in </w:t>
      </w:r>
      <w:r w:rsidRPr="003E0CE5">
        <w:rPr>
          <w:u w:val="single"/>
        </w:rPr>
        <w:t>Patrick O’Neal v. City of Hutchinson</w:t>
      </w:r>
      <w:r>
        <w:t xml:space="preserve">, the Court of Appeals of Kansas, held (3 to 0) (not designated for publication) that the firefighter was entitled to worker’s comp for permanent hearing loss and tinnitus due to repetitive exposure to loud noises during his career. While his initial claim was for a single event with air horn activation inside a fire station (Feb. 23, 2009) was denied, he is entitled to medical coverage for repetitive exposure during his 1994 – 2017 career. </w:t>
      </w:r>
    </w:p>
    <w:p w14:paraId="145EE80C"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3E0CE5">
        <w:rPr>
          <w:rFonts w:ascii="Times New Roman" w:hAnsi="Times New Roman"/>
          <w:sz w:val="24"/>
          <w:szCs w:val="24"/>
        </w:rPr>
        <w:t xml:space="preserve">The </w:t>
      </w:r>
      <w:proofErr w:type="gramStart"/>
      <w:r w:rsidRPr="003E0CE5">
        <w:rPr>
          <w:rFonts w:ascii="Times New Roman" w:hAnsi="Times New Roman"/>
          <w:sz w:val="24"/>
          <w:szCs w:val="24"/>
        </w:rPr>
        <w:t>City</w:t>
      </w:r>
      <w:proofErr w:type="gramEnd"/>
      <w:r w:rsidRPr="003E0CE5">
        <w:rPr>
          <w:rFonts w:ascii="Times New Roman" w:hAnsi="Times New Roman"/>
          <w:sz w:val="24"/>
          <w:szCs w:val="24"/>
        </w:rPr>
        <w:t xml:space="preserve"> has not met its burden to show the Board erred in granting a compensation award to O'Neal. The City's own expert from the single accident claim provided evidence in support of O'Neal's repetitive injury claim. The evidence is sufficient for a reasonable person to find it supported the Board's compensation award.</w:t>
      </w:r>
    </w:p>
    <w:p w14:paraId="17F8CBCF" w14:textId="77777777" w:rsidR="00365F63" w:rsidRPr="003E0CE5" w:rsidRDefault="00365F63" w:rsidP="00365F63">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p>
    <w:p w14:paraId="3EAF878F"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T</w:t>
      </w:r>
      <w:r w:rsidRPr="006863C2">
        <w:rPr>
          <w:rFonts w:ascii="Times New Roman" w:hAnsi="Times New Roman"/>
          <w:sz w:val="24"/>
          <w:szCs w:val="24"/>
        </w:rPr>
        <w:t xml:space="preserve">he City's required hearing exams showed in 2002 that O'Neal sustained hearing loss. Given that it required its firefighters to undergo hearing tests every other year until age 40 and then every year thereafter, the </w:t>
      </w:r>
      <w:proofErr w:type="gramStart"/>
      <w:r w:rsidRPr="006863C2">
        <w:rPr>
          <w:rFonts w:ascii="Times New Roman" w:hAnsi="Times New Roman"/>
          <w:sz w:val="24"/>
          <w:szCs w:val="24"/>
        </w:rPr>
        <w:t>City</w:t>
      </w:r>
      <w:proofErr w:type="gramEnd"/>
      <w:r w:rsidRPr="006863C2">
        <w:rPr>
          <w:rFonts w:ascii="Times New Roman" w:hAnsi="Times New Roman"/>
          <w:sz w:val="24"/>
          <w:szCs w:val="24"/>
        </w:rPr>
        <w:t xml:space="preserve"> was aware firefighters were at risk for hearing loss from their jobs. O'Neal's 2002 audiogram showed he was sustaining hearing loss, and no alternative explanation was given, except for occasionally using firearms. Dr. Epp testified that at the time of the 2002 test, </w:t>
      </w:r>
      <w:proofErr w:type="gramStart"/>
      <w:r w:rsidRPr="006863C2">
        <w:rPr>
          <w:rFonts w:ascii="Times New Roman" w:hAnsi="Times New Roman"/>
          <w:sz w:val="24"/>
          <w:szCs w:val="24"/>
        </w:rPr>
        <w:t>O'Neal</w:t>
      </w:r>
      <w:proofErr w:type="gramEnd"/>
      <w:r w:rsidRPr="006863C2">
        <w:rPr>
          <w:rFonts w:ascii="Times New Roman" w:hAnsi="Times New Roman"/>
          <w:sz w:val="24"/>
          <w:szCs w:val="24"/>
        </w:rPr>
        <w:t xml:space="preserve"> more likely than </w:t>
      </w:r>
      <w:proofErr w:type="gramStart"/>
      <w:r w:rsidRPr="006863C2">
        <w:rPr>
          <w:rFonts w:ascii="Times New Roman" w:hAnsi="Times New Roman"/>
          <w:sz w:val="24"/>
          <w:szCs w:val="24"/>
        </w:rPr>
        <w:t>not</w:t>
      </w:r>
      <w:proofErr w:type="gramEnd"/>
      <w:r w:rsidRPr="006863C2">
        <w:rPr>
          <w:rFonts w:ascii="Times New Roman" w:hAnsi="Times New Roman"/>
          <w:sz w:val="24"/>
          <w:szCs w:val="24"/>
        </w:rPr>
        <w:t xml:space="preserve"> had sustained hearing loss from his job, which was stabilizing at the time of the test.</w:t>
      </w:r>
    </w:p>
    <w:p w14:paraId="6EF05E1A" w14:textId="77777777" w:rsidR="00365F63" w:rsidRPr="006863C2" w:rsidRDefault="00365F63" w:rsidP="00365F63">
      <w:pPr>
        <w:spacing w:before="100" w:beforeAutospacing="1" w:after="100" w:afterAutospacing="1" w:line="240" w:lineRule="auto"/>
        <w:ind w:left="720"/>
        <w:rPr>
          <w:rFonts w:ascii="Times New Roman" w:eastAsia="Times New Roman" w:hAnsi="Times New Roman"/>
        </w:rPr>
      </w:pPr>
      <w:r w:rsidRPr="006863C2">
        <w:rPr>
          <w:rFonts w:ascii="Times New Roman" w:hAnsi="Times New Roman"/>
        </w:rPr>
        <w:t xml:space="preserve">The </w:t>
      </w:r>
      <w:proofErr w:type="gramStart"/>
      <w:r w:rsidRPr="006863C2">
        <w:rPr>
          <w:rFonts w:ascii="Times New Roman" w:hAnsi="Times New Roman"/>
        </w:rPr>
        <w:t>City</w:t>
      </w:r>
      <w:proofErr w:type="gramEnd"/>
      <w:r w:rsidRPr="006863C2">
        <w:rPr>
          <w:rFonts w:ascii="Times New Roman" w:hAnsi="Times New Roman"/>
        </w:rPr>
        <w:t xml:space="preserve"> was on notice, even before the date of the injury, that O'Neal had suffered hearing loss due to repetitive trauma from his work.</w:t>
      </w:r>
      <w:r>
        <w:rPr>
          <w:rFonts w:ascii="Times New Roman" w:hAnsi="Times New Roman"/>
        </w:rPr>
        <w:t xml:space="preserve">” </w:t>
      </w:r>
      <w:hyperlink r:id="rId562" w:history="1">
        <w:r w:rsidRPr="007C6FB3">
          <w:rPr>
            <w:rStyle w:val="Hyperlink"/>
            <w:rFonts w:ascii="Times New Roman" w:hAnsi="Times New Roman"/>
          </w:rPr>
          <w:t>https://casetext.com/case/oneal-v-city-of-hutchinson</w:t>
        </w:r>
      </w:hyperlink>
      <w:r>
        <w:rPr>
          <w:rFonts w:ascii="Times New Roman" w:hAnsi="Times New Roman"/>
        </w:rPr>
        <w:t xml:space="preserve"> </w:t>
      </w:r>
    </w:p>
    <w:p w14:paraId="53516FF7" w14:textId="77777777" w:rsidR="00365F63" w:rsidRPr="0022156A" w:rsidRDefault="00365F63" w:rsidP="00365F63">
      <w:pPr>
        <w:spacing w:before="100" w:beforeAutospacing="1" w:after="100" w:afterAutospacing="1" w:line="240" w:lineRule="auto"/>
        <w:rPr>
          <w:rFonts w:ascii="Times New Roman" w:hAnsi="Times New Roman"/>
          <w:b/>
          <w:bCs/>
          <w:sz w:val="24"/>
          <w:szCs w:val="24"/>
        </w:rPr>
      </w:pPr>
      <w:r w:rsidRPr="0022156A">
        <w:rPr>
          <w:rFonts w:ascii="Times New Roman" w:hAnsi="Times New Roman"/>
          <w:b/>
          <w:bCs/>
          <w:sz w:val="24"/>
          <w:szCs w:val="24"/>
        </w:rPr>
        <w:t>Legal Lesson Learned:</w:t>
      </w:r>
      <w:r>
        <w:rPr>
          <w:rFonts w:ascii="Times New Roman" w:hAnsi="Times New Roman"/>
          <w:b/>
          <w:bCs/>
          <w:sz w:val="24"/>
          <w:szCs w:val="24"/>
        </w:rPr>
        <w:t xml:space="preserve"> Kansas workers comp statutes, like many states, </w:t>
      </w:r>
      <w:proofErr w:type="gramStart"/>
      <w:r>
        <w:rPr>
          <w:rFonts w:ascii="Times New Roman" w:hAnsi="Times New Roman"/>
          <w:b/>
          <w:bCs/>
          <w:sz w:val="24"/>
          <w:szCs w:val="24"/>
        </w:rPr>
        <w:t>provides</w:t>
      </w:r>
      <w:proofErr w:type="gramEnd"/>
      <w:r>
        <w:rPr>
          <w:rFonts w:ascii="Times New Roman" w:hAnsi="Times New Roman"/>
          <w:b/>
          <w:bCs/>
          <w:sz w:val="24"/>
          <w:szCs w:val="24"/>
        </w:rPr>
        <w:t xml:space="preserve"> medical coverage for hearing loss arising from the job.  </w:t>
      </w:r>
    </w:p>
    <w:p w14:paraId="15438586" w14:textId="77777777" w:rsidR="00365F63" w:rsidRDefault="00365F63" w:rsidP="00EF1133">
      <w:pPr>
        <w:pStyle w:val="NoSpacing"/>
        <w:rPr>
          <w:rFonts w:ascii="Arial Black" w:hAnsi="Arial Black"/>
          <w:sz w:val="24"/>
          <w:szCs w:val="24"/>
        </w:rPr>
      </w:pPr>
    </w:p>
    <w:p w14:paraId="5A308BDF" w14:textId="77777777" w:rsidR="00365F63" w:rsidRDefault="00365F63" w:rsidP="00EF1133">
      <w:pPr>
        <w:pStyle w:val="NoSpacing"/>
        <w:rPr>
          <w:rFonts w:ascii="Arial Black" w:hAnsi="Arial Black"/>
          <w:sz w:val="24"/>
          <w:szCs w:val="24"/>
        </w:rPr>
      </w:pPr>
    </w:p>
    <w:p w14:paraId="3A947F93" w14:textId="4E6D8267" w:rsidR="00243A7F" w:rsidRDefault="00243A7F" w:rsidP="00EF1133">
      <w:pPr>
        <w:pStyle w:val="NoSpacing"/>
        <w:rPr>
          <w:rFonts w:ascii="Arial Black" w:hAnsi="Arial Black"/>
          <w:sz w:val="24"/>
          <w:szCs w:val="24"/>
        </w:rPr>
      </w:pPr>
      <w:r>
        <w:rPr>
          <w:rFonts w:ascii="Arial Black" w:hAnsi="Arial Black"/>
          <w:sz w:val="24"/>
          <w:szCs w:val="24"/>
        </w:rPr>
        <w:t>2-36</w:t>
      </w:r>
    </w:p>
    <w:p w14:paraId="2F6C55B7" w14:textId="77777777" w:rsidR="00243A7F" w:rsidRPr="008F74AA" w:rsidRDefault="00243A7F" w:rsidP="00243A7F">
      <w:pPr>
        <w:pStyle w:val="Heading1"/>
        <w:rPr>
          <w:rFonts w:ascii="Arial Black" w:hAnsi="Arial Black"/>
          <w:b w:val="0"/>
          <w:bCs w:val="0"/>
          <w:sz w:val="28"/>
          <w:szCs w:val="28"/>
        </w:rPr>
      </w:pPr>
      <w:r>
        <w:rPr>
          <w:rFonts w:ascii="Arial Black" w:hAnsi="Arial Black"/>
          <w:b w:val="0"/>
          <w:bCs w:val="0"/>
          <w:sz w:val="28"/>
          <w:szCs w:val="28"/>
        </w:rPr>
        <w:t>SC: CHARLESTON – COVID-19 VACCINATIONS MANDATED FOR POLICE AND FIRE – PRELIMINARY INJUNCTION DENIED</w:t>
      </w:r>
    </w:p>
    <w:p w14:paraId="6A2123A5" w14:textId="77777777" w:rsidR="00243A7F" w:rsidRDefault="00243A7F" w:rsidP="00243A7F">
      <w:pPr>
        <w:pStyle w:val="Heading1"/>
        <w:rPr>
          <w:b w:val="0"/>
          <w:bCs w:val="0"/>
          <w:sz w:val="24"/>
          <w:szCs w:val="24"/>
        </w:rPr>
      </w:pPr>
      <w:r>
        <w:rPr>
          <w:b w:val="0"/>
          <w:bCs w:val="0"/>
          <w:sz w:val="24"/>
          <w:szCs w:val="24"/>
        </w:rPr>
        <w:t xml:space="preserve">On Oct. 21, 2021, in three combined cases, </w:t>
      </w:r>
      <w:r w:rsidRPr="008F74AA">
        <w:rPr>
          <w:b w:val="0"/>
          <w:bCs w:val="0"/>
          <w:sz w:val="24"/>
          <w:szCs w:val="24"/>
          <w:u w:val="single"/>
        </w:rPr>
        <w:t>Sean Bauer, et al. v. City of North Charleston; Aaron Gdovicak, et al. v. City of Charleston; Ashleigh Tucker v. St. John Fire District</w:t>
      </w:r>
      <w:r>
        <w:rPr>
          <w:b w:val="0"/>
          <w:bCs w:val="0"/>
          <w:sz w:val="24"/>
          <w:szCs w:val="24"/>
        </w:rPr>
        <w:t xml:space="preserve">, U.S. District Court Judge David C. Norton, U.S. District Court for District of South Caroline (Charleston Division) denied request to issue a preliminary injunction against employers’ vaccination mandates, citing 1905 U.S. Supreme Court decision requiring </w:t>
      </w:r>
      <w:proofErr w:type="gramStart"/>
      <w:r>
        <w:rPr>
          <w:b w:val="0"/>
          <w:bCs w:val="0"/>
          <w:sz w:val="24"/>
          <w:szCs w:val="24"/>
        </w:rPr>
        <w:t>small pox</w:t>
      </w:r>
      <w:proofErr w:type="gramEnd"/>
      <w:r>
        <w:rPr>
          <w:b w:val="0"/>
          <w:bCs w:val="0"/>
          <w:sz w:val="24"/>
          <w:szCs w:val="24"/>
        </w:rPr>
        <w:t xml:space="preserve"> vaccinations.  </w:t>
      </w:r>
    </w:p>
    <w:p w14:paraId="14616CCD" w14:textId="77777777" w:rsidR="00243A7F" w:rsidRDefault="00243A7F" w:rsidP="00243A7F">
      <w:pPr>
        <w:pStyle w:val="Heading1"/>
        <w:ind w:left="720"/>
        <w:rPr>
          <w:b w:val="0"/>
          <w:bCs w:val="0"/>
          <w:sz w:val="24"/>
          <w:szCs w:val="24"/>
        </w:rPr>
      </w:pPr>
      <w:r>
        <w:rPr>
          <w:b w:val="0"/>
          <w:bCs w:val="0"/>
          <w:sz w:val="24"/>
          <w:szCs w:val="24"/>
        </w:rPr>
        <w:t>“</w:t>
      </w:r>
      <w:r w:rsidRPr="008F74AA">
        <w:rPr>
          <w:b w:val="0"/>
          <w:bCs w:val="0"/>
          <w:sz w:val="24"/>
          <w:szCs w:val="24"/>
        </w:rPr>
        <w:t>While plaintiffs may remain unvaccinated at their own risk, the balance of equities and public interest do not require defendants to allow plaintiffs to spread that risk in their workplace and, by extension, into the communities they serve. Reasonable minds may disagree on the public health consequences of the Policies.</w:t>
      </w:r>
    </w:p>
    <w:p w14:paraId="7897B19C" w14:textId="77777777" w:rsidR="00243A7F" w:rsidRPr="008F74AA" w:rsidRDefault="00243A7F" w:rsidP="00243A7F">
      <w:pPr>
        <w:pStyle w:val="Heading1"/>
        <w:ind w:firstLine="720"/>
        <w:rPr>
          <w:b w:val="0"/>
          <w:bCs w:val="0"/>
          <w:sz w:val="24"/>
          <w:szCs w:val="24"/>
        </w:rPr>
      </w:pPr>
      <w:r>
        <w:rPr>
          <w:b w:val="0"/>
          <w:bCs w:val="0"/>
          <w:sz w:val="24"/>
          <w:szCs w:val="24"/>
        </w:rPr>
        <w:t>***</w:t>
      </w:r>
    </w:p>
    <w:p w14:paraId="6E85B643" w14:textId="77777777" w:rsidR="00243A7F" w:rsidRDefault="00243A7F" w:rsidP="00243A7F">
      <w:pPr>
        <w:pStyle w:val="NormalWeb"/>
        <w:ind w:left="720"/>
      </w:pPr>
      <w:r>
        <w:t xml:space="preserve">Notably, the Supreme Court has expressly rejected the idea of a fundamental right to refuse vaccination. In </w:t>
      </w:r>
      <w:r>
        <w:rPr>
          <w:rStyle w:val="Emphasis"/>
        </w:rPr>
        <w:t>Jacobson v. Massachusetts</w:t>
      </w:r>
      <w:r>
        <w:t xml:space="preserve">, 197 U.S. 11, 26–27 (1905), the Supreme Court upheld a state law allowing cities and towns to implement vaccine mandates </w:t>
      </w:r>
      <w:proofErr w:type="gramStart"/>
      <w:r>
        <w:t>in order to</w:t>
      </w:r>
      <w:proofErr w:type="gramEnd"/>
      <w:r>
        <w:t xml:space="preserve"> contain smallpox outbreaks. In so holding, the Supreme Court rejected an argument that liberty interests under the Fourteenth Amendment inevitably prevail in these circumstances. Specifically, the Supreme Court stated, ‘We are unwilling to hold it to be an element in the liberty secured by the Constitution of the United States that one person, or a minority of persons, residing in any community and enjoying the benefits of its local government, should have the power thus to dominate the majority when supported in their action by the authority of the state.’</w:t>
      </w:r>
    </w:p>
    <w:p w14:paraId="1AAE2DA4" w14:textId="77777777" w:rsidR="00243A7F" w:rsidRDefault="00243A7F" w:rsidP="00243A7F">
      <w:pPr>
        <w:pStyle w:val="Heading1"/>
        <w:ind w:left="720"/>
        <w:rPr>
          <w:b w:val="0"/>
          <w:bCs w:val="0"/>
          <w:sz w:val="24"/>
          <w:szCs w:val="24"/>
        </w:rPr>
      </w:pPr>
      <w:r>
        <w:rPr>
          <w:b w:val="0"/>
          <w:bCs w:val="0"/>
          <w:sz w:val="24"/>
          <w:szCs w:val="24"/>
        </w:rPr>
        <w:t>***</w:t>
      </w:r>
    </w:p>
    <w:p w14:paraId="2719A573" w14:textId="77777777" w:rsidR="00243A7F" w:rsidRPr="008F74AA" w:rsidRDefault="00243A7F" w:rsidP="00243A7F">
      <w:pPr>
        <w:pStyle w:val="Heading1"/>
        <w:ind w:left="720"/>
        <w:rPr>
          <w:b w:val="0"/>
          <w:bCs w:val="0"/>
          <w:sz w:val="24"/>
          <w:szCs w:val="24"/>
        </w:rPr>
      </w:pPr>
      <w:proofErr w:type="gramStart"/>
      <w:r w:rsidRPr="008F74AA">
        <w:rPr>
          <w:b w:val="0"/>
          <w:bCs w:val="0"/>
          <w:sz w:val="24"/>
          <w:szCs w:val="24"/>
        </w:rPr>
        <w:t>In light of</w:t>
      </w:r>
      <w:proofErr w:type="gramEnd"/>
      <w:r w:rsidRPr="008F74AA">
        <w:rPr>
          <w:b w:val="0"/>
          <w:bCs w:val="0"/>
          <w:sz w:val="24"/>
          <w:szCs w:val="24"/>
        </w:rPr>
        <w:t xml:space="preserve"> plaintiffs’ failure to show that their claims are likely to be meritorious, the balance of hardships that weighs in defendants’ favor, and the strong public interest that weighs against enjoining the Policies, the court finds that a preliminary injunction is not appropriate in this case. In denying plaintiffs’ motions, this court is not impugning either the integrity or the sincere nature of plaintiffs’ beliefs. However, it is not the court’s role to determine and impose the employer policies that best strike the balance of the competing interests of a pandemic that has plagued not just this state or country, but the world, for almost two years. Irrespective of politics, the court has evaluated and analyzed the law and the legal arguments raised by both sides. Unfortunately for plaintiffs, they have not stated a viable legal theory in support of an injunction, as each of the factors required to be considered, individually and collectively, weigh against the grant of injunctive relief.</w:t>
      </w:r>
      <w:r>
        <w:rPr>
          <w:b w:val="0"/>
          <w:bCs w:val="0"/>
          <w:sz w:val="24"/>
          <w:szCs w:val="24"/>
        </w:rPr>
        <w:t xml:space="preserve">” </w:t>
      </w:r>
      <w:hyperlink r:id="rId563" w:history="1">
        <w:r w:rsidRPr="00BD2840">
          <w:rPr>
            <w:rStyle w:val="Hyperlink"/>
            <w:sz w:val="24"/>
            <w:szCs w:val="24"/>
          </w:rPr>
          <w:t>https://public.fastcase.com/9SKwsfNqTc6OieYDhNMyMw%2FXypC%2BGCgzOI8YVtEGVa9n7jEOxoaSK8egV%2FDY7vKxD%2FnkzijiMqV0cvRDHM3YNZxTynpkQChMaJvb9tBM2DY%3D</w:t>
        </w:r>
      </w:hyperlink>
      <w:r>
        <w:rPr>
          <w:b w:val="0"/>
          <w:bCs w:val="0"/>
          <w:sz w:val="24"/>
          <w:szCs w:val="24"/>
        </w:rPr>
        <w:t xml:space="preserve"> </w:t>
      </w:r>
    </w:p>
    <w:p w14:paraId="5532DEAC" w14:textId="77777777" w:rsidR="00243A7F" w:rsidRPr="009F2E1C" w:rsidRDefault="00243A7F" w:rsidP="00243A7F">
      <w:pPr>
        <w:pStyle w:val="Heading1"/>
        <w:rPr>
          <w:sz w:val="24"/>
          <w:szCs w:val="24"/>
        </w:rPr>
      </w:pPr>
      <w:r w:rsidRPr="009F2E1C">
        <w:rPr>
          <w:sz w:val="24"/>
          <w:szCs w:val="24"/>
        </w:rPr>
        <w:t>Legal Lesson Learned:</w:t>
      </w:r>
      <w:r>
        <w:rPr>
          <w:sz w:val="24"/>
          <w:szCs w:val="24"/>
        </w:rPr>
        <w:t xml:space="preserve"> The Court issued a very detailed decision, examining and rejecting numerous Constitutional arguments by the plaintiffs. </w:t>
      </w:r>
    </w:p>
    <w:p w14:paraId="1B954DBE" w14:textId="77777777" w:rsidR="00243A7F" w:rsidRPr="00310A49" w:rsidRDefault="00243A7F" w:rsidP="00243A7F">
      <w:pPr>
        <w:pStyle w:val="Heading1"/>
        <w:ind w:left="720"/>
        <w:rPr>
          <w:rStyle w:val="Strong"/>
          <w:rFonts w:eastAsiaTheme="majorEastAsia"/>
          <w:b/>
          <w:bCs/>
          <w:sz w:val="24"/>
          <w:szCs w:val="24"/>
        </w:rPr>
      </w:pPr>
      <w:r w:rsidRPr="00BA6F47">
        <w:rPr>
          <w:rStyle w:val="Strong"/>
          <w:rFonts w:eastAsiaTheme="majorEastAsia"/>
          <w:sz w:val="24"/>
          <w:szCs w:val="24"/>
        </w:rPr>
        <w:t xml:space="preserve">Note: </w:t>
      </w:r>
      <w:r>
        <w:rPr>
          <w:rStyle w:val="Strong"/>
          <w:rFonts w:eastAsiaTheme="majorEastAsia"/>
          <w:sz w:val="24"/>
          <w:szCs w:val="24"/>
        </w:rPr>
        <w:t xml:space="preserve">See Oct. 19, </w:t>
      </w:r>
      <w:proofErr w:type="gramStart"/>
      <w:r>
        <w:rPr>
          <w:rStyle w:val="Strong"/>
          <w:rFonts w:eastAsiaTheme="majorEastAsia"/>
          <w:sz w:val="24"/>
          <w:szCs w:val="24"/>
        </w:rPr>
        <w:t>2021</w:t>
      </w:r>
      <w:proofErr w:type="gramEnd"/>
      <w:r>
        <w:rPr>
          <w:rStyle w:val="Strong"/>
          <w:rFonts w:eastAsiaTheme="majorEastAsia"/>
          <w:sz w:val="24"/>
          <w:szCs w:val="24"/>
        </w:rPr>
        <w:t xml:space="preserve"> decision in </w:t>
      </w:r>
      <w:r w:rsidRPr="00310A49">
        <w:rPr>
          <w:b w:val="0"/>
          <w:bCs w:val="0"/>
          <w:sz w:val="24"/>
          <w:szCs w:val="24"/>
          <w:u w:val="single"/>
        </w:rPr>
        <w:t>JANE DOES 1-6, et al. v. Janet T. Mills, Governor of State of Maine</w:t>
      </w:r>
      <w:r w:rsidRPr="00310A49">
        <w:rPr>
          <w:b w:val="0"/>
          <w:bCs w:val="0"/>
          <w:sz w:val="24"/>
          <w:szCs w:val="24"/>
        </w:rPr>
        <w:t xml:space="preserve">, </w:t>
      </w:r>
      <w:r>
        <w:rPr>
          <w:b w:val="0"/>
          <w:bCs w:val="0"/>
          <w:sz w:val="24"/>
          <w:szCs w:val="24"/>
        </w:rPr>
        <w:t>where U.S. Court of Appeals for First Circuit (Boston) held (3 to 0) that Federal District Court Judge properly denied preliminary injunction for s</w:t>
      </w:r>
      <w:r w:rsidRPr="00310A49">
        <w:rPr>
          <w:b w:val="0"/>
          <w:bCs w:val="0"/>
          <w:sz w:val="24"/>
          <w:szCs w:val="24"/>
        </w:rPr>
        <w:t>everal Maine healthcare workers (and a healthcare provider who runs his own practice)</w:t>
      </w:r>
      <w:r>
        <w:rPr>
          <w:b w:val="0"/>
          <w:bCs w:val="0"/>
          <w:sz w:val="24"/>
          <w:szCs w:val="24"/>
        </w:rPr>
        <w:t xml:space="preserve">. </w:t>
      </w:r>
      <w:hyperlink r:id="rId564" w:history="1">
        <w:r w:rsidRPr="00764F47">
          <w:rPr>
            <w:rStyle w:val="Hyperlink"/>
            <w:sz w:val="24"/>
            <w:szCs w:val="24"/>
          </w:rPr>
          <w:t>http://media.ca1.uscourts.gov/pdf.opinions/21-1826P-01A.pdf</w:t>
        </w:r>
      </w:hyperlink>
      <w:r>
        <w:rPr>
          <w:b w:val="0"/>
          <w:bCs w:val="0"/>
          <w:sz w:val="24"/>
          <w:szCs w:val="24"/>
        </w:rPr>
        <w:t xml:space="preserve"> </w:t>
      </w:r>
    </w:p>
    <w:p w14:paraId="49D44305" w14:textId="77777777" w:rsidR="00243A7F" w:rsidRDefault="00243A7F" w:rsidP="00243A7F">
      <w:pPr>
        <w:pStyle w:val="Heading1"/>
        <w:ind w:left="720"/>
        <w:rPr>
          <w:b w:val="0"/>
          <w:bCs w:val="0"/>
          <w:sz w:val="24"/>
          <w:szCs w:val="24"/>
        </w:rPr>
      </w:pPr>
      <w:r>
        <w:rPr>
          <w:b w:val="0"/>
          <w:bCs w:val="0"/>
          <w:sz w:val="24"/>
          <w:szCs w:val="24"/>
        </w:rPr>
        <w:t xml:space="preserve">See Oct. 18, 2021 decision – </w:t>
      </w:r>
      <w:r w:rsidRPr="00B46DFE">
        <w:rPr>
          <w:b w:val="0"/>
          <w:bCs w:val="0"/>
          <w:sz w:val="24"/>
          <w:szCs w:val="24"/>
          <w:u w:val="single"/>
        </w:rPr>
        <w:t>Malcolm Johnson</w:t>
      </w:r>
      <w:r>
        <w:rPr>
          <w:b w:val="0"/>
          <w:bCs w:val="0"/>
          <w:sz w:val="24"/>
          <w:szCs w:val="24"/>
          <w:u w:val="single"/>
        </w:rPr>
        <w:t>, et al.</w:t>
      </w:r>
      <w:r w:rsidRPr="00B46DFE">
        <w:rPr>
          <w:b w:val="0"/>
          <w:bCs w:val="0"/>
          <w:sz w:val="24"/>
          <w:szCs w:val="24"/>
          <w:u w:val="single"/>
        </w:rPr>
        <w:t xml:space="preserve"> v. Brown</w:t>
      </w:r>
      <w:r>
        <w:rPr>
          <w:b w:val="0"/>
          <w:bCs w:val="0"/>
          <w:sz w:val="24"/>
          <w:szCs w:val="24"/>
        </w:rPr>
        <w:t xml:space="preserve">, where U.S. District Court Judge </w:t>
      </w:r>
      <w:r w:rsidRPr="00B46DFE">
        <w:rPr>
          <w:b w:val="0"/>
          <w:bCs w:val="0"/>
          <w:sz w:val="24"/>
          <w:szCs w:val="24"/>
        </w:rPr>
        <w:t>Michael H. Simon</w:t>
      </w:r>
      <w:r>
        <w:rPr>
          <w:b w:val="0"/>
          <w:bCs w:val="0"/>
          <w:sz w:val="24"/>
          <w:szCs w:val="24"/>
        </w:rPr>
        <w:t xml:space="preserve">, U.S. District Court, Oregon, denied temporary restraining order for </w:t>
      </w:r>
      <w:r w:rsidRPr="00B46DFE">
        <w:rPr>
          <w:b w:val="0"/>
          <w:bCs w:val="0"/>
          <w:sz w:val="24"/>
          <w:szCs w:val="24"/>
        </w:rPr>
        <w:t>42 individuals who are healthcare providers, healthcare staff, teachers, school staff, a school volunteer, and a State agency employee</w:t>
      </w:r>
      <w:r>
        <w:rPr>
          <w:b w:val="0"/>
          <w:bCs w:val="0"/>
          <w:sz w:val="24"/>
          <w:szCs w:val="24"/>
        </w:rPr>
        <w:t xml:space="preserve">.  , </w:t>
      </w:r>
      <w:hyperlink r:id="rId565" w:history="1">
        <w:r w:rsidRPr="00764F47">
          <w:rPr>
            <w:rStyle w:val="Hyperlink"/>
            <w:sz w:val="24"/>
            <w:szCs w:val="24"/>
          </w:rPr>
          <w:t>https://public.fastcase.com/9SKwsfNqTc6OieYDhNMyM3Zf%2BPwzrkIbdAwXmhTtl8LsaOGFJIHcsZBv5iyM%2B426E1WD6poza6PbNV5FFspTPxqJQS%2BqrXpJYGMVjXOs9qA%3D</w:t>
        </w:r>
      </w:hyperlink>
      <w:r>
        <w:rPr>
          <w:b w:val="0"/>
          <w:bCs w:val="0"/>
          <w:sz w:val="24"/>
          <w:szCs w:val="24"/>
        </w:rPr>
        <w:t xml:space="preserve"> </w:t>
      </w:r>
    </w:p>
    <w:p w14:paraId="6F1BFE37" w14:textId="77777777" w:rsidR="00243A7F" w:rsidRDefault="00243A7F" w:rsidP="00243A7F">
      <w:pPr>
        <w:pStyle w:val="Heading1"/>
        <w:ind w:left="720"/>
        <w:rPr>
          <w:b w:val="0"/>
          <w:bCs w:val="0"/>
          <w:sz w:val="24"/>
          <w:szCs w:val="24"/>
        </w:rPr>
      </w:pPr>
      <w:r w:rsidRPr="00BA6F47">
        <w:rPr>
          <w:b w:val="0"/>
          <w:bCs w:val="0"/>
          <w:sz w:val="24"/>
          <w:szCs w:val="24"/>
        </w:rPr>
        <w:t xml:space="preserve">See also Aug. 12, </w:t>
      </w:r>
      <w:proofErr w:type="gramStart"/>
      <w:r w:rsidRPr="00BA6F47">
        <w:rPr>
          <w:b w:val="0"/>
          <w:bCs w:val="0"/>
          <w:sz w:val="24"/>
          <w:szCs w:val="24"/>
        </w:rPr>
        <w:t>2021</w:t>
      </w:r>
      <w:proofErr w:type="gramEnd"/>
      <w:r w:rsidRPr="00BA6F47">
        <w:rPr>
          <w:b w:val="0"/>
          <w:bCs w:val="0"/>
          <w:sz w:val="24"/>
          <w:szCs w:val="24"/>
        </w:rPr>
        <w:t xml:space="preserve"> article, “Supreme Court won’t stop Indiana University’s COVID vaccination requirement.” </w:t>
      </w:r>
      <w:hyperlink r:id="rId566" w:history="1">
        <w:r w:rsidRPr="00BD2840">
          <w:rPr>
            <w:rStyle w:val="Hyperlink"/>
            <w:sz w:val="24"/>
            <w:szCs w:val="24"/>
          </w:rPr>
          <w:t>https://www.14news.com/2021/08/12/supreme-court-wont-stop-indiana-universitys-covid-vaccination-requirement/</w:t>
        </w:r>
      </w:hyperlink>
      <w:r>
        <w:rPr>
          <w:b w:val="0"/>
          <w:bCs w:val="0"/>
          <w:sz w:val="24"/>
          <w:szCs w:val="24"/>
        </w:rPr>
        <w:t xml:space="preserve"> “</w:t>
      </w:r>
      <w:r w:rsidRPr="00BA6F47">
        <w:rPr>
          <w:b w:val="0"/>
          <w:bCs w:val="0"/>
          <w:sz w:val="24"/>
          <w:szCs w:val="24"/>
        </w:rPr>
        <w:t>INDIANAPOLIS, Ind. (WFIE) - NBC News reports the Supreme Court refused to block Indiana University’s vaccination requirement, ruling in the first COVID vaccine case to reach the high court on Thursday.</w:t>
      </w:r>
      <w:r>
        <w:rPr>
          <w:b w:val="0"/>
          <w:bCs w:val="0"/>
          <w:sz w:val="24"/>
          <w:szCs w:val="24"/>
        </w:rPr>
        <w:t>”</w:t>
      </w:r>
    </w:p>
    <w:p w14:paraId="1FF4774C" w14:textId="77777777" w:rsidR="00243A7F" w:rsidRDefault="00243A7F" w:rsidP="00243A7F">
      <w:pPr>
        <w:pStyle w:val="Heading1"/>
        <w:ind w:left="720"/>
        <w:rPr>
          <w:b w:val="0"/>
          <w:bCs w:val="0"/>
          <w:sz w:val="24"/>
          <w:szCs w:val="24"/>
        </w:rPr>
      </w:pPr>
      <w:r>
        <w:rPr>
          <w:b w:val="0"/>
          <w:bCs w:val="0"/>
          <w:sz w:val="24"/>
          <w:szCs w:val="24"/>
        </w:rPr>
        <w:t xml:space="preserve">See July 19, </w:t>
      </w:r>
      <w:proofErr w:type="gramStart"/>
      <w:r>
        <w:rPr>
          <w:b w:val="0"/>
          <w:bCs w:val="0"/>
          <w:sz w:val="24"/>
          <w:szCs w:val="24"/>
        </w:rPr>
        <w:t>2021</w:t>
      </w:r>
      <w:proofErr w:type="gramEnd"/>
      <w:r>
        <w:rPr>
          <w:b w:val="0"/>
          <w:bCs w:val="0"/>
          <w:sz w:val="24"/>
          <w:szCs w:val="24"/>
        </w:rPr>
        <w:t xml:space="preserve"> article: </w:t>
      </w:r>
      <w:r w:rsidRPr="00BA6F47">
        <w:rPr>
          <w:rStyle w:val="Strong"/>
          <w:rFonts w:eastAsiaTheme="majorEastAsia"/>
          <w:sz w:val="24"/>
          <w:szCs w:val="24"/>
        </w:rPr>
        <w:t>“</w:t>
      </w:r>
      <w:r w:rsidRPr="00BA6F47">
        <w:rPr>
          <w:b w:val="0"/>
          <w:bCs w:val="0"/>
          <w:sz w:val="24"/>
          <w:szCs w:val="24"/>
        </w:rPr>
        <w:t xml:space="preserve">IU wins court case, can proceed with COVID-19 vaccine requirement.” </w:t>
      </w:r>
      <w:hyperlink r:id="rId567" w:history="1">
        <w:r w:rsidRPr="00BD2840">
          <w:rPr>
            <w:rStyle w:val="Hyperlink"/>
            <w:sz w:val="24"/>
            <w:szCs w:val="24"/>
          </w:rPr>
          <w:t>https://www.953mnc.com/2021/07/19/iu-wins-court-case-can-proceed-with-covid-19-vaccine-requirement/</w:t>
        </w:r>
      </w:hyperlink>
      <w:r>
        <w:rPr>
          <w:b w:val="0"/>
          <w:bCs w:val="0"/>
          <w:sz w:val="24"/>
          <w:szCs w:val="24"/>
        </w:rPr>
        <w:t xml:space="preserve"> “</w:t>
      </w:r>
      <w:r w:rsidRPr="00BA6F47">
        <w:rPr>
          <w:b w:val="0"/>
          <w:bCs w:val="0"/>
          <w:sz w:val="24"/>
          <w:szCs w:val="24"/>
        </w:rPr>
        <w:t>Indiana University has won a court case that could have stopped them from requiring the coronavirus vaccine. The U.S. District Court for the Northern District of Indiana in South Bend issued a ruling overnight that denies an injunction south by at least eight IU students</w:t>
      </w:r>
      <w:r>
        <w:rPr>
          <w:b w:val="0"/>
          <w:bCs w:val="0"/>
          <w:sz w:val="24"/>
          <w:szCs w:val="24"/>
        </w:rPr>
        <w:t>.”</w:t>
      </w:r>
    </w:p>
    <w:p w14:paraId="2B066563" w14:textId="77777777" w:rsidR="00243A7F" w:rsidRDefault="00243A7F" w:rsidP="00EF1133">
      <w:pPr>
        <w:pStyle w:val="NoSpacing"/>
        <w:rPr>
          <w:rFonts w:ascii="Arial Black" w:hAnsi="Arial Black"/>
          <w:sz w:val="24"/>
          <w:szCs w:val="24"/>
        </w:rPr>
      </w:pPr>
    </w:p>
    <w:p w14:paraId="053D934E" w14:textId="77777777" w:rsidR="00243A7F" w:rsidRDefault="00243A7F" w:rsidP="00EF1133">
      <w:pPr>
        <w:pStyle w:val="NoSpacing"/>
        <w:rPr>
          <w:rFonts w:ascii="Arial Black" w:hAnsi="Arial Black"/>
          <w:sz w:val="24"/>
          <w:szCs w:val="24"/>
        </w:rPr>
      </w:pPr>
    </w:p>
    <w:p w14:paraId="4F20FBAF" w14:textId="77777777" w:rsidR="00243A7F" w:rsidRDefault="00243A7F" w:rsidP="00EF1133">
      <w:pPr>
        <w:pStyle w:val="NoSpacing"/>
        <w:rPr>
          <w:rFonts w:ascii="Arial Black" w:hAnsi="Arial Black"/>
          <w:sz w:val="24"/>
          <w:szCs w:val="24"/>
        </w:rPr>
      </w:pPr>
    </w:p>
    <w:p w14:paraId="50EA4138" w14:textId="2648BA54" w:rsidR="00BD1702" w:rsidRDefault="00BD1702" w:rsidP="00EF1133">
      <w:pPr>
        <w:pStyle w:val="NoSpacing"/>
        <w:rPr>
          <w:rFonts w:ascii="Arial Black" w:hAnsi="Arial Black"/>
          <w:sz w:val="24"/>
          <w:szCs w:val="24"/>
        </w:rPr>
      </w:pPr>
      <w:r>
        <w:rPr>
          <w:rFonts w:ascii="Arial Black" w:hAnsi="Arial Black"/>
          <w:sz w:val="24"/>
          <w:szCs w:val="24"/>
        </w:rPr>
        <w:t>2-35</w:t>
      </w:r>
    </w:p>
    <w:p w14:paraId="66397097" w14:textId="77777777" w:rsidR="00BD1702" w:rsidRDefault="00BD1702" w:rsidP="00BD170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WI: AIR CARE HELICOPTER CRASH – ALL KILLED – PILOT MAY HAVE FALLEN ASLEEP – LAWSUIT MAY PROCEED</w:t>
      </w:r>
    </w:p>
    <w:p w14:paraId="44A13EA0" w14:textId="77777777" w:rsidR="00BD1702" w:rsidRDefault="00BD1702" w:rsidP="00BD1702">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8, 2021, in </w:t>
      </w:r>
      <w:r>
        <w:rPr>
          <w:rFonts w:ascii="Times New Roman" w:eastAsia="Times New Roman" w:hAnsi="Times New Roman"/>
          <w:sz w:val="24"/>
          <w:szCs w:val="24"/>
          <w:u w:val="single"/>
        </w:rPr>
        <w:t xml:space="preserve">Lindsey Ward, Personal </w:t>
      </w:r>
      <w:proofErr w:type="spellStart"/>
      <w:r>
        <w:rPr>
          <w:rFonts w:ascii="Times New Roman" w:eastAsia="Times New Roman" w:hAnsi="Times New Roman"/>
          <w:sz w:val="24"/>
          <w:szCs w:val="24"/>
          <w:u w:val="single"/>
        </w:rPr>
        <w:t>Pepresentative</w:t>
      </w:r>
      <w:proofErr w:type="spellEnd"/>
      <w:r>
        <w:rPr>
          <w:rFonts w:ascii="Times New Roman" w:eastAsia="Times New Roman" w:hAnsi="Times New Roman"/>
          <w:sz w:val="24"/>
          <w:szCs w:val="24"/>
          <w:u w:val="single"/>
        </w:rPr>
        <w:t xml:space="preserve"> of Estate of Klint Mitchell, et al. v. Air Methods Corporation, et al.</w:t>
      </w:r>
      <w:r>
        <w:rPr>
          <w:rFonts w:ascii="Times New Roman" w:eastAsia="Times New Roman" w:hAnsi="Times New Roman"/>
          <w:sz w:val="24"/>
          <w:szCs w:val="24"/>
        </w:rPr>
        <w:t xml:space="preserve">, U.S. District Court Judge William M. Conley, Western District of Wisconsin, denied the defense motion to dismiss, holding that there is evidence of pilot fatigue.  </w:t>
      </w:r>
    </w:p>
    <w:p w14:paraId="78EC5DEF" w14:textId="77777777" w:rsidR="00BD1702" w:rsidRDefault="00BD1702" w:rsidP="00BD170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Pr>
          <w:rFonts w:ascii="Times New Roman" w:hAnsi="Times New Roman"/>
          <w:sz w:val="24"/>
          <w:szCs w:val="24"/>
        </w:rPr>
        <w:t xml:space="preserve">Plaintiffs allege that Air Methods knew, or should have known, that Caruso would be too fatigued to transport patients and the medical team safely, and it should now be held liable for Mr. Mitchell's death…. Accordingly, plaintiff's claim for wrongful death based on defendant's alleged negligent entrustment states a claim and will not be dismissed at the pleading stage either.” </w:t>
      </w:r>
      <w:hyperlink r:id="rId568" w:history="1">
        <w:r>
          <w:rPr>
            <w:rStyle w:val="Hyperlink"/>
            <w:sz w:val="24"/>
            <w:szCs w:val="24"/>
          </w:rPr>
          <w:t>https://public.fastcase.com/9SKwsfNqTc6OieYDhNMyM3m3eL%2Bu4x8bx%2FFPqQ706C1Bfi57%2Fsm8VTkLX0Q5d2JY3Hl0cE%2BCK3yDi%2BV1afLDAxYamaVWukse%2F0EpEJzWMdw%3D</w:t>
        </w:r>
      </w:hyperlink>
      <w:r>
        <w:rPr>
          <w:rFonts w:ascii="Times New Roman" w:hAnsi="Times New Roman"/>
          <w:sz w:val="24"/>
          <w:szCs w:val="24"/>
        </w:rPr>
        <w:t xml:space="preserve"> </w:t>
      </w:r>
    </w:p>
    <w:p w14:paraId="216F22CD" w14:textId="77777777" w:rsidR="00BD1702" w:rsidRDefault="00BD1702" w:rsidP="00BD170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Fatigue can be a serious factor, not only for pilots, but also fire &amp; EMS personnel. </w:t>
      </w:r>
    </w:p>
    <w:p w14:paraId="50A50CA8" w14:textId="77777777" w:rsidR="00BD1702" w:rsidRDefault="00BD1702" w:rsidP="00EF1133">
      <w:pPr>
        <w:pStyle w:val="NoSpacing"/>
        <w:rPr>
          <w:rFonts w:ascii="Arial Black" w:hAnsi="Arial Black"/>
          <w:sz w:val="24"/>
          <w:szCs w:val="24"/>
        </w:rPr>
      </w:pPr>
    </w:p>
    <w:p w14:paraId="158CC1D9" w14:textId="77777777" w:rsidR="00BD1702" w:rsidRDefault="00BD1702" w:rsidP="00EF1133">
      <w:pPr>
        <w:pStyle w:val="NoSpacing"/>
        <w:rPr>
          <w:rFonts w:ascii="Arial Black" w:hAnsi="Arial Black"/>
          <w:sz w:val="24"/>
          <w:szCs w:val="24"/>
        </w:rPr>
      </w:pPr>
    </w:p>
    <w:p w14:paraId="3A43AE8F" w14:textId="45D4F376" w:rsidR="005217D5" w:rsidRDefault="005217D5" w:rsidP="00EF1133">
      <w:pPr>
        <w:pStyle w:val="NoSpacing"/>
        <w:rPr>
          <w:rFonts w:ascii="Arial Black" w:hAnsi="Arial Black"/>
          <w:sz w:val="24"/>
          <w:szCs w:val="24"/>
        </w:rPr>
      </w:pPr>
      <w:r>
        <w:rPr>
          <w:rFonts w:ascii="Arial Black" w:hAnsi="Arial Black"/>
          <w:sz w:val="24"/>
          <w:szCs w:val="24"/>
        </w:rPr>
        <w:t>2-34</w:t>
      </w:r>
    </w:p>
    <w:p w14:paraId="30B4EAA8" w14:textId="279AF8FD" w:rsidR="005217D5" w:rsidRDefault="005217D5" w:rsidP="00EF1133">
      <w:pPr>
        <w:pStyle w:val="NoSpacing"/>
        <w:rPr>
          <w:rFonts w:ascii="Arial Black" w:hAnsi="Arial Black"/>
          <w:sz w:val="24"/>
          <w:szCs w:val="24"/>
        </w:rPr>
      </w:pPr>
    </w:p>
    <w:p w14:paraId="0B2C7626" w14:textId="77777777" w:rsidR="005217D5" w:rsidRPr="00A05016" w:rsidRDefault="005217D5" w:rsidP="005217D5">
      <w:pPr>
        <w:spacing w:before="100" w:beforeAutospacing="1" w:after="100" w:afterAutospacing="1" w:line="240" w:lineRule="auto"/>
        <w:rPr>
          <w:rFonts w:ascii="Arial Black" w:hAnsi="Arial Black"/>
          <w:sz w:val="28"/>
          <w:szCs w:val="28"/>
        </w:rPr>
      </w:pPr>
      <w:r w:rsidRPr="00A05016">
        <w:rPr>
          <w:rFonts w:ascii="Arial Black" w:hAnsi="Arial Black"/>
          <w:sz w:val="28"/>
          <w:szCs w:val="28"/>
        </w:rPr>
        <w:t>MO</w:t>
      </w:r>
      <w:r>
        <w:rPr>
          <w:rFonts w:ascii="Arial Black" w:hAnsi="Arial Black"/>
          <w:sz w:val="28"/>
          <w:szCs w:val="28"/>
        </w:rPr>
        <w:t xml:space="preserve">: FF INJURED BY FALLING BRICKS – PTSD - BUT NOT TOTALLY &amp; PERMANENTLY DISABLED </w:t>
      </w:r>
    </w:p>
    <w:p w14:paraId="43BD350B" w14:textId="77777777" w:rsidR="005217D5" w:rsidRPr="002E654B" w:rsidRDefault="005217D5" w:rsidP="005217D5">
      <w:pPr>
        <w:spacing w:before="100" w:beforeAutospacing="1" w:after="100" w:afterAutospacing="1" w:line="240" w:lineRule="auto"/>
        <w:rPr>
          <w:rFonts w:ascii="Times New Roman" w:hAnsi="Times New Roman"/>
          <w:sz w:val="24"/>
          <w:szCs w:val="24"/>
        </w:rPr>
      </w:pPr>
      <w:r w:rsidRPr="0040016A">
        <w:rPr>
          <w:rFonts w:ascii="Times New Roman" w:hAnsi="Times New Roman"/>
          <w:sz w:val="24"/>
          <w:szCs w:val="24"/>
        </w:rPr>
        <w:t xml:space="preserve">On July 20, 2021, in </w:t>
      </w:r>
      <w:r w:rsidRPr="0040016A">
        <w:rPr>
          <w:rFonts w:ascii="Times New Roman" w:hAnsi="Times New Roman"/>
          <w:sz w:val="24"/>
          <w:szCs w:val="24"/>
          <w:u w:val="single"/>
        </w:rPr>
        <w:t>Michael Taylor v. The Board of Trustees of the Firefighters’ Retirement Plan of St. Louis</w:t>
      </w:r>
      <w:r w:rsidRPr="0040016A">
        <w:rPr>
          <w:rFonts w:ascii="Times New Roman" w:hAnsi="Times New Roman"/>
          <w:sz w:val="24"/>
          <w:szCs w:val="24"/>
        </w:rPr>
        <w:t xml:space="preserve">, </w:t>
      </w:r>
      <w:r>
        <w:rPr>
          <w:rFonts w:ascii="Times New Roman" w:hAnsi="Times New Roman"/>
          <w:sz w:val="24"/>
          <w:szCs w:val="24"/>
        </w:rPr>
        <w:t xml:space="preserve">the Missouri Court of Appeals (Eastern District – Division Four) held (3 to 0) that the Retirement Board correctly denied his claim for total and permanent disability benefits (25% of his average final compensation), with one doctor describing “symptom magnification.”  </w:t>
      </w:r>
      <w:r w:rsidRPr="0040016A">
        <w:rPr>
          <w:rFonts w:ascii="Times New Roman" w:hAnsi="Times New Roman"/>
          <w:sz w:val="24"/>
          <w:szCs w:val="24"/>
        </w:rPr>
        <w:t>Taylor testified he was working as a stationary engineer trainee for the City of St. Louis at a water purification facility and that his PTSD symptoms were not preventing him from performing that job</w:t>
      </w:r>
      <w:r>
        <w:rPr>
          <w:rFonts w:ascii="Times New Roman" w:hAnsi="Times New Roman"/>
          <w:sz w:val="24"/>
          <w:szCs w:val="24"/>
        </w:rPr>
        <w:t xml:space="preserve">. The Board found </w:t>
      </w:r>
      <w:proofErr w:type="gramStart"/>
      <w:r>
        <w:rPr>
          <w:rFonts w:ascii="Times New Roman" w:hAnsi="Times New Roman"/>
          <w:sz w:val="24"/>
          <w:szCs w:val="24"/>
        </w:rPr>
        <w:t xml:space="preserve">the </w:t>
      </w:r>
      <w:r w:rsidRPr="002E654B">
        <w:rPr>
          <w:rFonts w:ascii="Times New Roman" w:hAnsi="Times New Roman"/>
          <w:sz w:val="24"/>
          <w:szCs w:val="24"/>
        </w:rPr>
        <w:t>Taylor's</w:t>
      </w:r>
      <w:proofErr w:type="gramEnd"/>
      <w:r w:rsidRPr="002E654B">
        <w:rPr>
          <w:rFonts w:ascii="Times New Roman" w:hAnsi="Times New Roman"/>
          <w:sz w:val="24"/>
          <w:szCs w:val="24"/>
        </w:rPr>
        <w:t xml:space="preserve"> failure to return to work </w:t>
      </w:r>
      <w:r>
        <w:rPr>
          <w:rFonts w:ascii="Times New Roman" w:hAnsi="Times New Roman"/>
          <w:sz w:val="24"/>
          <w:szCs w:val="24"/>
        </w:rPr>
        <w:t xml:space="preserve">as a firefighter </w:t>
      </w:r>
      <w:r w:rsidRPr="002E654B">
        <w:rPr>
          <w:rFonts w:ascii="Times New Roman" w:hAnsi="Times New Roman"/>
          <w:sz w:val="24"/>
          <w:szCs w:val="24"/>
        </w:rPr>
        <w:t>was caused by his "unwillingness to return to work</w:t>
      </w:r>
      <w:r>
        <w:rPr>
          <w:rFonts w:ascii="Times New Roman" w:hAnsi="Times New Roman"/>
          <w:sz w:val="24"/>
          <w:szCs w:val="24"/>
        </w:rPr>
        <w:t>.</w:t>
      </w:r>
      <w:r w:rsidRPr="002E654B">
        <w:rPr>
          <w:rFonts w:ascii="Times New Roman" w:hAnsi="Times New Roman"/>
          <w:sz w:val="24"/>
          <w:szCs w:val="24"/>
        </w:rPr>
        <w:t>"</w:t>
      </w:r>
      <w:r>
        <w:rPr>
          <w:rFonts w:ascii="Times New Roman" w:hAnsi="Times New Roman"/>
          <w:sz w:val="24"/>
          <w:szCs w:val="24"/>
        </w:rPr>
        <w:t xml:space="preserve"> </w:t>
      </w:r>
    </w:p>
    <w:p w14:paraId="4CA8CB66"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40016A">
        <w:rPr>
          <w:rFonts w:ascii="Times New Roman" w:hAnsi="Times New Roman"/>
          <w:sz w:val="24"/>
          <w:szCs w:val="24"/>
        </w:rPr>
        <w:t xml:space="preserve">Taylor's argument is premised on the erroneous belief that the Board interpreted the </w:t>
      </w:r>
      <w:r>
        <w:rPr>
          <w:rFonts w:ascii="Times New Roman" w:hAnsi="Times New Roman"/>
          <w:sz w:val="24"/>
          <w:szCs w:val="24"/>
        </w:rPr>
        <w:t>‘</w:t>
      </w:r>
      <w:r w:rsidRPr="0040016A">
        <w:rPr>
          <w:rFonts w:ascii="Times New Roman" w:hAnsi="Times New Roman"/>
          <w:sz w:val="24"/>
          <w:szCs w:val="24"/>
        </w:rPr>
        <w:t>resulting from bodily injury</w:t>
      </w:r>
      <w:r>
        <w:rPr>
          <w:rFonts w:ascii="Times New Roman" w:hAnsi="Times New Roman"/>
          <w:sz w:val="24"/>
          <w:szCs w:val="24"/>
        </w:rPr>
        <w:t>’</w:t>
      </w:r>
      <w:r w:rsidRPr="0040016A">
        <w:rPr>
          <w:rFonts w:ascii="Times New Roman" w:hAnsi="Times New Roman"/>
          <w:sz w:val="24"/>
          <w:szCs w:val="24"/>
        </w:rPr>
        <w:t xml:space="preserve"> requirement contained in section 4.19.070(B)(2) to exclude mental disabilities. Contrary to Taylor's assertion, the Board did not deny his claim on that basis; it instead found he failed to carry his burden of proof to establish three of the requirements of section 4.19.070(b)(2)—specifically, that (1) he incurred a total and permanent disability, (2) his health condition </w:t>
      </w:r>
      <w:r>
        <w:rPr>
          <w:rFonts w:ascii="Times New Roman" w:hAnsi="Times New Roman"/>
          <w:sz w:val="24"/>
          <w:szCs w:val="24"/>
        </w:rPr>
        <w:t>‘</w:t>
      </w:r>
      <w:r w:rsidRPr="0040016A">
        <w:rPr>
          <w:rFonts w:ascii="Times New Roman" w:hAnsi="Times New Roman"/>
          <w:sz w:val="24"/>
          <w:szCs w:val="24"/>
        </w:rPr>
        <w:t>resulted from bodily injury,</w:t>
      </w:r>
      <w:r>
        <w:rPr>
          <w:rFonts w:ascii="Times New Roman" w:hAnsi="Times New Roman"/>
          <w:sz w:val="24"/>
          <w:szCs w:val="24"/>
        </w:rPr>
        <w:t>’</w:t>
      </w:r>
      <w:r w:rsidRPr="0040016A">
        <w:rPr>
          <w:rFonts w:ascii="Times New Roman" w:hAnsi="Times New Roman"/>
          <w:sz w:val="24"/>
          <w:szCs w:val="24"/>
        </w:rPr>
        <w:t xml:space="preserve"> and (3) his health condition rendered him totally and permanently disabled from working as a firefighter.</w:t>
      </w:r>
      <w:r>
        <w:rPr>
          <w:rFonts w:ascii="Times New Roman" w:hAnsi="Times New Roman"/>
          <w:sz w:val="24"/>
          <w:szCs w:val="24"/>
        </w:rPr>
        <w:t xml:space="preserve">” </w:t>
      </w:r>
      <w:hyperlink r:id="rId569" w:history="1">
        <w:r w:rsidRPr="004A379F">
          <w:rPr>
            <w:rStyle w:val="Hyperlink"/>
            <w:sz w:val="24"/>
            <w:szCs w:val="24"/>
          </w:rPr>
          <w:t>https://casetext.com/case/taylor-v-bd-of-trs-of-firefighters-ret-plan-of-st-louis</w:t>
        </w:r>
      </w:hyperlink>
      <w:r>
        <w:rPr>
          <w:rFonts w:ascii="Times New Roman" w:hAnsi="Times New Roman"/>
          <w:sz w:val="24"/>
          <w:szCs w:val="24"/>
        </w:rPr>
        <w:t xml:space="preserve"> </w:t>
      </w:r>
    </w:p>
    <w:p w14:paraId="6F863CCC" w14:textId="77777777" w:rsidR="005217D5" w:rsidRPr="002E654B" w:rsidRDefault="005217D5" w:rsidP="005217D5">
      <w:pPr>
        <w:spacing w:before="100" w:beforeAutospacing="1" w:after="100" w:afterAutospacing="1" w:line="240" w:lineRule="auto"/>
        <w:rPr>
          <w:rFonts w:ascii="Times New Roman" w:eastAsia="Times New Roman" w:hAnsi="Times New Roman"/>
          <w:b/>
          <w:bCs/>
          <w:sz w:val="24"/>
          <w:szCs w:val="24"/>
        </w:rPr>
      </w:pPr>
      <w:r w:rsidRPr="002E654B">
        <w:rPr>
          <w:rFonts w:ascii="Times New Roman" w:hAnsi="Times New Roman"/>
          <w:b/>
          <w:bCs/>
          <w:sz w:val="24"/>
          <w:szCs w:val="24"/>
        </w:rPr>
        <w:t>Legal Lesson Learned:</w:t>
      </w:r>
      <w:r>
        <w:rPr>
          <w:rFonts w:ascii="Times New Roman" w:hAnsi="Times New Roman"/>
          <w:b/>
          <w:bCs/>
          <w:sz w:val="24"/>
          <w:szCs w:val="24"/>
        </w:rPr>
        <w:t xml:space="preserve">  The firefighter failed to prove his suffered from “total and permanent” disability resulting from the </w:t>
      </w:r>
      <w:proofErr w:type="gramStart"/>
      <w:r>
        <w:rPr>
          <w:rFonts w:ascii="Times New Roman" w:hAnsi="Times New Roman"/>
          <w:b/>
          <w:bCs/>
          <w:sz w:val="24"/>
          <w:szCs w:val="24"/>
        </w:rPr>
        <w:t>on duty</w:t>
      </w:r>
      <w:proofErr w:type="gramEnd"/>
      <w:r>
        <w:rPr>
          <w:rFonts w:ascii="Times New Roman" w:hAnsi="Times New Roman"/>
          <w:b/>
          <w:bCs/>
          <w:sz w:val="24"/>
          <w:szCs w:val="24"/>
        </w:rPr>
        <w:t xml:space="preserve"> injury.</w:t>
      </w:r>
    </w:p>
    <w:p w14:paraId="7F4EC019" w14:textId="77777777" w:rsidR="005217D5" w:rsidRDefault="005217D5" w:rsidP="00EF1133">
      <w:pPr>
        <w:pStyle w:val="NoSpacing"/>
        <w:rPr>
          <w:rFonts w:ascii="Arial Black" w:hAnsi="Arial Black"/>
          <w:sz w:val="24"/>
          <w:szCs w:val="24"/>
        </w:rPr>
      </w:pPr>
    </w:p>
    <w:p w14:paraId="1466AFB5" w14:textId="77777777" w:rsidR="005217D5" w:rsidRDefault="005217D5" w:rsidP="00EF1133">
      <w:pPr>
        <w:pStyle w:val="NoSpacing"/>
        <w:rPr>
          <w:rFonts w:ascii="Arial Black" w:hAnsi="Arial Black"/>
          <w:sz w:val="24"/>
          <w:szCs w:val="24"/>
        </w:rPr>
      </w:pPr>
    </w:p>
    <w:p w14:paraId="469D9803" w14:textId="77777777" w:rsidR="005217D5" w:rsidRDefault="005217D5" w:rsidP="00EF1133">
      <w:pPr>
        <w:pStyle w:val="NoSpacing"/>
        <w:rPr>
          <w:rFonts w:ascii="Arial Black" w:hAnsi="Arial Black"/>
          <w:sz w:val="24"/>
          <w:szCs w:val="24"/>
        </w:rPr>
      </w:pPr>
    </w:p>
    <w:p w14:paraId="05EAD169" w14:textId="426F65B5" w:rsidR="0077274E" w:rsidRDefault="00A82898" w:rsidP="00EF1133">
      <w:pPr>
        <w:pStyle w:val="NoSpacing"/>
        <w:rPr>
          <w:rFonts w:ascii="Arial Black" w:hAnsi="Arial Black"/>
          <w:sz w:val="24"/>
          <w:szCs w:val="24"/>
        </w:rPr>
      </w:pPr>
      <w:r>
        <w:rPr>
          <w:rFonts w:ascii="Arial Black" w:hAnsi="Arial Black"/>
          <w:sz w:val="24"/>
          <w:szCs w:val="24"/>
        </w:rPr>
        <w:t>2-33</w:t>
      </w:r>
    </w:p>
    <w:p w14:paraId="00E27B2B" w14:textId="77777777" w:rsidR="00A82898" w:rsidRPr="000C40ED" w:rsidRDefault="00A82898" w:rsidP="00A82898">
      <w:pPr>
        <w:pStyle w:val="Heading1"/>
        <w:rPr>
          <w:rFonts w:ascii="Arial Black" w:hAnsi="Arial Black"/>
          <w:sz w:val="28"/>
          <w:szCs w:val="28"/>
        </w:rPr>
      </w:pPr>
      <w:r>
        <w:rPr>
          <w:rFonts w:ascii="Arial Black" w:hAnsi="Arial Black"/>
          <w:sz w:val="28"/>
          <w:szCs w:val="28"/>
        </w:rPr>
        <w:t>OH: SCHOOL TEACHERS CARRY FIREARMS - MUST TAKE 25-HOURS TRAINING REQUIRED FOR SECURITY GUARDS</w:t>
      </w:r>
    </w:p>
    <w:p w14:paraId="79B0221D" w14:textId="0318763E" w:rsidR="00C52D60" w:rsidRDefault="00C52D60" w:rsidP="00C52D60">
      <w:pPr>
        <w:pStyle w:val="Heading1"/>
        <w:rPr>
          <w:b w:val="0"/>
          <w:bCs w:val="0"/>
          <w:sz w:val="24"/>
          <w:szCs w:val="24"/>
        </w:rPr>
      </w:pPr>
      <w:r>
        <w:rPr>
          <w:b w:val="0"/>
          <w:bCs w:val="0"/>
          <w:sz w:val="24"/>
          <w:szCs w:val="24"/>
        </w:rPr>
        <w:t xml:space="preserve">On June 23, 2021, in </w:t>
      </w:r>
      <w:r>
        <w:rPr>
          <w:b w:val="0"/>
          <w:bCs w:val="0"/>
          <w:sz w:val="24"/>
          <w:szCs w:val="24"/>
          <w:u w:val="single"/>
        </w:rPr>
        <w:t>Erin Gabbard et al. v. Madison Local School District Board of Education</w:t>
      </w:r>
      <w:r>
        <w:rPr>
          <w:b w:val="0"/>
          <w:bCs w:val="0"/>
          <w:sz w:val="24"/>
          <w:szCs w:val="24"/>
        </w:rPr>
        <w:t xml:space="preserve">, the Ohio Supreme Court held (4 to 3) that the School Board cannot authorize 10 teachers to carry concealed firearms while on duty unless they first comply with Ohio Peace Officer Training Commission (OPATC) training requirements for armed security officers: 700 hours, instead of 24-hours, at an approved OPOTC training facility.  </w:t>
      </w:r>
    </w:p>
    <w:p w14:paraId="7172B3CA" w14:textId="3795677E" w:rsidR="00A82898" w:rsidRDefault="00A82898" w:rsidP="00A82898">
      <w:pPr>
        <w:pStyle w:val="Heading1"/>
        <w:ind w:left="720"/>
        <w:rPr>
          <w:b w:val="0"/>
          <w:bCs w:val="0"/>
          <w:sz w:val="24"/>
          <w:szCs w:val="24"/>
        </w:rPr>
      </w:pPr>
      <w:r>
        <w:rPr>
          <w:b w:val="0"/>
          <w:bCs w:val="0"/>
          <w:sz w:val="24"/>
          <w:szCs w:val="24"/>
        </w:rPr>
        <w:t>“</w:t>
      </w:r>
      <w:r w:rsidRPr="000C40ED">
        <w:rPr>
          <w:b w:val="0"/>
          <w:bCs w:val="0"/>
          <w:sz w:val="24"/>
          <w:szCs w:val="24"/>
        </w:rPr>
        <w:t>A person might be hired as a teacher, but when that person agrees to go armed while teaching, his or her duties expand to encompass additional duties akin to those normally performed by special police officers and security guards.</w:t>
      </w:r>
    </w:p>
    <w:p w14:paraId="58684F3E" w14:textId="77777777" w:rsidR="00A82898" w:rsidRDefault="00A82898" w:rsidP="00A82898">
      <w:pPr>
        <w:pStyle w:val="Heading1"/>
        <w:ind w:firstLine="720"/>
        <w:rPr>
          <w:b w:val="0"/>
          <w:bCs w:val="0"/>
          <w:sz w:val="24"/>
          <w:szCs w:val="24"/>
        </w:rPr>
      </w:pPr>
      <w:r>
        <w:rPr>
          <w:b w:val="0"/>
          <w:bCs w:val="0"/>
          <w:sz w:val="24"/>
          <w:szCs w:val="24"/>
        </w:rPr>
        <w:t>***</w:t>
      </w:r>
    </w:p>
    <w:p w14:paraId="34B4F3B0" w14:textId="77777777" w:rsidR="00A82898" w:rsidRDefault="00A82898" w:rsidP="00A82898">
      <w:pPr>
        <w:pStyle w:val="Heading1"/>
        <w:ind w:left="720"/>
        <w:rPr>
          <w:b w:val="0"/>
          <w:bCs w:val="0"/>
          <w:sz w:val="24"/>
          <w:szCs w:val="24"/>
        </w:rPr>
      </w:pPr>
      <w:r w:rsidRPr="000C40ED">
        <w:rPr>
          <w:b w:val="0"/>
          <w:bCs w:val="0"/>
          <w:sz w:val="24"/>
          <w:szCs w:val="24"/>
        </w:rPr>
        <w:t>We conclude that R.C. 2923.122(D)(1)(a) does not clearly constitute a legislative grant of power for school boards to authorize their employees to go armed so long as the employees undergo whatever training a board might deem advisable.</w:t>
      </w:r>
    </w:p>
    <w:p w14:paraId="1CF56B93" w14:textId="77777777" w:rsidR="00A82898" w:rsidRDefault="00A82898" w:rsidP="00A82898">
      <w:pPr>
        <w:pStyle w:val="Heading1"/>
        <w:ind w:firstLine="720"/>
        <w:rPr>
          <w:b w:val="0"/>
          <w:bCs w:val="0"/>
          <w:sz w:val="24"/>
          <w:szCs w:val="24"/>
        </w:rPr>
      </w:pPr>
      <w:r>
        <w:rPr>
          <w:b w:val="0"/>
          <w:bCs w:val="0"/>
          <w:sz w:val="24"/>
          <w:szCs w:val="24"/>
        </w:rPr>
        <w:t>***</w:t>
      </w:r>
    </w:p>
    <w:p w14:paraId="0E2CA891" w14:textId="77777777" w:rsidR="00A82898" w:rsidRDefault="00A82898" w:rsidP="00A82898">
      <w:pPr>
        <w:pStyle w:val="Heading1"/>
        <w:ind w:left="720"/>
        <w:rPr>
          <w:b w:val="0"/>
          <w:bCs w:val="0"/>
          <w:sz w:val="24"/>
          <w:szCs w:val="24"/>
        </w:rPr>
      </w:pPr>
      <w:r w:rsidRPr="000C40ED">
        <w:rPr>
          <w:b w:val="0"/>
          <w:bCs w:val="0"/>
          <w:sz w:val="24"/>
          <w:szCs w:val="24"/>
        </w:rPr>
        <w:t xml:space="preserve">Unlike other state legislatures that have responded to more recent calls to arm teachers and other school staff by enacting legislation that is specifically tailored to that issue, see, e.g., </w:t>
      </w:r>
      <w:proofErr w:type="spellStart"/>
      <w:r w:rsidRPr="000C40ED">
        <w:rPr>
          <w:b w:val="0"/>
          <w:bCs w:val="0"/>
          <w:sz w:val="24"/>
          <w:szCs w:val="24"/>
        </w:rPr>
        <w:t>Kan.Stat.Ann</w:t>
      </w:r>
      <w:proofErr w:type="spellEnd"/>
      <w:r w:rsidRPr="000C40ED">
        <w:rPr>
          <w:b w:val="0"/>
          <w:bCs w:val="0"/>
          <w:sz w:val="24"/>
          <w:szCs w:val="24"/>
        </w:rPr>
        <w:t xml:space="preserve">. 75-7c10(d)(1), </w:t>
      </w:r>
      <w:proofErr w:type="spellStart"/>
      <w:r w:rsidRPr="000C40ED">
        <w:rPr>
          <w:b w:val="0"/>
          <w:bCs w:val="0"/>
          <w:sz w:val="24"/>
          <w:szCs w:val="24"/>
        </w:rPr>
        <w:t>S.D.Codified</w:t>
      </w:r>
      <w:proofErr w:type="spellEnd"/>
      <w:r w:rsidRPr="000C40ED">
        <w:rPr>
          <w:b w:val="0"/>
          <w:bCs w:val="0"/>
          <w:sz w:val="24"/>
          <w:szCs w:val="24"/>
        </w:rPr>
        <w:t xml:space="preserve"> Laws 13-64-1, </w:t>
      </w:r>
      <w:proofErr w:type="spellStart"/>
      <w:r w:rsidRPr="000C40ED">
        <w:rPr>
          <w:b w:val="0"/>
          <w:bCs w:val="0"/>
          <w:sz w:val="24"/>
          <w:szCs w:val="24"/>
        </w:rPr>
        <w:t>Tenn.Code</w:t>
      </w:r>
      <w:proofErr w:type="spellEnd"/>
      <w:r w:rsidRPr="000C40ED">
        <w:rPr>
          <w:b w:val="0"/>
          <w:bCs w:val="0"/>
          <w:sz w:val="24"/>
          <w:szCs w:val="24"/>
        </w:rPr>
        <w:t xml:space="preserve"> Ann. 49-6-815, and </w:t>
      </w:r>
      <w:proofErr w:type="spellStart"/>
      <w:r w:rsidRPr="000C40ED">
        <w:rPr>
          <w:b w:val="0"/>
          <w:bCs w:val="0"/>
          <w:sz w:val="24"/>
          <w:szCs w:val="24"/>
        </w:rPr>
        <w:t>Tex.Educ.Code</w:t>
      </w:r>
      <w:proofErr w:type="spellEnd"/>
      <w:r w:rsidRPr="000C40ED">
        <w:rPr>
          <w:b w:val="0"/>
          <w:bCs w:val="0"/>
          <w:sz w:val="24"/>
          <w:szCs w:val="24"/>
        </w:rPr>
        <w:t xml:space="preserve"> Ann. 37.0811, the General Assembly has not done so.</w:t>
      </w:r>
      <w:r>
        <w:rPr>
          <w:b w:val="0"/>
          <w:bCs w:val="0"/>
          <w:sz w:val="24"/>
          <w:szCs w:val="24"/>
        </w:rPr>
        <w:t xml:space="preserve">  3.</w:t>
      </w:r>
    </w:p>
    <w:p w14:paraId="624B850F" w14:textId="77777777" w:rsidR="00A82898" w:rsidRPr="003D5D8C" w:rsidRDefault="00A82898" w:rsidP="00A82898">
      <w:pPr>
        <w:pStyle w:val="Heading1"/>
        <w:ind w:left="1440"/>
        <w:rPr>
          <w:b w:val="0"/>
          <w:bCs w:val="0"/>
          <w:sz w:val="24"/>
          <w:szCs w:val="24"/>
        </w:rPr>
      </w:pPr>
      <w:r w:rsidRPr="00DA092A">
        <w:rPr>
          <w:b w:val="0"/>
          <w:bCs w:val="0"/>
          <w:sz w:val="24"/>
          <w:szCs w:val="24"/>
        </w:rPr>
        <w:t xml:space="preserve">Footnote 3. There is currently pending in the General Assembly a bill that would exclude from R.C. 109.78(D)’s training-or-experience requirement teachers and other school employees whom a school board authorizes to carry a firearm while on duty. See 2021 H.B. No. 99. As introduced, the bill states an express intention to overrule the Twelfth District Court of Appeals’ decision below in this case.  </w:t>
      </w:r>
      <w:hyperlink r:id="rId570" w:history="1">
        <w:r w:rsidRPr="003D5D8C">
          <w:rPr>
            <w:rStyle w:val="Hyperlink"/>
            <w:sz w:val="24"/>
            <w:szCs w:val="24"/>
          </w:rPr>
          <w:t>https://www.supremecourt.ohio.gov/rod/docs/pdf/0/2021/2021-Ohio-2067.pdf</w:t>
        </w:r>
      </w:hyperlink>
      <w:r w:rsidRPr="003D5D8C">
        <w:rPr>
          <w:b w:val="0"/>
          <w:bCs w:val="0"/>
          <w:sz w:val="24"/>
          <w:szCs w:val="24"/>
        </w:rPr>
        <w:t xml:space="preserve"> </w:t>
      </w:r>
    </w:p>
    <w:p w14:paraId="063C8E1C" w14:textId="77777777" w:rsidR="00A82898" w:rsidRDefault="00A82898" w:rsidP="00A82898">
      <w:pPr>
        <w:pStyle w:val="Heading1"/>
        <w:rPr>
          <w:sz w:val="24"/>
          <w:szCs w:val="24"/>
        </w:rPr>
      </w:pPr>
      <w:r w:rsidRPr="008A7D9D">
        <w:rPr>
          <w:sz w:val="24"/>
          <w:szCs w:val="24"/>
        </w:rPr>
        <w:t xml:space="preserve">Legal Lesson Learned: </w:t>
      </w:r>
      <w:r>
        <w:rPr>
          <w:sz w:val="24"/>
          <w:szCs w:val="24"/>
        </w:rPr>
        <w:t xml:space="preserve">Fire &amp; EMS departments should issue a policy on </w:t>
      </w:r>
      <w:proofErr w:type="gramStart"/>
      <w:r>
        <w:rPr>
          <w:sz w:val="24"/>
          <w:szCs w:val="24"/>
        </w:rPr>
        <w:t>whether on</w:t>
      </w:r>
      <w:proofErr w:type="gramEnd"/>
      <w:r>
        <w:rPr>
          <w:sz w:val="24"/>
          <w:szCs w:val="24"/>
        </w:rPr>
        <w:t xml:space="preserve"> duty personnel may possess firearms, and minimum training required. </w:t>
      </w:r>
    </w:p>
    <w:p w14:paraId="5C246CBC" w14:textId="77777777" w:rsidR="00A82898" w:rsidRPr="00B14793" w:rsidRDefault="00A82898" w:rsidP="00A82898">
      <w:pPr>
        <w:pStyle w:val="NoSpacing"/>
        <w:ind w:left="720"/>
        <w:rPr>
          <w:rFonts w:ascii="Times New Roman" w:hAnsi="Times New Roman"/>
          <w:sz w:val="24"/>
          <w:szCs w:val="24"/>
        </w:rPr>
      </w:pPr>
      <w:r w:rsidRPr="00DA092A">
        <w:rPr>
          <w:rFonts w:ascii="Times New Roman" w:hAnsi="Times New Roman"/>
          <w:sz w:val="24"/>
          <w:szCs w:val="24"/>
        </w:rPr>
        <w:t xml:space="preserve">See this </w:t>
      </w:r>
      <w:r>
        <w:rPr>
          <w:rFonts w:ascii="Times New Roman" w:hAnsi="Times New Roman"/>
          <w:sz w:val="24"/>
          <w:szCs w:val="24"/>
        </w:rPr>
        <w:t xml:space="preserve">Dec. 1, </w:t>
      </w:r>
      <w:proofErr w:type="gramStart"/>
      <w:r>
        <w:rPr>
          <w:rFonts w:ascii="Times New Roman" w:hAnsi="Times New Roman"/>
          <w:sz w:val="24"/>
          <w:szCs w:val="24"/>
        </w:rPr>
        <w:t>2019</w:t>
      </w:r>
      <w:proofErr w:type="gramEnd"/>
      <w:r>
        <w:rPr>
          <w:rFonts w:ascii="Times New Roman" w:hAnsi="Times New Roman"/>
          <w:sz w:val="24"/>
          <w:szCs w:val="24"/>
        </w:rPr>
        <w:t xml:space="preserve"> </w:t>
      </w:r>
      <w:r w:rsidRPr="00DA092A">
        <w:rPr>
          <w:rFonts w:ascii="Times New Roman" w:hAnsi="Times New Roman"/>
          <w:sz w:val="24"/>
          <w:szCs w:val="24"/>
        </w:rPr>
        <w:t>article: “Fire Law: Should Firefighters Be Armed?” Curt Varone explains the challenges of the decision to allow members of a fire department to carry a firearm while on duty.</w:t>
      </w:r>
      <w:r>
        <w:rPr>
          <w:rFonts w:ascii="Times New Roman" w:hAnsi="Times New Roman"/>
          <w:sz w:val="24"/>
          <w:szCs w:val="24"/>
        </w:rPr>
        <w:t xml:space="preserve"> </w:t>
      </w:r>
      <w:hyperlink r:id="rId571" w:history="1">
        <w:r w:rsidRPr="00B14793">
          <w:rPr>
            <w:rStyle w:val="Hyperlink"/>
            <w:sz w:val="24"/>
            <w:szCs w:val="24"/>
          </w:rPr>
          <w:t>https://www.firehouse.com/operations-training/article/21112973/fire-law-should-firefighters-be-armed</w:t>
        </w:r>
      </w:hyperlink>
      <w:r w:rsidRPr="00B14793">
        <w:rPr>
          <w:rFonts w:ascii="Times New Roman" w:hAnsi="Times New Roman"/>
          <w:sz w:val="24"/>
          <w:szCs w:val="24"/>
        </w:rPr>
        <w:t xml:space="preserve"> </w:t>
      </w:r>
    </w:p>
    <w:p w14:paraId="7C6C5AB6" w14:textId="77777777" w:rsidR="00A82898" w:rsidRDefault="00A82898" w:rsidP="00A82898">
      <w:pPr>
        <w:pStyle w:val="NormalWeb"/>
        <w:spacing w:before="0" w:beforeAutospacing="0" w:after="0" w:afterAutospacing="0" w:line="255" w:lineRule="atLeast"/>
        <w:rPr>
          <w:rStyle w:val="markedcontent"/>
        </w:rPr>
      </w:pPr>
    </w:p>
    <w:p w14:paraId="482D9514" w14:textId="77777777" w:rsidR="00A82898" w:rsidRDefault="00A82898" w:rsidP="00EF1133">
      <w:pPr>
        <w:pStyle w:val="NoSpacing"/>
        <w:rPr>
          <w:rFonts w:ascii="Arial Black" w:hAnsi="Arial Black"/>
          <w:sz w:val="24"/>
          <w:szCs w:val="24"/>
        </w:rPr>
      </w:pPr>
    </w:p>
    <w:p w14:paraId="48B9A522" w14:textId="77777777" w:rsidR="00A82898" w:rsidRDefault="00A82898" w:rsidP="00EF1133">
      <w:pPr>
        <w:pStyle w:val="NoSpacing"/>
        <w:rPr>
          <w:rFonts w:ascii="Arial Black" w:hAnsi="Arial Black"/>
          <w:sz w:val="24"/>
          <w:szCs w:val="24"/>
        </w:rPr>
      </w:pPr>
    </w:p>
    <w:p w14:paraId="1E72C7DE" w14:textId="17BD001A" w:rsidR="0077274E" w:rsidRDefault="0077274E" w:rsidP="00EF1133">
      <w:pPr>
        <w:pStyle w:val="NoSpacing"/>
        <w:rPr>
          <w:rFonts w:ascii="Arial Black" w:hAnsi="Arial Black"/>
          <w:sz w:val="24"/>
          <w:szCs w:val="24"/>
        </w:rPr>
      </w:pPr>
      <w:r>
        <w:rPr>
          <w:rFonts w:ascii="Arial Black" w:hAnsi="Arial Black"/>
          <w:sz w:val="24"/>
          <w:szCs w:val="24"/>
        </w:rPr>
        <w:t>2-32</w:t>
      </w:r>
    </w:p>
    <w:p w14:paraId="5002D415" w14:textId="77777777" w:rsidR="0077274E" w:rsidRDefault="0077274E" w:rsidP="0077274E">
      <w:pPr>
        <w:pStyle w:val="gntarbp"/>
        <w:rPr>
          <w:rFonts w:ascii="Arial Black" w:hAnsi="Arial Black"/>
          <w:sz w:val="28"/>
          <w:szCs w:val="28"/>
        </w:rPr>
      </w:pPr>
      <w:r>
        <w:rPr>
          <w:rFonts w:ascii="Arial Black" w:hAnsi="Arial Black"/>
          <w:sz w:val="28"/>
          <w:szCs w:val="28"/>
        </w:rPr>
        <w:t>PA: ARSON CONV. SET ASIDE (3 FF LODD 1995) – ATF PAID REWARDS 2 WIT – NEW FED. CASE, NOT DOUBLE JEOPARDY</w:t>
      </w:r>
    </w:p>
    <w:p w14:paraId="178F06FE" w14:textId="77777777" w:rsidR="0077274E" w:rsidRPr="00E44388" w:rsidRDefault="0077274E" w:rsidP="0077274E">
      <w:pPr>
        <w:rPr>
          <w:rFonts w:ascii="Times New Roman" w:hAnsi="Times New Roman"/>
          <w:sz w:val="24"/>
          <w:szCs w:val="24"/>
        </w:rPr>
      </w:pPr>
      <w:r w:rsidRPr="00E44388">
        <w:rPr>
          <w:rFonts w:ascii="Times New Roman" w:hAnsi="Times New Roman"/>
          <w:sz w:val="24"/>
          <w:szCs w:val="24"/>
        </w:rPr>
        <w:t xml:space="preserve">On April 13, 2021, in </w:t>
      </w:r>
      <w:r w:rsidRPr="00E44388">
        <w:rPr>
          <w:rFonts w:ascii="Times New Roman" w:hAnsi="Times New Roman"/>
          <w:sz w:val="24"/>
          <w:szCs w:val="24"/>
          <w:u w:val="single"/>
        </w:rPr>
        <w:t>United States of America v. Gregory Brown, Jr</w:t>
      </w:r>
      <w:r w:rsidRPr="00E44388">
        <w:rPr>
          <w:rFonts w:ascii="Times New Roman" w:hAnsi="Times New Roman"/>
          <w:sz w:val="24"/>
          <w:szCs w:val="24"/>
        </w:rPr>
        <w:t xml:space="preserve">., the U.S. Court of Appeals for Third Circuit (Philadelphia) held 3-0 that the defendant, serving a life sentence for starting fire in his mother’s apartment </w:t>
      </w:r>
      <w:r>
        <w:rPr>
          <w:rFonts w:ascii="Times New Roman" w:hAnsi="Times New Roman"/>
          <w:sz w:val="24"/>
          <w:szCs w:val="24"/>
        </w:rPr>
        <w:t xml:space="preserve">on Feb. 14, </w:t>
      </w:r>
      <w:proofErr w:type="gramStart"/>
      <w:r>
        <w:rPr>
          <w:rFonts w:ascii="Times New Roman" w:hAnsi="Times New Roman"/>
          <w:sz w:val="24"/>
          <w:szCs w:val="24"/>
        </w:rPr>
        <w:t>1995</w:t>
      </w:r>
      <w:proofErr w:type="gramEnd"/>
      <w:r>
        <w:rPr>
          <w:rFonts w:ascii="Times New Roman" w:hAnsi="Times New Roman"/>
          <w:sz w:val="24"/>
          <w:szCs w:val="24"/>
        </w:rPr>
        <w:t xml:space="preserve"> </w:t>
      </w:r>
      <w:r w:rsidRPr="00E44388">
        <w:rPr>
          <w:rFonts w:ascii="Times New Roman" w:hAnsi="Times New Roman"/>
          <w:sz w:val="24"/>
          <w:szCs w:val="24"/>
        </w:rPr>
        <w:t>to collect renters</w:t>
      </w:r>
      <w:r>
        <w:rPr>
          <w:rFonts w:ascii="Times New Roman" w:hAnsi="Times New Roman"/>
          <w:sz w:val="24"/>
          <w:szCs w:val="24"/>
        </w:rPr>
        <w:t>’</w:t>
      </w:r>
      <w:r w:rsidRPr="00E44388">
        <w:rPr>
          <w:rFonts w:ascii="Times New Roman" w:hAnsi="Times New Roman"/>
          <w:sz w:val="24"/>
          <w:szCs w:val="24"/>
        </w:rPr>
        <w:t xml:space="preserve"> insurance can be re-tried</w:t>
      </w:r>
      <w:r>
        <w:rPr>
          <w:rFonts w:ascii="Times New Roman" w:hAnsi="Times New Roman"/>
          <w:sz w:val="24"/>
          <w:szCs w:val="24"/>
        </w:rPr>
        <w:t xml:space="preserve">, this time in Federal court.  Three firefighters were killed when a staircase collapsed. The state convictions were set aside 20 years after the convictions, when it was discovered that two witnesses were paid rewards by the ATF </w:t>
      </w:r>
      <w:proofErr w:type="spellStart"/>
      <w:r>
        <w:rPr>
          <w:rFonts w:ascii="Times New Roman" w:hAnsi="Times New Roman"/>
          <w:sz w:val="24"/>
          <w:szCs w:val="24"/>
        </w:rPr>
        <w:t>post trial</w:t>
      </w:r>
      <w:proofErr w:type="spellEnd"/>
      <w:r>
        <w:rPr>
          <w:rFonts w:ascii="Times New Roman" w:hAnsi="Times New Roman"/>
          <w:sz w:val="24"/>
          <w:szCs w:val="24"/>
        </w:rPr>
        <w:t xml:space="preserve"> ($10,000 and $5,000) even though they testified that no rewards were expected.  </w:t>
      </w:r>
      <w:r w:rsidRPr="00E44388">
        <w:rPr>
          <w:rFonts w:ascii="Times New Roman" w:hAnsi="Times New Roman"/>
          <w:sz w:val="24"/>
          <w:szCs w:val="24"/>
        </w:rPr>
        <w:t>This time he was indicted in Federal court destruction of property by fire resulting in death under 18 U.S.C. §844(</w:t>
      </w:r>
      <w:proofErr w:type="spellStart"/>
      <w:r w:rsidRPr="00E44388">
        <w:rPr>
          <w:rFonts w:ascii="Times New Roman" w:hAnsi="Times New Roman"/>
          <w:sz w:val="24"/>
          <w:szCs w:val="24"/>
        </w:rPr>
        <w:t>i</w:t>
      </w:r>
      <w:proofErr w:type="spellEnd"/>
      <w:r w:rsidRPr="00E44388">
        <w:rPr>
          <w:rFonts w:ascii="Times New Roman" w:hAnsi="Times New Roman"/>
          <w:sz w:val="24"/>
          <w:szCs w:val="24"/>
        </w:rPr>
        <w:t>).</w:t>
      </w:r>
      <w:r>
        <w:rPr>
          <w:rFonts w:ascii="Times New Roman" w:hAnsi="Times New Roman"/>
          <w:sz w:val="24"/>
          <w:szCs w:val="24"/>
        </w:rPr>
        <w:t xml:space="preserve"> </w:t>
      </w:r>
    </w:p>
    <w:p w14:paraId="650C09A6" w14:textId="77777777" w:rsidR="0077274E" w:rsidRPr="00A30885" w:rsidRDefault="0077274E" w:rsidP="0077274E">
      <w:pPr>
        <w:pStyle w:val="Heading1"/>
        <w:ind w:left="1440"/>
        <w:rPr>
          <w:b w:val="0"/>
          <w:bCs w:val="0"/>
          <w:sz w:val="24"/>
          <w:szCs w:val="24"/>
        </w:rPr>
      </w:pPr>
      <w:r w:rsidRPr="00A30885">
        <w:rPr>
          <w:b w:val="0"/>
          <w:bCs w:val="0"/>
          <w:sz w:val="24"/>
          <w:szCs w:val="24"/>
        </w:rPr>
        <w:t>“[R]</w:t>
      </w:r>
      <w:proofErr w:type="spellStart"/>
      <w:r w:rsidRPr="00A30885">
        <w:rPr>
          <w:b w:val="0"/>
          <w:bCs w:val="0"/>
          <w:sz w:val="24"/>
          <w:szCs w:val="24"/>
        </w:rPr>
        <w:t>etrying</w:t>
      </w:r>
      <w:proofErr w:type="spellEnd"/>
      <w:r w:rsidRPr="00A30885">
        <w:rPr>
          <w:b w:val="0"/>
          <w:bCs w:val="0"/>
          <w:sz w:val="24"/>
          <w:szCs w:val="24"/>
        </w:rPr>
        <w:t xml:space="preserve"> a defendant because the conviction was reversed for trial error is not a second jeopardy. Regardless of whether it proceeds in state or federal court, Brown’s second prosecution does not violate the Double Jeopardy Clause. The District Court did not err in denying Brown’s motion to dismiss the indictment and his motion to compel discovery on the dual-sovereignty issue, so we will affirm.</w:t>
      </w:r>
    </w:p>
    <w:p w14:paraId="19DB1B2B" w14:textId="77777777" w:rsidR="0077274E" w:rsidRDefault="0077274E" w:rsidP="0077274E">
      <w:r>
        <w:tab/>
      </w:r>
      <w:r>
        <w:tab/>
        <w:t>***</w:t>
      </w:r>
    </w:p>
    <w:p w14:paraId="05AE0FC0" w14:textId="77777777" w:rsidR="0077274E" w:rsidRPr="00E44388" w:rsidRDefault="0077274E" w:rsidP="0077274E">
      <w:pPr>
        <w:ind w:left="1440"/>
        <w:rPr>
          <w:rFonts w:ascii="Times New Roman" w:hAnsi="Times New Roman"/>
          <w:sz w:val="24"/>
          <w:szCs w:val="24"/>
        </w:rPr>
      </w:pPr>
      <w:r w:rsidRPr="00E12A9E">
        <w:rPr>
          <w:rFonts w:ascii="Times New Roman" w:hAnsi="Times New Roman"/>
          <w:sz w:val="24"/>
          <w:szCs w:val="24"/>
        </w:rPr>
        <w:t>The Double Jeopardy Clause says</w:t>
      </w:r>
      <w:r>
        <w:rPr>
          <w:rFonts w:ascii="Times New Roman" w:hAnsi="Times New Roman"/>
          <w:sz w:val="24"/>
          <w:szCs w:val="24"/>
        </w:rPr>
        <w:t xml:space="preserve"> </w:t>
      </w:r>
      <w:r w:rsidRPr="00E12A9E">
        <w:rPr>
          <w:rFonts w:ascii="Times New Roman" w:hAnsi="Times New Roman"/>
          <w:sz w:val="24"/>
          <w:szCs w:val="24"/>
        </w:rPr>
        <w:t>that no person</w:t>
      </w:r>
      <w:r>
        <w:rPr>
          <w:rFonts w:ascii="Times New Roman" w:hAnsi="Times New Roman"/>
          <w:sz w:val="24"/>
          <w:szCs w:val="24"/>
        </w:rPr>
        <w:t xml:space="preserve"> </w:t>
      </w:r>
      <w:r w:rsidRPr="00E12A9E">
        <w:rPr>
          <w:rFonts w:ascii="Times New Roman" w:hAnsi="Times New Roman"/>
          <w:sz w:val="24"/>
          <w:szCs w:val="24"/>
        </w:rPr>
        <w:t xml:space="preserve">shall </w:t>
      </w:r>
      <w:r>
        <w:rPr>
          <w:rFonts w:ascii="Times New Roman" w:hAnsi="Times New Roman"/>
          <w:sz w:val="24"/>
          <w:szCs w:val="24"/>
        </w:rPr>
        <w:t>‘</w:t>
      </w:r>
      <w:r w:rsidRPr="00E12A9E">
        <w:rPr>
          <w:rFonts w:ascii="Times New Roman" w:hAnsi="Times New Roman"/>
          <w:sz w:val="24"/>
          <w:szCs w:val="24"/>
        </w:rPr>
        <w:t xml:space="preserve">be subject </w:t>
      </w:r>
      <w:proofErr w:type="gramStart"/>
      <w:r w:rsidRPr="00E12A9E">
        <w:rPr>
          <w:rFonts w:ascii="Times New Roman" w:hAnsi="Times New Roman"/>
          <w:sz w:val="24"/>
          <w:szCs w:val="24"/>
        </w:rPr>
        <w:t>for</w:t>
      </w:r>
      <w:proofErr w:type="gramEnd"/>
      <w:r w:rsidRPr="00E12A9E">
        <w:rPr>
          <w:rFonts w:ascii="Times New Roman" w:hAnsi="Times New Roman"/>
          <w:sz w:val="24"/>
          <w:szCs w:val="24"/>
        </w:rPr>
        <w:t xml:space="preserve"> the same offence to be twice put in jeopardy of life or limb.</w:t>
      </w:r>
      <w:r>
        <w:rPr>
          <w:rFonts w:ascii="Times New Roman" w:hAnsi="Times New Roman"/>
          <w:sz w:val="24"/>
          <w:szCs w:val="24"/>
        </w:rPr>
        <w:t xml:space="preserve">’ </w:t>
      </w:r>
      <w:r w:rsidRPr="00E12A9E">
        <w:rPr>
          <w:rFonts w:ascii="Times New Roman" w:hAnsi="Times New Roman"/>
          <w:sz w:val="24"/>
          <w:szCs w:val="24"/>
        </w:rPr>
        <w:t xml:space="preserve">U.S. Const. </w:t>
      </w:r>
      <w:proofErr w:type="gramStart"/>
      <w:r w:rsidRPr="00E12A9E">
        <w:rPr>
          <w:rFonts w:ascii="Times New Roman" w:hAnsi="Times New Roman"/>
          <w:sz w:val="24"/>
          <w:szCs w:val="24"/>
        </w:rPr>
        <w:t>amend</w:t>
      </w:r>
      <w:proofErr w:type="gramEnd"/>
      <w:r w:rsidRPr="00E12A9E">
        <w:rPr>
          <w:rFonts w:ascii="Times New Roman" w:hAnsi="Times New Roman"/>
          <w:sz w:val="24"/>
          <w:szCs w:val="24"/>
        </w:rPr>
        <w:t>. V. But the clause’s prohibition against a second prosecution for the same offense is not absolute. Two examples are relevant here. First,</w:t>
      </w:r>
      <w:r>
        <w:rPr>
          <w:rFonts w:ascii="Times New Roman" w:hAnsi="Times New Roman"/>
          <w:sz w:val="24"/>
          <w:szCs w:val="24"/>
        </w:rPr>
        <w:t xml:space="preserve"> </w:t>
      </w:r>
      <w:r w:rsidRPr="00E12A9E">
        <w:rPr>
          <w:rFonts w:ascii="Times New Roman" w:hAnsi="Times New Roman"/>
          <w:sz w:val="24"/>
          <w:szCs w:val="24"/>
        </w:rPr>
        <w:t xml:space="preserve">under the trial-error rule, the Double Jeopardy Clause </w:t>
      </w:r>
      <w:r>
        <w:rPr>
          <w:rFonts w:ascii="Times New Roman" w:hAnsi="Times New Roman"/>
          <w:sz w:val="24"/>
          <w:szCs w:val="24"/>
        </w:rPr>
        <w:t>‘</w:t>
      </w:r>
      <w:r w:rsidRPr="00E12A9E">
        <w:rPr>
          <w:rFonts w:ascii="Times New Roman" w:hAnsi="Times New Roman"/>
          <w:sz w:val="24"/>
          <w:szCs w:val="24"/>
        </w:rPr>
        <w:t xml:space="preserve">does not prevent the government from retrying a defendant who succeeds in getting his first conviction set aside, through direct appeal or collateral attack, because of some error in the proceedings leading to </w:t>
      </w:r>
      <w:proofErr w:type="gramStart"/>
      <w:r w:rsidRPr="00E12A9E">
        <w:rPr>
          <w:rFonts w:ascii="Times New Roman" w:hAnsi="Times New Roman"/>
          <w:sz w:val="24"/>
          <w:szCs w:val="24"/>
        </w:rPr>
        <w:t>conviction.</w:t>
      </w:r>
      <w:r>
        <w:rPr>
          <w:rFonts w:ascii="Times New Roman" w:hAnsi="Times New Roman"/>
          <w:sz w:val="24"/>
          <w:szCs w:val="24"/>
        </w:rPr>
        <w:t>’</w:t>
      </w:r>
      <w:proofErr w:type="gramEnd"/>
      <w:r w:rsidRPr="00E12A9E">
        <w:rPr>
          <w:rFonts w:ascii="Times New Roman" w:hAnsi="Times New Roman"/>
          <w:sz w:val="24"/>
          <w:szCs w:val="24"/>
        </w:rPr>
        <w:t xml:space="preserve"> Lockhart v. Nelson, 488 U.S. 33, 38 (1988). Second,</w:t>
      </w:r>
      <w:r>
        <w:rPr>
          <w:rFonts w:ascii="Times New Roman" w:hAnsi="Times New Roman"/>
          <w:sz w:val="24"/>
          <w:szCs w:val="24"/>
        </w:rPr>
        <w:t xml:space="preserve"> </w:t>
      </w:r>
      <w:r w:rsidRPr="00E12A9E">
        <w:rPr>
          <w:rFonts w:ascii="Times New Roman" w:hAnsi="Times New Roman"/>
          <w:sz w:val="24"/>
          <w:szCs w:val="24"/>
        </w:rPr>
        <w:t>the dual-sovereignty principle allows a federal indictment for the same conduct</w:t>
      </w:r>
      <w:r>
        <w:rPr>
          <w:rFonts w:ascii="Times New Roman" w:hAnsi="Times New Roman"/>
          <w:sz w:val="24"/>
          <w:szCs w:val="24"/>
        </w:rPr>
        <w:t xml:space="preserve"> </w:t>
      </w:r>
      <w:r w:rsidRPr="00E12A9E">
        <w:rPr>
          <w:rFonts w:ascii="Times New Roman" w:hAnsi="Times New Roman"/>
          <w:sz w:val="24"/>
          <w:szCs w:val="24"/>
        </w:rPr>
        <w:t xml:space="preserve">punished under state law—and vice versa—because the two prosecutions, under different sovereigns, are not </w:t>
      </w:r>
      <w:r>
        <w:rPr>
          <w:rFonts w:ascii="Times New Roman" w:hAnsi="Times New Roman"/>
          <w:sz w:val="24"/>
          <w:szCs w:val="24"/>
        </w:rPr>
        <w:t>‘</w:t>
      </w:r>
      <w:r w:rsidRPr="00E12A9E">
        <w:rPr>
          <w:rFonts w:ascii="Times New Roman" w:hAnsi="Times New Roman"/>
          <w:sz w:val="24"/>
          <w:szCs w:val="24"/>
        </w:rPr>
        <w:t>for the same offence.</w:t>
      </w:r>
      <w:r>
        <w:rPr>
          <w:rFonts w:ascii="Times New Roman" w:hAnsi="Times New Roman"/>
          <w:sz w:val="24"/>
          <w:szCs w:val="24"/>
        </w:rPr>
        <w:t>’</w:t>
      </w:r>
      <w:r w:rsidRPr="00E12A9E">
        <w:rPr>
          <w:rFonts w:ascii="Times New Roman" w:hAnsi="Times New Roman"/>
          <w:sz w:val="24"/>
          <w:szCs w:val="24"/>
        </w:rPr>
        <w:t xml:space="preserve"> U.S. Const. </w:t>
      </w:r>
      <w:proofErr w:type="gramStart"/>
      <w:r w:rsidRPr="00E12A9E">
        <w:rPr>
          <w:rFonts w:ascii="Times New Roman" w:hAnsi="Times New Roman"/>
          <w:sz w:val="24"/>
          <w:szCs w:val="24"/>
        </w:rPr>
        <w:t>amend</w:t>
      </w:r>
      <w:proofErr w:type="gramEnd"/>
      <w:r w:rsidRPr="00E12A9E">
        <w:rPr>
          <w:rFonts w:ascii="Times New Roman" w:hAnsi="Times New Roman"/>
          <w:sz w:val="24"/>
          <w:szCs w:val="24"/>
        </w:rPr>
        <w:t>. V; Gamble, 139 S. Ct. at1965–66.</w:t>
      </w:r>
      <w:r>
        <w:rPr>
          <w:rFonts w:ascii="Times New Roman" w:hAnsi="Times New Roman"/>
          <w:sz w:val="24"/>
          <w:szCs w:val="24"/>
        </w:rPr>
        <w:t xml:space="preserve">”  </w:t>
      </w:r>
      <w:hyperlink r:id="rId572" w:history="1">
        <w:r w:rsidRPr="0041276B">
          <w:rPr>
            <w:rStyle w:val="Hyperlink"/>
            <w:rFonts w:ascii="Times New Roman" w:hAnsi="Times New Roman"/>
            <w:sz w:val="24"/>
            <w:szCs w:val="24"/>
          </w:rPr>
          <w:t>https://www2.ca3.uscourts.gov/opinarch/201734p.pdf</w:t>
        </w:r>
      </w:hyperlink>
      <w:r w:rsidRPr="00E44388">
        <w:rPr>
          <w:rFonts w:ascii="Times New Roman" w:hAnsi="Times New Roman"/>
          <w:sz w:val="24"/>
          <w:szCs w:val="24"/>
        </w:rPr>
        <w:t xml:space="preserve"> </w:t>
      </w:r>
    </w:p>
    <w:p w14:paraId="04481FBF" w14:textId="77777777" w:rsidR="0077274E" w:rsidRPr="003346FA" w:rsidRDefault="0077274E" w:rsidP="0077274E">
      <w:pPr>
        <w:rPr>
          <w:rFonts w:ascii="Times New Roman" w:hAnsi="Times New Roman"/>
          <w:b/>
          <w:bCs/>
          <w:sz w:val="24"/>
          <w:szCs w:val="24"/>
        </w:rPr>
      </w:pPr>
      <w:r w:rsidRPr="003346FA">
        <w:rPr>
          <w:rFonts w:ascii="Times New Roman" w:hAnsi="Times New Roman"/>
          <w:b/>
          <w:bCs/>
          <w:sz w:val="24"/>
          <w:szCs w:val="24"/>
        </w:rPr>
        <w:t>Legal Lesson Learned:</w:t>
      </w:r>
      <w:r>
        <w:rPr>
          <w:rFonts w:ascii="Times New Roman" w:hAnsi="Times New Roman"/>
          <w:b/>
          <w:bCs/>
          <w:sz w:val="24"/>
          <w:szCs w:val="24"/>
        </w:rPr>
        <w:t xml:space="preserve">  Double jeopardy does not apply to second charges in Federal court, after state charges were set aside. When ATF or other agency offers a reward for information on an arson, the Prosecution must disclose to defense counsel at trial whether any witnesses will be paid the reward.   </w:t>
      </w:r>
    </w:p>
    <w:p w14:paraId="5DF688D3" w14:textId="77777777" w:rsidR="0077274E" w:rsidRDefault="0077274E" w:rsidP="0077274E">
      <w:pPr>
        <w:ind w:left="720" w:firstLine="720"/>
        <w:rPr>
          <w:rFonts w:ascii="Times New Roman" w:hAnsi="Times New Roman"/>
          <w:sz w:val="24"/>
          <w:szCs w:val="24"/>
        </w:rPr>
      </w:pPr>
      <w:r>
        <w:rPr>
          <w:rFonts w:ascii="Times New Roman" w:hAnsi="Times New Roman"/>
          <w:sz w:val="24"/>
          <w:szCs w:val="24"/>
        </w:rPr>
        <w:t xml:space="preserve">Note: See article on the case: </w:t>
      </w:r>
    </w:p>
    <w:p w14:paraId="55EBE775" w14:textId="77777777" w:rsidR="0077274E" w:rsidRPr="0077274E" w:rsidRDefault="0077274E" w:rsidP="0077274E">
      <w:pPr>
        <w:pStyle w:val="Heading1"/>
        <w:ind w:left="1440"/>
        <w:rPr>
          <w:b w:val="0"/>
          <w:bCs w:val="0"/>
          <w:sz w:val="24"/>
          <w:szCs w:val="24"/>
        </w:rPr>
      </w:pPr>
      <w:r w:rsidRPr="000D6C61">
        <w:rPr>
          <w:b w:val="0"/>
          <w:bCs w:val="0"/>
          <w:sz w:val="24"/>
          <w:szCs w:val="24"/>
        </w:rPr>
        <w:t xml:space="preserve">“Court rules Pa. man can be re-tried for allegedly setting blaze that killed 3 firefighters. The man's previous convictions for the deaths of three Pittsburgh firefighters were overturned 20 years into his prison sentences.” (April 15, 2021): </w:t>
      </w:r>
      <w:hyperlink r:id="rId573" w:history="1">
        <w:r w:rsidRPr="0077274E">
          <w:rPr>
            <w:rStyle w:val="Hyperlink"/>
            <w:b w:val="0"/>
            <w:bCs w:val="0"/>
            <w:sz w:val="24"/>
            <w:szCs w:val="24"/>
          </w:rPr>
          <w:t>https://www.firerescue1.com/arson-investigation/articles/court-rules-pa-man-can-be-re-tried-for-allegedly-setting-blaze-that-killed-3-firefighters-lLEkejoGfuP6GGk9/?utm_source=FireRescue1+Daily&amp;utm_campaign=f787a554cb-EMAIL_CAMPAIGN_2021_04_15_07_27&amp;utm_medium=email&amp;utm_term=0_758bdbeffe-f787a554cb-41607823</w:t>
        </w:r>
      </w:hyperlink>
      <w:r w:rsidRPr="0077274E">
        <w:rPr>
          <w:b w:val="0"/>
          <w:bCs w:val="0"/>
          <w:sz w:val="24"/>
          <w:szCs w:val="24"/>
        </w:rPr>
        <w:t xml:space="preserve"> </w:t>
      </w:r>
    </w:p>
    <w:p w14:paraId="561B676B" w14:textId="77777777" w:rsidR="0077274E" w:rsidRPr="00A94994" w:rsidRDefault="0077274E" w:rsidP="0077274E">
      <w:pPr>
        <w:ind w:left="720"/>
        <w:rPr>
          <w:rFonts w:ascii="Times New Roman" w:hAnsi="Times New Roman"/>
          <w:sz w:val="24"/>
          <w:szCs w:val="24"/>
        </w:rPr>
      </w:pPr>
    </w:p>
    <w:p w14:paraId="007CD4F8" w14:textId="77777777" w:rsidR="0077274E" w:rsidRDefault="0077274E" w:rsidP="00EF1133">
      <w:pPr>
        <w:pStyle w:val="NoSpacing"/>
        <w:rPr>
          <w:rFonts w:ascii="Arial Black" w:hAnsi="Arial Black"/>
          <w:sz w:val="24"/>
          <w:szCs w:val="24"/>
        </w:rPr>
      </w:pPr>
    </w:p>
    <w:p w14:paraId="6BD771B5" w14:textId="77777777" w:rsidR="0077274E" w:rsidRDefault="0077274E" w:rsidP="00EF1133">
      <w:pPr>
        <w:pStyle w:val="NoSpacing"/>
        <w:rPr>
          <w:rFonts w:ascii="Arial Black" w:hAnsi="Arial Black"/>
          <w:sz w:val="24"/>
          <w:szCs w:val="24"/>
        </w:rPr>
      </w:pPr>
    </w:p>
    <w:p w14:paraId="2C421661" w14:textId="346A44A0" w:rsidR="00CD5950" w:rsidRDefault="00CD5950" w:rsidP="00EF1133">
      <w:pPr>
        <w:pStyle w:val="NoSpacing"/>
        <w:rPr>
          <w:rFonts w:ascii="Arial Black" w:hAnsi="Arial Black"/>
          <w:sz w:val="24"/>
          <w:szCs w:val="24"/>
        </w:rPr>
      </w:pPr>
      <w:r>
        <w:rPr>
          <w:rFonts w:ascii="Arial Black" w:hAnsi="Arial Black"/>
          <w:sz w:val="24"/>
          <w:szCs w:val="24"/>
        </w:rPr>
        <w:t>2-31</w:t>
      </w:r>
    </w:p>
    <w:p w14:paraId="514DA587" w14:textId="2AD41E3C" w:rsidR="00CD5950" w:rsidRDefault="00CD5950" w:rsidP="00EF1133">
      <w:pPr>
        <w:pStyle w:val="NoSpacing"/>
        <w:rPr>
          <w:rFonts w:ascii="Arial Black" w:hAnsi="Arial Black"/>
          <w:sz w:val="24"/>
          <w:szCs w:val="24"/>
        </w:rPr>
      </w:pPr>
    </w:p>
    <w:p w14:paraId="4BA773C9" w14:textId="77777777" w:rsidR="00CD5950" w:rsidRPr="001C50BB" w:rsidRDefault="00CD5950" w:rsidP="00CD5950">
      <w:pPr>
        <w:pStyle w:val="NoSpacing"/>
        <w:rPr>
          <w:rFonts w:ascii="Arial Black" w:hAnsi="Arial Black"/>
          <w:sz w:val="28"/>
          <w:szCs w:val="28"/>
        </w:rPr>
      </w:pPr>
      <w:r>
        <w:rPr>
          <w:rFonts w:ascii="Arial Black" w:hAnsi="Arial Black"/>
          <w:sz w:val="28"/>
          <w:szCs w:val="28"/>
        </w:rPr>
        <w:t>OH: FIRE CHIEF ALMOST HIT - THIRD-DEGEE FELONY - DRIVER SLEEPING AT GAS STATION SPEAD AWAY FROM DEPUTY SHERIFF</w:t>
      </w:r>
    </w:p>
    <w:p w14:paraId="7211BAE9" w14:textId="77777777" w:rsidR="00CD5950" w:rsidRDefault="00CD5950" w:rsidP="00CD5950">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Feb. 22, 2021, in </w:t>
      </w:r>
      <w:r w:rsidRPr="001C50BB">
        <w:rPr>
          <w:rFonts w:ascii="Times New Roman" w:hAnsi="Times New Roman"/>
          <w:sz w:val="24"/>
          <w:szCs w:val="24"/>
          <w:u w:val="single"/>
        </w:rPr>
        <w:t>State of Ohio v. David A. Zitney</w:t>
      </w:r>
      <w:r>
        <w:rPr>
          <w:rFonts w:ascii="Times New Roman" w:hAnsi="Times New Roman"/>
          <w:sz w:val="24"/>
          <w:szCs w:val="24"/>
        </w:rPr>
        <w:t xml:space="preserve">, the Court of Appeals for Twelfth Appellate District (Clinton County), </w:t>
      </w:r>
      <w:r w:rsidRPr="003E75FA">
        <w:rPr>
          <w:rFonts w:ascii="Times New Roman" w:eastAsia="Times New Roman" w:hAnsi="Times New Roman"/>
          <w:color w:val="000000" w:themeColor="text1"/>
          <w:sz w:val="24"/>
          <w:szCs w:val="24"/>
        </w:rPr>
        <w:t xml:space="preserve">2021 Ohio </w:t>
      </w:r>
      <w:r w:rsidRPr="003E75FA">
        <w:rPr>
          <w:rFonts w:ascii="Times New Roman" w:eastAsia="Times New Roman" w:hAnsi="Times New Roman"/>
          <w:sz w:val="24"/>
          <w:szCs w:val="24"/>
        </w:rPr>
        <w:t>466</w:t>
      </w:r>
      <w:r>
        <w:rPr>
          <w:rFonts w:ascii="Times New Roman" w:eastAsia="Times New Roman" w:hAnsi="Times New Roman"/>
          <w:sz w:val="24"/>
          <w:szCs w:val="24"/>
        </w:rPr>
        <w:t xml:space="preserve">, </w:t>
      </w:r>
      <w:r>
        <w:rPr>
          <w:rFonts w:ascii="Times New Roman" w:hAnsi="Times New Roman"/>
          <w:sz w:val="24"/>
          <w:szCs w:val="24"/>
        </w:rPr>
        <w:t xml:space="preserve">held (3 to 0) that the drivers’ conduct, failing to comply with officer’s order or signal, and speeding away from the gas station caused a “substantial risk of serious physical harm to others” and was therefore a third-degree felony.  The jury conviction was affirmed; the defendant must serve 3-year sentence. </w:t>
      </w:r>
    </w:p>
    <w:p w14:paraId="2D3C7521" w14:textId="77777777" w:rsidR="00CD5950" w:rsidRPr="00E31E01"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“T</w:t>
      </w:r>
      <w:r w:rsidRPr="00E31E01">
        <w:rPr>
          <w:rFonts w:ascii="Times New Roman" w:eastAsia="Times New Roman" w:hAnsi="Times New Roman"/>
          <w:sz w:val="24"/>
          <w:szCs w:val="24"/>
        </w:rPr>
        <w:t xml:space="preserve">estimony from Deputy Abbitt and Fugate </w:t>
      </w:r>
      <w:r>
        <w:rPr>
          <w:rFonts w:ascii="Times New Roman" w:eastAsia="Times New Roman" w:hAnsi="Times New Roman"/>
          <w:sz w:val="24"/>
          <w:szCs w:val="24"/>
        </w:rPr>
        <w:t xml:space="preserve">[Don Fugate, Fire Chief, Massie Township] </w:t>
      </w:r>
      <w:r w:rsidRPr="00E31E01">
        <w:rPr>
          <w:rFonts w:ascii="Times New Roman" w:eastAsia="Times New Roman" w:hAnsi="Times New Roman"/>
          <w:sz w:val="24"/>
          <w:szCs w:val="24"/>
        </w:rPr>
        <w:t xml:space="preserve">demonstrated that appellant's actions on October 19, 2019 created a strong possibility of serious physical harm to those individuals present at the Shell gas station and to those motorists traveling along State Route 73 when appellant fled from the gas station. Appellant drove through and exited the parking lot of a commercial establishment where other individuals were present at an excessive rate of speed.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did not </w:t>
      </w:r>
      <w:proofErr w:type="spellStart"/>
      <w:r w:rsidRPr="00E31E01">
        <w:rPr>
          <w:rFonts w:ascii="Times New Roman" w:eastAsia="Times New Roman" w:hAnsi="Times New Roman"/>
          <w:sz w:val="24"/>
          <w:szCs w:val="24"/>
        </w:rPr>
        <w:t>brake</w:t>
      </w:r>
      <w:proofErr w:type="spellEnd"/>
      <w:r w:rsidRPr="00E31E01">
        <w:rPr>
          <w:rFonts w:ascii="Times New Roman" w:eastAsia="Times New Roman" w:hAnsi="Times New Roman"/>
          <w:sz w:val="24"/>
          <w:szCs w:val="24"/>
        </w:rPr>
        <w:t xml:space="preserve"> before entering the roadway and proceeded to drive at a high rate of speed, sometimes on the</w:t>
      </w:r>
      <w:r>
        <w:rPr>
          <w:rFonts w:ascii="Times New Roman" w:eastAsia="Times New Roman" w:hAnsi="Times New Roman"/>
          <w:sz w:val="24"/>
          <w:szCs w:val="24"/>
        </w:rPr>
        <w:t xml:space="preserve"> </w:t>
      </w:r>
      <w:r w:rsidRPr="00E31E01">
        <w:rPr>
          <w:rFonts w:ascii="Times New Roman" w:eastAsia="Times New Roman" w:hAnsi="Times New Roman"/>
          <w:sz w:val="24"/>
          <w:szCs w:val="24"/>
        </w:rPr>
        <w:t xml:space="preserve">wrong side of the road against traffic. As Fugate explained, the area where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entered the highway was a </w:t>
      </w:r>
      <w:r>
        <w:rPr>
          <w:rFonts w:ascii="Times New Roman" w:eastAsia="Times New Roman" w:hAnsi="Times New Roman"/>
          <w:sz w:val="24"/>
          <w:szCs w:val="24"/>
        </w:rPr>
        <w:t>‘</w:t>
      </w:r>
      <w:r w:rsidRPr="00E31E01">
        <w:rPr>
          <w:rFonts w:ascii="Times New Roman" w:eastAsia="Times New Roman" w:hAnsi="Times New Roman"/>
          <w:sz w:val="24"/>
          <w:szCs w:val="24"/>
        </w:rPr>
        <w:t>high traffic area</w:t>
      </w:r>
      <w:r>
        <w:rPr>
          <w:rFonts w:ascii="Times New Roman" w:eastAsia="Times New Roman" w:hAnsi="Times New Roman"/>
          <w:sz w:val="24"/>
          <w:szCs w:val="24"/>
        </w:rPr>
        <w:t>’</w:t>
      </w:r>
      <w:r w:rsidRPr="00E31E01">
        <w:rPr>
          <w:rFonts w:ascii="Times New Roman" w:eastAsia="Times New Roman" w:hAnsi="Times New Roman"/>
          <w:sz w:val="24"/>
          <w:szCs w:val="24"/>
        </w:rPr>
        <w:t xml:space="preserve"> and the roadway where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drove in the incorrect lane was curvy and hilly. In fact, the bridge appellant drove on had an inclining peak, which made it difficult to see if traffic was approaching on the other side of the bridge. Indeed, as Deputy Abbitt explained, traffic was observed traveling in both directions on State Route 73 during her pursuit of appellant. Appellant was driving at such a rapid speed that the deputy was unable to catch up to appellant, despite traveling more than 100 m.p.h.</w:t>
      </w:r>
      <w:r>
        <w:rPr>
          <w:rFonts w:ascii="Times New Roman" w:eastAsia="Times New Roman" w:hAnsi="Times New Roman"/>
          <w:sz w:val="24"/>
          <w:szCs w:val="24"/>
        </w:rPr>
        <w:t xml:space="preserve">”   </w:t>
      </w:r>
      <w:hyperlink r:id="rId574" w:history="1">
        <w:r w:rsidRPr="00EA374E">
          <w:rPr>
            <w:rStyle w:val="Hyperlink"/>
            <w:rFonts w:ascii="Times New Roman" w:eastAsia="Times New Roman" w:hAnsi="Times New Roman"/>
            <w:sz w:val="24"/>
            <w:szCs w:val="24"/>
          </w:rPr>
          <w:t>https://casetext.com/case/state-v-zitney-1</w:t>
        </w:r>
      </w:hyperlink>
      <w:r>
        <w:rPr>
          <w:rFonts w:ascii="Times New Roman" w:eastAsia="Times New Roman" w:hAnsi="Times New Roman"/>
          <w:sz w:val="24"/>
          <w:szCs w:val="24"/>
        </w:rPr>
        <w:t xml:space="preserve"> </w:t>
      </w:r>
    </w:p>
    <w:p w14:paraId="2698B6BF" w14:textId="77777777" w:rsidR="00CD5950" w:rsidRDefault="00CD5950" w:rsidP="00EF1133">
      <w:pPr>
        <w:pStyle w:val="NoSpacing"/>
        <w:rPr>
          <w:rFonts w:ascii="Arial Black" w:hAnsi="Arial Black"/>
          <w:sz w:val="24"/>
          <w:szCs w:val="24"/>
        </w:rPr>
      </w:pPr>
    </w:p>
    <w:p w14:paraId="78F5AC83" w14:textId="77777777" w:rsidR="00CD5950" w:rsidRDefault="00CD5950" w:rsidP="00EF1133">
      <w:pPr>
        <w:pStyle w:val="NoSpacing"/>
        <w:rPr>
          <w:rFonts w:ascii="Arial Black" w:hAnsi="Arial Black"/>
          <w:sz w:val="24"/>
          <w:szCs w:val="24"/>
        </w:rPr>
      </w:pPr>
    </w:p>
    <w:p w14:paraId="79B2132A" w14:textId="77777777" w:rsidR="00CD5950" w:rsidRDefault="00CD5950" w:rsidP="00EF1133">
      <w:pPr>
        <w:pStyle w:val="NoSpacing"/>
        <w:rPr>
          <w:rFonts w:ascii="Arial Black" w:hAnsi="Arial Black"/>
          <w:sz w:val="24"/>
          <w:szCs w:val="24"/>
        </w:rPr>
      </w:pPr>
    </w:p>
    <w:p w14:paraId="30B1E84B" w14:textId="03E81674" w:rsidR="00F90EE5" w:rsidRDefault="00F90EE5" w:rsidP="00EF1133">
      <w:pPr>
        <w:pStyle w:val="NoSpacing"/>
        <w:rPr>
          <w:rFonts w:ascii="Arial Black" w:hAnsi="Arial Black"/>
          <w:sz w:val="24"/>
          <w:szCs w:val="24"/>
        </w:rPr>
      </w:pPr>
      <w:r>
        <w:rPr>
          <w:rFonts w:ascii="Arial Black" w:hAnsi="Arial Black"/>
          <w:sz w:val="24"/>
          <w:szCs w:val="24"/>
        </w:rPr>
        <w:t>2-30</w:t>
      </w:r>
    </w:p>
    <w:p w14:paraId="4EF4A26E" w14:textId="1A082B15" w:rsidR="00F90EE5" w:rsidRDefault="00F90EE5" w:rsidP="00EF1133">
      <w:pPr>
        <w:pStyle w:val="NoSpacing"/>
        <w:rPr>
          <w:rFonts w:ascii="Arial Black" w:hAnsi="Arial Black"/>
          <w:sz w:val="24"/>
          <w:szCs w:val="24"/>
        </w:rPr>
      </w:pPr>
    </w:p>
    <w:p w14:paraId="592B5EB8" w14:textId="77777777" w:rsidR="00F90EE5" w:rsidRPr="00C90287" w:rsidRDefault="00F90EE5" w:rsidP="00F90EE5">
      <w:pPr>
        <w:pStyle w:val="NoSpacing"/>
        <w:rPr>
          <w:rFonts w:ascii="Arial Black" w:hAnsi="Arial Black"/>
          <w:sz w:val="28"/>
          <w:szCs w:val="28"/>
        </w:rPr>
      </w:pPr>
      <w:r>
        <w:rPr>
          <w:rFonts w:ascii="Arial Black" w:hAnsi="Arial Black"/>
          <w:sz w:val="28"/>
          <w:szCs w:val="28"/>
        </w:rPr>
        <w:t>MI: ENGINE PROTECTING MVA SITE – CIVILIAN DRIVER, TEXTING - RAN INTO ENGINE - 10-30 YEARS, DEATH OF PASSENGER</w:t>
      </w:r>
    </w:p>
    <w:p w14:paraId="6FDD95D4" w14:textId="77777777" w:rsidR="00F90EE5" w:rsidRDefault="00F90EE5" w:rsidP="00F90EE5">
      <w:pPr>
        <w:pStyle w:val="NoSpacing"/>
      </w:pPr>
    </w:p>
    <w:p w14:paraId="22C9CFD1" w14:textId="77777777" w:rsidR="00F90EE5" w:rsidRPr="002B73D2" w:rsidRDefault="00F90EE5" w:rsidP="00F90EE5">
      <w:pPr>
        <w:pStyle w:val="NoSpacing"/>
        <w:rPr>
          <w:rFonts w:ascii="Times New Roman" w:hAnsi="Times New Roman"/>
          <w:sz w:val="24"/>
          <w:szCs w:val="24"/>
        </w:rPr>
      </w:pPr>
      <w:r>
        <w:rPr>
          <w:rFonts w:ascii="Times New Roman" w:hAnsi="Times New Roman"/>
          <w:sz w:val="24"/>
          <w:szCs w:val="24"/>
        </w:rPr>
        <w:t xml:space="preserve">On Jan. 14, 2021, in </w:t>
      </w:r>
      <w:r w:rsidRPr="002B73D2">
        <w:rPr>
          <w:rFonts w:ascii="Times New Roman" w:hAnsi="Times New Roman"/>
          <w:sz w:val="24"/>
          <w:szCs w:val="24"/>
          <w:u w:val="single"/>
        </w:rPr>
        <w:t>People of the State of Michigan v. Charles Edward Horn</w:t>
      </w:r>
      <w:r>
        <w:rPr>
          <w:rFonts w:ascii="Times New Roman" w:hAnsi="Times New Roman"/>
          <w:sz w:val="24"/>
          <w:szCs w:val="24"/>
        </w:rPr>
        <w:t xml:space="preserve">, the State of Michigan Court of Appeals, held (3 to 0; unpublished opinion) that the jury properly convicted the driver of </w:t>
      </w:r>
      <w:r w:rsidRPr="002B73D2">
        <w:rPr>
          <w:rFonts w:ascii="Times New Roman" w:hAnsi="Times New Roman"/>
          <w:sz w:val="24"/>
          <w:szCs w:val="24"/>
        </w:rPr>
        <w:t xml:space="preserve">reckless driving causing death </w:t>
      </w:r>
      <w:r>
        <w:rPr>
          <w:rFonts w:ascii="Times New Roman" w:hAnsi="Times New Roman"/>
          <w:sz w:val="24"/>
          <w:szCs w:val="24"/>
        </w:rPr>
        <w:t xml:space="preserve">(back seat passenger) </w:t>
      </w:r>
      <w:r w:rsidRPr="002B73D2">
        <w:rPr>
          <w:rFonts w:ascii="Times New Roman" w:hAnsi="Times New Roman"/>
          <w:sz w:val="24"/>
          <w:szCs w:val="24"/>
        </w:rPr>
        <w:t>and reckless driving causing impairment of a bodily function</w:t>
      </w:r>
      <w:r>
        <w:rPr>
          <w:rFonts w:ascii="Times New Roman" w:hAnsi="Times New Roman"/>
          <w:sz w:val="24"/>
          <w:szCs w:val="24"/>
        </w:rPr>
        <w:t xml:space="preserve"> (defendant’s daughter)</w:t>
      </w:r>
      <w:r w:rsidRPr="002B73D2">
        <w:rPr>
          <w:rFonts w:ascii="Times New Roman" w:hAnsi="Times New Roman"/>
          <w:sz w:val="24"/>
          <w:szCs w:val="24"/>
        </w:rPr>
        <w:t>.</w:t>
      </w:r>
      <w:r>
        <w:rPr>
          <w:rFonts w:ascii="Times New Roman" w:hAnsi="Times New Roman"/>
          <w:sz w:val="24"/>
          <w:szCs w:val="24"/>
        </w:rPr>
        <w:t xml:space="preserve">  The driver was texting his daughter’s former boyfriend, telling him to stay away from her, when he ran into the back of the engine. </w:t>
      </w:r>
    </w:p>
    <w:p w14:paraId="33364AAF" w14:textId="77777777" w:rsidR="00F90EE5" w:rsidRPr="002B73D2" w:rsidRDefault="00F90EE5" w:rsidP="00F90EE5">
      <w:pPr>
        <w:pStyle w:val="NoSpacing"/>
        <w:rPr>
          <w:rFonts w:ascii="Times New Roman" w:hAnsi="Times New Roman"/>
          <w:sz w:val="24"/>
          <w:szCs w:val="24"/>
        </w:rPr>
      </w:pPr>
    </w:p>
    <w:p w14:paraId="44DBF989" w14:textId="77777777" w:rsidR="00F90EE5" w:rsidRPr="002B73D2" w:rsidRDefault="00F90EE5" w:rsidP="00F90EE5">
      <w:pPr>
        <w:pStyle w:val="NoSpacing"/>
        <w:ind w:left="720"/>
        <w:rPr>
          <w:rFonts w:ascii="Times New Roman" w:hAnsi="Times New Roman"/>
          <w:sz w:val="24"/>
          <w:szCs w:val="24"/>
        </w:rPr>
      </w:pPr>
      <w:r>
        <w:rPr>
          <w:rFonts w:ascii="Times New Roman" w:hAnsi="Times New Roman"/>
          <w:sz w:val="24"/>
          <w:szCs w:val="24"/>
        </w:rPr>
        <w:t>“</w:t>
      </w:r>
      <w:r w:rsidRPr="002B73D2">
        <w:rPr>
          <w:rFonts w:ascii="Times New Roman" w:hAnsi="Times New Roman"/>
          <w:sz w:val="24"/>
          <w:szCs w:val="24"/>
        </w:rPr>
        <w:t xml:space="preserve">Phone records showed that defendant's cell phone sent a text message at 11:01:34 p.m. The crash was called in at 11:02:08 p.m. The jury heard uncontested evidence that the average perception or response time is between 1.5 and 1.6 seconds and that defendant—assuming that he was proceeding at the speed limit—had 34 seconds from the time he entered onto the highway until the scene of the crash approximately .6 miles down the highway from the on-ramp, which was more than enough time to bring the vehicle to a complete stop or to change lanes. The fire truck was bright yellow, parked in a standard technique to assure the safety of emergency responders, and had its emergency lights flashing, as did at least one other emergency response vehicle. The roadway was straight, and there was good visibility that night. Despite this, there was no evidence suggesting that defendant ever perceived the fire engine or that he attempted to brake or change lanes to avoid a collision. Given this evidence, the jury could fairly conclude that the defendant was operating the vehicle </w:t>
      </w:r>
      <w:r>
        <w:rPr>
          <w:rFonts w:ascii="Times New Roman" w:hAnsi="Times New Roman"/>
          <w:sz w:val="24"/>
          <w:szCs w:val="24"/>
        </w:rPr>
        <w:t>‘</w:t>
      </w:r>
      <w:r w:rsidRPr="002B73D2">
        <w:rPr>
          <w:rFonts w:ascii="Times New Roman" w:hAnsi="Times New Roman"/>
          <w:sz w:val="24"/>
          <w:szCs w:val="24"/>
        </w:rPr>
        <w:t>with wanton disregard of the potential consequences, i.e., death and serious injury.</w:t>
      </w:r>
      <w:r>
        <w:rPr>
          <w:rFonts w:ascii="Times New Roman" w:hAnsi="Times New Roman"/>
          <w:sz w:val="24"/>
          <w:szCs w:val="24"/>
        </w:rPr>
        <w:t xml:space="preserve">’” </w:t>
      </w:r>
      <w:hyperlink r:id="rId575" w:history="1">
        <w:r w:rsidRPr="00AA6AFA">
          <w:rPr>
            <w:rStyle w:val="Hyperlink"/>
            <w:rFonts w:ascii="Times New Roman" w:hAnsi="Times New Roman"/>
            <w:sz w:val="24"/>
            <w:szCs w:val="24"/>
          </w:rPr>
          <w:t>https://law.justia.com/cases/michigan/court-of-appeals-unpublished/2021/350129.html</w:t>
        </w:r>
      </w:hyperlink>
      <w:r>
        <w:rPr>
          <w:rFonts w:ascii="Times New Roman" w:hAnsi="Times New Roman"/>
          <w:sz w:val="24"/>
          <w:szCs w:val="24"/>
        </w:rPr>
        <w:t xml:space="preserve"> </w:t>
      </w:r>
    </w:p>
    <w:p w14:paraId="064127D6" w14:textId="77777777" w:rsidR="00F90EE5" w:rsidRDefault="00F90EE5" w:rsidP="00F90EE5">
      <w:pPr>
        <w:spacing w:before="100" w:beforeAutospacing="1" w:after="100" w:afterAutospacing="1" w:line="240" w:lineRule="auto"/>
        <w:rPr>
          <w:rFonts w:ascii="Times New Roman" w:hAnsi="Times New Roman"/>
          <w:b/>
          <w:bCs/>
          <w:sz w:val="24"/>
          <w:szCs w:val="24"/>
        </w:rPr>
      </w:pPr>
      <w:r w:rsidRPr="00E86EB6">
        <w:rPr>
          <w:rFonts w:ascii="Times New Roman" w:hAnsi="Times New Roman"/>
          <w:b/>
          <w:bCs/>
          <w:sz w:val="24"/>
          <w:szCs w:val="24"/>
        </w:rPr>
        <w:t>Legal Lesson Learned:</w:t>
      </w:r>
      <w:r>
        <w:rPr>
          <w:rFonts w:ascii="Times New Roman" w:hAnsi="Times New Roman"/>
          <w:b/>
          <w:bCs/>
          <w:sz w:val="24"/>
          <w:szCs w:val="24"/>
        </w:rPr>
        <w:t xml:space="preserve"> Texting while driving can have deadly consequences.</w:t>
      </w:r>
    </w:p>
    <w:p w14:paraId="6B3C6024" w14:textId="77777777" w:rsidR="00F90EE5" w:rsidRDefault="00F90EE5" w:rsidP="00EF1133">
      <w:pPr>
        <w:pStyle w:val="NoSpacing"/>
        <w:rPr>
          <w:rFonts w:ascii="Arial Black" w:hAnsi="Arial Black"/>
          <w:sz w:val="24"/>
          <w:szCs w:val="24"/>
        </w:rPr>
      </w:pPr>
    </w:p>
    <w:p w14:paraId="2DE4B232" w14:textId="64259423" w:rsidR="00F90EE5" w:rsidRDefault="00F90EE5" w:rsidP="00EF1133">
      <w:pPr>
        <w:pStyle w:val="NoSpacing"/>
        <w:rPr>
          <w:rFonts w:ascii="Arial Black" w:hAnsi="Arial Black"/>
          <w:sz w:val="24"/>
          <w:szCs w:val="24"/>
        </w:rPr>
      </w:pPr>
      <w:r>
        <w:rPr>
          <w:rFonts w:ascii="Arial Black" w:hAnsi="Arial Black"/>
          <w:sz w:val="24"/>
          <w:szCs w:val="24"/>
        </w:rPr>
        <w:t>2-29</w:t>
      </w:r>
    </w:p>
    <w:p w14:paraId="10B0E553" w14:textId="6D5A5620" w:rsidR="00F90EE5" w:rsidRDefault="00F90EE5" w:rsidP="00EF1133">
      <w:pPr>
        <w:pStyle w:val="NoSpacing"/>
        <w:rPr>
          <w:rFonts w:ascii="Arial Black" w:hAnsi="Arial Black"/>
          <w:sz w:val="24"/>
          <w:szCs w:val="24"/>
        </w:rPr>
      </w:pPr>
    </w:p>
    <w:p w14:paraId="48DB223F" w14:textId="77777777" w:rsidR="00F90EE5" w:rsidRPr="00067B64" w:rsidRDefault="00F90EE5" w:rsidP="00F90EE5">
      <w:pPr>
        <w:spacing w:before="100" w:beforeAutospacing="1" w:after="100" w:afterAutospacing="1" w:line="240" w:lineRule="auto"/>
        <w:rPr>
          <w:rFonts w:ascii="Arial Black" w:eastAsia="Times New Roman" w:hAnsi="Arial Black"/>
          <w:sz w:val="28"/>
          <w:szCs w:val="28"/>
        </w:rPr>
      </w:pPr>
      <w:bookmarkStart w:id="93" w:name="_Hlk66941295"/>
      <w:r>
        <w:rPr>
          <w:rFonts w:ascii="Arial Black" w:eastAsia="Times New Roman" w:hAnsi="Arial Black"/>
          <w:sz w:val="28"/>
          <w:szCs w:val="28"/>
        </w:rPr>
        <w:t>DE: FIRE STATION “ROLLING BROWN OUTS” – 3 LODDs – FED. LAWSUIT DISMISSED – RISK DEATH INHERENT IN JOB</w:t>
      </w:r>
    </w:p>
    <w:p w14:paraId="19BDAE8B" w14:textId="77777777" w:rsidR="00F90EE5" w:rsidRDefault="00F90EE5" w:rsidP="00F90EE5">
      <w:pPr>
        <w:pStyle w:val="NormalWeb"/>
      </w:pPr>
      <w:r>
        <w:t xml:space="preserve">On Jan. 6, 2021, in </w:t>
      </w:r>
      <w:r w:rsidRPr="00067B64">
        <w:rPr>
          <w:u w:val="single"/>
        </w:rPr>
        <w:t>Firefighter Brad Speakman, et al. v. Dennis P. Williams, et al</w:t>
      </w:r>
      <w:r>
        <w:t xml:space="preserve">., the U.S. Court </w:t>
      </w:r>
      <w:r w:rsidRPr="00067B64">
        <w:t>of Appeals for the 3</w:t>
      </w:r>
      <w:r w:rsidRPr="00067B64">
        <w:rPr>
          <w:vertAlign w:val="superscript"/>
        </w:rPr>
        <w:t>rd</w:t>
      </w:r>
      <w:r w:rsidRPr="00067B64">
        <w:t xml:space="preserve"> Circuit, held (3 to 0</w:t>
      </w:r>
      <w:r>
        <w:t>; non precedential</w:t>
      </w:r>
      <w:r w:rsidRPr="00067B64">
        <w:t>) that the U.S. District Court judge properly granted defense motion to dismiss the lawsuit brought by the estates and survivors of the three deceased firefighters</w:t>
      </w:r>
      <w:r>
        <w:t>: L</w:t>
      </w:r>
      <w:r w:rsidRPr="00067B64">
        <w:t>ieutenant Christopher Leach, Senior Firefighter Jerry Fickes, and Senior Firefighter Ardythe Hop</w:t>
      </w:r>
      <w:r>
        <w:t>e, and the t</w:t>
      </w:r>
      <w:r w:rsidRPr="00067B64">
        <w:t>hree injured firefighters</w:t>
      </w:r>
      <w:r>
        <w:t>: F</w:t>
      </w:r>
      <w:r w:rsidRPr="00067B64">
        <w:t>irefighter Brad Speakman, Senior Firefighter Terrance Tate, and Lieutenant John Cawthray</w:t>
      </w:r>
      <w:r>
        <w:t>.  The five defendants were</w:t>
      </w:r>
      <w:r w:rsidRPr="00067B64">
        <w:t>: (1) Dennis P. Williams (who served as Mayor of Wilmington from 2013 to 2017); (2) James M. Baker (Williams's predecessor, who was Mayor from 2001 to 2013); (3) Anthony S. Goode (WFD Chief of Fire from 2013 until</w:t>
      </w:r>
      <w:r>
        <w:t xml:space="preserve"> </w:t>
      </w:r>
      <w:r w:rsidRPr="00067B64">
        <w:t>2017); (4) William Patrick, Jr. (Chief of Fire from 2007 until 2013); and (5) the City of Wilmington.</w:t>
      </w:r>
    </w:p>
    <w:bookmarkEnd w:id="93"/>
    <w:p w14:paraId="3DA6F393" w14:textId="51A2912E" w:rsidR="00F90EE5" w:rsidRDefault="00F90EE5" w:rsidP="007F3C7D">
      <w:pPr>
        <w:spacing w:before="100" w:beforeAutospacing="1" w:after="100" w:afterAutospacing="1" w:line="240" w:lineRule="auto"/>
        <w:ind w:left="720"/>
        <w:rPr>
          <w:rStyle w:val="Hyperlink"/>
          <w:rFonts w:ascii="Times New Roman" w:hAnsi="Times New Roman"/>
          <w:sz w:val="24"/>
          <w:szCs w:val="24"/>
        </w:rPr>
      </w:pPr>
      <w:r>
        <w:rPr>
          <w:rFonts w:ascii="Times New Roman" w:eastAsia="Times New Roman" w:hAnsi="Times New Roman"/>
          <w:sz w:val="24"/>
          <w:szCs w:val="24"/>
        </w:rPr>
        <w:t>“</w:t>
      </w:r>
      <w:r w:rsidRPr="005005A2">
        <w:rPr>
          <w:rFonts w:ascii="Times New Roman" w:eastAsia="Times New Roman" w:hAnsi="Times New Roman"/>
          <w:sz w:val="24"/>
          <w:szCs w:val="24"/>
        </w:rPr>
        <w:t xml:space="preserve">Applying </w:t>
      </w:r>
      <w:r w:rsidRPr="005005A2">
        <w:rPr>
          <w:rFonts w:ascii="Times New Roman" w:eastAsia="Times New Roman" w:hAnsi="Times New Roman"/>
          <w:sz w:val="24"/>
          <w:szCs w:val="24"/>
          <w:u w:val="single"/>
        </w:rPr>
        <w:t>Collins</w:t>
      </w:r>
      <w:r w:rsidRPr="005005A2">
        <w:rPr>
          <w:rFonts w:ascii="Times New Roman" w:eastAsia="Times New Roman" w:hAnsi="Times New Roman"/>
          <w:sz w:val="24"/>
          <w:szCs w:val="24"/>
        </w:rPr>
        <w:t xml:space="preserve">, </w:t>
      </w:r>
      <w:r>
        <w:rPr>
          <w:rFonts w:ascii="Times New Roman" w:eastAsia="Times New Roman" w:hAnsi="Times New Roman"/>
          <w:sz w:val="24"/>
          <w:szCs w:val="24"/>
        </w:rPr>
        <w:t xml:space="preserve">[U.S. Supreme Court decision in </w:t>
      </w:r>
      <w:r w:rsidRPr="00A6382B">
        <w:rPr>
          <w:rFonts w:ascii="Times New Roman" w:eastAsia="Times New Roman" w:hAnsi="Times New Roman"/>
          <w:sz w:val="24"/>
          <w:szCs w:val="24"/>
          <w:u w:val="single"/>
        </w:rPr>
        <w:t>Collins v. Harker Heights</w:t>
      </w:r>
      <w:r>
        <w:rPr>
          <w:rFonts w:ascii="Times New Roman" w:eastAsia="Times New Roman" w:hAnsi="Times New Roman"/>
          <w:sz w:val="24"/>
          <w:szCs w:val="24"/>
          <w:u w:val="single"/>
        </w:rPr>
        <w:t>, 503 US 115</w:t>
      </w:r>
      <w:r>
        <w:rPr>
          <w:rFonts w:ascii="Times New Roman" w:eastAsia="Times New Roman" w:hAnsi="Times New Roman"/>
          <w:sz w:val="24"/>
          <w:szCs w:val="24"/>
        </w:rPr>
        <w:t xml:space="preserve"> (1992) where sanitation worker died by fumes in manhole, and Court held that lawsuit by spouse alleging violation of U.S. Constitution, Due Process Clause was properly dismissed]  </w:t>
      </w:r>
      <w:r w:rsidRPr="005005A2">
        <w:rPr>
          <w:rFonts w:ascii="Times New Roman" w:eastAsia="Times New Roman" w:hAnsi="Times New Roman"/>
          <w:sz w:val="24"/>
          <w:szCs w:val="24"/>
        </w:rPr>
        <w:t xml:space="preserve">we have concluded that, while the Due Process Clause does not guarantee public employees certain minimal levels of safety and security, </w:t>
      </w:r>
      <w:r>
        <w:rPr>
          <w:rFonts w:ascii="Times New Roman" w:eastAsia="Times New Roman" w:hAnsi="Times New Roman"/>
          <w:sz w:val="24"/>
          <w:szCs w:val="24"/>
        </w:rPr>
        <w:t>‘</w:t>
      </w:r>
      <w:r w:rsidRPr="005005A2">
        <w:rPr>
          <w:rFonts w:ascii="Times New Roman" w:eastAsia="Times New Roman" w:hAnsi="Times New Roman"/>
          <w:sz w:val="24"/>
          <w:szCs w:val="24"/>
        </w:rPr>
        <w:t>a government employee may bring a substantive due process claim against his employer if the state compelled the employee to be exposed to a risk of harm not inherent in the workplace.</w:t>
      </w:r>
      <w:r>
        <w:rPr>
          <w:rFonts w:ascii="Times New Roman" w:eastAsia="Times New Roman" w:hAnsi="Times New Roman"/>
          <w:sz w:val="24"/>
          <w:szCs w:val="24"/>
        </w:rPr>
        <w:t>’</w:t>
      </w:r>
      <w:r w:rsidRPr="005005A2">
        <w:rPr>
          <w:rFonts w:ascii="Times New Roman" w:eastAsia="Times New Roman" w:hAnsi="Times New Roman"/>
          <w:sz w:val="24"/>
          <w:szCs w:val="24"/>
        </w:rPr>
        <w:t xml:space="preserve"> </w:t>
      </w:r>
      <w:r w:rsidRPr="005005A2">
        <w:rPr>
          <w:rFonts w:ascii="Times New Roman" w:eastAsia="Times New Roman" w:hAnsi="Times New Roman"/>
          <w:sz w:val="24"/>
          <w:szCs w:val="24"/>
          <w:u w:val="single"/>
        </w:rPr>
        <w:t>Kedra</w:t>
      </w:r>
      <w:r w:rsidRPr="005005A2">
        <w:rPr>
          <w:rFonts w:ascii="Times New Roman" w:eastAsia="Times New Roman" w:hAnsi="Times New Roman"/>
          <w:sz w:val="24"/>
          <w:szCs w:val="24"/>
        </w:rPr>
        <w:t xml:space="preserve">, 876 F.3d at 436 n.6 (citing </w:t>
      </w:r>
      <w:r w:rsidRPr="005005A2">
        <w:rPr>
          <w:rFonts w:ascii="Times New Roman" w:eastAsia="Times New Roman" w:hAnsi="Times New Roman"/>
          <w:sz w:val="24"/>
          <w:szCs w:val="24"/>
          <w:u w:val="single"/>
        </w:rPr>
        <w:t>Kaucher</w:t>
      </w:r>
      <w:r w:rsidRPr="005005A2">
        <w:rPr>
          <w:rFonts w:ascii="Times New Roman" w:eastAsia="Times New Roman" w:hAnsi="Times New Roman"/>
          <w:sz w:val="24"/>
          <w:szCs w:val="24"/>
        </w:rPr>
        <w:t xml:space="preserve">, 455 F.3d at 430-31; </w:t>
      </w:r>
      <w:r w:rsidRPr="005005A2">
        <w:rPr>
          <w:rFonts w:ascii="Times New Roman" w:eastAsia="Times New Roman" w:hAnsi="Times New Roman"/>
          <w:sz w:val="24"/>
          <w:szCs w:val="24"/>
          <w:u w:val="single"/>
        </w:rPr>
        <w:t>Eddy v. V.I. Water &amp; Power Auth.</w:t>
      </w:r>
      <w:r w:rsidRPr="005005A2">
        <w:rPr>
          <w:rFonts w:ascii="Times New Roman" w:eastAsia="Times New Roman" w:hAnsi="Times New Roman"/>
          <w:sz w:val="24"/>
          <w:szCs w:val="24"/>
        </w:rPr>
        <w:t xml:space="preserve">, 256 F.3d 204, 212-13 (3d Cir. </w:t>
      </w:r>
      <w:proofErr w:type="gramStart"/>
      <w:r w:rsidRPr="005005A2">
        <w:rPr>
          <w:rFonts w:ascii="Times New Roman" w:eastAsia="Times New Roman" w:hAnsi="Times New Roman"/>
          <w:sz w:val="24"/>
          <w:szCs w:val="24"/>
        </w:rPr>
        <w:t>2001))</w:t>
      </w:r>
      <w:proofErr w:type="gramEnd"/>
      <w:r w:rsidRPr="005005A2">
        <w:rPr>
          <w:rFonts w:ascii="Times New Roman" w:eastAsia="Times New Roman" w:hAnsi="Times New Roman"/>
          <w:sz w:val="24"/>
          <w:szCs w:val="24"/>
        </w:rPr>
        <w:t>. Weagree with the District Court</w:t>
      </w:r>
      <w:r>
        <w:rPr>
          <w:rFonts w:ascii="Times New Roman" w:eastAsia="Times New Roman" w:hAnsi="Times New Roman"/>
          <w:sz w:val="24"/>
          <w:szCs w:val="24"/>
        </w:rPr>
        <w:t xml:space="preserve"> </w:t>
      </w:r>
      <w:r w:rsidRPr="005005A2">
        <w:rPr>
          <w:rFonts w:ascii="Times New Roman" w:eastAsia="Times New Roman" w:hAnsi="Times New Roman"/>
          <w:sz w:val="24"/>
          <w:szCs w:val="24"/>
        </w:rPr>
        <w:t xml:space="preserve">that the risk of injury or death is </w:t>
      </w:r>
      <w:r w:rsidRPr="00A6382B">
        <w:rPr>
          <w:rFonts w:ascii="Times New Roman" w:eastAsia="Times New Roman" w:hAnsi="Times New Roman"/>
          <w:sz w:val="24"/>
          <w:szCs w:val="24"/>
        </w:rPr>
        <w:t xml:space="preserve">inherent to a firefighter's job and that any increase in risk on account of either the "rolling bypass" policy, the alleged understaffing, or any other alleged misconduct on the part of Defendants did not alter the fundamental nature of this inherent risk. </w:t>
      </w:r>
      <w:r w:rsidRPr="00A6382B">
        <w:rPr>
          <w:rFonts w:ascii="Times New Roman" w:hAnsi="Times New Roman"/>
          <w:sz w:val="24"/>
          <w:szCs w:val="24"/>
          <w:u w:val="single"/>
        </w:rPr>
        <w:t>See, e.g.</w:t>
      </w:r>
      <w:r w:rsidRPr="00A6382B">
        <w:rPr>
          <w:rFonts w:ascii="Times New Roman" w:hAnsi="Times New Roman"/>
          <w:sz w:val="24"/>
          <w:szCs w:val="24"/>
        </w:rPr>
        <w:t xml:space="preserve">, </w:t>
      </w:r>
      <w:r w:rsidRPr="00A6382B">
        <w:rPr>
          <w:rFonts w:ascii="Times New Roman" w:hAnsi="Times New Roman"/>
          <w:sz w:val="24"/>
          <w:szCs w:val="24"/>
          <w:u w:val="single"/>
        </w:rPr>
        <w:t>Estate of Phillips v. D.C.</w:t>
      </w:r>
      <w:r w:rsidRPr="00A6382B">
        <w:rPr>
          <w:rFonts w:ascii="Times New Roman" w:hAnsi="Times New Roman"/>
          <w:sz w:val="24"/>
          <w:szCs w:val="24"/>
        </w:rPr>
        <w:t>, 455 F.3d 397, 407 (D.C. Cir. 2006) (</w:t>
      </w:r>
      <w:r>
        <w:rPr>
          <w:rFonts w:ascii="Times New Roman" w:hAnsi="Times New Roman"/>
          <w:sz w:val="24"/>
          <w:szCs w:val="24"/>
        </w:rPr>
        <w:t>‘</w:t>
      </w:r>
      <w:r w:rsidRPr="00A6382B">
        <w:rPr>
          <w:rFonts w:ascii="Times New Roman" w:hAnsi="Times New Roman"/>
          <w:sz w:val="24"/>
          <w:szCs w:val="24"/>
        </w:rPr>
        <w:t>[The Fire Chief's] deliberate indifference may have increased the Firefighters' exposure to risk, but the risk itself—injury or death suffered in a fire—is inherent in their profession.</w:t>
      </w:r>
      <w:r>
        <w:rPr>
          <w:rFonts w:ascii="Times New Roman" w:hAnsi="Times New Roman"/>
          <w:sz w:val="24"/>
          <w:szCs w:val="24"/>
        </w:rPr>
        <w:t>’</w:t>
      </w:r>
      <w:r w:rsidRPr="00A6382B">
        <w:rPr>
          <w:rFonts w:ascii="Times New Roman" w:hAnsi="Times New Roman"/>
          <w:sz w:val="24"/>
          <w:szCs w:val="24"/>
        </w:rPr>
        <w:t>)</w:t>
      </w:r>
      <w:r>
        <w:rPr>
          <w:rFonts w:ascii="Times New Roman" w:hAnsi="Times New Roman"/>
          <w:sz w:val="24"/>
          <w:szCs w:val="24"/>
        </w:rPr>
        <w:t xml:space="preserve">” </w:t>
      </w:r>
      <w:bookmarkStart w:id="94" w:name="_Hlk66941320"/>
      <w:r w:rsidR="00F00958">
        <w:fldChar w:fldCharType="begin"/>
      </w:r>
      <w:r w:rsidR="00F00958">
        <w:instrText xml:space="preserve"> HYPERLINK "https://www2.ca3.uscourts.gov/opinarch/201468np.pdf" </w:instrText>
      </w:r>
      <w:r w:rsidR="00F00958">
        <w:fldChar w:fldCharType="separate"/>
      </w:r>
      <w:r w:rsidRPr="00CE47CA">
        <w:rPr>
          <w:rStyle w:val="Hyperlink"/>
          <w:rFonts w:ascii="Times New Roman" w:hAnsi="Times New Roman"/>
          <w:sz w:val="24"/>
          <w:szCs w:val="24"/>
        </w:rPr>
        <w:t>https://www2.ca3.uscourts.gov/opinarch/201468np.pdf</w:t>
      </w:r>
      <w:r w:rsidR="00F00958">
        <w:rPr>
          <w:rStyle w:val="Hyperlink"/>
          <w:rFonts w:ascii="Times New Roman" w:hAnsi="Times New Roman"/>
          <w:sz w:val="24"/>
          <w:szCs w:val="24"/>
        </w:rPr>
        <w:fldChar w:fldCharType="end"/>
      </w:r>
    </w:p>
    <w:p w14:paraId="28567487" w14:textId="77777777" w:rsidR="007F3C7D" w:rsidRDefault="007F3C7D" w:rsidP="007F3C7D">
      <w:pPr>
        <w:spacing w:before="100" w:beforeAutospacing="1" w:after="100" w:afterAutospacing="1" w:line="240" w:lineRule="auto"/>
        <w:rPr>
          <w:rFonts w:ascii="Times New Roman" w:eastAsia="Times New Roman" w:hAnsi="Times New Roman"/>
          <w:b/>
          <w:bCs/>
          <w:sz w:val="24"/>
          <w:szCs w:val="24"/>
        </w:rPr>
      </w:pPr>
      <w:r w:rsidRPr="00D07A6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Station brown outs are most unfortunate, but Federal courts will not interfere with local government decisions on budgets and allocations of resources.</w:t>
      </w:r>
    </w:p>
    <w:p w14:paraId="17C12255" w14:textId="77777777" w:rsidR="007F3C7D" w:rsidRDefault="007F3C7D" w:rsidP="007F3C7D">
      <w:pPr>
        <w:spacing w:before="100" w:beforeAutospacing="1" w:after="100" w:afterAutospacing="1" w:line="240" w:lineRule="auto"/>
        <w:ind w:left="720"/>
        <w:rPr>
          <w:rFonts w:ascii="Times New Roman" w:eastAsia="Times New Roman" w:hAnsi="Times New Roman"/>
          <w:sz w:val="24"/>
          <w:szCs w:val="24"/>
        </w:rPr>
      </w:pPr>
      <w:bookmarkStart w:id="95" w:name="_Hlk66941356"/>
      <w:bookmarkEnd w:id="94"/>
      <w:r w:rsidRPr="00D07A64">
        <w:rPr>
          <w:rFonts w:ascii="Times New Roman" w:eastAsia="Times New Roman" w:hAnsi="Times New Roman"/>
          <w:sz w:val="24"/>
          <w:szCs w:val="24"/>
        </w:rPr>
        <w:t xml:space="preserve">Note: </w:t>
      </w:r>
      <w:r>
        <w:rPr>
          <w:rFonts w:ascii="Times New Roman" w:eastAsia="Times New Roman" w:hAnsi="Times New Roman"/>
          <w:sz w:val="24"/>
          <w:szCs w:val="24"/>
        </w:rPr>
        <w:t xml:space="preserve">Jan. 8, 2021: Oakland, CA has recently announced plans for browning out stations. </w:t>
      </w:r>
      <w:hyperlink r:id="rId576" w:history="1">
        <w:r w:rsidRPr="00CE47CA">
          <w:rPr>
            <w:rStyle w:val="Hyperlink"/>
            <w:rFonts w:ascii="Times New Roman" w:eastAsia="Times New Roman" w:hAnsi="Times New Roman"/>
            <w:sz w:val="24"/>
            <w:szCs w:val="24"/>
          </w:rPr>
          <w:t>https://www.radio.com/kcbsradio/news/local/oakland-fire-stations-may-close-due-to-budget-deficit</w:t>
        </w:r>
      </w:hyperlink>
      <w:r>
        <w:rPr>
          <w:rFonts w:ascii="Times New Roman" w:eastAsia="Times New Roman" w:hAnsi="Times New Roman"/>
          <w:sz w:val="24"/>
          <w:szCs w:val="24"/>
        </w:rPr>
        <w:t xml:space="preserve"> </w:t>
      </w:r>
    </w:p>
    <w:p w14:paraId="674ECEB3" w14:textId="77777777" w:rsidR="007F3C7D" w:rsidRPr="00DA1A89" w:rsidRDefault="007F3C7D" w:rsidP="007F3C7D">
      <w:pPr>
        <w:pStyle w:val="NoSpacing"/>
        <w:ind w:left="720"/>
        <w:rPr>
          <w:rFonts w:ascii="Times New Roman" w:hAnsi="Times New Roman"/>
          <w:sz w:val="24"/>
          <w:szCs w:val="24"/>
        </w:rPr>
      </w:pPr>
      <w:r w:rsidRPr="00DA1A89">
        <w:rPr>
          <w:rFonts w:ascii="Times New Roman" w:hAnsi="Times New Roman"/>
          <w:sz w:val="24"/>
          <w:szCs w:val="24"/>
        </w:rPr>
        <w:t xml:space="preserve">On Dec. 16, 2019: Woman Gets 30 Years in Arson That Killed 3 Delaware Firefighters: </w:t>
      </w:r>
      <w:hyperlink r:id="rId577" w:history="1">
        <w:r w:rsidRPr="00CE47CA">
          <w:rPr>
            <w:rStyle w:val="Hyperlink"/>
            <w:rFonts w:ascii="Times New Roman" w:hAnsi="Times New Roman"/>
            <w:sz w:val="24"/>
            <w:szCs w:val="24"/>
          </w:rPr>
          <w:t>https://www.nbcphiladelphia.com/news/local/woman-gets-30-years-in-arson-that-killed-3-delaware-firefighters/2260369/</w:t>
        </w:r>
      </w:hyperlink>
      <w:r w:rsidRPr="00DA1A89">
        <w:rPr>
          <w:rFonts w:ascii="Times New Roman" w:hAnsi="Times New Roman"/>
          <w:sz w:val="24"/>
          <w:szCs w:val="24"/>
        </w:rPr>
        <w:t xml:space="preserve"> </w:t>
      </w:r>
    </w:p>
    <w:bookmarkEnd w:id="95"/>
    <w:p w14:paraId="67364734" w14:textId="77777777" w:rsidR="007F3C7D" w:rsidRDefault="007F3C7D" w:rsidP="007F3C7D">
      <w:pPr>
        <w:spacing w:before="100" w:beforeAutospacing="1" w:after="100" w:afterAutospacing="1" w:line="240" w:lineRule="auto"/>
        <w:ind w:left="720"/>
        <w:rPr>
          <w:rFonts w:ascii="Arial Black" w:hAnsi="Arial Black"/>
          <w:sz w:val="24"/>
          <w:szCs w:val="24"/>
        </w:rPr>
      </w:pPr>
    </w:p>
    <w:p w14:paraId="253B495F" w14:textId="77777777" w:rsidR="00F90EE5" w:rsidRDefault="00F90EE5" w:rsidP="00EF1133">
      <w:pPr>
        <w:pStyle w:val="NoSpacing"/>
        <w:rPr>
          <w:rFonts w:ascii="Arial Black" w:hAnsi="Arial Black"/>
          <w:sz w:val="24"/>
          <w:szCs w:val="24"/>
        </w:rPr>
      </w:pPr>
    </w:p>
    <w:p w14:paraId="1558366A" w14:textId="39950706" w:rsidR="007D178F" w:rsidRDefault="007D178F" w:rsidP="00EF1133">
      <w:pPr>
        <w:pStyle w:val="NoSpacing"/>
        <w:rPr>
          <w:rFonts w:ascii="Arial Black" w:hAnsi="Arial Black"/>
          <w:sz w:val="24"/>
          <w:szCs w:val="24"/>
        </w:rPr>
      </w:pPr>
      <w:r>
        <w:rPr>
          <w:rFonts w:ascii="Arial Black" w:hAnsi="Arial Black"/>
          <w:sz w:val="24"/>
          <w:szCs w:val="24"/>
        </w:rPr>
        <w:t>2-28</w:t>
      </w:r>
    </w:p>
    <w:p w14:paraId="6DC0DCD1" w14:textId="1AE42EFF" w:rsidR="007D178F" w:rsidRDefault="007D178F" w:rsidP="00EF1133">
      <w:pPr>
        <w:pStyle w:val="NoSpacing"/>
        <w:rPr>
          <w:rFonts w:ascii="Arial Black" w:hAnsi="Arial Black"/>
          <w:sz w:val="24"/>
          <w:szCs w:val="24"/>
        </w:rPr>
      </w:pPr>
    </w:p>
    <w:p w14:paraId="70FA03BD" w14:textId="77777777" w:rsidR="007D178F" w:rsidRPr="007E35C0" w:rsidRDefault="007D178F" w:rsidP="007D178F">
      <w:pPr>
        <w:pStyle w:val="NoSpacing"/>
        <w:rPr>
          <w:rFonts w:ascii="Arial Black" w:hAnsi="Arial Black"/>
          <w:sz w:val="28"/>
          <w:szCs w:val="28"/>
        </w:rPr>
      </w:pPr>
      <w:r>
        <w:rPr>
          <w:rFonts w:ascii="Arial Black" w:hAnsi="Arial Black"/>
          <w:sz w:val="28"/>
          <w:szCs w:val="28"/>
        </w:rPr>
        <w:t xml:space="preserve">MI:  DEPUTY CHIEF OBTAINED PROTECTIVE ORDER – CIVILIAN NO LONGER ALLOWED 2 STATIONS - MUST FEEL THREATENED  </w:t>
      </w:r>
    </w:p>
    <w:p w14:paraId="426E5B2D" w14:textId="77777777" w:rsidR="007D178F" w:rsidRDefault="007D178F" w:rsidP="007D178F">
      <w:pPr>
        <w:pStyle w:val="NoSpacing"/>
        <w:rPr>
          <w:rFonts w:ascii="Times New Roman" w:hAnsi="Times New Roman"/>
          <w:sz w:val="24"/>
          <w:szCs w:val="24"/>
        </w:rPr>
      </w:pPr>
    </w:p>
    <w:p w14:paraId="1EACAE62" w14:textId="77777777" w:rsidR="007D178F" w:rsidRDefault="007D178F" w:rsidP="007D178F">
      <w:pPr>
        <w:pStyle w:val="NoSpacing"/>
        <w:rPr>
          <w:rFonts w:ascii="Times New Roman" w:hAnsi="Times New Roman"/>
          <w:sz w:val="24"/>
          <w:szCs w:val="24"/>
        </w:rPr>
      </w:pPr>
      <w:r>
        <w:rPr>
          <w:rFonts w:ascii="Times New Roman" w:hAnsi="Times New Roman"/>
          <w:sz w:val="24"/>
          <w:szCs w:val="24"/>
        </w:rPr>
        <w:t xml:space="preserve">On Nov. 19, 2020, in </w:t>
      </w:r>
      <w:r w:rsidRPr="00721349">
        <w:rPr>
          <w:rFonts w:ascii="Times New Roman" w:hAnsi="Times New Roman"/>
          <w:sz w:val="24"/>
          <w:szCs w:val="24"/>
          <w:u w:val="single"/>
        </w:rPr>
        <w:t>RS, Petitioner v. AH, Respondent</w:t>
      </w:r>
      <w:r w:rsidRPr="00721349">
        <w:rPr>
          <w:rFonts w:ascii="Times New Roman" w:hAnsi="Times New Roman"/>
          <w:sz w:val="24"/>
          <w:szCs w:val="24"/>
        </w:rPr>
        <w:t xml:space="preserve">, </w:t>
      </w:r>
      <w:r>
        <w:rPr>
          <w:rFonts w:ascii="Times New Roman" w:hAnsi="Times New Roman"/>
          <w:sz w:val="24"/>
          <w:szCs w:val="24"/>
        </w:rPr>
        <w:t xml:space="preserve">the State of Michigan Court of Appeals held (3 to 0) that the trial court should not have issued a Personal Protective Order for stalking against the civilian (1-year; expired July 18, 2020) because the Deputy Chief testified that he did not feel emotional distress, just wanted it the harassment stopped.   </w:t>
      </w:r>
    </w:p>
    <w:p w14:paraId="61AAA1B1" w14:textId="77777777" w:rsidR="007D178F" w:rsidRDefault="007D178F" w:rsidP="007D178F">
      <w:pPr>
        <w:pStyle w:val="NoSpacing"/>
        <w:rPr>
          <w:rFonts w:ascii="Times New Roman" w:hAnsi="Times New Roman"/>
          <w:sz w:val="24"/>
          <w:szCs w:val="24"/>
        </w:rPr>
      </w:pPr>
    </w:p>
    <w:p w14:paraId="6A09F710"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721349">
        <w:rPr>
          <w:rFonts w:ascii="Times New Roman" w:hAnsi="Times New Roman"/>
          <w:sz w:val="24"/>
          <w:szCs w:val="24"/>
        </w:rPr>
        <w:t xml:space="preserve">In light of the record, we conclude that petitioner failed to meet his burden of proof for obtaining the PPO. Specifically, </w:t>
      </w:r>
      <w:proofErr w:type="gramStart"/>
      <w:r w:rsidRPr="00721349">
        <w:rPr>
          <w:rFonts w:ascii="Times New Roman" w:hAnsi="Times New Roman"/>
          <w:sz w:val="24"/>
          <w:szCs w:val="24"/>
        </w:rPr>
        <w:t>in order to</w:t>
      </w:r>
      <w:proofErr w:type="gramEnd"/>
      <w:r w:rsidRPr="00721349">
        <w:rPr>
          <w:rFonts w:ascii="Times New Roman" w:hAnsi="Times New Roman"/>
          <w:sz w:val="24"/>
          <w:szCs w:val="24"/>
        </w:rPr>
        <w:t xml:space="preserve"> </w:t>
      </w:r>
      <w:proofErr w:type="gramStart"/>
      <w:r w:rsidRPr="00721349">
        <w:rPr>
          <w:rFonts w:ascii="Times New Roman" w:hAnsi="Times New Roman"/>
          <w:sz w:val="24"/>
          <w:szCs w:val="24"/>
        </w:rPr>
        <w:t>demonstrating</w:t>
      </w:r>
      <w:proofErr w:type="gramEnd"/>
      <w:r w:rsidRPr="00721349">
        <w:rPr>
          <w:rFonts w:ascii="Times New Roman" w:hAnsi="Times New Roman"/>
          <w:sz w:val="24"/>
          <w:szCs w:val="24"/>
        </w:rPr>
        <w:t xml:space="preserve"> stalking, MCL 750.411h(1)(d), petitioner had to show harassment that included </w:t>
      </w:r>
      <w:r>
        <w:rPr>
          <w:rFonts w:ascii="Times New Roman" w:hAnsi="Times New Roman"/>
          <w:sz w:val="24"/>
          <w:szCs w:val="24"/>
        </w:rPr>
        <w:t>‘</w:t>
      </w:r>
      <w:r w:rsidRPr="00721349">
        <w:rPr>
          <w:rFonts w:ascii="Times New Roman" w:hAnsi="Times New Roman"/>
          <w:sz w:val="24"/>
          <w:szCs w:val="24"/>
        </w:rPr>
        <w:t xml:space="preserve">repeated or continuing unconsented contact that would cause a reasonable individual to suffer emotional distress and that actually causes the victim emotional </w:t>
      </w:r>
      <w:proofErr w:type="gramStart"/>
      <w:r w:rsidRPr="00721349">
        <w:rPr>
          <w:rFonts w:ascii="Times New Roman" w:hAnsi="Times New Roman"/>
          <w:sz w:val="24"/>
          <w:szCs w:val="24"/>
        </w:rPr>
        <w:t>distress.</w:t>
      </w:r>
      <w:r>
        <w:rPr>
          <w:rFonts w:ascii="Times New Roman" w:hAnsi="Times New Roman"/>
          <w:sz w:val="24"/>
          <w:szCs w:val="24"/>
        </w:rPr>
        <w:t>’</w:t>
      </w:r>
      <w:proofErr w:type="gramEnd"/>
      <w:r w:rsidRPr="00721349">
        <w:rPr>
          <w:rFonts w:ascii="Times New Roman" w:hAnsi="Times New Roman"/>
          <w:sz w:val="24"/>
          <w:szCs w:val="24"/>
        </w:rPr>
        <w:t xml:space="preserve"> MCL 750.411h(1)(c). The stalking must </w:t>
      </w:r>
      <w:proofErr w:type="gramStart"/>
      <w:r w:rsidRPr="00721349">
        <w:rPr>
          <w:rFonts w:ascii="Times New Roman" w:hAnsi="Times New Roman"/>
          <w:sz w:val="24"/>
          <w:szCs w:val="24"/>
        </w:rPr>
        <w:t>actually cause</w:t>
      </w:r>
      <w:proofErr w:type="gramEnd"/>
      <w:r w:rsidRPr="00721349">
        <w:rPr>
          <w:rFonts w:ascii="Times New Roman" w:hAnsi="Times New Roman"/>
          <w:sz w:val="24"/>
          <w:szCs w:val="24"/>
        </w:rPr>
        <w:t xml:space="preserve"> the individual to feel terrorized, frightened, intimidated, threatened, harassed, or molested. MCL 750.411h(1)(d). However, when petitioner was questioned on cross-examination regarding how </w:t>
      </w:r>
      <w:proofErr w:type="gramStart"/>
      <w:r w:rsidRPr="00721349">
        <w:rPr>
          <w:rFonts w:ascii="Times New Roman" w:hAnsi="Times New Roman"/>
          <w:sz w:val="24"/>
          <w:szCs w:val="24"/>
        </w:rPr>
        <w:t>the Facebook</w:t>
      </w:r>
      <w:proofErr w:type="gramEnd"/>
      <w:r w:rsidRPr="00721349">
        <w:rPr>
          <w:rFonts w:ascii="Times New Roman" w:hAnsi="Times New Roman"/>
          <w:sz w:val="24"/>
          <w:szCs w:val="24"/>
        </w:rPr>
        <w:t xml:space="preserve"> written and video posts impacted him, he testified, </w:t>
      </w:r>
      <w:r>
        <w:rPr>
          <w:rFonts w:ascii="Times New Roman" w:hAnsi="Times New Roman"/>
          <w:sz w:val="24"/>
          <w:szCs w:val="24"/>
        </w:rPr>
        <w:t>‘</w:t>
      </w:r>
      <w:r w:rsidRPr="00721349">
        <w:rPr>
          <w:rFonts w:ascii="Times New Roman" w:hAnsi="Times New Roman"/>
          <w:sz w:val="24"/>
          <w:szCs w:val="24"/>
        </w:rPr>
        <w:t xml:space="preserve">I didn't give it much thought at all, I just know that this is very odd, and this is very concerning to me that he's posting anything about me, and </w:t>
      </w:r>
    </w:p>
    <w:p w14:paraId="1B581301" w14:textId="77777777" w:rsidR="007D178F" w:rsidRDefault="007D178F" w:rsidP="007D178F">
      <w:pPr>
        <w:pStyle w:val="NoSpacing"/>
        <w:ind w:left="720"/>
        <w:rPr>
          <w:rFonts w:ascii="Times New Roman" w:hAnsi="Times New Roman"/>
          <w:sz w:val="24"/>
          <w:szCs w:val="24"/>
        </w:rPr>
      </w:pPr>
      <w:r w:rsidRPr="00721349">
        <w:rPr>
          <w:rFonts w:ascii="Times New Roman" w:hAnsi="Times New Roman"/>
          <w:sz w:val="24"/>
          <w:szCs w:val="24"/>
        </w:rPr>
        <w:t>driving down my street." More importantly, when petitioner was expressly asked whether respondent harassed and threatened him, he replied, "No, I claimed exactly what I stated her[e].</w:t>
      </w:r>
      <w:r>
        <w:rPr>
          <w:rFonts w:ascii="Times New Roman" w:hAnsi="Times New Roman"/>
          <w:sz w:val="24"/>
          <w:szCs w:val="24"/>
        </w:rPr>
        <w:t>’”</w:t>
      </w:r>
      <w:r w:rsidRPr="00721349">
        <w:t xml:space="preserve"> </w:t>
      </w:r>
      <w:hyperlink r:id="rId578" w:history="1">
        <w:r w:rsidRPr="002F20C3">
          <w:rPr>
            <w:rStyle w:val="Hyperlink"/>
            <w:rFonts w:ascii="Times New Roman" w:hAnsi="Times New Roman"/>
            <w:sz w:val="24"/>
            <w:szCs w:val="24"/>
          </w:rPr>
          <w:t>https://www.leagle.com/decision/inmico20201120334</w:t>
        </w:r>
      </w:hyperlink>
      <w:r>
        <w:rPr>
          <w:rFonts w:ascii="Times New Roman" w:hAnsi="Times New Roman"/>
          <w:sz w:val="24"/>
          <w:szCs w:val="24"/>
        </w:rPr>
        <w:t xml:space="preserve"> </w:t>
      </w:r>
    </w:p>
    <w:p w14:paraId="1CDDE050" w14:textId="77777777" w:rsidR="007D178F" w:rsidRDefault="007D178F" w:rsidP="007D178F">
      <w:pPr>
        <w:pStyle w:val="NoSpacing"/>
        <w:ind w:left="720"/>
        <w:rPr>
          <w:rFonts w:ascii="Times New Roman" w:hAnsi="Times New Roman"/>
          <w:sz w:val="24"/>
          <w:szCs w:val="24"/>
        </w:rPr>
      </w:pPr>
    </w:p>
    <w:p w14:paraId="06F31377" w14:textId="77777777" w:rsidR="007D178F" w:rsidRDefault="007D178F" w:rsidP="007D178F">
      <w:pPr>
        <w:pStyle w:val="NoSpacing"/>
        <w:rPr>
          <w:rFonts w:ascii="Times New Roman" w:hAnsi="Times New Roman"/>
          <w:sz w:val="24"/>
          <w:szCs w:val="24"/>
        </w:rPr>
      </w:pPr>
    </w:p>
    <w:p w14:paraId="4D0EF4D0" w14:textId="77777777" w:rsidR="007D178F" w:rsidRPr="0096139A" w:rsidRDefault="007D178F" w:rsidP="007D178F">
      <w:pPr>
        <w:pStyle w:val="NoSpacing"/>
        <w:rPr>
          <w:rFonts w:ascii="Times New Roman" w:hAnsi="Times New Roman"/>
          <w:b/>
          <w:bCs/>
          <w:sz w:val="24"/>
          <w:szCs w:val="24"/>
        </w:rPr>
      </w:pPr>
      <w:r w:rsidRPr="0096139A">
        <w:rPr>
          <w:rFonts w:ascii="Times New Roman" w:hAnsi="Times New Roman"/>
          <w:b/>
          <w:bCs/>
          <w:sz w:val="24"/>
          <w:szCs w:val="24"/>
        </w:rPr>
        <w:t xml:space="preserve">Legal Lesson Learned: </w:t>
      </w:r>
      <w:r>
        <w:rPr>
          <w:rFonts w:ascii="Times New Roman" w:hAnsi="Times New Roman"/>
          <w:b/>
          <w:bCs/>
          <w:sz w:val="24"/>
          <w:szCs w:val="24"/>
        </w:rPr>
        <w:t xml:space="preserve"> The Deputy Chief could have also asked County Prosecutor to bring criminal charges against the stalker under the Michigan “cyber stalking” statute. </w:t>
      </w:r>
    </w:p>
    <w:p w14:paraId="51D2AC66" w14:textId="77777777" w:rsidR="007D178F" w:rsidRPr="00D0410F" w:rsidRDefault="007D178F" w:rsidP="007D178F">
      <w:pPr>
        <w:spacing w:after="100" w:line="240" w:lineRule="auto"/>
        <w:ind w:left="720"/>
        <w:rPr>
          <w:rFonts w:ascii="Times New Roman" w:hAnsi="Times New Roman"/>
          <w:sz w:val="24"/>
          <w:szCs w:val="24"/>
        </w:rPr>
      </w:pPr>
    </w:p>
    <w:p w14:paraId="1A2CA0EB" w14:textId="77777777" w:rsidR="007D178F" w:rsidRPr="007668F4" w:rsidRDefault="007D178F" w:rsidP="007D178F">
      <w:pPr>
        <w:spacing w:after="100" w:line="240" w:lineRule="auto"/>
        <w:ind w:left="720"/>
        <w:rPr>
          <w:rFonts w:ascii="Times New Roman" w:hAnsi="Times New Roman"/>
          <w:sz w:val="24"/>
          <w:szCs w:val="24"/>
        </w:rPr>
      </w:pPr>
      <w:r w:rsidRPr="007668F4">
        <w:rPr>
          <w:rFonts w:ascii="Times New Roman" w:eastAsia="Times New Roman" w:hAnsi="Times New Roman"/>
          <w:sz w:val="24"/>
          <w:szCs w:val="24"/>
        </w:rPr>
        <w:t xml:space="preserve">Michigan </w:t>
      </w:r>
      <w:r w:rsidRPr="007668F4">
        <w:rPr>
          <w:rFonts w:ascii="Times New Roman" w:hAnsi="Times New Roman"/>
          <w:sz w:val="24"/>
          <w:szCs w:val="24"/>
        </w:rPr>
        <w:t xml:space="preserve">750.411h:  Stalking; definitions; violation as misdemeanor; penalties; probation; conditions; evidence of continued conduct as rebuttable presumption; additional penalties. </w:t>
      </w:r>
    </w:p>
    <w:p w14:paraId="3D26255F" w14:textId="77777777" w:rsidR="007D178F" w:rsidRPr="0096139A" w:rsidRDefault="007D178F" w:rsidP="007D178F">
      <w:pPr>
        <w:spacing w:after="100" w:line="240" w:lineRule="auto"/>
        <w:ind w:left="720"/>
        <w:rPr>
          <w:rFonts w:ascii="Times New Roman" w:eastAsia="Times New Roman" w:hAnsi="Times New Roman"/>
          <w:sz w:val="24"/>
          <w:szCs w:val="24"/>
        </w:rPr>
      </w:pPr>
      <w:r w:rsidRPr="0096139A">
        <w:rPr>
          <w:rFonts w:ascii="Times New Roman" w:hAnsi="Times New Roman"/>
          <w:b/>
          <w:bCs/>
          <w:sz w:val="24"/>
          <w:szCs w:val="24"/>
        </w:rPr>
        <w:t xml:space="preserve"> </w:t>
      </w:r>
      <w:r w:rsidRPr="0096139A">
        <w:rPr>
          <w:rFonts w:ascii="Times New Roman" w:eastAsia="Times New Roman" w:hAnsi="Times New Roman"/>
          <w:sz w:val="24"/>
          <w:szCs w:val="24"/>
        </w:rPr>
        <w:t>(2) An individual who engages in stalking is guilty of a crime as follows:</w:t>
      </w:r>
    </w:p>
    <w:p w14:paraId="7B748AB8" w14:textId="77777777" w:rsidR="007D178F" w:rsidRPr="0096139A" w:rsidRDefault="007D178F" w:rsidP="007D178F">
      <w:pPr>
        <w:spacing w:after="0" w:line="240" w:lineRule="auto"/>
        <w:ind w:left="720"/>
        <w:rPr>
          <w:rFonts w:ascii="Times New Roman" w:eastAsia="Times New Roman" w:hAnsi="Times New Roman"/>
          <w:sz w:val="24"/>
          <w:szCs w:val="24"/>
        </w:rPr>
      </w:pPr>
      <w:r w:rsidRPr="0096139A">
        <w:rPr>
          <w:rFonts w:ascii="Times New Roman" w:eastAsia="Times New Roman" w:hAnsi="Times New Roman"/>
          <w:sz w:val="24"/>
          <w:szCs w:val="24"/>
        </w:rPr>
        <w:t>(a) Except as provided in subdivision (b), a misdemeanor punishable by imprisonment for not more than 1 year or a fine of not more than $1,000.00, or both.</w:t>
      </w:r>
    </w:p>
    <w:p w14:paraId="40FAB38C" w14:textId="77777777" w:rsidR="007D178F" w:rsidRPr="0096139A" w:rsidRDefault="007D178F" w:rsidP="007D178F">
      <w:pPr>
        <w:spacing w:after="0" w:line="240" w:lineRule="auto"/>
        <w:ind w:left="720"/>
        <w:rPr>
          <w:rFonts w:ascii="Times New Roman" w:eastAsia="Times New Roman" w:hAnsi="Times New Roman"/>
          <w:sz w:val="24"/>
          <w:szCs w:val="24"/>
        </w:rPr>
      </w:pPr>
      <w:r w:rsidRPr="0096139A">
        <w:rPr>
          <w:rFonts w:ascii="Times New Roman" w:eastAsia="Times New Roman" w:hAnsi="Times New Roman"/>
          <w:sz w:val="24"/>
          <w:szCs w:val="24"/>
        </w:rPr>
        <w:t xml:space="preserve">(b) If the victim was less than 18 years of age at any time during the individual's course of conduct and the individual is 5 or more years older than the victim, a felony punishable by imprisonment for not more than 5 years or a fine of not more than $10,000.00, or both. </w:t>
      </w:r>
    </w:p>
    <w:p w14:paraId="6CC6E1B1" w14:textId="77777777" w:rsidR="007D178F" w:rsidRPr="0096139A" w:rsidRDefault="007D178F" w:rsidP="007D178F">
      <w:pPr>
        <w:spacing w:after="0" w:line="240" w:lineRule="auto"/>
        <w:ind w:left="720" w:firstLine="120"/>
        <w:rPr>
          <w:rFonts w:ascii="Times New Roman" w:eastAsia="Times New Roman" w:hAnsi="Times New Roman"/>
          <w:sz w:val="24"/>
          <w:szCs w:val="24"/>
        </w:rPr>
      </w:pPr>
      <w:r w:rsidRPr="0096139A">
        <w:rPr>
          <w:rFonts w:ascii="Times New Roman" w:eastAsia="Times New Roman" w:hAnsi="Times New Roman"/>
          <w:sz w:val="24"/>
          <w:szCs w:val="24"/>
        </w:rPr>
        <w:t>(3) The court may place an individual convicted of violating this section on probation for a term of not more than 5 years. If a term of probation is ordered, the court may, in addition to any other lawful condition of probation, order the defendant to do any of the following:</w:t>
      </w:r>
    </w:p>
    <w:p w14:paraId="24CD295B" w14:textId="77777777" w:rsidR="007D178F" w:rsidRPr="0096139A" w:rsidRDefault="007D178F" w:rsidP="007D178F">
      <w:pPr>
        <w:spacing w:after="0" w:line="240" w:lineRule="auto"/>
        <w:rPr>
          <w:rFonts w:ascii="Times New Roman" w:eastAsia="Times New Roman" w:hAnsi="Times New Roman"/>
          <w:sz w:val="24"/>
          <w:szCs w:val="24"/>
        </w:rPr>
      </w:pPr>
      <w:r w:rsidRPr="0096139A">
        <w:rPr>
          <w:rFonts w:ascii="Times New Roman" w:eastAsia="Times New Roman" w:hAnsi="Times New Roman"/>
          <w:sz w:val="24"/>
          <w:szCs w:val="24"/>
        </w:rPr>
        <w:t>  </w:t>
      </w:r>
      <w:r>
        <w:rPr>
          <w:rFonts w:ascii="Times New Roman" w:eastAsia="Times New Roman" w:hAnsi="Times New Roman"/>
          <w:sz w:val="24"/>
          <w:szCs w:val="24"/>
        </w:rPr>
        <w:tab/>
      </w:r>
      <w:r w:rsidRPr="0096139A">
        <w:rPr>
          <w:rFonts w:ascii="Times New Roman" w:eastAsia="Times New Roman" w:hAnsi="Times New Roman"/>
          <w:sz w:val="24"/>
          <w:szCs w:val="24"/>
        </w:rPr>
        <w:t>(a) Refrain from stalking any individual during the term of probation.</w:t>
      </w:r>
    </w:p>
    <w:p w14:paraId="6DB84AD1" w14:textId="77777777" w:rsidR="007D178F" w:rsidRPr="0096139A" w:rsidRDefault="007D178F" w:rsidP="007D178F">
      <w:pPr>
        <w:spacing w:after="0" w:line="240" w:lineRule="auto"/>
        <w:rPr>
          <w:rFonts w:ascii="Times New Roman" w:eastAsia="Times New Roman" w:hAnsi="Times New Roman"/>
          <w:sz w:val="24"/>
          <w:szCs w:val="24"/>
        </w:rPr>
      </w:pPr>
      <w:r w:rsidRPr="0096139A">
        <w:rPr>
          <w:rFonts w:ascii="Times New Roman" w:eastAsia="Times New Roman" w:hAnsi="Times New Roman"/>
          <w:sz w:val="24"/>
          <w:szCs w:val="24"/>
        </w:rPr>
        <w:t> </w:t>
      </w:r>
      <w:r>
        <w:rPr>
          <w:rFonts w:ascii="Times New Roman" w:eastAsia="Times New Roman" w:hAnsi="Times New Roman"/>
          <w:sz w:val="24"/>
          <w:szCs w:val="24"/>
        </w:rPr>
        <w:tab/>
      </w:r>
      <w:r w:rsidRPr="0096139A">
        <w:rPr>
          <w:rFonts w:ascii="Times New Roman" w:eastAsia="Times New Roman" w:hAnsi="Times New Roman"/>
          <w:sz w:val="24"/>
          <w:szCs w:val="24"/>
        </w:rPr>
        <w:t> (b) Refrain from having any contact with the victim of the offense.</w:t>
      </w:r>
    </w:p>
    <w:p w14:paraId="521B2E0F" w14:textId="77777777" w:rsidR="007D178F" w:rsidRDefault="007D178F" w:rsidP="007D178F">
      <w:pPr>
        <w:spacing w:after="0" w:line="240" w:lineRule="auto"/>
        <w:ind w:left="720"/>
        <w:rPr>
          <w:rFonts w:ascii="Times New Roman" w:hAnsi="Times New Roman"/>
          <w:sz w:val="24"/>
          <w:szCs w:val="24"/>
        </w:rPr>
      </w:pPr>
      <w:r w:rsidRPr="0096139A">
        <w:rPr>
          <w:rFonts w:ascii="Times New Roman" w:eastAsia="Times New Roman" w:hAnsi="Times New Roman"/>
          <w:sz w:val="24"/>
          <w:szCs w:val="24"/>
        </w:rPr>
        <w:t xml:space="preserve"> (c) Be evaluated to determine the need for psychiatric, psychological, or social counseling and </w:t>
      </w:r>
      <w:proofErr w:type="gramStart"/>
      <w:r w:rsidRPr="0096139A">
        <w:rPr>
          <w:rFonts w:ascii="Times New Roman" w:eastAsia="Times New Roman" w:hAnsi="Times New Roman"/>
          <w:sz w:val="24"/>
          <w:szCs w:val="24"/>
        </w:rPr>
        <w:t>if,</w:t>
      </w:r>
      <w:proofErr w:type="gramEnd"/>
      <w:r w:rsidRPr="0096139A">
        <w:rPr>
          <w:rFonts w:ascii="Times New Roman" w:eastAsia="Times New Roman" w:hAnsi="Times New Roman"/>
          <w:sz w:val="24"/>
          <w:szCs w:val="24"/>
        </w:rPr>
        <w:t xml:space="preserve"> determined appropriate by the court, to receive psychiatric, psychological, or social counseling at his or her own expense.</w:t>
      </w:r>
    </w:p>
    <w:p w14:paraId="77C2D248" w14:textId="77777777" w:rsidR="007D178F" w:rsidRPr="007E35C0" w:rsidRDefault="007D178F" w:rsidP="007D178F">
      <w:pPr>
        <w:spacing w:after="100" w:line="240" w:lineRule="auto"/>
        <w:ind w:left="720"/>
        <w:rPr>
          <w:rFonts w:ascii="Times New Roman" w:eastAsia="Times New Roman" w:hAnsi="Times New Roman"/>
          <w:sz w:val="24"/>
          <w:szCs w:val="24"/>
        </w:rPr>
      </w:pPr>
      <w:hyperlink r:id="rId579" w:history="1">
        <w:r w:rsidRPr="002F20C3">
          <w:rPr>
            <w:rStyle w:val="Hyperlink"/>
            <w:rFonts w:ascii="Times New Roman" w:hAnsi="Times New Roman"/>
            <w:sz w:val="24"/>
            <w:szCs w:val="24"/>
          </w:rPr>
          <w:t>http://www.legislature.mi.gov/(S(dodu2xg2ouu1vonwqhxqy4i2))/mileg.aspx?page=getObject&amp;objectName=mcl-750-411h</w:t>
        </w:r>
      </w:hyperlink>
      <w:r w:rsidRPr="0096139A">
        <w:rPr>
          <w:rFonts w:ascii="Times New Roman" w:hAnsi="Times New Roman"/>
          <w:sz w:val="24"/>
          <w:szCs w:val="24"/>
        </w:rPr>
        <w:t xml:space="preserve"> </w:t>
      </w:r>
    </w:p>
    <w:p w14:paraId="3EEBA3DC" w14:textId="77777777" w:rsidR="007D178F" w:rsidRDefault="007D178F" w:rsidP="00EF1133">
      <w:pPr>
        <w:pStyle w:val="NoSpacing"/>
        <w:rPr>
          <w:rFonts w:ascii="Arial Black" w:hAnsi="Arial Black"/>
          <w:sz w:val="24"/>
          <w:szCs w:val="24"/>
        </w:rPr>
      </w:pPr>
    </w:p>
    <w:p w14:paraId="5D7482FF" w14:textId="77777777" w:rsidR="007D178F" w:rsidRDefault="007D178F" w:rsidP="00EF1133">
      <w:pPr>
        <w:pStyle w:val="NoSpacing"/>
        <w:rPr>
          <w:rFonts w:ascii="Arial Black" w:hAnsi="Arial Black"/>
          <w:sz w:val="24"/>
          <w:szCs w:val="24"/>
        </w:rPr>
      </w:pPr>
    </w:p>
    <w:p w14:paraId="7870C316" w14:textId="77777777" w:rsidR="007D178F" w:rsidRDefault="007D178F" w:rsidP="00EF1133">
      <w:pPr>
        <w:pStyle w:val="NoSpacing"/>
        <w:rPr>
          <w:rFonts w:ascii="Arial Black" w:hAnsi="Arial Black"/>
          <w:sz w:val="24"/>
          <w:szCs w:val="24"/>
        </w:rPr>
      </w:pPr>
    </w:p>
    <w:p w14:paraId="53DC91C8" w14:textId="59D26B71" w:rsidR="00F824FE" w:rsidRDefault="00F824FE" w:rsidP="00EF1133">
      <w:pPr>
        <w:pStyle w:val="NoSpacing"/>
        <w:rPr>
          <w:rFonts w:ascii="Arial Black" w:hAnsi="Arial Black"/>
          <w:sz w:val="24"/>
          <w:szCs w:val="24"/>
        </w:rPr>
      </w:pPr>
      <w:r>
        <w:rPr>
          <w:rFonts w:ascii="Arial Black" w:hAnsi="Arial Black"/>
          <w:sz w:val="24"/>
          <w:szCs w:val="24"/>
        </w:rPr>
        <w:t>2-37</w:t>
      </w:r>
    </w:p>
    <w:p w14:paraId="491ABD84" w14:textId="21E55F67" w:rsidR="00F824FE" w:rsidRDefault="00F824FE" w:rsidP="00EF1133">
      <w:pPr>
        <w:pStyle w:val="NoSpacing"/>
        <w:rPr>
          <w:rFonts w:ascii="Arial Black" w:hAnsi="Arial Black"/>
          <w:sz w:val="24"/>
          <w:szCs w:val="24"/>
        </w:rPr>
      </w:pPr>
    </w:p>
    <w:p w14:paraId="789F5D7D" w14:textId="77777777" w:rsidR="00F824FE" w:rsidRPr="0077130A" w:rsidRDefault="00F824FE" w:rsidP="00F824FE">
      <w:pPr>
        <w:spacing w:before="100" w:beforeAutospacing="1" w:after="100" w:afterAutospacing="1" w:line="240" w:lineRule="auto"/>
        <w:rPr>
          <w:rFonts w:ascii="Arial Black" w:eastAsia="Times New Roman" w:hAnsi="Arial Black"/>
          <w:sz w:val="28"/>
          <w:szCs w:val="28"/>
        </w:rPr>
      </w:pPr>
      <w:r w:rsidRPr="0077130A">
        <w:rPr>
          <w:rFonts w:ascii="Arial Black" w:eastAsia="Times New Roman" w:hAnsi="Arial Black"/>
          <w:sz w:val="28"/>
          <w:szCs w:val="28"/>
        </w:rPr>
        <w:t>PA:</w:t>
      </w:r>
      <w:r>
        <w:rPr>
          <w:rFonts w:ascii="Arial Black" w:eastAsia="Times New Roman" w:hAnsi="Arial Black"/>
          <w:sz w:val="28"/>
          <w:szCs w:val="28"/>
        </w:rPr>
        <w:t xml:space="preserve">  DISPATCHER TOLD MOTHER STAY 3</w:t>
      </w:r>
      <w:r w:rsidRPr="007A7322">
        <w:rPr>
          <w:rFonts w:ascii="Arial Black" w:eastAsia="Times New Roman" w:hAnsi="Arial Black"/>
          <w:sz w:val="28"/>
          <w:szCs w:val="28"/>
          <w:vertAlign w:val="superscript"/>
        </w:rPr>
        <w:t>rd</w:t>
      </w:r>
      <w:r>
        <w:rPr>
          <w:rFonts w:ascii="Arial Black" w:eastAsia="Times New Roman" w:hAnsi="Arial Black"/>
          <w:sz w:val="28"/>
          <w:szCs w:val="28"/>
        </w:rPr>
        <w:t xml:space="preserve"> FLOOR APARTMENT – 3 DEAD FIRE – NO “STATE CREATED DANGER,” LAWSUIT DISMISSED</w:t>
      </w:r>
    </w:p>
    <w:p w14:paraId="14D26DD6" w14:textId="77777777" w:rsidR="00F824FE" w:rsidRDefault="00F824FE" w:rsidP="00F824F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Sept. 22, 2020, in </w:t>
      </w:r>
      <w:r w:rsidRPr="0077130A">
        <w:rPr>
          <w:rFonts w:ascii="Times New Roman" w:eastAsia="Times New Roman" w:hAnsi="Times New Roman"/>
          <w:sz w:val="24"/>
          <w:szCs w:val="24"/>
          <w:u w:val="single"/>
        </w:rPr>
        <w:t>Tamika Johnson, Administratrix of Estates of Alita Johnson, Horace McCouellem and Haashim Johnson v. City of Philadelphia</w:t>
      </w:r>
      <w:r>
        <w:rPr>
          <w:rFonts w:ascii="Times New Roman" w:eastAsia="Times New Roman" w:hAnsi="Times New Roman"/>
          <w:sz w:val="24"/>
          <w:szCs w:val="24"/>
        </w:rPr>
        <w:t xml:space="preserve">, the U.S. Court of Appeals for the Third District (Philadelphia) held (3 to 0) that the trial court properly granted the City’s motion to dismiss.  Recognizing the tragic consequences of the error by the Dispatcher, there was no prior history of similar mistaken advice by dispatchers for 911 callers to remain in the apartment;  no violation of the “State Created Danger” theory of municipal liability – no violation of “shock the conscience” test.  </w:t>
      </w:r>
    </w:p>
    <w:p w14:paraId="67CC7418" w14:textId="77777777" w:rsidR="00F824FE" w:rsidRDefault="00F824FE" w:rsidP="00F824F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77130A">
        <w:rPr>
          <w:rFonts w:ascii="Times New Roman" w:hAnsi="Times New Roman"/>
          <w:sz w:val="24"/>
          <w:szCs w:val="24"/>
        </w:rPr>
        <w:t>The District Court held that, as alleged, neither the Dispatcher nor the Operator was liable for the Johnson Family's harm. Because the Dispatcher did not act affirmatively, and because the Operator's behavior did not shock the conscience, we agree.</w:t>
      </w:r>
    </w:p>
    <w:p w14:paraId="298EB641" w14:textId="77777777" w:rsidR="00F824FE" w:rsidRPr="0077130A" w:rsidRDefault="00F824FE" w:rsidP="00F824FE">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62F2A6EA"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77130A">
        <w:rPr>
          <w:rFonts w:ascii="Times New Roman" w:hAnsi="Times New Roman"/>
          <w:sz w:val="24"/>
          <w:szCs w:val="24"/>
        </w:rPr>
        <w:t xml:space="preserve">Appellant alleges that the Operator violated the Johnson Family's constitutional rights by </w:t>
      </w:r>
      <w:r>
        <w:rPr>
          <w:rFonts w:ascii="Times New Roman" w:hAnsi="Times New Roman"/>
          <w:sz w:val="24"/>
          <w:szCs w:val="24"/>
        </w:rPr>
        <w:t>‘</w:t>
      </w:r>
      <w:r w:rsidRPr="0077130A">
        <w:rPr>
          <w:rFonts w:ascii="Times New Roman" w:hAnsi="Times New Roman"/>
          <w:sz w:val="24"/>
          <w:szCs w:val="24"/>
        </w:rPr>
        <w:t>directing them to close themselves inside the burning building's 3rd floor rear room, assuring them that [f]</w:t>
      </w:r>
      <w:proofErr w:type="spellStart"/>
      <w:r w:rsidRPr="0077130A">
        <w:rPr>
          <w:rFonts w:ascii="Times New Roman" w:hAnsi="Times New Roman"/>
          <w:sz w:val="24"/>
          <w:szCs w:val="24"/>
        </w:rPr>
        <w:t>irefighters</w:t>
      </w:r>
      <w:proofErr w:type="spellEnd"/>
      <w:r w:rsidRPr="0077130A">
        <w:rPr>
          <w:rFonts w:ascii="Times New Roman" w:hAnsi="Times New Roman"/>
          <w:sz w:val="24"/>
          <w:szCs w:val="24"/>
        </w:rPr>
        <w:t xml:space="preserve"> were coming to their rescue, but then failing inexplicably to inform the [f]</w:t>
      </w:r>
      <w:proofErr w:type="spellStart"/>
      <w:r w:rsidRPr="0077130A">
        <w:rPr>
          <w:rFonts w:ascii="Times New Roman" w:hAnsi="Times New Roman"/>
          <w:sz w:val="24"/>
          <w:szCs w:val="24"/>
        </w:rPr>
        <w:t>irefighters</w:t>
      </w:r>
      <w:proofErr w:type="spellEnd"/>
      <w:r w:rsidRPr="0077130A">
        <w:rPr>
          <w:rFonts w:ascii="Times New Roman" w:hAnsi="Times New Roman"/>
          <w:sz w:val="24"/>
          <w:szCs w:val="24"/>
        </w:rPr>
        <w:t xml:space="preserve"> of [their] existence, location, or need of rescue.</w:t>
      </w:r>
      <w:r>
        <w:rPr>
          <w:rFonts w:ascii="Times New Roman" w:hAnsi="Times New Roman"/>
          <w:sz w:val="24"/>
          <w:szCs w:val="24"/>
        </w:rPr>
        <w:t xml:space="preserve">’ …. </w:t>
      </w:r>
      <w:r w:rsidRPr="0077130A">
        <w:rPr>
          <w:rFonts w:ascii="Times New Roman" w:hAnsi="Times New Roman"/>
          <w:sz w:val="24"/>
          <w:szCs w:val="24"/>
        </w:rPr>
        <w:t xml:space="preserve">The District Court held that those allegations do not </w:t>
      </w:r>
      <w:r>
        <w:rPr>
          <w:rFonts w:ascii="Times New Roman" w:hAnsi="Times New Roman"/>
          <w:sz w:val="24"/>
          <w:szCs w:val="24"/>
        </w:rPr>
        <w:t>‘</w:t>
      </w:r>
      <w:r w:rsidRPr="0077130A">
        <w:rPr>
          <w:rFonts w:ascii="Times New Roman" w:hAnsi="Times New Roman"/>
          <w:sz w:val="24"/>
          <w:szCs w:val="24"/>
        </w:rPr>
        <w:t>shock the conscience,</w:t>
      </w:r>
      <w:r>
        <w:rPr>
          <w:rFonts w:ascii="Times New Roman" w:hAnsi="Times New Roman"/>
          <w:sz w:val="24"/>
          <w:szCs w:val="24"/>
        </w:rPr>
        <w:t>’</w:t>
      </w:r>
      <w:r w:rsidRPr="0077130A">
        <w:rPr>
          <w:rFonts w:ascii="Times New Roman" w:hAnsi="Times New Roman"/>
          <w:sz w:val="24"/>
          <w:szCs w:val="24"/>
        </w:rPr>
        <w:t xml:space="preserve"> as that phrase is defined in our precedent. We agree.</w:t>
      </w:r>
    </w:p>
    <w:p w14:paraId="11FA4DE8" w14:textId="77777777" w:rsidR="00F824FE" w:rsidRPr="0077130A"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8B6A2A" w14:textId="77777777" w:rsidR="00F824FE" w:rsidRPr="0077130A" w:rsidRDefault="00F824FE" w:rsidP="00F824FE">
      <w:pPr>
        <w:spacing w:before="100" w:beforeAutospacing="1" w:after="100" w:afterAutospacing="1" w:line="240" w:lineRule="auto"/>
        <w:ind w:left="720"/>
        <w:rPr>
          <w:rFonts w:ascii="Times New Roman" w:hAnsi="Times New Roman"/>
          <w:sz w:val="24"/>
          <w:szCs w:val="24"/>
        </w:rPr>
      </w:pPr>
      <w:r w:rsidRPr="0077130A">
        <w:rPr>
          <w:rFonts w:ascii="Times New Roman" w:hAnsi="Times New Roman"/>
          <w:sz w:val="24"/>
          <w:szCs w:val="24"/>
        </w:rPr>
        <w:t xml:space="preserve">Finally, Appellant alleges that the </w:t>
      </w:r>
      <w:proofErr w:type="gramStart"/>
      <w:r w:rsidRPr="0077130A">
        <w:rPr>
          <w:rFonts w:ascii="Times New Roman" w:hAnsi="Times New Roman"/>
          <w:sz w:val="24"/>
          <w:szCs w:val="24"/>
        </w:rPr>
        <w:t>City</w:t>
      </w:r>
      <w:proofErr w:type="gramEnd"/>
      <w:r w:rsidRPr="0077130A">
        <w:rPr>
          <w:rFonts w:ascii="Times New Roman" w:hAnsi="Times New Roman"/>
          <w:sz w:val="24"/>
          <w:szCs w:val="24"/>
        </w:rPr>
        <w:t xml:space="preserve"> simply ignored the history of problems at the Johnson Family's residence, by failing to fix the building's fire hazards and failing to stop the building owners' practices. The District Court held that the </w:t>
      </w:r>
      <w:proofErr w:type="gramStart"/>
      <w:r w:rsidRPr="0077130A">
        <w:rPr>
          <w:rFonts w:ascii="Times New Roman" w:hAnsi="Times New Roman"/>
          <w:sz w:val="24"/>
          <w:szCs w:val="24"/>
        </w:rPr>
        <w:t>City</w:t>
      </w:r>
      <w:proofErr w:type="gramEnd"/>
      <w:r w:rsidRPr="0077130A">
        <w:rPr>
          <w:rFonts w:ascii="Times New Roman" w:hAnsi="Times New Roman"/>
          <w:sz w:val="24"/>
          <w:szCs w:val="24"/>
        </w:rPr>
        <w:t xml:space="preserve"> was immune from these negligence claims because it had insufficient control over the building. Under the relevant Commonwealth law, we agree.</w:t>
      </w:r>
      <w:r>
        <w:rPr>
          <w:rFonts w:ascii="Times New Roman" w:hAnsi="Times New Roman"/>
          <w:sz w:val="24"/>
          <w:szCs w:val="24"/>
        </w:rPr>
        <w:t xml:space="preserve">”  </w:t>
      </w:r>
      <w:hyperlink r:id="rId580" w:history="1">
        <w:r w:rsidRPr="002F1E28">
          <w:rPr>
            <w:rStyle w:val="Hyperlink"/>
            <w:rFonts w:ascii="Times New Roman" w:hAnsi="Times New Roman"/>
            <w:sz w:val="24"/>
            <w:szCs w:val="24"/>
          </w:rPr>
          <w:t>https://www2.ca3.uscourts.gov/opinarch/192938p.pdf</w:t>
        </w:r>
      </w:hyperlink>
      <w:r>
        <w:rPr>
          <w:rFonts w:ascii="Times New Roman" w:hAnsi="Times New Roman"/>
          <w:sz w:val="24"/>
          <w:szCs w:val="24"/>
        </w:rPr>
        <w:t xml:space="preserve"> </w:t>
      </w:r>
    </w:p>
    <w:p w14:paraId="789B4DA9" w14:textId="77777777" w:rsidR="00F824FE" w:rsidRPr="00D00E0A" w:rsidRDefault="00F824FE" w:rsidP="00F824FE">
      <w:pPr>
        <w:pStyle w:val="NormalWeb"/>
        <w:rPr>
          <w:b/>
          <w:bCs/>
        </w:rPr>
      </w:pPr>
      <w:r w:rsidRPr="00D00E0A">
        <w:rPr>
          <w:b/>
          <w:bCs/>
        </w:rPr>
        <w:t>Legal Lessons Learned:</w:t>
      </w:r>
      <w:r>
        <w:rPr>
          <w:b/>
          <w:bCs/>
        </w:rPr>
        <w:t xml:space="preserve">  Tragic set of facts; hopefully Dispatchers throughout the Nation have learned from this event.  </w:t>
      </w:r>
    </w:p>
    <w:p w14:paraId="7789B2DA" w14:textId="77777777" w:rsidR="00F824FE" w:rsidRDefault="00F824FE" w:rsidP="00EF1133">
      <w:pPr>
        <w:pStyle w:val="NoSpacing"/>
        <w:rPr>
          <w:rFonts w:ascii="Arial Black" w:hAnsi="Arial Black"/>
          <w:sz w:val="24"/>
          <w:szCs w:val="24"/>
        </w:rPr>
      </w:pPr>
    </w:p>
    <w:p w14:paraId="31B08CD9" w14:textId="77777777" w:rsidR="00F824FE" w:rsidRDefault="00F824FE" w:rsidP="00EF1133">
      <w:pPr>
        <w:pStyle w:val="NoSpacing"/>
        <w:rPr>
          <w:rFonts w:ascii="Arial Black" w:hAnsi="Arial Black"/>
          <w:sz w:val="24"/>
          <w:szCs w:val="24"/>
        </w:rPr>
      </w:pPr>
    </w:p>
    <w:p w14:paraId="2AC5C659" w14:textId="4FD17634" w:rsidR="00A672EE" w:rsidRDefault="00A672EE" w:rsidP="00EF1133">
      <w:pPr>
        <w:pStyle w:val="NoSpacing"/>
        <w:rPr>
          <w:rFonts w:ascii="Arial Black" w:hAnsi="Arial Black"/>
          <w:sz w:val="24"/>
          <w:szCs w:val="24"/>
        </w:rPr>
      </w:pPr>
      <w:r>
        <w:rPr>
          <w:rFonts w:ascii="Arial Black" w:hAnsi="Arial Black"/>
          <w:sz w:val="24"/>
          <w:szCs w:val="24"/>
        </w:rPr>
        <w:t>2-36</w:t>
      </w:r>
    </w:p>
    <w:p w14:paraId="53C5ACC0" w14:textId="61811F55" w:rsidR="00A672EE" w:rsidRDefault="00A672EE" w:rsidP="00EF1133">
      <w:pPr>
        <w:pStyle w:val="NoSpacing"/>
        <w:rPr>
          <w:rFonts w:ascii="Arial Black" w:hAnsi="Arial Black"/>
          <w:sz w:val="24"/>
          <w:szCs w:val="24"/>
        </w:rPr>
      </w:pPr>
    </w:p>
    <w:p w14:paraId="47FB5FF7" w14:textId="77777777" w:rsidR="00A672EE" w:rsidRDefault="00A672EE" w:rsidP="00A672EE">
      <w:pPr>
        <w:pStyle w:val="NoSpacing"/>
        <w:rPr>
          <w:rFonts w:ascii="Arial Black" w:hAnsi="Arial Black"/>
          <w:sz w:val="28"/>
          <w:szCs w:val="28"/>
        </w:rPr>
      </w:pPr>
      <w:r w:rsidRPr="00F34028">
        <w:rPr>
          <w:rFonts w:ascii="Arial Black" w:hAnsi="Arial Black"/>
          <w:sz w:val="28"/>
          <w:szCs w:val="28"/>
        </w:rPr>
        <w:t>KY:</w:t>
      </w:r>
      <w:r>
        <w:rPr>
          <w:rFonts w:ascii="Arial Black" w:hAnsi="Arial Black"/>
          <w:sz w:val="28"/>
          <w:szCs w:val="28"/>
        </w:rPr>
        <w:t xml:space="preserve"> ARSON – INSURANCE FRAUD – CONVICTED ARSON WITH DEATH – </w:t>
      </w:r>
    </w:p>
    <w:p w14:paraId="119D67B1" w14:textId="77777777" w:rsidR="00A672EE" w:rsidRPr="00F34028" w:rsidRDefault="00A672EE" w:rsidP="00A672EE">
      <w:pPr>
        <w:pStyle w:val="NoSpacing"/>
        <w:rPr>
          <w:rFonts w:ascii="Arial Black" w:hAnsi="Arial Black"/>
          <w:sz w:val="28"/>
          <w:szCs w:val="28"/>
        </w:rPr>
      </w:pPr>
      <w:r>
        <w:rPr>
          <w:rFonts w:ascii="Arial Black" w:hAnsi="Arial Black"/>
          <w:sz w:val="28"/>
          <w:szCs w:val="28"/>
        </w:rPr>
        <w:t>FF LODD AT SCENE, FF HAD MEDICAL HISTORY - CONV. UPHELD</w:t>
      </w:r>
    </w:p>
    <w:p w14:paraId="5E9FA66C" w14:textId="77777777" w:rsidR="00A672EE" w:rsidRDefault="00A672EE" w:rsidP="00A672EE">
      <w:pPr>
        <w:pStyle w:val="NoSpacing"/>
        <w:rPr>
          <w:rFonts w:ascii="On Times New Roman" w:hAnsi="On Times New Roman"/>
          <w:sz w:val="24"/>
          <w:szCs w:val="24"/>
        </w:rPr>
      </w:pPr>
    </w:p>
    <w:p w14:paraId="2DC0751F" w14:textId="331A721A" w:rsidR="00A672EE" w:rsidRDefault="00A672EE" w:rsidP="00A672EE">
      <w:pPr>
        <w:pStyle w:val="NoSpacing"/>
        <w:rPr>
          <w:rFonts w:ascii="Times New Roman" w:hAnsi="Times New Roman"/>
          <w:sz w:val="24"/>
          <w:szCs w:val="24"/>
        </w:rPr>
      </w:pPr>
      <w:r w:rsidRPr="00B47E18">
        <w:rPr>
          <w:rFonts w:ascii="Times New Roman" w:hAnsi="Times New Roman"/>
          <w:sz w:val="24"/>
          <w:szCs w:val="24"/>
        </w:rPr>
        <w:t xml:space="preserve">On July 7, 2020, in </w:t>
      </w:r>
      <w:r w:rsidRPr="00B47E18">
        <w:rPr>
          <w:rFonts w:ascii="Times New Roman" w:hAnsi="Times New Roman"/>
          <w:sz w:val="24"/>
          <w:szCs w:val="24"/>
          <w:u w:val="single"/>
        </w:rPr>
        <w:t>United States of America v. Steve Allen Pritchard</w:t>
      </w:r>
      <w:r w:rsidRPr="00B47E18">
        <w:rPr>
          <w:rFonts w:ascii="Times New Roman" w:hAnsi="Times New Roman"/>
          <w:sz w:val="24"/>
          <w:szCs w:val="24"/>
        </w:rPr>
        <w:t>, the U.S. Court of Appeals for Sixth Circuit (Cincinnati) affirmed (3 to 0) the conviction</w:t>
      </w:r>
      <w:r w:rsidR="00CB0898">
        <w:rPr>
          <w:rFonts w:ascii="Times New Roman" w:hAnsi="Times New Roman"/>
          <w:sz w:val="24"/>
          <w:szCs w:val="24"/>
        </w:rPr>
        <w:t xml:space="preserve"> for violation of the federal arson statute, </w:t>
      </w:r>
      <w:r w:rsidR="00CB0898" w:rsidRPr="00CB0898">
        <w:rPr>
          <w:rFonts w:ascii="Times New Roman" w:hAnsi="Times New Roman"/>
          <w:sz w:val="24"/>
          <w:szCs w:val="24"/>
        </w:rPr>
        <w:t>18 U.S.C. § 844(</w:t>
      </w:r>
      <w:proofErr w:type="spellStart"/>
      <w:r w:rsidR="00CB0898" w:rsidRPr="00CB0898">
        <w:rPr>
          <w:rFonts w:ascii="Times New Roman" w:hAnsi="Times New Roman"/>
          <w:sz w:val="24"/>
          <w:szCs w:val="24"/>
        </w:rPr>
        <w:t>i</w:t>
      </w:r>
      <w:proofErr w:type="spellEnd"/>
      <w:r w:rsidR="00CB0898" w:rsidRPr="00CB0898">
        <w:rPr>
          <w:rFonts w:ascii="Times New Roman" w:hAnsi="Times New Roman"/>
          <w:sz w:val="24"/>
          <w:szCs w:val="24"/>
        </w:rPr>
        <w:t>)</w:t>
      </w:r>
      <w:r w:rsidR="00CB0898">
        <w:rPr>
          <w:rFonts w:ascii="Times New Roman" w:hAnsi="Times New Roman"/>
          <w:sz w:val="24"/>
          <w:szCs w:val="24"/>
        </w:rPr>
        <w:t xml:space="preserve">, </w:t>
      </w:r>
      <w:r w:rsidRPr="00B47E18">
        <w:rPr>
          <w:rFonts w:ascii="Times New Roman" w:hAnsi="Times New Roman"/>
          <w:sz w:val="24"/>
          <w:szCs w:val="24"/>
        </w:rPr>
        <w:t xml:space="preserve"> and his enhanced sentence of 360 months in prison.  Court wrote: “Even though Pritchard offered evidence that Sparks’s pre-existing medical condition led to his death, the jury found an unbroken chain of causation between the fire</w:t>
      </w:r>
      <w:r w:rsidR="00CB0898">
        <w:rPr>
          <w:rFonts w:ascii="Times New Roman" w:hAnsi="Times New Roman"/>
          <w:sz w:val="24"/>
          <w:szCs w:val="24"/>
        </w:rPr>
        <w:t xml:space="preserve"> </w:t>
      </w:r>
      <w:r w:rsidRPr="00B47E18">
        <w:rPr>
          <w:rFonts w:ascii="Times New Roman" w:hAnsi="Times New Roman"/>
          <w:sz w:val="24"/>
          <w:szCs w:val="24"/>
        </w:rPr>
        <w:t xml:space="preserve">and Sparks’s heart attack. Just as we did not disturb a jury’s finding that the patient’s “actions as an addict cannot be said to break the chain of proximate causation[,]” we do not disturb the jury’s conclusion that Sparks’s medical ailments did not sever the causal link between the fire and his death.” </w:t>
      </w:r>
      <w:hyperlink r:id="rId581" w:history="1">
        <w:r w:rsidRPr="00B47E18">
          <w:rPr>
            <w:rStyle w:val="Hyperlink"/>
            <w:rFonts w:ascii="Times New Roman" w:hAnsi="Times New Roman"/>
            <w:sz w:val="24"/>
            <w:szCs w:val="24"/>
          </w:rPr>
          <w:t>https://www.opn.ca6.uscourts.gov/opinions.pdf/20a0203p-06.pdf</w:t>
        </w:r>
      </w:hyperlink>
      <w:r w:rsidRPr="00B47E18">
        <w:rPr>
          <w:rFonts w:ascii="Times New Roman" w:hAnsi="Times New Roman"/>
          <w:sz w:val="24"/>
          <w:szCs w:val="24"/>
        </w:rPr>
        <w:t xml:space="preserve"> </w:t>
      </w:r>
    </w:p>
    <w:p w14:paraId="036ED4FC" w14:textId="4DED77E0" w:rsidR="00CB0898" w:rsidRDefault="00CB0898" w:rsidP="00A672EE">
      <w:pPr>
        <w:pStyle w:val="NoSpacing"/>
        <w:rPr>
          <w:rFonts w:ascii="Times New Roman" w:hAnsi="Times New Roman"/>
          <w:sz w:val="24"/>
          <w:szCs w:val="24"/>
        </w:rPr>
      </w:pPr>
    </w:p>
    <w:p w14:paraId="2A1CAC49" w14:textId="068BCE1D" w:rsidR="00CB0898" w:rsidRPr="00CB0898" w:rsidRDefault="00CB0898" w:rsidP="00A672EE">
      <w:pPr>
        <w:pStyle w:val="NoSpacing"/>
        <w:rPr>
          <w:rFonts w:ascii="Times New Roman" w:hAnsi="Times New Roman"/>
          <w:b/>
          <w:bCs/>
          <w:sz w:val="24"/>
          <w:szCs w:val="24"/>
        </w:rPr>
      </w:pPr>
      <w:r w:rsidRPr="00CB0898">
        <w:rPr>
          <w:rFonts w:ascii="Times New Roman" w:hAnsi="Times New Roman"/>
          <w:b/>
          <w:bCs/>
          <w:sz w:val="24"/>
          <w:szCs w:val="24"/>
        </w:rPr>
        <w:t>Legal Lesson Learned: Firefighter who is killed at scene of arson, the defendant can be convicted of violation of federal arson statute</w:t>
      </w:r>
      <w:r>
        <w:rPr>
          <w:rFonts w:ascii="Times New Roman" w:hAnsi="Times New Roman"/>
          <w:b/>
          <w:bCs/>
          <w:sz w:val="24"/>
          <w:szCs w:val="24"/>
        </w:rPr>
        <w:t xml:space="preserve"> with enhanced sentence. </w:t>
      </w:r>
    </w:p>
    <w:p w14:paraId="319BFB10" w14:textId="77777777" w:rsidR="00A672EE" w:rsidRDefault="00A672EE" w:rsidP="00EF1133">
      <w:pPr>
        <w:pStyle w:val="NoSpacing"/>
        <w:rPr>
          <w:rFonts w:ascii="Arial Black" w:hAnsi="Arial Black"/>
          <w:sz w:val="24"/>
          <w:szCs w:val="24"/>
        </w:rPr>
      </w:pPr>
    </w:p>
    <w:p w14:paraId="296F6CAF" w14:textId="77777777" w:rsidR="00A672EE" w:rsidRDefault="00A672EE" w:rsidP="00EF1133">
      <w:pPr>
        <w:pStyle w:val="NoSpacing"/>
        <w:rPr>
          <w:rFonts w:ascii="Arial Black" w:hAnsi="Arial Black"/>
          <w:sz w:val="24"/>
          <w:szCs w:val="24"/>
        </w:rPr>
      </w:pPr>
    </w:p>
    <w:p w14:paraId="21927583" w14:textId="77777777" w:rsidR="00A672EE" w:rsidRDefault="00A672EE" w:rsidP="00EF1133">
      <w:pPr>
        <w:pStyle w:val="NoSpacing"/>
        <w:rPr>
          <w:rFonts w:ascii="Arial Black" w:hAnsi="Arial Black"/>
          <w:sz w:val="24"/>
          <w:szCs w:val="24"/>
        </w:rPr>
      </w:pPr>
    </w:p>
    <w:p w14:paraId="4B0D8321" w14:textId="32A93CE9" w:rsidR="0020758F" w:rsidRDefault="0020758F" w:rsidP="00EF1133">
      <w:pPr>
        <w:pStyle w:val="NoSpacing"/>
        <w:rPr>
          <w:rFonts w:ascii="Arial Black" w:hAnsi="Arial Black"/>
          <w:sz w:val="24"/>
          <w:szCs w:val="24"/>
        </w:rPr>
      </w:pPr>
      <w:r>
        <w:rPr>
          <w:rFonts w:ascii="Arial Black" w:hAnsi="Arial Black"/>
          <w:sz w:val="24"/>
          <w:szCs w:val="24"/>
        </w:rPr>
        <w:t>2-35</w:t>
      </w:r>
    </w:p>
    <w:p w14:paraId="53FB6FE1" w14:textId="6FFFF4C2" w:rsidR="0020758F" w:rsidRDefault="0020758F" w:rsidP="00EF1133">
      <w:pPr>
        <w:pStyle w:val="NoSpacing"/>
        <w:rPr>
          <w:rFonts w:ascii="Arial Black" w:hAnsi="Arial Black"/>
          <w:sz w:val="24"/>
          <w:szCs w:val="24"/>
        </w:rPr>
      </w:pPr>
    </w:p>
    <w:p w14:paraId="2B55A19D" w14:textId="77777777" w:rsidR="0020758F" w:rsidRDefault="0020758F" w:rsidP="0020758F">
      <w:pPr>
        <w:pStyle w:val="NoSpacing"/>
        <w:rPr>
          <w:rFonts w:ascii="Arial Black" w:hAnsi="Arial Black"/>
          <w:sz w:val="28"/>
          <w:szCs w:val="28"/>
        </w:rPr>
      </w:pPr>
      <w:r w:rsidRPr="005C4230">
        <w:rPr>
          <w:rFonts w:ascii="Arial Black" w:hAnsi="Arial Black"/>
          <w:sz w:val="28"/>
          <w:szCs w:val="28"/>
        </w:rPr>
        <w:t xml:space="preserve">NY: </w:t>
      </w:r>
      <w:r>
        <w:rPr>
          <w:rFonts w:ascii="Arial Black" w:hAnsi="Arial Black"/>
          <w:sz w:val="28"/>
          <w:szCs w:val="28"/>
        </w:rPr>
        <w:t>FIREMAN’S RULE – PD INJURED, FRONT EDGE STEP BROKE – OWNER DEFAULT, CAN’T SUE MORTGAGE CO.</w:t>
      </w:r>
    </w:p>
    <w:p w14:paraId="0D1405AE" w14:textId="77777777" w:rsidR="00F00958" w:rsidRDefault="00F00958" w:rsidP="0020758F">
      <w:pPr>
        <w:pStyle w:val="NoSpacing"/>
        <w:rPr>
          <w:rFonts w:ascii="Arial Black" w:hAnsi="Arial Black"/>
          <w:sz w:val="28"/>
          <w:szCs w:val="28"/>
        </w:rPr>
      </w:pPr>
    </w:p>
    <w:p w14:paraId="06985639" w14:textId="211DBE23" w:rsidR="0020758F" w:rsidRDefault="0020758F" w:rsidP="0020758F">
      <w:pPr>
        <w:pStyle w:val="NoSpacing"/>
        <w:rPr>
          <w:rFonts w:ascii="Times New Roman" w:eastAsia="Times New Roman" w:hAnsi="Times New Roman"/>
          <w:sz w:val="24"/>
          <w:szCs w:val="24"/>
        </w:rPr>
      </w:pPr>
      <w:r w:rsidRPr="00A05E71">
        <w:rPr>
          <w:rFonts w:ascii="Times New Roman" w:hAnsi="Times New Roman"/>
          <w:sz w:val="24"/>
          <w:szCs w:val="24"/>
        </w:rPr>
        <w:t xml:space="preserve">On June 10, 2020, in </w:t>
      </w:r>
      <w:r w:rsidRPr="00A05E71">
        <w:rPr>
          <w:rFonts w:ascii="Times New Roman" w:hAnsi="Times New Roman"/>
          <w:sz w:val="24"/>
          <w:szCs w:val="24"/>
          <w:u w:val="single"/>
        </w:rPr>
        <w:t>Joseph B. Maher v. Wells Fargo Financial New York, Inc., et al</w:t>
      </w:r>
      <w:r w:rsidRPr="00A05E71">
        <w:rPr>
          <w:rFonts w:ascii="Times New Roman" w:hAnsi="Times New Roman"/>
          <w:sz w:val="24"/>
          <w:szCs w:val="24"/>
        </w:rPr>
        <w:t>., 2020 NY Slip Op 03219</w:t>
      </w:r>
      <w:r>
        <w:rPr>
          <w:rFonts w:ascii="Times New Roman" w:hAnsi="Times New Roman"/>
          <w:sz w:val="24"/>
          <w:szCs w:val="24"/>
        </w:rPr>
        <w:t xml:space="preserve">, </w:t>
      </w:r>
      <w:r w:rsidRPr="00855687">
        <w:rPr>
          <w:rFonts w:ascii="Times New Roman" w:hAnsi="Times New Roman"/>
          <w:sz w:val="24"/>
          <w:szCs w:val="24"/>
        </w:rPr>
        <w:t>the Supreme Court of New York, Appellate Division (Second Judicial Department) held (5 to 0) that the trial court had properly granted summary judgment to the defendant mortgage company and its subs that maintained the property, since they</w:t>
      </w:r>
      <w:r>
        <w:rPr>
          <w:rFonts w:ascii="Times New Roman" w:hAnsi="Times New Roman"/>
          <w:sz w:val="24"/>
          <w:szCs w:val="24"/>
        </w:rPr>
        <w:t xml:space="preserve"> owed no duty of care to the police officer</w:t>
      </w:r>
      <w:r w:rsidRPr="00855687">
        <w:rPr>
          <w:rFonts w:ascii="Times New Roman" w:hAnsi="Times New Roman"/>
          <w:sz w:val="24"/>
          <w:szCs w:val="24"/>
        </w:rPr>
        <w:t xml:space="preserve">.  The Court held: </w:t>
      </w:r>
      <w:r>
        <w:rPr>
          <w:rFonts w:ascii="Times New Roman" w:hAnsi="Times New Roman"/>
          <w:sz w:val="24"/>
          <w:szCs w:val="24"/>
        </w:rPr>
        <w:t>“</w:t>
      </w:r>
      <w:r w:rsidRPr="00855687">
        <w:rPr>
          <w:rFonts w:ascii="Times New Roman" w:hAnsi="Times New Roman"/>
          <w:sz w:val="24"/>
          <w:szCs w:val="24"/>
        </w:rPr>
        <w:t xml:space="preserve">On May 26, 2011, the plaintiff, a police officer, was in the process of executing a parole arrest warrant, which required him to enter certain property in Hempstead (hereinafter the property). The plaintiff allegedly was injured when, while walking down a flight of stairs, the front edge of one step broke and he fell down the remaining stairs. At the time of the incident, the defendant Charles White owned the </w:t>
      </w:r>
      <w:proofErr w:type="gramStart"/>
      <w:r w:rsidRPr="00855687">
        <w:rPr>
          <w:rFonts w:ascii="Times New Roman" w:hAnsi="Times New Roman"/>
          <w:sz w:val="24"/>
          <w:szCs w:val="24"/>
        </w:rPr>
        <w:t>property, but</w:t>
      </w:r>
      <w:proofErr w:type="gramEnd"/>
      <w:r w:rsidRPr="00855687">
        <w:rPr>
          <w:rFonts w:ascii="Times New Roman" w:hAnsi="Times New Roman"/>
          <w:sz w:val="24"/>
          <w:szCs w:val="24"/>
        </w:rPr>
        <w:t xml:space="preserve"> had defaulted on his mortgage loan payments in April 2011</w:t>
      </w:r>
      <w:r>
        <w:rPr>
          <w:rFonts w:ascii="Times New Roman" w:eastAsia="Times New Roman" w:hAnsi="Times New Roman"/>
          <w:b/>
          <w:bCs/>
          <w:sz w:val="24"/>
          <w:szCs w:val="24"/>
        </w:rPr>
        <w:t xml:space="preserve">. ***  </w:t>
      </w:r>
      <w:r w:rsidRPr="005C4230">
        <w:rPr>
          <w:rFonts w:ascii="Times New Roman" w:eastAsia="Times New Roman" w:hAnsi="Times New Roman"/>
          <w:sz w:val="24"/>
          <w:szCs w:val="24"/>
        </w:rPr>
        <w:t xml:space="preserve">The </w:t>
      </w:r>
      <w:r>
        <w:rPr>
          <w:rFonts w:ascii="Times New Roman" w:eastAsia="Times New Roman" w:hAnsi="Times New Roman"/>
          <w:sz w:val="24"/>
          <w:szCs w:val="24"/>
        </w:rPr>
        <w:t>‘</w:t>
      </w:r>
      <w:r w:rsidRPr="005C4230">
        <w:rPr>
          <w:rFonts w:ascii="Times New Roman" w:eastAsia="Times New Roman" w:hAnsi="Times New Roman"/>
          <w:sz w:val="24"/>
          <w:szCs w:val="24"/>
        </w:rPr>
        <w:t>firefighter's rule,</w:t>
      </w:r>
      <w:r>
        <w:rPr>
          <w:rFonts w:ascii="Times New Roman" w:eastAsia="Times New Roman" w:hAnsi="Times New Roman"/>
          <w:sz w:val="24"/>
          <w:szCs w:val="24"/>
        </w:rPr>
        <w:t>’</w:t>
      </w:r>
      <w:r w:rsidRPr="005C4230">
        <w:rPr>
          <w:rFonts w:ascii="Times New Roman" w:eastAsia="Times New Roman" w:hAnsi="Times New Roman"/>
          <w:sz w:val="24"/>
          <w:szCs w:val="24"/>
        </w:rPr>
        <w:t xml:space="preserve"> which </w:t>
      </w:r>
      <w:r>
        <w:rPr>
          <w:rFonts w:ascii="Times New Roman" w:eastAsia="Times New Roman" w:hAnsi="Times New Roman"/>
          <w:sz w:val="24"/>
          <w:szCs w:val="24"/>
        </w:rPr>
        <w:t>‘</w:t>
      </w:r>
      <w:r w:rsidRPr="005C4230">
        <w:rPr>
          <w:rFonts w:ascii="Times New Roman" w:eastAsia="Times New Roman" w:hAnsi="Times New Roman"/>
          <w:sz w:val="24"/>
          <w:szCs w:val="24"/>
        </w:rPr>
        <w:t>bars recovery in negligence for injuries sustained by a firefighter [or a police officer] in the line of duty</w:t>
      </w:r>
      <w:r>
        <w:rPr>
          <w:rFonts w:ascii="Times New Roman" w:eastAsia="Times New Roman" w:hAnsi="Times New Roman"/>
          <w:sz w:val="24"/>
          <w:szCs w:val="24"/>
        </w:rPr>
        <w:t>’</w:t>
      </w:r>
      <w:r w:rsidRPr="005C4230">
        <w:rPr>
          <w:rFonts w:ascii="Times New Roman" w:eastAsia="Times New Roman" w:hAnsi="Times New Roman"/>
          <w:sz w:val="24"/>
          <w:szCs w:val="24"/>
        </w:rPr>
        <w:t xml:space="preserve"> (Giuffrida v Citibank Corp., 100 NY2d 72, 76), was abolished by General Obligations Law § 11-106, except as to actions against municipal employers and fellow police officers</w:t>
      </w:r>
      <w:r>
        <w:rPr>
          <w:rFonts w:ascii="Times New Roman" w:eastAsia="Times New Roman" w:hAnsi="Times New Roman"/>
          <w:sz w:val="24"/>
          <w:szCs w:val="24"/>
        </w:rPr>
        <w:t>….</w:t>
      </w:r>
      <w:r w:rsidRPr="005C4230">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5C4230">
        <w:rPr>
          <w:rFonts w:ascii="Times New Roman" w:eastAsia="Times New Roman" w:hAnsi="Times New Roman"/>
          <w:sz w:val="24"/>
          <w:szCs w:val="24"/>
        </w:rPr>
        <w:t xml:space="preserve">Here, the defendants established their prima facie entitlement to judgment as a matter of law dismissing the negligence cause of action </w:t>
      </w:r>
    </w:p>
    <w:p w14:paraId="1D306ACD" w14:textId="77777777" w:rsidR="0020758F" w:rsidRDefault="0020758F" w:rsidP="0020758F">
      <w:pPr>
        <w:pStyle w:val="NoSpacing"/>
        <w:rPr>
          <w:rFonts w:ascii="Times New Roman" w:eastAsia="Times New Roman" w:hAnsi="Times New Roman"/>
          <w:sz w:val="24"/>
          <w:szCs w:val="24"/>
        </w:rPr>
      </w:pPr>
      <w:r w:rsidRPr="005C4230">
        <w:rPr>
          <w:rFonts w:ascii="Times New Roman" w:eastAsia="Times New Roman" w:hAnsi="Times New Roman"/>
          <w:sz w:val="24"/>
          <w:szCs w:val="24"/>
        </w:rPr>
        <w:t xml:space="preserve">insofar as asserted against each of them by demonstrating that they did not own or control the subject premises, or assume any duty to the plaintiff, which might serve as a predicate for liability (see Pollard v Credit Suisse First </w:t>
      </w:r>
    </w:p>
    <w:p w14:paraId="495DB781" w14:textId="38B6CE39" w:rsidR="0020758F" w:rsidRDefault="0020758F" w:rsidP="0020758F">
      <w:pPr>
        <w:pStyle w:val="NoSpacing"/>
        <w:rPr>
          <w:rStyle w:val="Hyperlink"/>
          <w:rFonts w:ascii="Times New Roman" w:hAnsi="Times New Roman"/>
          <w:sz w:val="24"/>
          <w:szCs w:val="24"/>
        </w:rPr>
      </w:pPr>
      <w:r w:rsidRPr="005C4230">
        <w:rPr>
          <w:rFonts w:ascii="Times New Roman" w:eastAsia="Times New Roman" w:hAnsi="Times New Roman"/>
          <w:sz w:val="24"/>
          <w:szCs w:val="24"/>
        </w:rPr>
        <w:t>Boston Mtge. Capital, LLC, 66 AD3d at 863</w:t>
      </w:r>
      <w:r>
        <w:rPr>
          <w:rFonts w:ascii="Times New Roman" w:eastAsia="Times New Roman" w:hAnsi="Times New Roman"/>
          <w:sz w:val="24"/>
          <w:szCs w:val="24"/>
        </w:rPr>
        <w:t xml:space="preserve">).”  </w:t>
      </w:r>
      <w:hyperlink r:id="rId582" w:history="1">
        <w:r w:rsidRPr="008A2EB4">
          <w:rPr>
            <w:rStyle w:val="Hyperlink"/>
            <w:rFonts w:ascii="Times New Roman" w:hAnsi="Times New Roman"/>
            <w:sz w:val="24"/>
            <w:szCs w:val="24"/>
          </w:rPr>
          <w:t>https://law.justia.com/cases/new-york/appellate-division-second-department/2020/2016-13412.html</w:t>
        </w:r>
      </w:hyperlink>
    </w:p>
    <w:p w14:paraId="58123526" w14:textId="4D8DE7D8" w:rsidR="0020758F" w:rsidRDefault="0020758F" w:rsidP="0020758F">
      <w:pPr>
        <w:pStyle w:val="NoSpacing"/>
        <w:rPr>
          <w:rStyle w:val="Hyperlink"/>
          <w:rFonts w:ascii="Times New Roman" w:hAnsi="Times New Roman"/>
          <w:sz w:val="24"/>
          <w:szCs w:val="24"/>
        </w:rPr>
      </w:pPr>
    </w:p>
    <w:p w14:paraId="076E5BFD" w14:textId="77777777" w:rsidR="0020758F" w:rsidRDefault="0020758F" w:rsidP="0020758F">
      <w:pPr>
        <w:spacing w:before="100" w:beforeAutospacing="1" w:after="100" w:afterAutospacing="1" w:line="240" w:lineRule="auto"/>
        <w:rPr>
          <w:rFonts w:ascii="Times New Roman" w:hAnsi="Times New Roman"/>
          <w:b/>
          <w:bCs/>
          <w:sz w:val="24"/>
          <w:szCs w:val="24"/>
        </w:rPr>
      </w:pPr>
      <w:r w:rsidRPr="00855687">
        <w:rPr>
          <w:rFonts w:ascii="Times New Roman" w:hAnsi="Times New Roman"/>
          <w:b/>
          <w:bCs/>
          <w:sz w:val="24"/>
          <w:szCs w:val="24"/>
        </w:rPr>
        <w:t>Legal Lessons Learned:</w:t>
      </w:r>
      <w:r>
        <w:rPr>
          <w:rFonts w:ascii="Times New Roman" w:hAnsi="Times New Roman"/>
          <w:b/>
          <w:bCs/>
          <w:sz w:val="24"/>
          <w:szCs w:val="24"/>
        </w:rPr>
        <w:t xml:space="preserve"> The Fireman’s Rule has been abolished in New York; also abolished in Florida.  </w:t>
      </w:r>
    </w:p>
    <w:p w14:paraId="2FCBA738" w14:textId="77777777" w:rsidR="0020758F" w:rsidRDefault="0020758F" w:rsidP="0020758F">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Note:  New York </w:t>
      </w:r>
      <w:r w:rsidRPr="005C4230">
        <w:rPr>
          <w:rFonts w:ascii="Times New Roman" w:eastAsia="Times New Roman" w:hAnsi="Times New Roman"/>
          <w:sz w:val="24"/>
          <w:szCs w:val="24"/>
        </w:rPr>
        <w:t>General Obligations Law § 11-106</w:t>
      </w:r>
      <w:r>
        <w:rPr>
          <w:rFonts w:ascii="Times New Roman" w:eastAsia="Times New Roman" w:hAnsi="Times New Roman"/>
          <w:sz w:val="24"/>
          <w:szCs w:val="24"/>
        </w:rPr>
        <w:t xml:space="preserve"> provides in part:</w:t>
      </w:r>
    </w:p>
    <w:p w14:paraId="32DACC90" w14:textId="77777777" w:rsidR="0020758F" w:rsidRDefault="0020758F" w:rsidP="0020758F">
      <w:pPr>
        <w:pStyle w:val="NoSpacing"/>
        <w:ind w:left="720" w:hanging="720"/>
        <w:rPr>
          <w:rFonts w:ascii="Times New Roman" w:hAnsi="Times New Roman"/>
          <w:sz w:val="24"/>
          <w:szCs w:val="24"/>
        </w:rPr>
      </w:pPr>
      <w:r>
        <w:t> </w:t>
      </w:r>
      <w:r>
        <w:tab/>
        <w:t>“</w:t>
      </w:r>
      <w:r w:rsidRPr="00855687">
        <w:rPr>
          <w:rFonts w:ascii="Times New Roman" w:hAnsi="Times New Roman"/>
          <w:sz w:val="24"/>
          <w:szCs w:val="24"/>
        </w:rPr>
        <w:t>In addition to any other right of action or recovery otherwise available under law, whenever any police officer or firefighter suffers any injury, disease or death while in the lawful discharge of his official duties and that injury, disease or death is proximately caused by the neglect, willful omission, or intentional, willful or culpable conduct of any person or entity, other than that police officer's or firefighter's employer or co-employee, the police officer or firefighter suffering that injury or disease, or, in the case of death, a representative of that police officer or firefighter may seek recovery and damages from the person or entity whose neglect, willful omission, or intentional, willful or culpable conduct resulted in that injury, disease or death</w:t>
      </w:r>
      <w:r>
        <w:rPr>
          <w:rFonts w:ascii="Times New Roman" w:hAnsi="Times New Roman"/>
          <w:sz w:val="24"/>
          <w:szCs w:val="24"/>
        </w:rPr>
        <w:t xml:space="preserve">.” </w:t>
      </w:r>
      <w:hyperlink r:id="rId583" w:history="1">
        <w:r w:rsidRPr="008A2EB4">
          <w:rPr>
            <w:rStyle w:val="Hyperlink"/>
            <w:rFonts w:ascii="Times New Roman" w:hAnsi="Times New Roman"/>
            <w:sz w:val="24"/>
            <w:szCs w:val="24"/>
          </w:rPr>
          <w:t>https://codes.findlaw.com/ny/general-obligations-law/gob-sect-11-106.html</w:t>
        </w:r>
      </w:hyperlink>
      <w:r>
        <w:rPr>
          <w:rFonts w:ascii="Times New Roman" w:hAnsi="Times New Roman"/>
          <w:sz w:val="24"/>
          <w:szCs w:val="24"/>
        </w:rPr>
        <w:t xml:space="preserve">  </w:t>
      </w:r>
    </w:p>
    <w:p w14:paraId="0EE67327" w14:textId="77777777" w:rsidR="0020758F" w:rsidRDefault="0020758F" w:rsidP="0020758F">
      <w:pPr>
        <w:pStyle w:val="NoSpacing"/>
        <w:ind w:left="720" w:hanging="720"/>
        <w:rPr>
          <w:rFonts w:ascii="Times New Roman" w:hAnsi="Times New Roman"/>
          <w:sz w:val="24"/>
          <w:szCs w:val="24"/>
        </w:rPr>
      </w:pPr>
    </w:p>
    <w:p w14:paraId="39DC538B" w14:textId="77777777" w:rsidR="0020758F" w:rsidRDefault="0020758F" w:rsidP="0020758F">
      <w:pPr>
        <w:pStyle w:val="NoSpacing"/>
        <w:ind w:left="720" w:hanging="720"/>
        <w:rPr>
          <w:rFonts w:ascii="Times New Roman" w:hAnsi="Times New Roman"/>
          <w:sz w:val="24"/>
          <w:szCs w:val="24"/>
        </w:rPr>
      </w:pPr>
      <w:r>
        <w:rPr>
          <w:rFonts w:ascii="Times New Roman" w:hAnsi="Times New Roman"/>
          <w:sz w:val="24"/>
          <w:szCs w:val="24"/>
        </w:rPr>
        <w:tab/>
      </w:r>
    </w:p>
    <w:p w14:paraId="547DD40F" w14:textId="77777777" w:rsidR="0020758F" w:rsidRDefault="0020758F" w:rsidP="0020758F">
      <w:pPr>
        <w:pStyle w:val="NoSpacing"/>
        <w:ind w:left="720" w:hanging="720"/>
        <w:rPr>
          <w:rFonts w:ascii="Times New Roman" w:hAnsi="Times New Roman"/>
          <w:sz w:val="24"/>
          <w:szCs w:val="24"/>
        </w:rPr>
      </w:pPr>
      <w:r>
        <w:rPr>
          <w:rFonts w:ascii="Times New Roman" w:hAnsi="Times New Roman"/>
          <w:sz w:val="24"/>
          <w:szCs w:val="24"/>
        </w:rPr>
        <w:tab/>
        <w:t>Florida (2019)</w:t>
      </w:r>
    </w:p>
    <w:p w14:paraId="7A3D381C" w14:textId="77777777" w:rsidR="0020758F" w:rsidRPr="00A05E71" w:rsidRDefault="0020758F" w:rsidP="0020758F">
      <w:pPr>
        <w:spacing w:after="0" w:line="240" w:lineRule="auto"/>
        <w:ind w:firstLine="720"/>
        <w:rPr>
          <w:rFonts w:ascii="Verdana" w:eastAsia="Times New Roman" w:hAnsi="Verdana"/>
          <w:sz w:val="20"/>
          <w:szCs w:val="20"/>
        </w:rPr>
      </w:pPr>
      <w:r w:rsidRPr="00A05E71">
        <w:rPr>
          <w:rFonts w:ascii="Verdana" w:eastAsia="Times New Roman" w:hAnsi="Verdana"/>
          <w:sz w:val="20"/>
          <w:szCs w:val="20"/>
        </w:rPr>
        <w:t>112.182</w:t>
      </w:r>
      <w:r w:rsidRPr="00A05E71">
        <w:rPr>
          <w:rFonts w:ascii="Verdana" w:eastAsia="Times New Roman" w:hAnsi="Verdana"/>
          <w:sz w:val="20"/>
          <w:szCs w:val="20"/>
        </w:rPr>
        <w:t> </w:t>
      </w:r>
      <w:r w:rsidRPr="00A05E71">
        <w:rPr>
          <w:rFonts w:ascii="Verdana" w:eastAsia="Times New Roman" w:hAnsi="Verdana"/>
          <w:sz w:val="20"/>
          <w:szCs w:val="20"/>
        </w:rPr>
        <w:t>“Firefighter rule” abolished.—</w:t>
      </w:r>
    </w:p>
    <w:p w14:paraId="199E8342" w14:textId="77777777" w:rsidR="0020758F" w:rsidRPr="00A05E71" w:rsidRDefault="0020758F" w:rsidP="0020758F">
      <w:pPr>
        <w:spacing w:after="0" w:line="240" w:lineRule="auto"/>
        <w:ind w:left="720"/>
        <w:rPr>
          <w:rFonts w:ascii="Times New Roman" w:eastAsia="Times New Roman" w:hAnsi="Times New Roman"/>
          <w:sz w:val="24"/>
          <w:szCs w:val="24"/>
        </w:rPr>
      </w:pPr>
      <w:r w:rsidRPr="00A05E71">
        <w:rPr>
          <w:rFonts w:ascii="Verdana" w:eastAsia="Times New Roman" w:hAnsi="Verdana"/>
          <w:sz w:val="20"/>
          <w:szCs w:val="20"/>
        </w:rPr>
        <w:t>(1)</w:t>
      </w:r>
      <w:r w:rsidRPr="00A05E71">
        <w:rPr>
          <w:rFonts w:ascii="Verdana" w:eastAsia="Times New Roman" w:hAnsi="Verdana"/>
          <w:sz w:val="20"/>
          <w:szCs w:val="20"/>
        </w:rPr>
        <w:t> </w:t>
      </w:r>
      <w:r w:rsidRPr="00A05E71">
        <w:rPr>
          <w:rFonts w:ascii="Verdana" w:eastAsia="Times New Roman" w:hAnsi="Verdana"/>
          <w:sz w:val="20"/>
          <w:szCs w:val="20"/>
        </w:rPr>
        <w:t>A firefighter or properly identified law enforcement officer who lawfully enters upon the premises of another in the discharge of his or her duty occupies the status of an invitee. The common-law rule that such a firefighter or law enforcement officer occupies the status of a licensee is hereby abolished.</w:t>
      </w:r>
    </w:p>
    <w:p w14:paraId="711E42D5" w14:textId="77777777" w:rsidR="0020758F" w:rsidRPr="00A05E71" w:rsidRDefault="0020758F" w:rsidP="0020758F">
      <w:pPr>
        <w:spacing w:after="0" w:line="240" w:lineRule="auto"/>
        <w:ind w:left="720"/>
        <w:rPr>
          <w:rFonts w:ascii="Verdana" w:eastAsia="Times New Roman" w:hAnsi="Verdana"/>
          <w:sz w:val="20"/>
          <w:szCs w:val="20"/>
        </w:rPr>
      </w:pPr>
      <w:r w:rsidRPr="00A05E71">
        <w:rPr>
          <w:rFonts w:ascii="Verdana" w:eastAsia="Times New Roman" w:hAnsi="Verdana"/>
          <w:sz w:val="20"/>
          <w:szCs w:val="20"/>
        </w:rPr>
        <w:t>(2)</w:t>
      </w:r>
      <w:r w:rsidRPr="00A05E71">
        <w:rPr>
          <w:rFonts w:ascii="Verdana" w:eastAsia="Times New Roman" w:hAnsi="Verdana"/>
          <w:sz w:val="20"/>
          <w:szCs w:val="20"/>
        </w:rPr>
        <w:t> </w:t>
      </w:r>
      <w:r w:rsidRPr="00A05E71">
        <w:rPr>
          <w:rFonts w:ascii="Verdana" w:eastAsia="Times New Roman" w:hAnsi="Verdana"/>
          <w:sz w:val="20"/>
          <w:szCs w:val="20"/>
        </w:rPr>
        <w:t xml:space="preserve">It is not the intent of this section to increase or diminish the duty of care owed by property owners to </w:t>
      </w:r>
      <w:proofErr w:type="gramStart"/>
      <w:r w:rsidRPr="00A05E71">
        <w:rPr>
          <w:rFonts w:ascii="Verdana" w:eastAsia="Times New Roman" w:hAnsi="Verdana"/>
          <w:sz w:val="20"/>
          <w:szCs w:val="20"/>
        </w:rPr>
        <w:t>invitees</w:t>
      </w:r>
      <w:proofErr w:type="gramEnd"/>
      <w:r w:rsidRPr="00A05E71">
        <w:rPr>
          <w:rFonts w:ascii="Verdana" w:eastAsia="Times New Roman" w:hAnsi="Verdana"/>
          <w:sz w:val="20"/>
          <w:szCs w:val="20"/>
        </w:rPr>
        <w:t>. Property owners shall be liable to invitees pursuant to this section only when the property owner negligently fails to maintain the premises in a reasonably safe condition or negligently fails to correct a dangerous condition of which the property owner either knew or should have known by the use of reasonable care or negligently fails to warn the invitee of a dangerous condition about which the property owner had, or should have had, knowledge greater than that of the invitee.</w:t>
      </w:r>
    </w:p>
    <w:p w14:paraId="30F6C6A3" w14:textId="77777777" w:rsidR="0020758F" w:rsidRDefault="0020758F" w:rsidP="0020758F">
      <w:pPr>
        <w:spacing w:after="0" w:line="240" w:lineRule="auto"/>
        <w:ind w:firstLine="720"/>
        <w:rPr>
          <w:rFonts w:ascii="Verdana" w:eastAsia="Times New Roman" w:hAnsi="Verdana"/>
          <w:sz w:val="20"/>
          <w:szCs w:val="20"/>
        </w:rPr>
      </w:pPr>
      <w:r w:rsidRPr="00A05E71">
        <w:rPr>
          <w:rFonts w:ascii="Verdana" w:eastAsia="Times New Roman" w:hAnsi="Verdana"/>
          <w:sz w:val="20"/>
          <w:szCs w:val="20"/>
        </w:rPr>
        <w:t>History.—s. 1, ch. 90-308; s. 693, ch. 95-147.</w:t>
      </w:r>
    </w:p>
    <w:p w14:paraId="062F2C5E" w14:textId="77777777" w:rsidR="0020758F" w:rsidRPr="00A05E71" w:rsidRDefault="0020758F" w:rsidP="0020758F">
      <w:pPr>
        <w:spacing w:after="0" w:line="240" w:lineRule="auto"/>
        <w:ind w:left="720"/>
        <w:rPr>
          <w:rFonts w:ascii="Verdana" w:eastAsia="Times New Roman" w:hAnsi="Verdana"/>
          <w:sz w:val="20"/>
          <w:szCs w:val="20"/>
        </w:rPr>
      </w:pPr>
      <w:hyperlink r:id="rId584" w:history="1">
        <w:r w:rsidRPr="008A2EB4">
          <w:rPr>
            <w:rStyle w:val="Hyperlink"/>
            <w:rFonts w:ascii="Verdana" w:hAnsi="Verdana"/>
            <w:sz w:val="20"/>
            <w:szCs w:val="20"/>
          </w:rPr>
          <w:t>http://www.leg.state.fl.us/statutes/index.cfm?App_mode=Display_Statute&amp;Search_String=&amp;URL=0100-0199/0112/Sections/0112.182.html</w:t>
        </w:r>
      </w:hyperlink>
      <w:r>
        <w:rPr>
          <w:rFonts w:ascii="Verdana" w:eastAsia="Times New Roman" w:hAnsi="Verdana"/>
          <w:sz w:val="20"/>
          <w:szCs w:val="20"/>
        </w:rPr>
        <w:t xml:space="preserve"> </w:t>
      </w:r>
    </w:p>
    <w:p w14:paraId="580418AB" w14:textId="77777777" w:rsidR="0020758F" w:rsidRDefault="0020758F" w:rsidP="0020758F">
      <w:pPr>
        <w:pStyle w:val="NoSpacing"/>
        <w:rPr>
          <w:rFonts w:ascii="Arial Black" w:hAnsi="Arial Black"/>
          <w:sz w:val="24"/>
          <w:szCs w:val="24"/>
        </w:rPr>
      </w:pPr>
    </w:p>
    <w:p w14:paraId="3C260D83" w14:textId="77777777" w:rsidR="0020758F" w:rsidRDefault="0020758F" w:rsidP="00EF1133">
      <w:pPr>
        <w:pStyle w:val="NoSpacing"/>
        <w:rPr>
          <w:rFonts w:ascii="Arial Black" w:hAnsi="Arial Black"/>
          <w:sz w:val="24"/>
          <w:szCs w:val="24"/>
        </w:rPr>
      </w:pPr>
    </w:p>
    <w:p w14:paraId="39402962" w14:textId="606C7735" w:rsidR="00D94DC4" w:rsidRDefault="00D94DC4" w:rsidP="00EF1133">
      <w:pPr>
        <w:pStyle w:val="NoSpacing"/>
        <w:rPr>
          <w:rFonts w:ascii="Arial Black" w:hAnsi="Arial Black"/>
          <w:sz w:val="24"/>
          <w:szCs w:val="24"/>
        </w:rPr>
      </w:pPr>
      <w:r>
        <w:rPr>
          <w:rFonts w:ascii="Arial Black" w:hAnsi="Arial Black"/>
          <w:sz w:val="24"/>
          <w:szCs w:val="24"/>
        </w:rPr>
        <w:t>2-34</w:t>
      </w:r>
    </w:p>
    <w:p w14:paraId="0080B655" w14:textId="77777777" w:rsidR="00D94DC4" w:rsidRPr="00B205E3" w:rsidRDefault="00D94DC4" w:rsidP="00D94DC4">
      <w:pPr>
        <w:spacing w:before="100" w:beforeAutospacing="1" w:after="100" w:afterAutospacing="1" w:line="240" w:lineRule="auto"/>
        <w:jc w:val="both"/>
        <w:rPr>
          <w:rFonts w:ascii="Arial Black" w:eastAsia="Times New Roman" w:hAnsi="Arial Black"/>
          <w:b/>
          <w:bCs/>
          <w:sz w:val="28"/>
          <w:szCs w:val="28"/>
        </w:rPr>
      </w:pPr>
      <w:r w:rsidRPr="00B205E3">
        <w:rPr>
          <w:rFonts w:ascii="Arial Black" w:eastAsia="Times New Roman" w:hAnsi="Arial Black"/>
          <w:b/>
          <w:bCs/>
          <w:sz w:val="28"/>
          <w:szCs w:val="28"/>
        </w:rPr>
        <w:t>MD</w:t>
      </w:r>
      <w:r>
        <w:rPr>
          <w:rFonts w:ascii="Arial Black" w:eastAsia="Times New Roman" w:hAnsi="Arial Black"/>
          <w:b/>
          <w:bCs/>
          <w:sz w:val="28"/>
          <w:szCs w:val="28"/>
        </w:rPr>
        <w:t xml:space="preserve">:  WIFE OF DECEASED FF ENTITLED TO DEATH BENEFITS – 2-YRS PRIOR HE SETTLED WORKERS COMP FOR HEART DISEASE / HYPERTENSION – WIFE DID NOT WAIVE RIGHTS </w:t>
      </w:r>
    </w:p>
    <w:p w14:paraId="64DF9027" w14:textId="77777777" w:rsidR="00D94DC4" w:rsidRDefault="00D94DC4" w:rsidP="00D94DC4">
      <w:pPr>
        <w:spacing w:before="100" w:beforeAutospacing="1" w:after="100" w:afterAutospacing="1" w:line="240" w:lineRule="auto"/>
        <w:rPr>
          <w:rFonts w:ascii="Times New Roman" w:hAnsi="Times New Roman"/>
          <w:sz w:val="24"/>
          <w:szCs w:val="24"/>
        </w:rPr>
      </w:pPr>
      <w:r w:rsidRPr="00B205E3">
        <w:rPr>
          <w:rFonts w:ascii="Times New Roman" w:hAnsi="Times New Roman"/>
          <w:sz w:val="24"/>
          <w:szCs w:val="24"/>
        </w:rPr>
        <w:t xml:space="preserve">On </w:t>
      </w:r>
      <w:r>
        <w:rPr>
          <w:rFonts w:ascii="Times New Roman" w:hAnsi="Times New Roman"/>
          <w:sz w:val="24"/>
          <w:szCs w:val="24"/>
        </w:rPr>
        <w:t xml:space="preserve">May 26, 2020, </w:t>
      </w:r>
      <w:r w:rsidRPr="00B205E3">
        <w:rPr>
          <w:rFonts w:ascii="Times New Roman" w:hAnsi="Times New Roman"/>
          <w:sz w:val="24"/>
          <w:szCs w:val="24"/>
          <w:u w:val="single"/>
        </w:rPr>
        <w:t xml:space="preserve">In </w:t>
      </w:r>
      <w:proofErr w:type="gramStart"/>
      <w:r w:rsidRPr="00B205E3">
        <w:rPr>
          <w:rFonts w:ascii="Times New Roman" w:hAnsi="Times New Roman"/>
          <w:sz w:val="24"/>
          <w:szCs w:val="24"/>
          <w:u w:val="single"/>
        </w:rPr>
        <w:t>The</w:t>
      </w:r>
      <w:proofErr w:type="gramEnd"/>
      <w:r w:rsidRPr="00B205E3">
        <w:rPr>
          <w:rFonts w:ascii="Times New Roman" w:hAnsi="Times New Roman"/>
          <w:sz w:val="24"/>
          <w:szCs w:val="24"/>
          <w:u w:val="single"/>
        </w:rPr>
        <w:t xml:space="preserve"> Matter </w:t>
      </w:r>
      <w:proofErr w:type="gramStart"/>
      <w:r w:rsidRPr="00B205E3">
        <w:rPr>
          <w:rFonts w:ascii="Times New Roman" w:hAnsi="Times New Roman"/>
          <w:sz w:val="24"/>
          <w:szCs w:val="24"/>
          <w:u w:val="single"/>
        </w:rPr>
        <w:t>Of</w:t>
      </w:r>
      <w:proofErr w:type="gramEnd"/>
      <w:r w:rsidRPr="00B205E3">
        <w:rPr>
          <w:rFonts w:ascii="Times New Roman" w:hAnsi="Times New Roman"/>
          <w:sz w:val="24"/>
          <w:szCs w:val="24"/>
          <w:u w:val="single"/>
        </w:rPr>
        <w:t xml:space="preserve"> Bernard L. Collins</w:t>
      </w:r>
      <w:r>
        <w:rPr>
          <w:rFonts w:ascii="Times New Roman" w:hAnsi="Times New Roman"/>
          <w:sz w:val="24"/>
          <w:szCs w:val="24"/>
        </w:rPr>
        <w:t xml:space="preserve">, the Court of Appeals of Maryland held (7 to 0) that Mrs. Collins was not a party to the settlement between Mr. Collins and the workers comp insurance companies for the fire department, and the settlement did not extinguish her future claim for death benefits. </w:t>
      </w:r>
      <w:hyperlink r:id="rId585" w:history="1">
        <w:r w:rsidRPr="00082B39">
          <w:rPr>
            <w:rStyle w:val="Hyperlink"/>
            <w:sz w:val="24"/>
            <w:szCs w:val="24"/>
          </w:rPr>
          <w:t>https://mdcourts.gov/data/opinions/coa/2020/49a19.pdf</w:t>
        </w:r>
      </w:hyperlink>
      <w:r>
        <w:rPr>
          <w:rFonts w:ascii="Times New Roman" w:hAnsi="Times New Roman"/>
          <w:sz w:val="24"/>
          <w:szCs w:val="24"/>
        </w:rPr>
        <w:t xml:space="preserve"> </w:t>
      </w:r>
    </w:p>
    <w:p w14:paraId="752D5DDB" w14:textId="77777777" w:rsidR="00D94DC4" w:rsidRPr="009F4A71" w:rsidRDefault="00D94DC4" w:rsidP="00D94DC4">
      <w:pPr>
        <w:spacing w:before="100" w:beforeAutospacing="1" w:after="100" w:afterAutospacing="1" w:line="240" w:lineRule="auto"/>
        <w:jc w:val="both"/>
        <w:rPr>
          <w:rFonts w:ascii="Times New Roman" w:hAnsi="Times New Roman"/>
          <w:b/>
          <w:bCs/>
          <w:sz w:val="24"/>
          <w:szCs w:val="24"/>
        </w:rPr>
      </w:pPr>
      <w:r w:rsidRPr="009F4A71">
        <w:rPr>
          <w:rFonts w:ascii="Times New Roman" w:hAnsi="Times New Roman"/>
          <w:b/>
          <w:bCs/>
          <w:sz w:val="24"/>
          <w:szCs w:val="24"/>
        </w:rPr>
        <w:t>Legal Lessons Learned:</w:t>
      </w:r>
      <w:r>
        <w:rPr>
          <w:rFonts w:ascii="Times New Roman" w:hAnsi="Times New Roman"/>
          <w:b/>
          <w:bCs/>
          <w:sz w:val="24"/>
          <w:szCs w:val="24"/>
        </w:rPr>
        <w:t xml:space="preserve"> If the insurance companies wish to negotiate a “global settlement” with an employee, that also includes waiver of future death benefits for employee’s spouse, then invite the spouse to participate in settlement discussions and sign the settlement agreement. </w:t>
      </w:r>
    </w:p>
    <w:p w14:paraId="1D60A8AA" w14:textId="77777777" w:rsidR="00D94DC4" w:rsidRDefault="00D94DC4" w:rsidP="00EF1133">
      <w:pPr>
        <w:pStyle w:val="NoSpacing"/>
        <w:rPr>
          <w:rFonts w:ascii="Arial Black" w:hAnsi="Arial Black"/>
          <w:sz w:val="24"/>
          <w:szCs w:val="24"/>
        </w:rPr>
      </w:pPr>
    </w:p>
    <w:p w14:paraId="741F4AF3" w14:textId="77777777" w:rsidR="00D94DC4" w:rsidRDefault="00D94DC4" w:rsidP="00EF1133">
      <w:pPr>
        <w:pStyle w:val="NoSpacing"/>
        <w:rPr>
          <w:rFonts w:ascii="Arial Black" w:hAnsi="Arial Black"/>
          <w:sz w:val="24"/>
          <w:szCs w:val="24"/>
        </w:rPr>
      </w:pPr>
    </w:p>
    <w:p w14:paraId="4F3E0E34" w14:textId="77777777" w:rsidR="00D94DC4" w:rsidRDefault="00D94DC4" w:rsidP="00EF1133">
      <w:pPr>
        <w:pStyle w:val="NoSpacing"/>
        <w:rPr>
          <w:rFonts w:ascii="Arial Black" w:hAnsi="Arial Black"/>
          <w:sz w:val="24"/>
          <w:szCs w:val="24"/>
        </w:rPr>
      </w:pPr>
    </w:p>
    <w:p w14:paraId="7E1A9211" w14:textId="77777777" w:rsidR="00D94DC4" w:rsidRDefault="00D94DC4" w:rsidP="00EF1133">
      <w:pPr>
        <w:pStyle w:val="NoSpacing"/>
        <w:rPr>
          <w:rFonts w:ascii="Arial Black" w:hAnsi="Arial Black"/>
          <w:sz w:val="24"/>
          <w:szCs w:val="24"/>
        </w:rPr>
      </w:pPr>
    </w:p>
    <w:p w14:paraId="12AB5088" w14:textId="1AB3C85F" w:rsidR="00D94DC4" w:rsidRDefault="00D94DC4" w:rsidP="00EF1133">
      <w:pPr>
        <w:pStyle w:val="NoSpacing"/>
        <w:rPr>
          <w:rFonts w:ascii="Arial Black" w:hAnsi="Arial Black"/>
          <w:sz w:val="24"/>
          <w:szCs w:val="24"/>
        </w:rPr>
      </w:pPr>
      <w:r>
        <w:rPr>
          <w:rFonts w:ascii="Arial Black" w:hAnsi="Arial Black"/>
          <w:sz w:val="24"/>
          <w:szCs w:val="24"/>
        </w:rPr>
        <w:t>2-33</w:t>
      </w:r>
    </w:p>
    <w:p w14:paraId="18512926" w14:textId="7CA45332" w:rsidR="00D94DC4" w:rsidRDefault="00D94DC4" w:rsidP="00EF1133">
      <w:pPr>
        <w:pStyle w:val="NoSpacing"/>
        <w:rPr>
          <w:rFonts w:ascii="Arial Black" w:hAnsi="Arial Black"/>
          <w:sz w:val="24"/>
          <w:szCs w:val="24"/>
        </w:rPr>
      </w:pPr>
    </w:p>
    <w:p w14:paraId="2C627248" w14:textId="77777777" w:rsidR="00D94DC4" w:rsidRPr="002F309C" w:rsidRDefault="00D94DC4" w:rsidP="00D94DC4">
      <w:pPr>
        <w:spacing w:before="100" w:beforeAutospacing="1" w:after="100" w:afterAutospacing="1" w:line="240" w:lineRule="auto"/>
        <w:jc w:val="both"/>
        <w:rPr>
          <w:rFonts w:ascii="Arial Black" w:eastAsia="Times New Roman" w:hAnsi="Arial Black"/>
          <w:b/>
          <w:bCs/>
          <w:sz w:val="28"/>
          <w:szCs w:val="28"/>
        </w:rPr>
      </w:pPr>
      <w:r w:rsidRPr="002F309C">
        <w:rPr>
          <w:rFonts w:ascii="Arial Black" w:eastAsia="Times New Roman" w:hAnsi="Arial Black"/>
          <w:b/>
          <w:bCs/>
          <w:sz w:val="28"/>
          <w:szCs w:val="28"/>
        </w:rPr>
        <w:t>UT:</w:t>
      </w:r>
      <w:r>
        <w:rPr>
          <w:rFonts w:ascii="Arial Black" w:eastAsia="Times New Roman" w:hAnsi="Arial Black"/>
          <w:b/>
          <w:bCs/>
          <w:sz w:val="28"/>
          <w:szCs w:val="28"/>
        </w:rPr>
        <w:t xml:space="preserve"> STATE SUPREME COURT ALLOWS FF TO SUE TREE COMPANY FOR INJURIES – “PROFESSIONAL RESCUER RULE” MODIFIED FOR GROSS NEGLIGENCE BY BUSINESS</w:t>
      </w:r>
    </w:p>
    <w:p w14:paraId="57C703BB" w14:textId="77777777" w:rsidR="00D94DC4" w:rsidRDefault="00D94DC4" w:rsidP="00D94DC4">
      <w:pPr>
        <w:spacing w:before="100" w:beforeAutospacing="1" w:after="100" w:afterAutospacing="1" w:line="240" w:lineRule="auto"/>
        <w:rPr>
          <w:rFonts w:ascii="Times New Roman" w:eastAsia="Times New Roman" w:hAnsi="Times New Roman"/>
          <w:sz w:val="24"/>
          <w:szCs w:val="24"/>
        </w:rPr>
      </w:pPr>
      <w:r w:rsidRPr="00732CA5">
        <w:rPr>
          <w:rFonts w:ascii="Times New Roman" w:eastAsia="Times New Roman" w:hAnsi="Times New Roman"/>
          <w:sz w:val="24"/>
          <w:szCs w:val="24"/>
        </w:rPr>
        <w:t xml:space="preserve">On May 20, 2020, in </w:t>
      </w:r>
      <w:r w:rsidRPr="00732CA5">
        <w:rPr>
          <w:rFonts w:ascii="Times New Roman" w:eastAsia="Times New Roman" w:hAnsi="Times New Roman"/>
          <w:sz w:val="24"/>
          <w:szCs w:val="24"/>
          <w:u w:val="single"/>
        </w:rPr>
        <w:t>David Scott Ipsen v. Diamond Tree Experts, Inc</w:t>
      </w:r>
      <w:r>
        <w:rPr>
          <w:rFonts w:ascii="Times New Roman" w:eastAsia="Times New Roman" w:hAnsi="Times New Roman"/>
          <w:sz w:val="24"/>
          <w:szCs w:val="24"/>
        </w:rPr>
        <w:t xml:space="preserve">., the Utah Supreme Court held (3 to 2) that the injured firefighter may pursue his lawsuit for damages from injuries at a mulch fire.  </w:t>
      </w:r>
      <w:hyperlink r:id="rId586" w:history="1">
        <w:r w:rsidRPr="00E26203">
          <w:rPr>
            <w:rStyle w:val="Hyperlink"/>
            <w:sz w:val="24"/>
            <w:szCs w:val="24"/>
          </w:rPr>
          <w:t>https://www.utcourts.gov/opinions/supopin/Ipsen%20v.%20Diamond%20Tree%20Experts20200520_20181052_30.pdf</w:t>
        </w:r>
      </w:hyperlink>
      <w:r>
        <w:rPr>
          <w:rFonts w:ascii="Times New Roman" w:eastAsia="Times New Roman" w:hAnsi="Times New Roman"/>
          <w:sz w:val="24"/>
          <w:szCs w:val="24"/>
        </w:rPr>
        <w:t xml:space="preserve"> </w:t>
      </w:r>
    </w:p>
    <w:p w14:paraId="7BC51353" w14:textId="77777777" w:rsidR="00D94DC4" w:rsidRDefault="00D94DC4" w:rsidP="00D94DC4">
      <w:pPr>
        <w:spacing w:before="100" w:beforeAutospacing="1" w:after="100" w:afterAutospacing="1" w:line="240" w:lineRule="auto"/>
        <w:jc w:val="both"/>
        <w:rPr>
          <w:rFonts w:ascii="Times New Roman" w:hAnsi="Times New Roman"/>
          <w:b/>
          <w:bCs/>
          <w:sz w:val="24"/>
          <w:szCs w:val="24"/>
        </w:rPr>
      </w:pPr>
      <w:r w:rsidRPr="00732CA5">
        <w:rPr>
          <w:rFonts w:ascii="Times New Roman" w:hAnsi="Times New Roman"/>
          <w:b/>
          <w:bCs/>
          <w:sz w:val="24"/>
          <w:szCs w:val="24"/>
        </w:rPr>
        <w:t>Legal Lessons Learned:</w:t>
      </w:r>
      <w:r>
        <w:rPr>
          <w:rFonts w:ascii="Times New Roman" w:hAnsi="Times New Roman"/>
          <w:b/>
          <w:bCs/>
          <w:sz w:val="24"/>
          <w:szCs w:val="24"/>
        </w:rPr>
        <w:t xml:space="preserve"> A significant decision on behalf of all Utah emergency responders. </w:t>
      </w:r>
    </w:p>
    <w:p w14:paraId="47188E70" w14:textId="77777777" w:rsidR="00D94DC4" w:rsidRDefault="00D94DC4" w:rsidP="00EF1133">
      <w:pPr>
        <w:pStyle w:val="NoSpacing"/>
        <w:rPr>
          <w:rFonts w:ascii="Arial Black" w:hAnsi="Arial Black"/>
          <w:sz w:val="24"/>
          <w:szCs w:val="24"/>
        </w:rPr>
      </w:pPr>
    </w:p>
    <w:p w14:paraId="312A2A5F" w14:textId="77777777" w:rsidR="00D94DC4" w:rsidRDefault="00D94DC4" w:rsidP="00EF1133">
      <w:pPr>
        <w:pStyle w:val="NoSpacing"/>
        <w:rPr>
          <w:rFonts w:ascii="Arial Black" w:hAnsi="Arial Black"/>
          <w:sz w:val="24"/>
          <w:szCs w:val="24"/>
        </w:rPr>
      </w:pPr>
    </w:p>
    <w:p w14:paraId="074189AD" w14:textId="77777777" w:rsidR="00D94DC4" w:rsidRDefault="00D94DC4" w:rsidP="00EF1133">
      <w:pPr>
        <w:pStyle w:val="NoSpacing"/>
        <w:rPr>
          <w:rFonts w:ascii="Arial Black" w:hAnsi="Arial Black"/>
          <w:sz w:val="24"/>
          <w:szCs w:val="24"/>
        </w:rPr>
      </w:pPr>
    </w:p>
    <w:p w14:paraId="0A3C4C89" w14:textId="39A843E5" w:rsidR="00D94DC4" w:rsidRDefault="00D94DC4" w:rsidP="00EF1133">
      <w:pPr>
        <w:pStyle w:val="NoSpacing"/>
        <w:rPr>
          <w:rFonts w:ascii="Arial Black" w:hAnsi="Arial Black"/>
          <w:sz w:val="24"/>
          <w:szCs w:val="24"/>
        </w:rPr>
      </w:pPr>
      <w:r>
        <w:rPr>
          <w:rFonts w:ascii="Arial Black" w:hAnsi="Arial Black"/>
          <w:sz w:val="24"/>
          <w:szCs w:val="24"/>
        </w:rPr>
        <w:t>2-32</w:t>
      </w:r>
    </w:p>
    <w:p w14:paraId="47FC753C" w14:textId="77777777" w:rsidR="00D94DC4" w:rsidRPr="001C57D1" w:rsidRDefault="00D94DC4" w:rsidP="00D94DC4">
      <w:pPr>
        <w:spacing w:before="100" w:beforeAutospacing="1" w:after="100" w:afterAutospacing="1" w:line="240" w:lineRule="auto"/>
        <w:jc w:val="both"/>
        <w:rPr>
          <w:rFonts w:ascii="Arial Black" w:eastAsia="Times New Roman" w:hAnsi="Arial Black"/>
          <w:b/>
          <w:bCs/>
          <w:sz w:val="28"/>
          <w:szCs w:val="28"/>
        </w:rPr>
      </w:pPr>
      <w:r w:rsidRPr="001C57D1">
        <w:rPr>
          <w:rFonts w:ascii="Arial Black" w:eastAsia="Times New Roman" w:hAnsi="Arial Black"/>
          <w:b/>
          <w:bCs/>
          <w:sz w:val="28"/>
          <w:szCs w:val="28"/>
        </w:rPr>
        <w:t xml:space="preserve">CA: </w:t>
      </w:r>
      <w:r>
        <w:rPr>
          <w:rFonts w:ascii="Arial Black" w:eastAsia="Times New Roman" w:hAnsi="Arial Black"/>
          <w:b/>
          <w:bCs/>
          <w:sz w:val="28"/>
          <w:szCs w:val="28"/>
        </w:rPr>
        <w:t>LODD – AIR TANKER MISTAKENLY DROPPED RETARDENT 100 FEET ABOVE FF – DOUGLAS FIR TREE KILLED FF – WIFE CANNOT SUE STATE OR TANKER CO – GOV’T IMMUNITY</w:t>
      </w:r>
    </w:p>
    <w:p w14:paraId="7D2322D6" w14:textId="554B6F3A" w:rsidR="00D94DC4" w:rsidRDefault="00D94DC4" w:rsidP="00D94DC4">
      <w:pPr>
        <w:pStyle w:val="NoSpacing"/>
        <w:rPr>
          <w:rFonts w:ascii="Arial Black" w:hAnsi="Arial Black"/>
          <w:sz w:val="24"/>
          <w:szCs w:val="24"/>
        </w:rPr>
      </w:pPr>
      <w:r w:rsidRPr="002B61F4">
        <w:rPr>
          <w:rFonts w:ascii="Times New Roman" w:eastAsia="Times New Roman" w:hAnsi="Times New Roman"/>
          <w:sz w:val="24"/>
          <w:szCs w:val="24"/>
        </w:rPr>
        <w:t>On May 19, 2020, in</w:t>
      </w:r>
      <w:r>
        <w:rPr>
          <w:rFonts w:ascii="Times New Roman" w:eastAsia="Times New Roman" w:hAnsi="Times New Roman"/>
          <w:sz w:val="24"/>
          <w:szCs w:val="24"/>
        </w:rPr>
        <w:t xml:space="preserve"> </w:t>
      </w:r>
      <w:r w:rsidRPr="002B61F4">
        <w:rPr>
          <w:rFonts w:ascii="Times New Roman" w:eastAsia="Times New Roman" w:hAnsi="Times New Roman"/>
          <w:sz w:val="24"/>
          <w:szCs w:val="24"/>
          <w:u w:val="single"/>
        </w:rPr>
        <w:t xml:space="preserve">Heather Burchett v. State of California Department of Forestry </w:t>
      </w:r>
      <w:proofErr w:type="gramStart"/>
      <w:r w:rsidRPr="002B61F4">
        <w:rPr>
          <w:rFonts w:ascii="Times New Roman" w:eastAsia="Times New Roman" w:hAnsi="Times New Roman"/>
          <w:sz w:val="24"/>
          <w:szCs w:val="24"/>
          <w:u w:val="single"/>
        </w:rPr>
        <w:t>And</w:t>
      </w:r>
      <w:proofErr w:type="gramEnd"/>
      <w:r w:rsidRPr="002B61F4">
        <w:rPr>
          <w:rFonts w:ascii="Times New Roman" w:eastAsia="Times New Roman" w:hAnsi="Times New Roman"/>
          <w:sz w:val="24"/>
          <w:szCs w:val="24"/>
          <w:u w:val="single"/>
        </w:rPr>
        <w:t xml:space="preserve"> Fire Protection, et al.</w:t>
      </w:r>
      <w:r>
        <w:rPr>
          <w:rFonts w:ascii="Times New Roman" w:eastAsia="Times New Roman" w:hAnsi="Times New Roman"/>
          <w:sz w:val="24"/>
          <w:szCs w:val="24"/>
        </w:rPr>
        <w:t xml:space="preserve">, U.S. District Court Judge Morrison C. England, Jr., Eastern District of California, granted motion to dismiss by CalFire and by Global Super Tanker Service, LLC.  </w:t>
      </w:r>
      <w:hyperlink r:id="rId587" w:history="1">
        <w:r w:rsidRPr="00E74BA3">
          <w:rPr>
            <w:rStyle w:val="Hyperlink"/>
            <w:rFonts w:ascii="Times New Roman" w:eastAsia="Times New Roman" w:hAnsi="Times New Roman"/>
            <w:sz w:val="24"/>
            <w:szCs w:val="24"/>
          </w:rPr>
          <w:t>https://www.leagle.com/decision/infdco20200526m70</w:t>
        </w:r>
      </w:hyperlink>
    </w:p>
    <w:p w14:paraId="2538CC1D" w14:textId="77777777" w:rsidR="00D94DC4" w:rsidRDefault="00D94DC4" w:rsidP="00D94DC4">
      <w:pPr>
        <w:spacing w:before="100" w:beforeAutospacing="1" w:after="100" w:afterAutospacing="1" w:line="240" w:lineRule="auto"/>
        <w:jc w:val="both"/>
        <w:rPr>
          <w:rFonts w:ascii="Times New Roman" w:eastAsia="Times New Roman" w:hAnsi="Times New Roman"/>
          <w:b/>
          <w:bCs/>
          <w:sz w:val="24"/>
          <w:szCs w:val="24"/>
        </w:rPr>
      </w:pPr>
      <w:r w:rsidRPr="00424A1E">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What a tragic loss of life. </w:t>
      </w:r>
      <w:r w:rsidRPr="00424A1E">
        <w:rPr>
          <w:rFonts w:ascii="Times New Roman" w:eastAsia="Times New Roman" w:hAnsi="Times New Roman"/>
          <w:b/>
          <w:bCs/>
          <w:sz w:val="24"/>
          <w:szCs w:val="24"/>
        </w:rPr>
        <w:t xml:space="preserve">Government and qualified immunity are important legal protections for both government employees, and private companies rendering emergency services under contract with government. </w:t>
      </w:r>
    </w:p>
    <w:p w14:paraId="0EFB4BD4" w14:textId="77777777" w:rsidR="00D94DC4" w:rsidRPr="00AA6F39" w:rsidRDefault="00D94DC4" w:rsidP="00D94DC4">
      <w:pPr>
        <w:pStyle w:val="Heading1"/>
        <w:ind w:left="720"/>
        <w:jc w:val="both"/>
        <w:rPr>
          <w:b w:val="0"/>
          <w:bCs w:val="0"/>
          <w:sz w:val="24"/>
          <w:szCs w:val="24"/>
        </w:rPr>
      </w:pPr>
      <w:r w:rsidRPr="00424A1E">
        <w:rPr>
          <w:b w:val="0"/>
          <w:bCs w:val="0"/>
          <w:sz w:val="24"/>
          <w:szCs w:val="24"/>
        </w:rPr>
        <w:t xml:space="preserve">Note: See Sept. 11, </w:t>
      </w:r>
      <w:proofErr w:type="gramStart"/>
      <w:r w:rsidRPr="00424A1E">
        <w:rPr>
          <w:b w:val="0"/>
          <w:bCs w:val="0"/>
          <w:sz w:val="24"/>
          <w:szCs w:val="24"/>
        </w:rPr>
        <w:t>2019</w:t>
      </w:r>
      <w:proofErr w:type="gramEnd"/>
      <w:r w:rsidRPr="00424A1E">
        <w:rPr>
          <w:b w:val="0"/>
          <w:bCs w:val="0"/>
          <w:sz w:val="24"/>
          <w:szCs w:val="24"/>
        </w:rPr>
        <w:t xml:space="preserve"> article: “Family of fallen Draper firefighter suing California for wrongful death,”</w:t>
      </w:r>
      <w:r>
        <w:rPr>
          <w:b w:val="0"/>
          <w:bCs w:val="0"/>
          <w:sz w:val="24"/>
          <w:szCs w:val="24"/>
        </w:rPr>
        <w:t xml:space="preserve"> </w:t>
      </w:r>
      <w:hyperlink r:id="rId588" w:history="1">
        <w:r w:rsidRPr="00AA6F39">
          <w:rPr>
            <w:rStyle w:val="Hyperlink"/>
            <w:b w:val="0"/>
            <w:bCs w:val="0"/>
            <w:sz w:val="24"/>
            <w:szCs w:val="24"/>
          </w:rPr>
          <w:t>https://fox13now.com/2019/09/11/family-of-fallen-draper-firefighter-suing-state-of-california-for-wrongful-death/</w:t>
        </w:r>
      </w:hyperlink>
      <w:r w:rsidRPr="00AA6F39">
        <w:rPr>
          <w:b w:val="0"/>
          <w:bCs w:val="0"/>
          <w:sz w:val="24"/>
          <w:szCs w:val="24"/>
        </w:rPr>
        <w:t xml:space="preserve"> </w:t>
      </w:r>
    </w:p>
    <w:p w14:paraId="4C430ABF" w14:textId="77777777" w:rsidR="00D94DC4" w:rsidRDefault="00D94DC4" w:rsidP="00EF1133">
      <w:pPr>
        <w:pStyle w:val="NoSpacing"/>
        <w:rPr>
          <w:rFonts w:ascii="Arial Black" w:hAnsi="Arial Black"/>
          <w:sz w:val="24"/>
          <w:szCs w:val="24"/>
        </w:rPr>
      </w:pPr>
    </w:p>
    <w:p w14:paraId="73EDEB16" w14:textId="77777777" w:rsidR="00D94DC4" w:rsidRDefault="00D94DC4" w:rsidP="00EF1133">
      <w:pPr>
        <w:pStyle w:val="NoSpacing"/>
        <w:rPr>
          <w:rFonts w:ascii="Arial Black" w:hAnsi="Arial Black"/>
          <w:sz w:val="24"/>
          <w:szCs w:val="24"/>
        </w:rPr>
      </w:pPr>
    </w:p>
    <w:p w14:paraId="26E8575A" w14:textId="43000C8A" w:rsidR="00D94DC4" w:rsidRDefault="00D94DC4" w:rsidP="00EF1133">
      <w:pPr>
        <w:pStyle w:val="NoSpacing"/>
        <w:rPr>
          <w:rFonts w:ascii="Arial Black" w:hAnsi="Arial Black"/>
          <w:sz w:val="24"/>
          <w:szCs w:val="24"/>
        </w:rPr>
      </w:pPr>
      <w:r>
        <w:rPr>
          <w:rFonts w:ascii="Arial Black" w:hAnsi="Arial Black"/>
          <w:sz w:val="24"/>
          <w:szCs w:val="24"/>
        </w:rPr>
        <w:t>2-31</w:t>
      </w:r>
    </w:p>
    <w:p w14:paraId="4908EBC2" w14:textId="7649605E" w:rsidR="00D94DC4" w:rsidRDefault="00D94DC4" w:rsidP="00EF1133">
      <w:pPr>
        <w:pStyle w:val="NoSpacing"/>
        <w:rPr>
          <w:rFonts w:ascii="Arial Black" w:hAnsi="Arial Black"/>
          <w:sz w:val="24"/>
          <w:szCs w:val="24"/>
        </w:rPr>
      </w:pPr>
    </w:p>
    <w:p w14:paraId="23B4B7D3" w14:textId="27FD28B4" w:rsidR="00D94DC4" w:rsidRDefault="00D94DC4" w:rsidP="00D94DC4">
      <w:pPr>
        <w:spacing w:before="100" w:beforeAutospacing="1" w:after="100" w:afterAutospacing="1" w:line="240" w:lineRule="auto"/>
        <w:rPr>
          <w:rFonts w:ascii="Arial Black" w:eastAsia="Times New Roman" w:hAnsi="Arial Black"/>
          <w:b/>
          <w:bCs/>
          <w:sz w:val="28"/>
          <w:szCs w:val="28"/>
        </w:rPr>
      </w:pPr>
      <w:bookmarkStart w:id="96" w:name="_Hlk66941515"/>
      <w:r w:rsidRPr="006B1CC1">
        <w:rPr>
          <w:rFonts w:ascii="Arial Black" w:eastAsia="Times New Roman" w:hAnsi="Arial Black"/>
          <w:b/>
          <w:bCs/>
          <w:sz w:val="28"/>
          <w:szCs w:val="28"/>
        </w:rPr>
        <w:t>OK:</w:t>
      </w:r>
      <w:r>
        <w:rPr>
          <w:rFonts w:ascii="Arial Black" w:eastAsia="Times New Roman" w:hAnsi="Arial Black"/>
          <w:b/>
          <w:bCs/>
          <w:sz w:val="28"/>
          <w:szCs w:val="28"/>
        </w:rPr>
        <w:t xml:space="preserve"> FF LODD – FF SUCKED INTO </w:t>
      </w:r>
      <w:proofErr w:type="gramStart"/>
      <w:r>
        <w:rPr>
          <w:rFonts w:ascii="Arial Black" w:eastAsia="Times New Roman" w:hAnsi="Arial Black"/>
          <w:b/>
          <w:bCs/>
          <w:sz w:val="28"/>
          <w:szCs w:val="28"/>
        </w:rPr>
        <w:t>DRAIN PIPE</w:t>
      </w:r>
      <w:proofErr w:type="gramEnd"/>
      <w:r>
        <w:rPr>
          <w:rFonts w:ascii="Arial Black" w:eastAsia="Times New Roman" w:hAnsi="Arial Black"/>
          <w:b/>
          <w:bCs/>
          <w:sz w:val="28"/>
          <w:szCs w:val="28"/>
        </w:rPr>
        <w:t xml:space="preserve"> / NO SAFETY GATE – WORKERS COMP IS WIDOW’S SOLE REMEDY – AMAZING THAT SECOND FF ALSO SUCKED INO PIPE BUT SURVIVED</w:t>
      </w:r>
    </w:p>
    <w:p w14:paraId="16F64622" w14:textId="456D1998" w:rsidR="00D94DC4" w:rsidRPr="006B1CC1" w:rsidRDefault="00D94DC4" w:rsidP="00D94DC4">
      <w:pPr>
        <w:spacing w:before="100" w:beforeAutospacing="1" w:after="100" w:afterAutospacing="1" w:line="240" w:lineRule="auto"/>
        <w:rPr>
          <w:rFonts w:ascii="Times New Roman" w:eastAsia="Times New Roman" w:hAnsi="Times New Roman"/>
          <w:sz w:val="24"/>
          <w:szCs w:val="24"/>
        </w:rPr>
      </w:pPr>
      <w:r w:rsidRPr="006B1CC1">
        <w:rPr>
          <w:rFonts w:ascii="Times New Roman" w:eastAsia="Times New Roman" w:hAnsi="Times New Roman"/>
          <w:sz w:val="24"/>
          <w:szCs w:val="24"/>
        </w:rPr>
        <w:t xml:space="preserve">On May 5, 2020, in </w:t>
      </w:r>
      <w:r w:rsidRPr="006B1CC1">
        <w:rPr>
          <w:rFonts w:ascii="Times New Roman" w:eastAsia="Times New Roman" w:hAnsi="Times New Roman"/>
          <w:sz w:val="24"/>
          <w:szCs w:val="24"/>
          <w:u w:val="single"/>
        </w:rPr>
        <w:t>Shelli Farley v. City of Claremore</w:t>
      </w:r>
      <w:r>
        <w:rPr>
          <w:rFonts w:ascii="Times New Roman" w:eastAsia="Times New Roman" w:hAnsi="Times New Roman"/>
          <w:sz w:val="24"/>
          <w:szCs w:val="24"/>
        </w:rPr>
        <w:t xml:space="preserve">, </w:t>
      </w:r>
      <w:r w:rsidRPr="006C380A">
        <w:rPr>
          <w:rFonts w:ascii="Times New Roman" w:eastAsia="Times New Roman" w:hAnsi="Times New Roman"/>
          <w:sz w:val="24"/>
          <w:szCs w:val="24"/>
        </w:rPr>
        <w:t>2020 OK 30</w:t>
      </w:r>
      <w:r>
        <w:rPr>
          <w:rFonts w:ascii="Times New Roman" w:eastAsia="Times New Roman" w:hAnsi="Times New Roman"/>
          <w:sz w:val="24"/>
          <w:szCs w:val="24"/>
        </w:rPr>
        <w:t xml:space="preserve">, the Oklahoma Supreme Court held (8 to 1) that the surviving spouse’s lawsuit for negligence and intentional tort was properly dismissed by the trial court.  </w:t>
      </w:r>
      <w:r w:rsidRPr="00350EDC">
        <w:rPr>
          <w:rFonts w:ascii="Times New Roman" w:eastAsia="Times New Roman" w:hAnsi="Times New Roman"/>
          <w:sz w:val="24"/>
          <w:szCs w:val="24"/>
        </w:rPr>
        <w:t>“T</w:t>
      </w:r>
      <w:r w:rsidRPr="00350EDC">
        <w:rPr>
          <w:rFonts w:ascii="Times New Roman" w:hAnsi="Times New Roman"/>
          <w:sz w:val="24"/>
          <w:szCs w:val="24"/>
        </w:rPr>
        <w:t>he wrongful death injury was adjudicated and compensated by a successful workers' compensation claim after the death of the decedent. This successful adjudication demonstrates the decedent's injury was exclusively before the Commission and not cognizable as a District Court claim at the time of dec</w:t>
      </w:r>
      <w:r>
        <w:rPr>
          <w:rFonts w:ascii="Times New Roman" w:hAnsi="Times New Roman"/>
          <w:sz w:val="24"/>
          <w:szCs w:val="24"/>
        </w:rPr>
        <w:t>e</w:t>
      </w:r>
      <w:r w:rsidRPr="00350EDC">
        <w:rPr>
          <w:rFonts w:ascii="Times New Roman" w:hAnsi="Times New Roman"/>
          <w:sz w:val="24"/>
          <w:szCs w:val="24"/>
        </w:rPr>
        <w:t>dent's death.”</w:t>
      </w:r>
      <w:r>
        <w:rPr>
          <w:rFonts w:ascii="Times New Roman" w:hAnsi="Times New Roman"/>
          <w:sz w:val="24"/>
          <w:szCs w:val="24"/>
        </w:rPr>
        <w:t xml:space="preserve"> </w:t>
      </w:r>
      <w:hyperlink r:id="rId589" w:history="1">
        <w:r w:rsidRPr="008C168C">
          <w:rPr>
            <w:rStyle w:val="Hyperlink"/>
            <w:sz w:val="24"/>
            <w:szCs w:val="24"/>
          </w:rPr>
          <w:t>https://www.oscn.net/applications/oscn/deliverdocument.asp?citeid=486529</w:t>
        </w:r>
      </w:hyperlink>
      <w:r>
        <w:rPr>
          <w:rFonts w:ascii="Times New Roman" w:eastAsia="Times New Roman" w:hAnsi="Times New Roman"/>
          <w:sz w:val="24"/>
          <w:szCs w:val="24"/>
        </w:rPr>
        <w:t xml:space="preserve"> </w:t>
      </w:r>
    </w:p>
    <w:p w14:paraId="28BA5CE4" w14:textId="77777777" w:rsidR="00D94DC4" w:rsidRPr="006C380A" w:rsidRDefault="00D94DC4" w:rsidP="00D94DC4">
      <w:pPr>
        <w:spacing w:before="100" w:beforeAutospacing="1" w:after="100" w:afterAutospacing="1" w:line="240" w:lineRule="auto"/>
        <w:jc w:val="both"/>
        <w:rPr>
          <w:rFonts w:ascii="Times New Roman" w:hAnsi="Times New Roman"/>
          <w:b/>
          <w:bCs/>
          <w:sz w:val="24"/>
          <w:szCs w:val="24"/>
        </w:rPr>
      </w:pPr>
      <w:r w:rsidRPr="006C380A">
        <w:rPr>
          <w:rFonts w:ascii="Times New Roman" w:hAnsi="Times New Roman"/>
          <w:b/>
          <w:bCs/>
          <w:sz w:val="24"/>
          <w:szCs w:val="24"/>
        </w:rPr>
        <w:t>Legal Lessons Learned:</w:t>
      </w:r>
      <w:r>
        <w:rPr>
          <w:rFonts w:ascii="Times New Roman" w:hAnsi="Times New Roman"/>
          <w:b/>
          <w:bCs/>
          <w:sz w:val="24"/>
          <w:szCs w:val="24"/>
        </w:rPr>
        <w:t xml:space="preserve"> Tragic loss of life, but workers comp is sole remedy. </w:t>
      </w:r>
    </w:p>
    <w:p w14:paraId="7802EFC1" w14:textId="108A528D" w:rsidR="00D94DC4" w:rsidRPr="00D94DC4" w:rsidRDefault="00D94DC4" w:rsidP="00D94DC4">
      <w:pPr>
        <w:pStyle w:val="NoSpacing"/>
        <w:ind w:left="720"/>
        <w:rPr>
          <w:rFonts w:ascii="Times New Roman" w:hAnsi="Times New Roman"/>
          <w:sz w:val="24"/>
          <w:szCs w:val="24"/>
        </w:rPr>
      </w:pPr>
      <w:r w:rsidRPr="00D94DC4">
        <w:rPr>
          <w:rFonts w:ascii="Times New Roman" w:hAnsi="Times New Roman"/>
          <w:sz w:val="24"/>
          <w:szCs w:val="24"/>
        </w:rPr>
        <w:t xml:space="preserve">Note: See this May 28, </w:t>
      </w:r>
      <w:proofErr w:type="gramStart"/>
      <w:r w:rsidRPr="00D94DC4">
        <w:rPr>
          <w:rFonts w:ascii="Times New Roman" w:hAnsi="Times New Roman"/>
          <w:sz w:val="24"/>
          <w:szCs w:val="24"/>
        </w:rPr>
        <w:t>2015</w:t>
      </w:r>
      <w:proofErr w:type="gramEnd"/>
      <w:r w:rsidRPr="00D94DC4">
        <w:rPr>
          <w:rFonts w:ascii="Times New Roman" w:hAnsi="Times New Roman"/>
          <w:sz w:val="24"/>
          <w:szCs w:val="24"/>
        </w:rPr>
        <w:t xml:space="preserve"> article, “Firefighter's death highlights municipal storm drain dangers.” CLAREMORE, Okla. — “The drowning of an Oklahoma firefighter and a Texas teenager in storms that swept through those states highlight the persistent dangers posed by storm drains that help protect neighborhoods during flash flooding but can suck in unsuspecting residents and rescue workers.” </w:t>
      </w:r>
      <w:hyperlink r:id="rId590" w:history="1">
        <w:r w:rsidRPr="00D94DC4">
          <w:rPr>
            <w:rStyle w:val="Hyperlink"/>
            <w:rFonts w:ascii="Times New Roman" w:hAnsi="Times New Roman"/>
            <w:sz w:val="24"/>
            <w:szCs w:val="24"/>
          </w:rPr>
          <w:t>https://www.firerescue1.com/firefighter-training/articles/firefighters-death-highlights-municipal-storm-drain-dangers-VaH0e7nB3CMWpKRS/</w:t>
        </w:r>
      </w:hyperlink>
    </w:p>
    <w:p w14:paraId="5926B190" w14:textId="77777777" w:rsidR="00D94DC4" w:rsidRPr="00D94DC4" w:rsidRDefault="00D94DC4" w:rsidP="00EF1133">
      <w:pPr>
        <w:pStyle w:val="NoSpacing"/>
        <w:rPr>
          <w:rFonts w:ascii="Times New Roman" w:hAnsi="Times New Roman"/>
          <w:sz w:val="24"/>
          <w:szCs w:val="24"/>
        </w:rPr>
      </w:pPr>
    </w:p>
    <w:p w14:paraId="334409D7" w14:textId="77777777" w:rsidR="00D94DC4" w:rsidRDefault="00D94DC4" w:rsidP="00EF1133">
      <w:pPr>
        <w:pStyle w:val="NoSpacing"/>
        <w:rPr>
          <w:rFonts w:ascii="Arial Black" w:hAnsi="Arial Black"/>
          <w:sz w:val="24"/>
          <w:szCs w:val="24"/>
        </w:rPr>
      </w:pPr>
    </w:p>
    <w:bookmarkEnd w:id="96"/>
    <w:p w14:paraId="5629E78A" w14:textId="3C76C3D8" w:rsidR="005F0E6D" w:rsidRDefault="005F0E6D" w:rsidP="00EF1133">
      <w:pPr>
        <w:pStyle w:val="NoSpacing"/>
        <w:rPr>
          <w:rFonts w:ascii="Arial Black" w:hAnsi="Arial Black"/>
          <w:sz w:val="24"/>
          <w:szCs w:val="24"/>
        </w:rPr>
      </w:pPr>
      <w:r>
        <w:rPr>
          <w:rFonts w:ascii="Arial Black" w:hAnsi="Arial Black"/>
          <w:sz w:val="24"/>
          <w:szCs w:val="24"/>
        </w:rPr>
        <w:t>2-30</w:t>
      </w:r>
    </w:p>
    <w:p w14:paraId="0EEB77F1" w14:textId="7A652234" w:rsidR="005F0E6D" w:rsidRDefault="005F0E6D" w:rsidP="00EF1133">
      <w:pPr>
        <w:pStyle w:val="NoSpacing"/>
        <w:rPr>
          <w:rFonts w:ascii="Arial Black" w:hAnsi="Arial Black"/>
          <w:sz w:val="24"/>
          <w:szCs w:val="24"/>
        </w:rPr>
      </w:pPr>
    </w:p>
    <w:p w14:paraId="26AF9928" w14:textId="77777777" w:rsidR="005F0E6D" w:rsidRDefault="005F0E6D" w:rsidP="005F0E6D">
      <w:pPr>
        <w:pStyle w:val="NoSpacing"/>
        <w:rPr>
          <w:rFonts w:ascii="Arial Black" w:hAnsi="Arial Black"/>
          <w:b/>
          <w:bCs/>
          <w:sz w:val="28"/>
          <w:szCs w:val="28"/>
        </w:rPr>
      </w:pPr>
      <w:r w:rsidRPr="00017D6B">
        <w:rPr>
          <w:rFonts w:ascii="Arial Black" w:hAnsi="Arial Black"/>
          <w:bCs/>
          <w:sz w:val="28"/>
          <w:szCs w:val="28"/>
        </w:rPr>
        <w:t xml:space="preserve">MI: </w:t>
      </w:r>
      <w:r>
        <w:rPr>
          <w:rFonts w:ascii="Arial Black" w:hAnsi="Arial Black"/>
          <w:bCs/>
          <w:sz w:val="28"/>
          <w:szCs w:val="28"/>
        </w:rPr>
        <w:t xml:space="preserve"> FF LODD – VACANT HOUSE FILE – MURDER CONV UPHELD - DEF. PAID EMPLOYEE BURN HOUSE, INSURANCE</w:t>
      </w:r>
    </w:p>
    <w:p w14:paraId="39936B7F" w14:textId="77777777" w:rsidR="005F0E6D" w:rsidRDefault="005F0E6D" w:rsidP="005F0E6D">
      <w:pPr>
        <w:pStyle w:val="NoSpacing"/>
        <w:rPr>
          <w:b/>
          <w:bCs/>
          <w:sz w:val="24"/>
          <w:szCs w:val="24"/>
        </w:rPr>
      </w:pPr>
    </w:p>
    <w:p w14:paraId="678FCA6A" w14:textId="77777777" w:rsidR="005F0E6D" w:rsidRPr="00976742" w:rsidRDefault="005F0E6D" w:rsidP="005F0E6D">
      <w:pPr>
        <w:pStyle w:val="NoSpacing"/>
        <w:rPr>
          <w:rFonts w:ascii="Times New Roman" w:hAnsi="Times New Roman"/>
          <w:b/>
          <w:bCs/>
          <w:sz w:val="24"/>
          <w:szCs w:val="24"/>
        </w:rPr>
      </w:pPr>
      <w:r w:rsidRPr="00976742">
        <w:rPr>
          <w:rFonts w:ascii="Times New Roman" w:hAnsi="Times New Roman"/>
          <w:bCs/>
          <w:sz w:val="24"/>
          <w:szCs w:val="24"/>
        </w:rPr>
        <w:t xml:space="preserve">On April 16, 2020, in </w:t>
      </w:r>
      <w:r w:rsidRPr="00976742">
        <w:rPr>
          <w:rFonts w:ascii="Times New Roman" w:hAnsi="Times New Roman"/>
          <w:bCs/>
          <w:sz w:val="24"/>
          <w:szCs w:val="24"/>
          <w:u w:val="single"/>
        </w:rPr>
        <w:t>People of State of Michigan v. Mario Willis</w:t>
      </w:r>
      <w:r w:rsidRPr="00976742">
        <w:rPr>
          <w:rFonts w:ascii="Times New Roman" w:hAnsi="Times New Roman"/>
          <w:bCs/>
          <w:sz w:val="24"/>
          <w:szCs w:val="24"/>
        </w:rPr>
        <w:t xml:space="preserve">, the State of Michigan Court of Appeals, in an unpublished opinion, held (3 to 0) that after jury convicted defendant of second-degree murder in death of Detroit Firefighter Walter Harris and arson. The defendant paid an employee to set fire to a home owned by defendant’s girlfriend. The house had been damaged in a previous fire, and defendant’s girlfriend had received insurance proceeds to repair the damage.  Court of Appeals </w:t>
      </w:r>
      <w:proofErr w:type="gramStart"/>
      <w:r w:rsidRPr="00976742">
        <w:rPr>
          <w:rFonts w:ascii="Times New Roman" w:hAnsi="Times New Roman"/>
          <w:bCs/>
          <w:sz w:val="24"/>
          <w:szCs w:val="24"/>
        </w:rPr>
        <w:t>remanded case for</w:t>
      </w:r>
      <w:proofErr w:type="gramEnd"/>
      <w:r w:rsidRPr="00976742">
        <w:rPr>
          <w:rFonts w:ascii="Times New Roman" w:hAnsi="Times New Roman"/>
          <w:bCs/>
          <w:sz w:val="24"/>
          <w:szCs w:val="24"/>
        </w:rPr>
        <w:t xml:space="preserve"> </w:t>
      </w:r>
      <w:proofErr w:type="gramStart"/>
      <w:r w:rsidRPr="00976742">
        <w:rPr>
          <w:rFonts w:ascii="Times New Roman" w:hAnsi="Times New Roman"/>
          <w:bCs/>
          <w:sz w:val="24"/>
          <w:szCs w:val="24"/>
        </w:rPr>
        <w:t>resentencing</w:t>
      </w:r>
      <w:proofErr w:type="gramEnd"/>
      <w:r w:rsidRPr="00976742">
        <w:rPr>
          <w:rFonts w:ascii="Times New Roman" w:hAnsi="Times New Roman"/>
          <w:bCs/>
          <w:sz w:val="24"/>
          <w:szCs w:val="24"/>
        </w:rPr>
        <w:t xml:space="preserve">, so trial judge can explain why he imposed an enhanced minimum sentence. The original sentence was “500 to 750 months for the second-degree murder conviction and 10 to 20 years for the arson of a dwelling-house conviction.”   </w:t>
      </w:r>
    </w:p>
    <w:p w14:paraId="12553833" w14:textId="77777777" w:rsidR="005F0E6D" w:rsidRPr="00976742" w:rsidRDefault="005F0E6D" w:rsidP="005F0E6D">
      <w:pPr>
        <w:pStyle w:val="NoSpacing"/>
        <w:rPr>
          <w:rFonts w:ascii="Times New Roman" w:hAnsi="Times New Roman"/>
          <w:b/>
          <w:bCs/>
          <w:sz w:val="24"/>
          <w:szCs w:val="24"/>
        </w:rPr>
      </w:pPr>
    </w:p>
    <w:p w14:paraId="6A59C162" w14:textId="77777777" w:rsidR="005F0E6D" w:rsidRPr="00976742" w:rsidRDefault="005F0E6D" w:rsidP="005F0E6D">
      <w:pPr>
        <w:pStyle w:val="NoSpacing"/>
        <w:ind w:left="720"/>
        <w:rPr>
          <w:rFonts w:ascii="Times New Roman" w:hAnsi="Times New Roman"/>
          <w:b/>
          <w:bCs/>
          <w:sz w:val="24"/>
          <w:szCs w:val="24"/>
        </w:rPr>
      </w:pPr>
      <w:bookmarkStart w:id="97" w:name="_Hlk39765464"/>
      <w:r w:rsidRPr="00976742">
        <w:rPr>
          <w:rFonts w:ascii="Times New Roman" w:hAnsi="Times New Roman"/>
          <w:bCs/>
          <w:sz w:val="24"/>
          <w:szCs w:val="24"/>
        </w:rPr>
        <w:t>“[J]</w:t>
      </w:r>
      <w:proofErr w:type="spellStart"/>
      <w:r w:rsidRPr="00976742">
        <w:rPr>
          <w:rFonts w:ascii="Times New Roman" w:hAnsi="Times New Roman"/>
          <w:bCs/>
          <w:sz w:val="24"/>
          <w:szCs w:val="24"/>
        </w:rPr>
        <w:t>ust</w:t>
      </w:r>
      <w:proofErr w:type="spellEnd"/>
      <w:r w:rsidRPr="00976742">
        <w:rPr>
          <w:rFonts w:ascii="Times New Roman" w:hAnsi="Times New Roman"/>
          <w:bCs/>
          <w:sz w:val="24"/>
          <w:szCs w:val="24"/>
        </w:rPr>
        <w:t xml:space="preserve"> as we are not persuaded that defendant must have wielded an instrumentality personally, we are also not persuaded that its intentionally harmful use must only be directly and immediately against a person. The jury convicted defendant of second-degree murder based on his involvement in burning the house. The jury therefore implicitly found that </w:t>
      </w:r>
      <w:proofErr w:type="gramStart"/>
      <w:r w:rsidRPr="00976742">
        <w:rPr>
          <w:rFonts w:ascii="Times New Roman" w:hAnsi="Times New Roman"/>
          <w:bCs/>
          <w:sz w:val="24"/>
          <w:szCs w:val="24"/>
        </w:rPr>
        <w:t>defendant</w:t>
      </w:r>
      <w:proofErr w:type="gramEnd"/>
      <w:r w:rsidRPr="00976742">
        <w:rPr>
          <w:rFonts w:ascii="Times New Roman" w:hAnsi="Times New Roman"/>
          <w:bCs/>
          <w:sz w:val="24"/>
          <w:szCs w:val="24"/>
        </w:rPr>
        <w:t xml:space="preserve"> did use the gasoline as an offensive instrumentality against a person, even if that use against a person was indirect and achieved by way of destroying property. Furthermore, as noted, the victim, a firefighter, was not an unforeseeable hapless bystander and did not choose to encounter the danger; rather, the victim entered the burning structure specifically because his duties required him to do so. Thus, under the circumstances, we find harmless the trial court’s failure to make an express factual finding as to defendant’s intent in using the gasoline. We therefore reject </w:t>
      </w:r>
      <w:proofErr w:type="gramStart"/>
      <w:r w:rsidRPr="00976742">
        <w:rPr>
          <w:rFonts w:ascii="Times New Roman" w:hAnsi="Times New Roman"/>
          <w:bCs/>
          <w:sz w:val="24"/>
          <w:szCs w:val="24"/>
        </w:rPr>
        <w:t>defendant’s</w:t>
      </w:r>
      <w:proofErr w:type="gramEnd"/>
      <w:r w:rsidRPr="00976742">
        <w:rPr>
          <w:rFonts w:ascii="Times New Roman" w:hAnsi="Times New Roman"/>
          <w:bCs/>
          <w:sz w:val="24"/>
          <w:szCs w:val="24"/>
        </w:rPr>
        <w:t xml:space="preserve"> argument that </w:t>
      </w:r>
      <w:proofErr w:type="gramStart"/>
      <w:r w:rsidRPr="00976742">
        <w:rPr>
          <w:rFonts w:ascii="Times New Roman" w:hAnsi="Times New Roman"/>
          <w:bCs/>
          <w:sz w:val="24"/>
          <w:szCs w:val="24"/>
        </w:rPr>
        <w:t>the gasoline</w:t>
      </w:r>
      <w:proofErr w:type="gramEnd"/>
      <w:r w:rsidRPr="00976742">
        <w:rPr>
          <w:rFonts w:ascii="Times New Roman" w:hAnsi="Times New Roman"/>
          <w:bCs/>
          <w:sz w:val="24"/>
          <w:szCs w:val="24"/>
        </w:rPr>
        <w:t xml:space="preserve"> was not a ‘weapon’ for purposes of OV 1.</w:t>
      </w:r>
    </w:p>
    <w:p w14:paraId="105CCA09" w14:textId="77777777" w:rsidR="005F0E6D" w:rsidRPr="00976742" w:rsidRDefault="005F0E6D" w:rsidP="005F0E6D">
      <w:pPr>
        <w:pStyle w:val="NoSpacing"/>
        <w:ind w:left="720"/>
        <w:rPr>
          <w:rFonts w:ascii="Times New Roman" w:hAnsi="Times New Roman"/>
          <w:b/>
          <w:bCs/>
          <w:sz w:val="24"/>
          <w:szCs w:val="24"/>
        </w:rPr>
      </w:pPr>
      <w:hyperlink r:id="rId591" w:history="1">
        <w:r w:rsidRPr="00976742">
          <w:rPr>
            <w:rStyle w:val="Hyperlink"/>
            <w:rFonts w:ascii="Times New Roman" w:hAnsi="Times New Roman"/>
            <w:b/>
            <w:sz w:val="24"/>
            <w:szCs w:val="24"/>
          </w:rPr>
          <w:t>http://publicdocs.courts.mi.gov/OPINIONS/FINAL/COA/20200416_C346057_26_346057OPNORDER.PDF</w:t>
        </w:r>
      </w:hyperlink>
      <w:bookmarkEnd w:id="97"/>
      <w:r w:rsidRPr="00976742">
        <w:rPr>
          <w:rFonts w:ascii="Times New Roman" w:hAnsi="Times New Roman"/>
          <w:bCs/>
          <w:sz w:val="24"/>
          <w:szCs w:val="24"/>
        </w:rPr>
        <w:t xml:space="preserve"> </w:t>
      </w:r>
    </w:p>
    <w:p w14:paraId="14DE13F0" w14:textId="2DFF443A" w:rsidR="005F0E6D" w:rsidRDefault="005F0E6D" w:rsidP="00EF1133">
      <w:pPr>
        <w:pStyle w:val="NoSpacing"/>
        <w:rPr>
          <w:rFonts w:ascii="Arial Black" w:hAnsi="Arial Black"/>
          <w:sz w:val="24"/>
          <w:szCs w:val="24"/>
        </w:rPr>
      </w:pPr>
    </w:p>
    <w:p w14:paraId="7050A2A5" w14:textId="77777777" w:rsidR="005F0E6D" w:rsidRPr="00976742" w:rsidRDefault="005F0E6D" w:rsidP="005F0E6D">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When the defendant hired his employee to </w:t>
      </w:r>
      <w:proofErr w:type="gramStart"/>
      <w:r w:rsidRPr="00976742">
        <w:rPr>
          <w:rFonts w:ascii="Times New Roman" w:hAnsi="Times New Roman"/>
          <w:b/>
          <w:bCs/>
          <w:sz w:val="24"/>
          <w:szCs w:val="24"/>
        </w:rPr>
        <w:t>burn of</w:t>
      </w:r>
      <w:proofErr w:type="gramEnd"/>
      <w:r w:rsidRPr="00976742">
        <w:rPr>
          <w:rFonts w:ascii="Times New Roman" w:hAnsi="Times New Roman"/>
          <w:b/>
          <w:bCs/>
          <w:sz w:val="24"/>
          <w:szCs w:val="24"/>
        </w:rPr>
        <w:t xml:space="preserve"> structure, both the employer and the employee can be convicted of murder and arson.   </w:t>
      </w:r>
    </w:p>
    <w:p w14:paraId="607C8E26" w14:textId="77777777" w:rsidR="005F0E6D" w:rsidRPr="00976742" w:rsidRDefault="005F0E6D" w:rsidP="005F0E6D">
      <w:pPr>
        <w:pStyle w:val="NoSpacing"/>
        <w:ind w:firstLine="720"/>
        <w:rPr>
          <w:rFonts w:ascii="Times New Roman" w:hAnsi="Times New Roman"/>
          <w:b/>
          <w:bCs/>
          <w:sz w:val="24"/>
          <w:szCs w:val="24"/>
        </w:rPr>
      </w:pPr>
    </w:p>
    <w:p w14:paraId="25662B89" w14:textId="77777777" w:rsidR="005F0E6D" w:rsidRPr="00976742" w:rsidRDefault="005F0E6D" w:rsidP="005F0E6D">
      <w:pPr>
        <w:pStyle w:val="NoSpacing"/>
        <w:ind w:left="720"/>
        <w:rPr>
          <w:rFonts w:ascii="Times New Roman" w:hAnsi="Times New Roman"/>
          <w:b/>
          <w:bCs/>
          <w:sz w:val="24"/>
          <w:szCs w:val="24"/>
        </w:rPr>
      </w:pPr>
      <w:bookmarkStart w:id="98" w:name="_Hlk39821671"/>
      <w:r w:rsidRPr="00976742">
        <w:rPr>
          <w:rFonts w:ascii="Times New Roman" w:hAnsi="Times New Roman"/>
          <w:bCs/>
          <w:sz w:val="24"/>
          <w:szCs w:val="24"/>
        </w:rPr>
        <w:t xml:space="preserve">Note: Read NIOSH Fire Fighter Fatality Investigation Report, F2008-37 Date Released: January 31, 2010: </w:t>
      </w:r>
      <w:r>
        <w:rPr>
          <w:rFonts w:ascii="Times New Roman" w:hAnsi="Times New Roman"/>
          <w:bCs/>
          <w:sz w:val="24"/>
          <w:szCs w:val="24"/>
        </w:rPr>
        <w:t>“</w:t>
      </w:r>
      <w:r w:rsidRPr="00976742">
        <w:rPr>
          <w:rFonts w:ascii="Times New Roman" w:hAnsi="Times New Roman"/>
          <w:bCs/>
          <w:sz w:val="24"/>
          <w:szCs w:val="24"/>
        </w:rPr>
        <w:t>On November 15, 2008, a 38-year-old male fire fighter (the victim) died after being crushed by a roof collapse in a vacant/abandoned building</w:t>
      </w:r>
      <w:r>
        <w:rPr>
          <w:rFonts w:ascii="Times New Roman" w:hAnsi="Times New Roman"/>
          <w:bCs/>
          <w:sz w:val="24"/>
          <w:szCs w:val="24"/>
        </w:rPr>
        <w:t xml:space="preserve">.” </w:t>
      </w:r>
      <w:hyperlink r:id="rId592" w:history="1">
        <w:r w:rsidRPr="00976742">
          <w:rPr>
            <w:rStyle w:val="Hyperlink"/>
            <w:rFonts w:ascii="Times New Roman" w:hAnsi="Times New Roman"/>
            <w:b/>
            <w:sz w:val="24"/>
            <w:szCs w:val="24"/>
          </w:rPr>
          <w:t>https://www.cdc.gov/niosh/fire/reports/face200837.html</w:t>
        </w:r>
      </w:hyperlink>
      <w:bookmarkEnd w:id="98"/>
      <w:r w:rsidRPr="00976742">
        <w:rPr>
          <w:rFonts w:ascii="Times New Roman" w:hAnsi="Times New Roman"/>
          <w:bCs/>
          <w:sz w:val="24"/>
          <w:szCs w:val="24"/>
        </w:rPr>
        <w:t xml:space="preserve"> </w:t>
      </w:r>
    </w:p>
    <w:p w14:paraId="34E92C2E" w14:textId="77777777" w:rsidR="005F0E6D" w:rsidRDefault="005F0E6D" w:rsidP="00EF1133">
      <w:pPr>
        <w:pStyle w:val="NoSpacing"/>
        <w:rPr>
          <w:rFonts w:ascii="Arial Black" w:hAnsi="Arial Black"/>
          <w:sz w:val="24"/>
          <w:szCs w:val="24"/>
        </w:rPr>
      </w:pPr>
    </w:p>
    <w:p w14:paraId="631D269F" w14:textId="77777777" w:rsidR="005F0E6D" w:rsidRDefault="005F0E6D" w:rsidP="00EF1133">
      <w:pPr>
        <w:pStyle w:val="NoSpacing"/>
        <w:rPr>
          <w:rFonts w:ascii="Arial Black" w:hAnsi="Arial Black"/>
          <w:sz w:val="24"/>
          <w:szCs w:val="24"/>
        </w:rPr>
      </w:pPr>
    </w:p>
    <w:p w14:paraId="1EE3DD45" w14:textId="77777777" w:rsidR="005F0E6D" w:rsidRDefault="005F0E6D" w:rsidP="00EF1133">
      <w:pPr>
        <w:pStyle w:val="NoSpacing"/>
        <w:rPr>
          <w:rFonts w:ascii="Arial Black" w:hAnsi="Arial Black"/>
          <w:sz w:val="24"/>
          <w:szCs w:val="24"/>
        </w:rPr>
      </w:pPr>
    </w:p>
    <w:p w14:paraId="514EFD1F" w14:textId="705F9BAB" w:rsidR="00663160" w:rsidRDefault="00663160" w:rsidP="00EF1133">
      <w:pPr>
        <w:pStyle w:val="NoSpacing"/>
        <w:rPr>
          <w:rFonts w:ascii="Arial Black" w:hAnsi="Arial Black"/>
          <w:sz w:val="24"/>
          <w:szCs w:val="24"/>
        </w:rPr>
      </w:pPr>
      <w:r>
        <w:rPr>
          <w:rFonts w:ascii="Arial Black" w:hAnsi="Arial Black"/>
          <w:sz w:val="24"/>
          <w:szCs w:val="24"/>
        </w:rPr>
        <w:t>2-29</w:t>
      </w:r>
    </w:p>
    <w:p w14:paraId="7EF02A7C" w14:textId="77777777" w:rsidR="00663160" w:rsidRDefault="00663160" w:rsidP="00663160">
      <w:pPr>
        <w:spacing w:before="100" w:beforeAutospacing="1" w:after="100" w:afterAutospacing="1" w:line="240" w:lineRule="auto"/>
        <w:rPr>
          <w:rFonts w:ascii="Arial Black" w:hAnsi="Arial Black"/>
          <w:sz w:val="28"/>
          <w:szCs w:val="28"/>
        </w:rPr>
      </w:pPr>
      <w:r w:rsidRPr="00E77377">
        <w:rPr>
          <w:rFonts w:ascii="Arial Black" w:hAnsi="Arial Black"/>
          <w:sz w:val="28"/>
          <w:szCs w:val="28"/>
        </w:rPr>
        <w:t xml:space="preserve">OH: </w:t>
      </w:r>
      <w:r>
        <w:rPr>
          <w:rFonts w:ascii="Arial Black" w:hAnsi="Arial Black"/>
          <w:sz w:val="28"/>
          <w:szCs w:val="28"/>
        </w:rPr>
        <w:t>FF INJURED KNEE STEPPING DOWN FROM ENGINE –– STEP WAS MORE 24 INCHES OFF GROUND - VSSR PENALTY</w:t>
      </w:r>
    </w:p>
    <w:p w14:paraId="5E9AC737" w14:textId="77777777" w:rsidR="00663160" w:rsidRDefault="00663160" w:rsidP="00663160">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Feb. 11, 2020, in </w:t>
      </w:r>
      <w:r w:rsidRPr="00E77377">
        <w:rPr>
          <w:rFonts w:ascii="Times New Roman" w:eastAsia="Times New Roman" w:hAnsi="Times New Roman"/>
          <w:sz w:val="24"/>
          <w:szCs w:val="24"/>
          <w:u w:val="single"/>
        </w:rPr>
        <w:t>The State ex rel. Madison Fire District v. Industrial Commission of Ohio</w:t>
      </w:r>
      <w:r>
        <w:rPr>
          <w:rFonts w:ascii="Times New Roman" w:eastAsia="Times New Roman" w:hAnsi="Times New Roman"/>
          <w:sz w:val="24"/>
          <w:szCs w:val="24"/>
        </w:rPr>
        <w:t xml:space="preserve">, 2020 Ohio 463, the Ohio Court of Appeals for Tenth Appellate District, held (3 to 0) that firefighter </w:t>
      </w:r>
      <w:r w:rsidRPr="00E77377">
        <w:rPr>
          <w:rFonts w:ascii="Times New Roman" w:hAnsi="Times New Roman"/>
          <w:sz w:val="24"/>
          <w:szCs w:val="24"/>
        </w:rPr>
        <w:t>Joseph P. Purcell</w:t>
      </w:r>
      <w:r>
        <w:rPr>
          <w:rFonts w:ascii="Times New Roman" w:hAnsi="Times New Roman"/>
          <w:sz w:val="24"/>
          <w:szCs w:val="24"/>
        </w:rPr>
        <w:t xml:space="preserve">, who injured his right knee stepping out of the cab of a 1995 Spartan Darley, was properly awarded his VSSR [violation of  specific safety regulation] claim; 15% to 50% of workers comp. award. </w:t>
      </w:r>
    </w:p>
    <w:p w14:paraId="6F84D8F8" w14:textId="2A311130" w:rsidR="00663160" w:rsidRDefault="00663160" w:rsidP="00DB482B">
      <w:pPr>
        <w:pStyle w:val="NoSpacing"/>
        <w:ind w:left="720"/>
        <w:rPr>
          <w:rStyle w:val="Hyperlink"/>
          <w:rFonts w:ascii="Times New Roman" w:hAnsi="Times New Roman"/>
          <w:sz w:val="24"/>
          <w:szCs w:val="24"/>
        </w:rPr>
      </w:pPr>
      <w:bookmarkStart w:id="99" w:name="_Hlk39765521"/>
      <w:r>
        <w:rPr>
          <w:rFonts w:ascii="Times New Roman" w:hAnsi="Times New Roman"/>
          <w:sz w:val="24"/>
          <w:szCs w:val="24"/>
        </w:rPr>
        <w:t>“</w:t>
      </w:r>
      <w:r w:rsidRPr="00020A40">
        <w:rPr>
          <w:rFonts w:ascii="Times New Roman" w:hAnsi="Times New Roman"/>
          <w:sz w:val="24"/>
          <w:szCs w:val="24"/>
        </w:rPr>
        <w:t>In 2009, the department commissioned a master plan evaluation by an independent third party to do a study of every aspect of the fire department. As a part of that study, the fire engines in use by the department at that time were evaluated. Engine 2124 was a part of that evaluation. The evaluation report states that the department should consider installing steps into cab for safety to engine 2124</w:t>
      </w:r>
      <w:r>
        <w:rPr>
          <w:rFonts w:ascii="Times New Roman" w:hAnsi="Times New Roman"/>
          <w:sz w:val="24"/>
          <w:szCs w:val="24"/>
        </w:rPr>
        <w:t xml:space="preserve"> [1995 Spartan Darley].”  </w:t>
      </w:r>
      <w:hyperlink r:id="rId593" w:history="1">
        <w:r w:rsidRPr="002D2C0F">
          <w:rPr>
            <w:rStyle w:val="Hyperlink"/>
            <w:rFonts w:ascii="Times New Roman" w:hAnsi="Times New Roman"/>
            <w:sz w:val="24"/>
            <w:szCs w:val="24"/>
          </w:rPr>
          <w:t>https://www.courtlistener.com/pdf/2020/02/11/state_ex_rel._madison_fire_dist._v._indus._comm..pdf</w:t>
        </w:r>
      </w:hyperlink>
    </w:p>
    <w:p w14:paraId="15B1B7F1" w14:textId="78EEF9AC" w:rsidR="00663160" w:rsidRDefault="00663160" w:rsidP="00663160">
      <w:pPr>
        <w:spacing w:before="100" w:beforeAutospacing="1" w:after="100" w:afterAutospacing="1" w:line="240" w:lineRule="auto"/>
        <w:rPr>
          <w:rFonts w:ascii="Times New Roman" w:hAnsi="Times New Roman"/>
          <w:b/>
          <w:bCs/>
          <w:sz w:val="24"/>
          <w:szCs w:val="24"/>
        </w:rPr>
      </w:pPr>
      <w:bookmarkStart w:id="100" w:name="_Hlk40508742"/>
      <w:bookmarkEnd w:id="99"/>
      <w:r w:rsidRPr="00020A40">
        <w:rPr>
          <w:rFonts w:ascii="Times New Roman" w:hAnsi="Times New Roman"/>
          <w:b/>
          <w:bCs/>
          <w:sz w:val="24"/>
          <w:szCs w:val="24"/>
        </w:rPr>
        <w:t>Legal Lessons Learned:</w:t>
      </w:r>
      <w:r>
        <w:rPr>
          <w:rFonts w:ascii="Times New Roman" w:hAnsi="Times New Roman"/>
          <w:b/>
          <w:bCs/>
          <w:sz w:val="24"/>
          <w:szCs w:val="24"/>
        </w:rPr>
        <w:t xml:space="preserve"> </w:t>
      </w:r>
      <w:r w:rsidR="009B50E8">
        <w:rPr>
          <w:rFonts w:ascii="Times New Roman" w:hAnsi="Times New Roman"/>
          <w:b/>
          <w:bCs/>
          <w:sz w:val="24"/>
          <w:szCs w:val="24"/>
        </w:rPr>
        <w:t xml:space="preserve">Ohio </w:t>
      </w:r>
      <w:r>
        <w:rPr>
          <w:rFonts w:ascii="Times New Roman" w:hAnsi="Times New Roman"/>
          <w:b/>
          <w:bCs/>
          <w:sz w:val="24"/>
          <w:szCs w:val="24"/>
        </w:rPr>
        <w:t xml:space="preserve">FDs should review the Ohio Administrative Code regulation on fire apparatus, including the height of steps. </w:t>
      </w:r>
      <w:hyperlink r:id="rId594" w:history="1">
        <w:r w:rsidRPr="002D2C0F">
          <w:rPr>
            <w:rStyle w:val="Hyperlink"/>
            <w:rFonts w:ascii="Times New Roman" w:hAnsi="Times New Roman"/>
            <w:b/>
            <w:bCs/>
            <w:sz w:val="24"/>
            <w:szCs w:val="24"/>
          </w:rPr>
          <w:t>http://codes.ohio.gov/oac/4123:1-21-04v1</w:t>
        </w:r>
      </w:hyperlink>
      <w:r>
        <w:rPr>
          <w:rFonts w:ascii="Times New Roman" w:hAnsi="Times New Roman"/>
          <w:b/>
          <w:bCs/>
          <w:sz w:val="24"/>
          <w:szCs w:val="24"/>
        </w:rPr>
        <w:t xml:space="preserve"> .   VSSR penalties can range from 15 to 50% of the maximum allowable weekly compensation rate </w:t>
      </w:r>
      <w:proofErr w:type="gramStart"/>
      <w:r>
        <w:rPr>
          <w:rFonts w:ascii="Times New Roman" w:hAnsi="Times New Roman"/>
          <w:b/>
          <w:bCs/>
          <w:sz w:val="24"/>
          <w:szCs w:val="24"/>
        </w:rPr>
        <w:t>granted</w:t>
      </w:r>
      <w:proofErr w:type="gramEnd"/>
      <w:r>
        <w:rPr>
          <w:rFonts w:ascii="Times New Roman" w:hAnsi="Times New Roman"/>
          <w:b/>
          <w:bCs/>
          <w:sz w:val="24"/>
          <w:szCs w:val="24"/>
        </w:rPr>
        <w:t xml:space="preserve"> the injured worker. </w:t>
      </w:r>
      <w:hyperlink r:id="rId595" w:history="1">
        <w:r w:rsidRPr="002D2C0F">
          <w:rPr>
            <w:rStyle w:val="Hyperlink"/>
            <w:rFonts w:ascii="Times New Roman" w:hAnsi="Times New Roman"/>
            <w:b/>
            <w:bCs/>
            <w:sz w:val="24"/>
            <w:szCs w:val="24"/>
          </w:rPr>
          <w:t>https://www.bwc.ohio.gov/downloads/blankpdf/sviu.pdf</w:t>
        </w:r>
      </w:hyperlink>
      <w:r>
        <w:rPr>
          <w:rFonts w:ascii="Times New Roman" w:hAnsi="Times New Roman"/>
          <w:b/>
          <w:bCs/>
          <w:sz w:val="24"/>
          <w:szCs w:val="24"/>
        </w:rPr>
        <w:t xml:space="preserve"> </w:t>
      </w:r>
    </w:p>
    <w:bookmarkEnd w:id="100"/>
    <w:p w14:paraId="010AC845" w14:textId="77777777" w:rsidR="00663160" w:rsidRDefault="00663160" w:rsidP="00663160">
      <w:pPr>
        <w:pStyle w:val="NoSpacing"/>
        <w:rPr>
          <w:rFonts w:ascii="Arial Black" w:hAnsi="Arial Black"/>
          <w:sz w:val="24"/>
          <w:szCs w:val="24"/>
        </w:rPr>
      </w:pPr>
    </w:p>
    <w:p w14:paraId="7244B3F0" w14:textId="77777777" w:rsidR="00663160" w:rsidRDefault="00663160" w:rsidP="00EF1133">
      <w:pPr>
        <w:pStyle w:val="NoSpacing"/>
        <w:rPr>
          <w:rFonts w:ascii="Arial Black" w:hAnsi="Arial Black"/>
          <w:sz w:val="24"/>
          <w:szCs w:val="24"/>
        </w:rPr>
      </w:pPr>
    </w:p>
    <w:p w14:paraId="39882377" w14:textId="77777777" w:rsidR="00663160" w:rsidRDefault="00663160" w:rsidP="00EF1133">
      <w:pPr>
        <w:pStyle w:val="NoSpacing"/>
        <w:rPr>
          <w:rFonts w:ascii="Arial Black" w:hAnsi="Arial Black"/>
          <w:sz w:val="24"/>
          <w:szCs w:val="24"/>
        </w:rPr>
      </w:pPr>
    </w:p>
    <w:p w14:paraId="0EB37AE2" w14:textId="50B7E2E4" w:rsidR="00663160" w:rsidRDefault="00663160" w:rsidP="00EF1133">
      <w:pPr>
        <w:pStyle w:val="NoSpacing"/>
        <w:rPr>
          <w:rFonts w:ascii="Arial Black" w:hAnsi="Arial Black"/>
          <w:sz w:val="24"/>
          <w:szCs w:val="24"/>
        </w:rPr>
      </w:pPr>
      <w:r>
        <w:rPr>
          <w:rFonts w:ascii="Arial Black" w:hAnsi="Arial Black"/>
          <w:sz w:val="24"/>
          <w:szCs w:val="24"/>
        </w:rPr>
        <w:t>2-28</w:t>
      </w:r>
    </w:p>
    <w:p w14:paraId="01FCAE85" w14:textId="55BFE594" w:rsidR="00663160" w:rsidRDefault="00663160" w:rsidP="00EF1133">
      <w:pPr>
        <w:pStyle w:val="NoSpacing"/>
        <w:rPr>
          <w:rFonts w:ascii="Arial Black" w:hAnsi="Arial Black"/>
          <w:sz w:val="24"/>
          <w:szCs w:val="24"/>
        </w:rPr>
      </w:pPr>
    </w:p>
    <w:p w14:paraId="05D70D26" w14:textId="77777777" w:rsidR="00663160" w:rsidRPr="007635E7" w:rsidRDefault="00663160" w:rsidP="00663160">
      <w:pPr>
        <w:pStyle w:val="NoSpacing"/>
        <w:rPr>
          <w:rFonts w:ascii="Arial Black" w:hAnsi="Arial Black"/>
          <w:sz w:val="28"/>
          <w:szCs w:val="28"/>
        </w:rPr>
      </w:pPr>
      <w:r w:rsidRPr="007635E7">
        <w:rPr>
          <w:rFonts w:ascii="Arial Black" w:hAnsi="Arial Black"/>
          <w:sz w:val="28"/>
          <w:szCs w:val="28"/>
        </w:rPr>
        <w:t xml:space="preserve">DE: </w:t>
      </w:r>
      <w:r>
        <w:rPr>
          <w:rFonts w:ascii="Arial Black" w:hAnsi="Arial Black"/>
          <w:sz w:val="28"/>
          <w:szCs w:val="28"/>
        </w:rPr>
        <w:t xml:space="preserve">ROLLING BLACKOUTS – THREE FF KILLED, THREE INJURED – NOT VIOLATION OF FED CONSTIT. RIGHTS </w:t>
      </w:r>
    </w:p>
    <w:p w14:paraId="2620282C" w14:textId="77777777" w:rsidR="00663160" w:rsidRPr="00465FB3" w:rsidRDefault="00663160" w:rsidP="00663160">
      <w:pPr>
        <w:spacing w:before="100" w:beforeAutospacing="1" w:after="100" w:afterAutospacing="1" w:line="240" w:lineRule="auto"/>
        <w:rPr>
          <w:rFonts w:ascii="Times New Roman" w:hAnsi="Times New Roman"/>
          <w:sz w:val="24"/>
          <w:szCs w:val="24"/>
        </w:rPr>
      </w:pPr>
      <w:r w:rsidRPr="00465FB3">
        <w:rPr>
          <w:rFonts w:ascii="Times New Roman" w:hAnsi="Times New Roman"/>
          <w:sz w:val="24"/>
          <w:szCs w:val="24"/>
        </w:rPr>
        <w:t xml:space="preserve">On </w:t>
      </w:r>
      <w:bookmarkStart w:id="101" w:name="_Hlk39822645"/>
      <w:r w:rsidRPr="00465FB3">
        <w:rPr>
          <w:rFonts w:ascii="Times New Roman" w:hAnsi="Times New Roman"/>
          <w:sz w:val="24"/>
          <w:szCs w:val="24"/>
        </w:rPr>
        <w:t xml:space="preserve">Jan. 9, 2020, in </w:t>
      </w:r>
      <w:r w:rsidRPr="00465FB3">
        <w:rPr>
          <w:rFonts w:ascii="Times New Roman" w:hAnsi="Times New Roman"/>
          <w:sz w:val="24"/>
          <w:szCs w:val="24"/>
          <w:u w:val="single"/>
        </w:rPr>
        <w:t>Firefighter Brad Speakman, et al. v. Dennis P. Williams, City of Wilmington, et al</w:t>
      </w:r>
      <w:bookmarkEnd w:id="101"/>
      <w:r w:rsidRPr="00465FB3">
        <w:rPr>
          <w:rFonts w:ascii="Times New Roman" w:hAnsi="Times New Roman"/>
          <w:sz w:val="24"/>
          <w:szCs w:val="24"/>
        </w:rPr>
        <w:t xml:space="preserve">, U.S. District Court Judge Maryellen Noreika dismissed the lawsuit by the families of the firefighters killed on Sept. 24, 2016.  The Court held that the “rolling bypass” practices may be a basis for a tort lawsuit in state court, the practice is not a violation of the substantive rights guaranteed by the Fourteenth Amendment to the U.S. Constitution. </w:t>
      </w:r>
    </w:p>
    <w:p w14:paraId="3AB1F0C2" w14:textId="77777777" w:rsidR="00663160" w:rsidRPr="00465FB3" w:rsidRDefault="00663160" w:rsidP="00663160">
      <w:pPr>
        <w:pStyle w:val="NoSpacing"/>
        <w:ind w:left="720"/>
        <w:rPr>
          <w:rFonts w:ascii="Times New Roman" w:hAnsi="Times New Roman"/>
          <w:b/>
          <w:bCs/>
          <w:sz w:val="24"/>
          <w:szCs w:val="24"/>
        </w:rPr>
      </w:pPr>
      <w:bookmarkStart w:id="102" w:name="_Hlk39765552"/>
      <w:r w:rsidRPr="00465FB3">
        <w:rPr>
          <w:rFonts w:ascii="Times New Roman" w:eastAsia="Times New Roman" w:hAnsi="Times New Roman"/>
          <w:bCs/>
          <w:sz w:val="24"/>
          <w:szCs w:val="24"/>
        </w:rPr>
        <w:t>“</w:t>
      </w:r>
      <w:r w:rsidRPr="00465FB3">
        <w:rPr>
          <w:rFonts w:ascii="Times New Roman" w:hAnsi="Times New Roman"/>
          <w:bCs/>
          <w:sz w:val="24"/>
          <w:szCs w:val="24"/>
        </w:rPr>
        <w:t xml:space="preserve">This case, like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Estate of Phillips, [Washington, D.C. line of duty deaths in] Estate of Phillips v. D.C., 455 F.3d 397 (D.C. Cir. 2006)], involves a tragedy. Lieutenant Christopher Leach, Senior Firefighter Jerry Fickes, and Senior Firefighter Ardythe Hope died, and Firefighter Brad Speakman, Senior Firefighter Terrance Tate, and Lieutenant John Cawthray suffered severe injuries. But as the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court recognized, the Constitution does not provide a basis to address all injuries…. The Court has no doubt that, as Plaintiffs argue … a relationship exists between shift staffing and firefighter safety. For the reasons articulated, however, that relationship alone does not transform Present Defendants' conduct into substantive due process violations [of the 14</w:t>
      </w:r>
      <w:r w:rsidRPr="00465FB3">
        <w:rPr>
          <w:rFonts w:ascii="Times New Roman" w:hAnsi="Times New Roman"/>
          <w:bCs/>
          <w:sz w:val="24"/>
          <w:szCs w:val="24"/>
          <w:vertAlign w:val="superscript"/>
        </w:rPr>
        <w:t>Th</w:t>
      </w:r>
      <w:r w:rsidRPr="00465FB3">
        <w:rPr>
          <w:rFonts w:ascii="Times New Roman" w:hAnsi="Times New Roman"/>
          <w:bCs/>
          <w:sz w:val="24"/>
          <w:szCs w:val="24"/>
        </w:rPr>
        <w:t xml:space="preserve"> Amendment of U.S. Constitution]….</w:t>
      </w:r>
      <w:r w:rsidRPr="00465FB3">
        <w:rPr>
          <w:rFonts w:ascii="Times New Roman" w:hAnsi="Times New Roman"/>
          <w:sz w:val="24"/>
          <w:szCs w:val="24"/>
        </w:rPr>
        <w:t xml:space="preserve"> </w:t>
      </w:r>
      <w:r w:rsidRPr="00465FB3">
        <w:rPr>
          <w:rFonts w:ascii="Times New Roman" w:hAnsi="Times New Roman"/>
          <w:bCs/>
          <w:sz w:val="24"/>
          <w:szCs w:val="24"/>
        </w:rPr>
        <w:t xml:space="preserve">In other words, like the firefighters in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Plaintiffs allege that Present Defendants (along with others) exposed Firefighter Plaintiffs to ‘additional risks of injury unknown to [them] when they joined’ the WFD. 455 F.3d at 407. Yet, as explained, such increased risk is not enough to establish a substantive due process violation where the underlying risk is inherent in the injured parties' profession and is not so extremely elevated that employees will almost certainly and immediately be injured if they carry out their work.”  </w:t>
      </w:r>
      <w:bookmarkStart w:id="103" w:name="_Hlk39821887"/>
      <w:r w:rsidR="00F2621E">
        <w:fldChar w:fldCharType="begin"/>
      </w:r>
      <w:r w:rsidR="00F2621E">
        <w:instrText xml:space="preserve"> HYPERLINK "https://www.ded.uscourts.gov/sites/ded/files/opinions/18-1252_1.pdf" </w:instrText>
      </w:r>
      <w:r w:rsidR="00F2621E">
        <w:fldChar w:fldCharType="separate"/>
      </w:r>
      <w:r w:rsidRPr="00465FB3">
        <w:rPr>
          <w:rStyle w:val="Hyperlink"/>
          <w:rFonts w:ascii="Times New Roman" w:hAnsi="Times New Roman"/>
          <w:bCs/>
          <w:sz w:val="24"/>
          <w:szCs w:val="24"/>
        </w:rPr>
        <w:t>https://www.ded.uscourts.gov/sites/ded/files/opinions/18-1252_1.pdf</w:t>
      </w:r>
      <w:r w:rsidR="00F2621E">
        <w:rPr>
          <w:rStyle w:val="Hyperlink"/>
          <w:rFonts w:ascii="Times New Roman" w:hAnsi="Times New Roman"/>
          <w:bCs/>
          <w:sz w:val="24"/>
          <w:szCs w:val="24"/>
        </w:rPr>
        <w:fldChar w:fldCharType="end"/>
      </w:r>
      <w:r w:rsidRPr="00465FB3">
        <w:rPr>
          <w:rFonts w:ascii="Times New Roman" w:hAnsi="Times New Roman"/>
          <w:bCs/>
          <w:sz w:val="24"/>
          <w:szCs w:val="24"/>
        </w:rPr>
        <w:t xml:space="preserve"> </w:t>
      </w:r>
      <w:bookmarkEnd w:id="103"/>
    </w:p>
    <w:bookmarkEnd w:id="102"/>
    <w:p w14:paraId="3DD740A0" w14:textId="70FF5D4F" w:rsidR="00663160" w:rsidRDefault="00663160" w:rsidP="00EF1133">
      <w:pPr>
        <w:pStyle w:val="NoSpacing"/>
        <w:rPr>
          <w:rFonts w:ascii="Arial Black" w:hAnsi="Arial Black"/>
          <w:sz w:val="24"/>
          <w:szCs w:val="24"/>
        </w:rPr>
      </w:pPr>
    </w:p>
    <w:p w14:paraId="07D6649F" w14:textId="4641FB73" w:rsidR="009B50E8" w:rsidRDefault="00663160" w:rsidP="00663160">
      <w:pPr>
        <w:pStyle w:val="NoSpacing"/>
        <w:rPr>
          <w:rFonts w:ascii="Times New Roman" w:hAnsi="Times New Roman"/>
          <w:b/>
          <w:bCs/>
          <w:sz w:val="24"/>
          <w:szCs w:val="24"/>
        </w:rPr>
      </w:pPr>
      <w:bookmarkStart w:id="104" w:name="_Hlk40508991"/>
      <w:r w:rsidRPr="00465FB3">
        <w:rPr>
          <w:rFonts w:ascii="Times New Roman" w:hAnsi="Times New Roman"/>
          <w:b/>
          <w:bCs/>
          <w:sz w:val="24"/>
          <w:szCs w:val="24"/>
        </w:rPr>
        <w:t xml:space="preserve">Legal Lessons Learned: </w:t>
      </w:r>
      <w:proofErr w:type="gramStart"/>
      <w:r w:rsidRPr="00465FB3">
        <w:rPr>
          <w:rFonts w:ascii="Times New Roman" w:hAnsi="Times New Roman"/>
          <w:b/>
          <w:bCs/>
          <w:sz w:val="24"/>
          <w:szCs w:val="24"/>
        </w:rPr>
        <w:t>Similar</w:t>
      </w:r>
      <w:r w:rsidR="009B50E8">
        <w:rPr>
          <w:rFonts w:ascii="Times New Roman" w:hAnsi="Times New Roman"/>
          <w:b/>
          <w:bCs/>
          <w:sz w:val="24"/>
          <w:szCs w:val="24"/>
        </w:rPr>
        <w:t xml:space="preserve"> </w:t>
      </w:r>
      <w:r w:rsidRPr="00465FB3">
        <w:rPr>
          <w:rFonts w:ascii="Times New Roman" w:hAnsi="Times New Roman"/>
          <w:b/>
          <w:bCs/>
          <w:sz w:val="24"/>
          <w:szCs w:val="24"/>
        </w:rPr>
        <w:t>to</w:t>
      </w:r>
      <w:proofErr w:type="gramEnd"/>
      <w:r w:rsidRPr="00465FB3">
        <w:rPr>
          <w:rFonts w:ascii="Times New Roman" w:hAnsi="Times New Roman"/>
          <w:b/>
          <w:bCs/>
          <w:sz w:val="24"/>
          <w:szCs w:val="24"/>
        </w:rPr>
        <w:t xml:space="preserve"> the Washington, D.C. line-of-duty-death case in </w:t>
      </w:r>
      <w:r w:rsidRPr="00465FB3">
        <w:rPr>
          <w:rFonts w:ascii="Times New Roman" w:hAnsi="Times New Roman"/>
          <w:b/>
          <w:bCs/>
          <w:sz w:val="24"/>
          <w:szCs w:val="24"/>
          <w:u w:val="single"/>
        </w:rPr>
        <w:t>Estate of Phillips</w:t>
      </w:r>
      <w:r w:rsidRPr="00465FB3">
        <w:rPr>
          <w:rFonts w:ascii="Times New Roman" w:hAnsi="Times New Roman"/>
          <w:b/>
          <w:bCs/>
          <w:sz w:val="24"/>
          <w:szCs w:val="24"/>
        </w:rPr>
        <w:t xml:space="preserve">, </w:t>
      </w:r>
      <w:r w:rsidR="009B50E8">
        <w:rPr>
          <w:rFonts w:ascii="Times New Roman" w:hAnsi="Times New Roman"/>
          <w:b/>
          <w:bCs/>
          <w:sz w:val="24"/>
          <w:szCs w:val="24"/>
        </w:rPr>
        <w:t xml:space="preserve"> </w:t>
      </w:r>
      <w:hyperlink r:id="rId596" w:history="1">
        <w:r w:rsidR="009B50E8" w:rsidRPr="00176D13">
          <w:rPr>
            <w:rStyle w:val="Hyperlink"/>
            <w:rFonts w:ascii="Times New Roman" w:hAnsi="Times New Roman"/>
            <w:b/>
            <w:bCs/>
            <w:sz w:val="24"/>
            <w:szCs w:val="24"/>
          </w:rPr>
          <w:t>https://caselaw.findlaw.com/us-dc-circuit/1363158.html</w:t>
        </w:r>
      </w:hyperlink>
      <w:r w:rsidR="009B50E8">
        <w:rPr>
          <w:rFonts w:ascii="Times New Roman" w:hAnsi="Times New Roman"/>
          <w:b/>
          <w:bCs/>
          <w:sz w:val="24"/>
          <w:szCs w:val="24"/>
        </w:rPr>
        <w:t xml:space="preserve"> </w:t>
      </w:r>
      <w:r w:rsidR="00D735D6">
        <w:rPr>
          <w:rFonts w:ascii="Times New Roman" w:hAnsi="Times New Roman"/>
          <w:b/>
          <w:bCs/>
          <w:sz w:val="24"/>
          <w:szCs w:val="24"/>
        </w:rPr>
        <w:t xml:space="preserve">(2006), </w:t>
      </w:r>
    </w:p>
    <w:p w14:paraId="44000B3D" w14:textId="1D19F4F0" w:rsidR="00663160" w:rsidRPr="00465FB3" w:rsidRDefault="00663160" w:rsidP="00663160">
      <w:pPr>
        <w:pStyle w:val="NoSpacing"/>
        <w:rPr>
          <w:rFonts w:ascii="Times New Roman" w:hAnsi="Times New Roman"/>
          <w:b/>
          <w:bCs/>
          <w:sz w:val="24"/>
          <w:szCs w:val="24"/>
        </w:rPr>
      </w:pPr>
      <w:proofErr w:type="gramStart"/>
      <w:r w:rsidRPr="00465FB3">
        <w:rPr>
          <w:rFonts w:ascii="Times New Roman" w:hAnsi="Times New Roman"/>
          <w:b/>
          <w:bCs/>
          <w:sz w:val="24"/>
          <w:szCs w:val="24"/>
        </w:rPr>
        <w:t>this</w:t>
      </w:r>
      <w:proofErr w:type="gramEnd"/>
      <w:r w:rsidRPr="00465FB3">
        <w:rPr>
          <w:rFonts w:ascii="Times New Roman" w:hAnsi="Times New Roman"/>
          <w:b/>
          <w:bCs/>
          <w:sz w:val="24"/>
          <w:szCs w:val="24"/>
        </w:rPr>
        <w:t xml:space="preserve"> lawsuit in Federal court has been dismissed prior to trial.  </w:t>
      </w:r>
    </w:p>
    <w:bookmarkEnd w:id="104"/>
    <w:p w14:paraId="50BBECE4" w14:textId="77777777" w:rsidR="00663160" w:rsidRPr="00465FB3" w:rsidRDefault="00663160" w:rsidP="00663160">
      <w:pPr>
        <w:pStyle w:val="NoSpacing"/>
        <w:rPr>
          <w:b/>
          <w:bCs/>
        </w:rPr>
      </w:pPr>
      <w:r w:rsidRPr="00465FB3">
        <w:rPr>
          <w:rFonts w:ascii="Times New Roman" w:hAnsi="Times New Roman"/>
          <w:b/>
          <w:bCs/>
          <w:sz w:val="24"/>
          <w:szCs w:val="24"/>
        </w:rPr>
        <w:t xml:space="preserve">Note: </w:t>
      </w:r>
      <w:bookmarkStart w:id="105" w:name="_Hlk39821714"/>
      <w:r w:rsidRPr="00465FB3">
        <w:rPr>
          <w:rFonts w:ascii="Times New Roman" w:hAnsi="Times New Roman"/>
          <w:b/>
          <w:bCs/>
          <w:sz w:val="24"/>
          <w:szCs w:val="24"/>
        </w:rPr>
        <w:t xml:space="preserve">“Woman gets </w:t>
      </w:r>
      <w:proofErr w:type="gramStart"/>
      <w:r w:rsidRPr="00465FB3">
        <w:rPr>
          <w:rFonts w:ascii="Times New Roman" w:hAnsi="Times New Roman"/>
          <w:b/>
          <w:bCs/>
          <w:sz w:val="24"/>
          <w:szCs w:val="24"/>
        </w:rPr>
        <w:t>30 year</w:t>
      </w:r>
      <w:proofErr w:type="gramEnd"/>
      <w:r w:rsidRPr="00465FB3">
        <w:rPr>
          <w:rFonts w:ascii="Times New Roman" w:hAnsi="Times New Roman"/>
          <w:b/>
          <w:bCs/>
          <w:sz w:val="24"/>
          <w:szCs w:val="24"/>
        </w:rPr>
        <w:t xml:space="preserve"> sentence in arson that killed 3 Wilmington firefighters,” (Dec. 13, 2019) </w:t>
      </w:r>
      <w:hyperlink r:id="rId597" w:history="1">
        <w:r w:rsidRPr="00465FB3">
          <w:rPr>
            <w:rStyle w:val="Hyperlink"/>
            <w:rFonts w:ascii="Times New Roman" w:hAnsi="Times New Roman"/>
            <w:b/>
            <w:bCs/>
            <w:sz w:val="24"/>
            <w:szCs w:val="24"/>
          </w:rPr>
          <w:t>https://www.fox29.com/news/woman-gets-30-year-sentence-in-arson-that-killed-3-wilmington-firefighters</w:t>
        </w:r>
      </w:hyperlink>
      <w:bookmarkEnd w:id="105"/>
      <w:r w:rsidRPr="00465FB3">
        <w:rPr>
          <w:b/>
          <w:bCs/>
        </w:rPr>
        <w:t xml:space="preserve"> </w:t>
      </w:r>
    </w:p>
    <w:p w14:paraId="547BB67A" w14:textId="77777777" w:rsidR="00663160" w:rsidRPr="0007452B" w:rsidRDefault="00663160" w:rsidP="00663160">
      <w:pPr>
        <w:pStyle w:val="NoSpacing"/>
        <w:rPr>
          <w:sz w:val="24"/>
          <w:szCs w:val="24"/>
        </w:rPr>
      </w:pPr>
    </w:p>
    <w:p w14:paraId="0FAB91AB" w14:textId="77777777" w:rsidR="00663160" w:rsidRDefault="00663160" w:rsidP="00EF1133">
      <w:pPr>
        <w:pStyle w:val="NoSpacing"/>
        <w:rPr>
          <w:rFonts w:ascii="Arial Black" w:hAnsi="Arial Black"/>
          <w:sz w:val="24"/>
          <w:szCs w:val="24"/>
        </w:rPr>
      </w:pPr>
    </w:p>
    <w:p w14:paraId="7809057E" w14:textId="77777777" w:rsidR="00663160" w:rsidRDefault="00663160" w:rsidP="00EF1133">
      <w:pPr>
        <w:pStyle w:val="NoSpacing"/>
        <w:rPr>
          <w:rFonts w:ascii="Arial Black" w:hAnsi="Arial Black"/>
          <w:sz w:val="24"/>
          <w:szCs w:val="24"/>
        </w:rPr>
      </w:pPr>
    </w:p>
    <w:p w14:paraId="5377580D" w14:textId="77777777" w:rsidR="00663160" w:rsidRDefault="00663160" w:rsidP="00EF1133">
      <w:pPr>
        <w:pStyle w:val="NoSpacing"/>
        <w:rPr>
          <w:rFonts w:ascii="Arial Black" w:hAnsi="Arial Black"/>
          <w:sz w:val="24"/>
          <w:szCs w:val="24"/>
        </w:rPr>
      </w:pPr>
    </w:p>
    <w:p w14:paraId="2EA9FFBE" w14:textId="0D24AFC2" w:rsidR="00C9355B" w:rsidRDefault="00C9355B" w:rsidP="00EF1133">
      <w:pPr>
        <w:pStyle w:val="NoSpacing"/>
        <w:rPr>
          <w:rFonts w:ascii="Arial Black" w:hAnsi="Arial Black"/>
          <w:sz w:val="24"/>
          <w:szCs w:val="24"/>
        </w:rPr>
      </w:pPr>
      <w:r>
        <w:rPr>
          <w:rFonts w:ascii="Arial Black" w:hAnsi="Arial Black"/>
          <w:sz w:val="24"/>
          <w:szCs w:val="24"/>
        </w:rPr>
        <w:t>2-27</w:t>
      </w:r>
    </w:p>
    <w:p w14:paraId="5C6FE893" w14:textId="77777777" w:rsidR="00C9355B" w:rsidRDefault="00C9355B" w:rsidP="00C9355B">
      <w:pPr>
        <w:spacing w:before="100" w:beforeAutospacing="1" w:after="100" w:afterAutospacing="1"/>
        <w:rPr>
          <w:rFonts w:ascii="Arial Black" w:eastAsia="Times New Roman" w:hAnsi="Arial Black"/>
          <w:bCs/>
          <w:sz w:val="28"/>
          <w:szCs w:val="28"/>
        </w:rPr>
      </w:pPr>
      <w:r w:rsidRPr="005E0291">
        <w:rPr>
          <w:rFonts w:ascii="Arial Black" w:eastAsia="Times New Roman" w:hAnsi="Arial Black"/>
          <w:bCs/>
          <w:sz w:val="28"/>
          <w:szCs w:val="28"/>
        </w:rPr>
        <w:t xml:space="preserve">NY: </w:t>
      </w:r>
      <w:r>
        <w:rPr>
          <w:rFonts w:ascii="Arial Black" w:eastAsia="Times New Roman" w:hAnsi="Arial Black"/>
          <w:bCs/>
          <w:sz w:val="28"/>
          <w:szCs w:val="28"/>
        </w:rPr>
        <w:t xml:space="preserve"> FF SOLICITING FUNDS - HOMEOWNER AT DOOR WTH FIREARM – ARRESTED – MALICIOUS PROS. CASE DISMISSED </w:t>
      </w:r>
    </w:p>
    <w:p w14:paraId="4C3A3587" w14:textId="77777777" w:rsidR="00C9355B" w:rsidRPr="00695030" w:rsidRDefault="00C9355B" w:rsidP="00C9355B">
      <w:pPr>
        <w:spacing w:before="100" w:beforeAutospacing="1" w:after="100" w:afterAutospacing="1"/>
        <w:rPr>
          <w:rFonts w:ascii="Times New Roman" w:eastAsia="Times New Roman" w:hAnsi="Times New Roman"/>
          <w:b/>
          <w:sz w:val="24"/>
          <w:szCs w:val="24"/>
        </w:rPr>
      </w:pPr>
      <w:r w:rsidRPr="00695030">
        <w:rPr>
          <w:rFonts w:ascii="Times New Roman" w:eastAsia="Times New Roman" w:hAnsi="Times New Roman"/>
          <w:sz w:val="24"/>
          <w:szCs w:val="24"/>
        </w:rPr>
        <w:t xml:space="preserve">On </w:t>
      </w:r>
      <w:bookmarkStart w:id="106" w:name="_Hlk39822249"/>
      <w:r w:rsidRPr="00695030">
        <w:rPr>
          <w:rFonts w:ascii="Times New Roman" w:eastAsia="Times New Roman" w:hAnsi="Times New Roman"/>
          <w:sz w:val="24"/>
          <w:szCs w:val="24"/>
        </w:rPr>
        <w:t xml:space="preserve">Jan. 28, 2020, in </w:t>
      </w:r>
      <w:r w:rsidRPr="00695030">
        <w:rPr>
          <w:rFonts w:ascii="Times New Roman" w:eastAsia="Times New Roman" w:hAnsi="Times New Roman"/>
          <w:sz w:val="24"/>
          <w:szCs w:val="24"/>
          <w:u w:val="single"/>
        </w:rPr>
        <w:t xml:space="preserve">Carl T. </w:t>
      </w:r>
      <w:proofErr w:type="spellStart"/>
      <w:r w:rsidRPr="00695030">
        <w:rPr>
          <w:rFonts w:ascii="Times New Roman" w:eastAsia="Times New Roman" w:hAnsi="Times New Roman"/>
          <w:sz w:val="24"/>
          <w:szCs w:val="24"/>
          <w:u w:val="single"/>
        </w:rPr>
        <w:t>Semencic</w:t>
      </w:r>
      <w:proofErr w:type="spellEnd"/>
      <w:r w:rsidRPr="00695030">
        <w:rPr>
          <w:rFonts w:ascii="Times New Roman" w:eastAsia="Times New Roman" w:hAnsi="Times New Roman"/>
          <w:sz w:val="24"/>
          <w:szCs w:val="24"/>
          <w:u w:val="single"/>
        </w:rPr>
        <w:t xml:space="preserve"> v. The County of Nassau, et al</w:t>
      </w:r>
      <w:bookmarkEnd w:id="106"/>
      <w:r w:rsidRPr="00695030">
        <w:rPr>
          <w:rFonts w:ascii="Times New Roman" w:eastAsia="Times New Roman" w:hAnsi="Times New Roman"/>
          <w:sz w:val="24"/>
          <w:szCs w:val="24"/>
        </w:rPr>
        <w:t xml:space="preserve">., U.S. District Court Judge Sandra J. Feuerstein granted defense motion for summary </w:t>
      </w:r>
      <w:proofErr w:type="gramStart"/>
      <w:r w:rsidRPr="00695030">
        <w:rPr>
          <w:rFonts w:ascii="Times New Roman" w:eastAsia="Times New Roman" w:hAnsi="Times New Roman"/>
          <w:sz w:val="24"/>
          <w:szCs w:val="24"/>
        </w:rPr>
        <w:t>judgment, and</w:t>
      </w:r>
      <w:proofErr w:type="gramEnd"/>
      <w:r w:rsidRPr="00695030">
        <w:rPr>
          <w:rFonts w:ascii="Times New Roman" w:eastAsia="Times New Roman" w:hAnsi="Times New Roman"/>
          <w:sz w:val="24"/>
          <w:szCs w:val="24"/>
        </w:rPr>
        <w:t xml:space="preserve"> dismissed lawsuit by the homeowner arrested for menacing the firefighters.  </w:t>
      </w:r>
    </w:p>
    <w:p w14:paraId="1BB0DD49" w14:textId="70246BFC" w:rsidR="00C9355B" w:rsidRPr="00965872" w:rsidRDefault="00C9355B" w:rsidP="00965872">
      <w:pPr>
        <w:pStyle w:val="NoSpacing"/>
        <w:ind w:left="720"/>
        <w:rPr>
          <w:rFonts w:ascii="Times New Roman" w:hAnsi="Times New Roman"/>
          <w:sz w:val="24"/>
          <w:szCs w:val="24"/>
        </w:rPr>
      </w:pPr>
      <w:r w:rsidRPr="00965872">
        <w:rPr>
          <w:rFonts w:ascii="Times New Roman" w:hAnsi="Times New Roman"/>
          <w:sz w:val="24"/>
          <w:szCs w:val="24"/>
        </w:rPr>
        <w:t xml:space="preserve">“There are no factual allegations to plausibly suggest that Defendants lacked reasonable cause to believe that </w:t>
      </w:r>
      <w:proofErr w:type="spellStart"/>
      <w:r w:rsidRPr="00965872">
        <w:rPr>
          <w:rFonts w:ascii="Times New Roman" w:hAnsi="Times New Roman"/>
          <w:sz w:val="24"/>
          <w:szCs w:val="24"/>
        </w:rPr>
        <w:t>Semencic</w:t>
      </w:r>
      <w:proofErr w:type="spellEnd"/>
      <w:r w:rsidRPr="00965872">
        <w:rPr>
          <w:rFonts w:ascii="Times New Roman" w:hAnsi="Times New Roman"/>
          <w:sz w:val="24"/>
          <w:szCs w:val="24"/>
        </w:rPr>
        <w:t xml:space="preserve"> had menaced Maloney with a weapon in violation of New York law. Plaintiff was charged by information with menacing in the second degree, which provides that ‘[a] person is guilty of menacing in the second degree when. . . He or she intentionally places or attempts to place another person in reasonable fear of physical injury, serious physical injury or death by displaying a deadly weapon, dangerous instrument or what appears to be a pistol, revolver, rifle, shotgun, machine gun or other firearm. . …’  N.Y. PENAL LAW § 120.14. </w:t>
      </w:r>
      <w:proofErr w:type="spellStart"/>
      <w:r w:rsidRPr="00965872">
        <w:rPr>
          <w:rFonts w:ascii="Times New Roman" w:hAnsi="Times New Roman"/>
          <w:sz w:val="24"/>
          <w:szCs w:val="24"/>
        </w:rPr>
        <w:t>Semencic's</w:t>
      </w:r>
      <w:proofErr w:type="spellEnd"/>
      <w:r w:rsidRPr="00965872">
        <w:rPr>
          <w:rFonts w:ascii="Times New Roman" w:hAnsi="Times New Roman"/>
          <w:sz w:val="24"/>
          <w:szCs w:val="24"/>
        </w:rPr>
        <w:t xml:space="preserve"> own version of the events, in which he concedes his display of the gun, coupled with [firefighter] Maloney's assertion in his statement that he was ‘in fear of his life,’ essentially establishes a menacing charge.  ***  </w:t>
      </w:r>
      <w:r w:rsidRPr="00965872">
        <w:rPr>
          <w:rFonts w:ascii="Times New Roman" w:hAnsi="Times New Roman"/>
          <w:bCs/>
          <w:sz w:val="24"/>
          <w:szCs w:val="24"/>
        </w:rPr>
        <w:t>[P]</w:t>
      </w:r>
      <w:proofErr w:type="spellStart"/>
      <w:r w:rsidRPr="00965872">
        <w:rPr>
          <w:rFonts w:ascii="Times New Roman" w:hAnsi="Times New Roman"/>
          <w:bCs/>
          <w:sz w:val="24"/>
          <w:szCs w:val="24"/>
        </w:rPr>
        <w:t>ointing</w:t>
      </w:r>
      <w:proofErr w:type="spellEnd"/>
      <w:r w:rsidRPr="00965872">
        <w:rPr>
          <w:rFonts w:ascii="Times New Roman" w:hAnsi="Times New Roman"/>
          <w:bCs/>
          <w:sz w:val="24"/>
          <w:szCs w:val="24"/>
        </w:rPr>
        <w:t xml:space="preserve"> a gun at and tapping that gun against a 'Do Not Knock No Peddlers' sign and saying 'Go Away' can</w:t>
      </w:r>
      <w:r w:rsidRPr="00965872">
        <w:rPr>
          <w:rFonts w:ascii="Times New Roman" w:hAnsi="Times New Roman"/>
          <w:sz w:val="24"/>
          <w:szCs w:val="24"/>
        </w:rPr>
        <w:t xml:space="preserve">, </w:t>
      </w:r>
      <w:r w:rsidRPr="00965872">
        <w:rPr>
          <w:rFonts w:ascii="Times New Roman" w:hAnsi="Times New Roman"/>
          <w:bCs/>
          <w:sz w:val="24"/>
          <w:szCs w:val="24"/>
        </w:rPr>
        <w:t>given what guns are designed to do</w:t>
      </w:r>
      <w:r w:rsidRPr="00965872">
        <w:rPr>
          <w:rFonts w:ascii="Times New Roman" w:hAnsi="Times New Roman"/>
          <w:sz w:val="24"/>
          <w:szCs w:val="24"/>
        </w:rPr>
        <w:t xml:space="preserve">, </w:t>
      </w:r>
      <w:r w:rsidRPr="00965872">
        <w:rPr>
          <w:rFonts w:ascii="Times New Roman" w:hAnsi="Times New Roman"/>
          <w:bCs/>
          <w:sz w:val="24"/>
          <w:szCs w:val="24"/>
        </w:rPr>
        <w:t xml:space="preserve">be perceived as an attempt to instill the requisite fear that injury will ensue if the sign and the command are not obeyed. [Emphasis by Judge Feuerstein.]” </w:t>
      </w:r>
      <w:bookmarkStart w:id="107" w:name="_Hlk39822186"/>
      <w:r w:rsidR="00F2621E">
        <w:fldChar w:fldCharType="begin"/>
      </w:r>
      <w:r w:rsidR="00F2621E">
        <w:instrText xml:space="preserve"> HYPERLINK "https://public.fastcase.com/Wl%2B2t%2BeVuI35%2FN70vAMFZnOfSxLvAGpuUD2VM9emafhy4fr43G9Vd6d9h%2FUBoSxo" </w:instrText>
      </w:r>
      <w:r w:rsidR="00F2621E">
        <w:fldChar w:fldCharType="separate"/>
      </w:r>
      <w:r w:rsidRPr="00965872">
        <w:rPr>
          <w:rStyle w:val="Hyperlink"/>
          <w:rFonts w:ascii="Times New Roman" w:hAnsi="Times New Roman"/>
          <w:b/>
          <w:sz w:val="24"/>
          <w:szCs w:val="24"/>
        </w:rPr>
        <w:t>https://public.fastcase.com/Wl%2B2t%2BeVuI35%2FN70vAMFZnOfSxLvAGpuUD2VM9emafhy4fr43G9Vd6d9h%2FUBoSxo</w:t>
      </w:r>
      <w:r w:rsidR="00F2621E">
        <w:rPr>
          <w:rStyle w:val="Hyperlink"/>
          <w:rFonts w:ascii="Times New Roman" w:hAnsi="Times New Roman"/>
          <w:b/>
          <w:sz w:val="24"/>
          <w:szCs w:val="24"/>
        </w:rPr>
        <w:fldChar w:fldCharType="end"/>
      </w:r>
    </w:p>
    <w:bookmarkEnd w:id="107"/>
    <w:p w14:paraId="1834C4B4" w14:textId="77777777" w:rsidR="00C9355B" w:rsidRPr="00503E8F" w:rsidRDefault="00C9355B" w:rsidP="00C9355B">
      <w:pPr>
        <w:pStyle w:val="NormalWeb"/>
        <w:rPr>
          <w:bCs/>
        </w:rPr>
      </w:pPr>
      <w:r w:rsidRPr="00695030">
        <w:rPr>
          <w:b/>
        </w:rPr>
        <w:t xml:space="preserve">Legal Lessons Learned:  Suggestion – conduct “door to door” solicitations in pairs, in uniform, and be extremely caution where the homeowner has posted Do Not Knock or similar signs.  </w:t>
      </w:r>
      <w:r>
        <w:rPr>
          <w:bCs/>
        </w:rPr>
        <w:t xml:space="preserve">See article on the arrest, </w:t>
      </w:r>
      <w:bookmarkStart w:id="108" w:name="_Hlk39822065"/>
      <w:r>
        <w:rPr>
          <w:bCs/>
        </w:rPr>
        <w:t xml:space="preserve">“West Hempstead man menaced fire volunteer with gun, police say” (July 20, 2016):  </w:t>
      </w:r>
      <w:hyperlink r:id="rId598" w:history="1">
        <w:r w:rsidRPr="0063481C">
          <w:rPr>
            <w:rStyle w:val="Hyperlink"/>
          </w:rPr>
          <w:t>https://www.newsday.com/long-island/crime/west-hempstead-man-menaced-fire-volunteer-with-gun-police-say-1.12068135</w:t>
        </w:r>
      </w:hyperlink>
      <w:bookmarkEnd w:id="108"/>
      <w:r>
        <w:rPr>
          <w:bCs/>
        </w:rPr>
        <w:t xml:space="preserve"> </w:t>
      </w:r>
    </w:p>
    <w:p w14:paraId="2C2C5FD7" w14:textId="3D658942" w:rsidR="00C9355B" w:rsidRDefault="00C9355B" w:rsidP="00EF1133">
      <w:pPr>
        <w:pStyle w:val="NoSpacing"/>
        <w:rPr>
          <w:rFonts w:ascii="Arial Black" w:hAnsi="Arial Black"/>
          <w:sz w:val="24"/>
          <w:szCs w:val="24"/>
        </w:rPr>
      </w:pPr>
    </w:p>
    <w:p w14:paraId="7B4F6DC2" w14:textId="042AFCC8" w:rsidR="00C9355B" w:rsidRDefault="00C9355B" w:rsidP="00EF1133">
      <w:pPr>
        <w:pStyle w:val="NoSpacing"/>
        <w:rPr>
          <w:rFonts w:ascii="Arial Black" w:hAnsi="Arial Black"/>
          <w:sz w:val="24"/>
          <w:szCs w:val="24"/>
        </w:rPr>
      </w:pPr>
      <w:r>
        <w:rPr>
          <w:rFonts w:ascii="Arial Black" w:hAnsi="Arial Black"/>
          <w:sz w:val="24"/>
          <w:szCs w:val="24"/>
        </w:rPr>
        <w:t>2-26</w:t>
      </w:r>
    </w:p>
    <w:p w14:paraId="181DDE5E" w14:textId="4CE88308" w:rsidR="00C9355B" w:rsidRDefault="00C9355B" w:rsidP="00EF1133">
      <w:pPr>
        <w:pStyle w:val="NoSpacing"/>
        <w:rPr>
          <w:rFonts w:ascii="Arial Black" w:hAnsi="Arial Black"/>
          <w:sz w:val="24"/>
          <w:szCs w:val="24"/>
        </w:rPr>
      </w:pPr>
    </w:p>
    <w:p w14:paraId="67BAB4E4" w14:textId="77777777" w:rsidR="00C9355B" w:rsidRDefault="00C9355B" w:rsidP="00C9355B">
      <w:pPr>
        <w:pStyle w:val="NoSpacing"/>
        <w:rPr>
          <w:rFonts w:ascii="Arial Black" w:hAnsi="Arial Black"/>
          <w:b/>
          <w:bCs/>
          <w:sz w:val="28"/>
          <w:szCs w:val="28"/>
        </w:rPr>
      </w:pPr>
      <w:r w:rsidRPr="00F90324">
        <w:rPr>
          <w:rFonts w:ascii="Arial Black" w:hAnsi="Arial Black"/>
          <w:bCs/>
          <w:sz w:val="28"/>
          <w:szCs w:val="28"/>
        </w:rPr>
        <w:t xml:space="preserve">LA: </w:t>
      </w:r>
      <w:r>
        <w:rPr>
          <w:rFonts w:ascii="Arial Black" w:hAnsi="Arial Black"/>
          <w:bCs/>
          <w:sz w:val="28"/>
          <w:szCs w:val="28"/>
        </w:rPr>
        <w:t>OFFICER INJURED - “BLACK LIVES” PROTEST – SUING PROTEST LEADER – TOUGH CASE TO WIN / FIREMAN’S RULE</w:t>
      </w:r>
    </w:p>
    <w:p w14:paraId="00BA7CE7" w14:textId="77777777" w:rsidR="00C9355B" w:rsidRDefault="00C9355B" w:rsidP="00C9355B">
      <w:pPr>
        <w:pStyle w:val="NoSpacing"/>
        <w:rPr>
          <w:b/>
          <w:bCs/>
          <w:sz w:val="24"/>
          <w:szCs w:val="24"/>
        </w:rPr>
      </w:pPr>
    </w:p>
    <w:p w14:paraId="0D5656E1" w14:textId="77777777" w:rsidR="00C9355B" w:rsidRDefault="00C9355B" w:rsidP="00C9355B">
      <w:pPr>
        <w:pStyle w:val="NoSpacing"/>
        <w:rPr>
          <w:rFonts w:ascii="Times New Roman" w:hAnsi="Times New Roman"/>
          <w:bCs/>
          <w:sz w:val="24"/>
          <w:szCs w:val="24"/>
        </w:rPr>
      </w:pPr>
      <w:r w:rsidRPr="00695030">
        <w:rPr>
          <w:rFonts w:ascii="Times New Roman" w:hAnsi="Times New Roman"/>
          <w:bCs/>
          <w:sz w:val="24"/>
          <w:szCs w:val="24"/>
        </w:rPr>
        <w:t xml:space="preserve">On Jan. 28, 2020, in </w:t>
      </w:r>
      <w:r w:rsidRPr="00695030">
        <w:rPr>
          <w:rFonts w:ascii="Times New Roman" w:hAnsi="Times New Roman"/>
          <w:bCs/>
          <w:sz w:val="24"/>
          <w:szCs w:val="24"/>
          <w:u w:val="single"/>
        </w:rPr>
        <w:t>Officer John Doe v. Deray McKesson; Black Lives Matter</w:t>
      </w:r>
      <w:r w:rsidRPr="00695030">
        <w:rPr>
          <w:rFonts w:ascii="Times New Roman" w:hAnsi="Times New Roman"/>
          <w:bCs/>
          <w:sz w:val="24"/>
          <w:szCs w:val="24"/>
        </w:rPr>
        <w:t>, the U.S. Court of Appeals for 5</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(New Orleans), declined to hear the appeal </w:t>
      </w:r>
      <w:proofErr w:type="spellStart"/>
      <w:r w:rsidRPr="00695030">
        <w:rPr>
          <w:rFonts w:ascii="Times New Roman" w:hAnsi="Times New Roman"/>
          <w:bCs/>
          <w:sz w:val="24"/>
          <w:szCs w:val="24"/>
        </w:rPr>
        <w:t>en</w:t>
      </w:r>
      <w:proofErr w:type="spellEnd"/>
      <w:r w:rsidRPr="00695030">
        <w:rPr>
          <w:rFonts w:ascii="Times New Roman" w:hAnsi="Times New Roman"/>
          <w:bCs/>
          <w:sz w:val="24"/>
          <w:szCs w:val="24"/>
        </w:rPr>
        <w:t xml:space="preserve"> banc (by all 16 Circuit Court judges (on a tie vote of 8 to 8).   Dec. 16, </w:t>
      </w:r>
      <w:proofErr w:type="gramStart"/>
      <w:r w:rsidRPr="00695030">
        <w:rPr>
          <w:rFonts w:ascii="Times New Roman" w:hAnsi="Times New Roman"/>
          <w:bCs/>
          <w:sz w:val="24"/>
          <w:szCs w:val="24"/>
        </w:rPr>
        <w:t>2019</w:t>
      </w:r>
      <w:proofErr w:type="gramEnd"/>
      <w:r w:rsidRPr="00695030">
        <w:rPr>
          <w:rFonts w:ascii="Times New Roman" w:hAnsi="Times New Roman"/>
          <w:bCs/>
          <w:sz w:val="24"/>
          <w:szCs w:val="24"/>
        </w:rPr>
        <w:t xml:space="preserve"> decision by 3-judge panel held (2 to 1) that the police officer’s lawsuit against the protest organizer, </w:t>
      </w:r>
    </w:p>
    <w:p w14:paraId="444FA89E" w14:textId="77777777" w:rsidR="00C9355B" w:rsidRDefault="00C9355B" w:rsidP="00C9355B">
      <w:pPr>
        <w:pStyle w:val="NoSpacing"/>
        <w:rPr>
          <w:rFonts w:ascii="Times New Roman" w:hAnsi="Times New Roman"/>
          <w:bCs/>
          <w:sz w:val="24"/>
          <w:szCs w:val="24"/>
        </w:rPr>
      </w:pPr>
    </w:p>
    <w:p w14:paraId="3F048130" w14:textId="77777777" w:rsidR="00C9355B" w:rsidRPr="00695030" w:rsidRDefault="00C9355B" w:rsidP="00C9355B">
      <w:pPr>
        <w:pStyle w:val="NoSpacing"/>
        <w:rPr>
          <w:rFonts w:ascii="Times New Roman" w:hAnsi="Times New Roman"/>
          <w:b/>
          <w:bCs/>
          <w:sz w:val="24"/>
          <w:szCs w:val="24"/>
        </w:rPr>
      </w:pPr>
      <w:proofErr w:type="gramStart"/>
      <w:r w:rsidRPr="00695030">
        <w:rPr>
          <w:rFonts w:ascii="Times New Roman" w:hAnsi="Times New Roman"/>
          <w:bCs/>
          <w:sz w:val="24"/>
          <w:szCs w:val="24"/>
        </w:rPr>
        <w:t>Deray McKesson,</w:t>
      </w:r>
      <w:proofErr w:type="gramEnd"/>
      <w:r w:rsidRPr="00695030">
        <w:rPr>
          <w:rFonts w:ascii="Times New Roman" w:hAnsi="Times New Roman"/>
          <w:bCs/>
          <w:sz w:val="24"/>
          <w:szCs w:val="24"/>
        </w:rPr>
        <w:t xml:space="preserve"> would be reinstated and </w:t>
      </w:r>
      <w:proofErr w:type="gramStart"/>
      <w:r w:rsidRPr="00695030">
        <w:rPr>
          <w:rFonts w:ascii="Times New Roman" w:hAnsi="Times New Roman"/>
          <w:bCs/>
          <w:sz w:val="24"/>
          <w:szCs w:val="24"/>
        </w:rPr>
        <w:t>remanded</w:t>
      </w:r>
      <w:proofErr w:type="gramEnd"/>
      <w:r w:rsidRPr="00695030">
        <w:rPr>
          <w:rFonts w:ascii="Times New Roman" w:hAnsi="Times New Roman"/>
          <w:bCs/>
          <w:sz w:val="24"/>
          <w:szCs w:val="24"/>
        </w:rPr>
        <w:t xml:space="preserve"> to trial judge.  In the Dec. 16, </w:t>
      </w:r>
      <w:proofErr w:type="gramStart"/>
      <w:r w:rsidRPr="00695030">
        <w:rPr>
          <w:rFonts w:ascii="Times New Roman" w:hAnsi="Times New Roman"/>
          <w:bCs/>
          <w:sz w:val="24"/>
          <w:szCs w:val="24"/>
        </w:rPr>
        <w:t>2020</w:t>
      </w:r>
      <w:proofErr w:type="gramEnd"/>
      <w:r w:rsidRPr="00695030">
        <w:rPr>
          <w:rFonts w:ascii="Times New Roman" w:hAnsi="Times New Roman"/>
          <w:bCs/>
          <w:sz w:val="24"/>
          <w:szCs w:val="24"/>
        </w:rPr>
        <w:t xml:space="preserve"> decision, Circuit Judge E. Grady Loll wrote:   </w:t>
      </w:r>
    </w:p>
    <w:p w14:paraId="2ADCF10B" w14:textId="77777777" w:rsidR="00C9355B" w:rsidRPr="00695030" w:rsidRDefault="00C9355B" w:rsidP="00C9355B">
      <w:pPr>
        <w:pStyle w:val="NoSpacing"/>
        <w:rPr>
          <w:rFonts w:ascii="Times New Roman" w:hAnsi="Times New Roman"/>
          <w:b/>
          <w:bCs/>
          <w:sz w:val="24"/>
          <w:szCs w:val="24"/>
        </w:rPr>
      </w:pPr>
    </w:p>
    <w:p w14:paraId="79180E55" w14:textId="77777777" w:rsidR="00C9355B" w:rsidRPr="00695030" w:rsidRDefault="00C9355B" w:rsidP="00C9355B">
      <w:pPr>
        <w:pStyle w:val="NoSpacing"/>
        <w:ind w:left="720"/>
        <w:rPr>
          <w:rFonts w:ascii="Times New Roman" w:eastAsia="Times New Roman" w:hAnsi="Times New Roman"/>
          <w:b/>
          <w:bCs/>
          <w:sz w:val="24"/>
          <w:szCs w:val="24"/>
        </w:rPr>
      </w:pPr>
      <w:r w:rsidRPr="00695030">
        <w:rPr>
          <w:rFonts w:ascii="Times New Roman" w:eastAsia="Times New Roman" w:hAnsi="Times New Roman"/>
          <w:bCs/>
          <w:sz w:val="24"/>
          <w:szCs w:val="24"/>
        </w:rPr>
        <w:t>“</w:t>
      </w:r>
      <w:r w:rsidRPr="00695030">
        <w:rPr>
          <w:rFonts w:ascii="Times New Roman" w:hAnsi="Times New Roman"/>
          <w:bCs/>
          <w:sz w:val="24"/>
          <w:szCs w:val="24"/>
        </w:rPr>
        <w:t xml:space="preserve">We first note that this case comes before us from a dismissal on the pleadings alone. In this context, we find that Officer Doe has plausibly alleged that Mckesson breached his duty of reasonable care </w:t>
      </w:r>
      <w:proofErr w:type="gramStart"/>
      <w:r w:rsidRPr="00695030">
        <w:rPr>
          <w:rFonts w:ascii="Times New Roman" w:hAnsi="Times New Roman"/>
          <w:bCs/>
          <w:sz w:val="24"/>
          <w:szCs w:val="24"/>
        </w:rPr>
        <w:t>in the course of</w:t>
      </w:r>
      <w:proofErr w:type="gramEnd"/>
      <w:r w:rsidRPr="00695030">
        <w:rPr>
          <w:rFonts w:ascii="Times New Roman" w:hAnsi="Times New Roman"/>
          <w:bCs/>
          <w:sz w:val="24"/>
          <w:szCs w:val="24"/>
        </w:rPr>
        <w:t xml:space="preserve"> organizing and leading the Baton Rouge demonstration. The complaint alleges that Mckesson planned to block a public highway as part of the protest. And the complaint specifically alleges that Mckesson </w:t>
      </w:r>
      <w:proofErr w:type="gramStart"/>
      <w:r w:rsidRPr="00695030">
        <w:rPr>
          <w:rFonts w:ascii="Times New Roman" w:hAnsi="Times New Roman"/>
          <w:bCs/>
          <w:sz w:val="24"/>
          <w:szCs w:val="24"/>
        </w:rPr>
        <w:t>was in charge of</w:t>
      </w:r>
      <w:proofErr w:type="gramEnd"/>
      <w:r w:rsidRPr="00695030">
        <w:rPr>
          <w:rFonts w:ascii="Times New Roman" w:hAnsi="Times New Roman"/>
          <w:bCs/>
          <w:sz w:val="24"/>
          <w:szCs w:val="24"/>
        </w:rPr>
        <w:t xml:space="preserve"> the protests and was seen and heard giving orders throughout the day and night of the protests. Blocking a public highway is a criminal act under Louisiana law. See La. Rev. Stat. Ann. § 14:97. Indeed, the complaint alleges that Mckesson himself was arrested during the demonstration. It was patently foreseeable that the Baton Rouge police would be required to respond to the demonstration by clearing the highway and, when necessary, making arrests. Given the intentional lawlessness of this aspect of the demonstration, Mckesson should have known that leading the demonstrators onto a busy highway was likely to provoke a confrontation between police and the mass of demonstrators, yet he ignored the foreseeable danger to officers, bystanders, and demonstrators, and notwithstanding, did so anyway.”  </w:t>
      </w:r>
      <w:hyperlink r:id="rId599" w:history="1">
        <w:r w:rsidRPr="00695030">
          <w:rPr>
            <w:rStyle w:val="Hyperlink"/>
            <w:rFonts w:ascii="Times New Roman" w:hAnsi="Times New Roman"/>
            <w:b/>
            <w:sz w:val="24"/>
            <w:szCs w:val="24"/>
          </w:rPr>
          <w:t>http://www.ca5.uscourts.gov/opinions/pub/17/17-30864-CV1.pdf</w:t>
        </w:r>
      </w:hyperlink>
      <w:r w:rsidRPr="00695030">
        <w:rPr>
          <w:rFonts w:ascii="Times New Roman" w:hAnsi="Times New Roman"/>
          <w:bCs/>
          <w:sz w:val="24"/>
          <w:szCs w:val="24"/>
        </w:rPr>
        <w:t xml:space="preserve"> </w:t>
      </w:r>
    </w:p>
    <w:p w14:paraId="070AF6AA" w14:textId="77777777" w:rsidR="00C9355B" w:rsidRDefault="00C9355B" w:rsidP="00C9355B">
      <w:pPr>
        <w:pStyle w:val="NoSpacing"/>
        <w:rPr>
          <w:rFonts w:ascii="Times New Roman" w:hAnsi="Times New Roman"/>
          <w:b/>
          <w:bCs/>
          <w:sz w:val="24"/>
          <w:szCs w:val="24"/>
        </w:rPr>
      </w:pPr>
    </w:p>
    <w:p w14:paraId="1ED0DB47" w14:textId="6417FB27" w:rsidR="00C9355B" w:rsidRPr="00695030" w:rsidRDefault="00C9355B" w:rsidP="00C9355B">
      <w:pPr>
        <w:pStyle w:val="NoSpacing"/>
        <w:rPr>
          <w:rFonts w:ascii="Times New Roman" w:hAnsi="Times New Roman"/>
          <w:sz w:val="24"/>
          <w:szCs w:val="24"/>
        </w:rPr>
      </w:pPr>
      <w:r w:rsidRPr="00695030">
        <w:rPr>
          <w:rFonts w:ascii="Times New Roman" w:hAnsi="Times New Roman"/>
          <w:b/>
          <w:bCs/>
          <w:sz w:val="24"/>
          <w:szCs w:val="24"/>
        </w:rPr>
        <w:t>Legal Lessons Learned:  On remand, the police officer has an “uphill battle” to overcome the Professional Rescuer Doctrine [also known as the Fireman’s Rule].</w:t>
      </w:r>
      <w:r w:rsidRPr="00695030">
        <w:rPr>
          <w:rFonts w:ascii="Times New Roman" w:hAnsi="Times New Roman"/>
          <w:sz w:val="24"/>
          <w:szCs w:val="24"/>
        </w:rPr>
        <w:t xml:space="preserve">   See dissent by Circuit Judge James C. Ho, in the Jan. 28, </w:t>
      </w:r>
      <w:proofErr w:type="gramStart"/>
      <w:r w:rsidRPr="00695030">
        <w:rPr>
          <w:rFonts w:ascii="Times New Roman" w:hAnsi="Times New Roman"/>
          <w:sz w:val="24"/>
          <w:szCs w:val="24"/>
        </w:rPr>
        <w:t>2020</w:t>
      </w:r>
      <w:proofErr w:type="gramEnd"/>
      <w:r w:rsidRPr="00695030">
        <w:rPr>
          <w:rFonts w:ascii="Times New Roman" w:hAnsi="Times New Roman"/>
          <w:sz w:val="24"/>
          <w:szCs w:val="24"/>
        </w:rPr>
        <w:t xml:space="preserve"> decision of 5</w:t>
      </w:r>
      <w:r w:rsidRPr="00695030">
        <w:rPr>
          <w:rFonts w:ascii="Times New Roman" w:hAnsi="Times New Roman"/>
          <w:sz w:val="24"/>
          <w:szCs w:val="24"/>
          <w:vertAlign w:val="superscript"/>
        </w:rPr>
        <w:t>th</w:t>
      </w:r>
      <w:r w:rsidRPr="00695030">
        <w:rPr>
          <w:rFonts w:ascii="Times New Roman" w:hAnsi="Times New Roman"/>
          <w:sz w:val="24"/>
          <w:szCs w:val="24"/>
        </w:rPr>
        <w:t xml:space="preserve"> Circuit (on tie vote of 8 to 8) to not rehear the case </w:t>
      </w:r>
      <w:proofErr w:type="spellStart"/>
      <w:r w:rsidRPr="00695030">
        <w:rPr>
          <w:rFonts w:ascii="Times New Roman" w:hAnsi="Times New Roman"/>
          <w:sz w:val="24"/>
          <w:szCs w:val="24"/>
        </w:rPr>
        <w:t>en</w:t>
      </w:r>
      <w:proofErr w:type="spellEnd"/>
      <w:r w:rsidRPr="00695030">
        <w:rPr>
          <w:rFonts w:ascii="Times New Roman" w:hAnsi="Times New Roman"/>
          <w:sz w:val="24"/>
          <w:szCs w:val="24"/>
        </w:rPr>
        <w:t xml:space="preserve"> banc. </w:t>
      </w:r>
    </w:p>
    <w:p w14:paraId="4D78FC86" w14:textId="77777777" w:rsidR="00C9355B" w:rsidRPr="00695030" w:rsidRDefault="00C9355B" w:rsidP="00C9355B">
      <w:pPr>
        <w:pStyle w:val="NoSpacing"/>
        <w:ind w:left="720"/>
        <w:rPr>
          <w:rFonts w:ascii="Times New Roman" w:hAnsi="Times New Roman"/>
          <w:b/>
          <w:bCs/>
          <w:sz w:val="24"/>
          <w:szCs w:val="24"/>
        </w:rPr>
      </w:pPr>
    </w:p>
    <w:p w14:paraId="357C7054"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 xml:space="preserve">“Police officers and firefighters dedicate their lives to protecting others, often putting themselves in harm’s way. These are difficult and dangerous jobs, and citizens owe a debt of gratitude to those who are willing and able to perform them. What’s more, police officers and firefighters assume the risk that they may </w:t>
      </w:r>
      <w:proofErr w:type="spellStart"/>
      <w:r w:rsidRPr="00695030">
        <w:rPr>
          <w:rFonts w:ascii="Times New Roman" w:hAnsi="Times New Roman"/>
          <w:bCs/>
          <w:sz w:val="24"/>
          <w:szCs w:val="24"/>
        </w:rPr>
        <w:t>bissent</w:t>
      </w:r>
      <w:proofErr w:type="spellEnd"/>
      <w:r w:rsidRPr="00695030">
        <w:rPr>
          <w:rFonts w:ascii="Times New Roman" w:hAnsi="Times New Roman"/>
          <w:bCs/>
          <w:sz w:val="24"/>
          <w:szCs w:val="24"/>
        </w:rPr>
        <w:t xml:space="preserve"> e injured in the line of duty. </w:t>
      </w:r>
      <w:proofErr w:type="gramStart"/>
      <w:r w:rsidRPr="00695030">
        <w:rPr>
          <w:rFonts w:ascii="Times New Roman" w:hAnsi="Times New Roman"/>
          <w:bCs/>
          <w:sz w:val="24"/>
          <w:szCs w:val="24"/>
        </w:rPr>
        <w:t>So</w:t>
      </w:r>
      <w:proofErr w:type="gramEnd"/>
      <w:r w:rsidRPr="00695030">
        <w:rPr>
          <w:rFonts w:ascii="Times New Roman" w:hAnsi="Times New Roman"/>
          <w:bCs/>
          <w:sz w:val="24"/>
          <w:szCs w:val="24"/>
        </w:rPr>
        <w:t xml:space="preserve"> they are not allowed to recover damages from those responsible for their injuries, under a common law rule known as the professional rescuer doctrine.</w:t>
      </w:r>
    </w:p>
    <w:p w14:paraId="01EE2395" w14:textId="77777777" w:rsidR="00C9355B" w:rsidRPr="00695030" w:rsidRDefault="00C9355B" w:rsidP="00C9355B">
      <w:pPr>
        <w:pStyle w:val="NoSpacing"/>
        <w:ind w:left="720"/>
        <w:rPr>
          <w:rFonts w:ascii="Times New Roman" w:hAnsi="Times New Roman"/>
          <w:b/>
          <w:bCs/>
          <w:sz w:val="24"/>
          <w:szCs w:val="24"/>
        </w:rPr>
      </w:pPr>
    </w:p>
    <w:p w14:paraId="27D7AF2C"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w:t>
      </w:r>
    </w:p>
    <w:p w14:paraId="1867ECA0" w14:textId="77777777" w:rsidR="00C9355B" w:rsidRPr="00695030" w:rsidRDefault="00C9355B" w:rsidP="00C9355B">
      <w:pPr>
        <w:pStyle w:val="NoSpacing"/>
        <w:ind w:left="720"/>
        <w:rPr>
          <w:rFonts w:ascii="Times New Roman" w:eastAsia="Times New Roman" w:hAnsi="Times New Roman"/>
          <w:b/>
          <w:sz w:val="24"/>
          <w:szCs w:val="24"/>
        </w:rPr>
      </w:pPr>
      <w:r w:rsidRPr="00695030">
        <w:rPr>
          <w:rFonts w:ascii="Times New Roman" w:hAnsi="Times New Roman"/>
          <w:bCs/>
          <w:sz w:val="24"/>
          <w:szCs w:val="24"/>
        </w:rPr>
        <w:t xml:space="preserve">Civil disobedience enjoys a rich tradition in our nation’s history. But there is a difference between civil disobedience—and civil disobedience without consequence…  Citizens may protest. But by protesting, the </w:t>
      </w:r>
      <w:proofErr w:type="gramStart"/>
      <w:r w:rsidRPr="00695030">
        <w:rPr>
          <w:rFonts w:ascii="Times New Roman" w:hAnsi="Times New Roman"/>
          <w:bCs/>
          <w:sz w:val="24"/>
          <w:szCs w:val="24"/>
        </w:rPr>
        <w:t>citizen does</w:t>
      </w:r>
      <w:proofErr w:type="gramEnd"/>
      <w:r w:rsidRPr="00695030">
        <w:rPr>
          <w:rFonts w:ascii="Times New Roman" w:hAnsi="Times New Roman"/>
          <w:bCs/>
          <w:sz w:val="24"/>
          <w:szCs w:val="24"/>
        </w:rPr>
        <w:t xml:space="preserve"> not suddenly gain immunity to violate traffic rules or other laws that the rest of us are required to follow. The First Amendment protects protest, not trespass. That said, this lawsuit should not proceed for an entirely different reason—the professional rescuer doctrine. I trust the district court will faithfully apply that doctrine </w:t>
      </w:r>
      <w:proofErr w:type="gramStart"/>
      <w:r w:rsidRPr="00695030">
        <w:rPr>
          <w:rFonts w:ascii="Times New Roman" w:hAnsi="Times New Roman"/>
          <w:bCs/>
          <w:sz w:val="24"/>
          <w:szCs w:val="24"/>
        </w:rPr>
        <w:t>if and when</w:t>
      </w:r>
      <w:proofErr w:type="gramEnd"/>
      <w:r w:rsidRPr="00695030">
        <w:rPr>
          <w:rFonts w:ascii="Times New Roman" w:hAnsi="Times New Roman"/>
          <w:bCs/>
          <w:sz w:val="24"/>
          <w:szCs w:val="24"/>
        </w:rPr>
        <w:t xml:space="preserve"> Mckesson invokes it, and dismiss the suit on remand, just as it did before.” </w:t>
      </w:r>
      <w:r w:rsidRPr="00695030">
        <w:rPr>
          <w:rFonts w:ascii="Times New Roman" w:eastAsia="Times New Roman" w:hAnsi="Times New Roman"/>
          <w:bCs/>
          <w:sz w:val="24"/>
          <w:szCs w:val="24"/>
        </w:rPr>
        <w:t xml:space="preserve"> </w:t>
      </w:r>
      <w:hyperlink r:id="rId600" w:history="1">
        <w:r w:rsidRPr="00695030">
          <w:rPr>
            <w:rStyle w:val="Hyperlink"/>
            <w:rFonts w:ascii="Times New Roman" w:hAnsi="Times New Roman"/>
            <w:b/>
            <w:sz w:val="24"/>
            <w:szCs w:val="24"/>
          </w:rPr>
          <w:t>http://www.ca5.uscourts.gov/opinions/pub/17/17-30864-CV2.pdf</w:t>
        </w:r>
      </w:hyperlink>
      <w:r w:rsidRPr="00695030">
        <w:rPr>
          <w:rFonts w:ascii="Times New Roman" w:eastAsia="Times New Roman" w:hAnsi="Times New Roman"/>
          <w:sz w:val="24"/>
          <w:szCs w:val="24"/>
        </w:rPr>
        <w:t xml:space="preserve"> </w:t>
      </w:r>
    </w:p>
    <w:p w14:paraId="65ED8519" w14:textId="77777777" w:rsidR="00C9355B" w:rsidRPr="00695030" w:rsidRDefault="00C9355B" w:rsidP="00C9355B">
      <w:pPr>
        <w:spacing w:before="100" w:beforeAutospacing="1" w:after="100" w:afterAutospacing="1"/>
        <w:ind w:left="720"/>
        <w:rPr>
          <w:rFonts w:ascii="Times New Roman" w:eastAsia="Times New Roman" w:hAnsi="Times New Roman"/>
          <w:b/>
          <w:bCs/>
          <w:sz w:val="24"/>
          <w:szCs w:val="24"/>
        </w:rPr>
      </w:pPr>
      <w:r w:rsidRPr="00695030">
        <w:rPr>
          <w:rFonts w:ascii="Times New Roman" w:eastAsia="Times New Roman" w:hAnsi="Times New Roman"/>
          <w:bCs/>
          <w:sz w:val="24"/>
          <w:szCs w:val="24"/>
        </w:rPr>
        <w:t xml:space="preserve">See also the ALCU’s petition requesting U.S. Supreme Court to hear the case:  </w:t>
      </w:r>
      <w:hyperlink r:id="rId601" w:history="1">
        <w:r w:rsidRPr="00695030">
          <w:rPr>
            <w:rStyle w:val="Hyperlink"/>
            <w:rFonts w:ascii="Times New Roman" w:hAnsi="Times New Roman"/>
            <w:b/>
            <w:sz w:val="24"/>
            <w:szCs w:val="24"/>
          </w:rPr>
          <w:t>https://www.aclu.org/sites/default/files/field_document/mckesson_v_doe_cert_petn_and_appendix.pdf</w:t>
        </w:r>
      </w:hyperlink>
      <w:r w:rsidRPr="00695030">
        <w:rPr>
          <w:rFonts w:ascii="Times New Roman" w:eastAsia="Times New Roman" w:hAnsi="Times New Roman"/>
          <w:bCs/>
          <w:sz w:val="24"/>
          <w:szCs w:val="24"/>
        </w:rPr>
        <w:t xml:space="preserve"> </w:t>
      </w:r>
    </w:p>
    <w:p w14:paraId="0EF79D4E" w14:textId="4C5A732E" w:rsidR="00C9355B" w:rsidRDefault="00C9355B" w:rsidP="00EF1133">
      <w:pPr>
        <w:pStyle w:val="NoSpacing"/>
        <w:rPr>
          <w:rFonts w:ascii="Arial Black" w:hAnsi="Arial Black"/>
          <w:sz w:val="24"/>
          <w:szCs w:val="24"/>
        </w:rPr>
      </w:pPr>
    </w:p>
    <w:p w14:paraId="45018E3E" w14:textId="0C7943D2" w:rsidR="00C9355B" w:rsidRDefault="00C9355B" w:rsidP="00EF1133">
      <w:pPr>
        <w:pStyle w:val="NoSpacing"/>
        <w:rPr>
          <w:rFonts w:ascii="Arial Black" w:hAnsi="Arial Black"/>
          <w:sz w:val="24"/>
          <w:szCs w:val="24"/>
        </w:rPr>
      </w:pPr>
      <w:r>
        <w:rPr>
          <w:rFonts w:ascii="Arial Black" w:hAnsi="Arial Black"/>
          <w:sz w:val="24"/>
          <w:szCs w:val="24"/>
        </w:rPr>
        <w:t>2-25</w:t>
      </w:r>
    </w:p>
    <w:p w14:paraId="773CEC28" w14:textId="77777777" w:rsidR="00C9355B" w:rsidRPr="00231496" w:rsidRDefault="00C9355B" w:rsidP="00C9355B">
      <w:pPr>
        <w:spacing w:before="100" w:beforeAutospacing="1" w:after="100" w:afterAutospacing="1"/>
        <w:rPr>
          <w:rFonts w:ascii="Arial Black" w:eastAsia="Times New Roman" w:hAnsi="Arial Black"/>
          <w:b/>
          <w:bCs/>
          <w:sz w:val="28"/>
          <w:szCs w:val="28"/>
        </w:rPr>
      </w:pPr>
      <w:bookmarkStart w:id="109" w:name="_Hlk39818125"/>
      <w:r w:rsidRPr="00231496">
        <w:rPr>
          <w:rFonts w:ascii="Arial Black" w:eastAsia="Times New Roman" w:hAnsi="Arial Black"/>
          <w:bCs/>
          <w:sz w:val="28"/>
          <w:szCs w:val="28"/>
        </w:rPr>
        <w:t xml:space="preserve">TX: </w:t>
      </w:r>
      <w:r>
        <w:rPr>
          <w:rFonts w:ascii="Arial Black" w:eastAsia="Times New Roman" w:hAnsi="Arial Black"/>
          <w:bCs/>
          <w:sz w:val="28"/>
          <w:szCs w:val="28"/>
        </w:rPr>
        <w:t xml:space="preserve">FF / BAPTIST MINISTER – OBJECTED TO TETANUS VACCINATION – DECLINED INSPECTOR JOB - FIRED </w:t>
      </w:r>
    </w:p>
    <w:p w14:paraId="6DEC8938" w14:textId="010A3488"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9, 2020, in </w:t>
      </w:r>
      <w:r w:rsidRPr="00695030">
        <w:rPr>
          <w:rFonts w:ascii="Times New Roman" w:hAnsi="Times New Roman"/>
          <w:bCs/>
          <w:sz w:val="24"/>
          <w:szCs w:val="24"/>
          <w:u w:val="single"/>
        </w:rPr>
        <w:t>Brett Horvath v. City of Leander, Texas</w:t>
      </w:r>
      <w:r w:rsidRPr="00695030">
        <w:rPr>
          <w:rFonts w:ascii="Times New Roman" w:hAnsi="Times New Roman"/>
          <w:bCs/>
          <w:sz w:val="24"/>
          <w:szCs w:val="24"/>
        </w:rPr>
        <w:t>, the U.S. Court of Appeals for the 5</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(New Orleans), held (3 to 0) that U.S. District Court properly granted the city’s motion for summary judgment.  The firefighter was offered transfer from </w:t>
      </w:r>
      <w:proofErr w:type="gramStart"/>
      <w:r w:rsidRPr="00695030">
        <w:rPr>
          <w:rFonts w:ascii="Times New Roman" w:hAnsi="Times New Roman"/>
          <w:bCs/>
          <w:sz w:val="24"/>
          <w:szCs w:val="24"/>
        </w:rPr>
        <w:t>24/48</w:t>
      </w:r>
      <w:r>
        <w:rPr>
          <w:rFonts w:ascii="Times New Roman" w:hAnsi="Times New Roman"/>
          <w:bCs/>
          <w:sz w:val="24"/>
          <w:szCs w:val="24"/>
        </w:rPr>
        <w:t xml:space="preserve"> </w:t>
      </w:r>
      <w:r w:rsidRPr="00695030">
        <w:rPr>
          <w:rFonts w:ascii="Times New Roman" w:hAnsi="Times New Roman"/>
          <w:bCs/>
          <w:sz w:val="24"/>
          <w:szCs w:val="24"/>
        </w:rPr>
        <w:t>hour</w:t>
      </w:r>
      <w:proofErr w:type="gramEnd"/>
      <w:r w:rsidRPr="00695030">
        <w:rPr>
          <w:rFonts w:ascii="Times New Roman" w:hAnsi="Times New Roman"/>
          <w:bCs/>
          <w:sz w:val="24"/>
          <w:szCs w:val="24"/>
        </w:rPr>
        <w:t xml:space="preserve"> driver / pump operator, to 40-hour code enforcement position; he rejected this since he ran construction company while off duty.  </w:t>
      </w:r>
    </w:p>
    <w:p w14:paraId="26590ECC" w14:textId="77777777" w:rsidR="00C9355B" w:rsidRPr="00695030" w:rsidRDefault="00C9355B" w:rsidP="00C9355B">
      <w:pPr>
        <w:pStyle w:val="NoSpacing"/>
        <w:rPr>
          <w:rFonts w:ascii="Times New Roman" w:hAnsi="Times New Roman"/>
          <w:b/>
          <w:bCs/>
          <w:sz w:val="24"/>
          <w:szCs w:val="24"/>
        </w:rPr>
      </w:pPr>
    </w:p>
    <w:p w14:paraId="41997FDA"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sz w:val="24"/>
          <w:szCs w:val="24"/>
        </w:rPr>
        <w:t xml:space="preserve">“In 2016, the Fire Department began requiring TDAP [Tetanus, Diphtheria, Pertussis Vaccine] vaccinations, to which Horvath objected on religious grounds. He was given a choice between two accommodations: transfer to a code enforcement job that did not require a vaccination, or wear a respirator mask during his shifts, keep a log of his temperature, and submit to additional medical testing. </w:t>
      </w:r>
      <w:r w:rsidRPr="00695030">
        <w:rPr>
          <w:rFonts w:ascii="Times New Roman" w:hAnsi="Times New Roman"/>
          <w:bCs/>
          <w:sz w:val="24"/>
          <w:szCs w:val="24"/>
        </w:rPr>
        <w:t xml:space="preserve">He did not accept either accommodation </w:t>
      </w:r>
      <w:proofErr w:type="gramStart"/>
      <w:r w:rsidRPr="00695030">
        <w:rPr>
          <w:rFonts w:ascii="Times New Roman" w:hAnsi="Times New Roman"/>
          <w:bCs/>
          <w:sz w:val="24"/>
          <w:szCs w:val="24"/>
        </w:rPr>
        <w:t>and</w:t>
      </w:r>
      <w:proofErr w:type="gramEnd"/>
      <w:r w:rsidRPr="00695030">
        <w:rPr>
          <w:rFonts w:ascii="Times New Roman" w:hAnsi="Times New Roman"/>
          <w:bCs/>
          <w:sz w:val="24"/>
          <w:szCs w:val="24"/>
        </w:rPr>
        <w:t xml:space="preserve"> was fired by Fire Chief Bill Gardner for insubordination.</w:t>
      </w:r>
    </w:p>
    <w:p w14:paraId="38CA9C92" w14:textId="77777777" w:rsidR="00C9355B" w:rsidRPr="00695030" w:rsidRDefault="00C9355B" w:rsidP="00C9355B">
      <w:pPr>
        <w:pStyle w:val="NoSpacing"/>
        <w:ind w:left="720"/>
        <w:rPr>
          <w:rFonts w:ascii="Times New Roman" w:hAnsi="Times New Roman"/>
          <w:b/>
          <w:bCs/>
          <w:sz w:val="24"/>
          <w:szCs w:val="24"/>
        </w:rPr>
      </w:pPr>
    </w:p>
    <w:p w14:paraId="4FE566BA"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w:t>
      </w:r>
    </w:p>
    <w:p w14:paraId="2EA2D7AC"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 xml:space="preserve">The City argues that its legitimate, non-discriminatory reason for Horvath’s termination was his defiance of a direct order by failing to select an accommodation to the TDAP vaccine policy. The district court found that ‘Horvath was terminated not for engaging in protected activity by opposing a discriminatory practice in a letter, but for failing to comply with a directive that conflicted with his religious beliefs.’ We agree.” </w:t>
      </w:r>
      <w:hyperlink r:id="rId602" w:history="1">
        <w:r w:rsidRPr="00695030">
          <w:rPr>
            <w:rStyle w:val="Hyperlink"/>
            <w:rFonts w:ascii="Times New Roman" w:hAnsi="Times New Roman"/>
            <w:b/>
            <w:sz w:val="24"/>
            <w:szCs w:val="24"/>
          </w:rPr>
          <w:t>http://www.ca5.uscourts.gov/opinions/pub/18/18-51011-CV0.pdf</w:t>
        </w:r>
      </w:hyperlink>
      <w:r w:rsidRPr="00695030">
        <w:rPr>
          <w:rFonts w:ascii="Times New Roman" w:hAnsi="Times New Roman"/>
          <w:bCs/>
          <w:sz w:val="24"/>
          <w:szCs w:val="24"/>
        </w:rPr>
        <w:t xml:space="preserve"> </w:t>
      </w:r>
    </w:p>
    <w:p w14:paraId="496AE991" w14:textId="77777777" w:rsidR="00C9355B" w:rsidRDefault="00C9355B" w:rsidP="00C9355B">
      <w:pPr>
        <w:pStyle w:val="NoSpacing"/>
        <w:rPr>
          <w:rFonts w:ascii="Times New Roman" w:hAnsi="Times New Roman"/>
          <w:b/>
          <w:bCs/>
          <w:sz w:val="24"/>
          <w:szCs w:val="24"/>
        </w:rPr>
      </w:pPr>
    </w:p>
    <w:bookmarkEnd w:id="109"/>
    <w:p w14:paraId="6EE26596" w14:textId="7E6024A6"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The FD offered </w:t>
      </w:r>
      <w:proofErr w:type="gramStart"/>
      <w:r w:rsidRPr="00695030">
        <w:rPr>
          <w:rFonts w:ascii="Times New Roman" w:hAnsi="Times New Roman"/>
          <w:b/>
          <w:bCs/>
          <w:sz w:val="24"/>
          <w:szCs w:val="24"/>
        </w:rPr>
        <w:t>a reasonable</w:t>
      </w:r>
      <w:proofErr w:type="gramEnd"/>
      <w:r w:rsidRPr="00695030">
        <w:rPr>
          <w:rFonts w:ascii="Times New Roman" w:hAnsi="Times New Roman"/>
          <w:b/>
          <w:bCs/>
          <w:sz w:val="24"/>
          <w:szCs w:val="24"/>
        </w:rPr>
        <w:t xml:space="preserve"> accommodation. </w:t>
      </w:r>
    </w:p>
    <w:p w14:paraId="232B8E15" w14:textId="77777777" w:rsidR="00C9355B" w:rsidRDefault="00C9355B" w:rsidP="00EF1133">
      <w:pPr>
        <w:pStyle w:val="NoSpacing"/>
        <w:rPr>
          <w:rFonts w:ascii="Arial Black" w:hAnsi="Arial Black"/>
          <w:sz w:val="24"/>
          <w:szCs w:val="24"/>
        </w:rPr>
      </w:pPr>
    </w:p>
    <w:p w14:paraId="7E7B54C4" w14:textId="77777777" w:rsidR="00C9355B" w:rsidRDefault="00C9355B" w:rsidP="00EF1133">
      <w:pPr>
        <w:pStyle w:val="NoSpacing"/>
        <w:rPr>
          <w:rFonts w:ascii="Arial Black" w:hAnsi="Arial Black"/>
          <w:sz w:val="24"/>
          <w:szCs w:val="24"/>
        </w:rPr>
      </w:pPr>
    </w:p>
    <w:p w14:paraId="47FC28E7" w14:textId="7F9FC087" w:rsidR="00980EAD" w:rsidRDefault="00980EAD" w:rsidP="00EF1133">
      <w:pPr>
        <w:pStyle w:val="NoSpacing"/>
        <w:rPr>
          <w:rFonts w:ascii="Arial Black" w:hAnsi="Arial Black"/>
          <w:sz w:val="24"/>
          <w:szCs w:val="24"/>
        </w:rPr>
      </w:pPr>
      <w:r>
        <w:rPr>
          <w:rFonts w:ascii="Arial Black" w:hAnsi="Arial Black"/>
          <w:sz w:val="24"/>
          <w:szCs w:val="24"/>
        </w:rPr>
        <w:t>2-24</w:t>
      </w:r>
    </w:p>
    <w:p w14:paraId="67A3FDBA" w14:textId="1949C687" w:rsidR="00980EAD" w:rsidRDefault="00980EAD" w:rsidP="00EF1133">
      <w:pPr>
        <w:pStyle w:val="NoSpacing"/>
        <w:rPr>
          <w:rFonts w:ascii="Arial Black" w:hAnsi="Arial Black"/>
          <w:sz w:val="24"/>
          <w:szCs w:val="24"/>
        </w:rPr>
      </w:pPr>
    </w:p>
    <w:p w14:paraId="6776F59D" w14:textId="77777777" w:rsidR="00980EAD" w:rsidRDefault="00980EAD" w:rsidP="00980EAD">
      <w:pPr>
        <w:pStyle w:val="NoSpacing"/>
        <w:rPr>
          <w:rFonts w:ascii="Arial Black" w:hAnsi="Arial Black" w:cstheme="minorBidi"/>
          <w:sz w:val="28"/>
          <w:szCs w:val="28"/>
        </w:rPr>
      </w:pPr>
      <w:r>
        <w:rPr>
          <w:rFonts w:ascii="Arial Black" w:hAnsi="Arial Black"/>
          <w:sz w:val="28"/>
          <w:szCs w:val="28"/>
        </w:rPr>
        <w:t>NY:  FF WORKED WTC – HEART ATTACK / DROWNING – 7-YR APPEAL - MEDICAL BOARD “BAD FAITH”, NO SANCTIONS</w:t>
      </w:r>
    </w:p>
    <w:p w14:paraId="59B97162" w14:textId="77777777" w:rsidR="00980EAD" w:rsidRDefault="00980EAD" w:rsidP="00980EAD">
      <w:pPr>
        <w:pStyle w:val="NoSpacing"/>
        <w:rPr>
          <w:rFonts w:ascii="Arial Black" w:hAnsi="Arial Black"/>
          <w:sz w:val="28"/>
          <w:szCs w:val="28"/>
        </w:rPr>
      </w:pPr>
    </w:p>
    <w:p w14:paraId="3A3FA547" w14:textId="77777777" w:rsidR="00980EAD" w:rsidRDefault="00980EAD" w:rsidP="00980EAD">
      <w:pPr>
        <w:pStyle w:val="NoSpacing"/>
        <w:rPr>
          <w:rFonts w:ascii="Times New Roman" w:hAnsi="Times New Roman"/>
          <w:sz w:val="24"/>
          <w:szCs w:val="24"/>
        </w:rPr>
      </w:pPr>
      <w:r>
        <w:rPr>
          <w:rFonts w:ascii="Times New Roman" w:hAnsi="Times New Roman"/>
          <w:sz w:val="24"/>
          <w:szCs w:val="24"/>
        </w:rPr>
        <w:t xml:space="preserve">On Dec. 4, 2019, in </w:t>
      </w:r>
      <w:r>
        <w:rPr>
          <w:rFonts w:ascii="Times New Roman" w:hAnsi="Times New Roman"/>
          <w:sz w:val="24"/>
          <w:szCs w:val="24"/>
          <w:u w:val="single"/>
        </w:rPr>
        <w:t>Fernandez v. Nigro</w:t>
      </w:r>
      <w:r>
        <w:rPr>
          <w:rFonts w:ascii="Times New Roman" w:hAnsi="Times New Roman"/>
          <w:sz w:val="24"/>
          <w:szCs w:val="24"/>
        </w:rPr>
        <w:t xml:space="preserve">, the Supreme Court of New York / Appellate Division (Second Judicial Department), 2019 NY Slip Opinion 8672, held (3 to 0) that trial judge did not have authority to impose additional sanctions against the Fire Department for “bad faith” in denying benefits for seven years. </w:t>
      </w:r>
    </w:p>
    <w:p w14:paraId="36B4651E" w14:textId="77777777" w:rsidR="00980EAD" w:rsidRDefault="00980EAD" w:rsidP="00980EA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“The conduct at issue did not constitute conduct in the proceeding before the court and, therefore, sanctions were not authorized by 22 NYCRR 130-1.1. Further, an award of costs or the imposition of sanctions may be made only after a reasonable opportunity to be heard (see 22 NYCRR 130-1.1[d]). The Supreme Court's </w:t>
      </w:r>
      <w:proofErr w:type="spellStart"/>
      <w:r>
        <w:rPr>
          <w:rFonts w:ascii="Times New Roman" w:eastAsia="Times New Roman" w:hAnsi="Times New Roman"/>
          <w:sz w:val="24"/>
          <w:szCs w:val="24"/>
        </w:rPr>
        <w:t>sua</w:t>
      </w:r>
      <w:proofErr w:type="spellEnd"/>
      <w:r>
        <w:rPr>
          <w:rFonts w:ascii="Times New Roman" w:eastAsia="Times New Roman" w:hAnsi="Times New Roman"/>
          <w:sz w:val="24"/>
          <w:szCs w:val="24"/>
        </w:rPr>
        <w:t xml:space="preserve"> sponte determination to impose sanctions here was made without notice to the parties….Accordingly, the Supreme Court was without authority to impose sanctions, and the order must be reversed insofar as appealed from.” </w:t>
      </w:r>
      <w:hyperlink r:id="rId603" w:history="1">
        <w:r>
          <w:rPr>
            <w:rStyle w:val="Hyperlink"/>
            <w:rFonts w:ascii="Times New Roman" w:eastAsia="Times New Roman" w:hAnsi="Times New Roman"/>
            <w:sz w:val="24"/>
            <w:szCs w:val="24"/>
          </w:rPr>
          <w:t>https://law.justia.com/cases/new-york/appellate-division-second-department/2019/2016-10855.html</w:t>
        </w:r>
      </w:hyperlink>
      <w:r>
        <w:rPr>
          <w:rFonts w:ascii="Times New Roman" w:eastAsia="Times New Roman" w:hAnsi="Times New Roman"/>
          <w:sz w:val="24"/>
          <w:szCs w:val="24"/>
        </w:rPr>
        <w:t xml:space="preserve"> </w:t>
      </w:r>
    </w:p>
    <w:p w14:paraId="7F1C7BF4" w14:textId="77777777" w:rsidR="00980EAD" w:rsidRDefault="00980EAD" w:rsidP="00980EAD">
      <w:pPr>
        <w:pStyle w:val="NoSpacing"/>
        <w:rPr>
          <w:rFonts w:ascii="Times New Roman" w:hAnsi="Times New Roman"/>
          <w:sz w:val="24"/>
          <w:szCs w:val="24"/>
        </w:rPr>
      </w:pPr>
      <w:r>
        <w:rPr>
          <w:rFonts w:ascii="Times New Roman" w:hAnsi="Times New Roman"/>
          <w:b/>
          <w:bCs/>
          <w:sz w:val="24"/>
          <w:szCs w:val="24"/>
        </w:rPr>
        <w:t xml:space="preserve">Legal Lessons Learned: It is unfortunate the NY statute does not allow sanctions, when the trial judge finds that the family of the deceased firefighter was “plainly entitled under the relevant law” to accidental death benefits.   The pension is increased from one-half his salary (taxable) to three-quarters of his salary (tax-free), retroactive to August 23, 2007. </w:t>
      </w:r>
      <w:r>
        <w:rPr>
          <w:rFonts w:ascii="Times New Roman" w:hAnsi="Times New Roman"/>
          <w:sz w:val="24"/>
          <w:szCs w:val="24"/>
        </w:rPr>
        <w:t xml:space="preserve"> </w:t>
      </w:r>
    </w:p>
    <w:p w14:paraId="3E51E97B" w14:textId="02CC2B04" w:rsidR="00980EAD" w:rsidRDefault="00980EAD" w:rsidP="00EF1133">
      <w:pPr>
        <w:pStyle w:val="NoSpacing"/>
        <w:rPr>
          <w:rFonts w:ascii="Arial Black" w:hAnsi="Arial Black"/>
          <w:sz w:val="24"/>
          <w:szCs w:val="24"/>
        </w:rPr>
      </w:pPr>
    </w:p>
    <w:p w14:paraId="01F6E5C8" w14:textId="77777777" w:rsidR="00965872" w:rsidRDefault="00965872" w:rsidP="00EF1133">
      <w:pPr>
        <w:pStyle w:val="NoSpacing"/>
        <w:rPr>
          <w:rFonts w:ascii="Arial Black" w:hAnsi="Arial Black"/>
          <w:sz w:val="24"/>
          <w:szCs w:val="24"/>
        </w:rPr>
      </w:pPr>
    </w:p>
    <w:p w14:paraId="7D3BA50E" w14:textId="77777777" w:rsidR="00965872" w:rsidRDefault="00965872" w:rsidP="00EF1133">
      <w:pPr>
        <w:pStyle w:val="NoSpacing"/>
        <w:rPr>
          <w:rFonts w:ascii="Arial Black" w:hAnsi="Arial Black"/>
          <w:sz w:val="24"/>
          <w:szCs w:val="24"/>
        </w:rPr>
      </w:pPr>
    </w:p>
    <w:p w14:paraId="0F7E83EB" w14:textId="77D9E539" w:rsidR="00A06387" w:rsidRDefault="00980EAD" w:rsidP="00EF1133">
      <w:pPr>
        <w:pStyle w:val="NoSpacing"/>
        <w:rPr>
          <w:rFonts w:ascii="Arial Black" w:hAnsi="Arial Black"/>
          <w:sz w:val="24"/>
          <w:szCs w:val="24"/>
        </w:rPr>
      </w:pPr>
      <w:r>
        <w:rPr>
          <w:rFonts w:ascii="Arial Black" w:hAnsi="Arial Black"/>
          <w:sz w:val="24"/>
          <w:szCs w:val="24"/>
        </w:rPr>
        <w:t>2-23</w:t>
      </w:r>
    </w:p>
    <w:p w14:paraId="66B4C5DE" w14:textId="4017B6AE" w:rsidR="00A52325" w:rsidRDefault="00A52325" w:rsidP="00EF1133">
      <w:pPr>
        <w:pStyle w:val="NoSpacing"/>
        <w:rPr>
          <w:rFonts w:ascii="Arial Black" w:hAnsi="Arial Black"/>
          <w:sz w:val="24"/>
          <w:szCs w:val="24"/>
        </w:rPr>
      </w:pPr>
    </w:p>
    <w:p w14:paraId="5DB6A22C" w14:textId="77777777" w:rsidR="00A52325" w:rsidRDefault="00A52325" w:rsidP="00A52325">
      <w:pPr>
        <w:rPr>
          <w:rFonts w:ascii="Arial Black" w:hAnsi="Arial Black"/>
          <w:sz w:val="28"/>
          <w:szCs w:val="28"/>
        </w:rPr>
      </w:pPr>
      <w:r>
        <w:rPr>
          <w:rFonts w:ascii="Arial Black" w:hAnsi="Arial Black"/>
          <w:sz w:val="28"/>
          <w:szCs w:val="28"/>
        </w:rPr>
        <w:t>NV: HEART ATTACK - FF ENTITLED WORKERS COMP – WAS DIETING, WORKING OUT TO LOWER WEIGHT, COLLESTEROL</w:t>
      </w:r>
    </w:p>
    <w:p w14:paraId="42784EBF" w14:textId="77777777" w:rsidR="00A52325" w:rsidRDefault="00A52325" w:rsidP="00A52325">
      <w:pPr>
        <w:pStyle w:val="Heading1"/>
        <w:rPr>
          <w:b w:val="0"/>
          <w:bCs w:val="0"/>
          <w:sz w:val="24"/>
          <w:szCs w:val="24"/>
        </w:rPr>
      </w:pPr>
      <w:r>
        <w:rPr>
          <w:b w:val="0"/>
          <w:bCs w:val="0"/>
          <w:sz w:val="24"/>
          <w:szCs w:val="24"/>
        </w:rPr>
        <w:t xml:space="preserve">On Nov. 13, 2019, in </w:t>
      </w:r>
      <w:r>
        <w:rPr>
          <w:b w:val="0"/>
          <w:bCs w:val="0"/>
          <w:sz w:val="24"/>
          <w:szCs w:val="24"/>
          <w:u w:val="single"/>
        </w:rPr>
        <w:t>City of Las Vegas v. Burns</w:t>
      </w:r>
      <w:r>
        <w:rPr>
          <w:b w:val="0"/>
          <w:bCs w:val="0"/>
          <w:sz w:val="24"/>
          <w:szCs w:val="24"/>
        </w:rPr>
        <w:t xml:space="preserve">, the Court of Appeals of Nevada, held (3 to 0) that despite the firefighter’s predisposition for a heart attack, he was entitled to workers comp coverage, upholding trial court which had overturned administrative appeals officer. </w:t>
      </w:r>
    </w:p>
    <w:p w14:paraId="014CC6A2" w14:textId="24DE4B68" w:rsidR="00A52325" w:rsidRDefault="00A52325" w:rsidP="00A52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“Moreover, there is not substantial evidence in the record to indicate that Burns </w:t>
      </w:r>
      <w:proofErr w:type="gramStart"/>
      <w:r>
        <w:rPr>
          <w:rFonts w:ascii="Times New Roman" w:eastAsia="Times New Roman" w:hAnsi="Times New Roman"/>
          <w:sz w:val="24"/>
          <w:szCs w:val="24"/>
        </w:rPr>
        <w:t>was capable of reducing</w:t>
      </w:r>
      <w:proofErr w:type="gramEnd"/>
      <w:r>
        <w:rPr>
          <w:rFonts w:ascii="Times New Roman" w:eastAsia="Times New Roman" w:hAnsi="Times New Roman"/>
          <w:sz w:val="24"/>
          <w:szCs w:val="24"/>
        </w:rPr>
        <w:t xml:space="preserve"> his cholesterol, triglycerides, or weight by dieting and exercising. To the contrary, the record indicates that, following his required annual physicals in 2010, 2011, and 2012, the physicians' assessments and recommendations indicate Burns ‘continue[s] to do an excellent job maintaining [his] health;’ that he should ‘[k]</w:t>
      </w:r>
      <w:proofErr w:type="spellStart"/>
      <w:r>
        <w:rPr>
          <w:rFonts w:ascii="Times New Roman" w:eastAsia="Times New Roman" w:hAnsi="Times New Roman"/>
          <w:sz w:val="24"/>
          <w:szCs w:val="24"/>
        </w:rPr>
        <w:t>eep</w:t>
      </w:r>
      <w:proofErr w:type="spellEnd"/>
      <w:r>
        <w:rPr>
          <w:rFonts w:ascii="Times New Roman" w:eastAsia="Times New Roman" w:hAnsi="Times New Roman"/>
          <w:sz w:val="24"/>
          <w:szCs w:val="24"/>
        </w:rPr>
        <w:t xml:space="preserve"> up [his] exercise regimen ... it's doing great for [him];’ and that he was ‘doing well maintaining [his] health.’  In 2012, the physician noted that although his ‘bad’ cholesterol and triglycerides were high, Burns was taking fish oil supplements as previously directed by his private physician and his total cholesterol was fine. Thus, the physicians' reports indicate that Burns was doing what he was instructed to do, he was exercising and taking supplements, and despite that, his predisposing factors did not change, which reflects that he </w:t>
      </w:r>
      <w:proofErr w:type="gramStart"/>
      <w:r>
        <w:rPr>
          <w:rFonts w:ascii="Times New Roman" w:eastAsia="Times New Roman" w:hAnsi="Times New Roman"/>
          <w:sz w:val="24"/>
          <w:szCs w:val="24"/>
        </w:rPr>
        <w:t>was not capable of correcting</w:t>
      </w:r>
      <w:proofErr w:type="gramEnd"/>
      <w:r>
        <w:rPr>
          <w:rFonts w:ascii="Times New Roman" w:eastAsia="Times New Roman" w:hAnsi="Times New Roman"/>
          <w:sz w:val="24"/>
          <w:szCs w:val="24"/>
        </w:rPr>
        <w:t xml:space="preserve"> his predisposing conditions. </w:t>
      </w:r>
    </w:p>
    <w:p w14:paraId="796CEA59" w14:textId="77777777" w:rsidR="00A52325" w:rsidRDefault="00A52325" w:rsidP="00A52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Because there is no evidence in the record to support the conclusion that correcting Burns' predisposing conditions was within his ability, we necessarily hold that the appeals officer's conclusion is not supported by substantial evidence. </w:t>
      </w:r>
      <w:hyperlink r:id="rId604" w:history="1">
        <w:r>
          <w:rPr>
            <w:rStyle w:val="Hyperlink"/>
            <w:rFonts w:ascii="Times New Roman" w:eastAsia="Times New Roman" w:hAnsi="Times New Roman"/>
            <w:sz w:val="24"/>
            <w:szCs w:val="24"/>
          </w:rPr>
          <w:t>https://www.leagle.com/decision/innvco20191115257</w:t>
        </w:r>
      </w:hyperlink>
      <w:r>
        <w:rPr>
          <w:rFonts w:ascii="Times New Roman" w:eastAsia="Times New Roman" w:hAnsi="Times New Roman"/>
          <w:sz w:val="24"/>
          <w:szCs w:val="24"/>
        </w:rPr>
        <w:t xml:space="preserve"> </w:t>
      </w:r>
    </w:p>
    <w:p w14:paraId="2FF6317D" w14:textId="77777777" w:rsidR="00A52325" w:rsidRDefault="00A52325" w:rsidP="00A52325">
      <w:pPr>
        <w:pStyle w:val="NormalWeb"/>
        <w:rPr>
          <w:b/>
          <w:bCs/>
        </w:rPr>
      </w:pPr>
      <w:r>
        <w:rPr>
          <w:b/>
          <w:bCs/>
        </w:rPr>
        <w:t xml:space="preserve">Legal Lessons Learned:  The statutory requirement that firefighters must seek to correct their “predisposing condition” to cardiac problems makes lots of sense. </w:t>
      </w:r>
    </w:p>
    <w:p w14:paraId="30CCA797" w14:textId="77777777" w:rsidR="00965872" w:rsidRDefault="00965872" w:rsidP="00EF1133">
      <w:pPr>
        <w:pStyle w:val="NoSpacing"/>
        <w:rPr>
          <w:rFonts w:ascii="Arial Black" w:hAnsi="Arial Black"/>
          <w:sz w:val="24"/>
          <w:szCs w:val="24"/>
        </w:rPr>
      </w:pPr>
    </w:p>
    <w:p w14:paraId="3C9F69A5" w14:textId="77777777" w:rsidR="00965872" w:rsidRDefault="00965872" w:rsidP="00EF1133">
      <w:pPr>
        <w:pStyle w:val="NoSpacing"/>
        <w:rPr>
          <w:rFonts w:ascii="Arial Black" w:hAnsi="Arial Black"/>
          <w:sz w:val="24"/>
          <w:szCs w:val="24"/>
        </w:rPr>
      </w:pPr>
    </w:p>
    <w:p w14:paraId="0512471E" w14:textId="364628FE" w:rsidR="00980EAD" w:rsidRDefault="00980EAD" w:rsidP="00EF1133">
      <w:pPr>
        <w:pStyle w:val="NoSpacing"/>
        <w:rPr>
          <w:rFonts w:ascii="Arial Black" w:hAnsi="Arial Black"/>
          <w:sz w:val="24"/>
          <w:szCs w:val="24"/>
        </w:rPr>
      </w:pPr>
      <w:r>
        <w:rPr>
          <w:rFonts w:ascii="Arial Black" w:hAnsi="Arial Black"/>
          <w:sz w:val="24"/>
          <w:szCs w:val="24"/>
        </w:rPr>
        <w:t>2-22</w:t>
      </w:r>
    </w:p>
    <w:p w14:paraId="6EA83345" w14:textId="77777777" w:rsidR="00980EAD" w:rsidRDefault="00980EAD" w:rsidP="00EF1133">
      <w:pPr>
        <w:pStyle w:val="NoSpacing"/>
        <w:rPr>
          <w:rFonts w:ascii="Arial Black" w:hAnsi="Arial Black"/>
          <w:sz w:val="24"/>
          <w:szCs w:val="24"/>
        </w:rPr>
      </w:pPr>
    </w:p>
    <w:p w14:paraId="5558B3B7" w14:textId="2570797A" w:rsidR="00A06387" w:rsidRDefault="00A06387" w:rsidP="00A06387">
      <w:pPr>
        <w:pStyle w:val="NoSpacing"/>
        <w:rPr>
          <w:rFonts w:ascii="Arial Black" w:hAnsi="Arial Black"/>
          <w:sz w:val="28"/>
          <w:szCs w:val="28"/>
        </w:rPr>
      </w:pPr>
      <w:r w:rsidRPr="003F65F5">
        <w:rPr>
          <w:rFonts w:ascii="Arial Black" w:hAnsi="Arial Black"/>
          <w:sz w:val="28"/>
          <w:szCs w:val="28"/>
        </w:rPr>
        <w:t xml:space="preserve">WA: </w:t>
      </w:r>
      <w:r>
        <w:rPr>
          <w:rFonts w:ascii="Arial Black" w:hAnsi="Arial Black"/>
          <w:sz w:val="28"/>
          <w:szCs w:val="28"/>
        </w:rPr>
        <w:t>UNION PROPOSAL INCREASE IN MINUMUM STAFFING – MANDATORY SUBJECT FOR COLLECTIVE BARGAINING</w:t>
      </w:r>
    </w:p>
    <w:p w14:paraId="46F3545D" w14:textId="77777777" w:rsidR="00A06387" w:rsidRDefault="00A06387" w:rsidP="00A06387">
      <w:pPr>
        <w:pStyle w:val="NoSpacing"/>
        <w:rPr>
          <w:rFonts w:ascii="Arial Black" w:hAnsi="Arial Black"/>
          <w:sz w:val="28"/>
          <w:szCs w:val="28"/>
        </w:rPr>
      </w:pPr>
    </w:p>
    <w:p w14:paraId="7FF8484D" w14:textId="77777777" w:rsidR="00A06387" w:rsidRDefault="00A06387" w:rsidP="00A06387">
      <w:pPr>
        <w:pStyle w:val="NoSpacing"/>
        <w:rPr>
          <w:rFonts w:ascii="On Times New Roman" w:hAnsi="On Times New Roman"/>
          <w:b/>
          <w:bCs/>
          <w:sz w:val="24"/>
          <w:szCs w:val="24"/>
        </w:rPr>
      </w:pPr>
      <w:r>
        <w:rPr>
          <w:rFonts w:ascii="On Times New Roman" w:hAnsi="On Times New Roman"/>
          <w:bCs/>
          <w:sz w:val="24"/>
          <w:szCs w:val="24"/>
        </w:rPr>
        <w:t xml:space="preserve">On Oct. 28, 2019, in </w:t>
      </w:r>
      <w:r w:rsidRPr="00BA0F0A">
        <w:rPr>
          <w:rFonts w:ascii="On Times New Roman" w:hAnsi="On Times New Roman"/>
          <w:bCs/>
          <w:sz w:val="24"/>
          <w:szCs w:val="24"/>
          <w:u w:val="single"/>
        </w:rPr>
        <w:t>City of Everett v. State of Washington Public Employment Relations Commission</w:t>
      </w:r>
      <w:r>
        <w:rPr>
          <w:rFonts w:ascii="On Times New Roman" w:hAnsi="On Times New Roman"/>
          <w:bCs/>
          <w:sz w:val="24"/>
          <w:szCs w:val="24"/>
        </w:rPr>
        <w:t xml:space="preserve">, the State of Washington Court of Appeals, held (3 to 0) that shift staffing has a direct relationship to workload and safety, and therefore is a mandatory subject of collective bargaining (union wants to increase from 28 to 35 per shift). </w:t>
      </w:r>
    </w:p>
    <w:p w14:paraId="72FAADFA" w14:textId="77777777" w:rsidR="00A06387" w:rsidRDefault="00A06387" w:rsidP="00A06387">
      <w:pPr>
        <w:pStyle w:val="NoSpacing"/>
        <w:rPr>
          <w:rFonts w:ascii="On Times New Roman" w:hAnsi="On Times New Roman"/>
          <w:b/>
          <w:bCs/>
          <w:sz w:val="24"/>
          <w:szCs w:val="24"/>
        </w:rPr>
      </w:pPr>
    </w:p>
    <w:p w14:paraId="15F14157" w14:textId="77777777" w:rsidR="00A06387" w:rsidRPr="00965872" w:rsidRDefault="00A06387" w:rsidP="00A06387">
      <w:pPr>
        <w:pStyle w:val="NoSpacing"/>
        <w:ind w:left="720"/>
        <w:rPr>
          <w:rFonts w:ascii="Times New Roman" w:hAnsi="Times New Roman"/>
          <w:b/>
          <w:bCs/>
          <w:sz w:val="24"/>
          <w:szCs w:val="24"/>
        </w:rPr>
      </w:pPr>
      <w:r w:rsidRPr="00965872">
        <w:rPr>
          <w:rFonts w:ascii="Times New Roman" w:hAnsi="Times New Roman"/>
          <w:bCs/>
          <w:sz w:val="24"/>
          <w:szCs w:val="24"/>
        </w:rPr>
        <w:t xml:space="preserve">“We conclude PERC did not err in balancing the strong fundamental prerogative of the </w:t>
      </w:r>
      <w:proofErr w:type="gramStart"/>
      <w:r w:rsidRPr="00965872">
        <w:rPr>
          <w:rFonts w:ascii="Times New Roman" w:hAnsi="Times New Roman"/>
          <w:bCs/>
          <w:sz w:val="24"/>
          <w:szCs w:val="24"/>
        </w:rPr>
        <w:t>City</w:t>
      </w:r>
      <w:proofErr w:type="gramEnd"/>
      <w:r w:rsidRPr="00965872">
        <w:rPr>
          <w:rFonts w:ascii="Times New Roman" w:hAnsi="Times New Roman"/>
          <w:bCs/>
          <w:sz w:val="24"/>
          <w:szCs w:val="24"/>
        </w:rPr>
        <w:t xml:space="preserve"> on shift staffing and the unrebutted workload and safety testimony, and substantial evidence supports PERC finding the Union demonstrated a direct relationship between the Union proposal to increase the minimum number of crew on each shift and the workload and safety of the firefighters and paramedics. We affirm the PERC decision.”</w:t>
      </w:r>
    </w:p>
    <w:p w14:paraId="63646146" w14:textId="77777777" w:rsidR="00A06387" w:rsidRPr="00965872" w:rsidRDefault="00A06387" w:rsidP="00A06387">
      <w:pPr>
        <w:pStyle w:val="NoSpacing"/>
        <w:rPr>
          <w:rFonts w:ascii="Times New Roman" w:hAnsi="Times New Roman"/>
          <w:b/>
          <w:bCs/>
          <w:sz w:val="24"/>
          <w:szCs w:val="24"/>
        </w:rPr>
      </w:pPr>
      <w:r w:rsidRPr="00965872">
        <w:rPr>
          <w:rFonts w:ascii="Times New Roman" w:hAnsi="Times New Roman"/>
          <w:bCs/>
          <w:sz w:val="24"/>
          <w:szCs w:val="24"/>
        </w:rPr>
        <w:tab/>
      </w:r>
      <w:hyperlink r:id="rId605" w:history="1">
        <w:r w:rsidRPr="00965872">
          <w:rPr>
            <w:rStyle w:val="Hyperlink"/>
            <w:rFonts w:ascii="Times New Roman" w:hAnsi="Times New Roman"/>
            <w:bCs/>
            <w:sz w:val="24"/>
            <w:szCs w:val="24"/>
          </w:rPr>
          <w:t>https://www.courts.wa.gov/opinions/pdf/778315.pdf</w:t>
        </w:r>
      </w:hyperlink>
      <w:r w:rsidRPr="00965872">
        <w:rPr>
          <w:rFonts w:ascii="Times New Roman" w:hAnsi="Times New Roman"/>
          <w:bCs/>
          <w:sz w:val="24"/>
          <w:szCs w:val="24"/>
        </w:rPr>
        <w:t xml:space="preserve"> </w:t>
      </w:r>
    </w:p>
    <w:p w14:paraId="41E8560A" w14:textId="77777777" w:rsidR="00965872" w:rsidRDefault="00965872" w:rsidP="00A06387">
      <w:pPr>
        <w:pStyle w:val="NoSpacing"/>
        <w:rPr>
          <w:b/>
          <w:bCs/>
          <w:sz w:val="24"/>
          <w:szCs w:val="24"/>
        </w:rPr>
      </w:pPr>
    </w:p>
    <w:p w14:paraId="6F337DDD" w14:textId="11B4031E" w:rsidR="00A06387" w:rsidRPr="00965872" w:rsidRDefault="00A06387" w:rsidP="00A06387">
      <w:pPr>
        <w:pStyle w:val="NoSpacing"/>
        <w:rPr>
          <w:rFonts w:ascii="Times New Roman" w:hAnsi="Times New Roman"/>
          <w:b/>
          <w:bCs/>
          <w:sz w:val="24"/>
          <w:szCs w:val="24"/>
        </w:rPr>
      </w:pPr>
      <w:r w:rsidRPr="00965872">
        <w:rPr>
          <w:rFonts w:ascii="Times New Roman" w:hAnsi="Times New Roman"/>
          <w:b/>
          <w:bCs/>
          <w:sz w:val="24"/>
          <w:szCs w:val="24"/>
        </w:rPr>
        <w:t xml:space="preserve">Legal Lessons Learned: Fire &amp; EMS officials need to consult with legal counsel in their State concerning whether minimum staffing is a </w:t>
      </w:r>
      <w:proofErr w:type="gramStart"/>
      <w:r w:rsidRPr="00965872">
        <w:rPr>
          <w:rFonts w:ascii="Times New Roman" w:hAnsi="Times New Roman"/>
          <w:b/>
          <w:bCs/>
          <w:sz w:val="24"/>
          <w:szCs w:val="24"/>
        </w:rPr>
        <w:t>subject</w:t>
      </w:r>
      <w:proofErr w:type="gramEnd"/>
      <w:r w:rsidRPr="00965872">
        <w:rPr>
          <w:rFonts w:ascii="Times New Roman" w:hAnsi="Times New Roman"/>
          <w:b/>
          <w:bCs/>
          <w:sz w:val="24"/>
          <w:szCs w:val="24"/>
        </w:rPr>
        <w:t xml:space="preserve"> mandatory bargaining.</w:t>
      </w:r>
    </w:p>
    <w:p w14:paraId="45CFF0E1" w14:textId="77777777" w:rsidR="00A06387" w:rsidRDefault="00A06387" w:rsidP="00EF1133">
      <w:pPr>
        <w:pStyle w:val="NoSpacing"/>
        <w:rPr>
          <w:rFonts w:ascii="Arial Black" w:hAnsi="Arial Black"/>
          <w:sz w:val="24"/>
          <w:szCs w:val="24"/>
        </w:rPr>
      </w:pPr>
    </w:p>
    <w:p w14:paraId="59DA41C4" w14:textId="77777777" w:rsidR="00A52325" w:rsidRDefault="00A52325" w:rsidP="00EF1133">
      <w:pPr>
        <w:pStyle w:val="NoSpacing"/>
        <w:rPr>
          <w:rFonts w:ascii="Arial Black" w:hAnsi="Arial Black"/>
          <w:sz w:val="24"/>
          <w:szCs w:val="24"/>
        </w:rPr>
      </w:pPr>
    </w:p>
    <w:p w14:paraId="6BD62E6C" w14:textId="77777777" w:rsidR="00A52325" w:rsidRDefault="00A52325" w:rsidP="00EF1133">
      <w:pPr>
        <w:pStyle w:val="NoSpacing"/>
        <w:rPr>
          <w:rFonts w:ascii="Arial Black" w:hAnsi="Arial Black"/>
          <w:sz w:val="24"/>
          <w:szCs w:val="24"/>
        </w:rPr>
      </w:pPr>
    </w:p>
    <w:p w14:paraId="66A98D3E" w14:textId="77777777" w:rsidR="00A52325" w:rsidRDefault="00A52325" w:rsidP="00EF1133">
      <w:pPr>
        <w:pStyle w:val="NoSpacing"/>
        <w:rPr>
          <w:rFonts w:ascii="Arial Black" w:hAnsi="Arial Black"/>
          <w:sz w:val="24"/>
          <w:szCs w:val="24"/>
        </w:rPr>
      </w:pPr>
    </w:p>
    <w:p w14:paraId="7FD54964" w14:textId="12BFE464" w:rsidR="00853142" w:rsidRDefault="00853142" w:rsidP="00EF1133">
      <w:pPr>
        <w:pStyle w:val="NoSpacing"/>
        <w:rPr>
          <w:rFonts w:ascii="Arial Black" w:hAnsi="Arial Black"/>
          <w:sz w:val="24"/>
          <w:szCs w:val="24"/>
        </w:rPr>
      </w:pPr>
      <w:r>
        <w:rPr>
          <w:rFonts w:ascii="Arial Black" w:hAnsi="Arial Black"/>
          <w:sz w:val="24"/>
          <w:szCs w:val="24"/>
        </w:rPr>
        <w:t>2-</w:t>
      </w:r>
      <w:r w:rsidR="00D07E6E">
        <w:rPr>
          <w:rFonts w:ascii="Arial Black" w:hAnsi="Arial Black"/>
          <w:sz w:val="24"/>
          <w:szCs w:val="24"/>
        </w:rPr>
        <w:t>2</w:t>
      </w:r>
      <w:r w:rsidR="00A52325">
        <w:rPr>
          <w:rFonts w:ascii="Arial Black" w:hAnsi="Arial Black"/>
          <w:sz w:val="24"/>
          <w:szCs w:val="24"/>
        </w:rPr>
        <w:t>1</w:t>
      </w:r>
    </w:p>
    <w:p w14:paraId="5BED5B65" w14:textId="3BD822FC" w:rsidR="00853142" w:rsidRDefault="00853142" w:rsidP="00EF1133">
      <w:pPr>
        <w:pStyle w:val="NoSpacing"/>
        <w:rPr>
          <w:rFonts w:ascii="Arial Black" w:hAnsi="Arial Black"/>
          <w:sz w:val="24"/>
          <w:szCs w:val="24"/>
        </w:rPr>
      </w:pPr>
    </w:p>
    <w:p w14:paraId="780682F7" w14:textId="77777777" w:rsidR="00853142" w:rsidRPr="007438B9" w:rsidRDefault="00853142" w:rsidP="00853142">
      <w:pPr>
        <w:pStyle w:val="NoSpacing"/>
        <w:rPr>
          <w:rFonts w:ascii="Arial Black" w:hAnsi="Arial Black"/>
          <w:sz w:val="28"/>
          <w:szCs w:val="28"/>
        </w:rPr>
      </w:pPr>
      <w:r w:rsidRPr="007438B9">
        <w:rPr>
          <w:rFonts w:ascii="Arial Black" w:hAnsi="Arial Black"/>
          <w:sz w:val="28"/>
          <w:szCs w:val="28"/>
        </w:rPr>
        <w:t xml:space="preserve">KY: </w:t>
      </w:r>
      <w:r>
        <w:rPr>
          <w:rFonts w:ascii="Arial Black" w:hAnsi="Arial Black"/>
          <w:sz w:val="28"/>
          <w:szCs w:val="28"/>
        </w:rPr>
        <w:t xml:space="preserve">FF’s STRENOUUS RETURN-TO-WORK PHYSICAL FITNESS TEST – HEART ATTACK SAME DAY – PRIOR HEALTH PROB - NOT LODD   </w:t>
      </w:r>
    </w:p>
    <w:p w14:paraId="2CDB2369" w14:textId="77777777" w:rsidR="00853142" w:rsidRDefault="00853142" w:rsidP="00853142">
      <w:pPr>
        <w:pStyle w:val="NoSpacing"/>
      </w:pPr>
    </w:p>
    <w:p w14:paraId="167A21C2" w14:textId="6533170C" w:rsidR="00853142" w:rsidRPr="00015208" w:rsidRDefault="00853142" w:rsidP="00853142">
      <w:pPr>
        <w:spacing w:after="0" w:line="240" w:lineRule="auto"/>
        <w:rPr>
          <w:rFonts w:ascii="Times New Roman" w:eastAsia="Times New Roman" w:hAnsi="Times New Roman"/>
          <w:sz w:val="24"/>
          <w:szCs w:val="24"/>
        </w:rPr>
      </w:pPr>
      <w:r w:rsidRPr="00015208">
        <w:rPr>
          <w:rFonts w:ascii="Times New Roman" w:eastAsia="Times New Roman" w:hAnsi="Times New Roman"/>
          <w:sz w:val="24"/>
          <w:szCs w:val="24"/>
        </w:rPr>
        <w:t xml:space="preserve">On </w:t>
      </w:r>
      <w:bookmarkStart w:id="110" w:name="_Hlk39822838"/>
      <w:r w:rsidRPr="00015208">
        <w:rPr>
          <w:rFonts w:ascii="Times New Roman" w:eastAsia="Times New Roman" w:hAnsi="Times New Roman"/>
          <w:sz w:val="24"/>
          <w:szCs w:val="24"/>
        </w:rPr>
        <w:t xml:space="preserve">Sept. 20, 2019, in </w:t>
      </w:r>
      <w:r w:rsidRPr="00015208">
        <w:rPr>
          <w:rFonts w:ascii="Times New Roman" w:eastAsia="Times New Roman" w:hAnsi="Times New Roman"/>
          <w:sz w:val="24"/>
          <w:szCs w:val="24"/>
          <w:u w:val="single"/>
        </w:rPr>
        <w:t>Sharon Jenkins v. Kentucky Retirement Systems</w:t>
      </w:r>
      <w:bookmarkEnd w:id="110"/>
      <w:r w:rsidRPr="00015208">
        <w:rPr>
          <w:rFonts w:ascii="Times New Roman" w:eastAsia="Times New Roman" w:hAnsi="Times New Roman"/>
          <w:sz w:val="24"/>
          <w:szCs w:val="24"/>
        </w:rPr>
        <w:t xml:space="preserve">, the Kentucky Court of Appeals held (3 to 0; unpublished opinion) that the Retirement Board properly denied wife of deceased firefighter “line-of-duty” death benefits, but she is entitled to “basic” death benefits.   LODD benefits would have include </w:t>
      </w:r>
      <w:r w:rsidRPr="00015208">
        <w:rPr>
          <w:rFonts w:ascii="Times New Roman" w:hAnsi="Times New Roman"/>
          <w:sz w:val="24"/>
          <w:szCs w:val="24"/>
        </w:rPr>
        <w:t>lump sum of $10,000 and a monthly payment equal to 10% of Malcolm’s monthly final rate of pay; “Basic” benefits were an actuarial fund, or a lump sum.</w:t>
      </w:r>
      <w:r w:rsidR="00025B22">
        <w:rPr>
          <w:rFonts w:ascii="Times New Roman" w:hAnsi="Times New Roman"/>
          <w:sz w:val="24"/>
          <w:szCs w:val="24"/>
        </w:rPr>
        <w:t xml:space="preserve"> </w:t>
      </w:r>
      <w:r w:rsidRPr="00015208">
        <w:rPr>
          <w:rFonts w:ascii="Times New Roman" w:eastAsia="Times New Roman" w:hAnsi="Times New Roman"/>
          <w:sz w:val="24"/>
          <w:szCs w:val="24"/>
        </w:rPr>
        <w:tab/>
        <w:t xml:space="preserve">Judge Kelly Thompson wrote: </w:t>
      </w:r>
    </w:p>
    <w:p w14:paraId="666DD0E3" w14:textId="77777777" w:rsidR="00853142" w:rsidRPr="00015208" w:rsidRDefault="00853142" w:rsidP="00853142">
      <w:pPr>
        <w:spacing w:after="0" w:line="240" w:lineRule="auto"/>
        <w:rPr>
          <w:rFonts w:ascii="Times New Roman" w:eastAsia="Times New Roman" w:hAnsi="Times New Roman"/>
          <w:sz w:val="24"/>
          <w:szCs w:val="24"/>
        </w:rPr>
      </w:pPr>
    </w:p>
    <w:p w14:paraId="3C772CCD" w14:textId="77777777" w:rsidR="00025B22" w:rsidRPr="00015208" w:rsidRDefault="00853142" w:rsidP="00025B22">
      <w:pPr>
        <w:spacing w:after="0" w:line="240" w:lineRule="auto"/>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“Sharon [Jenkins] points out that under federal law providing death benefits to federal safety </w:t>
      </w:r>
      <w:proofErr w:type="gramStart"/>
      <w:r w:rsidRPr="00015208">
        <w:rPr>
          <w:rFonts w:ascii="Times New Roman" w:eastAsia="Times New Roman" w:hAnsi="Times New Roman"/>
          <w:sz w:val="24"/>
          <w:szCs w:val="24"/>
        </w:rPr>
        <w:t>officers,</w:t>
      </w:r>
      <w:proofErr w:type="gramEnd"/>
      <w:r w:rsidRPr="00015208">
        <w:rPr>
          <w:rFonts w:ascii="Times New Roman" w:eastAsia="Times New Roman" w:hAnsi="Times New Roman"/>
          <w:sz w:val="24"/>
          <w:szCs w:val="24"/>
        </w:rPr>
        <w:t xml:space="preserve"> it is presumed that a fatal heart attack occurring within 24 hours of a nonroutine stressful or strenuous physical activity in the line of duty is presumed to be the direct and proximate result of that activity. 34 United States Code §10281. While such a presumption might resolve some of the inherent difficulty in determining the cause of a cardiac event, that same presumption is not found in KRS16.601. ‘As administrative agencies are creatures of statute,’ this Court cannot require that such a presumption be applied to claims for in-line-of-duty death benefits. Kentucky Retirement Systems v. Bowens, 281 S.W.3d 776,784 (Ky. 2009).”</w:t>
      </w:r>
      <w:r w:rsidR="00025B22">
        <w:rPr>
          <w:rFonts w:ascii="Times New Roman" w:eastAsia="Times New Roman" w:hAnsi="Times New Roman"/>
          <w:sz w:val="24"/>
          <w:szCs w:val="24"/>
        </w:rPr>
        <w:t xml:space="preserve"> </w:t>
      </w:r>
      <w:bookmarkStart w:id="111" w:name="_Hlk39822879"/>
      <w:r w:rsidR="00025B22">
        <w:fldChar w:fldCharType="begin"/>
      </w:r>
      <w:r w:rsidR="00025B22">
        <w:instrText xml:space="preserve"> HYPERLINK "https://cases.justia.com/kentucky/court-of-appeals/2019-2018-ca-000395-mr.pdf?ts=1568988148" </w:instrText>
      </w:r>
      <w:r w:rsidR="00025B22">
        <w:fldChar w:fldCharType="separate"/>
      </w:r>
      <w:r w:rsidR="00025B22" w:rsidRPr="00015208">
        <w:rPr>
          <w:rStyle w:val="Hyperlink"/>
          <w:rFonts w:ascii="Times New Roman" w:eastAsia="Times New Roman" w:hAnsi="Times New Roman"/>
          <w:sz w:val="24"/>
          <w:szCs w:val="24"/>
        </w:rPr>
        <w:t>https://cases.justia.com/kentucky/court-of-appeals/2019-2018-ca-000395-mr.pdf?ts=1568988148</w:t>
      </w:r>
      <w:r w:rsidR="00025B22">
        <w:rPr>
          <w:rStyle w:val="Hyperlink"/>
          <w:rFonts w:ascii="Times New Roman" w:eastAsia="Times New Roman" w:hAnsi="Times New Roman"/>
          <w:sz w:val="24"/>
          <w:szCs w:val="24"/>
        </w:rPr>
        <w:fldChar w:fldCharType="end"/>
      </w:r>
      <w:r w:rsidR="00025B22" w:rsidRPr="00015208">
        <w:rPr>
          <w:rFonts w:ascii="Times New Roman" w:eastAsia="Times New Roman" w:hAnsi="Times New Roman"/>
          <w:sz w:val="24"/>
          <w:szCs w:val="24"/>
        </w:rPr>
        <w:t xml:space="preserve"> </w:t>
      </w:r>
    </w:p>
    <w:p w14:paraId="42FE7EA4" w14:textId="77777777" w:rsidR="00025B22" w:rsidRPr="00015208" w:rsidRDefault="00025B22" w:rsidP="00025B22">
      <w:pPr>
        <w:spacing w:after="0" w:line="240" w:lineRule="auto"/>
        <w:rPr>
          <w:rFonts w:ascii="Times New Roman" w:eastAsia="Times New Roman" w:hAnsi="Times New Roman"/>
          <w:sz w:val="24"/>
          <w:szCs w:val="24"/>
        </w:rPr>
      </w:pPr>
    </w:p>
    <w:bookmarkEnd w:id="111"/>
    <w:p w14:paraId="1DF38443" w14:textId="384D43C1" w:rsidR="00853142" w:rsidRPr="00015208" w:rsidRDefault="00853142" w:rsidP="00853142">
      <w:pPr>
        <w:spacing w:after="0" w:line="240" w:lineRule="auto"/>
        <w:ind w:left="720"/>
        <w:rPr>
          <w:rFonts w:ascii="Times New Roman" w:eastAsia="Times New Roman" w:hAnsi="Times New Roman"/>
          <w:sz w:val="24"/>
          <w:szCs w:val="24"/>
        </w:rPr>
      </w:pPr>
    </w:p>
    <w:p w14:paraId="2225B21E" w14:textId="77777777" w:rsidR="00853142" w:rsidRPr="00015208" w:rsidRDefault="00853142" w:rsidP="00853142">
      <w:pPr>
        <w:spacing w:after="0" w:line="240" w:lineRule="auto"/>
        <w:ind w:left="720"/>
        <w:rPr>
          <w:rFonts w:ascii="Times New Roman" w:eastAsia="Times New Roman" w:hAnsi="Times New Roman"/>
          <w:sz w:val="24"/>
          <w:szCs w:val="24"/>
        </w:rPr>
      </w:pPr>
    </w:p>
    <w:p w14:paraId="17F63B9F" w14:textId="77777777" w:rsidR="00853142" w:rsidRPr="00015208" w:rsidRDefault="00853142" w:rsidP="00853142">
      <w:pPr>
        <w:pStyle w:val="Heading1"/>
        <w:rPr>
          <w:b w:val="0"/>
          <w:bCs w:val="0"/>
          <w:sz w:val="24"/>
          <w:szCs w:val="24"/>
        </w:rPr>
      </w:pPr>
      <w:r w:rsidRPr="00015208">
        <w:rPr>
          <w:sz w:val="24"/>
          <w:szCs w:val="24"/>
        </w:rPr>
        <w:t xml:space="preserve">Legal Lessons Learned:  In cases involving a “battle of the experts,” Courts will normally not overturn findings of the Administrative Agency.   The federal death benefits statute for firefighters and other public safety officers, who die within 24 hours of "nonroutine stressful or strenuous physical" activity was written to avoid these kinds of disputes.  See </w:t>
      </w:r>
      <w:bookmarkStart w:id="112" w:name="_Hlk39822753"/>
      <w:r w:rsidRPr="00015208">
        <w:rPr>
          <w:sz w:val="24"/>
          <w:szCs w:val="24"/>
        </w:rPr>
        <w:t xml:space="preserve">May 15, </w:t>
      </w:r>
      <w:proofErr w:type="gramStart"/>
      <w:r w:rsidRPr="00015208">
        <w:rPr>
          <w:sz w:val="24"/>
          <w:szCs w:val="24"/>
        </w:rPr>
        <w:t>2018</w:t>
      </w:r>
      <w:proofErr w:type="gramEnd"/>
      <w:r w:rsidRPr="00015208">
        <w:rPr>
          <w:sz w:val="24"/>
          <w:szCs w:val="24"/>
        </w:rPr>
        <w:t xml:space="preserve"> announcement: “Justice Department Announces Improvements to Public Safety Officers’ Benefits Program.”</w:t>
      </w:r>
      <w:r w:rsidRPr="00015208">
        <w:rPr>
          <w:b w:val="0"/>
          <w:bCs w:val="0"/>
          <w:sz w:val="24"/>
          <w:szCs w:val="24"/>
        </w:rPr>
        <w:t xml:space="preserve"> </w:t>
      </w:r>
      <w:hyperlink r:id="rId606" w:history="1">
        <w:r w:rsidRPr="00015208">
          <w:rPr>
            <w:rStyle w:val="Hyperlink"/>
            <w:b w:val="0"/>
            <w:bCs w:val="0"/>
            <w:sz w:val="24"/>
            <w:szCs w:val="24"/>
          </w:rPr>
          <w:t>https://www.justice.gov/opa/pr/justice-department-announces-improvements-public-safety-officers-benefits-program</w:t>
        </w:r>
      </w:hyperlink>
      <w:r w:rsidRPr="00015208">
        <w:rPr>
          <w:b w:val="0"/>
          <w:bCs w:val="0"/>
          <w:sz w:val="24"/>
          <w:szCs w:val="24"/>
        </w:rPr>
        <w:t xml:space="preserve"> </w:t>
      </w:r>
    </w:p>
    <w:bookmarkEnd w:id="112"/>
    <w:p w14:paraId="33CDC4E0" w14:textId="0172D15C" w:rsidR="00853142" w:rsidRDefault="00853142" w:rsidP="00EF1133">
      <w:pPr>
        <w:pStyle w:val="NoSpacing"/>
        <w:rPr>
          <w:rFonts w:ascii="Arial Black" w:hAnsi="Arial Black"/>
          <w:sz w:val="24"/>
          <w:szCs w:val="24"/>
        </w:rPr>
      </w:pPr>
    </w:p>
    <w:p w14:paraId="36A36ED6" w14:textId="36DFC688" w:rsidR="00A67C57" w:rsidRDefault="00A67C57" w:rsidP="00EF1133">
      <w:pPr>
        <w:pStyle w:val="NoSpacing"/>
        <w:rPr>
          <w:rFonts w:ascii="Arial Black" w:hAnsi="Arial Black"/>
          <w:sz w:val="24"/>
          <w:szCs w:val="24"/>
        </w:rPr>
      </w:pPr>
    </w:p>
    <w:p w14:paraId="41D0317D" w14:textId="77777777" w:rsidR="00A67C57" w:rsidRDefault="00A67C57" w:rsidP="00EF1133">
      <w:pPr>
        <w:pStyle w:val="NoSpacing"/>
        <w:rPr>
          <w:rFonts w:ascii="Arial Black" w:hAnsi="Arial Black"/>
          <w:sz w:val="24"/>
          <w:szCs w:val="24"/>
        </w:rPr>
      </w:pPr>
    </w:p>
    <w:p w14:paraId="5D75C623" w14:textId="4023065D" w:rsidR="00A52325" w:rsidRDefault="00A52325" w:rsidP="00EF1133">
      <w:pPr>
        <w:pStyle w:val="NoSpacing"/>
        <w:rPr>
          <w:rFonts w:ascii="Arial Black" w:hAnsi="Arial Black"/>
          <w:sz w:val="24"/>
          <w:szCs w:val="24"/>
        </w:rPr>
      </w:pPr>
      <w:r>
        <w:rPr>
          <w:rFonts w:ascii="Arial Black" w:hAnsi="Arial Black"/>
          <w:sz w:val="24"/>
          <w:szCs w:val="24"/>
        </w:rPr>
        <w:t>2-20</w:t>
      </w:r>
    </w:p>
    <w:p w14:paraId="1AB7F3A8" w14:textId="1E0B2DA7" w:rsidR="00A52325" w:rsidRDefault="00A52325" w:rsidP="00EF1133">
      <w:pPr>
        <w:pStyle w:val="NoSpacing"/>
        <w:rPr>
          <w:rFonts w:ascii="Arial Black" w:hAnsi="Arial Black"/>
          <w:sz w:val="24"/>
          <w:szCs w:val="24"/>
        </w:rPr>
      </w:pPr>
    </w:p>
    <w:p w14:paraId="48367360" w14:textId="77777777" w:rsidR="00A52325" w:rsidRDefault="00A52325" w:rsidP="00A52325">
      <w:pPr>
        <w:pStyle w:val="NoSpacing"/>
        <w:rPr>
          <w:rFonts w:ascii="Arial Black" w:hAnsi="Arial Black"/>
          <w:sz w:val="28"/>
          <w:szCs w:val="28"/>
        </w:rPr>
      </w:pPr>
      <w:r>
        <w:rPr>
          <w:rFonts w:ascii="Arial Black" w:hAnsi="Arial Black"/>
          <w:sz w:val="28"/>
          <w:szCs w:val="28"/>
        </w:rPr>
        <w:t>NY: LIVER CANCER - FF WORKED AT 9/11 WORLD TRADE CENTER – ACCIDENTAL DISABILITY BENEFITS AWARDED</w:t>
      </w:r>
    </w:p>
    <w:p w14:paraId="6BF50E34" w14:textId="77777777" w:rsidR="00A52325" w:rsidRDefault="00A52325" w:rsidP="00A52325">
      <w:pPr>
        <w:pStyle w:val="NoSpacing"/>
        <w:rPr>
          <w:rFonts w:ascii="Arial Black" w:hAnsi="Arial Black"/>
          <w:sz w:val="28"/>
          <w:szCs w:val="28"/>
        </w:rPr>
      </w:pPr>
    </w:p>
    <w:p w14:paraId="332EC30C"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Sept. 3, 2019, in </w:t>
      </w:r>
      <w:r>
        <w:rPr>
          <w:rFonts w:ascii="Times New Roman" w:hAnsi="Times New Roman"/>
          <w:sz w:val="24"/>
          <w:szCs w:val="24"/>
          <w:u w:val="single"/>
        </w:rPr>
        <w:t xml:space="preserve">Matter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Joseph Daly v. Daniel Nigro</w:t>
      </w:r>
      <w:r>
        <w:rPr>
          <w:rFonts w:ascii="Times New Roman" w:hAnsi="Times New Roman"/>
          <w:sz w:val="24"/>
          <w:szCs w:val="24"/>
        </w:rPr>
        <w:t xml:space="preserve">, Supreme Court, Kings County (Judge Katherine A. Levine), in unpublished opinion, held that there is a statutory presumption that the firefighter ‘s liver cancer was caused by his work at the World Trade Center cleanup operation.  The firefighter’s pension is therefore increased from one-half his salary (taxable) to three-quarters of his salary (tax-free).  </w:t>
      </w:r>
    </w:p>
    <w:p w14:paraId="23FD7B67" w14:textId="77777777" w:rsidR="00A52325" w:rsidRDefault="00A52325" w:rsidP="00A52325">
      <w:pPr>
        <w:pStyle w:val="NoSpacing"/>
        <w:rPr>
          <w:rFonts w:ascii="Times New Roman" w:hAnsi="Times New Roman"/>
          <w:sz w:val="24"/>
          <w:szCs w:val="24"/>
        </w:rPr>
      </w:pPr>
    </w:p>
    <w:p w14:paraId="4E73E24D" w14:textId="77777777" w:rsidR="00A52325" w:rsidRDefault="00A52325" w:rsidP="00A52325">
      <w:pPr>
        <w:pStyle w:val="NoSpacing"/>
        <w:ind w:left="720"/>
        <w:rPr>
          <w:rFonts w:ascii="Times New Roman" w:hAnsi="Times New Roman"/>
          <w:sz w:val="24"/>
          <w:szCs w:val="24"/>
        </w:rPr>
      </w:pPr>
      <w:r>
        <w:rPr>
          <w:rFonts w:ascii="Times New Roman" w:hAnsi="Times New Roman"/>
          <w:sz w:val="24"/>
          <w:szCs w:val="24"/>
        </w:rPr>
        <w:t xml:space="preserve">“While the Pension Fund does not dispute that Daly has a qualifying physical condition, it argues that it presented competent evidence to the court which disproves that petitioner's disability was attributable to his WTC rescue, recovery and cleanup operations, and proves that it was caused by persistent ascites and abdominal distention due to alcoholic cirrhosis of the liver. This court finds that respondent failed to proffer competent evidence to rebut the presumption that petitioner's qualifying physical condition was caused by the hazards he encountered at the WTC </w:t>
      </w:r>
      <w:proofErr w:type="gramStart"/>
      <w:r>
        <w:rPr>
          <w:rFonts w:ascii="Times New Roman" w:hAnsi="Times New Roman"/>
          <w:sz w:val="24"/>
          <w:szCs w:val="24"/>
        </w:rPr>
        <w:t>site.”</w:t>
      </w:r>
      <w:proofErr w:type="gramEnd"/>
    </w:p>
    <w:p w14:paraId="4EBD938A" w14:textId="77777777" w:rsidR="00A52325" w:rsidRDefault="00A52325" w:rsidP="00A52325">
      <w:pPr>
        <w:pStyle w:val="NoSpacing"/>
        <w:ind w:left="720"/>
        <w:rPr>
          <w:rFonts w:ascii="Times New Roman" w:hAnsi="Times New Roman"/>
          <w:sz w:val="24"/>
          <w:szCs w:val="24"/>
        </w:rPr>
      </w:pPr>
      <w:hyperlink r:id="rId607" w:history="1">
        <w:r>
          <w:rPr>
            <w:rStyle w:val="Hyperlink"/>
            <w:rFonts w:ascii="Times New Roman" w:hAnsi="Times New Roman"/>
            <w:sz w:val="24"/>
            <w:szCs w:val="24"/>
          </w:rPr>
          <w:t>https://law.justia.com/cases/new-york/other-courts/2019/2019-ny-slip-op-51525-u.html</w:t>
        </w:r>
      </w:hyperlink>
      <w:r>
        <w:rPr>
          <w:rFonts w:ascii="Times New Roman" w:hAnsi="Times New Roman"/>
          <w:sz w:val="24"/>
          <w:szCs w:val="24"/>
        </w:rPr>
        <w:t xml:space="preserve"> </w:t>
      </w:r>
    </w:p>
    <w:p w14:paraId="2DE32D4C" w14:textId="4ADAAE85" w:rsidR="00A52325" w:rsidRDefault="00A52325" w:rsidP="00EF1133">
      <w:pPr>
        <w:pStyle w:val="NoSpacing"/>
        <w:rPr>
          <w:rFonts w:ascii="Arial Black" w:hAnsi="Arial Black"/>
          <w:sz w:val="24"/>
          <w:szCs w:val="24"/>
        </w:rPr>
      </w:pPr>
    </w:p>
    <w:p w14:paraId="29139C9C" w14:textId="77777777" w:rsidR="00965872" w:rsidRDefault="00A52325" w:rsidP="00A52325">
      <w:pPr>
        <w:pStyle w:val="NoSpacing"/>
        <w:rPr>
          <w:rFonts w:ascii="Times New Roman" w:hAnsi="Times New Roman"/>
          <w:b/>
          <w:bCs/>
          <w:sz w:val="24"/>
          <w:szCs w:val="24"/>
        </w:rPr>
      </w:pPr>
      <w:r>
        <w:rPr>
          <w:rFonts w:ascii="Times New Roman" w:hAnsi="Times New Roman"/>
          <w:b/>
          <w:bCs/>
          <w:sz w:val="24"/>
          <w:szCs w:val="24"/>
        </w:rPr>
        <w:t xml:space="preserve">Legal Lessons Learned: The World Trade Center legislation created a “statutory presumption” that cancer was caused by their work at the WTC.  All firefighters should keep a record of structure fires and other exposures to hazardous environments, including even if you work in a state that have enacted workers comp. statutory presumptions, such as Ohio. See the Ohio application: </w:t>
      </w:r>
    </w:p>
    <w:p w14:paraId="7471988A" w14:textId="77777777" w:rsidR="00965872" w:rsidRDefault="00965872" w:rsidP="00A52325">
      <w:pPr>
        <w:pStyle w:val="NoSpacing"/>
        <w:rPr>
          <w:rFonts w:ascii="Times New Roman" w:hAnsi="Times New Roman"/>
          <w:b/>
          <w:bCs/>
          <w:sz w:val="24"/>
          <w:szCs w:val="24"/>
        </w:rPr>
      </w:pPr>
    </w:p>
    <w:p w14:paraId="5D1EFE59" w14:textId="52969460" w:rsidR="00A52325" w:rsidRDefault="00965872" w:rsidP="00965872">
      <w:pPr>
        <w:pStyle w:val="NoSpacing"/>
        <w:ind w:firstLine="720"/>
        <w:rPr>
          <w:rFonts w:ascii="Times New Roman" w:hAnsi="Times New Roman"/>
          <w:sz w:val="24"/>
          <w:szCs w:val="24"/>
        </w:rPr>
      </w:pPr>
      <w:hyperlink r:id="rId608" w:history="1">
        <w:r w:rsidRPr="002F304C">
          <w:rPr>
            <w:rStyle w:val="Hyperlink"/>
            <w:rFonts w:ascii="Times New Roman" w:hAnsi="Times New Roman"/>
            <w:b/>
            <w:bCs/>
            <w:sz w:val="24"/>
            <w:szCs w:val="24"/>
          </w:rPr>
          <w:t>https://www.bwc.ohio.gov/downloads/blankpdf/C-265.pdf</w:t>
        </w:r>
      </w:hyperlink>
      <w:r w:rsidR="00A52325">
        <w:rPr>
          <w:rFonts w:ascii="Times New Roman" w:hAnsi="Times New Roman"/>
          <w:b/>
          <w:bCs/>
          <w:sz w:val="24"/>
          <w:szCs w:val="24"/>
        </w:rPr>
        <w:t xml:space="preserve"> </w:t>
      </w:r>
    </w:p>
    <w:p w14:paraId="0910932C" w14:textId="77777777" w:rsidR="00A52325" w:rsidRPr="00965872" w:rsidRDefault="00A52325" w:rsidP="00965872">
      <w:pPr>
        <w:pStyle w:val="NoSpacing"/>
        <w:ind w:left="720"/>
        <w:rPr>
          <w:rFonts w:ascii="Times New Roman" w:hAnsi="Times New Roman"/>
          <w:sz w:val="24"/>
          <w:szCs w:val="24"/>
        </w:rPr>
      </w:pPr>
      <w:r w:rsidRPr="00965872">
        <w:rPr>
          <w:rFonts w:ascii="Times New Roman" w:hAnsi="Times New Roman"/>
          <w:sz w:val="24"/>
          <w:szCs w:val="24"/>
        </w:rPr>
        <w:t xml:space="preserve">“Have you been assigned to at least six years of hazardous duty as a fire fighter? Yes No If yes, please provide a history of your hazardous duty as a firefighter. “Hazardous duty” means duty performed </w:t>
      </w:r>
      <w:proofErr w:type="gramStart"/>
      <w:r w:rsidRPr="00965872">
        <w:rPr>
          <w:rFonts w:ascii="Times New Roman" w:hAnsi="Times New Roman"/>
          <w:sz w:val="24"/>
          <w:szCs w:val="24"/>
        </w:rPr>
        <w:t>under circumstances in which</w:t>
      </w:r>
      <w:proofErr w:type="gramEnd"/>
      <w:r w:rsidRPr="00965872">
        <w:rPr>
          <w:rFonts w:ascii="Times New Roman" w:hAnsi="Times New Roman"/>
          <w:sz w:val="24"/>
          <w:szCs w:val="24"/>
        </w:rPr>
        <w:t xml:space="preserve"> an accident could result in serious injury or death.” </w:t>
      </w:r>
    </w:p>
    <w:p w14:paraId="5BEAB59B" w14:textId="77777777" w:rsidR="00A52325" w:rsidRDefault="00A52325" w:rsidP="00A52325">
      <w:pPr>
        <w:pStyle w:val="NoSpacing"/>
        <w:ind w:left="720"/>
        <w:rPr>
          <w:rFonts w:ascii="Arial Black" w:hAnsi="Arial Black"/>
          <w:sz w:val="28"/>
          <w:szCs w:val="28"/>
        </w:rPr>
      </w:pPr>
    </w:p>
    <w:p w14:paraId="4265F96F" w14:textId="79839627" w:rsidR="00A52325" w:rsidRPr="00A52325" w:rsidRDefault="00A52325" w:rsidP="00EF1133">
      <w:pPr>
        <w:pStyle w:val="NoSpacing"/>
        <w:rPr>
          <w:rFonts w:ascii="Times New Roman" w:hAnsi="Times New Roman"/>
          <w:sz w:val="24"/>
          <w:szCs w:val="24"/>
        </w:rPr>
      </w:pPr>
    </w:p>
    <w:p w14:paraId="33B6B009" w14:textId="77777777" w:rsidR="00A52325" w:rsidRDefault="00A52325" w:rsidP="00EF1133">
      <w:pPr>
        <w:pStyle w:val="NoSpacing"/>
        <w:rPr>
          <w:rFonts w:ascii="Arial Black" w:hAnsi="Arial Black"/>
          <w:sz w:val="24"/>
          <w:szCs w:val="24"/>
        </w:rPr>
      </w:pPr>
    </w:p>
    <w:p w14:paraId="663D651A" w14:textId="0A3F268D" w:rsidR="00853142" w:rsidRDefault="00853142" w:rsidP="00EF1133">
      <w:pPr>
        <w:pStyle w:val="NoSpacing"/>
        <w:rPr>
          <w:rFonts w:ascii="Arial Black" w:hAnsi="Arial Black"/>
          <w:sz w:val="24"/>
          <w:szCs w:val="24"/>
        </w:rPr>
      </w:pPr>
      <w:r>
        <w:rPr>
          <w:rFonts w:ascii="Arial Black" w:hAnsi="Arial Black"/>
          <w:sz w:val="24"/>
          <w:szCs w:val="24"/>
        </w:rPr>
        <w:t>2-1</w:t>
      </w:r>
      <w:r w:rsidR="00D07E6E">
        <w:rPr>
          <w:rFonts w:ascii="Arial Black" w:hAnsi="Arial Black"/>
          <w:sz w:val="24"/>
          <w:szCs w:val="24"/>
        </w:rPr>
        <w:t>9</w:t>
      </w:r>
    </w:p>
    <w:p w14:paraId="33FBEDB8" w14:textId="62DB7BDE" w:rsidR="00853142" w:rsidRDefault="00853142" w:rsidP="00EF1133">
      <w:pPr>
        <w:pStyle w:val="NoSpacing"/>
        <w:rPr>
          <w:rFonts w:ascii="Arial Black" w:hAnsi="Arial Black"/>
          <w:sz w:val="24"/>
          <w:szCs w:val="24"/>
        </w:rPr>
      </w:pPr>
    </w:p>
    <w:p w14:paraId="406B8699" w14:textId="77777777" w:rsidR="00853142" w:rsidRPr="00A57FCF" w:rsidRDefault="00853142" w:rsidP="00853142">
      <w:pPr>
        <w:pStyle w:val="NoSpacing"/>
        <w:rPr>
          <w:rFonts w:ascii="Arial Black" w:hAnsi="Arial Black"/>
          <w:sz w:val="28"/>
          <w:szCs w:val="28"/>
        </w:rPr>
      </w:pPr>
      <w:r w:rsidRPr="00A57FCF">
        <w:rPr>
          <w:rFonts w:ascii="Arial Black" w:hAnsi="Arial Black"/>
          <w:sz w:val="28"/>
          <w:szCs w:val="28"/>
        </w:rPr>
        <w:t xml:space="preserve">PA: </w:t>
      </w:r>
      <w:r>
        <w:rPr>
          <w:rFonts w:ascii="Arial Black" w:hAnsi="Arial Black"/>
          <w:sz w:val="28"/>
          <w:szCs w:val="28"/>
        </w:rPr>
        <w:t xml:space="preserve">THREE FF KILLED – ROW HOUSE STRUCTURE FIRE - MAYOR, FIRE CHIEF DENIED QUALIFIED IMMUNITY – “ROLLING BROWNOUTS”  </w:t>
      </w:r>
    </w:p>
    <w:p w14:paraId="3967A63B" w14:textId="77777777" w:rsidR="00853142" w:rsidRPr="00C8181A" w:rsidRDefault="00853142" w:rsidP="00853142">
      <w:pPr>
        <w:rPr>
          <w:rFonts w:ascii="Times New Roman" w:hAnsi="Times New Roman"/>
          <w:sz w:val="24"/>
          <w:szCs w:val="24"/>
        </w:rPr>
      </w:pPr>
      <w:r w:rsidRPr="00C8181A">
        <w:rPr>
          <w:rFonts w:ascii="Times New Roman" w:hAnsi="Times New Roman"/>
          <w:sz w:val="24"/>
          <w:szCs w:val="24"/>
        </w:rPr>
        <w:t xml:space="preserve">On Aug. 28, 2019, in </w:t>
      </w:r>
      <w:r w:rsidRPr="00C8181A">
        <w:rPr>
          <w:rFonts w:ascii="Times New Roman" w:hAnsi="Times New Roman"/>
          <w:sz w:val="24"/>
          <w:szCs w:val="24"/>
          <w:u w:val="single"/>
        </w:rPr>
        <w:t>Firefighter Brad Speakman, Ret., et. al v. Dennis P. Williams, James M. Baker, Anthony S. Goode, William Patrick, and City of Wilmington</w:t>
      </w:r>
      <w:r w:rsidRPr="00C8181A">
        <w:rPr>
          <w:rFonts w:ascii="Times New Roman" w:hAnsi="Times New Roman"/>
          <w:sz w:val="24"/>
          <w:szCs w:val="24"/>
        </w:rPr>
        <w:t xml:space="preserve">, U.S. Magistrate Judge Mary Pat Thynge, U.S. District Court for the District of Delaware, issued a Report </w:t>
      </w:r>
      <w:proofErr w:type="gramStart"/>
      <w:r w:rsidRPr="00C8181A">
        <w:rPr>
          <w:rFonts w:ascii="Times New Roman" w:hAnsi="Times New Roman"/>
          <w:sz w:val="24"/>
          <w:szCs w:val="24"/>
        </w:rPr>
        <w:t>And</w:t>
      </w:r>
      <w:proofErr w:type="gramEnd"/>
      <w:r w:rsidRPr="00C8181A">
        <w:rPr>
          <w:rFonts w:ascii="Times New Roman" w:hAnsi="Times New Roman"/>
          <w:sz w:val="24"/>
          <w:szCs w:val="24"/>
        </w:rPr>
        <w:t xml:space="preserve"> Recommendation to </w:t>
      </w:r>
      <w:r>
        <w:rPr>
          <w:rFonts w:ascii="Times New Roman" w:hAnsi="Times New Roman"/>
          <w:sz w:val="24"/>
          <w:szCs w:val="24"/>
        </w:rPr>
        <w:t xml:space="preserve">a U.S. District Court judge assigned to this lawsuit arising from September 24, </w:t>
      </w:r>
      <w:proofErr w:type="gramStart"/>
      <w:r>
        <w:rPr>
          <w:rFonts w:ascii="Times New Roman" w:hAnsi="Times New Roman"/>
          <w:sz w:val="24"/>
          <w:szCs w:val="24"/>
        </w:rPr>
        <w:t>2016</w:t>
      </w:r>
      <w:proofErr w:type="gramEnd"/>
      <w:r>
        <w:rPr>
          <w:rFonts w:ascii="Times New Roman" w:hAnsi="Times New Roman"/>
          <w:sz w:val="24"/>
          <w:szCs w:val="24"/>
        </w:rPr>
        <w:t xml:space="preserve"> structure fire in a row house started by an arsonist.  </w:t>
      </w:r>
      <w:r w:rsidRPr="00C8181A">
        <w:rPr>
          <w:rFonts w:ascii="Times New Roman" w:hAnsi="Times New Roman"/>
          <w:sz w:val="24"/>
          <w:szCs w:val="24"/>
        </w:rPr>
        <w:t xml:space="preserve"> </w:t>
      </w:r>
      <w:r>
        <w:rPr>
          <w:rFonts w:ascii="Times New Roman" w:hAnsi="Times New Roman"/>
          <w:sz w:val="24"/>
          <w:szCs w:val="24"/>
        </w:rPr>
        <w:t xml:space="preserve">The Magistrate recommended that </w:t>
      </w:r>
      <w:r w:rsidRPr="00C8181A">
        <w:rPr>
          <w:rFonts w:ascii="Times New Roman" w:hAnsi="Times New Roman"/>
          <w:sz w:val="24"/>
          <w:szCs w:val="24"/>
        </w:rPr>
        <w:t>Mayor Williams</w:t>
      </w:r>
      <w:r>
        <w:rPr>
          <w:rFonts w:ascii="Times New Roman" w:hAnsi="Times New Roman"/>
          <w:sz w:val="24"/>
          <w:szCs w:val="24"/>
        </w:rPr>
        <w:t xml:space="preserve">, </w:t>
      </w:r>
      <w:r w:rsidRPr="00C8181A">
        <w:rPr>
          <w:rFonts w:ascii="Times New Roman" w:hAnsi="Times New Roman"/>
          <w:sz w:val="24"/>
          <w:szCs w:val="24"/>
        </w:rPr>
        <w:t>Fire Chief Goode</w:t>
      </w:r>
      <w:r>
        <w:rPr>
          <w:rFonts w:ascii="Times New Roman" w:hAnsi="Times New Roman"/>
          <w:sz w:val="24"/>
          <w:szCs w:val="24"/>
        </w:rPr>
        <w:t xml:space="preserve"> not be granted qualified immunity at this time because of their </w:t>
      </w:r>
      <w:r w:rsidRPr="00C8181A">
        <w:rPr>
          <w:rFonts w:ascii="Times New Roman" w:hAnsi="Times New Roman"/>
          <w:sz w:val="24"/>
          <w:szCs w:val="24"/>
        </w:rPr>
        <w:t>“brownouts” of fire stations</w:t>
      </w:r>
      <w:r>
        <w:rPr>
          <w:rFonts w:ascii="Times New Roman" w:hAnsi="Times New Roman"/>
          <w:sz w:val="24"/>
          <w:szCs w:val="24"/>
        </w:rPr>
        <w:t xml:space="preserve"> – called “rolling bypass policy.” </w:t>
      </w:r>
      <w:hyperlink r:id="rId609" w:history="1">
        <w:r w:rsidRPr="00C8181A">
          <w:rPr>
            <w:rStyle w:val="Hyperlink"/>
            <w:rFonts w:ascii="Times New Roman" w:hAnsi="Times New Roman"/>
            <w:sz w:val="24"/>
            <w:szCs w:val="24"/>
          </w:rPr>
          <w:t>https://shawkeller.com/wp-content/uploads/opinions-pdf/18-1252-CMMPT.pdf</w:t>
        </w:r>
      </w:hyperlink>
      <w:r w:rsidRPr="00C8181A">
        <w:rPr>
          <w:rFonts w:ascii="Times New Roman" w:hAnsi="Times New Roman"/>
          <w:sz w:val="24"/>
          <w:szCs w:val="24"/>
        </w:rPr>
        <w:t xml:space="preserve"> </w:t>
      </w:r>
    </w:p>
    <w:p w14:paraId="5860FF45" w14:textId="77777777" w:rsidR="00853142" w:rsidRPr="006666F5" w:rsidRDefault="00853142" w:rsidP="00853142">
      <w:pPr>
        <w:rPr>
          <w:rFonts w:ascii="Times New Roman" w:hAnsi="Times New Roman"/>
          <w:sz w:val="24"/>
          <w:szCs w:val="24"/>
        </w:rPr>
      </w:pPr>
      <w:r>
        <w:rPr>
          <w:rFonts w:ascii="Times New Roman" w:hAnsi="Times New Roman"/>
          <w:sz w:val="24"/>
          <w:szCs w:val="24"/>
        </w:rPr>
        <w:tab/>
        <w:t xml:space="preserve">Magistrate Judge </w:t>
      </w:r>
      <w:proofErr w:type="spellStart"/>
      <w:r>
        <w:rPr>
          <w:rFonts w:ascii="Times New Roman" w:hAnsi="Times New Roman"/>
          <w:sz w:val="24"/>
          <w:szCs w:val="24"/>
        </w:rPr>
        <w:t>Thynge</w:t>
      </w:r>
      <w:proofErr w:type="spellEnd"/>
      <w:r>
        <w:rPr>
          <w:rFonts w:ascii="Times New Roman" w:hAnsi="Times New Roman"/>
          <w:sz w:val="24"/>
          <w:szCs w:val="24"/>
        </w:rPr>
        <w:t xml:space="preserve"> wrote: </w:t>
      </w:r>
    </w:p>
    <w:p w14:paraId="1C2DF21B" w14:textId="77777777" w:rsidR="00853142" w:rsidRDefault="00853142" w:rsidP="00853142">
      <w:pPr>
        <w:pStyle w:val="NoSpacing"/>
        <w:ind w:left="1440"/>
        <w:rPr>
          <w:rFonts w:ascii="Times New Roman" w:hAnsi="Times New Roman"/>
          <w:sz w:val="24"/>
          <w:szCs w:val="24"/>
        </w:rPr>
      </w:pPr>
      <w:r>
        <w:rPr>
          <w:rFonts w:ascii="Times New Roman" w:hAnsi="Times New Roman"/>
          <w:sz w:val="24"/>
          <w:szCs w:val="24"/>
        </w:rPr>
        <w:t>“</w:t>
      </w:r>
      <w:r w:rsidRPr="006666F5">
        <w:rPr>
          <w:rFonts w:ascii="Times New Roman" w:hAnsi="Times New Roman"/>
          <w:sz w:val="24"/>
          <w:szCs w:val="24"/>
        </w:rPr>
        <w:t>Mayor Williams and Chief Goode understood that, with fire</w:t>
      </w:r>
      <w:r>
        <w:rPr>
          <w:rFonts w:ascii="Times New Roman" w:hAnsi="Times New Roman"/>
          <w:sz w:val="24"/>
          <w:szCs w:val="24"/>
        </w:rPr>
        <w:t xml:space="preserve"> </w:t>
      </w:r>
      <w:r w:rsidRPr="006666F5">
        <w:rPr>
          <w:rFonts w:ascii="Times New Roman" w:hAnsi="Times New Roman"/>
          <w:sz w:val="24"/>
          <w:szCs w:val="24"/>
        </w:rPr>
        <w:t>houses</w:t>
      </w:r>
      <w:r>
        <w:rPr>
          <w:rFonts w:ascii="Times New Roman" w:hAnsi="Times New Roman"/>
          <w:sz w:val="24"/>
          <w:szCs w:val="24"/>
        </w:rPr>
        <w:t xml:space="preserve"> </w:t>
      </w:r>
      <w:r w:rsidRPr="006666F5">
        <w:rPr>
          <w:rFonts w:ascii="Times New Roman" w:hAnsi="Times New Roman"/>
          <w:sz w:val="24"/>
          <w:szCs w:val="24"/>
        </w:rPr>
        <w:t>closed, overtime, the main impetus for the rolling bypass policy, substantially increased</w:t>
      </w:r>
      <w:r>
        <w:rPr>
          <w:rFonts w:ascii="Times New Roman" w:hAnsi="Times New Roman"/>
          <w:sz w:val="24"/>
          <w:szCs w:val="24"/>
        </w:rPr>
        <w:t xml:space="preserve"> </w:t>
      </w:r>
      <w:r w:rsidRPr="006666F5">
        <w:rPr>
          <w:rFonts w:ascii="Times New Roman" w:hAnsi="Times New Roman"/>
          <w:sz w:val="24"/>
          <w:szCs w:val="24"/>
        </w:rPr>
        <w:t>during both the Goode and Williams’ administrations. Union Officials routinely warned</w:t>
      </w:r>
      <w:r>
        <w:rPr>
          <w:rFonts w:ascii="Times New Roman" w:hAnsi="Times New Roman"/>
          <w:sz w:val="24"/>
          <w:szCs w:val="24"/>
        </w:rPr>
        <w:t xml:space="preserve"> </w:t>
      </w:r>
      <w:r w:rsidRPr="006666F5">
        <w:rPr>
          <w:rFonts w:ascii="Times New Roman" w:hAnsi="Times New Roman"/>
          <w:sz w:val="24"/>
          <w:szCs w:val="24"/>
        </w:rPr>
        <w:t>Mayor Williams and Chief Goode of the dangers associated with the continued use of</w:t>
      </w:r>
      <w:r>
        <w:rPr>
          <w:rFonts w:ascii="Times New Roman" w:hAnsi="Times New Roman"/>
          <w:sz w:val="24"/>
          <w:szCs w:val="24"/>
        </w:rPr>
        <w:t xml:space="preserve"> </w:t>
      </w:r>
      <w:r w:rsidRPr="006666F5">
        <w:rPr>
          <w:rFonts w:ascii="Times New Roman" w:hAnsi="Times New Roman"/>
          <w:sz w:val="24"/>
          <w:szCs w:val="24"/>
        </w:rPr>
        <w:t>rolling bypass. Despite repeated, emphatic warnings and concerns expressed by Union</w:t>
      </w:r>
      <w:r>
        <w:rPr>
          <w:rFonts w:ascii="Times New Roman" w:hAnsi="Times New Roman"/>
          <w:sz w:val="24"/>
          <w:szCs w:val="24"/>
        </w:rPr>
        <w:t xml:space="preserve"> </w:t>
      </w:r>
      <w:r w:rsidRPr="006666F5">
        <w:rPr>
          <w:rFonts w:ascii="Times New Roman" w:hAnsi="Times New Roman"/>
          <w:sz w:val="24"/>
          <w:szCs w:val="24"/>
        </w:rPr>
        <w:t>officials, firefighters, City Council, the public, and the media, Mayor Williams and Chief</w:t>
      </w:r>
      <w:r>
        <w:rPr>
          <w:rFonts w:ascii="Times New Roman" w:hAnsi="Times New Roman"/>
          <w:sz w:val="24"/>
          <w:szCs w:val="24"/>
        </w:rPr>
        <w:t xml:space="preserve"> </w:t>
      </w:r>
      <w:r w:rsidRPr="006666F5">
        <w:rPr>
          <w:rFonts w:ascii="Times New Roman" w:hAnsi="Times New Roman"/>
          <w:sz w:val="24"/>
          <w:szCs w:val="24"/>
        </w:rPr>
        <w:t>Goode maintained the rolling bypass policy. Accordingly, Plaintiffs adequately state</w:t>
      </w:r>
      <w:r>
        <w:rPr>
          <w:rFonts w:ascii="Times New Roman" w:hAnsi="Times New Roman"/>
          <w:sz w:val="24"/>
          <w:szCs w:val="24"/>
        </w:rPr>
        <w:t xml:space="preserve"> </w:t>
      </w:r>
      <w:r w:rsidRPr="006666F5">
        <w:rPr>
          <w:rFonts w:ascii="Times New Roman" w:hAnsi="Times New Roman"/>
          <w:sz w:val="24"/>
          <w:szCs w:val="24"/>
        </w:rPr>
        <w:t xml:space="preserve">facts which support conduct that </w:t>
      </w:r>
      <w:proofErr w:type="gramStart"/>
      <w:r w:rsidRPr="006666F5">
        <w:rPr>
          <w:rFonts w:ascii="Times New Roman" w:hAnsi="Times New Roman"/>
          <w:sz w:val="24"/>
          <w:szCs w:val="24"/>
        </w:rPr>
        <w:t>shocks</w:t>
      </w:r>
      <w:proofErr w:type="gramEnd"/>
      <w:r w:rsidRPr="006666F5">
        <w:rPr>
          <w:rFonts w:ascii="Times New Roman" w:hAnsi="Times New Roman"/>
          <w:sz w:val="24"/>
          <w:szCs w:val="24"/>
        </w:rPr>
        <w:t xml:space="preserve"> the conscious against Mayor Williams and</w:t>
      </w:r>
      <w:r>
        <w:rPr>
          <w:rFonts w:ascii="Times New Roman" w:hAnsi="Times New Roman"/>
          <w:sz w:val="24"/>
          <w:szCs w:val="24"/>
        </w:rPr>
        <w:t xml:space="preserve"> </w:t>
      </w:r>
      <w:r w:rsidRPr="006666F5">
        <w:rPr>
          <w:rFonts w:ascii="Times New Roman" w:hAnsi="Times New Roman"/>
          <w:sz w:val="24"/>
          <w:szCs w:val="24"/>
        </w:rPr>
        <w:t>Chief Goode</w:t>
      </w:r>
      <w:r>
        <w:rPr>
          <w:rFonts w:ascii="Times New Roman" w:hAnsi="Times New Roman"/>
          <w:sz w:val="24"/>
          <w:szCs w:val="24"/>
        </w:rPr>
        <w:t>.</w:t>
      </w:r>
    </w:p>
    <w:p w14:paraId="29ADA8D6" w14:textId="77777777" w:rsidR="00853142" w:rsidRDefault="00853142" w:rsidP="00853142">
      <w:pPr>
        <w:pStyle w:val="NoSpacing"/>
        <w:ind w:left="1440"/>
        <w:rPr>
          <w:rFonts w:ascii="Times New Roman" w:hAnsi="Times New Roman"/>
          <w:sz w:val="24"/>
          <w:szCs w:val="24"/>
        </w:rPr>
      </w:pPr>
    </w:p>
    <w:p w14:paraId="0632E7F9" w14:textId="77777777" w:rsidR="00853142" w:rsidRPr="006666F5" w:rsidRDefault="00853142" w:rsidP="00853142">
      <w:pPr>
        <w:pStyle w:val="NoSpacing"/>
        <w:ind w:left="1440"/>
        <w:rPr>
          <w:rFonts w:ascii="Times New Roman" w:hAnsi="Times New Roman"/>
          <w:sz w:val="24"/>
          <w:szCs w:val="24"/>
        </w:rPr>
      </w:pPr>
      <w:r>
        <w:rPr>
          <w:rFonts w:ascii="Times New Roman" w:hAnsi="Times New Roman"/>
          <w:sz w:val="24"/>
          <w:szCs w:val="24"/>
        </w:rPr>
        <w:t>***</w:t>
      </w:r>
    </w:p>
    <w:p w14:paraId="69F9E0D8" w14:textId="77777777" w:rsidR="00853142" w:rsidRDefault="00853142" w:rsidP="00853142">
      <w:pPr>
        <w:ind w:left="1440"/>
        <w:rPr>
          <w:rFonts w:ascii="Times New Roman" w:hAnsi="Times New Roman"/>
          <w:sz w:val="24"/>
          <w:szCs w:val="24"/>
        </w:rPr>
      </w:pPr>
      <w:r>
        <w:rPr>
          <w:rFonts w:ascii="Times New Roman" w:hAnsi="Times New Roman"/>
          <w:sz w:val="24"/>
          <w:szCs w:val="24"/>
        </w:rPr>
        <w:t>I</w:t>
      </w:r>
      <w:r w:rsidRPr="00C8181A">
        <w:rPr>
          <w:rFonts w:ascii="Times New Roman" w:hAnsi="Times New Roman"/>
          <w:sz w:val="24"/>
          <w:szCs w:val="24"/>
        </w:rPr>
        <w:t>n the instant matter, City Council enacted a statute to address its concerns of</w:t>
      </w:r>
      <w:r>
        <w:rPr>
          <w:rFonts w:ascii="Times New Roman" w:hAnsi="Times New Roman"/>
          <w:sz w:val="24"/>
          <w:szCs w:val="24"/>
        </w:rPr>
        <w:t xml:space="preserve"> </w:t>
      </w:r>
      <w:r w:rsidRPr="00C8181A">
        <w:rPr>
          <w:rFonts w:ascii="Times New Roman" w:hAnsi="Times New Roman"/>
          <w:sz w:val="24"/>
          <w:szCs w:val="24"/>
        </w:rPr>
        <w:t>under-staffing and overtime.</w:t>
      </w:r>
      <w:r>
        <w:rPr>
          <w:rFonts w:ascii="Times New Roman" w:hAnsi="Times New Roman"/>
          <w:sz w:val="24"/>
          <w:szCs w:val="24"/>
        </w:rPr>
        <w:t xml:space="preserve"> </w:t>
      </w:r>
      <w:r w:rsidRPr="00C8181A">
        <w:rPr>
          <w:rFonts w:ascii="Times New Roman" w:hAnsi="Times New Roman"/>
          <w:sz w:val="24"/>
          <w:szCs w:val="24"/>
        </w:rPr>
        <w:t>Plaintiffs contend that Mayor Williams and Chief Goode</w:t>
      </w:r>
      <w:r>
        <w:rPr>
          <w:rFonts w:ascii="Times New Roman" w:hAnsi="Times New Roman"/>
          <w:sz w:val="24"/>
          <w:szCs w:val="24"/>
        </w:rPr>
        <w:t xml:space="preserve"> </w:t>
      </w:r>
      <w:r w:rsidRPr="00C8181A">
        <w:rPr>
          <w:rFonts w:ascii="Times New Roman" w:hAnsi="Times New Roman"/>
          <w:sz w:val="24"/>
          <w:szCs w:val="24"/>
        </w:rPr>
        <w:t xml:space="preserve">failed to comply with that </w:t>
      </w:r>
      <w:proofErr w:type="gramStart"/>
      <w:r w:rsidRPr="00C8181A">
        <w:rPr>
          <w:rFonts w:ascii="Times New Roman" w:hAnsi="Times New Roman"/>
          <w:sz w:val="24"/>
          <w:szCs w:val="24"/>
        </w:rPr>
        <w:t>statute, and</w:t>
      </w:r>
      <w:proofErr w:type="gramEnd"/>
      <w:r w:rsidRPr="00C8181A">
        <w:rPr>
          <w:rFonts w:ascii="Times New Roman" w:hAnsi="Times New Roman"/>
          <w:sz w:val="24"/>
          <w:szCs w:val="24"/>
        </w:rPr>
        <w:t xml:space="preserve"> were clearly aware of the dangers concerning</w:t>
      </w:r>
      <w:r>
        <w:rPr>
          <w:rFonts w:ascii="Times New Roman" w:hAnsi="Times New Roman"/>
          <w:sz w:val="24"/>
          <w:szCs w:val="24"/>
        </w:rPr>
        <w:t xml:space="preserve"> </w:t>
      </w:r>
      <w:r w:rsidRPr="00C8181A">
        <w:rPr>
          <w:rFonts w:ascii="Times New Roman" w:hAnsi="Times New Roman"/>
          <w:sz w:val="24"/>
          <w:szCs w:val="24"/>
        </w:rPr>
        <w:t>rolling bypass.</w:t>
      </w:r>
      <w:r>
        <w:rPr>
          <w:rFonts w:ascii="Times New Roman" w:hAnsi="Times New Roman"/>
          <w:sz w:val="24"/>
          <w:szCs w:val="24"/>
        </w:rPr>
        <w:t xml:space="preserve"> </w:t>
      </w:r>
      <w:r w:rsidRPr="00C8181A">
        <w:rPr>
          <w:rFonts w:ascii="Times New Roman" w:hAnsi="Times New Roman"/>
          <w:sz w:val="24"/>
          <w:szCs w:val="24"/>
        </w:rPr>
        <w:t xml:space="preserve"> They further maintain that the </w:t>
      </w:r>
      <w:proofErr w:type="gramStart"/>
      <w:r w:rsidRPr="00C8181A">
        <w:rPr>
          <w:rFonts w:ascii="Times New Roman" w:hAnsi="Times New Roman"/>
          <w:sz w:val="24"/>
          <w:szCs w:val="24"/>
        </w:rPr>
        <w:t>City</w:t>
      </w:r>
      <w:proofErr w:type="gramEnd"/>
      <w:r w:rsidRPr="00C8181A">
        <w:rPr>
          <w:rFonts w:ascii="Times New Roman" w:hAnsi="Times New Roman"/>
          <w:sz w:val="24"/>
          <w:szCs w:val="24"/>
        </w:rPr>
        <w:t>, through its Mayors and City</w:t>
      </w:r>
      <w:r>
        <w:rPr>
          <w:rFonts w:ascii="Times New Roman" w:hAnsi="Times New Roman"/>
          <w:sz w:val="24"/>
          <w:szCs w:val="24"/>
        </w:rPr>
        <w:t xml:space="preserve"> </w:t>
      </w:r>
      <w:r w:rsidRPr="00C8181A">
        <w:rPr>
          <w:rFonts w:ascii="Times New Roman" w:hAnsi="Times New Roman"/>
          <w:sz w:val="24"/>
          <w:szCs w:val="24"/>
        </w:rPr>
        <w:t>Council, understood these dangers. Despite this awareness, neither Mayor heeded</w:t>
      </w:r>
      <w:r>
        <w:rPr>
          <w:rFonts w:ascii="Times New Roman" w:hAnsi="Times New Roman"/>
          <w:sz w:val="24"/>
          <w:szCs w:val="24"/>
        </w:rPr>
        <w:t xml:space="preserve"> </w:t>
      </w:r>
      <w:r w:rsidRPr="00C8181A">
        <w:rPr>
          <w:rFonts w:ascii="Times New Roman" w:hAnsi="Times New Roman"/>
          <w:sz w:val="24"/>
          <w:szCs w:val="24"/>
        </w:rPr>
        <w:t>these concerns. Such inaction supports Plaintiffs’ allegations. Accordingly, the court finds that Plaintiffs allege sufficient facts against the City</w:t>
      </w:r>
      <w:r>
        <w:rPr>
          <w:rFonts w:ascii="Times New Roman" w:hAnsi="Times New Roman"/>
          <w:sz w:val="24"/>
          <w:szCs w:val="24"/>
        </w:rPr>
        <w:t xml:space="preserve"> </w:t>
      </w:r>
      <w:r w:rsidRPr="00C8181A">
        <w:rPr>
          <w:rFonts w:ascii="Times New Roman" w:hAnsi="Times New Roman"/>
          <w:sz w:val="24"/>
          <w:szCs w:val="24"/>
        </w:rPr>
        <w:t>for maintaining policies, practices or customs.</w:t>
      </w:r>
      <w:r>
        <w:rPr>
          <w:rFonts w:ascii="Times New Roman" w:hAnsi="Times New Roman"/>
          <w:sz w:val="24"/>
          <w:szCs w:val="24"/>
        </w:rPr>
        <w:t>”</w:t>
      </w:r>
    </w:p>
    <w:p w14:paraId="2222B6BB" w14:textId="77777777" w:rsidR="00853142" w:rsidRDefault="00853142" w:rsidP="00853142">
      <w:pPr>
        <w:pStyle w:val="NoSpacing"/>
        <w:rPr>
          <w:rFonts w:ascii="Times New Roman" w:hAnsi="Times New Roman"/>
          <w:b/>
          <w:bCs/>
          <w:sz w:val="24"/>
          <w:szCs w:val="24"/>
        </w:rPr>
      </w:pPr>
      <w:r w:rsidRPr="00250FC7">
        <w:rPr>
          <w:rFonts w:ascii="Times New Roman" w:hAnsi="Times New Roman"/>
          <w:b/>
          <w:bCs/>
          <w:sz w:val="24"/>
          <w:szCs w:val="24"/>
        </w:rPr>
        <w:t>Legal Lessons Learned:</w:t>
      </w:r>
      <w:r>
        <w:rPr>
          <w:rFonts w:ascii="Times New Roman" w:hAnsi="Times New Roman"/>
          <w:b/>
          <w:bCs/>
          <w:sz w:val="24"/>
          <w:szCs w:val="24"/>
        </w:rPr>
        <w:t xml:space="preserve"> A tragic loss of life; “rolling brownouts” of fire stations or apparatus continue to be a very controversial issue.  </w:t>
      </w:r>
    </w:p>
    <w:p w14:paraId="28C8DDC8" w14:textId="6546B36C" w:rsidR="00853142" w:rsidRPr="00015208" w:rsidRDefault="00853142" w:rsidP="00015208">
      <w:pPr>
        <w:pStyle w:val="NoSpacing"/>
        <w:ind w:left="720"/>
        <w:rPr>
          <w:rFonts w:ascii="Times New Roman" w:hAnsi="Times New Roman"/>
          <w:sz w:val="24"/>
          <w:szCs w:val="24"/>
        </w:rPr>
      </w:pPr>
      <w:r w:rsidRPr="00015208">
        <w:rPr>
          <w:rFonts w:ascii="Times New Roman" w:hAnsi="Times New Roman"/>
          <w:sz w:val="24"/>
          <w:szCs w:val="24"/>
        </w:rPr>
        <w:t xml:space="preserve">See NIOSH Fire Fighter Fatality Investigation report F2016-18 (November 9, 2018): </w:t>
      </w:r>
      <w:hyperlink r:id="rId610" w:history="1">
        <w:r w:rsidR="00015208" w:rsidRPr="00915280">
          <w:rPr>
            <w:rStyle w:val="Hyperlink"/>
            <w:rFonts w:ascii="Times New Roman" w:hAnsi="Times New Roman"/>
            <w:sz w:val="24"/>
            <w:szCs w:val="24"/>
          </w:rPr>
          <w:t>https://www.cdc.gov/niosh/fire/pdfs/face201618.pdf</w:t>
        </w:r>
      </w:hyperlink>
      <w:r w:rsidRPr="00015208">
        <w:rPr>
          <w:rFonts w:ascii="Times New Roman" w:hAnsi="Times New Roman"/>
          <w:sz w:val="24"/>
          <w:szCs w:val="24"/>
        </w:rPr>
        <w:t xml:space="preserve"> </w:t>
      </w:r>
    </w:p>
    <w:p w14:paraId="3CF0FDD3" w14:textId="77777777" w:rsidR="00853142" w:rsidRDefault="00853142" w:rsidP="00853142">
      <w:pPr>
        <w:pStyle w:val="NoSpacing"/>
        <w:rPr>
          <w:rFonts w:ascii="Times New Roman" w:hAnsi="Times New Roman"/>
          <w:sz w:val="24"/>
          <w:szCs w:val="24"/>
        </w:rPr>
      </w:pPr>
    </w:p>
    <w:p w14:paraId="04465C07" w14:textId="77777777" w:rsidR="00853142" w:rsidRPr="00015208" w:rsidRDefault="00853142" w:rsidP="00015208">
      <w:pPr>
        <w:pStyle w:val="NoSpacing"/>
        <w:ind w:left="1440"/>
        <w:rPr>
          <w:rFonts w:ascii="Times New Roman" w:hAnsi="Times New Roman"/>
          <w:sz w:val="24"/>
          <w:szCs w:val="24"/>
        </w:rPr>
      </w:pPr>
      <w:r w:rsidRPr="00015208">
        <w:rPr>
          <w:rFonts w:ascii="Times New Roman" w:hAnsi="Times New Roman"/>
          <w:sz w:val="24"/>
          <w:szCs w:val="24"/>
        </w:rPr>
        <w:t xml:space="preserve">“Ladder 2 was 1st due at this residential structure fire. Note: The 1st due engine (Engine 6) was out of service due to budget constraints affecting overtime and daily staffing of companies. The fire department </w:t>
      </w:r>
      <w:proofErr w:type="gramStart"/>
      <w:r w:rsidRPr="00015208">
        <w:rPr>
          <w:rFonts w:ascii="Times New Roman" w:hAnsi="Times New Roman"/>
          <w:sz w:val="24"/>
          <w:szCs w:val="24"/>
        </w:rPr>
        <w:t>has to</w:t>
      </w:r>
      <w:proofErr w:type="gramEnd"/>
      <w:r w:rsidRPr="00015208">
        <w:rPr>
          <w:rFonts w:ascii="Times New Roman" w:hAnsi="Times New Roman"/>
          <w:sz w:val="24"/>
          <w:szCs w:val="24"/>
        </w:rPr>
        <w:t xml:space="preserve"> detail fire fighters throughout the city to maintain minimum staffing on a prescribed number of engine companies and ladder companies (e.g., ‘rolling brown outs’). Engine 6 was housed with Ladder 2. The impact of Engine 6 being out of service is unknown.” [Page 25.]</w:t>
      </w:r>
    </w:p>
    <w:p w14:paraId="1A4519E4" w14:textId="77777777" w:rsidR="00853142" w:rsidRPr="00015208" w:rsidRDefault="00853142" w:rsidP="00853142">
      <w:pPr>
        <w:pStyle w:val="NoSpacing"/>
        <w:rPr>
          <w:rFonts w:ascii="Times New Roman" w:hAnsi="Times New Roman"/>
          <w:sz w:val="24"/>
          <w:szCs w:val="24"/>
        </w:rPr>
      </w:pPr>
    </w:p>
    <w:p w14:paraId="67FEECC8" w14:textId="77777777" w:rsidR="00853142" w:rsidRPr="00015208" w:rsidRDefault="00853142" w:rsidP="00015208">
      <w:pPr>
        <w:pStyle w:val="NoSpacing"/>
        <w:ind w:left="720"/>
        <w:rPr>
          <w:rFonts w:ascii="Times New Roman" w:hAnsi="Times New Roman"/>
          <w:sz w:val="24"/>
          <w:szCs w:val="24"/>
        </w:rPr>
      </w:pPr>
      <w:r w:rsidRPr="00015208">
        <w:rPr>
          <w:rFonts w:ascii="Times New Roman" w:hAnsi="Times New Roman"/>
          <w:sz w:val="24"/>
          <w:szCs w:val="24"/>
        </w:rPr>
        <w:t xml:space="preserve">See also: Philadelphia Fire Department Needs to Reconsider Its Brownout and Rotation Policies (Feb. 11, 2016): </w:t>
      </w:r>
      <w:hyperlink r:id="rId611" w:history="1">
        <w:r w:rsidRPr="00015208">
          <w:rPr>
            <w:rStyle w:val="Hyperlink"/>
            <w:rFonts w:ascii="Times New Roman" w:hAnsi="Times New Roman"/>
            <w:sz w:val="24"/>
            <w:szCs w:val="24"/>
          </w:rPr>
          <w:t>https://controller.phila.gov/philadelphia-audits/philadelphia-fire-department-department-needs-to-reconsider-its-brownout-rotation-policies/</w:t>
        </w:r>
      </w:hyperlink>
      <w:r w:rsidRPr="00015208">
        <w:rPr>
          <w:rFonts w:ascii="Times New Roman" w:hAnsi="Times New Roman"/>
          <w:sz w:val="24"/>
          <w:szCs w:val="24"/>
        </w:rPr>
        <w:t xml:space="preserve">  </w:t>
      </w:r>
    </w:p>
    <w:p w14:paraId="39CEB443" w14:textId="77777777" w:rsidR="00853142" w:rsidRDefault="00853142" w:rsidP="00853142">
      <w:pPr>
        <w:pStyle w:val="NoSpacing"/>
        <w:rPr>
          <w:rFonts w:ascii="Times New Roman" w:hAnsi="Times New Roman"/>
          <w:sz w:val="24"/>
          <w:szCs w:val="24"/>
        </w:rPr>
      </w:pPr>
    </w:p>
    <w:p w14:paraId="71365E56" w14:textId="77777777" w:rsidR="00965872" w:rsidRDefault="00965872" w:rsidP="00EF1133">
      <w:pPr>
        <w:pStyle w:val="NoSpacing"/>
        <w:rPr>
          <w:rFonts w:ascii="Arial Black" w:hAnsi="Arial Black"/>
          <w:sz w:val="24"/>
          <w:szCs w:val="24"/>
        </w:rPr>
      </w:pPr>
    </w:p>
    <w:p w14:paraId="71C94921" w14:textId="77777777" w:rsidR="00965872" w:rsidRDefault="00965872" w:rsidP="00EF1133">
      <w:pPr>
        <w:pStyle w:val="NoSpacing"/>
        <w:rPr>
          <w:rFonts w:ascii="Arial Black" w:hAnsi="Arial Black"/>
          <w:sz w:val="24"/>
          <w:szCs w:val="24"/>
        </w:rPr>
      </w:pPr>
    </w:p>
    <w:p w14:paraId="2A78A715" w14:textId="4DCDF8A9" w:rsidR="00EF1133" w:rsidRDefault="00EF1133" w:rsidP="00EF1133">
      <w:pPr>
        <w:pStyle w:val="NoSpacing"/>
        <w:rPr>
          <w:rFonts w:ascii="Arial Black" w:hAnsi="Arial Black"/>
          <w:sz w:val="24"/>
          <w:szCs w:val="24"/>
        </w:rPr>
      </w:pPr>
      <w:r w:rsidRPr="00791CA3">
        <w:rPr>
          <w:rFonts w:ascii="Arial Black" w:hAnsi="Arial Black"/>
          <w:sz w:val="24"/>
          <w:szCs w:val="24"/>
        </w:rPr>
        <w:t>2-1</w:t>
      </w:r>
      <w:r w:rsidR="00D07E6E">
        <w:rPr>
          <w:rFonts w:ascii="Arial Black" w:hAnsi="Arial Black"/>
          <w:sz w:val="24"/>
          <w:szCs w:val="24"/>
        </w:rPr>
        <w:t>8</w:t>
      </w:r>
    </w:p>
    <w:p w14:paraId="29130E65" w14:textId="77777777" w:rsidR="00D07E6E" w:rsidRDefault="00D07E6E" w:rsidP="00EF1133">
      <w:pPr>
        <w:pStyle w:val="NoSpacing"/>
        <w:rPr>
          <w:rFonts w:ascii="Arial Black" w:hAnsi="Arial Black"/>
          <w:sz w:val="24"/>
          <w:szCs w:val="24"/>
        </w:rPr>
      </w:pPr>
    </w:p>
    <w:p w14:paraId="3FB90683" w14:textId="3A47A75C" w:rsidR="002B1283" w:rsidRDefault="002B1283" w:rsidP="002B1283">
      <w:pPr>
        <w:rPr>
          <w:rFonts w:ascii="Arial Black" w:hAnsi="Arial Black"/>
          <w:sz w:val="28"/>
          <w:szCs w:val="28"/>
        </w:rPr>
      </w:pPr>
      <w:r>
        <w:rPr>
          <w:rFonts w:ascii="Arial Black" w:hAnsi="Arial Black"/>
          <w:sz w:val="28"/>
          <w:szCs w:val="28"/>
        </w:rPr>
        <w:t xml:space="preserve">KY:  VOL. FF INJURED LEG &amp; KNEE ON ICE – WORKERS COMP. FOR  MEDICAL, BUT NO WAGE LOSS – FF IS SELF-EMPLOYED </w:t>
      </w:r>
    </w:p>
    <w:p w14:paraId="383BB32C"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On July 12, 2019, in </w:t>
      </w:r>
      <w:r w:rsidRPr="00056819">
        <w:rPr>
          <w:rFonts w:ascii="OnTimes New Roman" w:hAnsi="OnTimes New Roman"/>
          <w:sz w:val="24"/>
          <w:szCs w:val="24"/>
          <w:u w:val="single"/>
        </w:rPr>
        <w:t>Ken Lashley v. Kentucky Volunteer Fire Department, et al</w:t>
      </w:r>
      <w:r>
        <w:rPr>
          <w:rFonts w:ascii="OnTimes New Roman" w:hAnsi="OnTimes New Roman"/>
          <w:sz w:val="24"/>
          <w:szCs w:val="24"/>
        </w:rPr>
        <w:t xml:space="preserve">., the Kentucky Court of Appeals held (3 to 0; unpublished opinion) that the Administrative Law Judge correctly determined that the firefighter </w:t>
      </w:r>
    </w:p>
    <w:p w14:paraId="655561D2"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is not entitled to any wage loss reimbursement since he owns his own business and is self-employed without wages.  </w:t>
      </w:r>
    </w:p>
    <w:p w14:paraId="17969008" w14:textId="77777777" w:rsidR="002B1283" w:rsidRDefault="002B1283" w:rsidP="002B1283">
      <w:pPr>
        <w:pStyle w:val="NoSpacing"/>
        <w:rPr>
          <w:rFonts w:ascii="OnTimes New Roman" w:hAnsi="OnTimes New Roman"/>
          <w:sz w:val="24"/>
          <w:szCs w:val="24"/>
        </w:rPr>
      </w:pPr>
    </w:p>
    <w:p w14:paraId="0620351D"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056819">
        <w:rPr>
          <w:rFonts w:ascii="Times New Roman" w:hAnsi="Times New Roman"/>
          <w:sz w:val="24"/>
          <w:szCs w:val="24"/>
        </w:rPr>
        <w:t xml:space="preserve">As a volunteer firefighter, his average weekly wage is based on his other </w:t>
      </w:r>
      <w:r>
        <w:rPr>
          <w:rFonts w:ascii="Times New Roman" w:hAnsi="Times New Roman"/>
          <w:sz w:val="24"/>
          <w:szCs w:val="24"/>
        </w:rPr>
        <w:t>‘</w:t>
      </w:r>
      <w:r w:rsidRPr="00056819">
        <w:rPr>
          <w:rFonts w:ascii="Times New Roman" w:hAnsi="Times New Roman"/>
          <w:sz w:val="24"/>
          <w:szCs w:val="24"/>
        </w:rPr>
        <w:t>regular employment.</w:t>
      </w:r>
      <w:r>
        <w:rPr>
          <w:rFonts w:ascii="Times New Roman" w:hAnsi="Times New Roman"/>
          <w:sz w:val="24"/>
          <w:szCs w:val="24"/>
        </w:rPr>
        <w:t xml:space="preserve">’ </w:t>
      </w:r>
      <w:r w:rsidRPr="00056819">
        <w:rPr>
          <w:rFonts w:ascii="Times New Roman" w:hAnsi="Times New Roman"/>
          <w:sz w:val="24"/>
          <w:szCs w:val="24"/>
        </w:rPr>
        <w:t>KRS 342.140(3). In this case, Appellant is self-employed</w:t>
      </w:r>
      <w:r>
        <w:rPr>
          <w:rFonts w:ascii="Times New Roman" w:hAnsi="Times New Roman"/>
          <w:sz w:val="24"/>
          <w:szCs w:val="24"/>
        </w:rPr>
        <w:t>….</w:t>
      </w:r>
      <w:r w:rsidRPr="00056819">
        <w:rPr>
          <w:rFonts w:ascii="Times New Roman" w:hAnsi="Times New Roman"/>
          <w:sz w:val="24"/>
          <w:szCs w:val="24"/>
        </w:rPr>
        <w:t xml:space="preserve"> The ALJ held that because Appellant owned his own business, he did not have wages from regular employment. In other words, Appellant could not claim money earned as the owner of the business as wages for the purpose of calculating his average weekly wage.” </w:t>
      </w:r>
    </w:p>
    <w:p w14:paraId="1CA24179" w14:textId="77777777" w:rsidR="002B1283" w:rsidRDefault="002B1283" w:rsidP="002B1283">
      <w:pPr>
        <w:pStyle w:val="NoSpacing"/>
        <w:ind w:left="720"/>
        <w:rPr>
          <w:rFonts w:ascii="Times New Roman" w:hAnsi="Times New Roman"/>
          <w:sz w:val="24"/>
          <w:szCs w:val="24"/>
        </w:rPr>
      </w:pPr>
      <w:hyperlink r:id="rId612" w:history="1">
        <w:r w:rsidRPr="00455844">
          <w:rPr>
            <w:rStyle w:val="Hyperlink"/>
            <w:rFonts w:ascii="Times New Roman" w:hAnsi="Times New Roman"/>
            <w:sz w:val="24"/>
            <w:szCs w:val="24"/>
          </w:rPr>
          <w:t>https://cases.justia.com/kentucky/court-of-appeals/2019-2019-ca-000504-wc.pdf?ts=1562940239</w:t>
        </w:r>
      </w:hyperlink>
      <w:r>
        <w:rPr>
          <w:rFonts w:ascii="Times New Roman" w:hAnsi="Times New Roman"/>
          <w:sz w:val="24"/>
          <w:szCs w:val="24"/>
        </w:rPr>
        <w:t xml:space="preserve"> </w:t>
      </w:r>
    </w:p>
    <w:p w14:paraId="17B691AE"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 </w:t>
      </w:r>
    </w:p>
    <w:p w14:paraId="325265C1" w14:textId="77777777" w:rsidR="002B1283" w:rsidRDefault="002B1283" w:rsidP="002B1283">
      <w:pPr>
        <w:pStyle w:val="NoSpacing"/>
        <w:rPr>
          <w:rFonts w:ascii="Times New Roman" w:hAnsi="Times New Roman"/>
          <w:b/>
          <w:bCs/>
          <w:sz w:val="24"/>
          <w:szCs w:val="24"/>
        </w:rPr>
      </w:pPr>
      <w:r w:rsidRPr="00B81377">
        <w:rPr>
          <w:rFonts w:ascii="Times New Roman" w:hAnsi="Times New Roman"/>
          <w:b/>
          <w:bCs/>
          <w:sz w:val="24"/>
          <w:szCs w:val="24"/>
        </w:rPr>
        <w:t xml:space="preserve">Legal Lesson Learned: </w:t>
      </w:r>
      <w:r>
        <w:rPr>
          <w:rFonts w:ascii="Times New Roman" w:hAnsi="Times New Roman"/>
          <w:b/>
          <w:bCs/>
          <w:sz w:val="24"/>
          <w:szCs w:val="24"/>
        </w:rPr>
        <w:t xml:space="preserve"> Kentucky statute, like many states, will award volunteer firefighters their loss wages based on wages of their “regular employment.” This self-employed firefighter will have his medical expenses covered.  </w:t>
      </w:r>
    </w:p>
    <w:p w14:paraId="1E16657F" w14:textId="77777777" w:rsidR="002B1283" w:rsidRDefault="002B1283" w:rsidP="002B1283">
      <w:pPr>
        <w:pStyle w:val="NoSpacing"/>
        <w:rPr>
          <w:rFonts w:ascii="Times New Roman" w:hAnsi="Times New Roman"/>
          <w:b/>
          <w:bCs/>
          <w:sz w:val="24"/>
          <w:szCs w:val="24"/>
        </w:rPr>
      </w:pPr>
    </w:p>
    <w:p w14:paraId="5C407E72" w14:textId="77777777" w:rsidR="002B1283" w:rsidRPr="00965872" w:rsidRDefault="002B1283" w:rsidP="00965872">
      <w:pPr>
        <w:pStyle w:val="NoSpacing"/>
        <w:rPr>
          <w:rFonts w:ascii="Times New Roman" w:hAnsi="Times New Roman"/>
          <w:sz w:val="24"/>
          <w:szCs w:val="24"/>
        </w:rPr>
      </w:pPr>
      <w:r w:rsidRPr="00965872">
        <w:rPr>
          <w:rFonts w:ascii="Times New Roman" w:hAnsi="Times New Roman"/>
          <w:sz w:val="24"/>
          <w:szCs w:val="24"/>
        </w:rPr>
        <w:t xml:space="preserve">The Administrative Law Judge awarded “temporary total disability (‘TTD’) based upon the state minimum benefit in effect for the date of injury, medical benefits, and placed the claim in abeyance until Lashley reaches maximum medical improvement (“MMI”).  The ALJ noted Lashley has not yet reached MMI.”  </w:t>
      </w:r>
      <w:hyperlink r:id="rId613" w:history="1">
        <w:r w:rsidRPr="00965872">
          <w:rPr>
            <w:rStyle w:val="Hyperlink"/>
            <w:rFonts w:ascii="Times New Roman" w:hAnsi="Times New Roman"/>
            <w:sz w:val="24"/>
            <w:szCs w:val="24"/>
          </w:rPr>
          <w:t>https://comped.net/opinions_recentdisp.php?ID=7270</w:t>
        </w:r>
      </w:hyperlink>
      <w:r w:rsidRPr="00965872">
        <w:rPr>
          <w:rFonts w:ascii="Times New Roman" w:hAnsi="Times New Roman"/>
          <w:sz w:val="24"/>
          <w:szCs w:val="24"/>
        </w:rPr>
        <w:t xml:space="preserve"> </w:t>
      </w:r>
    </w:p>
    <w:p w14:paraId="504E78D9" w14:textId="77777777" w:rsidR="002B1283" w:rsidRPr="00965872" w:rsidRDefault="002B1283" w:rsidP="002B1283">
      <w:pPr>
        <w:pStyle w:val="NoSpacing"/>
        <w:rPr>
          <w:rFonts w:ascii="Times New Roman" w:hAnsi="Times New Roman"/>
          <w:b/>
          <w:bCs/>
          <w:sz w:val="24"/>
          <w:szCs w:val="24"/>
        </w:rPr>
      </w:pPr>
    </w:p>
    <w:p w14:paraId="06E00225" w14:textId="77777777" w:rsidR="005A414F" w:rsidRDefault="005A414F" w:rsidP="002B1283">
      <w:pPr>
        <w:pStyle w:val="NoSpacing"/>
        <w:rPr>
          <w:rFonts w:ascii="Arial Black" w:hAnsi="Arial Black"/>
          <w:sz w:val="24"/>
          <w:szCs w:val="24"/>
        </w:rPr>
      </w:pPr>
    </w:p>
    <w:p w14:paraId="6AA82951" w14:textId="77777777" w:rsidR="005A414F" w:rsidRDefault="005A414F" w:rsidP="002B1283">
      <w:pPr>
        <w:pStyle w:val="NoSpacing"/>
        <w:rPr>
          <w:rFonts w:ascii="Arial Black" w:hAnsi="Arial Black"/>
          <w:sz w:val="24"/>
          <w:szCs w:val="24"/>
        </w:rPr>
      </w:pPr>
    </w:p>
    <w:p w14:paraId="3D5398EE" w14:textId="31D5CA64" w:rsidR="002B1283" w:rsidRDefault="00EF1133" w:rsidP="002B1283">
      <w:pPr>
        <w:pStyle w:val="NoSpacing"/>
        <w:rPr>
          <w:rFonts w:ascii="MIArial Black" w:hAnsi="MIArial Black"/>
          <w:b/>
          <w:bCs/>
          <w:sz w:val="28"/>
          <w:szCs w:val="28"/>
        </w:rPr>
      </w:pPr>
      <w:r w:rsidRPr="00791CA3">
        <w:rPr>
          <w:rFonts w:ascii="Arial Black" w:hAnsi="Arial Black"/>
          <w:sz w:val="24"/>
          <w:szCs w:val="24"/>
        </w:rPr>
        <w:t>2-1</w:t>
      </w:r>
      <w:r w:rsidR="00D07E6E">
        <w:rPr>
          <w:rFonts w:ascii="Arial Black" w:hAnsi="Arial Black"/>
          <w:sz w:val="24"/>
          <w:szCs w:val="24"/>
        </w:rPr>
        <w:t>7</w:t>
      </w:r>
    </w:p>
    <w:p w14:paraId="28946251" w14:textId="77777777" w:rsidR="005A414F" w:rsidRDefault="005A414F" w:rsidP="002B1283">
      <w:pPr>
        <w:pStyle w:val="NoSpacing"/>
        <w:rPr>
          <w:rFonts w:ascii="MIArial Black" w:hAnsi="MIArial Black"/>
          <w:b/>
          <w:bCs/>
          <w:sz w:val="28"/>
          <w:szCs w:val="28"/>
        </w:rPr>
      </w:pPr>
    </w:p>
    <w:p w14:paraId="41AE04B9" w14:textId="16788509" w:rsidR="002B1283" w:rsidRPr="00965872" w:rsidRDefault="002B1283" w:rsidP="002B1283">
      <w:pPr>
        <w:pStyle w:val="NoSpacing"/>
        <w:rPr>
          <w:rFonts w:ascii="Arial Black" w:hAnsi="Arial Black"/>
          <w:b/>
          <w:bCs/>
          <w:sz w:val="28"/>
          <w:szCs w:val="28"/>
        </w:rPr>
      </w:pPr>
      <w:r w:rsidRPr="00965872">
        <w:rPr>
          <w:rFonts w:ascii="Arial Black" w:hAnsi="Arial Black"/>
          <w:b/>
          <w:bCs/>
          <w:sz w:val="28"/>
          <w:szCs w:val="28"/>
        </w:rPr>
        <w:t>MI: RESTAURANT OPERATORS CLAIM THAT “ORIGIN &amp; CAUSE” RPT.  CHANGED TO “INCENDARY” TO DEFLECT ATTENTION FD DEFICIENCIES - LODD / $3,500 OSHA FINE</w:t>
      </w:r>
    </w:p>
    <w:p w14:paraId="4BF81774" w14:textId="77777777" w:rsidR="002B1283" w:rsidRPr="00965872" w:rsidRDefault="002B1283" w:rsidP="002B1283">
      <w:pPr>
        <w:pStyle w:val="NoSpacing"/>
        <w:rPr>
          <w:rFonts w:ascii="Arial Black" w:hAnsi="Arial Black"/>
          <w:b/>
          <w:bCs/>
          <w:sz w:val="28"/>
          <w:szCs w:val="28"/>
        </w:rPr>
      </w:pPr>
    </w:p>
    <w:p w14:paraId="07A8ACB6" w14:textId="77777777" w:rsidR="002B1283" w:rsidRDefault="002B1283" w:rsidP="002B1283">
      <w:pPr>
        <w:pStyle w:val="NoSpacing"/>
      </w:pPr>
      <w:r>
        <w:rPr>
          <w:rFonts w:ascii="On Times New Roman" w:hAnsi="On Times New Roman"/>
          <w:sz w:val="24"/>
          <w:szCs w:val="24"/>
        </w:rPr>
        <w:t xml:space="preserve">On July 10, 2019, in </w:t>
      </w:r>
      <w:r w:rsidRPr="005C2640">
        <w:rPr>
          <w:rFonts w:ascii="On Times New Roman" w:hAnsi="On Times New Roman"/>
          <w:sz w:val="24"/>
          <w:szCs w:val="24"/>
          <w:u w:val="single"/>
        </w:rPr>
        <w:t>George Marvaso</w:t>
      </w:r>
      <w:r>
        <w:rPr>
          <w:rFonts w:ascii="On Times New Roman" w:hAnsi="On Times New Roman"/>
          <w:sz w:val="24"/>
          <w:szCs w:val="24"/>
          <w:u w:val="single"/>
        </w:rPr>
        <w:t xml:space="preserve"> et al. v. John Adams et </w:t>
      </w:r>
      <w:r w:rsidRPr="00BA5B0D">
        <w:rPr>
          <w:rFonts w:ascii="On Times New Roman" w:hAnsi="On Times New Roman"/>
          <w:sz w:val="24"/>
          <w:szCs w:val="24"/>
        </w:rPr>
        <w:t>al</w:t>
      </w:r>
      <w:r>
        <w:rPr>
          <w:rFonts w:ascii="On Times New Roman" w:hAnsi="On Times New Roman"/>
          <w:sz w:val="24"/>
          <w:szCs w:val="24"/>
        </w:rPr>
        <w:t xml:space="preserve">., </w:t>
      </w:r>
      <w:r w:rsidRPr="00BA5B0D">
        <w:rPr>
          <w:rFonts w:ascii="On Times New Roman" w:hAnsi="On Times New Roman"/>
          <w:sz w:val="24"/>
          <w:szCs w:val="24"/>
        </w:rPr>
        <w:t>U</w:t>
      </w:r>
      <w:r w:rsidRPr="001C27EB">
        <w:rPr>
          <w:rFonts w:ascii="On Times New Roman" w:hAnsi="On Times New Roman"/>
          <w:sz w:val="24"/>
          <w:szCs w:val="24"/>
        </w:rPr>
        <w:t>.S. District Court Judge</w:t>
      </w:r>
      <w:r>
        <w:rPr>
          <w:rFonts w:ascii="On Times New Roman" w:hAnsi="On Times New Roman"/>
          <w:sz w:val="24"/>
          <w:szCs w:val="24"/>
        </w:rPr>
        <w:t xml:space="preserve"> Linda V. Parker denied the defense motion to dismiss by the Fire Marshal, the Fire Chief, and his father, the former Fire Chief, holding the “</w:t>
      </w:r>
      <w:r w:rsidRPr="001C27EB">
        <w:rPr>
          <w:rFonts w:ascii="Times New Roman" w:hAnsi="Times New Roman"/>
          <w:sz w:val="24"/>
          <w:szCs w:val="24"/>
        </w:rPr>
        <w:t>Court concludes that Plaintiffs plead sufficient facts to support their §1983 claim against Defendants and that Defendants are not entitled to qualified immunity.</w:t>
      </w:r>
      <w:r>
        <w:rPr>
          <w:rFonts w:ascii="Times New Roman" w:hAnsi="Times New Roman"/>
          <w:sz w:val="24"/>
          <w:szCs w:val="24"/>
        </w:rPr>
        <w:t xml:space="preserve">” </w:t>
      </w:r>
      <w:hyperlink r:id="rId614" w:history="1">
        <w:r w:rsidRPr="003454A7">
          <w:rPr>
            <w:rStyle w:val="Hyperlink"/>
          </w:rPr>
          <w:t>http://41af3k34gprx4f6bg12df75i.wpengine.netdna-cdn.com/wp-content/uploads/sites/19/2019/07/Marvaso-v.-Adams_-2019-U.S.-Dist.-LEXIS-114276.pdf</w:t>
        </w:r>
      </w:hyperlink>
      <w:r>
        <w:t xml:space="preserve"> </w:t>
      </w:r>
    </w:p>
    <w:p w14:paraId="6CF68759" w14:textId="77777777" w:rsidR="002B1283" w:rsidRDefault="002B1283" w:rsidP="002B1283">
      <w:pPr>
        <w:pStyle w:val="NoSpacing"/>
      </w:pPr>
    </w:p>
    <w:p w14:paraId="4CCC586A" w14:textId="77777777" w:rsidR="002B1283" w:rsidRDefault="002B1283" w:rsidP="002B1283">
      <w:pPr>
        <w:pStyle w:val="NoSpacing"/>
        <w:rPr>
          <w:rFonts w:ascii="Times New Roman" w:hAnsi="Times New Roman"/>
          <w:b/>
          <w:bCs/>
          <w:sz w:val="24"/>
          <w:szCs w:val="24"/>
        </w:rPr>
      </w:pPr>
      <w:r w:rsidRPr="00B14CDE">
        <w:rPr>
          <w:rFonts w:ascii="Times New Roman" w:hAnsi="Times New Roman"/>
          <w:b/>
          <w:bCs/>
          <w:sz w:val="24"/>
          <w:szCs w:val="24"/>
        </w:rPr>
        <w:t>Legal Lessons Learned:</w:t>
      </w:r>
      <w:r>
        <w:rPr>
          <w:rFonts w:ascii="Times New Roman" w:hAnsi="Times New Roman"/>
          <w:b/>
          <w:bCs/>
          <w:sz w:val="24"/>
          <w:szCs w:val="24"/>
        </w:rPr>
        <w:t xml:space="preserve">  This lawsuit may now proceed to pre-trial discovery.  </w:t>
      </w:r>
    </w:p>
    <w:p w14:paraId="5668AB21" w14:textId="77777777" w:rsidR="002B1283" w:rsidRDefault="002B1283" w:rsidP="002B1283">
      <w:pPr>
        <w:pStyle w:val="NoSpacing"/>
        <w:rPr>
          <w:rFonts w:ascii="Times New Roman" w:hAnsi="Times New Roman"/>
          <w:b/>
          <w:bCs/>
          <w:sz w:val="24"/>
          <w:szCs w:val="24"/>
        </w:rPr>
      </w:pPr>
    </w:p>
    <w:p w14:paraId="0879FBEA" w14:textId="77777777" w:rsidR="002B1283" w:rsidRPr="00B14CDE" w:rsidRDefault="002B1283" w:rsidP="002B1283">
      <w:pPr>
        <w:pStyle w:val="NoSpacing"/>
        <w:ind w:left="720"/>
        <w:rPr>
          <w:b/>
          <w:bCs/>
          <w:sz w:val="24"/>
          <w:szCs w:val="24"/>
        </w:rPr>
      </w:pPr>
      <w:r>
        <w:rPr>
          <w:rFonts w:ascii="Times New Roman" w:hAnsi="Times New Roman"/>
          <w:sz w:val="24"/>
          <w:szCs w:val="24"/>
        </w:rPr>
        <w:t xml:space="preserve">Read </w:t>
      </w:r>
      <w:r w:rsidRPr="00B14CDE">
        <w:rPr>
          <w:rFonts w:ascii="Times New Roman" w:hAnsi="Times New Roman"/>
          <w:sz w:val="24"/>
          <w:szCs w:val="24"/>
        </w:rPr>
        <w:t>NIOSH Firefighter Fatality Report</w:t>
      </w:r>
      <w:r>
        <w:rPr>
          <w:rFonts w:ascii="Times New Roman" w:hAnsi="Times New Roman"/>
          <w:sz w:val="24"/>
          <w:szCs w:val="24"/>
        </w:rPr>
        <w:t xml:space="preserve"> </w:t>
      </w:r>
      <w:r w:rsidRPr="00B14CDE">
        <w:rPr>
          <w:rFonts w:ascii="Times New Roman" w:hAnsi="Times New Roman"/>
          <w:sz w:val="24"/>
          <w:szCs w:val="24"/>
        </w:rPr>
        <w:t>F2013-14: “Career Probationary Fire Fighter Runs Out of Air and Dies in Commercial Structure Fire—Michigan</w:t>
      </w:r>
      <w:r>
        <w:rPr>
          <w:rFonts w:ascii="Times New Roman" w:hAnsi="Times New Roman"/>
          <w:sz w:val="24"/>
          <w:szCs w:val="24"/>
        </w:rPr>
        <w:t>.</w:t>
      </w:r>
      <w:r w:rsidRPr="00B14CDE">
        <w:rPr>
          <w:rFonts w:ascii="Times New Roman" w:hAnsi="Times New Roman"/>
          <w:sz w:val="24"/>
          <w:szCs w:val="24"/>
        </w:rPr>
        <w:t>”</w:t>
      </w:r>
      <w:r>
        <w:rPr>
          <w:b/>
          <w:bCs/>
          <w:sz w:val="24"/>
          <w:szCs w:val="24"/>
        </w:rPr>
        <w:t xml:space="preserve"> </w:t>
      </w:r>
      <w:hyperlink r:id="rId615" w:history="1">
        <w:r w:rsidRPr="0076015A">
          <w:rPr>
            <w:rStyle w:val="Hyperlink"/>
            <w:b/>
            <w:bCs/>
            <w:sz w:val="24"/>
            <w:szCs w:val="24"/>
          </w:rPr>
          <w:t>https://www.cdc.gov/niosh/fire/pdfs/face201314.pdf</w:t>
        </w:r>
      </w:hyperlink>
      <w:r>
        <w:rPr>
          <w:b/>
          <w:bCs/>
          <w:sz w:val="24"/>
          <w:szCs w:val="24"/>
        </w:rPr>
        <w:t xml:space="preserve"> </w:t>
      </w:r>
    </w:p>
    <w:p w14:paraId="4AC1FB33" w14:textId="77777777" w:rsidR="002B1283" w:rsidRPr="00B14CDE" w:rsidRDefault="002B1283" w:rsidP="002B1283">
      <w:pPr>
        <w:pStyle w:val="NoSpacing"/>
        <w:rPr>
          <w:rFonts w:ascii="Times New Roman" w:hAnsi="Times New Roman"/>
          <w:b/>
          <w:bCs/>
          <w:sz w:val="24"/>
          <w:szCs w:val="24"/>
        </w:rPr>
      </w:pPr>
    </w:p>
    <w:p w14:paraId="0ECEC067" w14:textId="77777777" w:rsidR="002B1283" w:rsidRPr="00BA5B0D" w:rsidRDefault="002B1283" w:rsidP="002B1283">
      <w:pPr>
        <w:pStyle w:val="NoSpacing"/>
        <w:ind w:left="1440"/>
        <w:rPr>
          <w:rFonts w:ascii="Times New Roman" w:hAnsi="Times New Roman"/>
          <w:sz w:val="24"/>
          <w:szCs w:val="24"/>
        </w:rPr>
      </w:pPr>
      <w:r>
        <w:rPr>
          <w:rFonts w:ascii="Times New Roman" w:hAnsi="Times New Roman"/>
          <w:sz w:val="24"/>
          <w:szCs w:val="24"/>
        </w:rPr>
        <w:t>“</w:t>
      </w:r>
      <w:r w:rsidRPr="00BA5B0D">
        <w:rPr>
          <w:rFonts w:ascii="Times New Roman" w:hAnsi="Times New Roman"/>
          <w:sz w:val="24"/>
          <w:szCs w:val="24"/>
        </w:rPr>
        <w:t xml:space="preserve">On May 8, 2013, a 29-year-old male career probationary fire fighter died after running out of air and being trapped by a roof collapse in a commercial strip mall fire. The fire fighter was one of three fire fighters who had stretched a 1½-inch </w:t>
      </w:r>
      <w:proofErr w:type="spellStart"/>
      <w:r w:rsidRPr="00BA5B0D">
        <w:rPr>
          <w:rFonts w:ascii="Times New Roman" w:hAnsi="Times New Roman"/>
          <w:sz w:val="24"/>
          <w:szCs w:val="24"/>
        </w:rPr>
        <w:t>hoseline</w:t>
      </w:r>
      <w:proofErr w:type="spellEnd"/>
      <w:r w:rsidRPr="00BA5B0D">
        <w:rPr>
          <w:rFonts w:ascii="Times New Roman" w:hAnsi="Times New Roman"/>
          <w:sz w:val="24"/>
          <w:szCs w:val="24"/>
        </w:rPr>
        <w:t xml:space="preserve"> from Side A into a commercial strip mall fire. The hose team had stretched deep into the structure under high heat and heavy smoke conditions and was unsuccessful in locating the seat of the fire. The hose team decided to exit the structure. During the exit, the fire fighter became separated from the other two crew members. The incident commander saw the two members of the hose team exit on Side A and called over the radio for the fire fighter. The fire fighter acknowledged the incident commander and gave his location </w:t>
      </w:r>
      <w:proofErr w:type="gramStart"/>
      <w:r w:rsidRPr="00BA5B0D">
        <w:rPr>
          <w:rFonts w:ascii="Times New Roman" w:hAnsi="Times New Roman"/>
          <w:sz w:val="24"/>
          <w:szCs w:val="24"/>
        </w:rPr>
        <w:t>in</w:t>
      </w:r>
      <w:proofErr w:type="gramEnd"/>
      <w:r w:rsidRPr="00BA5B0D">
        <w:rPr>
          <w:rFonts w:ascii="Times New Roman" w:hAnsi="Times New Roman"/>
          <w:sz w:val="24"/>
          <w:szCs w:val="24"/>
        </w:rPr>
        <w:t xml:space="preserve"> the rear of the structure. The fire fighter later gave a radio </w:t>
      </w:r>
      <w:proofErr w:type="gramStart"/>
      <w:r w:rsidRPr="00BA5B0D">
        <w:rPr>
          <w:rFonts w:ascii="Times New Roman" w:hAnsi="Times New Roman"/>
          <w:sz w:val="24"/>
          <w:szCs w:val="24"/>
        </w:rPr>
        <w:t>transmission</w:t>
      </w:r>
      <w:proofErr w:type="gramEnd"/>
      <w:r w:rsidRPr="00BA5B0D">
        <w:rPr>
          <w:rFonts w:ascii="Times New Roman" w:hAnsi="Times New Roman"/>
          <w:sz w:val="24"/>
          <w:szCs w:val="24"/>
        </w:rPr>
        <w:t xml:space="preserve"> that he was out of air. A rapid intervention team was activated but was unable to locate him before a flashover occurred and the roof collapsed. He was later recovered and pronounced dead on the scene.</w:t>
      </w:r>
      <w:r>
        <w:rPr>
          <w:rFonts w:ascii="Times New Roman" w:hAnsi="Times New Roman"/>
          <w:sz w:val="24"/>
          <w:szCs w:val="24"/>
        </w:rPr>
        <w:t>”</w:t>
      </w:r>
    </w:p>
    <w:p w14:paraId="2CB7DFF9" w14:textId="77777777" w:rsidR="002B1283" w:rsidRDefault="002B1283" w:rsidP="002B1283">
      <w:pPr>
        <w:pStyle w:val="NoSpacing"/>
      </w:pPr>
    </w:p>
    <w:p w14:paraId="41354A30" w14:textId="77777777" w:rsidR="0097592D" w:rsidRDefault="0097592D" w:rsidP="00EF1133">
      <w:pPr>
        <w:pStyle w:val="NoSpacing"/>
        <w:rPr>
          <w:rFonts w:ascii="Arial Black" w:hAnsi="Arial Black"/>
          <w:sz w:val="24"/>
          <w:szCs w:val="24"/>
        </w:rPr>
      </w:pPr>
    </w:p>
    <w:p w14:paraId="2CBF5FDA" w14:textId="77777777" w:rsidR="0097592D" w:rsidRDefault="0097592D" w:rsidP="00EF1133">
      <w:pPr>
        <w:pStyle w:val="NoSpacing"/>
        <w:rPr>
          <w:rFonts w:ascii="Arial Black" w:hAnsi="Arial Black"/>
          <w:sz w:val="24"/>
          <w:szCs w:val="24"/>
        </w:rPr>
      </w:pPr>
    </w:p>
    <w:p w14:paraId="65845C87" w14:textId="346BF5BF" w:rsidR="005A414F" w:rsidRDefault="005A414F" w:rsidP="00EF1133">
      <w:pPr>
        <w:pStyle w:val="NoSpacing"/>
        <w:rPr>
          <w:rFonts w:ascii="Arial Black" w:hAnsi="Arial Black"/>
          <w:sz w:val="24"/>
          <w:szCs w:val="24"/>
        </w:rPr>
      </w:pPr>
      <w:r>
        <w:rPr>
          <w:rFonts w:ascii="Arial Black" w:hAnsi="Arial Black"/>
          <w:sz w:val="24"/>
          <w:szCs w:val="24"/>
        </w:rPr>
        <w:t>2-1</w:t>
      </w:r>
      <w:r w:rsidR="00D07E6E">
        <w:rPr>
          <w:rFonts w:ascii="Arial Black" w:hAnsi="Arial Black"/>
          <w:sz w:val="24"/>
          <w:szCs w:val="24"/>
        </w:rPr>
        <w:t>6</w:t>
      </w:r>
    </w:p>
    <w:p w14:paraId="4A0E014B" w14:textId="77777777" w:rsidR="005A414F" w:rsidRDefault="005A414F" w:rsidP="00EF1133">
      <w:pPr>
        <w:pStyle w:val="NoSpacing"/>
        <w:rPr>
          <w:rFonts w:ascii="Arial Black" w:hAnsi="Arial Black"/>
          <w:sz w:val="24"/>
          <w:szCs w:val="24"/>
        </w:rPr>
      </w:pPr>
    </w:p>
    <w:p w14:paraId="6AB56DF7" w14:textId="77777777" w:rsidR="005A414F" w:rsidRPr="000B408C" w:rsidRDefault="005A414F" w:rsidP="005A414F">
      <w:pPr>
        <w:pStyle w:val="NoSpacing"/>
        <w:rPr>
          <w:rFonts w:ascii="Arial Black" w:hAnsi="Arial Black"/>
          <w:sz w:val="28"/>
          <w:szCs w:val="28"/>
        </w:rPr>
      </w:pPr>
      <w:r w:rsidRPr="000B408C">
        <w:rPr>
          <w:rFonts w:ascii="Arial Black" w:hAnsi="Arial Black"/>
          <w:sz w:val="28"/>
          <w:szCs w:val="28"/>
        </w:rPr>
        <w:t xml:space="preserve">MO: </w:t>
      </w:r>
      <w:r>
        <w:rPr>
          <w:rFonts w:ascii="Arial Black" w:hAnsi="Arial Black"/>
          <w:sz w:val="28"/>
          <w:szCs w:val="28"/>
        </w:rPr>
        <w:t xml:space="preserve">CANCER – WIFE OF DECEASED CAPTAIN - WINS WORKERS COMP CLAIM – OCCUPATIONAL EXPOSURES TO CARCINOGENS </w:t>
      </w:r>
    </w:p>
    <w:p w14:paraId="7415A160" w14:textId="77777777" w:rsidR="005A414F" w:rsidRPr="0044213E" w:rsidRDefault="005A414F" w:rsidP="005A414F">
      <w:pPr>
        <w:rPr>
          <w:rFonts w:ascii="Times New Roman" w:hAnsi="Times New Roman"/>
          <w:sz w:val="24"/>
          <w:szCs w:val="24"/>
        </w:rPr>
      </w:pPr>
      <w:r w:rsidRPr="0044213E">
        <w:rPr>
          <w:rFonts w:ascii="Times New Roman" w:hAnsi="Times New Roman"/>
          <w:sz w:val="24"/>
          <w:szCs w:val="24"/>
        </w:rPr>
        <w:t xml:space="preserve">On June 4, 2019, in </w:t>
      </w:r>
      <w:r w:rsidRPr="0044213E">
        <w:rPr>
          <w:rFonts w:ascii="Times New Roman" w:hAnsi="Times New Roman"/>
          <w:sz w:val="24"/>
          <w:szCs w:val="24"/>
          <w:u w:val="single"/>
        </w:rPr>
        <w:t>David Cheney (Deceased), Donna Ceney (Spouse) v. City of Gladstone</w:t>
      </w:r>
      <w:r w:rsidRPr="0044213E">
        <w:rPr>
          <w:rFonts w:ascii="Times New Roman" w:hAnsi="Times New Roman"/>
          <w:sz w:val="24"/>
          <w:szCs w:val="24"/>
        </w:rPr>
        <w:t xml:space="preserve">, </w:t>
      </w:r>
      <w:r>
        <w:rPr>
          <w:rFonts w:ascii="Times New Roman" w:hAnsi="Times New Roman"/>
          <w:sz w:val="24"/>
          <w:szCs w:val="24"/>
        </w:rPr>
        <w:t xml:space="preserve">the Missouri Court of Appeals, Western District, held (3 to 0) that the cancer was work related and she is entitled to workers comp death and burial benefits.  </w:t>
      </w:r>
      <w:hyperlink r:id="rId616" w:history="1">
        <w:r w:rsidRPr="00610C09">
          <w:rPr>
            <w:rStyle w:val="Hyperlink"/>
            <w:rFonts w:ascii="Times New Roman" w:hAnsi="Times New Roman"/>
            <w:sz w:val="24"/>
            <w:szCs w:val="24"/>
          </w:rPr>
          <w:t>https://cases.justia.com/missouri/court-of-appeals/2019-wd81939.pdf?ts=1559661108</w:t>
        </w:r>
      </w:hyperlink>
      <w:r>
        <w:rPr>
          <w:rFonts w:ascii="Times New Roman" w:hAnsi="Times New Roman"/>
          <w:sz w:val="24"/>
          <w:szCs w:val="24"/>
        </w:rPr>
        <w:t xml:space="preserve"> </w:t>
      </w:r>
    </w:p>
    <w:p w14:paraId="7CDCD37C" w14:textId="77777777" w:rsidR="005A414F" w:rsidRPr="00E56A5D" w:rsidRDefault="005A414F" w:rsidP="005A414F">
      <w:pPr>
        <w:rPr>
          <w:rFonts w:ascii="Times New Roman" w:hAnsi="Times New Roman"/>
          <w:sz w:val="24"/>
          <w:szCs w:val="24"/>
        </w:rPr>
      </w:pPr>
      <w:r>
        <w:rPr>
          <w:rFonts w:ascii="Arial" w:hAnsi="Arial" w:cs="Arial"/>
          <w:sz w:val="30"/>
          <w:szCs w:val="30"/>
        </w:rPr>
        <w:tab/>
      </w:r>
      <w:r w:rsidRPr="00E56A5D">
        <w:rPr>
          <w:rFonts w:ascii="Times New Roman" w:hAnsi="Times New Roman"/>
          <w:sz w:val="24"/>
          <w:szCs w:val="24"/>
        </w:rPr>
        <w:t xml:space="preserve">Judge Edward R. Arnidi, Jr. wrote: </w:t>
      </w:r>
    </w:p>
    <w:p w14:paraId="3EAA46BD" w14:textId="77777777" w:rsidR="005A414F" w:rsidRPr="00965872" w:rsidRDefault="005A414F" w:rsidP="005A414F">
      <w:pPr>
        <w:ind w:left="1440"/>
        <w:rPr>
          <w:rFonts w:ascii="Times New Roman" w:hAnsi="Times New Roman"/>
          <w:sz w:val="24"/>
          <w:szCs w:val="24"/>
        </w:rPr>
      </w:pPr>
      <w:r w:rsidRPr="00965872">
        <w:rPr>
          <w:rFonts w:ascii="Times New Roman" w:hAnsi="Times New Roman"/>
          <w:sz w:val="24"/>
          <w:szCs w:val="24"/>
        </w:rPr>
        <w:t xml:space="preserve">“Both Drs. Lockey and Koprivica reviewed David Cheney’s medical records. Dr. Koprivica also conducted a physical examination of David Cheney before his death. Based on the information gleaned from the records and the physical examination, both doctors concluded that David Cheney’s occupational exposure to carcinogenic smoke, fumes, and particulates experienced during his employment as a firefighter for the </w:t>
      </w:r>
      <w:proofErr w:type="gramStart"/>
      <w:r w:rsidRPr="00965872">
        <w:rPr>
          <w:rFonts w:ascii="Times New Roman" w:hAnsi="Times New Roman"/>
          <w:sz w:val="24"/>
          <w:szCs w:val="24"/>
        </w:rPr>
        <w:t>City</w:t>
      </w:r>
      <w:proofErr w:type="gramEnd"/>
      <w:r w:rsidRPr="00965872">
        <w:rPr>
          <w:rFonts w:ascii="Times New Roman" w:hAnsi="Times New Roman"/>
          <w:sz w:val="24"/>
          <w:szCs w:val="24"/>
        </w:rPr>
        <w:t xml:space="preserve"> was the prevailing factor in the development of his NHL. The Commission found this evidence credible and persuasive, and we defer to this finding. *** The Commission determined that David Cheney suffered a compensable injury by occupational disease arising out of and in the course of his employment as a firefighter with the </w:t>
      </w:r>
      <w:proofErr w:type="gramStart"/>
      <w:r w:rsidRPr="00965872">
        <w:rPr>
          <w:rFonts w:ascii="Times New Roman" w:hAnsi="Times New Roman"/>
          <w:sz w:val="24"/>
          <w:szCs w:val="24"/>
        </w:rPr>
        <w:t>City</w:t>
      </w:r>
      <w:proofErr w:type="gramEnd"/>
      <w:r w:rsidRPr="00965872">
        <w:rPr>
          <w:rFonts w:ascii="Times New Roman" w:hAnsi="Times New Roman"/>
          <w:sz w:val="24"/>
          <w:szCs w:val="24"/>
        </w:rPr>
        <w:t>. We affirm.”</w:t>
      </w:r>
    </w:p>
    <w:p w14:paraId="7B39B206" w14:textId="77777777" w:rsidR="00715CF2" w:rsidRPr="00965872" w:rsidRDefault="005A414F" w:rsidP="005A414F">
      <w:pPr>
        <w:pStyle w:val="NoSpacing"/>
        <w:tabs>
          <w:tab w:val="left" w:pos="2910"/>
        </w:tabs>
        <w:rPr>
          <w:rFonts w:ascii="Times New Roman" w:hAnsi="Times New Roman"/>
          <w:b/>
          <w:bCs/>
          <w:sz w:val="24"/>
          <w:szCs w:val="24"/>
        </w:rPr>
      </w:pPr>
      <w:r w:rsidRPr="00965872">
        <w:rPr>
          <w:rFonts w:ascii="Times New Roman" w:hAnsi="Times New Roman"/>
          <w:b/>
          <w:bCs/>
          <w:sz w:val="24"/>
          <w:szCs w:val="24"/>
        </w:rPr>
        <w:t xml:space="preserve">Legal Lessons Learned: Litigation such as this case reflects the need for statutory presumption for firefighter cancer.  See 33 states with presumption statutes: </w:t>
      </w:r>
      <w:hyperlink r:id="rId617" w:history="1">
        <w:r w:rsidRPr="00965872">
          <w:rPr>
            <w:rStyle w:val="Hyperlink"/>
            <w:rFonts w:ascii="Times New Roman" w:hAnsi="Times New Roman"/>
            <w:b/>
            <w:bCs/>
            <w:sz w:val="24"/>
            <w:szCs w:val="24"/>
          </w:rPr>
          <w:t>https://www.firstrespondercenter.org/cancer/toolsresources/presumptive-legislation-firefighter-cancer-state/</w:t>
        </w:r>
      </w:hyperlink>
      <w:r w:rsidRPr="00965872">
        <w:rPr>
          <w:rFonts w:ascii="Times New Roman" w:hAnsi="Times New Roman"/>
          <w:b/>
          <w:bCs/>
          <w:sz w:val="24"/>
          <w:szCs w:val="24"/>
        </w:rPr>
        <w:t xml:space="preserve"> </w:t>
      </w:r>
    </w:p>
    <w:p w14:paraId="24D4FF01" w14:textId="77777777" w:rsidR="00715CF2" w:rsidRPr="00965872" w:rsidRDefault="00715CF2" w:rsidP="005A414F">
      <w:pPr>
        <w:pStyle w:val="NoSpacing"/>
        <w:tabs>
          <w:tab w:val="left" w:pos="2910"/>
        </w:tabs>
        <w:rPr>
          <w:rFonts w:ascii="Times New Roman" w:hAnsi="Times New Roman"/>
          <w:sz w:val="24"/>
          <w:szCs w:val="24"/>
        </w:rPr>
      </w:pPr>
    </w:p>
    <w:p w14:paraId="2568A2E5" w14:textId="58E5257F" w:rsidR="005A414F" w:rsidRPr="00965872" w:rsidRDefault="005A414F" w:rsidP="00715CF2">
      <w:pPr>
        <w:pStyle w:val="NoSpacing"/>
        <w:tabs>
          <w:tab w:val="left" w:pos="2910"/>
        </w:tabs>
        <w:ind w:left="630"/>
        <w:rPr>
          <w:rFonts w:ascii="Times New Roman" w:hAnsi="Times New Roman"/>
          <w:b/>
          <w:bCs/>
          <w:i/>
          <w:iCs/>
          <w:sz w:val="24"/>
          <w:szCs w:val="24"/>
        </w:rPr>
      </w:pPr>
      <w:r w:rsidRPr="00965872">
        <w:rPr>
          <w:rFonts w:ascii="Times New Roman" w:hAnsi="Times New Roman"/>
          <w:sz w:val="24"/>
          <w:szCs w:val="24"/>
        </w:rPr>
        <w:t xml:space="preserve">See also July 7, </w:t>
      </w:r>
      <w:proofErr w:type="gramStart"/>
      <w:r w:rsidRPr="00965872">
        <w:rPr>
          <w:rFonts w:ascii="Times New Roman" w:hAnsi="Times New Roman"/>
          <w:sz w:val="24"/>
          <w:szCs w:val="24"/>
        </w:rPr>
        <w:t>2019</w:t>
      </w:r>
      <w:proofErr w:type="gramEnd"/>
      <w:r w:rsidRPr="00965872">
        <w:rPr>
          <w:rFonts w:ascii="Times New Roman" w:hAnsi="Times New Roman"/>
          <w:sz w:val="24"/>
          <w:szCs w:val="24"/>
        </w:rPr>
        <w:t xml:space="preserve"> article about this important win: “‘Cancer is killing our firefighters’: Missouri widow’s court win may aid those at risk”:  </w:t>
      </w:r>
      <w:hyperlink r:id="rId618" w:history="1">
        <w:r w:rsidRPr="00965872">
          <w:rPr>
            <w:rStyle w:val="Hyperlink"/>
            <w:rFonts w:ascii="Times New Roman" w:hAnsi="Times New Roman"/>
            <w:sz w:val="24"/>
            <w:szCs w:val="24"/>
          </w:rPr>
          <w:t>https://www.kansascity.com/news/politics-government/article231974862.html</w:t>
        </w:r>
      </w:hyperlink>
      <w:r w:rsidRPr="00965872">
        <w:rPr>
          <w:rFonts w:ascii="Times New Roman" w:hAnsi="Times New Roman"/>
          <w:b/>
          <w:bCs/>
          <w:i/>
          <w:iCs/>
          <w:sz w:val="24"/>
          <w:szCs w:val="24"/>
        </w:rPr>
        <w:t xml:space="preserve"> </w:t>
      </w:r>
    </w:p>
    <w:p w14:paraId="427F4348" w14:textId="2744E80A" w:rsidR="00E26EA8" w:rsidRDefault="00E26EA8" w:rsidP="005A414F">
      <w:pPr>
        <w:pStyle w:val="NoSpacing"/>
        <w:tabs>
          <w:tab w:val="left" w:pos="2910"/>
        </w:tabs>
        <w:rPr>
          <w:rFonts w:ascii="Times New Roman" w:hAnsi="Times New Roman"/>
          <w:b/>
          <w:bCs/>
          <w:i/>
          <w:iCs/>
          <w:sz w:val="24"/>
          <w:szCs w:val="24"/>
        </w:rPr>
      </w:pPr>
    </w:p>
    <w:p w14:paraId="13276E0C" w14:textId="77777777" w:rsidR="005A414F" w:rsidRDefault="005A414F" w:rsidP="00EF1133">
      <w:pPr>
        <w:pStyle w:val="NoSpacing"/>
        <w:rPr>
          <w:rFonts w:ascii="Arial Black" w:hAnsi="Arial Black"/>
          <w:sz w:val="24"/>
          <w:szCs w:val="24"/>
        </w:rPr>
      </w:pPr>
    </w:p>
    <w:p w14:paraId="4A0004E5" w14:textId="77777777" w:rsidR="00965872" w:rsidRDefault="00965872" w:rsidP="00EF1133">
      <w:pPr>
        <w:pStyle w:val="NoSpacing"/>
        <w:rPr>
          <w:rFonts w:ascii="Arial Black" w:hAnsi="Arial Black"/>
          <w:sz w:val="24"/>
          <w:szCs w:val="24"/>
        </w:rPr>
      </w:pPr>
    </w:p>
    <w:p w14:paraId="4C16E320" w14:textId="14C7A48A"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sidR="00D07E6E">
        <w:rPr>
          <w:rFonts w:ascii="Arial Black" w:hAnsi="Arial Black"/>
          <w:sz w:val="24"/>
          <w:szCs w:val="24"/>
        </w:rPr>
        <w:t>5</w:t>
      </w:r>
    </w:p>
    <w:p w14:paraId="7ED759EB" w14:textId="77777777" w:rsidR="00B22CD4" w:rsidRDefault="00B22CD4" w:rsidP="00F326E5">
      <w:pPr>
        <w:rPr>
          <w:sz w:val="24"/>
          <w:szCs w:val="24"/>
        </w:rPr>
      </w:pPr>
    </w:p>
    <w:p w14:paraId="59AB6FF2" w14:textId="397E81CA" w:rsidR="00B22CD4" w:rsidRDefault="00B22CD4" w:rsidP="00B22CD4">
      <w:pPr>
        <w:pStyle w:val="NoSpacing"/>
        <w:rPr>
          <w:rFonts w:ascii="Arial Black" w:hAnsi="Arial Black"/>
          <w:sz w:val="28"/>
          <w:szCs w:val="28"/>
        </w:rPr>
      </w:pPr>
      <w:r w:rsidRPr="006F3E97">
        <w:rPr>
          <w:rFonts w:ascii="Arial Black" w:hAnsi="Arial Black"/>
          <w:sz w:val="28"/>
          <w:szCs w:val="28"/>
        </w:rPr>
        <w:t xml:space="preserve">IL: </w:t>
      </w:r>
      <w:r>
        <w:rPr>
          <w:rFonts w:ascii="Arial Black" w:hAnsi="Arial Black"/>
          <w:sz w:val="28"/>
          <w:szCs w:val="28"/>
        </w:rPr>
        <w:t xml:space="preserve"> FF PRIOR HEART ISSUES - PATIENT DROPPED ON STRETCHER – LINE-OF-DUTY PENSION, LIFETIME HEALTH INSURANCE </w:t>
      </w:r>
    </w:p>
    <w:p w14:paraId="20F2818A" w14:textId="77777777" w:rsidR="00B22CD4" w:rsidRDefault="00B22CD4" w:rsidP="00B22CD4">
      <w:pPr>
        <w:pStyle w:val="NoSpacing"/>
        <w:rPr>
          <w:rFonts w:ascii="On Times New Roman" w:hAnsi="On Times New Roman"/>
          <w:sz w:val="24"/>
          <w:szCs w:val="24"/>
        </w:rPr>
      </w:pPr>
    </w:p>
    <w:p w14:paraId="126050D2" w14:textId="77777777" w:rsidR="00B22CD4" w:rsidRDefault="00B22CD4" w:rsidP="00B22CD4">
      <w:pPr>
        <w:pStyle w:val="NoSpacing"/>
        <w:rPr>
          <w:rFonts w:ascii="On Times New Roman" w:hAnsi="On Times New Roman"/>
          <w:sz w:val="24"/>
          <w:szCs w:val="24"/>
        </w:rPr>
      </w:pPr>
      <w:r>
        <w:rPr>
          <w:rFonts w:ascii="On Times New Roman" w:hAnsi="On Times New Roman"/>
          <w:sz w:val="24"/>
          <w:szCs w:val="24"/>
        </w:rPr>
        <w:t xml:space="preserve">On May 28, 2019, in </w:t>
      </w:r>
      <w:r w:rsidRPr="00340E41">
        <w:rPr>
          <w:rFonts w:ascii="On Times New Roman" w:hAnsi="On Times New Roman"/>
          <w:sz w:val="24"/>
          <w:szCs w:val="24"/>
          <w:u w:val="single"/>
        </w:rPr>
        <w:t>Patrick Cronin v. Village of Skokie</w:t>
      </w:r>
      <w:r>
        <w:rPr>
          <w:rFonts w:ascii="On Times New Roman" w:hAnsi="On Times New Roman"/>
          <w:sz w:val="24"/>
          <w:szCs w:val="24"/>
        </w:rPr>
        <w:t>, the Appellate Court of Illinois, First District, held (3 to 0) that the retired firefighter was properly awarded lifetime health insurance.</w:t>
      </w:r>
    </w:p>
    <w:p w14:paraId="140938EC" w14:textId="77777777" w:rsidR="00B22CD4" w:rsidRDefault="00B22CD4" w:rsidP="00B22CD4">
      <w:pPr>
        <w:pStyle w:val="NoSpacing"/>
        <w:rPr>
          <w:rFonts w:ascii="On Times New Roman" w:hAnsi="On Times New Roman"/>
          <w:sz w:val="24"/>
          <w:szCs w:val="24"/>
        </w:rPr>
      </w:pPr>
    </w:p>
    <w:p w14:paraId="40D964CA" w14:textId="77777777" w:rsidR="00B22CD4" w:rsidRDefault="00B22CD4" w:rsidP="00B22CD4">
      <w:pPr>
        <w:pStyle w:val="NoSpacing"/>
        <w:ind w:left="720"/>
        <w:rPr>
          <w:rFonts w:ascii="Times New Roman" w:hAnsi="Times New Roman"/>
          <w:sz w:val="24"/>
          <w:szCs w:val="24"/>
        </w:rPr>
      </w:pPr>
      <w:r>
        <w:rPr>
          <w:rFonts w:ascii="Times New Roman" w:hAnsi="Times New Roman"/>
          <w:sz w:val="24"/>
          <w:szCs w:val="24"/>
        </w:rPr>
        <w:t>“</w:t>
      </w:r>
      <w:r w:rsidRPr="00340E41">
        <w:rPr>
          <w:rFonts w:ascii="Times New Roman" w:hAnsi="Times New Roman"/>
          <w:sz w:val="24"/>
          <w:szCs w:val="24"/>
        </w:rPr>
        <w:t>In summary, because Mr. Cronin was awarded a line-of-duty disability pension by the Pension Board, he met the requirements of section 10(a) of the Benefits Act—that he suffered a catastrophic injury in the line of duty—as a matter of law. Mr. Cronin also met the requirements of section 10(b): the only work-related incident that was presented as a cause of his injury was his act of holding the stretcher as a cardiac patient was dropped onto it and he presented uncontradicted evidence that he reasonably believed he was responding to an emergency. Accordingly, Mr. Cronin is entitled to benefits under the Act, and the circuit court properly granted summary judgment in favor of Mr. Cronin and against the Village.</w:t>
      </w:r>
      <w:r>
        <w:rPr>
          <w:rFonts w:ascii="Times New Roman" w:hAnsi="Times New Roman"/>
          <w:sz w:val="24"/>
          <w:szCs w:val="24"/>
        </w:rPr>
        <w:t>”</w:t>
      </w:r>
    </w:p>
    <w:p w14:paraId="6EFC75EB" w14:textId="77777777" w:rsidR="00B22CD4" w:rsidRDefault="00B22CD4" w:rsidP="00B22CD4">
      <w:pPr>
        <w:pStyle w:val="NoSpacing"/>
        <w:ind w:left="720"/>
        <w:rPr>
          <w:rFonts w:ascii="Times New Roman" w:hAnsi="Times New Roman"/>
          <w:sz w:val="24"/>
          <w:szCs w:val="24"/>
        </w:rPr>
      </w:pPr>
      <w:hyperlink r:id="rId619" w:history="1">
        <w:r w:rsidRPr="001602A2">
          <w:rPr>
            <w:rStyle w:val="Hyperlink"/>
            <w:rFonts w:ascii="Times New Roman" w:hAnsi="Times New Roman"/>
            <w:sz w:val="24"/>
            <w:szCs w:val="24"/>
          </w:rPr>
          <w:t>http://www.illinoiscourts.gov/Opinions/AppellateCourt/2019/1stDistrict/1181163.pdf</w:t>
        </w:r>
      </w:hyperlink>
      <w:r>
        <w:rPr>
          <w:rFonts w:ascii="Times New Roman" w:hAnsi="Times New Roman"/>
          <w:sz w:val="24"/>
          <w:szCs w:val="24"/>
        </w:rPr>
        <w:t xml:space="preserve"> </w:t>
      </w:r>
    </w:p>
    <w:p w14:paraId="02FD153C" w14:textId="77777777" w:rsidR="00527EDF" w:rsidRDefault="00527EDF" w:rsidP="00B22CD4">
      <w:pPr>
        <w:pStyle w:val="NoSpacing"/>
        <w:rPr>
          <w:rFonts w:ascii="Times New Roman" w:hAnsi="Times New Roman"/>
          <w:b/>
          <w:sz w:val="24"/>
          <w:szCs w:val="24"/>
        </w:rPr>
      </w:pPr>
      <w:bookmarkStart w:id="113" w:name="_Hlk10126765"/>
    </w:p>
    <w:p w14:paraId="7189FDD7" w14:textId="0D25ECE0" w:rsidR="00B22CD4" w:rsidRPr="004A0390" w:rsidRDefault="00B22CD4" w:rsidP="00B22CD4">
      <w:pPr>
        <w:pStyle w:val="NoSpacing"/>
        <w:rPr>
          <w:rFonts w:ascii="Times New Roman" w:hAnsi="Times New Roman"/>
          <w:b/>
          <w:sz w:val="24"/>
          <w:szCs w:val="24"/>
        </w:rPr>
      </w:pPr>
      <w:r w:rsidRPr="004A0390">
        <w:rPr>
          <w:rFonts w:ascii="Times New Roman" w:hAnsi="Times New Roman"/>
          <w:b/>
          <w:sz w:val="24"/>
          <w:szCs w:val="24"/>
        </w:rPr>
        <w:t>Legal Lessons Learned:</w:t>
      </w:r>
      <w:r>
        <w:rPr>
          <w:rFonts w:ascii="Times New Roman" w:hAnsi="Times New Roman"/>
          <w:b/>
          <w:sz w:val="24"/>
          <w:szCs w:val="24"/>
        </w:rPr>
        <w:t xml:space="preserve">  The Illinois statute applies even to firefighters with a prior heart issue.  </w:t>
      </w:r>
    </w:p>
    <w:bookmarkEnd w:id="113"/>
    <w:p w14:paraId="1E3339CF" w14:textId="67FAFC01" w:rsidR="00B22CD4" w:rsidRDefault="00B22CD4" w:rsidP="00F326E5">
      <w:pPr>
        <w:rPr>
          <w:sz w:val="24"/>
          <w:szCs w:val="24"/>
        </w:rPr>
      </w:pPr>
    </w:p>
    <w:p w14:paraId="22A2ACF3" w14:textId="77777777" w:rsidR="0097592D" w:rsidRDefault="0097592D" w:rsidP="00F326E5">
      <w:pPr>
        <w:rPr>
          <w:sz w:val="24"/>
          <w:szCs w:val="24"/>
        </w:rPr>
      </w:pPr>
    </w:p>
    <w:p w14:paraId="4D66122C" w14:textId="5650F338" w:rsidR="00D07E6E" w:rsidRPr="00D07E6E" w:rsidRDefault="00D07E6E" w:rsidP="00F326E5">
      <w:pPr>
        <w:rPr>
          <w:rFonts w:ascii="Arial Black" w:hAnsi="Arial Black"/>
          <w:sz w:val="24"/>
          <w:szCs w:val="24"/>
        </w:rPr>
      </w:pPr>
      <w:r w:rsidRPr="00D07E6E">
        <w:rPr>
          <w:rFonts w:ascii="Arial Black" w:hAnsi="Arial Black"/>
          <w:sz w:val="24"/>
          <w:szCs w:val="24"/>
        </w:rPr>
        <w:t>2-14</w:t>
      </w:r>
    </w:p>
    <w:p w14:paraId="5B34F29C" w14:textId="77777777" w:rsidR="00D07E6E" w:rsidRPr="00D07E6E" w:rsidRDefault="00D07E6E" w:rsidP="00F326E5">
      <w:pPr>
        <w:rPr>
          <w:rFonts w:ascii="Arial Black" w:hAnsi="Arial Black" w:cs="Arial"/>
          <w:sz w:val="28"/>
          <w:szCs w:val="28"/>
        </w:rPr>
      </w:pPr>
      <w:r w:rsidRPr="00D07E6E">
        <w:rPr>
          <w:rFonts w:ascii="Arial Black" w:hAnsi="Arial Black" w:cs="Arial"/>
          <w:sz w:val="28"/>
          <w:szCs w:val="28"/>
        </w:rPr>
        <w:t xml:space="preserve">CA: FFs STRUCK HELPING MOTORIST CROSS HIGHWAY – HE FIRST DELAYED CROSSING - LAWSUIT NOT BARRED BY CA “FIREMAN’S RULE” </w:t>
      </w:r>
    </w:p>
    <w:p w14:paraId="712CE6B5" w14:textId="77777777" w:rsidR="00965872" w:rsidRDefault="00D07E6E" w:rsidP="00F326E5">
      <w:pPr>
        <w:rPr>
          <w:rFonts w:ascii="Times New Roman" w:hAnsi="Times New Roman"/>
          <w:sz w:val="24"/>
          <w:szCs w:val="24"/>
        </w:rPr>
      </w:pPr>
      <w:r w:rsidRPr="00015208">
        <w:rPr>
          <w:rFonts w:ascii="Times New Roman" w:hAnsi="Times New Roman"/>
          <w:sz w:val="24"/>
          <w:szCs w:val="24"/>
        </w:rPr>
        <w:t xml:space="preserve">On April 30, 2019, in Moraga-Orinda Fire District v. Brian Favro, the Court of Appeal of California, First Appellate District, held (3 to 0) </w:t>
      </w:r>
      <w:proofErr w:type="gramStart"/>
      <w:r w:rsidRPr="00015208">
        <w:rPr>
          <w:rFonts w:ascii="Times New Roman" w:hAnsi="Times New Roman"/>
          <w:sz w:val="24"/>
          <w:szCs w:val="24"/>
        </w:rPr>
        <w:t>in</w:t>
      </w:r>
      <w:proofErr w:type="gramEnd"/>
      <w:r w:rsidRPr="00015208">
        <w:rPr>
          <w:rFonts w:ascii="Times New Roman" w:hAnsi="Times New Roman"/>
          <w:sz w:val="24"/>
          <w:szCs w:val="24"/>
        </w:rPr>
        <w:t xml:space="preserve"> unpublished decision, that trial court improperly dismissed the fire department’s lawsuit seeking to recover cost of workers compensation for injured firefighters.</w:t>
      </w:r>
    </w:p>
    <w:p w14:paraId="5C12637D" w14:textId="6B8F3D3B" w:rsidR="00D07E6E" w:rsidRPr="00015208" w:rsidRDefault="00D07E6E" w:rsidP="00965872">
      <w:pPr>
        <w:ind w:left="720"/>
        <w:rPr>
          <w:rFonts w:ascii="Times New Roman" w:hAnsi="Times New Roman"/>
          <w:sz w:val="24"/>
          <w:szCs w:val="24"/>
        </w:rPr>
      </w:pPr>
      <w:r w:rsidRPr="00015208">
        <w:rPr>
          <w:rFonts w:ascii="Times New Roman" w:hAnsi="Times New Roman"/>
          <w:sz w:val="24"/>
          <w:szCs w:val="24"/>
        </w:rPr>
        <w:t xml:space="preserve">“There is thus a triable issue of material fact as to whether Favro was negligent in failing to cooperate with the firefighters before they were struck by Briseno-Castaneda’s SUV. If that issue were to be resolved in plaintiffs’ favor, section 1714.9, subdivision (a)(1), would apply, and the firefighter’s rule would not. Because there is a triable issue of material </w:t>
      </w:r>
      <w:proofErr w:type="gramStart"/>
      <w:r w:rsidRPr="00015208">
        <w:rPr>
          <w:rFonts w:ascii="Times New Roman" w:hAnsi="Times New Roman"/>
          <w:sz w:val="24"/>
          <w:szCs w:val="24"/>
        </w:rPr>
        <w:t>fact</w:t>
      </w:r>
      <w:proofErr w:type="gramEnd"/>
      <w:r w:rsidRPr="00015208">
        <w:rPr>
          <w:rFonts w:ascii="Times New Roman" w:hAnsi="Times New Roman"/>
          <w:sz w:val="24"/>
          <w:szCs w:val="24"/>
        </w:rPr>
        <w:t xml:space="preserve">, the trial court erred in granting summary </w:t>
      </w:r>
      <w:proofErr w:type="gramStart"/>
      <w:r w:rsidRPr="00015208">
        <w:rPr>
          <w:rFonts w:ascii="Times New Roman" w:hAnsi="Times New Roman"/>
          <w:sz w:val="24"/>
          <w:szCs w:val="24"/>
        </w:rPr>
        <w:t>judgment.”</w:t>
      </w:r>
      <w:proofErr w:type="gramEnd"/>
      <w:r w:rsidR="00015208">
        <w:rPr>
          <w:rFonts w:ascii="Times New Roman" w:hAnsi="Times New Roman"/>
          <w:sz w:val="24"/>
          <w:szCs w:val="24"/>
        </w:rPr>
        <w:t xml:space="preserve"> </w:t>
      </w:r>
      <w:hyperlink r:id="rId620" w:history="1">
        <w:r w:rsidRPr="00015208">
          <w:rPr>
            <w:rStyle w:val="Hyperlink"/>
            <w:rFonts w:ascii="Times New Roman" w:hAnsi="Times New Roman"/>
            <w:sz w:val="24"/>
            <w:szCs w:val="24"/>
          </w:rPr>
          <w:t>https://www.courts.ca.gov/opinions/nonpub/A150651.PD</w:t>
        </w:r>
      </w:hyperlink>
      <w:r w:rsidRPr="00015208">
        <w:rPr>
          <w:rFonts w:ascii="Times New Roman" w:hAnsi="Times New Roman"/>
          <w:sz w:val="24"/>
          <w:szCs w:val="24"/>
        </w:rPr>
        <w:t xml:space="preserve"> </w:t>
      </w:r>
    </w:p>
    <w:p w14:paraId="05DBF511" w14:textId="05F0E23D" w:rsidR="00B22CD4" w:rsidRPr="00015208" w:rsidRDefault="00D07E6E" w:rsidP="00F326E5">
      <w:pPr>
        <w:rPr>
          <w:rFonts w:ascii="Times New Roman" w:hAnsi="Times New Roman"/>
          <w:b/>
          <w:bCs/>
          <w:sz w:val="24"/>
          <w:szCs w:val="24"/>
        </w:rPr>
      </w:pPr>
      <w:r w:rsidRPr="00015208">
        <w:rPr>
          <w:rFonts w:ascii="Times New Roman" w:hAnsi="Times New Roman"/>
          <w:b/>
          <w:bCs/>
          <w:sz w:val="24"/>
          <w:szCs w:val="24"/>
        </w:rPr>
        <w:t>Legal Lessons Learned: The California statute is a helpful exception to Fireman’s Rule – negligent conduct after individual “knows of the presence of the firefighter.</w:t>
      </w:r>
    </w:p>
    <w:p w14:paraId="0523FF47" w14:textId="2988436C" w:rsidR="00D07E6E" w:rsidRPr="00D07E6E" w:rsidRDefault="00D07E6E" w:rsidP="00F326E5">
      <w:pPr>
        <w:rPr>
          <w:rFonts w:ascii="Times New Roman" w:hAnsi="Times New Roman"/>
          <w:sz w:val="24"/>
          <w:szCs w:val="24"/>
        </w:rPr>
      </w:pPr>
    </w:p>
    <w:p w14:paraId="1308AD99" w14:textId="77777777" w:rsidR="00D07E6E" w:rsidRDefault="00D07E6E" w:rsidP="00EF1133">
      <w:pPr>
        <w:pStyle w:val="NoSpacing"/>
        <w:rPr>
          <w:rFonts w:ascii="Arial Black" w:hAnsi="Arial Black"/>
          <w:sz w:val="24"/>
          <w:szCs w:val="24"/>
        </w:rPr>
      </w:pPr>
    </w:p>
    <w:p w14:paraId="36877647" w14:textId="2FACCB86"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3</w:t>
      </w:r>
    </w:p>
    <w:p w14:paraId="7B507BD4" w14:textId="77777777" w:rsidR="00B22CD4" w:rsidRDefault="00B22CD4" w:rsidP="00F326E5">
      <w:pPr>
        <w:rPr>
          <w:sz w:val="24"/>
          <w:szCs w:val="24"/>
        </w:rPr>
      </w:pPr>
    </w:p>
    <w:p w14:paraId="5E803B4C" w14:textId="4545E9A4" w:rsidR="00F326E5" w:rsidRDefault="00F326E5" w:rsidP="00F326E5">
      <w:pPr>
        <w:rPr>
          <w:rFonts w:ascii="Arial Black" w:hAnsi="Arial Black"/>
          <w:sz w:val="28"/>
          <w:szCs w:val="28"/>
        </w:rPr>
      </w:pPr>
      <w:r w:rsidRPr="00E04021">
        <w:rPr>
          <w:rFonts w:ascii="Arial Black" w:hAnsi="Arial Black"/>
          <w:sz w:val="28"/>
          <w:szCs w:val="28"/>
        </w:rPr>
        <w:t xml:space="preserve">NJ:  </w:t>
      </w:r>
      <w:r>
        <w:rPr>
          <w:rFonts w:ascii="Arial Black" w:hAnsi="Arial Black"/>
          <w:sz w:val="28"/>
          <w:szCs w:val="28"/>
        </w:rPr>
        <w:t xml:space="preserve">FF ACCIDENTAL DEATH BENEFITS - ONLY FOR THOSE WHO DIED WHILE IN “ACTIVE SERVICE” </w:t>
      </w:r>
    </w:p>
    <w:p w14:paraId="13A0F20E" w14:textId="77777777" w:rsidR="00965872" w:rsidRDefault="00F326E5" w:rsidP="00F326E5">
      <w:pPr>
        <w:pStyle w:val="NoSpacing"/>
        <w:jc w:val="both"/>
        <w:rPr>
          <w:rFonts w:ascii="Times New Roman" w:hAnsi="Times New Roman"/>
          <w:sz w:val="24"/>
          <w:szCs w:val="24"/>
        </w:rPr>
      </w:pPr>
      <w:r w:rsidRPr="00015208">
        <w:rPr>
          <w:rFonts w:ascii="Times New Roman" w:hAnsi="Times New Roman"/>
          <w:sz w:val="24"/>
          <w:szCs w:val="24"/>
        </w:rPr>
        <w:t xml:space="preserve">On March 26, 2019, in </w:t>
      </w:r>
      <w:r w:rsidRPr="00015208">
        <w:rPr>
          <w:rFonts w:ascii="Times New Roman" w:hAnsi="Times New Roman"/>
          <w:sz w:val="24"/>
          <w:szCs w:val="24"/>
          <w:u w:val="single"/>
        </w:rPr>
        <w:t xml:space="preserve">Scott Rogow (Deceased) v. Board of Trustees, Police </w:t>
      </w:r>
      <w:proofErr w:type="gramStart"/>
      <w:r w:rsidRPr="00015208">
        <w:rPr>
          <w:rFonts w:ascii="Times New Roman" w:hAnsi="Times New Roman"/>
          <w:sz w:val="24"/>
          <w:szCs w:val="24"/>
          <w:u w:val="single"/>
        </w:rPr>
        <w:t>And</w:t>
      </w:r>
      <w:proofErr w:type="gramEnd"/>
      <w:r w:rsidRPr="00015208">
        <w:rPr>
          <w:rFonts w:ascii="Times New Roman" w:hAnsi="Times New Roman"/>
          <w:sz w:val="24"/>
          <w:szCs w:val="24"/>
          <w:u w:val="single"/>
        </w:rPr>
        <w:t xml:space="preserve"> Firemen’s Retirement System</w:t>
      </w:r>
      <w:r w:rsidRPr="00015208">
        <w:rPr>
          <w:rFonts w:ascii="Times New Roman" w:hAnsi="Times New Roman"/>
          <w:sz w:val="24"/>
          <w:szCs w:val="24"/>
        </w:rPr>
        <w:t xml:space="preserve">,  the Superior Court of New Jersey / Appellate Division held (3 to 0) in an unpublished option:  </w:t>
      </w:r>
    </w:p>
    <w:p w14:paraId="6FCC1633" w14:textId="77777777" w:rsidR="00965872" w:rsidRDefault="00965872" w:rsidP="00F326E5">
      <w:pPr>
        <w:pStyle w:val="NoSpacing"/>
        <w:jc w:val="both"/>
        <w:rPr>
          <w:rFonts w:ascii="Times New Roman" w:hAnsi="Times New Roman"/>
          <w:sz w:val="24"/>
          <w:szCs w:val="24"/>
        </w:rPr>
      </w:pPr>
    </w:p>
    <w:p w14:paraId="786FB643" w14:textId="2072D117" w:rsidR="00F326E5" w:rsidRPr="00015208" w:rsidRDefault="00F326E5" w:rsidP="00965872">
      <w:pPr>
        <w:pStyle w:val="NoSpacing"/>
        <w:ind w:left="720"/>
        <w:jc w:val="both"/>
        <w:rPr>
          <w:rFonts w:ascii="Times New Roman" w:hAnsi="Times New Roman"/>
          <w:sz w:val="24"/>
          <w:szCs w:val="24"/>
        </w:rPr>
      </w:pPr>
      <w:r w:rsidRPr="00015208">
        <w:rPr>
          <w:rFonts w:ascii="Times New Roman" w:hAnsi="Times New Roman"/>
          <w:sz w:val="24"/>
          <w:szCs w:val="24"/>
        </w:rPr>
        <w:t xml:space="preserve">“Accordingly, we conclude the Board properly determined that Rogow was ineligible for accidental death benefits because he was not a member in active service at the time of his death, as required by N.J.S.A. 43:16A-10,but was retired and receiving an accidental disability retirement allowance. The legislative history supports the Board's decision.” </w:t>
      </w:r>
    </w:p>
    <w:p w14:paraId="70B01881" w14:textId="1AE3A045" w:rsidR="00F326E5" w:rsidRPr="00015208" w:rsidRDefault="00965872" w:rsidP="00965872">
      <w:pPr>
        <w:pStyle w:val="NoSpacing"/>
        <w:ind w:firstLine="720"/>
        <w:jc w:val="both"/>
        <w:rPr>
          <w:rFonts w:ascii="Times New Roman" w:hAnsi="Times New Roman"/>
          <w:b/>
          <w:sz w:val="24"/>
          <w:szCs w:val="24"/>
        </w:rPr>
      </w:pPr>
      <w:hyperlink r:id="rId621" w:history="1">
        <w:r w:rsidRPr="002F304C">
          <w:rPr>
            <w:rStyle w:val="Hyperlink"/>
            <w:rFonts w:ascii="Times New Roman" w:hAnsi="Times New Roman"/>
            <w:sz w:val="24"/>
            <w:szCs w:val="24"/>
          </w:rPr>
          <w:t>https://njcourts.gov/attorneys/assets/opinions/appellate/unpublished/a1346-17.pdf</w:t>
        </w:r>
      </w:hyperlink>
      <w:r w:rsidR="00F326E5" w:rsidRPr="00015208">
        <w:rPr>
          <w:rFonts w:ascii="Times New Roman" w:hAnsi="Times New Roman"/>
          <w:sz w:val="24"/>
          <w:szCs w:val="24"/>
        </w:rPr>
        <w:t xml:space="preserve"> </w:t>
      </w:r>
    </w:p>
    <w:p w14:paraId="4492F1C6" w14:textId="77777777" w:rsidR="00C17A9D" w:rsidRDefault="00C17A9D" w:rsidP="00F326E5">
      <w:pPr>
        <w:pStyle w:val="NoSpacing"/>
        <w:rPr>
          <w:b/>
          <w:sz w:val="24"/>
          <w:szCs w:val="24"/>
        </w:rPr>
      </w:pPr>
    </w:p>
    <w:p w14:paraId="317CAACE" w14:textId="6E52EFFB" w:rsidR="0036327D" w:rsidRPr="0036327D" w:rsidRDefault="0036327D" w:rsidP="00F326E5">
      <w:pPr>
        <w:pStyle w:val="NoSpacing"/>
        <w:rPr>
          <w:rFonts w:ascii="Times New Roman" w:hAnsi="Times New Roman"/>
          <w:b/>
          <w:bCs/>
          <w:sz w:val="24"/>
          <w:szCs w:val="24"/>
        </w:rPr>
      </w:pPr>
      <w:r w:rsidRPr="0036327D">
        <w:rPr>
          <w:rFonts w:ascii="Times New Roman" w:hAnsi="Times New Roman"/>
          <w:b/>
          <w:bCs/>
          <w:sz w:val="24"/>
          <w:szCs w:val="24"/>
        </w:rPr>
        <w:t>Legal Lesson Learned: Courts will enforce the plain language of statutes, particularly when the language is supported by the legislative history of the statute</w:t>
      </w:r>
    </w:p>
    <w:p w14:paraId="328DE714" w14:textId="77777777" w:rsidR="0036327D" w:rsidRDefault="0036327D" w:rsidP="00F326E5">
      <w:pPr>
        <w:pStyle w:val="NoSpacing"/>
        <w:rPr>
          <w:bCs/>
          <w:sz w:val="24"/>
          <w:szCs w:val="24"/>
        </w:rPr>
      </w:pPr>
    </w:p>
    <w:bookmarkEnd w:id="91"/>
    <w:p w14:paraId="25EE5C5B" w14:textId="77777777" w:rsidR="00F326E5" w:rsidRPr="00A50673" w:rsidRDefault="00F326E5" w:rsidP="00F326E5">
      <w:pPr>
        <w:pStyle w:val="NoSpacing"/>
        <w:rPr>
          <w:b/>
          <w:sz w:val="24"/>
          <w:szCs w:val="24"/>
        </w:rPr>
      </w:pPr>
    </w:p>
    <w:p w14:paraId="4459DCAF" w14:textId="77777777" w:rsidR="00F326E5" w:rsidRDefault="00F326E5" w:rsidP="00F326E5">
      <w:pPr>
        <w:rPr>
          <w:rFonts w:ascii="Times New Roman" w:hAnsi="Times New Roman"/>
          <w:sz w:val="24"/>
          <w:szCs w:val="24"/>
        </w:rPr>
      </w:pPr>
    </w:p>
    <w:p w14:paraId="4674064E" w14:textId="75180BBE" w:rsidR="00F326E5" w:rsidRDefault="00EF1133" w:rsidP="00F326E5">
      <w:pPr>
        <w:pStyle w:val="NoSpacing"/>
        <w:rPr>
          <w:sz w:val="24"/>
          <w:szCs w:val="24"/>
        </w:rPr>
      </w:pPr>
      <w:r w:rsidRPr="00791CA3">
        <w:rPr>
          <w:rFonts w:ascii="Arial Black" w:hAnsi="Arial Black"/>
          <w:sz w:val="24"/>
          <w:szCs w:val="24"/>
        </w:rPr>
        <w:t>2-1</w:t>
      </w:r>
      <w:r>
        <w:rPr>
          <w:rFonts w:ascii="Arial Black" w:hAnsi="Arial Black"/>
          <w:sz w:val="24"/>
          <w:szCs w:val="24"/>
        </w:rPr>
        <w:t>2</w:t>
      </w:r>
    </w:p>
    <w:p w14:paraId="6C22CB48" w14:textId="77777777" w:rsidR="00F326E5" w:rsidRDefault="00F326E5" w:rsidP="00F326E5">
      <w:pPr>
        <w:pStyle w:val="NoSpacing"/>
        <w:rPr>
          <w:sz w:val="24"/>
          <w:szCs w:val="24"/>
        </w:rPr>
      </w:pPr>
    </w:p>
    <w:p w14:paraId="0DDD670B" w14:textId="26210874" w:rsidR="00F326E5" w:rsidRPr="00724064" w:rsidRDefault="00F326E5" w:rsidP="00F326E5">
      <w:pPr>
        <w:pStyle w:val="NoSpacing"/>
        <w:rPr>
          <w:rFonts w:ascii="Arial Black" w:hAnsi="Arial Black"/>
          <w:b/>
          <w:sz w:val="28"/>
          <w:szCs w:val="28"/>
        </w:rPr>
      </w:pPr>
      <w:bookmarkStart w:id="114" w:name="_Hlk7340697"/>
      <w:r w:rsidRPr="00724064">
        <w:rPr>
          <w:rFonts w:ascii="Arial Black" w:hAnsi="Arial Black"/>
          <w:b/>
          <w:sz w:val="28"/>
          <w:szCs w:val="28"/>
        </w:rPr>
        <w:t>IL</w:t>
      </w:r>
      <w:r>
        <w:rPr>
          <w:rFonts w:ascii="Arial Black" w:hAnsi="Arial Black"/>
          <w:b/>
          <w:sz w:val="28"/>
          <w:szCs w:val="28"/>
        </w:rPr>
        <w:t xml:space="preserve">: </w:t>
      </w:r>
      <w:r w:rsidRPr="00724064">
        <w:rPr>
          <w:rFonts w:ascii="Arial Black" w:hAnsi="Arial Black"/>
          <w:b/>
          <w:sz w:val="28"/>
          <w:szCs w:val="28"/>
        </w:rPr>
        <w:t>FF WITH PROSTATE CANCER</w:t>
      </w:r>
      <w:r>
        <w:rPr>
          <w:rFonts w:ascii="Arial Black" w:hAnsi="Arial Black"/>
          <w:b/>
          <w:sz w:val="28"/>
          <w:szCs w:val="28"/>
        </w:rPr>
        <w:t xml:space="preserve"> - </w:t>
      </w:r>
      <w:r w:rsidRPr="00724064">
        <w:rPr>
          <w:rFonts w:ascii="Arial Black" w:hAnsi="Arial Black"/>
          <w:b/>
          <w:sz w:val="28"/>
          <w:szCs w:val="28"/>
        </w:rPr>
        <w:t>DENIED COVERAGE</w:t>
      </w:r>
    </w:p>
    <w:p w14:paraId="01C6DB67"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Nov. 14, 2018, in </w:t>
      </w:r>
      <w:r w:rsidRPr="0036327D">
        <w:rPr>
          <w:rFonts w:ascii="Times New Roman" w:eastAsia="Times New Roman" w:hAnsi="Times New Roman"/>
          <w:sz w:val="24"/>
          <w:szCs w:val="24"/>
          <w:u w:val="single"/>
        </w:rPr>
        <w:t>Clifford A. Ekkert v. Illinois Workers Compensation Commission and Village of Oak Brook</w:t>
      </w:r>
      <w:r w:rsidRPr="0036327D">
        <w:rPr>
          <w:rFonts w:ascii="Times New Roman" w:eastAsia="Times New Roman" w:hAnsi="Times New Roman"/>
          <w:sz w:val="24"/>
          <w:szCs w:val="24"/>
        </w:rPr>
        <w:t xml:space="preserve">, the Appellate Court of Illinois, Second District, Workers Compensation Division, held (5 to 0) that firefighter Ekkert is not covered by workers comp: “claimant did not adequately set forth and develop an argument as to why the ultimate decision of the Commission was contrary to the manifest weight of the evidence.” </w:t>
      </w:r>
      <w:hyperlink r:id="rId622" w:history="1">
        <w:r w:rsidRPr="0036327D">
          <w:rPr>
            <w:rStyle w:val="Hyperlink"/>
            <w:rFonts w:ascii="Times New Roman" w:hAnsi="Times New Roman"/>
            <w:sz w:val="24"/>
            <w:szCs w:val="24"/>
          </w:rPr>
          <w:t>http://www.illinoiscourts.gov/R23_Orders/WorkersComp/2018/2170447WC_R23.pdf</w:t>
        </w:r>
      </w:hyperlink>
      <w:r w:rsidRPr="0036327D">
        <w:rPr>
          <w:rFonts w:ascii="Times New Roman" w:eastAsia="Times New Roman" w:hAnsi="Times New Roman"/>
          <w:sz w:val="24"/>
          <w:szCs w:val="24"/>
        </w:rPr>
        <w:t xml:space="preserve"> </w:t>
      </w:r>
    </w:p>
    <w:p w14:paraId="44DBC00E" w14:textId="77777777" w:rsidR="00F326E5" w:rsidRPr="0036327D" w:rsidRDefault="00F326E5" w:rsidP="00F326E5">
      <w:pPr>
        <w:pStyle w:val="ListParagraph"/>
        <w:ind w:left="0"/>
        <w:rPr>
          <w:rFonts w:ascii="Times New Roman" w:eastAsia="Times New Roman" w:hAnsi="Times New Roman" w:cs="Times New Roman"/>
          <w:b/>
          <w:sz w:val="24"/>
          <w:szCs w:val="24"/>
        </w:rPr>
      </w:pPr>
      <w:r w:rsidRPr="0036327D">
        <w:rPr>
          <w:rFonts w:ascii="Times New Roman" w:eastAsia="Times New Roman" w:hAnsi="Times New Roman" w:cs="Times New Roman"/>
          <w:b/>
          <w:sz w:val="24"/>
          <w:szCs w:val="24"/>
        </w:rPr>
        <w:t xml:space="preserve">Legal Lessons Learned:  A firefighter with prostate cancer, seeking </w:t>
      </w:r>
      <w:proofErr w:type="gramStart"/>
      <w:r w:rsidRPr="0036327D">
        <w:rPr>
          <w:rFonts w:ascii="Times New Roman" w:eastAsia="Times New Roman" w:hAnsi="Times New Roman" w:cs="Times New Roman"/>
          <w:b/>
          <w:sz w:val="24"/>
          <w:szCs w:val="24"/>
        </w:rPr>
        <w:t>workers</w:t>
      </w:r>
      <w:proofErr w:type="gramEnd"/>
      <w:r w:rsidRPr="0036327D">
        <w:rPr>
          <w:rFonts w:ascii="Times New Roman" w:eastAsia="Times New Roman" w:hAnsi="Times New Roman" w:cs="Times New Roman"/>
          <w:b/>
          <w:sz w:val="24"/>
          <w:szCs w:val="24"/>
        </w:rPr>
        <w:t xml:space="preserve"> compensation, needs to consult a board-certified expert in urology.  The statutory presumption is rebuttable by employer’s expert witness. </w:t>
      </w:r>
    </w:p>
    <w:bookmarkEnd w:id="114"/>
    <w:p w14:paraId="091725A2" w14:textId="77777777" w:rsidR="00965872" w:rsidRDefault="00965872" w:rsidP="00EF1133">
      <w:pPr>
        <w:pStyle w:val="NoSpacing"/>
        <w:rPr>
          <w:rFonts w:ascii="Arial Black" w:hAnsi="Arial Black"/>
          <w:sz w:val="24"/>
          <w:szCs w:val="24"/>
        </w:rPr>
      </w:pPr>
    </w:p>
    <w:p w14:paraId="4B630D31" w14:textId="77777777" w:rsidR="00965872" w:rsidRDefault="00965872" w:rsidP="00EF1133">
      <w:pPr>
        <w:pStyle w:val="NoSpacing"/>
        <w:rPr>
          <w:rFonts w:ascii="Arial Black" w:hAnsi="Arial Black"/>
          <w:sz w:val="24"/>
          <w:szCs w:val="24"/>
        </w:rPr>
      </w:pPr>
    </w:p>
    <w:p w14:paraId="4F3C8302" w14:textId="580B7A63"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1</w:t>
      </w:r>
    </w:p>
    <w:p w14:paraId="1FFB4BB2" w14:textId="77777777" w:rsidR="00F326E5" w:rsidRDefault="00F326E5" w:rsidP="00F326E5">
      <w:pPr>
        <w:rPr>
          <w:sz w:val="24"/>
          <w:szCs w:val="24"/>
        </w:rPr>
      </w:pPr>
    </w:p>
    <w:p w14:paraId="0693AAD5" w14:textId="5C4E15BE" w:rsidR="00F326E5" w:rsidRPr="002B7386" w:rsidRDefault="00F326E5" w:rsidP="00F326E5">
      <w:pPr>
        <w:rPr>
          <w:sz w:val="24"/>
          <w:szCs w:val="24"/>
        </w:rPr>
      </w:pPr>
      <w:bookmarkStart w:id="115" w:name="_Hlk7340734"/>
      <w:r>
        <w:rPr>
          <w:rFonts w:ascii="Arial Black" w:hAnsi="Arial Black"/>
          <w:sz w:val="28"/>
          <w:szCs w:val="28"/>
        </w:rPr>
        <w:t>PA:  SKIN CANCER - FF DID NOT SHOW SCIENTIFIC EVIDENCE CONNECTING TO JOB</w:t>
      </w:r>
    </w:p>
    <w:p w14:paraId="7766ECFE" w14:textId="6A9B283F" w:rsidR="00965872" w:rsidRDefault="00F326E5" w:rsidP="00F326E5">
      <w:pPr>
        <w:pStyle w:val="NoSpacing"/>
        <w:rPr>
          <w:rFonts w:ascii="Times New Roman" w:eastAsia="Times New Roman" w:hAnsi="Times New Roman"/>
          <w:sz w:val="24"/>
          <w:szCs w:val="24"/>
        </w:rPr>
      </w:pPr>
      <w:r w:rsidRPr="0036327D">
        <w:rPr>
          <w:rFonts w:ascii="Times New Roman" w:hAnsi="Times New Roman"/>
          <w:sz w:val="24"/>
          <w:szCs w:val="24"/>
        </w:rPr>
        <w:t xml:space="preserve">On Oct. 18, 2018, in </w:t>
      </w:r>
      <w:r w:rsidRPr="0036327D">
        <w:rPr>
          <w:rFonts w:ascii="Times New Roman" w:eastAsia="Times New Roman" w:hAnsi="Times New Roman"/>
          <w:sz w:val="24"/>
          <w:szCs w:val="24"/>
          <w:u w:val="single"/>
        </w:rPr>
        <w:t>City Of Philadelphia Fire Department v. Workers’ Compensation Appeal Board (Appeal of Scott Sladek)</w:t>
      </w:r>
      <w:r w:rsidRPr="0036327D">
        <w:rPr>
          <w:rFonts w:ascii="Times New Roman" w:eastAsia="Times New Roman" w:hAnsi="Times New Roman"/>
          <w:sz w:val="24"/>
          <w:szCs w:val="24"/>
        </w:rPr>
        <w:t>, the Supreme Court of Pennsylvania (sitting in Eastern District, Philadelphia) held (4 to 3) that a firefighter with skin cancer must present scientific evidence to Workers Comp Board that his malignant melanoma is a type of cancer caused by the Group 1 carcinogens.  The City’s expert</w:t>
      </w:r>
      <w:r w:rsidR="00965872">
        <w:rPr>
          <w:rFonts w:ascii="Times New Roman" w:eastAsia="Times New Roman" w:hAnsi="Times New Roman"/>
          <w:sz w:val="24"/>
          <w:szCs w:val="24"/>
        </w:rPr>
        <w:t>:</w:t>
      </w:r>
      <w:r w:rsidRPr="0036327D">
        <w:rPr>
          <w:rFonts w:ascii="Times New Roman" w:eastAsia="Times New Roman" w:hAnsi="Times New Roman"/>
          <w:sz w:val="24"/>
          <w:szCs w:val="24"/>
        </w:rPr>
        <w:t xml:space="preserve"> </w:t>
      </w:r>
    </w:p>
    <w:p w14:paraId="622289F7" w14:textId="77777777" w:rsidR="00965872" w:rsidRDefault="00965872" w:rsidP="00F326E5">
      <w:pPr>
        <w:pStyle w:val="NoSpacing"/>
        <w:rPr>
          <w:rFonts w:ascii="Times New Roman" w:eastAsia="Times New Roman" w:hAnsi="Times New Roman"/>
          <w:sz w:val="24"/>
          <w:szCs w:val="24"/>
        </w:rPr>
      </w:pPr>
    </w:p>
    <w:p w14:paraId="6A0D6593" w14:textId="429ED372" w:rsidR="00F326E5" w:rsidRPr="0036327D" w:rsidRDefault="00F326E5" w:rsidP="00965872">
      <w:pPr>
        <w:pStyle w:val="NoSpacing"/>
        <w:ind w:left="720"/>
        <w:rPr>
          <w:rFonts w:ascii="Times New Roman" w:hAnsi="Times New Roman"/>
          <w:sz w:val="24"/>
          <w:szCs w:val="24"/>
        </w:rPr>
      </w:pPr>
      <w:r w:rsidRPr="0036327D">
        <w:rPr>
          <w:rFonts w:ascii="Times New Roman" w:eastAsia="Times New Roman" w:hAnsi="Times New Roman"/>
          <w:sz w:val="24"/>
          <w:szCs w:val="24"/>
        </w:rPr>
        <w:t xml:space="preserve">“Dr. Guidotti, testified that there is considerable epidemiological evidence to support a causative relationship between malignant melanoma of the skin and sunlight exposure (sunburn), but no similar evidence to support a causative connection between malignant melanoma and the inhalation of any substance.” </w:t>
      </w:r>
      <w:hyperlink r:id="rId623" w:anchor="search=%22SCOTT%20SLADEK%20%27Supreme%2bCourt%27%22" w:history="1">
        <w:r w:rsidRPr="0036327D">
          <w:rPr>
            <w:rStyle w:val="Hyperlink"/>
            <w:rFonts w:ascii="Times New Roman" w:hAnsi="Times New Roman"/>
            <w:sz w:val="24"/>
            <w:szCs w:val="24"/>
          </w:rPr>
          <w:t>http://www.pacourts.us/assets/opinions/Supreme/out/opinion%20announcing%20judgment%20of%20the%20court%20%20reversedremanded%20%2010373870143091493.pdf#search=%22SCOTT%20SLADEK%20%27Supreme%2bCourt%27%22</w:t>
        </w:r>
      </w:hyperlink>
    </w:p>
    <w:p w14:paraId="264DACD8" w14:textId="77777777" w:rsidR="00965872" w:rsidRDefault="00965872" w:rsidP="00F326E5">
      <w:pPr>
        <w:pStyle w:val="NoSpacing"/>
        <w:rPr>
          <w:rFonts w:ascii="Times New Roman" w:hAnsi="Times New Roman"/>
          <w:b/>
          <w:sz w:val="24"/>
          <w:szCs w:val="24"/>
        </w:rPr>
      </w:pPr>
    </w:p>
    <w:p w14:paraId="1EFE9B16" w14:textId="6213A27E" w:rsidR="00F326E5" w:rsidRPr="0036327D" w:rsidRDefault="00F326E5" w:rsidP="00F326E5">
      <w:pPr>
        <w:pStyle w:val="NoSpacing"/>
        <w:rPr>
          <w:rStyle w:val="Hyperlink"/>
          <w:rFonts w:ascii="Times New Roman" w:hAnsi="Times New Roman"/>
          <w:b/>
          <w:sz w:val="24"/>
          <w:szCs w:val="24"/>
        </w:rPr>
      </w:pPr>
      <w:r w:rsidRPr="0036327D">
        <w:rPr>
          <w:rFonts w:ascii="Times New Roman" w:hAnsi="Times New Roman"/>
          <w:b/>
          <w:sz w:val="24"/>
          <w:szCs w:val="24"/>
        </w:rPr>
        <w:t xml:space="preserve">Legal Lessons Learned:  There are statutory presumption statutes in many states; some cover specific cancers, such as leukemia, non-Hodgkin lymphoma, brain cancer, bladder cancer, and gastrointestinal cancer.   Other statutes do not specify the specific </w:t>
      </w:r>
      <w:proofErr w:type="gramStart"/>
      <w:r w:rsidRPr="0036327D">
        <w:rPr>
          <w:rFonts w:ascii="Times New Roman" w:hAnsi="Times New Roman"/>
          <w:b/>
          <w:sz w:val="24"/>
          <w:szCs w:val="24"/>
        </w:rPr>
        <w:t>cancers</w:t>
      </w:r>
      <w:proofErr w:type="gramEnd"/>
      <w:r w:rsidRPr="0036327D">
        <w:rPr>
          <w:rFonts w:ascii="Times New Roman" w:hAnsi="Times New Roman"/>
          <w:b/>
          <w:sz w:val="24"/>
          <w:szCs w:val="24"/>
        </w:rPr>
        <w:t xml:space="preserve">, and  </w:t>
      </w:r>
      <w:r w:rsidRPr="0036327D">
        <w:rPr>
          <w:rFonts w:ascii="Times New Roman" w:eastAsia="Times New Roman" w:hAnsi="Times New Roman"/>
          <w:b/>
          <w:sz w:val="24"/>
          <w:szCs w:val="24"/>
        </w:rPr>
        <w:t xml:space="preserve">epidemiological evidence may be required to win a </w:t>
      </w:r>
      <w:proofErr w:type="gramStart"/>
      <w:r w:rsidRPr="0036327D">
        <w:rPr>
          <w:rFonts w:ascii="Times New Roman" w:eastAsia="Times New Roman" w:hAnsi="Times New Roman"/>
          <w:b/>
          <w:sz w:val="24"/>
          <w:szCs w:val="24"/>
        </w:rPr>
        <w:t>workers</w:t>
      </w:r>
      <w:proofErr w:type="gramEnd"/>
      <w:r w:rsidRPr="0036327D">
        <w:rPr>
          <w:rFonts w:ascii="Times New Roman" w:eastAsia="Times New Roman" w:hAnsi="Times New Roman"/>
          <w:b/>
          <w:sz w:val="24"/>
          <w:szCs w:val="24"/>
        </w:rPr>
        <w:t xml:space="preserve"> comp claim.</w:t>
      </w:r>
      <w:r w:rsidRPr="0036327D">
        <w:rPr>
          <w:rStyle w:val="Hyperlink"/>
          <w:rFonts w:ascii="Times New Roman" w:hAnsi="Times New Roman"/>
          <w:sz w:val="24"/>
          <w:szCs w:val="24"/>
        </w:rPr>
        <w:t xml:space="preserve"> </w:t>
      </w:r>
    </w:p>
    <w:p w14:paraId="289056F0" w14:textId="77777777" w:rsidR="00F326E5" w:rsidRPr="0036327D" w:rsidRDefault="00F326E5" w:rsidP="00F326E5">
      <w:pPr>
        <w:pStyle w:val="NoSpacing"/>
        <w:rPr>
          <w:rFonts w:ascii="Times New Roman" w:hAnsi="Times New Roman"/>
          <w:b/>
          <w:sz w:val="24"/>
          <w:szCs w:val="24"/>
        </w:rPr>
      </w:pPr>
      <w:hyperlink r:id="rId624" w:history="1">
        <w:r w:rsidRPr="0036327D">
          <w:rPr>
            <w:rStyle w:val="Hyperlink"/>
            <w:rFonts w:ascii="Times New Roman" w:hAnsi="Times New Roman"/>
            <w:sz w:val="24"/>
            <w:szCs w:val="24"/>
          </w:rPr>
          <w:t>https://www.firstrespondercenter.org/cancer/toolsresources/presumptive-legislation-firefighter-cancer-state/</w:t>
        </w:r>
      </w:hyperlink>
    </w:p>
    <w:p w14:paraId="4463F4A7" w14:textId="77777777" w:rsidR="00F326E5" w:rsidRPr="0036327D" w:rsidRDefault="00F326E5" w:rsidP="00F326E5">
      <w:pPr>
        <w:pStyle w:val="NoSpacing"/>
        <w:rPr>
          <w:rFonts w:ascii="Times New Roman" w:hAnsi="Times New Roman"/>
          <w:b/>
          <w:sz w:val="24"/>
          <w:szCs w:val="24"/>
        </w:rPr>
      </w:pPr>
    </w:p>
    <w:p w14:paraId="7C687AD0" w14:textId="77777777" w:rsidR="00EF1133" w:rsidRDefault="00EF1133" w:rsidP="00EF1133">
      <w:pPr>
        <w:pStyle w:val="NoSpacing"/>
        <w:rPr>
          <w:rFonts w:ascii="Arial Black" w:hAnsi="Arial Black"/>
          <w:sz w:val="24"/>
          <w:szCs w:val="24"/>
        </w:rPr>
      </w:pPr>
    </w:p>
    <w:p w14:paraId="6E77FD57" w14:textId="66B6585B"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0</w:t>
      </w:r>
    </w:p>
    <w:p w14:paraId="49AD7EBD" w14:textId="77777777" w:rsidR="00F326E5" w:rsidRDefault="00F326E5" w:rsidP="00F326E5">
      <w:pPr>
        <w:rPr>
          <w:sz w:val="24"/>
          <w:szCs w:val="24"/>
        </w:rPr>
      </w:pPr>
    </w:p>
    <w:p w14:paraId="05B5B75E" w14:textId="3AA4FE6E" w:rsidR="00F326E5" w:rsidRPr="00724064" w:rsidRDefault="00F326E5" w:rsidP="00F326E5">
      <w:pPr>
        <w:rPr>
          <w:rFonts w:ascii="Arial Black" w:hAnsi="Arial Black"/>
          <w:sz w:val="28"/>
          <w:szCs w:val="28"/>
        </w:rPr>
      </w:pPr>
      <w:bookmarkStart w:id="116" w:name="_Hlk7340805"/>
      <w:bookmarkEnd w:id="115"/>
      <w:r w:rsidRPr="00724064">
        <w:rPr>
          <w:rFonts w:ascii="Arial Black" w:hAnsi="Arial Black"/>
          <w:sz w:val="28"/>
          <w:szCs w:val="28"/>
        </w:rPr>
        <w:t>PA: Q-S</w:t>
      </w:r>
      <w:r>
        <w:rPr>
          <w:rFonts w:ascii="Arial Black" w:hAnsi="Arial Black"/>
          <w:sz w:val="28"/>
          <w:szCs w:val="28"/>
        </w:rPr>
        <w:t xml:space="preserve">IREN LAWSUIT DISMISSED – DID NOT PROVE WAS “UNREASONABLY DANGEROUS” </w:t>
      </w:r>
    </w:p>
    <w:p w14:paraId="5DC26B43" w14:textId="77777777" w:rsidR="00965872"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Aug. 20, 2018, in </w:t>
      </w:r>
      <w:r w:rsidRPr="0036327D">
        <w:rPr>
          <w:rFonts w:ascii="Times New Roman" w:hAnsi="Times New Roman"/>
          <w:sz w:val="24"/>
          <w:szCs w:val="24"/>
          <w:u w:val="single"/>
        </w:rPr>
        <w:t>Ronald Dunlap and Carl Roel v. Federal Signal Corporation, et al.</w:t>
      </w:r>
      <w:r w:rsidRPr="0036327D">
        <w:rPr>
          <w:rFonts w:ascii="Times New Roman" w:hAnsi="Times New Roman"/>
          <w:sz w:val="24"/>
          <w:szCs w:val="24"/>
        </w:rPr>
        <w:t xml:space="preserve">, the Superior Court of Pennsylvania, held (2 to 1) that the trial court properly granted summary judgment to the siren manufacturer.  The Court wrote: </w:t>
      </w:r>
    </w:p>
    <w:p w14:paraId="54A7E475" w14:textId="77777777" w:rsidR="00965872" w:rsidRDefault="00965872" w:rsidP="00F326E5">
      <w:pPr>
        <w:pStyle w:val="NoSpacing"/>
        <w:rPr>
          <w:rFonts w:ascii="Times New Roman" w:hAnsi="Times New Roman"/>
          <w:sz w:val="24"/>
          <w:szCs w:val="24"/>
        </w:rPr>
      </w:pPr>
    </w:p>
    <w:p w14:paraId="27484287" w14:textId="0699C85A" w:rsidR="00F326E5" w:rsidRPr="0036327D" w:rsidRDefault="00F326E5" w:rsidP="00965872">
      <w:pPr>
        <w:pStyle w:val="NoSpacing"/>
        <w:ind w:left="720"/>
        <w:rPr>
          <w:rFonts w:ascii="Times New Roman" w:hAnsi="Times New Roman"/>
          <w:sz w:val="24"/>
          <w:szCs w:val="24"/>
        </w:rPr>
      </w:pPr>
      <w:r w:rsidRPr="0036327D">
        <w:rPr>
          <w:rFonts w:ascii="Times New Roman" w:hAnsi="Times New Roman"/>
          <w:sz w:val="24"/>
          <w:szCs w:val="24"/>
        </w:rPr>
        <w:t xml:space="preserve">“Plaintiff firefighters’ acoustics expert, Mr. Struck, presented an alternative siren design that would afford greater protection for firefighters from hearing loss by adding a Bromley Shroud, which would direct the noise to the front of the fire truck and away from the cab. However, he focused solely on the benefits of the shrouded design to the firefighters occupying the cab of the firetruck; he did not opine whether that design would protect the </w:t>
      </w:r>
      <w:proofErr w:type="gramStart"/>
      <w:r w:rsidRPr="0036327D">
        <w:rPr>
          <w:rFonts w:ascii="Times New Roman" w:hAnsi="Times New Roman"/>
          <w:sz w:val="24"/>
          <w:szCs w:val="24"/>
        </w:rPr>
        <w:t>public.”</w:t>
      </w:r>
      <w:proofErr w:type="gramEnd"/>
    </w:p>
    <w:p w14:paraId="1A2D036C" w14:textId="4404788F" w:rsidR="00F326E5" w:rsidRPr="0036327D" w:rsidRDefault="00965872" w:rsidP="00965872">
      <w:pPr>
        <w:pStyle w:val="NoSpacing"/>
        <w:ind w:firstLine="720"/>
        <w:rPr>
          <w:rFonts w:ascii="Times New Roman" w:hAnsi="Times New Roman"/>
          <w:b/>
          <w:sz w:val="24"/>
          <w:szCs w:val="24"/>
        </w:rPr>
      </w:pPr>
      <w:hyperlink r:id="rId625" w:history="1">
        <w:r w:rsidRPr="002F304C">
          <w:rPr>
            <w:rStyle w:val="Hyperlink"/>
            <w:rFonts w:ascii="Times New Roman" w:hAnsi="Times New Roman"/>
            <w:sz w:val="24"/>
            <w:szCs w:val="24"/>
          </w:rPr>
          <w:t>https://cases.justia.com/pennsylvania/superior-court/2018-1747-wda-2016.pdf?ts=1534790308</w:t>
        </w:r>
      </w:hyperlink>
      <w:r w:rsidR="00F326E5" w:rsidRPr="0036327D">
        <w:rPr>
          <w:rFonts w:ascii="Times New Roman" w:hAnsi="Times New Roman"/>
          <w:b/>
          <w:sz w:val="24"/>
          <w:szCs w:val="24"/>
        </w:rPr>
        <w:t xml:space="preserve"> </w:t>
      </w:r>
    </w:p>
    <w:p w14:paraId="4809C827" w14:textId="77777777" w:rsidR="00965872" w:rsidRDefault="00965872" w:rsidP="00F326E5">
      <w:pPr>
        <w:pStyle w:val="NoSpacing"/>
        <w:rPr>
          <w:rFonts w:ascii="Times New Roman" w:hAnsi="Times New Roman"/>
          <w:b/>
          <w:sz w:val="24"/>
          <w:szCs w:val="24"/>
        </w:rPr>
      </w:pPr>
    </w:p>
    <w:p w14:paraId="4BE8F98F" w14:textId="7A91D79E" w:rsidR="00F326E5" w:rsidRPr="0036327D" w:rsidRDefault="00F326E5" w:rsidP="00F326E5">
      <w:pPr>
        <w:pStyle w:val="NoSpacing"/>
        <w:rPr>
          <w:rFonts w:ascii="Times New Roman" w:hAnsi="Times New Roman"/>
          <w:b/>
          <w:sz w:val="24"/>
          <w:szCs w:val="24"/>
        </w:rPr>
      </w:pPr>
      <w:r w:rsidRPr="0036327D">
        <w:rPr>
          <w:rFonts w:ascii="Times New Roman" w:hAnsi="Times New Roman"/>
          <w:b/>
          <w:sz w:val="24"/>
          <w:szCs w:val="24"/>
        </w:rPr>
        <w:t xml:space="preserve">Legal Lesson Learned:  Hearing loss is a serious issue in fire and EMS; hearing protection should be worn when the siren is activated. </w:t>
      </w:r>
    </w:p>
    <w:p w14:paraId="43BACD0C" w14:textId="77777777" w:rsidR="00F326E5" w:rsidRDefault="00F326E5" w:rsidP="00F326E5">
      <w:pPr>
        <w:pStyle w:val="NoSpacing"/>
        <w:rPr>
          <w:b/>
          <w:sz w:val="24"/>
          <w:szCs w:val="24"/>
        </w:rPr>
      </w:pPr>
    </w:p>
    <w:p w14:paraId="0765FBC2" w14:textId="77777777" w:rsidR="00EF1133" w:rsidRDefault="00EF1133" w:rsidP="00EF1133">
      <w:pPr>
        <w:pStyle w:val="NoSpacing"/>
        <w:rPr>
          <w:rFonts w:ascii="Arial Black" w:hAnsi="Arial Black"/>
          <w:sz w:val="24"/>
          <w:szCs w:val="24"/>
        </w:rPr>
      </w:pPr>
      <w:bookmarkStart w:id="117" w:name="_Hlk7173123"/>
      <w:bookmarkEnd w:id="116"/>
    </w:p>
    <w:p w14:paraId="4863FA47" w14:textId="2B737541"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9</w:t>
      </w:r>
    </w:p>
    <w:p w14:paraId="2739ABC0" w14:textId="77777777" w:rsidR="00F326E5" w:rsidRDefault="00F326E5" w:rsidP="00F326E5">
      <w:pPr>
        <w:pStyle w:val="NoSpacing"/>
        <w:rPr>
          <w:sz w:val="24"/>
          <w:szCs w:val="24"/>
        </w:rPr>
      </w:pPr>
    </w:p>
    <w:p w14:paraId="6A7EB7B1" w14:textId="66C184B8" w:rsidR="00F326E5" w:rsidRDefault="00F326E5" w:rsidP="00F326E5">
      <w:pPr>
        <w:pStyle w:val="NoSpacing"/>
        <w:rPr>
          <w:rFonts w:ascii="Arial Black" w:hAnsi="Arial Black"/>
          <w:b/>
          <w:sz w:val="24"/>
          <w:szCs w:val="24"/>
        </w:rPr>
      </w:pPr>
      <w:bookmarkStart w:id="118" w:name="_Hlk7340860"/>
      <w:r w:rsidRPr="00724064">
        <w:rPr>
          <w:rFonts w:ascii="Arial Black" w:hAnsi="Arial Black"/>
          <w:b/>
          <w:sz w:val="28"/>
          <w:szCs w:val="28"/>
        </w:rPr>
        <w:t>PA: H</w:t>
      </w:r>
      <w:r>
        <w:rPr>
          <w:rFonts w:ascii="Arial Black" w:hAnsi="Arial Black"/>
          <w:b/>
          <w:sz w:val="28"/>
          <w:szCs w:val="28"/>
        </w:rPr>
        <w:t xml:space="preserve">EARING LOSS LAWSUIT DROPPED - PLANITIFF’S ATTORNEY MUST PAY DEF. ATTORNEY FEES </w:t>
      </w:r>
    </w:p>
    <w:p w14:paraId="1A5A046E"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June 20, 2018, in </w:t>
      </w:r>
      <w:r w:rsidRPr="0036327D">
        <w:rPr>
          <w:rFonts w:ascii="Times New Roman" w:eastAsia="Times New Roman" w:hAnsi="Times New Roman"/>
          <w:sz w:val="24"/>
          <w:szCs w:val="24"/>
          <w:u w:val="single"/>
        </w:rPr>
        <w:t>Gerald Carroll, et al. v. Federal Signal Corporation, et al</w:t>
      </w:r>
      <w:r w:rsidRPr="0036327D">
        <w:rPr>
          <w:rFonts w:ascii="Times New Roman" w:eastAsia="Times New Roman" w:hAnsi="Times New Roman"/>
          <w:sz w:val="24"/>
          <w:szCs w:val="24"/>
        </w:rPr>
        <w:t>., the U.S. Court of Appeals for the 3</w:t>
      </w:r>
      <w:r w:rsidRPr="0036327D">
        <w:rPr>
          <w:rFonts w:ascii="Times New Roman" w:eastAsia="Times New Roman" w:hAnsi="Times New Roman"/>
          <w:sz w:val="24"/>
          <w:szCs w:val="24"/>
          <w:vertAlign w:val="superscript"/>
        </w:rPr>
        <w:t>rd</w:t>
      </w:r>
      <w:r w:rsidRPr="0036327D">
        <w:rPr>
          <w:rFonts w:ascii="Times New Roman" w:eastAsia="Times New Roman" w:hAnsi="Times New Roman"/>
          <w:sz w:val="24"/>
          <w:szCs w:val="24"/>
        </w:rPr>
        <w:t xml:space="preserve"> Circuit (Philadelphia) held (3 to 0) that plaintiffs’ attorney must pay $127,823.47 in attorney fees. </w:t>
      </w:r>
    </w:p>
    <w:p w14:paraId="6A9519E4" w14:textId="35DF2451"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“Although attorneys’ fees and costs are typically not awarded when a matter is voluntarily dismissed with prejudice, we conclude that such an award may be granted when exceptional circumstances exist. Exceptional circumstances include a litigant’s failure to perform a meaningful pre-suit investigation, as well as a repeated practice of bringing meritless claims and then dismissing them with prejudice after both the opposing party and the judicial system have incurred substantial costs.  Because such exceptional circumstances are present in this case, the District Court’s award will be affirmed.”</w:t>
      </w:r>
      <w:r w:rsidR="00965872">
        <w:rPr>
          <w:rFonts w:ascii="Times New Roman" w:eastAsia="Times New Roman" w:hAnsi="Times New Roman"/>
          <w:sz w:val="24"/>
          <w:szCs w:val="24"/>
        </w:rPr>
        <w:t xml:space="preserve"> </w:t>
      </w:r>
      <w:hyperlink r:id="rId626" w:history="1">
        <w:r w:rsidRPr="0036327D">
          <w:rPr>
            <w:rStyle w:val="Hyperlink"/>
            <w:rFonts w:ascii="Times New Roman" w:hAnsi="Times New Roman"/>
            <w:sz w:val="24"/>
            <w:szCs w:val="24"/>
          </w:rPr>
          <w:t>http://www2.ca3.uscourts.gov/opinarch/172183p.pdf</w:t>
        </w:r>
      </w:hyperlink>
      <w:r w:rsidRPr="0036327D">
        <w:rPr>
          <w:rFonts w:ascii="Times New Roman" w:eastAsia="Times New Roman" w:hAnsi="Times New Roman"/>
          <w:sz w:val="24"/>
          <w:szCs w:val="24"/>
        </w:rPr>
        <w:t xml:space="preserve"> </w:t>
      </w:r>
    </w:p>
    <w:p w14:paraId="750F4306"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Hearing loss is a real issue in fire &amp; EMS - wear hearing protection.  </w:t>
      </w:r>
    </w:p>
    <w:p w14:paraId="658B3F67"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 xml:space="preserve">See NFPA 1582; </w:t>
      </w:r>
      <w:hyperlink r:id="rId627" w:history="1">
        <w:r w:rsidRPr="0036327D">
          <w:rPr>
            <w:rStyle w:val="Hyperlink"/>
            <w:rFonts w:ascii="Times New Roman" w:hAnsi="Times New Roman"/>
            <w:sz w:val="24"/>
            <w:szCs w:val="24"/>
          </w:rPr>
          <w:t>https://www.nfpa.org/codes-and-standards/all-codes-and-standards/list-of-codes-and-standards/detail?code=1582</w:t>
        </w:r>
      </w:hyperlink>
      <w:r w:rsidRPr="0036327D">
        <w:rPr>
          <w:rFonts w:ascii="Times New Roman" w:eastAsia="Times New Roman" w:hAnsi="Times New Roman"/>
          <w:sz w:val="24"/>
          <w:szCs w:val="24"/>
        </w:rPr>
        <w:t xml:space="preserve">  See also these research articles, “</w:t>
      </w:r>
      <w:r w:rsidRPr="0036327D">
        <w:rPr>
          <w:rFonts w:ascii="Times New Roman" w:hAnsi="Times New Roman"/>
          <w:sz w:val="24"/>
          <w:szCs w:val="24"/>
        </w:rPr>
        <w:t xml:space="preserve">Hearing Loss Prevention and a Survey of Firefighters,” </w:t>
      </w:r>
      <w:hyperlink r:id="rId628" w:history="1">
        <w:r w:rsidRPr="0036327D">
          <w:rPr>
            <w:rStyle w:val="Hyperlink"/>
            <w:rFonts w:ascii="Times New Roman" w:hAnsi="Times New Roman"/>
            <w:sz w:val="24"/>
            <w:szCs w:val="24"/>
          </w:rPr>
          <w:t>http://www.caohc.org/updatearticles/2017/Update_v29-i1.pdf</w:t>
        </w:r>
      </w:hyperlink>
      <w:r w:rsidRPr="0036327D">
        <w:rPr>
          <w:rFonts w:ascii="Times New Roman" w:hAnsi="Times New Roman"/>
          <w:sz w:val="24"/>
          <w:szCs w:val="24"/>
        </w:rPr>
        <w:t xml:space="preserve"> ;  “Hearing Conservation For Firefighters,”  Audiology Today (Nov / Dec. 2012): </w:t>
      </w:r>
      <w:r w:rsidRPr="0036327D">
        <w:rPr>
          <w:rFonts w:ascii="Times New Roman" w:eastAsia="Times New Roman" w:hAnsi="Times New Roman"/>
          <w:sz w:val="24"/>
          <w:szCs w:val="24"/>
        </w:rPr>
        <w:t xml:space="preserve">“This hearing loss is irreversible, but preventable by using hearing protection or managing the noise and noise exposure. Unfortunately, audiologists see this population only after the hearing loss has become debilitating.” </w:t>
      </w:r>
      <w:hyperlink r:id="rId629" w:history="1">
        <w:r w:rsidRPr="0036327D">
          <w:rPr>
            <w:rStyle w:val="Hyperlink"/>
            <w:rFonts w:ascii="Times New Roman" w:hAnsi="Times New Roman"/>
            <w:sz w:val="24"/>
            <w:szCs w:val="24"/>
          </w:rPr>
          <w:t>https://www.audiology.org/sites/default/files/audiologytoday/AT%2024.6%20-%20LOW.pdf</w:t>
        </w:r>
      </w:hyperlink>
    </w:p>
    <w:bookmarkEnd w:id="117"/>
    <w:bookmarkEnd w:id="118"/>
    <w:p w14:paraId="2A0C46EF" w14:textId="77777777" w:rsidR="00F326E5" w:rsidRPr="0036327D" w:rsidRDefault="00F326E5" w:rsidP="00F326E5">
      <w:pPr>
        <w:pStyle w:val="NoSpacing"/>
        <w:rPr>
          <w:rFonts w:ascii="Times New Roman" w:hAnsi="Times New Roman"/>
          <w:b/>
          <w:sz w:val="24"/>
          <w:szCs w:val="24"/>
        </w:rPr>
      </w:pPr>
    </w:p>
    <w:p w14:paraId="0F14A4C0" w14:textId="12EC2A28"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8</w:t>
      </w:r>
    </w:p>
    <w:p w14:paraId="340A039C" w14:textId="77777777" w:rsidR="00F326E5" w:rsidRDefault="00F326E5" w:rsidP="00F326E5">
      <w:pPr>
        <w:pStyle w:val="NoSpacing"/>
        <w:rPr>
          <w:rFonts w:ascii="Arial Black" w:hAnsi="Arial Black"/>
          <w:b/>
          <w:sz w:val="24"/>
          <w:szCs w:val="24"/>
        </w:rPr>
      </w:pPr>
    </w:p>
    <w:p w14:paraId="7F3947C4" w14:textId="290D80FB" w:rsidR="00F326E5" w:rsidRDefault="00F326E5" w:rsidP="00F326E5">
      <w:pPr>
        <w:pStyle w:val="NoSpacing"/>
        <w:rPr>
          <w:rFonts w:ascii="Arial Black" w:hAnsi="Arial Black"/>
          <w:b/>
          <w:sz w:val="28"/>
          <w:szCs w:val="28"/>
        </w:rPr>
      </w:pPr>
      <w:bookmarkStart w:id="119" w:name="_Hlk7340907"/>
      <w:r w:rsidRPr="009C2749">
        <w:rPr>
          <w:rFonts w:ascii="Arial Black" w:hAnsi="Arial Black"/>
          <w:b/>
          <w:sz w:val="28"/>
          <w:szCs w:val="28"/>
        </w:rPr>
        <w:t>MD</w:t>
      </w:r>
      <w:r>
        <w:rPr>
          <w:rFonts w:ascii="Arial Black" w:hAnsi="Arial Black"/>
          <w:b/>
          <w:sz w:val="28"/>
          <w:szCs w:val="28"/>
        </w:rPr>
        <w:t xml:space="preserve">: </w:t>
      </w:r>
      <w:r w:rsidRPr="009C2749">
        <w:rPr>
          <w:rFonts w:ascii="Arial Black" w:hAnsi="Arial Black"/>
          <w:b/>
          <w:sz w:val="28"/>
          <w:szCs w:val="28"/>
        </w:rPr>
        <w:t>P</w:t>
      </w:r>
      <w:r>
        <w:rPr>
          <w:rFonts w:ascii="Arial Black" w:hAnsi="Arial Black"/>
          <w:b/>
          <w:sz w:val="28"/>
          <w:szCs w:val="28"/>
        </w:rPr>
        <w:t xml:space="preserve">ART-TIME EMS INJURED FOOT ON DUTY – AVERAGE WEEKLY WAGE </w:t>
      </w:r>
    </w:p>
    <w:p w14:paraId="53833113" w14:textId="77777777" w:rsidR="00F326E5" w:rsidRPr="0036327D" w:rsidRDefault="00F326E5" w:rsidP="00F326E5">
      <w:pPr>
        <w:rPr>
          <w:rFonts w:ascii="Times New Roman" w:hAnsi="Times New Roman"/>
          <w:sz w:val="24"/>
          <w:szCs w:val="24"/>
        </w:rPr>
      </w:pPr>
      <w:r w:rsidRPr="0036327D">
        <w:rPr>
          <w:rFonts w:ascii="Times New Roman" w:hAnsi="Times New Roman"/>
          <w:sz w:val="24"/>
          <w:szCs w:val="24"/>
        </w:rPr>
        <w:t xml:space="preserve">On June 1, 2018, in </w:t>
      </w:r>
      <w:r w:rsidRPr="0036327D">
        <w:rPr>
          <w:rFonts w:ascii="Times New Roman" w:hAnsi="Times New Roman"/>
          <w:sz w:val="24"/>
          <w:szCs w:val="24"/>
          <w:u w:val="single"/>
        </w:rPr>
        <w:t>Justin Stine v. Montgomery County, Maryland</w:t>
      </w:r>
      <w:r w:rsidRPr="0036327D">
        <w:rPr>
          <w:rFonts w:ascii="Times New Roman" w:hAnsi="Times New Roman"/>
          <w:sz w:val="24"/>
          <w:szCs w:val="24"/>
        </w:rPr>
        <w:t xml:space="preserve">, the Court of Special Appeals of Maryland, held (3 to 0) that he is entitled to a jury trial to determine average weekly wage, which may include wages earned working for private ambulance company rather than merely the wage he earned as a part-time EMT in the 14-weeks prior to the injury.  </w:t>
      </w:r>
      <w:hyperlink r:id="rId630" w:history="1">
        <w:r w:rsidRPr="0036327D">
          <w:rPr>
            <w:rStyle w:val="Hyperlink"/>
            <w:rFonts w:ascii="Times New Roman" w:hAnsi="Times New Roman"/>
            <w:sz w:val="24"/>
            <w:szCs w:val="24"/>
          </w:rPr>
          <w:t>https://caselaw.findlaw.com/md-court-of-special-appeals/1897275.html</w:t>
        </w:r>
      </w:hyperlink>
      <w:r w:rsidRPr="0036327D">
        <w:rPr>
          <w:rFonts w:ascii="Times New Roman" w:hAnsi="Times New Roman"/>
          <w:sz w:val="24"/>
          <w:szCs w:val="24"/>
        </w:rPr>
        <w:t xml:space="preserve"> </w:t>
      </w:r>
    </w:p>
    <w:p w14:paraId="6AFE7DF1" w14:textId="2C211E44"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 xml:space="preserve">Legal Lesson Learned:  helpful decision for part-time EMT, who </w:t>
      </w:r>
      <w:proofErr w:type="gramStart"/>
      <w:r w:rsidRPr="0036327D">
        <w:rPr>
          <w:rFonts w:ascii="Times New Roman" w:hAnsi="Times New Roman"/>
          <w:b/>
          <w:sz w:val="24"/>
          <w:szCs w:val="24"/>
        </w:rPr>
        <w:t>has</w:t>
      </w:r>
      <w:proofErr w:type="gramEnd"/>
      <w:r w:rsidRPr="0036327D">
        <w:rPr>
          <w:rFonts w:ascii="Times New Roman" w:hAnsi="Times New Roman"/>
          <w:b/>
          <w:sz w:val="24"/>
          <w:szCs w:val="24"/>
        </w:rPr>
        <w:t xml:space="preserve"> second part-time job while also going to school.</w:t>
      </w:r>
    </w:p>
    <w:bookmarkEnd w:id="119"/>
    <w:p w14:paraId="7AAB0CBD" w14:textId="77777777" w:rsidR="00EF1133" w:rsidRDefault="00EF1133" w:rsidP="00791CA3">
      <w:pPr>
        <w:pStyle w:val="NoSpacing"/>
        <w:rPr>
          <w:rFonts w:ascii="Arial Black" w:hAnsi="Arial Black"/>
          <w:sz w:val="24"/>
          <w:szCs w:val="24"/>
        </w:rPr>
      </w:pPr>
    </w:p>
    <w:p w14:paraId="607800F8" w14:textId="241CA9CE" w:rsid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7</w:t>
      </w:r>
    </w:p>
    <w:p w14:paraId="7A6C343B" w14:textId="77777777" w:rsidR="00EF1133" w:rsidRDefault="00EF1133" w:rsidP="00F326E5">
      <w:pPr>
        <w:pStyle w:val="NoSpacing"/>
        <w:rPr>
          <w:rFonts w:ascii="Arial Black" w:hAnsi="Arial Black"/>
          <w:sz w:val="28"/>
          <w:szCs w:val="28"/>
        </w:rPr>
      </w:pPr>
      <w:bookmarkStart w:id="120" w:name="_Hlk7340944"/>
    </w:p>
    <w:p w14:paraId="403270CD" w14:textId="10ED4B3E" w:rsidR="00F326E5" w:rsidRPr="00A765B5" w:rsidRDefault="00F326E5" w:rsidP="00F326E5">
      <w:pPr>
        <w:pStyle w:val="NoSpacing"/>
        <w:rPr>
          <w:rFonts w:ascii="Arial Black" w:hAnsi="Arial Black"/>
          <w:sz w:val="28"/>
          <w:szCs w:val="28"/>
        </w:rPr>
      </w:pPr>
      <w:r w:rsidRPr="00A765B5">
        <w:rPr>
          <w:rFonts w:ascii="Arial Black" w:hAnsi="Arial Black"/>
          <w:sz w:val="28"/>
          <w:szCs w:val="28"/>
        </w:rPr>
        <w:t>U.S. Department of Justice</w:t>
      </w:r>
      <w:r>
        <w:rPr>
          <w:rFonts w:ascii="Arial Black" w:hAnsi="Arial Black"/>
          <w:sz w:val="28"/>
          <w:szCs w:val="28"/>
        </w:rPr>
        <w:t xml:space="preserve">: </w:t>
      </w:r>
      <w:r w:rsidRPr="00A765B5">
        <w:rPr>
          <w:rFonts w:ascii="Arial Black" w:hAnsi="Arial Black"/>
          <w:sz w:val="28"/>
          <w:szCs w:val="28"/>
        </w:rPr>
        <w:t xml:space="preserve"> Improvements </w:t>
      </w:r>
      <w:proofErr w:type="gramStart"/>
      <w:r w:rsidRPr="00A765B5">
        <w:rPr>
          <w:rFonts w:ascii="Arial Black" w:hAnsi="Arial Black"/>
          <w:sz w:val="28"/>
          <w:szCs w:val="28"/>
        </w:rPr>
        <w:t>In</w:t>
      </w:r>
      <w:proofErr w:type="gramEnd"/>
      <w:r w:rsidRPr="00A765B5">
        <w:rPr>
          <w:rFonts w:ascii="Arial Black" w:hAnsi="Arial Black"/>
          <w:sz w:val="28"/>
          <w:szCs w:val="28"/>
        </w:rPr>
        <w:t xml:space="preserve"> Public Safety Officer Benefits Program</w:t>
      </w:r>
    </w:p>
    <w:p w14:paraId="6A1E31D3"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On May 15, 2018, the U.S. Department of Justice issued Press Release, summarizing the following improvements:</w:t>
      </w:r>
    </w:p>
    <w:p w14:paraId="236A6530"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“Heart Attack, Stroke, and Vascular Rupture Claims:</w:t>
      </w:r>
      <w:r w:rsidRPr="0036327D">
        <w:rPr>
          <w:rFonts w:ascii="Times New Roman" w:eastAsia="Times New Roman" w:hAnsi="Times New Roman"/>
          <w:sz w:val="24"/>
          <w:szCs w:val="24"/>
        </w:rPr>
        <w:t xml:space="preserve"> The new rule helps implement a change in the law that reduces the need in many cases for families to submit difficult-to-find and costly medical records for their loved ones. This regulatory change alone positively impacts nearly one-third of the PSOB death claims filed each year.</w:t>
      </w:r>
    </w:p>
    <w:p w14:paraId="43B8ADBE"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 xml:space="preserve">Filing Process:  </w:t>
      </w:r>
      <w:r w:rsidRPr="0036327D">
        <w:rPr>
          <w:rFonts w:ascii="Times New Roman" w:eastAsia="Times New Roman" w:hAnsi="Times New Roman"/>
          <w:sz w:val="24"/>
          <w:szCs w:val="24"/>
        </w:rPr>
        <w:t>The new rule includes administrative updates to make filing claims more straightforward and less burdensome for survivors and public safety agencies.</w:t>
      </w:r>
    </w:p>
    <w:p w14:paraId="1EEE1A8E"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 xml:space="preserve">Law Enforcement and Firefighter Trainees: </w:t>
      </w:r>
      <w:r w:rsidRPr="0036327D">
        <w:rPr>
          <w:rFonts w:ascii="Times New Roman" w:eastAsia="Times New Roman" w:hAnsi="Times New Roman"/>
          <w:sz w:val="24"/>
          <w:szCs w:val="24"/>
        </w:rPr>
        <w:t>Recognizing the dangerous nature of law enforcement and fire suppression, and the rigorous training required to help keep communities safe, the new rule clarifies the coverage of certain individuals fatally or catastrophically injured during formal training provided by law enforcement and fire academies.</w:t>
      </w:r>
    </w:p>
    <w:p w14:paraId="2F7D8CD5"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September 11th Exposure Claims:</w:t>
      </w:r>
      <w:r w:rsidRPr="0036327D">
        <w:rPr>
          <w:rFonts w:ascii="Times New Roman" w:eastAsia="Times New Roman" w:hAnsi="Times New Roman"/>
          <w:sz w:val="24"/>
          <w:szCs w:val="24"/>
        </w:rPr>
        <w:t xml:space="preserve"> The new rule facilitates the PSOB Program’s medical examiners’ review of the nearly 150 claims pending for certain public safety officers who responded to the September 11th attacks to assist in rescue, recovery, and clean-up efforts, and who were exposed to hazards and toxins resulting from the attacks.”</w:t>
      </w:r>
    </w:p>
    <w:p w14:paraId="7E9099A6" w14:textId="4EAB6944" w:rsidR="00F326E5" w:rsidRPr="0036327D" w:rsidRDefault="00965872" w:rsidP="00965872">
      <w:pPr>
        <w:ind w:left="360"/>
        <w:rPr>
          <w:rFonts w:ascii="Times New Roman" w:eastAsia="Times New Roman" w:hAnsi="Times New Roman"/>
          <w:sz w:val="24"/>
          <w:szCs w:val="24"/>
        </w:rPr>
      </w:pPr>
      <w:hyperlink r:id="rId631" w:history="1">
        <w:r w:rsidRPr="002F304C">
          <w:rPr>
            <w:rStyle w:val="Hyperlink"/>
            <w:rFonts w:ascii="Times New Roman" w:hAnsi="Times New Roman"/>
            <w:sz w:val="24"/>
            <w:szCs w:val="24"/>
          </w:rPr>
          <w:t>https://www.justice.gov/opa/pr/justice-department-announces-improvements-public-safety-officers-benefits-program</w:t>
        </w:r>
      </w:hyperlink>
      <w:r w:rsidR="00F326E5" w:rsidRPr="0036327D">
        <w:rPr>
          <w:rFonts w:ascii="Times New Roman" w:eastAsia="Times New Roman" w:hAnsi="Times New Roman"/>
          <w:sz w:val="24"/>
          <w:szCs w:val="24"/>
        </w:rPr>
        <w:t xml:space="preserve"> </w:t>
      </w:r>
    </w:p>
    <w:p w14:paraId="0C636015"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Hopefully these new rules will expedite review of pending claims, including claims by public safety officers who responded to the Sept. 11 terrorist attacks and were exposed to toxins. </w:t>
      </w:r>
    </w:p>
    <w:p w14:paraId="5B69B2F6" w14:textId="77777777" w:rsidR="00F326E5" w:rsidRDefault="00F326E5" w:rsidP="00F326E5">
      <w:pPr>
        <w:rPr>
          <w:rFonts w:eastAsia="Times New Roman"/>
          <w:sz w:val="24"/>
          <w:szCs w:val="24"/>
        </w:rPr>
      </w:pPr>
    </w:p>
    <w:bookmarkEnd w:id="120"/>
    <w:p w14:paraId="01035D17" w14:textId="734B5C41" w:rsidR="00F326E5"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6</w:t>
      </w:r>
    </w:p>
    <w:p w14:paraId="2D1F1EE1" w14:textId="77777777" w:rsidR="00791CA3" w:rsidRDefault="00791CA3" w:rsidP="00791CA3">
      <w:pPr>
        <w:pStyle w:val="NoSpacing"/>
        <w:rPr>
          <w:sz w:val="24"/>
          <w:szCs w:val="24"/>
        </w:rPr>
      </w:pPr>
    </w:p>
    <w:p w14:paraId="7916E709" w14:textId="27D3F027" w:rsidR="00F326E5" w:rsidRDefault="00F326E5" w:rsidP="00F326E5">
      <w:pPr>
        <w:rPr>
          <w:rFonts w:ascii="Arial Black" w:hAnsi="Arial Black"/>
          <w:b/>
          <w:sz w:val="28"/>
          <w:szCs w:val="28"/>
        </w:rPr>
      </w:pPr>
      <w:bookmarkStart w:id="121" w:name="_Hlk7340980"/>
      <w:r w:rsidRPr="002E3997">
        <w:rPr>
          <w:rFonts w:ascii="Arial Black" w:hAnsi="Arial Black"/>
          <w:sz w:val="28"/>
          <w:szCs w:val="28"/>
        </w:rPr>
        <w:t xml:space="preserve">KY: </w:t>
      </w:r>
      <w:r>
        <w:rPr>
          <w:rFonts w:ascii="Arial Black" w:hAnsi="Arial Black"/>
          <w:sz w:val="28"/>
          <w:szCs w:val="28"/>
        </w:rPr>
        <w:t>LINE OF DUTY DEATH – “</w:t>
      </w:r>
      <w:proofErr w:type="gramStart"/>
      <w:r>
        <w:rPr>
          <w:rFonts w:ascii="Arial Black" w:hAnsi="Arial Black"/>
          <w:sz w:val="28"/>
          <w:szCs w:val="28"/>
        </w:rPr>
        <w:t>STEP CHILD</w:t>
      </w:r>
      <w:proofErr w:type="gramEnd"/>
      <w:r>
        <w:rPr>
          <w:rFonts w:ascii="Arial Black" w:hAnsi="Arial Black"/>
          <w:sz w:val="28"/>
          <w:szCs w:val="28"/>
        </w:rPr>
        <w:t xml:space="preserve">” ENTITLED TO FREE TUITION AT STATE COLLEGES  </w:t>
      </w:r>
    </w:p>
    <w:p w14:paraId="7EAA4080" w14:textId="77777777" w:rsidR="00F326E5" w:rsidRPr="0036327D" w:rsidRDefault="00F326E5" w:rsidP="00F326E5">
      <w:pPr>
        <w:rPr>
          <w:rFonts w:ascii="Times New Roman" w:eastAsia="Times New Roman" w:hAnsi="Times New Roman"/>
          <w:sz w:val="24"/>
          <w:szCs w:val="24"/>
        </w:rPr>
      </w:pPr>
      <w:r w:rsidRPr="0036327D">
        <w:rPr>
          <w:rFonts w:ascii="Times New Roman" w:hAnsi="Times New Roman"/>
          <w:sz w:val="24"/>
          <w:szCs w:val="24"/>
        </w:rPr>
        <w:t xml:space="preserve">On June 1, 2018, in </w:t>
      </w:r>
      <w:r w:rsidRPr="0036327D">
        <w:rPr>
          <w:rFonts w:ascii="Times New Roman" w:hAnsi="Times New Roman"/>
          <w:sz w:val="24"/>
          <w:szCs w:val="24"/>
          <w:u w:val="single"/>
        </w:rPr>
        <w:t>Miles Devon Skeens v. University of Louisville</w:t>
      </w:r>
      <w:r w:rsidRPr="0036327D">
        <w:rPr>
          <w:rFonts w:ascii="Times New Roman" w:hAnsi="Times New Roman"/>
          <w:sz w:val="24"/>
          <w:szCs w:val="24"/>
        </w:rPr>
        <w:t xml:space="preserve">, the Commonwealth of Kentucky Court of Appeals (3 to 0) held that </w:t>
      </w:r>
      <w:r w:rsidRPr="0036327D">
        <w:rPr>
          <w:rFonts w:ascii="Times New Roman" w:eastAsia="Times New Roman" w:hAnsi="Times New Roman"/>
          <w:sz w:val="24"/>
          <w:szCs w:val="24"/>
        </w:rPr>
        <w:t xml:space="preserve">a stepchild qualifies as a “child” under Kentucky Revised Statutes (“KRS”) 164.2841 which grants free tuition at state-supported schools for survivors of firefighters killed in the line of duty. </w:t>
      </w:r>
      <w:hyperlink r:id="rId632" w:history="1">
        <w:r w:rsidRPr="0036327D">
          <w:rPr>
            <w:rStyle w:val="Hyperlink"/>
            <w:rFonts w:ascii="Times New Roman" w:hAnsi="Times New Roman"/>
            <w:sz w:val="24"/>
            <w:szCs w:val="24"/>
          </w:rPr>
          <w:t>https://cases.justia.com/kentucky/court-of-appeals/2018-2016-ca-001534-mr.pdf?ts=1527861797</w:t>
        </w:r>
      </w:hyperlink>
      <w:r w:rsidRPr="0036327D">
        <w:rPr>
          <w:rFonts w:ascii="Times New Roman" w:eastAsia="Times New Roman" w:hAnsi="Times New Roman"/>
          <w:sz w:val="24"/>
          <w:szCs w:val="24"/>
        </w:rPr>
        <w:t xml:space="preserve"> </w:t>
      </w:r>
    </w:p>
    <w:p w14:paraId="64795A05" w14:textId="77777777" w:rsidR="00F326E5" w:rsidRPr="00724064" w:rsidRDefault="00F326E5" w:rsidP="00F326E5">
      <w:pPr>
        <w:rPr>
          <w:rFonts w:eastAsia="Times New Roman"/>
          <w:b/>
          <w:sz w:val="24"/>
          <w:szCs w:val="24"/>
        </w:rPr>
      </w:pPr>
      <w:r w:rsidRPr="0036327D">
        <w:rPr>
          <w:rFonts w:ascii="Times New Roman" w:eastAsia="Times New Roman" w:hAnsi="Times New Roman"/>
          <w:b/>
          <w:sz w:val="24"/>
          <w:szCs w:val="24"/>
        </w:rPr>
        <w:t>Legal Lesson Learned: Great decision; what was University of Louisville thinking?</w:t>
      </w:r>
    </w:p>
    <w:bookmarkEnd w:id="121"/>
    <w:p w14:paraId="1E7F64D5" w14:textId="77777777" w:rsidR="00F326E5" w:rsidRPr="001521C4" w:rsidRDefault="00F326E5" w:rsidP="00F326E5">
      <w:pPr>
        <w:rPr>
          <w:rFonts w:eastAsia="Times New Roman"/>
          <w:b/>
          <w:sz w:val="24"/>
          <w:szCs w:val="24"/>
        </w:rPr>
      </w:pPr>
      <w:r>
        <w:rPr>
          <w:rFonts w:eastAsia="Times New Roman"/>
          <w:b/>
          <w:sz w:val="24"/>
          <w:szCs w:val="24"/>
        </w:rPr>
        <w:t xml:space="preserve"> </w:t>
      </w:r>
    </w:p>
    <w:p w14:paraId="184C1241" w14:textId="77777777" w:rsidR="00F326E5" w:rsidRDefault="00F326E5" w:rsidP="00F326E5">
      <w:pPr>
        <w:pStyle w:val="NoSpacing"/>
        <w:rPr>
          <w:rFonts w:ascii="Arial Black" w:hAnsi="Arial Black"/>
          <w:b/>
          <w:sz w:val="24"/>
          <w:szCs w:val="24"/>
        </w:rPr>
      </w:pPr>
    </w:p>
    <w:p w14:paraId="717BCCD9" w14:textId="385AF2FE" w:rsidR="00791CA3" w:rsidRDefault="00791CA3" w:rsidP="00791CA3">
      <w:pPr>
        <w:pStyle w:val="NoSpacing"/>
        <w:rPr>
          <w:rFonts w:ascii="Arial Black" w:hAnsi="Arial Black"/>
          <w:sz w:val="28"/>
          <w:szCs w:val="28"/>
        </w:rPr>
      </w:pPr>
      <w:bookmarkStart w:id="122" w:name="_Hlk515115051"/>
      <w:bookmarkStart w:id="123" w:name="_Hlk7341042"/>
      <w:r w:rsidRPr="00791CA3">
        <w:rPr>
          <w:rFonts w:ascii="Arial Black" w:hAnsi="Arial Black"/>
          <w:sz w:val="24"/>
          <w:szCs w:val="24"/>
        </w:rPr>
        <w:t>2-</w:t>
      </w:r>
      <w:r>
        <w:rPr>
          <w:rFonts w:ascii="Arial Black" w:hAnsi="Arial Black"/>
          <w:sz w:val="24"/>
          <w:szCs w:val="24"/>
        </w:rPr>
        <w:t>5</w:t>
      </w:r>
    </w:p>
    <w:p w14:paraId="3964F70B" w14:textId="498AEB90" w:rsidR="00F326E5" w:rsidRPr="0026507F" w:rsidRDefault="00F326E5" w:rsidP="00F326E5">
      <w:pPr>
        <w:rPr>
          <w:rFonts w:ascii="Arial Black" w:hAnsi="Arial Black"/>
          <w:b/>
          <w:sz w:val="28"/>
          <w:szCs w:val="28"/>
        </w:rPr>
      </w:pPr>
      <w:r w:rsidRPr="0026507F">
        <w:rPr>
          <w:rFonts w:ascii="Arial Black" w:hAnsi="Arial Black"/>
          <w:sz w:val="28"/>
          <w:szCs w:val="28"/>
        </w:rPr>
        <w:t xml:space="preserve">VA: FIREMAN’S RULE – REFRIGERATOR EXPLODED </w:t>
      </w:r>
      <w:r>
        <w:rPr>
          <w:rFonts w:ascii="Arial Black" w:hAnsi="Arial Black"/>
          <w:sz w:val="28"/>
          <w:szCs w:val="28"/>
        </w:rPr>
        <w:t>–</w:t>
      </w:r>
      <w:r w:rsidRPr="0026507F">
        <w:rPr>
          <w:rFonts w:ascii="Arial Black" w:hAnsi="Arial Black"/>
          <w:sz w:val="28"/>
          <w:szCs w:val="28"/>
        </w:rPr>
        <w:t xml:space="preserve"> </w:t>
      </w:r>
      <w:r>
        <w:rPr>
          <w:rFonts w:ascii="Arial Black" w:hAnsi="Arial Black"/>
          <w:sz w:val="28"/>
          <w:szCs w:val="28"/>
        </w:rPr>
        <w:t xml:space="preserve">PD </w:t>
      </w:r>
      <w:r w:rsidRPr="0026507F">
        <w:rPr>
          <w:rFonts w:ascii="Arial Black" w:hAnsi="Arial Black"/>
          <w:sz w:val="28"/>
          <w:szCs w:val="28"/>
        </w:rPr>
        <w:t>/ VOL. FF CAN</w:t>
      </w:r>
      <w:r>
        <w:rPr>
          <w:rFonts w:ascii="Arial Black" w:hAnsi="Arial Black"/>
          <w:sz w:val="28"/>
          <w:szCs w:val="28"/>
        </w:rPr>
        <w:t xml:space="preserve">’T </w:t>
      </w:r>
      <w:r w:rsidRPr="0026507F">
        <w:rPr>
          <w:rFonts w:ascii="Arial Black" w:hAnsi="Arial Black"/>
          <w:sz w:val="28"/>
          <w:szCs w:val="28"/>
        </w:rPr>
        <w:t xml:space="preserve">SUE MANUFACTURER </w:t>
      </w:r>
    </w:p>
    <w:bookmarkEnd w:id="122"/>
    <w:p w14:paraId="71663A02" w14:textId="77777777" w:rsidR="00F326E5" w:rsidRPr="0036327D" w:rsidRDefault="00F326E5" w:rsidP="00F326E5">
      <w:pPr>
        <w:rPr>
          <w:rFonts w:ascii="Times New Roman" w:eastAsia="Times New Roman" w:hAnsi="Times New Roman"/>
          <w:sz w:val="24"/>
          <w:szCs w:val="24"/>
        </w:rPr>
      </w:pPr>
      <w:r w:rsidRPr="0036327D">
        <w:rPr>
          <w:rFonts w:ascii="Times New Roman" w:hAnsi="Times New Roman"/>
          <w:sz w:val="24"/>
          <w:szCs w:val="24"/>
        </w:rPr>
        <w:t xml:space="preserve">On April 13, 2018, in </w:t>
      </w:r>
      <w:r w:rsidRPr="0036327D">
        <w:rPr>
          <w:rFonts w:ascii="Times New Roman" w:hAnsi="Times New Roman"/>
          <w:sz w:val="24"/>
          <w:szCs w:val="24"/>
          <w:u w:val="single"/>
        </w:rPr>
        <w:t xml:space="preserve">Brian Colbert v. </w:t>
      </w:r>
      <w:proofErr w:type="spellStart"/>
      <w:r w:rsidRPr="0036327D">
        <w:rPr>
          <w:rFonts w:ascii="Times New Roman" w:hAnsi="Times New Roman"/>
          <w:sz w:val="24"/>
          <w:szCs w:val="24"/>
          <w:u w:val="single"/>
        </w:rPr>
        <w:t>Norcold</w:t>
      </w:r>
      <w:proofErr w:type="spellEnd"/>
      <w:r w:rsidRPr="0036327D">
        <w:rPr>
          <w:rFonts w:ascii="Times New Roman" w:hAnsi="Times New Roman"/>
          <w:sz w:val="24"/>
          <w:szCs w:val="24"/>
          <w:u w:val="single"/>
        </w:rPr>
        <w:t>, Inc</w:t>
      </w:r>
      <w:r w:rsidRPr="0036327D">
        <w:rPr>
          <w:rFonts w:ascii="Times New Roman" w:hAnsi="Times New Roman"/>
          <w:sz w:val="24"/>
          <w:szCs w:val="24"/>
        </w:rPr>
        <w:t>., the U.S. Court of Appeals for the 4</w:t>
      </w:r>
      <w:r w:rsidRPr="0036327D">
        <w:rPr>
          <w:rFonts w:ascii="Times New Roman" w:hAnsi="Times New Roman"/>
          <w:sz w:val="24"/>
          <w:szCs w:val="24"/>
          <w:vertAlign w:val="superscript"/>
        </w:rPr>
        <w:t>th</w:t>
      </w:r>
      <w:r w:rsidRPr="0036327D">
        <w:rPr>
          <w:rFonts w:ascii="Times New Roman" w:hAnsi="Times New Roman"/>
          <w:sz w:val="24"/>
          <w:szCs w:val="24"/>
        </w:rPr>
        <w:t xml:space="preserve"> Circuit held (3 to 0; unpublished opinion): “</w:t>
      </w:r>
      <w:r w:rsidRPr="0036327D">
        <w:rPr>
          <w:rFonts w:ascii="Times New Roman" w:eastAsia="Times New Roman" w:hAnsi="Times New Roman"/>
          <w:sz w:val="24"/>
          <w:szCs w:val="24"/>
        </w:rPr>
        <w:t xml:space="preserve">we agree with the district court: the Fireman’s Rule applies to products liability claims, and </w:t>
      </w:r>
      <w:proofErr w:type="spellStart"/>
      <w:r w:rsidRPr="0036327D">
        <w:rPr>
          <w:rFonts w:ascii="Times New Roman" w:eastAsia="Times New Roman" w:hAnsi="Times New Roman"/>
          <w:sz w:val="24"/>
          <w:szCs w:val="24"/>
        </w:rPr>
        <w:t>Norcold’s</w:t>
      </w:r>
      <w:proofErr w:type="spellEnd"/>
      <w:r w:rsidRPr="0036327D">
        <w:rPr>
          <w:rFonts w:ascii="Times New Roman" w:eastAsia="Times New Roman" w:hAnsi="Times New Roman"/>
          <w:sz w:val="24"/>
          <w:szCs w:val="24"/>
        </w:rPr>
        <w:t xml:space="preserve"> conduct was not willful or wanton.” </w:t>
      </w:r>
      <w:hyperlink r:id="rId633" w:history="1">
        <w:r w:rsidRPr="0036327D">
          <w:rPr>
            <w:rStyle w:val="Hyperlink"/>
            <w:rFonts w:ascii="Times New Roman" w:hAnsi="Times New Roman"/>
            <w:sz w:val="24"/>
            <w:szCs w:val="24"/>
          </w:rPr>
          <w:t>http://www.ca4.uscourts.gov/Opinions/171419.U.pdf</w:t>
        </w:r>
      </w:hyperlink>
      <w:r w:rsidRPr="0036327D">
        <w:rPr>
          <w:rFonts w:ascii="Times New Roman" w:eastAsia="Times New Roman" w:hAnsi="Times New Roman"/>
          <w:sz w:val="24"/>
          <w:szCs w:val="24"/>
        </w:rPr>
        <w:t xml:space="preserve"> </w:t>
      </w:r>
    </w:p>
    <w:p w14:paraId="79CC56D5"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Police officers and firefighters in Virginia can only seek workers comp (no damages for pain &amp; injury, loss of consortium, etc.) unless proof of willful or wanton misconduct, or gross negligence, by the product manufacturer.  </w:t>
      </w:r>
    </w:p>
    <w:p w14:paraId="2F2C302D"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 xml:space="preserve">See also March 12, </w:t>
      </w:r>
      <w:proofErr w:type="gramStart"/>
      <w:r w:rsidRPr="0036327D">
        <w:rPr>
          <w:rFonts w:ascii="Times New Roman" w:eastAsia="Times New Roman" w:hAnsi="Times New Roman"/>
          <w:sz w:val="24"/>
          <w:szCs w:val="24"/>
        </w:rPr>
        <w:t>2015</w:t>
      </w:r>
      <w:proofErr w:type="gramEnd"/>
      <w:r w:rsidRPr="0036327D">
        <w:rPr>
          <w:rFonts w:ascii="Times New Roman" w:eastAsia="Times New Roman" w:hAnsi="Times New Roman"/>
          <w:sz w:val="24"/>
          <w:szCs w:val="24"/>
        </w:rPr>
        <w:t xml:space="preserve"> decision of 10</w:t>
      </w:r>
      <w:r w:rsidRPr="0036327D">
        <w:rPr>
          <w:rFonts w:ascii="Times New Roman" w:eastAsia="Times New Roman" w:hAnsi="Times New Roman"/>
          <w:sz w:val="24"/>
          <w:szCs w:val="24"/>
          <w:vertAlign w:val="superscript"/>
        </w:rPr>
        <w:t>th</w:t>
      </w:r>
      <w:r w:rsidRPr="0036327D">
        <w:rPr>
          <w:rFonts w:ascii="Times New Roman" w:eastAsia="Times New Roman" w:hAnsi="Times New Roman"/>
          <w:sz w:val="24"/>
          <w:szCs w:val="24"/>
        </w:rPr>
        <w:t xml:space="preserve"> Circuit in Chester W. Peake v. Central Tank Coatings, where several Kansas firefighters were injured by exploding box of paint thinner: “The undisputed material facts are that several hours after Central Tank completed its work on the roof [of the city’s water tower] and left the site, the wooden members of the tower caught fire, fell to the ground, caught the surrounding grass on fire and eventually spread to the tires of the trailer.  This domino chain of events was unforeseeable. *** A large, unmarked metal container box was mounted to the wood deck of the trailer.  It was used by the crew to store various tools, oxygen/acetylene tanks, and other materials, including paint thinner.”  The Court held that the firefighters could not sue the company for damages, since here is “no evidence that Central Tank knew that the storage of paint thinner was dangerous.” </w:t>
      </w:r>
      <w:hyperlink r:id="rId634" w:history="1">
        <w:r w:rsidRPr="0036327D">
          <w:rPr>
            <w:rStyle w:val="Hyperlink"/>
            <w:rFonts w:ascii="Times New Roman" w:hAnsi="Times New Roman"/>
            <w:sz w:val="24"/>
            <w:szCs w:val="24"/>
          </w:rPr>
          <w:t>https://www.ca10.uscourts.gov/opinions/14/14-3157.pdf</w:t>
        </w:r>
      </w:hyperlink>
      <w:r w:rsidRPr="0036327D">
        <w:rPr>
          <w:rFonts w:ascii="Times New Roman" w:eastAsia="Times New Roman" w:hAnsi="Times New Roman"/>
          <w:sz w:val="24"/>
          <w:szCs w:val="24"/>
        </w:rPr>
        <w:t xml:space="preserve"> </w:t>
      </w:r>
    </w:p>
    <w:p w14:paraId="4D40FF7F" w14:textId="33C5CFBF"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 xml:space="preserve">See also this article about the Kansas case: “Notably, a sizable minority of states (18) do not currently apply the Fireman’s Rule… and have either explicitly declined to adopt, rejected, limited, or failed to address it…. These states are Alabama, Colorado, Florida, Maine, Massachusetts, Michigan, Minnesota, Montana, New Jersey, New York, North Carolina, North Dakota, Oregon, Pennsylvania, South Carolina, Vermont, West Virginia, and Wyoming.” </w:t>
      </w:r>
      <w:hyperlink r:id="rId635" w:history="1">
        <w:r w:rsidRPr="0036327D">
          <w:rPr>
            <w:rStyle w:val="Hyperlink"/>
            <w:rFonts w:ascii="Times New Roman" w:hAnsi="Times New Roman"/>
            <w:sz w:val="24"/>
            <w:szCs w:val="24"/>
          </w:rPr>
          <w:t>file:///C:/Users/lawre/AppData/Local/Temp/0182139.PDF</w:t>
        </w:r>
      </w:hyperlink>
      <w:r w:rsidRPr="0036327D">
        <w:rPr>
          <w:rFonts w:ascii="Times New Roman" w:eastAsia="Times New Roman" w:hAnsi="Times New Roman"/>
          <w:sz w:val="24"/>
          <w:szCs w:val="24"/>
        </w:rPr>
        <w:t xml:space="preserve"> </w:t>
      </w:r>
    </w:p>
    <w:p w14:paraId="51967A1C" w14:textId="77777777" w:rsidR="00F326E5" w:rsidRPr="0036327D" w:rsidRDefault="00F326E5" w:rsidP="00F326E5">
      <w:pPr>
        <w:rPr>
          <w:rFonts w:ascii="Times New Roman" w:hAnsi="Times New Roman"/>
          <w:sz w:val="24"/>
          <w:szCs w:val="24"/>
        </w:rPr>
      </w:pPr>
    </w:p>
    <w:bookmarkEnd w:id="123"/>
    <w:p w14:paraId="355BE2B8" w14:textId="4EC07D12"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4</w:t>
      </w:r>
    </w:p>
    <w:p w14:paraId="14D76F3F" w14:textId="77777777" w:rsidR="00F326E5" w:rsidRPr="001521C4" w:rsidRDefault="00F326E5" w:rsidP="00F326E5">
      <w:pPr>
        <w:rPr>
          <w:b/>
          <w:sz w:val="24"/>
          <w:szCs w:val="24"/>
        </w:rPr>
      </w:pPr>
    </w:p>
    <w:p w14:paraId="27D38D05" w14:textId="04513E9C" w:rsidR="00F326E5" w:rsidRPr="00BA3B84" w:rsidRDefault="00F326E5" w:rsidP="00F326E5">
      <w:pPr>
        <w:pStyle w:val="NoSpacing"/>
        <w:rPr>
          <w:rFonts w:ascii="Arial Black" w:hAnsi="Arial Black"/>
          <w:sz w:val="24"/>
          <w:szCs w:val="24"/>
        </w:rPr>
      </w:pPr>
      <w:bookmarkStart w:id="124" w:name="_Hlk7341084"/>
      <w:r w:rsidRPr="0010462B">
        <w:rPr>
          <w:rFonts w:ascii="Arial Black" w:hAnsi="Arial Black"/>
          <w:sz w:val="28"/>
          <w:szCs w:val="28"/>
        </w:rPr>
        <w:t>NY:  FDNY RECRUIT DIED DURING PHYSICAL EXERCISES –</w:t>
      </w:r>
      <w:r>
        <w:rPr>
          <w:rFonts w:ascii="Arial Black" w:hAnsi="Arial Black"/>
          <w:sz w:val="28"/>
          <w:szCs w:val="28"/>
        </w:rPr>
        <w:t xml:space="preserve"> LAWSUIT DISMISSED - </w:t>
      </w:r>
      <w:r w:rsidRPr="0010462B">
        <w:rPr>
          <w:rFonts w:ascii="Arial Black" w:hAnsi="Arial Black"/>
          <w:sz w:val="28"/>
          <w:szCs w:val="28"/>
        </w:rPr>
        <w:t>HEART CONDITION</w:t>
      </w:r>
      <w:r w:rsidRPr="00CB3546">
        <w:t xml:space="preserve"> </w:t>
      </w:r>
    </w:p>
    <w:p w14:paraId="79D5B714" w14:textId="77777777" w:rsidR="00F326E5" w:rsidRPr="0036327D" w:rsidRDefault="00F326E5" w:rsidP="00F326E5">
      <w:pPr>
        <w:pStyle w:val="NormalWeb"/>
      </w:pPr>
      <w:r w:rsidRPr="0036327D">
        <w:t xml:space="preserve">On April 10, 2018, in </w:t>
      </w:r>
      <w:r w:rsidRPr="0036327D">
        <w:rPr>
          <w:u w:val="single"/>
        </w:rPr>
        <w:t>Sherita Sears v. The City of New York</w:t>
      </w:r>
      <w:r w:rsidRPr="0036327D">
        <w:t>, the Appellate Division of the Supreme Court of State of New York (5 to 0) denied the death claim, holding: “Plaintiff is not entitled to recover under GML §</w:t>
      </w:r>
      <w:r w:rsidRPr="0036327D">
        <w:t> </w:t>
      </w:r>
      <w:r w:rsidRPr="0036327D">
        <w:t>205–a, as the injuries decedent sustained were not the type of occupational injury that Labor Law §</w:t>
      </w:r>
      <w:r w:rsidRPr="0036327D">
        <w:t> </w:t>
      </w:r>
      <w:r w:rsidRPr="0036327D">
        <w:t xml:space="preserve">27–a was designed to protect, but rather, arose from risks unique to firefighting work (Williams v. City of New York, 2 N.Y.3d 352, 368, 779 N.Y.S.2d 449, 811 N.E.2d 1103 [2004] ).”  </w:t>
      </w:r>
      <w:hyperlink r:id="rId636" w:history="1">
        <w:r w:rsidRPr="0036327D">
          <w:rPr>
            <w:rStyle w:val="Hyperlink"/>
          </w:rPr>
          <w:t>https://caselaw.findlaw.com/ny-supreme-court-appellate-division/1893546.html</w:t>
        </w:r>
      </w:hyperlink>
      <w:r w:rsidRPr="0036327D">
        <w:t xml:space="preserve"> </w:t>
      </w:r>
    </w:p>
    <w:p w14:paraId="16DD784C" w14:textId="77777777" w:rsidR="00F326E5" w:rsidRPr="0036327D" w:rsidRDefault="00F326E5" w:rsidP="00F326E5">
      <w:pPr>
        <w:pStyle w:val="NormalWeb"/>
        <w:rPr>
          <w:b/>
          <w:bCs/>
          <w:kern w:val="36"/>
        </w:rPr>
      </w:pPr>
      <w:r w:rsidRPr="0036327D">
        <w:rPr>
          <w:b/>
        </w:rPr>
        <w:t xml:space="preserve">Legal Lessons Learned: The New York statute requires proof of “neglect, omission, willful or culpable negligence.” </w:t>
      </w:r>
    </w:p>
    <w:p w14:paraId="495CC32A" w14:textId="77777777" w:rsidR="00F326E5" w:rsidRPr="0036327D" w:rsidRDefault="00F326E5" w:rsidP="00F326E5">
      <w:pPr>
        <w:spacing w:before="100" w:beforeAutospacing="1" w:after="100" w:afterAutospacing="1"/>
        <w:ind w:firstLine="720"/>
        <w:outlineLvl w:val="0"/>
        <w:rPr>
          <w:rFonts w:ascii="Times New Roman" w:eastAsia="Times New Roman" w:hAnsi="Times New Roman"/>
          <w:bCs/>
          <w:kern w:val="36"/>
          <w:sz w:val="24"/>
          <w:szCs w:val="24"/>
        </w:rPr>
      </w:pPr>
      <w:hyperlink r:id="rId637" w:history="1">
        <w:r w:rsidRPr="0036327D">
          <w:rPr>
            <w:rStyle w:val="Hyperlink"/>
            <w:rFonts w:ascii="Times New Roman" w:hAnsi="Times New Roman"/>
            <w:sz w:val="24"/>
            <w:szCs w:val="24"/>
          </w:rPr>
          <w:t>https://codes.findlaw.com/ny/general-municipal-law/gmu-sect-205-a.html</w:t>
        </w:r>
      </w:hyperlink>
      <w:r w:rsidRPr="0036327D">
        <w:rPr>
          <w:rFonts w:ascii="Times New Roman" w:eastAsia="Times New Roman" w:hAnsi="Times New Roman"/>
          <w:bCs/>
          <w:kern w:val="36"/>
          <w:sz w:val="24"/>
          <w:szCs w:val="24"/>
        </w:rPr>
        <w:t xml:space="preserve"> </w:t>
      </w:r>
    </w:p>
    <w:p w14:paraId="06B80E02" w14:textId="77777777" w:rsidR="00F326E5" w:rsidRPr="0036327D" w:rsidRDefault="00F326E5" w:rsidP="00F326E5">
      <w:pPr>
        <w:spacing w:before="100" w:beforeAutospacing="1" w:after="100" w:afterAutospacing="1"/>
        <w:ind w:left="720"/>
        <w:outlineLvl w:val="0"/>
        <w:rPr>
          <w:rFonts w:ascii="Times New Roman" w:eastAsia="Times New Roman" w:hAnsi="Times New Roman"/>
          <w:bCs/>
          <w:kern w:val="36"/>
          <w:sz w:val="24"/>
          <w:szCs w:val="24"/>
        </w:rPr>
      </w:pPr>
      <w:r w:rsidRPr="0036327D">
        <w:rPr>
          <w:rFonts w:ascii="Times New Roman" w:eastAsia="Times New Roman" w:hAnsi="Times New Roman"/>
          <w:bCs/>
          <w:kern w:val="36"/>
          <w:sz w:val="24"/>
          <w:szCs w:val="24"/>
        </w:rPr>
        <w:t xml:space="preserve">New York Consolidated Laws, General Municipal Law - GMU § 205-a. Additional right of action to certain injured or representatives of certain deceased firefighters </w:t>
      </w:r>
    </w:p>
    <w:p w14:paraId="5DFE1DD8" w14:textId="77777777" w:rsidR="00F326E5" w:rsidRPr="0036327D" w:rsidRDefault="00F326E5" w:rsidP="00F326E5">
      <w:pPr>
        <w:spacing w:before="100" w:beforeAutospacing="1" w:after="100" w:afterAutospacing="1"/>
        <w:ind w:left="720"/>
        <w:outlineLvl w:val="0"/>
        <w:rPr>
          <w:rFonts w:ascii="Times New Roman" w:hAnsi="Times New Roman"/>
          <w:sz w:val="24"/>
          <w:szCs w:val="24"/>
        </w:rPr>
      </w:pPr>
      <w:r w:rsidRPr="0036327D">
        <w:rPr>
          <w:rFonts w:ascii="Times New Roman" w:hAnsi="Times New Roman"/>
          <w:sz w:val="24"/>
          <w:szCs w:val="24"/>
        </w:rPr>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p>
    <w:p w14:paraId="78CBCD5E" w14:textId="77777777" w:rsidR="00F326E5" w:rsidRPr="0036327D" w:rsidRDefault="00F326E5" w:rsidP="00F326E5">
      <w:pPr>
        <w:pStyle w:val="NormalWeb"/>
        <w:rPr>
          <w:b/>
        </w:rPr>
      </w:pPr>
    </w:p>
    <w:bookmarkEnd w:id="124"/>
    <w:p w14:paraId="33BFB6A0" w14:textId="77777777" w:rsidR="0036327D" w:rsidRDefault="0036327D" w:rsidP="00791CA3">
      <w:pPr>
        <w:pStyle w:val="NoSpacing"/>
        <w:rPr>
          <w:rFonts w:ascii="Arial Black" w:hAnsi="Arial Black"/>
          <w:sz w:val="24"/>
          <w:szCs w:val="24"/>
        </w:rPr>
      </w:pPr>
    </w:p>
    <w:p w14:paraId="60C6050F" w14:textId="77777777" w:rsidR="0036327D" w:rsidRDefault="0036327D" w:rsidP="00791CA3">
      <w:pPr>
        <w:pStyle w:val="NoSpacing"/>
        <w:rPr>
          <w:rFonts w:ascii="Arial Black" w:hAnsi="Arial Black"/>
          <w:sz w:val="24"/>
          <w:szCs w:val="24"/>
        </w:rPr>
      </w:pPr>
    </w:p>
    <w:p w14:paraId="5F235C50" w14:textId="5CCDDDE2"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3</w:t>
      </w:r>
    </w:p>
    <w:p w14:paraId="3D92908D" w14:textId="77777777" w:rsidR="00F326E5" w:rsidRDefault="00F326E5" w:rsidP="00F326E5">
      <w:pPr>
        <w:rPr>
          <w:rFonts w:ascii="AATimes New Roman" w:hAnsi="AATimes New Roman"/>
          <w:color w:val="4A4A4A"/>
          <w:sz w:val="24"/>
          <w:szCs w:val="24"/>
          <w:lang w:val="en"/>
        </w:rPr>
      </w:pPr>
    </w:p>
    <w:p w14:paraId="3AC03F60" w14:textId="0C7D3125" w:rsidR="00F326E5" w:rsidRPr="0026507F" w:rsidRDefault="00F326E5" w:rsidP="00F326E5">
      <w:pPr>
        <w:rPr>
          <w:rFonts w:ascii="Times New Roman" w:hAnsi="Times New Roman"/>
          <w:b/>
          <w:color w:val="4A4A4A"/>
          <w:sz w:val="24"/>
          <w:szCs w:val="24"/>
          <w:lang w:val="en"/>
        </w:rPr>
      </w:pPr>
      <w:bookmarkStart w:id="125" w:name="_Hlk7341127"/>
      <w:r w:rsidRPr="00B87096">
        <w:rPr>
          <w:rFonts w:ascii="Arial Black" w:hAnsi="Arial Black"/>
          <w:color w:val="4A4A4A"/>
          <w:sz w:val="28"/>
          <w:szCs w:val="28"/>
          <w:lang w:val="en"/>
        </w:rPr>
        <w:t>U.S. SUPREME COURT</w:t>
      </w:r>
      <w:r>
        <w:rPr>
          <w:rFonts w:ascii="Arial Black" w:hAnsi="Arial Black"/>
          <w:color w:val="4A4A4A"/>
          <w:sz w:val="28"/>
          <w:szCs w:val="28"/>
          <w:lang w:val="en"/>
        </w:rPr>
        <w:t xml:space="preserve">: LANDMARK DECISION ON </w:t>
      </w:r>
      <w:r w:rsidRPr="00B87096">
        <w:rPr>
          <w:rFonts w:ascii="Arial Black" w:hAnsi="Arial Black"/>
          <w:color w:val="4A4A4A"/>
          <w:sz w:val="28"/>
          <w:szCs w:val="28"/>
          <w:lang w:val="en"/>
        </w:rPr>
        <w:t>QUALIFIED IMMUNITY</w:t>
      </w:r>
      <w:r>
        <w:rPr>
          <w:rFonts w:ascii="Arial Black" w:hAnsi="Arial Black"/>
          <w:color w:val="4A4A4A"/>
          <w:sz w:val="28"/>
          <w:szCs w:val="28"/>
          <w:lang w:val="en"/>
        </w:rPr>
        <w:t xml:space="preserve"> – ONLY IF CLEAR CONSTIT</w:t>
      </w:r>
      <w:r w:rsidR="0036327D">
        <w:rPr>
          <w:rFonts w:ascii="Arial Black" w:hAnsi="Arial Black"/>
          <w:color w:val="4A4A4A"/>
          <w:sz w:val="28"/>
          <w:szCs w:val="28"/>
          <w:lang w:val="en"/>
        </w:rPr>
        <w:t xml:space="preserve">UTIONAL VIOLATION </w:t>
      </w:r>
      <w:r>
        <w:rPr>
          <w:rFonts w:ascii="Times New Roman" w:hAnsi="Times New Roman"/>
          <w:color w:val="4A4A4A"/>
          <w:sz w:val="24"/>
          <w:szCs w:val="24"/>
          <w:lang w:val="en"/>
        </w:rPr>
        <w:t>[also filed, Chap. 1]</w:t>
      </w:r>
    </w:p>
    <w:p w14:paraId="7766F5F8" w14:textId="77777777" w:rsidR="00965872" w:rsidRDefault="00F326E5" w:rsidP="00F326E5">
      <w:pPr>
        <w:rPr>
          <w:rFonts w:ascii="Times New Roman" w:hAnsi="Times New Roman"/>
          <w:color w:val="4A4A4A"/>
          <w:sz w:val="24"/>
          <w:szCs w:val="24"/>
          <w:lang w:val="en"/>
        </w:rPr>
      </w:pPr>
      <w:bookmarkStart w:id="126" w:name="_Hlk1065203"/>
      <w:r w:rsidRPr="0036327D">
        <w:rPr>
          <w:rFonts w:ascii="Times New Roman" w:hAnsi="Times New Roman"/>
          <w:color w:val="4A4A4A"/>
          <w:sz w:val="24"/>
          <w:szCs w:val="24"/>
          <w:lang w:val="en"/>
        </w:rPr>
        <w:t xml:space="preserve">On April 2, 2018, in </w:t>
      </w:r>
      <w:r w:rsidRPr="0036327D">
        <w:rPr>
          <w:rFonts w:ascii="Times New Roman" w:hAnsi="Times New Roman"/>
          <w:color w:val="4A4A4A"/>
          <w:sz w:val="24"/>
          <w:szCs w:val="24"/>
          <w:u w:val="single"/>
          <w:lang w:val="en"/>
        </w:rPr>
        <w:t>Andrew Kisela v. Amy Hughes</w:t>
      </w:r>
      <w:r w:rsidRPr="0036327D">
        <w:rPr>
          <w:rFonts w:ascii="Times New Roman" w:hAnsi="Times New Roman"/>
          <w:color w:val="4A4A4A"/>
          <w:sz w:val="24"/>
          <w:szCs w:val="24"/>
          <w:lang w:val="en"/>
        </w:rPr>
        <w:t>, the U.S. Supreme Court reversed the 9</w:t>
      </w:r>
      <w:r w:rsidRPr="0036327D">
        <w:rPr>
          <w:rFonts w:ascii="Times New Roman" w:hAnsi="Times New Roman"/>
          <w:color w:val="4A4A4A"/>
          <w:sz w:val="24"/>
          <w:szCs w:val="24"/>
          <w:vertAlign w:val="superscript"/>
          <w:lang w:val="en"/>
        </w:rPr>
        <w:t>th</w:t>
      </w:r>
      <w:r w:rsidRPr="0036327D">
        <w:rPr>
          <w:rFonts w:ascii="Times New Roman" w:hAnsi="Times New Roman"/>
          <w:color w:val="4A4A4A"/>
          <w:sz w:val="24"/>
          <w:szCs w:val="24"/>
          <w:lang w:val="en"/>
        </w:rPr>
        <w:t xml:space="preserve"> Circuit and held (7 to 2) the police officer who shot Amy Hughes should have been dismissed from the lawsuit: </w:t>
      </w:r>
    </w:p>
    <w:p w14:paraId="7C4C0AA8" w14:textId="1859A998" w:rsidR="00F326E5" w:rsidRPr="0036327D" w:rsidRDefault="00F326E5" w:rsidP="00965872">
      <w:pPr>
        <w:ind w:left="720"/>
        <w:rPr>
          <w:rFonts w:ascii="Times New Roman" w:hAnsi="Times New Roman"/>
          <w:color w:val="4A4A4A"/>
          <w:sz w:val="24"/>
          <w:szCs w:val="24"/>
          <w:lang w:val="en"/>
        </w:rPr>
      </w:pPr>
      <w:r w:rsidRPr="0036327D">
        <w:rPr>
          <w:rFonts w:ascii="Times New Roman" w:hAnsi="Times New Roman"/>
          <w:color w:val="4A4A4A"/>
          <w:sz w:val="24"/>
          <w:szCs w:val="24"/>
          <w:lang w:val="en"/>
        </w:rPr>
        <w:t>“Here, the Court need not, and does not, decide whether Kisela violated the Fourth Amendment when he used deadly force against Hughes.  For even assuming a Fourth Amendment violation occurred—a proposition that is not at all evident—on these facts Kisela was at least entitled to qualified immunity. ‘Qualified immunity attaches when an official’s conduct does not violate clearly established statutory or constitutional rights of which a reasonable person would have known.”</w:t>
      </w:r>
      <w:r w:rsidRPr="0036327D">
        <w:rPr>
          <w:rFonts w:ascii="Times New Roman" w:hAnsi="Times New Roman"/>
          <w:sz w:val="24"/>
          <w:szCs w:val="24"/>
        </w:rPr>
        <w:t xml:space="preserve"> </w:t>
      </w:r>
      <w:hyperlink r:id="rId638" w:history="1">
        <w:r w:rsidRPr="0036327D">
          <w:rPr>
            <w:rStyle w:val="Hyperlink"/>
            <w:rFonts w:ascii="Times New Roman" w:hAnsi="Times New Roman"/>
            <w:sz w:val="24"/>
            <w:szCs w:val="24"/>
            <w:lang w:val="en"/>
          </w:rPr>
          <w:t>file:///C:/Users/lawre/AppData/Local/Microsoft/Windows/INetCache/IE/CTCRXJ99/17-467_bqm1.pdf</w:t>
        </w:r>
      </w:hyperlink>
      <w:bookmarkEnd w:id="126"/>
      <w:r w:rsidRPr="0036327D">
        <w:rPr>
          <w:rFonts w:ascii="Times New Roman" w:hAnsi="Times New Roman"/>
          <w:color w:val="4A4A4A"/>
          <w:sz w:val="24"/>
          <w:szCs w:val="24"/>
          <w:lang w:val="en"/>
        </w:rPr>
        <w:t xml:space="preserve"> </w:t>
      </w:r>
    </w:p>
    <w:p w14:paraId="0C41C57F" w14:textId="77777777" w:rsidR="00F326E5" w:rsidRPr="0036327D" w:rsidRDefault="00F326E5" w:rsidP="00F326E5">
      <w:pPr>
        <w:rPr>
          <w:rFonts w:ascii="Times New Roman" w:hAnsi="Times New Roman"/>
          <w:b/>
          <w:color w:val="4A4A4A"/>
          <w:sz w:val="24"/>
          <w:szCs w:val="24"/>
          <w:lang w:val="en"/>
        </w:rPr>
      </w:pPr>
      <w:r w:rsidRPr="0036327D">
        <w:rPr>
          <w:rFonts w:ascii="Times New Roman" w:hAnsi="Times New Roman"/>
          <w:b/>
          <w:color w:val="4A4A4A"/>
          <w:sz w:val="24"/>
          <w:szCs w:val="24"/>
          <w:lang w:val="en"/>
        </w:rPr>
        <w:t>LEGAL LESSONS LEARNED:  Very helpful decision, not only for police officers, but for all emergency responders who may be sued arising out of split-second decisions.  The 7-</w:t>
      </w:r>
      <w:bookmarkStart w:id="127" w:name="_Hlk1065258"/>
      <w:r w:rsidRPr="0036327D">
        <w:rPr>
          <w:rFonts w:ascii="Times New Roman" w:hAnsi="Times New Roman"/>
          <w:b/>
          <w:color w:val="4A4A4A"/>
          <w:sz w:val="24"/>
          <w:szCs w:val="24"/>
          <w:lang w:val="en"/>
        </w:rPr>
        <w:t xml:space="preserve">Justices sent a message that qualified immunity protects police officers from personal liability unless conduct clearly unjustified.  </w:t>
      </w:r>
    </w:p>
    <w:p w14:paraId="5242535B" w14:textId="77777777" w:rsidR="00F326E5" w:rsidRPr="0036327D" w:rsidRDefault="00F326E5" w:rsidP="00F326E5">
      <w:pPr>
        <w:ind w:left="720"/>
        <w:rPr>
          <w:rFonts w:ascii="Times New Roman" w:hAnsi="Times New Roman"/>
          <w:b/>
          <w:color w:val="4A4A4A"/>
          <w:sz w:val="24"/>
          <w:szCs w:val="24"/>
          <w:lang w:val="en"/>
        </w:rPr>
      </w:pPr>
      <w:r w:rsidRPr="0036327D">
        <w:rPr>
          <w:rFonts w:ascii="Times New Roman" w:hAnsi="Times New Roman"/>
          <w:color w:val="4A4A4A"/>
          <w:sz w:val="24"/>
          <w:szCs w:val="24"/>
          <w:lang w:val="en"/>
        </w:rPr>
        <w:t>See New York Times article on this decision: “</w:t>
      </w:r>
      <w:r w:rsidRPr="0036327D">
        <w:rPr>
          <w:rFonts w:ascii="Times New Roman" w:hAnsi="Times New Roman"/>
          <w:sz w:val="24"/>
          <w:szCs w:val="24"/>
          <w:lang w:val="en"/>
        </w:rPr>
        <w:t>The court’s decision was unsigned and issued without full briefing and oral argument, an indication that the majority found the case to be easy.”</w:t>
      </w:r>
      <w:r w:rsidRPr="0036327D">
        <w:rPr>
          <w:rFonts w:ascii="Times New Roman" w:hAnsi="Times New Roman"/>
          <w:color w:val="4A4A4A"/>
          <w:sz w:val="24"/>
          <w:szCs w:val="24"/>
          <w:lang w:val="en"/>
        </w:rPr>
        <w:t xml:space="preserve"> </w:t>
      </w:r>
      <w:hyperlink r:id="rId639" w:history="1">
        <w:r w:rsidRPr="0036327D">
          <w:rPr>
            <w:rStyle w:val="Hyperlink"/>
            <w:rFonts w:ascii="Times New Roman" w:hAnsi="Times New Roman"/>
            <w:sz w:val="24"/>
            <w:szCs w:val="24"/>
            <w:lang w:val="en"/>
          </w:rPr>
          <w:t>https://www.nytimes.com/2018/04/02/us/politics/supreme-court-rules-for-police-officer-in-excessive-force-case.html</w:t>
        </w:r>
      </w:hyperlink>
      <w:r w:rsidRPr="0036327D">
        <w:rPr>
          <w:rFonts w:ascii="Times New Roman" w:hAnsi="Times New Roman"/>
          <w:b/>
          <w:color w:val="4A4A4A"/>
          <w:sz w:val="24"/>
          <w:szCs w:val="24"/>
          <w:lang w:val="en"/>
        </w:rPr>
        <w:t xml:space="preserve"> </w:t>
      </w:r>
      <w:bookmarkEnd w:id="127"/>
    </w:p>
    <w:p w14:paraId="5584A911" w14:textId="77777777" w:rsidR="00F326E5" w:rsidRPr="0036327D" w:rsidRDefault="00F326E5" w:rsidP="00F326E5">
      <w:pPr>
        <w:ind w:left="720"/>
        <w:rPr>
          <w:rFonts w:ascii="Times New Roman" w:hAnsi="Times New Roman"/>
          <w:b/>
          <w:color w:val="4A4A4A"/>
          <w:sz w:val="24"/>
          <w:szCs w:val="24"/>
          <w:lang w:val="en"/>
        </w:rPr>
      </w:pPr>
    </w:p>
    <w:bookmarkEnd w:id="125"/>
    <w:p w14:paraId="793CC0DF" w14:textId="25783A7F"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2</w:t>
      </w:r>
    </w:p>
    <w:p w14:paraId="5D56D74D" w14:textId="77777777" w:rsidR="00F326E5" w:rsidRDefault="00F326E5" w:rsidP="00F326E5">
      <w:pPr>
        <w:rPr>
          <w:sz w:val="24"/>
          <w:szCs w:val="24"/>
        </w:rPr>
      </w:pPr>
    </w:p>
    <w:p w14:paraId="678E94EA" w14:textId="738A2BE7" w:rsidR="00F326E5" w:rsidRPr="004445C3" w:rsidRDefault="00F326E5" w:rsidP="00F326E5">
      <w:pPr>
        <w:rPr>
          <w:rFonts w:ascii="[" w:hAnsi="["/>
          <w:color w:val="4A4A4A"/>
          <w:sz w:val="24"/>
          <w:szCs w:val="24"/>
          <w:lang w:val="en"/>
        </w:rPr>
      </w:pPr>
      <w:bookmarkStart w:id="128" w:name="_Hlk7341158"/>
      <w:r>
        <w:rPr>
          <w:rFonts w:ascii="Arial Black" w:hAnsi="Arial Black" w:cs="Arial"/>
          <w:color w:val="4A4A4A"/>
          <w:sz w:val="28"/>
          <w:szCs w:val="28"/>
          <w:lang w:val="en"/>
        </w:rPr>
        <w:t xml:space="preserve">TX: </w:t>
      </w:r>
      <w:r w:rsidRPr="00992190">
        <w:rPr>
          <w:rFonts w:ascii="Arial Black" w:hAnsi="Arial Black" w:cs="Arial"/>
          <w:color w:val="4A4A4A"/>
          <w:sz w:val="28"/>
          <w:szCs w:val="28"/>
          <w:lang w:val="en"/>
        </w:rPr>
        <w:t xml:space="preserve">MURDER TRIAL </w:t>
      </w:r>
      <w:r>
        <w:rPr>
          <w:rFonts w:ascii="Arial Black" w:hAnsi="Arial Black" w:cs="Arial"/>
          <w:color w:val="4A4A4A"/>
          <w:sz w:val="28"/>
          <w:szCs w:val="28"/>
          <w:lang w:val="en"/>
        </w:rPr>
        <w:t xml:space="preserve">FOR KILLING A POLICE OFFICER – PD MAY BE AT TRIAL IN UNIFORM </w:t>
      </w:r>
      <w:r>
        <w:rPr>
          <w:rFonts w:ascii="[" w:hAnsi="["/>
          <w:color w:val="4A4A4A"/>
          <w:sz w:val="24"/>
          <w:szCs w:val="24"/>
          <w:lang w:val="en"/>
        </w:rPr>
        <w:t>[also filed, Chap. 1]</w:t>
      </w:r>
    </w:p>
    <w:p w14:paraId="63F3BD15" w14:textId="33E5A73A" w:rsidR="00F326E5" w:rsidRPr="0036327D" w:rsidRDefault="00F326E5" w:rsidP="00F326E5">
      <w:pPr>
        <w:rPr>
          <w:rStyle w:val="Hyperlink"/>
          <w:rFonts w:ascii="Times New Roman" w:hAnsi="Times New Roman"/>
          <w:sz w:val="24"/>
          <w:szCs w:val="24"/>
          <w:lang w:val="en"/>
        </w:rPr>
      </w:pPr>
      <w:r w:rsidRPr="0036327D">
        <w:rPr>
          <w:rFonts w:ascii="Times New Roman" w:hAnsi="Times New Roman"/>
          <w:color w:val="4A4A4A"/>
          <w:sz w:val="24"/>
          <w:szCs w:val="24"/>
          <w:lang w:val="en"/>
        </w:rPr>
        <w:t xml:space="preserve">On March 27, 2018, in </w:t>
      </w:r>
      <w:r w:rsidRPr="0036327D">
        <w:rPr>
          <w:rFonts w:ascii="Times New Roman" w:hAnsi="Times New Roman"/>
          <w:color w:val="4A4A4A"/>
          <w:sz w:val="24"/>
          <w:szCs w:val="24"/>
          <w:u w:val="single"/>
          <w:lang w:val="en"/>
        </w:rPr>
        <w:t xml:space="preserve">Shelton </w:t>
      </w:r>
      <w:proofErr w:type="spellStart"/>
      <w:r w:rsidRPr="0036327D">
        <w:rPr>
          <w:rFonts w:ascii="Times New Roman" w:hAnsi="Times New Roman"/>
          <w:color w:val="4A4A4A"/>
          <w:sz w:val="24"/>
          <w:szCs w:val="24"/>
          <w:u w:val="single"/>
          <w:lang w:val="en"/>
        </w:rPr>
        <w:t>Denoria</w:t>
      </w:r>
      <w:proofErr w:type="spellEnd"/>
      <w:r w:rsidRPr="0036327D">
        <w:rPr>
          <w:rFonts w:ascii="Times New Roman" w:hAnsi="Times New Roman"/>
          <w:color w:val="4A4A4A"/>
          <w:sz w:val="24"/>
          <w:szCs w:val="24"/>
          <w:u w:val="single"/>
          <w:lang w:val="en"/>
        </w:rPr>
        <w:t xml:space="preserve"> Jones v. Lorie Davis, Director, Texas Department of Criminal Justice</w:t>
      </w:r>
      <w:r w:rsidRPr="0036327D">
        <w:rPr>
          <w:rFonts w:ascii="Times New Roman" w:hAnsi="Times New Roman"/>
          <w:color w:val="4A4A4A"/>
          <w:sz w:val="24"/>
          <w:szCs w:val="24"/>
          <w:lang w:val="en"/>
        </w:rPr>
        <w:t>, the U.S. Court of Appeals for 5</w:t>
      </w:r>
      <w:r w:rsidRPr="0036327D">
        <w:rPr>
          <w:rFonts w:ascii="Times New Roman" w:hAnsi="Times New Roman"/>
          <w:color w:val="4A4A4A"/>
          <w:sz w:val="24"/>
          <w:szCs w:val="24"/>
          <w:vertAlign w:val="superscript"/>
          <w:lang w:val="en"/>
        </w:rPr>
        <w:t>th</w:t>
      </w:r>
      <w:r w:rsidRPr="0036327D">
        <w:rPr>
          <w:rFonts w:ascii="Times New Roman" w:hAnsi="Times New Roman"/>
          <w:color w:val="4A4A4A"/>
          <w:sz w:val="24"/>
          <w:szCs w:val="24"/>
          <w:lang w:val="en"/>
        </w:rPr>
        <w:t xml:space="preserve"> Circuit, held (3 to 0) that the defendant was not deprived of a fair trial in state court: “the record before us does not suggest the police presence intimidated the jury or disrupted the factfinding process in any way.” </w:t>
      </w:r>
      <w:hyperlink r:id="rId640" w:history="1">
        <w:r w:rsidRPr="0036327D">
          <w:rPr>
            <w:rStyle w:val="Hyperlink"/>
            <w:rFonts w:ascii="Times New Roman" w:hAnsi="Times New Roman"/>
            <w:sz w:val="24"/>
            <w:szCs w:val="24"/>
            <w:lang w:val="en"/>
          </w:rPr>
          <w:t>file:///C:/Users/lawre/AppData/Local/Microsoft/Windows/INetCache/IE/XO250S7T/15-70040-CV0.pdf</w:t>
        </w:r>
      </w:hyperlink>
    </w:p>
    <w:p w14:paraId="18A9B3EF" w14:textId="77777777" w:rsidR="00F326E5" w:rsidRPr="0036327D" w:rsidRDefault="00F326E5" w:rsidP="00F326E5">
      <w:pPr>
        <w:rPr>
          <w:rFonts w:ascii="Times New Roman" w:hAnsi="Times New Roman"/>
          <w:b/>
          <w:color w:val="4A4A4A"/>
          <w:sz w:val="24"/>
          <w:szCs w:val="24"/>
          <w:lang w:val="en"/>
        </w:rPr>
      </w:pPr>
      <w:bookmarkStart w:id="129" w:name="_Hlk1065353"/>
      <w:r w:rsidRPr="0036327D">
        <w:rPr>
          <w:rFonts w:ascii="Times New Roman" w:hAnsi="Times New Roman"/>
          <w:b/>
          <w:color w:val="4A4A4A"/>
          <w:sz w:val="24"/>
          <w:szCs w:val="24"/>
          <w:lang w:val="en"/>
        </w:rPr>
        <w:t xml:space="preserve">LEGAL LESSONS LEARNED:  Helpful decision – no evidence of jury intimidation by having emergency responders in uniform, watching a jury trial.  Before showing up in uniform, please discuss with your Chief and the prosecutor, who may want to review with trial judge, prior to start of trial. </w:t>
      </w:r>
    </w:p>
    <w:p w14:paraId="5EB00F6E" w14:textId="77777777" w:rsidR="00D46F1E" w:rsidRPr="0036327D" w:rsidRDefault="00D46F1E" w:rsidP="00F326E5">
      <w:pPr>
        <w:pStyle w:val="NoSpacing"/>
        <w:rPr>
          <w:rFonts w:ascii="Times New Roman" w:hAnsi="Times New Roman"/>
          <w:sz w:val="24"/>
          <w:szCs w:val="24"/>
        </w:rPr>
      </w:pPr>
      <w:bookmarkStart w:id="130" w:name="_Hlk515115331"/>
      <w:bookmarkEnd w:id="128"/>
      <w:bookmarkEnd w:id="129"/>
    </w:p>
    <w:p w14:paraId="5327D8FF" w14:textId="77777777" w:rsidR="00D46F1E" w:rsidRDefault="00D46F1E" w:rsidP="00F326E5">
      <w:pPr>
        <w:pStyle w:val="NoSpacing"/>
        <w:rPr>
          <w:sz w:val="24"/>
          <w:szCs w:val="24"/>
        </w:rPr>
      </w:pPr>
    </w:p>
    <w:p w14:paraId="71B7B4DB" w14:textId="24ADCB6B" w:rsidR="00D46F1E" w:rsidRPr="00791CA3" w:rsidRDefault="00791CA3" w:rsidP="00F326E5">
      <w:pPr>
        <w:pStyle w:val="NoSpacing"/>
        <w:rPr>
          <w:rFonts w:ascii="Arial Black" w:hAnsi="Arial Black"/>
          <w:sz w:val="24"/>
          <w:szCs w:val="24"/>
        </w:rPr>
      </w:pPr>
      <w:r w:rsidRPr="00791CA3">
        <w:rPr>
          <w:rFonts w:ascii="Arial Black" w:hAnsi="Arial Black"/>
          <w:sz w:val="24"/>
          <w:szCs w:val="24"/>
        </w:rPr>
        <w:t>2-1</w:t>
      </w:r>
    </w:p>
    <w:p w14:paraId="7A128CE5" w14:textId="77777777" w:rsidR="00D46F1E" w:rsidRDefault="00D46F1E" w:rsidP="00F326E5">
      <w:pPr>
        <w:pStyle w:val="NoSpacing"/>
        <w:rPr>
          <w:sz w:val="24"/>
          <w:szCs w:val="24"/>
        </w:rPr>
      </w:pPr>
    </w:p>
    <w:p w14:paraId="6607B45D" w14:textId="16C33E9F" w:rsidR="00F326E5" w:rsidRDefault="00F326E5" w:rsidP="00F326E5">
      <w:pPr>
        <w:pStyle w:val="NoSpacing"/>
        <w:rPr>
          <w:rFonts w:ascii="Arial Black" w:hAnsi="Arial Black"/>
          <w:b/>
          <w:sz w:val="28"/>
          <w:szCs w:val="28"/>
        </w:rPr>
      </w:pPr>
      <w:bookmarkStart w:id="131" w:name="_Hlk7341195"/>
      <w:r>
        <w:rPr>
          <w:rFonts w:ascii="Arial Black" w:hAnsi="Arial Black"/>
          <w:b/>
          <w:sz w:val="28"/>
          <w:szCs w:val="28"/>
        </w:rPr>
        <w:t>PA: SEAGRAVE FIRE APPARATUS – INSURANCE COMPANIES MUST DEFEND ON HEARING LOSS CLAIMS</w:t>
      </w:r>
    </w:p>
    <w:bookmarkEnd w:id="130"/>
    <w:p w14:paraId="509F34F7" w14:textId="14F36BFA" w:rsidR="00F326E5" w:rsidRPr="0036327D" w:rsidRDefault="00F326E5" w:rsidP="00F326E5">
      <w:pPr>
        <w:rPr>
          <w:rFonts w:ascii="Times New Roman" w:hAnsi="Times New Roman"/>
          <w:sz w:val="24"/>
          <w:szCs w:val="24"/>
        </w:rPr>
      </w:pPr>
      <w:r w:rsidRPr="0036327D">
        <w:rPr>
          <w:rFonts w:ascii="Times New Roman" w:hAnsi="Times New Roman"/>
          <w:sz w:val="24"/>
          <w:szCs w:val="24"/>
        </w:rPr>
        <w:t xml:space="preserve">On March 26, 2018, in </w:t>
      </w:r>
      <w:r w:rsidRPr="0036327D">
        <w:rPr>
          <w:rFonts w:ascii="Times New Roman" w:hAnsi="Times New Roman"/>
          <w:sz w:val="24"/>
          <w:szCs w:val="24"/>
          <w:u w:val="single"/>
        </w:rPr>
        <w:t>Seagrave Fire Apparatus, LLC v. CAN D/B/A Continental Casualty Company, et al.</w:t>
      </w:r>
      <w:r w:rsidRPr="0036327D">
        <w:rPr>
          <w:rFonts w:ascii="Times New Roman" w:hAnsi="Times New Roman"/>
          <w:sz w:val="24"/>
          <w:szCs w:val="24"/>
        </w:rPr>
        <w:t xml:space="preserve">, the Superior Court of Pennsylvania held (3 to 1) that several insurance companies that insured Seagrave must defend Seagrave under their contracts for firefighter hearing loss claims.  </w:t>
      </w:r>
      <w:hyperlink r:id="rId641" w:history="1">
        <w:r w:rsidRPr="0036327D">
          <w:rPr>
            <w:rStyle w:val="Hyperlink"/>
            <w:rFonts w:ascii="Times New Roman" w:hAnsi="Times New Roman"/>
            <w:sz w:val="24"/>
            <w:szCs w:val="24"/>
          </w:rPr>
          <w:t>file:///C:/Users/lawre/AppData/Local/Microsoft/Windows/INetCache/IE/XO250S7T/memorandum%20%20affirmed%20%2010347948434547371.pdf</w:t>
        </w:r>
      </w:hyperlink>
      <w:r w:rsidRPr="0036327D">
        <w:rPr>
          <w:rFonts w:ascii="Times New Roman" w:hAnsi="Times New Roman"/>
          <w:sz w:val="24"/>
          <w:szCs w:val="24"/>
        </w:rPr>
        <w:t xml:space="preserve"> </w:t>
      </w:r>
    </w:p>
    <w:p w14:paraId="06BFD820" w14:textId="7EAF05C7"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L</w:t>
      </w:r>
      <w:r w:rsidR="00965872">
        <w:rPr>
          <w:rFonts w:ascii="Times New Roman" w:hAnsi="Times New Roman"/>
          <w:b/>
          <w:sz w:val="24"/>
          <w:szCs w:val="24"/>
        </w:rPr>
        <w:t xml:space="preserve">egal Lessons Learned: </w:t>
      </w:r>
      <w:r w:rsidRPr="0036327D">
        <w:rPr>
          <w:rFonts w:ascii="Times New Roman" w:hAnsi="Times New Roman"/>
          <w:b/>
          <w:sz w:val="24"/>
          <w:szCs w:val="24"/>
        </w:rPr>
        <w:t xml:space="preserve">Insurance companies are obligated </w:t>
      </w:r>
      <w:proofErr w:type="gramStart"/>
      <w:r w:rsidRPr="0036327D">
        <w:rPr>
          <w:rFonts w:ascii="Times New Roman" w:hAnsi="Times New Roman"/>
          <w:b/>
          <w:sz w:val="24"/>
          <w:szCs w:val="24"/>
        </w:rPr>
        <w:t>per</w:t>
      </w:r>
      <w:proofErr w:type="gramEnd"/>
      <w:r w:rsidRPr="0036327D">
        <w:rPr>
          <w:rFonts w:ascii="Times New Roman" w:hAnsi="Times New Roman"/>
          <w:b/>
          <w:sz w:val="24"/>
          <w:szCs w:val="24"/>
        </w:rPr>
        <w:t xml:space="preserve"> terms of their contracts to defend Seagrave against the many pending claims. </w:t>
      </w:r>
    </w:p>
    <w:p w14:paraId="08D308CA" w14:textId="46B858FD" w:rsidR="00F326E5" w:rsidRPr="0036327D" w:rsidRDefault="00F326E5" w:rsidP="00F326E5">
      <w:pPr>
        <w:ind w:left="720"/>
        <w:rPr>
          <w:rFonts w:ascii="Times New Roman" w:hAnsi="Times New Roman"/>
          <w:sz w:val="24"/>
          <w:szCs w:val="24"/>
        </w:rPr>
      </w:pPr>
      <w:r w:rsidRPr="0036327D">
        <w:rPr>
          <w:rFonts w:ascii="Times New Roman" w:hAnsi="Times New Roman"/>
          <w:sz w:val="24"/>
          <w:szCs w:val="24"/>
        </w:rPr>
        <w:t xml:space="preserve">See, for example, this 2015 lawsuit filed on behalf of 34 New Jersey firefighters: </w:t>
      </w:r>
      <w:hyperlink r:id="rId642" w:history="1">
        <w:r w:rsidRPr="0036327D">
          <w:rPr>
            <w:rStyle w:val="Hyperlink"/>
            <w:rFonts w:ascii="Times New Roman" w:hAnsi="Times New Roman"/>
            <w:sz w:val="24"/>
            <w:szCs w:val="24"/>
          </w:rPr>
          <w:t>file:///C:/Users/lawre/AppData/Local/Microsoft/Windows/INetCache/IE/CTCRXJ99/Alvarez-v-American-LaFrance.pdf</w:t>
        </w:r>
      </w:hyperlink>
    </w:p>
    <w:bookmarkEnd w:id="131"/>
    <w:p w14:paraId="2304D399" w14:textId="77777777" w:rsidR="00F326E5" w:rsidRPr="008F54C5" w:rsidRDefault="00F326E5" w:rsidP="00F326E5">
      <w:pPr>
        <w:rPr>
          <w:b/>
          <w:sz w:val="24"/>
          <w:szCs w:val="24"/>
        </w:rPr>
      </w:pPr>
    </w:p>
    <w:p w14:paraId="0B36607D" w14:textId="77777777" w:rsidR="00F326E5" w:rsidRPr="008F54C5" w:rsidRDefault="00F326E5" w:rsidP="00F326E5">
      <w:pPr>
        <w:pStyle w:val="NoSpacing"/>
        <w:rPr>
          <w:b/>
          <w:sz w:val="24"/>
          <w:szCs w:val="24"/>
        </w:rPr>
      </w:pPr>
      <w:r w:rsidRPr="008F54C5">
        <w:rPr>
          <w:b/>
          <w:sz w:val="24"/>
          <w:szCs w:val="24"/>
        </w:rPr>
        <w:t xml:space="preserve"> </w:t>
      </w:r>
    </w:p>
    <w:p w14:paraId="40204EF6" w14:textId="77777777" w:rsidR="00F326E5" w:rsidRDefault="00F326E5" w:rsidP="00F326E5">
      <w:pPr>
        <w:rPr>
          <w:rStyle w:val="Hyperlink"/>
          <w:b/>
          <w:sz w:val="24"/>
          <w:szCs w:val="24"/>
          <w:lang w:val="en"/>
        </w:rPr>
      </w:pPr>
      <w:r>
        <w:rPr>
          <w:rStyle w:val="Hyperlink"/>
          <w:sz w:val="24"/>
          <w:szCs w:val="24"/>
          <w:lang w:val="en"/>
        </w:rPr>
        <w:br w:type="page"/>
      </w:r>
    </w:p>
    <w:p w14:paraId="1A70740B" w14:textId="0ED3A3BB" w:rsidR="007F56D6" w:rsidRDefault="007F56D6">
      <w:pPr>
        <w:spacing w:after="0" w:line="240" w:lineRule="auto"/>
        <w:rPr>
          <w:rFonts w:ascii="Arial Black" w:hAnsi="Arial Black"/>
          <w:sz w:val="40"/>
          <w:szCs w:val="40"/>
        </w:rPr>
      </w:pPr>
      <w:r>
        <w:rPr>
          <w:rFonts w:ascii="Arial Black" w:hAnsi="Arial Black"/>
          <w:sz w:val="40"/>
          <w:szCs w:val="40"/>
        </w:rPr>
        <w:br w:type="page"/>
      </w:r>
    </w:p>
    <w:p w14:paraId="32820C02" w14:textId="0B8B2CC9" w:rsidR="00F326E5" w:rsidRDefault="00F326E5" w:rsidP="00F326E5">
      <w:pPr>
        <w:pStyle w:val="NoSpacing"/>
        <w:rPr>
          <w:rFonts w:ascii="Arial Black" w:hAnsi="Arial Black"/>
          <w:sz w:val="40"/>
          <w:szCs w:val="40"/>
        </w:rPr>
      </w:pPr>
      <w:r w:rsidRPr="007732FA">
        <w:rPr>
          <w:rFonts w:ascii="Arial Black" w:hAnsi="Arial Black"/>
          <w:sz w:val="40"/>
          <w:szCs w:val="40"/>
        </w:rPr>
        <w:t>Chap. 3</w:t>
      </w:r>
      <w:r w:rsidRPr="007732FA">
        <w:rPr>
          <w:rFonts w:ascii="Arial Black" w:hAnsi="Arial Black"/>
          <w:sz w:val="40"/>
          <w:szCs w:val="40"/>
        </w:rPr>
        <w:tab/>
        <w:t>Homeland Security</w:t>
      </w:r>
      <w:r w:rsidR="003F660F">
        <w:rPr>
          <w:rFonts w:ascii="Arial Black" w:hAnsi="Arial Black"/>
          <w:sz w:val="40"/>
          <w:szCs w:val="40"/>
        </w:rPr>
        <w:t xml:space="preserve">, including </w:t>
      </w:r>
      <w:r w:rsidRPr="007732FA">
        <w:rPr>
          <w:rFonts w:ascii="Arial Black" w:hAnsi="Arial Black"/>
          <w:sz w:val="40"/>
          <w:szCs w:val="40"/>
        </w:rPr>
        <w:t>Active Shooter</w:t>
      </w:r>
      <w:r w:rsidR="003F660F">
        <w:rPr>
          <w:rFonts w:ascii="Arial Black" w:hAnsi="Arial Black"/>
          <w:sz w:val="40"/>
          <w:szCs w:val="40"/>
        </w:rPr>
        <w:t xml:space="preserve">, </w:t>
      </w:r>
      <w:r w:rsidR="00636395">
        <w:rPr>
          <w:rFonts w:ascii="Arial Black" w:hAnsi="Arial Black"/>
          <w:sz w:val="40"/>
          <w:szCs w:val="40"/>
        </w:rPr>
        <w:t>Cybersecurity</w:t>
      </w:r>
      <w:r w:rsidR="00BC5936">
        <w:rPr>
          <w:rFonts w:ascii="Arial Black" w:hAnsi="Arial Black"/>
          <w:sz w:val="40"/>
          <w:szCs w:val="40"/>
        </w:rPr>
        <w:t>, Immigration</w:t>
      </w:r>
    </w:p>
    <w:p w14:paraId="42137DFF" w14:textId="77777777" w:rsidR="00F326E5" w:rsidRDefault="00F326E5" w:rsidP="00F326E5">
      <w:pPr>
        <w:pStyle w:val="NoSpacing"/>
        <w:rPr>
          <w:sz w:val="24"/>
          <w:szCs w:val="24"/>
        </w:rPr>
      </w:pPr>
    </w:p>
    <w:p w14:paraId="7F66BBCC" w14:textId="60A4E40B" w:rsidR="00583C3C" w:rsidRDefault="00583C3C" w:rsidP="00583C3C">
      <w:pPr>
        <w:pStyle w:val="NoSpacing"/>
        <w:rPr>
          <w:rFonts w:ascii="Arial Black" w:hAnsi="Arial Black"/>
          <w:sz w:val="28"/>
          <w:szCs w:val="28"/>
        </w:rPr>
      </w:pPr>
      <w:bookmarkStart w:id="132" w:name="_Hlk7341375"/>
      <w:r>
        <w:rPr>
          <w:rFonts w:ascii="Arial Black" w:hAnsi="Arial Black"/>
          <w:sz w:val="28"/>
          <w:szCs w:val="28"/>
        </w:rPr>
        <w:t>3-9</w:t>
      </w:r>
      <w:r>
        <w:rPr>
          <w:rFonts w:ascii="Arial Black" w:hAnsi="Arial Black"/>
          <w:sz w:val="28"/>
          <w:szCs w:val="28"/>
        </w:rPr>
        <w:t>7</w:t>
      </w:r>
    </w:p>
    <w:p w14:paraId="40B9DD07" w14:textId="77777777" w:rsidR="00583C3C" w:rsidRDefault="00583C3C" w:rsidP="008A4986">
      <w:pPr>
        <w:pStyle w:val="NoSpacing"/>
        <w:rPr>
          <w:rFonts w:ascii="Arial Black" w:hAnsi="Arial Black"/>
          <w:sz w:val="28"/>
          <w:szCs w:val="28"/>
        </w:rPr>
      </w:pPr>
    </w:p>
    <w:p w14:paraId="12C9688A" w14:textId="77777777" w:rsidR="00583C3C" w:rsidRPr="00BA3212" w:rsidRDefault="00583C3C" w:rsidP="00583C3C">
      <w:pPr>
        <w:jc w:val="both"/>
        <w:rPr>
          <w:rFonts w:ascii="Arial Black" w:hAnsi="Arial Black"/>
          <w:sz w:val="28"/>
          <w:szCs w:val="28"/>
        </w:rPr>
      </w:pPr>
      <w:r>
        <w:rPr>
          <w:rFonts w:ascii="Arial Black" w:hAnsi="Arial Black"/>
          <w:sz w:val="28"/>
          <w:szCs w:val="28"/>
        </w:rPr>
        <w:t xml:space="preserve">VA: ICE - INJUNCT VA LAWS - “MASKS” &amp; PD AGREEMENTS </w:t>
      </w:r>
    </w:p>
    <w:p w14:paraId="53BC2184" w14:textId="77777777" w:rsidR="00583C3C" w:rsidRPr="006515D3" w:rsidRDefault="00583C3C" w:rsidP="00583C3C">
      <w:pPr>
        <w:rPr>
          <w:bCs/>
        </w:rPr>
      </w:pPr>
      <w:r>
        <w:t xml:space="preserve">On September 3, 2026, in </w:t>
      </w:r>
      <w:r w:rsidRPr="001B2A45">
        <w:rPr>
          <w:u w:val="single"/>
        </w:rPr>
        <w:t>United States of America v. Commonwealth of Virginia</w:t>
      </w:r>
      <w:r>
        <w:t xml:space="preserve">, U.S. District Court Judge </w:t>
      </w:r>
      <w:r w:rsidRPr="00A90B74">
        <w:t xml:space="preserve">Robert E. Payne, United States District </w:t>
      </w:r>
      <w:proofErr w:type="gramStart"/>
      <w:r w:rsidRPr="00A90B74">
        <w:t>For</w:t>
      </w:r>
      <w:proofErr w:type="gramEnd"/>
      <w:r w:rsidRPr="00A90B74">
        <w:t xml:space="preserve"> the Eastern District of Virginia, Richmond Division, </w:t>
      </w:r>
      <w:r>
        <w:t>granted the U.S. Government’s motion for preliminary injunction against Virginia’s two 2026 statutes: “Mask/Identity Law” and contracts with ICE law. “</w:t>
      </w:r>
      <w:r w:rsidRPr="006515D3">
        <w:t xml:space="preserve">The United States filed the COMPLAINT (ECF No. 1) in this action seeking to enjoin two recently enacted Virginia statutes. The first challenged statute is Va. Code Ann. § 19.2-83.6:2 (2026) entitled </w:t>
      </w:r>
      <w:r>
        <w:t>‘</w:t>
      </w:r>
      <w:r w:rsidRPr="006515D3">
        <w:t>Prohibition on wearing of facial coverings; penalty,</w:t>
      </w:r>
      <w:r>
        <w:t>’</w:t>
      </w:r>
      <w:r w:rsidRPr="006515D3">
        <w:t xml:space="preserve"> which, in this case, is generally referred to as the “Mask/Identity Law.” The claims relating to </w:t>
      </w:r>
      <w:proofErr w:type="gramStart"/>
      <w:r w:rsidRPr="006515D3">
        <w:t>the Mask</w:t>
      </w:r>
      <w:proofErr w:type="gramEnd"/>
      <w:r w:rsidRPr="006515D3">
        <w:t xml:space="preserve">/Identity Law are presented in COUNT I and COUNT II of the COMPLAINT. ECF No. 1, 42-43. By ORDER and MEMORANDUM OPINION (ECF Nos. 90 and 91), the PI MOTION was granted with respect to the enforcement of the Mask/Identity Law. The remaining counts of the COMPLAINT address the second challenged statute the </w:t>
      </w:r>
      <w:r>
        <w:t>‘</w:t>
      </w:r>
      <w:r w:rsidRPr="006515D3">
        <w:t>Virginia 287(g) Law,</w:t>
      </w:r>
      <w:r>
        <w:t>’</w:t>
      </w:r>
      <w:r w:rsidRPr="006515D3">
        <w:t xml:space="preserve"> which is entitled “Immigration enforcement agreements with federal authorities; required provisions.</w:t>
      </w:r>
      <w:r>
        <w:t>’</w:t>
      </w:r>
      <w:r w:rsidRPr="006515D3">
        <w:t xml:space="preserve"> COUNT III alleges that the Virginia 287(g) Law violates the Contracts Clause of the United States Constitution because it impairs existing contracts between local entities in Virginia and the federal government that are authorized by 8 U.S.C. § 1357(g). U.S. Const. art. I, § 10, cl. 1; ECF No. 1, 43.</w:t>
      </w:r>
      <w:r>
        <w:t xml:space="preserve">” </w:t>
      </w:r>
      <w:hyperlink r:id="rId643" w:history="1">
        <w:r w:rsidRPr="0032226E">
          <w:rPr>
            <w:rStyle w:val="Hyperlink"/>
          </w:rPr>
          <w:t>https://app.midpage.ai/document/united-states-v-the-commonwealth--c85a384c-42b4-409d-a974-45bc1b3029ac?refG=true</w:t>
        </w:r>
      </w:hyperlink>
      <w:r>
        <w:t xml:space="preserve"> </w:t>
      </w:r>
    </w:p>
    <w:p w14:paraId="735EA54F" w14:textId="77777777" w:rsidR="00583C3C" w:rsidRDefault="00583C3C" w:rsidP="00583C3C">
      <w:pPr>
        <w:rPr>
          <w:bCs/>
        </w:rPr>
      </w:pPr>
      <w:r>
        <w:t>THE COURT WROTE:</w:t>
      </w:r>
    </w:p>
    <w:p w14:paraId="10F8B82B" w14:textId="77777777" w:rsidR="00583C3C" w:rsidRDefault="00583C3C" w:rsidP="00583C3C">
      <w:pPr>
        <w:ind w:left="720"/>
        <w:rPr>
          <w:bCs/>
        </w:rPr>
      </w:pPr>
      <w:r>
        <w:t>“</w:t>
      </w:r>
      <w:r w:rsidRPr="005E5D15">
        <w:t>Under the Virginia 287(g) Law, the federal governments’ 287(g) agreements become null and void unless the federal party agrees to have the twelve required provisions demanded by sections C(1)-(12). Those provisions dictate what the federal immigration authorities must do (or not do) when enforcing federal immigration law in Virginia. And, by Virginia‘s own admission in its papers here, those twelve requirements are designed to change the way that federal immigration law is enforced, at least in Virginia.</w:t>
      </w:r>
    </w:p>
    <w:p w14:paraId="30BE15D3" w14:textId="77777777" w:rsidR="00583C3C" w:rsidRDefault="00583C3C" w:rsidP="00583C3C">
      <w:pPr>
        <w:ind w:left="720"/>
        <w:rPr>
          <w:bCs/>
        </w:rPr>
      </w:pPr>
      <w:r>
        <w:t>***</w:t>
      </w:r>
    </w:p>
    <w:p w14:paraId="07580F15" w14:textId="77777777" w:rsidR="00583C3C" w:rsidRDefault="00583C3C" w:rsidP="00583C3C">
      <w:pPr>
        <w:ind w:left="720"/>
        <w:rPr>
          <w:bCs/>
        </w:rPr>
      </w:pPr>
      <w:r>
        <w:t>I</w:t>
      </w:r>
      <w:r w:rsidRPr="00F534F9">
        <w:t>n other words, what would become of our dual system of sovereignty if States were free to do as Virginia has done here? No doubt, it would endure, but, without doubt, it would be altered. It would no longer be the governmental operating structure settled upon by the Founders. To prevent that result when a State chooses a Constitutionally indefensible course, the errant choice must be set at naught. And, where, as here, there is a strong likelihood that the State‘s course is not permitted by the Constitution, the remedy is to forestall that course pending resolution of the Constitutional claim.</w:t>
      </w:r>
      <w:r>
        <w:t>”</w:t>
      </w:r>
    </w:p>
    <w:p w14:paraId="58473A6C" w14:textId="77777777" w:rsidR="00583C3C" w:rsidRPr="00F534F9" w:rsidRDefault="00583C3C" w:rsidP="00583C3C">
      <w:pPr>
        <w:rPr>
          <w:b/>
        </w:rPr>
      </w:pPr>
      <w:r>
        <w:rPr>
          <w:b/>
        </w:rPr>
        <w:t xml:space="preserve">Legal </w:t>
      </w:r>
      <w:proofErr w:type="gramStart"/>
      <w:r>
        <w:rPr>
          <w:b/>
        </w:rPr>
        <w:t>lesson</w:t>
      </w:r>
      <w:proofErr w:type="gramEnd"/>
      <w:r>
        <w:rPr>
          <w:b/>
        </w:rPr>
        <w:t xml:space="preserve"> learned: States cannot enact laws that prohibit law enforcement from cooperating with ICE and other federal agencies. </w:t>
      </w:r>
    </w:p>
    <w:p w14:paraId="6A0ACF4D" w14:textId="77777777" w:rsidR="00583C3C" w:rsidRDefault="00583C3C" w:rsidP="008A4986">
      <w:pPr>
        <w:pStyle w:val="NoSpacing"/>
        <w:rPr>
          <w:rFonts w:ascii="Arial Black" w:hAnsi="Arial Black"/>
          <w:sz w:val="28"/>
          <w:szCs w:val="28"/>
        </w:rPr>
      </w:pPr>
    </w:p>
    <w:p w14:paraId="42903E23" w14:textId="77777777" w:rsidR="00583C3C" w:rsidRDefault="00583C3C" w:rsidP="008A4986">
      <w:pPr>
        <w:pStyle w:val="NoSpacing"/>
        <w:rPr>
          <w:rFonts w:ascii="Arial Black" w:hAnsi="Arial Black"/>
          <w:sz w:val="28"/>
          <w:szCs w:val="28"/>
        </w:rPr>
      </w:pPr>
    </w:p>
    <w:p w14:paraId="22402B4A" w14:textId="77777777" w:rsidR="00583C3C" w:rsidRDefault="00583C3C" w:rsidP="008A4986">
      <w:pPr>
        <w:pStyle w:val="NoSpacing"/>
        <w:rPr>
          <w:rFonts w:ascii="Arial Black" w:hAnsi="Arial Black"/>
          <w:sz w:val="28"/>
          <w:szCs w:val="28"/>
        </w:rPr>
      </w:pPr>
    </w:p>
    <w:p w14:paraId="31A126DD" w14:textId="32AC9796" w:rsidR="008A4986" w:rsidRDefault="008A4986" w:rsidP="008A4986">
      <w:pPr>
        <w:pStyle w:val="NoSpacing"/>
        <w:rPr>
          <w:rFonts w:ascii="Arial Black" w:hAnsi="Arial Black"/>
          <w:sz w:val="28"/>
          <w:szCs w:val="28"/>
        </w:rPr>
      </w:pPr>
      <w:r>
        <w:rPr>
          <w:rFonts w:ascii="Arial Black" w:hAnsi="Arial Black"/>
          <w:sz w:val="28"/>
          <w:szCs w:val="28"/>
        </w:rPr>
        <w:t>3-96</w:t>
      </w:r>
    </w:p>
    <w:p w14:paraId="74435624" w14:textId="77777777" w:rsidR="008A4986" w:rsidRDefault="008A4986" w:rsidP="006B4271">
      <w:pPr>
        <w:pStyle w:val="NoSpacing"/>
        <w:rPr>
          <w:rFonts w:ascii="Arial Black" w:hAnsi="Arial Black"/>
          <w:sz w:val="28"/>
          <w:szCs w:val="28"/>
        </w:rPr>
      </w:pPr>
    </w:p>
    <w:p w14:paraId="7CBB82F7" w14:textId="77777777" w:rsidR="008A4986" w:rsidRPr="002F6AE6" w:rsidRDefault="008A4986" w:rsidP="008A4986">
      <w:pPr>
        <w:rPr>
          <w:rFonts w:ascii="Arial Black" w:hAnsi="Arial Black"/>
          <w:b/>
          <w:sz w:val="28"/>
          <w:szCs w:val="28"/>
        </w:rPr>
      </w:pPr>
      <w:r>
        <w:rPr>
          <w:rFonts w:ascii="Arial Black" w:hAnsi="Arial Black"/>
          <w:b/>
          <w:sz w:val="28"/>
          <w:szCs w:val="28"/>
        </w:rPr>
        <w:t xml:space="preserve">NY: FDNY FF SURVIVED 911 - $15M AGAINST TALIBAN </w:t>
      </w:r>
    </w:p>
    <w:p w14:paraId="409C4A85" w14:textId="77777777" w:rsidR="008A4986" w:rsidRDefault="008A4986" w:rsidP="008A4986">
      <w:pPr>
        <w:rPr>
          <w:b/>
        </w:rPr>
      </w:pPr>
      <w:r w:rsidRPr="00BD6FB0">
        <w:t xml:space="preserve">On </w:t>
      </w:r>
      <w:r>
        <w:t xml:space="preserve">August 5, 2026, in class action </w:t>
      </w:r>
      <w:proofErr w:type="gramStart"/>
      <w:r w:rsidRPr="00B065FD">
        <w:rPr>
          <w:u w:val="single"/>
        </w:rPr>
        <w:t>In</w:t>
      </w:r>
      <w:proofErr w:type="gramEnd"/>
      <w:r w:rsidRPr="00B065FD">
        <w:rPr>
          <w:u w:val="single"/>
        </w:rPr>
        <w:t xml:space="preserve"> re: TERRORIST ATTACKS ON SEPTEMBER 11, 2001</w:t>
      </w:r>
      <w:r>
        <w:t xml:space="preserve">, U.S. Magistrate Judge </w:t>
      </w:r>
      <w:r w:rsidRPr="00CC6B8F">
        <w:t>Sarah Netburn</w:t>
      </w:r>
      <w:r>
        <w:t xml:space="preserve"> issued a report and recommendation to U.S. District Court Judge George B. Daniels, United States District Court for the Southern District of New York, that the Taliban be ordered to pay several plaintiffs injured on 911, including FDNY firefighter Louie Cacchioli.  “</w:t>
      </w:r>
      <w:r w:rsidRPr="00C97572">
        <w:t>The Court thus recommends an award of $5 million in pain and suffering damages</w:t>
      </w:r>
      <w:r>
        <w:t xml:space="preserve">…. </w:t>
      </w:r>
      <w:r w:rsidRPr="00C97572">
        <w:t>In accordance with § 2333(a), the Court also recommends awarding Cacchioli treble damages.</w:t>
      </w:r>
      <w:r>
        <w:t xml:space="preserve">” </w:t>
      </w:r>
      <w:hyperlink r:id="rId644" w:history="1">
        <w:r w:rsidRPr="00EC784F">
          <w:rPr>
            <w:rStyle w:val="Hyperlink"/>
            <w:b/>
          </w:rPr>
          <w:t>https://public.fastcase.com/Jhe1Qn%2BmJndQYQU6z%2FeNm6y%2ButKVHQ7qplXbc9U9gWaO0ooWSN9ntzBjMGV9FUUQ?utm_medium=email&amp;_hsenc=p2ANqtz-_Z4fCy207wA-GVpVh4JS6wIyKK4xAt9PwjI-H5ckiw2tYlLKp3PzFWQuUG8qe1JOGf1y8GbQNr8qUECGdNhBetcdlP1w&amp;_hsmi=226712652&amp;utm_content=226712652&amp;utm_source=hs_email</w:t>
        </w:r>
      </w:hyperlink>
      <w:r>
        <w:rPr>
          <w:b/>
        </w:rPr>
        <w:t xml:space="preserve"> </w:t>
      </w:r>
    </w:p>
    <w:p w14:paraId="46E3B5D8" w14:textId="77777777" w:rsidR="008A4986" w:rsidRPr="00C97572" w:rsidRDefault="008A4986" w:rsidP="008A4986">
      <w:pPr>
        <w:rPr>
          <w:bCs/>
        </w:rPr>
      </w:pPr>
      <w:r>
        <w:t>THE COURT WROTE:</w:t>
      </w:r>
    </w:p>
    <w:p w14:paraId="28C3FE08" w14:textId="77777777" w:rsidR="008A4986" w:rsidRDefault="008A4986" w:rsidP="008A4986">
      <w:pPr>
        <w:pStyle w:val="NoSpacing"/>
        <w:ind w:left="720"/>
      </w:pPr>
      <w:r>
        <w:t>“</w:t>
      </w:r>
      <w:r w:rsidRPr="00BD1DBB">
        <w:t xml:space="preserve">Two groups of </w:t>
      </w:r>
      <w:r w:rsidRPr="00BD1DBB">
        <w:rPr>
          <w:i/>
          <w:iCs/>
        </w:rPr>
        <w:t>Burnett</w:t>
      </w:r>
      <w:r w:rsidRPr="00BD1DBB">
        <w:t xml:space="preserve"> Plaintiffs (the </w:t>
      </w:r>
      <w:r>
        <w:t>‘</w:t>
      </w:r>
      <w:r w:rsidRPr="00BD1DBB">
        <w:t>Plaintiffs</w:t>
      </w:r>
      <w:r>
        <w:t>’</w:t>
      </w:r>
      <w:r w:rsidRPr="00BD1DBB">
        <w:t>) move for partial default judgments against the Taliban</w:t>
      </w:r>
      <w:r>
        <w:t xml:space="preserve">…. </w:t>
      </w:r>
      <w:r w:rsidRPr="00BD1DBB">
        <w:t>The Plaintiffs were all United States nationals on September 11, 2001, and thus they bring their claims under the Anti-Terrorism Act, 18 U.S.C. § 2333(a) (“ATA”)</w:t>
      </w:r>
      <w:r>
        <w:t xml:space="preserve">…. </w:t>
      </w:r>
      <w:r w:rsidRPr="00BD1DBB">
        <w:t>They argue that the Taliban aided and abetted al Qaeda, facilitated the 9/11 Attacks, and caused the personal injuries and the latent conditions that they developed following the Attacks</w:t>
      </w:r>
      <w:r>
        <w:t xml:space="preserve">…. </w:t>
      </w:r>
      <w:r w:rsidRPr="00BD1DBB">
        <w:t>Plaintiffs received prior pain and suffering awards against co-defendant the Islamic Republic of Iran (</w:t>
      </w:r>
      <w:r>
        <w:t>‘</w:t>
      </w:r>
      <w:r w:rsidRPr="00BD1DBB">
        <w:t>Iran</w:t>
      </w:r>
      <w:r>
        <w:t>’</w:t>
      </w:r>
      <w:r w:rsidRPr="00BD1DBB">
        <w:t>). Seven Plaintiffs request individual damages determinations for the first time.</w:t>
      </w:r>
    </w:p>
    <w:p w14:paraId="01F5353A" w14:textId="77777777" w:rsidR="008A4986" w:rsidRDefault="008A4986" w:rsidP="008A4986">
      <w:pPr>
        <w:pStyle w:val="NoSpacing"/>
        <w:ind w:left="720"/>
      </w:pPr>
    </w:p>
    <w:p w14:paraId="3707AE04" w14:textId="77777777" w:rsidR="008A4986" w:rsidRDefault="008A4986" w:rsidP="008A4986">
      <w:pPr>
        <w:pStyle w:val="NoSpacing"/>
        <w:ind w:left="720"/>
      </w:pPr>
      <w:r>
        <w:t>***</w:t>
      </w:r>
    </w:p>
    <w:p w14:paraId="3CAB8EEC" w14:textId="77777777" w:rsidR="008A4986" w:rsidRDefault="008A4986" w:rsidP="008A4986">
      <w:pPr>
        <w:pStyle w:val="NoSpacing"/>
        <w:ind w:left="720"/>
      </w:pPr>
      <w:r w:rsidRPr="002F6AE6">
        <w:t>On 9/11, Louie Cacchioli was a firefighter with the New York City Fire Department (</w:t>
      </w:r>
      <w:r>
        <w:t>‘</w:t>
      </w:r>
      <w:r w:rsidRPr="002F6AE6">
        <w:t>FDNY</w:t>
      </w:r>
      <w:r>
        <w:t>’</w:t>
      </w:r>
      <w:r w:rsidRPr="002F6AE6">
        <w:t>), Ladder 47</w:t>
      </w:r>
      <w:r>
        <w:t xml:space="preserve">…. </w:t>
      </w:r>
      <w:r w:rsidRPr="002F6AE6">
        <w:t xml:space="preserve"> After arriving at the fire station for his morning shift, Cacchioli heard the news that a passenger jet had crashed into the North Tower of the WTC</w:t>
      </w:r>
      <w:r>
        <w:t xml:space="preserve">…. </w:t>
      </w:r>
      <w:r w:rsidRPr="002F6AE6">
        <w:t>He then saw United Airlines Flight 175 hit the WTC's South Tower</w:t>
      </w:r>
      <w:r>
        <w:t xml:space="preserve">…. </w:t>
      </w:r>
      <w:r w:rsidRPr="002F6AE6">
        <w:t>His team immediately sprang into action and were instructed to head to the Marriot Hotel near the WTC</w:t>
      </w:r>
      <w:r>
        <w:t xml:space="preserve">…. </w:t>
      </w:r>
      <w:r w:rsidRPr="002F6AE6">
        <w:t xml:space="preserve"> When Cacchioli arrived, the hotel was on fire from debris falling from the Towers, and he </w:t>
      </w:r>
      <w:r>
        <w:t>‘</w:t>
      </w:r>
      <w:r w:rsidRPr="002F6AE6">
        <w:t>saw people jumping [from the Towers] and falling almost right on top of [him].</w:t>
      </w:r>
      <w:r>
        <w:t xml:space="preserve">’ … </w:t>
      </w:r>
      <w:r w:rsidRPr="002F6AE6">
        <w:t xml:space="preserve">One of the </w:t>
      </w:r>
      <w:r>
        <w:t>‘</w:t>
      </w:r>
      <w:r w:rsidRPr="002F6AE6">
        <w:t>jumpers landed on [his] fellow firefighter, Danny Sur, killing him instantly.</w:t>
      </w:r>
      <w:r>
        <w:t xml:space="preserve">’ … </w:t>
      </w:r>
      <w:r w:rsidRPr="002F6AE6">
        <w:t xml:space="preserve"> As other bodies struck the ground, they </w:t>
      </w:r>
      <w:r>
        <w:t>‘</w:t>
      </w:r>
      <w:r w:rsidRPr="002F6AE6">
        <w:t>made a horrible sound.</w:t>
      </w:r>
      <w:r>
        <w:t xml:space="preserve">’ … </w:t>
      </w:r>
    </w:p>
    <w:p w14:paraId="1C96B872" w14:textId="77777777" w:rsidR="008A4986" w:rsidRDefault="008A4986" w:rsidP="008A4986">
      <w:pPr>
        <w:pStyle w:val="NoSpacing"/>
        <w:ind w:left="720"/>
      </w:pPr>
    </w:p>
    <w:p w14:paraId="5D2EB68B" w14:textId="77777777" w:rsidR="008A4986" w:rsidRPr="002F6AE6" w:rsidRDefault="008A4986" w:rsidP="008A4986">
      <w:pPr>
        <w:pStyle w:val="NoSpacing"/>
        <w:ind w:left="720"/>
      </w:pPr>
      <w:r w:rsidRPr="002F6AE6">
        <w:t xml:space="preserve">Still, Cacchioli and his team entered the hotel and escorted people outside and to safety. </w:t>
      </w:r>
    </w:p>
    <w:p w14:paraId="641DD71F" w14:textId="77777777" w:rsidR="008A4986" w:rsidRDefault="008A4986" w:rsidP="008A4986">
      <w:pPr>
        <w:pStyle w:val="NoSpacing"/>
        <w:ind w:left="720"/>
      </w:pPr>
      <w:r w:rsidRPr="002F6AE6">
        <w:t xml:space="preserve">Cacchioli then received instructions to approach the North Tower. As he entered the lobby with his team, he encountered a </w:t>
      </w:r>
      <w:r>
        <w:t>‘</w:t>
      </w:r>
      <w:r w:rsidRPr="002F6AE6">
        <w:t xml:space="preserve">war </w:t>
      </w:r>
      <w:proofErr w:type="gramStart"/>
      <w:r w:rsidRPr="002F6AE6">
        <w:t>zone</w:t>
      </w:r>
      <w:r>
        <w:t>’</w:t>
      </w:r>
      <w:r w:rsidRPr="002F6AE6">
        <w:t>:</w:t>
      </w:r>
      <w:proofErr w:type="gramEnd"/>
      <w:r w:rsidRPr="002F6AE6">
        <w:t xml:space="preserve"> the elevators doors had been </w:t>
      </w:r>
      <w:r>
        <w:t>‘</w:t>
      </w:r>
      <w:r w:rsidRPr="002F6AE6">
        <w:t>completely blown out</w:t>
      </w:r>
      <w:r>
        <w:t>’</w:t>
      </w:r>
      <w:r w:rsidRPr="002F6AE6">
        <w:t xml:space="preserve"> and </w:t>
      </w:r>
      <w:r>
        <w:t>‘</w:t>
      </w:r>
      <w:r w:rsidRPr="002F6AE6">
        <w:t>people were running and screaming and being struck by falling debris.</w:t>
      </w:r>
      <w:r>
        <w:t xml:space="preserve">’ … </w:t>
      </w:r>
      <w:r w:rsidRPr="002F6AE6">
        <w:t xml:space="preserve">Cacchioli and other firefighters then took an operational elevator to the 24th floor. As the doors to that floor opened, Cacchioli briefly saw </w:t>
      </w:r>
      <w:r>
        <w:t>‘</w:t>
      </w:r>
      <w:r w:rsidRPr="002F6AE6">
        <w:t>a cloud of dust, debris, and smoke.</w:t>
      </w:r>
      <w:r>
        <w:t xml:space="preserve">’ … </w:t>
      </w:r>
      <w:r w:rsidRPr="002F6AE6">
        <w:t xml:space="preserve">He and another firefighter doubled back for more tools. But as they took the elevator down, Cacchioli </w:t>
      </w:r>
      <w:r>
        <w:t>‘</w:t>
      </w:r>
      <w:r w:rsidRPr="002F6AE6">
        <w:t>heard a huge explosion that sounded like a bomb</w:t>
      </w:r>
      <w:r>
        <w:t>’</w:t>
      </w:r>
      <w:r w:rsidRPr="002F6AE6">
        <w:t>; the elevator stalled and its lights went out</w:t>
      </w:r>
      <w:r>
        <w:t xml:space="preserve">…. </w:t>
      </w:r>
      <w:r w:rsidRPr="002F6AE6">
        <w:t xml:space="preserve">Cacchioli and his partner were able to pry open the doors and exit onto another floor. </w:t>
      </w:r>
    </w:p>
    <w:p w14:paraId="67D2BE4A" w14:textId="77777777" w:rsidR="008A4986" w:rsidRPr="002F6AE6" w:rsidRDefault="008A4986" w:rsidP="008A4986">
      <w:pPr>
        <w:pStyle w:val="NoSpacing"/>
        <w:ind w:left="720"/>
      </w:pPr>
    </w:p>
    <w:p w14:paraId="1ADB0AA8" w14:textId="77777777" w:rsidR="008A4986" w:rsidRPr="002F6AE6" w:rsidRDefault="008A4986" w:rsidP="008A4986">
      <w:pPr>
        <w:pStyle w:val="NoSpacing"/>
        <w:ind w:left="720"/>
      </w:pPr>
      <w:r w:rsidRPr="002F6AE6">
        <w:t>As explosions continued, Cacchioli rushed to exit this floor. He crawled, with a flashlight in hand, to eventually find an exit staircase</w:t>
      </w:r>
      <w:r>
        <w:t xml:space="preserve">…. </w:t>
      </w:r>
      <w:r w:rsidRPr="002F6AE6">
        <w:t xml:space="preserve">Once inside, he began directing </w:t>
      </w:r>
      <w:r>
        <w:t>‘</w:t>
      </w:r>
      <w:r w:rsidRPr="002F6AE6">
        <w:t xml:space="preserve">a group of about 30 to 40 </w:t>
      </w:r>
      <w:proofErr w:type="gramStart"/>
      <w:r w:rsidRPr="002F6AE6">
        <w:t>people</w:t>
      </w:r>
      <w:r>
        <w:t>’</w:t>
      </w:r>
      <w:proofErr w:type="gramEnd"/>
      <w:r w:rsidRPr="002F6AE6">
        <w:t xml:space="preserve"> downstairs. After several explosions, Cacchioli heard</w:t>
      </w:r>
      <w:r>
        <w:t xml:space="preserve"> ‘</w:t>
      </w:r>
      <w:r w:rsidRPr="002F6AE6">
        <w:t>bang, bang, bang' and surmised that it was floors collapsing on top of one another.</w:t>
      </w:r>
      <w:r>
        <w:t xml:space="preserve">’ … </w:t>
      </w:r>
      <w:r w:rsidRPr="002F6AE6">
        <w:t xml:space="preserve"> Even while carrying one man on his back down 12 flights of stairs, Cacchioli directed his group to the lobby of the North Tower</w:t>
      </w:r>
      <w:r>
        <w:t xml:space="preserve">….  </w:t>
      </w:r>
      <w:r w:rsidRPr="002F6AE6">
        <w:t xml:space="preserve">Part of his group exited to the left, and Cacchioli continued to the right with others. While </w:t>
      </w:r>
      <w:r>
        <w:t>‘</w:t>
      </w:r>
      <w:r w:rsidRPr="002F6AE6">
        <w:t>[t]he people that headed to the left didn't make it out,</w:t>
      </w:r>
      <w:r>
        <w:t>’</w:t>
      </w:r>
      <w:r w:rsidRPr="002F6AE6">
        <w:t xml:space="preserve"> Cacchioli and his group </w:t>
      </w:r>
      <w:r>
        <w:t>‘</w:t>
      </w:r>
      <w:r w:rsidRPr="002F6AE6">
        <w:t>came out alive on West Street.</w:t>
      </w:r>
      <w:r>
        <w:t xml:space="preserve">’ … </w:t>
      </w:r>
      <w:r w:rsidRPr="002F6AE6">
        <w:t xml:space="preserve"> </w:t>
      </w:r>
    </w:p>
    <w:p w14:paraId="6034867A" w14:textId="77777777" w:rsidR="008A4986" w:rsidRDefault="008A4986" w:rsidP="008A4986">
      <w:pPr>
        <w:pStyle w:val="NoSpacing"/>
      </w:pPr>
      <w:r w:rsidRPr="002F6AE6">
        <w:t>         </w:t>
      </w:r>
    </w:p>
    <w:p w14:paraId="5A17E00B" w14:textId="77777777" w:rsidR="008A4986" w:rsidRDefault="008A4986" w:rsidP="008A4986">
      <w:pPr>
        <w:pStyle w:val="NoSpacing"/>
        <w:ind w:left="720"/>
      </w:pPr>
      <w:r w:rsidRPr="002F6AE6">
        <w:t xml:space="preserve">Once outside, Cacchioli began hearing </w:t>
      </w:r>
      <w:r>
        <w:t>‘</w:t>
      </w:r>
      <w:r w:rsidRPr="002F6AE6">
        <w:t>more loud noises . . . like bombs going off,</w:t>
      </w:r>
      <w:r>
        <w:t>’</w:t>
      </w:r>
      <w:r w:rsidRPr="002F6AE6">
        <w:t xml:space="preserve"> and when he looked back, he saw the North Tower's antenna falling</w:t>
      </w:r>
      <w:r>
        <w:t xml:space="preserve">…. </w:t>
      </w:r>
      <w:r w:rsidRPr="002F6AE6">
        <w:t xml:space="preserve">He began running to </w:t>
      </w:r>
      <w:r>
        <w:t>‘</w:t>
      </w:r>
      <w:r w:rsidRPr="002F6AE6">
        <w:t>stay ahead of the huge black smoke ball</w:t>
      </w:r>
      <w:r>
        <w:t>’</w:t>
      </w:r>
      <w:r w:rsidRPr="002F6AE6">
        <w:t xml:space="preserve"> coming after him</w:t>
      </w:r>
      <w:r>
        <w:t xml:space="preserve">…. </w:t>
      </w:r>
      <w:r w:rsidRPr="002F6AE6">
        <w:t xml:space="preserve">As he ran, he removed his air mask </w:t>
      </w:r>
      <w:r>
        <w:t>‘</w:t>
      </w:r>
      <w:r w:rsidRPr="002F6AE6">
        <w:t>to make himself lighter</w:t>
      </w:r>
      <w:r>
        <w:t>’</w:t>
      </w:r>
      <w:r w:rsidRPr="002F6AE6">
        <w:t xml:space="preserve"> and run faster</w:t>
      </w:r>
      <w:r>
        <w:t xml:space="preserve">…. </w:t>
      </w:r>
      <w:r w:rsidRPr="002F6AE6">
        <w:t xml:space="preserve">He threw himself to the ground at one point because </w:t>
      </w:r>
      <w:r>
        <w:t>‘</w:t>
      </w:r>
      <w:r w:rsidRPr="002F6AE6">
        <w:t>the heavy sawdust-like air mixing with glass . . . was choking [him] and taking away [his] vision</w:t>
      </w:r>
      <w:r>
        <w:t xml:space="preserve">…. </w:t>
      </w:r>
      <w:r w:rsidRPr="002F6AE6">
        <w:t>At another point, he fell by a fire truck, where he found and put on a compressed air breathing mask</w:t>
      </w:r>
      <w:r>
        <w:t xml:space="preserve">…. </w:t>
      </w:r>
      <w:r w:rsidRPr="002F6AE6">
        <w:t>He passed out and awoke to another firefighter pulling him to safety</w:t>
      </w:r>
      <w:r>
        <w:t xml:space="preserve">…. </w:t>
      </w:r>
      <w:r w:rsidRPr="002F6AE6">
        <w:t xml:space="preserve">Cacchioli continued searching for his friends </w:t>
      </w:r>
      <w:r>
        <w:t>‘</w:t>
      </w:r>
      <w:r w:rsidRPr="002F6AE6">
        <w:t>until [he] couldn't walk anymore.</w:t>
      </w:r>
      <w:r>
        <w:t>’</w:t>
      </w:r>
    </w:p>
    <w:p w14:paraId="60FAEB26" w14:textId="77777777" w:rsidR="008A4986" w:rsidRPr="002F6AE6" w:rsidRDefault="008A4986" w:rsidP="008A4986">
      <w:pPr>
        <w:pStyle w:val="NoSpacing"/>
        <w:ind w:left="720"/>
      </w:pPr>
    </w:p>
    <w:p w14:paraId="151BF2E4" w14:textId="77777777" w:rsidR="008A4986" w:rsidRDefault="008A4986" w:rsidP="008A4986">
      <w:pPr>
        <w:pStyle w:val="NoSpacing"/>
        <w:ind w:left="720"/>
      </w:pPr>
      <w:r w:rsidRPr="002F6AE6">
        <w:t>Following the Attacks, Cacchioli sought and continues to receive monthly medical attention for his injuries. He reports suffering from multiple physical injuries—including corneal and retinal damage, pulmonary injuries (e.g., chronic obstructive pulmonary disease), lung disease, asthma, a strained back, and damages to his teeth and jaw—and provides medical records detailing each injury and his treatment</w:t>
      </w:r>
      <w:r>
        <w:t xml:space="preserve">…. </w:t>
      </w:r>
      <w:r w:rsidRPr="002F6AE6">
        <w:t>Cacchioli was also diagnosed with post-traumatic stress disorder (</w:t>
      </w:r>
      <w:r>
        <w:t>‘</w:t>
      </w:r>
      <w:r w:rsidRPr="002F6AE6">
        <w:t>PTSD</w:t>
      </w:r>
      <w:r>
        <w:t>’</w:t>
      </w:r>
      <w:r w:rsidRPr="002F6AE6">
        <w:t>) due to his experiences during the Attacks</w:t>
      </w:r>
      <w:r>
        <w:t xml:space="preserve">…. </w:t>
      </w:r>
      <w:r w:rsidRPr="002F6AE6">
        <w:t xml:space="preserve">The VCF </w:t>
      </w:r>
      <w:r>
        <w:t xml:space="preserve">[911 Victim Compensation Fund] </w:t>
      </w:r>
      <w:r w:rsidRPr="002F6AE6">
        <w:t xml:space="preserve">found Cacchioli eligible for compensation for only his corneal and retinal damage and a </w:t>
      </w:r>
      <w:r>
        <w:t>‘</w:t>
      </w:r>
      <w:r w:rsidRPr="002F6AE6">
        <w:t>pulmonary injury.</w:t>
      </w:r>
      <w:r>
        <w:t xml:space="preserve">’ … </w:t>
      </w:r>
      <w:r w:rsidRPr="002F6AE6">
        <w:t xml:space="preserve">These are </w:t>
      </w:r>
      <w:r>
        <w:t>‘</w:t>
      </w:r>
      <w:r w:rsidRPr="002F6AE6">
        <w:t>significant</w:t>
      </w:r>
      <w:r>
        <w:t xml:space="preserve">’ </w:t>
      </w:r>
      <w:r w:rsidRPr="002F6AE6">
        <w:t xml:space="preserve"> injuries, however, because they are analogous to </w:t>
      </w:r>
      <w:r>
        <w:t>‘</w:t>
      </w:r>
      <w:r w:rsidRPr="002F6AE6">
        <w:t>nasal irritations, chest pain, and asthma from inhalation of smoke, soot and dust</w:t>
      </w:r>
      <w:r>
        <w:t>’</w:t>
      </w:r>
      <w:r w:rsidRPr="002F6AE6">
        <w:t xml:space="preserve"> and </w:t>
      </w:r>
      <w:r>
        <w:t>‘</w:t>
      </w:r>
      <w:r w:rsidRPr="002F6AE6">
        <w:t>cuts/lacerations/bruises.</w:t>
      </w:r>
      <w:r>
        <w:t>’”</w:t>
      </w:r>
      <w:r w:rsidRPr="002F6AE6">
        <w:t xml:space="preserve"> </w:t>
      </w:r>
    </w:p>
    <w:p w14:paraId="6C41BF63" w14:textId="77777777" w:rsidR="008A4986" w:rsidRDefault="008A4986" w:rsidP="008A4986">
      <w:pPr>
        <w:pStyle w:val="NoSpacing"/>
        <w:ind w:left="720"/>
      </w:pPr>
    </w:p>
    <w:p w14:paraId="31581966" w14:textId="77777777" w:rsidR="008A4986" w:rsidRPr="00514138" w:rsidRDefault="008A4986" w:rsidP="008A4986">
      <w:pPr>
        <w:pStyle w:val="NoSpacing"/>
        <w:rPr>
          <w:b/>
          <w:bCs/>
        </w:rPr>
      </w:pPr>
      <w:r>
        <w:rPr>
          <w:b/>
        </w:rPr>
        <w:t xml:space="preserve">Legal lesson learned: The Taliban have never been in this Court and any judgment awarded with require seizure of Taliban assets. </w:t>
      </w:r>
    </w:p>
    <w:p w14:paraId="1BD32F34" w14:textId="77777777" w:rsidR="008A4986" w:rsidRDefault="008A4986" w:rsidP="008A4986">
      <w:pPr>
        <w:pStyle w:val="NoSpacing"/>
        <w:ind w:left="720"/>
      </w:pPr>
    </w:p>
    <w:p w14:paraId="5496D91C" w14:textId="77777777" w:rsidR="008A4986" w:rsidRDefault="008A4986" w:rsidP="006B4271">
      <w:pPr>
        <w:pStyle w:val="NoSpacing"/>
        <w:rPr>
          <w:rFonts w:ascii="Arial Black" w:hAnsi="Arial Black"/>
          <w:sz w:val="28"/>
          <w:szCs w:val="28"/>
        </w:rPr>
      </w:pPr>
    </w:p>
    <w:p w14:paraId="298C0C2A" w14:textId="77777777" w:rsidR="008A4986" w:rsidRDefault="008A4986" w:rsidP="006B4271">
      <w:pPr>
        <w:pStyle w:val="NoSpacing"/>
        <w:rPr>
          <w:rFonts w:ascii="Arial Black" w:hAnsi="Arial Black"/>
          <w:sz w:val="28"/>
          <w:szCs w:val="28"/>
        </w:rPr>
      </w:pPr>
    </w:p>
    <w:p w14:paraId="49989F29" w14:textId="3A13ED86" w:rsidR="00835773" w:rsidRDefault="0093712E" w:rsidP="006B4271">
      <w:pPr>
        <w:pStyle w:val="NoSpacing"/>
        <w:rPr>
          <w:rFonts w:ascii="Arial Black" w:hAnsi="Arial Black"/>
          <w:sz w:val="28"/>
          <w:szCs w:val="28"/>
        </w:rPr>
      </w:pPr>
      <w:r>
        <w:rPr>
          <w:rFonts w:ascii="Arial Black" w:hAnsi="Arial Black"/>
          <w:sz w:val="28"/>
          <w:szCs w:val="28"/>
        </w:rPr>
        <w:t>3-95</w:t>
      </w:r>
    </w:p>
    <w:p w14:paraId="69B94B4F" w14:textId="77777777" w:rsidR="0093712E" w:rsidRDefault="0093712E" w:rsidP="006B4271">
      <w:pPr>
        <w:pStyle w:val="NoSpacing"/>
        <w:rPr>
          <w:rFonts w:ascii="Arial Black" w:hAnsi="Arial Black"/>
          <w:sz w:val="28"/>
          <w:szCs w:val="28"/>
        </w:rPr>
      </w:pPr>
    </w:p>
    <w:p w14:paraId="28CAE2B9" w14:textId="77777777" w:rsidR="00835773" w:rsidRDefault="00835773" w:rsidP="00835773">
      <w:pPr>
        <w:pStyle w:val="NoSpacing"/>
        <w:rPr>
          <w:rFonts w:ascii="Arial Black" w:hAnsi="Arial Black"/>
          <w:b/>
          <w:sz w:val="28"/>
          <w:szCs w:val="28"/>
        </w:rPr>
      </w:pPr>
      <w:r>
        <w:rPr>
          <w:rFonts w:ascii="Arial Black" w:hAnsi="Arial Black"/>
          <w:b/>
          <w:sz w:val="28"/>
          <w:szCs w:val="28"/>
        </w:rPr>
        <w:t>MA: GRANTS – “DOGE” CUTS - 20 STATES / INJUNCTION</w:t>
      </w:r>
    </w:p>
    <w:p w14:paraId="0A68A51B" w14:textId="77777777" w:rsidR="00835773" w:rsidRDefault="00835773" w:rsidP="00835773">
      <w:pPr>
        <w:pStyle w:val="NoSpacing"/>
        <w:rPr>
          <w:rFonts w:ascii="Arial Black" w:hAnsi="Arial Black"/>
          <w:b/>
          <w:sz w:val="28"/>
          <w:szCs w:val="28"/>
        </w:rPr>
      </w:pPr>
    </w:p>
    <w:p w14:paraId="6B92C4BD" w14:textId="77777777" w:rsidR="00835773" w:rsidRDefault="00835773" w:rsidP="00835773">
      <w:pPr>
        <w:pStyle w:val="NoSpacing"/>
      </w:pPr>
      <w:r w:rsidRPr="003F55F4">
        <w:t xml:space="preserve">On July 21, 2026, in </w:t>
      </w:r>
      <w:r w:rsidRPr="003F55F4">
        <w:rPr>
          <w:u w:val="single"/>
        </w:rPr>
        <w:t>State of New Jersey, et al. v. United States Office of Management &amp; Budget</w:t>
      </w:r>
      <w:r w:rsidRPr="003F55F4">
        <w:t xml:space="preserve">, </w:t>
      </w:r>
      <w:r>
        <w:t xml:space="preserve">U.S. District Court Judge Indira Talwan, United States District Court for the District of Massachusetts, granted the States’ motion for summary judgment; this impacts billions of federal dollars. The court declared that federal regulations do not allow </w:t>
      </w:r>
      <w:proofErr w:type="gramStart"/>
      <w:r>
        <w:t>terminations</w:t>
      </w:r>
      <w:proofErr w:type="gramEnd"/>
      <w:r>
        <w:t xml:space="preserve"> of awards based on new program goals or agency priorities that an agency identifies after granting the award. On January 20, 2025, President Trump issued an Executive Order creating the United States Department of Government Efficiency (‘DOGE’). Establishing and Implementing the President’s ‘‘Department of Government </w:t>
      </w:r>
      <w:proofErr w:type="gramStart"/>
      <w:r>
        <w:t>Efficiency,’</w:t>
      </w:r>
      <w:proofErr w:type="gramEnd"/>
      <w:r>
        <w:t>’ Exec. Order No. 14158, 90 Fed. Reg.</w:t>
      </w:r>
      <w:r w:rsidRPr="000D4AC5">
        <w:t xml:space="preserve"> 8441 (Jan. 20, 2025).</w:t>
      </w:r>
    </w:p>
    <w:p w14:paraId="78926EE2" w14:textId="77777777" w:rsidR="00835773" w:rsidRDefault="00835773" w:rsidP="00835773">
      <w:pPr>
        <w:pStyle w:val="NoSpacing"/>
      </w:pPr>
      <w:hyperlink r:id="rId645" w:history="1">
        <w:r w:rsidRPr="00BB72FB">
          <w:rPr>
            <w:rStyle w:val="Hyperlink"/>
          </w:rPr>
          <w:t>https://www.doj.state.or.us/wp-content/uploads/2026/07/ECF-122-Memorandum-and-Order-on-Ps-MSJ-and-Ds-MTD.pdf</w:t>
        </w:r>
      </w:hyperlink>
      <w:r>
        <w:t xml:space="preserve"> </w:t>
      </w:r>
    </w:p>
    <w:p w14:paraId="24B4C76B" w14:textId="77777777" w:rsidR="00835773" w:rsidRDefault="00835773" w:rsidP="00835773">
      <w:pPr>
        <w:pStyle w:val="NoSpacing"/>
      </w:pPr>
    </w:p>
    <w:p w14:paraId="46531C54" w14:textId="77777777" w:rsidR="00835773" w:rsidRDefault="00835773" w:rsidP="00835773">
      <w:pPr>
        <w:pStyle w:val="NoSpacing"/>
      </w:pPr>
      <w:r>
        <w:t>THE COURT WROTE:</w:t>
      </w:r>
    </w:p>
    <w:p w14:paraId="7D728ECA" w14:textId="77777777" w:rsidR="00835773" w:rsidRPr="003F55F4" w:rsidRDefault="00835773" w:rsidP="00835773">
      <w:pPr>
        <w:pStyle w:val="NoSpacing"/>
        <w:rPr>
          <w:bCs/>
        </w:rPr>
      </w:pPr>
    </w:p>
    <w:p w14:paraId="2EDCD824" w14:textId="77777777" w:rsidR="00835773" w:rsidRPr="00F84E4F" w:rsidRDefault="00835773" w:rsidP="00835773">
      <w:pPr>
        <w:pStyle w:val="NoSpacing"/>
      </w:pPr>
      <w:r>
        <w:t>“</w:t>
      </w:r>
      <w:r w:rsidRPr="00F84E4F">
        <w:t>Plaintiffs allege that, since January 2025, federal agencies have terminated billions of</w:t>
      </w:r>
    </w:p>
    <w:p w14:paraId="695CA130" w14:textId="77777777" w:rsidR="00835773" w:rsidRPr="00F84E4F" w:rsidRDefault="00835773" w:rsidP="00835773">
      <w:pPr>
        <w:pStyle w:val="NoSpacing"/>
      </w:pPr>
      <w:r w:rsidRPr="00F84E4F">
        <w:t>dollars in federal grant funding awarded to Plaintiffs. These terminations have affected grants for</w:t>
      </w:r>
    </w:p>
    <w:p w14:paraId="21A08C8D" w14:textId="77777777" w:rsidR="00835773" w:rsidRPr="00F84E4F" w:rsidRDefault="00835773" w:rsidP="00835773">
      <w:pPr>
        <w:pStyle w:val="NoSpacing"/>
      </w:pPr>
      <w:r w:rsidRPr="00F84E4F">
        <w:t>universities, initiatives to combat violent crime and hate crimes, and school lunch programs,</w:t>
      </w:r>
    </w:p>
    <w:p w14:paraId="273CB618" w14:textId="77777777" w:rsidR="00835773" w:rsidRDefault="00835773" w:rsidP="00835773">
      <w:pPr>
        <w:pStyle w:val="NoSpacing"/>
      </w:pPr>
      <w:r w:rsidRPr="00F84E4F">
        <w:t>among other programs</w:t>
      </w:r>
      <w:r>
        <w:t>… Defendants argue that Plaintiffs’ claims must wait until ‘a termination actually happens” to challenge grant terminations…. The ripeness doctrine imposes no</w:t>
      </w:r>
    </w:p>
    <w:p w14:paraId="5F228B63" w14:textId="77777777" w:rsidR="00835773" w:rsidRDefault="00835773" w:rsidP="00835773">
      <w:pPr>
        <w:pStyle w:val="NoSpacing"/>
      </w:pPr>
      <w:r>
        <w:t xml:space="preserve">such requirement. It is sufficient that the potential harm be imminent…. The Implementation of the President’s Vision As discussed above, Defendants’ interpretation of the Termination Clause is not clearly supported by the text of the provision, runs counter to the regulatory scheme, receives no support in the rulemaking history, and would violate the Spending Clause’s requirement that conditions be imposed unambiguously. Defendants insist, however, the Plaintiffs’ interpretation of the Termination Clause would be contrary to the function of the OMB: supporting each President in implementing ‘his or her vision across the Executive Branch.’ … (internal quotation omitted). </w:t>
      </w:r>
    </w:p>
    <w:p w14:paraId="4B4A388B" w14:textId="77777777" w:rsidR="00835773" w:rsidRDefault="00835773" w:rsidP="00835773">
      <w:pPr>
        <w:pStyle w:val="NoSpacing"/>
      </w:pPr>
    </w:p>
    <w:p w14:paraId="796815B1" w14:textId="77777777" w:rsidR="00835773" w:rsidRDefault="00835773" w:rsidP="00835773">
      <w:pPr>
        <w:pStyle w:val="NoSpacing"/>
      </w:pPr>
      <w:r>
        <w:t>***</w:t>
      </w:r>
    </w:p>
    <w:p w14:paraId="29152867" w14:textId="77777777" w:rsidR="00835773" w:rsidRDefault="00835773" w:rsidP="00835773">
      <w:pPr>
        <w:pStyle w:val="NoSpacing"/>
      </w:pPr>
    </w:p>
    <w:p w14:paraId="2BBBD00F" w14:textId="77777777" w:rsidR="00835773" w:rsidRDefault="00835773" w:rsidP="00835773">
      <w:pPr>
        <w:pStyle w:val="NoSpacing"/>
      </w:pPr>
      <w:r>
        <w:t xml:space="preserve">Nothing in this interpretation of the Termination Clause limits the President or Agencies from setting program goals and agency priorities before awarding new grants. The regulation, as declared by this court, demands only that grantees be apprised of those goals and priorities before grants are awarded…. </w:t>
      </w:r>
      <w:r w:rsidRPr="00711FAB">
        <w:t>Accordingly, the court finds that the Termination Clause does not permit the termination</w:t>
      </w:r>
      <w:r>
        <w:t xml:space="preserve"> </w:t>
      </w:r>
      <w:r w:rsidRPr="00711FAB">
        <w:t>of grants based on their inability to effectuate program goals and agency priorities identified after</w:t>
      </w:r>
      <w:r>
        <w:t xml:space="preserve"> </w:t>
      </w:r>
      <w:r w:rsidRPr="00711FAB">
        <w:t>the award was made</w:t>
      </w:r>
      <w:r>
        <w:t>.”</w:t>
      </w:r>
    </w:p>
    <w:p w14:paraId="5F29A4B7" w14:textId="77777777" w:rsidR="00835773" w:rsidRDefault="00835773" w:rsidP="00835773">
      <w:pPr>
        <w:pStyle w:val="NoSpacing"/>
      </w:pPr>
    </w:p>
    <w:p w14:paraId="5BA0F571" w14:textId="77777777" w:rsidR="00835773" w:rsidRPr="00A738B5" w:rsidRDefault="00835773" w:rsidP="00835773">
      <w:pPr>
        <w:pStyle w:val="NoSpacing"/>
        <w:rPr>
          <w:b/>
          <w:bCs/>
        </w:rPr>
      </w:pPr>
      <w:r w:rsidRPr="00A738B5">
        <w:rPr>
          <w:b/>
        </w:rPr>
        <w:t xml:space="preserve">Legal lesson learned: </w:t>
      </w:r>
      <w:r>
        <w:rPr>
          <w:b/>
        </w:rPr>
        <w:t xml:space="preserve">Important decision impacting billions of dollars in federal grants </w:t>
      </w:r>
    </w:p>
    <w:p w14:paraId="48F4DEA5" w14:textId="77777777" w:rsidR="00835773" w:rsidRDefault="00835773" w:rsidP="00835773">
      <w:pPr>
        <w:pStyle w:val="NoSpacing"/>
      </w:pPr>
    </w:p>
    <w:p w14:paraId="750E3DAC" w14:textId="77777777" w:rsidR="00835773" w:rsidRDefault="00835773" w:rsidP="00835773">
      <w:pPr>
        <w:pStyle w:val="NoSpacing"/>
        <w:rPr>
          <w:bCs/>
        </w:rPr>
      </w:pPr>
      <w:r>
        <w:rPr>
          <w:b/>
        </w:rPr>
        <w:tab/>
      </w:r>
      <w:r w:rsidRPr="00883AAF">
        <w:t xml:space="preserve">Note: See articles about this decision. </w:t>
      </w:r>
    </w:p>
    <w:p w14:paraId="3E60F89B" w14:textId="77777777" w:rsidR="00835773" w:rsidRDefault="00835773" w:rsidP="00835773">
      <w:pPr>
        <w:pStyle w:val="NoSpacing"/>
        <w:rPr>
          <w:bCs/>
        </w:rPr>
      </w:pPr>
    </w:p>
    <w:p w14:paraId="292E155F" w14:textId="77777777" w:rsidR="00835773" w:rsidRPr="00112671" w:rsidRDefault="00835773" w:rsidP="00835773">
      <w:pPr>
        <w:pStyle w:val="NoSpacing"/>
        <w:ind w:left="720"/>
        <w:rPr>
          <w:b/>
        </w:rPr>
      </w:pPr>
      <w:r>
        <w:t xml:space="preserve">July 19, 2026: </w:t>
      </w:r>
      <w:r w:rsidRPr="00081BF7">
        <w:t xml:space="preserve">Boston judge rejects US administration’s use of agency priorities clause in funding cuts. </w:t>
      </w:r>
      <w:hyperlink r:id="rId646" w:history="1">
        <w:r w:rsidRPr="00081BF7">
          <w:rPr>
            <w:rStyle w:val="Hyperlink"/>
          </w:rPr>
          <w:t>https://www.canadianlawyermag.com/news/international/boston-judge-rejects-us-administrations-use-of-agency-priorities-clause-in-funding-cuts/394386</w:t>
        </w:r>
      </w:hyperlink>
      <w:r>
        <w:rPr>
          <w:b/>
        </w:rPr>
        <w:t xml:space="preserve"> </w:t>
      </w:r>
    </w:p>
    <w:p w14:paraId="67F6A6CA" w14:textId="77777777" w:rsidR="00835773" w:rsidRDefault="00835773" w:rsidP="00835773">
      <w:pPr>
        <w:pStyle w:val="NoSpacing"/>
        <w:ind w:left="720"/>
        <w:rPr>
          <w:bCs/>
        </w:rPr>
      </w:pPr>
    </w:p>
    <w:p w14:paraId="7C6985F2" w14:textId="77777777" w:rsidR="00835773" w:rsidRDefault="00835773" w:rsidP="00835773">
      <w:pPr>
        <w:pStyle w:val="NoSpacing"/>
        <w:ind w:left="720"/>
        <w:rPr>
          <w:bCs/>
        </w:rPr>
      </w:pPr>
    </w:p>
    <w:p w14:paraId="77448AB3" w14:textId="77777777" w:rsidR="00835773" w:rsidRDefault="00835773" w:rsidP="00835773">
      <w:pPr>
        <w:pStyle w:val="NoSpacing"/>
        <w:ind w:left="720"/>
        <w:rPr>
          <w:bCs/>
        </w:rPr>
      </w:pPr>
      <w:r>
        <w:t xml:space="preserve">July 18, 2026; </w:t>
      </w:r>
      <w:r w:rsidRPr="00DA6096">
        <w:t xml:space="preserve">Federal judge bars Trump administration from using obscure clause to make huge funding cuts. </w:t>
      </w:r>
      <w:hyperlink r:id="rId647" w:history="1">
        <w:r w:rsidRPr="00DA6096">
          <w:rPr>
            <w:rStyle w:val="Hyperlink"/>
          </w:rPr>
          <w:t>https://www.kltv.com/2026/07/19/federal-judge-bars-trump-administration-using-obscure-clause-make-huge-funding-cuts/</w:t>
        </w:r>
      </w:hyperlink>
      <w:r w:rsidRPr="00DA6096">
        <w:t xml:space="preserve"> </w:t>
      </w:r>
    </w:p>
    <w:p w14:paraId="1B89E38D" w14:textId="77777777" w:rsidR="00835773" w:rsidRDefault="00835773" w:rsidP="00835773">
      <w:pPr>
        <w:pStyle w:val="NoSpacing"/>
        <w:ind w:left="720"/>
        <w:rPr>
          <w:bCs/>
        </w:rPr>
      </w:pPr>
    </w:p>
    <w:p w14:paraId="13EB48B4" w14:textId="77777777" w:rsidR="00835773" w:rsidRDefault="00835773" w:rsidP="00835773">
      <w:pPr>
        <w:pStyle w:val="NoSpacing"/>
        <w:ind w:left="720"/>
        <w:rPr>
          <w:b/>
        </w:rPr>
      </w:pPr>
      <w:r>
        <w:t xml:space="preserve">July 17, 2026: </w:t>
      </w:r>
      <w:r w:rsidRPr="0056229D">
        <w:t xml:space="preserve">Boston federal judge bars Trump administration from using obscure clause to make huge funding cuts. </w:t>
      </w:r>
      <w:hyperlink r:id="rId648" w:history="1">
        <w:r w:rsidRPr="0056229D">
          <w:rPr>
            <w:rStyle w:val="Hyperlink"/>
          </w:rPr>
          <w:t>https://www.boston.com/news/national-news/2026/07/17/boston-federal-judge-bars-trump-administration-from-using-obscure-clause-to-make-huge-funding-cuts/</w:t>
        </w:r>
      </w:hyperlink>
      <w:r>
        <w:rPr>
          <w:b/>
        </w:rPr>
        <w:t xml:space="preserve"> </w:t>
      </w:r>
    </w:p>
    <w:p w14:paraId="4450E8DF" w14:textId="77777777" w:rsidR="00835773" w:rsidRDefault="00835773" w:rsidP="00835773">
      <w:pPr>
        <w:pStyle w:val="NoSpacing"/>
        <w:ind w:left="720"/>
        <w:rPr>
          <w:b/>
        </w:rPr>
      </w:pPr>
    </w:p>
    <w:p w14:paraId="6F0297CA" w14:textId="77777777" w:rsidR="00835773" w:rsidRDefault="00835773" w:rsidP="00835773">
      <w:pPr>
        <w:pStyle w:val="NoSpacing"/>
        <w:ind w:left="720"/>
        <w:rPr>
          <w:bCs/>
        </w:rPr>
      </w:pPr>
      <w:r w:rsidRPr="0027475F">
        <w:t xml:space="preserve">July 16, 2026: Hundreds of NIH grant terminations are ‘void and illegal,’ federal judge rules.  </w:t>
      </w:r>
      <w:hyperlink r:id="rId649" w:history="1">
        <w:r w:rsidRPr="0027475F">
          <w:rPr>
            <w:rStyle w:val="Hyperlink"/>
          </w:rPr>
          <w:t>https://www.statnews.com/2025/06/16/nih-research-cuts-ruled-illegal-by-federal-judge-william-young/</w:t>
        </w:r>
      </w:hyperlink>
      <w:r w:rsidRPr="0027475F">
        <w:t xml:space="preserve"> </w:t>
      </w:r>
    </w:p>
    <w:p w14:paraId="518605FC" w14:textId="77777777" w:rsidR="00835773" w:rsidRDefault="00835773" w:rsidP="00835773">
      <w:pPr>
        <w:pStyle w:val="NoSpacing"/>
        <w:ind w:left="720"/>
        <w:rPr>
          <w:bCs/>
        </w:rPr>
      </w:pPr>
    </w:p>
    <w:p w14:paraId="1DA07A14" w14:textId="77777777" w:rsidR="00835773" w:rsidRPr="00401426" w:rsidRDefault="00835773" w:rsidP="00835773">
      <w:pPr>
        <w:pStyle w:val="NoSpacing"/>
        <w:jc w:val="center"/>
        <w:rPr>
          <w:rFonts w:ascii="Arial Black" w:hAnsi="Arial Black"/>
          <w:sz w:val="40"/>
          <w:szCs w:val="40"/>
        </w:rPr>
      </w:pPr>
    </w:p>
    <w:p w14:paraId="080FD68D" w14:textId="0BA21BA8" w:rsidR="00835773" w:rsidRPr="00835773" w:rsidRDefault="00835773" w:rsidP="00835773">
      <w:pPr>
        <w:pStyle w:val="NoSpacing"/>
        <w:rPr>
          <w:rFonts w:ascii="Arial Black" w:hAnsi="Arial Black"/>
          <w:b/>
          <w:sz w:val="24"/>
          <w:szCs w:val="24"/>
        </w:rPr>
      </w:pPr>
      <w:r w:rsidRPr="00835773">
        <w:rPr>
          <w:rFonts w:ascii="Arial Black" w:hAnsi="Arial Black"/>
          <w:b/>
          <w:sz w:val="24"/>
          <w:szCs w:val="24"/>
        </w:rPr>
        <w:t>3-94</w:t>
      </w:r>
    </w:p>
    <w:p w14:paraId="62A69B2A" w14:textId="77777777" w:rsidR="00835773" w:rsidRPr="00835773" w:rsidRDefault="00835773" w:rsidP="00835773">
      <w:pPr>
        <w:pStyle w:val="NoSpacing"/>
        <w:rPr>
          <w:rFonts w:ascii="Arial Black" w:hAnsi="Arial Black"/>
          <w:sz w:val="24"/>
          <w:szCs w:val="24"/>
        </w:rPr>
      </w:pPr>
    </w:p>
    <w:p w14:paraId="2C9B8016" w14:textId="77777777" w:rsidR="00835773" w:rsidRPr="0088501B" w:rsidRDefault="00835773" w:rsidP="00835773">
      <w:pPr>
        <w:pStyle w:val="NoSpacing"/>
        <w:rPr>
          <w:rFonts w:ascii="Arial Black" w:hAnsi="Arial Black"/>
          <w:sz w:val="28"/>
          <w:szCs w:val="28"/>
        </w:rPr>
      </w:pPr>
      <w:r w:rsidRPr="0088501B">
        <w:rPr>
          <w:rFonts w:ascii="Arial Black" w:hAnsi="Arial Black"/>
          <w:sz w:val="28"/>
          <w:szCs w:val="28"/>
        </w:rPr>
        <w:t xml:space="preserve">CA: PUBLIC SAFETY GRANTS – INJUNCTION TRUMP DEI </w:t>
      </w:r>
    </w:p>
    <w:p w14:paraId="648DA00F" w14:textId="77777777" w:rsidR="00835773" w:rsidRPr="0088501B" w:rsidRDefault="00835773" w:rsidP="00835773">
      <w:pPr>
        <w:pStyle w:val="NoSpacing"/>
        <w:rPr>
          <w:rFonts w:ascii="Arial Black" w:hAnsi="Arial Black"/>
          <w:sz w:val="28"/>
          <w:szCs w:val="28"/>
        </w:rPr>
      </w:pPr>
    </w:p>
    <w:p w14:paraId="28425803" w14:textId="77777777" w:rsidR="00835773" w:rsidRPr="0088501B" w:rsidRDefault="00835773" w:rsidP="00835773">
      <w:pPr>
        <w:pStyle w:val="NoSpacing"/>
      </w:pPr>
      <w:r w:rsidRPr="0088501B">
        <w:t xml:space="preserve">On July 9, 2026, in </w:t>
      </w:r>
      <w:r w:rsidRPr="0088501B">
        <w:rPr>
          <w:u w:val="single"/>
        </w:rPr>
        <w:t>City of Fresno, et al. v. Markwayne Mullin, et al</w:t>
      </w:r>
      <w:r w:rsidRPr="0088501B">
        <w:t>., U.S. District Court Judge William H. Orrick, United States District Court for the Northern District of California, granted the motions by eleven cities and counties to enjoin enforcement of DEI “Challenged Conditions” at DHS, DOJ, and DOI in grants for which plaintiffs have applied or intend to apply.  In 2025, Judge Orrick likewise issued a preliminary injunction for County of Santa Clara preventing the Trump Administration from withholding federal funding to Plaintiff cities and counties unless they assist the federal government with its civil immigration enforcement responsibilities.</w:t>
      </w:r>
    </w:p>
    <w:p w14:paraId="14372889" w14:textId="77777777" w:rsidR="00835773" w:rsidRPr="0088501B" w:rsidRDefault="00835773" w:rsidP="00835773">
      <w:pPr>
        <w:pStyle w:val="NoSpacing"/>
      </w:pPr>
      <w:hyperlink r:id="rId650" w:history="1">
        <w:r w:rsidRPr="0088501B">
          <w:rPr>
            <w:rStyle w:val="Hyperlink"/>
            <w:b/>
          </w:rPr>
          <w:t>https://www.courthousenews.com/wp-content/uploads/2026/07/fresno-prelim-grants.pdf</w:t>
        </w:r>
      </w:hyperlink>
      <w:r w:rsidRPr="0088501B">
        <w:t xml:space="preserve"> </w:t>
      </w:r>
    </w:p>
    <w:p w14:paraId="231AC126" w14:textId="77777777" w:rsidR="00835773" w:rsidRPr="0088501B" w:rsidRDefault="00835773" w:rsidP="00835773">
      <w:pPr>
        <w:pStyle w:val="NoSpacing"/>
      </w:pPr>
    </w:p>
    <w:p w14:paraId="54709D2E" w14:textId="77777777" w:rsidR="00835773" w:rsidRPr="0088501B" w:rsidRDefault="00835773" w:rsidP="00835773">
      <w:pPr>
        <w:pStyle w:val="NoSpacing"/>
      </w:pPr>
      <w:r w:rsidRPr="0088501B">
        <w:t>THE COURT WROTE: “The result of their imposition of the Challenged Conditions would irreparably injure plaintiffs and their ability to provide critical services, as well as would threaten public safety…. Since taking office in January 2025, President Trump has issued numerous executive orders that impose conditions on federal funding that plaintiffs believe ‘bear little or no</w:t>
      </w:r>
    </w:p>
    <w:p w14:paraId="7F4AC766" w14:textId="77777777" w:rsidR="00835773" w:rsidRPr="0088501B" w:rsidRDefault="00835773" w:rsidP="00835773">
      <w:pPr>
        <w:pStyle w:val="NoSpacing"/>
      </w:pPr>
      <w:r w:rsidRPr="0088501B">
        <w:t>connection to the purposes of the grant programs Congress established, lack statutory authorization, conflict with the law as interpreted by the courts, and are even at odds with the</w:t>
      </w:r>
    </w:p>
    <w:p w14:paraId="72D07E26" w14:textId="77777777" w:rsidR="00835773" w:rsidRPr="0088501B" w:rsidRDefault="00835773" w:rsidP="00835773">
      <w:pPr>
        <w:pStyle w:val="NoSpacing"/>
      </w:pPr>
      <w:r w:rsidRPr="0088501B">
        <w:t>purposes of the grants they purport to amend.’ … These orders particularly attack</w:t>
      </w:r>
    </w:p>
    <w:p w14:paraId="43847FCD" w14:textId="77777777" w:rsidR="00835773" w:rsidRPr="0088501B" w:rsidRDefault="00835773" w:rsidP="00835773">
      <w:pPr>
        <w:pStyle w:val="NoSpacing"/>
      </w:pPr>
      <w:r w:rsidRPr="0088501B">
        <w:t>‘</w:t>
      </w:r>
      <w:proofErr w:type="gramStart"/>
      <w:r w:rsidRPr="0088501B">
        <w:t>diversity</w:t>
      </w:r>
      <w:proofErr w:type="gramEnd"/>
      <w:r w:rsidRPr="0088501B">
        <w:t>, equity, and inclusion</w:t>
      </w:r>
      <w:proofErr w:type="gramStart"/>
      <w:r w:rsidRPr="0088501B">
        <w:t>’ (‘</w:t>
      </w:r>
      <w:proofErr w:type="gramEnd"/>
      <w:r w:rsidRPr="0088501B">
        <w:t>DEI’) and ‘diversity, equity, inclusion, and accessibility’</w:t>
      </w:r>
    </w:p>
    <w:p w14:paraId="4D27A906" w14:textId="77777777" w:rsidR="00835773" w:rsidRDefault="00835773" w:rsidP="00835773">
      <w:pPr>
        <w:pStyle w:val="NoSpacing"/>
      </w:pPr>
      <w:r w:rsidRPr="0088501B">
        <w:t>(‘DEIA’) programs and policies that many government entities have adopted, as well as states and governments who, in their view, fail to comply with federal immigration and anti-discrimination law</w:t>
      </w:r>
      <w:r>
        <w:t>s.</w:t>
      </w:r>
    </w:p>
    <w:p w14:paraId="058C24F3" w14:textId="77777777" w:rsidR="00835773" w:rsidRDefault="00835773" w:rsidP="00835773">
      <w:pPr>
        <w:pStyle w:val="NoSpacing"/>
      </w:pPr>
    </w:p>
    <w:p w14:paraId="6C72229D" w14:textId="77777777" w:rsidR="00835773" w:rsidRDefault="00835773" w:rsidP="00835773">
      <w:pPr>
        <w:pStyle w:val="NoSpacing"/>
      </w:pPr>
      <w:r>
        <w:t>***</w:t>
      </w:r>
    </w:p>
    <w:p w14:paraId="71A6E4E8" w14:textId="77777777" w:rsidR="00835773" w:rsidRDefault="00835773" w:rsidP="00835773">
      <w:pPr>
        <w:pStyle w:val="NoSpacing"/>
      </w:pPr>
    </w:p>
    <w:p w14:paraId="2AA88C7F" w14:textId="77777777" w:rsidR="00835773" w:rsidRPr="0088501B" w:rsidRDefault="00835773" w:rsidP="00835773">
      <w:pPr>
        <w:pStyle w:val="NoSpacing"/>
      </w:pPr>
      <w:r w:rsidRPr="0088501B">
        <w:t xml:space="preserve">At present, plaintiffs are forced to make a Hobson’s choice—accept funding with potentially unconstitutional or harmful conditions or forego funding altogether. I have previously found this scenario to constitute irreparable harm and do so again here. See </w:t>
      </w:r>
      <w:r w:rsidRPr="0088501B">
        <w:rPr>
          <w:i/>
          <w:iCs/>
        </w:rPr>
        <w:t>Santa Clara</w:t>
      </w:r>
      <w:r w:rsidRPr="0088501B">
        <w:t xml:space="preserve">, 815 F. Supp. 3d at 1041; City &amp; </w:t>
      </w:r>
      <w:proofErr w:type="spellStart"/>
      <w:r w:rsidRPr="0088501B">
        <w:t>Cnty</w:t>
      </w:r>
      <w:proofErr w:type="spellEnd"/>
      <w:r w:rsidRPr="0088501B">
        <w:t xml:space="preserve">. of S.F. v. Trump, 779 F. Supp. 3d 1077, 1082 (N.D. Cal. 2025) (finding ‘irreparable injury in the form of budgetary uncertainty, deprivation of constitutional rights, and undermining trust between the Cities and Counties and the communities they serve’). I find that each plaintiff has established that it is likely to suffer both short- and long-term negative consequences and injury unless I grant a preliminary injunction in their favor for programs to which it has applied or intends to apply…. As in </w:t>
      </w:r>
      <w:r w:rsidRPr="0088501B">
        <w:rPr>
          <w:i/>
          <w:iCs/>
        </w:rPr>
        <w:t>Santa Clara</w:t>
      </w:r>
      <w:r w:rsidRPr="0088501B">
        <w:t xml:space="preserve">, plaintiffs’ interest in ensuring that their communities receive funding for critical infrastructure, public safety, harm reduction, victim assistance, and emergency response programs far </w:t>
      </w:r>
      <w:proofErr w:type="gramStart"/>
      <w:r w:rsidRPr="0088501B">
        <w:t>exceeds</w:t>
      </w:r>
      <w:proofErr w:type="gramEnd"/>
      <w:r w:rsidRPr="0088501B">
        <w:t xml:space="preserve"> defendants’ interests. Plaintiffs represent the interests of millions of individuals, and many plaintiffs are unable </w:t>
      </w:r>
      <w:proofErr w:type="gramStart"/>
      <w:r w:rsidRPr="0088501B">
        <w:t>to otherwise</w:t>
      </w:r>
      <w:proofErr w:type="gramEnd"/>
      <w:r w:rsidRPr="0088501B">
        <w:t xml:space="preserve"> fund critical programs without these grants. They have a compelling interest in </w:t>
      </w:r>
      <w:proofErr w:type="gramStart"/>
      <w:r w:rsidRPr="0088501B">
        <w:t>a preliminary injunction</w:t>
      </w:r>
      <w:proofErr w:type="gramEnd"/>
      <w:r w:rsidRPr="0088501B">
        <w:t xml:space="preserve">. So does the </w:t>
      </w:r>
      <w:proofErr w:type="gramStart"/>
      <w:r w:rsidRPr="0088501B">
        <w:t>general public</w:t>
      </w:r>
      <w:proofErr w:type="gramEnd"/>
      <w:r w:rsidRPr="0088501B">
        <w:t xml:space="preserve">, which is interested in seeing its communities receive funding for critical infrastructure and public safety initiatives—funding that is paid for by their federal tax dollars. It is also </w:t>
      </w:r>
      <w:proofErr w:type="gramStart"/>
      <w:r w:rsidRPr="0088501B">
        <w:t>interested</w:t>
      </w:r>
      <w:proofErr w:type="gramEnd"/>
      <w:r w:rsidRPr="0088501B">
        <w:t xml:space="preserve"> in seeing that regulations passed by Congress are properly implemented; should relief not be granted, many grant programs will be contradicted or impermissibly overridden by the President's Executive Orders. These interests also strongly weigh in favor of granting a preliminary injunction.”</w:t>
      </w:r>
    </w:p>
    <w:p w14:paraId="1F22B37D" w14:textId="77777777" w:rsidR="00835773" w:rsidRPr="005B19A3" w:rsidRDefault="00835773" w:rsidP="00835773">
      <w:pPr>
        <w:pStyle w:val="NoSpacing"/>
        <w:rPr>
          <w:b/>
          <w:bCs/>
        </w:rPr>
      </w:pPr>
    </w:p>
    <w:p w14:paraId="114C839A" w14:textId="77777777" w:rsidR="00835773" w:rsidRPr="005B19A3" w:rsidRDefault="00835773" w:rsidP="00835773">
      <w:pPr>
        <w:pStyle w:val="NoSpacing"/>
        <w:rPr>
          <w:b/>
          <w:bCs/>
        </w:rPr>
      </w:pPr>
      <w:r w:rsidRPr="005B19A3">
        <w:rPr>
          <w:b/>
        </w:rPr>
        <w:t xml:space="preserve">Legal lesson learned: These California cities and counties, like others nationwide, have a critical interest in receiving public safety grants that do not include unclear provisions regarding DEI. </w:t>
      </w:r>
    </w:p>
    <w:p w14:paraId="3F615F78" w14:textId="77777777" w:rsidR="00835773" w:rsidRPr="0088501B" w:rsidRDefault="00835773" w:rsidP="00835773">
      <w:pPr>
        <w:pStyle w:val="NoSpacing"/>
      </w:pPr>
    </w:p>
    <w:p w14:paraId="15986519" w14:textId="77777777" w:rsidR="00835773" w:rsidRPr="005B19A3" w:rsidRDefault="00835773" w:rsidP="00835773">
      <w:pPr>
        <w:pStyle w:val="NoSpacing"/>
        <w:ind w:left="720"/>
      </w:pPr>
      <w:r>
        <w:t xml:space="preserve">Note: </w:t>
      </w:r>
      <w:r w:rsidRPr="0088501B">
        <w:t xml:space="preserve">See April 24, </w:t>
      </w:r>
      <w:proofErr w:type="gramStart"/>
      <w:r w:rsidRPr="0088501B">
        <w:t>2025</w:t>
      </w:r>
      <w:proofErr w:type="gramEnd"/>
      <w:r w:rsidRPr="0088501B">
        <w:t xml:space="preserve"> Press Release by Santa Clara County Attorney after Judge Orrick issued a preliminary injunction in the </w:t>
      </w:r>
      <w:r w:rsidRPr="0088501B">
        <w:rPr>
          <w:i/>
          <w:iCs/>
        </w:rPr>
        <w:t xml:space="preserve">Santa Clara, </w:t>
      </w:r>
      <w:r w:rsidRPr="0088501B">
        <w:t xml:space="preserve">preventing the Trump Administration from withholding federal funding to Plaintiff cities and counties unless they assist the federal government with its civil immigration enforcement responsibilities. </w:t>
      </w:r>
      <w:hyperlink r:id="rId651" w:history="1">
        <w:r w:rsidRPr="005B19A3">
          <w:rPr>
            <w:rStyle w:val="Hyperlink"/>
            <w:b/>
          </w:rPr>
          <w:t>https://www.sf.gov/news-federal-court-blocks-trump-administration-from-withholding-funds-to-sanctuary-jurisdictions</w:t>
        </w:r>
      </w:hyperlink>
      <w:r w:rsidRPr="005B19A3">
        <w:t xml:space="preserve"> </w:t>
      </w:r>
    </w:p>
    <w:p w14:paraId="126B3625" w14:textId="77777777" w:rsidR="00835773" w:rsidRDefault="00835773" w:rsidP="00835773">
      <w:pPr>
        <w:pStyle w:val="NoSpacing"/>
        <w:rPr>
          <w:b/>
          <w:sz w:val="20"/>
          <w:szCs w:val="20"/>
        </w:rPr>
      </w:pPr>
    </w:p>
    <w:p w14:paraId="599F1F1B" w14:textId="77777777" w:rsidR="00835773" w:rsidRDefault="00835773" w:rsidP="006B4271">
      <w:pPr>
        <w:pStyle w:val="NoSpacing"/>
        <w:rPr>
          <w:rFonts w:ascii="Arial Black" w:hAnsi="Arial Black"/>
          <w:sz w:val="28"/>
          <w:szCs w:val="28"/>
        </w:rPr>
      </w:pPr>
    </w:p>
    <w:p w14:paraId="6D919D86" w14:textId="77777777" w:rsidR="00835773" w:rsidRDefault="00835773" w:rsidP="006B4271">
      <w:pPr>
        <w:pStyle w:val="NoSpacing"/>
        <w:rPr>
          <w:rFonts w:ascii="Arial Black" w:hAnsi="Arial Black"/>
          <w:sz w:val="28"/>
          <w:szCs w:val="28"/>
        </w:rPr>
      </w:pPr>
    </w:p>
    <w:p w14:paraId="06B3A388" w14:textId="77777777" w:rsidR="00835773" w:rsidRDefault="00835773" w:rsidP="006B4271">
      <w:pPr>
        <w:pStyle w:val="NoSpacing"/>
        <w:rPr>
          <w:rFonts w:ascii="Arial Black" w:hAnsi="Arial Black"/>
          <w:sz w:val="28"/>
          <w:szCs w:val="28"/>
        </w:rPr>
      </w:pPr>
    </w:p>
    <w:p w14:paraId="6ED851BA" w14:textId="5FAAB332" w:rsidR="006B4271" w:rsidRDefault="006B4271" w:rsidP="006B4271">
      <w:pPr>
        <w:pStyle w:val="NoSpacing"/>
        <w:rPr>
          <w:rFonts w:ascii="Arial Black" w:hAnsi="Arial Black"/>
          <w:sz w:val="28"/>
          <w:szCs w:val="28"/>
        </w:rPr>
      </w:pPr>
      <w:r>
        <w:rPr>
          <w:rFonts w:ascii="Arial Black" w:hAnsi="Arial Black"/>
          <w:sz w:val="28"/>
          <w:szCs w:val="28"/>
        </w:rPr>
        <w:t>3-93</w:t>
      </w:r>
    </w:p>
    <w:p w14:paraId="3A44BDAD" w14:textId="77777777" w:rsidR="00811255" w:rsidRDefault="00811255" w:rsidP="00440B47">
      <w:pPr>
        <w:pStyle w:val="NoSpacing"/>
        <w:rPr>
          <w:rFonts w:ascii="Arial Black" w:hAnsi="Arial Black"/>
          <w:sz w:val="28"/>
          <w:szCs w:val="28"/>
        </w:rPr>
      </w:pPr>
    </w:p>
    <w:p w14:paraId="5B33BD33" w14:textId="77777777" w:rsidR="00811255" w:rsidRPr="00BB4213" w:rsidRDefault="00811255" w:rsidP="00811255">
      <w:pPr>
        <w:pStyle w:val="NoSpacing"/>
        <w:rPr>
          <w:rFonts w:ascii="Arial Black" w:hAnsi="Arial Black"/>
          <w:bCs/>
          <w:sz w:val="28"/>
          <w:szCs w:val="28"/>
        </w:rPr>
      </w:pPr>
      <w:r>
        <w:rPr>
          <w:rFonts w:ascii="Arial Black" w:hAnsi="Arial Black"/>
          <w:sz w:val="28"/>
          <w:szCs w:val="28"/>
        </w:rPr>
        <w:t>U.S. SUP. CT – HAITI / SYRIA – TEMP STATUS</w:t>
      </w:r>
      <w:r>
        <w:rPr>
          <w:rFonts w:ascii="Arial Black" w:hAnsi="Arial Black"/>
          <w:bCs/>
          <w:sz w:val="28"/>
          <w:szCs w:val="28"/>
        </w:rPr>
        <w:t xml:space="preserve"> REVOKED</w:t>
      </w:r>
      <w:r>
        <w:rPr>
          <w:rFonts w:ascii="Arial Black" w:hAnsi="Arial Black"/>
          <w:sz w:val="28"/>
          <w:szCs w:val="28"/>
        </w:rPr>
        <w:t xml:space="preserve"> </w:t>
      </w:r>
    </w:p>
    <w:p w14:paraId="6AEE43C3" w14:textId="77777777" w:rsidR="00811255" w:rsidRDefault="00811255" w:rsidP="00811255">
      <w:pPr>
        <w:pStyle w:val="NoSpacing"/>
        <w:rPr>
          <w:bCs/>
        </w:rPr>
      </w:pPr>
    </w:p>
    <w:p w14:paraId="51AA81CE" w14:textId="77777777" w:rsidR="00811255" w:rsidRDefault="00811255" w:rsidP="00811255">
      <w:pPr>
        <w:pStyle w:val="NoSpacing"/>
        <w:rPr>
          <w:bCs/>
        </w:rPr>
      </w:pPr>
      <w:r>
        <w:t xml:space="preserve">On June 25, 2026, in </w:t>
      </w:r>
      <w:r w:rsidRPr="00950991">
        <w:rPr>
          <w:u w:val="single"/>
        </w:rPr>
        <w:t>Mullin, Secretary, Department of Homeland Security, et al. v. Doe, et al</w:t>
      </w:r>
      <w:r>
        <w:t>., the United States Supreme Court held (6 to 3) that Congress has empowered the President and Secretary of State to end “Temporary Protected Status” (thereby revoking work permits) for Haiti (2010 TPS due to earthquake) and Syrians (2012 TPS due to violence) and others. Justice Samuel Alito, writing for the Majority, wrote that Trump’s anti-Haitian comments were not “</w:t>
      </w:r>
      <w:r w:rsidRPr="009F2B4E">
        <w:t xml:space="preserve">overtly racial” </w:t>
      </w:r>
      <w:r>
        <w:t xml:space="preserve">and plaintiffs failed to prove the TPS revocation was because of race.  The Court reversed injunctions issues by U.S. District Court judges in D.C. (Haiti case) and in Southern District of New York (Syria case). The Court wrote: “In support of their claim that the termination of Haiti’s TPS designation was based on race, respondents cite statements made by the President and former Secretary Noem…. None of the cited statements by either the President or the Secretary was overtly racial, and in substance all expressed policy views that could rest on race-neutral justifications.” </w:t>
      </w:r>
    </w:p>
    <w:p w14:paraId="1542A051" w14:textId="77777777" w:rsidR="00811255" w:rsidRDefault="00811255" w:rsidP="00811255">
      <w:pPr>
        <w:pStyle w:val="NoSpacing"/>
        <w:rPr>
          <w:bCs/>
        </w:rPr>
      </w:pPr>
      <w:r>
        <w:t xml:space="preserve"> </w:t>
      </w:r>
      <w:hyperlink r:id="rId652" w:history="1">
        <w:r w:rsidRPr="005431AD">
          <w:rPr>
            <w:rStyle w:val="Hyperlink"/>
          </w:rPr>
          <w:t>https://www.supremecourt.gov/opinions/25pdf/25-1083_f204.pdf</w:t>
        </w:r>
      </w:hyperlink>
      <w:r>
        <w:t xml:space="preserve"> </w:t>
      </w:r>
    </w:p>
    <w:p w14:paraId="380D0D28" w14:textId="77777777" w:rsidR="00811255" w:rsidRDefault="00811255" w:rsidP="00811255">
      <w:pPr>
        <w:pStyle w:val="NoSpacing"/>
        <w:rPr>
          <w:b/>
        </w:rPr>
      </w:pPr>
    </w:p>
    <w:p w14:paraId="67BE872E" w14:textId="77777777" w:rsidR="00811255" w:rsidRDefault="00811255" w:rsidP="00811255">
      <w:pPr>
        <w:pStyle w:val="NoSpacing"/>
        <w:rPr>
          <w:b/>
        </w:rPr>
      </w:pPr>
      <w:r>
        <w:rPr>
          <w:b/>
        </w:rPr>
        <w:t xml:space="preserve">FACTS: </w:t>
      </w:r>
    </w:p>
    <w:p w14:paraId="1354CCC6" w14:textId="77777777" w:rsidR="00811255" w:rsidRDefault="00811255" w:rsidP="00811255">
      <w:pPr>
        <w:pStyle w:val="NoSpacing"/>
        <w:rPr>
          <w:b/>
        </w:rPr>
      </w:pPr>
    </w:p>
    <w:p w14:paraId="37409256" w14:textId="77777777" w:rsidR="00811255" w:rsidRDefault="00811255" w:rsidP="00811255">
      <w:pPr>
        <w:pStyle w:val="NoSpacing"/>
      </w:pPr>
      <w:r>
        <w:t>“</w:t>
      </w:r>
      <w:r w:rsidRPr="00681B06">
        <w:t xml:space="preserve">Congress created TPS </w:t>
      </w:r>
      <w:r>
        <w:t>[</w:t>
      </w:r>
      <w:r w:rsidRPr="00F96230">
        <w:t>Temporary Protected Status</w:t>
      </w:r>
      <w:r>
        <w:t xml:space="preserve">] </w:t>
      </w:r>
      <w:r w:rsidRPr="00681B06">
        <w:t>in 1990 to provide short-term humanitarian relief for aliens who cannot safely return to</w:t>
      </w:r>
      <w:r>
        <w:t xml:space="preserve"> </w:t>
      </w:r>
      <w:r w:rsidRPr="00681B06">
        <w:t>their home countries due to events such as armed conflict</w:t>
      </w:r>
      <w:r>
        <w:t xml:space="preserve"> </w:t>
      </w:r>
      <w:r w:rsidRPr="00681B06">
        <w:t>or natural disaster</w:t>
      </w:r>
      <w:r>
        <w:t>…. The Secretary [of State] is instructed to review each TPS designation at least every 18 months. §§1254a(b)(2)–(3)…. Although designed to afford ‘temporary’ relief, TPS designations in practice have often lasted for decades. For example, the Secretary designated Somalia in 1991, and that designation remains in effect 35 years later.</w:t>
      </w:r>
    </w:p>
    <w:p w14:paraId="433AAEE1" w14:textId="77777777" w:rsidR="00811255" w:rsidRDefault="00811255" w:rsidP="00811255">
      <w:pPr>
        <w:pStyle w:val="NoSpacing"/>
      </w:pPr>
    </w:p>
    <w:p w14:paraId="3D53CC13" w14:textId="77777777" w:rsidR="00811255" w:rsidRDefault="00811255" w:rsidP="00811255">
      <w:pPr>
        <w:pStyle w:val="NoSpacing"/>
      </w:pPr>
      <w:r>
        <w:t>***</w:t>
      </w:r>
    </w:p>
    <w:p w14:paraId="52C8C2AD" w14:textId="77777777" w:rsidR="00811255" w:rsidRPr="00AD363E" w:rsidRDefault="00811255" w:rsidP="00811255">
      <w:pPr>
        <w:pStyle w:val="NoSpacing"/>
      </w:pPr>
      <w:r w:rsidRPr="00AD363E">
        <w:t>Haiti received a TPS designation in 2010 after a devastating earthquake killed or injured hundreds of thousands</w:t>
      </w:r>
      <w:r>
        <w:t xml:space="preserve"> </w:t>
      </w:r>
      <w:r w:rsidRPr="00AD363E">
        <w:t>of residents, caused massive property damage, and severely</w:t>
      </w:r>
    </w:p>
    <w:p w14:paraId="7AE15583" w14:textId="77777777" w:rsidR="00811255" w:rsidRPr="00AD363E" w:rsidRDefault="00811255" w:rsidP="00811255">
      <w:pPr>
        <w:pStyle w:val="NoSpacing"/>
      </w:pPr>
      <w:r w:rsidRPr="00AD363E">
        <w:t>worsened living conditions. 75 Fed. Reg. 3477 (2010). The</w:t>
      </w:r>
      <w:r>
        <w:t xml:space="preserve"> </w:t>
      </w:r>
      <w:r w:rsidRPr="00AD363E">
        <w:t>Government re-designated Haiti for TPS and extended that</w:t>
      </w:r>
      <w:r>
        <w:t xml:space="preserve"> </w:t>
      </w:r>
      <w:r w:rsidRPr="00AD363E">
        <w:t>designation several times.</w:t>
      </w:r>
    </w:p>
    <w:p w14:paraId="319A8DA8" w14:textId="77777777" w:rsidR="00811255" w:rsidRPr="00AD363E" w:rsidRDefault="00811255" w:rsidP="00811255">
      <w:pPr>
        <w:pStyle w:val="NoSpacing"/>
      </w:pPr>
    </w:p>
    <w:p w14:paraId="113944AB" w14:textId="77777777" w:rsidR="00811255" w:rsidRDefault="00811255" w:rsidP="00811255">
      <w:pPr>
        <w:pStyle w:val="NoSpacing"/>
      </w:pPr>
      <w:r>
        <w:t>***</w:t>
      </w:r>
    </w:p>
    <w:p w14:paraId="5D0C1768" w14:textId="77777777" w:rsidR="00811255" w:rsidRDefault="00811255" w:rsidP="00811255">
      <w:pPr>
        <w:pStyle w:val="NoSpacing"/>
      </w:pPr>
      <w:r>
        <w:t xml:space="preserve">The current administration objects to lengthy TPS designations and adopted a new, restricted approach shortly after the beginning of President Trump’s second term in office….Under this approach, the Secretary of Homeland Security has terminated every TPS designation that has come up for renewal, 13 in all. </w:t>
      </w:r>
    </w:p>
    <w:p w14:paraId="33EACEF8" w14:textId="77777777" w:rsidR="00811255" w:rsidRDefault="00811255" w:rsidP="00811255">
      <w:pPr>
        <w:pStyle w:val="NoSpacing"/>
      </w:pPr>
    </w:p>
    <w:p w14:paraId="5212BFEF" w14:textId="77777777" w:rsidR="00811255" w:rsidRDefault="00811255" w:rsidP="00811255">
      <w:pPr>
        <w:pStyle w:val="NoSpacing"/>
      </w:pPr>
      <w:r w:rsidRPr="00356DAA">
        <w:t>Included are nations in</w:t>
      </w:r>
      <w:r>
        <w:t xml:space="preserve"> East Asia (Nepal and Burma), Central Asia (Afghanistan), the Middle East (Syria and Yemen), Africa (Somalia, Ethiopia, South Sudan, and Cameroon), Central America (Nicaragua and Honduras), South America (Venezuela), and the Caribbean (Haiti)…. Only one European nation—Ukraine—had a TPS designation when the President began his second term, and that country’s TPS designation has not yet come up for review. See 90 Fed. Reg. 5936 (2025) (extending Ukraine TPS designation through October 19, 2026).</w:t>
      </w:r>
    </w:p>
    <w:p w14:paraId="345A0460" w14:textId="77777777" w:rsidR="00811255" w:rsidRDefault="00811255" w:rsidP="00811255">
      <w:pPr>
        <w:pStyle w:val="NoSpacing"/>
      </w:pPr>
    </w:p>
    <w:p w14:paraId="7C669476" w14:textId="77777777" w:rsidR="00811255" w:rsidRPr="0095300B" w:rsidRDefault="00811255" w:rsidP="00811255">
      <w:pPr>
        <w:pStyle w:val="NoSpacing"/>
        <w:rPr>
          <w:b/>
          <w:bCs/>
        </w:rPr>
      </w:pPr>
      <w:r w:rsidRPr="0095300B">
        <w:rPr>
          <w:b/>
        </w:rPr>
        <w:t xml:space="preserve">COURT HELD: </w:t>
      </w:r>
    </w:p>
    <w:p w14:paraId="065A7EE9" w14:textId="77777777" w:rsidR="00811255" w:rsidRDefault="00811255" w:rsidP="00811255">
      <w:pPr>
        <w:pStyle w:val="NoSpacing"/>
      </w:pPr>
    </w:p>
    <w:p w14:paraId="58C376DA" w14:textId="77777777" w:rsidR="00811255" w:rsidRDefault="00811255" w:rsidP="00811255">
      <w:pPr>
        <w:pStyle w:val="NoSpacing"/>
      </w:pPr>
      <w:r>
        <w:t>“In these cases, we consider whether respondents, who challenge the termination of Temporary Protected Status (TPS) for aliens from Syria and Haiti, are entitled to orders postponing the terminations during litigation. We hold that they are not. The TPS statute plainly bars consideration of respondents’ non-constitutional claims. It allows “no judicial review of any determination . . . with respect to the . . . termination” of a TPS designation. 8 U. S. C. §1254a(b)(5)(A).</w:t>
      </w:r>
    </w:p>
    <w:p w14:paraId="5DB36A9A" w14:textId="77777777" w:rsidR="00811255" w:rsidRDefault="00811255" w:rsidP="00811255">
      <w:pPr>
        <w:pStyle w:val="NoSpacing"/>
      </w:pPr>
    </w:p>
    <w:p w14:paraId="470D74E1" w14:textId="77777777" w:rsidR="00811255" w:rsidRDefault="00811255" w:rsidP="00811255">
      <w:pPr>
        <w:pStyle w:val="NoSpacing"/>
      </w:pPr>
      <w:r>
        <w:t>***</w:t>
      </w:r>
    </w:p>
    <w:p w14:paraId="6A49BAE5" w14:textId="77777777" w:rsidR="00811255" w:rsidRDefault="00811255" w:rsidP="00811255">
      <w:pPr>
        <w:pStyle w:val="NoSpacing"/>
      </w:pPr>
      <w:r>
        <w:t>Footnote 3: 3 Not all TPS designations have lasted so long. Presidents Clinton, George W. Bush, and Obama terminated some TPS designations much more promptly. See, e.g., 58 Fed. Reg. 7582 (1993) (Lebanon, terminated two years after initial designation); 62 Fed. Reg. 33442 (1997) (Rwanda, terminated three years after initial designation); 69 Fed. Reg. 40643</w:t>
      </w:r>
    </w:p>
    <w:p w14:paraId="2993D742" w14:textId="77777777" w:rsidR="00811255" w:rsidRDefault="00811255" w:rsidP="00811255">
      <w:pPr>
        <w:pStyle w:val="NoSpacing"/>
      </w:pPr>
      <w:r>
        <w:t>(2004) (Montserrat, terminated less than eight years after initial designation); 81 Fed. Reg. 66064 (2016) (Guinea, terminated less than three years after initial designation). None of these terminations were challenged in court.</w:t>
      </w:r>
    </w:p>
    <w:p w14:paraId="27B5C051" w14:textId="77777777" w:rsidR="00811255" w:rsidRDefault="00811255" w:rsidP="00811255">
      <w:pPr>
        <w:pStyle w:val="NoSpacing"/>
      </w:pPr>
    </w:p>
    <w:p w14:paraId="029FA5E4" w14:textId="77777777" w:rsidR="00811255" w:rsidRDefault="00811255" w:rsidP="00811255">
      <w:pPr>
        <w:pStyle w:val="NoSpacing"/>
      </w:pPr>
      <w:r>
        <w:t>***</w:t>
      </w:r>
    </w:p>
    <w:p w14:paraId="41ABD3BA" w14:textId="77777777" w:rsidR="00811255" w:rsidRDefault="00811255" w:rsidP="00811255">
      <w:pPr>
        <w:pStyle w:val="NoSpacing"/>
      </w:pPr>
    </w:p>
    <w:p w14:paraId="77E64D60" w14:textId="77777777" w:rsidR="00811255" w:rsidRDefault="00811255" w:rsidP="00811255">
      <w:pPr>
        <w:pStyle w:val="NoSpacing"/>
      </w:pPr>
      <w:r>
        <w:t>In support of their claim that the termination of Haiti’s TPS designation was based on race, respondents cite statements made by the President and former Secretary Noem…. None of the cited statements by either the President or the Secretary was overtly racial, and in substance all expressed policy views that could rest on race-neutral justifications. For example, one may oppose TPS and favor tighter restrictions on immigration for economic or other reasons that have nothing to do with race. And a person without racial bias can provide a harshly unfavorable description of living conditions in some of the countries with TPS designations. The criteria for TPS designations guarantee that many, if not most, designated countries have such characteristics.</w:t>
      </w:r>
    </w:p>
    <w:p w14:paraId="593365AB" w14:textId="77777777" w:rsidR="00811255" w:rsidRDefault="00811255" w:rsidP="00811255">
      <w:pPr>
        <w:pStyle w:val="NoSpacing"/>
      </w:pPr>
    </w:p>
    <w:p w14:paraId="23D02C76" w14:textId="77777777" w:rsidR="00811255" w:rsidRDefault="00811255" w:rsidP="00811255">
      <w:pPr>
        <w:pStyle w:val="NoSpacing"/>
      </w:pPr>
      <w:r>
        <w:t>***</w:t>
      </w:r>
    </w:p>
    <w:p w14:paraId="04466E75" w14:textId="77777777" w:rsidR="00811255" w:rsidRDefault="00811255" w:rsidP="00811255">
      <w:pPr>
        <w:pStyle w:val="NoSpacing"/>
      </w:pPr>
      <w:r>
        <w:t>In offering the cited statements as proof that the termination of Haiti’s TPS termination was motivated by race, Miot respondents seek to capitalize on the statements’ heated language. Political discourse by prominent public figures is increasingly couched in terms that would have</w:t>
      </w:r>
    </w:p>
    <w:p w14:paraId="1D082BD7" w14:textId="77777777" w:rsidR="00811255" w:rsidRDefault="00811255" w:rsidP="00811255">
      <w:pPr>
        <w:pStyle w:val="NoSpacing"/>
      </w:pPr>
      <w:r>
        <w:t>scandalized the public just a short time ago, and the statements cited by Miot respondents—especially those concerning Haiti and Haitian immigrants to this country—exemplify this development. But whatever one may think of the cited statements, they are insufficient to show that the termination of Haiti’s TPS designation was based on the race of the Haitian people.</w:t>
      </w:r>
    </w:p>
    <w:p w14:paraId="5D868675" w14:textId="77777777" w:rsidR="00811255" w:rsidRDefault="00811255" w:rsidP="00811255">
      <w:pPr>
        <w:pStyle w:val="NoSpacing"/>
      </w:pPr>
    </w:p>
    <w:p w14:paraId="0CE12EEB" w14:textId="77777777" w:rsidR="00811255" w:rsidRDefault="00811255" w:rsidP="00811255">
      <w:pPr>
        <w:pStyle w:val="NoSpacing"/>
      </w:pPr>
      <w:r>
        <w:t>***</w:t>
      </w:r>
    </w:p>
    <w:p w14:paraId="35D19CE0" w14:textId="77777777" w:rsidR="00811255" w:rsidRDefault="00811255" w:rsidP="00811255">
      <w:pPr>
        <w:pStyle w:val="NoSpacing"/>
      </w:pPr>
      <w:r>
        <w:t>The judgments of the United States District Courts for the Southern District of New York and the District of Columbia are reversed. The cases are remanded for further proceedings consistent with this opinion.”</w:t>
      </w:r>
    </w:p>
    <w:p w14:paraId="457C1D5C" w14:textId="77777777" w:rsidR="00811255" w:rsidRDefault="00811255" w:rsidP="00811255">
      <w:pPr>
        <w:pStyle w:val="NoSpacing"/>
      </w:pPr>
    </w:p>
    <w:p w14:paraId="457F200C" w14:textId="77777777" w:rsidR="00811255" w:rsidRPr="007D170B" w:rsidRDefault="00811255" w:rsidP="00811255">
      <w:pPr>
        <w:pStyle w:val="NoSpacing"/>
        <w:rPr>
          <w:b/>
          <w:bCs/>
        </w:rPr>
      </w:pPr>
      <w:r>
        <w:rPr>
          <w:b/>
        </w:rPr>
        <w:t xml:space="preserve">Legal lesson learned: Congress enacted a statute that prohibits judicial review of revocation of TPS status.  Racial comments, including from President, must be avoided in modern society. </w:t>
      </w:r>
    </w:p>
    <w:p w14:paraId="3BE90732" w14:textId="77777777" w:rsidR="00811255" w:rsidRDefault="00811255" w:rsidP="00440B47">
      <w:pPr>
        <w:pStyle w:val="NoSpacing"/>
        <w:rPr>
          <w:rFonts w:ascii="Arial Black" w:hAnsi="Arial Black"/>
          <w:sz w:val="28"/>
          <w:szCs w:val="28"/>
        </w:rPr>
      </w:pPr>
    </w:p>
    <w:p w14:paraId="447165B9" w14:textId="77777777" w:rsidR="00811255" w:rsidRDefault="00811255" w:rsidP="00440B47">
      <w:pPr>
        <w:pStyle w:val="NoSpacing"/>
        <w:rPr>
          <w:rFonts w:ascii="Arial Black" w:hAnsi="Arial Black"/>
          <w:sz w:val="28"/>
          <w:szCs w:val="28"/>
        </w:rPr>
      </w:pPr>
    </w:p>
    <w:p w14:paraId="4FB2C0F6" w14:textId="77777777" w:rsidR="00811255" w:rsidRDefault="00811255" w:rsidP="00440B47">
      <w:pPr>
        <w:pStyle w:val="NoSpacing"/>
        <w:rPr>
          <w:rFonts w:ascii="Arial Black" w:hAnsi="Arial Black"/>
          <w:sz w:val="28"/>
          <w:szCs w:val="28"/>
        </w:rPr>
      </w:pPr>
    </w:p>
    <w:p w14:paraId="274D4A9A" w14:textId="77777777" w:rsidR="00811255" w:rsidRDefault="00811255" w:rsidP="00440B47">
      <w:pPr>
        <w:pStyle w:val="NoSpacing"/>
        <w:rPr>
          <w:rFonts w:ascii="Arial Black" w:hAnsi="Arial Black"/>
          <w:sz w:val="28"/>
          <w:szCs w:val="28"/>
        </w:rPr>
      </w:pPr>
    </w:p>
    <w:p w14:paraId="22D19220" w14:textId="17A16FDE" w:rsidR="00E575E6" w:rsidRDefault="008D250F" w:rsidP="00440B47">
      <w:pPr>
        <w:pStyle w:val="NoSpacing"/>
        <w:rPr>
          <w:rFonts w:ascii="Arial Black" w:hAnsi="Arial Black"/>
          <w:sz w:val="28"/>
          <w:szCs w:val="28"/>
        </w:rPr>
      </w:pPr>
      <w:r>
        <w:rPr>
          <w:rFonts w:ascii="Arial Black" w:hAnsi="Arial Black"/>
          <w:sz w:val="28"/>
          <w:szCs w:val="28"/>
        </w:rPr>
        <w:t>3-92</w:t>
      </w:r>
    </w:p>
    <w:p w14:paraId="3301F3A0" w14:textId="77777777" w:rsidR="008D250F" w:rsidRDefault="008D250F" w:rsidP="00440B47">
      <w:pPr>
        <w:pStyle w:val="NoSpacing"/>
        <w:rPr>
          <w:rFonts w:ascii="Arial Black" w:hAnsi="Arial Black"/>
          <w:sz w:val="28"/>
          <w:szCs w:val="28"/>
        </w:rPr>
      </w:pPr>
    </w:p>
    <w:p w14:paraId="3B82B478" w14:textId="77777777" w:rsidR="008D250F" w:rsidRDefault="008D250F" w:rsidP="008D250F">
      <w:pPr>
        <w:pStyle w:val="NoSpacing"/>
        <w:rPr>
          <w:rFonts w:ascii="Arial Black" w:hAnsi="Arial Black"/>
          <w:sz w:val="28"/>
          <w:szCs w:val="28"/>
        </w:rPr>
      </w:pPr>
      <w:r>
        <w:rPr>
          <w:rFonts w:ascii="Arial Black" w:hAnsi="Arial Black"/>
          <w:sz w:val="28"/>
          <w:szCs w:val="28"/>
        </w:rPr>
        <w:t xml:space="preserve">KY: FED JUDGE ORDERED TO INCREASE SENTENCE – ISIS </w:t>
      </w:r>
    </w:p>
    <w:p w14:paraId="205223A2" w14:textId="77777777" w:rsidR="008D250F" w:rsidRDefault="008D250F" w:rsidP="008D250F">
      <w:pPr>
        <w:pStyle w:val="NoSpacing"/>
        <w:rPr>
          <w:rFonts w:ascii="Arial Black" w:hAnsi="Arial Black"/>
          <w:sz w:val="28"/>
          <w:szCs w:val="28"/>
        </w:rPr>
      </w:pPr>
    </w:p>
    <w:p w14:paraId="0A2DAEA2" w14:textId="77777777" w:rsidR="008D250F" w:rsidRDefault="008D250F" w:rsidP="008D250F">
      <w:pPr>
        <w:pStyle w:val="NoSpacing"/>
      </w:pPr>
      <w:r>
        <w:t xml:space="preserve">On May 13, 2026, in </w:t>
      </w:r>
      <w:r w:rsidRPr="00236973">
        <w:rPr>
          <w:u w:val="single"/>
        </w:rPr>
        <w:t>United States of America v. Mirsad Ramic</w:t>
      </w:r>
      <w:r>
        <w:t xml:space="preserve">, the United States Court of Appeals for the Sixth Circuit (Cincinnati) held (3 to 0) that the Federal District Court judge who presided over his jury trial must resentence the defendant.  Mirsad Ramic, born in Bonia, but moved with his family to Bowling Green, Kentucky, became naturalized U.S. citizen. Less than a year later, he became radicalized; online posts included he hoped President Obama’s teenage daughters would one day be sold as ISIS slaves. He reached out to ISIS, took ISIS training, then traveled to Syria, where he participated in </w:t>
      </w:r>
      <w:r w:rsidRPr="00723923">
        <w:t>the siege of Kobane</w:t>
      </w:r>
      <w:r>
        <w:t xml:space="preserve"> (2014 – 2015) which was being defended by U.S. military – the siege claimed over 100,000 lives. A jury convicted him of providing material support to a terrorist group and receiving military-type training from ISIS. THE COURT WROTE: “</w:t>
      </w:r>
      <w:r w:rsidRPr="005C5091">
        <w:t>For those crimes, Ramic faced an advisory sentence of 360 to 600</w:t>
      </w:r>
      <w:r>
        <w:t xml:space="preserve"> </w:t>
      </w:r>
      <w:r w:rsidRPr="005C5091">
        <w:t xml:space="preserve">months’ imprisonment under the Sentencing Guidelines. But the district court </w:t>
      </w:r>
      <w:r>
        <w:t xml:space="preserve">[Judge </w:t>
      </w:r>
      <w:r w:rsidRPr="00E273CF">
        <w:t>Gregory N. Stivers</w:t>
      </w:r>
      <w:r>
        <w:t xml:space="preserve">] </w:t>
      </w:r>
      <w:r w:rsidRPr="005C5091">
        <w:t>sentenced Ramic</w:t>
      </w:r>
      <w:r>
        <w:t xml:space="preserve"> </w:t>
      </w:r>
      <w:r w:rsidRPr="005C5091">
        <w:t>to only 101 months in prison. Because the district court’s substantial variance is substantively</w:t>
      </w:r>
      <w:r>
        <w:t xml:space="preserve"> </w:t>
      </w:r>
      <w:r w:rsidRPr="005C5091">
        <w:t xml:space="preserve">unreasonable, we vacate his sentence and remand for </w:t>
      </w:r>
      <w:proofErr w:type="gramStart"/>
      <w:r w:rsidRPr="005C5091">
        <w:t>resentencing.</w:t>
      </w:r>
      <w:r>
        <w:t>”</w:t>
      </w:r>
      <w:proofErr w:type="gramEnd"/>
      <w:r>
        <w:t xml:space="preserve">  </w:t>
      </w:r>
      <w:hyperlink r:id="rId653" w:history="1">
        <w:r w:rsidRPr="001B1071">
          <w:rPr>
            <w:rStyle w:val="Hyperlink"/>
          </w:rPr>
          <w:t>https://cases.justia.com/federal/appellate-courts/ca6/25-5471/25-5471-2026-05-13.pdf?ts=1778702434</w:t>
        </w:r>
      </w:hyperlink>
    </w:p>
    <w:p w14:paraId="159139D9" w14:textId="77777777" w:rsidR="008D250F" w:rsidRDefault="008D250F" w:rsidP="008D250F">
      <w:pPr>
        <w:pStyle w:val="NoSpacing"/>
      </w:pPr>
      <w:r>
        <w:t xml:space="preserve"> </w:t>
      </w:r>
    </w:p>
    <w:p w14:paraId="7F64E7C2" w14:textId="77777777" w:rsidR="008D250F" w:rsidRDefault="008D250F" w:rsidP="008D250F">
      <w:pPr>
        <w:pStyle w:val="NoSpacing"/>
      </w:pPr>
      <w:r>
        <w:t xml:space="preserve">THE COURT HELD: </w:t>
      </w:r>
    </w:p>
    <w:p w14:paraId="5D1C0AF1" w14:textId="77777777" w:rsidR="008D250F" w:rsidRDefault="008D250F" w:rsidP="008D250F">
      <w:pPr>
        <w:pStyle w:val="NoSpacing"/>
      </w:pPr>
    </w:p>
    <w:p w14:paraId="17DC96FF" w14:textId="77777777" w:rsidR="008D250F" w:rsidRDefault="008D250F" w:rsidP="008D250F">
      <w:pPr>
        <w:pStyle w:val="NoSpacing"/>
        <w:ind w:left="720"/>
      </w:pPr>
      <w:r>
        <w:t>“Here, the district court didn’t adequately weigh the seriousness of Ramic’s crime, potential sentencing disparities, and the need to protect the public…. Because the district court’s rationale here didn’t justify such a drastic downward variance, we conclude that Ramic’s sentence is substantively unreasonable.</w:t>
      </w:r>
    </w:p>
    <w:p w14:paraId="04996724" w14:textId="77777777" w:rsidR="008D250F" w:rsidRDefault="008D250F" w:rsidP="008D250F">
      <w:pPr>
        <w:pStyle w:val="NoSpacing"/>
      </w:pPr>
    </w:p>
    <w:p w14:paraId="0C1693E4" w14:textId="77777777" w:rsidR="008D250F" w:rsidRDefault="008D250F" w:rsidP="008D250F">
      <w:pPr>
        <w:pStyle w:val="NoSpacing"/>
      </w:pPr>
      <w:r>
        <w:tab/>
        <w:t>***</w:t>
      </w:r>
    </w:p>
    <w:p w14:paraId="59345410" w14:textId="77777777" w:rsidR="008D250F" w:rsidRDefault="008D250F" w:rsidP="008D250F">
      <w:pPr>
        <w:pStyle w:val="NoSpacing"/>
        <w:ind w:firstLine="720"/>
      </w:pPr>
      <w:r>
        <w:t>The district court attempted to justify its sentence in two primary ways. First, it stated</w:t>
      </w:r>
    </w:p>
    <w:p w14:paraId="4789D988" w14:textId="77777777" w:rsidR="008D250F" w:rsidRDefault="008D250F" w:rsidP="008D250F">
      <w:pPr>
        <w:pStyle w:val="NoSpacing"/>
        <w:ind w:firstLine="720"/>
      </w:pPr>
      <w:r>
        <w:t>that Ramic didn’t engage ‘in any acts of terrorism as . . . in a more common sense’</w:t>
      </w:r>
    </w:p>
    <w:p w14:paraId="0E6B0994" w14:textId="77777777" w:rsidR="008D250F" w:rsidRDefault="008D250F" w:rsidP="008D250F">
      <w:pPr>
        <w:pStyle w:val="NoSpacing"/>
        <w:ind w:firstLine="720"/>
      </w:pPr>
      <w:r>
        <w:t>understanding of the term…. It explained, for example, that Ramic hadn’t</w:t>
      </w:r>
    </w:p>
    <w:p w14:paraId="3B5B3E12" w14:textId="77777777" w:rsidR="008D250F" w:rsidRDefault="008D250F" w:rsidP="008D250F">
      <w:pPr>
        <w:pStyle w:val="NoSpacing"/>
        <w:ind w:firstLine="720"/>
      </w:pPr>
      <w:r>
        <w:t>engaged in any ‘random acts of violence directed at innocent populations,’ detonated any</w:t>
      </w:r>
    </w:p>
    <w:p w14:paraId="36690112" w14:textId="77777777" w:rsidR="008D250F" w:rsidRDefault="008D250F" w:rsidP="008D250F">
      <w:pPr>
        <w:pStyle w:val="NoSpacing"/>
        <w:ind w:left="720"/>
      </w:pPr>
      <w:r>
        <w:t>‘</w:t>
      </w:r>
      <w:proofErr w:type="gramStart"/>
      <w:r>
        <w:t>bombs</w:t>
      </w:r>
      <w:proofErr w:type="gramEnd"/>
      <w:r>
        <w:t>,’ or inflicted any ‘horrible incidents of gun violence against crowds.’ … Instead, the district court concluded that Ramic was merely a ‘fighter’ and a ‘soldier’ who joined ‘a standard army’ that wanted to ‘require strict adherence to [Islamic] law.’ …  Second, the district court noted that the median sentence for terrorism defendants with the same offense level and criminal-history category was only 168 months’ imprisonment. Using that median sentence as a starting point, the district court subtracted the 67 months that Ramic spent in Turkish custody and arrived at a final sentence of 101 months.</w:t>
      </w:r>
    </w:p>
    <w:p w14:paraId="755AE2C8" w14:textId="77777777" w:rsidR="008D250F" w:rsidRDefault="008D250F" w:rsidP="008D250F">
      <w:pPr>
        <w:pStyle w:val="NoSpacing"/>
        <w:ind w:left="720"/>
      </w:pPr>
    </w:p>
    <w:p w14:paraId="3ABB0B4B" w14:textId="77777777" w:rsidR="008D250F" w:rsidRDefault="008D250F" w:rsidP="008D250F">
      <w:pPr>
        <w:pStyle w:val="NoSpacing"/>
        <w:ind w:left="720"/>
      </w:pPr>
      <w:r>
        <w:t>***</w:t>
      </w:r>
    </w:p>
    <w:p w14:paraId="34AD00CE" w14:textId="77777777" w:rsidR="008D250F" w:rsidRDefault="008D250F" w:rsidP="008D250F">
      <w:pPr>
        <w:pStyle w:val="NoSpacing"/>
        <w:ind w:firstLine="720"/>
      </w:pPr>
      <w:r>
        <w:t>In fact, Ramic openly embraced ISIS’s mission to target the United States. For example,</w:t>
      </w:r>
    </w:p>
    <w:p w14:paraId="6C04C064" w14:textId="77777777" w:rsidR="008D250F" w:rsidRDefault="008D250F" w:rsidP="008D250F">
      <w:pPr>
        <w:pStyle w:val="NoSpacing"/>
        <w:ind w:left="720"/>
      </w:pPr>
      <w:r>
        <w:t>he posted on social media that he hoped President Obama’s teenage daughters would one day be sold as ISIS slaves.</w:t>
      </w:r>
    </w:p>
    <w:p w14:paraId="0D55A934" w14:textId="77777777" w:rsidR="008D250F" w:rsidRDefault="008D250F" w:rsidP="008D250F">
      <w:pPr>
        <w:pStyle w:val="NoSpacing"/>
        <w:ind w:left="720"/>
      </w:pPr>
    </w:p>
    <w:p w14:paraId="2A48E085" w14:textId="77777777" w:rsidR="008D250F" w:rsidRDefault="008D250F" w:rsidP="008D250F">
      <w:pPr>
        <w:pStyle w:val="NoSpacing"/>
        <w:ind w:left="720"/>
      </w:pPr>
      <w:r>
        <w:t>***</w:t>
      </w:r>
    </w:p>
    <w:p w14:paraId="48DA23BC" w14:textId="77777777" w:rsidR="008D250F" w:rsidRDefault="008D250F" w:rsidP="008D250F">
      <w:pPr>
        <w:pStyle w:val="NoSpacing"/>
        <w:ind w:left="720"/>
      </w:pPr>
    </w:p>
    <w:p w14:paraId="7399BFD5" w14:textId="77777777" w:rsidR="008D250F" w:rsidRDefault="008D250F" w:rsidP="008D250F">
      <w:pPr>
        <w:pStyle w:val="NoSpacing"/>
        <w:ind w:firstLine="720"/>
      </w:pPr>
      <w:r>
        <w:t>What’s more, the evidence at trial indicated that Ramic fought against American forces in</w:t>
      </w:r>
    </w:p>
    <w:p w14:paraId="6C6134BB" w14:textId="77777777" w:rsidR="008D250F" w:rsidRDefault="008D250F" w:rsidP="008D250F">
      <w:pPr>
        <w:pStyle w:val="NoSpacing"/>
        <w:ind w:firstLine="720"/>
      </w:pPr>
      <w:r>
        <w:t>the siege of Kobane.”</w:t>
      </w:r>
    </w:p>
    <w:p w14:paraId="6830C891" w14:textId="77777777" w:rsidR="008D250F" w:rsidRDefault="008D250F" w:rsidP="008D250F">
      <w:pPr>
        <w:pStyle w:val="NoSpacing"/>
        <w:ind w:firstLine="720"/>
      </w:pPr>
    </w:p>
    <w:p w14:paraId="328B4C67" w14:textId="77777777" w:rsidR="008D250F" w:rsidRPr="0065553D" w:rsidRDefault="008D250F" w:rsidP="008D250F">
      <w:pPr>
        <w:rPr>
          <w:b/>
          <w:bCs/>
        </w:rPr>
      </w:pPr>
      <w:r>
        <w:rPr>
          <w:b/>
        </w:rPr>
        <w:t>Legal lesson learned: 6</w:t>
      </w:r>
      <w:r w:rsidRPr="0024026A">
        <w:rPr>
          <w:b/>
          <w:vertAlign w:val="superscript"/>
        </w:rPr>
        <w:t>th</w:t>
      </w:r>
      <w:r>
        <w:rPr>
          <w:b/>
        </w:rPr>
        <w:t xml:space="preserve"> Circuit decision very </w:t>
      </w:r>
      <w:proofErr w:type="gramStart"/>
      <w:r>
        <w:rPr>
          <w:b/>
        </w:rPr>
        <w:t>helpful great</w:t>
      </w:r>
      <w:proofErr w:type="gramEnd"/>
      <w:r>
        <w:rPr>
          <w:b/>
        </w:rPr>
        <w:t xml:space="preserve"> precedence for other courts reviewing U.S. Government appeals of short sentences of terrorists. </w:t>
      </w:r>
    </w:p>
    <w:p w14:paraId="2F625A47" w14:textId="77777777" w:rsidR="008D250F" w:rsidRDefault="008D250F" w:rsidP="002A66F2">
      <w:pPr>
        <w:pStyle w:val="NoSpacing"/>
        <w:rPr>
          <w:rFonts w:ascii="Arial Black" w:hAnsi="Arial Black"/>
          <w:sz w:val="28"/>
          <w:szCs w:val="28"/>
        </w:rPr>
      </w:pPr>
    </w:p>
    <w:p w14:paraId="638A86AE" w14:textId="77777777" w:rsidR="008D250F" w:rsidRDefault="008D250F" w:rsidP="002A66F2">
      <w:pPr>
        <w:pStyle w:val="NoSpacing"/>
        <w:rPr>
          <w:rFonts w:ascii="Arial Black" w:hAnsi="Arial Black"/>
          <w:sz w:val="28"/>
          <w:szCs w:val="28"/>
        </w:rPr>
      </w:pPr>
    </w:p>
    <w:p w14:paraId="2936EF2F" w14:textId="77777777" w:rsidR="008D250F" w:rsidRDefault="008D250F" w:rsidP="002A66F2">
      <w:pPr>
        <w:pStyle w:val="NoSpacing"/>
        <w:rPr>
          <w:rFonts w:ascii="Arial Black" w:hAnsi="Arial Black"/>
          <w:sz w:val="28"/>
          <w:szCs w:val="28"/>
        </w:rPr>
      </w:pPr>
    </w:p>
    <w:p w14:paraId="1EFEDF44" w14:textId="545DB007" w:rsidR="002A66F2" w:rsidRDefault="002A66F2" w:rsidP="002A66F2">
      <w:pPr>
        <w:pStyle w:val="NoSpacing"/>
        <w:rPr>
          <w:rFonts w:ascii="Arial Black" w:hAnsi="Arial Black"/>
          <w:sz w:val="28"/>
          <w:szCs w:val="28"/>
        </w:rPr>
      </w:pPr>
      <w:r>
        <w:rPr>
          <w:rFonts w:ascii="Arial Black" w:hAnsi="Arial Black"/>
          <w:sz w:val="28"/>
          <w:szCs w:val="28"/>
        </w:rPr>
        <w:t>3-</w:t>
      </w:r>
      <w:r w:rsidR="00094264">
        <w:rPr>
          <w:rFonts w:ascii="Arial Black" w:hAnsi="Arial Black"/>
          <w:sz w:val="28"/>
          <w:szCs w:val="28"/>
        </w:rPr>
        <w:t>91</w:t>
      </w:r>
    </w:p>
    <w:p w14:paraId="60BF1E6B" w14:textId="77777777" w:rsidR="002A66F2" w:rsidRDefault="002A66F2" w:rsidP="00440B47">
      <w:pPr>
        <w:pStyle w:val="NoSpacing"/>
        <w:rPr>
          <w:rFonts w:ascii="Arial Black" w:hAnsi="Arial Black"/>
          <w:sz w:val="28"/>
          <w:szCs w:val="28"/>
        </w:rPr>
      </w:pPr>
    </w:p>
    <w:p w14:paraId="64CAF135" w14:textId="77777777" w:rsidR="007328CD" w:rsidRDefault="007328CD" w:rsidP="007328CD">
      <w:pPr>
        <w:pStyle w:val="NoSpacing"/>
        <w:rPr>
          <w:rFonts w:ascii="Arial Black" w:hAnsi="Arial Black"/>
          <w:b/>
          <w:sz w:val="28"/>
          <w:szCs w:val="28"/>
        </w:rPr>
      </w:pPr>
      <w:r>
        <w:rPr>
          <w:rFonts w:ascii="Arial Black" w:hAnsi="Arial Black"/>
          <w:b/>
          <w:sz w:val="28"/>
          <w:szCs w:val="28"/>
        </w:rPr>
        <w:t>U.S. SUP. CT – TALIBAN BOMB - SOLDIER SUE CONTRACTOR</w:t>
      </w:r>
    </w:p>
    <w:p w14:paraId="58945B9D" w14:textId="77777777" w:rsidR="007328CD" w:rsidRDefault="007328CD" w:rsidP="007328CD">
      <w:pPr>
        <w:pStyle w:val="NoSpacing"/>
        <w:rPr>
          <w:rFonts w:ascii="Arial Black" w:hAnsi="Arial Black"/>
          <w:b/>
          <w:sz w:val="28"/>
          <w:szCs w:val="28"/>
        </w:rPr>
      </w:pPr>
    </w:p>
    <w:p w14:paraId="4E8B7C50" w14:textId="77777777" w:rsidR="007328CD" w:rsidRDefault="007328CD" w:rsidP="007328CD">
      <w:pPr>
        <w:pStyle w:val="NoSpacing"/>
        <w:rPr>
          <w:bCs/>
        </w:rPr>
      </w:pPr>
      <w:r>
        <w:t xml:space="preserve">On April 22, 2026, in </w:t>
      </w:r>
      <w:r w:rsidRPr="004241FD">
        <w:rPr>
          <w:u w:val="single"/>
        </w:rPr>
        <w:t xml:space="preserve">Winston T. </w:t>
      </w:r>
      <w:proofErr w:type="spellStart"/>
      <w:r w:rsidRPr="004241FD">
        <w:rPr>
          <w:u w:val="single"/>
        </w:rPr>
        <w:t>Hencely</w:t>
      </w:r>
      <w:proofErr w:type="spellEnd"/>
      <w:r w:rsidRPr="004241FD">
        <w:rPr>
          <w:u w:val="single"/>
        </w:rPr>
        <w:t xml:space="preserve"> v. Fluor Corp, et al</w:t>
      </w:r>
      <w:r>
        <w:t xml:space="preserve">., the U.S. Supreme Court held (6 to 3) that former U.S. Army </w:t>
      </w:r>
      <w:r w:rsidRPr="000A48D2">
        <w:t xml:space="preserve">specialist Winston T. </w:t>
      </w:r>
      <w:proofErr w:type="spellStart"/>
      <w:r w:rsidRPr="000A48D2">
        <w:t>Hencely</w:t>
      </w:r>
      <w:proofErr w:type="spellEnd"/>
      <w:r w:rsidRPr="000A48D2">
        <w:t xml:space="preserve">, </w:t>
      </w:r>
      <w:r>
        <w:t xml:space="preserve">can sue a military contractor under South Carolina state law for negligent supervision of an Afghanistan employee at Bagram Airbase.  </w:t>
      </w:r>
      <w:proofErr w:type="spellStart"/>
      <w:r>
        <w:t>Hencely</w:t>
      </w:r>
      <w:proofErr w:type="spellEnd"/>
      <w:r>
        <w:t xml:space="preserve">, age 20, </w:t>
      </w:r>
      <w:r w:rsidRPr="000A48D2">
        <w:t>suffered a fractured skull and brain</w:t>
      </w:r>
      <w:r>
        <w:t xml:space="preserve"> </w:t>
      </w:r>
      <w:r w:rsidRPr="000A48D2">
        <w:t xml:space="preserve">injuries </w:t>
      </w:r>
      <w:r w:rsidRPr="00074997">
        <w:t xml:space="preserve">on Veteran’s Day 2016 </w:t>
      </w:r>
      <w:r>
        <w:t xml:space="preserve">when the Afghan activated a suicide vest, which </w:t>
      </w:r>
      <w:r w:rsidRPr="00C41DBA">
        <w:t>killed 5 and</w:t>
      </w:r>
      <w:r>
        <w:t xml:space="preserve"> </w:t>
      </w:r>
      <w:r w:rsidRPr="00C41DBA">
        <w:t>wounded 17</w:t>
      </w:r>
      <w:r>
        <w:t xml:space="preserve">. </w:t>
      </w:r>
      <w:proofErr w:type="spellStart"/>
      <w:r>
        <w:t>Hencely</w:t>
      </w:r>
      <w:proofErr w:type="spellEnd"/>
      <w:r>
        <w:t xml:space="preserve"> heroically saved many more because the Afghan employee was trying to reach a large crowd at </w:t>
      </w:r>
      <w:r w:rsidRPr="00DE617A">
        <w:t>Veteran’s Day</w:t>
      </w:r>
      <w:r>
        <w:t xml:space="preserve"> </w:t>
      </w:r>
      <w:r w:rsidRPr="00DE617A">
        <w:t>5K race</w:t>
      </w:r>
      <w:r>
        <w:t xml:space="preserve"> at the airfield</w:t>
      </w:r>
      <w:r w:rsidRPr="00DE617A">
        <w:t>.</w:t>
      </w:r>
      <w:r>
        <w:t xml:space="preserve"> The Federal Government has sovereign immunity, so </w:t>
      </w:r>
      <w:proofErr w:type="spellStart"/>
      <w:r>
        <w:t>Hencely</w:t>
      </w:r>
      <w:proofErr w:type="spellEnd"/>
      <w:r>
        <w:t xml:space="preserve"> cannot sue the government for alleged negligence in conducting background checks under its </w:t>
      </w:r>
      <w:r w:rsidRPr="008575E7">
        <w:t>“Afghan First” program</w:t>
      </w:r>
      <w:r>
        <w:t xml:space="preserve"> at the base where military contractors like Fluor were directed to hire Afghan employees (government knew he was former Taliban).  Fluor hired him to work in n</w:t>
      </w:r>
      <w:r w:rsidRPr="001E5CDD">
        <w:t>ontactical vehicle yard</w:t>
      </w:r>
      <w:r>
        <w:t xml:space="preserve">, and plaintiff alleges in a lawsuit brought in Federal court in South Carolina that under state law Fluor was negligent in supervising and managing the Afghan’s movements around the base. The U.S. District Court judge in South Carolina dismissed the lawsuit; </w:t>
      </w:r>
      <w:r w:rsidRPr="00703F6D">
        <w:t xml:space="preserve">military contractors </w:t>
      </w:r>
      <w:r>
        <w:t xml:space="preserve">under prior case law have immunity </w:t>
      </w:r>
      <w:r w:rsidRPr="00703F6D">
        <w:t>arising out of combatant</w:t>
      </w:r>
      <w:r>
        <w:t>.  The U.S. Court of Appeals for 4</w:t>
      </w:r>
      <w:r w:rsidRPr="00726AA2">
        <w:rPr>
          <w:vertAlign w:val="superscript"/>
        </w:rPr>
        <w:t>th</w:t>
      </w:r>
      <w:r>
        <w:t xml:space="preserve"> Circuit (Richmond, VA) agreed. </w:t>
      </w:r>
      <w:hyperlink r:id="rId654" w:history="1">
        <w:r w:rsidRPr="00595B37">
          <w:rPr>
            <w:rStyle w:val="Hyperlink"/>
            <w:b/>
          </w:rPr>
          <w:t>https://www.supremecourt.gov/opinions/25pdf/24-924_3d9g.pdf</w:t>
        </w:r>
      </w:hyperlink>
    </w:p>
    <w:p w14:paraId="582CE094" w14:textId="77777777" w:rsidR="007328CD" w:rsidRDefault="007328CD" w:rsidP="007328CD">
      <w:pPr>
        <w:pStyle w:val="NoSpacing"/>
        <w:rPr>
          <w:bCs/>
        </w:rPr>
      </w:pPr>
    </w:p>
    <w:p w14:paraId="4CB06D99" w14:textId="77777777" w:rsidR="007328CD" w:rsidRDefault="007328CD" w:rsidP="007328CD">
      <w:pPr>
        <w:pStyle w:val="NoSpacing"/>
        <w:rPr>
          <w:bCs/>
        </w:rPr>
      </w:pPr>
    </w:p>
    <w:p w14:paraId="27696CA3" w14:textId="77777777" w:rsidR="007328CD" w:rsidRDefault="007328CD" w:rsidP="007328CD">
      <w:pPr>
        <w:pStyle w:val="NoSpacing"/>
        <w:rPr>
          <w:bCs/>
        </w:rPr>
      </w:pPr>
      <w:r w:rsidRPr="00703F6D">
        <w:t xml:space="preserve"> </w:t>
      </w:r>
      <w:r>
        <w:t>THE COURT HELD (opinion by Justice Clarence Thomas):</w:t>
      </w:r>
    </w:p>
    <w:p w14:paraId="12796BD4" w14:textId="77777777" w:rsidR="007328CD" w:rsidRDefault="007328CD" w:rsidP="007328CD">
      <w:pPr>
        <w:pStyle w:val="NoSpacing"/>
        <w:rPr>
          <w:bCs/>
        </w:rPr>
      </w:pPr>
    </w:p>
    <w:p w14:paraId="572A69D9" w14:textId="77777777" w:rsidR="007328CD" w:rsidRDefault="007328CD" w:rsidP="007328CD">
      <w:pPr>
        <w:pStyle w:val="NoSpacing"/>
        <w:ind w:left="720"/>
        <w:rPr>
          <w:bCs/>
        </w:rPr>
      </w:pPr>
      <w:r>
        <w:t>“</w:t>
      </w:r>
      <w:r w:rsidRPr="001E25D7">
        <w:t xml:space="preserve">Nayeb </w:t>
      </w:r>
      <w:r>
        <w:t xml:space="preserve">[the bomber] </w:t>
      </w:r>
      <w:r w:rsidRPr="001E25D7">
        <w:t xml:space="preserve">worked as a </w:t>
      </w:r>
      <w:r>
        <w:t>‘</w:t>
      </w:r>
      <w:r w:rsidRPr="001E25D7">
        <w:t>Local National</w:t>
      </w:r>
      <w:r>
        <w:t>’</w:t>
      </w:r>
      <w:r w:rsidRPr="001E25D7">
        <w:t xml:space="preserve"> contractor at</w:t>
      </w:r>
      <w:r>
        <w:t xml:space="preserve"> </w:t>
      </w:r>
      <w:r w:rsidRPr="001E25D7">
        <w:t xml:space="preserve">Bagram as part of the military’s </w:t>
      </w:r>
      <w:r>
        <w:t>‘</w:t>
      </w:r>
      <w:r w:rsidRPr="001E25D7">
        <w:t>Afghan First</w:t>
      </w:r>
      <w:r>
        <w:t>’</w:t>
      </w:r>
      <w:r w:rsidRPr="001E25D7">
        <w:t xml:space="preserve"> program</w:t>
      </w:r>
      <w:r>
        <w:t xml:space="preserve">…. </w:t>
      </w:r>
      <w:r w:rsidRPr="001E25D7">
        <w:t xml:space="preserve"> That program sought to stimulate the</w:t>
      </w:r>
      <w:r>
        <w:t xml:space="preserve"> </w:t>
      </w:r>
      <w:r w:rsidRPr="001E25D7">
        <w:t>local economy and stabilize the Afghan Government by requiring contractors to hire Afghans “‘to the maximum extent possible.’</w:t>
      </w:r>
      <w:r>
        <w:t xml:space="preserve"> … </w:t>
      </w:r>
      <w:r w:rsidRPr="001E25D7">
        <w:t>The military interviewed and</w:t>
      </w:r>
      <w:r>
        <w:t xml:space="preserve"> </w:t>
      </w:r>
      <w:r w:rsidRPr="001E25D7">
        <w:t>screened potential employees. During this process, it</w:t>
      </w:r>
      <w:r>
        <w:t xml:space="preserve"> </w:t>
      </w:r>
      <w:r w:rsidRPr="001E25D7">
        <w:t>learned that Nayeb had been involved with the Taliban in</w:t>
      </w:r>
      <w:r>
        <w:t xml:space="preserve"> </w:t>
      </w:r>
      <w:r w:rsidRPr="001E25D7">
        <w:t>the past. Nonetheless, it approved him for employment.</w:t>
      </w:r>
    </w:p>
    <w:p w14:paraId="112B8EC3" w14:textId="77777777" w:rsidR="007328CD" w:rsidRDefault="007328CD" w:rsidP="007328CD">
      <w:pPr>
        <w:pStyle w:val="NoSpacing"/>
        <w:ind w:left="720"/>
        <w:rPr>
          <w:bCs/>
        </w:rPr>
      </w:pPr>
    </w:p>
    <w:p w14:paraId="4F109C04" w14:textId="77777777" w:rsidR="007328CD" w:rsidRDefault="007328CD" w:rsidP="007328CD">
      <w:pPr>
        <w:pStyle w:val="NoSpacing"/>
        <w:ind w:left="720"/>
        <w:rPr>
          <w:bCs/>
        </w:rPr>
      </w:pPr>
      <w:r>
        <w:t>***</w:t>
      </w:r>
    </w:p>
    <w:p w14:paraId="4B3E22BD" w14:textId="77777777" w:rsidR="007328CD" w:rsidRPr="006A68DB" w:rsidRDefault="007328CD" w:rsidP="007328CD">
      <w:pPr>
        <w:pStyle w:val="NoSpacing"/>
        <w:ind w:left="720"/>
        <w:rPr>
          <w:bCs/>
        </w:rPr>
      </w:pPr>
      <w:r w:rsidRPr="006A68DB">
        <w:t xml:space="preserve">The Army’s investigation found Fluor primarily responsible for the attack. Interviews of Fluor personnel </w:t>
      </w:r>
      <w:r>
        <w:t>‘</w:t>
      </w:r>
      <w:r w:rsidRPr="006A68DB">
        <w:t>reveal[ed] a poor understanding by Fluor supervisors as to</w:t>
      </w:r>
      <w:r>
        <w:t xml:space="preserve"> </w:t>
      </w:r>
      <w:r w:rsidRPr="006A68DB">
        <w:t>who was responsible for Nayeb’s supervision</w:t>
      </w:r>
      <w:r>
        <w:t>’</w:t>
      </w:r>
      <w:r w:rsidRPr="006A68DB">
        <w:t xml:space="preserve"> and </w:t>
      </w:r>
      <w:r>
        <w:t>‘</w:t>
      </w:r>
      <w:r w:rsidRPr="006A68DB">
        <w:t>an unreasonable complacency by Fluor to ensure Local National</w:t>
      </w:r>
      <w:r>
        <w:t xml:space="preserve"> </w:t>
      </w:r>
      <w:r w:rsidRPr="006A68DB">
        <w:t xml:space="preserve">employees were properly </w:t>
      </w:r>
      <w:proofErr w:type="gramStart"/>
      <w:r w:rsidRPr="006A68DB">
        <w:t>supervised at all times</w:t>
      </w:r>
      <w:proofErr w:type="gramEnd"/>
      <w:r w:rsidRPr="006A68DB">
        <w:t>, as re-</w:t>
      </w:r>
    </w:p>
    <w:p w14:paraId="29C78BF8" w14:textId="77777777" w:rsidR="007328CD" w:rsidRDefault="007328CD" w:rsidP="007328CD">
      <w:pPr>
        <w:pStyle w:val="NoSpacing"/>
        <w:ind w:left="720"/>
        <w:rPr>
          <w:bCs/>
        </w:rPr>
      </w:pPr>
      <w:r w:rsidRPr="006A68DB">
        <w:t>quired by their contract.</w:t>
      </w:r>
      <w:r>
        <w:t>’</w:t>
      </w:r>
    </w:p>
    <w:p w14:paraId="675184BB" w14:textId="77777777" w:rsidR="007328CD" w:rsidRDefault="007328CD" w:rsidP="007328CD">
      <w:pPr>
        <w:pStyle w:val="NoSpacing"/>
        <w:ind w:left="720"/>
        <w:rPr>
          <w:bCs/>
        </w:rPr>
      </w:pPr>
    </w:p>
    <w:p w14:paraId="3D5DD965" w14:textId="77777777" w:rsidR="007328CD" w:rsidRDefault="007328CD" w:rsidP="007328CD">
      <w:pPr>
        <w:pStyle w:val="NoSpacing"/>
        <w:ind w:left="720"/>
        <w:rPr>
          <w:bCs/>
        </w:rPr>
      </w:pPr>
      <w:r>
        <w:t>***</w:t>
      </w:r>
    </w:p>
    <w:p w14:paraId="5469BAE7" w14:textId="77777777" w:rsidR="007328CD" w:rsidRDefault="007328CD" w:rsidP="007328CD">
      <w:pPr>
        <w:pStyle w:val="NoSpacing"/>
        <w:rPr>
          <w:bCs/>
        </w:rPr>
      </w:pPr>
    </w:p>
    <w:p w14:paraId="77340722" w14:textId="77777777" w:rsidR="007328CD" w:rsidRDefault="007328CD" w:rsidP="007328CD">
      <w:pPr>
        <w:pStyle w:val="NoSpacing"/>
        <w:ind w:left="720"/>
        <w:rPr>
          <w:bCs/>
        </w:rPr>
      </w:pPr>
      <w:r w:rsidRPr="00C8739E">
        <w:t xml:space="preserve">The Fourth Circuit’s decision held </w:t>
      </w:r>
      <w:proofErr w:type="spellStart"/>
      <w:r w:rsidRPr="00C8739E">
        <w:t>Hencely’s</w:t>
      </w:r>
      <w:proofErr w:type="spellEnd"/>
      <w:r w:rsidRPr="00C8739E">
        <w:t xml:space="preserve"> claims</w:t>
      </w:r>
      <w:r>
        <w:t xml:space="preserve"> </w:t>
      </w:r>
      <w:r w:rsidRPr="00C8739E">
        <w:t>preempted even though the conduct complained of was neither ordered nor authorized by the Federal Government.</w:t>
      </w:r>
      <w:r>
        <w:t xml:space="preserve"> </w:t>
      </w:r>
      <w:r w:rsidRPr="00C8739E">
        <w:t xml:space="preserve">No provision of the Constitution and no federal statute </w:t>
      </w:r>
      <w:proofErr w:type="gramStart"/>
      <w:r w:rsidRPr="00C8739E">
        <w:t>justifies</w:t>
      </w:r>
      <w:proofErr w:type="gramEnd"/>
      <w:r w:rsidRPr="00C8739E">
        <w:t xml:space="preserve"> that preemption of the State’s ordinary authority over</w:t>
      </w:r>
      <w:r>
        <w:t xml:space="preserve"> </w:t>
      </w:r>
      <w:r w:rsidRPr="00C8739E">
        <w:t>tort suits. Nor does any precedent of this Court command</w:t>
      </w:r>
      <w:r>
        <w:t xml:space="preserve"> </w:t>
      </w:r>
      <w:r w:rsidRPr="00C8739E">
        <w:t>such a result. Therefore, we vacate the judgment of the</w:t>
      </w:r>
      <w:r>
        <w:t xml:space="preserve"> </w:t>
      </w:r>
      <w:r w:rsidRPr="00C8739E">
        <w:t xml:space="preserve">Fourth Circuit and </w:t>
      </w:r>
      <w:proofErr w:type="gramStart"/>
      <w:r w:rsidRPr="00C8739E">
        <w:t>remand</w:t>
      </w:r>
      <w:proofErr w:type="gramEnd"/>
      <w:r w:rsidRPr="00C8739E">
        <w:t xml:space="preserve"> the case for further proceedings</w:t>
      </w:r>
      <w:r>
        <w:t xml:space="preserve"> </w:t>
      </w:r>
      <w:r w:rsidRPr="00C8739E">
        <w:t>consistent with this opinion.</w:t>
      </w:r>
    </w:p>
    <w:p w14:paraId="22028DAD" w14:textId="77777777" w:rsidR="007328CD" w:rsidRDefault="007328CD" w:rsidP="007328CD">
      <w:pPr>
        <w:pStyle w:val="NoSpacing"/>
        <w:rPr>
          <w:bCs/>
        </w:rPr>
      </w:pPr>
    </w:p>
    <w:p w14:paraId="5701F618" w14:textId="77777777" w:rsidR="007328CD" w:rsidRDefault="007328CD" w:rsidP="007328CD">
      <w:pPr>
        <w:pStyle w:val="NoSpacing"/>
        <w:rPr>
          <w:b/>
        </w:rPr>
      </w:pPr>
    </w:p>
    <w:p w14:paraId="014AE52B" w14:textId="77777777" w:rsidR="007328CD" w:rsidRDefault="007328CD" w:rsidP="007328CD">
      <w:pPr>
        <w:pStyle w:val="NoSpacing"/>
      </w:pPr>
      <w:r w:rsidRPr="00927246">
        <w:t>ALITO, J., dissenting</w:t>
      </w:r>
    </w:p>
    <w:p w14:paraId="31464C0F" w14:textId="77777777" w:rsidR="007328CD" w:rsidRPr="00637A04" w:rsidRDefault="007328CD" w:rsidP="007328CD">
      <w:pPr>
        <w:pStyle w:val="NoSpacing"/>
      </w:pPr>
    </w:p>
    <w:p w14:paraId="70E0A015" w14:textId="77777777" w:rsidR="007328CD" w:rsidRDefault="007328CD" w:rsidP="007328CD">
      <w:pPr>
        <w:pStyle w:val="NoSpacing"/>
        <w:ind w:left="720"/>
      </w:pPr>
      <w:r>
        <w:t>“</w:t>
      </w:r>
      <w:r w:rsidRPr="00637A04">
        <w:t>Among those injured when Nayeb detonated his bomb</w:t>
      </w:r>
      <w:r>
        <w:t xml:space="preserve"> </w:t>
      </w:r>
      <w:r w:rsidRPr="00637A04">
        <w:t>was petitioner, former Army Specialist Winston Tyler</w:t>
      </w:r>
      <w:r>
        <w:t xml:space="preserve"> </w:t>
      </w:r>
      <w:r w:rsidRPr="00637A04">
        <w:t>Hencely, who suffered severe and permanent injuries.</w:t>
      </w:r>
      <w:r>
        <w:t xml:space="preserve"> </w:t>
      </w:r>
      <w:r w:rsidRPr="00637A04">
        <w:t>Barred by sovereign immunity from suing the Federal Government, petitioner brought this diversity suit against</w:t>
      </w:r>
      <w:r>
        <w:t xml:space="preserve"> </w:t>
      </w:r>
      <w:r w:rsidRPr="00637A04">
        <w:t>Fluor and asserted tort claims under South Carolina law.</w:t>
      </w:r>
      <w:r>
        <w:t xml:space="preserve"> </w:t>
      </w:r>
      <w:r w:rsidRPr="00637A04">
        <w:t>Like all members of the military wounded in the service of</w:t>
      </w:r>
      <w:r>
        <w:t xml:space="preserve"> </w:t>
      </w:r>
      <w:r w:rsidRPr="00637A04">
        <w:t>our country, petitioner deserves a full measure of support</w:t>
      </w:r>
      <w:r>
        <w:t xml:space="preserve"> </w:t>
      </w:r>
      <w:r w:rsidRPr="00637A04">
        <w:t>from the American people, who owe him a debt that can</w:t>
      </w:r>
      <w:r>
        <w:t xml:space="preserve"> </w:t>
      </w:r>
      <w:r w:rsidRPr="00637A04">
        <w:t>never be fully repaid. But this state-law tort suit is not the</w:t>
      </w:r>
      <w:r>
        <w:t xml:space="preserve"> </w:t>
      </w:r>
      <w:r w:rsidRPr="00637A04">
        <w:t>way to give petitioner what he is due</w:t>
      </w:r>
      <w:r>
        <w:t>.</w:t>
      </w:r>
    </w:p>
    <w:p w14:paraId="746A39A7" w14:textId="77777777" w:rsidR="007328CD" w:rsidRDefault="007328CD" w:rsidP="007328CD">
      <w:pPr>
        <w:pStyle w:val="NoSpacing"/>
        <w:ind w:left="720"/>
      </w:pPr>
    </w:p>
    <w:p w14:paraId="2A32B32E" w14:textId="77777777" w:rsidR="007328CD" w:rsidRDefault="007328CD" w:rsidP="007328CD">
      <w:pPr>
        <w:pStyle w:val="NoSpacing"/>
      </w:pPr>
    </w:p>
    <w:p w14:paraId="7610BAC2" w14:textId="77777777" w:rsidR="007328CD" w:rsidRDefault="007328CD" w:rsidP="007328CD">
      <w:pPr>
        <w:pStyle w:val="NoSpacing"/>
        <w:ind w:left="720"/>
      </w:pPr>
      <w:r>
        <w:t>***</w:t>
      </w:r>
    </w:p>
    <w:p w14:paraId="7AD99684" w14:textId="77777777" w:rsidR="007328CD" w:rsidRDefault="007328CD" w:rsidP="007328CD">
      <w:pPr>
        <w:pStyle w:val="NoSpacing"/>
        <w:ind w:left="720"/>
      </w:pPr>
    </w:p>
    <w:p w14:paraId="0870317B" w14:textId="77777777" w:rsidR="007328CD" w:rsidRDefault="007328CD" w:rsidP="007328CD">
      <w:pPr>
        <w:pStyle w:val="NoSpacing"/>
        <w:ind w:left="720"/>
      </w:pPr>
      <w:r>
        <w:t>In sum, we have long recognized that the Constitution itself may demand preemption when a state law intrudes upon an area of exclusive federal authority. And because the Constitution gives the Federal Government exclusive authority over foreign affairs and the conduct of wars, federal law preempts all state law that substantially interferes with the Government’s exercise of those powers.”</w:t>
      </w:r>
    </w:p>
    <w:p w14:paraId="5326E1F9" w14:textId="77777777" w:rsidR="007328CD" w:rsidRDefault="007328CD" w:rsidP="007328CD">
      <w:pPr>
        <w:pStyle w:val="NoSpacing"/>
        <w:ind w:left="720"/>
      </w:pPr>
    </w:p>
    <w:p w14:paraId="15B7E055" w14:textId="77777777" w:rsidR="007328CD" w:rsidRPr="00137F48" w:rsidRDefault="007328CD" w:rsidP="007328CD">
      <w:pPr>
        <w:pStyle w:val="NoSpacing"/>
        <w:rPr>
          <w:b/>
          <w:bCs/>
        </w:rPr>
      </w:pPr>
      <w:r>
        <w:rPr>
          <w:b/>
        </w:rPr>
        <w:t xml:space="preserve">Legal lesson learned:  The plaintiff suffered terrible, </w:t>
      </w:r>
      <w:proofErr w:type="spellStart"/>
      <w:proofErr w:type="gramStart"/>
      <w:r>
        <w:rPr>
          <w:b/>
        </w:rPr>
        <w:t>life long</w:t>
      </w:r>
      <w:proofErr w:type="spellEnd"/>
      <w:proofErr w:type="gramEnd"/>
      <w:r>
        <w:rPr>
          <w:b/>
        </w:rPr>
        <w:t xml:space="preserve"> injuries; he has now been given opportunity to seek damages from a military contractor. </w:t>
      </w:r>
    </w:p>
    <w:p w14:paraId="4A25CC4F" w14:textId="77777777" w:rsidR="007328CD" w:rsidRDefault="007328CD" w:rsidP="007328CD">
      <w:pPr>
        <w:pStyle w:val="NoSpacing"/>
      </w:pPr>
    </w:p>
    <w:p w14:paraId="271BCBB7" w14:textId="77777777" w:rsidR="007328CD" w:rsidRDefault="007328CD" w:rsidP="007328CD">
      <w:pPr>
        <w:pStyle w:val="NoSpacing"/>
        <w:rPr>
          <w:bCs/>
        </w:rPr>
      </w:pPr>
      <w:r>
        <w:rPr>
          <w:b/>
        </w:rPr>
        <w:tab/>
        <w:t xml:space="preserve">Note: </w:t>
      </w:r>
      <w:r>
        <w:t xml:space="preserve">Bagram Airbase was a very dangerous place [from Dissenting Opinion]: </w:t>
      </w:r>
    </w:p>
    <w:p w14:paraId="7062FD39" w14:textId="77777777" w:rsidR="007328CD" w:rsidRDefault="007328CD" w:rsidP="007328CD">
      <w:pPr>
        <w:pStyle w:val="NoSpacing"/>
        <w:ind w:left="720"/>
        <w:rPr>
          <w:b/>
        </w:rPr>
      </w:pPr>
      <w:r>
        <w:t>“In February 2007, a suicide bombing on the base killed 23 and injured 20 more. A June 2009 rocket attack killed two soldiers and injured at least six others. In May 2010, insurgents wearing U. S. Army uniforms killed an American contractor and wounded nine servicemembers. A November 2013 rocket attack killed two civilian contractors, and a December 2015 suicide bombing killed six American service-members.”</w:t>
      </w:r>
    </w:p>
    <w:p w14:paraId="20997A6E" w14:textId="77777777" w:rsidR="007328CD" w:rsidRDefault="007328CD" w:rsidP="007328CD">
      <w:pPr>
        <w:pStyle w:val="NoSpacing"/>
        <w:rPr>
          <w:bCs/>
        </w:rPr>
      </w:pPr>
    </w:p>
    <w:p w14:paraId="46E1DE58" w14:textId="77777777" w:rsidR="007328CD" w:rsidRDefault="007328CD" w:rsidP="00CC37FA">
      <w:pPr>
        <w:pStyle w:val="NoSpacing"/>
        <w:rPr>
          <w:rFonts w:ascii="Arial Black" w:hAnsi="Arial Black"/>
          <w:sz w:val="28"/>
          <w:szCs w:val="28"/>
        </w:rPr>
      </w:pPr>
    </w:p>
    <w:p w14:paraId="6F1BE1CE" w14:textId="0322CA85" w:rsidR="002A66F2" w:rsidRDefault="002A66F2" w:rsidP="002A66F2">
      <w:pPr>
        <w:pStyle w:val="NoSpacing"/>
        <w:rPr>
          <w:rFonts w:ascii="Arial Black" w:hAnsi="Arial Black"/>
          <w:sz w:val="28"/>
          <w:szCs w:val="28"/>
        </w:rPr>
      </w:pPr>
      <w:r>
        <w:rPr>
          <w:rFonts w:ascii="Arial Black" w:hAnsi="Arial Black"/>
          <w:sz w:val="28"/>
          <w:szCs w:val="28"/>
        </w:rPr>
        <w:t>3-90</w:t>
      </w:r>
    </w:p>
    <w:p w14:paraId="7CEB6F5B" w14:textId="77777777" w:rsidR="002A66F2" w:rsidRDefault="002A66F2" w:rsidP="002A66F2">
      <w:pPr>
        <w:pStyle w:val="NoSpacing"/>
        <w:rPr>
          <w:rFonts w:ascii="Arial Black" w:hAnsi="Arial Black"/>
          <w:b/>
          <w:sz w:val="28"/>
          <w:szCs w:val="28"/>
        </w:rPr>
      </w:pPr>
    </w:p>
    <w:p w14:paraId="35914F7F" w14:textId="531F9030" w:rsidR="002A66F2" w:rsidRPr="00DD0E3B" w:rsidRDefault="002A66F2" w:rsidP="002A66F2">
      <w:pPr>
        <w:pStyle w:val="NoSpacing"/>
        <w:rPr>
          <w:rFonts w:ascii="Arial Black" w:hAnsi="Arial Black"/>
          <w:b/>
          <w:sz w:val="28"/>
          <w:szCs w:val="28"/>
        </w:rPr>
      </w:pPr>
      <w:r>
        <w:rPr>
          <w:rFonts w:ascii="Arial Black" w:hAnsi="Arial Black"/>
          <w:b/>
          <w:sz w:val="28"/>
          <w:szCs w:val="28"/>
        </w:rPr>
        <w:t>NY: IRAN LIABLE - FF DIED CANCER - 9/11 – $7 MILLION</w:t>
      </w:r>
    </w:p>
    <w:p w14:paraId="22A39461" w14:textId="77777777" w:rsidR="002A66F2" w:rsidRDefault="002A66F2" w:rsidP="002A66F2">
      <w:pPr>
        <w:pStyle w:val="NoSpacing"/>
        <w:rPr>
          <w:b/>
        </w:rPr>
      </w:pPr>
    </w:p>
    <w:p w14:paraId="78800D86" w14:textId="77777777" w:rsidR="002A66F2" w:rsidRDefault="002A66F2" w:rsidP="002A66F2">
      <w:r>
        <w:t xml:space="preserve">On March 17, 2026, </w:t>
      </w:r>
      <w:r w:rsidRPr="00C777B2">
        <w:rPr>
          <w:u w:val="single"/>
        </w:rPr>
        <w:t xml:space="preserve">In </w:t>
      </w:r>
      <w:r>
        <w:rPr>
          <w:u w:val="single"/>
        </w:rPr>
        <w:t>R</w:t>
      </w:r>
      <w:r w:rsidRPr="00C777B2">
        <w:rPr>
          <w:u w:val="single"/>
        </w:rPr>
        <w:t>e Terrorist Attacks on September 11, 2001; Knight et al v. Islamic Republic of Iran</w:t>
      </w:r>
      <w:r w:rsidRPr="00C777B2">
        <w:t xml:space="preserve">, </w:t>
      </w:r>
      <w:r>
        <w:t xml:space="preserve">U.S. District Court Judge George B. Daniels, United States District Court for the Southern District of New York, held that plaintiffs </w:t>
      </w:r>
      <w:r w:rsidRPr="002240F5">
        <w:t>who developed fatal medical conditions after 9/11-related environmental exposure</w:t>
      </w:r>
      <w:r>
        <w:t>s are entitled to a default judgment against the Iran (which has never replied to any of the plaintiffs’ lawsuits).  Iran is liable under the  2016 terrorism exception to the F</w:t>
      </w:r>
      <w:r w:rsidRPr="007F3DB7">
        <w:t xml:space="preserve">oreign Sovereign Immunities Act [FSIA]; 28 U.S. Code § 1605A - Terrorism exception to the jurisdictional immunity of a foreign state. </w:t>
      </w:r>
      <w:hyperlink r:id="rId655" w:history="1">
        <w:r w:rsidRPr="007F3DB7">
          <w:rPr>
            <w:rStyle w:val="Hyperlink"/>
          </w:rPr>
          <w:t>https://www.law.cornell.edu/uscode/text/28/1605A</w:t>
        </w:r>
      </w:hyperlink>
      <w:r>
        <w:t xml:space="preserve">. One of the plaintiffs is the Estate of Albert Filosa, FDN, seeking recovery for his </w:t>
      </w:r>
      <w:r w:rsidRPr="009C1F1C">
        <w:t>latent injuries and subsequent death</w:t>
      </w:r>
      <w:r>
        <w:t xml:space="preserve"> at age 70.  The Judge held that U.S. </w:t>
      </w:r>
      <w:r w:rsidRPr="00CF1F22">
        <w:t>Magistrate Judge Netburn correctly determined that the Filosa Estate</w:t>
      </w:r>
      <w:r>
        <w:t xml:space="preserve"> is </w:t>
      </w:r>
      <w:r w:rsidRPr="00CF1F22">
        <w:t xml:space="preserve"> entitled to a baseline award of $7,000,000 in damages based on “severe” injuries stemming from </w:t>
      </w:r>
      <w:r>
        <w:t xml:space="preserve">his </w:t>
      </w:r>
      <w:r w:rsidRPr="00CF1F22">
        <w:t>role as</w:t>
      </w:r>
      <w:r>
        <w:t xml:space="preserve"> a</w:t>
      </w:r>
      <w:r w:rsidRPr="00CF1F22">
        <w:t xml:space="preserve"> first responder to the 9/11 </w:t>
      </w:r>
      <w:r>
        <w:t>a</w:t>
      </w:r>
      <w:r w:rsidRPr="00CF1F22">
        <w:t>ttacks.</w:t>
      </w:r>
      <w:r>
        <w:t xml:space="preserve"> Family has no way to collect unless can find Iran assets. </w:t>
      </w:r>
      <w:hyperlink r:id="rId656" w:history="1">
        <w:r w:rsidRPr="009500C1">
          <w:rPr>
            <w:rStyle w:val="Hyperlink"/>
          </w:rPr>
          <w:t>https://public.fastcase.com/Jhe1Qn%2BmJndQYQU6z%2FeNm525CuDWbNdyVkYCPMsZ0T5YpmzSSkpneXijYslIbSF5OmudrAoxw3Ae8PMhEMNZsP67fNH%2FZ%2FwnrBtLVmm5SAU%3D?utm_medium=email&amp;_hsenc=p2ANqtz-9semzM2ZQJ5MEhp_UWNRAg9Ejc_wupFqaRucLy6fQyzUPCHHSZ-OwHACqIjxggJtdwV9jTjO8a6Rf4TL88Oco6y4mJgQ&amp;_hsmi=226712652&amp;utm_content=226712652&amp;utm_source=hs_email</w:t>
        </w:r>
      </w:hyperlink>
      <w:r>
        <w:t xml:space="preserve"> </w:t>
      </w:r>
    </w:p>
    <w:p w14:paraId="6393C809" w14:textId="77777777" w:rsidR="002A66F2" w:rsidRDefault="002A66F2" w:rsidP="002A66F2"/>
    <w:p w14:paraId="376DF2F0" w14:textId="77777777" w:rsidR="002A66F2" w:rsidRDefault="002A66F2" w:rsidP="002A66F2">
      <w:r>
        <w:t>THE COURT HELD:</w:t>
      </w:r>
    </w:p>
    <w:p w14:paraId="100DA9B9" w14:textId="77777777" w:rsidR="002A66F2" w:rsidRDefault="002A66F2" w:rsidP="002A66F2">
      <w:pPr>
        <w:ind w:left="720"/>
      </w:pPr>
      <w:r>
        <w:t>“</w:t>
      </w:r>
      <w:r w:rsidRPr="00F7319E">
        <w:t>This Court has previously granted partial default judgment motions for plaintiffs who developed fatal medical conditions after 9/11-related environmental exposures</w:t>
      </w:r>
      <w:r>
        <w:t xml:space="preserve">…. </w:t>
      </w:r>
      <w:r w:rsidRPr="00F7319E">
        <w:t>This Court has not yet, however, addressed recovery for claims by living plaintiffs who developed non-fatal latent conditions after 9/11-related environmental exposures.</w:t>
      </w:r>
    </w:p>
    <w:p w14:paraId="7734CB16" w14:textId="77777777" w:rsidR="002A66F2" w:rsidRDefault="002A66F2" w:rsidP="002A66F2">
      <w:pPr>
        <w:ind w:left="720"/>
      </w:pPr>
      <w:r w:rsidRPr="003F5009">
        <w:t xml:space="preserve">Before this Court are two Reports and Recommendations issued by Magistrate Judge Netburn recommending that this Court grant the </w:t>
      </w:r>
      <w:r w:rsidRPr="003F5009">
        <w:rPr>
          <w:i/>
          <w:iCs/>
        </w:rPr>
        <w:t>Knight, Rodriguez, Johnson,</w:t>
      </w:r>
      <w:r w:rsidRPr="003F5009">
        <w:t xml:space="preserve"> and </w:t>
      </w:r>
      <w:r w:rsidRPr="003F5009">
        <w:rPr>
          <w:i/>
          <w:iCs/>
        </w:rPr>
        <w:t>Gaston</w:t>
      </w:r>
      <w:r w:rsidRPr="003F5009">
        <w:t xml:space="preserve"> Plaintiffs' motions for non-fatal latent injuries, and recommending the amounts in which each Plaintiff should be awarded pain and suffering damages</w:t>
      </w:r>
      <w:r>
        <w:t xml:space="preserve">…. </w:t>
      </w:r>
      <w:r w:rsidRPr="003F5009">
        <w:t>No party objected to the Nonfatal Latent Injury Reports. This Court ADOPTS the Non-fatal Latent Injury Reports in full.</w:t>
      </w:r>
    </w:p>
    <w:p w14:paraId="3F6003A1" w14:textId="77777777" w:rsidR="002A66F2" w:rsidRDefault="002A66F2" w:rsidP="002A66F2">
      <w:pPr>
        <w:ind w:left="720"/>
      </w:pPr>
      <w:r>
        <w:t>***</w:t>
      </w:r>
    </w:p>
    <w:p w14:paraId="6177FC0C" w14:textId="77777777" w:rsidR="002A66F2" w:rsidRDefault="002A66F2" w:rsidP="002A66F2">
      <w:pPr>
        <w:ind w:left="720"/>
      </w:pPr>
      <w:r w:rsidRPr="00D9141E">
        <w:t>It is immaterial that some Plaintiffs were only present at the World Trade Center (</w:t>
      </w:r>
      <w:r>
        <w:t>‘</w:t>
      </w:r>
      <w:r w:rsidRPr="00D9141E">
        <w:t>WTC</w:t>
      </w:r>
      <w:r>
        <w:t>’</w:t>
      </w:r>
      <w:r w:rsidRPr="00D9141E">
        <w:t>) after September 11, 2001, or that some Plaintiffs participated in processing debris from the WTC site in a different borough</w:t>
      </w:r>
      <w:r>
        <w:t xml:space="preserve">…. </w:t>
      </w:r>
      <w:r w:rsidRPr="00D9141E">
        <w:t xml:space="preserve">Because the Plaintiffs were exposed to the toxins, carcinogens, and debris </w:t>
      </w:r>
      <w:proofErr w:type="gramStart"/>
      <w:r w:rsidRPr="00D9141E">
        <w:t>as a result of</w:t>
      </w:r>
      <w:proofErr w:type="gramEnd"/>
      <w:r w:rsidRPr="00D9141E">
        <w:t xml:space="preserve"> the 9/11 Attacks, Magistrate Judge Netburn properly concluded that the Plaintiffs are entitled to recovery.</w:t>
      </w:r>
    </w:p>
    <w:p w14:paraId="530D39EA" w14:textId="77777777" w:rsidR="002A66F2" w:rsidRDefault="002A66F2" w:rsidP="002A66F2">
      <w:pPr>
        <w:ind w:left="720"/>
      </w:pPr>
      <w:r>
        <w:t>***</w:t>
      </w:r>
    </w:p>
    <w:p w14:paraId="3D73B2E1" w14:textId="77777777" w:rsidR="002A66F2" w:rsidRDefault="002A66F2" w:rsidP="002A66F2">
      <w:pPr>
        <w:ind w:left="720"/>
      </w:pPr>
      <w:r w:rsidRPr="00B25119">
        <w:t xml:space="preserve">The Filosa Estate seeks recovery for the latent injuries and subsequent death suffered by firefighter and </w:t>
      </w:r>
      <w:proofErr w:type="gramStart"/>
      <w:r w:rsidRPr="00B25119">
        <w:t>first-responder</w:t>
      </w:r>
      <w:proofErr w:type="gramEnd"/>
      <w:r w:rsidRPr="00B25119">
        <w:t xml:space="preserve"> </w:t>
      </w:r>
      <w:proofErr w:type="gramStart"/>
      <w:r w:rsidRPr="00B25119">
        <w:t>Albert Filosa, and</w:t>
      </w:r>
      <w:proofErr w:type="gramEnd"/>
      <w:r w:rsidRPr="00B25119">
        <w:t xml:space="preserve"> provides to the Court a VCF eligibility letter that reflects the agency's conclusion that Filosa's injuries were a </w:t>
      </w:r>
      <w:r>
        <w:t>‘</w:t>
      </w:r>
      <w:r w:rsidRPr="00B25119">
        <w:t>direct result of the 9/11 Attacks.</w:t>
      </w:r>
      <w:r>
        <w:t xml:space="preserve">’ … </w:t>
      </w:r>
      <w:r w:rsidRPr="00B25119">
        <w:t>Based on the evidence provided by the Filosa Estate, Magistrate Judge Netburn properly concluded that the Filosa Estate sufficiently establishes causation.</w:t>
      </w:r>
      <w:r>
        <w:t>”</w:t>
      </w:r>
    </w:p>
    <w:p w14:paraId="1AA238A8" w14:textId="77777777" w:rsidR="002A66F2" w:rsidRDefault="002A66F2" w:rsidP="002A66F2">
      <w:pPr>
        <w:rPr>
          <w:b/>
          <w:bCs/>
        </w:rPr>
      </w:pPr>
      <w:r>
        <w:rPr>
          <w:b/>
        </w:rPr>
        <w:t xml:space="preserve">Legal lesson learned:  Unless family can locate Iran assets, they will not be able to collect this judgment. </w:t>
      </w:r>
    </w:p>
    <w:p w14:paraId="5C64537B" w14:textId="77777777" w:rsidR="002A66F2" w:rsidRDefault="002A66F2" w:rsidP="002A66F2">
      <w:pPr>
        <w:pStyle w:val="NoSpacing"/>
        <w:ind w:left="720"/>
        <w:rPr>
          <w:b/>
        </w:rPr>
      </w:pPr>
      <w:r>
        <w:t xml:space="preserve">Note: See the </w:t>
      </w:r>
      <w:r w:rsidRPr="0046685C">
        <w:t xml:space="preserve">National Fallen Firefighters Foundation Roll of Honor for </w:t>
      </w:r>
      <w:proofErr w:type="gramStart"/>
      <w:r w:rsidRPr="0046685C">
        <w:t>firefighter</w:t>
      </w:r>
      <w:proofErr w:type="gramEnd"/>
      <w:r w:rsidRPr="0046685C">
        <w:t xml:space="preserve"> Albert Filosa: </w:t>
      </w:r>
      <w:r>
        <w:t xml:space="preserve"> “</w:t>
      </w:r>
      <w:hyperlink r:id="rId657" w:history="1"/>
      <w:r w:rsidRPr="006A1EEB">
        <w:t xml:space="preserve">He died of cancer, a cancer caused from digging through the rubble in the days following 9/11, searching for remains. He died at 70 years old, and in his last year of life he was painfully sick, which was difficult to witness. The cancer had </w:t>
      </w:r>
      <w:proofErr w:type="gramStart"/>
      <w:r w:rsidRPr="006A1EEB">
        <w:t>metastasized to</w:t>
      </w:r>
      <w:proofErr w:type="gramEnd"/>
      <w:r w:rsidRPr="006A1EEB">
        <w:t xml:space="preserve"> his lungs. He required constant care; he couldn’t breathe. He died at home the way that he wished, surrounded by his family.</w:t>
      </w:r>
      <w:r>
        <w:t>”</w:t>
      </w:r>
      <w:r w:rsidRPr="006A1EEB">
        <w:t xml:space="preserve"> </w:t>
      </w:r>
      <w:hyperlink r:id="rId658" w:history="1">
        <w:r w:rsidRPr="002B6C59">
          <w:rPr>
            <w:rStyle w:val="Hyperlink"/>
            <w:b/>
          </w:rPr>
          <w:t>https://www.firehero.org/fallen-firefighter/albert-a-filosa/</w:t>
        </w:r>
      </w:hyperlink>
      <w:r>
        <w:rPr>
          <w:b/>
        </w:rPr>
        <w:t xml:space="preserve"> </w:t>
      </w:r>
    </w:p>
    <w:p w14:paraId="0FE37658" w14:textId="77777777" w:rsidR="002A66F2" w:rsidRDefault="002A66F2" w:rsidP="002A66F2">
      <w:pPr>
        <w:pStyle w:val="NoSpacing"/>
        <w:ind w:left="720"/>
        <w:rPr>
          <w:b/>
        </w:rPr>
      </w:pPr>
    </w:p>
    <w:p w14:paraId="7A8AB010" w14:textId="243FCD96" w:rsidR="002A66F2" w:rsidRDefault="002A66F2" w:rsidP="002A66F2">
      <w:pPr>
        <w:pStyle w:val="NoSpacing"/>
        <w:rPr>
          <w:rFonts w:ascii="Arial Black" w:hAnsi="Arial Black"/>
          <w:sz w:val="28"/>
          <w:szCs w:val="28"/>
        </w:rPr>
      </w:pPr>
      <w:r w:rsidRPr="0052375E">
        <w:t xml:space="preserve">See my article about this decision, and another decision </w:t>
      </w:r>
      <w:r>
        <w:t xml:space="preserve">allowing lawsuits to proceed against </w:t>
      </w:r>
      <w:r w:rsidRPr="0052375E">
        <w:t xml:space="preserve">Saudi Arabia. April 20, 2026: 9/11 Litigation Is Building </w:t>
      </w:r>
      <w:proofErr w:type="gramStart"/>
      <w:r w:rsidRPr="0052375E">
        <w:t>A</w:t>
      </w:r>
      <w:proofErr w:type="gramEnd"/>
      <w:r w:rsidRPr="0052375E">
        <w:t xml:space="preserve"> New Legal Framework </w:t>
      </w:r>
      <w:proofErr w:type="gramStart"/>
      <w:r w:rsidRPr="0052375E">
        <w:t>For</w:t>
      </w:r>
      <w:proofErr w:type="gramEnd"/>
      <w:r w:rsidRPr="0052375E">
        <w:t xml:space="preserve"> Foreign Terrorist Accountability </w:t>
      </w:r>
      <w:hyperlink r:id="rId659" w:history="1">
        <w:r w:rsidRPr="0052375E">
          <w:rPr>
            <w:rStyle w:val="Hyperlink"/>
          </w:rPr>
          <w:t>https://www.hstoday.us/subject-matter-areas/counterterrorism/9-11-litigation-is-building-a-new-legal-framework-for-foreign-terrorist-accountability/</w:t>
        </w:r>
      </w:hyperlink>
    </w:p>
    <w:p w14:paraId="5D4848F3" w14:textId="77777777" w:rsidR="007328CD" w:rsidRDefault="007328CD" w:rsidP="00CC37FA">
      <w:pPr>
        <w:pStyle w:val="NoSpacing"/>
        <w:rPr>
          <w:rFonts w:ascii="Arial Black" w:hAnsi="Arial Black"/>
          <w:sz w:val="28"/>
          <w:szCs w:val="28"/>
        </w:rPr>
      </w:pPr>
    </w:p>
    <w:p w14:paraId="1E455497" w14:textId="77777777" w:rsidR="007328CD" w:rsidRDefault="007328CD" w:rsidP="00CC37FA">
      <w:pPr>
        <w:pStyle w:val="NoSpacing"/>
        <w:rPr>
          <w:rFonts w:ascii="Arial Black" w:hAnsi="Arial Black"/>
          <w:sz w:val="28"/>
          <w:szCs w:val="28"/>
        </w:rPr>
      </w:pPr>
    </w:p>
    <w:p w14:paraId="52C89594" w14:textId="39236779" w:rsidR="00BE7AC1" w:rsidRDefault="00BE7AC1" w:rsidP="00CC37FA">
      <w:pPr>
        <w:pStyle w:val="NoSpacing"/>
        <w:rPr>
          <w:rFonts w:ascii="Arial Black" w:hAnsi="Arial Black"/>
          <w:sz w:val="28"/>
          <w:szCs w:val="28"/>
        </w:rPr>
      </w:pPr>
      <w:r>
        <w:rPr>
          <w:rFonts w:ascii="Arial Black" w:hAnsi="Arial Black"/>
          <w:sz w:val="28"/>
          <w:szCs w:val="28"/>
        </w:rPr>
        <w:t>3-89</w:t>
      </w:r>
    </w:p>
    <w:p w14:paraId="76FC1B0D" w14:textId="77777777" w:rsidR="00BE7AC1" w:rsidRDefault="00BE7AC1" w:rsidP="00CC37FA">
      <w:pPr>
        <w:pStyle w:val="NoSpacing"/>
        <w:rPr>
          <w:rFonts w:ascii="Arial Black" w:hAnsi="Arial Black"/>
          <w:sz w:val="28"/>
          <w:szCs w:val="28"/>
        </w:rPr>
      </w:pPr>
    </w:p>
    <w:p w14:paraId="1552BB92" w14:textId="77777777" w:rsidR="000B47B1" w:rsidRPr="00B1344C" w:rsidRDefault="000B47B1" w:rsidP="000B47B1">
      <w:pPr>
        <w:pStyle w:val="NoSpacing"/>
        <w:rPr>
          <w:rFonts w:ascii="Arial Black" w:hAnsi="Arial Black"/>
          <w:sz w:val="28"/>
          <w:szCs w:val="28"/>
        </w:rPr>
      </w:pPr>
      <w:r>
        <w:rPr>
          <w:rFonts w:ascii="Arial Black" w:hAnsi="Arial Black"/>
          <w:sz w:val="28"/>
          <w:szCs w:val="28"/>
        </w:rPr>
        <w:t>PA: WEAPON MASS DESTRUCTION – TANNERITE - EMT HURT</w:t>
      </w:r>
    </w:p>
    <w:p w14:paraId="21F27C06" w14:textId="77777777" w:rsidR="000B47B1" w:rsidRDefault="000B47B1" w:rsidP="000B47B1">
      <w:pPr>
        <w:pStyle w:val="NoSpacing"/>
      </w:pPr>
    </w:p>
    <w:p w14:paraId="6E8CBD8E" w14:textId="77777777" w:rsidR="000B47B1" w:rsidRDefault="000B47B1" w:rsidP="000B47B1">
      <w:pPr>
        <w:pStyle w:val="NoSpacing"/>
        <w:rPr>
          <w:b/>
        </w:rPr>
      </w:pPr>
      <w:r w:rsidRPr="00072212">
        <w:t xml:space="preserve">On February 19, 2026, in </w:t>
      </w:r>
      <w:r w:rsidRPr="008B14E8">
        <w:rPr>
          <w:u w:val="single"/>
        </w:rPr>
        <w:t>Commonwealth of Pennsylvania v. Ladell Emery Hannon</w:t>
      </w:r>
      <w:r w:rsidRPr="00072212">
        <w:t>, the Superior Court of Pennsylvania</w:t>
      </w:r>
      <w:r>
        <w:t>, held (3 to 0; unpublished decision) that jury properly convicted a former  police officer of use of a weapon of mass destruction [Tannerite], and stalking an EMT [</w:t>
      </w:r>
      <w:r w:rsidRPr="00B10086">
        <w:t>Harrison Jordan</w:t>
      </w:r>
      <w:r>
        <w:t xml:space="preserve">] who was dating his former wife [also an EMT].  </w:t>
      </w:r>
      <w:r w:rsidRPr="007E0B7E">
        <w:t>Tannerite</w:t>
      </w:r>
      <w:r>
        <w:t xml:space="preserve"> </w:t>
      </w:r>
      <w:r w:rsidRPr="007E0B7E">
        <w:t>is used to produce exploding targets for long-range shooting practice.</w:t>
      </w:r>
      <w:r>
        <w:t xml:space="preserve"> The police officer put tracers on his former wife’s vehicle and on Mr. Jordan’s vehicle. On December 21, 2021, Jordan was injured by an explosion outside his apartment - a five-gallon bucket of Tannerite exploded injuring Jordan; he suffered ruptured eardrums, wounds caused by shrapnel and cement, and burns; the explosion also damaged the apartment building.  The defendant  was sentenced on November 22, </w:t>
      </w:r>
      <w:proofErr w:type="gramStart"/>
      <w:r>
        <w:t>2024</w:t>
      </w:r>
      <w:proofErr w:type="gramEnd"/>
      <w:r>
        <w:t xml:space="preserve"> to an aggregate term of 17½ to 35 years of incarceration.  </w:t>
      </w:r>
      <w:hyperlink r:id="rId660" w:history="1">
        <w:r w:rsidRPr="00A9331C">
          <w:rPr>
            <w:rStyle w:val="Hyperlink"/>
            <w:b/>
          </w:rPr>
          <w:t>https://www.pacourts.us/assets/opinions/Superior/out/J-S42019-25m%20-%20106685903347676413.pdf?cb=1</w:t>
        </w:r>
      </w:hyperlink>
      <w:r>
        <w:rPr>
          <w:b/>
        </w:rPr>
        <w:t xml:space="preserve"> </w:t>
      </w:r>
    </w:p>
    <w:p w14:paraId="2850E673" w14:textId="77777777" w:rsidR="000B47B1" w:rsidRDefault="000B47B1" w:rsidP="000B47B1">
      <w:pPr>
        <w:pStyle w:val="NoSpacing"/>
      </w:pPr>
    </w:p>
    <w:p w14:paraId="42A598FA" w14:textId="77777777" w:rsidR="000B47B1" w:rsidRDefault="000B47B1" w:rsidP="000B47B1">
      <w:pPr>
        <w:pStyle w:val="NoSpacing"/>
      </w:pPr>
    </w:p>
    <w:p w14:paraId="65EA886F" w14:textId="77777777" w:rsidR="000B47B1" w:rsidRDefault="000B47B1" w:rsidP="000B47B1">
      <w:pPr>
        <w:pStyle w:val="NoSpacing"/>
      </w:pPr>
      <w:r>
        <w:t>THE COURT HELD: “Early in the morning on December 21, 2021, Mr. Jordan left his</w:t>
      </w:r>
    </w:p>
    <w:p w14:paraId="7180ED74" w14:textId="77777777" w:rsidR="000B47B1" w:rsidRDefault="000B47B1" w:rsidP="000B47B1">
      <w:pPr>
        <w:pStyle w:val="NoSpacing"/>
      </w:pPr>
      <w:r>
        <w:t>apartment. However, he noticed a smoking five-gallon bucket outside of his residence. Mr. Jordan attempted to run but did not get far before the bucket exploded. The explosion caused extensive damage to the apartment building, a vacant church opposite the building, and vehicles parked along the street. The explosion also shattered the window of [another resident’s] apartment, cut his finger and damaged his car, and damaged the apartment building itself, which</w:t>
      </w:r>
    </w:p>
    <w:p w14:paraId="7A2260E4" w14:textId="77777777" w:rsidR="000B47B1" w:rsidRDefault="000B47B1" w:rsidP="000B47B1">
      <w:pPr>
        <w:pStyle w:val="NoSpacing"/>
      </w:pPr>
      <w:r>
        <w:t>was owned by D. Agostino. Mr. Jordan suffered ruptured eardrums, wounds caused by shrapnel and cement, and burns. He was taken by ambulance to a local hospital but eventually airlifted to a larger facility in Allentown.</w:t>
      </w:r>
    </w:p>
    <w:p w14:paraId="13EBFE72" w14:textId="77777777" w:rsidR="000B47B1" w:rsidRDefault="000B47B1" w:rsidP="000B47B1">
      <w:pPr>
        <w:pStyle w:val="NoSpacing"/>
      </w:pPr>
    </w:p>
    <w:p w14:paraId="5F8D1961" w14:textId="77777777" w:rsidR="000B47B1" w:rsidRDefault="000B47B1" w:rsidP="000B47B1">
      <w:pPr>
        <w:pStyle w:val="NoSpacing"/>
      </w:pPr>
      <w:r>
        <w:t>***</w:t>
      </w:r>
    </w:p>
    <w:p w14:paraId="43138065" w14:textId="77777777" w:rsidR="000B47B1" w:rsidRDefault="000B47B1" w:rsidP="000B47B1">
      <w:pPr>
        <w:pStyle w:val="NoSpacing"/>
      </w:pPr>
      <w:r>
        <w:t>During the subsequent investigation, police officers discovered a tracker installed under Ms. Hannon’s vehicle. Officers determined that Appellant had purchased six total trackers, including one placed on Mr. Jordan’s car, and had obtained subscriptions for electronic receipt of the tracking information. Officers also tracked the locations of Appellant’s two cell phones leading up to the explosion, and determined that either one or both of Appellant’s phones were near or at Mr. Jordan’s home frequently at various times of the day and evening in October and November, including the day Mr. Jordan’s camera was stolen.</w:t>
      </w:r>
    </w:p>
    <w:p w14:paraId="5E317A95" w14:textId="77777777" w:rsidR="000B47B1" w:rsidRDefault="000B47B1" w:rsidP="000B47B1">
      <w:pPr>
        <w:pStyle w:val="NoSpacing"/>
      </w:pPr>
    </w:p>
    <w:p w14:paraId="2B388271" w14:textId="77777777" w:rsidR="000B47B1" w:rsidRDefault="000B47B1" w:rsidP="000B47B1">
      <w:pPr>
        <w:pStyle w:val="NoSpacing"/>
      </w:pPr>
      <w:r>
        <w:t>***</w:t>
      </w:r>
    </w:p>
    <w:p w14:paraId="31F0FA80" w14:textId="77777777" w:rsidR="000B47B1" w:rsidRDefault="000B47B1" w:rsidP="000B47B1">
      <w:pPr>
        <w:pStyle w:val="NoSpacing"/>
      </w:pPr>
    </w:p>
    <w:p w14:paraId="04C6C4FD" w14:textId="77777777" w:rsidR="000B47B1" w:rsidRDefault="000B47B1" w:rsidP="000B47B1">
      <w:pPr>
        <w:pStyle w:val="NoSpacing"/>
      </w:pPr>
      <w:r>
        <w:t xml:space="preserve">Further, police officers tracked Appellant’s purchases and discovered that he had made purchases at fireworks stores that coincided with the costs of hobby fuses, a book called The Art of Lockpicking, and reports on Mr. Jordan from various data aggregator sites such as Spokeo and </w:t>
      </w:r>
      <w:proofErr w:type="spellStart"/>
      <w:r>
        <w:t>Peoplefinders</w:t>
      </w:r>
      <w:proofErr w:type="spellEnd"/>
      <w:r>
        <w:t xml:space="preserve">. </w:t>
      </w:r>
      <w:proofErr w:type="gramStart"/>
      <w:r>
        <w:t>Appellant</w:t>
      </w:r>
      <w:proofErr w:type="gramEnd"/>
      <w:r>
        <w:t xml:space="preserve"> also made suspicious searches from September through December,</w:t>
      </w:r>
    </w:p>
    <w:p w14:paraId="587FD222" w14:textId="77777777" w:rsidR="000B47B1" w:rsidRDefault="000B47B1" w:rsidP="000B47B1">
      <w:pPr>
        <w:pStyle w:val="NoSpacing"/>
      </w:pPr>
      <w:r>
        <w:t xml:space="preserve">which included inquiries about Spokeo, Mr. Jordan, lockpicking sets, fireworks, ‘how many pounds of [Tannerite] is deadly’ and ‘10 </w:t>
      </w:r>
      <w:proofErr w:type="spellStart"/>
      <w:r>
        <w:t>lbs</w:t>
      </w:r>
      <w:proofErr w:type="spellEnd"/>
      <w:r>
        <w:t xml:space="preserve"> of </w:t>
      </w:r>
      <w:proofErr w:type="spellStart"/>
      <w:r>
        <w:t>tannerite</w:t>
      </w:r>
      <w:proofErr w:type="spellEnd"/>
      <w:r>
        <w:t xml:space="preserve"> vs. car,’ homemade detonators, and how many foot-pounds of energy were required to kill a human being or penetrate a human skull.”</w:t>
      </w:r>
    </w:p>
    <w:p w14:paraId="3AAD5358" w14:textId="77777777" w:rsidR="000B47B1" w:rsidRDefault="000B47B1" w:rsidP="000B47B1">
      <w:pPr>
        <w:pStyle w:val="NoSpacing"/>
      </w:pPr>
    </w:p>
    <w:p w14:paraId="26632D83" w14:textId="77777777" w:rsidR="000B47B1" w:rsidRDefault="000B47B1" w:rsidP="000B47B1">
      <w:pPr>
        <w:pStyle w:val="NoSpacing"/>
        <w:rPr>
          <w:b/>
          <w:bCs/>
        </w:rPr>
      </w:pPr>
      <w:r w:rsidRPr="00E23CB9">
        <w:rPr>
          <w:b/>
        </w:rPr>
        <w:t xml:space="preserve">Legal lesson learned: </w:t>
      </w:r>
      <w:r>
        <w:rPr>
          <w:b/>
        </w:rPr>
        <w:t xml:space="preserve">Circumstantial evidence proved the defendant was the bomber. </w:t>
      </w:r>
    </w:p>
    <w:p w14:paraId="45D5CC90" w14:textId="77777777" w:rsidR="000B47B1" w:rsidRDefault="000B47B1" w:rsidP="000B47B1">
      <w:pPr>
        <w:pStyle w:val="NoSpacing"/>
        <w:ind w:left="720"/>
      </w:pPr>
    </w:p>
    <w:p w14:paraId="36157F37" w14:textId="77777777" w:rsidR="000B47B1" w:rsidRPr="004E5F9F" w:rsidRDefault="000B47B1" w:rsidP="000B47B1">
      <w:pPr>
        <w:pStyle w:val="NoSpacing"/>
        <w:ind w:left="720"/>
      </w:pPr>
      <w:r w:rsidRPr="004E5F9F">
        <w:t xml:space="preserve">Note: See this article: September 26, 2016: “Explosives used in New York bombing.” </w:t>
      </w:r>
      <w:hyperlink r:id="rId661" w:history="1">
        <w:r w:rsidRPr="0045422A">
          <w:rPr>
            <w:rStyle w:val="Hyperlink"/>
          </w:rPr>
          <w:t>https://pubs.acs.org/doi/10.1021/cen-09438-notw2</w:t>
        </w:r>
      </w:hyperlink>
      <w:r w:rsidRPr="004E5F9F">
        <w:t xml:space="preserve"> </w:t>
      </w:r>
    </w:p>
    <w:p w14:paraId="71BE1EB8" w14:textId="77777777" w:rsidR="000B47B1" w:rsidRDefault="000B47B1" w:rsidP="000B47B1">
      <w:pPr>
        <w:pStyle w:val="NoSpacing"/>
        <w:rPr>
          <w:b/>
          <w:bCs/>
        </w:rPr>
      </w:pPr>
    </w:p>
    <w:p w14:paraId="25AD6C76" w14:textId="77777777" w:rsidR="000B47B1" w:rsidRDefault="000B47B1" w:rsidP="000B47B1">
      <w:pPr>
        <w:pStyle w:val="NoSpacing"/>
        <w:ind w:left="720"/>
      </w:pPr>
      <w:r>
        <w:t>“</w:t>
      </w:r>
      <w:r w:rsidRPr="007E0B7E">
        <w:t xml:space="preserve">Tannerite, made and sold by Tannerite Sports, is used to produce exploding targets for long-range shooting practice. The targets explode when hit by a bullet, allowing shooters to hear and see that they’ve successfully made the shot. According to the </w:t>
      </w:r>
      <w:hyperlink r:id="rId662" w:tgtFrame="_blank" w:history="1">
        <w:r w:rsidRPr="007E0B7E">
          <w:rPr>
            <w:rStyle w:val="Hyperlink"/>
            <w:color w:val="auto"/>
          </w:rPr>
          <w:t>Tannerite patent</w:t>
        </w:r>
      </w:hyperlink>
      <w:r w:rsidRPr="007E0B7E">
        <w:t>, the explosive consists of an 8:1 ratio of two mixtures: a so-called oxidizer component containing 85% ammonium nitrate powder by weight, and 15% ammonium perchlorate; and a “catalyst” component that is 90% explosive grade aluminum powder—which serves as the fuel—along with 5% titanium sponge and 5% zirconium hydride</w:t>
      </w:r>
      <w:r>
        <w:t>.”</w:t>
      </w:r>
    </w:p>
    <w:p w14:paraId="576D7E39" w14:textId="77777777" w:rsidR="00BE7AC1" w:rsidRDefault="00BE7AC1" w:rsidP="00CC37FA">
      <w:pPr>
        <w:pStyle w:val="NoSpacing"/>
        <w:rPr>
          <w:rFonts w:ascii="Arial Black" w:hAnsi="Arial Black"/>
          <w:sz w:val="28"/>
          <w:szCs w:val="28"/>
        </w:rPr>
      </w:pPr>
    </w:p>
    <w:p w14:paraId="6D79308B" w14:textId="77777777" w:rsidR="00BE7AC1" w:rsidRDefault="00BE7AC1" w:rsidP="00CC37FA">
      <w:pPr>
        <w:pStyle w:val="NoSpacing"/>
        <w:rPr>
          <w:rFonts w:ascii="Arial Black" w:hAnsi="Arial Black"/>
          <w:sz w:val="28"/>
          <w:szCs w:val="28"/>
        </w:rPr>
      </w:pPr>
    </w:p>
    <w:p w14:paraId="35F0F643" w14:textId="77777777" w:rsidR="00BE7AC1" w:rsidRDefault="00BE7AC1" w:rsidP="00CC37FA">
      <w:pPr>
        <w:pStyle w:val="NoSpacing"/>
        <w:rPr>
          <w:rFonts w:ascii="Arial Black" w:hAnsi="Arial Black"/>
          <w:sz w:val="28"/>
          <w:szCs w:val="28"/>
        </w:rPr>
      </w:pPr>
    </w:p>
    <w:p w14:paraId="365B8F72" w14:textId="5D48339D" w:rsidR="008963C8" w:rsidRDefault="008963C8"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88</w:t>
      </w:r>
    </w:p>
    <w:p w14:paraId="3382E598" w14:textId="77777777" w:rsidR="000F1A96" w:rsidRDefault="000F1A96" w:rsidP="00520B72">
      <w:pPr>
        <w:pStyle w:val="NoSpacing"/>
        <w:rPr>
          <w:rFonts w:ascii="Arial Black" w:hAnsi="Arial Black"/>
          <w:sz w:val="28"/>
          <w:szCs w:val="28"/>
        </w:rPr>
      </w:pPr>
    </w:p>
    <w:p w14:paraId="42897F37" w14:textId="2D731895" w:rsidR="00520B72" w:rsidRPr="00A20616" w:rsidRDefault="00520B72" w:rsidP="00520B72">
      <w:pPr>
        <w:pStyle w:val="NoSpacing"/>
        <w:rPr>
          <w:rFonts w:ascii="Arial Black" w:hAnsi="Arial Black"/>
          <w:sz w:val="28"/>
          <w:szCs w:val="28"/>
        </w:rPr>
      </w:pPr>
      <w:r>
        <w:rPr>
          <w:rFonts w:ascii="Arial Black" w:hAnsi="Arial Black"/>
          <w:sz w:val="28"/>
          <w:szCs w:val="28"/>
        </w:rPr>
        <w:t>U.S. SUP. CT. – NAT. GUARD IN CHICAGO – NO DEPLOYMENT</w:t>
      </w:r>
    </w:p>
    <w:p w14:paraId="2FE23234" w14:textId="77777777" w:rsidR="00520B72" w:rsidRDefault="00520B72" w:rsidP="00520B72">
      <w:pPr>
        <w:pStyle w:val="NoSpacing"/>
      </w:pPr>
    </w:p>
    <w:p w14:paraId="13ACCAD6" w14:textId="77777777" w:rsidR="00520B72" w:rsidRDefault="00520B72" w:rsidP="00520B72">
      <w:pPr>
        <w:pStyle w:val="NoSpacing"/>
      </w:pPr>
      <w:r>
        <w:t xml:space="preserve">On December 23, 2025, in </w:t>
      </w:r>
      <w:r w:rsidRPr="00850CDB">
        <w:rPr>
          <w:u w:val="single"/>
        </w:rPr>
        <w:t>Donald J. Trump, President of the United States, et al. v. Illinois, et al</w:t>
      </w:r>
      <w:r>
        <w:t>., the United States Supreme Court (6 to 3) issued on its “emergency docket” an Order denying the U.S. Government’s application for a stay of temporary injunction issued by U.S. District Court in Chicago.  In a lawsuit brought by the State of Illinois, the District Court judge (upheld by 3-judge panel of 7</w:t>
      </w:r>
      <w:r w:rsidRPr="005B4A64">
        <w:rPr>
          <w:vertAlign w:val="superscript"/>
        </w:rPr>
        <w:t>th</w:t>
      </w:r>
      <w:r>
        <w:t xml:space="preserve"> Circuit) stopped deployment of Illinois and Texas National Guard members. </w:t>
      </w:r>
      <w:r w:rsidRPr="00453684">
        <w:t>On October 4, 2025, the President called 300 members of</w:t>
      </w:r>
      <w:r>
        <w:t xml:space="preserve"> </w:t>
      </w:r>
      <w:r w:rsidRPr="00453684">
        <w:t xml:space="preserve">the Illinois National Guard into active federal service </w:t>
      </w:r>
      <w:r>
        <w:t xml:space="preserve">under Title 10 </w:t>
      </w:r>
      <w:r w:rsidRPr="00453684">
        <w:t>to</w:t>
      </w:r>
      <w:r>
        <w:t xml:space="preserve"> </w:t>
      </w:r>
      <w:r w:rsidRPr="00453684">
        <w:t xml:space="preserve">protect federal personnel and property </w:t>
      </w:r>
      <w:r>
        <w:t xml:space="preserve">in and near Chicago, and the next day called up Texas National Guard.  Guard members sign up for duty under a dual-enlistment structure, with three different active operational statuses: state active duty, federal active duty under Title 10 of the U.S. Code, and full-time duty under Title 32 of the U.S. Code.  Guard members in Title 32 status have performed missions such as disaster relief, border security operations, airport security after the September 11th attacks, and COVID-19 response efforts.  </w:t>
      </w:r>
      <w:hyperlink r:id="rId663" w:history="1">
        <w:r w:rsidRPr="00B51DCA">
          <w:rPr>
            <w:rStyle w:val="Hyperlink"/>
          </w:rPr>
          <w:t>https://www.supremecourt.gov/opinions/25pdf/25a443_ba7d.pdf</w:t>
        </w:r>
      </w:hyperlink>
    </w:p>
    <w:p w14:paraId="66EE3454" w14:textId="77777777" w:rsidR="00520B72" w:rsidRDefault="00520B72" w:rsidP="00520B72">
      <w:pPr>
        <w:pStyle w:val="NoSpacing"/>
      </w:pPr>
    </w:p>
    <w:p w14:paraId="5B5A6A62" w14:textId="77777777" w:rsidR="00520B72" w:rsidRDefault="00520B72" w:rsidP="00520B72">
      <w:pPr>
        <w:pStyle w:val="NoSpacing"/>
      </w:pPr>
      <w:r>
        <w:t xml:space="preserve">THE COURT HELD: </w:t>
      </w:r>
    </w:p>
    <w:p w14:paraId="36B012B6" w14:textId="77777777" w:rsidR="00520B72" w:rsidRDefault="00520B72" w:rsidP="00520B72">
      <w:pPr>
        <w:pStyle w:val="NoSpacing"/>
      </w:pPr>
    </w:p>
    <w:p w14:paraId="1BCA932E" w14:textId="77777777" w:rsidR="00520B72" w:rsidRDefault="00520B72" w:rsidP="00520B72">
      <w:pPr>
        <w:pStyle w:val="NoSpacing"/>
        <w:ind w:left="720"/>
      </w:pPr>
      <w:r>
        <w:t>“We conclude that the term “regular forces” in §12406(3) likely refers to the regular forces of the United States military. This interpretation means that to call the Guard into</w:t>
      </w:r>
    </w:p>
    <w:p w14:paraId="457D14FE" w14:textId="77777777" w:rsidR="00520B72" w:rsidRDefault="00520B72" w:rsidP="00520B72">
      <w:pPr>
        <w:pStyle w:val="NoSpacing"/>
        <w:ind w:left="720"/>
      </w:pPr>
      <w:r>
        <w:t xml:space="preserve">active federal service under §12406(3), the President must be ‘unable’ with the regular military ‘to execute the laws of the United States.’ Because the statute requires an </w:t>
      </w:r>
    </w:p>
    <w:p w14:paraId="6A9B2079" w14:textId="77777777" w:rsidR="00520B72" w:rsidRDefault="00520B72" w:rsidP="00520B72">
      <w:pPr>
        <w:pStyle w:val="NoSpacing"/>
        <w:ind w:left="720"/>
      </w:pPr>
      <w:r>
        <w:t>assessment of the military’s ability to execute the laws, it likely applies only where the military could legally execute the laws. Such circumstances are exceptional: Under the Posse Comitatus Act, the military is prohibited from ‘</w:t>
      </w:r>
      <w:proofErr w:type="spellStart"/>
      <w:r>
        <w:t>execut</w:t>
      </w:r>
      <w:proofErr w:type="spellEnd"/>
      <w:r>
        <w:t>[</w:t>
      </w:r>
      <w:proofErr w:type="spellStart"/>
      <w:r>
        <w:t>ing</w:t>
      </w:r>
      <w:proofErr w:type="spellEnd"/>
      <w:r>
        <w:t xml:space="preserve">] the laws’ ‘except in cases and under circumstances expressly authorized by the Constitution or Act of Congress.’ 18 U. S. C. §1385. </w:t>
      </w:r>
      <w:proofErr w:type="gramStart"/>
      <w:r>
        <w:t>So</w:t>
      </w:r>
      <w:proofErr w:type="gramEnd"/>
      <w:r>
        <w:t xml:space="preserve"> before the President can federalize the Guard under §12406(3), he likely must have statutory or constitutional authority to execute the laws with the regular military and must be ‘unable’ with those forces to perform that function.’”  </w:t>
      </w:r>
    </w:p>
    <w:p w14:paraId="5C39B7BE" w14:textId="77777777" w:rsidR="00520B72" w:rsidRDefault="00520B72" w:rsidP="00520B72">
      <w:pPr>
        <w:pStyle w:val="NoSpacing"/>
        <w:ind w:left="720"/>
      </w:pPr>
      <w:r>
        <w:t xml:space="preserve"> </w:t>
      </w:r>
    </w:p>
    <w:p w14:paraId="2D4AE28B" w14:textId="77777777" w:rsidR="00520B72" w:rsidRDefault="00520B72" w:rsidP="00520B72">
      <w:pPr>
        <w:pStyle w:val="NoSpacing"/>
        <w:rPr>
          <w:b/>
          <w:bCs/>
        </w:rPr>
      </w:pPr>
      <w:r>
        <w:rPr>
          <w:b/>
        </w:rPr>
        <w:t xml:space="preserve">Legal lessons learned: Federal District Court judges in LA and Portland, Oregon have issued injunctions </w:t>
      </w:r>
      <w:proofErr w:type="gramStart"/>
      <w:r>
        <w:rPr>
          <w:b/>
        </w:rPr>
        <w:t>similar to</w:t>
      </w:r>
      <w:proofErr w:type="gramEnd"/>
      <w:r>
        <w:rPr>
          <w:b/>
        </w:rPr>
        <w:t xml:space="preserve"> Chicago. </w:t>
      </w:r>
    </w:p>
    <w:p w14:paraId="2CE1C544" w14:textId="77777777" w:rsidR="00520B72" w:rsidRDefault="00520B72" w:rsidP="00520B72">
      <w:pPr>
        <w:pStyle w:val="NoSpacing"/>
        <w:rPr>
          <w:b/>
          <w:bCs/>
        </w:rPr>
      </w:pPr>
    </w:p>
    <w:p w14:paraId="6C598237" w14:textId="77777777" w:rsidR="00520B72" w:rsidRDefault="00520B72" w:rsidP="00520B72">
      <w:pPr>
        <w:pStyle w:val="NoSpacing"/>
        <w:ind w:left="720"/>
      </w:pPr>
      <w:r w:rsidRPr="00194EC1">
        <w:t xml:space="preserve">Note:  In Washington, D.C., the Guard from several states were activated </w:t>
      </w:r>
      <w:r>
        <w:t xml:space="preserve">under </w:t>
      </w:r>
      <w:r w:rsidRPr="00194EC1">
        <w:t xml:space="preserve">Title 32; a District Court judge’s injunction was stayed by the D.C. Circuit on Dec. 17, 2025.  </w:t>
      </w:r>
      <w:hyperlink r:id="rId664" w:history="1">
        <w:r w:rsidRPr="00194EC1">
          <w:rPr>
            <w:rStyle w:val="Hyperlink"/>
          </w:rPr>
          <w:t>https://storage.courtlistener.com/recap/gov.uscourts.cadc.42631/gov.uscourts.cadc.42631.1208806141.0.pdf</w:t>
        </w:r>
      </w:hyperlink>
      <w:r w:rsidRPr="00194EC1">
        <w:t xml:space="preserve"> </w:t>
      </w:r>
    </w:p>
    <w:p w14:paraId="40E560E1" w14:textId="77777777" w:rsidR="00520B72" w:rsidRDefault="00520B72" w:rsidP="00520B72">
      <w:pPr>
        <w:pStyle w:val="NoSpacing"/>
        <w:ind w:left="720"/>
      </w:pPr>
    </w:p>
    <w:p w14:paraId="11997CAA" w14:textId="77777777" w:rsidR="008963C8" w:rsidRDefault="008963C8" w:rsidP="00CC37FA">
      <w:pPr>
        <w:pStyle w:val="NoSpacing"/>
        <w:rPr>
          <w:rFonts w:ascii="Arial Black" w:hAnsi="Arial Black"/>
          <w:sz w:val="28"/>
          <w:szCs w:val="28"/>
        </w:rPr>
      </w:pPr>
    </w:p>
    <w:p w14:paraId="2E17979F" w14:textId="6B9CEBDC" w:rsidR="00520B72" w:rsidRDefault="00520B72"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87</w:t>
      </w:r>
    </w:p>
    <w:p w14:paraId="18C7A65F" w14:textId="77777777" w:rsidR="00063A86" w:rsidRDefault="00063A86" w:rsidP="00CC37FA">
      <w:pPr>
        <w:pStyle w:val="NoSpacing"/>
        <w:rPr>
          <w:rFonts w:ascii="Arial Black" w:hAnsi="Arial Black"/>
          <w:sz w:val="28"/>
          <w:szCs w:val="28"/>
        </w:rPr>
      </w:pPr>
    </w:p>
    <w:p w14:paraId="5E92EC7F" w14:textId="77777777" w:rsidR="00063A86" w:rsidRPr="00DD37B9" w:rsidRDefault="00063A86" w:rsidP="00063A86">
      <w:pPr>
        <w:pStyle w:val="NoSpacing"/>
        <w:rPr>
          <w:rFonts w:ascii="Arial Black" w:hAnsi="Arial Black"/>
          <w:sz w:val="28"/>
          <w:szCs w:val="28"/>
        </w:rPr>
      </w:pPr>
      <w:r>
        <w:rPr>
          <w:rFonts w:ascii="Arial Black" w:hAnsi="Arial Black"/>
          <w:sz w:val="28"/>
          <w:szCs w:val="28"/>
        </w:rPr>
        <w:t>DC: VENEZUELANS - DUE PROCESS HEARING - ONLINE</w:t>
      </w:r>
    </w:p>
    <w:p w14:paraId="4587B6C7" w14:textId="77777777" w:rsidR="00063A86" w:rsidRDefault="00063A86" w:rsidP="00063A86">
      <w:pPr>
        <w:pStyle w:val="NoSpacing"/>
        <w:ind w:left="720"/>
      </w:pPr>
    </w:p>
    <w:p w14:paraId="027BC6B0" w14:textId="77777777" w:rsidR="00063A86" w:rsidRDefault="00063A86" w:rsidP="00063A86">
      <w:pPr>
        <w:pStyle w:val="NoSpacing"/>
      </w:pPr>
      <w:r>
        <w:t xml:space="preserve">On December 22, 2025, </w:t>
      </w:r>
      <w:r w:rsidRPr="006B7B9B">
        <w:t xml:space="preserve">in </w:t>
      </w:r>
      <w:r w:rsidRPr="006B7B9B">
        <w:rPr>
          <w:u w:val="single"/>
        </w:rPr>
        <w:t>J.G.G., et al. v, Donald Trump</w:t>
      </w:r>
      <w:r w:rsidRPr="006B7B9B">
        <w:t>,</w:t>
      </w:r>
      <w:r>
        <w:t xml:space="preserve"> U.S. Chief District Court Judge James E. Boasberg issued a preliminary injunction so that 252 Venezuelans who were flown to El Salvador on March 15, 2025, and then on July 18 released to Venezuela, can have a habeas corpus hearing. </w:t>
      </w:r>
      <w:r w:rsidRPr="001B3292">
        <w:t>In exchange, Venezuela released ten U.S. nationals, as well as eighty Venezuelan political prisoners</w:t>
      </w:r>
      <w:r>
        <w:t xml:space="preserve">.  </w:t>
      </w:r>
      <w:hyperlink r:id="rId665" w:history="1">
        <w:r w:rsidRPr="001402A1">
          <w:rPr>
            <w:rStyle w:val="Hyperlink"/>
          </w:rPr>
          <w:t>https://www.casemine.com/judgement/us/694a977ac92f54bb3c63226d</w:t>
        </w:r>
      </w:hyperlink>
      <w:r>
        <w:t xml:space="preserve"> </w:t>
      </w:r>
    </w:p>
    <w:p w14:paraId="618211F8" w14:textId="77777777" w:rsidR="00063A86" w:rsidRDefault="00063A86" w:rsidP="00063A86">
      <w:pPr>
        <w:pStyle w:val="NoSpacing"/>
      </w:pPr>
    </w:p>
    <w:p w14:paraId="55F8549A" w14:textId="77777777" w:rsidR="00063A86" w:rsidRDefault="00063A86" w:rsidP="00063A86">
      <w:pPr>
        <w:pStyle w:val="NoSpacing"/>
      </w:pPr>
      <w:r>
        <w:t>THE COURT HELD:</w:t>
      </w:r>
    </w:p>
    <w:p w14:paraId="32D26BF1" w14:textId="77777777" w:rsidR="00063A86" w:rsidRDefault="00063A86" w:rsidP="00063A86">
      <w:pPr>
        <w:pStyle w:val="NoSpacing"/>
      </w:pPr>
    </w:p>
    <w:p w14:paraId="4D83C7C7" w14:textId="77777777" w:rsidR="00063A86" w:rsidRDefault="00063A86" w:rsidP="00063A86">
      <w:pPr>
        <w:pStyle w:val="NoSpacing"/>
      </w:pPr>
      <w:r>
        <w:t>“</w:t>
      </w:r>
      <w:r w:rsidRPr="00E759D0">
        <w:t>The Government could also theoretically offer Plaintiffs a hearing without returning them to the United States so long as such hearing satisfied the requirements of due process.</w:t>
      </w:r>
      <w:r>
        <w:t xml:space="preserve">” </w:t>
      </w:r>
    </w:p>
    <w:p w14:paraId="53940538" w14:textId="77777777" w:rsidR="00063A86" w:rsidRDefault="00063A86" w:rsidP="00063A86">
      <w:pPr>
        <w:pStyle w:val="NoSpacing"/>
      </w:pPr>
    </w:p>
    <w:p w14:paraId="70990CB5" w14:textId="77777777" w:rsidR="00063A86" w:rsidRDefault="00063A86" w:rsidP="00063A86">
      <w:pPr>
        <w:pStyle w:val="NoSpacing"/>
        <w:rPr>
          <w:b/>
          <w:bCs/>
        </w:rPr>
      </w:pPr>
      <w:r w:rsidRPr="00754926">
        <w:rPr>
          <w:b/>
        </w:rPr>
        <w:t xml:space="preserve">Legal Lesson Learned: </w:t>
      </w:r>
      <w:r>
        <w:rPr>
          <w:b/>
        </w:rPr>
        <w:t xml:space="preserve">The District Court is following the important “emergency docket” ruling by U.S. Supreme Court on April 7, 2025.  </w:t>
      </w:r>
    </w:p>
    <w:p w14:paraId="3A897404" w14:textId="77777777" w:rsidR="00063A86" w:rsidRDefault="00063A86" w:rsidP="00063A86">
      <w:pPr>
        <w:pStyle w:val="NoSpacing"/>
        <w:rPr>
          <w:b/>
          <w:bCs/>
        </w:rPr>
      </w:pPr>
    </w:p>
    <w:p w14:paraId="46348576" w14:textId="77777777" w:rsidR="00063A86" w:rsidRDefault="00063A86" w:rsidP="00063A86">
      <w:pPr>
        <w:pStyle w:val="NoSpacing"/>
      </w:pPr>
      <w:r>
        <w:rPr>
          <w:b/>
        </w:rPr>
        <w:tab/>
      </w:r>
      <w:r w:rsidRPr="002D7D14">
        <w:t xml:space="preserve">Note:  The U.S, Supreme Court held: </w:t>
      </w:r>
    </w:p>
    <w:p w14:paraId="67F0C8B2" w14:textId="77777777" w:rsidR="00063A86" w:rsidRDefault="00063A86" w:rsidP="00063A86">
      <w:pPr>
        <w:pStyle w:val="NoSpacing"/>
        <w:ind w:left="720"/>
      </w:pPr>
      <w:r>
        <w:t>“AEA  [</w:t>
      </w:r>
      <w:r w:rsidRPr="00B40D6F">
        <w:t>Alien Enemies Act</w:t>
      </w:r>
      <w:r>
        <w:t xml:space="preserve">] detainees must receive notice after the date of this order that they are subject to removal under the Act. The notice must be afforded within a reasonable time and in such a manner as will allow them to </w:t>
      </w:r>
      <w:proofErr w:type="gramStart"/>
      <w:r>
        <w:t>actually seek</w:t>
      </w:r>
      <w:proofErr w:type="gramEnd"/>
      <w:r>
        <w:t xml:space="preserve"> habeas relief in the proper venue before such removal occurs.”  </w:t>
      </w:r>
      <w:hyperlink r:id="rId666" w:history="1">
        <w:r w:rsidRPr="00BB12E7">
          <w:rPr>
            <w:rStyle w:val="Hyperlink"/>
          </w:rPr>
          <w:t>https://www.supremecourt.gov/opinions/24pdf/24a931_2c83.pdf</w:t>
        </w:r>
      </w:hyperlink>
    </w:p>
    <w:p w14:paraId="2B28FD87" w14:textId="77777777" w:rsidR="00063A86" w:rsidRDefault="00063A86" w:rsidP="00CC37FA">
      <w:pPr>
        <w:pStyle w:val="NoSpacing"/>
        <w:rPr>
          <w:rFonts w:ascii="Arial Black" w:hAnsi="Arial Black"/>
          <w:sz w:val="28"/>
          <w:szCs w:val="28"/>
        </w:rPr>
      </w:pPr>
    </w:p>
    <w:p w14:paraId="1E7CA3F0" w14:textId="77777777" w:rsidR="00520B72" w:rsidRDefault="00520B72" w:rsidP="00CC37FA">
      <w:pPr>
        <w:pStyle w:val="NoSpacing"/>
        <w:rPr>
          <w:rFonts w:ascii="Arial Black" w:hAnsi="Arial Black"/>
          <w:sz w:val="28"/>
          <w:szCs w:val="28"/>
        </w:rPr>
      </w:pPr>
    </w:p>
    <w:p w14:paraId="4828D293" w14:textId="77777777" w:rsidR="00520B72" w:rsidRDefault="00520B72" w:rsidP="00CC37FA">
      <w:pPr>
        <w:pStyle w:val="NoSpacing"/>
        <w:rPr>
          <w:rFonts w:ascii="Arial Black" w:hAnsi="Arial Black"/>
          <w:sz w:val="28"/>
          <w:szCs w:val="28"/>
        </w:rPr>
      </w:pPr>
    </w:p>
    <w:p w14:paraId="5CD2B5B3" w14:textId="2887BFB8" w:rsidR="008963C8" w:rsidRDefault="00063A86"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86</w:t>
      </w:r>
    </w:p>
    <w:p w14:paraId="033FCC38" w14:textId="77777777" w:rsidR="00493A6B" w:rsidRDefault="00493A6B" w:rsidP="00CC37FA">
      <w:pPr>
        <w:pStyle w:val="NoSpacing"/>
        <w:rPr>
          <w:rFonts w:ascii="Arial Black" w:hAnsi="Arial Black"/>
          <w:sz w:val="28"/>
          <w:szCs w:val="28"/>
        </w:rPr>
      </w:pPr>
    </w:p>
    <w:p w14:paraId="2137E37A" w14:textId="77777777" w:rsidR="00366097" w:rsidRPr="00DF5463" w:rsidRDefault="00366097" w:rsidP="00366097">
      <w:pPr>
        <w:rPr>
          <w:rFonts w:ascii="Arial Black" w:hAnsi="Arial Black"/>
          <w:b/>
          <w:sz w:val="28"/>
          <w:szCs w:val="28"/>
        </w:rPr>
      </w:pPr>
      <w:r w:rsidRPr="00975A49">
        <w:rPr>
          <w:rFonts w:ascii="Arial Black" w:hAnsi="Arial Black"/>
          <w:b/>
          <w:sz w:val="28"/>
          <w:szCs w:val="28"/>
        </w:rPr>
        <w:t>RI:</w:t>
      </w:r>
      <w:r w:rsidRPr="00DF5463">
        <w:rPr>
          <w:rFonts w:ascii="Arial Black" w:hAnsi="Arial Black"/>
          <w:b/>
          <w:sz w:val="28"/>
          <w:szCs w:val="28"/>
        </w:rPr>
        <w:t xml:space="preserve"> </w:t>
      </w:r>
      <w:r>
        <w:rPr>
          <w:rFonts w:ascii="Arial Black" w:hAnsi="Arial Black"/>
          <w:b/>
          <w:sz w:val="28"/>
          <w:szCs w:val="28"/>
        </w:rPr>
        <w:t>DHS GRANTS – “SANCTUARY” STATES GET INJUNCTION</w:t>
      </w:r>
    </w:p>
    <w:p w14:paraId="781E81C7" w14:textId="77777777" w:rsidR="00366097" w:rsidRDefault="00366097" w:rsidP="00366097">
      <w:pPr>
        <w:pStyle w:val="NoSpacing"/>
      </w:pPr>
      <w:r>
        <w:t xml:space="preserve">On December 22, 2025, in </w:t>
      </w:r>
      <w:r w:rsidRPr="00944810">
        <w:rPr>
          <w:u w:val="single"/>
        </w:rPr>
        <w:t>State of Illinois, et al. v. Kristi Noem, Secretary of the Department of Homeland Security</w:t>
      </w:r>
      <w:r>
        <w:t>, U.S. District Court Judge M</w:t>
      </w:r>
      <w:r w:rsidRPr="00975A49">
        <w:t xml:space="preserve">ary S. McElroy, United States District </w:t>
      </w:r>
      <w:r>
        <w:t xml:space="preserve">Court for District of Rhode Island, granted the plaintiff states’ motion for summary judgment, finding violation of the </w:t>
      </w:r>
      <w:r w:rsidRPr="002A7598">
        <w:t>Administrative Procedure Act</w:t>
      </w:r>
      <w:r>
        <w:t xml:space="preserve">.  DHS in September 2025 issued award letters to state governments indicating that hundreds of millions of dollars of anticipated awards to so-called “sanctuary jurisdictions” were being reallocated to other jurisdictions. Twelve States and the District of Columbia sued, challenging both that reallocation itself and related decisions by DHS. </w:t>
      </w:r>
      <w:hyperlink r:id="rId667" w:history="1">
        <w:r w:rsidRPr="000E235D">
          <w:rPr>
            <w:rStyle w:val="Hyperlink"/>
            <w:b/>
          </w:rPr>
          <w:t>https://ecf.rid.uscourts.gov/cgi-bin/show_public_doc?2025cv0495-53</w:t>
        </w:r>
      </w:hyperlink>
    </w:p>
    <w:p w14:paraId="4565B3EB" w14:textId="77777777" w:rsidR="00366097" w:rsidRDefault="00366097" w:rsidP="00366097">
      <w:pPr>
        <w:pStyle w:val="NoSpacing"/>
      </w:pPr>
    </w:p>
    <w:p w14:paraId="69B40553" w14:textId="77777777" w:rsidR="00366097" w:rsidRDefault="00366097" w:rsidP="00366097">
      <w:pPr>
        <w:pStyle w:val="NoSpacing"/>
      </w:pPr>
      <w:r>
        <w:t>THE COURT HELD:</w:t>
      </w:r>
    </w:p>
    <w:p w14:paraId="3A3D41E1" w14:textId="77777777" w:rsidR="00366097" w:rsidRDefault="00366097" w:rsidP="00366097">
      <w:pPr>
        <w:pStyle w:val="NoSpacing"/>
      </w:pPr>
    </w:p>
    <w:p w14:paraId="5B1530D3" w14:textId="77777777" w:rsidR="00366097" w:rsidRDefault="00366097" w:rsidP="00366097">
      <w:pPr>
        <w:pStyle w:val="NoSpacing"/>
        <w:ind w:firstLine="720"/>
      </w:pPr>
      <w:r>
        <w:t xml:space="preserve">“In the wake of the September 11 terrorist attacks, Congress authorized the </w:t>
      </w:r>
    </w:p>
    <w:p w14:paraId="56FEF18E" w14:textId="77777777" w:rsidR="00366097" w:rsidRDefault="00366097" w:rsidP="00366097">
      <w:pPr>
        <w:pStyle w:val="NoSpacing"/>
        <w:ind w:firstLine="720"/>
      </w:pPr>
      <w:r>
        <w:t xml:space="preserve">Homeland Security Grant </w:t>
      </w:r>
      <w:proofErr w:type="gramStart"/>
      <w:r>
        <w:t>Program (‘</w:t>
      </w:r>
      <w:proofErr w:type="gramEnd"/>
      <w:r>
        <w:t>HSGP’) to strengthen national security through</w:t>
      </w:r>
    </w:p>
    <w:p w14:paraId="0D85CBCD" w14:textId="77777777" w:rsidR="00366097" w:rsidRDefault="00366097" w:rsidP="00366097">
      <w:pPr>
        <w:pStyle w:val="NoSpacing"/>
        <w:ind w:left="720"/>
      </w:pPr>
      <w:r>
        <w:t xml:space="preserve">grant funding to state, local, tribal, and territorial governments…. HSGP includes three grant programs: the State Homeland Security Grant </w:t>
      </w:r>
      <w:proofErr w:type="gramStart"/>
      <w:r>
        <w:t>Program (‘</w:t>
      </w:r>
      <w:proofErr w:type="gramEnd"/>
      <w:r>
        <w:t>SHSP’), the Urban Area</w:t>
      </w:r>
    </w:p>
    <w:p w14:paraId="60E82A92" w14:textId="77777777" w:rsidR="00366097" w:rsidRDefault="00366097" w:rsidP="00366097">
      <w:pPr>
        <w:pStyle w:val="NoSpacing"/>
        <w:ind w:left="720"/>
      </w:pPr>
      <w:r>
        <w:t xml:space="preserve">Security Initiative (‘UASI’), and Operation </w:t>
      </w:r>
      <w:proofErr w:type="spellStart"/>
      <w:r>
        <w:t>Stonegarden</w:t>
      </w:r>
      <w:proofErr w:type="spellEnd"/>
      <w:r>
        <w:t xml:space="preserve"> [Border response]…. Since the beginning of the current administration, the executive branch has repeatedly sought to tie federal grant funding for programs like HSGP to state and local governments’ assistance with federal immigration enforcement. On January 20, 2025, President Trump issued an executive order directing DHS to ‘ensure that so-called ‘sanctuary’ jurisdictions . . . do not receive access to Federal funds.’ Exec. Order No. 14159, § 17, 90 Fed. Reg. 8443, 8446 (Jan. 20, 2025)…. On September 27, Defendants sent States HSGP final award letters reflecting</w:t>
      </w:r>
    </w:p>
    <w:p w14:paraId="45B61E99" w14:textId="77777777" w:rsidR="00366097" w:rsidRDefault="00366097" w:rsidP="00366097">
      <w:pPr>
        <w:ind w:left="720"/>
        <w:rPr>
          <w:b/>
        </w:rPr>
      </w:pPr>
      <w:r>
        <w:t>massive funding reallocations from Plaintiffs to other jurisdictions…. In total, the difference in target allocations from the August 1 NOFO [</w:t>
      </w:r>
      <w:r w:rsidRPr="001A02E9">
        <w:t>notice of funding opportunity</w:t>
      </w:r>
      <w:r>
        <w:t>]</w:t>
      </w:r>
      <w:r w:rsidRPr="001A02E9">
        <w:t xml:space="preserve"> </w:t>
      </w:r>
      <w:r>
        <w:t xml:space="preserve">and the final awards amounted to cuts of over $240 million to Plaintiffs…. And Defendants provide no substantive, contemporaneous justification whatsoever for the funding changes that took place between the DHS Directive and the final award letters, i.e., the round-number increases in awards to favored jurisdictions. Defendants’ failure to do so further renders the Reallocation Decision arbitrary and capricious.” </w:t>
      </w:r>
    </w:p>
    <w:p w14:paraId="76C09B36" w14:textId="77777777" w:rsidR="00366097" w:rsidRDefault="00366097" w:rsidP="00366097">
      <w:pPr>
        <w:rPr>
          <w:b/>
        </w:rPr>
      </w:pPr>
      <w:r>
        <w:rPr>
          <w:b/>
        </w:rPr>
        <w:t xml:space="preserve">Legal lesson learned: Can’t punish sanctuary states and cities by reducing DHS grants. </w:t>
      </w:r>
    </w:p>
    <w:p w14:paraId="7D82E27D" w14:textId="77777777" w:rsidR="00366097" w:rsidRDefault="00366097" w:rsidP="00CC37FA">
      <w:pPr>
        <w:pStyle w:val="NoSpacing"/>
        <w:rPr>
          <w:rFonts w:ascii="Arial Black" w:hAnsi="Arial Black"/>
          <w:sz w:val="28"/>
          <w:szCs w:val="28"/>
        </w:rPr>
      </w:pPr>
    </w:p>
    <w:p w14:paraId="59F11B25" w14:textId="7711B178" w:rsidR="008963C8" w:rsidRDefault="00366097"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85</w:t>
      </w:r>
    </w:p>
    <w:p w14:paraId="16F9EBF2" w14:textId="77777777" w:rsidR="00366097" w:rsidRDefault="00366097" w:rsidP="00CC37FA">
      <w:pPr>
        <w:pStyle w:val="NoSpacing"/>
        <w:rPr>
          <w:rFonts w:ascii="Arial Black" w:hAnsi="Arial Black"/>
          <w:sz w:val="28"/>
          <w:szCs w:val="28"/>
        </w:rPr>
      </w:pPr>
    </w:p>
    <w:p w14:paraId="67AD2625" w14:textId="77777777" w:rsidR="00493A6B" w:rsidRPr="00174162" w:rsidRDefault="00493A6B" w:rsidP="00493A6B">
      <w:pPr>
        <w:rPr>
          <w:rFonts w:ascii="Arial Black" w:hAnsi="Arial Black"/>
          <w:b/>
          <w:sz w:val="28"/>
          <w:szCs w:val="28"/>
        </w:rPr>
      </w:pPr>
      <w:r>
        <w:rPr>
          <w:rFonts w:ascii="Arial Black" w:hAnsi="Arial Black"/>
          <w:b/>
          <w:sz w:val="28"/>
          <w:szCs w:val="28"/>
        </w:rPr>
        <w:t>NJ: ACTING U.S. ATTY NOT CONFIRMED - DISQUALIFIED</w:t>
      </w:r>
    </w:p>
    <w:p w14:paraId="789D3A78" w14:textId="77777777" w:rsidR="00493A6B" w:rsidRDefault="00493A6B" w:rsidP="00493A6B">
      <w:pPr>
        <w:pStyle w:val="NoSpacing"/>
      </w:pPr>
      <w:r>
        <w:t xml:space="preserve">On December 1, 2025, in </w:t>
      </w:r>
      <w:r w:rsidRPr="00C07203">
        <w:rPr>
          <w:u w:val="single"/>
        </w:rPr>
        <w:t>United States v. Julien Giraud, Jr. et al.</w:t>
      </w:r>
      <w:r>
        <w:t xml:space="preserve"> the U.S. Court of Appeals for Third Circuit (Philadelphia) held that </w:t>
      </w:r>
      <w:r w:rsidRPr="00C07203">
        <w:t>Alina Habba</w:t>
      </w:r>
      <w:r>
        <w:t xml:space="preserve">, who was appointed Acting U.S. Attorney for the District of New Jersey, was properly removed by order of U.S. District Court since she was not confirmed by the Senate within 120 days of replacing the resigned U.S. Attorney.   Two indicted criminal defendants were denied motions to dismiss their indictments.  </w:t>
      </w:r>
      <w:hyperlink r:id="rId668" w:history="1">
        <w:r w:rsidRPr="006358C5">
          <w:rPr>
            <w:rStyle w:val="Hyperlink"/>
          </w:rPr>
          <w:t>https://cases.justia.com/federal/appellate-courts/ca3/25-2635/25-2635-2025-12-01.pdf?ts=1764612050</w:t>
        </w:r>
      </w:hyperlink>
      <w:r>
        <w:t xml:space="preserve"> </w:t>
      </w:r>
    </w:p>
    <w:p w14:paraId="42D9166A" w14:textId="77777777" w:rsidR="00493A6B" w:rsidRDefault="00493A6B" w:rsidP="00493A6B">
      <w:pPr>
        <w:pStyle w:val="NoSpacing"/>
      </w:pPr>
    </w:p>
    <w:p w14:paraId="1D3DAE10" w14:textId="77777777" w:rsidR="00493A6B" w:rsidRDefault="00493A6B" w:rsidP="00493A6B">
      <w:pPr>
        <w:pStyle w:val="NoSpacing"/>
      </w:pPr>
      <w:r>
        <w:t>THE COURT HELD:</w:t>
      </w:r>
    </w:p>
    <w:p w14:paraId="624B4F36" w14:textId="77777777" w:rsidR="00493A6B" w:rsidRDefault="00493A6B" w:rsidP="00493A6B">
      <w:pPr>
        <w:pStyle w:val="NoSpacing"/>
      </w:pPr>
    </w:p>
    <w:p w14:paraId="7E2ABBAE" w14:textId="77777777" w:rsidR="00493A6B" w:rsidRDefault="00493A6B" w:rsidP="00493A6B">
      <w:pPr>
        <w:pStyle w:val="NoSpacing"/>
        <w:ind w:left="720"/>
      </w:pPr>
      <w:r>
        <w:t xml:space="preserve">“On March 3, under the new presidential administration, Attorney General Pamela Bondi appointed John Giordano as Interim U.S. Attorney for New Jersey pursuant to 28 U.S.C. § 546(a). Giordano resigned three weeks later, at which time the Attorney General appointed Alina Habba as Interim U.S. Attorney, also pursuant to § 546(a). Habba was sworn in on March 28. On June 30, President Donald Trump nominated her for the permanent role. The Senate never acted on the nomination. </w:t>
      </w:r>
    </w:p>
    <w:p w14:paraId="486F0616" w14:textId="77777777" w:rsidR="00493A6B" w:rsidRDefault="00493A6B" w:rsidP="00493A6B">
      <w:pPr>
        <w:pStyle w:val="NoSpacing"/>
        <w:ind w:left="720"/>
      </w:pPr>
    </w:p>
    <w:p w14:paraId="664947D7" w14:textId="77777777" w:rsidR="00493A6B" w:rsidRDefault="00493A6B" w:rsidP="00493A6B">
      <w:pPr>
        <w:pStyle w:val="NoSpacing"/>
        <w:ind w:left="720"/>
      </w:pPr>
      <w:r>
        <w:t>As § 546’s 120-day deadline approached, the United States District Court for the District of New Jersey issued a standing order pursuant to 28 U.S.C. § 546(d) providing that</w:t>
      </w:r>
    </w:p>
    <w:p w14:paraId="2455F8BF" w14:textId="77777777" w:rsidR="00493A6B" w:rsidRDefault="00493A6B" w:rsidP="00493A6B">
      <w:pPr>
        <w:pStyle w:val="NoSpacing"/>
        <w:ind w:left="720"/>
      </w:pPr>
      <w:r>
        <w:t xml:space="preserve">Desiree Grace—the First Assistant U.S. Attorney at the time— would be Interim U.S. Attorney effective upon the expiration of Habba’s 120-day term under § 546.1 In response, the Department of Justice terminated Grace’s employment…. </w:t>
      </w:r>
    </w:p>
    <w:p w14:paraId="1134719C" w14:textId="77777777" w:rsidR="00493A6B" w:rsidRDefault="00493A6B" w:rsidP="00493A6B">
      <w:pPr>
        <w:pStyle w:val="NoSpacing"/>
        <w:ind w:left="720"/>
      </w:pPr>
    </w:p>
    <w:p w14:paraId="23F72652" w14:textId="77777777" w:rsidR="00493A6B" w:rsidRDefault="00493A6B" w:rsidP="00493A6B">
      <w:pPr>
        <w:pStyle w:val="NoSpacing"/>
        <w:ind w:left="720"/>
      </w:pPr>
      <w:r>
        <w:t xml:space="preserve">Then on July 2, </w:t>
      </w:r>
      <w:r w:rsidRPr="007A501B">
        <w:t>the Trump administration took several steps:</w:t>
      </w:r>
      <w:r>
        <w:t xml:space="preserve"> (1) the President withdrew Habba’s nomination for U.S. Attorney; (2) Habba resigned as Interim U.S. Attorney; (3) the Attorney General issued an order appointing Habba as ‘Special Attorney’ to the Attorney General, accompanied by a letter authorizing Habba to conduct ‘any kind of legal proceedings … which United States Attorneys are authorized to conduct’ pursuant to 28 U.S.C. § 515, App. 161–62, 165; and (4) in the same order, the Attorney General also designated Habba as First Assistant U.S. Attorney, which purported to mean that Habba automatically became Acting U.S. Attorney pursuant to the FVRA [Federal Vacancies Reform Act], 5 U.S.C. § 3345(a)(1)….</w:t>
      </w:r>
    </w:p>
    <w:p w14:paraId="5B85D78D" w14:textId="77777777" w:rsidR="00493A6B" w:rsidRDefault="00493A6B" w:rsidP="00493A6B">
      <w:pPr>
        <w:pStyle w:val="NoSpacing"/>
        <w:ind w:left="720"/>
      </w:pPr>
    </w:p>
    <w:p w14:paraId="38AB2C2B" w14:textId="77777777" w:rsidR="00493A6B" w:rsidRDefault="00493A6B" w:rsidP="00493A6B">
      <w:pPr>
        <w:pStyle w:val="NoSpacing"/>
        <w:ind w:left="720"/>
      </w:pPr>
      <w:r>
        <w:t>Habba is not the Acting U.S. Attorney for the District of New Jersey by virtue of her appointment as First Assistant U.S. Attorney because only the first assistant in place at the time the vacancy arises automatically assumes the functions and duties of the office under the FVRA. Additionally, because Habba was nominated for the vacant U.S. Attorney position, the FVRA’s nomination bar prevents her from assuming the role of Acting U.S. Attorney. Finally, the Attorney General’s delegation of all the powers of a U.S. Attorney to Habba is prohibited by the FVRA’s exclusivity provision. Therefore, we</w:t>
      </w:r>
    </w:p>
    <w:p w14:paraId="19CA2F56" w14:textId="77777777" w:rsidR="00493A6B" w:rsidRDefault="00493A6B" w:rsidP="00493A6B">
      <w:pPr>
        <w:pStyle w:val="NoSpacing"/>
        <w:ind w:left="720"/>
      </w:pPr>
      <w:r>
        <w:t xml:space="preserve">will affirm the District Court’s disqualification order.” </w:t>
      </w:r>
    </w:p>
    <w:p w14:paraId="7C86B52E" w14:textId="77777777" w:rsidR="00493A6B" w:rsidRDefault="00493A6B" w:rsidP="00493A6B">
      <w:pPr>
        <w:pStyle w:val="NoSpacing"/>
        <w:ind w:left="720"/>
      </w:pPr>
    </w:p>
    <w:p w14:paraId="56E195BA" w14:textId="77777777" w:rsidR="00493A6B" w:rsidRPr="00114BAB" w:rsidRDefault="00493A6B" w:rsidP="00493A6B">
      <w:pPr>
        <w:pStyle w:val="NoSpacing"/>
        <w:rPr>
          <w:b/>
          <w:bCs/>
        </w:rPr>
      </w:pPr>
      <w:r>
        <w:rPr>
          <w:b/>
        </w:rPr>
        <w:t>Legal lesson learned:  The U.S. Attorney for New Jersey has a critical responsibility, thereby requiring Senate confirmation – the District Court and the 3</w:t>
      </w:r>
      <w:r w:rsidRPr="00AF3F47">
        <w:rPr>
          <w:b/>
          <w:vertAlign w:val="superscript"/>
        </w:rPr>
        <w:t>rd</w:t>
      </w:r>
      <w:r>
        <w:rPr>
          <w:b/>
        </w:rPr>
        <w:t xml:space="preserve"> Circuit had no patience with breaches of the appointment process. </w:t>
      </w:r>
    </w:p>
    <w:p w14:paraId="2739EFB1" w14:textId="77777777" w:rsidR="00493A6B" w:rsidRDefault="00493A6B" w:rsidP="00493A6B">
      <w:pPr>
        <w:pStyle w:val="NoSpacing"/>
      </w:pPr>
    </w:p>
    <w:p w14:paraId="23815DE8" w14:textId="77777777" w:rsidR="00366097" w:rsidRDefault="00366097" w:rsidP="00CC37FA">
      <w:pPr>
        <w:pStyle w:val="NoSpacing"/>
        <w:rPr>
          <w:rFonts w:ascii="Arial Black" w:hAnsi="Arial Black"/>
          <w:sz w:val="28"/>
          <w:szCs w:val="28"/>
        </w:rPr>
      </w:pPr>
    </w:p>
    <w:p w14:paraId="7154B091" w14:textId="77777777" w:rsidR="008963C8" w:rsidRDefault="008963C8" w:rsidP="00CC37FA">
      <w:pPr>
        <w:pStyle w:val="NoSpacing"/>
        <w:rPr>
          <w:rFonts w:ascii="Arial Black" w:hAnsi="Arial Black"/>
          <w:sz w:val="28"/>
          <w:szCs w:val="28"/>
        </w:rPr>
      </w:pPr>
    </w:p>
    <w:p w14:paraId="2AF7CAA4" w14:textId="11AB3D20" w:rsidR="003E3554" w:rsidRDefault="00CC37FA" w:rsidP="00CC37FA">
      <w:pPr>
        <w:pStyle w:val="NoSpacing"/>
        <w:rPr>
          <w:rFonts w:ascii="Arial Black" w:hAnsi="Arial Black"/>
          <w:sz w:val="28"/>
          <w:szCs w:val="28"/>
        </w:rPr>
      </w:pPr>
      <w:r>
        <w:rPr>
          <w:rFonts w:ascii="Arial Black" w:hAnsi="Arial Black"/>
          <w:sz w:val="28"/>
          <w:szCs w:val="28"/>
        </w:rPr>
        <w:t xml:space="preserve">3-84 </w:t>
      </w:r>
    </w:p>
    <w:p w14:paraId="67E0D58F" w14:textId="77777777" w:rsidR="003E3554" w:rsidRDefault="003E3554" w:rsidP="00CC37FA">
      <w:pPr>
        <w:pStyle w:val="NoSpacing"/>
        <w:rPr>
          <w:rFonts w:ascii="Arial Black" w:hAnsi="Arial Black"/>
          <w:sz w:val="28"/>
          <w:szCs w:val="28"/>
        </w:rPr>
      </w:pPr>
    </w:p>
    <w:p w14:paraId="1008CAB1" w14:textId="7F25CAC5" w:rsidR="00CC37FA" w:rsidRPr="003E3554" w:rsidRDefault="00CC37FA" w:rsidP="00CC37FA">
      <w:pPr>
        <w:pStyle w:val="NoSpacing"/>
        <w:rPr>
          <w:rFonts w:ascii="Times New Roman" w:hAnsi="Times New Roman"/>
          <w:b/>
          <w:sz w:val="24"/>
          <w:szCs w:val="24"/>
        </w:rPr>
      </w:pPr>
      <w:r w:rsidRPr="00CC37FA">
        <w:rPr>
          <w:rFonts w:ascii="Times New Roman" w:hAnsi="Times New Roman"/>
          <w:b/>
          <w:sz w:val="24"/>
          <w:szCs w:val="24"/>
        </w:rPr>
        <w:t>Professor Bennett’s articles in Homeland Security Today:</w:t>
      </w:r>
      <w:r w:rsidR="004B2E70" w:rsidRPr="003E3554">
        <w:rPr>
          <w:rFonts w:ascii="Times New Roman" w:hAnsi="Times New Roman"/>
          <w:b/>
          <w:sz w:val="24"/>
          <w:szCs w:val="24"/>
        </w:rPr>
        <w:t xml:space="preserve"> </w:t>
      </w:r>
    </w:p>
    <w:p w14:paraId="2E543E07" w14:textId="185500B4" w:rsidR="00CC37FA" w:rsidRPr="00CC37FA" w:rsidRDefault="00CC37FA" w:rsidP="00CC37FA">
      <w:pPr>
        <w:pStyle w:val="NoSpacing"/>
        <w:rPr>
          <w:rFonts w:ascii="Arial Black" w:hAnsi="Arial Black"/>
          <w:b/>
          <w:bCs/>
          <w:sz w:val="28"/>
          <w:szCs w:val="28"/>
        </w:rPr>
      </w:pPr>
      <w:r w:rsidRPr="00CC37FA">
        <w:rPr>
          <w:rFonts w:ascii="Times New Roman" w:hAnsi="Times New Roman"/>
          <w:b/>
          <w:sz w:val="24"/>
          <w:szCs w:val="24"/>
        </w:rPr>
        <w:t xml:space="preserve">Dec. 28, 1995: Supreme Court Blocks National Guard Deployment to Chicago, Restricts Presidential Power Under Title 10. Landmark ruling reshapes federal authority and strengthens governors’ control over National Guard deployments. </w:t>
      </w:r>
      <w:hyperlink r:id="rId669" w:history="1">
        <w:r w:rsidRPr="00CC37FA">
          <w:rPr>
            <w:rStyle w:val="Hyperlink"/>
            <w:rFonts w:ascii="Times New Roman" w:hAnsi="Times New Roman"/>
            <w:b/>
            <w:sz w:val="24"/>
            <w:szCs w:val="24"/>
          </w:rPr>
          <w:t>https://www.hstoday.us/us-national-guard/column-supreme-court-blocks-national-guard-deployment-to-chicago-restricts-presidential-power-under-title-10/</w:t>
        </w:r>
      </w:hyperlink>
      <w:r w:rsidRPr="00CC37FA">
        <w:rPr>
          <w:rFonts w:ascii="Arial Black" w:hAnsi="Arial Black"/>
          <w:b/>
          <w:bCs/>
          <w:sz w:val="28"/>
          <w:szCs w:val="28"/>
        </w:rPr>
        <w:t xml:space="preserve"> </w:t>
      </w:r>
    </w:p>
    <w:p w14:paraId="5E02F121" w14:textId="6059B6B9" w:rsidR="00CC37FA" w:rsidRPr="00CC37FA" w:rsidRDefault="00CC37FA" w:rsidP="00CC37FA">
      <w:pPr>
        <w:pStyle w:val="NoSpacing"/>
        <w:rPr>
          <w:rFonts w:ascii="Arial Black" w:hAnsi="Arial Black"/>
          <w:b/>
          <w:sz w:val="24"/>
          <w:szCs w:val="24"/>
        </w:rPr>
      </w:pPr>
      <w:r w:rsidRPr="00CC37FA">
        <w:rPr>
          <w:rFonts w:ascii="Arial Black" w:hAnsi="Arial Black"/>
          <w:b/>
          <w:sz w:val="24"/>
          <w:szCs w:val="24"/>
        </w:rPr>
        <w:t xml:space="preserve"> </w:t>
      </w:r>
    </w:p>
    <w:p w14:paraId="552A59B3" w14:textId="77777777" w:rsidR="004B2E70" w:rsidRPr="003E3554" w:rsidRDefault="004B2E70" w:rsidP="004B2E70">
      <w:pPr>
        <w:pStyle w:val="NoSpacing"/>
        <w:ind w:left="720"/>
        <w:rPr>
          <w:rFonts w:ascii="Times New Roman" w:hAnsi="Times New Roman"/>
          <w:b/>
          <w:sz w:val="24"/>
          <w:szCs w:val="24"/>
        </w:rPr>
      </w:pPr>
      <w:proofErr w:type="gramStart"/>
      <w:r w:rsidRPr="003E3554">
        <w:rPr>
          <w:rFonts w:ascii="Times New Roman" w:hAnsi="Times New Roman"/>
          <w:b/>
          <w:sz w:val="24"/>
          <w:szCs w:val="24"/>
        </w:rPr>
        <w:t>See</w:t>
      </w:r>
      <w:proofErr w:type="gramEnd"/>
      <w:r w:rsidRPr="003E3554">
        <w:rPr>
          <w:rFonts w:ascii="Times New Roman" w:hAnsi="Times New Roman"/>
          <w:b/>
          <w:sz w:val="24"/>
          <w:szCs w:val="24"/>
        </w:rPr>
        <w:t xml:space="preserve"> also: </w:t>
      </w:r>
    </w:p>
    <w:p w14:paraId="2D43BD63" w14:textId="77777777" w:rsidR="004B2E70" w:rsidRDefault="004B2E70" w:rsidP="004B2E70">
      <w:pPr>
        <w:pStyle w:val="NoSpacing"/>
        <w:ind w:left="720"/>
        <w:rPr>
          <w:rFonts w:ascii="Arial Black" w:hAnsi="Arial Black"/>
          <w:b/>
          <w:sz w:val="24"/>
          <w:szCs w:val="24"/>
        </w:rPr>
      </w:pPr>
    </w:p>
    <w:p w14:paraId="2E25BF97" w14:textId="77777777" w:rsidR="004B2E70" w:rsidRPr="00CC37FA" w:rsidRDefault="004B2E70" w:rsidP="004B2E70">
      <w:pPr>
        <w:pStyle w:val="NoSpacing"/>
        <w:ind w:left="720"/>
        <w:rPr>
          <w:rFonts w:ascii="Arial Black" w:hAnsi="Arial Black"/>
          <w:b/>
          <w:bCs/>
          <w:sz w:val="24"/>
          <w:szCs w:val="24"/>
        </w:rPr>
      </w:pPr>
      <w:r w:rsidRPr="00CC37FA">
        <w:rPr>
          <w:rFonts w:ascii="Arial Black" w:hAnsi="Arial Black"/>
          <w:b/>
          <w:sz w:val="24"/>
          <w:szCs w:val="24"/>
        </w:rPr>
        <w:t xml:space="preserve">Dec. 19, 2025: </w:t>
      </w:r>
      <w:r w:rsidRPr="00CC37FA">
        <w:rPr>
          <w:rFonts w:ascii="Arial Black" w:hAnsi="Arial Black"/>
          <w:b/>
          <w:bCs/>
          <w:sz w:val="24"/>
          <w:szCs w:val="24"/>
        </w:rPr>
        <w:t xml:space="preserve">Federal Courts Continue to Block DHS and FEMA DEI Grant Conditions. </w:t>
      </w:r>
      <w:r w:rsidRPr="00CC37FA">
        <w:rPr>
          <w:rFonts w:ascii="Times New Roman" w:hAnsi="Times New Roman"/>
          <w:sz w:val="24"/>
          <w:szCs w:val="24"/>
        </w:rPr>
        <w:t xml:space="preserve">Twin injunctions protect billions in emergency preparedness funding from diversity program compliance mandates.  </w:t>
      </w:r>
      <w:hyperlink r:id="rId670" w:history="1">
        <w:r w:rsidRPr="00CC37FA">
          <w:rPr>
            <w:rStyle w:val="Hyperlink"/>
            <w:rFonts w:ascii="Times New Roman" w:hAnsi="Times New Roman"/>
            <w:sz w:val="24"/>
            <w:szCs w:val="24"/>
          </w:rPr>
          <w:t>https://www.hstoday.us/fema-dhs-federal-pages/column-federal-courts-block-dhs-and-fema-dei-grant-conditions/</w:t>
        </w:r>
      </w:hyperlink>
      <w:r w:rsidRPr="00CC37FA">
        <w:rPr>
          <w:rFonts w:ascii="Arial Black" w:hAnsi="Arial Black"/>
          <w:b/>
          <w:bCs/>
          <w:sz w:val="24"/>
          <w:szCs w:val="24"/>
        </w:rPr>
        <w:t xml:space="preserve"> </w:t>
      </w:r>
    </w:p>
    <w:p w14:paraId="1CF2EAC8" w14:textId="77777777" w:rsidR="004B2E70" w:rsidRDefault="004B2E70" w:rsidP="004B2E70">
      <w:pPr>
        <w:pStyle w:val="NoSpacing"/>
        <w:ind w:left="720"/>
        <w:rPr>
          <w:rFonts w:ascii="Arial Black" w:hAnsi="Arial Black"/>
          <w:b/>
          <w:sz w:val="24"/>
          <w:szCs w:val="24"/>
        </w:rPr>
      </w:pPr>
    </w:p>
    <w:p w14:paraId="6A9A61CE" w14:textId="77777777" w:rsidR="004B2E70" w:rsidRPr="00CC37FA" w:rsidRDefault="004B2E70" w:rsidP="004B2E70">
      <w:pPr>
        <w:pStyle w:val="NoSpacing"/>
        <w:ind w:left="720"/>
        <w:rPr>
          <w:rFonts w:ascii="Arial Black" w:hAnsi="Arial Black"/>
          <w:b/>
          <w:sz w:val="24"/>
          <w:szCs w:val="24"/>
        </w:rPr>
      </w:pPr>
      <w:r w:rsidRPr="00CC37FA">
        <w:rPr>
          <w:rFonts w:ascii="Arial Black" w:hAnsi="Arial Black"/>
          <w:b/>
          <w:sz w:val="24"/>
          <w:szCs w:val="24"/>
        </w:rPr>
        <w:t xml:space="preserve">Oct. 7, 2025: Federal Courts Block FEMA &amp; DHS Immigration Grant Conditions, Safeguarding Billions in Emergency Preparedness Funds. </w:t>
      </w:r>
      <w:r w:rsidRPr="00CC37FA">
        <w:rPr>
          <w:rFonts w:ascii="Times New Roman" w:hAnsi="Times New Roman"/>
          <w:bCs/>
          <w:sz w:val="24"/>
          <w:szCs w:val="24"/>
        </w:rPr>
        <w:t xml:space="preserve">Decisions impact disaster relief, firefighter assistance, cybersecurity, and counterterrorism grants administered through FEMA and DHS.    </w:t>
      </w:r>
      <w:hyperlink r:id="rId671" w:history="1">
        <w:r w:rsidRPr="00CC37FA">
          <w:rPr>
            <w:rStyle w:val="Hyperlink"/>
            <w:rFonts w:ascii="Times New Roman" w:hAnsi="Times New Roman"/>
            <w:bCs/>
            <w:sz w:val="24"/>
            <w:szCs w:val="24"/>
          </w:rPr>
          <w:t>https://www.hstoday.us/perspective/eyes-on-preparedness-federal-courts-block-fema-dhs-immigration-grant-conditions-safeguarding-billions-in-emergency-preparedness-funds/</w:t>
        </w:r>
      </w:hyperlink>
      <w:r w:rsidRPr="00CC37FA">
        <w:rPr>
          <w:rFonts w:ascii="Arial Black" w:hAnsi="Arial Black"/>
          <w:b/>
          <w:sz w:val="24"/>
          <w:szCs w:val="24"/>
        </w:rPr>
        <w:t xml:space="preserve"> </w:t>
      </w:r>
    </w:p>
    <w:p w14:paraId="3FA70E40" w14:textId="77777777" w:rsidR="004B2E70" w:rsidRPr="00CC37FA" w:rsidRDefault="004B2E70" w:rsidP="004B2E70">
      <w:pPr>
        <w:pStyle w:val="NoSpacing"/>
        <w:ind w:left="720"/>
        <w:rPr>
          <w:rFonts w:ascii="Arial Black" w:hAnsi="Arial Black"/>
          <w:b/>
          <w:sz w:val="24"/>
          <w:szCs w:val="24"/>
        </w:rPr>
      </w:pPr>
    </w:p>
    <w:p w14:paraId="64BBB83D" w14:textId="411EA589" w:rsidR="00CC37FA" w:rsidRPr="00CC37FA" w:rsidRDefault="00CC37FA" w:rsidP="004B2E70">
      <w:pPr>
        <w:pStyle w:val="NoSpacing"/>
        <w:ind w:left="720"/>
        <w:rPr>
          <w:rFonts w:ascii="Arial Black" w:hAnsi="Arial Black"/>
          <w:b/>
          <w:bCs/>
          <w:sz w:val="24"/>
          <w:szCs w:val="24"/>
        </w:rPr>
      </w:pPr>
      <w:r w:rsidRPr="00CC37FA">
        <w:rPr>
          <w:rFonts w:ascii="Arial Black" w:hAnsi="Arial Black"/>
          <w:b/>
          <w:sz w:val="24"/>
          <w:szCs w:val="24"/>
        </w:rPr>
        <w:t xml:space="preserve">September 24, 2025: </w:t>
      </w:r>
      <w:r w:rsidRPr="00CC37FA">
        <w:rPr>
          <w:rFonts w:ascii="Arial Black" w:hAnsi="Arial Black"/>
          <w:b/>
          <w:bCs/>
          <w:sz w:val="24"/>
          <w:szCs w:val="24"/>
        </w:rPr>
        <w:t>EYES IN THE SKY: Do Cities Need Warrants for Drones?</w:t>
      </w:r>
    </w:p>
    <w:p w14:paraId="1097F34D" w14:textId="77777777" w:rsidR="00CC37FA" w:rsidRPr="00CC37FA" w:rsidRDefault="00CC37FA" w:rsidP="004B2E70">
      <w:pPr>
        <w:pStyle w:val="NoSpacing"/>
        <w:ind w:left="720"/>
        <w:rPr>
          <w:rFonts w:ascii="Times New Roman" w:hAnsi="Times New Roman"/>
          <w:sz w:val="24"/>
          <w:szCs w:val="24"/>
        </w:rPr>
      </w:pPr>
      <w:proofErr w:type="gramStart"/>
      <w:r w:rsidRPr="00CC37FA">
        <w:rPr>
          <w:rFonts w:ascii="Times New Roman" w:hAnsi="Times New Roman"/>
          <w:sz w:val="24"/>
          <w:szCs w:val="24"/>
        </w:rPr>
        <w:t>How</w:t>
      </w:r>
      <w:proofErr w:type="gramEnd"/>
      <w:r w:rsidRPr="00CC37FA">
        <w:rPr>
          <w:rFonts w:ascii="Times New Roman" w:hAnsi="Times New Roman"/>
          <w:sz w:val="24"/>
          <w:szCs w:val="24"/>
        </w:rPr>
        <w:t xml:space="preserve"> recent federal court decisions are reshaping municipal drone enforcement for cannabis enforcement and illegal land use investigations</w:t>
      </w:r>
    </w:p>
    <w:p w14:paraId="305D7D1B" w14:textId="77777777" w:rsidR="00CC37FA" w:rsidRPr="00CC37FA" w:rsidRDefault="00CC37FA" w:rsidP="004B2E70">
      <w:pPr>
        <w:pStyle w:val="NoSpacing"/>
        <w:ind w:left="720"/>
        <w:rPr>
          <w:rFonts w:ascii="Arial Black" w:hAnsi="Arial Black"/>
          <w:b/>
          <w:sz w:val="24"/>
          <w:szCs w:val="24"/>
        </w:rPr>
      </w:pPr>
      <w:hyperlink r:id="rId672" w:history="1">
        <w:r w:rsidRPr="00CC37FA">
          <w:rPr>
            <w:rStyle w:val="Hyperlink"/>
            <w:rFonts w:ascii="Times New Roman" w:hAnsi="Times New Roman"/>
            <w:sz w:val="24"/>
            <w:szCs w:val="24"/>
          </w:rPr>
          <w:t>https://www.hstoday.us/subject-matter-areas/unmanned-vehicles/eyes-in-the-sky-do-cities-need-warrants-for-drones/</w:t>
        </w:r>
      </w:hyperlink>
      <w:r w:rsidRPr="00CC37FA">
        <w:rPr>
          <w:rFonts w:ascii="Arial Black" w:hAnsi="Arial Black"/>
          <w:b/>
          <w:sz w:val="24"/>
          <w:szCs w:val="24"/>
        </w:rPr>
        <w:t xml:space="preserve"> </w:t>
      </w:r>
    </w:p>
    <w:p w14:paraId="0D954E20" w14:textId="77777777" w:rsidR="00CC37FA" w:rsidRPr="00CC37FA" w:rsidRDefault="00CC37FA" w:rsidP="004B2E70">
      <w:pPr>
        <w:pStyle w:val="NoSpacing"/>
        <w:ind w:left="720"/>
        <w:rPr>
          <w:rFonts w:ascii="Arial Black" w:hAnsi="Arial Black"/>
          <w:b/>
          <w:sz w:val="24"/>
          <w:szCs w:val="24"/>
        </w:rPr>
      </w:pPr>
    </w:p>
    <w:p w14:paraId="54B60363" w14:textId="77777777" w:rsidR="00CC37FA" w:rsidRDefault="00CC37FA" w:rsidP="00440B47">
      <w:pPr>
        <w:pStyle w:val="NoSpacing"/>
        <w:rPr>
          <w:rFonts w:ascii="Arial Black" w:hAnsi="Arial Black"/>
          <w:sz w:val="28"/>
          <w:szCs w:val="28"/>
        </w:rPr>
      </w:pPr>
    </w:p>
    <w:p w14:paraId="0B52C5CE" w14:textId="1E16332D" w:rsidR="00E575E6" w:rsidRDefault="00E575E6" w:rsidP="00440B47">
      <w:pPr>
        <w:pStyle w:val="NoSpacing"/>
        <w:rPr>
          <w:rFonts w:ascii="Arial Black" w:hAnsi="Arial Black"/>
          <w:sz w:val="28"/>
          <w:szCs w:val="28"/>
        </w:rPr>
      </w:pPr>
      <w:r>
        <w:rPr>
          <w:rFonts w:ascii="Arial Black" w:hAnsi="Arial Black"/>
          <w:sz w:val="28"/>
          <w:szCs w:val="28"/>
        </w:rPr>
        <w:t>3-83</w:t>
      </w:r>
    </w:p>
    <w:p w14:paraId="470EBD94" w14:textId="77777777" w:rsidR="00E575E6" w:rsidRPr="00830137" w:rsidRDefault="00E575E6" w:rsidP="00E575E6">
      <w:pPr>
        <w:rPr>
          <w:rFonts w:ascii="Arial Black" w:hAnsi="Arial Black"/>
          <w:sz w:val="28"/>
          <w:szCs w:val="28"/>
        </w:rPr>
      </w:pPr>
      <w:r>
        <w:rPr>
          <w:rFonts w:ascii="Arial Black" w:hAnsi="Arial Black"/>
          <w:sz w:val="28"/>
          <w:szCs w:val="28"/>
        </w:rPr>
        <w:t>IL: FEMA GRANTS – 2 FED. INJUNCTIONS / DEI CLAUSES</w:t>
      </w:r>
    </w:p>
    <w:p w14:paraId="1B8BB34E" w14:textId="77777777" w:rsidR="00E575E6" w:rsidRDefault="00E575E6" w:rsidP="00E575E6">
      <w:pPr>
        <w:pStyle w:val="NoSpacing"/>
      </w:pPr>
      <w:r>
        <w:t xml:space="preserve">On November 21, 2025, in </w:t>
      </w:r>
      <w:r w:rsidRPr="001A3435">
        <w:rPr>
          <w:u w:val="single"/>
        </w:rPr>
        <w:t xml:space="preserve">City of Chicago, </w:t>
      </w:r>
      <w:r>
        <w:rPr>
          <w:u w:val="single"/>
        </w:rPr>
        <w:t xml:space="preserve">et al. </w:t>
      </w:r>
      <w:r w:rsidRPr="001A3435">
        <w:rPr>
          <w:u w:val="single"/>
        </w:rPr>
        <w:t>v. Kristi Noem, et al</w:t>
      </w:r>
      <w:r>
        <w:t>., U.S. District Court Judge Manish S. Shah, United States District Court for the Northern District of Illinois, Eastern Division, issued an injunction prohibiting U.S. Government from enforcing DEI {</w:t>
      </w:r>
      <w:r w:rsidRPr="007B7867">
        <w:t>Diversity, Equity and Inclusion</w:t>
      </w:r>
      <w:r>
        <w:t>] prohibitions in 2025 DHS Standard Terms and Conditions. Plaintiffs include</w:t>
      </w:r>
      <w:r w:rsidRPr="00E9616E">
        <w:t xml:space="preserve"> City of Boston, City of New York, Mayor and City Council of Baltimore, City and County of Denver, City of Minneapolis, City of New Haven, City of Saint Paul and Ramsey County</w:t>
      </w:r>
      <w:r>
        <w:t>.  On Noc. 21, 2025, a Federal judge in California issued a similar injunct. THE COURT WROTE:  “The Secretary cannot pursue the policy objectives of the executive branch through the power of the purse…. Defendants are enjoined from imposing Part C.XVII(2)(a)(</w:t>
      </w:r>
      <w:proofErr w:type="spellStart"/>
      <w:r>
        <w:t>i</w:t>
      </w:r>
      <w:proofErr w:type="spellEnd"/>
      <w:r>
        <w:t xml:space="preserve">)–(ii) &amp; XXXI  [DEI conditions] of the 2025 DHS Standard Terms and Conditions on any plaintiff as a requirement for accepting a grant award issued under any of the statutory programs referenced in the complaint. Defendants cannot require plaintiffs to certify that they do not advance or promote DEI, DEIA, or ‘discriminatory equity ideology’ in violation of Federal anti-discrimination laws, or that they do not engage discriminatory prohibited boycotts when they accept funds pursuant to DHS Standard Terms and Conditions. Defendants cannot demand compliance with unspecified and unknown (at the time of contracting) Executive Orders as a condition of funding.” </w:t>
      </w:r>
      <w:hyperlink r:id="rId673" w:history="1">
        <w:r w:rsidRPr="00743732">
          <w:rPr>
            <w:rStyle w:val="Hyperlink"/>
          </w:rPr>
          <w:t>https://cases.justia.com/federal/district-courts/illinois/ilndce/1:2025cv12765/488308/72/0.pdf?ts=1763809095</w:t>
        </w:r>
      </w:hyperlink>
      <w:r>
        <w:t xml:space="preserve"> </w:t>
      </w:r>
    </w:p>
    <w:p w14:paraId="596A7753" w14:textId="77777777" w:rsidR="00E575E6" w:rsidRDefault="00E575E6" w:rsidP="00E575E6">
      <w:pPr>
        <w:pStyle w:val="NoSpacing"/>
      </w:pPr>
    </w:p>
    <w:p w14:paraId="647089A3" w14:textId="77777777" w:rsidR="00E575E6" w:rsidRDefault="00E575E6" w:rsidP="00E575E6">
      <w:pPr>
        <w:pStyle w:val="NoSpacing"/>
      </w:pPr>
      <w:r>
        <w:t>THE COURT HELD:</w:t>
      </w:r>
    </w:p>
    <w:p w14:paraId="4C5D0DED" w14:textId="77777777" w:rsidR="00E575E6" w:rsidRDefault="00E575E6" w:rsidP="00E575E6">
      <w:pPr>
        <w:pStyle w:val="NoSpacing"/>
      </w:pPr>
    </w:p>
    <w:p w14:paraId="28EC2387" w14:textId="77777777" w:rsidR="00E575E6" w:rsidRDefault="00E575E6" w:rsidP="00E575E6">
      <w:pPr>
        <w:pStyle w:val="NoSpacing"/>
        <w:ind w:firstLine="720"/>
      </w:pPr>
      <w:r>
        <w:t>“The Department of Homeland Security and its agencies administer grant</w:t>
      </w:r>
    </w:p>
    <w:p w14:paraId="061BB123" w14:textId="77777777" w:rsidR="00E575E6" w:rsidRDefault="00E575E6" w:rsidP="00E575E6">
      <w:pPr>
        <w:pStyle w:val="NoSpacing"/>
        <w:ind w:firstLine="720"/>
      </w:pPr>
      <w:r>
        <w:t>programs pursuant to statutory authority and funded by congressional</w:t>
      </w:r>
    </w:p>
    <w:p w14:paraId="6F673CF1" w14:textId="77777777" w:rsidR="00E575E6" w:rsidRDefault="00E575E6" w:rsidP="00E575E6">
      <w:pPr>
        <w:pStyle w:val="NoSpacing"/>
        <w:ind w:firstLine="720"/>
      </w:pPr>
      <w:r>
        <w:t xml:space="preserve">appropriations. The grants cover everything from transit safety to nuclear </w:t>
      </w:r>
      <w:proofErr w:type="gramStart"/>
      <w:r>
        <w:t>weapon</w:t>
      </w:r>
      <w:proofErr w:type="gramEnd"/>
    </w:p>
    <w:p w14:paraId="6699D05A" w14:textId="77777777" w:rsidR="00E575E6" w:rsidRDefault="00E575E6" w:rsidP="00E575E6">
      <w:pPr>
        <w:pStyle w:val="NoSpacing"/>
        <w:ind w:firstLine="720"/>
      </w:pPr>
      <w:r>
        <w:t xml:space="preserve">detection. </w:t>
      </w:r>
    </w:p>
    <w:p w14:paraId="35DAEEA1" w14:textId="77777777" w:rsidR="00E575E6" w:rsidRDefault="00E575E6" w:rsidP="00E575E6">
      <w:pPr>
        <w:pStyle w:val="NoSpacing"/>
        <w:ind w:firstLine="720"/>
      </w:pPr>
    </w:p>
    <w:p w14:paraId="2B01597A" w14:textId="77777777" w:rsidR="00E575E6" w:rsidRDefault="00E575E6" w:rsidP="00E575E6">
      <w:pPr>
        <w:pStyle w:val="NoSpacing"/>
        <w:ind w:firstLine="720"/>
      </w:pPr>
      <w:r>
        <w:t>***</w:t>
      </w:r>
    </w:p>
    <w:p w14:paraId="6DD25FA1" w14:textId="77777777" w:rsidR="00E575E6" w:rsidRDefault="00E575E6" w:rsidP="00E575E6">
      <w:pPr>
        <w:pStyle w:val="NoSpacing"/>
        <w:ind w:left="720"/>
      </w:pPr>
      <w:r>
        <w:t>The Secretary cannot pursue the policy objectives of the executive branch through the power of the purse.</w:t>
      </w:r>
    </w:p>
    <w:p w14:paraId="3AAB9A2D" w14:textId="77777777" w:rsidR="00E575E6" w:rsidRDefault="00E575E6" w:rsidP="00E575E6">
      <w:pPr>
        <w:pStyle w:val="NoSpacing"/>
        <w:ind w:left="720"/>
      </w:pPr>
    </w:p>
    <w:p w14:paraId="64467F65" w14:textId="77777777" w:rsidR="00E575E6" w:rsidRDefault="00E575E6" w:rsidP="00E575E6">
      <w:pPr>
        <w:pStyle w:val="NoSpacing"/>
        <w:ind w:left="720"/>
      </w:pPr>
      <w:r>
        <w:t>***</w:t>
      </w:r>
    </w:p>
    <w:p w14:paraId="7F9237BB" w14:textId="77777777" w:rsidR="00E575E6" w:rsidRDefault="00E575E6" w:rsidP="00E575E6">
      <w:pPr>
        <w:pStyle w:val="NoSpacing"/>
      </w:pPr>
    </w:p>
    <w:p w14:paraId="2770EC4F" w14:textId="77777777" w:rsidR="00E575E6" w:rsidRDefault="00E575E6" w:rsidP="00E575E6">
      <w:pPr>
        <w:pStyle w:val="NoSpacing"/>
        <w:ind w:firstLine="720"/>
      </w:pPr>
      <w:r>
        <w:t>The loss of money is ordinarily a tangible harm. But here, the ripple effects on</w:t>
      </w:r>
    </w:p>
    <w:p w14:paraId="3226516A" w14:textId="77777777" w:rsidR="00E575E6" w:rsidRDefault="00E575E6" w:rsidP="00E575E6">
      <w:pPr>
        <w:pStyle w:val="NoSpacing"/>
        <w:ind w:firstLine="720"/>
      </w:pPr>
      <w:r>
        <w:t>budget plans, services to residents, and efforts to mitigate the harm from terrorism</w:t>
      </w:r>
    </w:p>
    <w:p w14:paraId="030E2AA0" w14:textId="77777777" w:rsidR="00E575E6" w:rsidRDefault="00E575E6" w:rsidP="00E575E6">
      <w:pPr>
        <w:pStyle w:val="NoSpacing"/>
        <w:ind w:left="720"/>
      </w:pPr>
      <w:r>
        <w:t>or natural disasters are not quantifiable. The point of funding for disaster preparedness, infrastructure security, and firefighting is that the money is an investment that generates intangible dividends in public safety and security. Losing this funding in the interim would lead to budget cuts that directly inhibit the missions of the law enforcement and fire departments that these grants were intended to support. See, e.g., [47] ¶¶ 9–12 (Assistance for Firefights Grant Program funding already awarded to the Chicago Fire Department is needed to replace end-of-life and non-compliant self-contained breathing apparatus cylinders and provide training on hazardous material safety); [53] ¶ 10 (the City of New Haven Office of Emergency Management relies on Emergency Management Performance Grant funding for 100% of its non-salary operating budget). While going without money is not an irreparable harm, going without firefighters is.”</w:t>
      </w:r>
    </w:p>
    <w:p w14:paraId="5185EACE" w14:textId="77777777" w:rsidR="00E575E6" w:rsidRDefault="00E575E6" w:rsidP="00E575E6">
      <w:pPr>
        <w:pStyle w:val="NoSpacing"/>
        <w:ind w:left="720"/>
      </w:pPr>
    </w:p>
    <w:p w14:paraId="198DC0E6" w14:textId="77777777" w:rsidR="00E575E6" w:rsidRPr="004319FA" w:rsidRDefault="00E575E6" w:rsidP="00E575E6">
      <w:pPr>
        <w:pStyle w:val="NoSpacing"/>
        <w:rPr>
          <w:b/>
          <w:bCs/>
        </w:rPr>
      </w:pPr>
      <w:r>
        <w:rPr>
          <w:b/>
        </w:rPr>
        <w:t xml:space="preserve">Legal lesson learned: The new “DEI” provisions have also led to litigation elsewhere.  </w:t>
      </w:r>
    </w:p>
    <w:p w14:paraId="6E2DFCC9" w14:textId="77777777" w:rsidR="00E575E6" w:rsidRDefault="00E575E6" w:rsidP="00E575E6">
      <w:pPr>
        <w:pStyle w:val="NoSpacing"/>
        <w:ind w:left="720"/>
      </w:pPr>
    </w:p>
    <w:p w14:paraId="7547A4ED" w14:textId="77777777" w:rsidR="00E575E6" w:rsidRDefault="00E575E6" w:rsidP="00E575E6">
      <w:pPr>
        <w:pStyle w:val="NoSpacing"/>
        <w:ind w:left="720"/>
        <w:rPr>
          <w:u w:val="single"/>
        </w:rPr>
      </w:pPr>
      <w:r>
        <w:t xml:space="preserve">Note: See November 21, </w:t>
      </w:r>
      <w:proofErr w:type="gramStart"/>
      <w:r>
        <w:t>2025</w:t>
      </w:r>
      <w:proofErr w:type="gramEnd"/>
      <w:r>
        <w:t xml:space="preserve"> injunction in </w:t>
      </w:r>
      <w:r w:rsidRPr="00197C44">
        <w:rPr>
          <w:u w:val="single"/>
        </w:rPr>
        <w:t xml:space="preserve">County of Sata Clara, et al. v. Kristi Noem, et al., </w:t>
      </w:r>
      <w:r w:rsidRPr="00AC1129">
        <w:t>by U.S. District Court Judge US District Judge William Orrick</w:t>
      </w:r>
      <w:r>
        <w:t xml:space="preserve"> in San Jose. </w:t>
      </w:r>
    </w:p>
    <w:p w14:paraId="588F0651" w14:textId="77777777" w:rsidR="00E575E6" w:rsidRDefault="00E575E6" w:rsidP="00E575E6">
      <w:pPr>
        <w:pStyle w:val="NoSpacing"/>
        <w:ind w:left="720"/>
        <w:rPr>
          <w:u w:val="single"/>
        </w:rPr>
      </w:pPr>
      <w:hyperlink r:id="rId674" w:history="1">
        <w:r w:rsidRPr="00743732">
          <w:rPr>
            <w:rStyle w:val="Hyperlink"/>
          </w:rPr>
          <w:t>https://www.courthousenews.com/wp-content/uploads/2025/11/santa-clara-v-noem-preliminary-injunction.pdf</w:t>
        </w:r>
      </w:hyperlink>
      <w:r>
        <w:rPr>
          <w:u w:val="single"/>
        </w:rPr>
        <w:t xml:space="preserve"> </w:t>
      </w:r>
    </w:p>
    <w:p w14:paraId="01F232C3" w14:textId="77777777" w:rsidR="00E575E6" w:rsidRPr="007924A1" w:rsidRDefault="00E575E6" w:rsidP="00E575E6">
      <w:pPr>
        <w:pStyle w:val="NoSpacing"/>
        <w:ind w:firstLine="720"/>
      </w:pPr>
      <w:r w:rsidRPr="00D36677">
        <w:t>“</w:t>
      </w:r>
      <w:r w:rsidRPr="007924A1">
        <w:t>Defendants’ arguments here have been soundly rejected by courts around the country,</w:t>
      </w:r>
    </w:p>
    <w:p w14:paraId="43921471" w14:textId="77777777" w:rsidR="00E575E6" w:rsidRDefault="00E575E6" w:rsidP="00E575E6">
      <w:pPr>
        <w:pStyle w:val="NoSpacing"/>
        <w:ind w:left="720"/>
      </w:pPr>
      <w:r w:rsidRPr="007924A1">
        <w:t>which have found similar agency conditional funding schemes to be unconstitutional.  The</w:t>
      </w:r>
      <w:r>
        <w:t xml:space="preserve"> </w:t>
      </w:r>
      <w:r w:rsidRPr="007924A1">
        <w:t>message to the Executive Branch in these cases is consistent: no one is above the law, and the</w:t>
      </w:r>
      <w:r>
        <w:t xml:space="preserve"> </w:t>
      </w:r>
      <w:r w:rsidRPr="007924A1">
        <w:t xml:space="preserve">separation of powers between the three branches must be </w:t>
      </w:r>
      <w:proofErr w:type="gramStart"/>
      <w:r w:rsidRPr="007924A1">
        <w:t>respected.</w:t>
      </w:r>
      <w:r>
        <w:t>”</w:t>
      </w:r>
      <w:proofErr w:type="gramEnd"/>
    </w:p>
    <w:p w14:paraId="56271655" w14:textId="77777777" w:rsidR="00E575E6" w:rsidRDefault="00E575E6" w:rsidP="00E575E6">
      <w:pPr>
        <w:pStyle w:val="NoSpacing"/>
        <w:ind w:left="720"/>
      </w:pPr>
    </w:p>
    <w:p w14:paraId="34909F35" w14:textId="77777777" w:rsidR="00E575E6" w:rsidRPr="007924A1" w:rsidRDefault="00E575E6" w:rsidP="00E575E6">
      <w:pPr>
        <w:pStyle w:val="NoSpacing"/>
        <w:ind w:left="720"/>
      </w:pPr>
      <w:r>
        <w:t>***</w:t>
      </w:r>
    </w:p>
    <w:p w14:paraId="2B389669" w14:textId="77777777" w:rsidR="00E575E6" w:rsidRDefault="00E575E6" w:rsidP="00E575E6">
      <w:pPr>
        <w:pStyle w:val="NoSpacing"/>
        <w:ind w:left="720"/>
        <w:rPr>
          <w:u w:val="single"/>
        </w:rPr>
      </w:pPr>
    </w:p>
    <w:p w14:paraId="34EF1209" w14:textId="77777777" w:rsidR="00E575E6" w:rsidRPr="006610CA" w:rsidRDefault="00E575E6" w:rsidP="00E575E6">
      <w:pPr>
        <w:pStyle w:val="NoSpacing"/>
        <w:ind w:left="720"/>
      </w:pPr>
      <w:r w:rsidRPr="006610CA">
        <w:t xml:space="preserve">Plaintiffs are the County of Santa Clara </w:t>
      </w:r>
      <w:r>
        <w:t xml:space="preserve">, </w:t>
      </w:r>
      <w:r w:rsidRPr="006610CA">
        <w:t>City and County of San Francisco</w:t>
      </w:r>
      <w:r>
        <w:t xml:space="preserve">, </w:t>
      </w:r>
      <w:r w:rsidRPr="006610CA">
        <w:t>City of Alameda</w:t>
      </w:r>
      <w:r>
        <w:t xml:space="preserve">, </w:t>
      </w:r>
      <w:r w:rsidRPr="006610CA">
        <w:t>City of Bellingham</w:t>
      </w:r>
      <w:r>
        <w:t xml:space="preserve">, </w:t>
      </w:r>
      <w:r w:rsidRPr="006610CA">
        <w:t>City of Berkeley</w:t>
      </w:r>
      <w:r>
        <w:t xml:space="preserve">, </w:t>
      </w:r>
      <w:r w:rsidRPr="006610CA">
        <w:t>City of Culver City</w:t>
      </w:r>
      <w:r>
        <w:t xml:space="preserve">, </w:t>
      </w:r>
      <w:r w:rsidRPr="006610CA">
        <w:t>City of Los Angeles</w:t>
      </w:r>
      <w:r>
        <w:t>,</w:t>
      </w:r>
      <w:r w:rsidRPr="006610CA">
        <w:t xml:space="preserve"> County</w:t>
      </w:r>
      <w:r>
        <w:t xml:space="preserve"> </w:t>
      </w:r>
      <w:r w:rsidRPr="006610CA">
        <w:t>of Los Angeles</w:t>
      </w:r>
      <w:r>
        <w:t xml:space="preserve">, </w:t>
      </w:r>
      <w:r w:rsidRPr="006610CA">
        <w:t>Los Angeles County Consolidated Fire Protection</w:t>
      </w:r>
      <w:r>
        <w:t xml:space="preserve"> </w:t>
      </w:r>
      <w:r w:rsidRPr="006610CA">
        <w:t>District</w:t>
      </w:r>
      <w:r>
        <w:t xml:space="preserve">, </w:t>
      </w:r>
      <w:r w:rsidRPr="006610CA">
        <w:t>Martin Luther King, Jr. County</w:t>
      </w:r>
      <w:r>
        <w:t xml:space="preserve">, </w:t>
      </w:r>
      <w:r w:rsidRPr="006610CA">
        <w:t>County of Marin</w:t>
      </w:r>
      <w:r>
        <w:t>, C</w:t>
      </w:r>
      <w:r w:rsidRPr="006610CA">
        <w:t>ity of Oakland</w:t>
      </w:r>
      <w:r>
        <w:t xml:space="preserve">, </w:t>
      </w:r>
      <w:r w:rsidRPr="006610CA">
        <w:t>City of Palo Alto</w:t>
      </w:r>
      <w:r>
        <w:t xml:space="preserve">, </w:t>
      </w:r>
      <w:r w:rsidRPr="006610CA">
        <w:t xml:space="preserve"> City of Pasadena</w:t>
      </w:r>
      <w:r>
        <w:t xml:space="preserve">, </w:t>
      </w:r>
      <w:r w:rsidRPr="006610CA">
        <w:t>City of Petaluma</w:t>
      </w:r>
      <w:r>
        <w:t xml:space="preserve">, </w:t>
      </w:r>
      <w:r w:rsidRPr="006610CA">
        <w:t>Pierce County, City of Sacramento</w:t>
      </w:r>
      <w:r>
        <w:t xml:space="preserve">, </w:t>
      </w:r>
      <w:r w:rsidRPr="006610CA">
        <w:t>City of San Diego</w:t>
      </w:r>
      <w:r>
        <w:t xml:space="preserve">, </w:t>
      </w:r>
      <w:r w:rsidRPr="006610CA">
        <w:t>County of San Diego</w:t>
      </w:r>
      <w:r>
        <w:t xml:space="preserve">, </w:t>
      </w:r>
      <w:r w:rsidRPr="006610CA">
        <w:t>City of San José</w:t>
      </w:r>
      <w:r>
        <w:t xml:space="preserve"> </w:t>
      </w:r>
      <w:r w:rsidRPr="006610CA">
        <w:t>(“San José”), County of San Mateo (“San Mateo County”), City of Santa Monica</w:t>
      </w:r>
      <w:r>
        <w:t xml:space="preserve">, </w:t>
      </w:r>
      <w:r w:rsidRPr="006610CA">
        <w:t>City of Santa Rosa</w:t>
      </w:r>
      <w:r>
        <w:t xml:space="preserve">, </w:t>
      </w:r>
      <w:r w:rsidRPr="006610CA">
        <w:t>Snohomish County, County of Sonoma</w:t>
      </w:r>
      <w:r>
        <w:t xml:space="preserve">, </w:t>
      </w:r>
      <w:r w:rsidRPr="006610CA">
        <w:t>Sonoma County Community Development Commission</w:t>
      </w:r>
      <w:r>
        <w:t xml:space="preserve">, </w:t>
      </w:r>
      <w:r w:rsidRPr="006610CA">
        <w:t>Sonoma County</w:t>
      </w:r>
      <w:r>
        <w:t xml:space="preserve"> </w:t>
      </w:r>
      <w:r w:rsidRPr="006610CA">
        <w:t>Water Agency</w:t>
      </w:r>
      <w:r>
        <w:t xml:space="preserve">, </w:t>
      </w:r>
      <w:r w:rsidRPr="006610CA">
        <w:t>Sonoma Valley County Sanitation District</w:t>
      </w:r>
      <w:r>
        <w:t xml:space="preserve">. </w:t>
      </w:r>
      <w:r w:rsidRPr="006610CA">
        <w:t>and the</w:t>
      </w:r>
      <w:r>
        <w:t xml:space="preserve"> </w:t>
      </w:r>
      <w:r w:rsidRPr="006610CA">
        <w:t>City of Tucson</w:t>
      </w:r>
      <w:r>
        <w:t>.</w:t>
      </w:r>
      <w:r w:rsidRPr="006610CA">
        <w:t xml:space="preserve"> </w:t>
      </w:r>
    </w:p>
    <w:p w14:paraId="5293BF95" w14:textId="77777777" w:rsidR="00E575E6" w:rsidRDefault="00E575E6" w:rsidP="00E575E6">
      <w:pPr>
        <w:pStyle w:val="NoSpacing"/>
        <w:ind w:left="720"/>
        <w:rPr>
          <w:u w:val="single"/>
        </w:rPr>
      </w:pPr>
    </w:p>
    <w:p w14:paraId="09298894" w14:textId="77777777" w:rsidR="00E575E6" w:rsidRDefault="00E575E6" w:rsidP="00E575E6">
      <w:pPr>
        <w:pStyle w:val="NoSpacing"/>
        <w:ind w:left="720"/>
      </w:pPr>
      <w:r w:rsidRPr="007924A1">
        <w:t xml:space="preserve">Note:  </w:t>
      </w:r>
      <w:r>
        <w:t xml:space="preserve">See these articles. </w:t>
      </w:r>
    </w:p>
    <w:p w14:paraId="19695A41" w14:textId="77777777" w:rsidR="00E575E6" w:rsidRDefault="00E575E6" w:rsidP="00E575E6">
      <w:pPr>
        <w:pStyle w:val="NoSpacing"/>
        <w:ind w:left="720"/>
      </w:pPr>
    </w:p>
    <w:p w14:paraId="79B823D6" w14:textId="77777777" w:rsidR="00E575E6" w:rsidRPr="008B165C" w:rsidRDefault="00E575E6" w:rsidP="00E575E6">
      <w:pPr>
        <w:pStyle w:val="NoSpacing"/>
        <w:numPr>
          <w:ilvl w:val="0"/>
          <w:numId w:val="36"/>
        </w:numPr>
        <w:rPr>
          <w:bCs/>
        </w:rPr>
      </w:pPr>
      <w:r>
        <w:t xml:space="preserve">Nov. 24, 2025: </w:t>
      </w:r>
      <w:r w:rsidRPr="008B165C">
        <w:t>Local Governments Win Injunction Against Trump Administration, Restoring Access to DHS Grants</w:t>
      </w:r>
      <w:r>
        <w:t xml:space="preserve">.  </w:t>
      </w:r>
      <w:hyperlink r:id="rId675" w:history="1">
        <w:r w:rsidRPr="00743732">
          <w:rPr>
            <w:rStyle w:val="Hyperlink"/>
          </w:rPr>
          <w:t>https://www.californiacountynews.org/news/2025/11/local-governments-win-injunction-against-trump-administration-restoring-access-dhs</w:t>
        </w:r>
      </w:hyperlink>
      <w:r>
        <w:t xml:space="preserve"> </w:t>
      </w:r>
    </w:p>
    <w:p w14:paraId="2843B9BC" w14:textId="77777777" w:rsidR="00E575E6" w:rsidRDefault="00E575E6" w:rsidP="00E575E6">
      <w:pPr>
        <w:pStyle w:val="NoSpacing"/>
        <w:ind w:left="720"/>
      </w:pPr>
    </w:p>
    <w:p w14:paraId="493937D7" w14:textId="77777777" w:rsidR="00E575E6" w:rsidRDefault="00E575E6" w:rsidP="00E575E6">
      <w:pPr>
        <w:pStyle w:val="NoSpacing"/>
        <w:ind w:left="720"/>
      </w:pPr>
    </w:p>
    <w:p w14:paraId="33200514" w14:textId="77777777" w:rsidR="00E575E6" w:rsidRDefault="00E575E6" w:rsidP="00E575E6">
      <w:pPr>
        <w:pStyle w:val="NoSpacing"/>
        <w:numPr>
          <w:ilvl w:val="0"/>
          <w:numId w:val="36"/>
        </w:numPr>
        <w:rPr>
          <w:b/>
        </w:rPr>
      </w:pPr>
      <w:r>
        <w:t xml:space="preserve">Nov. 22, 2025: </w:t>
      </w:r>
      <w:r w:rsidRPr="00BE145F">
        <w:t>Judges block Trump from cutting hundreds of millions in grants to cities, counties.</w:t>
      </w:r>
      <w:r>
        <w:rPr>
          <w:b/>
        </w:rPr>
        <w:t xml:space="preserve">   </w:t>
      </w:r>
      <w:hyperlink r:id="rId676" w:history="1">
        <w:r w:rsidRPr="00743732">
          <w:rPr>
            <w:rStyle w:val="Hyperlink"/>
            <w:b/>
          </w:rPr>
          <w:t>https://edition.cnn.com/2025/11/22/politics/judges-block-trump-cutting-grants-cities-counties-hnk</w:t>
        </w:r>
      </w:hyperlink>
      <w:r>
        <w:rPr>
          <w:b/>
        </w:rPr>
        <w:t xml:space="preserve"> </w:t>
      </w:r>
    </w:p>
    <w:p w14:paraId="6E6F9F2A" w14:textId="77777777" w:rsidR="00E575E6" w:rsidRDefault="00E575E6" w:rsidP="00E575E6"/>
    <w:p w14:paraId="1A47943E" w14:textId="77777777" w:rsidR="00E575E6" w:rsidRDefault="00E575E6" w:rsidP="00440B47">
      <w:pPr>
        <w:pStyle w:val="NoSpacing"/>
        <w:rPr>
          <w:rFonts w:ascii="Arial Black" w:hAnsi="Arial Black"/>
          <w:sz w:val="28"/>
          <w:szCs w:val="28"/>
        </w:rPr>
      </w:pPr>
    </w:p>
    <w:p w14:paraId="6B48CE44" w14:textId="77777777" w:rsidR="00E575E6" w:rsidRDefault="00E575E6" w:rsidP="00440B47">
      <w:pPr>
        <w:pStyle w:val="NoSpacing"/>
        <w:rPr>
          <w:rFonts w:ascii="Arial Black" w:hAnsi="Arial Black"/>
          <w:sz w:val="28"/>
          <w:szCs w:val="28"/>
        </w:rPr>
      </w:pPr>
    </w:p>
    <w:p w14:paraId="67D02A67" w14:textId="017B1E5F" w:rsidR="00C27E37" w:rsidRDefault="00374C8E" w:rsidP="00440B47">
      <w:pPr>
        <w:pStyle w:val="NoSpacing"/>
        <w:rPr>
          <w:rFonts w:ascii="Arial Black" w:hAnsi="Arial Black"/>
          <w:sz w:val="28"/>
          <w:szCs w:val="28"/>
        </w:rPr>
      </w:pPr>
      <w:r>
        <w:rPr>
          <w:rFonts w:ascii="Arial Black" w:hAnsi="Arial Black"/>
          <w:sz w:val="28"/>
          <w:szCs w:val="28"/>
        </w:rPr>
        <w:t>3-82</w:t>
      </w:r>
    </w:p>
    <w:p w14:paraId="5680A694" w14:textId="77777777" w:rsidR="00374C8E" w:rsidRDefault="00374C8E" w:rsidP="00440B47">
      <w:pPr>
        <w:pStyle w:val="NoSpacing"/>
        <w:rPr>
          <w:rFonts w:ascii="Arial Black" w:hAnsi="Arial Black"/>
          <w:sz w:val="28"/>
          <w:szCs w:val="28"/>
        </w:rPr>
      </w:pPr>
    </w:p>
    <w:p w14:paraId="4CDE2C22" w14:textId="77777777" w:rsidR="00374C8E" w:rsidRDefault="00374C8E" w:rsidP="00374C8E">
      <w:pPr>
        <w:pStyle w:val="NoSpacing"/>
        <w:rPr>
          <w:b/>
        </w:rPr>
      </w:pPr>
      <w:r>
        <w:rPr>
          <w:rFonts w:ascii="Arial Black" w:hAnsi="Arial Black"/>
          <w:b/>
          <w:sz w:val="28"/>
          <w:szCs w:val="28"/>
        </w:rPr>
        <w:t>IL: NAT. GUARD – CHICAGO - 7</w:t>
      </w:r>
      <w:r w:rsidRPr="00293775">
        <w:rPr>
          <w:rFonts w:ascii="Arial Black" w:hAnsi="Arial Black"/>
          <w:b/>
          <w:sz w:val="28"/>
          <w:szCs w:val="28"/>
          <w:vertAlign w:val="superscript"/>
        </w:rPr>
        <w:t>th</w:t>
      </w:r>
      <w:r>
        <w:rPr>
          <w:rFonts w:ascii="Arial Black" w:hAnsi="Arial Black"/>
          <w:b/>
          <w:sz w:val="28"/>
          <w:szCs w:val="28"/>
        </w:rPr>
        <w:t xml:space="preserve"> CIR. TEMP INJUNCTION</w:t>
      </w:r>
    </w:p>
    <w:p w14:paraId="024FE0EF" w14:textId="77777777" w:rsidR="00374C8E" w:rsidRDefault="00374C8E" w:rsidP="00374C8E">
      <w:pPr>
        <w:pStyle w:val="NoSpacing"/>
        <w:rPr>
          <w:b/>
        </w:rPr>
      </w:pPr>
    </w:p>
    <w:p w14:paraId="4D74D65D" w14:textId="77777777" w:rsidR="00374C8E" w:rsidRDefault="00374C8E" w:rsidP="00374C8E">
      <w:pPr>
        <w:pStyle w:val="NoSpacing"/>
        <w:rPr>
          <w:bCs/>
        </w:rPr>
      </w:pPr>
      <w:r>
        <w:t xml:space="preserve">On Oct. 16, 2025, in </w:t>
      </w:r>
      <w:r w:rsidRPr="0089383A">
        <w:rPr>
          <w:u w:val="single"/>
        </w:rPr>
        <w:t>State of Illinois and City of Chicago v. Donald J. Trump, et al</w:t>
      </w:r>
      <w:r>
        <w:t>., the U.S. Court of Appeals for 7</w:t>
      </w:r>
      <w:r w:rsidRPr="0089383A">
        <w:rPr>
          <w:vertAlign w:val="superscript"/>
        </w:rPr>
        <w:t>th</w:t>
      </w:r>
      <w:r>
        <w:t xml:space="preserve"> Circuit (Chicago) held (3 to 0) that temporary injunction by U.S. District Court Judge April M. Perry, </w:t>
      </w:r>
      <w:r w:rsidRPr="00DB3FA5">
        <w:t>enjoining the administration from federalizing and deploying the Guard within Illinois</w:t>
      </w:r>
      <w:r>
        <w:t xml:space="preserve">, will remain in place while the administration appeals.   </w:t>
      </w:r>
      <w:r w:rsidRPr="00923D30">
        <w:t>On September 8, 2025, the Trump administration announced</w:t>
      </w:r>
      <w:r>
        <w:t xml:space="preserve"> </w:t>
      </w:r>
      <w:r w:rsidRPr="00923D30">
        <w:t>“Operation Midway Blitz”</w:t>
      </w:r>
      <w:r>
        <w:t xml:space="preserve"> - </w:t>
      </w:r>
      <w:r w:rsidRPr="008800B0">
        <w:t xml:space="preserve">Illinois state officials opposed the deployment of the National Guard. The same day, the National Guard Bureau </w:t>
      </w:r>
    </w:p>
    <w:p w14:paraId="165087B4" w14:textId="77777777" w:rsidR="00374C8E" w:rsidRDefault="00374C8E" w:rsidP="00374C8E">
      <w:pPr>
        <w:pStyle w:val="NoSpacing"/>
        <w:rPr>
          <w:bCs/>
        </w:rPr>
      </w:pPr>
      <w:r w:rsidRPr="008800B0">
        <w:t>notified the Adjutant General of the Illinois National Guard that</w:t>
      </w:r>
      <w:r>
        <w:t xml:space="preserve"> </w:t>
      </w:r>
      <w:r w:rsidRPr="008800B0">
        <w:t>the President had authorized the mobilization of at least 300</w:t>
      </w:r>
      <w:r>
        <w:t xml:space="preserve"> </w:t>
      </w:r>
      <w:r w:rsidRPr="008800B0">
        <w:t>members of the Illinois National Guard and directed that Illinois mobilize the Guard under 32 U.S.C. § 502(f) within 2</w:t>
      </w:r>
      <w:r>
        <w:t xml:space="preserve"> </w:t>
      </w:r>
      <w:r w:rsidRPr="008800B0">
        <w:t>hours, or the Secretary of Defense would do so under Title 10.</w:t>
      </w:r>
      <w:r>
        <w:t xml:space="preserve"> </w:t>
      </w:r>
      <w:r w:rsidRPr="008127E8">
        <w:t>On October 6, 2025, plaintiffs—the State of Illinois and the</w:t>
      </w:r>
      <w:r>
        <w:t xml:space="preserve"> </w:t>
      </w:r>
      <w:r w:rsidRPr="008127E8">
        <w:t>City of Chicago—filed this lawsuit, arguing that the Trump</w:t>
      </w:r>
      <w:r>
        <w:t xml:space="preserve"> </w:t>
      </w:r>
      <w:r w:rsidRPr="008127E8">
        <w:t>administration’s orders federalizing National Guard troops in</w:t>
      </w:r>
      <w:r>
        <w:t xml:space="preserve"> </w:t>
      </w:r>
      <w:r w:rsidRPr="008127E8">
        <w:t>Illinois under 10 U.S.C. § 12406 were unlawful.</w:t>
      </w:r>
      <w:r>
        <w:t xml:space="preserve"> </w:t>
      </w:r>
      <w:hyperlink r:id="rId677" w:history="1">
        <w:r w:rsidRPr="00D86B5D">
          <w:rPr>
            <w:rStyle w:val="Hyperlink"/>
          </w:rPr>
          <w:t>https://media.ca7.uscourts.gov/cgi-bin/OpinionsWeb/processWebInputExternal.pl?Submit=Display&amp;Path=Y2025/D10-16/C:25-2798:J:PerCuriam:aut:T:op:N:3439487:S:0</w:t>
        </w:r>
      </w:hyperlink>
      <w:r>
        <w:t xml:space="preserve"> </w:t>
      </w:r>
    </w:p>
    <w:p w14:paraId="2A72CDAC" w14:textId="77777777" w:rsidR="00374C8E" w:rsidRDefault="00374C8E" w:rsidP="00374C8E">
      <w:pPr>
        <w:pStyle w:val="NoSpacing"/>
        <w:rPr>
          <w:b/>
        </w:rPr>
      </w:pPr>
    </w:p>
    <w:p w14:paraId="11490BB1" w14:textId="77777777" w:rsidR="00374C8E" w:rsidRPr="008127E8" w:rsidRDefault="00374C8E" w:rsidP="00374C8E">
      <w:pPr>
        <w:pStyle w:val="NoSpacing"/>
        <w:rPr>
          <w:bCs/>
        </w:rPr>
      </w:pPr>
      <w:r w:rsidRPr="008127E8">
        <w:t>THE COURT HELD:</w:t>
      </w:r>
    </w:p>
    <w:p w14:paraId="3A522E5D" w14:textId="77777777" w:rsidR="00374C8E" w:rsidRDefault="00374C8E" w:rsidP="00374C8E">
      <w:pPr>
        <w:pStyle w:val="NoSpacing"/>
        <w:rPr>
          <w:b/>
        </w:rPr>
      </w:pPr>
    </w:p>
    <w:p w14:paraId="7DC96DF0" w14:textId="77777777" w:rsidR="00374C8E" w:rsidRDefault="00374C8E" w:rsidP="00374C8E">
      <w:pPr>
        <w:pStyle w:val="NoSpacing"/>
        <w:ind w:left="720"/>
      </w:pPr>
      <w:r>
        <w:t>“</w:t>
      </w:r>
      <w:r w:rsidRPr="00E43F32">
        <w:t>Plaintiffs argued that there is no rebellion or danger of rebellion in Illinois</w:t>
      </w:r>
      <w:r>
        <w:t xml:space="preserve"> </w:t>
      </w:r>
      <w:r w:rsidRPr="00E43F32">
        <w:t>nor is the President unable with the regular</w:t>
      </w:r>
      <w:r>
        <w:t xml:space="preserve"> </w:t>
      </w:r>
      <w:r w:rsidRPr="00E43F32">
        <w:t>forces to execute the laws of the United States</w:t>
      </w:r>
      <w:r>
        <w:t xml:space="preserve"> [10 USC 12406]. </w:t>
      </w:r>
      <w:r w:rsidRPr="00E43F32">
        <w:t xml:space="preserve"> They further</w:t>
      </w:r>
      <w:r>
        <w:t xml:space="preserve"> </w:t>
      </w:r>
      <w:r w:rsidRPr="00E43F32">
        <w:t>contended that the federalization orders violate the Posse</w:t>
      </w:r>
      <w:r>
        <w:t xml:space="preserve"> </w:t>
      </w:r>
      <w:r w:rsidRPr="00E43F32">
        <w:t>Comitatus Act, 18 U.S.C. § 1385, and the Tenth Amendment.</w:t>
      </w:r>
      <w:r>
        <w:t xml:space="preserve"> </w:t>
      </w:r>
      <w:r w:rsidRPr="00E43F32">
        <w:t>Plaintiffs sought emergency injunctive relief preventing the</w:t>
      </w:r>
      <w:r>
        <w:t xml:space="preserve"> </w:t>
      </w:r>
      <w:r w:rsidRPr="00E43F32">
        <w:t>Trump administration from federalizing and deploying National Guard troops in Illinois.</w:t>
      </w:r>
    </w:p>
    <w:p w14:paraId="338B8D52" w14:textId="77777777" w:rsidR="00374C8E" w:rsidRDefault="00374C8E" w:rsidP="00374C8E">
      <w:pPr>
        <w:pStyle w:val="NoSpacing"/>
        <w:ind w:left="720"/>
      </w:pPr>
    </w:p>
    <w:p w14:paraId="0BB94375" w14:textId="77777777" w:rsidR="00374C8E" w:rsidRPr="00E43F32" w:rsidRDefault="00374C8E" w:rsidP="00374C8E">
      <w:pPr>
        <w:pStyle w:val="NoSpacing"/>
        <w:ind w:left="720"/>
      </w:pPr>
      <w:r>
        <w:t>***</w:t>
      </w:r>
    </w:p>
    <w:p w14:paraId="5D5D899D" w14:textId="77777777" w:rsidR="00374C8E" w:rsidRPr="00E43F32" w:rsidRDefault="00374C8E" w:rsidP="00374C8E">
      <w:pPr>
        <w:pStyle w:val="NoSpacing"/>
      </w:pPr>
    </w:p>
    <w:p w14:paraId="68752905" w14:textId="77777777" w:rsidR="00374C8E" w:rsidRDefault="00374C8E" w:rsidP="00374C8E">
      <w:pPr>
        <w:pStyle w:val="NoSpacing"/>
        <w:ind w:left="720"/>
      </w:pPr>
      <w:r w:rsidRPr="00BA5389">
        <w:t xml:space="preserve">After holding a hearing and assessing the preliminary record, the </w:t>
      </w:r>
      <w:r>
        <w:t>[</w:t>
      </w:r>
      <w:proofErr w:type="spellStart"/>
      <w:r>
        <w:t>distri</w:t>
      </w:r>
      <w:proofErr w:type="spellEnd"/>
      <w:r>
        <w:t xml:space="preserve"> court on Oct. 9, 2025] </w:t>
      </w:r>
      <w:r w:rsidRPr="00BA5389">
        <w:t>granted in part plaintiffs’ request for a temporary restraining order and enjoined the federalization and deployment of the National Guard for 14 days.</w:t>
      </w:r>
    </w:p>
    <w:p w14:paraId="71B38E9D" w14:textId="77777777" w:rsidR="00374C8E" w:rsidRDefault="00374C8E" w:rsidP="00374C8E">
      <w:pPr>
        <w:pStyle w:val="NoSpacing"/>
        <w:ind w:left="720"/>
      </w:pPr>
    </w:p>
    <w:p w14:paraId="10730929" w14:textId="77777777" w:rsidR="00374C8E" w:rsidRDefault="00374C8E" w:rsidP="00374C8E">
      <w:pPr>
        <w:pStyle w:val="NoSpacing"/>
        <w:ind w:left="720"/>
      </w:pPr>
      <w:r>
        <w:t>***</w:t>
      </w:r>
    </w:p>
    <w:p w14:paraId="28332191" w14:textId="77777777" w:rsidR="00374C8E" w:rsidRDefault="00374C8E" w:rsidP="00374C8E">
      <w:pPr>
        <w:pStyle w:val="NoSpacing"/>
        <w:ind w:left="720"/>
      </w:pPr>
      <w:r>
        <w:t>The Trump administration promptly appealed. It also moved for a stay pending appeal and for an emergency administrative stay. We granted the motion for an administrative stay in part, allowing the Guard members in Illinois to remain under federal control but blocking their deployment while we considered the motion for a stay.</w:t>
      </w:r>
    </w:p>
    <w:p w14:paraId="4C9B8FF1" w14:textId="77777777" w:rsidR="00374C8E" w:rsidRDefault="00374C8E" w:rsidP="00374C8E">
      <w:pPr>
        <w:pStyle w:val="NoSpacing"/>
        <w:ind w:left="720"/>
      </w:pPr>
    </w:p>
    <w:p w14:paraId="06EDE958" w14:textId="77777777" w:rsidR="00374C8E" w:rsidRPr="00BA5389" w:rsidRDefault="00374C8E" w:rsidP="00374C8E">
      <w:pPr>
        <w:pStyle w:val="NoSpacing"/>
        <w:ind w:left="720"/>
      </w:pPr>
      <w:r>
        <w:t>***</w:t>
      </w:r>
    </w:p>
    <w:p w14:paraId="701D91CF" w14:textId="77777777" w:rsidR="00374C8E" w:rsidRDefault="00374C8E" w:rsidP="00374C8E">
      <w:pPr>
        <w:pStyle w:val="NoSpacing"/>
        <w:ind w:left="720"/>
      </w:pPr>
      <w:r w:rsidRPr="00960DC7">
        <w:t>We continue to STAY the district court’s</w:t>
      </w:r>
      <w:r>
        <w:t xml:space="preserve"> </w:t>
      </w:r>
      <w:r w:rsidRPr="00960DC7">
        <w:t>October 9, 2025, order only to the extent it enjoined the federalization of the National Guard within the state. The administration remains barred from deploying the National Guard</w:t>
      </w:r>
      <w:r>
        <w:t xml:space="preserve"> </w:t>
      </w:r>
      <w:r w:rsidRPr="00960DC7">
        <w:t>of the United States within Illinois.</w:t>
      </w:r>
      <w:r>
        <w:t>”</w:t>
      </w:r>
    </w:p>
    <w:p w14:paraId="396F9EEC" w14:textId="77777777" w:rsidR="00374C8E" w:rsidRDefault="00374C8E" w:rsidP="00374C8E">
      <w:pPr>
        <w:pStyle w:val="NoSpacing"/>
        <w:ind w:left="720"/>
      </w:pPr>
    </w:p>
    <w:p w14:paraId="0A308CCB" w14:textId="30E49ECF" w:rsidR="00374C8E" w:rsidRPr="00960DC7" w:rsidRDefault="00374C8E" w:rsidP="00374C8E">
      <w:pPr>
        <w:pStyle w:val="NoSpacing"/>
        <w:rPr>
          <w:b/>
          <w:bCs/>
        </w:rPr>
      </w:pPr>
      <w:r>
        <w:rPr>
          <w:b/>
        </w:rPr>
        <w:t xml:space="preserve">Lesson learned: Litigation over President’s authority to deploy National Guard where there is no “rebellion” will probably be finally settled by U.S. Supreme Court. </w:t>
      </w:r>
    </w:p>
    <w:p w14:paraId="0395FF0C" w14:textId="77777777" w:rsidR="00374C8E" w:rsidRPr="00960DC7" w:rsidRDefault="00374C8E" w:rsidP="00374C8E">
      <w:pPr>
        <w:pStyle w:val="NoSpacing"/>
      </w:pPr>
    </w:p>
    <w:p w14:paraId="04DD919C" w14:textId="77777777" w:rsidR="002511FF" w:rsidRDefault="002511FF" w:rsidP="00374C8E">
      <w:pPr>
        <w:pStyle w:val="NoSpacing"/>
        <w:ind w:left="720"/>
      </w:pPr>
    </w:p>
    <w:p w14:paraId="670CE1C5" w14:textId="77777777" w:rsidR="002511FF" w:rsidRDefault="002511FF" w:rsidP="00374C8E">
      <w:pPr>
        <w:pStyle w:val="NoSpacing"/>
        <w:ind w:left="720"/>
      </w:pPr>
    </w:p>
    <w:p w14:paraId="0E308F51" w14:textId="77777777" w:rsidR="002511FF" w:rsidRDefault="002511FF" w:rsidP="00374C8E">
      <w:pPr>
        <w:pStyle w:val="NoSpacing"/>
        <w:ind w:left="720"/>
      </w:pPr>
    </w:p>
    <w:p w14:paraId="78424A68" w14:textId="77777777" w:rsidR="002511FF" w:rsidRPr="005A2D83" w:rsidRDefault="002511FF" w:rsidP="002511FF">
      <w:pPr>
        <w:pStyle w:val="NoSpacing"/>
        <w:ind w:left="720"/>
        <w:rPr>
          <w:bCs/>
        </w:rPr>
      </w:pPr>
      <w:r>
        <w:t xml:space="preserve">See Oct. 16, </w:t>
      </w:r>
      <w:proofErr w:type="gramStart"/>
      <w:r>
        <w:t>2025</w:t>
      </w:r>
      <w:proofErr w:type="gramEnd"/>
      <w:r>
        <w:t xml:space="preserve"> article: </w:t>
      </w:r>
      <w:r w:rsidRPr="005A2D83">
        <w:t xml:space="preserve">Appeals Court Upholds Federal Judge’s Temporary Order Blocking National Guard Deployment in Chicago Area </w:t>
      </w:r>
    </w:p>
    <w:p w14:paraId="54DCCFDC" w14:textId="222D6255" w:rsidR="002511FF" w:rsidRDefault="002511FF" w:rsidP="002511FF">
      <w:pPr>
        <w:pStyle w:val="NoSpacing"/>
        <w:ind w:left="720"/>
      </w:pPr>
      <w:hyperlink r:id="rId678" w:history="1">
        <w:r w:rsidRPr="00B5246F">
          <w:rPr>
            <w:rStyle w:val="Hyperlink"/>
          </w:rPr>
          <w:t>https://news.wttw.com/2025/10/16/appeals-court-upholds-federal-judge-s-temporary-order-blocking-national-guard-deployment</w:t>
        </w:r>
      </w:hyperlink>
    </w:p>
    <w:p w14:paraId="61CF5E70" w14:textId="77777777" w:rsidR="002511FF" w:rsidRDefault="002511FF" w:rsidP="00374C8E">
      <w:pPr>
        <w:pStyle w:val="NoSpacing"/>
        <w:ind w:left="720"/>
      </w:pPr>
    </w:p>
    <w:p w14:paraId="63275DB1" w14:textId="77777777" w:rsidR="002511FF" w:rsidRDefault="002511FF" w:rsidP="00374C8E">
      <w:pPr>
        <w:pStyle w:val="NoSpacing"/>
        <w:ind w:left="720"/>
      </w:pPr>
    </w:p>
    <w:p w14:paraId="2C6624C9" w14:textId="6B66D5DD" w:rsidR="00374C8E" w:rsidRDefault="00374C8E" w:rsidP="00374C8E">
      <w:pPr>
        <w:pStyle w:val="NoSpacing"/>
        <w:ind w:left="720"/>
        <w:rPr>
          <w:b/>
        </w:rPr>
      </w:pPr>
      <w:r w:rsidRPr="00913BE0">
        <w:t>See</w:t>
      </w:r>
      <w:r>
        <w:t xml:space="preserve"> the</w:t>
      </w:r>
      <w:r w:rsidRPr="00913BE0">
        <w:t xml:space="preserve"> Port</w:t>
      </w:r>
      <w:r>
        <w:t>l</w:t>
      </w:r>
      <w:r w:rsidRPr="00913BE0">
        <w:t xml:space="preserve">and, Oregon </w:t>
      </w:r>
      <w:r>
        <w:t xml:space="preserve">Oct. 4, </w:t>
      </w:r>
      <w:proofErr w:type="gramStart"/>
      <w:r>
        <w:t>2025</w:t>
      </w:r>
      <w:proofErr w:type="gramEnd"/>
      <w:r>
        <w:t xml:space="preserve"> </w:t>
      </w:r>
      <w:r w:rsidRPr="00913BE0">
        <w:t>temporary restraining order</w:t>
      </w:r>
      <w:r>
        <w:rPr>
          <w:b/>
        </w:rPr>
        <w:t xml:space="preserve">:  </w:t>
      </w:r>
      <w:hyperlink r:id="rId679" w:history="1">
        <w:r w:rsidRPr="00F13728">
          <w:rPr>
            <w:rStyle w:val="Hyperlink"/>
            <w:b/>
          </w:rPr>
          <w:t>https://www.portland.gov/federal/documents/10-4-2025-state-city-v-trump-temporary-restraining-order-granted/download</w:t>
        </w:r>
      </w:hyperlink>
      <w:r>
        <w:rPr>
          <w:b/>
        </w:rPr>
        <w:t xml:space="preserve"> </w:t>
      </w:r>
    </w:p>
    <w:p w14:paraId="659DFA0D" w14:textId="77777777" w:rsidR="00374C8E" w:rsidRDefault="00374C8E" w:rsidP="00374C8E">
      <w:pPr>
        <w:pStyle w:val="NoSpacing"/>
        <w:ind w:left="720"/>
        <w:rPr>
          <w:bCs/>
        </w:rPr>
      </w:pPr>
    </w:p>
    <w:p w14:paraId="6B9FD426" w14:textId="788EA60D" w:rsidR="00374C8E" w:rsidRDefault="00374C8E" w:rsidP="002511FF">
      <w:pPr>
        <w:pStyle w:val="NoSpacing"/>
        <w:ind w:firstLine="720"/>
        <w:rPr>
          <w:rFonts w:ascii="Arial Black" w:hAnsi="Arial Black"/>
          <w:sz w:val="28"/>
          <w:szCs w:val="28"/>
        </w:rPr>
      </w:pPr>
      <w:r w:rsidRPr="002C508F">
        <w:t xml:space="preserve">9th Circuit </w:t>
      </w:r>
      <w:r>
        <w:t xml:space="preserve">Oct. 30, </w:t>
      </w:r>
      <w:proofErr w:type="gramStart"/>
      <w:r>
        <w:t>2025</w:t>
      </w:r>
      <w:proofErr w:type="gramEnd"/>
      <w:r>
        <w:t xml:space="preserve"> </w:t>
      </w:r>
      <w:r w:rsidRPr="002C508F">
        <w:t xml:space="preserve">stay: </w:t>
      </w:r>
      <w:hyperlink r:id="rId680" w:history="1">
        <w:r w:rsidRPr="002C508F">
          <w:rPr>
            <w:rStyle w:val="Hyperlink"/>
          </w:rPr>
          <w:t>https://cdn.ca9.uscourts.gov/datastore/opinions/2025/10/30/25-6268.pdf</w:t>
        </w:r>
      </w:hyperlink>
    </w:p>
    <w:p w14:paraId="5F9C26A2" w14:textId="77777777" w:rsidR="00374C8E" w:rsidRDefault="00374C8E" w:rsidP="00440B47">
      <w:pPr>
        <w:pStyle w:val="NoSpacing"/>
        <w:rPr>
          <w:rFonts w:ascii="Arial Black" w:hAnsi="Arial Black"/>
          <w:sz w:val="28"/>
          <w:szCs w:val="28"/>
        </w:rPr>
      </w:pPr>
    </w:p>
    <w:p w14:paraId="2F25814D" w14:textId="77777777" w:rsidR="00374C8E" w:rsidRDefault="00374C8E" w:rsidP="00440B47">
      <w:pPr>
        <w:pStyle w:val="NoSpacing"/>
        <w:rPr>
          <w:rFonts w:ascii="Arial Black" w:hAnsi="Arial Black"/>
          <w:sz w:val="28"/>
          <w:szCs w:val="28"/>
        </w:rPr>
      </w:pPr>
    </w:p>
    <w:p w14:paraId="2FE5464B" w14:textId="521877B1" w:rsidR="00C27E37" w:rsidRDefault="004D0741" w:rsidP="00440B47">
      <w:pPr>
        <w:pStyle w:val="NoSpacing"/>
        <w:rPr>
          <w:rFonts w:ascii="Arial Black" w:hAnsi="Arial Black"/>
          <w:sz w:val="28"/>
          <w:szCs w:val="28"/>
        </w:rPr>
      </w:pPr>
      <w:r>
        <w:rPr>
          <w:rFonts w:ascii="Arial Black" w:hAnsi="Arial Black"/>
          <w:sz w:val="28"/>
          <w:szCs w:val="28"/>
        </w:rPr>
        <w:t>3-81</w:t>
      </w:r>
    </w:p>
    <w:p w14:paraId="204B4A66" w14:textId="77777777" w:rsidR="00C27E37" w:rsidRDefault="00C27E37" w:rsidP="00440B47">
      <w:pPr>
        <w:pStyle w:val="NoSpacing"/>
        <w:rPr>
          <w:rFonts w:ascii="Arial Black" w:hAnsi="Arial Black"/>
          <w:sz w:val="28"/>
          <w:szCs w:val="28"/>
        </w:rPr>
      </w:pPr>
    </w:p>
    <w:p w14:paraId="273EC7A4" w14:textId="28553262" w:rsidR="00440B47" w:rsidRDefault="00440B47" w:rsidP="00440B47">
      <w:pPr>
        <w:pStyle w:val="NoSpacing"/>
        <w:rPr>
          <w:rFonts w:ascii="Arial Black" w:hAnsi="Arial Black"/>
          <w:bCs/>
          <w:sz w:val="28"/>
          <w:szCs w:val="28"/>
        </w:rPr>
      </w:pPr>
      <w:r>
        <w:rPr>
          <w:rFonts w:ascii="Arial Black" w:hAnsi="Arial Black"/>
          <w:sz w:val="28"/>
          <w:szCs w:val="28"/>
        </w:rPr>
        <w:t>RI: FEMA – DISASTER GRANTS – SANCTUARY STATES INJUN</w:t>
      </w:r>
      <w:r w:rsidR="005262E1">
        <w:rPr>
          <w:rFonts w:ascii="Arial Black" w:hAnsi="Arial Black"/>
          <w:sz w:val="28"/>
          <w:szCs w:val="28"/>
        </w:rPr>
        <w:t>CTION</w:t>
      </w:r>
    </w:p>
    <w:p w14:paraId="2E7DB45F" w14:textId="77777777" w:rsidR="00440B47" w:rsidRDefault="00440B47" w:rsidP="00440B47">
      <w:pPr>
        <w:pStyle w:val="NoSpacing"/>
        <w:rPr>
          <w:bCs/>
        </w:rPr>
      </w:pPr>
    </w:p>
    <w:p w14:paraId="277D7987" w14:textId="77777777" w:rsidR="00440B47" w:rsidRDefault="00440B47" w:rsidP="00440B47">
      <w:pPr>
        <w:pStyle w:val="NoSpacing"/>
        <w:rPr>
          <w:bCs/>
        </w:rPr>
      </w:pPr>
      <w:r>
        <w:t xml:space="preserve">On September 24, 2025, in </w:t>
      </w:r>
      <w:r w:rsidRPr="00317F99">
        <w:rPr>
          <w:u w:val="single"/>
        </w:rPr>
        <w:t>State of Illinois, et al. v. Federal Emergency Management Agency</w:t>
      </w:r>
      <w:r>
        <w:t xml:space="preserve">, Senior U.S. District Court Judge William E. Smith, United States District Court for the District of Rhode Island, granted permanent injunction; 20 states and the District of Columbia challenged President Trump’s Jan. 30, </w:t>
      </w:r>
      <w:proofErr w:type="gramStart"/>
      <w:r>
        <w:t>2025</w:t>
      </w:r>
      <w:proofErr w:type="gramEnd"/>
      <w:r>
        <w:t xml:space="preserve"> Executive Order that directed DHS </w:t>
      </w:r>
      <w:r w:rsidRPr="00B939B2">
        <w:t>to “ensure that so-called ‘sanctuary’ jurisdictions</w:t>
      </w:r>
      <w:r>
        <w:t xml:space="preserve"> </w:t>
      </w:r>
      <w:r w:rsidRPr="00B939B2">
        <w:t>do not receive access to federal funds</w:t>
      </w:r>
      <w:r>
        <w:t xml:space="preserve">.”  On July 23, </w:t>
      </w:r>
      <w:proofErr w:type="gramStart"/>
      <w:r>
        <w:t>2025</w:t>
      </w:r>
      <w:proofErr w:type="gramEnd"/>
      <w:r>
        <w:t xml:space="preserve"> FEMA advised the Court </w:t>
      </w:r>
      <w:r w:rsidRPr="009F7CB3">
        <w:t>that DHS</w:t>
      </w:r>
      <w:r>
        <w:t xml:space="preserve"> </w:t>
      </w:r>
      <w:r w:rsidRPr="009F7CB3">
        <w:t xml:space="preserve">had made a </w:t>
      </w:r>
      <w:r>
        <w:t>“</w:t>
      </w:r>
      <w:r w:rsidRPr="009F7CB3">
        <w:t>final determination</w:t>
      </w:r>
      <w:r>
        <w:t>”</w:t>
      </w:r>
      <w:r w:rsidRPr="009F7CB3">
        <w:t xml:space="preserve"> that the contested conditions</w:t>
      </w:r>
      <w:r>
        <w:t xml:space="preserve"> </w:t>
      </w:r>
      <w:r w:rsidRPr="009F7CB3">
        <w:t>would not apply to forty of the grants listed in the Amended</w:t>
      </w:r>
      <w:r>
        <w:t xml:space="preserve"> </w:t>
      </w:r>
      <w:r w:rsidRPr="009F7CB3">
        <w:t>Complaint</w:t>
      </w:r>
      <w:r>
        <w:t xml:space="preserve"> related is disaster relief</w:t>
      </w:r>
      <w:r w:rsidRPr="009F7CB3">
        <w:t>.</w:t>
      </w:r>
      <w:r>
        <w:t xml:space="preserve">  </w:t>
      </w:r>
    </w:p>
    <w:p w14:paraId="13AC01CB" w14:textId="77777777" w:rsidR="00440B47" w:rsidRDefault="00440B47" w:rsidP="00440B47">
      <w:pPr>
        <w:pStyle w:val="NoSpacing"/>
        <w:rPr>
          <w:bCs/>
        </w:rPr>
      </w:pPr>
    </w:p>
    <w:p w14:paraId="48CD82BE" w14:textId="77777777" w:rsidR="00440B47" w:rsidRPr="00F8047E" w:rsidRDefault="00440B47" w:rsidP="00440B47">
      <w:pPr>
        <w:pStyle w:val="NoSpacing"/>
        <w:rPr>
          <w:bCs/>
        </w:rPr>
      </w:pPr>
      <w:r w:rsidRPr="00B939B2">
        <w:rPr>
          <w:b/>
        </w:rPr>
        <w:t>THE COURT HELD</w:t>
      </w:r>
      <w:r>
        <w:t>: “[T]</w:t>
      </w:r>
      <w:r w:rsidRPr="00E033D4">
        <w:t>he grants at issue fund programs</w:t>
      </w:r>
      <w:r>
        <w:t xml:space="preserve"> </w:t>
      </w:r>
      <w:r w:rsidRPr="00E033D4">
        <w:t>such as disaster relief, fire safety, dam safety, and emergency</w:t>
      </w:r>
      <w:r>
        <w:t xml:space="preserve"> </w:t>
      </w:r>
      <w:r w:rsidRPr="00E033D4">
        <w:t>preparedness</w:t>
      </w:r>
      <w:r>
        <w:t xml:space="preserve">…. </w:t>
      </w:r>
      <w:r w:rsidRPr="00456A91">
        <w:t>The record shows that states rely on these grants for billions of</w:t>
      </w:r>
      <w:r>
        <w:t xml:space="preserve"> </w:t>
      </w:r>
      <w:r w:rsidRPr="00456A91">
        <w:t>dollars annually in disaster relief and public safety funds that</w:t>
      </w:r>
      <w:r>
        <w:t xml:space="preserve"> </w:t>
      </w:r>
      <w:r w:rsidRPr="00456A91">
        <w:t>cannot be replaced by state revenues. Denying such funding if</w:t>
      </w:r>
      <w:r>
        <w:t xml:space="preserve"> </w:t>
      </w:r>
      <w:r w:rsidRPr="00456A91">
        <w:t>states refuse to comply with vague immigration requirements leaves</w:t>
      </w:r>
      <w:r>
        <w:t xml:space="preserve"> </w:t>
      </w:r>
      <w:r w:rsidRPr="00456A91">
        <w:t>them with no meaningful choice, particularly where state budgets</w:t>
      </w:r>
      <w:r>
        <w:t xml:space="preserve"> </w:t>
      </w:r>
      <w:r w:rsidRPr="00456A91">
        <w:t>are already committed</w:t>
      </w:r>
      <w:r>
        <w:t xml:space="preserve">…. </w:t>
      </w:r>
      <w:r w:rsidRPr="00316405">
        <w:t xml:space="preserve">Here, DHS </w:t>
      </w:r>
      <w:proofErr w:type="gramStart"/>
      <w:r w:rsidRPr="00316405">
        <w:t>required</w:t>
      </w:r>
      <w:proofErr w:type="gramEnd"/>
      <w:r w:rsidRPr="00316405">
        <w:t xml:space="preserve"> states to</w:t>
      </w:r>
      <w:r>
        <w:t xml:space="preserve"> </w:t>
      </w:r>
      <w:r w:rsidRPr="00316405">
        <w:t xml:space="preserve">provide </w:t>
      </w:r>
      <w:r>
        <w:t>‘</w:t>
      </w:r>
      <w:r w:rsidRPr="00316405">
        <w:t>cooperation</w:t>
      </w:r>
      <w:r>
        <w:t>’</w:t>
      </w:r>
      <w:r w:rsidRPr="00316405">
        <w:t xml:space="preserve"> and participate in </w:t>
      </w:r>
      <w:r>
        <w:t>‘</w:t>
      </w:r>
      <w:r w:rsidRPr="00316405">
        <w:t xml:space="preserve">joint </w:t>
      </w:r>
      <w:proofErr w:type="gramStart"/>
      <w:r w:rsidRPr="00316405">
        <w:t>operations</w:t>
      </w:r>
      <w:r>
        <w:t>’</w:t>
      </w:r>
      <w:r w:rsidRPr="00316405">
        <w:t xml:space="preserve"> and</w:t>
      </w:r>
      <w:r>
        <w:t xml:space="preserve"> ‘</w:t>
      </w:r>
      <w:proofErr w:type="gramEnd"/>
      <w:r w:rsidRPr="00316405">
        <w:t xml:space="preserve">information </w:t>
      </w:r>
      <w:proofErr w:type="gramStart"/>
      <w:r w:rsidRPr="00316405">
        <w:t>sharing,</w:t>
      </w:r>
      <w:r>
        <w:t>’</w:t>
      </w:r>
      <w:proofErr w:type="gramEnd"/>
      <w:r w:rsidRPr="00316405">
        <w:t xml:space="preserve"> but without defining what compliance</w:t>
      </w:r>
      <w:r>
        <w:t xml:space="preserve"> </w:t>
      </w:r>
      <w:r w:rsidRPr="00316405">
        <w:t>entails. Likewise, the prohibition on operating programs that</w:t>
      </w:r>
      <w:r>
        <w:t xml:space="preserve"> ‘</w:t>
      </w:r>
      <w:r w:rsidRPr="00316405">
        <w:t>benefit illegal immigrants</w:t>
      </w:r>
      <w:r>
        <w:t>’</w:t>
      </w:r>
      <w:r w:rsidRPr="00316405">
        <w:t xml:space="preserve"> or </w:t>
      </w:r>
      <w:r>
        <w:t>‘</w:t>
      </w:r>
      <w:r w:rsidRPr="00316405">
        <w:t>incentivize illegal immigration</w:t>
      </w:r>
      <w:r>
        <w:t xml:space="preserve">’ </w:t>
      </w:r>
      <w:r w:rsidRPr="00316405">
        <w:t>provides no meaningful standards and is hopelessly vague</w:t>
      </w:r>
      <w:r>
        <w:t xml:space="preserve">…. </w:t>
      </w:r>
      <w:r w:rsidRPr="00F8047E">
        <w:t xml:space="preserve">The holding in </w:t>
      </w:r>
      <w:r w:rsidRPr="00F8047E">
        <w:rPr>
          <w:i/>
          <w:iCs/>
        </w:rPr>
        <w:t>Trump v. Casa</w:t>
      </w:r>
      <w:r w:rsidRPr="00F8047E">
        <w:t xml:space="preserve"> restricted universal</w:t>
      </w:r>
      <w:r>
        <w:t xml:space="preserve"> </w:t>
      </w:r>
      <w:r w:rsidRPr="00F8047E">
        <w:t>injunctions, but the Court expressly left unaffected the APA’s</w:t>
      </w:r>
    </w:p>
    <w:p w14:paraId="0F1D7D21" w14:textId="77777777" w:rsidR="00440B47" w:rsidRPr="000518C3" w:rsidRDefault="00440B47" w:rsidP="00440B47">
      <w:pPr>
        <w:pStyle w:val="NoSpacing"/>
        <w:rPr>
          <w:bCs/>
        </w:rPr>
      </w:pPr>
      <w:r w:rsidRPr="00F8047E">
        <w:t xml:space="preserve">command to </w:t>
      </w:r>
      <w:r>
        <w:t>‘</w:t>
      </w:r>
      <w:r w:rsidRPr="00F8047E">
        <w:t>set aside</w:t>
      </w:r>
      <w:r>
        <w:t>’</w:t>
      </w:r>
      <w:r w:rsidRPr="00F8047E">
        <w:t xml:space="preserve"> unlawful agency action. 606 U.S. 831, 847</w:t>
      </w:r>
      <w:r>
        <w:t xml:space="preserve"> </w:t>
      </w:r>
      <w:r w:rsidRPr="00F8047E">
        <w:t>n.10 (2025) (</w:t>
      </w:r>
      <w:r>
        <w:t>‘</w:t>
      </w:r>
      <w:r w:rsidRPr="00F8047E">
        <w:t>Nothing we say today resolves the distinct question</w:t>
      </w:r>
      <w:r>
        <w:t xml:space="preserve"> </w:t>
      </w:r>
      <w:r w:rsidRPr="00F8047E">
        <w:t>whether the Administrative Procedure Act authorizes federal courts</w:t>
      </w:r>
      <w:r>
        <w:t xml:space="preserve"> </w:t>
      </w:r>
      <w:r w:rsidRPr="00F8047E">
        <w:t>to vacate agency action.</w:t>
      </w:r>
      <w:r>
        <w:t>’</w:t>
      </w:r>
      <w:r w:rsidRPr="00F8047E">
        <w:t>).</w:t>
      </w:r>
      <w:r>
        <w:t xml:space="preserve"> </w:t>
      </w:r>
      <w:r w:rsidRPr="000518C3">
        <w:t>vacatur under the APA remains, for now, a valid remedy.</w:t>
      </w:r>
    </w:p>
    <w:p w14:paraId="7956271D" w14:textId="77777777" w:rsidR="00440B47" w:rsidRPr="000518C3" w:rsidRDefault="00440B47" w:rsidP="00440B47">
      <w:pPr>
        <w:pStyle w:val="NoSpacing"/>
        <w:rPr>
          <w:bCs/>
        </w:rPr>
      </w:pPr>
      <w:r w:rsidRPr="000518C3">
        <w:t>Based on its findings above, the Court declares that the</w:t>
      </w:r>
      <w:r>
        <w:t xml:space="preserve"> </w:t>
      </w:r>
      <w:r w:rsidRPr="000518C3">
        <w:t>contested conditions are both arbitrary and capricious under the</w:t>
      </w:r>
      <w:r>
        <w:t xml:space="preserve"> </w:t>
      </w:r>
      <w:r w:rsidRPr="000518C3">
        <w:t>APA and unconstitutional under the Spending Clause. As such, the</w:t>
      </w:r>
    </w:p>
    <w:p w14:paraId="7927725A" w14:textId="77777777" w:rsidR="00440B47" w:rsidRPr="000518C3" w:rsidRDefault="00440B47" w:rsidP="00440B47">
      <w:pPr>
        <w:pStyle w:val="NoSpacing"/>
        <w:rPr>
          <w:bCs/>
        </w:rPr>
      </w:pPr>
      <w:r w:rsidRPr="000518C3">
        <w:t>contested conditions are vacated.</w:t>
      </w:r>
      <w:r>
        <w:t xml:space="preserve"> </w:t>
      </w:r>
      <w:proofErr w:type="gramStart"/>
      <w:r w:rsidRPr="000518C3">
        <w:t>In light of</w:t>
      </w:r>
      <w:proofErr w:type="gramEnd"/>
      <w:r w:rsidRPr="000518C3">
        <w:t xml:space="preserve"> this holding, a permanent injunction enjoining</w:t>
      </w:r>
    </w:p>
    <w:p w14:paraId="795AD968" w14:textId="77777777" w:rsidR="00440B47" w:rsidRDefault="00440B47" w:rsidP="00440B47">
      <w:pPr>
        <w:pStyle w:val="NoSpacing"/>
        <w:rPr>
          <w:bCs/>
        </w:rPr>
      </w:pPr>
      <w:r w:rsidRPr="000518C3">
        <w:t>Defendants from enforcing the contested conditions against</w:t>
      </w:r>
      <w:r>
        <w:t xml:space="preserve"> </w:t>
      </w:r>
      <w:r w:rsidRPr="000518C3">
        <w:t>Plaintiff States is also appropriate.</w:t>
      </w:r>
      <w:r>
        <w:t>”</w:t>
      </w:r>
      <w:r w:rsidRPr="00546A34">
        <w:t xml:space="preserve"> </w:t>
      </w:r>
      <w:hyperlink r:id="rId681" w:history="1">
        <w:r w:rsidRPr="00CC0A54">
          <w:rPr>
            <w:rStyle w:val="Hyperlink"/>
          </w:rPr>
          <w:t>https://rhodeislandcurrent.com/wp-content/uploads/2025/09/IL-v.-FEMA-1.pdf</w:t>
        </w:r>
      </w:hyperlink>
      <w:r>
        <w:t xml:space="preserve"> </w:t>
      </w:r>
    </w:p>
    <w:p w14:paraId="2D536E95" w14:textId="77777777" w:rsidR="00440B47" w:rsidRDefault="00440B47" w:rsidP="00440B47">
      <w:pPr>
        <w:pStyle w:val="NoSpacing"/>
        <w:rPr>
          <w:bCs/>
        </w:rPr>
      </w:pPr>
    </w:p>
    <w:p w14:paraId="74C61115" w14:textId="77777777" w:rsidR="00440B47" w:rsidRPr="0039608F" w:rsidRDefault="00440B47" w:rsidP="00440B47">
      <w:pPr>
        <w:pStyle w:val="NoSpacing"/>
        <w:rPr>
          <w:b/>
        </w:rPr>
      </w:pPr>
      <w:r w:rsidRPr="0039608F">
        <w:rPr>
          <w:b/>
        </w:rPr>
        <w:t>KEY FACTS:</w:t>
      </w:r>
    </w:p>
    <w:p w14:paraId="6D8A535A" w14:textId="77777777" w:rsidR="00440B47" w:rsidRDefault="00440B47" w:rsidP="00440B47">
      <w:pPr>
        <w:pStyle w:val="NoSpacing"/>
        <w:rPr>
          <w:bCs/>
        </w:rPr>
      </w:pPr>
    </w:p>
    <w:p w14:paraId="6EACA64B" w14:textId="77777777" w:rsidR="00440B47" w:rsidRDefault="00440B47" w:rsidP="00440B47">
      <w:pPr>
        <w:pStyle w:val="NoSpacing"/>
        <w:ind w:left="720"/>
        <w:rPr>
          <w:bCs/>
        </w:rPr>
      </w:pPr>
      <w:r>
        <w:t>“</w:t>
      </w:r>
      <w:r w:rsidRPr="004E1E96">
        <w:t>DHS</w:t>
      </w:r>
      <w:r>
        <w:t xml:space="preserve"> </w:t>
      </w:r>
      <w:r w:rsidRPr="004E1E96">
        <w:t>Secretary Kristi Noem issued a memorandum on February 19 titled</w:t>
      </w:r>
      <w:r>
        <w:t xml:space="preserve"> ‘</w:t>
      </w:r>
      <w:r w:rsidRPr="004E1E96">
        <w:t>Restricting Grant Funding for Sanctuary Jurisdictions.</w:t>
      </w:r>
      <w:r>
        <w:t>’ …  T</w:t>
      </w:r>
      <w:r w:rsidRPr="00905FE2">
        <w:t>his memorandum instructed DHS’s sub-agencies to</w:t>
      </w:r>
      <w:r>
        <w:t xml:space="preserve"> </w:t>
      </w:r>
      <w:r w:rsidRPr="00905FE2">
        <w:t>“review all federal financial assistance awards” to identify funds</w:t>
      </w:r>
      <w:r>
        <w:t xml:space="preserve"> </w:t>
      </w:r>
      <w:r w:rsidRPr="00905FE2">
        <w:t>being distributed to sanctuary jurisdictions, and report</w:t>
      </w:r>
      <w:r>
        <w:t xml:space="preserve"> </w:t>
      </w:r>
      <w:r w:rsidRPr="00905FE2">
        <w:t>compliance within thirty days</w:t>
      </w:r>
      <w:r>
        <w:t>…. C</w:t>
      </w:r>
      <w:r w:rsidRPr="00C046DF">
        <w:t>ameron Hamilton, then serving as the Senior Official</w:t>
      </w:r>
      <w:r>
        <w:t xml:space="preserve"> P</w:t>
      </w:r>
      <w:r w:rsidRPr="00C046DF">
        <w:t>erforming the Duties of FEMA Administrator</w:t>
      </w:r>
      <w:r>
        <w:t xml:space="preserve"> </w:t>
      </w:r>
      <w:r w:rsidRPr="002440B3">
        <w:t>subsequently sent a</w:t>
      </w:r>
      <w:r>
        <w:t xml:space="preserve"> </w:t>
      </w:r>
      <w:r w:rsidRPr="002440B3">
        <w:t>memorandum to Secretary Noem identifying twelve FEMA programs</w:t>
      </w:r>
      <w:r>
        <w:t xml:space="preserve"> </w:t>
      </w:r>
      <w:r w:rsidRPr="002440B3">
        <w:t>that, in his view, could lawfully be withheld from sanctuary</w:t>
      </w:r>
      <w:r>
        <w:t xml:space="preserve"> </w:t>
      </w:r>
      <w:r w:rsidRPr="002440B3">
        <w:t xml:space="preserve">states. He </w:t>
      </w:r>
      <w:proofErr w:type="gramStart"/>
      <w:r w:rsidRPr="002440B3">
        <w:t>recommended against</w:t>
      </w:r>
      <w:proofErr w:type="gramEnd"/>
      <w:r w:rsidRPr="002440B3">
        <w:t xml:space="preserve"> applying limiting conditions to</w:t>
      </w:r>
      <w:r>
        <w:t xml:space="preserve"> </w:t>
      </w:r>
      <w:r w:rsidRPr="002440B3">
        <w:t>disaster grants, non-disaster mitigation grants, fire departments,</w:t>
      </w:r>
      <w:r>
        <w:t xml:space="preserve"> </w:t>
      </w:r>
      <w:r w:rsidRPr="002440B3">
        <w:t>and similar organizations.</w:t>
      </w:r>
    </w:p>
    <w:p w14:paraId="70747C29" w14:textId="77777777" w:rsidR="00440B47" w:rsidRDefault="00440B47" w:rsidP="00440B47">
      <w:pPr>
        <w:pStyle w:val="NoSpacing"/>
        <w:ind w:left="720"/>
        <w:rPr>
          <w:bCs/>
        </w:rPr>
      </w:pPr>
    </w:p>
    <w:p w14:paraId="3FCC26E8" w14:textId="77777777" w:rsidR="00440B47" w:rsidRDefault="00440B47" w:rsidP="00440B47">
      <w:pPr>
        <w:pStyle w:val="NoSpacing"/>
        <w:ind w:left="720"/>
        <w:rPr>
          <w:bCs/>
        </w:rPr>
      </w:pPr>
      <w:r w:rsidRPr="002167E9">
        <w:t>On March 27, DHS revised the standard terms and conditions</w:t>
      </w:r>
      <w:r>
        <w:t xml:space="preserve"> </w:t>
      </w:r>
      <w:r w:rsidRPr="002167E9">
        <w:t>governing all federal grants it oversees, adding provisions</w:t>
      </w:r>
      <w:r>
        <w:t xml:space="preserve"> </w:t>
      </w:r>
      <w:r w:rsidRPr="002167E9">
        <w:t>requiring state and local recipients to certify that they will</w:t>
      </w:r>
      <w:r>
        <w:t xml:space="preserve"> </w:t>
      </w:r>
      <w:r w:rsidRPr="002167E9">
        <w:t>assist in enforcing federal immigration law</w:t>
      </w:r>
      <w:r>
        <w:t xml:space="preserve">…. </w:t>
      </w:r>
      <w:r w:rsidRPr="00280317">
        <w:t>A revised version of these terms and conditions was issued</w:t>
      </w:r>
      <w:r>
        <w:t xml:space="preserve"> </w:t>
      </w:r>
      <w:r w:rsidRPr="00280317">
        <w:t>on April 18; that version remains in effect today</w:t>
      </w:r>
      <w:r>
        <w:t xml:space="preserve">…. </w:t>
      </w:r>
      <w:r w:rsidRPr="00D11607">
        <w:t>Plaintiff States filed this action on May 13, seeking</w:t>
      </w:r>
      <w:r>
        <w:t xml:space="preserve"> </w:t>
      </w:r>
      <w:r w:rsidRPr="00145D8E">
        <w:t>declaratory and injunctive relief on the grounds that the contested</w:t>
      </w:r>
      <w:r>
        <w:t xml:space="preserve"> </w:t>
      </w:r>
      <w:r w:rsidRPr="00145D8E">
        <w:t>conditions are unlawful</w:t>
      </w:r>
      <w:r>
        <w:t xml:space="preserve">…. </w:t>
      </w:r>
    </w:p>
    <w:p w14:paraId="15FD6F6C" w14:textId="77777777" w:rsidR="00440B47" w:rsidRDefault="00440B47" w:rsidP="00440B47">
      <w:pPr>
        <w:pStyle w:val="NoSpacing"/>
        <w:ind w:left="720"/>
        <w:rPr>
          <w:bCs/>
        </w:rPr>
      </w:pPr>
    </w:p>
    <w:p w14:paraId="36A82D3E" w14:textId="77777777" w:rsidR="00440B47" w:rsidRPr="004100BA" w:rsidRDefault="00440B47" w:rsidP="00440B47">
      <w:pPr>
        <w:pStyle w:val="NoSpacing"/>
        <w:ind w:left="720"/>
        <w:rPr>
          <w:bCs/>
        </w:rPr>
      </w:pPr>
      <w:r w:rsidRPr="004100BA">
        <w:t>Shortly thereafter, on June 6, Defendants submitted an</w:t>
      </w:r>
      <w:r>
        <w:t xml:space="preserve"> </w:t>
      </w:r>
      <w:r w:rsidRPr="004100BA">
        <w:t>affidavit from David E. Richardson, Senior Official Performing the</w:t>
      </w:r>
      <w:r>
        <w:t xml:space="preserve"> </w:t>
      </w:r>
      <w:r w:rsidRPr="004100BA">
        <w:t>Duties of Administrator for FEMA, declaring that DHS had decided</w:t>
      </w:r>
      <w:r>
        <w:t xml:space="preserve"> </w:t>
      </w:r>
      <w:r w:rsidRPr="004100BA">
        <w:t>the contested conditions would not apply to twelve of the grants</w:t>
      </w:r>
    </w:p>
    <w:p w14:paraId="6CDC8767" w14:textId="77777777" w:rsidR="00440B47" w:rsidRDefault="00440B47" w:rsidP="00440B47">
      <w:pPr>
        <w:pStyle w:val="NoSpacing"/>
        <w:ind w:left="720"/>
        <w:rPr>
          <w:bCs/>
        </w:rPr>
      </w:pPr>
      <w:r w:rsidRPr="004100BA">
        <w:t xml:space="preserve">identified in </w:t>
      </w:r>
      <w:proofErr w:type="gramStart"/>
      <w:r w:rsidRPr="004100BA">
        <w:t>the Complaint,</w:t>
      </w:r>
      <w:proofErr w:type="gramEnd"/>
      <w:r>
        <w:t xml:space="preserve"> </w:t>
      </w:r>
      <w:r w:rsidRPr="004100BA">
        <w:t>3 and that the applicability of the</w:t>
      </w:r>
      <w:r>
        <w:t xml:space="preserve"> </w:t>
      </w:r>
      <w:r w:rsidRPr="004100BA">
        <w:t>conditions to other grants remained under review.</w:t>
      </w:r>
      <w:r>
        <w:t xml:space="preserve"> </w:t>
      </w:r>
    </w:p>
    <w:p w14:paraId="63435920" w14:textId="77777777" w:rsidR="00440B47" w:rsidRDefault="00440B47" w:rsidP="00440B47">
      <w:pPr>
        <w:pStyle w:val="NoSpacing"/>
        <w:ind w:left="720"/>
        <w:rPr>
          <w:bCs/>
        </w:rPr>
      </w:pPr>
    </w:p>
    <w:p w14:paraId="29BF113E" w14:textId="77777777" w:rsidR="00440B47" w:rsidRDefault="00440B47" w:rsidP="00440B47">
      <w:pPr>
        <w:pStyle w:val="NoSpacing"/>
        <w:ind w:left="1440"/>
        <w:rPr>
          <w:bCs/>
        </w:rPr>
      </w:pPr>
      <w:r>
        <w:t xml:space="preserve">[Footnote 3]: </w:t>
      </w:r>
      <w:r w:rsidRPr="009F7CB3">
        <w:t>A second declaration by Richardson filed on July 23, in</w:t>
      </w:r>
      <w:r>
        <w:t xml:space="preserve"> </w:t>
      </w:r>
      <w:r w:rsidRPr="009F7CB3">
        <w:t>support of Defendants’ Motion for Summary Judgment, noted that DHS</w:t>
      </w:r>
      <w:r>
        <w:t xml:space="preserve"> </w:t>
      </w:r>
      <w:r w:rsidRPr="009F7CB3">
        <w:t xml:space="preserve">had made a </w:t>
      </w:r>
      <w:r>
        <w:t>‘</w:t>
      </w:r>
      <w:r w:rsidRPr="009F7CB3">
        <w:t>final determination</w:t>
      </w:r>
      <w:r>
        <w:t>’</w:t>
      </w:r>
      <w:r w:rsidRPr="009F7CB3">
        <w:t xml:space="preserve"> that the contested conditions</w:t>
      </w:r>
      <w:r>
        <w:t xml:space="preserve"> </w:t>
      </w:r>
      <w:r w:rsidRPr="009F7CB3">
        <w:t>would not apply to forty of the grants listed in the Amended</w:t>
      </w:r>
      <w:r>
        <w:t xml:space="preserve"> </w:t>
      </w:r>
      <w:r w:rsidRPr="009F7CB3">
        <w:t>Complaint.</w:t>
      </w:r>
      <w:r>
        <w:t xml:space="preserve">  </w:t>
      </w:r>
    </w:p>
    <w:p w14:paraId="22055197" w14:textId="77777777" w:rsidR="00440B47" w:rsidRDefault="00440B47" w:rsidP="00440B47">
      <w:pPr>
        <w:pStyle w:val="NoSpacing"/>
        <w:ind w:left="720"/>
        <w:rPr>
          <w:bCs/>
        </w:rPr>
      </w:pPr>
    </w:p>
    <w:p w14:paraId="4117CE12" w14:textId="77777777" w:rsidR="00440B47" w:rsidRDefault="00440B47" w:rsidP="00440B47">
      <w:pPr>
        <w:pStyle w:val="NoSpacing"/>
        <w:ind w:left="720"/>
        <w:rPr>
          <w:bCs/>
        </w:rPr>
      </w:pPr>
      <w:r w:rsidRPr="0003565F">
        <w:t>At a June 9 status hearing,</w:t>
      </w:r>
      <w:r>
        <w:t xml:space="preserve"> </w:t>
      </w:r>
      <w:r w:rsidRPr="0003565F">
        <w:t>Plaintiff States raised concerns that this change in position had</w:t>
      </w:r>
      <w:r>
        <w:t xml:space="preserve"> </w:t>
      </w:r>
      <w:r w:rsidRPr="0003565F">
        <w:t>not been formally reflected in DHS’s standard terms and conditions</w:t>
      </w:r>
      <w:r>
        <w:t xml:space="preserve">, </w:t>
      </w:r>
      <w:r w:rsidRPr="00F55966">
        <w:t>which continued to state that the contested conditions applied to</w:t>
      </w:r>
      <w:r>
        <w:t xml:space="preserve"> </w:t>
      </w:r>
      <w:r w:rsidRPr="00F55966">
        <w:t xml:space="preserve">all new grants in Fiscal </w:t>
      </w:r>
      <w:proofErr w:type="gramStart"/>
      <w:r w:rsidRPr="00F55966">
        <w:t>Year (</w:t>
      </w:r>
      <w:r>
        <w:t>‘</w:t>
      </w:r>
      <w:proofErr w:type="gramEnd"/>
      <w:r w:rsidRPr="00F55966">
        <w:t>FY</w:t>
      </w:r>
      <w:r>
        <w:t>’</w:t>
      </w:r>
      <w:r w:rsidRPr="00F55966">
        <w:t>) 2025.</w:t>
      </w:r>
    </w:p>
    <w:p w14:paraId="49495591" w14:textId="77777777" w:rsidR="00440B47" w:rsidRDefault="00440B47" w:rsidP="00440B47">
      <w:pPr>
        <w:pStyle w:val="NoSpacing"/>
        <w:rPr>
          <w:bCs/>
        </w:rPr>
      </w:pPr>
    </w:p>
    <w:p w14:paraId="1D646B07" w14:textId="77777777" w:rsidR="00440B47" w:rsidRDefault="00440B47" w:rsidP="00440B47">
      <w:pPr>
        <w:pStyle w:val="NoSpacing"/>
        <w:ind w:left="720"/>
        <w:rPr>
          <w:bCs/>
        </w:rPr>
      </w:pPr>
      <w:r w:rsidRPr="008D1DE1">
        <w:t>After that hearing, DHS amended its website to state that</w:t>
      </w:r>
      <w:r>
        <w:t xml:space="preserve"> ‘</w:t>
      </w:r>
      <w:r w:rsidRPr="008D1DE1">
        <w:t>not all of DHS’s Standard Terms and Conditions apply to every DHS</w:t>
      </w:r>
      <w:r>
        <w:t xml:space="preserve"> </w:t>
      </w:r>
      <w:r w:rsidRPr="008D1DE1">
        <w:t>grant program,</w:t>
      </w:r>
      <w:r>
        <w:t xml:space="preserve">’ </w:t>
      </w:r>
      <w:r w:rsidRPr="008D1DE1">
        <w:t>directing applicants to review program Notices of</w:t>
      </w:r>
      <w:r>
        <w:t xml:space="preserve"> </w:t>
      </w:r>
      <w:r w:rsidRPr="008D1DE1">
        <w:t>Funding Opportunity (NOFOs) to determine which conditions applied</w:t>
      </w:r>
      <w:r>
        <w:t xml:space="preserve">…. </w:t>
      </w:r>
      <w:r w:rsidRPr="00AC5F47">
        <w:t>In subsequent filings,</w:t>
      </w:r>
      <w:r>
        <w:t xml:space="preserve"> </w:t>
      </w:r>
      <w:r w:rsidRPr="00AC5F47">
        <w:t xml:space="preserve">Defendants asserted they had made a </w:t>
      </w:r>
      <w:r>
        <w:t>‘</w:t>
      </w:r>
      <w:r w:rsidRPr="00AC5F47">
        <w:t>final determination</w:t>
      </w:r>
      <w:r>
        <w:t>’</w:t>
      </w:r>
      <w:r w:rsidRPr="00AC5F47">
        <w:t xml:space="preserve"> that the</w:t>
      </w:r>
      <w:r>
        <w:t xml:space="preserve"> </w:t>
      </w:r>
      <w:r w:rsidRPr="00AC5F47">
        <w:t>contested conditions would not apply to forty of the grant programs</w:t>
      </w:r>
      <w:r>
        <w:t xml:space="preserve"> </w:t>
      </w:r>
      <w:r w:rsidRPr="00AC5F47">
        <w:t>identified in the Amended Complaint.</w:t>
      </w:r>
    </w:p>
    <w:p w14:paraId="306AACBB" w14:textId="77777777" w:rsidR="00440B47" w:rsidRDefault="00440B47" w:rsidP="00440B47">
      <w:pPr>
        <w:pStyle w:val="NoSpacing"/>
        <w:rPr>
          <w:bCs/>
        </w:rPr>
      </w:pPr>
    </w:p>
    <w:p w14:paraId="07715CD3" w14:textId="77777777" w:rsidR="00440B47" w:rsidRDefault="00440B47" w:rsidP="00440B47">
      <w:pPr>
        <w:pStyle w:val="NoSpacing"/>
        <w:ind w:left="720"/>
        <w:rPr>
          <w:bCs/>
        </w:rPr>
      </w:pPr>
      <w:r w:rsidRPr="0023706A">
        <w:t>According to Plaintiff</w:t>
      </w:r>
      <w:r>
        <w:t xml:space="preserve"> </w:t>
      </w:r>
      <w:r w:rsidRPr="0023706A">
        <w:t>States, Between July 25 and August 1, DHS issued twenty-four NOFOs,</w:t>
      </w:r>
      <w:r>
        <w:t xml:space="preserve"> </w:t>
      </w:r>
      <w:r w:rsidRPr="0023706A">
        <w:t>all of which included the standard terms and conditions, and six</w:t>
      </w:r>
      <w:r>
        <w:t xml:space="preserve"> </w:t>
      </w:r>
      <w:r w:rsidRPr="0023706A">
        <w:t xml:space="preserve">of which expressly warned that </w:t>
      </w:r>
      <w:r>
        <w:t>‘</w:t>
      </w:r>
      <w:r w:rsidRPr="0023706A">
        <w:t>an immigration term and condition</w:t>
      </w:r>
      <w:r>
        <w:t xml:space="preserve"> </w:t>
      </w:r>
      <w:r w:rsidRPr="0023706A">
        <w:t>may be material</w:t>
      </w:r>
      <w:r>
        <w:t>’</w:t>
      </w:r>
      <w:r w:rsidRPr="0023706A">
        <w:t xml:space="preserve"> and DHS </w:t>
      </w:r>
      <w:r>
        <w:t>‘</w:t>
      </w:r>
      <w:r w:rsidRPr="0023706A">
        <w:t>may take any remedy for noncompliance</w:t>
      </w:r>
      <w:r>
        <w:t xml:space="preserve">’ </w:t>
      </w:r>
      <w:r w:rsidRPr="0023706A">
        <w:t xml:space="preserve">including </w:t>
      </w:r>
      <w:r>
        <w:t>‘</w:t>
      </w:r>
      <w:r w:rsidRPr="0023706A">
        <w:t>termination.</w:t>
      </w:r>
      <w:r>
        <w:t>’”</w:t>
      </w:r>
    </w:p>
    <w:p w14:paraId="2302CACB" w14:textId="77777777" w:rsidR="00440B47" w:rsidRDefault="00440B47" w:rsidP="00440B47">
      <w:pPr>
        <w:pStyle w:val="NoSpacing"/>
        <w:ind w:left="720"/>
        <w:rPr>
          <w:bCs/>
        </w:rPr>
      </w:pPr>
    </w:p>
    <w:p w14:paraId="3D2A93CE" w14:textId="77777777" w:rsidR="00440B47" w:rsidRPr="009314E0" w:rsidRDefault="00440B47" w:rsidP="00440B47">
      <w:pPr>
        <w:pStyle w:val="NoSpacing"/>
        <w:rPr>
          <w:b/>
        </w:rPr>
      </w:pPr>
      <w:r w:rsidRPr="009314E0">
        <w:rPr>
          <w:b/>
        </w:rPr>
        <w:t xml:space="preserve">Legal lesson learned: </w:t>
      </w:r>
      <w:r>
        <w:rPr>
          <w:b/>
        </w:rPr>
        <w:t xml:space="preserve">The Government will likely appeal this decision to the First Circuit Court of Appeals, and if </w:t>
      </w:r>
      <w:proofErr w:type="gramStart"/>
      <w:r>
        <w:rPr>
          <w:b/>
        </w:rPr>
        <w:t>necessary</w:t>
      </w:r>
      <w:proofErr w:type="gramEnd"/>
      <w:r>
        <w:rPr>
          <w:b/>
        </w:rPr>
        <w:t xml:space="preserve"> seek review by the U.S. Supreme Court. </w:t>
      </w:r>
    </w:p>
    <w:p w14:paraId="46A62A1D" w14:textId="77777777" w:rsidR="00440B47" w:rsidRDefault="00440B47" w:rsidP="00607129">
      <w:pPr>
        <w:pStyle w:val="NoSpacing"/>
        <w:rPr>
          <w:rFonts w:ascii="Arial Black" w:hAnsi="Arial Black"/>
          <w:sz w:val="28"/>
          <w:szCs w:val="28"/>
        </w:rPr>
      </w:pPr>
    </w:p>
    <w:p w14:paraId="32ED0DFE" w14:textId="76F903CB" w:rsidR="00C27E37" w:rsidRDefault="00C27E37" w:rsidP="00C27E37">
      <w:pPr>
        <w:pStyle w:val="NoSpacing"/>
        <w:rPr>
          <w:rFonts w:ascii="Arial Black" w:hAnsi="Arial Black"/>
          <w:sz w:val="28"/>
          <w:szCs w:val="28"/>
        </w:rPr>
      </w:pPr>
      <w:r>
        <w:rPr>
          <w:rFonts w:ascii="Arial Black" w:hAnsi="Arial Black"/>
          <w:sz w:val="28"/>
          <w:szCs w:val="28"/>
        </w:rPr>
        <w:t>3-80</w:t>
      </w:r>
    </w:p>
    <w:p w14:paraId="7FEF00EA" w14:textId="77777777" w:rsidR="00A85CFB" w:rsidRDefault="00A85CFB" w:rsidP="00607129">
      <w:pPr>
        <w:pStyle w:val="NoSpacing"/>
        <w:rPr>
          <w:rFonts w:ascii="Arial Black" w:hAnsi="Arial Black"/>
          <w:sz w:val="28"/>
          <w:szCs w:val="28"/>
        </w:rPr>
      </w:pPr>
    </w:p>
    <w:p w14:paraId="34BD7114" w14:textId="77777777" w:rsidR="00A85CFB" w:rsidRPr="00CB3FA1" w:rsidRDefault="00A85CFB" w:rsidP="00A85CFB">
      <w:pPr>
        <w:pStyle w:val="NoSpacing"/>
        <w:rPr>
          <w:rFonts w:ascii="Arial Black" w:hAnsi="Arial Black"/>
          <w:bCs/>
          <w:sz w:val="28"/>
          <w:szCs w:val="28"/>
        </w:rPr>
      </w:pPr>
      <w:r>
        <w:rPr>
          <w:rFonts w:ascii="Arial Black" w:hAnsi="Arial Black"/>
          <w:sz w:val="28"/>
          <w:szCs w:val="28"/>
        </w:rPr>
        <w:t>PA: “GEOFENCE” WARRANT – CELL PHONES AT SHOOTING</w:t>
      </w:r>
    </w:p>
    <w:p w14:paraId="62A7D745" w14:textId="77777777" w:rsidR="00A85CFB" w:rsidRDefault="00A85CFB" w:rsidP="00A85CFB">
      <w:pPr>
        <w:pStyle w:val="NoSpacing"/>
        <w:rPr>
          <w:bCs/>
        </w:rPr>
      </w:pPr>
    </w:p>
    <w:p w14:paraId="5BFA5C17" w14:textId="77777777" w:rsidR="00A85CFB" w:rsidRDefault="00A85CFB" w:rsidP="00A85CFB">
      <w:pPr>
        <w:pStyle w:val="NoSpacing"/>
        <w:rPr>
          <w:bCs/>
        </w:rPr>
      </w:pPr>
      <w:r>
        <w:t xml:space="preserve">On September 18, 2024, in </w:t>
      </w:r>
      <w:r w:rsidRPr="00AC3603">
        <w:rPr>
          <w:u w:val="single"/>
        </w:rPr>
        <w:t>Commonwealth of Pennsylvania v. Keith Anthony Choice</w:t>
      </w:r>
      <w:r>
        <w:t>, the Superior Court of Pennsylvania held (3 to 0) that trial court properly denied motion to suppress the cell phone information from Google, obtained by PA State Police through court ordered search warrants for “geofence” cell phone location history; a road rage incident where one motorist shot another motorist.  Search warrants obtained for cell phones used at “R</w:t>
      </w:r>
      <w:r w:rsidRPr="009A0209">
        <w:t>oute 309,</w:t>
      </w:r>
      <w:r>
        <w:t xml:space="preserve"> </w:t>
      </w:r>
      <w:r w:rsidRPr="009A0209">
        <w:t>between 9:20 p.m. to 9:27 p.m. on January 23, 2019.</w:t>
      </w:r>
      <w:r>
        <w:t xml:space="preserve">”  The defendant was convicted in bench trial </w:t>
      </w:r>
      <w:r w:rsidRPr="009B16FC">
        <w:t>of aggravated assault</w:t>
      </w:r>
      <w:r>
        <w:t xml:space="preserve">, and </w:t>
      </w:r>
      <w:r w:rsidRPr="003C35AC">
        <w:t>sentenced to 6 to 23 months’</w:t>
      </w:r>
      <w:r>
        <w:t xml:space="preserve"> </w:t>
      </w:r>
      <w:r w:rsidRPr="003C35AC">
        <w:t>incarceration, followed by two years’ probation.</w:t>
      </w:r>
      <w:r>
        <w:t xml:space="preserve"> </w:t>
      </w:r>
    </w:p>
    <w:p w14:paraId="2EABB905" w14:textId="77777777" w:rsidR="00A85CFB" w:rsidRDefault="00A85CFB" w:rsidP="00A85CFB">
      <w:pPr>
        <w:pStyle w:val="NoSpacing"/>
        <w:rPr>
          <w:bCs/>
        </w:rPr>
      </w:pPr>
    </w:p>
    <w:p w14:paraId="0CE5C66B" w14:textId="77777777" w:rsidR="00A85CFB" w:rsidRDefault="00A85CFB" w:rsidP="00A85CFB">
      <w:pPr>
        <w:pStyle w:val="NoSpacing"/>
        <w:rPr>
          <w:bCs/>
        </w:rPr>
      </w:pPr>
      <w:r w:rsidRPr="00913B5B">
        <w:rPr>
          <w:b/>
        </w:rPr>
        <w:t>THE COURT HELD</w:t>
      </w:r>
      <w:r>
        <w:t>: “</w:t>
      </w:r>
      <w:r w:rsidRPr="00722038">
        <w:t>Because pervasive cell phone</w:t>
      </w:r>
      <w:r>
        <w:t xml:space="preserve"> </w:t>
      </w:r>
      <w:r w:rsidRPr="00722038">
        <w:t>possession and cell phone service usage is a matter of common knowledge,</w:t>
      </w:r>
      <w:r>
        <w:t xml:space="preserve"> </w:t>
      </w:r>
      <w:r w:rsidRPr="00722038">
        <w:t>and because law enforcement combined this common knowledge with specific</w:t>
      </w:r>
      <w:r>
        <w:t xml:space="preserve"> </w:t>
      </w:r>
      <w:r w:rsidRPr="00722038">
        <w:t>factual circumstances regarding the time and place of the crime, we reject</w:t>
      </w:r>
      <w:r>
        <w:t xml:space="preserve"> </w:t>
      </w:r>
      <w:r w:rsidRPr="00722038">
        <w:t>Appellant’s argument that the December 2020 search warrant relied upon</w:t>
      </w:r>
      <w:r>
        <w:t xml:space="preserve"> ‘</w:t>
      </w:r>
      <w:r w:rsidRPr="00722038">
        <w:t>categorical assumptions.</w:t>
      </w:r>
      <w:r>
        <w:t xml:space="preserve">” </w:t>
      </w:r>
      <w:hyperlink r:id="rId682" w:history="1">
        <w:r w:rsidRPr="004673F3">
          <w:rPr>
            <w:rStyle w:val="Hyperlink"/>
          </w:rPr>
          <w:t>https://cases.justia.com/pennsylvania/superior-court/2025-1252-eda-2024.pdf?ts=1758220361</w:t>
        </w:r>
      </w:hyperlink>
      <w:r>
        <w:t xml:space="preserve"> </w:t>
      </w:r>
    </w:p>
    <w:p w14:paraId="65F9A2ED" w14:textId="77777777" w:rsidR="00A85CFB" w:rsidRDefault="00A85CFB" w:rsidP="00A85CFB">
      <w:pPr>
        <w:pStyle w:val="NoSpacing"/>
        <w:rPr>
          <w:bCs/>
        </w:rPr>
      </w:pPr>
    </w:p>
    <w:p w14:paraId="34EC56CF" w14:textId="77777777" w:rsidR="00A85CFB" w:rsidRDefault="00A85CFB" w:rsidP="00A85CFB">
      <w:pPr>
        <w:pStyle w:val="NoSpacing"/>
        <w:ind w:left="720"/>
        <w:rPr>
          <w:bCs/>
        </w:rPr>
      </w:pPr>
    </w:p>
    <w:p w14:paraId="69CB0E93" w14:textId="77777777" w:rsidR="00A85CFB" w:rsidRPr="00913B5B" w:rsidRDefault="00A85CFB" w:rsidP="00A85CFB">
      <w:pPr>
        <w:pStyle w:val="NoSpacing"/>
        <w:rPr>
          <w:b/>
        </w:rPr>
      </w:pPr>
      <w:r w:rsidRPr="00913B5B">
        <w:rPr>
          <w:b/>
        </w:rPr>
        <w:t>KEY FACTS:</w:t>
      </w:r>
    </w:p>
    <w:p w14:paraId="2DFB1344" w14:textId="77777777" w:rsidR="00A85CFB" w:rsidRDefault="00A85CFB" w:rsidP="00A85CFB">
      <w:pPr>
        <w:pStyle w:val="NoSpacing"/>
        <w:rPr>
          <w:bCs/>
        </w:rPr>
      </w:pPr>
    </w:p>
    <w:p w14:paraId="141EE6D5" w14:textId="77777777" w:rsidR="00A85CFB" w:rsidRPr="003F40C4" w:rsidRDefault="00A85CFB" w:rsidP="00A85CFB">
      <w:pPr>
        <w:pStyle w:val="NoSpacing"/>
        <w:ind w:firstLine="720"/>
        <w:rPr>
          <w:bCs/>
        </w:rPr>
      </w:pPr>
      <w:r>
        <w:t>“</w:t>
      </w:r>
      <w:r w:rsidRPr="003F40C4">
        <w:t>The trial court summarized the facts underlying this appeal:</w:t>
      </w:r>
    </w:p>
    <w:p w14:paraId="008A25AA" w14:textId="77777777" w:rsidR="00A85CFB" w:rsidRDefault="00A85CFB" w:rsidP="00A85CFB">
      <w:pPr>
        <w:pStyle w:val="NoSpacing"/>
        <w:rPr>
          <w:bCs/>
        </w:rPr>
      </w:pPr>
    </w:p>
    <w:p w14:paraId="4ED3ABA5" w14:textId="77777777" w:rsidR="00A85CFB" w:rsidRPr="003F40C4" w:rsidRDefault="00A85CFB" w:rsidP="00A85CFB">
      <w:pPr>
        <w:pStyle w:val="NoSpacing"/>
        <w:ind w:left="720" w:firstLine="720"/>
        <w:rPr>
          <w:bCs/>
        </w:rPr>
      </w:pPr>
      <w:r w:rsidRPr="003F40C4">
        <w:t>At approximately 9:58 p.m. on</w:t>
      </w:r>
      <w:r>
        <w:t xml:space="preserve"> </w:t>
      </w:r>
      <w:r w:rsidRPr="003F40C4">
        <w:t>January 23, 2019, Pennsylvania</w:t>
      </w:r>
    </w:p>
    <w:p w14:paraId="296CBE52" w14:textId="77777777" w:rsidR="00A85CFB" w:rsidRPr="003F40C4" w:rsidRDefault="00A85CFB" w:rsidP="00A85CFB">
      <w:pPr>
        <w:pStyle w:val="NoSpacing"/>
        <w:ind w:left="1440"/>
        <w:rPr>
          <w:bCs/>
        </w:rPr>
      </w:pPr>
      <w:r w:rsidRPr="003F40C4">
        <w:t>State Police (PSP) troopers] responded to a call into Montgomery County 911 dispatch center of a possible shooting on</w:t>
      </w:r>
      <w:r>
        <w:t xml:space="preserve"> </w:t>
      </w:r>
      <w:r w:rsidRPr="003F40C4">
        <w:t>northbound State Route 309 (</w:t>
      </w:r>
      <w:r>
        <w:t>‘</w:t>
      </w:r>
      <w:r w:rsidRPr="003F40C4">
        <w:t>[Route] 309</w:t>
      </w:r>
      <w:r>
        <w:t>’</w:t>
      </w:r>
      <w:r w:rsidRPr="003F40C4">
        <w:t>). The troopers were</w:t>
      </w:r>
      <w:r>
        <w:t xml:space="preserve"> </w:t>
      </w:r>
      <w:r w:rsidRPr="003F40C4">
        <w:t>dispatched to the Fort Washington Toll Plaza on the Pennsylvania</w:t>
      </w:r>
      <w:r>
        <w:t xml:space="preserve"> </w:t>
      </w:r>
      <w:r w:rsidRPr="003F40C4">
        <w:t>Turnpike, Upper Dublin Township in Montgomery County. There</w:t>
      </w:r>
      <w:r>
        <w:t xml:space="preserve"> </w:t>
      </w:r>
      <w:r w:rsidRPr="003F40C4">
        <w:t>they met with [the victim, John Cramer (Cramer),] and Upper</w:t>
      </w:r>
      <w:r>
        <w:t xml:space="preserve"> </w:t>
      </w:r>
      <w:r w:rsidRPr="003F40C4">
        <w:t>Dublin Township [police] officers who were securing the scene</w:t>
      </w:r>
      <w:r>
        <w:t xml:space="preserve"> </w:t>
      </w:r>
      <w:r w:rsidRPr="003F40C4">
        <w:t>while [emergency medical services (EMS) personnel] provided</w:t>
      </w:r>
      <w:r>
        <w:t xml:space="preserve"> </w:t>
      </w:r>
      <w:r w:rsidRPr="003F40C4">
        <w:t>aid</w:t>
      </w:r>
      <w:r>
        <w:t xml:space="preserve"> </w:t>
      </w:r>
      <w:r w:rsidRPr="003F40C4">
        <w:t>[EMS personnel] determined that Cramer had a graze wound</w:t>
      </w:r>
      <w:r>
        <w:t xml:space="preserve"> </w:t>
      </w:r>
      <w:r w:rsidRPr="003F40C4">
        <w:t>on his upper right arm[,] after having been shot with a firearm.</w:t>
      </w:r>
      <w:r>
        <w:t xml:space="preserve"> </w:t>
      </w:r>
      <w:r w:rsidRPr="003F40C4">
        <w:t xml:space="preserve">When Cramer exited his silver 2014 Toyota </w:t>
      </w:r>
      <w:proofErr w:type="gramStart"/>
      <w:r w:rsidRPr="003F40C4">
        <w:t>Tundra [(</w:t>
      </w:r>
      <w:proofErr w:type="gramEnd"/>
      <w:r w:rsidRPr="003F40C4">
        <w:t>Tundra)], a</w:t>
      </w:r>
    </w:p>
    <w:p w14:paraId="4BCE2BE0" w14:textId="77777777" w:rsidR="00A85CFB" w:rsidRDefault="00A85CFB" w:rsidP="00A85CFB">
      <w:pPr>
        <w:pStyle w:val="NoSpacing"/>
        <w:ind w:left="1440"/>
        <w:rPr>
          <w:bCs/>
        </w:rPr>
      </w:pPr>
      <w:r w:rsidRPr="003F40C4">
        <w:t>single copper-jacketed bullet fell to the ground and was recovered</w:t>
      </w:r>
      <w:r>
        <w:t xml:space="preserve"> </w:t>
      </w:r>
      <w:r w:rsidRPr="003F40C4">
        <w:t>by a [t]</w:t>
      </w:r>
      <w:proofErr w:type="spellStart"/>
      <w:r w:rsidRPr="003F40C4">
        <w:t>rooper</w:t>
      </w:r>
      <w:proofErr w:type="spellEnd"/>
      <w:r w:rsidRPr="003F40C4">
        <w:t>. ([Search Warrant] Affidavit of Probable Cause</w:t>
      </w:r>
      <w:r>
        <w:t xml:space="preserve"> </w:t>
      </w:r>
      <w:r w:rsidRPr="003F40C4">
        <w:t>presented to the Honorable William R. Carpenter[</w:t>
      </w:r>
      <w:r>
        <w:t xml:space="preserve">… </w:t>
      </w:r>
      <w:r w:rsidRPr="003F40C4">
        <w:t xml:space="preserve"> </w:t>
      </w:r>
      <w:r>
        <w:t>T</w:t>
      </w:r>
      <w:r w:rsidRPr="003F40C4">
        <w:t xml:space="preserve">rooper Eugene J. Tray </w:t>
      </w:r>
      <w:r>
        <w:t>…</w:t>
      </w:r>
      <w:r w:rsidRPr="003F40C4">
        <w:t>was assigned as</w:t>
      </w:r>
      <w:r>
        <w:t xml:space="preserve"> </w:t>
      </w:r>
      <w:r w:rsidRPr="003F40C4">
        <w:t>the primary investigator [after] the [Upper Dublin Township Police</w:t>
      </w:r>
      <w:r>
        <w:t xml:space="preserve"> </w:t>
      </w:r>
      <w:r w:rsidRPr="003F40C4">
        <w:t>Department] requested [the PSP] to assume the primary role in</w:t>
      </w:r>
      <w:r>
        <w:t xml:space="preserve"> </w:t>
      </w:r>
      <w:r w:rsidRPr="003F40C4">
        <w:t>this investigation</w:t>
      </w:r>
      <w:r>
        <w:t>.</w:t>
      </w:r>
    </w:p>
    <w:p w14:paraId="3F761348" w14:textId="77777777" w:rsidR="00A85CFB" w:rsidRDefault="00A85CFB" w:rsidP="00A85CFB">
      <w:pPr>
        <w:pStyle w:val="NoSpacing"/>
        <w:ind w:left="720" w:firstLine="720"/>
        <w:rPr>
          <w:bCs/>
        </w:rPr>
      </w:pPr>
    </w:p>
    <w:p w14:paraId="2FCE8201" w14:textId="77777777" w:rsidR="00A85CFB" w:rsidRDefault="00A85CFB" w:rsidP="00A85CFB">
      <w:pPr>
        <w:pStyle w:val="NoSpacing"/>
        <w:ind w:left="720" w:firstLine="720"/>
        <w:rPr>
          <w:bCs/>
        </w:rPr>
      </w:pPr>
      <w:r>
        <w:t>***</w:t>
      </w:r>
    </w:p>
    <w:p w14:paraId="205E39D4" w14:textId="77777777" w:rsidR="00A85CFB" w:rsidRPr="00D671B5" w:rsidRDefault="00A85CFB" w:rsidP="00A85CFB">
      <w:pPr>
        <w:pStyle w:val="NoSpacing"/>
        <w:ind w:left="720" w:firstLine="720"/>
        <w:rPr>
          <w:bCs/>
        </w:rPr>
      </w:pPr>
      <w:r w:rsidRPr="00D671B5">
        <w:t>After conducting additional investigation not relevant to this appeal,</w:t>
      </w:r>
    </w:p>
    <w:p w14:paraId="59DD4F35" w14:textId="77777777" w:rsidR="00A85CFB" w:rsidRPr="00D671B5" w:rsidRDefault="00A85CFB" w:rsidP="00A85CFB">
      <w:pPr>
        <w:pStyle w:val="NoSpacing"/>
        <w:ind w:left="720" w:firstLine="720"/>
        <w:rPr>
          <w:bCs/>
        </w:rPr>
      </w:pPr>
      <w:r w:rsidRPr="00D671B5">
        <w:t>Trooper Tray applied for the December 2020 search warrant, seeking solely</w:t>
      </w:r>
    </w:p>
    <w:p w14:paraId="1A349240" w14:textId="77777777" w:rsidR="00A85CFB" w:rsidRPr="002D3238" w:rsidRDefault="00A85CFB" w:rsidP="00A85CFB">
      <w:pPr>
        <w:pStyle w:val="NoSpacing"/>
        <w:ind w:left="1440"/>
        <w:rPr>
          <w:bCs/>
        </w:rPr>
      </w:pPr>
      <w:r w:rsidRPr="00D671B5">
        <w:t xml:space="preserve">LH </w:t>
      </w:r>
      <w:r>
        <w:t>‘</w:t>
      </w:r>
      <w:r w:rsidRPr="00D671B5">
        <w:t>data generated from devices [] report[</w:t>
      </w:r>
      <w:proofErr w:type="spellStart"/>
      <w:r w:rsidRPr="00D671B5">
        <w:t>ing</w:t>
      </w:r>
      <w:proofErr w:type="spellEnd"/>
      <w:r w:rsidRPr="00D671B5">
        <w:t>] a location with a geographical</w:t>
      </w:r>
      <w:r>
        <w:t xml:space="preserve"> </w:t>
      </w:r>
      <w:r w:rsidRPr="002D3238">
        <w:t xml:space="preserve">region </w:t>
      </w:r>
      <w:proofErr w:type="gramStart"/>
      <w:r w:rsidRPr="002D3238">
        <w:t>bounded</w:t>
      </w:r>
      <w:r>
        <w:t>’</w:t>
      </w:r>
      <w:proofErr w:type="gramEnd"/>
      <w:r w:rsidRPr="002D3238">
        <w:t xml:space="preserve"> by latitude/longitude coordinates, and within dates and</w:t>
      </w:r>
    </w:p>
    <w:p w14:paraId="6DDB6D99" w14:textId="77777777" w:rsidR="00A85CFB" w:rsidRDefault="00A85CFB" w:rsidP="00A85CFB">
      <w:pPr>
        <w:pStyle w:val="NoSpacing"/>
        <w:ind w:left="720" w:firstLine="720"/>
        <w:rPr>
          <w:bCs/>
        </w:rPr>
      </w:pPr>
      <w:r w:rsidRPr="002D3238">
        <w:t>times, set forth in the affidavit.</w:t>
      </w:r>
    </w:p>
    <w:p w14:paraId="16088A4F" w14:textId="77777777" w:rsidR="00A85CFB" w:rsidRDefault="00A85CFB" w:rsidP="00A85CFB">
      <w:pPr>
        <w:pStyle w:val="NoSpacing"/>
        <w:ind w:left="720" w:firstLine="720"/>
        <w:rPr>
          <w:bCs/>
        </w:rPr>
      </w:pPr>
    </w:p>
    <w:p w14:paraId="60AEB8C3" w14:textId="77777777" w:rsidR="00A85CFB" w:rsidRDefault="00A85CFB" w:rsidP="00A85CFB">
      <w:pPr>
        <w:pStyle w:val="NoSpacing"/>
        <w:ind w:left="720" w:firstLine="720"/>
        <w:rPr>
          <w:bCs/>
        </w:rPr>
      </w:pPr>
      <w:r>
        <w:t>***</w:t>
      </w:r>
    </w:p>
    <w:p w14:paraId="29F2F64B" w14:textId="77777777" w:rsidR="00A85CFB" w:rsidRPr="007025EB" w:rsidRDefault="00A85CFB" w:rsidP="00A85CFB">
      <w:pPr>
        <w:pStyle w:val="NoSpacing"/>
        <w:ind w:left="720" w:firstLine="720"/>
        <w:rPr>
          <w:bCs/>
        </w:rPr>
      </w:pPr>
      <w:r w:rsidRPr="007025EB">
        <w:t>After execution of the December 2020 search warrant, on February 9,</w:t>
      </w:r>
    </w:p>
    <w:p w14:paraId="68DF72D6" w14:textId="77777777" w:rsidR="00A85CFB" w:rsidRPr="007025EB" w:rsidRDefault="00A85CFB" w:rsidP="00A85CFB">
      <w:pPr>
        <w:pStyle w:val="NoSpacing"/>
        <w:ind w:left="720" w:firstLine="720"/>
        <w:rPr>
          <w:bCs/>
        </w:rPr>
      </w:pPr>
      <w:r w:rsidRPr="007025EB">
        <w:t>2021, Trooper Tray received email correspondence from Google’s “law</w:t>
      </w:r>
    </w:p>
    <w:p w14:paraId="5F45628B" w14:textId="77777777" w:rsidR="00A85CFB" w:rsidRPr="007025EB" w:rsidRDefault="00A85CFB" w:rsidP="00A85CFB">
      <w:pPr>
        <w:pStyle w:val="NoSpacing"/>
        <w:ind w:left="720" w:firstLine="720"/>
        <w:rPr>
          <w:bCs/>
        </w:rPr>
      </w:pPr>
      <w:r w:rsidRPr="007025EB">
        <w:t>enforcement portal” providing the requested anonymized list of device IDs.</w:t>
      </w:r>
    </w:p>
    <w:p w14:paraId="03E2506E" w14:textId="77777777" w:rsidR="00A85CFB" w:rsidRPr="007025EB" w:rsidRDefault="00A85CFB" w:rsidP="00A85CFB">
      <w:pPr>
        <w:pStyle w:val="NoSpacing"/>
        <w:ind w:left="720" w:firstLine="720"/>
        <w:rPr>
          <w:bCs/>
        </w:rPr>
      </w:pPr>
      <w:r w:rsidRPr="007025EB">
        <w:t>N.T., 10/5/23, at 10. At the suppression hearing, Trooper Tray testified that</w:t>
      </w:r>
    </w:p>
    <w:p w14:paraId="1C344EF3" w14:textId="77777777" w:rsidR="00A85CFB" w:rsidRPr="007025EB" w:rsidRDefault="00A85CFB" w:rsidP="00A85CFB">
      <w:pPr>
        <w:pStyle w:val="NoSpacing"/>
        <w:ind w:left="720" w:firstLine="720"/>
        <w:rPr>
          <w:bCs/>
        </w:rPr>
      </w:pPr>
      <w:proofErr w:type="gramStart"/>
      <w:r w:rsidRPr="007025EB">
        <w:t>he</w:t>
      </w:r>
      <w:proofErr w:type="gramEnd"/>
      <w:r w:rsidRPr="007025EB">
        <w:t xml:space="preserve"> identified only one device ID within the anonymized list that was relevant</w:t>
      </w:r>
    </w:p>
    <w:p w14:paraId="1DC58297" w14:textId="77777777" w:rsidR="00A85CFB" w:rsidRPr="007025EB" w:rsidRDefault="00A85CFB" w:rsidP="00A85CFB">
      <w:pPr>
        <w:pStyle w:val="NoSpacing"/>
        <w:ind w:left="720" w:firstLine="720"/>
        <w:rPr>
          <w:bCs/>
        </w:rPr>
      </w:pPr>
      <w:r w:rsidRPr="007025EB">
        <w:t>to his investigation. Id. at 11. Trooper Tray explained that, upon his request,</w:t>
      </w:r>
    </w:p>
    <w:p w14:paraId="3D2FAB2E" w14:textId="77777777" w:rsidR="00A85CFB" w:rsidRPr="007025EB" w:rsidRDefault="00A85CFB" w:rsidP="00A85CFB">
      <w:pPr>
        <w:pStyle w:val="NoSpacing"/>
        <w:ind w:left="720" w:firstLine="720"/>
        <w:rPr>
          <w:bCs/>
        </w:rPr>
      </w:pPr>
      <w:r w:rsidRPr="007025EB">
        <w:t>Google “provided more descriptive location information for that particular</w:t>
      </w:r>
    </w:p>
    <w:p w14:paraId="68C6D2C2" w14:textId="77777777" w:rsidR="00A85CFB" w:rsidRDefault="00A85CFB" w:rsidP="00A85CFB">
      <w:pPr>
        <w:pStyle w:val="NoSpacing"/>
        <w:ind w:left="720" w:firstLine="720"/>
        <w:rPr>
          <w:bCs/>
        </w:rPr>
      </w:pPr>
      <w:r w:rsidRPr="007025EB">
        <w:t>device that I found to be pertinent to my investigation.” Id. at 12.</w:t>
      </w:r>
    </w:p>
    <w:p w14:paraId="2E904E85" w14:textId="77777777" w:rsidR="00A85CFB" w:rsidRDefault="00A85CFB" w:rsidP="00A85CFB">
      <w:pPr>
        <w:pStyle w:val="NoSpacing"/>
        <w:ind w:left="720" w:firstLine="720"/>
        <w:rPr>
          <w:bCs/>
        </w:rPr>
      </w:pPr>
    </w:p>
    <w:p w14:paraId="71210953" w14:textId="77777777" w:rsidR="00A85CFB" w:rsidRDefault="00A85CFB" w:rsidP="00A85CFB">
      <w:pPr>
        <w:pStyle w:val="NoSpacing"/>
        <w:ind w:left="720" w:firstLine="720"/>
        <w:rPr>
          <w:bCs/>
        </w:rPr>
      </w:pPr>
      <w:r>
        <w:t>***</w:t>
      </w:r>
    </w:p>
    <w:p w14:paraId="1B6F9A29" w14:textId="77777777" w:rsidR="00A85CFB" w:rsidRPr="00D12DB5" w:rsidRDefault="00A85CFB" w:rsidP="00A85CFB">
      <w:pPr>
        <w:pStyle w:val="NoSpacing"/>
        <w:ind w:left="720" w:firstLine="720"/>
        <w:rPr>
          <w:bCs/>
        </w:rPr>
      </w:pPr>
      <w:r w:rsidRPr="00D12DB5">
        <w:t>On February 16, 2021, utilizing the anonymized information provided by</w:t>
      </w:r>
    </w:p>
    <w:p w14:paraId="2379C4AE" w14:textId="77777777" w:rsidR="00A85CFB" w:rsidRPr="00D12DB5" w:rsidRDefault="00A85CFB" w:rsidP="00A85CFB">
      <w:pPr>
        <w:pStyle w:val="NoSpacing"/>
        <w:ind w:left="720" w:firstLine="720"/>
        <w:rPr>
          <w:bCs/>
        </w:rPr>
      </w:pPr>
      <w:r w:rsidRPr="00D12DB5">
        <w:t>Google, Trooper Tray prepared a second search warrant, admitted into</w:t>
      </w:r>
    </w:p>
    <w:p w14:paraId="117AFA04" w14:textId="77777777" w:rsidR="00A85CFB" w:rsidRPr="00D12DB5" w:rsidRDefault="00A85CFB" w:rsidP="00A85CFB">
      <w:pPr>
        <w:pStyle w:val="NoSpacing"/>
        <w:ind w:left="720" w:firstLine="720"/>
        <w:rPr>
          <w:bCs/>
        </w:rPr>
      </w:pPr>
      <w:r w:rsidRPr="00D12DB5">
        <w:t>evidence at the suppression hearing as Commonwealth Exhibit C-2 (Exhibit C-</w:t>
      </w:r>
    </w:p>
    <w:p w14:paraId="35D624C6" w14:textId="77777777" w:rsidR="00A85CFB" w:rsidRPr="00D12DB5" w:rsidRDefault="00A85CFB" w:rsidP="00A85CFB">
      <w:pPr>
        <w:pStyle w:val="NoSpacing"/>
        <w:ind w:left="720" w:firstLine="720"/>
        <w:rPr>
          <w:bCs/>
        </w:rPr>
      </w:pPr>
      <w:r w:rsidRPr="00D12DB5">
        <w:t>2 or the February 2021 search warrant), seeking the identity of “the user or</w:t>
      </w:r>
    </w:p>
    <w:p w14:paraId="734D980B" w14:textId="77777777" w:rsidR="00A85CFB" w:rsidRPr="00D12DB5" w:rsidRDefault="00A85CFB" w:rsidP="00A85CFB">
      <w:pPr>
        <w:pStyle w:val="NoSpacing"/>
        <w:ind w:left="720" w:firstLine="720"/>
        <w:rPr>
          <w:bCs/>
        </w:rPr>
      </w:pPr>
      <w:r w:rsidRPr="00D12DB5">
        <w:t xml:space="preserve">subscriber of that </w:t>
      </w:r>
      <w:proofErr w:type="gramStart"/>
      <w:r w:rsidRPr="00D12DB5">
        <w:t>particular device</w:t>
      </w:r>
      <w:proofErr w:type="gramEnd"/>
      <w:r w:rsidRPr="00D12DB5">
        <w:t xml:space="preserve"> ID.” Id. at 12. On November 3, 2021,</w:t>
      </w:r>
    </w:p>
    <w:p w14:paraId="02CECF38" w14:textId="77777777" w:rsidR="00A85CFB" w:rsidRPr="00121CE3" w:rsidRDefault="00A85CFB" w:rsidP="00A85CFB">
      <w:pPr>
        <w:pStyle w:val="NoSpacing"/>
        <w:ind w:left="1440"/>
        <w:rPr>
          <w:bCs/>
        </w:rPr>
      </w:pPr>
      <w:r w:rsidRPr="00D12DB5">
        <w:t>Google responded to the February 2021 search warrant by providing Trooper</w:t>
      </w:r>
      <w:r>
        <w:t xml:space="preserve"> </w:t>
      </w:r>
      <w:r w:rsidRPr="00121CE3">
        <w:t xml:space="preserve">Tray with a </w:t>
      </w:r>
      <w:r>
        <w:t>‘</w:t>
      </w:r>
      <w:r w:rsidRPr="00121CE3">
        <w:t>one-page subscriber identity document that stated the G[]mail</w:t>
      </w:r>
    </w:p>
    <w:p w14:paraId="52F03623" w14:textId="77777777" w:rsidR="00A85CFB" w:rsidRPr="00121CE3" w:rsidRDefault="00A85CFB" w:rsidP="00A85CFB">
      <w:pPr>
        <w:pStyle w:val="NoSpacing"/>
        <w:ind w:left="720" w:firstLine="720"/>
        <w:rPr>
          <w:bCs/>
        </w:rPr>
      </w:pPr>
      <w:r w:rsidRPr="00121CE3">
        <w:t>account associated with that device ID, a phone number associated with the</w:t>
      </w:r>
    </w:p>
    <w:p w14:paraId="6459CFA8" w14:textId="77777777" w:rsidR="00A85CFB" w:rsidRPr="00121CE3" w:rsidRDefault="00A85CFB" w:rsidP="00A85CFB">
      <w:pPr>
        <w:pStyle w:val="NoSpacing"/>
        <w:ind w:left="720" w:firstLine="720"/>
        <w:rPr>
          <w:bCs/>
        </w:rPr>
      </w:pPr>
      <w:r w:rsidRPr="00121CE3">
        <w:t xml:space="preserve">device ID, and a name and </w:t>
      </w:r>
      <w:proofErr w:type="gramStart"/>
      <w:r w:rsidRPr="00121CE3">
        <w:t>a date</w:t>
      </w:r>
      <w:proofErr w:type="gramEnd"/>
      <w:r w:rsidRPr="00121CE3">
        <w:t xml:space="preserve"> of birth inputted by the user at the time of</w:t>
      </w:r>
    </w:p>
    <w:p w14:paraId="648042EF" w14:textId="77777777" w:rsidR="00A85CFB" w:rsidRPr="00121CE3" w:rsidRDefault="00A85CFB" w:rsidP="00A85CFB">
      <w:pPr>
        <w:pStyle w:val="NoSpacing"/>
        <w:ind w:left="720" w:firstLine="720"/>
        <w:rPr>
          <w:bCs/>
        </w:rPr>
      </w:pPr>
      <w:r w:rsidRPr="00121CE3">
        <w:t>their Google account creation[.]</w:t>
      </w:r>
      <w:r>
        <w:t>’</w:t>
      </w:r>
      <w:r w:rsidRPr="00121CE3">
        <w:t xml:space="preserve"> Id. at 13. Using this deanonymized</w:t>
      </w:r>
    </w:p>
    <w:p w14:paraId="2794C209" w14:textId="77777777" w:rsidR="00A85CFB" w:rsidRPr="00121CE3" w:rsidRDefault="00A85CFB" w:rsidP="00A85CFB">
      <w:pPr>
        <w:pStyle w:val="NoSpacing"/>
        <w:ind w:left="720" w:firstLine="720"/>
        <w:rPr>
          <w:bCs/>
        </w:rPr>
      </w:pPr>
      <w:r w:rsidRPr="00121CE3">
        <w:t>information, Trooper Tray conducted additional investigation</w:t>
      </w:r>
      <w:r>
        <w:t xml:space="preserve"> </w:t>
      </w:r>
      <w:r w:rsidRPr="00121CE3">
        <w:t>that led him to</w:t>
      </w:r>
    </w:p>
    <w:p w14:paraId="10E4ACBD" w14:textId="77777777" w:rsidR="00A85CFB" w:rsidRDefault="00A85CFB" w:rsidP="00A85CFB">
      <w:pPr>
        <w:pStyle w:val="NoSpacing"/>
        <w:ind w:left="720" w:firstLine="720"/>
        <w:rPr>
          <w:bCs/>
        </w:rPr>
      </w:pPr>
      <w:r w:rsidRPr="00121CE3">
        <w:t>charge Appellant with terroristic threats and aggravated assault.</w:t>
      </w:r>
      <w:r>
        <w:t>”</w:t>
      </w:r>
    </w:p>
    <w:p w14:paraId="2FC37D7E" w14:textId="77777777" w:rsidR="00A85CFB" w:rsidRDefault="00A85CFB" w:rsidP="00A85CFB">
      <w:pPr>
        <w:pStyle w:val="NoSpacing"/>
        <w:rPr>
          <w:bCs/>
        </w:rPr>
      </w:pPr>
    </w:p>
    <w:p w14:paraId="79B21267" w14:textId="77777777" w:rsidR="00A85CFB" w:rsidRPr="005D0E17" w:rsidRDefault="00A85CFB" w:rsidP="00A85CFB">
      <w:pPr>
        <w:pStyle w:val="NoSpacing"/>
        <w:rPr>
          <w:b/>
        </w:rPr>
      </w:pPr>
      <w:r>
        <w:rPr>
          <w:b/>
        </w:rPr>
        <w:t xml:space="preserve">Legal lesson learned: This is the first appeals court in PA to review “geofence” search warrants for cell phone location history.  Arson investigators could likewise use search warrants to locate an arsonist. </w:t>
      </w:r>
    </w:p>
    <w:p w14:paraId="3F78EC22" w14:textId="77777777" w:rsidR="00A85CFB" w:rsidRDefault="00A85CFB" w:rsidP="00A85CFB">
      <w:pPr>
        <w:pStyle w:val="NoSpacing"/>
        <w:rPr>
          <w:bCs/>
        </w:rPr>
      </w:pPr>
      <w:r>
        <w:tab/>
      </w:r>
    </w:p>
    <w:p w14:paraId="1D07B1CA" w14:textId="77777777" w:rsidR="00A85CFB" w:rsidRDefault="00A85CFB" w:rsidP="00A85CFB">
      <w:pPr>
        <w:pStyle w:val="NoSpacing"/>
        <w:ind w:left="1440"/>
        <w:rPr>
          <w:bCs/>
        </w:rPr>
      </w:pPr>
      <w:r>
        <w:t xml:space="preserve">Note:  The Court reviewed Google’s </w:t>
      </w:r>
      <w:r w:rsidRPr="00ED3CFB">
        <w:t>three-step process when</w:t>
      </w:r>
      <w:r>
        <w:t xml:space="preserve"> </w:t>
      </w:r>
      <w:r w:rsidRPr="00ED3CFB">
        <w:t xml:space="preserve">it </w:t>
      </w:r>
      <w:r>
        <w:t xml:space="preserve">receives a </w:t>
      </w:r>
      <w:r w:rsidRPr="00ED3CFB">
        <w:t xml:space="preserve">geofence </w:t>
      </w:r>
      <w:r>
        <w:t xml:space="preserve">search </w:t>
      </w:r>
      <w:r w:rsidRPr="00ED3CFB">
        <w:t>warrant</w:t>
      </w:r>
      <w:r>
        <w:t xml:space="preserve">. </w:t>
      </w:r>
    </w:p>
    <w:p w14:paraId="4B3C5944" w14:textId="77777777" w:rsidR="00A85CFB" w:rsidRDefault="00A85CFB" w:rsidP="00A85CFB">
      <w:pPr>
        <w:pStyle w:val="NoSpacing"/>
        <w:ind w:left="1440"/>
        <w:rPr>
          <w:bCs/>
        </w:rPr>
      </w:pPr>
      <w:r>
        <w:t>“</w:t>
      </w:r>
      <w:r w:rsidRPr="00ED3CFB">
        <w:t>The first step of the geofence process, whenever law enforcement</w:t>
      </w:r>
      <w:r>
        <w:t xml:space="preserve"> </w:t>
      </w:r>
      <w:r w:rsidRPr="00ED3CFB">
        <w:t xml:space="preserve">submits a [search warrant] to us, we take it, we analyze it, </w:t>
      </w:r>
      <w:proofErr w:type="spellStart"/>
      <w:r w:rsidRPr="00ED3CFB">
        <w:t>wepack</w:t>
      </w:r>
      <w:proofErr w:type="spellEnd"/>
      <w:r w:rsidRPr="00ED3CFB">
        <w:t xml:space="preserve"> it, extract the data, and then package it together, and submit</w:t>
      </w:r>
      <w:r>
        <w:t xml:space="preserve"> </w:t>
      </w:r>
      <w:r w:rsidRPr="00ED3CFB">
        <w:t>it. [We a]</w:t>
      </w:r>
      <w:proofErr w:type="spellStart"/>
      <w:r w:rsidRPr="00ED3CFB">
        <w:t>nonymize</w:t>
      </w:r>
      <w:proofErr w:type="spellEnd"/>
      <w:r w:rsidRPr="00ED3CFB">
        <w:t xml:space="preserve"> the data</w:t>
      </w:r>
      <w:r>
        <w:t xml:space="preserve"> </w:t>
      </w:r>
      <w:r w:rsidRPr="00ED3CFB">
        <w:t>and then submit it back over to</w:t>
      </w:r>
      <w:r>
        <w:t xml:space="preserve"> </w:t>
      </w:r>
      <w:r w:rsidRPr="001D1304">
        <w:t>law enforcement through our law enforcement respondent</w:t>
      </w:r>
      <w:r>
        <w:t xml:space="preserve"> </w:t>
      </w:r>
      <w:r w:rsidRPr="001D1304">
        <w:t>coordinator (Step 1)</w:t>
      </w:r>
      <w:r>
        <w:t xml:space="preserve">. </w:t>
      </w:r>
      <w:r w:rsidRPr="001D1304">
        <w:t>The next step is Step 2, and this is additional contextual</w:t>
      </w:r>
      <w:r>
        <w:t xml:space="preserve"> </w:t>
      </w:r>
      <w:r w:rsidRPr="001D1304">
        <w:t>[LH] data. …. This is data that is anonymized still, and it just</w:t>
      </w:r>
      <w:r>
        <w:t xml:space="preserve"> </w:t>
      </w:r>
      <w:r w:rsidRPr="001D1304">
        <w:t>provides a little more contex</w:t>
      </w:r>
      <w:r>
        <w:t xml:space="preserve">t </w:t>
      </w:r>
      <w:r w:rsidRPr="001D1304">
        <w:t>to the original Step 1 data (Step</w:t>
      </w:r>
      <w:r>
        <w:t xml:space="preserve"> </w:t>
      </w:r>
      <w:r w:rsidRPr="001D1304">
        <w:t>2)</w:t>
      </w:r>
      <w:r>
        <w:t xml:space="preserve">, </w:t>
      </w:r>
      <w:r w:rsidRPr="001D1304">
        <w:t xml:space="preserve">The third step is when we </w:t>
      </w:r>
      <w:proofErr w:type="gramStart"/>
      <w:r w:rsidRPr="001D1304">
        <w:t>actually unmask</w:t>
      </w:r>
      <w:proofErr w:type="gramEnd"/>
      <w:r w:rsidRPr="001D1304">
        <w:t xml:space="preserve"> and identify this</w:t>
      </w:r>
      <w:r>
        <w:t xml:space="preserve"> </w:t>
      </w:r>
      <w:r w:rsidRPr="001D1304">
        <w:t>data and produce that to law enforcement[ (Step 3)</w:t>
      </w:r>
      <w:r>
        <w:t>.”</w:t>
      </w:r>
    </w:p>
    <w:p w14:paraId="0298A34D" w14:textId="77777777" w:rsidR="00A85CFB" w:rsidRDefault="00A85CFB" w:rsidP="00607129">
      <w:pPr>
        <w:pStyle w:val="NoSpacing"/>
        <w:rPr>
          <w:rFonts w:ascii="Arial Black" w:hAnsi="Arial Black"/>
          <w:sz w:val="28"/>
          <w:szCs w:val="28"/>
        </w:rPr>
      </w:pPr>
    </w:p>
    <w:p w14:paraId="5AEA7FE3" w14:textId="230EDA17" w:rsidR="004F7489" w:rsidRDefault="004F7489" w:rsidP="004F7489">
      <w:pPr>
        <w:pStyle w:val="NoSpacing"/>
        <w:rPr>
          <w:rFonts w:ascii="Arial Black" w:hAnsi="Arial Black"/>
          <w:sz w:val="28"/>
          <w:szCs w:val="28"/>
        </w:rPr>
      </w:pPr>
      <w:r>
        <w:rPr>
          <w:rFonts w:ascii="Arial Black" w:hAnsi="Arial Black"/>
          <w:sz w:val="28"/>
          <w:szCs w:val="28"/>
        </w:rPr>
        <w:t>3-79</w:t>
      </w:r>
    </w:p>
    <w:p w14:paraId="639B6124" w14:textId="77777777" w:rsidR="004F7489" w:rsidRDefault="004F7489" w:rsidP="00607129">
      <w:pPr>
        <w:pStyle w:val="NoSpacing"/>
        <w:rPr>
          <w:rFonts w:ascii="Arial Black" w:hAnsi="Arial Black"/>
          <w:sz w:val="28"/>
          <w:szCs w:val="28"/>
        </w:rPr>
      </w:pPr>
    </w:p>
    <w:p w14:paraId="3F0F3B8C" w14:textId="77777777" w:rsidR="000946BC" w:rsidRPr="00D21228" w:rsidRDefault="000946BC" w:rsidP="000946BC">
      <w:pPr>
        <w:pStyle w:val="NoSpacing"/>
        <w:rPr>
          <w:rFonts w:ascii="Arial Black" w:hAnsi="Arial Black"/>
          <w:sz w:val="28"/>
          <w:szCs w:val="28"/>
        </w:rPr>
      </w:pPr>
      <w:r>
        <w:rPr>
          <w:rFonts w:ascii="Arial Black" w:hAnsi="Arial Black"/>
          <w:sz w:val="28"/>
          <w:szCs w:val="28"/>
        </w:rPr>
        <w:t xml:space="preserve">NJ: NO FIREAMS “SENSITIVE PLACES” – LAW UPHELD </w:t>
      </w:r>
    </w:p>
    <w:p w14:paraId="466C2D5F" w14:textId="77777777" w:rsidR="000946BC" w:rsidRDefault="000946BC" w:rsidP="000946BC">
      <w:pPr>
        <w:pStyle w:val="NoSpacing"/>
      </w:pPr>
    </w:p>
    <w:p w14:paraId="3F15623D" w14:textId="77777777" w:rsidR="000946BC" w:rsidRDefault="000946BC" w:rsidP="000946BC">
      <w:pPr>
        <w:pStyle w:val="NoSpacing"/>
      </w:pPr>
      <w:r>
        <w:t xml:space="preserve">On September 10, 2025, in </w:t>
      </w:r>
      <w:r w:rsidRPr="006D2E60">
        <w:rPr>
          <w:u w:val="single"/>
        </w:rPr>
        <w:t>Ronald Koons, Second Amendment Foundation Inc., et al. v. Attorney General of New Jersey, et al</w:t>
      </w:r>
      <w:r>
        <w:t xml:space="preserve">., the United States Court of Appeals for Third Circuit (Philadelphia) held (2 to 1) that the trial court judge improperly issued a preliminary injunction for most provisions of the 2022 New Jersey law.  Subject to minor exceptions, carrying a firearm in of these sensitive places (including bars, medical facilities, public parks, schools) constitutes a crime of the third degree, which carries a maximum sentence of five years’ imprisonment and a presumptive sentence of four years’ imprisonment. There is also a </w:t>
      </w:r>
      <w:r w:rsidRPr="00433FBF">
        <w:t>$300,000 liability insurance requirement</w:t>
      </w:r>
      <w:r>
        <w:t xml:space="preserve">.   The Court did, however, agree with District Court injunction against the requirement that those who transport guns in their private </w:t>
      </w:r>
      <w:proofErr w:type="gramStart"/>
      <w:r>
        <w:t>vehicles must</w:t>
      </w:r>
      <w:proofErr w:type="gramEnd"/>
      <w:r>
        <w:t xml:space="preserve"> unload their firearms and keep them locked in a secured container or the vehicle’s trunk.  “Because § 2C:58-4.6(b)(1)’s requirement as to private vehicles contradicts our Nation’s history and tradition, Plaintiffs are likely to succeed on the merits of their challenge to that particular restriction.”  </w:t>
      </w:r>
    </w:p>
    <w:p w14:paraId="32669800" w14:textId="77777777" w:rsidR="000946BC" w:rsidRDefault="000946BC" w:rsidP="000946BC">
      <w:pPr>
        <w:pStyle w:val="NoSpacing"/>
      </w:pPr>
    </w:p>
    <w:p w14:paraId="24E209AC" w14:textId="77777777" w:rsidR="000946BC" w:rsidRDefault="000946BC" w:rsidP="000946BC">
      <w:pPr>
        <w:pStyle w:val="NoSpacing"/>
      </w:pPr>
      <w:r w:rsidRPr="00693533">
        <w:rPr>
          <w:b/>
        </w:rPr>
        <w:t>THE COURT HELD</w:t>
      </w:r>
      <w:r>
        <w:t xml:space="preserve">: “Today, we must decide a question of immense public importance: whether it is likely that provisions of New Jersey Public Law 2022, Chapter 131, which impose certain firearms-permitting requirements and prohibit the carrying of firearms in certain ‘sensitive places,’ passes constitutional muster. For the most part, we agree with New Jersey and join our sister circuits that have upheld similar sensitive-places laws. *** Two terms ago, in </w:t>
      </w:r>
      <w:r w:rsidRPr="00960ADD">
        <w:rPr>
          <w:i/>
          <w:iCs/>
        </w:rPr>
        <w:t>United States v. Rahimi</w:t>
      </w:r>
      <w:r>
        <w:t xml:space="preserve">, the Supreme Court elaborated on Bruen. 602 U.S. 680 (2024). There, the Court rejected a challenge to the constitutionality of 18 U.S.C. § 922(g)(8), which bars a person subject to a domestic violence restraining order from possessing a firearm if he is found to pose a credible threat to his partner. *** </w:t>
      </w:r>
      <w:r w:rsidRPr="00B511E1">
        <w:t>[BARS]</w:t>
      </w:r>
      <w:r>
        <w:rPr>
          <w:b/>
        </w:rPr>
        <w:t xml:space="preserve">  </w:t>
      </w:r>
      <w:r>
        <w:t xml:space="preserve">Plaintiffs’ challenge to N.J. Stat. Ann. § 2C:58-4.6(a)(15) (proscribing firearms in ‘a bar or restaurant where alcohol is served, and any other site or facility where alcohol is sold for consumption on the premises’) fares no better…. Just as the Second and Ninth Circuits concluded in evaluating nearly identical laws, we hold that New Jersey’s statute is entirely consistent with the principle that legislatures may prohibit the carry of firearms in locations where they may be especially susceptible to misuse. *** </w:t>
      </w:r>
      <w:r w:rsidRPr="00B511E1">
        <w:t>[HEALTH CARE FACILITIES]</w:t>
      </w:r>
      <w:r>
        <w:rPr>
          <w:b/>
        </w:rPr>
        <w:t xml:space="preserve">  </w:t>
      </w:r>
      <w:r>
        <w:t xml:space="preserve">We next turn to Plaintiffs’ challenge to N.J. Stat. Ann. § 2C:58-4.6(a)(21)’s prohibition on carrying firearms at any ‘health care facility[.]’… As the Second Circuit recently concluded, ‘statutes of Maine, Massachusetts, and Rhode Island, which prohibited those with mental illness, intellectual disabilities, and alcohol addiction from serving in militias,’ which ‘were aimed at protecting vulnerable populations from either misusing arms or having arms used against them,’ embody a longstanding tradition of firearm regulation in locations where vulnerable populations are present.’ Id. at 1010–11. We agree and join our sister circuit in recognizing this principle of our Nation’s regulatory </w:t>
      </w:r>
      <w:proofErr w:type="gramStart"/>
      <w:r>
        <w:t>tradition.”</w:t>
      </w:r>
      <w:proofErr w:type="gramEnd"/>
      <w:r>
        <w:t xml:space="preserve"> </w:t>
      </w:r>
      <w:hyperlink r:id="rId683" w:history="1">
        <w:r w:rsidRPr="001E16A5">
          <w:rPr>
            <w:rStyle w:val="Hyperlink"/>
          </w:rPr>
          <w:t>https://www2.ca3.uscourts.gov/opinarch/231900p.pdf</w:t>
        </w:r>
      </w:hyperlink>
      <w:r>
        <w:t xml:space="preserve"> </w:t>
      </w:r>
    </w:p>
    <w:p w14:paraId="0E99E4E1" w14:textId="77777777" w:rsidR="000946BC" w:rsidRDefault="000946BC" w:rsidP="000946BC">
      <w:pPr>
        <w:pStyle w:val="NoSpacing"/>
      </w:pPr>
    </w:p>
    <w:p w14:paraId="40EE339A" w14:textId="77777777" w:rsidR="000946BC" w:rsidRDefault="000946BC" w:rsidP="000946BC">
      <w:pPr>
        <w:pStyle w:val="NoSpacing"/>
      </w:pPr>
    </w:p>
    <w:p w14:paraId="0D3E66B4" w14:textId="77777777" w:rsidR="000946BC" w:rsidRPr="005A464F" w:rsidRDefault="000946BC" w:rsidP="000946BC">
      <w:pPr>
        <w:pStyle w:val="NoSpacing"/>
        <w:rPr>
          <w:b/>
          <w:bCs/>
        </w:rPr>
      </w:pPr>
      <w:r w:rsidRPr="005A464F">
        <w:rPr>
          <w:b/>
        </w:rPr>
        <w:t>KEY FACTS:</w:t>
      </w:r>
    </w:p>
    <w:p w14:paraId="2DF6AD02" w14:textId="77777777" w:rsidR="000946BC" w:rsidRDefault="000946BC" w:rsidP="000946BC">
      <w:pPr>
        <w:pStyle w:val="NoSpacing"/>
      </w:pPr>
    </w:p>
    <w:p w14:paraId="6B57E03E" w14:textId="77777777" w:rsidR="000946BC" w:rsidRDefault="000946BC" w:rsidP="000946BC">
      <w:pPr>
        <w:pStyle w:val="NoSpacing"/>
        <w:ind w:left="360"/>
      </w:pPr>
      <w:r>
        <w:t xml:space="preserve">“For many decades, New Jersey required anyone who wanted to carry a handgun in public to show a ‘justifiable need’ for self-protection. In 2022, the Supreme Court held in </w:t>
      </w:r>
      <w:r w:rsidRPr="00AC3A70">
        <w:rPr>
          <w:i/>
          <w:iCs/>
        </w:rPr>
        <w:t>New York State Rifle &amp; Pistol Association v.</w:t>
      </w:r>
      <w:r>
        <w:rPr>
          <w:i/>
          <w:iCs/>
        </w:rPr>
        <w:t xml:space="preserve"> </w:t>
      </w:r>
      <w:r w:rsidRPr="00AC3A70">
        <w:rPr>
          <w:i/>
          <w:iCs/>
        </w:rPr>
        <w:t>Bruen, 597 U.S. 1 (2022),</w:t>
      </w:r>
      <w:r>
        <w:rPr>
          <w:i/>
          <w:iCs/>
        </w:rPr>
        <w:t xml:space="preserve"> </w:t>
      </w:r>
      <w:r>
        <w:t xml:space="preserve">that a similar New York law violated the Second Amendment of the U.S. Constitution. In response, the New Jersey legislature in 2022 enacted a measure known as Chapter 131, which excised the “justifiable need” requirement and added new licensing provisions and locational restrictions.  N.J. Stat. Ann. § 2C:58-4.6(a), prohibits carrying a firearm in twenty-five “sensitive places,” including: </w:t>
      </w:r>
    </w:p>
    <w:p w14:paraId="2542A568" w14:textId="77777777" w:rsidR="000946BC" w:rsidRDefault="000946BC" w:rsidP="000946BC">
      <w:pPr>
        <w:pStyle w:val="NoSpacing"/>
        <w:numPr>
          <w:ilvl w:val="0"/>
          <w:numId w:val="31"/>
        </w:numPr>
      </w:pPr>
      <w:r>
        <w:t>within 100 feet of a place where a public gathering, demonstration or event is held</w:t>
      </w:r>
    </w:p>
    <w:p w14:paraId="08D05C6E" w14:textId="77777777" w:rsidR="000946BC" w:rsidRDefault="000946BC" w:rsidP="000946BC">
      <w:pPr>
        <w:pStyle w:val="NoSpacing"/>
        <w:ind w:left="720"/>
      </w:pPr>
      <w:r>
        <w:t>for which a government permit is required, during the conduct of such gathering, demonstration or event;</w:t>
      </w:r>
    </w:p>
    <w:p w14:paraId="3C768CAD" w14:textId="77777777" w:rsidR="000946BC" w:rsidRDefault="000946BC" w:rsidP="000946BC">
      <w:pPr>
        <w:pStyle w:val="NoSpacing"/>
        <w:numPr>
          <w:ilvl w:val="0"/>
          <w:numId w:val="31"/>
        </w:numPr>
      </w:pPr>
      <w:r>
        <w:t>a school, college, university or other educational institution, and on any school</w:t>
      </w:r>
    </w:p>
    <w:p w14:paraId="2AFFA2D7" w14:textId="77777777" w:rsidR="000946BC" w:rsidRDefault="000946BC" w:rsidP="000946BC">
      <w:pPr>
        <w:pStyle w:val="NoSpacing"/>
        <w:ind w:firstLine="720"/>
      </w:pPr>
      <w:r>
        <w:t>bus;</w:t>
      </w:r>
    </w:p>
    <w:p w14:paraId="2C16CB5A" w14:textId="77777777" w:rsidR="000946BC" w:rsidRPr="00375A0E" w:rsidRDefault="000946BC" w:rsidP="000946BC">
      <w:pPr>
        <w:pStyle w:val="NoSpacing"/>
        <w:numPr>
          <w:ilvl w:val="0"/>
          <w:numId w:val="31"/>
        </w:numPr>
      </w:pPr>
      <w:r w:rsidRPr="00375A0E">
        <w:t>a bar or restaurant where alcohol is</w:t>
      </w:r>
      <w:r>
        <w:t xml:space="preserve"> </w:t>
      </w:r>
      <w:r w:rsidRPr="00375A0E">
        <w:t xml:space="preserve">served, and any other site or facility </w:t>
      </w:r>
      <w:proofErr w:type="gramStart"/>
      <w:r w:rsidRPr="00375A0E">
        <w:t>where</w:t>
      </w:r>
      <w:proofErr w:type="gramEnd"/>
    </w:p>
    <w:p w14:paraId="01840CD9" w14:textId="77777777" w:rsidR="000946BC" w:rsidRDefault="000946BC" w:rsidP="000946BC">
      <w:pPr>
        <w:pStyle w:val="NoSpacing"/>
        <w:ind w:firstLine="720"/>
      </w:pPr>
      <w:r w:rsidRPr="00375A0E">
        <w:t>alcohol is sold for consumption on the</w:t>
      </w:r>
      <w:r>
        <w:t xml:space="preserve"> </w:t>
      </w:r>
      <w:r w:rsidRPr="00375A0E">
        <w:t>premises</w:t>
      </w:r>
      <w:r>
        <w:t>.</w:t>
      </w:r>
    </w:p>
    <w:p w14:paraId="41ED8972" w14:textId="77777777" w:rsidR="000946BC" w:rsidRDefault="000946BC" w:rsidP="000946BC">
      <w:pPr>
        <w:pStyle w:val="NoSpacing"/>
        <w:numPr>
          <w:ilvl w:val="0"/>
          <w:numId w:val="32"/>
        </w:numPr>
      </w:pPr>
      <w:r>
        <w:t>a health care facility, including but not limited to a general hospital, special</w:t>
      </w:r>
    </w:p>
    <w:p w14:paraId="50BE9F20" w14:textId="77777777" w:rsidR="000946BC" w:rsidRDefault="000946BC" w:rsidP="000946BC">
      <w:pPr>
        <w:pStyle w:val="NoSpacing"/>
        <w:ind w:firstLine="720"/>
      </w:pPr>
      <w:r>
        <w:t>hospital, psychiatric hospital, public health center, diagnostic center, treatment</w:t>
      </w:r>
    </w:p>
    <w:p w14:paraId="3BEB6338" w14:textId="77777777" w:rsidR="000946BC" w:rsidRDefault="000946BC" w:rsidP="000946BC">
      <w:pPr>
        <w:pStyle w:val="NoSpacing"/>
        <w:ind w:left="720"/>
      </w:pPr>
      <w:r>
        <w:t>center, rehabilitation center, extended care facility, skilled nursing home, nursing home, intermediate care facility, tuberculosis hospital, chronic disease hospital, maternity hospital, outpatient clinic, dispensary, assisted living center, home health care agency, residential treatment facility, residential health care facility, medical office, or ambulatory</w:t>
      </w:r>
    </w:p>
    <w:p w14:paraId="504A37F4" w14:textId="77777777" w:rsidR="000946BC" w:rsidRDefault="000946BC" w:rsidP="000946BC">
      <w:pPr>
        <w:pStyle w:val="NoSpacing"/>
        <w:ind w:firstLine="720"/>
      </w:pPr>
      <w:r>
        <w:t>care facility.”</w:t>
      </w:r>
    </w:p>
    <w:p w14:paraId="4A5178F6" w14:textId="77777777" w:rsidR="000946BC" w:rsidRDefault="000946BC" w:rsidP="000946BC">
      <w:pPr>
        <w:pStyle w:val="NoSpacing"/>
      </w:pPr>
    </w:p>
    <w:p w14:paraId="329A4FBB" w14:textId="77777777" w:rsidR="000946BC" w:rsidRDefault="000946BC" w:rsidP="000946BC">
      <w:pPr>
        <w:pStyle w:val="NoSpacing"/>
        <w:rPr>
          <w:b/>
          <w:bCs/>
        </w:rPr>
      </w:pPr>
      <w:r>
        <w:rPr>
          <w:b/>
        </w:rPr>
        <w:t>Legal lesson learned:  This case does indeed involve a “</w:t>
      </w:r>
      <w:r w:rsidRPr="00BC287F">
        <w:rPr>
          <w:b/>
        </w:rPr>
        <w:t>question of immense public</w:t>
      </w:r>
      <w:r>
        <w:rPr>
          <w:b/>
        </w:rPr>
        <w:t xml:space="preserve"> </w:t>
      </w:r>
      <w:r w:rsidRPr="00BC287F">
        <w:rPr>
          <w:b/>
        </w:rPr>
        <w:t>importance</w:t>
      </w:r>
      <w:r>
        <w:rPr>
          <w:b/>
        </w:rPr>
        <w:t>.”  The dissenting Circuit Judge, however, described the impact on law abiding citizens, including EMS who wish to carry firearms off duty.</w:t>
      </w:r>
    </w:p>
    <w:p w14:paraId="64F19505" w14:textId="77777777" w:rsidR="000946BC" w:rsidRDefault="000946BC" w:rsidP="000946BC">
      <w:pPr>
        <w:pStyle w:val="NoSpacing"/>
        <w:rPr>
          <w:b/>
          <w:bCs/>
        </w:rPr>
      </w:pPr>
    </w:p>
    <w:p w14:paraId="22EEC3B9" w14:textId="77777777" w:rsidR="000946BC" w:rsidRDefault="000946BC" w:rsidP="000946BC">
      <w:pPr>
        <w:pStyle w:val="NoSpacing"/>
        <w:ind w:left="720"/>
      </w:pPr>
      <w:r w:rsidRPr="0094749A">
        <w:t xml:space="preserve">Note: The dissenting Circuit Judge, David J. Porter, discussed impact of the statute on a </w:t>
      </w:r>
      <w:r>
        <w:t>former EMT and current Medical Reserve Corps volunteer.</w:t>
      </w:r>
    </w:p>
    <w:p w14:paraId="3CD7610E" w14:textId="77777777" w:rsidR="000946BC" w:rsidRDefault="000946BC" w:rsidP="000946BC">
      <w:pPr>
        <w:pStyle w:val="NoSpacing"/>
        <w:ind w:left="720"/>
      </w:pPr>
    </w:p>
    <w:p w14:paraId="2DB32F8D" w14:textId="77777777" w:rsidR="000946BC" w:rsidRDefault="000946BC" w:rsidP="000946BC">
      <w:pPr>
        <w:ind w:left="720"/>
        <w:rPr>
          <w:bCs/>
        </w:rPr>
      </w:pPr>
      <w:r>
        <w:t>“</w:t>
      </w:r>
      <w:r w:rsidRPr="00D5033F">
        <w:t>This case is different because Plaintiffs are already experiencing harm. Siegel, a former Emergency Medical Technician and current New Jersey Medical Reserve Corps volunteer</w:t>
      </w:r>
      <w:r>
        <w:t xml:space="preserve"> … </w:t>
      </w:r>
      <w:r w:rsidRPr="00D5033F">
        <w:t>often carried his handgun, lawfully, for self-defense in his medical work. Now he doesn't carry out of fear of arrest and prosecution</w:t>
      </w:r>
      <w:r>
        <w:t xml:space="preserve">…. </w:t>
      </w:r>
      <w:r w:rsidRPr="00D5033F">
        <w:t>Like most people, Siegel frequents strip malls, museums, zoos, libraries, public parks, movie theaters, concerts, sporting events, and restaurants where alcohol is served. He rides public transportation. He sometimes visits casinos to gamble and attend shows. He takes continuing education courses, sometimes in hospitals and training centers. In these and other places where Siegel normally goes, he would ordinarily carry a handgun, but now he refrains from doing so out of fear of arrest and</w:t>
      </w:r>
      <w:r>
        <w:t xml:space="preserve"> </w:t>
      </w:r>
      <w:proofErr w:type="gramStart"/>
      <w:r w:rsidRPr="00D5033F">
        <w:t>prosecution</w:t>
      </w:r>
      <w:r>
        <w:t>.”</w:t>
      </w:r>
      <w:proofErr w:type="gramEnd"/>
      <w:r w:rsidRPr="00D5033F">
        <w:t> </w:t>
      </w:r>
      <w:r>
        <w:t xml:space="preserve"> </w:t>
      </w:r>
    </w:p>
    <w:p w14:paraId="4E34096A" w14:textId="77777777" w:rsidR="000946BC" w:rsidRDefault="000946BC" w:rsidP="000946BC">
      <w:hyperlink r:id="rId684" w:history="1">
        <w:r w:rsidRPr="001E16A5">
          <w:rPr>
            <w:rStyle w:val="Hyperlink"/>
          </w:rPr>
          <w:t>https://www2.ca3.uscourts.gov/opinarch/231900p.pdf</w:t>
        </w:r>
      </w:hyperlink>
    </w:p>
    <w:p w14:paraId="4C425189" w14:textId="77777777" w:rsidR="00440B47" w:rsidRDefault="00440B47" w:rsidP="00607129">
      <w:pPr>
        <w:pStyle w:val="NoSpacing"/>
        <w:rPr>
          <w:rFonts w:ascii="Arial Black" w:hAnsi="Arial Black"/>
          <w:sz w:val="28"/>
          <w:szCs w:val="28"/>
        </w:rPr>
      </w:pPr>
    </w:p>
    <w:p w14:paraId="4EF55C4E" w14:textId="5C914649" w:rsidR="00E24913" w:rsidRDefault="00E24913" w:rsidP="00607129">
      <w:pPr>
        <w:pStyle w:val="NoSpacing"/>
        <w:rPr>
          <w:rFonts w:ascii="Arial Black" w:hAnsi="Arial Black"/>
          <w:sz w:val="28"/>
          <w:szCs w:val="28"/>
        </w:rPr>
      </w:pPr>
      <w:r>
        <w:rPr>
          <w:rFonts w:ascii="Arial Black" w:hAnsi="Arial Black"/>
          <w:sz w:val="28"/>
          <w:szCs w:val="28"/>
        </w:rPr>
        <w:t>3-78</w:t>
      </w:r>
    </w:p>
    <w:p w14:paraId="5EAF607E" w14:textId="77777777" w:rsidR="00E24913" w:rsidRDefault="00E24913" w:rsidP="00607129">
      <w:pPr>
        <w:pStyle w:val="NoSpacing"/>
        <w:rPr>
          <w:rFonts w:ascii="Arial Black" w:hAnsi="Arial Black"/>
          <w:sz w:val="28"/>
          <w:szCs w:val="28"/>
        </w:rPr>
      </w:pPr>
    </w:p>
    <w:p w14:paraId="55F40204" w14:textId="77777777" w:rsidR="00E64DE3" w:rsidRDefault="00E64DE3" w:rsidP="00E64DE3">
      <w:pPr>
        <w:pStyle w:val="NoSpacing"/>
        <w:rPr>
          <w:rFonts w:ascii="Arial Black" w:hAnsi="Arial Black"/>
          <w:sz w:val="28"/>
          <w:szCs w:val="28"/>
        </w:rPr>
      </w:pPr>
      <w:r>
        <w:rPr>
          <w:rFonts w:ascii="Arial Black" w:hAnsi="Arial Black"/>
          <w:sz w:val="28"/>
          <w:szCs w:val="28"/>
        </w:rPr>
        <w:t xml:space="preserve">CA: AMMO PURCHASES – CA BACKGROUND CHECKS </w:t>
      </w:r>
    </w:p>
    <w:p w14:paraId="0CFE3816" w14:textId="77777777" w:rsidR="00E64DE3" w:rsidRDefault="00E64DE3" w:rsidP="00E64DE3">
      <w:pPr>
        <w:pStyle w:val="NoSpacing"/>
      </w:pPr>
    </w:p>
    <w:p w14:paraId="0FBA554C" w14:textId="77777777" w:rsidR="00E64DE3" w:rsidRPr="00B5776F" w:rsidRDefault="00E64DE3" w:rsidP="00E64DE3">
      <w:pPr>
        <w:pStyle w:val="NoSpacing"/>
        <w:rPr>
          <w:rFonts w:ascii="Times New Roman" w:hAnsi="Times New Roman"/>
          <w:sz w:val="24"/>
          <w:szCs w:val="24"/>
        </w:rPr>
      </w:pPr>
      <w:r w:rsidRPr="00B5776F">
        <w:rPr>
          <w:rFonts w:ascii="Times New Roman" w:hAnsi="Times New Roman"/>
          <w:sz w:val="24"/>
          <w:szCs w:val="24"/>
        </w:rPr>
        <w:t xml:space="preserve">On July 24, 2025, in </w:t>
      </w:r>
      <w:r w:rsidRPr="00B5776F">
        <w:rPr>
          <w:rFonts w:ascii="Times New Roman" w:hAnsi="Times New Roman"/>
          <w:sz w:val="24"/>
          <w:szCs w:val="24"/>
          <w:u w:val="single"/>
        </w:rPr>
        <w:t>Kim Rhode, et al. v. Rob Bonta, in his official capacity as Attorney General of the State of California</w:t>
      </w:r>
      <w:r w:rsidRPr="00B5776F">
        <w:rPr>
          <w:rFonts w:ascii="Times New Roman" w:hAnsi="Times New Roman"/>
          <w:sz w:val="24"/>
          <w:szCs w:val="24"/>
        </w:rPr>
        <w:t>, the U.S. Court of Appeals for 9</w:t>
      </w:r>
      <w:r w:rsidRPr="00B5776F">
        <w:rPr>
          <w:rFonts w:ascii="Times New Roman" w:hAnsi="Times New Roman"/>
          <w:sz w:val="24"/>
          <w:szCs w:val="24"/>
          <w:vertAlign w:val="superscript"/>
        </w:rPr>
        <w:t>th</w:t>
      </w:r>
      <w:r w:rsidRPr="00B5776F">
        <w:rPr>
          <w:rFonts w:ascii="Times New Roman" w:hAnsi="Times New Roman"/>
          <w:sz w:val="24"/>
          <w:szCs w:val="24"/>
        </w:rPr>
        <w:t xml:space="preserve"> Circuit (San Francisco) held (2 to 1) that California’s “first-of-its-find” ammunition background checks before each ammo purchase violates the Second Amendment. THE COURT HELD: “We hold that California’s ammunition</w:t>
      </w:r>
    </w:p>
    <w:p w14:paraId="70BE774F" w14:textId="7A670C03" w:rsidR="00E64DE3" w:rsidRPr="00B5776F" w:rsidRDefault="00E64DE3" w:rsidP="00E64DE3">
      <w:pPr>
        <w:pStyle w:val="NoSpacing"/>
        <w:rPr>
          <w:rFonts w:ascii="Times New Roman" w:hAnsi="Times New Roman"/>
          <w:sz w:val="24"/>
          <w:szCs w:val="24"/>
        </w:rPr>
      </w:pPr>
      <w:r w:rsidRPr="00B5776F">
        <w:rPr>
          <w:rFonts w:ascii="Times New Roman" w:hAnsi="Times New Roman"/>
          <w:sz w:val="24"/>
          <w:szCs w:val="24"/>
        </w:rPr>
        <w:t xml:space="preserve">background check regime is unconstitutional, and we affirm the district court’s grant of a permanent injunction.”  </w:t>
      </w:r>
      <w:hyperlink r:id="rId685" w:history="1">
        <w:r w:rsidRPr="00B5776F">
          <w:rPr>
            <w:rStyle w:val="Hyperlink"/>
            <w:rFonts w:ascii="Times New Roman" w:hAnsi="Times New Roman"/>
            <w:sz w:val="24"/>
            <w:szCs w:val="24"/>
          </w:rPr>
          <w:t>https://cdn.ca9.uscourts.gov/datastore/opinions/2025/07/24/24-542.pdf</w:t>
        </w:r>
      </w:hyperlink>
    </w:p>
    <w:p w14:paraId="2EA8CC5D" w14:textId="77777777" w:rsidR="00B5776F" w:rsidRPr="00B5776F" w:rsidRDefault="00B5776F" w:rsidP="00B5776F">
      <w:pPr>
        <w:pStyle w:val="NoSpacing"/>
        <w:rPr>
          <w:rFonts w:ascii="Times New Roman" w:hAnsi="Times New Roman"/>
          <w:bCs/>
          <w:sz w:val="24"/>
          <w:szCs w:val="24"/>
        </w:rPr>
      </w:pPr>
      <w:r w:rsidRPr="00B5776F">
        <w:rPr>
          <w:rFonts w:ascii="Times New Roman" w:hAnsi="Times New Roman"/>
          <w:sz w:val="24"/>
          <w:szCs w:val="24"/>
        </w:rPr>
        <w:t xml:space="preserve">Dissent:  </w:t>
      </w:r>
    </w:p>
    <w:p w14:paraId="1CB4CB67" w14:textId="77777777" w:rsidR="00B5776F" w:rsidRPr="00B5776F" w:rsidRDefault="00B5776F" w:rsidP="00B5776F">
      <w:pPr>
        <w:pStyle w:val="NoSpacing"/>
        <w:rPr>
          <w:rFonts w:ascii="Times New Roman" w:hAnsi="Times New Roman"/>
          <w:bCs/>
          <w:sz w:val="24"/>
          <w:szCs w:val="24"/>
        </w:rPr>
      </w:pPr>
    </w:p>
    <w:p w14:paraId="5EEBEA0F" w14:textId="77777777" w:rsidR="00B5776F" w:rsidRPr="00B5776F" w:rsidRDefault="00B5776F" w:rsidP="00B5776F">
      <w:pPr>
        <w:pStyle w:val="NoSpacing"/>
        <w:ind w:left="720"/>
        <w:rPr>
          <w:rFonts w:ascii="Times New Roman" w:hAnsi="Times New Roman"/>
          <w:bCs/>
          <w:sz w:val="24"/>
          <w:szCs w:val="24"/>
        </w:rPr>
      </w:pPr>
      <w:r w:rsidRPr="00B5776F">
        <w:rPr>
          <w:rFonts w:ascii="Times New Roman" w:hAnsi="Times New Roman"/>
          <w:sz w:val="24"/>
          <w:szCs w:val="24"/>
        </w:rPr>
        <w:t>“California, which has administered the scheme since 2019, has shown that the vast majority of its checks cost one dollar and impose less than one minute of delay.”</w:t>
      </w:r>
    </w:p>
    <w:p w14:paraId="1B7F31C5" w14:textId="77777777" w:rsidR="00B5776F" w:rsidRPr="00B5776F" w:rsidRDefault="00B5776F" w:rsidP="00B5776F">
      <w:pPr>
        <w:pStyle w:val="NoSpacing"/>
        <w:ind w:left="720"/>
        <w:rPr>
          <w:rFonts w:ascii="Times New Roman" w:hAnsi="Times New Roman"/>
          <w:bCs/>
          <w:sz w:val="24"/>
          <w:szCs w:val="24"/>
        </w:rPr>
      </w:pPr>
    </w:p>
    <w:p w14:paraId="79A510C1" w14:textId="77777777" w:rsidR="00B5776F" w:rsidRPr="00B5776F" w:rsidRDefault="00B5776F" w:rsidP="00B5776F">
      <w:pPr>
        <w:pStyle w:val="NoSpacing"/>
        <w:rPr>
          <w:rFonts w:ascii="Times New Roman" w:hAnsi="Times New Roman"/>
          <w:b/>
          <w:sz w:val="24"/>
          <w:szCs w:val="24"/>
        </w:rPr>
      </w:pPr>
      <w:r w:rsidRPr="00B5776F">
        <w:rPr>
          <w:rFonts w:ascii="Times New Roman" w:hAnsi="Times New Roman"/>
          <w:b/>
          <w:sz w:val="24"/>
          <w:szCs w:val="24"/>
        </w:rPr>
        <w:t xml:space="preserve">Legal lesson learned:  California may appeal to U.S. Supreme Court (but this requires 4 Justices to agree to hear the appeal).  It’s time for Congress to close “loopholes” in firearm laws; quick background checks to buy ammo seems like an excellent law. </w:t>
      </w:r>
    </w:p>
    <w:p w14:paraId="63E6F744" w14:textId="77777777" w:rsidR="00B5776F" w:rsidRDefault="00B5776F" w:rsidP="00E64DE3">
      <w:pPr>
        <w:pStyle w:val="NoSpacing"/>
        <w:rPr>
          <w:rFonts w:ascii="Arial Black" w:hAnsi="Arial Black"/>
          <w:sz w:val="28"/>
          <w:szCs w:val="28"/>
        </w:rPr>
      </w:pPr>
    </w:p>
    <w:p w14:paraId="60B17B02" w14:textId="77777777" w:rsidR="00E24913" w:rsidRDefault="00E24913" w:rsidP="00607129">
      <w:pPr>
        <w:pStyle w:val="NoSpacing"/>
        <w:rPr>
          <w:rFonts w:ascii="Arial Black" w:hAnsi="Arial Black"/>
          <w:sz w:val="28"/>
          <w:szCs w:val="28"/>
        </w:rPr>
      </w:pPr>
    </w:p>
    <w:p w14:paraId="1BD8404A" w14:textId="77777777" w:rsidR="00E24913" w:rsidRDefault="00E24913" w:rsidP="00607129">
      <w:pPr>
        <w:pStyle w:val="NoSpacing"/>
        <w:rPr>
          <w:rFonts w:ascii="Arial Black" w:hAnsi="Arial Black"/>
          <w:sz w:val="28"/>
          <w:szCs w:val="28"/>
        </w:rPr>
      </w:pPr>
    </w:p>
    <w:p w14:paraId="3F9153E9" w14:textId="77777777" w:rsidR="00E24913" w:rsidRDefault="00E24913" w:rsidP="00607129">
      <w:pPr>
        <w:pStyle w:val="NoSpacing"/>
        <w:rPr>
          <w:rFonts w:ascii="Arial Black" w:hAnsi="Arial Black"/>
          <w:sz w:val="28"/>
          <w:szCs w:val="28"/>
        </w:rPr>
      </w:pPr>
    </w:p>
    <w:p w14:paraId="2DB361C3" w14:textId="52270FAD" w:rsidR="00607129" w:rsidRDefault="00607129" w:rsidP="00607129">
      <w:pPr>
        <w:pStyle w:val="NoSpacing"/>
        <w:rPr>
          <w:rFonts w:ascii="Arial Black" w:hAnsi="Arial Black"/>
          <w:sz w:val="28"/>
          <w:szCs w:val="28"/>
        </w:rPr>
      </w:pPr>
      <w:r>
        <w:rPr>
          <w:rFonts w:ascii="Arial Black" w:hAnsi="Arial Black"/>
          <w:sz w:val="28"/>
          <w:szCs w:val="28"/>
        </w:rPr>
        <w:t>3-7</w:t>
      </w:r>
      <w:r w:rsidR="00680234">
        <w:rPr>
          <w:rFonts w:ascii="Arial Black" w:hAnsi="Arial Black"/>
          <w:sz w:val="28"/>
          <w:szCs w:val="28"/>
        </w:rPr>
        <w:t>7</w:t>
      </w:r>
    </w:p>
    <w:p w14:paraId="72868543" w14:textId="77777777" w:rsidR="00607129" w:rsidRDefault="00607129" w:rsidP="00F326E5">
      <w:pPr>
        <w:pStyle w:val="NoSpacing"/>
        <w:rPr>
          <w:rFonts w:ascii="Arial Black" w:hAnsi="Arial Black"/>
          <w:sz w:val="28"/>
          <w:szCs w:val="28"/>
        </w:rPr>
      </w:pPr>
    </w:p>
    <w:p w14:paraId="1AB4EDF9" w14:textId="33BCA391" w:rsidR="002333BA" w:rsidRDefault="002333BA" w:rsidP="002333BA">
      <w:pPr>
        <w:rPr>
          <w:rFonts w:ascii="Arial Black" w:hAnsi="Arial Black"/>
          <w:b/>
          <w:sz w:val="28"/>
          <w:szCs w:val="28"/>
        </w:rPr>
      </w:pPr>
      <w:r>
        <w:rPr>
          <w:rFonts w:ascii="Arial Black" w:hAnsi="Arial Black"/>
          <w:b/>
          <w:sz w:val="28"/>
          <w:szCs w:val="28"/>
        </w:rPr>
        <w:t>U.S. SUP. CT – DEPORTATION 3</w:t>
      </w:r>
      <w:r w:rsidRPr="00995B6B">
        <w:rPr>
          <w:rFonts w:ascii="Arial Black" w:hAnsi="Arial Black"/>
          <w:b/>
          <w:sz w:val="28"/>
          <w:szCs w:val="28"/>
          <w:vertAlign w:val="superscript"/>
        </w:rPr>
        <w:t>rd</w:t>
      </w:r>
      <w:r>
        <w:rPr>
          <w:rFonts w:ascii="Arial Black" w:hAnsi="Arial Black"/>
          <w:b/>
          <w:sz w:val="28"/>
          <w:szCs w:val="28"/>
        </w:rPr>
        <w:t xml:space="preserve"> COUNTRIES – NO INJUCT</w:t>
      </w:r>
      <w:r w:rsidR="00064669">
        <w:rPr>
          <w:rFonts w:ascii="Arial Black" w:hAnsi="Arial Black"/>
          <w:b/>
          <w:sz w:val="28"/>
          <w:szCs w:val="28"/>
        </w:rPr>
        <w:t>ION</w:t>
      </w:r>
    </w:p>
    <w:p w14:paraId="2A1A1E82" w14:textId="77777777" w:rsidR="002333BA" w:rsidRPr="00B5776F" w:rsidRDefault="002333BA" w:rsidP="002333BA">
      <w:pPr>
        <w:pStyle w:val="NoSpacing"/>
        <w:rPr>
          <w:rFonts w:ascii="Times New Roman" w:hAnsi="Times New Roman"/>
          <w:bCs/>
          <w:sz w:val="24"/>
          <w:szCs w:val="24"/>
        </w:rPr>
      </w:pPr>
      <w:r w:rsidRPr="00B5776F">
        <w:rPr>
          <w:rFonts w:ascii="Times New Roman" w:hAnsi="Times New Roman"/>
          <w:sz w:val="24"/>
          <w:szCs w:val="24"/>
        </w:rPr>
        <w:t xml:space="preserve">On June 23, 2025, in </w:t>
      </w:r>
      <w:r w:rsidRPr="00B5776F">
        <w:rPr>
          <w:rFonts w:ascii="Times New Roman" w:hAnsi="Times New Roman"/>
          <w:sz w:val="24"/>
          <w:szCs w:val="24"/>
          <w:u w:val="single"/>
        </w:rPr>
        <w:t>Department of Homeland Security, et al. v. D.V.D., et al</w:t>
      </w:r>
      <w:r w:rsidRPr="00B5776F">
        <w:rPr>
          <w:rFonts w:ascii="Times New Roman" w:hAnsi="Times New Roman"/>
          <w:sz w:val="24"/>
          <w:szCs w:val="24"/>
        </w:rPr>
        <w:t xml:space="preserve">, the U.S. Supreme Court (7 to 2; Court Order – no Opinion) has set aside orders by U.S. District Court Judge Brian E. Murphy, Boston, of March 28, 2025 (temporary restraining order) and April 18, 2025 (preliminary injunction) against deporting some illegal aliens to South Sedan, since their home countries refused to accept them.  THE COURT HELD: “The April 18,2025, preliminary injunction of the United States District Court for the District of Massachusetts, case No. 25–cv–10676, is stayed pending the disposition of the appeal in the United States Court of Appeals for the First Circuit and disposition of a petition for a writ of certiorari, if such writ is timely sought. Should certiorari be denied, this stay shall terminate automatically. In the event certiorari is granted, the stay shall terminate upon the sending down of the judgment of the Court.”   </w:t>
      </w:r>
      <w:hyperlink r:id="rId686" w:history="1">
        <w:r w:rsidRPr="00B5776F">
          <w:rPr>
            <w:rStyle w:val="Hyperlink"/>
            <w:rFonts w:ascii="Times New Roman" w:hAnsi="Times New Roman"/>
            <w:sz w:val="24"/>
            <w:szCs w:val="24"/>
          </w:rPr>
          <w:t>https://www.supremecourt.gov/opinions/24pdf/24a1153_l5gm.pdf</w:t>
        </w:r>
      </w:hyperlink>
      <w:r w:rsidRPr="00B5776F">
        <w:rPr>
          <w:rFonts w:ascii="Times New Roman" w:hAnsi="Times New Roman"/>
          <w:sz w:val="24"/>
          <w:szCs w:val="24"/>
        </w:rPr>
        <w:t xml:space="preserve"> </w:t>
      </w:r>
    </w:p>
    <w:p w14:paraId="48DC864F" w14:textId="77777777" w:rsidR="00646EE3" w:rsidRPr="00B5776F" w:rsidRDefault="00646EE3" w:rsidP="00F326E5">
      <w:pPr>
        <w:pStyle w:val="NoSpacing"/>
        <w:rPr>
          <w:rFonts w:ascii="Times New Roman" w:hAnsi="Times New Roman"/>
          <w:sz w:val="24"/>
          <w:szCs w:val="24"/>
        </w:rPr>
      </w:pPr>
    </w:p>
    <w:p w14:paraId="3C93226A" w14:textId="77777777" w:rsidR="00230904" w:rsidRPr="00230904" w:rsidRDefault="00230904" w:rsidP="00230904">
      <w:pPr>
        <w:rPr>
          <w:rFonts w:ascii="Times New Roman" w:hAnsi="Times New Roman"/>
          <w:b/>
          <w:sz w:val="24"/>
          <w:szCs w:val="24"/>
        </w:rPr>
      </w:pPr>
      <w:r w:rsidRPr="00230904">
        <w:rPr>
          <w:rFonts w:ascii="Times New Roman" w:hAnsi="Times New Roman"/>
          <w:b/>
          <w:sz w:val="24"/>
          <w:szCs w:val="24"/>
        </w:rPr>
        <w:t xml:space="preserve">Legal lesson learned: </w:t>
      </w:r>
      <w:proofErr w:type="gramStart"/>
      <w:r w:rsidRPr="00230904">
        <w:rPr>
          <w:rFonts w:ascii="Times New Roman" w:hAnsi="Times New Roman"/>
          <w:b/>
          <w:sz w:val="24"/>
          <w:szCs w:val="24"/>
        </w:rPr>
        <w:t>The majority of</w:t>
      </w:r>
      <w:proofErr w:type="gramEnd"/>
      <w:r w:rsidRPr="00230904">
        <w:rPr>
          <w:rFonts w:ascii="Times New Roman" w:hAnsi="Times New Roman"/>
          <w:b/>
          <w:sz w:val="24"/>
          <w:szCs w:val="24"/>
        </w:rPr>
        <w:t xml:space="preserve"> the Justices have now, at least temporarily, allowed deportation to third countries; at least until the 1</w:t>
      </w:r>
      <w:r w:rsidRPr="00230904">
        <w:rPr>
          <w:rFonts w:ascii="Times New Roman" w:hAnsi="Times New Roman"/>
          <w:b/>
          <w:sz w:val="24"/>
          <w:szCs w:val="24"/>
          <w:vertAlign w:val="superscript"/>
        </w:rPr>
        <w:t>st</w:t>
      </w:r>
      <w:r w:rsidRPr="00230904">
        <w:rPr>
          <w:rFonts w:ascii="Times New Roman" w:hAnsi="Times New Roman"/>
          <w:b/>
          <w:sz w:val="24"/>
          <w:szCs w:val="24"/>
        </w:rPr>
        <w:t xml:space="preserve"> Circuit decides the case. </w:t>
      </w:r>
    </w:p>
    <w:p w14:paraId="739C0E8D"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sz w:val="24"/>
          <w:szCs w:val="24"/>
        </w:rPr>
        <w:t xml:space="preserve">Note: </w:t>
      </w:r>
    </w:p>
    <w:p w14:paraId="44E73374" w14:textId="77777777" w:rsidR="00230904" w:rsidRPr="00230904" w:rsidRDefault="00230904" w:rsidP="00230904">
      <w:pPr>
        <w:pStyle w:val="NoSpacing"/>
        <w:ind w:left="720"/>
        <w:rPr>
          <w:rFonts w:ascii="Times New Roman" w:hAnsi="Times New Roman"/>
          <w:bCs/>
          <w:sz w:val="24"/>
          <w:szCs w:val="24"/>
        </w:rPr>
      </w:pPr>
    </w:p>
    <w:p w14:paraId="74ADC945"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bCs/>
          <w:sz w:val="24"/>
          <w:szCs w:val="24"/>
        </w:rPr>
        <w:t xml:space="preserve">Here is the Injunction that was set aside in this case.  </w:t>
      </w:r>
      <w:r w:rsidRPr="00230904">
        <w:rPr>
          <w:rFonts w:ascii="Times New Roman" w:hAnsi="Times New Roman"/>
          <w:sz w:val="24"/>
          <w:szCs w:val="24"/>
        </w:rPr>
        <w:t>On May 21, 2025, Judge Murphy issued an ORDER ON REMEDY FOR VIOLATION OF PRELIMINARY INJUNCTION.</w:t>
      </w:r>
    </w:p>
    <w:p w14:paraId="4A0F5DFE" w14:textId="77777777" w:rsidR="00230904" w:rsidRPr="00230904" w:rsidRDefault="00230904" w:rsidP="00230904">
      <w:pPr>
        <w:pStyle w:val="NoSpacing"/>
        <w:rPr>
          <w:rFonts w:ascii="Times New Roman" w:hAnsi="Times New Roman"/>
          <w:bCs/>
          <w:sz w:val="24"/>
          <w:szCs w:val="24"/>
        </w:rPr>
      </w:pPr>
    </w:p>
    <w:p w14:paraId="4A95B1EA" w14:textId="77777777" w:rsidR="00230904" w:rsidRPr="00230904" w:rsidRDefault="00230904" w:rsidP="00230904">
      <w:pPr>
        <w:ind w:left="1440"/>
        <w:rPr>
          <w:rFonts w:ascii="Times New Roman" w:hAnsi="Times New Roman"/>
          <w:sz w:val="24"/>
          <w:szCs w:val="24"/>
        </w:rPr>
      </w:pPr>
      <w:r w:rsidRPr="00230904">
        <w:rPr>
          <w:rFonts w:ascii="Times New Roman" w:hAnsi="Times New Roman"/>
          <w:sz w:val="24"/>
          <w:szCs w:val="24"/>
        </w:rPr>
        <w:t xml:space="preserve">“Each of the six individuals must be given a reasonable fear interview in private, with the opportunity for the individual to have counsel of their choosing present during the interview, either in-person or remotely, at the individual’s choosing. </w:t>
      </w:r>
      <w:proofErr w:type="gramStart"/>
      <w:r w:rsidRPr="00230904">
        <w:rPr>
          <w:rFonts w:ascii="Times New Roman" w:hAnsi="Times New Roman"/>
          <w:sz w:val="24"/>
          <w:szCs w:val="24"/>
        </w:rPr>
        <w:t>Each individual</w:t>
      </w:r>
      <w:proofErr w:type="gramEnd"/>
      <w:r w:rsidRPr="00230904">
        <w:rPr>
          <w:rFonts w:ascii="Times New Roman" w:hAnsi="Times New Roman"/>
          <w:sz w:val="24"/>
          <w:szCs w:val="24"/>
        </w:rPr>
        <w:t xml:space="preserve"> must be afforded access to counsel that is commensurate with the access that they would have received had these procedures occurred within the United States prior to their deportation, including remote access where in-person access would otherwise be available. </w:t>
      </w:r>
      <w:proofErr w:type="gramStart"/>
      <w:r w:rsidRPr="00230904">
        <w:rPr>
          <w:rFonts w:ascii="Times New Roman" w:hAnsi="Times New Roman"/>
          <w:sz w:val="24"/>
          <w:szCs w:val="24"/>
        </w:rPr>
        <w:t>Each individual</w:t>
      </w:r>
      <w:proofErr w:type="gramEnd"/>
      <w:r w:rsidRPr="00230904">
        <w:rPr>
          <w:rFonts w:ascii="Times New Roman" w:hAnsi="Times New Roman"/>
          <w:sz w:val="24"/>
          <w:szCs w:val="24"/>
        </w:rPr>
        <w:t xml:space="preserve"> must also be afforded the name and telephone number of class counsel, as well as access to a phone, interpreter, and technology for the confidential transfer of documents that is commensurate with the access they would receive were they in DHS custody within United States borders.” </w:t>
      </w:r>
      <w:hyperlink r:id="rId687" w:history="1">
        <w:r w:rsidRPr="00230904">
          <w:rPr>
            <w:rStyle w:val="Hyperlink"/>
            <w:rFonts w:ascii="Times New Roman" w:hAnsi="Times New Roman"/>
            <w:sz w:val="24"/>
            <w:szCs w:val="24"/>
          </w:rPr>
          <w:t>https://storage.courtlistener.com/recap/gov.uscourts.mad.282404/gov.uscourts.mad.282404.119.0_1.pdf</w:t>
        </w:r>
      </w:hyperlink>
    </w:p>
    <w:p w14:paraId="6BD73346" w14:textId="77777777" w:rsidR="00230904" w:rsidRPr="00230904" w:rsidRDefault="00230904" w:rsidP="00230904">
      <w:pPr>
        <w:pStyle w:val="NoSpacing"/>
        <w:ind w:left="720"/>
        <w:rPr>
          <w:rFonts w:ascii="Times New Roman" w:hAnsi="Times New Roman"/>
          <w:bCs/>
          <w:sz w:val="24"/>
          <w:szCs w:val="24"/>
        </w:rPr>
      </w:pPr>
    </w:p>
    <w:p w14:paraId="39D6F965"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sz w:val="24"/>
          <w:szCs w:val="24"/>
        </w:rPr>
        <w:t xml:space="preserve">See also the June 23, </w:t>
      </w:r>
      <w:proofErr w:type="gramStart"/>
      <w:r w:rsidRPr="00230904">
        <w:rPr>
          <w:rFonts w:ascii="Times New Roman" w:hAnsi="Times New Roman"/>
          <w:sz w:val="24"/>
          <w:szCs w:val="24"/>
        </w:rPr>
        <w:t>2025</w:t>
      </w:r>
      <w:proofErr w:type="gramEnd"/>
      <w:r w:rsidRPr="00230904">
        <w:rPr>
          <w:rFonts w:ascii="Times New Roman" w:hAnsi="Times New Roman"/>
          <w:sz w:val="24"/>
          <w:szCs w:val="24"/>
        </w:rPr>
        <w:t xml:space="preserve"> Press Release: The U.S. Department of Homeland Security announcement it will immediately resume deportation flights – “</w:t>
      </w:r>
      <w:r w:rsidRPr="00230904">
        <w:rPr>
          <w:rFonts w:ascii="Times New Roman" w:hAnsi="Times New Roman"/>
          <w:i/>
          <w:iCs/>
          <w:sz w:val="24"/>
          <w:szCs w:val="24"/>
        </w:rPr>
        <w:t>Fire up the deportation planes.”</w:t>
      </w:r>
      <w:r w:rsidRPr="00230904">
        <w:rPr>
          <w:rFonts w:ascii="Times New Roman" w:hAnsi="Times New Roman"/>
          <w:sz w:val="24"/>
          <w:szCs w:val="24"/>
        </w:rPr>
        <w:t xml:space="preserve"> </w:t>
      </w:r>
      <w:hyperlink r:id="rId688" w:history="1">
        <w:r w:rsidRPr="00230904">
          <w:rPr>
            <w:rStyle w:val="Hyperlink"/>
            <w:rFonts w:ascii="Times New Roman" w:hAnsi="Times New Roman"/>
            <w:sz w:val="24"/>
            <w:szCs w:val="24"/>
          </w:rPr>
          <w:t>https://www.supremecourt.gov/opinions/24pdf/24a1153_l5gm.pdf</w:t>
        </w:r>
      </w:hyperlink>
      <w:r w:rsidRPr="00230904">
        <w:rPr>
          <w:rFonts w:ascii="Times New Roman" w:hAnsi="Times New Roman"/>
          <w:sz w:val="24"/>
          <w:szCs w:val="24"/>
        </w:rPr>
        <w:t xml:space="preserve"> </w:t>
      </w:r>
    </w:p>
    <w:p w14:paraId="072A6000" w14:textId="77777777" w:rsidR="00230904" w:rsidRPr="00230904" w:rsidRDefault="00230904" w:rsidP="00230904">
      <w:pPr>
        <w:pStyle w:val="NoSpacing"/>
        <w:ind w:left="720"/>
        <w:rPr>
          <w:rFonts w:ascii="Times New Roman" w:hAnsi="Times New Roman"/>
          <w:bCs/>
          <w:sz w:val="24"/>
          <w:szCs w:val="24"/>
        </w:rPr>
      </w:pPr>
    </w:p>
    <w:p w14:paraId="7FB19E56" w14:textId="77777777" w:rsidR="00230904" w:rsidRPr="00230904" w:rsidRDefault="00230904" w:rsidP="00230904">
      <w:pPr>
        <w:pStyle w:val="NoSpacing"/>
        <w:ind w:left="720"/>
        <w:rPr>
          <w:rFonts w:ascii="Times New Roman" w:hAnsi="Times New Roman"/>
          <w:bCs/>
          <w:sz w:val="24"/>
          <w:szCs w:val="24"/>
        </w:rPr>
      </w:pPr>
    </w:p>
    <w:p w14:paraId="5C144E3D" w14:textId="7188FB9E" w:rsidR="00230904" w:rsidRPr="00230904" w:rsidRDefault="004F69EA" w:rsidP="00230904">
      <w:pPr>
        <w:pStyle w:val="NoSpacing"/>
        <w:ind w:left="720"/>
        <w:rPr>
          <w:rFonts w:ascii="Times New Roman" w:hAnsi="Times New Roman"/>
          <w:bCs/>
          <w:sz w:val="24"/>
          <w:szCs w:val="24"/>
        </w:rPr>
      </w:pPr>
      <w:r>
        <w:rPr>
          <w:rFonts w:ascii="Times New Roman" w:hAnsi="Times New Roman"/>
          <w:bCs/>
          <w:sz w:val="24"/>
          <w:szCs w:val="24"/>
        </w:rPr>
        <w:t xml:space="preserve">BREAKING NEWS:  </w:t>
      </w:r>
      <w:r w:rsidR="00230904" w:rsidRPr="00230904">
        <w:rPr>
          <w:rFonts w:ascii="Times New Roman" w:hAnsi="Times New Roman"/>
          <w:bCs/>
          <w:sz w:val="24"/>
          <w:szCs w:val="24"/>
        </w:rPr>
        <w:t xml:space="preserve">“Universal injunctions” by Federal District Court judges have now been struck down by U.S. Supreme Court. </w:t>
      </w:r>
      <w:r w:rsidR="00230904" w:rsidRPr="00230904">
        <w:rPr>
          <w:rFonts w:ascii="Times New Roman" w:hAnsi="Times New Roman"/>
          <w:sz w:val="24"/>
          <w:szCs w:val="24"/>
        </w:rPr>
        <w:t xml:space="preserve">The U.S. Supreme Court on June 26, </w:t>
      </w:r>
      <w:proofErr w:type="gramStart"/>
      <w:r w:rsidR="00230904" w:rsidRPr="00230904">
        <w:rPr>
          <w:rFonts w:ascii="Times New Roman" w:hAnsi="Times New Roman"/>
          <w:sz w:val="24"/>
          <w:szCs w:val="24"/>
        </w:rPr>
        <w:t>2025</w:t>
      </w:r>
      <w:proofErr w:type="gramEnd"/>
      <w:r w:rsidR="00230904" w:rsidRPr="00230904">
        <w:rPr>
          <w:rFonts w:ascii="Times New Roman" w:hAnsi="Times New Roman"/>
          <w:sz w:val="24"/>
          <w:szCs w:val="24"/>
        </w:rPr>
        <w:t xml:space="preserve"> stayed</w:t>
      </w:r>
      <w:r w:rsidR="00230904" w:rsidRPr="00230904">
        <w:rPr>
          <w:rFonts w:ascii="Times New Roman" w:hAnsi="Times New Roman"/>
          <w:bCs/>
          <w:sz w:val="24"/>
          <w:szCs w:val="24"/>
        </w:rPr>
        <w:t xml:space="preserve"> national-wide so-called </w:t>
      </w:r>
      <w:r w:rsidR="00230904" w:rsidRPr="00230904">
        <w:rPr>
          <w:rFonts w:ascii="Times New Roman" w:hAnsi="Times New Roman"/>
          <w:sz w:val="24"/>
          <w:szCs w:val="24"/>
        </w:rPr>
        <w:t>“universal injunctions</w:t>
      </w:r>
      <w:r w:rsidR="00230904" w:rsidRPr="00230904">
        <w:rPr>
          <w:rFonts w:ascii="Times New Roman" w:hAnsi="Times New Roman"/>
          <w:bCs/>
          <w:sz w:val="24"/>
          <w:szCs w:val="24"/>
        </w:rPr>
        <w:t xml:space="preserve"> by </w:t>
      </w:r>
      <w:r w:rsidR="00230904" w:rsidRPr="00230904">
        <w:rPr>
          <w:rFonts w:ascii="Times New Roman" w:hAnsi="Times New Roman"/>
          <w:sz w:val="24"/>
          <w:szCs w:val="24"/>
        </w:rPr>
        <w:t>three Federal District Court</w:t>
      </w:r>
      <w:r w:rsidR="00230904" w:rsidRPr="00230904">
        <w:rPr>
          <w:rFonts w:ascii="Times New Roman" w:hAnsi="Times New Roman"/>
          <w:bCs/>
          <w:sz w:val="24"/>
          <w:szCs w:val="24"/>
        </w:rPr>
        <w:t xml:space="preserve"> judges</w:t>
      </w:r>
      <w:r w:rsidR="00230904" w:rsidRPr="00230904">
        <w:rPr>
          <w:rFonts w:ascii="Times New Roman" w:hAnsi="Times New Roman"/>
          <w:sz w:val="24"/>
          <w:szCs w:val="24"/>
        </w:rPr>
        <w:t xml:space="preserve"> in MA, WA, MA </w:t>
      </w:r>
      <w:r w:rsidR="00230904" w:rsidRPr="00230904">
        <w:rPr>
          <w:rFonts w:ascii="Times New Roman" w:hAnsi="Times New Roman"/>
          <w:bCs/>
          <w:sz w:val="24"/>
          <w:szCs w:val="24"/>
        </w:rPr>
        <w:t xml:space="preserve">in a case challenging President Trump’s executive order on </w:t>
      </w:r>
      <w:r w:rsidR="00230904" w:rsidRPr="00230904">
        <w:rPr>
          <w:rFonts w:ascii="Times New Roman" w:hAnsi="Times New Roman"/>
          <w:sz w:val="24"/>
          <w:szCs w:val="24"/>
        </w:rPr>
        <w:t xml:space="preserve">citizenship by birth in United States.  TRUMP, PRESIDENT OF THE UNITED STATES, ET AL. v. CASA, INC., ET AL. The Court (6 to 3) held that “These injunctions—known as ‘universal injunctions’—likely exceed the equitable authority that Congress has granted to federal courts. We therefore grant the Government’s applications to partially stay the injunctions entered below.”  </w:t>
      </w:r>
      <w:hyperlink r:id="rId689" w:history="1">
        <w:r w:rsidR="00230904" w:rsidRPr="00230904">
          <w:rPr>
            <w:rStyle w:val="Hyperlink"/>
            <w:rFonts w:ascii="Times New Roman" w:hAnsi="Times New Roman"/>
            <w:sz w:val="24"/>
            <w:szCs w:val="24"/>
          </w:rPr>
          <w:t>https://www.supremecourt.gov/opinions/24pdf/24a884_8n59.pdf</w:t>
        </w:r>
      </w:hyperlink>
    </w:p>
    <w:p w14:paraId="242F105A" w14:textId="77777777" w:rsidR="00230904" w:rsidRDefault="00230904" w:rsidP="00F326E5">
      <w:pPr>
        <w:pStyle w:val="NoSpacing"/>
        <w:rPr>
          <w:rFonts w:ascii="Arial Black" w:hAnsi="Arial Black"/>
          <w:sz w:val="28"/>
          <w:szCs w:val="28"/>
        </w:rPr>
      </w:pPr>
    </w:p>
    <w:p w14:paraId="1DF25F69" w14:textId="6A1B0F40" w:rsidR="00607129" w:rsidRDefault="00607129" w:rsidP="00607129">
      <w:pPr>
        <w:pStyle w:val="NoSpacing"/>
        <w:rPr>
          <w:rFonts w:ascii="Arial Black" w:hAnsi="Arial Black"/>
          <w:sz w:val="28"/>
          <w:szCs w:val="28"/>
        </w:rPr>
      </w:pPr>
      <w:r>
        <w:rPr>
          <w:rFonts w:ascii="Arial Black" w:hAnsi="Arial Black"/>
          <w:sz w:val="28"/>
          <w:szCs w:val="28"/>
        </w:rPr>
        <w:t>3-76</w:t>
      </w:r>
    </w:p>
    <w:p w14:paraId="1938DDBC" w14:textId="77777777" w:rsidR="00646EE3" w:rsidRDefault="00646EE3" w:rsidP="00F326E5">
      <w:pPr>
        <w:pStyle w:val="NoSpacing"/>
        <w:rPr>
          <w:rFonts w:ascii="Arial Black" w:hAnsi="Arial Black"/>
          <w:sz w:val="28"/>
          <w:szCs w:val="28"/>
        </w:rPr>
      </w:pPr>
    </w:p>
    <w:p w14:paraId="4CCFD00B" w14:textId="77777777" w:rsidR="00BA3C9D" w:rsidRPr="00780C34" w:rsidRDefault="00BA3C9D" w:rsidP="00BA3C9D">
      <w:pPr>
        <w:rPr>
          <w:rFonts w:ascii="Arial Black" w:hAnsi="Arial Black"/>
          <w:b/>
          <w:sz w:val="28"/>
          <w:szCs w:val="28"/>
        </w:rPr>
      </w:pPr>
      <w:r>
        <w:rPr>
          <w:rFonts w:ascii="Arial Black" w:hAnsi="Arial Black"/>
          <w:b/>
          <w:sz w:val="28"/>
          <w:szCs w:val="28"/>
        </w:rPr>
        <w:t>U.S. SUP. CT. – PLO CAN BE SUED USA – DEATHS IN ISRAEL</w:t>
      </w:r>
    </w:p>
    <w:p w14:paraId="5B6D10E2" w14:textId="77777777" w:rsidR="00BA3C9D" w:rsidRPr="008D0D51" w:rsidRDefault="00BA3C9D" w:rsidP="00BA3C9D">
      <w:pPr>
        <w:pStyle w:val="NoSpacing"/>
        <w:rPr>
          <w:rFonts w:ascii="Times New Roman" w:hAnsi="Times New Roman"/>
          <w:sz w:val="24"/>
          <w:szCs w:val="24"/>
        </w:rPr>
      </w:pPr>
      <w:r w:rsidRPr="008D0D51">
        <w:rPr>
          <w:rFonts w:ascii="Times New Roman" w:hAnsi="Times New Roman"/>
          <w:sz w:val="24"/>
          <w:szCs w:val="24"/>
        </w:rPr>
        <w:t xml:space="preserve">On June 20, 2025, in </w:t>
      </w:r>
      <w:r w:rsidRPr="008D0D51">
        <w:rPr>
          <w:rFonts w:ascii="Times New Roman" w:hAnsi="Times New Roman"/>
          <w:sz w:val="24"/>
          <w:szCs w:val="24"/>
          <w:u w:val="single"/>
        </w:rPr>
        <w:t>Miriam Fuld, et al. v. Palestine Liberation Organization, et al</w:t>
      </w:r>
      <w:r w:rsidRPr="008D0D51">
        <w:rPr>
          <w:rFonts w:ascii="Times New Roman" w:hAnsi="Times New Roman"/>
          <w:sz w:val="24"/>
          <w:szCs w:val="24"/>
        </w:rPr>
        <w:t>., the U.S. Supreme Court held (9 to 0) that Congress did not violate 5</w:t>
      </w:r>
      <w:r w:rsidRPr="008D0D51">
        <w:rPr>
          <w:rFonts w:ascii="Times New Roman" w:hAnsi="Times New Roman"/>
          <w:sz w:val="24"/>
          <w:szCs w:val="24"/>
          <w:vertAlign w:val="superscript"/>
        </w:rPr>
        <w:t>th</w:t>
      </w:r>
      <w:r w:rsidRPr="008D0D51">
        <w:rPr>
          <w:rFonts w:ascii="Times New Roman" w:hAnsi="Times New Roman"/>
          <w:sz w:val="24"/>
          <w:szCs w:val="24"/>
        </w:rPr>
        <w:t xml:space="preserve"> or 14</w:t>
      </w:r>
      <w:r w:rsidRPr="008D0D51">
        <w:rPr>
          <w:rFonts w:ascii="Times New Roman" w:hAnsi="Times New Roman"/>
          <w:sz w:val="24"/>
          <w:szCs w:val="24"/>
          <w:vertAlign w:val="superscript"/>
        </w:rPr>
        <w:t>th</w:t>
      </w:r>
      <w:r w:rsidRPr="008D0D51">
        <w:rPr>
          <w:rFonts w:ascii="Times New Roman" w:hAnsi="Times New Roman"/>
          <w:sz w:val="24"/>
          <w:szCs w:val="24"/>
        </w:rPr>
        <w:t xml:space="preserve"> Amendments when enacting statutes giving American citizens injured or killed in Israel the right to sue PLO in U.S. District Courts, with triple damages. The Court reinstated two lawsuits, both of which were dismissed by lower federal courts for “lack of personal jurisdiction” because the killings occurred in Israel, not in the United States.  THE COURT HELD: “Of </w:t>
      </w:r>
      <w:proofErr w:type="gramStart"/>
      <w:r w:rsidRPr="008D0D51">
        <w:rPr>
          <w:rFonts w:ascii="Times New Roman" w:hAnsi="Times New Roman"/>
          <w:sz w:val="24"/>
          <w:szCs w:val="24"/>
        </w:rPr>
        <w:t>particular salience</w:t>
      </w:r>
      <w:proofErr w:type="gramEnd"/>
      <w:r w:rsidRPr="008D0D51">
        <w:rPr>
          <w:rFonts w:ascii="Times New Roman" w:hAnsi="Times New Roman"/>
          <w:sz w:val="24"/>
          <w:szCs w:val="24"/>
        </w:rPr>
        <w:t xml:space="preserve"> here, we have also recognized the National Government’s interest in holding accountable those who perpetrate an ‘act of violence against’ U. S. nationals—who, even when physically outside our borders, remain ‘under the particular protection’ of American law.”  </w:t>
      </w:r>
      <w:hyperlink r:id="rId690" w:history="1">
        <w:r w:rsidRPr="008D0D51">
          <w:rPr>
            <w:rStyle w:val="Hyperlink"/>
            <w:rFonts w:ascii="Times New Roman" w:hAnsi="Times New Roman"/>
            <w:sz w:val="24"/>
            <w:szCs w:val="24"/>
          </w:rPr>
          <w:t>https://www.supremecourt.gov/opinions/24pdf/24-20_f2bh.pdf</w:t>
        </w:r>
      </w:hyperlink>
      <w:r w:rsidRPr="008D0D51">
        <w:rPr>
          <w:rFonts w:ascii="Times New Roman" w:hAnsi="Times New Roman"/>
          <w:sz w:val="24"/>
          <w:szCs w:val="24"/>
        </w:rPr>
        <w:t xml:space="preserve"> </w:t>
      </w:r>
    </w:p>
    <w:p w14:paraId="351FEEC9" w14:textId="77777777" w:rsidR="00646EE3" w:rsidRPr="008D0D51" w:rsidRDefault="00646EE3" w:rsidP="00F326E5">
      <w:pPr>
        <w:pStyle w:val="NoSpacing"/>
        <w:rPr>
          <w:rFonts w:ascii="Times New Roman" w:hAnsi="Times New Roman"/>
          <w:sz w:val="24"/>
          <w:szCs w:val="24"/>
        </w:rPr>
      </w:pPr>
    </w:p>
    <w:p w14:paraId="1C0C78CB" w14:textId="77777777" w:rsidR="008D0D51" w:rsidRPr="008D0D51" w:rsidRDefault="008D0D51" w:rsidP="008D0D51">
      <w:pPr>
        <w:pStyle w:val="NoSpacing"/>
        <w:rPr>
          <w:rFonts w:ascii="Times New Roman" w:hAnsi="Times New Roman"/>
          <w:b/>
          <w:bCs/>
          <w:sz w:val="24"/>
          <w:szCs w:val="24"/>
        </w:rPr>
      </w:pPr>
      <w:r w:rsidRPr="008D0D51">
        <w:rPr>
          <w:rFonts w:ascii="Times New Roman" w:hAnsi="Times New Roman"/>
          <w:b/>
          <w:sz w:val="24"/>
          <w:szCs w:val="24"/>
        </w:rPr>
        <w:t xml:space="preserve">Legal lesson learned:  </w:t>
      </w:r>
      <w:r w:rsidRPr="008D0D51">
        <w:rPr>
          <w:rFonts w:ascii="Times New Roman" w:hAnsi="Times New Roman"/>
          <w:b/>
          <w:bCs/>
          <w:sz w:val="24"/>
          <w:szCs w:val="24"/>
        </w:rPr>
        <w:t>C</w:t>
      </w:r>
      <w:r w:rsidRPr="008D0D51">
        <w:rPr>
          <w:rFonts w:ascii="Times New Roman" w:hAnsi="Times New Roman"/>
          <w:b/>
          <w:sz w:val="24"/>
          <w:szCs w:val="24"/>
        </w:rPr>
        <w:t>ollecting the damages</w:t>
      </w:r>
      <w:r w:rsidRPr="008D0D51">
        <w:rPr>
          <w:rFonts w:ascii="Times New Roman" w:hAnsi="Times New Roman"/>
          <w:b/>
          <w:bCs/>
          <w:sz w:val="24"/>
          <w:szCs w:val="24"/>
        </w:rPr>
        <w:t xml:space="preserve"> against PLO </w:t>
      </w:r>
      <w:r w:rsidRPr="008D0D51">
        <w:rPr>
          <w:rFonts w:ascii="Times New Roman" w:hAnsi="Times New Roman"/>
          <w:b/>
          <w:sz w:val="24"/>
          <w:szCs w:val="24"/>
        </w:rPr>
        <w:t xml:space="preserve">will still be a challenge unless PLO assets can be found in USA.  </w:t>
      </w:r>
    </w:p>
    <w:p w14:paraId="02373C2F" w14:textId="77777777" w:rsidR="008D0D51" w:rsidRDefault="008D0D51" w:rsidP="00F326E5">
      <w:pPr>
        <w:pStyle w:val="NoSpacing"/>
        <w:rPr>
          <w:rFonts w:ascii="Arial Black" w:hAnsi="Arial Black"/>
          <w:sz w:val="28"/>
          <w:szCs w:val="28"/>
        </w:rPr>
      </w:pPr>
    </w:p>
    <w:p w14:paraId="332B7912" w14:textId="77777777" w:rsidR="00646EE3" w:rsidRDefault="00646EE3" w:rsidP="00F326E5">
      <w:pPr>
        <w:pStyle w:val="NoSpacing"/>
        <w:rPr>
          <w:rFonts w:ascii="Arial Black" w:hAnsi="Arial Black"/>
          <w:sz w:val="28"/>
          <w:szCs w:val="28"/>
        </w:rPr>
      </w:pPr>
    </w:p>
    <w:p w14:paraId="116752D3" w14:textId="2518601A" w:rsidR="00F30E91" w:rsidRDefault="00043E2B" w:rsidP="00F326E5">
      <w:pPr>
        <w:pStyle w:val="NoSpacing"/>
        <w:rPr>
          <w:rFonts w:ascii="Arial Black" w:hAnsi="Arial Black"/>
          <w:sz w:val="28"/>
          <w:szCs w:val="28"/>
        </w:rPr>
      </w:pPr>
      <w:r>
        <w:rPr>
          <w:rFonts w:ascii="Arial Black" w:hAnsi="Arial Black"/>
          <w:sz w:val="28"/>
          <w:szCs w:val="28"/>
        </w:rPr>
        <w:t>3-75</w:t>
      </w:r>
    </w:p>
    <w:p w14:paraId="0BF8DDB4" w14:textId="77777777" w:rsidR="00043E2B" w:rsidRDefault="00043E2B" w:rsidP="00F326E5">
      <w:pPr>
        <w:pStyle w:val="NoSpacing"/>
        <w:rPr>
          <w:rFonts w:ascii="Arial Black" w:hAnsi="Arial Black"/>
          <w:sz w:val="28"/>
          <w:szCs w:val="28"/>
        </w:rPr>
      </w:pPr>
    </w:p>
    <w:p w14:paraId="66CEB8BC" w14:textId="77777777" w:rsidR="00043E2B" w:rsidRPr="006F2B87" w:rsidRDefault="00043E2B" w:rsidP="00043E2B">
      <w:pPr>
        <w:pStyle w:val="NoSpacing"/>
        <w:rPr>
          <w:rFonts w:ascii="Arial Black" w:hAnsi="Arial Black"/>
          <w:bCs/>
          <w:sz w:val="28"/>
          <w:szCs w:val="28"/>
        </w:rPr>
      </w:pPr>
      <w:r w:rsidRPr="006F2B87">
        <w:rPr>
          <w:rFonts w:ascii="Arial Black" w:hAnsi="Arial Black"/>
          <w:sz w:val="28"/>
          <w:szCs w:val="28"/>
        </w:rPr>
        <w:t>RI: 20 STATES – FEMA GRANTS</w:t>
      </w:r>
      <w:r>
        <w:rPr>
          <w:rFonts w:ascii="Arial Black" w:hAnsi="Arial Black"/>
          <w:bCs/>
          <w:sz w:val="28"/>
          <w:szCs w:val="28"/>
        </w:rPr>
        <w:t xml:space="preserve"> -</w:t>
      </w:r>
      <w:r w:rsidRPr="006F2B87">
        <w:rPr>
          <w:rFonts w:ascii="Arial Black" w:hAnsi="Arial Black"/>
          <w:sz w:val="28"/>
          <w:szCs w:val="28"/>
        </w:rPr>
        <w:t xml:space="preserve"> “HOSTAGE” </w:t>
      </w:r>
      <w:r>
        <w:rPr>
          <w:rFonts w:ascii="Arial Black" w:hAnsi="Arial Black"/>
          <w:bCs/>
          <w:sz w:val="28"/>
          <w:szCs w:val="28"/>
        </w:rPr>
        <w:t>IMMIGRATION</w:t>
      </w:r>
    </w:p>
    <w:p w14:paraId="616EAEA7" w14:textId="185FF7E7" w:rsidR="00043E2B" w:rsidRPr="00C8032B" w:rsidRDefault="00C8032B" w:rsidP="00F326E5">
      <w:pPr>
        <w:pStyle w:val="NoSpacing"/>
        <w:rPr>
          <w:rFonts w:ascii="Times New Roman" w:hAnsi="Times New Roman"/>
          <w:sz w:val="24"/>
          <w:szCs w:val="24"/>
        </w:rPr>
      </w:pPr>
      <w:r w:rsidRPr="00C8032B">
        <w:rPr>
          <w:rFonts w:ascii="Times New Roman" w:hAnsi="Times New Roman"/>
          <w:sz w:val="24"/>
          <w:szCs w:val="24"/>
        </w:rPr>
        <w:t xml:space="preserve">On May 13, 2025, in </w:t>
      </w:r>
      <w:r w:rsidRPr="00C8032B">
        <w:rPr>
          <w:rFonts w:ascii="Times New Roman" w:hAnsi="Times New Roman"/>
          <w:sz w:val="24"/>
          <w:szCs w:val="24"/>
          <w:u w:val="single"/>
        </w:rPr>
        <w:t>State of Illinois, et al. v. FEMA, et al</w:t>
      </w:r>
      <w:r w:rsidRPr="00C8032B">
        <w:rPr>
          <w:rFonts w:ascii="Times New Roman" w:hAnsi="Times New Roman"/>
          <w:sz w:val="24"/>
          <w:szCs w:val="24"/>
        </w:rPr>
        <w:t xml:space="preserve">., twenty states filed a lawsuit in the United States District Court for District of Rhode Island, seeking a declaratory judgment that U.S. Department of Homeland Security cannot deny FEMA grants unless states agree to “Civil Immigration Conditions.” The states allege: “they seek to require many States to abandon well-considered policies that advance public safety by promoting trust between law enforcement and immigrant communities as a condition on continued funding of emergency management programs unrelated to immigration enforcement.” </w:t>
      </w:r>
      <w:hyperlink r:id="rId691" w:history="1">
        <w:r w:rsidRPr="00C8032B">
          <w:rPr>
            <w:rStyle w:val="Hyperlink"/>
            <w:rFonts w:ascii="Times New Roman" w:hAnsi="Times New Roman"/>
            <w:sz w:val="24"/>
            <w:szCs w:val="24"/>
          </w:rPr>
          <w:t>file:///C:/Users/lawre/AppData/Local/Microsoft/Windows/INetCache/Content.Outlook/PSWGR3E2/state-of-illinois-et-al-v-federal-emergency-management-agency-et-al-complaint-2025.pdf</w:t>
        </w:r>
      </w:hyperlink>
    </w:p>
    <w:p w14:paraId="240B7686" w14:textId="77777777" w:rsidR="00043E2B" w:rsidRPr="00C8032B" w:rsidRDefault="00043E2B" w:rsidP="00F326E5">
      <w:pPr>
        <w:pStyle w:val="NoSpacing"/>
        <w:rPr>
          <w:rFonts w:ascii="Times New Roman" w:hAnsi="Times New Roman"/>
          <w:sz w:val="24"/>
          <w:szCs w:val="24"/>
        </w:rPr>
      </w:pPr>
    </w:p>
    <w:p w14:paraId="555FF66F" w14:textId="77777777" w:rsidR="00D17755" w:rsidRPr="00D17755" w:rsidRDefault="00D17755" w:rsidP="00D17755">
      <w:pPr>
        <w:pStyle w:val="NoSpacing"/>
        <w:rPr>
          <w:rFonts w:ascii="Times New Roman" w:hAnsi="Times New Roman"/>
          <w:b/>
          <w:bCs/>
          <w:sz w:val="24"/>
          <w:szCs w:val="24"/>
        </w:rPr>
      </w:pPr>
      <w:r w:rsidRPr="00D17755">
        <w:rPr>
          <w:rFonts w:ascii="Times New Roman" w:hAnsi="Times New Roman"/>
          <w:b/>
          <w:sz w:val="24"/>
          <w:szCs w:val="24"/>
        </w:rPr>
        <w:t xml:space="preserve">Legal Lesson Learned: The case should be closely followed by all those seeking FEMA grants. </w:t>
      </w:r>
    </w:p>
    <w:p w14:paraId="72F07C95" w14:textId="77777777" w:rsidR="00C8032B" w:rsidRPr="00D17755" w:rsidRDefault="00C8032B" w:rsidP="00F326E5">
      <w:pPr>
        <w:pStyle w:val="NoSpacing"/>
        <w:rPr>
          <w:rFonts w:ascii="Times New Roman" w:hAnsi="Times New Roman"/>
          <w:sz w:val="24"/>
          <w:szCs w:val="24"/>
        </w:rPr>
      </w:pPr>
    </w:p>
    <w:p w14:paraId="025FFEAB" w14:textId="77777777" w:rsidR="00C8032B" w:rsidRDefault="00C8032B" w:rsidP="00F326E5">
      <w:pPr>
        <w:pStyle w:val="NoSpacing"/>
        <w:rPr>
          <w:rFonts w:ascii="Arial Black" w:hAnsi="Arial Black"/>
          <w:sz w:val="28"/>
          <w:szCs w:val="28"/>
        </w:rPr>
      </w:pPr>
    </w:p>
    <w:p w14:paraId="7EB68F6D" w14:textId="0EE8570B" w:rsidR="006E3103" w:rsidRDefault="006E3103" w:rsidP="00F326E5">
      <w:pPr>
        <w:pStyle w:val="NoSpacing"/>
        <w:rPr>
          <w:rFonts w:ascii="Arial Black" w:hAnsi="Arial Black"/>
          <w:sz w:val="28"/>
          <w:szCs w:val="28"/>
        </w:rPr>
      </w:pPr>
      <w:r>
        <w:rPr>
          <w:rFonts w:ascii="Arial Black" w:hAnsi="Arial Black"/>
          <w:sz w:val="28"/>
          <w:szCs w:val="28"/>
        </w:rPr>
        <w:t>3-74</w:t>
      </w:r>
    </w:p>
    <w:p w14:paraId="49957BD5" w14:textId="77777777" w:rsidR="006E3103" w:rsidRDefault="006E3103" w:rsidP="00F326E5">
      <w:pPr>
        <w:pStyle w:val="NoSpacing"/>
        <w:rPr>
          <w:rFonts w:ascii="Arial Black" w:hAnsi="Arial Black"/>
          <w:sz w:val="28"/>
          <w:szCs w:val="28"/>
        </w:rPr>
      </w:pPr>
    </w:p>
    <w:p w14:paraId="4AE51849" w14:textId="77777777" w:rsidR="008D4905" w:rsidRDefault="008D4905" w:rsidP="008D4905">
      <w:pPr>
        <w:rPr>
          <w:b/>
        </w:rPr>
      </w:pPr>
      <w:r>
        <w:rPr>
          <w:rFonts w:ascii="Arial Black" w:hAnsi="Arial Black"/>
          <w:b/>
          <w:sz w:val="28"/>
          <w:szCs w:val="28"/>
        </w:rPr>
        <w:t>TX: VENEZUELAN ALIENS - DEPORTATIONS INJUNCTION</w:t>
      </w:r>
    </w:p>
    <w:p w14:paraId="51E19264" w14:textId="77777777" w:rsidR="008D4905" w:rsidRPr="008D4905" w:rsidRDefault="008D4905" w:rsidP="008D4905">
      <w:pPr>
        <w:pStyle w:val="NoSpacing"/>
        <w:rPr>
          <w:rFonts w:ascii="Times New Roman" w:hAnsi="Times New Roman"/>
          <w:sz w:val="24"/>
          <w:szCs w:val="24"/>
        </w:rPr>
      </w:pPr>
      <w:r w:rsidRPr="008D4905">
        <w:rPr>
          <w:rFonts w:ascii="Times New Roman" w:hAnsi="Times New Roman"/>
          <w:sz w:val="24"/>
          <w:szCs w:val="24"/>
        </w:rPr>
        <w:t xml:space="preserve">On May 1, 2025, in </w:t>
      </w:r>
      <w:r w:rsidRPr="008D4905">
        <w:rPr>
          <w:rFonts w:ascii="Times New Roman" w:hAnsi="Times New Roman"/>
          <w:sz w:val="24"/>
          <w:szCs w:val="24"/>
          <w:u w:val="single"/>
        </w:rPr>
        <w:t>J.A.V., et al. v. Donal J. Trump, et al.</w:t>
      </w:r>
      <w:r w:rsidRPr="008D4905">
        <w:rPr>
          <w:rFonts w:ascii="Times New Roman" w:hAnsi="Times New Roman"/>
          <w:sz w:val="24"/>
          <w:szCs w:val="24"/>
        </w:rPr>
        <w:t xml:space="preserve">, U. S. District Court Judge Fernando Rodriguez, Jr., United States District Court for Southern District of Texas, Brownsville Division, held that President does not have the lawful authority under the 1798 Alien Enemies Act (“AEA”) to deport Venezuelan aliens without a hearing and order by an Immigration judge.  </w:t>
      </w:r>
      <w:hyperlink r:id="rId692" w:history="1">
        <w:r w:rsidRPr="008D4905">
          <w:rPr>
            <w:rStyle w:val="Hyperlink"/>
            <w:rFonts w:ascii="Times New Roman" w:hAnsi="Times New Roman"/>
            <w:sz w:val="24"/>
            <w:szCs w:val="24"/>
          </w:rPr>
          <w:t>https://d3i6fh83elv35t.cloudfront.net/static/2025/05/gov.uscourts.txsd_.2000771.58.0_1.pdf</w:t>
        </w:r>
      </w:hyperlink>
      <w:r w:rsidRPr="008D4905">
        <w:rPr>
          <w:rFonts w:ascii="Times New Roman" w:hAnsi="Times New Roman"/>
          <w:sz w:val="24"/>
          <w:szCs w:val="24"/>
        </w:rPr>
        <w:t xml:space="preserve"> </w:t>
      </w:r>
    </w:p>
    <w:p w14:paraId="55B9F96B" w14:textId="77777777" w:rsidR="008D4905" w:rsidRPr="008D4905" w:rsidRDefault="008D4905" w:rsidP="008D4905">
      <w:pPr>
        <w:pStyle w:val="NoSpacing"/>
        <w:rPr>
          <w:rFonts w:ascii="Times New Roman" w:hAnsi="Times New Roman"/>
          <w:sz w:val="24"/>
          <w:szCs w:val="24"/>
        </w:rPr>
      </w:pPr>
    </w:p>
    <w:p w14:paraId="4392730C" w14:textId="77777777" w:rsidR="002450F2" w:rsidRPr="002450F2" w:rsidRDefault="002450F2" w:rsidP="002450F2">
      <w:pPr>
        <w:rPr>
          <w:rFonts w:ascii="Times New Roman" w:hAnsi="Times New Roman"/>
          <w:b/>
          <w:bCs/>
          <w:sz w:val="24"/>
          <w:szCs w:val="24"/>
        </w:rPr>
      </w:pPr>
      <w:r w:rsidRPr="002450F2">
        <w:rPr>
          <w:rFonts w:ascii="Times New Roman" w:hAnsi="Times New Roman"/>
          <w:b/>
          <w:sz w:val="24"/>
          <w:szCs w:val="24"/>
        </w:rPr>
        <w:t>Legal Lesson Learned: The Trump Administration will likely appeal this decision to the 5</w:t>
      </w:r>
      <w:r w:rsidRPr="002450F2">
        <w:rPr>
          <w:rFonts w:ascii="Times New Roman" w:hAnsi="Times New Roman"/>
          <w:b/>
          <w:sz w:val="24"/>
          <w:szCs w:val="24"/>
          <w:vertAlign w:val="superscript"/>
        </w:rPr>
        <w:t>th</w:t>
      </w:r>
      <w:r w:rsidRPr="002450F2">
        <w:rPr>
          <w:rFonts w:ascii="Times New Roman" w:hAnsi="Times New Roman"/>
          <w:b/>
          <w:sz w:val="24"/>
          <w:szCs w:val="24"/>
        </w:rPr>
        <w:t xml:space="preserve"> Circuit Court of Appeals in New Orleans</w:t>
      </w:r>
      <w:r w:rsidRPr="002450F2">
        <w:rPr>
          <w:rFonts w:ascii="Times New Roman" w:hAnsi="Times New Roman"/>
          <w:b/>
          <w:bCs/>
          <w:sz w:val="24"/>
          <w:szCs w:val="24"/>
        </w:rPr>
        <w:t xml:space="preserve"> </w:t>
      </w:r>
      <w:r w:rsidRPr="002450F2">
        <w:rPr>
          <w:rFonts w:ascii="Times New Roman" w:hAnsi="Times New Roman"/>
          <w:b/>
          <w:sz w:val="24"/>
          <w:szCs w:val="24"/>
        </w:rPr>
        <w:t xml:space="preserve">and ultimately </w:t>
      </w:r>
      <w:r w:rsidRPr="002450F2">
        <w:rPr>
          <w:rFonts w:ascii="Times New Roman" w:hAnsi="Times New Roman"/>
          <w:b/>
          <w:bCs/>
          <w:sz w:val="24"/>
          <w:szCs w:val="24"/>
        </w:rPr>
        <w:t xml:space="preserve">may </w:t>
      </w:r>
      <w:r w:rsidRPr="002450F2">
        <w:rPr>
          <w:rFonts w:ascii="Times New Roman" w:hAnsi="Times New Roman"/>
          <w:b/>
          <w:sz w:val="24"/>
          <w:szCs w:val="24"/>
        </w:rPr>
        <w:t xml:space="preserve">seek review by the U.S. Supreme Court.  </w:t>
      </w:r>
    </w:p>
    <w:p w14:paraId="645459B7" w14:textId="77777777" w:rsidR="002450F2" w:rsidRPr="002450F2" w:rsidRDefault="002450F2" w:rsidP="002450F2">
      <w:pPr>
        <w:pStyle w:val="NoSpacing"/>
        <w:ind w:left="720"/>
        <w:rPr>
          <w:rFonts w:ascii="Times New Roman" w:hAnsi="Times New Roman"/>
          <w:sz w:val="24"/>
          <w:szCs w:val="24"/>
        </w:rPr>
      </w:pPr>
      <w:r w:rsidRPr="002450F2">
        <w:rPr>
          <w:rFonts w:ascii="Times New Roman" w:hAnsi="Times New Roman"/>
          <w:sz w:val="24"/>
          <w:szCs w:val="24"/>
        </w:rPr>
        <w:t xml:space="preserve">Note: </w:t>
      </w:r>
    </w:p>
    <w:p w14:paraId="1302B0D4" w14:textId="77777777" w:rsidR="002450F2" w:rsidRPr="002450F2" w:rsidRDefault="002450F2" w:rsidP="002450F2">
      <w:pPr>
        <w:pStyle w:val="NoSpacing"/>
        <w:ind w:left="720"/>
        <w:rPr>
          <w:rFonts w:ascii="Times New Roman" w:hAnsi="Times New Roman"/>
          <w:sz w:val="24"/>
          <w:szCs w:val="24"/>
        </w:rPr>
      </w:pPr>
    </w:p>
    <w:p w14:paraId="69466558"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 xml:space="preserve">Judge Rodriguez confirmed that deportations can continue under the Immigration and Nationality Act, after a hearing and order by an Immigration judge.  Judge Rodriguez wrote: “To the extent that J.A.V., J.G.G., and W.G.H., or any member of the certified class, have been detained or are detained in the future pursuant to the Immigration and Nationality Act, they have not sought and do not obtain any relief. In addition, the conclusions of the Court do not affect Respondents’ ability to continue removal proceedings or enforcement of any final orders of removal issued against J.A.V., J.G.G., and W.G.H, or against any member of the certified class, under the Immigration and Nationality Act.” Read this article: </w:t>
      </w:r>
      <w:hyperlink r:id="rId693" w:history="1">
        <w:r w:rsidRPr="002450F2">
          <w:rPr>
            <w:rStyle w:val="Hyperlink"/>
            <w:rFonts w:ascii="Times New Roman" w:hAnsi="Times New Roman"/>
            <w:sz w:val="24"/>
            <w:szCs w:val="24"/>
          </w:rPr>
          <w:t>https://www.pbs.org/newshour/politics/what-is-the-legal-process-for-deporting-u-s-green-card-and-visa-holders</w:t>
        </w:r>
      </w:hyperlink>
      <w:r w:rsidRPr="002450F2">
        <w:rPr>
          <w:rFonts w:ascii="Times New Roman" w:hAnsi="Times New Roman"/>
          <w:sz w:val="24"/>
          <w:szCs w:val="24"/>
        </w:rPr>
        <w:t xml:space="preserve"> </w:t>
      </w:r>
    </w:p>
    <w:p w14:paraId="4CAAC0E0" w14:textId="77777777" w:rsidR="002450F2" w:rsidRPr="002450F2" w:rsidRDefault="002450F2" w:rsidP="002450F2">
      <w:pPr>
        <w:pStyle w:val="ListParagraph"/>
        <w:rPr>
          <w:rFonts w:ascii="Times New Roman" w:hAnsi="Times New Roman" w:cs="Times New Roman"/>
          <w:sz w:val="24"/>
          <w:szCs w:val="24"/>
        </w:rPr>
      </w:pPr>
    </w:p>
    <w:p w14:paraId="4DB63E65"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 xml:space="preserve">See April 10, </w:t>
      </w:r>
      <w:proofErr w:type="gramStart"/>
      <w:r w:rsidRPr="002450F2">
        <w:rPr>
          <w:rFonts w:ascii="Times New Roman" w:hAnsi="Times New Roman"/>
          <w:sz w:val="24"/>
          <w:szCs w:val="24"/>
        </w:rPr>
        <w:t>2025</w:t>
      </w:r>
      <w:proofErr w:type="gramEnd"/>
      <w:r w:rsidRPr="002450F2">
        <w:rPr>
          <w:rFonts w:ascii="Times New Roman" w:hAnsi="Times New Roman"/>
          <w:sz w:val="24"/>
          <w:szCs w:val="24"/>
        </w:rPr>
        <w:t xml:space="preserve"> Statement by U.S. Supreme Court Justice Sonia Sotomayor in another case challenging removal of alien: </w:t>
      </w:r>
      <w:proofErr w:type="spellStart"/>
      <w:r w:rsidRPr="002450F2">
        <w:rPr>
          <w:rFonts w:ascii="Times New Roman" w:hAnsi="Times New Roman"/>
          <w:sz w:val="24"/>
          <w:szCs w:val="24"/>
        </w:rPr>
        <w:t>Kilmar</w:t>
      </w:r>
      <w:proofErr w:type="spellEnd"/>
      <w:r w:rsidRPr="002450F2">
        <w:rPr>
          <w:rFonts w:ascii="Times New Roman" w:hAnsi="Times New Roman"/>
          <w:sz w:val="24"/>
          <w:szCs w:val="24"/>
        </w:rPr>
        <w:t xml:space="preserve"> Armando Abrego Garcia.  “United States removed </w:t>
      </w:r>
      <w:proofErr w:type="spellStart"/>
      <w:r w:rsidRPr="002450F2">
        <w:rPr>
          <w:rFonts w:ascii="Times New Roman" w:hAnsi="Times New Roman"/>
          <w:sz w:val="24"/>
          <w:szCs w:val="24"/>
        </w:rPr>
        <w:t>Kilmar</w:t>
      </w:r>
      <w:proofErr w:type="spellEnd"/>
      <w:r w:rsidRPr="002450F2">
        <w:rPr>
          <w:rFonts w:ascii="Times New Roman" w:hAnsi="Times New Roman"/>
          <w:sz w:val="24"/>
          <w:szCs w:val="24"/>
        </w:rPr>
        <w:t xml:space="preserve"> Armando Abrego Garcia from the United States to El Salvador, where he is currently detained in the Center for Terrorism Confinement (CECOT). The United States acknowledges that Abrego Garcia was subject to a withholding order forbidding his removal to El Salvador, and that the removal to El Salvador was therefore illegal. *** In the proceedings on remand, the District Court should continue to ensure that the Government lives up to its obligations to follow the law.” </w:t>
      </w:r>
      <w:hyperlink r:id="rId694" w:history="1">
        <w:r w:rsidRPr="002450F2">
          <w:rPr>
            <w:rStyle w:val="Hyperlink"/>
            <w:rFonts w:ascii="Times New Roman" w:hAnsi="Times New Roman"/>
            <w:sz w:val="24"/>
            <w:szCs w:val="24"/>
          </w:rPr>
          <w:t>https://www.supremecourt.gov/opinions/24pdf/24a949_lkhn.pdf</w:t>
        </w:r>
      </w:hyperlink>
      <w:r w:rsidRPr="002450F2">
        <w:rPr>
          <w:rFonts w:ascii="Times New Roman" w:hAnsi="Times New Roman"/>
          <w:sz w:val="24"/>
          <w:szCs w:val="24"/>
        </w:rPr>
        <w:t xml:space="preserve"> </w:t>
      </w:r>
    </w:p>
    <w:p w14:paraId="63848D8B" w14:textId="77777777" w:rsidR="002450F2" w:rsidRPr="002450F2" w:rsidRDefault="002450F2" w:rsidP="002450F2">
      <w:pPr>
        <w:pStyle w:val="NoSpacing"/>
        <w:rPr>
          <w:rFonts w:ascii="Times New Roman" w:hAnsi="Times New Roman"/>
          <w:sz w:val="24"/>
          <w:szCs w:val="24"/>
        </w:rPr>
      </w:pPr>
    </w:p>
    <w:p w14:paraId="6F36FA11"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Judge Rodriguez was appointed by President Trump during his first Term and assumed office on June 12, 2018.</w:t>
      </w:r>
    </w:p>
    <w:p w14:paraId="058A081E" w14:textId="77777777" w:rsidR="006E3103" w:rsidRDefault="006E3103" w:rsidP="00F326E5">
      <w:pPr>
        <w:pStyle w:val="NoSpacing"/>
        <w:rPr>
          <w:rFonts w:ascii="Arial Black" w:hAnsi="Arial Black"/>
          <w:sz w:val="28"/>
          <w:szCs w:val="28"/>
        </w:rPr>
      </w:pPr>
    </w:p>
    <w:p w14:paraId="425E149F" w14:textId="77777777" w:rsidR="006E3103" w:rsidRDefault="006E3103" w:rsidP="00F326E5">
      <w:pPr>
        <w:pStyle w:val="NoSpacing"/>
        <w:rPr>
          <w:rFonts w:ascii="Arial Black" w:hAnsi="Arial Black"/>
          <w:sz w:val="28"/>
          <w:szCs w:val="28"/>
        </w:rPr>
      </w:pPr>
    </w:p>
    <w:p w14:paraId="5C147FC4" w14:textId="3CA934DF" w:rsidR="00FB7D37" w:rsidRDefault="00032BF1" w:rsidP="00F326E5">
      <w:pPr>
        <w:pStyle w:val="NoSpacing"/>
        <w:rPr>
          <w:rFonts w:ascii="Arial Black" w:hAnsi="Arial Black"/>
          <w:sz w:val="28"/>
          <w:szCs w:val="28"/>
        </w:rPr>
      </w:pPr>
      <w:r>
        <w:rPr>
          <w:rFonts w:ascii="Arial Black" w:hAnsi="Arial Black"/>
          <w:sz w:val="28"/>
          <w:szCs w:val="28"/>
        </w:rPr>
        <w:t>3-73</w:t>
      </w:r>
    </w:p>
    <w:p w14:paraId="57CD5303" w14:textId="77777777" w:rsidR="00032BF1" w:rsidRDefault="00032BF1" w:rsidP="00F326E5">
      <w:pPr>
        <w:pStyle w:val="NoSpacing"/>
        <w:rPr>
          <w:rFonts w:ascii="Arial Black" w:hAnsi="Arial Black"/>
          <w:sz w:val="28"/>
          <w:szCs w:val="28"/>
        </w:rPr>
      </w:pPr>
    </w:p>
    <w:p w14:paraId="7ADF4968" w14:textId="77777777" w:rsidR="00DD3267" w:rsidRDefault="00DD3267" w:rsidP="00DD3267">
      <w:pPr>
        <w:pStyle w:val="NoSpacing"/>
        <w:rPr>
          <w:rFonts w:ascii="Arial Black" w:hAnsi="Arial Black"/>
          <w:bCs/>
          <w:sz w:val="28"/>
          <w:szCs w:val="28"/>
        </w:rPr>
      </w:pPr>
      <w:r>
        <w:rPr>
          <w:rFonts w:ascii="Arial Black" w:hAnsi="Arial Black"/>
          <w:sz w:val="28"/>
          <w:szCs w:val="28"/>
        </w:rPr>
        <w:t>U.S. SUP. CT:  “GHOST GUNS” – FRAMES / SERIAL NUMBERS</w:t>
      </w:r>
    </w:p>
    <w:p w14:paraId="63102279" w14:textId="77777777" w:rsidR="00DD3267" w:rsidRDefault="00DD3267" w:rsidP="00DD3267">
      <w:pPr>
        <w:pStyle w:val="NoSpacing"/>
        <w:rPr>
          <w:bCs/>
        </w:rPr>
      </w:pPr>
    </w:p>
    <w:p w14:paraId="7D077A5C" w14:textId="77777777" w:rsidR="00DD3267" w:rsidRPr="005A324A" w:rsidRDefault="00DD3267" w:rsidP="00DD3267">
      <w:pPr>
        <w:pStyle w:val="NoSpacing"/>
        <w:rPr>
          <w:rFonts w:ascii="Times New Roman" w:hAnsi="Times New Roman"/>
          <w:bCs/>
          <w:sz w:val="24"/>
          <w:szCs w:val="24"/>
        </w:rPr>
      </w:pPr>
      <w:r w:rsidRPr="005A324A">
        <w:rPr>
          <w:rFonts w:ascii="Times New Roman" w:hAnsi="Times New Roman"/>
          <w:sz w:val="24"/>
          <w:szCs w:val="24"/>
        </w:rPr>
        <w:t xml:space="preserve">On March 26, 2025, in </w:t>
      </w:r>
      <w:r w:rsidRPr="005A324A">
        <w:rPr>
          <w:rFonts w:ascii="Times New Roman" w:hAnsi="Times New Roman"/>
          <w:sz w:val="24"/>
          <w:szCs w:val="24"/>
          <w:u w:val="single"/>
        </w:rPr>
        <w:t xml:space="preserve">Bondi, Attorney General v. </w:t>
      </w:r>
      <w:proofErr w:type="spellStart"/>
      <w:r w:rsidRPr="005A324A">
        <w:rPr>
          <w:rFonts w:ascii="Times New Roman" w:hAnsi="Times New Roman"/>
          <w:sz w:val="24"/>
          <w:szCs w:val="24"/>
          <w:u w:val="single"/>
        </w:rPr>
        <w:t>Vanderstok</w:t>
      </w:r>
      <w:proofErr w:type="spellEnd"/>
      <w:r w:rsidRPr="005A324A">
        <w:rPr>
          <w:rFonts w:ascii="Times New Roman" w:hAnsi="Times New Roman"/>
          <w:sz w:val="24"/>
          <w:szCs w:val="24"/>
          <w:u w:val="single"/>
        </w:rPr>
        <w:t>, et al</w:t>
      </w:r>
      <w:r w:rsidRPr="005A324A">
        <w:rPr>
          <w:rFonts w:ascii="Times New Roman" w:hAnsi="Times New Roman"/>
          <w:sz w:val="24"/>
          <w:szCs w:val="24"/>
        </w:rPr>
        <w:t xml:space="preserve">., the U.S. Supreme Court held (7 to 2) that the ATF may regulate the sale of parts of manufactured firearms (“ghost guns”).  </w:t>
      </w:r>
    </w:p>
    <w:p w14:paraId="22EE05AC" w14:textId="77777777" w:rsidR="00DD3267" w:rsidRPr="005A324A" w:rsidRDefault="00DD3267" w:rsidP="00DD3267">
      <w:pPr>
        <w:pStyle w:val="NoSpacing"/>
        <w:rPr>
          <w:rFonts w:ascii="Times New Roman" w:hAnsi="Times New Roman"/>
          <w:bCs/>
          <w:sz w:val="24"/>
          <w:szCs w:val="24"/>
        </w:rPr>
      </w:pPr>
      <w:r w:rsidRPr="005A324A">
        <w:rPr>
          <w:rFonts w:ascii="Times New Roman" w:hAnsi="Times New Roman"/>
          <w:sz w:val="24"/>
          <w:szCs w:val="24"/>
        </w:rPr>
        <w:t>“In 2022, the Bureau of Alcohol, Tobacco, Firearms and Explosives adopted a new rule designed to combat the proliferation of ghost guns…. The second relevant aspect of the agency’s new rule concerns a key building block of almost any firearm: its frame or receiver. Under subsection (B) of §921(a)(3</w:t>
      </w:r>
      <w:proofErr w:type="gramStart"/>
      <w:r w:rsidRPr="005A324A">
        <w:rPr>
          <w:rFonts w:ascii="Times New Roman" w:hAnsi="Times New Roman"/>
          <w:sz w:val="24"/>
          <w:szCs w:val="24"/>
        </w:rPr>
        <w:t>), ‘</w:t>
      </w:r>
      <w:proofErr w:type="gramEnd"/>
      <w:r w:rsidRPr="005A324A">
        <w:rPr>
          <w:rFonts w:ascii="Times New Roman" w:hAnsi="Times New Roman"/>
          <w:sz w:val="24"/>
          <w:szCs w:val="24"/>
        </w:rPr>
        <w:t xml:space="preserve">the frame or receiver of any such weapon” covered by subsection (A) is itself treated as a ‘firearm.’ … The GCA [Gun Control Act of 1968] embraces, and thus permits ATF to regulate, some weapon parts kits and unfinished frames or receivers, including those we have discussed. Because the court of appeals held otherwise, its judgment is reversed, and the case is remanded for further proceedings consistent with this </w:t>
      </w:r>
      <w:proofErr w:type="gramStart"/>
      <w:r w:rsidRPr="005A324A">
        <w:rPr>
          <w:rFonts w:ascii="Times New Roman" w:hAnsi="Times New Roman"/>
          <w:sz w:val="24"/>
          <w:szCs w:val="24"/>
        </w:rPr>
        <w:t>opinion</w:t>
      </w:r>
      <w:r w:rsidRPr="005A324A">
        <w:rPr>
          <w:rFonts w:ascii="Times New Roman" w:hAnsi="Times New Roman"/>
          <w:bCs/>
          <w:sz w:val="24"/>
          <w:szCs w:val="24"/>
        </w:rPr>
        <w:t>.</w:t>
      </w:r>
      <w:r w:rsidRPr="005A324A">
        <w:rPr>
          <w:rFonts w:ascii="Times New Roman" w:hAnsi="Times New Roman"/>
          <w:sz w:val="24"/>
          <w:szCs w:val="24"/>
        </w:rPr>
        <w:t>”</w:t>
      </w:r>
      <w:proofErr w:type="gramEnd"/>
      <w:r w:rsidRPr="005A324A">
        <w:rPr>
          <w:rFonts w:ascii="Times New Roman" w:hAnsi="Times New Roman"/>
          <w:sz w:val="24"/>
          <w:szCs w:val="24"/>
        </w:rPr>
        <w:t xml:space="preserve"> </w:t>
      </w:r>
      <w:hyperlink r:id="rId695" w:history="1">
        <w:r w:rsidRPr="005A324A">
          <w:rPr>
            <w:rStyle w:val="Hyperlink"/>
            <w:rFonts w:ascii="Times New Roman" w:hAnsi="Times New Roman"/>
            <w:sz w:val="24"/>
            <w:szCs w:val="24"/>
          </w:rPr>
          <w:t>https://www.supremecourt.gov/opinions/24pdf/23-852_c07d.pdf</w:t>
        </w:r>
      </w:hyperlink>
      <w:r w:rsidRPr="005A324A">
        <w:rPr>
          <w:rFonts w:ascii="Times New Roman" w:hAnsi="Times New Roman"/>
          <w:sz w:val="24"/>
          <w:szCs w:val="24"/>
        </w:rPr>
        <w:t xml:space="preserve"> </w:t>
      </w:r>
    </w:p>
    <w:p w14:paraId="205C60D7" w14:textId="77777777" w:rsidR="00DD3267" w:rsidRPr="005A324A" w:rsidRDefault="00DD3267" w:rsidP="00DD3267">
      <w:pPr>
        <w:pStyle w:val="NoSpacing"/>
        <w:rPr>
          <w:rFonts w:ascii="Times New Roman" w:hAnsi="Times New Roman"/>
          <w:bCs/>
          <w:sz w:val="24"/>
          <w:szCs w:val="24"/>
        </w:rPr>
      </w:pPr>
    </w:p>
    <w:p w14:paraId="7F30D731" w14:textId="77777777" w:rsidR="00746DF3" w:rsidRPr="00746DF3" w:rsidRDefault="00746DF3" w:rsidP="00746DF3">
      <w:pPr>
        <w:pStyle w:val="NoSpacing"/>
        <w:rPr>
          <w:rFonts w:ascii="Times New Roman" w:hAnsi="Times New Roman"/>
          <w:b/>
          <w:sz w:val="24"/>
          <w:szCs w:val="24"/>
        </w:rPr>
      </w:pPr>
      <w:r w:rsidRPr="00746DF3">
        <w:rPr>
          <w:rFonts w:ascii="Times New Roman" w:hAnsi="Times New Roman"/>
          <w:b/>
          <w:sz w:val="24"/>
          <w:szCs w:val="24"/>
        </w:rPr>
        <w:t xml:space="preserve">Legal Lesson Learned: Hopefully this decision will greatly increase the serial numbers placed on Ghost Guns.  </w:t>
      </w:r>
    </w:p>
    <w:p w14:paraId="0FBC67EB" w14:textId="77777777" w:rsidR="00746DF3" w:rsidRDefault="00746DF3" w:rsidP="00746DF3">
      <w:pPr>
        <w:pStyle w:val="NoSpacing"/>
        <w:rPr>
          <w:b/>
        </w:rPr>
      </w:pPr>
    </w:p>
    <w:p w14:paraId="298E974A"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Note: Dissenting opinion by Justice Clearance Thompson (Justice Samuel Alit also dissented): “Congress could have authorized ATF to regulate any part of a firearm or any object readily convertible into one. </w:t>
      </w:r>
      <w:proofErr w:type="gramStart"/>
      <w:r w:rsidRPr="005A324A">
        <w:rPr>
          <w:rFonts w:ascii="Times New Roman" w:hAnsi="Times New Roman"/>
          <w:sz w:val="24"/>
          <w:szCs w:val="24"/>
        </w:rPr>
        <w:t>But,</w:t>
      </w:r>
      <w:proofErr w:type="gramEnd"/>
      <w:r w:rsidRPr="005A324A">
        <w:rPr>
          <w:rFonts w:ascii="Times New Roman" w:hAnsi="Times New Roman"/>
          <w:sz w:val="24"/>
          <w:szCs w:val="24"/>
        </w:rPr>
        <w:t xml:space="preserve"> it did not.”</w:t>
      </w:r>
    </w:p>
    <w:p w14:paraId="5E4ECBA5" w14:textId="77777777" w:rsidR="005A324A" w:rsidRPr="005A324A" w:rsidRDefault="005A324A" w:rsidP="005A324A">
      <w:pPr>
        <w:pStyle w:val="NoSpacing"/>
        <w:ind w:left="720"/>
        <w:rPr>
          <w:rFonts w:ascii="Times New Roman" w:hAnsi="Times New Roman"/>
          <w:bCs/>
          <w:sz w:val="24"/>
          <w:szCs w:val="24"/>
        </w:rPr>
      </w:pPr>
    </w:p>
    <w:p w14:paraId="0FE76A03"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Want to know more about gun parts?  Watch the YouTube video by dissenting Judge Lawrence VanDyke [believe it is first time a federal judge made a video instead of writing an opinion]. </w:t>
      </w:r>
      <w:hyperlink r:id="rId696" w:history="1">
        <w:r w:rsidRPr="005A324A">
          <w:rPr>
            <w:rStyle w:val="Hyperlink"/>
            <w:rFonts w:ascii="Times New Roman" w:hAnsi="Times New Roman"/>
            <w:b/>
            <w:sz w:val="24"/>
            <w:szCs w:val="24"/>
          </w:rPr>
          <w:t>https://www.youtube.com/watch?v=DMC7Ntd4d4c</w:t>
        </w:r>
      </w:hyperlink>
      <w:r w:rsidRPr="005A324A">
        <w:rPr>
          <w:rFonts w:ascii="Times New Roman" w:hAnsi="Times New Roman"/>
          <w:b/>
          <w:sz w:val="24"/>
          <w:szCs w:val="24"/>
        </w:rPr>
        <w:t xml:space="preserve"> .  </w:t>
      </w:r>
      <w:r w:rsidRPr="005A324A">
        <w:rPr>
          <w:rFonts w:ascii="Times New Roman" w:hAnsi="Times New Roman"/>
          <w:sz w:val="24"/>
          <w:szCs w:val="24"/>
        </w:rPr>
        <w:t>The judge on the U.S. Court of Appeals for 9</w:t>
      </w:r>
      <w:r w:rsidRPr="005A324A">
        <w:rPr>
          <w:rFonts w:ascii="Times New Roman" w:hAnsi="Times New Roman"/>
          <w:sz w:val="24"/>
          <w:szCs w:val="24"/>
          <w:vertAlign w:val="superscript"/>
        </w:rPr>
        <w:t>th</w:t>
      </w:r>
      <w:r w:rsidRPr="005A324A">
        <w:rPr>
          <w:rFonts w:ascii="Times New Roman" w:hAnsi="Times New Roman"/>
          <w:sz w:val="24"/>
          <w:szCs w:val="24"/>
        </w:rPr>
        <w:t xml:space="preserve"> Circuit (San Francisco) posted a YouTube video about firearms, dissenting </w:t>
      </w:r>
      <w:proofErr w:type="gramStart"/>
      <w:r w:rsidRPr="005A324A">
        <w:rPr>
          <w:rFonts w:ascii="Times New Roman" w:hAnsi="Times New Roman"/>
          <w:sz w:val="24"/>
          <w:szCs w:val="24"/>
        </w:rPr>
        <w:t>in</w:t>
      </w:r>
      <w:proofErr w:type="gramEnd"/>
      <w:r w:rsidRPr="005A324A">
        <w:rPr>
          <w:rFonts w:ascii="Times New Roman" w:hAnsi="Times New Roman"/>
          <w:sz w:val="24"/>
          <w:szCs w:val="24"/>
        </w:rPr>
        <w:t xml:space="preserve"> March 20, </w:t>
      </w:r>
      <w:proofErr w:type="gramStart"/>
      <w:r w:rsidRPr="005A324A">
        <w:rPr>
          <w:rFonts w:ascii="Times New Roman" w:hAnsi="Times New Roman"/>
          <w:sz w:val="24"/>
          <w:szCs w:val="24"/>
        </w:rPr>
        <w:t>2025</w:t>
      </w:r>
      <w:proofErr w:type="gramEnd"/>
      <w:r w:rsidRPr="005A324A">
        <w:rPr>
          <w:rFonts w:ascii="Times New Roman" w:hAnsi="Times New Roman"/>
          <w:sz w:val="24"/>
          <w:szCs w:val="24"/>
        </w:rPr>
        <w:t xml:space="preserve"> </w:t>
      </w:r>
      <w:proofErr w:type="spellStart"/>
      <w:r w:rsidRPr="005A324A">
        <w:rPr>
          <w:rFonts w:ascii="Times New Roman" w:hAnsi="Times New Roman"/>
          <w:sz w:val="24"/>
          <w:szCs w:val="24"/>
        </w:rPr>
        <w:t>en</w:t>
      </w:r>
      <w:proofErr w:type="spellEnd"/>
      <w:r w:rsidRPr="005A324A">
        <w:rPr>
          <w:rFonts w:ascii="Times New Roman" w:hAnsi="Times New Roman"/>
          <w:sz w:val="24"/>
          <w:szCs w:val="24"/>
        </w:rPr>
        <w:t xml:space="preserve"> banc (all judges on the Circuit) decision in </w:t>
      </w:r>
      <w:r w:rsidRPr="005A324A">
        <w:rPr>
          <w:rFonts w:ascii="Times New Roman" w:hAnsi="Times New Roman"/>
          <w:sz w:val="24"/>
          <w:szCs w:val="24"/>
          <w:u w:val="single"/>
        </w:rPr>
        <w:t>Duncan v. Bonita</w:t>
      </w:r>
      <w:r w:rsidRPr="005A324A">
        <w:rPr>
          <w:rFonts w:ascii="Times New Roman" w:hAnsi="Times New Roman"/>
          <w:sz w:val="24"/>
          <w:szCs w:val="24"/>
        </w:rPr>
        <w:t>, upholding the California law banning the possession of large-capacity magazines comports with the</w:t>
      </w:r>
    </w:p>
    <w:p w14:paraId="3BDAAC3D"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Second Amendment. </w:t>
      </w:r>
      <w:hyperlink r:id="rId697" w:history="1">
        <w:r w:rsidRPr="005A324A">
          <w:rPr>
            <w:rStyle w:val="Hyperlink"/>
            <w:rFonts w:ascii="Times New Roman" w:hAnsi="Times New Roman"/>
            <w:sz w:val="24"/>
            <w:szCs w:val="24"/>
          </w:rPr>
          <w:t>https://cdn.ca9.uscourts.gov/datastore/opinions/2025/03/20/23-55805.pdf</w:t>
        </w:r>
      </w:hyperlink>
      <w:r w:rsidRPr="005A324A">
        <w:rPr>
          <w:rFonts w:ascii="Times New Roman" w:hAnsi="Times New Roman"/>
          <w:sz w:val="24"/>
          <w:szCs w:val="24"/>
        </w:rPr>
        <w:t xml:space="preserve">  </w:t>
      </w:r>
    </w:p>
    <w:p w14:paraId="794583D4" w14:textId="77777777" w:rsidR="00DD3267" w:rsidRDefault="00DD3267" w:rsidP="00F326E5">
      <w:pPr>
        <w:pStyle w:val="NoSpacing"/>
        <w:rPr>
          <w:rFonts w:ascii="Arial Black" w:hAnsi="Arial Black"/>
          <w:sz w:val="28"/>
          <w:szCs w:val="28"/>
        </w:rPr>
      </w:pPr>
    </w:p>
    <w:p w14:paraId="6F39C6B2" w14:textId="77777777" w:rsidR="00FB7D37" w:rsidRDefault="00FB7D37" w:rsidP="00F326E5">
      <w:pPr>
        <w:pStyle w:val="NoSpacing"/>
        <w:rPr>
          <w:rFonts w:ascii="Arial Black" w:hAnsi="Arial Black"/>
          <w:sz w:val="28"/>
          <w:szCs w:val="28"/>
        </w:rPr>
      </w:pPr>
    </w:p>
    <w:p w14:paraId="113CCD50" w14:textId="77777777" w:rsidR="00FB7D37" w:rsidRDefault="00FB7D37" w:rsidP="00F326E5">
      <w:pPr>
        <w:pStyle w:val="NoSpacing"/>
        <w:rPr>
          <w:rFonts w:ascii="Arial Black" w:hAnsi="Arial Black"/>
          <w:sz w:val="28"/>
          <w:szCs w:val="28"/>
        </w:rPr>
      </w:pPr>
    </w:p>
    <w:p w14:paraId="2D65B6A5" w14:textId="16889806" w:rsidR="00F30E91" w:rsidRDefault="00F30E91" w:rsidP="00F326E5">
      <w:pPr>
        <w:pStyle w:val="NoSpacing"/>
        <w:rPr>
          <w:rFonts w:ascii="Arial Black" w:hAnsi="Arial Black"/>
          <w:sz w:val="28"/>
          <w:szCs w:val="28"/>
        </w:rPr>
      </w:pPr>
      <w:r>
        <w:rPr>
          <w:rFonts w:ascii="Arial Black" w:hAnsi="Arial Black"/>
          <w:sz w:val="28"/>
          <w:szCs w:val="28"/>
        </w:rPr>
        <w:t>3-72</w:t>
      </w:r>
    </w:p>
    <w:p w14:paraId="6AAE6BCF" w14:textId="77777777" w:rsidR="00FB7D37" w:rsidRDefault="00FB7D37" w:rsidP="009048F3">
      <w:pPr>
        <w:pStyle w:val="NoSpacing"/>
        <w:rPr>
          <w:rFonts w:ascii="Arial Black" w:hAnsi="Arial Black"/>
          <w:sz w:val="28"/>
          <w:szCs w:val="28"/>
        </w:rPr>
      </w:pPr>
    </w:p>
    <w:p w14:paraId="6F4040D0" w14:textId="5C48A9FE" w:rsidR="009048F3" w:rsidRDefault="009048F3" w:rsidP="009048F3">
      <w:pPr>
        <w:pStyle w:val="NoSpacing"/>
        <w:rPr>
          <w:rFonts w:ascii="Arial Black" w:hAnsi="Arial Black"/>
          <w:bCs/>
          <w:sz w:val="28"/>
          <w:szCs w:val="28"/>
        </w:rPr>
      </w:pPr>
      <w:r>
        <w:rPr>
          <w:rFonts w:ascii="Arial Black" w:hAnsi="Arial Black"/>
          <w:sz w:val="28"/>
          <w:szCs w:val="28"/>
        </w:rPr>
        <w:t xml:space="preserve">NY: GROUND ZERO - $90K CAP NON-ECON DAMAGES </w:t>
      </w:r>
    </w:p>
    <w:p w14:paraId="0F034CBF" w14:textId="77777777" w:rsidR="009048F3" w:rsidRDefault="009048F3" w:rsidP="009048F3">
      <w:pPr>
        <w:pStyle w:val="NoSpacing"/>
        <w:rPr>
          <w:rFonts w:ascii="Arial Black" w:hAnsi="Arial Black"/>
          <w:bCs/>
          <w:sz w:val="28"/>
          <w:szCs w:val="28"/>
        </w:rPr>
      </w:pPr>
    </w:p>
    <w:p w14:paraId="0CA4057F" w14:textId="77777777" w:rsidR="009048F3" w:rsidRPr="00FB7D37" w:rsidRDefault="009048F3" w:rsidP="009048F3">
      <w:pPr>
        <w:pStyle w:val="NoSpacing"/>
        <w:rPr>
          <w:rFonts w:ascii="Times New Roman" w:hAnsi="Times New Roman"/>
          <w:bCs/>
          <w:sz w:val="24"/>
          <w:szCs w:val="24"/>
        </w:rPr>
      </w:pPr>
      <w:r w:rsidRPr="00FB7D37">
        <w:rPr>
          <w:rFonts w:ascii="Times New Roman" w:hAnsi="Times New Roman"/>
          <w:sz w:val="24"/>
          <w:szCs w:val="24"/>
        </w:rPr>
        <w:t>On March 4, 2025</w:t>
      </w:r>
      <w:proofErr w:type="gramStart"/>
      <w:r w:rsidRPr="00FB7D37">
        <w:rPr>
          <w:rFonts w:ascii="Times New Roman" w:hAnsi="Times New Roman"/>
          <w:sz w:val="24"/>
          <w:szCs w:val="24"/>
        </w:rPr>
        <w:t>, in</w:t>
      </w:r>
      <w:proofErr w:type="gramEnd"/>
      <w:r w:rsidRPr="00FB7D37">
        <w:rPr>
          <w:rFonts w:ascii="Times New Roman" w:hAnsi="Times New Roman"/>
          <w:sz w:val="24"/>
          <w:szCs w:val="24"/>
        </w:rPr>
        <w:t xml:space="preserve"> </w:t>
      </w:r>
      <w:r w:rsidRPr="00FB7D37">
        <w:rPr>
          <w:rFonts w:ascii="Times New Roman" w:hAnsi="Times New Roman"/>
          <w:sz w:val="24"/>
          <w:szCs w:val="24"/>
          <w:u w:val="single"/>
        </w:rPr>
        <w:t>Michael White v. The United States</w:t>
      </w:r>
      <w:r w:rsidRPr="00FB7D37">
        <w:rPr>
          <w:rFonts w:ascii="Times New Roman" w:hAnsi="Times New Roman"/>
          <w:sz w:val="24"/>
          <w:szCs w:val="24"/>
        </w:rPr>
        <w:t xml:space="preserve">, Judge Molly R. Silfen, U.S. Court of Federal Claims, held that former Philadelphia firefighter and U.S. Navy submariner, is entitled to uncapped compensation for non-economic damages, such as intangible losses like pain, suffering, emotional distress, and loss of enjoyment of life. He volunteered at Ground Zero site for six days without respiratory protection, developed respiratory issues and now undergoes regular respiratory therapy and has been hospitalized multiple times.  In Jan. 2017, the 911 Special Master ruled that Congress in 2016 amended the initial compensation schedule, and imposed the new $90,000 cap.  Judge Silfen denied the government’s motion to dismiss: (1) lawsuit was timely filed with six years of the denial of his claim, and (2) this is a breach of a “contract” that provided claimants could file under the original compensation schedule. </w:t>
      </w:r>
      <w:hyperlink r:id="rId698" w:history="1">
        <w:r w:rsidRPr="00FB7D37">
          <w:rPr>
            <w:rStyle w:val="Hyperlink"/>
            <w:rFonts w:ascii="Times New Roman" w:hAnsi="Times New Roman"/>
            <w:sz w:val="24"/>
            <w:szCs w:val="24"/>
          </w:rPr>
          <w:t>https://www.govinfo.gov/content/pkg/USCOURTS-cofc-1_23-cv-00383/pdf/USCOURTS-cofc-1_23-cv-00383-0.pdf</w:t>
        </w:r>
      </w:hyperlink>
      <w:r w:rsidRPr="00FB7D37">
        <w:rPr>
          <w:rFonts w:ascii="Times New Roman" w:hAnsi="Times New Roman"/>
          <w:sz w:val="24"/>
          <w:szCs w:val="24"/>
        </w:rPr>
        <w:t xml:space="preserve"> </w:t>
      </w:r>
    </w:p>
    <w:p w14:paraId="0B737EE7" w14:textId="77777777" w:rsidR="009048F3" w:rsidRPr="00FB7D37" w:rsidRDefault="009048F3" w:rsidP="009048F3">
      <w:pPr>
        <w:pStyle w:val="NoSpacing"/>
        <w:rPr>
          <w:rFonts w:ascii="Times New Roman" w:hAnsi="Times New Roman"/>
          <w:bCs/>
          <w:sz w:val="24"/>
          <w:szCs w:val="24"/>
        </w:rPr>
      </w:pPr>
    </w:p>
    <w:p w14:paraId="2EF8116B" w14:textId="77777777" w:rsidR="00555E2A" w:rsidRPr="00555E2A" w:rsidRDefault="00555E2A" w:rsidP="00555E2A">
      <w:pPr>
        <w:pStyle w:val="NoSpacing"/>
        <w:rPr>
          <w:rFonts w:ascii="Times New Roman" w:hAnsi="Times New Roman"/>
          <w:b/>
          <w:sz w:val="24"/>
          <w:szCs w:val="24"/>
        </w:rPr>
      </w:pPr>
      <w:r w:rsidRPr="00555E2A">
        <w:rPr>
          <w:rFonts w:ascii="Times New Roman" w:hAnsi="Times New Roman"/>
          <w:b/>
          <w:sz w:val="24"/>
          <w:szCs w:val="24"/>
        </w:rPr>
        <w:t>Legal Lesson Learned: The government breached the contract; firefighter entitled to uncapped non-economic damages.</w:t>
      </w:r>
    </w:p>
    <w:p w14:paraId="7DC10A3D" w14:textId="77777777" w:rsidR="00555E2A" w:rsidRPr="00555E2A" w:rsidRDefault="00555E2A" w:rsidP="00555E2A">
      <w:pPr>
        <w:rPr>
          <w:rFonts w:ascii="Times New Roman" w:hAnsi="Times New Roman"/>
          <w:sz w:val="24"/>
          <w:szCs w:val="24"/>
        </w:rPr>
      </w:pPr>
    </w:p>
    <w:p w14:paraId="68A20F43" w14:textId="77777777" w:rsidR="00FB7D37" w:rsidRPr="00FB7D37" w:rsidRDefault="00FB7D37" w:rsidP="00FB7D37">
      <w:pPr>
        <w:rPr>
          <w:rFonts w:ascii="Times New Roman" w:hAnsi="Times New Roman"/>
          <w:sz w:val="24"/>
          <w:szCs w:val="24"/>
        </w:rPr>
      </w:pPr>
    </w:p>
    <w:p w14:paraId="1FD9528A" w14:textId="77777777" w:rsidR="009048F3" w:rsidRPr="00FB7D37" w:rsidRDefault="009048F3" w:rsidP="00F326E5">
      <w:pPr>
        <w:pStyle w:val="NoSpacing"/>
        <w:rPr>
          <w:rFonts w:ascii="Times New Roman" w:hAnsi="Times New Roman"/>
          <w:sz w:val="24"/>
          <w:szCs w:val="24"/>
        </w:rPr>
      </w:pPr>
    </w:p>
    <w:p w14:paraId="10A6A54C" w14:textId="77777777" w:rsidR="00F30E91" w:rsidRDefault="00F30E91" w:rsidP="00F326E5">
      <w:pPr>
        <w:pStyle w:val="NoSpacing"/>
        <w:rPr>
          <w:rFonts w:ascii="Arial Black" w:hAnsi="Arial Black"/>
          <w:sz w:val="28"/>
          <w:szCs w:val="28"/>
        </w:rPr>
      </w:pPr>
    </w:p>
    <w:p w14:paraId="3F471E9C" w14:textId="77777777" w:rsidR="00F30E91" w:rsidRDefault="00F30E91" w:rsidP="00F326E5">
      <w:pPr>
        <w:pStyle w:val="NoSpacing"/>
        <w:rPr>
          <w:rFonts w:ascii="Arial Black" w:hAnsi="Arial Black"/>
          <w:sz w:val="28"/>
          <w:szCs w:val="28"/>
        </w:rPr>
      </w:pPr>
    </w:p>
    <w:p w14:paraId="18536455" w14:textId="64201EB6" w:rsidR="00CD461F" w:rsidRDefault="00CD461F" w:rsidP="00F326E5">
      <w:pPr>
        <w:pStyle w:val="NoSpacing"/>
        <w:rPr>
          <w:rFonts w:ascii="Arial Black" w:hAnsi="Arial Black"/>
          <w:sz w:val="28"/>
          <w:szCs w:val="28"/>
        </w:rPr>
      </w:pPr>
      <w:r>
        <w:rPr>
          <w:rFonts w:ascii="Arial Black" w:hAnsi="Arial Black"/>
          <w:sz w:val="28"/>
          <w:szCs w:val="28"/>
        </w:rPr>
        <w:t>3-71</w:t>
      </w:r>
    </w:p>
    <w:p w14:paraId="5989895F" w14:textId="77777777" w:rsidR="00CD461F" w:rsidRDefault="00CD461F" w:rsidP="00F326E5">
      <w:pPr>
        <w:pStyle w:val="NoSpacing"/>
        <w:rPr>
          <w:rFonts w:ascii="Arial Black" w:hAnsi="Arial Black"/>
          <w:sz w:val="28"/>
          <w:szCs w:val="28"/>
        </w:rPr>
      </w:pPr>
    </w:p>
    <w:p w14:paraId="0CB8B884" w14:textId="77777777" w:rsidR="00CD461F" w:rsidRPr="00C562E1" w:rsidRDefault="00CD461F" w:rsidP="00CD461F">
      <w:pPr>
        <w:pStyle w:val="NoSpacing"/>
        <w:rPr>
          <w:rFonts w:ascii="Arial Black" w:hAnsi="Arial Black"/>
          <w:sz w:val="28"/>
          <w:szCs w:val="28"/>
        </w:rPr>
      </w:pPr>
      <w:r w:rsidRPr="00C562E1">
        <w:rPr>
          <w:rFonts w:ascii="Arial Black" w:hAnsi="Arial Black"/>
          <w:sz w:val="28"/>
          <w:szCs w:val="28"/>
        </w:rPr>
        <w:t xml:space="preserve">DC: </w:t>
      </w:r>
      <w:r>
        <w:rPr>
          <w:rFonts w:ascii="Arial Black" w:hAnsi="Arial Black"/>
          <w:sz w:val="28"/>
          <w:szCs w:val="28"/>
        </w:rPr>
        <w:t xml:space="preserve">CAPITAL – POLICE INJURED </w:t>
      </w:r>
      <w:r w:rsidRPr="00C562E1">
        <w:rPr>
          <w:rFonts w:ascii="Arial Black" w:hAnsi="Arial Black"/>
          <w:sz w:val="28"/>
          <w:szCs w:val="28"/>
        </w:rPr>
        <w:t xml:space="preserve">PEPPER </w:t>
      </w:r>
      <w:r>
        <w:rPr>
          <w:rFonts w:ascii="Arial Black" w:hAnsi="Arial Black"/>
          <w:sz w:val="28"/>
          <w:szCs w:val="28"/>
        </w:rPr>
        <w:t>SPRAY - PARDONS</w:t>
      </w:r>
    </w:p>
    <w:p w14:paraId="258B4AAA" w14:textId="77777777" w:rsidR="00CD461F" w:rsidRPr="00C562E1" w:rsidRDefault="00CD461F" w:rsidP="00CD461F">
      <w:pPr>
        <w:pStyle w:val="NoSpacing"/>
      </w:pPr>
    </w:p>
    <w:p w14:paraId="6BBC23C3" w14:textId="77777777" w:rsidR="00CD461F" w:rsidRPr="00CD461F" w:rsidRDefault="00CD461F" w:rsidP="00CD461F">
      <w:pPr>
        <w:pStyle w:val="NoSpacing"/>
        <w:rPr>
          <w:rFonts w:ascii="Times New Roman" w:hAnsi="Times New Roman"/>
          <w:sz w:val="24"/>
          <w:szCs w:val="24"/>
        </w:rPr>
      </w:pPr>
      <w:r w:rsidRPr="00CD461F">
        <w:rPr>
          <w:rFonts w:ascii="Times New Roman" w:hAnsi="Times New Roman"/>
          <w:sz w:val="24"/>
          <w:szCs w:val="24"/>
        </w:rPr>
        <w:t xml:space="preserve">On Jan. 17, 2024, in </w:t>
      </w:r>
      <w:r w:rsidRPr="00CD461F">
        <w:rPr>
          <w:rFonts w:ascii="Times New Roman" w:hAnsi="Times New Roman"/>
          <w:sz w:val="24"/>
          <w:szCs w:val="24"/>
          <w:u w:val="single"/>
        </w:rPr>
        <w:t>United States of America v. Jeffrey Scott Brown</w:t>
      </w:r>
      <w:r w:rsidRPr="00CD461F">
        <w:rPr>
          <w:rFonts w:ascii="Times New Roman" w:hAnsi="Times New Roman"/>
          <w:sz w:val="24"/>
          <w:szCs w:val="24"/>
        </w:rPr>
        <w:t xml:space="preserve">,  the U.S. Court of Appeals for the D.C. Circuit (3 to 0) upheld the conviction of Brown (and two others) for violation of federal law – use of a “dangerous or deadly weapon” - by spraying police officers with pepper spray during the attack on the U.S. Capitol on Jan. 6, 2021.  Brown was sentenced to 54 months in prison [now pardoned by President Trump].  </w:t>
      </w:r>
      <w:hyperlink r:id="rId699" w:history="1">
        <w:r w:rsidRPr="00CD461F">
          <w:rPr>
            <w:rStyle w:val="Hyperlink"/>
            <w:rFonts w:ascii="Times New Roman" w:hAnsi="Times New Roman"/>
            <w:sz w:val="24"/>
            <w:szCs w:val="24"/>
          </w:rPr>
          <w:t>https://media.cadc.uscourts.gov/opinions/docs/2025/01/23-3074-2094718.pdf</w:t>
        </w:r>
      </w:hyperlink>
      <w:r w:rsidRPr="00CD461F">
        <w:rPr>
          <w:rFonts w:ascii="Times New Roman" w:hAnsi="Times New Roman"/>
          <w:sz w:val="24"/>
          <w:szCs w:val="24"/>
        </w:rPr>
        <w:t xml:space="preserve">  </w:t>
      </w:r>
    </w:p>
    <w:p w14:paraId="2BB4DF09" w14:textId="77777777" w:rsidR="00CD461F" w:rsidRPr="00CD461F" w:rsidRDefault="00CD461F" w:rsidP="00CD461F">
      <w:pPr>
        <w:pStyle w:val="NoSpacing"/>
        <w:rPr>
          <w:rFonts w:ascii="Times New Roman" w:hAnsi="Times New Roman"/>
          <w:sz w:val="24"/>
          <w:szCs w:val="24"/>
        </w:rPr>
      </w:pPr>
    </w:p>
    <w:p w14:paraId="54DD2506" w14:textId="77777777" w:rsidR="00CD461F" w:rsidRPr="00CD461F" w:rsidRDefault="00CD461F" w:rsidP="00CD461F">
      <w:pPr>
        <w:pStyle w:val="NoSpacing"/>
        <w:rPr>
          <w:rFonts w:ascii="Times New Roman" w:hAnsi="Times New Roman"/>
          <w:sz w:val="24"/>
          <w:szCs w:val="24"/>
        </w:rPr>
      </w:pPr>
      <w:r w:rsidRPr="00CD461F">
        <w:rPr>
          <w:rFonts w:ascii="Times New Roman" w:hAnsi="Times New Roman"/>
          <w:sz w:val="24"/>
          <w:szCs w:val="24"/>
        </w:rPr>
        <w:t>The Court held:</w:t>
      </w:r>
    </w:p>
    <w:p w14:paraId="42E23F55" w14:textId="77777777" w:rsidR="00CD461F" w:rsidRPr="00CD461F" w:rsidRDefault="00CD461F" w:rsidP="00CD461F">
      <w:pPr>
        <w:pStyle w:val="NoSpacing"/>
        <w:rPr>
          <w:rFonts w:ascii="Times New Roman" w:hAnsi="Times New Roman"/>
          <w:sz w:val="24"/>
          <w:szCs w:val="24"/>
        </w:rPr>
      </w:pPr>
    </w:p>
    <w:p w14:paraId="7CA465C9"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“Given the record in this case, sufficient evidence supported the jury’s finding that Schwartz, Brown, and Maly each used pepper spray as a deadly or dangerous weapon, and that Schwartz also used a chair as a deadly or dangerous weapon.</w:t>
      </w:r>
    </w:p>
    <w:p w14:paraId="49E1BBEA" w14:textId="77777777" w:rsidR="00CD461F" w:rsidRPr="00CD461F" w:rsidRDefault="00CD461F" w:rsidP="00CD461F">
      <w:pPr>
        <w:pStyle w:val="NoSpacing"/>
        <w:rPr>
          <w:rFonts w:ascii="Times New Roman" w:hAnsi="Times New Roman"/>
          <w:sz w:val="24"/>
          <w:szCs w:val="24"/>
        </w:rPr>
      </w:pPr>
    </w:p>
    <w:p w14:paraId="73F2EF6C" w14:textId="77777777" w:rsidR="00CD461F" w:rsidRPr="00CD461F" w:rsidRDefault="00CD461F" w:rsidP="00CD461F">
      <w:pPr>
        <w:pStyle w:val="NoSpacing"/>
        <w:ind w:firstLine="720"/>
        <w:rPr>
          <w:rFonts w:ascii="Times New Roman" w:hAnsi="Times New Roman"/>
          <w:sz w:val="24"/>
          <w:szCs w:val="24"/>
        </w:rPr>
      </w:pPr>
      <w:r w:rsidRPr="00CD461F">
        <w:rPr>
          <w:rFonts w:ascii="Times New Roman" w:hAnsi="Times New Roman"/>
          <w:sz w:val="24"/>
          <w:szCs w:val="24"/>
        </w:rPr>
        <w:t>***</w:t>
      </w:r>
    </w:p>
    <w:p w14:paraId="49D80642"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 xml:space="preserve">Officers testified that they felt such intense pain when sprayed on January 6th. For example, Officer Christopher Boyle stated that he felt a ‘9 or 10 out of 10’ level of pain when he was pepper sprayed on the Lower West Terrace…. Sergeant Jason Mastony testified that chemical irritants absorbed through his uniform so his ‘legs and [his] arms [we]re on fire.’ …The effects of the chemical irritants, including ‘burning’ ‘skin irritation[,]’ lingered for about a week, and he felt </w:t>
      </w:r>
      <w:proofErr w:type="gramStart"/>
      <w:r w:rsidRPr="00CD461F">
        <w:rPr>
          <w:rFonts w:ascii="Times New Roman" w:hAnsi="Times New Roman"/>
          <w:sz w:val="24"/>
          <w:szCs w:val="24"/>
        </w:rPr>
        <w:t>particular pain</w:t>
      </w:r>
      <w:proofErr w:type="gramEnd"/>
      <w:r w:rsidRPr="00CD461F">
        <w:rPr>
          <w:rFonts w:ascii="Times New Roman" w:hAnsi="Times New Roman"/>
          <w:sz w:val="24"/>
          <w:szCs w:val="24"/>
        </w:rPr>
        <w:t xml:space="preserve"> when he showered or tried to change his contact lenses…. That is because pepper spray is water-based and ‘reactivates with water.’ …  Officer David Pitt testified that he had ‘severe burning for the following three days in [his] hands’ and ‘in various places’ from ‘when [he] was sprayed with various sprays in the tunnel.’  … Finally, Sergeant </w:t>
      </w:r>
      <w:proofErr w:type="spellStart"/>
      <w:r w:rsidRPr="00CD461F">
        <w:rPr>
          <w:rFonts w:ascii="Times New Roman" w:hAnsi="Times New Roman"/>
          <w:sz w:val="24"/>
          <w:szCs w:val="24"/>
        </w:rPr>
        <w:t>Phuson</w:t>
      </w:r>
      <w:proofErr w:type="spellEnd"/>
      <w:r w:rsidRPr="00CD461F">
        <w:rPr>
          <w:rFonts w:ascii="Times New Roman" w:hAnsi="Times New Roman"/>
          <w:sz w:val="24"/>
          <w:szCs w:val="24"/>
        </w:rPr>
        <w:t xml:space="preserve"> Nguyen described that, when he showered the night of the 6th, ‘the chemical[s] [from the spray] soak[ed] through [his] pore[s] and it start[ed] burning, and basically [his] whole body</w:t>
      </w:r>
    </w:p>
    <w:p w14:paraId="7F74EDE9"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was burning.’ … That evidence provided a sufficient basis for a rational jury to find that the pepper spray Schwartz, Brown, and Maly used was capable of causing extreme pain, especially given the officers’ testimony that they felt a ‘9 or 10 out of 10’ on a pain scale and that their limbs were ‘on fire’ and ‘burning.’ Considering the intensely factual nature of an inquiry into the extent of pain caused by violent conduct, the evidence in this case, and the credibility judgments involved, there is no basis for this court to overturn the jury’s verdict by finding as a matter of law that the evidence came up short.”</w:t>
      </w:r>
    </w:p>
    <w:p w14:paraId="43D7FEFA" w14:textId="77777777" w:rsidR="00CD461F" w:rsidRPr="00CD461F" w:rsidRDefault="00CD461F" w:rsidP="00CD461F">
      <w:pPr>
        <w:pStyle w:val="NoSpacing"/>
        <w:rPr>
          <w:rFonts w:ascii="Times New Roman" w:hAnsi="Times New Roman"/>
          <w:sz w:val="24"/>
          <w:szCs w:val="24"/>
        </w:rPr>
      </w:pPr>
    </w:p>
    <w:p w14:paraId="505D960F" w14:textId="77777777" w:rsidR="00CD461F" w:rsidRPr="00CD461F" w:rsidRDefault="00CD461F" w:rsidP="00CD461F">
      <w:pPr>
        <w:pStyle w:val="NoSpacing"/>
        <w:rPr>
          <w:rFonts w:ascii="Times New Roman" w:hAnsi="Times New Roman"/>
          <w:b/>
          <w:bCs/>
          <w:sz w:val="24"/>
          <w:szCs w:val="24"/>
        </w:rPr>
      </w:pPr>
      <w:r w:rsidRPr="00CD461F">
        <w:rPr>
          <w:rFonts w:ascii="Times New Roman" w:hAnsi="Times New Roman"/>
          <w:b/>
          <w:sz w:val="24"/>
          <w:szCs w:val="24"/>
        </w:rPr>
        <w:t>Legal Lesson Learned:  Fire &amp; EMS should review their protocol on treating patients who have been pepper sprayed, remembering that it “reactivates with water.”</w:t>
      </w:r>
    </w:p>
    <w:p w14:paraId="3152A41A" w14:textId="77777777" w:rsidR="00CD461F" w:rsidRPr="00CD461F" w:rsidRDefault="00CD461F" w:rsidP="00CD461F">
      <w:pPr>
        <w:pStyle w:val="NoSpacing"/>
        <w:rPr>
          <w:rFonts w:ascii="Times New Roman" w:hAnsi="Times New Roman"/>
          <w:sz w:val="24"/>
          <w:szCs w:val="24"/>
        </w:rPr>
      </w:pPr>
    </w:p>
    <w:p w14:paraId="4A6E4D71"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 xml:space="preserve">Note:  See article on this case. “DC Circuit side-eyes Capitol rioter’s argument that pepper spray is not a dangerous weapon.” </w:t>
      </w:r>
    </w:p>
    <w:p w14:paraId="08930F25" w14:textId="5E84AAF5" w:rsidR="00CD461F" w:rsidRPr="00CD461F" w:rsidRDefault="00AB3819" w:rsidP="00CD461F">
      <w:pPr>
        <w:pStyle w:val="NoSpacing"/>
        <w:ind w:left="720"/>
        <w:rPr>
          <w:rFonts w:ascii="Times New Roman" w:hAnsi="Times New Roman"/>
          <w:sz w:val="24"/>
          <w:szCs w:val="24"/>
        </w:rPr>
      </w:pPr>
      <w:hyperlink r:id="rId700" w:history="1">
        <w:r w:rsidRPr="009B5658">
          <w:rPr>
            <w:rStyle w:val="Hyperlink"/>
            <w:rFonts w:ascii="Times New Roman" w:hAnsi="Times New Roman"/>
            <w:sz w:val="24"/>
            <w:szCs w:val="24"/>
          </w:rPr>
          <w:t>https://www.courthousenews.com/dc-circuit-side-eyes-capitol-rioters-argument-that-pepper-spray-is-not-a-dangerous-weapon/</w:t>
        </w:r>
      </w:hyperlink>
    </w:p>
    <w:p w14:paraId="04B7F585" w14:textId="77777777" w:rsidR="00CD461F" w:rsidRPr="00CD461F" w:rsidRDefault="00CD461F" w:rsidP="00F326E5">
      <w:pPr>
        <w:pStyle w:val="NoSpacing"/>
        <w:rPr>
          <w:rFonts w:ascii="Times New Roman" w:hAnsi="Times New Roman"/>
          <w:sz w:val="24"/>
          <w:szCs w:val="24"/>
        </w:rPr>
      </w:pPr>
    </w:p>
    <w:p w14:paraId="1FD139AD" w14:textId="77777777" w:rsidR="00CD461F" w:rsidRDefault="00CD461F" w:rsidP="00F326E5">
      <w:pPr>
        <w:pStyle w:val="NoSpacing"/>
        <w:rPr>
          <w:rFonts w:ascii="Arial Black" w:hAnsi="Arial Black"/>
          <w:sz w:val="28"/>
          <w:szCs w:val="28"/>
        </w:rPr>
      </w:pPr>
    </w:p>
    <w:p w14:paraId="3F459932" w14:textId="2052B407" w:rsidR="00FE0B61" w:rsidRDefault="00FE0B61" w:rsidP="00F326E5">
      <w:pPr>
        <w:pStyle w:val="NoSpacing"/>
        <w:rPr>
          <w:rFonts w:ascii="Arial Black" w:hAnsi="Arial Black"/>
          <w:sz w:val="28"/>
          <w:szCs w:val="28"/>
        </w:rPr>
      </w:pPr>
      <w:r>
        <w:rPr>
          <w:rFonts w:ascii="Arial Black" w:hAnsi="Arial Black"/>
          <w:sz w:val="28"/>
          <w:szCs w:val="28"/>
        </w:rPr>
        <w:t>3-70</w:t>
      </w:r>
    </w:p>
    <w:p w14:paraId="32D83997" w14:textId="77777777" w:rsidR="004433DA" w:rsidRDefault="004433DA" w:rsidP="00BD564D">
      <w:pPr>
        <w:pStyle w:val="NoSpacing"/>
        <w:rPr>
          <w:rFonts w:ascii="Arial Black" w:hAnsi="Arial Black"/>
          <w:sz w:val="28"/>
          <w:szCs w:val="28"/>
        </w:rPr>
      </w:pPr>
    </w:p>
    <w:p w14:paraId="404379A6" w14:textId="778B375F" w:rsidR="00BD564D" w:rsidRPr="00C90077" w:rsidRDefault="00BD564D" w:rsidP="00BD564D">
      <w:pPr>
        <w:pStyle w:val="NoSpacing"/>
        <w:rPr>
          <w:rFonts w:ascii="Arial Black" w:hAnsi="Arial Black"/>
          <w:sz w:val="28"/>
          <w:szCs w:val="28"/>
        </w:rPr>
      </w:pPr>
      <w:r>
        <w:rPr>
          <w:rFonts w:ascii="Arial Black" w:hAnsi="Arial Black"/>
          <w:sz w:val="28"/>
          <w:szCs w:val="28"/>
        </w:rPr>
        <w:t>CA:  STARTED FIRES</w:t>
      </w:r>
      <w:r w:rsidR="004433DA">
        <w:rPr>
          <w:rFonts w:ascii="Arial Black" w:hAnsi="Arial Black"/>
          <w:sz w:val="28"/>
          <w:szCs w:val="28"/>
        </w:rPr>
        <w:t xml:space="preserve"> – CA </w:t>
      </w:r>
      <w:r>
        <w:rPr>
          <w:rFonts w:ascii="Arial Black" w:hAnsi="Arial Black"/>
          <w:sz w:val="28"/>
          <w:szCs w:val="28"/>
        </w:rPr>
        <w:t xml:space="preserve">EMERGENCY </w:t>
      </w:r>
      <w:r w:rsidR="00C32C23">
        <w:rPr>
          <w:rFonts w:ascii="Arial Black" w:hAnsi="Arial Black"/>
          <w:sz w:val="28"/>
          <w:szCs w:val="28"/>
        </w:rPr>
        <w:t>– 200 BLDG</w:t>
      </w:r>
      <w:r w:rsidR="004433DA">
        <w:rPr>
          <w:rFonts w:ascii="Arial Black" w:hAnsi="Arial Black"/>
          <w:sz w:val="28"/>
          <w:szCs w:val="28"/>
        </w:rPr>
        <w:t>S</w:t>
      </w:r>
    </w:p>
    <w:p w14:paraId="779EB6B5" w14:textId="77777777" w:rsidR="00BD564D" w:rsidRDefault="00BD564D" w:rsidP="00BD564D">
      <w:pPr>
        <w:pStyle w:val="NoSpacing"/>
      </w:pPr>
    </w:p>
    <w:p w14:paraId="7E519E77" w14:textId="77777777" w:rsidR="00A25359" w:rsidRPr="00A25359" w:rsidRDefault="00A25359" w:rsidP="00A25359">
      <w:pPr>
        <w:rPr>
          <w:rFonts w:ascii="Times New Roman" w:hAnsi="Times New Roman"/>
          <w:sz w:val="24"/>
          <w:szCs w:val="24"/>
        </w:rPr>
      </w:pPr>
      <w:r w:rsidRPr="00A25359">
        <w:rPr>
          <w:rFonts w:ascii="Times New Roman" w:hAnsi="Times New Roman"/>
          <w:sz w:val="24"/>
          <w:szCs w:val="24"/>
        </w:rPr>
        <w:t xml:space="preserve">On Dec. 9, 2024, in </w:t>
      </w:r>
      <w:r w:rsidRPr="00A25359">
        <w:rPr>
          <w:rFonts w:ascii="Times New Roman" w:hAnsi="Times New Roman"/>
          <w:sz w:val="24"/>
          <w:szCs w:val="24"/>
          <w:u w:val="single"/>
        </w:rPr>
        <w:t xml:space="preserve">Alexandria A. </w:t>
      </w:r>
      <w:proofErr w:type="spellStart"/>
      <w:r w:rsidRPr="00A25359">
        <w:rPr>
          <w:rFonts w:ascii="Times New Roman" w:hAnsi="Times New Roman"/>
          <w:sz w:val="24"/>
          <w:szCs w:val="24"/>
          <w:u w:val="single"/>
        </w:rPr>
        <w:t>Souverneva</w:t>
      </w:r>
      <w:proofErr w:type="spellEnd"/>
      <w:r w:rsidRPr="00A25359">
        <w:rPr>
          <w:rFonts w:ascii="Times New Roman" w:hAnsi="Times New Roman"/>
          <w:sz w:val="24"/>
          <w:szCs w:val="24"/>
          <w:u w:val="single"/>
        </w:rPr>
        <w:t xml:space="preserve"> v. The Superior Court of California</w:t>
      </w:r>
      <w:r w:rsidRPr="00A25359">
        <w:rPr>
          <w:rFonts w:ascii="Times New Roman" w:hAnsi="Times New Roman"/>
          <w:sz w:val="24"/>
          <w:szCs w:val="24"/>
        </w:rPr>
        <w:t xml:space="preserve">, the California Court of Appeals, Third Circuit, Shasta, held (3 to 0; unpublished decision) that the trial court, upon being informed she was competent to stand trial, revoked her bond (after two years being out on bond) given risk of further fires.  She started six fires in rural area on September 22, 2021, burning 200 structures and nearly 9,000 acres; she told a CAL FIRE Captain that she had bombs – they were actually  CO2 cartridges. The Court of Appeals reviewed her history of drug abuse and mental </w:t>
      </w:r>
      <w:proofErr w:type="gramStart"/>
      <w:r w:rsidRPr="00A25359">
        <w:rPr>
          <w:rFonts w:ascii="Times New Roman" w:hAnsi="Times New Roman"/>
          <w:sz w:val="24"/>
          <w:szCs w:val="24"/>
        </w:rPr>
        <w:t>illness, and</w:t>
      </w:r>
      <w:proofErr w:type="gramEnd"/>
      <w:r w:rsidRPr="00A25359">
        <w:rPr>
          <w:rFonts w:ascii="Times New Roman" w:hAnsi="Times New Roman"/>
          <w:sz w:val="24"/>
          <w:szCs w:val="24"/>
        </w:rPr>
        <w:t xml:space="preserve"> upheld the trial court. </w:t>
      </w:r>
      <w:hyperlink r:id="rId701" w:history="1">
        <w:r w:rsidRPr="00A25359">
          <w:rPr>
            <w:rStyle w:val="Hyperlink"/>
            <w:rFonts w:ascii="Times New Roman" w:hAnsi="Times New Roman"/>
            <w:sz w:val="24"/>
            <w:szCs w:val="24"/>
          </w:rPr>
          <w:t>https://casetext.com/case/souverneva-v-the-superior-court</w:t>
        </w:r>
      </w:hyperlink>
    </w:p>
    <w:p w14:paraId="1ED4430E" w14:textId="693396B5" w:rsidR="00BD564D" w:rsidRDefault="00BD564D" w:rsidP="00BD564D">
      <w:pPr>
        <w:pStyle w:val="NoSpacing"/>
        <w:rPr>
          <w:rFonts w:ascii="Times New Roman" w:hAnsi="Times New Roman"/>
          <w:sz w:val="24"/>
          <w:szCs w:val="24"/>
        </w:rPr>
      </w:pPr>
      <w:r w:rsidRPr="00BD564D">
        <w:rPr>
          <w:rFonts w:ascii="Times New Roman" w:hAnsi="Times New Roman"/>
          <w:sz w:val="24"/>
          <w:szCs w:val="24"/>
        </w:rPr>
        <w:t>The Court wrote:</w:t>
      </w:r>
    </w:p>
    <w:p w14:paraId="432E87E7" w14:textId="77777777" w:rsidR="007E2EC4" w:rsidRDefault="007E2EC4" w:rsidP="00BD564D">
      <w:pPr>
        <w:pStyle w:val="NoSpacing"/>
        <w:rPr>
          <w:rFonts w:ascii="Times New Roman" w:hAnsi="Times New Roman"/>
          <w:sz w:val="24"/>
          <w:szCs w:val="24"/>
        </w:rPr>
      </w:pPr>
    </w:p>
    <w:p w14:paraId="10A1E5B8" w14:textId="447699E1" w:rsidR="007E2EC4" w:rsidRPr="007E2EC4" w:rsidRDefault="007E2EC4" w:rsidP="007E2EC4">
      <w:pPr>
        <w:pStyle w:val="NoSpacing"/>
        <w:ind w:left="720"/>
        <w:rPr>
          <w:rFonts w:ascii="Times New Roman" w:hAnsi="Times New Roman"/>
          <w:sz w:val="24"/>
          <w:szCs w:val="24"/>
        </w:rPr>
      </w:pPr>
      <w:r w:rsidRPr="007E2EC4">
        <w:rPr>
          <w:rFonts w:ascii="Times New Roman" w:hAnsi="Times New Roman"/>
          <w:sz w:val="24"/>
          <w:szCs w:val="24"/>
        </w:rPr>
        <w:t>“</w:t>
      </w:r>
      <w:proofErr w:type="spellStart"/>
      <w:r w:rsidRPr="007E2EC4">
        <w:rPr>
          <w:rFonts w:ascii="Times New Roman" w:hAnsi="Times New Roman"/>
          <w:sz w:val="24"/>
          <w:szCs w:val="24"/>
        </w:rPr>
        <w:t>Souverneva</w:t>
      </w:r>
      <w:proofErr w:type="spellEnd"/>
      <w:r w:rsidRPr="007E2EC4">
        <w:rPr>
          <w:rFonts w:ascii="Times New Roman" w:hAnsi="Times New Roman"/>
          <w:sz w:val="24"/>
          <w:szCs w:val="24"/>
        </w:rPr>
        <w:t xml:space="preserve"> was charged with arson of forest land, and it was alleged the arson was committed during a state of emergency…. The record indicates that at the time of the hearing, </w:t>
      </w:r>
      <w:proofErr w:type="spellStart"/>
      <w:r w:rsidRPr="007E2EC4">
        <w:rPr>
          <w:rFonts w:ascii="Times New Roman" w:hAnsi="Times New Roman"/>
          <w:sz w:val="24"/>
          <w:szCs w:val="24"/>
        </w:rPr>
        <w:t>Souverneva</w:t>
      </w:r>
      <w:proofErr w:type="spellEnd"/>
      <w:r w:rsidRPr="007E2EC4">
        <w:rPr>
          <w:rFonts w:ascii="Times New Roman" w:hAnsi="Times New Roman"/>
          <w:sz w:val="24"/>
          <w:szCs w:val="24"/>
        </w:rPr>
        <w:t xml:space="preserve"> had been out of custody on bond for over two years, apparently without incident, and had sought treatment for her bipolar disorder. Nevertheless, substantial evidence supports the trial court's finding of an unreasonable risk to public </w:t>
      </w:r>
      <w:proofErr w:type="gramStart"/>
      <w:r w:rsidRPr="007E2EC4">
        <w:rPr>
          <w:rFonts w:ascii="Times New Roman" w:hAnsi="Times New Roman"/>
          <w:sz w:val="24"/>
          <w:szCs w:val="24"/>
        </w:rPr>
        <w:t>safety.”</w:t>
      </w:r>
      <w:proofErr w:type="gramEnd"/>
      <w:r w:rsidRPr="007E2EC4">
        <w:rPr>
          <w:rFonts w:ascii="Times New Roman" w:hAnsi="Times New Roman"/>
          <w:sz w:val="24"/>
          <w:szCs w:val="24"/>
        </w:rPr>
        <w:t xml:space="preserve">  </w:t>
      </w:r>
      <w:hyperlink r:id="rId702" w:history="1">
        <w:r w:rsidRPr="007E2EC4">
          <w:rPr>
            <w:rStyle w:val="Hyperlink"/>
            <w:rFonts w:ascii="Times New Roman" w:hAnsi="Times New Roman"/>
            <w:sz w:val="24"/>
            <w:szCs w:val="24"/>
          </w:rPr>
          <w:t>t</w:t>
        </w:r>
      </w:hyperlink>
      <w:r w:rsidRPr="007E2EC4">
        <w:rPr>
          <w:rFonts w:ascii="Times New Roman" w:hAnsi="Times New Roman"/>
          <w:sz w:val="24"/>
          <w:szCs w:val="24"/>
        </w:rPr>
        <w:t xml:space="preserve"> </w:t>
      </w:r>
    </w:p>
    <w:p w14:paraId="58D22352" w14:textId="77777777" w:rsidR="007E2EC4" w:rsidRPr="00BD564D" w:rsidRDefault="007E2EC4" w:rsidP="00BD564D">
      <w:pPr>
        <w:pStyle w:val="NoSpacing"/>
        <w:rPr>
          <w:rFonts w:ascii="Times New Roman" w:hAnsi="Times New Roman"/>
          <w:sz w:val="24"/>
          <w:szCs w:val="24"/>
        </w:rPr>
      </w:pPr>
    </w:p>
    <w:p w14:paraId="1AB254E3" w14:textId="77777777" w:rsidR="00C32C23" w:rsidRDefault="00C32C23" w:rsidP="00C32C23">
      <w:pPr>
        <w:pStyle w:val="NoSpacing"/>
      </w:pPr>
      <w:r>
        <w:t>HOLDING:</w:t>
      </w:r>
    </w:p>
    <w:p w14:paraId="466F4947" w14:textId="77777777" w:rsidR="00C32C23" w:rsidRDefault="00C32C23" w:rsidP="00C32C23">
      <w:pPr>
        <w:pStyle w:val="NoSpacing"/>
      </w:pPr>
    </w:p>
    <w:p w14:paraId="365B0734"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“A trial court may consider the defendant's treatment plan and criminal history in assessing the defendant's suitability for pretrial diversion. (</w:t>
      </w:r>
      <w:hyperlink r:id="rId703" w:history="1">
        <w:r w:rsidRPr="00C32C23">
          <w:rPr>
            <w:rStyle w:val="Hyperlink"/>
            <w:rFonts w:ascii="Times New Roman" w:hAnsi="Times New Roman"/>
            <w:sz w:val="24"/>
            <w:szCs w:val="24"/>
          </w:rPr>
          <w:t>§ 1001.36, subd. (c)(4)</w:t>
        </w:r>
      </w:hyperlink>
      <w:r w:rsidRPr="00C32C23">
        <w:rPr>
          <w:rFonts w:ascii="Times New Roman" w:hAnsi="Times New Roman"/>
          <w:sz w:val="24"/>
          <w:szCs w:val="24"/>
        </w:rPr>
        <w:t xml:space="preserve">.) Here,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treatment plan did not address her alcohol, cannabis, and hallucinogen use disorders.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started drinking alcohol and smoking marijuana as a teenager. She drank alcohol excessively by age 18, drinking less while in college, but drinking heavily after her psychiatric hospitalization in 2015 and until 2018. She smoked marijuana daily during graduate school and when she was part of a </w:t>
      </w:r>
      <w:proofErr w:type="gramStart"/>
      <w:r w:rsidRPr="00C32C23">
        <w:rPr>
          <w:rFonts w:ascii="Times New Roman" w:hAnsi="Times New Roman"/>
          <w:sz w:val="24"/>
          <w:szCs w:val="24"/>
        </w:rPr>
        <w:t>group</w:t>
      </w:r>
      <w:proofErr w:type="gramEnd"/>
      <w:r w:rsidRPr="00C32C23">
        <w:rPr>
          <w:rFonts w:ascii="Times New Roman" w:hAnsi="Times New Roman"/>
          <w:sz w:val="24"/>
          <w:szCs w:val="24"/>
        </w:rPr>
        <w:t xml:space="preserve"> she </w:t>
      </w:r>
      <w:proofErr w:type="gramStart"/>
      <w:r w:rsidRPr="00C32C23">
        <w:rPr>
          <w:rFonts w:ascii="Times New Roman" w:hAnsi="Times New Roman"/>
          <w:sz w:val="24"/>
          <w:szCs w:val="24"/>
        </w:rPr>
        <w:t>labeled</w:t>
      </w:r>
      <w:proofErr w:type="gramEnd"/>
      <w:r w:rsidRPr="00C32C23">
        <w:rPr>
          <w:rFonts w:ascii="Times New Roman" w:hAnsi="Times New Roman"/>
          <w:sz w:val="24"/>
          <w:szCs w:val="24"/>
        </w:rPr>
        <w:t xml:space="preserve"> a "cult." She was part of that group from October 2020 to July 2021. During that period, she also occasionally ingested psychedelic mushrooms and peyote.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argues that inferring future dangerousness based on past marijuana use is error, and there was no evidence of violent conduct. But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use of alcohol and marijuana resulted in her 2017 arrest for driving under the influence of alcohol and hit and run, and four years later, her arrest for driving under the influence of marijuana, offenses that endangered the lives of others.</w:t>
      </w:r>
    </w:p>
    <w:p w14:paraId="5D302AA2" w14:textId="77777777" w:rsidR="00C32C23" w:rsidRPr="00C32C23" w:rsidRDefault="00C32C23" w:rsidP="00C32C23">
      <w:pPr>
        <w:pStyle w:val="NoSpacing"/>
        <w:ind w:left="720"/>
        <w:rPr>
          <w:rFonts w:ascii="Times New Roman" w:hAnsi="Times New Roman"/>
          <w:bCs/>
          <w:sz w:val="24"/>
          <w:szCs w:val="24"/>
        </w:rPr>
      </w:pPr>
    </w:p>
    <w:p w14:paraId="1BE07367"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w:t>
      </w:r>
    </w:p>
    <w:p w14:paraId="0CB7F523" w14:textId="77777777" w:rsidR="00C32C23" w:rsidRPr="00C32C23" w:rsidRDefault="00C32C23" w:rsidP="00C32C23">
      <w:pPr>
        <w:pStyle w:val="NoSpacing"/>
        <w:rPr>
          <w:rFonts w:ascii="Times New Roman" w:hAnsi="Times New Roman"/>
          <w:bCs/>
          <w:sz w:val="24"/>
          <w:szCs w:val="24"/>
        </w:rPr>
      </w:pPr>
    </w:p>
    <w:p w14:paraId="0843F478" w14:textId="77777777" w:rsidR="00C32C23" w:rsidRPr="00C32C23" w:rsidRDefault="00C32C23" w:rsidP="00C32C23">
      <w:pPr>
        <w:pStyle w:val="NoSpacing"/>
        <w:ind w:left="720"/>
        <w:rPr>
          <w:rFonts w:ascii="Times New Roman" w:hAnsi="Times New Roman"/>
          <w:bCs/>
          <w:sz w:val="24"/>
          <w:szCs w:val="24"/>
        </w:rPr>
      </w:pP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told Fire Captain </w:t>
      </w:r>
      <w:proofErr w:type="spellStart"/>
      <w:r w:rsidRPr="00C32C23">
        <w:rPr>
          <w:rFonts w:ascii="Times New Roman" w:hAnsi="Times New Roman"/>
          <w:sz w:val="24"/>
          <w:szCs w:val="24"/>
        </w:rPr>
        <w:t>Boic</w:t>
      </w:r>
      <w:proofErr w:type="spellEnd"/>
      <w:r w:rsidRPr="00C32C23">
        <w:rPr>
          <w:rFonts w:ascii="Times New Roman" w:hAnsi="Times New Roman"/>
          <w:sz w:val="24"/>
          <w:szCs w:val="24"/>
        </w:rPr>
        <w:t xml:space="preserve"> fires were good for the environment, and she was found walking </w:t>
      </w:r>
      <w:proofErr w:type="gramStart"/>
      <w:r w:rsidRPr="00C32C23">
        <w:rPr>
          <w:rFonts w:ascii="Times New Roman" w:hAnsi="Times New Roman"/>
          <w:sz w:val="24"/>
          <w:szCs w:val="24"/>
        </w:rPr>
        <w:t>in the area of</w:t>
      </w:r>
      <w:proofErr w:type="gramEnd"/>
      <w:r w:rsidRPr="00C32C23">
        <w:rPr>
          <w:rFonts w:ascii="Times New Roman" w:hAnsi="Times New Roman"/>
          <w:sz w:val="24"/>
          <w:szCs w:val="24"/>
        </w:rPr>
        <w:t xml:space="preserve"> the fires and possessed a working lighter and items she identified as a bomb and an incendiary device.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acknowledged that wildfires can cause loss of life. (</w:t>
      </w:r>
      <w:r w:rsidRPr="00C32C23">
        <w:rPr>
          <w:rFonts w:ascii="Times New Roman" w:hAnsi="Times New Roman"/>
          <w:i/>
          <w:iCs/>
          <w:sz w:val="24"/>
          <w:szCs w:val="24"/>
        </w:rPr>
        <w:t>Association of California Ins. Companies v. Jones</w:t>
      </w:r>
      <w:r w:rsidRPr="00C32C23">
        <w:rPr>
          <w:rFonts w:ascii="Times New Roman" w:hAnsi="Times New Roman"/>
          <w:sz w:val="24"/>
          <w:szCs w:val="24"/>
        </w:rPr>
        <w:t xml:space="preserve"> (2017) </w:t>
      </w:r>
      <w:hyperlink r:id="rId704" w:anchor="p382" w:history="1">
        <w:r w:rsidRPr="00C32C23">
          <w:rPr>
            <w:rStyle w:val="Hyperlink"/>
            <w:rFonts w:ascii="Times New Roman" w:hAnsi="Times New Roman"/>
            <w:sz w:val="24"/>
            <w:szCs w:val="24"/>
          </w:rPr>
          <w:t>2 Cal.5th 376, 382</w:t>
        </w:r>
      </w:hyperlink>
      <w:r w:rsidRPr="00C32C23">
        <w:rPr>
          <w:rFonts w:ascii="Times New Roman" w:hAnsi="Times New Roman"/>
          <w:sz w:val="24"/>
          <w:szCs w:val="24"/>
        </w:rPr>
        <w:t xml:space="preserve"> ["Wildfires are a fact of life in California, and so, too, are the threats they pose to people and property."]; </w:t>
      </w:r>
      <w:r w:rsidRPr="00C32C23">
        <w:rPr>
          <w:rFonts w:ascii="Times New Roman" w:hAnsi="Times New Roman"/>
          <w:i/>
          <w:iCs/>
          <w:sz w:val="24"/>
          <w:szCs w:val="24"/>
        </w:rPr>
        <w:t>Pacheco, supra</w:t>
      </w:r>
      <w:r w:rsidRPr="00C32C23">
        <w:rPr>
          <w:rFonts w:ascii="Times New Roman" w:hAnsi="Times New Roman"/>
          <w:sz w:val="24"/>
          <w:szCs w:val="24"/>
        </w:rPr>
        <w:t xml:space="preserve">, </w:t>
      </w:r>
      <w:hyperlink r:id="rId705" w:anchor="p209" w:history="1">
        <w:r w:rsidRPr="00C32C23">
          <w:rPr>
            <w:rStyle w:val="Hyperlink"/>
            <w:rFonts w:ascii="Times New Roman" w:hAnsi="Times New Roman"/>
            <w:sz w:val="24"/>
            <w:szCs w:val="24"/>
          </w:rPr>
          <w:t>75 Cal.App.5th at p. 209</w:t>
        </w:r>
      </w:hyperlink>
      <w:r w:rsidRPr="00C32C23">
        <w:rPr>
          <w:rFonts w:ascii="Times New Roman" w:hAnsi="Times New Roman"/>
          <w:sz w:val="24"/>
          <w:szCs w:val="24"/>
        </w:rPr>
        <w:t xml:space="preserve">.) In light of the severe potential consequences of starting wildfires,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statement to the fire captain,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failure to address her substance abuse, Dr. Caruso's opinion that marijuana use would likely cause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to detach from reality, and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history of not complying with treatment, the trial court did not abuse its discretion in finding that granting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pretrial diversion would pose an unreasonable risk that she would start a wildfire and cause loss of life.”</w:t>
      </w:r>
    </w:p>
    <w:p w14:paraId="32064E46" w14:textId="77777777" w:rsidR="00C32C23" w:rsidRPr="00C32C23" w:rsidRDefault="00C32C23" w:rsidP="00C32C23">
      <w:pPr>
        <w:pStyle w:val="NoSpacing"/>
        <w:ind w:left="720"/>
        <w:rPr>
          <w:rFonts w:ascii="Times New Roman" w:hAnsi="Times New Roman"/>
          <w:bCs/>
          <w:sz w:val="24"/>
          <w:szCs w:val="24"/>
        </w:rPr>
      </w:pPr>
    </w:p>
    <w:p w14:paraId="36F5B37D" w14:textId="77777777" w:rsidR="00C32C23" w:rsidRPr="00C32C23" w:rsidRDefault="00C32C23" w:rsidP="00C32C23">
      <w:pPr>
        <w:pStyle w:val="NoSpacing"/>
        <w:rPr>
          <w:rFonts w:ascii="Times New Roman" w:hAnsi="Times New Roman"/>
          <w:b/>
          <w:sz w:val="24"/>
          <w:szCs w:val="24"/>
        </w:rPr>
      </w:pPr>
      <w:r w:rsidRPr="00C32C23">
        <w:rPr>
          <w:rFonts w:ascii="Times New Roman" w:hAnsi="Times New Roman"/>
          <w:b/>
          <w:sz w:val="24"/>
          <w:szCs w:val="24"/>
        </w:rPr>
        <w:t xml:space="preserve">Legal Lesson Learned:  The trial court properly found that during a fire risk emergency, a defendant who </w:t>
      </w:r>
      <w:proofErr w:type="gramStart"/>
      <w:r w:rsidRPr="00C32C23">
        <w:rPr>
          <w:rFonts w:ascii="Times New Roman" w:hAnsi="Times New Roman"/>
          <w:b/>
          <w:sz w:val="24"/>
          <w:szCs w:val="24"/>
        </w:rPr>
        <w:t>starting</w:t>
      </w:r>
      <w:proofErr w:type="gramEnd"/>
      <w:r w:rsidRPr="00C32C23">
        <w:rPr>
          <w:rFonts w:ascii="Times New Roman" w:hAnsi="Times New Roman"/>
          <w:b/>
          <w:sz w:val="24"/>
          <w:szCs w:val="24"/>
        </w:rPr>
        <w:t xml:space="preserve"> six fires with mental health and drug abuse, is a risk to the public. </w:t>
      </w:r>
    </w:p>
    <w:p w14:paraId="0AF39702" w14:textId="77777777" w:rsidR="00C32C23" w:rsidRPr="00C32C23" w:rsidRDefault="00C32C23" w:rsidP="00C32C23">
      <w:pPr>
        <w:pStyle w:val="NoSpacing"/>
        <w:rPr>
          <w:rFonts w:ascii="Times New Roman" w:hAnsi="Times New Roman"/>
          <w:bCs/>
          <w:sz w:val="24"/>
          <w:szCs w:val="24"/>
        </w:rPr>
      </w:pPr>
    </w:p>
    <w:p w14:paraId="3DF4DDFA"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See Feb. 27, 2024, article  [TV VIDEO], “Fawn fire trial delayed again, Shasta County DA responds.” REDDING, Calif. — The</w:t>
      </w:r>
      <w:hyperlink r:id="rId706" w:tgtFrame="_blank" w:tooltip="https://krcrtv.com/news/local/long-awaited-settlement-conference-in-fawn-fire-arson-case-brings-hope-to-victims#" w:history="1">
        <w:r w:rsidRPr="00C32C23">
          <w:rPr>
            <w:rStyle w:val="Hyperlink"/>
            <w:rFonts w:ascii="Times New Roman" w:hAnsi="Times New Roman"/>
            <w:sz w:val="24"/>
            <w:szCs w:val="24"/>
          </w:rPr>
          <w:t xml:space="preserve"> Fawn Fire trial </w:t>
        </w:r>
      </w:hyperlink>
      <w:r w:rsidRPr="00C32C23">
        <w:rPr>
          <w:rFonts w:ascii="Times New Roman" w:hAnsi="Times New Roman"/>
          <w:sz w:val="24"/>
          <w:szCs w:val="24"/>
        </w:rPr>
        <w:t xml:space="preserve">has been postponed again. Alleged arsonist </w:t>
      </w:r>
      <w:hyperlink r:id="rId707" w:tgtFrame="_blank" w:tooltip="https://krcrtv.com/news/local/long-awaited-settlement-conference-in-fawn-fire-arson-case-brings-hope-to-victims#" w:history="1">
        <w:r w:rsidRPr="00C32C23">
          <w:rPr>
            <w:rStyle w:val="Hyperlink"/>
            <w:rFonts w:ascii="Times New Roman" w:hAnsi="Times New Roman"/>
            <w:sz w:val="24"/>
            <w:szCs w:val="24"/>
          </w:rPr>
          <w:t>Alexandra Souverneva</w:t>
        </w:r>
      </w:hyperlink>
      <w:r w:rsidRPr="00C32C23">
        <w:rPr>
          <w:rFonts w:ascii="Times New Roman" w:hAnsi="Times New Roman"/>
          <w:sz w:val="24"/>
          <w:szCs w:val="24"/>
        </w:rPr>
        <w:t xml:space="preserve"> will no longer be starting trial on March 1.</w:t>
      </w:r>
    </w:p>
    <w:p w14:paraId="75F486C6"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Shasta County District Attorney Stephanie Bridgett says this was discussed in court Monday, where her attorney once again filed for a mental health diversion. It's been 2.5 years since the fire took place, burning homes and land in north Redding for 10 days, destroying nearly 200 structures and burning nearly 9,000 acres. Bridgett says that trials can be a lengthy process, especially when they involve felonies.</w:t>
      </w:r>
    </w:p>
    <w:p w14:paraId="501D28F5" w14:textId="77777777" w:rsidR="00BD564D" w:rsidRPr="00C32C23" w:rsidRDefault="00BD564D" w:rsidP="00BD564D">
      <w:pPr>
        <w:pStyle w:val="NoSpacing"/>
        <w:rPr>
          <w:rFonts w:ascii="Times New Roman" w:hAnsi="Times New Roman"/>
          <w:sz w:val="24"/>
          <w:szCs w:val="24"/>
        </w:rPr>
      </w:pPr>
    </w:p>
    <w:p w14:paraId="1A5AACB2" w14:textId="77777777" w:rsidR="00FE0B61" w:rsidRDefault="00FE0B61" w:rsidP="00F326E5">
      <w:pPr>
        <w:pStyle w:val="NoSpacing"/>
        <w:rPr>
          <w:rFonts w:ascii="Arial Black" w:hAnsi="Arial Black"/>
          <w:sz w:val="28"/>
          <w:szCs w:val="28"/>
        </w:rPr>
      </w:pPr>
    </w:p>
    <w:p w14:paraId="13C7DB7C" w14:textId="2DF49090" w:rsidR="00CB0F04" w:rsidRDefault="00A0601A" w:rsidP="00F326E5">
      <w:pPr>
        <w:pStyle w:val="NoSpacing"/>
        <w:rPr>
          <w:rFonts w:ascii="Arial Black" w:hAnsi="Arial Black"/>
          <w:sz w:val="28"/>
          <w:szCs w:val="28"/>
        </w:rPr>
      </w:pPr>
      <w:r>
        <w:rPr>
          <w:rFonts w:ascii="Arial Black" w:hAnsi="Arial Black"/>
          <w:sz w:val="28"/>
          <w:szCs w:val="28"/>
        </w:rPr>
        <w:t>3-69</w:t>
      </w:r>
    </w:p>
    <w:p w14:paraId="04185549" w14:textId="77777777" w:rsidR="00A0601A" w:rsidRDefault="00A0601A" w:rsidP="00F326E5">
      <w:pPr>
        <w:pStyle w:val="NoSpacing"/>
        <w:rPr>
          <w:rFonts w:ascii="Arial Black" w:hAnsi="Arial Black"/>
          <w:sz w:val="28"/>
          <w:szCs w:val="28"/>
        </w:rPr>
      </w:pPr>
    </w:p>
    <w:p w14:paraId="6D798485" w14:textId="77777777" w:rsidR="00A0601A" w:rsidRDefault="00A0601A" w:rsidP="00A0601A">
      <w:pPr>
        <w:pStyle w:val="NoSpacing"/>
        <w:rPr>
          <w:b/>
        </w:rPr>
      </w:pPr>
      <w:r>
        <w:rPr>
          <w:rFonts w:ascii="Arial Black" w:hAnsi="Arial Black"/>
          <w:b/>
          <w:sz w:val="28"/>
          <w:szCs w:val="28"/>
        </w:rPr>
        <w:t xml:space="preserve">IL: PELLET GUN - MIDDLE SCHOOL STUDENT LOCKER – SAME DAY UVALDE, TX MASS SHOOTING – 1-YR SUSP. </w:t>
      </w:r>
    </w:p>
    <w:p w14:paraId="69DDD6FA" w14:textId="77777777" w:rsidR="00A0601A" w:rsidRDefault="00A0601A" w:rsidP="00A0601A">
      <w:pPr>
        <w:pStyle w:val="NoSpacing"/>
        <w:ind w:firstLine="720"/>
        <w:rPr>
          <w:b/>
        </w:rPr>
      </w:pPr>
    </w:p>
    <w:p w14:paraId="7E8D2DFA" w14:textId="77777777" w:rsidR="00A0601A" w:rsidRPr="00301E8E" w:rsidRDefault="00A0601A" w:rsidP="00A0601A">
      <w:pPr>
        <w:pStyle w:val="NoSpacing"/>
        <w:rPr>
          <w:rFonts w:ascii="Times New Roman" w:hAnsi="Times New Roman"/>
          <w:b/>
          <w:sz w:val="24"/>
          <w:szCs w:val="24"/>
        </w:rPr>
      </w:pPr>
      <w:r w:rsidRPr="00301E8E">
        <w:rPr>
          <w:rFonts w:ascii="Times New Roman" w:hAnsi="Times New Roman"/>
          <w:sz w:val="24"/>
          <w:szCs w:val="24"/>
        </w:rPr>
        <w:t xml:space="preserve">On Nov. 27, 2024, in </w:t>
      </w:r>
      <w:r w:rsidRPr="00301E8E">
        <w:rPr>
          <w:rFonts w:ascii="Times New Roman" w:hAnsi="Times New Roman"/>
          <w:sz w:val="24"/>
          <w:szCs w:val="24"/>
          <w:u w:val="single"/>
        </w:rPr>
        <w:t>A.A., a minor, by and through his next friend and parent, Elizabeth Pasillas v. Board of Education, Summit School District No. 104</w:t>
      </w:r>
      <w:r w:rsidRPr="00301E8E">
        <w:rPr>
          <w:rFonts w:ascii="Times New Roman" w:hAnsi="Times New Roman"/>
          <w:sz w:val="24"/>
          <w:szCs w:val="24"/>
        </w:rPr>
        <w:t xml:space="preserve">, the Appellate Court of Illinois, First District, held (2 to 1), that the School Board properly suspended the 13-year-old for one-year, overturning decision by trial court judge. The pellet gun was discovered on May 24, 2022, the same day that a mass shooter murdered 19 fourth graders and two teachers at an elementary school in Uvalde, Texas. The Court wrote: “However, it is entirely reasonable for the school officials to have taken the national school shooting landscape into consideration when deciding A.A.’s discipline. One of the determinations that the officials had to make under subsection (b-20) was whether A.A.’s ongoing presence would ‘substantially disrupt, impede, or interfere with the operation of the school.’ That analysis would logically include a consideration of the effect of A.A.’s presence on his classmates and their educational environment. Given the prevalence of school shootings in this country, it would be natural for A.A.’s fellow students to be wary and concerned about the presence of someone who brought a lookalike gun to school.” </w:t>
      </w:r>
      <w:hyperlink r:id="rId708" w:history="1">
        <w:r w:rsidRPr="00301E8E">
          <w:rPr>
            <w:rStyle w:val="Hyperlink"/>
            <w:rFonts w:ascii="Times New Roman" w:hAnsi="Times New Roman"/>
            <w:sz w:val="24"/>
            <w:szCs w:val="24"/>
          </w:rPr>
          <w:t>https://ilcourtsaudio.blob.core.windows.net/antilles-resources/resources/aa9ece1f-338b-4d77-9d21-fd7bfa316d8e/A.A.%20%20v.%20Board%20of%20Education%20of%20Summit%20School%20District%20No.%20104,%202024%20IL%20App%20(1st)%20232451.pdf</w:t>
        </w:r>
      </w:hyperlink>
      <w:r w:rsidRPr="00301E8E">
        <w:rPr>
          <w:rFonts w:ascii="Times New Roman" w:hAnsi="Times New Roman"/>
          <w:sz w:val="24"/>
          <w:szCs w:val="24"/>
        </w:rPr>
        <w:t xml:space="preserve"> </w:t>
      </w:r>
    </w:p>
    <w:p w14:paraId="0929C503" w14:textId="77777777" w:rsidR="00A0601A" w:rsidRPr="00301E8E" w:rsidRDefault="00A0601A" w:rsidP="00A0601A">
      <w:pPr>
        <w:pStyle w:val="NoSpacing"/>
        <w:ind w:firstLine="720"/>
        <w:rPr>
          <w:rFonts w:ascii="Times New Roman" w:hAnsi="Times New Roman"/>
          <w:b/>
          <w:sz w:val="24"/>
          <w:szCs w:val="24"/>
        </w:rPr>
      </w:pPr>
    </w:p>
    <w:p w14:paraId="43C81279" w14:textId="4C34B2AE" w:rsidR="00A0601A" w:rsidRPr="00301E8E" w:rsidRDefault="00301E8E" w:rsidP="00F326E5">
      <w:pPr>
        <w:pStyle w:val="NoSpacing"/>
        <w:rPr>
          <w:rFonts w:ascii="Times New Roman" w:hAnsi="Times New Roman"/>
          <w:sz w:val="24"/>
          <w:szCs w:val="24"/>
        </w:rPr>
      </w:pPr>
      <w:r w:rsidRPr="00301E8E">
        <w:rPr>
          <w:rFonts w:ascii="Times New Roman" w:hAnsi="Times New Roman"/>
          <w:sz w:val="24"/>
          <w:szCs w:val="24"/>
        </w:rPr>
        <w:t>See Dissent</w:t>
      </w:r>
    </w:p>
    <w:p w14:paraId="483F1582" w14:textId="77777777" w:rsidR="00301E8E" w:rsidRPr="00301E8E" w:rsidRDefault="00301E8E" w:rsidP="00F326E5">
      <w:pPr>
        <w:pStyle w:val="NoSpacing"/>
        <w:rPr>
          <w:rFonts w:ascii="Times New Roman" w:hAnsi="Times New Roman"/>
          <w:sz w:val="24"/>
          <w:szCs w:val="24"/>
        </w:rPr>
      </w:pPr>
    </w:p>
    <w:p w14:paraId="22ACFF37" w14:textId="77777777" w:rsidR="00301E8E" w:rsidRPr="00301E8E" w:rsidRDefault="00301E8E" w:rsidP="00301E8E">
      <w:pPr>
        <w:pStyle w:val="NoSpacing"/>
        <w:rPr>
          <w:rFonts w:ascii="Times New Roman" w:hAnsi="Times New Roman"/>
          <w:b/>
          <w:bCs/>
          <w:sz w:val="24"/>
          <w:szCs w:val="24"/>
        </w:rPr>
      </w:pPr>
      <w:r w:rsidRPr="00301E8E">
        <w:rPr>
          <w:rFonts w:ascii="Times New Roman" w:hAnsi="Times New Roman"/>
          <w:b/>
          <w:sz w:val="24"/>
          <w:szCs w:val="24"/>
        </w:rPr>
        <w:t xml:space="preserve">Legal Lesson Learned:  The 1-year suspension certainly sends a message to all students in the school; nice to read about State statute mandating 2-year expulsion for bringing firearm to school. </w:t>
      </w:r>
    </w:p>
    <w:p w14:paraId="61C7A709" w14:textId="77777777" w:rsidR="00301E8E" w:rsidRPr="00301E8E" w:rsidRDefault="00301E8E" w:rsidP="00301E8E">
      <w:pPr>
        <w:pStyle w:val="NoSpacing"/>
        <w:rPr>
          <w:rFonts w:ascii="Times New Roman" w:hAnsi="Times New Roman"/>
          <w:sz w:val="24"/>
          <w:szCs w:val="24"/>
        </w:rPr>
      </w:pPr>
    </w:p>
    <w:p w14:paraId="3B82C42E" w14:textId="77777777" w:rsidR="00301E8E" w:rsidRDefault="00301E8E" w:rsidP="00F326E5">
      <w:pPr>
        <w:pStyle w:val="NoSpacing"/>
        <w:rPr>
          <w:rFonts w:ascii="Arial Black" w:hAnsi="Arial Black"/>
          <w:sz w:val="28"/>
          <w:szCs w:val="28"/>
        </w:rPr>
      </w:pPr>
    </w:p>
    <w:p w14:paraId="0C83CB93" w14:textId="77777777" w:rsidR="00A0601A" w:rsidRDefault="00A0601A" w:rsidP="00F326E5">
      <w:pPr>
        <w:pStyle w:val="NoSpacing"/>
        <w:rPr>
          <w:rFonts w:ascii="Arial Black" w:hAnsi="Arial Black"/>
          <w:sz w:val="28"/>
          <w:szCs w:val="28"/>
        </w:rPr>
      </w:pPr>
    </w:p>
    <w:p w14:paraId="31D314A8" w14:textId="77777777" w:rsidR="00A0601A" w:rsidRDefault="00A0601A" w:rsidP="00F326E5">
      <w:pPr>
        <w:pStyle w:val="NoSpacing"/>
        <w:rPr>
          <w:rFonts w:ascii="Arial Black" w:hAnsi="Arial Black"/>
          <w:sz w:val="28"/>
          <w:szCs w:val="28"/>
        </w:rPr>
      </w:pPr>
    </w:p>
    <w:p w14:paraId="7A4D821E" w14:textId="77777777" w:rsidR="00A0601A" w:rsidRDefault="00A0601A" w:rsidP="00F326E5">
      <w:pPr>
        <w:pStyle w:val="NoSpacing"/>
        <w:rPr>
          <w:rFonts w:ascii="Arial Black" w:hAnsi="Arial Black"/>
          <w:sz w:val="28"/>
          <w:szCs w:val="28"/>
        </w:rPr>
      </w:pPr>
    </w:p>
    <w:p w14:paraId="27D66F02" w14:textId="176A6070" w:rsidR="00110AE2" w:rsidRDefault="0098663B" w:rsidP="00F326E5">
      <w:pPr>
        <w:pStyle w:val="NoSpacing"/>
        <w:rPr>
          <w:rFonts w:ascii="Arial Black" w:hAnsi="Arial Black"/>
          <w:sz w:val="28"/>
          <w:szCs w:val="28"/>
        </w:rPr>
      </w:pPr>
      <w:r>
        <w:rPr>
          <w:rFonts w:ascii="Arial Black" w:hAnsi="Arial Black"/>
          <w:sz w:val="28"/>
          <w:szCs w:val="28"/>
        </w:rPr>
        <w:t>3-68</w:t>
      </w:r>
    </w:p>
    <w:p w14:paraId="62B8B05B" w14:textId="77777777" w:rsidR="0098663B" w:rsidRDefault="0098663B" w:rsidP="00F326E5">
      <w:pPr>
        <w:pStyle w:val="NoSpacing"/>
        <w:rPr>
          <w:rFonts w:ascii="Arial Black" w:hAnsi="Arial Black"/>
          <w:sz w:val="28"/>
          <w:szCs w:val="28"/>
        </w:rPr>
      </w:pPr>
    </w:p>
    <w:p w14:paraId="2EFBF4EA" w14:textId="77777777" w:rsidR="00452CAA" w:rsidRPr="00AF49D1" w:rsidRDefault="00452CAA" w:rsidP="00452CAA">
      <w:pPr>
        <w:rPr>
          <w:rFonts w:ascii="Times New Roman" w:hAnsi="Times New Roman"/>
          <w:b/>
          <w:bCs/>
          <w:sz w:val="24"/>
          <w:szCs w:val="24"/>
        </w:rPr>
      </w:pPr>
      <w:r w:rsidRPr="00AF49D1">
        <w:rPr>
          <w:rFonts w:ascii="Times New Roman" w:hAnsi="Times New Roman"/>
          <w:b/>
          <w:bCs/>
          <w:sz w:val="24"/>
          <w:szCs w:val="24"/>
        </w:rPr>
        <w:t>DC: SECRET SERVICE PROTECTION – NO ENTERING RESTRICTED ZONE – CAPITOL INVASION – 14 DAYS JAIL</w:t>
      </w:r>
    </w:p>
    <w:p w14:paraId="12EF7FB7" w14:textId="77777777" w:rsidR="00452CAA" w:rsidRPr="00AF49D1" w:rsidRDefault="00452CAA" w:rsidP="00452CAA">
      <w:pPr>
        <w:rPr>
          <w:rFonts w:ascii="Times New Roman" w:hAnsi="Times New Roman"/>
          <w:sz w:val="24"/>
          <w:szCs w:val="24"/>
        </w:rPr>
      </w:pPr>
      <w:r w:rsidRPr="00AF49D1">
        <w:rPr>
          <w:rFonts w:ascii="Times New Roman" w:hAnsi="Times New Roman"/>
          <w:sz w:val="24"/>
          <w:szCs w:val="24"/>
        </w:rPr>
        <w:t xml:space="preserve">On Oct. 22, </w:t>
      </w:r>
      <w:proofErr w:type="gramStart"/>
      <w:r w:rsidRPr="00AF49D1">
        <w:rPr>
          <w:rFonts w:ascii="Times New Roman" w:hAnsi="Times New Roman"/>
          <w:sz w:val="24"/>
          <w:szCs w:val="24"/>
        </w:rPr>
        <w:t>2024</w:t>
      </w:r>
      <w:proofErr w:type="gramEnd"/>
      <w:r w:rsidRPr="00AF49D1">
        <w:rPr>
          <w:rFonts w:ascii="Times New Roman" w:hAnsi="Times New Roman"/>
          <w:sz w:val="24"/>
          <w:szCs w:val="24"/>
        </w:rPr>
        <w:t xml:space="preserve"> in </w:t>
      </w:r>
      <w:r w:rsidRPr="00AF49D1">
        <w:rPr>
          <w:rFonts w:ascii="Times New Roman" w:hAnsi="Times New Roman"/>
          <w:sz w:val="24"/>
          <w:szCs w:val="24"/>
          <w:u w:val="single"/>
        </w:rPr>
        <w:t xml:space="preserve">United States </w:t>
      </w:r>
      <w:proofErr w:type="spellStart"/>
      <w:r w:rsidRPr="00AF49D1">
        <w:rPr>
          <w:rFonts w:ascii="Times New Roman" w:hAnsi="Times New Roman"/>
          <w:sz w:val="24"/>
          <w:szCs w:val="24"/>
          <w:u w:val="single"/>
        </w:rPr>
        <w:t>o</w:t>
      </w:r>
      <w:proofErr w:type="spellEnd"/>
      <w:r w:rsidRPr="00AF49D1">
        <w:rPr>
          <w:rFonts w:ascii="Times New Roman" w:hAnsi="Times New Roman"/>
          <w:sz w:val="24"/>
          <w:szCs w:val="24"/>
          <w:u w:val="single"/>
        </w:rPr>
        <w:t xml:space="preserve"> America v. Couy Griffin</w:t>
      </w:r>
      <w:r w:rsidRPr="00AF49D1">
        <w:rPr>
          <w:rFonts w:ascii="Times New Roman" w:hAnsi="Times New Roman"/>
          <w:sz w:val="24"/>
          <w:szCs w:val="24"/>
        </w:rPr>
        <w:t xml:space="preserve">, the U.S. Court of Appeals for the District of Columbia Circuit, held (3 to 0): “This appeal turns on interpretation of a federal law enacted to better protect the President and other national leaders from assassination, kidnapping, and assault. The law creates a narrow domain of federal trespass authority to prevent unauthorized members of the public from getting too close to a person under Secret Service protection.*** The defendant says a person ‘knowingly enters’ the restricted safety zone only if he knows that the basis of the restriction is to safeguard a Secret Service </w:t>
      </w:r>
      <w:proofErr w:type="spellStart"/>
      <w:r w:rsidRPr="00AF49D1">
        <w:rPr>
          <w:rFonts w:ascii="Times New Roman" w:hAnsi="Times New Roman"/>
          <w:sz w:val="24"/>
          <w:szCs w:val="24"/>
        </w:rPr>
        <w:t>protectee</w:t>
      </w:r>
      <w:proofErr w:type="spellEnd"/>
      <w:r w:rsidRPr="00AF49D1">
        <w:rPr>
          <w:rFonts w:ascii="Times New Roman" w:hAnsi="Times New Roman"/>
          <w:sz w:val="24"/>
          <w:szCs w:val="24"/>
        </w:rPr>
        <w:t xml:space="preserve">. Id. § 1752(a)(1). We hold that knowingly breaching the restricted area suffices, even without knowing the basis of the restriction—here, the presence of Vice President Pence at the Capitol on January 6—which merely confirms that such trespasses are within Congress’s legislative authority.” </w:t>
      </w:r>
      <w:hyperlink r:id="rId709" w:history="1">
        <w:r w:rsidRPr="00AF49D1">
          <w:rPr>
            <w:rStyle w:val="Hyperlink"/>
            <w:rFonts w:ascii="Times New Roman" w:hAnsi="Times New Roman"/>
            <w:sz w:val="24"/>
            <w:szCs w:val="24"/>
          </w:rPr>
          <w:t>https://media.cadc.uscourts.gov/opinions/docs/2024/10/22-3042-2081254.pdf</w:t>
        </w:r>
      </w:hyperlink>
      <w:r w:rsidRPr="00AF49D1">
        <w:rPr>
          <w:rFonts w:ascii="Times New Roman" w:hAnsi="Times New Roman"/>
          <w:sz w:val="24"/>
          <w:szCs w:val="24"/>
        </w:rPr>
        <w:t xml:space="preserve"> </w:t>
      </w:r>
    </w:p>
    <w:p w14:paraId="0A96FF24" w14:textId="77777777" w:rsidR="00AF49D1" w:rsidRPr="00AF49D1" w:rsidRDefault="00AF49D1" w:rsidP="00AF49D1">
      <w:pPr>
        <w:rPr>
          <w:rFonts w:ascii="Times New Roman" w:hAnsi="Times New Roman"/>
          <w:b/>
          <w:sz w:val="24"/>
          <w:szCs w:val="24"/>
        </w:rPr>
      </w:pPr>
      <w:r w:rsidRPr="00AF49D1">
        <w:rPr>
          <w:rFonts w:ascii="Times New Roman" w:hAnsi="Times New Roman"/>
          <w:b/>
          <w:sz w:val="24"/>
          <w:szCs w:val="24"/>
        </w:rPr>
        <w:t>Legal Lesson Learned: May not enter a Secret Service restricted area.</w:t>
      </w:r>
    </w:p>
    <w:p w14:paraId="45AA9D3A" w14:textId="77777777" w:rsidR="00110AE2" w:rsidRDefault="00110AE2" w:rsidP="00F326E5">
      <w:pPr>
        <w:pStyle w:val="NoSpacing"/>
        <w:rPr>
          <w:rFonts w:ascii="Arial Black" w:hAnsi="Arial Black"/>
          <w:sz w:val="28"/>
          <w:szCs w:val="28"/>
        </w:rPr>
      </w:pPr>
    </w:p>
    <w:p w14:paraId="03FC858C" w14:textId="686D56DF" w:rsidR="00110AE2" w:rsidRDefault="00110AE2" w:rsidP="00F326E5">
      <w:pPr>
        <w:pStyle w:val="NoSpacing"/>
        <w:rPr>
          <w:rFonts w:ascii="Arial Black" w:hAnsi="Arial Black"/>
          <w:sz w:val="28"/>
          <w:szCs w:val="28"/>
        </w:rPr>
      </w:pPr>
      <w:r>
        <w:rPr>
          <w:rFonts w:ascii="Arial Black" w:hAnsi="Arial Black"/>
          <w:sz w:val="28"/>
          <w:szCs w:val="28"/>
        </w:rPr>
        <w:t>3-67</w:t>
      </w:r>
    </w:p>
    <w:p w14:paraId="42B61BAD" w14:textId="77777777" w:rsidR="000F2630" w:rsidRDefault="000F2630" w:rsidP="00F326E5">
      <w:pPr>
        <w:pStyle w:val="NoSpacing"/>
        <w:rPr>
          <w:rFonts w:ascii="Arial Black" w:hAnsi="Arial Black"/>
          <w:sz w:val="28"/>
          <w:szCs w:val="28"/>
        </w:rPr>
      </w:pPr>
    </w:p>
    <w:p w14:paraId="0ADB3C0D" w14:textId="77777777" w:rsidR="0037347A" w:rsidRPr="00A56F69" w:rsidRDefault="0037347A" w:rsidP="0037347A">
      <w:pPr>
        <w:pStyle w:val="NoSpacing"/>
        <w:rPr>
          <w:rFonts w:ascii="Times New Roman" w:hAnsi="Times New Roman"/>
          <w:b/>
          <w:bCs/>
          <w:sz w:val="24"/>
          <w:szCs w:val="24"/>
        </w:rPr>
      </w:pPr>
      <w:r w:rsidRPr="00A56F69">
        <w:rPr>
          <w:rFonts w:ascii="Times New Roman" w:hAnsi="Times New Roman"/>
          <w:b/>
          <w:bCs/>
          <w:sz w:val="24"/>
          <w:szCs w:val="24"/>
        </w:rPr>
        <w:t>U.S. SUPREME CT - DOMESTIC RESTRAINING ORDER – BOYFRIEND FIREARM, VIOL. FED. LAW - CONSTITUTIONAL</w:t>
      </w:r>
    </w:p>
    <w:p w14:paraId="179B63BD" w14:textId="77777777" w:rsidR="0037347A" w:rsidRPr="00A56F69" w:rsidRDefault="0037347A" w:rsidP="0037347A">
      <w:pPr>
        <w:pStyle w:val="NoSpacing"/>
        <w:rPr>
          <w:rFonts w:ascii="Times New Roman" w:hAnsi="Times New Roman"/>
          <w:sz w:val="24"/>
          <w:szCs w:val="24"/>
        </w:rPr>
      </w:pPr>
    </w:p>
    <w:p w14:paraId="3F4E1929"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On June 21, 2024, in </w:t>
      </w:r>
      <w:r w:rsidRPr="00A56F69">
        <w:rPr>
          <w:rFonts w:ascii="Times New Roman" w:hAnsi="Times New Roman"/>
          <w:sz w:val="24"/>
          <w:szCs w:val="24"/>
          <w:u w:val="single"/>
        </w:rPr>
        <w:t>United States v. Zackey Rahimi</w:t>
      </w:r>
      <w:r w:rsidRPr="00A56F69">
        <w:rPr>
          <w:rFonts w:ascii="Times New Roman" w:hAnsi="Times New Roman"/>
          <w:sz w:val="24"/>
          <w:szCs w:val="24"/>
        </w:rPr>
        <w:t>, the U.S. Supreme Court held (8 to 1): “A federal statute prohibits an individual subject to a domestic violence restraining order from possessing a firearm if that order includes a finding that he ‘represents a credible threat to the physical safety of [an] intimate partner,’ or a child of the partner or individual. 18 U. S. C.</w:t>
      </w:r>
    </w:p>
    <w:p w14:paraId="32280905"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§922(g)(8). Respondent Zackey Rahimi is subject to such an order. The question is whether this provision may be enforced against him </w:t>
      </w:r>
      <w:proofErr w:type="gramStart"/>
      <w:r w:rsidRPr="00A56F69">
        <w:rPr>
          <w:rFonts w:ascii="Times New Roman" w:hAnsi="Times New Roman"/>
          <w:sz w:val="24"/>
          <w:szCs w:val="24"/>
        </w:rPr>
        <w:t>consistent</w:t>
      </w:r>
      <w:proofErr w:type="gramEnd"/>
      <w:r w:rsidRPr="00A56F69">
        <w:rPr>
          <w:rFonts w:ascii="Times New Roman" w:hAnsi="Times New Roman"/>
          <w:sz w:val="24"/>
          <w:szCs w:val="24"/>
        </w:rPr>
        <w:t xml:space="preserve"> with the Second Amendment. *** In Heller, McDonald, and Bruen, this Court did not ‘undertake an exhaustive historical analysis . . . of the full scope of the Second Amendment.’ Bruen, 597 U. S., at 31. Nor do we do so today. Rather, we conclude only this: An individual found by a court </w:t>
      </w:r>
      <w:proofErr w:type="gramStart"/>
      <w:r w:rsidRPr="00A56F69">
        <w:rPr>
          <w:rFonts w:ascii="Times New Roman" w:hAnsi="Times New Roman"/>
          <w:sz w:val="24"/>
          <w:szCs w:val="24"/>
        </w:rPr>
        <w:t>to pose</w:t>
      </w:r>
      <w:proofErr w:type="gramEnd"/>
      <w:r w:rsidRPr="00A56F69">
        <w:rPr>
          <w:rFonts w:ascii="Times New Roman" w:hAnsi="Times New Roman"/>
          <w:sz w:val="24"/>
          <w:szCs w:val="24"/>
        </w:rPr>
        <w:t xml:space="preserve"> a credible threat to the</w:t>
      </w:r>
    </w:p>
    <w:p w14:paraId="44EED776"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physical safety of another may be temporarily disarmed consistent with the Second Amendment.”</w:t>
      </w:r>
    </w:p>
    <w:p w14:paraId="19CCB11F"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 </w:t>
      </w:r>
      <w:hyperlink r:id="rId710" w:history="1">
        <w:r w:rsidRPr="00A56F69">
          <w:rPr>
            <w:rStyle w:val="Hyperlink"/>
            <w:rFonts w:ascii="Times New Roman" w:hAnsi="Times New Roman"/>
            <w:sz w:val="24"/>
            <w:szCs w:val="24"/>
          </w:rPr>
          <w:t>https://www.supremecourt.gov/opinions/23pdf/22-915_8o6b.pdf</w:t>
        </w:r>
      </w:hyperlink>
    </w:p>
    <w:p w14:paraId="32F86230" w14:textId="77777777" w:rsidR="000F2630" w:rsidRPr="00A56F69" w:rsidRDefault="000F2630" w:rsidP="00F326E5">
      <w:pPr>
        <w:pStyle w:val="NoSpacing"/>
        <w:rPr>
          <w:rFonts w:ascii="Times New Roman" w:hAnsi="Times New Roman"/>
          <w:sz w:val="24"/>
          <w:szCs w:val="24"/>
        </w:rPr>
      </w:pPr>
    </w:p>
    <w:p w14:paraId="74BC7125" w14:textId="77777777" w:rsidR="00A56F69" w:rsidRPr="00A56F69" w:rsidRDefault="00A56F69" w:rsidP="00A56F69">
      <w:pPr>
        <w:pStyle w:val="NoSpacing"/>
        <w:rPr>
          <w:rFonts w:ascii="Times New Roman" w:hAnsi="Times New Roman"/>
          <w:b/>
          <w:bCs/>
          <w:sz w:val="24"/>
          <w:szCs w:val="24"/>
        </w:rPr>
      </w:pPr>
      <w:r w:rsidRPr="00A56F69">
        <w:rPr>
          <w:rFonts w:ascii="Times New Roman" w:hAnsi="Times New Roman"/>
          <w:b/>
          <w:sz w:val="24"/>
          <w:szCs w:val="24"/>
        </w:rPr>
        <w:t>Legal Lesson Learned: This decision will hopefully help reduce gun violence involving domestic partners.</w:t>
      </w:r>
    </w:p>
    <w:p w14:paraId="52BE973A" w14:textId="77777777" w:rsidR="00A56F69" w:rsidRPr="00A56F69" w:rsidRDefault="00A56F69" w:rsidP="00F326E5">
      <w:pPr>
        <w:pStyle w:val="NoSpacing"/>
        <w:rPr>
          <w:rFonts w:ascii="Times New Roman" w:hAnsi="Times New Roman"/>
          <w:sz w:val="24"/>
          <w:szCs w:val="24"/>
        </w:rPr>
      </w:pPr>
    </w:p>
    <w:p w14:paraId="42E11DEB" w14:textId="77777777" w:rsidR="00110AE2" w:rsidRDefault="00110AE2" w:rsidP="00F326E5">
      <w:pPr>
        <w:pStyle w:val="NoSpacing"/>
        <w:rPr>
          <w:rFonts w:ascii="Arial Black" w:hAnsi="Arial Black"/>
          <w:sz w:val="28"/>
          <w:szCs w:val="28"/>
        </w:rPr>
      </w:pPr>
    </w:p>
    <w:p w14:paraId="6BBA7B66" w14:textId="099C0E66" w:rsidR="0015698F" w:rsidRDefault="0015698F"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6</w:t>
      </w:r>
    </w:p>
    <w:p w14:paraId="6B52C21B" w14:textId="77777777" w:rsidR="0015698F" w:rsidRDefault="0015698F" w:rsidP="00F326E5">
      <w:pPr>
        <w:pStyle w:val="NoSpacing"/>
        <w:rPr>
          <w:rFonts w:ascii="Arial Black" w:hAnsi="Arial Black"/>
          <w:sz w:val="28"/>
          <w:szCs w:val="28"/>
        </w:rPr>
      </w:pPr>
    </w:p>
    <w:p w14:paraId="64DBD312" w14:textId="77777777" w:rsidR="00F46BC0" w:rsidRPr="006C4A6E" w:rsidRDefault="00F46BC0" w:rsidP="00F46BC0">
      <w:pPr>
        <w:pStyle w:val="NoSpacing"/>
        <w:rPr>
          <w:rFonts w:ascii="Arial Black" w:hAnsi="Arial Black"/>
          <w:sz w:val="28"/>
        </w:rPr>
      </w:pPr>
      <w:r>
        <w:rPr>
          <w:rFonts w:ascii="Arial Black" w:hAnsi="Arial Black"/>
          <w:sz w:val="28"/>
        </w:rPr>
        <w:t>NY: NY CITY 2020 CURFEWS UPHELD – GEORGE FLOYD DEMONSTRATIONS - VIOLENCE FOR SIX NIGHTS</w:t>
      </w:r>
    </w:p>
    <w:p w14:paraId="603D5013" w14:textId="77777777" w:rsidR="00F46BC0" w:rsidRDefault="00F46BC0" w:rsidP="00F46BC0">
      <w:pPr>
        <w:pStyle w:val="NoSpacing"/>
        <w:rPr>
          <w:szCs w:val="24"/>
        </w:rPr>
      </w:pPr>
    </w:p>
    <w:p w14:paraId="2B35D061" w14:textId="77777777" w:rsidR="00F46BC0" w:rsidRPr="00F46BC0" w:rsidRDefault="00F46BC0" w:rsidP="00F46BC0">
      <w:pPr>
        <w:pStyle w:val="NoSpacing"/>
        <w:rPr>
          <w:rFonts w:ascii="Times New Roman" w:hAnsi="Times New Roman"/>
          <w:sz w:val="24"/>
          <w:szCs w:val="24"/>
        </w:rPr>
      </w:pPr>
      <w:r w:rsidRPr="00F46BC0">
        <w:rPr>
          <w:rFonts w:ascii="Times New Roman" w:hAnsi="Times New Roman"/>
          <w:sz w:val="24"/>
          <w:szCs w:val="24"/>
        </w:rPr>
        <w:t xml:space="preserve">On August 16, 2024, in </w:t>
      </w:r>
      <w:r w:rsidRPr="00F46BC0">
        <w:rPr>
          <w:rFonts w:ascii="Times New Roman" w:hAnsi="Times New Roman"/>
          <w:sz w:val="24"/>
          <w:szCs w:val="24"/>
          <w:u w:val="single"/>
        </w:rPr>
        <w:t>Lamel Jeffery, et al. v. City of New York, et al</w:t>
      </w:r>
      <w:r w:rsidRPr="00F46BC0">
        <w:rPr>
          <w:rFonts w:ascii="Times New Roman" w:hAnsi="Times New Roman"/>
          <w:sz w:val="24"/>
          <w:szCs w:val="24"/>
        </w:rPr>
        <w:t>., the U.S. Court of Appeal for the 2</w:t>
      </w:r>
      <w:r w:rsidRPr="00F46BC0">
        <w:rPr>
          <w:rFonts w:ascii="Times New Roman" w:hAnsi="Times New Roman"/>
          <w:sz w:val="24"/>
          <w:szCs w:val="24"/>
          <w:vertAlign w:val="superscript"/>
        </w:rPr>
        <w:t>nd</w:t>
      </w:r>
      <w:r w:rsidRPr="00F46BC0">
        <w:rPr>
          <w:rFonts w:ascii="Times New Roman" w:hAnsi="Times New Roman"/>
          <w:sz w:val="24"/>
          <w:szCs w:val="24"/>
        </w:rPr>
        <w:t xml:space="preserve"> Circuit (New York City) held (3 to 0) that the nighttime curfew restrictions were lawful. The Court wrote: “At issue on this appeal is a constitutional challenge to a nighttime curfew imposed throughout New York City (‘City’) for the one-week period between June 1 and June 7, 2020, in response to violence and destruction attending certain public demonstrations protesting the May 25, </w:t>
      </w:r>
      <w:proofErr w:type="gramStart"/>
      <w:r w:rsidRPr="00F46BC0">
        <w:rPr>
          <w:rFonts w:ascii="Times New Roman" w:hAnsi="Times New Roman"/>
          <w:sz w:val="24"/>
          <w:szCs w:val="24"/>
        </w:rPr>
        <w:t>2020</w:t>
      </w:r>
      <w:proofErr w:type="gramEnd"/>
      <w:r w:rsidRPr="00F46BC0">
        <w:rPr>
          <w:rFonts w:ascii="Times New Roman" w:hAnsi="Times New Roman"/>
          <w:sz w:val="24"/>
          <w:szCs w:val="24"/>
        </w:rPr>
        <w:t xml:space="preserve"> death of George Floyd at the hands of Minneapolis police (‘Floyd demonstrations’). *** “The curfew here … was imposed in response to documented violence, destruction, and looting ‘across multiple areas’ of a large, densely populated city….  The curfew here… was imposed in response to criminality ‘border[</w:t>
      </w:r>
      <w:proofErr w:type="spellStart"/>
      <w:r w:rsidRPr="00F46BC0">
        <w:rPr>
          <w:rFonts w:ascii="Times New Roman" w:hAnsi="Times New Roman"/>
          <w:sz w:val="24"/>
          <w:szCs w:val="24"/>
        </w:rPr>
        <w:t>ing</w:t>
      </w:r>
      <w:proofErr w:type="spellEnd"/>
      <w:r w:rsidRPr="00F46BC0">
        <w:rPr>
          <w:rFonts w:ascii="Times New Roman" w:hAnsi="Times New Roman"/>
          <w:sz w:val="24"/>
          <w:szCs w:val="24"/>
        </w:rPr>
        <w:t xml:space="preserve">] on chaos….’ Further … the </w:t>
      </w:r>
      <w:proofErr w:type="gramStart"/>
      <w:r w:rsidRPr="00F46BC0">
        <w:rPr>
          <w:rFonts w:ascii="Times New Roman" w:hAnsi="Times New Roman"/>
          <w:sz w:val="24"/>
          <w:szCs w:val="24"/>
        </w:rPr>
        <w:t>City</w:t>
      </w:r>
      <w:proofErr w:type="gramEnd"/>
      <w:r w:rsidRPr="00F46BC0">
        <w:rPr>
          <w:rFonts w:ascii="Times New Roman" w:hAnsi="Times New Roman"/>
          <w:sz w:val="24"/>
          <w:szCs w:val="24"/>
        </w:rPr>
        <w:t xml:space="preserve"> here employed a ‘measured approach’ to curb criminal activity…. It first relied on traditional policing; then, when criminality escalated, it supplemented traditional policing with a one-night curfew; then, when criminality continued to escalate, it extended the curfew for an additional six nights; and finally, when conditions improved and stabilized, the City ended the curfew one night early…. In these circumstances, even on strict scrutiny, we conclude as a matter of law that the extended curfew was narrowly tailored to employ the least restrictive means to serve the City's compelling public interest in curbing escalating crime and restoring order.”  </w:t>
      </w:r>
    </w:p>
    <w:p w14:paraId="4A87ED28" w14:textId="77777777" w:rsidR="00F46BC0" w:rsidRPr="00F46BC0" w:rsidRDefault="00F46BC0" w:rsidP="00F46BC0">
      <w:pPr>
        <w:pStyle w:val="NoSpacing"/>
        <w:rPr>
          <w:rFonts w:ascii="Times New Roman" w:hAnsi="Times New Roman"/>
          <w:sz w:val="24"/>
          <w:szCs w:val="24"/>
        </w:rPr>
      </w:pPr>
      <w:hyperlink r:id="rId711" w:anchor="xml=https://ww3.ca2.uscourts.gov/decisions/isysquery/c68b6681-8ae3-446b-8305-2841de8ec224/1/hilite/" w:history="1">
        <w:r w:rsidRPr="00F46BC0">
          <w:rPr>
            <w:rStyle w:val="Hyperlink"/>
            <w:rFonts w:ascii="Times New Roman" w:hAnsi="Times New Roman"/>
            <w:sz w:val="24"/>
            <w:szCs w:val="24"/>
          </w:rPr>
          <w:t>https://ww3.ca2.uscourts.gov/decisions/isysquery/c68b6681-8ae3-446b-8305-2841de8ec224/1/doc/22-2745_opn.pdf#xml=https://ww3.ca2.uscourts.gov/decisions/isysquery/c68b6681-8ae3-446b-8305-2841de8ec224/1/hilite/</w:t>
        </w:r>
      </w:hyperlink>
      <w:r w:rsidRPr="00F46BC0">
        <w:rPr>
          <w:rFonts w:ascii="Times New Roman" w:hAnsi="Times New Roman"/>
          <w:sz w:val="24"/>
          <w:szCs w:val="24"/>
        </w:rPr>
        <w:t xml:space="preserve"> </w:t>
      </w:r>
    </w:p>
    <w:p w14:paraId="5BA20227" w14:textId="77777777" w:rsidR="00F46BC0" w:rsidRPr="00F46BC0" w:rsidRDefault="00F46BC0" w:rsidP="00F46BC0">
      <w:pPr>
        <w:pStyle w:val="NoSpacing"/>
        <w:rPr>
          <w:rFonts w:ascii="Times New Roman" w:hAnsi="Times New Roman"/>
          <w:sz w:val="24"/>
          <w:szCs w:val="24"/>
        </w:rPr>
      </w:pPr>
    </w:p>
    <w:p w14:paraId="71397E36" w14:textId="77777777" w:rsidR="00F46BC0" w:rsidRPr="00F46BC0" w:rsidRDefault="00F46BC0" w:rsidP="00F46BC0">
      <w:pPr>
        <w:pStyle w:val="NoSpacing"/>
        <w:rPr>
          <w:rFonts w:ascii="Times New Roman" w:hAnsi="Times New Roman"/>
          <w:sz w:val="24"/>
          <w:szCs w:val="24"/>
        </w:rPr>
      </w:pPr>
      <w:r w:rsidRPr="00F46BC0">
        <w:rPr>
          <w:rFonts w:ascii="Times New Roman" w:hAnsi="Times New Roman"/>
          <w:sz w:val="24"/>
          <w:szCs w:val="24"/>
        </w:rPr>
        <w:t xml:space="preserve">THE COURT HELD: </w:t>
      </w:r>
    </w:p>
    <w:p w14:paraId="45ABDAF9" w14:textId="77777777" w:rsidR="00F46BC0" w:rsidRPr="00F46BC0" w:rsidRDefault="00F46BC0" w:rsidP="00F46BC0">
      <w:pPr>
        <w:pStyle w:val="NoSpacing"/>
        <w:rPr>
          <w:rFonts w:ascii="Times New Roman" w:hAnsi="Times New Roman"/>
          <w:sz w:val="24"/>
          <w:szCs w:val="24"/>
        </w:rPr>
      </w:pPr>
    </w:p>
    <w:p w14:paraId="6CFC57F3" w14:textId="77777777" w:rsidR="00F46BC0" w:rsidRPr="00F46BC0" w:rsidRDefault="00F46BC0" w:rsidP="00F46BC0">
      <w:pPr>
        <w:pStyle w:val="NoSpacing"/>
        <w:ind w:left="720"/>
        <w:rPr>
          <w:rFonts w:ascii="Times New Roman" w:hAnsi="Times New Roman"/>
          <w:sz w:val="24"/>
          <w:szCs w:val="24"/>
        </w:rPr>
      </w:pPr>
      <w:r w:rsidRPr="00F46BC0">
        <w:rPr>
          <w:rFonts w:ascii="Times New Roman" w:hAnsi="Times New Roman"/>
          <w:sz w:val="24"/>
          <w:szCs w:val="24"/>
        </w:rPr>
        <w:t>“Even when viewed ‘in the light most favorable to plaintiffs,” the facts alleged in plaintiffs’ complaint … admit a single conclusion, i.e., that the challenged curfew—implemented against the highly unusual and well-documented confluence of a deadly global pandemic and nationwide Floyd demonstrations—(1) served compelling governmental interests in curbing escalating crime and restoring public order, and (2) was narrowly tailored to those interests….  Accordingly, we affirm the challenged judgment of dismissal.”</w:t>
      </w:r>
    </w:p>
    <w:p w14:paraId="27C6E8C9" w14:textId="77777777" w:rsidR="00F46BC0" w:rsidRPr="00F46BC0" w:rsidRDefault="00F46BC0" w:rsidP="00F46BC0">
      <w:pPr>
        <w:pStyle w:val="NoSpacing"/>
        <w:rPr>
          <w:rFonts w:ascii="Times New Roman" w:hAnsi="Times New Roman"/>
          <w:sz w:val="24"/>
          <w:szCs w:val="24"/>
        </w:rPr>
      </w:pPr>
    </w:p>
    <w:p w14:paraId="14DD22E4" w14:textId="77777777" w:rsidR="00F46BC0" w:rsidRPr="00F46BC0" w:rsidRDefault="00F46BC0" w:rsidP="00F46BC0">
      <w:pPr>
        <w:pStyle w:val="NoSpacing"/>
        <w:ind w:left="720"/>
        <w:rPr>
          <w:rFonts w:ascii="Times New Roman" w:hAnsi="Times New Roman"/>
          <w:sz w:val="24"/>
          <w:szCs w:val="24"/>
        </w:rPr>
      </w:pPr>
      <w:r w:rsidRPr="00F46BC0">
        <w:rPr>
          <w:rFonts w:ascii="Times New Roman" w:hAnsi="Times New Roman"/>
          <w:sz w:val="24"/>
          <w:szCs w:val="24"/>
        </w:rPr>
        <w:t>“The curfew here … was imposed in response to documented violence, destruction, and looting ‘across multiple areas’ of a large, densely populated city….  The curfew here… was imposed in response to criminality ‘border[</w:t>
      </w:r>
      <w:proofErr w:type="spellStart"/>
      <w:r w:rsidRPr="00F46BC0">
        <w:rPr>
          <w:rFonts w:ascii="Times New Roman" w:hAnsi="Times New Roman"/>
          <w:sz w:val="24"/>
          <w:szCs w:val="24"/>
        </w:rPr>
        <w:t>ing</w:t>
      </w:r>
      <w:proofErr w:type="spellEnd"/>
      <w:r w:rsidRPr="00F46BC0">
        <w:rPr>
          <w:rFonts w:ascii="Times New Roman" w:hAnsi="Times New Roman"/>
          <w:sz w:val="24"/>
          <w:szCs w:val="24"/>
        </w:rPr>
        <w:t xml:space="preserve">] on chaos….’ Further … the </w:t>
      </w:r>
      <w:proofErr w:type="gramStart"/>
      <w:r w:rsidRPr="00F46BC0">
        <w:rPr>
          <w:rFonts w:ascii="Times New Roman" w:hAnsi="Times New Roman"/>
          <w:sz w:val="24"/>
          <w:szCs w:val="24"/>
        </w:rPr>
        <w:t>City</w:t>
      </w:r>
      <w:proofErr w:type="gramEnd"/>
      <w:r w:rsidRPr="00F46BC0">
        <w:rPr>
          <w:rFonts w:ascii="Times New Roman" w:hAnsi="Times New Roman"/>
          <w:sz w:val="24"/>
          <w:szCs w:val="24"/>
        </w:rPr>
        <w:t xml:space="preserve"> here employed a ‘measured approach’ to curb criminal activity…. It first relied on traditional policing; then, when criminality escalated, it supplemented traditional policing with a one-night curfew; then, when criminality continued to escalate, it extended the curfew for an additional six nights; and finally, when conditions improved and stabilized, the City ended the curfew one night early…. In these circumstances, even on strict scrutiny, we conclude as a matter of law that the extended curfew was narrowly tailored to employ the least restrictive means to serve the City's compelling public interest in curbing escalating crime and restoring order.”  </w:t>
      </w:r>
    </w:p>
    <w:p w14:paraId="2F95AB6A" w14:textId="77777777" w:rsidR="00F46BC0" w:rsidRPr="00F46BC0" w:rsidRDefault="00F46BC0" w:rsidP="00F46BC0">
      <w:pPr>
        <w:pStyle w:val="NoSpacing"/>
        <w:ind w:left="720"/>
        <w:rPr>
          <w:rFonts w:ascii="Times New Roman" w:hAnsi="Times New Roman"/>
          <w:sz w:val="24"/>
          <w:szCs w:val="24"/>
        </w:rPr>
      </w:pPr>
    </w:p>
    <w:p w14:paraId="1BDDD521" w14:textId="77777777" w:rsidR="00F46BC0" w:rsidRPr="00F46BC0" w:rsidRDefault="00F46BC0" w:rsidP="00F46BC0">
      <w:pPr>
        <w:pStyle w:val="NoSpacing"/>
        <w:rPr>
          <w:rFonts w:ascii="Times New Roman" w:hAnsi="Times New Roman"/>
          <w:b/>
          <w:bCs/>
          <w:sz w:val="24"/>
          <w:szCs w:val="24"/>
        </w:rPr>
      </w:pPr>
      <w:r w:rsidRPr="00F46BC0">
        <w:rPr>
          <w:rFonts w:ascii="Times New Roman" w:hAnsi="Times New Roman"/>
          <w:b/>
          <w:bCs/>
          <w:sz w:val="24"/>
          <w:szCs w:val="24"/>
        </w:rPr>
        <w:t xml:space="preserve">Legal Lesson Learned: Curfews are a lawful response to widespread violence. </w:t>
      </w:r>
    </w:p>
    <w:p w14:paraId="284621BD" w14:textId="77777777" w:rsidR="00F46BC0" w:rsidRPr="00F46BC0" w:rsidRDefault="00F46BC0" w:rsidP="00F46BC0">
      <w:pPr>
        <w:pStyle w:val="NoSpacing"/>
        <w:rPr>
          <w:rFonts w:ascii="Times New Roman" w:hAnsi="Times New Roman"/>
          <w:sz w:val="24"/>
          <w:szCs w:val="24"/>
        </w:rPr>
      </w:pPr>
    </w:p>
    <w:p w14:paraId="34FF1458" w14:textId="77777777" w:rsidR="00780B64" w:rsidRDefault="00780B64" w:rsidP="00F326E5">
      <w:pPr>
        <w:pStyle w:val="NoSpacing"/>
        <w:rPr>
          <w:rFonts w:ascii="Arial Black" w:hAnsi="Arial Black"/>
          <w:sz w:val="28"/>
          <w:szCs w:val="28"/>
        </w:rPr>
      </w:pPr>
    </w:p>
    <w:p w14:paraId="2CF15ECC" w14:textId="77777777" w:rsidR="0015698F" w:rsidRDefault="0015698F" w:rsidP="00F326E5">
      <w:pPr>
        <w:pStyle w:val="NoSpacing"/>
        <w:rPr>
          <w:rFonts w:ascii="Arial Black" w:hAnsi="Arial Black"/>
          <w:sz w:val="28"/>
          <w:szCs w:val="28"/>
        </w:rPr>
      </w:pPr>
    </w:p>
    <w:p w14:paraId="362ECEB9" w14:textId="07FA00FC" w:rsidR="00A755CA" w:rsidRDefault="00A755CA"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5</w:t>
      </w:r>
    </w:p>
    <w:p w14:paraId="457DBF89" w14:textId="77777777" w:rsidR="00A755CA" w:rsidRDefault="00A755CA" w:rsidP="00F326E5">
      <w:pPr>
        <w:pStyle w:val="NoSpacing"/>
        <w:rPr>
          <w:rFonts w:ascii="Arial Black" w:hAnsi="Arial Black"/>
          <w:sz w:val="28"/>
          <w:szCs w:val="28"/>
        </w:rPr>
      </w:pPr>
    </w:p>
    <w:p w14:paraId="6644BEEB" w14:textId="4C7245C7" w:rsidR="00A755CA" w:rsidRPr="005634B1" w:rsidRDefault="00A755CA" w:rsidP="00A755CA">
      <w:pPr>
        <w:pStyle w:val="NoSpacing"/>
        <w:rPr>
          <w:rFonts w:ascii="Arial Black" w:hAnsi="Arial Black"/>
          <w:sz w:val="28"/>
          <w:szCs w:val="28"/>
          <w:shd w:val="clear" w:color="auto" w:fill="FFFFFF"/>
        </w:rPr>
      </w:pPr>
      <w:r>
        <w:rPr>
          <w:rFonts w:ascii="Arial Black" w:hAnsi="Arial Black"/>
          <w:sz w:val="28"/>
          <w:szCs w:val="28"/>
          <w:shd w:val="clear" w:color="auto" w:fill="FFFFFF"/>
        </w:rPr>
        <w:t xml:space="preserve">IL: DEMOCRATIC NATIONAL CONVENTION - SECURITY ORDINANCE – </w:t>
      </w:r>
      <w:r w:rsidR="00FB156D">
        <w:rPr>
          <w:rFonts w:ascii="Arial Black" w:hAnsi="Arial Black"/>
          <w:sz w:val="28"/>
          <w:szCs w:val="28"/>
          <w:shd w:val="clear" w:color="auto" w:fill="FFFFFF"/>
        </w:rPr>
        <w:t xml:space="preserve">PROHIBITED </w:t>
      </w:r>
      <w:r>
        <w:rPr>
          <w:rFonts w:ascii="Arial Black" w:hAnsi="Arial Black"/>
          <w:sz w:val="28"/>
          <w:szCs w:val="28"/>
          <w:shd w:val="clear" w:color="auto" w:fill="FFFFFF"/>
        </w:rPr>
        <w:t xml:space="preserve">OBJECTS “SAFETY HAZARD” - LAWFUL </w:t>
      </w:r>
    </w:p>
    <w:p w14:paraId="765D3375" w14:textId="77777777" w:rsidR="00A755CA" w:rsidRDefault="00A755CA" w:rsidP="00A755CA">
      <w:pPr>
        <w:pStyle w:val="NoSpacing"/>
        <w:rPr>
          <w:rFonts w:ascii="Times New Roman" w:hAnsi="Times New Roman"/>
          <w:sz w:val="24"/>
          <w:szCs w:val="24"/>
          <w:shd w:val="clear" w:color="auto" w:fill="FFFFFF"/>
        </w:rPr>
      </w:pPr>
    </w:p>
    <w:p w14:paraId="708BF388" w14:textId="77777777" w:rsidR="00A755CA" w:rsidRDefault="00A755CA" w:rsidP="00A755CA">
      <w:pPr>
        <w:pStyle w:val="NoSpacing"/>
        <w:rPr>
          <w:rFonts w:ascii="Times New Roman" w:hAnsi="Times New Roman"/>
          <w:color w:val="454545"/>
          <w:sz w:val="24"/>
          <w:szCs w:val="24"/>
          <w:shd w:val="clear" w:color="auto" w:fill="FFFFFF"/>
        </w:rPr>
      </w:pPr>
      <w:r>
        <w:rPr>
          <w:rFonts w:ascii="Times New Roman" w:hAnsi="Times New Roman"/>
          <w:sz w:val="24"/>
          <w:szCs w:val="24"/>
          <w:shd w:val="clear" w:color="auto" w:fill="FFFFFF"/>
        </w:rPr>
        <w:t xml:space="preserve">On July 19, 2024. </w:t>
      </w:r>
      <w:r w:rsidRPr="0080280F">
        <w:rPr>
          <w:rFonts w:ascii="Times New Roman" w:hAnsi="Times New Roman"/>
          <w:sz w:val="24"/>
          <w:szCs w:val="24"/>
          <w:shd w:val="clear" w:color="auto" w:fill="FFFFFF"/>
        </w:rPr>
        <w:t xml:space="preserve">in </w:t>
      </w:r>
      <w:r w:rsidRPr="0080280F">
        <w:rPr>
          <w:rFonts w:ascii="Times New Roman" w:hAnsi="Times New Roman"/>
          <w:color w:val="454545"/>
          <w:sz w:val="24"/>
          <w:szCs w:val="24"/>
          <w:u w:val="single"/>
          <w:shd w:val="clear" w:color="auto" w:fill="FFFFFF"/>
        </w:rPr>
        <w:t>Coalition for Reproductive Justice &amp; LGBTQ+ Liberation, et al., Plaintiffs, v. City of Chicago</w:t>
      </w:r>
      <w:r>
        <w:rPr>
          <w:rFonts w:ascii="Times New Roman" w:hAnsi="Times New Roman"/>
          <w:b/>
          <w:bCs/>
          <w:color w:val="454545"/>
          <w:sz w:val="24"/>
          <w:szCs w:val="24"/>
          <w:shd w:val="clear" w:color="auto" w:fill="FFFFFF"/>
        </w:rPr>
        <w:t xml:space="preserve">, </w:t>
      </w:r>
      <w:r>
        <w:rPr>
          <w:rFonts w:ascii="Times New Roman" w:hAnsi="Times New Roman"/>
          <w:color w:val="454545"/>
          <w:sz w:val="24"/>
          <w:szCs w:val="24"/>
          <w:shd w:val="clear" w:color="auto" w:fill="FFFFFF"/>
        </w:rPr>
        <w:t xml:space="preserve">U.S. District Court Judge Thomas M. Durkin denied an injunction sought by a group that plans to hold demonstrations at the Convention.  On April 17, 2024, the City enacted an ordinance that listed items prohibited in the “Security Footprint” including </w:t>
      </w:r>
      <w:r w:rsidRPr="0091585B">
        <w:rPr>
          <w:rFonts w:ascii="Times New Roman" w:hAnsi="Times New Roman"/>
          <w:color w:val="454545"/>
          <w:sz w:val="24"/>
          <w:szCs w:val="24"/>
          <w:shd w:val="clear" w:color="auto" w:fill="FFFFFF"/>
        </w:rPr>
        <w:t>laptops, sealed packages, drones, firearms,</w:t>
      </w:r>
      <w:r>
        <w:rPr>
          <w:rFonts w:ascii="Times New Roman" w:hAnsi="Times New Roman"/>
          <w:color w:val="454545"/>
          <w:sz w:val="24"/>
          <w:szCs w:val="24"/>
          <w:shd w:val="clear" w:color="auto" w:fill="FFFFFF"/>
        </w:rPr>
        <w:t xml:space="preserve"> </w:t>
      </w:r>
      <w:r w:rsidRPr="0091585B">
        <w:rPr>
          <w:rFonts w:ascii="Times New Roman" w:hAnsi="Times New Roman"/>
          <w:color w:val="454545"/>
          <w:sz w:val="24"/>
          <w:szCs w:val="24"/>
          <w:shd w:val="clear" w:color="auto" w:fill="FFFFFF"/>
        </w:rPr>
        <w:t>ammunition, tents, “[a]</w:t>
      </w:r>
      <w:proofErr w:type="spellStart"/>
      <w:r w:rsidRPr="0091585B">
        <w:rPr>
          <w:rFonts w:ascii="Times New Roman" w:hAnsi="Times New Roman"/>
          <w:color w:val="454545"/>
          <w:sz w:val="24"/>
          <w:szCs w:val="24"/>
          <w:shd w:val="clear" w:color="auto" w:fill="FFFFFF"/>
        </w:rPr>
        <w:t>ny</w:t>
      </w:r>
      <w:proofErr w:type="spellEnd"/>
      <w:r w:rsidRPr="0091585B">
        <w:rPr>
          <w:rFonts w:ascii="Times New Roman" w:hAnsi="Times New Roman"/>
          <w:color w:val="454545"/>
          <w:sz w:val="24"/>
          <w:szCs w:val="24"/>
          <w:shd w:val="clear" w:color="auto" w:fill="FFFFFF"/>
        </w:rPr>
        <w:t xml:space="preserve"> pointed object(s) including knives of any kind</w:t>
      </w:r>
      <w:r>
        <w:rPr>
          <w:rFonts w:ascii="Times New Roman" w:hAnsi="Times New Roman"/>
          <w:color w:val="454545"/>
          <w:sz w:val="24"/>
          <w:szCs w:val="24"/>
          <w:shd w:val="clear" w:color="auto" w:fill="FFFFFF"/>
        </w:rPr>
        <w:t>” and other items that are a “</w:t>
      </w:r>
      <w:r w:rsidRPr="00763162">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 xml:space="preserve">.” </w:t>
      </w:r>
      <w:r w:rsidRPr="00763162">
        <w:rPr>
          <w:rFonts w:ascii="Times New Roman" w:hAnsi="Times New Roman"/>
          <w:sz w:val="24"/>
          <w:szCs w:val="24"/>
          <w:shd w:val="clear" w:color="auto" w:fill="FFFFFF"/>
        </w:rPr>
        <w:t xml:space="preserve"> </w:t>
      </w:r>
      <w:r w:rsidRPr="00515584">
        <w:rPr>
          <w:rFonts w:ascii="Times New Roman" w:hAnsi="Times New Roman"/>
          <w:color w:val="454545"/>
          <w:sz w:val="24"/>
          <w:szCs w:val="24"/>
          <w:shd w:val="clear" w:color="auto" w:fill="FFFFFF"/>
        </w:rPr>
        <w:t>Plaintiffs provide affidavits stating, for example, that they intend to bring</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 xml:space="preserve">pens, first aid kits containing scissors, and </w:t>
      </w:r>
      <w:r>
        <w:rPr>
          <w:rFonts w:ascii="Times New Roman" w:hAnsi="Times New Roman"/>
          <w:color w:val="454545"/>
          <w:sz w:val="24"/>
          <w:szCs w:val="24"/>
          <w:shd w:val="clear" w:color="auto" w:fill="FFFFFF"/>
        </w:rPr>
        <w:t>‘</w:t>
      </w:r>
      <w:r w:rsidRPr="00515584">
        <w:rPr>
          <w:rFonts w:ascii="Times New Roman" w:hAnsi="Times New Roman"/>
          <w:color w:val="454545"/>
          <w:sz w:val="24"/>
          <w:szCs w:val="24"/>
          <w:shd w:val="clear" w:color="auto" w:fill="FFFFFF"/>
        </w:rPr>
        <w:t>protest buttons that attach with a pin in</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the back</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into the Security Footprint.</w:t>
      </w:r>
      <w:r>
        <w:rPr>
          <w:rFonts w:ascii="Times New Roman" w:hAnsi="Times New Roman"/>
          <w:color w:val="454545"/>
          <w:sz w:val="24"/>
          <w:szCs w:val="24"/>
          <w:shd w:val="clear" w:color="auto" w:fill="FFFFFF"/>
        </w:rPr>
        <w:t xml:space="preserve"> Judge concluded. “</w:t>
      </w:r>
      <w:r w:rsidRPr="000430B3">
        <w:rPr>
          <w:rFonts w:ascii="Times New Roman" w:hAnsi="Times New Roman"/>
          <w:color w:val="454545"/>
          <w:sz w:val="24"/>
          <w:szCs w:val="24"/>
          <w:shd w:val="clear" w:color="auto" w:fill="FFFFFF"/>
        </w:rPr>
        <w:t>It is likely that Plaintiffs will be asked</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to discard certain items (such as the scissors) before they are allowed entry into the</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 xml:space="preserve">Security Footprint, just as happens at airports </w:t>
      </w:r>
      <w:proofErr w:type="gramStart"/>
      <w:r w:rsidRPr="000430B3">
        <w:rPr>
          <w:rFonts w:ascii="Times New Roman" w:hAnsi="Times New Roman"/>
          <w:color w:val="454545"/>
          <w:sz w:val="24"/>
          <w:szCs w:val="24"/>
          <w:shd w:val="clear" w:color="auto" w:fill="FFFFFF"/>
        </w:rPr>
        <w:t>on a daily basis</w:t>
      </w:r>
      <w:proofErr w:type="gramEnd"/>
      <w:r w:rsidRPr="000430B3">
        <w:rPr>
          <w:rFonts w:ascii="Times New Roman" w:hAnsi="Times New Roman"/>
          <w:color w:val="454545"/>
          <w:sz w:val="24"/>
          <w:szCs w:val="24"/>
          <w:shd w:val="clear" w:color="auto" w:fill="FFFFFF"/>
        </w:rPr>
        <w:t>. This would not</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constitute a First Amendment injury as Plaintiffs would, upon discarding such</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innocuous items, likely be allowed entry into the Security Footprint with the</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subsequent ability to exercise their First Amendment rights.</w:t>
      </w:r>
      <w:r>
        <w:rPr>
          <w:rFonts w:ascii="Times New Roman" w:hAnsi="Times New Roman"/>
          <w:color w:val="454545"/>
          <w:sz w:val="24"/>
          <w:szCs w:val="24"/>
          <w:shd w:val="clear" w:color="auto" w:fill="FFFFFF"/>
        </w:rPr>
        <w:t xml:space="preserve"> </w:t>
      </w:r>
      <w:hyperlink r:id="rId712" w:history="1">
        <w:r w:rsidRPr="004C2534">
          <w:rPr>
            <w:rStyle w:val="Hyperlink"/>
            <w:rFonts w:ascii="Times New Roman" w:hAnsi="Times New Roman"/>
            <w:sz w:val="24"/>
            <w:szCs w:val="24"/>
            <w:shd w:val="clear" w:color="auto" w:fill="FFFFFF"/>
          </w:rPr>
          <w:t>https://www.courthousenews.com/wp-content/uploads/2024/07/LGBTQ-DNC-ordinance-block-denial.pdf</w:t>
        </w:r>
      </w:hyperlink>
      <w:r>
        <w:rPr>
          <w:rFonts w:ascii="Times New Roman" w:hAnsi="Times New Roman"/>
          <w:color w:val="454545"/>
          <w:sz w:val="24"/>
          <w:szCs w:val="24"/>
          <w:shd w:val="clear" w:color="auto" w:fill="FFFFFF"/>
        </w:rPr>
        <w:t xml:space="preserve"> </w:t>
      </w:r>
    </w:p>
    <w:p w14:paraId="440A9521" w14:textId="77777777" w:rsidR="00A755CA" w:rsidRDefault="00A755CA" w:rsidP="00A755CA">
      <w:pPr>
        <w:pStyle w:val="NoSpacing"/>
        <w:rPr>
          <w:rFonts w:ascii="Times New Roman" w:hAnsi="Times New Roman"/>
          <w:color w:val="454545"/>
          <w:sz w:val="24"/>
          <w:szCs w:val="24"/>
          <w:shd w:val="clear" w:color="auto" w:fill="FFFFFF"/>
        </w:rPr>
      </w:pPr>
    </w:p>
    <w:p w14:paraId="6507DC0B" w14:textId="77777777" w:rsidR="00A755CA" w:rsidRDefault="00A755CA" w:rsidP="00A755CA">
      <w:pPr>
        <w:pStyle w:val="NoSpacing"/>
        <w:rPr>
          <w:rFonts w:ascii="Times New Roman" w:hAnsi="Times New Roman"/>
          <w:color w:val="454545"/>
          <w:sz w:val="24"/>
          <w:szCs w:val="24"/>
          <w:shd w:val="clear" w:color="auto" w:fill="FFFFFF"/>
        </w:rPr>
      </w:pPr>
      <w:r>
        <w:rPr>
          <w:rFonts w:ascii="Times New Roman" w:hAnsi="Times New Roman"/>
          <w:color w:val="454545"/>
          <w:sz w:val="24"/>
          <w:szCs w:val="24"/>
          <w:shd w:val="clear" w:color="auto" w:fill="FFFFFF"/>
        </w:rPr>
        <w:t>THE COURT HELD:</w:t>
      </w:r>
    </w:p>
    <w:p w14:paraId="79916FA7" w14:textId="77777777" w:rsidR="00A755CA" w:rsidRDefault="00A755CA" w:rsidP="00A755CA">
      <w:pPr>
        <w:pStyle w:val="NoSpacing"/>
        <w:rPr>
          <w:rFonts w:ascii="Times New Roman" w:hAnsi="Times New Roman"/>
          <w:color w:val="454545"/>
          <w:sz w:val="24"/>
          <w:szCs w:val="24"/>
          <w:shd w:val="clear" w:color="auto" w:fill="FFFFFF"/>
        </w:rPr>
      </w:pPr>
    </w:p>
    <w:p w14:paraId="5B755BD1" w14:textId="77777777" w:rsidR="00A755CA" w:rsidRDefault="00A755CA" w:rsidP="00A755CA">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Plaintiffs take issue with the phrase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and argue that</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 xml:space="preserve">the word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hazard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is not sufficiently defined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But words are sufficiently</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 xml:space="preserve">defined where an ordinary person would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use and understand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those words in</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normal life.</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Curry, 918 F.3d at </w:t>
      </w:r>
      <w:proofErr w:type="gramStart"/>
      <w:r w:rsidRPr="00F06650">
        <w:rPr>
          <w:rFonts w:ascii="Times New Roman" w:hAnsi="Times New Roman"/>
          <w:sz w:val="24"/>
          <w:szCs w:val="24"/>
          <w:shd w:val="clear" w:color="auto" w:fill="FFFFFF"/>
        </w:rPr>
        <w:t>540 (</w:t>
      </w:r>
      <w:r>
        <w:rPr>
          <w:rFonts w:ascii="Times New Roman" w:hAnsi="Times New Roman"/>
          <w:sz w:val="24"/>
          <w:szCs w:val="24"/>
          <w:shd w:val="clear" w:color="auto" w:fill="FFFFFF"/>
        </w:rPr>
        <w:t>‘</w:t>
      </w:r>
      <w:proofErr w:type="gramEnd"/>
      <w:r w:rsidRPr="00F06650">
        <w:rPr>
          <w:rFonts w:ascii="Times New Roman" w:hAnsi="Times New Roman"/>
          <w:sz w:val="24"/>
          <w:szCs w:val="24"/>
          <w:shd w:val="clear" w:color="auto" w:fill="FFFFFF"/>
        </w:rPr>
        <w:t xml:space="preserve">Even a </w:t>
      </w:r>
      <w:proofErr w:type="gramStart"/>
      <w:r w:rsidRPr="00F06650">
        <w:rPr>
          <w:rFonts w:ascii="Times New Roman" w:hAnsi="Times New Roman"/>
          <w:sz w:val="24"/>
          <w:szCs w:val="24"/>
          <w:shd w:val="clear" w:color="auto" w:fill="FFFFFF"/>
        </w:rPr>
        <w:t>protean word</w:t>
      </w:r>
      <w:proofErr w:type="gramEnd"/>
      <w:r w:rsidRPr="00F06650">
        <w:rPr>
          <w:rFonts w:ascii="Times New Roman" w:hAnsi="Times New Roman"/>
          <w:sz w:val="24"/>
          <w:szCs w:val="24"/>
          <w:shd w:val="clear" w:color="auto" w:fill="FFFFFF"/>
        </w:rPr>
        <w:t xml:space="preserve"> such as ‘reasonable’ has</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enough of a core to allow its use in situations where rights to speak are at issue</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So</w:t>
      </w:r>
      <w:r w:rsidRPr="008F6138">
        <w:rPr>
          <w:rFonts w:ascii="Times New Roman" w:hAnsi="Times New Roman"/>
          <w:sz w:val="24"/>
          <w:szCs w:val="24"/>
          <w:shd w:val="clear" w:color="auto" w:fill="FFFFFF"/>
        </w:rPr>
        <w:t>o here, an ordinary person understands what a “hazard” is in the context of their</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everyday life. What’s more, the Ordinance supplements and clarifies the phrase</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w:t>
      </w:r>
      <w:r w:rsidRPr="008F6138">
        <w:rPr>
          <w:rFonts w:ascii="Times New Roman" w:hAnsi="Times New Roman"/>
          <w:sz w:val="24"/>
          <w:szCs w:val="24"/>
          <w:shd w:val="clear" w:color="auto" w:fill="FFFFFF"/>
        </w:rPr>
        <w:t xml:space="preserve"> with a detailed list of prohibited items set forth in Exhibit</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A.</w:t>
      </w:r>
      <w:r>
        <w:rPr>
          <w:rFonts w:ascii="Times New Roman" w:hAnsi="Times New Roman"/>
          <w:sz w:val="24"/>
          <w:szCs w:val="24"/>
          <w:shd w:val="clear" w:color="auto" w:fill="FFFFFF"/>
        </w:rPr>
        <w:t>”</w:t>
      </w:r>
    </w:p>
    <w:p w14:paraId="5173E5D3" w14:textId="77777777" w:rsidR="00A755CA" w:rsidRDefault="00A755CA" w:rsidP="00F326E5">
      <w:pPr>
        <w:pStyle w:val="NoSpacing"/>
        <w:rPr>
          <w:rFonts w:ascii="Arial Black" w:hAnsi="Arial Black"/>
          <w:sz w:val="28"/>
          <w:szCs w:val="28"/>
        </w:rPr>
      </w:pPr>
    </w:p>
    <w:p w14:paraId="4A5F5EF6" w14:textId="77777777" w:rsidR="00557000" w:rsidRPr="009E73BB" w:rsidRDefault="00557000" w:rsidP="00557000">
      <w:pPr>
        <w:pStyle w:val="NoSpacing"/>
        <w:rPr>
          <w:rFonts w:ascii="Times New Roman" w:hAnsi="Times New Roman"/>
          <w:b/>
          <w:bCs/>
          <w:color w:val="454545"/>
          <w:sz w:val="24"/>
          <w:szCs w:val="24"/>
          <w:shd w:val="clear" w:color="auto" w:fill="FFFFFF"/>
        </w:rPr>
      </w:pPr>
      <w:r>
        <w:rPr>
          <w:rFonts w:ascii="Times New Roman" w:hAnsi="Times New Roman"/>
          <w:b/>
          <w:bCs/>
          <w:color w:val="454545"/>
          <w:sz w:val="24"/>
          <w:szCs w:val="24"/>
          <w:shd w:val="clear" w:color="auto" w:fill="FFFFFF"/>
        </w:rPr>
        <w:t xml:space="preserve">Legal Lesson Learned: Security ordinance is lawful, and necessary to protect all attending the Convention.  </w:t>
      </w:r>
    </w:p>
    <w:p w14:paraId="47CAD03E" w14:textId="77777777" w:rsidR="00557000" w:rsidRPr="00D30702" w:rsidRDefault="00557000" w:rsidP="00557000">
      <w:pPr>
        <w:rPr>
          <w:rFonts w:ascii="Times New Roman" w:hAnsi="Times New Roman"/>
          <w:bCs/>
          <w:sz w:val="20"/>
          <w:szCs w:val="20"/>
        </w:rPr>
      </w:pPr>
    </w:p>
    <w:p w14:paraId="4973C308" w14:textId="147AE023" w:rsidR="00A755CA" w:rsidRDefault="00557000"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4</w:t>
      </w:r>
    </w:p>
    <w:p w14:paraId="4DEC2107" w14:textId="77777777" w:rsidR="00557000" w:rsidRDefault="00557000" w:rsidP="00F326E5">
      <w:pPr>
        <w:pStyle w:val="NoSpacing"/>
        <w:rPr>
          <w:rFonts w:ascii="Arial Black" w:hAnsi="Arial Black"/>
          <w:sz w:val="28"/>
          <w:szCs w:val="28"/>
        </w:rPr>
      </w:pPr>
    </w:p>
    <w:p w14:paraId="6B37BC1A" w14:textId="77777777" w:rsidR="00816740" w:rsidRPr="00574A8F" w:rsidRDefault="00816740" w:rsidP="00816740">
      <w:pPr>
        <w:pStyle w:val="NoSpacing"/>
        <w:rPr>
          <w:rFonts w:ascii="Arial Black" w:hAnsi="Arial Black"/>
          <w:sz w:val="28"/>
          <w:szCs w:val="28"/>
          <w:u w:val="single"/>
          <w:shd w:val="clear" w:color="auto" w:fill="FFFFFF"/>
        </w:rPr>
      </w:pPr>
      <w:r>
        <w:rPr>
          <w:rFonts w:ascii="Arial Black" w:hAnsi="Arial Black"/>
          <w:sz w:val="28"/>
          <w:szCs w:val="28"/>
          <w:shd w:val="clear" w:color="auto" w:fill="FFFFFF"/>
        </w:rPr>
        <w:t xml:space="preserve">LA: PD INJURED BY ROCK THROWER - “BLACK LIVES” PROTEST - MAY SUE PROTEST ORGANIZER NEGLIGENCE </w:t>
      </w:r>
    </w:p>
    <w:p w14:paraId="543815B3" w14:textId="77777777" w:rsidR="00816740" w:rsidRDefault="00816740" w:rsidP="00816740">
      <w:pPr>
        <w:pStyle w:val="NoSpacing"/>
        <w:rPr>
          <w:rFonts w:ascii="Times New Roman" w:hAnsi="Times New Roman"/>
          <w:sz w:val="24"/>
          <w:szCs w:val="24"/>
          <w:shd w:val="clear" w:color="auto" w:fill="FFFFFF"/>
        </w:rPr>
      </w:pPr>
      <w:r w:rsidRPr="00574A8F">
        <w:rPr>
          <w:rFonts w:ascii="Times New Roman" w:hAnsi="Times New Roman"/>
          <w:sz w:val="24"/>
          <w:szCs w:val="24"/>
          <w:shd w:val="clear" w:color="auto" w:fill="FFFFFF"/>
        </w:rPr>
        <w:t>On June 16, 2024, in</w:t>
      </w:r>
      <w:r>
        <w:rPr>
          <w:rFonts w:ascii="Times New Roman" w:hAnsi="Times New Roman"/>
          <w:sz w:val="24"/>
          <w:szCs w:val="24"/>
          <w:shd w:val="clear" w:color="auto" w:fill="FFFFFF"/>
        </w:rPr>
        <w:t xml:space="preserve"> </w:t>
      </w:r>
      <w:r w:rsidRPr="00574A8F">
        <w:rPr>
          <w:rFonts w:ascii="Times New Roman" w:hAnsi="Times New Roman"/>
          <w:sz w:val="24"/>
          <w:szCs w:val="24"/>
          <w:u w:val="single"/>
          <w:shd w:val="clear" w:color="auto" w:fill="FFFFFF"/>
        </w:rPr>
        <w:t>Officer John Doe, Police Officer v. DeRay Mckesson; Black Lives Matter</w:t>
      </w:r>
      <w:r w:rsidRPr="00574A8F">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the U.S. Court of Appeals for 5</w:t>
      </w:r>
      <w:r w:rsidRPr="00574A8F">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(New Orleans), held (2 to 1) that a Baton Rouge police officer, who suffered </w:t>
      </w:r>
      <w:r w:rsidRPr="00A5718C">
        <w:rPr>
          <w:rFonts w:ascii="Times New Roman" w:hAnsi="Times New Roman"/>
          <w:sz w:val="24"/>
          <w:szCs w:val="24"/>
          <w:shd w:val="clear" w:color="auto" w:fill="FFFFFF"/>
        </w:rPr>
        <w:t>“loss of teeth, injury to jaw, [and] injury to brain and head</w:t>
      </w:r>
      <w:r>
        <w:rPr>
          <w:rFonts w:ascii="Times New Roman" w:hAnsi="Times New Roman"/>
          <w:sz w:val="24"/>
          <w:szCs w:val="24"/>
          <w:shd w:val="clear" w:color="auto" w:fill="FFFFFF"/>
        </w:rPr>
        <w:t xml:space="preserve">,” when an unknown </w:t>
      </w:r>
      <w:r w:rsidRPr="00A5718C">
        <w:rPr>
          <w:rFonts w:ascii="Times New Roman" w:hAnsi="Times New Roman"/>
          <w:sz w:val="24"/>
          <w:szCs w:val="24"/>
          <w:shd w:val="clear" w:color="auto" w:fill="FFFFFF"/>
        </w:rPr>
        <w:t>protestor</w:t>
      </w:r>
      <w:r>
        <w:rPr>
          <w:rFonts w:ascii="Times New Roman" w:hAnsi="Times New Roman"/>
          <w:sz w:val="24"/>
          <w:szCs w:val="24"/>
          <w:shd w:val="clear" w:color="auto" w:fill="FFFFFF"/>
        </w:rPr>
        <w:t xml:space="preserve"> threw an object during a July 9, </w:t>
      </w:r>
      <w:proofErr w:type="gramStart"/>
      <w:r>
        <w:rPr>
          <w:rFonts w:ascii="Times New Roman" w:hAnsi="Times New Roman"/>
          <w:sz w:val="24"/>
          <w:szCs w:val="24"/>
          <w:shd w:val="clear" w:color="auto" w:fill="FFFFFF"/>
        </w:rPr>
        <w:t>2016</w:t>
      </w:r>
      <w:proofErr w:type="gramEnd"/>
      <w:r>
        <w:rPr>
          <w:rFonts w:ascii="Times New Roman" w:hAnsi="Times New Roman"/>
          <w:sz w:val="24"/>
          <w:szCs w:val="24"/>
          <w:shd w:val="clear" w:color="auto" w:fill="FFFFFF"/>
        </w:rPr>
        <w:t xml:space="preserve"> demonstration, may proceed with his negligence lawsuit against the protest organizer (but can’t sue the Black Lives organization). The state Supreme Court confirmed to the 5</w:t>
      </w:r>
      <w:r w:rsidRPr="00252FD2">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that the “Fireman’s Rule” (or professional rescuer doctrine) no longer state law, so police of firefighters can sue for on duty injuries. </w:t>
      </w:r>
      <w:hyperlink r:id="rId713" w:history="1">
        <w:r w:rsidRPr="00E93E28">
          <w:rPr>
            <w:rStyle w:val="Hyperlink"/>
            <w:rFonts w:ascii="Times New Roman" w:hAnsi="Times New Roman"/>
            <w:sz w:val="24"/>
            <w:szCs w:val="24"/>
            <w:shd w:val="clear" w:color="auto" w:fill="FFFFFF"/>
          </w:rPr>
          <w:t>https://www.ca5.uscourts.gov/opinions/pub/17/17-30864-CV4.pdf</w:t>
        </w:r>
      </w:hyperlink>
      <w:r>
        <w:rPr>
          <w:rFonts w:ascii="Times New Roman" w:hAnsi="Times New Roman"/>
          <w:sz w:val="24"/>
          <w:szCs w:val="24"/>
          <w:shd w:val="clear" w:color="auto" w:fill="FFFFFF"/>
        </w:rPr>
        <w:t xml:space="preserve"> </w:t>
      </w:r>
    </w:p>
    <w:p w14:paraId="06A54F5E" w14:textId="77777777" w:rsidR="00816740" w:rsidRDefault="00816740" w:rsidP="00816740">
      <w:pPr>
        <w:pStyle w:val="NoSpacing"/>
        <w:rPr>
          <w:rFonts w:ascii="Times New Roman" w:hAnsi="Times New Roman"/>
          <w:sz w:val="24"/>
          <w:szCs w:val="24"/>
          <w:shd w:val="clear" w:color="auto" w:fill="FFFFFF"/>
        </w:rPr>
      </w:pPr>
    </w:p>
    <w:p w14:paraId="0EE28CBD" w14:textId="77777777" w:rsidR="00816740" w:rsidRDefault="00816740" w:rsidP="00816740">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243DDBFE" w14:textId="77777777" w:rsidR="00816740" w:rsidRDefault="00816740" w:rsidP="00816740">
      <w:pPr>
        <w:pStyle w:val="NoSpacing"/>
        <w:rPr>
          <w:rFonts w:ascii="Times New Roman" w:hAnsi="Times New Roman"/>
          <w:sz w:val="24"/>
          <w:szCs w:val="24"/>
          <w:shd w:val="clear" w:color="auto" w:fill="FFFFFF"/>
        </w:rPr>
      </w:pPr>
    </w:p>
    <w:p w14:paraId="742D74FD" w14:textId="77777777" w:rsidR="00816740"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615B8">
        <w:rPr>
          <w:rFonts w:ascii="Times New Roman" w:hAnsi="Times New Roman"/>
          <w:sz w:val="24"/>
          <w:szCs w:val="24"/>
          <w:shd w:val="clear" w:color="auto" w:fill="FFFFFF"/>
        </w:rPr>
        <w:t>This case returns to us after remand from the Supreme Court and certification to the Supreme Court of Louisiana. The controversy concerns a</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Black Lives Matter protest organized and led by Appellee DeRay Mckesson.</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During that protest, an unidentified demonstrator struck Appellant John</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Doe, a police officer in the Baton Rouge Police Department, with a heavy</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object, causing him to sustain severe injuries.</w:t>
      </w:r>
      <w:r>
        <w:rPr>
          <w:rFonts w:ascii="Times New Roman" w:hAnsi="Times New Roman"/>
          <w:sz w:val="24"/>
          <w:szCs w:val="24"/>
          <w:shd w:val="clear" w:color="auto" w:fill="FFFFFF"/>
        </w:rPr>
        <w:t xml:space="preserve"> </w:t>
      </w:r>
    </w:p>
    <w:p w14:paraId="0EEE0653" w14:textId="77777777" w:rsidR="00816740" w:rsidRDefault="00816740" w:rsidP="00816740">
      <w:pPr>
        <w:pStyle w:val="NoSpacing"/>
        <w:ind w:left="720"/>
        <w:rPr>
          <w:rFonts w:ascii="Times New Roman" w:hAnsi="Times New Roman"/>
          <w:sz w:val="24"/>
          <w:szCs w:val="24"/>
          <w:shd w:val="clear" w:color="auto" w:fill="FFFFFF"/>
        </w:rPr>
      </w:pPr>
    </w:p>
    <w:p w14:paraId="5C754DBB" w14:textId="77777777" w:rsidR="00816740"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1B33E5E3" w14:textId="77777777" w:rsidR="00816740" w:rsidRPr="00C9029A"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C9029A">
        <w:rPr>
          <w:rFonts w:ascii="Times New Roman" w:hAnsi="Times New Roman"/>
          <w:sz w:val="24"/>
          <w:szCs w:val="24"/>
          <w:shd w:val="clear" w:color="auto" w:fill="FFFFFF"/>
        </w:rPr>
        <w:t xml:space="preserve">Our limited holding guarantees only that Doe may proceed to discovery on his negligence claim. It does not guarantee that he will prevail </w:t>
      </w:r>
      <w:proofErr w:type="gramStart"/>
      <w:r w:rsidRPr="00C9029A">
        <w:rPr>
          <w:rFonts w:ascii="Times New Roman" w:hAnsi="Times New Roman"/>
          <w:sz w:val="24"/>
          <w:szCs w:val="24"/>
          <w:shd w:val="clear" w:color="auto" w:fill="FFFFFF"/>
        </w:rPr>
        <w:t>on</w:t>
      </w:r>
      <w:proofErr w:type="gramEnd"/>
      <w:r w:rsidRPr="00C9029A">
        <w:rPr>
          <w:rFonts w:ascii="Times New Roman" w:hAnsi="Times New Roman"/>
          <w:sz w:val="24"/>
          <w:szCs w:val="24"/>
          <w:shd w:val="clear" w:color="auto" w:fill="FFFFFF"/>
        </w:rPr>
        <w:t xml:space="preserve"> that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claim. Mckesson will have every opportunity to discover and offer evidence</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disproving Doe’s allegations that Mckesson breached his duty of care, and</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 xml:space="preserve">that the breach was a </w:t>
      </w:r>
      <w:proofErr w:type="spellStart"/>
      <w:proofErr w:type="gramStart"/>
      <w:r w:rsidRPr="00C9029A">
        <w:rPr>
          <w:rFonts w:ascii="Times New Roman" w:hAnsi="Times New Roman"/>
          <w:sz w:val="24"/>
          <w:szCs w:val="24"/>
          <w:shd w:val="clear" w:color="auto" w:fill="FFFFFF"/>
        </w:rPr>
        <w:t>but</w:t>
      </w:r>
      <w:proofErr w:type="spellEnd"/>
      <w:proofErr w:type="gramEnd"/>
      <w:r w:rsidRPr="00C9029A">
        <w:rPr>
          <w:rFonts w:ascii="Times New Roman" w:hAnsi="Times New Roman"/>
          <w:sz w:val="24"/>
          <w:szCs w:val="24"/>
          <w:shd w:val="clear" w:color="auto" w:fill="FFFFFF"/>
        </w:rPr>
        <w:t xml:space="preserve">-for cause of Doe’s injuries. Likewise, and </w:t>
      </w:r>
      <w:proofErr w:type="gramStart"/>
      <w:r w:rsidRPr="00C9029A">
        <w:rPr>
          <w:rFonts w:ascii="Times New Roman" w:hAnsi="Times New Roman"/>
          <w:sz w:val="24"/>
          <w:szCs w:val="24"/>
          <w:shd w:val="clear" w:color="auto" w:fill="FFFFFF"/>
        </w:rPr>
        <w:t>in light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of the fact that</w:t>
      </w:r>
      <w:proofErr w:type="gramEnd"/>
      <w:r w:rsidRPr="00C9029A">
        <w:rPr>
          <w:rFonts w:ascii="Times New Roman" w:hAnsi="Times New Roman"/>
          <w:sz w:val="24"/>
          <w:szCs w:val="24"/>
          <w:shd w:val="clear" w:color="auto" w:fill="FFFFFF"/>
        </w:rPr>
        <w:t xml:space="preserve"> Doe seeks to avail himself of Louisiana tort law, Mckesson is</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entitled to seek to avail himself of traditional tort defenses. These defenses</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would of course be available to future defendants in future cases. For exam-</w:t>
      </w:r>
    </w:p>
    <w:p w14:paraId="3106FEF9" w14:textId="77777777" w:rsidR="00816740" w:rsidRDefault="00816740" w:rsidP="00816740">
      <w:pPr>
        <w:pStyle w:val="NoSpacing"/>
        <w:ind w:left="720"/>
        <w:rPr>
          <w:rFonts w:ascii="Times New Roman" w:hAnsi="Times New Roman"/>
          <w:sz w:val="24"/>
          <w:szCs w:val="24"/>
          <w:shd w:val="clear" w:color="auto" w:fill="FFFFFF"/>
        </w:rPr>
      </w:pPr>
      <w:proofErr w:type="spellStart"/>
      <w:r w:rsidRPr="00C9029A">
        <w:rPr>
          <w:rFonts w:ascii="Times New Roman" w:hAnsi="Times New Roman"/>
          <w:sz w:val="24"/>
          <w:szCs w:val="24"/>
          <w:shd w:val="clear" w:color="auto" w:fill="FFFFFF"/>
        </w:rPr>
        <w:t>ple</w:t>
      </w:r>
      <w:proofErr w:type="spellEnd"/>
      <w:r w:rsidRPr="00C9029A">
        <w:rPr>
          <w:rFonts w:ascii="Times New Roman" w:hAnsi="Times New Roman"/>
          <w:sz w:val="24"/>
          <w:szCs w:val="24"/>
          <w:shd w:val="clear" w:color="auto" w:fill="FFFFFF"/>
        </w:rPr>
        <w:t>, if a defendant could show that a police officer improperly provoked a</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confrontation with a protestor, the defendant might assert the defense of</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comparative negligence, which remains available to assign proportional fault,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as the Supreme Court of Louisiana explained on certification.</w:t>
      </w:r>
      <w:r>
        <w:rPr>
          <w:rFonts w:ascii="Times New Roman" w:hAnsi="Times New Roman"/>
          <w:sz w:val="24"/>
          <w:szCs w:val="24"/>
          <w:shd w:val="clear" w:color="auto" w:fill="FFFFFF"/>
        </w:rPr>
        <w:t>”</w:t>
      </w:r>
    </w:p>
    <w:p w14:paraId="44701D31" w14:textId="77777777" w:rsidR="00075B1D" w:rsidRDefault="00075B1D" w:rsidP="00F326E5">
      <w:pPr>
        <w:pStyle w:val="NoSpacing"/>
        <w:rPr>
          <w:rFonts w:ascii="Arial Black" w:hAnsi="Arial Black"/>
          <w:sz w:val="28"/>
          <w:szCs w:val="28"/>
        </w:rPr>
      </w:pPr>
    </w:p>
    <w:p w14:paraId="63659004" w14:textId="77777777" w:rsidR="009C2555" w:rsidRDefault="009C2555" w:rsidP="009C2555">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DISSENT:</w:t>
      </w:r>
    </w:p>
    <w:p w14:paraId="4A52D713" w14:textId="77777777" w:rsidR="009C2555" w:rsidRDefault="009C2555" w:rsidP="009C2555">
      <w:pPr>
        <w:pStyle w:val="NoSpacing"/>
        <w:rPr>
          <w:rFonts w:ascii="Times New Roman" w:hAnsi="Times New Roman"/>
          <w:sz w:val="24"/>
          <w:szCs w:val="24"/>
          <w:shd w:val="clear" w:color="auto" w:fill="FFFFFF"/>
        </w:rPr>
      </w:pPr>
    </w:p>
    <w:p w14:paraId="6711C3C6" w14:textId="77777777" w:rsidR="009C2555" w:rsidRPr="002D5F98" w:rsidRDefault="009C2555" w:rsidP="009C2555">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2D5F98">
        <w:rPr>
          <w:rFonts w:ascii="Times New Roman" w:hAnsi="Times New Roman"/>
          <w:sz w:val="24"/>
          <w:szCs w:val="24"/>
          <w:shd w:val="clear" w:color="auto" w:fill="FFFFFF"/>
        </w:rPr>
        <w:t>Officer John Doe was honoring his oath to serve and protect the</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people of Baton Rouge when an unidentified violent protestor hurled a rock</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or something like it, striking Doe in the face and inflicting devastating</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 xml:space="preserve">injuries. Officer Doe risked his life to keep his city safe that </w:t>
      </w:r>
      <w:proofErr w:type="gramStart"/>
      <w:r w:rsidRPr="002D5F98">
        <w:rPr>
          <w:rFonts w:ascii="Times New Roman" w:hAnsi="Times New Roman"/>
          <w:sz w:val="24"/>
          <w:szCs w:val="24"/>
          <w:shd w:val="clear" w:color="auto" w:fill="FFFFFF"/>
        </w:rPr>
        <w:t>day—same</w:t>
      </w:r>
      <w:proofErr w:type="gramEnd"/>
      <w:r w:rsidRPr="002D5F98">
        <w:rPr>
          <w:rFonts w:ascii="Times New Roman" w:hAnsi="Times New Roman"/>
          <w:sz w:val="24"/>
          <w:szCs w:val="24"/>
          <w:shd w:val="clear" w:color="auto" w:fill="FFFFFF"/>
        </w:rPr>
        <w:t xml:space="preserve"> as</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every other day he put on the uniform. He deserves justice. Unquestionably,</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Officer Doe can sue the rock-thrower. But I disagree that he can sue</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Mckesson as the protest leader. The Constitution that Officer Doe swore to</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protect itself protects Mckesson’s rights to speak, assemble, associate, and</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petition. First Amendment freedoms are not absolute—but there’s the rub:</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Did Mckesson stray from lawfully exercising his own rights to unlawfully</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exorcising Doe’s? I don’t believe he did.</w:t>
      </w:r>
      <w:r>
        <w:rPr>
          <w:rFonts w:ascii="Times New Roman" w:hAnsi="Times New Roman"/>
          <w:sz w:val="24"/>
          <w:szCs w:val="24"/>
          <w:shd w:val="clear" w:color="auto" w:fill="FFFFFF"/>
        </w:rPr>
        <w:t>”</w:t>
      </w:r>
    </w:p>
    <w:p w14:paraId="42D43E44" w14:textId="77777777" w:rsidR="009C2555" w:rsidRDefault="009C2555" w:rsidP="00F326E5">
      <w:pPr>
        <w:pStyle w:val="NoSpacing"/>
        <w:rPr>
          <w:rFonts w:ascii="Arial Black" w:hAnsi="Arial Black"/>
          <w:sz w:val="28"/>
          <w:szCs w:val="28"/>
        </w:rPr>
      </w:pPr>
    </w:p>
    <w:p w14:paraId="4A6CFF9F" w14:textId="77777777" w:rsidR="00FC09B8" w:rsidRPr="0076259E" w:rsidRDefault="00FC09B8" w:rsidP="00FC09B8">
      <w:pPr>
        <w:pStyle w:val="NoSpacing"/>
        <w:rPr>
          <w:rFonts w:ascii="Times New Roman" w:hAnsi="Times New Roman"/>
          <w:b/>
          <w:bCs/>
          <w:sz w:val="24"/>
          <w:szCs w:val="24"/>
          <w:shd w:val="clear" w:color="auto" w:fill="FFFFFF"/>
        </w:rPr>
      </w:pPr>
      <w:r w:rsidRPr="0076259E">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Protests can quickly get ugly; this is an important decision on potential liability of a protest leader. </w:t>
      </w:r>
    </w:p>
    <w:p w14:paraId="52976248" w14:textId="77777777" w:rsidR="00FC09B8" w:rsidRPr="00F00C70" w:rsidRDefault="00FC09B8" w:rsidP="00FC09B8">
      <w:pPr>
        <w:pStyle w:val="NormalWeb"/>
        <w:ind w:left="720"/>
        <w:rPr>
          <w:shd w:val="clear" w:color="auto" w:fill="FFFFFF"/>
        </w:rPr>
      </w:pPr>
      <w:r w:rsidRPr="00F00C70">
        <w:rPr>
          <w:color w:val="454545"/>
          <w:shd w:val="clear" w:color="auto" w:fill="FFFFFF"/>
        </w:rPr>
        <w:t>Note:</w:t>
      </w:r>
      <w:r w:rsidRPr="00F00C70">
        <w:rPr>
          <w:b/>
          <w:bCs/>
          <w:color w:val="454545"/>
          <w:shd w:val="clear" w:color="auto" w:fill="FFFFFF"/>
        </w:rPr>
        <w:t xml:space="preserve">  </w:t>
      </w:r>
      <w:r w:rsidRPr="00F00C70">
        <w:rPr>
          <w:color w:val="454545"/>
          <w:shd w:val="clear" w:color="auto" w:fill="FFFFFF"/>
        </w:rPr>
        <w:t xml:space="preserve">Louisiana </w:t>
      </w:r>
      <w:r>
        <w:rPr>
          <w:color w:val="454545"/>
          <w:shd w:val="clear" w:color="auto" w:fill="FFFFFF"/>
        </w:rPr>
        <w:t xml:space="preserve">has abolished </w:t>
      </w:r>
      <w:r w:rsidRPr="00F00C70">
        <w:rPr>
          <w:color w:val="454545"/>
          <w:shd w:val="clear" w:color="auto" w:fill="FFFFFF"/>
        </w:rPr>
        <w:t>the “Fireman’s Rule</w:t>
      </w:r>
      <w:r>
        <w:rPr>
          <w:color w:val="454545"/>
          <w:shd w:val="clear" w:color="auto" w:fill="FFFFFF"/>
        </w:rPr>
        <w:t>.</w:t>
      </w:r>
      <w:r w:rsidRPr="00F00C70">
        <w:rPr>
          <w:color w:val="454545"/>
          <w:shd w:val="clear" w:color="auto" w:fill="FFFFFF"/>
        </w:rPr>
        <w:t>”</w:t>
      </w:r>
      <w:r w:rsidRPr="00F00C70">
        <w:rPr>
          <w:b/>
          <w:bCs/>
          <w:color w:val="454545"/>
          <w:shd w:val="clear" w:color="auto" w:fill="FFFFFF"/>
        </w:rPr>
        <w:t xml:space="preserve"> </w:t>
      </w:r>
      <w:r w:rsidRPr="00F00C70">
        <w:rPr>
          <w:color w:val="454545"/>
          <w:shd w:val="clear" w:color="auto" w:fill="FFFFFF"/>
        </w:rPr>
        <w:t xml:space="preserve">See </w:t>
      </w:r>
      <w:r w:rsidRPr="00F00C70">
        <w:rPr>
          <w:shd w:val="clear" w:color="auto" w:fill="FFFFFF"/>
        </w:rPr>
        <w:t>Footnote 6: “As noted above, we previously apprehended that Louisiana’s professional rescuer’s doctrine might apply here and bar Doe’s negligence claim….  But on certification, the Supreme Court of Louisiana held that the doctrine has been ‘abrogated in Louisiana both legislatively and jurisprudentially’ … As such, the doctrine poses no bar to Doe’s recovery here.”</w:t>
      </w:r>
    </w:p>
    <w:p w14:paraId="47EF8278" w14:textId="77777777" w:rsidR="00FC09B8" w:rsidRDefault="00FC09B8" w:rsidP="00F326E5">
      <w:pPr>
        <w:pStyle w:val="NoSpacing"/>
        <w:rPr>
          <w:rFonts w:ascii="Arial Black" w:hAnsi="Arial Black"/>
          <w:sz w:val="28"/>
          <w:szCs w:val="28"/>
        </w:rPr>
      </w:pPr>
    </w:p>
    <w:p w14:paraId="24D5A8D6" w14:textId="77777777" w:rsidR="00A755CA" w:rsidRDefault="00A755CA" w:rsidP="00F326E5">
      <w:pPr>
        <w:pStyle w:val="NoSpacing"/>
        <w:rPr>
          <w:rFonts w:ascii="Arial Black" w:hAnsi="Arial Black"/>
          <w:sz w:val="28"/>
          <w:szCs w:val="28"/>
        </w:rPr>
      </w:pPr>
    </w:p>
    <w:p w14:paraId="61108D85" w14:textId="17F4DDD5" w:rsidR="00E858DE" w:rsidRDefault="00E858DE"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3</w:t>
      </w:r>
    </w:p>
    <w:p w14:paraId="1D109C5F" w14:textId="77777777" w:rsidR="00E75F2A" w:rsidRDefault="00E75F2A" w:rsidP="00E75F2A">
      <w:pPr>
        <w:pStyle w:val="NormalWeb"/>
        <w:rPr>
          <w:rFonts w:ascii="Arial Black" w:hAnsi="Arial Black"/>
          <w:sz w:val="28"/>
          <w:szCs w:val="28"/>
        </w:rPr>
      </w:pPr>
      <w:r>
        <w:rPr>
          <w:rFonts w:ascii="Arial Black" w:hAnsi="Arial Black"/>
          <w:sz w:val="28"/>
          <w:szCs w:val="28"/>
        </w:rPr>
        <w:t>U.S. SUP. CT:  PARKLAND SHOOTING – NRA CAN SUE STATE OF NY – 1</w:t>
      </w:r>
      <w:r w:rsidRPr="00EC6994">
        <w:rPr>
          <w:rFonts w:ascii="Arial Black" w:hAnsi="Arial Black"/>
          <w:sz w:val="28"/>
          <w:szCs w:val="28"/>
          <w:vertAlign w:val="superscript"/>
        </w:rPr>
        <w:t>st</w:t>
      </w:r>
      <w:r>
        <w:rPr>
          <w:rFonts w:ascii="Arial Black" w:hAnsi="Arial Black"/>
          <w:sz w:val="28"/>
          <w:szCs w:val="28"/>
        </w:rPr>
        <w:t xml:space="preserve"> AMEND – TOLD INSUR. COMPANYS DROP NRA </w:t>
      </w:r>
    </w:p>
    <w:p w14:paraId="5657AEBD" w14:textId="77777777" w:rsidR="009334CD" w:rsidRDefault="00E75F2A" w:rsidP="00E75F2A">
      <w:pPr>
        <w:pStyle w:val="NormalWeb"/>
      </w:pPr>
      <w:r>
        <w:t xml:space="preserve">On May 30, 2024, </w:t>
      </w:r>
      <w:r w:rsidRPr="0021798A">
        <w:rPr>
          <w:u w:val="single"/>
        </w:rPr>
        <w:t>in National Rifle Association v.  Vullo</w:t>
      </w:r>
      <w:r>
        <w:t xml:space="preserve"> (Maria Vullo, former Superintendent of the New York Department of Financial Services), the U.S. Supreme Court held (9 to 0) that NRA’s lawsuit for alleged violation of First Amendment shall be reinstated and proceed to pre-trial discovery, thereby reversing U.S. Court of Appeals for 2</w:t>
      </w:r>
      <w:r w:rsidRPr="008820A5">
        <w:rPr>
          <w:vertAlign w:val="superscript"/>
        </w:rPr>
        <w:t>nd</w:t>
      </w:r>
      <w:r>
        <w:t xml:space="preserve"> Circuit which had ordered case dismissed.  In 2017, a gun-control advocacy group had advised Vullo that insurance companies in New York were illegally insuring NRA members who purchased “Carry Guard” that they would be insured even for intentional criminal acts; Vullo opened an investigation of two insurance companies (who were fined and cancelled their policies).  On Feb. 14, 2018, February 14, 2018, a gunman opened fire at Marjory Stoneman Douglas High School, murdering 17 students and staff members.  The Governor and Vullo then started warning NY insurance companies to not insure NRA, including a “private meeting” by Vullo with insurance executives.  </w:t>
      </w:r>
    </w:p>
    <w:p w14:paraId="6CB42823" w14:textId="68350D17" w:rsidR="009334CD" w:rsidRDefault="009334CD" w:rsidP="00E75F2A">
      <w:pPr>
        <w:pStyle w:val="NormalWeb"/>
      </w:pPr>
      <w:r>
        <w:t xml:space="preserve">THE COURT HELD: </w:t>
      </w:r>
    </w:p>
    <w:p w14:paraId="7032A1F9" w14:textId="77777777" w:rsidR="00E75F2A" w:rsidRDefault="00E75F2A" w:rsidP="00E75F2A">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06708">
        <w:rPr>
          <w:rFonts w:ascii="Times New Roman" w:hAnsi="Times New Roman"/>
          <w:sz w:val="24"/>
          <w:szCs w:val="24"/>
          <w:shd w:val="clear" w:color="auto" w:fill="FFFFFF"/>
        </w:rPr>
        <w:t>As discussed below, Vullo was free to criticize the NRA</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and pursue the conceded violations of New York insurance</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law. She could not wield her power, however, to threaten</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 xml:space="preserve">enforcement actions against DFS-regulated entities </w:t>
      </w:r>
      <w:proofErr w:type="gramStart"/>
      <w:r w:rsidRPr="00506708">
        <w:rPr>
          <w:rFonts w:ascii="Times New Roman" w:hAnsi="Times New Roman"/>
          <w:sz w:val="24"/>
          <w:szCs w:val="24"/>
          <w:shd w:val="clear" w:color="auto" w:fill="FFFFFF"/>
        </w:rPr>
        <w:t>in order to</w:t>
      </w:r>
      <w:proofErr w:type="gramEnd"/>
      <w:r w:rsidRPr="00506708">
        <w:rPr>
          <w:rFonts w:ascii="Times New Roman" w:hAnsi="Times New Roman"/>
          <w:sz w:val="24"/>
          <w:szCs w:val="24"/>
          <w:shd w:val="clear" w:color="auto" w:fill="FFFFFF"/>
        </w:rPr>
        <w:t xml:space="preserve"> punish or suppress the NRA’s gun-promotion advocacy. Because the complaint plausibly alleges that Vullo</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did just that, the Court holds that the NRA stated a First</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Amendment violation.</w:t>
      </w:r>
    </w:p>
    <w:p w14:paraId="617CB12F" w14:textId="77777777" w:rsidR="00E75F2A" w:rsidRDefault="00E75F2A" w:rsidP="00E75F2A">
      <w:pPr>
        <w:pStyle w:val="NoSpacing"/>
        <w:rPr>
          <w:rFonts w:ascii="Times New Roman" w:hAnsi="Times New Roman"/>
          <w:sz w:val="24"/>
          <w:szCs w:val="24"/>
          <w:shd w:val="clear" w:color="auto" w:fill="FFFFFF"/>
        </w:rPr>
      </w:pPr>
    </w:p>
    <w:p w14:paraId="07A64F4A" w14:textId="77777777" w:rsidR="00E75F2A" w:rsidRDefault="00E75F2A" w:rsidP="00E75F2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123C7CFD" w14:textId="77777777" w:rsidR="00E75F2A" w:rsidRPr="00DC0294" w:rsidRDefault="00E75F2A" w:rsidP="00E75F2A">
      <w:pPr>
        <w:pStyle w:val="NoSpacing"/>
        <w:ind w:left="720"/>
        <w:rPr>
          <w:rFonts w:ascii="Times New Roman" w:hAnsi="Times New Roman"/>
          <w:sz w:val="24"/>
          <w:szCs w:val="24"/>
          <w:shd w:val="clear" w:color="auto" w:fill="FFFFFF"/>
        </w:rPr>
      </w:pPr>
      <w:r w:rsidRPr="00DC0294">
        <w:rPr>
          <w:rFonts w:ascii="Times New Roman" w:hAnsi="Times New Roman"/>
          <w:sz w:val="24"/>
          <w:szCs w:val="24"/>
          <w:shd w:val="clear" w:color="auto" w:fill="FFFFFF"/>
        </w:rPr>
        <w:t>For the reasons discussed above, the Court holds that the</w:t>
      </w:r>
      <w:r>
        <w:rPr>
          <w:rFonts w:ascii="Times New Roman" w:hAnsi="Times New Roman"/>
          <w:sz w:val="24"/>
          <w:szCs w:val="24"/>
          <w:shd w:val="clear" w:color="auto" w:fill="FFFFFF"/>
        </w:rPr>
        <w:t xml:space="preserve"> </w:t>
      </w:r>
      <w:r w:rsidRPr="00DC0294">
        <w:rPr>
          <w:rFonts w:ascii="Times New Roman" w:hAnsi="Times New Roman"/>
          <w:sz w:val="24"/>
          <w:szCs w:val="24"/>
          <w:shd w:val="clear" w:color="auto" w:fill="FFFFFF"/>
        </w:rPr>
        <w:t xml:space="preserve">NRA plausibly alleged that Vullo violated the First Amendment by coercing DFS-regulated entities to terminate </w:t>
      </w:r>
      <w:proofErr w:type="gramStart"/>
      <w:r w:rsidRPr="00DC0294">
        <w:rPr>
          <w:rFonts w:ascii="Times New Roman" w:hAnsi="Times New Roman"/>
          <w:sz w:val="24"/>
          <w:szCs w:val="24"/>
          <w:shd w:val="clear" w:color="auto" w:fill="FFFFFF"/>
        </w:rPr>
        <w:t>their</w:t>
      </w:r>
      <w:proofErr w:type="gramEnd"/>
    </w:p>
    <w:p w14:paraId="3593A4BE" w14:textId="77777777" w:rsidR="00E75F2A" w:rsidRDefault="00E75F2A" w:rsidP="00E75F2A">
      <w:pPr>
        <w:pStyle w:val="NoSpacing"/>
        <w:ind w:left="720"/>
        <w:rPr>
          <w:rFonts w:ascii="Times New Roman" w:hAnsi="Times New Roman"/>
          <w:sz w:val="24"/>
          <w:szCs w:val="24"/>
          <w:shd w:val="clear" w:color="auto" w:fill="FFFFFF"/>
        </w:rPr>
      </w:pPr>
      <w:r w:rsidRPr="00DC0294">
        <w:rPr>
          <w:rFonts w:ascii="Times New Roman" w:hAnsi="Times New Roman"/>
          <w:sz w:val="24"/>
          <w:szCs w:val="24"/>
          <w:shd w:val="clear" w:color="auto" w:fill="FFFFFF"/>
        </w:rPr>
        <w:t xml:space="preserve">business relationships with the NRA </w:t>
      </w:r>
      <w:proofErr w:type="gramStart"/>
      <w:r w:rsidRPr="00DC0294">
        <w:rPr>
          <w:rFonts w:ascii="Times New Roman" w:hAnsi="Times New Roman"/>
          <w:sz w:val="24"/>
          <w:szCs w:val="24"/>
          <w:shd w:val="clear" w:color="auto" w:fill="FFFFFF"/>
        </w:rPr>
        <w:t>in order to</w:t>
      </w:r>
      <w:proofErr w:type="gramEnd"/>
      <w:r w:rsidRPr="00DC0294">
        <w:rPr>
          <w:rFonts w:ascii="Times New Roman" w:hAnsi="Times New Roman"/>
          <w:sz w:val="24"/>
          <w:szCs w:val="24"/>
          <w:shd w:val="clear" w:color="auto" w:fill="FFFFFF"/>
        </w:rPr>
        <w:t xml:space="preserve"> punish or</w:t>
      </w:r>
      <w:r>
        <w:rPr>
          <w:rFonts w:ascii="Times New Roman" w:hAnsi="Times New Roman"/>
          <w:sz w:val="24"/>
          <w:szCs w:val="24"/>
          <w:shd w:val="clear" w:color="auto" w:fill="FFFFFF"/>
        </w:rPr>
        <w:t xml:space="preserve"> </w:t>
      </w:r>
      <w:r w:rsidRPr="00DC0294">
        <w:rPr>
          <w:rFonts w:ascii="Times New Roman" w:hAnsi="Times New Roman"/>
          <w:sz w:val="24"/>
          <w:szCs w:val="24"/>
          <w:shd w:val="clear" w:color="auto" w:fill="FFFFFF"/>
        </w:rPr>
        <w:t>suppress the NRA’s advocacy.</w:t>
      </w:r>
      <w:r>
        <w:rPr>
          <w:rFonts w:ascii="Times New Roman" w:hAnsi="Times New Roman"/>
          <w:sz w:val="24"/>
          <w:szCs w:val="24"/>
          <w:shd w:val="clear" w:color="auto" w:fill="FFFFFF"/>
        </w:rPr>
        <w:t>”</w:t>
      </w:r>
      <w:r w:rsidRPr="00B8727E">
        <w:t xml:space="preserve"> </w:t>
      </w:r>
      <w:hyperlink r:id="rId714" w:history="1">
        <w:r w:rsidRPr="00220336">
          <w:rPr>
            <w:rStyle w:val="Hyperlink"/>
            <w:rFonts w:ascii="Times New Roman" w:hAnsi="Times New Roman"/>
            <w:sz w:val="24"/>
            <w:szCs w:val="24"/>
            <w:shd w:val="clear" w:color="auto" w:fill="FFFFFF"/>
          </w:rPr>
          <w:t>https://www.supremecourt.gov/opinions/23pdf/22-842_6kg7.pdf</w:t>
        </w:r>
      </w:hyperlink>
      <w:r>
        <w:rPr>
          <w:rFonts w:ascii="Times New Roman" w:hAnsi="Times New Roman"/>
          <w:sz w:val="24"/>
          <w:szCs w:val="24"/>
          <w:shd w:val="clear" w:color="auto" w:fill="FFFFFF"/>
        </w:rPr>
        <w:t xml:space="preserve"> </w:t>
      </w:r>
    </w:p>
    <w:p w14:paraId="047BD114" w14:textId="77777777" w:rsidR="00E75F2A" w:rsidRDefault="00E75F2A" w:rsidP="00F326E5">
      <w:pPr>
        <w:pStyle w:val="NoSpacing"/>
        <w:rPr>
          <w:rFonts w:ascii="Arial Black" w:hAnsi="Arial Black"/>
          <w:sz w:val="28"/>
          <w:szCs w:val="28"/>
        </w:rPr>
      </w:pPr>
    </w:p>
    <w:p w14:paraId="099758B6" w14:textId="77777777" w:rsidR="003F14B8" w:rsidRPr="00A63606" w:rsidRDefault="003F14B8" w:rsidP="003F14B8">
      <w:pPr>
        <w:pStyle w:val="NoSpacing"/>
        <w:rPr>
          <w:rFonts w:ascii="Times New Roman" w:hAnsi="Times New Roman"/>
          <w:b/>
          <w:bCs/>
          <w:sz w:val="24"/>
          <w:szCs w:val="24"/>
          <w:shd w:val="clear" w:color="auto" w:fill="FFFFFF"/>
        </w:rPr>
      </w:pPr>
      <w:r w:rsidRPr="00A63606">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This unanimous First Amendment decision will undoubtedly lead to other cases against government officials; fire code enforcers should use great care in publicly discussing targets of investigation. </w:t>
      </w:r>
    </w:p>
    <w:p w14:paraId="79271AA2" w14:textId="77777777" w:rsidR="00E858DE" w:rsidRDefault="00E858DE" w:rsidP="00F326E5">
      <w:pPr>
        <w:pStyle w:val="NoSpacing"/>
        <w:rPr>
          <w:rFonts w:ascii="Arial Black" w:hAnsi="Arial Black"/>
          <w:sz w:val="28"/>
          <w:szCs w:val="28"/>
        </w:rPr>
      </w:pPr>
    </w:p>
    <w:p w14:paraId="63F500A9" w14:textId="77777777" w:rsidR="00E858DE" w:rsidRDefault="00E858DE" w:rsidP="00F326E5">
      <w:pPr>
        <w:pStyle w:val="NoSpacing"/>
        <w:rPr>
          <w:rFonts w:ascii="Arial Black" w:hAnsi="Arial Black"/>
          <w:sz w:val="28"/>
          <w:szCs w:val="28"/>
        </w:rPr>
      </w:pPr>
    </w:p>
    <w:p w14:paraId="03437754" w14:textId="77777777" w:rsidR="00E858DE" w:rsidRDefault="00E858DE" w:rsidP="00F326E5">
      <w:pPr>
        <w:pStyle w:val="NoSpacing"/>
        <w:rPr>
          <w:rFonts w:ascii="Arial Black" w:hAnsi="Arial Black"/>
          <w:sz w:val="28"/>
          <w:szCs w:val="28"/>
        </w:rPr>
      </w:pPr>
    </w:p>
    <w:p w14:paraId="29BCA901" w14:textId="742F2452" w:rsidR="00683F2A" w:rsidRDefault="00683F2A"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2</w:t>
      </w:r>
    </w:p>
    <w:p w14:paraId="780A2029" w14:textId="77777777" w:rsidR="00E858DE" w:rsidRDefault="00E858DE" w:rsidP="00683F2A">
      <w:pPr>
        <w:pStyle w:val="NormalWeb"/>
        <w:spacing w:before="0" w:beforeAutospacing="0"/>
        <w:rPr>
          <w:rFonts w:ascii="Arial Black" w:hAnsi="Arial Black"/>
          <w:b/>
          <w:bCs/>
          <w:color w:val="454545"/>
          <w:sz w:val="28"/>
          <w:szCs w:val="28"/>
          <w:shd w:val="clear" w:color="auto" w:fill="FFFFFF"/>
        </w:rPr>
      </w:pPr>
    </w:p>
    <w:p w14:paraId="68C07340" w14:textId="54FFE53C" w:rsidR="00683F2A" w:rsidRDefault="00683F2A" w:rsidP="00683F2A">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DC:  RETIRED NY COP - TRUMP RALLY /  U.S. CAPITOL - ATTACKED PD – WORE BODY ARMOR - 10-YRS PRISON </w:t>
      </w:r>
    </w:p>
    <w:p w14:paraId="3A124D12" w14:textId="77777777" w:rsidR="00683F2A" w:rsidRDefault="00683F2A" w:rsidP="00683F2A">
      <w:pPr>
        <w:pStyle w:val="NormalWeb"/>
        <w:spacing w:before="0" w:beforeAutospacing="0"/>
        <w:rPr>
          <w:color w:val="454545"/>
          <w:shd w:val="clear" w:color="auto" w:fill="FFFFFF"/>
        </w:rPr>
      </w:pPr>
      <w:r w:rsidRPr="00C01682">
        <w:rPr>
          <w:color w:val="454545"/>
          <w:shd w:val="clear" w:color="auto" w:fill="FFFFFF"/>
        </w:rPr>
        <w:t xml:space="preserve">On May 28, 2024, in </w:t>
      </w:r>
      <w:r w:rsidRPr="00C01682">
        <w:rPr>
          <w:color w:val="454545"/>
          <w:u w:val="single"/>
          <w:shd w:val="clear" w:color="auto" w:fill="FFFFFF"/>
        </w:rPr>
        <w:t>United States of America v. Thomas Webster</w:t>
      </w:r>
      <w:r w:rsidRPr="00C01682">
        <w:rPr>
          <w:color w:val="454545"/>
          <w:shd w:val="clear" w:color="auto" w:fill="FFFFFF"/>
        </w:rPr>
        <w:t xml:space="preserve">, </w:t>
      </w:r>
      <w:r>
        <w:rPr>
          <w:color w:val="454545"/>
          <w:shd w:val="clear" w:color="auto" w:fill="FFFFFF"/>
        </w:rPr>
        <w:t>the U.S. Court of Appeals for the District of Columbia Circuit held (3 to 0) that jury conviction of five felonies, and judge’s sentence of 10 years in prison, is confirmed. The Court held:</w:t>
      </w:r>
    </w:p>
    <w:p w14:paraId="6B2377D0" w14:textId="77777777" w:rsidR="00683F2A" w:rsidRDefault="00683F2A" w:rsidP="00683F2A">
      <w:pPr>
        <w:pStyle w:val="NormalWeb"/>
        <w:spacing w:before="0" w:beforeAutospacing="0"/>
        <w:ind w:left="720" w:firstLine="60"/>
      </w:pPr>
      <w:r>
        <w:rPr>
          <w:color w:val="454545"/>
          <w:shd w:val="clear" w:color="auto" w:fill="FFFFFF"/>
        </w:rPr>
        <w:t>“</w:t>
      </w:r>
      <w:r>
        <w:t xml:space="preserve">Thomas Webster attended former-President Trump's rally on January 6, 2021, and then went to the Capitol. Upon arriving, Webster confronted a line of police officers and violently assaulted Officer Rathbun of the Metropolitan Police Department. A jury convicted Webster of five felonies and one misdemeanor offense. The district court imposed a ten-year prison sentence. Webster appeals, raising challenges both to his convictions and his sentence. We have considered each of Webster's challenges and, because none of them succeed, we affirm his convictions and sentence. … Turning to Webster's sentence, he challenges the district court's inclusion of a four-level, use-of-body-armor enhancement. He also argues that the length of his sentence was substantively unreasonable as compared to other January 6th defendants. Neither of those arguments succeeds.” </w:t>
      </w:r>
      <w:hyperlink r:id="rId715" w:history="1">
        <w:r w:rsidRPr="00F80308">
          <w:rPr>
            <w:rStyle w:val="Hyperlink"/>
          </w:rPr>
          <w:t>https://cases.justia.com/federal/appellate-courts/cadc/22-3064/22-3064-2024-05-28.pdf?ts=1716910338</w:t>
        </w:r>
      </w:hyperlink>
      <w:r>
        <w:t xml:space="preserve"> </w:t>
      </w:r>
    </w:p>
    <w:p w14:paraId="3E8B7F5C" w14:textId="77777777" w:rsidR="00E858DE" w:rsidRPr="00A474FA" w:rsidRDefault="00E858DE" w:rsidP="00E858DE">
      <w:pPr>
        <w:pStyle w:val="NormalWeb"/>
        <w:rPr>
          <w:b/>
          <w:bCs/>
        </w:rPr>
      </w:pPr>
      <w:r>
        <w:rPr>
          <w:b/>
          <w:bCs/>
        </w:rPr>
        <w:t xml:space="preserve">Legal Lesson Learned:  Federal Sentencing Guidelines authorizes an enhanced sentence for defendants who wear body armor. </w:t>
      </w:r>
    </w:p>
    <w:p w14:paraId="04A16425" w14:textId="77777777" w:rsidR="00E858DE" w:rsidRDefault="00E858DE" w:rsidP="00683F2A">
      <w:pPr>
        <w:pStyle w:val="NormalWeb"/>
        <w:spacing w:before="0" w:beforeAutospacing="0"/>
        <w:ind w:left="720" w:firstLine="60"/>
      </w:pPr>
    </w:p>
    <w:p w14:paraId="60C9C348" w14:textId="77777777" w:rsidR="00683F2A" w:rsidRDefault="00683F2A" w:rsidP="00F326E5">
      <w:pPr>
        <w:pStyle w:val="NoSpacing"/>
        <w:rPr>
          <w:rFonts w:ascii="Arial Black" w:hAnsi="Arial Black"/>
          <w:sz w:val="28"/>
          <w:szCs w:val="28"/>
        </w:rPr>
      </w:pPr>
    </w:p>
    <w:p w14:paraId="7EE4ADE4" w14:textId="77777777" w:rsidR="00683F2A" w:rsidRDefault="00683F2A" w:rsidP="00F326E5">
      <w:pPr>
        <w:pStyle w:val="NoSpacing"/>
        <w:rPr>
          <w:rFonts w:ascii="Arial Black" w:hAnsi="Arial Black"/>
          <w:sz w:val="28"/>
          <w:szCs w:val="28"/>
        </w:rPr>
      </w:pPr>
    </w:p>
    <w:p w14:paraId="02F18301" w14:textId="77777777" w:rsidR="00683F2A" w:rsidRDefault="00683F2A" w:rsidP="00F326E5">
      <w:pPr>
        <w:pStyle w:val="NoSpacing"/>
        <w:rPr>
          <w:rFonts w:ascii="Arial Black" w:hAnsi="Arial Black"/>
          <w:sz w:val="28"/>
          <w:szCs w:val="28"/>
        </w:rPr>
      </w:pPr>
    </w:p>
    <w:p w14:paraId="3008E96E" w14:textId="77777777" w:rsidR="00683F2A" w:rsidRDefault="00683F2A" w:rsidP="00F326E5">
      <w:pPr>
        <w:pStyle w:val="NoSpacing"/>
        <w:rPr>
          <w:rFonts w:ascii="Arial Black" w:hAnsi="Arial Black"/>
          <w:sz w:val="28"/>
          <w:szCs w:val="28"/>
        </w:rPr>
      </w:pPr>
    </w:p>
    <w:p w14:paraId="3F7C0957" w14:textId="06AB0F98" w:rsidR="005B72EF" w:rsidRDefault="005B72EF"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1</w:t>
      </w:r>
    </w:p>
    <w:p w14:paraId="42D5DB61" w14:textId="77777777" w:rsidR="005B72EF" w:rsidRDefault="005B72EF" w:rsidP="00F326E5">
      <w:pPr>
        <w:pStyle w:val="NoSpacing"/>
        <w:rPr>
          <w:rFonts w:ascii="Arial Black" w:hAnsi="Arial Black"/>
          <w:sz w:val="28"/>
          <w:szCs w:val="28"/>
        </w:rPr>
      </w:pPr>
    </w:p>
    <w:p w14:paraId="38428E1A" w14:textId="77777777" w:rsidR="00C2103A" w:rsidRPr="005E3F54" w:rsidRDefault="00C2103A" w:rsidP="00C2103A">
      <w:pPr>
        <w:rPr>
          <w:rFonts w:ascii="Arial Black" w:hAnsi="Arial Black"/>
          <w:sz w:val="28"/>
          <w:szCs w:val="28"/>
        </w:rPr>
      </w:pPr>
      <w:r>
        <w:rPr>
          <w:rFonts w:ascii="Arial Black" w:hAnsi="Arial Black"/>
          <w:sz w:val="28"/>
          <w:szCs w:val="28"/>
        </w:rPr>
        <w:t>MA: FIREBOMB – CO</w:t>
      </w:r>
      <w:r>
        <w:rPr>
          <w:rFonts w:ascii="Arial Black" w:hAnsi="Arial Black"/>
          <w:sz w:val="28"/>
        </w:rPr>
        <w:t>N</w:t>
      </w:r>
      <w:r>
        <w:rPr>
          <w:rFonts w:ascii="Arial Black" w:hAnsi="Arial Black"/>
          <w:sz w:val="28"/>
          <w:szCs w:val="28"/>
        </w:rPr>
        <w:t>VICTION - GAS CAN NEAR JEWISH CENTER – BLOOD ON CAN / WICK / CHRISTIAN PAMPHLET</w:t>
      </w:r>
    </w:p>
    <w:p w14:paraId="40C36554" w14:textId="65CD2541" w:rsidR="005B72EF" w:rsidRDefault="005B72EF" w:rsidP="005B72EF">
      <w:pPr>
        <w:pStyle w:val="NormalWeb"/>
        <w:spacing w:before="0" w:beforeAutospacing="0"/>
      </w:pPr>
      <w:r>
        <w:t xml:space="preserve">On April 5, 2024, in </w:t>
      </w:r>
      <w:r w:rsidRPr="003E6799">
        <w:rPr>
          <w:u w:val="single"/>
        </w:rPr>
        <w:t>United States of America v. John Michael Rathbun</w:t>
      </w:r>
      <w:r>
        <w:t>, the U.S. Court of Appeals for the 1</w:t>
      </w:r>
      <w:r w:rsidRPr="003E6799">
        <w:rPr>
          <w:vertAlign w:val="superscript"/>
        </w:rPr>
        <w:t>st</w:t>
      </w:r>
      <w:r>
        <w:t xml:space="preserve"> District (Boston) held (3 to 0) reject his appeal from jury convictions, after two separate trials arising out of the bomb's discovery.  The defendant took the stand and testified – jury rejected his alibi. </w:t>
      </w:r>
      <w:hyperlink r:id="rId716" w:history="1">
        <w:r w:rsidRPr="0076603B">
          <w:rPr>
            <w:rStyle w:val="Hyperlink"/>
          </w:rPr>
          <w:t>https://caselaw.findlaw.com/court/us-1st-circuit/116020600.html</w:t>
        </w:r>
      </w:hyperlink>
      <w:r>
        <w:t xml:space="preserve"> </w:t>
      </w:r>
    </w:p>
    <w:p w14:paraId="23131478" w14:textId="77777777" w:rsidR="005B72EF" w:rsidRDefault="005B72EF" w:rsidP="005B72EF">
      <w:pPr>
        <w:pStyle w:val="NormalWeb"/>
        <w:spacing w:before="0" w:beforeAutospacing="0"/>
      </w:pPr>
      <w:r>
        <w:t>THE COURT HELD:</w:t>
      </w:r>
    </w:p>
    <w:p w14:paraId="2E0507FA" w14:textId="77777777" w:rsidR="005B72EF" w:rsidRDefault="005B72EF" w:rsidP="005B72EF">
      <w:pPr>
        <w:pStyle w:val="NormalWeb"/>
        <w:ind w:left="720"/>
      </w:pPr>
      <w:r>
        <w:t xml:space="preserve">“Contrary to Rathbun's protestations, the record shows that abundant evidence incriminated him, making the government's case against Rathbun quite strong. The government presented evidence, inter alia, about the fuel container itself and the recorded incriminating statements Rathbun made to his mother acknowledging his possession of it, Rathbun's cell phone location data on the date of the incident, Rathbun's DNA evidence from the fuel container and wick, and Rathbun's inculpatory admissions to investigators. The government also presented circumstantial evidence demonstrating Rathbun's access to the Steps to Peace with God tract and evidence that contradicted multiple statements Rathbun made during his interview with Agent McGonigle. Therefore, taking ‘the strength </w:t>
      </w:r>
      <w:r>
        <w:rPr>
          <w:rFonts w:ascii="Cambria Math" w:hAnsi="Cambria Math" w:cs="Cambria Math"/>
        </w:rPr>
        <w:t>․</w:t>
      </w:r>
      <w:r>
        <w:t xml:space="preserve"> of the government's evidence of guilt’ less the evidence of Rathbun's behavior at the Motel, we conclude that the admission of the evidence, even if error, was harmless.”</w:t>
      </w:r>
    </w:p>
    <w:p w14:paraId="622D7386" w14:textId="77777777" w:rsidR="005B72EF" w:rsidRDefault="005B72EF" w:rsidP="005B72EF">
      <w:pPr>
        <w:pStyle w:val="NormalWeb"/>
        <w:rPr>
          <w:b/>
          <w:bCs/>
        </w:rPr>
      </w:pPr>
      <w:r w:rsidRPr="00E9724E">
        <w:rPr>
          <w:b/>
          <w:bCs/>
        </w:rPr>
        <w:t>Legal Lesson Learned:</w:t>
      </w:r>
      <w:r>
        <w:rPr>
          <w:b/>
          <w:bCs/>
        </w:rPr>
        <w:t xml:space="preserve"> DNA evidence is very persuasive to a jury.</w:t>
      </w:r>
    </w:p>
    <w:p w14:paraId="04B5B659" w14:textId="77777777" w:rsidR="005B72EF" w:rsidRPr="00B80913" w:rsidRDefault="005B72EF" w:rsidP="005B72EF">
      <w:pPr>
        <w:pStyle w:val="NormalWeb"/>
      </w:pPr>
      <w:r>
        <w:rPr>
          <w:b/>
          <w:bCs/>
        </w:rPr>
        <w:tab/>
      </w:r>
      <w:r>
        <w:t xml:space="preserve">Note: The jury rejected the defendant’s alibi.  </w:t>
      </w:r>
    </w:p>
    <w:p w14:paraId="4A213691" w14:textId="77777777" w:rsidR="005B72EF" w:rsidRDefault="005B72EF" w:rsidP="005B72EF">
      <w:pPr>
        <w:pStyle w:val="NormalWeb"/>
        <w:ind w:left="720"/>
      </w:pPr>
      <w:r>
        <w:t>“Footnote 24: When opting to testify, in his own defense, Rathbun eventually acknowledged that he had earlier and likely found the yellow canister used to make the bomb at a job ‘cleanout’ in Chicopee, Massachusetts. At that job site, he had cut his hand on a metal shard, which explains the presence of his blood on the container. He contended that he (and an acquaintance) had illegally dumped the cleanout debris at a dumpster on Converse Street some days before the bomb was found. As for the bloody tract, he theorized that blood from his cut must have somehow transferred to a pamphlet he speculates his mother must have had in her car's cup holder, and that the pamphlet must have gotten jettisoned to the dumpster along with the fuel canister and other random debris. Continuing, he postulates some random third person -- someone very careful not to leave fingerprints, but crafty enough to leave incriminating blood evidence -- must have come along and fished the canister and the pamphlet out of the dumpster and used it to craft the destructive firebomb at the heart of this prosecution. As we said, this alternative explanation was seemingly a non-starter for the jury.”</w:t>
      </w:r>
    </w:p>
    <w:p w14:paraId="439AD9FA" w14:textId="77777777" w:rsidR="005B72EF" w:rsidRDefault="005B72EF" w:rsidP="00F326E5">
      <w:pPr>
        <w:pStyle w:val="NoSpacing"/>
        <w:rPr>
          <w:rFonts w:ascii="Arial Black" w:hAnsi="Arial Black"/>
          <w:sz w:val="28"/>
          <w:szCs w:val="28"/>
        </w:rPr>
      </w:pPr>
    </w:p>
    <w:p w14:paraId="6B4B4596" w14:textId="77777777" w:rsidR="005B72EF" w:rsidRDefault="005B72EF" w:rsidP="00F326E5">
      <w:pPr>
        <w:pStyle w:val="NoSpacing"/>
        <w:rPr>
          <w:rFonts w:ascii="Arial Black" w:hAnsi="Arial Black"/>
          <w:sz w:val="28"/>
          <w:szCs w:val="28"/>
        </w:rPr>
      </w:pPr>
    </w:p>
    <w:p w14:paraId="133B27B1" w14:textId="7FC16D0A" w:rsidR="00CB0F04" w:rsidRDefault="00CB0F04"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0</w:t>
      </w:r>
    </w:p>
    <w:p w14:paraId="2C9A0879" w14:textId="77777777" w:rsidR="005B72EF" w:rsidRDefault="005B72EF" w:rsidP="00CB0F04">
      <w:pPr>
        <w:pStyle w:val="NormalWeb"/>
        <w:spacing w:before="0" w:beforeAutospacing="0"/>
        <w:rPr>
          <w:rFonts w:ascii="Arial Black" w:hAnsi="Arial Black"/>
          <w:b/>
          <w:bCs/>
          <w:color w:val="454545"/>
          <w:sz w:val="28"/>
          <w:szCs w:val="28"/>
          <w:shd w:val="clear" w:color="auto" w:fill="FFFFFF"/>
        </w:rPr>
      </w:pPr>
    </w:p>
    <w:p w14:paraId="3DFCB24E" w14:textId="35A240BB" w:rsidR="00CB0F04" w:rsidRDefault="00CB0F04" w:rsidP="00CB0F04">
      <w:pPr>
        <w:pStyle w:val="NormalWeb"/>
        <w:spacing w:before="0" w:beforeAutospacing="0"/>
        <w:rPr>
          <w:shd w:val="clear" w:color="auto" w:fill="FFFFFF"/>
        </w:rPr>
      </w:pPr>
      <w:r>
        <w:rPr>
          <w:rFonts w:ascii="Arial Black" w:hAnsi="Arial Black"/>
          <w:b/>
          <w:bCs/>
          <w:color w:val="454545"/>
          <w:sz w:val="28"/>
          <w:szCs w:val="28"/>
          <w:shd w:val="clear" w:color="auto" w:fill="FFFFFF"/>
        </w:rPr>
        <w:t xml:space="preserve">U.S. SUP. CT: MUSLIM REFUSED TO BE FBI INFORMANT – PLACED ON “NO-FLY LIST” – CASE MAY PROCEED </w:t>
      </w:r>
    </w:p>
    <w:p w14:paraId="565DEF49" w14:textId="77777777" w:rsidR="000A2B47" w:rsidRDefault="00CB0F04" w:rsidP="000A2B47">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March 19, 2024, in </w:t>
      </w:r>
      <w:r w:rsidRPr="006177DC">
        <w:rPr>
          <w:rFonts w:ascii="Times New Roman" w:hAnsi="Times New Roman"/>
          <w:sz w:val="24"/>
          <w:szCs w:val="24"/>
          <w:u w:val="single"/>
          <w:shd w:val="clear" w:color="auto" w:fill="FFFFFF"/>
        </w:rPr>
        <w:t>Federal Bureau of Investigations v. Yonas Fikre</w:t>
      </w:r>
      <w:r>
        <w:rPr>
          <w:rFonts w:ascii="Times New Roman" w:hAnsi="Times New Roman"/>
          <w:sz w:val="24"/>
          <w:szCs w:val="24"/>
          <w:shd w:val="clear" w:color="auto" w:fill="FFFFFF"/>
        </w:rPr>
        <w:t xml:space="preserve">, the U.S. Supreme Court held (9 to 0) that case is not moot just because he has been removed from No-Fly List; he still risks being placed back on the list at any time. </w:t>
      </w:r>
      <w:hyperlink r:id="rId717" w:history="1">
        <w:r w:rsidR="000A2B47" w:rsidRPr="00CD1DB0">
          <w:rPr>
            <w:rStyle w:val="Hyperlink"/>
            <w:rFonts w:ascii="Times New Roman" w:hAnsi="Times New Roman"/>
            <w:sz w:val="24"/>
            <w:szCs w:val="24"/>
            <w:shd w:val="clear" w:color="auto" w:fill="FFFFFF"/>
          </w:rPr>
          <w:t>https://www.supremecourt.gov/opinions/23pdf/22-1178_p8k0.pdf</w:t>
        </w:r>
      </w:hyperlink>
      <w:r w:rsidR="000A2B47">
        <w:rPr>
          <w:rFonts w:ascii="Times New Roman" w:hAnsi="Times New Roman"/>
          <w:sz w:val="24"/>
          <w:szCs w:val="24"/>
          <w:shd w:val="clear" w:color="auto" w:fill="FFFFFF"/>
        </w:rPr>
        <w:t xml:space="preserve"> </w:t>
      </w:r>
    </w:p>
    <w:p w14:paraId="225126C4" w14:textId="6CB1A573" w:rsidR="00CB0F04" w:rsidRDefault="00CB0F04" w:rsidP="00CB0F04">
      <w:pPr>
        <w:pStyle w:val="NoSpacing"/>
        <w:rPr>
          <w:rFonts w:ascii="Times New Roman" w:hAnsi="Times New Roman"/>
          <w:sz w:val="24"/>
          <w:szCs w:val="24"/>
          <w:shd w:val="clear" w:color="auto" w:fill="FFFFFF"/>
        </w:rPr>
      </w:pPr>
    </w:p>
    <w:p w14:paraId="0742F3A0" w14:textId="77777777" w:rsidR="003956F7" w:rsidRDefault="003956F7" w:rsidP="003956F7">
      <w:pPr>
        <w:pStyle w:val="NoSpacing"/>
        <w:rPr>
          <w:rFonts w:ascii="Times New Roman" w:hAnsi="Times New Roman"/>
          <w:sz w:val="24"/>
          <w:szCs w:val="24"/>
          <w:shd w:val="clear" w:color="auto" w:fill="FFFFFF"/>
        </w:rPr>
      </w:pPr>
    </w:p>
    <w:p w14:paraId="70BE32CB" w14:textId="0B0CDB3A"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08CB310" w14:textId="77777777" w:rsidR="003956F7" w:rsidRDefault="003956F7" w:rsidP="00CB0F04">
      <w:pPr>
        <w:pStyle w:val="NoSpacing"/>
        <w:rPr>
          <w:rFonts w:ascii="Times New Roman" w:hAnsi="Times New Roman"/>
          <w:sz w:val="24"/>
          <w:szCs w:val="24"/>
          <w:shd w:val="clear" w:color="auto" w:fill="FFFFFF"/>
        </w:rPr>
      </w:pPr>
    </w:p>
    <w:p w14:paraId="6E72B2C6" w14:textId="2E77E526" w:rsidR="00CB0F04" w:rsidRDefault="00CB0F04" w:rsidP="00CB0F04">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Justice Gorsuch wrote opinion:  “</w:t>
      </w:r>
      <w:r w:rsidRPr="002D2359">
        <w:rPr>
          <w:rFonts w:ascii="Times New Roman" w:hAnsi="Times New Roman"/>
          <w:sz w:val="24"/>
          <w:szCs w:val="24"/>
          <w:shd w:val="clear" w:color="auto" w:fill="FFFFFF"/>
        </w:rPr>
        <w:t xml:space="preserve">Yonas Fikre, a U. S. citizen, </w:t>
      </w:r>
      <w:proofErr w:type="gramStart"/>
      <w:r w:rsidRPr="002D2359">
        <w:rPr>
          <w:rFonts w:ascii="Times New Roman" w:hAnsi="Times New Roman"/>
          <w:sz w:val="24"/>
          <w:szCs w:val="24"/>
          <w:shd w:val="clear" w:color="auto" w:fill="FFFFFF"/>
        </w:rPr>
        <w:t>brought</w:t>
      </w:r>
      <w:r w:rsidR="007E2431">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suit</w:t>
      </w:r>
      <w:proofErr w:type="gramEnd"/>
      <w:r w:rsidRPr="002D2359">
        <w:rPr>
          <w:rFonts w:ascii="Times New Roman" w:hAnsi="Times New Roman"/>
          <w:sz w:val="24"/>
          <w:szCs w:val="24"/>
          <w:shd w:val="clear" w:color="auto" w:fill="FFFFFF"/>
        </w:rPr>
        <w:t xml:space="preserve"> alleging that the</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government placed him on the No</w:t>
      </w:r>
      <w:r>
        <w:rPr>
          <w:rFonts w:ascii="Times New Roman" w:hAnsi="Times New Roman"/>
          <w:sz w:val="24"/>
          <w:szCs w:val="24"/>
          <w:shd w:val="clear" w:color="auto" w:fill="FFFFFF"/>
        </w:rPr>
        <w:t>-</w:t>
      </w:r>
      <w:r w:rsidRPr="002D2359">
        <w:rPr>
          <w:rFonts w:ascii="Times New Roman" w:hAnsi="Times New Roman"/>
          <w:sz w:val="24"/>
          <w:szCs w:val="24"/>
          <w:shd w:val="clear" w:color="auto" w:fill="FFFFFF"/>
        </w:rPr>
        <w:t>Fly List unlawfully.</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Later, the government removed him from the list. The only</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question we are asked to decide is whether the government’s action suffices to render Mr. Fikre’s claims moot</w:t>
      </w:r>
      <w:r>
        <w:rPr>
          <w:rFonts w:ascii="Times New Roman" w:hAnsi="Times New Roman"/>
          <w:sz w:val="24"/>
          <w:szCs w:val="24"/>
          <w:shd w:val="clear" w:color="auto" w:fill="FFFFFF"/>
        </w:rPr>
        <w:t xml:space="preserve">. </w:t>
      </w:r>
    </w:p>
    <w:p w14:paraId="4141542F" w14:textId="77777777" w:rsidR="00CB0F04" w:rsidRDefault="00CB0F04" w:rsidP="00CB0F04">
      <w:pPr>
        <w:pStyle w:val="NoSpacing"/>
        <w:ind w:left="720"/>
        <w:rPr>
          <w:rFonts w:ascii="Times New Roman" w:hAnsi="Times New Roman"/>
          <w:sz w:val="24"/>
          <w:szCs w:val="24"/>
          <w:shd w:val="clear" w:color="auto" w:fill="FFFFFF"/>
        </w:rPr>
      </w:pPr>
    </w:p>
    <w:p w14:paraId="02476B77" w14:textId="77777777" w:rsidR="00CB0F04" w:rsidRDefault="00CB0F04" w:rsidP="00CB0F04">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08F26649" w14:textId="77777777" w:rsidR="00CB0F04" w:rsidRPr="00174C60" w:rsidRDefault="00CB0F04" w:rsidP="00CB0F04">
      <w:pPr>
        <w:pStyle w:val="NoSpacing"/>
        <w:ind w:left="720"/>
        <w:rPr>
          <w:rFonts w:ascii="Times New Roman" w:hAnsi="Times New Roman"/>
          <w:sz w:val="24"/>
          <w:szCs w:val="24"/>
          <w:shd w:val="clear" w:color="auto" w:fill="FFFFFF"/>
        </w:rPr>
      </w:pPr>
      <w:r w:rsidRPr="00174C60">
        <w:rPr>
          <w:rFonts w:ascii="Times New Roman" w:hAnsi="Times New Roman"/>
          <w:sz w:val="24"/>
          <w:szCs w:val="24"/>
          <w:shd w:val="clear" w:color="auto" w:fill="FFFFFF"/>
        </w:rPr>
        <w:t>Viewed in that light, this case is not moot. To appreciate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why, it is enough to consider one aspect of Mr. Fikre’s complaint. He contends that the government placed him on the</w:t>
      </w:r>
    </w:p>
    <w:p w14:paraId="564ABEE2" w14:textId="77777777" w:rsidR="00CB0F04" w:rsidRDefault="00CB0F04" w:rsidP="00CB0F04">
      <w:pPr>
        <w:pStyle w:val="NoSpacing"/>
        <w:ind w:left="720"/>
        <w:rPr>
          <w:rFonts w:ascii="Times New Roman" w:hAnsi="Times New Roman"/>
          <w:sz w:val="24"/>
          <w:szCs w:val="24"/>
          <w:shd w:val="clear" w:color="auto" w:fill="FFFFFF"/>
        </w:rPr>
      </w:pPr>
      <w:r w:rsidRPr="00174C60">
        <w:rPr>
          <w:rFonts w:ascii="Times New Roman" w:hAnsi="Times New Roman"/>
          <w:sz w:val="24"/>
          <w:szCs w:val="24"/>
          <w:shd w:val="clear" w:color="auto" w:fill="FFFFFF"/>
        </w:rPr>
        <w:t xml:space="preserve">No Fly List for constitutionally impermissible reasons, including his religious beliefs. In support of his claim, </w:t>
      </w:r>
      <w:proofErr w:type="spellStart"/>
      <w:r w:rsidRPr="00174C60">
        <w:rPr>
          <w:rFonts w:ascii="Times New Roman" w:hAnsi="Times New Roman"/>
          <w:sz w:val="24"/>
          <w:szCs w:val="24"/>
          <w:shd w:val="clear" w:color="auto" w:fill="FFFFFF"/>
        </w:rPr>
        <w:t>Mr.Fikre</w:t>
      </w:r>
      <w:proofErr w:type="spellEnd"/>
      <w:r w:rsidRPr="00174C60">
        <w:rPr>
          <w:rFonts w:ascii="Times New Roman" w:hAnsi="Times New Roman"/>
          <w:sz w:val="24"/>
          <w:szCs w:val="24"/>
          <w:shd w:val="clear" w:color="auto" w:fill="FFFFFF"/>
        </w:rPr>
        <w:t xml:space="preserve"> alleges (among other things) that FBI agents interrogated him about a mosque in Portland he once attended and</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 xml:space="preserve">threatened to keep him on the </w:t>
      </w:r>
      <w:proofErr w:type="gramStart"/>
      <w:r w:rsidRPr="00174C60">
        <w:rPr>
          <w:rFonts w:ascii="Times New Roman" w:hAnsi="Times New Roman"/>
          <w:sz w:val="24"/>
          <w:szCs w:val="24"/>
          <w:shd w:val="clear" w:color="auto" w:fill="FFFFFF"/>
        </w:rPr>
        <w:t>No Fly</w:t>
      </w:r>
      <w:proofErr w:type="gramEnd"/>
      <w:r w:rsidRPr="00174C60">
        <w:rPr>
          <w:rFonts w:ascii="Times New Roman" w:hAnsi="Times New Roman"/>
          <w:sz w:val="24"/>
          <w:szCs w:val="24"/>
          <w:shd w:val="clear" w:color="auto" w:fill="FFFFFF"/>
        </w:rPr>
        <w:t xml:space="preserve"> List unless he agreed</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to serve as an informant against his co-religionists. Accepting these as-yet uncontested allegations, the government’s</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 xml:space="preserve">representation that it will not </w:t>
      </w:r>
      <w:proofErr w:type="gramStart"/>
      <w:r w:rsidRPr="00174C60">
        <w:rPr>
          <w:rFonts w:ascii="Times New Roman" w:hAnsi="Times New Roman"/>
          <w:sz w:val="24"/>
          <w:szCs w:val="24"/>
          <w:shd w:val="clear" w:color="auto" w:fill="FFFFFF"/>
        </w:rPr>
        <w:t>relist</w:t>
      </w:r>
      <w:proofErr w:type="gramEnd"/>
      <w:r w:rsidRPr="00174C60">
        <w:rPr>
          <w:rFonts w:ascii="Times New Roman" w:hAnsi="Times New Roman"/>
          <w:sz w:val="24"/>
          <w:szCs w:val="24"/>
          <w:shd w:val="clear" w:color="auto" w:fill="FFFFFF"/>
        </w:rPr>
        <w:t xml:space="preserve"> Mr. Fikre based on</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currently available information</w:t>
      </w:r>
      <w:r>
        <w:rPr>
          <w:rFonts w:ascii="Times New Roman" w:hAnsi="Times New Roman"/>
          <w:sz w:val="24"/>
          <w:szCs w:val="24"/>
          <w:shd w:val="clear" w:color="auto" w:fill="FFFFFF"/>
        </w:rPr>
        <w:t>’</w:t>
      </w:r>
      <w:r w:rsidRPr="00174C60">
        <w:rPr>
          <w:rFonts w:ascii="Times New Roman" w:hAnsi="Times New Roman"/>
          <w:sz w:val="24"/>
          <w:szCs w:val="24"/>
          <w:shd w:val="clear" w:color="auto" w:fill="FFFFFF"/>
        </w:rPr>
        <w:t xml:space="preserve"> may mean that his past</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actions are not enough to warrant his relisting. But, as the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court of appeals observed, none of that speaks to whether</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the government might relist him if he does the same or similar things in the future—say, attend a particular mosque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or refuse renewed overtures to serve as an informant</w:t>
      </w:r>
      <w:r>
        <w:rPr>
          <w:rFonts w:ascii="Times New Roman" w:hAnsi="Times New Roman"/>
          <w:sz w:val="24"/>
          <w:szCs w:val="24"/>
          <w:shd w:val="clear" w:color="auto" w:fill="FFFFFF"/>
        </w:rPr>
        <w:t xml:space="preserve">.” </w:t>
      </w:r>
      <w:hyperlink r:id="rId718" w:history="1">
        <w:r w:rsidRPr="00CD1DB0">
          <w:rPr>
            <w:rStyle w:val="Hyperlink"/>
            <w:rFonts w:ascii="Times New Roman" w:hAnsi="Times New Roman"/>
            <w:sz w:val="24"/>
            <w:szCs w:val="24"/>
            <w:shd w:val="clear" w:color="auto" w:fill="FFFFFF"/>
          </w:rPr>
          <w:t>https://www.supremecourt.gov/opinions/23pdf/22-1178_p8k0.pdf</w:t>
        </w:r>
      </w:hyperlink>
      <w:r>
        <w:rPr>
          <w:rFonts w:ascii="Times New Roman" w:hAnsi="Times New Roman"/>
          <w:sz w:val="24"/>
          <w:szCs w:val="24"/>
          <w:shd w:val="clear" w:color="auto" w:fill="FFFFFF"/>
        </w:rPr>
        <w:t xml:space="preserve"> </w:t>
      </w:r>
    </w:p>
    <w:p w14:paraId="0C89D610" w14:textId="77777777" w:rsidR="00CB0F04" w:rsidRDefault="00CB0F04" w:rsidP="00CB0F04">
      <w:pPr>
        <w:pStyle w:val="NoSpacing"/>
        <w:jc w:val="center"/>
      </w:pPr>
    </w:p>
    <w:p w14:paraId="63A0CD0F" w14:textId="77777777" w:rsidR="00CB0F04" w:rsidRDefault="00CB0F04" w:rsidP="00CB0F04">
      <w:pPr>
        <w:pStyle w:val="NoSpacing"/>
        <w:ind w:left="720"/>
        <w:rPr>
          <w:rFonts w:ascii="Times New Roman" w:hAnsi="Times New Roman"/>
          <w:sz w:val="24"/>
          <w:szCs w:val="24"/>
        </w:rPr>
      </w:pPr>
    </w:p>
    <w:p w14:paraId="2AE79297" w14:textId="70895D52" w:rsidR="00CB0F04" w:rsidRPr="00760B23" w:rsidRDefault="00CB0F04" w:rsidP="00CB0F04">
      <w:pPr>
        <w:pStyle w:val="NoSpacing"/>
        <w:rPr>
          <w:rFonts w:ascii="Times New Roman" w:hAnsi="Times New Roman"/>
          <w:b/>
          <w:bCs/>
          <w:sz w:val="24"/>
          <w:szCs w:val="24"/>
        </w:rPr>
      </w:pPr>
      <w:r w:rsidRPr="00760B23">
        <w:rPr>
          <w:rFonts w:ascii="Times New Roman" w:hAnsi="Times New Roman"/>
          <w:b/>
          <w:bCs/>
          <w:sz w:val="24"/>
          <w:szCs w:val="24"/>
        </w:rPr>
        <w:t xml:space="preserve">Legal Lesson Learned: </w:t>
      </w:r>
      <w:r w:rsidR="004C1440">
        <w:rPr>
          <w:rFonts w:ascii="Times New Roman" w:hAnsi="Times New Roman"/>
          <w:b/>
          <w:bCs/>
          <w:sz w:val="24"/>
          <w:szCs w:val="24"/>
        </w:rPr>
        <w:t>Lawsuit may now proceed; c</w:t>
      </w:r>
      <w:r>
        <w:rPr>
          <w:rFonts w:ascii="Times New Roman" w:hAnsi="Times New Roman"/>
          <w:b/>
          <w:bCs/>
          <w:sz w:val="24"/>
          <w:szCs w:val="24"/>
        </w:rPr>
        <w:t xml:space="preserve">ase is not moot since he risks being placed back on </w:t>
      </w:r>
      <w:proofErr w:type="gramStart"/>
      <w:r>
        <w:rPr>
          <w:rFonts w:ascii="Times New Roman" w:hAnsi="Times New Roman"/>
          <w:b/>
          <w:bCs/>
          <w:sz w:val="24"/>
          <w:szCs w:val="24"/>
        </w:rPr>
        <w:t>No Fly</w:t>
      </w:r>
      <w:proofErr w:type="gramEnd"/>
      <w:r>
        <w:rPr>
          <w:rFonts w:ascii="Times New Roman" w:hAnsi="Times New Roman"/>
          <w:b/>
          <w:bCs/>
          <w:sz w:val="24"/>
          <w:szCs w:val="24"/>
        </w:rPr>
        <w:t xml:space="preserve"> List. </w:t>
      </w:r>
    </w:p>
    <w:p w14:paraId="02D665DA" w14:textId="77777777" w:rsidR="00CB0F04" w:rsidRDefault="00CB0F04" w:rsidP="00F326E5">
      <w:pPr>
        <w:pStyle w:val="NoSpacing"/>
        <w:rPr>
          <w:rFonts w:ascii="Arial Black" w:hAnsi="Arial Black"/>
          <w:sz w:val="28"/>
          <w:szCs w:val="28"/>
        </w:rPr>
      </w:pPr>
    </w:p>
    <w:p w14:paraId="12C15F14" w14:textId="77777777" w:rsidR="00CB0F04" w:rsidRDefault="00CB0F04" w:rsidP="00F326E5">
      <w:pPr>
        <w:pStyle w:val="NoSpacing"/>
        <w:rPr>
          <w:rFonts w:ascii="Arial Black" w:hAnsi="Arial Black"/>
          <w:sz w:val="28"/>
          <w:szCs w:val="28"/>
        </w:rPr>
      </w:pPr>
    </w:p>
    <w:p w14:paraId="7A228738" w14:textId="69091567" w:rsidR="002E2535" w:rsidRDefault="002E2535" w:rsidP="00F326E5">
      <w:pPr>
        <w:pStyle w:val="NoSpacing"/>
        <w:rPr>
          <w:rFonts w:ascii="Arial Black" w:hAnsi="Arial Black"/>
          <w:sz w:val="28"/>
          <w:szCs w:val="28"/>
        </w:rPr>
      </w:pPr>
      <w:r>
        <w:rPr>
          <w:rFonts w:ascii="Arial Black" w:hAnsi="Arial Black"/>
          <w:sz w:val="28"/>
          <w:szCs w:val="28"/>
        </w:rPr>
        <w:t>3-</w:t>
      </w:r>
      <w:r w:rsidR="00ED4EAF">
        <w:rPr>
          <w:rFonts w:ascii="Arial Black" w:hAnsi="Arial Black"/>
          <w:sz w:val="28"/>
          <w:szCs w:val="28"/>
        </w:rPr>
        <w:t>59</w:t>
      </w:r>
    </w:p>
    <w:p w14:paraId="26053B3B" w14:textId="730D153B" w:rsidR="00274E82" w:rsidRPr="00D10261" w:rsidRDefault="00274E82" w:rsidP="00274E82">
      <w:pPr>
        <w:pStyle w:val="NormalWeb"/>
        <w:rPr>
          <w:rFonts w:ascii="Arial Black" w:hAnsi="Arial Black"/>
          <w:sz w:val="28"/>
          <w:szCs w:val="28"/>
        </w:rPr>
      </w:pPr>
      <w:r>
        <w:rPr>
          <w:rFonts w:ascii="Arial Black" w:hAnsi="Arial Black"/>
          <w:sz w:val="28"/>
          <w:szCs w:val="28"/>
        </w:rPr>
        <w:t>DC: U.S. CAPITOL INVASION - RET. AIR FORCE LT. COL.  2 YRS PRISON – MUST BE RESENTENCED, IMPACT OTHERS</w:t>
      </w:r>
    </w:p>
    <w:p w14:paraId="31BE1423" w14:textId="77777777" w:rsidR="00274E82" w:rsidRDefault="00274E82" w:rsidP="00274E82">
      <w:pPr>
        <w:pStyle w:val="NormalWeb"/>
      </w:pPr>
      <w:r w:rsidRPr="007E58D8">
        <w:t xml:space="preserve">On </w:t>
      </w:r>
      <w:r>
        <w:t xml:space="preserve">March 1, 2024, in </w:t>
      </w:r>
      <w:r w:rsidRPr="00E834B6">
        <w:rPr>
          <w:u w:val="single"/>
        </w:rPr>
        <w:t>United States of America v. Larry Rendall Brock</w:t>
      </w:r>
      <w:r>
        <w:t xml:space="preserve">, the U.S. Court of Appeals for the District of Columbia upheld his </w:t>
      </w:r>
      <w:proofErr w:type="gramStart"/>
      <w:r>
        <w:t>conviction, but</w:t>
      </w:r>
      <w:proofErr w:type="gramEnd"/>
      <w:r>
        <w:t xml:space="preserve"> required him to be re-sentenced since he received more prison time for interference with </w:t>
      </w:r>
      <w:r w:rsidRPr="00D11362">
        <w:t xml:space="preserve">“administration of justice” </w:t>
      </w:r>
      <w:r>
        <w:t xml:space="preserve">which does </w:t>
      </w:r>
      <w:r w:rsidRPr="00D11362">
        <w:t>not</w:t>
      </w:r>
      <w:r>
        <w:t xml:space="preserve"> </w:t>
      </w:r>
      <w:r w:rsidRPr="00D11362">
        <w:t>apply to interference with the legislative process of certifying</w:t>
      </w:r>
      <w:r>
        <w:t xml:space="preserve"> </w:t>
      </w:r>
      <w:r w:rsidRPr="00D11362">
        <w:t>electoral votes.</w:t>
      </w:r>
      <w:r>
        <w:t xml:space="preserve">  He is from </w:t>
      </w:r>
      <w:proofErr w:type="gramStart"/>
      <w:r>
        <w:t>Texas, and</w:t>
      </w:r>
      <w:proofErr w:type="gramEnd"/>
      <w:r>
        <w:t xml:space="preserve"> is now serving his 2-year sentence in a federal facility in Missouri. </w:t>
      </w:r>
    </w:p>
    <w:p w14:paraId="6417440D" w14:textId="77777777" w:rsidR="00274E82" w:rsidRDefault="00274E82" w:rsidP="00274E82">
      <w:pPr>
        <w:pStyle w:val="NoSpacing"/>
        <w:rPr>
          <w:rFonts w:ascii="Times New Roman" w:hAnsi="Times New Roman"/>
          <w:sz w:val="24"/>
          <w:szCs w:val="24"/>
        </w:rPr>
      </w:pPr>
      <w:r>
        <w:rPr>
          <w:rFonts w:ascii="Times New Roman" w:hAnsi="Times New Roman"/>
          <w:sz w:val="24"/>
          <w:szCs w:val="24"/>
        </w:rPr>
        <w:t xml:space="preserve">Court held (3 to 1): </w:t>
      </w:r>
    </w:p>
    <w:p w14:paraId="6B9A8F8C" w14:textId="77777777" w:rsidR="00274E82" w:rsidRDefault="00274E82" w:rsidP="00274E82">
      <w:pPr>
        <w:pStyle w:val="NoSpacing"/>
        <w:rPr>
          <w:rFonts w:ascii="Times New Roman" w:hAnsi="Times New Roman"/>
          <w:sz w:val="24"/>
          <w:szCs w:val="24"/>
        </w:rPr>
      </w:pPr>
    </w:p>
    <w:p w14:paraId="2381CC1F" w14:textId="77777777" w:rsidR="00274E82" w:rsidRPr="00D11362" w:rsidRDefault="00274E82" w:rsidP="00274E82">
      <w:pPr>
        <w:pStyle w:val="NoSpacing"/>
        <w:ind w:left="720"/>
        <w:rPr>
          <w:rFonts w:ascii="Times New Roman" w:hAnsi="Times New Roman"/>
          <w:sz w:val="24"/>
          <w:szCs w:val="24"/>
        </w:rPr>
      </w:pPr>
      <w:r>
        <w:rPr>
          <w:rFonts w:ascii="Times New Roman" w:hAnsi="Times New Roman"/>
          <w:sz w:val="24"/>
          <w:szCs w:val="24"/>
        </w:rPr>
        <w:t>“</w:t>
      </w:r>
      <w:r w:rsidRPr="00D11362">
        <w:rPr>
          <w:rFonts w:ascii="Times New Roman" w:hAnsi="Times New Roman"/>
          <w:sz w:val="24"/>
          <w:szCs w:val="24"/>
        </w:rPr>
        <w:t>Because the law and the record in this case foreclose</w:t>
      </w:r>
      <w:r>
        <w:rPr>
          <w:rFonts w:ascii="Times New Roman" w:hAnsi="Times New Roman"/>
          <w:sz w:val="24"/>
          <w:szCs w:val="24"/>
        </w:rPr>
        <w:t xml:space="preserve"> </w:t>
      </w:r>
      <w:r w:rsidRPr="00D11362">
        <w:rPr>
          <w:rFonts w:ascii="Times New Roman" w:hAnsi="Times New Roman"/>
          <w:sz w:val="24"/>
          <w:szCs w:val="24"/>
        </w:rPr>
        <w:t>Brock’s legal and sufficiency challenges, we affirm Brock’s</w:t>
      </w:r>
      <w:r>
        <w:rPr>
          <w:rFonts w:ascii="Times New Roman" w:hAnsi="Times New Roman"/>
          <w:sz w:val="24"/>
          <w:szCs w:val="24"/>
        </w:rPr>
        <w:t xml:space="preserve"> </w:t>
      </w:r>
      <w:r w:rsidRPr="00D11362">
        <w:rPr>
          <w:rFonts w:ascii="Times New Roman" w:hAnsi="Times New Roman"/>
          <w:sz w:val="24"/>
          <w:szCs w:val="24"/>
        </w:rPr>
        <w:t>Section 1512(c)(2) conviction. As for Brock’s sentence, we</w:t>
      </w:r>
      <w:r>
        <w:rPr>
          <w:rFonts w:ascii="Times New Roman" w:hAnsi="Times New Roman"/>
          <w:sz w:val="24"/>
          <w:szCs w:val="24"/>
        </w:rPr>
        <w:t xml:space="preserve"> </w:t>
      </w:r>
      <w:r w:rsidRPr="00D11362">
        <w:rPr>
          <w:rFonts w:ascii="Times New Roman" w:hAnsi="Times New Roman"/>
          <w:sz w:val="24"/>
          <w:szCs w:val="24"/>
        </w:rPr>
        <w:t>hold that the “administration of justice” enhancement does not</w:t>
      </w:r>
      <w:r>
        <w:rPr>
          <w:rFonts w:ascii="Times New Roman" w:hAnsi="Times New Roman"/>
          <w:sz w:val="24"/>
          <w:szCs w:val="24"/>
        </w:rPr>
        <w:t xml:space="preserve"> </w:t>
      </w:r>
      <w:r w:rsidRPr="00D11362">
        <w:rPr>
          <w:rFonts w:ascii="Times New Roman" w:hAnsi="Times New Roman"/>
          <w:sz w:val="24"/>
          <w:szCs w:val="24"/>
        </w:rPr>
        <w:t>apply to interference with the legislative process of certifying</w:t>
      </w:r>
      <w:r>
        <w:rPr>
          <w:rFonts w:ascii="Times New Roman" w:hAnsi="Times New Roman"/>
          <w:sz w:val="24"/>
          <w:szCs w:val="24"/>
        </w:rPr>
        <w:t xml:space="preserve"> </w:t>
      </w:r>
      <w:r w:rsidRPr="00D11362">
        <w:rPr>
          <w:rFonts w:ascii="Times New Roman" w:hAnsi="Times New Roman"/>
          <w:sz w:val="24"/>
          <w:szCs w:val="24"/>
        </w:rPr>
        <w:t>electoral votes. For that reason, we vacate Brock’s sentence</w:t>
      </w:r>
      <w:r>
        <w:rPr>
          <w:rFonts w:ascii="Times New Roman" w:hAnsi="Times New Roman"/>
          <w:sz w:val="24"/>
          <w:szCs w:val="24"/>
        </w:rPr>
        <w:t xml:space="preserve"> </w:t>
      </w:r>
      <w:r w:rsidRPr="00D11362">
        <w:rPr>
          <w:rFonts w:ascii="Times New Roman" w:hAnsi="Times New Roman"/>
          <w:sz w:val="24"/>
          <w:szCs w:val="24"/>
        </w:rPr>
        <w:t>for his Section 1512(c)(2) conviction and remand to the district</w:t>
      </w:r>
      <w:r>
        <w:rPr>
          <w:rFonts w:ascii="Times New Roman" w:hAnsi="Times New Roman"/>
          <w:sz w:val="24"/>
          <w:szCs w:val="24"/>
        </w:rPr>
        <w:t xml:space="preserve"> </w:t>
      </w:r>
      <w:r w:rsidRPr="00D11362">
        <w:rPr>
          <w:rFonts w:ascii="Times New Roman" w:hAnsi="Times New Roman"/>
          <w:sz w:val="24"/>
          <w:szCs w:val="24"/>
        </w:rPr>
        <w:t>court for resentencing.</w:t>
      </w:r>
      <w:r>
        <w:rPr>
          <w:rFonts w:ascii="Times New Roman" w:hAnsi="Times New Roman"/>
          <w:sz w:val="24"/>
          <w:szCs w:val="24"/>
        </w:rPr>
        <w:t xml:space="preserve">” </w:t>
      </w:r>
      <w:hyperlink r:id="rId719" w:history="1">
        <w:r w:rsidRPr="00E64ED3">
          <w:rPr>
            <w:rStyle w:val="Hyperlink"/>
            <w:rFonts w:ascii="Times New Roman" w:hAnsi="Times New Roman"/>
            <w:sz w:val="24"/>
            <w:szCs w:val="24"/>
          </w:rPr>
          <w:t>https://storage.courtlistener.com/recap/gov.uscourts.cadc.39605/gov.uscourts.cadc.39605.1208600933.0.pdf</w:t>
        </w:r>
      </w:hyperlink>
      <w:r>
        <w:rPr>
          <w:rFonts w:ascii="Times New Roman" w:hAnsi="Times New Roman"/>
          <w:sz w:val="24"/>
          <w:szCs w:val="24"/>
        </w:rPr>
        <w:t xml:space="preserve"> </w:t>
      </w:r>
    </w:p>
    <w:p w14:paraId="076649D8" w14:textId="77777777" w:rsidR="00274E82" w:rsidRDefault="00274E82" w:rsidP="00274E82">
      <w:pPr>
        <w:pStyle w:val="NoSpacing"/>
        <w:ind w:left="720"/>
        <w:rPr>
          <w:rFonts w:ascii="Times New Roman" w:hAnsi="Times New Roman"/>
          <w:sz w:val="24"/>
          <w:szCs w:val="24"/>
        </w:rPr>
      </w:pPr>
    </w:p>
    <w:p w14:paraId="7A2BA015" w14:textId="77777777" w:rsidR="00274E82" w:rsidRPr="008900C4" w:rsidRDefault="00274E82" w:rsidP="00274E82">
      <w:pPr>
        <w:pStyle w:val="NoSpacing"/>
        <w:ind w:left="360"/>
        <w:rPr>
          <w:rFonts w:ascii="Times New Roman" w:hAnsi="Times New Roman"/>
          <w:b/>
          <w:bCs/>
          <w:sz w:val="24"/>
          <w:szCs w:val="24"/>
        </w:rPr>
      </w:pPr>
      <w:r w:rsidRPr="008900C4">
        <w:rPr>
          <w:rFonts w:ascii="Times New Roman" w:hAnsi="Times New Roman"/>
          <w:b/>
          <w:bCs/>
          <w:sz w:val="24"/>
          <w:szCs w:val="24"/>
        </w:rPr>
        <w:t>Legal Lesson Learned:</w:t>
      </w:r>
      <w:r>
        <w:rPr>
          <w:rFonts w:ascii="Times New Roman" w:hAnsi="Times New Roman"/>
          <w:b/>
          <w:bCs/>
          <w:sz w:val="24"/>
          <w:szCs w:val="24"/>
        </w:rPr>
        <w:t xml:space="preserve"> Over 100 other convicted for attack on U.S. Capitol on Jan. 6, </w:t>
      </w:r>
      <w:proofErr w:type="gramStart"/>
      <w:r>
        <w:rPr>
          <w:rFonts w:ascii="Times New Roman" w:hAnsi="Times New Roman"/>
          <w:b/>
          <w:bCs/>
          <w:sz w:val="24"/>
          <w:szCs w:val="24"/>
        </w:rPr>
        <w:t>2021</w:t>
      </w:r>
      <w:proofErr w:type="gramEnd"/>
      <w:r>
        <w:rPr>
          <w:rFonts w:ascii="Times New Roman" w:hAnsi="Times New Roman"/>
          <w:b/>
          <w:bCs/>
          <w:sz w:val="24"/>
          <w:szCs w:val="24"/>
        </w:rPr>
        <w:t xml:space="preserve">  may need to be re-sentenced. </w:t>
      </w:r>
    </w:p>
    <w:p w14:paraId="76A943CE" w14:textId="77777777" w:rsidR="00274E82" w:rsidRPr="00134B1F" w:rsidRDefault="00274E82" w:rsidP="00274E82">
      <w:pPr>
        <w:pStyle w:val="Heading1"/>
        <w:ind w:left="720"/>
        <w:rPr>
          <w:b w:val="0"/>
          <w:bCs w:val="0"/>
          <w:sz w:val="24"/>
          <w:szCs w:val="24"/>
        </w:rPr>
      </w:pPr>
      <w:r w:rsidRPr="00134B1F">
        <w:rPr>
          <w:b w:val="0"/>
          <w:bCs w:val="0"/>
          <w:sz w:val="24"/>
          <w:szCs w:val="24"/>
        </w:rPr>
        <w:t xml:space="preserve">Note: See photo of Brock in green army helmet and vest on Senate floor. “Appeals court ruling vacating Capitol rioter’s sentence could impact dozens of Jan. 6 cases.” </w:t>
      </w:r>
      <w:hyperlink r:id="rId720" w:history="1">
        <w:r w:rsidRPr="00134B1F">
          <w:rPr>
            <w:rStyle w:val="Hyperlink"/>
            <w:b w:val="0"/>
            <w:bCs w:val="0"/>
            <w:sz w:val="24"/>
            <w:szCs w:val="24"/>
          </w:rPr>
          <w:t>https://www.newsandsentinel.com/news/local-news/2024/03/appeals-court-ruling-vacating-capitol-rioters-sentence-could-impact-dozens-of-jan-6-cases/</w:t>
        </w:r>
      </w:hyperlink>
      <w:r w:rsidRPr="00134B1F">
        <w:rPr>
          <w:b w:val="0"/>
          <w:bCs w:val="0"/>
          <w:sz w:val="24"/>
          <w:szCs w:val="24"/>
        </w:rPr>
        <w:t xml:space="preserve"> </w:t>
      </w:r>
    </w:p>
    <w:p w14:paraId="3747650F" w14:textId="77777777" w:rsidR="002E2535" w:rsidRDefault="002E2535" w:rsidP="00F326E5">
      <w:pPr>
        <w:pStyle w:val="NoSpacing"/>
        <w:rPr>
          <w:rFonts w:ascii="Arial Black" w:hAnsi="Arial Black"/>
          <w:sz w:val="28"/>
          <w:szCs w:val="28"/>
        </w:rPr>
      </w:pPr>
    </w:p>
    <w:p w14:paraId="21711285" w14:textId="77777777" w:rsidR="002E2535" w:rsidRDefault="002E2535" w:rsidP="00F326E5">
      <w:pPr>
        <w:pStyle w:val="NoSpacing"/>
        <w:rPr>
          <w:rFonts w:ascii="Arial Black" w:hAnsi="Arial Black"/>
          <w:sz w:val="28"/>
          <w:szCs w:val="28"/>
        </w:rPr>
      </w:pPr>
    </w:p>
    <w:p w14:paraId="79083063" w14:textId="77777777" w:rsidR="002E2535" w:rsidRDefault="002E2535" w:rsidP="00F326E5">
      <w:pPr>
        <w:pStyle w:val="NoSpacing"/>
        <w:rPr>
          <w:rFonts w:ascii="Arial Black" w:hAnsi="Arial Black"/>
          <w:sz w:val="28"/>
          <w:szCs w:val="28"/>
        </w:rPr>
      </w:pPr>
    </w:p>
    <w:p w14:paraId="70E2E64E" w14:textId="03BD400C" w:rsidR="001B3B5F" w:rsidRDefault="001B3B5F"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8</w:t>
      </w:r>
    </w:p>
    <w:p w14:paraId="494AEDD8" w14:textId="77777777" w:rsidR="00231839" w:rsidRDefault="00231839" w:rsidP="00231839">
      <w:pPr>
        <w:pStyle w:val="NormalWeb"/>
        <w:rPr>
          <w:rFonts w:ascii="Arial Black" w:hAnsi="Arial Black"/>
          <w:b/>
          <w:bCs/>
          <w:sz w:val="28"/>
          <w:szCs w:val="28"/>
        </w:rPr>
      </w:pPr>
      <w:r>
        <w:rPr>
          <w:rFonts w:ascii="Arial Black" w:hAnsi="Arial Black"/>
          <w:b/>
          <w:bCs/>
          <w:sz w:val="28"/>
          <w:szCs w:val="28"/>
        </w:rPr>
        <w:t>NY: WORLD TRADE CENTER “PRESUMPTION” STATUTE – FF OVERDOSE AFTER KNEE REPLACEMENT – LODD PENSION</w:t>
      </w:r>
    </w:p>
    <w:p w14:paraId="5A935E0B" w14:textId="2DBF6894" w:rsidR="00231839" w:rsidRDefault="00231839" w:rsidP="00231839">
      <w:pPr>
        <w:pStyle w:val="NormalWeb"/>
      </w:pPr>
      <w:r w:rsidRPr="006B064A">
        <w:t xml:space="preserve">On </w:t>
      </w:r>
      <w:r>
        <w:t xml:space="preserve">Jan. 3, 2024, in </w:t>
      </w:r>
      <w:r w:rsidRPr="001A09E1">
        <w:rPr>
          <w:u w:val="single"/>
        </w:rPr>
        <w:t>Michelle Quinn v. The Board of Trustees of the Fire Department of the City of New York Pension Fund</w:t>
      </w:r>
      <w:r>
        <w:t>, Justice Arthur F. Engoron, Superior Court of New York, New York County, held (unpublished decision) that the wife of late Peter A. Quinn is entitled to line-of-duty death benefits, overruling the Pension Fund’s Oct. 26, 2022 denial of benefits.  He di</w:t>
      </w:r>
      <w:r w:rsidR="008749CD">
        <w:t>e</w:t>
      </w:r>
      <w:r>
        <w:t>d of drug overdose on Jan. 21, 2019 (prescribed morphine and oxycodone), two days after being released from hospital for left knee replacement. The wife provided a report from Dr. Richard Stripp, Ph.D, who had found it was not suicide, but an accidental overdose due to poor health status and previous history of respiratory disease and sleep apnea which “</w:t>
      </w:r>
      <w:r>
        <w:rPr>
          <w:rStyle w:val="Emphasis"/>
        </w:rPr>
        <w:t>greatly</w:t>
      </w:r>
      <w:r>
        <w:t xml:space="preserve"> increased the risk of a fatal accidental overdose from opioid analgesics."  </w:t>
      </w:r>
    </w:p>
    <w:p w14:paraId="628BBF62" w14:textId="77777777" w:rsidR="00231839" w:rsidRDefault="00231839" w:rsidP="00231839">
      <w:pPr>
        <w:ind w:left="720"/>
        <w:rPr>
          <w:rFonts w:ascii="Times New Roman" w:hAnsi="Times New Roman"/>
          <w:sz w:val="24"/>
          <w:szCs w:val="24"/>
        </w:rPr>
      </w:pPr>
      <w:r>
        <w:rPr>
          <w:rFonts w:ascii="Times New Roman" w:hAnsi="Times New Roman"/>
          <w:sz w:val="24"/>
          <w:szCs w:val="24"/>
        </w:rPr>
        <w:t>“</w:t>
      </w:r>
      <w:r w:rsidRPr="00C66254">
        <w:rPr>
          <w:rFonts w:ascii="Times New Roman" w:hAnsi="Times New Roman"/>
          <w:sz w:val="24"/>
          <w:szCs w:val="24"/>
        </w:rPr>
        <w:t xml:space="preserve">Pursuant to the WTC Bill, an eligible firefighter's disability or death as a result of a qualifying WTC condition, as defined in Retirement and Social Security Law § 2 (36), is </w:t>
      </w:r>
      <w:r>
        <w:rPr>
          <w:rFonts w:ascii="Times New Roman" w:hAnsi="Times New Roman"/>
          <w:sz w:val="24"/>
          <w:szCs w:val="24"/>
        </w:rPr>
        <w:t>‘</w:t>
      </w:r>
      <w:r w:rsidRPr="00C66254">
        <w:rPr>
          <w:rFonts w:ascii="Times New Roman" w:hAnsi="Times New Roman"/>
          <w:sz w:val="24"/>
          <w:szCs w:val="24"/>
        </w:rPr>
        <w:t>presumptive evidence that it was incurred in the performance and discharge of duty and the natural and proximate result of an accident not caused by such member's own willful negligence, unless the contrary be proved by competent evidence</w:t>
      </w:r>
      <w:r>
        <w:rPr>
          <w:rFonts w:ascii="Times New Roman" w:hAnsi="Times New Roman"/>
          <w:sz w:val="24"/>
          <w:szCs w:val="24"/>
        </w:rPr>
        <w:t>’</w:t>
      </w:r>
      <w:r w:rsidRPr="00C66254">
        <w:rPr>
          <w:rFonts w:ascii="Times New Roman" w:hAnsi="Times New Roman"/>
          <w:sz w:val="24"/>
          <w:szCs w:val="24"/>
        </w:rPr>
        <w:t xml:space="preserve"> (the </w:t>
      </w:r>
      <w:r>
        <w:rPr>
          <w:rFonts w:ascii="Times New Roman" w:hAnsi="Times New Roman"/>
          <w:sz w:val="24"/>
          <w:szCs w:val="24"/>
        </w:rPr>
        <w:t>‘</w:t>
      </w:r>
      <w:r w:rsidRPr="00C66254">
        <w:rPr>
          <w:rFonts w:ascii="Times New Roman" w:hAnsi="Times New Roman"/>
          <w:sz w:val="24"/>
          <w:szCs w:val="24"/>
        </w:rPr>
        <w:t>WTC Presumption</w:t>
      </w:r>
      <w:r>
        <w:rPr>
          <w:rFonts w:ascii="Times New Roman" w:hAnsi="Times New Roman"/>
          <w:sz w:val="24"/>
          <w:szCs w:val="24"/>
        </w:rPr>
        <w:t>’</w:t>
      </w:r>
      <w:r w:rsidRPr="00C66254">
        <w:rPr>
          <w:rFonts w:ascii="Times New Roman" w:hAnsi="Times New Roman"/>
          <w:sz w:val="24"/>
          <w:szCs w:val="24"/>
        </w:rPr>
        <w:t>).</w:t>
      </w:r>
    </w:p>
    <w:p w14:paraId="263A0851" w14:textId="77777777" w:rsidR="00231839" w:rsidRDefault="00231839" w:rsidP="00231839">
      <w:pPr>
        <w:ind w:firstLine="720"/>
        <w:rPr>
          <w:rFonts w:ascii="Times New Roman" w:hAnsi="Times New Roman"/>
          <w:sz w:val="24"/>
          <w:szCs w:val="24"/>
        </w:rPr>
      </w:pPr>
      <w:r>
        <w:rPr>
          <w:rFonts w:ascii="Times New Roman" w:hAnsi="Times New Roman"/>
          <w:sz w:val="24"/>
          <w:szCs w:val="24"/>
        </w:rPr>
        <w:t>***</w:t>
      </w:r>
    </w:p>
    <w:p w14:paraId="13449669" w14:textId="1B5DCC9E" w:rsidR="00231839" w:rsidRDefault="00231839" w:rsidP="00231839">
      <w:pPr>
        <w:pStyle w:val="NoSpacing"/>
        <w:rPr>
          <w:rStyle w:val="Hyperlink"/>
          <w:rFonts w:ascii="Times New Roman" w:hAnsi="Times New Roman"/>
          <w:sz w:val="24"/>
          <w:szCs w:val="24"/>
        </w:rPr>
      </w:pPr>
      <w:r w:rsidRPr="006F1EC0">
        <w:rPr>
          <w:rFonts w:ascii="Times New Roman" w:hAnsi="Times New Roman"/>
          <w:sz w:val="24"/>
          <w:szCs w:val="24"/>
        </w:rPr>
        <w:t>Here, there is no question that Quinn was at the WTC site and disabled as the proximate result of his line-of-duty exposure</w:t>
      </w:r>
      <w:r w:rsidRPr="00297192">
        <w:rPr>
          <w:rFonts w:ascii="Times New Roman" w:hAnsi="Times New Roman"/>
          <w:sz w:val="24"/>
          <w:szCs w:val="24"/>
        </w:rPr>
        <w:t>…. Petitioner, through the report of Dr. Stripp, has made a credible argument supporting the proposition that the accidental overdose cause of death listed on Quinn's autopsy was, in turn, a result of his WTC injuries</w:t>
      </w:r>
      <w:r w:rsidRPr="00744825">
        <w:rPr>
          <w:rFonts w:ascii="Times New Roman" w:hAnsi="Times New Roman"/>
          <w:sz w:val="24"/>
          <w:szCs w:val="24"/>
        </w:rPr>
        <w:t>… That Quinn's qualifying conditions specifically made him susceptible to an accidental overdose is further supported by the HSS doctor's notes and the fact that he was prescribed anti-overdose medications. ***  It</w:t>
      </w:r>
      <w:r w:rsidRPr="0076344F">
        <w:rPr>
          <w:rFonts w:ascii="Times New Roman" w:hAnsi="Times New Roman"/>
          <w:sz w:val="24"/>
          <w:szCs w:val="24"/>
        </w:rPr>
        <w:t xml:space="preserve"> was arbitrary and capricious for respondents to find that Quinn was not entitled to the WTC Presumption, and, therefore, they must rebut that presumption with "credible evidence," which they failed to do. Respondent's conjecture and unsupported suspicion that Quinn's accidental overdose was not ultimately caused by a qualifying WTC condition is insufficient.</w:t>
      </w:r>
      <w:r>
        <w:rPr>
          <w:rFonts w:ascii="Times New Roman" w:hAnsi="Times New Roman"/>
          <w:sz w:val="24"/>
          <w:szCs w:val="24"/>
        </w:rPr>
        <w:t xml:space="preserve"> … </w:t>
      </w:r>
      <w:r w:rsidRPr="00F6495A">
        <w:rPr>
          <w:rFonts w:ascii="Times New Roman" w:hAnsi="Times New Roman"/>
          <w:sz w:val="24"/>
          <w:szCs w:val="24"/>
        </w:rPr>
        <w:t>Therefore, this Court will direct respondent to vacate its prior determination, denying petitioner's application for a line-of-duty death benefit pension pursuant to the WTC Bill</w:t>
      </w:r>
      <w:r>
        <w:rPr>
          <w:rFonts w:ascii="Times New Roman" w:hAnsi="Times New Roman"/>
          <w:sz w:val="24"/>
          <w:szCs w:val="24"/>
        </w:rPr>
        <w:t xml:space="preserve">.” </w:t>
      </w:r>
      <w:hyperlink r:id="rId721" w:history="1">
        <w:r w:rsidRPr="00A46316">
          <w:rPr>
            <w:rStyle w:val="Hyperlink"/>
            <w:rFonts w:ascii="Times New Roman" w:hAnsi="Times New Roman"/>
            <w:sz w:val="24"/>
            <w:szCs w:val="24"/>
          </w:rPr>
          <w:t>https://casetext.com/case/quinn-v-the-bd-of-trs-of-fire-dept-of-city-of-ny-pension-fund</w:t>
        </w:r>
      </w:hyperlink>
    </w:p>
    <w:p w14:paraId="6223B862" w14:textId="77777777" w:rsidR="00233F5D" w:rsidRPr="00B86616" w:rsidRDefault="00233F5D" w:rsidP="00233F5D">
      <w:pPr>
        <w:pStyle w:val="NormalWeb"/>
        <w:rPr>
          <w:b/>
          <w:bCs/>
        </w:rPr>
      </w:pPr>
      <w:r w:rsidRPr="00B86616">
        <w:rPr>
          <w:b/>
          <w:bCs/>
        </w:rPr>
        <w:t>Legal Lesson Learned:</w:t>
      </w:r>
      <w:r>
        <w:rPr>
          <w:b/>
          <w:bCs/>
        </w:rPr>
        <w:t xml:space="preserve"> Excellent decision based on World Trade Center “presumption” law. </w:t>
      </w:r>
    </w:p>
    <w:p w14:paraId="253AF708" w14:textId="77777777" w:rsidR="00233F5D" w:rsidRDefault="00233F5D" w:rsidP="00231839">
      <w:pPr>
        <w:pStyle w:val="NoSpacing"/>
        <w:rPr>
          <w:rFonts w:ascii="Arial Black" w:hAnsi="Arial Black"/>
          <w:sz w:val="28"/>
          <w:szCs w:val="28"/>
        </w:rPr>
      </w:pPr>
    </w:p>
    <w:p w14:paraId="5AE96001" w14:textId="77777777" w:rsidR="001B3B5F" w:rsidRDefault="001B3B5F" w:rsidP="00F326E5">
      <w:pPr>
        <w:pStyle w:val="NoSpacing"/>
        <w:rPr>
          <w:rFonts w:ascii="Arial Black" w:hAnsi="Arial Black"/>
          <w:sz w:val="28"/>
          <w:szCs w:val="28"/>
        </w:rPr>
      </w:pPr>
    </w:p>
    <w:p w14:paraId="2929653B" w14:textId="77777777" w:rsidR="001B3B5F" w:rsidRDefault="001B3B5F" w:rsidP="00F326E5">
      <w:pPr>
        <w:pStyle w:val="NoSpacing"/>
        <w:rPr>
          <w:rFonts w:ascii="Arial Black" w:hAnsi="Arial Black"/>
          <w:sz w:val="28"/>
          <w:szCs w:val="28"/>
        </w:rPr>
      </w:pPr>
    </w:p>
    <w:p w14:paraId="61A13F07" w14:textId="77777777" w:rsidR="001B3B5F" w:rsidRDefault="001B3B5F" w:rsidP="00F326E5">
      <w:pPr>
        <w:pStyle w:val="NoSpacing"/>
        <w:rPr>
          <w:rFonts w:ascii="Arial Black" w:hAnsi="Arial Black"/>
          <w:sz w:val="28"/>
          <w:szCs w:val="28"/>
        </w:rPr>
      </w:pPr>
    </w:p>
    <w:p w14:paraId="243D6616" w14:textId="74D7A948" w:rsidR="009B0593" w:rsidRDefault="0074687D"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7</w:t>
      </w:r>
    </w:p>
    <w:p w14:paraId="7A162F75" w14:textId="77777777" w:rsidR="005D6C9F" w:rsidRPr="005D6C9F" w:rsidRDefault="005D6C9F" w:rsidP="005D6C9F">
      <w:pPr>
        <w:pStyle w:val="Heading2"/>
        <w:rPr>
          <w:rFonts w:ascii="Arial Black" w:hAnsi="Arial Black"/>
          <w:b w:val="0"/>
          <w:bCs w:val="0"/>
          <w:i w:val="0"/>
          <w:iCs w:val="0"/>
        </w:rPr>
      </w:pPr>
      <w:r w:rsidRPr="005D6C9F">
        <w:rPr>
          <w:rFonts w:ascii="Arial Black" w:hAnsi="Arial Black"/>
          <w:b w:val="0"/>
          <w:bCs w:val="0"/>
          <w:i w:val="0"/>
          <w:iCs w:val="0"/>
        </w:rPr>
        <w:t>TX: TIK TOK - GOVERNOR MAY LIMIT USE ON STATE / UNIVERSITY DEVICES – COMPANY BASED IN CHINA</w:t>
      </w:r>
    </w:p>
    <w:p w14:paraId="4790A2E7" w14:textId="77777777" w:rsidR="005D6C9F" w:rsidRDefault="005D6C9F" w:rsidP="005D6C9F">
      <w:pPr>
        <w:pStyle w:val="Heading2"/>
        <w:rPr>
          <w:rFonts w:ascii="Times New Roman" w:hAnsi="Times New Roman"/>
          <w:sz w:val="24"/>
          <w:szCs w:val="24"/>
        </w:rPr>
      </w:pPr>
      <w:r w:rsidRPr="005D6C9F">
        <w:rPr>
          <w:rFonts w:ascii="Times New Roman" w:hAnsi="Times New Roman"/>
          <w:b w:val="0"/>
          <w:bCs w:val="0"/>
          <w:i w:val="0"/>
          <w:iCs w:val="0"/>
          <w:sz w:val="24"/>
          <w:szCs w:val="24"/>
        </w:rPr>
        <w:t xml:space="preserve">On Dec. 11, 2023, in </w:t>
      </w:r>
      <w:r w:rsidRPr="005D6C9F">
        <w:rPr>
          <w:rFonts w:ascii="Times New Roman" w:hAnsi="Times New Roman"/>
          <w:b w:val="0"/>
          <w:bCs w:val="0"/>
          <w:i w:val="0"/>
          <w:iCs w:val="0"/>
          <w:sz w:val="24"/>
          <w:szCs w:val="24"/>
          <w:u w:val="single"/>
        </w:rPr>
        <w:t xml:space="preserve">Coalition </w:t>
      </w:r>
      <w:proofErr w:type="gramStart"/>
      <w:r w:rsidRPr="005D6C9F">
        <w:rPr>
          <w:rFonts w:ascii="Times New Roman" w:hAnsi="Times New Roman"/>
          <w:b w:val="0"/>
          <w:bCs w:val="0"/>
          <w:i w:val="0"/>
          <w:iCs w:val="0"/>
          <w:sz w:val="24"/>
          <w:szCs w:val="24"/>
          <w:u w:val="single"/>
        </w:rPr>
        <w:t>For</w:t>
      </w:r>
      <w:proofErr w:type="gramEnd"/>
      <w:r w:rsidRPr="005D6C9F">
        <w:rPr>
          <w:rFonts w:ascii="Times New Roman" w:hAnsi="Times New Roman"/>
          <w:b w:val="0"/>
          <w:bCs w:val="0"/>
          <w:i w:val="0"/>
          <w:iCs w:val="0"/>
          <w:sz w:val="24"/>
          <w:szCs w:val="24"/>
          <w:u w:val="single"/>
        </w:rPr>
        <w:t xml:space="preserve"> Independent Technology Research v. Gregg Abbott, et al</w:t>
      </w:r>
      <w:r w:rsidRPr="005D6C9F">
        <w:rPr>
          <w:rFonts w:ascii="Times New Roman" w:hAnsi="Times New Roman"/>
          <w:b w:val="0"/>
          <w:bCs w:val="0"/>
          <w:i w:val="0"/>
          <w:iCs w:val="0"/>
          <w:sz w:val="24"/>
          <w:szCs w:val="24"/>
        </w:rPr>
        <w:t>., U.S. District Court judge Robert Pitman, U.S. District Court for Western District of Texas, granted defense motion to dismiss the lawsuit.  TikTok is banned in over 30 states in USA; owned by ByteDance Ltd., Beijing, China. The Court wrote: “While the Court recognizes the importance both of protecting academic freedom and supporting public employees' right to free speech, the Court finds that these important ideals do not dictate the appropriate framework for this case. Texas's TikTok ban is not a restraint on public employee speech. Even as applied to public university faculty, who are entitled to special considerations under the law, the Court finds that the ban is not a restraint on speech in a public forum, but rather a restriction on a nonpublic forum motivated by Texas's data protection concerns regarding TikTok, an app owned by a company based in China. (</w:t>
      </w:r>
      <w:proofErr w:type="spellStart"/>
      <w:r w:rsidRPr="005D6C9F">
        <w:rPr>
          <w:rFonts w:ascii="Times New Roman" w:hAnsi="Times New Roman"/>
          <w:b w:val="0"/>
          <w:bCs w:val="0"/>
          <w:i w:val="0"/>
          <w:iCs w:val="0"/>
          <w:sz w:val="24"/>
          <w:szCs w:val="24"/>
        </w:rPr>
        <w:t>Compl</w:t>
      </w:r>
      <w:proofErr w:type="spellEnd"/>
      <w:r w:rsidRPr="005D6C9F">
        <w:rPr>
          <w:rFonts w:ascii="Times New Roman" w:hAnsi="Times New Roman"/>
          <w:b w:val="0"/>
          <w:bCs w:val="0"/>
          <w:i w:val="0"/>
          <w:iCs w:val="0"/>
          <w:sz w:val="24"/>
          <w:szCs w:val="24"/>
        </w:rPr>
        <w:t xml:space="preserve">., </w:t>
      </w:r>
      <w:proofErr w:type="spellStart"/>
      <w:r w:rsidRPr="005D6C9F">
        <w:rPr>
          <w:rFonts w:ascii="Times New Roman" w:hAnsi="Times New Roman"/>
          <w:b w:val="0"/>
          <w:bCs w:val="0"/>
          <w:i w:val="0"/>
          <w:iCs w:val="0"/>
          <w:sz w:val="24"/>
          <w:szCs w:val="24"/>
        </w:rPr>
        <w:t>Dkt</w:t>
      </w:r>
      <w:proofErr w:type="spellEnd"/>
      <w:r w:rsidRPr="005D6C9F">
        <w:rPr>
          <w:rFonts w:ascii="Times New Roman" w:hAnsi="Times New Roman"/>
          <w:b w:val="0"/>
          <w:bCs w:val="0"/>
          <w:i w:val="0"/>
          <w:iCs w:val="0"/>
          <w:sz w:val="24"/>
          <w:szCs w:val="24"/>
        </w:rPr>
        <w:t>. 1, at 2). Texas's TikTok ban is limiting the use of an app on state-provided devices and networks, which is not a blanket prohibition. Public university faculty-and all public employees-are free to use TikTok on their personal devices (</w:t>
      </w:r>
      <w:proofErr w:type="gramStart"/>
      <w:r w:rsidRPr="005D6C9F">
        <w:rPr>
          <w:rFonts w:ascii="Times New Roman" w:hAnsi="Times New Roman"/>
          <w:b w:val="0"/>
          <w:bCs w:val="0"/>
          <w:i w:val="0"/>
          <w:iCs w:val="0"/>
          <w:sz w:val="24"/>
          <w:szCs w:val="24"/>
        </w:rPr>
        <w:t>as long as</w:t>
      </w:r>
      <w:proofErr w:type="gramEnd"/>
      <w:r w:rsidRPr="005D6C9F">
        <w:rPr>
          <w:rFonts w:ascii="Times New Roman" w:hAnsi="Times New Roman"/>
          <w:b w:val="0"/>
          <w:bCs w:val="0"/>
          <w:i w:val="0"/>
          <w:iCs w:val="0"/>
          <w:sz w:val="24"/>
          <w:szCs w:val="24"/>
        </w:rPr>
        <w:t xml:space="preserve"> such devices are not used to access state networks). Therefore, the Court disagrees with Plaintiff's characterization of the ban as falling under the category of public employee speech. The Court finds nonpublic forum analysis to be the proper framework for Plaintiff's challenge, as the ban relates to Texas's regulation of its own governmental </w:t>
      </w:r>
      <w:proofErr w:type="gramStart"/>
      <w:r w:rsidRPr="005D6C9F">
        <w:rPr>
          <w:rFonts w:ascii="Times New Roman" w:hAnsi="Times New Roman"/>
          <w:b w:val="0"/>
          <w:bCs w:val="0"/>
          <w:i w:val="0"/>
          <w:iCs w:val="0"/>
          <w:sz w:val="24"/>
          <w:szCs w:val="24"/>
        </w:rPr>
        <w:t>property.”</w:t>
      </w:r>
      <w:proofErr w:type="gramEnd"/>
      <w:r w:rsidRPr="005D6C9F">
        <w:rPr>
          <w:rFonts w:ascii="Times New Roman" w:hAnsi="Times New Roman"/>
          <w:b w:val="0"/>
          <w:bCs w:val="0"/>
          <w:i w:val="0"/>
          <w:iCs w:val="0"/>
          <w:sz w:val="24"/>
          <w:szCs w:val="24"/>
        </w:rPr>
        <w:t xml:space="preserve"> </w:t>
      </w:r>
      <w:hyperlink r:id="rId722" w:history="1">
        <w:r w:rsidRPr="005D6C9F">
          <w:rPr>
            <w:rStyle w:val="Hyperlink"/>
            <w:rFonts w:ascii="Times New Roman" w:hAnsi="Times New Roman"/>
            <w:b w:val="0"/>
            <w:bCs w:val="0"/>
            <w:i w:val="0"/>
            <w:iCs w:val="0"/>
            <w:sz w:val="24"/>
            <w:szCs w:val="24"/>
          </w:rPr>
          <w:t>https://casetext.com/case/coal-for-indep-tech-research-v-abbott</w:t>
        </w:r>
      </w:hyperlink>
      <w:r>
        <w:rPr>
          <w:rFonts w:ascii="Times New Roman" w:hAnsi="Times New Roman"/>
          <w:sz w:val="24"/>
          <w:szCs w:val="24"/>
        </w:rPr>
        <w:t xml:space="preserve"> </w:t>
      </w:r>
    </w:p>
    <w:p w14:paraId="1EB0DAA1" w14:textId="77777777" w:rsidR="00E66493" w:rsidRPr="002C2A9E" w:rsidRDefault="00E66493" w:rsidP="00E66493">
      <w:pPr>
        <w:pStyle w:val="NormalWeb"/>
        <w:rPr>
          <w:b/>
          <w:bCs/>
        </w:rPr>
      </w:pPr>
      <w:r w:rsidRPr="002C2A9E">
        <w:rPr>
          <w:b/>
          <w:bCs/>
        </w:rPr>
        <w:t>Legal Lesson Learned:</w:t>
      </w:r>
      <w:r>
        <w:rPr>
          <w:b/>
          <w:bCs/>
        </w:rPr>
        <w:t xml:space="preserve"> State employees, including university professors, may still use TikTok on their personal devices. </w:t>
      </w:r>
    </w:p>
    <w:p w14:paraId="01C00B83" w14:textId="77777777" w:rsidR="00E66493" w:rsidRDefault="00E66493" w:rsidP="00E66493">
      <w:pPr>
        <w:pStyle w:val="NormalWeb"/>
        <w:ind w:left="720"/>
        <w:rPr>
          <w:b/>
          <w:bCs/>
        </w:rPr>
      </w:pPr>
      <w:r w:rsidRPr="00186EE2">
        <w:t xml:space="preserve">Note: “Federal interim rule implements TikTok ban on devices used in the performance of </w:t>
      </w:r>
      <w:r>
        <w:t xml:space="preserve"> f</w:t>
      </w:r>
      <w:r w:rsidRPr="00186EE2">
        <w:t xml:space="preserve">ederal contracts. ”July 13, 2023). </w:t>
      </w:r>
      <w:hyperlink r:id="rId723" w:history="1">
        <w:r w:rsidRPr="00186EE2">
          <w:rPr>
            <w:rStyle w:val="Hyperlink"/>
          </w:rPr>
          <w:t>https://research.wisc.edu/uncategorized/2023/07/13/federal-interim-rule-implements-tiktok-ban-on-devices-used-in-the-performance-of-federal-contracts/</w:t>
        </w:r>
      </w:hyperlink>
    </w:p>
    <w:p w14:paraId="0F468033" w14:textId="77777777" w:rsidR="00E66493" w:rsidRPr="00E66493" w:rsidRDefault="00E66493" w:rsidP="00E66493"/>
    <w:p w14:paraId="02DA7725" w14:textId="77777777" w:rsidR="005D6C9F" w:rsidRDefault="005D6C9F" w:rsidP="00F326E5">
      <w:pPr>
        <w:pStyle w:val="NoSpacing"/>
        <w:rPr>
          <w:rFonts w:ascii="Arial Black" w:hAnsi="Arial Black"/>
          <w:sz w:val="28"/>
          <w:szCs w:val="28"/>
        </w:rPr>
      </w:pPr>
    </w:p>
    <w:p w14:paraId="3843676F" w14:textId="77777777" w:rsidR="0074687D" w:rsidRDefault="0074687D" w:rsidP="00F326E5">
      <w:pPr>
        <w:pStyle w:val="NoSpacing"/>
        <w:rPr>
          <w:rFonts w:ascii="Arial Black" w:hAnsi="Arial Black"/>
          <w:sz w:val="28"/>
          <w:szCs w:val="28"/>
        </w:rPr>
      </w:pPr>
    </w:p>
    <w:p w14:paraId="21663E1D" w14:textId="767EF945" w:rsidR="00622D53" w:rsidRDefault="00622D53"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6</w:t>
      </w:r>
    </w:p>
    <w:p w14:paraId="06310C24" w14:textId="77777777" w:rsidR="00622D53" w:rsidRDefault="00622D53" w:rsidP="00622D53">
      <w:pPr>
        <w:spacing w:before="100" w:beforeAutospacing="1" w:after="100" w:afterAutospacing="1" w:line="240" w:lineRule="auto"/>
        <w:outlineLvl w:val="0"/>
        <w:rPr>
          <w:rFonts w:ascii="Arial Black" w:eastAsia="Times New Roman" w:hAnsi="Arial Black"/>
          <w:b/>
          <w:bCs/>
          <w:kern w:val="36"/>
          <w:sz w:val="28"/>
          <w:szCs w:val="28"/>
        </w:rPr>
      </w:pPr>
      <w:r>
        <w:rPr>
          <w:rFonts w:ascii="Arial Black" w:eastAsia="Times New Roman" w:hAnsi="Arial Black"/>
          <w:b/>
          <w:bCs/>
          <w:kern w:val="36"/>
          <w:sz w:val="28"/>
          <w:szCs w:val="28"/>
        </w:rPr>
        <w:t>CA: DEPORTATION – HELD FOR 2-YRS BY ICE – GETS BOND HEARING – WAS CA INMATE “FIRE CAMP” FIREFIGHTER</w:t>
      </w:r>
    </w:p>
    <w:p w14:paraId="22AB7C33" w14:textId="77777777" w:rsidR="00622D53" w:rsidRDefault="00622D53" w:rsidP="00622D53">
      <w:pPr>
        <w:pStyle w:val="Heading3"/>
        <w:rPr>
          <w:rFonts w:ascii="Times New Roman" w:hAnsi="Times New Roman" w:cs="Times New Roman"/>
          <w:color w:val="auto"/>
        </w:rPr>
      </w:pPr>
      <w:r w:rsidRPr="007A756D">
        <w:rPr>
          <w:rFonts w:ascii="Times New Roman" w:eastAsia="Times New Roman" w:hAnsi="Times New Roman" w:cs="Times New Roman"/>
          <w:color w:val="auto"/>
          <w:kern w:val="36"/>
        </w:rPr>
        <w:t xml:space="preserve">On Dec. 1, 2023, in </w:t>
      </w:r>
      <w:r w:rsidRPr="007A756D">
        <w:rPr>
          <w:rFonts w:ascii="Times New Roman" w:eastAsia="Times New Roman" w:hAnsi="Times New Roman" w:cs="Times New Roman"/>
          <w:color w:val="auto"/>
          <w:kern w:val="36"/>
          <w:u w:val="single"/>
        </w:rPr>
        <w:t xml:space="preserve">John Doe v. </w:t>
      </w:r>
      <w:r w:rsidRPr="007A756D">
        <w:rPr>
          <w:rFonts w:ascii="Times New Roman" w:hAnsi="Times New Roman" w:cs="Times New Roman"/>
          <w:color w:val="auto"/>
          <w:u w:val="single"/>
        </w:rPr>
        <w:t>Moises</w:t>
      </w:r>
      <w:r w:rsidRPr="007A756D">
        <w:rPr>
          <w:rFonts w:ascii="Times New Roman" w:hAnsi="Times New Roman" w:cs="Times New Roman"/>
          <w:color w:val="auto"/>
        </w:rPr>
        <w:t xml:space="preserve"> </w:t>
      </w:r>
      <w:r w:rsidRPr="007A756D">
        <w:rPr>
          <w:rFonts w:ascii="Times New Roman" w:eastAsia="Times New Roman" w:hAnsi="Times New Roman" w:cs="Times New Roman"/>
          <w:color w:val="auto"/>
          <w:kern w:val="36"/>
          <w:u w:val="single"/>
        </w:rPr>
        <w:t>Becerra</w:t>
      </w:r>
      <w:r w:rsidRPr="007A756D">
        <w:rPr>
          <w:rFonts w:ascii="Times New Roman" w:eastAsia="Times New Roman" w:hAnsi="Times New Roman" w:cs="Times New Roman"/>
          <w:color w:val="auto"/>
          <w:kern w:val="36"/>
        </w:rPr>
        <w:t xml:space="preserve">, U.S. District Court Judge P [Patrick] Casey Pitts, U.S. District Court Judge for Northern District of California (San Jose) ordered </w:t>
      </w:r>
      <w:r w:rsidRPr="007A756D">
        <w:rPr>
          <w:rFonts w:ascii="Times New Roman" w:hAnsi="Times New Roman" w:cs="Times New Roman"/>
          <w:color w:val="auto"/>
        </w:rPr>
        <w:t xml:space="preserve">U.S. Immigration and Customs Enforcement (ICE) to give the </w:t>
      </w:r>
      <w:r>
        <w:rPr>
          <w:rFonts w:ascii="Times New Roman" w:hAnsi="Times New Roman" w:cs="Times New Roman"/>
          <w:color w:val="auto"/>
        </w:rPr>
        <w:t xml:space="preserve">detainee (“John Doe” </w:t>
      </w:r>
      <w:r w:rsidRPr="005B43B2">
        <w:rPr>
          <w:rFonts w:ascii="Times New Roman" w:hAnsi="Times New Roman" w:cs="Times New Roman"/>
          <w:color w:val="auto"/>
        </w:rPr>
        <w:t xml:space="preserve">- </w:t>
      </w:r>
      <w:r w:rsidRPr="005B43B2">
        <w:rPr>
          <w:rFonts w:ascii="Times New Roman" w:hAnsi="Times New Roman" w:cs="Times New Roman"/>
        </w:rPr>
        <w:t>proceeding under a pseudonym)</w:t>
      </w:r>
      <w:r>
        <w:rPr>
          <w:rFonts w:ascii="Times New Roman" w:hAnsi="Times New Roman" w:cs="Times New Roman"/>
          <w:color w:val="auto"/>
        </w:rPr>
        <w:t xml:space="preserve"> awaiting deportation to Mexico (2 years in ICE custody) a bond hearing before an Immigration judge. </w:t>
      </w:r>
      <w:r w:rsidRPr="007A756D">
        <w:rPr>
          <w:rFonts w:ascii="Times New Roman" w:hAnsi="Times New Roman" w:cs="Times New Roman"/>
          <w:color w:val="auto"/>
        </w:rPr>
        <w:t xml:space="preserve">The Court wrote: “While in state custody, Mr. Doe joined the California Department of Corrections and Rehabilitation Fire Camp program and spent the last three years of his incarceration working as a firefighter. He completed his sentence in September 2021 and is on state parole until September 2024. If he </w:t>
      </w:r>
      <w:proofErr w:type="gramStart"/>
      <w:r w:rsidRPr="007A756D">
        <w:rPr>
          <w:rFonts w:ascii="Times New Roman" w:hAnsi="Times New Roman" w:cs="Times New Roman"/>
          <w:color w:val="auto"/>
        </w:rPr>
        <w:t>is able to</w:t>
      </w:r>
      <w:proofErr w:type="gramEnd"/>
      <w:r w:rsidRPr="007A756D">
        <w:rPr>
          <w:rFonts w:ascii="Times New Roman" w:hAnsi="Times New Roman" w:cs="Times New Roman"/>
          <w:color w:val="auto"/>
        </w:rPr>
        <w:t xml:space="preserve"> remain in the United States, Mr. Doe hopes to take advantage of a new law that enables Fire Camp participants like him to become professional firefighters upon release. *** On September 30, 2021, following his release from state detention, ICE took Mr. Doe into custody and detained him at the Golden State Annex (GSA) in McFarland, California. GSA is a private immigration detention facility operated for profit by GEO under contract with ICE. It is located outside the Northern District.</w:t>
      </w:r>
      <w:r w:rsidRPr="007A756D">
        <w:rPr>
          <w:color w:val="auto"/>
        </w:rPr>
        <w:t xml:space="preserve"> </w:t>
      </w:r>
      <w:r w:rsidRPr="007A756D">
        <w:rPr>
          <w:rFonts w:ascii="Times New Roman" w:hAnsi="Times New Roman" w:cs="Times New Roman"/>
          <w:color w:val="auto"/>
        </w:rPr>
        <w:t xml:space="preserve"> </w:t>
      </w:r>
      <w:hyperlink r:id="rId724" w:history="1">
        <w:r w:rsidRPr="00E359E2">
          <w:rPr>
            <w:rStyle w:val="Hyperlink"/>
            <w:rFonts w:ascii="Times New Roman" w:hAnsi="Times New Roman" w:cs="Times New Roman"/>
          </w:rPr>
          <w:t>https://caselaw.findlaw.com/court/us-dis-crt-n-d-cal/115575640.html</w:t>
        </w:r>
      </w:hyperlink>
      <w:r>
        <w:rPr>
          <w:rFonts w:ascii="Times New Roman" w:hAnsi="Times New Roman" w:cs="Times New Roman"/>
          <w:color w:val="auto"/>
        </w:rPr>
        <w:t xml:space="preserve"> </w:t>
      </w:r>
    </w:p>
    <w:p w14:paraId="70C92F5E" w14:textId="77777777" w:rsidR="0074687D" w:rsidRDefault="0074687D" w:rsidP="0074687D">
      <w:pPr>
        <w:spacing w:before="100" w:beforeAutospacing="1" w:after="100" w:afterAutospacing="1" w:line="240" w:lineRule="auto"/>
        <w:outlineLvl w:val="0"/>
        <w:rPr>
          <w:rFonts w:ascii="Times New Roman" w:hAnsi="Times New Roman"/>
          <w:b/>
          <w:bCs/>
          <w:sz w:val="24"/>
          <w:szCs w:val="24"/>
        </w:rPr>
      </w:pPr>
      <w:r w:rsidRPr="00FC093A">
        <w:rPr>
          <w:rFonts w:ascii="Times New Roman" w:hAnsi="Times New Roman"/>
          <w:b/>
          <w:bCs/>
          <w:sz w:val="24"/>
          <w:szCs w:val="24"/>
        </w:rPr>
        <w:t xml:space="preserve">Legal Lesson Learned: </w:t>
      </w:r>
      <w:r>
        <w:rPr>
          <w:rFonts w:ascii="Times New Roman" w:hAnsi="Times New Roman"/>
          <w:b/>
          <w:bCs/>
          <w:sz w:val="24"/>
          <w:szCs w:val="24"/>
        </w:rPr>
        <w:t xml:space="preserve">Even immigrants in custody for two years awaiting deportation have due process rights to a bond hearing. </w:t>
      </w:r>
    </w:p>
    <w:p w14:paraId="712B0B60" w14:textId="77777777" w:rsidR="0074687D" w:rsidRDefault="0074687D" w:rsidP="0074687D">
      <w:pPr>
        <w:pStyle w:val="Heading1"/>
        <w:ind w:left="720"/>
        <w:rPr>
          <w:b w:val="0"/>
          <w:bCs w:val="0"/>
          <w:kern w:val="0"/>
          <w:sz w:val="24"/>
          <w:szCs w:val="24"/>
        </w:rPr>
      </w:pPr>
      <w:r w:rsidRPr="00824AA4">
        <w:rPr>
          <w:b w:val="0"/>
          <w:bCs w:val="0"/>
          <w:sz w:val="24"/>
          <w:szCs w:val="24"/>
        </w:rPr>
        <w:t xml:space="preserve">Note: </w:t>
      </w:r>
      <w:r>
        <w:rPr>
          <w:b w:val="0"/>
          <w:bCs w:val="0"/>
          <w:sz w:val="24"/>
          <w:szCs w:val="24"/>
        </w:rPr>
        <w:t>“</w:t>
      </w:r>
      <w:r w:rsidRPr="00824AA4">
        <w:rPr>
          <w:b w:val="0"/>
          <w:bCs w:val="0"/>
          <w:sz w:val="24"/>
          <w:szCs w:val="24"/>
        </w:rPr>
        <w:t xml:space="preserve">The History of California’s Inmate Firefighter Program; </w:t>
      </w:r>
      <w:r w:rsidRPr="00824AA4">
        <w:rPr>
          <w:b w:val="0"/>
          <w:bCs w:val="0"/>
          <w:kern w:val="0"/>
          <w:sz w:val="24"/>
          <w:szCs w:val="24"/>
        </w:rPr>
        <w:t>The initiative, which finds prisoners working as first responders and rescuers, dates back to the 1940s</w:t>
      </w:r>
      <w:r>
        <w:rPr>
          <w:b w:val="0"/>
          <w:bCs w:val="0"/>
          <w:kern w:val="0"/>
          <w:sz w:val="24"/>
          <w:szCs w:val="24"/>
        </w:rPr>
        <w:t xml:space="preserve">.”  </w:t>
      </w:r>
      <w:hyperlink r:id="rId725" w:history="1">
        <w:r w:rsidRPr="001075D9">
          <w:rPr>
            <w:rStyle w:val="Hyperlink"/>
            <w:b w:val="0"/>
            <w:bCs w:val="0"/>
            <w:kern w:val="0"/>
            <w:sz w:val="24"/>
            <w:szCs w:val="24"/>
          </w:rPr>
          <w:t>https://www.smithsonianmag.com/history/the-history-of-californias-inmate-firefighter-program-180980662/</w:t>
        </w:r>
      </w:hyperlink>
      <w:r>
        <w:rPr>
          <w:b w:val="0"/>
          <w:bCs w:val="0"/>
          <w:kern w:val="0"/>
          <w:sz w:val="24"/>
          <w:szCs w:val="24"/>
        </w:rPr>
        <w:t xml:space="preserve"> </w:t>
      </w:r>
    </w:p>
    <w:p w14:paraId="1B60672D" w14:textId="77777777" w:rsidR="0074687D" w:rsidRPr="00824AA4" w:rsidRDefault="0074687D" w:rsidP="0074687D">
      <w:pPr>
        <w:pStyle w:val="Heading1"/>
        <w:ind w:left="1440"/>
        <w:rPr>
          <w:b w:val="0"/>
          <w:bCs w:val="0"/>
          <w:kern w:val="0"/>
          <w:sz w:val="24"/>
          <w:szCs w:val="24"/>
        </w:rPr>
      </w:pPr>
      <w:r>
        <w:rPr>
          <w:b w:val="0"/>
          <w:bCs w:val="0"/>
          <w:sz w:val="24"/>
          <w:szCs w:val="24"/>
        </w:rPr>
        <w:t>“</w:t>
      </w:r>
      <w:r w:rsidRPr="001907F8">
        <w:rPr>
          <w:b w:val="0"/>
          <w:bCs w:val="0"/>
          <w:sz w:val="24"/>
          <w:szCs w:val="24"/>
        </w:rPr>
        <w:t xml:space="preserve">Since World War II, California has relied on a unique group of firefighters to battle its conflagrations: </w:t>
      </w:r>
      <w:hyperlink r:id="rId726" w:tgtFrame="_blank" w:history="1">
        <w:r w:rsidRPr="001907F8">
          <w:rPr>
            <w:rStyle w:val="Hyperlink"/>
            <w:b w:val="0"/>
            <w:bCs w:val="0"/>
            <w:sz w:val="24"/>
            <w:szCs w:val="24"/>
          </w:rPr>
          <w:t>inmates</w:t>
        </w:r>
      </w:hyperlink>
      <w:r w:rsidRPr="001907F8">
        <w:rPr>
          <w:b w:val="0"/>
          <w:bCs w:val="0"/>
          <w:sz w:val="24"/>
          <w:szCs w:val="24"/>
        </w:rPr>
        <w:t xml:space="preserve">. Prisoners who want to enter the </w:t>
      </w:r>
      <w:hyperlink r:id="rId727" w:tgtFrame="_blank" w:history="1">
        <w:r w:rsidRPr="001907F8">
          <w:rPr>
            <w:rStyle w:val="Hyperlink"/>
            <w:b w:val="0"/>
            <w:bCs w:val="0"/>
            <w:sz w:val="24"/>
            <w:szCs w:val="24"/>
          </w:rPr>
          <w:t>Conservation Camp Program</w:t>
        </w:r>
      </w:hyperlink>
      <w:r w:rsidRPr="001907F8">
        <w:rPr>
          <w:b w:val="0"/>
          <w:bCs w:val="0"/>
          <w:sz w:val="24"/>
          <w:szCs w:val="24"/>
        </w:rPr>
        <w:t xml:space="preserve"> must meet security requirements and undergo two weeks of training. The all-inmate crews live in so-called </w:t>
      </w:r>
      <w:hyperlink r:id="rId728" w:tgtFrame="_blank" w:history="1">
        <w:r w:rsidRPr="001907F8">
          <w:rPr>
            <w:rStyle w:val="Hyperlink"/>
            <w:b w:val="0"/>
            <w:bCs w:val="0"/>
            <w:sz w:val="24"/>
            <w:szCs w:val="24"/>
          </w:rPr>
          <w:t>fire camps</w:t>
        </w:r>
      </w:hyperlink>
      <w:r w:rsidRPr="001907F8">
        <w:rPr>
          <w:b w:val="0"/>
          <w:bCs w:val="0"/>
          <w:sz w:val="24"/>
          <w:szCs w:val="24"/>
        </w:rPr>
        <w:t xml:space="preserve"> and are led by personnel from the California Department of Forestry and Fire Protection, or Cal Fire. They earn between </w:t>
      </w:r>
      <w:hyperlink r:id="rId729" w:tgtFrame="_blank" w:history="1">
        <w:r w:rsidRPr="001907F8">
          <w:rPr>
            <w:rStyle w:val="Hyperlink"/>
            <w:b w:val="0"/>
            <w:bCs w:val="0"/>
            <w:sz w:val="24"/>
            <w:szCs w:val="24"/>
          </w:rPr>
          <w:t>$2.90</w:t>
        </w:r>
      </w:hyperlink>
      <w:r w:rsidRPr="001907F8">
        <w:rPr>
          <w:b w:val="0"/>
          <w:bCs w:val="0"/>
          <w:sz w:val="24"/>
          <w:szCs w:val="24"/>
        </w:rPr>
        <w:t xml:space="preserve"> and $5 a day depending on their duties—and </w:t>
      </w:r>
      <w:hyperlink r:id="rId730" w:tgtFrame="_blank" w:history="1">
        <w:r w:rsidRPr="001907F8">
          <w:rPr>
            <w:rStyle w:val="Hyperlink"/>
            <w:b w:val="0"/>
            <w:bCs w:val="0"/>
            <w:sz w:val="24"/>
            <w:szCs w:val="24"/>
          </w:rPr>
          <w:t>slightly more</w:t>
        </w:r>
      </w:hyperlink>
      <w:r w:rsidRPr="001907F8">
        <w:rPr>
          <w:b w:val="0"/>
          <w:bCs w:val="0"/>
          <w:sz w:val="24"/>
          <w:szCs w:val="24"/>
        </w:rPr>
        <w:t xml:space="preserve"> when actively fighting a fire. Though their numbers have fluctuated over the years, they have often comprised </w:t>
      </w:r>
      <w:hyperlink r:id="rId731" w:tgtFrame="_blank" w:history="1">
        <w:r w:rsidRPr="001907F8">
          <w:rPr>
            <w:rStyle w:val="Hyperlink"/>
            <w:b w:val="0"/>
            <w:bCs w:val="0"/>
            <w:sz w:val="24"/>
            <w:szCs w:val="24"/>
          </w:rPr>
          <w:t>approximately one-third</w:t>
        </w:r>
      </w:hyperlink>
      <w:r w:rsidRPr="001907F8">
        <w:rPr>
          <w:b w:val="0"/>
          <w:bCs w:val="0"/>
          <w:sz w:val="24"/>
          <w:szCs w:val="24"/>
        </w:rPr>
        <w:t xml:space="preserve"> of California’s firefighting force.</w:t>
      </w:r>
      <w:r>
        <w:rPr>
          <w:b w:val="0"/>
          <w:bCs w:val="0"/>
          <w:sz w:val="24"/>
          <w:szCs w:val="24"/>
        </w:rPr>
        <w:t>”</w:t>
      </w:r>
    </w:p>
    <w:p w14:paraId="5C62E238" w14:textId="77777777" w:rsidR="0074687D" w:rsidRDefault="0074687D" w:rsidP="0074687D">
      <w:pPr>
        <w:pStyle w:val="NormalWeb"/>
        <w:jc w:val="center"/>
        <w:rPr>
          <w:b/>
          <w:bCs/>
        </w:rPr>
      </w:pPr>
    </w:p>
    <w:p w14:paraId="6EEF6381" w14:textId="77777777" w:rsidR="0074687D" w:rsidRPr="0074687D" w:rsidRDefault="0074687D" w:rsidP="0074687D"/>
    <w:p w14:paraId="1D6D53B5" w14:textId="77777777" w:rsidR="00622D53" w:rsidRDefault="00622D53" w:rsidP="00F326E5">
      <w:pPr>
        <w:pStyle w:val="NoSpacing"/>
        <w:rPr>
          <w:rFonts w:ascii="Arial Black" w:hAnsi="Arial Black"/>
          <w:sz w:val="28"/>
          <w:szCs w:val="28"/>
        </w:rPr>
      </w:pPr>
    </w:p>
    <w:p w14:paraId="6F584BA8" w14:textId="77777777" w:rsidR="00622D53" w:rsidRDefault="00622D53" w:rsidP="00F326E5">
      <w:pPr>
        <w:pStyle w:val="NoSpacing"/>
        <w:rPr>
          <w:rFonts w:ascii="Arial Black" w:hAnsi="Arial Black"/>
          <w:sz w:val="28"/>
          <w:szCs w:val="28"/>
        </w:rPr>
      </w:pPr>
    </w:p>
    <w:p w14:paraId="4B68C931" w14:textId="3F74168E" w:rsidR="00BB49C5" w:rsidRDefault="00BB49C5"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5</w:t>
      </w:r>
    </w:p>
    <w:p w14:paraId="0053C179" w14:textId="77777777" w:rsidR="00BB49C5" w:rsidRPr="004735F4" w:rsidRDefault="00BB49C5" w:rsidP="00BB49C5">
      <w:pPr>
        <w:pStyle w:val="NormalWeb"/>
        <w:rPr>
          <w:rFonts w:ascii="Arial Black" w:hAnsi="Arial Black"/>
          <w:b/>
          <w:bCs/>
          <w:sz w:val="28"/>
          <w:szCs w:val="28"/>
        </w:rPr>
      </w:pPr>
      <w:r>
        <w:rPr>
          <w:rFonts w:ascii="Arial Black" w:hAnsi="Arial Black"/>
          <w:b/>
          <w:bCs/>
          <w:sz w:val="28"/>
          <w:szCs w:val="28"/>
        </w:rPr>
        <w:t>TX: TEXAS GOV. ORDER - MIGRANTS NOT BE GIVEN RIDES - IMMIGRANT ADVOCATES CAN’T SUE – FED. INJUNCTION</w:t>
      </w:r>
    </w:p>
    <w:p w14:paraId="2831E47F" w14:textId="77777777" w:rsidR="00BB49C5" w:rsidRDefault="00BB49C5" w:rsidP="00BB49C5">
      <w:pPr>
        <w:pStyle w:val="NormalWeb"/>
      </w:pPr>
      <w:r>
        <w:t xml:space="preserve">On Oct. 27, 2023, in </w:t>
      </w:r>
      <w:r w:rsidRPr="004735F4">
        <w:rPr>
          <w:u w:val="single"/>
        </w:rPr>
        <w:t>United States of America v. Greg Abbott, et al</w:t>
      </w:r>
      <w:r>
        <w:t xml:space="preserve">., the U.S. Court of Appeals for the Fifth Circuit (New Orleans) held (2 to 1) that the U.S. District Court improperly denied the Governor’s motion to dismiss the three non-profits immigration advocates’ Fourth Amendment claims, since the Governor enjoys sovereign immunity from private party lawsuits.  Sovereign immunity forbids suits against a State and its officers in their official capacities. The Court held: “We agree with the Governor that sovereign immunity bars the lawsuit brought by the private plaintiffs. We reverse and remand with instructions to dismiss the suit against the Governor.” However, the Federal Government sued and in Aug. 2021 obtained an injunction against the Governor’s order and that injunction remains in place. </w:t>
      </w:r>
      <w:hyperlink r:id="rId732" w:history="1">
        <w:r w:rsidRPr="0097451D">
          <w:rPr>
            <w:rStyle w:val="Hyperlink"/>
            <w:rFonts w:eastAsiaTheme="majorEastAsia"/>
          </w:rPr>
          <w:t>https://cases.justia.com/federal/appellate-courts/ca5/22-50212/22-50212-2023-10-27.pdf?ts=1698427826</w:t>
        </w:r>
      </w:hyperlink>
      <w:r>
        <w:t xml:space="preserve"> </w:t>
      </w:r>
    </w:p>
    <w:p w14:paraId="40EE6571" w14:textId="77777777" w:rsidR="00BB49C5" w:rsidRPr="00D77256" w:rsidRDefault="00BB49C5" w:rsidP="00BB49C5">
      <w:pPr>
        <w:pStyle w:val="NormalWeb"/>
        <w:rPr>
          <w:b/>
          <w:bCs/>
        </w:rPr>
      </w:pPr>
      <w:r w:rsidRPr="00D77256">
        <w:rPr>
          <w:b/>
          <w:bCs/>
        </w:rPr>
        <w:t xml:space="preserve">Legal Lesson Learned: </w:t>
      </w:r>
      <w:r>
        <w:rPr>
          <w:b/>
          <w:bCs/>
        </w:rPr>
        <w:t xml:space="preserve">The lawsuit by USA will proceed. </w:t>
      </w:r>
    </w:p>
    <w:p w14:paraId="14B67253" w14:textId="77777777" w:rsidR="00BB49C5" w:rsidRPr="003402EF" w:rsidRDefault="00BB49C5" w:rsidP="00BB49C5">
      <w:pPr>
        <w:pStyle w:val="Heading1"/>
        <w:ind w:left="720"/>
        <w:rPr>
          <w:b w:val="0"/>
          <w:bCs w:val="0"/>
          <w:sz w:val="24"/>
          <w:szCs w:val="24"/>
        </w:rPr>
      </w:pPr>
      <w:r w:rsidRPr="003402EF">
        <w:rPr>
          <w:b w:val="0"/>
          <w:bCs w:val="0"/>
          <w:sz w:val="24"/>
          <w:szCs w:val="24"/>
        </w:rPr>
        <w:t xml:space="preserve">Note: The ruling does not affect a similar legal challenge brought by the Biden administration, leaving an August 2021 lower court’s injunction in place. See Oct. 27, </w:t>
      </w:r>
      <w:proofErr w:type="gramStart"/>
      <w:r w:rsidRPr="003402EF">
        <w:rPr>
          <w:b w:val="0"/>
          <w:bCs w:val="0"/>
          <w:sz w:val="24"/>
          <w:szCs w:val="24"/>
        </w:rPr>
        <w:t>2023</w:t>
      </w:r>
      <w:proofErr w:type="gramEnd"/>
      <w:r w:rsidRPr="003402EF">
        <w:rPr>
          <w:b w:val="0"/>
          <w:bCs w:val="0"/>
          <w:sz w:val="24"/>
          <w:szCs w:val="24"/>
        </w:rPr>
        <w:t xml:space="preserve"> article, </w:t>
      </w:r>
      <w:r>
        <w:rPr>
          <w:b w:val="0"/>
          <w:bCs w:val="0"/>
          <w:sz w:val="24"/>
          <w:szCs w:val="24"/>
        </w:rPr>
        <w:t>“</w:t>
      </w:r>
      <w:r w:rsidRPr="003402EF">
        <w:rPr>
          <w:b w:val="0"/>
          <w:bCs w:val="0"/>
          <w:sz w:val="24"/>
          <w:szCs w:val="24"/>
        </w:rPr>
        <w:t>US appeals court tosses lawsuit over Texas migrant transportation restrictions</w:t>
      </w:r>
      <w:r>
        <w:rPr>
          <w:b w:val="0"/>
          <w:bCs w:val="0"/>
          <w:sz w:val="24"/>
          <w:szCs w:val="24"/>
        </w:rPr>
        <w:t xml:space="preserve">.” </w:t>
      </w:r>
      <w:hyperlink r:id="rId733" w:history="1">
        <w:r w:rsidRPr="00956CFD">
          <w:rPr>
            <w:rStyle w:val="Hyperlink"/>
            <w:rFonts w:eastAsiaTheme="majorEastAsia"/>
            <w:b w:val="0"/>
            <w:bCs w:val="0"/>
            <w:sz w:val="24"/>
            <w:szCs w:val="24"/>
          </w:rPr>
          <w:t>https://www.theguardian.com/us-news/2023/oct/27/lawsuit-dismissed-texas-greg-abbott-transport-immigration</w:t>
        </w:r>
      </w:hyperlink>
      <w:r>
        <w:rPr>
          <w:b w:val="0"/>
          <w:bCs w:val="0"/>
          <w:sz w:val="24"/>
          <w:szCs w:val="24"/>
        </w:rPr>
        <w:t xml:space="preserve"> </w:t>
      </w:r>
    </w:p>
    <w:p w14:paraId="56B53233" w14:textId="77777777" w:rsidR="00BB49C5" w:rsidRDefault="00BB49C5" w:rsidP="00F326E5">
      <w:pPr>
        <w:pStyle w:val="NoSpacing"/>
        <w:rPr>
          <w:rFonts w:ascii="Arial Black" w:hAnsi="Arial Black"/>
          <w:sz w:val="28"/>
          <w:szCs w:val="28"/>
        </w:rPr>
      </w:pPr>
    </w:p>
    <w:p w14:paraId="7CBBFD18" w14:textId="77777777" w:rsidR="00BB49C5" w:rsidRDefault="00BB49C5" w:rsidP="00F326E5">
      <w:pPr>
        <w:pStyle w:val="NoSpacing"/>
        <w:rPr>
          <w:rFonts w:ascii="Arial Black" w:hAnsi="Arial Black"/>
          <w:sz w:val="28"/>
          <w:szCs w:val="28"/>
        </w:rPr>
      </w:pPr>
    </w:p>
    <w:p w14:paraId="33A196E0" w14:textId="4363ED55" w:rsidR="009B0593" w:rsidRDefault="009B0593"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4</w:t>
      </w:r>
    </w:p>
    <w:p w14:paraId="36E218C9" w14:textId="77777777" w:rsidR="009B0593" w:rsidRPr="004C7E57" w:rsidRDefault="009B0593" w:rsidP="009B0593">
      <w:pPr>
        <w:pStyle w:val="NormalWeb"/>
        <w:rPr>
          <w:rFonts w:ascii="Arial Black" w:hAnsi="Arial Black"/>
          <w:sz w:val="28"/>
          <w:szCs w:val="28"/>
        </w:rPr>
      </w:pPr>
      <w:r>
        <w:rPr>
          <w:rFonts w:ascii="Arial Black" w:hAnsi="Arial Black"/>
          <w:sz w:val="28"/>
          <w:szCs w:val="28"/>
        </w:rPr>
        <w:t>IL: AFTER TRIAL FBI PAID CONFIDENTIAL SOURCE $50,000 BONUS – COURT HEARING - NO REVERSAL CONVICTIONS</w:t>
      </w:r>
    </w:p>
    <w:p w14:paraId="1ADDBA74" w14:textId="77777777" w:rsidR="009B0593" w:rsidRDefault="009B0593" w:rsidP="009B0593">
      <w:pPr>
        <w:pStyle w:val="NormalWeb"/>
      </w:pPr>
      <w:r>
        <w:t xml:space="preserve">On Aug. 18, 2023, in </w:t>
      </w:r>
      <w:r w:rsidRPr="004C7E57">
        <w:rPr>
          <w:u w:val="single"/>
        </w:rPr>
        <w:t>United States of America v, Joseph D. Jones and Edward Schimenti</w:t>
      </w:r>
      <w:r>
        <w:t>, the U.S. Court of Appeals for 7</w:t>
      </w:r>
      <w:r w:rsidRPr="004C7E57">
        <w:rPr>
          <w:vertAlign w:val="superscript"/>
        </w:rPr>
        <w:t>th</w:t>
      </w:r>
      <w:r>
        <w:t xml:space="preserve"> Circuit (Chicago) held (3 to 0) that trial court properly denied defense motion for a new trial.  The evidence providing material support to the terrorist organization ISIS by two defendants was so strong, the 7th Circuit concluded that the disclosure at trial of the planned or contemplated post-trial bonus payment would not have resulted in the jury acquitting the defendants. </w:t>
      </w:r>
    </w:p>
    <w:p w14:paraId="4746A90A" w14:textId="77777777" w:rsidR="009B0593" w:rsidRDefault="009B0593" w:rsidP="009B0593">
      <w:pPr>
        <w:pStyle w:val="NormalWeb"/>
        <w:ind w:left="720"/>
      </w:pPr>
      <w:r>
        <w:t>The Court of Appeals held: “We likewise agree with the district court's denial of Jones and Schimenti's motion for a new trial based on a revelation that emerged after trial regarding a substantial payment the government made to a confidential source shortly after the jury convicted both defendants. What happened raises many questions, but, like the district court, we cannot conclude an earlier disclosure of a planned or contemplated post-trial payment would have resulted in the jury acquitting Jones or Schimenti. All of this leads us to affirm.”</w:t>
      </w:r>
      <w:hyperlink r:id="rId734" w:history="1">
        <w:r w:rsidRPr="00955A98">
          <w:rPr>
            <w:rStyle w:val="Hyperlink"/>
            <w:rFonts w:eastAsiaTheme="majorEastAsia"/>
          </w:rPr>
          <w:t>https://caselaw.findlaw.com/court/us-7th-circuit/114903686.html</w:t>
        </w:r>
      </w:hyperlink>
      <w:r>
        <w:t xml:space="preserve"> </w:t>
      </w:r>
    </w:p>
    <w:p w14:paraId="3E0D15B0" w14:textId="77777777" w:rsidR="009B0593" w:rsidRPr="006B6BC8" w:rsidRDefault="009B0593" w:rsidP="009B0593">
      <w:pPr>
        <w:pStyle w:val="NormalWeb"/>
        <w:rPr>
          <w:b/>
          <w:bCs/>
        </w:rPr>
      </w:pPr>
      <w:r w:rsidRPr="006B6BC8">
        <w:rPr>
          <w:b/>
          <w:bCs/>
        </w:rPr>
        <w:t xml:space="preserve">Legal Lesson Learned: </w:t>
      </w:r>
      <w:r>
        <w:rPr>
          <w:b/>
          <w:bCs/>
        </w:rPr>
        <w:t xml:space="preserve">Bonus payments to a confidential source after trial can lead to post-trial hearings. </w:t>
      </w:r>
    </w:p>
    <w:p w14:paraId="10F234D9" w14:textId="77777777" w:rsidR="009B0593" w:rsidRDefault="009B0593" w:rsidP="00F326E5">
      <w:pPr>
        <w:pStyle w:val="NoSpacing"/>
        <w:rPr>
          <w:rFonts w:ascii="Arial Black" w:hAnsi="Arial Black"/>
          <w:sz w:val="28"/>
          <w:szCs w:val="28"/>
        </w:rPr>
      </w:pPr>
    </w:p>
    <w:p w14:paraId="1F9E8713" w14:textId="77777777" w:rsidR="009B0593" w:rsidRDefault="009B0593" w:rsidP="00F326E5">
      <w:pPr>
        <w:pStyle w:val="NoSpacing"/>
        <w:rPr>
          <w:rFonts w:ascii="Arial Black" w:hAnsi="Arial Black"/>
          <w:sz w:val="28"/>
          <w:szCs w:val="28"/>
        </w:rPr>
      </w:pPr>
    </w:p>
    <w:p w14:paraId="24E41B73" w14:textId="1B847B0B" w:rsidR="00DC17BF" w:rsidRDefault="00FE60DA"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3</w:t>
      </w:r>
    </w:p>
    <w:p w14:paraId="4CF61886" w14:textId="6E6B7568" w:rsidR="00FE60DA" w:rsidRPr="00DB3ABA" w:rsidRDefault="00FE60DA" w:rsidP="00FE60DA">
      <w:pPr>
        <w:pStyle w:val="NormalWeb"/>
        <w:rPr>
          <w:rFonts w:ascii="Arial Black" w:hAnsi="Arial Black"/>
          <w:sz w:val="28"/>
          <w:szCs w:val="28"/>
        </w:rPr>
      </w:pPr>
      <w:r>
        <w:rPr>
          <w:rFonts w:ascii="Arial Black" w:hAnsi="Arial Black"/>
          <w:sz w:val="28"/>
          <w:szCs w:val="28"/>
        </w:rPr>
        <w:t xml:space="preserve">LA: FED. JUDGE INJUNCTION – FED. GOV’T TRYING </w:t>
      </w:r>
      <w:r w:rsidR="00735F6B">
        <w:rPr>
          <w:rFonts w:ascii="Arial Black" w:hAnsi="Arial Black"/>
          <w:sz w:val="28"/>
          <w:szCs w:val="28"/>
        </w:rPr>
        <w:t xml:space="preserve">GET </w:t>
      </w:r>
      <w:r>
        <w:rPr>
          <w:rFonts w:ascii="Arial Black" w:hAnsi="Arial Black"/>
          <w:sz w:val="28"/>
          <w:szCs w:val="28"/>
        </w:rPr>
        <w:t xml:space="preserve">FACEBOOK, TWITTER TO DELETE POSTS - DOJ APPEALS </w:t>
      </w:r>
    </w:p>
    <w:p w14:paraId="1817A0C1" w14:textId="342A70FD"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4, 2023, in </w:t>
      </w:r>
      <w:r w:rsidRPr="00E83DE8">
        <w:rPr>
          <w:rFonts w:ascii="Times New Roman" w:hAnsi="Times New Roman"/>
          <w:sz w:val="24"/>
          <w:szCs w:val="24"/>
          <w:u w:val="single"/>
        </w:rPr>
        <w:t>State of Missouri, et al. v. Joseph R. Biden, Jr., et al</w:t>
      </w:r>
      <w:r>
        <w:rPr>
          <w:rFonts w:ascii="Times New Roman" w:hAnsi="Times New Roman"/>
          <w:sz w:val="24"/>
          <w:szCs w:val="24"/>
        </w:rPr>
        <w:t>, U.S. District Court Judge Terry A. Doughty, U.S. District Court for Western District of Louisiana, Monroe Division, granted State of Missouri, State of Louisiana, and five individuals a preliminary injunction (but denied class action) concerning Whitehouse efforts to get social media companies to delete posts that opposed Covid-19 vaccinations, and other “hot” topics.  The judge’s 155-page opinion has drawn national attention and promptly appealed by U.S. Department of Justice to the U.S. Court of Appeals for 5</w:t>
      </w:r>
      <w:r w:rsidRPr="00E83DE8">
        <w:rPr>
          <w:rFonts w:ascii="Times New Roman" w:hAnsi="Times New Roman"/>
          <w:sz w:val="24"/>
          <w:szCs w:val="24"/>
          <w:vertAlign w:val="superscript"/>
        </w:rPr>
        <w:t>th</w:t>
      </w:r>
      <w:r>
        <w:rPr>
          <w:rFonts w:ascii="Times New Roman" w:hAnsi="Times New Roman"/>
          <w:sz w:val="24"/>
          <w:szCs w:val="24"/>
        </w:rPr>
        <w:t xml:space="preserve"> Circuit (New Orleans).  </w:t>
      </w:r>
      <w:hyperlink r:id="rId735" w:history="1">
        <w:r w:rsidR="0062739C" w:rsidRPr="00812663">
          <w:rPr>
            <w:rStyle w:val="Hyperlink"/>
          </w:rPr>
          <w:t>https://casetext.com/case/baarbe-v-the-syrian-arab-republic</w:t>
        </w:r>
      </w:hyperlink>
    </w:p>
    <w:p w14:paraId="5D7EB7F2"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Judge Doughty (nominated by President Trump in 2017) wrote: “</w:t>
      </w:r>
      <w:r w:rsidRPr="00DB3ABA">
        <w:rPr>
          <w:rFonts w:ascii="Times New Roman" w:hAnsi="Times New Roman"/>
          <w:sz w:val="24"/>
          <w:szCs w:val="24"/>
        </w:rPr>
        <w:t>The Plaintiffs are likely to succeed on the merits in establishing that the Government has</w:t>
      </w:r>
      <w:r>
        <w:rPr>
          <w:rFonts w:ascii="Times New Roman" w:hAnsi="Times New Roman"/>
          <w:sz w:val="24"/>
          <w:szCs w:val="24"/>
        </w:rPr>
        <w:t xml:space="preserve"> </w:t>
      </w:r>
      <w:r w:rsidRPr="00DB3ABA">
        <w:rPr>
          <w:rFonts w:ascii="Times New Roman" w:hAnsi="Times New Roman"/>
          <w:sz w:val="24"/>
          <w:szCs w:val="24"/>
        </w:rPr>
        <w:t>used its power to silence the opposition. Opposition to COVID-19 vaccines; opposition to</w:t>
      </w:r>
      <w:r>
        <w:rPr>
          <w:rFonts w:ascii="Times New Roman" w:hAnsi="Times New Roman"/>
          <w:sz w:val="24"/>
          <w:szCs w:val="24"/>
        </w:rPr>
        <w:t xml:space="preserve"> </w:t>
      </w:r>
      <w:r w:rsidRPr="00DB3ABA">
        <w:rPr>
          <w:rFonts w:ascii="Times New Roman" w:hAnsi="Times New Roman"/>
          <w:sz w:val="24"/>
          <w:szCs w:val="24"/>
        </w:rPr>
        <w:t>COVID-19 masking and lockdowns; opposition to the lab-leak theory of COVID-19; opposition</w:t>
      </w:r>
      <w:r>
        <w:rPr>
          <w:rFonts w:ascii="Times New Roman" w:hAnsi="Times New Roman"/>
          <w:sz w:val="24"/>
          <w:szCs w:val="24"/>
        </w:rPr>
        <w:t xml:space="preserve"> </w:t>
      </w:r>
      <w:r w:rsidRPr="00DB3ABA">
        <w:rPr>
          <w:rFonts w:ascii="Times New Roman" w:hAnsi="Times New Roman"/>
          <w:sz w:val="24"/>
          <w:szCs w:val="24"/>
        </w:rPr>
        <w:t>to the validity of the 2020 election; opposition to President Biden’s policies; statements that the</w:t>
      </w:r>
      <w:r>
        <w:rPr>
          <w:rFonts w:ascii="Times New Roman" w:hAnsi="Times New Roman"/>
          <w:sz w:val="24"/>
          <w:szCs w:val="24"/>
        </w:rPr>
        <w:t xml:space="preserve"> </w:t>
      </w:r>
      <w:r w:rsidRPr="00DB3ABA">
        <w:rPr>
          <w:rFonts w:ascii="Times New Roman" w:hAnsi="Times New Roman"/>
          <w:sz w:val="24"/>
          <w:szCs w:val="24"/>
        </w:rPr>
        <w:t>Hunter Biden laptop story was true; and opposition to policies of the government officials in</w:t>
      </w:r>
      <w:r>
        <w:rPr>
          <w:rFonts w:ascii="Times New Roman" w:hAnsi="Times New Roman"/>
          <w:sz w:val="24"/>
          <w:szCs w:val="24"/>
        </w:rPr>
        <w:t xml:space="preserve"> </w:t>
      </w:r>
      <w:r w:rsidRPr="00DB3ABA">
        <w:rPr>
          <w:rFonts w:ascii="Times New Roman" w:hAnsi="Times New Roman"/>
          <w:sz w:val="24"/>
          <w:szCs w:val="24"/>
        </w:rPr>
        <w:t>power. All were suppressed. It is quite telling that each example or category of suppressed speech</w:t>
      </w:r>
      <w:r>
        <w:rPr>
          <w:rFonts w:ascii="Times New Roman" w:hAnsi="Times New Roman"/>
          <w:sz w:val="24"/>
          <w:szCs w:val="24"/>
        </w:rPr>
        <w:t xml:space="preserve"> </w:t>
      </w:r>
      <w:r w:rsidRPr="00DB3ABA">
        <w:rPr>
          <w:rFonts w:ascii="Times New Roman" w:hAnsi="Times New Roman"/>
          <w:sz w:val="24"/>
          <w:szCs w:val="24"/>
        </w:rPr>
        <w:t>was conservative in nature. This targeted suppression of conservative ideas is a perfect example</w:t>
      </w:r>
      <w:r>
        <w:rPr>
          <w:rFonts w:ascii="Times New Roman" w:hAnsi="Times New Roman"/>
          <w:sz w:val="24"/>
          <w:szCs w:val="24"/>
        </w:rPr>
        <w:t xml:space="preserve"> </w:t>
      </w:r>
      <w:r w:rsidRPr="00DB3ABA">
        <w:rPr>
          <w:rFonts w:ascii="Times New Roman" w:hAnsi="Times New Roman"/>
          <w:sz w:val="24"/>
          <w:szCs w:val="24"/>
        </w:rPr>
        <w:t xml:space="preserve">of viewpoint discrimination </w:t>
      </w:r>
      <w:proofErr w:type="gramStart"/>
      <w:r w:rsidRPr="00DB3ABA">
        <w:rPr>
          <w:rFonts w:ascii="Times New Roman" w:hAnsi="Times New Roman"/>
          <w:sz w:val="24"/>
          <w:szCs w:val="24"/>
        </w:rPr>
        <w:t>of</w:t>
      </w:r>
      <w:proofErr w:type="gramEnd"/>
      <w:r w:rsidRPr="00DB3ABA">
        <w:rPr>
          <w:rFonts w:ascii="Times New Roman" w:hAnsi="Times New Roman"/>
          <w:sz w:val="24"/>
          <w:szCs w:val="24"/>
        </w:rPr>
        <w:t xml:space="preserve"> political speech. American citizens have the right to engage in free</w:t>
      </w:r>
      <w:r>
        <w:rPr>
          <w:rFonts w:ascii="Times New Roman" w:hAnsi="Times New Roman"/>
          <w:sz w:val="24"/>
          <w:szCs w:val="24"/>
        </w:rPr>
        <w:t xml:space="preserve"> </w:t>
      </w:r>
      <w:r w:rsidRPr="00DB3ABA">
        <w:rPr>
          <w:rFonts w:ascii="Times New Roman" w:hAnsi="Times New Roman"/>
          <w:sz w:val="24"/>
          <w:szCs w:val="24"/>
        </w:rPr>
        <w:t>debate about the significant issues affecting the country.</w:t>
      </w:r>
      <w:r>
        <w:rPr>
          <w:rFonts w:ascii="Times New Roman" w:hAnsi="Times New Roman"/>
          <w:sz w:val="24"/>
          <w:szCs w:val="24"/>
        </w:rPr>
        <w:t xml:space="preserve">” </w:t>
      </w:r>
      <w:hyperlink r:id="rId736" w:history="1">
        <w:r w:rsidRPr="00812663">
          <w:rPr>
            <w:rStyle w:val="Hyperlink"/>
            <w:sz w:val="24"/>
            <w:szCs w:val="24"/>
          </w:rPr>
          <w:t>https://ago.mo.gov/docs/default-source/press-releases/missouri-v-biden-ruling.pdf</w:t>
        </w:r>
      </w:hyperlink>
      <w:r>
        <w:rPr>
          <w:rFonts w:ascii="Times New Roman" w:hAnsi="Times New Roman"/>
          <w:sz w:val="24"/>
          <w:szCs w:val="24"/>
        </w:rPr>
        <w:t xml:space="preserve"> </w:t>
      </w:r>
    </w:p>
    <w:p w14:paraId="1C2406DB" w14:textId="77777777" w:rsidR="00523A11" w:rsidRDefault="00FE60DA" w:rsidP="00FE60DA">
      <w:pPr>
        <w:spacing w:before="100" w:beforeAutospacing="1" w:after="100" w:afterAutospacing="1" w:line="240" w:lineRule="auto"/>
        <w:rPr>
          <w:rFonts w:ascii="Times New Roman" w:hAnsi="Times New Roman"/>
          <w:b/>
          <w:bCs/>
          <w:sz w:val="24"/>
          <w:szCs w:val="24"/>
        </w:rPr>
      </w:pPr>
      <w:r w:rsidRPr="00793A6E">
        <w:rPr>
          <w:rFonts w:ascii="Times New Roman" w:hAnsi="Times New Roman"/>
          <w:b/>
          <w:bCs/>
          <w:sz w:val="24"/>
          <w:szCs w:val="24"/>
        </w:rPr>
        <w:t xml:space="preserve">Legal Lesson Learned: </w:t>
      </w:r>
      <w:r>
        <w:rPr>
          <w:rFonts w:ascii="Times New Roman" w:hAnsi="Times New Roman"/>
          <w:b/>
          <w:bCs/>
          <w:sz w:val="24"/>
          <w:szCs w:val="24"/>
        </w:rPr>
        <w:t>U.S. Department of Justice has already filed an appeal with 5</w:t>
      </w:r>
      <w:r w:rsidRPr="001D1578">
        <w:rPr>
          <w:rFonts w:ascii="Times New Roman" w:hAnsi="Times New Roman"/>
          <w:b/>
          <w:bCs/>
          <w:sz w:val="24"/>
          <w:szCs w:val="24"/>
          <w:vertAlign w:val="superscript"/>
        </w:rPr>
        <w:t>th</w:t>
      </w:r>
      <w:r>
        <w:rPr>
          <w:rFonts w:ascii="Times New Roman" w:hAnsi="Times New Roman"/>
          <w:b/>
          <w:bCs/>
          <w:sz w:val="24"/>
          <w:szCs w:val="24"/>
        </w:rPr>
        <w:t xml:space="preserve"> Circuit.</w:t>
      </w:r>
      <w:r w:rsidR="00735F6B">
        <w:rPr>
          <w:rFonts w:ascii="Times New Roman" w:hAnsi="Times New Roman"/>
          <w:b/>
          <w:bCs/>
          <w:sz w:val="24"/>
          <w:szCs w:val="24"/>
        </w:rPr>
        <w:t xml:space="preserve"> </w:t>
      </w:r>
    </w:p>
    <w:p w14:paraId="66401B1F" w14:textId="77777777" w:rsidR="00523A11" w:rsidRDefault="00523A11" w:rsidP="00FE60DA">
      <w:pPr>
        <w:spacing w:before="100" w:beforeAutospacing="1" w:after="100" w:afterAutospacing="1" w:line="240" w:lineRule="auto"/>
        <w:rPr>
          <w:rFonts w:ascii="Times New Roman" w:hAnsi="Times New Roman"/>
          <w:b/>
          <w:bCs/>
          <w:sz w:val="24"/>
          <w:szCs w:val="24"/>
        </w:rPr>
      </w:pPr>
    </w:p>
    <w:p w14:paraId="3B5D4EC9" w14:textId="2D27ADB7" w:rsidR="00FE60DA" w:rsidRDefault="00735F6B" w:rsidP="00FE60DA">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Here is </w:t>
      </w:r>
      <w:proofErr w:type="gramStart"/>
      <w:r>
        <w:rPr>
          <w:rFonts w:ascii="Times New Roman" w:hAnsi="Times New Roman"/>
          <w:b/>
          <w:bCs/>
          <w:sz w:val="24"/>
          <w:szCs w:val="24"/>
        </w:rPr>
        <w:t>there</w:t>
      </w:r>
      <w:proofErr w:type="gramEnd"/>
      <w:r>
        <w:rPr>
          <w:rFonts w:ascii="Times New Roman" w:hAnsi="Times New Roman"/>
          <w:b/>
          <w:bCs/>
          <w:sz w:val="24"/>
          <w:szCs w:val="24"/>
        </w:rPr>
        <w:t xml:space="preserve"> appeal, </w:t>
      </w:r>
      <w:hyperlink r:id="rId737" w:history="1">
        <w:r w:rsidRPr="00066234">
          <w:rPr>
            <w:rStyle w:val="Hyperlink"/>
            <w:rFonts w:ascii="Times New Roman" w:hAnsi="Times New Roman"/>
            <w:b/>
            <w:bCs/>
            <w:sz w:val="24"/>
            <w:szCs w:val="24"/>
          </w:rPr>
          <w:t>https://www.washingtonpost.com/documents/738465b3-8221-4ba6-8a91-92171f73482b.pdf?itid=lk_interstitial_manual_10</w:t>
        </w:r>
      </w:hyperlink>
    </w:p>
    <w:p w14:paraId="59632E5A" w14:textId="05A439F5" w:rsidR="00FE60DA" w:rsidRPr="00735F6B" w:rsidRDefault="00FE60DA" w:rsidP="00735F6B">
      <w:pPr>
        <w:pStyle w:val="NoSpacing"/>
        <w:ind w:left="720"/>
        <w:rPr>
          <w:rFonts w:ascii="Times New Roman" w:hAnsi="Times New Roman"/>
          <w:sz w:val="24"/>
          <w:szCs w:val="24"/>
        </w:rPr>
      </w:pPr>
      <w:r w:rsidRPr="00735F6B">
        <w:rPr>
          <w:rFonts w:ascii="Times New Roman" w:hAnsi="Times New Roman"/>
          <w:sz w:val="24"/>
          <w:szCs w:val="24"/>
        </w:rPr>
        <w:t xml:space="preserve">Note: See this July 4, </w:t>
      </w:r>
      <w:proofErr w:type="gramStart"/>
      <w:r w:rsidRPr="00735F6B">
        <w:rPr>
          <w:rFonts w:ascii="Times New Roman" w:hAnsi="Times New Roman"/>
          <w:sz w:val="24"/>
          <w:szCs w:val="24"/>
        </w:rPr>
        <w:t>2023</w:t>
      </w:r>
      <w:proofErr w:type="gramEnd"/>
      <w:r w:rsidRPr="00735F6B">
        <w:rPr>
          <w:rFonts w:ascii="Times New Roman" w:hAnsi="Times New Roman"/>
          <w:sz w:val="24"/>
          <w:szCs w:val="24"/>
        </w:rPr>
        <w:t xml:space="preserve"> article on the case. Federal Judge Limits Biden Officials’ Contacts </w:t>
      </w:r>
      <w:proofErr w:type="gramStart"/>
      <w:r w:rsidRPr="00735F6B">
        <w:rPr>
          <w:rFonts w:ascii="Times New Roman" w:hAnsi="Times New Roman"/>
          <w:sz w:val="24"/>
          <w:szCs w:val="24"/>
        </w:rPr>
        <w:t>With</w:t>
      </w:r>
      <w:proofErr w:type="gramEnd"/>
      <w:r w:rsidRPr="00735F6B">
        <w:rPr>
          <w:rFonts w:ascii="Times New Roman" w:hAnsi="Times New Roman"/>
          <w:sz w:val="24"/>
          <w:szCs w:val="24"/>
        </w:rPr>
        <w:t xml:space="preserve"> Social Media Sites. </w:t>
      </w:r>
      <w:hyperlink r:id="rId738" w:history="1">
        <w:r w:rsidRPr="00735F6B">
          <w:rPr>
            <w:rStyle w:val="Hyperlink"/>
            <w:rFonts w:ascii="Times New Roman" w:hAnsi="Times New Roman"/>
            <w:sz w:val="24"/>
            <w:szCs w:val="24"/>
          </w:rPr>
          <w:t>https://www.nytimes.com/2023/07/04/business/federal-judge-biden-social-media.html?campaign_id=60&amp;emc=edit_na_20230704&amp;instance_id=0&amp;nl=breaking-news&amp;ref=cta&amp;regi_id=215376166&amp;segment_id=138360&amp;user_id=c17b05e2b990d0f39049334bb5d3c889</w:t>
        </w:r>
      </w:hyperlink>
    </w:p>
    <w:p w14:paraId="48F030E4" w14:textId="77777777" w:rsidR="00FE60DA" w:rsidRDefault="00FE60DA" w:rsidP="00F326E5">
      <w:pPr>
        <w:pStyle w:val="NoSpacing"/>
        <w:rPr>
          <w:rFonts w:ascii="Arial Black" w:hAnsi="Arial Black"/>
          <w:sz w:val="28"/>
          <w:szCs w:val="28"/>
        </w:rPr>
      </w:pPr>
    </w:p>
    <w:p w14:paraId="5F0C27F4" w14:textId="5578C3C9" w:rsidR="00FE60DA" w:rsidRDefault="00FE60DA"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2</w:t>
      </w:r>
    </w:p>
    <w:p w14:paraId="5E26B22F" w14:textId="77777777" w:rsidR="00FE60DA" w:rsidRDefault="00FE60DA" w:rsidP="00F326E5">
      <w:pPr>
        <w:pStyle w:val="NoSpacing"/>
        <w:rPr>
          <w:rFonts w:ascii="Arial Black" w:hAnsi="Arial Black"/>
          <w:sz w:val="28"/>
          <w:szCs w:val="28"/>
        </w:rPr>
      </w:pPr>
    </w:p>
    <w:p w14:paraId="33100188" w14:textId="77777777" w:rsidR="00FE60DA" w:rsidRDefault="00FE60DA" w:rsidP="00F326E5">
      <w:pPr>
        <w:pStyle w:val="NoSpacing"/>
        <w:rPr>
          <w:rFonts w:ascii="Arial Black" w:hAnsi="Arial Black"/>
          <w:sz w:val="28"/>
          <w:szCs w:val="28"/>
        </w:rPr>
      </w:pPr>
    </w:p>
    <w:p w14:paraId="39DD2D4B" w14:textId="77777777" w:rsidR="00FE60DA" w:rsidRDefault="00FE60DA" w:rsidP="00FE60DA">
      <w:pPr>
        <w:pStyle w:val="NormalWeb"/>
        <w:rPr>
          <w:rFonts w:ascii="Arial Black" w:hAnsi="Arial Black"/>
          <w:sz w:val="28"/>
          <w:szCs w:val="28"/>
        </w:rPr>
      </w:pPr>
      <w:r>
        <w:rPr>
          <w:rFonts w:ascii="Arial Black" w:hAnsi="Arial Black"/>
          <w:sz w:val="28"/>
          <w:szCs w:val="28"/>
        </w:rPr>
        <w:t>NC: SYRIA IS LIABLE IN U.S. TERRORIST MURDERS / INJURIES US CITIZENS - NO SOVEREIGN IMMUNITY</w:t>
      </w:r>
    </w:p>
    <w:p w14:paraId="3758C1FB" w14:textId="77777777" w:rsidR="00523A11" w:rsidRDefault="00FE60DA" w:rsidP="00523A11">
      <w:pPr>
        <w:pStyle w:val="NormalWeb"/>
      </w:pPr>
      <w:r>
        <w:t xml:space="preserve">On May 30, 2023, in </w:t>
      </w:r>
      <w:r w:rsidRPr="00594187">
        <w:rPr>
          <w:u w:val="single"/>
        </w:rPr>
        <w:t xml:space="preserve">Cameron Cain </w:t>
      </w:r>
      <w:proofErr w:type="spellStart"/>
      <w:r w:rsidRPr="00594187">
        <w:rPr>
          <w:u w:val="single"/>
        </w:rPr>
        <w:t>Baarbe</w:t>
      </w:r>
      <w:proofErr w:type="spellEnd"/>
      <w:r w:rsidRPr="00594187">
        <w:rPr>
          <w:u w:val="single"/>
        </w:rPr>
        <w:t>, et al. v. The Syrian Arab Republic</w:t>
      </w:r>
      <w:r>
        <w:t xml:space="preserve">, U.S. District Court Judge Terrence M. Boyle, U.S. District Court for Eastern District of North Carolina, Western Division, held that Syria is liable in damages in this default judgment case for the deaths of four U.S. citizens, and injury to four others in ISIS terrorist attacks </w:t>
      </w:r>
      <w:r w:rsidRPr="00A92E97">
        <w:t>in Istanbul, Paris and Brussels</w:t>
      </w:r>
      <w:r>
        <w:t xml:space="preserve">. </w:t>
      </w:r>
      <w:r w:rsidR="00523A11">
        <w:t xml:space="preserve"> </w:t>
      </w:r>
      <w:hyperlink r:id="rId739" w:history="1">
        <w:r w:rsidR="00523A11" w:rsidRPr="00812663">
          <w:rPr>
            <w:rStyle w:val="Hyperlink"/>
          </w:rPr>
          <w:t>https://casetext.com/case/baarbe-v-the-syrian-arab-republic</w:t>
        </w:r>
      </w:hyperlink>
      <w:r w:rsidR="00523A11">
        <w:t xml:space="preserve"> </w:t>
      </w:r>
    </w:p>
    <w:p w14:paraId="4E3C1A48" w14:textId="77777777" w:rsidR="00FE60DA" w:rsidRDefault="00FE60DA" w:rsidP="00FE60DA">
      <w:pPr>
        <w:pStyle w:val="NormalWeb"/>
      </w:pPr>
      <w:r>
        <w:t>The Court held: “</w:t>
      </w:r>
      <w:r w:rsidRPr="00594187">
        <w:t xml:space="preserve">This is a civil action for damages pursuant to the Foreign Sovereign Immunities Act (“FSIA”) 28 U.S.C. § 1602 </w:t>
      </w:r>
      <w:r w:rsidRPr="00594187">
        <w:rPr>
          <w:rStyle w:val="Emphasis"/>
          <w:rFonts w:eastAsiaTheme="majorEastAsia"/>
        </w:rPr>
        <w:t>et seq</w:t>
      </w:r>
      <w:r w:rsidRPr="00594187">
        <w:t xml:space="preserve">. Plaintiffs are the estate and family of U.S. national Nohemi Gonzalez murdered in a terror attack on November 13, 2015, the family and estate of U.S. national </w:t>
      </w:r>
      <w:proofErr w:type="spellStart"/>
      <w:r w:rsidRPr="00594187">
        <w:t>Abvraham</w:t>
      </w:r>
      <w:proofErr w:type="spellEnd"/>
      <w:r>
        <w:rPr>
          <w:vertAlign w:val="superscript"/>
        </w:rPr>
        <w:t xml:space="preserve"> </w:t>
      </w:r>
      <w:r w:rsidRPr="00594187">
        <w:t xml:space="preserve">Goldman murdered in a terror attack on March 19, 2016, the estate and family of Alexander Pinczowski murdered in a terror attack on March 22, 2016, and the estate and family of U.S. national Erez Orbach murdered in a terror attack on January 8, 2017. Plaintiffs are also the survivors of the terror attacks on March 19, </w:t>
      </w:r>
      <w:proofErr w:type="gramStart"/>
      <w:r w:rsidRPr="00594187">
        <w:t>2016</w:t>
      </w:r>
      <w:proofErr w:type="gramEnd"/>
      <w:r w:rsidRPr="00594187">
        <w:t xml:space="preserve"> and January 8, </w:t>
      </w:r>
      <w:proofErr w:type="gramStart"/>
      <w:r w:rsidRPr="00594187">
        <w:t>2017</w:t>
      </w:r>
      <w:proofErr w:type="gramEnd"/>
      <w:r w:rsidRPr="00594187">
        <w:t xml:space="preserve"> and their families. Plaintiffs filed this action on June 2, </w:t>
      </w:r>
      <w:proofErr w:type="gramStart"/>
      <w:r w:rsidRPr="00594187">
        <w:t>2020</w:t>
      </w:r>
      <w:proofErr w:type="gramEnd"/>
      <w:r w:rsidRPr="00594187">
        <w:t xml:space="preserve"> against Syria. (</w:t>
      </w:r>
      <w:proofErr w:type="spellStart"/>
      <w:r w:rsidRPr="00594187">
        <w:t>Dkt</w:t>
      </w:r>
      <w:proofErr w:type="spellEnd"/>
      <w:r w:rsidRPr="00594187">
        <w:t xml:space="preserve">. 1). </w:t>
      </w:r>
      <w:r>
        <w:t xml:space="preserve">*** </w:t>
      </w:r>
      <w:r w:rsidRPr="00594187">
        <w:t>When a state such as Syria chooses to use terror as a policy tool that state forfeits its sovereign immunity and deserves unadorned condemnation. Barbaric acts like those alleged in this action have no place in civilized society and represent a moral depravity that knows no bounds. In stark contrast to the terrorist thugs and their Syrian sponsors stand the courageous Plaintiffs in this action, who have resolved to fight injustice with whatever tools are at their disposal, and their patient determination in this case is a credit to both them and to the memory of their decedents. This Court hopes that the Plaintiffs may take some measure of solace in this Court's final judgment.</w:t>
      </w:r>
      <w:r>
        <w:t xml:space="preserve">” </w:t>
      </w:r>
      <w:hyperlink r:id="rId740" w:history="1">
        <w:r w:rsidRPr="00812663">
          <w:rPr>
            <w:rStyle w:val="Hyperlink"/>
          </w:rPr>
          <w:t>https://casetext.com/case/baarbe-v-the-syrian-arab-republic</w:t>
        </w:r>
      </w:hyperlink>
      <w:r>
        <w:t xml:space="preserve"> </w:t>
      </w:r>
    </w:p>
    <w:p w14:paraId="7D2BF74B" w14:textId="77777777" w:rsidR="00FE60DA" w:rsidRPr="00A92E97" w:rsidRDefault="00FE60DA" w:rsidP="00FE60DA">
      <w:pPr>
        <w:pStyle w:val="NormalWeb"/>
        <w:rPr>
          <w:b/>
          <w:bCs/>
        </w:rPr>
      </w:pPr>
      <w:r w:rsidRPr="00A92E97">
        <w:rPr>
          <w:b/>
          <w:bCs/>
        </w:rPr>
        <w:t>Legal Lesson Learned: This judgment will then allow plaintiffs to find Syria assets in US that can be seized.</w:t>
      </w:r>
    </w:p>
    <w:p w14:paraId="0AD6EA78" w14:textId="77777777" w:rsidR="00FE60DA" w:rsidRDefault="00FE60DA" w:rsidP="00F326E5">
      <w:pPr>
        <w:pStyle w:val="NoSpacing"/>
        <w:rPr>
          <w:rFonts w:ascii="Arial Black" w:hAnsi="Arial Black"/>
          <w:sz w:val="28"/>
          <w:szCs w:val="28"/>
        </w:rPr>
      </w:pPr>
    </w:p>
    <w:p w14:paraId="06FBA0A4" w14:textId="77777777" w:rsidR="00FE60DA" w:rsidRDefault="00FE60DA" w:rsidP="00F326E5">
      <w:pPr>
        <w:pStyle w:val="NoSpacing"/>
        <w:rPr>
          <w:rFonts w:ascii="Arial Black" w:hAnsi="Arial Black"/>
          <w:sz w:val="28"/>
          <w:szCs w:val="28"/>
        </w:rPr>
      </w:pPr>
    </w:p>
    <w:p w14:paraId="6DD12EBE" w14:textId="52D80842" w:rsidR="00DC17BF" w:rsidRDefault="00DC17BF"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1</w:t>
      </w:r>
    </w:p>
    <w:p w14:paraId="4B79781C" w14:textId="77777777" w:rsidR="00DC17BF" w:rsidRDefault="00DC17BF" w:rsidP="00F326E5">
      <w:pPr>
        <w:pStyle w:val="NoSpacing"/>
        <w:rPr>
          <w:rFonts w:ascii="Arial Black" w:hAnsi="Arial Black"/>
          <w:sz w:val="28"/>
          <w:szCs w:val="28"/>
        </w:rPr>
      </w:pPr>
    </w:p>
    <w:p w14:paraId="72022F65" w14:textId="067E36E9" w:rsidR="00DC17BF" w:rsidRPr="00A10866" w:rsidRDefault="00DC17BF" w:rsidP="00DC17BF">
      <w:pPr>
        <w:pStyle w:val="NormalWeb"/>
        <w:rPr>
          <w:rFonts w:ascii="Arial Black" w:hAnsi="Arial Black"/>
          <w:sz w:val="28"/>
          <w:szCs w:val="28"/>
        </w:rPr>
      </w:pPr>
      <w:bookmarkStart w:id="133" w:name="_Hlk136858863"/>
      <w:r w:rsidRPr="00A10866">
        <w:rPr>
          <w:rFonts w:ascii="Arial Black" w:hAnsi="Arial Black"/>
          <w:sz w:val="28"/>
          <w:szCs w:val="28"/>
        </w:rPr>
        <w:t xml:space="preserve">DC: </w:t>
      </w:r>
      <w:r>
        <w:rPr>
          <w:rFonts w:ascii="Arial Black" w:hAnsi="Arial Black"/>
          <w:sz w:val="28"/>
          <w:szCs w:val="28"/>
        </w:rPr>
        <w:t>U.S. S</w:t>
      </w:r>
      <w:r w:rsidR="00ED4EAF">
        <w:rPr>
          <w:rFonts w:ascii="Arial Black" w:hAnsi="Arial Black"/>
          <w:sz w:val="28"/>
          <w:szCs w:val="28"/>
        </w:rPr>
        <w:t xml:space="preserve">UP. </w:t>
      </w:r>
      <w:r>
        <w:rPr>
          <w:rFonts w:ascii="Arial Black" w:hAnsi="Arial Black"/>
          <w:sz w:val="28"/>
          <w:szCs w:val="28"/>
        </w:rPr>
        <w:t>CT - NIGHTCLUB BOMBING IN TURKEY BY ISIS – FAMILIES CAN’T SUE FACEBOOK, TWITTER, OR GOOGLE</w:t>
      </w:r>
    </w:p>
    <w:bookmarkEnd w:id="133"/>
    <w:p w14:paraId="0FB1B25A" w14:textId="77777777" w:rsidR="00523A11" w:rsidRDefault="00DC17BF" w:rsidP="00523A11">
      <w:pPr>
        <w:pStyle w:val="NormalWeb"/>
        <w:rPr>
          <w:rStyle w:val="markedcontent"/>
        </w:rPr>
      </w:pPr>
      <w:r>
        <w:rPr>
          <w:rStyle w:val="markedcontent"/>
        </w:rPr>
        <w:t xml:space="preserve">On May 18, 2023, in </w:t>
      </w:r>
      <w:r w:rsidRPr="00021EE1">
        <w:rPr>
          <w:rStyle w:val="markedcontent"/>
          <w:u w:val="single"/>
        </w:rPr>
        <w:t xml:space="preserve">Twitter, Inc. v. </w:t>
      </w:r>
      <w:proofErr w:type="spellStart"/>
      <w:r w:rsidRPr="00021EE1">
        <w:rPr>
          <w:rStyle w:val="markedcontent"/>
          <w:u w:val="single"/>
        </w:rPr>
        <w:t>Taamneh</w:t>
      </w:r>
      <w:proofErr w:type="spellEnd"/>
      <w:r w:rsidRPr="00021EE1">
        <w:rPr>
          <w:rStyle w:val="markedcontent"/>
          <w:u w:val="single"/>
        </w:rPr>
        <w:t xml:space="preserve"> et al</w:t>
      </w:r>
      <w:r>
        <w:rPr>
          <w:rStyle w:val="markedcontent"/>
        </w:rPr>
        <w:t>., the U.S. Supreme Court held (9 to 0) in an opinion by Justice Clarence Thomas, that Plaintiffs’ allegations that these social-media companies aided and abetted ISIS in its terrorist attack on the Reina nightclub fail to state</w:t>
      </w:r>
      <w:r w:rsidR="00523A11">
        <w:rPr>
          <w:rStyle w:val="markedcontent"/>
        </w:rPr>
        <w:t xml:space="preserve"> </w:t>
      </w:r>
      <w:r>
        <w:rPr>
          <w:rStyle w:val="markedcontent"/>
        </w:rPr>
        <w:t xml:space="preserve">a claim under 18 U. S. C. §2333(d)(2). </w:t>
      </w:r>
      <w:hyperlink r:id="rId741" w:history="1">
        <w:r w:rsidR="00523A11" w:rsidRPr="00B908DF">
          <w:rPr>
            <w:rStyle w:val="Hyperlink"/>
            <w:rFonts w:eastAsiaTheme="majorEastAsia"/>
          </w:rPr>
          <w:t>https://www.supremecourt.gov/opinions/22pdf/21-1496_d18f.pdf</w:t>
        </w:r>
      </w:hyperlink>
      <w:r w:rsidR="00523A11">
        <w:rPr>
          <w:rStyle w:val="markedcontent"/>
        </w:rPr>
        <w:t xml:space="preserve"> </w:t>
      </w:r>
    </w:p>
    <w:p w14:paraId="58E120EA" w14:textId="679A19EB" w:rsidR="00DC17BF" w:rsidRDefault="00DC17BF" w:rsidP="00DC17BF">
      <w:pPr>
        <w:pStyle w:val="NormalWeb"/>
        <w:rPr>
          <w:rStyle w:val="markedcontent"/>
        </w:rPr>
      </w:pPr>
      <w:r>
        <w:rPr>
          <w:rStyle w:val="markedcontent"/>
        </w:rPr>
        <w:t xml:space="preserve">Justice Thomas wrote: </w:t>
      </w:r>
    </w:p>
    <w:p w14:paraId="4FB88826" w14:textId="77777777" w:rsidR="00DC17BF" w:rsidRDefault="00DC17BF" w:rsidP="00DC17BF">
      <w:pPr>
        <w:pStyle w:val="NormalWeb"/>
        <w:ind w:left="720"/>
        <w:rPr>
          <w:rStyle w:val="markedcontent"/>
        </w:rPr>
      </w:pPr>
      <w:r>
        <w:rPr>
          <w:rStyle w:val="markedcontent"/>
        </w:rPr>
        <w:t xml:space="preserve">“First, the relationship between defendants and the Reina attack is highly attenuated. As noted above, defendants’ platforms are global in scale and allow hundreds of millions (or billions) of people to upload vast quantities of information </w:t>
      </w:r>
      <w:proofErr w:type="gramStart"/>
      <w:r>
        <w:rPr>
          <w:rStyle w:val="markedcontent"/>
        </w:rPr>
        <w:t>on a daily basis</w:t>
      </w:r>
      <w:proofErr w:type="gramEnd"/>
      <w:r>
        <w:rPr>
          <w:rStyle w:val="markedcontent"/>
        </w:rPr>
        <w:t>. Yet, there are no allegations that defendants treated ISIS any differently from anyone else. Rather, defendants’ relationship with ISIS and its supporters appears to have been the same as their relationship with their billion-plus other users: arm’s length, passive, and largely indifferent…. Second, because of the distance between defendants’ acts (or failures to act) and the Reina attack, plaintiffs would need some other very good reason to think that defendants were consciously trying to help or otherwise ‘participate in’ the Reina attack.”</w:t>
      </w:r>
      <w:r w:rsidRPr="00E46EAE">
        <w:t xml:space="preserve"> </w:t>
      </w:r>
      <w:hyperlink r:id="rId742" w:history="1">
        <w:r w:rsidRPr="00B908DF">
          <w:rPr>
            <w:rStyle w:val="Hyperlink"/>
            <w:rFonts w:eastAsiaTheme="majorEastAsia"/>
          </w:rPr>
          <w:t>https://www.supremecourt.gov/opinions/22pdf/21-1496_d18f.pdf</w:t>
        </w:r>
      </w:hyperlink>
      <w:r>
        <w:rPr>
          <w:rStyle w:val="markedcontent"/>
        </w:rPr>
        <w:t xml:space="preserve"> </w:t>
      </w:r>
    </w:p>
    <w:p w14:paraId="3D65002C" w14:textId="77777777" w:rsidR="00DC17BF" w:rsidRPr="00B17836" w:rsidRDefault="00DC17BF" w:rsidP="00DC17BF">
      <w:pPr>
        <w:pStyle w:val="NormalWeb"/>
        <w:rPr>
          <w:rStyle w:val="markedcontent"/>
          <w:b/>
          <w:bCs/>
        </w:rPr>
      </w:pPr>
      <w:r w:rsidRPr="00B17836">
        <w:rPr>
          <w:rStyle w:val="markedcontent"/>
          <w:b/>
          <w:bCs/>
        </w:rPr>
        <w:t xml:space="preserve">Legal Lesson Learned: By unanimous decision, the U.S. Supreme Court held that the social media companies conduct did not constitute aiding or abetting ISIS. </w:t>
      </w:r>
    </w:p>
    <w:p w14:paraId="66C46CA7" w14:textId="77777777" w:rsidR="00DC17BF" w:rsidRDefault="00DC17BF" w:rsidP="00DC17BF">
      <w:pPr>
        <w:pStyle w:val="NormalWeb"/>
        <w:rPr>
          <w:rStyle w:val="markedcontent"/>
        </w:rPr>
      </w:pPr>
    </w:p>
    <w:p w14:paraId="1B2D175F" w14:textId="77777777" w:rsidR="00DC17BF" w:rsidRDefault="00DC17BF" w:rsidP="00F326E5">
      <w:pPr>
        <w:pStyle w:val="NoSpacing"/>
        <w:rPr>
          <w:rFonts w:ascii="Arial Black" w:hAnsi="Arial Black"/>
          <w:sz w:val="28"/>
          <w:szCs w:val="28"/>
        </w:rPr>
      </w:pPr>
    </w:p>
    <w:p w14:paraId="06E5F72F" w14:textId="292C25F4" w:rsidR="003F788B" w:rsidRDefault="003F788B"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0</w:t>
      </w:r>
    </w:p>
    <w:p w14:paraId="631FF00C"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NY: FDNY FF KILLED ON 9/11 – FAMILY GETS $8.5 MILLION DEFAULT JUDGMENT - ISLAMIC REPUBLIC OF IRAN </w:t>
      </w:r>
    </w:p>
    <w:p w14:paraId="5B48EAF4" w14:textId="77777777" w:rsidR="003F788B" w:rsidRDefault="003F788B" w:rsidP="003F788B">
      <w:pPr>
        <w:pStyle w:val="NormalWeb"/>
      </w:pPr>
      <w:r>
        <w:t xml:space="preserve">On March 28, 2023, in the multidistrict litigation - </w:t>
      </w:r>
      <w:r>
        <w:rPr>
          <w:u w:val="single"/>
        </w:rPr>
        <w:t>In re Terrorist Attacks on September 11, 2001</w:t>
      </w:r>
      <w:r>
        <w:t xml:space="preserve">, in case of </w:t>
      </w:r>
      <w:proofErr w:type="spellStart"/>
      <w:r>
        <w:rPr>
          <w:u w:val="single"/>
        </w:rPr>
        <w:t>Chairnoff</w:t>
      </w:r>
      <w:proofErr w:type="spellEnd"/>
      <w:r>
        <w:rPr>
          <w:u w:val="single"/>
        </w:rPr>
        <w:t xml:space="preserve"> v. Islamic Republic of Iran</w:t>
      </w:r>
      <w:r>
        <w:t xml:space="preserve">, U.S. District Court George B. Daniels, U.S. District Court, Southern District of New York, awarded partial final default judgment to the family of Geoffrey E. Guja, a New York City firefighter who was killed in the terrorist attacks on September 11, 2001. </w:t>
      </w:r>
    </w:p>
    <w:p w14:paraId="176A7061" w14:textId="77777777" w:rsidR="003F788B" w:rsidRDefault="003F788B" w:rsidP="003F788B">
      <w:pPr>
        <w:pStyle w:val="NormalWeb"/>
        <w:ind w:left="720" w:firstLine="60"/>
      </w:pPr>
      <w:r>
        <w:t xml:space="preserve">“Plaintiff now moves for solatium damages on the ground that her close relationship with her stepfather Geoffrey E. Guja, who was killed in the September 11, </w:t>
      </w:r>
      <w:proofErr w:type="gramStart"/>
      <w:r>
        <w:t>2001</w:t>
      </w:r>
      <w:proofErr w:type="gramEnd"/>
      <w:r>
        <w:t xml:space="preserve"> terrorist attacks (‘9/11 Attacks’), merits a finding that she is a functionally equivalent family member of the victim…. Court grant Plaintiffs motion and award Plaintiff $8,500,000 in solatium damages.” </w:t>
      </w:r>
      <w:hyperlink r:id="rId743" w:history="1">
        <w:r>
          <w:rPr>
            <w:rStyle w:val="Hyperlink"/>
          </w:rPr>
          <w:t>https://casetext.com/case/chairnoff-v-islamic-republic-of-iran-in-re-terrorist-attacks</w:t>
        </w:r>
      </w:hyperlink>
      <w:r>
        <w:t xml:space="preserve"> </w:t>
      </w:r>
    </w:p>
    <w:p w14:paraId="6965F5A1" w14:textId="77777777" w:rsidR="003F788B" w:rsidRDefault="003F788B" w:rsidP="003F788B">
      <w:pPr>
        <w:pStyle w:val="paragraph"/>
        <w:ind w:left="720"/>
      </w:pPr>
      <w:r>
        <w:rPr>
          <w:b/>
          <w:bCs/>
        </w:rPr>
        <w:t>“ORDERED</w:t>
      </w:r>
      <w:r>
        <w:t xml:space="preserve"> that Plaintiff Jamie K. Hawkins be awarded $8,500,000 for solatium damages; and it is </w:t>
      </w:r>
    </w:p>
    <w:p w14:paraId="078D0AC4" w14:textId="77777777" w:rsidR="003F788B" w:rsidRDefault="003F788B" w:rsidP="003F788B">
      <w:pPr>
        <w:pStyle w:val="paragraph"/>
        <w:ind w:left="720"/>
      </w:pPr>
      <w:r>
        <w:rPr>
          <w:b/>
          <w:bCs/>
        </w:rPr>
        <w:t>ORDERED</w:t>
      </w:r>
      <w:r>
        <w:t xml:space="preserve"> that prejudgment interest is awarded at a rate of 4.96 percent per annum, all interest compounded annually for the period from September 11, </w:t>
      </w:r>
      <w:proofErr w:type="gramStart"/>
      <w:r>
        <w:t>2001</w:t>
      </w:r>
      <w:proofErr w:type="gramEnd"/>
      <w:r>
        <w:t xml:space="preserve"> until the date of the judgment for damages; and it is </w:t>
      </w:r>
    </w:p>
    <w:p w14:paraId="48E2BC8C" w14:textId="77777777" w:rsidR="003F788B" w:rsidRDefault="003F788B" w:rsidP="003F788B">
      <w:pPr>
        <w:pStyle w:val="paragraph"/>
        <w:ind w:left="720"/>
      </w:pPr>
      <w:r>
        <w:rPr>
          <w:b/>
          <w:bCs/>
        </w:rPr>
        <w:t>ORDERED</w:t>
      </w:r>
      <w:r>
        <w:t xml:space="preserve"> that Plaintiffs not appearing on this motion and who were not previously awarded damages may submit in later stages applications for punitive, economic, and/or other damages awards that may be approved on the same basis as currently approved for this Plaintiff or in prior filings.” </w:t>
      </w:r>
    </w:p>
    <w:p w14:paraId="3D681B4E" w14:textId="77777777" w:rsidR="003F788B" w:rsidRPr="004C17A1" w:rsidRDefault="003F788B" w:rsidP="003F788B">
      <w:pPr>
        <w:pStyle w:val="NormalWeb"/>
        <w:rPr>
          <w:b/>
          <w:bCs/>
        </w:rPr>
      </w:pPr>
      <w:r>
        <w:rPr>
          <w:b/>
          <w:bCs/>
        </w:rPr>
        <w:t xml:space="preserve">Legal Lesson Learned:  Hopefully the family of this fallen firefighter can now find assets of the Islamic Republic of Iran which can be seized to pay off this judgment. </w:t>
      </w:r>
    </w:p>
    <w:p w14:paraId="2D424A0F" w14:textId="77777777" w:rsidR="003F788B" w:rsidRDefault="003F788B" w:rsidP="00F326E5">
      <w:pPr>
        <w:pStyle w:val="NoSpacing"/>
        <w:rPr>
          <w:rFonts w:ascii="Arial Black" w:hAnsi="Arial Black"/>
          <w:sz w:val="28"/>
          <w:szCs w:val="28"/>
        </w:rPr>
      </w:pPr>
    </w:p>
    <w:p w14:paraId="57AE8773" w14:textId="77777777" w:rsidR="003F788B" w:rsidRDefault="003F788B" w:rsidP="00F326E5">
      <w:pPr>
        <w:pStyle w:val="NoSpacing"/>
        <w:rPr>
          <w:rFonts w:ascii="Arial Black" w:hAnsi="Arial Black"/>
          <w:sz w:val="28"/>
          <w:szCs w:val="28"/>
        </w:rPr>
      </w:pPr>
    </w:p>
    <w:p w14:paraId="580851E1" w14:textId="77777777" w:rsidR="003F788B" w:rsidRDefault="003F788B" w:rsidP="00F326E5">
      <w:pPr>
        <w:pStyle w:val="NoSpacing"/>
        <w:rPr>
          <w:rFonts w:ascii="Arial Black" w:hAnsi="Arial Black"/>
          <w:sz w:val="28"/>
          <w:szCs w:val="28"/>
        </w:rPr>
      </w:pPr>
    </w:p>
    <w:p w14:paraId="1616435F" w14:textId="77777777" w:rsidR="003F788B" w:rsidRDefault="003F788B" w:rsidP="00F326E5">
      <w:pPr>
        <w:pStyle w:val="NoSpacing"/>
        <w:rPr>
          <w:rFonts w:ascii="Arial Black" w:hAnsi="Arial Black"/>
          <w:sz w:val="28"/>
          <w:szCs w:val="28"/>
        </w:rPr>
      </w:pPr>
    </w:p>
    <w:p w14:paraId="27DBB88B" w14:textId="16B94DD3" w:rsidR="00AE32D3" w:rsidRDefault="00AB637D" w:rsidP="00F326E5">
      <w:pPr>
        <w:pStyle w:val="NoSpacing"/>
        <w:rPr>
          <w:rFonts w:ascii="Arial Black" w:hAnsi="Arial Black"/>
          <w:sz w:val="28"/>
          <w:szCs w:val="28"/>
        </w:rPr>
      </w:pPr>
      <w:r>
        <w:rPr>
          <w:rFonts w:ascii="Arial Black" w:hAnsi="Arial Black"/>
          <w:sz w:val="28"/>
          <w:szCs w:val="28"/>
        </w:rPr>
        <w:t>3-</w:t>
      </w:r>
      <w:r w:rsidR="00ED4EAF">
        <w:rPr>
          <w:rFonts w:ascii="Arial Black" w:hAnsi="Arial Black"/>
          <w:sz w:val="28"/>
          <w:szCs w:val="28"/>
        </w:rPr>
        <w:t>49</w:t>
      </w:r>
    </w:p>
    <w:p w14:paraId="1B102B84" w14:textId="77777777" w:rsidR="00AB637D" w:rsidRDefault="00AB637D" w:rsidP="00AB637D">
      <w:pPr>
        <w:pStyle w:val="NormalWeb"/>
        <w:rPr>
          <w:rFonts w:ascii="Arial Black" w:hAnsi="Arial Black"/>
          <w:sz w:val="28"/>
          <w:szCs w:val="28"/>
        </w:rPr>
      </w:pPr>
      <w:r>
        <w:rPr>
          <w:rFonts w:ascii="Arial Black" w:hAnsi="Arial Black"/>
          <w:sz w:val="28"/>
          <w:szCs w:val="28"/>
        </w:rPr>
        <w:t>MD: ACTIVE SHOOTER - TEMP EMPLOYEE KILLED 3, INJURED 3 - WAREHOUSE &amp; TEMP CO. NO PRIOR WARNING</w:t>
      </w:r>
    </w:p>
    <w:p w14:paraId="56622F42" w14:textId="77777777" w:rsidR="00AB637D" w:rsidRDefault="00AB637D" w:rsidP="00AB637D">
      <w:pPr>
        <w:pStyle w:val="NormalWeb"/>
      </w:pPr>
      <w:r>
        <w:t xml:space="preserve">On March 2, 2023, in </w:t>
      </w:r>
      <w:proofErr w:type="spellStart"/>
      <w:r w:rsidRPr="00E84230">
        <w:rPr>
          <w:u w:val="single"/>
        </w:rPr>
        <w:t>Haissaun</w:t>
      </w:r>
      <w:proofErr w:type="spellEnd"/>
      <w:r w:rsidRPr="00E84230">
        <w:rPr>
          <w:u w:val="single"/>
        </w:rPr>
        <w:t xml:space="preserve"> Mitchell. </w:t>
      </w:r>
      <w:r>
        <w:rPr>
          <w:u w:val="single"/>
        </w:rPr>
        <w:t>e</w:t>
      </w:r>
      <w:r w:rsidRPr="00E84230">
        <w:rPr>
          <w:u w:val="single"/>
        </w:rPr>
        <w:t>t al. v. Rite Aid of Maryland, et al</w:t>
      </w:r>
      <w:r>
        <w:t>., Court of Special Appeals of Maryland held (3 to 0) that the Rite Aid Distribution Center and the Temp company that hired her had no prior warning that the temp employee, who had only worked eight shifts, was going to be an active shooter when she tried to cut in line to clock in and fellow workers stopped her.  Three co-workers who survived the shooting (all from Mitchell family) were all covered by workers comp. and then sued for damages.  Court ruled: “</w:t>
      </w:r>
      <w:r w:rsidRPr="00D81AE3">
        <w:rPr>
          <w:rStyle w:val="markedcontent"/>
        </w:rPr>
        <w:t xml:space="preserve">It is a somber and sobering fact that the steady increase in the number of </w:t>
      </w:r>
      <w:proofErr w:type="gramStart"/>
      <w:r w:rsidRPr="00D81AE3">
        <w:rPr>
          <w:rStyle w:val="markedcontent"/>
        </w:rPr>
        <w:t>mass</w:t>
      </w:r>
      <w:proofErr w:type="gramEnd"/>
      <w:r>
        <w:rPr>
          <w:rStyle w:val="markedcontent"/>
        </w:rPr>
        <w:t xml:space="preserve"> </w:t>
      </w:r>
      <w:r w:rsidRPr="00D81AE3">
        <w:rPr>
          <w:rStyle w:val="markedcontent"/>
        </w:rPr>
        <w:t>shootings1 has impelled both public and private organizations to begin considering security</w:t>
      </w:r>
      <w:r>
        <w:rPr>
          <w:rStyle w:val="markedcontent"/>
        </w:rPr>
        <w:t xml:space="preserve"> </w:t>
      </w:r>
      <w:r w:rsidRPr="00D81AE3">
        <w:rPr>
          <w:rStyle w:val="markedcontent"/>
        </w:rPr>
        <w:t>measures responsive to that risk.</w:t>
      </w:r>
      <w:r>
        <w:rPr>
          <w:rStyle w:val="markedcontent"/>
        </w:rPr>
        <w:t xml:space="preserve"> </w:t>
      </w:r>
      <w:r w:rsidRPr="00D81AE3">
        <w:rPr>
          <w:rStyle w:val="markedcontent"/>
        </w:rPr>
        <w:t>This appeal arises out of the tragic mass shooting that</w:t>
      </w:r>
      <w:r>
        <w:rPr>
          <w:rStyle w:val="markedcontent"/>
        </w:rPr>
        <w:t xml:space="preserve"> </w:t>
      </w:r>
      <w:r w:rsidRPr="00D81AE3">
        <w:rPr>
          <w:rStyle w:val="markedcontent"/>
        </w:rPr>
        <w:t>occurred on September 20, 2018, at a warehouse facility leased by appellee, Rite Aid of</w:t>
      </w:r>
      <w:r>
        <w:rPr>
          <w:rStyle w:val="markedcontent"/>
        </w:rPr>
        <w:t xml:space="preserve"> </w:t>
      </w:r>
      <w:r w:rsidRPr="00D81AE3">
        <w:rPr>
          <w:rStyle w:val="markedcontent"/>
        </w:rPr>
        <w:t>Maryland, Inc. (</w:t>
      </w:r>
      <w:r>
        <w:rPr>
          <w:rStyle w:val="markedcontent"/>
        </w:rPr>
        <w:t>‘</w:t>
      </w:r>
      <w:r w:rsidRPr="00D81AE3">
        <w:rPr>
          <w:rStyle w:val="markedcontent"/>
        </w:rPr>
        <w:t>Rite Aid</w:t>
      </w:r>
      <w:r>
        <w:rPr>
          <w:rStyle w:val="markedcontent"/>
        </w:rPr>
        <w:t>’</w:t>
      </w:r>
      <w:r w:rsidRPr="00D81AE3">
        <w:rPr>
          <w:rStyle w:val="markedcontent"/>
        </w:rPr>
        <w:t xml:space="preserve">) in Aberdeen, Maryland. The shooter, </w:t>
      </w:r>
      <w:proofErr w:type="spellStart"/>
      <w:r w:rsidRPr="00D81AE3">
        <w:rPr>
          <w:rStyle w:val="markedcontent"/>
        </w:rPr>
        <w:t>Snochia</w:t>
      </w:r>
      <w:proofErr w:type="spellEnd"/>
      <w:r w:rsidRPr="00D81AE3">
        <w:rPr>
          <w:rStyle w:val="markedcontent"/>
        </w:rPr>
        <w:t xml:space="preserve"> </w:t>
      </w:r>
      <w:proofErr w:type="gramStart"/>
      <w:r w:rsidRPr="00D81AE3">
        <w:rPr>
          <w:rStyle w:val="markedcontent"/>
        </w:rPr>
        <w:t>Moseley</w:t>
      </w:r>
      <w:r>
        <w:rPr>
          <w:rStyle w:val="markedcontent"/>
        </w:rPr>
        <w:t xml:space="preserve"> </w:t>
      </w:r>
      <w:r w:rsidRPr="00D81AE3">
        <w:rPr>
          <w:rStyle w:val="markedcontent"/>
        </w:rPr>
        <w:t>(</w:t>
      </w:r>
      <w:r>
        <w:rPr>
          <w:rStyle w:val="markedcontent"/>
        </w:rPr>
        <w:t>‘</w:t>
      </w:r>
      <w:proofErr w:type="gramEnd"/>
      <w:r w:rsidRPr="00D81AE3">
        <w:rPr>
          <w:rStyle w:val="markedcontent"/>
        </w:rPr>
        <w:t>Moseley</w:t>
      </w:r>
      <w:r>
        <w:rPr>
          <w:rStyle w:val="markedcontent"/>
        </w:rPr>
        <w:t>’</w:t>
      </w:r>
      <w:r w:rsidRPr="00D81AE3">
        <w:rPr>
          <w:rStyle w:val="markedcontent"/>
        </w:rPr>
        <w:t xml:space="preserve">), was an employee of appellee, Abacus </w:t>
      </w:r>
      <w:proofErr w:type="gramStart"/>
      <w:r w:rsidRPr="00D81AE3">
        <w:rPr>
          <w:rStyle w:val="markedcontent"/>
        </w:rPr>
        <w:t>Corporation (</w:t>
      </w:r>
      <w:r>
        <w:rPr>
          <w:rStyle w:val="markedcontent"/>
        </w:rPr>
        <w:t>‘</w:t>
      </w:r>
      <w:proofErr w:type="gramEnd"/>
      <w:r w:rsidRPr="00D81AE3">
        <w:rPr>
          <w:rStyle w:val="markedcontent"/>
        </w:rPr>
        <w:t>Abacus</w:t>
      </w:r>
      <w:r>
        <w:rPr>
          <w:rStyle w:val="markedcontent"/>
        </w:rPr>
        <w:t>’</w:t>
      </w:r>
      <w:r w:rsidRPr="00D81AE3">
        <w:rPr>
          <w:rStyle w:val="markedcontent"/>
        </w:rPr>
        <w:t>), temporarily</w:t>
      </w:r>
      <w:r>
        <w:rPr>
          <w:rStyle w:val="markedcontent"/>
        </w:rPr>
        <w:t xml:space="preserve"> </w:t>
      </w:r>
      <w:r w:rsidRPr="00D81AE3">
        <w:rPr>
          <w:rStyle w:val="markedcontent"/>
        </w:rPr>
        <w:t>assigned to work in Rite Aid’s facility. On the day in question, Moseley gained access to the facility using her ID badge and proceeded to open fire on her coworkers, killing three</w:t>
      </w:r>
      <w:r>
        <w:rPr>
          <w:rStyle w:val="markedcontent"/>
        </w:rPr>
        <w:t xml:space="preserve"> </w:t>
      </w:r>
      <w:r w:rsidRPr="00D81AE3">
        <w:rPr>
          <w:rStyle w:val="markedcontent"/>
        </w:rPr>
        <w:t>and wounding three more.</w:t>
      </w:r>
      <w:r>
        <w:rPr>
          <w:rStyle w:val="markedcontent"/>
        </w:rPr>
        <w:t xml:space="preserve"> *** </w:t>
      </w:r>
      <w:r w:rsidRPr="00D81AE3">
        <w:rPr>
          <w:rStyle w:val="markedcontent"/>
        </w:rPr>
        <w:t>We affirm</w:t>
      </w:r>
      <w:r>
        <w:rPr>
          <w:rStyle w:val="markedcontent"/>
        </w:rPr>
        <w:t xml:space="preserve"> … </w:t>
      </w:r>
      <w:r w:rsidRPr="00D81AE3">
        <w:rPr>
          <w:rStyle w:val="markedcontent"/>
        </w:rPr>
        <w:t>the circuit court’s alternative grant of summary judgment in</w:t>
      </w:r>
      <w:r>
        <w:rPr>
          <w:rStyle w:val="markedcontent"/>
        </w:rPr>
        <w:t xml:space="preserve"> </w:t>
      </w:r>
      <w:r w:rsidRPr="00D81AE3">
        <w:rPr>
          <w:rStyle w:val="markedcontent"/>
        </w:rPr>
        <w:t>favor of Rite Aid on the Mitchells’ premises liability claim because the Mitchells failed to present any admissible evidence establishing that Moseley’s tragic shooting spree was</w:t>
      </w:r>
      <w:r>
        <w:rPr>
          <w:rStyle w:val="markedcontent"/>
        </w:rPr>
        <w:t xml:space="preserve"> </w:t>
      </w:r>
      <w:r w:rsidRPr="00D81AE3">
        <w:rPr>
          <w:rStyle w:val="markedcontent"/>
        </w:rPr>
        <w:t>foreseeable.</w:t>
      </w:r>
      <w:r>
        <w:rPr>
          <w:rStyle w:val="markedcontent"/>
        </w:rPr>
        <w:t xml:space="preserve"> *** </w:t>
      </w:r>
      <w:r w:rsidRPr="00F014DB">
        <w:rPr>
          <w:rStyle w:val="markedcontent"/>
        </w:rPr>
        <w:t>We caution that this opinion should not be read to suggest that mass shootings are</w:t>
      </w:r>
      <w:r>
        <w:rPr>
          <w:rStyle w:val="markedcontent"/>
        </w:rPr>
        <w:t xml:space="preserve"> </w:t>
      </w:r>
      <w:r w:rsidRPr="00F014DB">
        <w:rPr>
          <w:rStyle w:val="markedcontent"/>
        </w:rPr>
        <w:t>unforeseeable as a matter of law. As grim statistics and the development of the law in our</w:t>
      </w:r>
      <w:r>
        <w:rPr>
          <w:rStyle w:val="markedcontent"/>
        </w:rPr>
        <w:t xml:space="preserve"> </w:t>
      </w:r>
      <w:r w:rsidRPr="00F014DB">
        <w:rPr>
          <w:rStyle w:val="markedcontent"/>
        </w:rPr>
        <w:t>sister states foreshadow, the standards of care surrounding a business owner’s duty to</w:t>
      </w:r>
      <w:r>
        <w:rPr>
          <w:rStyle w:val="markedcontent"/>
        </w:rPr>
        <w:t xml:space="preserve"> </w:t>
      </w:r>
      <w:r w:rsidRPr="00F014DB">
        <w:rPr>
          <w:rStyle w:val="markedcontent"/>
        </w:rPr>
        <w:t xml:space="preserve">protect invitees from gun violence are not static and will continue to evolve </w:t>
      </w:r>
      <w:proofErr w:type="gramStart"/>
      <w:r w:rsidRPr="00F014DB">
        <w:rPr>
          <w:rStyle w:val="markedcontent"/>
        </w:rPr>
        <w:t>in light of</w:t>
      </w:r>
      <w:proofErr w:type="gramEnd"/>
      <w:r>
        <w:rPr>
          <w:rStyle w:val="markedcontent"/>
        </w:rPr>
        <w:t xml:space="preserve"> ‘</w:t>
      </w:r>
      <w:r w:rsidRPr="00F014DB">
        <w:rPr>
          <w:rStyle w:val="markedcontent"/>
        </w:rPr>
        <w:t>common sense perceptions of the risks created by various conditions and circumstances.</w:t>
      </w:r>
      <w:r>
        <w:rPr>
          <w:rStyle w:val="markedcontent"/>
        </w:rPr>
        <w:t xml:space="preserve">’ </w:t>
      </w:r>
      <w:r w:rsidRPr="00F014DB">
        <w:rPr>
          <w:rStyle w:val="markedcontent"/>
        </w:rPr>
        <w:t>Axelrod v. Cinemark Holdings, Inc., 65 F. Supp. 3d 1093, 1100 (D. Colo. 2014) (quoting</w:t>
      </w:r>
      <w:r>
        <w:rPr>
          <w:rStyle w:val="markedcontent"/>
        </w:rPr>
        <w:t xml:space="preserve"> </w:t>
      </w:r>
      <w:r w:rsidRPr="00F014DB">
        <w:rPr>
          <w:rStyle w:val="markedcontent"/>
        </w:rPr>
        <w:t>Taco Bell, Inc. v. Lannon, 744 P.2d 43, 48 (Colo. 1987)).</w:t>
      </w:r>
      <w:r>
        <w:rPr>
          <w:rStyle w:val="markedcontent"/>
        </w:rPr>
        <w:t xml:space="preserve">” </w:t>
      </w:r>
      <w:hyperlink r:id="rId744" w:history="1">
        <w:r w:rsidRPr="006D212A">
          <w:rPr>
            <w:rStyle w:val="Hyperlink"/>
            <w:rFonts w:eastAsiaTheme="majorEastAsia"/>
          </w:rPr>
          <w:t>https://mdcourts.gov/data/opinions/cosa/2023/0021s22.pdf</w:t>
        </w:r>
      </w:hyperlink>
      <w:r>
        <w:t xml:space="preserve"> </w:t>
      </w:r>
    </w:p>
    <w:p w14:paraId="0FBBDBAF" w14:textId="77777777" w:rsidR="00AB637D" w:rsidRPr="00F014DB" w:rsidRDefault="00AB637D" w:rsidP="00AB637D">
      <w:pPr>
        <w:pStyle w:val="NormalWeb"/>
        <w:ind w:left="720"/>
      </w:pPr>
      <w:r>
        <w:rPr>
          <w:rStyle w:val="markedcontent"/>
        </w:rPr>
        <w:t>“</w:t>
      </w:r>
      <w:proofErr w:type="spellStart"/>
      <w:r w:rsidRPr="00F014DB">
        <w:rPr>
          <w:rStyle w:val="markedcontent"/>
        </w:rPr>
        <w:t>Snochia</w:t>
      </w:r>
      <w:proofErr w:type="spellEnd"/>
      <w:r w:rsidRPr="00F014DB">
        <w:rPr>
          <w:rStyle w:val="markedcontent"/>
        </w:rPr>
        <w:t xml:space="preserve"> Moseley was a temporary worker at the Rite Aid Distribution Center in</w:t>
      </w:r>
      <w:r w:rsidRPr="00F014DB">
        <w:br/>
      </w:r>
      <w:r w:rsidRPr="00F014DB">
        <w:rPr>
          <w:rStyle w:val="markedcontent"/>
        </w:rPr>
        <w:t>Aberdeen, Maryland. Prior to September 20, 2018, she had only worked approximately</w:t>
      </w:r>
      <w:r w:rsidRPr="00F014DB">
        <w:br/>
      </w:r>
      <w:r w:rsidRPr="00F014DB">
        <w:rPr>
          <w:rStyle w:val="markedcontent"/>
        </w:rPr>
        <w:t>eight shifts at the facility. On that fateful September morning, Moseley reportedly agitated</w:t>
      </w:r>
      <w:r>
        <w:rPr>
          <w:rStyle w:val="markedcontent"/>
        </w:rPr>
        <w:t xml:space="preserve"> </w:t>
      </w:r>
      <w:r w:rsidRPr="00F014DB">
        <w:rPr>
          <w:rStyle w:val="markedcontent"/>
        </w:rPr>
        <w:t>other workers when she cut in front of them to check into work. She then left the facility</w:t>
      </w:r>
      <w:r>
        <w:rPr>
          <w:rStyle w:val="markedcontent"/>
        </w:rPr>
        <w:t xml:space="preserve"> </w:t>
      </w:r>
      <w:r w:rsidRPr="00F014DB">
        <w:rPr>
          <w:rStyle w:val="markedcontent"/>
        </w:rPr>
        <w:t>for a brief period and returned with a handgun.</w:t>
      </w:r>
      <w:r>
        <w:rPr>
          <w:rStyle w:val="markedcontent"/>
        </w:rPr>
        <w:t xml:space="preserve"> </w:t>
      </w:r>
      <w:r w:rsidRPr="00F014DB">
        <w:rPr>
          <w:rStyle w:val="markedcontent"/>
        </w:rPr>
        <w:t>At approximately 9:00 a.m., Moseley re-entered the Rite Aid Distribution Center’s</w:t>
      </w:r>
      <w:r>
        <w:rPr>
          <w:rStyle w:val="markedcontent"/>
        </w:rPr>
        <w:t xml:space="preserve"> </w:t>
      </w:r>
      <w:r w:rsidRPr="00F014DB">
        <w:rPr>
          <w:rStyle w:val="markedcontent"/>
        </w:rPr>
        <w:t>perimeter gate using her access badge. After parking her car, she got out and opened fire</w:t>
      </w:r>
      <w:r>
        <w:rPr>
          <w:rStyle w:val="markedcontent"/>
        </w:rPr>
        <w:t xml:space="preserve"> </w:t>
      </w:r>
      <w:r w:rsidRPr="00F014DB">
        <w:rPr>
          <w:rStyle w:val="markedcontent"/>
        </w:rPr>
        <w:t>on a group of workers congregated outside the building. Moseley proceeded to enter the</w:t>
      </w:r>
      <w:r>
        <w:rPr>
          <w:rStyle w:val="markedcontent"/>
        </w:rPr>
        <w:t xml:space="preserve"> </w:t>
      </w:r>
      <w:r w:rsidRPr="00F014DB">
        <w:rPr>
          <w:rStyle w:val="markedcontent"/>
        </w:rPr>
        <w:t xml:space="preserve">building through the front entrance and into the break room, where </w:t>
      </w:r>
      <w:proofErr w:type="spellStart"/>
      <w:r w:rsidRPr="00F014DB">
        <w:rPr>
          <w:rStyle w:val="markedcontent"/>
        </w:rPr>
        <w:t>Haissaun</w:t>
      </w:r>
      <w:proofErr w:type="spellEnd"/>
      <w:r w:rsidRPr="00F014DB">
        <w:rPr>
          <w:rStyle w:val="markedcontent"/>
        </w:rPr>
        <w:t xml:space="preserve"> and Shyheim</w:t>
      </w:r>
      <w:r>
        <w:rPr>
          <w:rStyle w:val="markedcontent"/>
        </w:rPr>
        <w:t xml:space="preserve"> [Mitchell] </w:t>
      </w:r>
      <w:r w:rsidRPr="00F014DB">
        <w:rPr>
          <w:rStyle w:val="markedcontent"/>
        </w:rPr>
        <w:t>were taking their break. *** Moseley’s deadly assault occurred within a span of five minutes. Harford County</w:t>
      </w:r>
      <w:r>
        <w:rPr>
          <w:rStyle w:val="markedcontent"/>
        </w:rPr>
        <w:t xml:space="preserve"> </w:t>
      </w:r>
      <w:r w:rsidRPr="00F014DB">
        <w:rPr>
          <w:rStyle w:val="markedcontent"/>
        </w:rPr>
        <w:t>Sheriff’s Office deputies, Maryland State Police, and EMS personnel began responding to</w:t>
      </w:r>
      <w:r>
        <w:rPr>
          <w:rStyle w:val="markedcontent"/>
        </w:rPr>
        <w:t xml:space="preserve"> </w:t>
      </w:r>
      <w:r w:rsidRPr="00F014DB">
        <w:rPr>
          <w:rStyle w:val="markedcontent"/>
        </w:rPr>
        <w:t>the active shooter situation at 9:11 a.m., but by that time six victims had been shot by</w:t>
      </w:r>
      <w:r>
        <w:rPr>
          <w:rStyle w:val="markedcontent"/>
        </w:rPr>
        <w:t xml:space="preserve"> </w:t>
      </w:r>
      <w:r w:rsidRPr="00F014DB">
        <w:rPr>
          <w:rStyle w:val="markedcontent"/>
        </w:rPr>
        <w:t>Moseley, three of whom ultimately died. Moseley was found at the scene by Harford</w:t>
      </w:r>
      <w:r>
        <w:rPr>
          <w:rStyle w:val="markedcontent"/>
        </w:rPr>
        <w:t xml:space="preserve"> </w:t>
      </w:r>
      <w:r w:rsidRPr="00F014DB">
        <w:rPr>
          <w:rStyle w:val="markedcontent"/>
        </w:rPr>
        <w:t>County law enforcement officers with a self-inflicted gunshot wound to the head.</w:t>
      </w:r>
      <w:r>
        <w:rPr>
          <w:rStyle w:val="markedcontent"/>
        </w:rPr>
        <w:t>”</w:t>
      </w:r>
    </w:p>
    <w:p w14:paraId="34E780D9" w14:textId="77777777" w:rsidR="00AB637D" w:rsidRPr="00CD32F9" w:rsidRDefault="00AB637D" w:rsidP="00AB637D">
      <w:pPr>
        <w:pStyle w:val="NormalWeb"/>
        <w:rPr>
          <w:b/>
          <w:bCs/>
        </w:rPr>
      </w:pPr>
      <w:r w:rsidRPr="00CD32F9">
        <w:rPr>
          <w:b/>
          <w:bCs/>
        </w:rPr>
        <w:t>Legal Lesson Learned:</w:t>
      </w:r>
      <w:r>
        <w:rPr>
          <w:b/>
          <w:bCs/>
        </w:rPr>
        <w:t xml:space="preserve"> The Temp company that hired the shooter wisely had conducted a state &amp; federal criminal history and administered a drug test. </w:t>
      </w:r>
    </w:p>
    <w:p w14:paraId="1541DEE1" w14:textId="77777777" w:rsidR="00AB637D" w:rsidRDefault="00AB637D" w:rsidP="00F326E5">
      <w:pPr>
        <w:pStyle w:val="NoSpacing"/>
        <w:rPr>
          <w:rFonts w:ascii="Arial Black" w:hAnsi="Arial Black"/>
          <w:sz w:val="28"/>
          <w:szCs w:val="28"/>
        </w:rPr>
      </w:pPr>
    </w:p>
    <w:p w14:paraId="42A60440" w14:textId="77777777" w:rsidR="00AB637D" w:rsidRDefault="00AB637D" w:rsidP="00F326E5">
      <w:pPr>
        <w:pStyle w:val="NoSpacing"/>
        <w:rPr>
          <w:rFonts w:ascii="Arial Black" w:hAnsi="Arial Black"/>
          <w:sz w:val="28"/>
          <w:szCs w:val="28"/>
        </w:rPr>
      </w:pPr>
    </w:p>
    <w:p w14:paraId="29362A6D" w14:textId="77777777" w:rsidR="00AB637D" w:rsidRDefault="00AB637D" w:rsidP="00F326E5">
      <w:pPr>
        <w:pStyle w:val="NoSpacing"/>
        <w:rPr>
          <w:rFonts w:ascii="Arial Black" w:hAnsi="Arial Black"/>
          <w:sz w:val="28"/>
          <w:szCs w:val="28"/>
        </w:rPr>
      </w:pPr>
    </w:p>
    <w:p w14:paraId="4A796064" w14:textId="77777777" w:rsidR="007959C9" w:rsidRDefault="007959C9" w:rsidP="00F326E5">
      <w:pPr>
        <w:pStyle w:val="NoSpacing"/>
        <w:rPr>
          <w:rFonts w:ascii="Arial Black" w:hAnsi="Arial Black"/>
          <w:sz w:val="28"/>
          <w:szCs w:val="28"/>
        </w:rPr>
      </w:pPr>
    </w:p>
    <w:p w14:paraId="2BECF44C" w14:textId="3C64D396" w:rsidR="007959C9" w:rsidRDefault="007959C9" w:rsidP="00F326E5">
      <w:pPr>
        <w:pStyle w:val="NoSpacing"/>
        <w:rPr>
          <w:rFonts w:ascii="Arial Black" w:hAnsi="Arial Black"/>
          <w:sz w:val="28"/>
          <w:szCs w:val="28"/>
        </w:rPr>
      </w:pPr>
    </w:p>
    <w:p w14:paraId="03160261" w14:textId="7D073F12" w:rsidR="007959C9" w:rsidRDefault="007959C9" w:rsidP="00F326E5">
      <w:pPr>
        <w:pStyle w:val="NoSpacing"/>
        <w:rPr>
          <w:rFonts w:ascii="Arial Black" w:hAnsi="Arial Black"/>
          <w:sz w:val="28"/>
          <w:szCs w:val="28"/>
        </w:rPr>
      </w:pPr>
      <w:r>
        <w:rPr>
          <w:rFonts w:ascii="Arial Black" w:hAnsi="Arial Black"/>
          <w:sz w:val="28"/>
          <w:szCs w:val="28"/>
        </w:rPr>
        <w:t>3-48</w:t>
      </w:r>
    </w:p>
    <w:p w14:paraId="7D0B38BC" w14:textId="77777777" w:rsidR="007959C9" w:rsidRDefault="007959C9" w:rsidP="00F326E5">
      <w:pPr>
        <w:pStyle w:val="NoSpacing"/>
        <w:rPr>
          <w:rFonts w:ascii="Arial Black" w:hAnsi="Arial Black"/>
          <w:sz w:val="28"/>
          <w:szCs w:val="28"/>
        </w:rPr>
      </w:pPr>
    </w:p>
    <w:p w14:paraId="79D92486" w14:textId="77777777" w:rsidR="007959C9" w:rsidRDefault="007959C9" w:rsidP="007959C9">
      <w:pPr>
        <w:pStyle w:val="Heading1"/>
        <w:rPr>
          <w:rFonts w:ascii="Arial Black" w:hAnsi="Arial Black"/>
          <w:sz w:val="28"/>
          <w:szCs w:val="28"/>
        </w:rPr>
      </w:pPr>
      <w:r>
        <w:rPr>
          <w:rFonts w:ascii="Arial Black" w:hAnsi="Arial Black"/>
          <w:sz w:val="28"/>
          <w:szCs w:val="28"/>
        </w:rPr>
        <w:t>NY: NEW CONCEALED CARRY LAW – U.S. SUP. COURT TEMP. NOT BLOCKING – AWAIT 2</w:t>
      </w:r>
      <w:r w:rsidRPr="00150F15">
        <w:rPr>
          <w:rFonts w:ascii="Arial Black" w:hAnsi="Arial Black"/>
          <w:sz w:val="28"/>
          <w:szCs w:val="28"/>
          <w:vertAlign w:val="superscript"/>
        </w:rPr>
        <w:t>nd</w:t>
      </w:r>
      <w:r>
        <w:rPr>
          <w:rFonts w:ascii="Arial Black" w:hAnsi="Arial Black"/>
          <w:sz w:val="28"/>
          <w:szCs w:val="28"/>
        </w:rPr>
        <w:t xml:space="preserve"> CIRCUIT DECISION</w:t>
      </w:r>
    </w:p>
    <w:p w14:paraId="1A5B0ECF" w14:textId="77777777" w:rsidR="007959C9" w:rsidRDefault="007959C9" w:rsidP="007959C9">
      <w:pPr>
        <w:pStyle w:val="Heading1"/>
        <w:rPr>
          <w:b w:val="0"/>
          <w:bCs w:val="0"/>
          <w:sz w:val="24"/>
          <w:szCs w:val="24"/>
        </w:rPr>
      </w:pPr>
      <w:r w:rsidRPr="00327308">
        <w:rPr>
          <w:b w:val="0"/>
          <w:bCs w:val="0"/>
          <w:sz w:val="24"/>
          <w:szCs w:val="24"/>
        </w:rPr>
        <w:t xml:space="preserve">On </w:t>
      </w:r>
      <w:r>
        <w:rPr>
          <w:b w:val="0"/>
          <w:bCs w:val="0"/>
          <w:sz w:val="24"/>
          <w:szCs w:val="24"/>
        </w:rPr>
        <w:t xml:space="preserve">Jan. 11, 2023, in </w:t>
      </w:r>
      <w:r w:rsidRPr="00327308">
        <w:rPr>
          <w:b w:val="0"/>
          <w:bCs w:val="0"/>
          <w:sz w:val="24"/>
          <w:szCs w:val="24"/>
          <w:u w:val="single"/>
        </w:rPr>
        <w:t xml:space="preserve">Ivan Antonyuk, et al. v. Steven Nigrelli, In His Official Capacity </w:t>
      </w:r>
      <w:proofErr w:type="gramStart"/>
      <w:r w:rsidRPr="00327308">
        <w:rPr>
          <w:b w:val="0"/>
          <w:bCs w:val="0"/>
          <w:sz w:val="24"/>
          <w:szCs w:val="24"/>
          <w:u w:val="single"/>
        </w:rPr>
        <w:t>As</w:t>
      </w:r>
      <w:proofErr w:type="gramEnd"/>
      <w:r w:rsidRPr="00327308">
        <w:rPr>
          <w:b w:val="0"/>
          <w:bCs w:val="0"/>
          <w:sz w:val="24"/>
          <w:szCs w:val="24"/>
          <w:u w:val="single"/>
        </w:rPr>
        <w:t xml:space="preserve"> Acting Superintendent of New York State Police, et al</w:t>
      </w:r>
      <w:r>
        <w:rPr>
          <w:b w:val="0"/>
          <w:bCs w:val="0"/>
          <w:sz w:val="24"/>
          <w:szCs w:val="24"/>
        </w:rPr>
        <w:t>., the U.S. Supreme Court issued an order that keeps State of New York’s new “Concealed Carry Improvement Act” (July 1, 2022) in effect while the U.S. Court of Appeals for 2</w:t>
      </w:r>
      <w:r w:rsidRPr="00327308">
        <w:rPr>
          <w:b w:val="0"/>
          <w:bCs w:val="0"/>
          <w:sz w:val="24"/>
          <w:szCs w:val="24"/>
          <w:vertAlign w:val="superscript"/>
        </w:rPr>
        <w:t>nd</w:t>
      </w:r>
      <w:r>
        <w:rPr>
          <w:b w:val="0"/>
          <w:bCs w:val="0"/>
          <w:sz w:val="24"/>
          <w:szCs w:val="24"/>
        </w:rPr>
        <w:t xml:space="preserve"> Circuit hears oral argument and issues their opinion. Two Supreme Court Justices have urged the 2</w:t>
      </w:r>
      <w:r w:rsidRPr="00C35467">
        <w:rPr>
          <w:b w:val="0"/>
          <w:bCs w:val="0"/>
          <w:sz w:val="24"/>
          <w:szCs w:val="24"/>
          <w:vertAlign w:val="superscript"/>
        </w:rPr>
        <w:t>nd</w:t>
      </w:r>
      <w:r>
        <w:rPr>
          <w:b w:val="0"/>
          <w:bCs w:val="0"/>
          <w:sz w:val="24"/>
          <w:szCs w:val="24"/>
        </w:rPr>
        <w:t xml:space="preserve"> Circuit to decide the case on an expedited basis; see statement by Justice Samuel Alito, joined by Justice Clarence Thomas. </w:t>
      </w:r>
    </w:p>
    <w:p w14:paraId="3253E4DB" w14:textId="77777777" w:rsidR="007959C9" w:rsidRPr="00AA18FA" w:rsidRDefault="007959C9" w:rsidP="007959C9">
      <w:pPr>
        <w:pStyle w:val="Heading1"/>
        <w:ind w:left="720"/>
        <w:rPr>
          <w:rStyle w:val="markedcontent"/>
          <w:rFonts w:eastAsiaTheme="majorEastAsia"/>
          <w:b w:val="0"/>
          <w:bCs w:val="0"/>
          <w:sz w:val="24"/>
          <w:szCs w:val="24"/>
        </w:rPr>
      </w:pPr>
      <w:r>
        <w:rPr>
          <w:b w:val="0"/>
          <w:bCs w:val="0"/>
          <w:sz w:val="24"/>
          <w:szCs w:val="24"/>
        </w:rPr>
        <w:t>“</w:t>
      </w:r>
      <w:r w:rsidRPr="00AA18FA">
        <w:rPr>
          <w:rStyle w:val="markedcontent"/>
          <w:rFonts w:eastAsiaTheme="majorEastAsia"/>
          <w:b w:val="0"/>
          <w:bCs w:val="0"/>
          <w:sz w:val="24"/>
          <w:szCs w:val="24"/>
        </w:rPr>
        <w:t xml:space="preserve">The New York law at issue in this application presents novel and serious questions under both the First and the Second Amendments. The District Court found, in a thorough opinion, that the applicants were likely to succeed </w:t>
      </w:r>
      <w:proofErr w:type="gramStart"/>
      <w:r w:rsidRPr="00AA18FA">
        <w:rPr>
          <w:rStyle w:val="markedcontent"/>
          <w:rFonts w:eastAsiaTheme="majorEastAsia"/>
          <w:b w:val="0"/>
          <w:bCs w:val="0"/>
          <w:sz w:val="24"/>
          <w:szCs w:val="24"/>
        </w:rPr>
        <w:t>on</w:t>
      </w:r>
      <w:proofErr w:type="gramEnd"/>
      <w:r w:rsidRPr="00AA18FA">
        <w:rPr>
          <w:rStyle w:val="markedcontent"/>
          <w:rFonts w:eastAsiaTheme="majorEastAsia"/>
          <w:b w:val="0"/>
          <w:bCs w:val="0"/>
          <w:sz w:val="24"/>
          <w:szCs w:val="24"/>
        </w:rPr>
        <w:t xml:space="preserve"> </w:t>
      </w:r>
      <w:proofErr w:type="gramStart"/>
      <w:r w:rsidRPr="00AA18FA">
        <w:rPr>
          <w:rStyle w:val="markedcontent"/>
          <w:rFonts w:eastAsiaTheme="majorEastAsia"/>
          <w:b w:val="0"/>
          <w:bCs w:val="0"/>
          <w:sz w:val="24"/>
          <w:szCs w:val="24"/>
        </w:rPr>
        <w:t>a number of</w:t>
      </w:r>
      <w:proofErr w:type="gramEnd"/>
      <w:r w:rsidRPr="00AA18FA">
        <w:rPr>
          <w:rStyle w:val="markedcontent"/>
          <w:rFonts w:eastAsiaTheme="majorEastAsia"/>
          <w:b w:val="0"/>
          <w:bCs w:val="0"/>
          <w:sz w:val="24"/>
          <w:szCs w:val="24"/>
        </w:rPr>
        <w:t xml:space="preserve"> their claims, and it issued a preliminary injunction as to twelve provisions of the challenged law. With</w:t>
      </w:r>
      <w:r w:rsidRPr="00AA18FA">
        <w:rPr>
          <w:b w:val="0"/>
          <w:bCs w:val="0"/>
          <w:sz w:val="24"/>
          <w:szCs w:val="24"/>
        </w:rPr>
        <w:br/>
      </w:r>
      <w:r w:rsidRPr="00AA18FA">
        <w:rPr>
          <w:rStyle w:val="markedcontent"/>
          <w:rFonts w:eastAsiaTheme="majorEastAsia"/>
          <w:b w:val="0"/>
          <w:bCs w:val="0"/>
          <w:sz w:val="24"/>
          <w:szCs w:val="24"/>
        </w:rPr>
        <w:t xml:space="preserve">one exception, the Second Circuit issued a stay of the injunction in full, and in doing so did not provide any explanation for its ruling…. I understand the Court’s denial today to reflect respect for the Second Circuit’s procedures in managing its own docket, rather than expressing any view on the merits of the case. Applicants should not be deterred by today’s order from again seeking relief if the Second Circuit does not, within a reasonable time, provide an explanation for its stay order or expedite consideration of the </w:t>
      </w:r>
      <w:proofErr w:type="gramStart"/>
      <w:r w:rsidRPr="00AA18FA">
        <w:rPr>
          <w:rStyle w:val="markedcontent"/>
          <w:rFonts w:eastAsiaTheme="majorEastAsia"/>
          <w:b w:val="0"/>
          <w:bCs w:val="0"/>
          <w:sz w:val="24"/>
          <w:szCs w:val="24"/>
        </w:rPr>
        <w:t>appeal.”</w:t>
      </w:r>
      <w:proofErr w:type="gramEnd"/>
      <w:r w:rsidRPr="00AA18FA">
        <w:rPr>
          <w:rStyle w:val="markedcontent"/>
          <w:rFonts w:eastAsiaTheme="majorEastAsia"/>
          <w:b w:val="0"/>
          <w:bCs w:val="0"/>
          <w:sz w:val="24"/>
          <w:szCs w:val="24"/>
        </w:rPr>
        <w:t xml:space="preserve"> </w:t>
      </w:r>
      <w:hyperlink r:id="rId745" w:history="1">
        <w:r w:rsidRPr="00AA18FA">
          <w:rPr>
            <w:rStyle w:val="Hyperlink"/>
            <w:sz w:val="24"/>
            <w:szCs w:val="24"/>
          </w:rPr>
          <w:t>https://www.supremecourt.gov/opinions/22pdf/22a557_0pm1.pdf</w:t>
        </w:r>
      </w:hyperlink>
      <w:r w:rsidRPr="00AA18FA">
        <w:rPr>
          <w:rStyle w:val="markedcontent"/>
          <w:rFonts w:eastAsiaTheme="majorEastAsia"/>
          <w:b w:val="0"/>
          <w:bCs w:val="0"/>
          <w:sz w:val="24"/>
          <w:szCs w:val="24"/>
        </w:rPr>
        <w:t xml:space="preserve"> </w:t>
      </w:r>
    </w:p>
    <w:p w14:paraId="577F6E3D" w14:textId="77777777" w:rsidR="007959C9" w:rsidRDefault="007959C9" w:rsidP="007959C9">
      <w:pPr>
        <w:pStyle w:val="Heading1"/>
        <w:rPr>
          <w:b w:val="0"/>
          <w:bCs w:val="0"/>
          <w:sz w:val="24"/>
          <w:szCs w:val="24"/>
        </w:rPr>
      </w:pPr>
      <w:r>
        <w:rPr>
          <w:b w:val="0"/>
          <w:bCs w:val="0"/>
          <w:sz w:val="24"/>
          <w:szCs w:val="24"/>
        </w:rPr>
        <w:t>On Jan. 17, 2023, the City of New York has filed a brief with the 2</w:t>
      </w:r>
      <w:r w:rsidRPr="00761B43">
        <w:rPr>
          <w:b w:val="0"/>
          <w:bCs w:val="0"/>
          <w:sz w:val="24"/>
          <w:szCs w:val="24"/>
          <w:vertAlign w:val="superscript"/>
        </w:rPr>
        <w:t>nd</w:t>
      </w:r>
      <w:r>
        <w:rPr>
          <w:b w:val="0"/>
          <w:bCs w:val="0"/>
          <w:sz w:val="24"/>
          <w:szCs w:val="24"/>
        </w:rPr>
        <w:t xml:space="preserve"> Circuit describing the importance of the State of New York’s new concealed carry law, that prohibits firearms in “sensitive areas” like Times Square and allows licensing officials to consider the mental and criminal history of the applicant. </w:t>
      </w:r>
    </w:p>
    <w:p w14:paraId="4EB4FB57" w14:textId="77777777" w:rsidR="007959C9" w:rsidRPr="00AA18FA" w:rsidRDefault="007959C9" w:rsidP="007959C9">
      <w:pPr>
        <w:pStyle w:val="Heading1"/>
        <w:ind w:left="720"/>
        <w:rPr>
          <w:b w:val="0"/>
          <w:bCs w:val="0"/>
          <w:sz w:val="24"/>
          <w:szCs w:val="24"/>
        </w:rPr>
      </w:pPr>
      <w:r w:rsidRPr="00AA18FA">
        <w:rPr>
          <w:rStyle w:val="markedcontent"/>
          <w:rFonts w:eastAsiaTheme="majorEastAsia"/>
          <w:b w:val="0"/>
          <w:bCs w:val="0"/>
          <w:sz w:val="24"/>
          <w:szCs w:val="24"/>
        </w:rPr>
        <w:t xml:space="preserve">“The CCIA’s licensing standard, which requires an applicant to have the ‘essential temperament’ to possess and carry a firearm safely, is squarely in line with ‘shall-issue’ licensure standards that the Supreme Court said in </w:t>
      </w:r>
      <w:r w:rsidRPr="00AA18FA">
        <w:rPr>
          <w:rStyle w:val="markedcontent"/>
          <w:rFonts w:eastAsiaTheme="majorEastAsia"/>
          <w:b w:val="0"/>
          <w:bCs w:val="0"/>
          <w:sz w:val="24"/>
          <w:szCs w:val="24"/>
          <w:u w:val="single"/>
        </w:rPr>
        <w:t>Bruen [</w:t>
      </w:r>
      <w:r w:rsidRPr="00AA18FA">
        <w:rPr>
          <w:rStyle w:val="markedcontent"/>
          <w:rFonts w:eastAsiaTheme="majorEastAsia"/>
          <w:b w:val="0"/>
          <w:bCs w:val="0"/>
          <w:sz w:val="24"/>
          <w:szCs w:val="24"/>
        </w:rPr>
        <w:t>New York State Rifle &amp;</w:t>
      </w:r>
      <w:r w:rsidRPr="00AA18FA">
        <w:rPr>
          <w:b w:val="0"/>
          <w:bCs w:val="0"/>
          <w:sz w:val="24"/>
          <w:szCs w:val="24"/>
        </w:rPr>
        <w:br/>
      </w:r>
      <w:r w:rsidRPr="00AA18FA">
        <w:rPr>
          <w:rStyle w:val="markedcontent"/>
          <w:rFonts w:eastAsiaTheme="majorEastAsia"/>
          <w:b w:val="0"/>
          <w:bCs w:val="0"/>
          <w:sz w:val="24"/>
          <w:szCs w:val="24"/>
        </w:rPr>
        <w:t xml:space="preserve">Pistol </w:t>
      </w:r>
      <w:proofErr w:type="spellStart"/>
      <w:r w:rsidRPr="00AA18FA">
        <w:rPr>
          <w:rStyle w:val="markedcontent"/>
          <w:rFonts w:eastAsiaTheme="majorEastAsia"/>
          <w:b w:val="0"/>
          <w:bCs w:val="0"/>
          <w:sz w:val="24"/>
          <w:szCs w:val="24"/>
        </w:rPr>
        <w:t>Ass’n</w:t>
      </w:r>
      <w:proofErr w:type="spellEnd"/>
      <w:r w:rsidRPr="00AA18FA">
        <w:rPr>
          <w:rStyle w:val="markedcontent"/>
          <w:rFonts w:eastAsiaTheme="majorEastAsia"/>
          <w:b w:val="0"/>
          <w:bCs w:val="0"/>
          <w:sz w:val="24"/>
          <w:szCs w:val="24"/>
        </w:rPr>
        <w:t>, Inc. v. Bruen, 142 S. Ct. 2111 (2022)] appropriately ensure that only</w:t>
      </w:r>
      <w:r w:rsidRPr="00AA18FA">
        <w:rPr>
          <w:b w:val="0"/>
          <w:bCs w:val="0"/>
          <w:sz w:val="24"/>
          <w:szCs w:val="24"/>
        </w:rPr>
        <w:br/>
      </w:r>
      <w:r w:rsidRPr="00AA18FA">
        <w:rPr>
          <w:rStyle w:val="markedcontent"/>
          <w:rFonts w:eastAsiaTheme="majorEastAsia"/>
          <w:b w:val="0"/>
          <w:bCs w:val="0"/>
          <w:sz w:val="24"/>
          <w:szCs w:val="24"/>
        </w:rPr>
        <w:t xml:space="preserve">such citizens are authorized to carry firearms.” </w:t>
      </w:r>
      <w:hyperlink r:id="rId746" w:history="1">
        <w:r w:rsidRPr="00AA18FA">
          <w:rPr>
            <w:rStyle w:val="Hyperlink"/>
            <w:sz w:val="24"/>
            <w:szCs w:val="24"/>
          </w:rPr>
          <w:t>https://www.nyc.gov/assets/home/downloads/pdf/press-releases/2023/Antonyuk_Amicus_Brief.pdf</w:t>
        </w:r>
      </w:hyperlink>
      <w:r w:rsidRPr="00AA18FA">
        <w:rPr>
          <w:rStyle w:val="markedcontent"/>
          <w:rFonts w:eastAsiaTheme="majorEastAsia"/>
          <w:b w:val="0"/>
          <w:bCs w:val="0"/>
          <w:sz w:val="24"/>
          <w:szCs w:val="24"/>
        </w:rPr>
        <w:t xml:space="preserve"> </w:t>
      </w:r>
    </w:p>
    <w:p w14:paraId="101B2900" w14:textId="77777777" w:rsidR="007959C9" w:rsidRDefault="007959C9" w:rsidP="007959C9">
      <w:pPr>
        <w:pStyle w:val="Heading1"/>
        <w:rPr>
          <w:rStyle w:val="markedcontent"/>
          <w:rFonts w:eastAsiaTheme="majorEastAsia"/>
          <w:b w:val="0"/>
          <w:bCs w:val="0"/>
        </w:rPr>
      </w:pPr>
      <w:r>
        <w:rPr>
          <w:b w:val="0"/>
          <w:bCs w:val="0"/>
          <w:sz w:val="24"/>
          <w:szCs w:val="24"/>
        </w:rPr>
        <w:t xml:space="preserve">In the </w:t>
      </w:r>
      <w:r w:rsidRPr="00761B43">
        <w:rPr>
          <w:b w:val="0"/>
          <w:bCs w:val="0"/>
          <w:sz w:val="24"/>
          <w:szCs w:val="24"/>
          <w:u w:val="single"/>
        </w:rPr>
        <w:t>Bruen</w:t>
      </w:r>
      <w:r>
        <w:rPr>
          <w:b w:val="0"/>
          <w:bCs w:val="0"/>
          <w:sz w:val="24"/>
          <w:szCs w:val="24"/>
        </w:rPr>
        <w:t xml:space="preserve"> case, U.S. Supreme Court on June 23, </w:t>
      </w:r>
      <w:proofErr w:type="gramStart"/>
      <w:r>
        <w:rPr>
          <w:b w:val="0"/>
          <w:bCs w:val="0"/>
          <w:sz w:val="24"/>
          <w:szCs w:val="24"/>
        </w:rPr>
        <w:t>2022</w:t>
      </w:r>
      <w:proofErr w:type="gramEnd"/>
      <w:r>
        <w:rPr>
          <w:b w:val="0"/>
          <w:bCs w:val="0"/>
          <w:sz w:val="24"/>
          <w:szCs w:val="24"/>
        </w:rPr>
        <w:t xml:space="preserve"> declared unconstitutional a prior version of the New York law, that prohibited residents from carrying a handgun in public unless they could prove a “special need for self-protection.”  </w:t>
      </w:r>
      <w:hyperlink r:id="rId747" w:history="1">
        <w:r w:rsidRPr="0090655A">
          <w:rPr>
            <w:rStyle w:val="Hyperlink"/>
            <w:sz w:val="24"/>
            <w:szCs w:val="24"/>
          </w:rPr>
          <w:t>https://www.supremecourt.gov/opinions/21pdf/20-843_7j80.pdf</w:t>
        </w:r>
      </w:hyperlink>
      <w:r>
        <w:rPr>
          <w:b w:val="0"/>
          <w:bCs w:val="0"/>
          <w:sz w:val="24"/>
          <w:szCs w:val="24"/>
        </w:rPr>
        <w:t xml:space="preserve">.  </w:t>
      </w:r>
    </w:p>
    <w:p w14:paraId="7D00AA28" w14:textId="77777777" w:rsidR="007959C9" w:rsidRPr="00AA18FA" w:rsidRDefault="007959C9" w:rsidP="007959C9">
      <w:pPr>
        <w:pStyle w:val="Heading1"/>
        <w:rPr>
          <w:b w:val="0"/>
          <w:bCs w:val="0"/>
          <w:sz w:val="24"/>
          <w:szCs w:val="24"/>
        </w:rPr>
      </w:pPr>
      <w:r w:rsidRPr="00AA18FA">
        <w:rPr>
          <w:b w:val="0"/>
          <w:bCs w:val="0"/>
          <w:sz w:val="24"/>
          <w:szCs w:val="24"/>
        </w:rPr>
        <w:t xml:space="preserve">On Oct. 6, 2022, U.S. District Court </w:t>
      </w:r>
      <w:r w:rsidRPr="00AA18FA">
        <w:rPr>
          <w:rStyle w:val="markedcontent"/>
          <w:rFonts w:eastAsiaTheme="majorEastAsia"/>
          <w:b w:val="0"/>
          <w:bCs w:val="0"/>
          <w:sz w:val="24"/>
          <w:szCs w:val="24"/>
        </w:rPr>
        <w:t xml:space="preserve">Judge Suddaby, Southern District of New York, issued a preliminary injunction against the new State of New York law, focusing on its “good moral character” provision. </w:t>
      </w:r>
    </w:p>
    <w:p w14:paraId="1D8CB379" w14:textId="77777777" w:rsidR="007959C9" w:rsidRPr="00AA18FA" w:rsidRDefault="007959C9" w:rsidP="007959C9">
      <w:pPr>
        <w:pStyle w:val="Heading1"/>
        <w:ind w:left="720"/>
        <w:rPr>
          <w:rStyle w:val="markedcontent"/>
          <w:rFonts w:eastAsiaTheme="majorEastAsia"/>
          <w:b w:val="0"/>
          <w:bCs w:val="0"/>
          <w:sz w:val="24"/>
          <w:szCs w:val="24"/>
        </w:rPr>
      </w:pPr>
      <w:r w:rsidRPr="00AA18FA">
        <w:rPr>
          <w:rStyle w:val="markedcontent"/>
          <w:rFonts w:eastAsiaTheme="majorEastAsia"/>
          <w:b w:val="0"/>
          <w:bCs w:val="0"/>
          <w:sz w:val="24"/>
          <w:szCs w:val="24"/>
        </w:rPr>
        <w:t>“In essence, New York State has replaced its requirement that an applicant show a special need for self-protection with its requirement that the applicant rebut the presumption that he or she is a danger to himself or herself, while retaining (and even expanding) the open-ended discretion afforded to its licensing officers.</w:t>
      </w:r>
    </w:p>
    <w:p w14:paraId="39CDF503" w14:textId="77777777" w:rsidR="007959C9" w:rsidRDefault="007959C9" w:rsidP="007959C9">
      <w:pPr>
        <w:pStyle w:val="Heading1"/>
        <w:ind w:left="720"/>
        <w:rPr>
          <w:rStyle w:val="markedcontent"/>
          <w:rFonts w:eastAsiaTheme="majorEastAsia"/>
          <w:b w:val="0"/>
          <w:bCs w:val="0"/>
        </w:rPr>
      </w:pPr>
      <w:r w:rsidRPr="00AA18FA">
        <w:rPr>
          <w:rStyle w:val="markedcontent"/>
          <w:rFonts w:eastAsiaTheme="majorEastAsia"/>
          <w:b w:val="0"/>
          <w:bCs w:val="0"/>
          <w:sz w:val="24"/>
          <w:szCs w:val="24"/>
        </w:rPr>
        <w:t>Simply stated, instead of moving toward becoming a shall-issue jurisdiction, New York</w:t>
      </w:r>
      <w:r w:rsidRPr="00AA18FA">
        <w:rPr>
          <w:b w:val="0"/>
          <w:bCs w:val="0"/>
          <w:sz w:val="24"/>
          <w:szCs w:val="24"/>
        </w:rPr>
        <w:br/>
      </w:r>
      <w:r w:rsidRPr="00AA18FA">
        <w:rPr>
          <w:rStyle w:val="markedcontent"/>
          <w:rFonts w:eastAsiaTheme="majorEastAsia"/>
          <w:b w:val="0"/>
          <w:bCs w:val="0"/>
          <w:sz w:val="24"/>
          <w:szCs w:val="24"/>
        </w:rPr>
        <w:t xml:space="preserve">State has further entrenched itself as a shall-not-issue jurisdiction. And, by doing so, it has further reduced a first-class constitutional right to bear arms in public for self-defense (which, during the 19th and 18th centuries in America, generally came with an assumption that law-abiding responsible citizens were not a danger to themselves or others unless there was specific ground for a contrary finding) into a mere request (which is burdened with a presumption of dangerousness and the need to show ‘good moral character’).” </w:t>
      </w:r>
      <w:hyperlink r:id="rId748" w:history="1">
        <w:r w:rsidRPr="00AA18FA">
          <w:rPr>
            <w:rStyle w:val="Hyperlink"/>
            <w:sz w:val="24"/>
            <w:szCs w:val="24"/>
          </w:rPr>
          <w:t>https://storage.courtlistener.com/recap/gov.uscourts.nynd.134829/gov.uscourts.nynd.134829.27.0_1.pdf</w:t>
        </w:r>
      </w:hyperlink>
      <w:r>
        <w:rPr>
          <w:rStyle w:val="markedcontent"/>
          <w:rFonts w:eastAsiaTheme="majorEastAsia"/>
          <w:b w:val="0"/>
          <w:bCs w:val="0"/>
        </w:rPr>
        <w:t xml:space="preserve"> </w:t>
      </w:r>
    </w:p>
    <w:p w14:paraId="2D3D3594" w14:textId="77777777" w:rsidR="007959C9" w:rsidRDefault="007959C9" w:rsidP="007959C9">
      <w:pPr>
        <w:pStyle w:val="Heading1"/>
        <w:rPr>
          <w:sz w:val="24"/>
          <w:szCs w:val="24"/>
        </w:rPr>
      </w:pPr>
      <w:r w:rsidRPr="00C35467">
        <w:rPr>
          <w:sz w:val="24"/>
          <w:szCs w:val="24"/>
        </w:rPr>
        <w:t xml:space="preserve">Legal Lesson Learned: </w:t>
      </w:r>
      <w:r>
        <w:rPr>
          <w:sz w:val="24"/>
          <w:szCs w:val="24"/>
        </w:rPr>
        <w:t xml:space="preserve">Gun violence is a growing problem in our Nation, and States and cities are seeking to enact laws that face legal challenges.  </w:t>
      </w:r>
    </w:p>
    <w:p w14:paraId="203D3F2A" w14:textId="77777777" w:rsidR="007959C9" w:rsidRPr="00AA18FA" w:rsidRDefault="007959C9" w:rsidP="007959C9">
      <w:pPr>
        <w:pStyle w:val="Heading1"/>
        <w:ind w:left="720"/>
        <w:rPr>
          <w:b w:val="0"/>
          <w:bCs w:val="0"/>
          <w:sz w:val="24"/>
          <w:szCs w:val="24"/>
        </w:rPr>
      </w:pPr>
      <w:r w:rsidRPr="00C35467">
        <w:rPr>
          <w:b w:val="0"/>
          <w:bCs w:val="0"/>
          <w:sz w:val="24"/>
          <w:szCs w:val="24"/>
        </w:rPr>
        <w:t>Note</w:t>
      </w:r>
      <w:r>
        <w:rPr>
          <w:b w:val="0"/>
          <w:bCs w:val="0"/>
          <w:sz w:val="24"/>
          <w:szCs w:val="24"/>
        </w:rPr>
        <w:t xml:space="preserve">: </w:t>
      </w:r>
      <w:r w:rsidRPr="00AA18FA">
        <w:rPr>
          <w:rStyle w:val="markedcontent"/>
          <w:rFonts w:eastAsiaTheme="majorEastAsia"/>
          <w:b w:val="0"/>
          <w:bCs w:val="0"/>
          <w:sz w:val="24"/>
          <w:szCs w:val="24"/>
        </w:rPr>
        <w:t>Jan. 20, 2023: “</w:t>
      </w:r>
      <w:r w:rsidRPr="00AA18FA">
        <w:rPr>
          <w:b w:val="0"/>
          <w:bCs w:val="0"/>
          <w:sz w:val="24"/>
          <w:szCs w:val="24"/>
        </w:rPr>
        <w:t xml:space="preserve">Columbus gun laws dodge block on enforcement, going into effect soon.” </w:t>
      </w:r>
      <w:hyperlink r:id="rId749" w:history="1">
        <w:r w:rsidRPr="00AA18FA">
          <w:rPr>
            <w:rStyle w:val="Hyperlink"/>
            <w:sz w:val="24"/>
            <w:szCs w:val="24"/>
          </w:rPr>
          <w:t>https://www.nbc4i.com/news/local-news/columbus/columbus-gun-laws-dodge-block-on-enforcement-going-into-effect-soon/</w:t>
        </w:r>
      </w:hyperlink>
      <w:r w:rsidRPr="00AA18FA">
        <w:rPr>
          <w:b w:val="0"/>
          <w:bCs w:val="0"/>
          <w:sz w:val="24"/>
          <w:szCs w:val="24"/>
        </w:rPr>
        <w:t xml:space="preserve"> .“A Fairfield County judge on Friday opened an opportunity for the City of Columbus to enforce its recently passed gun limitations that have been embattled by a lawsuit.”</w:t>
      </w:r>
    </w:p>
    <w:p w14:paraId="68AD0446" w14:textId="77777777" w:rsidR="007959C9" w:rsidRPr="00AA18FA" w:rsidRDefault="007959C9" w:rsidP="007959C9">
      <w:pPr>
        <w:pStyle w:val="Heading1"/>
        <w:ind w:left="720"/>
        <w:rPr>
          <w:b w:val="0"/>
          <w:bCs w:val="0"/>
          <w:sz w:val="24"/>
          <w:szCs w:val="24"/>
        </w:rPr>
      </w:pPr>
      <w:r w:rsidRPr="00AA18FA">
        <w:rPr>
          <w:b w:val="0"/>
          <w:bCs w:val="0"/>
          <w:sz w:val="24"/>
          <w:szCs w:val="24"/>
        </w:rPr>
        <w:t xml:space="preserve">See also: Jan. 20, 2023 - Remarks by Deputy Attorney General of United States, Lisa O. Monaco, at the ATF Academy Graduation, </w:t>
      </w:r>
      <w:proofErr w:type="spellStart"/>
      <w:r w:rsidRPr="00AA18FA">
        <w:rPr>
          <w:b w:val="0"/>
          <w:bCs w:val="0"/>
          <w:sz w:val="24"/>
          <w:szCs w:val="24"/>
        </w:rPr>
        <w:t>Glynco</w:t>
      </w:r>
      <w:proofErr w:type="spellEnd"/>
      <w:r w:rsidRPr="00AA18FA">
        <w:rPr>
          <w:b w:val="0"/>
          <w:bCs w:val="0"/>
          <w:sz w:val="24"/>
          <w:szCs w:val="24"/>
        </w:rPr>
        <w:t xml:space="preserve">, GA. </w:t>
      </w:r>
      <w:hyperlink r:id="rId750" w:history="1">
        <w:r w:rsidRPr="00AA18FA">
          <w:rPr>
            <w:rStyle w:val="Hyperlink"/>
            <w:sz w:val="24"/>
            <w:szCs w:val="24"/>
          </w:rPr>
          <w:t>https://www.justice.gov/opa/speech/deputy-attorney-general-lisa-o-monaco-delivers-remarks-atf-academy-graduation</w:t>
        </w:r>
      </w:hyperlink>
      <w:r w:rsidRPr="00AA18FA">
        <w:rPr>
          <w:b w:val="0"/>
          <w:bCs w:val="0"/>
          <w:sz w:val="24"/>
          <w:szCs w:val="24"/>
        </w:rPr>
        <w:t xml:space="preserve"> </w:t>
      </w:r>
    </w:p>
    <w:p w14:paraId="5089DF59" w14:textId="77777777" w:rsidR="007959C9" w:rsidRDefault="007959C9" w:rsidP="007959C9">
      <w:pPr>
        <w:pStyle w:val="NormalWeb"/>
        <w:ind w:left="1440"/>
        <w:rPr>
          <w:rStyle w:val="markedcontent"/>
          <w:rFonts w:eastAsiaTheme="majorEastAsia"/>
        </w:rPr>
      </w:pPr>
      <w:r>
        <w:t xml:space="preserve">“Just last week, ATF took an important step to enhance public safety when it issued the Stabilizing Brace Rule. This is a rule that ensures all short-barreled rifles, including those created when a qualifying brace is added to a pistol, are subject to applicable law. The rule makes clear that short-barreled rifles must be registered and subject to a background check before any </w:t>
      </w:r>
      <w:proofErr w:type="gramStart"/>
      <w:r>
        <w:t>transfer</w:t>
      </w:r>
      <w:proofErr w:type="gramEnd"/>
      <w:r>
        <w:t xml:space="preserve"> so they don’t end up in the hands of prohibited </w:t>
      </w:r>
      <w:proofErr w:type="gramStart"/>
      <w:r>
        <w:t>persons</w:t>
      </w:r>
      <w:proofErr w:type="gramEnd"/>
      <w:r>
        <w:t>. This rule is about safety. In recent years, mass shootings in Dayton, Ohio, and Boulder, Colorado, were carried out with firearms outfitted with stabilizing braces.”</w:t>
      </w:r>
    </w:p>
    <w:p w14:paraId="544A4514" w14:textId="77777777" w:rsidR="007959C9" w:rsidRDefault="007959C9" w:rsidP="007959C9">
      <w:pPr>
        <w:pStyle w:val="NormalWeb"/>
        <w:jc w:val="center"/>
        <w:rPr>
          <w:b/>
          <w:bCs/>
        </w:rPr>
      </w:pPr>
    </w:p>
    <w:p w14:paraId="76857B53" w14:textId="77777777" w:rsidR="007959C9" w:rsidRDefault="007959C9" w:rsidP="00F326E5">
      <w:pPr>
        <w:pStyle w:val="NoSpacing"/>
        <w:rPr>
          <w:rFonts w:ascii="Arial Black" w:hAnsi="Arial Black"/>
          <w:sz w:val="28"/>
          <w:szCs w:val="28"/>
        </w:rPr>
      </w:pPr>
    </w:p>
    <w:p w14:paraId="09A1CB44" w14:textId="328C8C71" w:rsidR="006C79BE" w:rsidRDefault="006C79BE" w:rsidP="00F326E5">
      <w:pPr>
        <w:pStyle w:val="NoSpacing"/>
        <w:rPr>
          <w:rFonts w:ascii="Arial Black" w:hAnsi="Arial Black"/>
          <w:sz w:val="28"/>
          <w:szCs w:val="28"/>
        </w:rPr>
      </w:pPr>
      <w:r>
        <w:rPr>
          <w:rFonts w:ascii="Arial Black" w:hAnsi="Arial Black"/>
          <w:sz w:val="28"/>
          <w:szCs w:val="28"/>
        </w:rPr>
        <w:t>3-47</w:t>
      </w:r>
    </w:p>
    <w:p w14:paraId="5833C98F" w14:textId="55C85A46" w:rsidR="006C79BE" w:rsidRDefault="006C79BE" w:rsidP="00F326E5">
      <w:pPr>
        <w:pStyle w:val="NoSpacing"/>
        <w:rPr>
          <w:rFonts w:ascii="Arial Black" w:hAnsi="Arial Black"/>
          <w:sz w:val="28"/>
          <w:szCs w:val="28"/>
        </w:rPr>
      </w:pPr>
    </w:p>
    <w:p w14:paraId="7AD973B8" w14:textId="77777777" w:rsidR="006C79BE" w:rsidRPr="00536BE5" w:rsidRDefault="006C79BE" w:rsidP="006C79BE">
      <w:pPr>
        <w:pStyle w:val="NormalWeb"/>
        <w:rPr>
          <w:rFonts w:ascii="Arial Black" w:hAnsi="Arial Black"/>
          <w:b/>
          <w:bCs/>
          <w:sz w:val="28"/>
          <w:szCs w:val="28"/>
        </w:rPr>
      </w:pPr>
      <w:r>
        <w:rPr>
          <w:rFonts w:ascii="Arial Black" w:hAnsi="Arial Black"/>
          <w:b/>
          <w:bCs/>
          <w:sz w:val="28"/>
          <w:szCs w:val="28"/>
        </w:rPr>
        <w:t>U.S. SUP. CT: TITLE 42 PUBLIC HEALTH ORDER REMAIN – IMMIGRANTS SENT BACK - FEB. 2023 ORAL ARGUMENT</w:t>
      </w:r>
    </w:p>
    <w:p w14:paraId="033960DE" w14:textId="77777777" w:rsidR="006C79BE" w:rsidRDefault="006C79BE" w:rsidP="006C79BE">
      <w:pPr>
        <w:pStyle w:val="NormalWeb"/>
        <w:rPr>
          <w:rStyle w:val="markedcontent"/>
        </w:rPr>
      </w:pPr>
      <w:r>
        <w:rPr>
          <w:rStyle w:val="markedcontent"/>
        </w:rPr>
        <w:t xml:space="preserve">On Dec. 27, 2022, in </w:t>
      </w:r>
      <w:r w:rsidRPr="00CE3E6C">
        <w:rPr>
          <w:rStyle w:val="markedcontent"/>
          <w:u w:val="single"/>
        </w:rPr>
        <w:t>Arizona, et al. v. Alejandro Mayorkas, Secretary of Homeland Security</w:t>
      </w:r>
      <w:r>
        <w:rPr>
          <w:rStyle w:val="markedcontent"/>
        </w:rPr>
        <w:t xml:space="preserve">, the Court held (5 to 4) that the Title 42 public health order issued in March 2020 by U.S. Department under President Trump will temporarily remain in place until oral arguments in </w:t>
      </w:r>
      <w:proofErr w:type="gramStart"/>
      <w:r>
        <w:rPr>
          <w:rStyle w:val="markedcontent"/>
        </w:rPr>
        <w:t>February,</w:t>
      </w:r>
      <w:proofErr w:type="gramEnd"/>
      <w:r>
        <w:rPr>
          <w:rStyle w:val="markedcontent"/>
        </w:rPr>
        <w:t xml:space="preserve"> 2023 and full Court decision thereafter.  The Court stayed the Nov. 22, </w:t>
      </w:r>
      <w:proofErr w:type="gramStart"/>
      <w:r>
        <w:rPr>
          <w:rStyle w:val="markedcontent"/>
        </w:rPr>
        <w:t>2022</w:t>
      </w:r>
      <w:proofErr w:type="gramEnd"/>
      <w:r>
        <w:rPr>
          <w:rStyle w:val="markedcontent"/>
        </w:rPr>
        <w:t xml:space="preserve"> decision by U.S. District Court Judge Emmet G. Sullivan, District of Columbia, who ruled that the 2020 public health order (issued under 1893 Federal public health statute) cannot be enforced since it did not consider vaccinations as restrictive measure to protect the public from COVID-19.  Five conservative Supreme Court Justices granted the stay sought by 19 states, including Arizona and Texas.  Therefore, currently migrants can continue to be returned to Mexico or their home nation.  To date the 2020 public health order has been used to expel more than 2 million migrants.  </w:t>
      </w:r>
    </w:p>
    <w:p w14:paraId="4B45E469" w14:textId="77777777" w:rsidR="006C79BE" w:rsidRPr="001D6C7D" w:rsidRDefault="006C79BE" w:rsidP="006C79BE">
      <w:pPr>
        <w:pStyle w:val="NormalWeb"/>
        <w:ind w:left="720"/>
        <w:rPr>
          <w:rStyle w:val="markedcontent"/>
        </w:rPr>
      </w:pPr>
      <w:r w:rsidRPr="001D6C7D">
        <w:rPr>
          <w:rStyle w:val="markedcontent"/>
        </w:rPr>
        <w:t xml:space="preserve">“This stay precludes giving effect to the District Court order setting aside and vacating the Title 42 policy; the stay itself does not prevent the federal government from taking any action with respect to that policy.” </w:t>
      </w:r>
      <w:hyperlink r:id="rId751" w:history="1">
        <w:r w:rsidRPr="001D6C7D">
          <w:rPr>
            <w:rStyle w:val="Hyperlink"/>
            <w:rFonts w:eastAsiaTheme="majorEastAsia"/>
          </w:rPr>
          <w:t>https://www.supremecourt.gov/opinions/22pdf/22a544_n758.pdf</w:t>
        </w:r>
      </w:hyperlink>
      <w:r w:rsidRPr="001D6C7D">
        <w:rPr>
          <w:rStyle w:val="markedcontent"/>
        </w:rPr>
        <w:t xml:space="preserve"> </w:t>
      </w:r>
    </w:p>
    <w:p w14:paraId="53588017" w14:textId="77777777" w:rsidR="006C79BE" w:rsidRDefault="006C79BE" w:rsidP="006C79BE">
      <w:pPr>
        <w:pStyle w:val="NormalWeb"/>
        <w:rPr>
          <w:rStyle w:val="markedcontent"/>
        </w:rPr>
      </w:pPr>
      <w:r>
        <w:rPr>
          <w:rStyle w:val="markedcontent"/>
        </w:rPr>
        <w:t xml:space="preserve">Three liberal justices, plus Justice Neil Gorsuch (nominated by President Trump) dissented.  Justice Gorsuch wrote: </w:t>
      </w:r>
    </w:p>
    <w:p w14:paraId="0536CB13" w14:textId="77777777" w:rsidR="006C79BE" w:rsidRPr="004901C1" w:rsidRDefault="006C79BE" w:rsidP="006C79BE">
      <w:pPr>
        <w:pStyle w:val="NormalWeb"/>
        <w:ind w:left="720"/>
        <w:rPr>
          <w:rStyle w:val="markedcontent"/>
        </w:rPr>
      </w:pPr>
      <w:r w:rsidRPr="004901C1">
        <w:rPr>
          <w:rStyle w:val="markedcontent"/>
        </w:rPr>
        <w:t>“But the current border crisis is not a COVID crisis. And courts should not be in the business of perpetuating administrative edicts designed for one emergency only because elected officials have failed to address a different emergency. We are a court of law, not policymakers of last resort.”</w:t>
      </w:r>
    </w:p>
    <w:p w14:paraId="22194DC7" w14:textId="77777777" w:rsidR="006C79BE" w:rsidRPr="001D6C7D" w:rsidRDefault="006C79BE" w:rsidP="006C79BE">
      <w:pPr>
        <w:pStyle w:val="NormalWeb"/>
        <w:rPr>
          <w:rStyle w:val="markedcontent"/>
          <w:b/>
          <w:bCs/>
        </w:rPr>
      </w:pPr>
      <w:r w:rsidRPr="001D6C7D">
        <w:rPr>
          <w:rStyle w:val="markedcontent"/>
          <w:b/>
          <w:bCs/>
        </w:rPr>
        <w:t>Legal lesson learned: The border crisis demands reform of our immigration laws.</w:t>
      </w:r>
    </w:p>
    <w:tbl>
      <w:tblPr>
        <w:tblW w:w="5000" w:type="pct"/>
        <w:jc w:val="center"/>
        <w:shd w:val="clear" w:color="auto" w:fill="FFFFFF"/>
        <w:tblCellMar>
          <w:left w:w="0" w:type="dxa"/>
          <w:right w:w="0" w:type="dxa"/>
        </w:tblCellMar>
        <w:tblLook w:val="04A0" w:firstRow="1" w:lastRow="0" w:firstColumn="1" w:lastColumn="0" w:noHBand="0" w:noVBand="1"/>
      </w:tblPr>
      <w:tblGrid>
        <w:gridCol w:w="10800"/>
      </w:tblGrid>
      <w:tr w:rsidR="006C79BE" w14:paraId="6BD856CF" w14:textId="77777777" w:rsidTr="006901FD">
        <w:trPr>
          <w:jc w:val="center"/>
        </w:trPr>
        <w:tc>
          <w:tcPr>
            <w:tcW w:w="5000" w:type="pct"/>
            <w:shd w:val="clear" w:color="auto" w:fill="FFFFFF"/>
            <w:tcMar>
              <w:top w:w="75" w:type="dxa"/>
              <w:left w:w="75" w:type="dxa"/>
              <w:bottom w:w="0" w:type="dxa"/>
              <w:right w:w="75" w:type="dxa"/>
            </w:tcMar>
            <w:vAlign w:val="center"/>
          </w:tcPr>
          <w:p w14:paraId="3FC995C6" w14:textId="77777777" w:rsidR="006C79BE" w:rsidRDefault="006C79BE" w:rsidP="006901FD">
            <w:pPr>
              <w:pStyle w:val="paragraph"/>
              <w:spacing w:before="0" w:beforeAutospacing="0" w:after="0" w:afterAutospacing="0"/>
              <w:ind w:left="720"/>
              <w:textAlignment w:val="baseline"/>
              <w:rPr>
                <w:rFonts w:ascii="Book Antiqua" w:hAnsi="Book Antiqua"/>
                <w:color w:val="000000"/>
                <w:sz w:val="23"/>
                <w:szCs w:val="23"/>
              </w:rPr>
            </w:pPr>
            <w:r w:rsidRPr="001D6C7D">
              <w:rPr>
                <w:rStyle w:val="markedcontent"/>
              </w:rPr>
              <w:t>Note:  U.S. Department of Homeland Security issued following Press Release</w:t>
            </w:r>
            <w:r>
              <w:rPr>
                <w:rStyle w:val="markedcontent"/>
              </w:rPr>
              <w:t xml:space="preserve">: </w:t>
            </w:r>
            <w:r>
              <w:rPr>
                <w:rStyle w:val="normaltextrun"/>
                <w:color w:val="000000"/>
              </w:rPr>
              <w:t>“As required by today’s Supreme Court order, the Title 42 public health order will remain in effect and individuals who attempt to enter the United States unlawfully will continue to be expelled to Mexico</w:t>
            </w:r>
            <w:r>
              <w:rPr>
                <w:color w:val="000000"/>
              </w:rPr>
              <w:t xml:space="preserve"> or their home country.  </w:t>
            </w:r>
            <w:r>
              <w:rPr>
                <w:rStyle w:val="normaltextrun"/>
                <w:color w:val="000000"/>
              </w:rPr>
              <w:t>People should not listen to the lies of smugglers who take advantage of vulnerable migrants, putting lives at risk. The border is not open, and we will continue to fully enforce our immigration laws. </w:t>
            </w:r>
            <w:r>
              <w:rPr>
                <w:rStyle w:val="normaltextrun"/>
              </w:rPr>
              <w:t> </w:t>
            </w:r>
            <w:r>
              <w:rPr>
                <w:color w:val="000000"/>
              </w:rPr>
              <w:t> </w:t>
            </w:r>
          </w:p>
          <w:p w14:paraId="33839589" w14:textId="77777777" w:rsidR="006C79BE" w:rsidRDefault="006C79BE" w:rsidP="006901FD">
            <w:pPr>
              <w:pStyle w:val="paragraph"/>
              <w:spacing w:before="0" w:beforeAutospacing="0" w:after="0" w:afterAutospacing="0"/>
              <w:ind w:left="720"/>
              <w:textAlignment w:val="baseline"/>
              <w:rPr>
                <w:rFonts w:ascii="Book Antiqua" w:hAnsi="Book Antiqua"/>
                <w:color w:val="000000"/>
                <w:sz w:val="23"/>
                <w:szCs w:val="23"/>
              </w:rPr>
            </w:pPr>
            <w:r>
              <w:rPr>
                <w:rStyle w:val="normaltextrun"/>
                <w:color w:val="000000"/>
              </w:rPr>
              <w:t xml:space="preserve">We will continue to manage the border, but we do so within the constraints of a decades-old immigration system that everyone agrees is broken. We need Congress to pass the comprehensive immigration reform legislation President Biden proposed the day he took office.” </w:t>
            </w:r>
            <w:hyperlink r:id="rId752" w:history="1">
              <w:r w:rsidRPr="008B2F4A">
                <w:rPr>
                  <w:rStyle w:val="Hyperlink"/>
                  <w:rFonts w:ascii="Book Antiqua" w:eastAsiaTheme="majorEastAsia" w:hAnsi="Book Antiqua"/>
                  <w:sz w:val="23"/>
                  <w:szCs w:val="23"/>
                </w:rPr>
                <w:t>departmentofhomelandsecurity@messages.dhs.gov</w:t>
              </w:r>
            </w:hyperlink>
          </w:p>
          <w:p w14:paraId="5A0C82FB" w14:textId="77777777" w:rsidR="006C79BE" w:rsidRDefault="006C79BE" w:rsidP="006901FD">
            <w:pPr>
              <w:ind w:left="720"/>
              <w:rPr>
                <w:rFonts w:ascii="Times New Roman" w:eastAsia="Times New Roman" w:hAnsi="Times New Roman"/>
                <w:sz w:val="24"/>
                <w:szCs w:val="24"/>
              </w:rPr>
            </w:pPr>
          </w:p>
          <w:p w14:paraId="2D09CBB3" w14:textId="77777777" w:rsidR="006C79BE" w:rsidRPr="008550EA" w:rsidRDefault="006C79BE" w:rsidP="006901FD">
            <w:pPr>
              <w:ind w:left="720"/>
              <w:rPr>
                <w:rFonts w:ascii="Times New Roman" w:eastAsia="Times New Roman" w:hAnsi="Times New Roman"/>
                <w:sz w:val="24"/>
                <w:szCs w:val="24"/>
              </w:rPr>
            </w:pPr>
            <w:r w:rsidRPr="00557022">
              <w:rPr>
                <w:rStyle w:val="markedcontent"/>
                <w:rFonts w:ascii="Times New Roman" w:hAnsi="Times New Roman"/>
                <w:sz w:val="24"/>
                <w:szCs w:val="24"/>
              </w:rPr>
              <w:t xml:space="preserve">Read the Nov. 22, </w:t>
            </w:r>
            <w:proofErr w:type="gramStart"/>
            <w:r w:rsidRPr="00557022">
              <w:rPr>
                <w:rStyle w:val="markedcontent"/>
                <w:rFonts w:ascii="Times New Roman" w:hAnsi="Times New Roman"/>
                <w:sz w:val="24"/>
                <w:szCs w:val="24"/>
              </w:rPr>
              <w:t>2022</w:t>
            </w:r>
            <w:proofErr w:type="gramEnd"/>
            <w:r w:rsidRPr="00557022">
              <w:rPr>
                <w:rStyle w:val="markedcontent"/>
                <w:rFonts w:ascii="Times New Roman" w:hAnsi="Times New Roman"/>
                <w:sz w:val="24"/>
                <w:szCs w:val="24"/>
              </w:rPr>
              <w:t xml:space="preserve"> decision by U.S. District Court Judge Emmet G. Sullivan, District of Columbia, who ruled Title 42 order was illegal and cannot be enforced.  </w:t>
            </w:r>
            <w:hyperlink r:id="rId753" w:history="1">
              <w:r w:rsidRPr="00557022">
                <w:rPr>
                  <w:rStyle w:val="Hyperlink"/>
                  <w:rFonts w:ascii="Times New Roman" w:hAnsi="Times New Roman"/>
                  <w:sz w:val="24"/>
                  <w:szCs w:val="24"/>
                </w:rPr>
                <w:t>https://ecf.dcd.uscourts.gov/cgi-bin/show_public_doc?2021cv0100-165</w:t>
              </w:r>
            </w:hyperlink>
            <w:r>
              <w:rPr>
                <w:rStyle w:val="markedcontent"/>
              </w:rPr>
              <w:t xml:space="preserve">. </w:t>
            </w:r>
            <w:r w:rsidRPr="008550EA">
              <w:rPr>
                <w:rStyle w:val="markedcontent"/>
                <w:rFonts w:ascii="Times New Roman" w:hAnsi="Times New Roman"/>
                <w:sz w:val="24"/>
                <w:szCs w:val="24"/>
              </w:rPr>
              <w:t>“The Court concludes that CDC failed to appropriately</w:t>
            </w:r>
            <w:r>
              <w:rPr>
                <w:rStyle w:val="markedcontent"/>
                <w:rFonts w:ascii="Times New Roman" w:hAnsi="Times New Roman"/>
                <w:sz w:val="24"/>
                <w:szCs w:val="24"/>
              </w:rPr>
              <w:t xml:space="preserve"> </w:t>
            </w:r>
            <w:r w:rsidRPr="008550EA">
              <w:rPr>
                <w:rStyle w:val="markedcontent"/>
                <w:rFonts w:ascii="Times New Roman" w:hAnsi="Times New Roman"/>
                <w:sz w:val="24"/>
                <w:szCs w:val="24"/>
              </w:rPr>
              <w:t>consider the availability of effective therapeutics that</w:t>
            </w:r>
            <w:r>
              <w:rPr>
                <w:rStyle w:val="markedcontent"/>
                <w:rFonts w:ascii="Times New Roman" w:hAnsi="Times New Roman"/>
                <w:sz w:val="24"/>
                <w:szCs w:val="24"/>
              </w:rPr>
              <w:t xml:space="preserve"> </w:t>
            </w:r>
            <w:r w:rsidRPr="008550EA">
              <w:rPr>
                <w:rStyle w:val="markedcontent"/>
                <w:rFonts w:ascii="Times New Roman" w:hAnsi="Times New Roman"/>
                <w:sz w:val="24"/>
                <w:szCs w:val="24"/>
              </w:rPr>
              <w:t>‘reduce[d] the risk of hospitalization’ by approximately 70</w:t>
            </w:r>
            <w:r w:rsidRPr="008550EA">
              <w:rPr>
                <w:rFonts w:ascii="Times New Roman" w:hAnsi="Times New Roman"/>
                <w:sz w:val="24"/>
                <w:szCs w:val="24"/>
              </w:rPr>
              <w:br/>
            </w:r>
            <w:r w:rsidRPr="008550EA">
              <w:rPr>
                <w:rStyle w:val="markedcontent"/>
                <w:rFonts w:ascii="Times New Roman" w:hAnsi="Times New Roman"/>
                <w:sz w:val="24"/>
                <w:szCs w:val="24"/>
              </w:rPr>
              <w:t>percent in its August 2021 Order.”</w:t>
            </w:r>
          </w:p>
        </w:tc>
      </w:tr>
    </w:tbl>
    <w:p w14:paraId="023C1BC8" w14:textId="77777777" w:rsidR="006C79BE" w:rsidRDefault="006C79BE" w:rsidP="00F326E5">
      <w:pPr>
        <w:pStyle w:val="NoSpacing"/>
        <w:rPr>
          <w:rFonts w:ascii="Arial Black" w:hAnsi="Arial Black"/>
          <w:sz w:val="28"/>
          <w:szCs w:val="28"/>
        </w:rPr>
      </w:pPr>
    </w:p>
    <w:p w14:paraId="4E7A8086" w14:textId="77777777" w:rsidR="006C79BE" w:rsidRDefault="006C79BE" w:rsidP="00F326E5">
      <w:pPr>
        <w:pStyle w:val="NoSpacing"/>
        <w:rPr>
          <w:rFonts w:ascii="Arial Black" w:hAnsi="Arial Black"/>
          <w:sz w:val="28"/>
          <w:szCs w:val="28"/>
        </w:rPr>
      </w:pPr>
    </w:p>
    <w:p w14:paraId="3FCD6B31" w14:textId="1EFF9818" w:rsidR="00AE32D3" w:rsidRDefault="00AE32D3" w:rsidP="00F326E5">
      <w:pPr>
        <w:pStyle w:val="NoSpacing"/>
        <w:rPr>
          <w:rFonts w:ascii="Arial Black" w:hAnsi="Arial Black"/>
          <w:sz w:val="28"/>
          <w:szCs w:val="28"/>
        </w:rPr>
      </w:pPr>
      <w:r>
        <w:rPr>
          <w:rFonts w:ascii="Arial Black" w:hAnsi="Arial Black"/>
          <w:sz w:val="28"/>
          <w:szCs w:val="28"/>
        </w:rPr>
        <w:t>3-46</w:t>
      </w:r>
    </w:p>
    <w:p w14:paraId="1A1A31C2" w14:textId="79F3AFF2" w:rsidR="00AE32D3" w:rsidRDefault="00AE32D3" w:rsidP="00F326E5">
      <w:pPr>
        <w:pStyle w:val="NoSpacing"/>
        <w:rPr>
          <w:rFonts w:ascii="Arial Black" w:hAnsi="Arial Black"/>
          <w:sz w:val="28"/>
          <w:szCs w:val="28"/>
        </w:rPr>
      </w:pPr>
    </w:p>
    <w:p w14:paraId="060F2638" w14:textId="77777777" w:rsidR="00AE32D3" w:rsidRPr="00B1155B" w:rsidRDefault="00AE32D3" w:rsidP="00AE32D3">
      <w:pPr>
        <w:pStyle w:val="NoSpacing"/>
        <w:rPr>
          <w:rFonts w:ascii="Arial Black" w:hAnsi="Arial Black"/>
          <w:sz w:val="28"/>
          <w:szCs w:val="28"/>
        </w:rPr>
      </w:pPr>
      <w:r>
        <w:rPr>
          <w:rFonts w:ascii="Arial Black" w:hAnsi="Arial Black"/>
          <w:sz w:val="28"/>
          <w:szCs w:val="28"/>
        </w:rPr>
        <w:t>GA:  11</w:t>
      </w:r>
      <w:r w:rsidRPr="00B1155B">
        <w:rPr>
          <w:rFonts w:ascii="Arial Black" w:hAnsi="Arial Black"/>
          <w:sz w:val="28"/>
          <w:szCs w:val="28"/>
          <w:vertAlign w:val="superscript"/>
        </w:rPr>
        <w:t>th</w:t>
      </w:r>
      <w:r>
        <w:rPr>
          <w:rFonts w:ascii="Arial Black" w:hAnsi="Arial Black"/>
          <w:sz w:val="28"/>
          <w:szCs w:val="28"/>
        </w:rPr>
        <w:t xml:space="preserve"> CIR. – FBI SEIZED DOCS. PRES. TRUMP’S MAR-A-LARGO SEARCH WARRANT – “SPECIAL MASTER” SET ASIDE</w:t>
      </w:r>
    </w:p>
    <w:p w14:paraId="0E39D8B6" w14:textId="77777777" w:rsidR="00AE32D3" w:rsidRDefault="00AE32D3" w:rsidP="00AE32D3">
      <w:pPr>
        <w:pStyle w:val="NoSpacing"/>
        <w:rPr>
          <w:rFonts w:ascii="Times New Roman" w:hAnsi="Times New Roman"/>
          <w:sz w:val="24"/>
          <w:szCs w:val="24"/>
        </w:rPr>
      </w:pPr>
    </w:p>
    <w:p w14:paraId="5C3B7197" w14:textId="77777777" w:rsidR="00AE32D3" w:rsidRDefault="00AE32D3" w:rsidP="00AE32D3">
      <w:pPr>
        <w:pStyle w:val="NoSpacing"/>
        <w:rPr>
          <w:rFonts w:ascii="Times New Roman" w:hAnsi="Times New Roman"/>
          <w:sz w:val="24"/>
          <w:szCs w:val="24"/>
        </w:rPr>
      </w:pPr>
      <w:r>
        <w:rPr>
          <w:rFonts w:ascii="Times New Roman" w:hAnsi="Times New Roman"/>
          <w:sz w:val="24"/>
          <w:szCs w:val="24"/>
        </w:rPr>
        <w:t xml:space="preserve">On Dec. 1, 2022, in </w:t>
      </w:r>
      <w:r w:rsidRPr="00B1155B">
        <w:rPr>
          <w:rFonts w:ascii="Times New Roman" w:hAnsi="Times New Roman"/>
          <w:sz w:val="24"/>
          <w:szCs w:val="24"/>
          <w:u w:val="single"/>
        </w:rPr>
        <w:t>Donald J. Trump v. United States of America</w:t>
      </w:r>
      <w:r>
        <w:rPr>
          <w:rFonts w:ascii="Times New Roman" w:hAnsi="Times New Roman"/>
          <w:sz w:val="24"/>
          <w:szCs w:val="24"/>
        </w:rPr>
        <w:t>, the U.S. Court of Appeals for the 11</w:t>
      </w:r>
      <w:r w:rsidRPr="00B1155B">
        <w:rPr>
          <w:rFonts w:ascii="Times New Roman" w:hAnsi="Times New Roman"/>
          <w:sz w:val="24"/>
          <w:szCs w:val="24"/>
          <w:vertAlign w:val="superscript"/>
        </w:rPr>
        <w:t>th</w:t>
      </w:r>
      <w:r>
        <w:rPr>
          <w:rFonts w:ascii="Times New Roman" w:hAnsi="Times New Roman"/>
          <w:sz w:val="24"/>
          <w:szCs w:val="24"/>
        </w:rPr>
        <w:t xml:space="preserve"> Circuit (Atlanta) held (3 to 0) that U.S. District Court Judge Aileen M. Cannon of Florida had no authority to appoint Judge Raymond J. Dearie of Brooklyn (retired) as a special master to review the documents seized by FBI pursuant to a search warrant by a U.S. Magistrate Judge. President Trump’s arguments are “a sideshow.”</w:t>
      </w:r>
    </w:p>
    <w:p w14:paraId="6F81A5E3" w14:textId="77777777" w:rsidR="00AE32D3" w:rsidRDefault="00AE32D3" w:rsidP="00AE32D3">
      <w:pPr>
        <w:pStyle w:val="NoSpacing"/>
        <w:rPr>
          <w:rFonts w:ascii="Times New Roman" w:hAnsi="Times New Roman"/>
          <w:sz w:val="24"/>
          <w:szCs w:val="24"/>
        </w:rPr>
      </w:pPr>
    </w:p>
    <w:p w14:paraId="5BC5F537"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“This appeal requires us to consider whether the district court had jurisdiction to block the United States from using lawfully seized records in a criminal investigation. The answer is no.</w:t>
      </w:r>
    </w:p>
    <w:p w14:paraId="545D33A5" w14:textId="77777777" w:rsidR="00AE32D3" w:rsidRPr="00570272" w:rsidRDefault="00AE32D3" w:rsidP="00AE32D3">
      <w:pPr>
        <w:pStyle w:val="NoSpacing"/>
        <w:rPr>
          <w:rFonts w:ascii="Times New Roman" w:hAnsi="Times New Roman"/>
          <w:sz w:val="24"/>
          <w:szCs w:val="24"/>
        </w:rPr>
      </w:pPr>
    </w:p>
    <w:p w14:paraId="169313AA"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Former President Donald J. Trump brought a civil action seeking an injunction against the government after it executed a search warrant at his Mar-a-Lago residence. He argues that a court-mandated special master review process is necessary because the government's Privilege Review Team protocols were inadequate, because various seized documents are protected by executive or attorney-client privilege, because he could have declassified documents or designated them as personal rather than presidential records, and—if all that fails—because the government’s appeal was procedurally deficient. The government disagrees with each</w:t>
      </w:r>
      <w:r w:rsidRPr="00570272">
        <w:rPr>
          <w:rFonts w:ascii="Times New Roman" w:hAnsi="Times New Roman"/>
          <w:sz w:val="24"/>
          <w:szCs w:val="24"/>
        </w:rPr>
        <w:br/>
        <w:t>contention.</w:t>
      </w:r>
    </w:p>
    <w:p w14:paraId="2366289E" w14:textId="77777777" w:rsidR="00AE32D3" w:rsidRPr="00570272" w:rsidRDefault="00AE32D3" w:rsidP="00AE32D3">
      <w:pPr>
        <w:rPr>
          <w:rFonts w:ascii="Times New Roman" w:hAnsi="Times New Roman"/>
          <w:sz w:val="24"/>
          <w:szCs w:val="24"/>
        </w:rPr>
      </w:pPr>
    </w:p>
    <w:p w14:paraId="2130F04B" w14:textId="77777777" w:rsidR="00AE32D3" w:rsidRPr="00570272" w:rsidRDefault="00AE32D3" w:rsidP="00AE32D3">
      <w:pPr>
        <w:ind w:firstLine="720"/>
        <w:rPr>
          <w:rFonts w:ascii="Times New Roman" w:hAnsi="Times New Roman"/>
          <w:sz w:val="24"/>
          <w:szCs w:val="24"/>
        </w:rPr>
      </w:pPr>
      <w:r w:rsidRPr="00570272">
        <w:rPr>
          <w:rFonts w:ascii="Times New Roman" w:hAnsi="Times New Roman"/>
          <w:sz w:val="24"/>
          <w:szCs w:val="24"/>
        </w:rPr>
        <w:t>***</w:t>
      </w:r>
    </w:p>
    <w:p w14:paraId="6D7F3E3E"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In considering these arguments, we are faced with a choice: apply our usual test; drastically expand the availability of equitable jurisdiction for every subject of a search warrant; or carve out an unprecedented exception in our law for former presidents. We</w:t>
      </w:r>
      <w:r w:rsidRPr="00570272">
        <w:rPr>
          <w:rFonts w:ascii="Times New Roman" w:hAnsi="Times New Roman"/>
          <w:sz w:val="24"/>
          <w:szCs w:val="24"/>
        </w:rPr>
        <w:br/>
        <w:t xml:space="preserve">choose the first option. </w:t>
      </w:r>
      <w:proofErr w:type="gramStart"/>
      <w:r w:rsidRPr="00570272">
        <w:rPr>
          <w:rFonts w:ascii="Times New Roman" w:hAnsi="Times New Roman"/>
          <w:sz w:val="24"/>
          <w:szCs w:val="24"/>
        </w:rPr>
        <w:t>So</w:t>
      </w:r>
      <w:proofErr w:type="gramEnd"/>
      <w:r w:rsidRPr="00570272">
        <w:rPr>
          <w:rFonts w:ascii="Times New Roman" w:hAnsi="Times New Roman"/>
          <w:sz w:val="24"/>
          <w:szCs w:val="24"/>
        </w:rPr>
        <w:t xml:space="preserve"> the case must be dismissed.</w:t>
      </w:r>
    </w:p>
    <w:p w14:paraId="4583B7ED" w14:textId="77777777" w:rsidR="00AE32D3" w:rsidRPr="00570272" w:rsidRDefault="00AE32D3" w:rsidP="00AE32D3">
      <w:pPr>
        <w:pStyle w:val="NoSpacing"/>
        <w:ind w:left="720"/>
        <w:rPr>
          <w:rFonts w:ascii="Times New Roman" w:hAnsi="Times New Roman"/>
          <w:sz w:val="24"/>
          <w:szCs w:val="24"/>
        </w:rPr>
      </w:pPr>
    </w:p>
    <w:p w14:paraId="6933CC0C"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w:t>
      </w:r>
    </w:p>
    <w:p w14:paraId="0327D71C" w14:textId="77777777" w:rsidR="00AE32D3" w:rsidRPr="00570272" w:rsidRDefault="00AE32D3" w:rsidP="00AE32D3">
      <w:pPr>
        <w:pStyle w:val="NoSpacing"/>
        <w:ind w:firstLine="720"/>
        <w:rPr>
          <w:rFonts w:ascii="Times New Roman" w:hAnsi="Times New Roman"/>
          <w:sz w:val="24"/>
          <w:szCs w:val="24"/>
        </w:rPr>
      </w:pPr>
    </w:p>
    <w:p w14:paraId="2A73EC1E"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 xml:space="preserve">The magistrate judge decided that issue when approving the </w:t>
      </w:r>
      <w:proofErr w:type="gramStart"/>
      <w:r w:rsidRPr="00570272">
        <w:rPr>
          <w:rFonts w:ascii="Times New Roman" w:hAnsi="Times New Roman"/>
          <w:sz w:val="24"/>
          <w:szCs w:val="24"/>
        </w:rPr>
        <w:t>warrant</w:t>
      </w:r>
      <w:proofErr w:type="gramEnd"/>
      <w:r w:rsidRPr="00570272">
        <w:rPr>
          <w:rFonts w:ascii="Times New Roman" w:hAnsi="Times New Roman"/>
          <w:sz w:val="24"/>
          <w:szCs w:val="24"/>
        </w:rPr>
        <w:t>. To the extent that the categorization of these documents has legal relevance in future proceedings, the issue can be raised at that time… All these arguments are a sideshow.</w:t>
      </w:r>
    </w:p>
    <w:p w14:paraId="14B1DA44" w14:textId="6908E85D" w:rsidR="00AE32D3" w:rsidRDefault="00AE32D3" w:rsidP="00AE32D3">
      <w:pPr>
        <w:pStyle w:val="NoSpacing"/>
        <w:ind w:left="720"/>
        <w:rPr>
          <w:rFonts w:ascii="Arial Black" w:hAnsi="Arial Black"/>
          <w:sz w:val="28"/>
          <w:szCs w:val="28"/>
        </w:rPr>
      </w:pPr>
      <w:hyperlink r:id="rId754" w:history="1">
        <w:r w:rsidRPr="00E01337">
          <w:rPr>
            <w:rStyle w:val="Hyperlink"/>
            <w:rFonts w:ascii="Times New Roman" w:hAnsi="Times New Roman"/>
            <w:sz w:val="24"/>
            <w:szCs w:val="24"/>
          </w:rPr>
          <w:t>https://docs-cdn-prod.news-engineering.aws.wapo.pub/publish_document/5c87d9b8-631f-41c7-92e8-129f412d0e0f/published/5c87d9b8-631f-41c7-92e8-129f412d0e0f.pdf</w:t>
        </w:r>
      </w:hyperlink>
    </w:p>
    <w:p w14:paraId="053FFE4F" w14:textId="686110CB" w:rsidR="00AE32D3" w:rsidRDefault="00AE32D3" w:rsidP="00F326E5">
      <w:pPr>
        <w:pStyle w:val="NoSpacing"/>
        <w:rPr>
          <w:rFonts w:ascii="Arial Black" w:hAnsi="Arial Black"/>
          <w:sz w:val="28"/>
          <w:szCs w:val="28"/>
        </w:rPr>
      </w:pPr>
    </w:p>
    <w:p w14:paraId="6ECE34C1" w14:textId="77CAB75D" w:rsidR="00AE32D3" w:rsidRDefault="00AE32D3" w:rsidP="00F326E5">
      <w:pPr>
        <w:pStyle w:val="NoSpacing"/>
        <w:rPr>
          <w:rFonts w:ascii="Arial Black" w:hAnsi="Arial Black"/>
          <w:sz w:val="28"/>
          <w:szCs w:val="28"/>
        </w:rPr>
      </w:pPr>
      <w:r w:rsidRPr="00E664A5">
        <w:rPr>
          <w:rFonts w:ascii="Times New Roman" w:hAnsi="Times New Roman"/>
          <w:b/>
          <w:bCs/>
          <w:sz w:val="24"/>
          <w:szCs w:val="24"/>
        </w:rPr>
        <w:t>Legal Lesson Learned:</w:t>
      </w:r>
      <w:r>
        <w:rPr>
          <w:rFonts w:ascii="Times New Roman" w:hAnsi="Times New Roman"/>
          <w:b/>
          <w:bCs/>
          <w:sz w:val="24"/>
          <w:szCs w:val="24"/>
        </w:rPr>
        <w:t xml:space="preserve"> Documents were seized pursuant to a search warrant issued with probably cause.  Nice to see the 11</w:t>
      </w:r>
      <w:r w:rsidRPr="008033B3">
        <w:rPr>
          <w:rFonts w:ascii="Times New Roman" w:hAnsi="Times New Roman"/>
          <w:b/>
          <w:bCs/>
          <w:sz w:val="24"/>
          <w:szCs w:val="24"/>
          <w:vertAlign w:val="superscript"/>
        </w:rPr>
        <w:t>th</w:t>
      </w:r>
      <w:r>
        <w:rPr>
          <w:rFonts w:ascii="Times New Roman" w:hAnsi="Times New Roman"/>
          <w:b/>
          <w:bCs/>
          <w:sz w:val="24"/>
          <w:szCs w:val="24"/>
        </w:rPr>
        <w:t xml:space="preserve"> Circuit stop the “sideshow.”</w:t>
      </w:r>
    </w:p>
    <w:p w14:paraId="7469C09B" w14:textId="77777777" w:rsidR="00AE32D3" w:rsidRDefault="00AE32D3" w:rsidP="00F326E5">
      <w:pPr>
        <w:pStyle w:val="NoSpacing"/>
        <w:rPr>
          <w:rFonts w:ascii="Arial Black" w:hAnsi="Arial Black"/>
          <w:sz w:val="28"/>
          <w:szCs w:val="28"/>
        </w:rPr>
      </w:pPr>
    </w:p>
    <w:p w14:paraId="7D799E7D" w14:textId="030BBD4C" w:rsidR="006D2C51" w:rsidRDefault="006D2C51" w:rsidP="00F326E5">
      <w:pPr>
        <w:pStyle w:val="NoSpacing"/>
        <w:rPr>
          <w:rFonts w:ascii="Arial Black" w:hAnsi="Arial Black"/>
          <w:sz w:val="28"/>
          <w:szCs w:val="28"/>
        </w:rPr>
      </w:pPr>
      <w:r>
        <w:rPr>
          <w:rFonts w:ascii="Arial Black" w:hAnsi="Arial Black"/>
          <w:sz w:val="28"/>
          <w:szCs w:val="28"/>
        </w:rPr>
        <w:t>3-45</w:t>
      </w:r>
    </w:p>
    <w:p w14:paraId="73FF36D1" w14:textId="77777777" w:rsidR="006D2C51" w:rsidRPr="00A4481C" w:rsidRDefault="006D2C51" w:rsidP="006D2C5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DC: DRONES – FAA REQUIRES DRONES TO ADMIT SIGNAL – “REMOTE ID” – NOT GOVT “WARRANTLESS SURVEILLANCE”</w:t>
      </w:r>
    </w:p>
    <w:p w14:paraId="20E6E198" w14:textId="77777777" w:rsidR="006D2C51" w:rsidRPr="00A4481C" w:rsidRDefault="006D2C51" w:rsidP="006D2C5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29, 2022, in </w:t>
      </w:r>
      <w:r w:rsidRPr="006C1D0D">
        <w:rPr>
          <w:rFonts w:ascii="Times New Roman" w:eastAsia="Times New Roman" w:hAnsi="Times New Roman"/>
          <w:sz w:val="24"/>
          <w:szCs w:val="24"/>
          <w:u w:val="single"/>
        </w:rPr>
        <w:t xml:space="preserve">Tyler Brennan and </w:t>
      </w:r>
      <w:proofErr w:type="spellStart"/>
      <w:r w:rsidRPr="006C1D0D">
        <w:rPr>
          <w:rFonts w:ascii="Times New Roman" w:eastAsia="Times New Roman" w:hAnsi="Times New Roman"/>
          <w:sz w:val="24"/>
          <w:szCs w:val="24"/>
          <w:u w:val="single"/>
        </w:rPr>
        <w:t>ReaceDayQuads</w:t>
      </w:r>
      <w:proofErr w:type="spellEnd"/>
      <w:r w:rsidRPr="006C1D0D">
        <w:rPr>
          <w:rFonts w:ascii="Times New Roman" w:eastAsia="Times New Roman" w:hAnsi="Times New Roman"/>
          <w:sz w:val="24"/>
          <w:szCs w:val="24"/>
          <w:u w:val="single"/>
        </w:rPr>
        <w:t xml:space="preserve"> LLC v. Stephen Dickson, Administrator and Federal Aviation Administration</w:t>
      </w:r>
      <w:r>
        <w:rPr>
          <w:rFonts w:ascii="Times New Roman" w:eastAsia="Times New Roman" w:hAnsi="Times New Roman"/>
          <w:sz w:val="24"/>
          <w:szCs w:val="24"/>
        </w:rPr>
        <w:t>, the U.S. Court of Appeals for the District of Columbia held (3 to 0) that FAA regulations are lawful. “</w:t>
      </w:r>
      <w:r w:rsidRPr="00A4481C">
        <w:rPr>
          <w:rFonts w:ascii="Times New Roman" w:eastAsia="Times New Roman" w:hAnsi="Times New Roman"/>
          <w:sz w:val="24"/>
          <w:szCs w:val="24"/>
        </w:rPr>
        <w:t xml:space="preserve">Petitioners Tyler Brennan, a drone user, and </w:t>
      </w:r>
      <w:proofErr w:type="spellStart"/>
      <w:r w:rsidRPr="00A4481C">
        <w:rPr>
          <w:rFonts w:ascii="Times New Roman" w:eastAsia="Times New Roman" w:hAnsi="Times New Roman"/>
          <w:sz w:val="24"/>
          <w:szCs w:val="24"/>
        </w:rPr>
        <w:t>RaceDayQuads</w:t>
      </w:r>
      <w:proofErr w:type="spellEnd"/>
      <w:r>
        <w:rPr>
          <w:rFonts w:ascii="Times New Roman" w:eastAsia="Times New Roman" w:hAnsi="Times New Roman"/>
          <w:sz w:val="24"/>
          <w:szCs w:val="24"/>
        </w:rPr>
        <w:t xml:space="preserve"> [</w:t>
      </w:r>
      <w:hyperlink r:id="rId755" w:history="1">
        <w:r w:rsidRPr="00272AA8">
          <w:rPr>
            <w:rStyle w:val="Hyperlink"/>
            <w:rFonts w:ascii="Times New Roman" w:eastAsia="Times New Roman" w:hAnsi="Times New Roman"/>
            <w:sz w:val="24"/>
            <w:szCs w:val="24"/>
          </w:rPr>
          <w:t>https://middlemarketgrowth.org/podcast-tyler-brennan-racedayquads/</w:t>
        </w:r>
      </w:hyperlink>
      <w:r>
        <w:rPr>
          <w:rFonts w:ascii="Times New Roman" w:eastAsia="Times New Roman" w:hAnsi="Times New Roman"/>
          <w:sz w:val="24"/>
          <w:szCs w:val="24"/>
        </w:rPr>
        <w:t xml:space="preserve"> ] </w:t>
      </w:r>
      <w:r w:rsidRPr="00A4481C">
        <w:rPr>
          <w:rFonts w:ascii="Times New Roman" w:eastAsia="Times New Roman" w:hAnsi="Times New Roman"/>
          <w:sz w:val="24"/>
          <w:szCs w:val="24"/>
        </w:rPr>
        <w:t>the drone retailer Brennan owns (referred to jointly as Brennan), want the Rule vacated</w:t>
      </w:r>
      <w:r>
        <w:rPr>
          <w:rFonts w:ascii="Times New Roman" w:eastAsia="Times New Roman" w:hAnsi="Times New Roman"/>
          <w:sz w:val="24"/>
          <w:szCs w:val="24"/>
        </w:rPr>
        <w:t xml:space="preserve">…. </w:t>
      </w:r>
      <w:r w:rsidRPr="00A4481C">
        <w:rPr>
          <w:rFonts w:ascii="Times New Roman" w:eastAsia="Times New Roman" w:hAnsi="Times New Roman"/>
          <w:sz w:val="24"/>
          <w:szCs w:val="24"/>
        </w:rPr>
        <w:t>Brennan asserts that the Rule's Remote ID requirement amounts to constant, warrantless governmental surveillance in violation of the Fourth Amendment.</w:t>
      </w:r>
      <w:r>
        <w:rPr>
          <w:rFonts w:ascii="Times New Roman" w:eastAsia="Times New Roman" w:hAnsi="Times New Roman"/>
          <w:sz w:val="24"/>
          <w:szCs w:val="24"/>
        </w:rPr>
        <w:t xml:space="preserve"> </w:t>
      </w:r>
      <w:r w:rsidRPr="00A4481C">
        <w:rPr>
          <w:rFonts w:ascii="Times New Roman" w:hAnsi="Times New Roman"/>
          <w:sz w:val="24"/>
          <w:szCs w:val="24"/>
        </w:rPr>
        <w:t>His request for vacatur of the Rule, amounting to a facial challenge, must fail because drones are virtually always flown in public. Requiring a drone to show its location and that of its operator while the drone is aloft in the open air violates no reasonable expectation of privacy. Brennan hypothesizes that law enforcement authorities could use Remote ID to carry out continuous surveillance of drone pilots' public locations amounting to a constitutionally cognizable search, or that the Rule could be applied in ways that would reveal an operator's identity and location at a home or in an otherwise private place. But he has not shown that any such uses of Remote ID have either harmed him or imminently will do so, thus he presents no currently justiciable, as-applied challenge.</w:t>
      </w:r>
      <w:r>
        <w:rPr>
          <w:rFonts w:ascii="Times New Roman" w:hAnsi="Times New Roman"/>
          <w:sz w:val="24"/>
          <w:szCs w:val="24"/>
        </w:rPr>
        <w:t xml:space="preserve">” </w:t>
      </w:r>
      <w:hyperlink r:id="rId756" w:history="1">
        <w:r w:rsidRPr="00A4481C">
          <w:rPr>
            <w:rStyle w:val="Hyperlink"/>
            <w:rFonts w:ascii="Times New Roman" w:eastAsia="Times New Roman" w:hAnsi="Times New Roman"/>
            <w:sz w:val="24"/>
            <w:szCs w:val="24"/>
          </w:rPr>
          <w:t>https://www.cadc.uscourts.gov/internet/opinions.nsf/55807FB471B60BB08525888E0051AEA6/$file/21-1087-1956978.pdf</w:t>
        </w:r>
      </w:hyperlink>
      <w:r w:rsidRPr="00A4481C">
        <w:rPr>
          <w:rFonts w:ascii="Times New Roman" w:eastAsia="Times New Roman" w:hAnsi="Times New Roman"/>
          <w:sz w:val="24"/>
          <w:szCs w:val="24"/>
        </w:rPr>
        <w:t xml:space="preserve"> </w:t>
      </w:r>
    </w:p>
    <w:p w14:paraId="1AC96945" w14:textId="77777777" w:rsidR="006D2C51" w:rsidRPr="00C73817" w:rsidRDefault="006D2C51" w:rsidP="006D2C51">
      <w:pPr>
        <w:pStyle w:val="NormalWeb"/>
        <w:rPr>
          <w:b/>
          <w:bCs/>
        </w:rPr>
      </w:pPr>
      <w:r w:rsidRPr="00C73817">
        <w:rPr>
          <w:b/>
          <w:bCs/>
        </w:rPr>
        <w:t xml:space="preserve">Legal Lesson Learned: </w:t>
      </w:r>
      <w:r>
        <w:rPr>
          <w:b/>
          <w:bCs/>
        </w:rPr>
        <w:t xml:space="preserve">Drones can be potential terrorist weapon; Remote ID provides important protection.  </w:t>
      </w:r>
    </w:p>
    <w:p w14:paraId="3BD8310B" w14:textId="77777777" w:rsidR="006D2C51" w:rsidRDefault="006D2C51" w:rsidP="006D2C51">
      <w:pPr>
        <w:pStyle w:val="NormalWeb"/>
        <w:ind w:left="720"/>
      </w:pPr>
      <w:r>
        <w:t xml:space="preserve">Note: The Court referenced terrorist events with drones. </w:t>
      </w:r>
    </w:p>
    <w:p w14:paraId="6FDE3694" w14:textId="77777777" w:rsidR="006D2C51" w:rsidRDefault="006D2C51" w:rsidP="006D2C5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73817">
        <w:rPr>
          <w:rFonts w:ascii="Times New Roman" w:hAnsi="Times New Roman"/>
          <w:sz w:val="24"/>
          <w:szCs w:val="24"/>
        </w:rPr>
        <w:t>Extremists have increasingly sought to use drones to carry out violent attacks: Terrorists killed several people by detonating a bomb carried by a drone that flew above a military parade in Yemen…. The Islamic State and other terrorist organizations have reportedly modified commercially available drones so they can carry and release munitions and explosives</w:t>
      </w:r>
      <w:r>
        <w:rPr>
          <w:rFonts w:ascii="Times New Roman" w:hAnsi="Times New Roman"/>
          <w:sz w:val="24"/>
          <w:szCs w:val="24"/>
        </w:rPr>
        <w:t xml:space="preserve">…. </w:t>
      </w:r>
      <w:r w:rsidRPr="00C73817">
        <w:rPr>
          <w:rFonts w:ascii="Times New Roman" w:hAnsi="Times New Roman"/>
          <w:sz w:val="24"/>
          <w:szCs w:val="24"/>
        </w:rPr>
        <w:t>A would-be assassin used a drone to target then-President Nicolas Maduro in Venezuela….And British intelligence agencies uncovered a terrorist plan to fly drones into the engines of commercial airplanes as they took off from airports in the United Kingdom….</w:t>
      </w:r>
    </w:p>
    <w:p w14:paraId="3AE0C5D3" w14:textId="77777777" w:rsidR="006D2C51" w:rsidRPr="001911A7" w:rsidRDefault="006D2C51" w:rsidP="006D2C51">
      <w:pPr>
        <w:pStyle w:val="NormalWeb"/>
        <w:ind w:left="720"/>
      </w:pPr>
      <w:r w:rsidRPr="001911A7">
        <w:t xml:space="preserve">Footnote 1: Citing Scott Gleeson, </w:t>
      </w:r>
      <w:r w:rsidRPr="001911A7">
        <w:rPr>
          <w:rStyle w:val="Emphasis"/>
        </w:rPr>
        <w:t>Juvenile Was Operating the Drone that Flew Over Fenway Park in Red Sox Game, Police Say</w:t>
      </w:r>
      <w:r w:rsidRPr="001911A7">
        <w:t>, USA TODAY (Apr. 13, 2019), https://www.usatoday.com/story/sports/mlb/redsox/2019/04/13/dro ne-</w:t>
      </w:r>
      <w:proofErr w:type="spellStart"/>
      <w:r w:rsidRPr="001911A7">
        <w:t>fenway</w:t>
      </w:r>
      <w:proofErr w:type="spellEnd"/>
      <w:r w:rsidRPr="001911A7">
        <w:t xml:space="preserve">-park-juvenile/3457190002/; Lori Aratani, </w:t>
      </w:r>
      <w:r w:rsidRPr="001911A7">
        <w:rPr>
          <w:rStyle w:val="Emphasis"/>
        </w:rPr>
        <w:t>Drone Activity Halts Air Traffic at Newark Liberty International Airport</w:t>
      </w:r>
      <w:r w:rsidRPr="001911A7">
        <w:t>, WASH. POST (Jan. 22, 2019), https://www.washingtonpost.com/transportation/2019/01/22/drone-activity-halts-air-traffic-newark-liberty-international-airport/.</w:t>
      </w:r>
    </w:p>
    <w:p w14:paraId="5C120572" w14:textId="77777777" w:rsidR="006D2C51" w:rsidRPr="001911A7" w:rsidRDefault="006D2C51" w:rsidP="006D2C51">
      <w:pPr>
        <w:pStyle w:val="NormalWeb"/>
        <w:ind w:left="720"/>
      </w:pPr>
      <w:r w:rsidRPr="001911A7">
        <w:t xml:space="preserve">Footnote 2: Citing </w:t>
      </w:r>
      <w:r w:rsidRPr="001911A7">
        <w:rPr>
          <w:rStyle w:val="Emphasis"/>
        </w:rPr>
        <w:t>Houthi Drones Kill Several at Yemeni Military Parade</w:t>
      </w:r>
      <w:r w:rsidRPr="001911A7">
        <w:t xml:space="preserve">, REUTERS (Jan. 10, 2019), https://www.reuters.com/article/us-yemen-security/houthi-drones-kill-several-at-yemei-military-parade-idUSKCN1P40N9. </w:t>
      </w:r>
    </w:p>
    <w:p w14:paraId="3A67BF6E" w14:textId="77777777" w:rsidR="006D2C51" w:rsidRPr="001911A7" w:rsidRDefault="006D2C51" w:rsidP="006D2C51">
      <w:pPr>
        <w:pStyle w:val="NormalWeb"/>
        <w:ind w:left="720"/>
      </w:pPr>
      <w:r w:rsidRPr="001911A7">
        <w:t xml:space="preserve">Footnote </w:t>
      </w:r>
      <w:r>
        <w:t xml:space="preserve">3: </w:t>
      </w:r>
      <w:r w:rsidRPr="001911A7">
        <w:t xml:space="preserve">Citing Don Rassler, </w:t>
      </w:r>
      <w:r w:rsidRPr="001911A7">
        <w:rPr>
          <w:rStyle w:val="Emphasis"/>
        </w:rPr>
        <w:t>The Islamic State and Drones: Supply, Scale, and Future Threats</w:t>
      </w:r>
      <w:r w:rsidRPr="001911A7">
        <w:t xml:space="preserve">, COMBATING TERRORISM CTR. AT WEST POINT, at iv (July 2018), https://ctc.usma.edu/wp-content/uploads/2018/07/Islamic-State-and-Drones-Release-Version.pdf. </w:t>
      </w:r>
    </w:p>
    <w:p w14:paraId="3927B0B5" w14:textId="77777777" w:rsidR="006D2C51" w:rsidRPr="001911A7" w:rsidRDefault="006D2C51" w:rsidP="006D2C51">
      <w:pPr>
        <w:pStyle w:val="NormalWeb"/>
        <w:ind w:left="720"/>
      </w:pPr>
      <w:r w:rsidRPr="001911A7">
        <w:t xml:space="preserve">Footnote </w:t>
      </w:r>
      <w:r>
        <w:t>4:</w:t>
      </w:r>
      <w:r w:rsidRPr="001911A7">
        <w:rPr>
          <w:vertAlign w:val="superscript"/>
        </w:rPr>
        <w:t xml:space="preserve"> </w:t>
      </w:r>
      <w:r w:rsidRPr="001911A7">
        <w:t xml:space="preserve">Citing </w:t>
      </w:r>
      <w:r w:rsidRPr="001911A7">
        <w:rPr>
          <w:rStyle w:val="Emphasis"/>
        </w:rPr>
        <w:t>Venezuela President Maduro Survives 'Drone Assassination Attempt'</w:t>
      </w:r>
      <w:r w:rsidRPr="001911A7">
        <w:t xml:space="preserve">, BBC (Aug. 5, 2018), https://www.bbc.com/news/world-latin-america-45073385. </w:t>
      </w:r>
    </w:p>
    <w:p w14:paraId="42B2F01D" w14:textId="77777777" w:rsidR="006D2C51" w:rsidRPr="00C73817" w:rsidRDefault="006D2C51" w:rsidP="006D2C51">
      <w:pPr>
        <w:spacing w:before="100" w:beforeAutospacing="1" w:after="100" w:afterAutospacing="1" w:line="240" w:lineRule="auto"/>
        <w:ind w:left="720"/>
        <w:rPr>
          <w:rFonts w:ascii="Times New Roman" w:eastAsia="Times New Roman" w:hAnsi="Times New Roman"/>
          <w:sz w:val="24"/>
          <w:szCs w:val="24"/>
        </w:rPr>
      </w:pPr>
      <w:r w:rsidRPr="001911A7">
        <w:t xml:space="preserve">Footnote </w:t>
      </w:r>
      <w:r>
        <w:t xml:space="preserve">5: </w:t>
      </w:r>
      <w:r w:rsidRPr="001911A7">
        <w:t xml:space="preserve">Citing Patrick Williams, </w:t>
      </w:r>
      <w:r w:rsidRPr="001911A7">
        <w:rPr>
          <w:rStyle w:val="Emphasis"/>
          <w:rFonts w:ascii="Times New Roman" w:hAnsi="Times New Roman"/>
        </w:rPr>
        <w:t>Terror Drone Plot FOILED: Brit Spies Stop Plan to Bring Down AIRLINER</w:t>
      </w:r>
      <w:r w:rsidRPr="001911A7">
        <w:t xml:space="preserve">, DAILY STAR (Aug. 19, 2018), https://www.dailystar.co.uk/news/latest-news/terror-drone-plot-britain-uk-16886096. </w:t>
      </w:r>
      <w:hyperlink r:id="rId757" w:history="1">
        <w:r w:rsidRPr="00272AA8">
          <w:rPr>
            <w:rStyle w:val="Hyperlink"/>
            <w:rFonts w:ascii="Times New Roman" w:eastAsia="Times New Roman" w:hAnsi="Times New Roman"/>
            <w:sz w:val="24"/>
            <w:szCs w:val="24"/>
          </w:rPr>
          <w:t>https://www.cadc.uscourts.gov/internet/opinions.nsf/55807FB471B60BB08525888E0051AEA6/$file/21-1087-1956978.pdf</w:t>
        </w:r>
      </w:hyperlink>
      <w:r w:rsidRPr="00C73817">
        <w:rPr>
          <w:rFonts w:ascii="Times New Roman" w:eastAsia="Times New Roman" w:hAnsi="Times New Roman"/>
          <w:sz w:val="24"/>
          <w:szCs w:val="24"/>
        </w:rPr>
        <w:t xml:space="preserve"> </w:t>
      </w:r>
    </w:p>
    <w:p w14:paraId="65B252A3" w14:textId="77777777" w:rsidR="006D2C51" w:rsidRPr="001911A7" w:rsidRDefault="006D2C51" w:rsidP="006D2C51">
      <w:pPr>
        <w:pStyle w:val="NormalWeb"/>
        <w:ind w:left="720"/>
      </w:pPr>
    </w:p>
    <w:p w14:paraId="46E5ABDE" w14:textId="77777777" w:rsidR="006D2C51" w:rsidRDefault="006D2C51" w:rsidP="00F326E5">
      <w:pPr>
        <w:pStyle w:val="NoSpacing"/>
        <w:rPr>
          <w:rFonts w:ascii="Arial Black" w:hAnsi="Arial Black"/>
          <w:sz w:val="28"/>
          <w:szCs w:val="28"/>
        </w:rPr>
      </w:pPr>
    </w:p>
    <w:p w14:paraId="5BC6F366" w14:textId="77777777" w:rsidR="006D2C51" w:rsidRDefault="006D2C51" w:rsidP="00F326E5">
      <w:pPr>
        <w:pStyle w:val="NoSpacing"/>
        <w:rPr>
          <w:rFonts w:ascii="Arial Black" w:hAnsi="Arial Black"/>
          <w:sz w:val="28"/>
          <w:szCs w:val="28"/>
        </w:rPr>
      </w:pPr>
    </w:p>
    <w:p w14:paraId="73CB57DE" w14:textId="3DC22309" w:rsidR="00AE6CF5" w:rsidRDefault="009A0402" w:rsidP="00F326E5">
      <w:pPr>
        <w:pStyle w:val="NoSpacing"/>
        <w:rPr>
          <w:rFonts w:ascii="Arial Black" w:hAnsi="Arial Black"/>
          <w:sz w:val="28"/>
          <w:szCs w:val="28"/>
        </w:rPr>
      </w:pPr>
      <w:r>
        <w:rPr>
          <w:rFonts w:ascii="Arial Black" w:hAnsi="Arial Black"/>
          <w:sz w:val="28"/>
          <w:szCs w:val="28"/>
        </w:rPr>
        <w:t>3-4</w:t>
      </w:r>
      <w:r w:rsidR="007F3F5A">
        <w:rPr>
          <w:rFonts w:ascii="Arial Black" w:hAnsi="Arial Black"/>
          <w:sz w:val="28"/>
          <w:szCs w:val="28"/>
        </w:rPr>
        <w:t>4</w:t>
      </w:r>
    </w:p>
    <w:p w14:paraId="28100947" w14:textId="77777777" w:rsidR="009A0402" w:rsidRDefault="009A0402" w:rsidP="009A0402">
      <w:pPr>
        <w:spacing w:before="100" w:beforeAutospacing="1" w:after="100" w:afterAutospacing="1" w:line="240" w:lineRule="auto"/>
        <w:rPr>
          <w:rStyle w:val="markedcontent"/>
          <w:rFonts w:ascii="Arial Black" w:hAnsi="Arial Black"/>
          <w:sz w:val="28"/>
          <w:szCs w:val="28"/>
        </w:rPr>
      </w:pPr>
      <w:r>
        <w:rPr>
          <w:rStyle w:val="markedcontent"/>
          <w:rFonts w:ascii="Arial Black" w:hAnsi="Arial Black"/>
          <w:sz w:val="28"/>
          <w:szCs w:val="28"/>
        </w:rPr>
        <w:t>U.S. SUPREME COURT: IMMIGRATION - PRES. BIDEN CAN CANCEL PRES. TRUMP “REMAIN IN MEXICO” PROTOCOLS</w:t>
      </w:r>
    </w:p>
    <w:p w14:paraId="0A40B633" w14:textId="77777777" w:rsidR="009A0402" w:rsidRDefault="009A0402" w:rsidP="009A0402">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June 30, 2022, in </w:t>
      </w:r>
      <w:r>
        <w:rPr>
          <w:rStyle w:val="markedcontent"/>
          <w:rFonts w:ascii="Times New Roman" w:hAnsi="Times New Roman"/>
          <w:sz w:val="24"/>
          <w:szCs w:val="24"/>
          <w:u w:val="single"/>
        </w:rPr>
        <w:t>Biden et al. v. Texas, et al</w:t>
      </w:r>
      <w:r>
        <w:rPr>
          <w:rStyle w:val="markedcontent"/>
          <w:rFonts w:ascii="Times New Roman" w:hAnsi="Times New Roman"/>
          <w:sz w:val="24"/>
          <w:szCs w:val="24"/>
        </w:rPr>
        <w:t>., the U.S. Supreme Court held (5 to 4) that President Biden has the “discretionary” authority from Congress to end President’s Trump’s Migrant Protection Protocols (MPP). where because of the “immigration crisis” at the border some non-Mexican immigrants were immediately returned to Mexico to await later processing.  The State of Texas and Missouri filed lawsuit in Federal Court in Dallas and won a nationwide injunction against shutting down the MPP protocols. since the DHS did not issue adequate explanation for their cancellation of MPP as required by the Administrative Procedures Act.  For example, in</w:t>
      </w:r>
      <w:r>
        <w:rPr>
          <w:rFonts w:ascii="Times New Roman" w:hAnsi="Times New Roman"/>
          <w:sz w:val="24"/>
          <w:szCs w:val="24"/>
        </w:rPr>
        <w:t xml:space="preserve"> </w:t>
      </w:r>
      <w:proofErr w:type="gramStart"/>
      <w:r>
        <w:rPr>
          <w:rFonts w:ascii="Times New Roman" w:hAnsi="Times New Roman"/>
          <w:sz w:val="24"/>
          <w:szCs w:val="24"/>
        </w:rPr>
        <w:t>May,</w:t>
      </w:r>
      <w:proofErr w:type="gramEnd"/>
      <w:r>
        <w:rPr>
          <w:rFonts w:ascii="Times New Roman" w:hAnsi="Times New Roman"/>
          <w:sz w:val="24"/>
          <w:szCs w:val="24"/>
        </w:rPr>
        <w:t xml:space="preserve"> 2022, 1,460 migrants were returned to Mexico through MPP, according to DHS figures. [Note: During that same month, more than 100,000 migrants were expelled using Title 42; emergency action to stop communicable diseases, such as Covid.] </w:t>
      </w:r>
      <w:r>
        <w:rPr>
          <w:rStyle w:val="markedcontent"/>
          <w:rFonts w:ascii="Times New Roman" w:hAnsi="Times New Roman"/>
          <w:sz w:val="24"/>
          <w:szCs w:val="24"/>
        </w:rPr>
        <w:t>To comply with APA, on June 1, 2021, DHS Secretary Mayorkas issued a memorandum officially terminating MPP, but the Dallas Federal judge and the Court of Appeals for 5</w:t>
      </w:r>
      <w:r>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found it also was inadequate explanation. On October 29, the Secretary of DHS released a four-page memorandum that again announced the termination of MPP, along with a 39-page addendum explaining his reasons for doing so (the October 29 Memoranda).  The Court of Appeals denied government’s appeal, and the U.S. Supreme Court heard the case on an expedited basis.  </w:t>
      </w:r>
      <w:hyperlink r:id="rId758" w:history="1">
        <w:r>
          <w:rPr>
            <w:rStyle w:val="Hyperlink"/>
            <w:sz w:val="24"/>
            <w:szCs w:val="24"/>
          </w:rPr>
          <w:t>https://www.supremecourt.gov/opinions/21pdf/21-954_7l48.pdf</w:t>
        </w:r>
      </w:hyperlink>
      <w:r>
        <w:rPr>
          <w:rStyle w:val="markedcontent"/>
          <w:rFonts w:ascii="Times New Roman" w:hAnsi="Times New Roman"/>
          <w:sz w:val="24"/>
          <w:szCs w:val="24"/>
        </w:rPr>
        <w:t xml:space="preserve"> </w:t>
      </w:r>
    </w:p>
    <w:p w14:paraId="67940738" w14:textId="77777777" w:rsidR="009A0402" w:rsidRDefault="009A0402" w:rsidP="009A0402">
      <w:pPr>
        <w:spacing w:before="100" w:beforeAutospacing="1" w:after="100" w:afterAutospacing="1" w:line="240" w:lineRule="auto"/>
        <w:rPr>
          <w:rStyle w:val="markedcontent"/>
          <w:rFonts w:ascii="Times New Roman" w:hAnsi="Times New Roman"/>
          <w:b/>
          <w:bCs/>
          <w:sz w:val="24"/>
          <w:szCs w:val="24"/>
        </w:rPr>
      </w:pPr>
      <w:r>
        <w:rPr>
          <w:rStyle w:val="markedcontent"/>
          <w:rFonts w:ascii="Times New Roman" w:hAnsi="Times New Roman"/>
          <w:b/>
          <w:bCs/>
          <w:sz w:val="24"/>
          <w:szCs w:val="24"/>
        </w:rPr>
        <w:t xml:space="preserve">Legal Lesson Learned: Immigration and release of immigrants into our nation prior to review by an Immigration administrative law judge is a “hot topic” for the U.S. Supreme Court and our Nation. </w:t>
      </w:r>
    </w:p>
    <w:p w14:paraId="34E5CA88" w14:textId="77777777" w:rsidR="009A0402" w:rsidRPr="009A0402" w:rsidRDefault="009A0402" w:rsidP="009A0402">
      <w:pPr>
        <w:pStyle w:val="Heading2"/>
        <w:ind w:left="720"/>
        <w:rPr>
          <w:rFonts w:ascii="Times New Roman" w:hAnsi="Times New Roman"/>
          <w:b w:val="0"/>
          <w:bCs w:val="0"/>
          <w:i w:val="0"/>
          <w:iCs w:val="0"/>
          <w:sz w:val="24"/>
          <w:szCs w:val="24"/>
        </w:rPr>
      </w:pPr>
      <w:r w:rsidRPr="009A0402">
        <w:rPr>
          <w:rStyle w:val="markedcontent"/>
          <w:rFonts w:ascii="Times New Roman" w:hAnsi="Times New Roman"/>
          <w:b w:val="0"/>
          <w:bCs w:val="0"/>
          <w:i w:val="0"/>
          <w:iCs w:val="0"/>
          <w:sz w:val="24"/>
          <w:szCs w:val="24"/>
        </w:rPr>
        <w:t>Note: See article, “</w:t>
      </w:r>
      <w:r w:rsidRPr="009A0402">
        <w:rPr>
          <w:rFonts w:ascii="Times New Roman" w:hAnsi="Times New Roman"/>
          <w:b w:val="0"/>
          <w:bCs w:val="0"/>
          <w:i w:val="0"/>
          <w:iCs w:val="0"/>
          <w:sz w:val="24"/>
          <w:szCs w:val="24"/>
        </w:rPr>
        <w:t xml:space="preserve">Biden handed big immigration win by Supreme </w:t>
      </w:r>
      <w:proofErr w:type="gramStart"/>
      <w:r w:rsidRPr="009A0402">
        <w:rPr>
          <w:rFonts w:ascii="Times New Roman" w:hAnsi="Times New Roman"/>
          <w:b w:val="0"/>
          <w:bCs w:val="0"/>
          <w:i w:val="0"/>
          <w:iCs w:val="0"/>
          <w:sz w:val="24"/>
          <w:szCs w:val="24"/>
        </w:rPr>
        <w:t>Court</w:t>
      </w:r>
      <w:proofErr w:type="gramEnd"/>
      <w:r w:rsidRPr="009A0402">
        <w:rPr>
          <w:rFonts w:ascii="Times New Roman" w:hAnsi="Times New Roman"/>
          <w:b w:val="0"/>
          <w:bCs w:val="0"/>
          <w:i w:val="0"/>
          <w:iCs w:val="0"/>
          <w:sz w:val="24"/>
          <w:szCs w:val="24"/>
        </w:rPr>
        <w:t xml:space="preserve"> but challenges remain” (June 30, 2022); </w:t>
      </w:r>
      <w:hyperlink r:id="rId759" w:history="1">
        <w:r w:rsidRPr="009A0402">
          <w:rPr>
            <w:rStyle w:val="Hyperlink"/>
            <w:rFonts w:ascii="Times New Roman" w:hAnsi="Times New Roman"/>
            <w:b w:val="0"/>
            <w:bCs w:val="0"/>
            <w:i w:val="0"/>
            <w:iCs w:val="0"/>
            <w:sz w:val="24"/>
            <w:szCs w:val="24"/>
          </w:rPr>
          <w:t>https://www.politico.com/news/2022/06/30/white-house-immigration-supreme-court-win-00043667</w:t>
        </w:r>
      </w:hyperlink>
      <w:r w:rsidRPr="009A0402">
        <w:rPr>
          <w:rFonts w:ascii="Times New Roman" w:hAnsi="Times New Roman"/>
          <w:b w:val="0"/>
          <w:bCs w:val="0"/>
          <w:i w:val="0"/>
          <w:iCs w:val="0"/>
          <w:sz w:val="24"/>
          <w:szCs w:val="24"/>
        </w:rPr>
        <w:t xml:space="preserve"> . </w:t>
      </w:r>
    </w:p>
    <w:p w14:paraId="6E979F6A" w14:textId="77777777" w:rsidR="009A0402" w:rsidRPr="009A0402" w:rsidRDefault="009A0402" w:rsidP="009A0402">
      <w:pPr>
        <w:pStyle w:val="Heading2"/>
        <w:ind w:left="720"/>
        <w:rPr>
          <w:rFonts w:ascii="Times New Roman" w:hAnsi="Times New Roman"/>
          <w:b w:val="0"/>
          <w:bCs w:val="0"/>
          <w:i w:val="0"/>
          <w:iCs w:val="0"/>
          <w:sz w:val="24"/>
          <w:szCs w:val="24"/>
        </w:rPr>
      </w:pPr>
      <w:r w:rsidRPr="009A0402">
        <w:rPr>
          <w:rFonts w:ascii="Times New Roman" w:hAnsi="Times New Roman"/>
          <w:b w:val="0"/>
          <w:bCs w:val="0"/>
          <w:i w:val="0"/>
          <w:iCs w:val="0"/>
          <w:sz w:val="24"/>
          <w:szCs w:val="24"/>
        </w:rPr>
        <w:t>See also: “The Trump Administration used Title 42 to designate hundreds of thousands of migrants for “expulsion,” arguing that allowing these migrants to enter the U.S. may increase the spread of COVID-19.” </w:t>
      </w:r>
      <w:hyperlink r:id="rId760" w:history="1">
        <w:r w:rsidRPr="009A0402">
          <w:rPr>
            <w:rStyle w:val="Hyperlink"/>
            <w:rFonts w:ascii="Times New Roman" w:hAnsi="Times New Roman"/>
            <w:b w:val="0"/>
            <w:bCs w:val="0"/>
            <w:i w:val="0"/>
            <w:iCs w:val="0"/>
            <w:sz w:val="24"/>
            <w:szCs w:val="24"/>
          </w:rPr>
          <w:t>https://puenteaz.org/title42/</w:t>
        </w:r>
      </w:hyperlink>
      <w:r w:rsidRPr="009A0402">
        <w:rPr>
          <w:rFonts w:ascii="Times New Roman" w:hAnsi="Times New Roman"/>
          <w:b w:val="0"/>
          <w:bCs w:val="0"/>
          <w:i w:val="0"/>
          <w:iCs w:val="0"/>
          <w:sz w:val="24"/>
          <w:szCs w:val="24"/>
        </w:rPr>
        <w:t xml:space="preserve"> </w:t>
      </w:r>
    </w:p>
    <w:p w14:paraId="611970FA" w14:textId="77777777" w:rsidR="009A0402" w:rsidRDefault="009A0402" w:rsidP="00F326E5">
      <w:pPr>
        <w:pStyle w:val="NoSpacing"/>
        <w:rPr>
          <w:rFonts w:ascii="Arial Black" w:hAnsi="Arial Black"/>
          <w:sz w:val="28"/>
          <w:szCs w:val="28"/>
        </w:rPr>
      </w:pPr>
    </w:p>
    <w:p w14:paraId="426174DB" w14:textId="258A2217" w:rsidR="009A0402" w:rsidRDefault="007F3F5A" w:rsidP="00F326E5">
      <w:pPr>
        <w:pStyle w:val="NoSpacing"/>
        <w:rPr>
          <w:rFonts w:ascii="Arial Black" w:hAnsi="Arial Black"/>
          <w:sz w:val="28"/>
          <w:szCs w:val="28"/>
        </w:rPr>
      </w:pPr>
      <w:r>
        <w:rPr>
          <w:rFonts w:ascii="Arial Black" w:hAnsi="Arial Black"/>
          <w:sz w:val="28"/>
          <w:szCs w:val="28"/>
        </w:rPr>
        <w:t>3-43</w:t>
      </w:r>
    </w:p>
    <w:p w14:paraId="3F4AA11A" w14:textId="2D1326A2" w:rsidR="007F3F5A" w:rsidRDefault="007F3F5A" w:rsidP="00F326E5">
      <w:pPr>
        <w:pStyle w:val="NoSpacing"/>
        <w:rPr>
          <w:rFonts w:ascii="Arial Black" w:hAnsi="Arial Black"/>
          <w:sz w:val="28"/>
          <w:szCs w:val="28"/>
        </w:rPr>
      </w:pPr>
    </w:p>
    <w:p w14:paraId="576A3CCA" w14:textId="77777777" w:rsidR="007F3F5A" w:rsidRDefault="007F3F5A" w:rsidP="007F3F5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DC: JAN. 6, </w:t>
      </w:r>
      <w:proofErr w:type="gramStart"/>
      <w:r>
        <w:rPr>
          <w:rFonts w:ascii="Arial Black" w:eastAsia="Times New Roman" w:hAnsi="Arial Black"/>
          <w:sz w:val="28"/>
          <w:szCs w:val="28"/>
        </w:rPr>
        <w:t>2021</w:t>
      </w:r>
      <w:proofErr w:type="gramEnd"/>
      <w:r>
        <w:rPr>
          <w:rFonts w:ascii="Arial Black" w:eastAsia="Times New Roman" w:hAnsi="Arial Black"/>
          <w:sz w:val="28"/>
          <w:szCs w:val="28"/>
        </w:rPr>
        <w:t xml:space="preserve"> ATTACK ON CAPITOL – DEF. STAND TRIAL “OBSTRUCT, IMPEDED, INTERFERE” WITH POLICE</w:t>
      </w:r>
    </w:p>
    <w:p w14:paraId="21AAE66E" w14:textId="77777777" w:rsidR="007F3F5A" w:rsidRDefault="007F3F5A" w:rsidP="007F3F5A">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June 22, 2022, in </w:t>
      </w:r>
      <w:r>
        <w:rPr>
          <w:rFonts w:ascii="Times New Roman" w:eastAsia="Times New Roman" w:hAnsi="Times New Roman"/>
          <w:sz w:val="24"/>
          <w:szCs w:val="24"/>
          <w:u w:val="single"/>
        </w:rPr>
        <w:t>United States of America v. Riley June Williams</w:t>
      </w:r>
      <w:r>
        <w:rPr>
          <w:rFonts w:ascii="Times New Roman" w:eastAsia="Times New Roman" w:hAnsi="Times New Roman"/>
          <w:sz w:val="24"/>
          <w:szCs w:val="24"/>
        </w:rPr>
        <w:t>, U.S. District Court Judge Amy Berman Jackson, U.S. District Court, District of Columbia, denied the defendant’s motion her eight-count indictment, including charge of obstructing law enforcement officers. “</w:t>
      </w:r>
      <w:r>
        <w:rPr>
          <w:rFonts w:ascii="Times New Roman" w:hAnsi="Times New Roman"/>
          <w:sz w:val="24"/>
          <w:szCs w:val="24"/>
        </w:rPr>
        <w:t xml:space="preserve">This case is one of many arising out of the events at the United States Capitol on January 6, 2021, and all of the legal challenges Williams raises in her motions have been considered and rejected by other courts in this district.”  </w:t>
      </w:r>
      <w:hyperlink r:id="rId761" w:history="1">
        <w:r>
          <w:rPr>
            <w:rStyle w:val="Hyperlink"/>
            <w:sz w:val="24"/>
            <w:szCs w:val="24"/>
          </w:rPr>
          <w:t>https://casetext.com/case/united-states-v-williams-3941</w:t>
        </w:r>
      </w:hyperlink>
      <w:r>
        <w:rPr>
          <w:rFonts w:ascii="Times New Roman" w:hAnsi="Times New Roman"/>
          <w:sz w:val="24"/>
          <w:szCs w:val="24"/>
        </w:rPr>
        <w:t xml:space="preserve"> </w:t>
      </w:r>
    </w:p>
    <w:p w14:paraId="2693A588" w14:textId="77777777" w:rsidR="007F3F5A" w:rsidRDefault="007F3F5A" w:rsidP="007F3F5A">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defendant will now either go to trial or take a plea agreement. </w:t>
      </w:r>
    </w:p>
    <w:p w14:paraId="0942207C" w14:textId="77777777" w:rsidR="007F3F5A" w:rsidRDefault="007F3F5A" w:rsidP="007F3F5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Note: Defendant has been in news recently (Jan. 18, 2022): “</w:t>
      </w:r>
      <w:r>
        <w:rPr>
          <w:rFonts w:ascii="Times New Roman" w:hAnsi="Times New Roman"/>
          <w:sz w:val="24"/>
          <w:szCs w:val="24"/>
        </w:rPr>
        <w:t xml:space="preserve">January 6 defendant denies boyfriend plotted to shoot up synagogue. Lawyers for Riley Williams, who is accused of stealing Pelosi’s laptop, submit filing acknowledging her partner served prison time but deny it was for alleged mass shooting plan.” </w:t>
      </w:r>
      <w:hyperlink r:id="rId762" w:history="1">
        <w:r>
          <w:rPr>
            <w:rStyle w:val="Hyperlink"/>
            <w:sz w:val="24"/>
            <w:szCs w:val="24"/>
          </w:rPr>
          <w:t>https://www.timesofisrael.com/january-6-defendant-denies-boyfriend-plotted-to-shoot-up-synagogue/</w:t>
        </w:r>
      </w:hyperlink>
      <w:r>
        <w:rPr>
          <w:rFonts w:ascii="Times New Roman" w:eastAsia="Times New Roman" w:hAnsi="Times New Roman"/>
          <w:sz w:val="24"/>
          <w:szCs w:val="24"/>
        </w:rPr>
        <w:t xml:space="preserve"> </w:t>
      </w:r>
    </w:p>
    <w:p w14:paraId="52BDD391" w14:textId="77777777" w:rsidR="007F3F5A" w:rsidRDefault="007F3F5A" w:rsidP="00F326E5">
      <w:pPr>
        <w:pStyle w:val="NoSpacing"/>
        <w:rPr>
          <w:rFonts w:ascii="Arial Black" w:hAnsi="Arial Black"/>
          <w:sz w:val="28"/>
          <w:szCs w:val="28"/>
        </w:rPr>
      </w:pPr>
    </w:p>
    <w:p w14:paraId="61D26FFB" w14:textId="77777777" w:rsidR="009A0402" w:rsidRDefault="009A0402" w:rsidP="00F326E5">
      <w:pPr>
        <w:pStyle w:val="NoSpacing"/>
        <w:rPr>
          <w:rFonts w:ascii="Arial Black" w:hAnsi="Arial Black"/>
          <w:sz w:val="28"/>
          <w:szCs w:val="28"/>
        </w:rPr>
      </w:pPr>
    </w:p>
    <w:p w14:paraId="31314228" w14:textId="2FCCE0A2" w:rsidR="00AE6CF5" w:rsidRDefault="00AE6CF5" w:rsidP="00F326E5">
      <w:pPr>
        <w:pStyle w:val="NoSpacing"/>
        <w:rPr>
          <w:rFonts w:ascii="Arial Black" w:hAnsi="Arial Black"/>
          <w:sz w:val="28"/>
          <w:szCs w:val="28"/>
        </w:rPr>
      </w:pPr>
      <w:r>
        <w:rPr>
          <w:rFonts w:ascii="Arial Black" w:hAnsi="Arial Black"/>
          <w:sz w:val="28"/>
          <w:szCs w:val="28"/>
        </w:rPr>
        <w:t>3-42</w:t>
      </w:r>
    </w:p>
    <w:p w14:paraId="7660F2CA" w14:textId="66809F33" w:rsidR="00AE6CF5" w:rsidRDefault="00AE6CF5" w:rsidP="00AE6CF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LA: CIVIL UNREST – OFFICER HIT HEAD WITH CONCRETE -</w:t>
      </w:r>
      <w:r w:rsidR="005F75CC">
        <w:rPr>
          <w:rFonts w:ascii="Arial Black" w:eastAsia="Times New Roman" w:hAnsi="Arial Black"/>
          <w:b/>
          <w:bCs/>
          <w:sz w:val="28"/>
          <w:szCs w:val="28"/>
        </w:rPr>
        <w:t xml:space="preserve"> </w:t>
      </w:r>
      <w:r>
        <w:rPr>
          <w:rFonts w:ascii="Arial Black" w:eastAsia="Times New Roman" w:hAnsi="Arial Black"/>
          <w:b/>
          <w:bCs/>
          <w:sz w:val="28"/>
          <w:szCs w:val="28"/>
        </w:rPr>
        <w:t>CAN SUE “BLM” PROTEST ORGANIZER UNDER STATE LAW</w:t>
      </w:r>
    </w:p>
    <w:p w14:paraId="004F277F"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25, 2022, in </w:t>
      </w:r>
      <w:r w:rsidRPr="006D72A3">
        <w:rPr>
          <w:rFonts w:ascii="Times New Roman" w:eastAsia="Times New Roman" w:hAnsi="Times New Roman"/>
          <w:sz w:val="24"/>
          <w:szCs w:val="24"/>
          <w:u w:val="single"/>
        </w:rPr>
        <w:t>Officer John Doe v. De</w:t>
      </w:r>
      <w:r>
        <w:rPr>
          <w:rFonts w:ascii="Times New Roman" w:eastAsia="Times New Roman" w:hAnsi="Times New Roman"/>
          <w:sz w:val="24"/>
          <w:szCs w:val="24"/>
          <w:u w:val="single"/>
        </w:rPr>
        <w:t>R</w:t>
      </w:r>
      <w:r w:rsidRPr="006D72A3">
        <w:rPr>
          <w:rFonts w:ascii="Times New Roman" w:eastAsia="Times New Roman" w:hAnsi="Times New Roman"/>
          <w:sz w:val="24"/>
          <w:szCs w:val="24"/>
          <w:u w:val="single"/>
        </w:rPr>
        <w:t>ay Mc</w:t>
      </w:r>
      <w:r>
        <w:rPr>
          <w:rFonts w:ascii="Times New Roman" w:eastAsia="Times New Roman" w:hAnsi="Times New Roman"/>
          <w:sz w:val="24"/>
          <w:szCs w:val="24"/>
          <w:u w:val="single"/>
        </w:rPr>
        <w:t>k</w:t>
      </w:r>
      <w:r w:rsidRPr="006D72A3">
        <w:rPr>
          <w:rFonts w:ascii="Times New Roman" w:eastAsia="Times New Roman" w:hAnsi="Times New Roman"/>
          <w:sz w:val="24"/>
          <w:szCs w:val="24"/>
          <w:u w:val="single"/>
        </w:rPr>
        <w:t>esson, et al.</w:t>
      </w:r>
      <w:r>
        <w:rPr>
          <w:rFonts w:ascii="Times New Roman" w:eastAsia="Times New Roman" w:hAnsi="Times New Roman"/>
          <w:sz w:val="24"/>
          <w:szCs w:val="24"/>
        </w:rPr>
        <w:t>, the Louisiana Supreme Court issued an opinion (6 to 1) answering two “Certified Questions” from the U.S. Court of Appeals for the 5</w:t>
      </w:r>
      <w:r w:rsidRPr="006D72A3">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[New Orleans]. First, under state law a City of Baton Rouge police officer who was struck in the head in </w:t>
      </w:r>
      <w:proofErr w:type="gramStart"/>
      <w:r>
        <w:rPr>
          <w:rFonts w:ascii="Times New Roman" w:eastAsia="Times New Roman" w:hAnsi="Times New Roman"/>
          <w:sz w:val="24"/>
          <w:szCs w:val="24"/>
        </w:rPr>
        <w:t>July,</w:t>
      </w:r>
      <w:proofErr w:type="gramEnd"/>
      <w:r>
        <w:rPr>
          <w:rFonts w:ascii="Times New Roman" w:eastAsia="Times New Roman" w:hAnsi="Times New Roman"/>
          <w:sz w:val="24"/>
          <w:szCs w:val="24"/>
        </w:rPr>
        <w:t xml:space="preserve"> 2016 by a piece of concrete, lost teeth and suffered brain trauma, may sue DeRay Mckesson, co-founder of Black Lives Matter [BLM] who organized the protest, even though the concrete thrower was never identified. Second, the “Professional Rescuer’s Doctrine” [also known as the “Fireman’s Rule”] prohibiting emergency responders from suing for injuries on the job, was set aside by LA Legislature in 1996 and subsequent court decisions.  The 5</w:t>
      </w:r>
      <w:r w:rsidRPr="00816DF1">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must now decide if lawsuit in Federal court may be reinstated and pre-trial discovery commenced. </w:t>
      </w:r>
      <w:hyperlink r:id="rId763" w:history="1">
        <w:r w:rsidRPr="00B25BE6">
          <w:rPr>
            <w:rStyle w:val="Hyperlink"/>
            <w:rFonts w:ascii="Times New Roman" w:eastAsia="Times New Roman" w:hAnsi="Times New Roman"/>
            <w:sz w:val="24"/>
            <w:szCs w:val="24"/>
          </w:rPr>
          <w:t>https://www.lasc.org/opinions/2022/21-0929.CQ.OPN.pdf</w:t>
        </w:r>
      </w:hyperlink>
    </w:p>
    <w:p w14:paraId="77AAED34" w14:textId="77777777" w:rsidR="00AE6CF5" w:rsidRDefault="00AE6CF5" w:rsidP="00AE6CF5">
      <w:pPr>
        <w:pStyle w:val="NormalWeb"/>
        <w:ind w:left="720"/>
      </w:pPr>
      <w:r>
        <w:t>“Accordingly, we answer the Fifth Circuit Court of Appeals' second certified question: In view of the current directive of La. C.C. art. 2323 that ‘[</w:t>
      </w:r>
      <w:proofErr w:type="spellStart"/>
      <w:r>
        <w:t>i</w:t>
      </w:r>
      <w:proofErr w:type="spellEnd"/>
      <w:r>
        <w:t xml:space="preserve">]n </w:t>
      </w:r>
      <w:r>
        <w:rPr>
          <w:rStyle w:val="Emphasis"/>
        </w:rPr>
        <w:t>any</w:t>
      </w:r>
      <w:r>
        <w:t xml:space="preserve"> action for damages where a person suffers injury, death, or loss, the degree or percentage of fault of </w:t>
      </w:r>
      <w:r>
        <w:rPr>
          <w:rStyle w:val="Emphasis"/>
        </w:rPr>
        <w:t>all</w:t>
      </w:r>
      <w:r>
        <w:t xml:space="preserve"> persons </w:t>
      </w:r>
      <w:r>
        <w:rPr>
          <w:rStyle w:val="Emphasis"/>
        </w:rPr>
        <w:t>causing or contributing</w:t>
      </w:r>
      <w:r>
        <w:t xml:space="preserve"> to the injury, death, or loss </w:t>
      </w:r>
      <w:r>
        <w:rPr>
          <w:rStyle w:val="Emphasis"/>
        </w:rPr>
        <w:t>shall</w:t>
      </w:r>
      <w:r>
        <w:t xml:space="preserve"> be determined…’ (emphasis added) and this court's holding in </w:t>
      </w:r>
      <w:r>
        <w:rPr>
          <w:rStyle w:val="Emphasis"/>
        </w:rPr>
        <w:t>Murray v. Ramada Inns, Inc.</w:t>
      </w:r>
      <w:r>
        <w:t xml:space="preserve">, 521 So.2d 1123, 1132 (La. 1988), abrogating assumption of risk, we conclude that the Professional Rescuer's Doctrine has likewise been abrogated in Louisiana both legislatively and jurisprudentially.’” </w:t>
      </w:r>
      <w:hyperlink r:id="rId764" w:history="1">
        <w:r w:rsidRPr="00B25BE6">
          <w:rPr>
            <w:rStyle w:val="Hyperlink"/>
            <w:rFonts w:eastAsiaTheme="majorEastAsia"/>
          </w:rPr>
          <w:t>https://www.lasc.org/opinions/2022/21-0929.CQ.OPN.pdf</w:t>
        </w:r>
      </w:hyperlink>
      <w:r>
        <w:t xml:space="preserve"> </w:t>
      </w:r>
    </w:p>
    <w:p w14:paraId="64F4A14F" w14:textId="33F74D3C" w:rsidR="00AE6CF5" w:rsidRDefault="00AE6CF5" w:rsidP="00AE6CF5">
      <w:pPr>
        <w:spacing w:before="100" w:beforeAutospacing="1" w:after="100" w:afterAutospacing="1" w:line="240" w:lineRule="auto"/>
        <w:rPr>
          <w:rFonts w:ascii="Times New Roman" w:hAnsi="Times New Roman"/>
          <w:b/>
          <w:bCs/>
          <w:sz w:val="24"/>
          <w:szCs w:val="24"/>
        </w:rPr>
      </w:pPr>
      <w:r w:rsidRPr="00B4453F">
        <w:rPr>
          <w:rFonts w:ascii="Times New Roman" w:hAnsi="Times New Roman"/>
          <w:b/>
          <w:bCs/>
          <w:sz w:val="24"/>
          <w:szCs w:val="24"/>
        </w:rPr>
        <w:t>Legal Lesson Learned:</w:t>
      </w:r>
      <w:r>
        <w:rPr>
          <w:rFonts w:ascii="Times New Roman" w:hAnsi="Times New Roman"/>
          <w:b/>
          <w:bCs/>
          <w:sz w:val="24"/>
          <w:szCs w:val="24"/>
        </w:rPr>
        <w:t xml:space="preserve"> 5</w:t>
      </w:r>
      <w:r w:rsidRPr="00B4453F">
        <w:rPr>
          <w:rFonts w:ascii="Times New Roman" w:hAnsi="Times New Roman"/>
          <w:b/>
          <w:bCs/>
          <w:sz w:val="24"/>
          <w:szCs w:val="24"/>
          <w:vertAlign w:val="superscript"/>
        </w:rPr>
        <w:t>th</w:t>
      </w:r>
      <w:r>
        <w:rPr>
          <w:rFonts w:ascii="Times New Roman" w:hAnsi="Times New Roman"/>
          <w:b/>
          <w:bCs/>
          <w:sz w:val="24"/>
          <w:szCs w:val="24"/>
        </w:rPr>
        <w:t xml:space="preserve"> Circuit </w:t>
      </w:r>
      <w:r w:rsidR="00BA2C39">
        <w:rPr>
          <w:rFonts w:ascii="Times New Roman" w:hAnsi="Times New Roman"/>
          <w:b/>
          <w:bCs/>
          <w:sz w:val="24"/>
          <w:szCs w:val="24"/>
        </w:rPr>
        <w:t xml:space="preserve">may </w:t>
      </w:r>
      <w:r>
        <w:rPr>
          <w:rFonts w:ascii="Times New Roman" w:hAnsi="Times New Roman"/>
          <w:b/>
          <w:bCs/>
          <w:sz w:val="24"/>
          <w:szCs w:val="24"/>
        </w:rPr>
        <w:t xml:space="preserve">now remand the case to the U.S. District Court judge and allow pre-trial discovery to be held.  </w:t>
      </w:r>
    </w:p>
    <w:p w14:paraId="17DD4704" w14:textId="77777777" w:rsidR="00AE6CF5" w:rsidRPr="00C665DD" w:rsidRDefault="00AE6CF5" w:rsidP="00AE6CF5">
      <w:pPr>
        <w:spacing w:before="100" w:beforeAutospacing="1" w:after="100" w:afterAutospacing="1" w:line="240" w:lineRule="auto"/>
        <w:ind w:left="720"/>
        <w:rPr>
          <w:rFonts w:ascii="Times New Roman" w:eastAsia="Times New Roman" w:hAnsi="Times New Roman"/>
          <w:sz w:val="24"/>
          <w:szCs w:val="24"/>
        </w:rPr>
      </w:pPr>
      <w:r w:rsidRPr="00C665DD">
        <w:rPr>
          <w:rFonts w:ascii="Times New Roman" w:hAnsi="Times New Roman"/>
          <w:sz w:val="24"/>
          <w:szCs w:val="24"/>
        </w:rPr>
        <w:t xml:space="preserve">Note: </w:t>
      </w:r>
      <w:r>
        <w:rPr>
          <w:rFonts w:ascii="Times New Roman" w:hAnsi="Times New Roman"/>
          <w:sz w:val="24"/>
          <w:szCs w:val="24"/>
        </w:rPr>
        <w:t xml:space="preserve">Lots of judges have now reviewed this case; unclear if it will ever be tried.  </w:t>
      </w:r>
      <w:r w:rsidRPr="00C665DD">
        <w:rPr>
          <w:rFonts w:ascii="Times New Roman" w:eastAsia="Times New Roman" w:hAnsi="Times New Roman"/>
          <w:sz w:val="24"/>
          <w:szCs w:val="24"/>
        </w:rPr>
        <w:t>The lawsuit was originally dismissed by a U.S. District Court judge prior to any discovery based on the First Amendment right to organize protests; the 5</w:t>
      </w:r>
      <w:r w:rsidRPr="00C665DD">
        <w:rPr>
          <w:rFonts w:ascii="Times New Roman" w:eastAsia="Times New Roman" w:hAnsi="Times New Roman"/>
          <w:sz w:val="24"/>
          <w:szCs w:val="24"/>
          <w:vertAlign w:val="superscript"/>
        </w:rPr>
        <w:t>th</w:t>
      </w:r>
      <w:r w:rsidRPr="00C665DD">
        <w:rPr>
          <w:rFonts w:ascii="Times New Roman" w:eastAsia="Times New Roman" w:hAnsi="Times New Roman"/>
          <w:sz w:val="24"/>
          <w:szCs w:val="24"/>
        </w:rPr>
        <w:t xml:space="preserve"> Circuit (2 to 1) reversed, </w:t>
      </w:r>
      <w:r w:rsidRPr="00C665DD">
        <w:rPr>
          <w:rStyle w:val="Emphasis"/>
          <w:rFonts w:ascii="Times New Roman" w:hAnsi="Times New Roman"/>
          <w:sz w:val="24"/>
          <w:szCs w:val="24"/>
        </w:rPr>
        <w:t>Doe v. Mckesson</w:t>
      </w:r>
      <w:r w:rsidRPr="00C665DD">
        <w:rPr>
          <w:rFonts w:ascii="Times New Roman" w:hAnsi="Times New Roman"/>
          <w:sz w:val="24"/>
          <w:szCs w:val="24"/>
        </w:rPr>
        <w:t xml:space="preserve">, 945 F.3d 818 (5th Cir. 2019) </w:t>
      </w:r>
      <w:r>
        <w:rPr>
          <w:rFonts w:ascii="Times New Roman" w:hAnsi="Times New Roman"/>
          <w:sz w:val="24"/>
          <w:szCs w:val="24"/>
        </w:rPr>
        <w:t xml:space="preserve">holding that </w:t>
      </w:r>
      <w:r w:rsidRPr="00C665DD">
        <w:rPr>
          <w:rFonts w:ascii="Times New Roman" w:hAnsi="Times New Roman"/>
          <w:sz w:val="24"/>
          <w:szCs w:val="24"/>
        </w:rPr>
        <w:t>a j</w:t>
      </w:r>
      <w:r w:rsidRPr="00C665DD">
        <w:rPr>
          <w:rStyle w:val="markedcontent"/>
          <w:sz w:val="24"/>
          <w:szCs w:val="24"/>
        </w:rPr>
        <w:t>ury could plausibly find that Mckesson breached his “duty not to negligently precipitate the crime</w:t>
      </w:r>
      <w:r w:rsidRPr="00C665DD">
        <w:rPr>
          <w:rFonts w:ascii="Times New Roman" w:hAnsi="Times New Roman"/>
          <w:sz w:val="24"/>
          <w:szCs w:val="24"/>
        </w:rPr>
        <w:br/>
      </w:r>
      <w:r w:rsidRPr="00C665DD">
        <w:rPr>
          <w:rStyle w:val="markedcontent"/>
          <w:sz w:val="24"/>
          <w:szCs w:val="24"/>
        </w:rPr>
        <w:t>of a third party” because “a violent confrontation with a police officer was a foreseeable effect of negligently directing a protest” onto the highway. 945 F. 3d, at 82. The Fifth Circuit subsequently deadlocked 8 to 8 on</w:t>
      </w:r>
      <w:r>
        <w:rPr>
          <w:rStyle w:val="markedcontent"/>
          <w:sz w:val="24"/>
          <w:szCs w:val="24"/>
        </w:rPr>
        <w:t xml:space="preserve"> </w:t>
      </w:r>
      <w:r w:rsidRPr="00C665DD">
        <w:rPr>
          <w:rStyle w:val="markedcontent"/>
          <w:sz w:val="24"/>
          <w:szCs w:val="24"/>
        </w:rPr>
        <w:t xml:space="preserve">Mckesson’s petition for rehearing </w:t>
      </w:r>
      <w:proofErr w:type="spellStart"/>
      <w:r w:rsidRPr="00C665DD">
        <w:rPr>
          <w:rStyle w:val="markedcontent"/>
          <w:sz w:val="24"/>
          <w:szCs w:val="24"/>
        </w:rPr>
        <w:t>en</w:t>
      </w:r>
      <w:proofErr w:type="spellEnd"/>
      <w:r w:rsidRPr="00C665DD">
        <w:rPr>
          <w:rStyle w:val="markedcontent"/>
          <w:sz w:val="24"/>
          <w:szCs w:val="24"/>
        </w:rPr>
        <w:t xml:space="preserve"> banc [all the active judges on the 5</w:t>
      </w:r>
      <w:r w:rsidRPr="00C665DD">
        <w:rPr>
          <w:rStyle w:val="markedcontent"/>
          <w:sz w:val="24"/>
          <w:szCs w:val="24"/>
          <w:vertAlign w:val="superscript"/>
        </w:rPr>
        <w:t>th</w:t>
      </w:r>
      <w:r w:rsidRPr="00C665DD">
        <w:rPr>
          <w:rStyle w:val="markedcontent"/>
          <w:sz w:val="24"/>
          <w:szCs w:val="24"/>
        </w:rPr>
        <w:t xml:space="preserve"> Circuit]. 947 F. 3d 874, 875 (2020) (per curiam). T</w:t>
      </w:r>
      <w:r w:rsidRPr="00C665DD">
        <w:rPr>
          <w:rFonts w:ascii="Times New Roman" w:eastAsia="Times New Roman" w:hAnsi="Times New Roman"/>
          <w:sz w:val="24"/>
          <w:szCs w:val="24"/>
        </w:rPr>
        <w:t xml:space="preserve">he U.S. Supreme Court </w:t>
      </w:r>
      <w:r>
        <w:rPr>
          <w:rFonts w:ascii="Times New Roman" w:eastAsia="Times New Roman" w:hAnsi="Times New Roman"/>
          <w:sz w:val="24"/>
          <w:szCs w:val="24"/>
        </w:rPr>
        <w:t xml:space="preserve">agreed to review the case, </w:t>
      </w:r>
      <w:r w:rsidRPr="00C665DD">
        <w:rPr>
          <w:rFonts w:ascii="Times New Roman" w:eastAsia="Times New Roman" w:hAnsi="Times New Roman"/>
          <w:sz w:val="24"/>
          <w:szCs w:val="24"/>
        </w:rPr>
        <w:t xml:space="preserve">and in 2020 </w:t>
      </w:r>
      <w:r>
        <w:rPr>
          <w:rFonts w:ascii="Times New Roman" w:eastAsia="Times New Roman" w:hAnsi="Times New Roman"/>
          <w:sz w:val="24"/>
          <w:szCs w:val="24"/>
        </w:rPr>
        <w:t xml:space="preserve">in a Per Curiam order [not a decision issued by a particular Justice) and </w:t>
      </w:r>
      <w:r w:rsidRPr="00C665DD">
        <w:rPr>
          <w:rFonts w:ascii="Times New Roman" w:eastAsia="Times New Roman" w:hAnsi="Times New Roman"/>
          <w:sz w:val="24"/>
          <w:szCs w:val="24"/>
        </w:rPr>
        <w:t xml:space="preserve">vacated </w:t>
      </w:r>
      <w:r>
        <w:rPr>
          <w:rFonts w:ascii="Times New Roman" w:eastAsia="Times New Roman" w:hAnsi="Times New Roman"/>
          <w:sz w:val="24"/>
          <w:szCs w:val="24"/>
        </w:rPr>
        <w:t>5</w:t>
      </w:r>
      <w:r w:rsidRPr="00C665D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(3-judge panel) decision, </w:t>
      </w:r>
      <w:r w:rsidRPr="00C665DD">
        <w:rPr>
          <w:rFonts w:ascii="Times New Roman" w:eastAsia="Times New Roman" w:hAnsi="Times New Roman"/>
          <w:sz w:val="24"/>
          <w:szCs w:val="24"/>
        </w:rPr>
        <w:t>remanded case back to 5</w:t>
      </w:r>
      <w:r w:rsidRPr="00C665DD">
        <w:rPr>
          <w:rFonts w:ascii="Times New Roman" w:eastAsia="Times New Roman" w:hAnsi="Times New Roman"/>
          <w:sz w:val="24"/>
          <w:szCs w:val="24"/>
          <w:vertAlign w:val="superscript"/>
        </w:rPr>
        <w:t>th</w:t>
      </w:r>
      <w:r w:rsidRPr="00C665DD">
        <w:rPr>
          <w:rFonts w:ascii="Times New Roman" w:eastAsia="Times New Roman" w:hAnsi="Times New Roman"/>
          <w:sz w:val="24"/>
          <w:szCs w:val="24"/>
        </w:rPr>
        <w:t xml:space="preserve"> Circuit</w:t>
      </w:r>
      <w:r>
        <w:rPr>
          <w:rFonts w:ascii="Times New Roman" w:eastAsia="Times New Roman" w:hAnsi="Times New Roman"/>
          <w:sz w:val="24"/>
          <w:szCs w:val="24"/>
        </w:rPr>
        <w:t xml:space="preserve">. </w:t>
      </w:r>
      <w:r w:rsidRPr="00C665DD">
        <w:rPr>
          <w:rFonts w:ascii="Times New Roman" w:eastAsia="Times New Roman" w:hAnsi="Times New Roman"/>
          <w:sz w:val="24"/>
          <w:szCs w:val="24"/>
        </w:rPr>
        <w:t xml:space="preserve"> </w:t>
      </w:r>
    </w:p>
    <w:p w14:paraId="1EFA2CD6" w14:textId="77777777" w:rsidR="00AE6CF5" w:rsidRPr="00816DF1" w:rsidRDefault="00AE6CF5" w:rsidP="00AE6CF5">
      <w:pPr>
        <w:spacing w:before="100" w:beforeAutospacing="1" w:after="100" w:afterAutospacing="1" w:line="240" w:lineRule="auto"/>
        <w:ind w:left="1440"/>
        <w:rPr>
          <w:rFonts w:ascii="Times New Roman" w:eastAsia="Times New Roman" w:hAnsi="Times New Roman"/>
          <w:sz w:val="24"/>
          <w:szCs w:val="24"/>
        </w:rPr>
      </w:pPr>
      <w:r>
        <w:rPr>
          <w:rStyle w:val="markedcontent"/>
          <w:sz w:val="24"/>
          <w:szCs w:val="24"/>
        </w:rPr>
        <w:t>“</w:t>
      </w:r>
      <w:r w:rsidRPr="00C665DD">
        <w:rPr>
          <w:rStyle w:val="markedcontent"/>
          <w:sz w:val="24"/>
          <w:szCs w:val="24"/>
        </w:rPr>
        <w:t>We think that the Fifth Circuit’s interpretation of state</w:t>
      </w:r>
      <w:r>
        <w:rPr>
          <w:rStyle w:val="markedcontent"/>
          <w:sz w:val="24"/>
          <w:szCs w:val="24"/>
        </w:rPr>
        <w:t xml:space="preserve"> </w:t>
      </w:r>
      <w:r w:rsidRPr="00C665DD">
        <w:rPr>
          <w:rStyle w:val="markedcontent"/>
          <w:sz w:val="24"/>
          <w:szCs w:val="24"/>
        </w:rPr>
        <w:t xml:space="preserve">law is too uncertain a premise on which to address the </w:t>
      </w:r>
      <w:proofErr w:type="spellStart"/>
      <w:r w:rsidRPr="00C665DD">
        <w:rPr>
          <w:rStyle w:val="markedcontent"/>
          <w:sz w:val="24"/>
          <w:szCs w:val="24"/>
        </w:rPr>
        <w:t>ques</w:t>
      </w:r>
      <w:proofErr w:type="spellEnd"/>
      <w:r>
        <w:rPr>
          <w:rStyle w:val="markedcontent"/>
          <w:sz w:val="24"/>
          <w:szCs w:val="24"/>
        </w:rPr>
        <w:t xml:space="preserve"> </w:t>
      </w:r>
      <w:proofErr w:type="spellStart"/>
      <w:r w:rsidRPr="00C665DD">
        <w:rPr>
          <w:rStyle w:val="markedcontent"/>
          <w:sz w:val="24"/>
          <w:szCs w:val="24"/>
        </w:rPr>
        <w:t>tion</w:t>
      </w:r>
      <w:proofErr w:type="spellEnd"/>
      <w:r w:rsidRPr="00C665DD">
        <w:rPr>
          <w:rStyle w:val="markedcontent"/>
          <w:sz w:val="24"/>
          <w:szCs w:val="24"/>
        </w:rPr>
        <w:t xml:space="preserve"> presented. The constitutional issue, though undeniably important, is implicated only if Louisiana law permits</w:t>
      </w:r>
      <w:r w:rsidRPr="00C665DD">
        <w:rPr>
          <w:rFonts w:ascii="Times New Roman" w:hAnsi="Times New Roman"/>
          <w:sz w:val="24"/>
          <w:szCs w:val="24"/>
        </w:rPr>
        <w:br/>
      </w:r>
      <w:r w:rsidRPr="00C665DD">
        <w:rPr>
          <w:rStyle w:val="markedcontent"/>
          <w:sz w:val="24"/>
          <w:szCs w:val="24"/>
        </w:rPr>
        <w:t>recovery under these circumstances in the first place. The</w:t>
      </w:r>
      <w:r>
        <w:rPr>
          <w:rStyle w:val="markedcontent"/>
          <w:sz w:val="24"/>
          <w:szCs w:val="24"/>
        </w:rPr>
        <w:t xml:space="preserve"> </w:t>
      </w:r>
      <w:r w:rsidRPr="00C665DD">
        <w:rPr>
          <w:rStyle w:val="markedcontent"/>
          <w:sz w:val="24"/>
          <w:szCs w:val="24"/>
        </w:rPr>
        <w:t xml:space="preserve">dispute thus could be </w:t>
      </w:r>
      <w:r>
        <w:rPr>
          <w:rStyle w:val="markedcontent"/>
          <w:sz w:val="24"/>
          <w:szCs w:val="24"/>
        </w:rPr>
        <w:t>‘</w:t>
      </w:r>
      <w:r w:rsidRPr="00C665DD">
        <w:rPr>
          <w:rStyle w:val="markedcontent"/>
          <w:sz w:val="24"/>
          <w:szCs w:val="24"/>
        </w:rPr>
        <w:t xml:space="preserve">greatly </w:t>
      </w:r>
      <w:proofErr w:type="spellStart"/>
      <w:proofErr w:type="gramStart"/>
      <w:r w:rsidRPr="00C665DD">
        <w:rPr>
          <w:rStyle w:val="markedcontent"/>
          <w:sz w:val="24"/>
          <w:szCs w:val="24"/>
        </w:rPr>
        <w:t>simplifie</w:t>
      </w:r>
      <w:proofErr w:type="spellEnd"/>
      <w:r w:rsidRPr="00C665DD">
        <w:rPr>
          <w:rStyle w:val="markedcontent"/>
          <w:sz w:val="24"/>
          <w:szCs w:val="24"/>
        </w:rPr>
        <w:t>[d]</w:t>
      </w:r>
      <w:r>
        <w:rPr>
          <w:rStyle w:val="markedcontent"/>
          <w:sz w:val="24"/>
          <w:szCs w:val="24"/>
        </w:rPr>
        <w:t>’</w:t>
      </w:r>
      <w:proofErr w:type="gramEnd"/>
      <w:r w:rsidRPr="00C665DD">
        <w:rPr>
          <w:rStyle w:val="markedcontent"/>
          <w:sz w:val="24"/>
          <w:szCs w:val="24"/>
        </w:rPr>
        <w:t xml:space="preserve"> by guidance</w:t>
      </w:r>
      <w:r>
        <w:rPr>
          <w:rStyle w:val="markedcontent"/>
          <w:sz w:val="24"/>
          <w:szCs w:val="24"/>
        </w:rPr>
        <w:t xml:space="preserve"> </w:t>
      </w:r>
      <w:r w:rsidRPr="00C665DD">
        <w:rPr>
          <w:rStyle w:val="markedcontent"/>
          <w:sz w:val="24"/>
          <w:szCs w:val="24"/>
        </w:rPr>
        <w:t xml:space="preserve">from the Louisiana Supreme Court on the meaning of Louisiana </w:t>
      </w:r>
      <w:proofErr w:type="gramStart"/>
      <w:r w:rsidRPr="00C665DD">
        <w:rPr>
          <w:rStyle w:val="markedcontent"/>
          <w:sz w:val="24"/>
          <w:szCs w:val="24"/>
        </w:rPr>
        <w:t>law.</w:t>
      </w:r>
      <w:r>
        <w:rPr>
          <w:rStyle w:val="markedcontent"/>
          <w:sz w:val="24"/>
          <w:szCs w:val="24"/>
        </w:rPr>
        <w:t>”</w:t>
      </w:r>
      <w:proofErr w:type="gramEnd"/>
      <w:r>
        <w:rPr>
          <w:rFonts w:ascii="Times New Roman" w:eastAsia="Times New Roman" w:hAnsi="Times New Roman"/>
          <w:sz w:val="24"/>
          <w:szCs w:val="24"/>
        </w:rPr>
        <w:t xml:space="preserve"> </w:t>
      </w:r>
      <w:hyperlink r:id="rId765" w:history="1">
        <w:r w:rsidRPr="00CD0640">
          <w:rPr>
            <w:rStyle w:val="Hyperlink"/>
            <w:rFonts w:ascii="Times New Roman" w:hAnsi="Times New Roman"/>
            <w:sz w:val="24"/>
            <w:szCs w:val="24"/>
          </w:rPr>
          <w:t>https://www.supremecourt.gov/opinions/20pdf/19-1108_8n5a.pdf</w:t>
        </w:r>
      </w:hyperlink>
      <w:r w:rsidRPr="00816DF1">
        <w:rPr>
          <w:rStyle w:val="markedcontent"/>
          <w:sz w:val="24"/>
          <w:szCs w:val="24"/>
        </w:rPr>
        <w:t xml:space="preserve"> </w:t>
      </w:r>
    </w:p>
    <w:p w14:paraId="77FA3D39" w14:textId="77777777" w:rsidR="00AE6CF5" w:rsidRDefault="00AE6CF5" w:rsidP="00F326E5">
      <w:pPr>
        <w:pStyle w:val="NoSpacing"/>
        <w:rPr>
          <w:rFonts w:ascii="Arial Black" w:hAnsi="Arial Black"/>
          <w:sz w:val="28"/>
          <w:szCs w:val="28"/>
        </w:rPr>
      </w:pPr>
    </w:p>
    <w:p w14:paraId="1B0757B3" w14:textId="77777777" w:rsidR="00AE6CF5" w:rsidRDefault="00AE6CF5" w:rsidP="00F326E5">
      <w:pPr>
        <w:pStyle w:val="NoSpacing"/>
        <w:rPr>
          <w:rFonts w:ascii="Arial Black" w:hAnsi="Arial Black"/>
          <w:sz w:val="28"/>
          <w:szCs w:val="28"/>
        </w:rPr>
      </w:pPr>
    </w:p>
    <w:p w14:paraId="4A94EFC6" w14:textId="560BBABA" w:rsidR="00AE6CF5" w:rsidRDefault="00AE6CF5" w:rsidP="00F326E5">
      <w:pPr>
        <w:pStyle w:val="NoSpacing"/>
        <w:rPr>
          <w:rFonts w:ascii="Arial Black" w:hAnsi="Arial Black"/>
          <w:sz w:val="28"/>
          <w:szCs w:val="28"/>
        </w:rPr>
      </w:pPr>
      <w:r>
        <w:rPr>
          <w:rFonts w:ascii="Arial Black" w:hAnsi="Arial Black"/>
          <w:sz w:val="28"/>
          <w:szCs w:val="28"/>
        </w:rPr>
        <w:t>3-41</w:t>
      </w:r>
    </w:p>
    <w:p w14:paraId="6CEAC9C7" w14:textId="064BCC1C" w:rsidR="00AE6CF5" w:rsidRDefault="00AE6CF5" w:rsidP="00F326E5">
      <w:pPr>
        <w:pStyle w:val="NoSpacing"/>
        <w:rPr>
          <w:rFonts w:ascii="Arial Black" w:hAnsi="Arial Black"/>
          <w:sz w:val="28"/>
          <w:szCs w:val="28"/>
        </w:rPr>
      </w:pPr>
    </w:p>
    <w:p w14:paraId="28AE1371" w14:textId="77777777" w:rsidR="00AE6CF5" w:rsidRPr="003564FE" w:rsidRDefault="00AE6CF5" w:rsidP="00AE6CF5">
      <w:pPr>
        <w:pStyle w:val="Heading1"/>
        <w:rPr>
          <w:rFonts w:ascii="Arial Black" w:hAnsi="Arial Black"/>
          <w:b w:val="0"/>
          <w:bCs w:val="0"/>
          <w:sz w:val="28"/>
          <w:szCs w:val="28"/>
        </w:rPr>
      </w:pPr>
      <w:r>
        <w:rPr>
          <w:rFonts w:ascii="Arial Black" w:hAnsi="Arial Black"/>
          <w:b w:val="0"/>
          <w:bCs w:val="0"/>
          <w:sz w:val="28"/>
          <w:szCs w:val="28"/>
        </w:rPr>
        <w:t>U.S. SUP. COURT: NAVY SEALS MUST GET COVID VACCINATED – MILITARY OPERATIONAL DECISION</w:t>
      </w:r>
    </w:p>
    <w:p w14:paraId="392CA7F3" w14:textId="77777777" w:rsidR="00AE6CF5" w:rsidRDefault="00AE6CF5" w:rsidP="00AE6CF5">
      <w:pPr>
        <w:pStyle w:val="Heading1"/>
        <w:rPr>
          <w:rStyle w:val="Hyperlink"/>
          <w:rFonts w:eastAsiaTheme="majorEastAsia"/>
          <w:b w:val="0"/>
          <w:bCs w:val="0"/>
          <w:sz w:val="24"/>
          <w:szCs w:val="24"/>
        </w:rPr>
      </w:pPr>
      <w:r>
        <w:rPr>
          <w:b w:val="0"/>
          <w:bCs w:val="0"/>
          <w:sz w:val="24"/>
          <w:szCs w:val="24"/>
        </w:rPr>
        <w:t xml:space="preserve">On March 25, 2022, in </w:t>
      </w:r>
      <w:r w:rsidRPr="003564FE">
        <w:rPr>
          <w:b w:val="0"/>
          <w:bCs w:val="0"/>
          <w:sz w:val="24"/>
          <w:szCs w:val="24"/>
          <w:u w:val="single"/>
        </w:rPr>
        <w:t>Lloyd J. Austin, II, Secretary of Defense v. U.S. Navy Seals, et al.,</w:t>
      </w:r>
      <w:r>
        <w:rPr>
          <w:b w:val="0"/>
          <w:bCs w:val="0"/>
          <w:sz w:val="24"/>
          <w:szCs w:val="24"/>
        </w:rPr>
        <w:t xml:space="preserve">  the U.S. Supreme Court issued order (6 to 3) granting the U.S. Government’s motion for a partial stay of the decisions by both the 5</w:t>
      </w:r>
      <w:r w:rsidRPr="00677D67">
        <w:rPr>
          <w:b w:val="0"/>
          <w:bCs w:val="0"/>
          <w:sz w:val="24"/>
          <w:szCs w:val="24"/>
          <w:vertAlign w:val="superscript"/>
        </w:rPr>
        <w:t>th</w:t>
      </w:r>
      <w:r>
        <w:rPr>
          <w:b w:val="0"/>
          <w:bCs w:val="0"/>
          <w:sz w:val="24"/>
          <w:szCs w:val="24"/>
        </w:rPr>
        <w:t xml:space="preserve"> Circuit and a U.S. District Court judge in Texas regarding 35 Navy seals.  </w:t>
      </w:r>
      <w:hyperlink r:id="rId766" w:history="1">
        <w:r w:rsidRPr="00EF2641">
          <w:rPr>
            <w:rStyle w:val="Hyperlink"/>
            <w:rFonts w:eastAsiaTheme="majorEastAsia"/>
            <w:b w:val="0"/>
            <w:bCs w:val="0"/>
            <w:sz w:val="24"/>
            <w:szCs w:val="24"/>
          </w:rPr>
          <w:t>https://www.supremecourt.gov/opinions/21pdf/21a477_1bo2.pdf</w:t>
        </w:r>
      </w:hyperlink>
    </w:p>
    <w:p w14:paraId="0133DD36" w14:textId="77777777" w:rsidR="00AE6CF5" w:rsidRPr="005925FA" w:rsidRDefault="00AE6CF5" w:rsidP="00AE6CF5">
      <w:pPr>
        <w:pStyle w:val="Heading1"/>
        <w:ind w:left="720"/>
        <w:rPr>
          <w:rStyle w:val="Hyperlink"/>
          <w:rFonts w:eastAsiaTheme="majorEastAsia"/>
          <w:b w:val="0"/>
          <w:bCs w:val="0"/>
          <w:sz w:val="24"/>
          <w:szCs w:val="24"/>
        </w:rPr>
      </w:pPr>
      <w:r w:rsidRPr="005925FA">
        <w:rPr>
          <w:rStyle w:val="markedcontent"/>
          <w:b w:val="0"/>
          <w:bCs w:val="0"/>
          <w:sz w:val="24"/>
          <w:szCs w:val="24"/>
        </w:rPr>
        <w:t xml:space="preserve">“The district court’s January 3, </w:t>
      </w:r>
      <w:proofErr w:type="gramStart"/>
      <w:r w:rsidRPr="005925FA">
        <w:rPr>
          <w:rStyle w:val="markedcontent"/>
          <w:b w:val="0"/>
          <w:bCs w:val="0"/>
          <w:sz w:val="24"/>
          <w:szCs w:val="24"/>
        </w:rPr>
        <w:t>2022</w:t>
      </w:r>
      <w:proofErr w:type="gramEnd"/>
      <w:r w:rsidRPr="005925FA">
        <w:rPr>
          <w:rStyle w:val="markedcontent"/>
          <w:b w:val="0"/>
          <w:bCs w:val="0"/>
          <w:sz w:val="24"/>
          <w:szCs w:val="24"/>
        </w:rPr>
        <w:t xml:space="preserve"> order, insofar as it precludes the Navy from considering respondents’ vaccination status in making deployment, assignment, and other operational decisions, is stayed pending disposition of the appeal in the United States Court of Appeals for the Fifth Circuit and disposition of the petition for a writ of certiorari, if such writ is timely sought.” </w:t>
      </w:r>
      <w:hyperlink r:id="rId767" w:history="1">
        <w:r w:rsidRPr="005925FA">
          <w:rPr>
            <w:rStyle w:val="Hyperlink"/>
            <w:rFonts w:eastAsiaTheme="majorEastAsia"/>
            <w:b w:val="0"/>
            <w:bCs w:val="0"/>
            <w:sz w:val="24"/>
            <w:szCs w:val="24"/>
          </w:rPr>
          <w:t>https://www.supremecourt.gov/opinions/21pdf/21a477_1bo2.pdf</w:t>
        </w:r>
      </w:hyperlink>
    </w:p>
    <w:p w14:paraId="3DBA227B" w14:textId="77777777" w:rsidR="00AE6CF5" w:rsidRPr="005925FA" w:rsidRDefault="00AE6CF5" w:rsidP="00AE6CF5">
      <w:pPr>
        <w:pStyle w:val="Heading1"/>
        <w:rPr>
          <w:rStyle w:val="markedcontent"/>
          <w:b w:val="0"/>
          <w:bCs w:val="0"/>
          <w:sz w:val="24"/>
          <w:szCs w:val="24"/>
        </w:rPr>
      </w:pPr>
      <w:r w:rsidRPr="005925FA">
        <w:rPr>
          <w:rStyle w:val="markedcontent"/>
          <w:b w:val="0"/>
          <w:bCs w:val="0"/>
          <w:sz w:val="24"/>
          <w:szCs w:val="24"/>
        </w:rPr>
        <w:t>Concurring Opinion:</w:t>
      </w:r>
    </w:p>
    <w:p w14:paraId="28C99590" w14:textId="77777777" w:rsidR="00AE6CF5" w:rsidRPr="005925FA" w:rsidRDefault="00AE6CF5" w:rsidP="00AE6CF5">
      <w:pPr>
        <w:pStyle w:val="Heading1"/>
        <w:ind w:left="720"/>
        <w:rPr>
          <w:rStyle w:val="markedcontent"/>
          <w:b w:val="0"/>
          <w:bCs w:val="0"/>
          <w:sz w:val="24"/>
          <w:szCs w:val="24"/>
        </w:rPr>
      </w:pPr>
      <w:r w:rsidRPr="005925FA">
        <w:rPr>
          <w:rStyle w:val="markedcontent"/>
          <w:b w:val="0"/>
          <w:bCs w:val="0"/>
          <w:sz w:val="24"/>
          <w:szCs w:val="24"/>
        </w:rPr>
        <w:t xml:space="preserve">Justice Kavanaugh in a concurring decision wrote: </w:t>
      </w:r>
    </w:p>
    <w:p w14:paraId="587B8230"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“As the Court has long emphasized, moreover, the ‘complex, subtle, and professional decisions as to the composition, training, equipping, and control of a</w:t>
      </w:r>
      <w:r w:rsidRPr="005925FA">
        <w:rPr>
          <w:b w:val="0"/>
          <w:bCs w:val="0"/>
          <w:sz w:val="24"/>
          <w:szCs w:val="24"/>
        </w:rPr>
        <w:br/>
      </w:r>
      <w:r w:rsidRPr="005925FA">
        <w:rPr>
          <w:rStyle w:val="markedcontent"/>
          <w:b w:val="0"/>
          <w:bCs w:val="0"/>
          <w:sz w:val="24"/>
          <w:szCs w:val="24"/>
        </w:rPr>
        <w:t>military force are essentially professional military judgments.’ Gilligan v. Morgan, 413 U. S. 1, 10 (1973). Therefore, it is ‘difficult to conceive of an area of governmental activity in which the courts have less competence.’</w:t>
      </w:r>
    </w:p>
    <w:p w14:paraId="153E5337"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w:t>
      </w:r>
    </w:p>
    <w:p w14:paraId="130B2E6A"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 xml:space="preserve">As Admiral William Lescher, Vice Chief of Naval Operations, explained: ‘Sending ships into combat without maximizing the crew’s odds of success, such as would be the case with ship deficiencies in ordnance, radar, working weapons or the means to reliably accomplish the mission, is dereliction of duty. The same applies to ordering unvaccinated personnel into an environment in which they endanger their lives, the lives of others and compromise accomplishment of </w:t>
      </w:r>
      <w:r w:rsidRPr="005925FA">
        <w:rPr>
          <w:b w:val="0"/>
          <w:bCs w:val="0"/>
          <w:sz w:val="24"/>
          <w:szCs w:val="24"/>
        </w:rPr>
        <w:br/>
      </w:r>
      <w:r w:rsidRPr="005925FA">
        <w:rPr>
          <w:rStyle w:val="markedcontent"/>
          <w:b w:val="0"/>
          <w:bCs w:val="0"/>
          <w:sz w:val="24"/>
          <w:szCs w:val="24"/>
        </w:rPr>
        <w:t>essential missions.”</w:t>
      </w:r>
    </w:p>
    <w:p w14:paraId="2F004C49" w14:textId="77777777" w:rsidR="00AE6CF5" w:rsidRPr="0088598C" w:rsidRDefault="00AE6CF5" w:rsidP="00AE6CF5">
      <w:pPr>
        <w:pStyle w:val="Heading1"/>
        <w:rPr>
          <w:rStyle w:val="markedcontent"/>
          <w:b w:val="0"/>
          <w:bCs w:val="0"/>
          <w:sz w:val="24"/>
          <w:szCs w:val="24"/>
        </w:rPr>
      </w:pPr>
      <w:r w:rsidRPr="00EF2641">
        <w:rPr>
          <w:rStyle w:val="markedcontent"/>
          <w:sz w:val="24"/>
          <w:szCs w:val="24"/>
        </w:rPr>
        <w:t xml:space="preserve">Legal Lesson Learned: </w:t>
      </w:r>
      <w:r>
        <w:rPr>
          <w:rStyle w:val="markedcontent"/>
          <w:sz w:val="24"/>
          <w:szCs w:val="24"/>
        </w:rPr>
        <w:t xml:space="preserve"> The U.S. Supreme Court majority clearly decided to not interfere with U.S. military command decisions regarding deployment eligibility of personnel. </w:t>
      </w:r>
    </w:p>
    <w:p w14:paraId="397B53B4" w14:textId="77777777" w:rsidR="00AE6CF5" w:rsidRPr="00ED08CC" w:rsidRDefault="00AE6CF5" w:rsidP="00AE6CF5">
      <w:pPr>
        <w:pStyle w:val="Heading1"/>
        <w:ind w:left="720"/>
        <w:rPr>
          <w:rStyle w:val="markedcontent"/>
          <w:b w:val="0"/>
          <w:bCs w:val="0"/>
          <w:sz w:val="24"/>
          <w:szCs w:val="24"/>
        </w:rPr>
      </w:pPr>
      <w:r>
        <w:rPr>
          <w:b w:val="0"/>
          <w:bCs w:val="0"/>
          <w:sz w:val="24"/>
          <w:szCs w:val="24"/>
        </w:rPr>
        <w:t>Note: On Feb. 26, 2022, the 5</w:t>
      </w:r>
      <w:r w:rsidRPr="00822DF0">
        <w:rPr>
          <w:b w:val="0"/>
          <w:bCs w:val="0"/>
          <w:sz w:val="24"/>
          <w:szCs w:val="24"/>
          <w:vertAlign w:val="superscript"/>
        </w:rPr>
        <w:t>th</w:t>
      </w:r>
      <w:r>
        <w:rPr>
          <w:b w:val="0"/>
          <w:bCs w:val="0"/>
          <w:sz w:val="24"/>
          <w:szCs w:val="24"/>
        </w:rPr>
        <w:t xml:space="preserve"> Circuit (New Orleans) upheld the District Court judge, holding (3 to 0):</w:t>
      </w:r>
      <w:r w:rsidRPr="0088598C">
        <w:t xml:space="preserve"> </w:t>
      </w:r>
      <w:hyperlink r:id="rId768" w:history="1">
        <w:r w:rsidRPr="005C3AB1">
          <w:rPr>
            <w:rStyle w:val="Hyperlink"/>
            <w:rFonts w:eastAsiaTheme="majorEastAsia"/>
            <w:b w:val="0"/>
            <w:bCs w:val="0"/>
            <w:sz w:val="24"/>
            <w:szCs w:val="24"/>
          </w:rPr>
          <w:t>https://www.ca5.uscourts.gov/opinions/pub/22/22-10077-CV0.pdf</w:t>
        </w:r>
      </w:hyperlink>
    </w:p>
    <w:p w14:paraId="4B46E94C" w14:textId="77777777" w:rsidR="00AE6CF5" w:rsidRPr="00B81AFF" w:rsidRDefault="00AE6CF5" w:rsidP="00AE6CF5">
      <w:pPr>
        <w:pStyle w:val="Heading1"/>
        <w:ind w:left="1440"/>
        <w:rPr>
          <w:rStyle w:val="markedcontent"/>
          <w:b w:val="0"/>
          <w:bCs w:val="0"/>
          <w:sz w:val="24"/>
          <w:szCs w:val="24"/>
        </w:rPr>
      </w:pPr>
      <w:r w:rsidRPr="00B81AFF">
        <w:rPr>
          <w:rStyle w:val="markedcontent"/>
          <w:b w:val="0"/>
          <w:bCs w:val="0"/>
          <w:sz w:val="24"/>
          <w:szCs w:val="24"/>
        </w:rPr>
        <w:t>“The Navy has granted hundreds of medical exemptions from vaccination requirements, allowing those service members to seek medical waivers and become deployable. But it has not accommodated any religious objection to any vaccine in seven years, preventing those seeking such accommodations from even being considered for medical waivers. We DENY Defendants’ motion.”</w:t>
      </w:r>
    </w:p>
    <w:p w14:paraId="24E2088B" w14:textId="77777777" w:rsidR="00AE6CF5" w:rsidRDefault="00AE6CF5" w:rsidP="00F326E5">
      <w:pPr>
        <w:pStyle w:val="NoSpacing"/>
        <w:rPr>
          <w:rFonts w:ascii="Arial Black" w:hAnsi="Arial Black"/>
          <w:sz w:val="28"/>
          <w:szCs w:val="28"/>
        </w:rPr>
      </w:pPr>
    </w:p>
    <w:p w14:paraId="1EE561EC" w14:textId="77777777" w:rsidR="00AE6CF5" w:rsidRDefault="00AE6CF5" w:rsidP="00F326E5">
      <w:pPr>
        <w:pStyle w:val="NoSpacing"/>
        <w:rPr>
          <w:rFonts w:ascii="Arial Black" w:hAnsi="Arial Black"/>
          <w:sz w:val="28"/>
          <w:szCs w:val="28"/>
        </w:rPr>
      </w:pPr>
    </w:p>
    <w:p w14:paraId="17572456" w14:textId="77777777" w:rsidR="00AE6CF5" w:rsidRDefault="00AE6CF5" w:rsidP="00F326E5">
      <w:pPr>
        <w:pStyle w:val="NoSpacing"/>
        <w:rPr>
          <w:rFonts w:ascii="Arial Black" w:hAnsi="Arial Black"/>
          <w:sz w:val="28"/>
          <w:szCs w:val="28"/>
        </w:rPr>
      </w:pPr>
    </w:p>
    <w:p w14:paraId="16FA83F2" w14:textId="60EA4B49" w:rsidR="0082055F" w:rsidRDefault="00A20CA7" w:rsidP="00F326E5">
      <w:pPr>
        <w:pStyle w:val="NoSpacing"/>
        <w:rPr>
          <w:rFonts w:ascii="Arial Black" w:hAnsi="Arial Black"/>
          <w:sz w:val="28"/>
          <w:szCs w:val="28"/>
        </w:rPr>
      </w:pPr>
      <w:r>
        <w:rPr>
          <w:rFonts w:ascii="Arial Black" w:hAnsi="Arial Black"/>
          <w:sz w:val="28"/>
          <w:szCs w:val="28"/>
        </w:rPr>
        <w:t>3-40</w:t>
      </w:r>
    </w:p>
    <w:p w14:paraId="1519126D" w14:textId="77777777" w:rsidR="00A20CA7" w:rsidRDefault="00A20CA7" w:rsidP="00A20CA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TREE OF LIFE SYNAGOGUE – SHOOTER’S STATEMENTS TO SWAT ADMISSIBLE – PUBLIC SAFETY EXCEPTION</w:t>
      </w:r>
    </w:p>
    <w:p w14:paraId="7DE491CC" w14:textId="77777777" w:rsidR="00A20CA7" w:rsidRDefault="00A20CA7" w:rsidP="00A20CA7">
      <w:pPr>
        <w:pStyle w:val="NormalWeb"/>
      </w:pPr>
      <w:r>
        <w:t xml:space="preserve">On Jan. 20, 2022, in </w:t>
      </w:r>
      <w:r w:rsidRPr="00904325">
        <w:rPr>
          <w:u w:val="single"/>
        </w:rPr>
        <w:t>United States of America v. Robert Bowers</w:t>
      </w:r>
      <w:r>
        <w:t>, Senior U.S. District Court Judge D</w:t>
      </w:r>
      <w:r w:rsidRPr="00904325">
        <w:t>onetta</w:t>
      </w:r>
      <w:r>
        <w:t xml:space="preserve"> Ambrose, U.S. District Court for Western District of Pennsylvania, denied the defendant’s motion to suppress statements made to police at that scene prior to being given Miranda warning, based on the “public safety exception.”  The defendant was armed </w:t>
      </w:r>
      <w:r w:rsidRPr="002A0ACB">
        <w:t xml:space="preserve">with an AR-15-style assault rifle and at least three handguns, </w:t>
      </w:r>
      <w:r>
        <w:t xml:space="preserve">shouted </w:t>
      </w:r>
      <w:r w:rsidRPr="002A0ACB">
        <w:t xml:space="preserve">anti-Semitic slurs </w:t>
      </w:r>
      <w:r>
        <w:t xml:space="preserve">and killed </w:t>
      </w:r>
      <w:r w:rsidRPr="002A0ACB">
        <w:t>11 congregants and wound</w:t>
      </w:r>
      <w:r>
        <w:t>ed</w:t>
      </w:r>
      <w:r w:rsidRPr="002A0ACB">
        <w:t xml:space="preserve"> four police officers</w:t>
      </w:r>
      <w:r>
        <w:t xml:space="preserve">.  </w:t>
      </w:r>
      <w:hyperlink r:id="rId769" w:history="1">
        <w:r w:rsidRPr="00A07B51">
          <w:rPr>
            <w:rStyle w:val="Hyperlink"/>
            <w:rFonts w:eastAsiaTheme="majorEastAsia"/>
          </w:rPr>
          <w:t>https://public.fastcase.com/9SKwsfNqTc6OieYDhNMyMwgnH2rEWQiRpx4SwB8tOsl9D8EiwJnekd530roHqTrENez3wWnOYZMVTxSfKTsOEtbG3zaICMf20ttzqQEEaDo</w:t>
        </w:r>
      </w:hyperlink>
    </w:p>
    <w:p w14:paraId="1C0AB4BE" w14:textId="77777777" w:rsidR="009A3D9F" w:rsidRPr="00F35AD1" w:rsidRDefault="009A3D9F" w:rsidP="009A3D9F">
      <w:pPr>
        <w:pStyle w:val="NormalWeb"/>
        <w:rPr>
          <w:b/>
          <w:bCs/>
        </w:rPr>
      </w:pPr>
      <w:r w:rsidRPr="00BA5395">
        <w:rPr>
          <w:b/>
          <w:bCs/>
        </w:rPr>
        <w:t>Legal Lesson Learned:</w:t>
      </w:r>
      <w:r>
        <w:rPr>
          <w:b/>
          <w:bCs/>
        </w:rPr>
        <w:t xml:space="preserve"> The “public safety exception” to Miranda ruling allows into evidence statements of defendants in response to police questioning in situations where there is a threat to public safety. </w:t>
      </w:r>
    </w:p>
    <w:p w14:paraId="07925D7C" w14:textId="77777777" w:rsidR="00A20CA7" w:rsidRDefault="00A20CA7" w:rsidP="00F326E5">
      <w:pPr>
        <w:pStyle w:val="NoSpacing"/>
        <w:rPr>
          <w:rFonts w:ascii="Arial Black" w:hAnsi="Arial Black"/>
          <w:sz w:val="28"/>
          <w:szCs w:val="28"/>
        </w:rPr>
      </w:pPr>
    </w:p>
    <w:p w14:paraId="78DAC4EE" w14:textId="77777777" w:rsidR="00A20CA7" w:rsidRDefault="00A20CA7" w:rsidP="00F326E5">
      <w:pPr>
        <w:pStyle w:val="NoSpacing"/>
        <w:rPr>
          <w:rFonts w:ascii="Arial Black" w:hAnsi="Arial Black"/>
          <w:sz w:val="28"/>
          <w:szCs w:val="28"/>
        </w:rPr>
      </w:pPr>
    </w:p>
    <w:p w14:paraId="6B4EA7EA" w14:textId="4941B572" w:rsidR="00954D68" w:rsidRDefault="00954D68" w:rsidP="00F326E5">
      <w:pPr>
        <w:pStyle w:val="NoSpacing"/>
        <w:rPr>
          <w:rFonts w:ascii="Arial Black" w:hAnsi="Arial Black"/>
          <w:sz w:val="28"/>
          <w:szCs w:val="28"/>
        </w:rPr>
      </w:pPr>
      <w:r>
        <w:rPr>
          <w:rFonts w:ascii="Arial Black" w:hAnsi="Arial Black"/>
          <w:sz w:val="28"/>
          <w:szCs w:val="28"/>
        </w:rPr>
        <w:t>3-39</w:t>
      </w:r>
    </w:p>
    <w:p w14:paraId="02170FAF" w14:textId="77777777" w:rsidR="00954D68" w:rsidRDefault="00954D68" w:rsidP="00954D68">
      <w:pPr>
        <w:spacing w:before="100" w:beforeAutospacing="1" w:after="100" w:afterAutospacing="1" w:line="240" w:lineRule="auto"/>
        <w:rPr>
          <w:rFonts w:ascii="Arial Black" w:eastAsia="Times New Roman" w:hAnsi="Arial Black"/>
          <w:b/>
          <w:bCs/>
          <w:sz w:val="28"/>
          <w:szCs w:val="28"/>
        </w:rPr>
      </w:pPr>
      <w:bookmarkStart w:id="134" w:name="_Hlk92113429"/>
      <w:r>
        <w:rPr>
          <w:rFonts w:ascii="Arial Black" w:eastAsia="Times New Roman" w:hAnsi="Arial Black"/>
          <w:b/>
          <w:bCs/>
          <w:sz w:val="28"/>
          <w:szCs w:val="28"/>
        </w:rPr>
        <w:t>MI: TERRORIST CONFESSION TO FBI - MIRANDA WARNINGS GIVEN BY FBI DURING C-17 FLIGHT TO U.S. - ADMISSIBLE</w:t>
      </w:r>
    </w:p>
    <w:bookmarkEnd w:id="134"/>
    <w:p w14:paraId="49C16A3D" w14:textId="77777777" w:rsidR="00954D68" w:rsidRDefault="00954D68" w:rsidP="00954D68">
      <w:pPr>
        <w:spacing w:before="100" w:beforeAutospacing="1" w:after="100" w:afterAutospacing="1" w:line="240" w:lineRule="auto"/>
        <w:rPr>
          <w:rFonts w:ascii="Times New Roman" w:eastAsia="Times New Roman" w:hAnsi="Times New Roman"/>
          <w:sz w:val="24"/>
          <w:szCs w:val="24"/>
        </w:rPr>
      </w:pPr>
      <w:r w:rsidRPr="000B5148">
        <w:rPr>
          <w:rFonts w:ascii="Times New Roman" w:eastAsia="Times New Roman" w:hAnsi="Times New Roman"/>
          <w:sz w:val="24"/>
          <w:szCs w:val="24"/>
        </w:rPr>
        <w:t xml:space="preserve">On </w:t>
      </w:r>
      <w:r>
        <w:rPr>
          <w:rFonts w:ascii="Times New Roman" w:eastAsia="Times New Roman" w:hAnsi="Times New Roman"/>
          <w:sz w:val="24"/>
          <w:szCs w:val="24"/>
        </w:rPr>
        <w:t xml:space="preserve">Dec. 13, 2021, in </w:t>
      </w:r>
      <w:r w:rsidRPr="000B5148">
        <w:rPr>
          <w:rFonts w:ascii="Times New Roman" w:eastAsia="Times New Roman" w:hAnsi="Times New Roman"/>
          <w:sz w:val="24"/>
          <w:szCs w:val="24"/>
          <w:u w:val="single"/>
        </w:rPr>
        <w:t>United States of America v. Ibraheem Izzy Musaibi</w:t>
      </w:r>
      <w:r>
        <w:rPr>
          <w:rFonts w:ascii="Times New Roman" w:eastAsia="Times New Roman" w:hAnsi="Times New Roman"/>
          <w:sz w:val="24"/>
          <w:szCs w:val="24"/>
        </w:rPr>
        <w:t xml:space="preserve">, U.S. District Court Judge David Lawson, U.S. District Court for Eastern District of Michigan (Southern Division) denied the defense motion to suppress his statements; the FBI gave him clear </w:t>
      </w:r>
      <w:r w:rsidRPr="000B5148">
        <w:rPr>
          <w:rFonts w:ascii="Times New Roman" w:eastAsia="Times New Roman" w:hAnsi="Times New Roman"/>
          <w:i/>
          <w:iCs/>
          <w:sz w:val="24"/>
          <w:szCs w:val="24"/>
        </w:rPr>
        <w:t>Miranda</w:t>
      </w:r>
      <w:r>
        <w:rPr>
          <w:rFonts w:ascii="Times New Roman" w:eastAsia="Times New Roman" w:hAnsi="Times New Roman"/>
          <w:sz w:val="24"/>
          <w:szCs w:val="24"/>
        </w:rPr>
        <w:t xml:space="preserve"> warnings. </w:t>
      </w:r>
    </w:p>
    <w:p w14:paraId="1C1592D0" w14:textId="77777777" w:rsidR="00954D68" w:rsidRPr="006A0973" w:rsidRDefault="00954D68" w:rsidP="00954D68">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623CC0">
        <w:rPr>
          <w:rFonts w:ascii="Times New Roman" w:hAnsi="Times New Roman"/>
          <w:sz w:val="24"/>
          <w:szCs w:val="24"/>
        </w:rPr>
        <w:t>The evidence adduced at the evidentiary hearing establishes that the statements the defendant made while in the custody of the agents on the flight from the Middle East to the United States were voluntary and preceded by the appropriate advice of constitutional rights and warnings, and the defendant's waiver of those rights was knowing and voluntary. The statements the defendant made in text messages with FBI agent Kerner were voluntary and not the product of coercion by the government agent. There is no valid reason to suppress the statements or the text messages.</w:t>
      </w:r>
      <w:r>
        <w:rPr>
          <w:rFonts w:ascii="Times New Roman" w:hAnsi="Times New Roman"/>
          <w:sz w:val="24"/>
          <w:szCs w:val="24"/>
        </w:rPr>
        <w:t>”</w:t>
      </w:r>
      <w:r w:rsidRPr="00623CC0">
        <w:rPr>
          <w:rFonts w:ascii="Times New Roman" w:eastAsia="Times New Roman" w:hAnsi="Times New Roman"/>
          <w:sz w:val="24"/>
          <w:szCs w:val="24"/>
        </w:rPr>
        <w:t xml:space="preserve"> </w:t>
      </w:r>
      <w:hyperlink r:id="rId770" w:history="1">
        <w:r w:rsidRPr="00EC5853">
          <w:rPr>
            <w:rStyle w:val="Hyperlink"/>
            <w:rFonts w:ascii="Times New Roman" w:eastAsia="Times New Roman" w:hAnsi="Times New Roman"/>
            <w:sz w:val="24"/>
            <w:szCs w:val="24"/>
          </w:rPr>
          <w:t>https://casetext.com/case/united-states-v-musaibli-1</w:t>
        </w:r>
      </w:hyperlink>
      <w:r>
        <w:rPr>
          <w:rFonts w:ascii="Times New Roman" w:eastAsia="Times New Roman" w:hAnsi="Times New Roman"/>
          <w:sz w:val="24"/>
          <w:szCs w:val="24"/>
        </w:rPr>
        <w:t xml:space="preserve"> </w:t>
      </w:r>
    </w:p>
    <w:p w14:paraId="28993D92" w14:textId="77777777" w:rsidR="00954D68" w:rsidRPr="00623CC0" w:rsidRDefault="00954D68" w:rsidP="00954D68">
      <w:pPr>
        <w:spacing w:before="100" w:beforeAutospacing="1" w:after="100" w:afterAutospacing="1" w:line="240" w:lineRule="auto"/>
        <w:rPr>
          <w:rFonts w:ascii="Times New Roman" w:hAnsi="Times New Roman"/>
          <w:b/>
          <w:bCs/>
          <w:sz w:val="24"/>
          <w:szCs w:val="24"/>
        </w:rPr>
      </w:pPr>
      <w:r w:rsidRPr="00623CC0">
        <w:rPr>
          <w:rFonts w:ascii="Times New Roman" w:hAnsi="Times New Roman"/>
          <w:b/>
          <w:bCs/>
          <w:sz w:val="24"/>
          <w:szCs w:val="24"/>
        </w:rPr>
        <w:t>Legal Lesson Learned:</w:t>
      </w:r>
      <w:r>
        <w:rPr>
          <w:rFonts w:ascii="Times New Roman" w:hAnsi="Times New Roman"/>
          <w:b/>
          <w:bCs/>
          <w:sz w:val="24"/>
          <w:szCs w:val="24"/>
        </w:rPr>
        <w:t xml:space="preserve"> The post-Miranda warning 5-hour interrogation during C-17 flight, and 2-hours upon arrival in U.S. were lawful.  </w:t>
      </w:r>
    </w:p>
    <w:p w14:paraId="080661FD" w14:textId="77777777" w:rsidR="00954D68" w:rsidRPr="00954D68" w:rsidRDefault="00954D68" w:rsidP="00F326E5">
      <w:pPr>
        <w:pStyle w:val="NoSpacing"/>
      </w:pPr>
    </w:p>
    <w:p w14:paraId="2908668C" w14:textId="77777777" w:rsidR="00954D68" w:rsidRDefault="00954D68" w:rsidP="00F326E5">
      <w:pPr>
        <w:pStyle w:val="NoSpacing"/>
        <w:rPr>
          <w:rFonts w:ascii="Arial Black" w:hAnsi="Arial Black"/>
          <w:sz w:val="28"/>
          <w:szCs w:val="28"/>
        </w:rPr>
      </w:pPr>
    </w:p>
    <w:p w14:paraId="7F58718F" w14:textId="76D373A5" w:rsidR="0082055F" w:rsidRDefault="0082055F" w:rsidP="00F326E5">
      <w:pPr>
        <w:pStyle w:val="NoSpacing"/>
        <w:rPr>
          <w:rFonts w:ascii="Arial Black" w:hAnsi="Arial Black"/>
          <w:sz w:val="28"/>
          <w:szCs w:val="28"/>
        </w:rPr>
      </w:pPr>
      <w:r>
        <w:rPr>
          <w:rFonts w:ascii="Arial Black" w:hAnsi="Arial Black"/>
          <w:sz w:val="28"/>
          <w:szCs w:val="28"/>
        </w:rPr>
        <w:t>3-38</w:t>
      </w:r>
    </w:p>
    <w:p w14:paraId="1860943B" w14:textId="77777777" w:rsidR="0082055F" w:rsidRPr="00964118" w:rsidRDefault="0082055F" w:rsidP="0082055F">
      <w:pPr>
        <w:pStyle w:val="Heading1"/>
        <w:rPr>
          <w:rFonts w:ascii="Arial Black" w:hAnsi="Arial Black"/>
          <w:sz w:val="28"/>
          <w:szCs w:val="28"/>
        </w:rPr>
      </w:pPr>
      <w:r>
        <w:rPr>
          <w:rFonts w:ascii="Arial Black" w:hAnsi="Arial Black"/>
          <w:sz w:val="28"/>
          <w:szCs w:val="28"/>
        </w:rPr>
        <w:t>MD: ISIS SENTENCED 20 YEARS – OBTAINED FUNDS MAKE “ATTACK IN USA” – PLEA DEAL, JUDGE SET THE SENTENCE</w:t>
      </w:r>
    </w:p>
    <w:p w14:paraId="4C236ADB" w14:textId="77777777" w:rsidR="0082055F" w:rsidRPr="00284B77" w:rsidRDefault="0082055F" w:rsidP="0082055F">
      <w:pPr>
        <w:pStyle w:val="Heading1"/>
        <w:rPr>
          <w:b w:val="0"/>
          <w:bCs w:val="0"/>
          <w:sz w:val="24"/>
          <w:szCs w:val="24"/>
        </w:rPr>
      </w:pPr>
      <w:r>
        <w:rPr>
          <w:b w:val="0"/>
          <w:bCs w:val="0"/>
          <w:sz w:val="24"/>
          <w:szCs w:val="24"/>
        </w:rPr>
        <w:t xml:space="preserve">On Oct. 14, 2021, in </w:t>
      </w:r>
      <w:r w:rsidRPr="00964118">
        <w:rPr>
          <w:b w:val="0"/>
          <w:bCs w:val="0"/>
          <w:sz w:val="24"/>
          <w:szCs w:val="24"/>
          <w:u w:val="single"/>
        </w:rPr>
        <w:t xml:space="preserve">Mohamed Y. </w:t>
      </w:r>
      <w:proofErr w:type="spellStart"/>
      <w:r w:rsidRPr="00964118">
        <w:rPr>
          <w:b w:val="0"/>
          <w:bCs w:val="0"/>
          <w:sz w:val="24"/>
          <w:szCs w:val="24"/>
          <w:u w:val="single"/>
        </w:rPr>
        <w:t>Elshinawy</w:t>
      </w:r>
      <w:proofErr w:type="spellEnd"/>
      <w:r w:rsidRPr="00964118">
        <w:rPr>
          <w:b w:val="0"/>
          <w:bCs w:val="0"/>
          <w:sz w:val="24"/>
          <w:szCs w:val="24"/>
          <w:u w:val="single"/>
        </w:rPr>
        <w:t xml:space="preserve"> v. United States of America</w:t>
      </w:r>
      <w:r>
        <w:rPr>
          <w:b w:val="0"/>
          <w:bCs w:val="0"/>
          <w:sz w:val="24"/>
          <w:szCs w:val="24"/>
        </w:rPr>
        <w:t>, U.S. District Court Judge Ellen L. Hollander, U.S. District Court for District of Maryland, denied the defendant’s post-conviction petition to be given a trial; when he was sentenced the Judge informed him of maximum possible sentence of 68 years.  Serious charges, including: “</w:t>
      </w:r>
      <w:r w:rsidRPr="00284B77">
        <w:rPr>
          <w:b w:val="0"/>
          <w:bCs w:val="0"/>
          <w:sz w:val="24"/>
          <w:szCs w:val="24"/>
        </w:rPr>
        <w:t>Beginning in March 2015, Petitioner received money transfers from a foreign entity based in Wales, United Kingdom, and Dhaka, Bangladesh</w:t>
      </w:r>
      <w:r>
        <w:rPr>
          <w:b w:val="0"/>
          <w:bCs w:val="0"/>
          <w:sz w:val="24"/>
          <w:szCs w:val="24"/>
        </w:rPr>
        <w:t>…</w:t>
      </w:r>
      <w:r w:rsidRPr="00284B77">
        <w:rPr>
          <w:rStyle w:val="Emphasis"/>
          <w:b w:val="0"/>
          <w:bCs w:val="0"/>
          <w:sz w:val="24"/>
          <w:szCs w:val="24"/>
        </w:rPr>
        <w:t>.</w:t>
      </w:r>
      <w:r w:rsidRPr="00284B77">
        <w:rPr>
          <w:b w:val="0"/>
          <w:bCs w:val="0"/>
          <w:sz w:val="24"/>
          <w:szCs w:val="24"/>
        </w:rPr>
        <w:t xml:space="preserve"> The funds were “to be used to fund a terrorist attack in the United States.” </w:t>
      </w:r>
    </w:p>
    <w:p w14:paraId="05C74215" w14:textId="77777777" w:rsidR="0082055F" w:rsidRDefault="0082055F" w:rsidP="0082055F">
      <w:pPr>
        <w:pStyle w:val="Heading1"/>
        <w:ind w:left="720"/>
        <w:rPr>
          <w:b w:val="0"/>
          <w:bCs w:val="0"/>
          <w:sz w:val="24"/>
          <w:szCs w:val="24"/>
        </w:rPr>
      </w:pPr>
      <w:r w:rsidRPr="00964118">
        <w:rPr>
          <w:b w:val="0"/>
          <w:bCs w:val="0"/>
          <w:sz w:val="24"/>
          <w:szCs w:val="24"/>
        </w:rPr>
        <w:t>“Petitioner also alleges that he would have gone to trial if he knew that he would be exposed to a sentence of sixty-eight years in the Plea Agreement</w:t>
      </w:r>
      <w:r>
        <w:rPr>
          <w:b w:val="0"/>
          <w:bCs w:val="0"/>
          <w:sz w:val="24"/>
          <w:szCs w:val="24"/>
        </w:rPr>
        <w:t xml:space="preserve">…. </w:t>
      </w:r>
      <w:r w:rsidRPr="00964118">
        <w:rPr>
          <w:b w:val="0"/>
          <w:bCs w:val="0"/>
          <w:sz w:val="24"/>
          <w:szCs w:val="24"/>
        </w:rPr>
        <w:t>There is no merit to this claim, as the Plea Agreement explicitly outlines the maximum sentence available</w:t>
      </w:r>
      <w:r>
        <w:rPr>
          <w:b w:val="0"/>
          <w:bCs w:val="0"/>
          <w:sz w:val="24"/>
          <w:szCs w:val="24"/>
        </w:rPr>
        <w:t>….</w:t>
      </w:r>
      <w:r w:rsidRPr="00964118">
        <w:rPr>
          <w:b w:val="0"/>
          <w:bCs w:val="0"/>
          <w:sz w:val="24"/>
          <w:szCs w:val="24"/>
        </w:rPr>
        <w:t xml:space="preserve"> Furthermore, petitioner explicitly acknowledged on the record that he had read and understood the Agreement</w:t>
      </w:r>
      <w:r>
        <w:rPr>
          <w:b w:val="0"/>
          <w:bCs w:val="0"/>
          <w:sz w:val="24"/>
          <w:szCs w:val="24"/>
        </w:rPr>
        <w:t xml:space="preserve">…. </w:t>
      </w:r>
      <w:r w:rsidRPr="00964118">
        <w:rPr>
          <w:b w:val="0"/>
          <w:bCs w:val="0"/>
          <w:sz w:val="24"/>
          <w:szCs w:val="24"/>
        </w:rPr>
        <w:t xml:space="preserve">And, the Supreme Court has explained that a reviewing court may presume that competent counsel explained a plea and its consequences to a defendant. </w:t>
      </w:r>
      <w:r w:rsidRPr="00964118">
        <w:rPr>
          <w:rStyle w:val="Emphasis"/>
          <w:b w:val="0"/>
          <w:bCs w:val="0"/>
          <w:sz w:val="24"/>
          <w:szCs w:val="24"/>
        </w:rPr>
        <w:t>Marshall</w:t>
      </w:r>
      <w:r w:rsidRPr="00964118">
        <w:rPr>
          <w:b w:val="0"/>
          <w:bCs w:val="0"/>
          <w:sz w:val="24"/>
          <w:szCs w:val="24"/>
        </w:rPr>
        <w:t xml:space="preserve">, 459 U.S. at 436 (quoting </w:t>
      </w:r>
      <w:r w:rsidRPr="00964118">
        <w:rPr>
          <w:rStyle w:val="Emphasis"/>
          <w:b w:val="0"/>
          <w:bCs w:val="0"/>
          <w:sz w:val="24"/>
          <w:szCs w:val="24"/>
        </w:rPr>
        <w:t>Henderson</w:t>
      </w:r>
      <w:r w:rsidRPr="00964118">
        <w:rPr>
          <w:b w:val="0"/>
          <w:bCs w:val="0"/>
          <w:sz w:val="24"/>
          <w:szCs w:val="24"/>
        </w:rPr>
        <w:t>, 426 U.S. at 647).</w:t>
      </w:r>
      <w:r>
        <w:rPr>
          <w:b w:val="0"/>
          <w:bCs w:val="0"/>
          <w:sz w:val="24"/>
          <w:szCs w:val="24"/>
        </w:rPr>
        <w:t xml:space="preserve">” </w:t>
      </w:r>
    </w:p>
    <w:p w14:paraId="483ED008" w14:textId="77777777" w:rsidR="0082055F" w:rsidRDefault="0082055F" w:rsidP="0082055F">
      <w:pPr>
        <w:pStyle w:val="Heading1"/>
        <w:ind w:left="240" w:firstLine="480"/>
        <w:rPr>
          <w:b w:val="0"/>
          <w:bCs w:val="0"/>
          <w:sz w:val="24"/>
          <w:szCs w:val="24"/>
        </w:rPr>
      </w:pPr>
      <w:r>
        <w:rPr>
          <w:b w:val="0"/>
          <w:bCs w:val="0"/>
          <w:sz w:val="24"/>
          <w:szCs w:val="24"/>
        </w:rPr>
        <w:t>***</w:t>
      </w:r>
    </w:p>
    <w:p w14:paraId="2CBFA9C9" w14:textId="77777777" w:rsidR="0082055F" w:rsidRPr="00964118" w:rsidRDefault="0082055F" w:rsidP="0082055F">
      <w:pPr>
        <w:pStyle w:val="Heading1"/>
        <w:ind w:left="720"/>
        <w:rPr>
          <w:b w:val="0"/>
          <w:bCs w:val="0"/>
          <w:sz w:val="24"/>
          <w:szCs w:val="24"/>
        </w:rPr>
      </w:pPr>
      <w:r w:rsidRPr="00964118">
        <w:rPr>
          <w:b w:val="0"/>
          <w:bCs w:val="0"/>
          <w:sz w:val="24"/>
          <w:szCs w:val="24"/>
        </w:rPr>
        <w:t>Perhaps most telling here is that petitioner voluntarily and knowingly pled guilty on all counts, which renders baseless his claim of ineffective assistance of counsel claim based on the waiver of preliminary hearing</w:t>
      </w:r>
      <w:r>
        <w:rPr>
          <w:b w:val="0"/>
          <w:bCs w:val="0"/>
          <w:sz w:val="24"/>
          <w:szCs w:val="24"/>
        </w:rPr>
        <w:t xml:space="preserve">…. </w:t>
      </w:r>
      <w:r w:rsidRPr="00964118">
        <w:rPr>
          <w:b w:val="0"/>
          <w:bCs w:val="0"/>
          <w:sz w:val="24"/>
          <w:szCs w:val="24"/>
        </w:rPr>
        <w:t xml:space="preserve">Moreover, the government notes that the facts establishing probable cause were clearly outlined in the criminal complaint, suggesting that it was reasonable for counsel to waive the preliminary </w:t>
      </w:r>
      <w:proofErr w:type="gramStart"/>
      <w:r w:rsidRPr="00964118">
        <w:rPr>
          <w:b w:val="0"/>
          <w:bCs w:val="0"/>
          <w:sz w:val="24"/>
          <w:szCs w:val="24"/>
        </w:rPr>
        <w:t>hearin</w:t>
      </w:r>
      <w:r>
        <w:rPr>
          <w:b w:val="0"/>
          <w:bCs w:val="0"/>
          <w:sz w:val="24"/>
          <w:szCs w:val="24"/>
        </w:rPr>
        <w:t>g.”</w:t>
      </w:r>
      <w:proofErr w:type="gramEnd"/>
      <w:r>
        <w:rPr>
          <w:b w:val="0"/>
          <w:bCs w:val="0"/>
          <w:sz w:val="24"/>
          <w:szCs w:val="24"/>
        </w:rPr>
        <w:t xml:space="preserve"> </w:t>
      </w:r>
      <w:hyperlink r:id="rId771" w:history="1">
        <w:r w:rsidRPr="00203260">
          <w:rPr>
            <w:rStyle w:val="Hyperlink"/>
            <w:sz w:val="24"/>
            <w:szCs w:val="24"/>
          </w:rPr>
          <w:t>https://casetext.com/case/elshinawy-v-united-states-1</w:t>
        </w:r>
      </w:hyperlink>
      <w:r>
        <w:rPr>
          <w:b w:val="0"/>
          <w:bCs w:val="0"/>
          <w:sz w:val="24"/>
          <w:szCs w:val="24"/>
        </w:rPr>
        <w:t xml:space="preserve"> </w:t>
      </w:r>
    </w:p>
    <w:p w14:paraId="218681D7" w14:textId="77777777" w:rsidR="0082055F" w:rsidRPr="000A14D9" w:rsidRDefault="0082055F" w:rsidP="0082055F">
      <w:pPr>
        <w:spacing w:before="100" w:beforeAutospacing="1" w:after="100" w:afterAutospacing="1" w:line="240" w:lineRule="auto"/>
        <w:rPr>
          <w:rFonts w:ascii="Times New Roman" w:eastAsia="Times New Roman" w:hAnsi="Times New Roman"/>
          <w:b/>
          <w:bCs/>
          <w:sz w:val="24"/>
          <w:szCs w:val="24"/>
        </w:rPr>
      </w:pPr>
      <w:r w:rsidRPr="00284B77">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Plea Agreement with this terrorist clearly left the sentencing decision to the judge, and he was informed by the judge that his maximum sentence of sixty-eight years. </w:t>
      </w:r>
    </w:p>
    <w:p w14:paraId="580379B2" w14:textId="77777777" w:rsidR="0082055F" w:rsidRDefault="0082055F" w:rsidP="00F326E5">
      <w:pPr>
        <w:pStyle w:val="NoSpacing"/>
        <w:rPr>
          <w:rFonts w:ascii="Arial Black" w:hAnsi="Arial Black"/>
          <w:sz w:val="28"/>
          <w:szCs w:val="28"/>
        </w:rPr>
      </w:pPr>
    </w:p>
    <w:p w14:paraId="2A5052B5" w14:textId="77777777" w:rsidR="0082055F" w:rsidRDefault="0082055F" w:rsidP="00F326E5">
      <w:pPr>
        <w:pStyle w:val="NoSpacing"/>
        <w:rPr>
          <w:rFonts w:ascii="Arial Black" w:hAnsi="Arial Black"/>
          <w:sz w:val="28"/>
          <w:szCs w:val="28"/>
        </w:rPr>
      </w:pPr>
    </w:p>
    <w:p w14:paraId="1B506EDC" w14:textId="77777777" w:rsidR="0082055F" w:rsidRDefault="0082055F" w:rsidP="00F326E5">
      <w:pPr>
        <w:pStyle w:val="NoSpacing"/>
        <w:rPr>
          <w:rFonts w:ascii="Arial Black" w:hAnsi="Arial Black"/>
          <w:sz w:val="28"/>
          <w:szCs w:val="28"/>
        </w:rPr>
      </w:pPr>
    </w:p>
    <w:p w14:paraId="282F4F31" w14:textId="77777777" w:rsidR="0082055F" w:rsidRDefault="0082055F" w:rsidP="00F326E5">
      <w:pPr>
        <w:pStyle w:val="NoSpacing"/>
        <w:rPr>
          <w:rFonts w:ascii="Arial Black" w:hAnsi="Arial Black"/>
          <w:sz w:val="28"/>
          <w:szCs w:val="28"/>
        </w:rPr>
      </w:pPr>
    </w:p>
    <w:p w14:paraId="77D2D010" w14:textId="77B9A657" w:rsidR="00382F02" w:rsidRDefault="00382F02" w:rsidP="00F326E5">
      <w:pPr>
        <w:pStyle w:val="NoSpacing"/>
        <w:rPr>
          <w:rFonts w:ascii="Arial Black" w:hAnsi="Arial Black"/>
          <w:sz w:val="28"/>
          <w:szCs w:val="28"/>
        </w:rPr>
      </w:pPr>
      <w:r>
        <w:rPr>
          <w:rFonts w:ascii="Arial Black" w:hAnsi="Arial Black"/>
          <w:sz w:val="28"/>
          <w:szCs w:val="28"/>
        </w:rPr>
        <w:t>3-37</w:t>
      </w:r>
    </w:p>
    <w:p w14:paraId="413B0D5A" w14:textId="77777777" w:rsidR="00382F02" w:rsidRPr="00E65FCE" w:rsidRDefault="00382F02" w:rsidP="00382F02">
      <w:pPr>
        <w:pStyle w:val="Heading1"/>
        <w:rPr>
          <w:rFonts w:ascii="Arial Black" w:hAnsi="Arial Black"/>
          <w:sz w:val="28"/>
          <w:szCs w:val="28"/>
        </w:rPr>
      </w:pPr>
      <w:bookmarkStart w:id="135" w:name="_Hlk81841424"/>
      <w:r w:rsidRPr="00E65FCE">
        <w:rPr>
          <w:rFonts w:ascii="Arial Black" w:hAnsi="Arial Black"/>
          <w:sz w:val="28"/>
          <w:szCs w:val="28"/>
        </w:rPr>
        <w:t>SC</w:t>
      </w:r>
      <w:r>
        <w:rPr>
          <w:rFonts w:ascii="Arial Black" w:hAnsi="Arial Black"/>
          <w:sz w:val="28"/>
          <w:szCs w:val="28"/>
        </w:rPr>
        <w:t>: MASS KILLING OF 9 AT CHARLESTON CHURCH – DEATH PENALTY – DOMESTIC TERROIST- NO INSANITY DEFENSE</w:t>
      </w:r>
    </w:p>
    <w:bookmarkEnd w:id="135"/>
    <w:p w14:paraId="5E72B7B1" w14:textId="5DDD8EA0" w:rsidR="00382F02" w:rsidRPr="00FA5F45" w:rsidRDefault="00382F02" w:rsidP="00A62433">
      <w:pPr>
        <w:pStyle w:val="Heading1"/>
        <w:rPr>
          <w:b w:val="0"/>
          <w:bCs w:val="0"/>
          <w:sz w:val="24"/>
          <w:szCs w:val="24"/>
        </w:rPr>
      </w:pPr>
      <w:r>
        <w:rPr>
          <w:b w:val="0"/>
          <w:bCs w:val="0"/>
          <w:sz w:val="24"/>
          <w:szCs w:val="24"/>
        </w:rPr>
        <w:t xml:space="preserve">On Aug. 25, 2021, in </w:t>
      </w:r>
      <w:r w:rsidRPr="00FA5F45">
        <w:rPr>
          <w:b w:val="0"/>
          <w:bCs w:val="0"/>
          <w:sz w:val="24"/>
          <w:szCs w:val="24"/>
          <w:u w:val="single"/>
        </w:rPr>
        <w:t>United States of America v. Dylann Storm Roof</w:t>
      </w:r>
      <w:r>
        <w:rPr>
          <w:b w:val="0"/>
          <w:bCs w:val="0"/>
          <w:sz w:val="24"/>
          <w:szCs w:val="24"/>
        </w:rPr>
        <w:t>, three judges sitting on 4</w:t>
      </w:r>
      <w:r w:rsidRPr="00FA5F45">
        <w:rPr>
          <w:b w:val="0"/>
          <w:bCs w:val="0"/>
          <w:sz w:val="24"/>
          <w:szCs w:val="24"/>
          <w:vertAlign w:val="superscript"/>
        </w:rPr>
        <w:t>th</w:t>
      </w:r>
      <w:r>
        <w:rPr>
          <w:b w:val="0"/>
          <w:bCs w:val="0"/>
          <w:sz w:val="24"/>
          <w:szCs w:val="24"/>
        </w:rPr>
        <w:t xml:space="preserve"> Circuit panel </w:t>
      </w:r>
      <w:r w:rsidRPr="00FA5F45">
        <w:rPr>
          <w:b w:val="0"/>
          <w:bCs w:val="0"/>
          <w:sz w:val="24"/>
          <w:szCs w:val="24"/>
        </w:rPr>
        <w:t>[</w:t>
      </w:r>
      <w:r>
        <w:rPr>
          <w:b w:val="0"/>
          <w:bCs w:val="0"/>
          <w:sz w:val="24"/>
          <w:szCs w:val="24"/>
        </w:rPr>
        <w:t>lead prosecutor in case is now 4</w:t>
      </w:r>
      <w:r w:rsidRPr="00FA5F45">
        <w:rPr>
          <w:b w:val="0"/>
          <w:bCs w:val="0"/>
          <w:sz w:val="24"/>
          <w:szCs w:val="24"/>
          <w:vertAlign w:val="superscript"/>
        </w:rPr>
        <w:t>th</w:t>
      </w:r>
      <w:r>
        <w:rPr>
          <w:b w:val="0"/>
          <w:bCs w:val="0"/>
          <w:sz w:val="24"/>
          <w:szCs w:val="24"/>
        </w:rPr>
        <w:t xml:space="preserve"> Circuit judge, so judges from three other Circuit heard the appeal: </w:t>
      </w:r>
      <w:r w:rsidRPr="00E65FCE">
        <w:rPr>
          <w:b w:val="0"/>
          <w:bCs w:val="0"/>
          <w:sz w:val="24"/>
          <w:szCs w:val="24"/>
        </w:rPr>
        <w:t>8th Circuit Judge Duane Benton, Sixth Circuit Judge Ronald Lee Gilman and Third Circuit Judge Kent Jordan</w:t>
      </w:r>
      <w:r w:rsidRPr="00FA5F45">
        <w:rPr>
          <w:b w:val="0"/>
          <w:bCs w:val="0"/>
          <w:sz w:val="24"/>
          <w:szCs w:val="24"/>
        </w:rPr>
        <w:t>]</w:t>
      </w:r>
      <w:r>
        <w:rPr>
          <w:b w:val="0"/>
          <w:bCs w:val="0"/>
          <w:sz w:val="24"/>
          <w:szCs w:val="24"/>
        </w:rPr>
        <w:t xml:space="preserve"> held 3 to 0 (Per Curiam 149-page decision; not signed by one judge) that his conviction and death sentence is affirmed. </w:t>
      </w:r>
      <w:r w:rsidRPr="00E42CB0">
        <w:rPr>
          <w:rStyle w:val="markedcontent"/>
          <w:b w:val="0"/>
          <w:bCs w:val="0"/>
          <w:sz w:val="24"/>
          <w:szCs w:val="24"/>
        </w:rPr>
        <w:t>Dr.</w:t>
      </w:r>
      <w:r>
        <w:rPr>
          <w:rStyle w:val="markedcontent"/>
          <w:b w:val="0"/>
          <w:bCs w:val="0"/>
          <w:sz w:val="24"/>
          <w:szCs w:val="24"/>
        </w:rPr>
        <w:t xml:space="preserve"> </w:t>
      </w:r>
      <w:r w:rsidRPr="00E42CB0">
        <w:rPr>
          <w:rStyle w:val="markedcontent"/>
          <w:b w:val="0"/>
          <w:bCs w:val="0"/>
          <w:sz w:val="24"/>
          <w:szCs w:val="24"/>
        </w:rPr>
        <w:t xml:space="preserve">Ballenger </w:t>
      </w:r>
      <w:r w:rsidRPr="00E42CB0">
        <w:rPr>
          <w:b w:val="0"/>
          <w:bCs w:val="0"/>
          <w:sz w:val="24"/>
          <w:szCs w:val="24"/>
        </w:rPr>
        <w:t xml:space="preserve">[Court appointed psychiatrist] </w:t>
      </w:r>
      <w:r w:rsidRPr="00E42CB0">
        <w:rPr>
          <w:rStyle w:val="markedcontent"/>
          <w:b w:val="0"/>
          <w:bCs w:val="0"/>
          <w:sz w:val="24"/>
          <w:szCs w:val="24"/>
        </w:rPr>
        <w:t xml:space="preserve">noted that Roof compared himself to a terrorist who successfully murdered people as a </w:t>
      </w:r>
      <w:r>
        <w:rPr>
          <w:rStyle w:val="markedcontent"/>
          <w:b w:val="0"/>
          <w:bCs w:val="0"/>
          <w:sz w:val="24"/>
          <w:szCs w:val="24"/>
        </w:rPr>
        <w:t>‘</w:t>
      </w:r>
      <w:r w:rsidRPr="00E42CB0">
        <w:rPr>
          <w:rStyle w:val="markedcontent"/>
          <w:b w:val="0"/>
          <w:bCs w:val="0"/>
          <w:sz w:val="24"/>
          <w:szCs w:val="24"/>
        </w:rPr>
        <w:t>purely political act.”</w:t>
      </w:r>
      <w:r>
        <w:rPr>
          <w:rStyle w:val="markedcontent"/>
          <w:b w:val="0"/>
          <w:bCs w:val="0"/>
          <w:sz w:val="24"/>
          <w:szCs w:val="24"/>
        </w:rPr>
        <w:t xml:space="preserve">  </w:t>
      </w:r>
      <w:r>
        <w:rPr>
          <w:b w:val="0"/>
          <w:bCs w:val="0"/>
          <w:sz w:val="24"/>
          <w:szCs w:val="24"/>
        </w:rPr>
        <w:t xml:space="preserve">The psychiatrist found that Roof was competent to stand trial [with full IQ of 125] even if he did have some level of autism.  Roof fired his court-appointed attorneys and represented himself at the trial and at the sentencing hearing. </w:t>
      </w:r>
      <w:r w:rsidR="0049457B">
        <w:rPr>
          <w:b w:val="0"/>
          <w:bCs w:val="0"/>
          <w:sz w:val="24"/>
          <w:szCs w:val="24"/>
        </w:rPr>
        <w:t xml:space="preserve">The Court held: </w:t>
      </w:r>
      <w:r w:rsidRPr="00A62433">
        <w:rPr>
          <w:rStyle w:val="markedcontent"/>
          <w:b w:val="0"/>
          <w:bCs w:val="0"/>
          <w:sz w:val="24"/>
          <w:szCs w:val="24"/>
        </w:rPr>
        <w:t xml:space="preserve">“No cold record or careful parsing of statutes and precedents can capture the full horror of what Roof did. His crimes qualify him for the harshest penalty that a just society can impose. We have reached that conclusion not as a product of emotion but through a thorough analytical process, which we have endeavored to detail here. In this, we have followed the example of the trial judge, who managed this difficult case with skill and compassion for all concerned, including Roof himself. For the reasons given, we will affirm.”  </w:t>
      </w:r>
      <w:hyperlink r:id="rId772" w:history="1">
        <w:r w:rsidRPr="00A62433">
          <w:rPr>
            <w:rStyle w:val="Hyperlink"/>
            <w:b w:val="0"/>
            <w:bCs w:val="0"/>
            <w:sz w:val="24"/>
            <w:szCs w:val="24"/>
          </w:rPr>
          <w:t>https://www.ca4.uscourts.gov/opinions/173.P.pdf</w:t>
        </w:r>
      </w:hyperlink>
      <w:r>
        <w:rPr>
          <w:rStyle w:val="markedcontent"/>
          <w:sz w:val="24"/>
          <w:szCs w:val="24"/>
        </w:rPr>
        <w:t xml:space="preserve"> </w:t>
      </w:r>
    </w:p>
    <w:p w14:paraId="38561F96" w14:textId="77777777" w:rsidR="00382F02" w:rsidRDefault="00382F02" w:rsidP="00382F02">
      <w:pPr>
        <w:pStyle w:val="Heading1"/>
        <w:rPr>
          <w:rStyle w:val="markedcontent"/>
          <w:sz w:val="24"/>
          <w:szCs w:val="24"/>
        </w:rPr>
      </w:pPr>
      <w:r w:rsidRPr="001D2B6C">
        <w:rPr>
          <w:rStyle w:val="markedcontent"/>
          <w:sz w:val="24"/>
          <w:szCs w:val="24"/>
        </w:rPr>
        <w:t>Legal Lesson Learned:</w:t>
      </w:r>
      <w:r>
        <w:rPr>
          <w:rStyle w:val="markedcontent"/>
          <w:sz w:val="24"/>
          <w:szCs w:val="24"/>
        </w:rPr>
        <w:t xml:space="preserve"> The defendant is first person in U.S. ever sentenced to death by a federal jury for a federal hate crime. </w:t>
      </w:r>
    </w:p>
    <w:p w14:paraId="5B0682F3" w14:textId="77777777" w:rsidR="00382F02" w:rsidRDefault="00382F02" w:rsidP="00382F02">
      <w:pPr>
        <w:ind w:left="720"/>
        <w:rPr>
          <w:rFonts w:ascii="Times New Roman" w:hAnsi="Times New Roman"/>
          <w:sz w:val="24"/>
          <w:szCs w:val="24"/>
        </w:rPr>
      </w:pPr>
      <w:r w:rsidRPr="000B0403">
        <w:rPr>
          <w:rStyle w:val="markedcontent"/>
          <w:rFonts w:ascii="Times New Roman" w:hAnsi="Times New Roman"/>
          <w:sz w:val="24"/>
          <w:szCs w:val="24"/>
        </w:rPr>
        <w:t xml:space="preserve">Note:  </w:t>
      </w:r>
      <w:r w:rsidRPr="000B0403">
        <w:rPr>
          <w:rFonts w:ascii="Times New Roman" w:hAnsi="Times New Roman"/>
          <w:sz w:val="24"/>
          <w:szCs w:val="24"/>
        </w:rPr>
        <w:t xml:space="preserve">Watch his videotaped confession to FBI agents (6/18/2015): </w:t>
      </w:r>
      <w:hyperlink r:id="rId773" w:history="1">
        <w:r w:rsidRPr="007529FC">
          <w:rPr>
            <w:rStyle w:val="Hyperlink"/>
            <w:sz w:val="24"/>
            <w:szCs w:val="24"/>
          </w:rPr>
          <w:t>https://www.thestate.com/news/local/crime/article120075733.html</w:t>
        </w:r>
      </w:hyperlink>
    </w:p>
    <w:p w14:paraId="23DA8CBB" w14:textId="77777777" w:rsidR="00382F02" w:rsidRPr="00466756" w:rsidRDefault="00382F02" w:rsidP="00382F02">
      <w:pPr>
        <w:pStyle w:val="Heading1"/>
        <w:ind w:left="720"/>
        <w:rPr>
          <w:b w:val="0"/>
          <w:bCs w:val="0"/>
          <w:sz w:val="24"/>
          <w:szCs w:val="24"/>
        </w:rPr>
      </w:pPr>
      <w:r w:rsidRPr="00466756">
        <w:rPr>
          <w:b w:val="0"/>
          <w:bCs w:val="0"/>
          <w:sz w:val="24"/>
          <w:szCs w:val="24"/>
        </w:rPr>
        <w:t xml:space="preserve">See Aug. 26, </w:t>
      </w:r>
      <w:proofErr w:type="gramStart"/>
      <w:r w:rsidRPr="00466756">
        <w:rPr>
          <w:b w:val="0"/>
          <w:bCs w:val="0"/>
          <w:sz w:val="24"/>
          <w:szCs w:val="24"/>
        </w:rPr>
        <w:t>2021</w:t>
      </w:r>
      <w:proofErr w:type="gramEnd"/>
      <w:r w:rsidRPr="00466756">
        <w:rPr>
          <w:b w:val="0"/>
          <w:bCs w:val="0"/>
          <w:sz w:val="24"/>
          <w:szCs w:val="24"/>
        </w:rPr>
        <w:t xml:space="preserve"> article on the decision: “Charleston killer Dylann Roof’s death penalty upheld by federal appeals court.” </w:t>
      </w:r>
      <w:hyperlink r:id="rId774" w:history="1">
        <w:r w:rsidRPr="00466756">
          <w:rPr>
            <w:rStyle w:val="Hyperlink"/>
            <w:sz w:val="24"/>
            <w:szCs w:val="24"/>
          </w:rPr>
          <w:t>https://www.thestate.com/news/local/crime/article253733108.html</w:t>
        </w:r>
      </w:hyperlink>
      <w:r w:rsidRPr="00466756">
        <w:rPr>
          <w:b w:val="0"/>
          <w:bCs w:val="0"/>
          <w:sz w:val="24"/>
          <w:szCs w:val="24"/>
        </w:rPr>
        <w:t xml:space="preserve"> </w:t>
      </w:r>
    </w:p>
    <w:p w14:paraId="12559D5B" w14:textId="77777777" w:rsidR="00382F02" w:rsidRDefault="00382F02" w:rsidP="00382F02">
      <w:pPr>
        <w:ind w:left="720"/>
        <w:rPr>
          <w:rStyle w:val="markedcontent"/>
          <w:rFonts w:ascii="Times New Roman" w:hAnsi="Times New Roman"/>
          <w:sz w:val="24"/>
          <w:szCs w:val="24"/>
        </w:rPr>
      </w:pPr>
      <w:r>
        <w:rPr>
          <w:rFonts w:ascii="Arial" w:hAnsi="Arial" w:cs="Arial"/>
          <w:color w:val="000000"/>
          <w:sz w:val="20"/>
          <w:szCs w:val="20"/>
        </w:rPr>
        <w:br/>
      </w:r>
      <w:r>
        <w:rPr>
          <w:rStyle w:val="markedcontent"/>
          <w:rFonts w:ascii="Times New Roman" w:hAnsi="Times New Roman"/>
          <w:sz w:val="24"/>
          <w:szCs w:val="24"/>
        </w:rPr>
        <w:t xml:space="preserve">Federal Hate Crime: </w:t>
      </w:r>
      <w:r w:rsidRPr="000B0403">
        <w:rPr>
          <w:rStyle w:val="markedcontent"/>
          <w:rFonts w:ascii="Times New Roman" w:hAnsi="Times New Roman"/>
          <w:sz w:val="24"/>
          <w:szCs w:val="24"/>
        </w:rPr>
        <w:t>18 U.S.C. § 249(a)(1) provides:</w:t>
      </w:r>
    </w:p>
    <w:p w14:paraId="7982611B" w14:textId="77777777" w:rsidR="00382F02" w:rsidRPr="000B0403" w:rsidRDefault="00382F02" w:rsidP="00382F02">
      <w:pPr>
        <w:ind w:left="720" w:firstLine="60"/>
        <w:rPr>
          <w:rFonts w:ascii="Times New Roman" w:hAnsi="Times New Roman"/>
          <w:sz w:val="24"/>
          <w:szCs w:val="24"/>
        </w:rPr>
      </w:pPr>
      <w:r w:rsidRPr="000B0403">
        <w:rPr>
          <w:rStyle w:val="num"/>
          <w:rFonts w:ascii="Times New Roman" w:hAnsi="Times New Roman"/>
          <w:sz w:val="24"/>
          <w:szCs w:val="24"/>
        </w:rPr>
        <w:t>(1)</w:t>
      </w:r>
      <w:r w:rsidRPr="000B0403">
        <w:rPr>
          <w:rStyle w:val="heading"/>
          <w:rFonts w:ascii="Times New Roman" w:hAnsi="Times New Roman"/>
          <w:sz w:val="24"/>
          <w:szCs w:val="24"/>
        </w:rPr>
        <w:t xml:space="preserve"> Offenses involving actual or perceived race, color, religion, or national origin.—</w:t>
      </w:r>
      <w:r w:rsidRPr="000B0403">
        <w:rPr>
          <w:rStyle w:val="chapeau"/>
          <w:rFonts w:ascii="Times New Roman" w:hAnsi="Times New Roman"/>
          <w:sz w:val="24"/>
          <w:szCs w:val="24"/>
        </w:rPr>
        <w:t xml:space="preserve">Whoever, whether or not acting under color of law, willfully causes </w:t>
      </w:r>
      <w:hyperlink r:id="rId775" w:history="1">
        <w:r w:rsidRPr="000B0403">
          <w:rPr>
            <w:rStyle w:val="Hyperlink"/>
            <w:sz w:val="24"/>
            <w:szCs w:val="24"/>
          </w:rPr>
          <w:t>bodily injury</w:t>
        </w:r>
      </w:hyperlink>
      <w:r w:rsidRPr="000B0403">
        <w:rPr>
          <w:rStyle w:val="chapeau"/>
          <w:rFonts w:ascii="Times New Roman" w:hAnsi="Times New Roman"/>
          <w:sz w:val="24"/>
          <w:szCs w:val="24"/>
        </w:rPr>
        <w:t xml:space="preserve"> to any person or, through the use of fire, a</w:t>
      </w:r>
      <w:hyperlink r:id="rId776" w:history="1">
        <w:r w:rsidRPr="000B0403">
          <w:rPr>
            <w:rStyle w:val="Hyperlink"/>
            <w:sz w:val="24"/>
            <w:szCs w:val="24"/>
          </w:rPr>
          <w:t xml:space="preserve"> firearm,</w:t>
        </w:r>
      </w:hyperlink>
      <w:r w:rsidRPr="000B0403">
        <w:rPr>
          <w:rStyle w:val="chapeau"/>
          <w:rFonts w:ascii="Times New Roman" w:hAnsi="Times New Roman"/>
          <w:sz w:val="24"/>
          <w:szCs w:val="24"/>
        </w:rPr>
        <w:t xml:space="preserve"> a dangerous weapon, or an </w:t>
      </w:r>
      <w:hyperlink r:id="rId777" w:history="1">
        <w:r w:rsidRPr="000B0403">
          <w:rPr>
            <w:rStyle w:val="Hyperlink"/>
            <w:sz w:val="24"/>
            <w:szCs w:val="24"/>
          </w:rPr>
          <w:t>explosive or incendiary device</w:t>
        </w:r>
      </w:hyperlink>
      <w:r w:rsidRPr="000B0403">
        <w:rPr>
          <w:rStyle w:val="chapeau"/>
          <w:rFonts w:ascii="Times New Roman" w:hAnsi="Times New Roman"/>
          <w:sz w:val="24"/>
          <w:szCs w:val="24"/>
        </w:rPr>
        <w:t>, attempts to cause</w:t>
      </w:r>
      <w:hyperlink r:id="rId778" w:history="1">
        <w:r w:rsidRPr="000B0403">
          <w:rPr>
            <w:rStyle w:val="Hyperlink"/>
            <w:sz w:val="24"/>
            <w:szCs w:val="24"/>
          </w:rPr>
          <w:t xml:space="preserve"> bodily injury </w:t>
        </w:r>
      </w:hyperlink>
      <w:r w:rsidRPr="000B0403">
        <w:rPr>
          <w:rStyle w:val="chapeau"/>
          <w:rFonts w:ascii="Times New Roman" w:hAnsi="Times New Roman"/>
          <w:sz w:val="24"/>
          <w:szCs w:val="24"/>
        </w:rPr>
        <w:t>to any person, because of the actual or perceived race, color, religion, or national origin of any person—</w:t>
      </w:r>
      <w:r w:rsidRPr="000B0403">
        <w:rPr>
          <w:rFonts w:ascii="Times New Roman" w:hAnsi="Times New Roman"/>
          <w:sz w:val="24"/>
          <w:szCs w:val="24"/>
        </w:rPr>
        <w:t xml:space="preserve"> </w:t>
      </w:r>
    </w:p>
    <w:p w14:paraId="19D439BA" w14:textId="77777777" w:rsidR="00382F02" w:rsidRPr="000B0403" w:rsidRDefault="00382F02" w:rsidP="00382F02">
      <w:pPr>
        <w:ind w:firstLine="720"/>
        <w:rPr>
          <w:rFonts w:ascii="Times New Roman" w:hAnsi="Times New Roman"/>
          <w:sz w:val="24"/>
          <w:szCs w:val="24"/>
        </w:rPr>
      </w:pPr>
      <w:bookmarkStart w:id="136" w:name="a_1_A"/>
      <w:bookmarkEnd w:id="136"/>
      <w:r w:rsidRPr="000B0403">
        <w:rPr>
          <w:rStyle w:val="num"/>
          <w:rFonts w:ascii="Times New Roman" w:hAnsi="Times New Roman"/>
          <w:sz w:val="24"/>
          <w:szCs w:val="24"/>
        </w:rPr>
        <w:t>(A)</w:t>
      </w:r>
      <w:r w:rsidRPr="000B0403">
        <w:rPr>
          <w:rFonts w:ascii="Times New Roman" w:hAnsi="Times New Roman"/>
          <w:sz w:val="24"/>
          <w:szCs w:val="24"/>
        </w:rPr>
        <w:t xml:space="preserve"> </w:t>
      </w:r>
    </w:p>
    <w:p w14:paraId="7DB76437" w14:textId="77777777" w:rsidR="00382F02" w:rsidRPr="000B0403" w:rsidRDefault="00382F02" w:rsidP="00382F02">
      <w:pPr>
        <w:ind w:left="720"/>
        <w:rPr>
          <w:rFonts w:ascii="Times New Roman" w:hAnsi="Times New Roman"/>
          <w:sz w:val="24"/>
          <w:szCs w:val="24"/>
        </w:rPr>
      </w:pPr>
      <w:r w:rsidRPr="000B0403">
        <w:rPr>
          <w:rFonts w:ascii="Times New Roman" w:hAnsi="Times New Roman"/>
          <w:sz w:val="24"/>
          <w:szCs w:val="24"/>
        </w:rPr>
        <w:t>shall be imprisoned not more than 10 years, fined in accordance with this title, or both; and</w:t>
      </w:r>
    </w:p>
    <w:p w14:paraId="7F8C9567" w14:textId="77777777" w:rsidR="00382F02" w:rsidRPr="000B0403" w:rsidRDefault="00382F02" w:rsidP="00382F02">
      <w:pPr>
        <w:ind w:left="720"/>
        <w:rPr>
          <w:rFonts w:ascii="Times New Roman" w:hAnsi="Times New Roman"/>
          <w:sz w:val="24"/>
          <w:szCs w:val="24"/>
        </w:rPr>
      </w:pPr>
      <w:bookmarkStart w:id="137" w:name="a_1_B"/>
      <w:bookmarkEnd w:id="137"/>
      <w:r w:rsidRPr="000B0403">
        <w:rPr>
          <w:rStyle w:val="num"/>
          <w:rFonts w:ascii="Times New Roman" w:hAnsi="Times New Roman"/>
          <w:sz w:val="24"/>
          <w:szCs w:val="24"/>
        </w:rPr>
        <w:t>(B)</w:t>
      </w:r>
      <w:r w:rsidRPr="000B0403">
        <w:rPr>
          <w:rStyle w:val="chapeau"/>
          <w:rFonts w:ascii="Times New Roman" w:hAnsi="Times New Roman"/>
          <w:sz w:val="24"/>
          <w:szCs w:val="24"/>
        </w:rPr>
        <w:t xml:space="preserve"> shall be imprisoned for any term of </w:t>
      </w:r>
      <w:proofErr w:type="gramStart"/>
      <w:r w:rsidRPr="000B0403">
        <w:rPr>
          <w:rStyle w:val="chapeau"/>
          <w:rFonts w:ascii="Times New Roman" w:hAnsi="Times New Roman"/>
          <w:sz w:val="24"/>
          <w:szCs w:val="24"/>
        </w:rPr>
        <w:t>years</w:t>
      </w:r>
      <w:proofErr w:type="gramEnd"/>
      <w:r w:rsidRPr="000B0403">
        <w:rPr>
          <w:rStyle w:val="chapeau"/>
          <w:rFonts w:ascii="Times New Roman" w:hAnsi="Times New Roman"/>
          <w:sz w:val="24"/>
          <w:szCs w:val="24"/>
        </w:rPr>
        <w:t xml:space="preserve"> or for life, fined in accordance with this title, or both, if—</w:t>
      </w:r>
      <w:r w:rsidRPr="000B0403">
        <w:rPr>
          <w:rFonts w:ascii="Times New Roman" w:hAnsi="Times New Roman"/>
          <w:sz w:val="24"/>
          <w:szCs w:val="24"/>
        </w:rPr>
        <w:t xml:space="preserve"> </w:t>
      </w:r>
    </w:p>
    <w:p w14:paraId="4F4C8156" w14:textId="77777777" w:rsidR="00382F02" w:rsidRPr="000B0403" w:rsidRDefault="00382F02" w:rsidP="00382F02">
      <w:pPr>
        <w:ind w:firstLine="720"/>
        <w:rPr>
          <w:rFonts w:ascii="Times New Roman" w:hAnsi="Times New Roman"/>
          <w:sz w:val="24"/>
          <w:szCs w:val="24"/>
        </w:rPr>
      </w:pPr>
      <w:bookmarkStart w:id="138" w:name="a_1_B_i"/>
      <w:bookmarkEnd w:id="138"/>
      <w:r w:rsidRPr="000B0403">
        <w:rPr>
          <w:rStyle w:val="num"/>
          <w:rFonts w:ascii="Times New Roman" w:hAnsi="Times New Roman"/>
          <w:sz w:val="24"/>
          <w:szCs w:val="24"/>
        </w:rPr>
        <w:t>(</w:t>
      </w:r>
      <w:proofErr w:type="spellStart"/>
      <w:r w:rsidRPr="000B0403">
        <w:rPr>
          <w:rStyle w:val="num"/>
          <w:rFonts w:ascii="Times New Roman" w:hAnsi="Times New Roman"/>
          <w:sz w:val="24"/>
          <w:szCs w:val="24"/>
        </w:rPr>
        <w:t>i</w:t>
      </w:r>
      <w:proofErr w:type="spellEnd"/>
      <w:r w:rsidRPr="000B0403">
        <w:rPr>
          <w:rStyle w:val="num"/>
          <w:rFonts w:ascii="Times New Roman" w:hAnsi="Times New Roman"/>
          <w:sz w:val="24"/>
          <w:szCs w:val="24"/>
        </w:rPr>
        <w:t>)</w:t>
      </w:r>
      <w:r w:rsidRPr="000B0403">
        <w:rPr>
          <w:rFonts w:ascii="Times New Roman" w:hAnsi="Times New Roman"/>
          <w:sz w:val="24"/>
          <w:szCs w:val="24"/>
        </w:rPr>
        <w:t xml:space="preserve"> </w:t>
      </w:r>
    </w:p>
    <w:p w14:paraId="450A8FE4" w14:textId="77777777" w:rsidR="00382F02" w:rsidRPr="000B0403" w:rsidRDefault="00382F02" w:rsidP="00382F02">
      <w:pPr>
        <w:ind w:firstLine="720"/>
        <w:rPr>
          <w:rFonts w:ascii="Times New Roman" w:hAnsi="Times New Roman"/>
          <w:sz w:val="24"/>
          <w:szCs w:val="24"/>
        </w:rPr>
      </w:pPr>
      <w:r w:rsidRPr="000B0403">
        <w:rPr>
          <w:rFonts w:ascii="Times New Roman" w:hAnsi="Times New Roman"/>
          <w:sz w:val="24"/>
          <w:szCs w:val="24"/>
        </w:rPr>
        <w:t>death results from the offense; or</w:t>
      </w:r>
    </w:p>
    <w:p w14:paraId="413EFAE4" w14:textId="77777777" w:rsidR="00382F02" w:rsidRPr="000B0403" w:rsidRDefault="00382F02" w:rsidP="00382F02">
      <w:pPr>
        <w:ind w:firstLine="720"/>
        <w:rPr>
          <w:rFonts w:ascii="Times New Roman" w:hAnsi="Times New Roman"/>
          <w:sz w:val="24"/>
          <w:szCs w:val="24"/>
        </w:rPr>
      </w:pPr>
      <w:bookmarkStart w:id="139" w:name="a_1_B_ii"/>
      <w:bookmarkEnd w:id="139"/>
      <w:r w:rsidRPr="000B0403">
        <w:rPr>
          <w:rStyle w:val="num"/>
          <w:rFonts w:ascii="Times New Roman" w:hAnsi="Times New Roman"/>
          <w:sz w:val="24"/>
          <w:szCs w:val="24"/>
        </w:rPr>
        <w:t>(ii)</w:t>
      </w:r>
      <w:r w:rsidRPr="000B0403">
        <w:rPr>
          <w:rFonts w:ascii="Times New Roman" w:hAnsi="Times New Roman"/>
          <w:sz w:val="24"/>
          <w:szCs w:val="24"/>
        </w:rPr>
        <w:t xml:space="preserve"> </w:t>
      </w:r>
    </w:p>
    <w:p w14:paraId="282BC73C" w14:textId="77777777" w:rsidR="00382F02" w:rsidRPr="000B0403" w:rsidRDefault="00382F02" w:rsidP="00382F02">
      <w:pPr>
        <w:ind w:left="720"/>
        <w:rPr>
          <w:rFonts w:ascii="Times New Roman" w:hAnsi="Times New Roman"/>
          <w:sz w:val="24"/>
          <w:szCs w:val="24"/>
        </w:rPr>
      </w:pPr>
      <w:r w:rsidRPr="000B0403">
        <w:rPr>
          <w:rFonts w:ascii="Times New Roman" w:hAnsi="Times New Roman"/>
          <w:sz w:val="24"/>
          <w:szCs w:val="24"/>
        </w:rPr>
        <w:t>the offense includes kidnapping or an attempt to kidnap, aggravated sexual abuse or an attempt to commit aggravated sexual abuse, or an attempt to kill.</w:t>
      </w:r>
      <w:r>
        <w:rPr>
          <w:rFonts w:ascii="Times New Roman" w:hAnsi="Times New Roman"/>
          <w:sz w:val="24"/>
          <w:szCs w:val="24"/>
        </w:rPr>
        <w:t xml:space="preserve"> </w:t>
      </w:r>
      <w:hyperlink r:id="rId779" w:history="1">
        <w:r w:rsidRPr="007529FC">
          <w:rPr>
            <w:rStyle w:val="Hyperlink"/>
            <w:sz w:val="24"/>
            <w:szCs w:val="24"/>
          </w:rPr>
          <w:t>https://www.law.cornell.edu/uscode/text/18/249</w:t>
        </w:r>
      </w:hyperlink>
      <w:r>
        <w:rPr>
          <w:rFonts w:ascii="Times New Roman" w:hAnsi="Times New Roman"/>
          <w:sz w:val="24"/>
          <w:szCs w:val="24"/>
        </w:rPr>
        <w:t xml:space="preserve"> </w:t>
      </w:r>
    </w:p>
    <w:p w14:paraId="2174427A" w14:textId="77777777" w:rsidR="00382F02" w:rsidRDefault="00382F02" w:rsidP="00F326E5">
      <w:pPr>
        <w:pStyle w:val="NoSpacing"/>
        <w:rPr>
          <w:rFonts w:ascii="Arial Black" w:hAnsi="Arial Black"/>
          <w:sz w:val="28"/>
          <w:szCs w:val="28"/>
        </w:rPr>
      </w:pPr>
    </w:p>
    <w:p w14:paraId="690EBDFB" w14:textId="77777777" w:rsidR="00382F02" w:rsidRDefault="00382F02" w:rsidP="00F326E5">
      <w:pPr>
        <w:pStyle w:val="NoSpacing"/>
        <w:rPr>
          <w:rFonts w:ascii="Arial Black" w:hAnsi="Arial Black"/>
          <w:sz w:val="28"/>
          <w:szCs w:val="28"/>
        </w:rPr>
      </w:pPr>
    </w:p>
    <w:p w14:paraId="72E98395" w14:textId="04270C47" w:rsidR="005217D5" w:rsidRDefault="005217D5" w:rsidP="00F326E5">
      <w:pPr>
        <w:pStyle w:val="NoSpacing"/>
        <w:rPr>
          <w:rFonts w:ascii="Arial Black" w:hAnsi="Arial Black"/>
          <w:sz w:val="28"/>
          <w:szCs w:val="28"/>
        </w:rPr>
      </w:pPr>
      <w:r>
        <w:rPr>
          <w:rFonts w:ascii="Arial Black" w:hAnsi="Arial Black"/>
          <w:sz w:val="28"/>
          <w:szCs w:val="28"/>
        </w:rPr>
        <w:t>3-36</w:t>
      </w:r>
    </w:p>
    <w:p w14:paraId="2B61566C" w14:textId="503D3491" w:rsidR="005217D5" w:rsidRDefault="005217D5" w:rsidP="00F326E5">
      <w:pPr>
        <w:pStyle w:val="NoSpacing"/>
        <w:rPr>
          <w:rFonts w:ascii="Arial Black" w:hAnsi="Arial Black"/>
          <w:sz w:val="28"/>
          <w:szCs w:val="28"/>
        </w:rPr>
      </w:pPr>
    </w:p>
    <w:p w14:paraId="13A736CD" w14:textId="77777777" w:rsidR="005217D5" w:rsidRPr="00C04DE5" w:rsidRDefault="005217D5" w:rsidP="005217D5">
      <w:pPr>
        <w:rPr>
          <w:rStyle w:val="markedcontent"/>
          <w:rFonts w:ascii="Arial Black" w:hAnsi="Arial Black"/>
          <w:sz w:val="28"/>
          <w:szCs w:val="28"/>
        </w:rPr>
      </w:pPr>
      <w:r>
        <w:rPr>
          <w:rStyle w:val="markedcontent"/>
          <w:rFonts w:ascii="Arial Black" w:hAnsi="Arial Black"/>
          <w:sz w:val="28"/>
          <w:szCs w:val="28"/>
        </w:rPr>
        <w:t>VA: GUN CONTROL - 4</w:t>
      </w:r>
      <w:r w:rsidRPr="002E2552">
        <w:rPr>
          <w:rStyle w:val="markedcontent"/>
          <w:rFonts w:ascii="Arial Black" w:hAnsi="Arial Black"/>
          <w:sz w:val="28"/>
          <w:szCs w:val="28"/>
          <w:vertAlign w:val="superscript"/>
        </w:rPr>
        <w:t>th</w:t>
      </w:r>
      <w:r>
        <w:rPr>
          <w:rStyle w:val="markedcontent"/>
          <w:rFonts w:ascii="Arial Black" w:hAnsi="Arial Black"/>
          <w:sz w:val="28"/>
          <w:szCs w:val="28"/>
        </w:rPr>
        <w:t xml:space="preserve"> CIRCUIT - 18-20 YEAR OLDS </w:t>
      </w:r>
      <w:proofErr w:type="gramStart"/>
      <w:r>
        <w:rPr>
          <w:rStyle w:val="markedcontent"/>
          <w:rFonts w:ascii="Arial Black" w:hAnsi="Arial Black"/>
          <w:sz w:val="28"/>
          <w:szCs w:val="28"/>
        </w:rPr>
        <w:t>HAVE</w:t>
      </w:r>
      <w:proofErr w:type="gramEnd"/>
      <w:r>
        <w:rPr>
          <w:rStyle w:val="markedcontent"/>
          <w:rFonts w:ascii="Arial Black" w:hAnsi="Arial Black"/>
          <w:sz w:val="28"/>
          <w:szCs w:val="28"/>
        </w:rPr>
        <w:t xml:space="preserve"> RIGHT TO BUY HANDGUNS FROM LICENSED GUN DEALERS</w:t>
      </w:r>
    </w:p>
    <w:p w14:paraId="10EE14E4" w14:textId="77777777" w:rsidR="005217D5" w:rsidRPr="007921A4" w:rsidRDefault="005217D5" w:rsidP="005217D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July 15, 2021, in </w:t>
      </w:r>
      <w:r w:rsidRPr="00FD0DBE">
        <w:rPr>
          <w:rStyle w:val="markedcontent"/>
          <w:rFonts w:ascii="Times New Roman" w:hAnsi="Times New Roman"/>
          <w:sz w:val="24"/>
          <w:szCs w:val="24"/>
          <w:u w:val="single"/>
        </w:rPr>
        <w:t>Tanner Hirschfeld; Natalia Marshall v. Bureau of Alcohol, Firearms, Tobacco &amp; Explosives</w:t>
      </w:r>
      <w:r>
        <w:rPr>
          <w:rStyle w:val="markedcontent"/>
          <w:rFonts w:ascii="Times New Roman" w:hAnsi="Times New Roman"/>
          <w:sz w:val="24"/>
          <w:szCs w:val="24"/>
        </w:rPr>
        <w:t>, the U.S. Court of Appeals for the 4</w:t>
      </w:r>
      <w:r w:rsidRPr="00FD0DBE">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(Richmond, VA) held (2 to 1) that Congress in passing the </w:t>
      </w:r>
      <w:r w:rsidRPr="00FD0DBE">
        <w:rPr>
          <w:rStyle w:val="markedcontent"/>
          <w:rFonts w:ascii="Times New Roman" w:hAnsi="Times New Roman"/>
          <w:sz w:val="24"/>
          <w:szCs w:val="24"/>
        </w:rPr>
        <w:t>Omnibus Crime Control and Safe Streets Act of 1968</w:t>
      </w:r>
      <w:r>
        <w:rPr>
          <w:rStyle w:val="markedcontent"/>
          <w:rFonts w:ascii="Times New Roman" w:hAnsi="Times New Roman"/>
          <w:sz w:val="24"/>
          <w:szCs w:val="24"/>
        </w:rPr>
        <w:t xml:space="preserve"> violated the 2</w:t>
      </w:r>
      <w:r w:rsidRPr="002A4D97">
        <w:rPr>
          <w:rStyle w:val="markedcontent"/>
          <w:rFonts w:ascii="Times New Roman" w:hAnsi="Times New Roman"/>
          <w:sz w:val="24"/>
          <w:szCs w:val="24"/>
          <w:vertAlign w:val="superscript"/>
        </w:rPr>
        <w:t>nd</w:t>
      </w:r>
      <w:r>
        <w:rPr>
          <w:rStyle w:val="markedcontent"/>
          <w:rFonts w:ascii="Times New Roman" w:hAnsi="Times New Roman"/>
          <w:sz w:val="24"/>
          <w:szCs w:val="24"/>
        </w:rPr>
        <w:t xml:space="preserve"> Amendment rights of </w:t>
      </w:r>
      <w:proofErr w:type="gramStart"/>
      <w:r>
        <w:rPr>
          <w:rStyle w:val="markedcontent"/>
          <w:rFonts w:ascii="Times New Roman" w:hAnsi="Times New Roman"/>
          <w:sz w:val="24"/>
          <w:szCs w:val="24"/>
        </w:rPr>
        <w:t>18-20 year olds</w:t>
      </w:r>
      <w:proofErr w:type="gramEnd"/>
      <w:r>
        <w:rPr>
          <w:rStyle w:val="markedcontent"/>
          <w:rFonts w:ascii="Times New Roman" w:hAnsi="Times New Roman"/>
          <w:sz w:val="24"/>
          <w:szCs w:val="24"/>
        </w:rPr>
        <w:t xml:space="preserve"> to purchase handguns or ammunition from federally licensed gun dealers.  The Court reviewed the history of the Bill of Rights; in 1791 when the first 10 Amendments were ratified by </w:t>
      </w:r>
      <w:proofErr w:type="gramStart"/>
      <w:r>
        <w:rPr>
          <w:rStyle w:val="markedcontent"/>
          <w:rFonts w:ascii="Times New Roman" w:hAnsi="Times New Roman"/>
          <w:sz w:val="24"/>
          <w:szCs w:val="24"/>
        </w:rPr>
        <w:t>states,</w:t>
      </w:r>
      <w:proofErr w:type="gramEnd"/>
      <w:r>
        <w:rPr>
          <w:rStyle w:val="markedcontent"/>
          <w:rFonts w:ascii="Times New Roman" w:hAnsi="Times New Roman"/>
          <w:sz w:val="24"/>
          <w:szCs w:val="24"/>
        </w:rPr>
        <w:t xml:space="preserve"> all 14 states </w:t>
      </w:r>
      <w:r w:rsidRPr="00595382">
        <w:rPr>
          <w:rStyle w:val="markedcontent"/>
          <w:rFonts w:ascii="Times New Roman" w:hAnsi="Times New Roman"/>
          <w:sz w:val="24"/>
          <w:szCs w:val="24"/>
        </w:rPr>
        <w:t xml:space="preserve">uniformly required </w:t>
      </w:r>
      <w:r>
        <w:rPr>
          <w:rStyle w:val="markedcontent"/>
          <w:rFonts w:ascii="Times New Roman" w:hAnsi="Times New Roman"/>
          <w:sz w:val="24"/>
          <w:szCs w:val="24"/>
        </w:rPr>
        <w:t>all males 1</w:t>
      </w:r>
      <w:r w:rsidRPr="00595382">
        <w:rPr>
          <w:rStyle w:val="markedcontent"/>
          <w:rFonts w:ascii="Times New Roman" w:hAnsi="Times New Roman"/>
          <w:sz w:val="24"/>
          <w:szCs w:val="24"/>
        </w:rPr>
        <w:t xml:space="preserve">8 and older to join the </w:t>
      </w:r>
      <w:r>
        <w:rPr>
          <w:rStyle w:val="markedcontent"/>
          <w:rFonts w:ascii="Times New Roman" w:hAnsi="Times New Roman"/>
          <w:sz w:val="24"/>
          <w:szCs w:val="24"/>
        </w:rPr>
        <w:t xml:space="preserve">state </w:t>
      </w:r>
      <w:r w:rsidRPr="00595382">
        <w:rPr>
          <w:rStyle w:val="markedcontent"/>
          <w:rFonts w:ascii="Times New Roman" w:hAnsi="Times New Roman"/>
          <w:sz w:val="24"/>
          <w:szCs w:val="24"/>
        </w:rPr>
        <w:t xml:space="preserve">militia </w:t>
      </w:r>
      <w:r>
        <w:rPr>
          <w:rStyle w:val="markedcontent"/>
          <w:rFonts w:ascii="Times New Roman" w:hAnsi="Times New Roman"/>
          <w:sz w:val="24"/>
          <w:szCs w:val="24"/>
        </w:rPr>
        <w:t xml:space="preserve">and to have </w:t>
      </w:r>
      <w:r w:rsidRPr="00595382">
        <w:rPr>
          <w:rStyle w:val="markedcontent"/>
          <w:rFonts w:ascii="Times New Roman" w:hAnsi="Times New Roman"/>
          <w:sz w:val="24"/>
          <w:szCs w:val="24"/>
        </w:rPr>
        <w:t xml:space="preserve">their own </w:t>
      </w:r>
      <w:r>
        <w:rPr>
          <w:rStyle w:val="markedcontent"/>
          <w:rFonts w:ascii="Times New Roman" w:hAnsi="Times New Roman"/>
          <w:sz w:val="24"/>
          <w:szCs w:val="24"/>
        </w:rPr>
        <w:t>fire</w:t>
      </w:r>
      <w:r w:rsidRPr="00595382">
        <w:rPr>
          <w:rStyle w:val="markedcontent"/>
          <w:rFonts w:ascii="Times New Roman" w:hAnsi="Times New Roman"/>
          <w:sz w:val="24"/>
          <w:szCs w:val="24"/>
        </w:rPr>
        <w:t>arms.</w:t>
      </w:r>
      <w:r>
        <w:rPr>
          <w:rStyle w:val="markedcontent"/>
          <w:rFonts w:ascii="Times New Roman" w:hAnsi="Times New Roman"/>
          <w:sz w:val="24"/>
          <w:szCs w:val="24"/>
        </w:rPr>
        <w:t xml:space="preserve"> Recognizing violent crime by youth is an important societal issue, </w:t>
      </w:r>
      <w:r>
        <w:rPr>
          <w:rFonts w:ascii="Times New Roman" w:hAnsi="Times New Roman"/>
          <w:sz w:val="24"/>
          <w:szCs w:val="24"/>
        </w:rPr>
        <w:t xml:space="preserve">less than </w:t>
      </w:r>
      <w:r w:rsidRPr="007921A4">
        <w:rPr>
          <w:rFonts w:ascii="Times New Roman" w:hAnsi="Times New Roman"/>
          <w:sz w:val="24"/>
          <w:szCs w:val="24"/>
        </w:rPr>
        <w:t xml:space="preserve">1% </w:t>
      </w:r>
      <w:r>
        <w:rPr>
          <w:rFonts w:ascii="Times New Roman" w:hAnsi="Times New Roman"/>
          <w:sz w:val="24"/>
          <w:szCs w:val="24"/>
        </w:rPr>
        <w:t xml:space="preserve">of those under 21 </w:t>
      </w:r>
      <w:r w:rsidRPr="007921A4">
        <w:rPr>
          <w:rFonts w:ascii="Times New Roman" w:hAnsi="Times New Roman"/>
          <w:sz w:val="24"/>
          <w:szCs w:val="24"/>
        </w:rPr>
        <w:t>commit violent crime</w:t>
      </w:r>
      <w:r>
        <w:rPr>
          <w:rFonts w:ascii="Times New Roman" w:hAnsi="Times New Roman"/>
          <w:sz w:val="24"/>
          <w:szCs w:val="24"/>
        </w:rPr>
        <w:t xml:space="preserve">s. </w:t>
      </w:r>
    </w:p>
    <w:p w14:paraId="18A42E12" w14:textId="77777777" w:rsidR="005217D5" w:rsidRDefault="005217D5" w:rsidP="005217D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4</w:t>
      </w:r>
      <w:r w:rsidRPr="0086321E">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[opinion by Circuit Judge Julus N. Richardson].</w:t>
      </w:r>
    </w:p>
    <w:p w14:paraId="6D8827B3"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2E2552">
        <w:rPr>
          <w:rStyle w:val="markedcontent"/>
          <w:rFonts w:ascii="Times New Roman" w:hAnsi="Times New Roman"/>
          <w:sz w:val="24"/>
          <w:szCs w:val="24"/>
        </w:rPr>
        <w:t>Despite the weighty interest in reducing crime and violence, we refuse to relegate either the Second Amendment or 18- to 20-year-olds to a second-class statu</w:t>
      </w:r>
      <w:r>
        <w:rPr>
          <w:rStyle w:val="markedcontent"/>
          <w:rFonts w:ascii="Times New Roman" w:hAnsi="Times New Roman"/>
          <w:sz w:val="24"/>
          <w:szCs w:val="24"/>
        </w:rPr>
        <w:t>s.</w:t>
      </w:r>
    </w:p>
    <w:p w14:paraId="1B6802F4"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p>
    <w:p w14:paraId="0046071D"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proofErr w:type="gramStart"/>
      <w:r w:rsidRPr="00420E30">
        <w:rPr>
          <w:rStyle w:val="markedcontent"/>
          <w:rFonts w:ascii="Times New Roman" w:hAnsi="Times New Roman"/>
          <w:sz w:val="24"/>
          <w:szCs w:val="24"/>
        </w:rPr>
        <w:t>So</w:t>
      </w:r>
      <w:proofErr w:type="gramEnd"/>
      <w:r w:rsidRPr="00420E30">
        <w:rPr>
          <w:rStyle w:val="markedcontent"/>
          <w:rFonts w:ascii="Times New Roman" w:hAnsi="Times New Roman"/>
          <w:sz w:val="24"/>
          <w:szCs w:val="24"/>
        </w:rPr>
        <w:t xml:space="preserve"> while 18- to 20-year-olds may commit a disproportionate share of violent crime, an exceedingly small percentage, around 0.3% and definitely </w:t>
      </w:r>
      <w:proofErr w:type="gramStart"/>
      <w:r w:rsidRPr="00420E30">
        <w:rPr>
          <w:rStyle w:val="markedcontent"/>
          <w:rFonts w:ascii="Times New Roman" w:hAnsi="Times New Roman"/>
          <w:sz w:val="24"/>
          <w:szCs w:val="24"/>
        </w:rPr>
        <w:t>less than 1%,</w:t>
      </w:r>
      <w:proofErr w:type="gramEnd"/>
      <w:r w:rsidRPr="00420E30">
        <w:rPr>
          <w:rStyle w:val="markedcontent"/>
          <w:rFonts w:ascii="Times New Roman" w:hAnsi="Times New Roman"/>
          <w:sz w:val="24"/>
          <w:szCs w:val="24"/>
        </w:rPr>
        <w:t xml:space="preserve"> of the 13 million young adults in this group commit those crimes.</w:t>
      </w:r>
      <w:r>
        <w:rPr>
          <w:rStyle w:val="markedcontent"/>
          <w:rFonts w:ascii="Times New Roman" w:hAnsi="Times New Roman"/>
          <w:sz w:val="24"/>
          <w:szCs w:val="24"/>
        </w:rPr>
        <w:t xml:space="preserve"> </w:t>
      </w:r>
      <w:r w:rsidRPr="00420E30">
        <w:rPr>
          <w:rStyle w:val="markedcontent"/>
          <w:rFonts w:ascii="Times New Roman" w:hAnsi="Times New Roman"/>
          <w:sz w:val="24"/>
          <w:szCs w:val="24"/>
        </w:rPr>
        <w:t>This alone cannot justify restricting the entire group’s rights.</w:t>
      </w:r>
    </w:p>
    <w:p w14:paraId="198B870E"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p>
    <w:p w14:paraId="18C8DB50" w14:textId="77777777" w:rsidR="005217D5" w:rsidRDefault="005217D5" w:rsidP="005217D5">
      <w:pPr>
        <w:spacing w:before="100" w:beforeAutospacing="1" w:after="100" w:afterAutospacing="1" w:line="240" w:lineRule="auto"/>
        <w:ind w:left="720"/>
        <w:rPr>
          <w:rFonts w:ascii="Times New Roman" w:eastAsia="Times New Roman" w:hAnsi="Times New Roman"/>
          <w:b/>
          <w:bCs/>
          <w:sz w:val="24"/>
          <w:szCs w:val="24"/>
        </w:rPr>
      </w:pPr>
      <w:r w:rsidRPr="002A4D97">
        <w:rPr>
          <w:rStyle w:val="markedcontent"/>
          <w:rFonts w:ascii="Times New Roman" w:hAnsi="Times New Roman"/>
          <w:sz w:val="24"/>
          <w:szCs w:val="24"/>
        </w:rPr>
        <w:t xml:space="preserve">The </w:t>
      </w:r>
      <w:r>
        <w:rPr>
          <w:rStyle w:val="markedcontent"/>
          <w:rFonts w:ascii="Times New Roman" w:hAnsi="Times New Roman"/>
          <w:sz w:val="24"/>
          <w:szCs w:val="24"/>
        </w:rPr>
        <w:t xml:space="preserve">[Founding] </w:t>
      </w:r>
      <w:r w:rsidRPr="002A4D97">
        <w:rPr>
          <w:rStyle w:val="markedcontent"/>
          <w:rFonts w:ascii="Times New Roman" w:hAnsi="Times New Roman"/>
          <w:sz w:val="24"/>
          <w:szCs w:val="24"/>
        </w:rPr>
        <w:t>Founders set age requirements for Congress and the Presidency, but they did not limit any rights protected by the Bill of Rights to those of a certain age. See U.S. Const. art. I, § 2 (age 25 for the House); id. art. I, § 3 (age 30 for the Senate); id. art. II, § 1 (age 35 for the President); cf. id. amend. XXVI (setting voting age at 18). In other words, the Founders considered age and knew how to set age requirements but placed no such restrictions on rights, including those protected by the Second Amendment.</w:t>
      </w:r>
      <w:r>
        <w:rPr>
          <w:rStyle w:val="markedcontent"/>
          <w:rFonts w:ascii="Times New Roman" w:hAnsi="Times New Roman"/>
          <w:sz w:val="24"/>
          <w:szCs w:val="24"/>
        </w:rPr>
        <w:t xml:space="preserve">” </w:t>
      </w:r>
      <w:hyperlink r:id="rId780" w:history="1">
        <w:r w:rsidRPr="00814A02">
          <w:rPr>
            <w:rStyle w:val="Hyperlink"/>
            <w:sz w:val="24"/>
            <w:szCs w:val="24"/>
          </w:rPr>
          <w:t>https://www.ca4.uscourts.gov/opinions/192250.P.pdf</w:t>
        </w:r>
      </w:hyperlink>
      <w:r w:rsidRPr="002E2552">
        <w:rPr>
          <w:rFonts w:ascii="Times New Roman" w:eastAsia="Times New Roman" w:hAnsi="Times New Roman"/>
          <w:sz w:val="24"/>
          <w:szCs w:val="24"/>
        </w:rPr>
        <w:t xml:space="preserve"> </w:t>
      </w:r>
    </w:p>
    <w:p w14:paraId="4F991733" w14:textId="77777777" w:rsidR="005217D5" w:rsidRDefault="005217D5" w:rsidP="005217D5">
      <w:pPr>
        <w:spacing w:before="100" w:beforeAutospacing="1" w:after="100" w:afterAutospacing="1" w:line="240" w:lineRule="auto"/>
        <w:rPr>
          <w:rStyle w:val="markedcontent"/>
          <w:rFonts w:ascii="Times New Roman" w:hAnsi="Times New Roman"/>
          <w:b/>
          <w:bCs/>
          <w:sz w:val="24"/>
          <w:szCs w:val="24"/>
        </w:rPr>
      </w:pPr>
      <w:r w:rsidRPr="002A4D97">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 This decision does not restrict Fire &amp; EMS Departments from banning firearms on their property or apparatus. </w:t>
      </w:r>
      <w:r w:rsidRPr="002A4D97">
        <w:rPr>
          <w:rStyle w:val="markedcontent"/>
          <w:rFonts w:ascii="Times New Roman" w:hAnsi="Times New Roman"/>
          <w:b/>
          <w:bCs/>
          <w:sz w:val="24"/>
          <w:szCs w:val="24"/>
        </w:rPr>
        <w:t xml:space="preserve">It is highly likely the U.S. Department of Justice will ask all </w:t>
      </w:r>
      <w:r>
        <w:rPr>
          <w:rStyle w:val="markedcontent"/>
          <w:rFonts w:ascii="Times New Roman" w:hAnsi="Times New Roman"/>
          <w:b/>
          <w:bCs/>
          <w:sz w:val="24"/>
          <w:szCs w:val="24"/>
        </w:rPr>
        <w:t xml:space="preserve">15 of </w:t>
      </w:r>
      <w:r w:rsidRPr="002A4D97">
        <w:rPr>
          <w:rStyle w:val="markedcontent"/>
          <w:rFonts w:ascii="Times New Roman" w:hAnsi="Times New Roman"/>
          <w:b/>
          <w:bCs/>
          <w:sz w:val="24"/>
          <w:szCs w:val="24"/>
        </w:rPr>
        <w:t>the judges</w:t>
      </w:r>
      <w:r>
        <w:rPr>
          <w:rStyle w:val="markedcontent"/>
          <w:rFonts w:ascii="Times New Roman" w:hAnsi="Times New Roman"/>
          <w:b/>
          <w:bCs/>
          <w:sz w:val="24"/>
          <w:szCs w:val="24"/>
        </w:rPr>
        <w:t xml:space="preserve"> </w:t>
      </w:r>
      <w:r w:rsidRPr="002A4D97">
        <w:rPr>
          <w:rStyle w:val="markedcontent"/>
          <w:rFonts w:ascii="Times New Roman" w:hAnsi="Times New Roman"/>
          <w:b/>
          <w:bCs/>
          <w:sz w:val="24"/>
          <w:szCs w:val="24"/>
        </w:rPr>
        <w:t>on the 4</w:t>
      </w:r>
      <w:r w:rsidRPr="002A4D97">
        <w:rPr>
          <w:rStyle w:val="markedcontent"/>
          <w:rFonts w:ascii="Times New Roman" w:hAnsi="Times New Roman"/>
          <w:b/>
          <w:bCs/>
          <w:sz w:val="24"/>
          <w:szCs w:val="24"/>
          <w:vertAlign w:val="superscript"/>
        </w:rPr>
        <w:t>th</w:t>
      </w:r>
      <w:r w:rsidRPr="002A4D97">
        <w:rPr>
          <w:rStyle w:val="markedcontent"/>
          <w:rFonts w:ascii="Times New Roman" w:hAnsi="Times New Roman"/>
          <w:b/>
          <w:bCs/>
          <w:sz w:val="24"/>
          <w:szCs w:val="24"/>
        </w:rPr>
        <w:t xml:space="preserve"> Circuit to reconsider the decision </w:t>
      </w:r>
      <w:r>
        <w:rPr>
          <w:rStyle w:val="markedcontent"/>
          <w:rFonts w:ascii="Times New Roman" w:hAnsi="Times New Roman"/>
          <w:b/>
          <w:bCs/>
          <w:sz w:val="24"/>
          <w:szCs w:val="24"/>
        </w:rPr>
        <w:t>(</w:t>
      </w:r>
      <w:proofErr w:type="spellStart"/>
      <w:r>
        <w:rPr>
          <w:rStyle w:val="markedcontent"/>
          <w:rFonts w:ascii="Times New Roman" w:hAnsi="Times New Roman"/>
          <w:b/>
          <w:bCs/>
          <w:sz w:val="24"/>
          <w:szCs w:val="24"/>
        </w:rPr>
        <w:t>en</w:t>
      </w:r>
      <w:proofErr w:type="spellEnd"/>
      <w:r>
        <w:rPr>
          <w:rStyle w:val="markedcontent"/>
          <w:rFonts w:ascii="Times New Roman" w:hAnsi="Times New Roman"/>
          <w:b/>
          <w:bCs/>
          <w:sz w:val="24"/>
          <w:szCs w:val="24"/>
        </w:rPr>
        <w:t xml:space="preserve"> banc decision)</w:t>
      </w:r>
      <w:r w:rsidRPr="002A4D97">
        <w:rPr>
          <w:rStyle w:val="markedcontent"/>
          <w:rFonts w:ascii="Times New Roman" w:hAnsi="Times New Roman"/>
          <w:b/>
          <w:bCs/>
          <w:sz w:val="24"/>
          <w:szCs w:val="24"/>
        </w:rPr>
        <w:t xml:space="preserve"> </w:t>
      </w:r>
      <w:r>
        <w:rPr>
          <w:rStyle w:val="markedcontent"/>
          <w:rFonts w:ascii="Times New Roman" w:hAnsi="Times New Roman"/>
          <w:b/>
          <w:bCs/>
          <w:sz w:val="24"/>
          <w:szCs w:val="24"/>
        </w:rPr>
        <w:t>since the 5</w:t>
      </w:r>
      <w:r w:rsidRPr="00111EF6">
        <w:rPr>
          <w:rStyle w:val="markedcontent"/>
          <w:rFonts w:ascii="Times New Roman" w:hAnsi="Times New Roman"/>
          <w:b/>
          <w:bCs/>
          <w:sz w:val="24"/>
          <w:szCs w:val="24"/>
          <w:vertAlign w:val="superscript"/>
        </w:rPr>
        <w:t>th</w:t>
      </w:r>
      <w:r>
        <w:rPr>
          <w:rStyle w:val="markedcontent"/>
          <w:rFonts w:ascii="Times New Roman" w:hAnsi="Times New Roman"/>
          <w:b/>
          <w:bCs/>
          <w:sz w:val="24"/>
          <w:szCs w:val="24"/>
        </w:rPr>
        <w:t xml:space="preserve"> Circuit and lower courts have upheld the ban. </w:t>
      </w:r>
    </w:p>
    <w:p w14:paraId="3F1BF04B"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7921A4">
        <w:rPr>
          <w:rStyle w:val="markedcontent"/>
          <w:rFonts w:ascii="Times New Roman" w:hAnsi="Times New Roman"/>
          <w:sz w:val="24"/>
          <w:szCs w:val="24"/>
        </w:rPr>
        <w:t>Note: See article on the decision: “</w:t>
      </w:r>
      <w:r w:rsidRPr="007921A4">
        <w:rPr>
          <w:rFonts w:ascii="Times New Roman" w:hAnsi="Times New Roman"/>
          <w:sz w:val="24"/>
          <w:szCs w:val="24"/>
        </w:rPr>
        <w:t>Handgun sale ban to under 21-year-olds is unconstitutional, appeals court says</w:t>
      </w:r>
      <w:r>
        <w:rPr>
          <w:rFonts w:ascii="Times New Roman" w:hAnsi="Times New Roman"/>
          <w:sz w:val="24"/>
          <w:szCs w:val="24"/>
        </w:rPr>
        <w:t xml:space="preserve">.”  (July 13, 2021.)  </w:t>
      </w:r>
    </w:p>
    <w:p w14:paraId="2DDE553F" w14:textId="77777777" w:rsidR="005217D5" w:rsidRDefault="005217D5" w:rsidP="005217D5">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w:t>
      </w:r>
      <w:r w:rsidRPr="00111EF6">
        <w:rPr>
          <w:rFonts w:ascii="Times New Roman" w:hAnsi="Times New Roman"/>
          <w:sz w:val="24"/>
          <w:szCs w:val="24"/>
        </w:rPr>
        <w:t>Other courts had previously upheld the federal age minimums, as well as more expansive age limits that have been passed by states. Just last month, a federal judge upheld Florida's ban on firearm sales to those under 21.”</w:t>
      </w:r>
      <w:r>
        <w:rPr>
          <w:rFonts w:ascii="Times New Roman" w:hAnsi="Times New Roman"/>
          <w:sz w:val="24"/>
          <w:szCs w:val="24"/>
        </w:rPr>
        <w:t xml:space="preserve"> </w:t>
      </w:r>
      <w:hyperlink r:id="rId781" w:history="1">
        <w:r w:rsidRPr="00814A02">
          <w:rPr>
            <w:rStyle w:val="Hyperlink"/>
            <w:sz w:val="24"/>
            <w:szCs w:val="24"/>
          </w:rPr>
          <w:t>https://www.cnn.com/2021/07/13/politics/handgun-appeals-court/index.html?utm_term=link&amp;utm_content=2021-07-13T19%3A12%3A10&amp;utm_source=twcnnbrk&amp;utm_medium=social</w:t>
        </w:r>
      </w:hyperlink>
      <w:r>
        <w:rPr>
          <w:rFonts w:ascii="Times New Roman" w:hAnsi="Times New Roman"/>
          <w:sz w:val="24"/>
          <w:szCs w:val="24"/>
        </w:rPr>
        <w:t xml:space="preserve"> </w:t>
      </w:r>
    </w:p>
    <w:p w14:paraId="45793039" w14:textId="77777777" w:rsidR="005217D5" w:rsidRPr="00150169" w:rsidRDefault="005217D5" w:rsidP="005217D5">
      <w:pPr>
        <w:spacing w:before="100" w:beforeAutospacing="1" w:after="100" w:afterAutospacing="1" w:line="240" w:lineRule="auto"/>
        <w:jc w:val="center"/>
        <w:rPr>
          <w:rFonts w:ascii="Times New Roman" w:eastAsia="Times New Roman" w:hAnsi="Times New Roman"/>
          <w:sz w:val="24"/>
          <w:szCs w:val="24"/>
        </w:rPr>
      </w:pPr>
    </w:p>
    <w:p w14:paraId="553BC87B" w14:textId="77777777" w:rsidR="005217D5" w:rsidRDefault="005217D5" w:rsidP="005217D5">
      <w:pPr>
        <w:pStyle w:val="Heading1"/>
        <w:ind w:left="720"/>
        <w:rPr>
          <w:b w:val="0"/>
          <w:bCs w:val="0"/>
          <w:sz w:val="24"/>
          <w:szCs w:val="24"/>
        </w:rPr>
      </w:pPr>
      <w:r w:rsidRPr="00150169">
        <w:rPr>
          <w:b w:val="0"/>
          <w:bCs w:val="0"/>
          <w:sz w:val="24"/>
          <w:szCs w:val="24"/>
        </w:rPr>
        <w:t>July 18, 2021: “</w:t>
      </w:r>
      <w:r w:rsidRPr="00150169">
        <w:rPr>
          <w:rStyle w:val="gold"/>
          <w:rFonts w:eastAsiaTheme="majorEastAsia"/>
          <w:b w:val="0"/>
          <w:bCs w:val="0"/>
          <w:sz w:val="24"/>
          <w:szCs w:val="24"/>
        </w:rPr>
        <w:t xml:space="preserve">Opinion: </w:t>
      </w:r>
      <w:r w:rsidRPr="00150169">
        <w:rPr>
          <w:b w:val="0"/>
          <w:bCs w:val="0"/>
          <w:sz w:val="24"/>
          <w:szCs w:val="24"/>
        </w:rPr>
        <w:t xml:space="preserve">A federal appeals court decision on handguns opens the door to more violence.” </w:t>
      </w:r>
    </w:p>
    <w:p w14:paraId="7187055A" w14:textId="77777777" w:rsidR="005217D5" w:rsidRDefault="005217D5" w:rsidP="005217D5">
      <w:pPr>
        <w:pStyle w:val="Heading1"/>
        <w:ind w:left="1440"/>
        <w:rPr>
          <w:b w:val="0"/>
          <w:bCs w:val="0"/>
          <w:sz w:val="24"/>
          <w:szCs w:val="24"/>
        </w:rPr>
      </w:pPr>
      <w:r>
        <w:rPr>
          <w:b w:val="0"/>
          <w:bCs w:val="0"/>
          <w:sz w:val="24"/>
          <w:szCs w:val="24"/>
        </w:rPr>
        <w:t>“</w:t>
      </w:r>
      <w:r w:rsidRPr="0053535C">
        <w:rPr>
          <w:b w:val="0"/>
          <w:bCs w:val="0"/>
          <w:sz w:val="24"/>
          <w:szCs w:val="24"/>
        </w:rPr>
        <w:t>That act of judicial arrogance, if affirmed on appeal, would likely accelerate the current spike in homicides, many of them committed with handguns by individuals under the age of 21. And it comes as Americans are embarked on a record-setting</w:t>
      </w:r>
      <w:hyperlink r:id="rId782" w:tgtFrame="_blank" w:history="1">
        <w:r w:rsidRPr="0053535C">
          <w:rPr>
            <w:rStyle w:val="Hyperlink"/>
            <w:sz w:val="24"/>
            <w:szCs w:val="24"/>
          </w:rPr>
          <w:t xml:space="preserve"> gun-buying spree</w:t>
        </w:r>
      </w:hyperlink>
      <w:r w:rsidRPr="0053535C">
        <w:rPr>
          <w:b w:val="0"/>
          <w:bCs w:val="0"/>
          <w:sz w:val="24"/>
          <w:szCs w:val="24"/>
        </w:rPr>
        <w:t>, which began during the pandemic and shows no sign of waning.</w:t>
      </w:r>
      <w:r>
        <w:rPr>
          <w:b w:val="0"/>
          <w:bCs w:val="0"/>
          <w:sz w:val="24"/>
          <w:szCs w:val="24"/>
        </w:rPr>
        <w:t xml:space="preserve">” </w:t>
      </w:r>
      <w:hyperlink r:id="rId783" w:history="1">
        <w:r w:rsidRPr="004A379F">
          <w:rPr>
            <w:rStyle w:val="Hyperlink"/>
            <w:sz w:val="24"/>
            <w:szCs w:val="24"/>
          </w:rPr>
          <w:t>https://www.washingtonpost.com/opinions/2021/07/18/federal-appeals-court-decisions-handguns-opens-door-more-violence/?utm_campaign=wp_todays_headlines&amp;utm_medium=email&amp;utm_source=newsletter&amp;wpisrc=nl_headlines&amp;carta-url=https%3A%2F%2Fs2.washingtonpost.com%2Fcar-ln-tr%2F342e6a3%2F60f54d379d2fda945a0c336b%2F59731235ade4e21a848a56ed%2F42%2F67%2F60f54d379d2fda945a0c336b</w:t>
        </w:r>
      </w:hyperlink>
      <w:r w:rsidRPr="00150169">
        <w:rPr>
          <w:b w:val="0"/>
          <w:bCs w:val="0"/>
          <w:sz w:val="24"/>
          <w:szCs w:val="24"/>
        </w:rPr>
        <w:t xml:space="preserve"> </w:t>
      </w:r>
    </w:p>
    <w:p w14:paraId="63E53266" w14:textId="77777777" w:rsidR="005217D5" w:rsidRPr="00231A9A" w:rsidRDefault="005217D5" w:rsidP="005217D5">
      <w:pPr>
        <w:pStyle w:val="Heading1"/>
        <w:ind w:left="720"/>
        <w:rPr>
          <w:b w:val="0"/>
          <w:bCs w:val="0"/>
          <w:sz w:val="24"/>
          <w:szCs w:val="24"/>
        </w:rPr>
      </w:pPr>
      <w:r w:rsidRPr="00231A9A">
        <w:rPr>
          <w:b w:val="0"/>
          <w:bCs w:val="0"/>
          <w:sz w:val="24"/>
          <w:szCs w:val="24"/>
        </w:rPr>
        <w:t>Aug. 2, 2021:   'Something has to be done.' Lawsuit filed against maker of 100-round magazine used in Dayton mass shooting</w:t>
      </w:r>
      <w:r>
        <w:rPr>
          <w:b w:val="0"/>
          <w:bCs w:val="0"/>
          <w:sz w:val="24"/>
          <w:szCs w:val="24"/>
        </w:rPr>
        <w:t xml:space="preserve">.” </w:t>
      </w:r>
    </w:p>
    <w:p w14:paraId="6ACB51B0" w14:textId="77777777" w:rsidR="005217D5" w:rsidRPr="0053535C" w:rsidRDefault="005217D5" w:rsidP="005217D5">
      <w:pPr>
        <w:pStyle w:val="Heading1"/>
        <w:ind w:left="1440"/>
        <w:rPr>
          <w:b w:val="0"/>
          <w:bCs w:val="0"/>
          <w:sz w:val="24"/>
          <w:szCs w:val="24"/>
        </w:rPr>
      </w:pPr>
      <w:r w:rsidRPr="0053535C">
        <w:rPr>
          <w:b w:val="0"/>
          <w:bCs w:val="0"/>
          <w:sz w:val="24"/>
          <w:szCs w:val="24"/>
        </w:rPr>
        <w:t xml:space="preserve">“Two years ago, Connor Betts used a high-powered rifle </w:t>
      </w:r>
      <w:hyperlink r:id="rId784" w:tgtFrame="_blank" w:history="1">
        <w:r w:rsidRPr="0053535C">
          <w:rPr>
            <w:rStyle w:val="Hyperlink"/>
            <w:sz w:val="24"/>
            <w:szCs w:val="24"/>
          </w:rPr>
          <w:t>to kill nine people and wound many others</w:t>
        </w:r>
      </w:hyperlink>
      <w:r w:rsidRPr="0053535C">
        <w:rPr>
          <w:b w:val="0"/>
          <w:bCs w:val="0"/>
          <w:sz w:val="24"/>
          <w:szCs w:val="24"/>
        </w:rPr>
        <w:t xml:space="preserve"> in a crowded entertainment district in Dayton, Ohio. </w:t>
      </w:r>
      <w:hyperlink r:id="rId785" w:tgtFrame="_blank" w:history="1">
        <w:r w:rsidRPr="0053535C">
          <w:rPr>
            <w:rStyle w:val="Hyperlink"/>
            <w:sz w:val="24"/>
            <w:szCs w:val="24"/>
          </w:rPr>
          <w:t>The tragedy unfolded in about 30 seconds</w:t>
        </w:r>
      </w:hyperlink>
      <w:r w:rsidRPr="0053535C">
        <w:rPr>
          <w:b w:val="0"/>
          <w:bCs w:val="0"/>
          <w:sz w:val="24"/>
          <w:szCs w:val="24"/>
        </w:rPr>
        <w:t>. The 24-year-old used an assault-style rifle that had a 100-round, double-drum magazine attached, allowing him to fire multiple rounds without reloading. Attorneys for several of the families of those killed are suing the company that manufactured the double-drum magazine, saying it has no real protocols or oversight in place to ensure that its product isn't used in a mass shooting. *** The lawsuit was filed in Nevada state court against Nevada-based Kyung Chang Industry USA and its related South Korean company.”  </w:t>
      </w:r>
      <w:hyperlink r:id="rId786" w:history="1">
        <w:r w:rsidRPr="0053535C">
          <w:rPr>
            <w:rStyle w:val="Hyperlink"/>
            <w:sz w:val="24"/>
            <w:szCs w:val="24"/>
          </w:rPr>
          <w:t>https://www.cincinnati.com/story/news/2021/08/02/attorney-maker-double-drum-magazine-enabled-dayton-mass-shooting/5455812001/</w:t>
        </w:r>
      </w:hyperlink>
    </w:p>
    <w:p w14:paraId="57167584" w14:textId="77777777" w:rsidR="005217D5" w:rsidRDefault="005217D5" w:rsidP="00F326E5">
      <w:pPr>
        <w:pStyle w:val="NoSpacing"/>
        <w:rPr>
          <w:rFonts w:ascii="Arial Black" w:hAnsi="Arial Black"/>
          <w:sz w:val="28"/>
          <w:szCs w:val="28"/>
        </w:rPr>
      </w:pPr>
    </w:p>
    <w:p w14:paraId="0E84CF83" w14:textId="77777777" w:rsidR="005217D5" w:rsidRDefault="005217D5" w:rsidP="00F326E5">
      <w:pPr>
        <w:pStyle w:val="NoSpacing"/>
        <w:rPr>
          <w:rFonts w:ascii="Arial Black" w:hAnsi="Arial Black"/>
          <w:sz w:val="28"/>
          <w:szCs w:val="28"/>
        </w:rPr>
      </w:pPr>
    </w:p>
    <w:p w14:paraId="28549107" w14:textId="77777777" w:rsidR="005217D5" w:rsidRDefault="005217D5" w:rsidP="00F326E5">
      <w:pPr>
        <w:pStyle w:val="NoSpacing"/>
        <w:rPr>
          <w:rFonts w:ascii="Arial Black" w:hAnsi="Arial Black"/>
          <w:sz w:val="28"/>
          <w:szCs w:val="28"/>
        </w:rPr>
      </w:pPr>
    </w:p>
    <w:p w14:paraId="0B1F9D61" w14:textId="18199422" w:rsidR="000915C1" w:rsidRDefault="00A82898" w:rsidP="00F326E5">
      <w:pPr>
        <w:pStyle w:val="NoSpacing"/>
        <w:rPr>
          <w:rFonts w:ascii="Arial Black" w:hAnsi="Arial Black"/>
          <w:sz w:val="28"/>
          <w:szCs w:val="28"/>
        </w:rPr>
      </w:pPr>
      <w:r>
        <w:rPr>
          <w:rFonts w:ascii="Arial Black" w:hAnsi="Arial Black"/>
          <w:sz w:val="28"/>
          <w:szCs w:val="28"/>
        </w:rPr>
        <w:t>3-35</w:t>
      </w:r>
    </w:p>
    <w:p w14:paraId="2634E8EF" w14:textId="56D8D3B7" w:rsidR="00A82898" w:rsidRDefault="00A82898" w:rsidP="00F326E5">
      <w:pPr>
        <w:pStyle w:val="NoSpacing"/>
        <w:rPr>
          <w:rFonts w:ascii="Arial Black" w:hAnsi="Arial Black"/>
          <w:sz w:val="28"/>
          <w:szCs w:val="28"/>
        </w:rPr>
      </w:pPr>
    </w:p>
    <w:p w14:paraId="288FC182"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r>
        <w:rPr>
          <w:rStyle w:val="markedcontent"/>
          <w:rFonts w:ascii="Arial Black" w:hAnsi="Arial Black"/>
          <w:sz w:val="28"/>
          <w:szCs w:val="28"/>
        </w:rPr>
        <w:t xml:space="preserve">CA: FALSE CREDIT RECORDS – AFTER 9/11, CO. OFFERED “POTENTIAL MATCH” U.S. TREASURY LIST TERRORISTS </w:t>
      </w:r>
    </w:p>
    <w:p w14:paraId="2DFF652E"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p>
    <w:p w14:paraId="39D95E18" w14:textId="77777777" w:rsidR="00A82898" w:rsidRDefault="00A82898" w:rsidP="00A82898">
      <w:pPr>
        <w:pStyle w:val="NormalWeb"/>
        <w:spacing w:before="0" w:beforeAutospacing="0" w:after="0" w:afterAutospacing="0" w:line="255" w:lineRule="atLeast"/>
        <w:rPr>
          <w:rStyle w:val="markedcontent"/>
        </w:rPr>
      </w:pPr>
      <w:r w:rsidRPr="00130D09">
        <w:rPr>
          <w:rStyle w:val="markedcontent"/>
        </w:rPr>
        <w:t xml:space="preserve">On June 25, 2021, in </w:t>
      </w:r>
      <w:r w:rsidRPr="00130D09">
        <w:rPr>
          <w:rStyle w:val="markedcontent"/>
          <w:u w:val="single"/>
        </w:rPr>
        <w:t>TransUnion LLC v. Sergio Ramirez, et al</w:t>
      </w:r>
      <w:r w:rsidRPr="00130D09">
        <w:rPr>
          <w:rStyle w:val="markedcontent"/>
        </w:rPr>
        <w:t xml:space="preserve">., the U.S. Supreme Court held (5 to 4) that </w:t>
      </w:r>
      <w:r>
        <w:rPr>
          <w:rStyle w:val="markedcontent"/>
        </w:rPr>
        <w:t xml:space="preserve">only individuals who could prove they </w:t>
      </w:r>
      <w:r w:rsidRPr="00130D09">
        <w:rPr>
          <w:rStyle w:val="markedcontent"/>
        </w:rPr>
        <w:t xml:space="preserve">suffered “concrete harm” </w:t>
      </w:r>
      <w:r>
        <w:rPr>
          <w:rStyle w:val="markedcontent"/>
        </w:rPr>
        <w:t>can sue TransUnion for violation of federal Fair Credit Reporting Act when they are falsely identified as matching someone with same fire &amp; last name on U.S. Treasury “Specially Designated Nationals” list of terrorists, and narcotics traffickers.  After the attacks on 9/11, TransUnion began selling to banks, auto dealers and other businesses a “potential match” to a name on the U.S. Treasury’s</w:t>
      </w:r>
      <w:r>
        <w:t xml:space="preserve"> list. </w:t>
      </w:r>
      <w:r w:rsidRPr="00A53168">
        <w:rPr>
          <w:rStyle w:val="markedcontent"/>
        </w:rPr>
        <w:t>TransUnion did not compare birth dates, middle initials, Social Security numbers, or any other available identifier routinely used to collect and verify credit-report data.</w:t>
      </w:r>
      <w:r>
        <w:rPr>
          <w:rStyle w:val="markedcontent"/>
        </w:rPr>
        <w:t xml:space="preserve">  After 6-day trial, the jury found a willful violation of Fair Credit Reporting Act and </w:t>
      </w:r>
      <w:r w:rsidRPr="00D61134">
        <w:rPr>
          <w:rStyle w:val="markedcontent"/>
        </w:rPr>
        <w:t>awarded each class</w:t>
      </w:r>
      <w:r>
        <w:rPr>
          <w:rStyle w:val="markedcontent"/>
        </w:rPr>
        <w:t xml:space="preserve"> </w:t>
      </w:r>
      <w:r w:rsidRPr="00D61134">
        <w:rPr>
          <w:rStyle w:val="markedcontent"/>
        </w:rPr>
        <w:t>member</w:t>
      </w:r>
      <w:r>
        <w:rPr>
          <w:rStyle w:val="markedcontent"/>
        </w:rPr>
        <w:t xml:space="preserve"> (</w:t>
      </w:r>
      <w:r>
        <w:rPr>
          <w:rStyle w:val="markedcontent"/>
          <w:sz w:val="27"/>
          <w:szCs w:val="27"/>
        </w:rPr>
        <w:t xml:space="preserve">8,185 </w:t>
      </w:r>
      <w:r>
        <w:rPr>
          <w:rStyle w:val="markedcontent"/>
        </w:rPr>
        <w:t xml:space="preserve">class members), </w:t>
      </w:r>
      <w:r w:rsidRPr="00D61134">
        <w:rPr>
          <w:rStyle w:val="markedcontent"/>
        </w:rPr>
        <w:t>$984.22 in statutory damages (about $8 million total) and $6,353.08 in punitive damages (about $52 million</w:t>
      </w:r>
      <w:r>
        <w:rPr>
          <w:rStyle w:val="markedcontent"/>
        </w:rPr>
        <w:t xml:space="preserve"> </w:t>
      </w:r>
      <w:r w:rsidRPr="00D61134">
        <w:rPr>
          <w:rStyle w:val="markedcontent"/>
        </w:rPr>
        <w:t>total).</w:t>
      </w:r>
      <w:r>
        <w:rPr>
          <w:rStyle w:val="markedcontent"/>
        </w:rPr>
        <w:t xml:space="preserve">  The Court majority set aside the verdict, and remanded case – only Plaintiff, who was denied an auto loan, and others who can prove a “concrete harm” are entitled to damages.  </w:t>
      </w:r>
    </w:p>
    <w:p w14:paraId="62FB8407" w14:textId="77777777" w:rsidR="00A82898" w:rsidRDefault="00A82898" w:rsidP="00A82898">
      <w:pPr>
        <w:pStyle w:val="NormalWeb"/>
        <w:spacing w:before="0" w:beforeAutospacing="0" w:after="0" w:afterAutospacing="0" w:line="255" w:lineRule="atLeast"/>
        <w:rPr>
          <w:rStyle w:val="markedcontent"/>
        </w:rPr>
      </w:pPr>
    </w:p>
    <w:p w14:paraId="6604DB0E" w14:textId="77777777" w:rsidR="00A82898" w:rsidRDefault="00A82898" w:rsidP="00A82898">
      <w:pPr>
        <w:pStyle w:val="NormalWeb"/>
        <w:spacing w:before="0" w:beforeAutospacing="0" w:after="0" w:afterAutospacing="0" w:line="255" w:lineRule="atLeast"/>
        <w:rPr>
          <w:rStyle w:val="markedcontent"/>
        </w:rPr>
      </w:pPr>
      <w:r>
        <w:rPr>
          <w:rStyle w:val="markedcontent"/>
        </w:rPr>
        <w:t xml:space="preserve">Note: This case was reviewed since employers, including Fire &amp; EMS conducting background checks on applicants, must be cautious of credit reports and give applicants time to correct errors. </w:t>
      </w:r>
    </w:p>
    <w:p w14:paraId="6354921C" w14:textId="77777777" w:rsidR="00A82898" w:rsidRDefault="00A82898" w:rsidP="00A82898">
      <w:pPr>
        <w:pStyle w:val="NormalWeb"/>
        <w:spacing w:before="0" w:beforeAutospacing="0" w:after="0" w:afterAutospacing="0" w:line="255" w:lineRule="atLeast"/>
        <w:rPr>
          <w:rStyle w:val="markedcontent"/>
        </w:rPr>
      </w:pPr>
    </w:p>
    <w:p w14:paraId="3E7616D6" w14:textId="77777777" w:rsidR="00A82898" w:rsidRDefault="00A82898" w:rsidP="00A82898">
      <w:pPr>
        <w:pStyle w:val="NormalWeb"/>
        <w:spacing w:before="0" w:beforeAutospacing="0" w:after="0" w:afterAutospacing="0" w:line="255" w:lineRule="atLeast"/>
        <w:rPr>
          <w:rStyle w:val="markedcontent"/>
        </w:rPr>
      </w:pPr>
    </w:p>
    <w:p w14:paraId="5356E157" w14:textId="77777777" w:rsidR="00A82898" w:rsidRDefault="00A82898" w:rsidP="00A82898">
      <w:pPr>
        <w:pStyle w:val="NormalWeb"/>
        <w:spacing w:before="0" w:beforeAutospacing="0" w:after="0" w:afterAutospacing="0" w:line="255" w:lineRule="atLeast"/>
        <w:rPr>
          <w:rStyle w:val="markedcontent"/>
        </w:rPr>
      </w:pPr>
      <w:r>
        <w:rPr>
          <w:rStyle w:val="markedcontent"/>
        </w:rPr>
        <w:t xml:space="preserve">Justice Brett Kavanaugh wrote the majority opinion: </w:t>
      </w:r>
    </w:p>
    <w:p w14:paraId="470F9907" w14:textId="77777777" w:rsidR="00A82898" w:rsidRDefault="00A82898" w:rsidP="00A82898">
      <w:pPr>
        <w:pStyle w:val="NormalWeb"/>
        <w:spacing w:before="0" w:beforeAutospacing="0" w:after="0" w:afterAutospacing="0" w:line="255" w:lineRule="atLeast"/>
        <w:rPr>
          <w:rStyle w:val="markedcontent"/>
        </w:rPr>
      </w:pPr>
    </w:p>
    <w:p w14:paraId="3C6E73E4"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“When this litigation arose, Name Screen worked in the following way: When a business opted into the Name Screen service, TransUnion would conduct its ordinary credit check of the consumer, and it would also use third-party software to compare the consumer’s name against the OFAC [U.S. Treasury’s Office of Foreign Assets Control] list. If the consumer’s first and last name matched the first and last name of an individual on OFAC’s list, then TransUnion would place an alert on the credit report indicating that the consumer’s name was a “potential match” to a name on the OFAC list. TransUnion did not compare any data other than first and last names. Unsurprisingly, TransUnion’s Name Screen product generated many false positives. Thousands of law-abiding Americans happen to share a first and last name with one of the terrorists, drug traffickers, or serious criminals on OFAC’s list of specially designated nationals.</w:t>
      </w:r>
    </w:p>
    <w:p w14:paraId="7460BD34" w14:textId="77777777" w:rsidR="00A82898" w:rsidRPr="00B92CD8" w:rsidRDefault="00A82898" w:rsidP="00A82898">
      <w:pPr>
        <w:pStyle w:val="NormalWeb"/>
        <w:spacing w:before="0" w:beforeAutospacing="0" w:after="0" w:afterAutospacing="0" w:line="255" w:lineRule="atLeast"/>
        <w:ind w:left="720"/>
        <w:rPr>
          <w:rStyle w:val="markedcontent"/>
        </w:rPr>
      </w:pPr>
    </w:p>
    <w:p w14:paraId="3E4769C1"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w:t>
      </w:r>
    </w:p>
    <w:p w14:paraId="54B0E050" w14:textId="77777777" w:rsidR="00A82898" w:rsidRPr="00B92CD8" w:rsidRDefault="00A82898" w:rsidP="00A82898">
      <w:pPr>
        <w:pStyle w:val="NormalWeb"/>
        <w:spacing w:before="0" w:beforeAutospacing="0" w:after="0" w:afterAutospacing="0" w:line="255" w:lineRule="atLeast"/>
        <w:ind w:left="720"/>
        <w:rPr>
          <w:rStyle w:val="markedcontent"/>
        </w:rPr>
      </w:pPr>
    </w:p>
    <w:p w14:paraId="209A36AE" w14:textId="77777777" w:rsidR="00A82898" w:rsidRPr="00581681" w:rsidRDefault="00A82898" w:rsidP="00A82898">
      <w:pPr>
        <w:pStyle w:val="NormalWeb"/>
        <w:spacing w:before="0" w:beforeAutospacing="0" w:after="0" w:afterAutospacing="0" w:line="255" w:lineRule="atLeast"/>
        <w:ind w:left="720"/>
        <w:rPr>
          <w:rStyle w:val="markedcontent"/>
        </w:rPr>
      </w:pPr>
      <w:r w:rsidRPr="00581681">
        <w:rPr>
          <w:rStyle w:val="markedcontent"/>
        </w:rPr>
        <w:t xml:space="preserve">Sergio Ramirez learned the hard way that he is one such individual. On February 27, 2011, Ramirez visited a Nissan dealership in Dublin, California, seeking to buy a Nissan Maxima. Ramirez was accompanied by his wife and his father-in-law. After Ramirez and his wife selected a color and negotiated a price, the dealership ran a credit check on both Ramirez and his wife. Ramirez’s credit report, produced by TransUnion, contained the following </w:t>
      </w:r>
      <w:proofErr w:type="gramStart"/>
      <w:r w:rsidRPr="00581681">
        <w:rPr>
          <w:rStyle w:val="markedcontent"/>
        </w:rPr>
        <w:t xml:space="preserve">alert: </w:t>
      </w:r>
      <w:r>
        <w:rPr>
          <w:rStyle w:val="markedcontent"/>
        </w:rPr>
        <w:t>‘</w:t>
      </w:r>
      <w:proofErr w:type="gramEnd"/>
      <w:r w:rsidRPr="00581681">
        <w:rPr>
          <w:rStyle w:val="markedcontent"/>
        </w:rPr>
        <w:t>***OFAC ADVISOR ALERT - INPUT NAME MATCHES NAME ON THE OFAC DATABASE.</w:t>
      </w:r>
      <w:r>
        <w:rPr>
          <w:rStyle w:val="markedcontent"/>
        </w:rPr>
        <w:t xml:space="preserve">’ </w:t>
      </w:r>
      <w:r w:rsidRPr="00581681">
        <w:rPr>
          <w:rStyle w:val="markedcontent"/>
        </w:rPr>
        <w:t xml:space="preserve">App. 84. A Nissan salesman told Ramirez that Nissan would not sell the car to him because his name was on a </w:t>
      </w:r>
      <w:r>
        <w:rPr>
          <w:rStyle w:val="markedcontent"/>
        </w:rPr>
        <w:t>‘</w:t>
      </w:r>
      <w:r w:rsidRPr="00581681">
        <w:rPr>
          <w:rStyle w:val="markedcontent"/>
        </w:rPr>
        <w:t xml:space="preserve">terrorist </w:t>
      </w:r>
      <w:proofErr w:type="spellStart"/>
      <w:r w:rsidRPr="00581681">
        <w:rPr>
          <w:rStyle w:val="markedcontent"/>
        </w:rPr>
        <w:t>list.</w:t>
      </w:r>
      <w:r>
        <w:rPr>
          <w:rStyle w:val="markedcontent"/>
        </w:rPr>
        <w:t>’</w:t>
      </w:r>
      <w:r w:rsidRPr="00581681">
        <w:rPr>
          <w:rStyle w:val="markedcontent"/>
        </w:rPr>
        <w:t>Id</w:t>
      </w:r>
      <w:proofErr w:type="spellEnd"/>
      <w:r w:rsidRPr="00581681">
        <w:rPr>
          <w:rStyle w:val="markedcontent"/>
        </w:rPr>
        <w:t xml:space="preserve">., at 333. Ramirez’s wife had to purchase the car </w:t>
      </w:r>
      <w:proofErr w:type="gramStart"/>
      <w:r w:rsidRPr="00581681">
        <w:rPr>
          <w:rStyle w:val="markedcontent"/>
        </w:rPr>
        <w:t>in</w:t>
      </w:r>
      <w:proofErr w:type="gramEnd"/>
      <w:r w:rsidRPr="00581681">
        <w:rPr>
          <w:rStyle w:val="markedcontent"/>
        </w:rPr>
        <w:t xml:space="preserve"> her own name.</w:t>
      </w:r>
    </w:p>
    <w:p w14:paraId="57306DFA" w14:textId="77777777" w:rsidR="00A82898" w:rsidRDefault="00A82898" w:rsidP="00A82898">
      <w:pPr>
        <w:pStyle w:val="NormalWeb"/>
        <w:spacing w:before="0" w:beforeAutospacing="0" w:after="0" w:afterAutospacing="0" w:line="255" w:lineRule="atLeast"/>
        <w:ind w:left="720"/>
        <w:rPr>
          <w:rStyle w:val="markedcontent"/>
        </w:rPr>
      </w:pPr>
    </w:p>
    <w:p w14:paraId="77F7F592" w14:textId="77777777" w:rsidR="00A82898" w:rsidRDefault="00A82898" w:rsidP="00A82898">
      <w:pPr>
        <w:pStyle w:val="NormalWeb"/>
        <w:spacing w:before="0" w:beforeAutospacing="0" w:after="0" w:afterAutospacing="0" w:line="255" w:lineRule="atLeast"/>
        <w:ind w:left="720"/>
        <w:rPr>
          <w:rStyle w:val="markedcontent"/>
        </w:rPr>
      </w:pPr>
      <w:r>
        <w:rPr>
          <w:rStyle w:val="markedcontent"/>
        </w:rPr>
        <w:t>***</w:t>
      </w:r>
    </w:p>
    <w:p w14:paraId="7E94D580"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For 1,853 of the class members, TransUnion provided misleading credit reports to third-party businesses. We conclude that those 1,853 class members have demonstrated concrete reputational harm and thus have Article III standing to sue on the reasonable-procedures claim</w:t>
      </w:r>
      <w:r>
        <w:rPr>
          <w:rStyle w:val="markedcontent"/>
        </w:rPr>
        <w:t xml:space="preserve">. </w:t>
      </w:r>
      <w:r w:rsidRPr="00B92CD8">
        <w:rPr>
          <w:rStyle w:val="markedcontent"/>
        </w:rPr>
        <w:t xml:space="preserve"> The internal credit files of the other 6,332 class members were not provided to third-party businesses during the relevant </w:t>
      </w:r>
      <w:proofErr w:type="gramStart"/>
      <w:r w:rsidRPr="00B92CD8">
        <w:rPr>
          <w:rStyle w:val="markedcontent"/>
        </w:rPr>
        <w:t>time period</w:t>
      </w:r>
      <w:proofErr w:type="gramEnd"/>
      <w:r w:rsidRPr="00B92CD8">
        <w:rPr>
          <w:rStyle w:val="markedcontent"/>
        </w:rPr>
        <w:t>. We conclude that those 6,332 class members have not demonstrated concrete harm and thus lack Article III standing to sue on the reasonable-procedures claim.”</w:t>
      </w:r>
    </w:p>
    <w:p w14:paraId="2ECF8C42" w14:textId="77777777" w:rsidR="00A82898" w:rsidRPr="00B92CD8" w:rsidRDefault="00A82898" w:rsidP="00A82898">
      <w:pPr>
        <w:pStyle w:val="NormalWeb"/>
        <w:spacing w:before="0" w:beforeAutospacing="0" w:after="0" w:afterAutospacing="0" w:line="255" w:lineRule="atLeast"/>
        <w:ind w:firstLine="720"/>
        <w:rPr>
          <w:rStyle w:val="markedcontent"/>
        </w:rPr>
      </w:pPr>
      <w:hyperlink r:id="rId787" w:history="1">
        <w:r w:rsidRPr="00B92CD8">
          <w:rPr>
            <w:rStyle w:val="Hyperlink"/>
          </w:rPr>
          <w:t>https://www.supremecourt.gov/opinions/20pdf/20-297_4g25.pdf</w:t>
        </w:r>
      </w:hyperlink>
      <w:r w:rsidRPr="00B92CD8">
        <w:rPr>
          <w:rStyle w:val="markedcontent"/>
        </w:rPr>
        <w:t xml:space="preserve"> </w:t>
      </w:r>
    </w:p>
    <w:p w14:paraId="573F0AD7" w14:textId="3EC47492" w:rsidR="00A82898" w:rsidRDefault="00A82898" w:rsidP="00F326E5">
      <w:pPr>
        <w:pStyle w:val="NoSpacing"/>
        <w:rPr>
          <w:rFonts w:ascii="Arial Black" w:hAnsi="Arial Black"/>
          <w:sz w:val="28"/>
          <w:szCs w:val="28"/>
        </w:rPr>
      </w:pPr>
    </w:p>
    <w:p w14:paraId="7AB021E7" w14:textId="77777777" w:rsidR="00A82898" w:rsidRPr="008F342C" w:rsidRDefault="00A82898" w:rsidP="00A82898">
      <w:pPr>
        <w:pStyle w:val="NormalWeb"/>
        <w:spacing w:before="0" w:beforeAutospacing="0" w:after="0" w:afterAutospacing="0" w:line="255" w:lineRule="atLeast"/>
        <w:rPr>
          <w:rStyle w:val="markedcontent"/>
          <w:b/>
          <w:bCs/>
        </w:rPr>
      </w:pPr>
      <w:r w:rsidRPr="008F342C">
        <w:rPr>
          <w:rStyle w:val="markedcontent"/>
          <w:b/>
          <w:bCs/>
        </w:rPr>
        <w:t xml:space="preserve">Legal Lesson Learned: </w:t>
      </w:r>
      <w:r>
        <w:rPr>
          <w:rStyle w:val="markedcontent"/>
          <w:b/>
          <w:bCs/>
        </w:rPr>
        <w:t xml:space="preserve">Credit reporting companies need to improve their process of confirming that an individual is the same person as U.S. Treasury list.  Likewise, Fire &amp; EMS should give applicants adequate opportunity to correct any false information on their credit records. </w:t>
      </w:r>
    </w:p>
    <w:p w14:paraId="5211822B" w14:textId="77777777" w:rsidR="00A82898" w:rsidRDefault="00A82898" w:rsidP="00A82898">
      <w:pPr>
        <w:pStyle w:val="NormalWeb"/>
        <w:spacing w:before="0" w:beforeAutospacing="0" w:after="0" w:afterAutospacing="0" w:line="255" w:lineRule="atLeast"/>
        <w:rPr>
          <w:rStyle w:val="markedcontent"/>
        </w:rPr>
      </w:pPr>
    </w:p>
    <w:p w14:paraId="04BB9127" w14:textId="77777777" w:rsidR="00A82898" w:rsidRDefault="00A82898" w:rsidP="00A82898">
      <w:pPr>
        <w:pStyle w:val="NormalWeb"/>
        <w:spacing w:before="0" w:beforeAutospacing="0" w:after="0" w:afterAutospacing="0" w:line="255" w:lineRule="atLeast"/>
        <w:rPr>
          <w:rStyle w:val="markedcontent"/>
        </w:rPr>
      </w:pPr>
    </w:p>
    <w:p w14:paraId="2ABC3D5E" w14:textId="77777777" w:rsidR="00A82898" w:rsidRDefault="00A82898" w:rsidP="00A82898">
      <w:pPr>
        <w:pStyle w:val="NormalWeb"/>
        <w:spacing w:before="0" w:beforeAutospacing="0" w:after="0" w:afterAutospacing="0" w:line="255" w:lineRule="atLeast"/>
        <w:ind w:left="720"/>
        <w:rPr>
          <w:rStyle w:val="markedcontent"/>
        </w:rPr>
      </w:pPr>
      <w:r>
        <w:rPr>
          <w:rStyle w:val="markedcontent"/>
        </w:rPr>
        <w:t xml:space="preserve">See U.S. Treasury list: </w:t>
      </w:r>
      <w:hyperlink r:id="rId788" w:history="1">
        <w:r w:rsidRPr="0071610B">
          <w:rPr>
            <w:rStyle w:val="Hyperlink"/>
          </w:rPr>
          <w:t>https://home.treasury.gov/policy-issues/financial-sanctions/specially-designated-nationals-and-blocked-persons-list-sdn-human-readable-lists</w:t>
        </w:r>
      </w:hyperlink>
      <w:r>
        <w:rPr>
          <w:rStyle w:val="markedcontent"/>
        </w:rPr>
        <w:t xml:space="preserve"> </w:t>
      </w:r>
    </w:p>
    <w:p w14:paraId="128AFB78" w14:textId="77777777" w:rsidR="00A82898" w:rsidRDefault="00A82898" w:rsidP="00A82898">
      <w:pPr>
        <w:pStyle w:val="NormalWeb"/>
        <w:spacing w:before="0" w:beforeAutospacing="0" w:after="0" w:afterAutospacing="0" w:line="255" w:lineRule="atLeast"/>
        <w:ind w:left="720"/>
      </w:pPr>
    </w:p>
    <w:p w14:paraId="78DDE689" w14:textId="77777777" w:rsidR="00A82898" w:rsidRDefault="00A82898" w:rsidP="00A82898">
      <w:pPr>
        <w:pStyle w:val="NormalWeb"/>
        <w:spacing w:before="0" w:beforeAutospacing="0" w:after="0" w:afterAutospacing="0" w:line="255" w:lineRule="atLeast"/>
        <w:ind w:left="720"/>
      </w:pPr>
      <w:r>
        <w:t xml:space="preserve">“As part of its enforcement efforts, OFAC publishes a list of individuals and companies owned or controlled by, or acting for or on behalf of, targeted countries. It also lists individuals, groups, and entities, such as terrorists and narcotics traffickers designated under programs that are not </w:t>
      </w:r>
      <w:proofErr w:type="gramStart"/>
      <w:r>
        <w:t>country-specific</w:t>
      </w:r>
      <w:proofErr w:type="gramEnd"/>
      <w:r>
        <w:t xml:space="preserve">. Collectively, such individuals and companies are called "Specially Designated Nationals" or "SDNs." Their assets are blocked and U.S. persons are generally prohibited from dealing with them.  View more information on </w:t>
      </w:r>
      <w:hyperlink r:id="rId789" w:history="1">
        <w:r>
          <w:rPr>
            <w:rStyle w:val="Hyperlink"/>
          </w:rPr>
          <w:t>Treasury's Sanctions Programs</w:t>
        </w:r>
      </w:hyperlink>
      <w:r>
        <w:t>. </w:t>
      </w:r>
    </w:p>
    <w:p w14:paraId="73E1FB98" w14:textId="77777777" w:rsidR="00A82898" w:rsidRDefault="00A82898" w:rsidP="00A82898">
      <w:pPr>
        <w:pStyle w:val="NormalWeb"/>
        <w:spacing w:before="0" w:beforeAutospacing="0" w:after="0" w:afterAutospacing="0" w:line="255" w:lineRule="atLeast"/>
        <w:ind w:left="720"/>
      </w:pPr>
    </w:p>
    <w:p w14:paraId="3F7DF0BA" w14:textId="77777777" w:rsidR="00A82898" w:rsidRDefault="00A82898" w:rsidP="00A82898">
      <w:pPr>
        <w:ind w:firstLine="720"/>
      </w:pPr>
      <w:r>
        <w:rPr>
          <w:rStyle w:val="Strong"/>
        </w:rPr>
        <w:t xml:space="preserve">71. How Can I Get </w:t>
      </w:r>
      <w:proofErr w:type="gramStart"/>
      <w:r>
        <w:rPr>
          <w:rStyle w:val="Strong"/>
        </w:rPr>
        <w:t>The</w:t>
      </w:r>
      <w:proofErr w:type="gramEnd"/>
      <w:r>
        <w:rPr>
          <w:rStyle w:val="Strong"/>
        </w:rPr>
        <w:t xml:space="preserve"> OFAC Alert Off My Credit Report? </w:t>
      </w:r>
    </w:p>
    <w:p w14:paraId="5D88E8CF" w14:textId="77777777" w:rsidR="00A82898" w:rsidRDefault="00A82898" w:rsidP="00A82898">
      <w:pPr>
        <w:ind w:firstLine="720"/>
      </w:pPr>
      <w:r>
        <w:t>Answer</w:t>
      </w:r>
    </w:p>
    <w:p w14:paraId="685833D9" w14:textId="77777777" w:rsidR="00A82898" w:rsidRDefault="00A82898" w:rsidP="00A82898">
      <w:pPr>
        <w:pStyle w:val="NormalWeb"/>
        <w:ind w:left="720"/>
      </w:pPr>
      <w:r>
        <w:t xml:space="preserve">A consumer has the right under the Fair Credit Reporting Act (FCRA), 15 U.S.C. 1681 et seq., to request the removal of incorrect information on his/her credit report. To accomplish this, consumers should contact the credit reporting agency or bureau that issued the credit report. For more information on consumers' rights under the FCRA, visit the </w:t>
      </w:r>
      <w:hyperlink r:id="rId790" w:history="1">
        <w:r>
          <w:rPr>
            <w:rStyle w:val="Hyperlink"/>
          </w:rPr>
          <w:t>Federal Trade Commission's website</w:t>
        </w:r>
      </w:hyperlink>
      <w:r>
        <w:t xml:space="preserve"> or the Consumer Financial Protection Bureau at 855-411-2372.</w:t>
      </w:r>
    </w:p>
    <w:p w14:paraId="1ACA0631" w14:textId="77777777" w:rsidR="00A82898" w:rsidRDefault="00A82898" w:rsidP="00A82898">
      <w:pPr>
        <w:pStyle w:val="NormalWeb"/>
        <w:spacing w:before="0" w:beforeAutospacing="0" w:after="0" w:afterAutospacing="0" w:line="255" w:lineRule="atLeast"/>
        <w:rPr>
          <w:rStyle w:val="markedcontent"/>
        </w:rPr>
      </w:pPr>
    </w:p>
    <w:p w14:paraId="535C5107" w14:textId="77777777" w:rsidR="00A82898" w:rsidRDefault="00A82898" w:rsidP="00A82898">
      <w:pPr>
        <w:pStyle w:val="NormalWeb"/>
        <w:spacing w:before="0" w:beforeAutospacing="0" w:after="0" w:afterAutospacing="0" w:line="255" w:lineRule="atLeast"/>
        <w:rPr>
          <w:rStyle w:val="markedcontent"/>
        </w:rPr>
      </w:pPr>
    </w:p>
    <w:p w14:paraId="11B8D42B" w14:textId="77777777" w:rsidR="00A82898" w:rsidRDefault="00A82898" w:rsidP="00F326E5">
      <w:pPr>
        <w:pStyle w:val="NoSpacing"/>
        <w:rPr>
          <w:rFonts w:ascii="Arial Black" w:hAnsi="Arial Black"/>
          <w:sz w:val="28"/>
          <w:szCs w:val="28"/>
        </w:rPr>
      </w:pPr>
    </w:p>
    <w:p w14:paraId="71EAA3F8" w14:textId="77777777" w:rsidR="00A82898" w:rsidRDefault="00A82898" w:rsidP="00F326E5">
      <w:pPr>
        <w:pStyle w:val="NoSpacing"/>
        <w:rPr>
          <w:rFonts w:ascii="Arial Black" w:hAnsi="Arial Black"/>
          <w:sz w:val="28"/>
          <w:szCs w:val="28"/>
        </w:rPr>
      </w:pPr>
    </w:p>
    <w:p w14:paraId="33F6B6C6" w14:textId="77777777" w:rsidR="00A82898" w:rsidRDefault="00A82898" w:rsidP="00F326E5">
      <w:pPr>
        <w:pStyle w:val="NoSpacing"/>
        <w:rPr>
          <w:rFonts w:ascii="Arial Black" w:hAnsi="Arial Black"/>
          <w:sz w:val="28"/>
          <w:szCs w:val="28"/>
        </w:rPr>
      </w:pPr>
    </w:p>
    <w:p w14:paraId="7DB6B032" w14:textId="51A14C3E" w:rsidR="00F27CD5" w:rsidRDefault="00F27CD5" w:rsidP="00F326E5">
      <w:pPr>
        <w:pStyle w:val="NoSpacing"/>
        <w:rPr>
          <w:rFonts w:ascii="Arial Black" w:hAnsi="Arial Black"/>
          <w:sz w:val="28"/>
          <w:szCs w:val="28"/>
        </w:rPr>
      </w:pPr>
      <w:r>
        <w:rPr>
          <w:rFonts w:ascii="Arial Black" w:hAnsi="Arial Black"/>
          <w:sz w:val="28"/>
          <w:szCs w:val="28"/>
        </w:rPr>
        <w:t>3-34</w:t>
      </w:r>
    </w:p>
    <w:p w14:paraId="69554B1C" w14:textId="77777777" w:rsidR="00F27CD5" w:rsidRDefault="00F27CD5" w:rsidP="00F27CD5">
      <w:pPr>
        <w:pStyle w:val="Heading1"/>
        <w:rPr>
          <w:rFonts w:ascii="Arial Black" w:hAnsi="Arial Black"/>
          <w:sz w:val="28"/>
          <w:szCs w:val="28"/>
        </w:rPr>
      </w:pPr>
      <w:r>
        <w:rPr>
          <w:rFonts w:ascii="Arial Black" w:hAnsi="Arial Black"/>
          <w:sz w:val="28"/>
          <w:szCs w:val="28"/>
        </w:rPr>
        <w:t xml:space="preserve">U.S. SUP. CT – ALIEN IN US 8 YEARS, 3 KIDS – INS “STOP THE CLOCK” 10-YR STAT. – SINGLE NOTICE, HEARING DATE </w:t>
      </w:r>
    </w:p>
    <w:p w14:paraId="082F5B20" w14:textId="77777777" w:rsidR="00F27CD5" w:rsidRPr="000E0414" w:rsidRDefault="00F27CD5" w:rsidP="00F27CD5">
      <w:pPr>
        <w:pStyle w:val="Heading1"/>
        <w:rPr>
          <w:b w:val="0"/>
          <w:bCs w:val="0"/>
          <w:sz w:val="24"/>
          <w:szCs w:val="24"/>
        </w:rPr>
      </w:pPr>
      <w:r w:rsidRPr="000E0414">
        <w:rPr>
          <w:b w:val="0"/>
          <w:bCs w:val="0"/>
          <w:sz w:val="24"/>
          <w:szCs w:val="24"/>
        </w:rPr>
        <w:t xml:space="preserve">On April 29, 2021, in </w:t>
      </w:r>
      <w:r w:rsidRPr="000E0414">
        <w:rPr>
          <w:b w:val="0"/>
          <w:bCs w:val="0"/>
          <w:sz w:val="24"/>
          <w:szCs w:val="24"/>
          <w:u w:val="single"/>
        </w:rPr>
        <w:t>Agusto Niz-Chavez v. Garland, Attorney General</w:t>
      </w:r>
      <w:r w:rsidRPr="000E0414">
        <w:rPr>
          <w:b w:val="0"/>
          <w:bCs w:val="0"/>
          <w:sz w:val="24"/>
          <w:szCs w:val="24"/>
        </w:rPr>
        <w:t xml:space="preserve">, the U.S. Supreme Court (6 to 3; majority opinion by Justice Neil Gorsuch), held that the Immigration and Naturalization Service is required by statute to issue a </w:t>
      </w:r>
      <w:r w:rsidRPr="000E0414">
        <w:rPr>
          <w:b w:val="0"/>
          <w:bCs w:val="0"/>
          <w:sz w:val="24"/>
          <w:szCs w:val="24"/>
          <w:u w:val="single"/>
        </w:rPr>
        <w:t>single</w:t>
      </w:r>
      <w:r w:rsidRPr="000E0414">
        <w:rPr>
          <w:b w:val="0"/>
          <w:bCs w:val="0"/>
          <w:sz w:val="24"/>
          <w:szCs w:val="24"/>
        </w:rPr>
        <w:t xml:space="preserve"> Notice of Removal that includes date / location of removal hearing before an Immigration Judge.  Mr. Niz-Chavez </w:t>
      </w:r>
      <w:proofErr w:type="gramStart"/>
      <w:r w:rsidRPr="000E0414">
        <w:rPr>
          <w:b w:val="0"/>
          <w:bCs w:val="0"/>
          <w:sz w:val="24"/>
          <w:szCs w:val="24"/>
        </w:rPr>
        <w:t>deportation cancelled</w:t>
      </w:r>
      <w:proofErr w:type="gramEnd"/>
      <w:r w:rsidRPr="000E0414">
        <w:rPr>
          <w:b w:val="0"/>
          <w:bCs w:val="0"/>
          <w:sz w:val="24"/>
          <w:szCs w:val="24"/>
        </w:rPr>
        <w:t xml:space="preserve">; now has another hearing before Immigration Judge.  Aliens residing in U.S. for 10 or more years may seek “Cancellation of removal” under 8 U.S. Code 1229b, if they have been of good moral character and they can establishes that removal would result in exceptional and extremely unusual hardship to the </w:t>
      </w:r>
      <w:hyperlink r:id="rId791" w:history="1">
        <w:r w:rsidRPr="000E0414">
          <w:rPr>
            <w:rStyle w:val="Hyperlink"/>
            <w:sz w:val="24"/>
            <w:szCs w:val="24"/>
          </w:rPr>
          <w:t>alien</w:t>
        </w:r>
      </w:hyperlink>
      <w:r w:rsidRPr="000E0414">
        <w:rPr>
          <w:b w:val="0"/>
          <w:bCs w:val="0"/>
          <w:sz w:val="24"/>
          <w:szCs w:val="24"/>
        </w:rPr>
        <w:t xml:space="preserve">’s spouse, parent, or child, who is a citizen of the </w:t>
      </w:r>
      <w:hyperlink r:id="rId792" w:history="1">
        <w:r w:rsidRPr="000E0414">
          <w:rPr>
            <w:rStyle w:val="Hyperlink"/>
            <w:sz w:val="24"/>
            <w:szCs w:val="24"/>
          </w:rPr>
          <w:t>United States</w:t>
        </w:r>
      </w:hyperlink>
      <w:r w:rsidRPr="000E0414">
        <w:rPr>
          <w:b w:val="0"/>
          <w:bCs w:val="0"/>
          <w:sz w:val="24"/>
          <w:szCs w:val="24"/>
        </w:rPr>
        <w:t xml:space="preserve"> or an</w:t>
      </w:r>
      <w:hyperlink r:id="rId793" w:history="1">
        <w:r w:rsidRPr="000E0414">
          <w:rPr>
            <w:rStyle w:val="Hyperlink"/>
            <w:sz w:val="24"/>
            <w:szCs w:val="24"/>
          </w:rPr>
          <w:t xml:space="preserve"> alien </w:t>
        </w:r>
      </w:hyperlink>
      <w:hyperlink r:id="rId794" w:history="1">
        <w:r w:rsidRPr="000E0414">
          <w:rPr>
            <w:rStyle w:val="Hyperlink"/>
            <w:sz w:val="24"/>
            <w:szCs w:val="24"/>
          </w:rPr>
          <w:t>lawfully admitted for permanent residence</w:t>
        </w:r>
      </w:hyperlink>
      <w:r w:rsidRPr="000E0414">
        <w:rPr>
          <w:rStyle w:val="Hyperlink"/>
          <w:sz w:val="24"/>
          <w:szCs w:val="24"/>
        </w:rPr>
        <w:t>.  Mr. Niz-Chavez</w:t>
      </w:r>
      <w:r w:rsidRPr="000E0414">
        <w:rPr>
          <w:b w:val="0"/>
          <w:bCs w:val="0"/>
          <w:sz w:val="24"/>
          <w:szCs w:val="24"/>
        </w:rPr>
        <w:t xml:space="preserve"> is a citizen of Guatemala who in 2005 unlawfully entered the United States through the southern </w:t>
      </w:r>
      <w:proofErr w:type="gramStart"/>
      <w:r w:rsidRPr="000E0414">
        <w:rPr>
          <w:b w:val="0"/>
          <w:bCs w:val="0"/>
          <w:sz w:val="24"/>
          <w:szCs w:val="24"/>
        </w:rPr>
        <w:t>border, and</w:t>
      </w:r>
      <w:proofErr w:type="gramEnd"/>
      <w:r w:rsidRPr="000E0414">
        <w:rPr>
          <w:b w:val="0"/>
          <w:bCs w:val="0"/>
          <w:sz w:val="24"/>
          <w:szCs w:val="24"/>
        </w:rPr>
        <w:t xml:space="preserve"> eventually settled in Detroit. INS sent him two Notices of Removal - first notice of Removal, 8 years after he arrived in U.S. (March 26, 2013) did not specify the date of his removal hearing in Detroit.  The second Notice (May 29, 2013) did specify the hearing date (June 25, 2013; then rescheduled 4 years later, Sept. 13, 2017; ordered deported Nov. 8, 2017). </w:t>
      </w:r>
    </w:p>
    <w:p w14:paraId="1BC787F6" w14:textId="77777777" w:rsidR="00F27CD5" w:rsidRDefault="00F27CD5" w:rsidP="00F27CD5">
      <w:pPr>
        <w:ind w:left="720"/>
        <w:rPr>
          <w:rFonts w:ascii="Times New Roman" w:hAnsi="Times New Roman"/>
          <w:sz w:val="24"/>
          <w:szCs w:val="24"/>
        </w:rPr>
      </w:pPr>
      <w:r>
        <w:rPr>
          <w:rFonts w:ascii="Times New Roman" w:hAnsi="Times New Roman"/>
          <w:sz w:val="24"/>
          <w:szCs w:val="24"/>
        </w:rPr>
        <w:t>“</w:t>
      </w:r>
      <w:r w:rsidRPr="002E6393">
        <w:rPr>
          <w:rFonts w:ascii="Times New Roman" w:hAnsi="Times New Roman"/>
          <w:sz w:val="24"/>
          <w:szCs w:val="24"/>
        </w:rPr>
        <w:t>Anyone who has applied for a passport, filed for Social Security benefits, or sought a license understands the government’s affinity for forms. Make a mistake or skip a</w:t>
      </w:r>
      <w:r>
        <w:rPr>
          <w:rFonts w:ascii="Times New Roman" w:hAnsi="Times New Roman"/>
          <w:sz w:val="24"/>
          <w:szCs w:val="24"/>
        </w:rPr>
        <w:t xml:space="preserve"> </w:t>
      </w:r>
      <w:r w:rsidRPr="002E6393">
        <w:rPr>
          <w:rFonts w:ascii="Times New Roman" w:hAnsi="Times New Roman"/>
          <w:sz w:val="24"/>
          <w:szCs w:val="24"/>
        </w:rPr>
        <w:t>page? Go back and try again, sometimes with a penalty for the trouble. But it turns out the federal government finds</w:t>
      </w:r>
      <w:r>
        <w:rPr>
          <w:rFonts w:ascii="Times New Roman" w:hAnsi="Times New Roman"/>
          <w:sz w:val="24"/>
          <w:szCs w:val="24"/>
        </w:rPr>
        <w:t xml:space="preserve"> </w:t>
      </w:r>
      <w:r w:rsidRPr="002E6393">
        <w:rPr>
          <w:rFonts w:ascii="Times New Roman" w:hAnsi="Times New Roman"/>
          <w:sz w:val="24"/>
          <w:szCs w:val="24"/>
        </w:rPr>
        <w:t>some of its forms frustrating too. The Illegal Immigration</w:t>
      </w:r>
      <w:r>
        <w:rPr>
          <w:rFonts w:ascii="Times New Roman" w:hAnsi="Times New Roman"/>
          <w:sz w:val="24"/>
          <w:szCs w:val="24"/>
        </w:rPr>
        <w:t xml:space="preserve"> </w:t>
      </w:r>
      <w:r w:rsidRPr="002E6393">
        <w:rPr>
          <w:rFonts w:ascii="Times New Roman" w:hAnsi="Times New Roman"/>
          <w:sz w:val="24"/>
          <w:szCs w:val="24"/>
        </w:rPr>
        <w:t xml:space="preserve">Reform and Immigrant Responsibility Act of 1996 (IIRIRA),110 Stat. 3009–546, requires the government to serve </w:t>
      </w:r>
      <w:r>
        <w:rPr>
          <w:rFonts w:ascii="Times New Roman" w:hAnsi="Times New Roman"/>
          <w:sz w:val="24"/>
          <w:szCs w:val="24"/>
        </w:rPr>
        <w:t>‘</w:t>
      </w:r>
      <w:r w:rsidRPr="002E6393">
        <w:rPr>
          <w:rFonts w:ascii="Times New Roman" w:hAnsi="Times New Roman"/>
          <w:sz w:val="24"/>
          <w:szCs w:val="24"/>
        </w:rPr>
        <w:t>a notice to appear</w:t>
      </w:r>
      <w:r>
        <w:rPr>
          <w:rFonts w:ascii="Times New Roman" w:hAnsi="Times New Roman"/>
          <w:sz w:val="24"/>
          <w:szCs w:val="24"/>
        </w:rPr>
        <w:t>’</w:t>
      </w:r>
      <w:r w:rsidRPr="002E6393">
        <w:rPr>
          <w:rFonts w:ascii="Times New Roman" w:hAnsi="Times New Roman"/>
          <w:sz w:val="24"/>
          <w:szCs w:val="24"/>
        </w:rPr>
        <w:t xml:space="preserve"> on individuals it wishes to remove from this country. At first blush, a notice </w:t>
      </w:r>
      <w:proofErr w:type="gramStart"/>
      <w:r w:rsidRPr="002E6393">
        <w:rPr>
          <w:rFonts w:ascii="Times New Roman" w:hAnsi="Times New Roman"/>
          <w:sz w:val="24"/>
          <w:szCs w:val="24"/>
        </w:rPr>
        <w:t>to appear</w:t>
      </w:r>
      <w:proofErr w:type="gramEnd"/>
      <w:r w:rsidRPr="002E6393">
        <w:rPr>
          <w:rFonts w:ascii="Times New Roman" w:hAnsi="Times New Roman"/>
          <w:sz w:val="24"/>
          <w:szCs w:val="24"/>
        </w:rPr>
        <w:t xml:space="preserve"> might seem to be just that—a single document containing all the information an individual needs to know about his removal hearing.</w:t>
      </w:r>
      <w:r>
        <w:rPr>
          <w:rFonts w:ascii="Times New Roman" w:hAnsi="Times New Roman"/>
          <w:sz w:val="24"/>
          <w:szCs w:val="24"/>
        </w:rPr>
        <w:t xml:space="preserve"> </w:t>
      </w:r>
      <w:r w:rsidRPr="002E6393">
        <w:rPr>
          <w:rFonts w:ascii="Times New Roman" w:hAnsi="Times New Roman"/>
          <w:sz w:val="24"/>
          <w:szCs w:val="24"/>
        </w:rPr>
        <w:t>But, the government says, supplying so much information</w:t>
      </w:r>
      <w:r>
        <w:rPr>
          <w:rFonts w:ascii="Times New Roman" w:hAnsi="Times New Roman"/>
          <w:sz w:val="24"/>
          <w:szCs w:val="24"/>
        </w:rPr>
        <w:t xml:space="preserve"> </w:t>
      </w:r>
      <w:r w:rsidRPr="002E6393">
        <w:rPr>
          <w:rFonts w:ascii="Times New Roman" w:hAnsi="Times New Roman"/>
          <w:sz w:val="24"/>
          <w:szCs w:val="24"/>
        </w:rPr>
        <w:t>in a single form is too taxing. It needs more flexibility, allowing its officials to provide information in separate mailings (as many as they wish) over time (</w:t>
      </w:r>
      <w:proofErr w:type="gramStart"/>
      <w:r w:rsidRPr="002E6393">
        <w:rPr>
          <w:rFonts w:ascii="Times New Roman" w:hAnsi="Times New Roman"/>
          <w:sz w:val="24"/>
          <w:szCs w:val="24"/>
        </w:rPr>
        <w:t>as long as</w:t>
      </w:r>
      <w:proofErr w:type="gramEnd"/>
      <w:r w:rsidRPr="002E6393">
        <w:rPr>
          <w:rFonts w:ascii="Times New Roman" w:hAnsi="Times New Roman"/>
          <w:sz w:val="24"/>
          <w:szCs w:val="24"/>
        </w:rPr>
        <w:t xml:space="preserve"> they </w:t>
      </w:r>
      <w:proofErr w:type="gramStart"/>
      <w:r w:rsidRPr="002E6393">
        <w:rPr>
          <w:rFonts w:ascii="Times New Roman" w:hAnsi="Times New Roman"/>
          <w:sz w:val="24"/>
          <w:szCs w:val="24"/>
        </w:rPr>
        <w:t>find</w:t>
      </w:r>
      <w:proofErr w:type="gramEnd"/>
      <w:r w:rsidRPr="002E6393">
        <w:rPr>
          <w:rFonts w:ascii="Times New Roman" w:hAnsi="Times New Roman"/>
          <w:sz w:val="24"/>
          <w:szCs w:val="24"/>
        </w:rPr>
        <w:t xml:space="preserve"> convenient). The question for us is whether the law Congress adopted tolerates the government’s preferred practice.</w:t>
      </w:r>
    </w:p>
    <w:p w14:paraId="50B797B9" w14:textId="77777777" w:rsidR="00F27CD5" w:rsidRDefault="00F27CD5" w:rsidP="00F27CD5">
      <w:pPr>
        <w:ind w:left="720"/>
        <w:rPr>
          <w:rFonts w:ascii="Times New Roman" w:hAnsi="Times New Roman"/>
          <w:sz w:val="24"/>
          <w:szCs w:val="24"/>
        </w:rPr>
      </w:pPr>
    </w:p>
    <w:p w14:paraId="2E446641" w14:textId="77777777" w:rsidR="00F27CD5" w:rsidRDefault="00F27CD5" w:rsidP="00F27CD5">
      <w:pPr>
        <w:ind w:left="720"/>
        <w:rPr>
          <w:rFonts w:ascii="Times New Roman" w:hAnsi="Times New Roman"/>
          <w:sz w:val="24"/>
          <w:szCs w:val="24"/>
        </w:rPr>
      </w:pPr>
      <w:r>
        <w:rPr>
          <w:rFonts w:ascii="Times New Roman" w:hAnsi="Times New Roman"/>
          <w:sz w:val="24"/>
          <w:szCs w:val="24"/>
        </w:rPr>
        <w:t>***</w:t>
      </w:r>
    </w:p>
    <w:p w14:paraId="1113A17C" w14:textId="77777777" w:rsidR="00F27CD5" w:rsidRPr="00892BE0" w:rsidRDefault="00F27CD5" w:rsidP="00F27CD5">
      <w:pPr>
        <w:ind w:left="720"/>
        <w:rPr>
          <w:rFonts w:ascii="Times New Roman" w:hAnsi="Times New Roman"/>
          <w:sz w:val="24"/>
          <w:szCs w:val="24"/>
        </w:rPr>
      </w:pPr>
      <w:r w:rsidRPr="00892BE0">
        <w:rPr>
          <w:rFonts w:ascii="Times New Roman" w:hAnsi="Times New Roman"/>
          <w:sz w:val="24"/>
          <w:szCs w:val="24"/>
        </w:rPr>
        <w:t>Our only job today is to give</w:t>
      </w:r>
      <w:r>
        <w:rPr>
          <w:rFonts w:ascii="Times New Roman" w:hAnsi="Times New Roman"/>
          <w:sz w:val="24"/>
          <w:szCs w:val="24"/>
        </w:rPr>
        <w:t xml:space="preserve"> </w:t>
      </w:r>
      <w:r w:rsidRPr="00892BE0">
        <w:rPr>
          <w:rFonts w:ascii="Times New Roman" w:hAnsi="Times New Roman"/>
          <w:sz w:val="24"/>
          <w:szCs w:val="24"/>
        </w:rPr>
        <w:t xml:space="preserve">the law’s terms their ordinary meaning and, in that small way, ensure the federal government does not exceed its statutory license. Interpreting the phrase </w:t>
      </w:r>
      <w:r>
        <w:rPr>
          <w:rFonts w:ascii="Times New Roman" w:hAnsi="Times New Roman"/>
          <w:sz w:val="24"/>
          <w:szCs w:val="24"/>
        </w:rPr>
        <w:t>‘</w:t>
      </w:r>
      <w:r w:rsidRPr="00892BE0">
        <w:rPr>
          <w:rFonts w:ascii="Times New Roman" w:hAnsi="Times New Roman"/>
          <w:sz w:val="24"/>
          <w:szCs w:val="24"/>
        </w:rPr>
        <w:t>a notice to appear</w:t>
      </w:r>
      <w:r>
        <w:rPr>
          <w:rFonts w:ascii="Times New Roman" w:hAnsi="Times New Roman"/>
          <w:sz w:val="24"/>
          <w:szCs w:val="24"/>
        </w:rPr>
        <w:t>’</w:t>
      </w:r>
      <w:r w:rsidRPr="00892BE0">
        <w:rPr>
          <w:rFonts w:ascii="Times New Roman" w:hAnsi="Times New Roman"/>
          <w:sz w:val="24"/>
          <w:szCs w:val="24"/>
        </w:rPr>
        <w:t xml:space="preserve"> to require a single notice—rather than 2 or 20 documents—does just that</w:t>
      </w:r>
      <w:r>
        <w:rPr>
          <w:rFonts w:ascii="Times New Roman" w:hAnsi="Times New Roman"/>
          <w:sz w:val="24"/>
          <w:szCs w:val="24"/>
        </w:rPr>
        <w:t xml:space="preserve">…. </w:t>
      </w:r>
      <w:r w:rsidRPr="00892BE0">
        <w:rPr>
          <w:rFonts w:ascii="Times New Roman" w:hAnsi="Times New Roman"/>
          <w:sz w:val="24"/>
          <w:szCs w:val="24"/>
        </w:rPr>
        <w:t>At one level, today’s dispute may seem semantic, focused on a single word, a small one at that. But words are how the law constrains power. In this case, the law’s terms ensure that, when the federal government seeks a procedural advantage against an individual, it will at least supply him with a single and reasonably comprehensive statement of the nature of the proceedings against him. If men must turn square corners when they deal with the government, it cannot be too much to expect the government to turn square corners when it deals with them.</w:t>
      </w:r>
      <w:r>
        <w:rPr>
          <w:rFonts w:ascii="Times New Roman" w:hAnsi="Times New Roman"/>
          <w:sz w:val="24"/>
          <w:szCs w:val="24"/>
        </w:rPr>
        <w:t xml:space="preserve">” </w:t>
      </w:r>
      <w:hyperlink r:id="rId795" w:history="1">
        <w:r w:rsidRPr="001969BB">
          <w:rPr>
            <w:rStyle w:val="Hyperlink"/>
            <w:sz w:val="24"/>
            <w:szCs w:val="24"/>
          </w:rPr>
          <w:t>https://www.supremecourt.gov/opinions/20pdf/19-863_6jgm.pdf</w:t>
        </w:r>
      </w:hyperlink>
      <w:r>
        <w:rPr>
          <w:rFonts w:ascii="Times New Roman" w:hAnsi="Times New Roman"/>
          <w:sz w:val="24"/>
          <w:szCs w:val="24"/>
        </w:rPr>
        <w:t xml:space="preserve"> </w:t>
      </w:r>
    </w:p>
    <w:p w14:paraId="20716139" w14:textId="77777777" w:rsidR="00F27CD5" w:rsidRPr="00CB33A6" w:rsidRDefault="00F27CD5" w:rsidP="00F27CD5">
      <w:pPr>
        <w:rPr>
          <w:rFonts w:ascii="Times New Roman" w:hAnsi="Times New Roman"/>
          <w:b/>
          <w:bCs/>
          <w:sz w:val="24"/>
          <w:szCs w:val="24"/>
        </w:rPr>
      </w:pPr>
      <w:r w:rsidRPr="00CB33A6">
        <w:rPr>
          <w:rFonts w:ascii="Times New Roman" w:hAnsi="Times New Roman"/>
          <w:b/>
          <w:bCs/>
          <w:sz w:val="24"/>
          <w:szCs w:val="24"/>
        </w:rPr>
        <w:t xml:space="preserve">Legal Lesson Learned: </w:t>
      </w:r>
      <w:r>
        <w:rPr>
          <w:rFonts w:ascii="Times New Roman" w:hAnsi="Times New Roman"/>
          <w:b/>
          <w:bCs/>
          <w:sz w:val="24"/>
          <w:szCs w:val="24"/>
        </w:rPr>
        <w:t xml:space="preserve">The majority opinion is now the law of the land; INS can  “stop the clock” on the 10-year “Cancellation of Removal” statute, only when they provide a single Notice that includes the date / place of removal hearing. </w:t>
      </w:r>
    </w:p>
    <w:p w14:paraId="38AB7FAE" w14:textId="77777777" w:rsidR="00F27CD5" w:rsidRDefault="00F27CD5" w:rsidP="00F27CD5">
      <w:pPr>
        <w:ind w:left="720"/>
        <w:rPr>
          <w:rFonts w:ascii="Times New Roman" w:hAnsi="Times New Roman"/>
          <w:sz w:val="24"/>
          <w:szCs w:val="24"/>
        </w:rPr>
      </w:pPr>
    </w:p>
    <w:p w14:paraId="264E03FD" w14:textId="77777777" w:rsidR="00F27CD5" w:rsidRPr="00BC2B99" w:rsidRDefault="00F27CD5" w:rsidP="00F27CD5">
      <w:pPr>
        <w:pStyle w:val="NoSpacing"/>
        <w:ind w:left="720"/>
        <w:rPr>
          <w:rFonts w:ascii="Times New Roman" w:hAnsi="Times New Roman"/>
          <w:sz w:val="24"/>
          <w:szCs w:val="24"/>
        </w:rPr>
      </w:pPr>
      <w:r w:rsidRPr="00BC2B99">
        <w:rPr>
          <w:rFonts w:ascii="Times New Roman" w:hAnsi="Times New Roman"/>
          <w:sz w:val="24"/>
          <w:szCs w:val="24"/>
        </w:rPr>
        <w:t xml:space="preserve">Note:  </w:t>
      </w:r>
    </w:p>
    <w:p w14:paraId="19FBC938" w14:textId="77777777" w:rsidR="00F27CD5" w:rsidRPr="004D18E0" w:rsidRDefault="00F27CD5" w:rsidP="00F27CD5">
      <w:pPr>
        <w:pStyle w:val="Heading1"/>
        <w:ind w:left="720"/>
        <w:rPr>
          <w:b w:val="0"/>
          <w:bCs w:val="0"/>
          <w:sz w:val="24"/>
          <w:szCs w:val="24"/>
        </w:rPr>
      </w:pPr>
      <w:r w:rsidRPr="004D18E0">
        <w:rPr>
          <w:sz w:val="24"/>
          <w:szCs w:val="24"/>
        </w:rPr>
        <w:t>8 U.S. Code § 1229b - Cancellation of removal; adjustment of status</w:t>
      </w:r>
      <w:r>
        <w:rPr>
          <w:sz w:val="24"/>
          <w:szCs w:val="24"/>
        </w:rPr>
        <w:t xml:space="preserve">: </w:t>
      </w:r>
      <w:hyperlink r:id="rId796" w:history="1">
        <w:r w:rsidRPr="001969BB">
          <w:rPr>
            <w:rStyle w:val="Hyperlink"/>
            <w:sz w:val="24"/>
            <w:szCs w:val="24"/>
          </w:rPr>
          <w:t>https://www.law.cornell.edu/uscode/text/8/1229b</w:t>
        </w:r>
      </w:hyperlink>
      <w:r>
        <w:rPr>
          <w:sz w:val="24"/>
          <w:szCs w:val="24"/>
        </w:rPr>
        <w:t xml:space="preserve"> </w:t>
      </w:r>
    </w:p>
    <w:p w14:paraId="6B6327AF" w14:textId="77777777" w:rsidR="00F27CD5" w:rsidRPr="004D18E0" w:rsidRDefault="00F27CD5" w:rsidP="00F27CD5">
      <w:pPr>
        <w:ind w:left="1440"/>
        <w:rPr>
          <w:rFonts w:ascii="Times New Roman" w:hAnsi="Times New Roman"/>
          <w:sz w:val="24"/>
          <w:szCs w:val="24"/>
        </w:rPr>
      </w:pPr>
      <w:r w:rsidRPr="004D18E0">
        <w:rPr>
          <w:rStyle w:val="num"/>
          <w:rFonts w:ascii="Times New Roman" w:hAnsi="Times New Roman"/>
          <w:sz w:val="24"/>
          <w:szCs w:val="24"/>
        </w:rPr>
        <w:t>(b)</w:t>
      </w:r>
      <w:r w:rsidRPr="004D18E0">
        <w:rPr>
          <w:rStyle w:val="heading"/>
          <w:rFonts w:ascii="Times New Roman" w:hAnsi="Times New Roman"/>
          <w:sz w:val="24"/>
          <w:szCs w:val="24"/>
        </w:rPr>
        <w:t xml:space="preserve"> Cancellation of removal and adjustment of status for certain nonpermanent residents</w:t>
      </w:r>
      <w:r w:rsidRPr="004D18E0">
        <w:rPr>
          <w:rFonts w:ascii="Times New Roman" w:hAnsi="Times New Roman"/>
          <w:sz w:val="24"/>
          <w:szCs w:val="24"/>
        </w:rPr>
        <w:t xml:space="preserve"> </w:t>
      </w:r>
    </w:p>
    <w:p w14:paraId="55F64335" w14:textId="77777777" w:rsidR="00F27CD5" w:rsidRDefault="00F27CD5" w:rsidP="00F27CD5">
      <w:pPr>
        <w:ind w:left="720" w:firstLine="720"/>
        <w:rPr>
          <w:rStyle w:val="heading"/>
          <w:rFonts w:ascii="Times New Roman" w:hAnsi="Times New Roman"/>
          <w:sz w:val="24"/>
          <w:szCs w:val="24"/>
        </w:rPr>
      </w:pPr>
      <w:r w:rsidRPr="004D18E0">
        <w:rPr>
          <w:rStyle w:val="num"/>
          <w:rFonts w:ascii="Times New Roman" w:hAnsi="Times New Roman"/>
          <w:sz w:val="24"/>
          <w:szCs w:val="24"/>
        </w:rPr>
        <w:t>(1)</w:t>
      </w:r>
      <w:r w:rsidRPr="004D18E0">
        <w:rPr>
          <w:rStyle w:val="heading"/>
          <w:rFonts w:ascii="Times New Roman" w:hAnsi="Times New Roman"/>
          <w:sz w:val="24"/>
          <w:szCs w:val="24"/>
        </w:rPr>
        <w:t xml:space="preserve"> In general</w:t>
      </w:r>
    </w:p>
    <w:p w14:paraId="637D31FA" w14:textId="77777777" w:rsidR="00F27CD5" w:rsidRPr="004D18E0" w:rsidRDefault="00F27CD5" w:rsidP="00F27CD5">
      <w:pPr>
        <w:ind w:left="1440"/>
        <w:rPr>
          <w:rFonts w:ascii="Times New Roman" w:hAnsi="Times New Roman"/>
          <w:sz w:val="24"/>
          <w:szCs w:val="24"/>
        </w:rPr>
      </w:pPr>
      <w:r w:rsidRPr="004D18E0">
        <w:rPr>
          <w:rStyle w:val="chapeau"/>
          <w:rFonts w:ascii="Times New Roman" w:hAnsi="Times New Roman"/>
          <w:sz w:val="24"/>
          <w:szCs w:val="24"/>
        </w:rPr>
        <w:t xml:space="preserve">The </w:t>
      </w:r>
      <w:hyperlink r:id="rId797" w:history="1">
        <w:r w:rsidRPr="004D18E0">
          <w:rPr>
            <w:rStyle w:val="Hyperlink"/>
            <w:sz w:val="24"/>
            <w:szCs w:val="24"/>
          </w:rPr>
          <w:t>Attorney General</w:t>
        </w:r>
      </w:hyperlink>
      <w:r w:rsidRPr="004D18E0">
        <w:rPr>
          <w:rStyle w:val="chapeau"/>
          <w:rFonts w:ascii="Times New Roman" w:hAnsi="Times New Roman"/>
          <w:sz w:val="24"/>
          <w:szCs w:val="24"/>
        </w:rPr>
        <w:t xml:space="preserve"> may cancel removal of, and adjust to the status of an</w:t>
      </w:r>
      <w:hyperlink r:id="rId798" w:history="1">
        <w:r w:rsidRPr="004D18E0">
          <w:rPr>
            <w:rStyle w:val="Hyperlink"/>
            <w:sz w:val="24"/>
            <w:szCs w:val="24"/>
          </w:rPr>
          <w:t xml:space="preserve"> alien </w:t>
        </w:r>
      </w:hyperlink>
      <w:hyperlink r:id="rId799" w:history="1">
        <w:r w:rsidRPr="004D18E0">
          <w:rPr>
            <w:rStyle w:val="Hyperlink"/>
            <w:sz w:val="24"/>
            <w:szCs w:val="24"/>
          </w:rPr>
          <w:t>lawfully admitted for permanent residence</w:t>
        </w:r>
      </w:hyperlink>
      <w:r w:rsidRPr="004D18E0">
        <w:rPr>
          <w:rStyle w:val="chapeau"/>
          <w:rFonts w:ascii="Times New Roman" w:hAnsi="Times New Roman"/>
          <w:sz w:val="24"/>
          <w:szCs w:val="24"/>
        </w:rPr>
        <w:t>, an</w:t>
      </w:r>
      <w:hyperlink r:id="rId800" w:history="1">
        <w:r w:rsidRPr="004D18E0">
          <w:rPr>
            <w:rStyle w:val="Hyperlink"/>
            <w:sz w:val="24"/>
            <w:szCs w:val="24"/>
          </w:rPr>
          <w:t xml:space="preserve"> alien </w:t>
        </w:r>
      </w:hyperlink>
      <w:r w:rsidRPr="004D18E0">
        <w:rPr>
          <w:rStyle w:val="chapeau"/>
          <w:rFonts w:ascii="Times New Roman" w:hAnsi="Times New Roman"/>
          <w:sz w:val="24"/>
          <w:szCs w:val="24"/>
        </w:rPr>
        <w:t>who is inadmissible or deportable from the</w:t>
      </w:r>
      <w:hyperlink r:id="rId801" w:history="1">
        <w:r w:rsidRPr="004D18E0">
          <w:rPr>
            <w:rStyle w:val="Hyperlink"/>
            <w:sz w:val="24"/>
            <w:szCs w:val="24"/>
          </w:rPr>
          <w:t xml:space="preserve"> United States </w:t>
        </w:r>
      </w:hyperlink>
      <w:r w:rsidRPr="004D18E0">
        <w:rPr>
          <w:rStyle w:val="chapeau"/>
          <w:rFonts w:ascii="Times New Roman" w:hAnsi="Times New Roman"/>
          <w:sz w:val="24"/>
          <w:szCs w:val="24"/>
        </w:rPr>
        <w:t>if the</w:t>
      </w:r>
      <w:hyperlink r:id="rId802" w:history="1">
        <w:r w:rsidRPr="004D18E0">
          <w:rPr>
            <w:rStyle w:val="Hyperlink"/>
            <w:sz w:val="24"/>
            <w:szCs w:val="24"/>
          </w:rPr>
          <w:t xml:space="preserve"> alien—</w:t>
        </w:r>
      </w:hyperlink>
      <w:r w:rsidRPr="004D18E0">
        <w:rPr>
          <w:rFonts w:ascii="Times New Roman" w:hAnsi="Times New Roman"/>
          <w:sz w:val="24"/>
          <w:szCs w:val="24"/>
        </w:rPr>
        <w:t xml:space="preserve"> </w:t>
      </w:r>
    </w:p>
    <w:p w14:paraId="54F328F9"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(A)</w:t>
      </w:r>
    </w:p>
    <w:p w14:paraId="0F77BA8B"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has been physically present in the </w:t>
      </w:r>
      <w:hyperlink r:id="rId803" w:history="1">
        <w:r w:rsidRPr="004D18E0">
          <w:rPr>
            <w:rStyle w:val="Hyperlink"/>
            <w:sz w:val="24"/>
            <w:szCs w:val="24"/>
          </w:rPr>
          <w:t>United States</w:t>
        </w:r>
      </w:hyperlink>
      <w:r w:rsidRPr="004D18E0">
        <w:rPr>
          <w:rFonts w:ascii="Times New Roman" w:hAnsi="Times New Roman"/>
          <w:sz w:val="24"/>
          <w:szCs w:val="24"/>
        </w:rPr>
        <w:t xml:space="preserve"> for a continuous period of not less than 10 years immediately preceding the date of such application;</w:t>
      </w:r>
    </w:p>
    <w:p w14:paraId="7F3C110D"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(B)</w:t>
      </w:r>
      <w:r w:rsidRPr="004D18E0">
        <w:rPr>
          <w:rFonts w:ascii="Times New Roman" w:hAnsi="Times New Roman"/>
          <w:sz w:val="24"/>
          <w:szCs w:val="24"/>
        </w:rPr>
        <w:t xml:space="preserve"> </w:t>
      </w:r>
    </w:p>
    <w:p w14:paraId="3E672685" w14:textId="77777777" w:rsidR="00F27CD5" w:rsidRPr="004D18E0" w:rsidRDefault="00F27CD5" w:rsidP="00F27CD5">
      <w:pPr>
        <w:ind w:left="720" w:firstLine="720"/>
        <w:rPr>
          <w:rFonts w:ascii="Times New Roman" w:hAnsi="Times New Roman"/>
          <w:sz w:val="24"/>
          <w:szCs w:val="24"/>
        </w:rPr>
      </w:pPr>
      <w:r w:rsidRPr="004D18E0">
        <w:rPr>
          <w:rFonts w:ascii="Times New Roman" w:hAnsi="Times New Roman"/>
          <w:sz w:val="24"/>
          <w:szCs w:val="24"/>
        </w:rPr>
        <w:t>has been a person of good moral character during such period;</w:t>
      </w:r>
    </w:p>
    <w:p w14:paraId="163D8D77"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(C)</w:t>
      </w:r>
    </w:p>
    <w:p w14:paraId="5268DD34"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has not been convicted of an offense under section </w:t>
      </w:r>
      <w:hyperlink r:id="rId804" w:anchor="a_2" w:history="1">
        <w:r w:rsidRPr="004D18E0">
          <w:rPr>
            <w:rStyle w:val="Hyperlink"/>
            <w:sz w:val="24"/>
            <w:szCs w:val="24"/>
          </w:rPr>
          <w:t>1182(a)(2)</w:t>
        </w:r>
      </w:hyperlink>
      <w:r w:rsidRPr="004D18E0">
        <w:rPr>
          <w:rFonts w:ascii="Times New Roman" w:hAnsi="Times New Roman"/>
          <w:sz w:val="24"/>
          <w:szCs w:val="24"/>
        </w:rPr>
        <w:t xml:space="preserve">, </w:t>
      </w:r>
      <w:hyperlink r:id="rId805" w:anchor="a_2" w:history="1">
        <w:r w:rsidRPr="004D18E0">
          <w:rPr>
            <w:rStyle w:val="Hyperlink"/>
            <w:sz w:val="24"/>
            <w:szCs w:val="24"/>
          </w:rPr>
          <w:t>1227(a)(2)</w:t>
        </w:r>
      </w:hyperlink>
      <w:r w:rsidRPr="004D18E0">
        <w:rPr>
          <w:rFonts w:ascii="Times New Roman" w:hAnsi="Times New Roman"/>
          <w:sz w:val="24"/>
          <w:szCs w:val="24"/>
        </w:rPr>
        <w:t xml:space="preserve">, or </w:t>
      </w:r>
      <w:hyperlink r:id="rId806" w:anchor="a_3" w:history="1">
        <w:r w:rsidRPr="004D18E0">
          <w:rPr>
            <w:rStyle w:val="Hyperlink"/>
            <w:sz w:val="24"/>
            <w:szCs w:val="24"/>
          </w:rPr>
          <w:t>1227(a)(3)</w:t>
        </w:r>
      </w:hyperlink>
      <w:r w:rsidRPr="004D18E0">
        <w:rPr>
          <w:rFonts w:ascii="Times New Roman" w:hAnsi="Times New Roman"/>
          <w:sz w:val="24"/>
          <w:szCs w:val="24"/>
        </w:rPr>
        <w:t xml:space="preserve"> of this title, subject to paragraph (5); and</w:t>
      </w:r>
    </w:p>
    <w:p w14:paraId="1BFAFEF7" w14:textId="77777777" w:rsidR="00F27CD5"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(D)</w:t>
      </w:r>
      <w:r w:rsidRPr="004D18E0">
        <w:rPr>
          <w:rFonts w:ascii="Times New Roman" w:hAnsi="Times New Roman"/>
          <w:sz w:val="24"/>
          <w:szCs w:val="24"/>
        </w:rPr>
        <w:t xml:space="preserve"> </w:t>
      </w:r>
    </w:p>
    <w:p w14:paraId="071412DD"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establishes that removal would result in exceptional and extremely unusual hardship to the </w:t>
      </w:r>
      <w:hyperlink r:id="rId807" w:history="1">
        <w:r w:rsidRPr="004D18E0">
          <w:rPr>
            <w:rStyle w:val="Hyperlink"/>
            <w:sz w:val="24"/>
            <w:szCs w:val="24"/>
          </w:rPr>
          <w:t>alien</w:t>
        </w:r>
      </w:hyperlink>
      <w:r w:rsidRPr="004D18E0">
        <w:rPr>
          <w:rFonts w:ascii="Times New Roman" w:hAnsi="Times New Roman"/>
          <w:sz w:val="24"/>
          <w:szCs w:val="24"/>
        </w:rPr>
        <w:t xml:space="preserve">’s spouse, parent, or child, who is a citizen of the </w:t>
      </w:r>
      <w:hyperlink r:id="rId808" w:history="1">
        <w:r w:rsidRPr="004D18E0">
          <w:rPr>
            <w:rStyle w:val="Hyperlink"/>
            <w:sz w:val="24"/>
            <w:szCs w:val="24"/>
          </w:rPr>
          <w:t>United States</w:t>
        </w:r>
      </w:hyperlink>
      <w:r w:rsidRPr="004D18E0">
        <w:rPr>
          <w:rFonts w:ascii="Times New Roman" w:hAnsi="Times New Roman"/>
          <w:sz w:val="24"/>
          <w:szCs w:val="24"/>
        </w:rPr>
        <w:t xml:space="preserve"> or an</w:t>
      </w:r>
      <w:hyperlink r:id="rId809" w:history="1">
        <w:r w:rsidRPr="004D18E0">
          <w:rPr>
            <w:rStyle w:val="Hyperlink"/>
            <w:sz w:val="24"/>
            <w:szCs w:val="24"/>
          </w:rPr>
          <w:t xml:space="preserve"> alien </w:t>
        </w:r>
      </w:hyperlink>
      <w:hyperlink r:id="rId810" w:history="1">
        <w:r w:rsidRPr="004D18E0">
          <w:rPr>
            <w:rStyle w:val="Hyperlink"/>
            <w:sz w:val="24"/>
            <w:szCs w:val="24"/>
          </w:rPr>
          <w:t>lawfully admitted for permanent residence</w:t>
        </w:r>
      </w:hyperlink>
      <w:r w:rsidRPr="004D18E0">
        <w:rPr>
          <w:rFonts w:ascii="Times New Roman" w:hAnsi="Times New Roman"/>
          <w:sz w:val="24"/>
          <w:szCs w:val="24"/>
        </w:rPr>
        <w:t>.</w:t>
      </w:r>
    </w:p>
    <w:p w14:paraId="2824668D" w14:textId="77777777" w:rsidR="00F27CD5" w:rsidRDefault="00F27CD5" w:rsidP="00F27CD5">
      <w:pPr>
        <w:pStyle w:val="NoSpacing"/>
        <w:ind w:left="720"/>
        <w:rPr>
          <w:rFonts w:ascii="Times New Roman" w:hAnsi="Times New Roman"/>
          <w:sz w:val="24"/>
          <w:szCs w:val="24"/>
        </w:rPr>
      </w:pPr>
    </w:p>
    <w:p w14:paraId="177F06E4" w14:textId="77777777" w:rsidR="00F27CD5" w:rsidRPr="00CB33A6" w:rsidRDefault="00F27CD5" w:rsidP="00F27CD5">
      <w:pPr>
        <w:pStyle w:val="NoSpacing"/>
        <w:ind w:left="720"/>
        <w:rPr>
          <w:rFonts w:ascii="Times New Roman" w:hAnsi="Times New Roman"/>
          <w:b/>
          <w:bCs/>
          <w:sz w:val="24"/>
          <w:szCs w:val="24"/>
        </w:rPr>
      </w:pPr>
      <w:r w:rsidRPr="00CB33A6">
        <w:rPr>
          <w:rFonts w:ascii="Times New Roman" w:hAnsi="Times New Roman"/>
          <w:b/>
          <w:bCs/>
          <w:sz w:val="24"/>
          <w:szCs w:val="24"/>
        </w:rPr>
        <w:t>Convention Against Torture:</w:t>
      </w:r>
    </w:p>
    <w:p w14:paraId="7F38203B" w14:textId="77777777" w:rsidR="00F27CD5" w:rsidRDefault="00F27CD5" w:rsidP="00F27CD5">
      <w:pPr>
        <w:pStyle w:val="NoSpacing"/>
        <w:ind w:left="720"/>
        <w:rPr>
          <w:rFonts w:ascii="Times New Roman" w:hAnsi="Times New Roman"/>
          <w:sz w:val="24"/>
          <w:szCs w:val="24"/>
        </w:rPr>
      </w:pPr>
    </w:p>
    <w:p w14:paraId="27397B9C" w14:textId="77777777" w:rsidR="00F27CD5" w:rsidRPr="002E6393" w:rsidRDefault="00F27CD5" w:rsidP="00F27CD5">
      <w:pPr>
        <w:pStyle w:val="NoSpacing"/>
        <w:ind w:left="1440"/>
        <w:rPr>
          <w:rFonts w:ascii="Times New Roman" w:hAnsi="Times New Roman"/>
          <w:sz w:val="24"/>
          <w:szCs w:val="24"/>
        </w:rPr>
      </w:pPr>
      <w:r w:rsidRPr="002E6393">
        <w:rPr>
          <w:rFonts w:ascii="Times New Roman" w:hAnsi="Times New Roman"/>
          <w:sz w:val="24"/>
          <w:szCs w:val="24"/>
        </w:rPr>
        <w:t>1984 – UN Convention against Torture and Other Cruel,</w:t>
      </w:r>
      <w:r>
        <w:rPr>
          <w:rFonts w:ascii="Times New Roman" w:hAnsi="Times New Roman"/>
          <w:sz w:val="24"/>
          <w:szCs w:val="24"/>
        </w:rPr>
        <w:t xml:space="preserve"> </w:t>
      </w:r>
      <w:r w:rsidRPr="002E6393">
        <w:rPr>
          <w:rFonts w:ascii="Times New Roman" w:hAnsi="Times New Roman"/>
          <w:sz w:val="24"/>
          <w:szCs w:val="24"/>
        </w:rPr>
        <w:t>Inhuman or Degrading Treatment or Punishment</w:t>
      </w:r>
      <w:r>
        <w:rPr>
          <w:rFonts w:ascii="Times New Roman" w:hAnsi="Times New Roman"/>
          <w:sz w:val="24"/>
          <w:szCs w:val="24"/>
        </w:rPr>
        <w:t>:</w:t>
      </w:r>
      <w:r w:rsidRPr="002E6393">
        <w:rPr>
          <w:rFonts w:ascii="Times New Roman" w:hAnsi="Times New Roman"/>
          <w:sz w:val="24"/>
          <w:szCs w:val="24"/>
        </w:rPr>
        <w:t xml:space="preserve"> </w:t>
      </w:r>
      <w:hyperlink r:id="rId811" w:history="1">
        <w:r w:rsidRPr="001969BB">
          <w:rPr>
            <w:rStyle w:val="Hyperlink"/>
            <w:sz w:val="24"/>
            <w:szCs w:val="24"/>
          </w:rPr>
          <w:t>https://www.ohchr.org/en/professionalinterest/pages/cat.aspx</w:t>
        </w:r>
      </w:hyperlink>
      <w:r w:rsidRPr="002E6393">
        <w:rPr>
          <w:rFonts w:ascii="Times New Roman" w:hAnsi="Times New Roman"/>
          <w:sz w:val="24"/>
          <w:szCs w:val="24"/>
        </w:rPr>
        <w:t xml:space="preserve"> </w:t>
      </w:r>
      <w:r>
        <w:rPr>
          <w:rFonts w:ascii="Times New Roman" w:hAnsi="Times New Roman"/>
          <w:sz w:val="24"/>
          <w:szCs w:val="24"/>
        </w:rPr>
        <w:t>Ratified by U.S. in 1994.</w:t>
      </w:r>
      <w:r w:rsidRPr="002E6393">
        <w:t xml:space="preserve"> </w:t>
      </w:r>
      <w:hyperlink r:id="rId812" w:history="1">
        <w:r w:rsidRPr="001969BB">
          <w:rPr>
            <w:rStyle w:val="Hyperlink"/>
            <w:sz w:val="24"/>
            <w:szCs w:val="24"/>
          </w:rPr>
          <w:t>https://fas.org/sgp/crs/intel/RL32276.pdf</w:t>
        </w:r>
      </w:hyperlink>
    </w:p>
    <w:p w14:paraId="6347D308" w14:textId="77777777" w:rsidR="00F27CD5" w:rsidRDefault="00F27CD5" w:rsidP="00F27CD5">
      <w:pPr>
        <w:pStyle w:val="Heading2"/>
        <w:rPr>
          <w:rFonts w:ascii="Times New Roman" w:hAnsi="Times New Roman"/>
          <w:sz w:val="24"/>
          <w:szCs w:val="24"/>
        </w:rPr>
      </w:pPr>
    </w:p>
    <w:p w14:paraId="5577BF0F" w14:textId="5BEE1921" w:rsidR="00F27CD5" w:rsidRPr="00F27CD5" w:rsidRDefault="00F27CD5" w:rsidP="00F27CD5">
      <w:pPr>
        <w:pStyle w:val="Heading2"/>
        <w:ind w:left="720"/>
        <w:rPr>
          <w:rFonts w:ascii="Times New Roman" w:hAnsi="Times New Roman"/>
          <w:i w:val="0"/>
          <w:iCs w:val="0"/>
          <w:sz w:val="24"/>
          <w:szCs w:val="24"/>
        </w:rPr>
      </w:pPr>
      <w:r w:rsidRPr="00F27CD5">
        <w:rPr>
          <w:rFonts w:ascii="Times New Roman" w:hAnsi="Times New Roman"/>
          <w:i w:val="0"/>
          <w:iCs w:val="0"/>
          <w:sz w:val="24"/>
          <w:szCs w:val="24"/>
        </w:rPr>
        <w:t xml:space="preserve">Asylum Manual - Relief Under CAT: </w:t>
      </w:r>
      <w:hyperlink r:id="rId813" w:history="1">
        <w:r w:rsidRPr="008B44BD">
          <w:rPr>
            <w:rStyle w:val="Hyperlink"/>
            <w:rFonts w:ascii="Times New Roman" w:hAnsi="Times New Roman"/>
            <w:i w:val="0"/>
            <w:iCs w:val="0"/>
            <w:sz w:val="24"/>
            <w:szCs w:val="24"/>
          </w:rPr>
          <w:t>https://immigrationequality.org/asylum/asylum-manual/immigration-basics-relief-under-cat/</w:t>
        </w:r>
      </w:hyperlink>
      <w:r w:rsidRPr="00F27CD5">
        <w:rPr>
          <w:rFonts w:ascii="Times New Roman" w:hAnsi="Times New Roman"/>
          <w:i w:val="0"/>
          <w:iCs w:val="0"/>
          <w:sz w:val="24"/>
          <w:szCs w:val="24"/>
        </w:rPr>
        <w:t xml:space="preserve"> </w:t>
      </w:r>
    </w:p>
    <w:p w14:paraId="6DE98487" w14:textId="77777777" w:rsidR="00F27CD5" w:rsidRPr="00BC2B99" w:rsidRDefault="00F27CD5" w:rsidP="00F27CD5">
      <w:pPr>
        <w:pStyle w:val="NormalWeb"/>
        <w:ind w:left="1440"/>
      </w:pPr>
      <w:r>
        <w:t>“</w:t>
      </w:r>
      <w:r w:rsidRPr="00BC2B99">
        <w:t>Relief under the Convention Against Torture (CAT) is the third form of relief an individual fearing persecution can seek. Like withholding of removal, it can only be granted by an Immigration Judge (IJ), and not by an Asylum Officer.</w:t>
      </w:r>
    </w:p>
    <w:p w14:paraId="328E2654" w14:textId="77777777" w:rsidR="00F27CD5" w:rsidRPr="00BC2B99" w:rsidRDefault="00F27CD5" w:rsidP="00F27CD5">
      <w:pPr>
        <w:pStyle w:val="NormalWeb"/>
        <w:ind w:left="1440"/>
      </w:pPr>
      <w:r w:rsidRPr="00BC2B99">
        <w:t xml:space="preserve">An applicant bears the burden of demonstrating that it is more likely than not that they will be tortured if removed to their country of origin.  The Board of Immigration Appeals (BIA) has found that torture </w:t>
      </w:r>
      <w:r>
        <w:t>‘</w:t>
      </w:r>
      <w:r w:rsidRPr="00BC2B99">
        <w:t>must be an extreme form of cruel and inhuman punishment</w:t>
      </w:r>
      <w:r>
        <w:t>’</w:t>
      </w:r>
      <w:r w:rsidRPr="00BC2B99">
        <w:t xml:space="preserve"> that </w:t>
      </w:r>
      <w:r>
        <w:t>‘</w:t>
      </w:r>
      <w:r w:rsidRPr="00BC2B99">
        <w:t>must cause severe pain or suffering.</w:t>
      </w:r>
      <w:r>
        <w:t>’</w:t>
      </w:r>
      <w:r w:rsidRPr="00BC2B99">
        <w:t> There are no bars to eligibility for relief under CAT.</w:t>
      </w:r>
    </w:p>
    <w:p w14:paraId="126144F4" w14:textId="77777777" w:rsidR="00F27CD5" w:rsidRDefault="00F27CD5" w:rsidP="00F27CD5">
      <w:pPr>
        <w:pStyle w:val="NormalWeb"/>
        <w:ind w:left="1440"/>
        <w:rPr>
          <w:b/>
          <w:sz w:val="20"/>
          <w:szCs w:val="20"/>
        </w:rPr>
      </w:pPr>
      <w:r w:rsidRPr="00BC2B99">
        <w:t>The advantage of CAT is that there are no bars to eligibility. Therefore, since the treaty itself does not contain any bars to its mandate of non-return, aggravated felons can make claims for relief if they fear torture. Additionally, applicants are not required to establish that their fear of torture is on account of race, religion, nationality, political opinion, or membership in a particular social group.</w:t>
      </w:r>
      <w:r>
        <w:t>”</w:t>
      </w:r>
    </w:p>
    <w:p w14:paraId="62D6E67E" w14:textId="77777777" w:rsidR="00F27CD5" w:rsidRDefault="00F27CD5" w:rsidP="00F326E5">
      <w:pPr>
        <w:pStyle w:val="NoSpacing"/>
        <w:rPr>
          <w:rFonts w:ascii="Arial Black" w:hAnsi="Arial Black"/>
          <w:sz w:val="28"/>
          <w:szCs w:val="28"/>
        </w:rPr>
      </w:pPr>
    </w:p>
    <w:p w14:paraId="61CEB03D" w14:textId="77777777" w:rsidR="00F27CD5" w:rsidRDefault="00F27CD5" w:rsidP="00F326E5">
      <w:pPr>
        <w:pStyle w:val="NoSpacing"/>
        <w:rPr>
          <w:rFonts w:ascii="Arial Black" w:hAnsi="Arial Black"/>
          <w:sz w:val="28"/>
          <w:szCs w:val="28"/>
        </w:rPr>
      </w:pPr>
    </w:p>
    <w:p w14:paraId="67DFC7B6" w14:textId="6492763B" w:rsidR="000915C1" w:rsidRDefault="000915C1" w:rsidP="00F326E5">
      <w:pPr>
        <w:pStyle w:val="NoSpacing"/>
        <w:rPr>
          <w:rFonts w:ascii="Arial Black" w:hAnsi="Arial Black"/>
          <w:sz w:val="28"/>
          <w:szCs w:val="28"/>
        </w:rPr>
      </w:pPr>
      <w:r>
        <w:rPr>
          <w:rFonts w:ascii="Arial Black" w:hAnsi="Arial Black"/>
          <w:sz w:val="28"/>
          <w:szCs w:val="28"/>
        </w:rPr>
        <w:t>3-33</w:t>
      </w:r>
    </w:p>
    <w:p w14:paraId="49E60C43" w14:textId="19713F22" w:rsidR="000915C1" w:rsidRDefault="000915C1" w:rsidP="00F326E5">
      <w:pPr>
        <w:pStyle w:val="NoSpacing"/>
        <w:rPr>
          <w:rFonts w:ascii="Arial Black" w:hAnsi="Arial Black"/>
          <w:sz w:val="28"/>
          <w:szCs w:val="28"/>
        </w:rPr>
      </w:pPr>
    </w:p>
    <w:p w14:paraId="2C9A1C86" w14:textId="77777777" w:rsidR="000915C1" w:rsidRPr="001563B3" w:rsidRDefault="000915C1" w:rsidP="000915C1">
      <w:pPr>
        <w:pStyle w:val="NoSpacing"/>
        <w:rPr>
          <w:rFonts w:ascii="Times New Roman" w:eastAsia="Times New Roman" w:hAnsi="Times New Roman"/>
          <w:sz w:val="24"/>
          <w:szCs w:val="24"/>
          <w:u w:val="single"/>
        </w:rPr>
      </w:pPr>
      <w:r>
        <w:rPr>
          <w:rFonts w:ascii="Arial Black" w:hAnsi="Arial Black"/>
          <w:sz w:val="28"/>
          <w:szCs w:val="28"/>
        </w:rPr>
        <w:t xml:space="preserve">NY:  TERRORIST 1993 WORLD TRADE - HUNGER STRIKE FED. MAX PRISON, FORCED FEEDING – EMPLOYEE PRIVACY </w:t>
      </w:r>
    </w:p>
    <w:p w14:paraId="2F4509A9" w14:textId="77777777" w:rsidR="000915C1" w:rsidRDefault="000915C1" w:rsidP="000915C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u w:val="single"/>
        </w:rPr>
        <w:t xml:space="preserve">Aviva Stahl v. Department of Justice and Federal Bureau </w:t>
      </w:r>
      <w:r w:rsidRPr="001563B3">
        <w:rPr>
          <w:rFonts w:ascii="Times New Roman" w:eastAsia="Times New Roman" w:hAnsi="Times New Roman"/>
          <w:sz w:val="24"/>
          <w:szCs w:val="24"/>
          <w:u w:val="single"/>
        </w:rPr>
        <w:t>of Prisons</w:t>
      </w:r>
      <w:r>
        <w:rPr>
          <w:rFonts w:ascii="Times New Roman" w:eastAsia="Times New Roman" w:hAnsi="Times New Roman"/>
          <w:sz w:val="24"/>
          <w:szCs w:val="24"/>
        </w:rPr>
        <w:t xml:space="preserve">, U.S. District Court Judge Brian M. Cogan, U.S. District Court for the Eastern District of New York (Brooklyn), an investigative journalist, Aviva Stahl, filed a Freedom of Information Act lawsuit for the videotaped of the “forced feedings.”  Judge Cogan held that segments of the video are protected from disclosure under FOIA, including the names / faces of the medical staff who participated in the procedures.   </w:t>
      </w:r>
    </w:p>
    <w:p w14:paraId="06906F17" w14:textId="77777777" w:rsidR="000915C1" w:rsidRPr="001563B3"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1563B3">
        <w:rPr>
          <w:rFonts w:ascii="Times New Roman" w:eastAsia="Times New Roman" w:hAnsi="Times New Roman"/>
          <w:sz w:val="24"/>
          <w:szCs w:val="24"/>
        </w:rPr>
        <w:t>Convicted for his role in the 1993 terrorist attacks on the World Trade Center, Mohammad Salameh was incarcerated at the United States Penitentiary, Administrative Maximum Facility in Florence, Colorado ("Florence ADX"). During his time there, Salameh went on several hunger strikes. The last one ended in procedures whereby Salameh received food and rehydration through intravenous therapy and a nasogastric tube. An investigative journalist, plaintiff Aviva Stahl, now seeks access to those videos under the Freedom of Information Act. She has sued the Bureau of Prisons and the Department of Justice, and before me are the parties' cross-motions for summary judgment.</w:t>
      </w:r>
    </w:p>
    <w:p w14:paraId="6E027EE6"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sidRPr="001563B3">
        <w:rPr>
          <w:rFonts w:ascii="Times New Roman" w:eastAsia="Times New Roman" w:hAnsi="Times New Roman"/>
          <w:sz w:val="24"/>
          <w:szCs w:val="24"/>
        </w:rPr>
        <w:t>I conclude that certain segments of the videos fall within FOIA exemptions. As to these segments, defendants' motion is granted and plaintiff's motion is denied. For the remainder of the videos, however, the record lacks sufficient information to show whether the exempt information is reasonably segregable from the non-exempt information. As to these segments, I reserve judgment on the parties' motions. The parties shall submit supplemental memoranda and evidence addressing the remaining portion of the videos as set forth below.</w:t>
      </w:r>
    </w:p>
    <w:p w14:paraId="70CB2A93"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D2D2E55" w14:textId="77777777" w:rsidR="000915C1" w:rsidRDefault="000915C1" w:rsidP="000915C1">
      <w:pPr>
        <w:pStyle w:val="NoSpacing"/>
        <w:ind w:left="720"/>
        <w:rPr>
          <w:rFonts w:ascii="Times New Roman" w:hAnsi="Times New Roman"/>
          <w:sz w:val="24"/>
          <w:szCs w:val="24"/>
        </w:rPr>
      </w:pPr>
      <w:r w:rsidRPr="00613B5B">
        <w:rPr>
          <w:rFonts w:ascii="Times New Roman" w:hAnsi="Times New Roman"/>
          <w:sz w:val="24"/>
          <w:szCs w:val="24"/>
        </w:rPr>
        <w:t>Although plaintiff stresses that defendants disclosed the names of the medical staff who participated in the procedures when defendants released Salameh's medical records, I conclude that the staff still have a privacy interest in the visual depictions of them performing the procedures.</w:t>
      </w:r>
      <w:r>
        <w:rPr>
          <w:rFonts w:ascii="Times New Roman" w:hAnsi="Times New Roman"/>
          <w:sz w:val="24"/>
          <w:szCs w:val="24"/>
        </w:rPr>
        <w:t xml:space="preserve">”  </w:t>
      </w:r>
      <w:hyperlink r:id="rId814" w:history="1">
        <w:r w:rsidRPr="00B568EC">
          <w:rPr>
            <w:rStyle w:val="Hyperlink"/>
            <w:rFonts w:ascii="Times New Roman" w:hAnsi="Times New Roman"/>
            <w:sz w:val="24"/>
            <w:szCs w:val="24"/>
          </w:rPr>
          <w:t>https://casetext.com/case/stahl-v-dept-of-justice</w:t>
        </w:r>
      </w:hyperlink>
      <w:r>
        <w:rPr>
          <w:rFonts w:ascii="Times New Roman" w:hAnsi="Times New Roman"/>
          <w:sz w:val="24"/>
          <w:szCs w:val="24"/>
        </w:rPr>
        <w:t xml:space="preserve"> </w:t>
      </w:r>
    </w:p>
    <w:p w14:paraId="3C7F4FFC" w14:textId="77777777" w:rsidR="000915C1" w:rsidRPr="00E44EF4" w:rsidRDefault="000915C1" w:rsidP="000915C1">
      <w:pPr>
        <w:spacing w:before="100" w:beforeAutospacing="1" w:after="100" w:afterAutospacing="1" w:line="240" w:lineRule="auto"/>
        <w:rPr>
          <w:rFonts w:ascii="Times New Roman" w:eastAsia="Times New Roman" w:hAnsi="Times New Roman"/>
          <w:b/>
          <w:bCs/>
          <w:sz w:val="24"/>
          <w:szCs w:val="24"/>
        </w:rPr>
      </w:pPr>
      <w:r w:rsidRPr="00E44EF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privacy of </w:t>
      </w:r>
      <w:proofErr w:type="gramStart"/>
      <w:r>
        <w:rPr>
          <w:rFonts w:ascii="Times New Roman" w:eastAsia="Times New Roman" w:hAnsi="Times New Roman"/>
          <w:b/>
          <w:bCs/>
          <w:sz w:val="24"/>
          <w:szCs w:val="24"/>
        </w:rPr>
        <w:t>Medical</w:t>
      </w:r>
      <w:proofErr w:type="gramEnd"/>
      <w:r>
        <w:rPr>
          <w:rFonts w:ascii="Times New Roman" w:eastAsia="Times New Roman" w:hAnsi="Times New Roman"/>
          <w:b/>
          <w:bCs/>
          <w:sz w:val="24"/>
          <w:szCs w:val="24"/>
        </w:rPr>
        <w:t xml:space="preserve"> personnel participating in the videotaped “forced feedings” has been protected. </w:t>
      </w:r>
    </w:p>
    <w:p w14:paraId="6A398A66" w14:textId="77777777" w:rsidR="000915C1" w:rsidRDefault="000915C1" w:rsidP="00F326E5">
      <w:pPr>
        <w:pStyle w:val="NoSpacing"/>
        <w:rPr>
          <w:rFonts w:ascii="Arial Black" w:hAnsi="Arial Black"/>
          <w:sz w:val="28"/>
          <w:szCs w:val="28"/>
        </w:rPr>
      </w:pPr>
    </w:p>
    <w:p w14:paraId="2BC9217F" w14:textId="77777777" w:rsidR="000915C1" w:rsidRDefault="000915C1" w:rsidP="00F326E5">
      <w:pPr>
        <w:pStyle w:val="NoSpacing"/>
        <w:rPr>
          <w:rFonts w:ascii="Arial Black" w:hAnsi="Arial Black"/>
          <w:sz w:val="28"/>
          <w:szCs w:val="28"/>
        </w:rPr>
      </w:pPr>
    </w:p>
    <w:p w14:paraId="2AC8F8C9" w14:textId="77777777" w:rsidR="000915C1" w:rsidRDefault="000915C1" w:rsidP="00F326E5">
      <w:pPr>
        <w:pStyle w:val="NoSpacing"/>
        <w:rPr>
          <w:rFonts w:ascii="Arial Black" w:hAnsi="Arial Black"/>
          <w:sz w:val="28"/>
          <w:szCs w:val="28"/>
        </w:rPr>
      </w:pPr>
    </w:p>
    <w:p w14:paraId="5F563CF0" w14:textId="5E16C679" w:rsidR="000915C1" w:rsidRDefault="000915C1" w:rsidP="00F326E5">
      <w:pPr>
        <w:pStyle w:val="NoSpacing"/>
        <w:rPr>
          <w:rFonts w:ascii="Arial Black" w:hAnsi="Arial Black"/>
          <w:sz w:val="28"/>
          <w:szCs w:val="28"/>
        </w:rPr>
      </w:pPr>
      <w:r>
        <w:rPr>
          <w:rFonts w:ascii="Arial Black" w:hAnsi="Arial Black"/>
          <w:sz w:val="28"/>
          <w:szCs w:val="28"/>
        </w:rPr>
        <w:t>3-32</w:t>
      </w:r>
    </w:p>
    <w:p w14:paraId="68755BAB" w14:textId="794AAE45" w:rsidR="000915C1" w:rsidRDefault="000915C1" w:rsidP="00F326E5">
      <w:pPr>
        <w:pStyle w:val="NoSpacing"/>
        <w:rPr>
          <w:rFonts w:ascii="Arial Black" w:hAnsi="Arial Black"/>
          <w:sz w:val="28"/>
          <w:szCs w:val="28"/>
        </w:rPr>
      </w:pPr>
    </w:p>
    <w:p w14:paraId="231D26E8" w14:textId="53834A67" w:rsidR="000915C1" w:rsidRPr="00BE2CAC" w:rsidRDefault="000915C1" w:rsidP="000915C1">
      <w:pPr>
        <w:pStyle w:val="NoSpacing"/>
        <w:rPr>
          <w:rFonts w:ascii="Arial Black" w:hAnsi="Arial Black"/>
          <w:sz w:val="28"/>
          <w:szCs w:val="28"/>
        </w:rPr>
      </w:pPr>
      <w:r>
        <w:rPr>
          <w:rFonts w:ascii="Arial Black" w:hAnsi="Arial Black"/>
          <w:sz w:val="28"/>
          <w:szCs w:val="28"/>
        </w:rPr>
        <w:t>VA: 4</w:t>
      </w:r>
      <w:r w:rsidRPr="00BE2CAC">
        <w:rPr>
          <w:rFonts w:ascii="Arial Black" w:hAnsi="Arial Black"/>
          <w:sz w:val="28"/>
          <w:szCs w:val="28"/>
          <w:vertAlign w:val="superscript"/>
        </w:rPr>
        <w:t>th</w:t>
      </w:r>
      <w:r>
        <w:rPr>
          <w:rFonts w:ascii="Arial Black" w:hAnsi="Arial Black"/>
          <w:sz w:val="28"/>
          <w:szCs w:val="28"/>
        </w:rPr>
        <w:t xml:space="preserve"> CIRCUIT UPHOLDS FBI TERRORIST “WATCHLIST” -</w:t>
      </w:r>
      <w:r w:rsidR="00F82922">
        <w:rPr>
          <w:rFonts w:ascii="Arial Black" w:hAnsi="Arial Black"/>
          <w:sz w:val="28"/>
          <w:szCs w:val="28"/>
        </w:rPr>
        <w:t xml:space="preserve"> </w:t>
      </w:r>
      <w:r>
        <w:rPr>
          <w:rFonts w:ascii="Arial Black" w:hAnsi="Arial Black"/>
          <w:sz w:val="28"/>
          <w:szCs w:val="28"/>
        </w:rPr>
        <w:t>DUE PROCESS, SEEK REMOVAL BY FBI OR GO TO COURT</w:t>
      </w:r>
    </w:p>
    <w:p w14:paraId="306A56B1" w14:textId="77777777" w:rsidR="000915C1" w:rsidRDefault="000915C1" w:rsidP="000915C1">
      <w:pPr>
        <w:pStyle w:val="NoSpacing"/>
        <w:rPr>
          <w:rFonts w:ascii="Times New Roman" w:hAnsi="Times New Roman"/>
          <w:sz w:val="24"/>
          <w:szCs w:val="24"/>
        </w:rPr>
      </w:pPr>
    </w:p>
    <w:p w14:paraId="7A8C97EB" w14:textId="77777777" w:rsidR="000915C1" w:rsidRDefault="000915C1" w:rsidP="000915C1">
      <w:pPr>
        <w:pStyle w:val="NoSpacing"/>
        <w:rPr>
          <w:rFonts w:ascii="Times New Roman" w:hAnsi="Times New Roman"/>
          <w:sz w:val="24"/>
          <w:szCs w:val="24"/>
        </w:rPr>
      </w:pPr>
      <w:r>
        <w:rPr>
          <w:rFonts w:ascii="Times New Roman" w:hAnsi="Times New Roman"/>
          <w:sz w:val="24"/>
          <w:szCs w:val="24"/>
        </w:rPr>
        <w:t xml:space="preserve">On March 30, 2021, in </w:t>
      </w:r>
      <w:r w:rsidRPr="00BE2CAC">
        <w:rPr>
          <w:rFonts w:ascii="Times New Roman" w:hAnsi="Times New Roman"/>
          <w:sz w:val="24"/>
          <w:szCs w:val="24"/>
          <w:u w:val="single"/>
        </w:rPr>
        <w:t>Anas Elhady, et al. v. Charles H. Kable, Director of the Terrorist Screen Center, et al</w:t>
      </w:r>
      <w:r>
        <w:rPr>
          <w:rFonts w:ascii="Times New Roman" w:hAnsi="Times New Roman"/>
          <w:sz w:val="24"/>
          <w:szCs w:val="24"/>
        </w:rPr>
        <w:t>., the U.S. Court of Appeals for the 4</w:t>
      </w:r>
      <w:r w:rsidRPr="00BE2CAC">
        <w:rPr>
          <w:rFonts w:ascii="Times New Roman" w:hAnsi="Times New Roman"/>
          <w:sz w:val="24"/>
          <w:szCs w:val="24"/>
          <w:vertAlign w:val="superscript"/>
        </w:rPr>
        <w:t>th</w:t>
      </w:r>
      <w:r>
        <w:rPr>
          <w:rFonts w:ascii="Times New Roman" w:hAnsi="Times New Roman"/>
          <w:sz w:val="24"/>
          <w:szCs w:val="24"/>
        </w:rPr>
        <w:t xml:space="preserve"> Circuit (Richmond, VA), held (3 to 0) that the Terrorist Screening Database provides adequate due process protection for those seeking to get removed from the list. There are 1,160,000 individuals currently on the list, including about 4,600 U.S. citizens. Plaintiffs are 23 individuals complaining about their disruptions at airports; none have been barred from taking flights [not therefore are on the </w:t>
      </w:r>
      <w:proofErr w:type="gramStart"/>
      <w:r>
        <w:rPr>
          <w:rFonts w:ascii="Times New Roman" w:hAnsi="Times New Roman"/>
          <w:sz w:val="24"/>
          <w:szCs w:val="24"/>
        </w:rPr>
        <w:t>No Fly</w:t>
      </w:r>
      <w:proofErr w:type="gramEnd"/>
      <w:r>
        <w:rPr>
          <w:rFonts w:ascii="Times New Roman" w:hAnsi="Times New Roman"/>
          <w:sz w:val="24"/>
          <w:szCs w:val="24"/>
        </w:rPr>
        <w:t xml:space="preserve"> List] or when crossing the border into Mexico or Canada.  The Court reversed a U.S. District Court judge; two other Circuits have also upheld the watchlist due process procedures.</w:t>
      </w:r>
    </w:p>
    <w:p w14:paraId="7EAD077B" w14:textId="77777777" w:rsidR="000915C1" w:rsidRDefault="000915C1" w:rsidP="000915C1">
      <w:pPr>
        <w:pStyle w:val="NoSpacing"/>
        <w:rPr>
          <w:rFonts w:ascii="Times New Roman" w:hAnsi="Times New Roman"/>
          <w:sz w:val="24"/>
          <w:szCs w:val="24"/>
        </w:rPr>
      </w:pPr>
    </w:p>
    <w:p w14:paraId="4F04F64A" w14:textId="77777777" w:rsidR="000915C1" w:rsidRPr="00BE2CAC" w:rsidRDefault="000915C1" w:rsidP="000915C1">
      <w:pPr>
        <w:pStyle w:val="NoSpacing"/>
        <w:ind w:left="720"/>
        <w:rPr>
          <w:rFonts w:ascii="Times New Roman" w:eastAsia="Times New Roman" w:hAnsi="Times New Roman"/>
          <w:b/>
          <w:bCs/>
          <w:sz w:val="24"/>
          <w:szCs w:val="24"/>
        </w:rPr>
      </w:pPr>
      <w:r>
        <w:rPr>
          <w:rFonts w:ascii="Times New Roman" w:hAnsi="Times New Roman"/>
          <w:sz w:val="24"/>
          <w:szCs w:val="24"/>
        </w:rPr>
        <w:t>“</w:t>
      </w:r>
      <w:r w:rsidRPr="00BE2CAC">
        <w:rPr>
          <w:rFonts w:ascii="Times New Roman" w:hAnsi="Times New Roman"/>
          <w:sz w:val="24"/>
          <w:szCs w:val="24"/>
        </w:rPr>
        <w:t xml:space="preserve">The term </w:t>
      </w:r>
      <w:r>
        <w:rPr>
          <w:rFonts w:ascii="Times New Roman" w:hAnsi="Times New Roman"/>
          <w:sz w:val="24"/>
          <w:szCs w:val="24"/>
        </w:rPr>
        <w:t>‘</w:t>
      </w:r>
      <w:r w:rsidRPr="00BE2CAC">
        <w:rPr>
          <w:rFonts w:ascii="Times New Roman" w:hAnsi="Times New Roman"/>
          <w:sz w:val="24"/>
          <w:szCs w:val="24"/>
        </w:rPr>
        <w:t>national security</w:t>
      </w:r>
      <w:r>
        <w:rPr>
          <w:rFonts w:ascii="Times New Roman" w:hAnsi="Times New Roman"/>
          <w:sz w:val="24"/>
          <w:szCs w:val="24"/>
        </w:rPr>
        <w:t>’</w:t>
      </w:r>
      <w:r w:rsidRPr="00BE2CAC">
        <w:rPr>
          <w:rFonts w:ascii="Times New Roman" w:hAnsi="Times New Roman"/>
          <w:sz w:val="24"/>
          <w:szCs w:val="24"/>
        </w:rPr>
        <w:t xml:space="preserve"> is too often bandied loosely and carelessly about, but this is no program of marginal consequence. It lies at the very heart of our country’s effort to identify those who would inflict upon the public irretrievable loss and irreparable mass </w:t>
      </w:r>
      <w:proofErr w:type="gramStart"/>
      <w:r w:rsidRPr="00BE2CAC">
        <w:rPr>
          <w:rFonts w:ascii="Times New Roman" w:hAnsi="Times New Roman"/>
          <w:sz w:val="24"/>
          <w:szCs w:val="24"/>
        </w:rPr>
        <w:t>harms</w:t>
      </w:r>
      <w:proofErr w:type="gramEnd"/>
      <w:r w:rsidRPr="00BE2CAC">
        <w:rPr>
          <w:rFonts w:ascii="Times New Roman" w:hAnsi="Times New Roman"/>
          <w:sz w:val="24"/>
          <w:szCs w:val="24"/>
        </w:rPr>
        <w:t>. By bringing this across-the-board attack on a system vital to public safety—rather</w:t>
      </w:r>
      <w:r>
        <w:rPr>
          <w:rFonts w:ascii="Times New Roman" w:hAnsi="Times New Roman"/>
          <w:sz w:val="24"/>
          <w:szCs w:val="24"/>
        </w:rPr>
        <w:t xml:space="preserve"> </w:t>
      </w:r>
      <w:r w:rsidRPr="00BE2CAC">
        <w:rPr>
          <w:rFonts w:ascii="Times New Roman" w:hAnsi="Times New Roman"/>
          <w:sz w:val="24"/>
          <w:szCs w:val="24"/>
        </w:rPr>
        <w:t xml:space="preserve">than more focused individual challenges to </w:t>
      </w:r>
      <w:proofErr w:type="gramStart"/>
      <w:r w:rsidRPr="00BE2CAC">
        <w:rPr>
          <w:rFonts w:ascii="Times New Roman" w:hAnsi="Times New Roman"/>
          <w:sz w:val="24"/>
          <w:szCs w:val="24"/>
        </w:rPr>
        <w:t>particular law</w:t>
      </w:r>
      <w:proofErr w:type="gramEnd"/>
      <w:r w:rsidRPr="00BE2CAC">
        <w:rPr>
          <w:rFonts w:ascii="Times New Roman" w:hAnsi="Times New Roman"/>
          <w:sz w:val="24"/>
          <w:szCs w:val="24"/>
        </w:rPr>
        <w:t xml:space="preserve"> enforcement actions—plaintiffs</w:t>
      </w:r>
      <w:r>
        <w:rPr>
          <w:rFonts w:ascii="Times New Roman" w:hAnsi="Times New Roman"/>
          <w:sz w:val="24"/>
          <w:szCs w:val="24"/>
        </w:rPr>
        <w:t xml:space="preserve"> </w:t>
      </w:r>
      <w:r w:rsidRPr="00BE2CAC">
        <w:rPr>
          <w:rFonts w:ascii="Times New Roman" w:hAnsi="Times New Roman"/>
          <w:sz w:val="24"/>
          <w:szCs w:val="24"/>
        </w:rPr>
        <w:t>face a demanding legal standard. Procedural due process claims require showing that the government violated constitutionally protected liberty interests. Plaintiffs cannot meet that burden. The government has had authority to regulate travel and control the border since the beginning of the nation. Indeed, this authority is a core attribute of sovereignty. The delays and burdens experienced by plaintiffs at the border and in airports, although regrettable, do not mandate a complete overhaul of the TSDB.</w:t>
      </w:r>
      <w:r>
        <w:rPr>
          <w:rFonts w:ascii="Times New Roman" w:hAnsi="Times New Roman"/>
          <w:sz w:val="24"/>
          <w:szCs w:val="24"/>
        </w:rPr>
        <w:t xml:space="preserve">” </w:t>
      </w:r>
      <w:hyperlink r:id="rId815" w:history="1">
        <w:r w:rsidRPr="001A09F3">
          <w:rPr>
            <w:rStyle w:val="Hyperlink"/>
            <w:rFonts w:ascii="Times New Roman" w:hAnsi="Times New Roman"/>
            <w:sz w:val="24"/>
            <w:szCs w:val="24"/>
          </w:rPr>
          <w:t>https://www.ca4.uscourts.gov/opinions/201119.P.pdf</w:t>
        </w:r>
      </w:hyperlink>
      <w:r>
        <w:rPr>
          <w:rFonts w:ascii="Times New Roman" w:hAnsi="Times New Roman"/>
          <w:sz w:val="24"/>
          <w:szCs w:val="24"/>
        </w:rPr>
        <w:t xml:space="preserve"> </w:t>
      </w:r>
    </w:p>
    <w:p w14:paraId="410C96A3" w14:textId="5B6B2959" w:rsidR="000915C1" w:rsidRDefault="000915C1" w:rsidP="00F326E5">
      <w:pPr>
        <w:pStyle w:val="NoSpacing"/>
        <w:rPr>
          <w:rFonts w:ascii="Arial Black" w:hAnsi="Arial Black"/>
          <w:sz w:val="28"/>
          <w:szCs w:val="28"/>
        </w:rPr>
      </w:pPr>
    </w:p>
    <w:p w14:paraId="535B3C6E" w14:textId="620EEB3B" w:rsidR="000915C1" w:rsidRPr="008C2C03" w:rsidRDefault="000915C1" w:rsidP="000915C1">
      <w:pPr>
        <w:pStyle w:val="NoSpacing"/>
        <w:rPr>
          <w:rFonts w:ascii="Times New Roman" w:hAnsi="Times New Roman"/>
          <w:b/>
          <w:bCs/>
          <w:sz w:val="24"/>
          <w:szCs w:val="24"/>
        </w:rPr>
      </w:pPr>
      <w:r w:rsidRPr="008C2C03">
        <w:rPr>
          <w:rFonts w:ascii="Times New Roman" w:hAnsi="Times New Roman"/>
          <w:b/>
          <w:bCs/>
          <w:sz w:val="24"/>
          <w:szCs w:val="24"/>
        </w:rPr>
        <w:t>Legal Lesson Learned:</w:t>
      </w:r>
      <w:r>
        <w:rPr>
          <w:rFonts w:ascii="Times New Roman" w:hAnsi="Times New Roman"/>
          <w:b/>
          <w:bCs/>
          <w:sz w:val="24"/>
          <w:szCs w:val="24"/>
        </w:rPr>
        <w:t xml:space="preserve">  The 4</w:t>
      </w:r>
      <w:r w:rsidRPr="008C2C03">
        <w:rPr>
          <w:rFonts w:ascii="Times New Roman" w:hAnsi="Times New Roman"/>
          <w:b/>
          <w:bCs/>
          <w:sz w:val="24"/>
          <w:szCs w:val="24"/>
          <w:vertAlign w:val="superscript"/>
        </w:rPr>
        <w:t>th</w:t>
      </w:r>
      <w:r>
        <w:rPr>
          <w:rFonts w:ascii="Times New Roman" w:hAnsi="Times New Roman"/>
          <w:b/>
          <w:bCs/>
          <w:sz w:val="24"/>
          <w:szCs w:val="24"/>
        </w:rPr>
        <w:t xml:space="preserve"> Circuit, like the 6</w:t>
      </w:r>
      <w:r w:rsidRPr="008C2C03">
        <w:rPr>
          <w:rFonts w:ascii="Times New Roman" w:hAnsi="Times New Roman"/>
          <w:b/>
          <w:bCs/>
          <w:sz w:val="24"/>
          <w:szCs w:val="24"/>
          <w:vertAlign w:val="superscript"/>
        </w:rPr>
        <w:t>th</w:t>
      </w:r>
      <w:r>
        <w:rPr>
          <w:rFonts w:ascii="Times New Roman" w:hAnsi="Times New Roman"/>
          <w:b/>
          <w:bCs/>
          <w:sz w:val="24"/>
          <w:szCs w:val="24"/>
        </w:rPr>
        <w:t xml:space="preserve"> and 10</w:t>
      </w:r>
      <w:r w:rsidRPr="008C2C03">
        <w:rPr>
          <w:rFonts w:ascii="Times New Roman" w:hAnsi="Times New Roman"/>
          <w:b/>
          <w:bCs/>
          <w:sz w:val="24"/>
          <w:szCs w:val="24"/>
          <w:vertAlign w:val="superscript"/>
        </w:rPr>
        <w:t>th</w:t>
      </w:r>
      <w:r>
        <w:rPr>
          <w:rFonts w:ascii="Times New Roman" w:hAnsi="Times New Roman"/>
          <w:b/>
          <w:bCs/>
          <w:sz w:val="24"/>
          <w:szCs w:val="24"/>
        </w:rPr>
        <w:t xml:space="preserve"> Circuits, has upheld the watchlist program to protect our nation’s security. </w:t>
      </w:r>
    </w:p>
    <w:p w14:paraId="391E1D6A" w14:textId="77777777" w:rsidR="000915C1" w:rsidRDefault="000915C1" w:rsidP="00F326E5">
      <w:pPr>
        <w:pStyle w:val="NoSpacing"/>
        <w:rPr>
          <w:rFonts w:ascii="Arial Black" w:hAnsi="Arial Black"/>
          <w:sz w:val="28"/>
          <w:szCs w:val="28"/>
        </w:rPr>
      </w:pPr>
    </w:p>
    <w:p w14:paraId="0391AA10" w14:textId="77777777" w:rsidR="000915C1" w:rsidRDefault="000915C1" w:rsidP="00F326E5">
      <w:pPr>
        <w:pStyle w:val="NoSpacing"/>
        <w:rPr>
          <w:rFonts w:ascii="Arial Black" w:hAnsi="Arial Black"/>
          <w:sz w:val="28"/>
          <w:szCs w:val="28"/>
        </w:rPr>
      </w:pPr>
    </w:p>
    <w:p w14:paraId="34403432" w14:textId="0A6C9B62" w:rsidR="000915C1" w:rsidRDefault="000915C1" w:rsidP="00F326E5">
      <w:pPr>
        <w:pStyle w:val="NoSpacing"/>
        <w:rPr>
          <w:rFonts w:ascii="Arial Black" w:hAnsi="Arial Black"/>
          <w:sz w:val="28"/>
          <w:szCs w:val="28"/>
        </w:rPr>
      </w:pPr>
      <w:r>
        <w:rPr>
          <w:rFonts w:ascii="Arial Black" w:hAnsi="Arial Black"/>
          <w:sz w:val="28"/>
          <w:szCs w:val="28"/>
        </w:rPr>
        <w:t>3-31</w:t>
      </w:r>
    </w:p>
    <w:p w14:paraId="4FCEACC7" w14:textId="46C731CC" w:rsidR="000915C1" w:rsidRDefault="000915C1" w:rsidP="00F326E5">
      <w:pPr>
        <w:pStyle w:val="NoSpacing"/>
        <w:rPr>
          <w:rFonts w:ascii="Arial Black" w:hAnsi="Arial Black"/>
          <w:sz w:val="28"/>
          <w:szCs w:val="28"/>
        </w:rPr>
      </w:pPr>
    </w:p>
    <w:p w14:paraId="2F8EC9CC" w14:textId="77777777" w:rsidR="000915C1" w:rsidRPr="002F56FE" w:rsidRDefault="000915C1" w:rsidP="000915C1">
      <w:pPr>
        <w:pStyle w:val="NoSpacing"/>
        <w:rPr>
          <w:rFonts w:ascii="Arial Black" w:hAnsi="Arial Black"/>
          <w:sz w:val="28"/>
          <w:szCs w:val="28"/>
        </w:rPr>
      </w:pPr>
      <w:r>
        <w:rPr>
          <w:rFonts w:ascii="Arial Black" w:hAnsi="Arial Black"/>
          <w:sz w:val="28"/>
          <w:szCs w:val="28"/>
        </w:rPr>
        <w:t>U.S. SUPREME COURT: MEXICAN CITIZEN IN U.S. 25 YEARS – CAN BE DEPORTED – USED FAKE SOCIAL SECURITY CARD</w:t>
      </w:r>
    </w:p>
    <w:p w14:paraId="13E06B1B" w14:textId="12D54FA8" w:rsidR="000915C1" w:rsidRDefault="000915C1" w:rsidP="000915C1">
      <w:pPr>
        <w:spacing w:before="100" w:beforeAutospacing="1" w:after="100" w:afterAutospacing="1" w:line="240" w:lineRule="auto"/>
        <w:rPr>
          <w:rFonts w:ascii="Times New Roman" w:hAnsi="Times New Roman"/>
          <w:sz w:val="24"/>
          <w:szCs w:val="24"/>
        </w:rPr>
      </w:pPr>
      <w:r w:rsidRPr="002F56FE">
        <w:rPr>
          <w:rFonts w:ascii="Times New Roman" w:hAnsi="Times New Roman"/>
          <w:sz w:val="24"/>
          <w:szCs w:val="24"/>
        </w:rPr>
        <w:t xml:space="preserve">On March 4, 2021, in </w:t>
      </w:r>
      <w:r w:rsidRPr="00F3033E">
        <w:rPr>
          <w:rFonts w:ascii="Times New Roman" w:hAnsi="Times New Roman"/>
          <w:sz w:val="24"/>
          <w:szCs w:val="24"/>
          <w:u w:val="single"/>
        </w:rPr>
        <w:t>Avelino Pereida v. Monty Wilkinson, Acting Attorney General</w:t>
      </w:r>
      <w:r w:rsidRPr="002F56FE">
        <w:rPr>
          <w:rFonts w:ascii="Times New Roman" w:hAnsi="Times New Roman"/>
          <w:sz w:val="24"/>
          <w:szCs w:val="24"/>
        </w:rPr>
        <w:t xml:space="preserve">, </w:t>
      </w:r>
      <w:r>
        <w:rPr>
          <w:rFonts w:ascii="Times New Roman" w:hAnsi="Times New Roman"/>
          <w:sz w:val="24"/>
          <w:szCs w:val="24"/>
        </w:rPr>
        <w:t xml:space="preserve">the U.S. Supreme Court held (5 to 3) that Mr. Pereida, a </w:t>
      </w:r>
      <w:r w:rsidRPr="00F3033E">
        <w:rPr>
          <w:rFonts w:ascii="Times New Roman" w:hAnsi="Times New Roman"/>
          <w:sz w:val="24"/>
          <w:szCs w:val="24"/>
        </w:rPr>
        <w:t xml:space="preserve">nonpermanent alien </w:t>
      </w:r>
      <w:r>
        <w:rPr>
          <w:rFonts w:ascii="Times New Roman" w:hAnsi="Times New Roman"/>
          <w:sz w:val="24"/>
          <w:szCs w:val="24"/>
        </w:rPr>
        <w:t xml:space="preserve">in the U.S. for 25 years, and he and his wife raised three children, sought </w:t>
      </w:r>
      <w:r w:rsidRPr="00F3033E">
        <w:rPr>
          <w:rFonts w:ascii="Times New Roman" w:hAnsi="Times New Roman"/>
          <w:sz w:val="24"/>
          <w:szCs w:val="24"/>
        </w:rPr>
        <w:t>to cancel a lawful removal order must prove that they have not been convicted of a disqualifying crime</w:t>
      </w:r>
      <w:r>
        <w:rPr>
          <w:rFonts w:ascii="Times New Roman" w:hAnsi="Times New Roman"/>
          <w:sz w:val="24"/>
          <w:szCs w:val="24"/>
        </w:rPr>
        <w:t xml:space="preserve"> (crime of “moral turpitude”)</w:t>
      </w:r>
      <w:r w:rsidRPr="00F3033E">
        <w:rPr>
          <w:rFonts w:ascii="Times New Roman" w:hAnsi="Times New Roman"/>
          <w:sz w:val="24"/>
          <w:szCs w:val="24"/>
        </w:rPr>
        <w:t xml:space="preserve">. </w:t>
      </w:r>
      <w:r>
        <w:rPr>
          <w:rFonts w:ascii="Times New Roman" w:hAnsi="Times New Roman"/>
          <w:sz w:val="24"/>
          <w:szCs w:val="24"/>
        </w:rPr>
        <w:t xml:space="preserve"> In 2010, he was charge</w:t>
      </w:r>
      <w:r w:rsidR="006F4E6C">
        <w:rPr>
          <w:rFonts w:ascii="Times New Roman" w:hAnsi="Times New Roman"/>
          <w:sz w:val="24"/>
          <w:szCs w:val="24"/>
        </w:rPr>
        <w:t>d</w:t>
      </w:r>
      <w:r>
        <w:rPr>
          <w:rFonts w:ascii="Times New Roman" w:hAnsi="Times New Roman"/>
          <w:sz w:val="24"/>
          <w:szCs w:val="24"/>
        </w:rPr>
        <w:t xml:space="preserve"> in Nebraska with the crime of using a false Social Security Card to get employment as a janitor, plead nolo </w:t>
      </w:r>
      <w:r w:rsidRPr="00F3033E">
        <w:rPr>
          <w:rFonts w:ascii="Times New Roman" w:hAnsi="Times New Roman"/>
          <w:sz w:val="24"/>
          <w:szCs w:val="24"/>
        </w:rPr>
        <w:t>contendere</w:t>
      </w:r>
      <w:r>
        <w:rPr>
          <w:rFonts w:ascii="Times New Roman" w:hAnsi="Times New Roman"/>
          <w:sz w:val="24"/>
          <w:szCs w:val="24"/>
        </w:rPr>
        <w:t xml:space="preserve"> [no contest] and was fined $100. </w:t>
      </w:r>
    </w:p>
    <w:p w14:paraId="2379B60A" w14:textId="1C5D92C3" w:rsidR="000915C1" w:rsidRPr="000915C1" w:rsidRDefault="000915C1" w:rsidP="000915C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3033E">
        <w:rPr>
          <w:rFonts w:ascii="Times New Roman" w:hAnsi="Times New Roman"/>
          <w:sz w:val="24"/>
          <w:szCs w:val="24"/>
        </w:rPr>
        <w:t>Under the INA</w:t>
      </w:r>
      <w:r>
        <w:rPr>
          <w:rFonts w:ascii="Times New Roman" w:hAnsi="Times New Roman"/>
          <w:sz w:val="24"/>
          <w:szCs w:val="24"/>
        </w:rPr>
        <w:t xml:space="preserve"> </w:t>
      </w:r>
      <w:r w:rsidRPr="00BD63A2">
        <w:rPr>
          <w:rFonts w:ascii="Times New Roman" w:hAnsi="Times New Roman"/>
          <w:sz w:val="24"/>
          <w:szCs w:val="24"/>
        </w:rPr>
        <w:t>[Immigration and Nationality Act]</w:t>
      </w:r>
      <w:r>
        <w:rPr>
          <w:rFonts w:ascii="Times New Roman" w:hAnsi="Times New Roman"/>
          <w:sz w:val="24"/>
          <w:szCs w:val="24"/>
        </w:rPr>
        <w:t xml:space="preserve">, </w:t>
      </w:r>
      <w:r w:rsidRPr="00F3033E">
        <w:rPr>
          <w:rFonts w:ascii="Times New Roman" w:hAnsi="Times New Roman"/>
          <w:sz w:val="24"/>
          <w:szCs w:val="24"/>
        </w:rPr>
        <w:t>certain nonpermanent aliens seeking to</w:t>
      </w:r>
      <w:r w:rsidR="006F4E6C">
        <w:rPr>
          <w:rFonts w:ascii="Times New Roman" w:hAnsi="Times New Roman"/>
          <w:sz w:val="24"/>
          <w:szCs w:val="24"/>
        </w:rPr>
        <w:t xml:space="preserve"> </w:t>
      </w:r>
      <w:r w:rsidRPr="00F3033E">
        <w:rPr>
          <w:rFonts w:ascii="Times New Roman" w:hAnsi="Times New Roman"/>
          <w:sz w:val="24"/>
          <w:szCs w:val="24"/>
        </w:rPr>
        <w:t>cancel a lawful removal order must prove that they have</w:t>
      </w:r>
      <w:r>
        <w:rPr>
          <w:rFonts w:ascii="Times New Roman" w:hAnsi="Times New Roman"/>
          <w:sz w:val="24"/>
          <w:szCs w:val="24"/>
        </w:rPr>
        <w:t xml:space="preserve"> </w:t>
      </w:r>
      <w:r w:rsidRPr="00F3033E">
        <w:rPr>
          <w:rFonts w:ascii="Times New Roman" w:hAnsi="Times New Roman"/>
          <w:sz w:val="24"/>
          <w:szCs w:val="24"/>
        </w:rPr>
        <w:t>not been convicted of a disqualifying crime. The Eighth Circuit correctly held that Mr. Pereida failed to carry this burden. Its judgment is Affirmed</w:t>
      </w:r>
      <w:r>
        <w:rPr>
          <w:rFonts w:ascii="Times New Roman" w:hAnsi="Times New Roman"/>
          <w:sz w:val="24"/>
          <w:szCs w:val="24"/>
        </w:rPr>
        <w:t xml:space="preserve">.” </w:t>
      </w:r>
      <w:hyperlink r:id="rId816" w:history="1">
        <w:r w:rsidRPr="000915C1">
          <w:rPr>
            <w:rStyle w:val="Hyperlink"/>
            <w:rFonts w:ascii="Times New Roman" w:hAnsi="Times New Roman"/>
            <w:sz w:val="24"/>
            <w:szCs w:val="24"/>
          </w:rPr>
          <w:t>https://www.supremecourt.gov/opinions/20pdf/19-438_j4el.pdf</w:t>
        </w:r>
      </w:hyperlink>
      <w:r w:rsidRPr="000915C1">
        <w:rPr>
          <w:rFonts w:ascii="Times New Roman" w:hAnsi="Times New Roman"/>
          <w:sz w:val="24"/>
          <w:szCs w:val="24"/>
        </w:rPr>
        <w:t xml:space="preserve"> </w:t>
      </w:r>
    </w:p>
    <w:p w14:paraId="266D7F92" w14:textId="77777777" w:rsidR="000915C1" w:rsidRPr="00BD63A2" w:rsidRDefault="000915C1" w:rsidP="000915C1">
      <w:pPr>
        <w:spacing w:before="100" w:beforeAutospacing="1" w:after="100" w:afterAutospacing="1" w:line="240" w:lineRule="auto"/>
        <w:rPr>
          <w:rFonts w:ascii="Times New Roman" w:hAnsi="Times New Roman"/>
          <w:b/>
          <w:bCs/>
          <w:sz w:val="24"/>
          <w:szCs w:val="24"/>
        </w:rPr>
      </w:pPr>
      <w:r w:rsidRPr="00BD63A2">
        <w:rPr>
          <w:rFonts w:ascii="Times New Roman" w:hAnsi="Times New Roman"/>
          <w:b/>
          <w:bCs/>
          <w:sz w:val="24"/>
          <w:szCs w:val="24"/>
        </w:rPr>
        <w:t>Legal Lesson Learned:</w:t>
      </w:r>
      <w:r>
        <w:rPr>
          <w:rFonts w:ascii="Times New Roman" w:hAnsi="Times New Roman"/>
          <w:b/>
          <w:bCs/>
          <w:sz w:val="24"/>
          <w:szCs w:val="24"/>
        </w:rPr>
        <w:t xml:space="preserve"> This U.S. Supreme Court decision sets precedence for other deportation cases.  </w:t>
      </w:r>
    </w:p>
    <w:p w14:paraId="51C3B8A3" w14:textId="77777777" w:rsidR="000915C1" w:rsidRDefault="000915C1" w:rsidP="000915C1">
      <w:pPr>
        <w:spacing w:before="100" w:beforeAutospacing="1" w:after="100" w:afterAutospacing="1" w:line="240" w:lineRule="auto"/>
        <w:ind w:left="720"/>
        <w:rPr>
          <w:rFonts w:ascii="Times New Roman" w:eastAsia="Times New Roman" w:hAnsi="Times New Roman"/>
          <w:kern w:val="36"/>
          <w:sz w:val="24"/>
          <w:szCs w:val="24"/>
        </w:rPr>
      </w:pPr>
      <w:r>
        <w:rPr>
          <w:rFonts w:ascii="Times New Roman" w:hAnsi="Times New Roman"/>
          <w:sz w:val="24"/>
          <w:szCs w:val="24"/>
        </w:rPr>
        <w:t>Note: See article – “</w:t>
      </w:r>
      <w:r w:rsidRPr="00BD63A2">
        <w:rPr>
          <w:rFonts w:ascii="Times New Roman" w:eastAsia="Times New Roman" w:hAnsi="Times New Roman"/>
          <w:kern w:val="36"/>
          <w:sz w:val="24"/>
          <w:szCs w:val="24"/>
        </w:rPr>
        <w:t xml:space="preserve">Supreme Court Makes It Harder </w:t>
      </w:r>
      <w:proofErr w:type="gramStart"/>
      <w:r w:rsidRPr="00BD63A2">
        <w:rPr>
          <w:rFonts w:ascii="Times New Roman" w:eastAsia="Times New Roman" w:hAnsi="Times New Roman"/>
          <w:kern w:val="36"/>
          <w:sz w:val="24"/>
          <w:szCs w:val="24"/>
        </w:rPr>
        <w:t>For</w:t>
      </w:r>
      <w:proofErr w:type="gramEnd"/>
      <w:r w:rsidRPr="00BD63A2">
        <w:rPr>
          <w:rFonts w:ascii="Times New Roman" w:eastAsia="Times New Roman" w:hAnsi="Times New Roman"/>
          <w:kern w:val="36"/>
          <w:sz w:val="24"/>
          <w:szCs w:val="24"/>
        </w:rPr>
        <w:t xml:space="preserve"> Undocumented Immigrants </w:t>
      </w:r>
      <w:proofErr w:type="gramStart"/>
      <w:r w:rsidRPr="00BD63A2">
        <w:rPr>
          <w:rFonts w:ascii="Times New Roman" w:eastAsia="Times New Roman" w:hAnsi="Times New Roman"/>
          <w:kern w:val="36"/>
          <w:sz w:val="24"/>
          <w:szCs w:val="24"/>
        </w:rPr>
        <w:t>To</w:t>
      </w:r>
      <w:proofErr w:type="gramEnd"/>
      <w:r w:rsidRPr="00BD63A2">
        <w:rPr>
          <w:rFonts w:ascii="Times New Roman" w:eastAsia="Times New Roman" w:hAnsi="Times New Roman"/>
          <w:kern w:val="36"/>
          <w:sz w:val="24"/>
          <w:szCs w:val="24"/>
        </w:rPr>
        <w:t xml:space="preserve"> Fight Deportation</w:t>
      </w:r>
      <w:r>
        <w:rPr>
          <w:rFonts w:ascii="Times New Roman" w:eastAsia="Times New Roman" w:hAnsi="Times New Roman"/>
          <w:kern w:val="36"/>
          <w:sz w:val="24"/>
          <w:szCs w:val="24"/>
        </w:rPr>
        <w:t xml:space="preserve">,” March 4, 2021: </w:t>
      </w:r>
      <w:hyperlink r:id="rId817" w:history="1">
        <w:r w:rsidRPr="00916B19">
          <w:rPr>
            <w:rStyle w:val="Hyperlink"/>
            <w:sz w:val="24"/>
            <w:szCs w:val="24"/>
          </w:rPr>
          <w:t>https://www.npr.org/2021/03/04/973658292/supreme-court-makes-it-harder-for-undocumented-immigrants-to-fight-deportation</w:t>
        </w:r>
      </w:hyperlink>
      <w:r>
        <w:rPr>
          <w:rFonts w:ascii="Times New Roman" w:eastAsia="Times New Roman" w:hAnsi="Times New Roman"/>
          <w:kern w:val="36"/>
          <w:sz w:val="24"/>
          <w:szCs w:val="24"/>
        </w:rPr>
        <w:t xml:space="preserve"> </w:t>
      </w:r>
    </w:p>
    <w:p w14:paraId="30535845" w14:textId="4F25AA40" w:rsidR="000915C1" w:rsidRDefault="000915C1" w:rsidP="00F326E5">
      <w:pPr>
        <w:pStyle w:val="NoSpacing"/>
        <w:rPr>
          <w:rFonts w:ascii="Arial Black" w:hAnsi="Arial Black"/>
          <w:sz w:val="28"/>
          <w:szCs w:val="28"/>
        </w:rPr>
      </w:pPr>
    </w:p>
    <w:p w14:paraId="73014751" w14:textId="1319E81D" w:rsidR="000915C1" w:rsidRDefault="000915C1" w:rsidP="00F326E5">
      <w:pPr>
        <w:pStyle w:val="NoSpacing"/>
        <w:rPr>
          <w:rFonts w:ascii="Arial Black" w:hAnsi="Arial Black"/>
          <w:sz w:val="28"/>
          <w:szCs w:val="28"/>
        </w:rPr>
      </w:pPr>
    </w:p>
    <w:p w14:paraId="63EA5369" w14:textId="77777777" w:rsidR="000915C1" w:rsidRDefault="000915C1" w:rsidP="00F326E5">
      <w:pPr>
        <w:pStyle w:val="NoSpacing"/>
        <w:rPr>
          <w:rFonts w:ascii="Arial Black" w:hAnsi="Arial Black"/>
          <w:sz w:val="28"/>
          <w:szCs w:val="28"/>
        </w:rPr>
      </w:pPr>
    </w:p>
    <w:p w14:paraId="0843707D" w14:textId="1E1F42D3" w:rsidR="005E132A" w:rsidRDefault="00CD5950" w:rsidP="00F326E5">
      <w:pPr>
        <w:pStyle w:val="NoSpacing"/>
        <w:rPr>
          <w:rFonts w:ascii="Arial Black" w:hAnsi="Arial Black"/>
          <w:sz w:val="28"/>
          <w:szCs w:val="28"/>
        </w:rPr>
      </w:pPr>
      <w:r>
        <w:rPr>
          <w:rFonts w:ascii="Arial Black" w:hAnsi="Arial Black"/>
          <w:sz w:val="28"/>
          <w:szCs w:val="28"/>
        </w:rPr>
        <w:t>3-30</w:t>
      </w:r>
    </w:p>
    <w:p w14:paraId="386C35F8" w14:textId="77777777" w:rsidR="00CD5950" w:rsidRDefault="00CD5950" w:rsidP="00CD595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IL: FBI 2-YEAR INVESTIGATION – USED “CONFIDENTIAL HUMAN SOURCE” – JURY CONVICTION </w:t>
      </w:r>
    </w:p>
    <w:p w14:paraId="31756B32" w14:textId="32FCE251" w:rsidR="00CD5950" w:rsidRDefault="00CD5950" w:rsidP="00CD5950">
      <w:pPr>
        <w:spacing w:before="100" w:beforeAutospacing="1" w:after="100" w:afterAutospacing="1" w:line="240" w:lineRule="auto"/>
        <w:rPr>
          <w:rFonts w:ascii="Times New Roman" w:hAnsi="Times New Roman"/>
          <w:sz w:val="24"/>
          <w:szCs w:val="24"/>
        </w:rPr>
      </w:pPr>
      <w:r w:rsidRPr="00BC6E6A">
        <w:rPr>
          <w:rFonts w:ascii="Times New Roman" w:eastAsia="Times New Roman" w:hAnsi="Times New Roman"/>
          <w:sz w:val="24"/>
          <w:szCs w:val="24"/>
        </w:rPr>
        <w:t xml:space="preserve">On Feb. 18, 2021, in </w:t>
      </w:r>
      <w:r w:rsidRPr="00D2057B">
        <w:rPr>
          <w:rFonts w:ascii="Times New Roman" w:eastAsia="Times New Roman" w:hAnsi="Times New Roman"/>
          <w:sz w:val="24"/>
          <w:szCs w:val="24"/>
          <w:u w:val="single"/>
        </w:rPr>
        <w:t>United States of America v. Joseph D. Jones and Edward Schimenti</w:t>
      </w:r>
      <w:r>
        <w:rPr>
          <w:rFonts w:ascii="Times New Roman" w:eastAsia="Times New Roman" w:hAnsi="Times New Roman"/>
          <w:sz w:val="24"/>
          <w:szCs w:val="24"/>
        </w:rPr>
        <w:t xml:space="preserve">, U.S. District Court Judge </w:t>
      </w:r>
      <w:r w:rsidRPr="00D2057B">
        <w:rPr>
          <w:rFonts w:ascii="Times New Roman" w:hAnsi="Times New Roman"/>
          <w:sz w:val="24"/>
          <w:szCs w:val="24"/>
        </w:rPr>
        <w:t>Andrea R. Wood</w:t>
      </w:r>
      <w:r>
        <w:rPr>
          <w:rFonts w:ascii="Times New Roman" w:hAnsi="Times New Roman"/>
          <w:sz w:val="24"/>
          <w:szCs w:val="24"/>
        </w:rPr>
        <w:t xml:space="preserve">, U.S. District Court for the Northern District of Illinois (Eastern Division) denied the defendants’ motion for judgment of acquittal or alternatively for a new trial.  The FBI investigation started based on internet posts by the two defendants and lasted for two years with both undercover FBI agents and a “confidential human source” tape recording their conversations with the defendants.  The FBI paid the source for expenses, and after the trial obtained FBI Headquarters permission to pay him $50,000.  </w:t>
      </w:r>
    </w:p>
    <w:p w14:paraId="009E22ED" w14:textId="77777777" w:rsidR="00CD5950" w:rsidRDefault="00CD5950" w:rsidP="00CD5950">
      <w:pPr>
        <w:pStyle w:val="NormalWeb"/>
        <w:ind w:left="1440"/>
      </w:pPr>
      <w:r>
        <w:t xml:space="preserve">“Muhamed [the confidential </w:t>
      </w:r>
      <w:proofErr w:type="spellStart"/>
      <w:r>
        <w:t>himan</w:t>
      </w:r>
      <w:proofErr w:type="spellEnd"/>
      <w:r>
        <w:t xml:space="preserve"> source] also testified at trial. He explained that he was born in Iraq and had worked for the United States Department of Defense in Iraq between 2004 and 2009. (Tr. 1220-22.) He moved to the United States in 2014 as a refugee. (Tr. 1221.) Muhamed testified that he first spoke to the FBI in the summer of 2016 when FBI agents came to his home to interview him about a report that he had an ISIS flag on his car. (Tr. 1223.) Subsequently, Muhamed followed up with the FBI, told an FBI supervisor that he loved to work with the government and was a law enforcement supporter, interviewed with the FBI, and began working as a confidential human source. (Tr. 1224-25.) Muhamed further testified that he never asked the FBI for anything in exchange for his cooperation, the FBI never offered him anything in exchange for his cooperation, and he did not expect to get anything for his cooperation. (Tr. 1225.) According to Muhamed, the FBI had given him some money but only for fuel, a cheap car, parking, and moving out from his old apartment after the case. (Tr. 1226.)</w:t>
      </w:r>
    </w:p>
    <w:p w14:paraId="4DAE95B2" w14:textId="77777777" w:rsidR="00CD5950" w:rsidRDefault="00CD5950" w:rsidP="00CD5950">
      <w:pPr>
        <w:pStyle w:val="NormalWeb"/>
        <w:ind w:left="1440"/>
      </w:pPr>
      <w:r>
        <w:t>***</w:t>
      </w:r>
    </w:p>
    <w:p w14:paraId="3DB19EF7" w14:textId="77777777" w:rsidR="00CD5950" w:rsidRPr="00E41266" w:rsidRDefault="00CD5950" w:rsidP="00CD5950">
      <w:pPr>
        <w:spacing w:before="100" w:beforeAutospacing="1" w:after="100" w:afterAutospacing="1" w:line="240" w:lineRule="auto"/>
        <w:ind w:left="1440"/>
        <w:rPr>
          <w:rFonts w:ascii="Times New Roman" w:eastAsia="Times New Roman" w:hAnsi="Times New Roman"/>
          <w:sz w:val="24"/>
          <w:szCs w:val="24"/>
        </w:rPr>
      </w:pPr>
      <w:r w:rsidRPr="00E41266">
        <w:rPr>
          <w:rFonts w:ascii="Times New Roman" w:eastAsia="Times New Roman" w:hAnsi="Times New Roman"/>
          <w:sz w:val="24"/>
          <w:szCs w:val="24"/>
        </w:rPr>
        <w:t xml:space="preserve">But Defendants have not identified any </w:t>
      </w:r>
      <w:proofErr w:type="gramStart"/>
      <w:r w:rsidRPr="00E41266">
        <w:rPr>
          <w:rFonts w:ascii="Times New Roman" w:eastAsia="Times New Roman" w:hAnsi="Times New Roman"/>
          <w:sz w:val="24"/>
          <w:szCs w:val="24"/>
        </w:rPr>
        <w:t>particular testimony</w:t>
      </w:r>
      <w:proofErr w:type="gramEnd"/>
      <w:r w:rsidRPr="00E41266">
        <w:rPr>
          <w:rFonts w:ascii="Times New Roman" w:eastAsia="Times New Roman" w:hAnsi="Times New Roman"/>
          <w:sz w:val="24"/>
          <w:szCs w:val="24"/>
        </w:rPr>
        <w:t xml:space="preserve"> given by Muhamed that they claim was exaggerated or outright false—other than his motives for testifying. Given that the jury did hear evidence regarding pretrial payments to Muhamed, even if some of the detail may have been omitted to inaccurate, and the speculative nature at least at the time of trial, of any post-trial request for payment to Muhamed, the Court cannot conclude that the additional information would have been material and not cumulative.</w:t>
      </w:r>
      <w:r>
        <w:t xml:space="preserve"> </w:t>
      </w:r>
      <w:hyperlink r:id="rId818" w:history="1">
        <w:r w:rsidRPr="002A3A0C">
          <w:rPr>
            <w:rStyle w:val="Hyperlink"/>
            <w:rFonts w:ascii="Times New Roman" w:eastAsia="Times New Roman" w:hAnsi="Times New Roman"/>
            <w:sz w:val="24"/>
            <w:szCs w:val="24"/>
          </w:rPr>
          <w:t>https://public.fastcase.com/Wl%2B2t%2BeVuI35%2FN70vAMFZt9ItawWnHyT6tQhkduyZ%2FXLPY%2FAAJ%2BlLBDJZfxklyiH</w:t>
        </w:r>
      </w:hyperlink>
      <w:r>
        <w:rPr>
          <w:rFonts w:ascii="Times New Roman" w:eastAsia="Times New Roman" w:hAnsi="Times New Roman"/>
          <w:sz w:val="24"/>
          <w:szCs w:val="24"/>
        </w:rPr>
        <w:t xml:space="preserve"> </w:t>
      </w:r>
    </w:p>
    <w:p w14:paraId="451BAF8D" w14:textId="77777777" w:rsidR="00CD5950" w:rsidRPr="00E73800" w:rsidRDefault="00CD5950" w:rsidP="00CD5950">
      <w:pPr>
        <w:spacing w:before="100" w:beforeAutospacing="1" w:after="100" w:afterAutospacing="1" w:line="240" w:lineRule="auto"/>
        <w:rPr>
          <w:rFonts w:ascii="Times New Roman" w:eastAsia="Times New Roman" w:hAnsi="Times New Roman"/>
          <w:b/>
          <w:bCs/>
          <w:sz w:val="24"/>
          <w:szCs w:val="24"/>
        </w:rPr>
      </w:pPr>
      <w:r w:rsidRPr="00E73800">
        <w:rPr>
          <w:rFonts w:ascii="Times New Roman" w:hAnsi="Times New Roman"/>
          <w:b/>
          <w:bCs/>
          <w:sz w:val="24"/>
          <w:szCs w:val="24"/>
        </w:rPr>
        <w:t>Legal Lesson Learned:</w:t>
      </w:r>
      <w:r>
        <w:rPr>
          <w:rFonts w:ascii="Times New Roman" w:hAnsi="Times New Roman"/>
          <w:b/>
          <w:bCs/>
          <w:sz w:val="24"/>
          <w:szCs w:val="24"/>
        </w:rPr>
        <w:t xml:space="preserve"> The Court’s decision gives great insight </w:t>
      </w:r>
      <w:proofErr w:type="gramStart"/>
      <w:r>
        <w:rPr>
          <w:rFonts w:ascii="Times New Roman" w:hAnsi="Times New Roman"/>
          <w:b/>
          <w:bCs/>
          <w:sz w:val="24"/>
          <w:szCs w:val="24"/>
        </w:rPr>
        <w:t>on</w:t>
      </w:r>
      <w:proofErr w:type="gramEnd"/>
      <w:r>
        <w:rPr>
          <w:rFonts w:ascii="Times New Roman" w:hAnsi="Times New Roman"/>
          <w:b/>
          <w:bCs/>
          <w:sz w:val="24"/>
          <w:szCs w:val="24"/>
        </w:rPr>
        <w:t xml:space="preserve"> how FBI conducted their two year </w:t>
      </w:r>
      <w:proofErr w:type="gramStart"/>
      <w:r>
        <w:rPr>
          <w:rFonts w:ascii="Times New Roman" w:hAnsi="Times New Roman"/>
          <w:b/>
          <w:bCs/>
          <w:sz w:val="24"/>
          <w:szCs w:val="24"/>
        </w:rPr>
        <w:t>investigation, and</w:t>
      </w:r>
      <w:proofErr w:type="gramEnd"/>
      <w:r>
        <w:rPr>
          <w:rFonts w:ascii="Times New Roman" w:hAnsi="Times New Roman"/>
          <w:b/>
          <w:bCs/>
          <w:sz w:val="24"/>
          <w:szCs w:val="24"/>
        </w:rPr>
        <w:t xml:space="preserve"> used a confidential human source.</w:t>
      </w:r>
    </w:p>
    <w:p w14:paraId="522A9EEB" w14:textId="77777777" w:rsidR="00CD5950" w:rsidRPr="00771E4E" w:rsidRDefault="00CD5950" w:rsidP="00CD5950">
      <w:pPr>
        <w:spacing w:before="100" w:beforeAutospacing="1" w:after="100" w:afterAutospacing="1" w:line="240" w:lineRule="auto"/>
        <w:ind w:left="720"/>
        <w:rPr>
          <w:rFonts w:ascii="Times New Roman" w:hAnsi="Times New Roman"/>
          <w:sz w:val="24"/>
          <w:szCs w:val="24"/>
        </w:rPr>
      </w:pPr>
      <w:r w:rsidRPr="00771E4E">
        <w:rPr>
          <w:rFonts w:ascii="Times New Roman" w:hAnsi="Times New Roman"/>
          <w:sz w:val="24"/>
          <w:szCs w:val="24"/>
        </w:rPr>
        <w:t xml:space="preserve">Note: See </w:t>
      </w:r>
      <w:proofErr w:type="spellStart"/>
      <w:r w:rsidRPr="00771E4E">
        <w:rPr>
          <w:rFonts w:ascii="Times New Roman" w:hAnsi="Times New Roman"/>
          <w:sz w:val="24"/>
          <w:szCs w:val="24"/>
        </w:rPr>
        <w:t>DoJ</w:t>
      </w:r>
      <w:proofErr w:type="spellEnd"/>
      <w:r w:rsidRPr="00771E4E">
        <w:rPr>
          <w:rFonts w:ascii="Times New Roman" w:hAnsi="Times New Roman"/>
          <w:sz w:val="24"/>
          <w:szCs w:val="24"/>
        </w:rPr>
        <w:t xml:space="preserve"> Press Release after jury conviction (June 21, 2019): “Two Suburban Chicago Men Convicted of Conspiring to Provide Material Support to ISIS.” </w:t>
      </w:r>
      <w:hyperlink r:id="rId819" w:history="1">
        <w:r w:rsidRPr="00771E4E">
          <w:rPr>
            <w:rStyle w:val="Hyperlink"/>
            <w:rFonts w:ascii="Times New Roman" w:hAnsi="Times New Roman"/>
            <w:sz w:val="24"/>
            <w:szCs w:val="24"/>
          </w:rPr>
          <w:t>https://www.justice.gov/opa/pr/two-suburban-chicago-men-convicted-conspiring-provide-material-support-isis</w:t>
        </w:r>
      </w:hyperlink>
      <w:r w:rsidRPr="00771E4E">
        <w:rPr>
          <w:rFonts w:ascii="Times New Roman" w:hAnsi="Times New Roman"/>
          <w:sz w:val="24"/>
          <w:szCs w:val="24"/>
        </w:rPr>
        <w:t xml:space="preserve"> </w:t>
      </w:r>
    </w:p>
    <w:p w14:paraId="3B968CFD" w14:textId="19ABA034" w:rsidR="00CD5950" w:rsidRDefault="00CD5950" w:rsidP="00F326E5">
      <w:pPr>
        <w:pStyle w:val="NoSpacing"/>
        <w:rPr>
          <w:rFonts w:ascii="Arial Black" w:hAnsi="Arial Black"/>
          <w:sz w:val="28"/>
          <w:szCs w:val="28"/>
        </w:rPr>
      </w:pPr>
    </w:p>
    <w:p w14:paraId="682D99A5" w14:textId="77777777" w:rsidR="00CD5950" w:rsidRDefault="00CD5950" w:rsidP="00F326E5">
      <w:pPr>
        <w:pStyle w:val="NoSpacing"/>
        <w:rPr>
          <w:rFonts w:ascii="Arial Black" w:hAnsi="Arial Black"/>
          <w:sz w:val="28"/>
          <w:szCs w:val="28"/>
        </w:rPr>
      </w:pPr>
    </w:p>
    <w:p w14:paraId="79A458B3" w14:textId="269C570A" w:rsidR="005E132A" w:rsidRDefault="005E132A" w:rsidP="00F326E5">
      <w:pPr>
        <w:pStyle w:val="NoSpacing"/>
        <w:rPr>
          <w:rFonts w:ascii="Arial Black" w:hAnsi="Arial Black"/>
          <w:sz w:val="28"/>
          <w:szCs w:val="28"/>
        </w:rPr>
      </w:pPr>
      <w:r>
        <w:rPr>
          <w:rFonts w:ascii="Arial Black" w:hAnsi="Arial Black"/>
          <w:sz w:val="28"/>
          <w:szCs w:val="28"/>
        </w:rPr>
        <w:t>3-29</w:t>
      </w:r>
    </w:p>
    <w:p w14:paraId="6B1DEB7C" w14:textId="77777777" w:rsidR="005E132A" w:rsidRDefault="005E132A" w:rsidP="005E13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FEDERAL GRANT RECEPIENTS – SOME CHINESE TELECOMMUNICATION EQUIPMENT PROHIBITED</w:t>
      </w:r>
    </w:p>
    <w:p w14:paraId="75DFD753" w14:textId="7CF58C14"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Jan. 2021 Newsletter:  On Aug. 13, 2020, the Office of Management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Budget issued its Guidance for Grants and Agreements, </w:t>
      </w:r>
      <w:proofErr w:type="gramStart"/>
      <w:r>
        <w:rPr>
          <w:rFonts w:ascii="Times New Roman" w:hAnsi="Times New Roman" w:cs="Times New Roman"/>
          <w:sz w:val="24"/>
          <w:szCs w:val="24"/>
        </w:rPr>
        <w:t>implement</w:t>
      </w:r>
      <w:proofErr w:type="gramEnd"/>
      <w:r>
        <w:rPr>
          <w:rFonts w:ascii="Times New Roman" w:hAnsi="Times New Roman" w:cs="Times New Roman"/>
          <w:sz w:val="24"/>
          <w:szCs w:val="24"/>
        </w:rPr>
        <w:t xml:space="preserve"> new Federal Acquisition Regulations (FAR). </w:t>
      </w:r>
      <w:hyperlink r:id="rId820" w:history="1">
        <w:r>
          <w:rPr>
            <w:rStyle w:val="Hyperlink"/>
          </w:rPr>
          <w:t>https://www.govinfo.gov/content/pkg/FR-2020-08-13/pdf/2020-17468.pd</w:t>
        </w:r>
      </w:hyperlink>
      <w:r>
        <w:rPr>
          <w:rFonts w:ascii="Times New Roman" w:hAnsi="Times New Roman" w:cs="Times New Roman"/>
          <w:sz w:val="24"/>
          <w:szCs w:val="24"/>
        </w:rPr>
        <w:t xml:space="preserve"> Federal grant recipients, including Fire &amp; EMS Departments, need to follow these new Federal Acquisition Regulations.   </w:t>
      </w:r>
    </w:p>
    <w:p w14:paraId="27547EEB" w14:textId="77777777"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For example, a </w:t>
      </w:r>
      <w:proofErr w:type="gramStart"/>
      <w:r>
        <w:rPr>
          <w:rFonts w:ascii="Times New Roman" w:hAnsi="Times New Roman" w:cs="Times New Roman"/>
          <w:sz w:val="24"/>
          <w:szCs w:val="24"/>
        </w:rPr>
        <w:t>University</w:t>
      </w:r>
      <w:proofErr w:type="gramEnd"/>
      <w:r>
        <w:rPr>
          <w:rFonts w:ascii="Times New Roman" w:hAnsi="Times New Roman" w:cs="Times New Roman"/>
          <w:sz w:val="24"/>
          <w:szCs w:val="24"/>
        </w:rPr>
        <w:t xml:space="preserve"> recently sent out this notice:    </w:t>
      </w:r>
    </w:p>
    <w:p w14:paraId="6F95C945" w14:textId="77777777" w:rsidR="005E132A" w:rsidRDefault="005E132A" w:rsidP="005E132A">
      <w:pPr>
        <w:pStyle w:val="xxxxmsonormal"/>
        <w:ind w:firstLine="360"/>
        <w:rPr>
          <w:rFonts w:ascii="Times New Roman" w:hAnsi="Times New Roman" w:cs="Times New Roman"/>
          <w:sz w:val="24"/>
          <w:szCs w:val="24"/>
        </w:rPr>
      </w:pPr>
      <w:r>
        <w:rPr>
          <w:rFonts w:ascii="Times New Roman" w:hAnsi="Times New Roman" w:cs="Times New Roman"/>
          <w:sz w:val="24"/>
          <w:szCs w:val="24"/>
        </w:rPr>
        <w:t>Re:  Prohibited Equipment</w:t>
      </w:r>
    </w:p>
    <w:p w14:paraId="60575C58" w14:textId="77777777" w:rsidR="005E132A" w:rsidRDefault="005E132A" w:rsidP="005E132A">
      <w:pPr>
        <w:pStyle w:val="xxxxxmsonormal"/>
        <w:ind w:left="360"/>
        <w:rPr>
          <w:rFonts w:ascii="Times New Roman" w:hAnsi="Times New Roman" w:cs="Times New Roman"/>
          <w:sz w:val="24"/>
          <w:szCs w:val="24"/>
        </w:rPr>
      </w:pPr>
      <w:hyperlink r:id="rId821" w:history="1">
        <w:r w:rsidRPr="006B1421">
          <w:rPr>
            <w:rStyle w:val="Hyperlink"/>
            <w:rFonts w:ascii="Times New Roman" w:hAnsi="Times New Roman" w:cs="Times New Roman"/>
            <w:sz w:val="24"/>
            <w:szCs w:val="24"/>
          </w:rPr>
          <w:t>Federal law</w:t>
        </w:r>
      </w:hyperlink>
      <w:r w:rsidRPr="006B1421">
        <w:rPr>
          <w:rFonts w:ascii="Times New Roman" w:hAnsi="Times New Roman" w:cs="Times New Roman"/>
          <w:sz w:val="24"/>
          <w:szCs w:val="24"/>
        </w:rPr>
        <w:t xml:space="preserve"> * n</w:t>
      </w:r>
      <w:r>
        <w:rPr>
          <w:rFonts w:ascii="Times New Roman" w:hAnsi="Times New Roman" w:cs="Times New Roman"/>
          <w:sz w:val="24"/>
          <w:szCs w:val="24"/>
        </w:rPr>
        <w:t>ow prohibits [University] from purchasing, using or supporting certain telecommunications and video surveillance services or equipment as a condition of receiving federal funds.  Specifically, [University] cannot purchase or use such services or equipment from the following companies (or their associated subsidiaries and affiliates:</w:t>
      </w:r>
    </w:p>
    <w:p w14:paraId="127E749D"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Huawei Technologies Company</w:t>
      </w:r>
    </w:p>
    <w:p w14:paraId="184C59F1"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ZTE Corporation</w:t>
      </w:r>
    </w:p>
    <w:p w14:paraId="44234127"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Hytera Communications Corporation for security or public safety</w:t>
      </w:r>
    </w:p>
    <w:p w14:paraId="17873D67"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Hangzhou </w:t>
      </w:r>
      <w:proofErr w:type="spellStart"/>
      <w:r>
        <w:rPr>
          <w:rFonts w:ascii="Times New Roman" w:eastAsia="Times New Roman" w:hAnsi="Times New Roman" w:cs="Times New Roman"/>
          <w:sz w:val="24"/>
          <w:szCs w:val="24"/>
        </w:rPr>
        <w:t>Hikivision</w:t>
      </w:r>
      <w:proofErr w:type="spellEnd"/>
      <w:r>
        <w:rPr>
          <w:rFonts w:ascii="Times New Roman" w:eastAsia="Times New Roman" w:hAnsi="Times New Roman" w:cs="Times New Roman"/>
          <w:sz w:val="24"/>
          <w:szCs w:val="24"/>
        </w:rPr>
        <w:t xml:space="preserve"> Digital Technology Company for security or public safety</w:t>
      </w:r>
    </w:p>
    <w:p w14:paraId="3A4B4FCA"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Dahua Technology Company for security or public safety</w:t>
      </w:r>
    </w:p>
    <w:p w14:paraId="7640DB23" w14:textId="77777777" w:rsidR="005E132A" w:rsidRDefault="005E132A" w:rsidP="005E132A">
      <w:pPr>
        <w:pStyle w:val="xxxxmsonormal"/>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w:t>
      </w:r>
    </w:p>
    <w:p w14:paraId="3123B6FE" w14:textId="77777777" w:rsidR="005E132A" w:rsidRDefault="005E132A" w:rsidP="005E132A">
      <w:pPr>
        <w:pStyle w:val="xxxxmsonormal"/>
        <w:spacing w:before="0" w:beforeAutospacing="0" w:after="0" w:afterAutospacing="0"/>
        <w:ind w:left="360"/>
        <w:rPr>
          <w:rFonts w:ascii="Times New Roman" w:hAnsi="Times New Roman" w:cs="Times New Roman"/>
          <w:sz w:val="24"/>
          <w:szCs w:val="24"/>
        </w:rPr>
      </w:pPr>
      <w:r>
        <w:rPr>
          <w:rFonts w:ascii="Times New Roman" w:hAnsi="Times New Roman" w:cs="Times New Roman"/>
          <w:sz w:val="24"/>
          <w:szCs w:val="24"/>
        </w:rPr>
        <w:t>Further, these technologies may not be connected to [University] network.  If you have personally purchased goods or services from these vendors, you may not use them to do [university] business, regardless of your location, including internationally. You should cease use of these services or equipment immediately.</w:t>
      </w:r>
    </w:p>
    <w:p w14:paraId="422FE9B1" w14:textId="77777777" w:rsidR="005E132A" w:rsidRDefault="005E132A" w:rsidP="005E132A">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w:t>
      </w:r>
      <w:hyperlink r:id="rId822" w:history="1">
        <w:r w:rsidRPr="006B1421">
          <w:rPr>
            <w:rStyle w:val="Hyperlink"/>
            <w:rFonts w:ascii="Times New Roman" w:hAnsi="Times New Roman"/>
            <w:sz w:val="24"/>
            <w:szCs w:val="24"/>
          </w:rPr>
          <w:t>https://www.govinfo.gov/content/pkg/FR-2020-08-13/pdf/2020-17468.pdf</w:t>
        </w:r>
      </w:hyperlink>
      <w:r>
        <w:rPr>
          <w:rFonts w:ascii="Times New Roman" w:eastAsia="Times New Roman" w:hAnsi="Times New Roman"/>
          <w:b/>
          <w:bCs/>
          <w:sz w:val="24"/>
          <w:szCs w:val="24"/>
        </w:rPr>
        <w:t xml:space="preserve"> </w:t>
      </w:r>
    </w:p>
    <w:p w14:paraId="432506B7" w14:textId="77777777"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On Aug. 13, 2018, Congress passed the John S. McCain National Defense Authorization Act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Fiscal 2019, </w:t>
      </w:r>
      <w:hyperlink r:id="rId823" w:history="1">
        <w:r w:rsidRPr="006B1421">
          <w:rPr>
            <w:rStyle w:val="Hyperlink"/>
            <w:rFonts w:ascii="Times New Roman" w:hAnsi="Times New Roman" w:cs="Times New Roman"/>
            <w:sz w:val="24"/>
            <w:szCs w:val="24"/>
          </w:rPr>
          <w:t>https://www.congress.gov/115/plaws/publ232/PLAW-115publ232.pdf</w:t>
        </w:r>
      </w:hyperlink>
      <w:r w:rsidRPr="006B1421">
        <w:rPr>
          <w:rFonts w:ascii="Times New Roman" w:hAnsi="Times New Roman" w:cs="Times New Roman"/>
          <w:sz w:val="24"/>
          <w:szCs w:val="24"/>
        </w:rPr>
        <w:t xml:space="preserve">.  </w:t>
      </w:r>
    </w:p>
    <w:p w14:paraId="7E7F6508" w14:textId="77777777" w:rsidR="005E132A" w:rsidRDefault="005E132A" w:rsidP="005E132A">
      <w:pPr>
        <w:pStyle w:val="xxxxmsonormal"/>
        <w:rPr>
          <w:rFonts w:ascii="Times New Roman" w:hAnsi="Times New Roman" w:cs="Times New Roman"/>
          <w:b/>
          <w:bCs/>
          <w:sz w:val="24"/>
          <w:szCs w:val="24"/>
        </w:rPr>
      </w:pPr>
      <w:r w:rsidRPr="006B1421">
        <w:rPr>
          <w:rFonts w:ascii="Times New Roman" w:hAnsi="Times New Roman" w:cs="Times New Roman"/>
          <w:sz w:val="24"/>
          <w:szCs w:val="24"/>
        </w:rPr>
        <w:t>Section 889</w:t>
      </w:r>
      <w:r>
        <w:rPr>
          <w:rFonts w:ascii="Times New Roman" w:hAnsi="Times New Roman" w:cs="Times New Roman"/>
          <w:sz w:val="24"/>
          <w:szCs w:val="24"/>
        </w:rPr>
        <w:t xml:space="preserve">: </w:t>
      </w:r>
      <w:r>
        <w:rPr>
          <w:rFonts w:ascii="Times New Roman" w:hAnsi="Times New Roman" w:cs="Times New Roman"/>
          <w:b/>
          <w:bCs/>
          <w:sz w:val="24"/>
          <w:szCs w:val="24"/>
        </w:rPr>
        <w:t xml:space="preserve">PROHIBITION ON CERTAIN TELECOMMUNICATIONS AND VIDEO SURVEILLANCE SERVICES OR EQUIPMENT.  </w:t>
      </w:r>
      <w:r>
        <w:rPr>
          <w:rFonts w:ascii="Times New Roman" w:hAnsi="Times New Roman" w:cs="Times New Roman"/>
          <w:sz w:val="24"/>
          <w:szCs w:val="24"/>
        </w:rPr>
        <w:t>The statute includes following:</w:t>
      </w:r>
    </w:p>
    <w:p w14:paraId="7853D9D7" w14:textId="77777777" w:rsidR="005E132A" w:rsidRDefault="005E132A" w:rsidP="005E132A">
      <w:pPr>
        <w:pStyle w:val="xxxxmsonormal"/>
        <w:ind w:left="720"/>
        <w:rPr>
          <w:rFonts w:ascii="Times New Roman" w:hAnsi="Times New Roman" w:cs="Times New Roman"/>
          <w:sz w:val="24"/>
          <w:szCs w:val="24"/>
        </w:rPr>
      </w:pPr>
      <w:r>
        <w:rPr>
          <w:rFonts w:ascii="Times New Roman" w:hAnsi="Times New Roman" w:cs="Times New Roman"/>
          <w:sz w:val="24"/>
          <w:szCs w:val="24"/>
        </w:rPr>
        <w:t>(b) PROHIBITION ONLOAN AND GRANT FUNDS. — (1) The head of an executive agency may not obligate or expend loan or grant funds to procure or obtain, extend or renew a contract to procure or obtain, or enter into a contract (or extend or renew a contract) to procure or obtain the equipment, services, or systems described in subsection (a).</w:t>
      </w:r>
    </w:p>
    <w:p w14:paraId="43D909B6" w14:textId="77777777" w:rsidR="005E132A" w:rsidRDefault="005E132A" w:rsidP="005E132A">
      <w:pPr>
        <w:pStyle w:val="xxxxmsonormal"/>
        <w:ind w:firstLine="720"/>
        <w:rPr>
          <w:rFonts w:ascii="Times New Roman" w:hAnsi="Times New Roman" w:cs="Times New Roman"/>
          <w:b/>
          <w:bCs/>
          <w:sz w:val="24"/>
          <w:szCs w:val="24"/>
        </w:rPr>
      </w:pPr>
      <w:r>
        <w:rPr>
          <w:rFonts w:ascii="Times New Roman" w:hAnsi="Times New Roman" w:cs="Times New Roman"/>
          <w:sz w:val="24"/>
          <w:szCs w:val="24"/>
        </w:rPr>
        <w:t xml:space="preserve">*** </w:t>
      </w:r>
    </w:p>
    <w:p w14:paraId="785667A7" w14:textId="77777777" w:rsidR="005E132A" w:rsidRDefault="005E132A" w:rsidP="005E132A">
      <w:pPr>
        <w:pStyle w:val="xxxxmsonormal"/>
        <w:ind w:firstLine="720"/>
        <w:rPr>
          <w:rFonts w:ascii="Times New Roman" w:hAnsi="Times New Roman" w:cs="Times New Roman"/>
          <w:sz w:val="24"/>
          <w:szCs w:val="24"/>
        </w:rPr>
      </w:pPr>
      <w:r>
        <w:rPr>
          <w:rFonts w:ascii="Times New Roman" w:hAnsi="Times New Roman" w:cs="Times New Roman"/>
          <w:sz w:val="24"/>
          <w:szCs w:val="24"/>
        </w:rPr>
        <w:t xml:space="preserve">(3) COVERED TELECOMMUNICATIONS EQUIPMENT OR SERVICES </w:t>
      </w:r>
    </w:p>
    <w:p w14:paraId="25D35806" w14:textId="77777777" w:rsidR="005E132A" w:rsidRDefault="005E132A" w:rsidP="005E132A">
      <w:pPr>
        <w:pStyle w:val="xxxxmsonormal"/>
        <w:ind w:left="720"/>
        <w:rPr>
          <w:rFonts w:ascii="Times New Roman" w:hAnsi="Times New Roman" w:cs="Times New Roman"/>
          <w:sz w:val="24"/>
          <w:szCs w:val="24"/>
        </w:rPr>
      </w:pPr>
      <w:r>
        <w:rPr>
          <w:rFonts w:ascii="Times New Roman" w:hAnsi="Times New Roman" w:cs="Times New Roman"/>
          <w:sz w:val="24"/>
          <w:szCs w:val="24"/>
        </w:rPr>
        <w:t>“The term ‘’covered telecommunications equipment or services’’ means any of the following: (A) Telecommunications equipment produced by Huawei Technologies Company or ZTE Corporation (or any subsidiary or affiliate of such entities). (B)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(C) Telecommunications or video surveillance services provided by such entities or using such equipment. (D) 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37E49674" w14:textId="77777777" w:rsidR="005E132A" w:rsidRDefault="005E132A" w:rsidP="005E132A">
      <w:pPr>
        <w:pStyle w:val="xxxxmsonormal"/>
        <w:tabs>
          <w:tab w:val="left" w:pos="2800"/>
        </w:tabs>
        <w:rPr>
          <w:rFonts w:ascii="Times New Roman" w:hAnsi="Times New Roman" w:cs="Times New Roman"/>
          <w:b/>
          <w:bCs/>
          <w:sz w:val="24"/>
          <w:szCs w:val="24"/>
        </w:rPr>
      </w:pPr>
      <w:r>
        <w:rPr>
          <w:rFonts w:ascii="Times New Roman" w:hAnsi="Times New Roman" w:cs="Times New Roman"/>
          <w:b/>
          <w:bCs/>
          <w:sz w:val="24"/>
          <w:szCs w:val="24"/>
        </w:rPr>
        <w:t xml:space="preserve">Legal Lesson Learned: Fire &amp; EMS Department who receive federal grant recipients need to follow these new regulations.  </w:t>
      </w:r>
    </w:p>
    <w:p w14:paraId="576CA36D" w14:textId="77777777" w:rsidR="005E132A" w:rsidRDefault="005E132A" w:rsidP="005E132A">
      <w:pPr>
        <w:pStyle w:val="Heading1"/>
        <w:ind w:left="720"/>
      </w:pPr>
      <w:r>
        <w:rPr>
          <w:b w:val="0"/>
          <w:bCs w:val="0"/>
          <w:sz w:val="24"/>
          <w:szCs w:val="24"/>
        </w:rPr>
        <w:t xml:space="preserve">Note: See this Aug. 13, </w:t>
      </w:r>
      <w:proofErr w:type="gramStart"/>
      <w:r>
        <w:rPr>
          <w:b w:val="0"/>
          <w:bCs w:val="0"/>
          <w:sz w:val="24"/>
          <w:szCs w:val="24"/>
        </w:rPr>
        <w:t>2020</w:t>
      </w:r>
      <w:proofErr w:type="gramEnd"/>
      <w:r>
        <w:rPr>
          <w:b w:val="0"/>
          <w:bCs w:val="0"/>
          <w:sz w:val="24"/>
          <w:szCs w:val="24"/>
        </w:rPr>
        <w:t xml:space="preserve"> article, “Here’s What NDAA Section 889 Really Means for Federal Grants.” </w:t>
      </w:r>
      <w:hyperlink r:id="rId824" w:history="1">
        <w:r w:rsidRPr="00437CD5">
          <w:rPr>
            <w:rStyle w:val="Hyperlink"/>
            <w:b w:val="0"/>
            <w:bCs w:val="0"/>
            <w:sz w:val="24"/>
            <w:szCs w:val="24"/>
          </w:rPr>
          <w:t>https://www.securityindustry.org/2020/08/13/heres-what-ndaa-section-889-really-means-for-federal-grants/</w:t>
        </w:r>
      </w:hyperlink>
      <w:r w:rsidRPr="00437CD5">
        <w:rPr>
          <w:b w:val="0"/>
          <w:bCs w:val="0"/>
          <w:sz w:val="24"/>
          <w:szCs w:val="24"/>
        </w:rPr>
        <w:t xml:space="preserve"> </w:t>
      </w:r>
      <w:r>
        <w:t xml:space="preserve"> </w:t>
      </w:r>
    </w:p>
    <w:p w14:paraId="25167F49" w14:textId="77777777" w:rsidR="005E132A" w:rsidRDefault="005E132A" w:rsidP="00F326E5">
      <w:pPr>
        <w:pStyle w:val="NoSpacing"/>
        <w:rPr>
          <w:rFonts w:ascii="Arial Black" w:hAnsi="Arial Black"/>
          <w:sz w:val="28"/>
          <w:szCs w:val="28"/>
        </w:rPr>
      </w:pPr>
    </w:p>
    <w:p w14:paraId="5E5105AA" w14:textId="307E6E5D" w:rsidR="005E132A" w:rsidRDefault="005E132A" w:rsidP="00F326E5">
      <w:pPr>
        <w:pStyle w:val="NoSpacing"/>
        <w:rPr>
          <w:rFonts w:ascii="Arial Black" w:hAnsi="Arial Black"/>
          <w:sz w:val="28"/>
          <w:szCs w:val="28"/>
        </w:rPr>
      </w:pPr>
      <w:r>
        <w:rPr>
          <w:rFonts w:ascii="Arial Black" w:hAnsi="Arial Black"/>
          <w:sz w:val="28"/>
          <w:szCs w:val="28"/>
        </w:rPr>
        <w:t>3-28</w:t>
      </w:r>
    </w:p>
    <w:p w14:paraId="7D5CA612" w14:textId="665BFAE5" w:rsidR="005E132A" w:rsidRDefault="005E132A" w:rsidP="00F326E5">
      <w:pPr>
        <w:pStyle w:val="NoSpacing"/>
        <w:rPr>
          <w:rFonts w:ascii="Arial Black" w:hAnsi="Arial Black"/>
          <w:sz w:val="28"/>
          <w:szCs w:val="28"/>
        </w:rPr>
      </w:pPr>
    </w:p>
    <w:p w14:paraId="0D07CF05" w14:textId="77777777" w:rsidR="005E132A" w:rsidRDefault="005E132A" w:rsidP="005E132A">
      <w:pPr>
        <w:rPr>
          <w:rFonts w:ascii="Arial Black" w:hAnsi="Arial Black" w:cstheme="minorBidi"/>
          <w:sz w:val="28"/>
          <w:szCs w:val="28"/>
        </w:rPr>
      </w:pPr>
      <w:r>
        <w:rPr>
          <w:rFonts w:ascii="Arial Black" w:hAnsi="Arial Black"/>
          <w:sz w:val="28"/>
          <w:szCs w:val="28"/>
        </w:rPr>
        <w:t>FL: INDICTMENT NOT DISMISSED - 23-YR OLD AMERICAN – WEAPONS, DRONE, CASING FBI OFFICE - “I WANT TO JOIN ISIS”</w:t>
      </w:r>
    </w:p>
    <w:p w14:paraId="7F9D9E7F" w14:textId="77777777" w:rsidR="005E132A" w:rsidRDefault="005E132A" w:rsidP="005E132A">
      <w:pPr>
        <w:rPr>
          <w:rFonts w:ascii="Times New Roman" w:hAnsi="Times New Roman"/>
          <w:sz w:val="24"/>
          <w:szCs w:val="24"/>
        </w:rPr>
      </w:pPr>
      <w:r>
        <w:rPr>
          <w:rFonts w:ascii="Times New Roman" w:hAnsi="Times New Roman"/>
          <w:sz w:val="24"/>
          <w:szCs w:val="24"/>
        </w:rPr>
        <w:t xml:space="preserve">On Dec. 15, 2020, in </w:t>
      </w:r>
      <w:r>
        <w:rPr>
          <w:rFonts w:ascii="Times New Roman" w:hAnsi="Times New Roman"/>
          <w:sz w:val="24"/>
          <w:szCs w:val="24"/>
          <w:u w:val="single"/>
        </w:rPr>
        <w:t>United States of America v. Muhammed Momtaz Al-Azhari</w:t>
      </w:r>
      <w:r>
        <w:rPr>
          <w:rFonts w:ascii="Times New Roman" w:hAnsi="Times New Roman"/>
          <w:sz w:val="24"/>
          <w:szCs w:val="24"/>
        </w:rPr>
        <w:t xml:space="preserve">, U.S. District Court Judge Tom Barber, U.S. District Court, Middle District of Florida (Tampa Division), denied defense motion to dismiss the indictment.  The indictment adequately charged that he was attempting to provide support to Foreign Terrorist Organization </w:t>
      </w:r>
    </w:p>
    <w:p w14:paraId="5CD66A5E"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“In his motion to dismiss the indictment, Defendant argues that Count One fails to state an offense because it does not allege that Defendant attempted to place himself under the FTO's direction and control, which he contends is an essential fact required by 18 U.S.C. § 2339B(h).</w:t>
      </w:r>
    </w:p>
    <w:p w14:paraId="28BB7848"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B023DB8" w14:textId="77777777" w:rsidR="005E132A" w:rsidRDefault="005E132A" w:rsidP="005E132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 xml:space="preserve">At least three district courts have considered this issue and have ruled that § 2339B(h) is a definition that is not required to be pled in the indictment. </w:t>
      </w:r>
      <w:r>
        <w:rPr>
          <w:rFonts w:ascii="Times New Roman" w:hAnsi="Times New Roman"/>
          <w:i/>
          <w:iCs/>
          <w:sz w:val="24"/>
          <w:szCs w:val="24"/>
        </w:rPr>
        <w:t>See United States v</w:t>
      </w:r>
      <w:r>
        <w:rPr>
          <w:rFonts w:ascii="Times New Roman" w:hAnsi="Times New Roman"/>
          <w:sz w:val="24"/>
          <w:szCs w:val="24"/>
        </w:rPr>
        <w:t xml:space="preserve">. </w:t>
      </w:r>
      <w:r>
        <w:rPr>
          <w:rFonts w:ascii="Times New Roman" w:hAnsi="Times New Roman"/>
          <w:i/>
          <w:iCs/>
          <w:sz w:val="24"/>
          <w:szCs w:val="24"/>
        </w:rPr>
        <w:t>Ludke</w:t>
      </w:r>
      <w:r>
        <w:rPr>
          <w:rFonts w:ascii="Times New Roman" w:hAnsi="Times New Roman"/>
          <w:sz w:val="24"/>
          <w:szCs w:val="24"/>
        </w:rPr>
        <w:t xml:space="preserve">, No. 16-CR-175, 2018 WL 2059556, at *2 (E.D. Wis. May 2, 2018); </w:t>
      </w:r>
      <w:r>
        <w:rPr>
          <w:rFonts w:ascii="Times New Roman" w:hAnsi="Times New Roman"/>
          <w:i/>
          <w:iCs/>
          <w:sz w:val="24"/>
          <w:szCs w:val="24"/>
        </w:rPr>
        <w:t>United States v</w:t>
      </w:r>
      <w:r>
        <w:rPr>
          <w:rFonts w:ascii="Times New Roman" w:hAnsi="Times New Roman"/>
          <w:sz w:val="24"/>
          <w:szCs w:val="24"/>
        </w:rPr>
        <w:t xml:space="preserve">. </w:t>
      </w:r>
      <w:r>
        <w:rPr>
          <w:rFonts w:ascii="Times New Roman" w:hAnsi="Times New Roman"/>
          <w:i/>
          <w:iCs/>
          <w:sz w:val="24"/>
          <w:szCs w:val="24"/>
        </w:rPr>
        <w:t>Shafi</w:t>
      </w:r>
      <w:r>
        <w:rPr>
          <w:rFonts w:ascii="Times New Roman" w:hAnsi="Times New Roman"/>
          <w:sz w:val="24"/>
          <w:szCs w:val="24"/>
        </w:rPr>
        <w:t xml:space="preserve">, 252 F. Supp. 3d 787, 795 (N.D. Cal. 2017); </w:t>
      </w:r>
      <w:r>
        <w:rPr>
          <w:rFonts w:ascii="Times New Roman" w:hAnsi="Times New Roman"/>
          <w:i/>
          <w:iCs/>
          <w:sz w:val="24"/>
          <w:szCs w:val="24"/>
        </w:rPr>
        <w:t>United States v</w:t>
      </w:r>
      <w:r>
        <w:rPr>
          <w:rFonts w:ascii="Times New Roman" w:hAnsi="Times New Roman"/>
          <w:sz w:val="24"/>
          <w:szCs w:val="24"/>
        </w:rPr>
        <w:t xml:space="preserve">. </w:t>
      </w:r>
      <w:r>
        <w:rPr>
          <w:rFonts w:ascii="Times New Roman" w:hAnsi="Times New Roman"/>
          <w:i/>
          <w:iCs/>
          <w:sz w:val="24"/>
          <w:szCs w:val="24"/>
        </w:rPr>
        <w:t>Pugh</w:t>
      </w:r>
      <w:r>
        <w:rPr>
          <w:rFonts w:ascii="Times New Roman" w:hAnsi="Times New Roman"/>
          <w:sz w:val="24"/>
          <w:szCs w:val="24"/>
        </w:rPr>
        <w:t xml:space="preserve">, No. 15-CR-116 (NGG), 2015 WL 9450598, at *8 (E.D.N.Y. Dec. 21, 2015). Another district court ruled that it is an affirmative defense, which does not need to be pled. </w:t>
      </w:r>
      <w:r>
        <w:rPr>
          <w:rFonts w:ascii="Times New Roman" w:hAnsi="Times New Roman"/>
          <w:i/>
          <w:iCs/>
          <w:sz w:val="24"/>
          <w:szCs w:val="24"/>
        </w:rPr>
        <w:t>See United States v</w:t>
      </w:r>
      <w:r>
        <w:rPr>
          <w:rFonts w:ascii="Times New Roman" w:hAnsi="Times New Roman"/>
          <w:sz w:val="24"/>
          <w:szCs w:val="24"/>
        </w:rPr>
        <w:t xml:space="preserve">. </w:t>
      </w:r>
      <w:r>
        <w:rPr>
          <w:rFonts w:ascii="Times New Roman" w:hAnsi="Times New Roman"/>
          <w:i/>
          <w:iCs/>
          <w:sz w:val="24"/>
          <w:szCs w:val="24"/>
        </w:rPr>
        <w:t>Ahmed</w:t>
      </w:r>
      <w:r>
        <w:rPr>
          <w:rFonts w:ascii="Times New Roman" w:hAnsi="Times New Roman"/>
          <w:sz w:val="24"/>
          <w:szCs w:val="24"/>
        </w:rPr>
        <w:t xml:space="preserve">, No. 15-49 (MJD/FLN), 2015 U.S. Dist. LEXIS 171561 (D. Minn. Sept. 1, 2015). The Court is unaware of any binding or persuasive authority that would require the Government to plead § 2339B(h) as an element of the offense. As such, the motion to dismiss is denied as to this ground.” </w:t>
      </w:r>
      <w:hyperlink r:id="rId825" w:history="1">
        <w:r>
          <w:rPr>
            <w:rStyle w:val="Hyperlink"/>
          </w:rPr>
          <w:t>https://casetext.com/case/united-states-v-al-azhari-2</w:t>
        </w:r>
      </w:hyperlink>
      <w:r>
        <w:rPr>
          <w:rFonts w:ascii="Times New Roman" w:hAnsi="Times New Roman"/>
          <w:sz w:val="24"/>
          <w:szCs w:val="24"/>
        </w:rPr>
        <w:t xml:space="preserve"> </w:t>
      </w:r>
    </w:p>
    <w:p w14:paraId="12194BBB" w14:textId="77777777" w:rsidR="005E132A" w:rsidRDefault="005E132A" w:rsidP="005E132A">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Lone-wolf terrorists may be indicted for attempting to provide material support to ISIS.</w:t>
      </w:r>
    </w:p>
    <w:p w14:paraId="6F7AF124"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Note: See May 27, 2020, U.S. Department of Justice Press Release on defendant’s arrest. “</w:t>
      </w:r>
      <w:r>
        <w:rPr>
          <w:rFonts w:ascii="Times New Roman" w:eastAsia="Times New Roman" w:hAnsi="Times New Roman"/>
          <w:sz w:val="24"/>
          <w:szCs w:val="24"/>
        </w:rPr>
        <w:t xml:space="preserve">Al-Azhari, who has a criminal history that includes prior terrorism charges in Saudi Arabia, attempted to purchase multiple firearms over the course of the investigation, before acquiring a Glock pistol and a silencer.  He also expressed admiration for Pulse nightclub shooter Omar Mateen and spoke of his desire to carry out a similar mass casualty shooting.  Additionally, Al-Azhari researched and scouted potential targets in the Tampa area, including Honeymoon Island.  He also rehearsed portions of an attack and the statements that he would make during or in connection with such an attack. FBI agents arrested Al-Azhari on May 24, 2020, after he took possession of weapons to be used in an attack.”  </w:t>
      </w:r>
      <w:hyperlink r:id="rId826" w:history="1">
        <w:r>
          <w:rPr>
            <w:rStyle w:val="Hyperlink"/>
          </w:rPr>
          <w:t>https://www.justice.gov/opa/pr/tampa-man-charged-attempting-provide-material-support-isis</w:t>
        </w:r>
      </w:hyperlink>
      <w:r>
        <w:rPr>
          <w:rFonts w:ascii="Times New Roman" w:hAnsi="Times New Roman"/>
          <w:sz w:val="24"/>
          <w:szCs w:val="24"/>
        </w:rPr>
        <w:t xml:space="preserve"> </w:t>
      </w:r>
    </w:p>
    <w:p w14:paraId="71B514DB" w14:textId="77777777" w:rsidR="005E132A" w:rsidRDefault="005E132A" w:rsidP="00F326E5">
      <w:pPr>
        <w:pStyle w:val="NoSpacing"/>
        <w:rPr>
          <w:rFonts w:ascii="Arial Black" w:hAnsi="Arial Black"/>
          <w:sz w:val="28"/>
          <w:szCs w:val="28"/>
        </w:rPr>
      </w:pPr>
    </w:p>
    <w:p w14:paraId="457E476A" w14:textId="77777777" w:rsidR="005E132A" w:rsidRDefault="005E132A" w:rsidP="00F326E5">
      <w:pPr>
        <w:pStyle w:val="NoSpacing"/>
        <w:rPr>
          <w:rFonts w:ascii="Arial Black" w:hAnsi="Arial Black"/>
          <w:sz w:val="28"/>
          <w:szCs w:val="28"/>
        </w:rPr>
      </w:pPr>
    </w:p>
    <w:p w14:paraId="331C7FF5" w14:textId="65533DFF" w:rsidR="00A06387" w:rsidRDefault="007D178F" w:rsidP="00F326E5">
      <w:pPr>
        <w:pStyle w:val="NoSpacing"/>
        <w:rPr>
          <w:rFonts w:ascii="Arial Black" w:hAnsi="Arial Black"/>
          <w:sz w:val="28"/>
          <w:szCs w:val="28"/>
        </w:rPr>
      </w:pPr>
      <w:r>
        <w:rPr>
          <w:rFonts w:ascii="Arial Black" w:hAnsi="Arial Black"/>
          <w:sz w:val="28"/>
          <w:szCs w:val="28"/>
        </w:rPr>
        <w:t>3-27</w:t>
      </w:r>
    </w:p>
    <w:p w14:paraId="020CEDF7" w14:textId="77777777" w:rsidR="007D178F" w:rsidRPr="00D82E7C" w:rsidRDefault="007D178F" w:rsidP="007D178F">
      <w:pPr>
        <w:pStyle w:val="NoSpacing"/>
        <w:rPr>
          <w:rFonts w:ascii="Arial Black" w:hAnsi="Arial Black"/>
          <w:sz w:val="28"/>
          <w:szCs w:val="28"/>
        </w:rPr>
      </w:pPr>
      <w:r>
        <w:rPr>
          <w:rFonts w:ascii="Arial Black" w:hAnsi="Arial Black"/>
          <w:sz w:val="28"/>
          <w:szCs w:val="28"/>
        </w:rPr>
        <w:t xml:space="preserve">IL:  EXTRADICTION - U.S. CITIZEN TO BE RETURNED TO IRELAND – LEFT IRISH BAR, CRASHED LEXUS KILLED TWO </w:t>
      </w:r>
    </w:p>
    <w:p w14:paraId="4511D633" w14:textId="77777777" w:rsidR="007D178F" w:rsidRDefault="007D178F" w:rsidP="007D178F">
      <w:pPr>
        <w:pStyle w:val="NoSpacing"/>
        <w:rPr>
          <w:rFonts w:ascii="Times New Roman" w:hAnsi="Times New Roman"/>
          <w:sz w:val="24"/>
          <w:szCs w:val="24"/>
        </w:rPr>
      </w:pPr>
    </w:p>
    <w:p w14:paraId="58534895" w14:textId="77777777" w:rsidR="007D178F" w:rsidRDefault="007D178F" w:rsidP="007D178F">
      <w:pPr>
        <w:pStyle w:val="NoSpacing"/>
        <w:rPr>
          <w:rFonts w:ascii="Times New Roman" w:hAnsi="Times New Roman"/>
          <w:sz w:val="24"/>
          <w:szCs w:val="24"/>
        </w:rPr>
      </w:pPr>
      <w:r>
        <w:rPr>
          <w:rFonts w:ascii="Times New Roman" w:hAnsi="Times New Roman"/>
          <w:sz w:val="24"/>
          <w:szCs w:val="24"/>
        </w:rPr>
        <w:t>On Nov. 3, 2020</w:t>
      </w:r>
      <w:r w:rsidRPr="00566D06">
        <w:rPr>
          <w:rFonts w:ascii="Times New Roman" w:hAnsi="Times New Roman"/>
          <w:sz w:val="24"/>
          <w:szCs w:val="24"/>
          <w:u w:val="single"/>
        </w:rPr>
        <w:t>,</w:t>
      </w:r>
      <w:r w:rsidRPr="003B0090">
        <w:rPr>
          <w:rFonts w:ascii="Times New Roman" w:hAnsi="Times New Roman"/>
          <w:sz w:val="24"/>
          <w:szCs w:val="24"/>
        </w:rPr>
        <w:t xml:space="preserve"> </w:t>
      </w:r>
      <w:r w:rsidRPr="00566D06">
        <w:rPr>
          <w:rFonts w:ascii="Times New Roman" w:hAnsi="Times New Roman"/>
          <w:sz w:val="24"/>
          <w:szCs w:val="24"/>
          <w:u w:val="single"/>
        </w:rPr>
        <w:t xml:space="preserve">In </w:t>
      </w:r>
      <w:proofErr w:type="gramStart"/>
      <w:r w:rsidRPr="00566D06">
        <w:rPr>
          <w:rFonts w:ascii="Times New Roman" w:hAnsi="Times New Roman"/>
          <w:sz w:val="24"/>
          <w:szCs w:val="24"/>
          <w:u w:val="single"/>
        </w:rPr>
        <w:t>The</w:t>
      </w:r>
      <w:proofErr w:type="gramEnd"/>
      <w:r w:rsidRPr="00566D06">
        <w:rPr>
          <w:rFonts w:ascii="Times New Roman" w:hAnsi="Times New Roman"/>
          <w:sz w:val="24"/>
          <w:szCs w:val="24"/>
          <w:u w:val="single"/>
        </w:rPr>
        <w:t xml:space="preserve"> Matter </w:t>
      </w:r>
      <w:proofErr w:type="gramStart"/>
      <w:r w:rsidRPr="00566D06">
        <w:rPr>
          <w:rFonts w:ascii="Times New Roman" w:hAnsi="Times New Roman"/>
          <w:sz w:val="24"/>
          <w:szCs w:val="24"/>
          <w:u w:val="single"/>
        </w:rPr>
        <w:t>Of</w:t>
      </w:r>
      <w:proofErr w:type="gramEnd"/>
      <w:r w:rsidRPr="00566D06">
        <w:rPr>
          <w:rFonts w:ascii="Times New Roman" w:hAnsi="Times New Roman"/>
          <w:sz w:val="24"/>
          <w:szCs w:val="24"/>
          <w:u w:val="single"/>
        </w:rPr>
        <w:t xml:space="preserve"> </w:t>
      </w:r>
      <w:proofErr w:type="gramStart"/>
      <w:r w:rsidRPr="00566D06">
        <w:rPr>
          <w:rFonts w:ascii="Times New Roman" w:hAnsi="Times New Roman"/>
          <w:sz w:val="24"/>
          <w:szCs w:val="24"/>
          <w:u w:val="single"/>
        </w:rPr>
        <w:t>The</w:t>
      </w:r>
      <w:proofErr w:type="gramEnd"/>
      <w:r w:rsidRPr="00566D06">
        <w:rPr>
          <w:rFonts w:ascii="Times New Roman" w:hAnsi="Times New Roman"/>
          <w:sz w:val="24"/>
          <w:szCs w:val="24"/>
          <w:u w:val="single"/>
        </w:rPr>
        <w:t xml:space="preserve"> Extradition </w:t>
      </w:r>
      <w:proofErr w:type="gramStart"/>
      <w:r w:rsidRPr="00566D06">
        <w:rPr>
          <w:rFonts w:ascii="Times New Roman" w:hAnsi="Times New Roman"/>
          <w:sz w:val="24"/>
          <w:szCs w:val="24"/>
          <w:u w:val="single"/>
        </w:rPr>
        <w:t>Of</w:t>
      </w:r>
      <w:proofErr w:type="gramEnd"/>
      <w:r w:rsidRPr="00566D06">
        <w:rPr>
          <w:rFonts w:ascii="Times New Roman" w:hAnsi="Times New Roman"/>
          <w:sz w:val="24"/>
          <w:szCs w:val="24"/>
          <w:u w:val="single"/>
        </w:rPr>
        <w:t xml:space="preserve"> Francis Carr</w:t>
      </w:r>
      <w:r>
        <w:rPr>
          <w:rFonts w:ascii="Times New Roman" w:hAnsi="Times New Roman"/>
          <w:sz w:val="24"/>
          <w:szCs w:val="24"/>
        </w:rPr>
        <w:t xml:space="preserve">, U.S. Magistrate Judge Beth W. Zantz, orders that Mr. Carr, who is held without bail in Chicago jail, may be extradited back to Ireland to face felony charges.   The 1984 treaty between US and Ireland allows for extradition if the conduct is a felony [punishable more than one year] in both countries, even if in U.S. there must be proof of “gross negligence” for involuntary manslaughter or reckless homicide and in Ireland just ordinary negligence. </w:t>
      </w:r>
    </w:p>
    <w:p w14:paraId="0E1455BF"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br/>
        <w:t>“</w:t>
      </w:r>
      <w:r w:rsidRPr="00566D06">
        <w:rPr>
          <w:rFonts w:ascii="Times New Roman" w:hAnsi="Times New Roman"/>
          <w:sz w:val="24"/>
          <w:szCs w:val="24"/>
        </w:rPr>
        <w:t xml:space="preserve">For </w:t>
      </w:r>
      <w:proofErr w:type="gramStart"/>
      <w:r w:rsidRPr="00566D06">
        <w:rPr>
          <w:rFonts w:ascii="Times New Roman" w:hAnsi="Times New Roman"/>
          <w:sz w:val="24"/>
          <w:szCs w:val="24"/>
        </w:rPr>
        <w:t>all of</w:t>
      </w:r>
      <w:proofErr w:type="gramEnd"/>
      <w:r w:rsidRPr="00566D06">
        <w:rPr>
          <w:rFonts w:ascii="Times New Roman" w:hAnsi="Times New Roman"/>
          <w:sz w:val="24"/>
          <w:szCs w:val="24"/>
        </w:rPr>
        <w:t xml:space="preserve"> the reasons above, the Court therefore determines that the United States-Ireland treaty requires only dual criminality for an offense to be extraditable, meaning that just the </w:t>
      </w:r>
      <w:r w:rsidRPr="00566D06">
        <w:rPr>
          <w:rFonts w:ascii="Times New Roman" w:hAnsi="Times New Roman"/>
          <w:b/>
          <w:bCs/>
          <w:i/>
          <w:iCs/>
          <w:sz w:val="24"/>
          <w:szCs w:val="24"/>
        </w:rPr>
        <w:t>charged conduct</w:t>
      </w:r>
      <w:r w:rsidRPr="00566D06">
        <w:rPr>
          <w:rFonts w:ascii="Times New Roman" w:hAnsi="Times New Roman"/>
          <w:sz w:val="24"/>
          <w:szCs w:val="24"/>
        </w:rPr>
        <w:t xml:space="preserve"> must be criminal and punishable by a year or more in prison in both jurisdictions.</w:t>
      </w:r>
    </w:p>
    <w:p w14:paraId="3D2A3D27" w14:textId="77777777" w:rsidR="007D178F" w:rsidRPr="00566D06" w:rsidRDefault="007D178F" w:rsidP="007D178F">
      <w:pPr>
        <w:pStyle w:val="NoSpacing"/>
        <w:ind w:left="720"/>
        <w:rPr>
          <w:rFonts w:ascii="Times New Roman" w:hAnsi="Times New Roman"/>
          <w:sz w:val="24"/>
          <w:szCs w:val="24"/>
        </w:rPr>
      </w:pPr>
    </w:p>
    <w:p w14:paraId="1878E6EC" w14:textId="77777777" w:rsidR="007D178F" w:rsidRDefault="007D178F" w:rsidP="007D178F">
      <w:pPr>
        <w:pStyle w:val="NoSpacing"/>
        <w:ind w:left="720"/>
        <w:rPr>
          <w:rFonts w:ascii="Times New Roman" w:hAnsi="Times New Roman"/>
          <w:sz w:val="24"/>
          <w:szCs w:val="24"/>
        </w:rPr>
      </w:pPr>
      <w:r w:rsidRPr="00566D06">
        <w:rPr>
          <w:rFonts w:ascii="Times New Roman" w:hAnsi="Times New Roman"/>
          <w:sz w:val="24"/>
          <w:szCs w:val="24"/>
        </w:rPr>
        <w:t>Here, that requirement is met, as Carr concedes</w:t>
      </w:r>
      <w:r>
        <w:rPr>
          <w:rFonts w:ascii="Times New Roman" w:hAnsi="Times New Roman"/>
          <w:sz w:val="24"/>
          <w:szCs w:val="24"/>
        </w:rPr>
        <w:t xml:space="preserve"> ….</w:t>
      </w:r>
      <w:r w:rsidRPr="00566D06">
        <w:rPr>
          <w:rFonts w:ascii="Times New Roman" w:hAnsi="Times New Roman"/>
          <w:sz w:val="24"/>
          <w:szCs w:val="24"/>
        </w:rPr>
        <w:t xml:space="preserve"> Carr allegedly drove in such a grossly negligent manner—at a high rate of speed and doing donuts—that he caused a crash and the deaths of his two passengers</w:t>
      </w:r>
      <w:r>
        <w:rPr>
          <w:rFonts w:ascii="Times New Roman" w:hAnsi="Times New Roman"/>
          <w:sz w:val="24"/>
          <w:szCs w:val="24"/>
        </w:rPr>
        <w:t>….</w:t>
      </w:r>
      <w:r w:rsidRPr="00566D06">
        <w:rPr>
          <w:rFonts w:ascii="Times New Roman" w:hAnsi="Times New Roman"/>
          <w:sz w:val="24"/>
          <w:szCs w:val="24"/>
        </w:rPr>
        <w:t xml:space="preserve"> In Ireland, the offense of dangerous driving causing death of two victims is punishable by up to 10 years in prison</w:t>
      </w:r>
      <w:r>
        <w:rPr>
          <w:rFonts w:ascii="Times New Roman" w:hAnsi="Times New Roman"/>
          <w:sz w:val="24"/>
          <w:szCs w:val="24"/>
        </w:rPr>
        <w:t>….</w:t>
      </w:r>
      <w:r w:rsidRPr="00566D06">
        <w:rPr>
          <w:rFonts w:ascii="Times New Roman" w:hAnsi="Times New Roman"/>
          <w:sz w:val="24"/>
          <w:szCs w:val="24"/>
        </w:rPr>
        <w:t xml:space="preserve"> And in the United States, Carr's conduct could be charged as a felony under United States federal or Illinois state law, as involuntary manslaughter under 18 U.S.C. §1112 (maximum penalty of </w:t>
      </w:r>
    </w:p>
    <w:p w14:paraId="713FB8D5" w14:textId="77777777" w:rsidR="007D178F" w:rsidRDefault="007D178F" w:rsidP="007D178F">
      <w:pPr>
        <w:pStyle w:val="NoSpacing"/>
        <w:ind w:left="720"/>
        <w:rPr>
          <w:rFonts w:ascii="Times New Roman" w:hAnsi="Times New Roman"/>
          <w:sz w:val="24"/>
          <w:szCs w:val="24"/>
        </w:rPr>
      </w:pPr>
      <w:r w:rsidRPr="00566D06">
        <w:rPr>
          <w:rFonts w:ascii="Times New Roman" w:hAnsi="Times New Roman"/>
          <w:sz w:val="24"/>
          <w:szCs w:val="24"/>
        </w:rPr>
        <w:t>8 years in prison), or as reckless homicide while driving a motor vehicle, 720 ILCS 5/9-3(a); 730 ILCS 5/5-4.5-40(a) (maximum penalty of 5 years in prison), respectively.</w:t>
      </w:r>
      <w:r>
        <w:rPr>
          <w:rFonts w:ascii="Times New Roman" w:hAnsi="Times New Roman"/>
          <w:sz w:val="24"/>
          <w:szCs w:val="24"/>
        </w:rPr>
        <w:t>”</w:t>
      </w:r>
    </w:p>
    <w:p w14:paraId="34A2C010" w14:textId="77777777" w:rsidR="007D178F" w:rsidRPr="00566D06" w:rsidRDefault="007D178F" w:rsidP="007D178F">
      <w:pPr>
        <w:pStyle w:val="NoSpacing"/>
        <w:ind w:firstLine="720"/>
        <w:rPr>
          <w:rFonts w:ascii="Times New Roman" w:hAnsi="Times New Roman"/>
          <w:sz w:val="24"/>
          <w:szCs w:val="24"/>
        </w:rPr>
      </w:pPr>
      <w:hyperlink r:id="rId827" w:history="1">
        <w:r w:rsidRPr="00BA14DC">
          <w:rPr>
            <w:rStyle w:val="Hyperlink"/>
            <w:rFonts w:ascii="Times New Roman" w:hAnsi="Times New Roman"/>
            <w:sz w:val="24"/>
            <w:szCs w:val="24"/>
          </w:rPr>
          <w:t>https://www.casemine.com/judgement/us/5fa3a7514653d0732d5bedb1</w:t>
        </w:r>
      </w:hyperlink>
      <w:r>
        <w:rPr>
          <w:rFonts w:ascii="Times New Roman" w:hAnsi="Times New Roman"/>
          <w:sz w:val="24"/>
          <w:szCs w:val="24"/>
        </w:rPr>
        <w:t xml:space="preserve"> </w:t>
      </w:r>
    </w:p>
    <w:p w14:paraId="62AEE2E1" w14:textId="77777777" w:rsidR="007D178F" w:rsidRDefault="007D178F" w:rsidP="007D178F">
      <w:pPr>
        <w:pStyle w:val="NoSpacing"/>
      </w:pPr>
    </w:p>
    <w:p w14:paraId="2274161C" w14:textId="77777777" w:rsidR="007D178F" w:rsidRPr="003B0090" w:rsidRDefault="007D178F" w:rsidP="007D178F">
      <w:pPr>
        <w:spacing w:before="100" w:beforeAutospacing="1" w:after="100" w:afterAutospacing="1" w:line="240" w:lineRule="auto"/>
        <w:rPr>
          <w:rFonts w:ascii="Times New Roman" w:eastAsia="Times New Roman" w:hAnsi="Times New Roman"/>
          <w:b/>
          <w:bCs/>
          <w:sz w:val="24"/>
          <w:szCs w:val="24"/>
        </w:rPr>
      </w:pPr>
      <w:r w:rsidRPr="003B009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Treaties are to be interpreted liberally; defendant remains in jail until extradited back to Ireland. </w:t>
      </w:r>
    </w:p>
    <w:p w14:paraId="56A7E51A" w14:textId="77777777" w:rsidR="007D178F" w:rsidRDefault="007D178F" w:rsidP="00F326E5">
      <w:pPr>
        <w:pStyle w:val="NoSpacing"/>
        <w:rPr>
          <w:rFonts w:ascii="Arial Black" w:hAnsi="Arial Black"/>
          <w:sz w:val="28"/>
          <w:szCs w:val="28"/>
        </w:rPr>
      </w:pPr>
    </w:p>
    <w:p w14:paraId="0024B941" w14:textId="77777777" w:rsidR="007D178F" w:rsidRDefault="007D178F" w:rsidP="00F326E5">
      <w:pPr>
        <w:pStyle w:val="NoSpacing"/>
        <w:rPr>
          <w:rFonts w:ascii="Arial Black" w:hAnsi="Arial Black"/>
          <w:sz w:val="28"/>
          <w:szCs w:val="28"/>
        </w:rPr>
      </w:pPr>
    </w:p>
    <w:p w14:paraId="0881455C" w14:textId="77777777" w:rsidR="007D178F" w:rsidRDefault="007D178F" w:rsidP="00F326E5">
      <w:pPr>
        <w:pStyle w:val="NoSpacing"/>
        <w:rPr>
          <w:rFonts w:ascii="Arial Black" w:hAnsi="Arial Black"/>
          <w:sz w:val="28"/>
          <w:szCs w:val="28"/>
        </w:rPr>
      </w:pPr>
    </w:p>
    <w:p w14:paraId="79B50D16" w14:textId="77777777" w:rsidR="007D178F" w:rsidRDefault="007D178F" w:rsidP="00F326E5">
      <w:pPr>
        <w:pStyle w:val="NoSpacing"/>
        <w:rPr>
          <w:rFonts w:ascii="Arial Black" w:hAnsi="Arial Black"/>
          <w:sz w:val="28"/>
          <w:szCs w:val="28"/>
        </w:rPr>
      </w:pPr>
    </w:p>
    <w:p w14:paraId="269799DA" w14:textId="624E879A" w:rsidR="00F824FE" w:rsidRDefault="00F824FE" w:rsidP="00F326E5">
      <w:pPr>
        <w:pStyle w:val="NoSpacing"/>
        <w:rPr>
          <w:rFonts w:ascii="Arial Black" w:hAnsi="Arial Black"/>
          <w:sz w:val="28"/>
          <w:szCs w:val="28"/>
        </w:rPr>
      </w:pPr>
      <w:r>
        <w:rPr>
          <w:rFonts w:ascii="Arial Black" w:hAnsi="Arial Black"/>
          <w:sz w:val="28"/>
          <w:szCs w:val="28"/>
        </w:rPr>
        <w:t>3-26</w:t>
      </w:r>
    </w:p>
    <w:p w14:paraId="1B5094F9" w14:textId="7D6FE78D" w:rsidR="00F824FE" w:rsidRDefault="00F824FE" w:rsidP="00F326E5">
      <w:pPr>
        <w:pStyle w:val="NoSpacing"/>
        <w:rPr>
          <w:rFonts w:ascii="Arial Black" w:hAnsi="Arial Black"/>
          <w:sz w:val="28"/>
          <w:szCs w:val="28"/>
        </w:rPr>
      </w:pPr>
    </w:p>
    <w:p w14:paraId="77978862" w14:textId="77777777" w:rsidR="00F824FE" w:rsidRPr="00207F8D" w:rsidRDefault="00F824FE" w:rsidP="00F824FE">
      <w:pPr>
        <w:pStyle w:val="Heading1"/>
        <w:rPr>
          <w:rFonts w:ascii="Arial Black" w:hAnsi="Arial Black"/>
          <w:sz w:val="28"/>
          <w:szCs w:val="28"/>
        </w:rPr>
      </w:pPr>
      <w:r>
        <w:rPr>
          <w:rFonts w:ascii="Arial Black" w:hAnsi="Arial Black"/>
          <w:sz w:val="28"/>
          <w:szCs w:val="28"/>
        </w:rPr>
        <w:t>NY:  911 CLEAN UP - 124 WORKERS CLEANUP AT STUYVESANT HIGH – LAWSUIT PROPERLY DISMISSED, ACCEPTED PRIOR SETTLEMENT</w:t>
      </w:r>
    </w:p>
    <w:p w14:paraId="0B5810D7" w14:textId="77777777" w:rsidR="00F824FE" w:rsidRPr="004D26C3" w:rsidRDefault="00F824FE" w:rsidP="00F824FE">
      <w:pPr>
        <w:rPr>
          <w:rFonts w:ascii="Times New Roman" w:hAnsi="Times New Roman"/>
          <w:sz w:val="24"/>
          <w:szCs w:val="24"/>
        </w:rPr>
      </w:pPr>
      <w:r w:rsidRPr="00E15C67">
        <w:rPr>
          <w:rFonts w:ascii="Times New Roman" w:hAnsi="Times New Roman"/>
          <w:sz w:val="24"/>
          <w:szCs w:val="24"/>
        </w:rPr>
        <w:t xml:space="preserve">On Sept. 28, 2020, in </w:t>
      </w:r>
      <w:r w:rsidRPr="00E15C67">
        <w:rPr>
          <w:rFonts w:ascii="Times New Roman" w:hAnsi="Times New Roman"/>
          <w:sz w:val="24"/>
          <w:szCs w:val="24"/>
          <w:u w:val="single"/>
        </w:rPr>
        <w:t>In</w:t>
      </w:r>
      <w:r w:rsidRPr="004D26C3">
        <w:rPr>
          <w:rFonts w:ascii="Times New Roman" w:hAnsi="Times New Roman"/>
          <w:sz w:val="24"/>
          <w:szCs w:val="24"/>
          <w:u w:val="single"/>
        </w:rPr>
        <w:t xml:space="preserve"> re: World Trade Center Lower Manhattan Disaster Site Litigation</w:t>
      </w:r>
      <w:r w:rsidRPr="004D26C3">
        <w:rPr>
          <w:rFonts w:ascii="Times New Roman" w:hAnsi="Times New Roman"/>
          <w:sz w:val="24"/>
          <w:szCs w:val="24"/>
        </w:rPr>
        <w:t xml:space="preserve">, the U.S. Court of Appeals for Second District (New York City) held in a Summary Order (3 to 0) that U.S. District Court Judge Alvin K. Hellerstein properly dismissed their lawsuit in 2019 since it was moot; they are covered by settlement agreements with the City of New York and the WTC Captive by entering into the 2010 Final Settlement Agreement ("FSA").  Judge Hellerstein on Aug. 30, </w:t>
      </w:r>
      <w:proofErr w:type="gramStart"/>
      <w:r w:rsidRPr="004D26C3">
        <w:rPr>
          <w:rFonts w:ascii="Times New Roman" w:hAnsi="Times New Roman"/>
          <w:sz w:val="24"/>
          <w:szCs w:val="24"/>
        </w:rPr>
        <w:t>2019</w:t>
      </w:r>
      <w:proofErr w:type="gramEnd"/>
      <w:r w:rsidRPr="004D26C3">
        <w:rPr>
          <w:rFonts w:ascii="Times New Roman" w:hAnsi="Times New Roman"/>
          <w:sz w:val="24"/>
          <w:szCs w:val="24"/>
        </w:rPr>
        <w:t xml:space="preserve"> held that “All of the present plaintiffs, among a group of plaintiffs that at one time numbered around 11,000, had settled previously with the WTC Captive and its insureds, including the City of New York.” </w:t>
      </w:r>
      <w:hyperlink r:id="rId828" w:history="1">
        <w:r w:rsidRPr="004D26C3">
          <w:rPr>
            <w:rStyle w:val="Hyperlink"/>
            <w:rFonts w:ascii="Times New Roman" w:hAnsi="Times New Roman"/>
            <w:sz w:val="24"/>
            <w:szCs w:val="24"/>
          </w:rPr>
          <w:t>https://casetext.com/case/in-re-world-trade-ctr-lower-manhattan-disaster-site-litig-8</w:t>
        </w:r>
      </w:hyperlink>
      <w:r w:rsidRPr="004D26C3">
        <w:rPr>
          <w:rFonts w:ascii="Times New Roman" w:hAnsi="Times New Roman"/>
          <w:sz w:val="24"/>
          <w:szCs w:val="24"/>
        </w:rPr>
        <w:t xml:space="preserve"> </w:t>
      </w:r>
    </w:p>
    <w:p w14:paraId="4C8AB7AF" w14:textId="77777777" w:rsidR="00F824FE" w:rsidRPr="00482AE8" w:rsidRDefault="00F824FE" w:rsidP="00F824FE">
      <w:pPr>
        <w:pStyle w:val="Heading1"/>
        <w:ind w:left="720"/>
        <w:rPr>
          <w:b w:val="0"/>
          <w:bCs w:val="0"/>
          <w:sz w:val="24"/>
          <w:szCs w:val="24"/>
        </w:rPr>
      </w:pPr>
      <w:r>
        <w:rPr>
          <w:b w:val="0"/>
          <w:bCs w:val="0"/>
          <w:sz w:val="24"/>
          <w:szCs w:val="24"/>
        </w:rPr>
        <w:t>“</w:t>
      </w:r>
      <w:r w:rsidRPr="00482AE8">
        <w:rPr>
          <w:b w:val="0"/>
          <w:bCs w:val="0"/>
          <w:sz w:val="24"/>
          <w:szCs w:val="24"/>
        </w:rPr>
        <w:t xml:space="preserve">Here, the district court properly held that Appellants’ 2010 settlement agreement with the WTC Captive and its insureds (the World Trade Center Litigation Final Settlement Agreement, or </w:t>
      </w:r>
      <w:r>
        <w:rPr>
          <w:b w:val="0"/>
          <w:bCs w:val="0"/>
          <w:sz w:val="24"/>
          <w:szCs w:val="24"/>
        </w:rPr>
        <w:t>‘</w:t>
      </w:r>
      <w:r w:rsidRPr="00482AE8">
        <w:rPr>
          <w:b w:val="0"/>
          <w:bCs w:val="0"/>
          <w:sz w:val="24"/>
          <w:szCs w:val="24"/>
        </w:rPr>
        <w:t>FSA</w:t>
      </w:r>
      <w:r>
        <w:rPr>
          <w:b w:val="0"/>
          <w:bCs w:val="0"/>
          <w:sz w:val="24"/>
          <w:szCs w:val="24"/>
        </w:rPr>
        <w:t>’</w:t>
      </w:r>
      <w:r w:rsidRPr="00482AE8">
        <w:rPr>
          <w:b w:val="0"/>
          <w:bCs w:val="0"/>
          <w:sz w:val="24"/>
          <w:szCs w:val="24"/>
        </w:rPr>
        <w:t>) reduced their potential recovery in these proceedings to zero, and that, accordingly, their claims are moot.</w:t>
      </w:r>
      <w:r>
        <w:rPr>
          <w:b w:val="0"/>
          <w:bCs w:val="0"/>
          <w:sz w:val="24"/>
          <w:szCs w:val="24"/>
        </w:rPr>
        <w:t xml:space="preserve">” </w:t>
      </w:r>
      <w:hyperlink r:id="rId829" w:anchor="xml=https://www.ca2.uscourts.gov/decisions/isysquery/d1288cae-9c73-4842-93cb-329cdd38edc3/3/hilite/" w:history="1">
        <w:r w:rsidRPr="009A4D3D">
          <w:rPr>
            <w:rStyle w:val="Hyperlink"/>
            <w:b w:val="0"/>
            <w:bCs w:val="0"/>
            <w:sz w:val="24"/>
            <w:szCs w:val="24"/>
          </w:rPr>
          <w:t>https://www.ca2.uscourts.gov/decisions/isysquery/d1288cae-9c73-4842-93cb-329cdd38edc3/3/doc/19-2934_so.pdf#xml=https://www.ca2.uscourts.gov/decisions/isysquery/d1288cae-9c73-4842-93cb-329cdd38edc3/3/hilite/</w:t>
        </w:r>
      </w:hyperlink>
      <w:r>
        <w:rPr>
          <w:b w:val="0"/>
          <w:bCs w:val="0"/>
          <w:sz w:val="24"/>
          <w:szCs w:val="24"/>
        </w:rPr>
        <w:t xml:space="preserve"> </w:t>
      </w:r>
    </w:p>
    <w:p w14:paraId="3336A63A" w14:textId="77777777" w:rsidR="00F824FE" w:rsidRDefault="00F824FE" w:rsidP="00F824FE">
      <w:pPr>
        <w:pStyle w:val="Heading1"/>
        <w:rPr>
          <w:sz w:val="24"/>
          <w:szCs w:val="24"/>
        </w:rPr>
      </w:pPr>
      <w:r w:rsidRPr="007042F0">
        <w:rPr>
          <w:sz w:val="24"/>
          <w:szCs w:val="24"/>
        </w:rPr>
        <w:t>Legal Lessons Learned:</w:t>
      </w:r>
      <w:r>
        <w:rPr>
          <w:sz w:val="24"/>
          <w:szCs w:val="24"/>
        </w:rPr>
        <w:t xml:space="preserve"> When you </w:t>
      </w:r>
      <w:proofErr w:type="gramStart"/>
      <w:r>
        <w:rPr>
          <w:sz w:val="24"/>
          <w:szCs w:val="24"/>
        </w:rPr>
        <w:t>enter into</w:t>
      </w:r>
      <w:proofErr w:type="gramEnd"/>
      <w:r>
        <w:rPr>
          <w:sz w:val="24"/>
          <w:szCs w:val="24"/>
        </w:rPr>
        <w:t xml:space="preserve"> a “global settlement” and accept the settlement money, it is designed to avoid future litigation such as this case.  </w:t>
      </w:r>
    </w:p>
    <w:p w14:paraId="4912F6EC" w14:textId="5293D5C3" w:rsidR="00F824FE" w:rsidRDefault="00F824FE" w:rsidP="00F824FE">
      <w:pPr>
        <w:pStyle w:val="NoSpacing"/>
        <w:ind w:left="720"/>
        <w:rPr>
          <w:rFonts w:ascii="Arial Black" w:hAnsi="Arial Black"/>
          <w:sz w:val="28"/>
          <w:szCs w:val="28"/>
        </w:rPr>
      </w:pPr>
      <w:r w:rsidRPr="007042F0">
        <w:rPr>
          <w:sz w:val="24"/>
          <w:szCs w:val="24"/>
        </w:rPr>
        <w:t>Note</w:t>
      </w:r>
      <w:r>
        <w:rPr>
          <w:sz w:val="24"/>
          <w:szCs w:val="24"/>
        </w:rPr>
        <w:t xml:space="preserve">:   See </w:t>
      </w:r>
      <w:r w:rsidRPr="007042F0">
        <w:rPr>
          <w:sz w:val="24"/>
          <w:szCs w:val="24"/>
        </w:rPr>
        <w:t xml:space="preserve">Nov. 19, </w:t>
      </w:r>
      <w:proofErr w:type="gramStart"/>
      <w:r w:rsidRPr="007042F0">
        <w:rPr>
          <w:sz w:val="24"/>
          <w:szCs w:val="24"/>
        </w:rPr>
        <w:t>2010</w:t>
      </w:r>
      <w:proofErr w:type="gramEnd"/>
      <w:r>
        <w:rPr>
          <w:sz w:val="24"/>
          <w:szCs w:val="24"/>
        </w:rPr>
        <w:t xml:space="preserve"> article,</w:t>
      </w:r>
      <w:r w:rsidRPr="007042F0">
        <w:rPr>
          <w:sz w:val="24"/>
          <w:szCs w:val="24"/>
        </w:rPr>
        <w:t xml:space="preserve"> “Over 95% of Plaintiffs Accept World Trade Center Settlement.” </w:t>
      </w:r>
      <w:r>
        <w:rPr>
          <w:sz w:val="24"/>
          <w:szCs w:val="24"/>
        </w:rPr>
        <w:t>“</w:t>
      </w:r>
      <w:r w:rsidRPr="007042F0">
        <w:rPr>
          <w:sz w:val="24"/>
          <w:szCs w:val="24"/>
        </w:rPr>
        <w:t>10,043 plaintiffs signed releases accepting settlement terms, according to the Allocation Neutral's report to the Court, with 98% of those claiming some of the most severe injuries signing on.</w:t>
      </w:r>
      <w:r>
        <w:rPr>
          <w:sz w:val="24"/>
          <w:szCs w:val="24"/>
        </w:rPr>
        <w:t xml:space="preserve"> *** </w:t>
      </w:r>
      <w:r w:rsidRPr="004D26C3">
        <w:rPr>
          <w:sz w:val="24"/>
          <w:szCs w:val="24"/>
        </w:rPr>
        <w:t>The WTC Captive Insurance Company confirms the 95% participation threshold of eligible plaintiffs has been reached.</w:t>
      </w:r>
      <w:r>
        <w:rPr>
          <w:sz w:val="24"/>
          <w:szCs w:val="24"/>
        </w:rPr>
        <w:t xml:space="preserve">” </w:t>
      </w:r>
      <w:r w:rsidRPr="004D26C3">
        <w:rPr>
          <w:sz w:val="24"/>
          <w:szCs w:val="24"/>
        </w:rPr>
        <w:t xml:space="preserve"> </w:t>
      </w:r>
      <w:hyperlink r:id="rId830" w:history="1">
        <w:r w:rsidRPr="004D26C3">
          <w:rPr>
            <w:rStyle w:val="Hyperlink"/>
            <w:sz w:val="24"/>
            <w:szCs w:val="24"/>
          </w:rPr>
          <w:t>https://www.prnewswire.com/news-releases/over-95-of-plaintiffs-accept-world-trade-center-settlement-109252704.html</w:t>
        </w:r>
      </w:hyperlink>
    </w:p>
    <w:p w14:paraId="1C5D1C6D" w14:textId="77777777" w:rsidR="00F824FE" w:rsidRDefault="00F824FE" w:rsidP="00F326E5">
      <w:pPr>
        <w:pStyle w:val="NoSpacing"/>
        <w:rPr>
          <w:rFonts w:ascii="Arial Black" w:hAnsi="Arial Black"/>
          <w:sz w:val="28"/>
          <w:szCs w:val="28"/>
        </w:rPr>
      </w:pPr>
    </w:p>
    <w:p w14:paraId="2DEF0697" w14:textId="77777777" w:rsidR="00F824FE" w:rsidRDefault="00F824FE" w:rsidP="00F326E5">
      <w:pPr>
        <w:pStyle w:val="NoSpacing"/>
        <w:rPr>
          <w:rFonts w:ascii="Arial Black" w:hAnsi="Arial Black"/>
          <w:sz w:val="28"/>
          <w:szCs w:val="28"/>
        </w:rPr>
      </w:pPr>
    </w:p>
    <w:p w14:paraId="16BAF71E" w14:textId="3B184A81" w:rsidR="00A672EE" w:rsidRDefault="00A672EE" w:rsidP="00F326E5">
      <w:pPr>
        <w:pStyle w:val="NoSpacing"/>
        <w:rPr>
          <w:rFonts w:ascii="Arial Black" w:hAnsi="Arial Black"/>
          <w:sz w:val="28"/>
          <w:szCs w:val="28"/>
        </w:rPr>
      </w:pPr>
      <w:r>
        <w:rPr>
          <w:rFonts w:ascii="Arial Black" w:hAnsi="Arial Black"/>
          <w:sz w:val="28"/>
          <w:szCs w:val="28"/>
        </w:rPr>
        <w:t>3-25</w:t>
      </w:r>
    </w:p>
    <w:p w14:paraId="1D7675DA" w14:textId="6493E5AA" w:rsidR="00A672EE" w:rsidRDefault="00A672EE" w:rsidP="00F326E5">
      <w:pPr>
        <w:pStyle w:val="NoSpacing"/>
        <w:rPr>
          <w:rFonts w:ascii="Arial Black" w:hAnsi="Arial Black"/>
          <w:sz w:val="28"/>
          <w:szCs w:val="28"/>
        </w:rPr>
      </w:pPr>
    </w:p>
    <w:p w14:paraId="2D663E2D" w14:textId="4A1D7A14" w:rsidR="00A672EE" w:rsidRPr="0043496E" w:rsidRDefault="00A672EE" w:rsidP="00A672EE">
      <w:pPr>
        <w:pStyle w:val="NoSpacing"/>
        <w:rPr>
          <w:rFonts w:ascii="Arial Black" w:hAnsi="Arial Black"/>
          <w:sz w:val="28"/>
          <w:szCs w:val="28"/>
        </w:rPr>
      </w:pPr>
      <w:bookmarkStart w:id="140" w:name="_Hlk66942447"/>
      <w:r w:rsidRPr="0043496E">
        <w:rPr>
          <w:rFonts w:ascii="Arial Black" w:hAnsi="Arial Black"/>
          <w:sz w:val="28"/>
          <w:szCs w:val="28"/>
        </w:rPr>
        <w:t xml:space="preserve">FL: </w:t>
      </w:r>
      <w:r>
        <w:rPr>
          <w:rFonts w:ascii="Arial Black" w:hAnsi="Arial Black"/>
          <w:sz w:val="28"/>
          <w:szCs w:val="28"/>
        </w:rPr>
        <w:t xml:space="preserve">“LONE WOLF” DEFENDANT HELD WITHOUT BOND - 23-YR-OLD – PISTOL, SILENCER, DRONE - WANTED TO KILL AT LEAST 50  </w:t>
      </w:r>
    </w:p>
    <w:p w14:paraId="466C0A2E" w14:textId="1E9ED013" w:rsidR="00A672EE" w:rsidRDefault="00A672EE" w:rsidP="00A672E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1, 2020, in </w:t>
      </w:r>
      <w:r w:rsidRPr="00A95773">
        <w:rPr>
          <w:rFonts w:ascii="Times New Roman" w:eastAsia="Times New Roman" w:hAnsi="Times New Roman"/>
          <w:sz w:val="24"/>
          <w:szCs w:val="24"/>
          <w:u w:val="single"/>
        </w:rPr>
        <w:t>United States of America v. Muhammed Momtaz Al-Azhari</w:t>
      </w:r>
      <w:r>
        <w:rPr>
          <w:rFonts w:ascii="Times New Roman" w:eastAsia="Times New Roman" w:hAnsi="Times New Roman"/>
          <w:sz w:val="24"/>
          <w:szCs w:val="24"/>
        </w:rPr>
        <w:t>, U.S. District Court Judge Tom Barber, Middle District of Florida (Tampa Division), upheld the decision of U.S. Magistrate Judge denying defendant’s motion to revoke detention order. The Court wrote: “</w:t>
      </w:r>
      <w:r w:rsidRPr="0043496E">
        <w:rPr>
          <w:rFonts w:ascii="Times New Roman" w:eastAsia="Times New Roman" w:hAnsi="Times New Roman"/>
          <w:sz w:val="24"/>
          <w:szCs w:val="24"/>
        </w:rPr>
        <w:t xml:space="preserve">According to the </w:t>
      </w:r>
      <w:r>
        <w:rPr>
          <w:rFonts w:ascii="Times New Roman" w:eastAsia="Times New Roman" w:hAnsi="Times New Roman"/>
          <w:sz w:val="24"/>
          <w:szCs w:val="24"/>
        </w:rPr>
        <w:t xml:space="preserve">[FBI] </w:t>
      </w:r>
      <w:r w:rsidRPr="0043496E">
        <w:rPr>
          <w:rFonts w:ascii="Times New Roman" w:eastAsia="Times New Roman" w:hAnsi="Times New Roman"/>
          <w:sz w:val="24"/>
          <w:szCs w:val="24"/>
        </w:rPr>
        <w:t>complaint, Defendant was preparing himself for a deadly attack in support of ISIS by obtaining weapons and tactical gear. He scouted potential targets, including a local beach and law enforcement buildings. He told a confidential</w:t>
      </w:r>
      <w:r>
        <w:rPr>
          <w:rFonts w:ascii="Times New Roman" w:eastAsia="Times New Roman" w:hAnsi="Times New Roman"/>
          <w:sz w:val="24"/>
          <w:szCs w:val="24"/>
        </w:rPr>
        <w:t xml:space="preserve"> </w:t>
      </w:r>
      <w:r w:rsidRPr="0043496E">
        <w:rPr>
          <w:rFonts w:ascii="Times New Roman" w:eastAsia="Times New Roman" w:hAnsi="Times New Roman"/>
          <w:sz w:val="24"/>
          <w:szCs w:val="24"/>
        </w:rPr>
        <w:t xml:space="preserve">informant that he did not want to kill just four or five people, but at least fifty. These allegations, and the evidence supporting the allegations, weigh heavily in favor of </w:t>
      </w:r>
      <w:proofErr w:type="gramStart"/>
      <w:r w:rsidRPr="0043496E">
        <w:rPr>
          <w:rFonts w:ascii="Times New Roman" w:eastAsia="Times New Roman" w:hAnsi="Times New Roman"/>
          <w:sz w:val="24"/>
          <w:szCs w:val="24"/>
        </w:rPr>
        <w:t>detention.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831" w:history="1">
        <w:r w:rsidRPr="00DE6B93">
          <w:rPr>
            <w:rStyle w:val="Hyperlink"/>
            <w:rFonts w:ascii="Times New Roman" w:eastAsia="Times New Roman" w:hAnsi="Times New Roman"/>
            <w:sz w:val="24"/>
            <w:szCs w:val="24"/>
          </w:rPr>
          <w:t>https://public.fastcase.com/Wl%2B2t%2BeVuI35%2FN70vAMFZjEZMJsNZYCv20xfss0VwbYGceb09nWBJue7evWvO5N%2B</w:t>
        </w:r>
      </w:hyperlink>
      <w:bookmarkEnd w:id="140"/>
      <w:r>
        <w:rPr>
          <w:rFonts w:ascii="Times New Roman" w:eastAsia="Times New Roman" w:hAnsi="Times New Roman"/>
          <w:sz w:val="24"/>
          <w:szCs w:val="24"/>
        </w:rPr>
        <w:t xml:space="preserve"> </w:t>
      </w:r>
    </w:p>
    <w:p w14:paraId="4DA133E8" w14:textId="45A4616E" w:rsidR="00823634" w:rsidRPr="00823634" w:rsidRDefault="00823634" w:rsidP="00A672EE">
      <w:pPr>
        <w:spacing w:before="100" w:beforeAutospacing="1" w:after="100" w:afterAutospacing="1" w:line="240" w:lineRule="auto"/>
        <w:rPr>
          <w:rFonts w:ascii="Times New Roman" w:eastAsia="Times New Roman" w:hAnsi="Times New Roman"/>
          <w:b/>
          <w:bCs/>
          <w:sz w:val="24"/>
          <w:szCs w:val="24"/>
        </w:rPr>
      </w:pPr>
      <w:bookmarkStart w:id="141" w:name="_Hlk66942546"/>
      <w:r w:rsidRPr="00823634">
        <w:rPr>
          <w:rFonts w:ascii="Times New Roman" w:eastAsia="Times New Roman" w:hAnsi="Times New Roman"/>
          <w:b/>
          <w:bCs/>
          <w:sz w:val="24"/>
          <w:szCs w:val="24"/>
        </w:rPr>
        <w:t xml:space="preserve">Legal Lesson Learned: “Lone Wolf” domestic terrorist is a growing problem. </w:t>
      </w:r>
    </w:p>
    <w:bookmarkEnd w:id="141"/>
    <w:p w14:paraId="18DE90D0" w14:textId="77777777" w:rsidR="00A672EE" w:rsidRDefault="00A672EE" w:rsidP="00F326E5">
      <w:pPr>
        <w:pStyle w:val="NoSpacing"/>
        <w:rPr>
          <w:rFonts w:ascii="Arial Black" w:hAnsi="Arial Black"/>
          <w:sz w:val="28"/>
          <w:szCs w:val="28"/>
        </w:rPr>
      </w:pPr>
    </w:p>
    <w:p w14:paraId="48957C28" w14:textId="1DA6ED01" w:rsidR="0020758F" w:rsidRDefault="00A672EE" w:rsidP="00F326E5">
      <w:pPr>
        <w:pStyle w:val="NoSpacing"/>
        <w:rPr>
          <w:rFonts w:ascii="Arial Black" w:hAnsi="Arial Black"/>
          <w:sz w:val="28"/>
          <w:szCs w:val="28"/>
        </w:rPr>
      </w:pPr>
      <w:r>
        <w:rPr>
          <w:rFonts w:ascii="Arial Black" w:hAnsi="Arial Black"/>
          <w:sz w:val="28"/>
          <w:szCs w:val="28"/>
        </w:rPr>
        <w:br/>
      </w:r>
      <w:r w:rsidR="0020758F">
        <w:rPr>
          <w:rFonts w:ascii="Arial Black" w:hAnsi="Arial Black"/>
          <w:sz w:val="28"/>
          <w:szCs w:val="28"/>
        </w:rPr>
        <w:t>3-24</w:t>
      </w:r>
    </w:p>
    <w:p w14:paraId="1713C62A" w14:textId="6CA5F426" w:rsidR="0020758F" w:rsidRDefault="0020758F" w:rsidP="00F326E5">
      <w:pPr>
        <w:pStyle w:val="NoSpacing"/>
        <w:rPr>
          <w:rFonts w:ascii="Arial Black" w:hAnsi="Arial Black"/>
          <w:sz w:val="28"/>
          <w:szCs w:val="28"/>
        </w:rPr>
      </w:pPr>
    </w:p>
    <w:p w14:paraId="6C1CB65A" w14:textId="77777777" w:rsidR="007105B3" w:rsidRPr="008932A8" w:rsidRDefault="007105B3" w:rsidP="007105B3">
      <w:pPr>
        <w:rPr>
          <w:rFonts w:ascii="Arial Black" w:eastAsia="Times New Roman" w:hAnsi="Arial Black" w:cs="Tahoma"/>
          <w:b/>
          <w:bCs/>
          <w:sz w:val="28"/>
          <w:szCs w:val="28"/>
        </w:rPr>
      </w:pPr>
      <w:r w:rsidRPr="008932A8">
        <w:rPr>
          <w:rFonts w:ascii="Arial Black" w:eastAsia="Times New Roman" w:hAnsi="Arial Black" w:cs="Tahoma"/>
          <w:b/>
          <w:bCs/>
          <w:sz w:val="28"/>
          <w:szCs w:val="28"/>
        </w:rPr>
        <w:t>U.S. SUPREME COURT: FAST-TRACK DEPORTATION OF IMMIGRANTS CROSSING BORDER UPHELD</w:t>
      </w:r>
    </w:p>
    <w:p w14:paraId="248C798E" w14:textId="77777777" w:rsidR="007105B3" w:rsidRPr="00851091" w:rsidRDefault="007105B3" w:rsidP="007105B3">
      <w:pPr>
        <w:rPr>
          <w:rFonts w:ascii="Times New Roman" w:hAnsi="Times New Roman"/>
          <w:sz w:val="24"/>
          <w:szCs w:val="24"/>
        </w:rPr>
      </w:pPr>
      <w:r w:rsidRPr="002730DF">
        <w:rPr>
          <w:rFonts w:ascii="Times New Roman" w:eastAsia="Times New Roman" w:hAnsi="Times New Roman"/>
          <w:color w:val="36495F"/>
          <w:sz w:val="24"/>
          <w:szCs w:val="24"/>
        </w:rPr>
        <w:t>On June 25, 2020, in</w:t>
      </w:r>
      <w:r>
        <w:rPr>
          <w:rFonts w:ascii="Times New Roman" w:eastAsia="Times New Roman" w:hAnsi="Times New Roman"/>
          <w:color w:val="36495F"/>
          <w:sz w:val="24"/>
          <w:szCs w:val="24"/>
        </w:rPr>
        <w:t xml:space="preserve"> </w:t>
      </w:r>
      <w:r w:rsidRPr="002730DF">
        <w:rPr>
          <w:rFonts w:ascii="Times New Roman" w:eastAsia="Times New Roman" w:hAnsi="Times New Roman"/>
          <w:color w:val="36495F"/>
          <w:sz w:val="24"/>
          <w:szCs w:val="24"/>
          <w:u w:val="single"/>
        </w:rPr>
        <w:t xml:space="preserve">Department of Homeland Security, et al. v. </w:t>
      </w:r>
      <w:r w:rsidRPr="002730DF">
        <w:rPr>
          <w:rFonts w:ascii="Times New Roman" w:hAnsi="Times New Roman"/>
          <w:sz w:val="24"/>
          <w:szCs w:val="24"/>
          <w:u w:val="single"/>
        </w:rPr>
        <w:t>Vijayakumar Thuraissigiam</w:t>
      </w:r>
      <w:r>
        <w:rPr>
          <w:rFonts w:ascii="Times New Roman" w:hAnsi="Times New Roman"/>
          <w:sz w:val="24"/>
          <w:szCs w:val="24"/>
        </w:rPr>
        <w:t>, the U.S. Supreme Court held (7 to 2) that Congress properly established a system of rapid deportation of aliens caught at the border, unless they can convince an immigration judge they had credible fear of persecution if returned to their home country. In this case, a Sri Lanka farmer was caught by Border Patrol crossing the border at 11 pm; he claimed he had been abducted and beaten in Sri Lanka by unknown men in a white van while working in his fields. One month after his arrest at the border he had a 13-minute hearing before an immigration judge and was ordered deported.  He sought a writ of habeas corpus and hearing before a U.S. District Court Judge, which was denied, but U.S. Court of Appeals for 9</w:t>
      </w:r>
      <w:r w:rsidRPr="003E07F5">
        <w:rPr>
          <w:rFonts w:ascii="Times New Roman" w:hAnsi="Times New Roman"/>
          <w:sz w:val="24"/>
          <w:szCs w:val="24"/>
          <w:vertAlign w:val="superscript"/>
        </w:rPr>
        <w:t>th</w:t>
      </w:r>
      <w:r>
        <w:rPr>
          <w:rFonts w:ascii="Times New Roman" w:hAnsi="Times New Roman"/>
          <w:sz w:val="24"/>
          <w:szCs w:val="24"/>
        </w:rPr>
        <w:t xml:space="preserve"> Circuit (San Francisco) reversed.   </w:t>
      </w:r>
      <w:r w:rsidRPr="00476D74">
        <w:rPr>
          <w:rFonts w:ascii="Times New Roman" w:hAnsi="Times New Roman"/>
          <w:sz w:val="24"/>
          <w:szCs w:val="24"/>
        </w:rPr>
        <w:t xml:space="preserve">Justice Samuel Alito </w:t>
      </w:r>
      <w:r>
        <w:rPr>
          <w:rFonts w:ascii="Times New Roman" w:hAnsi="Times New Roman"/>
          <w:sz w:val="24"/>
          <w:szCs w:val="24"/>
        </w:rPr>
        <w:t xml:space="preserve">wrote majority opinion: </w:t>
      </w:r>
      <w:r>
        <w:rPr>
          <w:rFonts w:ascii="&quot;Times New Roman" w:eastAsia="Times New Roman" w:hAnsi="&quot;Times New Roman"/>
          <w:color w:val="36495F"/>
          <w:sz w:val="24"/>
          <w:szCs w:val="24"/>
        </w:rPr>
        <w:t>“</w:t>
      </w:r>
      <w:r w:rsidRPr="00476D74">
        <w:rPr>
          <w:rFonts w:ascii="Times New Roman" w:hAnsi="Times New Roman"/>
          <w:sz w:val="24"/>
          <w:szCs w:val="24"/>
        </w:rPr>
        <w:t xml:space="preserve">Every year, hundreds of thousands of aliens are apprehended at or near the border attempting to enter this country illegally. Many ask for asylum, claiming that they would be persecuted if returned to their home countries. Some of these claims are valid, and by granting asylum, the United States lives up to its ideals and its treaty obligations. </w:t>
      </w:r>
      <w:r>
        <w:rPr>
          <w:rFonts w:ascii="Times New Roman" w:hAnsi="Times New Roman"/>
          <w:sz w:val="24"/>
          <w:szCs w:val="24"/>
        </w:rPr>
        <w:t xml:space="preserve"> </w:t>
      </w:r>
      <w:r w:rsidRPr="00476D74">
        <w:rPr>
          <w:rFonts w:ascii="Times New Roman" w:hAnsi="Times New Roman"/>
          <w:sz w:val="24"/>
          <w:szCs w:val="24"/>
        </w:rPr>
        <w:t>Most asylum claims, however, ultimately fail, and some are fraudulent. In 1996, when Congress enacted the</w:t>
      </w:r>
      <w:r>
        <w:rPr>
          <w:rFonts w:ascii="Times New Roman" w:hAnsi="Times New Roman"/>
          <w:sz w:val="24"/>
          <w:szCs w:val="24"/>
        </w:rPr>
        <w:t xml:space="preserve"> </w:t>
      </w:r>
      <w:r w:rsidRPr="00476D74">
        <w:rPr>
          <w:rFonts w:ascii="Times New Roman" w:hAnsi="Times New Roman"/>
          <w:sz w:val="24"/>
          <w:szCs w:val="24"/>
        </w:rPr>
        <w:t>Illegal Immigration Reform and Immigrant Responsibility Act (IIRIRA), 110 Stat. 3009–546, it crafted a system for weeding out patently meritless claims and expeditiously removing the aliens making such claims from the country. It was Congress’s judgment that detaining all asylum seekers</w:t>
      </w:r>
      <w:r>
        <w:rPr>
          <w:rFonts w:ascii="Times New Roman" w:hAnsi="Times New Roman"/>
          <w:sz w:val="24"/>
          <w:szCs w:val="24"/>
        </w:rPr>
        <w:t xml:space="preserve"> </w:t>
      </w:r>
      <w:r w:rsidRPr="00476D74">
        <w:rPr>
          <w:rFonts w:ascii="Times New Roman" w:hAnsi="Times New Roman"/>
          <w:sz w:val="24"/>
          <w:szCs w:val="24"/>
        </w:rPr>
        <w:t>until the full-blown removal process is completed would</w:t>
      </w:r>
      <w:r>
        <w:rPr>
          <w:rFonts w:ascii="Times New Roman" w:hAnsi="Times New Roman"/>
          <w:sz w:val="24"/>
          <w:szCs w:val="24"/>
        </w:rPr>
        <w:t xml:space="preserve"> </w:t>
      </w:r>
      <w:r w:rsidRPr="00476D74">
        <w:rPr>
          <w:rFonts w:ascii="Times New Roman" w:hAnsi="Times New Roman"/>
          <w:sz w:val="24"/>
          <w:szCs w:val="24"/>
        </w:rPr>
        <w:t>place an unacceptable burden on our immigration system and that releasing them would present an undue risk that they would fail to appear for removal proceedings.</w:t>
      </w:r>
      <w:r>
        <w:rPr>
          <w:rFonts w:ascii="Times New Roman" w:hAnsi="Times New Roman"/>
          <w:sz w:val="24"/>
          <w:szCs w:val="24"/>
        </w:rPr>
        <w:t xml:space="preserve"> </w:t>
      </w:r>
      <w:hyperlink r:id="rId832" w:history="1">
        <w:r w:rsidRPr="00476D74">
          <w:rPr>
            <w:rStyle w:val="Hyperlink"/>
            <w:rFonts w:ascii="Times New Roman" w:hAnsi="Times New Roman"/>
            <w:sz w:val="24"/>
            <w:szCs w:val="24"/>
          </w:rPr>
          <w:t>https://www.supremecourt.gov/opinions/19pdf/19-161_g314.pdf</w:t>
        </w:r>
      </w:hyperlink>
      <w:r>
        <w:rPr>
          <w:rFonts w:ascii="Times New Roman" w:hAnsi="Times New Roman"/>
          <w:sz w:val="24"/>
          <w:szCs w:val="24"/>
        </w:rPr>
        <w:t xml:space="preserve"> </w:t>
      </w:r>
    </w:p>
    <w:p w14:paraId="022FC5CE" w14:textId="77777777" w:rsidR="007105B3" w:rsidRPr="00851091" w:rsidRDefault="007105B3" w:rsidP="007105B3">
      <w:pPr>
        <w:pStyle w:val="NoSpacing"/>
        <w:rPr>
          <w:rFonts w:ascii="Times New Roman" w:hAnsi="Times New Roman"/>
          <w:sz w:val="24"/>
          <w:szCs w:val="24"/>
        </w:rPr>
      </w:pPr>
      <w:r w:rsidRPr="00C0046A">
        <w:rPr>
          <w:rFonts w:ascii="Times New Roman" w:hAnsi="Times New Roman"/>
          <w:b/>
          <w:bCs/>
          <w:sz w:val="24"/>
          <w:szCs w:val="24"/>
        </w:rPr>
        <w:t xml:space="preserve">Legal Lessons Learned: </w:t>
      </w:r>
      <w:r>
        <w:rPr>
          <w:rFonts w:ascii="Times New Roman" w:hAnsi="Times New Roman"/>
          <w:b/>
          <w:bCs/>
          <w:sz w:val="24"/>
          <w:szCs w:val="24"/>
        </w:rPr>
        <w:t xml:space="preserve">The seven Justices found that the current system of immigration judges provides due process.  </w:t>
      </w:r>
    </w:p>
    <w:p w14:paraId="7DC424E2" w14:textId="77777777" w:rsidR="007105B3" w:rsidRPr="00C0046A" w:rsidRDefault="007105B3" w:rsidP="007105B3">
      <w:pPr>
        <w:pStyle w:val="NoSpacing"/>
        <w:rPr>
          <w:rFonts w:ascii="Times New Roman" w:hAnsi="Times New Roman"/>
          <w:b/>
          <w:bCs/>
          <w:sz w:val="24"/>
          <w:szCs w:val="24"/>
        </w:rPr>
      </w:pPr>
    </w:p>
    <w:p w14:paraId="68C7E305" w14:textId="77777777" w:rsidR="007105B3" w:rsidRPr="00C0046A" w:rsidRDefault="007105B3" w:rsidP="007105B3">
      <w:pPr>
        <w:pStyle w:val="NoSpacing"/>
        <w:ind w:left="720"/>
        <w:rPr>
          <w:rFonts w:ascii="Times New Roman" w:hAnsi="Times New Roman"/>
          <w:sz w:val="24"/>
          <w:szCs w:val="24"/>
        </w:rPr>
      </w:pPr>
      <w:r w:rsidRPr="00C0046A">
        <w:rPr>
          <w:rFonts w:ascii="Times New Roman" w:hAnsi="Times New Roman"/>
          <w:sz w:val="24"/>
          <w:szCs w:val="24"/>
        </w:rPr>
        <w:t xml:space="preserve">Note: See June 25, </w:t>
      </w:r>
      <w:proofErr w:type="gramStart"/>
      <w:r w:rsidRPr="00C0046A">
        <w:rPr>
          <w:rFonts w:ascii="Times New Roman" w:hAnsi="Times New Roman"/>
          <w:sz w:val="24"/>
          <w:szCs w:val="24"/>
        </w:rPr>
        <w:t>2019</w:t>
      </w:r>
      <w:proofErr w:type="gramEnd"/>
      <w:r w:rsidRPr="00C0046A">
        <w:rPr>
          <w:rFonts w:ascii="Times New Roman" w:hAnsi="Times New Roman"/>
          <w:sz w:val="24"/>
          <w:szCs w:val="24"/>
        </w:rPr>
        <w:t xml:space="preserve"> article, “Supreme Court Sides </w:t>
      </w:r>
      <w:proofErr w:type="gramStart"/>
      <w:r w:rsidRPr="00C0046A">
        <w:rPr>
          <w:rFonts w:ascii="Times New Roman" w:hAnsi="Times New Roman"/>
          <w:sz w:val="24"/>
          <w:szCs w:val="24"/>
        </w:rPr>
        <w:t>With</w:t>
      </w:r>
      <w:proofErr w:type="gramEnd"/>
      <w:r w:rsidRPr="00C0046A">
        <w:rPr>
          <w:rFonts w:ascii="Times New Roman" w:hAnsi="Times New Roman"/>
          <w:sz w:val="24"/>
          <w:szCs w:val="24"/>
        </w:rPr>
        <w:t xml:space="preserve"> Trump Administration </w:t>
      </w:r>
      <w:proofErr w:type="gramStart"/>
      <w:r w:rsidRPr="00C0046A">
        <w:rPr>
          <w:rFonts w:ascii="Times New Roman" w:hAnsi="Times New Roman"/>
          <w:sz w:val="24"/>
          <w:szCs w:val="24"/>
        </w:rPr>
        <w:t>In</w:t>
      </w:r>
      <w:proofErr w:type="gramEnd"/>
      <w:r w:rsidRPr="00C0046A">
        <w:rPr>
          <w:rFonts w:ascii="Times New Roman" w:hAnsi="Times New Roman"/>
          <w:sz w:val="24"/>
          <w:szCs w:val="24"/>
        </w:rPr>
        <w:t xml:space="preserve"> Asylum Cases,” </w:t>
      </w:r>
      <w:hyperlink r:id="rId833" w:history="1">
        <w:r w:rsidRPr="00C0046A">
          <w:rPr>
            <w:rStyle w:val="Hyperlink"/>
            <w:rFonts w:ascii="Times New Roman" w:hAnsi="Times New Roman"/>
            <w:sz w:val="24"/>
            <w:szCs w:val="24"/>
          </w:rPr>
          <w:t>https://www.npr.org/2020/06/25/883312496/supreme-court-sides-with-trump-administration-in-deportation-case</w:t>
        </w:r>
      </w:hyperlink>
      <w:r w:rsidRPr="00C0046A">
        <w:rPr>
          <w:rFonts w:ascii="Times New Roman" w:hAnsi="Times New Roman"/>
          <w:sz w:val="24"/>
          <w:szCs w:val="24"/>
        </w:rPr>
        <w:t xml:space="preserve"> </w:t>
      </w:r>
    </w:p>
    <w:p w14:paraId="575D1D64" w14:textId="77777777" w:rsidR="007105B3" w:rsidRPr="00C0046A" w:rsidRDefault="007105B3" w:rsidP="007105B3">
      <w:pPr>
        <w:pStyle w:val="NoSpacing"/>
        <w:rPr>
          <w:rFonts w:ascii="Times New Roman" w:hAnsi="Times New Roman"/>
          <w:sz w:val="24"/>
          <w:szCs w:val="24"/>
        </w:rPr>
      </w:pPr>
    </w:p>
    <w:p w14:paraId="35944D2B" w14:textId="77777777" w:rsidR="0020758F" w:rsidRDefault="0020758F" w:rsidP="00F326E5">
      <w:pPr>
        <w:pStyle w:val="NoSpacing"/>
        <w:rPr>
          <w:rFonts w:ascii="Arial Black" w:hAnsi="Arial Black"/>
          <w:sz w:val="28"/>
          <w:szCs w:val="28"/>
        </w:rPr>
      </w:pPr>
    </w:p>
    <w:p w14:paraId="1B91BAD1" w14:textId="77777777" w:rsidR="0020758F" w:rsidRDefault="0020758F" w:rsidP="00F326E5">
      <w:pPr>
        <w:pStyle w:val="NoSpacing"/>
        <w:rPr>
          <w:rFonts w:ascii="Arial Black" w:hAnsi="Arial Black"/>
          <w:sz w:val="28"/>
          <w:szCs w:val="28"/>
        </w:rPr>
      </w:pPr>
    </w:p>
    <w:p w14:paraId="03CEC504" w14:textId="77777777" w:rsidR="0020758F" w:rsidRDefault="0020758F" w:rsidP="00F326E5">
      <w:pPr>
        <w:pStyle w:val="NoSpacing"/>
        <w:rPr>
          <w:rFonts w:ascii="Arial Black" w:hAnsi="Arial Black"/>
          <w:sz w:val="28"/>
          <w:szCs w:val="28"/>
        </w:rPr>
      </w:pPr>
    </w:p>
    <w:p w14:paraId="146984B3" w14:textId="40B8923B" w:rsidR="0020758F" w:rsidRDefault="0020758F" w:rsidP="00F326E5">
      <w:pPr>
        <w:pStyle w:val="NoSpacing"/>
        <w:rPr>
          <w:rFonts w:ascii="Arial Black" w:hAnsi="Arial Black"/>
          <w:sz w:val="28"/>
          <w:szCs w:val="28"/>
        </w:rPr>
      </w:pPr>
      <w:r>
        <w:rPr>
          <w:rFonts w:ascii="Arial Black" w:hAnsi="Arial Black"/>
          <w:sz w:val="28"/>
          <w:szCs w:val="28"/>
        </w:rPr>
        <w:t>3-23</w:t>
      </w:r>
    </w:p>
    <w:p w14:paraId="1E6F770F" w14:textId="77777777" w:rsidR="0020758F" w:rsidRPr="008900B0" w:rsidRDefault="0020758F" w:rsidP="0020758F">
      <w:pPr>
        <w:pStyle w:val="NormalWeb"/>
        <w:tabs>
          <w:tab w:val="left" w:pos="4200"/>
        </w:tabs>
        <w:rPr>
          <w:rFonts w:ascii="Arial Black" w:hAnsi="Arial Black"/>
          <w:sz w:val="28"/>
          <w:szCs w:val="28"/>
        </w:rPr>
      </w:pPr>
      <w:r w:rsidRPr="008900B0">
        <w:rPr>
          <w:rFonts w:ascii="Arial Black" w:hAnsi="Arial Black"/>
          <w:sz w:val="28"/>
          <w:szCs w:val="28"/>
        </w:rPr>
        <w:t xml:space="preserve">U.S. SUPREME COURT: </w:t>
      </w:r>
      <w:r>
        <w:rPr>
          <w:rFonts w:ascii="Arial Black" w:hAnsi="Arial Black"/>
          <w:sz w:val="28"/>
          <w:szCs w:val="28"/>
        </w:rPr>
        <w:t xml:space="preserve"> DACA PROGRAM MAY NOT BE TERMINATED UNTIL DHS FOLLOWS APA – 700,000 ALIENS</w:t>
      </w:r>
    </w:p>
    <w:p w14:paraId="353737F7" w14:textId="77777777" w:rsidR="0020758F" w:rsidRDefault="0020758F" w:rsidP="0020758F">
      <w:pPr>
        <w:pStyle w:val="NormalWeb"/>
      </w:pPr>
      <w:r>
        <w:rPr>
          <w:sz w:val="27"/>
          <w:szCs w:val="27"/>
        </w:rPr>
        <w:t xml:space="preserve">On June 18, 2020, in </w:t>
      </w:r>
      <w:r w:rsidRPr="008900B0">
        <w:rPr>
          <w:u w:val="single"/>
        </w:rPr>
        <w:t>Department of Homeland Security v. Regents of the University of California, et al.</w:t>
      </w:r>
      <w:r>
        <w:rPr>
          <w:sz w:val="27"/>
          <w:szCs w:val="27"/>
        </w:rPr>
        <w:t xml:space="preserve">, the U.S. Supreme Court held (5 to 4) in an opinion by Chief Justice John Roberts, that the Trump Administration has not complied with the Administrative Procedures Act [notice of planned action, administrative hearings] in terminating the 2012 U.S. Department of Homeland Security program, established by President Obama.  DACA [Deferred Action for Childhood Arrivals] has allowed 700,000 children of aliens to remain in the United States, request work authorization and be eligible for Social Security and Medicare.   Chief Justice Roberts wrote: “We do not decide whether DACA or its rescission are sound policies…. We address only whether the agency complied with the procedural requirement that it provide a reasoned explanation for its action. Here the agency failed to consider the conspicuous issues of whether to retain forbearance and what if anything to do about the hardship to DACA recipients. That dual failure raises doubts about whether the agency appreciated the scope of its discretion or exercised that discretion in a reasonable manner. The appropriate recourse is therefore to remand to DHS so that it may consider the problem </w:t>
      </w:r>
      <w:proofErr w:type="gramStart"/>
      <w:r>
        <w:rPr>
          <w:sz w:val="27"/>
          <w:szCs w:val="27"/>
        </w:rPr>
        <w:t>anew.”</w:t>
      </w:r>
      <w:proofErr w:type="gramEnd"/>
      <w:r w:rsidRPr="00120207">
        <w:t xml:space="preserve"> </w:t>
      </w:r>
      <w:hyperlink r:id="rId834" w:history="1">
        <w:r w:rsidRPr="0037669D">
          <w:rPr>
            <w:rStyle w:val="Hyperlink"/>
            <w:sz w:val="27"/>
            <w:szCs w:val="27"/>
          </w:rPr>
          <w:t>https://www.supremecourt.gov/opinions/19pdf/18-587_5ifl.pdf</w:t>
        </w:r>
      </w:hyperlink>
      <w:r>
        <w:rPr>
          <w:sz w:val="27"/>
          <w:szCs w:val="27"/>
        </w:rPr>
        <w:t xml:space="preserve"> </w:t>
      </w:r>
    </w:p>
    <w:p w14:paraId="2B5E8E50" w14:textId="77777777" w:rsidR="0020758F" w:rsidRDefault="0020758F" w:rsidP="0020758F">
      <w:pPr>
        <w:pStyle w:val="NormalWeb"/>
        <w:rPr>
          <w:b/>
          <w:bCs/>
        </w:rPr>
      </w:pPr>
      <w:r w:rsidRPr="00120207">
        <w:rPr>
          <w:b/>
          <w:bCs/>
        </w:rPr>
        <w:t>Legal Lessons Learned:</w:t>
      </w:r>
      <w:r>
        <w:rPr>
          <w:b/>
          <w:bCs/>
        </w:rPr>
        <w:t xml:space="preserve">  This is a very “hot topic” that may in the future again be reviewed by the U.S. Supreme Court. </w:t>
      </w:r>
    </w:p>
    <w:p w14:paraId="6586675B" w14:textId="77777777" w:rsidR="0020758F" w:rsidRDefault="0020758F" w:rsidP="0020758F">
      <w:pPr>
        <w:pStyle w:val="NormalWeb"/>
        <w:ind w:left="720"/>
      </w:pPr>
      <w:r w:rsidRPr="004F5401">
        <w:t xml:space="preserve">Note: </w:t>
      </w:r>
      <w:r>
        <w:t xml:space="preserve"> See June 18, </w:t>
      </w:r>
      <w:proofErr w:type="gramStart"/>
      <w:r>
        <w:t>2020</w:t>
      </w:r>
      <w:proofErr w:type="gramEnd"/>
      <w:r>
        <w:t xml:space="preserve"> DHS statement: </w:t>
      </w:r>
    </w:p>
    <w:tbl>
      <w:tblPr>
        <w:tblW w:w="0" w:type="auto"/>
        <w:tblCellSpacing w:w="15" w:type="dxa"/>
        <w:tblLook w:val="04A0" w:firstRow="1" w:lastRow="0" w:firstColumn="1" w:lastColumn="0" w:noHBand="0" w:noVBand="1"/>
      </w:tblPr>
      <w:tblGrid>
        <w:gridCol w:w="96"/>
      </w:tblGrid>
      <w:tr w:rsidR="0020758F" w14:paraId="2DC4FD56" w14:textId="77777777" w:rsidTr="0020758F">
        <w:trPr>
          <w:tblCellSpacing w:w="15" w:type="dxa"/>
        </w:trPr>
        <w:tc>
          <w:tcPr>
            <w:tcW w:w="0" w:type="auto"/>
            <w:tcMar>
              <w:top w:w="15" w:type="dxa"/>
              <w:left w:w="15" w:type="dxa"/>
              <w:bottom w:w="15" w:type="dxa"/>
              <w:right w:w="15" w:type="dxa"/>
            </w:tcMar>
            <w:vAlign w:val="center"/>
            <w:hideMark/>
          </w:tcPr>
          <w:p w14:paraId="7037F528" w14:textId="77777777" w:rsidR="0020758F" w:rsidRDefault="0020758F" w:rsidP="0020758F">
            <w:bookmarkStart w:id="142" w:name="gd_top"/>
          </w:p>
        </w:tc>
      </w:tr>
      <w:bookmarkEnd w:id="142"/>
    </w:tbl>
    <w:p w14:paraId="7937A52E" w14:textId="77777777" w:rsidR="0020758F" w:rsidRDefault="0020758F" w:rsidP="0020758F">
      <w:pPr>
        <w:rPr>
          <w:rFonts w:eastAsia="Times New Roman" w:cs="Calibri"/>
          <w:vanish/>
          <w:lang w:val="en"/>
        </w:rPr>
      </w:pPr>
    </w:p>
    <w:tbl>
      <w:tblPr>
        <w:tblW w:w="5000" w:type="pct"/>
        <w:jc w:val="center"/>
        <w:shd w:val="clear" w:color="auto" w:fill="FFFFFF"/>
        <w:tblCellMar>
          <w:left w:w="0" w:type="dxa"/>
          <w:right w:w="0" w:type="dxa"/>
        </w:tblCellMar>
        <w:tblLook w:val="04A0" w:firstRow="1" w:lastRow="0" w:firstColumn="1" w:lastColumn="0" w:noHBand="0" w:noVBand="1"/>
      </w:tblPr>
      <w:tblGrid>
        <w:gridCol w:w="10800"/>
      </w:tblGrid>
      <w:tr w:rsidR="0020758F" w14:paraId="6E5EAE02" w14:textId="77777777" w:rsidTr="0020758F">
        <w:trPr>
          <w:jc w:val="center"/>
        </w:trPr>
        <w:tc>
          <w:tcPr>
            <w:tcW w:w="5000" w:type="pct"/>
            <w:shd w:val="clear" w:color="auto" w:fill="FFFFFF"/>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20758F" w14:paraId="64C728E2" w14:textId="77777777" w:rsidTr="0020758F">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20758F" w14:paraId="0FDAF4DB" w14:textId="77777777" w:rsidTr="0020758F">
                    <w:trPr>
                      <w:jc w:val="center"/>
                    </w:trPr>
                    <w:tc>
                      <w:tcPr>
                        <w:tcW w:w="0" w:type="auto"/>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20758F" w14:paraId="4CB81432" w14:textId="77777777" w:rsidTr="0020758F">
                          <w:trPr>
                            <w:jc w:val="center"/>
                          </w:trPr>
                          <w:tc>
                            <w:tcPr>
                              <w:tcW w:w="5000" w:type="pct"/>
                              <w:shd w:val="clear" w:color="auto" w:fill="FFFFFF"/>
                              <w:tcMar>
                                <w:top w:w="75" w:type="dxa"/>
                                <w:left w:w="75" w:type="dxa"/>
                                <w:bottom w:w="0" w:type="dxa"/>
                                <w:right w:w="75" w:type="dxa"/>
                              </w:tcMar>
                              <w:vAlign w:val="center"/>
                              <w:hideMark/>
                            </w:tcPr>
                            <w:p w14:paraId="66C8C6DA" w14:textId="77777777" w:rsidR="0020758F" w:rsidRDefault="0020758F" w:rsidP="0020758F">
                              <w:pPr>
                                <w:pStyle w:val="gdp"/>
                                <w:spacing w:before="150" w:beforeAutospacing="0" w:after="150" w:afterAutospacing="0"/>
                                <w:jc w:val="center"/>
                                <w:rPr>
                                  <w:rFonts w:ascii="Book Antiqua" w:hAnsi="Book Antiqua"/>
                                  <w:color w:val="000000"/>
                                  <w:sz w:val="23"/>
                                  <w:szCs w:val="23"/>
                                </w:rPr>
                              </w:pPr>
                              <w:r>
                                <w:rPr>
                                  <w:rFonts w:ascii="Book Antiqua" w:hAnsi="Book Antiqua"/>
                                  <w:color w:val="000000"/>
                                  <w:sz w:val="23"/>
                                  <w:szCs w:val="23"/>
                                </w:rPr>
                                <w:t>U.S. DEPARTMENT OF HOMELAND SECURITY</w:t>
                              </w:r>
                            </w:p>
                            <w:p w14:paraId="3F817DD3" w14:textId="77777777" w:rsidR="0020758F" w:rsidRDefault="0020758F" w:rsidP="0020758F">
                              <w:pPr>
                                <w:pStyle w:val="gdp"/>
                                <w:spacing w:before="150" w:beforeAutospacing="0" w:after="150" w:afterAutospacing="0"/>
                                <w:jc w:val="center"/>
                                <w:rPr>
                                  <w:rFonts w:ascii="Book Antiqua" w:hAnsi="Book Antiqua"/>
                                  <w:color w:val="000000"/>
                                  <w:sz w:val="23"/>
                                  <w:szCs w:val="23"/>
                                </w:rPr>
                              </w:pPr>
                              <w:r>
                                <w:rPr>
                                  <w:rFonts w:ascii="Book Antiqua" w:hAnsi="Book Antiqua"/>
                                  <w:color w:val="000000"/>
                                  <w:sz w:val="23"/>
                                  <w:szCs w:val="23"/>
                                </w:rPr>
                                <w:t>Office of Public Affairs</w:t>
                              </w:r>
                            </w:p>
                            <w:p w14:paraId="65C4DF51" w14:textId="77777777" w:rsidR="0020758F" w:rsidRDefault="00C974DE" w:rsidP="0020758F">
                              <w:pPr>
                                <w:jc w:val="center"/>
                                <w:rPr>
                                  <w:rFonts w:eastAsia="Times New Roman"/>
                                </w:rPr>
                              </w:pPr>
                              <w:r>
                                <w:rPr>
                                  <w:rFonts w:eastAsia="Times New Roman"/>
                                </w:rPr>
                                <w:pict w14:anchorId="4F131D79">
                                  <v:rect id="_x0000_i1025" style="width:468pt;height:1pt" o:hralign="center" o:hrstd="t" o:hr="t" fillcolor="#a0a0a0" stroked="f"/>
                                </w:pict>
                              </w:r>
                            </w:p>
                          </w:tc>
                        </w:tr>
                        <w:tr w:rsidR="0020758F" w14:paraId="0664FD2F" w14:textId="77777777" w:rsidTr="0020758F">
                          <w:trPr>
                            <w:jc w:val="center"/>
                          </w:trPr>
                          <w:tc>
                            <w:tcPr>
                              <w:tcW w:w="5000" w:type="pct"/>
                              <w:shd w:val="clear" w:color="auto" w:fill="FFFFFF"/>
                              <w:tcMar>
                                <w:top w:w="0" w:type="dxa"/>
                                <w:left w:w="75" w:type="dxa"/>
                                <w:bottom w:w="75" w:type="dxa"/>
                                <w:right w:w="75" w:type="dxa"/>
                              </w:tcMar>
                              <w:vAlign w:val="center"/>
                              <w:hideMark/>
                            </w:tcPr>
                            <w:p w14:paraId="4CEB9FF9" w14:textId="77777777" w:rsidR="0020758F" w:rsidRDefault="0020758F" w:rsidP="0020758F">
                              <w:pPr>
                                <w:pStyle w:val="NormalWeb"/>
                                <w:spacing w:before="0" w:beforeAutospacing="0" w:after="0" w:afterAutospacing="0"/>
                                <w:jc w:val="center"/>
                                <w:rPr>
                                  <w:rFonts w:eastAsiaTheme="minorHAnsi"/>
                                </w:rPr>
                              </w:pPr>
                              <w:r>
                                <w:rPr>
                                  <w:rStyle w:val="Strong"/>
                                </w:rPr>
                                <w:t xml:space="preserve">DHS Statement </w:t>
                              </w:r>
                              <w:proofErr w:type="gramStart"/>
                              <w:r>
                                <w:rPr>
                                  <w:rStyle w:val="Strong"/>
                                </w:rPr>
                                <w:t>On</w:t>
                              </w:r>
                              <w:proofErr w:type="gramEnd"/>
                              <w:r>
                                <w:rPr>
                                  <w:rStyle w:val="Strong"/>
                                </w:rPr>
                                <w:t xml:space="preserve"> Supreme Court Decision on DACA</w:t>
                              </w:r>
                            </w:p>
                          </w:tc>
                        </w:tr>
                        <w:tr w:rsidR="0020758F" w14:paraId="447CB144" w14:textId="77777777" w:rsidTr="0020758F">
                          <w:trPr>
                            <w:jc w:val="center"/>
                          </w:trPr>
                          <w:tc>
                            <w:tcPr>
                              <w:tcW w:w="5000" w:type="pct"/>
                              <w:shd w:val="clear" w:color="auto" w:fill="FFFFFF"/>
                              <w:tcMar>
                                <w:top w:w="75" w:type="dxa"/>
                                <w:left w:w="75" w:type="dxa"/>
                                <w:bottom w:w="75" w:type="dxa"/>
                                <w:right w:w="75" w:type="dxa"/>
                              </w:tcMar>
                              <w:vAlign w:val="center"/>
                              <w:hideMark/>
                            </w:tcPr>
                            <w:p w14:paraId="6B51B2DD"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WASHINGTON- The Department of Homeland Security released the following statements regarding the Supreme Court decision on DACA.</w:t>
                              </w:r>
                            </w:p>
                            <w:p w14:paraId="3847AA5E"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w:t>
                              </w:r>
                            </w:p>
                            <w:p w14:paraId="305FA926"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xml:space="preserve">Acting Secretary Chad Wolf: “DACA recipients deserve closure and finality surrounding their status here in the U.S. Unfortunately, today’s Supreme Court decision fails to provide that certainty. The DACA program was created out of thin air and implemented illegally. The American people deserve to have the Nation’s laws faithfully executed as written by their representatives in Congress—not based on the arbitrary decisions of a past Administration. This ruling usurps the clear authority of the Executive Branch to end unlawful programs.” </w:t>
                              </w:r>
                            </w:p>
                            <w:p w14:paraId="60E8D7D7"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w:t>
                              </w:r>
                            </w:p>
                            <w:p w14:paraId="5FAD466B" w14:textId="77777777" w:rsidR="0020758F" w:rsidRDefault="0020758F" w:rsidP="0020758F">
                              <w:pPr>
                                <w:pStyle w:val="NormalWeb"/>
                                <w:spacing w:before="0" w:beforeAutospacing="0" w:after="0" w:afterAutospacing="0"/>
                                <w:rPr>
                                  <w:color w:val="000000"/>
                                </w:rPr>
                              </w:pPr>
                              <w:r>
                                <w:rPr>
                                  <w:color w:val="000000"/>
                                </w:rPr>
                                <w:t xml:space="preserve">Acting Deputy Secretary Ken Cuccinelli: “The Supreme Court’s decision is an affront to the rule of law and gives </w:t>
                              </w:r>
                              <w:proofErr w:type="gramStart"/>
                              <w:r>
                                <w:rPr>
                                  <w:color w:val="000000"/>
                                </w:rPr>
                                <w:t>Presidents</w:t>
                              </w:r>
                              <w:proofErr w:type="gramEnd"/>
                              <w:r>
                                <w:rPr>
                                  <w:color w:val="000000"/>
                                </w:rPr>
                                <w:t xml:space="preserve"> power to extend discretionary policies into future Administrations. No Justice will say that the DACA program is lawful, and that should be enough reason to end it.  Justice Clarence Thomas had it right in dissent: ‘Such timidity [by SCOTUS] forsakes the Court’s duty to apply the law according to neutral principles and the ripple effects of the majority’s error will be felt throughout our system of self-government.’”</w:t>
                              </w:r>
                            </w:p>
                            <w:p w14:paraId="1573659E" w14:textId="77777777" w:rsidR="0020758F" w:rsidRDefault="0020758F" w:rsidP="0020758F">
                              <w:pPr>
                                <w:pStyle w:val="NormalWeb"/>
                                <w:spacing w:before="0" w:beforeAutospacing="0" w:after="0" w:afterAutospacing="0"/>
                                <w:rPr>
                                  <w:color w:val="000000"/>
                                </w:rPr>
                              </w:pPr>
                            </w:p>
                            <w:p w14:paraId="070E23B6" w14:textId="77777777" w:rsidR="0020758F" w:rsidRDefault="0020758F" w:rsidP="0020758F">
                              <w:pPr>
                                <w:pStyle w:val="NormalWeb"/>
                                <w:spacing w:before="0" w:beforeAutospacing="0" w:after="0" w:afterAutospacing="0"/>
                                <w:rPr>
                                  <w:rFonts w:ascii="Book Antiqua" w:hAnsi="Book Antiqua"/>
                                  <w:color w:val="000000"/>
                                  <w:sz w:val="23"/>
                                  <w:szCs w:val="23"/>
                                </w:rPr>
                              </w:pPr>
                              <w:hyperlink r:id="rId835" w:history="1">
                                <w:r w:rsidRPr="0037669D">
                                  <w:rPr>
                                    <w:rStyle w:val="Hyperlink"/>
                                  </w:rPr>
                                  <w:t>https://www.dhs.gov/news/2020/06/18/dhs-statement-supreme-court-decision-daca</w:t>
                                </w:r>
                              </w:hyperlink>
                            </w:p>
                          </w:tc>
                        </w:tr>
                        <w:tr w:rsidR="0020758F" w14:paraId="43FD253C" w14:textId="77777777" w:rsidTr="0020758F">
                          <w:trPr>
                            <w:jc w:val="center"/>
                          </w:trPr>
                          <w:tc>
                            <w:tcPr>
                              <w:tcW w:w="5000" w:type="pct"/>
                              <w:shd w:val="clear" w:color="auto" w:fill="FFFFFF"/>
                              <w:vAlign w:val="center"/>
                              <w:hideMark/>
                            </w:tcPr>
                            <w:p w14:paraId="7EA967B9" w14:textId="77777777" w:rsidR="0020758F" w:rsidRDefault="0020758F" w:rsidP="0020758F">
                              <w:pPr>
                                <w:pStyle w:val="gdp"/>
                                <w:spacing w:before="150" w:beforeAutospacing="0" w:after="150" w:afterAutospacing="0"/>
                                <w:jc w:val="center"/>
                                <w:rPr>
                                  <w:rFonts w:ascii="Book Antiqua" w:hAnsi="Book Antiqua"/>
                                  <w:sz w:val="23"/>
                                  <w:szCs w:val="23"/>
                                </w:rPr>
                              </w:pPr>
                            </w:p>
                          </w:tc>
                        </w:tr>
                      </w:tbl>
                      <w:p w14:paraId="618A408B" w14:textId="77777777" w:rsidR="0020758F" w:rsidRDefault="0020758F" w:rsidP="0020758F">
                        <w:pPr>
                          <w:jc w:val="center"/>
                          <w:rPr>
                            <w:rFonts w:ascii="Times New Roman" w:eastAsia="Times New Roman" w:hAnsi="Times New Roman"/>
                            <w:sz w:val="20"/>
                            <w:szCs w:val="20"/>
                          </w:rPr>
                        </w:pPr>
                      </w:p>
                    </w:tc>
                  </w:tr>
                </w:tbl>
                <w:p w14:paraId="5DF03FA9" w14:textId="77777777" w:rsidR="0020758F" w:rsidRDefault="0020758F" w:rsidP="0020758F">
                  <w:pPr>
                    <w:jc w:val="center"/>
                    <w:rPr>
                      <w:rFonts w:ascii="Times New Roman" w:eastAsia="Times New Roman" w:hAnsi="Times New Roman"/>
                      <w:sz w:val="20"/>
                      <w:szCs w:val="20"/>
                    </w:rPr>
                  </w:pPr>
                </w:p>
              </w:tc>
            </w:tr>
          </w:tbl>
          <w:p w14:paraId="477854EC" w14:textId="77777777" w:rsidR="0020758F" w:rsidRDefault="0020758F" w:rsidP="0020758F">
            <w:pPr>
              <w:jc w:val="center"/>
              <w:rPr>
                <w:rFonts w:ascii="Times New Roman" w:eastAsia="Times New Roman" w:hAnsi="Times New Roman"/>
                <w:sz w:val="20"/>
                <w:szCs w:val="20"/>
              </w:rPr>
            </w:pPr>
          </w:p>
        </w:tc>
      </w:tr>
    </w:tbl>
    <w:p w14:paraId="423FA37B" w14:textId="77777777" w:rsidR="0020758F" w:rsidRDefault="0020758F" w:rsidP="00F326E5">
      <w:pPr>
        <w:pStyle w:val="NoSpacing"/>
        <w:rPr>
          <w:rFonts w:ascii="Arial Black" w:hAnsi="Arial Black"/>
          <w:sz w:val="28"/>
          <w:szCs w:val="28"/>
        </w:rPr>
      </w:pPr>
    </w:p>
    <w:p w14:paraId="4044D1AE" w14:textId="77777777" w:rsidR="0020758F" w:rsidRDefault="0020758F" w:rsidP="00F326E5">
      <w:pPr>
        <w:pStyle w:val="NoSpacing"/>
        <w:rPr>
          <w:rFonts w:ascii="Arial Black" w:hAnsi="Arial Black"/>
          <w:sz w:val="28"/>
          <w:szCs w:val="28"/>
        </w:rPr>
      </w:pPr>
    </w:p>
    <w:p w14:paraId="746802DD" w14:textId="77777777" w:rsidR="0020758F" w:rsidRDefault="0020758F" w:rsidP="00F326E5">
      <w:pPr>
        <w:pStyle w:val="NoSpacing"/>
        <w:rPr>
          <w:rFonts w:ascii="Arial Black" w:hAnsi="Arial Black"/>
          <w:sz w:val="28"/>
          <w:szCs w:val="28"/>
        </w:rPr>
      </w:pPr>
    </w:p>
    <w:p w14:paraId="7F21F478" w14:textId="77777777" w:rsidR="0020758F" w:rsidRDefault="0020758F" w:rsidP="00F326E5">
      <w:pPr>
        <w:pStyle w:val="NoSpacing"/>
        <w:rPr>
          <w:rFonts w:ascii="Arial Black" w:hAnsi="Arial Black"/>
          <w:sz w:val="28"/>
          <w:szCs w:val="28"/>
        </w:rPr>
      </w:pPr>
    </w:p>
    <w:p w14:paraId="7A1B8250" w14:textId="5542CF92" w:rsidR="005F0E6D" w:rsidRDefault="005F0E6D" w:rsidP="00F326E5">
      <w:pPr>
        <w:pStyle w:val="NoSpacing"/>
        <w:rPr>
          <w:rFonts w:ascii="Arial Black" w:hAnsi="Arial Black"/>
          <w:sz w:val="28"/>
          <w:szCs w:val="28"/>
        </w:rPr>
      </w:pPr>
      <w:r>
        <w:rPr>
          <w:rFonts w:ascii="Arial Black" w:hAnsi="Arial Black"/>
          <w:sz w:val="28"/>
          <w:szCs w:val="28"/>
        </w:rPr>
        <w:t>3-22</w:t>
      </w:r>
    </w:p>
    <w:p w14:paraId="51F0840B" w14:textId="25D069EA" w:rsidR="005F0E6D" w:rsidRDefault="005F0E6D" w:rsidP="00F326E5">
      <w:pPr>
        <w:pStyle w:val="NoSpacing"/>
        <w:rPr>
          <w:rFonts w:ascii="Arial Black" w:hAnsi="Arial Black"/>
          <w:sz w:val="28"/>
          <w:szCs w:val="28"/>
        </w:rPr>
      </w:pPr>
    </w:p>
    <w:p w14:paraId="7CDAB09D" w14:textId="77777777" w:rsidR="005F0E6D" w:rsidRPr="00F366B7" w:rsidRDefault="005F0E6D" w:rsidP="005F0E6D">
      <w:pPr>
        <w:pStyle w:val="NoSpacing"/>
        <w:rPr>
          <w:rFonts w:ascii="Arial Black" w:hAnsi="Arial Black"/>
          <w:b/>
          <w:bCs/>
          <w:sz w:val="28"/>
          <w:szCs w:val="28"/>
        </w:rPr>
      </w:pPr>
      <w:r w:rsidRPr="00F366B7">
        <w:rPr>
          <w:rFonts w:ascii="Arial Black" w:hAnsi="Arial Black"/>
          <w:bCs/>
          <w:sz w:val="28"/>
          <w:szCs w:val="28"/>
        </w:rPr>
        <w:t>NY:</w:t>
      </w:r>
      <w:r>
        <w:rPr>
          <w:rFonts w:ascii="Arial Black" w:hAnsi="Arial Black"/>
          <w:bCs/>
          <w:sz w:val="28"/>
          <w:szCs w:val="28"/>
        </w:rPr>
        <w:t xml:space="preserve"> TERRORIST – FINGERPRINTS ON BOMB’S PACKING TAPE – CROSS EXAM. FBI EXAMINER NOT ON SPAIN CASE</w:t>
      </w:r>
    </w:p>
    <w:p w14:paraId="6CB67344" w14:textId="77777777" w:rsidR="005F0E6D" w:rsidRPr="00F366B7" w:rsidRDefault="005F0E6D" w:rsidP="005F0E6D">
      <w:pPr>
        <w:pStyle w:val="NoSpacing"/>
        <w:ind w:left="720"/>
        <w:rPr>
          <w:rFonts w:ascii="NYArial Black" w:hAnsi="NYArial Black"/>
          <w:b/>
          <w:bCs/>
          <w:sz w:val="28"/>
          <w:szCs w:val="28"/>
        </w:rPr>
      </w:pPr>
    </w:p>
    <w:p w14:paraId="53EF50B2" w14:textId="23365003" w:rsidR="005F0E6D" w:rsidRDefault="005F0E6D" w:rsidP="005F0E6D">
      <w:pPr>
        <w:pStyle w:val="NoSpacing"/>
        <w:rPr>
          <w:rFonts w:ascii="Times New Roman" w:hAnsi="Times New Roman"/>
          <w:bCs/>
          <w:sz w:val="24"/>
          <w:szCs w:val="24"/>
        </w:rPr>
      </w:pPr>
      <w:r w:rsidRPr="000A5D76">
        <w:rPr>
          <w:rFonts w:ascii="Times New Roman" w:hAnsi="Times New Roman"/>
          <w:bCs/>
          <w:sz w:val="24"/>
          <w:szCs w:val="24"/>
        </w:rPr>
        <w:t xml:space="preserve">On April 16, 2020, in </w:t>
      </w:r>
      <w:r w:rsidRPr="000A5D76">
        <w:rPr>
          <w:rFonts w:ascii="Times New Roman" w:hAnsi="Times New Roman"/>
          <w:bCs/>
          <w:sz w:val="24"/>
          <w:szCs w:val="24"/>
          <w:u w:val="single"/>
        </w:rPr>
        <w:t>United States of America v. Muhanad Mahmoud Al Farekh</w:t>
      </w:r>
      <w:r w:rsidRPr="000A5D76">
        <w:rPr>
          <w:rFonts w:ascii="Times New Roman" w:hAnsi="Times New Roman"/>
          <w:bCs/>
          <w:sz w:val="24"/>
          <w:szCs w:val="24"/>
        </w:rPr>
        <w:t xml:space="preserve">, the U.S. Court of Appeals for Second Circuit (New York) held (3 to 0) that trial judge properly reviewed FBI classified documents </w:t>
      </w:r>
      <w:r w:rsidRPr="000A5D76">
        <w:rPr>
          <w:rFonts w:ascii="Times New Roman" w:hAnsi="Times New Roman"/>
          <w:bCs/>
          <w:i/>
          <w:iCs/>
          <w:sz w:val="24"/>
          <w:szCs w:val="24"/>
        </w:rPr>
        <w:t xml:space="preserve">ex </w:t>
      </w:r>
      <w:proofErr w:type="spellStart"/>
      <w:r w:rsidRPr="000A5D76">
        <w:rPr>
          <w:rFonts w:ascii="Times New Roman" w:hAnsi="Times New Roman"/>
          <w:bCs/>
          <w:i/>
          <w:iCs/>
          <w:sz w:val="24"/>
          <w:szCs w:val="24"/>
        </w:rPr>
        <w:t>parte</w:t>
      </w:r>
      <w:proofErr w:type="spellEnd"/>
      <w:r w:rsidRPr="000A5D76">
        <w:rPr>
          <w:rFonts w:ascii="Times New Roman" w:hAnsi="Times New Roman"/>
          <w:bCs/>
          <w:sz w:val="24"/>
          <w:szCs w:val="24"/>
        </w:rPr>
        <w:t xml:space="preserve"> (without defense counsel), and properly prohibited defense counsel to cross-examination of FBI fingerprint examiner about another FBI fingerprint case 16 years earlier involving attacks on commuter trains in Madrid, Spain.   [Note: In </w:t>
      </w:r>
      <w:proofErr w:type="gramStart"/>
      <w:r w:rsidRPr="000A5D76">
        <w:rPr>
          <w:rFonts w:ascii="Times New Roman" w:hAnsi="Times New Roman"/>
          <w:bCs/>
          <w:sz w:val="24"/>
          <w:szCs w:val="24"/>
        </w:rPr>
        <w:t>May,</w:t>
      </w:r>
      <w:proofErr w:type="gramEnd"/>
      <w:r w:rsidRPr="000A5D76">
        <w:rPr>
          <w:rFonts w:ascii="Times New Roman" w:hAnsi="Times New Roman"/>
          <w:bCs/>
          <w:sz w:val="24"/>
          <w:szCs w:val="24"/>
        </w:rPr>
        <w:t xml:space="preserve"> 2004, the FBI arrested Brandon Mayfield, </w:t>
      </w:r>
      <w:proofErr w:type="gramStart"/>
      <w:r w:rsidRPr="000A5D76">
        <w:rPr>
          <w:rFonts w:ascii="Times New Roman" w:hAnsi="Times New Roman"/>
          <w:bCs/>
          <w:sz w:val="24"/>
          <w:szCs w:val="24"/>
        </w:rPr>
        <w:t>a</w:t>
      </w:r>
      <w:proofErr w:type="gramEnd"/>
      <w:r w:rsidRPr="000A5D76">
        <w:rPr>
          <w:rFonts w:ascii="Times New Roman" w:hAnsi="Times New Roman"/>
          <w:bCs/>
          <w:sz w:val="24"/>
          <w:szCs w:val="24"/>
        </w:rPr>
        <w:t xml:space="preserve"> Oregon attorney, as a material witness in an investigation of the terrorist attacks on commuter trains in Madrid, Spain in </w:t>
      </w:r>
      <w:proofErr w:type="gramStart"/>
      <w:r w:rsidRPr="000A5D76">
        <w:rPr>
          <w:rFonts w:ascii="Times New Roman" w:hAnsi="Times New Roman"/>
          <w:bCs/>
          <w:sz w:val="24"/>
          <w:szCs w:val="24"/>
        </w:rPr>
        <w:t>March,</w:t>
      </w:r>
      <w:proofErr w:type="gramEnd"/>
      <w:r w:rsidRPr="000A5D76">
        <w:rPr>
          <w:rFonts w:ascii="Times New Roman" w:hAnsi="Times New Roman"/>
          <w:bCs/>
          <w:sz w:val="24"/>
          <w:szCs w:val="24"/>
        </w:rPr>
        <w:t xml:space="preserve"> 2004.  The FBI Laboratory </w:t>
      </w:r>
    </w:p>
    <w:p w14:paraId="1EF7A63E" w14:textId="77777777" w:rsidR="005F0E6D" w:rsidRPr="000A5D76" w:rsidRDefault="005F0E6D" w:rsidP="005F0E6D">
      <w:pPr>
        <w:pStyle w:val="NoSpacing"/>
        <w:rPr>
          <w:rFonts w:ascii="Times New Roman" w:hAnsi="Times New Roman"/>
          <w:b/>
          <w:bCs/>
          <w:sz w:val="24"/>
          <w:szCs w:val="24"/>
        </w:rPr>
      </w:pPr>
      <w:proofErr w:type="gramStart"/>
      <w:r w:rsidRPr="000A5D76">
        <w:rPr>
          <w:rFonts w:ascii="Times New Roman" w:hAnsi="Times New Roman"/>
          <w:bCs/>
          <w:sz w:val="24"/>
          <w:szCs w:val="24"/>
        </w:rPr>
        <w:t>identified Mayfield’s</w:t>
      </w:r>
      <w:proofErr w:type="gramEnd"/>
      <w:r w:rsidRPr="000A5D76">
        <w:rPr>
          <w:rFonts w:ascii="Times New Roman" w:hAnsi="Times New Roman"/>
          <w:bCs/>
          <w:sz w:val="24"/>
          <w:szCs w:val="24"/>
        </w:rPr>
        <w:t xml:space="preserve"> </w:t>
      </w:r>
      <w:proofErr w:type="gramStart"/>
      <w:r w:rsidRPr="000A5D76">
        <w:rPr>
          <w:rFonts w:ascii="Times New Roman" w:hAnsi="Times New Roman"/>
          <w:bCs/>
          <w:sz w:val="24"/>
          <w:szCs w:val="24"/>
        </w:rPr>
        <w:t>fingerprint</w:t>
      </w:r>
      <w:proofErr w:type="gramEnd"/>
      <w:r w:rsidRPr="000A5D76">
        <w:rPr>
          <w:rFonts w:ascii="Times New Roman" w:hAnsi="Times New Roman"/>
          <w:bCs/>
          <w:sz w:val="24"/>
          <w:szCs w:val="24"/>
        </w:rPr>
        <w:t xml:space="preserve"> on a bag of detonators in Madrid.  Two weeks after Mayfield’s arrest, the Spanish National Police identified an Algerian as the source of the fingerprint, and Mayfield was released from custody.]</w:t>
      </w:r>
    </w:p>
    <w:p w14:paraId="1DB14961" w14:textId="77777777" w:rsidR="005F0E6D" w:rsidRPr="000A5D76" w:rsidRDefault="005F0E6D" w:rsidP="005F0E6D">
      <w:pPr>
        <w:pStyle w:val="NoSpacing"/>
        <w:ind w:left="720"/>
        <w:rPr>
          <w:rFonts w:ascii="Times New Roman" w:hAnsi="Times New Roman"/>
          <w:b/>
          <w:bCs/>
          <w:sz w:val="24"/>
          <w:szCs w:val="24"/>
        </w:rPr>
      </w:pPr>
    </w:p>
    <w:p w14:paraId="477C0BBA" w14:textId="3558D233" w:rsidR="005F0E6D" w:rsidRDefault="005F0E6D" w:rsidP="005F0E6D">
      <w:pPr>
        <w:pStyle w:val="NoSpacing"/>
        <w:ind w:left="720"/>
        <w:rPr>
          <w:rFonts w:ascii="Arial Black" w:hAnsi="Arial Black"/>
          <w:sz w:val="28"/>
          <w:szCs w:val="28"/>
        </w:rPr>
      </w:pPr>
      <w:r w:rsidRPr="000A5D76">
        <w:rPr>
          <w:rFonts w:ascii="Times New Roman" w:hAnsi="Times New Roman"/>
          <w:bCs/>
          <w:sz w:val="24"/>
          <w:szCs w:val="24"/>
        </w:rPr>
        <w:t>“[T]he District Court did not preclude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from highlighting the possible subjectivity of, and potential flaws in, fingerprint evidence through his cross-examination of Sibley. </w:t>
      </w:r>
      <w:proofErr w:type="gramStart"/>
      <w:r w:rsidRPr="000A5D76">
        <w:rPr>
          <w:rFonts w:ascii="Times New Roman" w:hAnsi="Times New Roman"/>
          <w:bCs/>
          <w:sz w:val="24"/>
          <w:szCs w:val="24"/>
        </w:rPr>
        <w:t>To</w:t>
      </w:r>
      <w:proofErr w:type="gramEnd"/>
      <w:r w:rsidRPr="000A5D76">
        <w:rPr>
          <w:rFonts w:ascii="Times New Roman" w:hAnsi="Times New Roman"/>
          <w:bCs/>
          <w:sz w:val="24"/>
          <w:szCs w:val="24"/>
        </w:rPr>
        <w:t xml:space="preserve"> the contrary,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had the opportunity to do just that. Sibley testified, for example, about the ‘level of subjectivity in latent print comparisons’ and about the potential for mistakes by examiners in making false positive identifications. Other than being unable to rely on the Mayfield case and the report of the Department of Justice’s Office of Inspector General prepared on that case,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was free to attack Sibley’s methodology and fingerprint examinations as a type of evidence.” </w:t>
      </w:r>
      <w:hyperlink r:id="rId836" w:anchor="xml=http://www.ca2.uscourts.gov/decisions/isysquery/d136f88b-cd40-4720-ac80-979ab5d9e37d/2/hilite/" w:history="1">
        <w:r w:rsidRPr="000A5D76">
          <w:rPr>
            <w:rStyle w:val="Hyperlink"/>
            <w:rFonts w:ascii="Times New Roman" w:hAnsi="Times New Roman"/>
            <w:b/>
            <w:sz w:val="24"/>
            <w:szCs w:val="24"/>
          </w:rPr>
          <w:t>http://www.ca2.uscourts.gov/decisions/isysquery/d136f88b-cd40-4720-ac80-979ab5d9e37d/2/doc/18-943_opn.pdf#xml=http://www.ca2.uscourts.gov/decisions/isysquery/d136f88b-cd40-4720-ac80-979ab5d9e37d/2/hilite/</w:t>
        </w:r>
      </w:hyperlink>
    </w:p>
    <w:p w14:paraId="7A34C34C" w14:textId="73447424" w:rsidR="005F0E6D" w:rsidRDefault="005F0E6D" w:rsidP="00F326E5">
      <w:pPr>
        <w:pStyle w:val="NoSpacing"/>
        <w:rPr>
          <w:rFonts w:ascii="Arial Black" w:hAnsi="Arial Black"/>
          <w:sz w:val="28"/>
          <w:szCs w:val="28"/>
        </w:rPr>
      </w:pPr>
    </w:p>
    <w:p w14:paraId="4FC37C09" w14:textId="77777777" w:rsidR="005F0E6D" w:rsidRPr="000A5D76" w:rsidRDefault="005F0E6D" w:rsidP="005F0E6D">
      <w:pPr>
        <w:pStyle w:val="NoSpacing"/>
        <w:rPr>
          <w:rFonts w:ascii="Times New Roman" w:hAnsi="Times New Roman"/>
          <w:b/>
          <w:bCs/>
          <w:sz w:val="24"/>
          <w:szCs w:val="24"/>
        </w:rPr>
      </w:pPr>
      <w:bookmarkStart w:id="143" w:name="_Hlk40509099"/>
      <w:r w:rsidRPr="000A5D76">
        <w:rPr>
          <w:rFonts w:ascii="Times New Roman" w:hAnsi="Times New Roman"/>
          <w:b/>
          <w:bCs/>
          <w:sz w:val="24"/>
          <w:szCs w:val="24"/>
        </w:rPr>
        <w:t>Legal Lessons Learned:  Congress enacted the Classified Information Procedures Act to authorize federal judges to protect from public disclosure classified information. Regarding fingerprint examination, defense counsel may vigorously cross-exam expert witnesses, but not on a mistake by other FBI examiners that occurred 16 years prior.</w:t>
      </w:r>
    </w:p>
    <w:p w14:paraId="197A4BA0" w14:textId="77777777" w:rsidR="005F0E6D" w:rsidRPr="000A5D76" w:rsidRDefault="005F0E6D" w:rsidP="005F0E6D">
      <w:pPr>
        <w:pStyle w:val="NoSpacing"/>
        <w:rPr>
          <w:rFonts w:ascii="Times New Roman" w:hAnsi="Times New Roman"/>
          <w:sz w:val="24"/>
          <w:szCs w:val="24"/>
        </w:rPr>
      </w:pPr>
    </w:p>
    <w:p w14:paraId="03B3F140"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Note:  See  </w:t>
      </w:r>
      <w:proofErr w:type="spellStart"/>
      <w:r w:rsidRPr="000A5D76">
        <w:rPr>
          <w:rFonts w:ascii="Times New Roman" w:hAnsi="Times New Roman"/>
          <w:bCs/>
          <w:sz w:val="24"/>
          <w:szCs w:val="24"/>
        </w:rPr>
        <w:t>DoJ</w:t>
      </w:r>
      <w:proofErr w:type="spellEnd"/>
      <w:r w:rsidRPr="000A5D76">
        <w:rPr>
          <w:rFonts w:ascii="Times New Roman" w:hAnsi="Times New Roman"/>
          <w:bCs/>
          <w:sz w:val="24"/>
          <w:szCs w:val="24"/>
        </w:rPr>
        <w:t xml:space="preserve">, Inspector General report on the Spanish investigation: </w:t>
      </w:r>
      <w:hyperlink r:id="rId837" w:history="1">
        <w:r w:rsidRPr="000A5D76">
          <w:rPr>
            <w:rStyle w:val="Hyperlink"/>
            <w:rFonts w:ascii="Times New Roman" w:hAnsi="Times New Roman"/>
            <w:b/>
            <w:sz w:val="24"/>
            <w:szCs w:val="24"/>
          </w:rPr>
          <w:t>https://oig.justice.gov/special/s0601/final.pdf</w:t>
        </w:r>
      </w:hyperlink>
      <w:r w:rsidRPr="000A5D76">
        <w:rPr>
          <w:rFonts w:ascii="Times New Roman" w:hAnsi="Times New Roman"/>
          <w:bCs/>
          <w:sz w:val="24"/>
          <w:szCs w:val="24"/>
        </w:rPr>
        <w:t xml:space="preserve"> </w:t>
      </w:r>
    </w:p>
    <w:bookmarkEnd w:id="143"/>
    <w:p w14:paraId="293AD99A" w14:textId="77777777" w:rsidR="005F0E6D" w:rsidRPr="000A5D76" w:rsidRDefault="005F0E6D" w:rsidP="005F0E6D">
      <w:pPr>
        <w:pStyle w:val="NoSpacing"/>
        <w:rPr>
          <w:rFonts w:ascii="Times New Roman" w:hAnsi="Times New Roman"/>
          <w:sz w:val="24"/>
          <w:szCs w:val="24"/>
        </w:rPr>
      </w:pPr>
    </w:p>
    <w:p w14:paraId="24286BB0" w14:textId="3DB7F3EA" w:rsidR="005F0E6D" w:rsidRDefault="005F0E6D" w:rsidP="00F326E5">
      <w:pPr>
        <w:pStyle w:val="NoSpacing"/>
        <w:rPr>
          <w:rFonts w:ascii="Arial Black" w:hAnsi="Arial Black"/>
          <w:sz w:val="28"/>
          <w:szCs w:val="28"/>
        </w:rPr>
      </w:pPr>
    </w:p>
    <w:p w14:paraId="55151B98" w14:textId="77777777" w:rsidR="005F0E6D" w:rsidRDefault="005F0E6D" w:rsidP="00F326E5">
      <w:pPr>
        <w:pStyle w:val="NoSpacing"/>
        <w:rPr>
          <w:rFonts w:ascii="Arial Black" w:hAnsi="Arial Black"/>
          <w:sz w:val="28"/>
          <w:szCs w:val="28"/>
        </w:rPr>
      </w:pPr>
    </w:p>
    <w:p w14:paraId="5BD6C40F" w14:textId="130677F6" w:rsidR="005F0E6D" w:rsidRDefault="005F0E6D" w:rsidP="00F326E5">
      <w:pPr>
        <w:pStyle w:val="NoSpacing"/>
        <w:rPr>
          <w:rFonts w:ascii="Arial Black" w:hAnsi="Arial Black"/>
          <w:sz w:val="28"/>
          <w:szCs w:val="28"/>
        </w:rPr>
      </w:pPr>
      <w:r>
        <w:rPr>
          <w:rFonts w:ascii="Arial Black" w:hAnsi="Arial Black"/>
          <w:sz w:val="28"/>
          <w:szCs w:val="28"/>
        </w:rPr>
        <w:t>3-21</w:t>
      </w:r>
    </w:p>
    <w:p w14:paraId="66090080" w14:textId="026526EA" w:rsidR="005F0E6D" w:rsidRDefault="005F0E6D" w:rsidP="00F326E5">
      <w:pPr>
        <w:pStyle w:val="NoSpacing"/>
        <w:rPr>
          <w:rFonts w:ascii="Arial Black" w:hAnsi="Arial Black"/>
          <w:sz w:val="28"/>
          <w:szCs w:val="28"/>
        </w:rPr>
      </w:pPr>
    </w:p>
    <w:p w14:paraId="7A721792" w14:textId="77777777" w:rsidR="005F0E6D" w:rsidRPr="00817615" w:rsidRDefault="005F0E6D" w:rsidP="005F0E6D">
      <w:pPr>
        <w:pStyle w:val="NoSpacing"/>
        <w:rPr>
          <w:rFonts w:ascii="Arial Black" w:hAnsi="Arial Black"/>
          <w:b/>
          <w:bCs/>
          <w:sz w:val="28"/>
          <w:szCs w:val="28"/>
        </w:rPr>
      </w:pPr>
      <w:r>
        <w:rPr>
          <w:rFonts w:ascii="Arial Black" w:hAnsi="Arial Black"/>
          <w:bCs/>
          <w:sz w:val="28"/>
          <w:szCs w:val="28"/>
        </w:rPr>
        <w:t>MD: CIA / DOD – FORMER EMPLOYEES MUST HAVE “PRE-PUBLICATION REVIEWS” – LAWFUL, EVEN IF SLOW</w:t>
      </w:r>
    </w:p>
    <w:p w14:paraId="05FF4709" w14:textId="77777777" w:rsidR="005F0E6D" w:rsidRDefault="005F0E6D" w:rsidP="005F0E6D">
      <w:pPr>
        <w:pStyle w:val="NoSpacing"/>
        <w:ind w:left="720"/>
        <w:rPr>
          <w:b/>
          <w:bCs/>
          <w:sz w:val="24"/>
          <w:szCs w:val="24"/>
        </w:rPr>
      </w:pPr>
    </w:p>
    <w:p w14:paraId="2D54D5A6" w14:textId="77777777" w:rsidR="005F0E6D" w:rsidRPr="000A5D76" w:rsidRDefault="005F0E6D" w:rsidP="005F0E6D">
      <w:pPr>
        <w:pStyle w:val="NoSpacing"/>
        <w:rPr>
          <w:rStyle w:val="headertext"/>
          <w:rFonts w:ascii="Times New Roman" w:hAnsi="Times New Roman"/>
          <w:b/>
          <w:bCs/>
          <w:sz w:val="24"/>
          <w:szCs w:val="24"/>
        </w:rPr>
      </w:pPr>
      <w:r w:rsidRPr="000A5D76">
        <w:rPr>
          <w:rFonts w:ascii="Times New Roman" w:hAnsi="Times New Roman"/>
          <w:bCs/>
          <w:sz w:val="24"/>
          <w:szCs w:val="24"/>
        </w:rPr>
        <w:t xml:space="preserve">On April 15, 2020, in </w:t>
      </w:r>
      <w:r w:rsidRPr="000A5D76">
        <w:rPr>
          <w:rFonts w:ascii="Times New Roman" w:hAnsi="Times New Roman"/>
          <w:bCs/>
          <w:sz w:val="24"/>
          <w:szCs w:val="24"/>
          <w:u w:val="single"/>
        </w:rPr>
        <w:t>Timothy H. Edgar, et al. v. Daniel Coats, et al</w:t>
      </w:r>
      <w:r w:rsidRPr="000A5D76">
        <w:rPr>
          <w:rFonts w:ascii="Times New Roman" w:hAnsi="Times New Roman"/>
          <w:bCs/>
          <w:sz w:val="24"/>
          <w:szCs w:val="24"/>
        </w:rPr>
        <w:t xml:space="preserve">., U.S. District Court Judge George J. Hazel, in a 57-page decision, granted the U.S. Government’s motion to dismiss.  Each the five plaintiffs signed agency security agreements, requiring when the left government a prepublication review (“PRR”) of their books and other future publications.  They each complained that CIA and other agencies took too long to conduct the </w:t>
      </w:r>
      <w:proofErr w:type="gramStart"/>
      <w:r w:rsidRPr="000A5D76">
        <w:rPr>
          <w:rFonts w:ascii="Times New Roman" w:hAnsi="Times New Roman"/>
          <w:bCs/>
          <w:sz w:val="24"/>
          <w:szCs w:val="24"/>
        </w:rPr>
        <w:t>reviews, and</w:t>
      </w:r>
      <w:proofErr w:type="gramEnd"/>
      <w:r w:rsidRPr="000A5D76">
        <w:rPr>
          <w:rFonts w:ascii="Times New Roman" w:hAnsi="Times New Roman"/>
          <w:bCs/>
          <w:sz w:val="24"/>
          <w:szCs w:val="24"/>
        </w:rPr>
        <w:t xml:space="preserve"> deleted too much information that may have been embarrassing to the government but was not classified.   Judge Hazel followed the U.S. Supreme Court’s precedent in </w:t>
      </w:r>
      <w:proofErr w:type="spellStart"/>
      <w:r w:rsidRPr="000A5D76">
        <w:rPr>
          <w:rFonts w:ascii="Times New Roman" w:hAnsi="Times New Roman"/>
          <w:bCs/>
          <w:sz w:val="24"/>
          <w:szCs w:val="24"/>
          <w:u w:val="single"/>
        </w:rPr>
        <w:t>Snepp</w:t>
      </w:r>
      <w:proofErr w:type="spellEnd"/>
      <w:r w:rsidRPr="000A5D76">
        <w:rPr>
          <w:rFonts w:ascii="Times New Roman" w:hAnsi="Times New Roman"/>
          <w:bCs/>
          <w:sz w:val="24"/>
          <w:szCs w:val="24"/>
          <w:u w:val="single"/>
        </w:rPr>
        <w:t xml:space="preserve"> v. United States</w:t>
      </w:r>
      <w:r w:rsidRPr="000A5D76">
        <w:rPr>
          <w:rFonts w:ascii="Times New Roman" w:hAnsi="Times New Roman"/>
          <w:bCs/>
          <w:sz w:val="24"/>
          <w:szCs w:val="24"/>
        </w:rPr>
        <w:t xml:space="preserve">, 444 U.S. 507 (1980), where Frank Sneep, a former CIA analyst in Saigon wrote a book in 1977 about the fall of Saigon, “Decent Interval” without getting prior clearance, and was ordered to turn over all proceeds from the book. </w:t>
      </w:r>
    </w:p>
    <w:p w14:paraId="2A950FAE" w14:textId="77777777" w:rsidR="005F0E6D" w:rsidRPr="000A5D76" w:rsidRDefault="005F0E6D" w:rsidP="005F0E6D">
      <w:pPr>
        <w:pStyle w:val="NoSpacing"/>
        <w:ind w:left="720"/>
        <w:rPr>
          <w:rStyle w:val="headertext"/>
          <w:rFonts w:ascii="Times New Roman" w:hAnsi="Times New Roman"/>
          <w:b/>
          <w:bCs/>
          <w:sz w:val="24"/>
          <w:szCs w:val="24"/>
        </w:rPr>
      </w:pPr>
    </w:p>
    <w:p w14:paraId="33875FE7" w14:textId="77777777" w:rsidR="005F0E6D" w:rsidRPr="000A5D76" w:rsidRDefault="005F0E6D" w:rsidP="005F0E6D">
      <w:pPr>
        <w:pStyle w:val="NoSpacing"/>
        <w:ind w:left="720"/>
        <w:rPr>
          <w:rFonts w:ascii="Times New Roman" w:hAnsi="Times New Roman"/>
          <w:b/>
          <w:bCs/>
          <w:sz w:val="24"/>
          <w:szCs w:val="24"/>
          <w:vertAlign w:val="superscript"/>
        </w:rPr>
      </w:pPr>
      <w:r w:rsidRPr="000A5D76">
        <w:rPr>
          <w:rFonts w:ascii="Times New Roman" w:hAnsi="Times New Roman"/>
          <w:bCs/>
          <w:sz w:val="24"/>
          <w:szCs w:val="24"/>
        </w:rPr>
        <w:t xml:space="preserve">“While the allegations Plaintiffs have made about the inadequacies and breadth of the challenged PPR regimes do not appear inaccurate or implausible, </w:t>
      </w:r>
      <w:proofErr w:type="spellStart"/>
      <w:r w:rsidRPr="000A5D76">
        <w:rPr>
          <w:rFonts w:ascii="Times New Roman" w:hAnsi="Times New Roman"/>
          <w:bCs/>
          <w:i/>
          <w:iCs/>
          <w:sz w:val="24"/>
          <w:szCs w:val="24"/>
        </w:rPr>
        <w:t>Snepp</w:t>
      </w:r>
      <w:proofErr w:type="spellEnd"/>
      <w:r w:rsidRPr="000A5D76">
        <w:rPr>
          <w:rFonts w:ascii="Times New Roman" w:hAnsi="Times New Roman"/>
          <w:bCs/>
          <w:sz w:val="24"/>
          <w:szCs w:val="24"/>
        </w:rPr>
        <w:t xml:space="preserve"> remains the precedent governing the Court's evaluation of Plaintiffs' First Amendment claim, and Plaintiffs have failed to demonstrate that the regimes do not meet its low threshold of reasonableness. Accordingly, Plaintiffs' First Amendment claim will be dismissed.</w:t>
      </w:r>
      <w:r w:rsidRPr="000A5D76">
        <w:rPr>
          <w:rFonts w:ascii="Times New Roman" w:hAnsi="Times New Roman"/>
          <w:bCs/>
          <w:sz w:val="24"/>
          <w:szCs w:val="24"/>
          <w:vertAlign w:val="superscript"/>
        </w:rPr>
        <w:t>10</w:t>
      </w:r>
    </w:p>
    <w:p w14:paraId="6B76E4A7" w14:textId="77777777" w:rsidR="005F0E6D" w:rsidRPr="000A5D76" w:rsidRDefault="005F0E6D" w:rsidP="005F0E6D">
      <w:pPr>
        <w:pStyle w:val="NoSpacing"/>
        <w:ind w:left="720"/>
        <w:rPr>
          <w:rFonts w:ascii="Times New Roman" w:hAnsi="Times New Roman"/>
          <w:b/>
          <w:bCs/>
          <w:sz w:val="24"/>
          <w:szCs w:val="24"/>
        </w:rPr>
      </w:pPr>
      <w:bookmarkStart w:id="144" w:name="fr10"/>
      <w:r w:rsidRPr="000A5D76">
        <w:rPr>
          <w:rFonts w:ascii="Times New Roman" w:hAnsi="Times New Roman"/>
          <w:bCs/>
          <w:sz w:val="24"/>
          <w:szCs w:val="24"/>
        </w:rPr>
        <w:t xml:space="preserve">***   Footnote 10. </w:t>
      </w:r>
      <w:bookmarkEnd w:id="144"/>
      <w:r w:rsidRPr="000A5D76">
        <w:rPr>
          <w:rFonts w:ascii="Times New Roman" w:hAnsi="Times New Roman"/>
          <w:bCs/>
          <w:sz w:val="24"/>
          <w:szCs w:val="24"/>
        </w:rPr>
        <w:t xml:space="preserve">It also bears mention that the wholesale reforms to PPR that Plaintiffs seek to obtain from the Court in this claim strain at the limits of the judiciary's role, particularly given the national security context. See Egan, 484 U.S. at 530 (1988). Both that concern and the Court's inability to sidestep </w:t>
      </w:r>
      <w:proofErr w:type="spellStart"/>
      <w:r w:rsidRPr="000A5D76">
        <w:rPr>
          <w:rFonts w:ascii="Times New Roman" w:hAnsi="Times New Roman"/>
          <w:bCs/>
          <w:i/>
          <w:iCs/>
          <w:sz w:val="24"/>
          <w:szCs w:val="24"/>
        </w:rPr>
        <w:t>Snepp</w:t>
      </w:r>
      <w:proofErr w:type="spellEnd"/>
      <w:r w:rsidRPr="000A5D76">
        <w:rPr>
          <w:rFonts w:ascii="Times New Roman" w:hAnsi="Times New Roman"/>
          <w:bCs/>
          <w:i/>
          <w:iCs/>
          <w:sz w:val="24"/>
          <w:szCs w:val="24"/>
        </w:rPr>
        <w:t xml:space="preserve"> </w:t>
      </w:r>
      <w:r w:rsidRPr="000A5D76">
        <w:rPr>
          <w:rFonts w:ascii="Times New Roman" w:hAnsi="Times New Roman"/>
          <w:bCs/>
          <w:sz w:val="24"/>
          <w:szCs w:val="24"/>
        </w:rPr>
        <w:t xml:space="preserve">limit the force of arguments made in the amicus brief submitted by CERL, which describes how lengthy PPR delays chill contributions to public discourse by former officials and discourage national security experts from entering the government…. Whatever the merits of these assertions, they are more properly directed to the branches of government empowered to create and execute public policy rather than to simply evaluate its consistency with the Constitution.” </w:t>
      </w:r>
      <w:hyperlink r:id="rId838" w:history="1">
        <w:r w:rsidRPr="000A5D76">
          <w:rPr>
            <w:rStyle w:val="Hyperlink"/>
            <w:rFonts w:ascii="Times New Roman" w:hAnsi="Times New Roman"/>
            <w:b/>
            <w:sz w:val="24"/>
            <w:szCs w:val="24"/>
          </w:rPr>
          <w:t>https://public.fastcase.com/Wl%2B2t%2BeVuI35%2FN70vAMFZkKd%2BuUeGYT9r22oA9ty28Exj1jRAAAURPUljfVU2169</w:t>
        </w:r>
      </w:hyperlink>
      <w:r w:rsidRPr="000A5D76">
        <w:rPr>
          <w:rFonts w:ascii="Times New Roman" w:hAnsi="Times New Roman"/>
          <w:bCs/>
          <w:sz w:val="24"/>
          <w:szCs w:val="24"/>
        </w:rPr>
        <w:t xml:space="preserve"> </w:t>
      </w:r>
    </w:p>
    <w:p w14:paraId="1C489BE7" w14:textId="77777777" w:rsidR="005F0E6D" w:rsidRDefault="005F0E6D" w:rsidP="005F0E6D">
      <w:pPr>
        <w:pStyle w:val="NoSpacing"/>
        <w:rPr>
          <w:rFonts w:ascii="Times New Roman" w:hAnsi="Times New Roman"/>
          <w:b/>
          <w:bCs/>
          <w:sz w:val="24"/>
          <w:szCs w:val="24"/>
        </w:rPr>
      </w:pPr>
    </w:p>
    <w:p w14:paraId="01F9C96A" w14:textId="52297A60" w:rsidR="005F0E6D" w:rsidRPr="000A5D76" w:rsidRDefault="005F0E6D" w:rsidP="005F0E6D">
      <w:pPr>
        <w:pStyle w:val="NoSpacing"/>
        <w:rPr>
          <w:rFonts w:ascii="Times New Roman" w:hAnsi="Times New Roman"/>
          <w:b/>
          <w:bCs/>
          <w:sz w:val="24"/>
          <w:szCs w:val="24"/>
        </w:rPr>
      </w:pPr>
      <w:r w:rsidRPr="000A5D76">
        <w:rPr>
          <w:rFonts w:ascii="Times New Roman" w:hAnsi="Times New Roman"/>
          <w:b/>
          <w:bCs/>
          <w:sz w:val="24"/>
          <w:szCs w:val="24"/>
        </w:rPr>
        <w:t xml:space="preserve">Legal Lessons Learned:  Prepublication reviews are enforceable. per U.S. Supreme Court’s decision in in </w:t>
      </w:r>
      <w:proofErr w:type="spellStart"/>
      <w:r w:rsidRPr="000A5D76">
        <w:rPr>
          <w:rFonts w:ascii="Times New Roman" w:hAnsi="Times New Roman"/>
          <w:b/>
          <w:bCs/>
          <w:sz w:val="24"/>
          <w:szCs w:val="24"/>
          <w:u w:val="single"/>
        </w:rPr>
        <w:t>Snepp</w:t>
      </w:r>
      <w:proofErr w:type="spellEnd"/>
      <w:r w:rsidRPr="000A5D76">
        <w:rPr>
          <w:rFonts w:ascii="Times New Roman" w:hAnsi="Times New Roman"/>
          <w:b/>
          <w:bCs/>
          <w:sz w:val="24"/>
          <w:szCs w:val="24"/>
          <w:u w:val="single"/>
        </w:rPr>
        <w:t xml:space="preserve"> v. United States</w:t>
      </w:r>
      <w:r w:rsidRPr="000A5D76">
        <w:rPr>
          <w:rFonts w:ascii="Times New Roman" w:hAnsi="Times New Roman"/>
          <w:b/>
          <w:bCs/>
          <w:sz w:val="24"/>
          <w:szCs w:val="24"/>
        </w:rPr>
        <w:t xml:space="preserve">, 444 U.S. 507 (1980). </w:t>
      </w:r>
    </w:p>
    <w:p w14:paraId="66B08EFE" w14:textId="77777777" w:rsidR="005F0E6D" w:rsidRPr="000A5D76" w:rsidRDefault="005F0E6D" w:rsidP="005F0E6D">
      <w:pPr>
        <w:pStyle w:val="NoSpacing"/>
        <w:ind w:left="720"/>
        <w:rPr>
          <w:rFonts w:ascii="Times New Roman" w:hAnsi="Times New Roman"/>
          <w:b/>
          <w:bCs/>
          <w:sz w:val="24"/>
          <w:szCs w:val="24"/>
        </w:rPr>
      </w:pPr>
    </w:p>
    <w:p w14:paraId="1E6A9BEA" w14:textId="77777777" w:rsidR="005F0E6D" w:rsidRPr="000A5D76" w:rsidRDefault="005F0E6D" w:rsidP="005F0E6D">
      <w:pPr>
        <w:pStyle w:val="NoSpacing"/>
        <w:ind w:left="720"/>
        <w:rPr>
          <w:rFonts w:ascii="Times New Roman" w:hAnsi="Times New Roman"/>
          <w:sz w:val="24"/>
          <w:szCs w:val="24"/>
        </w:rPr>
      </w:pPr>
      <w:r w:rsidRPr="000A5D76">
        <w:rPr>
          <w:rFonts w:ascii="Times New Roman" w:hAnsi="Times New Roman"/>
          <w:bCs/>
          <w:sz w:val="24"/>
          <w:szCs w:val="24"/>
        </w:rPr>
        <w:t>Note:</w:t>
      </w:r>
      <w:r w:rsidRPr="000A5D76">
        <w:rPr>
          <w:rFonts w:ascii="Times New Roman" w:hAnsi="Times New Roman"/>
          <w:sz w:val="24"/>
          <w:szCs w:val="24"/>
        </w:rPr>
        <w:t xml:space="preserve"> </w:t>
      </w:r>
      <w:r w:rsidRPr="000A5D76">
        <w:rPr>
          <w:rFonts w:ascii="Times New Roman" w:hAnsi="Times New Roman"/>
          <w:bCs/>
          <w:sz w:val="24"/>
          <w:szCs w:val="24"/>
        </w:rPr>
        <w:t>When Frank Snepp was sued, he had already received about $60,000 in advance payments from his publisher.  The U.S. Supreme Court held (6 to 3), “</w:t>
      </w:r>
      <w:r w:rsidRPr="000A5D76">
        <w:rPr>
          <w:rStyle w:val="headertext"/>
          <w:rFonts w:ascii="Times New Roman" w:hAnsi="Times New Roman"/>
          <w:bCs/>
          <w:sz w:val="24"/>
          <w:szCs w:val="24"/>
        </w:rPr>
        <w:t xml:space="preserve">We agree with the Court of Appeals that </w:t>
      </w:r>
      <w:proofErr w:type="spellStart"/>
      <w:r w:rsidRPr="000A5D76">
        <w:rPr>
          <w:rStyle w:val="headertext"/>
          <w:rFonts w:ascii="Times New Roman" w:hAnsi="Times New Roman"/>
          <w:bCs/>
          <w:sz w:val="24"/>
          <w:szCs w:val="24"/>
        </w:rPr>
        <w:t>Snepp's</w:t>
      </w:r>
      <w:proofErr w:type="spellEnd"/>
      <w:r w:rsidRPr="000A5D76">
        <w:rPr>
          <w:rStyle w:val="headertext"/>
          <w:rFonts w:ascii="Times New Roman" w:hAnsi="Times New Roman"/>
          <w:bCs/>
          <w:sz w:val="24"/>
          <w:szCs w:val="24"/>
        </w:rPr>
        <w:t xml:space="preserve"> agreement is an ‘entirely appropriate’ exercise of the CIA Director's statutory mandate to ‘</w:t>
      </w:r>
      <w:proofErr w:type="spellStart"/>
      <w:r w:rsidRPr="000A5D76">
        <w:rPr>
          <w:rStyle w:val="headertext"/>
          <w:rFonts w:ascii="Times New Roman" w:hAnsi="Times New Roman"/>
          <w:bCs/>
          <w:sz w:val="24"/>
          <w:szCs w:val="24"/>
        </w:rPr>
        <w:t>protec</w:t>
      </w:r>
      <w:proofErr w:type="spellEnd"/>
      <w:r w:rsidRPr="000A5D76">
        <w:rPr>
          <w:rStyle w:val="headertext"/>
          <w:rFonts w:ascii="Times New Roman" w:hAnsi="Times New Roman"/>
          <w:bCs/>
          <w:sz w:val="24"/>
          <w:szCs w:val="24"/>
        </w:rPr>
        <w:t xml:space="preserve">[t] intelligence sources and methods from unauthorized disclosure,’ 50 U.S.C. § 403(d)(3). 595 F.2d at 932.” </w:t>
      </w:r>
      <w:hyperlink r:id="rId839" w:anchor="tab-opinion-1953393" w:history="1">
        <w:r w:rsidRPr="000A5D76">
          <w:rPr>
            <w:rStyle w:val="Hyperlink"/>
            <w:rFonts w:ascii="Times New Roman" w:hAnsi="Times New Roman"/>
            <w:sz w:val="24"/>
            <w:szCs w:val="24"/>
          </w:rPr>
          <w:t>https://supreme.justia.com/cases/federal/us/444/507/#tab-opinion-1953393</w:t>
        </w:r>
      </w:hyperlink>
      <w:r w:rsidRPr="000A5D76">
        <w:rPr>
          <w:rFonts w:ascii="Times New Roman" w:hAnsi="Times New Roman"/>
          <w:sz w:val="24"/>
          <w:szCs w:val="24"/>
        </w:rPr>
        <w:t xml:space="preserve"> </w:t>
      </w:r>
    </w:p>
    <w:p w14:paraId="7AEC313A" w14:textId="77777777" w:rsidR="005F0E6D" w:rsidRPr="000A5D76" w:rsidRDefault="005F0E6D" w:rsidP="005F0E6D">
      <w:pPr>
        <w:spacing w:before="100" w:beforeAutospacing="1" w:after="100" w:afterAutospacing="1" w:line="240" w:lineRule="auto"/>
        <w:jc w:val="center"/>
        <w:rPr>
          <w:rFonts w:ascii="Times New Roman" w:eastAsia="Times New Roman" w:hAnsi="Times New Roman"/>
          <w:b/>
          <w:bCs/>
          <w:sz w:val="24"/>
          <w:szCs w:val="24"/>
        </w:rPr>
      </w:pPr>
    </w:p>
    <w:p w14:paraId="7D928E82" w14:textId="77777777" w:rsidR="005F0E6D" w:rsidRDefault="005F0E6D" w:rsidP="00F326E5">
      <w:pPr>
        <w:pStyle w:val="NoSpacing"/>
        <w:rPr>
          <w:rFonts w:ascii="Arial Black" w:hAnsi="Arial Black"/>
          <w:sz w:val="28"/>
          <w:szCs w:val="28"/>
        </w:rPr>
      </w:pPr>
    </w:p>
    <w:p w14:paraId="16C2BD59" w14:textId="77777777" w:rsidR="005F0E6D" w:rsidRDefault="005F0E6D" w:rsidP="00F326E5">
      <w:pPr>
        <w:pStyle w:val="NoSpacing"/>
        <w:rPr>
          <w:rFonts w:ascii="Arial Black" w:hAnsi="Arial Black"/>
          <w:sz w:val="28"/>
          <w:szCs w:val="28"/>
        </w:rPr>
      </w:pPr>
    </w:p>
    <w:p w14:paraId="77E246D1" w14:textId="77777777" w:rsidR="005F0E6D" w:rsidRDefault="005F0E6D" w:rsidP="00F326E5">
      <w:pPr>
        <w:pStyle w:val="NoSpacing"/>
        <w:rPr>
          <w:rFonts w:ascii="Arial Black" w:hAnsi="Arial Black"/>
          <w:sz w:val="28"/>
          <w:szCs w:val="28"/>
        </w:rPr>
      </w:pPr>
    </w:p>
    <w:p w14:paraId="48E89B53" w14:textId="47E6AF5C" w:rsidR="005F0E6D" w:rsidRDefault="005F0E6D" w:rsidP="00F326E5">
      <w:pPr>
        <w:pStyle w:val="NoSpacing"/>
        <w:rPr>
          <w:rFonts w:ascii="Arial Black" w:hAnsi="Arial Black"/>
          <w:sz w:val="28"/>
          <w:szCs w:val="28"/>
        </w:rPr>
      </w:pPr>
      <w:r>
        <w:rPr>
          <w:rFonts w:ascii="Arial Black" w:hAnsi="Arial Black"/>
          <w:sz w:val="28"/>
          <w:szCs w:val="28"/>
        </w:rPr>
        <w:t>3-20</w:t>
      </w:r>
    </w:p>
    <w:p w14:paraId="78FF3ECA" w14:textId="77777777" w:rsidR="00823634" w:rsidRDefault="00823634" w:rsidP="005F0E6D">
      <w:pPr>
        <w:pStyle w:val="NoSpacing"/>
        <w:rPr>
          <w:rFonts w:ascii="Arial Black" w:hAnsi="Arial Black"/>
          <w:sz w:val="28"/>
          <w:szCs w:val="28"/>
        </w:rPr>
      </w:pPr>
    </w:p>
    <w:p w14:paraId="1FA5F140" w14:textId="64785FC7" w:rsidR="005F0E6D" w:rsidRPr="00B2674B" w:rsidRDefault="005F0E6D" w:rsidP="005F0E6D">
      <w:pPr>
        <w:pStyle w:val="NoSpacing"/>
        <w:rPr>
          <w:rFonts w:ascii="Arial Black" w:hAnsi="Arial Black"/>
          <w:b/>
          <w:bCs/>
          <w:sz w:val="28"/>
          <w:szCs w:val="28"/>
        </w:rPr>
      </w:pPr>
      <w:bookmarkStart w:id="145" w:name="_Hlk66942614"/>
      <w:r w:rsidRPr="00E9037E">
        <w:rPr>
          <w:rFonts w:ascii="Arial Black" w:hAnsi="Arial Black"/>
          <w:sz w:val="28"/>
          <w:szCs w:val="28"/>
        </w:rPr>
        <w:t>FL</w:t>
      </w:r>
      <w:r>
        <w:rPr>
          <w:rFonts w:ascii="Arial Black" w:hAnsi="Arial Black"/>
          <w:bCs/>
          <w:sz w:val="28"/>
          <w:szCs w:val="28"/>
        </w:rPr>
        <w:t xml:space="preserve">: ACTIVE SHOOTER - PULSE NIGHTCLUB – 49 KILLED, 53 INJURED – CAN’T SUE THE SECURITY GUARD COMPANY WHERE HE WORKED </w:t>
      </w:r>
    </w:p>
    <w:p w14:paraId="7AF91925" w14:textId="1153C1EC" w:rsidR="00587311" w:rsidRPr="00823634" w:rsidRDefault="005F0E6D" w:rsidP="00881475">
      <w:pPr>
        <w:pStyle w:val="Heading1"/>
        <w:rPr>
          <w:b w:val="0"/>
          <w:bCs w:val="0"/>
          <w:sz w:val="24"/>
          <w:szCs w:val="24"/>
        </w:rPr>
      </w:pPr>
      <w:r w:rsidRPr="000A5D76">
        <w:rPr>
          <w:b w:val="0"/>
          <w:bCs w:val="0"/>
          <w:sz w:val="24"/>
          <w:szCs w:val="24"/>
        </w:rPr>
        <w:t xml:space="preserve">On </w:t>
      </w:r>
      <w:bookmarkStart w:id="146" w:name="_Hlk39823138"/>
      <w:r w:rsidRPr="000A5D76">
        <w:rPr>
          <w:b w:val="0"/>
          <w:bCs w:val="0"/>
          <w:sz w:val="24"/>
          <w:szCs w:val="24"/>
        </w:rPr>
        <w:t xml:space="preserve">April 1, 2020, in </w:t>
      </w:r>
      <w:r w:rsidRPr="000A5D76">
        <w:rPr>
          <w:b w:val="0"/>
          <w:bCs w:val="0"/>
          <w:sz w:val="24"/>
          <w:szCs w:val="24"/>
          <w:u w:val="single"/>
        </w:rPr>
        <w:t>Asael Abrad, et al. v. G4S Secure Solution (USA), Inc.</w:t>
      </w:r>
      <w:r w:rsidRPr="000A5D76">
        <w:rPr>
          <w:b w:val="0"/>
          <w:bCs w:val="0"/>
          <w:sz w:val="24"/>
          <w:szCs w:val="24"/>
        </w:rPr>
        <w:t xml:space="preserve">, </w:t>
      </w:r>
      <w:bookmarkEnd w:id="146"/>
      <w:r w:rsidRPr="000A5D76">
        <w:rPr>
          <w:b w:val="0"/>
          <w:bCs w:val="0"/>
          <w:sz w:val="24"/>
          <w:szCs w:val="24"/>
        </w:rPr>
        <w:t xml:space="preserve">the District Court of Appeal of Florida (Fourth District), held (3 to 0) that the trial court properly granted the security company’s motion to dismiss; the shooter worked for the security company for 10 years, and plaintiffs alleged that the company knew he expressed a desire to commit acts of mass murder against members of the general public, particularly against members of the lesbian, gay, bisexual and transgender community.  The lawsuit was dismissed since plaintiffs did not “sufficiently allege a legal duty owed by G4S.” </w:t>
      </w:r>
      <w:r w:rsidR="00587311">
        <w:rPr>
          <w:b w:val="0"/>
          <w:bCs w:val="0"/>
          <w:sz w:val="24"/>
          <w:szCs w:val="24"/>
        </w:rPr>
        <w:t xml:space="preserve"> </w:t>
      </w:r>
      <w:hyperlink r:id="rId840" w:history="1">
        <w:r w:rsidR="00587311" w:rsidRPr="00823634">
          <w:rPr>
            <w:rStyle w:val="Hyperlink"/>
            <w:sz w:val="24"/>
            <w:szCs w:val="24"/>
          </w:rPr>
          <w:t>https://www.courthousenews.com/wp-content/uploads/2020/04/G4S.pdf</w:t>
        </w:r>
      </w:hyperlink>
      <w:r w:rsidR="00587311" w:rsidRPr="00823634">
        <w:rPr>
          <w:sz w:val="24"/>
          <w:szCs w:val="24"/>
        </w:rPr>
        <w:t xml:space="preserve"> </w:t>
      </w:r>
    </w:p>
    <w:p w14:paraId="182DC31B" w14:textId="77777777" w:rsidR="00587311" w:rsidRPr="000A5D76" w:rsidRDefault="00587311" w:rsidP="005F0E6D">
      <w:pPr>
        <w:pStyle w:val="Heading1"/>
        <w:rPr>
          <w:b w:val="0"/>
          <w:bCs w:val="0"/>
          <w:sz w:val="24"/>
          <w:szCs w:val="24"/>
        </w:rPr>
      </w:pPr>
    </w:p>
    <w:bookmarkEnd w:id="145"/>
    <w:p w14:paraId="75AE0834" w14:textId="7BDDB217" w:rsidR="005F0E6D" w:rsidRDefault="005F0E6D" w:rsidP="005F0E6D">
      <w:pPr>
        <w:pStyle w:val="NoSpacing"/>
        <w:ind w:left="720"/>
        <w:rPr>
          <w:rFonts w:ascii="Times New Roman" w:hAnsi="Times New Roman"/>
          <w:bCs/>
          <w:sz w:val="24"/>
          <w:szCs w:val="24"/>
        </w:rPr>
      </w:pPr>
      <w:r w:rsidRPr="000A5D76">
        <w:rPr>
          <w:rFonts w:ascii="Times New Roman" w:hAnsi="Times New Roman"/>
          <w:bCs/>
          <w:sz w:val="24"/>
          <w:szCs w:val="24"/>
        </w:rPr>
        <w:t xml:space="preserve">“Appellants also concede that Mateen did not use weapons owned or controlled by G4S, but instead, weapons purchased by him on his private time. Appellants’ argument that by fraudulently assisting Mateen in obtaining a Class G license—which in turn was helpful in purchasing the weapons used—is legally irrelevant…. Finally, Appellants’ duty arguments fail for one more important reason: Appellants fail to provide any sort of limitation on the legal duty they seek to impose. Failing to provide any sort of boundary for the employer would have severe public policy implications. As both G4S and the trial court noted, Appellants’ failure to provide any sort of spatial or temporal limits in the articulation of their concept of duty would essentially result in G4S </w:t>
      </w:r>
      <w:proofErr w:type="gramStart"/>
      <w:r w:rsidRPr="000A5D76">
        <w:rPr>
          <w:rFonts w:ascii="Times New Roman" w:hAnsi="Times New Roman"/>
          <w:bCs/>
          <w:sz w:val="24"/>
          <w:szCs w:val="24"/>
        </w:rPr>
        <w:t>being strictly liable and an absolute guarantor of Mateen’s behavior while off duty at all times</w:t>
      </w:r>
      <w:proofErr w:type="gramEnd"/>
      <w:r w:rsidRPr="000A5D76">
        <w:rPr>
          <w:rFonts w:ascii="Times New Roman" w:hAnsi="Times New Roman"/>
          <w:bCs/>
          <w:sz w:val="24"/>
          <w:szCs w:val="24"/>
        </w:rPr>
        <w:t xml:space="preserve">. See Garcia v. Duffy, 492 So. 2d 435, 439 (Fla. 2d DCA 1986) (‘Once liability began to be imposed on employers for acts of their employees outside the scope of employment, the courts were faced with the necessity of finding some rational basis for limiting the boundaries of that liability; otherwise, an employer would be an absolute guarantor and strictly liable for any acts committed by his employee against </w:t>
      </w:r>
    </w:p>
    <w:p w14:paraId="307DAEC0"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any person under any circumstances. Such unrestricted liability would be an intolerable and unfair burden on employers.’). </w:t>
      </w:r>
    </w:p>
    <w:bookmarkStart w:id="147" w:name="_Hlk39823157"/>
    <w:bookmarkStart w:id="148" w:name="_Hlk66942680"/>
    <w:p w14:paraId="60A5B8F7" w14:textId="77777777" w:rsidR="005F0E6D" w:rsidRPr="00823634" w:rsidRDefault="00F2621E" w:rsidP="005F0E6D">
      <w:pPr>
        <w:pStyle w:val="NoSpacing"/>
        <w:ind w:left="720"/>
        <w:rPr>
          <w:rFonts w:ascii="Times New Roman" w:hAnsi="Times New Roman"/>
          <w:b/>
          <w:bCs/>
          <w:sz w:val="24"/>
          <w:szCs w:val="24"/>
        </w:rPr>
      </w:pPr>
      <w:r w:rsidRPr="00823634">
        <w:fldChar w:fldCharType="begin"/>
      </w:r>
      <w:r w:rsidRPr="00823634">
        <w:rPr>
          <w:rFonts w:ascii="Times New Roman" w:hAnsi="Times New Roman"/>
          <w:sz w:val="24"/>
          <w:szCs w:val="24"/>
        </w:rPr>
        <w:instrText xml:space="preserve"> HYPERLINK "https://www.courthousenews.com/wp-content/uploads/2020/04/G4S.pdf" </w:instrText>
      </w:r>
      <w:r w:rsidRPr="00823634">
        <w:fldChar w:fldCharType="separate"/>
      </w:r>
      <w:r w:rsidR="005F0E6D" w:rsidRPr="00823634">
        <w:rPr>
          <w:rStyle w:val="Hyperlink"/>
          <w:rFonts w:ascii="Times New Roman" w:hAnsi="Times New Roman"/>
          <w:b/>
          <w:sz w:val="24"/>
          <w:szCs w:val="24"/>
        </w:rPr>
        <w:t>https://www.courthousenews.com/wp-content/uploads/2020/04/G4S.pdf</w:t>
      </w:r>
      <w:r w:rsidRPr="00823634">
        <w:rPr>
          <w:rStyle w:val="Hyperlink"/>
          <w:rFonts w:ascii="Times New Roman" w:hAnsi="Times New Roman"/>
          <w:b/>
          <w:sz w:val="24"/>
          <w:szCs w:val="24"/>
        </w:rPr>
        <w:fldChar w:fldCharType="end"/>
      </w:r>
      <w:r w:rsidR="005F0E6D" w:rsidRPr="00823634">
        <w:rPr>
          <w:rFonts w:ascii="Times New Roman" w:hAnsi="Times New Roman"/>
          <w:bCs/>
          <w:sz w:val="24"/>
          <w:szCs w:val="24"/>
        </w:rPr>
        <w:t xml:space="preserve"> </w:t>
      </w:r>
    </w:p>
    <w:p w14:paraId="1AC7BF9D" w14:textId="77777777" w:rsidR="005F0E6D" w:rsidRPr="000A5D76" w:rsidRDefault="005F0E6D" w:rsidP="005F0E6D">
      <w:pPr>
        <w:pStyle w:val="Heading1"/>
        <w:rPr>
          <w:sz w:val="24"/>
          <w:szCs w:val="24"/>
        </w:rPr>
      </w:pPr>
      <w:bookmarkStart w:id="149" w:name="_Hlk40509204"/>
      <w:bookmarkEnd w:id="147"/>
      <w:r w:rsidRPr="000A5D76">
        <w:rPr>
          <w:sz w:val="24"/>
          <w:szCs w:val="24"/>
        </w:rPr>
        <w:t>Legal Lessons Learned: Tragic event, but very difficult to hold employer liable for off-duty conduct of shooter.</w:t>
      </w:r>
    </w:p>
    <w:bookmarkEnd w:id="148"/>
    <w:bookmarkEnd w:id="149"/>
    <w:p w14:paraId="5082EE61" w14:textId="77777777" w:rsidR="005F0E6D" w:rsidRDefault="005F0E6D" w:rsidP="00F326E5">
      <w:pPr>
        <w:pStyle w:val="NoSpacing"/>
        <w:rPr>
          <w:rFonts w:ascii="Arial Black" w:hAnsi="Arial Black"/>
          <w:sz w:val="28"/>
          <w:szCs w:val="28"/>
        </w:rPr>
      </w:pPr>
    </w:p>
    <w:p w14:paraId="76FE2885" w14:textId="77777777" w:rsidR="005F0E6D" w:rsidRDefault="005F0E6D" w:rsidP="00F326E5">
      <w:pPr>
        <w:pStyle w:val="NoSpacing"/>
        <w:rPr>
          <w:rFonts w:ascii="Arial Black" w:hAnsi="Arial Black"/>
          <w:sz w:val="28"/>
          <w:szCs w:val="28"/>
        </w:rPr>
      </w:pPr>
    </w:p>
    <w:p w14:paraId="5CDDCB1E" w14:textId="49FFD794" w:rsidR="00663160" w:rsidRDefault="00663160" w:rsidP="00F326E5">
      <w:pPr>
        <w:pStyle w:val="NoSpacing"/>
        <w:rPr>
          <w:rFonts w:ascii="Arial Black" w:hAnsi="Arial Black"/>
          <w:sz w:val="28"/>
          <w:szCs w:val="28"/>
        </w:rPr>
      </w:pPr>
      <w:r>
        <w:rPr>
          <w:rFonts w:ascii="Arial Black" w:hAnsi="Arial Black"/>
          <w:sz w:val="28"/>
          <w:szCs w:val="28"/>
        </w:rPr>
        <w:t>3-19</w:t>
      </w:r>
    </w:p>
    <w:p w14:paraId="1F7D701C" w14:textId="2A42A1B6" w:rsidR="00663160" w:rsidRDefault="00663160" w:rsidP="00F326E5">
      <w:pPr>
        <w:pStyle w:val="NoSpacing"/>
        <w:rPr>
          <w:rFonts w:ascii="Arial Black" w:hAnsi="Arial Black"/>
          <w:sz w:val="28"/>
          <w:szCs w:val="28"/>
        </w:rPr>
      </w:pPr>
    </w:p>
    <w:p w14:paraId="29F24EA5" w14:textId="77777777" w:rsidR="00663160" w:rsidRPr="00D31CF5" w:rsidRDefault="00663160" w:rsidP="00663160">
      <w:pPr>
        <w:pStyle w:val="NoSpacing"/>
        <w:rPr>
          <w:rFonts w:ascii="Arial Black" w:hAnsi="Arial Black"/>
          <w:sz w:val="28"/>
          <w:szCs w:val="28"/>
        </w:rPr>
      </w:pPr>
      <w:r w:rsidRPr="00D31CF5">
        <w:rPr>
          <w:rFonts w:ascii="Arial Black" w:hAnsi="Arial Black"/>
          <w:sz w:val="28"/>
          <w:szCs w:val="28"/>
        </w:rPr>
        <w:t>CA:</w:t>
      </w:r>
      <w:r>
        <w:rPr>
          <w:rFonts w:ascii="Arial Black" w:hAnsi="Arial Black"/>
          <w:sz w:val="28"/>
          <w:szCs w:val="28"/>
        </w:rPr>
        <w:t xml:space="preserve"> ILLEGAL IMMIGRANTS CROSSING US BORDER - SENT BACK TO MEXICO – INJUNCTION AGAINST FED. PROGRAM UPHELD BY 9</w:t>
      </w:r>
      <w:r w:rsidRPr="00EB465E">
        <w:rPr>
          <w:rFonts w:ascii="Arial Black" w:hAnsi="Arial Black"/>
          <w:sz w:val="28"/>
          <w:szCs w:val="28"/>
          <w:vertAlign w:val="superscript"/>
        </w:rPr>
        <w:t>th</w:t>
      </w:r>
      <w:r>
        <w:rPr>
          <w:rFonts w:ascii="Arial Black" w:hAnsi="Arial Black"/>
          <w:sz w:val="28"/>
          <w:szCs w:val="28"/>
        </w:rPr>
        <w:t xml:space="preserve"> CIR. </w:t>
      </w:r>
    </w:p>
    <w:p w14:paraId="4FBFD241" w14:textId="77777777" w:rsidR="00663160" w:rsidRDefault="00663160" w:rsidP="00663160">
      <w:pPr>
        <w:spacing w:after="0" w:line="240" w:lineRule="auto"/>
        <w:rPr>
          <w:sz w:val="30"/>
          <w:szCs w:val="30"/>
        </w:rPr>
      </w:pPr>
    </w:p>
    <w:p w14:paraId="0CF1D7F1" w14:textId="77777777" w:rsidR="00663160" w:rsidRPr="00465FB3" w:rsidRDefault="00663160" w:rsidP="00663160">
      <w:pPr>
        <w:spacing w:after="0" w:line="240" w:lineRule="auto"/>
        <w:rPr>
          <w:rFonts w:ascii="Times New Roman" w:hAnsi="Times New Roman"/>
          <w:sz w:val="24"/>
          <w:szCs w:val="24"/>
        </w:rPr>
      </w:pPr>
      <w:r w:rsidRPr="00465FB3">
        <w:rPr>
          <w:rFonts w:ascii="Times New Roman" w:hAnsi="Times New Roman"/>
          <w:sz w:val="24"/>
          <w:szCs w:val="24"/>
        </w:rPr>
        <w:t xml:space="preserve">On Feb. 28, 2020, in </w:t>
      </w:r>
      <w:r w:rsidRPr="00465FB3">
        <w:rPr>
          <w:rFonts w:ascii="Times New Roman" w:hAnsi="Times New Roman"/>
          <w:sz w:val="24"/>
          <w:szCs w:val="24"/>
          <w:u w:val="single"/>
        </w:rPr>
        <w:t>Innovation Law Lab v. Chad Wolf, Acting Secretary of Homeland Security</w:t>
      </w:r>
      <w:r w:rsidRPr="00465FB3">
        <w:rPr>
          <w:rFonts w:ascii="Times New Roman" w:hAnsi="Times New Roman"/>
          <w:sz w:val="24"/>
          <w:szCs w:val="24"/>
        </w:rPr>
        <w:t>, the U.S. Court of Appeals for the 9</w:t>
      </w:r>
      <w:r w:rsidRPr="00465FB3">
        <w:rPr>
          <w:rFonts w:ascii="Times New Roman" w:hAnsi="Times New Roman"/>
          <w:sz w:val="24"/>
          <w:szCs w:val="24"/>
          <w:vertAlign w:val="superscript"/>
        </w:rPr>
        <w:t>th</w:t>
      </w:r>
      <w:r w:rsidRPr="00465FB3">
        <w:rPr>
          <w:rFonts w:ascii="Times New Roman" w:hAnsi="Times New Roman"/>
          <w:sz w:val="24"/>
          <w:szCs w:val="24"/>
        </w:rPr>
        <w:t xml:space="preserve"> Circuit (San Francisco) held (2 to 1) that the nationwide preliminary injunction issued by a U.S. District Court judge, against the Federal Government’s new Migrant Protection Protocols (“MPP”), will remain in place. </w:t>
      </w:r>
    </w:p>
    <w:p w14:paraId="34F5E13D" w14:textId="77777777" w:rsidR="00663160" w:rsidRPr="00465FB3" w:rsidRDefault="00663160" w:rsidP="00663160">
      <w:pPr>
        <w:spacing w:after="0" w:line="240" w:lineRule="auto"/>
        <w:rPr>
          <w:rFonts w:ascii="Times New Roman" w:hAnsi="Times New Roman"/>
          <w:sz w:val="24"/>
          <w:szCs w:val="24"/>
        </w:rPr>
      </w:pPr>
    </w:p>
    <w:p w14:paraId="57CEACD6" w14:textId="77777777" w:rsidR="00663160" w:rsidRPr="00465FB3" w:rsidRDefault="00663160" w:rsidP="00663160">
      <w:pPr>
        <w:spacing w:after="0" w:line="240" w:lineRule="auto"/>
        <w:ind w:left="720"/>
        <w:rPr>
          <w:rFonts w:ascii="Times New Roman" w:hAnsi="Times New Roman"/>
          <w:sz w:val="24"/>
          <w:szCs w:val="24"/>
        </w:rPr>
      </w:pPr>
      <w:r w:rsidRPr="00465FB3">
        <w:rPr>
          <w:rFonts w:ascii="Times New Roman" w:hAnsi="Times New Roman"/>
          <w:sz w:val="24"/>
          <w:szCs w:val="24"/>
        </w:rPr>
        <w:t xml:space="preserve">“The MPP has had serious adverse consequences for the individual plaintiffs. Plaintiffs presented evidence in the district court that they, as well as others returned to Mexico under the MPP, face targeted discrimination, physical violence, sexual assault, overwhelmed and corrupt law enforcement, lack of food and shelter, and practical obstacles to participation in court proceedings in the United States. The hardship and danger to individuals returned to Mexico under the MPP have been repeatedly confirmed by reliable news reports.” </w:t>
      </w:r>
      <w:hyperlink r:id="rId841" w:history="1">
        <w:r w:rsidRPr="00465FB3">
          <w:rPr>
            <w:rStyle w:val="Hyperlink"/>
            <w:rFonts w:ascii="Times New Roman" w:hAnsi="Times New Roman"/>
            <w:sz w:val="24"/>
            <w:szCs w:val="24"/>
          </w:rPr>
          <w:t>https://cdn.ca9.uscourts.gov/datastore/opinions/2020/02/28/19-15716.pdf</w:t>
        </w:r>
      </w:hyperlink>
      <w:r w:rsidRPr="00465FB3">
        <w:rPr>
          <w:rFonts w:ascii="Times New Roman" w:hAnsi="Times New Roman"/>
          <w:sz w:val="24"/>
          <w:szCs w:val="24"/>
        </w:rPr>
        <w:t xml:space="preserve"> </w:t>
      </w:r>
    </w:p>
    <w:p w14:paraId="2EC9791E" w14:textId="77777777" w:rsidR="00663160" w:rsidRPr="00465FB3" w:rsidRDefault="00663160" w:rsidP="00663160">
      <w:pPr>
        <w:spacing w:after="0" w:line="240" w:lineRule="auto"/>
        <w:rPr>
          <w:rFonts w:ascii="Times New Roman" w:hAnsi="Times New Roman"/>
          <w:sz w:val="24"/>
          <w:szCs w:val="24"/>
        </w:rPr>
      </w:pPr>
    </w:p>
    <w:p w14:paraId="7898F8F5" w14:textId="68CF51D2" w:rsidR="00663160" w:rsidRPr="00465FB3" w:rsidRDefault="00663160" w:rsidP="00663160">
      <w:pPr>
        <w:spacing w:after="0" w:line="240" w:lineRule="auto"/>
        <w:rPr>
          <w:rFonts w:ascii="Times New Roman" w:hAnsi="Times New Roman"/>
          <w:b/>
          <w:bCs/>
          <w:sz w:val="24"/>
          <w:szCs w:val="24"/>
        </w:rPr>
      </w:pPr>
      <w:r w:rsidRPr="00465FB3">
        <w:rPr>
          <w:rFonts w:ascii="Times New Roman" w:hAnsi="Times New Roman"/>
          <w:b/>
          <w:bCs/>
          <w:sz w:val="24"/>
          <w:szCs w:val="24"/>
        </w:rPr>
        <w:t>Legal Lessons Learned:  The Federal Government may now ask for all the judges on the 9</w:t>
      </w:r>
      <w:r w:rsidRPr="00465FB3">
        <w:rPr>
          <w:rFonts w:ascii="Times New Roman" w:hAnsi="Times New Roman"/>
          <w:b/>
          <w:bCs/>
          <w:sz w:val="24"/>
          <w:szCs w:val="24"/>
          <w:vertAlign w:val="superscript"/>
        </w:rPr>
        <w:t>th</w:t>
      </w:r>
      <w:r w:rsidRPr="00465FB3">
        <w:rPr>
          <w:rFonts w:ascii="Times New Roman" w:hAnsi="Times New Roman"/>
          <w:b/>
          <w:bCs/>
          <w:sz w:val="24"/>
          <w:szCs w:val="24"/>
        </w:rPr>
        <w:t xml:space="preserve"> Circuit (“</w:t>
      </w:r>
      <w:proofErr w:type="spellStart"/>
      <w:r w:rsidRPr="00465FB3">
        <w:rPr>
          <w:rFonts w:ascii="Times New Roman" w:hAnsi="Times New Roman"/>
          <w:b/>
          <w:bCs/>
          <w:sz w:val="24"/>
          <w:szCs w:val="24"/>
        </w:rPr>
        <w:t>en</w:t>
      </w:r>
      <w:proofErr w:type="spellEnd"/>
      <w:r w:rsidRPr="00465FB3">
        <w:rPr>
          <w:rFonts w:ascii="Times New Roman" w:hAnsi="Times New Roman"/>
          <w:b/>
          <w:bCs/>
          <w:sz w:val="24"/>
          <w:szCs w:val="24"/>
        </w:rPr>
        <w:t xml:space="preserve"> banc”) </w:t>
      </w:r>
      <w:r w:rsidR="00965872">
        <w:rPr>
          <w:rFonts w:ascii="Times New Roman" w:hAnsi="Times New Roman"/>
          <w:b/>
          <w:bCs/>
          <w:sz w:val="24"/>
          <w:szCs w:val="24"/>
        </w:rPr>
        <w:t xml:space="preserve">to hear </w:t>
      </w:r>
      <w:r w:rsidRPr="00465FB3">
        <w:rPr>
          <w:rFonts w:ascii="Times New Roman" w:hAnsi="Times New Roman"/>
          <w:b/>
          <w:bCs/>
          <w:sz w:val="24"/>
          <w:szCs w:val="24"/>
        </w:rPr>
        <w:t xml:space="preserve">their </w:t>
      </w:r>
      <w:proofErr w:type="gramStart"/>
      <w:r w:rsidRPr="00465FB3">
        <w:rPr>
          <w:rFonts w:ascii="Times New Roman" w:hAnsi="Times New Roman"/>
          <w:b/>
          <w:bCs/>
          <w:sz w:val="24"/>
          <w:szCs w:val="24"/>
        </w:rPr>
        <w:t>appeal, or</w:t>
      </w:r>
      <w:proofErr w:type="gramEnd"/>
      <w:r w:rsidRPr="00465FB3">
        <w:rPr>
          <w:rFonts w:ascii="Times New Roman" w:hAnsi="Times New Roman"/>
          <w:b/>
          <w:bCs/>
          <w:sz w:val="24"/>
          <w:szCs w:val="24"/>
        </w:rPr>
        <w:t xml:space="preserve"> seek an appeal to the U.S. Supreme Court (requires vote of 4 of 9 Justices to take the case).  </w:t>
      </w:r>
    </w:p>
    <w:p w14:paraId="59429E27" w14:textId="77777777" w:rsidR="00663160" w:rsidRDefault="00663160" w:rsidP="00F326E5">
      <w:pPr>
        <w:pStyle w:val="NoSpacing"/>
        <w:rPr>
          <w:rFonts w:ascii="Arial Black" w:hAnsi="Arial Black"/>
          <w:sz w:val="28"/>
          <w:szCs w:val="28"/>
        </w:rPr>
      </w:pPr>
    </w:p>
    <w:p w14:paraId="247D7D52" w14:textId="77777777" w:rsidR="00663160" w:rsidRDefault="00663160" w:rsidP="00F326E5">
      <w:pPr>
        <w:pStyle w:val="NoSpacing"/>
        <w:rPr>
          <w:rFonts w:ascii="Arial Black" w:hAnsi="Arial Black"/>
          <w:sz w:val="28"/>
          <w:szCs w:val="28"/>
        </w:rPr>
      </w:pPr>
    </w:p>
    <w:p w14:paraId="3BC4BF9F" w14:textId="77777777" w:rsidR="00663160" w:rsidRDefault="00663160" w:rsidP="00F326E5">
      <w:pPr>
        <w:pStyle w:val="NoSpacing"/>
        <w:rPr>
          <w:rFonts w:ascii="Arial Black" w:hAnsi="Arial Black"/>
          <w:sz w:val="28"/>
          <w:szCs w:val="28"/>
        </w:rPr>
      </w:pPr>
    </w:p>
    <w:p w14:paraId="15B6573F" w14:textId="77777777" w:rsidR="00663160" w:rsidRDefault="00663160" w:rsidP="00F326E5">
      <w:pPr>
        <w:pStyle w:val="NoSpacing"/>
        <w:rPr>
          <w:rFonts w:ascii="Arial Black" w:hAnsi="Arial Black"/>
          <w:sz w:val="28"/>
          <w:szCs w:val="28"/>
        </w:rPr>
      </w:pPr>
    </w:p>
    <w:p w14:paraId="092CA3D7" w14:textId="05F7FD20" w:rsidR="00663160" w:rsidRDefault="00663160" w:rsidP="00F326E5">
      <w:pPr>
        <w:pStyle w:val="NoSpacing"/>
        <w:rPr>
          <w:rFonts w:ascii="Arial Black" w:hAnsi="Arial Black"/>
          <w:sz w:val="28"/>
          <w:szCs w:val="28"/>
        </w:rPr>
      </w:pPr>
      <w:r>
        <w:rPr>
          <w:rFonts w:ascii="Arial Black" w:hAnsi="Arial Black"/>
          <w:sz w:val="28"/>
          <w:szCs w:val="28"/>
        </w:rPr>
        <w:t>3-18</w:t>
      </w:r>
    </w:p>
    <w:p w14:paraId="171DDD7B" w14:textId="6FC67F50" w:rsidR="00663160" w:rsidRDefault="00663160" w:rsidP="00F326E5">
      <w:pPr>
        <w:pStyle w:val="NoSpacing"/>
        <w:rPr>
          <w:rFonts w:ascii="Arial Black" w:hAnsi="Arial Black"/>
          <w:sz w:val="28"/>
          <w:szCs w:val="28"/>
        </w:rPr>
      </w:pPr>
    </w:p>
    <w:p w14:paraId="365039BB" w14:textId="77777777" w:rsidR="00663160" w:rsidRPr="00625E48" w:rsidRDefault="00663160" w:rsidP="00663160">
      <w:pPr>
        <w:rPr>
          <w:rFonts w:ascii="Arial Black" w:hAnsi="Arial Black"/>
          <w:sz w:val="28"/>
          <w:szCs w:val="28"/>
        </w:rPr>
      </w:pPr>
      <w:bookmarkStart w:id="150" w:name="_Hlk39818246"/>
      <w:r w:rsidRPr="00625E48">
        <w:rPr>
          <w:rFonts w:ascii="Arial Black" w:hAnsi="Arial Black"/>
          <w:sz w:val="28"/>
          <w:szCs w:val="28"/>
        </w:rPr>
        <w:t xml:space="preserve">NY: </w:t>
      </w:r>
      <w:r>
        <w:rPr>
          <w:rFonts w:ascii="Arial Black" w:hAnsi="Arial Black"/>
          <w:sz w:val="28"/>
          <w:szCs w:val="28"/>
        </w:rPr>
        <w:t>SANCTUARY CITIES –- 2</w:t>
      </w:r>
      <w:r w:rsidRPr="00FD157C">
        <w:rPr>
          <w:rFonts w:ascii="Arial Black" w:hAnsi="Arial Black"/>
          <w:sz w:val="28"/>
          <w:szCs w:val="28"/>
          <w:vertAlign w:val="superscript"/>
        </w:rPr>
        <w:t>nd</w:t>
      </w:r>
      <w:r>
        <w:rPr>
          <w:rFonts w:ascii="Arial Black" w:hAnsi="Arial Black"/>
          <w:sz w:val="28"/>
          <w:szCs w:val="28"/>
        </w:rPr>
        <w:t xml:space="preserve"> CIRCUIT UPHOLDS FED. GOV’T RIGHT TO DENY GRANTS TO STATES / CITIES </w:t>
      </w:r>
    </w:p>
    <w:p w14:paraId="3EC381D1" w14:textId="77777777" w:rsidR="00663160" w:rsidRPr="00465FB3" w:rsidRDefault="00663160" w:rsidP="00663160">
      <w:pPr>
        <w:pStyle w:val="NoSpacing"/>
        <w:rPr>
          <w:rFonts w:ascii="Times New Roman" w:hAnsi="Times New Roman"/>
          <w:b/>
          <w:bCs/>
          <w:sz w:val="24"/>
          <w:szCs w:val="24"/>
        </w:rPr>
      </w:pPr>
      <w:r w:rsidRPr="00465FB3">
        <w:rPr>
          <w:rFonts w:ascii="Times New Roman" w:hAnsi="Times New Roman"/>
          <w:bCs/>
          <w:sz w:val="24"/>
          <w:szCs w:val="24"/>
        </w:rPr>
        <w:t xml:space="preserve">On Feb. 26, 2020, in </w:t>
      </w:r>
      <w:bookmarkStart w:id="151" w:name="_Hlk39823423"/>
      <w:r w:rsidRPr="00465FB3">
        <w:rPr>
          <w:rFonts w:ascii="Times New Roman" w:hAnsi="Times New Roman"/>
          <w:bCs/>
          <w:sz w:val="24"/>
          <w:szCs w:val="24"/>
          <w:u w:val="single"/>
        </w:rPr>
        <w:t>The State of New York, Connecticut, New Jersey, Washington, Massachusetts, Virginia, Rhode Island, and City of New York v. United States Department of Justice</w:t>
      </w:r>
      <w:r w:rsidRPr="00465FB3">
        <w:rPr>
          <w:rFonts w:ascii="Times New Roman" w:hAnsi="Times New Roman"/>
          <w:bCs/>
          <w:sz w:val="24"/>
          <w:szCs w:val="24"/>
        </w:rPr>
        <w:t xml:space="preserve">, the U.S. Court of Appeals for the Second Circuit (New York), </w:t>
      </w:r>
      <w:bookmarkEnd w:id="151"/>
      <w:r w:rsidRPr="00465FB3">
        <w:rPr>
          <w:rFonts w:ascii="Times New Roman" w:hAnsi="Times New Roman"/>
          <w:bCs/>
          <w:sz w:val="24"/>
          <w:szCs w:val="24"/>
        </w:rPr>
        <w:t xml:space="preserve">held (3 to 0) that the Federal Government has the statutory right to withhold Edward Byrne Memorial Program* Criminal Justice Assistance grants from sanctuary states and municipalities, setting aside an injunction issued in 2018 by a U.S. District Court judge.  [*Court in its decision, Footnote 2: “The Byrne Program is named for New York City Police Officer Edward Byrne who, at age 22, was shot to death [Feb. 26, 1988] while guarding the home of a Guyanese immigrant cooperating with authorities investigating drug trafficking. </w:t>
      </w:r>
      <w:proofErr w:type="gramStart"/>
      <w:r w:rsidRPr="00465FB3">
        <w:rPr>
          <w:rFonts w:ascii="Times New Roman" w:hAnsi="Times New Roman"/>
          <w:bCs/>
          <w:sz w:val="24"/>
          <w:szCs w:val="24"/>
        </w:rPr>
        <w:t>The</w:t>
      </w:r>
      <w:proofErr w:type="gramEnd"/>
      <w:r w:rsidRPr="00465FB3">
        <w:rPr>
          <w:rFonts w:ascii="Times New Roman" w:hAnsi="Times New Roman"/>
          <w:bCs/>
          <w:sz w:val="24"/>
          <w:szCs w:val="24"/>
        </w:rPr>
        <w:t xml:space="preserve"> case is well known in this circuit, where five </w:t>
      </w:r>
      <w:proofErr w:type="gramStart"/>
      <w:r w:rsidRPr="00465FB3">
        <w:rPr>
          <w:rFonts w:ascii="Times New Roman" w:hAnsi="Times New Roman"/>
          <w:bCs/>
          <w:sz w:val="24"/>
          <w:szCs w:val="24"/>
        </w:rPr>
        <w:t>persons</w:t>
      </w:r>
      <w:proofErr w:type="gramEnd"/>
      <w:r w:rsidRPr="00465FB3">
        <w:rPr>
          <w:rFonts w:ascii="Times New Roman" w:hAnsi="Times New Roman"/>
          <w:bCs/>
          <w:sz w:val="24"/>
          <w:szCs w:val="24"/>
        </w:rPr>
        <w:t xml:space="preserve"> were convicted in the Eastern District of New York for their roles in Byrne’s murder. Among these was Howard ‘Pappy’ Mason, a drug dealer who, from his New York State prison cell, ordered subordinates to kill a police officer in retaliation for Mason’s own incarceration.”]</w:t>
      </w:r>
    </w:p>
    <w:p w14:paraId="6D580252" w14:textId="77777777" w:rsidR="00663160" w:rsidRPr="00465FB3" w:rsidRDefault="00663160" w:rsidP="00663160">
      <w:pPr>
        <w:pStyle w:val="NoSpacing"/>
        <w:rPr>
          <w:rFonts w:ascii="Times New Roman" w:hAnsi="Times New Roman"/>
          <w:b/>
          <w:bCs/>
          <w:sz w:val="24"/>
          <w:szCs w:val="24"/>
        </w:rPr>
      </w:pPr>
    </w:p>
    <w:p w14:paraId="2D0F12C7" w14:textId="0DA795FE" w:rsidR="00663160" w:rsidRDefault="00663160" w:rsidP="00965872">
      <w:pPr>
        <w:pStyle w:val="NoSpacing"/>
        <w:ind w:left="720"/>
        <w:rPr>
          <w:rStyle w:val="Hyperlink"/>
          <w:rFonts w:ascii="Times New Roman" w:hAnsi="Times New Roman"/>
          <w:bCs/>
          <w:sz w:val="24"/>
          <w:szCs w:val="24"/>
        </w:rPr>
      </w:pPr>
      <w:r w:rsidRPr="00465FB3">
        <w:rPr>
          <w:rFonts w:ascii="Times New Roman" w:hAnsi="Times New Roman"/>
          <w:bCs/>
          <w:sz w:val="24"/>
          <w:szCs w:val="24"/>
        </w:rPr>
        <w:t xml:space="preserve">“The principal legal question presented in this appeal is whether the federal government may deny grants of money to State and local governments that would be eligible for such awards but for their refusal to comply with three immigration‐related conditions imposed by the Attorney General of the United States. Those conditions require grant applicants to certify that they will (1) comply with federal law prohibiting any restrictions on the communication of citizenship and alien status information with federal immigration authorities, see 8U.S.C.§1373; (2) provide federal authorities, upon request, with the release dates of incarcerated illegal aliens; and (3) afford federal immigration officers access to incarcerated illegal aliens. *** For reasons explained in this opinion, we conclude that the plain language of the relevant statutes authorizes the Attorney General to impose the challenged conditions.  </w:t>
      </w:r>
      <w:bookmarkStart w:id="152" w:name="_Hlk39823517"/>
      <w:r w:rsidR="00F2621E">
        <w:fldChar w:fldCharType="begin"/>
      </w:r>
      <w:r w:rsidR="00F2621E">
        <w:instrText xml:space="preserve"> HYPERLINK "http://www.ca2.uscourts.gov/decisions/isysquery/77aa9bb2-f2fe-443d-984f-9afcae6dd25e/1/doc/19-267_opn.pdf" \l "xml=http://www.ca2.uscourts.gov/decisions/isysquery/77aa9bb2-f2fe-443d-984f-9afcae6dd25e/1/hilite/" </w:instrText>
      </w:r>
      <w:r w:rsidR="00F2621E">
        <w:fldChar w:fldCharType="separate"/>
      </w:r>
      <w:r w:rsidRPr="00465FB3">
        <w:rPr>
          <w:rStyle w:val="Hyperlink"/>
          <w:rFonts w:ascii="Times New Roman" w:hAnsi="Times New Roman"/>
          <w:bCs/>
          <w:sz w:val="24"/>
          <w:szCs w:val="24"/>
        </w:rPr>
        <w:t>http://www.ca2.uscourts.gov/decisions/isysquery/77aa9bb2-f2fe-443d-984f-9afcae6dd25e/1/doc/19-267_opn.pdf#xml=http://www.ca2.uscourts.gov/decisions/isysquery/77aa9bb2-f2fe-443d-984f-9afcae6dd25e/1/hilite/</w:t>
      </w:r>
      <w:r w:rsidR="00F2621E">
        <w:rPr>
          <w:rStyle w:val="Hyperlink"/>
          <w:rFonts w:ascii="Times New Roman" w:hAnsi="Times New Roman"/>
          <w:bCs/>
          <w:sz w:val="24"/>
          <w:szCs w:val="24"/>
        </w:rPr>
        <w:fldChar w:fldCharType="end"/>
      </w:r>
      <w:bookmarkEnd w:id="152"/>
    </w:p>
    <w:bookmarkEnd w:id="150"/>
    <w:p w14:paraId="7131F8FA" w14:textId="0421C127" w:rsidR="00663160" w:rsidRDefault="00663160" w:rsidP="00663160">
      <w:pPr>
        <w:pStyle w:val="NoSpacing"/>
        <w:rPr>
          <w:rFonts w:ascii="Arial Black" w:hAnsi="Arial Black"/>
          <w:sz w:val="28"/>
          <w:szCs w:val="28"/>
        </w:rPr>
      </w:pPr>
    </w:p>
    <w:p w14:paraId="57D29285" w14:textId="77777777" w:rsidR="00663160" w:rsidRPr="00465FB3" w:rsidRDefault="00663160" w:rsidP="00663160">
      <w:pPr>
        <w:pStyle w:val="NoSpacing"/>
        <w:tabs>
          <w:tab w:val="left" w:pos="2890"/>
        </w:tabs>
        <w:rPr>
          <w:rFonts w:ascii="Times New Roman" w:hAnsi="Times New Roman"/>
          <w:b/>
          <w:bCs/>
          <w:sz w:val="24"/>
          <w:szCs w:val="24"/>
        </w:rPr>
      </w:pPr>
      <w:bookmarkStart w:id="153" w:name="_Hlk40509288"/>
      <w:r w:rsidRPr="00465FB3">
        <w:rPr>
          <w:rFonts w:ascii="Times New Roman" w:hAnsi="Times New Roman"/>
          <w:b/>
          <w:bCs/>
          <w:sz w:val="24"/>
          <w:szCs w:val="24"/>
        </w:rPr>
        <w:t xml:space="preserve">Legal Lessons Learned: Sanctuary cities are a “hot” political issue; the states who brought this lawsuit may now request U.S. Supreme Court to hear their appeal (requires vote of 4 of 9 justices for the Court to hear an appeal).   Federal appeals courts in Philadelphia, Chicago and San Francisco have upheld injunctions against these federal restrictions. </w:t>
      </w:r>
    </w:p>
    <w:p w14:paraId="6345F829" w14:textId="7729104C" w:rsidR="00025B22" w:rsidRDefault="00663160" w:rsidP="009E7672">
      <w:pPr>
        <w:pStyle w:val="NoSpacing"/>
        <w:rPr>
          <w:rFonts w:ascii="Times New Roman" w:hAnsi="Times New Roman"/>
          <w:b/>
          <w:bCs/>
          <w:sz w:val="24"/>
          <w:szCs w:val="24"/>
        </w:rPr>
      </w:pPr>
      <w:bookmarkStart w:id="154" w:name="_Hlk39823343"/>
      <w:r w:rsidRPr="00025B22">
        <w:rPr>
          <w:rFonts w:ascii="Times New Roman" w:hAnsi="Times New Roman"/>
          <w:sz w:val="24"/>
          <w:szCs w:val="24"/>
        </w:rPr>
        <w:t xml:space="preserve">See </w:t>
      </w:r>
      <w:r w:rsidR="00025B22" w:rsidRPr="00025B22">
        <w:rPr>
          <w:rFonts w:ascii="Times New Roman" w:hAnsi="Times New Roman"/>
          <w:sz w:val="24"/>
          <w:szCs w:val="24"/>
        </w:rPr>
        <w:t xml:space="preserve">Feb. 26, </w:t>
      </w:r>
      <w:proofErr w:type="gramStart"/>
      <w:r w:rsidR="00025B22" w:rsidRPr="00025B22">
        <w:rPr>
          <w:rFonts w:ascii="Times New Roman" w:hAnsi="Times New Roman"/>
          <w:sz w:val="24"/>
          <w:szCs w:val="24"/>
        </w:rPr>
        <w:t>2020</w:t>
      </w:r>
      <w:proofErr w:type="gramEnd"/>
      <w:r w:rsidR="00025B22" w:rsidRPr="00025B22">
        <w:rPr>
          <w:rFonts w:ascii="Times New Roman" w:hAnsi="Times New Roman"/>
          <w:sz w:val="24"/>
          <w:szCs w:val="24"/>
        </w:rPr>
        <w:t xml:space="preserve"> </w:t>
      </w:r>
      <w:r w:rsidRPr="00025B22">
        <w:rPr>
          <w:rFonts w:ascii="Times New Roman" w:hAnsi="Times New Roman"/>
          <w:sz w:val="24"/>
          <w:szCs w:val="24"/>
        </w:rPr>
        <w:t>article on the decision:</w:t>
      </w:r>
      <w:r w:rsidRPr="00465FB3">
        <w:rPr>
          <w:rFonts w:ascii="Times New Roman" w:hAnsi="Times New Roman"/>
          <w:b/>
          <w:bCs/>
          <w:sz w:val="24"/>
          <w:szCs w:val="24"/>
        </w:rPr>
        <w:t xml:space="preserve"> </w:t>
      </w:r>
      <w:r w:rsidR="00025B22" w:rsidRPr="00025B22">
        <w:rPr>
          <w:rFonts w:ascii="Times New Roman" w:hAnsi="Times New Roman"/>
          <w:sz w:val="24"/>
          <w:szCs w:val="24"/>
        </w:rPr>
        <w:t>Trump Administration May Withhold Federal Grants Over Sanctuary Policies, 2nd Circuit Rules</w:t>
      </w:r>
      <w:r w:rsidR="00025B22">
        <w:rPr>
          <w:rFonts w:ascii="Times New Roman" w:hAnsi="Times New Roman"/>
          <w:sz w:val="24"/>
          <w:szCs w:val="24"/>
        </w:rPr>
        <w:t xml:space="preserve">,” </w:t>
      </w:r>
    </w:p>
    <w:p w14:paraId="444BEB8E" w14:textId="05A41F0F" w:rsidR="00663160" w:rsidRPr="00465FB3" w:rsidRDefault="00025B22" w:rsidP="00663160">
      <w:pPr>
        <w:pStyle w:val="NoSpacing"/>
        <w:tabs>
          <w:tab w:val="left" w:pos="2890"/>
        </w:tabs>
        <w:rPr>
          <w:rFonts w:ascii="Times New Roman" w:hAnsi="Times New Roman"/>
          <w:sz w:val="24"/>
          <w:szCs w:val="24"/>
        </w:rPr>
      </w:pPr>
      <w:hyperlink r:id="rId842" w:history="1">
        <w:r w:rsidRPr="00751ACF">
          <w:rPr>
            <w:rStyle w:val="Hyperlink"/>
            <w:rFonts w:ascii="Times New Roman" w:hAnsi="Times New Roman"/>
            <w:b/>
            <w:bCs/>
            <w:sz w:val="24"/>
            <w:szCs w:val="24"/>
          </w:rPr>
          <w:t>https://www.law.com/newyorklawjournal/2020/02/26/trump-administration-may-withhold-federal-grants-over-sanctuary-policies-2nd-circuit-rules/</w:t>
        </w:r>
      </w:hyperlink>
      <w:r w:rsidR="00663160" w:rsidRPr="00465FB3">
        <w:rPr>
          <w:rFonts w:ascii="Times New Roman" w:hAnsi="Times New Roman"/>
          <w:sz w:val="24"/>
          <w:szCs w:val="24"/>
        </w:rPr>
        <w:t xml:space="preserve"> </w:t>
      </w:r>
      <w:bookmarkEnd w:id="153"/>
    </w:p>
    <w:bookmarkEnd w:id="154"/>
    <w:p w14:paraId="1DFB96BD" w14:textId="2F988E5D" w:rsidR="00663160" w:rsidRDefault="00663160" w:rsidP="00663160">
      <w:pPr>
        <w:pStyle w:val="NoSpacing"/>
        <w:rPr>
          <w:rFonts w:ascii="Arial Black" w:hAnsi="Arial Black"/>
          <w:sz w:val="28"/>
          <w:szCs w:val="28"/>
        </w:rPr>
      </w:pPr>
      <w:r>
        <w:rPr>
          <w:rFonts w:ascii="Arial Black" w:hAnsi="Arial Black"/>
          <w:sz w:val="28"/>
          <w:szCs w:val="28"/>
        </w:rPr>
        <w:t xml:space="preserve"> </w:t>
      </w:r>
    </w:p>
    <w:p w14:paraId="6AF8BCF4" w14:textId="77777777" w:rsidR="00663160" w:rsidRDefault="00663160" w:rsidP="00F326E5">
      <w:pPr>
        <w:pStyle w:val="NoSpacing"/>
        <w:rPr>
          <w:rFonts w:ascii="Arial Black" w:hAnsi="Arial Black"/>
          <w:sz w:val="28"/>
          <w:szCs w:val="28"/>
        </w:rPr>
      </w:pPr>
    </w:p>
    <w:p w14:paraId="397E350C" w14:textId="77777777" w:rsidR="00663160" w:rsidRDefault="00663160" w:rsidP="00F326E5">
      <w:pPr>
        <w:pStyle w:val="NoSpacing"/>
        <w:rPr>
          <w:rFonts w:ascii="Arial Black" w:hAnsi="Arial Black"/>
          <w:sz w:val="28"/>
          <w:szCs w:val="28"/>
        </w:rPr>
      </w:pPr>
    </w:p>
    <w:p w14:paraId="3BF95380" w14:textId="6375CE74" w:rsidR="007C6FEF" w:rsidRDefault="007C6FEF" w:rsidP="00F326E5">
      <w:pPr>
        <w:pStyle w:val="NoSpacing"/>
        <w:rPr>
          <w:rFonts w:ascii="Arial Black" w:hAnsi="Arial Black"/>
          <w:sz w:val="28"/>
          <w:szCs w:val="28"/>
        </w:rPr>
      </w:pPr>
      <w:r>
        <w:rPr>
          <w:rFonts w:ascii="Arial Black" w:hAnsi="Arial Black"/>
          <w:sz w:val="28"/>
          <w:szCs w:val="28"/>
        </w:rPr>
        <w:t>3-17</w:t>
      </w:r>
    </w:p>
    <w:p w14:paraId="7B72F072" w14:textId="31E31B1A" w:rsidR="007C6FEF" w:rsidRDefault="007C6FEF" w:rsidP="007C6FEF">
      <w:pPr>
        <w:spacing w:before="100" w:beforeAutospacing="1" w:after="100" w:afterAutospacing="1" w:line="240" w:lineRule="auto"/>
        <w:rPr>
          <w:rFonts w:ascii="Arial Black" w:hAnsi="Arial Black"/>
          <w:sz w:val="28"/>
          <w:szCs w:val="28"/>
        </w:rPr>
      </w:pPr>
      <w:r w:rsidRPr="00E0167A">
        <w:rPr>
          <w:rFonts w:ascii="Arial Black" w:hAnsi="Arial Black"/>
          <w:sz w:val="28"/>
          <w:szCs w:val="28"/>
        </w:rPr>
        <w:t>NY:</w:t>
      </w:r>
      <w:r>
        <w:rPr>
          <w:rFonts w:ascii="Arial Black" w:hAnsi="Arial Black"/>
          <w:sz w:val="28"/>
          <w:szCs w:val="28"/>
        </w:rPr>
        <w:t xml:space="preserve">  TERRORIST – ATTACKED FBI AGENT, 8-INCH KNIFE – PLED GUITY – 2</w:t>
      </w:r>
      <w:r w:rsidRPr="00E62FA3">
        <w:rPr>
          <w:rFonts w:ascii="Arial Black" w:hAnsi="Arial Black"/>
          <w:sz w:val="28"/>
          <w:szCs w:val="28"/>
          <w:vertAlign w:val="superscript"/>
        </w:rPr>
        <w:t>nd</w:t>
      </w:r>
      <w:r>
        <w:rPr>
          <w:rFonts w:ascii="Arial Black" w:hAnsi="Arial Black"/>
          <w:sz w:val="28"/>
          <w:szCs w:val="28"/>
        </w:rPr>
        <w:t xml:space="preserve"> Cir: 17 YRS IN PRISON NOT ENOUGH </w:t>
      </w:r>
    </w:p>
    <w:p w14:paraId="037F3549" w14:textId="77777777" w:rsidR="007C6FEF" w:rsidRDefault="007C6FEF" w:rsidP="007C6FEF">
      <w:pPr>
        <w:spacing w:before="100" w:beforeAutospacing="1" w:after="100" w:afterAutospacing="1" w:line="240" w:lineRule="auto"/>
        <w:rPr>
          <w:rFonts w:ascii="OnTimes New Roman" w:hAnsi="OnTimes New Roman"/>
          <w:sz w:val="24"/>
          <w:szCs w:val="24"/>
        </w:rPr>
      </w:pPr>
      <w:r>
        <w:rPr>
          <w:rFonts w:ascii="OnTimes New Roman" w:hAnsi="OnTimes New Roman"/>
          <w:sz w:val="24"/>
          <w:szCs w:val="24"/>
        </w:rPr>
        <w:t xml:space="preserve">On Dec. 27, 2019, in </w:t>
      </w:r>
      <w:r w:rsidRPr="00E0167A">
        <w:rPr>
          <w:rFonts w:ascii="Times New Roman" w:hAnsi="Times New Roman"/>
          <w:sz w:val="24"/>
          <w:szCs w:val="24"/>
          <w:u w:val="single"/>
        </w:rPr>
        <w:t>United States of America v. Fareed Mumuni</w:t>
      </w:r>
      <w:r>
        <w:rPr>
          <w:rFonts w:ascii="OnTimes New Roman" w:hAnsi="OnTimes New Roman"/>
          <w:sz w:val="24"/>
          <w:szCs w:val="24"/>
        </w:rPr>
        <w:t xml:space="preserve">, the U.S. Court of Appeals for Second Circuit (NYC), held 2 to 1 that U.S. District Court judge must re-sentence the convicted terrorist. </w:t>
      </w:r>
    </w:p>
    <w:p w14:paraId="422BEC57" w14:textId="77777777" w:rsidR="007C6FEF" w:rsidRDefault="007C6FEF" w:rsidP="007C6FEF">
      <w:pPr>
        <w:spacing w:before="100" w:beforeAutospacing="1" w:after="100" w:afterAutospacing="1" w:line="240" w:lineRule="auto"/>
        <w:ind w:left="720"/>
        <w:rPr>
          <w:rFonts w:ascii="Times New Roman" w:hAnsi="Times New Roman"/>
          <w:sz w:val="24"/>
          <w:szCs w:val="24"/>
        </w:rPr>
      </w:pPr>
      <w:r w:rsidRPr="00E0167A">
        <w:rPr>
          <w:rFonts w:ascii="Times New Roman" w:hAnsi="Times New Roman"/>
          <w:sz w:val="24"/>
          <w:szCs w:val="24"/>
        </w:rPr>
        <w:t>“In</w:t>
      </w:r>
      <w:r>
        <w:rPr>
          <w:rFonts w:ascii="Times New Roman" w:hAnsi="Times New Roman"/>
          <w:sz w:val="24"/>
          <w:szCs w:val="24"/>
        </w:rPr>
        <w:t xml:space="preserve"> </w:t>
      </w:r>
      <w:r w:rsidRPr="00E0167A">
        <w:rPr>
          <w:rFonts w:ascii="Times New Roman" w:hAnsi="Times New Roman"/>
          <w:sz w:val="24"/>
          <w:szCs w:val="24"/>
        </w:rPr>
        <w:t>this</w:t>
      </w:r>
      <w:r>
        <w:rPr>
          <w:rFonts w:ascii="Times New Roman" w:hAnsi="Times New Roman"/>
          <w:sz w:val="24"/>
          <w:szCs w:val="24"/>
        </w:rPr>
        <w:t xml:space="preserve"> </w:t>
      </w:r>
      <w:r w:rsidRPr="00E0167A">
        <w:rPr>
          <w:rFonts w:ascii="Times New Roman" w:hAnsi="Times New Roman"/>
          <w:sz w:val="24"/>
          <w:szCs w:val="24"/>
        </w:rPr>
        <w:t>terrorism</w:t>
      </w:r>
      <w:r>
        <w:rPr>
          <w:rFonts w:ascii="Times New Roman" w:hAnsi="Times New Roman"/>
          <w:sz w:val="24"/>
          <w:szCs w:val="24"/>
        </w:rPr>
        <w:t xml:space="preserve"> </w:t>
      </w:r>
      <w:r w:rsidRPr="00E0167A">
        <w:rPr>
          <w:rFonts w:ascii="Times New Roman" w:hAnsi="Times New Roman"/>
          <w:sz w:val="24"/>
          <w:szCs w:val="24"/>
        </w:rPr>
        <w:t>case,</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Government</w:t>
      </w:r>
      <w:r>
        <w:rPr>
          <w:rFonts w:ascii="Times New Roman" w:hAnsi="Times New Roman"/>
          <w:sz w:val="24"/>
          <w:szCs w:val="24"/>
        </w:rPr>
        <w:t xml:space="preserve"> </w:t>
      </w:r>
      <w:r w:rsidRPr="00E0167A">
        <w:rPr>
          <w:rFonts w:ascii="Times New Roman" w:hAnsi="Times New Roman"/>
          <w:sz w:val="24"/>
          <w:szCs w:val="24"/>
        </w:rPr>
        <w:t>appeals</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substantive </w:t>
      </w:r>
      <w:r w:rsidRPr="00E0167A">
        <w:rPr>
          <w:rFonts w:ascii="Times New Roman" w:hAnsi="Times New Roman"/>
          <w:sz w:val="24"/>
          <w:szCs w:val="24"/>
        </w:rPr>
        <w:t>reasonableness</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imposed</w:t>
      </w:r>
      <w:r>
        <w:rPr>
          <w:rFonts w:ascii="Times New Roman" w:hAnsi="Times New Roman"/>
          <w:sz w:val="24"/>
          <w:szCs w:val="24"/>
        </w:rPr>
        <w:t xml:space="preserve"> </w:t>
      </w:r>
      <w:r w:rsidRPr="00E0167A">
        <w:rPr>
          <w:rFonts w:ascii="Times New Roman" w:hAnsi="Times New Roman"/>
          <w:sz w:val="24"/>
          <w:szCs w:val="24"/>
        </w:rPr>
        <w:t>on</w:t>
      </w:r>
      <w:r>
        <w:rPr>
          <w:rFonts w:ascii="Times New Roman" w:hAnsi="Times New Roman"/>
          <w:sz w:val="24"/>
          <w:szCs w:val="24"/>
        </w:rPr>
        <w:t xml:space="preserve"> </w:t>
      </w:r>
      <w:r w:rsidRPr="00E0167A">
        <w:rPr>
          <w:rFonts w:ascii="Times New Roman" w:hAnsi="Times New Roman"/>
          <w:sz w:val="24"/>
          <w:szCs w:val="24"/>
        </w:rPr>
        <w:t>Defendant‐</w:t>
      </w:r>
      <w:r>
        <w:rPr>
          <w:rFonts w:ascii="Times New Roman" w:hAnsi="Times New Roman"/>
          <w:sz w:val="24"/>
          <w:szCs w:val="24"/>
        </w:rPr>
        <w:t>A</w:t>
      </w:r>
      <w:r w:rsidRPr="00E0167A">
        <w:rPr>
          <w:rFonts w:ascii="Times New Roman" w:hAnsi="Times New Roman"/>
          <w:sz w:val="24"/>
          <w:szCs w:val="24"/>
        </w:rPr>
        <w:t>ppellee</w:t>
      </w:r>
      <w:r>
        <w:rPr>
          <w:rFonts w:ascii="Times New Roman" w:hAnsi="Times New Roman"/>
          <w:sz w:val="24"/>
          <w:szCs w:val="24"/>
        </w:rPr>
        <w:t xml:space="preserve"> </w:t>
      </w:r>
      <w:r w:rsidRPr="00E0167A">
        <w:rPr>
          <w:rFonts w:ascii="Times New Roman" w:hAnsi="Times New Roman"/>
          <w:sz w:val="24"/>
          <w:szCs w:val="24"/>
        </w:rPr>
        <w:t>Fareed</w:t>
      </w:r>
      <w:r>
        <w:rPr>
          <w:rFonts w:ascii="Times New Roman" w:hAnsi="Times New Roman"/>
          <w:sz w:val="24"/>
          <w:szCs w:val="24"/>
        </w:rPr>
        <w:t xml:space="preserve"> </w:t>
      </w:r>
      <w:r w:rsidRPr="00E0167A">
        <w:rPr>
          <w:rFonts w:ascii="Times New Roman" w:hAnsi="Times New Roman"/>
          <w:sz w:val="24"/>
          <w:szCs w:val="24"/>
        </w:rPr>
        <w:t>Mumuni</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Mumuni</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He</w:t>
      </w:r>
      <w:r>
        <w:rPr>
          <w:rFonts w:ascii="Times New Roman" w:hAnsi="Times New Roman"/>
          <w:sz w:val="24"/>
          <w:szCs w:val="24"/>
        </w:rPr>
        <w:t xml:space="preserve"> </w:t>
      </w:r>
      <w:r w:rsidRPr="00E0167A">
        <w:rPr>
          <w:rFonts w:ascii="Times New Roman" w:hAnsi="Times New Roman"/>
          <w:sz w:val="24"/>
          <w:szCs w:val="24"/>
        </w:rPr>
        <w:t>was</w:t>
      </w:r>
      <w:r>
        <w:rPr>
          <w:rFonts w:ascii="Times New Roman" w:hAnsi="Times New Roman"/>
          <w:sz w:val="24"/>
          <w:szCs w:val="24"/>
        </w:rPr>
        <w:t xml:space="preserve"> </w:t>
      </w:r>
      <w:r w:rsidRPr="00E0167A">
        <w:rPr>
          <w:rFonts w:ascii="Times New Roman" w:hAnsi="Times New Roman"/>
          <w:sz w:val="24"/>
          <w:szCs w:val="24"/>
        </w:rPr>
        <w:t>convicted</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inter</w:t>
      </w:r>
      <w:r>
        <w:rPr>
          <w:rFonts w:ascii="Times New Roman" w:hAnsi="Times New Roman"/>
          <w:sz w:val="24"/>
          <w:szCs w:val="24"/>
        </w:rPr>
        <w:t xml:space="preserve"> </w:t>
      </w:r>
      <w:r w:rsidRPr="00E0167A">
        <w:rPr>
          <w:rFonts w:ascii="Times New Roman" w:hAnsi="Times New Roman"/>
          <w:sz w:val="24"/>
          <w:szCs w:val="24"/>
        </w:rPr>
        <w:t>alia,</w:t>
      </w:r>
      <w:r>
        <w:rPr>
          <w:rFonts w:ascii="Times New Roman" w:hAnsi="Times New Roman"/>
          <w:sz w:val="24"/>
          <w:szCs w:val="24"/>
        </w:rPr>
        <w:t xml:space="preserve"> </w:t>
      </w:r>
      <w:r w:rsidRPr="00E0167A">
        <w:rPr>
          <w:rFonts w:ascii="Times New Roman" w:hAnsi="Times New Roman"/>
          <w:sz w:val="24"/>
          <w:szCs w:val="24"/>
        </w:rPr>
        <w:t>conspiring</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provide</w:t>
      </w:r>
      <w:r>
        <w:rPr>
          <w:rFonts w:ascii="Times New Roman" w:hAnsi="Times New Roman"/>
          <w:sz w:val="24"/>
          <w:szCs w:val="24"/>
        </w:rPr>
        <w:t xml:space="preserve"> </w:t>
      </w:r>
      <w:r w:rsidRPr="00E0167A">
        <w:rPr>
          <w:rFonts w:ascii="Times New Roman" w:hAnsi="Times New Roman"/>
          <w:sz w:val="24"/>
          <w:szCs w:val="24"/>
        </w:rPr>
        <w:t>material</w:t>
      </w:r>
      <w:r>
        <w:rPr>
          <w:rFonts w:ascii="Times New Roman" w:hAnsi="Times New Roman"/>
          <w:sz w:val="24"/>
          <w:szCs w:val="24"/>
        </w:rPr>
        <w:t xml:space="preserve"> </w:t>
      </w:r>
      <w:r w:rsidRPr="00E0167A">
        <w:rPr>
          <w:rFonts w:ascii="Times New Roman" w:hAnsi="Times New Roman"/>
          <w:sz w:val="24"/>
          <w:szCs w:val="24"/>
        </w:rPr>
        <w:t>support</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Islamic</w:t>
      </w:r>
      <w:r>
        <w:rPr>
          <w:rFonts w:ascii="Times New Roman" w:hAnsi="Times New Roman"/>
          <w:sz w:val="24"/>
          <w:szCs w:val="24"/>
        </w:rPr>
        <w:t xml:space="preserve"> </w:t>
      </w:r>
      <w:r w:rsidRPr="00E0167A">
        <w:rPr>
          <w:rFonts w:ascii="Times New Roman" w:hAnsi="Times New Roman"/>
          <w:sz w:val="24"/>
          <w:szCs w:val="24"/>
        </w:rPr>
        <w:t>State</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Iraq</w:t>
      </w:r>
      <w:r>
        <w:rPr>
          <w:rFonts w:ascii="Times New Roman" w:hAnsi="Times New Roman"/>
          <w:sz w:val="24"/>
          <w:szCs w:val="24"/>
        </w:rPr>
        <w:t xml:space="preserve"> </w:t>
      </w:r>
      <w:r w:rsidRPr="00E0167A">
        <w:rPr>
          <w:rFonts w:ascii="Times New Roman" w:hAnsi="Times New Roman"/>
          <w:sz w:val="24"/>
          <w:szCs w:val="24"/>
        </w:rPr>
        <w:t>and</w:t>
      </w:r>
      <w:r>
        <w:rPr>
          <w:rFonts w:ascii="Times New Roman" w:hAnsi="Times New Roman"/>
          <w:sz w:val="24"/>
          <w:szCs w:val="24"/>
        </w:rPr>
        <w:t xml:space="preserve"> </w:t>
      </w:r>
      <w:r w:rsidRPr="00E0167A">
        <w:rPr>
          <w:rFonts w:ascii="Times New Roman" w:hAnsi="Times New Roman"/>
          <w:sz w:val="24"/>
          <w:szCs w:val="24"/>
        </w:rPr>
        <w:t>al‐Sham</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ISIS</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and</w:t>
      </w:r>
      <w:r>
        <w:rPr>
          <w:rFonts w:ascii="Times New Roman" w:hAnsi="Times New Roman"/>
          <w:sz w:val="24"/>
          <w:szCs w:val="24"/>
        </w:rPr>
        <w:t xml:space="preserve"> </w:t>
      </w:r>
      <w:r w:rsidRPr="00E0167A">
        <w:rPr>
          <w:rFonts w:ascii="Times New Roman" w:hAnsi="Times New Roman"/>
          <w:sz w:val="24"/>
          <w:szCs w:val="24"/>
        </w:rPr>
        <w:t>attempting</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murder</w:t>
      </w:r>
      <w:r>
        <w:rPr>
          <w:rFonts w:ascii="Times New Roman" w:hAnsi="Times New Roman"/>
          <w:sz w:val="24"/>
          <w:szCs w:val="24"/>
        </w:rPr>
        <w:t xml:space="preserve"> </w:t>
      </w:r>
      <w:r w:rsidRPr="00E0167A">
        <w:rPr>
          <w:rFonts w:ascii="Times New Roman" w:hAnsi="Times New Roman"/>
          <w:sz w:val="24"/>
          <w:szCs w:val="24"/>
        </w:rPr>
        <w:t>a</w:t>
      </w:r>
      <w:r>
        <w:rPr>
          <w:rFonts w:ascii="Times New Roman" w:hAnsi="Times New Roman"/>
          <w:sz w:val="24"/>
          <w:szCs w:val="24"/>
        </w:rPr>
        <w:t xml:space="preserve"> </w:t>
      </w:r>
      <w:r w:rsidRPr="00E0167A">
        <w:rPr>
          <w:rFonts w:ascii="Times New Roman" w:hAnsi="Times New Roman"/>
          <w:sz w:val="24"/>
          <w:szCs w:val="24"/>
        </w:rPr>
        <w:t>federal</w:t>
      </w:r>
      <w:r>
        <w:rPr>
          <w:rFonts w:ascii="Times New Roman" w:hAnsi="Times New Roman"/>
          <w:sz w:val="24"/>
          <w:szCs w:val="24"/>
        </w:rPr>
        <w:t xml:space="preserve"> </w:t>
      </w:r>
      <w:r w:rsidRPr="00E0167A">
        <w:rPr>
          <w:rFonts w:ascii="Times New Roman" w:hAnsi="Times New Roman"/>
          <w:sz w:val="24"/>
          <w:szCs w:val="24"/>
        </w:rPr>
        <w:t>agent</w:t>
      </w:r>
      <w:r>
        <w:rPr>
          <w:rFonts w:ascii="Times New Roman" w:hAnsi="Times New Roman"/>
          <w:sz w:val="24"/>
          <w:szCs w:val="24"/>
        </w:rPr>
        <w:t xml:space="preserve"> </w:t>
      </w:r>
      <w:r w:rsidRPr="00E0167A">
        <w:rPr>
          <w:rFonts w:ascii="Times New Roman" w:hAnsi="Times New Roman"/>
          <w:sz w:val="24"/>
          <w:szCs w:val="24"/>
        </w:rPr>
        <w:t>in</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name</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ISIS.</w:t>
      </w:r>
      <w:r>
        <w:rPr>
          <w:rFonts w:ascii="Times New Roman" w:hAnsi="Times New Roman"/>
          <w:sz w:val="24"/>
          <w:szCs w:val="24"/>
        </w:rPr>
        <w:t xml:space="preserve"> </w:t>
      </w:r>
      <w:r w:rsidRPr="00E0167A">
        <w:rPr>
          <w:rFonts w:ascii="Times New Roman" w:hAnsi="Times New Roman"/>
          <w:sz w:val="24"/>
          <w:szCs w:val="24"/>
        </w:rPr>
        <w:t>His</w:t>
      </w:r>
      <w:r>
        <w:rPr>
          <w:rFonts w:ascii="Times New Roman" w:hAnsi="Times New Roman"/>
          <w:sz w:val="24"/>
          <w:szCs w:val="24"/>
        </w:rPr>
        <w:t xml:space="preserve"> </w:t>
      </w:r>
      <w:r w:rsidRPr="00E0167A">
        <w:rPr>
          <w:rFonts w:ascii="Times New Roman" w:hAnsi="Times New Roman"/>
          <w:sz w:val="24"/>
          <w:szCs w:val="24"/>
        </w:rPr>
        <w:t>advisory</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under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United</w:t>
      </w:r>
      <w:r>
        <w:rPr>
          <w:rFonts w:ascii="Times New Roman" w:hAnsi="Times New Roman"/>
          <w:sz w:val="24"/>
          <w:szCs w:val="24"/>
        </w:rPr>
        <w:t xml:space="preserve"> </w:t>
      </w:r>
      <w:r w:rsidRPr="00E0167A">
        <w:rPr>
          <w:rFonts w:ascii="Times New Roman" w:hAnsi="Times New Roman"/>
          <w:sz w:val="24"/>
          <w:szCs w:val="24"/>
        </w:rPr>
        <w:t>States</w:t>
      </w:r>
      <w:r>
        <w:rPr>
          <w:rFonts w:ascii="Times New Roman" w:hAnsi="Times New Roman"/>
          <w:sz w:val="24"/>
          <w:szCs w:val="24"/>
        </w:rPr>
        <w:t xml:space="preserve"> </w:t>
      </w:r>
      <w:r w:rsidRPr="00E0167A">
        <w:rPr>
          <w:rFonts w:ascii="Times New Roman" w:hAnsi="Times New Roman"/>
          <w:sz w:val="24"/>
          <w:szCs w:val="24"/>
        </w:rPr>
        <w:t>Sentencing</w:t>
      </w:r>
      <w:r>
        <w:rPr>
          <w:rFonts w:ascii="Times New Roman" w:hAnsi="Times New Roman"/>
          <w:sz w:val="24"/>
          <w:szCs w:val="24"/>
        </w:rPr>
        <w:t xml:space="preserve"> </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or</w:t>
      </w:r>
      <w:r>
        <w:rPr>
          <w:rFonts w:ascii="Times New Roman" w:hAnsi="Times New Roman"/>
          <w:sz w:val="24"/>
          <w:szCs w:val="24"/>
        </w:rPr>
        <w:t xml:space="preserve"> ‘</w:t>
      </w:r>
      <w:r w:rsidRPr="00E0167A">
        <w:rPr>
          <w:rFonts w:ascii="Times New Roman" w:hAnsi="Times New Roman"/>
          <w:sz w:val="24"/>
          <w:szCs w:val="24"/>
        </w:rPr>
        <w:t>U.S.S.G.</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was</w:t>
      </w:r>
      <w:r>
        <w:rPr>
          <w:rFonts w:ascii="Times New Roman" w:hAnsi="Times New Roman"/>
          <w:sz w:val="24"/>
          <w:szCs w:val="24"/>
        </w:rPr>
        <w:t xml:space="preserve"> </w:t>
      </w:r>
      <w:r w:rsidRPr="00E0167A">
        <w:rPr>
          <w:rFonts w:ascii="Times New Roman" w:hAnsi="Times New Roman"/>
          <w:sz w:val="24"/>
          <w:szCs w:val="24"/>
        </w:rPr>
        <w:t>85</w:t>
      </w:r>
      <w:r>
        <w:rPr>
          <w:rFonts w:ascii="Times New Roman" w:hAnsi="Times New Roman"/>
          <w:sz w:val="24"/>
          <w:szCs w:val="24"/>
        </w:rPr>
        <w:t xml:space="preserve"> </w:t>
      </w:r>
      <w:r w:rsidRPr="00E0167A">
        <w:rPr>
          <w:rFonts w:ascii="Times New Roman" w:hAnsi="Times New Roman"/>
          <w:sz w:val="24"/>
          <w:szCs w:val="24"/>
        </w:rPr>
        <w:t>years’</w:t>
      </w:r>
      <w:r>
        <w:rPr>
          <w:rFonts w:ascii="Times New Roman" w:hAnsi="Times New Roman"/>
          <w:sz w:val="24"/>
          <w:szCs w:val="24"/>
        </w:rPr>
        <w:t xml:space="preserve"> </w:t>
      </w:r>
      <w:r w:rsidRPr="00E0167A">
        <w:rPr>
          <w:rFonts w:ascii="Times New Roman" w:hAnsi="Times New Roman"/>
          <w:sz w:val="24"/>
          <w:szCs w:val="24"/>
        </w:rPr>
        <w:t>imprisonment.</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sole</w:t>
      </w:r>
      <w:r>
        <w:rPr>
          <w:rFonts w:ascii="Times New Roman" w:hAnsi="Times New Roman"/>
          <w:sz w:val="24"/>
          <w:szCs w:val="24"/>
        </w:rPr>
        <w:t xml:space="preserve"> </w:t>
      </w:r>
      <w:r w:rsidRPr="00E0167A">
        <w:rPr>
          <w:rFonts w:ascii="Times New Roman" w:hAnsi="Times New Roman"/>
          <w:sz w:val="24"/>
          <w:szCs w:val="24"/>
        </w:rPr>
        <w:t>question</w:t>
      </w:r>
      <w:r>
        <w:rPr>
          <w:rFonts w:ascii="Times New Roman" w:hAnsi="Times New Roman"/>
          <w:sz w:val="24"/>
          <w:szCs w:val="24"/>
        </w:rPr>
        <w:t xml:space="preserve"> </w:t>
      </w:r>
      <w:r w:rsidRPr="00E0167A">
        <w:rPr>
          <w:rFonts w:ascii="Times New Roman" w:hAnsi="Times New Roman"/>
          <w:sz w:val="24"/>
          <w:szCs w:val="24"/>
        </w:rPr>
        <w:t>on</w:t>
      </w:r>
      <w:r>
        <w:rPr>
          <w:rFonts w:ascii="Times New Roman" w:hAnsi="Times New Roman"/>
          <w:sz w:val="24"/>
          <w:szCs w:val="24"/>
        </w:rPr>
        <w:t xml:space="preserve"> </w:t>
      </w:r>
      <w:r w:rsidRPr="00E0167A">
        <w:rPr>
          <w:rFonts w:ascii="Times New Roman" w:hAnsi="Times New Roman"/>
          <w:sz w:val="24"/>
          <w:szCs w:val="24"/>
        </w:rPr>
        <w:t>appeal</w:t>
      </w:r>
      <w:r>
        <w:rPr>
          <w:rFonts w:ascii="Times New Roman" w:hAnsi="Times New Roman"/>
          <w:sz w:val="24"/>
          <w:szCs w:val="24"/>
        </w:rPr>
        <w:t xml:space="preserve"> </w:t>
      </w:r>
      <w:r w:rsidRPr="00E0167A">
        <w:rPr>
          <w:rFonts w:ascii="Times New Roman" w:hAnsi="Times New Roman"/>
          <w:sz w:val="24"/>
          <w:szCs w:val="24"/>
        </w:rPr>
        <w:t>is</w:t>
      </w:r>
      <w:r>
        <w:rPr>
          <w:rFonts w:ascii="Times New Roman" w:hAnsi="Times New Roman"/>
          <w:sz w:val="24"/>
          <w:szCs w:val="24"/>
        </w:rPr>
        <w:t xml:space="preserve"> </w:t>
      </w:r>
      <w:r w:rsidRPr="00E0167A">
        <w:rPr>
          <w:rFonts w:ascii="Times New Roman" w:hAnsi="Times New Roman"/>
          <w:sz w:val="24"/>
          <w:szCs w:val="24"/>
        </w:rPr>
        <w:t>whether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United</w:t>
      </w:r>
      <w:r>
        <w:rPr>
          <w:rFonts w:ascii="Times New Roman" w:hAnsi="Times New Roman"/>
          <w:sz w:val="24"/>
          <w:szCs w:val="24"/>
        </w:rPr>
        <w:t xml:space="preserve"> </w:t>
      </w:r>
      <w:r w:rsidRPr="00E0167A">
        <w:rPr>
          <w:rFonts w:ascii="Times New Roman" w:hAnsi="Times New Roman"/>
          <w:sz w:val="24"/>
          <w:szCs w:val="24"/>
        </w:rPr>
        <w:t>States</w:t>
      </w:r>
      <w:r>
        <w:rPr>
          <w:rFonts w:ascii="Times New Roman" w:hAnsi="Times New Roman"/>
          <w:sz w:val="24"/>
          <w:szCs w:val="24"/>
        </w:rPr>
        <w:t xml:space="preserve"> </w:t>
      </w:r>
      <w:r w:rsidRPr="00E0167A">
        <w:rPr>
          <w:rFonts w:ascii="Times New Roman" w:hAnsi="Times New Roman"/>
          <w:sz w:val="24"/>
          <w:szCs w:val="24"/>
        </w:rPr>
        <w:t>District</w:t>
      </w:r>
      <w:r>
        <w:rPr>
          <w:rFonts w:ascii="Times New Roman" w:hAnsi="Times New Roman"/>
          <w:sz w:val="24"/>
          <w:szCs w:val="24"/>
        </w:rPr>
        <w:t xml:space="preserve"> </w:t>
      </w:r>
      <w:r w:rsidRPr="00E0167A">
        <w:rPr>
          <w:rFonts w:ascii="Times New Roman" w:hAnsi="Times New Roman"/>
          <w:sz w:val="24"/>
          <w:szCs w:val="24"/>
        </w:rPr>
        <w:t>Court</w:t>
      </w:r>
      <w:r>
        <w:rPr>
          <w:rFonts w:ascii="Times New Roman" w:hAnsi="Times New Roman"/>
          <w:sz w:val="24"/>
          <w:szCs w:val="24"/>
        </w:rPr>
        <w:t xml:space="preserve"> </w:t>
      </w:r>
      <w:r w:rsidRPr="00E0167A">
        <w:rPr>
          <w:rFonts w:ascii="Times New Roman" w:hAnsi="Times New Roman"/>
          <w:sz w:val="24"/>
          <w:szCs w:val="24"/>
        </w:rPr>
        <w:t>for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Eastern</w:t>
      </w:r>
      <w:r>
        <w:rPr>
          <w:rFonts w:ascii="Times New Roman" w:hAnsi="Times New Roman"/>
          <w:sz w:val="24"/>
          <w:szCs w:val="24"/>
        </w:rPr>
        <w:t xml:space="preserve"> </w:t>
      </w:r>
      <w:r w:rsidRPr="00E0167A">
        <w:rPr>
          <w:rFonts w:ascii="Times New Roman" w:hAnsi="Times New Roman"/>
          <w:sz w:val="24"/>
          <w:szCs w:val="24"/>
        </w:rPr>
        <w:t>District</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New</w:t>
      </w:r>
      <w:r>
        <w:rPr>
          <w:rFonts w:ascii="Times New Roman" w:hAnsi="Times New Roman"/>
          <w:sz w:val="24"/>
          <w:szCs w:val="24"/>
        </w:rPr>
        <w:t xml:space="preserve"> </w:t>
      </w:r>
      <w:r w:rsidRPr="00E0167A">
        <w:rPr>
          <w:rFonts w:ascii="Times New Roman" w:hAnsi="Times New Roman"/>
          <w:sz w:val="24"/>
          <w:szCs w:val="24"/>
        </w:rPr>
        <w:t>York</w:t>
      </w:r>
      <w:r>
        <w:rPr>
          <w:rFonts w:ascii="Times New Roman" w:hAnsi="Times New Roman"/>
          <w:sz w:val="24"/>
          <w:szCs w:val="24"/>
        </w:rPr>
        <w:t xml:space="preserve"> </w:t>
      </w:r>
      <w:r w:rsidRPr="00E0167A">
        <w:rPr>
          <w:rFonts w:ascii="Times New Roman" w:hAnsi="Times New Roman"/>
          <w:sz w:val="24"/>
          <w:szCs w:val="24"/>
        </w:rPr>
        <w:t>(Margo</w:t>
      </w:r>
      <w:r>
        <w:rPr>
          <w:rFonts w:ascii="Times New Roman" w:hAnsi="Times New Roman"/>
          <w:sz w:val="24"/>
          <w:szCs w:val="24"/>
        </w:rPr>
        <w:t xml:space="preserve"> </w:t>
      </w:r>
      <w:r w:rsidRPr="00E0167A">
        <w:rPr>
          <w:rFonts w:ascii="Times New Roman" w:hAnsi="Times New Roman"/>
          <w:sz w:val="24"/>
          <w:szCs w:val="24"/>
        </w:rPr>
        <w:t>K.</w:t>
      </w:r>
      <w:r>
        <w:rPr>
          <w:rFonts w:ascii="Times New Roman" w:hAnsi="Times New Roman"/>
          <w:sz w:val="24"/>
          <w:szCs w:val="24"/>
        </w:rPr>
        <w:t xml:space="preserve"> </w:t>
      </w:r>
      <w:r w:rsidRPr="00E0167A">
        <w:rPr>
          <w:rFonts w:ascii="Times New Roman" w:hAnsi="Times New Roman"/>
          <w:sz w:val="24"/>
          <w:szCs w:val="24"/>
        </w:rPr>
        <w:t>Brodie,</w:t>
      </w:r>
      <w:r>
        <w:rPr>
          <w:rFonts w:ascii="Times New Roman" w:hAnsi="Times New Roman"/>
          <w:sz w:val="24"/>
          <w:szCs w:val="24"/>
        </w:rPr>
        <w:t xml:space="preserve"> </w:t>
      </w:r>
      <w:r w:rsidRPr="00E0167A">
        <w:rPr>
          <w:rFonts w:ascii="Times New Roman" w:hAnsi="Times New Roman"/>
          <w:sz w:val="24"/>
          <w:szCs w:val="24"/>
        </w:rPr>
        <w:t>Judge)</w:t>
      </w:r>
      <w:r>
        <w:rPr>
          <w:rFonts w:ascii="Times New Roman" w:hAnsi="Times New Roman"/>
          <w:sz w:val="24"/>
          <w:szCs w:val="24"/>
        </w:rPr>
        <w:t xml:space="preserve"> </w:t>
      </w:r>
      <w:r w:rsidRPr="00E0167A">
        <w:rPr>
          <w:rFonts w:ascii="Times New Roman" w:hAnsi="Times New Roman"/>
          <w:sz w:val="24"/>
          <w:szCs w:val="24"/>
        </w:rPr>
        <w:t>erred—or</w:t>
      </w:r>
      <w:r>
        <w:rPr>
          <w:rFonts w:ascii="Times New Roman" w:hAnsi="Times New Roman"/>
          <w:sz w:val="24"/>
          <w:szCs w:val="24"/>
        </w:rPr>
        <w:t xml:space="preserve"> ‘</w:t>
      </w:r>
      <w:r w:rsidRPr="00E0167A">
        <w:rPr>
          <w:rFonts w:ascii="Times New Roman" w:hAnsi="Times New Roman"/>
          <w:sz w:val="24"/>
          <w:szCs w:val="24"/>
        </w:rPr>
        <w:t>abuse</w:t>
      </w:r>
      <w:r>
        <w:rPr>
          <w:rFonts w:ascii="Times New Roman" w:hAnsi="Times New Roman"/>
          <w:sz w:val="24"/>
          <w:szCs w:val="24"/>
        </w:rPr>
        <w:t xml:space="preserve">d its </w:t>
      </w:r>
      <w:r w:rsidRPr="00E0167A">
        <w:rPr>
          <w:rFonts w:ascii="Times New Roman" w:hAnsi="Times New Roman"/>
          <w:sz w:val="24"/>
          <w:szCs w:val="24"/>
        </w:rPr>
        <w:t>discretion</w:t>
      </w:r>
      <w:r>
        <w:rPr>
          <w:rFonts w:ascii="Times New Roman" w:hAnsi="Times New Roman"/>
          <w:sz w:val="24"/>
          <w:szCs w:val="24"/>
        </w:rPr>
        <w:t>’</w:t>
      </w:r>
      <w:r w:rsidRPr="00E0167A">
        <w:rPr>
          <w:rFonts w:ascii="Times New Roman" w:hAnsi="Times New Roman"/>
          <w:sz w:val="24"/>
          <w:szCs w:val="24"/>
        </w:rPr>
        <w:t>—by</w:t>
      </w:r>
      <w:r>
        <w:rPr>
          <w:rFonts w:ascii="Times New Roman" w:hAnsi="Times New Roman"/>
          <w:sz w:val="24"/>
          <w:szCs w:val="24"/>
        </w:rPr>
        <w:t xml:space="preserve"> </w:t>
      </w:r>
      <w:r w:rsidRPr="00E0167A">
        <w:rPr>
          <w:rFonts w:ascii="Times New Roman" w:hAnsi="Times New Roman"/>
          <w:sz w:val="24"/>
          <w:szCs w:val="24"/>
        </w:rPr>
        <w:t>imposing</w:t>
      </w:r>
      <w:r>
        <w:rPr>
          <w:rFonts w:ascii="Times New Roman" w:hAnsi="Times New Roman"/>
          <w:sz w:val="24"/>
          <w:szCs w:val="24"/>
        </w:rPr>
        <w:t xml:space="preserve"> </w:t>
      </w:r>
      <w:r w:rsidRPr="00E0167A">
        <w:rPr>
          <w:rFonts w:ascii="Times New Roman" w:hAnsi="Times New Roman"/>
          <w:sz w:val="24"/>
          <w:szCs w:val="24"/>
        </w:rPr>
        <w:t>a17‐</w:t>
      </w:r>
      <w:r>
        <w:rPr>
          <w:rFonts w:ascii="Times New Roman" w:hAnsi="Times New Roman"/>
          <w:sz w:val="24"/>
          <w:szCs w:val="24"/>
        </w:rPr>
        <w:t>y</w:t>
      </w:r>
      <w:r w:rsidRPr="00E0167A">
        <w:rPr>
          <w:rFonts w:ascii="Times New Roman" w:hAnsi="Times New Roman"/>
          <w:sz w:val="24"/>
          <w:szCs w:val="24"/>
        </w:rPr>
        <w:t>ear</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which</w:t>
      </w:r>
      <w:r>
        <w:rPr>
          <w:rFonts w:ascii="Times New Roman" w:hAnsi="Times New Roman"/>
          <w:sz w:val="24"/>
          <w:szCs w:val="24"/>
        </w:rPr>
        <w:t xml:space="preserve"> </w:t>
      </w:r>
      <w:r w:rsidRPr="00E0167A">
        <w:rPr>
          <w:rFonts w:ascii="Times New Roman" w:hAnsi="Times New Roman"/>
          <w:sz w:val="24"/>
          <w:szCs w:val="24"/>
        </w:rPr>
        <w:t>constitutes</w:t>
      </w:r>
      <w:r>
        <w:rPr>
          <w:rFonts w:ascii="Times New Roman" w:hAnsi="Times New Roman"/>
          <w:sz w:val="24"/>
          <w:szCs w:val="24"/>
        </w:rPr>
        <w:t xml:space="preserve"> </w:t>
      </w:r>
      <w:r w:rsidRPr="00E0167A">
        <w:rPr>
          <w:rFonts w:ascii="Times New Roman" w:hAnsi="Times New Roman"/>
          <w:sz w:val="24"/>
          <w:szCs w:val="24"/>
        </w:rPr>
        <w:t>an</w:t>
      </w:r>
      <w:r>
        <w:rPr>
          <w:rFonts w:ascii="Times New Roman" w:hAnsi="Times New Roman"/>
          <w:sz w:val="24"/>
          <w:szCs w:val="24"/>
        </w:rPr>
        <w:t xml:space="preserve"> </w:t>
      </w:r>
      <w:r w:rsidRPr="00E0167A">
        <w:rPr>
          <w:rFonts w:ascii="Times New Roman" w:hAnsi="Times New Roman"/>
          <w:sz w:val="24"/>
          <w:szCs w:val="24"/>
        </w:rPr>
        <w:t>80%</w:t>
      </w:r>
      <w:r>
        <w:rPr>
          <w:rFonts w:ascii="Times New Roman" w:hAnsi="Times New Roman"/>
          <w:sz w:val="24"/>
          <w:szCs w:val="24"/>
        </w:rPr>
        <w:t xml:space="preserve"> </w:t>
      </w:r>
      <w:r w:rsidRPr="00E0167A">
        <w:rPr>
          <w:rFonts w:ascii="Times New Roman" w:hAnsi="Times New Roman"/>
          <w:sz w:val="24"/>
          <w:szCs w:val="24"/>
        </w:rPr>
        <w:t>downward</w:t>
      </w:r>
      <w:r>
        <w:rPr>
          <w:rFonts w:ascii="Times New Roman" w:hAnsi="Times New Roman"/>
          <w:sz w:val="24"/>
          <w:szCs w:val="24"/>
        </w:rPr>
        <w:t xml:space="preserve"> </w:t>
      </w:r>
      <w:r w:rsidRPr="00E0167A">
        <w:rPr>
          <w:rFonts w:ascii="Times New Roman" w:hAnsi="Times New Roman"/>
          <w:sz w:val="24"/>
          <w:szCs w:val="24"/>
        </w:rPr>
        <w:t>variance</w:t>
      </w:r>
      <w:r>
        <w:rPr>
          <w:rFonts w:ascii="Times New Roman" w:hAnsi="Times New Roman"/>
          <w:sz w:val="24"/>
          <w:szCs w:val="24"/>
        </w:rPr>
        <w:t xml:space="preserve"> </w:t>
      </w:r>
      <w:r w:rsidRPr="00E0167A">
        <w:rPr>
          <w:rFonts w:ascii="Times New Roman" w:hAnsi="Times New Roman"/>
          <w:sz w:val="24"/>
          <w:szCs w:val="24"/>
        </w:rPr>
        <w:t>from</w:t>
      </w:r>
      <w:r>
        <w:rPr>
          <w:rFonts w:ascii="Times New Roman" w:hAnsi="Times New Roman"/>
          <w:sz w:val="24"/>
          <w:szCs w:val="24"/>
        </w:rPr>
        <w:t xml:space="preserve"> </w:t>
      </w:r>
      <w:r w:rsidRPr="00E0167A">
        <w:rPr>
          <w:rFonts w:ascii="Times New Roman" w:hAnsi="Times New Roman"/>
          <w:sz w:val="24"/>
          <w:szCs w:val="24"/>
        </w:rPr>
        <w:t>Mumuni’s</w:t>
      </w:r>
      <w:r>
        <w:rPr>
          <w:rFonts w:ascii="Times New Roman" w:hAnsi="Times New Roman"/>
          <w:sz w:val="24"/>
          <w:szCs w:val="24"/>
        </w:rPr>
        <w:t xml:space="preserve"> </w:t>
      </w:r>
      <w:r w:rsidRPr="00E0167A">
        <w:rPr>
          <w:rFonts w:ascii="Times New Roman" w:hAnsi="Times New Roman"/>
          <w:sz w:val="24"/>
          <w:szCs w:val="24"/>
        </w:rPr>
        <w:t>advisory</w:t>
      </w:r>
      <w:r>
        <w:rPr>
          <w:rFonts w:ascii="Times New Roman" w:hAnsi="Times New Roman"/>
          <w:sz w:val="24"/>
          <w:szCs w:val="24"/>
        </w:rPr>
        <w:t xml:space="preserve"> </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range.</w:t>
      </w:r>
      <w:r>
        <w:rPr>
          <w:rFonts w:ascii="Times New Roman" w:hAnsi="Times New Roman"/>
          <w:sz w:val="24"/>
          <w:szCs w:val="24"/>
        </w:rPr>
        <w:t xml:space="preserve"> </w:t>
      </w:r>
      <w:r w:rsidRPr="00E0167A">
        <w:rPr>
          <w:rFonts w:ascii="Times New Roman" w:hAnsi="Times New Roman"/>
          <w:sz w:val="24"/>
          <w:szCs w:val="24"/>
        </w:rPr>
        <w:t>We</w:t>
      </w:r>
      <w:r>
        <w:rPr>
          <w:rFonts w:ascii="Times New Roman" w:hAnsi="Times New Roman"/>
          <w:sz w:val="24"/>
          <w:szCs w:val="24"/>
        </w:rPr>
        <w:t xml:space="preserve"> </w:t>
      </w:r>
      <w:r w:rsidRPr="00E0167A">
        <w:rPr>
          <w:rFonts w:ascii="Times New Roman" w:hAnsi="Times New Roman"/>
          <w:sz w:val="24"/>
          <w:szCs w:val="24"/>
        </w:rPr>
        <w:t>conclude</w:t>
      </w:r>
      <w:r>
        <w:rPr>
          <w:rFonts w:ascii="Times New Roman" w:hAnsi="Times New Roman"/>
          <w:sz w:val="24"/>
          <w:szCs w:val="24"/>
        </w:rPr>
        <w:t xml:space="preserve"> </w:t>
      </w:r>
      <w:r w:rsidRPr="00E0167A">
        <w:rPr>
          <w:rFonts w:ascii="Times New Roman" w:hAnsi="Times New Roman"/>
          <w:sz w:val="24"/>
          <w:szCs w:val="24"/>
        </w:rPr>
        <w:t>that</w:t>
      </w:r>
      <w:r>
        <w:rPr>
          <w:rFonts w:ascii="Times New Roman" w:hAnsi="Times New Roman"/>
          <w:sz w:val="24"/>
          <w:szCs w:val="24"/>
        </w:rPr>
        <w:t xml:space="preserve"> </w:t>
      </w:r>
      <w:r w:rsidRPr="00E0167A">
        <w:rPr>
          <w:rFonts w:ascii="Times New Roman" w:hAnsi="Times New Roman"/>
          <w:sz w:val="24"/>
          <w:szCs w:val="24"/>
        </w:rPr>
        <w:t>it</w:t>
      </w:r>
      <w:r>
        <w:rPr>
          <w:rFonts w:ascii="Times New Roman" w:hAnsi="Times New Roman"/>
          <w:sz w:val="24"/>
          <w:szCs w:val="24"/>
        </w:rPr>
        <w:t xml:space="preserve"> </w:t>
      </w:r>
      <w:r w:rsidRPr="00E0167A">
        <w:rPr>
          <w:rFonts w:ascii="Times New Roman" w:hAnsi="Times New Roman"/>
          <w:sz w:val="24"/>
          <w:szCs w:val="24"/>
        </w:rPr>
        <w:t>did.</w:t>
      </w:r>
      <w:r>
        <w:rPr>
          <w:rFonts w:ascii="Times New Roman" w:hAnsi="Times New Roman"/>
          <w:sz w:val="24"/>
          <w:szCs w:val="24"/>
        </w:rPr>
        <w:t xml:space="preserve"> </w:t>
      </w:r>
      <w:r w:rsidRPr="00E0167A">
        <w:rPr>
          <w:rFonts w:ascii="Times New Roman" w:hAnsi="Times New Roman"/>
          <w:sz w:val="24"/>
          <w:szCs w:val="24"/>
        </w:rPr>
        <w:t>Accordingly,</w:t>
      </w:r>
      <w:r>
        <w:rPr>
          <w:rFonts w:ascii="Times New Roman" w:hAnsi="Times New Roman"/>
          <w:sz w:val="24"/>
          <w:szCs w:val="24"/>
        </w:rPr>
        <w:t xml:space="preserve"> </w:t>
      </w:r>
      <w:r w:rsidRPr="00E0167A">
        <w:rPr>
          <w:rFonts w:ascii="Times New Roman" w:hAnsi="Times New Roman"/>
          <w:sz w:val="24"/>
          <w:szCs w:val="24"/>
        </w:rPr>
        <w:t>we</w:t>
      </w:r>
      <w:r>
        <w:rPr>
          <w:rFonts w:ascii="Times New Roman" w:hAnsi="Times New Roman"/>
          <w:sz w:val="24"/>
          <w:szCs w:val="24"/>
        </w:rPr>
        <w:t xml:space="preserve"> </w:t>
      </w:r>
      <w:r w:rsidRPr="00E0167A">
        <w:rPr>
          <w:rFonts w:ascii="Times New Roman" w:hAnsi="Times New Roman"/>
          <w:sz w:val="24"/>
          <w:szCs w:val="24"/>
        </w:rPr>
        <w:t>REMAND</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cause</w:t>
      </w:r>
      <w:r>
        <w:rPr>
          <w:rFonts w:ascii="Times New Roman" w:hAnsi="Times New Roman"/>
          <w:sz w:val="24"/>
          <w:szCs w:val="24"/>
        </w:rPr>
        <w:t xml:space="preserve"> </w:t>
      </w:r>
      <w:r w:rsidRPr="00E0167A">
        <w:rPr>
          <w:rFonts w:ascii="Times New Roman" w:hAnsi="Times New Roman"/>
          <w:sz w:val="24"/>
          <w:szCs w:val="24"/>
        </w:rPr>
        <w:t>for</w:t>
      </w:r>
      <w:r>
        <w:rPr>
          <w:rFonts w:ascii="Times New Roman" w:hAnsi="Times New Roman"/>
          <w:sz w:val="24"/>
          <w:szCs w:val="24"/>
        </w:rPr>
        <w:t xml:space="preserve"> </w:t>
      </w:r>
      <w:r w:rsidRPr="00E0167A">
        <w:rPr>
          <w:rFonts w:ascii="Times New Roman" w:hAnsi="Times New Roman"/>
          <w:sz w:val="24"/>
          <w:szCs w:val="24"/>
        </w:rPr>
        <w:t>resentencing</w:t>
      </w:r>
      <w:r>
        <w:rPr>
          <w:rFonts w:ascii="Times New Roman" w:hAnsi="Times New Roman"/>
          <w:sz w:val="24"/>
          <w:szCs w:val="24"/>
        </w:rPr>
        <w:t xml:space="preserve"> </w:t>
      </w:r>
      <w:r w:rsidRPr="00E0167A">
        <w:rPr>
          <w:rFonts w:ascii="Times New Roman" w:hAnsi="Times New Roman"/>
          <w:sz w:val="24"/>
          <w:szCs w:val="24"/>
        </w:rPr>
        <w:t>consistent</w:t>
      </w:r>
      <w:r>
        <w:rPr>
          <w:rFonts w:ascii="Times New Roman" w:hAnsi="Times New Roman"/>
          <w:sz w:val="24"/>
          <w:szCs w:val="24"/>
        </w:rPr>
        <w:t xml:space="preserve"> </w:t>
      </w:r>
      <w:r w:rsidRPr="00E0167A">
        <w:rPr>
          <w:rFonts w:ascii="Times New Roman" w:hAnsi="Times New Roman"/>
          <w:sz w:val="24"/>
          <w:szCs w:val="24"/>
        </w:rPr>
        <w:t>with</w:t>
      </w:r>
      <w:r>
        <w:rPr>
          <w:rFonts w:ascii="Times New Roman" w:hAnsi="Times New Roman"/>
          <w:sz w:val="24"/>
          <w:szCs w:val="24"/>
        </w:rPr>
        <w:t xml:space="preserve"> </w:t>
      </w:r>
      <w:r w:rsidRPr="00E0167A">
        <w:rPr>
          <w:rFonts w:ascii="Times New Roman" w:hAnsi="Times New Roman"/>
          <w:sz w:val="24"/>
          <w:szCs w:val="24"/>
        </w:rPr>
        <w:t>this</w:t>
      </w:r>
      <w:r>
        <w:rPr>
          <w:rFonts w:ascii="Times New Roman" w:hAnsi="Times New Roman"/>
          <w:sz w:val="24"/>
          <w:szCs w:val="24"/>
        </w:rPr>
        <w:t xml:space="preserve"> </w:t>
      </w:r>
      <w:r w:rsidRPr="00E0167A">
        <w:rPr>
          <w:rFonts w:ascii="Times New Roman" w:hAnsi="Times New Roman"/>
          <w:sz w:val="24"/>
          <w:szCs w:val="24"/>
        </w:rPr>
        <w:t>opinion.</w:t>
      </w:r>
      <w:r>
        <w:rPr>
          <w:rFonts w:ascii="Times New Roman" w:hAnsi="Times New Roman"/>
          <w:sz w:val="24"/>
          <w:szCs w:val="24"/>
        </w:rPr>
        <w:t>”</w:t>
      </w:r>
      <w:r w:rsidRPr="003F74E4">
        <w:t xml:space="preserve"> </w:t>
      </w:r>
      <w:hyperlink r:id="rId843" w:anchor="xml=http://www.ca2.uscourts.gov/decisions/isysquery/67a05b34-20ad-4c39-bc1a-260008502d15/1/hilite/" w:history="1">
        <w:r w:rsidRPr="00F25DB3">
          <w:rPr>
            <w:rStyle w:val="Hyperlink"/>
            <w:rFonts w:ascii="Times New Roman" w:hAnsi="Times New Roman"/>
            <w:sz w:val="24"/>
            <w:szCs w:val="24"/>
          </w:rPr>
          <w:t>http://www.ca2.uscourts.gov/decisions/isysquery/67a05b34-20ad-4c39-bc1a-260008502d15/1/doc/18-1604_complete_opn.pdf#xml=http://www.ca2.uscourts.gov/decisions/isysquery/67a05b34-20ad-4c39-bc1a-260008502d15/1/hilite/</w:t>
        </w:r>
      </w:hyperlink>
      <w:r>
        <w:rPr>
          <w:rFonts w:ascii="Times New Roman" w:hAnsi="Times New Roman"/>
          <w:sz w:val="24"/>
          <w:szCs w:val="24"/>
        </w:rPr>
        <w:t xml:space="preserve"> </w:t>
      </w:r>
    </w:p>
    <w:p w14:paraId="4AB9FF04" w14:textId="0C05CC1E" w:rsidR="007C6FEF" w:rsidRPr="009C4A80" w:rsidRDefault="009C4A80" w:rsidP="00F326E5">
      <w:pPr>
        <w:pStyle w:val="NoSpacing"/>
        <w:rPr>
          <w:rFonts w:ascii="Times New Roman" w:hAnsi="Times New Roman"/>
          <w:b/>
          <w:bCs/>
          <w:sz w:val="24"/>
          <w:szCs w:val="24"/>
        </w:rPr>
      </w:pPr>
      <w:r w:rsidRPr="009C4A80">
        <w:rPr>
          <w:rFonts w:ascii="Times New Roman" w:hAnsi="Times New Roman"/>
          <w:b/>
          <w:bCs/>
          <w:sz w:val="24"/>
          <w:szCs w:val="24"/>
        </w:rPr>
        <w:t>Legal Lessons Learned: Very important decision that will hopefully influence other Federal sentencing judges nationwide.</w:t>
      </w:r>
    </w:p>
    <w:p w14:paraId="5B4B0045" w14:textId="77777777" w:rsidR="007C6FEF" w:rsidRDefault="007C6FEF" w:rsidP="00F326E5">
      <w:pPr>
        <w:pStyle w:val="NoSpacing"/>
        <w:rPr>
          <w:rFonts w:ascii="Arial Black" w:hAnsi="Arial Black"/>
          <w:sz w:val="28"/>
          <w:szCs w:val="28"/>
        </w:rPr>
      </w:pPr>
    </w:p>
    <w:p w14:paraId="70AA856F" w14:textId="77777777" w:rsidR="007C6FEF" w:rsidRDefault="007C6FEF" w:rsidP="00F326E5">
      <w:pPr>
        <w:pStyle w:val="NoSpacing"/>
        <w:rPr>
          <w:rFonts w:ascii="Arial Black" w:hAnsi="Arial Black"/>
          <w:sz w:val="28"/>
          <w:szCs w:val="28"/>
        </w:rPr>
      </w:pPr>
    </w:p>
    <w:p w14:paraId="3F5A8901" w14:textId="77777777" w:rsidR="00980EAD" w:rsidRDefault="00980EAD" w:rsidP="00F326E5">
      <w:pPr>
        <w:pStyle w:val="NoSpacing"/>
        <w:rPr>
          <w:rFonts w:ascii="Arial Black" w:hAnsi="Arial Black"/>
          <w:sz w:val="28"/>
          <w:szCs w:val="28"/>
        </w:rPr>
      </w:pPr>
    </w:p>
    <w:p w14:paraId="447A6E16" w14:textId="5EDE9938" w:rsidR="00A06387" w:rsidRDefault="00A06387" w:rsidP="00F326E5">
      <w:pPr>
        <w:pStyle w:val="NoSpacing"/>
        <w:rPr>
          <w:rFonts w:ascii="Arial Black" w:hAnsi="Arial Black"/>
          <w:sz w:val="28"/>
          <w:szCs w:val="28"/>
        </w:rPr>
      </w:pPr>
      <w:r>
        <w:rPr>
          <w:rFonts w:ascii="Arial Black" w:hAnsi="Arial Black"/>
          <w:sz w:val="28"/>
          <w:szCs w:val="28"/>
        </w:rPr>
        <w:t>3-1</w:t>
      </w:r>
      <w:r w:rsidR="00A247E4">
        <w:rPr>
          <w:rFonts w:ascii="Arial Black" w:hAnsi="Arial Black"/>
          <w:sz w:val="28"/>
          <w:szCs w:val="28"/>
        </w:rPr>
        <w:t>6</w:t>
      </w:r>
    </w:p>
    <w:p w14:paraId="0FF14E6D" w14:textId="375A6CDC" w:rsidR="00A06387" w:rsidRDefault="00A06387" w:rsidP="00F326E5">
      <w:pPr>
        <w:pStyle w:val="NoSpacing"/>
        <w:rPr>
          <w:rFonts w:ascii="Arial Black" w:hAnsi="Arial Black"/>
          <w:sz w:val="28"/>
          <w:szCs w:val="28"/>
        </w:rPr>
      </w:pPr>
    </w:p>
    <w:p w14:paraId="14C355AD" w14:textId="77777777" w:rsidR="00A06387" w:rsidRPr="00656FC7" w:rsidRDefault="00A06387" w:rsidP="00A06387">
      <w:pPr>
        <w:pStyle w:val="NoSpacing"/>
        <w:rPr>
          <w:rFonts w:ascii="Arial Black" w:hAnsi="Arial Black"/>
          <w:sz w:val="28"/>
          <w:szCs w:val="28"/>
        </w:rPr>
      </w:pPr>
      <w:r w:rsidRPr="00656FC7">
        <w:rPr>
          <w:rFonts w:ascii="Arial Black" w:hAnsi="Arial Black"/>
          <w:sz w:val="28"/>
          <w:szCs w:val="28"/>
        </w:rPr>
        <w:t>CA: NO FLY LIST – FOUR U.S. CITIZENS ON THE LIST -  TSA’s ANTI-TERRORIST PROGRAM PROVIDES DUE PROCESS RIGHTS</w:t>
      </w:r>
    </w:p>
    <w:p w14:paraId="24BA9448" w14:textId="77777777" w:rsidR="00A06387" w:rsidRPr="00A301F0" w:rsidRDefault="00A06387" w:rsidP="00A06387">
      <w:pPr>
        <w:pStyle w:val="NoSpacing"/>
        <w:rPr>
          <w:b/>
          <w:bCs/>
          <w:sz w:val="28"/>
          <w:szCs w:val="28"/>
        </w:rPr>
      </w:pPr>
    </w:p>
    <w:p w14:paraId="24D75E1B"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t xml:space="preserve">On Oct. 21, 2019, in </w:t>
      </w:r>
      <w:r w:rsidRPr="009C4A80">
        <w:rPr>
          <w:rFonts w:ascii="Times New Roman" w:hAnsi="Times New Roman"/>
          <w:bCs/>
          <w:sz w:val="24"/>
          <w:szCs w:val="24"/>
          <w:u w:val="single"/>
        </w:rPr>
        <w:t>Faisal Nabin Kashem; Raymond Earl Knaeble IV; Amir Meshal; Stephen Durga Persuad v. William Barr, Attorney General</w:t>
      </w:r>
      <w:r w:rsidRPr="009C4A80">
        <w:rPr>
          <w:rFonts w:ascii="Times New Roman" w:hAnsi="Times New Roman"/>
          <w:bCs/>
          <w:sz w:val="24"/>
          <w:szCs w:val="24"/>
        </w:rPr>
        <w:t>, the U.S. Court of Appeals for the 9</w:t>
      </w:r>
      <w:r w:rsidRPr="009C4A80">
        <w:rPr>
          <w:rFonts w:ascii="Times New Roman" w:hAnsi="Times New Roman"/>
          <w:bCs/>
          <w:sz w:val="24"/>
          <w:szCs w:val="24"/>
          <w:vertAlign w:val="superscript"/>
        </w:rPr>
        <w:t>th</w:t>
      </w:r>
      <w:r w:rsidRPr="009C4A80">
        <w:rPr>
          <w:rFonts w:ascii="Times New Roman" w:hAnsi="Times New Roman"/>
          <w:bCs/>
          <w:sz w:val="24"/>
          <w:szCs w:val="24"/>
        </w:rPr>
        <w:t xml:space="preserve"> Circuit (San Francisco), upheld (3 to 0)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w:t>
      </w:r>
    </w:p>
    <w:p w14:paraId="75420460" w14:textId="77777777" w:rsidR="00A06387" w:rsidRPr="009C4A80" w:rsidRDefault="00A06387" w:rsidP="00A06387">
      <w:pPr>
        <w:pStyle w:val="NoSpacing"/>
        <w:rPr>
          <w:rFonts w:ascii="Times New Roman" w:hAnsi="Times New Roman"/>
          <w:b/>
          <w:bCs/>
          <w:sz w:val="24"/>
          <w:szCs w:val="24"/>
        </w:rPr>
      </w:pPr>
    </w:p>
    <w:p w14:paraId="00AEDD86"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“The plaintiffs are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which prohibits them from boarding commercial aircraft flying to, from or within the United States or through United States airspace. They challenge, under the Due Process Clause of the Fifth Amendment to the United States Constitution, both their inclusion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and the sufficiency of the procedures available for contesting their inclusion on the list. Specifically, the plaintiffs argue (1) the criteria for inclusion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are unconstitutionally vague; (2) the procedures for challenging inclusion on the list fail to satisfy procedural due process; and (3) their inclusion on the list violates their substantive due process rights. The district court granted summary judgment to the government on the vagueness and procedural due process claims and dismissed the substantive due process claims for lack of jurisdiction under 49 U.S.C. § 46110. We affirm.”</w:t>
      </w:r>
    </w:p>
    <w:p w14:paraId="4F7520E4" w14:textId="77777777" w:rsidR="00A06387" w:rsidRPr="009C4A80" w:rsidRDefault="00A06387" w:rsidP="00A06387">
      <w:pPr>
        <w:pStyle w:val="NoSpacing"/>
        <w:ind w:left="720"/>
        <w:rPr>
          <w:rFonts w:ascii="Times New Roman" w:hAnsi="Times New Roman"/>
          <w:b/>
          <w:bCs/>
          <w:sz w:val="24"/>
          <w:szCs w:val="24"/>
        </w:rPr>
      </w:pPr>
      <w:hyperlink r:id="rId844" w:history="1">
        <w:r w:rsidRPr="009C4A80">
          <w:rPr>
            <w:rStyle w:val="Hyperlink"/>
            <w:rFonts w:ascii="Times New Roman" w:hAnsi="Times New Roman"/>
            <w:bCs/>
            <w:sz w:val="24"/>
            <w:szCs w:val="24"/>
          </w:rPr>
          <w:t>https://cases.justia.com/federal/appellate-courts/ca9/17-35634/17-35634-2019-10-21.pdf?ts=1571677280</w:t>
        </w:r>
      </w:hyperlink>
      <w:r w:rsidRPr="009C4A80">
        <w:rPr>
          <w:rFonts w:ascii="Times New Roman" w:hAnsi="Times New Roman"/>
          <w:bCs/>
          <w:sz w:val="24"/>
          <w:szCs w:val="24"/>
        </w:rPr>
        <w:t xml:space="preserve"> </w:t>
      </w:r>
    </w:p>
    <w:p w14:paraId="5B7BA20B" w14:textId="77777777" w:rsidR="00A06387" w:rsidRPr="009C4A80" w:rsidRDefault="00A06387" w:rsidP="00A06387">
      <w:pPr>
        <w:pStyle w:val="NoSpacing"/>
        <w:ind w:left="720"/>
        <w:rPr>
          <w:rFonts w:ascii="Times New Roman" w:hAnsi="Times New Roman"/>
          <w:b/>
          <w:bCs/>
          <w:sz w:val="24"/>
          <w:szCs w:val="24"/>
        </w:rPr>
      </w:pPr>
    </w:p>
    <w:p w14:paraId="1327682E"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
          <w:bCs/>
          <w:sz w:val="24"/>
          <w:szCs w:val="24"/>
        </w:rPr>
        <w:t xml:space="preserve">Legal Lessons Learned: The TSA program provides written notice to individuals why they are on the </w:t>
      </w:r>
      <w:proofErr w:type="gramStart"/>
      <w:r w:rsidRPr="009C4A80">
        <w:rPr>
          <w:rFonts w:ascii="Times New Roman" w:hAnsi="Times New Roman"/>
          <w:b/>
          <w:bCs/>
          <w:sz w:val="24"/>
          <w:szCs w:val="24"/>
        </w:rPr>
        <w:t>No Fly</w:t>
      </w:r>
      <w:proofErr w:type="gramEnd"/>
      <w:r w:rsidRPr="009C4A80">
        <w:rPr>
          <w:rFonts w:ascii="Times New Roman" w:hAnsi="Times New Roman"/>
          <w:b/>
          <w:bCs/>
          <w:sz w:val="24"/>
          <w:szCs w:val="24"/>
        </w:rPr>
        <w:t xml:space="preserve"> list, and an administrative and judicial appeal process. </w:t>
      </w:r>
    </w:p>
    <w:p w14:paraId="230F15C8" w14:textId="36E61BD6" w:rsidR="00A06387" w:rsidRDefault="00A06387" w:rsidP="00F326E5">
      <w:pPr>
        <w:pStyle w:val="NoSpacing"/>
        <w:rPr>
          <w:rFonts w:ascii="Arial Black" w:hAnsi="Arial Black"/>
          <w:sz w:val="28"/>
          <w:szCs w:val="28"/>
        </w:rPr>
      </w:pPr>
    </w:p>
    <w:p w14:paraId="11906D04" w14:textId="77777777" w:rsidR="00A06387" w:rsidRDefault="00A06387" w:rsidP="00F326E5">
      <w:pPr>
        <w:pStyle w:val="NoSpacing"/>
        <w:rPr>
          <w:rFonts w:ascii="Arial Black" w:hAnsi="Arial Black"/>
          <w:sz w:val="28"/>
          <w:szCs w:val="28"/>
        </w:rPr>
      </w:pPr>
    </w:p>
    <w:p w14:paraId="36298768" w14:textId="77777777" w:rsidR="009C4A80" w:rsidRDefault="009C4A80" w:rsidP="00F326E5">
      <w:pPr>
        <w:pStyle w:val="NoSpacing"/>
        <w:rPr>
          <w:rFonts w:ascii="Arial Black" w:hAnsi="Arial Black"/>
          <w:sz w:val="28"/>
          <w:szCs w:val="28"/>
        </w:rPr>
      </w:pPr>
    </w:p>
    <w:p w14:paraId="167DC8D3" w14:textId="77777777" w:rsidR="009C4A80" w:rsidRDefault="009C4A80" w:rsidP="00F326E5">
      <w:pPr>
        <w:pStyle w:val="NoSpacing"/>
        <w:rPr>
          <w:rFonts w:ascii="Arial Black" w:hAnsi="Arial Black"/>
          <w:sz w:val="28"/>
          <w:szCs w:val="28"/>
        </w:rPr>
      </w:pPr>
    </w:p>
    <w:p w14:paraId="4E7F6CDC" w14:textId="7FE5C9DE" w:rsidR="00EF1133" w:rsidRDefault="00853142" w:rsidP="00F326E5">
      <w:pPr>
        <w:pStyle w:val="NoSpacing"/>
        <w:rPr>
          <w:rFonts w:ascii="Arial Black" w:hAnsi="Arial Black"/>
          <w:sz w:val="28"/>
          <w:szCs w:val="28"/>
        </w:rPr>
      </w:pPr>
      <w:r>
        <w:rPr>
          <w:rFonts w:ascii="Arial Black" w:hAnsi="Arial Black"/>
          <w:sz w:val="28"/>
          <w:szCs w:val="28"/>
        </w:rPr>
        <w:t>3-1</w:t>
      </w:r>
      <w:r w:rsidR="00A247E4">
        <w:rPr>
          <w:rFonts w:ascii="Arial Black" w:hAnsi="Arial Black"/>
          <w:sz w:val="28"/>
          <w:szCs w:val="28"/>
        </w:rPr>
        <w:t>5</w:t>
      </w:r>
    </w:p>
    <w:p w14:paraId="2774FCBA" w14:textId="77777777" w:rsidR="00853142" w:rsidRDefault="00853142" w:rsidP="00F326E5">
      <w:pPr>
        <w:pStyle w:val="NoSpacing"/>
        <w:rPr>
          <w:rFonts w:ascii="Arial Black" w:hAnsi="Arial Black"/>
          <w:sz w:val="28"/>
          <w:szCs w:val="28"/>
        </w:rPr>
      </w:pPr>
    </w:p>
    <w:p w14:paraId="63576EDC" w14:textId="77777777" w:rsidR="00853142" w:rsidRPr="00E7448E" w:rsidRDefault="00853142" w:rsidP="00853142">
      <w:pPr>
        <w:pStyle w:val="NoSpacing"/>
        <w:rPr>
          <w:rFonts w:ascii="Arial Black" w:hAnsi="Arial Black"/>
          <w:sz w:val="28"/>
          <w:szCs w:val="28"/>
        </w:rPr>
      </w:pPr>
      <w:r w:rsidRPr="00E7448E">
        <w:rPr>
          <w:rFonts w:ascii="Arial Black" w:hAnsi="Arial Black"/>
          <w:sz w:val="28"/>
          <w:szCs w:val="28"/>
        </w:rPr>
        <w:t>CO:</w:t>
      </w:r>
      <w:r>
        <w:rPr>
          <w:rFonts w:ascii="Arial Black" w:hAnsi="Arial Black"/>
          <w:sz w:val="28"/>
          <w:szCs w:val="28"/>
        </w:rPr>
        <w:t xml:space="preserve">  TERRORIST SENTENCED LIFE FED. MAX PRISON – TRIED BLOW UP PLANE IN DETROIT – COMPLAINTS ABOUT PRISON DISMISSED</w:t>
      </w:r>
    </w:p>
    <w:p w14:paraId="2C44DD91" w14:textId="77777777" w:rsidR="00853142" w:rsidRDefault="00853142" w:rsidP="00853142">
      <w:pPr>
        <w:pStyle w:val="NoSpacing"/>
        <w:rPr>
          <w:rFonts w:ascii="Times New Roman" w:hAnsi="Times New Roman"/>
          <w:sz w:val="24"/>
          <w:szCs w:val="24"/>
        </w:rPr>
      </w:pPr>
    </w:p>
    <w:p w14:paraId="68F4CFE0" w14:textId="77777777" w:rsidR="00853142" w:rsidRPr="00314B5D" w:rsidRDefault="00853142" w:rsidP="00853142">
      <w:pPr>
        <w:pStyle w:val="NoSpacing"/>
        <w:rPr>
          <w:rFonts w:ascii="Times New Roman" w:hAnsi="Times New Roman"/>
          <w:sz w:val="24"/>
          <w:szCs w:val="24"/>
        </w:rPr>
      </w:pPr>
      <w:r w:rsidRPr="00314B5D">
        <w:rPr>
          <w:rFonts w:ascii="Times New Roman" w:hAnsi="Times New Roman"/>
          <w:sz w:val="24"/>
          <w:szCs w:val="24"/>
        </w:rPr>
        <w:t xml:space="preserve">On Sept. 18, 2019, in </w:t>
      </w:r>
      <w:r w:rsidRPr="00314B5D">
        <w:rPr>
          <w:rFonts w:ascii="Times New Roman" w:hAnsi="Times New Roman"/>
          <w:sz w:val="24"/>
          <w:szCs w:val="24"/>
          <w:u w:val="single"/>
        </w:rPr>
        <w:t>Umar Farouk Abdulmutallab v. William Barr, Attorney General of the United States</w:t>
      </w:r>
      <w:r w:rsidRPr="00314B5D">
        <w:rPr>
          <w:rFonts w:ascii="Times New Roman" w:hAnsi="Times New Roman"/>
          <w:sz w:val="24"/>
          <w:szCs w:val="24"/>
        </w:rPr>
        <w:t xml:space="preserve">, </w:t>
      </w:r>
      <w:r>
        <w:rPr>
          <w:rFonts w:ascii="Times New Roman" w:hAnsi="Times New Roman"/>
          <w:sz w:val="24"/>
          <w:szCs w:val="24"/>
        </w:rPr>
        <w:t xml:space="preserve">U.S. District Court Judge Raymond P. Moore, United States District Court of Colorado, upheld the recommendations of U.S. Magistrate Judge that the prisoner’s claims should be dismissed for failure to exhaust his U.S. Bureau of Prisons administrative remedies.  </w:t>
      </w:r>
      <w:hyperlink r:id="rId845" w:history="1">
        <w:r w:rsidRPr="00DB571D">
          <w:rPr>
            <w:rStyle w:val="Hyperlink"/>
            <w:rFonts w:ascii="Times New Roman" w:hAnsi="Times New Roman"/>
            <w:sz w:val="24"/>
            <w:szCs w:val="24"/>
          </w:rPr>
          <w:t>https://www.leagle.com/decision/infdco20190919804</w:t>
        </w:r>
      </w:hyperlink>
      <w:r>
        <w:rPr>
          <w:rFonts w:ascii="Times New Roman" w:hAnsi="Times New Roman"/>
          <w:sz w:val="24"/>
          <w:szCs w:val="24"/>
        </w:rPr>
        <w:t xml:space="preserve"> </w:t>
      </w:r>
    </w:p>
    <w:p w14:paraId="12D7BA2A" w14:textId="77777777" w:rsidR="00853142" w:rsidRDefault="00853142" w:rsidP="00853142">
      <w:pPr>
        <w:pStyle w:val="NoSpacing"/>
      </w:pPr>
    </w:p>
    <w:p w14:paraId="790DA569" w14:textId="77777777" w:rsidR="00853142" w:rsidRPr="00314B5D" w:rsidRDefault="00853142" w:rsidP="00853142">
      <w:pPr>
        <w:pStyle w:val="NoSpacing"/>
        <w:rPr>
          <w:rFonts w:ascii="Times New Roman" w:hAnsi="Times New Roman"/>
          <w:sz w:val="24"/>
          <w:szCs w:val="24"/>
        </w:rPr>
      </w:pPr>
      <w:r>
        <w:tab/>
      </w:r>
      <w:r w:rsidRPr="00314B5D">
        <w:rPr>
          <w:rFonts w:ascii="Times New Roman" w:hAnsi="Times New Roman"/>
          <w:sz w:val="24"/>
          <w:szCs w:val="24"/>
        </w:rPr>
        <w:t>Judge Moore wrote:</w:t>
      </w:r>
    </w:p>
    <w:p w14:paraId="1B8FAA47" w14:textId="77777777" w:rsidR="00853142" w:rsidRDefault="00853142" w:rsidP="00853142">
      <w:pPr>
        <w:pStyle w:val="NoSpacing"/>
      </w:pPr>
    </w:p>
    <w:p w14:paraId="71842674"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314B5D">
        <w:rPr>
          <w:rFonts w:ascii="Times New Roman" w:hAnsi="Times New Roman"/>
          <w:sz w:val="24"/>
          <w:szCs w:val="24"/>
        </w:rPr>
        <w:t>Plaintiff was convicted for the attempted use of a weapon of mass destruction on a commercial airliner that landed in Detroit, Michigan, and the attempted murder of the 289 people on board. Plaintiff is from Nigeria and a Muslim. Plaintiff is housed at the United States Penitentiary-Administrative Maximum (</w:t>
      </w:r>
      <w:r>
        <w:rPr>
          <w:rFonts w:ascii="Times New Roman" w:hAnsi="Times New Roman"/>
          <w:sz w:val="24"/>
          <w:szCs w:val="24"/>
        </w:rPr>
        <w:t>‘</w:t>
      </w:r>
      <w:r w:rsidRPr="00314B5D">
        <w:rPr>
          <w:rFonts w:ascii="Times New Roman" w:hAnsi="Times New Roman"/>
          <w:sz w:val="24"/>
          <w:szCs w:val="24"/>
        </w:rPr>
        <w:t>ADX</w:t>
      </w:r>
      <w:r>
        <w:rPr>
          <w:rFonts w:ascii="Times New Roman" w:hAnsi="Times New Roman"/>
          <w:sz w:val="24"/>
          <w:szCs w:val="24"/>
        </w:rPr>
        <w:t>’</w:t>
      </w:r>
      <w:r w:rsidRPr="00314B5D">
        <w:rPr>
          <w:rFonts w:ascii="Times New Roman" w:hAnsi="Times New Roman"/>
          <w:sz w:val="24"/>
          <w:szCs w:val="24"/>
        </w:rPr>
        <w:t>) in Florence, Colorado, and serving four terms of life imprisonment plus 50 years for his convictions. Prior to Plaintiff's transfer to ADX, in March 2012, the United States government placed Plaintiff under Special Administrative Measures (</w:t>
      </w:r>
      <w:r>
        <w:rPr>
          <w:rFonts w:ascii="Times New Roman" w:hAnsi="Times New Roman"/>
          <w:sz w:val="24"/>
          <w:szCs w:val="24"/>
        </w:rPr>
        <w:t>‘</w:t>
      </w:r>
      <w:r w:rsidRPr="00314B5D">
        <w:rPr>
          <w:rFonts w:ascii="Times New Roman" w:hAnsi="Times New Roman"/>
          <w:sz w:val="24"/>
          <w:szCs w:val="24"/>
        </w:rPr>
        <w:t>SAMs</w:t>
      </w:r>
      <w:r>
        <w:rPr>
          <w:rFonts w:ascii="Times New Roman" w:hAnsi="Times New Roman"/>
          <w:sz w:val="24"/>
          <w:szCs w:val="24"/>
        </w:rPr>
        <w:t>’</w:t>
      </w:r>
      <w:r w:rsidRPr="00314B5D">
        <w:rPr>
          <w:rFonts w:ascii="Times New Roman" w:hAnsi="Times New Roman"/>
          <w:sz w:val="24"/>
          <w:szCs w:val="24"/>
        </w:rPr>
        <w:t>). The SAMs have been renewed every year, with some modifications.</w:t>
      </w:r>
    </w:p>
    <w:p w14:paraId="75C426F9" w14:textId="77777777" w:rsidR="00853142" w:rsidRDefault="00853142" w:rsidP="00853142">
      <w:pPr>
        <w:pStyle w:val="NoSpacing"/>
        <w:ind w:left="720"/>
        <w:rPr>
          <w:rFonts w:ascii="Times New Roman" w:hAnsi="Times New Roman"/>
          <w:sz w:val="24"/>
          <w:szCs w:val="24"/>
        </w:rPr>
      </w:pPr>
    </w:p>
    <w:p w14:paraId="219B77A1" w14:textId="77777777" w:rsidR="00853142" w:rsidRPr="00314B5D" w:rsidRDefault="00853142" w:rsidP="00853142">
      <w:pPr>
        <w:pStyle w:val="NoSpacing"/>
        <w:ind w:left="720"/>
        <w:rPr>
          <w:rFonts w:ascii="Times New Roman" w:hAnsi="Times New Roman"/>
          <w:sz w:val="24"/>
          <w:szCs w:val="24"/>
        </w:rPr>
      </w:pPr>
      <w:r>
        <w:rPr>
          <w:rFonts w:ascii="Times New Roman" w:hAnsi="Times New Roman"/>
          <w:sz w:val="24"/>
          <w:szCs w:val="24"/>
        </w:rPr>
        <w:t>***</w:t>
      </w:r>
    </w:p>
    <w:p w14:paraId="64491B37" w14:textId="77777777" w:rsidR="00853142" w:rsidRPr="00314B5D" w:rsidRDefault="00853142" w:rsidP="00853142">
      <w:pPr>
        <w:pStyle w:val="NoSpacing"/>
        <w:rPr>
          <w:rFonts w:ascii="Times New Roman" w:hAnsi="Times New Roman"/>
          <w:sz w:val="24"/>
          <w:szCs w:val="24"/>
        </w:rPr>
      </w:pPr>
    </w:p>
    <w:p w14:paraId="1CE33610" w14:textId="131D1F38"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314B5D">
        <w:rPr>
          <w:rFonts w:ascii="Times New Roman" w:hAnsi="Times New Roman"/>
          <w:sz w:val="24"/>
          <w:szCs w:val="24"/>
        </w:rPr>
        <w:t xml:space="preserve">As Plaintiff acknowledges, </w:t>
      </w:r>
      <w:r>
        <w:rPr>
          <w:rFonts w:ascii="Times New Roman" w:hAnsi="Times New Roman"/>
          <w:sz w:val="24"/>
          <w:szCs w:val="24"/>
        </w:rPr>
        <w:t>‘</w:t>
      </w:r>
      <w:r w:rsidRPr="00314B5D">
        <w:rPr>
          <w:rFonts w:ascii="Times New Roman" w:hAnsi="Times New Roman"/>
          <w:sz w:val="24"/>
          <w:szCs w:val="24"/>
        </w:rPr>
        <w:t>[t]he primary purpose of a grievance is to alert the prison to a problem and facilitate its resolution.'</w:t>
      </w:r>
      <w:r>
        <w:rPr>
          <w:rFonts w:ascii="Times New Roman" w:hAnsi="Times New Roman"/>
          <w:sz w:val="24"/>
          <w:szCs w:val="24"/>
        </w:rPr>
        <w:t xml:space="preserve"> </w:t>
      </w:r>
      <w:r w:rsidRPr="00314B5D">
        <w:rPr>
          <w:rFonts w:ascii="Times New Roman" w:hAnsi="Times New Roman"/>
          <w:sz w:val="24"/>
          <w:szCs w:val="24"/>
        </w:rPr>
        <w:t xml:space="preserve">(ECF No. 128, p. 5 (quoting </w:t>
      </w:r>
      <w:r w:rsidRPr="00314B5D">
        <w:rPr>
          <w:rFonts w:ascii="Times New Roman" w:hAnsi="Times New Roman"/>
          <w:i/>
          <w:iCs/>
          <w:sz w:val="24"/>
          <w:szCs w:val="24"/>
        </w:rPr>
        <w:t>Griffin v. Arpaio,</w:t>
      </w:r>
      <w:r w:rsidRPr="00314B5D">
        <w:rPr>
          <w:rFonts w:ascii="Times New Roman" w:hAnsi="Times New Roman"/>
          <w:sz w:val="24"/>
          <w:szCs w:val="24"/>
        </w:rPr>
        <w:t> </w:t>
      </w:r>
      <w:hyperlink r:id="rId846" w:history="1">
        <w:r w:rsidRPr="00314B5D">
          <w:rPr>
            <w:rStyle w:val="Hyperlink"/>
            <w:rFonts w:ascii="Times New Roman" w:hAnsi="Times New Roman"/>
            <w:sz w:val="24"/>
            <w:szCs w:val="24"/>
          </w:rPr>
          <w:t>557 F.3d 1117</w:t>
        </w:r>
      </w:hyperlink>
      <w:r w:rsidRPr="00314B5D">
        <w:rPr>
          <w:rFonts w:ascii="Times New Roman" w:hAnsi="Times New Roman"/>
          <w:sz w:val="24"/>
          <w:szCs w:val="24"/>
        </w:rPr>
        <w:t xml:space="preserve">, 1120 (9th Cir. 2009).) Thus, in the absence of a prisoner alerting a prison of the problem which he alleges in his complaint, such allegation is not exhausted and cannot serve to support the prisoner's claim or claims. As applied to the recommendation of dismissal here, this objection is </w:t>
      </w:r>
      <w:proofErr w:type="gramStart"/>
      <w:r w:rsidRPr="00314B5D">
        <w:rPr>
          <w:rFonts w:ascii="Times New Roman" w:hAnsi="Times New Roman"/>
          <w:sz w:val="24"/>
          <w:szCs w:val="24"/>
        </w:rPr>
        <w:t>overruled.</w:t>
      </w:r>
      <w:r>
        <w:rPr>
          <w:rFonts w:ascii="Times New Roman" w:hAnsi="Times New Roman"/>
          <w:sz w:val="24"/>
          <w:szCs w:val="24"/>
        </w:rPr>
        <w:t>”</w:t>
      </w:r>
      <w:proofErr w:type="gramEnd"/>
    </w:p>
    <w:p w14:paraId="26B84FA6" w14:textId="77777777" w:rsidR="00853142" w:rsidRDefault="00853142" w:rsidP="00853142">
      <w:pPr>
        <w:pStyle w:val="NoSpacing"/>
        <w:ind w:left="720"/>
        <w:rPr>
          <w:rFonts w:ascii="Times New Roman" w:hAnsi="Times New Roman"/>
          <w:sz w:val="24"/>
          <w:szCs w:val="24"/>
        </w:rPr>
      </w:pPr>
    </w:p>
    <w:p w14:paraId="539DCA3F" w14:textId="3602DBD5" w:rsidR="00853142" w:rsidRDefault="00853142" w:rsidP="00853142">
      <w:pPr>
        <w:pStyle w:val="NoSpacing"/>
        <w:ind w:left="90"/>
        <w:rPr>
          <w:rFonts w:ascii="Times New Roman" w:hAnsi="Times New Roman"/>
          <w:b/>
          <w:bCs/>
          <w:sz w:val="24"/>
          <w:szCs w:val="24"/>
        </w:rPr>
      </w:pPr>
      <w:r w:rsidRPr="008F1B21">
        <w:rPr>
          <w:rFonts w:ascii="Times New Roman" w:hAnsi="Times New Roman"/>
          <w:b/>
          <w:bCs/>
          <w:sz w:val="24"/>
          <w:szCs w:val="24"/>
        </w:rPr>
        <w:t>Legal Lessons Learned:</w:t>
      </w:r>
      <w:r>
        <w:rPr>
          <w:rFonts w:ascii="Times New Roman" w:hAnsi="Times New Roman"/>
          <w:b/>
          <w:bCs/>
          <w:sz w:val="24"/>
          <w:szCs w:val="24"/>
        </w:rPr>
        <w:t xml:space="preserve">  Nice to read about a life sentence of this terrorist to the Federal max prison. </w:t>
      </w:r>
    </w:p>
    <w:p w14:paraId="6764A2D5" w14:textId="77777777" w:rsidR="00853142" w:rsidRDefault="00853142" w:rsidP="00853142">
      <w:pPr>
        <w:pStyle w:val="NoSpacing"/>
        <w:ind w:left="720"/>
        <w:rPr>
          <w:rFonts w:ascii="Times New Roman" w:hAnsi="Times New Roman"/>
          <w:b/>
          <w:bCs/>
          <w:sz w:val="24"/>
          <w:szCs w:val="24"/>
        </w:rPr>
      </w:pPr>
    </w:p>
    <w:p w14:paraId="1AC7BE51" w14:textId="77777777" w:rsidR="00853142" w:rsidRDefault="00853142" w:rsidP="00853142">
      <w:pPr>
        <w:spacing w:after="0" w:line="240" w:lineRule="auto"/>
        <w:rPr>
          <w:rFonts w:ascii="Times New Roman" w:hAnsi="Times New Roman"/>
          <w:sz w:val="24"/>
          <w:szCs w:val="24"/>
        </w:rPr>
      </w:pPr>
    </w:p>
    <w:p w14:paraId="4AE71F7D" w14:textId="77777777" w:rsidR="009C4A80" w:rsidRDefault="009C4A80" w:rsidP="00EF1133">
      <w:pPr>
        <w:rPr>
          <w:rFonts w:ascii="Arial Black" w:hAnsi="Arial Black"/>
          <w:color w:val="4A4A4A"/>
          <w:sz w:val="24"/>
          <w:szCs w:val="24"/>
          <w:lang w:val="en"/>
        </w:rPr>
      </w:pPr>
    </w:p>
    <w:p w14:paraId="432F9342" w14:textId="372A8A85" w:rsidR="009F0F05" w:rsidRDefault="009F0F05"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4</w:t>
      </w:r>
    </w:p>
    <w:p w14:paraId="406BB252" w14:textId="7D63196F" w:rsidR="009F0F05" w:rsidRDefault="000010F2" w:rsidP="009F0F05">
      <w:pPr>
        <w:rPr>
          <w:rFonts w:ascii="Arial Black" w:hAnsi="Arial Black"/>
          <w:sz w:val="28"/>
          <w:szCs w:val="28"/>
        </w:rPr>
      </w:pPr>
      <w:r>
        <w:rPr>
          <w:rFonts w:ascii="Arial Black" w:hAnsi="Arial Black"/>
          <w:sz w:val="28"/>
          <w:szCs w:val="28"/>
        </w:rPr>
        <w:t>U.S. SUPREME CT:  NEW U.S. GOV’T ASYLUM RULES REMAIN IN EFFECT – REFUGES FIRST APPLY TO MEXICO</w:t>
      </w:r>
      <w:r w:rsidR="009C4A80">
        <w:rPr>
          <w:rFonts w:ascii="Arial Black" w:hAnsi="Arial Black"/>
          <w:sz w:val="28"/>
          <w:szCs w:val="28"/>
        </w:rPr>
        <w:t xml:space="preserve"> </w:t>
      </w:r>
      <w:r>
        <w:rPr>
          <w:rFonts w:ascii="Arial Black" w:hAnsi="Arial Black"/>
          <w:sz w:val="28"/>
          <w:szCs w:val="28"/>
        </w:rPr>
        <w:t xml:space="preserve">– NO INJUNCTION </w:t>
      </w:r>
    </w:p>
    <w:p w14:paraId="7EA4B918" w14:textId="77777777" w:rsidR="009F0F05" w:rsidRDefault="009F0F05" w:rsidP="009F0F05">
      <w:pPr>
        <w:rPr>
          <w:rFonts w:ascii="Times New Roman" w:hAnsi="Times New Roman"/>
          <w:sz w:val="24"/>
          <w:szCs w:val="24"/>
        </w:rPr>
      </w:pPr>
      <w:r>
        <w:rPr>
          <w:rFonts w:ascii="Times New Roman" w:hAnsi="Times New Roman"/>
          <w:sz w:val="24"/>
          <w:szCs w:val="24"/>
        </w:rPr>
        <w:t xml:space="preserve">On Sept. 11, 2019, in </w:t>
      </w:r>
      <w:bookmarkStart w:id="155" w:name="_Hlk39823785"/>
      <w:r w:rsidRPr="00DF0E56">
        <w:rPr>
          <w:rFonts w:ascii="Times New Roman" w:hAnsi="Times New Roman"/>
          <w:sz w:val="24"/>
          <w:szCs w:val="24"/>
          <w:u w:val="single"/>
        </w:rPr>
        <w:t>William Barr, Attorney General v. East Bay Sanctuary Covenant</w:t>
      </w:r>
      <w:bookmarkEnd w:id="155"/>
      <w:r>
        <w:rPr>
          <w:rFonts w:ascii="Times New Roman" w:hAnsi="Times New Roman"/>
          <w:sz w:val="24"/>
          <w:szCs w:val="24"/>
        </w:rPr>
        <w:t xml:space="preserve">, the majority of Justices (7 to 2) issued an Order granting U.S. Government’s request for a stay of a nationwide injunction issued by U.S. District Court judge </w:t>
      </w:r>
      <w:r w:rsidRPr="004161DB">
        <w:rPr>
          <w:rFonts w:ascii="Times New Roman" w:hAnsi="Times New Roman"/>
          <w:sz w:val="24"/>
          <w:szCs w:val="24"/>
        </w:rPr>
        <w:t>Jon Tigar</w:t>
      </w:r>
      <w:r>
        <w:rPr>
          <w:rFonts w:ascii="Times New Roman" w:hAnsi="Times New Roman"/>
          <w:sz w:val="24"/>
          <w:szCs w:val="24"/>
        </w:rPr>
        <w:t xml:space="preserve"> </w:t>
      </w:r>
      <w:r w:rsidRPr="004161DB">
        <w:rPr>
          <w:rFonts w:ascii="Times New Roman" w:hAnsi="Times New Roman"/>
          <w:sz w:val="24"/>
          <w:szCs w:val="24"/>
        </w:rPr>
        <w:t>in</w:t>
      </w:r>
      <w:r>
        <w:rPr>
          <w:rFonts w:ascii="Times New Roman" w:hAnsi="Times New Roman"/>
          <w:sz w:val="24"/>
          <w:szCs w:val="24"/>
        </w:rPr>
        <w:t xml:space="preserve"> San Francisco, after the injunction was modified to only apply to California &amp; Arizona, by a 3-judge panel the U.S. Court of Appeals for 9</w:t>
      </w:r>
      <w:r w:rsidRPr="008E1D0B">
        <w:rPr>
          <w:rFonts w:ascii="Times New Roman" w:hAnsi="Times New Roman"/>
          <w:sz w:val="24"/>
          <w:szCs w:val="24"/>
          <w:vertAlign w:val="superscript"/>
        </w:rPr>
        <w:t>th</w:t>
      </w:r>
      <w:r>
        <w:rPr>
          <w:rFonts w:ascii="Times New Roman" w:hAnsi="Times New Roman"/>
          <w:sz w:val="24"/>
          <w:szCs w:val="24"/>
        </w:rPr>
        <w:t xml:space="preserve"> Circuit (San Francisco).  </w:t>
      </w:r>
      <w:bookmarkStart w:id="156" w:name="_Hlk39823820"/>
      <w:r w:rsidR="00F2621E">
        <w:fldChar w:fldCharType="begin"/>
      </w:r>
      <w:r w:rsidR="00F2621E">
        <w:instrText xml:space="preserve"> HYPERLINK "https://www.supremecourt.gov/opinions/18pdf/19a230_k53l.pdf" </w:instrText>
      </w:r>
      <w:r w:rsidR="00F2621E">
        <w:fldChar w:fldCharType="separate"/>
      </w:r>
      <w:r w:rsidRPr="00DD407F">
        <w:rPr>
          <w:rStyle w:val="Hyperlink"/>
          <w:rFonts w:ascii="Times New Roman" w:hAnsi="Times New Roman"/>
          <w:sz w:val="24"/>
          <w:szCs w:val="24"/>
        </w:rPr>
        <w:t>https://www.supremecourt.gov/opinions/18pdf/19a230_k53l.pdf</w:t>
      </w:r>
      <w:r w:rsidR="00F2621E">
        <w:rPr>
          <w:rStyle w:val="Hyperlink"/>
          <w:rFonts w:ascii="Times New Roman" w:hAnsi="Times New Roman"/>
          <w:sz w:val="24"/>
          <w:szCs w:val="24"/>
        </w:rPr>
        <w:fldChar w:fldCharType="end"/>
      </w:r>
      <w:r>
        <w:rPr>
          <w:rFonts w:ascii="Times New Roman" w:hAnsi="Times New Roman"/>
          <w:sz w:val="24"/>
          <w:szCs w:val="24"/>
        </w:rPr>
        <w:t xml:space="preserve"> </w:t>
      </w:r>
    </w:p>
    <w:bookmarkEnd w:id="156"/>
    <w:p w14:paraId="105DCE99" w14:textId="77777777" w:rsidR="009F0F05" w:rsidRDefault="009F0F05" w:rsidP="009F0F05">
      <w:pPr>
        <w:pStyle w:val="NoSpacing"/>
        <w:ind w:left="720"/>
        <w:rPr>
          <w:rFonts w:ascii="Times New Roman" w:hAnsi="Times New Roman"/>
          <w:sz w:val="24"/>
          <w:szCs w:val="24"/>
        </w:rPr>
      </w:pPr>
      <w:r w:rsidRPr="000C52EB">
        <w:rPr>
          <w:rFonts w:ascii="Times New Roman" w:hAnsi="Times New Roman"/>
          <w:sz w:val="24"/>
          <w:szCs w:val="24"/>
        </w:rPr>
        <w:t xml:space="preserve">“The district court’s July 24, </w:t>
      </w:r>
      <w:proofErr w:type="gramStart"/>
      <w:r w:rsidRPr="000C52EB">
        <w:rPr>
          <w:rFonts w:ascii="Times New Roman" w:hAnsi="Times New Roman"/>
          <w:sz w:val="24"/>
          <w:szCs w:val="24"/>
        </w:rPr>
        <w:t>2019</w:t>
      </w:r>
      <w:proofErr w:type="gramEnd"/>
      <w:r w:rsidRPr="000C52EB">
        <w:rPr>
          <w:rFonts w:ascii="Times New Roman" w:hAnsi="Times New Roman"/>
          <w:sz w:val="24"/>
          <w:szCs w:val="24"/>
        </w:rPr>
        <w:t xml:space="preserve"> order granting a preliminary injunction and</w:t>
      </w:r>
      <w:r>
        <w:rPr>
          <w:rFonts w:ascii="Times New Roman" w:hAnsi="Times New Roman"/>
          <w:sz w:val="24"/>
          <w:szCs w:val="24"/>
        </w:rPr>
        <w:t xml:space="preserve"> </w:t>
      </w:r>
      <w:r w:rsidRPr="000C52EB">
        <w:rPr>
          <w:rFonts w:ascii="Times New Roman" w:hAnsi="Times New Roman"/>
          <w:sz w:val="24"/>
          <w:szCs w:val="24"/>
        </w:rPr>
        <w:t xml:space="preserve">September 9, </w:t>
      </w:r>
      <w:proofErr w:type="gramStart"/>
      <w:r w:rsidRPr="000C52EB">
        <w:rPr>
          <w:rFonts w:ascii="Times New Roman" w:hAnsi="Times New Roman"/>
          <w:sz w:val="24"/>
          <w:szCs w:val="24"/>
        </w:rPr>
        <w:t>2019</w:t>
      </w:r>
      <w:proofErr w:type="gramEnd"/>
      <w:r w:rsidRPr="000C52EB">
        <w:rPr>
          <w:rFonts w:ascii="Times New Roman" w:hAnsi="Times New Roman"/>
          <w:sz w:val="24"/>
          <w:szCs w:val="24"/>
        </w:rPr>
        <w:t xml:space="preserve"> order restoring the nationwide scope of the injunction are stayed in full pending disposition of the Government’s appeal in the United States Court of Appeals for the Ninth Circuit and disposition of the Government’s</w:t>
      </w:r>
      <w:r>
        <w:rPr>
          <w:rFonts w:ascii="Times New Roman" w:hAnsi="Times New Roman"/>
          <w:sz w:val="24"/>
          <w:szCs w:val="24"/>
        </w:rPr>
        <w:t xml:space="preserve"> </w:t>
      </w:r>
      <w:r w:rsidRPr="000C52EB">
        <w:rPr>
          <w:rFonts w:ascii="Times New Roman" w:hAnsi="Times New Roman"/>
          <w:sz w:val="24"/>
          <w:szCs w:val="24"/>
        </w:rPr>
        <w:t>petition for a writ of certiorari, if such writ is sought</w:t>
      </w:r>
      <w:r>
        <w:rPr>
          <w:rFonts w:ascii="Times New Roman" w:hAnsi="Times New Roman"/>
          <w:sz w:val="24"/>
          <w:szCs w:val="24"/>
        </w:rPr>
        <w:t>.”</w:t>
      </w:r>
    </w:p>
    <w:p w14:paraId="79CB873D" w14:textId="77777777" w:rsidR="009F0F05" w:rsidRDefault="009F0F05" w:rsidP="009F0F05">
      <w:pPr>
        <w:pStyle w:val="NoSpacing"/>
        <w:ind w:left="720"/>
        <w:rPr>
          <w:rFonts w:ascii="Times New Roman" w:hAnsi="Times New Roman"/>
          <w:sz w:val="24"/>
          <w:szCs w:val="24"/>
        </w:rPr>
      </w:pPr>
    </w:p>
    <w:p w14:paraId="623B4616" w14:textId="77777777" w:rsidR="009F0F05" w:rsidRDefault="009F0F05" w:rsidP="009F0F05">
      <w:pPr>
        <w:pStyle w:val="NoSpacing"/>
        <w:rPr>
          <w:rFonts w:ascii="Times New Roman" w:hAnsi="Times New Roman"/>
          <w:b/>
          <w:bCs/>
          <w:sz w:val="24"/>
          <w:szCs w:val="24"/>
        </w:rPr>
      </w:pPr>
      <w:r w:rsidRPr="004A1236">
        <w:rPr>
          <w:rFonts w:ascii="Times New Roman" w:hAnsi="Times New Roman"/>
          <w:b/>
          <w:bCs/>
          <w:sz w:val="24"/>
          <w:szCs w:val="24"/>
        </w:rPr>
        <w:t xml:space="preserve">Legal Lessons Learned: </w:t>
      </w:r>
      <w:r>
        <w:rPr>
          <w:rFonts w:ascii="Times New Roman" w:hAnsi="Times New Roman"/>
          <w:b/>
          <w:bCs/>
          <w:sz w:val="24"/>
          <w:szCs w:val="24"/>
        </w:rPr>
        <w:t>The case, now pending before a Federal Judge in California, will most likely then go to the 9</w:t>
      </w:r>
      <w:r w:rsidRPr="00273073">
        <w:rPr>
          <w:rFonts w:ascii="Times New Roman" w:hAnsi="Times New Roman"/>
          <w:b/>
          <w:bCs/>
          <w:sz w:val="24"/>
          <w:szCs w:val="24"/>
          <w:vertAlign w:val="superscript"/>
        </w:rPr>
        <w:t>th</w:t>
      </w:r>
      <w:r>
        <w:rPr>
          <w:rFonts w:ascii="Times New Roman" w:hAnsi="Times New Roman"/>
          <w:b/>
          <w:bCs/>
          <w:sz w:val="24"/>
          <w:szCs w:val="24"/>
        </w:rPr>
        <w:t xml:space="preserve"> Circuit, and eventually then reach the U.S. Supreme Court. </w:t>
      </w:r>
    </w:p>
    <w:p w14:paraId="16FCA8D0" w14:textId="77777777" w:rsidR="009F0F05" w:rsidRDefault="009F0F05" w:rsidP="009F0F05">
      <w:pPr>
        <w:pStyle w:val="NoSpacing"/>
        <w:rPr>
          <w:rFonts w:ascii="Times New Roman" w:hAnsi="Times New Roman"/>
          <w:sz w:val="24"/>
          <w:szCs w:val="24"/>
        </w:rPr>
      </w:pPr>
    </w:p>
    <w:p w14:paraId="75E4FFD6" w14:textId="4FF75B48" w:rsidR="009F0F05" w:rsidRPr="00715CF2" w:rsidRDefault="009F0F05" w:rsidP="00715CF2">
      <w:pPr>
        <w:pStyle w:val="NoSpacing"/>
        <w:ind w:left="720"/>
        <w:rPr>
          <w:rFonts w:ascii="Times New Roman" w:hAnsi="Times New Roman"/>
          <w:sz w:val="24"/>
          <w:szCs w:val="24"/>
        </w:rPr>
      </w:pPr>
      <w:bookmarkStart w:id="157" w:name="_Hlk39823692"/>
      <w:r w:rsidRPr="00715CF2">
        <w:rPr>
          <w:rFonts w:ascii="Times New Roman" w:hAnsi="Times New Roman"/>
          <w:sz w:val="24"/>
          <w:szCs w:val="24"/>
        </w:rPr>
        <w:t xml:space="preserve">See </w:t>
      </w:r>
      <w:r w:rsidR="009E7672">
        <w:rPr>
          <w:rFonts w:ascii="Times New Roman" w:hAnsi="Times New Roman"/>
          <w:sz w:val="24"/>
          <w:szCs w:val="24"/>
        </w:rPr>
        <w:t xml:space="preserve">Sept. 11, </w:t>
      </w:r>
      <w:proofErr w:type="gramStart"/>
      <w:r w:rsidR="009E7672">
        <w:rPr>
          <w:rFonts w:ascii="Times New Roman" w:hAnsi="Times New Roman"/>
          <w:sz w:val="24"/>
          <w:szCs w:val="24"/>
        </w:rPr>
        <w:t>2019</w:t>
      </w:r>
      <w:proofErr w:type="gramEnd"/>
      <w:r w:rsidR="009E7672">
        <w:rPr>
          <w:rFonts w:ascii="Times New Roman" w:hAnsi="Times New Roman"/>
          <w:sz w:val="24"/>
          <w:szCs w:val="24"/>
        </w:rPr>
        <w:t xml:space="preserve"> article: </w:t>
      </w:r>
      <w:r w:rsidRPr="00715CF2">
        <w:rPr>
          <w:rFonts w:ascii="Times New Roman" w:hAnsi="Times New Roman"/>
          <w:sz w:val="24"/>
          <w:szCs w:val="24"/>
        </w:rPr>
        <w:t xml:space="preserve">“President Trump tweeted that the ruling was a "BIG United States Supreme Court WIN for the Border on Asylum!" The administration </w:t>
      </w:r>
      <w:hyperlink r:id="rId847" w:tgtFrame="_blank" w:history="1">
        <w:r w:rsidRPr="00715CF2">
          <w:rPr>
            <w:rStyle w:val="Hyperlink"/>
            <w:rFonts w:ascii="Times New Roman" w:hAnsi="Times New Roman"/>
            <w:sz w:val="24"/>
            <w:szCs w:val="24"/>
          </w:rPr>
          <w:t>had argued in a brief to the Supreme Court</w:t>
        </w:r>
      </w:hyperlink>
      <w:r w:rsidRPr="00715CF2">
        <w:rPr>
          <w:rFonts w:ascii="Times New Roman" w:hAnsi="Times New Roman"/>
          <w:sz w:val="24"/>
          <w:szCs w:val="24"/>
        </w:rPr>
        <w:t xml:space="preserve"> that unless the injunctions were totally lifted everywhere, it ‘would severely disrupt the orderly administration of an already overburdened asylum system.’”  </w:t>
      </w:r>
      <w:hyperlink r:id="rId848" w:history="1">
        <w:r w:rsidRPr="00715CF2">
          <w:rPr>
            <w:rStyle w:val="Hyperlink"/>
            <w:rFonts w:ascii="Times New Roman" w:hAnsi="Times New Roman"/>
            <w:sz w:val="24"/>
            <w:szCs w:val="24"/>
          </w:rPr>
          <w:t>https://www.foxnews.com/politics/supreme-court-green-lights-trumps-immigration-asylum-ban</w:t>
        </w:r>
      </w:hyperlink>
      <w:r w:rsidRPr="00715CF2">
        <w:rPr>
          <w:rFonts w:ascii="Times New Roman" w:hAnsi="Times New Roman"/>
          <w:sz w:val="24"/>
          <w:szCs w:val="24"/>
        </w:rPr>
        <w:t xml:space="preserve"> </w:t>
      </w:r>
    </w:p>
    <w:bookmarkEnd w:id="157"/>
    <w:p w14:paraId="2B0CF987" w14:textId="2BCD77C0" w:rsidR="00E26EA8" w:rsidRDefault="00E26EA8" w:rsidP="009F0F05">
      <w:pPr>
        <w:pStyle w:val="NoSpacing"/>
        <w:rPr>
          <w:rFonts w:ascii="Times New Roman" w:hAnsi="Times New Roman"/>
          <w:b/>
          <w:bCs/>
          <w:sz w:val="24"/>
          <w:szCs w:val="24"/>
        </w:rPr>
      </w:pPr>
    </w:p>
    <w:p w14:paraId="17B60ABE" w14:textId="77777777" w:rsidR="00715CF2" w:rsidRDefault="00715CF2" w:rsidP="00EF1133">
      <w:pPr>
        <w:rPr>
          <w:rFonts w:ascii="Arial Black" w:hAnsi="Arial Black"/>
          <w:color w:val="4A4A4A"/>
          <w:sz w:val="24"/>
          <w:szCs w:val="24"/>
          <w:lang w:val="en"/>
        </w:rPr>
      </w:pPr>
    </w:p>
    <w:p w14:paraId="2E12D163" w14:textId="2257860F" w:rsidR="00715CF2" w:rsidRDefault="00715CF2"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3</w:t>
      </w:r>
    </w:p>
    <w:p w14:paraId="105D5C86" w14:textId="77777777" w:rsidR="00715CF2" w:rsidRPr="0022436C" w:rsidRDefault="00715CF2" w:rsidP="00715CF2">
      <w:pPr>
        <w:rPr>
          <w:rFonts w:ascii="Arial Black" w:hAnsi="Arial Black"/>
          <w:sz w:val="28"/>
          <w:szCs w:val="28"/>
        </w:rPr>
      </w:pPr>
      <w:bookmarkStart w:id="158" w:name="_Hlk25925471"/>
      <w:r w:rsidRPr="0022436C">
        <w:rPr>
          <w:rFonts w:ascii="Arial Black" w:hAnsi="Arial Black"/>
          <w:sz w:val="28"/>
          <w:szCs w:val="28"/>
        </w:rPr>
        <w:t xml:space="preserve">PA: </w:t>
      </w:r>
      <w:r>
        <w:rPr>
          <w:rFonts w:ascii="Arial Black" w:hAnsi="Arial Black"/>
          <w:sz w:val="28"/>
          <w:szCs w:val="28"/>
        </w:rPr>
        <w:t>HIGH SCHOOL STUDENT EXPELLED – THREATING COMMENT – “BEAT RECORD OF 19” OF PARKLAND, FL</w:t>
      </w:r>
    </w:p>
    <w:p w14:paraId="68B34862" w14:textId="2765649B" w:rsidR="00715CF2" w:rsidRDefault="00715CF2" w:rsidP="00715CF2">
      <w:pPr>
        <w:rPr>
          <w:rFonts w:ascii="Times New Roman" w:hAnsi="Times New Roman"/>
          <w:sz w:val="24"/>
          <w:szCs w:val="24"/>
        </w:rPr>
      </w:pPr>
      <w:r w:rsidRPr="007B6BCD">
        <w:rPr>
          <w:rFonts w:ascii="Times New Roman" w:hAnsi="Times New Roman"/>
          <w:sz w:val="24"/>
          <w:szCs w:val="24"/>
        </w:rPr>
        <w:t xml:space="preserve">On Sept. 10, 2019, in </w:t>
      </w:r>
      <w:r w:rsidRPr="007B6BCD">
        <w:rPr>
          <w:rFonts w:ascii="Times New Roman" w:hAnsi="Times New Roman"/>
          <w:sz w:val="24"/>
          <w:szCs w:val="24"/>
          <w:u w:val="single"/>
        </w:rPr>
        <w:t xml:space="preserve">In </w:t>
      </w:r>
      <w:proofErr w:type="gramStart"/>
      <w:r w:rsidRPr="007B6BCD">
        <w:rPr>
          <w:rFonts w:ascii="Times New Roman" w:hAnsi="Times New Roman"/>
          <w:sz w:val="24"/>
          <w:szCs w:val="24"/>
          <w:u w:val="single"/>
        </w:rPr>
        <w:t>The</w:t>
      </w:r>
      <w:proofErr w:type="gramEnd"/>
      <w:r>
        <w:rPr>
          <w:rFonts w:ascii="Times New Roman" w:hAnsi="Times New Roman"/>
          <w:sz w:val="24"/>
          <w:szCs w:val="24"/>
          <w:u w:val="single"/>
        </w:rPr>
        <w:t xml:space="preserve"> </w:t>
      </w:r>
      <w:r w:rsidRPr="007B6BCD">
        <w:rPr>
          <w:rFonts w:ascii="Times New Roman" w:hAnsi="Times New Roman"/>
          <w:sz w:val="24"/>
          <w:szCs w:val="24"/>
          <w:u w:val="single"/>
        </w:rPr>
        <w:t>Interest Of: J.J.M, A Minor</w:t>
      </w:r>
      <w:r w:rsidRPr="007B6BCD">
        <w:rPr>
          <w:rFonts w:ascii="Times New Roman" w:hAnsi="Times New Roman"/>
          <w:sz w:val="24"/>
          <w:szCs w:val="24"/>
        </w:rPr>
        <w:t xml:space="preserve">, </w:t>
      </w:r>
      <w:r>
        <w:rPr>
          <w:rFonts w:ascii="Times New Roman" w:hAnsi="Times New Roman"/>
          <w:sz w:val="24"/>
          <w:szCs w:val="24"/>
        </w:rPr>
        <w:t xml:space="preserve">the Superior Court of Pennsylvania, </w:t>
      </w:r>
      <w:r w:rsidRPr="007B6BCD">
        <w:rPr>
          <w:rFonts w:ascii="Times New Roman" w:hAnsi="Times New Roman"/>
          <w:sz w:val="24"/>
          <w:szCs w:val="24"/>
        </w:rPr>
        <w:t>2019 PA Super 277</w:t>
      </w:r>
      <w:r>
        <w:rPr>
          <w:rFonts w:ascii="Times New Roman" w:hAnsi="Times New Roman"/>
          <w:sz w:val="24"/>
          <w:szCs w:val="24"/>
        </w:rPr>
        <w:t xml:space="preserve">, upheld (3 to 0) the Juvenile Court judge’s finding of “delinquency adjudication for terrorist threats.”  </w:t>
      </w:r>
    </w:p>
    <w:p w14:paraId="40ECD149" w14:textId="77777777" w:rsidR="00715CF2" w:rsidRPr="007B6BCD" w:rsidRDefault="00715CF2" w:rsidP="00715CF2">
      <w:pPr>
        <w:rPr>
          <w:rFonts w:ascii="Times New Roman" w:hAnsi="Times New Roman"/>
          <w:sz w:val="24"/>
          <w:szCs w:val="24"/>
        </w:rPr>
      </w:pPr>
      <w:r>
        <w:tab/>
      </w:r>
      <w:r w:rsidRPr="007B6BCD">
        <w:rPr>
          <w:rFonts w:ascii="Times New Roman" w:hAnsi="Times New Roman"/>
          <w:sz w:val="24"/>
          <w:szCs w:val="24"/>
        </w:rPr>
        <w:t xml:space="preserve">Judge Mary Jane Bowles wrote: </w:t>
      </w:r>
    </w:p>
    <w:p w14:paraId="3692971E" w14:textId="0665E884" w:rsidR="00A247E4" w:rsidRPr="007B6BCD" w:rsidRDefault="00715CF2" w:rsidP="00715CF2">
      <w:pPr>
        <w:ind w:left="1440"/>
        <w:rPr>
          <w:rFonts w:ascii="Times New Roman" w:hAnsi="Times New Roman"/>
          <w:sz w:val="24"/>
          <w:szCs w:val="24"/>
        </w:rPr>
      </w:pPr>
      <w:r>
        <w:rPr>
          <w:rFonts w:ascii="Times New Roman" w:hAnsi="Times New Roman"/>
          <w:sz w:val="24"/>
          <w:szCs w:val="24"/>
        </w:rPr>
        <w:t>“</w:t>
      </w:r>
      <w:r w:rsidRPr="007B6BCD">
        <w:rPr>
          <w:rFonts w:ascii="Times New Roman" w:hAnsi="Times New Roman"/>
          <w:sz w:val="24"/>
          <w:szCs w:val="24"/>
        </w:rPr>
        <w:t xml:space="preserve">Appellant’s statement was uttered six days after seventeen victims were killed at Marjory Stoneman Douglas High School in Parkland, Florida, eclipsing the Columbine High School shooting as the </w:t>
      </w:r>
      <w:proofErr w:type="gramStart"/>
      <w:r w:rsidRPr="007B6BCD">
        <w:rPr>
          <w:rFonts w:ascii="Times New Roman" w:hAnsi="Times New Roman"/>
          <w:sz w:val="24"/>
          <w:szCs w:val="24"/>
        </w:rPr>
        <w:t>most</w:t>
      </w:r>
      <w:r>
        <w:rPr>
          <w:rFonts w:ascii="Times New Roman" w:hAnsi="Times New Roman"/>
          <w:sz w:val="24"/>
          <w:szCs w:val="24"/>
        </w:rPr>
        <w:t xml:space="preserve"> </w:t>
      </w:r>
      <w:r w:rsidRPr="007B6BCD">
        <w:rPr>
          <w:rFonts w:ascii="Times New Roman" w:hAnsi="Times New Roman"/>
          <w:sz w:val="24"/>
          <w:szCs w:val="24"/>
        </w:rPr>
        <w:t>deadly</w:t>
      </w:r>
      <w:proofErr w:type="gramEnd"/>
      <w:r w:rsidRPr="007B6BCD">
        <w:rPr>
          <w:rFonts w:ascii="Times New Roman" w:hAnsi="Times New Roman"/>
          <w:sz w:val="24"/>
          <w:szCs w:val="24"/>
        </w:rPr>
        <w:t xml:space="preserve"> high school shooting in United States history.</w:t>
      </w:r>
      <w:r w:rsidR="00A247E4">
        <w:rPr>
          <w:rFonts w:ascii="Times New Roman" w:hAnsi="Times New Roman"/>
          <w:sz w:val="24"/>
          <w:szCs w:val="24"/>
        </w:rPr>
        <w:t xml:space="preserve"> *** </w:t>
      </w:r>
      <w:r w:rsidRPr="007B6BCD">
        <w:rPr>
          <w:rFonts w:ascii="Times New Roman" w:hAnsi="Times New Roman"/>
          <w:sz w:val="24"/>
          <w:szCs w:val="24"/>
        </w:rPr>
        <w:t>Further, we conclude that the evidence sufficiently established that Appellant made his threat with reckless disregard for the risk that it would cause</w:t>
      </w:r>
      <w:r>
        <w:rPr>
          <w:rFonts w:ascii="Times New Roman" w:hAnsi="Times New Roman"/>
          <w:sz w:val="24"/>
          <w:szCs w:val="24"/>
        </w:rPr>
        <w:t xml:space="preserve"> </w:t>
      </w:r>
      <w:r w:rsidRPr="007B6BCD">
        <w:rPr>
          <w:rFonts w:ascii="Times New Roman" w:hAnsi="Times New Roman"/>
          <w:sz w:val="24"/>
          <w:szCs w:val="24"/>
        </w:rPr>
        <w:t>terror. Again, the facts are that, while the news was dominated by the deadliest high</w:t>
      </w:r>
      <w:r>
        <w:rPr>
          <w:rFonts w:ascii="Times New Roman" w:hAnsi="Times New Roman"/>
          <w:sz w:val="24"/>
          <w:szCs w:val="24"/>
        </w:rPr>
        <w:t xml:space="preserve"> </w:t>
      </w:r>
      <w:r w:rsidRPr="007B6BCD">
        <w:rPr>
          <w:rFonts w:ascii="Times New Roman" w:hAnsi="Times New Roman"/>
          <w:sz w:val="24"/>
          <w:szCs w:val="24"/>
        </w:rPr>
        <w:t>school shooting in this country’s history, Appellant proclaimed</w:t>
      </w:r>
      <w:r>
        <w:rPr>
          <w:rFonts w:ascii="Times New Roman" w:hAnsi="Times New Roman"/>
          <w:sz w:val="24"/>
          <w:szCs w:val="24"/>
        </w:rPr>
        <w:t xml:space="preserve"> </w:t>
      </w:r>
      <w:r w:rsidRPr="007B6BCD">
        <w:rPr>
          <w:rFonts w:ascii="Times New Roman" w:hAnsi="Times New Roman"/>
          <w:sz w:val="24"/>
          <w:szCs w:val="24"/>
        </w:rPr>
        <w:t xml:space="preserve">in a high school hallway, between classes, loud enough for other students to hear, that he wanted to </w:t>
      </w:r>
      <w:r>
        <w:rPr>
          <w:rFonts w:ascii="Times New Roman" w:hAnsi="Times New Roman"/>
          <w:sz w:val="24"/>
          <w:szCs w:val="24"/>
        </w:rPr>
        <w:t>‘</w:t>
      </w:r>
      <w:r w:rsidRPr="007B6BCD">
        <w:rPr>
          <w:rFonts w:ascii="Times New Roman" w:hAnsi="Times New Roman"/>
          <w:sz w:val="24"/>
          <w:szCs w:val="24"/>
        </w:rPr>
        <w:t xml:space="preserve">beat the record </w:t>
      </w:r>
      <w:r w:rsidRPr="007B6BCD">
        <w:rPr>
          <w:rStyle w:val="highlight"/>
          <w:rFonts w:ascii="Times New Roman" w:hAnsi="Times New Roman"/>
          <w:sz w:val="24"/>
          <w:szCs w:val="24"/>
        </w:rPr>
        <w:t>of</w:t>
      </w:r>
      <w:r w:rsidRPr="007B6BCD">
        <w:rPr>
          <w:rFonts w:ascii="Times New Roman" w:hAnsi="Times New Roman"/>
          <w:sz w:val="24"/>
          <w:szCs w:val="24"/>
        </w:rPr>
        <w:t xml:space="preserve"> 19.</w:t>
      </w:r>
      <w:r>
        <w:rPr>
          <w:rFonts w:ascii="Times New Roman" w:hAnsi="Times New Roman"/>
          <w:sz w:val="24"/>
          <w:szCs w:val="24"/>
        </w:rPr>
        <w:t xml:space="preserve">’ </w:t>
      </w:r>
      <w:r w:rsidRPr="007B6BCD">
        <w:rPr>
          <w:rFonts w:ascii="Times New Roman" w:hAnsi="Times New Roman"/>
          <w:sz w:val="24"/>
          <w:szCs w:val="24"/>
        </w:rPr>
        <w:t xml:space="preserve">We do not hesitate to conclude that Appellant consciously disregarded a substantial and unjustifiable risk that his threat would terrorize his fellow students. See18 </w:t>
      </w:r>
      <w:proofErr w:type="spellStart"/>
      <w:r w:rsidRPr="007B6BCD">
        <w:rPr>
          <w:rFonts w:ascii="Times New Roman" w:hAnsi="Times New Roman"/>
          <w:sz w:val="24"/>
          <w:szCs w:val="24"/>
        </w:rPr>
        <w:t>Pa.C.S</w:t>
      </w:r>
      <w:proofErr w:type="spellEnd"/>
      <w:r w:rsidRPr="007B6BCD">
        <w:rPr>
          <w:rFonts w:ascii="Times New Roman" w:hAnsi="Times New Roman"/>
          <w:sz w:val="24"/>
          <w:szCs w:val="24"/>
        </w:rPr>
        <w:t>. §302(a)(3) (defining recklessness).</w:t>
      </w:r>
      <w:r>
        <w:rPr>
          <w:rFonts w:ascii="Times New Roman" w:hAnsi="Times New Roman"/>
          <w:sz w:val="24"/>
          <w:szCs w:val="24"/>
        </w:rPr>
        <w:t>”</w:t>
      </w:r>
      <w:r w:rsidR="00A247E4">
        <w:rPr>
          <w:rFonts w:ascii="Times New Roman" w:hAnsi="Times New Roman"/>
          <w:sz w:val="24"/>
          <w:szCs w:val="24"/>
        </w:rPr>
        <w:t xml:space="preserve"> </w:t>
      </w:r>
      <w:hyperlink r:id="rId849" w:anchor="search=%22Interest%20of%20J.M.%22" w:history="1">
        <w:r w:rsidR="00A247E4" w:rsidRPr="00231BDB">
          <w:rPr>
            <w:rStyle w:val="Hyperlink"/>
            <w:rFonts w:ascii="Times New Roman" w:hAnsi="Times New Roman"/>
            <w:sz w:val="24"/>
            <w:szCs w:val="24"/>
          </w:rPr>
          <w:t>http://www.pacourts.us/assets/opinions/Superior/out/j-s12006-19o%20-%2010413599977313050.pdf#search=%22Interest%20of%20J.M.%22</w:t>
        </w:r>
      </w:hyperlink>
    </w:p>
    <w:p w14:paraId="485E49DB" w14:textId="77777777" w:rsidR="00715CF2" w:rsidRPr="007B6BCD" w:rsidRDefault="00715CF2" w:rsidP="00715CF2">
      <w:pPr>
        <w:pStyle w:val="NoSpacing"/>
        <w:rPr>
          <w:rFonts w:ascii="Times New Roman" w:hAnsi="Times New Roman"/>
          <w:sz w:val="24"/>
          <w:szCs w:val="24"/>
        </w:rPr>
      </w:pPr>
    </w:p>
    <w:p w14:paraId="64442DEC" w14:textId="77777777" w:rsidR="00715CF2" w:rsidRPr="009D3D13" w:rsidRDefault="00715CF2" w:rsidP="00715CF2">
      <w:pPr>
        <w:pStyle w:val="NoSpacing"/>
      </w:pPr>
      <w:r w:rsidRPr="00CA0C9B">
        <w:rPr>
          <w:rFonts w:ascii="Times New Roman" w:hAnsi="Times New Roman"/>
          <w:b/>
          <w:bCs/>
          <w:sz w:val="24"/>
          <w:szCs w:val="24"/>
        </w:rPr>
        <w:t xml:space="preserve">Legal Lessons Learned:  Great decision – school administrators need to repeatedly remind students to report any threatening behavior.  See 9/12.2019 article on this case: “Court: Student's Claim to Want to 'Beat the Record' Following Parkland Shooting Was Terroristic Threat.” </w:t>
      </w:r>
      <w:hyperlink r:id="rId850" w:history="1">
        <w:r w:rsidRPr="00C512BA">
          <w:rPr>
            <w:rStyle w:val="Hyperlink"/>
          </w:rPr>
          <w:t>https://www.law.com/thelegalintelligencer/2019/09/12/court-students-claim-to-want-to-beat-the-record-following-parkland-shooting-was-terroristic-threat/</w:t>
        </w:r>
      </w:hyperlink>
    </w:p>
    <w:p w14:paraId="26A2AEFF" w14:textId="77777777" w:rsidR="00715CF2" w:rsidRDefault="00715CF2" w:rsidP="00715CF2">
      <w:pPr>
        <w:rPr>
          <w:rFonts w:ascii="Arial Black" w:hAnsi="Arial Black"/>
          <w:color w:val="4A4A4A"/>
          <w:sz w:val="24"/>
          <w:szCs w:val="24"/>
          <w:lang w:val="en"/>
        </w:rPr>
      </w:pPr>
    </w:p>
    <w:bookmarkEnd w:id="158"/>
    <w:p w14:paraId="1AE2F854" w14:textId="77777777" w:rsidR="00715CF2" w:rsidRDefault="00715CF2" w:rsidP="00EF1133">
      <w:pPr>
        <w:rPr>
          <w:rFonts w:ascii="Arial Black" w:hAnsi="Arial Black"/>
          <w:color w:val="4A4A4A"/>
          <w:sz w:val="24"/>
          <w:szCs w:val="24"/>
          <w:lang w:val="en"/>
        </w:rPr>
      </w:pPr>
    </w:p>
    <w:p w14:paraId="5F193AB3" w14:textId="41CC64B7" w:rsidR="009F0F05" w:rsidRDefault="00D07E6E"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2</w:t>
      </w:r>
    </w:p>
    <w:p w14:paraId="0F46A8EB" w14:textId="77777777" w:rsidR="00660046" w:rsidRPr="00660046" w:rsidRDefault="00660046" w:rsidP="00EF1133">
      <w:pPr>
        <w:rPr>
          <w:rFonts w:ascii="Arial Black" w:hAnsi="Arial Black" w:cs="Arial"/>
          <w:sz w:val="28"/>
          <w:szCs w:val="28"/>
        </w:rPr>
      </w:pPr>
      <w:bookmarkStart w:id="159" w:name="_Hlk25925579"/>
      <w:r w:rsidRPr="00660046">
        <w:rPr>
          <w:rFonts w:ascii="Arial Black" w:hAnsi="Arial Black" w:cs="Arial"/>
          <w:sz w:val="28"/>
          <w:szCs w:val="28"/>
        </w:rPr>
        <w:t>NY: 2nd CIRCUIT – DEPORTATION OF OUTSPOKEN ACTIVIST SUSPENDED - “OUTRAGEOUS COMMENTS” BY ICE DIRECTOR</w:t>
      </w:r>
    </w:p>
    <w:p w14:paraId="7001B6D0" w14:textId="01E95A19" w:rsidR="009F0F05" w:rsidRPr="0036327D" w:rsidRDefault="00660046" w:rsidP="00EF1133">
      <w:pPr>
        <w:rPr>
          <w:rFonts w:ascii="Times New Roman" w:hAnsi="Times New Roman"/>
          <w:color w:val="4A4A4A"/>
          <w:sz w:val="24"/>
          <w:szCs w:val="24"/>
          <w:lang w:val="en"/>
        </w:rPr>
      </w:pPr>
      <w:r w:rsidRPr="0036327D">
        <w:rPr>
          <w:rFonts w:ascii="Times New Roman" w:hAnsi="Times New Roman"/>
          <w:sz w:val="24"/>
          <w:szCs w:val="24"/>
        </w:rPr>
        <w:t xml:space="preserve">On April 25, 2019, in </w:t>
      </w:r>
      <w:proofErr w:type="spellStart"/>
      <w:r w:rsidRPr="0036327D">
        <w:rPr>
          <w:rFonts w:ascii="Times New Roman" w:hAnsi="Times New Roman"/>
          <w:sz w:val="24"/>
          <w:szCs w:val="24"/>
        </w:rPr>
        <w:t>Ravidath</w:t>
      </w:r>
      <w:proofErr w:type="spellEnd"/>
      <w:r w:rsidRPr="0036327D">
        <w:rPr>
          <w:rFonts w:ascii="Times New Roman" w:hAnsi="Times New Roman"/>
          <w:sz w:val="24"/>
          <w:szCs w:val="24"/>
        </w:rPr>
        <w:t xml:space="preserve"> Ragbir v. Thomas D. Homan, Director of ICE, the U.S. Court of Appeals for 2ndCircuit, held (2 to 1) that deportation order is suspended of the outspoken Executive Director of the New Sanctuary Coalition (which works to protect New York immigrant families from deportation). Congress cannot deprive federal courts of power to hold habeas corpus hearings when there is alleged violation of free speech under First Amendment. “To allow this retaliatory conduct to proceed would broadly chill protected speech, among not only activists subject to final orders of deportation but also those citizens and other residents who would fear retaliation against others. In short, the Government’s alleged conduct plausibly fits within the ‘outrageous [ness]’ exception to AADC.” </w:t>
      </w:r>
      <w:hyperlink r:id="rId851" w:history="1">
        <w:r w:rsidRPr="0036327D">
          <w:rPr>
            <w:rStyle w:val="Hyperlink"/>
            <w:rFonts w:ascii="Times New Roman" w:hAnsi="Times New Roman"/>
            <w:sz w:val="24"/>
            <w:szCs w:val="24"/>
          </w:rPr>
          <w:t>https://cases.justia.com/federal/appellate-courts/ca2/18-1597/18-1597-2019-04-25.pdf?ts=1556202606</w:t>
        </w:r>
      </w:hyperlink>
      <w:r w:rsidRPr="0036327D">
        <w:rPr>
          <w:rFonts w:ascii="Times New Roman" w:hAnsi="Times New Roman"/>
          <w:sz w:val="24"/>
          <w:szCs w:val="24"/>
        </w:rPr>
        <w:t xml:space="preserve"> </w:t>
      </w:r>
    </w:p>
    <w:p w14:paraId="2D3B4CAA" w14:textId="77777777" w:rsidR="00660046" w:rsidRPr="0036327D" w:rsidRDefault="00660046" w:rsidP="00EF1133">
      <w:pPr>
        <w:rPr>
          <w:rFonts w:ascii="Times New Roman" w:hAnsi="Times New Roman"/>
          <w:b/>
          <w:bCs/>
          <w:sz w:val="24"/>
          <w:szCs w:val="24"/>
        </w:rPr>
      </w:pPr>
      <w:r w:rsidRPr="0036327D">
        <w:rPr>
          <w:rFonts w:ascii="Times New Roman" w:hAnsi="Times New Roman"/>
          <w:b/>
          <w:bCs/>
          <w:sz w:val="24"/>
          <w:szCs w:val="24"/>
        </w:rPr>
        <w:t xml:space="preserve">Legal Lessons Learned: Inappropriate comments by governmental officials can be viewed as deprivation of Constitutional rights of individuals. </w:t>
      </w:r>
    </w:p>
    <w:p w14:paraId="6FDE3292" w14:textId="619011AE" w:rsidR="00660046" w:rsidRPr="0036327D" w:rsidRDefault="00660046" w:rsidP="00715CF2">
      <w:pPr>
        <w:ind w:left="720"/>
        <w:rPr>
          <w:rFonts w:ascii="Times New Roman" w:hAnsi="Times New Roman"/>
          <w:color w:val="4A4A4A"/>
          <w:sz w:val="24"/>
          <w:szCs w:val="24"/>
          <w:lang w:val="en"/>
        </w:rPr>
      </w:pPr>
      <w:r w:rsidRPr="0036327D">
        <w:rPr>
          <w:rFonts w:ascii="Times New Roman" w:hAnsi="Times New Roman"/>
          <w:sz w:val="24"/>
          <w:szCs w:val="24"/>
        </w:rPr>
        <w:t xml:space="preserve">See article about the decision: “Split 2nd Circuit Panel Finds ‘Outrageous’ ICE Conduct Revives Activist’s Removal Suit.” </w:t>
      </w:r>
      <w:hyperlink r:id="rId852" w:history="1">
        <w:r w:rsidRPr="0036327D">
          <w:rPr>
            <w:rStyle w:val="Hyperlink"/>
            <w:rFonts w:ascii="Times New Roman" w:hAnsi="Times New Roman"/>
            <w:sz w:val="24"/>
            <w:szCs w:val="24"/>
          </w:rPr>
          <w:t>https://www.law.com/newyorklawjournal/2019/04/25/split-2nd-circuit-panel-finds-outrageous-ice-conduct-revives-activists-removal-suit/</w:t>
        </w:r>
      </w:hyperlink>
      <w:r w:rsidRPr="0036327D">
        <w:rPr>
          <w:rFonts w:ascii="Times New Roman" w:hAnsi="Times New Roman"/>
          <w:sz w:val="24"/>
          <w:szCs w:val="24"/>
        </w:rPr>
        <w:t xml:space="preserve"> </w:t>
      </w:r>
    </w:p>
    <w:bookmarkEnd w:id="159"/>
    <w:p w14:paraId="28D7E50B" w14:textId="77777777" w:rsidR="00660046" w:rsidRDefault="00660046" w:rsidP="00EF1133">
      <w:pPr>
        <w:rPr>
          <w:rFonts w:ascii="Arial Black" w:hAnsi="Arial Black"/>
          <w:color w:val="4A4A4A"/>
          <w:sz w:val="24"/>
          <w:szCs w:val="24"/>
          <w:lang w:val="en"/>
        </w:rPr>
      </w:pPr>
    </w:p>
    <w:p w14:paraId="3B4CB980" w14:textId="58F5464E" w:rsidR="00660046" w:rsidRDefault="00660046"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1</w:t>
      </w:r>
    </w:p>
    <w:p w14:paraId="7D02F5E3" w14:textId="77777777" w:rsidR="00660046" w:rsidRPr="00660046" w:rsidRDefault="00660046" w:rsidP="00EF1133">
      <w:pPr>
        <w:rPr>
          <w:rFonts w:ascii="Arial Black" w:hAnsi="Arial Black" w:cs="Arial"/>
          <w:sz w:val="28"/>
          <w:szCs w:val="28"/>
        </w:rPr>
      </w:pPr>
      <w:bookmarkStart w:id="160" w:name="_Hlk25925648"/>
      <w:r w:rsidRPr="00660046">
        <w:rPr>
          <w:rFonts w:ascii="Arial Black" w:hAnsi="Arial Black" w:cs="Arial"/>
          <w:sz w:val="28"/>
          <w:szCs w:val="28"/>
        </w:rPr>
        <w:t xml:space="preserve">CT: WIDOW OF 9/11 VICTIM AT WORLD TRADE CENTER – $1.2 MILLIONFED. FUNDS DAUGHTER – WIDOW CONTROLS – NOT PROBATE COURT </w:t>
      </w:r>
    </w:p>
    <w:p w14:paraId="6E102EB2" w14:textId="7ECC8D92" w:rsidR="00660046" w:rsidRPr="0036327D" w:rsidRDefault="00660046" w:rsidP="00EF1133">
      <w:pPr>
        <w:rPr>
          <w:rFonts w:ascii="Times New Roman" w:hAnsi="Times New Roman"/>
          <w:color w:val="4A4A4A"/>
          <w:sz w:val="24"/>
          <w:szCs w:val="24"/>
          <w:lang w:val="en"/>
        </w:rPr>
      </w:pPr>
      <w:r w:rsidRPr="0036327D">
        <w:rPr>
          <w:rFonts w:ascii="Times New Roman" w:hAnsi="Times New Roman"/>
          <w:sz w:val="24"/>
          <w:szCs w:val="24"/>
        </w:rPr>
        <w:t xml:space="preserve">On April 16, 2019, in Carolyne Y. Hynes v. Sharon M. Jones, the Connecticut Supreme Court (7 to 0) held that the widow had full control of the federal dollars paid to her daughter, and did not need Probate Court guardian ad litem approval for spending of these </w:t>
      </w:r>
      <w:proofErr w:type="spellStart"/>
      <w:r w:rsidRPr="0036327D">
        <w:rPr>
          <w:rFonts w:ascii="Times New Roman" w:hAnsi="Times New Roman"/>
          <w:sz w:val="24"/>
          <w:szCs w:val="24"/>
        </w:rPr>
        <w:t>funds.“We</w:t>
      </w:r>
      <w:proofErr w:type="spellEnd"/>
      <w:r w:rsidRPr="0036327D">
        <w:rPr>
          <w:rFonts w:ascii="Times New Roman" w:hAnsi="Times New Roman"/>
          <w:sz w:val="24"/>
          <w:szCs w:val="24"/>
        </w:rPr>
        <w:t xml:space="preserve"> conclude that our state statutes did not grant the Probate Court jurisdiction to monitor the plaintiff’s use of the fund award or to prohibit the plaintiff from using that award in the absence of that court’s approval.” </w:t>
      </w:r>
      <w:hyperlink r:id="rId853" w:history="1">
        <w:r w:rsidRPr="0036327D">
          <w:rPr>
            <w:rStyle w:val="Hyperlink"/>
            <w:rFonts w:ascii="Times New Roman" w:hAnsi="Times New Roman"/>
            <w:sz w:val="24"/>
            <w:szCs w:val="24"/>
          </w:rPr>
          <w:t>https://cases.justia.com/connecticut/supreme-court/2019-sc20009.pdf?ts=1554984045</w:t>
        </w:r>
      </w:hyperlink>
      <w:r w:rsidRPr="0036327D">
        <w:rPr>
          <w:rFonts w:ascii="Times New Roman" w:hAnsi="Times New Roman"/>
          <w:sz w:val="24"/>
          <w:szCs w:val="24"/>
        </w:rPr>
        <w:t xml:space="preserve"> </w:t>
      </w:r>
    </w:p>
    <w:p w14:paraId="20CBFBC7" w14:textId="6D5D11AA" w:rsidR="00660046" w:rsidRPr="0036327D" w:rsidRDefault="00660046" w:rsidP="00EF1133">
      <w:pPr>
        <w:rPr>
          <w:rFonts w:ascii="Times New Roman" w:hAnsi="Times New Roman"/>
          <w:b/>
          <w:bCs/>
          <w:color w:val="4A4A4A"/>
          <w:sz w:val="24"/>
          <w:szCs w:val="24"/>
          <w:lang w:val="en"/>
        </w:rPr>
      </w:pPr>
      <w:r w:rsidRPr="0036327D">
        <w:rPr>
          <w:rFonts w:ascii="Times New Roman" w:hAnsi="Times New Roman"/>
          <w:b/>
          <w:bCs/>
          <w:sz w:val="24"/>
          <w:szCs w:val="24"/>
        </w:rPr>
        <w:t xml:space="preserve">Legal Lessons Learned: Widow now has full discretion on how to spend funds granted to her minor child. </w:t>
      </w:r>
    </w:p>
    <w:bookmarkEnd w:id="160"/>
    <w:p w14:paraId="7F20CE4D" w14:textId="0C047440" w:rsidR="00660046" w:rsidRDefault="00660046" w:rsidP="00EF1133">
      <w:pPr>
        <w:rPr>
          <w:rFonts w:ascii="Arial Black" w:hAnsi="Arial Black"/>
          <w:color w:val="4A4A4A"/>
          <w:sz w:val="24"/>
          <w:szCs w:val="24"/>
          <w:lang w:val="en"/>
        </w:rPr>
      </w:pPr>
    </w:p>
    <w:p w14:paraId="21EC686F" w14:textId="77777777" w:rsidR="009C4A80" w:rsidRDefault="009C4A80" w:rsidP="00EF1133">
      <w:pPr>
        <w:rPr>
          <w:rFonts w:ascii="Arial Black" w:hAnsi="Arial Black"/>
          <w:color w:val="4A4A4A"/>
          <w:sz w:val="24"/>
          <w:szCs w:val="24"/>
          <w:lang w:val="en"/>
        </w:rPr>
      </w:pPr>
    </w:p>
    <w:p w14:paraId="0F29F433" w14:textId="43058EAB" w:rsidR="00EF1133" w:rsidRDefault="00EF1133" w:rsidP="00EF1133">
      <w:pPr>
        <w:rPr>
          <w:rFonts w:ascii="Arial Black" w:hAnsi="Arial Black"/>
          <w:sz w:val="28"/>
          <w:szCs w:val="28"/>
        </w:rPr>
      </w:pPr>
      <w:r w:rsidRPr="00EF1133">
        <w:rPr>
          <w:rFonts w:ascii="Arial Black" w:hAnsi="Arial Black"/>
          <w:color w:val="4A4A4A"/>
          <w:sz w:val="24"/>
          <w:szCs w:val="24"/>
          <w:lang w:val="en"/>
        </w:rPr>
        <w:t>3-</w:t>
      </w:r>
      <w:r w:rsidR="00A247E4">
        <w:rPr>
          <w:rFonts w:ascii="Arial Black" w:hAnsi="Arial Black"/>
          <w:color w:val="4A4A4A"/>
          <w:sz w:val="24"/>
          <w:szCs w:val="24"/>
          <w:lang w:val="en"/>
        </w:rPr>
        <w:t>10</w:t>
      </w:r>
    </w:p>
    <w:p w14:paraId="00D56E3E" w14:textId="09800419" w:rsidR="00F326E5" w:rsidRDefault="00F326E5" w:rsidP="00F326E5">
      <w:pPr>
        <w:pStyle w:val="NoSpacing"/>
        <w:rPr>
          <w:rFonts w:ascii="OnTimes New Roman" w:hAnsi="OnTimes New Roman"/>
          <w:sz w:val="24"/>
          <w:szCs w:val="24"/>
        </w:rPr>
      </w:pPr>
      <w:bookmarkStart w:id="161" w:name="_Hlk25926365"/>
      <w:r w:rsidRPr="00CA1140">
        <w:rPr>
          <w:rFonts w:ascii="Arial Black" w:hAnsi="Arial Black"/>
          <w:sz w:val="28"/>
          <w:szCs w:val="28"/>
        </w:rPr>
        <w:t xml:space="preserve">CT: </w:t>
      </w:r>
      <w:r>
        <w:rPr>
          <w:rFonts w:ascii="Arial Black" w:hAnsi="Arial Black"/>
          <w:sz w:val="28"/>
          <w:szCs w:val="28"/>
        </w:rPr>
        <w:t xml:space="preserve">SANDY HOOK ELEMENTARY SCHOOL - LAWSUITS MAY PROCEED / VIOLENT ADS BY GUN MFG. </w:t>
      </w:r>
    </w:p>
    <w:p w14:paraId="6A60DF8D" w14:textId="77777777" w:rsidR="009C4A80"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March 14, </w:t>
      </w:r>
      <w:proofErr w:type="gramStart"/>
      <w:r w:rsidRPr="0036327D">
        <w:rPr>
          <w:rFonts w:ascii="Times New Roman" w:hAnsi="Times New Roman"/>
          <w:sz w:val="24"/>
          <w:szCs w:val="24"/>
        </w:rPr>
        <w:t>2019</w:t>
      </w:r>
      <w:proofErr w:type="gramEnd"/>
      <w:r w:rsidRPr="0036327D">
        <w:rPr>
          <w:rFonts w:ascii="Times New Roman" w:hAnsi="Times New Roman"/>
          <w:sz w:val="24"/>
          <w:szCs w:val="24"/>
        </w:rPr>
        <w:t xml:space="preserve"> in </w:t>
      </w:r>
      <w:r w:rsidRPr="0036327D">
        <w:rPr>
          <w:rFonts w:ascii="Times New Roman" w:hAnsi="Times New Roman"/>
          <w:sz w:val="24"/>
          <w:szCs w:val="24"/>
          <w:u w:val="single"/>
        </w:rPr>
        <w:t>Donna L. Soto, Administratrix (Estate of Victoria L. Soto), et al. v. Bushmaster Firearms International, et al</w:t>
      </w:r>
      <w:r w:rsidRPr="0036327D">
        <w:rPr>
          <w:rFonts w:ascii="Times New Roman" w:hAnsi="Times New Roman"/>
          <w:sz w:val="24"/>
          <w:szCs w:val="24"/>
        </w:rPr>
        <w:t xml:space="preserve">., the Connecticut Supreme Court (4 to 3) reinstated the lawsuit brought by families of nine of the 20 children and six adults killed in the elementary school.  The Court held: </w:t>
      </w:r>
    </w:p>
    <w:p w14:paraId="71B3EB6F" w14:textId="77777777" w:rsidR="009C4A80" w:rsidRDefault="009C4A80" w:rsidP="00F326E5">
      <w:pPr>
        <w:pStyle w:val="NoSpacing"/>
        <w:rPr>
          <w:rFonts w:ascii="Times New Roman" w:hAnsi="Times New Roman"/>
          <w:sz w:val="24"/>
          <w:szCs w:val="24"/>
        </w:rPr>
      </w:pPr>
    </w:p>
    <w:p w14:paraId="7EE3F410" w14:textId="7674AA65" w:rsidR="00F326E5" w:rsidRPr="0036327D" w:rsidRDefault="00F326E5" w:rsidP="009C4A80">
      <w:pPr>
        <w:pStyle w:val="NoSpacing"/>
        <w:ind w:left="720"/>
        <w:rPr>
          <w:rStyle w:val="Hyperlink"/>
          <w:rFonts w:ascii="Times New Roman" w:hAnsi="Times New Roman"/>
          <w:sz w:val="24"/>
          <w:szCs w:val="24"/>
        </w:rPr>
      </w:pPr>
      <w:r w:rsidRPr="0036327D">
        <w:rPr>
          <w:rFonts w:ascii="Times New Roman" w:hAnsi="Times New Roman"/>
          <w:sz w:val="24"/>
          <w:szCs w:val="24"/>
        </w:rPr>
        <w:t xml:space="preserve">“The plaintiffs have offered one narrow legal theory, however, that is recognized under established Connecticut law. Specifically, they allege that the defendants knowingly marketed, advertised, and promoted the XM15-E2S for </w:t>
      </w:r>
      <w:proofErr w:type="gramStart"/>
      <w:r w:rsidRPr="0036327D">
        <w:rPr>
          <w:rFonts w:ascii="Times New Roman" w:hAnsi="Times New Roman"/>
          <w:sz w:val="24"/>
          <w:szCs w:val="24"/>
        </w:rPr>
        <w:t>civilians to use</w:t>
      </w:r>
      <w:proofErr w:type="gramEnd"/>
      <w:r w:rsidRPr="0036327D">
        <w:rPr>
          <w:rFonts w:ascii="Times New Roman" w:hAnsi="Times New Roman"/>
          <w:sz w:val="24"/>
          <w:szCs w:val="24"/>
        </w:rPr>
        <w:t xml:space="preserve"> to carry out offensive, military style combat missions against their perceived enemies. Such use of the XM15-E2S, or any weapon for that matter, would be illegal, and Connecticut law does not permit advertisements that promote or encourage violent, criminal </w:t>
      </w:r>
      <w:proofErr w:type="gramStart"/>
      <w:r w:rsidRPr="0036327D">
        <w:rPr>
          <w:rFonts w:ascii="Times New Roman" w:hAnsi="Times New Roman"/>
          <w:sz w:val="24"/>
          <w:szCs w:val="24"/>
        </w:rPr>
        <w:t>behavior.”</w:t>
      </w:r>
      <w:proofErr w:type="gramEnd"/>
      <w:r w:rsidRPr="0036327D">
        <w:rPr>
          <w:rFonts w:ascii="Times New Roman" w:hAnsi="Times New Roman"/>
          <w:sz w:val="24"/>
          <w:szCs w:val="24"/>
        </w:rPr>
        <w:t xml:space="preserve"> </w:t>
      </w:r>
      <w:hyperlink r:id="rId854" w:history="1">
        <w:r w:rsidRPr="0036327D">
          <w:rPr>
            <w:rStyle w:val="Hyperlink"/>
            <w:rFonts w:ascii="Times New Roman" w:hAnsi="Times New Roman"/>
            <w:sz w:val="24"/>
            <w:szCs w:val="24"/>
          </w:rPr>
          <w:t>file:///C:/Users/lawre/AppData/Local/Microsoft/Windows/INetCache/Content.Outlook/YEHISW7P/331CR865.pdf</w:t>
        </w:r>
      </w:hyperlink>
    </w:p>
    <w:p w14:paraId="13ADBD91" w14:textId="77777777" w:rsidR="009C4A80" w:rsidRDefault="009C4A80" w:rsidP="00F326E5">
      <w:pPr>
        <w:pStyle w:val="NoSpacing"/>
        <w:rPr>
          <w:rFonts w:ascii="Times New Roman" w:hAnsi="Times New Roman"/>
          <w:b/>
          <w:bCs/>
          <w:sz w:val="24"/>
          <w:szCs w:val="24"/>
        </w:rPr>
      </w:pPr>
    </w:p>
    <w:p w14:paraId="2013B689" w14:textId="4757F062" w:rsidR="005F7D6B" w:rsidRPr="0036327D" w:rsidRDefault="005F7D6B" w:rsidP="00F326E5">
      <w:pPr>
        <w:pStyle w:val="NoSpacing"/>
        <w:rPr>
          <w:rFonts w:ascii="Times New Roman" w:hAnsi="Times New Roman"/>
          <w:b/>
          <w:bCs/>
          <w:sz w:val="24"/>
          <w:szCs w:val="24"/>
        </w:rPr>
      </w:pPr>
      <w:r w:rsidRPr="0036327D">
        <w:rPr>
          <w:rFonts w:ascii="Times New Roman" w:hAnsi="Times New Roman"/>
          <w:b/>
          <w:bCs/>
          <w:sz w:val="24"/>
          <w:szCs w:val="24"/>
        </w:rPr>
        <w:t>Legal Lessons Learned: The case will not be sent back for trial or settlement by Remington Arms Co. LLC and its “daughter company” Bushmaster Firearms International LLC.</w:t>
      </w:r>
    </w:p>
    <w:p w14:paraId="6DF31E56" w14:textId="77777777" w:rsidR="005F7D6B" w:rsidRPr="0036327D" w:rsidRDefault="005F7D6B" w:rsidP="00F326E5">
      <w:pPr>
        <w:pStyle w:val="NoSpacing"/>
        <w:rPr>
          <w:rFonts w:ascii="Times New Roman" w:hAnsi="Times New Roman"/>
          <w:bCs/>
          <w:sz w:val="24"/>
          <w:szCs w:val="24"/>
        </w:rPr>
      </w:pPr>
    </w:p>
    <w:bookmarkEnd w:id="132"/>
    <w:bookmarkEnd w:id="161"/>
    <w:p w14:paraId="0A16F813" w14:textId="0B4E0E9D" w:rsidR="00F326E5" w:rsidRPr="0036327D" w:rsidRDefault="00F326E5" w:rsidP="00F326E5">
      <w:pPr>
        <w:pStyle w:val="NoSpacing"/>
        <w:rPr>
          <w:rFonts w:ascii="Times New Roman" w:hAnsi="Times New Roman"/>
          <w:bCs/>
          <w:sz w:val="24"/>
          <w:szCs w:val="24"/>
        </w:rPr>
      </w:pPr>
    </w:p>
    <w:p w14:paraId="2E379C23" w14:textId="4680C237" w:rsidR="00F326E5" w:rsidRPr="0036327D" w:rsidRDefault="00F326E5" w:rsidP="00F326E5">
      <w:pPr>
        <w:rPr>
          <w:rFonts w:ascii="Times New Roman" w:hAnsi="Times New Roman"/>
          <w:sz w:val="24"/>
          <w:szCs w:val="24"/>
        </w:rPr>
      </w:pPr>
    </w:p>
    <w:p w14:paraId="54A79544" w14:textId="3B5271B1" w:rsidR="00EF1133" w:rsidRDefault="00EF1133" w:rsidP="00F326E5">
      <w:pPr>
        <w:rPr>
          <w:rFonts w:ascii="Arial Black" w:hAnsi="Arial Black"/>
          <w:sz w:val="40"/>
          <w:szCs w:val="40"/>
        </w:rPr>
      </w:pPr>
      <w:r w:rsidRPr="00EF1133">
        <w:rPr>
          <w:rFonts w:ascii="Arial Black" w:hAnsi="Arial Black"/>
          <w:color w:val="4A4A4A"/>
          <w:sz w:val="24"/>
          <w:szCs w:val="24"/>
          <w:lang w:val="en"/>
        </w:rPr>
        <w:t>3-</w:t>
      </w:r>
      <w:r w:rsidR="00A247E4">
        <w:rPr>
          <w:rFonts w:ascii="Arial Black" w:hAnsi="Arial Black"/>
          <w:color w:val="4A4A4A"/>
          <w:sz w:val="24"/>
          <w:szCs w:val="24"/>
          <w:lang w:val="en"/>
        </w:rPr>
        <w:t>9</w:t>
      </w:r>
    </w:p>
    <w:p w14:paraId="266DBD23" w14:textId="54875327" w:rsidR="00F326E5" w:rsidRDefault="00F326E5" w:rsidP="00F326E5">
      <w:pPr>
        <w:pStyle w:val="NoSpacing"/>
        <w:rPr>
          <w:rFonts w:ascii="Arial Black" w:hAnsi="Arial Black"/>
          <w:sz w:val="28"/>
          <w:szCs w:val="28"/>
        </w:rPr>
      </w:pPr>
      <w:bookmarkStart w:id="162" w:name="_Hlk25926509"/>
      <w:bookmarkStart w:id="163" w:name="_Hlk7341421"/>
      <w:r w:rsidRPr="000561E4">
        <w:rPr>
          <w:rFonts w:ascii="Arial Black" w:hAnsi="Arial Black"/>
          <w:sz w:val="28"/>
          <w:szCs w:val="28"/>
        </w:rPr>
        <w:t xml:space="preserve">PA: </w:t>
      </w:r>
      <w:r>
        <w:rPr>
          <w:rFonts w:ascii="Arial Black" w:hAnsi="Arial Black"/>
          <w:sz w:val="28"/>
          <w:szCs w:val="28"/>
        </w:rPr>
        <w:t>SANCTUARY CITY / ICE - 3</w:t>
      </w:r>
      <w:r w:rsidRPr="000561E4">
        <w:rPr>
          <w:rFonts w:ascii="Arial Black" w:hAnsi="Arial Black"/>
          <w:sz w:val="28"/>
          <w:szCs w:val="28"/>
          <w:vertAlign w:val="superscript"/>
        </w:rPr>
        <w:t>rd</w:t>
      </w:r>
      <w:r>
        <w:rPr>
          <w:rFonts w:ascii="Arial Black" w:hAnsi="Arial Black"/>
          <w:sz w:val="28"/>
          <w:szCs w:val="28"/>
        </w:rPr>
        <w:t xml:space="preserve"> CIRCUIT HOLDS FED. GOVT CANNOT WITHHOLD FORMULA GRANT </w:t>
      </w:r>
    </w:p>
    <w:p w14:paraId="7325FE78" w14:textId="77777777" w:rsidR="009C4A80"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Feb. 15, 2019, in </w:t>
      </w:r>
      <w:r w:rsidRPr="0036327D">
        <w:rPr>
          <w:rFonts w:ascii="Times New Roman" w:hAnsi="Times New Roman"/>
          <w:sz w:val="24"/>
          <w:szCs w:val="24"/>
          <w:u w:val="single"/>
        </w:rPr>
        <w:t xml:space="preserve">City of Philadelphia v. Attorney General </w:t>
      </w:r>
      <w:proofErr w:type="gramStart"/>
      <w:r w:rsidRPr="0036327D">
        <w:rPr>
          <w:rFonts w:ascii="Times New Roman" w:hAnsi="Times New Roman"/>
          <w:sz w:val="24"/>
          <w:szCs w:val="24"/>
          <w:u w:val="single"/>
        </w:rPr>
        <w:t>Of</w:t>
      </w:r>
      <w:proofErr w:type="gramEnd"/>
      <w:r w:rsidRPr="0036327D">
        <w:rPr>
          <w:rFonts w:ascii="Times New Roman" w:hAnsi="Times New Roman"/>
          <w:sz w:val="24"/>
          <w:szCs w:val="24"/>
          <w:u w:val="single"/>
        </w:rPr>
        <w:t xml:space="preserve"> </w:t>
      </w:r>
      <w:proofErr w:type="gramStart"/>
      <w:r w:rsidRPr="0036327D">
        <w:rPr>
          <w:rFonts w:ascii="Times New Roman" w:hAnsi="Times New Roman"/>
          <w:sz w:val="24"/>
          <w:szCs w:val="24"/>
          <w:u w:val="single"/>
        </w:rPr>
        <w:t>The</w:t>
      </w:r>
      <w:proofErr w:type="gramEnd"/>
      <w:r w:rsidRPr="0036327D">
        <w:rPr>
          <w:rFonts w:ascii="Times New Roman" w:hAnsi="Times New Roman"/>
          <w:sz w:val="24"/>
          <w:szCs w:val="24"/>
          <w:u w:val="single"/>
        </w:rPr>
        <w:t xml:space="preserve"> United States </w:t>
      </w:r>
      <w:proofErr w:type="gramStart"/>
      <w:r w:rsidRPr="0036327D">
        <w:rPr>
          <w:rFonts w:ascii="Times New Roman" w:hAnsi="Times New Roman"/>
          <w:sz w:val="24"/>
          <w:szCs w:val="24"/>
          <w:u w:val="single"/>
        </w:rPr>
        <w:t>Of</w:t>
      </w:r>
      <w:proofErr w:type="gramEnd"/>
      <w:r w:rsidRPr="0036327D">
        <w:rPr>
          <w:rFonts w:ascii="Times New Roman" w:hAnsi="Times New Roman"/>
          <w:sz w:val="24"/>
          <w:szCs w:val="24"/>
          <w:u w:val="single"/>
        </w:rPr>
        <w:t xml:space="preserve"> America</w:t>
      </w:r>
      <w:r w:rsidRPr="0036327D">
        <w:rPr>
          <w:rFonts w:ascii="Times New Roman" w:hAnsi="Times New Roman"/>
          <w:sz w:val="24"/>
          <w:szCs w:val="24"/>
        </w:rPr>
        <w:t xml:space="preserve">, the U.S. Court of Appeals held (3 to 0), </w:t>
      </w:r>
    </w:p>
    <w:p w14:paraId="05488087" w14:textId="77777777" w:rsidR="009C4A80" w:rsidRDefault="009C4A80" w:rsidP="00F326E5">
      <w:pPr>
        <w:pStyle w:val="NoSpacing"/>
        <w:rPr>
          <w:rFonts w:ascii="Times New Roman" w:hAnsi="Times New Roman"/>
          <w:sz w:val="24"/>
          <w:szCs w:val="24"/>
        </w:rPr>
      </w:pPr>
    </w:p>
    <w:p w14:paraId="5AFDBA0F" w14:textId="13A03CC8" w:rsidR="00F326E5" w:rsidRPr="0036327D" w:rsidRDefault="00F326E5" w:rsidP="009C4A80">
      <w:pPr>
        <w:pStyle w:val="NoSpacing"/>
        <w:ind w:left="720"/>
        <w:rPr>
          <w:rFonts w:ascii="Times New Roman" w:hAnsi="Times New Roman"/>
          <w:sz w:val="24"/>
          <w:szCs w:val="24"/>
        </w:rPr>
      </w:pPr>
      <w:r w:rsidRPr="0036327D">
        <w:rPr>
          <w:rFonts w:ascii="Times New Roman" w:hAnsi="Times New Roman"/>
          <w:sz w:val="24"/>
          <w:szCs w:val="24"/>
        </w:rPr>
        <w:t xml:space="preserve">“Concluding that Congress did not grant the Attorney General this authority, we hold that the Challenged Conditions were unlawfully imposed.  Therefore, we will affirm the District Court’s order to the extent that it enjoins enforcement of the Challenged Conditions against the City of Philadelphia.  We will vacate part of the order, however, to the extent that it exceeds the bounds of this </w:t>
      </w:r>
      <w:proofErr w:type="gramStart"/>
      <w:r w:rsidRPr="0036327D">
        <w:rPr>
          <w:rFonts w:ascii="Times New Roman" w:hAnsi="Times New Roman"/>
          <w:sz w:val="24"/>
          <w:szCs w:val="24"/>
        </w:rPr>
        <w:t>controversy.”</w:t>
      </w:r>
      <w:proofErr w:type="gramEnd"/>
      <w:r w:rsidRPr="0036327D">
        <w:rPr>
          <w:rFonts w:ascii="Times New Roman" w:hAnsi="Times New Roman"/>
          <w:sz w:val="24"/>
          <w:szCs w:val="24"/>
        </w:rPr>
        <w:t xml:space="preserve"> </w:t>
      </w:r>
      <w:hyperlink r:id="rId855" w:history="1">
        <w:r w:rsidRPr="0036327D">
          <w:rPr>
            <w:rStyle w:val="Hyperlink"/>
            <w:rFonts w:ascii="Times New Roman" w:hAnsi="Times New Roman"/>
            <w:sz w:val="24"/>
            <w:szCs w:val="24"/>
          </w:rPr>
          <w:t>https://www2.ca3.uscourts.gov/opinarch/182648p.pdf</w:t>
        </w:r>
      </w:hyperlink>
      <w:r w:rsidRPr="0036327D">
        <w:rPr>
          <w:rFonts w:ascii="Times New Roman" w:hAnsi="Times New Roman"/>
          <w:sz w:val="24"/>
          <w:szCs w:val="24"/>
        </w:rPr>
        <w:t xml:space="preserve"> </w:t>
      </w:r>
    </w:p>
    <w:p w14:paraId="4AFA5DF5" w14:textId="77777777" w:rsidR="009C4A80" w:rsidRDefault="009C4A80" w:rsidP="00F326E5">
      <w:pPr>
        <w:pStyle w:val="NoSpacing"/>
        <w:rPr>
          <w:rFonts w:ascii="Times New Roman" w:hAnsi="Times New Roman"/>
          <w:b/>
          <w:sz w:val="24"/>
          <w:szCs w:val="24"/>
        </w:rPr>
      </w:pPr>
      <w:bookmarkStart w:id="164" w:name="_Hlk7174020"/>
    </w:p>
    <w:p w14:paraId="52D7C331" w14:textId="4C935395" w:rsidR="00F326E5" w:rsidRPr="0036327D" w:rsidRDefault="00F326E5" w:rsidP="00F326E5">
      <w:pPr>
        <w:pStyle w:val="NoSpacing"/>
        <w:rPr>
          <w:rFonts w:ascii="Times New Roman" w:hAnsi="Times New Roman"/>
          <w:b/>
          <w:sz w:val="24"/>
          <w:szCs w:val="24"/>
        </w:rPr>
      </w:pPr>
      <w:r w:rsidRPr="0036327D">
        <w:rPr>
          <w:rFonts w:ascii="Times New Roman" w:hAnsi="Times New Roman"/>
          <w:b/>
          <w:sz w:val="24"/>
          <w:szCs w:val="24"/>
        </w:rPr>
        <w:t xml:space="preserve">Legal Lessons Learned: The </w:t>
      </w:r>
      <w:proofErr w:type="spellStart"/>
      <w:r w:rsidRPr="0036327D">
        <w:rPr>
          <w:rFonts w:ascii="Times New Roman" w:hAnsi="Times New Roman"/>
          <w:b/>
          <w:sz w:val="24"/>
          <w:szCs w:val="24"/>
        </w:rPr>
        <w:t>DoJ</w:t>
      </w:r>
      <w:proofErr w:type="spellEnd"/>
      <w:r w:rsidRPr="0036327D">
        <w:rPr>
          <w:rFonts w:ascii="Times New Roman" w:hAnsi="Times New Roman"/>
          <w:b/>
          <w:sz w:val="24"/>
          <w:szCs w:val="24"/>
        </w:rPr>
        <w:t xml:space="preserve"> is likely to seek review by U.S. Supreme Court. </w:t>
      </w:r>
    </w:p>
    <w:bookmarkEnd w:id="162"/>
    <w:bookmarkEnd w:id="164"/>
    <w:p w14:paraId="3A67FE4D" w14:textId="4977738A" w:rsidR="00F326E5" w:rsidRPr="00AF41DF" w:rsidRDefault="00F326E5" w:rsidP="00F326E5">
      <w:pPr>
        <w:pStyle w:val="NoSpacing"/>
        <w:rPr>
          <w:b/>
          <w:sz w:val="24"/>
          <w:szCs w:val="24"/>
        </w:rPr>
      </w:pPr>
    </w:p>
    <w:bookmarkEnd w:id="163"/>
    <w:p w14:paraId="42939F19" w14:textId="77777777" w:rsidR="00F326E5" w:rsidRDefault="00F326E5" w:rsidP="00F326E5">
      <w:pPr>
        <w:rPr>
          <w:rFonts w:ascii="Arial Black" w:hAnsi="Arial Black"/>
          <w:sz w:val="40"/>
          <w:szCs w:val="40"/>
        </w:rPr>
      </w:pPr>
    </w:p>
    <w:p w14:paraId="1B7A0EAB" w14:textId="119D5F5A" w:rsidR="00EF1133" w:rsidRPr="00EF1133" w:rsidRDefault="00EF1133" w:rsidP="00EF1133">
      <w:pPr>
        <w:rPr>
          <w:rFonts w:ascii="Arial Black" w:hAnsi="Arial Black"/>
          <w:color w:val="4A4A4A"/>
          <w:sz w:val="24"/>
          <w:szCs w:val="24"/>
          <w:lang w:val="en"/>
        </w:rPr>
      </w:pPr>
      <w:r w:rsidRPr="00EF1133">
        <w:rPr>
          <w:rFonts w:ascii="Arial Black" w:hAnsi="Arial Black"/>
          <w:color w:val="4A4A4A"/>
          <w:sz w:val="24"/>
          <w:szCs w:val="24"/>
          <w:lang w:val="en"/>
        </w:rPr>
        <w:t>3-</w:t>
      </w:r>
      <w:r w:rsidR="00A247E4">
        <w:rPr>
          <w:rFonts w:ascii="Arial Black" w:hAnsi="Arial Black"/>
          <w:color w:val="4A4A4A"/>
          <w:sz w:val="24"/>
          <w:szCs w:val="24"/>
          <w:lang w:val="en"/>
        </w:rPr>
        <w:t>8</w:t>
      </w:r>
    </w:p>
    <w:p w14:paraId="48FE4AD2" w14:textId="77777777" w:rsidR="00F326E5" w:rsidRDefault="00F326E5" w:rsidP="00F326E5">
      <w:pPr>
        <w:pStyle w:val="NoSpacing"/>
        <w:rPr>
          <w:bCs/>
          <w:sz w:val="24"/>
          <w:szCs w:val="24"/>
        </w:rPr>
      </w:pPr>
    </w:p>
    <w:p w14:paraId="5E893FAA" w14:textId="668DD196" w:rsidR="00F326E5" w:rsidRDefault="00F326E5" w:rsidP="00F326E5">
      <w:pPr>
        <w:pStyle w:val="NoSpacing"/>
        <w:rPr>
          <w:rFonts w:ascii="Arial Black" w:hAnsi="Arial Black"/>
          <w:b/>
          <w:bCs/>
          <w:sz w:val="24"/>
          <w:szCs w:val="24"/>
        </w:rPr>
      </w:pPr>
      <w:bookmarkStart w:id="165" w:name="_Hlk7341624"/>
      <w:r w:rsidRPr="004445C3">
        <w:rPr>
          <w:rFonts w:ascii="Arial Black" w:hAnsi="Arial Black"/>
          <w:b/>
          <w:bCs/>
          <w:sz w:val="28"/>
          <w:szCs w:val="28"/>
        </w:rPr>
        <w:t xml:space="preserve">NY: </w:t>
      </w:r>
      <w:r>
        <w:rPr>
          <w:rFonts w:ascii="Arial Black" w:hAnsi="Arial Black"/>
          <w:b/>
          <w:bCs/>
          <w:sz w:val="28"/>
          <w:szCs w:val="28"/>
        </w:rPr>
        <w:t>JUVENILE TERRORIST – CAN’T DEPORT, BECAME U.S. CITIZEN WHEN FATHER BECAME CITIZEN</w:t>
      </w:r>
    </w:p>
    <w:p w14:paraId="525C53BE"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Sept. 13, 2018, in </w:t>
      </w:r>
      <w:r w:rsidRPr="0036327D">
        <w:rPr>
          <w:rFonts w:ascii="Times New Roman" w:eastAsia="Times New Roman" w:hAnsi="Times New Roman"/>
          <w:sz w:val="24"/>
          <w:szCs w:val="24"/>
          <w:u w:val="single"/>
        </w:rPr>
        <w:t>Mohammed Khalid v. Jefferson Sessions, U.S. Attorney General</w:t>
      </w:r>
      <w:r w:rsidRPr="0036327D">
        <w:rPr>
          <w:rFonts w:ascii="Times New Roman" w:eastAsia="Times New Roman" w:hAnsi="Times New Roman"/>
          <w:sz w:val="24"/>
          <w:szCs w:val="24"/>
        </w:rPr>
        <w:t xml:space="preserve">, the U.S. Court of Appeals for Second Circuit [N.Y.], held (3 to 0): “We hold that the short, temporary physical separation caused by Khalid’s time in federal pretrial juvenile detention did not strip Khalid’s father of his ‘physical custody’ of Khalid as that term is used in 8 U.S.C. §1431(a), and that consequently, Khalid is a U.S. citizen. </w:t>
      </w:r>
      <w:hyperlink r:id="rId856" w:history="1">
        <w:r w:rsidRPr="0036327D">
          <w:rPr>
            <w:rStyle w:val="Hyperlink"/>
            <w:rFonts w:ascii="Times New Roman" w:hAnsi="Times New Roman"/>
            <w:sz w:val="24"/>
            <w:szCs w:val="24"/>
          </w:rPr>
          <w:t>https://ij.org/wp-content/uploads/2018/09/16-3480_complete_opn.pdf</w:t>
        </w:r>
      </w:hyperlink>
      <w:r w:rsidRPr="0036327D">
        <w:rPr>
          <w:rFonts w:ascii="Times New Roman" w:eastAsia="Times New Roman" w:hAnsi="Times New Roman"/>
          <w:sz w:val="24"/>
          <w:szCs w:val="24"/>
        </w:rPr>
        <w:t xml:space="preserve"> </w:t>
      </w:r>
    </w:p>
    <w:p w14:paraId="3B058AF2"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Citizenship is a great privilege.  Congress needs to consider revising the Immigration laws so that those convicted of terrorism are not automatically granted citizenship when their parent becomes a citizen. </w:t>
      </w:r>
    </w:p>
    <w:p w14:paraId="5EB04778"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See article, “</w:t>
      </w:r>
      <w:r w:rsidRPr="0036327D">
        <w:rPr>
          <w:rFonts w:ascii="Times New Roman" w:hAnsi="Times New Roman"/>
          <w:sz w:val="24"/>
          <w:szCs w:val="24"/>
        </w:rPr>
        <w:t xml:space="preserve">Mohammad Hassan Khalid given five years in jail for his part in jihadist plot,” Khalid, the youngest person at 15 to be prosecuted for terrorism in the US, found guilty of involvement in conspiracy by 'Jihad Jane' to kill Swedish artist.  Khalid, a Pakistani migrant living in Maryland, was 15 years old when he first began chatting on the internet with Colleen LaRose, the Philadelphia housewife who called herself “Jihad Jane”. LaRose, who is serving a 10-year prison sentence for her part in the conspiracy, drew him into a plan to kill the Swedish artist Lars Vilks, who had drawn the head of the prophet Muhammad on the body of a dog. </w:t>
      </w:r>
      <w:hyperlink r:id="rId857" w:history="1">
        <w:r w:rsidRPr="0036327D">
          <w:rPr>
            <w:rStyle w:val="Hyperlink"/>
            <w:rFonts w:ascii="Times New Roman" w:hAnsi="Times New Roman"/>
            <w:sz w:val="24"/>
            <w:szCs w:val="24"/>
          </w:rPr>
          <w:t>https://www.theguardian.com/world/2014/apr/17/mohammad-hassan-khalid-sentence-five-years-jail-jihad-jane-plot</w:t>
        </w:r>
      </w:hyperlink>
      <w:r w:rsidRPr="0036327D">
        <w:rPr>
          <w:rFonts w:ascii="Times New Roman" w:hAnsi="Times New Roman"/>
          <w:sz w:val="24"/>
          <w:szCs w:val="24"/>
        </w:rPr>
        <w:t xml:space="preserve"> </w:t>
      </w:r>
    </w:p>
    <w:bookmarkEnd w:id="165"/>
    <w:p w14:paraId="26F2E2C0" w14:textId="75AFD2C1" w:rsidR="00EF1133" w:rsidRPr="00EF1133" w:rsidRDefault="00EF1133" w:rsidP="00EF1133">
      <w:pPr>
        <w:rPr>
          <w:rFonts w:ascii="Arial Black" w:hAnsi="Arial Black"/>
          <w:color w:val="4A4A4A"/>
          <w:sz w:val="24"/>
          <w:szCs w:val="24"/>
          <w:lang w:val="en"/>
        </w:rPr>
      </w:pPr>
      <w:r w:rsidRPr="00EF1133">
        <w:rPr>
          <w:rFonts w:ascii="Arial Black" w:hAnsi="Arial Black"/>
          <w:color w:val="4A4A4A"/>
          <w:sz w:val="24"/>
          <w:szCs w:val="24"/>
          <w:lang w:val="en"/>
        </w:rPr>
        <w:t>3-</w:t>
      </w:r>
      <w:r w:rsidR="00A247E4">
        <w:rPr>
          <w:rFonts w:ascii="Arial Black" w:hAnsi="Arial Black"/>
          <w:color w:val="4A4A4A"/>
          <w:sz w:val="24"/>
          <w:szCs w:val="24"/>
          <w:lang w:val="en"/>
        </w:rPr>
        <w:t>7</w:t>
      </w:r>
    </w:p>
    <w:p w14:paraId="019BB327" w14:textId="69AE6033" w:rsidR="00F326E5" w:rsidRPr="004445C3" w:rsidRDefault="00F326E5" w:rsidP="00F326E5">
      <w:pPr>
        <w:pStyle w:val="NoSpacing"/>
        <w:rPr>
          <w:rFonts w:ascii="Arial Black" w:hAnsi="Arial Black"/>
          <w:b/>
          <w:sz w:val="28"/>
          <w:szCs w:val="28"/>
        </w:rPr>
      </w:pPr>
      <w:bookmarkStart w:id="166" w:name="_Hlk7341723"/>
      <w:r w:rsidRPr="004445C3">
        <w:rPr>
          <w:rFonts w:ascii="Arial Black" w:hAnsi="Arial Black"/>
          <w:b/>
          <w:sz w:val="28"/>
          <w:szCs w:val="28"/>
        </w:rPr>
        <w:t>U.S. S</w:t>
      </w:r>
      <w:r>
        <w:rPr>
          <w:rFonts w:ascii="Arial Black" w:hAnsi="Arial Black"/>
          <w:b/>
          <w:sz w:val="28"/>
          <w:szCs w:val="28"/>
        </w:rPr>
        <w:t xml:space="preserve">UPREME COURT: PRESIDENT TRUMP’S “TRAVEL BAN” ON 8 NATIONS LAWFUL </w:t>
      </w:r>
    </w:p>
    <w:p w14:paraId="4D348741" w14:textId="77777777" w:rsidR="00F326E5" w:rsidRPr="0036327D" w:rsidRDefault="00F326E5" w:rsidP="00F326E5">
      <w:pPr>
        <w:rPr>
          <w:rFonts w:ascii="Times New Roman" w:eastAsia="Times New Roman" w:hAnsi="Times New Roman"/>
          <w:b/>
          <w:sz w:val="24"/>
          <w:szCs w:val="24"/>
        </w:rPr>
      </w:pPr>
      <w:r w:rsidRPr="0036327D">
        <w:rPr>
          <w:rFonts w:ascii="Times New Roman" w:hAnsi="Times New Roman"/>
          <w:sz w:val="24"/>
          <w:szCs w:val="24"/>
        </w:rPr>
        <w:t xml:space="preserve">On June 26, 2018, in </w:t>
      </w:r>
      <w:r w:rsidRPr="0036327D">
        <w:rPr>
          <w:rFonts w:ascii="Times New Roman" w:hAnsi="Times New Roman"/>
          <w:sz w:val="24"/>
          <w:szCs w:val="24"/>
          <w:u w:val="single"/>
        </w:rPr>
        <w:t xml:space="preserve">Trump, President </w:t>
      </w:r>
      <w:proofErr w:type="gramStart"/>
      <w:r w:rsidRPr="0036327D">
        <w:rPr>
          <w:rFonts w:ascii="Times New Roman" w:hAnsi="Times New Roman"/>
          <w:sz w:val="24"/>
          <w:szCs w:val="24"/>
          <w:u w:val="single"/>
        </w:rPr>
        <w:t>Of</w:t>
      </w:r>
      <w:proofErr w:type="gramEnd"/>
      <w:r w:rsidRPr="0036327D">
        <w:rPr>
          <w:rFonts w:ascii="Times New Roman" w:hAnsi="Times New Roman"/>
          <w:sz w:val="24"/>
          <w:szCs w:val="24"/>
          <w:u w:val="single"/>
        </w:rPr>
        <w:t xml:space="preserve"> </w:t>
      </w:r>
      <w:proofErr w:type="gramStart"/>
      <w:r w:rsidRPr="0036327D">
        <w:rPr>
          <w:rFonts w:ascii="Times New Roman" w:hAnsi="Times New Roman"/>
          <w:sz w:val="24"/>
          <w:szCs w:val="24"/>
          <w:u w:val="single"/>
        </w:rPr>
        <w:t>The</w:t>
      </w:r>
      <w:proofErr w:type="gramEnd"/>
      <w:r w:rsidRPr="0036327D">
        <w:rPr>
          <w:rFonts w:ascii="Times New Roman" w:hAnsi="Times New Roman"/>
          <w:sz w:val="24"/>
          <w:szCs w:val="24"/>
          <w:u w:val="single"/>
        </w:rPr>
        <w:t xml:space="preserve"> United States v. Hawaii, et al</w:t>
      </w:r>
      <w:r w:rsidRPr="0036327D">
        <w:rPr>
          <w:rFonts w:ascii="Times New Roman" w:hAnsi="Times New Roman"/>
          <w:sz w:val="24"/>
          <w:szCs w:val="24"/>
        </w:rPr>
        <w:t xml:space="preserve">., the U.S. Supreme Court (5 to 4), in decision by Chief Justice Roberts, held that President has the authority under federal statutes to ban travel to USA of citizens from 8 countries with weak travel clearance processes: </w:t>
      </w:r>
      <w:r w:rsidRPr="0036327D">
        <w:rPr>
          <w:rFonts w:ascii="Times New Roman" w:eastAsia="Times New Roman" w:hAnsi="Times New Roman"/>
          <w:sz w:val="24"/>
          <w:szCs w:val="24"/>
        </w:rPr>
        <w:t>Chad, Iran, Iraq, Libya, North Korea, Syria, Venezuela, and Yemen.</w:t>
      </w:r>
    </w:p>
    <w:p w14:paraId="6CABAD81" w14:textId="1BDB3AFA" w:rsidR="00F326E5" w:rsidRPr="0036327D" w:rsidRDefault="00F326E5" w:rsidP="00F326E5">
      <w:pPr>
        <w:ind w:left="720"/>
        <w:rPr>
          <w:rFonts w:ascii="Times New Roman" w:eastAsia="Times New Roman" w:hAnsi="Times New Roman"/>
          <w:sz w:val="24"/>
          <w:szCs w:val="24"/>
          <w:u w:val="single"/>
        </w:rPr>
      </w:pPr>
      <w:r w:rsidRPr="0036327D">
        <w:rPr>
          <w:rFonts w:ascii="Times New Roman" w:eastAsia="Times New Roman" w:hAnsi="Times New Roman"/>
          <w:b/>
          <w:sz w:val="24"/>
          <w:szCs w:val="24"/>
        </w:rPr>
        <w:t>“</w:t>
      </w:r>
      <w:r w:rsidRPr="0036327D">
        <w:rPr>
          <w:rFonts w:ascii="Times New Roman" w:eastAsia="Times New Roman" w:hAnsi="Times New Roman"/>
          <w:sz w:val="24"/>
          <w:szCs w:val="24"/>
        </w:rPr>
        <w:t xml:space="preserve">By its plain language, §1182(f) grants the President broad discretion to suspend the entry of aliens into the United States. The President lawfully exercised that discretion based on his findings—following a worldwide, multi-agency review—that entry of the covered aliens would be detrimental to the national interest. And plaintiffs’ attempts to identify a conflict with other provisions in the INA, and their appeal to the statute’s purposes and legislative history, fail to overcome the clear statutory </w:t>
      </w:r>
      <w:proofErr w:type="gramStart"/>
      <w:r w:rsidRPr="0036327D">
        <w:rPr>
          <w:rFonts w:ascii="Times New Roman" w:eastAsia="Times New Roman" w:hAnsi="Times New Roman"/>
          <w:sz w:val="24"/>
          <w:szCs w:val="24"/>
        </w:rPr>
        <w:t>language.”</w:t>
      </w:r>
      <w:proofErr w:type="gramEnd"/>
      <w:r w:rsidR="009C4A80">
        <w:rPr>
          <w:rFonts w:ascii="Times New Roman" w:eastAsia="Times New Roman" w:hAnsi="Times New Roman"/>
          <w:sz w:val="24"/>
          <w:szCs w:val="24"/>
        </w:rPr>
        <w:t xml:space="preserve"> </w:t>
      </w:r>
      <w:hyperlink r:id="rId858" w:history="1">
        <w:r w:rsidRPr="0036327D">
          <w:rPr>
            <w:rStyle w:val="Hyperlink"/>
            <w:rFonts w:ascii="Times New Roman" w:hAnsi="Times New Roman"/>
            <w:sz w:val="24"/>
            <w:szCs w:val="24"/>
          </w:rPr>
          <w:t>https://www.supremecourt.gov/opinions/17pdf/17-965_h315.pdf</w:t>
        </w:r>
      </w:hyperlink>
      <w:r w:rsidRPr="0036327D">
        <w:rPr>
          <w:rFonts w:ascii="Times New Roman" w:eastAsia="Times New Roman" w:hAnsi="Times New Roman"/>
          <w:sz w:val="24"/>
          <w:szCs w:val="24"/>
          <w:u w:val="single"/>
        </w:rPr>
        <w:t xml:space="preserve"> </w:t>
      </w:r>
    </w:p>
    <w:p w14:paraId="112C2E5E"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Legal Lessons Learned:  The Congress has granted President great powers to protect our national security.</w:t>
      </w:r>
    </w:p>
    <w:bookmarkEnd w:id="166"/>
    <w:p w14:paraId="0AD9C211" w14:textId="11FA162C" w:rsidR="007A61C9" w:rsidRDefault="007A61C9" w:rsidP="00F326E5">
      <w:pPr>
        <w:rPr>
          <w:rFonts w:ascii="Arial Black" w:hAnsi="Arial Black"/>
          <w:color w:val="4A4A4A"/>
          <w:sz w:val="24"/>
          <w:szCs w:val="24"/>
          <w:lang w:val="en"/>
        </w:rPr>
      </w:pPr>
      <w:r>
        <w:rPr>
          <w:rFonts w:ascii="Arial Black" w:hAnsi="Arial Black"/>
          <w:color w:val="4A4A4A"/>
          <w:sz w:val="24"/>
          <w:szCs w:val="24"/>
          <w:lang w:val="en"/>
        </w:rPr>
        <w:t>3-6</w:t>
      </w:r>
    </w:p>
    <w:p w14:paraId="68C80CA1" w14:textId="58FC1CFB" w:rsidR="007A61C9" w:rsidRPr="007A61C9" w:rsidRDefault="007A61C9" w:rsidP="007A61C9">
      <w:pPr>
        <w:pStyle w:val="NoSpacing"/>
        <w:rPr>
          <w:rFonts w:ascii="Arial Black" w:hAnsi="Arial Black"/>
          <w:sz w:val="28"/>
          <w:szCs w:val="28"/>
        </w:rPr>
      </w:pPr>
      <w:r w:rsidRPr="007A61C9">
        <w:rPr>
          <w:rFonts w:ascii="Arial Black" w:hAnsi="Arial Black"/>
          <w:sz w:val="28"/>
          <w:szCs w:val="28"/>
        </w:rPr>
        <w:t xml:space="preserve">U.S. SUPREME COURT </w:t>
      </w:r>
      <w:r>
        <w:rPr>
          <w:rFonts w:ascii="Arial Black" w:hAnsi="Arial Black"/>
          <w:sz w:val="28"/>
          <w:szCs w:val="28"/>
        </w:rPr>
        <w:t>–</w:t>
      </w:r>
      <w:r w:rsidRPr="007A61C9">
        <w:rPr>
          <w:rFonts w:ascii="Arial Black" w:hAnsi="Arial Black"/>
          <w:sz w:val="28"/>
          <w:szCs w:val="28"/>
        </w:rPr>
        <w:t xml:space="preserve"> </w:t>
      </w:r>
      <w:r>
        <w:rPr>
          <w:rFonts w:ascii="Arial Black" w:hAnsi="Arial Black"/>
          <w:sz w:val="28"/>
          <w:szCs w:val="28"/>
        </w:rPr>
        <w:t xml:space="preserve">TO </w:t>
      </w:r>
      <w:r w:rsidR="00E63D2F">
        <w:rPr>
          <w:rFonts w:ascii="Arial Black" w:hAnsi="Arial Black"/>
          <w:sz w:val="28"/>
          <w:szCs w:val="28"/>
        </w:rPr>
        <w:t>OBTAIN CELL PHONE DATA ON SUSPECT, NEED “PROBABLE CAUSE” – EXCEPTION FOR EMERGENCIES</w:t>
      </w:r>
    </w:p>
    <w:p w14:paraId="3613110F" w14:textId="77777777" w:rsidR="00E63D2F" w:rsidRDefault="00E63D2F" w:rsidP="007A61C9">
      <w:pPr>
        <w:pStyle w:val="NoSpacing"/>
        <w:rPr>
          <w:rFonts w:ascii="Times New Roman" w:hAnsi="Times New Roman"/>
          <w:sz w:val="24"/>
          <w:szCs w:val="24"/>
        </w:rPr>
      </w:pPr>
    </w:p>
    <w:p w14:paraId="641226D1" w14:textId="6DD97E8B" w:rsidR="007A61C9" w:rsidRPr="00563EC5" w:rsidRDefault="00E63D2F" w:rsidP="007A61C9">
      <w:pPr>
        <w:pStyle w:val="NoSpacing"/>
        <w:rPr>
          <w:rFonts w:ascii="Times New Roman" w:hAnsi="Times New Roman"/>
          <w:sz w:val="24"/>
          <w:szCs w:val="24"/>
        </w:rPr>
      </w:pPr>
      <w:r>
        <w:rPr>
          <w:rFonts w:ascii="Times New Roman" w:hAnsi="Times New Roman"/>
          <w:sz w:val="24"/>
          <w:szCs w:val="24"/>
        </w:rPr>
        <w:t xml:space="preserve">On June 22, 2018, in </w:t>
      </w:r>
      <w:r w:rsidRPr="00E63D2F">
        <w:rPr>
          <w:rFonts w:ascii="Times New Roman" w:hAnsi="Times New Roman"/>
          <w:sz w:val="24"/>
          <w:szCs w:val="24"/>
          <w:u w:val="single"/>
        </w:rPr>
        <w:t>Timothy Carpenter v. United States</w:t>
      </w:r>
      <w:r>
        <w:rPr>
          <w:rFonts w:ascii="Times New Roman" w:hAnsi="Times New Roman"/>
          <w:sz w:val="24"/>
          <w:szCs w:val="24"/>
        </w:rPr>
        <w:t xml:space="preserve">, the U.S. Supreme Court (5 to 4) held that </w:t>
      </w:r>
      <w:r w:rsidR="00563EC5">
        <w:rPr>
          <w:rFonts w:ascii="Times New Roman" w:hAnsi="Times New Roman"/>
          <w:sz w:val="24"/>
          <w:szCs w:val="24"/>
        </w:rPr>
        <w:t xml:space="preserve">a </w:t>
      </w:r>
      <w:r>
        <w:rPr>
          <w:rFonts w:ascii="Times New Roman" w:hAnsi="Times New Roman"/>
          <w:sz w:val="24"/>
          <w:szCs w:val="24"/>
        </w:rPr>
        <w:t>U.S. Magistrate improperly issued a</w:t>
      </w:r>
      <w:r w:rsidR="00563EC5">
        <w:rPr>
          <w:rFonts w:ascii="Times New Roman" w:hAnsi="Times New Roman"/>
          <w:sz w:val="24"/>
          <w:szCs w:val="24"/>
        </w:rPr>
        <w:t xml:space="preserve">n order to two cell phone companies under the </w:t>
      </w:r>
      <w:r w:rsidR="00563EC5" w:rsidRPr="007A61C9">
        <w:rPr>
          <w:rFonts w:ascii="Times New Roman" w:hAnsi="Times New Roman"/>
          <w:sz w:val="24"/>
          <w:szCs w:val="24"/>
        </w:rPr>
        <w:t>Stored Communications Act</w:t>
      </w:r>
      <w:r w:rsidR="00563EC5">
        <w:rPr>
          <w:rFonts w:ascii="Times New Roman" w:hAnsi="Times New Roman"/>
          <w:sz w:val="24"/>
          <w:szCs w:val="24"/>
        </w:rPr>
        <w:t>;</w:t>
      </w:r>
      <w:r>
        <w:rPr>
          <w:rFonts w:ascii="Times New Roman" w:hAnsi="Times New Roman"/>
          <w:sz w:val="24"/>
          <w:szCs w:val="24"/>
        </w:rPr>
        <w:t xml:space="preserve"> </w:t>
      </w:r>
      <w:r w:rsidR="00563EC5">
        <w:rPr>
          <w:rFonts w:ascii="Times New Roman" w:hAnsi="Times New Roman"/>
          <w:sz w:val="24"/>
          <w:szCs w:val="24"/>
        </w:rPr>
        <w:t xml:space="preserve">the FBI was investigating a series of armed robberies in Michigan and </w:t>
      </w:r>
      <w:proofErr w:type="gramStart"/>
      <w:r w:rsidR="00563EC5">
        <w:rPr>
          <w:rFonts w:ascii="Times New Roman" w:hAnsi="Times New Roman"/>
          <w:sz w:val="24"/>
          <w:szCs w:val="24"/>
        </w:rPr>
        <w:t>Ohio, and</w:t>
      </w:r>
      <w:proofErr w:type="gramEnd"/>
      <w:r w:rsidR="00563EC5">
        <w:rPr>
          <w:rFonts w:ascii="Times New Roman" w:hAnsi="Times New Roman"/>
          <w:sz w:val="24"/>
          <w:szCs w:val="24"/>
        </w:rPr>
        <w:t xml:space="preserve"> </w:t>
      </w:r>
      <w:r w:rsidR="00EC7466">
        <w:rPr>
          <w:rFonts w:ascii="Times New Roman" w:hAnsi="Times New Roman"/>
          <w:sz w:val="24"/>
          <w:szCs w:val="24"/>
        </w:rPr>
        <w:t>obtained 127 days of</w:t>
      </w:r>
      <w:r w:rsidR="00563EC5">
        <w:rPr>
          <w:rFonts w:ascii="Times New Roman" w:hAnsi="Times New Roman"/>
          <w:sz w:val="24"/>
          <w:szCs w:val="24"/>
        </w:rPr>
        <w:t xml:space="preserve"> cell-site location information (C</w:t>
      </w:r>
      <w:r w:rsidR="00EC7466">
        <w:rPr>
          <w:rFonts w:ascii="Times New Roman" w:hAnsi="Times New Roman"/>
          <w:sz w:val="24"/>
          <w:szCs w:val="24"/>
        </w:rPr>
        <w:t xml:space="preserve">SLI) </w:t>
      </w:r>
      <w:r w:rsidR="00563EC5">
        <w:rPr>
          <w:rFonts w:ascii="Times New Roman" w:hAnsi="Times New Roman"/>
          <w:sz w:val="24"/>
          <w:szCs w:val="24"/>
        </w:rPr>
        <w:t xml:space="preserve">on the lead suspect.  </w:t>
      </w:r>
      <w:r w:rsidR="00EC7466">
        <w:rPr>
          <w:rFonts w:ascii="Times New Roman" w:hAnsi="Times New Roman"/>
          <w:sz w:val="24"/>
          <w:szCs w:val="24"/>
        </w:rPr>
        <w:t xml:space="preserve">Court majority held that the FBI agents should have sought a search warrant, which </w:t>
      </w:r>
      <w:proofErr w:type="gramStart"/>
      <w:r w:rsidR="00EC7466">
        <w:rPr>
          <w:rFonts w:ascii="Times New Roman" w:hAnsi="Times New Roman"/>
          <w:sz w:val="24"/>
          <w:szCs w:val="24"/>
        </w:rPr>
        <w:t>have required</w:t>
      </w:r>
      <w:proofErr w:type="gramEnd"/>
      <w:r w:rsidR="00EC7466">
        <w:rPr>
          <w:rFonts w:ascii="Times New Roman" w:hAnsi="Times New Roman"/>
          <w:sz w:val="24"/>
          <w:szCs w:val="24"/>
        </w:rPr>
        <w:t xml:space="preserve"> an affidavit showing probable cause. “</w:t>
      </w:r>
      <w:r w:rsidR="00EC7466" w:rsidRPr="00EC7466">
        <w:rPr>
          <w:rFonts w:ascii="Times New Roman" w:hAnsi="Times New Roman"/>
          <w:sz w:val="24"/>
          <w:szCs w:val="24"/>
        </w:rPr>
        <w:t>Having found that the acquisition of Carpenter’s CSLI</w:t>
      </w:r>
      <w:r w:rsidR="00EC7466">
        <w:rPr>
          <w:rFonts w:ascii="Times New Roman" w:hAnsi="Times New Roman"/>
          <w:sz w:val="24"/>
          <w:szCs w:val="24"/>
        </w:rPr>
        <w:t xml:space="preserve"> </w:t>
      </w:r>
      <w:r w:rsidR="00EC7466" w:rsidRPr="00EC7466">
        <w:rPr>
          <w:rFonts w:ascii="Times New Roman" w:hAnsi="Times New Roman"/>
          <w:sz w:val="24"/>
          <w:szCs w:val="24"/>
        </w:rPr>
        <w:t>was a search, we also conclude that the Government must generally obtain a warrant supported by probable cause before acquiring such records.</w:t>
      </w:r>
      <w:r w:rsidR="00EC7466">
        <w:rPr>
          <w:rFonts w:ascii="Times New Roman" w:hAnsi="Times New Roman"/>
          <w:sz w:val="24"/>
          <w:szCs w:val="24"/>
        </w:rPr>
        <w:t xml:space="preserve">” </w:t>
      </w:r>
      <w:r w:rsidR="00563EC5" w:rsidRPr="00563EC5">
        <w:rPr>
          <w:rFonts w:ascii="Times New Roman" w:hAnsi="Times New Roman"/>
          <w:sz w:val="24"/>
          <w:szCs w:val="24"/>
        </w:rPr>
        <w:t>Carpenter was convicted on all</w:t>
      </w:r>
      <w:r w:rsidR="00563EC5">
        <w:rPr>
          <w:rFonts w:ascii="Times New Roman" w:hAnsi="Times New Roman"/>
          <w:sz w:val="24"/>
          <w:szCs w:val="24"/>
        </w:rPr>
        <w:t xml:space="preserve"> </w:t>
      </w:r>
      <w:r w:rsidR="00563EC5" w:rsidRPr="00563EC5">
        <w:rPr>
          <w:rFonts w:ascii="Times New Roman" w:hAnsi="Times New Roman"/>
          <w:sz w:val="24"/>
          <w:szCs w:val="24"/>
        </w:rPr>
        <w:t xml:space="preserve">but one of the </w:t>
      </w:r>
      <w:proofErr w:type="gramStart"/>
      <w:r w:rsidR="00563EC5" w:rsidRPr="00563EC5">
        <w:rPr>
          <w:rFonts w:ascii="Times New Roman" w:hAnsi="Times New Roman"/>
          <w:sz w:val="24"/>
          <w:szCs w:val="24"/>
        </w:rPr>
        <w:t>firearm</w:t>
      </w:r>
      <w:proofErr w:type="gramEnd"/>
      <w:r w:rsidR="00563EC5" w:rsidRPr="00563EC5">
        <w:rPr>
          <w:rFonts w:ascii="Times New Roman" w:hAnsi="Times New Roman"/>
          <w:sz w:val="24"/>
          <w:szCs w:val="24"/>
        </w:rPr>
        <w:t xml:space="preserve"> counts and sentenced to more than 100 years in prison.</w:t>
      </w:r>
      <w:r w:rsidR="00563EC5">
        <w:rPr>
          <w:rFonts w:ascii="Times New Roman" w:hAnsi="Times New Roman"/>
          <w:sz w:val="24"/>
          <w:szCs w:val="24"/>
        </w:rPr>
        <w:t xml:space="preserve"> [Conviction reversed.]</w:t>
      </w:r>
    </w:p>
    <w:p w14:paraId="5D123938" w14:textId="1F29F6C8" w:rsidR="00E63D2F" w:rsidRDefault="00E63D2F" w:rsidP="007A61C9">
      <w:pPr>
        <w:pStyle w:val="NoSpacing"/>
        <w:rPr>
          <w:rFonts w:ascii="Times New Roman" w:hAnsi="Times New Roman"/>
          <w:sz w:val="24"/>
          <w:szCs w:val="24"/>
        </w:rPr>
      </w:pPr>
    </w:p>
    <w:p w14:paraId="27ED1D8A" w14:textId="77777777" w:rsidR="00E63D2F" w:rsidRDefault="00E63D2F" w:rsidP="007A61C9">
      <w:pPr>
        <w:pStyle w:val="NoSpacing"/>
        <w:rPr>
          <w:rFonts w:ascii="Times New Roman" w:hAnsi="Times New Roman"/>
          <w:sz w:val="24"/>
          <w:szCs w:val="24"/>
        </w:rPr>
      </w:pPr>
    </w:p>
    <w:p w14:paraId="3AEFB889" w14:textId="540EAD2A" w:rsidR="00563EC5" w:rsidRPr="00563EC5" w:rsidRDefault="00E63D2F" w:rsidP="00E63D2F">
      <w:pPr>
        <w:pStyle w:val="NoSpacing"/>
        <w:ind w:left="720"/>
        <w:rPr>
          <w:rFonts w:ascii="Times New Roman" w:hAnsi="Times New Roman"/>
          <w:sz w:val="24"/>
          <w:szCs w:val="24"/>
        </w:rPr>
      </w:pPr>
      <w:r>
        <w:rPr>
          <w:rFonts w:ascii="Times New Roman" w:hAnsi="Times New Roman"/>
          <w:sz w:val="24"/>
          <w:szCs w:val="24"/>
        </w:rPr>
        <w:t>“</w:t>
      </w:r>
      <w:r w:rsidR="007A61C9" w:rsidRPr="007A61C9">
        <w:rPr>
          <w:rFonts w:ascii="Times New Roman" w:hAnsi="Times New Roman"/>
          <w:sz w:val="24"/>
          <w:szCs w:val="24"/>
        </w:rPr>
        <w:t>In 2011, police officers arrested four men suspected of</w:t>
      </w:r>
      <w:r>
        <w:rPr>
          <w:rFonts w:ascii="Times New Roman" w:hAnsi="Times New Roman"/>
          <w:sz w:val="24"/>
          <w:szCs w:val="24"/>
        </w:rPr>
        <w:t xml:space="preserve"> </w:t>
      </w:r>
      <w:r w:rsidR="007A61C9" w:rsidRPr="007A61C9">
        <w:rPr>
          <w:rFonts w:ascii="Times New Roman" w:hAnsi="Times New Roman"/>
          <w:sz w:val="24"/>
          <w:szCs w:val="24"/>
        </w:rPr>
        <w:t>robbing a series of Radio Shack and (ironically enough) T-Mobile stores in Detroit. One of the men confessed that, over the previous four months, the group (along with a rotating cast of getaway drivers and lookouts) had robbed</w:t>
      </w:r>
      <w:r>
        <w:rPr>
          <w:rFonts w:ascii="Times New Roman" w:hAnsi="Times New Roman"/>
          <w:sz w:val="24"/>
          <w:szCs w:val="24"/>
        </w:rPr>
        <w:t xml:space="preserve"> </w:t>
      </w:r>
      <w:r w:rsidR="007A61C9" w:rsidRPr="007A61C9">
        <w:rPr>
          <w:rFonts w:ascii="Times New Roman" w:hAnsi="Times New Roman"/>
          <w:sz w:val="24"/>
          <w:szCs w:val="24"/>
        </w:rPr>
        <w:t>nine different stores in Michigan and Ohio. The suspect</w:t>
      </w:r>
      <w:r>
        <w:rPr>
          <w:rFonts w:ascii="Times New Roman" w:hAnsi="Times New Roman"/>
          <w:sz w:val="24"/>
          <w:szCs w:val="24"/>
        </w:rPr>
        <w:t xml:space="preserve"> </w:t>
      </w:r>
      <w:r w:rsidR="007A61C9" w:rsidRPr="007A61C9">
        <w:rPr>
          <w:rFonts w:ascii="Times New Roman" w:hAnsi="Times New Roman"/>
          <w:sz w:val="24"/>
          <w:szCs w:val="24"/>
        </w:rPr>
        <w:t>identified 15 accomplices who had participated in the heists and gave the FBI some of their cell phone numbers;</w:t>
      </w:r>
      <w:r>
        <w:rPr>
          <w:rFonts w:ascii="Times New Roman" w:hAnsi="Times New Roman"/>
          <w:sz w:val="24"/>
          <w:szCs w:val="24"/>
        </w:rPr>
        <w:t xml:space="preserve"> </w:t>
      </w:r>
      <w:r w:rsidR="007A61C9" w:rsidRPr="007A61C9">
        <w:rPr>
          <w:rFonts w:ascii="Times New Roman" w:hAnsi="Times New Roman"/>
          <w:sz w:val="24"/>
          <w:szCs w:val="24"/>
        </w:rPr>
        <w:t>the FBI then reviewed his call records to identify additional numbers that he had called around the time of the robberies. *** Federal Magistrate Judges issued two</w:t>
      </w:r>
      <w:r>
        <w:rPr>
          <w:rFonts w:ascii="Times New Roman" w:hAnsi="Times New Roman"/>
          <w:sz w:val="24"/>
          <w:szCs w:val="24"/>
        </w:rPr>
        <w:t xml:space="preserve"> </w:t>
      </w:r>
      <w:r w:rsidR="007A61C9" w:rsidRPr="007A61C9">
        <w:rPr>
          <w:rFonts w:ascii="Times New Roman" w:hAnsi="Times New Roman"/>
          <w:sz w:val="24"/>
          <w:szCs w:val="24"/>
        </w:rPr>
        <w:t>orders directing Carpenter’s wireless carriers—Metro</w:t>
      </w:r>
      <w:r w:rsidR="00563EC5">
        <w:rPr>
          <w:rFonts w:ascii="Times New Roman" w:hAnsi="Times New Roman"/>
          <w:sz w:val="24"/>
          <w:szCs w:val="24"/>
        </w:rPr>
        <w:t xml:space="preserve"> </w:t>
      </w:r>
      <w:r w:rsidR="007A61C9" w:rsidRPr="007A61C9">
        <w:rPr>
          <w:rFonts w:ascii="Times New Roman" w:hAnsi="Times New Roman"/>
          <w:sz w:val="24"/>
          <w:szCs w:val="24"/>
        </w:rPr>
        <w:t>PCS</w:t>
      </w:r>
      <w:r w:rsidR="00563EC5">
        <w:rPr>
          <w:rFonts w:ascii="Times New Roman" w:hAnsi="Times New Roman"/>
          <w:sz w:val="24"/>
          <w:szCs w:val="24"/>
        </w:rPr>
        <w:t xml:space="preserve"> </w:t>
      </w:r>
      <w:r w:rsidR="007A61C9" w:rsidRPr="007A61C9">
        <w:rPr>
          <w:rFonts w:ascii="Times New Roman" w:hAnsi="Times New Roman"/>
          <w:sz w:val="24"/>
          <w:szCs w:val="24"/>
        </w:rPr>
        <w:t xml:space="preserve">and Sprint—to disclose </w:t>
      </w:r>
      <w:r w:rsidR="00563EC5">
        <w:rPr>
          <w:rFonts w:ascii="Times New Roman" w:hAnsi="Times New Roman"/>
          <w:sz w:val="24"/>
          <w:szCs w:val="24"/>
        </w:rPr>
        <w:t>‘</w:t>
      </w:r>
      <w:r w:rsidR="007A61C9" w:rsidRPr="007A61C9">
        <w:rPr>
          <w:rFonts w:ascii="Times New Roman" w:hAnsi="Times New Roman"/>
          <w:sz w:val="24"/>
          <w:szCs w:val="24"/>
        </w:rPr>
        <w:t>cell/site sector [information] for [Carpenter’s] telephone[ ] at call origination and at call</w:t>
      </w:r>
      <w:r w:rsidR="00563EC5">
        <w:rPr>
          <w:rFonts w:ascii="Times New Roman" w:hAnsi="Times New Roman"/>
          <w:sz w:val="24"/>
          <w:szCs w:val="24"/>
        </w:rPr>
        <w:t xml:space="preserve"> </w:t>
      </w:r>
      <w:r w:rsidR="007A61C9" w:rsidRPr="007A61C9">
        <w:rPr>
          <w:rFonts w:ascii="Times New Roman" w:hAnsi="Times New Roman"/>
          <w:sz w:val="24"/>
          <w:szCs w:val="24"/>
        </w:rPr>
        <w:t>termination for incoming and outgoing calls</w:t>
      </w:r>
      <w:r w:rsidR="00563EC5">
        <w:rPr>
          <w:rFonts w:ascii="Times New Roman" w:hAnsi="Times New Roman"/>
          <w:sz w:val="24"/>
          <w:szCs w:val="24"/>
        </w:rPr>
        <w:t>’</w:t>
      </w:r>
      <w:r w:rsidR="007A61C9" w:rsidRPr="007A61C9">
        <w:rPr>
          <w:rFonts w:ascii="Times New Roman" w:hAnsi="Times New Roman"/>
          <w:sz w:val="24"/>
          <w:szCs w:val="24"/>
        </w:rPr>
        <w:t xml:space="preserve"> during the</w:t>
      </w:r>
      <w:r w:rsidR="00563EC5">
        <w:rPr>
          <w:rFonts w:ascii="Times New Roman" w:hAnsi="Times New Roman"/>
          <w:sz w:val="24"/>
          <w:szCs w:val="24"/>
        </w:rPr>
        <w:t xml:space="preserve"> </w:t>
      </w:r>
      <w:r w:rsidR="007A61C9" w:rsidRPr="007A61C9">
        <w:rPr>
          <w:rFonts w:ascii="Times New Roman" w:hAnsi="Times New Roman"/>
          <w:sz w:val="24"/>
          <w:szCs w:val="24"/>
        </w:rPr>
        <w:t>four-month period when the string of robberies occurred</w:t>
      </w:r>
      <w:r w:rsidR="00563EC5">
        <w:rPr>
          <w:rFonts w:ascii="Times New Roman" w:hAnsi="Times New Roman"/>
          <w:sz w:val="24"/>
          <w:szCs w:val="24"/>
        </w:rPr>
        <w:t xml:space="preserve">…. </w:t>
      </w:r>
      <w:r w:rsidR="007A61C9" w:rsidRPr="007A61C9">
        <w:rPr>
          <w:rFonts w:ascii="Times New Roman" w:hAnsi="Times New Roman"/>
          <w:sz w:val="24"/>
          <w:szCs w:val="24"/>
        </w:rPr>
        <w:t>The first order sought 152days of cell-site records from MetroPCS, which produced</w:t>
      </w:r>
      <w:r w:rsidR="00563EC5">
        <w:rPr>
          <w:rFonts w:ascii="Times New Roman" w:hAnsi="Times New Roman"/>
          <w:sz w:val="24"/>
          <w:szCs w:val="24"/>
        </w:rPr>
        <w:t xml:space="preserve"> </w:t>
      </w:r>
      <w:r w:rsidR="007A61C9" w:rsidRPr="007A61C9">
        <w:rPr>
          <w:rFonts w:ascii="Times New Roman" w:hAnsi="Times New Roman"/>
          <w:sz w:val="24"/>
          <w:szCs w:val="24"/>
        </w:rPr>
        <w:t>records spanning 127 days. The second order requested seven days of CSLI from Sprint, which produced two days</w:t>
      </w:r>
      <w:r w:rsidR="00563EC5">
        <w:rPr>
          <w:rFonts w:ascii="Times New Roman" w:hAnsi="Times New Roman"/>
          <w:sz w:val="24"/>
          <w:szCs w:val="24"/>
        </w:rPr>
        <w:t xml:space="preserve"> </w:t>
      </w:r>
      <w:r w:rsidR="007A61C9" w:rsidRPr="007A61C9">
        <w:rPr>
          <w:rFonts w:ascii="Times New Roman" w:hAnsi="Times New Roman"/>
          <w:sz w:val="24"/>
          <w:szCs w:val="24"/>
        </w:rPr>
        <w:t xml:space="preserve">of records covering the period when Carpenter’s phone </w:t>
      </w:r>
      <w:proofErr w:type="gramStart"/>
      <w:r w:rsidR="007A61C9" w:rsidRPr="007A61C9">
        <w:rPr>
          <w:rFonts w:ascii="Times New Roman" w:hAnsi="Times New Roman"/>
          <w:sz w:val="24"/>
          <w:szCs w:val="24"/>
        </w:rPr>
        <w:t xml:space="preserve">was </w:t>
      </w:r>
      <w:r w:rsidR="00563EC5">
        <w:rPr>
          <w:rFonts w:ascii="Times New Roman" w:hAnsi="Times New Roman"/>
          <w:sz w:val="24"/>
          <w:szCs w:val="24"/>
        </w:rPr>
        <w:t>‘</w:t>
      </w:r>
      <w:r w:rsidR="007A61C9" w:rsidRPr="007A61C9">
        <w:rPr>
          <w:rFonts w:ascii="Times New Roman" w:hAnsi="Times New Roman"/>
          <w:sz w:val="24"/>
          <w:szCs w:val="24"/>
        </w:rPr>
        <w:t>roaming</w:t>
      </w:r>
      <w:proofErr w:type="gramEnd"/>
      <w:r w:rsidR="00563EC5">
        <w:rPr>
          <w:rFonts w:ascii="Times New Roman" w:hAnsi="Times New Roman"/>
          <w:sz w:val="24"/>
          <w:szCs w:val="24"/>
        </w:rPr>
        <w:t>’</w:t>
      </w:r>
      <w:r w:rsidR="007A61C9" w:rsidRPr="007A61C9">
        <w:rPr>
          <w:rFonts w:ascii="Times New Roman" w:hAnsi="Times New Roman"/>
          <w:sz w:val="24"/>
          <w:szCs w:val="24"/>
        </w:rPr>
        <w:t xml:space="preserve"> in northeastern Ohio. Altogether the Government obtained 12,898 location points cataloging Carpenter’s </w:t>
      </w:r>
      <w:proofErr w:type="gramStart"/>
      <w:r w:rsidR="007A61C9" w:rsidRPr="007A61C9">
        <w:rPr>
          <w:rFonts w:ascii="Times New Roman" w:hAnsi="Times New Roman"/>
          <w:sz w:val="24"/>
          <w:szCs w:val="24"/>
        </w:rPr>
        <w:t>movements—</w:t>
      </w:r>
      <w:proofErr w:type="gramEnd"/>
      <w:r w:rsidR="007A61C9" w:rsidRPr="007A61C9">
        <w:rPr>
          <w:rFonts w:ascii="Times New Roman" w:hAnsi="Times New Roman"/>
          <w:sz w:val="24"/>
          <w:szCs w:val="24"/>
        </w:rPr>
        <w:t>an average of 101 data points per day. *** The Government acquired the cell-site records pursuant</w:t>
      </w:r>
      <w:r w:rsidR="00563EC5">
        <w:rPr>
          <w:rFonts w:ascii="Times New Roman" w:hAnsi="Times New Roman"/>
          <w:sz w:val="24"/>
          <w:szCs w:val="24"/>
        </w:rPr>
        <w:t xml:space="preserve"> </w:t>
      </w:r>
      <w:r w:rsidR="007A61C9" w:rsidRPr="007A61C9">
        <w:rPr>
          <w:rFonts w:ascii="Times New Roman" w:hAnsi="Times New Roman"/>
          <w:sz w:val="24"/>
          <w:szCs w:val="24"/>
        </w:rPr>
        <w:t xml:space="preserve">to a court order issued under the Stored Communications Act, which required the Government to show </w:t>
      </w:r>
      <w:r w:rsidR="00563EC5">
        <w:rPr>
          <w:rFonts w:ascii="Times New Roman" w:hAnsi="Times New Roman"/>
          <w:sz w:val="24"/>
          <w:szCs w:val="24"/>
        </w:rPr>
        <w:t>‘</w:t>
      </w:r>
      <w:r w:rsidR="007A61C9" w:rsidRPr="007A61C9">
        <w:rPr>
          <w:rFonts w:ascii="Times New Roman" w:hAnsi="Times New Roman"/>
          <w:sz w:val="24"/>
          <w:szCs w:val="24"/>
        </w:rPr>
        <w:t>reasonable grounds</w:t>
      </w:r>
      <w:r w:rsidR="00563EC5">
        <w:rPr>
          <w:rFonts w:ascii="Times New Roman" w:hAnsi="Times New Roman"/>
          <w:sz w:val="24"/>
          <w:szCs w:val="24"/>
        </w:rPr>
        <w:t>’</w:t>
      </w:r>
      <w:r w:rsidR="007A61C9" w:rsidRPr="007A61C9">
        <w:rPr>
          <w:rFonts w:ascii="Times New Roman" w:hAnsi="Times New Roman"/>
          <w:sz w:val="24"/>
          <w:szCs w:val="24"/>
        </w:rPr>
        <w:t xml:space="preserve"> for believing that the records were “relevant and material to an ongoing investigation.” 18 U. S. C. §2703(d). That showing falls well short of the probable cause required for a warrant.</w:t>
      </w:r>
      <w:r w:rsidR="00563EC5">
        <w:rPr>
          <w:rFonts w:ascii="Times New Roman" w:hAnsi="Times New Roman"/>
          <w:sz w:val="24"/>
          <w:szCs w:val="24"/>
        </w:rPr>
        <w:t xml:space="preserve"> *** </w:t>
      </w:r>
      <w:r w:rsidR="00563EC5" w:rsidRPr="00563EC5">
        <w:rPr>
          <w:rFonts w:ascii="Times New Roman" w:hAnsi="Times New Roman"/>
          <w:sz w:val="24"/>
          <w:szCs w:val="24"/>
        </w:rPr>
        <w:t>Consequently, an order issued under Section 2703(d) of the Act is not a</w:t>
      </w:r>
      <w:r w:rsidR="00563EC5">
        <w:rPr>
          <w:rFonts w:ascii="Times New Roman" w:hAnsi="Times New Roman"/>
          <w:sz w:val="24"/>
          <w:szCs w:val="24"/>
        </w:rPr>
        <w:t xml:space="preserve"> </w:t>
      </w:r>
      <w:r w:rsidR="00563EC5" w:rsidRPr="00563EC5">
        <w:rPr>
          <w:rFonts w:ascii="Times New Roman" w:hAnsi="Times New Roman"/>
          <w:sz w:val="24"/>
          <w:szCs w:val="24"/>
        </w:rPr>
        <w:t>permissible mechanism for accessing historical cell-site</w:t>
      </w:r>
      <w:r w:rsidR="00563EC5">
        <w:rPr>
          <w:rFonts w:ascii="Times New Roman" w:hAnsi="Times New Roman"/>
          <w:sz w:val="24"/>
          <w:szCs w:val="24"/>
        </w:rPr>
        <w:t xml:space="preserve"> </w:t>
      </w:r>
      <w:r w:rsidR="00563EC5" w:rsidRPr="00563EC5">
        <w:rPr>
          <w:rFonts w:ascii="Times New Roman" w:hAnsi="Times New Roman"/>
          <w:sz w:val="24"/>
          <w:szCs w:val="24"/>
        </w:rPr>
        <w:t>records. Before compelling a wireless carrier to turn over</w:t>
      </w:r>
      <w:r w:rsidR="00563EC5">
        <w:rPr>
          <w:rFonts w:ascii="Times New Roman" w:hAnsi="Times New Roman"/>
          <w:sz w:val="24"/>
          <w:szCs w:val="24"/>
        </w:rPr>
        <w:t xml:space="preserve"> </w:t>
      </w:r>
      <w:r w:rsidR="00563EC5" w:rsidRPr="00563EC5">
        <w:rPr>
          <w:rFonts w:ascii="Times New Roman" w:hAnsi="Times New Roman"/>
          <w:sz w:val="24"/>
          <w:szCs w:val="24"/>
        </w:rPr>
        <w:t>a subscriber’s CSLI, the Government’s obligation is a familiar one—get a warrant.</w:t>
      </w:r>
      <w:r w:rsidR="00563EC5">
        <w:rPr>
          <w:rFonts w:ascii="Times New Roman" w:hAnsi="Times New Roman"/>
          <w:sz w:val="24"/>
          <w:szCs w:val="24"/>
        </w:rPr>
        <w:t>”</w:t>
      </w:r>
    </w:p>
    <w:p w14:paraId="0AC10B06" w14:textId="2BBE3478" w:rsidR="007A61C9" w:rsidRPr="007A61C9" w:rsidRDefault="00563EC5" w:rsidP="00E63D2F">
      <w:pPr>
        <w:pStyle w:val="NoSpacing"/>
        <w:ind w:left="720"/>
        <w:rPr>
          <w:rFonts w:ascii="Times New Roman" w:hAnsi="Times New Roman"/>
          <w:sz w:val="24"/>
          <w:szCs w:val="24"/>
        </w:rPr>
      </w:pPr>
      <w:r>
        <w:rPr>
          <w:rFonts w:ascii="Times New Roman" w:hAnsi="Times New Roman"/>
          <w:sz w:val="24"/>
          <w:szCs w:val="24"/>
        </w:rPr>
        <w:t xml:space="preserve"> </w:t>
      </w:r>
      <w:hyperlink r:id="rId859" w:history="1">
        <w:r w:rsidRPr="00CE69EB">
          <w:rPr>
            <w:rStyle w:val="Hyperlink"/>
            <w:rFonts w:ascii="Times New Roman" w:hAnsi="Times New Roman"/>
            <w:sz w:val="24"/>
            <w:szCs w:val="24"/>
          </w:rPr>
          <w:t>https://www.supremecourt.gov/opinions/17pdf/16-402_h315.pdf</w:t>
        </w:r>
      </w:hyperlink>
      <w:r>
        <w:rPr>
          <w:rFonts w:ascii="Times New Roman" w:hAnsi="Times New Roman"/>
          <w:sz w:val="24"/>
          <w:szCs w:val="24"/>
        </w:rPr>
        <w:t xml:space="preserve"> </w:t>
      </w:r>
    </w:p>
    <w:p w14:paraId="1E5B8DEC" w14:textId="3960500E" w:rsidR="007A61C9" w:rsidRPr="007A61C9" w:rsidRDefault="007A61C9" w:rsidP="007A61C9">
      <w:pPr>
        <w:pStyle w:val="NoSpacing"/>
        <w:rPr>
          <w:rFonts w:ascii="Times New Roman" w:hAnsi="Times New Roman"/>
          <w:sz w:val="24"/>
          <w:szCs w:val="24"/>
        </w:rPr>
      </w:pPr>
    </w:p>
    <w:p w14:paraId="62CB4E78" w14:textId="41AF97EA" w:rsidR="007A61C9" w:rsidRPr="00563EC5" w:rsidRDefault="00563EC5" w:rsidP="007A61C9">
      <w:pPr>
        <w:pStyle w:val="NoSpacing"/>
        <w:rPr>
          <w:rFonts w:ascii="Times New Roman" w:hAnsi="Times New Roman"/>
          <w:b/>
          <w:bCs/>
          <w:sz w:val="24"/>
          <w:szCs w:val="24"/>
        </w:rPr>
      </w:pPr>
      <w:r w:rsidRPr="00563EC5">
        <w:rPr>
          <w:rFonts w:ascii="Times New Roman" w:hAnsi="Times New Roman"/>
          <w:b/>
          <w:bCs/>
          <w:sz w:val="24"/>
          <w:szCs w:val="24"/>
        </w:rPr>
        <w:t>Legal Lessons Learned: The Court recognized an exception for emergencies</w:t>
      </w:r>
      <w:r w:rsidR="00EC7466">
        <w:rPr>
          <w:rFonts w:ascii="Times New Roman" w:hAnsi="Times New Roman"/>
          <w:b/>
          <w:bCs/>
          <w:sz w:val="24"/>
          <w:szCs w:val="24"/>
        </w:rPr>
        <w:t>; bomb threats</w:t>
      </w:r>
      <w:r w:rsidR="00A247E4">
        <w:rPr>
          <w:rFonts w:ascii="Times New Roman" w:hAnsi="Times New Roman"/>
          <w:b/>
          <w:bCs/>
          <w:sz w:val="24"/>
          <w:szCs w:val="24"/>
        </w:rPr>
        <w:t xml:space="preserve">; active shootings; child abductions. </w:t>
      </w:r>
      <w:r w:rsidRPr="00563EC5">
        <w:rPr>
          <w:rFonts w:ascii="Times New Roman" w:hAnsi="Times New Roman"/>
          <w:b/>
          <w:bCs/>
          <w:sz w:val="24"/>
          <w:szCs w:val="24"/>
        </w:rPr>
        <w:t>“</w:t>
      </w:r>
      <w:r w:rsidR="007A61C9" w:rsidRPr="00563EC5">
        <w:rPr>
          <w:rFonts w:ascii="Times New Roman" w:hAnsi="Times New Roman"/>
          <w:b/>
          <w:bCs/>
          <w:sz w:val="24"/>
          <w:szCs w:val="24"/>
        </w:rPr>
        <w:t>As a result, if law enforcement is confronted with an urgent situation, such fact-specific threats will likely justify the warrantless collection of CSLI. Lower courts, for instance, have approved warrantless searches related to bomb threats, active shootings, and child abductions. Our decision today does not call into doubt warrantless access to CSLI in such circumstances. While police must</w:t>
      </w:r>
      <w:r w:rsidRPr="00563EC5">
        <w:rPr>
          <w:rFonts w:ascii="Times New Roman" w:hAnsi="Times New Roman"/>
          <w:b/>
          <w:bCs/>
          <w:sz w:val="24"/>
          <w:szCs w:val="24"/>
        </w:rPr>
        <w:t xml:space="preserve"> </w:t>
      </w:r>
      <w:r w:rsidR="007A61C9" w:rsidRPr="00563EC5">
        <w:rPr>
          <w:rFonts w:ascii="Times New Roman" w:hAnsi="Times New Roman"/>
          <w:b/>
          <w:bCs/>
          <w:sz w:val="24"/>
          <w:szCs w:val="24"/>
        </w:rPr>
        <w:t>get a warrant when collecting CSLI to assist in the mine</w:t>
      </w:r>
      <w:r w:rsidRPr="00563EC5">
        <w:rPr>
          <w:rFonts w:ascii="Times New Roman" w:hAnsi="Times New Roman"/>
          <w:b/>
          <w:bCs/>
          <w:sz w:val="24"/>
          <w:szCs w:val="24"/>
        </w:rPr>
        <w:t>-</w:t>
      </w:r>
      <w:r w:rsidR="007A61C9" w:rsidRPr="00563EC5">
        <w:rPr>
          <w:rFonts w:ascii="Times New Roman" w:hAnsi="Times New Roman"/>
          <w:b/>
          <w:bCs/>
          <w:sz w:val="24"/>
          <w:szCs w:val="24"/>
        </w:rPr>
        <w:t>run criminal investigation, the rule we set forth does not</w:t>
      </w:r>
      <w:r w:rsidRPr="00563EC5">
        <w:rPr>
          <w:rFonts w:ascii="Times New Roman" w:hAnsi="Times New Roman"/>
          <w:b/>
          <w:bCs/>
          <w:sz w:val="24"/>
          <w:szCs w:val="24"/>
        </w:rPr>
        <w:t xml:space="preserve"> </w:t>
      </w:r>
      <w:r w:rsidR="007A61C9" w:rsidRPr="00563EC5">
        <w:rPr>
          <w:rFonts w:ascii="Times New Roman" w:hAnsi="Times New Roman"/>
          <w:b/>
          <w:bCs/>
          <w:sz w:val="24"/>
          <w:szCs w:val="24"/>
        </w:rPr>
        <w:t>limit their ability to respond to an ongoing emergency.</w:t>
      </w:r>
      <w:r w:rsidRPr="00563EC5">
        <w:rPr>
          <w:rFonts w:ascii="Times New Roman" w:hAnsi="Times New Roman"/>
          <w:b/>
          <w:bCs/>
          <w:sz w:val="24"/>
          <w:szCs w:val="24"/>
        </w:rPr>
        <w:t>”</w:t>
      </w:r>
    </w:p>
    <w:p w14:paraId="62CAEAA1" w14:textId="77777777" w:rsidR="00A247E4" w:rsidRDefault="00A247E4" w:rsidP="00A247E4">
      <w:pPr>
        <w:pStyle w:val="NoSpacing"/>
        <w:rPr>
          <w:rFonts w:ascii="Times New Roman" w:hAnsi="Times New Roman"/>
          <w:color w:val="4A4A4A"/>
          <w:sz w:val="24"/>
          <w:szCs w:val="24"/>
          <w:lang w:val="en"/>
        </w:rPr>
      </w:pPr>
    </w:p>
    <w:p w14:paraId="63844815" w14:textId="5C983E81" w:rsidR="00A247E4" w:rsidRPr="00A247E4" w:rsidRDefault="00A247E4" w:rsidP="00A247E4">
      <w:pPr>
        <w:pStyle w:val="NoSpacing"/>
        <w:ind w:left="720"/>
        <w:rPr>
          <w:rFonts w:ascii="Times New Roman" w:hAnsi="Times New Roman"/>
          <w:sz w:val="24"/>
          <w:szCs w:val="24"/>
        </w:rPr>
      </w:pPr>
      <w:r w:rsidRPr="00A247E4">
        <w:rPr>
          <w:rFonts w:ascii="Times New Roman" w:hAnsi="Times New Roman"/>
          <w:color w:val="4A4A4A"/>
          <w:sz w:val="24"/>
          <w:szCs w:val="24"/>
          <w:lang w:val="en"/>
        </w:rPr>
        <w:t xml:space="preserve">See article on this “landmark” case: </w:t>
      </w:r>
      <w:r>
        <w:rPr>
          <w:rFonts w:ascii="Times New Roman" w:hAnsi="Times New Roman"/>
          <w:color w:val="4A4A4A"/>
          <w:sz w:val="24"/>
          <w:szCs w:val="24"/>
          <w:lang w:val="en"/>
        </w:rPr>
        <w:t>“</w:t>
      </w:r>
      <w:r w:rsidRPr="00A247E4">
        <w:rPr>
          <w:rStyle w:val="balancedheadline"/>
          <w:rFonts w:ascii="Times New Roman" w:hAnsi="Times New Roman"/>
          <w:sz w:val="24"/>
          <w:szCs w:val="24"/>
        </w:rPr>
        <w:t>In Ruling on Cellphone Location Data, Supreme Court Makes Statement on Digital Privacy</w:t>
      </w:r>
      <w:r>
        <w:rPr>
          <w:rStyle w:val="balancedheadline"/>
          <w:rFonts w:ascii="Times New Roman" w:hAnsi="Times New Roman"/>
          <w:sz w:val="24"/>
          <w:szCs w:val="24"/>
        </w:rPr>
        <w:t>”;</w:t>
      </w:r>
      <w:r w:rsidRPr="00A247E4">
        <w:rPr>
          <w:rStyle w:val="balancedheadline"/>
          <w:rFonts w:ascii="Times New Roman" w:hAnsi="Times New Roman"/>
          <w:sz w:val="24"/>
          <w:szCs w:val="24"/>
        </w:rPr>
        <w:t xml:space="preserve"> </w:t>
      </w:r>
      <w:hyperlink r:id="rId860" w:history="1">
        <w:r w:rsidRPr="00A247E4">
          <w:rPr>
            <w:rStyle w:val="Hyperlink"/>
            <w:rFonts w:ascii="Times New Roman" w:hAnsi="Times New Roman"/>
            <w:sz w:val="24"/>
            <w:szCs w:val="24"/>
          </w:rPr>
          <w:t>https://www.nytimes.com/2018/06/22/us/politics/supreme-court-warrants-cell-phone-privacy.html</w:t>
        </w:r>
      </w:hyperlink>
      <w:r w:rsidRPr="00A247E4">
        <w:rPr>
          <w:rStyle w:val="balancedheadline"/>
          <w:rFonts w:ascii="Times New Roman" w:hAnsi="Times New Roman"/>
          <w:sz w:val="24"/>
          <w:szCs w:val="24"/>
        </w:rPr>
        <w:t xml:space="preserve"> </w:t>
      </w:r>
    </w:p>
    <w:p w14:paraId="10D2DDFF" w14:textId="64CE3D58" w:rsidR="007A61C9" w:rsidRPr="00A247E4" w:rsidRDefault="007A61C9" w:rsidP="00A247E4">
      <w:pPr>
        <w:ind w:left="720"/>
        <w:rPr>
          <w:rFonts w:ascii="SeeTimes New Roman" w:hAnsi="SeeTimes New Roman"/>
          <w:color w:val="4A4A4A"/>
          <w:sz w:val="24"/>
          <w:szCs w:val="24"/>
          <w:lang w:val="en"/>
        </w:rPr>
      </w:pPr>
    </w:p>
    <w:p w14:paraId="1FA30891" w14:textId="77777777" w:rsidR="007A61C9" w:rsidRDefault="007A61C9" w:rsidP="00F326E5">
      <w:pPr>
        <w:rPr>
          <w:rFonts w:ascii="Arial Black" w:hAnsi="Arial Black"/>
          <w:color w:val="4A4A4A"/>
          <w:sz w:val="24"/>
          <w:szCs w:val="24"/>
          <w:lang w:val="en"/>
        </w:rPr>
      </w:pPr>
    </w:p>
    <w:p w14:paraId="5C52CCA7" w14:textId="4AFE7A34" w:rsidR="00F326E5" w:rsidRPr="00573BE0" w:rsidRDefault="00EF1133" w:rsidP="00F326E5">
      <w:pPr>
        <w:rPr>
          <w:rFonts w:eastAsia="Times New Roman"/>
        </w:rPr>
      </w:pPr>
      <w:r w:rsidRPr="00EF1133">
        <w:rPr>
          <w:rFonts w:ascii="Arial Black" w:hAnsi="Arial Black"/>
          <w:color w:val="4A4A4A"/>
          <w:sz w:val="24"/>
          <w:szCs w:val="24"/>
          <w:lang w:val="en"/>
        </w:rPr>
        <w:t>3-</w:t>
      </w:r>
      <w:r>
        <w:rPr>
          <w:rFonts w:ascii="Arial Black" w:hAnsi="Arial Black"/>
          <w:color w:val="4A4A4A"/>
          <w:sz w:val="24"/>
          <w:szCs w:val="24"/>
          <w:lang w:val="en"/>
        </w:rPr>
        <w:t>5</w:t>
      </w:r>
    </w:p>
    <w:p w14:paraId="6F8214A2" w14:textId="61AD7644" w:rsidR="00F326E5" w:rsidRDefault="00F326E5" w:rsidP="00F326E5">
      <w:pPr>
        <w:pStyle w:val="NoSpacing"/>
        <w:rPr>
          <w:rFonts w:ascii="Arial Black" w:hAnsi="Arial Black"/>
          <w:b/>
          <w:sz w:val="28"/>
          <w:szCs w:val="28"/>
        </w:rPr>
      </w:pPr>
      <w:bookmarkStart w:id="167" w:name="_Hlk7341789"/>
      <w:r w:rsidRPr="009C2749">
        <w:rPr>
          <w:rFonts w:ascii="Arial Black" w:hAnsi="Arial Black"/>
          <w:b/>
          <w:sz w:val="28"/>
          <w:szCs w:val="28"/>
        </w:rPr>
        <w:t>NY</w:t>
      </w:r>
      <w:r>
        <w:rPr>
          <w:rFonts w:ascii="Arial Black" w:hAnsi="Arial Black"/>
          <w:b/>
          <w:sz w:val="28"/>
          <w:szCs w:val="28"/>
        </w:rPr>
        <w:t xml:space="preserve">: EMPLOYEES OF BATTERY PARK CITY AUTHORITY MAY SUE BUILDING OWNER FOR </w:t>
      </w:r>
      <w:r w:rsidRPr="009C2749">
        <w:rPr>
          <w:rFonts w:ascii="Arial Black" w:hAnsi="Arial Black"/>
          <w:b/>
          <w:sz w:val="28"/>
          <w:szCs w:val="28"/>
        </w:rPr>
        <w:t xml:space="preserve">9/11 </w:t>
      </w:r>
      <w:r>
        <w:rPr>
          <w:rFonts w:ascii="Arial Black" w:hAnsi="Arial Black"/>
          <w:b/>
          <w:sz w:val="28"/>
          <w:szCs w:val="28"/>
        </w:rPr>
        <w:t xml:space="preserve">INJURIES </w:t>
      </w:r>
    </w:p>
    <w:p w14:paraId="6C5E6F41" w14:textId="77777777" w:rsidR="00F326E5" w:rsidRPr="0036327D"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June 6, 2018, in </w:t>
      </w:r>
      <w:r w:rsidRPr="0036327D">
        <w:rPr>
          <w:rFonts w:ascii="Times New Roman" w:hAnsi="Times New Roman"/>
          <w:sz w:val="24"/>
          <w:szCs w:val="24"/>
          <w:u w:val="single"/>
        </w:rPr>
        <w:t>In Re: World Trade Center, Lower Manhattan Disaster Site Litigation</w:t>
      </w:r>
      <w:r w:rsidRPr="0036327D">
        <w:rPr>
          <w:rFonts w:ascii="Times New Roman" w:hAnsi="Times New Roman"/>
          <w:sz w:val="24"/>
          <w:szCs w:val="24"/>
        </w:rPr>
        <w:t>, the U.S. Court of Appeals for Second Circuit held (3 to 0) that 18 workers who became sick as a result of working in lower Manhattan after the Sept. 11 terrorist attacks may proceed with their lawsuit against building owner, the public benefit corporation Battery Park City Authority. The 2</w:t>
      </w:r>
      <w:r w:rsidRPr="0036327D">
        <w:rPr>
          <w:rFonts w:ascii="Times New Roman" w:hAnsi="Times New Roman"/>
          <w:sz w:val="24"/>
          <w:szCs w:val="24"/>
          <w:vertAlign w:val="superscript"/>
        </w:rPr>
        <w:t>nd</w:t>
      </w:r>
      <w:r w:rsidRPr="0036327D">
        <w:rPr>
          <w:rFonts w:ascii="Times New Roman" w:hAnsi="Times New Roman"/>
          <w:sz w:val="24"/>
          <w:szCs w:val="24"/>
        </w:rPr>
        <w:t xml:space="preserve"> Circuit decision followed confirmation by State of New York’s highest court (NY Court of Appeals) that the 2009 “Jimmy Nolan” statute (named after recovery worker) allowing time-barred lawsuits for one additional year against public benefit corporations was lawful. </w:t>
      </w:r>
      <w:hyperlink r:id="rId861" w:anchor="xml=http://www.ca2.uscourts.gov/decisions/isysquery/8c537d01-8133-4435-b4f6-e87aa585d8e4/1/hilite/" w:history="1">
        <w:r w:rsidRPr="0036327D">
          <w:rPr>
            <w:rStyle w:val="Hyperlink"/>
            <w:rFonts w:ascii="Times New Roman" w:hAnsi="Times New Roman"/>
            <w:sz w:val="24"/>
            <w:szCs w:val="24"/>
          </w:rPr>
          <w:t>http://www.ca2.uscourts.gov/decisions/isysquery/8c537d01-8133-4435-b4f6-e87aa585d8e4/1/doc/15-2181_opn_2.pdf#xml=http://www.ca2.uscourts.gov/decisions/isysquery/8c537d01-8133-4435-b4f6-e87aa585d8e4/1/hilite/</w:t>
        </w:r>
      </w:hyperlink>
    </w:p>
    <w:p w14:paraId="6F856A00" w14:textId="77777777" w:rsidR="009C4A80" w:rsidRDefault="009C4A80" w:rsidP="00F326E5">
      <w:pPr>
        <w:rPr>
          <w:rFonts w:ascii="Times New Roman" w:eastAsia="Times New Roman" w:hAnsi="Times New Roman"/>
          <w:b/>
          <w:sz w:val="24"/>
          <w:szCs w:val="24"/>
        </w:rPr>
      </w:pPr>
    </w:p>
    <w:p w14:paraId="7DDEF9BC" w14:textId="70746B1B"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The 18 workers will finally get their day in </w:t>
      </w:r>
      <w:proofErr w:type="gramStart"/>
      <w:r w:rsidRPr="0036327D">
        <w:rPr>
          <w:rFonts w:ascii="Times New Roman" w:eastAsia="Times New Roman" w:hAnsi="Times New Roman"/>
          <w:b/>
          <w:sz w:val="24"/>
          <w:szCs w:val="24"/>
        </w:rPr>
        <w:t>court,</w:t>
      </w:r>
      <w:r w:rsidR="009C4A80">
        <w:rPr>
          <w:rFonts w:ascii="Times New Roman" w:eastAsia="Times New Roman" w:hAnsi="Times New Roman"/>
          <w:b/>
          <w:sz w:val="24"/>
          <w:szCs w:val="24"/>
        </w:rPr>
        <w:t xml:space="preserve"> </w:t>
      </w:r>
      <w:r w:rsidRPr="0036327D">
        <w:rPr>
          <w:rFonts w:ascii="Times New Roman" w:eastAsia="Times New Roman" w:hAnsi="Times New Roman"/>
          <w:b/>
          <w:sz w:val="24"/>
          <w:szCs w:val="24"/>
        </w:rPr>
        <w:t>or</w:t>
      </w:r>
      <w:proofErr w:type="gramEnd"/>
      <w:r w:rsidRPr="0036327D">
        <w:rPr>
          <w:rFonts w:ascii="Times New Roman" w:eastAsia="Times New Roman" w:hAnsi="Times New Roman"/>
          <w:b/>
          <w:sz w:val="24"/>
          <w:szCs w:val="24"/>
        </w:rPr>
        <w:t xml:space="preserve"> will negotiate a settlement.  There reportedly have been 12,000 claims settled against various defendants.</w:t>
      </w:r>
      <w:r w:rsidRPr="0036327D">
        <w:rPr>
          <w:rFonts w:ascii="Times New Roman" w:eastAsia="Times New Roman" w:hAnsi="Times New Roman"/>
          <w:sz w:val="24"/>
          <w:szCs w:val="24"/>
        </w:rPr>
        <w:t xml:space="preserve">  </w:t>
      </w:r>
      <w:hyperlink r:id="rId862" w:history="1">
        <w:r w:rsidRPr="0036327D">
          <w:rPr>
            <w:rStyle w:val="Hyperlink"/>
            <w:rFonts w:ascii="Times New Roman" w:hAnsi="Times New Roman"/>
            <w:sz w:val="24"/>
            <w:szCs w:val="24"/>
          </w:rPr>
          <w:t>https://www.law.com/newyorklawjournal/2018/06/06/2nd-circuit-revives-911-workers-suit-against-battery-park-city-authority/</w:t>
        </w:r>
      </w:hyperlink>
      <w:r w:rsidRPr="0036327D">
        <w:rPr>
          <w:rFonts w:ascii="Times New Roman" w:eastAsia="Times New Roman" w:hAnsi="Times New Roman"/>
          <w:sz w:val="24"/>
          <w:szCs w:val="24"/>
        </w:rPr>
        <w:t xml:space="preserve"> </w:t>
      </w:r>
    </w:p>
    <w:bookmarkEnd w:id="167"/>
    <w:p w14:paraId="6E1F9B81" w14:textId="72FE1C19" w:rsidR="00F326E5" w:rsidRDefault="00F326E5" w:rsidP="00F326E5">
      <w:pPr>
        <w:rPr>
          <w:rFonts w:eastAsia="Times New Roman"/>
          <w:b/>
          <w:sz w:val="24"/>
          <w:szCs w:val="24"/>
        </w:rPr>
      </w:pPr>
    </w:p>
    <w:p w14:paraId="4D9D8798" w14:textId="448A57F0" w:rsidR="00F326E5" w:rsidRDefault="00EF1133" w:rsidP="00EF1133">
      <w:pPr>
        <w:rPr>
          <w:rFonts w:ascii="Arial Black" w:hAnsi="Arial Black"/>
          <w:b/>
          <w:sz w:val="24"/>
          <w:szCs w:val="24"/>
        </w:rPr>
      </w:pPr>
      <w:r w:rsidRPr="00EF1133">
        <w:rPr>
          <w:rFonts w:ascii="Arial Black" w:hAnsi="Arial Black"/>
          <w:color w:val="4A4A4A"/>
          <w:sz w:val="24"/>
          <w:szCs w:val="24"/>
          <w:lang w:val="en"/>
        </w:rPr>
        <w:t>3-</w:t>
      </w:r>
      <w:r>
        <w:rPr>
          <w:rFonts w:ascii="Arial Black" w:hAnsi="Arial Black"/>
          <w:color w:val="4A4A4A"/>
          <w:sz w:val="24"/>
          <w:szCs w:val="24"/>
          <w:lang w:val="en"/>
        </w:rPr>
        <w:t>4</w:t>
      </w:r>
    </w:p>
    <w:p w14:paraId="2F67A311" w14:textId="569F0490" w:rsidR="00F326E5" w:rsidRDefault="00F326E5" w:rsidP="00F326E5">
      <w:pPr>
        <w:pStyle w:val="NoSpacing"/>
        <w:rPr>
          <w:rFonts w:ascii="Arial Black" w:hAnsi="Arial Black"/>
          <w:b/>
          <w:sz w:val="28"/>
          <w:szCs w:val="28"/>
        </w:rPr>
      </w:pPr>
      <w:bookmarkStart w:id="168" w:name="_Hlk7341912"/>
      <w:r w:rsidRPr="009C2749">
        <w:rPr>
          <w:rFonts w:ascii="Arial Black" w:hAnsi="Arial Black"/>
          <w:b/>
          <w:sz w:val="28"/>
          <w:szCs w:val="28"/>
        </w:rPr>
        <w:t>PA</w:t>
      </w:r>
      <w:r>
        <w:rPr>
          <w:rFonts w:ascii="Arial Black" w:hAnsi="Arial Black"/>
          <w:b/>
          <w:sz w:val="28"/>
          <w:szCs w:val="28"/>
        </w:rPr>
        <w:t xml:space="preserve">: PHILADELPHIA IS “SANTUARY CITY” - WINS INJUNCTION – ENTITLED FED. POLICE GRANT </w:t>
      </w:r>
    </w:p>
    <w:p w14:paraId="35E79CA4"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June 6, 2018, in </w:t>
      </w:r>
      <w:r w:rsidRPr="0036327D">
        <w:rPr>
          <w:rFonts w:ascii="Times New Roman" w:eastAsia="Times New Roman" w:hAnsi="Times New Roman"/>
          <w:sz w:val="24"/>
          <w:szCs w:val="24"/>
          <w:u w:val="single"/>
        </w:rPr>
        <w:t>The City of Philadelphia v. Attorney General of United States</w:t>
      </w:r>
      <w:r w:rsidRPr="0036327D">
        <w:rPr>
          <w:rFonts w:ascii="Times New Roman" w:eastAsia="Times New Roman" w:hAnsi="Times New Roman"/>
          <w:sz w:val="24"/>
          <w:szCs w:val="24"/>
        </w:rPr>
        <w:t xml:space="preserve">, a federal judge has issued an 89-page opinion holding that $1.6 million in police grant funds may not be withheld.  </w:t>
      </w:r>
      <w:hyperlink r:id="rId863" w:history="1">
        <w:r w:rsidRPr="0036327D">
          <w:rPr>
            <w:rStyle w:val="Hyperlink"/>
            <w:rFonts w:ascii="Times New Roman" w:hAnsi="Times New Roman"/>
            <w:sz w:val="24"/>
            <w:szCs w:val="24"/>
          </w:rPr>
          <w:t>http://www.paed.uscourts.gov/documents/opinions/18D0391P.pdf</w:t>
        </w:r>
      </w:hyperlink>
      <w:r w:rsidRPr="0036327D">
        <w:rPr>
          <w:rFonts w:ascii="Times New Roman" w:eastAsia="Times New Roman" w:hAnsi="Times New Roman"/>
          <w:sz w:val="24"/>
          <w:szCs w:val="24"/>
        </w:rPr>
        <w:t xml:space="preserve"> </w:t>
      </w:r>
    </w:p>
    <w:p w14:paraId="117114C6"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Legal Lessons Learned:  The U.S. Department of Justice will likely appeal this decision to the 3</w:t>
      </w:r>
      <w:r w:rsidRPr="0036327D">
        <w:rPr>
          <w:rFonts w:ascii="Times New Roman" w:eastAsia="Times New Roman" w:hAnsi="Times New Roman"/>
          <w:b/>
          <w:sz w:val="24"/>
          <w:szCs w:val="24"/>
          <w:vertAlign w:val="superscript"/>
        </w:rPr>
        <w:t>rd</w:t>
      </w:r>
      <w:r w:rsidRPr="0036327D">
        <w:rPr>
          <w:rFonts w:ascii="Times New Roman" w:eastAsia="Times New Roman" w:hAnsi="Times New Roman"/>
          <w:b/>
          <w:sz w:val="24"/>
          <w:szCs w:val="24"/>
        </w:rPr>
        <w:t xml:space="preserve"> Circuit.   Fire &amp; EMS must likewise deal with aliens, and Congress needs to enact legislation concerning 11 million undocumented aliens.</w:t>
      </w:r>
    </w:p>
    <w:bookmarkEnd w:id="168"/>
    <w:p w14:paraId="3A36B790" w14:textId="77777777" w:rsidR="00F326E5" w:rsidRDefault="00F326E5" w:rsidP="00F326E5">
      <w:pPr>
        <w:rPr>
          <w:rFonts w:eastAsia="Times New Roman"/>
          <w:b/>
          <w:sz w:val="24"/>
          <w:szCs w:val="24"/>
        </w:rPr>
      </w:pPr>
    </w:p>
    <w:p w14:paraId="602CDBAA" w14:textId="77777777" w:rsidR="00F326E5" w:rsidRDefault="00F326E5" w:rsidP="00F326E5">
      <w:pPr>
        <w:pStyle w:val="NoSpacing"/>
        <w:rPr>
          <w:sz w:val="24"/>
          <w:szCs w:val="24"/>
        </w:rPr>
      </w:pPr>
      <w:bookmarkStart w:id="169" w:name="_Hlk7189409"/>
    </w:p>
    <w:p w14:paraId="33F3E61F" w14:textId="4F61B8DF" w:rsidR="00F326E5" w:rsidRDefault="00EF1133" w:rsidP="00EF1133">
      <w:pPr>
        <w:rPr>
          <w:sz w:val="24"/>
          <w:szCs w:val="24"/>
        </w:rPr>
      </w:pPr>
      <w:r w:rsidRPr="00EF1133">
        <w:rPr>
          <w:rFonts w:ascii="Arial Black" w:hAnsi="Arial Black"/>
          <w:color w:val="4A4A4A"/>
          <w:sz w:val="24"/>
          <w:szCs w:val="24"/>
          <w:lang w:val="en"/>
        </w:rPr>
        <w:t>3-</w:t>
      </w:r>
      <w:r>
        <w:rPr>
          <w:rFonts w:ascii="Arial Black" w:hAnsi="Arial Black"/>
          <w:color w:val="4A4A4A"/>
          <w:sz w:val="24"/>
          <w:szCs w:val="24"/>
          <w:lang w:val="en"/>
        </w:rPr>
        <w:t>3</w:t>
      </w:r>
    </w:p>
    <w:p w14:paraId="2ECFF32D" w14:textId="77777777" w:rsidR="00F326E5" w:rsidRDefault="00F326E5" w:rsidP="00F326E5">
      <w:pPr>
        <w:pStyle w:val="NoSpacing"/>
        <w:rPr>
          <w:sz w:val="24"/>
          <w:szCs w:val="24"/>
        </w:rPr>
      </w:pPr>
    </w:p>
    <w:p w14:paraId="7AB0DCDC" w14:textId="2D7EFDCD" w:rsidR="00F326E5" w:rsidRDefault="00F326E5" w:rsidP="00F326E5">
      <w:pPr>
        <w:pStyle w:val="NoSpacing"/>
        <w:rPr>
          <w:rFonts w:ascii="Arial Black" w:hAnsi="Arial Black"/>
          <w:b/>
          <w:sz w:val="28"/>
          <w:szCs w:val="28"/>
        </w:rPr>
      </w:pPr>
      <w:bookmarkStart w:id="170" w:name="_Hlk7341970"/>
      <w:r>
        <w:rPr>
          <w:rFonts w:ascii="Arial Black" w:hAnsi="Arial Black"/>
          <w:b/>
          <w:sz w:val="28"/>
          <w:szCs w:val="28"/>
        </w:rPr>
        <w:t>U.S. SUP. COURT: DRUG DEALER E-MAILS STORED BY MICROSOFT IN IRELAND – CASE MOOT</w:t>
      </w:r>
    </w:p>
    <w:p w14:paraId="6E15EA1E" w14:textId="77777777" w:rsidR="00F326E5" w:rsidRPr="0036327D" w:rsidRDefault="00F326E5" w:rsidP="00F326E5">
      <w:pPr>
        <w:rPr>
          <w:rFonts w:ascii="Times New Roman" w:hAnsi="Times New Roman"/>
          <w:sz w:val="24"/>
          <w:szCs w:val="24"/>
          <w:lang w:val="en"/>
        </w:rPr>
      </w:pPr>
      <w:r w:rsidRPr="0036327D">
        <w:rPr>
          <w:rFonts w:ascii="Times New Roman" w:hAnsi="Times New Roman"/>
          <w:sz w:val="24"/>
          <w:szCs w:val="24"/>
          <w:lang w:val="en"/>
        </w:rPr>
        <w:t xml:space="preserve">On March 30, 2018, in </w:t>
      </w:r>
      <w:r w:rsidRPr="0036327D">
        <w:rPr>
          <w:rFonts w:ascii="Times New Roman" w:hAnsi="Times New Roman"/>
          <w:sz w:val="24"/>
          <w:szCs w:val="24"/>
          <w:u w:val="single"/>
          <w:lang w:val="en"/>
        </w:rPr>
        <w:t>Microsoft Corp. v. United States</w:t>
      </w:r>
      <w:r w:rsidRPr="0036327D">
        <w:rPr>
          <w:rFonts w:ascii="Times New Roman" w:hAnsi="Times New Roman"/>
          <w:sz w:val="24"/>
          <w:szCs w:val="24"/>
          <w:lang w:val="en"/>
        </w:rPr>
        <w:t xml:space="preserve">, the U.S. Solicitor General has filed a motion asking the Court to dismiss the case as </w:t>
      </w:r>
      <w:proofErr w:type="gramStart"/>
      <w:r w:rsidRPr="0036327D">
        <w:rPr>
          <w:rFonts w:ascii="Times New Roman" w:hAnsi="Times New Roman"/>
          <w:sz w:val="24"/>
          <w:szCs w:val="24"/>
          <w:lang w:val="en"/>
        </w:rPr>
        <w:t>moot,  and</w:t>
      </w:r>
      <w:proofErr w:type="gramEnd"/>
      <w:r w:rsidRPr="0036327D">
        <w:rPr>
          <w:rFonts w:ascii="Times New Roman" w:hAnsi="Times New Roman"/>
          <w:sz w:val="24"/>
          <w:szCs w:val="24"/>
          <w:lang w:val="en"/>
        </w:rPr>
        <w:t xml:space="preserve"> advised the Court that </w:t>
      </w:r>
      <w:proofErr w:type="spellStart"/>
      <w:r w:rsidRPr="0036327D">
        <w:rPr>
          <w:rFonts w:ascii="Times New Roman" w:hAnsi="Times New Roman"/>
          <w:sz w:val="24"/>
          <w:szCs w:val="24"/>
          <w:lang w:val="en"/>
        </w:rPr>
        <w:t>DoJ</w:t>
      </w:r>
      <w:proofErr w:type="spellEnd"/>
      <w:r w:rsidRPr="0036327D">
        <w:rPr>
          <w:rFonts w:ascii="Times New Roman" w:hAnsi="Times New Roman"/>
          <w:sz w:val="24"/>
          <w:szCs w:val="24"/>
          <w:lang w:val="en"/>
        </w:rPr>
        <w:t xml:space="preserve"> has obtained a new search warrant against Microsoft for e-mails stored in their facility in Ireland under the new “Cloud Act.”  The Solicitor General wrote, “The CLOUD Act resolves the question presented by specifying that a service provider responding to a Section 2703 order must produce information within its ‘possession, custody, or control, regardless of whether such  * * *  information is located within or outside of the United States.’  CLOUD Act § 103(a).  The United States has obtained a new warrant under the CLOUD Act, and Microsoft’s sole objection—that the prior warrant was impermissibly extraterritorial—no longer applies. The United States respectfully submits that this case is now moot.”</w:t>
      </w:r>
    </w:p>
    <w:p w14:paraId="59C36706" w14:textId="77777777" w:rsidR="00F326E5" w:rsidRPr="0036327D" w:rsidRDefault="00F326E5" w:rsidP="00F326E5">
      <w:pPr>
        <w:rPr>
          <w:rFonts w:ascii="Times New Roman" w:hAnsi="Times New Roman"/>
          <w:sz w:val="24"/>
          <w:szCs w:val="24"/>
          <w:lang w:val="en"/>
        </w:rPr>
      </w:pPr>
      <w:hyperlink r:id="rId864" w:history="1">
        <w:r w:rsidRPr="0036327D">
          <w:rPr>
            <w:rStyle w:val="Hyperlink"/>
            <w:rFonts w:ascii="Times New Roman" w:hAnsi="Times New Roman"/>
            <w:color w:val="auto"/>
            <w:sz w:val="24"/>
            <w:szCs w:val="24"/>
            <w:lang w:val="en"/>
          </w:rPr>
          <w:t>https://supreme.justia.com/cases/federal/us/584/17-2/</w:t>
        </w:r>
      </w:hyperlink>
      <w:r w:rsidRPr="0036327D">
        <w:rPr>
          <w:rFonts w:ascii="Times New Roman" w:hAnsi="Times New Roman"/>
          <w:sz w:val="24"/>
          <w:szCs w:val="24"/>
          <w:lang w:val="en"/>
        </w:rPr>
        <w:t xml:space="preserve"> </w:t>
      </w:r>
    </w:p>
    <w:p w14:paraId="38544133" w14:textId="77777777" w:rsidR="00F326E5" w:rsidRPr="00BA3B84" w:rsidRDefault="00F326E5" w:rsidP="00F326E5">
      <w:pPr>
        <w:rPr>
          <w:b/>
          <w:color w:val="4A4A4A"/>
          <w:sz w:val="24"/>
          <w:szCs w:val="24"/>
          <w:lang w:val="en"/>
        </w:rPr>
      </w:pPr>
      <w:r w:rsidRPr="0036327D">
        <w:rPr>
          <w:rFonts w:ascii="Times New Roman" w:hAnsi="Times New Roman"/>
          <w:b/>
          <w:sz w:val="24"/>
          <w:szCs w:val="24"/>
          <w:lang w:val="en"/>
        </w:rPr>
        <w:t xml:space="preserve">LEGAL LESSONS LEARNED:  Congress has enacted the “Cloud Act” so that search warrants on Microsoft and other companies must be honored, even if the e-mail information is stored in a facility outside the USA.   In some </w:t>
      </w:r>
      <w:proofErr w:type="gramStart"/>
      <w:r w:rsidRPr="0036327D">
        <w:rPr>
          <w:rFonts w:ascii="Times New Roman" w:hAnsi="Times New Roman"/>
          <w:b/>
          <w:sz w:val="24"/>
          <w:szCs w:val="24"/>
          <w:lang w:val="en"/>
        </w:rPr>
        <w:t>case</w:t>
      </w:r>
      <w:proofErr w:type="gramEnd"/>
      <w:r w:rsidRPr="0036327D">
        <w:rPr>
          <w:rFonts w:ascii="Times New Roman" w:hAnsi="Times New Roman"/>
          <w:b/>
          <w:sz w:val="24"/>
          <w:szCs w:val="24"/>
          <w:lang w:val="en"/>
        </w:rPr>
        <w:t>, our national security demands access to this information</w:t>
      </w:r>
      <w:r w:rsidRPr="00BA3B84">
        <w:rPr>
          <w:b/>
          <w:color w:val="4A4A4A"/>
          <w:sz w:val="24"/>
          <w:szCs w:val="24"/>
          <w:lang w:val="en"/>
        </w:rPr>
        <w:t xml:space="preserve">. </w:t>
      </w:r>
    </w:p>
    <w:bookmarkEnd w:id="169"/>
    <w:bookmarkEnd w:id="170"/>
    <w:p w14:paraId="13560A36" w14:textId="77777777" w:rsidR="00F326E5" w:rsidRDefault="00F326E5" w:rsidP="00F326E5">
      <w:pPr>
        <w:rPr>
          <w:rFonts w:ascii="Arial Black" w:hAnsi="Arial Black"/>
          <w:b/>
          <w:sz w:val="40"/>
          <w:szCs w:val="40"/>
        </w:rPr>
      </w:pPr>
    </w:p>
    <w:p w14:paraId="218F04BD" w14:textId="01005CD8" w:rsidR="00EF1133" w:rsidRDefault="00EF1133" w:rsidP="00EF1133">
      <w:pPr>
        <w:rPr>
          <w:rFonts w:ascii="Arial Black" w:hAnsi="Arial Black"/>
          <w:b/>
          <w:sz w:val="28"/>
          <w:szCs w:val="28"/>
        </w:rPr>
      </w:pPr>
      <w:bookmarkStart w:id="171" w:name="_Hlk7342019"/>
      <w:r w:rsidRPr="00EF1133">
        <w:rPr>
          <w:rFonts w:ascii="Arial Black" w:hAnsi="Arial Black"/>
          <w:color w:val="4A4A4A"/>
          <w:sz w:val="24"/>
          <w:szCs w:val="24"/>
          <w:lang w:val="en"/>
        </w:rPr>
        <w:t>3-</w:t>
      </w:r>
      <w:r>
        <w:rPr>
          <w:rFonts w:ascii="Arial Black" w:hAnsi="Arial Black"/>
          <w:color w:val="4A4A4A"/>
          <w:sz w:val="24"/>
          <w:szCs w:val="24"/>
          <w:lang w:val="en"/>
        </w:rPr>
        <w:t>2</w:t>
      </w:r>
    </w:p>
    <w:p w14:paraId="66D2746F" w14:textId="39E1ABF7" w:rsidR="00F326E5" w:rsidRDefault="00F326E5" w:rsidP="00F326E5">
      <w:pPr>
        <w:pStyle w:val="NoSpacing"/>
        <w:rPr>
          <w:rFonts w:ascii="Arial Black" w:hAnsi="Arial Black"/>
          <w:b/>
          <w:sz w:val="28"/>
          <w:szCs w:val="28"/>
        </w:rPr>
      </w:pPr>
      <w:r>
        <w:rPr>
          <w:rFonts w:ascii="Arial Black" w:hAnsi="Arial Black"/>
          <w:b/>
          <w:sz w:val="28"/>
          <w:szCs w:val="28"/>
        </w:rPr>
        <w:t>NY: NYPD SURVEILLANCE OF MUSLIMS – FOIA - DO NOT NEED TO EVEN DISCLOSE RECORDS EXIST</w:t>
      </w:r>
    </w:p>
    <w:p w14:paraId="0BA16183" w14:textId="77777777" w:rsidR="009C4A80" w:rsidRDefault="00F326E5" w:rsidP="00F326E5">
      <w:pPr>
        <w:rPr>
          <w:rFonts w:ascii="Times New Roman" w:hAnsi="Times New Roman"/>
          <w:sz w:val="24"/>
          <w:szCs w:val="24"/>
        </w:rPr>
      </w:pPr>
      <w:r w:rsidRPr="0036327D">
        <w:rPr>
          <w:rFonts w:ascii="Times New Roman" w:hAnsi="Times New Roman"/>
          <w:sz w:val="24"/>
          <w:szCs w:val="24"/>
        </w:rPr>
        <w:t xml:space="preserve">On March 29, 2018, In the </w:t>
      </w:r>
      <w:r w:rsidRPr="0036327D">
        <w:rPr>
          <w:rFonts w:ascii="Times New Roman" w:hAnsi="Times New Roman"/>
          <w:sz w:val="24"/>
          <w:szCs w:val="24"/>
          <w:u w:val="single"/>
        </w:rPr>
        <w:t>Matter of Talib W.  Abdur-Rashid and Samir Hashmi v. New York City Police Department, et al.</w:t>
      </w:r>
      <w:r w:rsidRPr="0036327D">
        <w:rPr>
          <w:rFonts w:ascii="Times New Roman" w:hAnsi="Times New Roman"/>
          <w:sz w:val="24"/>
          <w:szCs w:val="24"/>
        </w:rPr>
        <w:t xml:space="preserve">, the State of New York Court of Appeals held (4 to 3): </w:t>
      </w:r>
    </w:p>
    <w:p w14:paraId="32C9B6B8" w14:textId="6D8E5139" w:rsidR="00F326E5" w:rsidRPr="0036327D" w:rsidRDefault="00F326E5" w:rsidP="009C4A80">
      <w:pPr>
        <w:ind w:left="720"/>
        <w:rPr>
          <w:rFonts w:ascii="Times New Roman" w:hAnsi="Times New Roman"/>
          <w:sz w:val="24"/>
          <w:szCs w:val="24"/>
        </w:rPr>
      </w:pPr>
      <w:r w:rsidRPr="0036327D">
        <w:rPr>
          <w:rFonts w:ascii="Times New Roman" w:hAnsi="Times New Roman"/>
          <w:sz w:val="24"/>
          <w:szCs w:val="24"/>
        </w:rPr>
        <w:t xml:space="preserve">“The issue presented is whether an agency may decline to acknowledge that requested records exist in response to a Freedom of Information Law request … when necessary to safeguard statutorily exempted information.  Under these circumstances, we hold that it may and therefore affirm the Appellate Division order, which reached the same conclusion.” </w:t>
      </w:r>
      <w:hyperlink r:id="rId865" w:history="1">
        <w:r w:rsidRPr="0036327D">
          <w:rPr>
            <w:rStyle w:val="Hyperlink"/>
            <w:rFonts w:ascii="Times New Roman" w:hAnsi="Times New Roman"/>
            <w:sz w:val="24"/>
            <w:szCs w:val="24"/>
          </w:rPr>
          <w:t>file:///C:/Users/lawre/AppData/Local/Microsoft/Windows/INetCache/IE/XO250S7T/Glomar-decision.pdf</w:t>
        </w:r>
      </w:hyperlink>
      <w:r w:rsidRPr="0036327D">
        <w:rPr>
          <w:rFonts w:ascii="Times New Roman" w:hAnsi="Times New Roman"/>
          <w:sz w:val="24"/>
          <w:szCs w:val="24"/>
        </w:rPr>
        <w:t xml:space="preserve">      </w:t>
      </w:r>
    </w:p>
    <w:p w14:paraId="7F737600" w14:textId="77777777"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 xml:space="preserve">LEGAL LESSONS LEARNED:  Surveillance records are protected from disclosure; don’t need to even confirm existence of intelligence records. </w:t>
      </w:r>
    </w:p>
    <w:p w14:paraId="0B82D0F2" w14:textId="77777777" w:rsidR="00F326E5" w:rsidRPr="0036327D" w:rsidRDefault="00F326E5" w:rsidP="00F326E5">
      <w:pPr>
        <w:ind w:left="720"/>
        <w:rPr>
          <w:rFonts w:ascii="Times New Roman" w:hAnsi="Times New Roman"/>
          <w:sz w:val="24"/>
          <w:szCs w:val="24"/>
        </w:rPr>
      </w:pPr>
      <w:r w:rsidRPr="0036327D">
        <w:rPr>
          <w:rFonts w:ascii="Times New Roman" w:hAnsi="Times New Roman"/>
          <w:sz w:val="24"/>
          <w:szCs w:val="24"/>
        </w:rPr>
        <w:t xml:space="preserve">See article on this decision: </w:t>
      </w:r>
      <w:hyperlink r:id="rId866" w:history="1">
        <w:r w:rsidRPr="0036327D">
          <w:rPr>
            <w:rStyle w:val="Hyperlink"/>
            <w:rFonts w:ascii="Times New Roman" w:hAnsi="Times New Roman"/>
            <w:sz w:val="24"/>
            <w:szCs w:val="24"/>
          </w:rPr>
          <w:t>https://www.law.com/newyorklawjournal/2018/03/29/ny-high-court-allows-nypd-to-evade-giving-foil-requested-information-about-muslim-surveillance/</w:t>
        </w:r>
      </w:hyperlink>
    </w:p>
    <w:bookmarkEnd w:id="171"/>
    <w:p w14:paraId="3496799B" w14:textId="77777777" w:rsidR="00F326E5" w:rsidRPr="00150349" w:rsidRDefault="00F326E5" w:rsidP="00F326E5">
      <w:pPr>
        <w:pStyle w:val="NoSpacing"/>
        <w:rPr>
          <w:b/>
          <w:sz w:val="24"/>
          <w:szCs w:val="24"/>
        </w:rPr>
      </w:pPr>
    </w:p>
    <w:p w14:paraId="0BC3F0CD" w14:textId="48C4A3B5" w:rsidR="00F326E5" w:rsidRPr="00EF1133" w:rsidRDefault="00EF1133" w:rsidP="00F326E5">
      <w:pPr>
        <w:rPr>
          <w:rFonts w:ascii="Arial Black" w:hAnsi="Arial Black"/>
          <w:color w:val="4A4A4A"/>
          <w:sz w:val="24"/>
          <w:szCs w:val="24"/>
          <w:lang w:val="en"/>
        </w:rPr>
      </w:pPr>
      <w:r w:rsidRPr="00EF1133">
        <w:rPr>
          <w:rFonts w:ascii="Arial Black" w:hAnsi="Arial Black"/>
          <w:color w:val="4A4A4A"/>
          <w:sz w:val="24"/>
          <w:szCs w:val="24"/>
          <w:lang w:val="en"/>
        </w:rPr>
        <w:t>3-1</w:t>
      </w:r>
    </w:p>
    <w:p w14:paraId="76F99281" w14:textId="2D028A27" w:rsidR="00F326E5" w:rsidRDefault="00F326E5" w:rsidP="00F326E5">
      <w:pPr>
        <w:rPr>
          <w:rFonts w:ascii="Arial Black" w:hAnsi="Arial Black"/>
          <w:b/>
          <w:color w:val="4A4A4A"/>
          <w:sz w:val="28"/>
          <w:szCs w:val="28"/>
          <w:lang w:val="en"/>
        </w:rPr>
      </w:pPr>
      <w:bookmarkStart w:id="172" w:name="_Hlk7342091"/>
      <w:r w:rsidRPr="00391684">
        <w:rPr>
          <w:rFonts w:ascii="Arial Black" w:hAnsi="Arial Black"/>
          <w:b/>
          <w:color w:val="4A4A4A"/>
          <w:sz w:val="28"/>
          <w:szCs w:val="28"/>
          <w:lang w:val="en"/>
        </w:rPr>
        <w:t>U.S. SUP</w:t>
      </w:r>
      <w:r>
        <w:rPr>
          <w:rFonts w:ascii="Arial Black" w:hAnsi="Arial Black"/>
          <w:b/>
          <w:color w:val="4A4A4A"/>
          <w:sz w:val="28"/>
          <w:szCs w:val="28"/>
          <w:lang w:val="en"/>
        </w:rPr>
        <w:t>. C</w:t>
      </w:r>
      <w:r w:rsidRPr="00391684">
        <w:rPr>
          <w:rFonts w:ascii="Arial Black" w:hAnsi="Arial Black"/>
          <w:b/>
          <w:color w:val="4A4A4A"/>
          <w:sz w:val="28"/>
          <w:szCs w:val="28"/>
          <w:lang w:val="en"/>
        </w:rPr>
        <w:t>OURT</w:t>
      </w:r>
      <w:r>
        <w:rPr>
          <w:rFonts w:ascii="Arial Black" w:hAnsi="Arial Black"/>
          <w:b/>
          <w:color w:val="4A4A4A"/>
          <w:sz w:val="28"/>
          <w:szCs w:val="28"/>
          <w:lang w:val="en"/>
        </w:rPr>
        <w:t>: HAMAS BOMBINGS IN ISRAEL – CAN’T SEIZE ANCIENT IRANIAN TABLETS IN CHICAGO</w:t>
      </w:r>
    </w:p>
    <w:p w14:paraId="691A3832" w14:textId="77777777" w:rsidR="009C4A80" w:rsidRDefault="00F326E5" w:rsidP="00F326E5">
      <w:pPr>
        <w:rPr>
          <w:rFonts w:ascii="Times New Roman" w:hAnsi="Times New Roman"/>
          <w:color w:val="4A4A4A"/>
          <w:sz w:val="24"/>
          <w:szCs w:val="24"/>
          <w:lang w:val="en"/>
        </w:rPr>
      </w:pPr>
      <w:r w:rsidRPr="0036327D">
        <w:rPr>
          <w:rFonts w:ascii="Times New Roman" w:hAnsi="Times New Roman"/>
          <w:color w:val="4A4A4A"/>
          <w:sz w:val="24"/>
          <w:szCs w:val="24"/>
          <w:lang w:val="en"/>
        </w:rPr>
        <w:t xml:space="preserve">On Feb. 21, 2018, in </w:t>
      </w:r>
      <w:r w:rsidRPr="0036327D">
        <w:rPr>
          <w:rFonts w:ascii="Times New Roman" w:hAnsi="Times New Roman"/>
          <w:color w:val="4A4A4A"/>
          <w:sz w:val="24"/>
          <w:szCs w:val="24"/>
          <w:u w:val="single"/>
          <w:lang w:val="en"/>
        </w:rPr>
        <w:t>Rubin v. Islamic Republic of Iran</w:t>
      </w:r>
      <w:r w:rsidRPr="0036327D">
        <w:rPr>
          <w:rFonts w:ascii="Times New Roman" w:hAnsi="Times New Roman"/>
          <w:color w:val="4A4A4A"/>
          <w:sz w:val="24"/>
          <w:szCs w:val="24"/>
          <w:lang w:val="en"/>
        </w:rPr>
        <w:t xml:space="preserve">, the U.S. Supreme Court held (8 to 0; Justice Kegan did not participate) that 30,000 ancient clay tablets held at University of Chicago cannot be seized to pay $71.5 million judgement against Iran.  Justice Sotomayor wrote, </w:t>
      </w:r>
    </w:p>
    <w:p w14:paraId="5F765B3E" w14:textId="5AC1A1AD" w:rsidR="00F326E5" w:rsidRPr="0036327D" w:rsidRDefault="00F326E5" w:rsidP="009C4A80">
      <w:pPr>
        <w:ind w:left="720"/>
        <w:rPr>
          <w:rFonts w:ascii="Times New Roman" w:hAnsi="Times New Roman"/>
          <w:color w:val="4A4A4A"/>
          <w:sz w:val="24"/>
          <w:szCs w:val="24"/>
          <w:lang w:val="en"/>
        </w:rPr>
      </w:pPr>
      <w:r w:rsidRPr="0036327D">
        <w:rPr>
          <w:rFonts w:ascii="Times New Roman" w:hAnsi="Times New Roman"/>
          <w:color w:val="4A4A4A"/>
          <w:sz w:val="24"/>
          <w:szCs w:val="24"/>
          <w:lang w:val="en"/>
        </w:rPr>
        <w:t xml:space="preserve">“Where the FSIA goes so far as to divest a foreign state or property of immunity in relation to terrorism related judgments, however, it does so expressly.  See §§1605A, 1610(a)(7), (b)(3), (f)(1)(A); §201(a) of the TRIA. Out of respect for the delicate balance that Congress struck in enacting the FSIA, we decline to read into the statute a blanket abrogation of attachment and execution immunity for §1605A judgment holders absent a clearer indication of Congress’ intent.” </w:t>
      </w:r>
      <w:hyperlink r:id="rId867" w:history="1">
        <w:r w:rsidRPr="0036327D">
          <w:rPr>
            <w:rStyle w:val="Hyperlink"/>
            <w:rFonts w:ascii="Times New Roman" w:hAnsi="Times New Roman"/>
            <w:sz w:val="24"/>
            <w:szCs w:val="24"/>
            <w:lang w:val="en"/>
          </w:rPr>
          <w:t>file:///C:/Users/lawre/AppData/Local/Microsoft/Windows/INetCache/IE/XO250S7T/16-534_6jfm.pdf</w:t>
        </w:r>
      </w:hyperlink>
      <w:r w:rsidRPr="0036327D">
        <w:rPr>
          <w:rFonts w:ascii="Times New Roman" w:hAnsi="Times New Roman"/>
          <w:color w:val="4A4A4A"/>
          <w:sz w:val="24"/>
          <w:szCs w:val="24"/>
          <w:lang w:val="en"/>
        </w:rPr>
        <w:t xml:space="preserve"> </w:t>
      </w:r>
    </w:p>
    <w:p w14:paraId="5A974771" w14:textId="77777777" w:rsidR="00F326E5" w:rsidRPr="0036327D" w:rsidRDefault="00F326E5" w:rsidP="00F326E5">
      <w:pPr>
        <w:rPr>
          <w:rFonts w:ascii="Times New Roman" w:hAnsi="Times New Roman"/>
          <w:b/>
          <w:color w:val="4A4A4A"/>
          <w:sz w:val="24"/>
          <w:szCs w:val="24"/>
          <w:lang w:val="en"/>
        </w:rPr>
      </w:pPr>
      <w:r w:rsidRPr="0036327D">
        <w:rPr>
          <w:rFonts w:ascii="Times New Roman" w:hAnsi="Times New Roman"/>
          <w:b/>
          <w:color w:val="4A4A4A"/>
          <w:sz w:val="24"/>
          <w:szCs w:val="24"/>
          <w:lang w:val="en"/>
        </w:rPr>
        <w:t xml:space="preserve">LEGAL LESSONS LEARNED: Congress can amend FSIA to clarify that Iran is a sponsor of terrorists, and their property in USA can be subject to seizure.  </w:t>
      </w:r>
    </w:p>
    <w:p w14:paraId="60CCDAD5" w14:textId="3148EDBF" w:rsidR="00F326E5" w:rsidRDefault="00F326E5" w:rsidP="0005503D">
      <w:pPr>
        <w:ind w:left="720"/>
        <w:rPr>
          <w:rFonts w:ascii="Arial Black" w:hAnsi="Arial Black"/>
          <w:b/>
          <w:sz w:val="40"/>
          <w:szCs w:val="40"/>
        </w:rPr>
      </w:pPr>
      <w:r w:rsidRPr="0036327D">
        <w:rPr>
          <w:rFonts w:ascii="Times New Roman" w:hAnsi="Times New Roman"/>
          <w:color w:val="4A4A4A"/>
          <w:sz w:val="24"/>
          <w:szCs w:val="24"/>
          <w:lang w:val="en"/>
        </w:rPr>
        <w:t>See article on the decision:  “</w:t>
      </w:r>
      <w:r w:rsidRPr="0036327D">
        <w:rPr>
          <w:rFonts w:ascii="Times New Roman" w:hAnsi="Times New Roman"/>
          <w:sz w:val="24"/>
          <w:szCs w:val="24"/>
          <w:lang w:val="en"/>
        </w:rPr>
        <w:t xml:space="preserve">Wednesday’s ruling is also likely to dictate the outcome of a similar dispute pending before the justices in which four different groups of plaintiffs representing those injured in other allegedly Iran-backed attacks are seeking to enforce court judgments by seizing $17.6 million in assets held by Iranian government-owned Bank Melli.” </w:t>
      </w:r>
      <w:hyperlink r:id="rId868" w:history="1">
        <w:r w:rsidRPr="0036327D">
          <w:rPr>
            <w:rStyle w:val="Hyperlink"/>
            <w:rFonts w:ascii="Times New Roman" w:hAnsi="Times New Roman"/>
            <w:sz w:val="24"/>
            <w:szCs w:val="24"/>
            <w:lang w:val="en"/>
          </w:rPr>
          <w:t>https://in.reuters.com/article/usa-court-iran/u-s-top-court-forbids-seizure-of-ancient-persian-artifacts-idINKCN1G51ZY</w:t>
        </w:r>
      </w:hyperlink>
      <w:r w:rsidRPr="0036327D">
        <w:rPr>
          <w:rFonts w:ascii="Times New Roman" w:hAnsi="Times New Roman"/>
          <w:color w:val="4A4A4A"/>
          <w:sz w:val="24"/>
          <w:szCs w:val="24"/>
          <w:lang w:val="en"/>
        </w:rPr>
        <w:t xml:space="preserve"> </w:t>
      </w:r>
      <w:bookmarkEnd w:id="172"/>
      <w:r>
        <w:rPr>
          <w:rFonts w:ascii="Arial Black" w:hAnsi="Arial Black"/>
          <w:b/>
          <w:sz w:val="40"/>
          <w:szCs w:val="40"/>
        </w:rPr>
        <w:br w:type="page"/>
      </w:r>
    </w:p>
    <w:p w14:paraId="234826B4" w14:textId="77777777" w:rsidR="00680234" w:rsidRDefault="00680234" w:rsidP="00F326E5">
      <w:pPr>
        <w:pStyle w:val="NoSpacing"/>
        <w:rPr>
          <w:rFonts w:ascii="Arial Black" w:hAnsi="Arial Black"/>
          <w:sz w:val="40"/>
          <w:szCs w:val="40"/>
        </w:rPr>
      </w:pPr>
    </w:p>
    <w:p w14:paraId="31A4BC5A" w14:textId="77777777" w:rsidR="00680234" w:rsidRDefault="00680234" w:rsidP="00F326E5">
      <w:pPr>
        <w:pStyle w:val="NoSpacing"/>
        <w:rPr>
          <w:rFonts w:ascii="Arial Black" w:hAnsi="Arial Black"/>
          <w:sz w:val="40"/>
          <w:szCs w:val="40"/>
        </w:rPr>
      </w:pPr>
    </w:p>
    <w:p w14:paraId="368696E1" w14:textId="77777777" w:rsidR="00680234" w:rsidRDefault="00680234" w:rsidP="00F326E5">
      <w:pPr>
        <w:pStyle w:val="NoSpacing"/>
        <w:rPr>
          <w:rFonts w:ascii="Arial Black" w:hAnsi="Arial Black"/>
          <w:sz w:val="40"/>
          <w:szCs w:val="40"/>
        </w:rPr>
      </w:pPr>
    </w:p>
    <w:p w14:paraId="77AA98B7" w14:textId="77777777" w:rsidR="00680234" w:rsidRDefault="00680234" w:rsidP="00F326E5">
      <w:pPr>
        <w:pStyle w:val="NoSpacing"/>
        <w:rPr>
          <w:rFonts w:ascii="Arial Black" w:hAnsi="Arial Black"/>
          <w:sz w:val="40"/>
          <w:szCs w:val="40"/>
        </w:rPr>
      </w:pPr>
    </w:p>
    <w:p w14:paraId="46CB6D8C" w14:textId="77777777" w:rsidR="00680234" w:rsidRDefault="00680234" w:rsidP="00F326E5">
      <w:pPr>
        <w:pStyle w:val="NoSpacing"/>
        <w:rPr>
          <w:rFonts w:ascii="Arial Black" w:hAnsi="Arial Black"/>
          <w:sz w:val="40"/>
          <w:szCs w:val="40"/>
        </w:rPr>
      </w:pPr>
    </w:p>
    <w:p w14:paraId="14071E9C" w14:textId="77777777" w:rsidR="00680234" w:rsidRDefault="00680234" w:rsidP="00F326E5">
      <w:pPr>
        <w:pStyle w:val="NoSpacing"/>
        <w:rPr>
          <w:rFonts w:ascii="Arial Black" w:hAnsi="Arial Black"/>
          <w:sz w:val="40"/>
          <w:szCs w:val="40"/>
        </w:rPr>
      </w:pPr>
    </w:p>
    <w:p w14:paraId="2D6406AE" w14:textId="77777777" w:rsidR="00680234" w:rsidRDefault="00680234" w:rsidP="00F326E5">
      <w:pPr>
        <w:pStyle w:val="NoSpacing"/>
        <w:rPr>
          <w:rFonts w:ascii="Arial Black" w:hAnsi="Arial Black"/>
          <w:sz w:val="40"/>
          <w:szCs w:val="40"/>
        </w:rPr>
      </w:pPr>
    </w:p>
    <w:p w14:paraId="3130033F" w14:textId="77777777" w:rsidR="00680234" w:rsidRDefault="00680234" w:rsidP="00F326E5">
      <w:pPr>
        <w:pStyle w:val="NoSpacing"/>
        <w:rPr>
          <w:rFonts w:ascii="Arial Black" w:hAnsi="Arial Black"/>
          <w:sz w:val="40"/>
          <w:szCs w:val="40"/>
        </w:rPr>
      </w:pPr>
    </w:p>
    <w:p w14:paraId="0D9FFFD5" w14:textId="77777777" w:rsidR="00680234" w:rsidRDefault="00680234" w:rsidP="00F326E5">
      <w:pPr>
        <w:pStyle w:val="NoSpacing"/>
        <w:rPr>
          <w:rFonts w:ascii="Arial Black" w:hAnsi="Arial Black"/>
          <w:sz w:val="40"/>
          <w:szCs w:val="40"/>
        </w:rPr>
      </w:pPr>
    </w:p>
    <w:p w14:paraId="3028D8A8" w14:textId="77777777" w:rsidR="00680234" w:rsidRDefault="00680234" w:rsidP="00F326E5">
      <w:pPr>
        <w:pStyle w:val="NoSpacing"/>
        <w:rPr>
          <w:rFonts w:ascii="Arial Black" w:hAnsi="Arial Black"/>
          <w:sz w:val="40"/>
          <w:szCs w:val="40"/>
        </w:rPr>
      </w:pPr>
    </w:p>
    <w:p w14:paraId="3D187AED" w14:textId="77777777" w:rsidR="00680234" w:rsidRDefault="00680234" w:rsidP="00F326E5">
      <w:pPr>
        <w:pStyle w:val="NoSpacing"/>
        <w:rPr>
          <w:rFonts w:ascii="Arial Black" w:hAnsi="Arial Black"/>
          <w:sz w:val="40"/>
          <w:szCs w:val="40"/>
        </w:rPr>
      </w:pPr>
    </w:p>
    <w:p w14:paraId="3739BA1F" w14:textId="77777777" w:rsidR="00680234" w:rsidRDefault="00680234" w:rsidP="00F326E5">
      <w:pPr>
        <w:pStyle w:val="NoSpacing"/>
        <w:rPr>
          <w:rFonts w:ascii="Arial Black" w:hAnsi="Arial Black"/>
          <w:sz w:val="40"/>
          <w:szCs w:val="40"/>
        </w:rPr>
      </w:pPr>
    </w:p>
    <w:p w14:paraId="4AA2DBD7" w14:textId="77777777" w:rsidR="00680234" w:rsidRDefault="00680234" w:rsidP="00F326E5">
      <w:pPr>
        <w:pStyle w:val="NoSpacing"/>
        <w:rPr>
          <w:rFonts w:ascii="Arial Black" w:hAnsi="Arial Black"/>
          <w:sz w:val="40"/>
          <w:szCs w:val="40"/>
        </w:rPr>
      </w:pPr>
    </w:p>
    <w:p w14:paraId="6649EE15" w14:textId="77777777" w:rsidR="00680234" w:rsidRDefault="00680234" w:rsidP="00F326E5">
      <w:pPr>
        <w:pStyle w:val="NoSpacing"/>
        <w:rPr>
          <w:rFonts w:ascii="Arial Black" w:hAnsi="Arial Black"/>
          <w:sz w:val="40"/>
          <w:szCs w:val="40"/>
        </w:rPr>
      </w:pPr>
    </w:p>
    <w:p w14:paraId="4AE59C16" w14:textId="77777777" w:rsidR="00680234" w:rsidRDefault="00680234" w:rsidP="00F326E5">
      <w:pPr>
        <w:pStyle w:val="NoSpacing"/>
        <w:rPr>
          <w:rFonts w:ascii="Arial Black" w:hAnsi="Arial Black"/>
          <w:sz w:val="40"/>
          <w:szCs w:val="40"/>
        </w:rPr>
      </w:pPr>
    </w:p>
    <w:p w14:paraId="0DC1D59F" w14:textId="77777777" w:rsidR="00680234" w:rsidRDefault="00680234" w:rsidP="00F326E5">
      <w:pPr>
        <w:pStyle w:val="NoSpacing"/>
        <w:rPr>
          <w:rFonts w:ascii="Arial Black" w:hAnsi="Arial Black"/>
          <w:sz w:val="40"/>
          <w:szCs w:val="40"/>
        </w:rPr>
      </w:pPr>
    </w:p>
    <w:p w14:paraId="35ED3CCC" w14:textId="77777777" w:rsidR="00680234" w:rsidRDefault="00680234" w:rsidP="00F326E5">
      <w:pPr>
        <w:pStyle w:val="NoSpacing"/>
        <w:rPr>
          <w:rFonts w:ascii="Arial Black" w:hAnsi="Arial Black"/>
          <w:sz w:val="40"/>
          <w:szCs w:val="40"/>
        </w:rPr>
      </w:pPr>
    </w:p>
    <w:p w14:paraId="2D26EE6A" w14:textId="77777777" w:rsidR="00680234" w:rsidRDefault="00680234" w:rsidP="00F326E5">
      <w:pPr>
        <w:pStyle w:val="NoSpacing"/>
        <w:rPr>
          <w:rFonts w:ascii="Arial Black" w:hAnsi="Arial Black"/>
          <w:sz w:val="40"/>
          <w:szCs w:val="40"/>
        </w:rPr>
      </w:pPr>
    </w:p>
    <w:p w14:paraId="7B23D8BA" w14:textId="77777777" w:rsidR="00680234" w:rsidRDefault="00680234" w:rsidP="00F326E5">
      <w:pPr>
        <w:pStyle w:val="NoSpacing"/>
        <w:rPr>
          <w:rFonts w:ascii="Arial Black" w:hAnsi="Arial Black"/>
          <w:sz w:val="40"/>
          <w:szCs w:val="40"/>
        </w:rPr>
      </w:pPr>
    </w:p>
    <w:p w14:paraId="554774DE" w14:textId="77777777" w:rsidR="00680234" w:rsidRDefault="00680234" w:rsidP="00F326E5">
      <w:pPr>
        <w:pStyle w:val="NoSpacing"/>
        <w:rPr>
          <w:rFonts w:ascii="Arial Black" w:hAnsi="Arial Black"/>
          <w:sz w:val="40"/>
          <w:szCs w:val="40"/>
        </w:rPr>
      </w:pPr>
    </w:p>
    <w:p w14:paraId="1873C028" w14:textId="77777777" w:rsidR="00680234" w:rsidRDefault="00680234" w:rsidP="00F326E5">
      <w:pPr>
        <w:pStyle w:val="NoSpacing"/>
        <w:rPr>
          <w:rFonts w:ascii="Arial Black" w:hAnsi="Arial Black"/>
          <w:sz w:val="40"/>
          <w:szCs w:val="40"/>
        </w:rPr>
      </w:pPr>
    </w:p>
    <w:p w14:paraId="22A87D14" w14:textId="77777777" w:rsidR="00680234" w:rsidRDefault="00680234" w:rsidP="00F326E5">
      <w:pPr>
        <w:pStyle w:val="NoSpacing"/>
        <w:rPr>
          <w:rFonts w:ascii="Arial Black" w:hAnsi="Arial Black"/>
          <w:sz w:val="40"/>
          <w:szCs w:val="40"/>
        </w:rPr>
      </w:pPr>
    </w:p>
    <w:p w14:paraId="21DEF991" w14:textId="77777777" w:rsidR="00680234" w:rsidRDefault="00680234" w:rsidP="00F326E5">
      <w:pPr>
        <w:pStyle w:val="NoSpacing"/>
        <w:rPr>
          <w:rFonts w:ascii="Arial Black" w:hAnsi="Arial Black"/>
          <w:sz w:val="40"/>
          <w:szCs w:val="40"/>
        </w:rPr>
      </w:pPr>
    </w:p>
    <w:p w14:paraId="14DF8684" w14:textId="77777777" w:rsidR="00680234" w:rsidRDefault="00680234" w:rsidP="00F326E5">
      <w:pPr>
        <w:pStyle w:val="NoSpacing"/>
        <w:rPr>
          <w:rFonts w:ascii="Arial Black" w:hAnsi="Arial Black"/>
          <w:sz w:val="40"/>
          <w:szCs w:val="40"/>
        </w:rPr>
      </w:pPr>
    </w:p>
    <w:p w14:paraId="2EB685D0" w14:textId="77777777" w:rsidR="00680234" w:rsidRDefault="00680234" w:rsidP="00F326E5">
      <w:pPr>
        <w:pStyle w:val="NoSpacing"/>
        <w:rPr>
          <w:rFonts w:ascii="Arial Black" w:hAnsi="Arial Black"/>
          <w:sz w:val="40"/>
          <w:szCs w:val="40"/>
        </w:rPr>
      </w:pPr>
    </w:p>
    <w:p w14:paraId="2DF3FF63" w14:textId="5E383E2F" w:rsidR="00F326E5" w:rsidRDefault="00F326E5" w:rsidP="00F326E5">
      <w:pPr>
        <w:pStyle w:val="NoSpacing"/>
        <w:rPr>
          <w:rFonts w:ascii="Arial Black" w:hAnsi="Arial Black"/>
          <w:sz w:val="40"/>
          <w:szCs w:val="40"/>
        </w:rPr>
      </w:pPr>
      <w:r w:rsidRPr="007732FA">
        <w:rPr>
          <w:rFonts w:ascii="Arial Black" w:hAnsi="Arial Black"/>
          <w:sz w:val="40"/>
          <w:szCs w:val="40"/>
        </w:rPr>
        <w:t>Chap. 4</w:t>
      </w:r>
      <w:r w:rsidRPr="007732FA">
        <w:rPr>
          <w:rFonts w:ascii="Arial Black" w:hAnsi="Arial Black"/>
          <w:sz w:val="40"/>
          <w:szCs w:val="40"/>
        </w:rPr>
        <w:tab/>
        <w:t>Incident Command</w:t>
      </w:r>
      <w:r w:rsidR="003F660F">
        <w:rPr>
          <w:rFonts w:ascii="Arial Black" w:hAnsi="Arial Black"/>
          <w:sz w:val="40"/>
          <w:szCs w:val="40"/>
        </w:rPr>
        <w:t>, including T</w:t>
      </w:r>
      <w:r w:rsidRPr="007732FA">
        <w:rPr>
          <w:rFonts w:ascii="Arial Black" w:hAnsi="Arial Black"/>
          <w:sz w:val="40"/>
          <w:szCs w:val="40"/>
        </w:rPr>
        <w:t>raining</w:t>
      </w:r>
      <w:r w:rsidR="003F660F">
        <w:rPr>
          <w:rFonts w:ascii="Arial Black" w:hAnsi="Arial Black"/>
          <w:sz w:val="40"/>
          <w:szCs w:val="40"/>
        </w:rPr>
        <w:t xml:space="preserve">, </w:t>
      </w:r>
      <w:r w:rsidRPr="007732FA">
        <w:rPr>
          <w:rFonts w:ascii="Arial Black" w:hAnsi="Arial Black"/>
          <w:sz w:val="40"/>
          <w:szCs w:val="40"/>
        </w:rPr>
        <w:t>Drones</w:t>
      </w:r>
    </w:p>
    <w:p w14:paraId="049942EC" w14:textId="77777777" w:rsidR="00F326E5" w:rsidRDefault="00F326E5" w:rsidP="00F326E5">
      <w:pPr>
        <w:pStyle w:val="NoSpacing"/>
        <w:rPr>
          <w:b/>
          <w:sz w:val="24"/>
          <w:szCs w:val="24"/>
        </w:rPr>
      </w:pPr>
    </w:p>
    <w:p w14:paraId="2397F6E4" w14:textId="3249F894" w:rsidR="00F20107" w:rsidRDefault="00F20107" w:rsidP="00F20107">
      <w:pPr>
        <w:rPr>
          <w:rStyle w:val="Hyperlink"/>
          <w:rFonts w:ascii="Arial Black" w:hAnsi="Arial Black"/>
          <w:b/>
          <w:color w:val="auto"/>
          <w:sz w:val="24"/>
          <w:szCs w:val="24"/>
          <w:u w:val="none"/>
        </w:rPr>
      </w:pPr>
      <w:bookmarkStart w:id="173" w:name="_Hlk7342420"/>
      <w:r>
        <w:rPr>
          <w:rStyle w:val="Hyperlink"/>
          <w:rFonts w:ascii="Arial Black" w:hAnsi="Arial Black"/>
          <w:b/>
          <w:color w:val="auto"/>
          <w:sz w:val="24"/>
          <w:szCs w:val="24"/>
          <w:u w:val="none"/>
        </w:rPr>
        <w:t>4-5</w:t>
      </w:r>
      <w:r>
        <w:rPr>
          <w:rStyle w:val="Hyperlink"/>
          <w:rFonts w:ascii="Arial Black" w:hAnsi="Arial Black"/>
          <w:b/>
          <w:color w:val="auto"/>
          <w:sz w:val="24"/>
          <w:szCs w:val="24"/>
          <w:u w:val="none"/>
        </w:rPr>
        <w:t>9</w:t>
      </w:r>
    </w:p>
    <w:p w14:paraId="35061050" w14:textId="094861FF" w:rsidR="00F20107" w:rsidRDefault="00F20107" w:rsidP="00F20107">
      <w:pPr>
        <w:pStyle w:val="NoSpacing"/>
        <w:rPr>
          <w:rFonts w:ascii="Arial Black" w:hAnsi="Arial Black"/>
          <w:bCs/>
          <w:sz w:val="28"/>
          <w:szCs w:val="28"/>
        </w:rPr>
      </w:pPr>
      <w:r>
        <w:rPr>
          <w:rFonts w:ascii="Arial Black" w:hAnsi="Arial Black"/>
          <w:sz w:val="28"/>
          <w:szCs w:val="28"/>
        </w:rPr>
        <w:t>NJ: DRONES – BOROUGH CAN’T PROHIBIT ALL REC USE</w:t>
      </w:r>
    </w:p>
    <w:p w14:paraId="44AC98D1" w14:textId="77777777" w:rsidR="00F20107" w:rsidRDefault="00F20107" w:rsidP="00F20107">
      <w:pPr>
        <w:pStyle w:val="NoSpacing"/>
        <w:rPr>
          <w:bCs/>
        </w:rPr>
      </w:pPr>
    </w:p>
    <w:p w14:paraId="2C6F55E8" w14:textId="77777777" w:rsidR="00F20107" w:rsidRDefault="00F20107" w:rsidP="00F20107">
      <w:pPr>
        <w:pStyle w:val="NoSpacing"/>
      </w:pPr>
      <w:r>
        <w:t xml:space="preserve">On September 24, </w:t>
      </w:r>
      <w:proofErr w:type="gramStart"/>
      <w:r>
        <w:t>2026</w:t>
      </w:r>
      <w:proofErr w:type="gramEnd"/>
      <w:r>
        <w:t xml:space="preserve"> </w:t>
      </w:r>
      <w:r w:rsidRPr="00B956C1">
        <w:rPr>
          <w:u w:val="single"/>
        </w:rPr>
        <w:t>in Paul A. Palange, Jr. v. Borough of Lodi, et al</w:t>
      </w:r>
      <w:r w:rsidRPr="006F0A30">
        <w:rPr>
          <w:u w:val="single"/>
        </w:rPr>
        <w:t>.,</w:t>
      </w:r>
      <w:r>
        <w:t xml:space="preserve"> U.S. Magistrate Judge Leda D. </w:t>
      </w:r>
      <w:proofErr w:type="spellStart"/>
      <w:r>
        <w:t>Wettre</w:t>
      </w:r>
      <w:proofErr w:type="spellEnd"/>
      <w:r>
        <w:t>, United States District Court for the District of New Jersey, denied [unpublished opinion] the Borough’s motion to dismiss this lawsuit filed by pro se plaintiff (no attorney), but also denied plaintiff a temporary restraining order because Borough will not enforce an illegal ordinance. “</w:t>
      </w:r>
      <w:r w:rsidRPr="007E53C7">
        <w:t>Because the Ordinance thus stands as an obstacle to the FAA and Congress's objectives to integrate UAS into the national airspace, it is conflict preempted.</w:t>
      </w:r>
      <w:r>
        <w:t>”</w:t>
      </w:r>
    </w:p>
    <w:p w14:paraId="463F5FCD" w14:textId="77777777" w:rsidR="00F20107" w:rsidRDefault="00F20107" w:rsidP="00F20107">
      <w:pPr>
        <w:pStyle w:val="NoSpacing"/>
        <w:rPr>
          <w:b/>
        </w:rPr>
      </w:pPr>
      <w:hyperlink r:id="rId869" w:history="1">
        <w:r w:rsidRPr="00FD1476">
          <w:rPr>
            <w:rStyle w:val="Hyperlink"/>
            <w:b/>
          </w:rPr>
          <w:t>https://public.fastcase.com/Jhe1Qn%2BmJndQYQU6z%2FeNm5lK9nnluUEDFLBMk8c%2BEbbiVLhBdaGQPB2K7KxF05qvRXgLOBnhO6zmbwnQEd%2Bcp5vL1X3aknN2ZIEX9e9nlPQ%3D?utm_medium=email&amp;_hsenc=p2ANqtz-92vz7qFPgw4hU1EP2-OxD4sQggQ9DCeQ8V8xRgNlgxFmwNqwyN5d-f8qKTSbjnWmyGjP6laPnZUt9vrVtw86EfVLtmhA&amp;_hsmi=226712652&amp;utm_content=226712652&amp;utm_source=hs_email</w:t>
        </w:r>
      </w:hyperlink>
      <w:r>
        <w:rPr>
          <w:b/>
        </w:rPr>
        <w:t xml:space="preserve"> </w:t>
      </w:r>
    </w:p>
    <w:p w14:paraId="084B0FFF" w14:textId="77777777" w:rsidR="00F20107" w:rsidRDefault="00F20107" w:rsidP="00F20107">
      <w:pPr>
        <w:pStyle w:val="NoSpacing"/>
        <w:rPr>
          <w:b/>
        </w:rPr>
      </w:pPr>
    </w:p>
    <w:p w14:paraId="42B158EB" w14:textId="77777777" w:rsidR="00F20107" w:rsidRDefault="00F20107" w:rsidP="00F20107">
      <w:pPr>
        <w:pStyle w:val="NoSpacing"/>
      </w:pPr>
      <w:r>
        <w:t>THE COURT WROTE:</w:t>
      </w:r>
    </w:p>
    <w:p w14:paraId="28ACFA73" w14:textId="77777777" w:rsidR="00F20107" w:rsidRDefault="00F20107" w:rsidP="00F20107">
      <w:pPr>
        <w:pStyle w:val="NoSpacing"/>
      </w:pPr>
    </w:p>
    <w:p w14:paraId="0F10E7C5" w14:textId="77777777" w:rsidR="00F20107" w:rsidRDefault="00F20107" w:rsidP="00F20107">
      <w:pPr>
        <w:pStyle w:val="NoSpacing"/>
        <w:ind w:left="720"/>
      </w:pPr>
      <w:r>
        <w:t>“</w:t>
      </w:r>
      <w:r w:rsidRPr="006006F0">
        <w:t>Plaintiff is a resident of the Borough of Lodi (</w:t>
      </w:r>
      <w:r>
        <w:t>‘</w:t>
      </w:r>
      <w:r w:rsidRPr="006006F0">
        <w:t>the Borough</w:t>
      </w:r>
      <w:r>
        <w:t>’</w:t>
      </w:r>
      <w:r w:rsidRPr="006006F0">
        <w:t>), New Jersey, and operates small, unmanned aircraft systems (</w:t>
      </w:r>
      <w:r>
        <w:t>‘</w:t>
      </w:r>
      <w:r w:rsidRPr="006006F0">
        <w:t>UAS</w:t>
      </w:r>
      <w:r>
        <w:t>’</w:t>
      </w:r>
      <w:r w:rsidRPr="006006F0">
        <w:t>), also commonly called drones, registered with the Federal Aviation Administration (</w:t>
      </w:r>
      <w:r>
        <w:t>‘</w:t>
      </w:r>
      <w:r w:rsidRPr="006006F0">
        <w:t>FAA</w:t>
      </w:r>
      <w:r>
        <w:t>’)….</w:t>
      </w:r>
      <w:r w:rsidRPr="006006F0">
        <w:t>From February through July 2025, police officers regularly visited Plaintiff's property to inspect Plaintiff's drone and inquire about his flights</w:t>
      </w:r>
      <w:r>
        <w:t xml:space="preserve">…. </w:t>
      </w:r>
      <w:r w:rsidRPr="006006F0">
        <w:t>On multiple occasions, Plaintiff produced the drone's FAA and the Low Altitude Authorization and Notification Capability (</w:t>
      </w:r>
      <w:r>
        <w:t>‘</w:t>
      </w:r>
      <w:r w:rsidRPr="006006F0">
        <w:t>LAANC</w:t>
      </w:r>
      <w:r>
        <w:t>’</w:t>
      </w:r>
      <w:r w:rsidRPr="006006F0">
        <w:t>) authorization paperwork and explained that the flights were launched and landed on private property and were recreational in nature</w:t>
      </w:r>
      <w:r>
        <w:t xml:space="preserve">…. </w:t>
      </w:r>
      <w:r w:rsidRPr="006006F0">
        <w:t>Officers also inspected the drone and confirmed that it had no camera.</w:t>
      </w:r>
    </w:p>
    <w:p w14:paraId="169829D1" w14:textId="77777777" w:rsidR="00F20107" w:rsidRDefault="00F20107" w:rsidP="00F20107">
      <w:pPr>
        <w:pStyle w:val="NoSpacing"/>
        <w:ind w:left="720"/>
      </w:pPr>
    </w:p>
    <w:p w14:paraId="6688E1B5" w14:textId="77777777" w:rsidR="00F20107" w:rsidRDefault="00F20107" w:rsidP="00F20107">
      <w:pPr>
        <w:pStyle w:val="NoSpacing"/>
        <w:ind w:left="720"/>
      </w:pPr>
      <w:r>
        <w:t>***</w:t>
      </w:r>
    </w:p>
    <w:p w14:paraId="2C47D218" w14:textId="77777777" w:rsidR="00F20107" w:rsidRDefault="00F20107" w:rsidP="00F20107">
      <w:pPr>
        <w:pStyle w:val="NoSpacing"/>
      </w:pPr>
    </w:p>
    <w:p w14:paraId="5A53A76D" w14:textId="77777777" w:rsidR="00F20107" w:rsidRDefault="00F20107" w:rsidP="00F20107">
      <w:pPr>
        <w:pStyle w:val="NoSpacing"/>
        <w:ind w:left="720"/>
      </w:pPr>
      <w:r w:rsidRPr="00AA20B1">
        <w:t xml:space="preserve">On July 16, 2025, Plaintiff was served in court with Ordinance Chapter 217—Drones and Unmanned Aircraft (the </w:t>
      </w:r>
      <w:r>
        <w:t>‘</w:t>
      </w:r>
      <w:r w:rsidRPr="00AA20B1">
        <w:t>Ordinance</w:t>
      </w:r>
      <w:r>
        <w:t>’</w:t>
      </w:r>
      <w:r w:rsidRPr="00AA20B1">
        <w:t>)</w:t>
      </w:r>
      <w:r>
        <w:t xml:space="preserve">…. </w:t>
      </w:r>
      <w:r w:rsidRPr="00AA20B1">
        <w:t>On July 18, July 22, and July 30, 2025, Plaintiff was served with summonses alleging violations of the Ordinance</w:t>
      </w:r>
      <w:r>
        <w:rPr>
          <w:vertAlign w:val="superscript"/>
        </w:rPr>
        <w:t>….</w:t>
      </w:r>
      <w:r w:rsidRPr="00AA20B1">
        <w:t>The Ordinance prohibits drones from flying in any airspace below 400 feet within the Borough and prohibits unmanned aircraft from flying below 400 feet over residential or commercial zones, roads, public buildings, parks, and property.</w:t>
      </w:r>
    </w:p>
    <w:p w14:paraId="564AF017" w14:textId="77777777" w:rsidR="00F20107" w:rsidRDefault="00F20107" w:rsidP="00F20107">
      <w:pPr>
        <w:pStyle w:val="NoSpacing"/>
        <w:ind w:left="720"/>
      </w:pPr>
    </w:p>
    <w:p w14:paraId="13E986FD" w14:textId="77777777" w:rsidR="00F20107" w:rsidRDefault="00F20107" w:rsidP="00F20107">
      <w:pPr>
        <w:pStyle w:val="NoSpacing"/>
        <w:ind w:left="720"/>
      </w:pPr>
      <w:r>
        <w:t>***</w:t>
      </w:r>
    </w:p>
    <w:p w14:paraId="00EC4938" w14:textId="77777777" w:rsidR="00F20107" w:rsidRDefault="00F20107" w:rsidP="00F20107">
      <w:pPr>
        <w:pStyle w:val="NoSpacing"/>
        <w:ind w:left="720"/>
      </w:pPr>
      <w:r w:rsidRPr="007E53C7">
        <w:t>FAA regulations generally limit small UAS operations to 400 feet above ground level, while the Ordinance prohibits flight below 400 feet within the Borough</w:t>
      </w:r>
      <w:r>
        <w:t>….</w:t>
      </w:r>
      <w:r w:rsidRPr="007E53C7">
        <w:t xml:space="preserve">Read together, those restrictions leave no meaningful altitude band in which a UAS may lawfully operate, effectively barring UAS operations in the Borough. Although the Ordinance's restrictions on </w:t>
      </w:r>
      <w:r>
        <w:t>‘</w:t>
      </w:r>
      <w:r w:rsidRPr="007E53C7">
        <w:t>unmanned aircraft</w:t>
      </w:r>
      <w:r>
        <w:t>’</w:t>
      </w:r>
      <w:r w:rsidRPr="007E53C7">
        <w:t xml:space="preserve"> are framed in terms of specified locations rather than a wholesale prohibition, the covered areas—residential and commercial zones, roads, and public buildings, parks and other public property—are so extensive that the Ordinance still operates as an essential ban</w:t>
      </w:r>
      <w:r>
        <w:t xml:space="preserve">…. </w:t>
      </w:r>
      <w:r w:rsidRPr="007E53C7">
        <w:t>Because the Ordinance thus stands as an obstacle to the FAA and Congress's objectives to integrate UAS into the national airspace, it is conflict preempted. The FAA's recognition of limited state and local co-regulation does not extend to a regime that practically prohibits UAS operations across an entire town. Accordingly, as the Ordinance is unenforceable under preemption principles, Defendants' Motion to Dismiss fails.</w:t>
      </w:r>
      <w:r>
        <w:t>”</w:t>
      </w:r>
    </w:p>
    <w:p w14:paraId="03C18A64" w14:textId="77777777" w:rsidR="00F20107" w:rsidRDefault="00F20107" w:rsidP="00F20107">
      <w:pPr>
        <w:pStyle w:val="NoSpacing"/>
        <w:ind w:left="720"/>
      </w:pPr>
    </w:p>
    <w:p w14:paraId="32E6D5C7" w14:textId="77777777" w:rsidR="00F20107" w:rsidRPr="007E53C7" w:rsidRDefault="00F20107" w:rsidP="00F20107">
      <w:pPr>
        <w:pStyle w:val="NoSpacing"/>
        <w:rPr>
          <w:b/>
          <w:bCs/>
        </w:rPr>
      </w:pPr>
      <w:r>
        <w:rPr>
          <w:b/>
        </w:rPr>
        <w:t xml:space="preserve">Legal lesson learned: Ordinance prohibiting recreational drones below 400 feet is unenforceable. </w:t>
      </w:r>
    </w:p>
    <w:p w14:paraId="5CA40226" w14:textId="77777777" w:rsidR="00F20107" w:rsidRDefault="00F20107" w:rsidP="00F20107">
      <w:pPr>
        <w:pStyle w:val="NoSpacing"/>
      </w:pPr>
    </w:p>
    <w:p w14:paraId="1AF357F7" w14:textId="77777777" w:rsidR="00F20107" w:rsidRDefault="00F20107" w:rsidP="00F20107">
      <w:pPr>
        <w:pStyle w:val="NoSpacing"/>
      </w:pPr>
    </w:p>
    <w:p w14:paraId="1A9ABEC2" w14:textId="77777777" w:rsidR="00F20107" w:rsidRDefault="00F20107" w:rsidP="00F20107">
      <w:pPr>
        <w:pStyle w:val="NoSpacing"/>
        <w:rPr>
          <w:rFonts w:ascii="Arial Black" w:hAnsi="Arial Black"/>
          <w:sz w:val="28"/>
          <w:szCs w:val="28"/>
        </w:rPr>
      </w:pPr>
    </w:p>
    <w:p w14:paraId="42E2D77D" w14:textId="77777777" w:rsidR="00F20107" w:rsidRDefault="00F20107" w:rsidP="00F20107">
      <w:pPr>
        <w:pStyle w:val="NoSpacing"/>
        <w:rPr>
          <w:rFonts w:ascii="Arial Black" w:hAnsi="Arial Black"/>
          <w:sz w:val="28"/>
          <w:szCs w:val="28"/>
        </w:rPr>
      </w:pPr>
    </w:p>
    <w:p w14:paraId="19E740B8" w14:textId="103E38F9" w:rsidR="00F20107" w:rsidRDefault="00F20107" w:rsidP="00F20107">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w:t>
      </w:r>
      <w:r>
        <w:rPr>
          <w:rStyle w:val="Hyperlink"/>
          <w:rFonts w:ascii="Arial Black" w:hAnsi="Arial Black"/>
          <w:b/>
          <w:color w:val="auto"/>
          <w:sz w:val="24"/>
          <w:szCs w:val="24"/>
          <w:u w:val="none"/>
        </w:rPr>
        <w:t>8</w:t>
      </w:r>
    </w:p>
    <w:p w14:paraId="3D94E474" w14:textId="624C557D" w:rsidR="00F20107" w:rsidRPr="001736C4" w:rsidRDefault="00F20107" w:rsidP="00F20107">
      <w:pPr>
        <w:pStyle w:val="NoSpacing"/>
        <w:rPr>
          <w:rFonts w:ascii="Arial Black" w:hAnsi="Arial Black"/>
          <w:sz w:val="28"/>
          <w:szCs w:val="28"/>
        </w:rPr>
      </w:pPr>
      <w:r>
        <w:rPr>
          <w:rFonts w:ascii="Arial Black" w:hAnsi="Arial Black"/>
          <w:sz w:val="28"/>
          <w:szCs w:val="28"/>
        </w:rPr>
        <w:t xml:space="preserve">OH: DISPATCH – DIDN’T TELL PD VICTIM IN RD - RUN OVER </w:t>
      </w:r>
    </w:p>
    <w:p w14:paraId="140D1707" w14:textId="77777777" w:rsidR="00F20107" w:rsidRDefault="00F20107" w:rsidP="00F20107">
      <w:pPr>
        <w:pStyle w:val="NoSpacing"/>
      </w:pPr>
    </w:p>
    <w:p w14:paraId="553915B3" w14:textId="77777777" w:rsidR="00F20107" w:rsidRDefault="00F20107" w:rsidP="00F20107">
      <w:pPr>
        <w:pStyle w:val="NoSpacing"/>
        <w:rPr>
          <w:b/>
        </w:rPr>
      </w:pPr>
      <w:r>
        <w:t xml:space="preserve">On September 18, 2026, in </w:t>
      </w:r>
      <w:r w:rsidRPr="003B5161">
        <w:rPr>
          <w:u w:val="single"/>
        </w:rPr>
        <w:t>Joyce Wilson and Taliek Dennis, Co-Administrators of the estate of Eric Eugene Cole v. Amanda Rosales, et al</w:t>
      </w:r>
      <w:r>
        <w:t xml:space="preserve">., the </w:t>
      </w:r>
      <w:r w:rsidRPr="003B5161">
        <w:t>Court of Appeals of Ohio, Second District, Clark</w:t>
      </w:r>
      <w:r>
        <w:t xml:space="preserve"> held (3 to 0) that the trial court properly did not grant immunity to Dispatcher Erin </w:t>
      </w:r>
      <w:r w:rsidRPr="00BA38B7">
        <w:t>Reynolds</w:t>
      </w:r>
      <w:r>
        <w:t xml:space="preserve">, but all other Dispatchers are dismissed from the case. On June 13, 2021, the victim who had been shot in the arm, called the Clark County Dispatch Center and said he was lying in the road. Police responded and ran over him; </w:t>
      </w:r>
      <w:r w:rsidRPr="00883BA8">
        <w:t>Cole sustained blunt force trauma to the torso and died</w:t>
      </w:r>
      <w:r>
        <w:t xml:space="preserve">.  “Upon our review, we conclude that the trial court did not err in denying summary judgment to [Erin] Reynolds. Genuine issues of material fact remain as to whether Reynolds’s conduct was reckless—defeating statutory immunity—given her claim that she did not hear Eric Cole, the Estate’s decedent, say that he was lying in the middle of the street during his 911 call and did not provide the dispatched officers with that important information regarding his location. However, we find that the trial court erred in denying summary judgment to [Mary] Herge and [Staci] Rosales because no reasonable trier of fact could find that they acted in a reckless or wanton manner.”  </w:t>
      </w:r>
      <w:hyperlink r:id="rId870" w:history="1">
        <w:r w:rsidRPr="00BE159C">
          <w:rPr>
            <w:rStyle w:val="Hyperlink"/>
            <w:b/>
          </w:rPr>
          <w:t>https://www.supremecourt.ohio.gov/rod/docs/pdf/2/2026/2026-Ohio-3657.pdf</w:t>
        </w:r>
      </w:hyperlink>
    </w:p>
    <w:p w14:paraId="0A0249AD" w14:textId="77777777" w:rsidR="00F20107" w:rsidRDefault="00F20107" w:rsidP="00F20107">
      <w:pPr>
        <w:pStyle w:val="NoSpacing"/>
        <w:rPr>
          <w:b/>
        </w:rPr>
      </w:pPr>
    </w:p>
    <w:p w14:paraId="14D11691" w14:textId="77777777" w:rsidR="00F20107" w:rsidRDefault="00F20107" w:rsidP="00F20107">
      <w:pPr>
        <w:pStyle w:val="NoSpacing"/>
        <w:rPr>
          <w:bCs/>
        </w:rPr>
      </w:pPr>
      <w:r>
        <w:t>THE COURT WROTE:</w:t>
      </w:r>
    </w:p>
    <w:p w14:paraId="345B6C4D" w14:textId="77777777" w:rsidR="00F20107" w:rsidRDefault="00F20107" w:rsidP="00F20107">
      <w:pPr>
        <w:pStyle w:val="NoSpacing"/>
        <w:rPr>
          <w:bCs/>
        </w:rPr>
      </w:pPr>
    </w:p>
    <w:p w14:paraId="3256A595" w14:textId="77777777" w:rsidR="00F20107" w:rsidRDefault="00F20107" w:rsidP="00F20107">
      <w:pPr>
        <w:pStyle w:val="NoSpacing"/>
        <w:ind w:left="720"/>
        <w:rPr>
          <w:bCs/>
        </w:rPr>
      </w:pPr>
      <w:r>
        <w:t>“</w:t>
      </w:r>
      <w:r w:rsidRPr="00BA38B7">
        <w:t xml:space="preserve">On June 13, 2021, Dispatchers </w:t>
      </w:r>
      <w:r>
        <w:t xml:space="preserve">[Mary] </w:t>
      </w:r>
      <w:r w:rsidRPr="00BA38B7">
        <w:t xml:space="preserve">Herge, </w:t>
      </w:r>
      <w:r>
        <w:t xml:space="preserve">[Erin] </w:t>
      </w:r>
      <w:r w:rsidRPr="00BA38B7">
        <w:t xml:space="preserve">Reynolds, and </w:t>
      </w:r>
      <w:r>
        <w:t>[</w:t>
      </w:r>
      <w:r w:rsidRPr="00DA3A98">
        <w:t>Staci</w:t>
      </w:r>
      <w:r>
        <w:t xml:space="preserve">] </w:t>
      </w:r>
      <w:r w:rsidRPr="00BA38B7">
        <w:t>Raynor, as well as</w:t>
      </w:r>
      <w:r>
        <w:t xml:space="preserve"> </w:t>
      </w:r>
      <w:r w:rsidRPr="00BA38B7">
        <w:t>Morgan Miller, were working the nightshift at the Clark County Dispatch Center. The</w:t>
      </w:r>
      <w:r>
        <w:t xml:space="preserve"> </w:t>
      </w:r>
      <w:r w:rsidRPr="00BA38B7">
        <w:t>Dispatch Center was busy with Reynolds at the main police radio position; Raynor at the</w:t>
      </w:r>
      <w:r>
        <w:t xml:space="preserve"> </w:t>
      </w:r>
      <w:r w:rsidRPr="00BA38B7">
        <w:t>backup police radio and LEADS position; Miller at the fire and EMS dispatch position; and</w:t>
      </w:r>
      <w:r>
        <w:t xml:space="preserve"> </w:t>
      </w:r>
      <w:r w:rsidRPr="00BA38B7">
        <w:t>Herge at the phone and 911 call position.</w:t>
      </w:r>
    </w:p>
    <w:p w14:paraId="411B1647" w14:textId="77777777" w:rsidR="00F20107" w:rsidRDefault="00F20107" w:rsidP="00F20107">
      <w:pPr>
        <w:pStyle w:val="NoSpacing"/>
        <w:ind w:left="720"/>
        <w:rPr>
          <w:bCs/>
        </w:rPr>
      </w:pPr>
    </w:p>
    <w:p w14:paraId="473270C4" w14:textId="77777777" w:rsidR="00F20107" w:rsidRPr="0030540B" w:rsidRDefault="00F20107" w:rsidP="00F20107">
      <w:pPr>
        <w:pStyle w:val="NoSpacing"/>
        <w:ind w:left="720"/>
        <w:rPr>
          <w:bCs/>
        </w:rPr>
      </w:pPr>
      <w:r w:rsidRPr="0030540B">
        <w:t>During an approximately 30-minute period, the dispatch center received several</w:t>
      </w:r>
    </w:p>
    <w:p w14:paraId="751CFA46" w14:textId="77777777" w:rsidR="00F20107" w:rsidRPr="0030540B" w:rsidRDefault="00F20107" w:rsidP="00F20107">
      <w:pPr>
        <w:pStyle w:val="NoSpacing"/>
        <w:ind w:left="720"/>
        <w:rPr>
          <w:bCs/>
        </w:rPr>
      </w:pPr>
      <w:r w:rsidRPr="0030540B">
        <w:t>apparently connected calls, creating chaos in the dispatch center. At 10:50 p.m., Herge</w:t>
      </w:r>
    </w:p>
    <w:p w14:paraId="73BA3EEC" w14:textId="77777777" w:rsidR="00F20107" w:rsidRPr="0030540B" w:rsidRDefault="00F20107" w:rsidP="00F20107">
      <w:pPr>
        <w:pStyle w:val="NoSpacing"/>
        <w:ind w:left="720"/>
        <w:rPr>
          <w:bCs/>
        </w:rPr>
      </w:pPr>
      <w:r w:rsidRPr="0030540B">
        <w:t xml:space="preserve">received a 911 call reporting two shots </w:t>
      </w:r>
      <w:proofErr w:type="gramStart"/>
      <w:r w:rsidRPr="0030540B">
        <w:t>fired</w:t>
      </w:r>
      <w:proofErr w:type="gramEnd"/>
      <w:r w:rsidRPr="0030540B">
        <w:t xml:space="preserve"> near the Sunoco gas station at 1024 E. John</w:t>
      </w:r>
    </w:p>
    <w:p w14:paraId="4B0CC85D" w14:textId="77777777" w:rsidR="00F20107" w:rsidRDefault="00F20107" w:rsidP="00F20107">
      <w:pPr>
        <w:pStyle w:val="NoSpacing"/>
        <w:ind w:left="720"/>
        <w:rPr>
          <w:bCs/>
        </w:rPr>
      </w:pPr>
      <w:r w:rsidRPr="0030540B">
        <w:t>Street. Ten minutes later, a 911 call came in from a female at 221 W. Johnny Lytle Avenue.</w:t>
      </w:r>
      <w:r>
        <w:t xml:space="preserve"> </w:t>
      </w:r>
      <w:r w:rsidRPr="0030540B">
        <w:t xml:space="preserve">Raynor took the call because Herge and Miller were already busy </w:t>
      </w:r>
      <w:proofErr w:type="gramStart"/>
      <w:r w:rsidRPr="0030540B">
        <w:t>on</w:t>
      </w:r>
      <w:proofErr w:type="gramEnd"/>
      <w:r w:rsidRPr="0030540B">
        <w:t xml:space="preserve"> the phones. The female</w:t>
      </w:r>
      <w:r>
        <w:t xml:space="preserve"> </w:t>
      </w:r>
      <w:r w:rsidRPr="0030540B">
        <w:t xml:space="preserve">caller reported to Raynor that her ex-boyfriend, whom she called </w:t>
      </w:r>
      <w:r>
        <w:t>‘</w:t>
      </w:r>
      <w:r w:rsidRPr="0030540B">
        <w:t>TR Cole,</w:t>
      </w:r>
      <w:r>
        <w:t>’</w:t>
      </w:r>
      <w:r w:rsidRPr="0030540B">
        <w:t xml:space="preserve"> was waving a</w:t>
      </w:r>
      <w:r>
        <w:t xml:space="preserve"> </w:t>
      </w:r>
      <w:r w:rsidRPr="0030540B">
        <w:t>gun and threatening her. Raynor was unable to learn more information before she</w:t>
      </w:r>
      <w:r>
        <w:t xml:space="preserve"> </w:t>
      </w:r>
      <w:r w:rsidRPr="0030540B">
        <w:t>transferred the call to the officer in charge.</w:t>
      </w:r>
    </w:p>
    <w:p w14:paraId="446F6F87" w14:textId="77777777" w:rsidR="00F20107" w:rsidRDefault="00F20107" w:rsidP="00F20107">
      <w:pPr>
        <w:pStyle w:val="NoSpacing"/>
        <w:ind w:left="720"/>
        <w:rPr>
          <w:bCs/>
        </w:rPr>
      </w:pPr>
    </w:p>
    <w:p w14:paraId="02165C6C" w14:textId="77777777" w:rsidR="00F20107" w:rsidRPr="00700133" w:rsidRDefault="00F20107" w:rsidP="00F20107">
      <w:pPr>
        <w:pStyle w:val="NoSpacing"/>
        <w:ind w:left="720"/>
        <w:rPr>
          <w:bCs/>
        </w:rPr>
      </w:pPr>
      <w:r w:rsidRPr="00700133">
        <w:t>Within two minutes of the call to Raynor, Herge received a 911 call reporting</w:t>
      </w:r>
      <w:r>
        <w:t xml:space="preserve"> </w:t>
      </w:r>
      <w:r w:rsidRPr="00700133">
        <w:t xml:space="preserve">people shooting at 414 W. High Street. The caller stated that </w:t>
      </w:r>
      <w:r>
        <w:t>‘</w:t>
      </w:r>
      <w:r w:rsidRPr="00700133">
        <w:t xml:space="preserve">Jolani </w:t>
      </w:r>
      <w:proofErr w:type="gramStart"/>
      <w:r w:rsidRPr="00700133">
        <w:t>Sills</w:t>
      </w:r>
      <w:r>
        <w:t>’</w:t>
      </w:r>
      <w:proofErr w:type="gramEnd"/>
      <w:r w:rsidRPr="00700133">
        <w:t xml:space="preserve"> was angry</w:t>
      </w:r>
      <w:r>
        <w:t xml:space="preserve"> </w:t>
      </w:r>
      <w:r w:rsidRPr="00700133">
        <w:t>because the caller did not want to be in a relationship with him. The caller confirmed that a</w:t>
      </w:r>
    </w:p>
    <w:p w14:paraId="2EE44E90" w14:textId="77777777" w:rsidR="00F20107" w:rsidRDefault="00F20107" w:rsidP="00F20107">
      <w:pPr>
        <w:pStyle w:val="NoSpacing"/>
        <w:ind w:left="720"/>
        <w:rPr>
          <w:bCs/>
        </w:rPr>
      </w:pPr>
      <w:proofErr w:type="gramStart"/>
      <w:r w:rsidRPr="00700133">
        <w:t>gun</w:t>
      </w:r>
      <w:proofErr w:type="gramEnd"/>
      <w:r w:rsidRPr="00700133">
        <w:t xml:space="preserve"> had been fired, and Herge tried to get information about the suspect’s car and weapons.</w:t>
      </w:r>
    </w:p>
    <w:p w14:paraId="07A6AE0E" w14:textId="77777777" w:rsidR="00F20107" w:rsidRDefault="00F20107" w:rsidP="00F20107">
      <w:pPr>
        <w:pStyle w:val="NoSpacing"/>
        <w:ind w:left="720"/>
        <w:rPr>
          <w:bCs/>
        </w:rPr>
      </w:pPr>
    </w:p>
    <w:p w14:paraId="206FFAFF" w14:textId="77777777" w:rsidR="00F20107" w:rsidRPr="00695A5C" w:rsidRDefault="00F20107" w:rsidP="00F20107">
      <w:pPr>
        <w:pStyle w:val="NoSpacing"/>
        <w:ind w:left="720"/>
        <w:rPr>
          <w:bCs/>
        </w:rPr>
      </w:pPr>
      <w:r w:rsidRPr="00695A5C">
        <w:t>At 11:04 p.m., while Herge was still handling the call regarding possible shots</w:t>
      </w:r>
    </w:p>
    <w:p w14:paraId="02FCCD0D" w14:textId="77777777" w:rsidR="00F20107" w:rsidRDefault="00F20107" w:rsidP="00F20107">
      <w:pPr>
        <w:pStyle w:val="NoSpacing"/>
        <w:ind w:left="720"/>
        <w:rPr>
          <w:bCs/>
        </w:rPr>
      </w:pPr>
      <w:r w:rsidRPr="00695A5C">
        <w:t>fired at 414 W. High Street, the dispatchers received another call regarding the initia</w:t>
      </w:r>
      <w:r>
        <w:t xml:space="preserve">l </w:t>
      </w:r>
      <w:r w:rsidRPr="002F41B5">
        <w:t>complaint at 221 W. Johnny Lytle Avenue. The call went to another dispatch center because</w:t>
      </w:r>
      <w:r>
        <w:t xml:space="preserve"> </w:t>
      </w:r>
      <w:r w:rsidRPr="002F41B5">
        <w:t>the dispatchers were so busy, and Miller answered the call. The caller, Destiny Sudberry,</w:t>
      </w:r>
      <w:r>
        <w:t xml:space="preserve"> </w:t>
      </w:r>
      <w:r w:rsidRPr="002F41B5">
        <w:t>reported that someone was threatening her family. Miller had difficulty getting information</w:t>
      </w:r>
      <w:r>
        <w:t xml:space="preserve"> </w:t>
      </w:r>
      <w:r w:rsidRPr="002F41B5">
        <w:t>from Sudberry but deduced that Eric Cole was threatening to shoot her house.</w:t>
      </w:r>
    </w:p>
    <w:p w14:paraId="375318FB" w14:textId="77777777" w:rsidR="00F20107" w:rsidRDefault="00F20107" w:rsidP="00F20107">
      <w:pPr>
        <w:pStyle w:val="NoSpacing"/>
        <w:ind w:left="720"/>
        <w:rPr>
          <w:bCs/>
        </w:rPr>
      </w:pPr>
    </w:p>
    <w:p w14:paraId="09F223F0" w14:textId="77777777" w:rsidR="00F20107" w:rsidRPr="00577321" w:rsidRDefault="00F20107" w:rsidP="00F20107">
      <w:pPr>
        <w:pStyle w:val="NoSpacing"/>
        <w:ind w:left="720"/>
        <w:rPr>
          <w:bCs/>
        </w:rPr>
      </w:pPr>
      <w:r w:rsidRPr="00577321">
        <w:t>At 11:10 p.m., Herge received a 911 call reporting that at least eight shots had</w:t>
      </w:r>
    </w:p>
    <w:p w14:paraId="295974FF" w14:textId="77777777" w:rsidR="00F20107" w:rsidRDefault="00F20107" w:rsidP="00F20107">
      <w:pPr>
        <w:pStyle w:val="NoSpacing"/>
        <w:ind w:left="720"/>
        <w:rPr>
          <w:bCs/>
        </w:rPr>
      </w:pPr>
      <w:r w:rsidRPr="00577321">
        <w:t>been fired at 401 W. Liberty Street. Herge tried to get the name of the shooter but was only</w:t>
      </w:r>
      <w:r>
        <w:t xml:space="preserve"> </w:t>
      </w:r>
      <w:r w:rsidRPr="00577321">
        <w:t xml:space="preserve">told that the suspect’s name was </w:t>
      </w:r>
      <w:r>
        <w:t>‘</w:t>
      </w:r>
      <w:r w:rsidRPr="00577321">
        <w:t>Pee.</w:t>
      </w:r>
      <w:r>
        <w:t>’</w:t>
      </w:r>
      <w:r w:rsidRPr="00577321">
        <w:t xml:space="preserve"> At 11:11 p.m., an unknown caller from Opportunity</w:t>
      </w:r>
      <w:r>
        <w:t xml:space="preserve"> </w:t>
      </w:r>
      <w:r w:rsidRPr="00577321">
        <w:t>Gardens reported hearing 20 shots fired. At 11:12 p.m., a female called 911 and was</w:t>
      </w:r>
      <w:r>
        <w:t xml:space="preserve"> </w:t>
      </w:r>
      <w:r w:rsidRPr="00577321">
        <w:t>unintelligibly screaming. At the same time, a third caller reported being terrified after hearing</w:t>
      </w:r>
      <w:r>
        <w:t xml:space="preserve"> </w:t>
      </w:r>
      <w:r w:rsidRPr="00577321">
        <w:t>multiple shots down the street from her house at 404 W. Euclid Avenue. That caller called</w:t>
      </w:r>
      <w:r>
        <w:t xml:space="preserve"> </w:t>
      </w:r>
      <w:r w:rsidRPr="00577321">
        <w:t>back about one minute later saying that she heard more yelling.</w:t>
      </w:r>
    </w:p>
    <w:p w14:paraId="67EA2710" w14:textId="77777777" w:rsidR="00F20107" w:rsidRDefault="00F20107" w:rsidP="00F20107">
      <w:pPr>
        <w:pStyle w:val="NoSpacing"/>
        <w:ind w:left="720"/>
        <w:rPr>
          <w:bCs/>
        </w:rPr>
      </w:pPr>
    </w:p>
    <w:p w14:paraId="1CE97525" w14:textId="77777777" w:rsidR="00F20107" w:rsidRPr="00E67209" w:rsidRDefault="00F20107" w:rsidP="00F20107">
      <w:pPr>
        <w:pStyle w:val="NoSpacing"/>
        <w:ind w:left="720"/>
        <w:rPr>
          <w:bCs/>
        </w:rPr>
      </w:pPr>
      <w:r w:rsidRPr="00E67209">
        <w:t>At 11:16 p.m., Eric Cole called 911 and reported to Reynolds that he had been</w:t>
      </w:r>
    </w:p>
    <w:p w14:paraId="433FC83C" w14:textId="77777777" w:rsidR="00F20107" w:rsidRPr="00E67209" w:rsidRDefault="00F20107" w:rsidP="00F20107">
      <w:pPr>
        <w:pStyle w:val="NoSpacing"/>
        <w:ind w:left="720"/>
        <w:rPr>
          <w:bCs/>
        </w:rPr>
      </w:pPr>
      <w:r w:rsidRPr="00E67209">
        <w:t>shot in the arm. Reynolds mistakenly thought that Cole identified his location as 414 S.</w:t>
      </w:r>
    </w:p>
    <w:p w14:paraId="00F17DB1" w14:textId="77777777" w:rsidR="00F20107" w:rsidRPr="00E67209" w:rsidRDefault="00F20107" w:rsidP="00F20107">
      <w:pPr>
        <w:pStyle w:val="NoSpacing"/>
        <w:ind w:left="720"/>
        <w:rPr>
          <w:bCs/>
        </w:rPr>
      </w:pPr>
      <w:r w:rsidRPr="00E67209">
        <w:t>Center Boulevard, but he stated his location as 1407 S. Center Boulevard. He then stated</w:t>
      </w:r>
    </w:p>
    <w:p w14:paraId="4B6FA540" w14:textId="77777777" w:rsidR="00F20107" w:rsidRPr="00E67209" w:rsidRDefault="00F20107" w:rsidP="00F20107">
      <w:pPr>
        <w:pStyle w:val="NoSpacing"/>
        <w:ind w:left="720"/>
        <w:rPr>
          <w:bCs/>
        </w:rPr>
      </w:pPr>
      <w:r w:rsidRPr="00E67209">
        <w:t xml:space="preserve">that he was </w:t>
      </w:r>
      <w:r>
        <w:t>‘</w:t>
      </w:r>
      <w:r w:rsidRPr="00E67209">
        <w:t>about to die</w:t>
      </w:r>
      <w:r>
        <w:t>’</w:t>
      </w:r>
      <w:r w:rsidRPr="00E67209">
        <w:t xml:space="preserve"> and informed her twice that he was </w:t>
      </w:r>
      <w:r>
        <w:t>‘</w:t>
      </w:r>
      <w:r w:rsidRPr="00E67209">
        <w:t>in the middle of the street.</w:t>
      </w:r>
      <w:r>
        <w:t>’</w:t>
      </w:r>
    </w:p>
    <w:p w14:paraId="152359B3" w14:textId="77777777" w:rsidR="00F20107" w:rsidRDefault="00F20107" w:rsidP="00F20107">
      <w:pPr>
        <w:pStyle w:val="NoSpacing"/>
        <w:ind w:left="720"/>
        <w:rPr>
          <w:bCs/>
        </w:rPr>
      </w:pPr>
      <w:r w:rsidRPr="00E67209">
        <w:t>Reynolds’s conversation with Cole ended after approximately 32 seconds, when Herge took</w:t>
      </w:r>
      <w:r>
        <w:t xml:space="preserve"> </w:t>
      </w:r>
      <w:r w:rsidRPr="00E67209">
        <w:t>over Cole’s call.</w:t>
      </w:r>
    </w:p>
    <w:p w14:paraId="0834F7FB" w14:textId="77777777" w:rsidR="00F20107" w:rsidRDefault="00F20107" w:rsidP="00F20107">
      <w:pPr>
        <w:pStyle w:val="NoSpacing"/>
        <w:ind w:left="720"/>
        <w:rPr>
          <w:bCs/>
        </w:rPr>
      </w:pPr>
    </w:p>
    <w:p w14:paraId="731A0463" w14:textId="77777777" w:rsidR="00F20107" w:rsidRPr="000459FF" w:rsidRDefault="00F20107" w:rsidP="00F20107">
      <w:pPr>
        <w:pStyle w:val="NoSpacing"/>
        <w:ind w:left="720"/>
        <w:rPr>
          <w:bCs/>
        </w:rPr>
      </w:pPr>
      <w:r>
        <w:t>O</w:t>
      </w:r>
      <w:r w:rsidRPr="000459FF">
        <w:t xml:space="preserve">nce Herge was on the call with Cole, he told her that he was </w:t>
      </w:r>
      <w:r>
        <w:t>‘</w:t>
      </w:r>
      <w:r w:rsidRPr="000459FF">
        <w:t>dying</w:t>
      </w:r>
      <w:r>
        <w:t>’</w:t>
      </w:r>
      <w:r w:rsidRPr="000459FF">
        <w:t xml:space="preserve"> and was</w:t>
      </w:r>
    </w:p>
    <w:p w14:paraId="4827509C" w14:textId="77777777" w:rsidR="00F20107" w:rsidRPr="000459FF" w:rsidRDefault="00F20107" w:rsidP="00F20107">
      <w:pPr>
        <w:pStyle w:val="NoSpacing"/>
        <w:ind w:left="720"/>
        <w:rPr>
          <w:bCs/>
        </w:rPr>
      </w:pPr>
      <w:r w:rsidRPr="000459FF">
        <w:t xml:space="preserve">outside in the middle of the street at 1407 S. Center Boulevard. Herge typed </w:t>
      </w:r>
      <w:r>
        <w:t>‘</w:t>
      </w:r>
      <w:r w:rsidRPr="000459FF">
        <w:t>HE IS</w:t>
      </w:r>
    </w:p>
    <w:p w14:paraId="274C5A3F" w14:textId="77777777" w:rsidR="00F20107" w:rsidRDefault="00F20107" w:rsidP="00F20107">
      <w:pPr>
        <w:pStyle w:val="NoSpacing"/>
        <w:ind w:left="720"/>
        <w:rPr>
          <w:bCs/>
        </w:rPr>
      </w:pPr>
      <w:r w:rsidRPr="000459FF">
        <w:t>OUTSIDE IN THE MIDDLE OF THE STREET</w:t>
      </w:r>
      <w:r>
        <w:t>’</w:t>
      </w:r>
      <w:r w:rsidRPr="000459FF">
        <w:t xml:space="preserve"> into the computer-aided dispatch </w:t>
      </w:r>
      <w:proofErr w:type="gramStart"/>
      <w:r w:rsidRPr="000459FF">
        <w:t>system</w:t>
      </w:r>
      <w:r>
        <w:t xml:space="preserve"> </w:t>
      </w:r>
      <w:r w:rsidRPr="000459FF">
        <w:t>(</w:t>
      </w:r>
      <w:r>
        <w:t>‘</w:t>
      </w:r>
      <w:proofErr w:type="gramEnd"/>
      <w:r w:rsidRPr="000459FF">
        <w:t>CAD</w:t>
      </w:r>
      <w:r>
        <w:t>’</w:t>
      </w:r>
      <w:r w:rsidRPr="000459FF">
        <w:t>). She did not radio the information regarding Cole’s location to the officers because</w:t>
      </w:r>
      <w:r>
        <w:t xml:space="preserve"> </w:t>
      </w:r>
      <w:r w:rsidRPr="000459FF">
        <w:t>she was still on the line with Cole and believed that the information on Cole’s location was</w:t>
      </w:r>
      <w:r>
        <w:t xml:space="preserve"> </w:t>
      </w:r>
      <w:r w:rsidRPr="000459FF">
        <w:t>automatically transmitted to the responding police units by way of the CAD.</w:t>
      </w:r>
    </w:p>
    <w:p w14:paraId="372EFA1B" w14:textId="77777777" w:rsidR="00F20107" w:rsidRDefault="00F20107" w:rsidP="00F20107">
      <w:pPr>
        <w:pStyle w:val="NoSpacing"/>
        <w:ind w:left="720"/>
        <w:rPr>
          <w:bCs/>
        </w:rPr>
      </w:pPr>
    </w:p>
    <w:p w14:paraId="203DA1C5" w14:textId="77777777" w:rsidR="00F20107" w:rsidRPr="00B34198" w:rsidRDefault="00F20107" w:rsidP="00F20107">
      <w:pPr>
        <w:pStyle w:val="NoSpacing"/>
        <w:ind w:left="720"/>
        <w:rPr>
          <w:bCs/>
        </w:rPr>
      </w:pPr>
      <w:r w:rsidRPr="00B34198">
        <w:t>While Herge remained on the line with Cole, she heard the police sirens</w:t>
      </w:r>
      <w:r>
        <w:t xml:space="preserve"> </w:t>
      </w:r>
      <w:r w:rsidRPr="00B34198">
        <w:t xml:space="preserve">through the phone. Suddenly, Cole told Herge, </w:t>
      </w:r>
      <w:r>
        <w:t>‘</w:t>
      </w:r>
      <w:r w:rsidRPr="00B34198">
        <w:t>They just hit me.</w:t>
      </w:r>
      <w:r>
        <w:t>’</w:t>
      </w:r>
      <w:r w:rsidRPr="00B34198">
        <w:t xml:space="preserve"> Herge asked, </w:t>
      </w:r>
      <w:r>
        <w:t>‘</w:t>
      </w:r>
      <w:r w:rsidRPr="00B34198">
        <w:t>Who hit</w:t>
      </w:r>
    </w:p>
    <w:p w14:paraId="7773D2BD" w14:textId="77777777" w:rsidR="00F20107" w:rsidRDefault="00F20107" w:rsidP="00F20107">
      <w:pPr>
        <w:pStyle w:val="NoSpacing"/>
        <w:ind w:left="720"/>
        <w:rPr>
          <w:bCs/>
        </w:rPr>
      </w:pPr>
      <w:r w:rsidRPr="00B34198">
        <w:t>you?</w:t>
      </w:r>
      <w:r>
        <w:t>’</w:t>
      </w:r>
      <w:r w:rsidRPr="00B34198">
        <w:t xml:space="preserve"> Cole replied, </w:t>
      </w:r>
      <w:r>
        <w:t>‘</w:t>
      </w:r>
      <w:r w:rsidRPr="00B34198">
        <w:t>Police.</w:t>
      </w:r>
      <w:r>
        <w:t>’</w:t>
      </w:r>
      <w:r w:rsidRPr="00B34198">
        <w:t xml:space="preserve"> Herge exclaimed, </w:t>
      </w:r>
      <w:r>
        <w:t>‘</w:t>
      </w:r>
      <w:r w:rsidRPr="00B34198">
        <w:t>The police hit you?</w:t>
      </w:r>
      <w:r>
        <w:t>’</w:t>
      </w:r>
      <w:r w:rsidRPr="00B34198">
        <w:t xml:space="preserve"> Cole replied, </w:t>
      </w:r>
      <w:r>
        <w:t>‘</w:t>
      </w:r>
      <w:r w:rsidRPr="00B34198">
        <w:t>Yeah.</w:t>
      </w:r>
      <w:r>
        <w:t>’</w:t>
      </w:r>
    </w:p>
    <w:p w14:paraId="31688423" w14:textId="77777777" w:rsidR="00F20107" w:rsidRDefault="00F20107" w:rsidP="00F20107">
      <w:pPr>
        <w:pStyle w:val="NoSpacing"/>
        <w:ind w:left="720"/>
        <w:rPr>
          <w:bCs/>
        </w:rPr>
      </w:pPr>
    </w:p>
    <w:p w14:paraId="11A206B6" w14:textId="77777777" w:rsidR="00F20107" w:rsidRDefault="00F20107" w:rsidP="00F20107">
      <w:pPr>
        <w:pStyle w:val="NoSpacing"/>
        <w:ind w:left="720"/>
        <w:rPr>
          <w:bCs/>
        </w:rPr>
      </w:pPr>
      <w:r>
        <w:t>***</w:t>
      </w:r>
    </w:p>
    <w:p w14:paraId="0FE83F59" w14:textId="77777777" w:rsidR="00F20107" w:rsidRPr="00194264" w:rsidRDefault="00F20107" w:rsidP="00F20107">
      <w:pPr>
        <w:pStyle w:val="NoSpacing"/>
        <w:ind w:left="720"/>
        <w:rPr>
          <w:bCs/>
        </w:rPr>
      </w:pPr>
      <w:r w:rsidRPr="00194264">
        <w:t xml:space="preserve">Cole sustained blunt force trauma to the torso and died </w:t>
      </w:r>
      <w:proofErr w:type="gramStart"/>
      <w:r w:rsidRPr="00194264">
        <w:t>as a result of</w:t>
      </w:r>
      <w:proofErr w:type="gramEnd"/>
      <w:r w:rsidRPr="00194264">
        <w:t xml:space="preserve"> his injuries. The</w:t>
      </w:r>
    </w:p>
    <w:p w14:paraId="5BD2FAE5" w14:textId="77777777" w:rsidR="00F20107" w:rsidRDefault="00F20107" w:rsidP="00F20107">
      <w:pPr>
        <w:pStyle w:val="NoSpacing"/>
        <w:ind w:left="720"/>
        <w:rPr>
          <w:bCs/>
        </w:rPr>
      </w:pPr>
      <w:r w:rsidRPr="00194264">
        <w:t>coroner determined the manner of death was an accident.</w:t>
      </w:r>
    </w:p>
    <w:p w14:paraId="47EFFA8F" w14:textId="77777777" w:rsidR="00F20107" w:rsidRDefault="00F20107" w:rsidP="00F20107">
      <w:pPr>
        <w:pStyle w:val="NoSpacing"/>
        <w:ind w:left="720"/>
        <w:rPr>
          <w:bCs/>
        </w:rPr>
      </w:pPr>
    </w:p>
    <w:p w14:paraId="5C6C11D8" w14:textId="77777777" w:rsidR="00F20107" w:rsidRDefault="00F20107" w:rsidP="00F20107">
      <w:pPr>
        <w:pStyle w:val="NoSpacing"/>
        <w:ind w:left="720"/>
        <w:rPr>
          <w:bCs/>
        </w:rPr>
      </w:pPr>
      <w:r>
        <w:t>***</w:t>
      </w:r>
    </w:p>
    <w:p w14:paraId="38F579C4" w14:textId="77777777" w:rsidR="00F20107" w:rsidRPr="00C81FF6" w:rsidRDefault="00F20107" w:rsidP="00F20107">
      <w:pPr>
        <w:pStyle w:val="NoSpacing"/>
        <w:ind w:left="720"/>
        <w:rPr>
          <w:bCs/>
        </w:rPr>
      </w:pPr>
      <w:r w:rsidRPr="00C81FF6">
        <w:t>We recognize that Reynolds asserts she did not hear Cole when he twice told</w:t>
      </w:r>
      <w:r>
        <w:t xml:space="preserve"> </w:t>
      </w:r>
      <w:r w:rsidRPr="00C81FF6">
        <w:t>her that he was in the middle of the street. However, on the recording of the call, Cole’s</w:t>
      </w:r>
      <w:r>
        <w:t xml:space="preserve"> </w:t>
      </w:r>
      <w:r w:rsidRPr="00C81FF6">
        <w:t>statement that he was in the street is clearly audible. There are also questions of (1) whether</w:t>
      </w:r>
    </w:p>
    <w:p w14:paraId="3C4D1611" w14:textId="77777777" w:rsidR="00F20107" w:rsidRDefault="00F20107" w:rsidP="00F20107">
      <w:pPr>
        <w:pStyle w:val="NoSpacing"/>
        <w:ind w:left="720"/>
        <w:rPr>
          <w:bCs/>
        </w:rPr>
      </w:pPr>
      <w:r w:rsidRPr="00C81FF6">
        <w:t xml:space="preserve">Reynolds was the dispatcher responsible for </w:t>
      </w:r>
      <w:r>
        <w:t>‘</w:t>
      </w:r>
      <w:r w:rsidRPr="00C81FF6">
        <w:t>attaching</w:t>
      </w:r>
      <w:r>
        <w:t>’</w:t>
      </w:r>
      <w:r w:rsidRPr="00C81FF6">
        <w:t xml:space="preserve"> the call to the CAD system to ensure</w:t>
      </w:r>
      <w:r>
        <w:t xml:space="preserve"> </w:t>
      </w:r>
      <w:r w:rsidRPr="00C81FF6">
        <w:t>that information entered by the dispatchers appeared on the in-car computer screens for the</w:t>
      </w:r>
      <w:r>
        <w:t xml:space="preserve"> </w:t>
      </w:r>
      <w:r w:rsidRPr="00C81FF6">
        <w:t>responding officers to see and (2) whether she was responsible for verbally relaying over</w:t>
      </w:r>
      <w:r>
        <w:t xml:space="preserve"> </w:t>
      </w:r>
      <w:r w:rsidRPr="00C81FF6">
        <w:t>the police radio that Cole was in the middle of the street.</w:t>
      </w:r>
      <w:r>
        <w:t>”</w:t>
      </w:r>
    </w:p>
    <w:p w14:paraId="7454570D" w14:textId="77777777" w:rsidR="00F20107" w:rsidRDefault="00F20107" w:rsidP="00F20107">
      <w:pPr>
        <w:pStyle w:val="NoSpacing"/>
        <w:ind w:left="720"/>
        <w:rPr>
          <w:bCs/>
        </w:rPr>
      </w:pPr>
    </w:p>
    <w:p w14:paraId="629C757F" w14:textId="77777777" w:rsidR="00F20107" w:rsidRPr="00194264" w:rsidRDefault="00F20107" w:rsidP="00F20107">
      <w:pPr>
        <w:rPr>
          <w:b/>
        </w:rPr>
      </w:pPr>
      <w:r>
        <w:rPr>
          <w:b/>
        </w:rPr>
        <w:t xml:space="preserve">Legal lesson learned: The lawsuit will continue against Dispatcher Erin Reynolds. </w:t>
      </w:r>
    </w:p>
    <w:p w14:paraId="137B428B" w14:textId="77777777" w:rsidR="00F20107" w:rsidRDefault="00F20107" w:rsidP="000636AB">
      <w:pPr>
        <w:rPr>
          <w:rStyle w:val="Hyperlink"/>
          <w:rFonts w:ascii="Arial Black" w:hAnsi="Arial Black"/>
          <w:b/>
          <w:color w:val="auto"/>
          <w:sz w:val="24"/>
          <w:szCs w:val="24"/>
          <w:u w:val="none"/>
        </w:rPr>
      </w:pPr>
    </w:p>
    <w:p w14:paraId="15EA55E9" w14:textId="681D23B1" w:rsidR="003E2FC8" w:rsidRDefault="003E2FC8"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4-57</w:t>
      </w:r>
    </w:p>
    <w:p w14:paraId="315DFCB0" w14:textId="77777777" w:rsidR="003E2FC8" w:rsidRPr="00E51C17" w:rsidRDefault="003E2FC8" w:rsidP="003E2FC8">
      <w:pPr>
        <w:pStyle w:val="NoSpacing"/>
        <w:rPr>
          <w:rFonts w:ascii="Arial Black" w:hAnsi="Arial Black"/>
          <w:b/>
          <w:sz w:val="28"/>
          <w:szCs w:val="28"/>
        </w:rPr>
      </w:pPr>
      <w:r>
        <w:rPr>
          <w:rFonts w:ascii="Arial Black" w:hAnsi="Arial Black"/>
          <w:b/>
          <w:sz w:val="28"/>
          <w:szCs w:val="28"/>
        </w:rPr>
        <w:t>NJ: PROM EXAM QUEST - 2</w:t>
      </w:r>
      <w:r w:rsidRPr="009E1C40">
        <w:rPr>
          <w:rFonts w:ascii="Arial Black" w:hAnsi="Arial Black"/>
          <w:b/>
          <w:sz w:val="28"/>
          <w:szCs w:val="28"/>
          <w:vertAlign w:val="superscript"/>
        </w:rPr>
        <w:t>nd</w:t>
      </w:r>
      <w:r>
        <w:rPr>
          <w:rFonts w:ascii="Arial Black" w:hAnsi="Arial Black"/>
          <w:b/>
          <w:sz w:val="28"/>
          <w:szCs w:val="28"/>
        </w:rPr>
        <w:t xml:space="preserve"> FL DORM FIRE – GRADED FAIR</w:t>
      </w:r>
    </w:p>
    <w:p w14:paraId="7DB3ADCC" w14:textId="77777777" w:rsidR="003E2FC8" w:rsidRDefault="003E2FC8" w:rsidP="003E2FC8">
      <w:pPr>
        <w:pStyle w:val="NoSpacing"/>
        <w:rPr>
          <w:b/>
        </w:rPr>
      </w:pPr>
    </w:p>
    <w:p w14:paraId="711F5E59" w14:textId="77777777" w:rsidR="003E2FC8" w:rsidRDefault="003E2FC8" w:rsidP="003E2FC8">
      <w:pPr>
        <w:pStyle w:val="NoSpacing"/>
        <w:rPr>
          <w:bCs/>
        </w:rPr>
      </w:pPr>
      <w:r>
        <w:t xml:space="preserve">On July 21, 2026, </w:t>
      </w:r>
      <w:r w:rsidRPr="00E86F11">
        <w:rPr>
          <w:u w:val="single"/>
        </w:rPr>
        <w:t xml:space="preserve">In </w:t>
      </w:r>
      <w:proofErr w:type="gramStart"/>
      <w:r w:rsidRPr="00E86F11">
        <w:rPr>
          <w:u w:val="single"/>
        </w:rPr>
        <w:t>The</w:t>
      </w:r>
      <w:proofErr w:type="gramEnd"/>
      <w:r w:rsidRPr="00E86F11">
        <w:rPr>
          <w:u w:val="single"/>
        </w:rPr>
        <w:t xml:space="preserve"> Matter </w:t>
      </w:r>
      <w:proofErr w:type="gramStart"/>
      <w:r w:rsidRPr="00E86F11">
        <w:rPr>
          <w:u w:val="single"/>
        </w:rPr>
        <w:t>Of</w:t>
      </w:r>
      <w:proofErr w:type="gramEnd"/>
      <w:r w:rsidRPr="00E86F11">
        <w:rPr>
          <w:u w:val="single"/>
        </w:rPr>
        <w:t xml:space="preserve"> Brian S. Morton, Fire Officer, North Hudson Fire </w:t>
      </w:r>
      <w:proofErr w:type="gramStart"/>
      <w:r w:rsidRPr="00E86F11">
        <w:rPr>
          <w:u w:val="single"/>
        </w:rPr>
        <w:t>And</w:t>
      </w:r>
      <w:proofErr w:type="gramEnd"/>
      <w:r w:rsidRPr="00E86F11">
        <w:rPr>
          <w:u w:val="single"/>
        </w:rPr>
        <w:t xml:space="preserve"> Rescue</w:t>
      </w:r>
      <w:r>
        <w:t xml:space="preserve">, the Superior Court of New Jersey, Appellate Division, held (2 to 0; unpublished opinion) that court upholds the New Jersey Civil Service Commission ruling denying the fire fighters appeal about the scoring of his promotional examination. </w:t>
      </w:r>
      <w:r w:rsidRPr="00FC44A7">
        <w:t>In 2022, Morton completed the promotional examination for Fire Officer 1,</w:t>
      </w:r>
      <w:r>
        <w:t xml:space="preserve"> </w:t>
      </w:r>
      <w:r w:rsidRPr="00FC44A7">
        <w:t>which consisted of a written and oral examination. Morton passed with a</w:t>
      </w:r>
      <w:r>
        <w:t xml:space="preserve"> </w:t>
      </w:r>
      <w:r w:rsidRPr="00FC44A7">
        <w:t>combined score of 87.680, ranking thirty-first on the promotion list.</w:t>
      </w:r>
      <w:r>
        <w:t xml:space="preserve"> </w:t>
      </w:r>
      <w:r w:rsidRPr="00627C17">
        <w:t>Morton argued he received an erroneous score of two on</w:t>
      </w:r>
      <w:r>
        <w:t xml:space="preserve"> </w:t>
      </w:r>
      <w:r w:rsidRPr="00627C17">
        <w:t>the technical component of the "evolving scenario" section of the oral</w:t>
      </w:r>
      <w:r>
        <w:t xml:space="preserve"> </w:t>
      </w:r>
      <w:r w:rsidRPr="00627C17">
        <w:t>examination</w:t>
      </w:r>
      <w:r>
        <w:t xml:space="preserve"> - </w:t>
      </w:r>
      <w:r w:rsidRPr="00EB490C">
        <w:t>hypothetical fire on the second floor of a college dormitory with the candidate</w:t>
      </w:r>
      <w:r>
        <w:t xml:space="preserve"> </w:t>
      </w:r>
      <w:r w:rsidRPr="00EB490C">
        <w:t>serving as the first-level supervisor of the first arriving engine company</w:t>
      </w:r>
      <w:r>
        <w:t xml:space="preserve">.   </w:t>
      </w:r>
      <w:hyperlink r:id="rId871" w:history="1">
        <w:r w:rsidRPr="0044034D">
          <w:rPr>
            <w:rStyle w:val="Hyperlink"/>
          </w:rPr>
          <w:t>https://www.njcourts.gov/system/files/court-opinions/2026/a0803-24.pdf</w:t>
        </w:r>
      </w:hyperlink>
      <w:r>
        <w:t xml:space="preserve"> </w:t>
      </w:r>
    </w:p>
    <w:p w14:paraId="5B736442" w14:textId="77777777" w:rsidR="003E2FC8" w:rsidRDefault="003E2FC8" w:rsidP="003E2FC8">
      <w:pPr>
        <w:pStyle w:val="NoSpacing"/>
        <w:rPr>
          <w:bCs/>
        </w:rPr>
      </w:pPr>
    </w:p>
    <w:p w14:paraId="74DA0F6A" w14:textId="77777777" w:rsidR="003E2FC8" w:rsidRDefault="003E2FC8" w:rsidP="003E2FC8">
      <w:pPr>
        <w:pStyle w:val="NoSpacing"/>
        <w:rPr>
          <w:bCs/>
        </w:rPr>
      </w:pPr>
      <w:r>
        <w:t>THE COURT WROTE:</w:t>
      </w:r>
    </w:p>
    <w:p w14:paraId="6C8E54BC" w14:textId="77777777" w:rsidR="003E2FC8" w:rsidRDefault="003E2FC8" w:rsidP="003E2FC8">
      <w:pPr>
        <w:pStyle w:val="NoSpacing"/>
        <w:rPr>
          <w:bCs/>
        </w:rPr>
      </w:pPr>
    </w:p>
    <w:p w14:paraId="2B559A9F" w14:textId="77777777" w:rsidR="003E2FC8" w:rsidRPr="002D4B7E" w:rsidRDefault="003E2FC8" w:rsidP="003E2FC8">
      <w:pPr>
        <w:pStyle w:val="NoSpacing"/>
        <w:rPr>
          <w:bCs/>
        </w:rPr>
      </w:pPr>
      <w:r>
        <w:t>“</w:t>
      </w:r>
      <w:r w:rsidRPr="001A4039">
        <w:t xml:space="preserve">The SME awarded Morton a two for </w:t>
      </w:r>
      <w:r>
        <w:t>‘</w:t>
      </w:r>
      <w:r w:rsidRPr="001A4039">
        <w:t>fail[</w:t>
      </w:r>
      <w:proofErr w:type="spellStart"/>
      <w:r w:rsidRPr="001A4039">
        <w:t>ing</w:t>
      </w:r>
      <w:proofErr w:type="spellEnd"/>
      <w:r w:rsidRPr="001A4039">
        <w:t>] to perform the mandatory</w:t>
      </w:r>
      <w:r>
        <w:t xml:space="preserve"> </w:t>
      </w:r>
      <w:r w:rsidRPr="001A4039">
        <w:t>action of ordering the fire department connection (FDC) standpipe/sprinklers to</w:t>
      </w:r>
      <w:r>
        <w:t xml:space="preserve"> </w:t>
      </w:r>
      <w:r w:rsidRPr="001A4039">
        <w:t>be fed and miss[</w:t>
      </w:r>
      <w:proofErr w:type="spellStart"/>
      <w:r w:rsidRPr="001A4039">
        <w:t>ing</w:t>
      </w:r>
      <w:proofErr w:type="spellEnd"/>
      <w:r w:rsidRPr="001A4039">
        <w:t>] a number of additional opportunities, including, in part, the</w:t>
      </w:r>
      <w:r>
        <w:t xml:space="preserve"> </w:t>
      </w:r>
      <w:r w:rsidRPr="001A4039">
        <w:t>opportunity to ensure fire doors are properly controlled.</w:t>
      </w:r>
      <w:r>
        <w:t xml:space="preserve">’ … </w:t>
      </w:r>
      <w:r w:rsidRPr="002D4B7E">
        <w:t xml:space="preserve">In challenging his score, Morton disputed the validity of </w:t>
      </w:r>
      <w:r>
        <w:t>‘</w:t>
      </w:r>
      <w:r w:rsidRPr="002D4B7E">
        <w:t>requiring the</w:t>
      </w:r>
    </w:p>
    <w:p w14:paraId="0E199603" w14:textId="77777777" w:rsidR="003E2FC8" w:rsidRDefault="003E2FC8" w:rsidP="003E2FC8">
      <w:pPr>
        <w:pStyle w:val="NoSpacing"/>
        <w:rPr>
          <w:bCs/>
        </w:rPr>
      </w:pPr>
      <w:r w:rsidRPr="002D4B7E">
        <w:t>first due engine to always feed the FDC as a mandatory response.</w:t>
      </w:r>
      <w:r>
        <w:t xml:space="preserve">’ … </w:t>
      </w:r>
      <w:r w:rsidRPr="00227F13">
        <w:t>We discern no due process violation in the</w:t>
      </w:r>
      <w:r>
        <w:t xml:space="preserve"> </w:t>
      </w:r>
      <w:r w:rsidRPr="00227F13">
        <w:t>Commission's not entertaining oral argument</w:t>
      </w:r>
      <w:r>
        <w:t xml:space="preserve">…. </w:t>
      </w:r>
      <w:r w:rsidRPr="003120EB">
        <w:t>Here, Morton does not dispute he had the ability to review his oral</w:t>
      </w:r>
      <w:r>
        <w:t xml:space="preserve"> </w:t>
      </w:r>
      <w:r w:rsidRPr="003120EB">
        <w:t>examination. Additionally, both Morton's merits brief and the Commission's</w:t>
      </w:r>
      <w:r>
        <w:t xml:space="preserve"> </w:t>
      </w:r>
      <w:r w:rsidRPr="003120EB">
        <w:t>written decision refer extensively to Morton's responses and the PCAs he</w:t>
      </w:r>
      <w:r>
        <w:t xml:space="preserve"> </w:t>
      </w:r>
      <w:r w:rsidRPr="003120EB">
        <w:t>missed. We perceive no basis to conclude Morton was denied adequate</w:t>
      </w:r>
      <w:r>
        <w:t xml:space="preserve"> </w:t>
      </w:r>
      <w:r w:rsidRPr="003120EB">
        <w:t>opportunity to review his oral examination results prior to his appeal.</w:t>
      </w:r>
      <w:r>
        <w:t>”</w:t>
      </w:r>
    </w:p>
    <w:p w14:paraId="069CB92D" w14:textId="77777777" w:rsidR="003E2FC8" w:rsidRDefault="003E2FC8" w:rsidP="003E2FC8">
      <w:pPr>
        <w:pStyle w:val="NoSpacing"/>
        <w:rPr>
          <w:bCs/>
        </w:rPr>
      </w:pPr>
    </w:p>
    <w:p w14:paraId="45789CC8" w14:textId="77777777" w:rsidR="003E2FC8" w:rsidRPr="00B022EF" w:rsidRDefault="003E2FC8" w:rsidP="003E2FC8">
      <w:pPr>
        <w:pStyle w:val="NoSpacing"/>
        <w:rPr>
          <w:b/>
        </w:rPr>
      </w:pPr>
      <w:r w:rsidRPr="00B022EF">
        <w:rPr>
          <w:b/>
        </w:rPr>
        <w:t xml:space="preserve">Legal lesson learned: </w:t>
      </w:r>
      <w:r>
        <w:rPr>
          <w:b/>
        </w:rPr>
        <w:t xml:space="preserve">The Civil Service Commission can </w:t>
      </w:r>
      <w:proofErr w:type="gramStart"/>
      <w:r>
        <w:rPr>
          <w:b/>
        </w:rPr>
        <w:t>decided</w:t>
      </w:r>
      <w:proofErr w:type="gramEnd"/>
      <w:r>
        <w:rPr>
          <w:b/>
        </w:rPr>
        <w:t xml:space="preserve"> an appeal based on the administrative record; no right to appear before the Commission for oral argument. </w:t>
      </w:r>
    </w:p>
    <w:p w14:paraId="3F238FA7" w14:textId="77777777" w:rsidR="003E2FC8" w:rsidRDefault="003E2FC8" w:rsidP="003E2FC8">
      <w:pPr>
        <w:pStyle w:val="NoSpacing"/>
        <w:rPr>
          <w:b/>
          <w:sz w:val="20"/>
          <w:szCs w:val="20"/>
        </w:rPr>
      </w:pPr>
    </w:p>
    <w:p w14:paraId="524AE231" w14:textId="77777777" w:rsidR="003E2FC8" w:rsidRDefault="003E2FC8" w:rsidP="003E2FC8">
      <w:pPr>
        <w:pStyle w:val="NoSpacing"/>
        <w:rPr>
          <w:b/>
          <w:sz w:val="20"/>
          <w:szCs w:val="20"/>
        </w:rPr>
      </w:pPr>
    </w:p>
    <w:p w14:paraId="2F7B23D2" w14:textId="77777777" w:rsidR="003E2FC8" w:rsidRDefault="003E2FC8" w:rsidP="000636AB">
      <w:pPr>
        <w:rPr>
          <w:rStyle w:val="Hyperlink"/>
          <w:rFonts w:ascii="Arial Black" w:hAnsi="Arial Black"/>
          <w:b/>
          <w:color w:val="auto"/>
          <w:sz w:val="24"/>
          <w:szCs w:val="24"/>
          <w:u w:val="none"/>
        </w:rPr>
      </w:pPr>
    </w:p>
    <w:p w14:paraId="59AC81E1" w14:textId="77777777" w:rsidR="003E2FC8" w:rsidRDefault="003E2FC8" w:rsidP="000636AB">
      <w:pPr>
        <w:rPr>
          <w:rStyle w:val="Hyperlink"/>
          <w:rFonts w:ascii="Arial Black" w:hAnsi="Arial Black"/>
          <w:b/>
          <w:color w:val="auto"/>
          <w:sz w:val="24"/>
          <w:szCs w:val="24"/>
          <w:u w:val="none"/>
        </w:rPr>
      </w:pPr>
    </w:p>
    <w:p w14:paraId="66E319B4" w14:textId="77777777" w:rsidR="003E2FC8" w:rsidRDefault="003E2FC8" w:rsidP="000636AB">
      <w:pPr>
        <w:rPr>
          <w:rStyle w:val="Hyperlink"/>
          <w:rFonts w:ascii="Arial Black" w:hAnsi="Arial Black"/>
          <w:b/>
          <w:color w:val="auto"/>
          <w:sz w:val="24"/>
          <w:szCs w:val="24"/>
          <w:u w:val="none"/>
        </w:rPr>
      </w:pPr>
    </w:p>
    <w:p w14:paraId="0CF9B3D9" w14:textId="49FF6C1B" w:rsidR="009851F6" w:rsidRDefault="00B77E9E"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4-56</w:t>
      </w:r>
    </w:p>
    <w:p w14:paraId="740D796D" w14:textId="77777777" w:rsidR="009851F6" w:rsidRDefault="009851F6" w:rsidP="009851F6">
      <w:pPr>
        <w:pStyle w:val="NoSpacing"/>
        <w:rPr>
          <w:rFonts w:ascii="Arial Black" w:hAnsi="Arial Black"/>
          <w:bCs/>
          <w:sz w:val="28"/>
          <w:szCs w:val="28"/>
        </w:rPr>
      </w:pPr>
      <w:r>
        <w:rPr>
          <w:rFonts w:ascii="Arial Black" w:hAnsi="Arial Black"/>
          <w:sz w:val="28"/>
          <w:szCs w:val="28"/>
        </w:rPr>
        <w:t>WA: 911 DISPATCH – DELAYED NOTIFYING PD</w:t>
      </w:r>
      <w:r>
        <w:rPr>
          <w:rFonts w:ascii="Arial Black" w:hAnsi="Arial Black"/>
          <w:bCs/>
          <w:sz w:val="28"/>
          <w:szCs w:val="28"/>
        </w:rPr>
        <w:t xml:space="preserve"> / VICTIM DIED </w:t>
      </w:r>
    </w:p>
    <w:p w14:paraId="43F83585" w14:textId="77777777" w:rsidR="009851F6" w:rsidRDefault="009851F6" w:rsidP="009851F6">
      <w:pPr>
        <w:pStyle w:val="NoSpacing"/>
        <w:rPr>
          <w:bCs/>
        </w:rPr>
      </w:pPr>
    </w:p>
    <w:p w14:paraId="242A10F3" w14:textId="77777777" w:rsidR="009851F6" w:rsidRDefault="009851F6" w:rsidP="009851F6">
      <w:r>
        <w:t xml:space="preserve">On June 1, 2026, in </w:t>
      </w:r>
      <w:r w:rsidRPr="00DF323C">
        <w:rPr>
          <w:u w:val="single"/>
        </w:rPr>
        <w:t>Tricia Keith Bartlett, as the Personal Representative of the Estate of Amber Mary Keith Tricia v. Valley Communications Center</w:t>
      </w:r>
      <w:r>
        <w:t>, the Court of Appeals of Washington, Division 1 held (3 to 0) that trial court improperly dismissed the estate’s lawsuit. The Court wrote: “</w:t>
      </w:r>
      <w:r w:rsidRPr="00B5497E">
        <w:t>Because the allegations in the complaint are legally sufficient to establish that the special relationship exception to the public duty doctrine applied, the trial court erred in dismissing the Estate's negligence claim.</w:t>
      </w:r>
      <w:r>
        <w:t xml:space="preserve">” </w:t>
      </w:r>
      <w:hyperlink r:id="rId872" w:history="1">
        <w:r w:rsidRPr="00971037">
          <w:rPr>
            <w:rStyle w:val="Hyperlink"/>
          </w:rPr>
          <w:t>https://cases.justia.com/washington/court-of-appeals-division-i/2026-87600-7.pdf?ts=1780339477</w:t>
        </w:r>
      </w:hyperlink>
      <w:r>
        <w:t xml:space="preserve"> </w:t>
      </w:r>
    </w:p>
    <w:p w14:paraId="7CD907C0" w14:textId="77777777" w:rsidR="009851F6" w:rsidRDefault="009851F6" w:rsidP="009851F6">
      <w:pPr>
        <w:rPr>
          <w:b/>
          <w:bCs/>
        </w:rPr>
      </w:pPr>
      <w:r w:rsidRPr="00B5497E">
        <w:rPr>
          <w:b/>
        </w:rPr>
        <w:t>FACTS:</w:t>
      </w:r>
    </w:p>
    <w:p w14:paraId="2D0B49E9" w14:textId="77777777" w:rsidR="009851F6" w:rsidRPr="00B5497E" w:rsidRDefault="009851F6" w:rsidP="009851F6">
      <w:pPr>
        <w:pStyle w:val="NoSpacing"/>
        <w:rPr>
          <w:bCs/>
        </w:rPr>
      </w:pPr>
      <w:r>
        <w:t>“</w:t>
      </w:r>
      <w:r w:rsidRPr="00B5497E">
        <w:t xml:space="preserve">Tricia Keith Bartlett, individually and as the personal representative of Amber Keith's estate, Dean Bartlett, and Jesse Keith (collectively, the Estate) sued Valley Communications Center (VCC) alleging that VCC employees negligently classified the 911 calls from the Ramada Inn, which reported sounds of murder and a violent struggle as a lower priority, placing the call into a </w:t>
      </w:r>
      <w:r>
        <w:t>‘</w:t>
      </w:r>
      <w:r w:rsidRPr="00B5497E">
        <w:t>hold</w:t>
      </w:r>
      <w:r>
        <w:t>’</w:t>
      </w:r>
      <w:r w:rsidRPr="00B5497E">
        <w:t xml:space="preserve"> status and resulting in a delayed emergency response and Keith's death. The Estate asserted a negligence claim and a negligent supervision and training claim. The trial court dismissed the complaint under CR 12(b)(6), and the Estate appeals. </w:t>
      </w:r>
    </w:p>
    <w:p w14:paraId="251F3E8C" w14:textId="77777777" w:rsidR="009851F6" w:rsidRDefault="009851F6" w:rsidP="009851F6">
      <w:pPr>
        <w:pStyle w:val="NoSpacing"/>
        <w:rPr>
          <w:bCs/>
        </w:rPr>
      </w:pPr>
    </w:p>
    <w:p w14:paraId="3AAF3E9A" w14:textId="77777777" w:rsidR="009851F6" w:rsidRDefault="009851F6" w:rsidP="009851F6">
      <w:pPr>
        <w:pStyle w:val="NoSpacing"/>
        <w:rPr>
          <w:bCs/>
        </w:rPr>
      </w:pPr>
      <w:r>
        <w:t>***</w:t>
      </w:r>
    </w:p>
    <w:p w14:paraId="70016732" w14:textId="77777777" w:rsidR="009851F6" w:rsidRPr="00AE62E6" w:rsidRDefault="009851F6" w:rsidP="009851F6">
      <w:pPr>
        <w:pStyle w:val="NoSpacing"/>
        <w:rPr>
          <w:bCs/>
        </w:rPr>
      </w:pPr>
      <w:r w:rsidRPr="00AE62E6">
        <w:t xml:space="preserve">On June 14, 2021, Keith was the sole registered occupant in room 214 at the Ramada Inn in Kent, Washington. At around 10:30 a.m., the hotel's housekeeper Rosa Yolanda Diaz Pacheco was cleaning room 212 when she heard sounds of a violent struggle from room 214. Other occupants on the floor also heard disturbing and violent sounds coming from room 214. </w:t>
      </w:r>
    </w:p>
    <w:p w14:paraId="00E0CD6C" w14:textId="77777777" w:rsidR="009851F6" w:rsidRDefault="009851F6" w:rsidP="009851F6">
      <w:pPr>
        <w:pStyle w:val="NoSpacing"/>
        <w:rPr>
          <w:bCs/>
        </w:rPr>
      </w:pPr>
      <w:r w:rsidRPr="00AE62E6">
        <w:t>         </w:t>
      </w:r>
    </w:p>
    <w:p w14:paraId="4B355D35" w14:textId="77777777" w:rsidR="009851F6" w:rsidRPr="00AE62E6" w:rsidRDefault="009851F6" w:rsidP="009851F6">
      <w:pPr>
        <w:pStyle w:val="NoSpacing"/>
        <w:rPr>
          <w:bCs/>
        </w:rPr>
      </w:pPr>
      <w:r w:rsidRPr="00AE62E6">
        <w:t xml:space="preserve">Pacheco ran to the front desk to alert security officer Phillip Eugene Roush. Roush's job was to provide security services for the employees and guests at the Ramada Inn. The area had been plagued with violence and crime. </w:t>
      </w:r>
    </w:p>
    <w:p w14:paraId="5945A434" w14:textId="77777777" w:rsidR="009851F6" w:rsidRDefault="009851F6" w:rsidP="009851F6">
      <w:pPr>
        <w:pStyle w:val="NoSpacing"/>
        <w:rPr>
          <w:bCs/>
        </w:rPr>
      </w:pPr>
      <w:r w:rsidRPr="00AE62E6">
        <w:t>        </w:t>
      </w:r>
    </w:p>
    <w:p w14:paraId="5FB93E0C" w14:textId="77777777" w:rsidR="009851F6" w:rsidRDefault="009851F6" w:rsidP="009851F6">
      <w:pPr>
        <w:pStyle w:val="NoSpacing"/>
        <w:rPr>
          <w:bCs/>
        </w:rPr>
      </w:pPr>
      <w:r w:rsidRPr="00AE62E6">
        <w:t xml:space="preserve"> Roush arrived </w:t>
      </w:r>
      <w:proofErr w:type="gramStart"/>
      <w:r w:rsidRPr="00AE62E6">
        <w:t>at</w:t>
      </w:r>
      <w:proofErr w:type="gramEnd"/>
      <w:r w:rsidRPr="00AE62E6">
        <w:t xml:space="preserve"> room 214 and heard screaming and things breaking. Roush heard a female in the room screaming </w:t>
      </w:r>
      <w:r>
        <w:t>‘</w:t>
      </w:r>
      <w:r w:rsidRPr="00AE62E6">
        <w:t>stop choking me,</w:t>
      </w:r>
      <w:r>
        <w:t>’</w:t>
      </w:r>
      <w:r w:rsidRPr="00AE62E6">
        <w:t xml:space="preserve"> </w:t>
      </w:r>
      <w:r>
        <w:t>‘</w:t>
      </w:r>
      <w:r w:rsidRPr="00AE62E6">
        <w:t>stop pushing me,</w:t>
      </w:r>
      <w:r>
        <w:t>’</w:t>
      </w:r>
      <w:r w:rsidRPr="00AE62E6">
        <w:t xml:space="preserve"> and </w:t>
      </w:r>
      <w:r>
        <w:t>‘</w:t>
      </w:r>
      <w:r w:rsidRPr="00AE62E6">
        <w:t>leave me alone.</w:t>
      </w:r>
    </w:p>
    <w:p w14:paraId="608E466C" w14:textId="77777777" w:rsidR="009851F6" w:rsidRPr="00AE62E6" w:rsidRDefault="009851F6" w:rsidP="009851F6">
      <w:pPr>
        <w:pStyle w:val="NoSpacing"/>
        <w:rPr>
          <w:bCs/>
        </w:rPr>
      </w:pPr>
      <w:r w:rsidRPr="00AE62E6">
        <w:t xml:space="preserve"> </w:t>
      </w:r>
    </w:p>
    <w:p w14:paraId="4D3084EF" w14:textId="77777777" w:rsidR="009851F6" w:rsidRDefault="009851F6" w:rsidP="009851F6">
      <w:pPr>
        <w:pStyle w:val="NoSpacing"/>
        <w:rPr>
          <w:bCs/>
        </w:rPr>
      </w:pPr>
      <w:r w:rsidRPr="00AE62E6">
        <w:t xml:space="preserve">After a few minutes, at 10:56 a.m., Roush called the Kent </w:t>
      </w:r>
      <w:proofErr w:type="gramStart"/>
      <w:r w:rsidRPr="00AE62E6">
        <w:t>police</w:t>
      </w:r>
      <w:proofErr w:type="gramEnd"/>
      <w:r w:rsidRPr="00AE62E6">
        <w:t xml:space="preserve"> nonemergency phone number. This connected him with an employee of VCC (VCC Employee 1). Roush told VCC Employee 1 that it sounded like someone </w:t>
      </w:r>
      <w:proofErr w:type="gramStart"/>
      <w:r w:rsidRPr="00AE62E6">
        <w:t>was getting</w:t>
      </w:r>
      <w:proofErr w:type="gramEnd"/>
      <w:r w:rsidRPr="00AE62E6">
        <w:t xml:space="preserve"> murdered in room 214, and he provided the address. Roush said it was violent, like a 911 situation, and said, </w:t>
      </w:r>
      <w:r>
        <w:t>‘</w:t>
      </w:r>
      <w:r w:rsidRPr="00AE62E6">
        <w:t>ASAP</w:t>
      </w:r>
      <w:proofErr w:type="gramStart"/>
      <w:r w:rsidRPr="00AE62E6">
        <w:t>.</w:t>
      </w:r>
      <w:proofErr w:type="gramEnd"/>
      <w:r w:rsidRPr="00AE62E6">
        <w:t xml:space="preserve"> ASAP. Cause somebody's getting murdered over here.</w:t>
      </w:r>
      <w:r>
        <w:t>’</w:t>
      </w:r>
      <w:r w:rsidRPr="00AE62E6">
        <w:t xml:space="preserve"> Roush stated that he did not know who was in the room, but there had been a </w:t>
      </w:r>
      <w:r>
        <w:t>‘</w:t>
      </w:r>
      <w:r w:rsidRPr="00AE62E6">
        <w:t xml:space="preserve">bunch of </w:t>
      </w:r>
      <w:proofErr w:type="gramStart"/>
      <w:r w:rsidRPr="00AE62E6">
        <w:t>transients</w:t>
      </w:r>
      <w:r>
        <w:t>’</w:t>
      </w:r>
      <w:proofErr w:type="gramEnd"/>
      <w:r w:rsidRPr="00AE62E6">
        <w:t xml:space="preserve"> coming into the hotel. </w:t>
      </w:r>
    </w:p>
    <w:p w14:paraId="5968ADA6" w14:textId="77777777" w:rsidR="009851F6" w:rsidRDefault="009851F6" w:rsidP="009851F6">
      <w:pPr>
        <w:pStyle w:val="NoSpacing"/>
        <w:rPr>
          <w:bCs/>
        </w:rPr>
      </w:pPr>
    </w:p>
    <w:p w14:paraId="1FDA9791" w14:textId="77777777" w:rsidR="009851F6" w:rsidRPr="00135DF5" w:rsidRDefault="009851F6" w:rsidP="009851F6">
      <w:pPr>
        <w:pStyle w:val="NoSpacing"/>
        <w:rPr>
          <w:bCs/>
        </w:rPr>
      </w:pPr>
      <w:r w:rsidRPr="00135DF5">
        <w:t xml:space="preserve">VCC Employee 1 said that they were dispatching help and that they would get there as quickly as they can. VCC Employee 1 </w:t>
      </w:r>
      <w:proofErr w:type="gramStart"/>
      <w:r w:rsidRPr="00135DF5">
        <w:t>entered into</w:t>
      </w:r>
      <w:proofErr w:type="gramEnd"/>
      <w:r w:rsidRPr="00135DF5">
        <w:t xml:space="preserve"> CAD that Roush reported sounds of domestic violence, assigned it a priority level 2, and noted that Roush thinks transients are in the room and that there were no weapons. Unknown to Roush, the call was placed into a </w:t>
      </w:r>
      <w:r>
        <w:t>‘</w:t>
      </w:r>
      <w:r w:rsidRPr="00135DF5">
        <w:t>hold</w:t>
      </w:r>
      <w:r>
        <w:t>’</w:t>
      </w:r>
      <w:r w:rsidRPr="00135DF5">
        <w:t xml:space="preserve"> status. </w:t>
      </w:r>
    </w:p>
    <w:p w14:paraId="1FF55C7C" w14:textId="77777777" w:rsidR="009851F6" w:rsidRDefault="009851F6" w:rsidP="009851F6">
      <w:pPr>
        <w:pStyle w:val="NoSpacing"/>
        <w:rPr>
          <w:bCs/>
        </w:rPr>
      </w:pPr>
      <w:r w:rsidRPr="00135DF5">
        <w:t>        </w:t>
      </w:r>
    </w:p>
    <w:p w14:paraId="22E9CD7A" w14:textId="77777777" w:rsidR="009851F6" w:rsidRPr="00135DF5" w:rsidRDefault="009851F6" w:rsidP="009851F6">
      <w:pPr>
        <w:pStyle w:val="NoSpacing"/>
        <w:rPr>
          <w:bCs/>
        </w:rPr>
      </w:pPr>
      <w:r w:rsidRPr="00135DF5">
        <w:t xml:space="preserve">At 11:16 a.m., Roush called the nonemergency line once again, but it never connected, so he hung up. At 11:26 a.m., Roush heard more concerning noises and called the nonemergency line for a third time. </w:t>
      </w:r>
    </w:p>
    <w:p w14:paraId="7E7C7F48" w14:textId="77777777" w:rsidR="009851F6" w:rsidRDefault="009851F6" w:rsidP="009851F6">
      <w:pPr>
        <w:pStyle w:val="NoSpacing"/>
        <w:rPr>
          <w:bCs/>
        </w:rPr>
      </w:pPr>
      <w:r w:rsidRPr="00135DF5">
        <w:t>         </w:t>
      </w:r>
    </w:p>
    <w:p w14:paraId="092BF5AE" w14:textId="77777777" w:rsidR="009851F6" w:rsidRPr="00135DF5" w:rsidRDefault="009851F6" w:rsidP="009851F6">
      <w:pPr>
        <w:pStyle w:val="NoSpacing"/>
        <w:rPr>
          <w:bCs/>
        </w:rPr>
      </w:pPr>
      <w:r w:rsidRPr="00135DF5">
        <w:t xml:space="preserve">The third call was answered by another employee (VCC Employee 2). Roush referred to the incident as domestic violence and said he heard heavy breathing and that it was very bad and that he never heard anything like it. VCC Employee 2 said she would let them know that he called back about the time delay and </w:t>
      </w:r>
      <w:proofErr w:type="gramStart"/>
      <w:r w:rsidRPr="00135DF5">
        <w:t>provide</w:t>
      </w:r>
      <w:proofErr w:type="gramEnd"/>
      <w:r w:rsidRPr="00135DF5">
        <w:t xml:space="preserve"> an update. </w:t>
      </w:r>
    </w:p>
    <w:p w14:paraId="767CC5E3" w14:textId="77777777" w:rsidR="009851F6" w:rsidRDefault="009851F6" w:rsidP="009851F6">
      <w:pPr>
        <w:pStyle w:val="NoSpacing"/>
        <w:rPr>
          <w:bCs/>
        </w:rPr>
      </w:pPr>
      <w:r w:rsidRPr="00135DF5">
        <w:t>        </w:t>
      </w:r>
    </w:p>
    <w:p w14:paraId="2BC07FB7" w14:textId="77777777" w:rsidR="009851F6" w:rsidRDefault="009851F6" w:rsidP="009851F6">
      <w:pPr>
        <w:pStyle w:val="NoSpacing"/>
        <w:rPr>
          <w:bCs/>
        </w:rPr>
      </w:pPr>
      <w:r w:rsidRPr="00135DF5">
        <w:t xml:space="preserve"> A VCC employee then contacted the Kent police over radio requesting that they </w:t>
      </w:r>
      <w:proofErr w:type="gramStart"/>
      <w:r w:rsidRPr="00135DF5">
        <w:t>look into</w:t>
      </w:r>
      <w:proofErr w:type="gramEnd"/>
      <w:r w:rsidRPr="00135DF5">
        <w:t xml:space="preserve"> the holding calls to see if they could provide an anticipated reporting time. This employee told the officer that Roush reported domestic violence among transients in the room. The officer asked if the room was vacant, and the employee said it sounds like it. Meanwhile, Roush heard shallow breathing and then silence. </w:t>
      </w:r>
    </w:p>
    <w:p w14:paraId="12F058D7" w14:textId="77777777" w:rsidR="009851F6" w:rsidRDefault="009851F6" w:rsidP="009851F6">
      <w:pPr>
        <w:pStyle w:val="NoSpacing"/>
        <w:rPr>
          <w:bCs/>
        </w:rPr>
      </w:pPr>
    </w:p>
    <w:p w14:paraId="298CDCEA" w14:textId="77777777" w:rsidR="009851F6" w:rsidRDefault="009851F6" w:rsidP="009851F6">
      <w:pPr>
        <w:pStyle w:val="NoSpacing"/>
        <w:rPr>
          <w:bCs/>
        </w:rPr>
      </w:pPr>
      <w:r w:rsidRPr="001F622F">
        <w:t xml:space="preserve">At 11:43 a.m., Philip Lopez placed a call to 911 and was connected to VCC. Lopez was the one in the room with Keith. Lopez stated that he needed an ambulance because his fiancé overdosed on drugs and was not breathing. VCC placed this call into CAD as priority 1. </w:t>
      </w:r>
    </w:p>
    <w:p w14:paraId="1C03C850" w14:textId="77777777" w:rsidR="009851F6" w:rsidRDefault="009851F6" w:rsidP="009851F6">
      <w:pPr>
        <w:pStyle w:val="NoSpacing"/>
        <w:rPr>
          <w:bCs/>
        </w:rPr>
      </w:pPr>
    </w:p>
    <w:p w14:paraId="58286D98" w14:textId="77777777" w:rsidR="009851F6" w:rsidRDefault="009851F6" w:rsidP="009851F6">
      <w:pPr>
        <w:pStyle w:val="NoSpacing"/>
      </w:pPr>
      <w:r w:rsidRPr="007A7AC0">
        <w:t> Within minutes, emergency personnel and officers arrived on the scene and began life saving measures. Keith was pronounced dead. Lopez was arrested and charged with the assault and murder of Keith.</w:t>
      </w:r>
      <w:r>
        <w:t>”</w:t>
      </w:r>
    </w:p>
    <w:p w14:paraId="22013377" w14:textId="77777777" w:rsidR="009851F6" w:rsidRDefault="009851F6" w:rsidP="009851F6">
      <w:pPr>
        <w:pStyle w:val="NoSpacing"/>
      </w:pPr>
    </w:p>
    <w:p w14:paraId="23202E81" w14:textId="77777777" w:rsidR="009851F6" w:rsidRDefault="009851F6" w:rsidP="009851F6">
      <w:pPr>
        <w:pStyle w:val="NoSpacing"/>
        <w:rPr>
          <w:b/>
          <w:bCs/>
        </w:rPr>
      </w:pPr>
      <w:r w:rsidRPr="007A7AC0">
        <w:rPr>
          <w:b/>
        </w:rPr>
        <w:t>COURT HELD:</w:t>
      </w:r>
    </w:p>
    <w:p w14:paraId="24A4CF46" w14:textId="77777777" w:rsidR="009851F6" w:rsidRDefault="009851F6" w:rsidP="009851F6">
      <w:pPr>
        <w:pStyle w:val="NoSpacing"/>
        <w:rPr>
          <w:b/>
          <w:bCs/>
        </w:rPr>
      </w:pPr>
    </w:p>
    <w:p w14:paraId="61B0840C" w14:textId="77777777" w:rsidR="009851F6" w:rsidRDefault="009851F6" w:rsidP="009851F6">
      <w:pPr>
        <w:pStyle w:val="NoSpacing"/>
      </w:pPr>
      <w:r>
        <w:t>“</w:t>
      </w:r>
      <w:r w:rsidRPr="00B966F3">
        <w:t>The Estate argues that it pleaded sufficient facts to establish that the special relationship exception is applicable and met. We agree.</w:t>
      </w:r>
    </w:p>
    <w:p w14:paraId="4BC6B579" w14:textId="77777777" w:rsidR="009851F6" w:rsidRDefault="009851F6" w:rsidP="009851F6">
      <w:pPr>
        <w:pStyle w:val="NoSpacing"/>
      </w:pPr>
    </w:p>
    <w:p w14:paraId="212CB920" w14:textId="77777777" w:rsidR="009851F6" w:rsidRDefault="009851F6" w:rsidP="009851F6">
      <w:pPr>
        <w:pStyle w:val="NoSpacing"/>
      </w:pPr>
      <w:r w:rsidRPr="00857E0B">
        <w:t xml:space="preserve">The special relationship exception allows tort actions for the negligent performance of public duties if the plaintiff can prove that there are circumstances setting their relationship with the government apart from the </w:t>
      </w:r>
      <w:proofErr w:type="gramStart"/>
      <w:r w:rsidRPr="00857E0B">
        <w:t>general public</w:t>
      </w:r>
      <w:proofErr w:type="gramEnd"/>
      <w:r w:rsidRPr="00857E0B">
        <w:t xml:space="preserve">. </w:t>
      </w:r>
      <w:r w:rsidRPr="00857E0B">
        <w:rPr>
          <w:i/>
          <w:iCs/>
        </w:rPr>
        <w:t>Cummins v. Lewis County</w:t>
      </w:r>
      <w:r w:rsidRPr="00857E0B">
        <w:t xml:space="preserve">, 156 Wn.2d 844, 854, 133 P.3d 458 (2006). A special relationship imposing an actionable duty to perform arises between the plaintiff and a government entity when "'(1) there is a direct contact or privity between the public official and the injured plaintiff which sets the latter apart from the general public, and (2) there are express assurances given by a public official, which (3) gives rise to justifiable reliance on the part of the plaintiff.'" </w:t>
      </w:r>
      <w:r w:rsidRPr="00857E0B">
        <w:rPr>
          <w:i/>
          <w:iCs/>
        </w:rPr>
        <w:t>Cummins</w:t>
      </w:r>
      <w:r w:rsidRPr="00857E0B">
        <w:t xml:space="preserve">, 156 Wn.2d at 854 (internal quotation marks omitted) (quoting </w:t>
      </w:r>
      <w:r w:rsidRPr="00857E0B">
        <w:rPr>
          <w:i/>
          <w:iCs/>
        </w:rPr>
        <w:t>Beal v. City of Seattle</w:t>
      </w:r>
      <w:r w:rsidRPr="00857E0B">
        <w:t>, 134 Wn.2d 769, 785, 954 P.2d 237 (1998)).</w:t>
      </w:r>
    </w:p>
    <w:p w14:paraId="4BC6D61E" w14:textId="77777777" w:rsidR="009851F6" w:rsidRDefault="009851F6" w:rsidP="009851F6">
      <w:pPr>
        <w:pStyle w:val="NoSpacing"/>
      </w:pPr>
    </w:p>
    <w:p w14:paraId="26112068" w14:textId="77777777" w:rsidR="009851F6" w:rsidRDefault="009851F6" w:rsidP="009851F6">
      <w:pPr>
        <w:pStyle w:val="NoSpacing"/>
      </w:pPr>
      <w:r>
        <w:t>***</w:t>
      </w:r>
    </w:p>
    <w:p w14:paraId="7A14F1A5" w14:textId="77777777" w:rsidR="009851F6" w:rsidRPr="00933C46" w:rsidRDefault="009851F6" w:rsidP="009851F6">
      <w:pPr>
        <w:pStyle w:val="NoSpacing"/>
      </w:pPr>
      <w:r w:rsidRPr="00933C46">
        <w:t xml:space="preserve">Here, Roush called VCC two times after the first call when police still had not </w:t>
      </w:r>
      <w:proofErr w:type="gramStart"/>
      <w:r w:rsidRPr="00933C46">
        <w:t>arrived</w:t>
      </w:r>
      <w:proofErr w:type="gramEnd"/>
      <w:r w:rsidRPr="00933C46">
        <w:t xml:space="preserve"> and he still heard violent sounds from the room. Roush kept his ear up against the door because </w:t>
      </w:r>
      <w:r>
        <w:t>‘</w:t>
      </w:r>
      <w:r w:rsidRPr="00933C46">
        <w:t>he was trying to save Ms. Keith's life.</w:t>
      </w:r>
      <w:r>
        <w:t>’</w:t>
      </w:r>
      <w:r w:rsidRPr="00933C46">
        <w:t xml:space="preserve"> It is also hypothetically conceivable that Roush did not take other action because he believed that emergency assistance was on the way or that Roush informed Keith that help was coming or induced other people not to call 911 because they were on the way. We hold that a plaintiff must prove that justifiable reliance existed by the person to whom the express assurance was given. Therefore, in this case, it was sufficient for the Estate to demonstrate that Roush relied on VCC's express assurance. </w:t>
      </w:r>
    </w:p>
    <w:p w14:paraId="10874C2B" w14:textId="77777777" w:rsidR="009851F6" w:rsidRDefault="009851F6" w:rsidP="009851F6">
      <w:pPr>
        <w:pStyle w:val="NoSpacing"/>
      </w:pPr>
      <w:r w:rsidRPr="00933C46">
        <w:t>         </w:t>
      </w:r>
    </w:p>
    <w:p w14:paraId="3181BF99" w14:textId="77777777" w:rsidR="009851F6" w:rsidRDefault="009851F6" w:rsidP="009851F6">
      <w:pPr>
        <w:pStyle w:val="NoSpacing"/>
      </w:pPr>
      <w:r w:rsidRPr="00933C46">
        <w:t>For these reasons, we reverse the trial court's dismissal of the Estate's negligence claim.</w:t>
      </w:r>
      <w:r>
        <w:t>”</w:t>
      </w:r>
    </w:p>
    <w:p w14:paraId="59A03057" w14:textId="77777777" w:rsidR="009851F6" w:rsidRDefault="009851F6" w:rsidP="009851F6">
      <w:pPr>
        <w:pStyle w:val="NoSpacing"/>
      </w:pPr>
    </w:p>
    <w:p w14:paraId="716B58B0" w14:textId="77777777" w:rsidR="009851F6" w:rsidRPr="00C34465" w:rsidRDefault="009851F6" w:rsidP="009851F6">
      <w:pPr>
        <w:pStyle w:val="NoSpacing"/>
        <w:rPr>
          <w:b/>
          <w:bCs/>
        </w:rPr>
      </w:pPr>
      <w:r w:rsidRPr="00C34465">
        <w:rPr>
          <w:b/>
        </w:rPr>
        <w:t xml:space="preserve">Legal lesson learned: </w:t>
      </w:r>
      <w:r>
        <w:rPr>
          <w:b/>
        </w:rPr>
        <w:t xml:space="preserve">The case will now proceed; unfortunate dispatch error. </w:t>
      </w:r>
    </w:p>
    <w:p w14:paraId="3E364509" w14:textId="77777777" w:rsidR="009851F6" w:rsidRPr="00B966F3" w:rsidRDefault="009851F6" w:rsidP="009851F6">
      <w:pPr>
        <w:pStyle w:val="NoSpacing"/>
      </w:pPr>
    </w:p>
    <w:p w14:paraId="456F7DDD" w14:textId="77777777" w:rsidR="009851F6" w:rsidRDefault="009851F6" w:rsidP="000636AB">
      <w:pPr>
        <w:rPr>
          <w:rStyle w:val="Hyperlink"/>
          <w:rFonts w:ascii="Arial Black" w:hAnsi="Arial Black"/>
          <w:b/>
          <w:color w:val="auto"/>
          <w:sz w:val="24"/>
          <w:szCs w:val="24"/>
          <w:u w:val="none"/>
        </w:rPr>
      </w:pPr>
    </w:p>
    <w:p w14:paraId="66696325" w14:textId="77777777" w:rsidR="009851F6" w:rsidRDefault="009851F6" w:rsidP="000636AB">
      <w:pPr>
        <w:rPr>
          <w:rStyle w:val="Hyperlink"/>
          <w:rFonts w:ascii="Arial Black" w:hAnsi="Arial Black"/>
          <w:b/>
          <w:color w:val="auto"/>
          <w:sz w:val="24"/>
          <w:szCs w:val="24"/>
          <w:u w:val="none"/>
        </w:rPr>
      </w:pPr>
    </w:p>
    <w:p w14:paraId="096A9889" w14:textId="613C6E89" w:rsidR="001E2F50" w:rsidRDefault="00460471"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4-55</w:t>
      </w:r>
    </w:p>
    <w:p w14:paraId="1FB97022" w14:textId="77777777" w:rsidR="001E2F50" w:rsidRPr="00EA06B7" w:rsidRDefault="001E2F50" w:rsidP="001E2F50">
      <w:pPr>
        <w:rPr>
          <w:rFonts w:ascii="Arial Black" w:hAnsi="Arial Black"/>
          <w:b/>
          <w:sz w:val="28"/>
          <w:szCs w:val="28"/>
        </w:rPr>
      </w:pPr>
      <w:r>
        <w:rPr>
          <w:rFonts w:ascii="Arial Black" w:hAnsi="Arial Black"/>
          <w:b/>
          <w:sz w:val="28"/>
          <w:szCs w:val="28"/>
        </w:rPr>
        <w:t xml:space="preserve">CT: WIRES CAR – STATE: ELEC. CO. 1-HR RESP TOO SLOW </w:t>
      </w:r>
    </w:p>
    <w:p w14:paraId="280F8B30" w14:textId="77777777" w:rsidR="001E2F50" w:rsidRDefault="001E2F50" w:rsidP="001E2F50">
      <w:pPr>
        <w:pStyle w:val="NoSpacing"/>
      </w:pPr>
      <w:r>
        <w:t xml:space="preserve">On April 28, 2026, in </w:t>
      </w:r>
      <w:r w:rsidRPr="00750929">
        <w:rPr>
          <w:u w:val="single"/>
        </w:rPr>
        <w:t>The Connecticut Light and Power Company v. Public Utilities Regulatory</w:t>
      </w:r>
      <w:r w:rsidRPr="00E1278D">
        <w:rPr>
          <w:u w:val="single"/>
        </w:rPr>
        <w:t xml:space="preserve"> Authority</w:t>
      </w:r>
      <w:r>
        <w:t xml:space="preserve">, the Supreme Court of Connecticut held (7 to 0) that trial court properly dismissed the </w:t>
      </w:r>
    </w:p>
    <w:p w14:paraId="775B8B2C" w14:textId="77777777" w:rsidR="001E2F50" w:rsidRDefault="001E2F50" w:rsidP="001E2F50">
      <w:pPr>
        <w:pStyle w:val="NoSpacing"/>
        <w:rPr>
          <w:b/>
        </w:rPr>
      </w:pPr>
      <w:r>
        <w:t xml:space="preserve">Power Company’s appeal from PURA order that when responding to Priority 1 calls to shut off power, they must shorten response target time from 60 minutes to 30 minutes.  Jan. 17, </w:t>
      </w:r>
      <w:proofErr w:type="gramStart"/>
      <w:r>
        <w:t>2021</w:t>
      </w:r>
      <w:proofErr w:type="gramEnd"/>
      <w:r>
        <w:t xml:space="preserve"> entrapment;  power company notified at </w:t>
      </w:r>
      <w:r w:rsidRPr="008B23AE">
        <w:t xml:space="preserve">2:21 </w:t>
      </w:r>
      <w:proofErr w:type="spellStart"/>
      <w:r w:rsidRPr="008B23AE">
        <w:t>p.m</w:t>
      </w:r>
      <w:proofErr w:type="spellEnd"/>
      <w:r>
        <w:t xml:space="preserve">; power de-energized at 3:31 pm, and two elderly extricated and transported to trauma center. THE COURT WROTE: “In the present case, PURA exercised its supervisory authority under § 16-11 after determining that changes to the plaintiff’s operational practices were necessary in the public interest. In imposing the directive, PURA concluded that the plaintiff’s existing, </w:t>
      </w:r>
      <w:proofErr w:type="gramStart"/>
      <w:r>
        <w:t>sixty minute</w:t>
      </w:r>
      <w:proofErr w:type="gramEnd"/>
      <w:r>
        <w:t xml:space="preserve"> response target was insufficient, reasoning that, although it ‘understands the [plaintiff’s] hesitation with imposing response deadlines, [p]</w:t>
      </w:r>
      <w:proofErr w:type="spellStart"/>
      <w:r>
        <w:t>riority</w:t>
      </w:r>
      <w:proofErr w:type="spellEnd"/>
      <w:r>
        <w:t xml:space="preserve"> 1 events are life-threatening events that require the [plaintiff’s] immediate response . . . .’ Based on the evidence in the record, including the plaintiff’s response time data and the timeline of its response to the Norfolk accident, PURA determined that a response time target of thirty minutes for priority 1 calls </w:t>
      </w:r>
      <w:proofErr w:type="gramStart"/>
      <w:r>
        <w:t>was</w:t>
      </w:r>
      <w:proofErr w:type="gramEnd"/>
      <w:r>
        <w:t xml:space="preserve"> ‘reasonable and appropriate to better protect public safety.’” </w:t>
      </w:r>
    </w:p>
    <w:p w14:paraId="0DF715EB" w14:textId="77777777" w:rsidR="001E2F50" w:rsidRDefault="001E2F50" w:rsidP="001E2F50">
      <w:pPr>
        <w:pStyle w:val="NoSpacing"/>
      </w:pPr>
      <w:r>
        <w:t xml:space="preserve"> </w:t>
      </w:r>
      <w:hyperlink r:id="rId873" w:history="1">
        <w:r w:rsidRPr="007E383F">
          <w:rPr>
            <w:rStyle w:val="Hyperlink"/>
          </w:rPr>
          <w:t>https://www.jud.ct.gov/external/supapp/Cases/AROcr/CR354/CR354.35.pdf</w:t>
        </w:r>
      </w:hyperlink>
    </w:p>
    <w:p w14:paraId="5B108075" w14:textId="77777777" w:rsidR="001E2F50" w:rsidRDefault="001E2F50" w:rsidP="001E2F50">
      <w:pPr>
        <w:pStyle w:val="NoSpacing"/>
      </w:pPr>
    </w:p>
    <w:p w14:paraId="231CE92A" w14:textId="77777777" w:rsidR="001E2F50" w:rsidRDefault="001E2F50" w:rsidP="001E2F50">
      <w:pPr>
        <w:pStyle w:val="NoSpacing"/>
      </w:pPr>
      <w:r>
        <w:t>THE COURT HELD:</w:t>
      </w:r>
    </w:p>
    <w:p w14:paraId="2729AFE0" w14:textId="77777777" w:rsidR="001E2F50" w:rsidRDefault="001E2F50" w:rsidP="001E2F50">
      <w:pPr>
        <w:pStyle w:val="NoSpacing"/>
      </w:pPr>
    </w:p>
    <w:p w14:paraId="054CE006" w14:textId="77777777" w:rsidR="001E2F50" w:rsidRDefault="001E2F50" w:rsidP="001E2F50">
      <w:pPr>
        <w:pStyle w:val="NoSpacing"/>
        <w:ind w:left="720"/>
      </w:pPr>
      <w:r>
        <w:t>“</w:t>
      </w:r>
      <w:r w:rsidRPr="008B23AE">
        <w:t>The record reveals the following relevant facts and procedural history. On January 17, 2023, at approximately</w:t>
      </w:r>
      <w:r>
        <w:t xml:space="preserve"> </w:t>
      </w:r>
      <w:r w:rsidRPr="008B23AE">
        <w:t>2:21 p.m., municipal first responders were dispatched</w:t>
      </w:r>
      <w:r>
        <w:t xml:space="preserve"> </w:t>
      </w:r>
      <w:r w:rsidRPr="008B23AE">
        <w:t>to 599 East Greenwoods Road in Norfolk to respond to</w:t>
      </w:r>
      <w:r>
        <w:t xml:space="preserve"> </w:t>
      </w:r>
      <w:r w:rsidRPr="008B23AE">
        <w:t>a motor vehicle accident (Norfolk accident). The motor</w:t>
      </w:r>
      <w:r>
        <w:t xml:space="preserve"> </w:t>
      </w:r>
      <w:r w:rsidRPr="008B23AE">
        <w:t>vehicle left the roadway and struck a utility pole owned</w:t>
      </w:r>
      <w:r>
        <w:t xml:space="preserve"> </w:t>
      </w:r>
      <w:r w:rsidRPr="008B23AE">
        <w:t>and maintained by the plaintiff. The collision caused the</w:t>
      </w:r>
      <w:r>
        <w:t xml:space="preserve"> </w:t>
      </w:r>
      <w:r w:rsidRPr="008B23AE">
        <w:t>utility pole to break and resulted in downed electrical</w:t>
      </w:r>
      <w:r>
        <w:t xml:space="preserve"> </w:t>
      </w:r>
      <w:r w:rsidRPr="008B23AE">
        <w:t>conductors in the vicinity of the vehicle, entrapping the</w:t>
      </w:r>
      <w:r>
        <w:t xml:space="preserve"> </w:t>
      </w:r>
      <w:r w:rsidRPr="008B23AE">
        <w:t>two elderly occupants of the vehicle. First responders</w:t>
      </w:r>
      <w:r>
        <w:t xml:space="preserve"> arrived at the scene but did not approach the vehicle to extricate the occupants due to the fallen electrical wires. At approximately 2:23 p.m., the plaintiff’s System Operations Center (SOC) received a call on the E-911 municipal emergency line from Litchfield County dispatch notifying the SOC about the accident. This call was designated a priority 1 call and lasted approximately seven minutes. During and immediately after the call, an SOC operator worked to de-energize the area through</w:t>
      </w:r>
    </w:p>
    <w:p w14:paraId="713AE9C5" w14:textId="77777777" w:rsidR="001E2F50" w:rsidRDefault="001E2F50" w:rsidP="001E2F50">
      <w:pPr>
        <w:pStyle w:val="NoSpacing"/>
        <w:ind w:left="720"/>
      </w:pPr>
      <w:r>
        <w:t>remote operation. Once remote de-energization was achieved, the SOC notified Litchfield County dispatch that the area should be de-energized but must nevertheless be treated as energized until one of the plaintiff’s response specialists arrived at the scene and manually tested the wires.</w:t>
      </w:r>
    </w:p>
    <w:p w14:paraId="7C270F1E" w14:textId="77777777" w:rsidR="001E2F50" w:rsidRDefault="001E2F50" w:rsidP="001E2F50">
      <w:pPr>
        <w:pStyle w:val="NoSpacing"/>
      </w:pPr>
    </w:p>
    <w:p w14:paraId="017BE91D" w14:textId="77777777" w:rsidR="001E2F50" w:rsidRDefault="001E2F50" w:rsidP="001E2F50">
      <w:pPr>
        <w:pStyle w:val="NoSpacing"/>
        <w:ind w:left="720"/>
      </w:pPr>
      <w:r>
        <w:t>At the time of the priority 1 call, the plaintiff had four response specialists on duty in its zone encompassing the town of Norfolk. At 2:31 p.m., SOC assigned a response specialist who was located approximately twenty-six miles away from the accident. That specialist acknowledged the dispatch at 2:32 p.m., departed for Norfolk, and arrived at the scene of the accident at 3:17 p.m.  Between 3:17 and 3:30 p.m., the specialist worked with the SOC to successfully identify and de-energize the involved wires. At  approximately 3:31 p.m., the Norfolk Volunteer Fire Department, Inc., began extrication efforts and removed the occupants from the vehicle at approximately 3:44 and 3:47 p.m., respectively. The occupants were then transported to trauma centers.</w:t>
      </w:r>
    </w:p>
    <w:p w14:paraId="09AAB0B7" w14:textId="77777777" w:rsidR="001E2F50" w:rsidRDefault="001E2F50" w:rsidP="001E2F50">
      <w:pPr>
        <w:pStyle w:val="NoSpacing"/>
        <w:ind w:left="720"/>
      </w:pPr>
    </w:p>
    <w:p w14:paraId="744A1247" w14:textId="77777777" w:rsidR="001E2F50" w:rsidRDefault="001E2F50" w:rsidP="001E2F50">
      <w:pPr>
        <w:pStyle w:val="NoSpacing"/>
        <w:ind w:left="720"/>
      </w:pPr>
      <w:r>
        <w:t>***</w:t>
      </w:r>
    </w:p>
    <w:p w14:paraId="58AC232B" w14:textId="77777777" w:rsidR="001E2F50" w:rsidRDefault="001E2F50" w:rsidP="001E2F50">
      <w:pPr>
        <w:pStyle w:val="NoSpacing"/>
        <w:ind w:left="720"/>
      </w:pPr>
      <w:r w:rsidRPr="00027FAC">
        <w:t>Subsequently, on April 6, 2023, PURA conducted a</w:t>
      </w:r>
      <w:r>
        <w:t xml:space="preserve"> </w:t>
      </w:r>
      <w:r w:rsidRPr="00027FAC">
        <w:t>remote evidentiary hearing in which the plaintiff participated</w:t>
      </w:r>
      <w:r>
        <w:t xml:space="preserve">…. On August 9, 2023, PURA issued its final decision, finding that the plaintiff’s actions in response to the Norfolk accident were ‘imprudent’ and resulted in a delayed response. As a result of these findings, PURA directed the plaintiff to adopt a response time target of thirty minutes for all priority 1 calls and to review and revise its accident response and reporting procedures to ensure compliance with state </w:t>
      </w:r>
      <w:proofErr w:type="gramStart"/>
      <w:r>
        <w:t>law.”</w:t>
      </w:r>
      <w:proofErr w:type="gramEnd"/>
    </w:p>
    <w:p w14:paraId="5ECE041B" w14:textId="77777777" w:rsidR="001E2F50" w:rsidRDefault="001E2F50" w:rsidP="001E2F50">
      <w:pPr>
        <w:pStyle w:val="NoSpacing"/>
        <w:ind w:left="720"/>
      </w:pPr>
    </w:p>
    <w:p w14:paraId="208077B2" w14:textId="77777777" w:rsidR="001E2F50" w:rsidRDefault="001E2F50" w:rsidP="001E2F50">
      <w:pPr>
        <w:pStyle w:val="NoSpacing"/>
        <w:rPr>
          <w:b/>
          <w:bCs/>
        </w:rPr>
      </w:pPr>
      <w:r>
        <w:rPr>
          <w:b/>
        </w:rPr>
        <w:t xml:space="preserve">Legal lesson learned: If your local power company has slow response to Priority 1 calls, invite them to present at meeting of FDs; if </w:t>
      </w:r>
      <w:proofErr w:type="gramStart"/>
      <w:r>
        <w:rPr>
          <w:b/>
        </w:rPr>
        <w:t>no</w:t>
      </w:r>
      <w:proofErr w:type="gramEnd"/>
      <w:r>
        <w:rPr>
          <w:b/>
        </w:rPr>
        <w:t xml:space="preserve"> improvement, consider contacting your state utility agency.</w:t>
      </w:r>
    </w:p>
    <w:p w14:paraId="7B7CB31D" w14:textId="77777777" w:rsidR="001E2F50" w:rsidRDefault="001E2F50" w:rsidP="001E2F50">
      <w:pPr>
        <w:pStyle w:val="NoSpacing"/>
        <w:rPr>
          <w:b/>
          <w:bCs/>
        </w:rPr>
      </w:pPr>
    </w:p>
    <w:p w14:paraId="63279151" w14:textId="77777777" w:rsidR="001E2F50" w:rsidRDefault="001E2F50" w:rsidP="000636AB">
      <w:pPr>
        <w:rPr>
          <w:rStyle w:val="Hyperlink"/>
          <w:rFonts w:ascii="Arial Black" w:hAnsi="Arial Black"/>
          <w:b/>
          <w:color w:val="auto"/>
          <w:sz w:val="24"/>
          <w:szCs w:val="24"/>
          <w:u w:val="none"/>
        </w:rPr>
      </w:pPr>
    </w:p>
    <w:p w14:paraId="6A54E7AA" w14:textId="77777777" w:rsidR="001E2F50" w:rsidRDefault="001E2F50" w:rsidP="000636AB">
      <w:pPr>
        <w:rPr>
          <w:rStyle w:val="Hyperlink"/>
          <w:rFonts w:ascii="Arial Black" w:hAnsi="Arial Black"/>
          <w:b/>
          <w:color w:val="auto"/>
          <w:sz w:val="24"/>
          <w:szCs w:val="24"/>
          <w:u w:val="none"/>
        </w:rPr>
      </w:pPr>
    </w:p>
    <w:p w14:paraId="2D653BF2" w14:textId="77777777" w:rsidR="001E2F50" w:rsidRDefault="001E2F50" w:rsidP="000636AB">
      <w:pPr>
        <w:rPr>
          <w:rStyle w:val="Hyperlink"/>
          <w:rFonts w:ascii="Arial Black" w:hAnsi="Arial Black"/>
          <w:b/>
          <w:color w:val="auto"/>
          <w:sz w:val="24"/>
          <w:szCs w:val="24"/>
          <w:u w:val="none"/>
        </w:rPr>
      </w:pPr>
    </w:p>
    <w:p w14:paraId="5AE6CCA6" w14:textId="564843FE" w:rsidR="00440081" w:rsidRDefault="00440081"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4-54</w:t>
      </w:r>
    </w:p>
    <w:p w14:paraId="4B965CEA" w14:textId="77777777" w:rsidR="00CA14CD" w:rsidRDefault="00CA14CD" w:rsidP="00CA14CD">
      <w:pPr>
        <w:pStyle w:val="NoSpacing"/>
        <w:rPr>
          <w:rFonts w:ascii="Arial Black" w:hAnsi="Arial Black"/>
          <w:sz w:val="28"/>
          <w:szCs w:val="28"/>
        </w:rPr>
      </w:pPr>
      <w:r>
        <w:rPr>
          <w:rFonts w:ascii="Arial Black" w:hAnsi="Arial Black"/>
          <w:sz w:val="28"/>
          <w:szCs w:val="28"/>
        </w:rPr>
        <w:t xml:space="preserve">NC: DIESEL SPILL – TRUCKING CO. NOT TOLD TO CLEAN UP </w:t>
      </w:r>
    </w:p>
    <w:p w14:paraId="627760F6" w14:textId="77777777" w:rsidR="00CA14CD" w:rsidRDefault="00CA14CD" w:rsidP="00CA14CD">
      <w:pPr>
        <w:pStyle w:val="NoSpacing"/>
      </w:pPr>
    </w:p>
    <w:p w14:paraId="18CFA30C" w14:textId="77777777" w:rsidR="00CA14CD" w:rsidRDefault="00CA14CD" w:rsidP="00CA14CD">
      <w:pPr>
        <w:pStyle w:val="NoSpacing"/>
      </w:pPr>
      <w:r>
        <w:t xml:space="preserve">On March 18, 2026, in </w:t>
      </w:r>
      <w:r w:rsidRPr="00C80146">
        <w:rPr>
          <w:u w:val="single"/>
        </w:rPr>
        <w:t>William Fulp Wrecker Service, Inc. v. Fishline Trucking, L.L.C</w:t>
      </w:r>
      <w:r>
        <w:t xml:space="preserve">., the </w:t>
      </w:r>
      <w:r w:rsidRPr="001B06FF">
        <w:t>Court of Appeals of North Carolina</w:t>
      </w:r>
      <w:r>
        <w:t xml:space="preserve"> held (3 to 0) that trial court judge properly granted summary judgment to the trucking company; they were billed </w:t>
      </w:r>
      <w:r w:rsidRPr="00DA0AA4">
        <w:t>$289,707.00</w:t>
      </w:r>
      <w:r>
        <w:t xml:space="preserve">by the wrecker service for the </w:t>
      </w:r>
      <w:proofErr w:type="spellStart"/>
      <w:r>
        <w:t>clean up</w:t>
      </w:r>
      <w:proofErr w:type="spellEnd"/>
      <w:r>
        <w:t>, but the plaintiff “performed the remediation at the direction of government agencies,</w:t>
      </w:r>
    </w:p>
    <w:p w14:paraId="70AEC97D" w14:textId="77777777" w:rsidR="00CA14CD" w:rsidRDefault="00CA14CD" w:rsidP="00CA14CD">
      <w:pPr>
        <w:pStyle w:val="NoSpacing"/>
      </w:pPr>
      <w:r>
        <w:t>and the evidence does not indicate defendant requested, authorized, or knowingly accepted the benefit” and the County’s attempts to impose liability for hazardous material spills</w:t>
      </w:r>
    </w:p>
    <w:p w14:paraId="7C74C135" w14:textId="77777777" w:rsidR="00CA14CD" w:rsidRDefault="00CA14CD" w:rsidP="00CA14CD">
      <w:pPr>
        <w:pStyle w:val="NoSpacing"/>
        <w:rPr>
          <w:b/>
        </w:rPr>
      </w:pPr>
      <w:r>
        <w:t xml:space="preserve">from transportation accidents, it exceeds the county’s regulatory authority (only regulates “nonhazardous solid waste”).  </w:t>
      </w:r>
      <w:hyperlink r:id="rId874" w:history="1">
        <w:r w:rsidRPr="001F11D0">
          <w:rPr>
            <w:rStyle w:val="Hyperlink"/>
            <w:b/>
          </w:rPr>
          <w:t>https://appellate.nccourts.org/opinions/?c=2&amp;pdf=44475</w:t>
        </w:r>
      </w:hyperlink>
      <w:r>
        <w:rPr>
          <w:b/>
        </w:rPr>
        <w:t xml:space="preserve"> </w:t>
      </w:r>
    </w:p>
    <w:p w14:paraId="262517C0" w14:textId="77777777" w:rsidR="00CA14CD" w:rsidRDefault="00CA14CD" w:rsidP="00CA14CD">
      <w:pPr>
        <w:pStyle w:val="NoSpacing"/>
      </w:pPr>
    </w:p>
    <w:p w14:paraId="780CE036" w14:textId="77777777" w:rsidR="00CA14CD" w:rsidRPr="00250277" w:rsidRDefault="00CA14CD" w:rsidP="00CA14CD">
      <w:pPr>
        <w:pStyle w:val="NoSpacing"/>
      </w:pPr>
      <w:r>
        <w:t>THE COURT HELD:  “</w:t>
      </w:r>
      <w:r w:rsidRPr="00250277">
        <w:t xml:space="preserve">On 22 August 2017, a tractor-trailer owned by defendant </w:t>
      </w:r>
      <w:proofErr w:type="spellStart"/>
      <w:r w:rsidRPr="00250277">
        <w:t>Finishline</w:t>
      </w:r>
      <w:proofErr w:type="spellEnd"/>
      <w:r w:rsidRPr="00250277">
        <w:t xml:space="preserve"> Trucking,</w:t>
      </w:r>
      <w:r>
        <w:t xml:space="preserve"> </w:t>
      </w:r>
      <w:r w:rsidRPr="00250277">
        <w:t>L.L.C., overturned in Davie County, North Carolina, resulting in a fire and the</w:t>
      </w:r>
    </w:p>
    <w:p w14:paraId="2102720D" w14:textId="77777777" w:rsidR="00CA14CD" w:rsidRPr="00250277" w:rsidRDefault="00CA14CD" w:rsidP="00CA14CD">
      <w:pPr>
        <w:pStyle w:val="NoSpacing"/>
      </w:pPr>
      <w:r w:rsidRPr="00250277">
        <w:t>release of diesel fuel and other automotive fluids. Emergency responders, including</w:t>
      </w:r>
    </w:p>
    <w:p w14:paraId="75DE2F11" w14:textId="77777777" w:rsidR="00CA14CD" w:rsidRDefault="00CA14CD" w:rsidP="00CA14CD">
      <w:pPr>
        <w:pStyle w:val="NoSpacing"/>
      </w:pPr>
      <w:r w:rsidRPr="00250277">
        <w:t xml:space="preserve">the Davie County Fire Marshal’s Office and Emergency Management </w:t>
      </w:r>
      <w:proofErr w:type="gramStart"/>
      <w:r w:rsidRPr="00250277">
        <w:t>Services</w:t>
      </w:r>
      <w:r>
        <w:t xml:space="preserve"> </w:t>
      </w:r>
      <w:r w:rsidRPr="00250277">
        <w:t>(</w:t>
      </w:r>
      <w:r>
        <w:t>‘</w:t>
      </w:r>
      <w:r w:rsidRPr="00250277">
        <w:t>EMS</w:t>
      </w:r>
      <w:r>
        <w:t>’</w:t>
      </w:r>
      <w:r w:rsidRPr="00250277">
        <w:t>)</w:t>
      </w:r>
      <w:proofErr w:type="gramEnd"/>
      <w:r w:rsidRPr="00250277">
        <w:t>, arrived at the scene. Fire Marshal Jerry Myers determined a cleanup was</w:t>
      </w:r>
      <w:r>
        <w:t xml:space="preserve"> </w:t>
      </w:r>
      <w:r w:rsidRPr="00250277">
        <w:t>necessary and contacted plaintiff William Fulp Wrecker Service, Inc. to assist in</w:t>
      </w:r>
      <w:r>
        <w:t xml:space="preserve"> </w:t>
      </w:r>
      <w:r w:rsidRPr="00250277">
        <w:t>containing and remediating the spill. Plaintiff’s work spanned nine days, involving</w:t>
      </w:r>
      <w:r>
        <w:t xml:space="preserve"> </w:t>
      </w:r>
      <w:r w:rsidRPr="00250277">
        <w:t>personnel, equipment, and oversight from the North Carolina Department of</w:t>
      </w:r>
      <w:r>
        <w:t xml:space="preserve"> </w:t>
      </w:r>
      <w:r w:rsidRPr="00250277">
        <w:t xml:space="preserve">Environmental </w:t>
      </w:r>
      <w:proofErr w:type="gramStart"/>
      <w:r w:rsidRPr="00250277">
        <w:t>Quality</w:t>
      </w:r>
      <w:r>
        <w:t xml:space="preserve"> </w:t>
      </w:r>
      <w:r w:rsidRPr="00250277">
        <w:t>(</w:t>
      </w:r>
      <w:r>
        <w:t>‘</w:t>
      </w:r>
      <w:proofErr w:type="gramEnd"/>
      <w:r w:rsidRPr="00250277">
        <w:t>NCDEQ</w:t>
      </w:r>
      <w:r>
        <w:t>’</w:t>
      </w:r>
      <w:r w:rsidRPr="00250277">
        <w:t>) and a geologist who conducted soil and water</w:t>
      </w:r>
      <w:r>
        <w:t xml:space="preserve"> t</w:t>
      </w:r>
      <w:r w:rsidRPr="00250277">
        <w:t>esting</w:t>
      </w:r>
      <w:r>
        <w:t>.</w:t>
      </w:r>
    </w:p>
    <w:p w14:paraId="67C090EA" w14:textId="77777777" w:rsidR="00CA14CD" w:rsidRDefault="00CA14CD" w:rsidP="00CA14CD">
      <w:pPr>
        <w:pStyle w:val="NoSpacing"/>
      </w:pPr>
    </w:p>
    <w:p w14:paraId="61845705" w14:textId="77777777" w:rsidR="00CA14CD" w:rsidRDefault="00CA14CD" w:rsidP="00CA14CD">
      <w:pPr>
        <w:pStyle w:val="NoSpacing"/>
      </w:pPr>
      <w:r>
        <w:t>***</w:t>
      </w:r>
    </w:p>
    <w:p w14:paraId="2D0B37E1" w14:textId="77777777" w:rsidR="00CA14CD" w:rsidRDefault="00CA14CD" w:rsidP="00CA14CD">
      <w:pPr>
        <w:pStyle w:val="NoSpacing"/>
      </w:pPr>
    </w:p>
    <w:p w14:paraId="226B7D25" w14:textId="77777777" w:rsidR="00CA14CD" w:rsidRDefault="00CA14CD" w:rsidP="00CA14CD">
      <w:pPr>
        <w:pStyle w:val="NoSpacing"/>
      </w:pPr>
      <w:r>
        <w:t xml:space="preserve">Plaintiff contends defendant was aware of and accepted the benefit of the cleanup, citing communications between Kent Fulp, plaintiff’s vice president, and an individual he believed to be Edward Garcia, </w:t>
      </w:r>
      <w:proofErr w:type="spellStart"/>
      <w:r>
        <w:t>Finishline’s</w:t>
      </w:r>
      <w:proofErr w:type="spellEnd"/>
      <w:r>
        <w:t xml:space="preserve"> owner. Plaintiff further states defendant’s representative provided insurance details, indicating an expectation that coverage would apply. Plaintiff sent defendant an invoice for </w:t>
      </w:r>
      <w:r w:rsidRPr="0058656B">
        <w:t xml:space="preserve">$289,707.00 on 14 September 2017 but received no </w:t>
      </w:r>
      <w:proofErr w:type="gramStart"/>
      <w:r w:rsidRPr="0058656B">
        <w:t>payment.</w:t>
      </w:r>
      <w:r>
        <w:t>”</w:t>
      </w:r>
      <w:proofErr w:type="gramEnd"/>
    </w:p>
    <w:p w14:paraId="10ACB615" w14:textId="77777777" w:rsidR="00CA14CD" w:rsidRDefault="00CA14CD" w:rsidP="00CA14CD">
      <w:pPr>
        <w:pStyle w:val="NoSpacing"/>
      </w:pPr>
    </w:p>
    <w:p w14:paraId="4CD1FB9A" w14:textId="77777777" w:rsidR="00CA14CD" w:rsidRPr="003A2413" w:rsidRDefault="00CA14CD" w:rsidP="00CA14CD">
      <w:pPr>
        <w:pStyle w:val="NoSpacing"/>
        <w:rPr>
          <w:b/>
          <w:bCs/>
        </w:rPr>
      </w:pPr>
      <w:r w:rsidRPr="003A2413">
        <w:rPr>
          <w:b/>
        </w:rPr>
        <w:t xml:space="preserve">Legal </w:t>
      </w:r>
      <w:proofErr w:type="gramStart"/>
      <w:r w:rsidRPr="003A2413">
        <w:rPr>
          <w:b/>
        </w:rPr>
        <w:t>lesson</w:t>
      </w:r>
      <w:proofErr w:type="gramEnd"/>
      <w:r w:rsidRPr="003A2413">
        <w:rPr>
          <w:b/>
        </w:rPr>
        <w:t xml:space="preserve"> learned: </w:t>
      </w:r>
      <w:r>
        <w:rPr>
          <w:b/>
        </w:rPr>
        <w:t xml:space="preserve">Incident Commander or other government official should directly contact trucking </w:t>
      </w:r>
      <w:proofErr w:type="gramStart"/>
      <w:r>
        <w:rPr>
          <w:b/>
        </w:rPr>
        <w:t>company</w:t>
      </w:r>
      <w:proofErr w:type="gramEnd"/>
      <w:r>
        <w:rPr>
          <w:b/>
        </w:rPr>
        <w:t xml:space="preserve"> and direct them to start clean-up immediately, with the </w:t>
      </w:r>
      <w:r>
        <w:rPr>
          <w:b/>
          <w:bCs/>
        </w:rPr>
        <w:t xml:space="preserve">certified </w:t>
      </w:r>
      <w:r>
        <w:rPr>
          <w:b/>
        </w:rPr>
        <w:t xml:space="preserve">clean-up company of their choice. </w:t>
      </w:r>
    </w:p>
    <w:p w14:paraId="2EAE10B9" w14:textId="77777777" w:rsidR="00CA14CD" w:rsidRDefault="00CA14CD" w:rsidP="00CA14CD">
      <w:pPr>
        <w:pStyle w:val="NoSpacing"/>
        <w:rPr>
          <w:b/>
        </w:rPr>
      </w:pPr>
    </w:p>
    <w:p w14:paraId="2C02F98D" w14:textId="77777777" w:rsidR="00440081" w:rsidRDefault="00440081" w:rsidP="000636AB">
      <w:pPr>
        <w:rPr>
          <w:rStyle w:val="Hyperlink"/>
          <w:rFonts w:ascii="Arial Black" w:hAnsi="Arial Black"/>
          <w:b/>
          <w:color w:val="auto"/>
          <w:sz w:val="24"/>
          <w:szCs w:val="24"/>
          <w:u w:val="none"/>
        </w:rPr>
      </w:pPr>
    </w:p>
    <w:p w14:paraId="0854E534" w14:textId="77777777" w:rsidR="00440081" w:rsidRDefault="00440081" w:rsidP="000636AB">
      <w:pPr>
        <w:rPr>
          <w:rStyle w:val="Hyperlink"/>
          <w:rFonts w:ascii="Arial Black" w:hAnsi="Arial Black"/>
          <w:b/>
          <w:color w:val="auto"/>
          <w:sz w:val="24"/>
          <w:szCs w:val="24"/>
          <w:u w:val="none"/>
        </w:rPr>
      </w:pPr>
    </w:p>
    <w:p w14:paraId="1115E283" w14:textId="77777777" w:rsidR="00440081" w:rsidRDefault="00440081" w:rsidP="000636AB">
      <w:pPr>
        <w:rPr>
          <w:rStyle w:val="Hyperlink"/>
          <w:rFonts w:ascii="Arial Black" w:hAnsi="Arial Black"/>
          <w:b/>
          <w:color w:val="auto"/>
          <w:sz w:val="24"/>
          <w:szCs w:val="24"/>
          <w:u w:val="none"/>
        </w:rPr>
      </w:pPr>
    </w:p>
    <w:p w14:paraId="3332DC0D" w14:textId="3BE9BD74" w:rsidR="00A221FA" w:rsidRDefault="00A221FA"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4-53</w:t>
      </w:r>
    </w:p>
    <w:p w14:paraId="7EEEADF6" w14:textId="77777777" w:rsidR="00A221FA" w:rsidRPr="00627240" w:rsidRDefault="00A221FA" w:rsidP="00A221FA">
      <w:pPr>
        <w:pStyle w:val="NoSpacing"/>
        <w:rPr>
          <w:rFonts w:ascii="Arial Black" w:hAnsi="Arial Black"/>
          <w:b/>
          <w:sz w:val="28"/>
          <w:szCs w:val="28"/>
        </w:rPr>
      </w:pPr>
      <w:r>
        <w:rPr>
          <w:rFonts w:ascii="Arial Black" w:hAnsi="Arial Black"/>
          <w:b/>
          <w:sz w:val="28"/>
          <w:szCs w:val="28"/>
        </w:rPr>
        <w:t>OR: BEACHIE CREEK FIRE – HELICOPTERS – GOV IMMUNITY</w:t>
      </w:r>
    </w:p>
    <w:p w14:paraId="2594C568" w14:textId="77777777" w:rsidR="00A221FA" w:rsidRDefault="00A221FA" w:rsidP="00A221FA">
      <w:pPr>
        <w:pStyle w:val="NoSpacing"/>
        <w:rPr>
          <w:b/>
        </w:rPr>
      </w:pPr>
    </w:p>
    <w:p w14:paraId="5765F72E" w14:textId="77777777" w:rsidR="00A221FA" w:rsidRDefault="00A221FA" w:rsidP="00A221FA">
      <w:pPr>
        <w:pStyle w:val="NoSpacing"/>
        <w:rPr>
          <w:b/>
        </w:rPr>
      </w:pPr>
      <w:r w:rsidRPr="00AC25BF">
        <w:t xml:space="preserve">On February 9, 2026, in </w:t>
      </w:r>
      <w:r w:rsidRPr="00935D72">
        <w:rPr>
          <w:u w:val="single"/>
        </w:rPr>
        <w:t>Freres Timber, Inc., et al. v. United States of America</w:t>
      </w:r>
      <w:r>
        <w:t xml:space="preserve">, </w:t>
      </w:r>
      <w:r w:rsidRPr="00935D72">
        <w:t>United States Court of Appeals for the Ninth Circuit (San Francisco) held (3 to 0</w:t>
      </w:r>
      <w:r>
        <w:t>; unpublished opinion</w:t>
      </w:r>
      <w:r w:rsidRPr="00935D72">
        <w:t>)</w:t>
      </w:r>
      <w:r>
        <w:t xml:space="preserve"> the Forest Service incident commanders have discretion </w:t>
      </w:r>
      <w:r w:rsidRPr="0016057A">
        <w:t>regarding how to use helicopters and how to mount an attack to fight the Beachie Creek fire</w:t>
      </w:r>
      <w:r>
        <w:t xml:space="preserve"> and Forest Service is immune from liability.  </w:t>
      </w:r>
    </w:p>
    <w:p w14:paraId="7DC875BA" w14:textId="77777777" w:rsidR="00A221FA" w:rsidRDefault="00A221FA" w:rsidP="00A221FA">
      <w:pPr>
        <w:pStyle w:val="NoSpacing"/>
        <w:rPr>
          <w:bCs/>
        </w:rPr>
      </w:pPr>
      <w:r w:rsidRPr="00627240">
        <w:t xml:space="preserve">The Beachie Creek Fire began Aug. 16, </w:t>
      </w:r>
      <w:proofErr w:type="gramStart"/>
      <w:r w:rsidRPr="00627240">
        <w:t>2020</w:t>
      </w:r>
      <w:proofErr w:type="gramEnd"/>
      <w:r>
        <w:t xml:space="preserve"> in the</w:t>
      </w:r>
      <w:r w:rsidRPr="00627240">
        <w:t xml:space="preserve"> Willamette National Forest</w:t>
      </w:r>
      <w:r>
        <w:t>, and a “</w:t>
      </w:r>
      <w:r w:rsidRPr="00627240">
        <w:t>historic windstorm</w:t>
      </w:r>
      <w:r>
        <w:t>”</w:t>
      </w:r>
      <w:r w:rsidRPr="00627240">
        <w:t xml:space="preserve"> on Monday, Sept. 7 caused rapid spread west through the Willamette and Mt. Hood National Forests, and adjacent private lands and communities. </w:t>
      </w:r>
      <w:hyperlink r:id="rId875" w:history="1">
        <w:r w:rsidRPr="00627240">
          <w:rPr>
            <w:rStyle w:val="Hyperlink"/>
          </w:rPr>
          <w:t>https://www.fs.usda.gov/r06/willamette/fire/info/beachie-creek-fire</w:t>
        </w:r>
      </w:hyperlink>
      <w:r w:rsidRPr="00627240">
        <w:t xml:space="preserve"> </w:t>
      </w:r>
    </w:p>
    <w:p w14:paraId="0E594E7E" w14:textId="77777777" w:rsidR="00A221FA" w:rsidRDefault="00A221FA" w:rsidP="00A221FA">
      <w:pPr>
        <w:pStyle w:val="NoSpacing"/>
        <w:rPr>
          <w:bCs/>
        </w:rPr>
      </w:pPr>
    </w:p>
    <w:p w14:paraId="1324FD3C" w14:textId="77777777" w:rsidR="00A221FA" w:rsidRDefault="00A221FA" w:rsidP="00A221FA">
      <w:pPr>
        <w:pStyle w:val="NoSpacing"/>
      </w:pPr>
      <w:r>
        <w:t>THE COURT HELD:  “</w:t>
      </w:r>
      <w:r w:rsidRPr="00CA4832">
        <w:t>Freres Timber, Inc. and Freres Lumber Co., Inc. (</w:t>
      </w:r>
      <w:r>
        <w:t>‘</w:t>
      </w:r>
      <w:r w:rsidRPr="00CA4832">
        <w:t>Freres</w:t>
      </w:r>
      <w:r>
        <w:t>’</w:t>
      </w:r>
      <w:r w:rsidRPr="00CA4832">
        <w:t>) appeal the district court's dismissal of their lawsuit asserting Federal Tort Claims Act (</w:t>
      </w:r>
      <w:r>
        <w:t>‘</w:t>
      </w:r>
      <w:r w:rsidRPr="00CA4832">
        <w:t>FTCA</w:t>
      </w:r>
      <w:r>
        <w:t>’</w:t>
      </w:r>
      <w:r w:rsidRPr="00CA4832">
        <w:t>) claims against the United States Forest Service (</w:t>
      </w:r>
      <w:r>
        <w:t>‘</w:t>
      </w:r>
      <w:r w:rsidRPr="00CA4832">
        <w:t>Forest Service</w:t>
      </w:r>
      <w:r>
        <w:t>’</w:t>
      </w:r>
      <w:r w:rsidRPr="00CA4832">
        <w:t xml:space="preserve">) for its negligent handling of the Beachie Creek fire. Freres also appeals the district court's denial of </w:t>
      </w:r>
      <w:proofErr w:type="spellStart"/>
      <w:r w:rsidRPr="00CA4832">
        <w:t>Freres's</w:t>
      </w:r>
      <w:proofErr w:type="spellEnd"/>
      <w:r w:rsidRPr="00CA4832">
        <w:t xml:space="preserve"> request for jurisdictional discovery. We have jurisdiction under 28 U.S.C. § 1291. We affirm.</w:t>
      </w:r>
      <w:r>
        <w:t xml:space="preserve"> ***  [T]he </w:t>
      </w:r>
    </w:p>
    <w:p w14:paraId="0D13A8E3" w14:textId="77777777" w:rsidR="00A221FA" w:rsidRDefault="00A221FA" w:rsidP="00A221FA">
      <w:pPr>
        <w:pStyle w:val="NoSpacing"/>
      </w:pPr>
      <w:r w:rsidRPr="0016057A">
        <w:t xml:space="preserve">Forest Service's decisions regarding how to use helicopters and how to mount an attack to fight the Beachie Creek fire were discretionary because they involved </w:t>
      </w:r>
      <w:r>
        <w:t>‘</w:t>
      </w:r>
      <w:r w:rsidRPr="0016057A">
        <w:t>an element of judgment or choice.</w:t>
      </w:r>
      <w:r>
        <w:t xml:space="preserve">’ … </w:t>
      </w:r>
      <w:r w:rsidRPr="0016057A">
        <w:t xml:space="preserve">The Forest Service Manual gives broad discretion to the Forest Service to make decisions based on the circumstances of each fire. And Freres does not point to any </w:t>
      </w:r>
      <w:r>
        <w:t>‘</w:t>
      </w:r>
      <w:r w:rsidRPr="0016057A">
        <w:t>federal statute, regulation, or policy [that] specifically prescribes a course of action</w:t>
      </w:r>
      <w:r>
        <w:t>’</w:t>
      </w:r>
      <w:r w:rsidRPr="0016057A">
        <w:t xml:space="preserve"> that the Forest Service must adhere to when fighting a forest fire</w:t>
      </w:r>
      <w:r>
        <w:t xml:space="preserve">…. </w:t>
      </w:r>
      <w:r w:rsidRPr="0016057A">
        <w:t xml:space="preserve">Therefore, determining a fire suppression plan and utilizing available resources inherently involves </w:t>
      </w:r>
      <w:proofErr w:type="gramStart"/>
      <w:r w:rsidRPr="0016057A">
        <w:t>discretion.</w:t>
      </w:r>
      <w:r>
        <w:t>”</w:t>
      </w:r>
      <w:proofErr w:type="gramEnd"/>
    </w:p>
    <w:p w14:paraId="4642C7E2" w14:textId="77777777" w:rsidR="00A221FA" w:rsidRDefault="00A221FA" w:rsidP="00A221FA">
      <w:pPr>
        <w:pStyle w:val="NoSpacing"/>
      </w:pPr>
    </w:p>
    <w:p w14:paraId="0AFB0485" w14:textId="77777777" w:rsidR="00A221FA" w:rsidRPr="00836C0E" w:rsidRDefault="00A221FA" w:rsidP="00A221FA">
      <w:pPr>
        <w:pStyle w:val="NoSpacing"/>
        <w:rPr>
          <w:b/>
          <w:bCs/>
        </w:rPr>
      </w:pPr>
      <w:r>
        <w:rPr>
          <w:b/>
        </w:rPr>
        <w:t>Legal lesson learned: Governmental immunity for discretionary decisions by Forest Service incident commanders.</w:t>
      </w:r>
    </w:p>
    <w:p w14:paraId="5AE90681" w14:textId="77777777" w:rsidR="00A221FA" w:rsidRDefault="00A221FA" w:rsidP="00A221FA">
      <w:pPr>
        <w:pStyle w:val="NoSpacing"/>
        <w:rPr>
          <w:b/>
        </w:rPr>
      </w:pPr>
    </w:p>
    <w:p w14:paraId="38AB78CD" w14:textId="77777777" w:rsidR="00A221FA" w:rsidRDefault="00A221FA" w:rsidP="00A221FA">
      <w:pPr>
        <w:pStyle w:val="NoSpacing"/>
        <w:ind w:left="720"/>
        <w:rPr>
          <w:b/>
        </w:rPr>
      </w:pPr>
      <w:r w:rsidRPr="00E838D0">
        <w:t xml:space="preserve">Note: See </w:t>
      </w:r>
      <w:r>
        <w:t xml:space="preserve">Forest Service </w:t>
      </w:r>
      <w:r w:rsidRPr="00E838D0">
        <w:t>pictures of the fire.</w:t>
      </w:r>
      <w:r>
        <w:rPr>
          <w:b/>
        </w:rPr>
        <w:t xml:space="preserve"> </w:t>
      </w:r>
      <w:hyperlink r:id="rId876" w:history="1">
        <w:r w:rsidRPr="00C72C21">
          <w:rPr>
            <w:rStyle w:val="Hyperlink"/>
            <w:b/>
          </w:rPr>
          <w:t>https://www.fs.usda.gov/r06/willamette/fire/info/beachie-creek-fire</w:t>
        </w:r>
      </w:hyperlink>
      <w:r>
        <w:rPr>
          <w:b/>
        </w:rPr>
        <w:t xml:space="preserve"> </w:t>
      </w:r>
    </w:p>
    <w:p w14:paraId="06AB9137" w14:textId="77777777" w:rsidR="00A221FA" w:rsidRDefault="00A221FA" w:rsidP="000636AB">
      <w:pPr>
        <w:rPr>
          <w:rStyle w:val="Hyperlink"/>
          <w:rFonts w:ascii="Arial Black" w:hAnsi="Arial Black"/>
          <w:b/>
          <w:color w:val="auto"/>
          <w:sz w:val="24"/>
          <w:szCs w:val="24"/>
          <w:u w:val="none"/>
        </w:rPr>
      </w:pPr>
    </w:p>
    <w:p w14:paraId="03E06C9A" w14:textId="77777777" w:rsidR="00A221FA" w:rsidRDefault="00A221FA" w:rsidP="000636AB">
      <w:pPr>
        <w:rPr>
          <w:rStyle w:val="Hyperlink"/>
          <w:rFonts w:ascii="Arial Black" w:hAnsi="Arial Black"/>
          <w:b/>
          <w:color w:val="auto"/>
          <w:sz w:val="24"/>
          <w:szCs w:val="24"/>
          <w:u w:val="none"/>
        </w:rPr>
      </w:pPr>
    </w:p>
    <w:p w14:paraId="1651EF81" w14:textId="77777777" w:rsidR="00A221FA" w:rsidRDefault="00A221FA" w:rsidP="000636AB">
      <w:pPr>
        <w:rPr>
          <w:rStyle w:val="Hyperlink"/>
          <w:rFonts w:ascii="Arial Black" w:hAnsi="Arial Black"/>
          <w:b/>
          <w:color w:val="auto"/>
          <w:sz w:val="24"/>
          <w:szCs w:val="24"/>
          <w:u w:val="none"/>
        </w:rPr>
      </w:pPr>
    </w:p>
    <w:p w14:paraId="787A6B5C" w14:textId="53B3084A" w:rsidR="00EE4CA4" w:rsidRDefault="00EE4CA4"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4-52</w:t>
      </w:r>
    </w:p>
    <w:p w14:paraId="24AF8A65" w14:textId="77777777" w:rsidR="00EE4CA4" w:rsidRPr="00456B6D" w:rsidRDefault="00EE4CA4" w:rsidP="00EE4CA4">
      <w:pPr>
        <w:rPr>
          <w:rFonts w:ascii="Arial Black" w:hAnsi="Arial Black"/>
          <w:sz w:val="28"/>
          <w:szCs w:val="28"/>
        </w:rPr>
      </w:pPr>
      <w:r>
        <w:rPr>
          <w:rFonts w:ascii="Arial Black" w:hAnsi="Arial Black"/>
          <w:sz w:val="28"/>
          <w:szCs w:val="28"/>
        </w:rPr>
        <w:t>MA: CPT NOT PROMOTED – POOR INTERVIEW / DECK GUN</w:t>
      </w:r>
    </w:p>
    <w:p w14:paraId="7D5D031A" w14:textId="77777777" w:rsidR="00EE4CA4" w:rsidRPr="008024F1" w:rsidRDefault="00EE4CA4" w:rsidP="00EE4CA4">
      <w:pPr>
        <w:rPr>
          <w:bCs/>
        </w:rPr>
      </w:pPr>
      <w:r>
        <w:t xml:space="preserve">On November 25, 2025, in </w:t>
      </w:r>
      <w:r w:rsidRPr="002E05C9">
        <w:rPr>
          <w:u w:val="single"/>
        </w:rPr>
        <w:t>Pierre Grenier v. City of Springfield, et al</w:t>
      </w:r>
      <w:r>
        <w:t xml:space="preserve">., U.S. Magistrate Judge Katherine A. Robertson, United State District Court for the District of Massachusetts, granted summary judgment to the City and Fire Commissioner.  Captain Grenier was one of 6 candidates for 5 District Chief positions – promotion interview panel on Jan. 7, </w:t>
      </w:r>
      <w:proofErr w:type="gramStart"/>
      <w:r>
        <w:t>2020</w:t>
      </w:r>
      <w:proofErr w:type="gramEnd"/>
      <w:r>
        <w:t xml:space="preserve">  rated him lowest. The </w:t>
      </w:r>
      <w:proofErr w:type="gramStart"/>
      <w:r>
        <w:t>Captain</w:t>
      </w:r>
      <w:proofErr w:type="gramEnd"/>
      <w:r>
        <w:t xml:space="preserve"> claimed he was not promoted because of his PTSD from three Marine Corps deployments and because of his age (55). THE COURT WROTE: “</w:t>
      </w:r>
      <w:r w:rsidRPr="00107A41">
        <w:t xml:space="preserve">Plaintiff has not pointed to evidence from which a reasonable jury could infer that Plaintiff's disability was a determinative factor in </w:t>
      </w:r>
      <w:r>
        <w:t xml:space="preserve">[Fire Commissioner] </w:t>
      </w:r>
      <w:r w:rsidRPr="00107A41">
        <w:t>Calvi's decision to bypass him for promotion.</w:t>
      </w:r>
      <w:r>
        <w:t xml:space="preserve"> *** </w:t>
      </w:r>
      <w:r w:rsidRPr="00201B47">
        <w:t>Of the six candidates who were interviewed</w:t>
      </w:r>
      <w:r>
        <w:t xml:space="preserve">. </w:t>
      </w:r>
      <w:r w:rsidRPr="00201B47">
        <w:t xml:space="preserve"> Plaintiff received the lowest numerical score (204). </w:t>
      </w:r>
      <w:r>
        <w:t xml:space="preserve"> </w:t>
      </w:r>
      <w:r w:rsidRPr="00201B47">
        <w:t>All the interviewers were consistent in this judgment</w:t>
      </w:r>
      <w:proofErr w:type="gramStart"/>
      <w:r w:rsidRPr="00201B47">
        <w:t>.</w:t>
      </w:r>
      <w:r>
        <w:t>…</w:t>
      </w:r>
      <w:proofErr w:type="gramEnd"/>
      <w:r>
        <w:t xml:space="preserve"> </w:t>
      </w:r>
      <w:r w:rsidRPr="00201B47">
        <w:t>As to the hypothetical fire scene, Plaintiff's answer received a low score from</w:t>
      </w:r>
      <w:r>
        <w:t xml:space="preserve"> [Fire Commissioner]</w:t>
      </w:r>
      <w:r w:rsidRPr="00201B47">
        <w:t xml:space="preserve"> Calvi and the other firefighters on the interview panel</w:t>
      </w:r>
      <w:r>
        <w:t xml:space="preserve">. *** </w:t>
      </w:r>
      <w:r w:rsidRPr="00415CE8">
        <w:t>Plaintiff answered that he would order a deck gun (mainstream) attack from outside the building, a search inside the building from the B and C sides, and the use of hand lines while searching the interior</w:t>
      </w:r>
      <w:r>
        <w:t xml:space="preserve">. </w:t>
      </w:r>
      <w:r w:rsidRPr="00415CE8">
        <w:t>Plaintiff's proposal to use the mainstream repeated the scenario that Calvi had countermanded when he arrived at the Crystal Avenue fire scene</w:t>
      </w:r>
      <w:r>
        <w:t xml:space="preserve"> [</w:t>
      </w:r>
      <w:r w:rsidRPr="00BE736A">
        <w:t>November 5, 2019</w:t>
      </w:r>
      <w:r>
        <w:t xml:space="preserve">]…. </w:t>
      </w:r>
      <w:r w:rsidRPr="00201B47">
        <w:t>Calvi was concerned because Plaintiff's response described the same scenario that worried Calvi when Calvi arrived at the Crystal Avenue fire. Calvi was particularly troubled by Plaintiff's repetition of the dangerous mistake he made at the Crystal Avenue fire, his failure to learn from the coaching that Calvi provided, and the lack of critical thinking skills Plaintiff had displayed during his interview</w:t>
      </w:r>
      <w:r>
        <w:t>….”</w:t>
      </w:r>
      <w:r w:rsidRPr="00201B47">
        <w:t xml:space="preserve"> </w:t>
      </w:r>
      <w:hyperlink r:id="rId877" w:history="1">
        <w:r w:rsidRPr="008024F1">
          <w:rPr>
            <w:rStyle w:val="Hyperlink"/>
          </w:rPr>
          <w:t>https://app.midpage.ai/document/pierre-grenier-v-city-of-11209117?refG=true</w:t>
        </w:r>
      </w:hyperlink>
      <w:r w:rsidRPr="008024F1">
        <w:t xml:space="preserve"> </w:t>
      </w:r>
    </w:p>
    <w:p w14:paraId="744D0869" w14:textId="77777777" w:rsidR="00EE4CA4" w:rsidRDefault="00EE4CA4" w:rsidP="00EE4CA4">
      <w:r>
        <w:t xml:space="preserve"> THE COURT HELD:</w:t>
      </w:r>
    </w:p>
    <w:p w14:paraId="4A4889AC" w14:textId="77777777" w:rsidR="00EE4CA4" w:rsidRDefault="00EE4CA4" w:rsidP="00EE4CA4">
      <w:pPr>
        <w:ind w:left="720"/>
      </w:pPr>
      <w:r>
        <w:t>“</w:t>
      </w:r>
      <w:r w:rsidRPr="0073126F">
        <w:t>Plaintiff appealed Calvi's bypass decision to the Civil Service Commission (</w:t>
      </w:r>
      <w:r>
        <w:t>‘</w:t>
      </w:r>
      <w:r w:rsidRPr="0073126F">
        <w:t>CSC</w:t>
      </w:r>
      <w:r>
        <w:t>’</w:t>
      </w:r>
      <w:r w:rsidRPr="0073126F">
        <w:t>)</w:t>
      </w:r>
      <w:r>
        <w:t xml:space="preserve"> ….</w:t>
      </w:r>
      <w:r w:rsidRPr="0073126F">
        <w:t xml:space="preserve"> The CSC upheld Calvi's decision</w:t>
      </w:r>
      <w:r>
        <w:t xml:space="preserve"> … </w:t>
      </w:r>
      <w:r w:rsidRPr="0073126F">
        <w:t>The Hampden County Superior Court affirmed the CSC's decision; in turn, the Massachusetts Appeals Court affirmed the Superior Court decision</w:t>
      </w:r>
      <w:r>
        <w:t>.</w:t>
      </w:r>
    </w:p>
    <w:p w14:paraId="5BD66A1E" w14:textId="77777777" w:rsidR="00EE4CA4" w:rsidRDefault="00EE4CA4" w:rsidP="00EE4CA4">
      <w:pPr>
        <w:ind w:left="720"/>
      </w:pPr>
      <w:r>
        <w:t>***</w:t>
      </w:r>
    </w:p>
    <w:p w14:paraId="4BB1EA8C" w14:textId="77777777" w:rsidR="00EE4CA4" w:rsidRDefault="00EE4CA4" w:rsidP="00EE4CA4">
      <w:pPr>
        <w:ind w:left="720"/>
      </w:pPr>
      <w:r w:rsidRPr="008A1F2A">
        <w:t>Three candidates who ranked lower than Plaintiff on the Civil Service list - Daley, Marcellin, and Tetreault - bypassed Plaintiff and were promoted</w:t>
      </w:r>
      <w:r>
        <w:t xml:space="preserve">… </w:t>
      </w:r>
      <w:r w:rsidRPr="008A1F2A">
        <w:t>Calvi's January 29, 2020, letter to Plaintiff gave three reasons for the bypass</w:t>
      </w:r>
      <w:r>
        <w:t xml:space="preserve"> … </w:t>
      </w:r>
      <w:r w:rsidRPr="008A1F2A">
        <w:t>that Plaintiff's continuing education was limited to furthering his side job as an electrician</w:t>
      </w:r>
      <w:r>
        <w:t xml:space="preserve"> …</w:t>
      </w:r>
      <w:r w:rsidRPr="008A1F2A">
        <w:t>; that his answer to the hypothetical fire scenario showed his failure to apply his real life experience and the coaching Calvi gave him at the Crystal Avenue fire</w:t>
      </w:r>
      <w:r>
        <w:t xml:space="preserve"> … </w:t>
      </w:r>
      <w:r w:rsidRPr="008A1F2A">
        <w:t>and that Plaintiff's vision for the future of the SFD - no changes necessary - showed a lack of understanding of the department and the ever-changing fire industry</w:t>
      </w:r>
      <w:r>
        <w:t>.”</w:t>
      </w:r>
    </w:p>
    <w:p w14:paraId="037FDB0C" w14:textId="77777777" w:rsidR="00EE4CA4" w:rsidRDefault="00EE4CA4" w:rsidP="00EE4CA4">
      <w:pPr>
        <w:ind w:left="720"/>
      </w:pPr>
      <w:r>
        <w:t>***</w:t>
      </w:r>
    </w:p>
    <w:p w14:paraId="5B031B32" w14:textId="77777777" w:rsidR="00EE4CA4" w:rsidRDefault="00EE4CA4" w:rsidP="00EE4CA4">
      <w:pPr>
        <w:ind w:left="720"/>
      </w:pPr>
      <w:r>
        <w:t>[</w:t>
      </w:r>
      <w:r w:rsidRPr="00415CE8">
        <w:t>C</w:t>
      </w:r>
      <w:r>
        <w:t xml:space="preserve">RYSTAL AVENUE FIRE.] </w:t>
      </w:r>
      <w:r w:rsidRPr="00487D3F">
        <w:t>On November 5, 2019, Plaintiff was acting as a district fire chief when the SFD responded to a house fire at 51 Crystal Avenue</w:t>
      </w:r>
      <w:r>
        <w:t xml:space="preserve">…. </w:t>
      </w:r>
      <w:r w:rsidRPr="00487D3F">
        <w:t>Captain Brian Tetreault, the first ranking officer to arrive at the scene, was in command when Plaintiff arrived</w:t>
      </w:r>
      <w:r>
        <w:t xml:space="preserve"> … </w:t>
      </w:r>
      <w:r w:rsidRPr="00487D3F">
        <w:t xml:space="preserve"> SFD policy directed that an officer who intended to assume command of a fire scene first have a radio or face-to-face conversation with the officer he was relieving before announcing over the radio that he was assuming command</w:t>
      </w:r>
      <w:r>
        <w:t xml:space="preserve"> …. </w:t>
      </w:r>
      <w:r w:rsidRPr="00487D3F">
        <w:t>Plaintiff broadcast that he was in command without speaking to Tetreault in person</w:t>
      </w:r>
      <w:r>
        <w:t xml:space="preserve"> …. </w:t>
      </w:r>
      <w:r w:rsidRPr="00487D3F">
        <w:t>As a result, Plaintiff was confused as to whether he or Tetreault was in command</w:t>
      </w:r>
      <w:r>
        <w:t xml:space="preserve"> …. </w:t>
      </w:r>
      <w:r w:rsidRPr="00487D3F">
        <w:t> Calvi heard about the fire on the radio and responded to Crystal Avenue</w:t>
      </w:r>
      <w:r>
        <w:t xml:space="preserve"> …. </w:t>
      </w:r>
      <w:r w:rsidRPr="00487D3F">
        <w:t xml:space="preserve"> While </w:t>
      </w:r>
      <w:proofErr w:type="spellStart"/>
      <w:r w:rsidRPr="00487D3F">
        <w:t>en</w:t>
      </w:r>
      <w:proofErr w:type="spellEnd"/>
      <w:r w:rsidRPr="00487D3F">
        <w:t xml:space="preserve"> route, Calvi heard Plaintiff's radio announcement that he was at the scene and was taking command</w:t>
      </w:r>
      <w:r>
        <w:t>….</w:t>
      </w:r>
      <w:r w:rsidRPr="00487D3F">
        <w:t xml:space="preserve"> When Calvi arrived, he observed water from the mainstream being sprayed on the fire from outside</w:t>
      </w:r>
      <w:r>
        <w:t xml:space="preserve"> …. </w:t>
      </w:r>
      <w:r w:rsidRPr="00487D3F">
        <w:t xml:space="preserve"> The mainstream water spray posed a danger to firefighters who were entering the building </w:t>
      </w:r>
      <w:r>
        <w:t>….</w:t>
      </w:r>
      <w:r w:rsidRPr="00487D3F">
        <w:t xml:space="preserve"> Calvi approached Plaintiff, asked why the mainstream was being used while firefighters were entering the building, and ordered the mainstream to be shut off</w:t>
      </w:r>
      <w:r>
        <w:t>.</w:t>
      </w:r>
    </w:p>
    <w:p w14:paraId="21374414" w14:textId="77777777" w:rsidR="00EE4CA4" w:rsidRDefault="00EE4CA4" w:rsidP="00EE4CA4">
      <w:pPr>
        <w:ind w:left="720"/>
      </w:pPr>
      <w:r>
        <w:t>***</w:t>
      </w:r>
    </w:p>
    <w:p w14:paraId="603B70DB" w14:textId="77777777" w:rsidR="00EE4CA4" w:rsidRDefault="00EE4CA4" w:rsidP="00EE4CA4">
      <w:pPr>
        <w:ind w:left="720"/>
      </w:pPr>
      <w:r>
        <w:t>[No Age Discrimination.] “</w:t>
      </w:r>
      <w:r w:rsidRPr="00833E05">
        <w:t xml:space="preserve">The </w:t>
      </w:r>
      <w:proofErr w:type="gramStart"/>
      <w:r w:rsidRPr="00833E05">
        <w:t>City</w:t>
      </w:r>
      <w:proofErr w:type="gramEnd"/>
      <w:r w:rsidRPr="00833E05">
        <w:t xml:space="preserve"> argues that it did not fill the position with a younger person because two of the five candidates who were promoted are older than Plaintiff</w:t>
      </w:r>
      <w:r>
        <w:t xml:space="preserve">.… </w:t>
      </w:r>
      <w:r w:rsidRPr="00990CF9">
        <w:t xml:space="preserve">The </w:t>
      </w:r>
      <w:proofErr w:type="gramStart"/>
      <w:r w:rsidRPr="00990CF9">
        <w:t>City</w:t>
      </w:r>
      <w:proofErr w:type="gramEnd"/>
      <w:r w:rsidRPr="00990CF9">
        <w:t xml:space="preserve"> has proffered indicia of admissible evidence showing that Plaintiff's interview performance was a legitimate, nondiscriminatory reason for bypassing him for promotion to district fire chief. Plaintiff has failed to marshal evidence that would justify a reasonable jury in concluding that the City's stated reasons for bypassing him were a pretext for age discrimination.</w:t>
      </w:r>
      <w:r>
        <w:t>”</w:t>
      </w:r>
    </w:p>
    <w:p w14:paraId="6365673C" w14:textId="77777777" w:rsidR="00EE4CA4" w:rsidRDefault="00EE4CA4" w:rsidP="00EE4CA4">
      <w:pPr>
        <w:rPr>
          <w:b/>
          <w:bCs/>
        </w:rPr>
      </w:pPr>
      <w:r>
        <w:rPr>
          <w:b/>
        </w:rPr>
        <w:t xml:space="preserve">Legal lesson learned: The City articulated legitimate nondiscriminatory reasons for not promoting the </w:t>
      </w:r>
      <w:proofErr w:type="gramStart"/>
      <w:r>
        <w:rPr>
          <w:b/>
        </w:rPr>
        <w:t>Captain</w:t>
      </w:r>
      <w:proofErr w:type="gramEnd"/>
      <w:r>
        <w:rPr>
          <w:b/>
        </w:rPr>
        <w:t xml:space="preserve">; and the Fire Commissioner documented those reasons in a timely letter to the </w:t>
      </w:r>
      <w:proofErr w:type="gramStart"/>
      <w:r>
        <w:rPr>
          <w:b/>
        </w:rPr>
        <w:t>Captain</w:t>
      </w:r>
      <w:proofErr w:type="gramEnd"/>
      <w:r>
        <w:rPr>
          <w:b/>
        </w:rPr>
        <w:t xml:space="preserve">. </w:t>
      </w:r>
    </w:p>
    <w:p w14:paraId="1FB443A7" w14:textId="77777777" w:rsidR="00EE4CA4" w:rsidRDefault="00EE4CA4" w:rsidP="000636AB">
      <w:pPr>
        <w:rPr>
          <w:rStyle w:val="Hyperlink"/>
          <w:rFonts w:ascii="Arial Black" w:hAnsi="Arial Black"/>
          <w:b/>
          <w:color w:val="auto"/>
          <w:sz w:val="24"/>
          <w:szCs w:val="24"/>
          <w:u w:val="none"/>
        </w:rPr>
      </w:pPr>
    </w:p>
    <w:p w14:paraId="08A4A724" w14:textId="77777777" w:rsidR="00EE4CA4" w:rsidRDefault="00EE4CA4" w:rsidP="000636AB">
      <w:pPr>
        <w:rPr>
          <w:rStyle w:val="Hyperlink"/>
          <w:rFonts w:ascii="Arial Black" w:hAnsi="Arial Black"/>
          <w:b/>
          <w:color w:val="auto"/>
          <w:sz w:val="24"/>
          <w:szCs w:val="24"/>
          <w:u w:val="none"/>
        </w:rPr>
      </w:pPr>
    </w:p>
    <w:p w14:paraId="670FF0AE" w14:textId="2137E5DF" w:rsidR="00BF588C" w:rsidRDefault="00BF588C"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4-51</w:t>
      </w:r>
    </w:p>
    <w:p w14:paraId="5BD3C4D9" w14:textId="77777777" w:rsidR="00BF588C" w:rsidRPr="00CD4E8D" w:rsidRDefault="00BF588C" w:rsidP="00BF588C">
      <w:pPr>
        <w:rPr>
          <w:rFonts w:ascii="Arial Black" w:hAnsi="Arial Black"/>
          <w:b/>
          <w:sz w:val="28"/>
          <w:szCs w:val="28"/>
        </w:rPr>
      </w:pPr>
      <w:r>
        <w:rPr>
          <w:rFonts w:ascii="Arial Black" w:hAnsi="Arial Black"/>
          <w:b/>
          <w:sz w:val="28"/>
          <w:szCs w:val="28"/>
        </w:rPr>
        <w:t xml:space="preserve">MT: INCIDENT COMM – WILDFIRE – HOMES AT RISK  </w:t>
      </w:r>
    </w:p>
    <w:p w14:paraId="66338D46" w14:textId="77777777" w:rsidR="00BF588C" w:rsidRDefault="00BF588C" w:rsidP="00BF588C">
      <w:pPr>
        <w:pStyle w:val="NoSpacing"/>
        <w:rPr>
          <w:bCs/>
        </w:rPr>
      </w:pPr>
      <w:r>
        <w:t xml:space="preserve">On Sept. 11, 2025, in </w:t>
      </w:r>
      <w:r w:rsidRPr="009F457C">
        <w:rPr>
          <w:u w:val="single"/>
        </w:rPr>
        <w:t>McDonough Family Land, LP, et al. v. The United States of America</w:t>
      </w:r>
      <w:r>
        <w:t>, Judge Elaine D. Kaplan, United States Court of Federal Claims held, after a</w:t>
      </w:r>
      <w:r w:rsidRPr="000A78CF">
        <w:t xml:space="preserve"> four-day trial on liability in Missoula, Montana in December 2024</w:t>
      </w:r>
      <w:r>
        <w:t xml:space="preserve">, that the government not liable to ranchers for loss of timber and other property.  Massive fire; could not allow it to just burn. </w:t>
      </w:r>
    </w:p>
    <w:p w14:paraId="62BFAB77" w14:textId="77777777" w:rsidR="00BF588C" w:rsidRDefault="00BF588C" w:rsidP="00BF588C">
      <w:pPr>
        <w:pStyle w:val="NoSpacing"/>
        <w:rPr>
          <w:bCs/>
        </w:rPr>
      </w:pPr>
    </w:p>
    <w:p w14:paraId="6E21E9CA" w14:textId="77777777" w:rsidR="00BF588C" w:rsidRDefault="00BF588C" w:rsidP="00BF588C">
      <w:pPr>
        <w:pStyle w:val="NoSpacing"/>
      </w:pPr>
      <w:r w:rsidRPr="007056A2">
        <w:rPr>
          <w:b/>
        </w:rPr>
        <w:t>THE COURT HELD:</w:t>
      </w:r>
      <w:r>
        <w:t xml:space="preserve"> “</w:t>
      </w:r>
      <w:r w:rsidRPr="00CD4E8D">
        <w:t>The Court concludes that the Ranches failed to show that had the government just allowed the fire to take its natural course, their property would not have burned. In fact, both the evidence and common sense are to the contrary.</w:t>
      </w:r>
      <w:r>
        <w:t xml:space="preserve"> </w:t>
      </w:r>
      <w:r w:rsidRPr="00D0042C">
        <w:t xml:space="preserve">The Alice Creek Fire was ignited by a lightning strike. It is indisputable that had there been no firefighting response at all, it would have spread naturally based on the available fuel, weather conditions, and topography. The evidence shows that at the end of August and beginning of September 2017, Montana was experiencing extreme drought conditions. It further shows that the </w:t>
      </w:r>
      <w:proofErr w:type="gramStart"/>
      <w:r w:rsidRPr="00D0042C">
        <w:t>fuels</w:t>
      </w:r>
      <w:proofErr w:type="gramEnd"/>
      <w:r w:rsidRPr="00D0042C">
        <w:t xml:space="preserve"> in the area were dry. There were a series of red flag warning days marked by gusty winds. There were reasons to fear that the winds would cause the fire to spread to the east toward homes and infrastructure, threatening the community of Augusta, Montana</w:t>
      </w:r>
      <w:r>
        <w:t xml:space="preserve">…. </w:t>
      </w:r>
      <w:r w:rsidRPr="00D86C0B">
        <w:t> </w:t>
      </w:r>
      <w:proofErr w:type="gramStart"/>
      <w:r w:rsidRPr="00D86C0B">
        <w:t>On the basis of</w:t>
      </w:r>
      <w:proofErr w:type="gramEnd"/>
      <w:r w:rsidRPr="00D86C0B">
        <w:t xml:space="preserve"> the foregoing, the Clerk is directed to enter judgment for the government.</w:t>
      </w:r>
      <w:r>
        <w:t xml:space="preserve">” </w:t>
      </w:r>
      <w:hyperlink r:id="rId878" w:history="1">
        <w:r w:rsidRPr="008D04E3">
          <w:rPr>
            <w:rStyle w:val="Hyperlink"/>
          </w:rPr>
          <w:t>https://cases.justia.com/federal/district-courts/federal-claims/cofce/1:2020cv00368/40658/107/0.pdf?ts=1757681305</w:t>
        </w:r>
      </w:hyperlink>
      <w:r>
        <w:t xml:space="preserve"> </w:t>
      </w:r>
    </w:p>
    <w:p w14:paraId="2612EA5D" w14:textId="77777777" w:rsidR="00BF588C" w:rsidRDefault="00BF588C" w:rsidP="00BF588C">
      <w:pPr>
        <w:rPr>
          <w:bCs/>
        </w:rPr>
      </w:pPr>
    </w:p>
    <w:p w14:paraId="3EB5AE8D" w14:textId="77777777" w:rsidR="00BF588C" w:rsidRDefault="00BF588C" w:rsidP="00BF588C">
      <w:pPr>
        <w:rPr>
          <w:b/>
        </w:rPr>
      </w:pPr>
      <w:r w:rsidRPr="007056A2">
        <w:rPr>
          <w:b/>
        </w:rPr>
        <w:t xml:space="preserve">KEY FACTS: </w:t>
      </w:r>
    </w:p>
    <w:p w14:paraId="5AF63CF9" w14:textId="77777777" w:rsidR="00BF588C" w:rsidRDefault="00BF588C" w:rsidP="00BF588C">
      <w:pPr>
        <w:pStyle w:val="NoSpacing"/>
        <w:ind w:left="720"/>
      </w:pPr>
      <w:r>
        <w:t>“</w:t>
      </w:r>
      <w:r w:rsidRPr="00AD7913">
        <w:t>Plaintiffs, McDonough Family Land, LP, and Ingersoll Ranch, FLP, (“the Ranches”) own</w:t>
      </w:r>
      <w:r>
        <w:t xml:space="preserve"> </w:t>
      </w:r>
      <w:r w:rsidRPr="00AD7913">
        <w:t>real and personal property in Wolf Creek, Montana. They brought this action under the Fifth</w:t>
      </w:r>
      <w:r>
        <w:t xml:space="preserve"> </w:t>
      </w:r>
      <w:r w:rsidRPr="00AD7913">
        <w:t>Amendment’s Takings Clause to secure compensation for the appropriation of certain range</w:t>
      </w:r>
      <w:r>
        <w:t xml:space="preserve"> </w:t>
      </w:r>
      <w:r w:rsidRPr="00AD7913">
        <w:t>forage and timber, which the government used as fuel to conduct firing operations in response to</w:t>
      </w:r>
      <w:r>
        <w:t xml:space="preserve"> </w:t>
      </w:r>
      <w:r w:rsidRPr="00AD7913">
        <w:t xml:space="preserve">the 2017 Alice Creek Fire. See generally Am. </w:t>
      </w:r>
      <w:proofErr w:type="spellStart"/>
      <w:r w:rsidRPr="00AD7913">
        <w:t>Compl</w:t>
      </w:r>
      <w:proofErr w:type="spellEnd"/>
      <w:r w:rsidRPr="00AD7913">
        <w:t>., ECF No. 36.</w:t>
      </w:r>
    </w:p>
    <w:p w14:paraId="338E0FEC" w14:textId="77777777" w:rsidR="00BF588C" w:rsidRDefault="00BF588C" w:rsidP="00BF588C">
      <w:pPr>
        <w:rPr>
          <w:b/>
        </w:rPr>
      </w:pPr>
    </w:p>
    <w:p w14:paraId="6C05A70D" w14:textId="77777777" w:rsidR="00BF588C" w:rsidRPr="0053239C" w:rsidRDefault="00BF588C" w:rsidP="00BF588C">
      <w:pPr>
        <w:pStyle w:val="NoSpacing"/>
      </w:pPr>
      <w:r>
        <w:tab/>
      </w:r>
      <w:r w:rsidRPr="0053239C">
        <w:t>The firing operations (“intentional burns”) were conducted by the Silver City Hotshots</w:t>
      </w:r>
    </w:p>
    <w:p w14:paraId="2FE68127" w14:textId="77777777" w:rsidR="00BF588C" w:rsidRDefault="00BF588C" w:rsidP="00BF588C">
      <w:pPr>
        <w:pStyle w:val="NoSpacing"/>
        <w:ind w:left="720"/>
      </w:pPr>
      <w:r>
        <w:t>(‘</w:t>
      </w:r>
      <w:r w:rsidRPr="0053239C">
        <w:t>the Hotshots</w:t>
      </w:r>
      <w:r>
        <w:t>’</w:t>
      </w:r>
      <w:r w:rsidRPr="0053239C">
        <w:t>), a highly trained and experienced hand crew that uses intentional burns, among</w:t>
      </w:r>
      <w:r>
        <w:t xml:space="preserve"> </w:t>
      </w:r>
      <w:r w:rsidRPr="0053239C">
        <w:t>other techniques, to suppress the spread of wildfires. The Hotshots were called on to the scene at</w:t>
      </w:r>
      <w:r>
        <w:t xml:space="preserve"> </w:t>
      </w:r>
      <w:r w:rsidRPr="0053239C">
        <w:t>the direction of an incident management team led by Russell (</w:t>
      </w:r>
      <w:r>
        <w:t>‘</w:t>
      </w:r>
      <w:r w:rsidRPr="0053239C">
        <w:t>Russ</w:t>
      </w:r>
      <w:r>
        <w:t>’</w:t>
      </w:r>
      <w:r w:rsidRPr="0053239C">
        <w:t>) Bird, an employee of the</w:t>
      </w:r>
      <w:r>
        <w:t xml:space="preserve"> </w:t>
      </w:r>
      <w:r w:rsidRPr="0053239C">
        <w:t>United States Forest Service (</w:t>
      </w:r>
      <w:r>
        <w:t>‘</w:t>
      </w:r>
      <w:r w:rsidRPr="0053239C">
        <w:t>USFS</w:t>
      </w:r>
      <w:r>
        <w:t>’</w:t>
      </w:r>
      <w:r w:rsidRPr="0053239C">
        <w:t>). See McDonough Fam. Land, LP v. United States, 172</w:t>
      </w:r>
      <w:r>
        <w:t xml:space="preserve"> </w:t>
      </w:r>
      <w:r w:rsidRPr="0053239C">
        <w:t>Fed. Cl. 414, 421 (2024) (</w:t>
      </w:r>
      <w:r>
        <w:t>‘</w:t>
      </w:r>
      <w:r w:rsidRPr="0053239C">
        <w:t>McDonough I</w:t>
      </w:r>
      <w:r>
        <w:t>’</w:t>
      </w:r>
      <w:r w:rsidRPr="0053239C">
        <w:t>) (describing role of incident management team and</w:t>
      </w:r>
      <w:r>
        <w:t xml:space="preserve"> </w:t>
      </w:r>
      <w:r w:rsidRPr="0053239C">
        <w:t>USFS in directing the actions alleged to constitute a taking in this case).</w:t>
      </w:r>
    </w:p>
    <w:p w14:paraId="38F59082" w14:textId="77777777" w:rsidR="00BF588C" w:rsidRDefault="00BF588C" w:rsidP="00BF588C">
      <w:pPr>
        <w:pStyle w:val="NoSpacing"/>
        <w:ind w:left="720"/>
      </w:pPr>
    </w:p>
    <w:p w14:paraId="3FB58ED0" w14:textId="77777777" w:rsidR="00BF588C" w:rsidRDefault="00BF588C" w:rsidP="00BF588C">
      <w:pPr>
        <w:pStyle w:val="NoSpacing"/>
        <w:ind w:left="720"/>
      </w:pPr>
      <w:r>
        <w:t>***</w:t>
      </w:r>
    </w:p>
    <w:p w14:paraId="33349542" w14:textId="77777777" w:rsidR="00BF588C" w:rsidRDefault="00BF588C" w:rsidP="00BF588C">
      <w:pPr>
        <w:pStyle w:val="NoSpacing"/>
        <w:ind w:left="720"/>
      </w:pPr>
      <w:r>
        <w:t>On or around July 22, 2017, a lightning strike ignited the Alice Creek Fire in the Helena-</w:t>
      </w:r>
    </w:p>
    <w:p w14:paraId="034EDAB3" w14:textId="77777777" w:rsidR="00BF588C" w:rsidRDefault="00BF588C" w:rsidP="00BF588C">
      <w:pPr>
        <w:pStyle w:val="NoSpacing"/>
        <w:ind w:left="720"/>
      </w:pPr>
      <w:r>
        <w:t xml:space="preserve">Lewis and Clark National Forest, sixteen miles northeast of Lincoln, Montana. Am. Joint Stip. Of </w:t>
      </w:r>
      <w:proofErr w:type="gramStart"/>
      <w:r>
        <w:t>Facts (‘</w:t>
      </w:r>
      <w:proofErr w:type="gramEnd"/>
      <w:r>
        <w:t>SOF’) ¶ 1, ECF No. 79. The fire was fueled by the severe drought conditions that prevailed in the region that summer. There were also ‘[s]</w:t>
      </w:r>
      <w:proofErr w:type="spellStart"/>
      <w:r>
        <w:t>ignificant</w:t>
      </w:r>
      <w:proofErr w:type="spellEnd"/>
      <w:r>
        <w:t xml:space="preserve"> fuel accumulations from dead </w:t>
      </w:r>
      <w:proofErr w:type="gramStart"/>
      <w:r>
        <w:t>trees’</w:t>
      </w:r>
      <w:proofErr w:type="gramEnd"/>
      <w:r>
        <w:t xml:space="preserve"> which were ‘drier than normal for [that] time of year.’ JX29, at 9, ECF No. 99-27 (Wildland Fire Decision Support System (“WFDSS”) Incident Decision, August 25, 2017).</w:t>
      </w:r>
    </w:p>
    <w:p w14:paraId="0328B0B7" w14:textId="77777777" w:rsidR="00BF588C" w:rsidRDefault="00BF588C" w:rsidP="00BF588C">
      <w:pPr>
        <w:pStyle w:val="NoSpacing"/>
        <w:ind w:left="720"/>
      </w:pPr>
    </w:p>
    <w:p w14:paraId="4B100BFD" w14:textId="77777777" w:rsidR="00BF588C" w:rsidRDefault="00BF588C" w:rsidP="00BF588C">
      <w:pPr>
        <w:pStyle w:val="NoSpacing"/>
        <w:ind w:left="720"/>
      </w:pPr>
      <w:r>
        <w:t>***</w:t>
      </w:r>
    </w:p>
    <w:p w14:paraId="41A8B987" w14:textId="77777777" w:rsidR="00BF588C" w:rsidRDefault="00BF588C" w:rsidP="00BF588C">
      <w:pPr>
        <w:pStyle w:val="NoSpacing"/>
        <w:ind w:left="720"/>
      </w:pPr>
      <w:r>
        <w:t>By September 2, the fire had grown to 11,500 acres, with fire and weather conditions</w:t>
      </w:r>
    </w:p>
    <w:p w14:paraId="00E25354" w14:textId="77777777" w:rsidR="00BF588C" w:rsidRDefault="00BF588C" w:rsidP="00BF588C">
      <w:pPr>
        <w:pStyle w:val="NoSpacing"/>
        <w:ind w:left="720"/>
      </w:pPr>
      <w:r>
        <w:t xml:space="preserve">producing an increased risk of fire danger. SOF ¶¶ 23, 24. Dry strong winds from the west were expected to move the main fire east, JX11, at 5, ECF No. 99-11; spot fires persisted as a concern for additional spread, Tr. 767:22–768:2 (Cornwell). The fire behavior forecast predicted even ‘more active’ fire behavior, with ‘stronger </w:t>
      </w:r>
      <w:proofErr w:type="gramStart"/>
      <w:r>
        <w:t>winds’</w:t>
      </w:r>
      <w:proofErr w:type="gramEnd"/>
      <w:r>
        <w:t xml:space="preserve"> potentially driving even farther spot fire ignitions. JX11, at 5.”</w:t>
      </w:r>
    </w:p>
    <w:p w14:paraId="05A3647B" w14:textId="77777777" w:rsidR="00BF588C" w:rsidRPr="007056A2" w:rsidRDefault="00BF588C" w:rsidP="00BF588C">
      <w:pPr>
        <w:rPr>
          <w:b/>
        </w:rPr>
      </w:pPr>
    </w:p>
    <w:p w14:paraId="6852878B" w14:textId="77777777" w:rsidR="00BF588C" w:rsidRPr="00781F8D" w:rsidRDefault="00BF588C" w:rsidP="00BF588C">
      <w:pPr>
        <w:pStyle w:val="NoSpacing"/>
        <w:rPr>
          <w:b/>
          <w:bCs/>
        </w:rPr>
      </w:pPr>
      <w:r>
        <w:rPr>
          <w:b/>
        </w:rPr>
        <w:t>Legal lesson learned:  Incident commanders with U.S. Forest Service kept detailed records of fire growth, and their efforts to save property.</w:t>
      </w:r>
    </w:p>
    <w:p w14:paraId="4126C20F" w14:textId="77777777" w:rsidR="00BF588C" w:rsidRDefault="00BF588C" w:rsidP="00BF588C">
      <w:pPr>
        <w:rPr>
          <w:b/>
        </w:rPr>
      </w:pPr>
    </w:p>
    <w:p w14:paraId="67D05838" w14:textId="170E8675" w:rsidR="008843BB" w:rsidRDefault="008843B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4-50</w:t>
      </w:r>
    </w:p>
    <w:p w14:paraId="03E261C2" w14:textId="77777777" w:rsidR="008843BB" w:rsidRPr="000E3803" w:rsidRDefault="008843BB" w:rsidP="008843BB">
      <w:pPr>
        <w:pStyle w:val="NoSpacing"/>
        <w:rPr>
          <w:rFonts w:ascii="Arial Black" w:hAnsi="Arial Black"/>
          <w:bCs/>
          <w:sz w:val="28"/>
          <w:szCs w:val="28"/>
        </w:rPr>
      </w:pPr>
      <w:r>
        <w:rPr>
          <w:rFonts w:ascii="Arial Black" w:hAnsi="Arial Black"/>
          <w:sz w:val="28"/>
          <w:szCs w:val="28"/>
        </w:rPr>
        <w:t xml:space="preserve">MO:  CHIMNEY FIRE – FF RIGHT TO ENTER / CUT THE ROOF </w:t>
      </w:r>
    </w:p>
    <w:p w14:paraId="1ECCFBE9" w14:textId="77777777" w:rsidR="008843BB" w:rsidRDefault="008843BB" w:rsidP="008843BB">
      <w:pPr>
        <w:pStyle w:val="NoSpacing"/>
        <w:rPr>
          <w:bCs/>
        </w:rPr>
      </w:pPr>
    </w:p>
    <w:p w14:paraId="38E8E878" w14:textId="77777777" w:rsidR="008843BB" w:rsidRPr="003F3B30" w:rsidRDefault="008843BB" w:rsidP="008843BB">
      <w:pPr>
        <w:pStyle w:val="NoSpacing"/>
        <w:rPr>
          <w:rFonts w:ascii="Times New Roman" w:hAnsi="Times New Roman"/>
          <w:bCs/>
          <w:sz w:val="24"/>
          <w:szCs w:val="24"/>
        </w:rPr>
      </w:pPr>
      <w:r w:rsidRPr="003F3B30">
        <w:rPr>
          <w:rFonts w:ascii="Times New Roman" w:hAnsi="Times New Roman"/>
          <w:sz w:val="24"/>
          <w:szCs w:val="24"/>
        </w:rPr>
        <w:t xml:space="preserve">On July 25, 2025, in </w:t>
      </w:r>
      <w:r w:rsidRPr="003F3B30">
        <w:rPr>
          <w:rFonts w:ascii="Times New Roman" w:hAnsi="Times New Roman"/>
          <w:sz w:val="24"/>
          <w:szCs w:val="24"/>
          <w:u w:val="single"/>
        </w:rPr>
        <w:t>Gary Gibbs v. City of Sikeston, et al</w:t>
      </w:r>
      <w:r w:rsidRPr="003F3B30">
        <w:rPr>
          <w:rFonts w:ascii="Times New Roman" w:hAnsi="Times New Roman"/>
          <w:sz w:val="24"/>
          <w:szCs w:val="24"/>
        </w:rPr>
        <w:t xml:space="preserve">., Senior U.S. District Court Judge Stephen N. Limbach, Jr., United States District Court for Eastern District of Missouri, granted defense motion to dismiss the lawsuit filed pro se 9no attorney) by the homeowner.  During the morning of Jan. 8, 2021, the homeowner lit a fire in his fireplace and tan began a Zoom call with his employer.  An hour later a neighbor told him his chimney was smoking; Gibbs got a water hose and extinguished fire.  Someone called 911; he told police officer to cancel the fire department and leave his property; the officer refused, ordered him out of his home and fire department made entry over his objections.  THE COURT HELD: “Even if there was no ‘visible’ fire when the first responders arrived after the 911 call, they had a duty to investigate for the public's safety.” </w:t>
      </w:r>
      <w:hyperlink r:id="rId879" w:history="1">
        <w:r w:rsidRPr="003F3B30">
          <w:rPr>
            <w:rStyle w:val="Hyperlink"/>
            <w:rFonts w:ascii="Times New Roman" w:hAnsi="Times New Roman"/>
            <w:sz w:val="24"/>
            <w:szCs w:val="24"/>
          </w:rPr>
          <w:t>https://public.fastcase.com/jaEE2PXzRXmZ99jOLMt1IjaUc7vARjVQ5RdI8he5wvr8CafQJWJ892rNp3h%2B5maD?utm_medium=email&amp;_hsenc=p2ANqtz-9yeYIX9OvUysaWxw5S4NvX23y7n2bM1DKt1TGid5472BDGnDkJHyEbdkJMIqnakyd6KQCi4nGEAs4FOkTAkAKzxnAO3A&amp;_hsmi=226712652&amp;utm_content=226712652&amp;utm_source=hs_email</w:t>
        </w:r>
      </w:hyperlink>
      <w:r w:rsidRPr="003F3B30">
        <w:rPr>
          <w:rFonts w:ascii="Times New Roman" w:hAnsi="Times New Roman"/>
          <w:sz w:val="24"/>
          <w:szCs w:val="24"/>
        </w:rPr>
        <w:t xml:space="preserve"> </w:t>
      </w:r>
    </w:p>
    <w:p w14:paraId="755836D8" w14:textId="77777777" w:rsidR="00D77D85" w:rsidRDefault="00D77D85" w:rsidP="003F3B30">
      <w:pPr>
        <w:pStyle w:val="NoSpacing"/>
        <w:rPr>
          <w:rFonts w:ascii="Times New Roman" w:hAnsi="Times New Roman"/>
          <w:b/>
          <w:sz w:val="24"/>
          <w:szCs w:val="24"/>
        </w:rPr>
      </w:pPr>
    </w:p>
    <w:p w14:paraId="70382C54" w14:textId="27940A34" w:rsidR="003F3B30" w:rsidRPr="003F3B30" w:rsidRDefault="003F3B30" w:rsidP="003F3B30">
      <w:pPr>
        <w:pStyle w:val="NoSpacing"/>
        <w:rPr>
          <w:rFonts w:ascii="Times New Roman" w:hAnsi="Times New Roman"/>
          <w:b/>
          <w:sz w:val="24"/>
          <w:szCs w:val="24"/>
        </w:rPr>
      </w:pPr>
      <w:r w:rsidRPr="003F3B30">
        <w:rPr>
          <w:rFonts w:ascii="Times New Roman" w:hAnsi="Times New Roman"/>
          <w:b/>
          <w:sz w:val="24"/>
          <w:szCs w:val="24"/>
        </w:rPr>
        <w:t xml:space="preserve">Legal lesson learned:  Fire Department had lawful right to enter property, cut roof looking for extension of fire and prevent rekindle. </w:t>
      </w:r>
    </w:p>
    <w:p w14:paraId="36097A71" w14:textId="77777777" w:rsidR="003F3B30" w:rsidRPr="003F3B30" w:rsidRDefault="003F3B30" w:rsidP="003F3B30">
      <w:pPr>
        <w:pStyle w:val="NoSpacing"/>
        <w:rPr>
          <w:rFonts w:ascii="Times New Roman" w:hAnsi="Times New Roman"/>
          <w:b/>
          <w:sz w:val="24"/>
          <w:szCs w:val="24"/>
        </w:rPr>
      </w:pPr>
    </w:p>
    <w:p w14:paraId="24AB187E" w14:textId="77777777" w:rsidR="003F3B30" w:rsidRPr="003F3B30" w:rsidRDefault="003F3B30" w:rsidP="003F3B30">
      <w:pPr>
        <w:pStyle w:val="NoSpacing"/>
        <w:ind w:left="720"/>
        <w:rPr>
          <w:rFonts w:ascii="Times New Roman" w:hAnsi="Times New Roman"/>
          <w:bCs/>
          <w:sz w:val="24"/>
          <w:szCs w:val="24"/>
        </w:rPr>
      </w:pPr>
      <w:r w:rsidRPr="003F3B30">
        <w:rPr>
          <w:rFonts w:ascii="Times New Roman" w:hAnsi="Times New Roman"/>
          <w:sz w:val="24"/>
          <w:szCs w:val="24"/>
        </w:rPr>
        <w:t xml:space="preserve">Note:  Read the U.S. Supreme Court decision in </w:t>
      </w:r>
      <w:r w:rsidRPr="003F3B30">
        <w:rPr>
          <w:rFonts w:ascii="Times New Roman" w:hAnsi="Times New Roman"/>
          <w:sz w:val="24"/>
          <w:szCs w:val="24"/>
          <w:u w:val="single"/>
        </w:rPr>
        <w:t>Michigan v. Clifford</w:t>
      </w:r>
      <w:r w:rsidRPr="003F3B30">
        <w:rPr>
          <w:rFonts w:ascii="Times New Roman" w:hAnsi="Times New Roman"/>
          <w:sz w:val="24"/>
          <w:szCs w:val="24"/>
        </w:rPr>
        <w:t xml:space="preserve"> (1984).  </w:t>
      </w:r>
      <w:hyperlink r:id="rId880" w:history="1">
        <w:r w:rsidRPr="003F3B30">
          <w:rPr>
            <w:rStyle w:val="Hyperlink"/>
            <w:rFonts w:ascii="Times New Roman" w:hAnsi="Times New Roman"/>
            <w:sz w:val="24"/>
            <w:szCs w:val="24"/>
          </w:rPr>
          <w:t>https://supreme.justia.com/cases/federal/us/464/287/</w:t>
        </w:r>
      </w:hyperlink>
      <w:r w:rsidRPr="003F3B30">
        <w:rPr>
          <w:rFonts w:ascii="Times New Roman" w:hAnsi="Times New Roman"/>
          <w:sz w:val="24"/>
          <w:szCs w:val="24"/>
        </w:rPr>
        <w:t xml:space="preserve"> </w:t>
      </w:r>
    </w:p>
    <w:p w14:paraId="52D772A3" w14:textId="77777777" w:rsidR="003F3B30" w:rsidRPr="003F3B30" w:rsidRDefault="003F3B30" w:rsidP="003F3B30">
      <w:pPr>
        <w:pStyle w:val="NoSpacing"/>
        <w:ind w:left="720"/>
        <w:rPr>
          <w:rFonts w:ascii="Times New Roman" w:hAnsi="Times New Roman"/>
          <w:bCs/>
          <w:sz w:val="24"/>
          <w:szCs w:val="24"/>
        </w:rPr>
      </w:pPr>
    </w:p>
    <w:p w14:paraId="2E55C164" w14:textId="77777777" w:rsidR="003F3B30" w:rsidRPr="003F3B30" w:rsidRDefault="003F3B30" w:rsidP="003F3B30">
      <w:pPr>
        <w:pStyle w:val="NoSpacing"/>
        <w:ind w:left="720"/>
        <w:rPr>
          <w:rFonts w:ascii="Times New Roman" w:hAnsi="Times New Roman"/>
          <w:sz w:val="24"/>
          <w:szCs w:val="24"/>
        </w:rPr>
      </w:pPr>
      <w:r w:rsidRPr="003F3B30">
        <w:rPr>
          <w:rFonts w:ascii="Times New Roman" w:hAnsi="Times New Roman"/>
          <w:sz w:val="24"/>
          <w:szCs w:val="24"/>
        </w:rPr>
        <w:t xml:space="preserve">“A burning building of course creates an exigency that justifies a warrantless entry by fire officials to fight the blaze. Moreover, in </w:t>
      </w:r>
      <w:r w:rsidRPr="003F3B30">
        <w:rPr>
          <w:rFonts w:ascii="Times New Roman" w:hAnsi="Times New Roman"/>
          <w:i/>
          <w:iCs/>
          <w:sz w:val="24"/>
          <w:szCs w:val="24"/>
        </w:rPr>
        <w:t>Tyler,</w:t>
      </w:r>
      <w:r w:rsidRPr="003F3B30">
        <w:rPr>
          <w:rFonts w:ascii="Times New Roman" w:hAnsi="Times New Roman"/>
          <w:sz w:val="24"/>
          <w:szCs w:val="24"/>
        </w:rPr>
        <w:t xml:space="preserve"> we held that, once in the building, officials need no warrant to remain …for ‘a reasonable time to investigate the cause of a blaze after it has been extinguished.’ … however, reasonable expectations of privacy remain in the fire-damaged property, additional investigations begun after the fire has been extinguished and fire and police officials have left the scene generally must be made pursuant to a warrant or the identification of some new exigency. The aftermath of a fire often presents exigencies that will not tolerate the delay necessary to obtain a warrant or to secure the owner's consent to inspect fire-damaged premises….Because determining the cause and origin of a fire serves a compelling public interest, the warrant requirement does not apply in such cases.</w:t>
      </w:r>
    </w:p>
    <w:p w14:paraId="2AE8DB91" w14:textId="77777777" w:rsidR="003F3B30" w:rsidRDefault="003F3B30" w:rsidP="003F3B30">
      <w:pPr>
        <w:pStyle w:val="NoSpacing"/>
      </w:pPr>
    </w:p>
    <w:p w14:paraId="72ACC0F3" w14:textId="77777777" w:rsidR="008843BB" w:rsidRDefault="008843BB" w:rsidP="000636AB">
      <w:pPr>
        <w:rPr>
          <w:rStyle w:val="Hyperlink"/>
          <w:rFonts w:ascii="Arial Black" w:hAnsi="Arial Black"/>
          <w:b/>
          <w:color w:val="auto"/>
          <w:sz w:val="24"/>
          <w:szCs w:val="24"/>
          <w:u w:val="none"/>
        </w:rPr>
      </w:pPr>
    </w:p>
    <w:p w14:paraId="5F6B1779" w14:textId="114A83BE" w:rsidR="000636AB" w:rsidRDefault="000636A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4-49</w:t>
      </w:r>
    </w:p>
    <w:p w14:paraId="08856BD0" w14:textId="4C008D2C" w:rsidR="000B78DC" w:rsidRDefault="000B78DC" w:rsidP="000B78DC">
      <w:pPr>
        <w:pStyle w:val="NoSpacing"/>
        <w:rPr>
          <w:rFonts w:ascii="Arial Black" w:hAnsi="Arial Black"/>
          <w:sz w:val="28"/>
          <w:szCs w:val="28"/>
        </w:rPr>
      </w:pPr>
      <w:r>
        <w:rPr>
          <w:rFonts w:ascii="Arial Black" w:hAnsi="Arial Black"/>
          <w:sz w:val="28"/>
          <w:szCs w:val="28"/>
        </w:rPr>
        <w:t xml:space="preserve">U.S. SUP. CT: FBI SWAT / WRONG HOUSE – NO </w:t>
      </w:r>
      <w:r w:rsidR="00064669">
        <w:rPr>
          <w:rFonts w:ascii="Arial Black" w:hAnsi="Arial Black"/>
          <w:sz w:val="28"/>
          <w:szCs w:val="28"/>
        </w:rPr>
        <w:t xml:space="preserve">QUAL. </w:t>
      </w:r>
      <w:r>
        <w:rPr>
          <w:rFonts w:ascii="Arial Black" w:hAnsi="Arial Black"/>
          <w:sz w:val="28"/>
          <w:szCs w:val="28"/>
        </w:rPr>
        <w:t xml:space="preserve">IMMUNITY </w:t>
      </w:r>
    </w:p>
    <w:p w14:paraId="665E5BF1" w14:textId="77777777" w:rsidR="00FB1248" w:rsidRDefault="00FB1248" w:rsidP="000B78DC">
      <w:pPr>
        <w:pStyle w:val="NoSpacing"/>
        <w:rPr>
          <w:rFonts w:ascii="Times New Roman" w:hAnsi="Times New Roman"/>
          <w:sz w:val="24"/>
          <w:szCs w:val="24"/>
        </w:rPr>
      </w:pPr>
    </w:p>
    <w:p w14:paraId="0143098B" w14:textId="16D0E142" w:rsidR="000B78DC" w:rsidRPr="00597590" w:rsidRDefault="000B78DC" w:rsidP="000B78DC">
      <w:pPr>
        <w:pStyle w:val="NoSpacing"/>
        <w:rPr>
          <w:rFonts w:ascii="Times New Roman" w:hAnsi="Times New Roman"/>
          <w:sz w:val="24"/>
          <w:szCs w:val="24"/>
        </w:rPr>
      </w:pPr>
      <w:r w:rsidRPr="00597590">
        <w:rPr>
          <w:rFonts w:ascii="Times New Roman" w:hAnsi="Times New Roman"/>
          <w:sz w:val="24"/>
          <w:szCs w:val="24"/>
        </w:rPr>
        <w:t xml:space="preserve">On June 12, 2025, in </w:t>
      </w:r>
      <w:r w:rsidRPr="00597590">
        <w:rPr>
          <w:rFonts w:ascii="Times New Roman" w:hAnsi="Times New Roman"/>
          <w:sz w:val="24"/>
          <w:szCs w:val="24"/>
          <w:u w:val="single"/>
        </w:rPr>
        <w:t>Curtina Martin, individually and next friend of G.W., a minor, et al. v. United States, et al.,</w:t>
      </w:r>
      <w:r w:rsidRPr="00597590">
        <w:rPr>
          <w:rFonts w:ascii="Times New Roman" w:hAnsi="Times New Roman"/>
          <w:sz w:val="24"/>
          <w:szCs w:val="24"/>
        </w:rPr>
        <w:t xml:space="preserve"> the United States Supreme Court held (9 to 0) that lawsuit should be reinstated to allow plaintiffs to sue the Federal government if there is proof of “intentional tort” by the FBI in the October 18, </w:t>
      </w:r>
      <w:proofErr w:type="gramStart"/>
      <w:r w:rsidRPr="00597590">
        <w:rPr>
          <w:rFonts w:ascii="Times New Roman" w:hAnsi="Times New Roman"/>
          <w:sz w:val="24"/>
          <w:szCs w:val="24"/>
        </w:rPr>
        <w:t>2017</w:t>
      </w:r>
      <w:proofErr w:type="gramEnd"/>
      <w:r w:rsidRPr="00597590">
        <w:rPr>
          <w:rFonts w:ascii="Times New Roman" w:hAnsi="Times New Roman"/>
          <w:sz w:val="24"/>
          <w:szCs w:val="24"/>
        </w:rPr>
        <w:t xml:space="preserve"> FBI / SWAT Team raid on wrong house.  The U.S. District Court judge and the 11</w:t>
      </w:r>
      <w:r w:rsidRPr="00597590">
        <w:rPr>
          <w:rFonts w:ascii="Times New Roman" w:hAnsi="Times New Roman"/>
          <w:sz w:val="24"/>
          <w:szCs w:val="24"/>
          <w:vertAlign w:val="superscript"/>
        </w:rPr>
        <w:t>th</w:t>
      </w:r>
      <w:r w:rsidRPr="00597590">
        <w:rPr>
          <w:rFonts w:ascii="Times New Roman" w:hAnsi="Times New Roman"/>
          <w:sz w:val="24"/>
          <w:szCs w:val="24"/>
        </w:rPr>
        <w:t xml:space="preserve"> Circuit (Atlanta) dismissed the lawsuit on basis of the immunity doctrine of “discretionary function.” The U.S. Supreme Court reviewed legislative history of the Federal Tort Claims Act where Congress in 1974 amended the FTCA because of another “wrong address” raid – April 1973, Herbert and Evelyn Giglotto awoke in their Collinsville, Illinois, townhouse 15 state and federal officers.  The Federal Tort Claims Act was amended by Congress</w:t>
      </w:r>
    </w:p>
    <w:p w14:paraId="03D1D226" w14:textId="77777777" w:rsidR="000B78DC" w:rsidRPr="00597590" w:rsidRDefault="000B78DC" w:rsidP="000B78DC">
      <w:pPr>
        <w:pStyle w:val="NoSpacing"/>
        <w:rPr>
          <w:rFonts w:ascii="Times New Roman" w:hAnsi="Times New Roman"/>
          <w:sz w:val="24"/>
          <w:szCs w:val="24"/>
        </w:rPr>
      </w:pPr>
      <w:r w:rsidRPr="00597590">
        <w:rPr>
          <w:rFonts w:ascii="Times New Roman" w:hAnsi="Times New Roman"/>
          <w:sz w:val="24"/>
          <w:szCs w:val="24"/>
        </w:rPr>
        <w:t xml:space="preserve">by adding the “law enforcement proviso” allowing lawsuits for Federal investigative or law enforcement agents who commit any of six intentional torts, including:  assault, battery, false imprisonment, and false arrest, abuse of process, malicious prosecution.  So long as the officer is acting within the scope of his or her employment at the time the tort arises, the waiver of sovereign immunity applies.  THE COURT HELD: “Where does all that leave the case before us? We can say this much: The plaintiffs’ intentional-tort claims survive their encounter with subsection (h) thanks to the law enforcement proviso, as the Eleventh Circuit recognized. But it remains for that court on remand to consider whether subsection (a)’s discretionary-function exception bars either the plaintiffs’ negligent- or intentional-tort claims.” </w:t>
      </w:r>
      <w:hyperlink r:id="rId881" w:history="1">
        <w:r w:rsidRPr="00597590">
          <w:rPr>
            <w:rStyle w:val="Hyperlink"/>
            <w:rFonts w:ascii="Times New Roman" w:hAnsi="Times New Roman"/>
            <w:sz w:val="24"/>
            <w:szCs w:val="24"/>
          </w:rPr>
          <w:t>https://www.supremecourt.gov/opinions/24pdf/24-362_mjn0.pdf</w:t>
        </w:r>
      </w:hyperlink>
      <w:r w:rsidRPr="00597590">
        <w:rPr>
          <w:rFonts w:ascii="Times New Roman" w:hAnsi="Times New Roman"/>
          <w:sz w:val="24"/>
          <w:szCs w:val="24"/>
        </w:rPr>
        <w:t xml:space="preserve"> </w:t>
      </w:r>
    </w:p>
    <w:p w14:paraId="2377A0B5" w14:textId="77777777" w:rsidR="000B78DC" w:rsidRPr="00597590" w:rsidRDefault="000B78DC" w:rsidP="000B78DC">
      <w:pPr>
        <w:pStyle w:val="NoSpacing"/>
        <w:rPr>
          <w:rFonts w:ascii="Times New Roman" w:hAnsi="Times New Roman"/>
          <w:sz w:val="24"/>
          <w:szCs w:val="24"/>
        </w:rPr>
      </w:pPr>
    </w:p>
    <w:p w14:paraId="1655167C" w14:textId="77777777" w:rsidR="00597590" w:rsidRPr="00597590" w:rsidRDefault="00597590" w:rsidP="00597590">
      <w:pPr>
        <w:pStyle w:val="NoSpacing"/>
        <w:rPr>
          <w:rFonts w:ascii="Times New Roman" w:hAnsi="Times New Roman"/>
          <w:b/>
          <w:bCs/>
          <w:sz w:val="24"/>
          <w:szCs w:val="24"/>
        </w:rPr>
      </w:pPr>
      <w:r w:rsidRPr="00597590">
        <w:rPr>
          <w:rFonts w:ascii="Times New Roman" w:hAnsi="Times New Roman"/>
          <w:b/>
          <w:sz w:val="24"/>
          <w:szCs w:val="24"/>
        </w:rPr>
        <w:t>Legal lesson learned:  Similar to FTCA, many states have statutes waiving their sovereign immunity for “intentional torts” by law enforcement and other public employees.</w:t>
      </w:r>
    </w:p>
    <w:p w14:paraId="594C5B80" w14:textId="77777777" w:rsidR="00597590" w:rsidRPr="00597590" w:rsidRDefault="00597590" w:rsidP="00597590">
      <w:pPr>
        <w:pStyle w:val="NoSpacing"/>
        <w:rPr>
          <w:rFonts w:ascii="Times New Roman" w:hAnsi="Times New Roman"/>
          <w:b/>
          <w:bCs/>
          <w:sz w:val="24"/>
          <w:szCs w:val="24"/>
        </w:rPr>
      </w:pPr>
    </w:p>
    <w:p w14:paraId="615F3023" w14:textId="77777777" w:rsidR="00597590" w:rsidRPr="00597590" w:rsidRDefault="00597590" w:rsidP="00597590">
      <w:pPr>
        <w:pStyle w:val="NoSpacing"/>
        <w:ind w:left="720"/>
        <w:rPr>
          <w:rFonts w:ascii="Times New Roman" w:hAnsi="Times New Roman"/>
          <w:sz w:val="24"/>
          <w:szCs w:val="24"/>
        </w:rPr>
      </w:pPr>
      <w:r w:rsidRPr="00597590">
        <w:rPr>
          <w:rFonts w:ascii="Times New Roman" w:hAnsi="Times New Roman"/>
          <w:sz w:val="24"/>
          <w:szCs w:val="24"/>
        </w:rPr>
        <w:t xml:space="preserve">Note:  See more on the “law enforcement proviso” – “The Federal Tort Claims Act (FTCA): A Legal Overview.” </w:t>
      </w:r>
      <w:hyperlink r:id="rId882" w:history="1">
        <w:r w:rsidRPr="00597590">
          <w:rPr>
            <w:rStyle w:val="Hyperlink"/>
            <w:rFonts w:ascii="Times New Roman" w:hAnsi="Times New Roman"/>
            <w:sz w:val="24"/>
            <w:szCs w:val="24"/>
          </w:rPr>
          <w:t>https://www.congress.gov/crs-product/R45732</w:t>
        </w:r>
      </w:hyperlink>
      <w:r w:rsidRPr="00597590">
        <w:rPr>
          <w:rFonts w:ascii="Times New Roman" w:hAnsi="Times New Roman"/>
          <w:sz w:val="24"/>
          <w:szCs w:val="24"/>
        </w:rPr>
        <w:t xml:space="preserve"> </w:t>
      </w:r>
    </w:p>
    <w:p w14:paraId="2E43B196" w14:textId="77777777" w:rsidR="000B78DC" w:rsidRPr="00597590" w:rsidRDefault="000B78DC" w:rsidP="006528FB">
      <w:pPr>
        <w:rPr>
          <w:rFonts w:ascii="Times New Roman" w:hAnsi="Times New Roman"/>
          <w:b/>
          <w:sz w:val="24"/>
          <w:szCs w:val="24"/>
        </w:rPr>
      </w:pPr>
    </w:p>
    <w:p w14:paraId="0CED1D16" w14:textId="77777777" w:rsidR="000B78DC" w:rsidRDefault="000B78DC" w:rsidP="006528FB">
      <w:pPr>
        <w:rPr>
          <w:rFonts w:ascii="Arial Black" w:hAnsi="Arial Black"/>
          <w:b/>
          <w:sz w:val="28"/>
          <w:szCs w:val="28"/>
        </w:rPr>
      </w:pPr>
    </w:p>
    <w:p w14:paraId="2820AC79" w14:textId="58A86CE7" w:rsidR="000B78DC" w:rsidRDefault="000636AB" w:rsidP="006528FB">
      <w:pPr>
        <w:rPr>
          <w:rFonts w:ascii="Arial Black" w:hAnsi="Arial Black"/>
          <w:b/>
          <w:sz w:val="28"/>
          <w:szCs w:val="28"/>
        </w:rPr>
      </w:pPr>
      <w:r>
        <w:rPr>
          <w:rStyle w:val="Hyperlink"/>
          <w:rFonts w:ascii="Arial Black" w:hAnsi="Arial Black"/>
          <w:b/>
          <w:color w:val="auto"/>
          <w:sz w:val="24"/>
          <w:szCs w:val="24"/>
          <w:u w:val="none"/>
        </w:rPr>
        <w:t>4-48</w:t>
      </w:r>
    </w:p>
    <w:p w14:paraId="2FEEE3D2" w14:textId="7F818D8F" w:rsidR="006528FB" w:rsidRPr="009E79D4" w:rsidRDefault="006528FB" w:rsidP="006528FB">
      <w:pPr>
        <w:rPr>
          <w:rFonts w:ascii="Arial Black" w:hAnsi="Arial Black"/>
          <w:b/>
          <w:sz w:val="28"/>
          <w:szCs w:val="28"/>
        </w:rPr>
      </w:pPr>
      <w:r>
        <w:rPr>
          <w:rFonts w:ascii="Arial Black" w:hAnsi="Arial Black"/>
          <w:b/>
          <w:sz w:val="28"/>
          <w:szCs w:val="28"/>
        </w:rPr>
        <w:t xml:space="preserve">TX: LASER BLINDED POLICE COPTER – 37-MO IN PRISON </w:t>
      </w:r>
    </w:p>
    <w:p w14:paraId="7AA6CCA5" w14:textId="77777777" w:rsidR="006528FB" w:rsidRPr="00C342C1" w:rsidRDefault="006528FB" w:rsidP="006528FB">
      <w:pPr>
        <w:pStyle w:val="NoSpacing"/>
        <w:rPr>
          <w:rFonts w:ascii="Times New Roman" w:hAnsi="Times New Roman"/>
          <w:bCs/>
          <w:sz w:val="24"/>
          <w:szCs w:val="24"/>
        </w:rPr>
      </w:pPr>
      <w:r w:rsidRPr="00C342C1">
        <w:rPr>
          <w:rFonts w:ascii="Times New Roman" w:hAnsi="Times New Roman"/>
          <w:sz w:val="24"/>
          <w:szCs w:val="24"/>
        </w:rPr>
        <w:t xml:space="preserve">On June 5, 2025, in </w:t>
      </w:r>
      <w:r w:rsidRPr="00C342C1">
        <w:rPr>
          <w:rFonts w:ascii="Times New Roman" w:hAnsi="Times New Roman"/>
          <w:sz w:val="24"/>
          <w:szCs w:val="24"/>
          <w:u w:val="single"/>
        </w:rPr>
        <w:t>United States of America v. Sandra Roberson</w:t>
      </w:r>
      <w:r w:rsidRPr="00C342C1">
        <w:rPr>
          <w:rFonts w:ascii="Times New Roman" w:hAnsi="Times New Roman"/>
          <w:sz w:val="24"/>
          <w:szCs w:val="24"/>
        </w:rPr>
        <w:t>, the United States Court of Appeals for the Fifth Circuit (New Orleans) held (3 to 0) that sentence was appropriate; the defendant had plead guilty to Federal offense.  On November 3, 2023, at approximately 10:20 p.m., two San Antonio Police Department officers were travelling via police helicopter</w:t>
      </w:r>
    </w:p>
    <w:p w14:paraId="6C05E294" w14:textId="77777777" w:rsidR="006528FB" w:rsidRPr="00C342C1" w:rsidRDefault="006528FB" w:rsidP="006528FB">
      <w:pPr>
        <w:pStyle w:val="NoSpacing"/>
        <w:rPr>
          <w:rFonts w:ascii="Times New Roman" w:hAnsi="Times New Roman"/>
          <w:bCs/>
          <w:sz w:val="24"/>
          <w:szCs w:val="24"/>
        </w:rPr>
      </w:pPr>
      <w:r w:rsidRPr="00C342C1">
        <w:rPr>
          <w:rFonts w:ascii="Times New Roman" w:hAnsi="Times New Roman"/>
          <w:sz w:val="24"/>
          <w:szCs w:val="24"/>
        </w:rPr>
        <w:t xml:space="preserve">to support other officers responding to a shooting call. In the police helicopter, when an intense green laser began persistently striking the helicopter causing temporary flash blindness.  THE COURT HELD: “In sum, because her arguments are entirely contradicted by the record evidence, we are unconvinced that Roberson was not subjectively aware of the risk posed to the police helicopter when she continuously struck it with a laser for at least five minutes, forcing it to abruptly divert its path.” </w:t>
      </w:r>
      <w:hyperlink r:id="rId883" w:history="1">
        <w:r w:rsidRPr="00C342C1">
          <w:rPr>
            <w:rStyle w:val="Hyperlink"/>
            <w:rFonts w:ascii="Times New Roman" w:hAnsi="Times New Roman"/>
            <w:sz w:val="24"/>
            <w:szCs w:val="24"/>
          </w:rPr>
          <w:t>https://cases.justia.com/federal/appellate-courts/ca5/24-50970/24-50970-2025-06-05.pdf?ts=1749144644</w:t>
        </w:r>
      </w:hyperlink>
      <w:r w:rsidRPr="00C342C1">
        <w:rPr>
          <w:rFonts w:ascii="Times New Roman" w:hAnsi="Times New Roman"/>
          <w:sz w:val="24"/>
          <w:szCs w:val="24"/>
        </w:rPr>
        <w:t xml:space="preserve"> </w:t>
      </w:r>
    </w:p>
    <w:p w14:paraId="38D245B9" w14:textId="77777777" w:rsidR="006528FB" w:rsidRPr="00C342C1" w:rsidRDefault="006528FB" w:rsidP="006528FB">
      <w:pPr>
        <w:pStyle w:val="NoSpacing"/>
        <w:rPr>
          <w:rFonts w:ascii="Times New Roman" w:hAnsi="Times New Roman"/>
          <w:bCs/>
          <w:sz w:val="24"/>
          <w:szCs w:val="24"/>
        </w:rPr>
      </w:pPr>
    </w:p>
    <w:p w14:paraId="75C98AB8" w14:textId="77777777" w:rsidR="006528FB" w:rsidRPr="00C342C1" w:rsidRDefault="006528FB" w:rsidP="006528FB">
      <w:pPr>
        <w:pStyle w:val="NoSpacing"/>
        <w:rPr>
          <w:rFonts w:ascii="Times New Roman" w:hAnsi="Times New Roman"/>
          <w:b/>
          <w:bCs/>
          <w:sz w:val="24"/>
          <w:szCs w:val="24"/>
        </w:rPr>
      </w:pPr>
      <w:r w:rsidRPr="00C342C1">
        <w:rPr>
          <w:rFonts w:ascii="Times New Roman" w:hAnsi="Times New Roman"/>
          <w:b/>
          <w:sz w:val="24"/>
          <w:szCs w:val="24"/>
        </w:rPr>
        <w:t xml:space="preserve">Legal lesson learned: Pointing a laser at a helicopter or other aircraft is incredibly dangerous. </w:t>
      </w:r>
    </w:p>
    <w:p w14:paraId="4FDB9DBE" w14:textId="77777777" w:rsidR="006528FB" w:rsidRPr="00C342C1" w:rsidRDefault="006528FB" w:rsidP="006528FB">
      <w:pPr>
        <w:pStyle w:val="NoSpacing"/>
        <w:rPr>
          <w:rFonts w:ascii="Times New Roman" w:hAnsi="Times New Roman"/>
          <w:b/>
          <w:bCs/>
          <w:sz w:val="24"/>
          <w:szCs w:val="24"/>
        </w:rPr>
      </w:pPr>
    </w:p>
    <w:p w14:paraId="373F6741" w14:textId="77777777" w:rsidR="006528FB" w:rsidRPr="00C342C1" w:rsidRDefault="006528FB" w:rsidP="006528FB">
      <w:pPr>
        <w:pStyle w:val="NoSpacing"/>
        <w:ind w:left="720"/>
        <w:rPr>
          <w:rFonts w:ascii="Times New Roman" w:hAnsi="Times New Roman"/>
          <w:sz w:val="24"/>
          <w:szCs w:val="24"/>
        </w:rPr>
      </w:pPr>
      <w:r w:rsidRPr="00C342C1">
        <w:rPr>
          <w:rFonts w:ascii="Times New Roman" w:hAnsi="Times New Roman"/>
          <w:sz w:val="24"/>
          <w:szCs w:val="24"/>
        </w:rPr>
        <w:t xml:space="preserve">Note: The Court noted that the defendant, </w:t>
      </w:r>
      <w:proofErr w:type="gramStart"/>
      <w:r w:rsidRPr="00C342C1">
        <w:rPr>
          <w:rFonts w:ascii="Times New Roman" w:hAnsi="Times New Roman"/>
          <w:sz w:val="24"/>
          <w:szCs w:val="24"/>
        </w:rPr>
        <w:t>age</w:t>
      </w:r>
      <w:proofErr w:type="gramEnd"/>
      <w:r w:rsidRPr="00C342C1">
        <w:rPr>
          <w:rFonts w:ascii="Times New Roman" w:hAnsi="Times New Roman"/>
          <w:sz w:val="24"/>
          <w:szCs w:val="24"/>
        </w:rPr>
        <w:t xml:space="preserve"> 60 at the time of the offense, had quite a criminal record. </w:t>
      </w:r>
    </w:p>
    <w:p w14:paraId="1668EB4D" w14:textId="77777777" w:rsidR="006528FB" w:rsidRPr="00C342C1" w:rsidRDefault="006528FB" w:rsidP="006528FB">
      <w:pPr>
        <w:pStyle w:val="NoSpacing"/>
        <w:ind w:left="720"/>
        <w:rPr>
          <w:rFonts w:ascii="Times New Roman" w:hAnsi="Times New Roman"/>
          <w:sz w:val="24"/>
          <w:szCs w:val="24"/>
        </w:rPr>
      </w:pPr>
      <w:r w:rsidRPr="00C342C1">
        <w:rPr>
          <w:rFonts w:ascii="Times New Roman" w:hAnsi="Times New Roman"/>
          <w:sz w:val="24"/>
          <w:szCs w:val="24"/>
        </w:rPr>
        <w:t>“As her PSR [</w:t>
      </w:r>
      <w:proofErr w:type="spellStart"/>
      <w:r w:rsidRPr="00C342C1">
        <w:rPr>
          <w:rFonts w:ascii="Times New Roman" w:hAnsi="Times New Roman"/>
          <w:sz w:val="24"/>
          <w:szCs w:val="24"/>
        </w:rPr>
        <w:t>Pre Sentence</w:t>
      </w:r>
      <w:proofErr w:type="spellEnd"/>
      <w:r w:rsidRPr="00C342C1">
        <w:rPr>
          <w:rFonts w:ascii="Times New Roman" w:hAnsi="Times New Roman"/>
          <w:sz w:val="24"/>
          <w:szCs w:val="24"/>
        </w:rPr>
        <w:t xml:space="preserve"> Report] plainly indicates, she has an extensive record of nearly three dozen prior arrests and/or convictions (33 total) spanning four decades (1983–2024), resulting in a staggering criminal history category of V—the second highest available under the Guidelines.”</w:t>
      </w:r>
    </w:p>
    <w:p w14:paraId="5217B5C6" w14:textId="77777777" w:rsidR="006528FB" w:rsidRPr="00C342C1" w:rsidRDefault="006528FB" w:rsidP="006528FB">
      <w:pPr>
        <w:pStyle w:val="NoSpacing"/>
        <w:rPr>
          <w:rFonts w:ascii="Times New Roman" w:hAnsi="Times New Roman"/>
          <w:b/>
          <w:bCs/>
          <w:sz w:val="24"/>
          <w:szCs w:val="24"/>
        </w:rPr>
      </w:pPr>
      <w:r w:rsidRPr="00C342C1">
        <w:rPr>
          <w:rFonts w:ascii="Times New Roman" w:hAnsi="Times New Roman"/>
          <w:b/>
          <w:sz w:val="24"/>
          <w:szCs w:val="24"/>
        </w:rPr>
        <w:t xml:space="preserve">  </w:t>
      </w:r>
    </w:p>
    <w:p w14:paraId="3613C335" w14:textId="72A54DBC" w:rsidR="00680234" w:rsidRDefault="006528FB" w:rsidP="006528FB">
      <w:pPr>
        <w:rPr>
          <w:rStyle w:val="Hyperlink"/>
          <w:rFonts w:ascii="Arial Black" w:hAnsi="Arial Black"/>
          <w:b/>
          <w:color w:val="auto"/>
          <w:sz w:val="24"/>
          <w:szCs w:val="24"/>
          <w:u w:val="none"/>
        </w:rPr>
      </w:pPr>
      <w:r w:rsidRPr="00C342C1">
        <w:rPr>
          <w:rFonts w:ascii="Times New Roman" w:hAnsi="Times New Roman"/>
          <w:sz w:val="24"/>
          <w:szCs w:val="24"/>
        </w:rPr>
        <w:t xml:space="preserve">See also the U.S. Department of Justice Press Release; “San Antonio Woman Sentenced to Prison for Endangering SAPD Helicopter with Laser. </w:t>
      </w:r>
      <w:hyperlink r:id="rId884" w:history="1">
        <w:r w:rsidRPr="00C342C1">
          <w:rPr>
            <w:rStyle w:val="Hyperlink"/>
            <w:rFonts w:ascii="Times New Roman" w:hAnsi="Times New Roman"/>
            <w:sz w:val="24"/>
            <w:szCs w:val="24"/>
          </w:rPr>
          <w:t>https://www.justice.gov/usao-wdtx/pr/san-antonio-woman-sentenced-prison-endangering-sapd-helicopter-laser</w:t>
        </w:r>
      </w:hyperlink>
    </w:p>
    <w:p w14:paraId="1032D04B" w14:textId="77777777" w:rsidR="00680234" w:rsidRDefault="00680234" w:rsidP="002B1283">
      <w:pPr>
        <w:rPr>
          <w:rStyle w:val="Hyperlink"/>
          <w:rFonts w:ascii="Arial Black" w:hAnsi="Arial Black"/>
          <w:b/>
          <w:color w:val="auto"/>
          <w:sz w:val="24"/>
          <w:szCs w:val="24"/>
          <w:u w:val="none"/>
        </w:rPr>
      </w:pPr>
    </w:p>
    <w:p w14:paraId="44FD9D3E" w14:textId="135E85FF" w:rsidR="000636AB" w:rsidRDefault="000636A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4-47</w:t>
      </w:r>
    </w:p>
    <w:p w14:paraId="233E432D" w14:textId="77777777" w:rsidR="009B2566" w:rsidRDefault="009B2566" w:rsidP="002B1283">
      <w:pPr>
        <w:rPr>
          <w:rStyle w:val="Hyperlink"/>
          <w:rFonts w:ascii="Arial Black" w:hAnsi="Arial Black"/>
          <w:b/>
          <w:color w:val="auto"/>
          <w:sz w:val="24"/>
          <w:szCs w:val="24"/>
          <w:u w:val="none"/>
        </w:rPr>
      </w:pPr>
    </w:p>
    <w:p w14:paraId="74718506" w14:textId="77777777" w:rsidR="009B2566" w:rsidRDefault="009B2566" w:rsidP="009B2566">
      <w:pPr>
        <w:rPr>
          <w:rFonts w:ascii="Arial Black" w:hAnsi="Arial Black"/>
          <w:b/>
          <w:sz w:val="28"/>
          <w:szCs w:val="28"/>
        </w:rPr>
      </w:pPr>
      <w:r>
        <w:rPr>
          <w:rFonts w:ascii="Arial Black" w:hAnsi="Arial Black"/>
          <w:b/>
          <w:sz w:val="28"/>
          <w:szCs w:val="28"/>
        </w:rPr>
        <w:t>CA: TRAINING CAPT MOVED - $450K / ATTY FEES CUT 30%</w:t>
      </w:r>
    </w:p>
    <w:p w14:paraId="42093463" w14:textId="77777777" w:rsidR="009B2566" w:rsidRPr="000636AB" w:rsidRDefault="009B2566" w:rsidP="009B2566">
      <w:pPr>
        <w:rPr>
          <w:rFonts w:ascii="Times New Roman" w:hAnsi="Times New Roman"/>
          <w:sz w:val="24"/>
          <w:szCs w:val="24"/>
        </w:rPr>
      </w:pPr>
      <w:r w:rsidRPr="000636AB">
        <w:rPr>
          <w:rFonts w:ascii="Times New Roman" w:hAnsi="Times New Roman"/>
          <w:sz w:val="24"/>
          <w:szCs w:val="24"/>
        </w:rPr>
        <w:t xml:space="preserve">On May 30, 2025, in </w:t>
      </w:r>
      <w:r w:rsidRPr="000636AB">
        <w:rPr>
          <w:rFonts w:ascii="Times New Roman" w:hAnsi="Times New Roman"/>
          <w:sz w:val="24"/>
          <w:szCs w:val="24"/>
          <w:u w:val="single"/>
        </w:rPr>
        <w:t>Michael Cash v. County of Los Angeles</w:t>
      </w:r>
      <w:r w:rsidRPr="000636AB">
        <w:rPr>
          <w:rFonts w:ascii="Times New Roman" w:hAnsi="Times New Roman"/>
          <w:sz w:val="24"/>
          <w:szCs w:val="24"/>
        </w:rPr>
        <w:t xml:space="preserve">, the Court of Appeal, Second District, California, held (3 to 0) that after a jury awarded Captain $450,000 when he was removed from the LA County training academy after complaining about female recruit not being terminated, the trial court judge also properly awarded the Captain attorney fees, reduced by 30% when County asserted that the attorneys’ hours were padded.  It took 5 years of litigation, and 20-day jury trial to get to a jury verdict ($705,730 fee request; $455,546 awarded).  THE COURT HELD: “Before a hearing to consider the amount of attorney fees to award, the trial court issued a tentative ruling adopting wholesale the County's across-the-board 30 percent reduction. The trial court did not abuse its discretion in doing so. Under the traditional California standard, across-the-board, percentage-based reductions to a lodestar figure are appropriate so long as the trial court articulates a justifiable reason for the reduction. (Morris, supra, 41 Cal.App.5th at p. 35, fn. 6, 253 Cal.Rptr.3d 592.) Here, the trial court imposed the 30-percent reduction due to padding </w:t>
      </w:r>
      <w:proofErr w:type="gramStart"/>
      <w:r w:rsidRPr="000636AB">
        <w:rPr>
          <w:rFonts w:ascii="Times New Roman" w:hAnsi="Times New Roman"/>
          <w:sz w:val="24"/>
          <w:szCs w:val="24"/>
        </w:rPr>
        <w:t>as a result of</w:t>
      </w:r>
      <w:proofErr w:type="gramEnd"/>
      <w:r w:rsidRPr="000636AB">
        <w:rPr>
          <w:rFonts w:ascii="Times New Roman" w:hAnsi="Times New Roman"/>
          <w:sz w:val="24"/>
          <w:szCs w:val="24"/>
        </w:rPr>
        <w:t xml:space="preserve"> the attorneys’ excessive and duplicative billing.” </w:t>
      </w:r>
      <w:hyperlink r:id="rId885" w:history="1">
        <w:r w:rsidRPr="000636AB">
          <w:rPr>
            <w:rStyle w:val="Hyperlink"/>
            <w:rFonts w:ascii="Times New Roman" w:hAnsi="Times New Roman"/>
            <w:sz w:val="24"/>
            <w:szCs w:val="24"/>
          </w:rPr>
          <w:t>https://caselaw.findlaw.com/court/crt-app-sec-dis-cal-div-fiv/117326152.html</w:t>
        </w:r>
      </w:hyperlink>
      <w:r w:rsidRPr="000636AB">
        <w:rPr>
          <w:rFonts w:ascii="Times New Roman" w:hAnsi="Times New Roman"/>
          <w:sz w:val="24"/>
          <w:szCs w:val="24"/>
        </w:rPr>
        <w:t xml:space="preserve"> </w:t>
      </w:r>
    </w:p>
    <w:p w14:paraId="1804E859" w14:textId="77777777" w:rsidR="00F1458A" w:rsidRPr="000636AB" w:rsidRDefault="00F1458A" w:rsidP="00F1458A">
      <w:pPr>
        <w:pStyle w:val="NoSpacing"/>
        <w:rPr>
          <w:rFonts w:ascii="Times New Roman" w:hAnsi="Times New Roman"/>
          <w:b/>
          <w:sz w:val="24"/>
          <w:szCs w:val="24"/>
        </w:rPr>
      </w:pPr>
      <w:r w:rsidRPr="000636AB">
        <w:rPr>
          <w:rFonts w:ascii="Times New Roman" w:hAnsi="Times New Roman"/>
          <w:b/>
          <w:sz w:val="24"/>
          <w:szCs w:val="24"/>
        </w:rPr>
        <w:t xml:space="preserve">Legal lesson learned: Many states have enacted civil rights statutes allowing courts to award reasonable attorney fees to the winning plaintiff; it is an “incentive” for employment attorneys to pursue often difficult, lengthy cases. </w:t>
      </w:r>
    </w:p>
    <w:p w14:paraId="0F524EF7" w14:textId="77777777" w:rsidR="00F1458A" w:rsidRDefault="00F1458A" w:rsidP="00F1458A">
      <w:pPr>
        <w:pStyle w:val="NoSpacing"/>
        <w:rPr>
          <w:b/>
        </w:rPr>
      </w:pPr>
    </w:p>
    <w:p w14:paraId="10EE10BD" w14:textId="77777777" w:rsidR="00F1458A" w:rsidRDefault="00F1458A" w:rsidP="009B2566">
      <w:pPr>
        <w:rPr>
          <w:bCs/>
        </w:rPr>
      </w:pPr>
    </w:p>
    <w:p w14:paraId="10A18197" w14:textId="086D7BC8" w:rsidR="00B12A0F" w:rsidRDefault="00B12A0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4-46</w:t>
      </w:r>
    </w:p>
    <w:p w14:paraId="742CB67C" w14:textId="77777777" w:rsidR="00B12A0F" w:rsidRPr="006F2B87" w:rsidRDefault="00B12A0F" w:rsidP="00B12A0F">
      <w:pPr>
        <w:pStyle w:val="NoSpacing"/>
        <w:rPr>
          <w:rFonts w:ascii="Arial Black" w:hAnsi="Arial Black"/>
          <w:sz w:val="28"/>
          <w:szCs w:val="28"/>
        </w:rPr>
      </w:pPr>
      <w:r w:rsidRPr="006F2B87">
        <w:rPr>
          <w:rFonts w:ascii="Arial Black" w:hAnsi="Arial Black"/>
          <w:sz w:val="28"/>
          <w:szCs w:val="28"/>
        </w:rPr>
        <w:t xml:space="preserve">MI: HOUSE FIRE – 2 BOYS DEAD </w:t>
      </w:r>
      <w:r>
        <w:rPr>
          <w:rFonts w:ascii="Arial Black" w:hAnsi="Arial Black"/>
          <w:sz w:val="28"/>
          <w:szCs w:val="28"/>
        </w:rPr>
        <w:t>–</w:t>
      </w:r>
      <w:r w:rsidRPr="006F2B87">
        <w:rPr>
          <w:rFonts w:ascii="Arial Black" w:hAnsi="Arial Black"/>
          <w:sz w:val="28"/>
          <w:szCs w:val="28"/>
        </w:rPr>
        <w:t xml:space="preserve"> </w:t>
      </w:r>
      <w:r>
        <w:rPr>
          <w:rFonts w:ascii="Arial Black" w:hAnsi="Arial Black"/>
          <w:sz w:val="28"/>
          <w:szCs w:val="28"/>
        </w:rPr>
        <w:t xml:space="preserve">2 </w:t>
      </w:r>
      <w:r w:rsidRPr="006F2B87">
        <w:rPr>
          <w:rFonts w:ascii="Arial Black" w:hAnsi="Arial Black"/>
          <w:sz w:val="28"/>
          <w:szCs w:val="28"/>
        </w:rPr>
        <w:t>FF GROSS NEG.</w:t>
      </w:r>
      <w:r>
        <w:rPr>
          <w:rFonts w:ascii="Arial Black" w:hAnsi="Arial Black"/>
          <w:sz w:val="28"/>
          <w:szCs w:val="28"/>
        </w:rPr>
        <w:t xml:space="preserve"> CASE</w:t>
      </w:r>
    </w:p>
    <w:p w14:paraId="72619C3E" w14:textId="77777777" w:rsidR="00B12A0F" w:rsidRPr="006F2B87" w:rsidRDefault="00B12A0F" w:rsidP="00B12A0F">
      <w:pPr>
        <w:pStyle w:val="NoSpacing"/>
      </w:pPr>
    </w:p>
    <w:p w14:paraId="25B3F7A0"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 xml:space="preserve">On May 14, 2025, in </w:t>
      </w:r>
      <w:r w:rsidRPr="00795A89">
        <w:rPr>
          <w:rFonts w:ascii="Times New Roman" w:hAnsi="Times New Roman"/>
          <w:sz w:val="24"/>
          <w:szCs w:val="24"/>
          <w:u w:val="single"/>
        </w:rPr>
        <w:t>Crystal Cooper, individually and as personal representative of the Estate of Lamar D. Mitchell and the Estate of Zyaire Mitchell v. City of Flint, and Flint Fire Department, and Sergeant Daniel Sniegocki and Firefighter Michael Zlotek</w:t>
      </w:r>
      <w:r w:rsidRPr="00795A89">
        <w:rPr>
          <w:rFonts w:ascii="Times New Roman" w:hAnsi="Times New Roman"/>
          <w:sz w:val="24"/>
          <w:szCs w:val="24"/>
        </w:rPr>
        <w:t xml:space="preserve">, the State of Michigan Court of Appeals held (3 to 0; unpublished decision) that trial court properly refused to dismiss the lawsuit against the two firefighters since there is sufficient evidence for a jury to find gross negligence by two firefighters in their primary search of the house (City and fire department did not part of this appeal).  </w:t>
      </w:r>
    </w:p>
    <w:p w14:paraId="042F8DC5" w14:textId="77777777" w:rsidR="00B12A0F" w:rsidRPr="00795A89" w:rsidRDefault="00B12A0F" w:rsidP="00B12A0F">
      <w:pPr>
        <w:pStyle w:val="NoSpacing"/>
        <w:rPr>
          <w:rFonts w:ascii="Times New Roman" w:hAnsi="Times New Roman"/>
          <w:sz w:val="24"/>
          <w:szCs w:val="24"/>
        </w:rPr>
      </w:pPr>
    </w:p>
    <w:p w14:paraId="549A898E" w14:textId="30FC49AC"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 xml:space="preserve">The Court wrote: “This case arose from a house fire that took place in May 2022. Defendants were among the first firefighters who responded to the scene, and they were ordered to perform a primary search of the house. Defendants stated in their respective postfire reports that, before searching the house, they had been informed that there might be </w:t>
      </w:r>
      <w:proofErr w:type="gramStart"/>
      <w:r w:rsidRPr="00795A89">
        <w:rPr>
          <w:rFonts w:ascii="Times New Roman" w:hAnsi="Times New Roman"/>
          <w:sz w:val="24"/>
          <w:szCs w:val="24"/>
        </w:rPr>
        <w:t>persons</w:t>
      </w:r>
      <w:proofErr w:type="gramEnd"/>
      <w:r w:rsidRPr="00795A89">
        <w:rPr>
          <w:rFonts w:ascii="Times New Roman" w:hAnsi="Times New Roman"/>
          <w:sz w:val="24"/>
          <w:szCs w:val="24"/>
        </w:rPr>
        <w:t xml:space="preserve"> trapped inside, but they found no entrapped victims after they searched the first and second floors of the house. Approximately seven minutes after defendants’ search, a second crew was ordered to go</w:t>
      </w:r>
      <w:r w:rsidR="00795A89">
        <w:rPr>
          <w:rFonts w:ascii="Times New Roman" w:hAnsi="Times New Roman"/>
          <w:sz w:val="24"/>
          <w:szCs w:val="24"/>
        </w:rPr>
        <w:t xml:space="preserve"> </w:t>
      </w:r>
      <w:r w:rsidRPr="00795A89">
        <w:rPr>
          <w:rFonts w:ascii="Times New Roman" w:hAnsi="Times New Roman"/>
          <w:sz w:val="24"/>
          <w:szCs w:val="24"/>
        </w:rPr>
        <w:t>to the second floor and open windows, remove an air-conditioning unit, and conduct secondary</w:t>
      </w:r>
    </w:p>
    <w:p w14:paraId="479BFB2E"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searches. This crew located Lamar and Zyaire in one of the second-floor bedrooms. Lamar was</w:t>
      </w:r>
    </w:p>
    <w:p w14:paraId="45FFF172"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face-down on the floor, and Zyaire was face-down with his body half on a bed. Lamar and Zyaire</w:t>
      </w:r>
    </w:p>
    <w:p w14:paraId="06DE852C"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 xml:space="preserve">were immediately taken to Henry Ford Hospital, where they both died a few days later. The chief of the Flint Fire Department, Raymond Barton, investigated the fire with emphasis on defendants’ performance. He prepared a report that included a statement from the lieutenant who led the crew that discovered the decedents during the secondary search. The lieutenant concluded that defendants could not have entered the bedroom where the decedents were found and missed </w:t>
      </w:r>
      <w:proofErr w:type="gramStart"/>
      <w:r w:rsidRPr="00795A89">
        <w:rPr>
          <w:rFonts w:ascii="Times New Roman" w:hAnsi="Times New Roman"/>
          <w:sz w:val="24"/>
          <w:szCs w:val="24"/>
        </w:rPr>
        <w:t>them, and</w:t>
      </w:r>
      <w:proofErr w:type="gramEnd"/>
      <w:r w:rsidRPr="00795A89">
        <w:rPr>
          <w:rFonts w:ascii="Times New Roman" w:hAnsi="Times New Roman"/>
          <w:sz w:val="24"/>
          <w:szCs w:val="24"/>
        </w:rPr>
        <w:t xml:space="preserve"> determined that defendants provided false statements about their search. After conducting his own independent investigation at the site of the fire and reviewing defendants’ incident write-up reports, Chief Barton likewise concluded that defendants made false</w:t>
      </w:r>
    </w:p>
    <w:p w14:paraId="394BD30C" w14:textId="02FD0C88"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statements in their reports because, if defendants had searched the second floor in the way they</w:t>
      </w:r>
      <w:r w:rsidR="00795A89">
        <w:rPr>
          <w:rFonts w:ascii="Times New Roman" w:hAnsi="Times New Roman"/>
          <w:sz w:val="24"/>
          <w:szCs w:val="24"/>
        </w:rPr>
        <w:t xml:space="preserve"> </w:t>
      </w:r>
      <w:r w:rsidRPr="00795A89">
        <w:rPr>
          <w:rFonts w:ascii="Times New Roman" w:hAnsi="Times New Roman"/>
          <w:sz w:val="24"/>
          <w:szCs w:val="24"/>
        </w:rPr>
        <w:t>described, they would have found the decedents. The chief determined that, contrary to</w:t>
      </w:r>
      <w:r w:rsidR="00795A89">
        <w:rPr>
          <w:rFonts w:ascii="Times New Roman" w:hAnsi="Times New Roman"/>
          <w:sz w:val="24"/>
          <w:szCs w:val="24"/>
        </w:rPr>
        <w:t xml:space="preserve"> </w:t>
      </w:r>
      <w:r w:rsidRPr="00795A89">
        <w:rPr>
          <w:rFonts w:ascii="Times New Roman" w:hAnsi="Times New Roman"/>
          <w:sz w:val="24"/>
          <w:szCs w:val="24"/>
        </w:rPr>
        <w:t>defendants’ representations, they “neglected to perform the tasks of completing a sweep of the</w:t>
      </w:r>
      <w:r w:rsidR="00795A89">
        <w:rPr>
          <w:rFonts w:ascii="Times New Roman" w:hAnsi="Times New Roman"/>
          <w:sz w:val="24"/>
          <w:szCs w:val="24"/>
        </w:rPr>
        <w:t xml:space="preserve"> </w:t>
      </w:r>
      <w:r w:rsidRPr="00795A89">
        <w:rPr>
          <w:rFonts w:ascii="Times New Roman" w:hAnsi="Times New Roman"/>
          <w:sz w:val="24"/>
          <w:szCs w:val="24"/>
        </w:rPr>
        <w:t xml:space="preserve">second floor,” which led to a delay in finding the decedents. </w:t>
      </w:r>
      <w:proofErr w:type="gramStart"/>
      <w:r w:rsidRPr="00795A89">
        <w:rPr>
          <w:rFonts w:ascii="Times New Roman" w:hAnsi="Times New Roman"/>
          <w:sz w:val="24"/>
          <w:szCs w:val="24"/>
        </w:rPr>
        <w:t>On the basis of</w:t>
      </w:r>
      <w:proofErr w:type="gramEnd"/>
      <w:r w:rsidRPr="00795A89">
        <w:rPr>
          <w:rFonts w:ascii="Times New Roman" w:hAnsi="Times New Roman"/>
          <w:sz w:val="24"/>
          <w:szCs w:val="24"/>
        </w:rPr>
        <w:t xml:space="preserve"> his findings, Chief</w:t>
      </w:r>
      <w:r w:rsidR="00795A89">
        <w:rPr>
          <w:rFonts w:ascii="Times New Roman" w:hAnsi="Times New Roman"/>
          <w:sz w:val="24"/>
          <w:szCs w:val="24"/>
        </w:rPr>
        <w:t xml:space="preserve"> </w:t>
      </w:r>
      <w:r w:rsidRPr="00795A89">
        <w:rPr>
          <w:rFonts w:ascii="Times New Roman" w:hAnsi="Times New Roman"/>
          <w:sz w:val="24"/>
          <w:szCs w:val="24"/>
        </w:rPr>
        <w:t xml:space="preserve">Barton terminated defendants’ employment with the Flint Fire Department. *** Plaintiff’s amended complaint does not allege that defendants had an affirmative duty to protect the decedents from harm but that defendants had a duty to use due care when conducting their search of the second floor of plaintiff’s home. Accordingly, the lack of a special relationship between defendants and the decedents is not dispositive to whether defendants owed a duty to the decedents. Instead, for the reasons explained, we conclude that defendants had a duty to conduct their search of the decedents’ home in a manner that was not grossly negligent. Plaintiff’s amended complaint alleges that defendants breached this duty, and that is sufficient to survive defendants’ motion for summary disposition at this early stage in the litigation.” </w:t>
      </w:r>
      <w:hyperlink r:id="rId886" w:history="1">
        <w:r w:rsidRPr="00795A89">
          <w:rPr>
            <w:rStyle w:val="Hyperlink"/>
            <w:rFonts w:ascii="Times New Roman" w:hAnsi="Times New Roman"/>
            <w:sz w:val="24"/>
            <w:szCs w:val="24"/>
          </w:rPr>
          <w:t>https://cases.justia.com/michigan/court-of-appeals-unpublished/2025-368583.pdf?ts=1747314007</w:t>
        </w:r>
      </w:hyperlink>
      <w:r w:rsidRPr="00795A89">
        <w:rPr>
          <w:rFonts w:ascii="Times New Roman" w:hAnsi="Times New Roman"/>
          <w:sz w:val="24"/>
          <w:szCs w:val="24"/>
        </w:rPr>
        <w:t xml:space="preserve"> </w:t>
      </w:r>
    </w:p>
    <w:p w14:paraId="2CEC4CFA" w14:textId="77777777" w:rsidR="00B12A0F" w:rsidRPr="00795A89" w:rsidRDefault="00B12A0F" w:rsidP="00B12A0F">
      <w:pPr>
        <w:pStyle w:val="NoSpacing"/>
        <w:rPr>
          <w:rFonts w:ascii="Times New Roman" w:hAnsi="Times New Roman"/>
          <w:sz w:val="24"/>
          <w:szCs w:val="24"/>
        </w:rPr>
      </w:pPr>
    </w:p>
    <w:p w14:paraId="762B9C97" w14:textId="77777777" w:rsidR="00744788" w:rsidRPr="00744788" w:rsidRDefault="00744788" w:rsidP="00744788">
      <w:pPr>
        <w:pStyle w:val="NoSpacing"/>
        <w:rPr>
          <w:rFonts w:ascii="Times New Roman" w:hAnsi="Times New Roman"/>
          <w:sz w:val="24"/>
          <w:szCs w:val="24"/>
        </w:rPr>
      </w:pPr>
      <w:r w:rsidRPr="00744788">
        <w:rPr>
          <w:rFonts w:ascii="Times New Roman" w:hAnsi="Times New Roman"/>
          <w:b/>
          <w:sz w:val="24"/>
          <w:szCs w:val="24"/>
        </w:rPr>
        <w:t xml:space="preserve">Legal Lesson Learned: Immunity denied; sufficient evidence of gross negligence for case to go to a jury.  </w:t>
      </w:r>
    </w:p>
    <w:p w14:paraId="022348A4" w14:textId="77777777" w:rsidR="00744788" w:rsidRPr="00744788" w:rsidRDefault="00744788" w:rsidP="00744788">
      <w:pPr>
        <w:pStyle w:val="NoSpacing"/>
        <w:rPr>
          <w:rFonts w:ascii="Times New Roman" w:hAnsi="Times New Roman"/>
          <w:sz w:val="24"/>
          <w:szCs w:val="24"/>
        </w:rPr>
      </w:pPr>
    </w:p>
    <w:p w14:paraId="1EA671C1" w14:textId="77777777" w:rsidR="00744788" w:rsidRPr="00744788" w:rsidRDefault="00744788" w:rsidP="00744788">
      <w:pPr>
        <w:pStyle w:val="NoSpacing"/>
        <w:ind w:left="720"/>
        <w:rPr>
          <w:rFonts w:ascii="Times New Roman" w:hAnsi="Times New Roman"/>
          <w:b/>
          <w:bCs/>
          <w:sz w:val="24"/>
          <w:szCs w:val="24"/>
        </w:rPr>
      </w:pPr>
      <w:r w:rsidRPr="00744788">
        <w:rPr>
          <w:rFonts w:ascii="Times New Roman" w:hAnsi="Times New Roman"/>
          <w:sz w:val="24"/>
          <w:szCs w:val="24"/>
        </w:rPr>
        <w:t xml:space="preserve">Note: See May 15, </w:t>
      </w:r>
      <w:proofErr w:type="gramStart"/>
      <w:r w:rsidRPr="00744788">
        <w:rPr>
          <w:rFonts w:ascii="Times New Roman" w:hAnsi="Times New Roman"/>
          <w:sz w:val="24"/>
          <w:szCs w:val="24"/>
        </w:rPr>
        <w:t>2025</w:t>
      </w:r>
      <w:proofErr w:type="gramEnd"/>
      <w:r w:rsidRPr="00744788">
        <w:rPr>
          <w:rFonts w:ascii="Times New Roman" w:hAnsi="Times New Roman"/>
          <w:sz w:val="24"/>
          <w:szCs w:val="24"/>
        </w:rPr>
        <w:t xml:space="preserve"> article, “Lawsuit Against MI Firefighters Who Issued All-Clear at Fatal Fire Can Continue.” </w:t>
      </w:r>
      <w:hyperlink r:id="rId887" w:history="1">
        <w:r w:rsidRPr="00744788">
          <w:rPr>
            <w:rStyle w:val="Hyperlink"/>
            <w:rFonts w:ascii="Times New Roman" w:hAnsi="Times New Roman"/>
            <w:sz w:val="24"/>
            <w:szCs w:val="24"/>
          </w:rPr>
          <w:t>https://www.fireengineering.com/firefighting/lawsuit-against-mi-firefighters-who-issued-all-clear-at-fatal-fire-can-continue/?utm_source=fe_daily_newsletter&amp;utm_medium=email&amp;utm_campaign</w:t>
        </w:r>
      </w:hyperlink>
    </w:p>
    <w:p w14:paraId="7266B91A" w14:textId="77777777" w:rsidR="00744788" w:rsidRPr="00744788" w:rsidRDefault="00744788" w:rsidP="00744788">
      <w:pPr>
        <w:pStyle w:val="NoSpacing"/>
        <w:rPr>
          <w:rFonts w:ascii="Times New Roman" w:hAnsi="Times New Roman"/>
          <w:bCs/>
          <w:sz w:val="24"/>
          <w:szCs w:val="24"/>
        </w:rPr>
      </w:pPr>
    </w:p>
    <w:p w14:paraId="5A6F2008" w14:textId="77777777" w:rsidR="00B12A0F" w:rsidRDefault="00B12A0F" w:rsidP="002B1283">
      <w:pPr>
        <w:rPr>
          <w:rStyle w:val="Hyperlink"/>
          <w:rFonts w:ascii="Arial Black" w:hAnsi="Arial Black"/>
          <w:b/>
          <w:color w:val="auto"/>
          <w:sz w:val="24"/>
          <w:szCs w:val="24"/>
          <w:u w:val="none"/>
        </w:rPr>
      </w:pPr>
    </w:p>
    <w:p w14:paraId="40E24AFF" w14:textId="77777777" w:rsidR="00B12A0F" w:rsidRDefault="00B12A0F" w:rsidP="002B1283">
      <w:pPr>
        <w:rPr>
          <w:rStyle w:val="Hyperlink"/>
          <w:rFonts w:ascii="Arial Black" w:hAnsi="Arial Black"/>
          <w:b/>
          <w:color w:val="auto"/>
          <w:sz w:val="24"/>
          <w:szCs w:val="24"/>
          <w:u w:val="none"/>
        </w:rPr>
      </w:pPr>
    </w:p>
    <w:p w14:paraId="21C60F9B" w14:textId="1EF53AED" w:rsidR="009B5296" w:rsidRDefault="009B5296"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4-45</w:t>
      </w:r>
    </w:p>
    <w:p w14:paraId="77F8E79C" w14:textId="77777777" w:rsidR="005035FF" w:rsidRPr="00CE29BB" w:rsidRDefault="005035FF" w:rsidP="005035FF">
      <w:pPr>
        <w:rPr>
          <w:rFonts w:ascii="Arial Black" w:hAnsi="Arial Black"/>
          <w:b/>
          <w:sz w:val="28"/>
          <w:szCs w:val="28"/>
        </w:rPr>
      </w:pPr>
      <w:r>
        <w:rPr>
          <w:rFonts w:ascii="Arial Black" w:hAnsi="Arial Black"/>
          <w:b/>
          <w:sz w:val="28"/>
          <w:szCs w:val="28"/>
        </w:rPr>
        <w:t>U.S. SUP. CT: NOT HEAR HOMEOWNER’S APPEAL - SWAT $50K DAMAGE - 5</w:t>
      </w:r>
      <w:r w:rsidRPr="00C05043">
        <w:rPr>
          <w:rFonts w:ascii="Arial Black" w:hAnsi="Arial Black"/>
          <w:b/>
          <w:sz w:val="28"/>
          <w:szCs w:val="28"/>
          <w:vertAlign w:val="superscript"/>
        </w:rPr>
        <w:t>th</w:t>
      </w:r>
      <w:r>
        <w:rPr>
          <w:rFonts w:ascii="Arial Black" w:hAnsi="Arial Black"/>
          <w:b/>
          <w:sz w:val="28"/>
          <w:szCs w:val="28"/>
        </w:rPr>
        <w:t xml:space="preserve"> CIR: CITY NOT LIABLE / “EMERGENCY” </w:t>
      </w:r>
    </w:p>
    <w:p w14:paraId="3B2E8E5D" w14:textId="22DA3FD0" w:rsidR="009B5296" w:rsidRPr="00965945" w:rsidRDefault="005035FF" w:rsidP="005035FF">
      <w:pPr>
        <w:rPr>
          <w:rStyle w:val="Hyperlink"/>
          <w:rFonts w:ascii="Times New Roman" w:hAnsi="Times New Roman"/>
          <w:sz w:val="24"/>
          <w:szCs w:val="24"/>
        </w:rPr>
      </w:pPr>
      <w:r w:rsidRPr="00965945">
        <w:rPr>
          <w:rFonts w:ascii="Times New Roman" w:hAnsi="Times New Roman"/>
          <w:sz w:val="24"/>
          <w:szCs w:val="24"/>
        </w:rPr>
        <w:t xml:space="preserve">On Nov. 25, 2024, in </w:t>
      </w:r>
      <w:r w:rsidRPr="00965945">
        <w:rPr>
          <w:rFonts w:ascii="Times New Roman" w:hAnsi="Times New Roman"/>
          <w:sz w:val="24"/>
          <w:szCs w:val="24"/>
          <w:u w:val="single"/>
        </w:rPr>
        <w:t>Vicki Baker v. City of McKinley, Texas</w:t>
      </w:r>
      <w:r w:rsidRPr="00965945">
        <w:rPr>
          <w:rFonts w:ascii="Times New Roman" w:hAnsi="Times New Roman"/>
          <w:sz w:val="24"/>
          <w:szCs w:val="24"/>
        </w:rPr>
        <w:t>, the U.S. Supreme Court declined to hear the appeal of the homeowner (need at least 4 or 9 Justices to agree to hear case by issuing a Writ of Certiorari).  The homeowner won a jury verdict of about $60,000, but this was reversed by the 5</w:t>
      </w:r>
      <w:r w:rsidRPr="00965945">
        <w:rPr>
          <w:rFonts w:ascii="Times New Roman" w:hAnsi="Times New Roman"/>
          <w:sz w:val="24"/>
          <w:szCs w:val="24"/>
          <w:vertAlign w:val="superscript"/>
        </w:rPr>
        <w:t>th</w:t>
      </w:r>
      <w:r w:rsidRPr="00965945">
        <w:rPr>
          <w:rFonts w:ascii="Times New Roman" w:hAnsi="Times New Roman"/>
          <w:sz w:val="24"/>
          <w:szCs w:val="24"/>
        </w:rPr>
        <w:t xml:space="preserve"> Circuit.  U.S. Supreme Court Justice Sonia Maria Sotomayor, joined by Justice Neil Gorsuch, filed a statement urging the Court to hear the appeal.  The Justice wrote: “By the time the officers gained entry, </w:t>
      </w:r>
      <w:proofErr w:type="gramStart"/>
      <w:r w:rsidRPr="00965945">
        <w:rPr>
          <w:rFonts w:ascii="Times New Roman" w:hAnsi="Times New Roman"/>
          <w:sz w:val="24"/>
          <w:szCs w:val="24"/>
        </w:rPr>
        <w:t>Little</w:t>
      </w:r>
      <w:proofErr w:type="gramEnd"/>
      <w:r w:rsidRPr="00965945">
        <w:rPr>
          <w:rFonts w:ascii="Times New Roman" w:hAnsi="Times New Roman"/>
          <w:sz w:val="24"/>
          <w:szCs w:val="24"/>
        </w:rPr>
        <w:t xml:space="preserve"> had taken his own life.  [Little was a fugitive who had kidnapped 15-year-old girl; he had previously done some construction work at house before Baker fired him.] All agree that the McKinney police acted properly that day and that their actions were necessary to prevent harm to themselves and the public. *** The Court’s denial of certiorari expresses no view on the merits of the decision below. I write separately to emphasize that petitioner raises a serious question: whether the Takings Clause permits the government to destroy private property without paying just compensation, </w:t>
      </w:r>
      <w:proofErr w:type="gramStart"/>
      <w:r w:rsidRPr="00965945">
        <w:rPr>
          <w:rFonts w:ascii="Times New Roman" w:hAnsi="Times New Roman"/>
          <w:sz w:val="24"/>
          <w:szCs w:val="24"/>
        </w:rPr>
        <w:t>as long as</w:t>
      </w:r>
      <w:proofErr w:type="gramEnd"/>
      <w:r w:rsidRPr="00965945">
        <w:rPr>
          <w:rFonts w:ascii="Times New Roman" w:hAnsi="Times New Roman"/>
          <w:sz w:val="24"/>
          <w:szCs w:val="24"/>
        </w:rPr>
        <w:t xml:space="preserve"> the government had no choice but to do so.”  </w:t>
      </w:r>
      <w:hyperlink r:id="rId888" w:history="1">
        <w:r w:rsidRPr="00965945">
          <w:rPr>
            <w:rStyle w:val="Hyperlink"/>
            <w:rFonts w:ascii="Times New Roman" w:hAnsi="Times New Roman"/>
            <w:sz w:val="24"/>
            <w:szCs w:val="24"/>
          </w:rPr>
          <w:t>https://www.supremecourt.gov/opinions/24pdf/23-1363_d1o3.pdf</w:t>
        </w:r>
      </w:hyperlink>
    </w:p>
    <w:p w14:paraId="7E88F895" w14:textId="77777777" w:rsidR="00965945" w:rsidRPr="00965945" w:rsidRDefault="00965945" w:rsidP="00965945">
      <w:pPr>
        <w:pStyle w:val="NoSpacing"/>
        <w:rPr>
          <w:rFonts w:ascii="Times New Roman" w:hAnsi="Times New Roman"/>
          <w:b/>
          <w:bCs/>
          <w:sz w:val="24"/>
          <w:szCs w:val="24"/>
        </w:rPr>
      </w:pPr>
      <w:r w:rsidRPr="00965945">
        <w:rPr>
          <w:rFonts w:ascii="Times New Roman" w:hAnsi="Times New Roman"/>
          <w:b/>
          <w:sz w:val="24"/>
          <w:szCs w:val="24"/>
        </w:rPr>
        <w:t>Legal Lesson Learned: Fire &amp; EMS on occasion may need to force their way into a home.  The 5</w:t>
      </w:r>
      <w:r w:rsidRPr="00965945">
        <w:rPr>
          <w:rFonts w:ascii="Times New Roman" w:hAnsi="Times New Roman"/>
          <w:b/>
          <w:sz w:val="24"/>
          <w:szCs w:val="24"/>
          <w:vertAlign w:val="superscript"/>
        </w:rPr>
        <w:t>th</w:t>
      </w:r>
      <w:r w:rsidRPr="00965945">
        <w:rPr>
          <w:rFonts w:ascii="Times New Roman" w:hAnsi="Times New Roman"/>
          <w:b/>
          <w:sz w:val="24"/>
          <w:szCs w:val="24"/>
        </w:rPr>
        <w:t xml:space="preserve"> Circuit standard of “objectively necessary” may be a precedent that a municipality can cite in refusing to pay for the damage.</w:t>
      </w:r>
    </w:p>
    <w:p w14:paraId="67B55E78" w14:textId="77777777" w:rsidR="00965945" w:rsidRPr="00965945" w:rsidRDefault="00965945" w:rsidP="00965945">
      <w:pPr>
        <w:ind w:left="720"/>
        <w:rPr>
          <w:rFonts w:ascii="Times New Roman" w:hAnsi="Times New Roman"/>
          <w:sz w:val="24"/>
          <w:szCs w:val="24"/>
        </w:rPr>
      </w:pPr>
    </w:p>
    <w:p w14:paraId="33F602A0" w14:textId="77777777" w:rsidR="00965945" w:rsidRPr="00965945" w:rsidRDefault="00965945" w:rsidP="00965945">
      <w:pPr>
        <w:ind w:left="720"/>
        <w:rPr>
          <w:rFonts w:ascii="Times New Roman" w:hAnsi="Times New Roman"/>
          <w:b/>
          <w:sz w:val="24"/>
          <w:szCs w:val="24"/>
        </w:rPr>
      </w:pPr>
      <w:r w:rsidRPr="00965945">
        <w:rPr>
          <w:rFonts w:ascii="Times New Roman" w:hAnsi="Times New Roman"/>
          <w:sz w:val="24"/>
          <w:szCs w:val="24"/>
        </w:rPr>
        <w:t xml:space="preserve">Note: See Nov. 25, </w:t>
      </w:r>
      <w:proofErr w:type="gramStart"/>
      <w:r w:rsidRPr="00965945">
        <w:rPr>
          <w:rFonts w:ascii="Times New Roman" w:hAnsi="Times New Roman"/>
          <w:sz w:val="24"/>
          <w:szCs w:val="24"/>
        </w:rPr>
        <w:t>2024</w:t>
      </w:r>
      <w:proofErr w:type="gramEnd"/>
      <w:r w:rsidRPr="00965945">
        <w:rPr>
          <w:rFonts w:ascii="Times New Roman" w:hAnsi="Times New Roman"/>
          <w:sz w:val="24"/>
          <w:szCs w:val="24"/>
        </w:rPr>
        <w:t xml:space="preserve"> article and photo of house. </w:t>
      </w:r>
      <w:r w:rsidRPr="00965945">
        <w:rPr>
          <w:rFonts w:ascii="Times New Roman" w:hAnsi="Times New Roman"/>
          <w:bCs/>
          <w:sz w:val="24"/>
          <w:szCs w:val="24"/>
        </w:rPr>
        <w:t xml:space="preserve">“Supreme Court won't hear case of woman whose former McKinney home was 'destroyed' by SWAT team during hostage standoff.” </w:t>
      </w:r>
      <w:hyperlink r:id="rId889" w:history="1">
        <w:r w:rsidRPr="00965945">
          <w:rPr>
            <w:rStyle w:val="Hyperlink"/>
            <w:rFonts w:ascii="Times New Roman" w:hAnsi="Times New Roman"/>
            <w:bCs/>
            <w:sz w:val="24"/>
            <w:szCs w:val="24"/>
          </w:rPr>
          <w:t>https://www.wfaa.com/article/news/local/collin-county/supreme-court-declines-case-swat-team-mckinney-hostage-standoff/287-73f00e4e-b131-4285-b541-236c48ef79d0</w:t>
        </w:r>
      </w:hyperlink>
      <w:r w:rsidRPr="00965945">
        <w:rPr>
          <w:rFonts w:ascii="Times New Roman" w:hAnsi="Times New Roman"/>
          <w:b/>
          <w:sz w:val="24"/>
          <w:szCs w:val="24"/>
        </w:rPr>
        <w:t xml:space="preserve"> </w:t>
      </w:r>
    </w:p>
    <w:p w14:paraId="7FCF9694" w14:textId="77777777" w:rsidR="00965945" w:rsidRPr="00965945" w:rsidRDefault="00965945" w:rsidP="00965945">
      <w:pPr>
        <w:pStyle w:val="NoSpacing"/>
        <w:ind w:left="720"/>
        <w:rPr>
          <w:rFonts w:ascii="Times New Roman" w:hAnsi="Times New Roman"/>
          <w:sz w:val="24"/>
          <w:szCs w:val="24"/>
        </w:rPr>
      </w:pPr>
    </w:p>
    <w:p w14:paraId="59D09F87" w14:textId="77777777" w:rsidR="00965945" w:rsidRPr="00965945" w:rsidRDefault="00965945" w:rsidP="00965945">
      <w:pPr>
        <w:pStyle w:val="NoSpacing"/>
        <w:ind w:left="720"/>
        <w:rPr>
          <w:rFonts w:ascii="Times New Roman" w:hAnsi="Times New Roman"/>
          <w:sz w:val="24"/>
          <w:szCs w:val="24"/>
        </w:rPr>
      </w:pPr>
      <w:r w:rsidRPr="00965945">
        <w:rPr>
          <w:rFonts w:ascii="Times New Roman" w:hAnsi="Times New Roman"/>
          <w:sz w:val="24"/>
          <w:szCs w:val="24"/>
        </w:rPr>
        <w:t>See the 5</w:t>
      </w:r>
      <w:r w:rsidRPr="00965945">
        <w:rPr>
          <w:rFonts w:ascii="Times New Roman" w:hAnsi="Times New Roman"/>
          <w:sz w:val="24"/>
          <w:szCs w:val="24"/>
          <w:vertAlign w:val="superscript"/>
        </w:rPr>
        <w:t>th</w:t>
      </w:r>
      <w:r w:rsidRPr="00965945">
        <w:rPr>
          <w:rFonts w:ascii="Times New Roman" w:hAnsi="Times New Roman"/>
          <w:sz w:val="24"/>
          <w:szCs w:val="24"/>
        </w:rPr>
        <w:t xml:space="preserve"> Circuit’s decision, Oct. 11, 2023. </w:t>
      </w:r>
      <w:hyperlink r:id="rId890" w:history="1">
        <w:r w:rsidRPr="00965945">
          <w:rPr>
            <w:rStyle w:val="Hyperlink"/>
            <w:rFonts w:ascii="Times New Roman" w:hAnsi="Times New Roman"/>
            <w:sz w:val="24"/>
            <w:szCs w:val="24"/>
          </w:rPr>
          <w:t>https://www.ca5.uscourts.gov/opinions/pub/22/22-40644-CV0.pdf</w:t>
        </w:r>
      </w:hyperlink>
      <w:r w:rsidRPr="00965945">
        <w:rPr>
          <w:rFonts w:ascii="Times New Roman" w:hAnsi="Times New Roman"/>
          <w:sz w:val="24"/>
          <w:szCs w:val="24"/>
        </w:rPr>
        <w:t xml:space="preserve">  </w:t>
      </w:r>
    </w:p>
    <w:p w14:paraId="3384F04F" w14:textId="77777777" w:rsidR="00965945" w:rsidRPr="00965945" w:rsidRDefault="00965945" w:rsidP="00965945">
      <w:pPr>
        <w:pStyle w:val="NoSpacing"/>
        <w:ind w:left="720"/>
        <w:rPr>
          <w:rFonts w:ascii="Times New Roman" w:hAnsi="Times New Roman"/>
          <w:sz w:val="24"/>
          <w:szCs w:val="24"/>
        </w:rPr>
      </w:pPr>
      <w:r w:rsidRPr="00965945">
        <w:rPr>
          <w:rFonts w:ascii="Times New Roman" w:hAnsi="Times New Roman"/>
          <w:sz w:val="24"/>
          <w:szCs w:val="24"/>
        </w:rPr>
        <w:t xml:space="preserve">“Little somehow ‘communicated to’ police that he ‘had terminal cancer, wasn’t going back to prison, knew he was going to die, was going to shoot it out with the police.’ Police proceeded to use explosive devices, the </w:t>
      </w:r>
      <w:proofErr w:type="spellStart"/>
      <w:r w:rsidRPr="00965945">
        <w:rPr>
          <w:rFonts w:ascii="Times New Roman" w:hAnsi="Times New Roman"/>
          <w:sz w:val="24"/>
          <w:szCs w:val="24"/>
        </w:rPr>
        <w:t>BearCat</w:t>
      </w:r>
      <w:proofErr w:type="spellEnd"/>
      <w:r w:rsidRPr="00965945">
        <w:rPr>
          <w:rFonts w:ascii="Times New Roman" w:hAnsi="Times New Roman"/>
          <w:sz w:val="24"/>
          <w:szCs w:val="24"/>
        </w:rPr>
        <w:t>, a T-Rex (</w:t>
      </w:r>
      <w:proofErr w:type="gramStart"/>
      <w:r w:rsidRPr="00965945">
        <w:rPr>
          <w:rFonts w:ascii="Times New Roman" w:hAnsi="Times New Roman"/>
          <w:sz w:val="24"/>
          <w:szCs w:val="24"/>
        </w:rPr>
        <w:t>similar to</w:t>
      </w:r>
      <w:proofErr w:type="gramEnd"/>
      <w:r w:rsidRPr="00965945">
        <w:rPr>
          <w:rFonts w:ascii="Times New Roman" w:hAnsi="Times New Roman"/>
          <w:sz w:val="24"/>
          <w:szCs w:val="24"/>
        </w:rPr>
        <w:t xml:space="preserve"> the </w:t>
      </w:r>
      <w:proofErr w:type="spellStart"/>
      <w:r w:rsidRPr="00965945">
        <w:rPr>
          <w:rFonts w:ascii="Times New Roman" w:hAnsi="Times New Roman"/>
          <w:sz w:val="24"/>
          <w:szCs w:val="24"/>
        </w:rPr>
        <w:t>BearCat</w:t>
      </w:r>
      <w:proofErr w:type="spellEnd"/>
      <w:r w:rsidRPr="00965945">
        <w:rPr>
          <w:rFonts w:ascii="Times New Roman" w:hAnsi="Times New Roman"/>
          <w:sz w:val="24"/>
          <w:szCs w:val="24"/>
        </w:rPr>
        <w:t>), toxic gas grenades, and a drone to try to resolve the situation. After some time, the drone was able to reach a vantage point to see that Little had taken his own life. *** Nevertheless, the damage to Baker’s home was severe. As the district court explained, quoting Baker’s motion for summary judgment, ‘[m]</w:t>
      </w:r>
      <w:proofErr w:type="spellStart"/>
      <w:r w:rsidRPr="00965945">
        <w:rPr>
          <w:rFonts w:ascii="Times New Roman" w:hAnsi="Times New Roman"/>
          <w:sz w:val="24"/>
          <w:szCs w:val="24"/>
        </w:rPr>
        <w:t>uch</w:t>
      </w:r>
      <w:proofErr w:type="spellEnd"/>
      <w:r w:rsidRPr="00965945">
        <w:rPr>
          <w:rFonts w:ascii="Times New Roman" w:hAnsi="Times New Roman"/>
          <w:sz w:val="24"/>
          <w:szCs w:val="24"/>
        </w:rPr>
        <w:t xml:space="preserve"> of the damage went beyond what could be captured visually.’ Specifically, </w:t>
      </w:r>
      <w:proofErr w:type="gramStart"/>
      <w:r w:rsidRPr="00965945">
        <w:rPr>
          <w:rFonts w:ascii="Times New Roman" w:hAnsi="Times New Roman"/>
          <w:sz w:val="24"/>
          <w:szCs w:val="24"/>
        </w:rPr>
        <w:t>The</w:t>
      </w:r>
      <w:proofErr w:type="gramEnd"/>
      <w:r w:rsidRPr="00965945">
        <w:rPr>
          <w:rFonts w:ascii="Times New Roman" w:hAnsi="Times New Roman"/>
          <w:sz w:val="24"/>
          <w:szCs w:val="24"/>
        </w:rPr>
        <w:t xml:space="preserve"> explosions left Baker’s dog permanently blind and deaf. The toxic gas that permeated the House required the services of a HAZMAT remediation team. Appliances and fabrics were irreparable. Ceiling fans, plumbing, floors (hard surfaces as well as carpet), and bricks needed to be replaced—in addition to the windows, blinds, fence, front door, and garage door. Essentially </w:t>
      </w:r>
      <w:proofErr w:type="gramStart"/>
      <w:r w:rsidRPr="00965945">
        <w:rPr>
          <w:rFonts w:ascii="Times New Roman" w:hAnsi="Times New Roman"/>
          <w:sz w:val="24"/>
          <w:szCs w:val="24"/>
        </w:rPr>
        <w:t>all of</w:t>
      </w:r>
      <w:proofErr w:type="gramEnd"/>
      <w:r w:rsidRPr="00965945">
        <w:rPr>
          <w:rFonts w:ascii="Times New Roman" w:hAnsi="Times New Roman"/>
          <w:sz w:val="24"/>
          <w:szCs w:val="24"/>
        </w:rPr>
        <w:t xml:space="preserve"> the personal property in the House was destroyed, including an antique doll collection left </w:t>
      </w:r>
      <w:proofErr w:type="gramStart"/>
      <w:r w:rsidRPr="00965945">
        <w:rPr>
          <w:rFonts w:ascii="Times New Roman" w:hAnsi="Times New Roman"/>
          <w:sz w:val="24"/>
          <w:szCs w:val="24"/>
        </w:rPr>
        <w:t>to</w:t>
      </w:r>
      <w:proofErr w:type="gramEnd"/>
      <w:r w:rsidRPr="00965945">
        <w:rPr>
          <w:rFonts w:ascii="Times New Roman" w:hAnsi="Times New Roman"/>
          <w:sz w:val="24"/>
          <w:szCs w:val="24"/>
        </w:rPr>
        <w:t xml:space="preserve"> Baker by her mother. In total, the damage . . . was approximately $50,000.”</w:t>
      </w:r>
    </w:p>
    <w:p w14:paraId="5EBFC8D8" w14:textId="77777777" w:rsidR="00965945" w:rsidRDefault="00965945" w:rsidP="005035FF">
      <w:pPr>
        <w:rPr>
          <w:rStyle w:val="Hyperlink"/>
          <w:rFonts w:ascii="Arial Black" w:hAnsi="Arial Black"/>
          <w:b/>
          <w:color w:val="auto"/>
          <w:sz w:val="24"/>
          <w:szCs w:val="24"/>
          <w:u w:val="none"/>
        </w:rPr>
      </w:pPr>
    </w:p>
    <w:p w14:paraId="3669CB2D" w14:textId="77777777" w:rsidR="009B5296" w:rsidRDefault="009B5296" w:rsidP="002B1283">
      <w:pPr>
        <w:rPr>
          <w:rStyle w:val="Hyperlink"/>
          <w:rFonts w:ascii="Arial Black" w:hAnsi="Arial Black"/>
          <w:b/>
          <w:color w:val="auto"/>
          <w:sz w:val="24"/>
          <w:szCs w:val="24"/>
          <w:u w:val="none"/>
        </w:rPr>
      </w:pPr>
    </w:p>
    <w:p w14:paraId="3670EB43" w14:textId="041861BA"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75297C">
        <w:rPr>
          <w:rStyle w:val="Hyperlink"/>
          <w:rFonts w:ascii="Arial Black" w:hAnsi="Arial Black"/>
          <w:b/>
          <w:color w:val="auto"/>
          <w:sz w:val="24"/>
          <w:szCs w:val="24"/>
          <w:u w:val="none"/>
        </w:rPr>
        <w:t>4</w:t>
      </w:r>
    </w:p>
    <w:p w14:paraId="6B96DD16" w14:textId="0874E5D0" w:rsidR="00165A41" w:rsidRPr="005B675E" w:rsidRDefault="00165A41" w:rsidP="00165A41">
      <w:pPr>
        <w:pStyle w:val="NoSpacing"/>
        <w:rPr>
          <w:rFonts w:ascii="Arial Black" w:hAnsi="Arial Black"/>
          <w:b/>
          <w:bCs/>
          <w:sz w:val="28"/>
          <w:szCs w:val="28"/>
        </w:rPr>
      </w:pPr>
      <w:r w:rsidRPr="005B675E">
        <w:rPr>
          <w:rFonts w:ascii="Arial Black" w:hAnsi="Arial Black"/>
          <w:b/>
          <w:bCs/>
          <w:sz w:val="28"/>
          <w:szCs w:val="28"/>
        </w:rPr>
        <w:t>MA: CAPTAIN NOT PROMOTED DC - 5 PROMOTED – POOR ANSWER INCIDENT COMMAND QUESTION / PRIOR FIRE</w:t>
      </w:r>
      <w:r w:rsidR="00607FA6" w:rsidRPr="005B675E">
        <w:rPr>
          <w:rFonts w:ascii="Arial Black" w:hAnsi="Arial Black"/>
          <w:b/>
          <w:bCs/>
          <w:sz w:val="28"/>
          <w:szCs w:val="28"/>
        </w:rPr>
        <w:t xml:space="preserve"> </w:t>
      </w:r>
    </w:p>
    <w:p w14:paraId="15AC8F0E" w14:textId="77777777" w:rsidR="00165A41" w:rsidRPr="00A445BE" w:rsidRDefault="00165A41" w:rsidP="00165A41">
      <w:pPr>
        <w:pStyle w:val="NoSpacing"/>
        <w:rPr>
          <w:rFonts w:ascii="Times New Roman" w:hAnsi="Times New Roman"/>
          <w:sz w:val="24"/>
          <w:szCs w:val="24"/>
        </w:rPr>
      </w:pPr>
    </w:p>
    <w:p w14:paraId="17F8BB85"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t xml:space="preserve">On Oct. 11, 2024. in </w:t>
      </w:r>
      <w:r w:rsidRPr="00A445BE">
        <w:rPr>
          <w:rFonts w:ascii="Times New Roman" w:hAnsi="Times New Roman"/>
          <w:sz w:val="24"/>
          <w:szCs w:val="24"/>
          <w:u w:val="single"/>
        </w:rPr>
        <w:t>Pierre Grenier v. Civil Service Commission and City of Springfield</w:t>
      </w:r>
      <w:r w:rsidRPr="00A445BE">
        <w:rPr>
          <w:rFonts w:ascii="Times New Roman" w:hAnsi="Times New Roman"/>
          <w:sz w:val="24"/>
          <w:szCs w:val="24"/>
        </w:rPr>
        <w:t>, the Massachusetts Appeals Court held: “The plaintiff, Pierre Grenier, appeals from an order of a</w:t>
      </w:r>
    </w:p>
    <w:p w14:paraId="3C3E8FF8"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t>judge of the Superior Court granting judgment in favor of the defendants, the Civil Service Commission (commission) and the city of Springfield (city). The judge affirmed the decision of</w:t>
      </w:r>
    </w:p>
    <w:p w14:paraId="4725EED7"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t xml:space="preserve">the commission that the city had reasonable justification to bypass Grenier for a promotion to district fire chief. We affirm.” </w:t>
      </w:r>
    </w:p>
    <w:p w14:paraId="15488E77" w14:textId="77777777" w:rsidR="00165A41" w:rsidRPr="00A445BE" w:rsidRDefault="00165A41" w:rsidP="00165A41">
      <w:pPr>
        <w:pStyle w:val="NoSpacing"/>
        <w:rPr>
          <w:rFonts w:ascii="Times New Roman" w:hAnsi="Times New Roman"/>
          <w:sz w:val="24"/>
          <w:szCs w:val="24"/>
        </w:rPr>
      </w:pPr>
      <w:hyperlink r:id="rId891" w:history="1">
        <w:r w:rsidRPr="00A445BE">
          <w:rPr>
            <w:rStyle w:val="Hyperlink"/>
            <w:rFonts w:ascii="Times New Roman" w:hAnsi="Times New Roman"/>
            <w:sz w:val="24"/>
            <w:szCs w:val="24"/>
          </w:rPr>
          <w:t>https://www.mass.gov/doc/grenier-pierre-v-springfield-fire-department-related-appeals-court-decision-101124/download</w:t>
        </w:r>
      </w:hyperlink>
      <w:r w:rsidRPr="00A445BE">
        <w:rPr>
          <w:rFonts w:ascii="Times New Roman" w:hAnsi="Times New Roman"/>
          <w:sz w:val="24"/>
          <w:szCs w:val="24"/>
        </w:rPr>
        <w:t xml:space="preserve"> </w:t>
      </w:r>
    </w:p>
    <w:p w14:paraId="4ADCAB31" w14:textId="77777777" w:rsidR="002665B4" w:rsidRPr="00A445BE" w:rsidRDefault="002665B4" w:rsidP="00165A41">
      <w:pPr>
        <w:pStyle w:val="NoSpacing"/>
        <w:rPr>
          <w:rFonts w:ascii="Times New Roman" w:hAnsi="Times New Roman"/>
          <w:sz w:val="24"/>
          <w:szCs w:val="24"/>
        </w:rPr>
      </w:pPr>
    </w:p>
    <w:p w14:paraId="0BF648F7" w14:textId="77777777" w:rsidR="002665B4" w:rsidRPr="00391D9A" w:rsidRDefault="002665B4" w:rsidP="002665B4">
      <w:pPr>
        <w:pStyle w:val="NoSpacing"/>
        <w:rPr>
          <w:b/>
          <w:bCs/>
        </w:rPr>
      </w:pPr>
      <w:r w:rsidRPr="00A445BE">
        <w:rPr>
          <w:rFonts w:ascii="Times New Roman" w:hAnsi="Times New Roman"/>
          <w:b/>
          <w:sz w:val="24"/>
          <w:szCs w:val="24"/>
        </w:rPr>
        <w:t>Legal Lesson Learned:  Use of selection board is an excellent promotion process</w:t>
      </w:r>
      <w:r>
        <w:rPr>
          <w:b/>
        </w:rPr>
        <w:t xml:space="preserve">. </w:t>
      </w:r>
    </w:p>
    <w:p w14:paraId="0259D745" w14:textId="77777777" w:rsidR="002665B4" w:rsidRDefault="002665B4" w:rsidP="002665B4">
      <w:pPr>
        <w:rPr>
          <w:rFonts w:asciiTheme="majorHAnsi" w:hAnsiTheme="majorHAnsi" w:cstheme="minorHAnsi"/>
          <w:sz w:val="28"/>
        </w:rPr>
      </w:pPr>
    </w:p>
    <w:p w14:paraId="3511EE78" w14:textId="77777777" w:rsidR="002665B4" w:rsidRDefault="002665B4" w:rsidP="00165A41">
      <w:pPr>
        <w:pStyle w:val="NoSpacing"/>
      </w:pPr>
    </w:p>
    <w:p w14:paraId="4778837F" w14:textId="77777777" w:rsidR="00B34A49" w:rsidRDefault="00B34A49" w:rsidP="002B1283">
      <w:pPr>
        <w:rPr>
          <w:rStyle w:val="Hyperlink"/>
          <w:rFonts w:ascii="Arial Black" w:hAnsi="Arial Black"/>
          <w:b/>
          <w:color w:val="auto"/>
          <w:sz w:val="24"/>
          <w:szCs w:val="24"/>
          <w:u w:val="none"/>
        </w:rPr>
      </w:pPr>
    </w:p>
    <w:p w14:paraId="579F9EB8" w14:textId="5B023ED2"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306E28">
        <w:rPr>
          <w:rStyle w:val="Hyperlink"/>
          <w:rFonts w:ascii="Arial Black" w:hAnsi="Arial Black"/>
          <w:b/>
          <w:color w:val="auto"/>
          <w:sz w:val="24"/>
          <w:szCs w:val="24"/>
          <w:u w:val="none"/>
        </w:rPr>
        <w:t>3</w:t>
      </w:r>
    </w:p>
    <w:p w14:paraId="4C3E65C3" w14:textId="77777777" w:rsidR="00387D84" w:rsidRPr="005B675E" w:rsidRDefault="00387D84" w:rsidP="00387D84">
      <w:pPr>
        <w:rPr>
          <w:rFonts w:ascii="Arial Black" w:hAnsi="Arial Black"/>
          <w:b/>
          <w:bCs/>
          <w:sz w:val="28"/>
          <w:szCs w:val="28"/>
        </w:rPr>
      </w:pPr>
      <w:r w:rsidRPr="005B675E">
        <w:rPr>
          <w:rFonts w:ascii="Arial Black" w:hAnsi="Arial Black"/>
          <w:b/>
          <w:bCs/>
          <w:sz w:val="28"/>
          <w:szCs w:val="28"/>
        </w:rPr>
        <w:t>CA: WILDLAND FIRE –  BACKFIRES – RANCHER MUST PROVE BACKFIRES NEG. USED DURING “RED FLAG WARNINGS”</w:t>
      </w:r>
    </w:p>
    <w:p w14:paraId="10D2C209" w14:textId="77777777" w:rsidR="00387D84" w:rsidRPr="00124FAD" w:rsidRDefault="00387D84" w:rsidP="00387D84">
      <w:pPr>
        <w:pStyle w:val="NoSpacing"/>
        <w:rPr>
          <w:rFonts w:ascii="Times New Roman" w:hAnsi="Times New Roman"/>
          <w:sz w:val="24"/>
          <w:szCs w:val="24"/>
        </w:rPr>
      </w:pPr>
      <w:r w:rsidRPr="00124FAD">
        <w:rPr>
          <w:rFonts w:ascii="Times New Roman" w:hAnsi="Times New Roman"/>
          <w:sz w:val="24"/>
          <w:szCs w:val="24"/>
        </w:rPr>
        <w:t xml:space="preserve">On Oct. 8, 2024, in </w:t>
      </w:r>
      <w:r w:rsidRPr="00124FAD">
        <w:rPr>
          <w:rFonts w:ascii="Times New Roman" w:hAnsi="Times New Roman"/>
          <w:sz w:val="24"/>
          <w:szCs w:val="24"/>
          <w:u w:val="single"/>
        </w:rPr>
        <w:t>Joe Allen Wixson v. The United States</w:t>
      </w:r>
      <w:r w:rsidRPr="00124FAD">
        <w:rPr>
          <w:rFonts w:ascii="Times New Roman" w:hAnsi="Times New Roman"/>
          <w:sz w:val="24"/>
          <w:szCs w:val="24"/>
        </w:rPr>
        <w:t xml:space="preserve">, the United States Court of Federal Claims [Wahington, D.C.] held: “Joe Allen Wixson alleges that the government took his private property for public use by allowing it to be destroyed by a fire. He alleges that the decisions by the U.S. Forest Service to cancel prescribed burns and employee trainings during the covid-19 pandemic, and then to use defensive firefighting techniques during a windy day, caused the fire to affect his property. *** In sum, the government’s decisions to cancel prescribed burns and firefighter training cannot form the basis for Mr. </w:t>
      </w:r>
      <w:proofErr w:type="gramStart"/>
      <w:r w:rsidRPr="00124FAD">
        <w:rPr>
          <w:rFonts w:ascii="Times New Roman" w:hAnsi="Times New Roman"/>
          <w:sz w:val="24"/>
          <w:szCs w:val="24"/>
        </w:rPr>
        <w:t>Wixson’s takings</w:t>
      </w:r>
      <w:proofErr w:type="gramEnd"/>
      <w:r w:rsidRPr="00124FAD">
        <w:rPr>
          <w:rFonts w:ascii="Times New Roman" w:hAnsi="Times New Roman"/>
          <w:sz w:val="24"/>
          <w:szCs w:val="24"/>
        </w:rPr>
        <w:t xml:space="preserve"> claim or any other claim in this court. *** Because the government did not intend to invade Mr. Wixson’s property, Mr. Wixson must show that the fire on his property was the direct, natural, or probable result of the government’s use of backfires, or controlled burn techniques.” </w:t>
      </w:r>
      <w:hyperlink r:id="rId892" w:history="1">
        <w:r w:rsidRPr="00124FAD">
          <w:rPr>
            <w:rStyle w:val="Hyperlink"/>
            <w:rFonts w:ascii="Times New Roman" w:hAnsi="Times New Roman"/>
            <w:sz w:val="24"/>
            <w:szCs w:val="24"/>
          </w:rPr>
          <w:t>https://cases.justia.com/federal/district-courts/federal-claims/cofce/1:2022cv01201/46126/27/0.pdf?ts=1728477951</w:t>
        </w:r>
      </w:hyperlink>
      <w:r w:rsidRPr="00124FAD">
        <w:rPr>
          <w:rFonts w:ascii="Times New Roman" w:hAnsi="Times New Roman"/>
          <w:sz w:val="24"/>
          <w:szCs w:val="24"/>
        </w:rPr>
        <w:t xml:space="preserve"> </w:t>
      </w:r>
    </w:p>
    <w:p w14:paraId="2552D32E" w14:textId="77777777" w:rsidR="00124FAD" w:rsidRPr="00124FAD" w:rsidRDefault="00124FAD" w:rsidP="00124FAD">
      <w:pPr>
        <w:pStyle w:val="NoSpacing"/>
        <w:rPr>
          <w:rFonts w:ascii="Times New Roman" w:hAnsi="Times New Roman"/>
          <w:b/>
          <w:sz w:val="24"/>
          <w:szCs w:val="24"/>
        </w:rPr>
      </w:pPr>
    </w:p>
    <w:p w14:paraId="4AA38B66" w14:textId="5F8C52D6" w:rsidR="00124FAD" w:rsidRPr="00124FAD" w:rsidRDefault="00124FAD" w:rsidP="00124FAD">
      <w:pPr>
        <w:pStyle w:val="NoSpacing"/>
        <w:rPr>
          <w:rFonts w:ascii="Times New Roman" w:hAnsi="Times New Roman"/>
          <w:b/>
          <w:bCs/>
          <w:sz w:val="24"/>
          <w:szCs w:val="24"/>
        </w:rPr>
      </w:pPr>
      <w:r w:rsidRPr="00124FAD">
        <w:rPr>
          <w:rFonts w:ascii="Times New Roman" w:hAnsi="Times New Roman"/>
          <w:b/>
          <w:sz w:val="24"/>
          <w:szCs w:val="24"/>
        </w:rPr>
        <w:t>Legal Lesson Learned: Property owner will need expert testimony showing backfires were done in a negligent manner during Red Flag warnings.</w:t>
      </w:r>
    </w:p>
    <w:p w14:paraId="7F27B55F" w14:textId="77777777" w:rsidR="00124FAD" w:rsidRDefault="00124FAD" w:rsidP="00124FAD">
      <w:pPr>
        <w:pStyle w:val="NoSpacing"/>
      </w:pPr>
    </w:p>
    <w:p w14:paraId="02BCC860" w14:textId="77777777" w:rsidR="00B34A49" w:rsidRDefault="00B34A49" w:rsidP="002B1283">
      <w:pPr>
        <w:rPr>
          <w:rStyle w:val="Hyperlink"/>
          <w:rFonts w:ascii="Arial Black" w:hAnsi="Arial Black"/>
          <w:b/>
          <w:color w:val="auto"/>
          <w:sz w:val="24"/>
          <w:szCs w:val="24"/>
          <w:u w:val="none"/>
        </w:rPr>
      </w:pPr>
    </w:p>
    <w:p w14:paraId="51ECB432" w14:textId="15C52E71"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306E28">
        <w:rPr>
          <w:rStyle w:val="Hyperlink"/>
          <w:rFonts w:ascii="Arial Black" w:hAnsi="Arial Black"/>
          <w:b/>
          <w:color w:val="auto"/>
          <w:sz w:val="24"/>
          <w:szCs w:val="24"/>
          <w:u w:val="none"/>
        </w:rPr>
        <w:t>2</w:t>
      </w:r>
    </w:p>
    <w:p w14:paraId="491BA4E4" w14:textId="77777777" w:rsidR="00CB542E" w:rsidRPr="005B675E" w:rsidRDefault="00CB542E" w:rsidP="00CB542E">
      <w:pPr>
        <w:pStyle w:val="NoSpacing"/>
        <w:rPr>
          <w:rFonts w:ascii="Arial Black" w:hAnsi="Arial Black"/>
          <w:b/>
          <w:bCs/>
          <w:sz w:val="28"/>
          <w:szCs w:val="28"/>
        </w:rPr>
      </w:pPr>
      <w:r w:rsidRPr="005B675E">
        <w:rPr>
          <w:rFonts w:ascii="Arial Black" w:hAnsi="Arial Black"/>
          <w:b/>
          <w:bCs/>
          <w:sz w:val="28"/>
          <w:szCs w:val="28"/>
        </w:rPr>
        <w:t xml:space="preserve">CA: CAMPERS CALLED 911 – SEE WILDLAND FIRE – TOLD NO DANGER 3-4 DAYS / WILL ADVISE – INJURED – IMMUNITY </w:t>
      </w:r>
    </w:p>
    <w:p w14:paraId="44919140" w14:textId="77777777" w:rsidR="00CB542E" w:rsidRPr="00306E28" w:rsidRDefault="00CB542E" w:rsidP="00CB542E">
      <w:pPr>
        <w:pStyle w:val="NoSpacing"/>
        <w:rPr>
          <w:rFonts w:ascii="Times New Roman" w:hAnsi="Times New Roman"/>
          <w:sz w:val="24"/>
          <w:szCs w:val="24"/>
        </w:rPr>
      </w:pPr>
    </w:p>
    <w:p w14:paraId="1F7E1699" w14:textId="77777777" w:rsidR="00CB542E" w:rsidRPr="00306E28" w:rsidRDefault="00CB542E" w:rsidP="00CB542E">
      <w:pPr>
        <w:pStyle w:val="NoSpacing"/>
        <w:rPr>
          <w:rFonts w:ascii="Times New Roman" w:hAnsi="Times New Roman"/>
          <w:sz w:val="24"/>
          <w:szCs w:val="24"/>
        </w:rPr>
      </w:pPr>
      <w:r w:rsidRPr="00306E28">
        <w:rPr>
          <w:rFonts w:ascii="Times New Roman" w:hAnsi="Times New Roman"/>
          <w:sz w:val="24"/>
          <w:szCs w:val="24"/>
        </w:rPr>
        <w:t xml:space="preserve">On Oct. 8, 2024, in </w:t>
      </w:r>
      <w:r w:rsidRPr="00306E28">
        <w:rPr>
          <w:rFonts w:ascii="Times New Roman" w:hAnsi="Times New Roman"/>
          <w:sz w:val="24"/>
          <w:szCs w:val="24"/>
          <w:u w:val="single"/>
        </w:rPr>
        <w:t>Michelle Portillo, et al. v, Madera County</w:t>
      </w:r>
      <w:r w:rsidRPr="00306E28">
        <w:rPr>
          <w:rFonts w:ascii="Times New Roman" w:hAnsi="Times New Roman"/>
          <w:sz w:val="24"/>
          <w:szCs w:val="24"/>
        </w:rPr>
        <w:t xml:space="preserve">, the California Court of Appeals, Fifth District. Held (3 to 0; unpublished opinion): “Appellants are </w:t>
      </w:r>
      <w:proofErr w:type="gramStart"/>
      <w:r w:rsidRPr="00306E28">
        <w:rPr>
          <w:rFonts w:ascii="Times New Roman" w:hAnsi="Times New Roman"/>
          <w:sz w:val="24"/>
          <w:szCs w:val="24"/>
        </w:rPr>
        <w:t>a number of</w:t>
      </w:r>
      <w:proofErr w:type="gramEnd"/>
      <w:r w:rsidRPr="00306E28">
        <w:rPr>
          <w:rFonts w:ascii="Times New Roman" w:hAnsi="Times New Roman"/>
          <w:sz w:val="24"/>
          <w:szCs w:val="24"/>
        </w:rPr>
        <w:t xml:space="preserve"> campers that were caught in the 2020 Creek Fire. They sued Madera County (County) after they were injured, claiming a County employee negligently advised them about the fire danger and broke a promise to inform them if the danger increased. The trial court dismissed their third amended complaint on demurrer. Appellants challenge this ruling. For the reasons set forth below, we affirm.”</w:t>
      </w:r>
    </w:p>
    <w:p w14:paraId="4335B6F6" w14:textId="77777777" w:rsidR="00CB542E" w:rsidRPr="00306E28" w:rsidRDefault="00CB542E" w:rsidP="00CB542E">
      <w:pPr>
        <w:pStyle w:val="NoSpacing"/>
        <w:rPr>
          <w:rFonts w:ascii="Times New Roman" w:hAnsi="Times New Roman"/>
          <w:sz w:val="24"/>
          <w:szCs w:val="24"/>
        </w:rPr>
      </w:pPr>
      <w:hyperlink r:id="rId893" w:history="1">
        <w:r w:rsidRPr="00306E28">
          <w:rPr>
            <w:rStyle w:val="Hyperlink"/>
            <w:rFonts w:ascii="Times New Roman" w:hAnsi="Times New Roman"/>
            <w:sz w:val="24"/>
            <w:szCs w:val="24"/>
          </w:rPr>
          <w:t>https://casetext.com/case/portillo-v-madera-cnty</w:t>
        </w:r>
      </w:hyperlink>
      <w:r w:rsidRPr="00306E28">
        <w:rPr>
          <w:rFonts w:ascii="Times New Roman" w:hAnsi="Times New Roman"/>
          <w:sz w:val="24"/>
          <w:szCs w:val="24"/>
        </w:rPr>
        <w:t xml:space="preserve"> </w:t>
      </w:r>
    </w:p>
    <w:p w14:paraId="7EB8CADD" w14:textId="77777777" w:rsidR="00CB542E" w:rsidRPr="00306E28" w:rsidRDefault="00CB542E" w:rsidP="00CB542E">
      <w:pPr>
        <w:pStyle w:val="NoSpacing"/>
        <w:rPr>
          <w:rFonts w:ascii="Times New Roman" w:hAnsi="Times New Roman"/>
          <w:sz w:val="24"/>
          <w:szCs w:val="24"/>
        </w:rPr>
      </w:pPr>
    </w:p>
    <w:p w14:paraId="0B2D8DF3" w14:textId="77777777" w:rsidR="00306E28" w:rsidRPr="00306E28" w:rsidRDefault="00306E28" w:rsidP="00306E28">
      <w:pPr>
        <w:pStyle w:val="NoSpacing"/>
        <w:rPr>
          <w:rFonts w:ascii="Times New Roman" w:hAnsi="Times New Roman"/>
          <w:b/>
          <w:bCs/>
          <w:sz w:val="24"/>
          <w:szCs w:val="24"/>
        </w:rPr>
      </w:pPr>
      <w:r w:rsidRPr="00306E28">
        <w:rPr>
          <w:rFonts w:ascii="Times New Roman" w:hAnsi="Times New Roman"/>
          <w:b/>
          <w:sz w:val="24"/>
          <w:szCs w:val="24"/>
        </w:rPr>
        <w:t xml:space="preserve">Legal Lesson Learned: Very difficult for these campers to prove gross negligence. </w:t>
      </w:r>
    </w:p>
    <w:p w14:paraId="59A25CFA" w14:textId="77777777" w:rsidR="00B34A49" w:rsidRDefault="00B34A49" w:rsidP="002B1283">
      <w:pPr>
        <w:rPr>
          <w:rStyle w:val="Hyperlink"/>
          <w:rFonts w:ascii="Arial Black" w:hAnsi="Arial Black"/>
          <w:b/>
          <w:color w:val="auto"/>
          <w:sz w:val="24"/>
          <w:szCs w:val="24"/>
          <w:u w:val="none"/>
        </w:rPr>
      </w:pPr>
    </w:p>
    <w:p w14:paraId="65018BA7" w14:textId="7DDE71CA" w:rsidR="0075297C" w:rsidRDefault="0075297C"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4-41</w:t>
      </w:r>
    </w:p>
    <w:p w14:paraId="5376D485" w14:textId="77777777" w:rsidR="00C76B17" w:rsidRPr="005B675E" w:rsidRDefault="00C76B17" w:rsidP="00C76B17">
      <w:pPr>
        <w:pStyle w:val="NoSpacing"/>
        <w:rPr>
          <w:rFonts w:ascii="Arial Black" w:hAnsi="Arial Black"/>
          <w:b/>
          <w:bCs/>
          <w:sz w:val="28"/>
          <w:szCs w:val="28"/>
        </w:rPr>
      </w:pPr>
      <w:r w:rsidRPr="005B675E">
        <w:rPr>
          <w:rFonts w:ascii="Arial Black" w:hAnsi="Arial Black"/>
          <w:b/>
          <w:bCs/>
          <w:sz w:val="28"/>
          <w:szCs w:val="28"/>
        </w:rPr>
        <w:t>CT:  WIRES DOWN ON CAR – 2 TRAPPED FOR 1-HOUR -  – STATE ORDERS UTILITY COMPANY MORE RAPID RESPONSE</w:t>
      </w:r>
    </w:p>
    <w:p w14:paraId="10C3CA83" w14:textId="77777777" w:rsidR="00C76B17" w:rsidRPr="005B675E" w:rsidRDefault="00C76B17" w:rsidP="00C76B17">
      <w:pPr>
        <w:pStyle w:val="NoSpacing"/>
        <w:rPr>
          <w:rFonts w:ascii="Arial Black" w:hAnsi="Arial Black"/>
          <w:sz w:val="28"/>
          <w:szCs w:val="28"/>
        </w:rPr>
      </w:pPr>
    </w:p>
    <w:p w14:paraId="42787C0A" w14:textId="319C35F5" w:rsidR="0075297C" w:rsidRPr="00C833FD" w:rsidRDefault="00C76B17" w:rsidP="00C76B17">
      <w:pPr>
        <w:pStyle w:val="NoSpacing"/>
        <w:rPr>
          <w:rStyle w:val="Hyperlink"/>
          <w:rFonts w:ascii="Times New Roman" w:hAnsi="Times New Roman"/>
          <w:sz w:val="24"/>
          <w:szCs w:val="24"/>
        </w:rPr>
      </w:pPr>
      <w:r w:rsidRPr="00C833FD">
        <w:rPr>
          <w:rFonts w:ascii="Times New Roman" w:hAnsi="Times New Roman"/>
          <w:sz w:val="24"/>
          <w:szCs w:val="24"/>
        </w:rPr>
        <w:t xml:space="preserve">Oct. 2, 2024, in </w:t>
      </w:r>
      <w:r w:rsidRPr="00C833FD">
        <w:rPr>
          <w:rFonts w:ascii="Times New Roman" w:hAnsi="Times New Roman"/>
          <w:sz w:val="24"/>
          <w:szCs w:val="24"/>
          <w:u w:val="single"/>
        </w:rPr>
        <w:t xml:space="preserve">The Connecticut Light &amp; Power Company, d/b/a </w:t>
      </w:r>
      <w:proofErr w:type="spellStart"/>
      <w:r w:rsidRPr="00C833FD">
        <w:rPr>
          <w:rFonts w:ascii="Times New Roman" w:hAnsi="Times New Roman"/>
          <w:sz w:val="24"/>
          <w:szCs w:val="24"/>
          <w:u w:val="single"/>
        </w:rPr>
        <w:t>Eversourse</w:t>
      </w:r>
      <w:proofErr w:type="spellEnd"/>
      <w:r w:rsidRPr="00C833FD">
        <w:rPr>
          <w:rFonts w:ascii="Times New Roman" w:hAnsi="Times New Roman"/>
          <w:sz w:val="24"/>
          <w:szCs w:val="24"/>
          <w:u w:val="single"/>
        </w:rPr>
        <w:t xml:space="preserve"> Energy v. Public Utilities Regulatory Authority</w:t>
      </w:r>
      <w:r w:rsidRPr="00C833FD">
        <w:rPr>
          <w:rFonts w:ascii="Times New Roman" w:hAnsi="Times New Roman"/>
          <w:sz w:val="24"/>
          <w:szCs w:val="24"/>
        </w:rPr>
        <w:t xml:space="preserve">, the Superior Court of Connecticut, Judicial District of New Britain, Tax and Administrative Appeals Division, (Judge Matthew J. Budzik) held: “Because the statutes and regulations cited by Eversource are either inapplicable, or merely permit - - but do not require -- PURA to hold a hearing on the instant investigation, the court grants the motion to dismiss.” </w:t>
      </w:r>
      <w:hyperlink r:id="rId894" w:history="1">
        <w:r w:rsidRPr="00C833FD">
          <w:rPr>
            <w:rStyle w:val="Hyperlink"/>
            <w:rFonts w:ascii="Times New Roman" w:hAnsi="Times New Roman"/>
            <w:sz w:val="24"/>
            <w:szCs w:val="24"/>
          </w:rPr>
          <w:t>https://www.firelawblog.com/wp-content/uploads/sites/19/2024/10/Light-v.-Pub.-Utils.-Regul.-Auth._-2024-Conn.-Super.-LE.pdf</w:t>
        </w:r>
      </w:hyperlink>
    </w:p>
    <w:p w14:paraId="55AFD4BB" w14:textId="77777777" w:rsidR="00C833FD" w:rsidRPr="00C833FD" w:rsidRDefault="00C833FD" w:rsidP="00C76B17">
      <w:pPr>
        <w:pStyle w:val="NoSpacing"/>
        <w:rPr>
          <w:rStyle w:val="Hyperlink"/>
          <w:rFonts w:ascii="Times New Roman" w:hAnsi="Times New Roman"/>
          <w:sz w:val="24"/>
          <w:szCs w:val="24"/>
        </w:rPr>
      </w:pPr>
    </w:p>
    <w:p w14:paraId="07E26062" w14:textId="77777777" w:rsidR="00C833FD" w:rsidRPr="00C833FD" w:rsidRDefault="00C833FD" w:rsidP="00C833FD">
      <w:pPr>
        <w:pStyle w:val="NoSpacing"/>
        <w:rPr>
          <w:rFonts w:ascii="Times New Roman" w:hAnsi="Times New Roman"/>
          <w:b/>
          <w:bCs/>
          <w:sz w:val="24"/>
          <w:szCs w:val="24"/>
        </w:rPr>
      </w:pPr>
      <w:r w:rsidRPr="00C833FD">
        <w:rPr>
          <w:rFonts w:ascii="Times New Roman" w:hAnsi="Times New Roman"/>
          <w:b/>
          <w:sz w:val="24"/>
          <w:szCs w:val="24"/>
        </w:rPr>
        <w:t>Legal Lesson Learned: Nice to see State agency holding utility company’s “feet to the fire</w:t>
      </w:r>
      <w:r w:rsidRPr="00C833FD">
        <w:rPr>
          <w:rFonts w:ascii="Times New Roman" w:hAnsi="Times New Roman"/>
          <w:b/>
          <w:bCs/>
          <w:sz w:val="24"/>
          <w:szCs w:val="24"/>
        </w:rPr>
        <w:t>”</w:t>
      </w:r>
      <w:r w:rsidRPr="00C833FD">
        <w:rPr>
          <w:rFonts w:ascii="Times New Roman" w:hAnsi="Times New Roman"/>
          <w:b/>
          <w:sz w:val="24"/>
          <w:szCs w:val="24"/>
        </w:rPr>
        <w:t xml:space="preserve"> for slow response to wires on occupied vehicle call.</w:t>
      </w:r>
    </w:p>
    <w:p w14:paraId="507A88E4" w14:textId="77777777" w:rsidR="00C833FD" w:rsidRDefault="00C833FD" w:rsidP="00C76B17">
      <w:pPr>
        <w:pStyle w:val="NoSpacing"/>
        <w:rPr>
          <w:rStyle w:val="Hyperlink"/>
          <w:rFonts w:ascii="Arial Black" w:hAnsi="Arial Black"/>
          <w:b/>
          <w:color w:val="auto"/>
          <w:sz w:val="24"/>
          <w:szCs w:val="24"/>
          <w:u w:val="none"/>
        </w:rPr>
      </w:pPr>
    </w:p>
    <w:p w14:paraId="382F4A73" w14:textId="77777777" w:rsidR="0075297C" w:rsidRDefault="0075297C" w:rsidP="002B1283">
      <w:pPr>
        <w:rPr>
          <w:rStyle w:val="Hyperlink"/>
          <w:rFonts w:ascii="Arial Black" w:hAnsi="Arial Black"/>
          <w:b/>
          <w:color w:val="auto"/>
          <w:sz w:val="24"/>
          <w:szCs w:val="24"/>
          <w:u w:val="none"/>
        </w:rPr>
      </w:pPr>
    </w:p>
    <w:p w14:paraId="375B116B" w14:textId="233B621A" w:rsidR="00291569" w:rsidRDefault="0038005B"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4-40</w:t>
      </w:r>
    </w:p>
    <w:p w14:paraId="60385150" w14:textId="77777777" w:rsidR="002E0D85" w:rsidRPr="005B675E" w:rsidRDefault="002E0D85" w:rsidP="002E0D85">
      <w:pPr>
        <w:pStyle w:val="NormalWeb"/>
        <w:rPr>
          <w:rFonts w:ascii="Arial Black" w:hAnsi="Arial Black"/>
          <w:color w:val="454545"/>
          <w:sz w:val="28"/>
          <w:szCs w:val="28"/>
          <w:shd w:val="clear" w:color="auto" w:fill="FFFFFF"/>
        </w:rPr>
      </w:pPr>
      <w:r w:rsidRPr="005B675E">
        <w:rPr>
          <w:rFonts w:ascii="Arial Black" w:hAnsi="Arial Black"/>
          <w:color w:val="454545"/>
          <w:sz w:val="28"/>
          <w:szCs w:val="28"/>
          <w:shd w:val="clear" w:color="auto" w:fill="FFFFFF"/>
        </w:rPr>
        <w:t>UT: TWO FOREST FIRES – IC DECIDED TO LET BURN – HIGH WINDS 100,000 ACRES – BUILDING OWNERS CAN’T SUE</w:t>
      </w:r>
    </w:p>
    <w:p w14:paraId="6B94410D" w14:textId="77777777" w:rsidR="002E0D85" w:rsidRPr="004562D2" w:rsidRDefault="002E0D85" w:rsidP="002E0D85">
      <w:pPr>
        <w:pStyle w:val="NormalWeb"/>
        <w:rPr>
          <w:color w:val="454545"/>
          <w:shd w:val="clear" w:color="auto" w:fill="FFFFFF"/>
        </w:rPr>
      </w:pPr>
      <w:r w:rsidRPr="004562D2">
        <w:rPr>
          <w:color w:val="454545"/>
          <w:shd w:val="clear" w:color="auto" w:fill="FFFFFF"/>
        </w:rPr>
        <w:t xml:space="preserve">On July 30, 2024, in </w:t>
      </w:r>
      <w:r w:rsidRPr="004562D2">
        <w:rPr>
          <w:color w:val="454545"/>
          <w:u w:val="single"/>
          <w:shd w:val="clear" w:color="auto" w:fill="FFFFFF"/>
        </w:rPr>
        <w:t>Strawberry Water Users Association v. United States</w:t>
      </w:r>
      <w:r w:rsidRPr="004562D2">
        <w:rPr>
          <w:color w:val="454545"/>
          <w:shd w:val="clear" w:color="auto" w:fill="FFFFFF"/>
        </w:rPr>
        <w:t>,  the U.S. Court of Appeals for 10</w:t>
      </w:r>
      <w:r w:rsidRPr="004562D2">
        <w:rPr>
          <w:color w:val="454545"/>
          <w:shd w:val="clear" w:color="auto" w:fill="FFFFFF"/>
          <w:vertAlign w:val="superscript"/>
        </w:rPr>
        <w:t>th</w:t>
      </w:r>
      <w:r w:rsidRPr="004562D2">
        <w:rPr>
          <w:color w:val="454545"/>
          <w:shd w:val="clear" w:color="auto" w:fill="FFFFFF"/>
        </w:rPr>
        <w:t xml:space="preserve"> Circuit (Denver) held [3 to 0) that U.S. District Court judge properly dismissed the lawsuit for “lack of jurisdiction.” “[T]he Forest Service undoubtedly acted within the ambit of its authority in allowing the fires to burn. Congress granted the Forest Service the authority to develop and implement wildfire-management policies under dual statutory regimes.”</w:t>
      </w:r>
      <w:r w:rsidRPr="004562D2">
        <w:t xml:space="preserve"> </w:t>
      </w:r>
      <w:hyperlink r:id="rId895" w:history="1">
        <w:r w:rsidRPr="004562D2">
          <w:rPr>
            <w:rStyle w:val="Hyperlink"/>
            <w:shd w:val="clear" w:color="auto" w:fill="FFFFFF"/>
          </w:rPr>
          <w:t>https://caselaw.findlaw.com/court/us-10th-circuit/116433351.html</w:t>
        </w:r>
      </w:hyperlink>
      <w:r w:rsidRPr="004562D2">
        <w:rPr>
          <w:color w:val="454545"/>
          <w:shd w:val="clear" w:color="auto" w:fill="FFFFFF"/>
        </w:rPr>
        <w:t xml:space="preserve"> </w:t>
      </w:r>
    </w:p>
    <w:p w14:paraId="31908B81" w14:textId="77777777" w:rsidR="002E0D85" w:rsidRPr="009C1132" w:rsidRDefault="002E0D85" w:rsidP="002E0D85">
      <w:pPr>
        <w:pStyle w:val="NormalWeb"/>
        <w:rPr>
          <w:color w:val="454545"/>
          <w:shd w:val="clear" w:color="auto" w:fill="FFFFFF"/>
        </w:rPr>
      </w:pPr>
      <w:r w:rsidRPr="009C1132">
        <w:rPr>
          <w:color w:val="454545"/>
          <w:shd w:val="clear" w:color="auto" w:fill="FFFFFF"/>
        </w:rPr>
        <w:t>THE COURT HELD:</w:t>
      </w:r>
    </w:p>
    <w:p w14:paraId="1144B067" w14:textId="77777777" w:rsidR="002E0D85" w:rsidRPr="009C1132" w:rsidRDefault="002E0D85" w:rsidP="002E0D85">
      <w:pPr>
        <w:pStyle w:val="NormalWeb"/>
        <w:ind w:left="720"/>
        <w:rPr>
          <w:color w:val="454545"/>
          <w:shd w:val="clear" w:color="auto" w:fill="FFFFFF"/>
        </w:rPr>
      </w:pPr>
      <w:r w:rsidRPr="009C1132">
        <w:rPr>
          <w:color w:val="454545"/>
          <w:shd w:val="clear" w:color="auto" w:fill="FFFFFF"/>
        </w:rPr>
        <w:t>“The issue on appeal is whether the discretionary-function exception to liability under the Federal Tort Claims Act (FTCA) applies to the United States Forest Service's alleged mismanagement of two wildfires ignited on public lands. The district court held that the exception applied and therefore it was stripped of jurisdiction to hear the claims… Exercising jurisdiction under 28 U.S.C. § 1291, we affirm.”</w:t>
      </w:r>
    </w:p>
    <w:p w14:paraId="602CE19E" w14:textId="77777777" w:rsidR="00DA23FE" w:rsidRPr="0036267D" w:rsidRDefault="00DA23FE" w:rsidP="00DA23FE">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Congress under Federal Tort Claims Act provides immunity for government officials making discretionary decisions. </w:t>
      </w:r>
    </w:p>
    <w:p w14:paraId="1032664C" w14:textId="77777777" w:rsidR="0038005B" w:rsidRDefault="0038005B" w:rsidP="002B1283">
      <w:pPr>
        <w:rPr>
          <w:rStyle w:val="Hyperlink"/>
          <w:rFonts w:ascii="Arial Black" w:hAnsi="Arial Black"/>
          <w:b/>
          <w:color w:val="auto"/>
          <w:sz w:val="24"/>
          <w:szCs w:val="24"/>
          <w:u w:val="none"/>
        </w:rPr>
      </w:pPr>
    </w:p>
    <w:p w14:paraId="1FB8455C" w14:textId="77777777" w:rsidR="00291569" w:rsidRDefault="00291569" w:rsidP="002B1283">
      <w:pPr>
        <w:rPr>
          <w:rStyle w:val="Hyperlink"/>
          <w:rFonts w:ascii="Arial Black" w:hAnsi="Arial Black"/>
          <w:b/>
          <w:color w:val="auto"/>
          <w:sz w:val="24"/>
          <w:szCs w:val="24"/>
          <w:u w:val="none"/>
        </w:rPr>
      </w:pPr>
    </w:p>
    <w:p w14:paraId="5292E2AC" w14:textId="0E802254" w:rsidR="00291569" w:rsidRDefault="0029156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4-39</w:t>
      </w:r>
    </w:p>
    <w:p w14:paraId="77BA7143" w14:textId="77777777" w:rsidR="00291569" w:rsidRPr="00D961B3" w:rsidRDefault="00291569" w:rsidP="00291569">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KY: FIRE CHIEF – REFUSED MUTUAL AID 3</w:t>
      </w:r>
      <w:r w:rsidRPr="00E973EF">
        <w:rPr>
          <w:rFonts w:ascii="Arial Black" w:hAnsi="Arial Black"/>
          <w:b/>
          <w:bCs/>
          <w:color w:val="454545"/>
          <w:sz w:val="28"/>
          <w:szCs w:val="28"/>
          <w:shd w:val="clear" w:color="auto" w:fill="FFFFFF"/>
          <w:vertAlign w:val="superscript"/>
        </w:rPr>
        <w:t>rd</w:t>
      </w:r>
      <w:r>
        <w:rPr>
          <w:rFonts w:ascii="Arial Black" w:hAnsi="Arial Black"/>
          <w:b/>
          <w:bCs/>
          <w:color w:val="454545"/>
          <w:sz w:val="28"/>
          <w:szCs w:val="28"/>
          <w:shd w:val="clear" w:color="auto" w:fill="FFFFFF"/>
        </w:rPr>
        <w:t xml:space="preserve"> FD – PRIOR ISSUES 3</w:t>
      </w:r>
      <w:r w:rsidRPr="00CE4862">
        <w:rPr>
          <w:rFonts w:ascii="Arial Black" w:hAnsi="Arial Black"/>
          <w:b/>
          <w:bCs/>
          <w:color w:val="454545"/>
          <w:sz w:val="28"/>
          <w:szCs w:val="28"/>
          <w:shd w:val="clear" w:color="auto" w:fill="FFFFFF"/>
          <w:vertAlign w:val="superscript"/>
        </w:rPr>
        <w:t>rd</w:t>
      </w:r>
      <w:r>
        <w:rPr>
          <w:rFonts w:ascii="Arial Black" w:hAnsi="Arial Black"/>
          <w:b/>
          <w:bCs/>
          <w:color w:val="454545"/>
          <w:sz w:val="28"/>
          <w:szCs w:val="28"/>
          <w:shd w:val="clear" w:color="auto" w:fill="FFFFFF"/>
        </w:rPr>
        <w:t xml:space="preserve"> FD’s INCIDENT COMMAND – QUAL. IMMUNITY </w:t>
      </w:r>
    </w:p>
    <w:p w14:paraId="469821F5" w14:textId="77777777" w:rsidR="00291569" w:rsidRDefault="00291569" w:rsidP="00291569">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July 26, 2024, in </w:t>
      </w:r>
      <w:r w:rsidRPr="00A7779F">
        <w:rPr>
          <w:rFonts w:ascii="Times New Roman" w:hAnsi="Times New Roman"/>
          <w:sz w:val="24"/>
          <w:szCs w:val="24"/>
          <w:u w:val="single"/>
          <w:shd w:val="clear" w:color="auto" w:fill="FFFFFF"/>
        </w:rPr>
        <w:t>Lina Combs v. Jackson Fire Chief Chase Deaton</w:t>
      </w:r>
      <w:r>
        <w:rPr>
          <w:rFonts w:ascii="Times New Roman" w:hAnsi="Times New Roman"/>
          <w:sz w:val="24"/>
          <w:szCs w:val="24"/>
          <w:shd w:val="clear" w:color="auto" w:fill="FFFFFF"/>
        </w:rPr>
        <w:t xml:space="preserve">, the Court of Appeals of Kentucky held (3 to 0) that trial court properly dismissed the lawsuit regarding total loss of a commercial building in 2021.  The Fire Chief enjoys qualified immunity for discretionary duties; he testified that he called in two mutual aid </w:t>
      </w:r>
      <w:proofErr w:type="gramStart"/>
      <w:r>
        <w:rPr>
          <w:rFonts w:ascii="Times New Roman" w:hAnsi="Times New Roman"/>
          <w:sz w:val="24"/>
          <w:szCs w:val="24"/>
          <w:shd w:val="clear" w:color="auto" w:fill="FFFFFF"/>
        </w:rPr>
        <w:t>FDs, but</w:t>
      </w:r>
      <w:proofErr w:type="gramEnd"/>
      <w:r>
        <w:rPr>
          <w:rFonts w:ascii="Times New Roman" w:hAnsi="Times New Roman"/>
          <w:sz w:val="24"/>
          <w:szCs w:val="24"/>
          <w:shd w:val="clear" w:color="auto" w:fill="FFFFFF"/>
        </w:rPr>
        <w:t xml:space="preserve"> rejected offer for 3</w:t>
      </w:r>
      <w:r w:rsidRPr="00FF5775">
        <w:rPr>
          <w:rFonts w:ascii="Times New Roman" w:hAnsi="Times New Roman"/>
          <w:sz w:val="24"/>
          <w:szCs w:val="24"/>
          <w:shd w:val="clear" w:color="auto" w:fill="FFFFFF"/>
          <w:vertAlign w:val="superscript"/>
        </w:rPr>
        <w:t>rd</w:t>
      </w:r>
      <w:r>
        <w:rPr>
          <w:rFonts w:ascii="Times New Roman" w:hAnsi="Times New Roman"/>
          <w:sz w:val="24"/>
          <w:szCs w:val="24"/>
          <w:shd w:val="clear" w:color="auto" w:fill="FFFFFF"/>
        </w:rPr>
        <w:t xml:space="preserve"> FD since he has prior experience with that FD which “</w:t>
      </w:r>
      <w:r w:rsidRPr="007F35C2">
        <w:rPr>
          <w:rFonts w:ascii="Times New Roman" w:hAnsi="Times New Roman"/>
          <w:sz w:val="24"/>
          <w:szCs w:val="24"/>
          <w:shd w:val="clear" w:color="auto" w:fill="FFFFFF"/>
        </w:rPr>
        <w:t>do not fall within</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the incident command structure, will not listen to</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anything anybody tells them to do, which violates all</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National Incident Management System practices</w:t>
      </w:r>
      <w:r>
        <w:rPr>
          <w:rFonts w:ascii="Times New Roman" w:hAnsi="Times New Roman"/>
          <w:sz w:val="24"/>
          <w:szCs w:val="24"/>
          <w:shd w:val="clear" w:color="auto" w:fill="FFFFFF"/>
        </w:rPr>
        <w:t xml:space="preserve">.”  Court also rejected building owner’s argument that FD </w:t>
      </w:r>
      <w:proofErr w:type="gramStart"/>
      <w:r>
        <w:rPr>
          <w:rFonts w:ascii="Times New Roman" w:hAnsi="Times New Roman"/>
          <w:sz w:val="24"/>
          <w:szCs w:val="24"/>
          <w:shd w:val="clear" w:color="auto" w:fill="FFFFFF"/>
        </w:rPr>
        <w:t>liable</w:t>
      </w:r>
      <w:proofErr w:type="gramEnd"/>
      <w:r>
        <w:rPr>
          <w:rFonts w:ascii="Times New Roman" w:hAnsi="Times New Roman"/>
          <w:sz w:val="24"/>
          <w:szCs w:val="24"/>
          <w:shd w:val="clear" w:color="auto" w:fill="FFFFFF"/>
        </w:rPr>
        <w:t xml:space="preserve"> because one hydrant had low flow; hydrants regularly inspected, including in 2020.  </w:t>
      </w:r>
      <w:hyperlink r:id="rId896" w:history="1">
        <w:r w:rsidRPr="00D57CE5">
          <w:rPr>
            <w:rStyle w:val="Hyperlink"/>
            <w:rFonts w:ascii="Times New Roman" w:hAnsi="Times New Roman"/>
            <w:sz w:val="24"/>
            <w:szCs w:val="24"/>
            <w:shd w:val="clear" w:color="auto" w:fill="FFFFFF"/>
          </w:rPr>
          <w:t>https://cases.justia.com/kentucky/court-of-appeals/2024-2023-ca-1204-mr.pdf?ts=1722002681</w:t>
        </w:r>
      </w:hyperlink>
      <w:r>
        <w:rPr>
          <w:rFonts w:ascii="Times New Roman" w:hAnsi="Times New Roman"/>
          <w:sz w:val="24"/>
          <w:szCs w:val="24"/>
          <w:shd w:val="clear" w:color="auto" w:fill="FFFFFF"/>
        </w:rPr>
        <w:t xml:space="preserve"> </w:t>
      </w:r>
    </w:p>
    <w:p w14:paraId="555B8F57" w14:textId="77777777" w:rsidR="00291569" w:rsidRDefault="00291569" w:rsidP="00291569">
      <w:pPr>
        <w:pStyle w:val="NoSpacing"/>
        <w:rPr>
          <w:rFonts w:ascii="Times New Roman" w:hAnsi="Times New Roman"/>
          <w:sz w:val="24"/>
          <w:szCs w:val="24"/>
          <w:shd w:val="clear" w:color="auto" w:fill="FFFFFF"/>
        </w:rPr>
      </w:pPr>
    </w:p>
    <w:p w14:paraId="3496E68E" w14:textId="77777777" w:rsidR="00291569" w:rsidRDefault="00291569" w:rsidP="00291569">
      <w:pPr>
        <w:pStyle w:val="NoSpacing"/>
        <w:rPr>
          <w:rFonts w:ascii="Times New Roman" w:hAnsi="Times New Roman"/>
          <w:sz w:val="24"/>
          <w:szCs w:val="24"/>
          <w:shd w:val="clear" w:color="auto" w:fill="FFFFFF"/>
        </w:rPr>
      </w:pPr>
    </w:p>
    <w:p w14:paraId="1C17A949" w14:textId="77777777" w:rsidR="00291569" w:rsidRDefault="00291569" w:rsidP="00291569">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52C604E0" w14:textId="77777777" w:rsidR="00291569" w:rsidRDefault="00291569" w:rsidP="00291569">
      <w:pPr>
        <w:pStyle w:val="NoSpacing"/>
        <w:rPr>
          <w:rFonts w:ascii="Times New Roman" w:hAnsi="Times New Roman"/>
          <w:sz w:val="24"/>
          <w:szCs w:val="24"/>
          <w:shd w:val="clear" w:color="auto" w:fill="FFFFFF"/>
        </w:rPr>
      </w:pPr>
    </w:p>
    <w:p w14:paraId="11B5D76D"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B13DF8">
        <w:rPr>
          <w:rFonts w:ascii="Times New Roman" w:hAnsi="Times New Roman"/>
          <w:sz w:val="24"/>
          <w:szCs w:val="24"/>
          <w:shd w:val="clear" w:color="auto" w:fill="FFFFFF"/>
        </w:rPr>
        <w:t>Deaton, in his official capacity as fire chief, is also afforded this same</w:t>
      </w:r>
      <w:r>
        <w:rPr>
          <w:rFonts w:ascii="Times New Roman" w:hAnsi="Times New Roman"/>
          <w:sz w:val="24"/>
          <w:szCs w:val="24"/>
          <w:shd w:val="clear" w:color="auto" w:fill="FFFFFF"/>
        </w:rPr>
        <w:t xml:space="preserve"> </w:t>
      </w:r>
      <w:r w:rsidRPr="00B13DF8">
        <w:rPr>
          <w:rFonts w:ascii="Times New Roman" w:hAnsi="Times New Roman"/>
          <w:sz w:val="24"/>
          <w:szCs w:val="24"/>
          <w:shd w:val="clear" w:color="auto" w:fill="FFFFFF"/>
        </w:rPr>
        <w:t>sovereign immunity as the city and the JFD.</w:t>
      </w:r>
    </w:p>
    <w:p w14:paraId="0816201B" w14:textId="77777777" w:rsidR="00291569" w:rsidRDefault="00291569" w:rsidP="00291569">
      <w:pPr>
        <w:pStyle w:val="NoSpacing"/>
        <w:ind w:left="720"/>
        <w:rPr>
          <w:rFonts w:ascii="Times New Roman" w:hAnsi="Times New Roman"/>
          <w:sz w:val="24"/>
          <w:szCs w:val="24"/>
          <w:shd w:val="clear" w:color="auto" w:fill="FFFFFF"/>
        </w:rPr>
      </w:pPr>
    </w:p>
    <w:p w14:paraId="53DA656D"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7C71FA95" w14:textId="77777777" w:rsidR="00291569" w:rsidRDefault="00291569" w:rsidP="00291569">
      <w:pPr>
        <w:pStyle w:val="NoSpacing"/>
        <w:ind w:left="720"/>
        <w:rPr>
          <w:rFonts w:ascii="Times New Roman" w:hAnsi="Times New Roman"/>
          <w:sz w:val="24"/>
          <w:szCs w:val="24"/>
          <w:shd w:val="clear" w:color="auto" w:fill="FFFFFF"/>
        </w:rPr>
      </w:pPr>
      <w:r w:rsidRPr="007A021B">
        <w:rPr>
          <w:rFonts w:ascii="Times New Roman" w:hAnsi="Times New Roman"/>
          <w:sz w:val="24"/>
          <w:szCs w:val="24"/>
          <w:shd w:val="clear" w:color="auto" w:fill="FFFFFF"/>
        </w:rPr>
        <w:t>We must move to individual capacity liability. Public officers and</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employees are entitled to qualified official immunity for negligent conduct when</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the negligent act or omissions were (1) discretionary acts or functions, that (2)</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were made in good faith (or more to the point not made in bad faith), and (3) were</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within the scope of the employee’s authority.</w:t>
      </w:r>
    </w:p>
    <w:p w14:paraId="3BA72D3A" w14:textId="77777777" w:rsidR="00291569" w:rsidRDefault="00291569" w:rsidP="00291569">
      <w:pPr>
        <w:pStyle w:val="NoSpacing"/>
        <w:ind w:left="720"/>
        <w:rPr>
          <w:rFonts w:ascii="Times New Roman" w:hAnsi="Times New Roman"/>
          <w:sz w:val="24"/>
          <w:szCs w:val="24"/>
          <w:shd w:val="clear" w:color="auto" w:fill="FFFFFF"/>
        </w:rPr>
      </w:pPr>
    </w:p>
    <w:p w14:paraId="177ED0BB"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771A546C" w14:textId="77777777" w:rsidR="00291569" w:rsidRDefault="00291569" w:rsidP="00291569">
      <w:pPr>
        <w:pStyle w:val="NoSpacing"/>
        <w:rPr>
          <w:rFonts w:ascii="Times New Roman" w:hAnsi="Times New Roman"/>
          <w:sz w:val="24"/>
          <w:szCs w:val="24"/>
          <w:shd w:val="clear" w:color="auto" w:fill="FFFFFF"/>
        </w:rPr>
      </w:pPr>
    </w:p>
    <w:p w14:paraId="48259FCE" w14:textId="77777777" w:rsidR="00291569" w:rsidRPr="00B95DA7" w:rsidRDefault="00291569" w:rsidP="00291569">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T</w:t>
      </w:r>
      <w:r w:rsidRPr="00B95DA7">
        <w:rPr>
          <w:rFonts w:ascii="Times New Roman" w:hAnsi="Times New Roman"/>
          <w:sz w:val="24"/>
          <w:szCs w:val="24"/>
          <w:shd w:val="clear" w:color="auto" w:fill="FFFFFF"/>
        </w:rPr>
        <w:t>he</w:t>
      </w:r>
      <w:r>
        <w:rPr>
          <w:rFonts w:ascii="Times New Roman" w:hAnsi="Times New Roman"/>
          <w:sz w:val="24"/>
          <w:szCs w:val="24"/>
          <w:shd w:val="clear" w:color="auto" w:fill="FFFFFF"/>
        </w:rPr>
        <w:t xml:space="preserve"> </w:t>
      </w:r>
      <w:r w:rsidRPr="00B95DA7">
        <w:rPr>
          <w:rFonts w:ascii="Times New Roman" w:hAnsi="Times New Roman"/>
          <w:sz w:val="24"/>
          <w:szCs w:val="24"/>
          <w:shd w:val="clear" w:color="auto" w:fill="FFFFFF"/>
        </w:rPr>
        <w:t>circuit court found that Deaton’s actions in refusing assistance from QFD were</w:t>
      </w:r>
    </w:p>
    <w:p w14:paraId="66708351" w14:textId="77777777" w:rsidR="00291569" w:rsidRPr="00B95DA7" w:rsidRDefault="00291569" w:rsidP="00291569">
      <w:pPr>
        <w:pStyle w:val="NoSpacing"/>
        <w:ind w:firstLine="720"/>
        <w:rPr>
          <w:rFonts w:ascii="Times New Roman" w:hAnsi="Times New Roman"/>
          <w:sz w:val="24"/>
          <w:szCs w:val="24"/>
          <w:shd w:val="clear" w:color="auto" w:fill="FFFFFF"/>
        </w:rPr>
      </w:pPr>
      <w:r w:rsidRPr="00B95DA7">
        <w:rPr>
          <w:rFonts w:ascii="Times New Roman" w:hAnsi="Times New Roman"/>
          <w:sz w:val="24"/>
          <w:szCs w:val="24"/>
          <w:shd w:val="clear" w:color="auto" w:fill="FFFFFF"/>
        </w:rPr>
        <w:t>clearly discretionary. Further, the court found that Combs was unable to meet the</w:t>
      </w:r>
    </w:p>
    <w:p w14:paraId="056AA055" w14:textId="77777777" w:rsidR="00291569" w:rsidRDefault="00291569" w:rsidP="00291569">
      <w:pPr>
        <w:pStyle w:val="NoSpacing"/>
        <w:ind w:left="720"/>
        <w:rPr>
          <w:rFonts w:ascii="Times New Roman" w:hAnsi="Times New Roman"/>
          <w:sz w:val="24"/>
          <w:szCs w:val="24"/>
          <w:shd w:val="clear" w:color="auto" w:fill="FFFFFF"/>
        </w:rPr>
      </w:pPr>
      <w:r w:rsidRPr="00B95DA7">
        <w:rPr>
          <w:rFonts w:ascii="Times New Roman" w:hAnsi="Times New Roman"/>
          <w:sz w:val="24"/>
          <w:szCs w:val="24"/>
          <w:shd w:val="clear" w:color="auto" w:fill="FFFFFF"/>
        </w:rPr>
        <w:t>burden that Deaton had acted in bad faith in making his decisions.</w:t>
      </w:r>
      <w:r>
        <w:rPr>
          <w:rFonts w:ascii="Times New Roman" w:hAnsi="Times New Roman"/>
          <w:sz w:val="24"/>
          <w:szCs w:val="24"/>
          <w:shd w:val="clear" w:color="auto" w:fill="FFFFFF"/>
        </w:rPr>
        <w:t xml:space="preserve"> </w:t>
      </w:r>
    </w:p>
    <w:p w14:paraId="6695918D" w14:textId="77777777" w:rsidR="00291569" w:rsidRDefault="00291569" w:rsidP="00291569">
      <w:pPr>
        <w:pStyle w:val="NoSpacing"/>
        <w:ind w:left="720"/>
        <w:rPr>
          <w:rFonts w:ascii="Times New Roman" w:hAnsi="Times New Roman"/>
          <w:sz w:val="24"/>
          <w:szCs w:val="24"/>
          <w:shd w:val="clear" w:color="auto" w:fill="FFFFFF"/>
        </w:rPr>
      </w:pPr>
    </w:p>
    <w:p w14:paraId="12FDC2AA"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2C21B193"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The Fire Chief testified in his deposition:</w:t>
      </w:r>
    </w:p>
    <w:p w14:paraId="23A628A0" w14:textId="77777777" w:rsidR="00291569" w:rsidRDefault="00291569" w:rsidP="00291569">
      <w:pPr>
        <w:pStyle w:val="NoSpacing"/>
        <w:ind w:left="1440"/>
        <w:rPr>
          <w:rFonts w:ascii="Times New Roman" w:hAnsi="Times New Roman"/>
          <w:sz w:val="24"/>
          <w:szCs w:val="24"/>
          <w:shd w:val="clear" w:color="auto" w:fill="FFFFFF"/>
        </w:rPr>
      </w:pPr>
    </w:p>
    <w:p w14:paraId="38713BE5" w14:textId="77777777" w:rsidR="00291569" w:rsidRDefault="00291569" w:rsidP="00291569">
      <w:pPr>
        <w:pStyle w:val="NoSpacing"/>
        <w:ind w:left="1440"/>
        <w:rPr>
          <w:rFonts w:ascii="Times New Roman" w:hAnsi="Times New Roman"/>
          <w:sz w:val="24"/>
          <w:szCs w:val="24"/>
          <w:shd w:val="clear" w:color="auto" w:fill="FFFFFF"/>
        </w:rPr>
      </w:pPr>
      <w:r w:rsidRPr="007F35C2">
        <w:rPr>
          <w:rFonts w:ascii="Times New Roman" w:hAnsi="Times New Roman"/>
          <w:sz w:val="24"/>
          <w:szCs w:val="24"/>
          <w:shd w:val="clear" w:color="auto" w:fill="FFFFFF"/>
        </w:rPr>
        <w:t>The Quicksand Fire Department, we do not feel, was</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capable to fall with the incident command structure and</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keep themselves or somebody else from getting hurt or</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killed on that fire. The fire on Main Street was not your</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average, everyday single-wide trailer fire that you would</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go to. That building, that large with that much smoke</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buildup, and that much fire involvement could easily get</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somebody hurt or killed. With previous experience with</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Quicksand, they have put – and they do not fall within</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the incident command structure, will not listen to</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anything anybody tells them to do, which violates all</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National Incident Management System practices</w:t>
      </w:r>
      <w:r>
        <w:rPr>
          <w:rFonts w:ascii="Times New Roman" w:hAnsi="Times New Roman"/>
          <w:sz w:val="24"/>
          <w:szCs w:val="24"/>
          <w:shd w:val="clear" w:color="auto" w:fill="FFFFFF"/>
        </w:rPr>
        <w:t>.</w:t>
      </w:r>
    </w:p>
    <w:p w14:paraId="6B139BC0" w14:textId="77777777" w:rsidR="00291569" w:rsidRDefault="00291569" w:rsidP="00291569">
      <w:pPr>
        <w:pStyle w:val="NoSpacing"/>
        <w:ind w:left="1440"/>
        <w:rPr>
          <w:rFonts w:ascii="Times New Roman" w:hAnsi="Times New Roman"/>
          <w:sz w:val="24"/>
          <w:szCs w:val="24"/>
          <w:shd w:val="clear" w:color="auto" w:fill="FFFFFF"/>
        </w:rPr>
      </w:pPr>
    </w:p>
    <w:p w14:paraId="6A4B139A"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5D3BE8B7" w14:textId="77777777" w:rsidR="00291569" w:rsidRDefault="00291569" w:rsidP="00291569">
      <w:pPr>
        <w:pStyle w:val="NoSpacing"/>
        <w:ind w:left="720"/>
        <w:rPr>
          <w:rFonts w:ascii="Times New Roman" w:hAnsi="Times New Roman"/>
          <w:sz w:val="24"/>
          <w:szCs w:val="24"/>
          <w:shd w:val="clear" w:color="auto" w:fill="FFFFFF"/>
        </w:rPr>
      </w:pPr>
    </w:p>
    <w:p w14:paraId="5E5B924A" w14:textId="77777777" w:rsidR="00291569" w:rsidRDefault="00291569" w:rsidP="00291569">
      <w:pPr>
        <w:pStyle w:val="NoSpacing"/>
        <w:ind w:left="720"/>
        <w:rPr>
          <w:rFonts w:ascii="Times New Roman" w:hAnsi="Times New Roman"/>
          <w:sz w:val="24"/>
          <w:szCs w:val="24"/>
          <w:shd w:val="clear" w:color="auto" w:fill="FFFFFF"/>
        </w:rPr>
      </w:pPr>
      <w:r w:rsidRPr="00897E8C">
        <w:rPr>
          <w:rFonts w:ascii="Times New Roman" w:hAnsi="Times New Roman"/>
          <w:sz w:val="24"/>
          <w:szCs w:val="24"/>
          <w:shd w:val="clear" w:color="auto" w:fill="FFFFFF"/>
        </w:rPr>
        <w:t>Combs was unable to show a breach of any ministerial duty to inspect</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and maintain the fire hydrants in the city by Deaton in his job of fire chief nor any</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causation between the water available at the location of the hydrant as compared to</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other water sources.</w:t>
      </w:r>
      <w:r>
        <w:rPr>
          <w:rFonts w:ascii="Times New Roman" w:hAnsi="Times New Roman"/>
          <w:sz w:val="24"/>
          <w:szCs w:val="24"/>
          <w:shd w:val="clear" w:color="auto" w:fill="FFFFFF"/>
        </w:rPr>
        <w:t>”</w:t>
      </w:r>
    </w:p>
    <w:p w14:paraId="0C496BD5" w14:textId="77777777" w:rsidR="00291569" w:rsidRDefault="00291569" w:rsidP="002B1283">
      <w:pPr>
        <w:rPr>
          <w:rStyle w:val="Hyperlink"/>
          <w:rFonts w:ascii="Arial Black" w:hAnsi="Arial Black"/>
          <w:b/>
          <w:color w:val="auto"/>
          <w:sz w:val="24"/>
          <w:szCs w:val="24"/>
          <w:u w:val="none"/>
        </w:rPr>
      </w:pPr>
    </w:p>
    <w:p w14:paraId="5FDCA7DD" w14:textId="77777777" w:rsidR="0038005B" w:rsidRDefault="0038005B" w:rsidP="0038005B">
      <w:pPr>
        <w:pStyle w:val="NoSpacing"/>
        <w:rPr>
          <w:rFonts w:ascii="Times New Roman" w:hAnsi="Times New Roman"/>
          <w:b/>
          <w:bCs/>
          <w:sz w:val="24"/>
          <w:szCs w:val="24"/>
          <w:shd w:val="clear" w:color="auto" w:fill="FFFFFF"/>
        </w:rPr>
      </w:pPr>
      <w:r w:rsidRPr="00011B41">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 xml:space="preserve">Fire Chief has qualified immunity in making discretionary decisions in good faith, including rejecting mutual aid from </w:t>
      </w:r>
      <w:proofErr w:type="gramStart"/>
      <w:r>
        <w:rPr>
          <w:rFonts w:ascii="Times New Roman" w:hAnsi="Times New Roman"/>
          <w:b/>
          <w:bCs/>
          <w:sz w:val="24"/>
          <w:szCs w:val="24"/>
          <w:shd w:val="clear" w:color="auto" w:fill="FFFFFF"/>
        </w:rPr>
        <w:t>a FD</w:t>
      </w:r>
      <w:proofErr w:type="gramEnd"/>
      <w:r>
        <w:rPr>
          <w:rFonts w:ascii="Times New Roman" w:hAnsi="Times New Roman"/>
          <w:b/>
          <w:bCs/>
          <w:sz w:val="24"/>
          <w:szCs w:val="24"/>
          <w:shd w:val="clear" w:color="auto" w:fill="FFFFFF"/>
        </w:rPr>
        <w:t xml:space="preserve"> that does not follow incident command. </w:t>
      </w:r>
    </w:p>
    <w:p w14:paraId="135FDE37" w14:textId="77777777" w:rsidR="0038005B" w:rsidRDefault="0038005B" w:rsidP="002B1283">
      <w:pPr>
        <w:rPr>
          <w:rStyle w:val="Hyperlink"/>
          <w:rFonts w:ascii="Arial Black" w:hAnsi="Arial Black"/>
          <w:b/>
          <w:color w:val="auto"/>
          <w:sz w:val="24"/>
          <w:szCs w:val="24"/>
          <w:u w:val="none"/>
        </w:rPr>
      </w:pPr>
    </w:p>
    <w:p w14:paraId="16CCE250" w14:textId="77777777" w:rsidR="00291569" w:rsidRDefault="00291569" w:rsidP="002B1283">
      <w:pPr>
        <w:rPr>
          <w:rStyle w:val="Hyperlink"/>
          <w:rFonts w:ascii="Arial Black" w:hAnsi="Arial Black"/>
          <w:b/>
          <w:color w:val="auto"/>
          <w:sz w:val="24"/>
          <w:szCs w:val="24"/>
          <w:u w:val="none"/>
        </w:rPr>
      </w:pPr>
    </w:p>
    <w:p w14:paraId="56C6B570" w14:textId="680EB1EE" w:rsidR="00DA1A0E" w:rsidRDefault="00DA1A0E"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4-38</w:t>
      </w:r>
    </w:p>
    <w:p w14:paraId="6145F2A6" w14:textId="65A93D2E" w:rsidR="004854DD" w:rsidRPr="00346517" w:rsidRDefault="004854DD" w:rsidP="004854DD">
      <w:pPr>
        <w:pStyle w:val="NormalWeb"/>
        <w:rPr>
          <w:rFonts w:ascii="Arial Black" w:hAnsi="Arial Black"/>
          <w:sz w:val="28"/>
          <w:szCs w:val="28"/>
        </w:rPr>
      </w:pPr>
      <w:r>
        <w:rPr>
          <w:rFonts w:ascii="Arial Black" w:hAnsi="Arial Black"/>
          <w:sz w:val="28"/>
          <w:szCs w:val="28"/>
        </w:rPr>
        <w:t>NC: FIRE 2-STORY BLDG – 4 TEENAGERS DIED -  911 “HUNKER DOWN” – $9 MILLION – 2 INSUR. CO. PAY</w:t>
      </w:r>
    </w:p>
    <w:p w14:paraId="537AAA83" w14:textId="77777777" w:rsidR="004854DD" w:rsidRDefault="004854DD" w:rsidP="004854DD">
      <w:pPr>
        <w:pStyle w:val="NormalWeb"/>
      </w:pPr>
      <w:r>
        <w:t xml:space="preserve">On March 13, 2024, </w:t>
      </w:r>
      <w:r w:rsidRPr="009D242E">
        <w:rPr>
          <w:u w:val="single"/>
        </w:rPr>
        <w:t xml:space="preserve">in </w:t>
      </w:r>
      <w:proofErr w:type="spellStart"/>
      <w:r w:rsidRPr="009D242E">
        <w:rPr>
          <w:u w:val="single"/>
        </w:rPr>
        <w:t>Velers</w:t>
      </w:r>
      <w:proofErr w:type="spellEnd"/>
      <w:r w:rsidRPr="009D242E">
        <w:rPr>
          <w:u w:val="single"/>
        </w:rPr>
        <w:t xml:space="preserve"> Indemnity The Travelers Indemnity Company v. American Alternative Insurance Corporation</w:t>
      </w:r>
      <w:r>
        <w:t>, United States District Court Judge Loretta C. Biggs, U.S. District Court for Middle District of North Carolina, held that after Travelers (insured Surry County) settled for policy limit ($9 million), is entitled to $1 million contribution from AAIC (insured Surry County Emergency Services) for the May 20, 2019 fire at two-story apartment building where four teenagers died of smoke inhalation. The 911 Dispatcher advised the caller to “hunker down and shelter in place,” promising that she and the other Victims would be rescued.  Court agreed with Travelers that the 911 Operators were performing operations “incidental to” the emergency services provided by S.C. Emergency Services and are therefore covered by the AAIC policies.</w:t>
      </w:r>
    </w:p>
    <w:p w14:paraId="1EC08086"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3EC461F" w14:textId="77777777" w:rsidR="004854DD" w:rsidRDefault="004854DD" w:rsidP="004854DD">
      <w:pPr>
        <w:pStyle w:val="NormalWeb"/>
        <w:ind w:left="720"/>
      </w:pPr>
      <w:r>
        <w:t>“Plaintiff The Travelers Indemnity Company (‘Travelers’) initiated this action under the Declaratory Judgment Act, 28 U.S.C. § 2201, seeking a declaratory judgment against American Alternative Insurance Corporation (‘AAIC’), alleging that AAIC failed to fulfill its obligation to contribute to the defense and settlement of two underlying state actions involving AAIC's insured, Surry County, and its employees.</w:t>
      </w:r>
    </w:p>
    <w:p w14:paraId="3A4AE7A2" w14:textId="77777777" w:rsidR="004854DD" w:rsidRDefault="004854DD" w:rsidP="004854DD">
      <w:pPr>
        <w:pStyle w:val="NormalWeb"/>
        <w:ind w:left="720"/>
      </w:pPr>
      <w:r>
        <w:t>***</w:t>
      </w:r>
    </w:p>
    <w:p w14:paraId="66A4F98E" w14:textId="77777777" w:rsidR="004854DD" w:rsidRDefault="004854DD" w:rsidP="004854DD">
      <w:pPr>
        <w:pStyle w:val="NormalWeb"/>
        <w:ind w:left="720"/>
      </w:pPr>
      <w:r>
        <w:t>In sum, the Court concludes that AAIC is required to contribute to the settlement of the Underlying Lawsuits with respect to its AAIC General Liability Policy in the amount of $1,000,000.”</w:t>
      </w:r>
    </w:p>
    <w:p w14:paraId="0B608483" w14:textId="77777777" w:rsidR="004854DD" w:rsidRPr="00396FA2" w:rsidRDefault="004854DD" w:rsidP="004854DD">
      <w:pPr>
        <w:pStyle w:val="NormalWeb"/>
        <w:rPr>
          <w:b/>
          <w:bCs/>
        </w:rPr>
      </w:pPr>
      <w:r w:rsidRPr="00396FA2">
        <w:rPr>
          <w:b/>
          <w:bCs/>
        </w:rPr>
        <w:t>Legal Lesson Learned</w:t>
      </w:r>
      <w:r>
        <w:rPr>
          <w:b/>
          <w:bCs/>
        </w:rPr>
        <w:t>: 911 Dispatchers should review their policy regarding advice to victims trapped in 2</w:t>
      </w:r>
      <w:r w:rsidRPr="00396FA2">
        <w:rPr>
          <w:b/>
          <w:bCs/>
          <w:vertAlign w:val="superscript"/>
        </w:rPr>
        <w:t>nd</w:t>
      </w:r>
      <w:r>
        <w:rPr>
          <w:b/>
          <w:bCs/>
        </w:rPr>
        <w:t xml:space="preserve"> floor apartment fire. </w:t>
      </w:r>
    </w:p>
    <w:p w14:paraId="10C85728" w14:textId="77777777" w:rsidR="004854DD" w:rsidRDefault="004854DD" w:rsidP="004854DD">
      <w:pPr>
        <w:pStyle w:val="NormalWeb"/>
        <w:rPr>
          <w:rFonts w:ascii="Arial Black" w:hAnsi="Arial Black"/>
          <w:sz w:val="28"/>
          <w:szCs w:val="28"/>
        </w:rPr>
      </w:pPr>
    </w:p>
    <w:p w14:paraId="4B894895" w14:textId="77777777" w:rsidR="004854DD" w:rsidRDefault="004854DD" w:rsidP="002B1283">
      <w:pPr>
        <w:rPr>
          <w:rStyle w:val="Hyperlink"/>
          <w:rFonts w:ascii="Arial Black" w:hAnsi="Arial Black"/>
          <w:b/>
          <w:color w:val="auto"/>
          <w:sz w:val="24"/>
          <w:szCs w:val="24"/>
          <w:u w:val="none"/>
        </w:rPr>
      </w:pPr>
    </w:p>
    <w:p w14:paraId="670DCF69" w14:textId="77777777" w:rsidR="00DA1A0E" w:rsidRDefault="00DA1A0E" w:rsidP="002B1283">
      <w:pPr>
        <w:rPr>
          <w:rStyle w:val="Hyperlink"/>
          <w:rFonts w:ascii="Arial Black" w:hAnsi="Arial Black"/>
          <w:b/>
          <w:color w:val="auto"/>
          <w:sz w:val="24"/>
          <w:szCs w:val="24"/>
          <w:u w:val="none"/>
        </w:rPr>
      </w:pPr>
    </w:p>
    <w:p w14:paraId="65E445A6" w14:textId="1E4F6621" w:rsidR="005E33B5" w:rsidRDefault="005E33B5"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4-37</w:t>
      </w:r>
    </w:p>
    <w:p w14:paraId="7AB8273E" w14:textId="77777777" w:rsidR="002D4402" w:rsidRPr="00A00DF4" w:rsidRDefault="002D4402" w:rsidP="002D4402">
      <w:pPr>
        <w:pStyle w:val="NormalWeb"/>
        <w:rPr>
          <w:rFonts w:ascii="Arial Black" w:hAnsi="Arial Black"/>
          <w:sz w:val="28"/>
          <w:szCs w:val="28"/>
        </w:rPr>
      </w:pPr>
      <w:r>
        <w:rPr>
          <w:rFonts w:ascii="Arial Black" w:hAnsi="Arial Black"/>
          <w:sz w:val="28"/>
          <w:szCs w:val="28"/>
        </w:rPr>
        <w:t xml:space="preserve">TX: MAN INVADES HOME - POLICE EXPLOSIVE DEVICES, SUICIDE – JURY $60K DAMAGE – REVERSED – EMERGENCY </w:t>
      </w:r>
    </w:p>
    <w:p w14:paraId="05C680D2" w14:textId="3F5B37AF" w:rsidR="002D4402" w:rsidRDefault="002D4402" w:rsidP="002D4402">
      <w:pPr>
        <w:pStyle w:val="NormalWeb"/>
      </w:pPr>
      <w:r>
        <w:t xml:space="preserve">On Feb. 14, 2024, in </w:t>
      </w:r>
      <w:r w:rsidRPr="00001DEA">
        <w:rPr>
          <w:u w:val="single"/>
        </w:rPr>
        <w:t>Vickie Baker v. City of McKinney, Texas</w:t>
      </w:r>
      <w:r>
        <w:t>, the U.S. Court of Appeals for Fifth Circuit (New Orleans) refused to re-</w:t>
      </w:r>
      <w:proofErr w:type="gramStart"/>
      <w:r>
        <w:t>hear</w:t>
      </w:r>
      <w:proofErr w:type="gramEnd"/>
      <w:r>
        <w:t xml:space="preserve"> </w:t>
      </w:r>
      <w:proofErr w:type="spellStart"/>
      <w:r>
        <w:t>en</w:t>
      </w:r>
      <w:proofErr w:type="spellEnd"/>
      <w:r>
        <w:t xml:space="preserve"> banc (all the judges; 11 voted against re-hearing; 6 voted for rehearing) the </w:t>
      </w:r>
      <w:proofErr w:type="gramStart"/>
      <w:r>
        <w:t>home owner’s</w:t>
      </w:r>
      <w:proofErr w:type="gramEnd"/>
      <w:r>
        <w:t xml:space="preserve"> appeal to 3-judge panel decision that the City does not need to reimburse her for damage they caused because it was an emergency response to protect the public.  Her homeowner’s insurance also denied coverage under the terms of its policy.  </w:t>
      </w:r>
      <w:hyperlink r:id="rId897" w:history="1">
        <w:r w:rsidR="008D1A90" w:rsidRPr="008D12DC">
          <w:rPr>
            <w:rStyle w:val="Hyperlink"/>
          </w:rPr>
          <w:t>https://caselaw.findlaw.com/court/us-5th-circuit/115838888.html</w:t>
        </w:r>
      </w:hyperlink>
      <w:r w:rsidR="008D1A90">
        <w:t xml:space="preserve"> </w:t>
      </w:r>
    </w:p>
    <w:p w14:paraId="05FB0945" w14:textId="63DFDB24" w:rsidR="00E65362" w:rsidRDefault="00E65362" w:rsidP="002D4402">
      <w:pPr>
        <w:pStyle w:val="NormalWeb"/>
      </w:pPr>
      <w:r w:rsidRPr="00E65362">
        <w:t xml:space="preserve">84 F.4th 378 (5th Cir. 2023), </w:t>
      </w:r>
      <w:r w:rsidRPr="00E65362">
        <w:rPr>
          <w:i/>
          <w:iCs/>
        </w:rPr>
        <w:t>reh’g denied</w:t>
      </w:r>
      <w:r w:rsidRPr="00E65362">
        <w:t>, 93 F.4th 251 (5th Cir. 2024).</w:t>
      </w:r>
    </w:p>
    <w:p w14:paraId="2B489F2E" w14:textId="77777777" w:rsidR="002D4402" w:rsidRDefault="002D4402" w:rsidP="002D4402">
      <w:pPr>
        <w:pStyle w:val="NormalWeb"/>
      </w:pPr>
      <w:r>
        <w:t xml:space="preserve">Three judges’ dissenting opinion: </w:t>
      </w:r>
    </w:p>
    <w:p w14:paraId="1C0F659B" w14:textId="77777777" w:rsidR="002D4402" w:rsidRDefault="002D4402" w:rsidP="002D4402">
      <w:pPr>
        <w:pStyle w:val="NormalWeb"/>
        <w:ind w:left="720"/>
      </w:pPr>
      <w:r>
        <w:t>“</w:t>
      </w:r>
      <w:proofErr w:type="gramStart"/>
      <w:r>
        <w:t>So</w:t>
      </w:r>
      <w:proofErr w:type="gramEnd"/>
      <w:r>
        <w:t xml:space="preserve"> Vicki Baker understandably invoked that [Fifth] Amendment to recover from the City of McKinney the tens of thousands of dollars of property damage she suffered </w:t>
      </w:r>
      <w:proofErr w:type="gramStart"/>
      <w:r>
        <w:t>as a result of</w:t>
      </w:r>
      <w:proofErr w:type="gramEnd"/>
      <w:r>
        <w:t xml:space="preserve"> McKinney police efforts to protect the community from a fugitive that sought cover in her home. The (3-judge) panel expressed ‘sympathy’ for Baker. But it denied her claim based on the novel holding that history and tradition recognize a ‘necessity’ exception to the otherwise broad protections of the Takings Clause. We are unsure whether such a privilege exists. Even if it does, we find the panel's reasoning unsatisfactory—perhaps unsurprisingly because the panel reached its ostensibly originalist conclusion without the benefit of briefing on the historical evidence. We therefore respectfully regret this court's decision to deny rehearing </w:t>
      </w:r>
      <w:proofErr w:type="spellStart"/>
      <w:r>
        <w:t>en</w:t>
      </w:r>
      <w:proofErr w:type="spellEnd"/>
      <w:r>
        <w:t xml:space="preserve"> banc.”</w:t>
      </w:r>
    </w:p>
    <w:p w14:paraId="579E4567" w14:textId="77777777" w:rsidR="002D4402" w:rsidRPr="00E50C20" w:rsidRDefault="002D4402" w:rsidP="002D4402">
      <w:pPr>
        <w:pStyle w:val="NormalWeb"/>
        <w:rPr>
          <w:b/>
          <w:bCs/>
        </w:rPr>
      </w:pPr>
      <w:r w:rsidRPr="00E50C20">
        <w:rPr>
          <w:b/>
          <w:bCs/>
        </w:rPr>
        <w:t xml:space="preserve">Legal Lesson Learned: </w:t>
      </w:r>
      <w:r>
        <w:rPr>
          <w:b/>
          <w:bCs/>
        </w:rPr>
        <w:t xml:space="preserve">Courts have long recognized the emergency exception for municipal  tort liability. </w:t>
      </w:r>
    </w:p>
    <w:p w14:paraId="6DD95CA7" w14:textId="77777777" w:rsidR="002D4402" w:rsidRDefault="002D4402" w:rsidP="002D4402">
      <w:pPr>
        <w:pStyle w:val="NormalWeb"/>
        <w:ind w:left="720"/>
      </w:pPr>
      <w:r>
        <w:t>Note:   The Court in this case referenced history of stooping spread of fires in London by taking down neighboring buildings.</w:t>
      </w:r>
    </w:p>
    <w:p w14:paraId="46C46383" w14:textId="77777777" w:rsidR="002D4402" w:rsidRDefault="002D4402" w:rsidP="002D4402">
      <w:pPr>
        <w:pStyle w:val="NormalWeb"/>
        <w:ind w:left="1440"/>
      </w:pPr>
      <w:r>
        <w:t xml:space="preserve">“The destruction wrought by municipal fires before the rise of modern fire codes was often great, see </w:t>
      </w:r>
      <w:proofErr w:type="spellStart"/>
      <w:r>
        <w:t>Respublica</w:t>
      </w:r>
      <w:proofErr w:type="spellEnd"/>
      <w:r>
        <w:t xml:space="preserve">, 1 U.S. at 363 (noting half of London was burnt in the great fire of 1666), and the razing of buildings was the principal means to stop the spread. But razing buildings </w:t>
      </w:r>
      <w:proofErr w:type="gramStart"/>
      <w:r>
        <w:t>is</w:t>
      </w:r>
      <w:proofErr w:type="gramEnd"/>
      <w:r>
        <w:t xml:space="preserve"> tortious. </w:t>
      </w:r>
      <w:proofErr w:type="gramStart"/>
      <w:r>
        <w:t>So</w:t>
      </w:r>
      <w:proofErr w:type="gramEnd"/>
      <w:r>
        <w:t xml:space="preserve"> absent some privilege, an individual—whether a public official or a private citizen—who razed a building would be individually liable in tort. Obviously, a rule that stuck individuals with liability for interventions taken to halt conflagrations would deter public promoting behavior from all but the most heroic, no matter how much good could have been achieved through a well-calculated intervention. And it would seem unfair to hold people liable for doing what was necessary to cope with an emergency. So common law courts fashioned a rule to allow individuals to tear down property when doing so was reasonably necessary to prevent the spread of a fire. See Field, 39 Iowa at 577– 78 (citing, inter alia, Mouse's Case, 12 Coke Rep. 63 (1608)); see also Bowditch v. Boston, 101 U.S. 16, 25 </w:t>
      </w:r>
      <w:proofErr w:type="spellStart"/>
      <w:r>
        <w:t>L.Ed</w:t>
      </w:r>
      <w:proofErr w:type="spellEnd"/>
      <w:r>
        <w:t>. 980 (1879) (finding a public necessity privilege in Massachusetts law).”</w:t>
      </w:r>
    </w:p>
    <w:p w14:paraId="772A6158" w14:textId="77777777" w:rsidR="002D4402" w:rsidRDefault="002D4402" w:rsidP="002D4402">
      <w:pPr>
        <w:pStyle w:val="NormalWeb"/>
        <w:ind w:left="720"/>
      </w:pPr>
      <w:r>
        <w:t xml:space="preserve">Read the Oct. 11, </w:t>
      </w:r>
      <w:proofErr w:type="gramStart"/>
      <w:r>
        <w:t>2023</w:t>
      </w:r>
      <w:proofErr w:type="gramEnd"/>
      <w:r>
        <w:t xml:space="preserve"> panel decision: </w:t>
      </w:r>
      <w:hyperlink r:id="rId898" w:history="1">
        <w:r w:rsidRPr="00E007C4">
          <w:rPr>
            <w:rStyle w:val="Hyperlink"/>
          </w:rPr>
          <w:t>https://cases.justia.com/federal/appellate-courts/ca5/22-40644/22-40644-2023-10-11.pdf?ts=1697067069</w:t>
        </w:r>
      </w:hyperlink>
      <w:r>
        <w:t xml:space="preserve"> </w:t>
      </w:r>
    </w:p>
    <w:p w14:paraId="2E74A390" w14:textId="2409239F" w:rsidR="002C0E67" w:rsidRDefault="00E66578" w:rsidP="002D4402">
      <w:pPr>
        <w:pStyle w:val="NormalWeb"/>
        <w:ind w:left="720"/>
      </w:pPr>
      <w:r>
        <w:t xml:space="preserve">See Harvard Law School article, June 2024. </w:t>
      </w:r>
      <w:hyperlink r:id="rId899" w:history="1">
        <w:r w:rsidR="00EC5C38" w:rsidRPr="008D12DC">
          <w:rPr>
            <w:rStyle w:val="Hyperlink"/>
          </w:rPr>
          <w:t>https://harvardlawreview.org/print/vol-137/baker-v-city-of-mckinney/</w:t>
        </w:r>
      </w:hyperlink>
      <w:r w:rsidR="00EC5C38">
        <w:t xml:space="preserve"> </w:t>
      </w:r>
    </w:p>
    <w:p w14:paraId="18583D89" w14:textId="2CC5CFDB" w:rsidR="005E33B5" w:rsidRPr="00146711" w:rsidRDefault="00146711" w:rsidP="00146711">
      <w:pPr>
        <w:ind w:left="720"/>
        <w:rPr>
          <w:rStyle w:val="Hyperlink"/>
          <w:rFonts w:ascii="Times New Roman" w:hAnsi="Times New Roman"/>
          <w:bCs/>
          <w:color w:val="auto"/>
          <w:sz w:val="24"/>
          <w:szCs w:val="24"/>
          <w:u w:val="none"/>
        </w:rPr>
      </w:pPr>
      <w:r w:rsidRPr="00146711">
        <w:rPr>
          <w:rStyle w:val="Hyperlink"/>
          <w:rFonts w:ascii="Times New Roman" w:hAnsi="Times New Roman"/>
          <w:bCs/>
          <w:color w:val="auto"/>
          <w:sz w:val="24"/>
          <w:szCs w:val="24"/>
          <w:u w:val="none"/>
        </w:rPr>
        <w:t xml:space="preserve">See amicus brief, Aug. 1, </w:t>
      </w:r>
      <w:proofErr w:type="gramStart"/>
      <w:r w:rsidRPr="00146711">
        <w:rPr>
          <w:rStyle w:val="Hyperlink"/>
          <w:rFonts w:ascii="Times New Roman" w:hAnsi="Times New Roman"/>
          <w:bCs/>
          <w:color w:val="auto"/>
          <w:sz w:val="24"/>
          <w:szCs w:val="24"/>
          <w:u w:val="none"/>
        </w:rPr>
        <w:t>2024</w:t>
      </w:r>
      <w:proofErr w:type="gramEnd"/>
      <w:r w:rsidRPr="00146711">
        <w:rPr>
          <w:rStyle w:val="Hyperlink"/>
          <w:rFonts w:ascii="Times New Roman" w:hAnsi="Times New Roman"/>
          <w:bCs/>
          <w:color w:val="auto"/>
          <w:sz w:val="24"/>
          <w:szCs w:val="24"/>
          <w:u w:val="none"/>
        </w:rPr>
        <w:t xml:space="preserve"> filed with U.S. Supreme Court: </w:t>
      </w:r>
      <w:hyperlink r:id="rId900" w:history="1">
        <w:r w:rsidRPr="008D12DC">
          <w:rPr>
            <w:rStyle w:val="Hyperlink"/>
            <w:rFonts w:ascii="Times New Roman" w:hAnsi="Times New Roman"/>
            <w:bCs/>
            <w:sz w:val="24"/>
            <w:szCs w:val="24"/>
          </w:rPr>
          <w:t>https://www.supremecourt.gov/DocketPDF/23/23-1363/321368/20240801101848884_Baker%20v.%20City%20of%20McKinney_%20Texas%20-%20Amicus%20Brief%20in%20Support%20of%20Petitioner.pdf</w:t>
        </w:r>
      </w:hyperlink>
      <w:r w:rsidRPr="00146711">
        <w:rPr>
          <w:rStyle w:val="Hyperlink"/>
          <w:rFonts w:ascii="Times New Roman" w:hAnsi="Times New Roman"/>
          <w:bCs/>
          <w:color w:val="auto"/>
          <w:sz w:val="24"/>
          <w:szCs w:val="24"/>
          <w:u w:val="none"/>
        </w:rPr>
        <w:t xml:space="preserve"> </w:t>
      </w:r>
    </w:p>
    <w:p w14:paraId="774DBEA4" w14:textId="0CA7B1AF" w:rsidR="00233F5D" w:rsidRDefault="00B83C64"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4-36</w:t>
      </w:r>
    </w:p>
    <w:p w14:paraId="15683429" w14:textId="77777777" w:rsidR="008041EF" w:rsidRPr="00CE417E" w:rsidRDefault="008041EF" w:rsidP="008041EF">
      <w:pPr>
        <w:pStyle w:val="NormalWeb"/>
        <w:rPr>
          <w:rFonts w:ascii="Arial Black" w:hAnsi="Arial Black"/>
          <w:sz w:val="28"/>
          <w:szCs w:val="28"/>
        </w:rPr>
      </w:pPr>
      <w:r>
        <w:rPr>
          <w:rFonts w:ascii="Arial Black" w:hAnsi="Arial Black"/>
          <w:sz w:val="28"/>
          <w:szCs w:val="28"/>
        </w:rPr>
        <w:t>NV: FOREST FIRE – FIRST 11 DAYS FOREST SERVICE ONLY “MONITORED” - 18 PROPERTY OWNERS – CASE DISMISSED</w:t>
      </w:r>
    </w:p>
    <w:p w14:paraId="59A5B480" w14:textId="77777777" w:rsidR="008041EF" w:rsidRDefault="008041EF" w:rsidP="008041EF">
      <w:pPr>
        <w:pStyle w:val="NormalWeb"/>
      </w:pPr>
      <w:r>
        <w:t xml:space="preserve">On Jan. 23, 2024, in </w:t>
      </w:r>
      <w:r w:rsidRPr="00104D81">
        <w:rPr>
          <w:u w:val="single"/>
        </w:rPr>
        <w:t>Tyrone R. Atwater v. The United States of America</w:t>
      </w:r>
      <w:r>
        <w:t xml:space="preserve">, U.S. District Court Judge William B. </w:t>
      </w:r>
      <w:proofErr w:type="spellStart"/>
      <w:r>
        <w:t>Shubb</w:t>
      </w:r>
      <w:proofErr w:type="spellEnd"/>
      <w:r>
        <w:t xml:space="preserve">, U.S. District Court for Eastern District of California, granted the Government’s motion to dismiss.  Federal Tort Claims Act does not allow claims based on government discretionary decisions, such as “monitoring” a fire in rural area, and only posting one warning on its Facebook page.  </w:t>
      </w:r>
    </w:p>
    <w:p w14:paraId="450A87C3" w14:textId="77777777" w:rsidR="008041EF" w:rsidRDefault="008041EF" w:rsidP="008041EF">
      <w:pPr>
        <w:pStyle w:val="NormalWeb"/>
        <w:ind w:left="720"/>
      </w:pPr>
      <w:r>
        <w:t>“</w:t>
      </w:r>
      <w:r w:rsidRPr="008B4B32">
        <w:t>The decision to adopt the monitoring strategy exudes</w:t>
      </w:r>
      <w:r>
        <w:t xml:space="preserve"> </w:t>
      </w:r>
      <w:r w:rsidRPr="008B4B32">
        <w:t xml:space="preserve">policy deliberations that are </w:t>
      </w:r>
      <w:r>
        <w:t>‘</w:t>
      </w:r>
      <w:r w:rsidRPr="008B4B32">
        <w:t>quintessentially discretionary,</w:t>
      </w:r>
      <w:r>
        <w:t xml:space="preserve">’ </w:t>
      </w:r>
      <w:r w:rsidRPr="008B4B32">
        <w:t>Knezovich, 82 F.4th at 938, and therefore beyond the scrutiny of</w:t>
      </w:r>
      <w:r>
        <w:t xml:space="preserve"> </w:t>
      </w:r>
      <w:r w:rsidRPr="008B4B32">
        <w:t>this court</w:t>
      </w:r>
      <w:r>
        <w:t xml:space="preserve">. </w:t>
      </w:r>
      <w:r w:rsidRPr="008B4B32">
        <w:t>Accordingly, the court will dismiss plaintiffs’</w:t>
      </w:r>
      <w:r>
        <w:t xml:space="preserve"> </w:t>
      </w:r>
      <w:r w:rsidRPr="008B4B32">
        <w:t xml:space="preserve">negligence, negligence per se, and trespass </w:t>
      </w:r>
      <w:proofErr w:type="gramStart"/>
      <w:r w:rsidRPr="008B4B32">
        <w:t>claims.</w:t>
      </w:r>
      <w:r>
        <w:t>”</w:t>
      </w:r>
      <w:proofErr w:type="gramEnd"/>
      <w:r>
        <w:t xml:space="preserve"> </w:t>
      </w:r>
      <w:hyperlink r:id="rId901" w:history="1">
        <w:r w:rsidRPr="00523F27">
          <w:rPr>
            <w:rStyle w:val="Hyperlink"/>
          </w:rPr>
          <w:t>https://cases.justia.com/federal/district-courts/california/caedce/2:2023cv01147/429644/22/0.pdf?ts=1706172863</w:t>
        </w:r>
      </w:hyperlink>
      <w:r>
        <w:t xml:space="preserve"> </w:t>
      </w:r>
    </w:p>
    <w:p w14:paraId="213B2765" w14:textId="77777777" w:rsidR="00AF2973" w:rsidRDefault="00AF2973" w:rsidP="00AF2973">
      <w:pPr>
        <w:pStyle w:val="NormalWeb"/>
        <w:rPr>
          <w:b/>
          <w:bCs/>
        </w:rPr>
      </w:pPr>
      <w:r w:rsidRPr="005B048C">
        <w:rPr>
          <w:b/>
          <w:bCs/>
        </w:rPr>
        <w:t xml:space="preserve">Legal Lesson Learned: </w:t>
      </w:r>
      <w:r>
        <w:rPr>
          <w:b/>
          <w:bCs/>
        </w:rPr>
        <w:t xml:space="preserve">Discretionary decisions on when to let forest fire burn, and what notice to provide to public, are exceptions to Federal Tort Claims Act. </w:t>
      </w:r>
    </w:p>
    <w:p w14:paraId="05D66838" w14:textId="77777777" w:rsidR="00B83C64" w:rsidRDefault="00B83C64" w:rsidP="002B1283">
      <w:pPr>
        <w:rPr>
          <w:rStyle w:val="Hyperlink"/>
          <w:rFonts w:ascii="Arial Black" w:hAnsi="Arial Black"/>
          <w:b/>
          <w:color w:val="auto"/>
          <w:sz w:val="24"/>
          <w:szCs w:val="24"/>
          <w:u w:val="none"/>
        </w:rPr>
      </w:pPr>
    </w:p>
    <w:p w14:paraId="0C340365" w14:textId="77777777" w:rsidR="00B83C64" w:rsidRDefault="00B83C64" w:rsidP="002B1283">
      <w:pPr>
        <w:rPr>
          <w:rStyle w:val="Hyperlink"/>
          <w:rFonts w:ascii="Arial Black" w:hAnsi="Arial Black"/>
          <w:b/>
          <w:color w:val="auto"/>
          <w:sz w:val="24"/>
          <w:szCs w:val="24"/>
          <w:u w:val="none"/>
        </w:rPr>
      </w:pPr>
    </w:p>
    <w:p w14:paraId="5DB72DA1" w14:textId="0D68E55E" w:rsidR="00233F5D" w:rsidRDefault="00233F5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4-35</w:t>
      </w:r>
    </w:p>
    <w:p w14:paraId="61A0B5CE" w14:textId="77777777" w:rsidR="002917C5" w:rsidRPr="00EF2302" w:rsidRDefault="002917C5" w:rsidP="002917C5">
      <w:pPr>
        <w:pStyle w:val="NormalWeb"/>
        <w:rPr>
          <w:rFonts w:ascii="Arial Black" w:hAnsi="Arial Black"/>
          <w:sz w:val="28"/>
          <w:szCs w:val="28"/>
        </w:rPr>
      </w:pPr>
      <w:r>
        <w:rPr>
          <w:rFonts w:ascii="Arial Black" w:hAnsi="Arial Black"/>
          <w:sz w:val="28"/>
          <w:szCs w:val="28"/>
        </w:rPr>
        <w:t xml:space="preserve">IN: NEW “BUFFER LAW” UPHELD – POLICE CAN ORDER CITIZENS, INCLUDING WITH CAMERAS - BACK 25 FEET  </w:t>
      </w:r>
    </w:p>
    <w:p w14:paraId="6D6B9120" w14:textId="77777777" w:rsidR="002917C5" w:rsidRDefault="002917C5" w:rsidP="002917C5">
      <w:pPr>
        <w:pStyle w:val="NormalWeb"/>
      </w:pPr>
      <w:r>
        <w:t xml:space="preserve">On Jan. 12, 2024, in </w:t>
      </w:r>
      <w:r w:rsidRPr="00495A00">
        <w:rPr>
          <w:u w:val="single"/>
        </w:rPr>
        <w:t>Donald Nicodemus v. City of South Bend, Indiana</w:t>
      </w:r>
      <w:r>
        <w:t xml:space="preserve">, U.S. District Court Judge Damon R. Leichty, U.S. District Court for the Northern District of Indiana (South Bend Division) denied the Plaintiff’s motion for a permanent injunction and dismissed the lawsuit. The Court also referenced that Indiana has a “perimeter law” where incident commanders at an emergency scene can set up a perimeter safety zone.  </w:t>
      </w:r>
    </w:p>
    <w:p w14:paraId="52AB6B0A" w14:textId="77777777" w:rsidR="002917C5" w:rsidRDefault="002917C5" w:rsidP="002917C5">
      <w:pPr>
        <w:pStyle w:val="NoSpacing"/>
        <w:ind w:left="720"/>
        <w:rPr>
          <w:rFonts w:ascii="Times New Roman" w:hAnsi="Times New Roman"/>
          <w:sz w:val="24"/>
          <w:szCs w:val="24"/>
        </w:rPr>
      </w:pPr>
      <w:r>
        <w:rPr>
          <w:rFonts w:ascii="Times New Roman" w:hAnsi="Times New Roman"/>
          <w:sz w:val="24"/>
          <w:szCs w:val="24"/>
        </w:rPr>
        <w:t>“</w:t>
      </w:r>
      <w:r w:rsidRPr="004F1D80">
        <w:rPr>
          <w:rFonts w:ascii="Times New Roman" w:hAnsi="Times New Roman"/>
          <w:sz w:val="24"/>
          <w:szCs w:val="24"/>
        </w:rPr>
        <w:t>On July 1, 2023, Indiana’s so-called buffer law took effect, criminalizing as a misdemeanor a</w:t>
      </w:r>
      <w:r>
        <w:rPr>
          <w:rFonts w:ascii="Times New Roman" w:hAnsi="Times New Roman"/>
          <w:sz w:val="24"/>
          <w:szCs w:val="24"/>
        </w:rPr>
        <w:t xml:space="preserve"> </w:t>
      </w:r>
      <w:r w:rsidRPr="004F1D80">
        <w:rPr>
          <w:rFonts w:ascii="Times New Roman" w:hAnsi="Times New Roman"/>
          <w:sz w:val="24"/>
          <w:szCs w:val="24"/>
        </w:rPr>
        <w:t>person’s unlawful encroachment on a police officer’s lawful duties. This buffer law prohibits a person</w:t>
      </w:r>
      <w:r>
        <w:rPr>
          <w:rFonts w:ascii="Times New Roman" w:hAnsi="Times New Roman"/>
          <w:sz w:val="24"/>
          <w:szCs w:val="24"/>
        </w:rPr>
        <w:t xml:space="preserve"> </w:t>
      </w:r>
      <w:r w:rsidRPr="004F1D80">
        <w:rPr>
          <w:rFonts w:ascii="Times New Roman" w:hAnsi="Times New Roman"/>
          <w:sz w:val="24"/>
          <w:szCs w:val="24"/>
        </w:rPr>
        <w:t>from knowingly or intentionally approaching within 25 feet of an officer engaged in his or her lawful</w:t>
      </w:r>
      <w:r>
        <w:rPr>
          <w:rFonts w:ascii="Times New Roman" w:hAnsi="Times New Roman"/>
          <w:sz w:val="24"/>
          <w:szCs w:val="24"/>
        </w:rPr>
        <w:t xml:space="preserve"> </w:t>
      </w:r>
      <w:r w:rsidRPr="004F1D80">
        <w:rPr>
          <w:rFonts w:ascii="Times New Roman" w:hAnsi="Times New Roman"/>
          <w:sz w:val="24"/>
          <w:szCs w:val="24"/>
        </w:rPr>
        <w:t>duties after the officer orders the person to stop approaching. See Ind. Code § 35-44.1-2-14.</w:t>
      </w:r>
    </w:p>
    <w:p w14:paraId="15364690" w14:textId="77777777" w:rsidR="002917C5" w:rsidRDefault="002917C5" w:rsidP="002917C5">
      <w:pPr>
        <w:pStyle w:val="NoSpacing"/>
        <w:rPr>
          <w:rFonts w:ascii="Times New Roman" w:hAnsi="Times New Roman"/>
          <w:sz w:val="24"/>
          <w:szCs w:val="24"/>
        </w:rPr>
      </w:pPr>
    </w:p>
    <w:p w14:paraId="5E3DB350" w14:textId="77777777" w:rsidR="002917C5" w:rsidRDefault="002917C5" w:rsidP="002917C5">
      <w:pPr>
        <w:pStyle w:val="NoSpacing"/>
        <w:ind w:left="720"/>
        <w:rPr>
          <w:rFonts w:ascii="Times New Roman" w:hAnsi="Times New Roman"/>
          <w:sz w:val="24"/>
          <w:szCs w:val="24"/>
        </w:rPr>
      </w:pPr>
      <w:r w:rsidRPr="002829E6">
        <w:rPr>
          <w:rFonts w:ascii="Times New Roman" w:hAnsi="Times New Roman"/>
          <w:sz w:val="24"/>
          <w:szCs w:val="24"/>
        </w:rPr>
        <w:t>Law enforcement officers have jobs to do, and often difficult jobs that require decision</w:t>
      </w:r>
      <w:r>
        <w:rPr>
          <w:rFonts w:ascii="Times New Roman" w:hAnsi="Times New Roman"/>
          <w:sz w:val="24"/>
          <w:szCs w:val="24"/>
        </w:rPr>
        <w:t xml:space="preserve"> </w:t>
      </w:r>
      <w:r w:rsidRPr="002829E6">
        <w:rPr>
          <w:rFonts w:ascii="Times New Roman" w:hAnsi="Times New Roman"/>
          <w:sz w:val="24"/>
          <w:szCs w:val="24"/>
        </w:rPr>
        <w:t>making</w:t>
      </w:r>
      <w:r>
        <w:rPr>
          <w:rFonts w:ascii="Times New Roman" w:hAnsi="Times New Roman"/>
          <w:sz w:val="24"/>
          <w:szCs w:val="24"/>
        </w:rPr>
        <w:t xml:space="preserve"> </w:t>
      </w:r>
      <w:r w:rsidRPr="002829E6">
        <w:rPr>
          <w:rFonts w:ascii="Times New Roman" w:hAnsi="Times New Roman"/>
          <w:sz w:val="24"/>
          <w:szCs w:val="24"/>
        </w:rPr>
        <w:t>in tense, uncertain, fluid, and unsafe circumstances. At the same time, the public has a right to record the</w:t>
      </w:r>
      <w:r>
        <w:rPr>
          <w:rFonts w:ascii="Times New Roman" w:hAnsi="Times New Roman"/>
          <w:sz w:val="24"/>
          <w:szCs w:val="24"/>
        </w:rPr>
        <w:t xml:space="preserve"> </w:t>
      </w:r>
      <w:r w:rsidRPr="002829E6">
        <w:rPr>
          <w:rFonts w:ascii="Times New Roman" w:hAnsi="Times New Roman"/>
          <w:sz w:val="24"/>
          <w:szCs w:val="24"/>
        </w:rPr>
        <w:t>police. Audio</w:t>
      </w:r>
      <w:r>
        <w:rPr>
          <w:rFonts w:ascii="Times New Roman" w:hAnsi="Times New Roman"/>
          <w:sz w:val="24"/>
          <w:szCs w:val="24"/>
        </w:rPr>
        <w:t xml:space="preserve"> </w:t>
      </w:r>
      <w:r w:rsidRPr="002829E6">
        <w:rPr>
          <w:rFonts w:ascii="Times New Roman" w:hAnsi="Times New Roman"/>
          <w:sz w:val="24"/>
          <w:szCs w:val="24"/>
        </w:rPr>
        <w:t>visually recording police activity fits within the First Amendment’s guarantee. The right isn’t</w:t>
      </w:r>
      <w:r>
        <w:rPr>
          <w:rFonts w:ascii="Times New Roman" w:hAnsi="Times New Roman"/>
          <w:sz w:val="24"/>
          <w:szCs w:val="24"/>
        </w:rPr>
        <w:t xml:space="preserve"> </w:t>
      </w:r>
      <w:r w:rsidRPr="002829E6">
        <w:rPr>
          <w:rFonts w:ascii="Times New Roman" w:hAnsi="Times New Roman"/>
          <w:sz w:val="24"/>
          <w:szCs w:val="24"/>
        </w:rPr>
        <w:t>unlimited, but robustly it exists to serve important purposes. It facilitates transparency, training, scrutiny</w:t>
      </w:r>
      <w:r>
        <w:rPr>
          <w:rFonts w:ascii="Times New Roman" w:hAnsi="Times New Roman"/>
          <w:sz w:val="24"/>
          <w:szCs w:val="24"/>
        </w:rPr>
        <w:t xml:space="preserve"> </w:t>
      </w:r>
      <w:r w:rsidRPr="002829E6">
        <w:rPr>
          <w:rFonts w:ascii="Times New Roman" w:hAnsi="Times New Roman"/>
          <w:sz w:val="24"/>
          <w:szCs w:val="24"/>
        </w:rPr>
        <w:t>of police misconduct, and the exoneration of officers from unfair charges. Candid critique of our</w:t>
      </w:r>
      <w:r>
        <w:rPr>
          <w:rFonts w:ascii="Times New Roman" w:hAnsi="Times New Roman"/>
          <w:sz w:val="24"/>
          <w:szCs w:val="24"/>
        </w:rPr>
        <w:t xml:space="preserve"> </w:t>
      </w:r>
      <w:r w:rsidRPr="002829E6">
        <w:rPr>
          <w:rFonts w:ascii="Times New Roman" w:hAnsi="Times New Roman"/>
          <w:sz w:val="24"/>
          <w:szCs w:val="24"/>
        </w:rPr>
        <w:t>government and its officials matters in a free society. By shining a light on newsworthy police conduct,</w:t>
      </w:r>
      <w:r>
        <w:rPr>
          <w:rFonts w:ascii="Times New Roman" w:hAnsi="Times New Roman"/>
          <w:sz w:val="24"/>
          <w:szCs w:val="24"/>
        </w:rPr>
        <w:t xml:space="preserve"> </w:t>
      </w:r>
      <w:r w:rsidRPr="002829E6">
        <w:rPr>
          <w:rFonts w:ascii="Times New Roman" w:hAnsi="Times New Roman"/>
          <w:sz w:val="24"/>
          <w:szCs w:val="24"/>
        </w:rPr>
        <w:t>the public’s recordings benefit our citizens and law-abiding officers alike.</w:t>
      </w:r>
    </w:p>
    <w:p w14:paraId="0014FC54" w14:textId="77777777" w:rsidR="002917C5" w:rsidRDefault="002917C5" w:rsidP="002917C5">
      <w:pPr>
        <w:pStyle w:val="NoSpacing"/>
        <w:rPr>
          <w:rFonts w:ascii="Times New Roman" w:hAnsi="Times New Roman"/>
          <w:sz w:val="24"/>
          <w:szCs w:val="24"/>
        </w:rPr>
      </w:pPr>
    </w:p>
    <w:p w14:paraId="4020C415" w14:textId="77777777" w:rsidR="002917C5" w:rsidRDefault="002917C5" w:rsidP="002917C5">
      <w:pPr>
        <w:pStyle w:val="NoSpacing"/>
        <w:ind w:firstLine="720"/>
        <w:rPr>
          <w:rFonts w:ascii="Times New Roman" w:hAnsi="Times New Roman"/>
          <w:sz w:val="24"/>
          <w:szCs w:val="24"/>
        </w:rPr>
      </w:pPr>
      <w:r>
        <w:rPr>
          <w:rFonts w:ascii="Times New Roman" w:hAnsi="Times New Roman"/>
          <w:sz w:val="24"/>
          <w:szCs w:val="24"/>
        </w:rPr>
        <w:t>***</w:t>
      </w:r>
    </w:p>
    <w:p w14:paraId="440F41DB" w14:textId="77777777" w:rsidR="002917C5" w:rsidRPr="004F1D80" w:rsidRDefault="002917C5" w:rsidP="002917C5">
      <w:pPr>
        <w:pStyle w:val="NoSpacing"/>
        <w:rPr>
          <w:rFonts w:ascii="Times New Roman" w:hAnsi="Times New Roman"/>
          <w:sz w:val="24"/>
          <w:szCs w:val="24"/>
        </w:rPr>
      </w:pPr>
    </w:p>
    <w:p w14:paraId="185E4913" w14:textId="77777777" w:rsidR="002917C5" w:rsidRPr="00CB06B1" w:rsidRDefault="002917C5" w:rsidP="002917C5">
      <w:pPr>
        <w:pStyle w:val="NoSpacing"/>
        <w:ind w:left="720"/>
        <w:rPr>
          <w:rFonts w:ascii="Times New Roman" w:hAnsi="Times New Roman"/>
          <w:sz w:val="24"/>
          <w:szCs w:val="24"/>
        </w:rPr>
      </w:pPr>
      <w:r w:rsidRPr="00CB06B1">
        <w:rPr>
          <w:rFonts w:ascii="Times New Roman" w:hAnsi="Times New Roman"/>
          <w:sz w:val="24"/>
          <w:szCs w:val="24"/>
        </w:rPr>
        <w:t>The public has a First Amendment right to record police activity—a critically important right.</w:t>
      </w:r>
      <w:r>
        <w:rPr>
          <w:rFonts w:ascii="Times New Roman" w:hAnsi="Times New Roman"/>
          <w:sz w:val="24"/>
          <w:szCs w:val="24"/>
        </w:rPr>
        <w:t xml:space="preserve"> </w:t>
      </w:r>
      <w:r w:rsidRPr="00CB06B1">
        <w:rPr>
          <w:rFonts w:ascii="Times New Roman" w:hAnsi="Times New Roman"/>
          <w:sz w:val="24"/>
          <w:szCs w:val="24"/>
        </w:rPr>
        <w:t xml:space="preserve">Law enforcement officers have a right to perform their lawful duties </w:t>
      </w:r>
      <w:proofErr w:type="gramStart"/>
      <w:r w:rsidRPr="00CB06B1">
        <w:rPr>
          <w:rFonts w:ascii="Times New Roman" w:hAnsi="Times New Roman"/>
          <w:sz w:val="24"/>
          <w:szCs w:val="24"/>
        </w:rPr>
        <w:t>unimpeded</w:t>
      </w:r>
      <w:proofErr w:type="gramEnd"/>
      <w:r w:rsidRPr="00CB06B1">
        <w:rPr>
          <w:rFonts w:ascii="Times New Roman" w:hAnsi="Times New Roman"/>
          <w:sz w:val="24"/>
          <w:szCs w:val="24"/>
        </w:rPr>
        <w:t>. Indiana’s buffer law has</w:t>
      </w:r>
      <w:r>
        <w:rPr>
          <w:rFonts w:ascii="Times New Roman" w:hAnsi="Times New Roman"/>
          <w:sz w:val="24"/>
          <w:szCs w:val="24"/>
        </w:rPr>
        <w:t xml:space="preserve"> </w:t>
      </w:r>
      <w:r w:rsidRPr="00CB06B1">
        <w:rPr>
          <w:rFonts w:ascii="Times New Roman" w:hAnsi="Times New Roman"/>
          <w:sz w:val="24"/>
          <w:szCs w:val="24"/>
        </w:rPr>
        <w:t xml:space="preserve">many constitutional applications within its plainly legitimate sweep. It </w:t>
      </w:r>
      <w:proofErr w:type="gramStart"/>
      <w:r w:rsidRPr="00CB06B1">
        <w:rPr>
          <w:rFonts w:ascii="Times New Roman" w:hAnsi="Times New Roman"/>
          <w:sz w:val="24"/>
          <w:szCs w:val="24"/>
        </w:rPr>
        <w:t>never once</w:t>
      </w:r>
      <w:proofErr w:type="gramEnd"/>
      <w:r w:rsidRPr="00CB06B1">
        <w:rPr>
          <w:rFonts w:ascii="Times New Roman" w:hAnsi="Times New Roman"/>
          <w:sz w:val="24"/>
          <w:szCs w:val="24"/>
        </w:rPr>
        <w:t xml:space="preserve"> permits an officer to</w:t>
      </w:r>
      <w:r>
        <w:rPr>
          <w:rFonts w:ascii="Times New Roman" w:hAnsi="Times New Roman"/>
          <w:sz w:val="24"/>
          <w:szCs w:val="24"/>
        </w:rPr>
        <w:t xml:space="preserve"> </w:t>
      </w:r>
      <w:r w:rsidRPr="00CB06B1">
        <w:rPr>
          <w:rFonts w:ascii="Times New Roman" w:hAnsi="Times New Roman"/>
          <w:sz w:val="24"/>
          <w:szCs w:val="24"/>
        </w:rPr>
        <w:t>tell a reporter or citizen-journalist to leave altogether or to cease recording police activity. The law is</w:t>
      </w:r>
      <w:r>
        <w:rPr>
          <w:rFonts w:ascii="Times New Roman" w:hAnsi="Times New Roman"/>
          <w:sz w:val="24"/>
          <w:szCs w:val="24"/>
        </w:rPr>
        <w:t xml:space="preserve"> </w:t>
      </w:r>
      <w:r w:rsidRPr="00CB06B1">
        <w:rPr>
          <w:rFonts w:ascii="Times New Roman" w:hAnsi="Times New Roman"/>
          <w:sz w:val="24"/>
          <w:szCs w:val="24"/>
        </w:rPr>
        <w:t>directed toward encroachment on an officer’s lawful duties within 25 feet. It doesn’t target speech. It</w:t>
      </w:r>
      <w:r>
        <w:rPr>
          <w:rFonts w:ascii="Times New Roman" w:hAnsi="Times New Roman"/>
          <w:sz w:val="24"/>
          <w:szCs w:val="24"/>
        </w:rPr>
        <w:t xml:space="preserve"> </w:t>
      </w:r>
      <w:r w:rsidRPr="00CB06B1">
        <w:rPr>
          <w:rFonts w:ascii="Times New Roman" w:hAnsi="Times New Roman"/>
          <w:sz w:val="24"/>
          <w:szCs w:val="24"/>
        </w:rPr>
        <w:t xml:space="preserve">penalizes approaching a </w:t>
      </w:r>
      <w:proofErr w:type="gramStart"/>
      <w:r w:rsidRPr="00CB06B1">
        <w:rPr>
          <w:rFonts w:ascii="Times New Roman" w:hAnsi="Times New Roman"/>
          <w:sz w:val="24"/>
          <w:szCs w:val="24"/>
        </w:rPr>
        <w:t>lawfully-engaged</w:t>
      </w:r>
      <w:proofErr w:type="gramEnd"/>
      <w:r w:rsidRPr="00CB06B1">
        <w:rPr>
          <w:rFonts w:ascii="Times New Roman" w:hAnsi="Times New Roman"/>
          <w:sz w:val="24"/>
          <w:szCs w:val="24"/>
        </w:rPr>
        <w:t xml:space="preserve"> officer (after an order), not recording one. And at 25 feet, in</w:t>
      </w:r>
      <w:r>
        <w:rPr>
          <w:rFonts w:ascii="Times New Roman" w:hAnsi="Times New Roman"/>
          <w:sz w:val="24"/>
          <w:szCs w:val="24"/>
        </w:rPr>
        <w:t xml:space="preserve"> </w:t>
      </w:r>
      <w:r w:rsidRPr="00CB06B1">
        <w:rPr>
          <w:rFonts w:ascii="Times New Roman" w:hAnsi="Times New Roman"/>
          <w:sz w:val="24"/>
          <w:szCs w:val="24"/>
        </w:rPr>
        <w:t>measure small steps from an officer’s work, this law has only an incidental effect on the public’s First</w:t>
      </w:r>
      <w:r>
        <w:rPr>
          <w:rFonts w:ascii="Times New Roman" w:hAnsi="Times New Roman"/>
          <w:sz w:val="24"/>
          <w:szCs w:val="24"/>
        </w:rPr>
        <w:t xml:space="preserve"> </w:t>
      </w:r>
      <w:r w:rsidRPr="00CB06B1">
        <w:rPr>
          <w:rFonts w:ascii="Times New Roman" w:hAnsi="Times New Roman"/>
          <w:sz w:val="24"/>
          <w:szCs w:val="24"/>
        </w:rPr>
        <w:t>Amendment right to capture audio and video and otherwise to scrutinize police conduct. The court denies</w:t>
      </w:r>
      <w:r>
        <w:rPr>
          <w:rFonts w:ascii="Times New Roman" w:hAnsi="Times New Roman"/>
          <w:sz w:val="24"/>
          <w:szCs w:val="24"/>
        </w:rPr>
        <w:t xml:space="preserve"> </w:t>
      </w:r>
      <w:r w:rsidRPr="00CB06B1">
        <w:rPr>
          <w:rFonts w:ascii="Times New Roman" w:hAnsi="Times New Roman"/>
          <w:sz w:val="24"/>
          <w:szCs w:val="24"/>
        </w:rPr>
        <w:t xml:space="preserve">a permanent injunction because Indiana’s buffer law is not </w:t>
      </w:r>
      <w:proofErr w:type="gramStart"/>
      <w:r w:rsidRPr="00CB06B1">
        <w:rPr>
          <w:rFonts w:ascii="Times New Roman" w:hAnsi="Times New Roman"/>
          <w:sz w:val="24"/>
          <w:szCs w:val="24"/>
        </w:rPr>
        <w:t>unconstitutional by virtue</w:t>
      </w:r>
      <w:proofErr w:type="gramEnd"/>
      <w:r w:rsidRPr="00CB06B1">
        <w:rPr>
          <w:rFonts w:ascii="Times New Roman" w:hAnsi="Times New Roman"/>
          <w:sz w:val="24"/>
          <w:szCs w:val="24"/>
        </w:rPr>
        <w:t xml:space="preserve"> of being facially</w:t>
      </w:r>
      <w:r>
        <w:rPr>
          <w:rFonts w:ascii="Times New Roman" w:hAnsi="Times New Roman"/>
          <w:sz w:val="24"/>
          <w:szCs w:val="24"/>
        </w:rPr>
        <w:t xml:space="preserve"> </w:t>
      </w:r>
      <w:r w:rsidRPr="00CB06B1">
        <w:rPr>
          <w:rFonts w:ascii="Times New Roman" w:hAnsi="Times New Roman"/>
          <w:sz w:val="24"/>
          <w:szCs w:val="24"/>
        </w:rPr>
        <w:t>overbroad. A case might be different if an officer enforces this law unconstitutionally in a particular</w:t>
      </w:r>
      <w:r>
        <w:rPr>
          <w:rFonts w:ascii="Times New Roman" w:hAnsi="Times New Roman"/>
          <w:sz w:val="24"/>
          <w:szCs w:val="24"/>
        </w:rPr>
        <w:t xml:space="preserve"> </w:t>
      </w:r>
      <w:r w:rsidRPr="00CB06B1">
        <w:rPr>
          <w:rFonts w:ascii="Times New Roman" w:hAnsi="Times New Roman"/>
          <w:sz w:val="24"/>
          <w:szCs w:val="24"/>
        </w:rPr>
        <w:t>scenario, but the court is not deciding such a case today.</w:t>
      </w:r>
      <w:r>
        <w:rPr>
          <w:rFonts w:ascii="Times New Roman" w:hAnsi="Times New Roman"/>
          <w:sz w:val="24"/>
          <w:szCs w:val="24"/>
        </w:rPr>
        <w:t xml:space="preserve">”  </w:t>
      </w:r>
      <w:hyperlink r:id="rId902" w:history="1">
        <w:r w:rsidRPr="00D10854">
          <w:rPr>
            <w:rStyle w:val="Hyperlink"/>
            <w:rFonts w:ascii="Times New Roman" w:hAnsi="Times New Roman"/>
            <w:sz w:val="24"/>
            <w:szCs w:val="24"/>
          </w:rPr>
          <w:t>https://cases.justia.com/federal/district-courts/indiana/inndce/3:2023cv00744/115782/36/0.pdf?ts=1705163579</w:t>
        </w:r>
      </w:hyperlink>
      <w:r>
        <w:rPr>
          <w:rFonts w:ascii="Times New Roman" w:hAnsi="Times New Roman"/>
          <w:sz w:val="24"/>
          <w:szCs w:val="24"/>
        </w:rPr>
        <w:t xml:space="preserve"> </w:t>
      </w:r>
    </w:p>
    <w:p w14:paraId="589E4FF6" w14:textId="77777777" w:rsidR="00233F5D" w:rsidRDefault="00233F5D" w:rsidP="002B1283">
      <w:pPr>
        <w:rPr>
          <w:rStyle w:val="Hyperlink"/>
          <w:rFonts w:ascii="Arial Black" w:hAnsi="Arial Black"/>
          <w:b/>
          <w:color w:val="auto"/>
          <w:sz w:val="24"/>
          <w:szCs w:val="24"/>
          <w:u w:val="none"/>
        </w:rPr>
      </w:pPr>
    </w:p>
    <w:p w14:paraId="3097F93A" w14:textId="77777777" w:rsidR="00B83C64" w:rsidRPr="007C6C34" w:rsidRDefault="00B83C64" w:rsidP="00B83C64">
      <w:pPr>
        <w:pStyle w:val="NormalWeb"/>
        <w:rPr>
          <w:b/>
          <w:bCs/>
        </w:rPr>
      </w:pPr>
      <w:r w:rsidRPr="007C6C34">
        <w:rPr>
          <w:b/>
          <w:bCs/>
        </w:rPr>
        <w:t>Legal Lesson Learned:</w:t>
      </w:r>
      <w:r>
        <w:rPr>
          <w:b/>
          <w:bCs/>
        </w:rPr>
        <w:t xml:space="preserve"> An excellent “buffer law” that will also help Fire &amp; EMS. </w:t>
      </w:r>
    </w:p>
    <w:p w14:paraId="46909B06" w14:textId="77777777" w:rsidR="00233F5D" w:rsidRDefault="00233F5D" w:rsidP="002B1283">
      <w:pPr>
        <w:rPr>
          <w:rStyle w:val="Hyperlink"/>
          <w:rFonts w:ascii="Arial Black" w:hAnsi="Arial Black"/>
          <w:b/>
          <w:color w:val="auto"/>
          <w:sz w:val="24"/>
          <w:szCs w:val="24"/>
          <w:u w:val="none"/>
        </w:rPr>
      </w:pPr>
    </w:p>
    <w:p w14:paraId="3D5791A8" w14:textId="4C6E827C" w:rsidR="006A67C1" w:rsidRDefault="003E1AD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4-34</w:t>
      </w:r>
    </w:p>
    <w:p w14:paraId="3BB11773" w14:textId="77777777" w:rsidR="000B6881" w:rsidRPr="00D77551" w:rsidRDefault="000B6881" w:rsidP="000B6881">
      <w:pPr>
        <w:pStyle w:val="NormalWeb"/>
        <w:rPr>
          <w:rFonts w:ascii="Arial Black" w:hAnsi="Arial Black"/>
          <w:b/>
          <w:bCs/>
          <w:sz w:val="28"/>
          <w:szCs w:val="28"/>
        </w:rPr>
      </w:pPr>
      <w:r>
        <w:rPr>
          <w:rFonts w:ascii="Arial Black" w:hAnsi="Arial Black"/>
          <w:b/>
          <w:bCs/>
          <w:sz w:val="28"/>
          <w:szCs w:val="28"/>
        </w:rPr>
        <w:t xml:space="preserve">CA: PD DRONE VIDEOS – “FIRST IN COUNTRY” FAA PROGRAM – VIDEOS MOUNTAIN LION, WATER LEAK PUBLIC </w:t>
      </w:r>
    </w:p>
    <w:p w14:paraId="13DD7664" w14:textId="77777777" w:rsidR="000B6881" w:rsidRDefault="000B6881" w:rsidP="000B6881">
      <w:pPr>
        <w:pStyle w:val="NormalWeb"/>
      </w:pPr>
      <w:r w:rsidRPr="00416234">
        <w:t xml:space="preserve">On Dec. 27, 2023, in </w:t>
      </w:r>
      <w:r w:rsidRPr="00416234">
        <w:rPr>
          <w:u w:val="single"/>
        </w:rPr>
        <w:t>Arturo Castanares v. The Supervisor Court of San Diego County, and City of Chula Vista,</w:t>
      </w:r>
      <w:r w:rsidRPr="00416234">
        <w:t xml:space="preserve"> </w:t>
      </w:r>
      <w:r>
        <w:t xml:space="preserve">the Court of Appeal, Fourth Appellate District, Division One, Stare of California, held (3 to 0) that trial court judge improperly held that all police videos (370 flights) were exempt from disclosure under CA “catchall” provision protecting police investigations and individual privacy.  The Court </w:t>
      </w:r>
      <w:proofErr w:type="gramStart"/>
      <w:r>
        <w:t>remanded</w:t>
      </w:r>
      <w:proofErr w:type="gramEnd"/>
      <w:r>
        <w:t xml:space="preserve"> the case to trial court judge for further review of videos. The Court wrote: “We agree with Castañares that the superior court erred in determining, as a matter of law, all video footage from the drone program is exempt under section 7923.600, subdivision (a) as records of investigations. However, it might be the case, after further inquiry, consistent with this opinion, that </w:t>
      </w:r>
      <w:proofErr w:type="gramStart"/>
      <w:r>
        <w:t>the majority of</w:t>
      </w:r>
      <w:proofErr w:type="gramEnd"/>
      <w:r>
        <w:t xml:space="preserve"> the video footage is exempt. That said, we cannot make that determination on the record before us. *** For example, a 911 call about a mountain lion roaming a neighborhood, a water leak, or a stranded motorist on the freeway could warrant the use of a drone but do not suggest a crime might have been committed or is in the process of being committed.” </w:t>
      </w:r>
      <w:hyperlink r:id="rId903" w:history="1">
        <w:r w:rsidRPr="0044657D">
          <w:rPr>
            <w:rStyle w:val="Hyperlink"/>
          </w:rPr>
          <w:t>https://www.courts.ca.gov/opinions/documents/D082048.PDF</w:t>
        </w:r>
      </w:hyperlink>
      <w:r>
        <w:t xml:space="preserve"> </w:t>
      </w:r>
    </w:p>
    <w:p w14:paraId="49FBE993" w14:textId="77777777" w:rsidR="00BC204B" w:rsidRDefault="00BC204B" w:rsidP="00BC204B">
      <w:pPr>
        <w:pStyle w:val="NoSpacing"/>
        <w:jc w:val="both"/>
        <w:rPr>
          <w:rFonts w:ascii="Times New Roman" w:hAnsi="Times New Roman"/>
          <w:b/>
          <w:bCs/>
          <w:sz w:val="24"/>
          <w:szCs w:val="24"/>
        </w:rPr>
      </w:pPr>
      <w:r w:rsidRPr="00BA1591">
        <w:rPr>
          <w:rFonts w:ascii="Times New Roman" w:hAnsi="Times New Roman"/>
          <w:b/>
          <w:bCs/>
          <w:sz w:val="24"/>
          <w:szCs w:val="24"/>
        </w:rPr>
        <w:t xml:space="preserve">Legal Lesson Learned: </w:t>
      </w:r>
      <w:r>
        <w:rPr>
          <w:rFonts w:ascii="Times New Roman" w:hAnsi="Times New Roman"/>
          <w:b/>
          <w:bCs/>
          <w:sz w:val="24"/>
          <w:szCs w:val="24"/>
        </w:rPr>
        <w:t xml:space="preserve">New technologies can lead to new legal issues; trial court </w:t>
      </w:r>
      <w:proofErr w:type="gramStart"/>
      <w:r>
        <w:rPr>
          <w:rFonts w:ascii="Times New Roman" w:hAnsi="Times New Roman"/>
          <w:b/>
          <w:bCs/>
          <w:sz w:val="24"/>
          <w:szCs w:val="24"/>
        </w:rPr>
        <w:t>judge</w:t>
      </w:r>
      <w:proofErr w:type="gramEnd"/>
      <w:r>
        <w:rPr>
          <w:rFonts w:ascii="Times New Roman" w:hAnsi="Times New Roman"/>
          <w:b/>
          <w:bCs/>
          <w:sz w:val="24"/>
          <w:szCs w:val="24"/>
        </w:rPr>
        <w:t xml:space="preserve"> may now have to make a disclosure decision on each video. </w:t>
      </w:r>
    </w:p>
    <w:p w14:paraId="2B6271AD" w14:textId="77777777" w:rsidR="003E1AD0" w:rsidRDefault="003E1AD0" w:rsidP="002B1283">
      <w:pPr>
        <w:rPr>
          <w:rStyle w:val="Hyperlink"/>
          <w:rFonts w:ascii="Arial Black" w:hAnsi="Arial Black"/>
          <w:b/>
          <w:color w:val="auto"/>
          <w:sz w:val="24"/>
          <w:szCs w:val="24"/>
          <w:u w:val="none"/>
        </w:rPr>
      </w:pPr>
    </w:p>
    <w:p w14:paraId="45EE7D65" w14:textId="77777777" w:rsidR="003E1AD0" w:rsidRDefault="003E1AD0" w:rsidP="002B1283">
      <w:pPr>
        <w:rPr>
          <w:rStyle w:val="Hyperlink"/>
          <w:rFonts w:ascii="Arial Black" w:hAnsi="Arial Black"/>
          <w:b/>
          <w:color w:val="auto"/>
          <w:sz w:val="24"/>
          <w:szCs w:val="24"/>
          <w:u w:val="none"/>
        </w:rPr>
      </w:pPr>
    </w:p>
    <w:p w14:paraId="187748CE" w14:textId="2F84F9C3" w:rsidR="006A67C1" w:rsidRDefault="006A67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4-33</w:t>
      </w:r>
    </w:p>
    <w:p w14:paraId="0AD76701" w14:textId="77777777" w:rsidR="006A67C1" w:rsidRDefault="006A67C1" w:rsidP="006A67C1">
      <w:pPr>
        <w:pStyle w:val="NormalWeb"/>
        <w:rPr>
          <w:rFonts w:ascii="Arial Black" w:hAnsi="Arial Black"/>
          <w:sz w:val="28"/>
          <w:szCs w:val="28"/>
        </w:rPr>
      </w:pPr>
      <w:r>
        <w:rPr>
          <w:rFonts w:ascii="Arial Black" w:hAnsi="Arial Black"/>
          <w:sz w:val="28"/>
          <w:szCs w:val="28"/>
        </w:rPr>
        <w:t xml:space="preserve">CA: GAS LEAK HOME – CAPTAIN ALLOWED SOLAR PANEL WORKER GET TOOLS - EXPLODED – LAWSUIT PROCEED </w:t>
      </w:r>
    </w:p>
    <w:p w14:paraId="04973AF4" w14:textId="77777777" w:rsidR="006A67C1" w:rsidRDefault="006A67C1" w:rsidP="006A67C1">
      <w:pPr>
        <w:pStyle w:val="NormalWeb"/>
      </w:pPr>
      <w:r>
        <w:t xml:space="preserve">On Nov. 30, 2023, in </w:t>
      </w:r>
      <w:r w:rsidRPr="005C5B17">
        <w:rPr>
          <w:u w:val="single"/>
        </w:rPr>
        <w:t>Anthony Borel v. City of Murrieta</w:t>
      </w:r>
      <w:r>
        <w:t xml:space="preserve">, the California Court of Appeals, Fourth District, Third Division, held (3 to 0; unpublished decision), that trial court judge improperly granted summary judgment to the City.  The Court wrote: “Anthony Borel was on a residential worksite in Murrieta (the </w:t>
      </w:r>
      <w:proofErr w:type="gramStart"/>
      <w:r>
        <w:t>City</w:t>
      </w:r>
      <w:proofErr w:type="gramEnd"/>
      <w:r>
        <w:t xml:space="preserve">) the summer of 2019 when the home exploded due to a natural gas leak. Borel alleged the fire crew that responded to the report of a leak failed to establish a perimeter or evacuation zone around the leak area and allowed people to go in and near the home. He was amongst the people allowed to go near the home to retrieve his tools. While he was doing this, the homeowner asked the captain on the scene if she could enter the house to retrieve some personal items. Shortly after she entered, the home exploded and Borel was seriously injured. He seeks to recover damages for his injuries from, among others, the City of Murrieta. *** In response to Borel's public entity negligence claim, the City successfully moved for summary judgment, on the ground its firefighters' conduct at the scene was subject to emergency services immunity under Health and Safety Code section 1799.107. Section 1799.107 creates immunity for public entities and emergency rescue personnel for injuries caused when they take action to provide emergency services, so long as the actions are not performed in bad faith or with gross negligence. While we agree the City can invoke section 1799.107, we conclude there is sufficient evidence to create triable issues of material fact as to whether the firefighters acted with gross negligence.” </w:t>
      </w:r>
      <w:hyperlink r:id="rId904" w:history="1">
        <w:r w:rsidRPr="002D5A3E">
          <w:rPr>
            <w:rStyle w:val="Hyperlink"/>
          </w:rPr>
          <w:t>https://casetext.com/case/borel-v-city-of-murrieta</w:t>
        </w:r>
      </w:hyperlink>
      <w:r>
        <w:t xml:space="preserve"> </w:t>
      </w:r>
    </w:p>
    <w:p w14:paraId="1205EA14" w14:textId="77777777" w:rsidR="003E1AD0" w:rsidRPr="00C20F9E" w:rsidRDefault="003E1AD0" w:rsidP="003E1AD0">
      <w:pPr>
        <w:pStyle w:val="NormalWeb"/>
        <w:rPr>
          <w:b/>
          <w:bCs/>
        </w:rPr>
      </w:pPr>
      <w:r w:rsidRPr="00C20F9E">
        <w:rPr>
          <w:b/>
          <w:bCs/>
        </w:rPr>
        <w:t>Legal Lesson Learned:</w:t>
      </w:r>
      <w:r>
        <w:rPr>
          <w:b/>
          <w:bCs/>
        </w:rPr>
        <w:t xml:space="preserve"> The “gross negligence” standard may be difficult to prove, but this may be a case that calls for a settlement rather than a jury trial. </w:t>
      </w:r>
    </w:p>
    <w:p w14:paraId="7A64DF4C" w14:textId="77777777" w:rsidR="006A67C1" w:rsidRDefault="006A67C1" w:rsidP="002B1283">
      <w:pPr>
        <w:rPr>
          <w:rStyle w:val="Hyperlink"/>
          <w:rFonts w:ascii="Arial Black" w:hAnsi="Arial Black"/>
          <w:b/>
          <w:color w:val="auto"/>
          <w:sz w:val="24"/>
          <w:szCs w:val="24"/>
          <w:u w:val="none"/>
        </w:rPr>
      </w:pPr>
    </w:p>
    <w:p w14:paraId="6E5D0CC2" w14:textId="77777777" w:rsidR="006A67C1" w:rsidRDefault="006A67C1" w:rsidP="002B1283">
      <w:pPr>
        <w:rPr>
          <w:rStyle w:val="Hyperlink"/>
          <w:rFonts w:ascii="Arial Black" w:hAnsi="Arial Black"/>
          <w:b/>
          <w:color w:val="auto"/>
          <w:sz w:val="24"/>
          <w:szCs w:val="24"/>
          <w:u w:val="none"/>
        </w:rPr>
      </w:pPr>
    </w:p>
    <w:p w14:paraId="05DCFD47" w14:textId="3330B358" w:rsidR="0056123D" w:rsidRDefault="0056123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4-32</w:t>
      </w:r>
    </w:p>
    <w:p w14:paraId="039976A8" w14:textId="056DCF0B" w:rsidR="0056123D" w:rsidRPr="00616758" w:rsidRDefault="0056123D" w:rsidP="0056123D">
      <w:pPr>
        <w:pStyle w:val="NoSpacing"/>
        <w:rPr>
          <w:rFonts w:ascii="Arial Black" w:hAnsi="Arial Black"/>
          <w:sz w:val="28"/>
          <w:szCs w:val="28"/>
        </w:rPr>
      </w:pPr>
      <w:r>
        <w:rPr>
          <w:rFonts w:ascii="Arial Black" w:hAnsi="Arial Black"/>
          <w:sz w:val="28"/>
          <w:szCs w:val="28"/>
        </w:rPr>
        <w:t xml:space="preserve">TX: “FAMILY NIGHT” - INSTRUCTOR SPRAYED STUDENTS 2½ HOSE – GOV’T IMMUNITY – ENGINE NOT USED </w:t>
      </w:r>
      <w:r w:rsidR="00954F48">
        <w:rPr>
          <w:rFonts w:ascii="Arial Black" w:hAnsi="Arial Black"/>
          <w:sz w:val="28"/>
          <w:szCs w:val="28"/>
        </w:rPr>
        <w:t xml:space="preserve">AS </w:t>
      </w:r>
      <w:r>
        <w:rPr>
          <w:rFonts w:ascii="Arial Black" w:hAnsi="Arial Black"/>
          <w:sz w:val="28"/>
          <w:szCs w:val="28"/>
        </w:rPr>
        <w:t>VEHICLE</w:t>
      </w:r>
    </w:p>
    <w:p w14:paraId="6492A561" w14:textId="77777777" w:rsidR="00954F48" w:rsidRDefault="00954F48" w:rsidP="00954F48">
      <w:pPr>
        <w:rPr>
          <w:rFonts w:ascii="Times New Roman" w:hAnsi="Times New Roman"/>
          <w:sz w:val="24"/>
          <w:szCs w:val="24"/>
        </w:rPr>
      </w:pPr>
    </w:p>
    <w:p w14:paraId="54DE1A69" w14:textId="5AE37F2C" w:rsidR="00954F48" w:rsidRDefault="0056123D" w:rsidP="00954F48">
      <w:pPr>
        <w:rPr>
          <w:rStyle w:val="Hyperlink"/>
          <w:rFonts w:ascii="Arial Black" w:hAnsi="Arial Black"/>
          <w:b/>
          <w:color w:val="auto"/>
          <w:sz w:val="24"/>
          <w:szCs w:val="24"/>
          <w:u w:val="none"/>
        </w:rPr>
      </w:pPr>
      <w:r>
        <w:rPr>
          <w:rFonts w:ascii="Times New Roman" w:hAnsi="Times New Roman"/>
          <w:sz w:val="24"/>
          <w:szCs w:val="24"/>
        </w:rPr>
        <w:t xml:space="preserve">On Sept. 21, 2023, </w:t>
      </w:r>
      <w:r w:rsidRPr="00C400FC">
        <w:rPr>
          <w:rFonts w:ascii="Times New Roman" w:hAnsi="Times New Roman"/>
          <w:sz w:val="24"/>
          <w:szCs w:val="24"/>
          <w:u w:val="single"/>
        </w:rPr>
        <w:t>in Koby Rezac v. Navarro College</w:t>
      </w:r>
      <w:r>
        <w:rPr>
          <w:rFonts w:ascii="Times New Roman" w:hAnsi="Times New Roman"/>
          <w:sz w:val="24"/>
          <w:szCs w:val="24"/>
        </w:rPr>
        <w:t xml:space="preserve">, the Texas Tenth Court of Appeals, held (3 to 0) that trial court judge properly dismissed the lawsuit against the College.  Under Texas Tort Claim law, governmental immunity is waved for injuries arising out of the </w:t>
      </w:r>
      <w:r w:rsidRPr="00C400FC">
        <w:rPr>
          <w:rFonts w:ascii="Times New Roman" w:hAnsi="Times New Roman"/>
          <w:sz w:val="24"/>
          <w:szCs w:val="24"/>
        </w:rPr>
        <w:t>"use" or "operation" of a motor vehicle</w:t>
      </w:r>
      <w:r>
        <w:rPr>
          <w:rFonts w:ascii="Times New Roman" w:hAnsi="Times New Roman"/>
          <w:sz w:val="24"/>
          <w:szCs w:val="24"/>
        </w:rPr>
        <w:t xml:space="preserve">.   In this case the Court relied on the affidavit of the instructor – it was  “family night” at the Junior College fire program, the program had concluded with students lined up in formation, the engine no longer running but still connected to the hydrant, when the instructor jokingly sprayed the students with the 2 ½ inch line.   </w:t>
      </w:r>
      <w:hyperlink r:id="rId905" w:history="1">
        <w:r w:rsidR="00954F48" w:rsidRPr="00FF56A3">
          <w:rPr>
            <w:rStyle w:val="Hyperlink"/>
            <w:rFonts w:ascii="Times New Roman" w:hAnsi="Times New Roman"/>
            <w:sz w:val="24"/>
            <w:szCs w:val="24"/>
          </w:rPr>
          <w:t>https://search.txcourts.gov/SearchMedia.aspx?MediaVersionID=0759d8f0-c4e1-4852-8390-4190cacb89f6&amp;coa=coa10&amp;DT=Opinion&amp;MediaID=dc9d0fad-acea-4603-a120-a6519744d885</w:t>
        </w:r>
      </w:hyperlink>
    </w:p>
    <w:p w14:paraId="4308B884" w14:textId="788B519C" w:rsidR="0056123D" w:rsidRDefault="00954F48" w:rsidP="0056123D">
      <w:pPr>
        <w:pStyle w:val="NoSpacing"/>
        <w:rPr>
          <w:rFonts w:ascii="Times New Roman" w:hAnsi="Times New Roman"/>
          <w:sz w:val="24"/>
          <w:szCs w:val="24"/>
        </w:rPr>
      </w:pPr>
      <w:r>
        <w:rPr>
          <w:rFonts w:ascii="Times New Roman" w:hAnsi="Times New Roman"/>
          <w:sz w:val="24"/>
          <w:szCs w:val="24"/>
        </w:rPr>
        <w:t>THE COURT HELD:</w:t>
      </w:r>
    </w:p>
    <w:p w14:paraId="409B7CA4" w14:textId="77777777" w:rsidR="0056123D" w:rsidRDefault="0056123D" w:rsidP="0056123D">
      <w:pPr>
        <w:pStyle w:val="NoSpacing"/>
        <w:rPr>
          <w:rFonts w:ascii="Times New Roman" w:hAnsi="Times New Roman"/>
          <w:sz w:val="24"/>
          <w:szCs w:val="24"/>
        </w:rPr>
      </w:pPr>
    </w:p>
    <w:p w14:paraId="28096D81" w14:textId="77777777" w:rsidR="0056123D" w:rsidRPr="00616758" w:rsidRDefault="0056123D" w:rsidP="0056123D">
      <w:pPr>
        <w:pStyle w:val="NoSpacing"/>
        <w:ind w:firstLine="720"/>
        <w:rPr>
          <w:rFonts w:ascii="Times New Roman" w:hAnsi="Times New Roman"/>
          <w:sz w:val="24"/>
          <w:szCs w:val="24"/>
        </w:rPr>
      </w:pPr>
      <w:r>
        <w:rPr>
          <w:rFonts w:ascii="Times New Roman" w:hAnsi="Times New Roman"/>
          <w:sz w:val="24"/>
          <w:szCs w:val="24"/>
        </w:rPr>
        <w:t>“</w:t>
      </w:r>
      <w:r w:rsidRPr="00616758">
        <w:rPr>
          <w:rFonts w:ascii="Times New Roman" w:hAnsi="Times New Roman"/>
          <w:sz w:val="24"/>
          <w:szCs w:val="24"/>
        </w:rPr>
        <w:t>In this instance, because the fire truck was parked and attached to the hydrant,</w:t>
      </w:r>
    </w:p>
    <w:p w14:paraId="0CBAC41C" w14:textId="77777777" w:rsidR="0056123D" w:rsidRPr="00616758" w:rsidRDefault="0056123D" w:rsidP="0056123D">
      <w:pPr>
        <w:pStyle w:val="NoSpacing"/>
        <w:ind w:left="720"/>
        <w:rPr>
          <w:rFonts w:ascii="Times New Roman" w:hAnsi="Times New Roman"/>
          <w:sz w:val="24"/>
          <w:szCs w:val="24"/>
        </w:rPr>
      </w:pPr>
      <w:r w:rsidRPr="00616758">
        <w:rPr>
          <w:rFonts w:ascii="Times New Roman" w:hAnsi="Times New Roman"/>
          <w:sz w:val="24"/>
          <w:szCs w:val="24"/>
        </w:rPr>
        <w:t>under the facts as alleged by Rezac, whatever use of the fire truck that then occurred was</w:t>
      </w:r>
      <w:r>
        <w:rPr>
          <w:rFonts w:ascii="Times New Roman" w:hAnsi="Times New Roman"/>
          <w:sz w:val="24"/>
          <w:szCs w:val="24"/>
        </w:rPr>
        <w:t xml:space="preserve"> </w:t>
      </w:r>
      <w:r w:rsidRPr="00616758">
        <w:rPr>
          <w:rFonts w:ascii="Times New Roman" w:hAnsi="Times New Roman"/>
          <w:sz w:val="24"/>
          <w:szCs w:val="24"/>
        </w:rPr>
        <w:t>not the use or operation of a motor-driven vehicle. At most, it was the use or operation</w:t>
      </w:r>
    </w:p>
    <w:p w14:paraId="74021C44"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of a pump, which under these facts would only potentially involve the use or operation</w:t>
      </w:r>
    </w:p>
    <w:p w14:paraId="10036274"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of motor-driven equipment, for which immunity has not been waived because the college</w:t>
      </w:r>
    </w:p>
    <w:p w14:paraId="6CE4B875"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 xml:space="preserve">is a junior college district. See Ryder, 453 S.W.3d at </w:t>
      </w:r>
      <w:proofErr w:type="gramStart"/>
      <w:r w:rsidRPr="00616758">
        <w:rPr>
          <w:rFonts w:ascii="Times New Roman" w:hAnsi="Times New Roman"/>
          <w:sz w:val="24"/>
          <w:szCs w:val="24"/>
        </w:rPr>
        <w:t>927 (</w:t>
      </w:r>
      <w:r>
        <w:rPr>
          <w:rFonts w:ascii="Times New Roman" w:hAnsi="Times New Roman"/>
          <w:sz w:val="24"/>
          <w:szCs w:val="24"/>
        </w:rPr>
        <w:t>‘</w:t>
      </w:r>
      <w:proofErr w:type="gramEnd"/>
      <w:r w:rsidRPr="00616758">
        <w:rPr>
          <w:rFonts w:ascii="Times New Roman" w:hAnsi="Times New Roman"/>
          <w:sz w:val="24"/>
          <w:szCs w:val="24"/>
        </w:rPr>
        <w:t>[T]</w:t>
      </w:r>
      <w:proofErr w:type="gramStart"/>
      <w:r w:rsidRPr="00616758">
        <w:rPr>
          <w:rFonts w:ascii="Times New Roman" w:hAnsi="Times New Roman"/>
          <w:sz w:val="24"/>
          <w:szCs w:val="24"/>
        </w:rPr>
        <w:t>he vehicle</w:t>
      </w:r>
      <w:proofErr w:type="gramEnd"/>
      <w:r w:rsidRPr="00616758">
        <w:rPr>
          <w:rFonts w:ascii="Times New Roman" w:hAnsi="Times New Roman"/>
          <w:sz w:val="24"/>
          <w:szCs w:val="24"/>
        </w:rPr>
        <w:t xml:space="preserve"> must have been</w:t>
      </w:r>
    </w:p>
    <w:p w14:paraId="1D8542D0"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used as a vehicle…</w:t>
      </w:r>
      <w:r>
        <w:rPr>
          <w:rFonts w:ascii="Times New Roman" w:hAnsi="Times New Roman"/>
          <w:sz w:val="24"/>
          <w:szCs w:val="24"/>
        </w:rPr>
        <w:t>’</w:t>
      </w:r>
      <w:r w:rsidRPr="00616758">
        <w:rPr>
          <w:rFonts w:ascii="Times New Roman" w:hAnsi="Times New Roman"/>
          <w:sz w:val="24"/>
          <w:szCs w:val="24"/>
        </w:rPr>
        <w:t>). We find that Rezac has not established a clear and unequivocal</w:t>
      </w:r>
    </w:p>
    <w:p w14:paraId="1C60E507" w14:textId="77777777" w:rsidR="0056123D" w:rsidRDefault="0056123D" w:rsidP="0056123D">
      <w:pPr>
        <w:pStyle w:val="NoSpacing"/>
        <w:ind w:left="720"/>
        <w:rPr>
          <w:rFonts w:ascii="Times New Roman" w:hAnsi="Times New Roman"/>
          <w:sz w:val="24"/>
          <w:szCs w:val="24"/>
        </w:rPr>
      </w:pPr>
      <w:r w:rsidRPr="00616758">
        <w:rPr>
          <w:rFonts w:ascii="Times New Roman" w:hAnsi="Times New Roman"/>
          <w:sz w:val="24"/>
          <w:szCs w:val="24"/>
        </w:rPr>
        <w:t>waiver of the college's governmental immunity under the Tort Claims Act.</w:t>
      </w:r>
    </w:p>
    <w:p w14:paraId="4C3F119D" w14:textId="77777777" w:rsidR="0056123D" w:rsidRDefault="0056123D" w:rsidP="0056123D">
      <w:pPr>
        <w:pStyle w:val="NoSpacing"/>
        <w:ind w:left="720"/>
        <w:rPr>
          <w:rFonts w:ascii="Times New Roman" w:hAnsi="Times New Roman"/>
          <w:sz w:val="24"/>
          <w:szCs w:val="24"/>
        </w:rPr>
      </w:pPr>
    </w:p>
    <w:p w14:paraId="2A93863C"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7891693C"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In this instance, because the fire truck was parked and attached to the hydrant,</w:t>
      </w:r>
    </w:p>
    <w:p w14:paraId="7D7F20E6"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under the facts as alleged by Rezac, whatever use of the fire truck that then occurred was</w:t>
      </w:r>
      <w:r>
        <w:rPr>
          <w:rFonts w:ascii="Times New Roman" w:hAnsi="Times New Roman"/>
          <w:sz w:val="24"/>
          <w:szCs w:val="24"/>
        </w:rPr>
        <w:t xml:space="preserve"> </w:t>
      </w:r>
      <w:r w:rsidRPr="00523EAD">
        <w:rPr>
          <w:rFonts w:ascii="Times New Roman" w:hAnsi="Times New Roman"/>
          <w:sz w:val="24"/>
          <w:szCs w:val="24"/>
        </w:rPr>
        <w:t>not the use or operation of a motor-driven vehicle. At most, it was the use or operation</w:t>
      </w:r>
    </w:p>
    <w:p w14:paraId="111E0C5F"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of a pump, which under these facts would only potentially involve the use or operation</w:t>
      </w:r>
    </w:p>
    <w:p w14:paraId="48CD52E1"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of motor-driven equipment, for which immunity has not been waived because the college</w:t>
      </w:r>
    </w:p>
    <w:p w14:paraId="07F16EB0" w14:textId="77777777" w:rsidR="0056123D" w:rsidRDefault="0056123D" w:rsidP="0056123D">
      <w:pPr>
        <w:pStyle w:val="NoSpacing"/>
        <w:ind w:left="720"/>
        <w:rPr>
          <w:rFonts w:ascii="Times New Roman" w:hAnsi="Times New Roman"/>
          <w:sz w:val="24"/>
          <w:szCs w:val="24"/>
        </w:rPr>
      </w:pPr>
      <w:r w:rsidRPr="00523EAD">
        <w:rPr>
          <w:rFonts w:ascii="Times New Roman" w:hAnsi="Times New Roman"/>
          <w:sz w:val="24"/>
          <w:szCs w:val="24"/>
        </w:rPr>
        <w:t>is a junior college district</w:t>
      </w:r>
      <w:r>
        <w:rPr>
          <w:rFonts w:ascii="Times New Roman" w:hAnsi="Times New Roman"/>
          <w:sz w:val="24"/>
          <w:szCs w:val="24"/>
        </w:rPr>
        <w:t>.”</w:t>
      </w:r>
    </w:p>
    <w:p w14:paraId="33093741" w14:textId="755CB144" w:rsidR="0056123D" w:rsidRDefault="0056123D" w:rsidP="0056123D">
      <w:pPr>
        <w:ind w:left="720"/>
        <w:rPr>
          <w:rStyle w:val="Hyperlink"/>
          <w:rFonts w:ascii="Arial Black" w:hAnsi="Arial Black"/>
          <w:b/>
          <w:color w:val="auto"/>
          <w:sz w:val="24"/>
          <w:szCs w:val="24"/>
          <w:u w:val="none"/>
        </w:rPr>
      </w:pPr>
      <w:hyperlink r:id="rId906" w:history="1">
        <w:r w:rsidRPr="00FF56A3">
          <w:rPr>
            <w:rStyle w:val="Hyperlink"/>
            <w:rFonts w:ascii="Times New Roman" w:hAnsi="Times New Roman"/>
            <w:sz w:val="24"/>
            <w:szCs w:val="24"/>
          </w:rPr>
          <w:t>https://search.txcourts.gov/SearchMedia.aspx?MediaVersionID=0759d8f0-c4e1-4852-8390-4190cacb89f6&amp;coa=coa10&amp;DT=Opinion&amp;MediaID=dc9d0fad-acea-4603-a120-a6519744d885</w:t>
        </w:r>
      </w:hyperlink>
    </w:p>
    <w:p w14:paraId="2889ED64" w14:textId="6F63338E" w:rsidR="0056123D" w:rsidRPr="00523EAD" w:rsidRDefault="0056123D" w:rsidP="0056123D">
      <w:pPr>
        <w:pStyle w:val="NoSpacing"/>
        <w:rPr>
          <w:rFonts w:ascii="Times New Roman" w:hAnsi="Times New Roman"/>
          <w:b/>
          <w:bCs/>
          <w:sz w:val="24"/>
          <w:szCs w:val="24"/>
        </w:rPr>
      </w:pPr>
      <w:r w:rsidRPr="00523EAD">
        <w:rPr>
          <w:rFonts w:ascii="Times New Roman" w:hAnsi="Times New Roman"/>
          <w:b/>
          <w:bCs/>
          <w:sz w:val="24"/>
          <w:szCs w:val="24"/>
        </w:rPr>
        <w:t>Legal Lesson Learned:</w:t>
      </w:r>
      <w:r w:rsidR="00D85969">
        <w:rPr>
          <w:rFonts w:ascii="Times New Roman" w:hAnsi="Times New Roman"/>
          <w:b/>
          <w:bCs/>
          <w:sz w:val="24"/>
          <w:szCs w:val="24"/>
        </w:rPr>
        <w:t xml:space="preserve"> U</w:t>
      </w:r>
      <w:r>
        <w:rPr>
          <w:rFonts w:ascii="Times New Roman" w:hAnsi="Times New Roman"/>
          <w:b/>
          <w:bCs/>
          <w:sz w:val="24"/>
          <w:szCs w:val="24"/>
        </w:rPr>
        <w:t xml:space="preserve">nder Texas law the plaintiff must prove by clear and unequivocal evidence that “use” of a government vehicle caused the injury. </w:t>
      </w:r>
    </w:p>
    <w:p w14:paraId="6F40034A" w14:textId="77777777" w:rsidR="0056123D" w:rsidRDefault="0056123D" w:rsidP="002B1283">
      <w:pPr>
        <w:rPr>
          <w:rStyle w:val="Hyperlink"/>
          <w:rFonts w:ascii="Arial Black" w:hAnsi="Arial Black"/>
          <w:b/>
          <w:color w:val="auto"/>
          <w:sz w:val="24"/>
          <w:szCs w:val="24"/>
          <w:u w:val="none"/>
        </w:rPr>
      </w:pPr>
    </w:p>
    <w:p w14:paraId="0ED845B7" w14:textId="0209D2C9" w:rsidR="0056123D" w:rsidRDefault="0056123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4-31</w:t>
      </w:r>
    </w:p>
    <w:p w14:paraId="2F5F23A9" w14:textId="77777777" w:rsidR="0056123D" w:rsidRDefault="0056123D" w:rsidP="0056123D">
      <w:pPr>
        <w:pStyle w:val="NoSpacing"/>
        <w:rPr>
          <w:rFonts w:ascii="Arial Black" w:hAnsi="Arial Black"/>
          <w:sz w:val="28"/>
          <w:szCs w:val="28"/>
        </w:rPr>
      </w:pPr>
      <w:r>
        <w:rPr>
          <w:rFonts w:ascii="Arial Black" w:hAnsi="Arial Black"/>
          <w:sz w:val="28"/>
          <w:szCs w:val="28"/>
        </w:rPr>
        <w:t xml:space="preserve">KS: BLACK CAPTAIN – IC AT STRIP MALL FIRE – “SHIT SHOW” – CHIEF DOC. IN PERF. REVIEW - NO DISCRIM. </w:t>
      </w:r>
    </w:p>
    <w:p w14:paraId="6FE7CEA7" w14:textId="77777777" w:rsidR="0056123D" w:rsidRPr="005B52AD" w:rsidRDefault="0056123D" w:rsidP="0056123D">
      <w:pPr>
        <w:pStyle w:val="NoSpacing"/>
        <w:rPr>
          <w:rFonts w:ascii="Times New Roman" w:hAnsi="Times New Roman"/>
          <w:sz w:val="24"/>
          <w:szCs w:val="24"/>
        </w:rPr>
      </w:pPr>
      <w:r w:rsidRPr="005B52AD">
        <w:rPr>
          <w:rFonts w:ascii="Times New Roman" w:hAnsi="Times New Roman"/>
          <w:sz w:val="24"/>
          <w:szCs w:val="24"/>
        </w:rPr>
        <w:t>[also Chap. 4]</w:t>
      </w:r>
    </w:p>
    <w:p w14:paraId="2AEFC8B7" w14:textId="77777777" w:rsidR="0056123D" w:rsidRDefault="0056123D" w:rsidP="0056123D">
      <w:pPr>
        <w:pStyle w:val="NoSpacing"/>
        <w:rPr>
          <w:rFonts w:ascii="Times New Roman" w:hAnsi="Times New Roman"/>
          <w:sz w:val="24"/>
          <w:szCs w:val="24"/>
        </w:rPr>
      </w:pPr>
    </w:p>
    <w:p w14:paraId="4BF3EB9F"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8, 2023, in </w:t>
      </w:r>
      <w:r w:rsidRPr="009108A0">
        <w:rPr>
          <w:rFonts w:ascii="Times New Roman" w:hAnsi="Times New Roman"/>
          <w:sz w:val="24"/>
          <w:szCs w:val="24"/>
          <w:u w:val="single"/>
        </w:rPr>
        <w:t>Mark Jordan v. City of Wichita, Kansas, et al.</w:t>
      </w:r>
      <w:r>
        <w:rPr>
          <w:rFonts w:ascii="Times New Roman" w:hAnsi="Times New Roman"/>
          <w:sz w:val="24"/>
          <w:szCs w:val="24"/>
        </w:rPr>
        <w:t xml:space="preserve">, U.S. District Court Judge Daniel D. Crabtree, U.S. District Court for the District of Kansas, granted the City’s motion for summary judgment.  The August 2019 strip mall fire went to two alarms; plaintiff arrived on seventh unit and took command because no one has yet become IC. Plaintiff admitted it didn’t go well and in his </w:t>
      </w:r>
      <w:proofErr w:type="gramStart"/>
      <w:r>
        <w:rPr>
          <w:rFonts w:ascii="Times New Roman" w:hAnsi="Times New Roman"/>
          <w:sz w:val="24"/>
          <w:szCs w:val="24"/>
        </w:rPr>
        <w:t>words</w:t>
      </w:r>
      <w:proofErr w:type="gramEnd"/>
      <w:r>
        <w:rPr>
          <w:rFonts w:ascii="Times New Roman" w:hAnsi="Times New Roman"/>
          <w:sz w:val="24"/>
          <w:szCs w:val="24"/>
        </w:rPr>
        <w:t xml:space="preserve"> it was a “shit show.” Fire Chief Tammy Snow arrived at scene and criticized the Acting Battalion Chief, who was on the second arriving unit, for not taking command.  The Fire Chief ordered that the annual performance review of both the plaintiff and the Acting Battalion Chief document performance concerns at that strip mall fire. </w:t>
      </w:r>
    </w:p>
    <w:p w14:paraId="67A3161D" w14:textId="77777777" w:rsidR="0056123D" w:rsidRDefault="0056123D" w:rsidP="0056123D">
      <w:pPr>
        <w:pStyle w:val="NoSpacing"/>
        <w:rPr>
          <w:rFonts w:ascii="Times New Roman" w:hAnsi="Times New Roman"/>
          <w:sz w:val="24"/>
          <w:szCs w:val="24"/>
        </w:rPr>
      </w:pPr>
    </w:p>
    <w:p w14:paraId="76945131" w14:textId="77777777" w:rsidR="0056123D" w:rsidRPr="00497B07" w:rsidRDefault="0056123D" w:rsidP="0056123D">
      <w:pPr>
        <w:pStyle w:val="NoSpacing"/>
        <w:ind w:firstLine="720"/>
        <w:rPr>
          <w:rFonts w:ascii="Times New Roman" w:hAnsi="Times New Roman"/>
          <w:sz w:val="24"/>
          <w:szCs w:val="24"/>
        </w:rPr>
      </w:pPr>
      <w:r>
        <w:rPr>
          <w:rFonts w:ascii="Times New Roman" w:hAnsi="Times New Roman"/>
          <w:sz w:val="24"/>
          <w:szCs w:val="24"/>
        </w:rPr>
        <w:t>“</w:t>
      </w:r>
      <w:r w:rsidRPr="00497B07">
        <w:rPr>
          <w:rFonts w:ascii="Times New Roman" w:hAnsi="Times New Roman"/>
          <w:sz w:val="24"/>
          <w:szCs w:val="24"/>
        </w:rPr>
        <w:t>In August 2019—before the Acting Battalion Chief debacle—a strip mall on south</w:t>
      </w:r>
    </w:p>
    <w:p w14:paraId="32FBABE7" w14:textId="77777777" w:rsidR="0056123D" w:rsidRDefault="0056123D" w:rsidP="0056123D">
      <w:pPr>
        <w:pStyle w:val="NoSpacing"/>
        <w:ind w:left="720"/>
        <w:rPr>
          <w:rFonts w:ascii="Times New Roman" w:hAnsi="Times New Roman"/>
          <w:sz w:val="24"/>
          <w:szCs w:val="24"/>
        </w:rPr>
      </w:pPr>
      <w:r w:rsidRPr="00497B07">
        <w:rPr>
          <w:rFonts w:ascii="Times New Roman" w:hAnsi="Times New Roman"/>
          <w:sz w:val="24"/>
          <w:szCs w:val="24"/>
        </w:rPr>
        <w:t>Seneca Street caught fire. Doc. 81 at 3 (Pretrial Order ¶ 2.a.x.). WFD Policy provides that the</w:t>
      </w:r>
      <w:r>
        <w:rPr>
          <w:rFonts w:ascii="Times New Roman" w:hAnsi="Times New Roman"/>
          <w:sz w:val="24"/>
          <w:szCs w:val="24"/>
        </w:rPr>
        <w:t xml:space="preserve"> </w:t>
      </w:r>
      <w:r w:rsidRPr="00497B07">
        <w:rPr>
          <w:rFonts w:ascii="Times New Roman" w:hAnsi="Times New Roman"/>
          <w:sz w:val="24"/>
          <w:szCs w:val="24"/>
        </w:rPr>
        <w:t>second fire engine to arrive at a scene should assume command</w:t>
      </w:r>
      <w:r>
        <w:rPr>
          <w:rFonts w:ascii="Times New Roman" w:hAnsi="Times New Roman"/>
          <w:sz w:val="24"/>
          <w:szCs w:val="24"/>
        </w:rPr>
        <w:t xml:space="preserve">…. </w:t>
      </w:r>
      <w:r w:rsidRPr="00497B07">
        <w:rPr>
          <w:rFonts w:ascii="Times New Roman" w:hAnsi="Times New Roman"/>
          <w:sz w:val="24"/>
          <w:szCs w:val="24"/>
        </w:rPr>
        <w:t>Plaintiff was on the seventh unit to arrive at the fire, but no one had assumed command. Id.</w:t>
      </w:r>
      <w:r>
        <w:rPr>
          <w:rFonts w:ascii="Times New Roman" w:hAnsi="Times New Roman"/>
          <w:sz w:val="24"/>
          <w:szCs w:val="24"/>
        </w:rPr>
        <w:t xml:space="preserve"> </w:t>
      </w:r>
      <w:r w:rsidRPr="00497B07">
        <w:rPr>
          <w:rFonts w:ascii="Times New Roman" w:hAnsi="Times New Roman"/>
          <w:sz w:val="24"/>
          <w:szCs w:val="24"/>
        </w:rPr>
        <w:t>So, plaintiff assumed command of the Seneca Street fire</w:t>
      </w:r>
      <w:r>
        <w:rPr>
          <w:rFonts w:ascii="Times New Roman" w:hAnsi="Times New Roman"/>
          <w:sz w:val="24"/>
          <w:szCs w:val="24"/>
        </w:rPr>
        <w:t>….</w:t>
      </w:r>
      <w:r w:rsidRPr="00497B07">
        <w:rPr>
          <w:rFonts w:ascii="Times New Roman" w:hAnsi="Times New Roman"/>
          <w:sz w:val="24"/>
          <w:szCs w:val="24"/>
        </w:rPr>
        <w:t xml:space="preserve"> With seven units already at the scene and assigned, plaintiff, as incident commander, had a</w:t>
      </w:r>
      <w:r>
        <w:rPr>
          <w:rFonts w:ascii="Times New Roman" w:hAnsi="Times New Roman"/>
          <w:sz w:val="24"/>
          <w:szCs w:val="24"/>
        </w:rPr>
        <w:t xml:space="preserve"> </w:t>
      </w:r>
      <w:r w:rsidRPr="00497B07">
        <w:rPr>
          <w:rFonts w:ascii="Times New Roman" w:hAnsi="Times New Roman"/>
          <w:sz w:val="24"/>
          <w:szCs w:val="24"/>
        </w:rPr>
        <w:t>lot of catching up to do</w:t>
      </w:r>
      <w:r>
        <w:rPr>
          <w:rFonts w:ascii="Times New Roman" w:hAnsi="Times New Roman"/>
          <w:sz w:val="24"/>
          <w:szCs w:val="24"/>
        </w:rPr>
        <w:t>….</w:t>
      </w:r>
      <w:r w:rsidRPr="00497B07">
        <w:rPr>
          <w:rFonts w:ascii="Times New Roman" w:hAnsi="Times New Roman"/>
          <w:sz w:val="24"/>
          <w:szCs w:val="24"/>
        </w:rPr>
        <w:t>(After Action Report Tr.). Plaintiff described the scene</w:t>
      </w:r>
      <w:r>
        <w:rPr>
          <w:rFonts w:ascii="Times New Roman" w:hAnsi="Times New Roman"/>
          <w:sz w:val="24"/>
          <w:szCs w:val="24"/>
        </w:rPr>
        <w:t xml:space="preserve"> </w:t>
      </w:r>
      <w:r w:rsidRPr="00497B07">
        <w:rPr>
          <w:rFonts w:ascii="Times New Roman" w:hAnsi="Times New Roman"/>
          <w:sz w:val="24"/>
          <w:szCs w:val="24"/>
        </w:rPr>
        <w:t xml:space="preserve">as a </w:t>
      </w:r>
      <w:r>
        <w:rPr>
          <w:rFonts w:ascii="Times New Roman" w:hAnsi="Times New Roman"/>
          <w:sz w:val="24"/>
          <w:szCs w:val="24"/>
        </w:rPr>
        <w:t>‘</w:t>
      </w:r>
      <w:r w:rsidRPr="00497B07">
        <w:rPr>
          <w:rFonts w:ascii="Times New Roman" w:hAnsi="Times New Roman"/>
          <w:sz w:val="24"/>
          <w:szCs w:val="24"/>
        </w:rPr>
        <w:t>shit show.</w:t>
      </w:r>
      <w:r>
        <w:rPr>
          <w:rFonts w:ascii="Times New Roman" w:hAnsi="Times New Roman"/>
          <w:sz w:val="24"/>
          <w:szCs w:val="24"/>
        </w:rPr>
        <w:t>’</w:t>
      </w:r>
      <w:r w:rsidRPr="00497B07">
        <w:rPr>
          <w:rFonts w:ascii="Times New Roman" w:hAnsi="Times New Roman"/>
          <w:sz w:val="24"/>
          <w:szCs w:val="24"/>
        </w:rPr>
        <w:t xml:space="preserve"> Doc. 86-7 at 49 (Pl. Dep. 200:6–13). Plaintiff acknowledged that he struggled</w:t>
      </w:r>
      <w:r>
        <w:rPr>
          <w:rFonts w:ascii="Times New Roman" w:hAnsi="Times New Roman"/>
          <w:sz w:val="24"/>
          <w:szCs w:val="24"/>
        </w:rPr>
        <w:t xml:space="preserve"> </w:t>
      </w:r>
      <w:r w:rsidRPr="00497B07">
        <w:rPr>
          <w:rFonts w:ascii="Times New Roman" w:hAnsi="Times New Roman"/>
          <w:sz w:val="24"/>
          <w:szCs w:val="24"/>
        </w:rPr>
        <w:t xml:space="preserve">at the scene but </w:t>
      </w:r>
      <w:proofErr w:type="gramStart"/>
      <w:r w:rsidRPr="00497B07">
        <w:rPr>
          <w:rFonts w:ascii="Times New Roman" w:hAnsi="Times New Roman"/>
          <w:sz w:val="24"/>
          <w:szCs w:val="24"/>
        </w:rPr>
        <w:t>believes</w:t>
      </w:r>
      <w:proofErr w:type="gramEnd"/>
      <w:r w:rsidRPr="00497B07">
        <w:rPr>
          <w:rFonts w:ascii="Times New Roman" w:hAnsi="Times New Roman"/>
          <w:sz w:val="24"/>
          <w:szCs w:val="24"/>
        </w:rPr>
        <w:t xml:space="preserve"> that anyone in the same situation would have struggled. </w:t>
      </w:r>
    </w:p>
    <w:p w14:paraId="7BFE945B" w14:textId="77777777" w:rsidR="0056123D" w:rsidRDefault="0056123D" w:rsidP="0056123D">
      <w:pPr>
        <w:pStyle w:val="NoSpacing"/>
        <w:ind w:left="720"/>
        <w:rPr>
          <w:rFonts w:ascii="Times New Roman" w:hAnsi="Times New Roman"/>
          <w:sz w:val="24"/>
          <w:szCs w:val="24"/>
        </w:rPr>
      </w:pPr>
    </w:p>
    <w:p w14:paraId="708E6649"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21F6E8D8" w14:textId="77777777" w:rsidR="0056123D" w:rsidRDefault="0056123D" w:rsidP="0056123D">
      <w:pPr>
        <w:pStyle w:val="NoSpacing"/>
        <w:ind w:left="720"/>
        <w:rPr>
          <w:rFonts w:ascii="Times New Roman" w:hAnsi="Times New Roman"/>
          <w:sz w:val="24"/>
          <w:szCs w:val="24"/>
        </w:rPr>
      </w:pPr>
    </w:p>
    <w:p w14:paraId="184F76B8"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Here, Chief Snow asked Pavelski to review plaintiff’s second evaluation </w:t>
      </w:r>
      <w:r>
        <w:rPr>
          <w:rFonts w:ascii="Times New Roman" w:hAnsi="Times New Roman"/>
          <w:sz w:val="24"/>
          <w:szCs w:val="24"/>
        </w:rPr>
        <w:t>‘</w:t>
      </w:r>
      <w:r w:rsidRPr="00C20869">
        <w:rPr>
          <w:rFonts w:ascii="Times New Roman" w:hAnsi="Times New Roman"/>
          <w:sz w:val="24"/>
          <w:szCs w:val="24"/>
        </w:rPr>
        <w:t>for accuracy</w:t>
      </w:r>
      <w:r>
        <w:rPr>
          <w:rFonts w:ascii="Times New Roman" w:hAnsi="Times New Roman"/>
          <w:sz w:val="24"/>
          <w:szCs w:val="24"/>
        </w:rPr>
        <w:t>.’</w:t>
      </w:r>
    </w:p>
    <w:p w14:paraId="3B8A38ED"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Doc. 86-19 (Snow, Aug. 11, </w:t>
      </w:r>
      <w:proofErr w:type="gramStart"/>
      <w:r w:rsidRPr="00C20869">
        <w:rPr>
          <w:rFonts w:ascii="Times New Roman" w:hAnsi="Times New Roman"/>
          <w:sz w:val="24"/>
          <w:szCs w:val="24"/>
        </w:rPr>
        <w:t>2020</w:t>
      </w:r>
      <w:proofErr w:type="gramEnd"/>
      <w:r w:rsidRPr="00C20869">
        <w:rPr>
          <w:rFonts w:ascii="Times New Roman" w:hAnsi="Times New Roman"/>
          <w:sz w:val="24"/>
          <w:szCs w:val="24"/>
        </w:rPr>
        <w:t xml:space="preserve"> Email). Chief Snow wanted Pavelski to add a </w:t>
      </w:r>
      <w:r>
        <w:rPr>
          <w:rFonts w:ascii="Times New Roman" w:hAnsi="Times New Roman"/>
          <w:sz w:val="24"/>
          <w:szCs w:val="24"/>
        </w:rPr>
        <w:t>‘</w:t>
      </w:r>
      <w:r w:rsidRPr="00C20869">
        <w:rPr>
          <w:rFonts w:ascii="Times New Roman" w:hAnsi="Times New Roman"/>
          <w:sz w:val="24"/>
          <w:szCs w:val="24"/>
        </w:rPr>
        <w:t>note of</w:t>
      </w:r>
    </w:p>
    <w:p w14:paraId="40B6ABE6"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t>Accountability</w:t>
      </w:r>
      <w:r>
        <w:rPr>
          <w:rFonts w:ascii="Times New Roman" w:hAnsi="Times New Roman"/>
          <w:sz w:val="24"/>
          <w:szCs w:val="24"/>
        </w:rPr>
        <w:t>’</w:t>
      </w:r>
      <w:r w:rsidRPr="00C20869">
        <w:rPr>
          <w:rFonts w:ascii="Times New Roman" w:hAnsi="Times New Roman"/>
          <w:sz w:val="24"/>
          <w:szCs w:val="24"/>
        </w:rPr>
        <w:t xml:space="preserve"> about plaintiff’s performance at the Seneca Street Fire. Doc. 86-3 at 19 (Snow</w:t>
      </w:r>
      <w:r>
        <w:rPr>
          <w:rFonts w:ascii="Times New Roman" w:hAnsi="Times New Roman"/>
          <w:sz w:val="24"/>
          <w:szCs w:val="24"/>
        </w:rPr>
        <w:t xml:space="preserve"> </w:t>
      </w:r>
      <w:r w:rsidRPr="00C20869">
        <w:rPr>
          <w:rFonts w:ascii="Times New Roman" w:hAnsi="Times New Roman"/>
          <w:sz w:val="24"/>
          <w:szCs w:val="24"/>
        </w:rPr>
        <w:t>Dep. 58:4–11).</w:t>
      </w:r>
    </w:p>
    <w:p w14:paraId="3AED5B31" w14:textId="77777777" w:rsidR="0056123D" w:rsidRDefault="0056123D" w:rsidP="0056123D">
      <w:pPr>
        <w:pStyle w:val="NoSpacing"/>
        <w:ind w:left="720"/>
        <w:rPr>
          <w:rFonts w:ascii="Times New Roman" w:hAnsi="Times New Roman"/>
          <w:sz w:val="24"/>
          <w:szCs w:val="24"/>
        </w:rPr>
      </w:pPr>
    </w:p>
    <w:p w14:paraId="3ED028F6"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2C04E1E" w14:textId="77777777" w:rsidR="0056123D" w:rsidRDefault="0056123D" w:rsidP="0056123D">
      <w:pPr>
        <w:pStyle w:val="NoSpacing"/>
        <w:ind w:left="720"/>
        <w:rPr>
          <w:rFonts w:ascii="Times New Roman" w:hAnsi="Times New Roman"/>
          <w:sz w:val="24"/>
          <w:szCs w:val="24"/>
        </w:rPr>
      </w:pPr>
    </w:p>
    <w:p w14:paraId="3681AC31"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And plaintiff acknowledged that the Seneca Street Fire was a </w:t>
      </w:r>
      <w:r>
        <w:rPr>
          <w:rFonts w:ascii="Times New Roman" w:hAnsi="Times New Roman"/>
          <w:sz w:val="24"/>
          <w:szCs w:val="24"/>
        </w:rPr>
        <w:t>‘</w:t>
      </w:r>
      <w:r w:rsidRPr="00C20869">
        <w:rPr>
          <w:rFonts w:ascii="Times New Roman" w:hAnsi="Times New Roman"/>
          <w:sz w:val="24"/>
          <w:szCs w:val="24"/>
        </w:rPr>
        <w:t>shit show,</w:t>
      </w:r>
      <w:r>
        <w:rPr>
          <w:rFonts w:ascii="Times New Roman" w:hAnsi="Times New Roman"/>
          <w:sz w:val="24"/>
          <w:szCs w:val="24"/>
        </w:rPr>
        <w:t xml:space="preserve">’ </w:t>
      </w:r>
      <w:r w:rsidRPr="00C20869">
        <w:rPr>
          <w:rFonts w:ascii="Times New Roman" w:hAnsi="Times New Roman"/>
          <w:sz w:val="24"/>
          <w:szCs w:val="24"/>
        </w:rPr>
        <w:t>Doc.</w:t>
      </w:r>
    </w:p>
    <w:p w14:paraId="27B79EBB"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t>86-7 at 49 (Pl. Dep. 200:6–13), and that he struggled at the scene, id. at 50 (Pl. Dep. 202:4–13).</w:t>
      </w:r>
      <w:r>
        <w:rPr>
          <w:rFonts w:ascii="Times New Roman" w:hAnsi="Times New Roman"/>
          <w:sz w:val="24"/>
          <w:szCs w:val="24"/>
        </w:rPr>
        <w:t xml:space="preserve"> </w:t>
      </w:r>
      <w:r w:rsidRPr="00C20869">
        <w:rPr>
          <w:rFonts w:ascii="Times New Roman" w:hAnsi="Times New Roman"/>
          <w:sz w:val="24"/>
          <w:szCs w:val="24"/>
        </w:rPr>
        <w:t>Defendants’ reason for altering plaintiff’s review is not facially prohibited—</w:t>
      </w:r>
      <w:proofErr w:type="gramStart"/>
      <w:r w:rsidRPr="00C20869">
        <w:rPr>
          <w:rFonts w:ascii="Times New Roman" w:hAnsi="Times New Roman"/>
          <w:sz w:val="24"/>
          <w:szCs w:val="24"/>
        </w:rPr>
        <w:t>so,</w:t>
      </w:r>
      <w:proofErr w:type="gramEnd"/>
      <w:r w:rsidRPr="00C20869">
        <w:rPr>
          <w:rFonts w:ascii="Times New Roman" w:hAnsi="Times New Roman"/>
          <w:sz w:val="24"/>
          <w:szCs w:val="24"/>
        </w:rPr>
        <w:t xml:space="preserve"> defendants have</w:t>
      </w:r>
      <w:r>
        <w:rPr>
          <w:rFonts w:ascii="Times New Roman" w:hAnsi="Times New Roman"/>
          <w:sz w:val="24"/>
          <w:szCs w:val="24"/>
        </w:rPr>
        <w:t xml:space="preserve"> </w:t>
      </w:r>
      <w:r w:rsidRPr="00C20869">
        <w:rPr>
          <w:rFonts w:ascii="Times New Roman" w:hAnsi="Times New Roman"/>
          <w:sz w:val="24"/>
          <w:szCs w:val="24"/>
        </w:rPr>
        <w:t>satisfied their burden at this step. Also, plaintiff doesn’t argue that defendants have failed to</w:t>
      </w:r>
      <w:r>
        <w:rPr>
          <w:rFonts w:ascii="Times New Roman" w:hAnsi="Times New Roman"/>
          <w:sz w:val="24"/>
          <w:szCs w:val="24"/>
        </w:rPr>
        <w:t xml:space="preserve"> </w:t>
      </w:r>
      <w:r w:rsidRPr="00C20869">
        <w:rPr>
          <w:rFonts w:ascii="Times New Roman" w:hAnsi="Times New Roman"/>
          <w:sz w:val="24"/>
          <w:szCs w:val="24"/>
        </w:rPr>
        <w:t>proffer a legitimate, non-discriminatory reason for modifying his performance evaluation. See</w:t>
      </w:r>
      <w:r>
        <w:rPr>
          <w:rFonts w:ascii="Times New Roman" w:hAnsi="Times New Roman"/>
          <w:sz w:val="24"/>
          <w:szCs w:val="24"/>
        </w:rPr>
        <w:t xml:space="preserve"> </w:t>
      </w:r>
      <w:r w:rsidRPr="00C20869">
        <w:rPr>
          <w:rFonts w:ascii="Times New Roman" w:hAnsi="Times New Roman"/>
          <w:sz w:val="24"/>
          <w:szCs w:val="24"/>
        </w:rPr>
        <w:t>generally Doc. 91. Defendants simply wanted plaintiff’s performance evaluation to include</w:t>
      </w:r>
      <w:r>
        <w:rPr>
          <w:rFonts w:ascii="Times New Roman" w:hAnsi="Times New Roman"/>
          <w:sz w:val="24"/>
          <w:szCs w:val="24"/>
        </w:rPr>
        <w:t xml:space="preserve"> </w:t>
      </w:r>
      <w:r w:rsidRPr="00C20869">
        <w:rPr>
          <w:rFonts w:ascii="Times New Roman" w:hAnsi="Times New Roman"/>
          <w:sz w:val="24"/>
          <w:szCs w:val="24"/>
        </w:rPr>
        <w:t>information about the Seneca Street Fire. This showing qualifies as a legitimate,</w:t>
      </w:r>
      <w:r>
        <w:rPr>
          <w:rFonts w:ascii="Times New Roman" w:hAnsi="Times New Roman"/>
          <w:sz w:val="24"/>
          <w:szCs w:val="24"/>
        </w:rPr>
        <w:t xml:space="preserve"> </w:t>
      </w:r>
      <w:r w:rsidRPr="00C20869">
        <w:rPr>
          <w:rFonts w:ascii="Times New Roman" w:hAnsi="Times New Roman"/>
          <w:sz w:val="24"/>
          <w:szCs w:val="24"/>
        </w:rPr>
        <w:t>nondiscriminatory reason satisfactory to discharge the City’s burden at step two.</w:t>
      </w:r>
    </w:p>
    <w:p w14:paraId="4A5137FC" w14:textId="77777777" w:rsidR="0056123D" w:rsidRDefault="0056123D" w:rsidP="0056123D">
      <w:pPr>
        <w:pStyle w:val="NoSpacing"/>
        <w:ind w:left="720"/>
        <w:rPr>
          <w:rFonts w:ascii="Times New Roman" w:hAnsi="Times New Roman"/>
          <w:sz w:val="24"/>
          <w:szCs w:val="24"/>
        </w:rPr>
      </w:pPr>
    </w:p>
    <w:p w14:paraId="28DDA666"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A456774" w14:textId="77777777" w:rsidR="0056123D" w:rsidRDefault="0056123D" w:rsidP="0056123D">
      <w:pPr>
        <w:pStyle w:val="NoSpacing"/>
        <w:ind w:firstLine="720"/>
        <w:rPr>
          <w:rFonts w:ascii="Times New Roman" w:hAnsi="Times New Roman"/>
          <w:sz w:val="24"/>
          <w:szCs w:val="24"/>
        </w:rPr>
      </w:pPr>
      <w:r>
        <w:rPr>
          <w:rFonts w:ascii="Times New Roman" w:hAnsi="Times New Roman"/>
          <w:sz w:val="24"/>
          <w:szCs w:val="24"/>
        </w:rPr>
        <w:t>T</w:t>
      </w:r>
      <w:r w:rsidRPr="00C20869">
        <w:rPr>
          <w:rFonts w:ascii="Times New Roman" w:hAnsi="Times New Roman"/>
          <w:sz w:val="24"/>
          <w:szCs w:val="24"/>
        </w:rPr>
        <w:t>he court concludes, instead, that plaintiff has failed to present triable issues of race</w:t>
      </w:r>
    </w:p>
    <w:p w14:paraId="339EA329"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t>discrimination and retaliation, so it declines to invoke its supplemental jurisdiction over the state</w:t>
      </w:r>
      <w:r>
        <w:rPr>
          <w:rFonts w:ascii="Times New Roman" w:hAnsi="Times New Roman"/>
          <w:sz w:val="24"/>
          <w:szCs w:val="24"/>
        </w:rPr>
        <w:t xml:space="preserve"> </w:t>
      </w:r>
      <w:r w:rsidRPr="00C20869">
        <w:rPr>
          <w:rFonts w:ascii="Times New Roman" w:hAnsi="Times New Roman"/>
          <w:sz w:val="24"/>
          <w:szCs w:val="24"/>
        </w:rPr>
        <w:t>law claims under 28 U.S.C.§ 1367(c)(3).</w:t>
      </w:r>
      <w:r>
        <w:rPr>
          <w:rFonts w:ascii="Times New Roman" w:hAnsi="Times New Roman"/>
          <w:sz w:val="24"/>
          <w:szCs w:val="24"/>
        </w:rPr>
        <w:t xml:space="preserve">”  </w:t>
      </w:r>
      <w:hyperlink r:id="rId907" w:history="1">
        <w:r w:rsidRPr="002833D6">
          <w:rPr>
            <w:rStyle w:val="Hyperlink"/>
            <w:rFonts w:ascii="Times New Roman" w:hAnsi="Times New Roman"/>
            <w:sz w:val="24"/>
            <w:szCs w:val="24"/>
          </w:rPr>
          <w:t>https://cases.justia.com/federal/district-courts/kansas/ksdce/6:2022cv01032/140026/96/0.pdf?ts=1694273736</w:t>
        </w:r>
      </w:hyperlink>
      <w:r>
        <w:rPr>
          <w:rFonts w:ascii="Times New Roman" w:hAnsi="Times New Roman"/>
          <w:sz w:val="24"/>
          <w:szCs w:val="24"/>
        </w:rPr>
        <w:t xml:space="preserve"> </w:t>
      </w:r>
    </w:p>
    <w:p w14:paraId="2E279ACA" w14:textId="77777777" w:rsidR="00AC3E10" w:rsidRDefault="00AC3E10" w:rsidP="00AC3E10">
      <w:pPr>
        <w:pStyle w:val="NoSpacing"/>
        <w:rPr>
          <w:rFonts w:ascii="Times New Roman" w:hAnsi="Times New Roman"/>
          <w:b/>
          <w:bCs/>
          <w:sz w:val="24"/>
          <w:szCs w:val="24"/>
        </w:rPr>
      </w:pPr>
    </w:p>
    <w:p w14:paraId="15C3BA2A" w14:textId="59265213" w:rsidR="00AC3E10" w:rsidRPr="0000521D" w:rsidRDefault="00AC3E10" w:rsidP="00AC3E10">
      <w:pPr>
        <w:pStyle w:val="NoSpacing"/>
        <w:rPr>
          <w:rFonts w:ascii="Times New Roman" w:hAnsi="Times New Roman"/>
          <w:b/>
          <w:bCs/>
          <w:sz w:val="24"/>
          <w:szCs w:val="24"/>
        </w:rPr>
      </w:pPr>
      <w:r w:rsidRPr="0000521D">
        <w:rPr>
          <w:rFonts w:ascii="Times New Roman" w:hAnsi="Times New Roman"/>
          <w:b/>
          <w:bCs/>
          <w:sz w:val="24"/>
          <w:szCs w:val="24"/>
        </w:rPr>
        <w:t>Legal Lesson Learned:</w:t>
      </w:r>
      <w:r>
        <w:rPr>
          <w:rFonts w:ascii="Times New Roman" w:hAnsi="Times New Roman"/>
          <w:b/>
          <w:bCs/>
          <w:sz w:val="24"/>
          <w:szCs w:val="24"/>
        </w:rPr>
        <w:t xml:space="preserve"> Fire Chief properly ordered the annual performance review </w:t>
      </w:r>
      <w:proofErr w:type="gramStart"/>
      <w:r>
        <w:rPr>
          <w:rFonts w:ascii="Times New Roman" w:hAnsi="Times New Roman"/>
          <w:b/>
          <w:bCs/>
          <w:sz w:val="24"/>
          <w:szCs w:val="24"/>
        </w:rPr>
        <w:t>include</w:t>
      </w:r>
      <w:proofErr w:type="gramEnd"/>
      <w:r>
        <w:rPr>
          <w:rFonts w:ascii="Times New Roman" w:hAnsi="Times New Roman"/>
          <w:b/>
          <w:bCs/>
          <w:sz w:val="24"/>
          <w:szCs w:val="24"/>
        </w:rPr>
        <w:t xml:space="preserve"> reference to IC issues at strip mall fire.  </w:t>
      </w:r>
    </w:p>
    <w:p w14:paraId="57C7598F" w14:textId="77777777" w:rsidR="00AC3E10" w:rsidRDefault="00AC3E10" w:rsidP="002B1283">
      <w:pPr>
        <w:rPr>
          <w:rStyle w:val="Hyperlink"/>
          <w:rFonts w:ascii="Arial Black" w:hAnsi="Arial Black"/>
          <w:b/>
          <w:color w:val="auto"/>
          <w:sz w:val="24"/>
          <w:szCs w:val="24"/>
          <w:u w:val="none"/>
        </w:rPr>
      </w:pPr>
    </w:p>
    <w:p w14:paraId="5F45B531" w14:textId="77777777" w:rsidR="0056123D" w:rsidRDefault="0056123D" w:rsidP="002B1283">
      <w:pPr>
        <w:rPr>
          <w:rStyle w:val="Hyperlink"/>
          <w:rFonts w:ascii="Arial Black" w:hAnsi="Arial Black"/>
          <w:b/>
          <w:color w:val="auto"/>
          <w:sz w:val="24"/>
          <w:szCs w:val="24"/>
          <w:u w:val="none"/>
        </w:rPr>
      </w:pPr>
    </w:p>
    <w:p w14:paraId="27E17CB9" w14:textId="05CB31E4" w:rsidR="009B0593" w:rsidRDefault="009B059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4-30</w:t>
      </w:r>
    </w:p>
    <w:p w14:paraId="40A8EE8E" w14:textId="77777777" w:rsidR="009B0593" w:rsidRDefault="009B0593" w:rsidP="009B0593">
      <w:pPr>
        <w:pStyle w:val="NormalWeb"/>
        <w:rPr>
          <w:rFonts w:ascii="Arial Black" w:hAnsi="Arial Black"/>
          <w:sz w:val="28"/>
          <w:szCs w:val="28"/>
        </w:rPr>
      </w:pPr>
      <w:r>
        <w:rPr>
          <w:rFonts w:ascii="Arial Black" w:hAnsi="Arial Black"/>
          <w:sz w:val="28"/>
          <w:szCs w:val="28"/>
        </w:rPr>
        <w:t>MD: 46-YR OLD RECRUIT – TERMINATED AT END OF RECRUIT CLASS – POOR PERFORMANCE DOCUMENTED</w:t>
      </w:r>
    </w:p>
    <w:p w14:paraId="2BD489DD" w14:textId="77777777" w:rsidR="009B0593" w:rsidRPr="00BD0E49" w:rsidRDefault="009B0593" w:rsidP="009B0593">
      <w:pPr>
        <w:pStyle w:val="NormalWeb"/>
      </w:pPr>
      <w:r w:rsidRPr="00BD0E49">
        <w:t xml:space="preserve">On Aug. 17, 2023, in </w:t>
      </w:r>
      <w:r w:rsidRPr="00BF2C69">
        <w:rPr>
          <w:u w:val="single"/>
        </w:rPr>
        <w:t>Robert D. Whittaker v. Howard County, Maryland</w:t>
      </w:r>
      <w:r w:rsidRPr="00BD0E49">
        <w:t>, Chief U.S. Magistrate Judge Beth P. Gesner granted summary judgment to the County</w:t>
      </w:r>
      <w:r>
        <w:t xml:space="preserve">, holding that the FD provided detailed training records showing that the </w:t>
      </w:r>
      <w:proofErr w:type="gramStart"/>
      <w:r>
        <w:t>46-year old</w:t>
      </w:r>
      <w:proofErr w:type="gramEnd"/>
      <w:r>
        <w:t xml:space="preserve"> FF was not meeting legitimate performance expectations. The plaintiff failed to prove the FD discriminated against him </w:t>
      </w:r>
      <w:proofErr w:type="gramStart"/>
      <w:r>
        <w:t>on the basis of</w:t>
      </w:r>
      <w:proofErr w:type="gramEnd"/>
      <w:r>
        <w:t xml:space="preserve"> age. </w:t>
      </w:r>
    </w:p>
    <w:p w14:paraId="13B9B9AE" w14:textId="77777777" w:rsidR="009B0593" w:rsidRDefault="009B0593" w:rsidP="009B0593">
      <w:pPr>
        <w:pStyle w:val="NormalWeb"/>
      </w:pPr>
      <w:r>
        <w:tab/>
        <w:t xml:space="preserve">The Magistrate wrote: </w:t>
      </w:r>
    </w:p>
    <w:p w14:paraId="57150C3F" w14:textId="77777777" w:rsidR="009B0593" w:rsidRDefault="009B0593" w:rsidP="009B0593">
      <w:pPr>
        <w:pStyle w:val="NormalWeb"/>
        <w:ind w:left="720"/>
      </w:pPr>
      <w:r>
        <w:t xml:space="preserve">“Defendant, on the other hand, offers Student Counseling/Status Report Forms and contemporaneous email exchanges between Academy trainers as evidence that plaintiff was not meeting the Department's legitimate expectations at the time of his termination. (ECF Nos. 25-8 to 25-18). Specifically, defendant identifies numerous examples of plaintiff's poor performance. </w:t>
      </w:r>
    </w:p>
    <w:p w14:paraId="5D83A407" w14:textId="77777777" w:rsidR="009B0593" w:rsidRDefault="009B0593" w:rsidP="009B0593">
      <w:pPr>
        <w:pStyle w:val="NormalWeb"/>
        <w:ind w:left="720"/>
      </w:pPr>
      <w:r>
        <w:t>***</w:t>
      </w:r>
    </w:p>
    <w:p w14:paraId="1E3883E6" w14:textId="77777777" w:rsidR="009B0593" w:rsidRDefault="009B0593" w:rsidP="009B0593">
      <w:pPr>
        <w:pStyle w:val="NormalWeb"/>
        <w:ind w:left="720"/>
      </w:pPr>
      <w:r>
        <w:t xml:space="preserve">Several members of Academy staff produced recommendations in support of plaintiff's termination based upon plaintiff's deficiencies in </w:t>
      </w:r>
      <w:proofErr w:type="gramStart"/>
      <w:r>
        <w:t>a number of</w:t>
      </w:r>
      <w:proofErr w:type="gramEnd"/>
      <w:r>
        <w:t xml:space="preserve"> areas. (ECF Nos. 25-11 at 3, 25-17, 25-18, 25-19). Plaintiff's own belief that he was performing </w:t>
      </w:r>
      <w:proofErr w:type="gramStart"/>
      <w:r>
        <w:t>effectively</w:t>
      </w:r>
      <w:proofErr w:type="gramEnd"/>
      <w:r>
        <w:t xml:space="preserve"> and the opinion of his fellow trainees are insufficient to call into question defendant's reasons for terminating plaintiff. In sum, plaintiff has failed to establish that his age was the ‘but-for cause’ of his termination and that defendant's stated, non-discriminatory reasons for plaintiff's termination were a pretext for discrimination. </w:t>
      </w:r>
      <w:r>
        <w:rPr>
          <w:i/>
          <w:iCs/>
        </w:rPr>
        <w:t>See Gross,</w:t>
      </w:r>
      <w:r>
        <w:t xml:space="preserve"> </w:t>
      </w:r>
      <w:hyperlink r:id="rId908" w:anchor="p176" w:history="1">
        <w:r>
          <w:rPr>
            <w:rStyle w:val="Hyperlink"/>
            <w:rFonts w:eastAsiaTheme="majorEastAsia"/>
          </w:rPr>
          <w:t>557 U.S. at 176</w:t>
        </w:r>
      </w:hyperlink>
      <w:r>
        <w:t xml:space="preserve"> (plaintiff </w:t>
      </w:r>
      <w:proofErr w:type="gramStart"/>
      <w:r>
        <w:t>has to</w:t>
      </w:r>
      <w:proofErr w:type="gramEnd"/>
      <w:r>
        <w:t xml:space="preserve"> show ‘by a preponderance of the evidence,’ that age was the ‘but-for cause’ of his discharge). Thus, plaintiff has failed to offer evidence to create a genuine factual dispute as to whether his employer discriminated against him </w:t>
      </w:r>
      <w:proofErr w:type="gramStart"/>
      <w:r>
        <w:t>on the basis of</w:t>
      </w:r>
      <w:proofErr w:type="gramEnd"/>
      <w:r>
        <w:t xml:space="preserve"> age.” </w:t>
      </w:r>
      <w:hyperlink r:id="rId909" w:history="1">
        <w:r w:rsidRPr="00CD12AF">
          <w:rPr>
            <w:rStyle w:val="Hyperlink"/>
            <w:rFonts w:eastAsiaTheme="majorEastAsia"/>
          </w:rPr>
          <w:t>https://casetext.com/case/whittaker-v-howard-cnty-md</w:t>
        </w:r>
      </w:hyperlink>
      <w:r>
        <w:t xml:space="preserve"> </w:t>
      </w:r>
    </w:p>
    <w:p w14:paraId="75004E89" w14:textId="77777777" w:rsidR="009B0593" w:rsidRPr="00BF2C69" w:rsidRDefault="009B0593" w:rsidP="009B0593">
      <w:pPr>
        <w:spacing w:before="100" w:beforeAutospacing="1" w:after="100" w:afterAutospacing="1" w:line="240" w:lineRule="auto"/>
        <w:rPr>
          <w:rFonts w:ascii="Times New Roman" w:eastAsia="Times New Roman" w:hAnsi="Times New Roman"/>
          <w:b/>
          <w:bCs/>
          <w:sz w:val="24"/>
          <w:szCs w:val="24"/>
        </w:rPr>
      </w:pPr>
      <w:r w:rsidRPr="00BF2C69">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FD thoroughly documented the FF’s training deficiencies. </w:t>
      </w:r>
    </w:p>
    <w:p w14:paraId="624D0AEC" w14:textId="77777777" w:rsidR="009B0593" w:rsidRDefault="009B0593" w:rsidP="002B1283">
      <w:pPr>
        <w:rPr>
          <w:rStyle w:val="Hyperlink"/>
          <w:rFonts w:ascii="Arial Black" w:hAnsi="Arial Black"/>
          <w:b/>
          <w:color w:val="auto"/>
          <w:sz w:val="24"/>
          <w:szCs w:val="24"/>
          <w:u w:val="none"/>
        </w:rPr>
      </w:pPr>
    </w:p>
    <w:p w14:paraId="493A77CB" w14:textId="77777777" w:rsidR="009B0593" w:rsidRDefault="009B0593" w:rsidP="002B1283">
      <w:pPr>
        <w:rPr>
          <w:rStyle w:val="Hyperlink"/>
          <w:rFonts w:ascii="Arial Black" w:hAnsi="Arial Black"/>
          <w:b/>
          <w:color w:val="auto"/>
          <w:sz w:val="24"/>
          <w:szCs w:val="24"/>
          <w:u w:val="none"/>
        </w:rPr>
      </w:pPr>
    </w:p>
    <w:p w14:paraId="0603B8CF" w14:textId="107A91DD" w:rsidR="00DC17BF" w:rsidRDefault="00DC17B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4-29</w:t>
      </w:r>
    </w:p>
    <w:p w14:paraId="5B42FE5C" w14:textId="77777777" w:rsidR="00DC17BF" w:rsidRPr="002304C0" w:rsidRDefault="00DC17BF" w:rsidP="00DC17BF">
      <w:pPr>
        <w:pStyle w:val="NormalWeb"/>
        <w:rPr>
          <w:rFonts w:ascii="Arial Black" w:hAnsi="Arial Black"/>
          <w:b/>
          <w:bCs/>
          <w:sz w:val="28"/>
          <w:szCs w:val="28"/>
        </w:rPr>
      </w:pPr>
      <w:bookmarkStart w:id="174" w:name="_Hlk136858989"/>
      <w:r>
        <w:rPr>
          <w:rFonts w:ascii="Arial Black" w:hAnsi="Arial Black"/>
          <w:b/>
          <w:bCs/>
          <w:sz w:val="28"/>
          <w:szCs w:val="28"/>
        </w:rPr>
        <w:t>NY: MENTAL PATIENT – LOCKED IN ROOM - SAWZALL CUT DOOR, MAN GRABBED SAW – LATER DIED – CASE PROCEED</w:t>
      </w:r>
    </w:p>
    <w:bookmarkEnd w:id="174"/>
    <w:p w14:paraId="3425080F" w14:textId="77777777" w:rsidR="00DC17BF" w:rsidRDefault="00DC17BF" w:rsidP="00DC17BF">
      <w:pPr>
        <w:pStyle w:val="NormalWeb"/>
      </w:pPr>
      <w:r w:rsidRPr="002304C0">
        <w:t xml:space="preserve">On May 30, 2023, in </w:t>
      </w:r>
      <w:r w:rsidRPr="002304C0">
        <w:rPr>
          <w:u w:val="single"/>
        </w:rPr>
        <w:t>Anthony Andre Paul, et al. v. The City of New York</w:t>
      </w:r>
      <w:r>
        <w:t xml:space="preserve">, U.S. District Court Judge Vernon S. Broderick, U.S. District Court for Southern District of New York, denied the City’s motion for summary judgment. The judge held that while police had lawful authority to force the door, tase the person, and take him to hospital, use of Sawzall raises jury </w:t>
      </w:r>
      <w:proofErr w:type="gramStart"/>
      <w:r>
        <w:t>question</w:t>
      </w:r>
      <w:proofErr w:type="gramEnd"/>
      <w:r>
        <w:t xml:space="preserve">. </w:t>
      </w:r>
    </w:p>
    <w:p w14:paraId="0BB2EBDD" w14:textId="77777777" w:rsidR="00DC17BF" w:rsidRDefault="00DC17BF" w:rsidP="00DC17BF">
      <w:pPr>
        <w:pStyle w:val="NormalWeb"/>
        <w:ind w:left="720"/>
        <w:rPr>
          <w:b/>
          <w:bCs/>
        </w:rPr>
      </w:pPr>
      <w:r>
        <w:t xml:space="preserve">“Here, there appears to be harmful bodily contact between the saw and Paul as evidenced by, among other things, the injuries Paul sustained to his hands. Further, Plaintiff asserts that the officers used the saw with the intent of harming Paul. Whether or not the evidence supports this assertion is a question of fact for the </w:t>
      </w:r>
      <w:proofErr w:type="gramStart"/>
      <w:r>
        <w:t>jury.”</w:t>
      </w:r>
      <w:proofErr w:type="gramEnd"/>
      <w:r>
        <w:t xml:space="preserve"> </w:t>
      </w:r>
      <w:hyperlink r:id="rId910" w:history="1">
        <w:r w:rsidRPr="00B908DF">
          <w:rPr>
            <w:rStyle w:val="Hyperlink"/>
            <w:rFonts w:eastAsiaTheme="majorEastAsia"/>
          </w:rPr>
          <w:t>https://public.fastcase.com/ZZhmr5v9wN%2FXOe5IsQ%2FqD1CdH2R29LNK8BT0hnz9oKtXR%2FoMxL2xC63e%2BHHuthpWCwncj7bfE4lB3MomO4uqm4E3oXBdMMZD2IWz0SNqHm0%3D?utm_medium=email&amp;_hsmi=226712652&amp;_hsenc=p2ANqtz-_2XBA_cBQDF2xes7gnarhZ-sbkcdxdJUtVuyLwtAqY2WUUI2XYCC6QqVwiuQaE3r8IP3AVZ-ZehQ2YYsnZUf5Qzx_SHw&amp;utm_content=226712652&amp;utm_source=hs_email</w:t>
        </w:r>
      </w:hyperlink>
      <w:r>
        <w:t xml:space="preserve"> </w:t>
      </w:r>
    </w:p>
    <w:p w14:paraId="65D4A063" w14:textId="77777777" w:rsidR="00DC17BF" w:rsidRPr="00CD614F" w:rsidRDefault="00DC17BF" w:rsidP="00DC17BF">
      <w:pPr>
        <w:pStyle w:val="NormalWeb"/>
        <w:rPr>
          <w:b/>
          <w:bCs/>
        </w:rPr>
      </w:pPr>
      <w:r w:rsidRPr="00CD614F">
        <w:rPr>
          <w:b/>
          <w:bCs/>
        </w:rPr>
        <w:t xml:space="preserve">Legal Lesson Learned: </w:t>
      </w:r>
      <w:r>
        <w:rPr>
          <w:b/>
          <w:bCs/>
        </w:rPr>
        <w:t xml:space="preserve">Review your SOP on forced entry and use of power saws. </w:t>
      </w:r>
    </w:p>
    <w:p w14:paraId="592AD7C5" w14:textId="17EBB9EA" w:rsidR="007959C9" w:rsidRDefault="002D64A4"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4-28</w:t>
      </w:r>
    </w:p>
    <w:p w14:paraId="61D55321" w14:textId="77777777" w:rsidR="002D64A4" w:rsidRPr="00835DBE" w:rsidRDefault="002D64A4" w:rsidP="002D64A4">
      <w:pPr>
        <w:pStyle w:val="NormalWeb"/>
        <w:rPr>
          <w:rFonts w:ascii="Arial Black" w:hAnsi="Arial Black"/>
          <w:sz w:val="28"/>
          <w:szCs w:val="28"/>
        </w:rPr>
      </w:pPr>
      <w:r>
        <w:rPr>
          <w:rFonts w:ascii="Arial Black" w:hAnsi="Arial Black"/>
          <w:sz w:val="28"/>
          <w:szCs w:val="28"/>
        </w:rPr>
        <w:t>NB: FF FIRED – SHE CLAIMED CAPTAIN “ABANDONED US” IN FIRE – MAY DEPOSE OUTSIDE ATTY INVESTIGATED CLAIM</w:t>
      </w:r>
    </w:p>
    <w:p w14:paraId="4FE30FE6" w14:textId="77777777" w:rsidR="002D64A4" w:rsidRDefault="002D64A4" w:rsidP="002D64A4">
      <w:pPr>
        <w:spacing w:after="100" w:line="240" w:lineRule="auto"/>
        <w:jc w:val="both"/>
        <w:rPr>
          <w:rFonts w:ascii="Times New Roman" w:hAnsi="Times New Roman"/>
          <w:sz w:val="24"/>
          <w:szCs w:val="24"/>
        </w:rPr>
      </w:pPr>
      <w:r w:rsidRPr="006F5EA9">
        <w:rPr>
          <w:rFonts w:ascii="Times New Roman" w:hAnsi="Times New Roman"/>
          <w:sz w:val="24"/>
          <w:szCs w:val="24"/>
        </w:rPr>
        <w:t xml:space="preserve">On March 1, 2023, in </w:t>
      </w:r>
      <w:r w:rsidRPr="006F5EA9">
        <w:rPr>
          <w:rFonts w:ascii="Times New Roman" w:hAnsi="Times New Roman"/>
          <w:sz w:val="24"/>
          <w:szCs w:val="24"/>
          <w:u w:val="single"/>
        </w:rPr>
        <w:t>Amanda Benson v. City of Lincoln, et al</w:t>
      </w:r>
      <w:r w:rsidRPr="006F5EA9">
        <w:rPr>
          <w:rFonts w:ascii="Times New Roman" w:hAnsi="Times New Roman"/>
          <w:sz w:val="24"/>
          <w:szCs w:val="24"/>
        </w:rPr>
        <w:t xml:space="preserve">., U.S. District Court Judge Brian C. Buescher, District Court of Nebraska, entered an order limiting the topics that plaintiff may ask during the deposition of attorney Torrey Gerdes, who was retained by the </w:t>
      </w:r>
      <w:proofErr w:type="gramStart"/>
      <w:r w:rsidRPr="006F5EA9">
        <w:rPr>
          <w:rFonts w:ascii="Times New Roman" w:hAnsi="Times New Roman"/>
          <w:sz w:val="24"/>
          <w:szCs w:val="24"/>
        </w:rPr>
        <w:t>City</w:t>
      </w:r>
      <w:proofErr w:type="gramEnd"/>
      <w:r w:rsidRPr="006F5EA9">
        <w:rPr>
          <w:rFonts w:ascii="Times New Roman" w:hAnsi="Times New Roman"/>
          <w:sz w:val="24"/>
          <w:szCs w:val="24"/>
        </w:rPr>
        <w:t xml:space="preserve"> (paid $180,000) to investigated the firefighter’s claims of being endangered by a FD Captain at the warehouse fire.  Judge Buescher ruled that the City did not wave the attorney-client privilege (such as her advice to the City) or attorney work product privilege (such as her investigative notes) when it provided the investigation report to the plaintiff.  </w:t>
      </w:r>
    </w:p>
    <w:p w14:paraId="54E5CE82" w14:textId="77777777" w:rsidR="002D64A4" w:rsidRPr="006F5EA9" w:rsidRDefault="002D64A4" w:rsidP="002D64A4">
      <w:pPr>
        <w:spacing w:after="100" w:line="240" w:lineRule="auto"/>
        <w:jc w:val="both"/>
        <w:rPr>
          <w:rFonts w:ascii="Times New Roman" w:eastAsia="Times New Roman" w:hAnsi="Times New Roman"/>
          <w:sz w:val="24"/>
          <w:szCs w:val="24"/>
        </w:rPr>
      </w:pPr>
      <w:hyperlink r:id="rId911" w:history="1">
        <w:r w:rsidRPr="00C863CC">
          <w:rPr>
            <w:rStyle w:val="Hyperlink"/>
            <w:rFonts w:ascii="Times New Roman" w:hAnsi="Times New Roman"/>
            <w:sz w:val="24"/>
            <w:szCs w:val="24"/>
          </w:rPr>
          <w:t>https://public.fastcase.com/J%2FJP6pdidelsXxEE4k%2BLMku%2FobbeA4O7XFFZreFgRQx%2BWZ7fzC1IhmGay6LSjTfKJi%2F0lJWfruI6T6uwjyLWcTFUlKk%2FJDuh9Eyt0JVbsGk%3D?utm_medium=email&amp;_hsmi=226712652&amp;_hsenc=p2ANqtz-8osvFL3X0gyhLaJKRyW92xrD2GPamYVB-ledl39OimVvrR3SDszthVFmIjtescLBDKIYLBKlOi8FN2nFy4wMQT_YiRlg&amp;utm_content=226712652&amp;utm_source=hs_email</w:t>
        </w:r>
      </w:hyperlink>
      <w:r w:rsidRPr="006F5EA9">
        <w:rPr>
          <w:rFonts w:ascii="Times New Roman" w:hAnsi="Times New Roman"/>
          <w:sz w:val="24"/>
          <w:szCs w:val="24"/>
        </w:rPr>
        <w:t xml:space="preserve">  </w:t>
      </w:r>
    </w:p>
    <w:p w14:paraId="0F3036E8" w14:textId="77777777" w:rsidR="002D64A4" w:rsidRDefault="002D64A4" w:rsidP="002D64A4">
      <w:pPr>
        <w:pStyle w:val="NormalWeb"/>
        <w:ind w:left="720"/>
      </w:pPr>
      <w:r>
        <w:t>“On October 19, 2021, after a [pre-disciplinary] hearing, Chief Engler terminated Benson's employment, concluding:</w:t>
      </w:r>
    </w:p>
    <w:p w14:paraId="47B7286A" w14:textId="77777777" w:rsidR="002D64A4" w:rsidRDefault="002D64A4" w:rsidP="002D64A4">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1D30FE">
        <w:rPr>
          <w:rFonts w:ascii="Times New Roman" w:eastAsia="Times New Roman" w:hAnsi="Times New Roman"/>
          <w:sz w:val="24"/>
          <w:szCs w:val="24"/>
        </w:rPr>
        <w:t xml:space="preserve">The evidence confirms that you made serious false allegations against a fellow firefighter. You reported to Lincoln Fire and Rescue (LF&amp;R) and have continuously stated thereafter that you and your crew were abandoned in a dangerous burning warehouse by Captain Shawn Mahler at the April 26, </w:t>
      </w:r>
      <w:proofErr w:type="gramStart"/>
      <w:r w:rsidRPr="001D30FE">
        <w:rPr>
          <w:rFonts w:ascii="Times New Roman" w:eastAsia="Times New Roman" w:hAnsi="Times New Roman"/>
          <w:sz w:val="24"/>
          <w:szCs w:val="24"/>
        </w:rPr>
        <w:t>2021</w:t>
      </w:r>
      <w:proofErr w:type="gramEnd"/>
      <w:r w:rsidRPr="001D30FE">
        <w:rPr>
          <w:rFonts w:ascii="Times New Roman" w:eastAsia="Times New Roman" w:hAnsi="Times New Roman"/>
          <w:sz w:val="24"/>
          <w:szCs w:val="24"/>
        </w:rPr>
        <w:t xml:space="preserve"> fire scene. You also stated that his behavior </w:t>
      </w:r>
      <w:r>
        <w:rPr>
          <w:rFonts w:ascii="Times New Roman" w:eastAsia="Times New Roman" w:hAnsi="Times New Roman"/>
          <w:sz w:val="24"/>
          <w:szCs w:val="24"/>
        </w:rPr>
        <w:t>‘</w:t>
      </w:r>
      <w:r w:rsidRPr="001D30FE">
        <w:rPr>
          <w:rFonts w:ascii="Times New Roman" w:eastAsia="Times New Roman" w:hAnsi="Times New Roman"/>
          <w:sz w:val="24"/>
          <w:szCs w:val="24"/>
        </w:rPr>
        <w:t>could have injured or killed [you], FAO Roberts, and FF Recruit Hurley.</w:t>
      </w:r>
      <w:r>
        <w:rPr>
          <w:rFonts w:ascii="Times New Roman" w:eastAsia="Times New Roman" w:hAnsi="Times New Roman"/>
          <w:sz w:val="24"/>
          <w:szCs w:val="24"/>
        </w:rPr>
        <w:t>’</w:t>
      </w:r>
      <w:r w:rsidRPr="001D30FE">
        <w:rPr>
          <w:rFonts w:ascii="Times New Roman" w:eastAsia="Times New Roman" w:hAnsi="Times New Roman"/>
          <w:sz w:val="24"/>
          <w:szCs w:val="24"/>
        </w:rPr>
        <w:t xml:space="preserve"> </w:t>
      </w:r>
      <w:r w:rsidRPr="001D30FE">
        <w:rPr>
          <w:rFonts w:ascii="Times New Roman" w:eastAsia="Times New Roman" w:hAnsi="Times New Roman"/>
          <w:i/>
          <w:iCs/>
          <w:sz w:val="24"/>
          <w:szCs w:val="24"/>
        </w:rPr>
        <w:t>See, e.g.</w:t>
      </w:r>
      <w:r w:rsidRPr="001D30FE">
        <w:rPr>
          <w:rFonts w:ascii="Times New Roman" w:eastAsia="Times New Roman" w:hAnsi="Times New Roman"/>
          <w:sz w:val="24"/>
          <w:szCs w:val="24"/>
        </w:rPr>
        <w:t xml:space="preserve">, your June 11, </w:t>
      </w:r>
      <w:proofErr w:type="gramStart"/>
      <w:r w:rsidRPr="001D30FE">
        <w:rPr>
          <w:rFonts w:ascii="Times New Roman" w:eastAsia="Times New Roman" w:hAnsi="Times New Roman"/>
          <w:sz w:val="24"/>
          <w:szCs w:val="24"/>
        </w:rPr>
        <w:t>2021</w:t>
      </w:r>
      <w:proofErr w:type="gramEnd"/>
      <w:r w:rsidRPr="001D30FE">
        <w:rPr>
          <w:rFonts w:ascii="Times New Roman" w:eastAsia="Times New Roman" w:hAnsi="Times New Roman"/>
          <w:sz w:val="24"/>
          <w:szCs w:val="24"/>
        </w:rPr>
        <w:t xml:space="preserve"> sworn statement and incorporated attachments filed in Case No. 4:18CV3127. However, none of the evidence, audio recording/transcript, witness statements, the findings of investigator Torrey Gerdes, or the findings of Judge Kopf lend any credibility to your statements.</w:t>
      </w:r>
      <w:r>
        <w:rPr>
          <w:rFonts w:ascii="Times New Roman" w:eastAsia="Times New Roman" w:hAnsi="Times New Roman"/>
          <w:sz w:val="24"/>
          <w:szCs w:val="24"/>
        </w:rPr>
        <w:t xml:space="preserve">’ </w:t>
      </w:r>
    </w:p>
    <w:p w14:paraId="589644F2" w14:textId="77777777" w:rsidR="002D64A4" w:rsidRDefault="002D64A4" w:rsidP="002D64A4">
      <w:pPr>
        <w:pStyle w:val="NormalWeb"/>
      </w:pPr>
      <w:r>
        <w:t>Judge Buescher set aside a U.S. Magistrate’s less restrictive decision and held:</w:t>
      </w:r>
    </w:p>
    <w:p w14:paraId="17DFDAF9" w14:textId="77777777" w:rsidR="002D64A4" w:rsidRDefault="002D64A4" w:rsidP="002D64A4">
      <w:pPr>
        <w:pStyle w:val="NormalWeb"/>
        <w:ind w:firstLine="720"/>
      </w:pPr>
      <w:r>
        <w:t>“IT IS ORDERED:</w:t>
      </w:r>
    </w:p>
    <w:p w14:paraId="01E03AE2" w14:textId="77777777" w:rsidR="002D64A4" w:rsidRDefault="002D64A4" w:rsidP="002D64A4">
      <w:pPr>
        <w:pStyle w:val="NormalWeb"/>
        <w:ind w:left="720"/>
      </w:pPr>
      <w:r>
        <w:t xml:space="preserve">1. </w:t>
      </w:r>
      <w:proofErr w:type="gramStart"/>
      <w:r>
        <w:t>With regard to</w:t>
      </w:r>
      <w:proofErr w:type="gramEnd"/>
      <w:r>
        <w:t xml:space="preserve"> Gerdes' investigation into the events of April 26, 2021, plaintiff Benson may inquire into the general methods by which Gerdes conducts investigations and into the facts set forth in the Investigation Report … but Benson will not inquire into topics that the Court has determined are privileged;  </w:t>
      </w:r>
    </w:p>
    <w:p w14:paraId="123F9AF7" w14:textId="77777777" w:rsidR="002D64A4" w:rsidRDefault="002D64A4" w:rsidP="002D64A4">
      <w:pPr>
        <w:pStyle w:val="NormalWeb"/>
        <w:ind w:left="720"/>
      </w:pPr>
      <w:r>
        <w:t xml:space="preserve">2. Benson will not inquire into … any other investigation that does not directly involve Benson;  </w:t>
      </w:r>
    </w:p>
    <w:p w14:paraId="2D28A550" w14:textId="77777777" w:rsidR="002D64A4" w:rsidRDefault="002D64A4" w:rsidP="002D64A4">
      <w:pPr>
        <w:pStyle w:val="NormalWeb"/>
        <w:ind w:left="720"/>
      </w:pPr>
      <w:r>
        <w:t xml:space="preserve">3. Benson will not inquire into communications by Gerdes that are attorney-client privileged, including communications with the </w:t>
      </w:r>
      <w:proofErr w:type="gramStart"/>
      <w:r>
        <w:t>City</w:t>
      </w:r>
      <w:proofErr w:type="gramEnd"/>
      <w:r>
        <w:t xml:space="preserve"> or its attorneys or any of Gerdes' other clients.”  </w:t>
      </w:r>
    </w:p>
    <w:p w14:paraId="0B5AC5A8" w14:textId="77777777" w:rsidR="002D64A4" w:rsidRDefault="002D64A4" w:rsidP="002D64A4">
      <w:pPr>
        <w:spacing w:after="100" w:line="240" w:lineRule="auto"/>
        <w:rPr>
          <w:rFonts w:ascii="Times New Roman" w:eastAsia="Times New Roman" w:hAnsi="Times New Roman"/>
          <w:sz w:val="24"/>
          <w:szCs w:val="24"/>
        </w:rPr>
      </w:pPr>
      <w:r w:rsidRPr="00D76867">
        <w:rPr>
          <w:rFonts w:ascii="Times New Roman" w:hAnsi="Times New Roman"/>
          <w:sz w:val="24"/>
          <w:szCs w:val="24"/>
        </w:rPr>
        <w:t>The judge further wrote that while he won’t impose a specific time limit in the deposition: “The Court adds however that it cannot imagine that the deposition would need to run more than four hours.”</w:t>
      </w:r>
      <w:r>
        <w:rPr>
          <w:sz w:val="20"/>
          <w:szCs w:val="20"/>
        </w:rPr>
        <w:t xml:space="preserve">  </w:t>
      </w:r>
    </w:p>
    <w:p w14:paraId="345D7E78" w14:textId="77777777" w:rsidR="002D64A4" w:rsidRPr="001D30FE" w:rsidRDefault="002D64A4" w:rsidP="002D64A4">
      <w:pPr>
        <w:spacing w:after="100" w:line="240" w:lineRule="auto"/>
        <w:rPr>
          <w:rFonts w:ascii="Times New Roman" w:eastAsia="Times New Roman" w:hAnsi="Times New Roman"/>
          <w:b/>
          <w:bCs/>
          <w:sz w:val="24"/>
          <w:szCs w:val="24"/>
        </w:rPr>
      </w:pPr>
      <w:r w:rsidRPr="00E27637">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When a City retains outside legal counsel to investigate a firefighter’s claims</w:t>
      </w:r>
      <w:proofErr w:type="gramStart"/>
      <w:r>
        <w:rPr>
          <w:rFonts w:ascii="Times New Roman" w:eastAsia="Times New Roman" w:hAnsi="Times New Roman"/>
          <w:b/>
          <w:bCs/>
          <w:sz w:val="24"/>
          <w:szCs w:val="24"/>
        </w:rPr>
        <w:t>, providing</w:t>
      </w:r>
      <w:proofErr w:type="gramEnd"/>
      <w:r>
        <w:rPr>
          <w:rFonts w:ascii="Times New Roman" w:eastAsia="Times New Roman" w:hAnsi="Times New Roman"/>
          <w:b/>
          <w:bCs/>
          <w:sz w:val="24"/>
          <w:szCs w:val="24"/>
        </w:rPr>
        <w:t xml:space="preserve"> the investigation report to the firefighter does not waive attorney-client or attorney work-product privilege.  </w:t>
      </w:r>
    </w:p>
    <w:p w14:paraId="2B07B5C7" w14:textId="77777777" w:rsidR="002D64A4" w:rsidRDefault="002D64A4" w:rsidP="002B1283">
      <w:pPr>
        <w:rPr>
          <w:rStyle w:val="Hyperlink"/>
          <w:rFonts w:ascii="Arial Black" w:hAnsi="Arial Black"/>
          <w:b/>
          <w:color w:val="auto"/>
          <w:sz w:val="24"/>
          <w:szCs w:val="24"/>
          <w:u w:val="none"/>
        </w:rPr>
      </w:pPr>
    </w:p>
    <w:p w14:paraId="51126CC7" w14:textId="517B7804" w:rsidR="007959C9" w:rsidRDefault="007959C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4-27</w:t>
      </w:r>
    </w:p>
    <w:p w14:paraId="1AB24A19" w14:textId="76A2A418" w:rsidR="007959C9" w:rsidRDefault="007959C9" w:rsidP="007959C9">
      <w:pPr>
        <w:rPr>
          <w:rFonts w:ascii="Arial Black" w:hAnsi="Arial Black"/>
          <w:sz w:val="28"/>
          <w:szCs w:val="28"/>
        </w:rPr>
      </w:pPr>
      <w:r>
        <w:rPr>
          <w:rFonts w:ascii="Arial Black" w:hAnsi="Arial Black"/>
          <w:sz w:val="28"/>
          <w:szCs w:val="28"/>
        </w:rPr>
        <w:t>WV: FIRE CHIEF FIRED – FALSIF</w:t>
      </w:r>
      <w:r w:rsidR="003E054D">
        <w:rPr>
          <w:rFonts w:ascii="Arial Black" w:hAnsi="Arial Black"/>
          <w:sz w:val="28"/>
          <w:szCs w:val="28"/>
        </w:rPr>
        <w:t>IED</w:t>
      </w:r>
      <w:r>
        <w:rPr>
          <w:rFonts w:ascii="Arial Black" w:hAnsi="Arial Black"/>
          <w:sz w:val="28"/>
          <w:szCs w:val="28"/>
        </w:rPr>
        <w:t xml:space="preserve"> HYDRANT &amp; TRAINING RECORDS – NO CIVIL SERVICE PROTECTION</w:t>
      </w:r>
    </w:p>
    <w:p w14:paraId="44D15D79" w14:textId="77777777" w:rsidR="007959C9" w:rsidRDefault="007959C9" w:rsidP="007959C9">
      <w:pPr>
        <w:rPr>
          <w:rFonts w:ascii="Times New Roman" w:hAnsi="Times New Roman"/>
          <w:sz w:val="24"/>
          <w:szCs w:val="24"/>
        </w:rPr>
      </w:pPr>
      <w:r w:rsidRPr="001B1F04">
        <w:rPr>
          <w:rFonts w:ascii="Times New Roman" w:hAnsi="Times New Roman"/>
          <w:sz w:val="24"/>
          <w:szCs w:val="24"/>
        </w:rPr>
        <w:t xml:space="preserve">On Jan. 18, 2023, in </w:t>
      </w:r>
      <w:r w:rsidRPr="001B1F04">
        <w:rPr>
          <w:rFonts w:ascii="Times New Roman" w:hAnsi="Times New Roman"/>
          <w:sz w:val="24"/>
          <w:szCs w:val="24"/>
          <w:u w:val="single"/>
        </w:rPr>
        <w:t>David Crimm v. City of Grafton</w:t>
      </w:r>
      <w:r w:rsidRPr="001B1F04">
        <w:rPr>
          <w:rFonts w:ascii="Times New Roman" w:hAnsi="Times New Roman"/>
          <w:sz w:val="24"/>
          <w:szCs w:val="24"/>
        </w:rPr>
        <w:t xml:space="preserve">, </w:t>
      </w:r>
      <w:r>
        <w:rPr>
          <w:rFonts w:ascii="Times New Roman" w:hAnsi="Times New Roman"/>
          <w:sz w:val="24"/>
          <w:szCs w:val="24"/>
        </w:rPr>
        <w:t xml:space="preserve">the Supreme Court of Appeals of West Virginia held (5 to 0) that the trial court properly dismissed the former Fire Chiefs appeal; the evidence was so clear the Court of Appeals decided this appeal without oral argument. He was fired in </w:t>
      </w:r>
      <w:proofErr w:type="gramStart"/>
      <w:r>
        <w:rPr>
          <w:rFonts w:ascii="Times New Roman" w:hAnsi="Times New Roman"/>
          <w:sz w:val="24"/>
          <w:szCs w:val="24"/>
        </w:rPr>
        <w:t>March,</w:t>
      </w:r>
      <w:proofErr w:type="gramEnd"/>
      <w:r>
        <w:rPr>
          <w:rFonts w:ascii="Times New Roman" w:hAnsi="Times New Roman"/>
          <w:sz w:val="24"/>
          <w:szCs w:val="24"/>
        </w:rPr>
        <w:t xml:space="preserve"> 2018 for </w:t>
      </w:r>
      <w:r w:rsidRPr="00BE4B52">
        <w:rPr>
          <w:rFonts w:ascii="Times New Roman" w:hAnsi="Times New Roman"/>
          <w:sz w:val="24"/>
          <w:szCs w:val="24"/>
        </w:rPr>
        <w:t>"falsification of official city documents</w:t>
      </w:r>
      <w:r>
        <w:rPr>
          <w:rFonts w:ascii="Times New Roman" w:hAnsi="Times New Roman"/>
          <w:sz w:val="24"/>
          <w:szCs w:val="24"/>
        </w:rPr>
        <w:t>.” The city presented documentation to the Circuit Court judge that he had ordered subordinates to falsify the fire hydrant and department training records. The Court found: “</w:t>
      </w:r>
      <w:r w:rsidRPr="002A6C90">
        <w:rPr>
          <w:rStyle w:val="markedcontent"/>
          <w:rFonts w:ascii="Times New Roman" w:hAnsi="Times New Roman"/>
        </w:rPr>
        <w:t>Here, the City ordinance reflects the City’s decision not to place the position of fire chief</w:t>
      </w:r>
      <w:r>
        <w:rPr>
          <w:rStyle w:val="markedcontent"/>
          <w:rFonts w:ascii="Times New Roman" w:hAnsi="Times New Roman"/>
        </w:rPr>
        <w:t xml:space="preserve"> </w:t>
      </w:r>
      <w:r w:rsidRPr="002A6C90">
        <w:rPr>
          <w:rStyle w:val="markedcontent"/>
          <w:rFonts w:ascii="Times New Roman" w:hAnsi="Times New Roman"/>
        </w:rPr>
        <w:t>under the civil service provisions. Because the position was not placed within civil service</w:t>
      </w:r>
      <w:r>
        <w:rPr>
          <w:rStyle w:val="markedcontent"/>
          <w:rFonts w:ascii="Times New Roman" w:hAnsi="Times New Roman"/>
        </w:rPr>
        <w:t xml:space="preserve"> </w:t>
      </w:r>
      <w:r w:rsidRPr="002A6C90">
        <w:rPr>
          <w:rStyle w:val="markedcontent"/>
          <w:rFonts w:ascii="Times New Roman" w:hAnsi="Times New Roman"/>
        </w:rPr>
        <w:t>provisions, he has failed to show that he is entitled to a civil service position within the Grafton</w:t>
      </w:r>
      <w:r>
        <w:rPr>
          <w:rStyle w:val="markedcontent"/>
          <w:rFonts w:ascii="Times New Roman" w:hAnsi="Times New Roman"/>
        </w:rPr>
        <w:t xml:space="preserve"> </w:t>
      </w:r>
      <w:r w:rsidRPr="002A6C90">
        <w:rPr>
          <w:rStyle w:val="markedcontent"/>
          <w:rFonts w:ascii="Times New Roman" w:hAnsi="Times New Roman"/>
        </w:rPr>
        <w:t xml:space="preserve">Fire Department. In addition, contrary to petitioner’s assertions, the </w:t>
      </w:r>
      <w:proofErr w:type="gramStart"/>
      <w:r w:rsidRPr="002A6C90">
        <w:rPr>
          <w:rStyle w:val="markedcontent"/>
          <w:rFonts w:ascii="Times New Roman" w:hAnsi="Times New Roman"/>
        </w:rPr>
        <w:t>City</w:t>
      </w:r>
      <w:proofErr w:type="gramEnd"/>
      <w:r w:rsidRPr="002A6C90">
        <w:rPr>
          <w:rStyle w:val="markedcontent"/>
          <w:rFonts w:ascii="Times New Roman" w:hAnsi="Times New Roman"/>
        </w:rPr>
        <w:t xml:space="preserve"> presented documentary</w:t>
      </w:r>
      <w:r>
        <w:rPr>
          <w:rStyle w:val="markedcontent"/>
          <w:rFonts w:ascii="Times New Roman" w:hAnsi="Times New Roman"/>
        </w:rPr>
        <w:t xml:space="preserve"> </w:t>
      </w:r>
      <w:r w:rsidRPr="002A6C90">
        <w:rPr>
          <w:rStyle w:val="markedcontent"/>
          <w:rFonts w:ascii="Times New Roman" w:hAnsi="Times New Roman"/>
        </w:rPr>
        <w:t>evidence to the circuit court regarding petitioner ordering subordinates to falsify the fire hydrant</w:t>
      </w:r>
      <w:r>
        <w:rPr>
          <w:rStyle w:val="markedcontent"/>
          <w:rFonts w:ascii="Times New Roman" w:hAnsi="Times New Roman"/>
        </w:rPr>
        <w:t xml:space="preserve"> </w:t>
      </w:r>
      <w:r w:rsidRPr="002A6C90">
        <w:rPr>
          <w:rStyle w:val="markedcontent"/>
          <w:rFonts w:ascii="Times New Roman" w:hAnsi="Times New Roman"/>
        </w:rPr>
        <w:t>and department training records for the Grafton Fire Department</w:t>
      </w:r>
      <w:r>
        <w:rPr>
          <w:rStyle w:val="markedcontent"/>
          <w:rFonts w:ascii="Times New Roman" w:hAnsi="Times New Roman"/>
        </w:rPr>
        <w:t xml:space="preserve"> “</w:t>
      </w:r>
      <w:r>
        <w:rPr>
          <w:rFonts w:ascii="Times New Roman" w:hAnsi="Times New Roman"/>
          <w:sz w:val="24"/>
          <w:szCs w:val="24"/>
        </w:rPr>
        <w:t xml:space="preserve"> </w:t>
      </w:r>
      <w:hyperlink r:id="rId912" w:history="1">
        <w:r w:rsidRPr="00F65122">
          <w:rPr>
            <w:rStyle w:val="Hyperlink"/>
            <w:sz w:val="24"/>
            <w:szCs w:val="24"/>
          </w:rPr>
          <w:t>http://www.courtswv.gov/supreme-court/memo-decisions/spring2023/21-0921%20md.pdf</w:t>
        </w:r>
      </w:hyperlink>
      <w:r>
        <w:rPr>
          <w:rFonts w:ascii="Times New Roman" w:hAnsi="Times New Roman"/>
          <w:sz w:val="24"/>
          <w:szCs w:val="24"/>
        </w:rPr>
        <w:t xml:space="preserve"> </w:t>
      </w:r>
    </w:p>
    <w:p w14:paraId="2EFBD43C" w14:textId="77777777" w:rsidR="007959C9" w:rsidRDefault="007959C9" w:rsidP="007959C9">
      <w:pPr>
        <w:ind w:left="720"/>
        <w:rPr>
          <w:rFonts w:ascii="Times New Roman" w:hAnsi="Times New Roman"/>
          <w:sz w:val="24"/>
          <w:szCs w:val="24"/>
        </w:rPr>
      </w:pPr>
      <w:r w:rsidRPr="00BE4B52">
        <w:rPr>
          <w:rFonts w:ascii="Times New Roman" w:hAnsi="Times New Roman"/>
          <w:sz w:val="24"/>
          <w:szCs w:val="24"/>
        </w:rPr>
        <w:t>“That evidence included a June of 2018 letter from the county prosecutor setting forth his belief that petitioner had falsified documents and an April of 2018 letter from a state police sergeant detailing conversations with several individuals, which support the City's contention that petitioner directed subordinates to falsify records. The purported training records, which were reportedly completely fabricated at petitioner's direction, and fire hydrant tests, which were presented as new data despite reusing outdated data from previous years at petitioner's direction, were also produced below and are included in the record before this Court.</w:t>
      </w:r>
    </w:p>
    <w:p w14:paraId="0E09BD25" w14:textId="77777777" w:rsidR="007959C9" w:rsidRDefault="007959C9" w:rsidP="007959C9">
      <w:pPr>
        <w:ind w:left="720"/>
        <w:rPr>
          <w:rFonts w:ascii="Times New Roman" w:hAnsi="Times New Roman"/>
          <w:sz w:val="24"/>
          <w:szCs w:val="24"/>
        </w:rPr>
      </w:pPr>
      <w:r>
        <w:rPr>
          <w:rFonts w:ascii="Times New Roman" w:hAnsi="Times New Roman"/>
          <w:sz w:val="24"/>
          <w:szCs w:val="24"/>
        </w:rPr>
        <w:t>***</w:t>
      </w:r>
    </w:p>
    <w:p w14:paraId="26A9E286" w14:textId="77777777" w:rsidR="007959C9" w:rsidRDefault="007959C9" w:rsidP="007959C9">
      <w:pPr>
        <w:ind w:left="720"/>
        <w:rPr>
          <w:rFonts w:ascii="Times New Roman" w:hAnsi="Times New Roman"/>
          <w:sz w:val="24"/>
          <w:szCs w:val="24"/>
        </w:rPr>
      </w:pPr>
      <w:r w:rsidRPr="00BE4B52">
        <w:rPr>
          <w:rFonts w:ascii="Times New Roman" w:hAnsi="Times New Roman"/>
          <w:sz w:val="24"/>
          <w:szCs w:val="24"/>
        </w:rPr>
        <w:t>Here, the City ordinance reflects the City's decision not to place the position of fire chief under the civil service provisions. Because the position was not placed within civil service provisions, he has failed to show that he is entitled to a civil service position within the Grafton Fire Department.</w:t>
      </w:r>
      <w:r>
        <w:rPr>
          <w:rFonts w:ascii="Times New Roman" w:hAnsi="Times New Roman"/>
          <w:sz w:val="24"/>
          <w:szCs w:val="24"/>
        </w:rPr>
        <w:t>”</w:t>
      </w:r>
    </w:p>
    <w:p w14:paraId="5E63FD5A" w14:textId="77777777" w:rsidR="007959C9" w:rsidRPr="00BE4B52" w:rsidRDefault="007959C9" w:rsidP="007959C9">
      <w:pPr>
        <w:rPr>
          <w:rFonts w:ascii="Times New Roman" w:hAnsi="Times New Roman"/>
          <w:b/>
          <w:bCs/>
          <w:sz w:val="24"/>
          <w:szCs w:val="24"/>
        </w:rPr>
      </w:pPr>
      <w:r w:rsidRPr="00BE4B52">
        <w:rPr>
          <w:rFonts w:ascii="Times New Roman" w:hAnsi="Times New Roman"/>
          <w:b/>
          <w:bCs/>
          <w:sz w:val="24"/>
          <w:szCs w:val="24"/>
        </w:rPr>
        <w:t xml:space="preserve">Legal Lesson Learned: </w:t>
      </w:r>
      <w:r>
        <w:rPr>
          <w:rFonts w:ascii="Times New Roman" w:hAnsi="Times New Roman"/>
          <w:b/>
          <w:bCs/>
          <w:sz w:val="24"/>
          <w:szCs w:val="24"/>
        </w:rPr>
        <w:t xml:space="preserve">Falsifying records is a sure way to get fired. </w:t>
      </w:r>
    </w:p>
    <w:p w14:paraId="08B8200D" w14:textId="77777777" w:rsidR="007959C9" w:rsidRDefault="007959C9" w:rsidP="002B1283">
      <w:pPr>
        <w:rPr>
          <w:rStyle w:val="Hyperlink"/>
          <w:rFonts w:ascii="Arial Black" w:hAnsi="Arial Black"/>
          <w:b/>
          <w:color w:val="auto"/>
          <w:sz w:val="24"/>
          <w:szCs w:val="24"/>
          <w:u w:val="none"/>
        </w:rPr>
      </w:pPr>
    </w:p>
    <w:p w14:paraId="26F39381" w14:textId="77777777" w:rsidR="007959C9" w:rsidRDefault="007959C9" w:rsidP="002B1283">
      <w:pPr>
        <w:rPr>
          <w:rStyle w:val="Hyperlink"/>
          <w:rFonts w:ascii="Arial Black" w:hAnsi="Arial Black"/>
          <w:b/>
          <w:color w:val="auto"/>
          <w:sz w:val="24"/>
          <w:szCs w:val="24"/>
          <w:u w:val="none"/>
        </w:rPr>
      </w:pPr>
    </w:p>
    <w:p w14:paraId="6EECCA3F" w14:textId="4AE3F9D1" w:rsidR="006C79BE" w:rsidRDefault="006C79BE"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4-26</w:t>
      </w:r>
    </w:p>
    <w:p w14:paraId="0C8C4376" w14:textId="77777777" w:rsidR="006C79BE" w:rsidRDefault="006C79BE" w:rsidP="006C79BE">
      <w:pPr>
        <w:pStyle w:val="NormalWeb"/>
        <w:rPr>
          <w:rFonts w:ascii="Arial Black" w:hAnsi="Arial Black"/>
          <w:sz w:val="28"/>
          <w:szCs w:val="28"/>
        </w:rPr>
      </w:pPr>
      <w:r>
        <w:rPr>
          <w:rFonts w:ascii="Arial Black" w:hAnsi="Arial Black"/>
          <w:sz w:val="28"/>
          <w:szCs w:val="28"/>
        </w:rPr>
        <w:t xml:space="preserve">ME: HOUSE FIRE – TOWN IMMUNITY – HOMEOWNER CLAIMS PUMPER USE WAS DELAYED - HOUSE TO BE DEMOLISHED </w:t>
      </w:r>
    </w:p>
    <w:p w14:paraId="7C04BA8A" w14:textId="77777777" w:rsidR="006C79BE" w:rsidRDefault="006C79BE" w:rsidP="006C79BE">
      <w:pPr>
        <w:pStyle w:val="NormalWeb"/>
      </w:pPr>
      <w:r w:rsidRPr="00001B4B">
        <w:t xml:space="preserve">On Oct. 31, 2022, in </w:t>
      </w:r>
      <w:r w:rsidRPr="00001B4B">
        <w:rPr>
          <w:u w:val="single"/>
        </w:rPr>
        <w:t>Seth T. Carey v. Town of Rumford and Rumford Fire Department</w:t>
      </w:r>
      <w:r w:rsidRPr="00001B4B">
        <w:t xml:space="preserve">, </w:t>
      </w:r>
      <w:r>
        <w:t xml:space="preserve">Justice Julia M. Lipez, the Superior Court of Maine (Oxford), granted the Town and Fire Department’s motion to dismiss.  The Oct. 5, </w:t>
      </w:r>
      <w:proofErr w:type="gramStart"/>
      <w:r>
        <w:t>2020</w:t>
      </w:r>
      <w:proofErr w:type="gramEnd"/>
      <w:r>
        <w:t xml:space="preserve"> structure fire damaged the home so extensively. The Town declared the home a "Dangerous Building" and ordered its demolition. Under the Maine immunity statute, governmental entities enjoy sovereign immunity; the exception for negligent acts in use of government vehicles does not apply to alleged delay in use of a fire department pumper. </w:t>
      </w:r>
    </w:p>
    <w:p w14:paraId="5C753492" w14:textId="77777777" w:rsidR="006C79BE" w:rsidRDefault="006C79BE" w:rsidP="006C79BE">
      <w:pPr>
        <w:pStyle w:val="NormalWeb"/>
        <w:ind w:left="720"/>
      </w:pPr>
      <w:r>
        <w:t xml:space="preserve">“Here…the gravamen of the </w:t>
      </w:r>
      <w:proofErr w:type="gramStart"/>
      <w:r>
        <w:t>plaintiffs</w:t>
      </w:r>
      <w:proofErr w:type="gramEnd"/>
      <w:r>
        <w:t xml:space="preserve"> complaint is that ‘the Town made imprudent tactical decisions in the course of fighting the fire</w:t>
      </w:r>
      <w:proofErr w:type="gramStart"/>
      <w:r>
        <w:t>…..</w:t>
      </w:r>
      <w:proofErr w:type="gramEnd"/>
      <w:r>
        <w:t xml:space="preserve">’ He does not allege that he was injured by contact with a negligently operated or maintained fire truck, just that the firefighters did not deploy the truck properly. Thus, even accepting as true the </w:t>
      </w:r>
      <w:proofErr w:type="spellStart"/>
      <w:r>
        <w:t>plaintiffs</w:t>
      </w:r>
      <w:proofErr w:type="spellEnd"/>
      <w:r>
        <w:t xml:space="preserve"> </w:t>
      </w:r>
      <w:proofErr w:type="gramStart"/>
      <w:r>
        <w:t>claims</w:t>
      </w:r>
      <w:proofErr w:type="gramEnd"/>
      <w:r>
        <w:t xml:space="preserve"> that the firefighters acted negligently, the vehicle exception does not apply…. Because section 8104-A(1)'s vehicle exception is inapplicable and the plaintiff makes no claim that any other exception to immunity applies, the court concludes that the Town is immune from the plaintiffs suit pursuant to section 8103(1) of the MTCA.”</w:t>
      </w:r>
      <w:r w:rsidRPr="00B50BB2">
        <w:t xml:space="preserve"> </w:t>
      </w:r>
      <w:hyperlink r:id="rId913" w:history="1">
        <w:r w:rsidRPr="00075859">
          <w:rPr>
            <w:rStyle w:val="Hyperlink"/>
            <w:rFonts w:eastAsiaTheme="majorEastAsia"/>
          </w:rPr>
          <w:t>https://public.fastcase.com/J%2FJP6pdidelsXxEE4k%2BLMunJfhe1gfK2oI8CQbirV8GXkmoWfCiXuebhhRyeFmnHeojCURMbUHUM%2FZVW6TuThcVt2kPCx5ANtZZIjUvq4TI%3D?utm_medium=email&amp;_hsmi=226712652&amp;_hsenc=p2ANqtz-_4xSG7CmaPWZQuwsNXY4RTJcvgg4B9LMx8R4vNTvpvb0PqojZFKwGqm6HPbOxappi5A6b2YgFEujAqOwM5oeHjK0AsxA&amp;utm_content=226712652&amp;utm_source=hs_email</w:t>
        </w:r>
      </w:hyperlink>
      <w:r>
        <w:t xml:space="preserve"> </w:t>
      </w:r>
    </w:p>
    <w:p w14:paraId="176EA95F" w14:textId="77777777" w:rsidR="006C79BE" w:rsidRDefault="006C79BE" w:rsidP="006C79BE">
      <w:pPr>
        <w:pStyle w:val="NormalWeb"/>
        <w:rPr>
          <w:b/>
          <w:bCs/>
        </w:rPr>
      </w:pPr>
      <w:r w:rsidRPr="00B50BB2">
        <w:rPr>
          <w:b/>
          <w:bCs/>
        </w:rPr>
        <w:t>Legal Lesson Learned:</w:t>
      </w:r>
      <w:r>
        <w:rPr>
          <w:b/>
          <w:bCs/>
        </w:rPr>
        <w:t xml:space="preserve"> Sovereign immunity statute protects government entities from liability.</w:t>
      </w:r>
    </w:p>
    <w:p w14:paraId="0B645D4F" w14:textId="77777777" w:rsidR="006C79BE" w:rsidRPr="00B50BB2" w:rsidRDefault="006C79BE" w:rsidP="006C79BE">
      <w:pPr>
        <w:pStyle w:val="NormalWeb"/>
        <w:ind w:left="720"/>
      </w:pPr>
      <w:r>
        <w:t xml:space="preserve">Note: See Nov. 17, </w:t>
      </w:r>
      <w:proofErr w:type="gramStart"/>
      <w:r>
        <w:t>2021</w:t>
      </w:r>
      <w:proofErr w:type="gramEnd"/>
      <w:r>
        <w:t xml:space="preserve"> Court decision. </w:t>
      </w:r>
      <w:hyperlink r:id="rId914" w:history="1">
        <w:r w:rsidRPr="00075859">
          <w:rPr>
            <w:rStyle w:val="Hyperlink"/>
            <w:rFonts w:eastAsiaTheme="majorEastAsia"/>
          </w:rPr>
          <w:t>https://casetext.com/case/carey-v-town-of-rumford</w:t>
        </w:r>
      </w:hyperlink>
      <w:r>
        <w:t xml:space="preserve"> “At the hearing [on homeowner’s appeal of demolition order before the 3 members of Board of Selectpersons], there were over twenty documents admitted as evidence, and testimony was heard from four individuals. (PR 1-2.) One of those individuals, Rumford's fire chief, testified that he classified Carey's residence as a 100% loss once he viewed the premises after the fire was extinguished. (PR 4.) The chiefs opinion was premised upon his thirty years of experience fighting and investigating fires and the extensive structural damage to the building, which included: charred joists and subfloor, structural damage to the roof including two holes for fire ventilation, the complete loss of the staircase which rose from the basement to the first floor, the partial loss of the staircase which rose from the first to the second floor, and damage to the property's plumbing, electrical and heating systems. (PR 5.)”</w:t>
      </w:r>
    </w:p>
    <w:p w14:paraId="631038D6" w14:textId="77777777" w:rsidR="006C79BE" w:rsidRDefault="006C79BE" w:rsidP="002B1283">
      <w:pPr>
        <w:rPr>
          <w:rStyle w:val="Hyperlink"/>
          <w:rFonts w:ascii="Arial Black" w:hAnsi="Arial Black"/>
          <w:b/>
          <w:color w:val="auto"/>
          <w:sz w:val="24"/>
          <w:szCs w:val="24"/>
          <w:u w:val="none"/>
        </w:rPr>
      </w:pPr>
    </w:p>
    <w:p w14:paraId="30E0007B" w14:textId="77777777" w:rsidR="006C79BE" w:rsidRDefault="006C79BE" w:rsidP="002B1283">
      <w:pPr>
        <w:rPr>
          <w:rStyle w:val="Hyperlink"/>
          <w:rFonts w:ascii="Arial Black" w:hAnsi="Arial Black"/>
          <w:b/>
          <w:color w:val="auto"/>
          <w:sz w:val="24"/>
          <w:szCs w:val="24"/>
          <w:u w:val="none"/>
        </w:rPr>
      </w:pPr>
    </w:p>
    <w:p w14:paraId="62F8EE14" w14:textId="006153FF" w:rsidR="00AE32D3" w:rsidRDefault="00AE32D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4-25</w:t>
      </w:r>
    </w:p>
    <w:p w14:paraId="52D76E15" w14:textId="77777777" w:rsidR="00AE32D3" w:rsidRPr="00AA0816" w:rsidRDefault="00AE32D3" w:rsidP="00AE32D3">
      <w:pPr>
        <w:pStyle w:val="NormalWeb"/>
        <w:rPr>
          <w:rFonts w:ascii="Arial Black" w:hAnsi="Arial Black"/>
          <w:sz w:val="28"/>
          <w:szCs w:val="28"/>
        </w:rPr>
      </w:pPr>
      <w:r>
        <w:rPr>
          <w:rFonts w:ascii="Arial Black" w:hAnsi="Arial Black"/>
          <w:sz w:val="28"/>
          <w:szCs w:val="28"/>
        </w:rPr>
        <w:t xml:space="preserve">NB: FF FIRED – AFTER SHE CLAIMED CAPT. “ABANDONED” HER </w:t>
      </w:r>
      <w:proofErr w:type="gramStart"/>
      <w:r>
        <w:rPr>
          <w:rFonts w:ascii="Arial Black" w:hAnsi="Arial Black"/>
          <w:sz w:val="28"/>
          <w:szCs w:val="28"/>
        </w:rPr>
        <w:t>IN WAREHOUSE</w:t>
      </w:r>
      <w:proofErr w:type="gramEnd"/>
      <w:r>
        <w:rPr>
          <w:rFonts w:ascii="Arial Black" w:hAnsi="Arial Black"/>
          <w:sz w:val="28"/>
          <w:szCs w:val="28"/>
        </w:rPr>
        <w:t xml:space="preserve"> FIRE – MAY DEPOSE INVEST. ATTY</w:t>
      </w:r>
    </w:p>
    <w:p w14:paraId="2DA6EE9D" w14:textId="77777777" w:rsidR="00AE32D3" w:rsidRDefault="00AE32D3" w:rsidP="00AE32D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Nov. 20, 2022, in </w:t>
      </w:r>
      <w:r w:rsidRPr="00AA0816">
        <w:rPr>
          <w:rFonts w:ascii="Times New Roman" w:eastAsia="Times New Roman" w:hAnsi="Times New Roman"/>
          <w:sz w:val="24"/>
          <w:szCs w:val="24"/>
          <w:u w:val="single"/>
        </w:rPr>
        <w:t>Amanda Benson v. City of Lincoln, et al</w:t>
      </w:r>
      <w:r>
        <w:rPr>
          <w:rFonts w:ascii="Times New Roman" w:eastAsia="Times New Roman" w:hAnsi="Times New Roman"/>
          <w:sz w:val="24"/>
          <w:szCs w:val="24"/>
        </w:rPr>
        <w:t xml:space="preserve">., U.S. Magistrate Judge Michael D. Nelson, U.S. District Court for District of Nebraska, held that if the City intends in the defense of this civil suit to call the attorney they retained to conduct the investigation, then the city has waived its attorney-client privilege and the plaintiff, who has been provided the Investigation Report, may now depose that attorney and obtain copies of her investigative notes </w:t>
      </w:r>
    </w:p>
    <w:p w14:paraId="781CCA0F" w14:textId="77777777" w:rsidR="00AE32D3" w:rsidRPr="00161C5B" w:rsidRDefault="00AE32D3" w:rsidP="00AE32D3">
      <w:pPr>
        <w:spacing w:before="100" w:beforeAutospacing="1" w:after="100" w:afterAutospacing="1" w:line="240" w:lineRule="auto"/>
        <w:ind w:left="720"/>
        <w:rPr>
          <w:rFonts w:ascii="Times New Roman" w:hAnsi="Times New Roman"/>
          <w:sz w:val="24"/>
          <w:szCs w:val="24"/>
        </w:rPr>
      </w:pPr>
      <w:r w:rsidRPr="00161C5B">
        <w:rPr>
          <w:rFonts w:ascii="Times New Roman" w:eastAsia="Times New Roman" w:hAnsi="Times New Roman"/>
          <w:sz w:val="24"/>
          <w:szCs w:val="24"/>
        </w:rPr>
        <w:t>“</w:t>
      </w:r>
      <w:r w:rsidRPr="00161C5B">
        <w:rPr>
          <w:rFonts w:ascii="Times New Roman" w:hAnsi="Times New Roman"/>
          <w:sz w:val="24"/>
          <w:szCs w:val="24"/>
        </w:rPr>
        <w:t xml:space="preserve">After review, the Court finds that the </w:t>
      </w:r>
      <w:proofErr w:type="gramStart"/>
      <w:r w:rsidRPr="00161C5B">
        <w:rPr>
          <w:rFonts w:ascii="Times New Roman" w:hAnsi="Times New Roman"/>
          <w:sz w:val="24"/>
          <w:szCs w:val="24"/>
        </w:rPr>
        <w:t>City</w:t>
      </w:r>
      <w:proofErr w:type="gramEnd"/>
      <w:r w:rsidRPr="00161C5B">
        <w:rPr>
          <w:rFonts w:ascii="Times New Roman" w:hAnsi="Times New Roman"/>
          <w:sz w:val="24"/>
          <w:szCs w:val="24"/>
        </w:rPr>
        <w:t xml:space="preserve"> has now waived any claim of privilege in Ms. Gerdes' investigation into the April Warehouse Fire by affirmatively representing that the </w:t>
      </w:r>
      <w:proofErr w:type="gramStart"/>
      <w:r w:rsidRPr="00161C5B">
        <w:rPr>
          <w:rFonts w:ascii="Times New Roman" w:hAnsi="Times New Roman"/>
          <w:sz w:val="24"/>
          <w:szCs w:val="24"/>
        </w:rPr>
        <w:t>City</w:t>
      </w:r>
      <w:proofErr w:type="gramEnd"/>
      <w:r w:rsidRPr="00161C5B">
        <w:rPr>
          <w:rFonts w:ascii="Times New Roman" w:hAnsi="Times New Roman"/>
          <w:sz w:val="24"/>
          <w:szCs w:val="24"/>
        </w:rPr>
        <w:t xml:space="preserve"> intends to offer Ms. Gerdes' Investigation Report as evidence at trial and by representing that the </w:t>
      </w:r>
      <w:proofErr w:type="gramStart"/>
      <w:r w:rsidRPr="00161C5B">
        <w:rPr>
          <w:rFonts w:ascii="Times New Roman" w:hAnsi="Times New Roman"/>
          <w:sz w:val="24"/>
          <w:szCs w:val="24"/>
        </w:rPr>
        <w:t>City</w:t>
      </w:r>
      <w:proofErr w:type="gramEnd"/>
      <w:r w:rsidRPr="00161C5B">
        <w:rPr>
          <w:rFonts w:ascii="Times New Roman" w:hAnsi="Times New Roman"/>
          <w:sz w:val="24"/>
          <w:szCs w:val="24"/>
        </w:rPr>
        <w:t xml:space="preserve"> will rely on Ms. Gerdes' investigation as part of its defense to Plaintiff's claims…. It would be ‘patently unfair’ for the City to present Ms. Gerdes' Investigation Report to a jury without providing Plaintiff with a full opportunity to explore and cross-examine Ms. Gerdes on the investigation.” </w:t>
      </w:r>
      <w:hyperlink r:id="rId915" w:history="1">
        <w:r w:rsidRPr="00161C5B">
          <w:rPr>
            <w:rStyle w:val="Hyperlink"/>
            <w:rFonts w:ascii="Times New Roman" w:hAnsi="Times New Roman"/>
            <w:sz w:val="24"/>
            <w:szCs w:val="24"/>
          </w:rPr>
          <w:t>https://public.fastcase.com/J%2FJP6pdidelsXxEE4k%2BLMn3rhSw89wni4akrGgclH4tY407nVvfTRwhYpyTytqAww5i%2BcjDR8DFfgYYxUNnhOrZ4pPx8rv87OEAaoYdIWaw%3D?utm_medium=email&amp;_hsmi=226712652&amp;_hsenc=p2ANqtz--lPKcQUZ00Y_ImXZh39HMz6UO0kEIbng7bmb6odI7o6fRRwj_-I6PCBlRwjLhuflNpZQs-1Wu84wEID-VmUx_pZGrr8w&amp;utm_content=226712652&amp;utm_source=hs_email</w:t>
        </w:r>
      </w:hyperlink>
      <w:r w:rsidRPr="00161C5B">
        <w:rPr>
          <w:rFonts w:ascii="Times New Roman" w:hAnsi="Times New Roman"/>
          <w:sz w:val="24"/>
          <w:szCs w:val="24"/>
        </w:rPr>
        <w:t xml:space="preserve"> </w:t>
      </w:r>
    </w:p>
    <w:p w14:paraId="74152115" w14:textId="77777777" w:rsidR="00AE32D3" w:rsidRPr="00CC2065" w:rsidRDefault="00AE32D3" w:rsidP="00AE32D3">
      <w:pPr>
        <w:pStyle w:val="NormalWeb"/>
        <w:rPr>
          <w:b/>
          <w:bCs/>
        </w:rPr>
      </w:pPr>
      <w:r w:rsidRPr="00CC2065">
        <w:rPr>
          <w:b/>
          <w:bCs/>
        </w:rPr>
        <w:t>Legal Lesson Learned:</w:t>
      </w:r>
      <w:r>
        <w:rPr>
          <w:b/>
          <w:bCs/>
        </w:rPr>
        <w:t xml:space="preserve"> Attorney-client privilege can be </w:t>
      </w:r>
      <w:proofErr w:type="spellStart"/>
      <w:r>
        <w:rPr>
          <w:b/>
          <w:bCs/>
        </w:rPr>
        <w:t>waved</w:t>
      </w:r>
      <w:proofErr w:type="spellEnd"/>
      <w:r>
        <w:rPr>
          <w:b/>
          <w:bCs/>
        </w:rPr>
        <w:t xml:space="preserve"> by the client calling the attorney as a witness in civil trial. </w:t>
      </w:r>
    </w:p>
    <w:p w14:paraId="12B55DAD" w14:textId="77777777" w:rsidR="00AE32D3" w:rsidRDefault="00AE32D3" w:rsidP="002B1283">
      <w:pPr>
        <w:rPr>
          <w:rStyle w:val="Hyperlink"/>
          <w:rFonts w:ascii="Arial Black" w:hAnsi="Arial Black"/>
          <w:b/>
          <w:color w:val="auto"/>
          <w:sz w:val="24"/>
          <w:szCs w:val="24"/>
          <w:u w:val="none"/>
        </w:rPr>
      </w:pPr>
    </w:p>
    <w:p w14:paraId="59B2EAA9" w14:textId="77777777" w:rsidR="00AE32D3" w:rsidRDefault="00AE32D3" w:rsidP="002B1283">
      <w:pPr>
        <w:rPr>
          <w:rStyle w:val="Hyperlink"/>
          <w:rFonts w:ascii="Arial Black" w:hAnsi="Arial Black"/>
          <w:b/>
          <w:color w:val="auto"/>
          <w:sz w:val="24"/>
          <w:szCs w:val="24"/>
          <w:u w:val="none"/>
        </w:rPr>
      </w:pPr>
    </w:p>
    <w:p w14:paraId="3DC10F41" w14:textId="77777777" w:rsidR="00AE32D3" w:rsidRDefault="00AE32D3" w:rsidP="002B1283">
      <w:pPr>
        <w:rPr>
          <w:rStyle w:val="Hyperlink"/>
          <w:rFonts w:ascii="Arial Black" w:hAnsi="Arial Black"/>
          <w:b/>
          <w:color w:val="auto"/>
          <w:sz w:val="24"/>
          <w:szCs w:val="24"/>
          <w:u w:val="none"/>
        </w:rPr>
      </w:pPr>
    </w:p>
    <w:p w14:paraId="275AB2D0" w14:textId="3FE13528" w:rsidR="006D2C51" w:rsidRDefault="006D2C5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4-24</w:t>
      </w:r>
    </w:p>
    <w:p w14:paraId="08D680AE" w14:textId="77777777" w:rsidR="006D2C51" w:rsidRPr="00124990" w:rsidRDefault="006D2C51" w:rsidP="006D2C51">
      <w:pPr>
        <w:spacing w:before="100" w:beforeAutospacing="1" w:after="100" w:afterAutospacing="1" w:line="240" w:lineRule="auto"/>
        <w:rPr>
          <w:rFonts w:ascii="Arial Black" w:eastAsia="Times New Roman" w:hAnsi="Arial Black"/>
          <w:sz w:val="28"/>
          <w:szCs w:val="28"/>
        </w:rPr>
      </w:pPr>
      <w:r w:rsidRPr="00124990">
        <w:rPr>
          <w:rFonts w:ascii="Arial Black" w:eastAsia="Times New Roman" w:hAnsi="Arial Black"/>
          <w:sz w:val="28"/>
          <w:szCs w:val="28"/>
        </w:rPr>
        <w:t>CO: FOUR BYSTANDERS VIDEOTAPING POLICE - DUI TRAFFIC STOP – 10</w:t>
      </w:r>
      <w:r w:rsidRPr="00124990">
        <w:rPr>
          <w:rFonts w:ascii="Arial Black" w:eastAsia="Times New Roman" w:hAnsi="Arial Black"/>
          <w:sz w:val="28"/>
          <w:szCs w:val="28"/>
          <w:vertAlign w:val="superscript"/>
        </w:rPr>
        <w:t>th</w:t>
      </w:r>
      <w:r w:rsidRPr="00124990">
        <w:rPr>
          <w:rFonts w:ascii="Arial Black" w:eastAsia="Times New Roman" w:hAnsi="Arial Black"/>
          <w:sz w:val="28"/>
          <w:szCs w:val="28"/>
        </w:rPr>
        <w:t xml:space="preserve"> CIRCUIT LAWFUL – ALSO 7 OTHER CIR. </w:t>
      </w:r>
    </w:p>
    <w:p w14:paraId="28134843" w14:textId="77777777" w:rsidR="006D2C51" w:rsidRPr="00E277BC" w:rsidRDefault="006D2C51" w:rsidP="006D2C51">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sz w:val="24"/>
          <w:szCs w:val="24"/>
        </w:rPr>
        <w:t xml:space="preserve">On July 11, 2022, in </w:t>
      </w:r>
      <w:r w:rsidRPr="0074781E">
        <w:rPr>
          <w:rFonts w:ascii="Times New Roman" w:eastAsia="Times New Roman" w:hAnsi="Times New Roman"/>
          <w:sz w:val="24"/>
          <w:szCs w:val="24"/>
          <w:u w:val="single"/>
        </w:rPr>
        <w:t>Abrade Irizarry v. A, Yehia</w:t>
      </w:r>
      <w:r>
        <w:rPr>
          <w:rFonts w:ascii="Times New Roman" w:eastAsia="Times New Roman" w:hAnsi="Times New Roman"/>
          <w:sz w:val="24"/>
          <w:szCs w:val="24"/>
        </w:rPr>
        <w:t>, the U.S. Court of Appeals for the 10</w:t>
      </w:r>
      <w:r w:rsidRPr="0074781E">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(Denver, CO) held (3 to 0) that U.S. District Court judge improper dismissed the pro se [had no attorney] lawsuit filed by a “</w:t>
      </w:r>
      <w:proofErr w:type="spellStart"/>
      <w:r>
        <w:rPr>
          <w:rFonts w:ascii="Times New Roman" w:eastAsia="Times New Roman" w:hAnsi="Times New Roman"/>
          <w:sz w:val="24"/>
          <w:szCs w:val="24"/>
        </w:rPr>
        <w:t>Youtube</w:t>
      </w:r>
      <w:proofErr w:type="spellEnd"/>
      <w:r>
        <w:rPr>
          <w:rFonts w:ascii="Times New Roman" w:eastAsia="Times New Roman" w:hAnsi="Times New Roman"/>
          <w:sz w:val="24"/>
          <w:szCs w:val="24"/>
        </w:rPr>
        <w:t xml:space="preserve"> journalist” against a City of Lakewood police officer, </w:t>
      </w:r>
      <w:r w:rsidRPr="00B31C59">
        <w:rPr>
          <w:rFonts w:ascii="Times New Roman" w:hAnsi="Times New Roman"/>
          <w:sz w:val="24"/>
          <w:szCs w:val="24"/>
        </w:rPr>
        <w:t>Ahmed Yehia</w:t>
      </w:r>
      <w:r>
        <w:rPr>
          <w:rFonts w:ascii="Times New Roman" w:hAnsi="Times New Roman"/>
          <w:sz w:val="24"/>
          <w:szCs w:val="24"/>
        </w:rPr>
        <w:t>, alleging violation of First Amendment to U.S. Constitution.</w:t>
      </w:r>
      <w:r>
        <w:rPr>
          <w:rFonts w:ascii="Times New Roman" w:eastAsia="Times New Roman" w:hAnsi="Times New Roman"/>
          <w:sz w:val="24"/>
          <w:szCs w:val="24"/>
        </w:rPr>
        <w:t xml:space="preserve">  The lawsuit alleges the officer shinned his flashlight into the camera lens of four males videotaping on their cell phones a DUI traffic stop, positioned himself to block their view, </w:t>
      </w:r>
      <w:proofErr w:type="gramStart"/>
      <w:r>
        <w:rPr>
          <w:rFonts w:ascii="Times New Roman" w:eastAsia="Times New Roman" w:hAnsi="Times New Roman"/>
          <w:sz w:val="24"/>
          <w:szCs w:val="24"/>
        </w:rPr>
        <w:t>and also</w:t>
      </w:r>
      <w:proofErr w:type="gramEnd"/>
      <w:r>
        <w:rPr>
          <w:rFonts w:ascii="Times New Roman" w:eastAsia="Times New Roman" w:hAnsi="Times New Roman"/>
          <w:sz w:val="24"/>
          <w:szCs w:val="24"/>
        </w:rPr>
        <w:t xml:space="preserve"> got back in his cruiser and drove directly at the videographers, turning on his blast horn. The lawsuit against Officer Yehia will now proceed to pre-trial discovery.  </w:t>
      </w:r>
      <w:r w:rsidRPr="00B31C59">
        <w:rPr>
          <w:rFonts w:ascii="Times New Roman" w:hAnsi="Times New Roman"/>
          <w:sz w:val="24"/>
          <w:szCs w:val="24"/>
        </w:rPr>
        <w:t>“Mr. Irizarry’s right to film the police falls squarely within the First Amendment’s core purposes to protect free and robust discussion of public affairs, hold government officials accountable, and check abuse of power.”</w:t>
      </w:r>
      <w:r>
        <w:rPr>
          <w:rFonts w:ascii="Times New Roman" w:hAnsi="Times New Roman"/>
          <w:sz w:val="24"/>
          <w:szCs w:val="24"/>
        </w:rPr>
        <w:t xml:space="preserve"> </w:t>
      </w:r>
      <w:hyperlink r:id="rId916" w:history="1">
        <w:r w:rsidRPr="00355029">
          <w:rPr>
            <w:rStyle w:val="Hyperlink"/>
            <w:rFonts w:ascii="Times New Roman" w:hAnsi="Times New Roman"/>
            <w:sz w:val="24"/>
            <w:szCs w:val="24"/>
          </w:rPr>
          <w:t>https://www.eff.org/files/2022/07/11/2022-07-11_-_tenth_circuit_-_irizarry_v_yehia.pdf</w:t>
        </w:r>
      </w:hyperlink>
      <w:r>
        <w:rPr>
          <w:rStyle w:val="markedcontent"/>
          <w:rFonts w:ascii="Times New Roman" w:hAnsi="Times New Roman"/>
          <w:sz w:val="24"/>
          <w:szCs w:val="24"/>
        </w:rPr>
        <w:t xml:space="preserve"> </w:t>
      </w:r>
    </w:p>
    <w:p w14:paraId="58292654" w14:textId="77777777" w:rsidR="006D2C51" w:rsidRDefault="006D2C51" w:rsidP="006D2C51">
      <w:pPr>
        <w:spacing w:before="100" w:beforeAutospacing="1" w:after="100" w:afterAutospacing="1" w:line="240" w:lineRule="auto"/>
        <w:rPr>
          <w:rStyle w:val="markedcontent"/>
          <w:rFonts w:ascii="Times New Roman" w:hAnsi="Times New Roman"/>
          <w:b/>
          <w:bCs/>
          <w:sz w:val="24"/>
          <w:szCs w:val="24"/>
        </w:rPr>
      </w:pPr>
      <w:r w:rsidRPr="003E5A4B">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Fire &amp; EMS likewise cannot prohibit videotaping their conduct at a public location; but you may take reasonable steps to protect the privacy of patients [such as holding up bed sheet when loading into ambulance]. </w:t>
      </w:r>
    </w:p>
    <w:p w14:paraId="3DB0580E" w14:textId="77777777" w:rsidR="006D2C51" w:rsidRPr="008C241B" w:rsidRDefault="006D2C51" w:rsidP="006D2C51">
      <w:pPr>
        <w:spacing w:before="100" w:beforeAutospacing="1" w:after="100" w:afterAutospacing="1" w:line="240" w:lineRule="auto"/>
        <w:ind w:left="720"/>
        <w:rPr>
          <w:rFonts w:ascii="Times New Roman" w:hAnsi="Times New Roman"/>
          <w:sz w:val="24"/>
          <w:szCs w:val="24"/>
        </w:rPr>
      </w:pPr>
      <w:r w:rsidRPr="008C241B">
        <w:rPr>
          <w:rStyle w:val="markedcontent"/>
          <w:rFonts w:ascii="Times New Roman" w:hAnsi="Times New Roman"/>
          <w:sz w:val="24"/>
          <w:szCs w:val="24"/>
        </w:rPr>
        <w:t xml:space="preserve">Note: See </w:t>
      </w:r>
      <w:r>
        <w:rPr>
          <w:rStyle w:val="markedcontent"/>
          <w:rFonts w:ascii="Times New Roman" w:hAnsi="Times New Roman"/>
          <w:sz w:val="24"/>
          <w:szCs w:val="24"/>
        </w:rPr>
        <w:t xml:space="preserve">July 12, </w:t>
      </w:r>
      <w:proofErr w:type="gramStart"/>
      <w:r>
        <w:rPr>
          <w:rStyle w:val="markedcontent"/>
          <w:rFonts w:ascii="Times New Roman" w:hAnsi="Times New Roman"/>
          <w:sz w:val="24"/>
          <w:szCs w:val="24"/>
        </w:rPr>
        <w:t>2022</w:t>
      </w:r>
      <w:proofErr w:type="gramEnd"/>
      <w:r>
        <w:rPr>
          <w:rStyle w:val="markedcontent"/>
          <w:rFonts w:ascii="Times New Roman" w:hAnsi="Times New Roman"/>
          <w:sz w:val="24"/>
          <w:szCs w:val="24"/>
        </w:rPr>
        <w:t xml:space="preserve"> </w:t>
      </w:r>
      <w:r w:rsidRPr="008C241B">
        <w:rPr>
          <w:rStyle w:val="markedcontent"/>
          <w:rFonts w:ascii="Times New Roman" w:hAnsi="Times New Roman"/>
          <w:sz w:val="24"/>
          <w:szCs w:val="24"/>
        </w:rPr>
        <w:t>article on this decision. “</w:t>
      </w:r>
      <w:r w:rsidRPr="008C241B">
        <w:rPr>
          <w:rFonts w:ascii="Times New Roman" w:hAnsi="Times New Roman"/>
          <w:sz w:val="24"/>
          <w:szCs w:val="24"/>
        </w:rPr>
        <w:t xml:space="preserve">10th Circuit Court of Appeals Upholds Public Right to Record Police.” </w:t>
      </w:r>
      <w:hyperlink r:id="rId917" w:history="1">
        <w:r w:rsidRPr="008C241B">
          <w:rPr>
            <w:rStyle w:val="Hyperlink"/>
            <w:rFonts w:ascii="Times New Roman" w:hAnsi="Times New Roman"/>
            <w:sz w:val="24"/>
            <w:szCs w:val="24"/>
          </w:rPr>
          <w:t>https://firstamendmentwatch.org/10th-circuit-court-of-appeals-upholds-public-right-to-record-police/</w:t>
        </w:r>
      </w:hyperlink>
      <w:r w:rsidRPr="008C241B">
        <w:rPr>
          <w:rFonts w:ascii="Times New Roman" w:hAnsi="Times New Roman"/>
          <w:sz w:val="24"/>
          <w:szCs w:val="24"/>
        </w:rPr>
        <w:t xml:space="preserve">.  “The </w:t>
      </w:r>
      <w:hyperlink r:id="rId918" w:tgtFrame="_blank" w:history="1">
        <w:r w:rsidRPr="008C241B">
          <w:rPr>
            <w:rStyle w:val="Hyperlink"/>
            <w:rFonts w:ascii="Times New Roman" w:hAnsi="Times New Roman"/>
            <w:sz w:val="24"/>
            <w:szCs w:val="24"/>
          </w:rPr>
          <w:t>U.S. Court of Appeals for the 10th Circuit</w:t>
        </w:r>
      </w:hyperlink>
      <w:r w:rsidRPr="008C241B">
        <w:rPr>
          <w:rFonts w:ascii="Times New Roman" w:hAnsi="Times New Roman"/>
          <w:sz w:val="24"/>
          <w:szCs w:val="24"/>
        </w:rPr>
        <w:t xml:space="preserve">, based in Denver, became the seventh federal appeals court to affirm there’s a First Amendment right to record the police performing their official duties in public.” </w:t>
      </w:r>
    </w:p>
    <w:p w14:paraId="312EEE5F" w14:textId="77777777" w:rsidR="006D2C51" w:rsidRPr="008C241B" w:rsidRDefault="006D2C51" w:rsidP="006D2C51">
      <w:pPr>
        <w:pStyle w:val="NormalWeb"/>
        <w:ind w:left="720"/>
      </w:pPr>
      <w:r w:rsidRPr="008C241B">
        <w:t xml:space="preserve">See also </w:t>
      </w:r>
      <w:r>
        <w:t xml:space="preserve">July 8, </w:t>
      </w:r>
      <w:proofErr w:type="gramStart"/>
      <w:r>
        <w:t>2022</w:t>
      </w:r>
      <w:proofErr w:type="gramEnd"/>
      <w:r>
        <w:t xml:space="preserve"> article, “</w:t>
      </w:r>
      <w:r w:rsidRPr="008C241B">
        <w:t xml:space="preserve">Arizona Governor Signs Bill to Restrict Recording Police in Public.”  “Arizona Gov. Douglas Ducey signed into law a bill that would make it illegal to photograph or record a police officer in public from </w:t>
      </w:r>
      <w:proofErr w:type="gramStart"/>
      <w:r w:rsidRPr="008C241B">
        <w:t>a distance of eight</w:t>
      </w:r>
      <w:proofErr w:type="gramEnd"/>
      <w:r w:rsidRPr="008C241B">
        <w:t xml:space="preserve"> feet without the officer’s permission. Controversial</w:t>
      </w:r>
      <w:hyperlink r:id="rId919" w:tgtFrame="_blank" w:history="1">
        <w:r w:rsidRPr="008C241B">
          <w:rPr>
            <w:rStyle w:val="Hyperlink"/>
            <w:rFonts w:eastAsiaTheme="majorEastAsia"/>
          </w:rPr>
          <w:t xml:space="preserve"> House Bill 2319</w:t>
        </w:r>
      </w:hyperlink>
      <w:r w:rsidRPr="008C241B">
        <w:t xml:space="preserve"> says if an individual is asked by the police to quit filming but continues to do so would face a Class 3 misdemeanor and up to 30 days in jail.” </w:t>
      </w:r>
      <w:hyperlink r:id="rId920" w:history="1">
        <w:r w:rsidRPr="008C241B">
          <w:rPr>
            <w:rStyle w:val="Hyperlink"/>
            <w:rFonts w:eastAsiaTheme="majorEastAsia"/>
          </w:rPr>
          <w:t>https://firstamendmentwatch.org/arizona-governor-signs-bill-to-restrict-recording-of-police-in-public/</w:t>
        </w:r>
      </w:hyperlink>
      <w:r w:rsidRPr="008C241B">
        <w:t xml:space="preserve">  </w:t>
      </w:r>
    </w:p>
    <w:p w14:paraId="2A138FA3" w14:textId="77777777" w:rsidR="006D2C51" w:rsidRDefault="006D2C51" w:rsidP="002B1283">
      <w:pPr>
        <w:rPr>
          <w:rStyle w:val="Hyperlink"/>
          <w:rFonts w:ascii="Arial Black" w:hAnsi="Arial Black"/>
          <w:b/>
          <w:color w:val="auto"/>
          <w:sz w:val="24"/>
          <w:szCs w:val="24"/>
          <w:u w:val="none"/>
        </w:rPr>
      </w:pPr>
    </w:p>
    <w:p w14:paraId="13F872A8" w14:textId="5D8A9F71"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4-23</w:t>
      </w:r>
    </w:p>
    <w:p w14:paraId="2AFA1F86" w14:textId="77777777" w:rsidR="003F4E70" w:rsidRDefault="003F4E70" w:rsidP="003F4E7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STRUCTURE FIRE – MOTHER DEAD, TWO KIDS STILL TRAPPED – POLICE TACKLED MAN TRYING ENTER HOUSE</w:t>
      </w:r>
    </w:p>
    <w:p w14:paraId="649C31E3" w14:textId="589828AD" w:rsidR="003F4E70" w:rsidRDefault="003F4E70" w:rsidP="003F4E70">
      <w:pPr>
        <w:rPr>
          <w:rStyle w:val="Hyperlink"/>
          <w:rFonts w:ascii="Arial Black" w:hAnsi="Arial Black"/>
          <w:b/>
          <w:color w:val="auto"/>
          <w:sz w:val="24"/>
          <w:szCs w:val="24"/>
          <w:u w:val="none"/>
        </w:rPr>
      </w:pPr>
      <w:r w:rsidRPr="00641E3A">
        <w:rPr>
          <w:rFonts w:ascii="Times New Roman" w:eastAsia="Times New Roman" w:hAnsi="Times New Roman"/>
          <w:sz w:val="24"/>
          <w:szCs w:val="24"/>
        </w:rPr>
        <w:t>On</w:t>
      </w:r>
      <w:r>
        <w:rPr>
          <w:rFonts w:ascii="Times New Roman" w:eastAsia="Times New Roman" w:hAnsi="Times New Roman"/>
          <w:sz w:val="24"/>
          <w:szCs w:val="24"/>
        </w:rPr>
        <w:t xml:space="preserve"> May 6, 2022, in </w:t>
      </w:r>
      <w:r w:rsidRPr="00201F44">
        <w:rPr>
          <w:rFonts w:ascii="Times New Roman" w:eastAsia="Times New Roman" w:hAnsi="Times New Roman"/>
          <w:sz w:val="24"/>
          <w:szCs w:val="24"/>
          <w:u w:val="single"/>
        </w:rPr>
        <w:t>William F. Moss v. Gabe Schimp, et al</w:t>
      </w:r>
      <w:r>
        <w:rPr>
          <w:rFonts w:ascii="Times New Roman" w:eastAsia="Times New Roman" w:hAnsi="Times New Roman"/>
          <w:sz w:val="24"/>
          <w:szCs w:val="24"/>
        </w:rPr>
        <w:t xml:space="preserve">., U.S. Magistrate Judge Mark A. Beatty, U.S. District Court for Southern District of Illinois, held that the police officers who tackled the plaintiff to prevent him from entering the burning house enjoy qualified immunity. The plaintiff intentionally ignored the yellow scene tapes and the police officers command to stop. It is unfortunate that the police tackle led to </w:t>
      </w:r>
      <w:r w:rsidRPr="00201F44">
        <w:rPr>
          <w:rFonts w:ascii="Times New Roman" w:hAnsi="Times New Roman"/>
          <w:sz w:val="24"/>
          <w:szCs w:val="24"/>
        </w:rPr>
        <w:t>a quadriceps tendon tear in Moss's left knee</w:t>
      </w:r>
      <w:r>
        <w:rPr>
          <w:rFonts w:ascii="Times New Roman" w:hAnsi="Times New Roman"/>
          <w:sz w:val="24"/>
          <w:szCs w:val="24"/>
        </w:rPr>
        <w:t xml:space="preserve">, </w:t>
      </w:r>
      <w:r w:rsidRPr="00201F44">
        <w:rPr>
          <w:rFonts w:ascii="Times New Roman" w:hAnsi="Times New Roman"/>
          <w:sz w:val="24"/>
          <w:szCs w:val="24"/>
        </w:rPr>
        <w:t>a rupture of his right patellar tendon</w:t>
      </w:r>
      <w:r>
        <w:rPr>
          <w:rFonts w:ascii="Times New Roman" w:hAnsi="Times New Roman"/>
          <w:sz w:val="24"/>
          <w:szCs w:val="24"/>
        </w:rPr>
        <w:t>,</w:t>
      </w:r>
      <w:r w:rsidRPr="00201F44">
        <w:rPr>
          <w:rFonts w:ascii="Times New Roman" w:hAnsi="Times New Roman"/>
          <w:sz w:val="24"/>
          <w:szCs w:val="24"/>
        </w:rPr>
        <w:t xml:space="preserve"> and a rupture of his left quadriceps tendon</w:t>
      </w:r>
      <w:r>
        <w:rPr>
          <w:rFonts w:ascii="Times New Roman" w:hAnsi="Times New Roman"/>
          <w:sz w:val="24"/>
          <w:szCs w:val="24"/>
        </w:rPr>
        <w:t xml:space="preserve">, but the officers did not use excessive force. </w:t>
      </w:r>
      <w:hyperlink r:id="rId921" w:history="1">
        <w:r w:rsidRPr="00EF6688">
          <w:rPr>
            <w:rStyle w:val="Hyperlink"/>
            <w:rFonts w:ascii="Times New Roman" w:hAnsi="Times New Roman"/>
            <w:sz w:val="24"/>
            <w:szCs w:val="24"/>
          </w:rPr>
          <w:t>https://public.fastcase.com/waZtJvSA54UAurM2rmIZz%2BDBDza2Dcvrp2SE0zpDRm3uGB65hvSCPfK4VjLpx5do7UnCIAIPH2MB5FJFO94Wb3w6W7ePwbFST%2FncfNL0phQ%3D</w:t>
        </w:r>
      </w:hyperlink>
    </w:p>
    <w:p w14:paraId="5CDAC593" w14:textId="77777777" w:rsidR="003F4E70" w:rsidRPr="00641E3A" w:rsidRDefault="003F4E70" w:rsidP="003F4E70">
      <w:pPr>
        <w:spacing w:before="100" w:beforeAutospacing="1" w:after="100" w:afterAutospacing="1" w:line="240" w:lineRule="auto"/>
        <w:rPr>
          <w:rFonts w:ascii="Times New Roman" w:eastAsia="Times New Roman" w:hAnsi="Times New Roman"/>
          <w:b/>
          <w:bCs/>
          <w:sz w:val="24"/>
          <w:szCs w:val="24"/>
        </w:rPr>
      </w:pPr>
      <w:r w:rsidRPr="0069502A">
        <w:rPr>
          <w:rFonts w:ascii="Times New Roman" w:hAnsi="Times New Roman"/>
          <w:b/>
          <w:bCs/>
          <w:sz w:val="24"/>
          <w:szCs w:val="24"/>
        </w:rPr>
        <w:t>Legal Lesson Learned:</w:t>
      </w:r>
      <w:r>
        <w:rPr>
          <w:rFonts w:ascii="Times New Roman" w:hAnsi="Times New Roman"/>
          <w:b/>
          <w:bCs/>
          <w:sz w:val="24"/>
          <w:szCs w:val="24"/>
        </w:rPr>
        <w:t xml:space="preserve"> The police officers acted reasonably to protect the structure fire scene and are entitled to qualified immunity. </w:t>
      </w:r>
    </w:p>
    <w:p w14:paraId="19E2CA18" w14:textId="77777777" w:rsidR="003F4E70" w:rsidRDefault="003F4E70" w:rsidP="002B1283">
      <w:pPr>
        <w:rPr>
          <w:rStyle w:val="Hyperlink"/>
          <w:rFonts w:ascii="Arial Black" w:hAnsi="Arial Black"/>
          <w:b/>
          <w:color w:val="auto"/>
          <w:sz w:val="24"/>
          <w:szCs w:val="24"/>
          <w:u w:val="none"/>
        </w:rPr>
      </w:pPr>
    </w:p>
    <w:p w14:paraId="536F065A" w14:textId="77777777" w:rsidR="003F4E70" w:rsidRDefault="003F4E70" w:rsidP="002B1283">
      <w:pPr>
        <w:rPr>
          <w:rStyle w:val="Hyperlink"/>
          <w:rFonts w:ascii="Arial Black" w:hAnsi="Arial Black"/>
          <w:b/>
          <w:color w:val="auto"/>
          <w:sz w:val="24"/>
          <w:szCs w:val="24"/>
          <w:u w:val="none"/>
        </w:rPr>
      </w:pPr>
    </w:p>
    <w:p w14:paraId="169E00DC" w14:textId="2C6FADE5"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4-22</w:t>
      </w:r>
    </w:p>
    <w:p w14:paraId="1D693F9E" w14:textId="77777777" w:rsidR="003F4E70" w:rsidRPr="00990853" w:rsidRDefault="003F4E70" w:rsidP="003F4E70">
      <w:pPr>
        <w:spacing w:before="100" w:beforeAutospacing="1" w:after="100" w:afterAutospacing="1" w:line="240" w:lineRule="auto"/>
        <w:rPr>
          <w:rFonts w:ascii="Arial Black" w:hAnsi="Arial Black"/>
          <w:b/>
          <w:bCs/>
          <w:sz w:val="28"/>
          <w:szCs w:val="28"/>
        </w:rPr>
      </w:pPr>
      <w:r>
        <w:rPr>
          <w:rFonts w:ascii="Arial Black" w:hAnsi="Arial Black"/>
          <w:sz w:val="28"/>
          <w:szCs w:val="28"/>
        </w:rPr>
        <w:t>ME: MENTAL RUNS INTO ICY WATER – DROWNED – PD WAITED FD BOAT - FF “KICK HIS ASS” – NO IMMUNITY</w:t>
      </w:r>
    </w:p>
    <w:p w14:paraId="3CE7ECED" w14:textId="69BA46F2" w:rsidR="003F4E70" w:rsidRDefault="003F4E70" w:rsidP="003F4E70">
      <w:pPr>
        <w:rPr>
          <w:rStyle w:val="Hyperlink"/>
          <w:rFonts w:ascii="Arial Black" w:hAnsi="Arial Black"/>
          <w:b/>
          <w:color w:val="auto"/>
          <w:sz w:val="24"/>
          <w:szCs w:val="24"/>
          <w:u w:val="none"/>
        </w:rPr>
      </w:pPr>
      <w:r>
        <w:rPr>
          <w:rFonts w:ascii="Times New Roman" w:hAnsi="Times New Roman"/>
          <w:sz w:val="24"/>
          <w:szCs w:val="24"/>
        </w:rPr>
        <w:t xml:space="preserve">On May 4, 2022, in </w:t>
      </w:r>
      <w:r w:rsidRPr="00990853">
        <w:rPr>
          <w:rFonts w:ascii="Times New Roman" w:hAnsi="Times New Roman"/>
          <w:sz w:val="24"/>
          <w:szCs w:val="24"/>
          <w:u w:val="single"/>
        </w:rPr>
        <w:t>John Cohen v. City of Portland, et al</w:t>
      </w:r>
      <w:r>
        <w:rPr>
          <w:rFonts w:ascii="Times New Roman" w:hAnsi="Times New Roman"/>
          <w:sz w:val="24"/>
          <w:szCs w:val="24"/>
        </w:rPr>
        <w:t xml:space="preserve">., U.S. District Court Judge Nancy Torresen, U.S. District Court for District of Maine, dismissed all the police officers who waited for a fire boat to assist in rescue of Eric Cohen, 25 (mental issues) who ran naked into the frigid, shallow waters of Back Cover and drowned after 25 minutes, but lawsuit may continue against the City for failure to train when responding to mental patient, and also against firefighter Ronald Giroux.  </w:t>
      </w:r>
      <w:r w:rsidRPr="00DC00A2">
        <w:rPr>
          <w:rFonts w:ascii="Times New Roman" w:hAnsi="Times New Roman"/>
          <w:sz w:val="24"/>
          <w:szCs w:val="24"/>
        </w:rPr>
        <w:t xml:space="preserve">According to the Complaint, Giroux shouted from the shore, “I will kick his ass if he comes out of the water.” </w:t>
      </w:r>
      <w:proofErr w:type="spellStart"/>
      <w:r w:rsidRPr="00DC00A2">
        <w:rPr>
          <w:rFonts w:ascii="Times New Roman" w:hAnsi="Times New Roman"/>
          <w:sz w:val="24"/>
          <w:szCs w:val="24"/>
        </w:rPr>
        <w:t>Compl</w:t>
      </w:r>
      <w:proofErr w:type="spellEnd"/>
      <w:r w:rsidRPr="00DC00A2">
        <w:rPr>
          <w:rFonts w:ascii="Times New Roman" w:hAnsi="Times New Roman"/>
          <w:sz w:val="24"/>
          <w:szCs w:val="24"/>
        </w:rPr>
        <w:t>. ¶ 26.</w:t>
      </w:r>
      <w:r>
        <w:rPr>
          <w:rFonts w:ascii="Times New Roman" w:hAnsi="Times New Roman"/>
          <w:sz w:val="24"/>
          <w:szCs w:val="24"/>
        </w:rPr>
        <w:t xml:space="preserve"> </w:t>
      </w:r>
      <w:r w:rsidRPr="00DC00A2">
        <w:rPr>
          <w:rFonts w:ascii="Times New Roman" w:hAnsi="Times New Roman"/>
          <w:sz w:val="24"/>
          <w:szCs w:val="24"/>
        </w:rPr>
        <w:t>Giroux's affirmative act, yelling a threat, enhanced the danger to Cohen</w:t>
      </w:r>
      <w:r>
        <w:rPr>
          <w:rFonts w:ascii="Times New Roman" w:hAnsi="Times New Roman"/>
          <w:sz w:val="24"/>
          <w:szCs w:val="24"/>
        </w:rPr>
        <w:t xml:space="preserve"> and may have contributed to his refusal to come out of the water.  </w:t>
      </w:r>
      <w:hyperlink r:id="rId922" w:history="1">
        <w:r w:rsidRPr="00600142">
          <w:rPr>
            <w:rStyle w:val="Hyperlink"/>
            <w:rFonts w:ascii="Times New Roman" w:hAnsi="Times New Roman"/>
            <w:sz w:val="24"/>
            <w:szCs w:val="24"/>
          </w:rPr>
          <w:t>https://public.fastcase.com/waZtJvSA54UAurM2rmIZzzd7nmMG05wthWSY4rh3YOX2SQqdjQ2bWm74KVsbZSPmzEoqJnKOxl0hCOa8LdPZAi50MjJV0MwcRqnMVHWnvKI%3D</w:t>
        </w:r>
      </w:hyperlink>
    </w:p>
    <w:p w14:paraId="446454C7" w14:textId="77777777" w:rsidR="003F4E70" w:rsidRDefault="003F4E70" w:rsidP="003F4E70">
      <w:pPr>
        <w:spacing w:before="100" w:beforeAutospacing="1" w:after="100" w:afterAutospacing="1" w:line="240" w:lineRule="auto"/>
        <w:jc w:val="both"/>
        <w:rPr>
          <w:rFonts w:ascii="Times New Roman" w:hAnsi="Times New Roman"/>
          <w:b/>
          <w:bCs/>
          <w:sz w:val="24"/>
          <w:szCs w:val="24"/>
        </w:rPr>
      </w:pPr>
      <w:r w:rsidRPr="00CC11A3">
        <w:rPr>
          <w:rFonts w:ascii="Times New Roman" w:hAnsi="Times New Roman"/>
          <w:b/>
          <w:bCs/>
          <w:sz w:val="24"/>
          <w:szCs w:val="24"/>
        </w:rPr>
        <w:t xml:space="preserve">Legal Lesson Learned: </w:t>
      </w:r>
      <w:r>
        <w:rPr>
          <w:rFonts w:ascii="Times New Roman" w:hAnsi="Times New Roman"/>
          <w:b/>
          <w:bCs/>
          <w:sz w:val="24"/>
          <w:szCs w:val="24"/>
        </w:rPr>
        <w:t xml:space="preserve">Terrible loss of life and the firefighter’s conduct is unacceptable. </w:t>
      </w:r>
    </w:p>
    <w:p w14:paraId="5815203F" w14:textId="77777777" w:rsidR="003F4E70" w:rsidRPr="00CC11A3" w:rsidRDefault="003F4E70" w:rsidP="003F4E70">
      <w:pPr>
        <w:pStyle w:val="Heading1"/>
        <w:ind w:left="720"/>
        <w:rPr>
          <w:b w:val="0"/>
          <w:bCs w:val="0"/>
          <w:sz w:val="24"/>
          <w:szCs w:val="24"/>
        </w:rPr>
      </w:pPr>
      <w:r>
        <w:rPr>
          <w:b w:val="0"/>
          <w:bCs w:val="0"/>
          <w:sz w:val="24"/>
          <w:szCs w:val="24"/>
        </w:rPr>
        <w:t>See negative press: (May 5, 2022) “</w:t>
      </w:r>
      <w:r w:rsidRPr="00CC11A3">
        <w:rPr>
          <w:b w:val="0"/>
          <w:bCs w:val="0"/>
          <w:sz w:val="24"/>
          <w:szCs w:val="24"/>
        </w:rPr>
        <w:t>Federal judge says wrongful death lawsuit against Portland firefighter can move forward</w:t>
      </w:r>
      <w:r>
        <w:rPr>
          <w:b w:val="0"/>
          <w:bCs w:val="0"/>
          <w:sz w:val="24"/>
          <w:szCs w:val="24"/>
        </w:rPr>
        <w:t xml:space="preserve">.” </w:t>
      </w:r>
      <w:hyperlink r:id="rId923" w:history="1">
        <w:r w:rsidRPr="00600142">
          <w:rPr>
            <w:rStyle w:val="Hyperlink"/>
            <w:b w:val="0"/>
            <w:bCs w:val="0"/>
            <w:sz w:val="24"/>
            <w:szCs w:val="24"/>
          </w:rPr>
          <w:t>https://www.newscentermaine.com/article/news/local/portland/judge-dismisses-wrongful-death-lawsuit-against-city-all-but-one-portland-police-officer-portland-mental-health/97-9cb6ef72-b53c-4614-9d60-2360cbcd1702</w:t>
        </w:r>
      </w:hyperlink>
      <w:r>
        <w:rPr>
          <w:b w:val="0"/>
          <w:bCs w:val="0"/>
          <w:sz w:val="24"/>
          <w:szCs w:val="24"/>
        </w:rPr>
        <w:t xml:space="preserve"> </w:t>
      </w:r>
    </w:p>
    <w:p w14:paraId="2D03189F" w14:textId="2DABD10C" w:rsidR="003F4E70" w:rsidRDefault="003F4E70" w:rsidP="002B1283">
      <w:pPr>
        <w:rPr>
          <w:rStyle w:val="Hyperlink"/>
          <w:rFonts w:ascii="Arial Black" w:hAnsi="Arial Black"/>
          <w:b/>
          <w:color w:val="auto"/>
          <w:sz w:val="24"/>
          <w:szCs w:val="24"/>
          <w:u w:val="none"/>
        </w:rPr>
      </w:pPr>
    </w:p>
    <w:p w14:paraId="337F87CF" w14:textId="3E89F0DB" w:rsidR="003F4E70" w:rsidRDefault="003F4E70" w:rsidP="002B1283">
      <w:pPr>
        <w:rPr>
          <w:rStyle w:val="Hyperlink"/>
          <w:rFonts w:ascii="Arial Black" w:hAnsi="Arial Black"/>
          <w:b/>
          <w:color w:val="auto"/>
          <w:sz w:val="24"/>
          <w:szCs w:val="24"/>
          <w:u w:val="none"/>
        </w:rPr>
      </w:pPr>
    </w:p>
    <w:p w14:paraId="4CE9E789" w14:textId="77777777" w:rsidR="003F4E70" w:rsidRDefault="003F4E70" w:rsidP="002B1283">
      <w:pPr>
        <w:rPr>
          <w:rStyle w:val="Hyperlink"/>
          <w:rFonts w:ascii="Arial Black" w:hAnsi="Arial Black"/>
          <w:b/>
          <w:color w:val="auto"/>
          <w:sz w:val="24"/>
          <w:szCs w:val="24"/>
          <w:u w:val="none"/>
        </w:rPr>
      </w:pPr>
    </w:p>
    <w:p w14:paraId="42C80795" w14:textId="4693BE94"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4-21</w:t>
      </w:r>
    </w:p>
    <w:p w14:paraId="2370EE82" w14:textId="77777777" w:rsidR="003F4E70" w:rsidRPr="005C6980" w:rsidRDefault="003F4E70" w:rsidP="003F4E7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U.S. FOREST SERVICE – KINGS CANYON LODGE – IC DISCRETION ON RESOURCES - GOVERNMENTAL IMMUNITY</w:t>
      </w:r>
    </w:p>
    <w:p w14:paraId="3E7AB749" w14:textId="77777777" w:rsidR="003F4E70" w:rsidRDefault="003F4E70" w:rsidP="003F4E70">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April 12, 2022, in </w:t>
      </w:r>
      <w:r w:rsidRPr="005C6980">
        <w:rPr>
          <w:rFonts w:ascii="Times New Roman" w:eastAsia="Times New Roman" w:hAnsi="Times New Roman"/>
          <w:sz w:val="24"/>
          <w:szCs w:val="24"/>
          <w:u w:val="single"/>
        </w:rPr>
        <w:t>Lewis D. Evans and Carla S. Evans v. United States</w:t>
      </w:r>
      <w:r>
        <w:rPr>
          <w:rFonts w:ascii="Times New Roman" w:eastAsia="Times New Roman" w:hAnsi="Times New Roman"/>
          <w:sz w:val="24"/>
          <w:szCs w:val="24"/>
        </w:rPr>
        <w:t xml:space="preserve">, U.S. District Court Judge, Eastern District of California (Fresno), granted defense motion for summary judgment since under the Federal Tort Claims Act the government enjoys immunity for discretionary decisions that implicate public policy concerns, including incident command decisions when fighting forest fires. </w:t>
      </w:r>
      <w:r w:rsidRPr="008C18ED">
        <w:rPr>
          <w:rFonts w:ascii="Times New Roman" w:hAnsi="Times New Roman"/>
          <w:sz w:val="24"/>
          <w:szCs w:val="24"/>
        </w:rPr>
        <w:t xml:space="preserve">The Rough Fire </w:t>
      </w:r>
      <w:r>
        <w:rPr>
          <w:rFonts w:ascii="Times New Roman" w:hAnsi="Times New Roman"/>
          <w:sz w:val="24"/>
          <w:szCs w:val="24"/>
        </w:rPr>
        <w:t xml:space="preserve">started </w:t>
      </w:r>
      <w:r w:rsidRPr="008C18ED">
        <w:rPr>
          <w:rFonts w:ascii="Times New Roman" w:hAnsi="Times New Roman"/>
          <w:sz w:val="24"/>
          <w:szCs w:val="24"/>
        </w:rPr>
        <w:t>in July 2015 in the Sierra National Forest</w:t>
      </w:r>
      <w:r>
        <w:rPr>
          <w:rFonts w:ascii="Times New Roman" w:hAnsi="Times New Roman"/>
          <w:sz w:val="24"/>
          <w:szCs w:val="24"/>
        </w:rPr>
        <w:t>; p</w:t>
      </w:r>
      <w:r w:rsidRPr="008C18ED">
        <w:rPr>
          <w:rFonts w:ascii="Times New Roman" w:hAnsi="Times New Roman"/>
          <w:sz w:val="24"/>
          <w:szCs w:val="24"/>
        </w:rPr>
        <w:t>laintiffs owned the Kings Canyon Lodge in the Sierra National Forest, located at a bend in Highway 180, near the 10-Mile Creek</w:t>
      </w:r>
      <w:r>
        <w:rPr>
          <w:rFonts w:ascii="Times New Roman" w:hAnsi="Times New Roman"/>
          <w:sz w:val="24"/>
          <w:szCs w:val="24"/>
        </w:rPr>
        <w:t xml:space="preserve">; the fire </w:t>
      </w:r>
      <w:r w:rsidRPr="008C18ED">
        <w:rPr>
          <w:rFonts w:ascii="Times New Roman" w:hAnsi="Times New Roman"/>
          <w:sz w:val="24"/>
          <w:szCs w:val="24"/>
        </w:rPr>
        <w:t xml:space="preserve">burned more than 140, 000 acres before it was contained in September 2015. </w:t>
      </w:r>
      <w:hyperlink r:id="rId924" w:history="1">
        <w:r w:rsidRPr="00463170">
          <w:rPr>
            <w:rStyle w:val="Hyperlink"/>
            <w:rFonts w:ascii="Times New Roman" w:hAnsi="Times New Roman"/>
            <w:sz w:val="24"/>
            <w:szCs w:val="24"/>
          </w:rPr>
          <w:t>https://public.fastcase.com/waZtJvSA54UAurM2rmIZz7W%2FsumOmHJRMxx6Xd%2FRMYm%2FGY4cQ9ojWggecoIy6%2FUeVcPjYVPSLOvPb0MEmsZAQF%2FZtsixbezDD9jmkmDKasM%3D</w:t>
        </w:r>
      </w:hyperlink>
      <w:r>
        <w:rPr>
          <w:rFonts w:ascii="Times New Roman" w:hAnsi="Times New Roman"/>
          <w:sz w:val="24"/>
          <w:szCs w:val="24"/>
        </w:rPr>
        <w:t xml:space="preserve"> </w:t>
      </w:r>
    </w:p>
    <w:p w14:paraId="59C2AC64" w14:textId="77777777" w:rsidR="003F4E70" w:rsidRDefault="003F4E70" w:rsidP="003F4E70">
      <w:pPr>
        <w:spacing w:before="100" w:beforeAutospacing="1" w:after="100" w:afterAutospacing="1" w:line="240" w:lineRule="auto"/>
        <w:rPr>
          <w:rFonts w:ascii="Times New Roman" w:hAnsi="Times New Roman"/>
          <w:b/>
          <w:bCs/>
          <w:sz w:val="24"/>
          <w:szCs w:val="24"/>
        </w:rPr>
      </w:pPr>
      <w:r w:rsidRPr="008C18ED">
        <w:rPr>
          <w:rFonts w:ascii="Times New Roman" w:hAnsi="Times New Roman"/>
          <w:b/>
          <w:bCs/>
          <w:sz w:val="24"/>
          <w:szCs w:val="24"/>
        </w:rPr>
        <w:t xml:space="preserve">Legal Lesson Learned: </w:t>
      </w:r>
      <w:r>
        <w:rPr>
          <w:rFonts w:ascii="Times New Roman" w:hAnsi="Times New Roman"/>
          <w:b/>
          <w:bCs/>
          <w:sz w:val="24"/>
          <w:szCs w:val="24"/>
        </w:rPr>
        <w:t xml:space="preserve"> U.S. Government and Forest Service incident commanders enjoy immunity for discretionary decisions. </w:t>
      </w:r>
    </w:p>
    <w:p w14:paraId="1E662092" w14:textId="77777777" w:rsidR="003F4E70" w:rsidRDefault="003F4E70" w:rsidP="002B1283">
      <w:pPr>
        <w:rPr>
          <w:rStyle w:val="Hyperlink"/>
          <w:rFonts w:ascii="Arial Black" w:hAnsi="Arial Black"/>
          <w:b/>
          <w:color w:val="auto"/>
          <w:sz w:val="24"/>
          <w:szCs w:val="24"/>
          <w:u w:val="none"/>
        </w:rPr>
      </w:pPr>
    </w:p>
    <w:p w14:paraId="06C87DC9" w14:textId="77777777" w:rsidR="003F4E70" w:rsidRDefault="003F4E70" w:rsidP="002B1283">
      <w:pPr>
        <w:rPr>
          <w:rStyle w:val="Hyperlink"/>
          <w:rFonts w:ascii="Arial Black" w:hAnsi="Arial Black"/>
          <w:b/>
          <w:color w:val="auto"/>
          <w:sz w:val="24"/>
          <w:szCs w:val="24"/>
          <w:u w:val="none"/>
        </w:rPr>
      </w:pPr>
    </w:p>
    <w:p w14:paraId="30385159" w14:textId="0ED7C5B6" w:rsidR="00B5724A" w:rsidRDefault="00B5724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4-20</w:t>
      </w:r>
    </w:p>
    <w:p w14:paraId="485153B7" w14:textId="66084CB3" w:rsidR="00B5724A" w:rsidRPr="00FD7A7A" w:rsidRDefault="00B5724A" w:rsidP="00B5724A">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MI: INCIDENT COMMANDER IMMUNITY – HOUSE FIRE – BODY </w:t>
      </w:r>
      <w:proofErr w:type="gramStart"/>
      <w:r w:rsidR="003D367F">
        <w:rPr>
          <w:rFonts w:ascii="Arial Black" w:hAnsi="Arial Black"/>
          <w:sz w:val="28"/>
          <w:szCs w:val="28"/>
        </w:rPr>
        <w:t>26-YEAR OLD</w:t>
      </w:r>
      <w:proofErr w:type="gramEnd"/>
      <w:r w:rsidR="003D367F">
        <w:rPr>
          <w:rFonts w:ascii="Arial Black" w:hAnsi="Arial Black"/>
          <w:sz w:val="28"/>
          <w:szCs w:val="28"/>
        </w:rPr>
        <w:t xml:space="preserve"> </w:t>
      </w:r>
      <w:r>
        <w:rPr>
          <w:rFonts w:ascii="Arial Black" w:hAnsi="Arial Black"/>
          <w:sz w:val="28"/>
          <w:szCs w:val="28"/>
        </w:rPr>
        <w:t>NOT FOUND 5 DAYS - NO GROSS NEGLIGENCE</w:t>
      </w:r>
    </w:p>
    <w:p w14:paraId="709D6028" w14:textId="77777777" w:rsidR="00D7606A" w:rsidRPr="00B03BDA" w:rsidRDefault="00B5724A" w:rsidP="00D7606A">
      <w:pPr>
        <w:spacing w:before="100" w:beforeAutospacing="1" w:after="100" w:afterAutospacing="1" w:line="240" w:lineRule="auto"/>
        <w:rPr>
          <w:rFonts w:ascii="Times New Roman" w:hAnsi="Times New Roman"/>
          <w:sz w:val="24"/>
          <w:szCs w:val="24"/>
        </w:rPr>
      </w:pPr>
      <w:r w:rsidRPr="00792FBA">
        <w:rPr>
          <w:rFonts w:ascii="Times New Roman" w:hAnsi="Times New Roman"/>
          <w:sz w:val="24"/>
          <w:szCs w:val="24"/>
        </w:rPr>
        <w:t xml:space="preserve">On Dec. 21, 2021, in </w:t>
      </w:r>
      <w:r w:rsidRPr="00792FBA">
        <w:rPr>
          <w:rFonts w:ascii="Times New Roman" w:hAnsi="Times New Roman"/>
          <w:sz w:val="24"/>
          <w:szCs w:val="24"/>
          <w:u w:val="single"/>
        </w:rPr>
        <w:t>Kelly Dougherty, individually and personal representative of the estate of Kevin McGriff, Jr. v. City of Detroit, Detroit Fire Department and Sergeant Roger Harper</w:t>
      </w:r>
      <w:r w:rsidRPr="00792FBA">
        <w:rPr>
          <w:rFonts w:ascii="Times New Roman" w:hAnsi="Times New Roman"/>
          <w:sz w:val="24"/>
          <w:szCs w:val="24"/>
        </w:rPr>
        <w:t xml:space="preserve">, the Court of Appeals of Michigan held (3 to 0) that trial court should have granted Sergeant Harper’s motion to dismiss under the Michigan Governmental Tort Liability Act (GTLA), since his </w:t>
      </w:r>
      <w:r>
        <w:rPr>
          <w:rFonts w:ascii="Times New Roman" w:hAnsi="Times New Roman"/>
          <w:sz w:val="24"/>
          <w:szCs w:val="24"/>
        </w:rPr>
        <w:t>conduct did not “</w:t>
      </w:r>
      <w:r w:rsidRPr="00EC63CD">
        <w:rPr>
          <w:rFonts w:ascii="Times New Roman" w:hAnsi="Times New Roman"/>
          <w:sz w:val="24"/>
          <w:szCs w:val="24"/>
        </w:rPr>
        <w:t>amount to gross negligence that is the proximate cause of the injury or damage.</w:t>
      </w:r>
      <w:r>
        <w:rPr>
          <w:rFonts w:ascii="Times New Roman" w:hAnsi="Times New Roman"/>
          <w:sz w:val="24"/>
          <w:szCs w:val="24"/>
        </w:rPr>
        <w:t xml:space="preserve">”  The </w:t>
      </w:r>
      <w:proofErr w:type="gramStart"/>
      <w:r>
        <w:rPr>
          <w:rFonts w:ascii="Times New Roman" w:hAnsi="Times New Roman"/>
          <w:sz w:val="24"/>
          <w:szCs w:val="24"/>
        </w:rPr>
        <w:t>City</w:t>
      </w:r>
      <w:proofErr w:type="gramEnd"/>
      <w:r>
        <w:rPr>
          <w:rFonts w:ascii="Times New Roman" w:hAnsi="Times New Roman"/>
          <w:sz w:val="24"/>
          <w:szCs w:val="24"/>
        </w:rPr>
        <w:t xml:space="preserve"> and the FD were previously granted summary judgment under the GTLA. </w:t>
      </w:r>
      <w:hyperlink r:id="rId925" w:history="1">
        <w:r w:rsidR="00D7606A" w:rsidRPr="00EC5853">
          <w:rPr>
            <w:rStyle w:val="Hyperlink"/>
            <w:rFonts w:ascii="Times New Roman" w:hAnsi="Times New Roman"/>
            <w:sz w:val="24"/>
            <w:szCs w:val="24"/>
          </w:rPr>
          <w:t>https://casetext.com/case/dougherty-v-city-of-detroit</w:t>
        </w:r>
      </w:hyperlink>
      <w:r w:rsidR="00D7606A">
        <w:rPr>
          <w:rFonts w:ascii="Times New Roman" w:hAnsi="Times New Roman"/>
          <w:sz w:val="24"/>
          <w:szCs w:val="24"/>
        </w:rPr>
        <w:t xml:space="preserve"> </w:t>
      </w:r>
    </w:p>
    <w:p w14:paraId="73056C31" w14:textId="4D6EFAA9" w:rsidR="00B5724A" w:rsidRPr="00737BB4" w:rsidRDefault="00D7606A" w:rsidP="00B5724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w:t>
      </w:r>
    </w:p>
    <w:p w14:paraId="32149667" w14:textId="77777777" w:rsidR="00B5724A" w:rsidRPr="00B03BDA" w:rsidRDefault="00B5724A" w:rsidP="00B5724A">
      <w:pPr>
        <w:spacing w:before="100" w:beforeAutospacing="1" w:after="100" w:afterAutospacing="1" w:line="240" w:lineRule="auto"/>
        <w:ind w:left="720"/>
        <w:rPr>
          <w:rFonts w:ascii="Times New Roman" w:hAnsi="Times New Roman"/>
          <w:sz w:val="24"/>
          <w:szCs w:val="24"/>
        </w:rPr>
      </w:pPr>
      <w:r w:rsidRPr="008F73CD">
        <w:rPr>
          <w:rFonts w:ascii="Times New Roman" w:hAnsi="Times New Roman"/>
          <w:sz w:val="24"/>
          <w:szCs w:val="24"/>
        </w:rPr>
        <w:t>“</w:t>
      </w:r>
      <w:r>
        <w:rPr>
          <w:rFonts w:ascii="Times New Roman" w:hAnsi="Times New Roman"/>
          <w:sz w:val="24"/>
          <w:szCs w:val="24"/>
        </w:rPr>
        <w:t>[W]</w:t>
      </w:r>
      <w:r w:rsidRPr="008F73CD">
        <w:rPr>
          <w:rFonts w:ascii="Times New Roman" w:hAnsi="Times New Roman"/>
          <w:sz w:val="24"/>
          <w:szCs w:val="24"/>
        </w:rPr>
        <w:t>we think it is too heavy a burden to impose an affirmative duty on firefighters to ensure the survival of individuals that are unobservable at the scene of a fire</w:t>
      </w:r>
      <w:r>
        <w:rPr>
          <w:rFonts w:ascii="Times New Roman" w:hAnsi="Times New Roman"/>
          <w:sz w:val="24"/>
          <w:szCs w:val="24"/>
        </w:rPr>
        <w:t>….</w:t>
      </w:r>
      <w:r w:rsidRPr="008F73CD">
        <w:rPr>
          <w:rFonts w:ascii="Times New Roman" w:hAnsi="Times New Roman"/>
          <w:sz w:val="24"/>
          <w:szCs w:val="24"/>
        </w:rPr>
        <w:t xml:space="preserve"> As defendant pointed out, imposing such a broad duty that places personal liability on firefighters not only contradicts established law, but could also have a chilling effect on recruitment of firefighters. Similarly, this enhanced burden would alter how long a firefighter must remain in a fire-compromised building, thereby jeopardizing his or her own safety and the safety of his or her crew</w:t>
      </w:r>
      <w:r>
        <w:rPr>
          <w:rFonts w:ascii="Times New Roman" w:hAnsi="Times New Roman"/>
          <w:sz w:val="24"/>
          <w:szCs w:val="24"/>
        </w:rPr>
        <w:t xml:space="preserve">…. </w:t>
      </w:r>
      <w:r w:rsidRPr="008F73CD">
        <w:rPr>
          <w:rFonts w:ascii="Times New Roman" w:hAnsi="Times New Roman"/>
          <w:sz w:val="24"/>
          <w:szCs w:val="24"/>
        </w:rPr>
        <w:t>We see no reason to impose an affirmative duty on firefighters requiring them to ensure the survival of individuals, who firefighters are unaware that exist, and cannot be located despite numerous searches of an area.</w:t>
      </w:r>
      <w:r>
        <w:rPr>
          <w:rFonts w:ascii="Times New Roman" w:hAnsi="Times New Roman"/>
          <w:sz w:val="24"/>
          <w:szCs w:val="24"/>
        </w:rPr>
        <w:t xml:space="preserve">” </w:t>
      </w:r>
      <w:hyperlink r:id="rId926" w:history="1">
        <w:r w:rsidRPr="00EC5853">
          <w:rPr>
            <w:rStyle w:val="Hyperlink"/>
            <w:rFonts w:ascii="Times New Roman" w:hAnsi="Times New Roman"/>
            <w:sz w:val="24"/>
            <w:szCs w:val="24"/>
          </w:rPr>
          <w:t>https://casetext.com/case/dougherty-v-city-of-detroit</w:t>
        </w:r>
      </w:hyperlink>
      <w:r>
        <w:rPr>
          <w:rFonts w:ascii="Times New Roman" w:hAnsi="Times New Roman"/>
          <w:sz w:val="24"/>
          <w:szCs w:val="24"/>
        </w:rPr>
        <w:t xml:space="preserve"> </w:t>
      </w:r>
    </w:p>
    <w:p w14:paraId="33E21782" w14:textId="77777777" w:rsidR="00B5724A" w:rsidRPr="0099025C" w:rsidRDefault="00B5724A" w:rsidP="00B5724A">
      <w:pPr>
        <w:rPr>
          <w:rFonts w:ascii="Times New Roman" w:hAnsi="Times New Roman"/>
          <w:b/>
          <w:bCs/>
          <w:sz w:val="24"/>
          <w:szCs w:val="24"/>
        </w:rPr>
      </w:pPr>
      <w:r w:rsidRPr="0099025C">
        <w:rPr>
          <w:rFonts w:ascii="Times New Roman" w:hAnsi="Times New Roman"/>
          <w:b/>
          <w:bCs/>
          <w:sz w:val="24"/>
          <w:szCs w:val="24"/>
        </w:rPr>
        <w:t xml:space="preserve">Legal Lesson Learned: Michigan governmental tort liability act protects Incident Commanders from personal liability unless proof of gross negligence. </w:t>
      </w:r>
    </w:p>
    <w:p w14:paraId="03ACA62E" w14:textId="77777777" w:rsidR="00B5724A" w:rsidRDefault="00B5724A" w:rsidP="00B5724A">
      <w:pPr>
        <w:spacing w:line="240" w:lineRule="auto"/>
        <w:ind w:left="720"/>
        <w:rPr>
          <w:rFonts w:ascii="Times New Roman" w:hAnsi="Times New Roman"/>
          <w:sz w:val="24"/>
          <w:szCs w:val="24"/>
        </w:rPr>
      </w:pPr>
      <w:r>
        <w:rPr>
          <w:rFonts w:ascii="Times New Roman" w:hAnsi="Times New Roman"/>
          <w:sz w:val="24"/>
          <w:szCs w:val="24"/>
        </w:rPr>
        <w:t xml:space="preserve">Note: </w:t>
      </w:r>
      <w:r w:rsidRPr="00A7354D">
        <w:rPr>
          <w:rFonts w:ascii="Times New Roman" w:hAnsi="Times New Roman"/>
          <w:sz w:val="24"/>
          <w:szCs w:val="24"/>
        </w:rPr>
        <w:t xml:space="preserve">Ohio Revised Code, Section 2744.03, </w:t>
      </w:r>
      <w:r>
        <w:rPr>
          <w:rFonts w:ascii="Times New Roman" w:hAnsi="Times New Roman"/>
          <w:sz w:val="24"/>
          <w:szCs w:val="24"/>
        </w:rPr>
        <w:t xml:space="preserve">Defenses – Immunities, </w:t>
      </w:r>
      <w:hyperlink r:id="rId927" w:history="1">
        <w:r w:rsidRPr="00F9132E">
          <w:rPr>
            <w:rFonts w:ascii="Times New Roman" w:hAnsi="Times New Roman"/>
            <w:sz w:val="24"/>
            <w:szCs w:val="24"/>
          </w:rPr>
          <w:t>https://codes.ohio.gov/ohio-revised-code/section-2744.03</w:t>
        </w:r>
      </w:hyperlink>
      <w:r>
        <w:rPr>
          <w:rFonts w:ascii="Times New Roman" w:hAnsi="Times New Roman"/>
          <w:sz w:val="24"/>
          <w:szCs w:val="24"/>
        </w:rPr>
        <w:t xml:space="preserve">  </w:t>
      </w:r>
    </w:p>
    <w:p w14:paraId="116FDEEC"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 xml:space="preserve">“(6) In addition to any immunity or defense referred to in division (A)(7) of this section and in circumstances not covered by that division or sections </w:t>
      </w:r>
      <w:hyperlink r:id="rId928" w:history="1">
        <w:r w:rsidRPr="0099025C">
          <w:rPr>
            <w:rFonts w:ascii="Times New Roman" w:hAnsi="Times New Roman"/>
            <w:sz w:val="24"/>
            <w:szCs w:val="24"/>
          </w:rPr>
          <w:t>3314.07</w:t>
        </w:r>
      </w:hyperlink>
      <w:r w:rsidRPr="0099025C">
        <w:rPr>
          <w:rFonts w:ascii="Times New Roman" w:hAnsi="Times New Roman"/>
          <w:sz w:val="24"/>
          <w:szCs w:val="24"/>
        </w:rPr>
        <w:t xml:space="preserve"> and </w:t>
      </w:r>
      <w:hyperlink r:id="rId929" w:history="1">
        <w:r w:rsidRPr="0099025C">
          <w:rPr>
            <w:rFonts w:ascii="Times New Roman" w:hAnsi="Times New Roman"/>
            <w:sz w:val="24"/>
            <w:szCs w:val="24"/>
          </w:rPr>
          <w:t>3746.24</w:t>
        </w:r>
      </w:hyperlink>
      <w:r w:rsidRPr="0099025C">
        <w:rPr>
          <w:rFonts w:ascii="Times New Roman" w:hAnsi="Times New Roman"/>
          <w:sz w:val="24"/>
          <w:szCs w:val="24"/>
        </w:rPr>
        <w:t xml:space="preserve"> of the Revised Code, the employee is immune from liability unless one of the following applies:</w:t>
      </w:r>
    </w:p>
    <w:p w14:paraId="0BC7BDA8"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(a) The employee's acts or omissions were manifestly outside the scope of the employee's employment or official responsibilities;</w:t>
      </w:r>
    </w:p>
    <w:p w14:paraId="08C3992C"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(b) The employee's acts or omissions were with malicious purpose, in bad faith, or in a wanton or reckless manner….”</w:t>
      </w:r>
    </w:p>
    <w:p w14:paraId="17057B21" w14:textId="77777777" w:rsidR="00B5724A" w:rsidRDefault="00B5724A" w:rsidP="002B1283">
      <w:pPr>
        <w:rPr>
          <w:rStyle w:val="Hyperlink"/>
          <w:rFonts w:ascii="Arial Black" w:hAnsi="Arial Black"/>
          <w:b/>
          <w:color w:val="auto"/>
          <w:sz w:val="24"/>
          <w:szCs w:val="24"/>
          <w:u w:val="none"/>
        </w:rPr>
      </w:pPr>
    </w:p>
    <w:p w14:paraId="099D476A" w14:textId="77777777" w:rsidR="00B5724A" w:rsidRDefault="00B5724A" w:rsidP="002B1283">
      <w:pPr>
        <w:rPr>
          <w:rStyle w:val="Hyperlink"/>
          <w:rFonts w:ascii="Arial Black" w:hAnsi="Arial Black"/>
          <w:b/>
          <w:color w:val="auto"/>
          <w:sz w:val="24"/>
          <w:szCs w:val="24"/>
          <w:u w:val="none"/>
        </w:rPr>
      </w:pPr>
    </w:p>
    <w:p w14:paraId="31ADC158" w14:textId="6AFD11B5" w:rsidR="00B5724A" w:rsidRDefault="00B5724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4-19</w:t>
      </w:r>
    </w:p>
    <w:p w14:paraId="2845E89E" w14:textId="77777777" w:rsidR="00B5724A" w:rsidRPr="00E771B6" w:rsidRDefault="00B5724A" w:rsidP="00B5724A">
      <w:pPr>
        <w:rPr>
          <w:rFonts w:ascii="Arial Black" w:hAnsi="Arial Black"/>
          <w:sz w:val="28"/>
          <w:szCs w:val="28"/>
        </w:rPr>
      </w:pPr>
      <w:r>
        <w:rPr>
          <w:rFonts w:ascii="Arial Black" w:hAnsi="Arial Black"/>
          <w:sz w:val="28"/>
          <w:szCs w:val="28"/>
        </w:rPr>
        <w:t>WA: FED. GOV’T IMMUNITY - FIRE BREAK, 15 ACRES BURNED OK PROPERTY OWNER / IC DIDN’T PROMISE FOAM</w:t>
      </w:r>
    </w:p>
    <w:p w14:paraId="1CF9AF65" w14:textId="77777777" w:rsidR="00B5724A" w:rsidRPr="002C414E" w:rsidRDefault="00B5724A" w:rsidP="00B5724A">
      <w:pPr>
        <w:rPr>
          <w:rFonts w:ascii="Times New Roman" w:hAnsi="Times New Roman"/>
          <w:sz w:val="24"/>
          <w:szCs w:val="24"/>
        </w:rPr>
      </w:pPr>
      <w:r w:rsidRPr="002C414E">
        <w:rPr>
          <w:rFonts w:ascii="Times New Roman" w:hAnsi="Times New Roman"/>
          <w:sz w:val="24"/>
          <w:szCs w:val="24"/>
        </w:rPr>
        <w:t xml:space="preserve">On Dec. 17, 2021, in </w:t>
      </w:r>
      <w:r w:rsidRPr="002C414E">
        <w:rPr>
          <w:rFonts w:ascii="Times New Roman" w:hAnsi="Times New Roman"/>
          <w:sz w:val="24"/>
          <w:szCs w:val="24"/>
          <w:u w:val="single"/>
        </w:rPr>
        <w:t>Alfred Cruz Esquivel and Donald David Willard v. United State of America,</w:t>
      </w:r>
      <w:r w:rsidRPr="002C414E">
        <w:rPr>
          <w:rFonts w:ascii="Times New Roman" w:hAnsi="Times New Roman"/>
          <w:sz w:val="24"/>
          <w:szCs w:val="24"/>
        </w:rPr>
        <w:t xml:space="preserve"> the U.S. Court of Appeals for the 9</w:t>
      </w:r>
      <w:r w:rsidRPr="002C414E">
        <w:rPr>
          <w:rFonts w:ascii="Times New Roman" w:hAnsi="Times New Roman"/>
          <w:sz w:val="24"/>
          <w:szCs w:val="24"/>
          <w:vertAlign w:val="superscript"/>
        </w:rPr>
        <w:t>th</w:t>
      </w:r>
      <w:r w:rsidRPr="002C414E">
        <w:rPr>
          <w:rFonts w:ascii="Times New Roman" w:hAnsi="Times New Roman"/>
          <w:sz w:val="24"/>
          <w:szCs w:val="24"/>
        </w:rPr>
        <w:t xml:space="preserve"> Circuit (San Francisco) upheld the trial court’s dismissal of the case </w:t>
      </w:r>
      <w:r w:rsidRPr="002C414E">
        <w:rPr>
          <w:rStyle w:val="markedcontent"/>
          <w:rFonts w:ascii="Times New Roman" w:hAnsi="Times New Roman"/>
          <w:sz w:val="24"/>
          <w:szCs w:val="24"/>
        </w:rPr>
        <w:t xml:space="preserve">based on holding that the FTCA [Federal Tort Claims Act] claims fell within the discretionary function exception to the FTCA’s waiver of sovereign immunity, and the FTCA’s misrepresentation exception. </w:t>
      </w:r>
      <w:r w:rsidRPr="002C414E">
        <w:rPr>
          <w:rFonts w:ascii="Times New Roman" w:hAnsi="Times New Roman"/>
          <w:sz w:val="24"/>
          <w:szCs w:val="24"/>
        </w:rPr>
        <w:t xml:space="preserve">The Bureau of Land Management had rejected the property owners’ claim of $5 million for burn of his 15 acres. </w:t>
      </w:r>
    </w:p>
    <w:p w14:paraId="31CA7FCC" w14:textId="77777777" w:rsidR="00B5724A" w:rsidRPr="002C414E" w:rsidRDefault="00B5724A" w:rsidP="00B5724A">
      <w:pPr>
        <w:ind w:left="720"/>
        <w:rPr>
          <w:rFonts w:ascii="Times New Roman" w:hAnsi="Times New Roman"/>
          <w:sz w:val="24"/>
          <w:szCs w:val="24"/>
        </w:rPr>
      </w:pPr>
      <w:r w:rsidRPr="002C414E">
        <w:rPr>
          <w:rFonts w:ascii="Times New Roman" w:hAnsi="Times New Roman"/>
          <w:sz w:val="24"/>
          <w:szCs w:val="24"/>
        </w:rPr>
        <w:t>“</w:t>
      </w:r>
      <w:r w:rsidRPr="002C414E">
        <w:rPr>
          <w:rStyle w:val="markedcontent"/>
          <w:rFonts w:ascii="Times New Roman" w:hAnsi="Times New Roman"/>
          <w:sz w:val="24"/>
          <w:szCs w:val="24"/>
        </w:rPr>
        <w:t xml:space="preserve">Willard later swore that [IC Thomas] McKibbin ‘convinced’ him that the team ‘would protect [the] property and make sure that [the] property would not be excessively burned.’ Willard also declared that when he was old about the foam he thought ‘it would be safe for [him] to leave.’ McKibbin swears he does not recall any discussion of foam in his conversation with Willard. He also states in his declaration before the district court that it would be highly unusual for foam to be used during a burnout because foam is typically used only to contain the advance of a wildfire, while burnouts are performed under controlled conditions and normally do not need to be contained. McKibbin also swears that if ‘Willard had wanted to forego a burnout, [McKibbin] would not have done one.’ ‘That would have put the entire property at extreme risk, but it was [Willard’s] prerogative to take the risk if [Willard] wanted to.’ *** </w:t>
      </w:r>
      <w:r w:rsidRPr="002C414E">
        <w:rPr>
          <w:rFonts w:ascii="Times New Roman" w:hAnsi="Times New Roman"/>
          <w:sz w:val="24"/>
          <w:szCs w:val="24"/>
        </w:rPr>
        <w:t xml:space="preserve">Accepting as true the factual allegations contained in Appellants' complaint, we conclude as a matter of law that McKibbin's communication with Willard was ‘based upon the exercise or performance’ of choosing how to organize and conduct fire suppression operations, which undisputedly requires the exercise of judgment grounded in social, economic, or political policy. We therefore hold that the government has met its burden of establishing that Appellants' claims fall within the scope of the discretionary function exception.” </w:t>
      </w:r>
      <w:hyperlink r:id="rId930" w:history="1">
        <w:r w:rsidRPr="00EC5853">
          <w:rPr>
            <w:rStyle w:val="Hyperlink"/>
            <w:rFonts w:ascii="Times New Roman" w:hAnsi="Times New Roman"/>
            <w:sz w:val="24"/>
            <w:szCs w:val="24"/>
          </w:rPr>
          <w:t>https://cdn.ca9.uscourts.gov/datastore/opinions/2021/12/17/20-35868.pdf</w:t>
        </w:r>
      </w:hyperlink>
      <w:r>
        <w:rPr>
          <w:rFonts w:ascii="Times New Roman" w:hAnsi="Times New Roman"/>
          <w:sz w:val="24"/>
          <w:szCs w:val="24"/>
        </w:rPr>
        <w:t xml:space="preserve"> </w:t>
      </w:r>
    </w:p>
    <w:p w14:paraId="4B82893D" w14:textId="77777777" w:rsidR="00B5724A" w:rsidRPr="004F5123" w:rsidRDefault="00B5724A" w:rsidP="00B5724A">
      <w:pPr>
        <w:spacing w:before="100" w:beforeAutospacing="1" w:after="100" w:afterAutospacing="1" w:line="240" w:lineRule="auto"/>
        <w:rPr>
          <w:rFonts w:ascii="Times New Roman" w:eastAsia="Times New Roman" w:hAnsi="Times New Roman"/>
          <w:b/>
          <w:bCs/>
          <w:sz w:val="24"/>
          <w:szCs w:val="24"/>
        </w:rPr>
      </w:pPr>
      <w:r w:rsidRPr="002C414E">
        <w:rPr>
          <w:rFonts w:ascii="Times New Roman" w:hAnsi="Times New Roman"/>
          <w:b/>
          <w:bCs/>
          <w:sz w:val="24"/>
          <w:szCs w:val="24"/>
        </w:rPr>
        <w:t xml:space="preserve">Legal Lesson Learned: The Federal Tort Claims Act includes exemptions from liability for discretionary decisions </w:t>
      </w:r>
      <w:proofErr w:type="gramStart"/>
      <w:r w:rsidRPr="002C414E">
        <w:rPr>
          <w:rFonts w:ascii="Times New Roman" w:hAnsi="Times New Roman"/>
          <w:b/>
          <w:bCs/>
          <w:sz w:val="24"/>
          <w:szCs w:val="24"/>
        </w:rPr>
        <w:t>and also</w:t>
      </w:r>
      <w:proofErr w:type="gramEnd"/>
      <w:r w:rsidRPr="002C414E">
        <w:rPr>
          <w:rFonts w:ascii="Times New Roman" w:hAnsi="Times New Roman"/>
          <w:b/>
          <w:bCs/>
          <w:sz w:val="24"/>
          <w:szCs w:val="24"/>
        </w:rPr>
        <w:t xml:space="preserve"> for alleged misrepresentations</w:t>
      </w:r>
      <w:r>
        <w:rPr>
          <w:rFonts w:ascii="Times New Roman" w:hAnsi="Times New Roman"/>
          <w:b/>
          <w:bCs/>
          <w:sz w:val="24"/>
          <w:szCs w:val="24"/>
        </w:rPr>
        <w:t xml:space="preserve">. </w:t>
      </w:r>
    </w:p>
    <w:p w14:paraId="037E8877" w14:textId="77777777" w:rsidR="00B5724A" w:rsidRDefault="00B5724A" w:rsidP="002B1283">
      <w:pPr>
        <w:rPr>
          <w:rStyle w:val="Hyperlink"/>
          <w:rFonts w:ascii="Arial Black" w:hAnsi="Arial Black"/>
          <w:b/>
          <w:color w:val="auto"/>
          <w:sz w:val="24"/>
          <w:szCs w:val="24"/>
          <w:u w:val="none"/>
        </w:rPr>
      </w:pPr>
    </w:p>
    <w:p w14:paraId="178D7422" w14:textId="77777777" w:rsidR="00B5724A" w:rsidRDefault="00B5724A" w:rsidP="002B1283">
      <w:pPr>
        <w:rPr>
          <w:rStyle w:val="Hyperlink"/>
          <w:rFonts w:ascii="Arial Black" w:hAnsi="Arial Black"/>
          <w:b/>
          <w:color w:val="auto"/>
          <w:sz w:val="24"/>
          <w:szCs w:val="24"/>
          <w:u w:val="none"/>
        </w:rPr>
      </w:pPr>
    </w:p>
    <w:p w14:paraId="7BBF8755" w14:textId="71DF1DF7" w:rsidR="00365F63" w:rsidRDefault="00365F6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4-18</w:t>
      </w:r>
    </w:p>
    <w:p w14:paraId="20EA0DC5" w14:textId="77777777" w:rsidR="00365F63" w:rsidRDefault="00365F63" w:rsidP="00365F63">
      <w:pPr>
        <w:spacing w:before="100" w:beforeAutospacing="1" w:after="100" w:afterAutospacing="1" w:line="240" w:lineRule="auto"/>
        <w:rPr>
          <w:rFonts w:ascii="Arial Black" w:hAnsi="Arial Black"/>
          <w:sz w:val="28"/>
          <w:szCs w:val="28"/>
        </w:rPr>
      </w:pPr>
      <w:r>
        <w:rPr>
          <w:rFonts w:ascii="Arial Black" w:hAnsi="Arial Black"/>
          <w:sz w:val="28"/>
          <w:szCs w:val="28"/>
        </w:rPr>
        <w:t>MI: DISPATCH SENT EMS TO “FIREMEN’S ASSOCIATION” INSTEAD OF VOL. FD – CHILD DIED ASTHMA - IMMUNITY</w:t>
      </w:r>
    </w:p>
    <w:p w14:paraId="4E1F0A9E" w14:textId="77777777" w:rsidR="00365F63" w:rsidRDefault="00365F63" w:rsidP="00365F6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15, 2021, in </w:t>
      </w:r>
      <w:r w:rsidRPr="00502AAE">
        <w:rPr>
          <w:rFonts w:ascii="Times New Roman" w:hAnsi="Times New Roman"/>
          <w:sz w:val="24"/>
          <w:szCs w:val="24"/>
          <w:u w:val="single"/>
        </w:rPr>
        <w:t>Jose Reyes, as Personal Representative for the Estate of Bobby Reves, et al. v. Monroe County and Sonya Sampsel</w:t>
      </w:r>
      <w:r>
        <w:rPr>
          <w:rFonts w:ascii="Times New Roman" w:hAnsi="Times New Roman"/>
          <w:sz w:val="24"/>
          <w:szCs w:val="24"/>
        </w:rPr>
        <w:t xml:space="preserve">, U.S. District Court Judge Laurie J. Michelson granted summary judgment to Monroe County and 911 Dispatcher Sonya Sampsel.  Tragic case where a </w:t>
      </w:r>
      <w:proofErr w:type="gramStart"/>
      <w:r>
        <w:rPr>
          <w:rFonts w:ascii="Times New Roman" w:hAnsi="Times New Roman"/>
          <w:sz w:val="24"/>
          <w:szCs w:val="24"/>
        </w:rPr>
        <w:t>14-year old</w:t>
      </w:r>
      <w:proofErr w:type="gramEnd"/>
      <w:r>
        <w:rPr>
          <w:rFonts w:ascii="Times New Roman" w:hAnsi="Times New Roman"/>
          <w:sz w:val="24"/>
          <w:szCs w:val="24"/>
        </w:rPr>
        <w:t xml:space="preserve"> teenager with asthma died when dispatch sent ambulance to the Ash Township Firemen’s Association, instead of to Ash Township Fire Station No. 2.  Judge recognized that the dispatcher had to make a quick decision with a non-breather.  Fed. claim of “state-created-danger” in violation of due process under 14</w:t>
      </w:r>
      <w:r w:rsidRPr="007E302C">
        <w:rPr>
          <w:rFonts w:ascii="Times New Roman" w:hAnsi="Times New Roman"/>
          <w:sz w:val="24"/>
          <w:szCs w:val="24"/>
          <w:vertAlign w:val="superscript"/>
        </w:rPr>
        <w:t>th</w:t>
      </w:r>
      <w:r>
        <w:rPr>
          <w:rFonts w:ascii="Times New Roman" w:hAnsi="Times New Roman"/>
          <w:sz w:val="24"/>
          <w:szCs w:val="24"/>
        </w:rPr>
        <w:t xml:space="preserve"> Amendment of Constitution requires proof of reckless conduct that “shocks the contemporary conscience.” State claim of negligence also dismissed - </w:t>
      </w:r>
      <w:r w:rsidRPr="00AE2C93">
        <w:rPr>
          <w:rFonts w:ascii="Times New Roman" w:hAnsi="Times New Roman"/>
          <w:sz w:val="24"/>
          <w:szCs w:val="24"/>
        </w:rPr>
        <w:t xml:space="preserve">Michigan's Governmental Tort Liability Act shields government </w:t>
      </w:r>
      <w:r>
        <w:rPr>
          <w:rFonts w:ascii="Times New Roman" w:hAnsi="Times New Roman"/>
          <w:sz w:val="24"/>
          <w:szCs w:val="24"/>
        </w:rPr>
        <w:t>employees</w:t>
      </w:r>
      <w:r w:rsidRPr="00AE2C93">
        <w:rPr>
          <w:rFonts w:ascii="Times New Roman" w:hAnsi="Times New Roman"/>
          <w:sz w:val="24"/>
          <w:szCs w:val="24"/>
        </w:rPr>
        <w:t xml:space="preserve"> from claims of negligence unless the</w:t>
      </w:r>
      <w:r>
        <w:rPr>
          <w:rFonts w:ascii="Times New Roman" w:hAnsi="Times New Roman"/>
          <w:sz w:val="24"/>
          <w:szCs w:val="24"/>
        </w:rPr>
        <w:t xml:space="preserve">ir conduct was </w:t>
      </w:r>
      <w:r w:rsidRPr="00AE2C93">
        <w:rPr>
          <w:rFonts w:ascii="Times New Roman" w:hAnsi="Times New Roman"/>
          <w:sz w:val="24"/>
          <w:szCs w:val="24"/>
        </w:rPr>
        <w:t>“so reckless as to demonstrate a substantial lack of concern for whether an injury results.</w:t>
      </w:r>
      <w:r>
        <w:rPr>
          <w:rFonts w:ascii="Times New Roman" w:hAnsi="Times New Roman"/>
          <w:sz w:val="24"/>
          <w:szCs w:val="24"/>
        </w:rPr>
        <w:t xml:space="preserve">”  </w:t>
      </w:r>
    </w:p>
    <w:p w14:paraId="17E73740"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E302C">
        <w:rPr>
          <w:rFonts w:ascii="Times New Roman" w:hAnsi="Times New Roman"/>
          <w:sz w:val="24"/>
          <w:szCs w:val="24"/>
        </w:rPr>
        <w:t xml:space="preserve">In cases where a state actor was forced to make a quick decision, courts have required a plaintiff to show that the state actor intended to cause harm to establish liability under the Due Process Clause. </w:t>
      </w:r>
      <w:r w:rsidRPr="007E302C">
        <w:rPr>
          <w:rFonts w:ascii="Times New Roman" w:hAnsi="Times New Roman"/>
          <w:i/>
          <w:iCs/>
          <w:sz w:val="24"/>
          <w:szCs w:val="24"/>
        </w:rPr>
        <w:t>See County of Sacramento v. Lewis</w:t>
      </w:r>
      <w:r w:rsidRPr="007E302C">
        <w:rPr>
          <w:rFonts w:ascii="Times New Roman" w:hAnsi="Times New Roman"/>
          <w:sz w:val="24"/>
          <w:szCs w:val="24"/>
        </w:rPr>
        <w:t xml:space="preserve">, </w:t>
      </w:r>
      <w:hyperlink r:id="rId931" w:anchor="p853" w:history="1">
        <w:r w:rsidRPr="007E302C">
          <w:rPr>
            <w:rStyle w:val="Hyperlink"/>
            <w:rFonts w:ascii="Times New Roman" w:hAnsi="Times New Roman"/>
            <w:sz w:val="24"/>
            <w:szCs w:val="24"/>
          </w:rPr>
          <w:t>523 U.S. 833, 853</w:t>
        </w:r>
      </w:hyperlink>
      <w:r w:rsidRPr="007E302C">
        <w:rPr>
          <w:rFonts w:ascii="Times New Roman" w:hAnsi="Times New Roman"/>
          <w:sz w:val="24"/>
          <w:szCs w:val="24"/>
        </w:rPr>
        <w:t xml:space="preserve"> (1998) (providing that </w:t>
      </w:r>
      <w:r>
        <w:rPr>
          <w:rFonts w:ascii="Times New Roman" w:hAnsi="Times New Roman"/>
          <w:sz w:val="24"/>
          <w:szCs w:val="24"/>
        </w:rPr>
        <w:t>‘</w:t>
      </w:r>
      <w:r w:rsidRPr="007E302C">
        <w:rPr>
          <w:rFonts w:ascii="Times New Roman" w:hAnsi="Times New Roman"/>
          <w:sz w:val="24"/>
          <w:szCs w:val="24"/>
        </w:rPr>
        <w:t xml:space="preserve">when unforeseen circumstances demand an officer's instant judgment, </w:t>
      </w:r>
      <w:r>
        <w:rPr>
          <w:rFonts w:ascii="Times New Roman" w:hAnsi="Times New Roman"/>
          <w:sz w:val="24"/>
          <w:szCs w:val="24"/>
        </w:rPr>
        <w:t>‘</w:t>
      </w:r>
      <w:r w:rsidRPr="007E302C">
        <w:rPr>
          <w:rFonts w:ascii="Times New Roman" w:hAnsi="Times New Roman"/>
          <w:sz w:val="24"/>
          <w:szCs w:val="24"/>
        </w:rPr>
        <w:t xml:space="preserve"> even the officer's reckless conduct will not shock the conscious); </w:t>
      </w:r>
      <w:r w:rsidRPr="007E302C">
        <w:rPr>
          <w:rFonts w:ascii="Times New Roman" w:hAnsi="Times New Roman"/>
          <w:i/>
          <w:iCs/>
          <w:sz w:val="24"/>
          <w:szCs w:val="24"/>
        </w:rPr>
        <w:t>Jackson Board of Education</w:t>
      </w:r>
      <w:r w:rsidRPr="007E302C">
        <w:rPr>
          <w:rFonts w:ascii="Times New Roman" w:hAnsi="Times New Roman"/>
          <w:sz w:val="24"/>
          <w:szCs w:val="24"/>
        </w:rPr>
        <w:t xml:space="preserve">, </w:t>
      </w:r>
      <w:hyperlink r:id="rId932" w:anchor="p933" w:history="1">
        <w:r w:rsidRPr="007E302C">
          <w:rPr>
            <w:rStyle w:val="Hyperlink"/>
            <w:rFonts w:ascii="Times New Roman" w:hAnsi="Times New Roman"/>
            <w:sz w:val="24"/>
            <w:szCs w:val="24"/>
          </w:rPr>
          <w:t>954 F.3d at 933</w:t>
        </w:r>
      </w:hyperlink>
      <w:r w:rsidRPr="007E302C">
        <w:rPr>
          <w:rFonts w:ascii="Times New Roman" w:hAnsi="Times New Roman"/>
          <w:sz w:val="24"/>
          <w:szCs w:val="24"/>
        </w:rPr>
        <w:t xml:space="preserve"> (“[The Supreme Court] has added that an actual intent to injure is required when public actors must make hasty decisions, such as during a high-speed chase or a prison riot.</w:t>
      </w:r>
      <w:r>
        <w:rPr>
          <w:rFonts w:ascii="Times New Roman" w:hAnsi="Times New Roman"/>
          <w:sz w:val="24"/>
          <w:szCs w:val="24"/>
        </w:rPr>
        <w:t>’</w:t>
      </w:r>
      <w:r w:rsidRPr="007E302C">
        <w:rPr>
          <w:rFonts w:ascii="Times New Roman" w:hAnsi="Times New Roman"/>
          <w:sz w:val="24"/>
          <w:szCs w:val="24"/>
        </w:rPr>
        <w:t xml:space="preserve">). An intent-to-harm standard makes sense when there is no time to deliberate; after </w:t>
      </w:r>
      <w:proofErr w:type="gramStart"/>
      <w:r w:rsidRPr="007E302C">
        <w:rPr>
          <w:rFonts w:ascii="Times New Roman" w:hAnsi="Times New Roman"/>
          <w:sz w:val="24"/>
          <w:szCs w:val="24"/>
        </w:rPr>
        <w:t xml:space="preserve">all, </w:t>
      </w:r>
      <w:r>
        <w:rPr>
          <w:rFonts w:ascii="Times New Roman" w:hAnsi="Times New Roman"/>
          <w:sz w:val="24"/>
          <w:szCs w:val="24"/>
        </w:rPr>
        <w:t>‘</w:t>
      </w:r>
      <w:proofErr w:type="gramEnd"/>
      <w:r w:rsidRPr="007E302C">
        <w:rPr>
          <w:rFonts w:ascii="Times New Roman" w:hAnsi="Times New Roman"/>
          <w:sz w:val="24"/>
          <w:szCs w:val="24"/>
        </w:rPr>
        <w:t>the [deliberate indifference] standard is sensibly employed only when actual deliberation is practical.</w:t>
      </w:r>
      <w:r>
        <w:rPr>
          <w:rFonts w:ascii="Times New Roman" w:hAnsi="Times New Roman"/>
          <w:sz w:val="24"/>
          <w:szCs w:val="24"/>
        </w:rPr>
        <w:t>’</w:t>
      </w:r>
      <w:r w:rsidRPr="007E302C">
        <w:rPr>
          <w:rFonts w:ascii="Times New Roman" w:hAnsi="Times New Roman"/>
          <w:sz w:val="24"/>
          <w:szCs w:val="24"/>
        </w:rPr>
        <w:t xml:space="preserve"> </w:t>
      </w:r>
      <w:r w:rsidRPr="007E302C">
        <w:rPr>
          <w:rFonts w:ascii="Times New Roman" w:hAnsi="Times New Roman"/>
          <w:i/>
          <w:iCs/>
          <w:sz w:val="24"/>
          <w:szCs w:val="24"/>
        </w:rPr>
        <w:t>Lewis</w:t>
      </w:r>
      <w:r w:rsidRPr="007E302C">
        <w:rPr>
          <w:rFonts w:ascii="Times New Roman" w:hAnsi="Times New Roman"/>
          <w:sz w:val="24"/>
          <w:szCs w:val="24"/>
        </w:rPr>
        <w:t xml:space="preserve">, </w:t>
      </w:r>
      <w:hyperlink r:id="rId933" w:anchor="p851" w:history="1">
        <w:r w:rsidRPr="007E302C">
          <w:rPr>
            <w:rStyle w:val="Hyperlink"/>
            <w:rFonts w:ascii="Times New Roman" w:hAnsi="Times New Roman"/>
            <w:sz w:val="24"/>
            <w:szCs w:val="24"/>
          </w:rPr>
          <w:t>523 U.S. at 851</w:t>
        </w:r>
      </w:hyperlink>
      <w:r w:rsidRPr="007E302C">
        <w:rPr>
          <w:rFonts w:ascii="Times New Roman" w:hAnsi="Times New Roman"/>
          <w:sz w:val="24"/>
          <w:szCs w:val="24"/>
        </w:rPr>
        <w:t>.</w:t>
      </w:r>
    </w:p>
    <w:p w14:paraId="0F1358EA" w14:textId="5765BD3E" w:rsidR="00365F63" w:rsidRDefault="00365F63" w:rsidP="00365F63">
      <w:pPr>
        <w:rPr>
          <w:rStyle w:val="Hyperlink"/>
          <w:rFonts w:ascii="Times New Roman" w:hAnsi="Times New Roman"/>
          <w:sz w:val="24"/>
          <w:szCs w:val="24"/>
        </w:rPr>
      </w:pPr>
      <w:r w:rsidRPr="007E302C">
        <w:rPr>
          <w:rFonts w:ascii="Times New Roman" w:hAnsi="Times New Roman"/>
          <w:sz w:val="24"/>
          <w:szCs w:val="24"/>
        </w:rPr>
        <w:t xml:space="preserve">Here, Sampsel had virtually no time to deliberate. Jones told Sampsel, </w:t>
      </w:r>
      <w:r>
        <w:rPr>
          <w:rFonts w:ascii="Times New Roman" w:hAnsi="Times New Roman"/>
          <w:sz w:val="24"/>
          <w:szCs w:val="24"/>
        </w:rPr>
        <w:t>‘</w:t>
      </w:r>
      <w:r w:rsidRPr="007E302C">
        <w:rPr>
          <w:rFonts w:ascii="Times New Roman" w:hAnsi="Times New Roman"/>
          <w:sz w:val="24"/>
          <w:szCs w:val="24"/>
        </w:rPr>
        <w:t>my son can't breathe.</w:t>
      </w:r>
      <w:r>
        <w:rPr>
          <w:rFonts w:ascii="Times New Roman" w:hAnsi="Times New Roman"/>
          <w:sz w:val="24"/>
          <w:szCs w:val="24"/>
        </w:rPr>
        <w:t>’</w:t>
      </w:r>
      <w:r w:rsidRPr="007E302C">
        <w:rPr>
          <w:rFonts w:ascii="Times New Roman" w:hAnsi="Times New Roman"/>
          <w:sz w:val="24"/>
          <w:szCs w:val="24"/>
        </w:rPr>
        <w:t xml:space="preserve"> Sampsel had to act-and quickly. Thus, for Sampsel to be liable under a state-created-danger theory, it appears that Plaintiffs must show that she acted with intent to harm Reyes. And if that is the requisite standard, not a shred of evidence supports holding Sampsel liable under the Due Process Clause. Sampsel did not intend to harm Reyes; she intended to help Reyes.</w:t>
      </w:r>
      <w:r>
        <w:rPr>
          <w:rFonts w:ascii="Times New Roman" w:hAnsi="Times New Roman"/>
          <w:sz w:val="24"/>
          <w:szCs w:val="24"/>
        </w:rPr>
        <w:t xml:space="preserve">”  </w:t>
      </w:r>
      <w:hyperlink r:id="rId934" w:history="1">
        <w:r w:rsidRPr="004E63E3">
          <w:rPr>
            <w:rStyle w:val="Hyperlink"/>
            <w:rFonts w:ascii="Times New Roman" w:hAnsi="Times New Roman"/>
            <w:sz w:val="24"/>
            <w:szCs w:val="24"/>
          </w:rPr>
          <w:t>https://casetext.com/case/reyes-v-monroe-cnty</w:t>
        </w:r>
      </w:hyperlink>
    </w:p>
    <w:p w14:paraId="6DEF4233" w14:textId="77777777" w:rsidR="00D43015" w:rsidRPr="00E1552C" w:rsidRDefault="00D43015" w:rsidP="00D43015">
      <w:pPr>
        <w:pStyle w:val="paragraph"/>
        <w:rPr>
          <w:b/>
          <w:bCs/>
        </w:rPr>
      </w:pPr>
      <w:r w:rsidRPr="00E1552C">
        <w:rPr>
          <w:b/>
          <w:bCs/>
        </w:rPr>
        <w:t xml:space="preserve">Legal Lesson Learned: Fortunately, dispatchers </w:t>
      </w:r>
      <w:r>
        <w:rPr>
          <w:b/>
          <w:bCs/>
        </w:rPr>
        <w:t xml:space="preserve">and other emergency responders required to make quick decisions </w:t>
      </w:r>
      <w:r w:rsidRPr="00E1552C">
        <w:rPr>
          <w:b/>
          <w:bCs/>
        </w:rPr>
        <w:t xml:space="preserve">enjoy immunity from Federal </w:t>
      </w:r>
      <w:r>
        <w:rPr>
          <w:b/>
          <w:bCs/>
        </w:rPr>
        <w:t xml:space="preserve">and state claims unless conduct is extremely reckless or </w:t>
      </w:r>
      <w:r w:rsidRPr="00200005">
        <w:rPr>
          <w:b/>
          <w:bCs/>
        </w:rPr>
        <w:t xml:space="preserve">deemed to </w:t>
      </w:r>
      <w:r>
        <w:rPr>
          <w:b/>
          <w:bCs/>
        </w:rPr>
        <w:t>“</w:t>
      </w:r>
      <w:r w:rsidRPr="00200005">
        <w:rPr>
          <w:b/>
          <w:bCs/>
        </w:rPr>
        <w:t>shock the contemporary conscience</w:t>
      </w:r>
      <w:r>
        <w:t>.”</w:t>
      </w:r>
    </w:p>
    <w:p w14:paraId="7519DE12" w14:textId="7C693D9D" w:rsidR="00D43015" w:rsidRDefault="00D43015" w:rsidP="00365F63">
      <w:pPr>
        <w:rPr>
          <w:rStyle w:val="Hyperlink"/>
          <w:rFonts w:ascii="Times New Roman" w:hAnsi="Times New Roman"/>
          <w:sz w:val="24"/>
          <w:szCs w:val="24"/>
        </w:rPr>
      </w:pPr>
    </w:p>
    <w:p w14:paraId="6C6DB195" w14:textId="4742A394" w:rsidR="00D43015" w:rsidRDefault="00D43015" w:rsidP="00365F63">
      <w:pPr>
        <w:rPr>
          <w:rStyle w:val="Hyperlink"/>
          <w:rFonts w:ascii="Times New Roman" w:hAnsi="Times New Roman"/>
          <w:sz w:val="24"/>
          <w:szCs w:val="24"/>
        </w:rPr>
      </w:pPr>
    </w:p>
    <w:p w14:paraId="628A47BE" w14:textId="77777777" w:rsidR="00D43015" w:rsidRDefault="00D43015" w:rsidP="00365F63">
      <w:pPr>
        <w:rPr>
          <w:rStyle w:val="Hyperlink"/>
          <w:rFonts w:ascii="Arial Black" w:hAnsi="Arial Black"/>
          <w:b/>
          <w:color w:val="auto"/>
          <w:sz w:val="24"/>
          <w:szCs w:val="24"/>
          <w:u w:val="none"/>
        </w:rPr>
      </w:pPr>
    </w:p>
    <w:p w14:paraId="65B4AA3D" w14:textId="7DB7CBD3" w:rsidR="0082055F" w:rsidRDefault="0082055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4-17</w:t>
      </w:r>
    </w:p>
    <w:p w14:paraId="4776FA1F" w14:textId="77777777" w:rsidR="0082055F" w:rsidRPr="00D431D9" w:rsidRDefault="0082055F" w:rsidP="0082055F">
      <w:pPr>
        <w:spacing w:before="100" w:beforeAutospacing="1" w:after="100" w:afterAutospacing="1" w:line="240" w:lineRule="auto"/>
        <w:rPr>
          <w:rFonts w:ascii="Arial Black" w:hAnsi="Arial Black"/>
          <w:sz w:val="28"/>
          <w:szCs w:val="28"/>
        </w:rPr>
      </w:pPr>
      <w:r>
        <w:rPr>
          <w:rFonts w:ascii="Arial Black" w:hAnsi="Arial Black"/>
          <w:sz w:val="28"/>
          <w:szCs w:val="28"/>
        </w:rPr>
        <w:t>U.S. SUPREME CT – UNANIMOUS - “QUALIFIED IMMUNITY” FOR PD - TWO CASES – HIGH RISK EMERGENCY DECISIONS</w:t>
      </w:r>
    </w:p>
    <w:p w14:paraId="3A664483" w14:textId="77777777" w:rsidR="0082055F" w:rsidRPr="002C43B3" w:rsidRDefault="0082055F" w:rsidP="0082055F">
      <w:pPr>
        <w:spacing w:before="100" w:beforeAutospacing="1" w:after="100" w:afterAutospacing="1" w:line="240" w:lineRule="auto"/>
        <w:rPr>
          <w:rFonts w:ascii="Times New Roman" w:hAnsi="Times New Roman"/>
          <w:sz w:val="24"/>
          <w:szCs w:val="24"/>
        </w:rPr>
      </w:pPr>
      <w:r w:rsidRPr="0065616E">
        <w:rPr>
          <w:rFonts w:ascii="Times New Roman" w:hAnsi="Times New Roman"/>
          <w:sz w:val="24"/>
          <w:szCs w:val="24"/>
        </w:rPr>
        <w:t xml:space="preserve">On </w:t>
      </w:r>
      <w:r>
        <w:rPr>
          <w:rFonts w:ascii="Times New Roman" w:hAnsi="Times New Roman"/>
          <w:sz w:val="24"/>
          <w:szCs w:val="24"/>
        </w:rPr>
        <w:t xml:space="preserve">Oct. 18, 2021, the U.S. Supreme Court, issued summary dispositions (9 to 0; two per curiam opinions – not authored by a single Justice) dismissing two lawsuits against police officers </w:t>
      </w:r>
      <w:proofErr w:type="gramStart"/>
      <w:r>
        <w:rPr>
          <w:rFonts w:ascii="Times New Roman" w:hAnsi="Times New Roman"/>
          <w:sz w:val="24"/>
          <w:szCs w:val="24"/>
        </w:rPr>
        <w:t>on the basis of</w:t>
      </w:r>
      <w:proofErr w:type="gramEnd"/>
      <w:r>
        <w:rPr>
          <w:rFonts w:ascii="Times New Roman" w:hAnsi="Times New Roman"/>
          <w:sz w:val="24"/>
          <w:szCs w:val="24"/>
        </w:rPr>
        <w:t xml:space="preserve"> “qualified immunity.” The Court unanimously reversed the 9</w:t>
      </w:r>
      <w:r w:rsidRPr="00D427A9">
        <w:rPr>
          <w:rFonts w:ascii="Times New Roman" w:hAnsi="Times New Roman"/>
          <w:sz w:val="24"/>
          <w:szCs w:val="24"/>
          <w:vertAlign w:val="superscript"/>
        </w:rPr>
        <w:t>th</w:t>
      </w:r>
      <w:r>
        <w:rPr>
          <w:rFonts w:ascii="Times New Roman" w:hAnsi="Times New Roman"/>
          <w:sz w:val="24"/>
          <w:szCs w:val="24"/>
        </w:rPr>
        <w:t xml:space="preserve"> Circuit in one case, and the 10</w:t>
      </w:r>
      <w:r w:rsidRPr="00D427A9">
        <w:rPr>
          <w:rFonts w:ascii="Times New Roman" w:hAnsi="Times New Roman"/>
          <w:sz w:val="24"/>
          <w:szCs w:val="24"/>
          <w:vertAlign w:val="superscript"/>
        </w:rPr>
        <w:t>th</w:t>
      </w:r>
      <w:r>
        <w:rPr>
          <w:rFonts w:ascii="Times New Roman" w:hAnsi="Times New Roman"/>
          <w:sz w:val="24"/>
          <w:szCs w:val="24"/>
        </w:rPr>
        <w:t xml:space="preserve"> Circuit in another, ordering lawsuits against the police officers be dismissed.  “</w:t>
      </w:r>
      <w:r w:rsidRPr="002C43B3">
        <w:rPr>
          <w:rStyle w:val="markedcontent"/>
          <w:rFonts w:ascii="Times New Roman" w:hAnsi="Times New Roman"/>
          <w:sz w:val="24"/>
          <w:szCs w:val="24"/>
        </w:rPr>
        <w:t>The doctrine of qualified immunity shields officers from</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civil liability so long as their conduct </w:t>
      </w:r>
      <w:r>
        <w:rPr>
          <w:rStyle w:val="markedcontent"/>
          <w:rFonts w:ascii="Times New Roman" w:hAnsi="Times New Roman"/>
          <w:sz w:val="24"/>
          <w:szCs w:val="24"/>
        </w:rPr>
        <w:t>‘</w:t>
      </w:r>
      <w:r w:rsidRPr="002C43B3">
        <w:rPr>
          <w:rStyle w:val="markedcontent"/>
          <w:rFonts w:ascii="Times New Roman" w:hAnsi="Times New Roman"/>
          <w:sz w:val="24"/>
          <w:szCs w:val="24"/>
        </w:rPr>
        <w:t>does not violate clearly established statutory or constitutional rights of</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which a reasonable person would have known.</w:t>
      </w:r>
      <w:r>
        <w:rPr>
          <w:rStyle w:val="markedcontent"/>
          <w:rFonts w:ascii="Times New Roman" w:hAnsi="Times New Roman"/>
          <w:sz w:val="24"/>
          <w:szCs w:val="24"/>
        </w:rPr>
        <w:t>’</w:t>
      </w:r>
      <w:r w:rsidRPr="002C43B3">
        <w:rPr>
          <w:rStyle w:val="markedcontent"/>
          <w:rFonts w:ascii="Times New Roman" w:hAnsi="Times New Roman"/>
          <w:sz w:val="24"/>
          <w:szCs w:val="24"/>
        </w:rPr>
        <w:t xml:space="preserve"> Pearson v. Callahan, 555 U. S. 223, 231 (2009)</w:t>
      </w:r>
      <w:r>
        <w:rPr>
          <w:rStyle w:val="markedcontent"/>
          <w:rFonts w:ascii="Times New Roman" w:hAnsi="Times New Roman"/>
          <w:sz w:val="24"/>
          <w:szCs w:val="24"/>
        </w:rPr>
        <w:t xml:space="preserve">. </w:t>
      </w:r>
      <w:hyperlink r:id="rId935" w:history="1">
        <w:r w:rsidRPr="00ED2C8C">
          <w:rPr>
            <w:rStyle w:val="Hyperlink"/>
            <w:sz w:val="24"/>
            <w:szCs w:val="24"/>
          </w:rPr>
          <w:t>https://www.supremecourt.gov/opinions/21pdf/20-1668_19m2.pdf</w:t>
        </w:r>
      </w:hyperlink>
      <w:r>
        <w:rPr>
          <w:rStyle w:val="markedcontent"/>
          <w:rFonts w:ascii="Times New Roman" w:hAnsi="Times New Roman"/>
          <w:sz w:val="24"/>
          <w:szCs w:val="24"/>
        </w:rPr>
        <w:t xml:space="preserve"> </w:t>
      </w:r>
    </w:p>
    <w:p w14:paraId="005F39D9"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sidRPr="002C43B3">
        <w:rPr>
          <w:rStyle w:val="markedcontent"/>
          <w:rFonts w:ascii="Times New Roman" w:hAnsi="Times New Roman"/>
          <w:sz w:val="24"/>
          <w:szCs w:val="24"/>
          <w:u w:val="single"/>
        </w:rPr>
        <w:t>DANIEL RIVAS-VILLEGAS v. RAMON CORTESLUNA</w:t>
      </w:r>
      <w:r w:rsidRPr="003065D4">
        <w:rPr>
          <w:rStyle w:val="markedcontent"/>
          <w:rFonts w:ascii="Times New Roman" w:hAnsi="Times New Roman"/>
          <w:sz w:val="24"/>
          <w:szCs w:val="24"/>
        </w:rPr>
        <w:t xml:space="preserve">: </w:t>
      </w:r>
      <w:hyperlink r:id="rId936" w:history="1">
        <w:r w:rsidRPr="003065D4">
          <w:rPr>
            <w:rStyle w:val="Hyperlink"/>
            <w:sz w:val="24"/>
            <w:szCs w:val="24"/>
          </w:rPr>
          <w:t>https://www.supremecourt.gov/opinions/21pdf/20-1539_09m1.pdf</w:t>
        </w:r>
      </w:hyperlink>
      <w:r w:rsidRPr="003065D4">
        <w:rPr>
          <w:rStyle w:val="markedcontent"/>
          <w:rFonts w:ascii="Times New Roman" w:hAnsi="Times New Roman"/>
          <w:sz w:val="24"/>
          <w:szCs w:val="24"/>
        </w:rPr>
        <w:t xml:space="preserve"> </w:t>
      </w:r>
    </w:p>
    <w:p w14:paraId="603AEEA8"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3065D4">
        <w:rPr>
          <w:rStyle w:val="markedcontent"/>
          <w:rFonts w:ascii="Times New Roman" w:hAnsi="Times New Roman"/>
          <w:sz w:val="24"/>
          <w:szCs w:val="24"/>
        </w:rPr>
        <w:t>Plaintiff stopped 10 to 11 feet</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from the officers. Another officer then saw a knife sticking</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out from the front left pocket of </w:t>
      </w:r>
      <w:proofErr w:type="spellStart"/>
      <w:r w:rsidRPr="003065D4">
        <w:rPr>
          <w:rStyle w:val="markedcontent"/>
          <w:rFonts w:ascii="Times New Roman" w:hAnsi="Times New Roman"/>
          <w:sz w:val="24"/>
          <w:szCs w:val="24"/>
        </w:rPr>
        <w:t>Cortesluna’s</w:t>
      </w:r>
      <w:proofErr w:type="spellEnd"/>
      <w:r w:rsidRPr="003065D4">
        <w:rPr>
          <w:rStyle w:val="markedcontent"/>
          <w:rFonts w:ascii="Times New Roman" w:hAnsi="Times New Roman"/>
          <w:sz w:val="24"/>
          <w:szCs w:val="24"/>
        </w:rPr>
        <w:t xml:space="preserve"> pants and</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shouted, ‘he has a knife in his left pocket, knife in his pocket,’ and directed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‘don’t put your hands </w:t>
      </w:r>
      <w:r w:rsidRPr="003065D4">
        <w:rPr>
          <w:rFonts w:ascii="Times New Roman" w:hAnsi="Times New Roman"/>
          <w:sz w:val="24"/>
          <w:szCs w:val="24"/>
        </w:rPr>
        <w:br/>
      </w:r>
      <w:r w:rsidRPr="003065D4">
        <w:rPr>
          <w:rStyle w:val="markedcontent"/>
          <w:rFonts w:ascii="Times New Roman" w:hAnsi="Times New Roman"/>
          <w:sz w:val="24"/>
          <w:szCs w:val="24"/>
        </w:rPr>
        <w:t>down,’ ‘hands up</w:t>
      </w:r>
      <w:r>
        <w:rPr>
          <w:rStyle w:val="markedcontent"/>
          <w:rFonts w:ascii="Times New Roman" w:hAnsi="Times New Roman"/>
          <w:sz w:val="24"/>
          <w:szCs w:val="24"/>
        </w:rPr>
        <w:t xml:space="preserve">….’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turned his head toward the instructing officer but then lowered his head and his hands in contravention of the officer’s orders. Another officer twice shot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with a </w:t>
      </w:r>
      <w:proofErr w:type="gramStart"/>
      <w:r w:rsidRPr="003065D4">
        <w:rPr>
          <w:rStyle w:val="markedcontent"/>
          <w:rFonts w:ascii="Times New Roman" w:hAnsi="Times New Roman"/>
          <w:sz w:val="24"/>
          <w:szCs w:val="24"/>
        </w:rPr>
        <w:t>bean-bag</w:t>
      </w:r>
      <w:proofErr w:type="gramEnd"/>
      <w:r w:rsidRPr="003065D4">
        <w:rPr>
          <w:rStyle w:val="markedcontent"/>
          <w:rFonts w:ascii="Times New Roman" w:hAnsi="Times New Roman"/>
          <w:sz w:val="24"/>
          <w:szCs w:val="24"/>
        </w:rPr>
        <w:t xml:space="preserve"> round from his shotgun, once in the lower stomach and</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once in the left hip.</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 </w:t>
      </w:r>
      <w:r>
        <w:rPr>
          <w:rStyle w:val="markedcontent"/>
          <w:rFonts w:ascii="Times New Roman" w:hAnsi="Times New Roman"/>
          <w:sz w:val="24"/>
          <w:szCs w:val="24"/>
        </w:rPr>
        <w:t xml:space="preserve">[Officer] </w:t>
      </w:r>
      <w:r w:rsidRPr="002C43B3">
        <w:rPr>
          <w:rStyle w:val="markedcontent"/>
          <w:rFonts w:ascii="Times New Roman" w:hAnsi="Times New Roman"/>
          <w:sz w:val="24"/>
          <w:szCs w:val="24"/>
        </w:rPr>
        <w:t xml:space="preserve">Rivas-Villegas then straddled </w:t>
      </w:r>
      <w:proofErr w:type="spellStart"/>
      <w:r w:rsidRPr="002C43B3">
        <w:rPr>
          <w:rStyle w:val="markedcontent"/>
          <w:rFonts w:ascii="Times New Roman" w:hAnsi="Times New Roman"/>
          <w:sz w:val="24"/>
          <w:szCs w:val="24"/>
        </w:rPr>
        <w:t>Cortesluna</w:t>
      </w:r>
      <w:proofErr w:type="spellEnd"/>
      <w:r w:rsidRPr="002C43B3">
        <w:rPr>
          <w:rStyle w:val="markedcontent"/>
          <w:rFonts w:ascii="Times New Roman" w:hAnsi="Times New Roman"/>
          <w:sz w:val="24"/>
          <w:szCs w:val="24"/>
        </w:rPr>
        <w:t xml:space="preserve">. He </w:t>
      </w:r>
      <w:r>
        <w:rPr>
          <w:rStyle w:val="markedcontent"/>
          <w:rFonts w:ascii="Times New Roman" w:hAnsi="Times New Roman"/>
          <w:sz w:val="24"/>
          <w:szCs w:val="24"/>
        </w:rPr>
        <w:t>p</w:t>
      </w:r>
      <w:r w:rsidRPr="002C43B3">
        <w:rPr>
          <w:rStyle w:val="markedcontent"/>
          <w:rFonts w:ascii="Times New Roman" w:hAnsi="Times New Roman"/>
          <w:sz w:val="24"/>
          <w:szCs w:val="24"/>
        </w:rPr>
        <w:t xml:space="preserve">laced his right foot on the ground next to </w:t>
      </w:r>
      <w:proofErr w:type="spellStart"/>
      <w:r w:rsidRPr="002C43B3">
        <w:rPr>
          <w:rStyle w:val="markedcontent"/>
          <w:rFonts w:ascii="Times New Roman" w:hAnsi="Times New Roman"/>
          <w:sz w:val="24"/>
          <w:szCs w:val="24"/>
        </w:rPr>
        <w:t>Cortesluna’s</w:t>
      </w:r>
      <w:proofErr w:type="spellEnd"/>
      <w:r>
        <w:rPr>
          <w:rStyle w:val="markedcontent"/>
          <w:rFonts w:ascii="Times New Roman" w:hAnsi="Times New Roman"/>
          <w:sz w:val="24"/>
          <w:szCs w:val="24"/>
        </w:rPr>
        <w:t xml:space="preserve"> </w:t>
      </w:r>
      <w:r w:rsidRPr="002C43B3">
        <w:rPr>
          <w:rStyle w:val="markedcontent"/>
          <w:rFonts w:ascii="Times New Roman" w:hAnsi="Times New Roman"/>
          <w:sz w:val="24"/>
          <w:szCs w:val="24"/>
        </w:rPr>
        <w:t>right side with his right leg bent at the knee. He placed his</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left knee on the left side of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back, near where </w:t>
      </w:r>
      <w:r w:rsidRPr="002C43B3">
        <w:rPr>
          <w:rFonts w:ascii="Times New Roman" w:hAnsi="Times New Roman"/>
          <w:sz w:val="24"/>
          <w:szCs w:val="24"/>
        </w:rPr>
        <w:br/>
      </w:r>
      <w:proofErr w:type="spellStart"/>
      <w:r w:rsidRPr="002C43B3">
        <w:rPr>
          <w:rStyle w:val="markedcontent"/>
          <w:rFonts w:ascii="Times New Roman" w:hAnsi="Times New Roman"/>
          <w:sz w:val="24"/>
          <w:szCs w:val="24"/>
        </w:rPr>
        <w:t>Cortesluna</w:t>
      </w:r>
      <w:proofErr w:type="spellEnd"/>
      <w:r w:rsidRPr="002C43B3">
        <w:rPr>
          <w:rStyle w:val="markedcontent"/>
          <w:rFonts w:ascii="Times New Roman" w:hAnsi="Times New Roman"/>
          <w:sz w:val="24"/>
          <w:szCs w:val="24"/>
        </w:rPr>
        <w:t xml:space="preserve"> had a knife in his pocket. He raised both of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arms up behind his back. Rivas-Villegas was in</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this position for no more than eight seconds before standing </w:t>
      </w:r>
      <w:r w:rsidRPr="002C43B3">
        <w:rPr>
          <w:rFonts w:ascii="Times New Roman" w:hAnsi="Times New Roman"/>
          <w:sz w:val="24"/>
          <w:szCs w:val="24"/>
        </w:rPr>
        <w:br/>
      </w:r>
      <w:r w:rsidRPr="002C43B3">
        <w:rPr>
          <w:rStyle w:val="markedcontent"/>
          <w:rFonts w:ascii="Times New Roman" w:hAnsi="Times New Roman"/>
          <w:sz w:val="24"/>
          <w:szCs w:val="24"/>
        </w:rPr>
        <w:t xml:space="preserve">up while continuing to hold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arms</w:t>
      </w:r>
      <w:r>
        <w:rPr>
          <w:rStyle w:val="markedcontent"/>
          <w:rFonts w:ascii="Times New Roman" w:hAnsi="Times New Roman"/>
          <w:sz w:val="24"/>
          <w:szCs w:val="24"/>
        </w:rPr>
        <w:t xml:space="preserve">.” </w:t>
      </w:r>
    </w:p>
    <w:p w14:paraId="4FE27F0B" w14:textId="77777777" w:rsidR="0082055F" w:rsidRPr="002C43B3"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Holding reversing 9</w:t>
      </w:r>
      <w:r w:rsidRPr="00D427A9">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w:t>
      </w:r>
      <w:r w:rsidRPr="002C43B3">
        <w:rPr>
          <w:rStyle w:val="markedcontent"/>
          <w:rFonts w:ascii="Times New Roman" w:hAnsi="Times New Roman"/>
          <w:sz w:val="24"/>
          <w:szCs w:val="24"/>
        </w:rPr>
        <w:t xml:space="preserve">On the facts of this case, neither </w:t>
      </w:r>
      <w:r w:rsidRPr="002C43B3">
        <w:rPr>
          <w:rStyle w:val="markedcontent"/>
          <w:rFonts w:ascii="Times New Roman" w:hAnsi="Times New Roman"/>
          <w:sz w:val="24"/>
          <w:szCs w:val="24"/>
          <w:u w:val="single"/>
        </w:rPr>
        <w:t>LaLonde</w:t>
      </w:r>
      <w:r w:rsidRPr="002C43B3">
        <w:rPr>
          <w:rStyle w:val="markedcontent"/>
          <w:rFonts w:ascii="Times New Roman" w:hAnsi="Times New Roman"/>
          <w:sz w:val="24"/>
          <w:szCs w:val="24"/>
        </w:rPr>
        <w:t xml:space="preserve"> nor any decision of this Court is sufficiently similar. For that reason, we grant Rivas-Villegas’ petition for certiorari and reverse the Ninth Circuit’s determination that Rivas-Villegas is not entitled to qualified immunity.</w:t>
      </w:r>
      <w:r>
        <w:rPr>
          <w:rStyle w:val="markedcontent"/>
          <w:rFonts w:ascii="Times New Roman" w:hAnsi="Times New Roman"/>
          <w:sz w:val="24"/>
          <w:szCs w:val="24"/>
        </w:rPr>
        <w:t>”</w:t>
      </w:r>
    </w:p>
    <w:p w14:paraId="3F30B352" w14:textId="77777777" w:rsidR="0082055F" w:rsidRPr="003065D4" w:rsidRDefault="0082055F" w:rsidP="0082055F">
      <w:pPr>
        <w:spacing w:before="100" w:beforeAutospacing="1" w:after="100" w:afterAutospacing="1" w:line="240" w:lineRule="auto"/>
        <w:ind w:left="720"/>
        <w:rPr>
          <w:rFonts w:ascii="Times New Roman" w:hAnsi="Times New Roman"/>
          <w:sz w:val="24"/>
          <w:szCs w:val="24"/>
        </w:rPr>
      </w:pPr>
      <w:r w:rsidRPr="002C43B3">
        <w:rPr>
          <w:rStyle w:val="markedcontent"/>
          <w:rFonts w:ascii="Times New Roman" w:hAnsi="Times New Roman"/>
          <w:sz w:val="24"/>
          <w:szCs w:val="24"/>
          <w:u w:val="single"/>
        </w:rPr>
        <w:t xml:space="preserve">CITY OF TAHLEQUAH, OKLAHOMA, ET AL. v. AUSTIN </w:t>
      </w:r>
      <w:r w:rsidRPr="002C43B3">
        <w:rPr>
          <w:rFonts w:ascii="Times New Roman" w:hAnsi="Times New Roman"/>
          <w:sz w:val="24"/>
          <w:szCs w:val="24"/>
          <w:u w:val="single"/>
        </w:rPr>
        <w:br/>
      </w:r>
      <w:r w:rsidRPr="002C43B3">
        <w:rPr>
          <w:rStyle w:val="markedcontent"/>
          <w:rFonts w:ascii="Times New Roman" w:hAnsi="Times New Roman"/>
          <w:sz w:val="24"/>
          <w:szCs w:val="24"/>
          <w:u w:val="single"/>
        </w:rPr>
        <w:t xml:space="preserve">P. BOND, AS SPECIAL ADMINISTRATOR OF THE ESTATE OF </w:t>
      </w:r>
      <w:r w:rsidRPr="002C43B3">
        <w:rPr>
          <w:rFonts w:ascii="Times New Roman" w:hAnsi="Times New Roman"/>
          <w:sz w:val="24"/>
          <w:szCs w:val="24"/>
          <w:u w:val="single"/>
        </w:rPr>
        <w:br/>
      </w:r>
      <w:r w:rsidRPr="002C43B3">
        <w:rPr>
          <w:rStyle w:val="markedcontent"/>
          <w:rFonts w:ascii="Times New Roman" w:hAnsi="Times New Roman"/>
          <w:sz w:val="24"/>
          <w:szCs w:val="24"/>
          <w:u w:val="single"/>
        </w:rPr>
        <w:t>DOMINIC F. ROLLICE, DECEASED</w:t>
      </w:r>
      <w:r w:rsidRPr="003065D4">
        <w:rPr>
          <w:rStyle w:val="markedcontent"/>
          <w:rFonts w:ascii="Times New Roman" w:hAnsi="Times New Roman"/>
          <w:sz w:val="24"/>
          <w:szCs w:val="24"/>
        </w:rPr>
        <w:t xml:space="preserve">: </w:t>
      </w:r>
      <w:hyperlink r:id="rId937" w:history="1">
        <w:r w:rsidRPr="003065D4">
          <w:rPr>
            <w:rStyle w:val="Hyperlink"/>
            <w:sz w:val="24"/>
            <w:szCs w:val="24"/>
          </w:rPr>
          <w:t>https://www.supremecourt.gov/opinions/21pdf/20-1668_19m2.pdf</w:t>
        </w:r>
      </w:hyperlink>
      <w:r w:rsidRPr="003065D4">
        <w:rPr>
          <w:rFonts w:ascii="Times New Roman" w:hAnsi="Times New Roman"/>
          <w:sz w:val="24"/>
          <w:szCs w:val="24"/>
        </w:rPr>
        <w:t xml:space="preserve"> </w:t>
      </w:r>
    </w:p>
    <w:p w14:paraId="4A5C20F6"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3065D4">
        <w:rPr>
          <w:rStyle w:val="markedcontent"/>
          <w:rFonts w:ascii="Times New Roman" w:hAnsi="Times New Roman"/>
          <w:sz w:val="24"/>
          <w:szCs w:val="24"/>
        </w:rPr>
        <w:t>At this point the video is no longer</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silent, and the officers can be heard yelling at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 xml:space="preserve"> to drop the hammer.</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He did not. Instead,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 xml:space="preserve"> took a few steps to his right, coming out from behind a piece of furniture so that he had an unobstructed path to Officer Girdner. He then raised the hammer higher back behind his head and took a stance as if he was about to throw the hammer or charge at the officers. In response, Officers Girdner and Vick fired their weapons, killing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w:t>
      </w:r>
      <w:r>
        <w:rPr>
          <w:rStyle w:val="markedcontent"/>
          <w:rFonts w:ascii="Times New Roman" w:hAnsi="Times New Roman"/>
          <w:sz w:val="24"/>
          <w:szCs w:val="24"/>
        </w:rPr>
        <w:t>”</w:t>
      </w:r>
    </w:p>
    <w:p w14:paraId="4B6964D8" w14:textId="77777777" w:rsidR="0082055F" w:rsidRPr="002C43B3"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Holding reversing 10</w:t>
      </w:r>
      <w:r w:rsidRPr="00D427A9">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w:t>
      </w:r>
      <w:r w:rsidRPr="002C43B3">
        <w:rPr>
          <w:rStyle w:val="markedcontent"/>
          <w:rFonts w:ascii="Times New Roman" w:hAnsi="Times New Roman"/>
          <w:sz w:val="24"/>
          <w:szCs w:val="24"/>
        </w:rPr>
        <w:t xml:space="preserve">Neither the panel majority </w:t>
      </w:r>
      <w:r>
        <w:rPr>
          <w:rStyle w:val="markedcontent"/>
          <w:rFonts w:ascii="Times New Roman" w:hAnsi="Times New Roman"/>
          <w:sz w:val="24"/>
          <w:szCs w:val="24"/>
        </w:rPr>
        <w:t>[10</w:t>
      </w:r>
      <w:r w:rsidRPr="002C43B3">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panel of 3 judges] </w:t>
      </w:r>
      <w:r w:rsidRPr="002C43B3">
        <w:rPr>
          <w:rStyle w:val="markedcontent"/>
          <w:rFonts w:ascii="Times New Roman" w:hAnsi="Times New Roman"/>
          <w:sz w:val="24"/>
          <w:szCs w:val="24"/>
        </w:rPr>
        <w:t>nor the respondent have identified a single precedent finding a Fourth Amendment violation under similar circumstances. The officers were thus entitled to qualified immunity.</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The petition for certiorari and the motions for leave to file briefs amici curiae are granted, and the judgment of the</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Court of Appeals is reversed.</w:t>
      </w:r>
      <w:r>
        <w:rPr>
          <w:rStyle w:val="markedcontent"/>
          <w:rFonts w:ascii="Times New Roman" w:hAnsi="Times New Roman"/>
          <w:sz w:val="24"/>
          <w:szCs w:val="24"/>
        </w:rPr>
        <w:t xml:space="preserve">” </w:t>
      </w:r>
    </w:p>
    <w:p w14:paraId="254E8664" w14:textId="77777777" w:rsidR="0082055F" w:rsidRDefault="0082055F" w:rsidP="0082055F">
      <w:pPr>
        <w:spacing w:before="100" w:beforeAutospacing="1" w:after="100" w:afterAutospacing="1" w:line="240" w:lineRule="auto"/>
        <w:rPr>
          <w:rFonts w:ascii="Times New Roman" w:hAnsi="Times New Roman"/>
          <w:b/>
          <w:bCs/>
          <w:sz w:val="24"/>
          <w:szCs w:val="24"/>
        </w:rPr>
      </w:pPr>
      <w:r w:rsidRPr="002C43B3">
        <w:rPr>
          <w:rFonts w:ascii="Times New Roman" w:hAnsi="Times New Roman"/>
          <w:b/>
          <w:bCs/>
          <w:sz w:val="24"/>
          <w:szCs w:val="24"/>
        </w:rPr>
        <w:t xml:space="preserve">Legal Lesson Learned: </w:t>
      </w:r>
      <w:r>
        <w:rPr>
          <w:rFonts w:ascii="Times New Roman" w:hAnsi="Times New Roman"/>
          <w:b/>
          <w:bCs/>
          <w:sz w:val="24"/>
          <w:szCs w:val="24"/>
        </w:rPr>
        <w:t xml:space="preserve">These unanimous decisions are not only helpful for police officers, but also to Fire &amp; EMS incident commanders are others needing to make rapid decisions. </w:t>
      </w:r>
    </w:p>
    <w:p w14:paraId="50866E96" w14:textId="77777777" w:rsidR="0082055F" w:rsidRPr="00D427A9" w:rsidRDefault="0082055F" w:rsidP="0082055F">
      <w:pPr>
        <w:spacing w:before="100" w:beforeAutospacing="1" w:after="100" w:afterAutospacing="1" w:line="240" w:lineRule="auto"/>
        <w:ind w:left="720"/>
        <w:rPr>
          <w:rFonts w:ascii="Times New Roman" w:eastAsia="Times New Roman" w:hAnsi="Times New Roman"/>
          <w:kern w:val="36"/>
          <w:sz w:val="24"/>
          <w:szCs w:val="24"/>
        </w:rPr>
      </w:pPr>
      <w:r w:rsidRPr="00D427A9">
        <w:rPr>
          <w:rFonts w:ascii="Times New Roman" w:hAnsi="Times New Roman"/>
          <w:sz w:val="24"/>
          <w:szCs w:val="24"/>
        </w:rPr>
        <w:t>Note: See article, Oct. 18, 20</w:t>
      </w:r>
      <w:r>
        <w:rPr>
          <w:rFonts w:ascii="Times New Roman" w:hAnsi="Times New Roman"/>
          <w:sz w:val="24"/>
          <w:szCs w:val="24"/>
        </w:rPr>
        <w:t>21</w:t>
      </w:r>
      <w:r w:rsidRPr="00D427A9">
        <w:rPr>
          <w:rFonts w:ascii="Times New Roman" w:hAnsi="Times New Roman"/>
          <w:sz w:val="24"/>
          <w:szCs w:val="24"/>
        </w:rPr>
        <w:t>, “</w:t>
      </w:r>
      <w:r w:rsidRPr="00D427A9">
        <w:rPr>
          <w:rFonts w:ascii="Times New Roman" w:eastAsia="Times New Roman" w:hAnsi="Times New Roman"/>
          <w:kern w:val="36"/>
          <w:sz w:val="24"/>
          <w:szCs w:val="24"/>
        </w:rPr>
        <w:t xml:space="preserve">The U.S. Supreme Court rules in favor of officers accused of excessive force.” </w:t>
      </w:r>
      <w:hyperlink r:id="rId938" w:history="1">
        <w:r w:rsidRPr="00ED2C8C">
          <w:rPr>
            <w:rStyle w:val="Hyperlink"/>
            <w:sz w:val="24"/>
            <w:szCs w:val="24"/>
          </w:rPr>
          <w:t>https://www.npr.org/2021/10/18/1047085626/supreme-court-police-qualified-immunity-cases</w:t>
        </w:r>
      </w:hyperlink>
      <w:r>
        <w:rPr>
          <w:rFonts w:ascii="Times New Roman" w:eastAsia="Times New Roman" w:hAnsi="Times New Roman"/>
          <w:kern w:val="36"/>
          <w:sz w:val="24"/>
          <w:szCs w:val="24"/>
        </w:rPr>
        <w:t xml:space="preserve"> </w:t>
      </w:r>
      <w:r>
        <w:rPr>
          <w:rFonts w:ascii="Times New Roman" w:hAnsi="Times New Roman"/>
          <w:sz w:val="24"/>
          <w:szCs w:val="24"/>
        </w:rPr>
        <w:t>“</w:t>
      </w:r>
      <w:r w:rsidRPr="00D427A9">
        <w:rPr>
          <w:rFonts w:ascii="Times New Roman" w:hAnsi="Times New Roman"/>
          <w:sz w:val="24"/>
          <w:szCs w:val="24"/>
        </w:rPr>
        <w:t xml:space="preserve">Congressional Democrats have made multiple attempts in recent years to limit qualified immunity, though none has been successful. The George Floyd Justice </w:t>
      </w:r>
      <w:proofErr w:type="gramStart"/>
      <w:r w:rsidRPr="00D427A9">
        <w:rPr>
          <w:rFonts w:ascii="Times New Roman" w:hAnsi="Times New Roman"/>
          <w:sz w:val="24"/>
          <w:szCs w:val="24"/>
        </w:rPr>
        <w:t>In</w:t>
      </w:r>
      <w:proofErr w:type="gramEnd"/>
      <w:r w:rsidRPr="00D427A9">
        <w:rPr>
          <w:rFonts w:ascii="Times New Roman" w:hAnsi="Times New Roman"/>
          <w:sz w:val="24"/>
          <w:szCs w:val="24"/>
        </w:rPr>
        <w:t xml:space="preserve"> Policing Act, which passed the House, would have restricted the defense, but negotiations over a compromise bill petered out earlier this year.</w:t>
      </w:r>
      <w:r>
        <w:rPr>
          <w:rFonts w:ascii="Times New Roman" w:hAnsi="Times New Roman"/>
          <w:sz w:val="24"/>
          <w:szCs w:val="24"/>
        </w:rPr>
        <w:t>”</w:t>
      </w:r>
    </w:p>
    <w:p w14:paraId="3C32BFC4" w14:textId="77777777" w:rsidR="0082055F" w:rsidRDefault="0082055F" w:rsidP="002B1283">
      <w:pPr>
        <w:rPr>
          <w:rStyle w:val="Hyperlink"/>
          <w:rFonts w:ascii="Arial Black" w:hAnsi="Arial Black"/>
          <w:b/>
          <w:color w:val="auto"/>
          <w:sz w:val="24"/>
          <w:szCs w:val="24"/>
          <w:u w:val="none"/>
        </w:rPr>
      </w:pPr>
    </w:p>
    <w:p w14:paraId="543093BB" w14:textId="63D6A2DC" w:rsidR="00382F02" w:rsidRDefault="00382F02"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4-16</w:t>
      </w:r>
    </w:p>
    <w:p w14:paraId="41BF3B7E" w14:textId="77777777" w:rsidR="00382F02" w:rsidRPr="00E05DC9" w:rsidRDefault="00382F02" w:rsidP="00382F02">
      <w:pPr>
        <w:pStyle w:val="Heading1"/>
        <w:rPr>
          <w:rFonts w:ascii="Arial Black" w:hAnsi="Arial Black"/>
          <w:b w:val="0"/>
          <w:bCs w:val="0"/>
          <w:sz w:val="28"/>
          <w:szCs w:val="28"/>
        </w:rPr>
      </w:pPr>
      <w:bookmarkStart w:id="175" w:name="_Hlk81841658"/>
      <w:r w:rsidRPr="00E05DC9">
        <w:rPr>
          <w:rFonts w:ascii="Arial Black" w:hAnsi="Arial Black"/>
          <w:b w:val="0"/>
          <w:bCs w:val="0"/>
          <w:sz w:val="28"/>
          <w:szCs w:val="28"/>
        </w:rPr>
        <w:t xml:space="preserve">NY: </w:t>
      </w:r>
      <w:r>
        <w:rPr>
          <w:rFonts w:ascii="Arial Black" w:hAnsi="Arial Black"/>
          <w:b w:val="0"/>
          <w:bCs w:val="0"/>
          <w:sz w:val="28"/>
          <w:szCs w:val="28"/>
        </w:rPr>
        <w:t>STRUCTURE FIRE, TWO DEAD – INCIDENT COMMANDER NO LIABILITY - NO “SPECIAL DUTY” OWED RESIDENTS</w:t>
      </w:r>
    </w:p>
    <w:bookmarkEnd w:id="175"/>
    <w:p w14:paraId="70136CC0" w14:textId="77777777" w:rsidR="00362EB6" w:rsidRPr="00362EB6" w:rsidRDefault="00382F02" w:rsidP="00362EB6">
      <w:pPr>
        <w:pStyle w:val="Heading1"/>
        <w:rPr>
          <w:b w:val="0"/>
          <w:bCs w:val="0"/>
          <w:sz w:val="24"/>
          <w:szCs w:val="24"/>
        </w:rPr>
      </w:pPr>
      <w:r>
        <w:rPr>
          <w:b w:val="0"/>
          <w:bCs w:val="0"/>
          <w:sz w:val="24"/>
          <w:szCs w:val="24"/>
        </w:rPr>
        <w:t xml:space="preserve">On Aug. 26, 2021, in </w:t>
      </w:r>
      <w:r w:rsidRPr="007029FC">
        <w:rPr>
          <w:b w:val="0"/>
          <w:bCs w:val="0"/>
          <w:sz w:val="24"/>
          <w:szCs w:val="24"/>
          <w:u w:val="single"/>
        </w:rPr>
        <w:t>Christopher M. (Administrator of Estate of Heather M. and T.M.) v. Christopher J. Mineo, Assistant Fire Chief of Yorkville Fire Department, et al</w:t>
      </w:r>
      <w:r>
        <w:rPr>
          <w:b w:val="0"/>
          <w:bCs w:val="0"/>
          <w:sz w:val="24"/>
          <w:szCs w:val="24"/>
        </w:rPr>
        <w:t xml:space="preserve">., the Supreme Court of New York, Fourth Department, held </w:t>
      </w:r>
      <w:r w:rsidRPr="00873015">
        <w:rPr>
          <w:b w:val="0"/>
          <w:bCs w:val="0"/>
          <w:sz w:val="24"/>
          <w:szCs w:val="24"/>
        </w:rPr>
        <w:t>(5 to 0)</w:t>
      </w:r>
      <w:r>
        <w:rPr>
          <w:b w:val="0"/>
          <w:bCs w:val="0"/>
          <w:sz w:val="24"/>
          <w:szCs w:val="24"/>
        </w:rPr>
        <w:t xml:space="preserve"> that the lawsuit was properly dismissed concerning the Jan. 18, </w:t>
      </w:r>
      <w:proofErr w:type="gramStart"/>
      <w:r>
        <w:rPr>
          <w:b w:val="0"/>
          <w:bCs w:val="0"/>
          <w:sz w:val="24"/>
          <w:szCs w:val="24"/>
        </w:rPr>
        <w:t>2018</w:t>
      </w:r>
      <w:proofErr w:type="gramEnd"/>
      <w:r>
        <w:rPr>
          <w:b w:val="0"/>
          <w:bCs w:val="0"/>
          <w:sz w:val="24"/>
          <w:szCs w:val="24"/>
        </w:rPr>
        <w:t xml:space="preserve"> structure fire in upstairs apartment.  Plaintiff alleged the Assistant Chief called other volunteer fire departments but was “grossly negligent” in not seeking mutual aid from the career Utica Fire Department located 6 miles from the scene.</w:t>
      </w:r>
      <w:r w:rsidR="00362EB6">
        <w:rPr>
          <w:b w:val="0"/>
          <w:bCs w:val="0"/>
          <w:sz w:val="24"/>
          <w:szCs w:val="24"/>
        </w:rPr>
        <w:t xml:space="preserve"> </w:t>
      </w:r>
      <w:hyperlink r:id="rId939" w:history="1">
        <w:r w:rsidR="00362EB6" w:rsidRPr="00362EB6">
          <w:rPr>
            <w:rStyle w:val="Hyperlink"/>
            <w:b w:val="0"/>
            <w:bCs w:val="0"/>
            <w:sz w:val="24"/>
            <w:szCs w:val="24"/>
          </w:rPr>
          <w:t>https://public.fastcase.com/9SKwsfNqTc6OieYDhNMyM6VI9jzZ8Wjh0KgpobjMibbiOoRUyOE%2BZu2RC4EQbfMf</w:t>
        </w:r>
      </w:hyperlink>
      <w:r w:rsidR="00362EB6" w:rsidRPr="00362EB6">
        <w:rPr>
          <w:b w:val="0"/>
          <w:bCs w:val="0"/>
          <w:sz w:val="24"/>
          <w:szCs w:val="24"/>
        </w:rPr>
        <w:t xml:space="preserve"> </w:t>
      </w:r>
    </w:p>
    <w:p w14:paraId="605A3194" w14:textId="2C1C0837" w:rsidR="00382F02" w:rsidRDefault="00362EB6" w:rsidP="00382F02">
      <w:pPr>
        <w:pStyle w:val="Heading1"/>
        <w:rPr>
          <w:b w:val="0"/>
          <w:bCs w:val="0"/>
          <w:sz w:val="24"/>
          <w:szCs w:val="24"/>
        </w:rPr>
      </w:pPr>
      <w:r>
        <w:rPr>
          <w:b w:val="0"/>
          <w:bCs w:val="0"/>
          <w:sz w:val="24"/>
          <w:szCs w:val="24"/>
        </w:rPr>
        <w:t>THE COURT HELD:</w:t>
      </w:r>
    </w:p>
    <w:p w14:paraId="6CBCC57E" w14:textId="2931DC80" w:rsidR="006E75ED" w:rsidRPr="00873015" w:rsidRDefault="00382F02" w:rsidP="00382F02">
      <w:pPr>
        <w:pStyle w:val="Heading1"/>
        <w:ind w:left="720"/>
        <w:rPr>
          <w:b w:val="0"/>
          <w:bCs w:val="0"/>
          <w:sz w:val="24"/>
          <w:szCs w:val="24"/>
        </w:rPr>
      </w:pPr>
      <w:r>
        <w:rPr>
          <w:b w:val="0"/>
          <w:bCs w:val="0"/>
          <w:sz w:val="24"/>
          <w:szCs w:val="24"/>
        </w:rPr>
        <w:t>“</w:t>
      </w:r>
      <w:r w:rsidRPr="00873015">
        <w:rPr>
          <w:b w:val="0"/>
          <w:bCs w:val="0"/>
          <w:sz w:val="24"/>
          <w:szCs w:val="24"/>
        </w:rPr>
        <w:t>We affirm for reasons stated in the decision at Supreme Court. We write only to note that, inasmuch as plaintiff correctly concedes in his appellate brief that the amended complaint fails to allege the existence of a special duty, the court properly granted those parts of the motions of defendants Nicholas Morosco, individually, and as Assistant Fire Chief of the Yorkville Fire Department, the Yorkville Fire and Hose Company, Inc., and the Village of Yorkville, seeking to dismiss the sixth cause of action, which is against Morosco for gross negligence</w:t>
      </w:r>
      <w:r>
        <w:rPr>
          <w:b w:val="0"/>
          <w:bCs w:val="0"/>
          <w:sz w:val="24"/>
          <w:szCs w:val="24"/>
        </w:rPr>
        <w:t xml:space="preserve">…. </w:t>
      </w:r>
      <w:r w:rsidRPr="00873015">
        <w:rPr>
          <w:b w:val="0"/>
          <w:bCs w:val="0"/>
          <w:sz w:val="24"/>
          <w:szCs w:val="24"/>
        </w:rPr>
        <w:t>"Without a [special] duty running directly to the injured person[, ] there can be no liability in damages, however careless the conduct or foreseeable the harm" (</w:t>
      </w:r>
      <w:r w:rsidRPr="00873015">
        <w:rPr>
          <w:rStyle w:val="Emphasis"/>
          <w:sz w:val="24"/>
          <w:szCs w:val="24"/>
        </w:rPr>
        <w:t>Lauer v City of New York</w:t>
      </w:r>
      <w:r w:rsidRPr="00873015">
        <w:rPr>
          <w:b w:val="0"/>
          <w:bCs w:val="0"/>
          <w:sz w:val="24"/>
          <w:szCs w:val="24"/>
        </w:rPr>
        <w:t>, 95 N.Y.2d 95, 100 [2000]). Thus, contrary to plaintiff's contention, even if we accept as true the allegation that Morosco was grossly negligent and we accord plaintiff the benefit of every possible favorable inference (</w:t>
      </w:r>
      <w:r w:rsidRPr="00873015">
        <w:rPr>
          <w:rStyle w:val="Emphasis"/>
          <w:sz w:val="24"/>
          <w:szCs w:val="24"/>
        </w:rPr>
        <w:t>see Leon v Martinez</w:t>
      </w:r>
      <w:r w:rsidRPr="00873015">
        <w:rPr>
          <w:b w:val="0"/>
          <w:bCs w:val="0"/>
          <w:sz w:val="24"/>
          <w:szCs w:val="24"/>
        </w:rPr>
        <w:t xml:space="preserve">, 84 N.Y.2d 83, 87-88 [1994]), </w:t>
      </w:r>
      <w:r>
        <w:rPr>
          <w:b w:val="0"/>
          <w:bCs w:val="0"/>
          <w:sz w:val="24"/>
          <w:szCs w:val="24"/>
        </w:rPr>
        <w:t>‘</w:t>
      </w:r>
      <w:r w:rsidRPr="00873015">
        <w:rPr>
          <w:b w:val="0"/>
          <w:bCs w:val="0"/>
          <w:sz w:val="24"/>
          <w:szCs w:val="24"/>
        </w:rPr>
        <w:t>in the absence of a special duty there can be no liability</w:t>
      </w:r>
      <w:r>
        <w:rPr>
          <w:b w:val="0"/>
          <w:bCs w:val="0"/>
          <w:sz w:val="24"/>
          <w:szCs w:val="24"/>
        </w:rPr>
        <w:t xml:space="preserve">’ </w:t>
      </w:r>
      <w:r w:rsidRPr="00873015">
        <w:rPr>
          <w:b w:val="0"/>
          <w:bCs w:val="0"/>
          <w:sz w:val="24"/>
          <w:szCs w:val="24"/>
        </w:rPr>
        <w:t>(</w:t>
      </w:r>
      <w:r w:rsidRPr="00873015">
        <w:rPr>
          <w:rStyle w:val="Emphasis"/>
          <w:sz w:val="24"/>
          <w:szCs w:val="24"/>
        </w:rPr>
        <w:t>Rennix v Jackson</w:t>
      </w:r>
      <w:r w:rsidRPr="00873015">
        <w:rPr>
          <w:b w:val="0"/>
          <w:bCs w:val="0"/>
          <w:sz w:val="24"/>
          <w:szCs w:val="24"/>
        </w:rPr>
        <w:t>, 152 A.D.3d 551, 554 [2d Dept 2017]).</w:t>
      </w:r>
      <w:r>
        <w:rPr>
          <w:b w:val="0"/>
          <w:bCs w:val="0"/>
          <w:sz w:val="24"/>
          <w:szCs w:val="24"/>
        </w:rPr>
        <w:t>”</w:t>
      </w:r>
      <w:r w:rsidRPr="00873015">
        <w:t xml:space="preserve"> </w:t>
      </w:r>
      <w:hyperlink r:id="rId940" w:history="1">
        <w:r w:rsidR="006E75ED" w:rsidRPr="00D429FC">
          <w:rPr>
            <w:rStyle w:val="Hyperlink"/>
            <w:b w:val="0"/>
            <w:bCs w:val="0"/>
            <w:sz w:val="24"/>
            <w:szCs w:val="24"/>
          </w:rPr>
          <w:t>https://casetext.com/case/christopher-m-v-mineo</w:t>
        </w:r>
      </w:hyperlink>
      <w:r w:rsidR="006E75ED">
        <w:rPr>
          <w:b w:val="0"/>
          <w:bCs w:val="0"/>
          <w:sz w:val="24"/>
          <w:szCs w:val="24"/>
        </w:rPr>
        <w:t xml:space="preserve"> </w:t>
      </w:r>
    </w:p>
    <w:p w14:paraId="69D214AA" w14:textId="58808FB9" w:rsidR="00BD263B" w:rsidRPr="00873015" w:rsidRDefault="00BD263B" w:rsidP="00BD263B">
      <w:pPr>
        <w:spacing w:before="100" w:beforeAutospacing="1" w:after="100" w:afterAutospacing="1" w:line="240" w:lineRule="auto"/>
        <w:rPr>
          <w:rFonts w:ascii="Times New Roman" w:eastAsia="Times New Roman" w:hAnsi="Times New Roman"/>
          <w:b/>
          <w:bCs/>
          <w:sz w:val="24"/>
          <w:szCs w:val="24"/>
        </w:rPr>
      </w:pPr>
      <w:r w:rsidRPr="00CD5B1A">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In the absence of a “special duty”, the Assistant Fire Chief and his fire department and village enjoy immunity from liability. </w:t>
      </w:r>
    </w:p>
    <w:p w14:paraId="3B6FBDBC" w14:textId="77777777" w:rsidR="00BD263B" w:rsidRDefault="00BD263B" w:rsidP="00BD263B">
      <w:pPr>
        <w:pStyle w:val="NormalWeb"/>
        <w:ind w:left="720"/>
      </w:pPr>
      <w:r>
        <w:t xml:space="preserve">Note: </w:t>
      </w:r>
      <w:r w:rsidRPr="00CD5B1A">
        <w:t>Watch the Oral Argument</w:t>
      </w:r>
      <w:r>
        <w:t xml:space="preserve"> before the Justices </w:t>
      </w:r>
      <w:r w:rsidRPr="00B17D11">
        <w:rPr>
          <w:b/>
          <w:bCs/>
        </w:rPr>
        <w:t>(</w:t>
      </w:r>
      <w:r w:rsidRPr="00B17D11">
        <w:rPr>
          <w:rStyle w:val="Strong"/>
          <w:rFonts w:eastAsiaTheme="majorEastAsia"/>
          <w:b w:val="0"/>
          <w:bCs w:val="0"/>
        </w:rPr>
        <w:t>May 27, 2021):</w:t>
      </w:r>
      <w:r w:rsidRPr="00CD5B1A">
        <w:rPr>
          <w:rStyle w:val="Strong"/>
          <w:rFonts w:eastAsiaTheme="majorEastAsia"/>
        </w:rPr>
        <w:t> </w:t>
      </w:r>
      <w:r w:rsidRPr="00CD5B1A">
        <w:rPr>
          <w:b/>
          <w:bCs/>
        </w:rPr>
        <w:t xml:space="preserve"> </w:t>
      </w:r>
      <w:hyperlink r:id="rId941" w:tgtFrame="_blank" w:history="1">
        <w:r>
          <w:rPr>
            <w:rStyle w:val="Hyperlink"/>
          </w:rPr>
          <w:t>https://ad4.nycourts.gov/njs/term/argument/calendar?date=2021-05-27T00:00:00.000Z&amp;venue=1&amp;calnbr=633</w:t>
        </w:r>
        <w:r>
          <w:rPr>
            <w:rStyle w:val="screenreader-only"/>
            <w:color w:val="0000FF"/>
            <w:u w:val="single"/>
          </w:rPr>
          <w:t> (Links to an external site.)</w:t>
        </w:r>
      </w:hyperlink>
    </w:p>
    <w:p w14:paraId="3EE3BC65" w14:textId="77777777" w:rsidR="00382F02" w:rsidRDefault="00382F02" w:rsidP="002B1283">
      <w:pPr>
        <w:rPr>
          <w:rStyle w:val="Hyperlink"/>
          <w:rFonts w:ascii="Arial Black" w:hAnsi="Arial Black"/>
          <w:b/>
          <w:color w:val="auto"/>
          <w:sz w:val="24"/>
          <w:szCs w:val="24"/>
          <w:u w:val="none"/>
        </w:rPr>
      </w:pPr>
    </w:p>
    <w:p w14:paraId="301DD0B4" w14:textId="77777777" w:rsidR="00382F02" w:rsidRDefault="00382F02" w:rsidP="002B1283">
      <w:pPr>
        <w:rPr>
          <w:rStyle w:val="Hyperlink"/>
          <w:rFonts w:ascii="Arial Black" w:hAnsi="Arial Black"/>
          <w:b/>
          <w:color w:val="auto"/>
          <w:sz w:val="24"/>
          <w:szCs w:val="24"/>
          <w:u w:val="none"/>
        </w:rPr>
      </w:pPr>
    </w:p>
    <w:p w14:paraId="59CC77A4" w14:textId="77777777" w:rsidR="00382F02" w:rsidRDefault="00382F02" w:rsidP="002B1283">
      <w:pPr>
        <w:rPr>
          <w:rStyle w:val="Hyperlink"/>
          <w:rFonts w:ascii="Arial Black" w:hAnsi="Arial Black"/>
          <w:b/>
          <w:color w:val="auto"/>
          <w:sz w:val="24"/>
          <w:szCs w:val="24"/>
          <w:u w:val="none"/>
        </w:rPr>
      </w:pPr>
    </w:p>
    <w:p w14:paraId="26427968" w14:textId="02DC5599" w:rsidR="000915C1" w:rsidRDefault="000915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4-15</w:t>
      </w:r>
    </w:p>
    <w:p w14:paraId="283FDDAE" w14:textId="77777777" w:rsidR="000915C1" w:rsidRPr="00545701" w:rsidRDefault="000915C1" w:rsidP="000915C1">
      <w:pPr>
        <w:pStyle w:val="NoSpacing"/>
        <w:rPr>
          <w:rFonts w:ascii="Arial Black" w:hAnsi="Arial Black"/>
          <w:sz w:val="28"/>
          <w:szCs w:val="28"/>
        </w:rPr>
      </w:pPr>
      <w:r>
        <w:rPr>
          <w:rFonts w:ascii="Arial Black" w:hAnsi="Arial Black"/>
          <w:sz w:val="28"/>
          <w:szCs w:val="28"/>
        </w:rPr>
        <w:t>MI: TOWNSHIP DRONE – PHOTOS JUNKYARD ZONING VIOL - PHOTOS SUPPRESSED – NEED ADMIN. SEARCH WARRANT</w:t>
      </w:r>
    </w:p>
    <w:p w14:paraId="352819F4" w14:textId="77777777" w:rsidR="000915C1" w:rsidRDefault="000915C1" w:rsidP="000915C1">
      <w:pPr>
        <w:spacing w:before="100" w:beforeAutospacing="1" w:after="100" w:afterAutospacing="1" w:line="240" w:lineRule="auto"/>
        <w:rPr>
          <w:rFonts w:ascii="Times New Roman" w:hAnsi="Times New Roman"/>
          <w:sz w:val="24"/>
          <w:szCs w:val="24"/>
        </w:rPr>
      </w:pPr>
      <w:r w:rsidRPr="0038323F">
        <w:rPr>
          <w:rFonts w:ascii="Times New Roman" w:hAnsi="Times New Roman"/>
          <w:sz w:val="24"/>
          <w:szCs w:val="24"/>
        </w:rPr>
        <w:t xml:space="preserve">On </w:t>
      </w:r>
      <w:r>
        <w:rPr>
          <w:rFonts w:ascii="Times New Roman" w:hAnsi="Times New Roman"/>
          <w:sz w:val="24"/>
          <w:szCs w:val="24"/>
        </w:rPr>
        <w:t xml:space="preserve">March 18, 2021, in </w:t>
      </w:r>
      <w:r w:rsidRPr="0038323F">
        <w:rPr>
          <w:rFonts w:ascii="Times New Roman" w:hAnsi="Times New Roman"/>
          <w:sz w:val="24"/>
          <w:szCs w:val="24"/>
          <w:u w:val="single"/>
        </w:rPr>
        <w:t>Long Lake Township v. Todd Maxon and Heather Maxon</w:t>
      </w:r>
      <w:r>
        <w:rPr>
          <w:rFonts w:ascii="Times New Roman" w:hAnsi="Times New Roman"/>
          <w:sz w:val="24"/>
          <w:szCs w:val="24"/>
        </w:rPr>
        <w:t xml:space="preserve">, the State of Michigan Court of Appeals held (2 to 1) that the trial court should have granted the motion to suppress the photos taken by a drone, flying line-of-sight below the </w:t>
      </w:r>
      <w:proofErr w:type="gramStart"/>
      <w:r>
        <w:rPr>
          <w:rFonts w:ascii="Times New Roman" w:hAnsi="Times New Roman"/>
          <w:sz w:val="24"/>
          <w:szCs w:val="24"/>
        </w:rPr>
        <w:t>400 foot</w:t>
      </w:r>
      <w:proofErr w:type="gramEnd"/>
      <w:r>
        <w:rPr>
          <w:rFonts w:ascii="Times New Roman" w:hAnsi="Times New Roman"/>
          <w:sz w:val="24"/>
          <w:szCs w:val="24"/>
        </w:rPr>
        <w:t xml:space="preserve"> FAA limit.   </w:t>
      </w:r>
    </w:p>
    <w:p w14:paraId="5E7872E4"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w:t>
      </w:r>
      <w:r w:rsidRPr="001441C5">
        <w:rPr>
          <w:rFonts w:ascii="Times New Roman" w:hAnsi="Times New Roman"/>
          <w:sz w:val="24"/>
          <w:szCs w:val="24"/>
        </w:rPr>
        <w:t xml:space="preserve">We conclude that; much like the infrared imaging device discussed in </w:t>
      </w:r>
      <w:r w:rsidRPr="001441C5">
        <w:rPr>
          <w:rFonts w:ascii="Times New Roman" w:hAnsi="Times New Roman"/>
          <w:i/>
          <w:iCs/>
          <w:sz w:val="24"/>
          <w:szCs w:val="24"/>
        </w:rPr>
        <w:t>Kyllo</w:t>
      </w:r>
      <w:r>
        <w:rPr>
          <w:rFonts w:ascii="Times New Roman" w:hAnsi="Times New Roman"/>
          <w:i/>
          <w:iCs/>
          <w:sz w:val="24"/>
          <w:szCs w:val="24"/>
        </w:rPr>
        <w:t xml:space="preserve"> </w:t>
      </w:r>
      <w:r w:rsidRPr="001441C5">
        <w:rPr>
          <w:rFonts w:ascii="Times New Roman" w:hAnsi="Times New Roman"/>
          <w:i/>
          <w:iCs/>
          <w:sz w:val="24"/>
          <w:szCs w:val="24"/>
        </w:rPr>
        <w:t>[Kyllo v United States</w:t>
      </w:r>
      <w:r w:rsidRPr="001441C5">
        <w:rPr>
          <w:rFonts w:ascii="Times New Roman" w:hAnsi="Times New Roman"/>
          <w:sz w:val="24"/>
          <w:szCs w:val="24"/>
        </w:rPr>
        <w:t>, 533 US 27; 121 S Ct 2038; 150 L Ed 2d 94 (2001)]</w:t>
      </w:r>
      <w:r w:rsidRPr="001441C5">
        <w:rPr>
          <w:rFonts w:ascii="Times New Roman" w:hAnsi="Times New Roman"/>
          <w:i/>
          <w:iCs/>
          <w:sz w:val="24"/>
          <w:szCs w:val="24"/>
        </w:rPr>
        <w:t>;</w:t>
      </w:r>
      <w:r w:rsidRPr="001441C5">
        <w:rPr>
          <w:rFonts w:ascii="Times New Roman" w:hAnsi="Times New Roman"/>
          <w:sz w:val="24"/>
          <w:szCs w:val="24"/>
        </w:rPr>
        <w:t xml:space="preserve"> low-altitude, unmanned, specifically-targeted drone surveillance of a private individual's property is qualitatively different from the kinds of human-operated aircraft overflights permitted by </w:t>
      </w:r>
      <w:r w:rsidRPr="001441C5">
        <w:rPr>
          <w:rFonts w:ascii="Times New Roman" w:hAnsi="Times New Roman"/>
          <w:i/>
          <w:iCs/>
          <w:sz w:val="24"/>
          <w:szCs w:val="24"/>
        </w:rPr>
        <w:t>Ciraolo</w:t>
      </w:r>
      <w:r w:rsidRPr="001441C5">
        <w:rPr>
          <w:rFonts w:ascii="Times New Roman" w:hAnsi="Times New Roman"/>
          <w:sz w:val="24"/>
          <w:szCs w:val="24"/>
        </w:rPr>
        <w:t xml:space="preserve"> [</w:t>
      </w:r>
      <w:r w:rsidRPr="001441C5">
        <w:rPr>
          <w:rFonts w:ascii="Times New Roman" w:hAnsi="Times New Roman"/>
          <w:i/>
          <w:iCs/>
          <w:sz w:val="24"/>
          <w:szCs w:val="24"/>
        </w:rPr>
        <w:t>California v Ciraolo</w:t>
      </w:r>
      <w:r w:rsidRPr="001441C5">
        <w:rPr>
          <w:rFonts w:ascii="Times New Roman" w:hAnsi="Times New Roman"/>
          <w:sz w:val="24"/>
          <w:szCs w:val="24"/>
        </w:rPr>
        <w:t>, 475 US 207; 106 S Ct 1809; 90 L Ed 2d 210 (1986)]</w:t>
      </w:r>
      <w:r>
        <w:rPr>
          <w:rFonts w:ascii="Times New Roman" w:hAnsi="Times New Roman"/>
          <w:sz w:val="24"/>
          <w:szCs w:val="24"/>
        </w:rPr>
        <w:t xml:space="preserve"> </w:t>
      </w:r>
      <w:r w:rsidRPr="001441C5">
        <w:rPr>
          <w:rFonts w:ascii="Times New Roman" w:hAnsi="Times New Roman"/>
          <w:sz w:val="24"/>
          <w:szCs w:val="24"/>
        </w:rPr>
        <w:t xml:space="preserve">and </w:t>
      </w:r>
      <w:r w:rsidRPr="001441C5">
        <w:rPr>
          <w:rFonts w:ascii="Times New Roman" w:hAnsi="Times New Roman"/>
          <w:i/>
          <w:iCs/>
          <w:sz w:val="24"/>
          <w:szCs w:val="24"/>
        </w:rPr>
        <w:t>Riley</w:t>
      </w:r>
      <w:r>
        <w:rPr>
          <w:rFonts w:ascii="Times New Roman" w:hAnsi="Times New Roman"/>
          <w:sz w:val="24"/>
          <w:szCs w:val="24"/>
        </w:rPr>
        <w:t xml:space="preserve"> [</w:t>
      </w:r>
      <w:r w:rsidRPr="001441C5">
        <w:rPr>
          <w:rFonts w:ascii="Times New Roman" w:hAnsi="Times New Roman"/>
          <w:i/>
          <w:iCs/>
          <w:sz w:val="24"/>
          <w:szCs w:val="24"/>
        </w:rPr>
        <w:t>Florida v Riley</w:t>
      </w:r>
      <w:r w:rsidRPr="001441C5">
        <w:rPr>
          <w:rFonts w:ascii="Times New Roman" w:hAnsi="Times New Roman"/>
          <w:sz w:val="24"/>
          <w:szCs w:val="24"/>
        </w:rPr>
        <w:t>, 488 US 445; 109 S Ct 693; 102 L Ed 2d 835 (1989)]</w:t>
      </w:r>
      <w:r>
        <w:rPr>
          <w:rFonts w:ascii="Times New Roman" w:hAnsi="Times New Roman"/>
          <w:sz w:val="24"/>
          <w:szCs w:val="24"/>
        </w:rPr>
        <w:t>.</w:t>
      </w:r>
    </w:p>
    <w:p w14:paraId="4DDC7915" w14:textId="77777777" w:rsidR="000915C1" w:rsidRDefault="000915C1" w:rsidP="000915C1">
      <w:pPr>
        <w:pStyle w:val="NoSpacing"/>
        <w:ind w:left="720"/>
        <w:rPr>
          <w:rFonts w:ascii="Times New Roman" w:hAnsi="Times New Roman"/>
          <w:sz w:val="24"/>
          <w:szCs w:val="24"/>
        </w:rPr>
      </w:pPr>
      <w:r w:rsidRPr="001441C5">
        <w:rPr>
          <w:rFonts w:ascii="Times New Roman" w:hAnsi="Times New Roman"/>
          <w:sz w:val="24"/>
          <w:szCs w:val="24"/>
        </w:rPr>
        <w:t xml:space="preserve">We conclude that drone surveillance of this nature intrudes into persons' reasonable expectations of privacy, so such surveillance </w:t>
      </w:r>
      <w:proofErr w:type="gramStart"/>
      <w:r w:rsidRPr="001441C5">
        <w:rPr>
          <w:rFonts w:ascii="Times New Roman" w:hAnsi="Times New Roman"/>
          <w:sz w:val="24"/>
          <w:szCs w:val="24"/>
        </w:rPr>
        <w:t>implicates</w:t>
      </w:r>
      <w:proofErr w:type="gramEnd"/>
      <w:r w:rsidRPr="001441C5">
        <w:rPr>
          <w:rFonts w:ascii="Times New Roman" w:hAnsi="Times New Roman"/>
          <w:sz w:val="24"/>
          <w:szCs w:val="24"/>
        </w:rPr>
        <w:t xml:space="preserve"> the Fourth Amendment and is illegal without a warrant or a traditional exception to the warrant requirement. </w:t>
      </w:r>
    </w:p>
    <w:p w14:paraId="1E1DF5D2" w14:textId="77777777" w:rsidR="000915C1" w:rsidRDefault="000915C1" w:rsidP="000915C1">
      <w:pPr>
        <w:pStyle w:val="NoSpacing"/>
        <w:ind w:left="720"/>
        <w:rPr>
          <w:rFonts w:ascii="Times New Roman" w:hAnsi="Times New Roman"/>
          <w:sz w:val="24"/>
          <w:szCs w:val="24"/>
        </w:rPr>
      </w:pPr>
    </w:p>
    <w:p w14:paraId="7E6C2EEF"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w:t>
      </w:r>
    </w:p>
    <w:p w14:paraId="17518921" w14:textId="77777777" w:rsidR="000915C1" w:rsidRDefault="000915C1" w:rsidP="000915C1">
      <w:pPr>
        <w:pStyle w:val="NoSpacing"/>
        <w:rPr>
          <w:rFonts w:ascii="Times New Roman" w:hAnsi="Times New Roman"/>
          <w:sz w:val="24"/>
          <w:szCs w:val="24"/>
        </w:rPr>
      </w:pPr>
    </w:p>
    <w:p w14:paraId="2E0665AC" w14:textId="77777777" w:rsidR="000915C1" w:rsidRPr="000915C1" w:rsidRDefault="000915C1" w:rsidP="000915C1">
      <w:pPr>
        <w:pStyle w:val="NoSpacing"/>
        <w:ind w:left="720"/>
        <w:rPr>
          <w:rFonts w:ascii="Times New Roman" w:hAnsi="Times New Roman"/>
          <w:sz w:val="24"/>
          <w:szCs w:val="24"/>
        </w:rPr>
      </w:pPr>
      <w:r w:rsidRPr="0038323F">
        <w:rPr>
          <w:rFonts w:ascii="Times New Roman" w:hAnsi="Times New Roman"/>
          <w:sz w:val="24"/>
          <w:szCs w:val="24"/>
        </w:rPr>
        <w:t>We believe it would be unworkable and futile to try to craft a precise altitude test. Rather, we conclude that persons have a reasonable expectation of privacy in their property against drone surveillance, and therefore a governmental entity seeking to conduct drone surveillance must obtain a warrant or satisfy a traditional exception to the warrant requirement.</w:t>
      </w:r>
      <w:r>
        <w:rPr>
          <w:rFonts w:ascii="Times New Roman" w:hAnsi="Times New Roman"/>
          <w:sz w:val="24"/>
          <w:szCs w:val="24"/>
        </w:rPr>
        <w:t xml:space="preserve">” </w:t>
      </w:r>
      <w:hyperlink r:id="rId942" w:history="1">
        <w:r w:rsidRPr="000915C1">
          <w:rPr>
            <w:rStyle w:val="Hyperlink"/>
            <w:rFonts w:ascii="Times New Roman" w:hAnsi="Times New Roman"/>
            <w:sz w:val="24"/>
            <w:szCs w:val="24"/>
          </w:rPr>
          <w:t>https://casetext.com/case/long-lake-twp-v-maxon</w:t>
        </w:r>
      </w:hyperlink>
      <w:r w:rsidRPr="000915C1">
        <w:rPr>
          <w:rFonts w:ascii="Times New Roman" w:hAnsi="Times New Roman"/>
          <w:sz w:val="24"/>
          <w:szCs w:val="24"/>
        </w:rPr>
        <w:t xml:space="preserve"> </w:t>
      </w:r>
    </w:p>
    <w:p w14:paraId="4677312E" w14:textId="77777777" w:rsidR="000915C1" w:rsidRDefault="000915C1" w:rsidP="000915C1">
      <w:pPr>
        <w:pStyle w:val="NoSpacing"/>
        <w:ind w:left="720"/>
        <w:rPr>
          <w:rFonts w:ascii="Times New Roman" w:hAnsi="Times New Roman"/>
          <w:sz w:val="24"/>
          <w:szCs w:val="24"/>
        </w:rPr>
      </w:pPr>
    </w:p>
    <w:p w14:paraId="65A6864E" w14:textId="77777777" w:rsidR="000915C1" w:rsidRPr="00F94C70" w:rsidRDefault="000915C1" w:rsidP="000915C1">
      <w:pPr>
        <w:pStyle w:val="NoSpacing"/>
        <w:rPr>
          <w:rFonts w:ascii="Times New Roman" w:hAnsi="Times New Roman"/>
          <w:b/>
          <w:bCs/>
          <w:sz w:val="24"/>
          <w:szCs w:val="24"/>
        </w:rPr>
      </w:pPr>
      <w:r w:rsidRPr="00F94C70">
        <w:rPr>
          <w:rFonts w:ascii="Times New Roman" w:hAnsi="Times New Roman"/>
          <w:b/>
          <w:bCs/>
          <w:sz w:val="24"/>
          <w:szCs w:val="24"/>
        </w:rPr>
        <w:t>Legal Lesson Learned:</w:t>
      </w:r>
      <w:r>
        <w:rPr>
          <w:rFonts w:ascii="Times New Roman" w:hAnsi="Times New Roman"/>
          <w:b/>
          <w:bCs/>
          <w:sz w:val="24"/>
          <w:szCs w:val="24"/>
        </w:rPr>
        <w:t xml:space="preserve">  There will undoubtedly be more litigation about use of drones; for fire code enforcement, when possible, first get a search or administrative warrant. </w:t>
      </w:r>
    </w:p>
    <w:p w14:paraId="407B3AF3" w14:textId="77777777" w:rsidR="000915C1" w:rsidRDefault="000915C1" w:rsidP="000915C1">
      <w:pPr>
        <w:pStyle w:val="NoSpacing"/>
        <w:ind w:left="720"/>
        <w:rPr>
          <w:rFonts w:ascii="Times New Roman" w:hAnsi="Times New Roman"/>
          <w:sz w:val="24"/>
          <w:szCs w:val="24"/>
        </w:rPr>
      </w:pPr>
    </w:p>
    <w:p w14:paraId="5291433C"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Note: The dissenting opinion by Justice Karen M. Fort Hood.</w:t>
      </w:r>
    </w:p>
    <w:p w14:paraId="29CD2F29" w14:textId="77777777" w:rsidR="000915C1" w:rsidRPr="00F94C70" w:rsidRDefault="000915C1" w:rsidP="000915C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F94C70">
        <w:rPr>
          <w:rFonts w:ascii="Times New Roman" w:eastAsia="Times New Roman" w:hAnsi="Times New Roman"/>
          <w:sz w:val="24"/>
          <w:szCs w:val="24"/>
        </w:rPr>
        <w:t xml:space="preserve">With </w:t>
      </w:r>
      <w:proofErr w:type="gramStart"/>
      <w:r w:rsidRPr="00F94C70">
        <w:rPr>
          <w:rFonts w:ascii="Times New Roman" w:eastAsia="Times New Roman" w:hAnsi="Times New Roman"/>
          <w:sz w:val="24"/>
          <w:szCs w:val="24"/>
        </w:rPr>
        <w:t>all of</w:t>
      </w:r>
      <w:proofErr w:type="gramEnd"/>
      <w:r w:rsidRPr="00F94C70">
        <w:rPr>
          <w:rFonts w:ascii="Times New Roman" w:eastAsia="Times New Roman" w:hAnsi="Times New Roman"/>
          <w:sz w:val="24"/>
          <w:szCs w:val="24"/>
        </w:rPr>
        <w:t xml:space="preserve"> the above in mind, again, there is no evidence that the drone in this case was flown in violation of the law or applicable regulations, nor that it contained equipment or was itself technology not readily available or generally used by the public. The fundamental principle from both </w:t>
      </w:r>
      <w:r w:rsidRPr="00F94C70">
        <w:rPr>
          <w:rFonts w:ascii="Times New Roman" w:eastAsia="Times New Roman" w:hAnsi="Times New Roman"/>
          <w:i/>
          <w:iCs/>
          <w:sz w:val="24"/>
          <w:szCs w:val="24"/>
        </w:rPr>
        <w:t>Ciraolo</w:t>
      </w:r>
      <w:r w:rsidRPr="00F94C70">
        <w:rPr>
          <w:rFonts w:ascii="Times New Roman" w:eastAsia="Times New Roman" w:hAnsi="Times New Roman"/>
          <w:sz w:val="24"/>
          <w:szCs w:val="24"/>
        </w:rPr>
        <w:t xml:space="preserve"> and </w:t>
      </w:r>
      <w:r w:rsidRPr="00F94C70">
        <w:rPr>
          <w:rFonts w:ascii="Times New Roman" w:eastAsia="Times New Roman" w:hAnsi="Times New Roman"/>
          <w:i/>
          <w:iCs/>
          <w:sz w:val="24"/>
          <w:szCs w:val="24"/>
        </w:rPr>
        <w:t>Riley</w:t>
      </w:r>
      <w:r w:rsidRPr="00F94C70">
        <w:rPr>
          <w:rFonts w:ascii="Times New Roman" w:eastAsia="Times New Roman" w:hAnsi="Times New Roman"/>
          <w:sz w:val="24"/>
          <w:szCs w:val="24"/>
        </w:rPr>
        <w:t xml:space="preserve"> is that the property observed in those cases was observable by commercial and public aircraft in the publicly navigable airspace, see </w:t>
      </w:r>
      <w:r w:rsidRPr="00F94C70">
        <w:rPr>
          <w:rFonts w:ascii="Times New Roman" w:eastAsia="Times New Roman" w:hAnsi="Times New Roman"/>
          <w:i/>
          <w:iCs/>
          <w:sz w:val="24"/>
          <w:szCs w:val="24"/>
        </w:rPr>
        <w:t>Ciraolo</w:t>
      </w:r>
      <w:r w:rsidRPr="00F94C70">
        <w:rPr>
          <w:rFonts w:ascii="Times New Roman" w:eastAsia="Times New Roman" w:hAnsi="Times New Roman"/>
          <w:sz w:val="24"/>
          <w:szCs w:val="24"/>
        </w:rPr>
        <w:t xml:space="preserve">, 476 US at 215; </w:t>
      </w:r>
      <w:r w:rsidRPr="00F94C70">
        <w:rPr>
          <w:rFonts w:ascii="Times New Roman" w:eastAsia="Times New Roman" w:hAnsi="Times New Roman"/>
          <w:i/>
          <w:iCs/>
          <w:sz w:val="24"/>
          <w:szCs w:val="24"/>
        </w:rPr>
        <w:t>Riley</w:t>
      </w:r>
      <w:r w:rsidRPr="00F94C70">
        <w:rPr>
          <w:rFonts w:ascii="Times New Roman" w:eastAsia="Times New Roman" w:hAnsi="Times New Roman"/>
          <w:sz w:val="24"/>
          <w:szCs w:val="24"/>
        </w:rPr>
        <w:t xml:space="preserve">, 488 US at 450, and the fundamental difference between those two cases and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xml:space="preserve"> was that the technology in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xml:space="preserve"> was not something that could be reasonably expected to be employed by members of the public,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533 US at 34, 40. On that basis, I would conclude that no Fourth-Amendment violation occurred in this case, and I would affirm the trial court's order denying defendants' motion to suppress.</w:t>
      </w:r>
      <w:r>
        <w:rPr>
          <w:rFonts w:ascii="Times New Roman" w:eastAsia="Times New Roman" w:hAnsi="Times New Roman"/>
          <w:sz w:val="24"/>
          <w:szCs w:val="24"/>
        </w:rPr>
        <w:t>”</w:t>
      </w:r>
    </w:p>
    <w:p w14:paraId="3F9713FB" w14:textId="77777777" w:rsidR="000915C1" w:rsidRDefault="000915C1" w:rsidP="000915C1">
      <w:pPr>
        <w:pStyle w:val="NoSpacing"/>
        <w:rPr>
          <w:rFonts w:ascii="Arial Black" w:hAnsi="Arial Black"/>
          <w:sz w:val="28"/>
          <w:szCs w:val="28"/>
        </w:rPr>
      </w:pPr>
    </w:p>
    <w:p w14:paraId="3785EF73" w14:textId="61114992" w:rsidR="000915C1" w:rsidRDefault="000915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4-14</w:t>
      </w:r>
    </w:p>
    <w:p w14:paraId="141DD005" w14:textId="77777777" w:rsidR="000915C1" w:rsidRDefault="000915C1" w:rsidP="000915C1">
      <w:pPr>
        <w:pStyle w:val="NoSpacing"/>
        <w:rPr>
          <w:rFonts w:ascii="Arial Black" w:hAnsi="Arial Black"/>
          <w:sz w:val="28"/>
          <w:szCs w:val="28"/>
        </w:rPr>
      </w:pPr>
      <w:r>
        <w:rPr>
          <w:rFonts w:ascii="Arial Black" w:hAnsi="Arial Black"/>
          <w:sz w:val="28"/>
          <w:szCs w:val="28"/>
        </w:rPr>
        <w:t xml:space="preserve">WA: FF 18 YEARS MARINE SAFETY - “EXPERT WITNESS” UNDER </w:t>
      </w:r>
      <w:r w:rsidRPr="00B23A49">
        <w:rPr>
          <w:rFonts w:ascii="Arial Black" w:hAnsi="Arial Black"/>
          <w:i/>
          <w:iCs/>
          <w:sz w:val="28"/>
          <w:szCs w:val="28"/>
        </w:rPr>
        <w:t>DAUBERT</w:t>
      </w:r>
      <w:r>
        <w:rPr>
          <w:rFonts w:ascii="Arial Black" w:hAnsi="Arial Black"/>
          <w:i/>
          <w:iCs/>
          <w:sz w:val="28"/>
          <w:szCs w:val="28"/>
        </w:rPr>
        <w:t xml:space="preserve"> </w:t>
      </w:r>
      <w:r>
        <w:rPr>
          <w:rFonts w:ascii="Arial Black" w:hAnsi="Arial Black"/>
          <w:sz w:val="28"/>
          <w:szCs w:val="28"/>
        </w:rPr>
        <w:t>STANDARD - BOAT FIRE, OWNER LIABLE</w:t>
      </w:r>
    </w:p>
    <w:p w14:paraId="56C1FC8C" w14:textId="77777777" w:rsidR="000915C1" w:rsidRDefault="000915C1" w:rsidP="000915C1">
      <w:pPr>
        <w:pStyle w:val="NoSpacing"/>
        <w:rPr>
          <w:rFonts w:ascii="Arial Black" w:hAnsi="Arial Black"/>
          <w:sz w:val="28"/>
          <w:szCs w:val="28"/>
        </w:rPr>
      </w:pPr>
    </w:p>
    <w:p w14:paraId="6B02718E" w14:textId="77777777" w:rsidR="000915C1" w:rsidRDefault="000915C1" w:rsidP="000915C1">
      <w:pPr>
        <w:pStyle w:val="NoSpacing"/>
        <w:rPr>
          <w:rFonts w:ascii="Times New Roman" w:hAnsi="Times New Roman"/>
          <w:sz w:val="24"/>
          <w:szCs w:val="24"/>
        </w:rPr>
      </w:pPr>
      <w:r>
        <w:rPr>
          <w:rFonts w:ascii="Times New Roman" w:hAnsi="Times New Roman"/>
          <w:sz w:val="24"/>
          <w:szCs w:val="24"/>
        </w:rPr>
        <w:t xml:space="preserve">On March 18, 2021, in </w:t>
      </w:r>
      <w:r w:rsidRPr="00B23A49">
        <w:rPr>
          <w:rFonts w:ascii="Times New Roman" w:hAnsi="Times New Roman"/>
          <w:sz w:val="24"/>
          <w:szCs w:val="24"/>
          <w:u w:val="single"/>
        </w:rPr>
        <w:t>Michael Schladetzky v, John Doe, et al</w:t>
      </w:r>
      <w:r>
        <w:rPr>
          <w:rFonts w:ascii="Times New Roman" w:hAnsi="Times New Roman"/>
          <w:sz w:val="24"/>
          <w:szCs w:val="24"/>
        </w:rPr>
        <w:t xml:space="preserve">., U.S. District Court Judge James L. Robart held that firefighter Kurt Serwood, with 18 years as Chief of the Kitsap County FD Marine Division, is an “expert” under the U.S. Supreme Court’s “Daubert standard” and Fed. Rules of Evidence: </w:t>
      </w:r>
      <w:r w:rsidRPr="002501FC">
        <w:rPr>
          <w:rFonts w:ascii="Times New Roman" w:hAnsi="Times New Roman"/>
          <w:i/>
          <w:iCs/>
          <w:sz w:val="24"/>
          <w:szCs w:val="24"/>
        </w:rPr>
        <w:t>Daubert v</w:t>
      </w:r>
      <w:r w:rsidRPr="002501FC">
        <w:rPr>
          <w:rFonts w:ascii="Times New Roman" w:hAnsi="Times New Roman"/>
          <w:sz w:val="24"/>
          <w:szCs w:val="24"/>
        </w:rPr>
        <w:t xml:space="preserve">. </w:t>
      </w:r>
      <w:r w:rsidRPr="002501FC">
        <w:rPr>
          <w:rFonts w:ascii="Times New Roman" w:hAnsi="Times New Roman"/>
          <w:i/>
          <w:iCs/>
          <w:sz w:val="24"/>
          <w:szCs w:val="24"/>
        </w:rPr>
        <w:t>Merrell Dow Pharm</w:t>
      </w:r>
      <w:r w:rsidRPr="002501FC">
        <w:rPr>
          <w:rFonts w:ascii="Times New Roman" w:hAnsi="Times New Roman"/>
          <w:sz w:val="24"/>
          <w:szCs w:val="24"/>
        </w:rPr>
        <w:t xml:space="preserve">., </w:t>
      </w:r>
      <w:r w:rsidRPr="002501FC">
        <w:rPr>
          <w:rFonts w:ascii="Times New Roman" w:hAnsi="Times New Roman"/>
          <w:i/>
          <w:iCs/>
          <w:sz w:val="24"/>
          <w:szCs w:val="24"/>
        </w:rPr>
        <w:t>Inc</w:t>
      </w:r>
      <w:r w:rsidRPr="002501FC">
        <w:rPr>
          <w:rFonts w:ascii="Times New Roman" w:hAnsi="Times New Roman"/>
          <w:sz w:val="24"/>
          <w:szCs w:val="24"/>
        </w:rPr>
        <w:t>., 509 U.S. 579, 589-91 (1993); Fed. R. Evid. 702.</w:t>
      </w:r>
      <w:r>
        <w:rPr>
          <w:rFonts w:ascii="Times New Roman" w:hAnsi="Times New Roman"/>
          <w:sz w:val="24"/>
          <w:szCs w:val="24"/>
        </w:rPr>
        <w:t xml:space="preserve">  The Court relied on his expert opinion that the boat fire was caused by the owner’s negligence in not repairing the diesel furnace on the </w:t>
      </w:r>
      <w:r w:rsidRPr="007D17BA">
        <w:rPr>
          <w:rFonts w:ascii="Times New Roman" w:hAnsi="Times New Roman"/>
          <w:sz w:val="24"/>
          <w:szCs w:val="24"/>
        </w:rPr>
        <w:t>boat which blew out thick black smoke and smelled of raw diesel fuel</w:t>
      </w:r>
      <w:r>
        <w:rPr>
          <w:rFonts w:ascii="Times New Roman" w:hAnsi="Times New Roman"/>
          <w:sz w:val="24"/>
          <w:szCs w:val="24"/>
        </w:rPr>
        <w:t xml:space="preserve">.  Given this negligence, the Court held (1) the boat owner, Michael Schladetsky cannot under federal maritime law limit his liability to only the value of his vessel and cargo; and (2)  two claimants who lost property in the boat house are entitled to summary judgment – Douglas McKenzie, owner of a neighboring boat ($23,360, personal property destroyed in boat house); and Jeffrey Bigsby ($12,537.75, personal property also stored in the same boat house).  </w:t>
      </w:r>
    </w:p>
    <w:p w14:paraId="57CB479A" w14:textId="77777777" w:rsidR="000915C1" w:rsidRDefault="000915C1" w:rsidP="000915C1">
      <w:pPr>
        <w:pStyle w:val="NoSpacing"/>
        <w:rPr>
          <w:rFonts w:ascii="Times New Roman" w:hAnsi="Times New Roman"/>
          <w:sz w:val="24"/>
          <w:szCs w:val="24"/>
        </w:rPr>
      </w:pPr>
    </w:p>
    <w:p w14:paraId="2C86B1E4"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“[T]h</w:t>
      </w:r>
      <w:r w:rsidRPr="002501FC">
        <w:rPr>
          <w:rFonts w:ascii="Times New Roman" w:hAnsi="Times New Roman"/>
          <w:sz w:val="24"/>
          <w:szCs w:val="24"/>
        </w:rPr>
        <w:t xml:space="preserve">e court finds that Mr. Serwold is qualified as an expert in marine fires and their causes. Under Rule 702, an expert may be qualified by extensive or specialized experience. Fed. R. Evid. 702; </w:t>
      </w:r>
      <w:r w:rsidRPr="002501FC">
        <w:rPr>
          <w:rFonts w:ascii="Times New Roman" w:hAnsi="Times New Roman"/>
          <w:i/>
          <w:iCs/>
          <w:sz w:val="24"/>
          <w:szCs w:val="24"/>
        </w:rPr>
        <w:t>Kumho</w:t>
      </w:r>
      <w:r w:rsidRPr="002501FC">
        <w:rPr>
          <w:rFonts w:ascii="Times New Roman" w:hAnsi="Times New Roman"/>
          <w:sz w:val="24"/>
          <w:szCs w:val="24"/>
        </w:rPr>
        <w:t xml:space="preserve">, 526 U.S. at 156. Mr. Serwold is a </w:t>
      </w:r>
      <w:proofErr w:type="gramStart"/>
      <w:r w:rsidRPr="002501FC">
        <w:rPr>
          <w:rFonts w:ascii="Times New Roman" w:hAnsi="Times New Roman"/>
          <w:sz w:val="24"/>
          <w:szCs w:val="24"/>
        </w:rPr>
        <w:t>fire fighter</w:t>
      </w:r>
      <w:proofErr w:type="gramEnd"/>
      <w:r w:rsidRPr="002501FC">
        <w:rPr>
          <w:rFonts w:ascii="Times New Roman" w:hAnsi="Times New Roman"/>
          <w:sz w:val="24"/>
          <w:szCs w:val="24"/>
        </w:rPr>
        <w:t xml:space="preserve"> with over 20 years' experience, 18 of which he served as chief of the Kitsap County Fire Department's marine division. (Serwold Decl. at 1). During his time in the marine detachment, Mr. Serwold has received specialized training in the causes of marine fires and how to prevent them. (</w:t>
      </w:r>
      <w:r w:rsidRPr="002501FC">
        <w:rPr>
          <w:rFonts w:ascii="Times New Roman" w:hAnsi="Times New Roman"/>
          <w:i/>
          <w:iCs/>
          <w:sz w:val="24"/>
          <w:szCs w:val="24"/>
        </w:rPr>
        <w:t>Id</w:t>
      </w:r>
      <w:r w:rsidRPr="002501FC">
        <w:rPr>
          <w:rFonts w:ascii="Times New Roman" w:hAnsi="Times New Roman"/>
          <w:sz w:val="24"/>
          <w:szCs w:val="24"/>
        </w:rPr>
        <w:t>. at 1-2). Because of his considerable experience and specialized training, the court finds that Mr. Serwold is qualified to offer expert testimony on marine fires and their causes.</w:t>
      </w:r>
      <w:r>
        <w:rPr>
          <w:rFonts w:ascii="Times New Roman" w:hAnsi="Times New Roman"/>
          <w:sz w:val="24"/>
          <w:szCs w:val="24"/>
        </w:rPr>
        <w:t xml:space="preserve">” </w:t>
      </w:r>
    </w:p>
    <w:p w14:paraId="46635497" w14:textId="77777777" w:rsidR="000915C1" w:rsidRPr="000915C1" w:rsidRDefault="000915C1" w:rsidP="000915C1">
      <w:pPr>
        <w:pStyle w:val="NoSpacing"/>
        <w:ind w:left="720"/>
        <w:rPr>
          <w:rFonts w:ascii="Times New Roman" w:hAnsi="Times New Roman"/>
          <w:sz w:val="24"/>
          <w:szCs w:val="24"/>
        </w:rPr>
      </w:pPr>
      <w:hyperlink r:id="rId943" w:history="1">
        <w:r w:rsidRPr="000915C1">
          <w:rPr>
            <w:rStyle w:val="Hyperlink"/>
            <w:rFonts w:ascii="Times New Roman" w:hAnsi="Times New Roman"/>
            <w:sz w:val="24"/>
            <w:szCs w:val="24"/>
          </w:rPr>
          <w:t>https://casetext.com/case/schladetzky-v-doe-1</w:t>
        </w:r>
      </w:hyperlink>
      <w:r w:rsidRPr="000915C1">
        <w:rPr>
          <w:rFonts w:ascii="Times New Roman" w:hAnsi="Times New Roman"/>
          <w:sz w:val="24"/>
          <w:szCs w:val="24"/>
        </w:rPr>
        <w:t xml:space="preserve"> </w:t>
      </w:r>
    </w:p>
    <w:p w14:paraId="4236F916" w14:textId="77777777" w:rsidR="000915C1" w:rsidRDefault="000915C1" w:rsidP="000915C1">
      <w:pPr>
        <w:pStyle w:val="NoSpacing"/>
        <w:rPr>
          <w:rFonts w:ascii="Times New Roman" w:hAnsi="Times New Roman"/>
          <w:b/>
          <w:bCs/>
          <w:sz w:val="24"/>
          <w:szCs w:val="24"/>
        </w:rPr>
      </w:pPr>
    </w:p>
    <w:p w14:paraId="33A7427A" w14:textId="7C32C185" w:rsidR="000915C1" w:rsidRPr="00F57D38" w:rsidRDefault="000915C1" w:rsidP="000915C1">
      <w:pPr>
        <w:pStyle w:val="NoSpacing"/>
        <w:rPr>
          <w:rFonts w:ascii="Times New Roman" w:hAnsi="Times New Roman"/>
          <w:b/>
          <w:bCs/>
          <w:sz w:val="24"/>
          <w:szCs w:val="24"/>
        </w:rPr>
      </w:pPr>
      <w:r w:rsidRPr="00F57D38">
        <w:rPr>
          <w:rFonts w:ascii="Times New Roman" w:hAnsi="Times New Roman"/>
          <w:b/>
          <w:bCs/>
          <w:sz w:val="24"/>
          <w:szCs w:val="24"/>
        </w:rPr>
        <w:t>Legal Lesson Learned:</w:t>
      </w:r>
      <w:r>
        <w:rPr>
          <w:rFonts w:ascii="Times New Roman" w:hAnsi="Times New Roman"/>
          <w:b/>
          <w:bCs/>
          <w:sz w:val="24"/>
          <w:szCs w:val="24"/>
        </w:rPr>
        <w:t xml:space="preserve"> The U.S. Supreme Court’s </w:t>
      </w:r>
      <w:r w:rsidRPr="00F57D38">
        <w:rPr>
          <w:rFonts w:ascii="Times New Roman" w:hAnsi="Times New Roman"/>
          <w:b/>
          <w:bCs/>
          <w:i/>
          <w:iCs/>
          <w:sz w:val="24"/>
          <w:szCs w:val="24"/>
        </w:rPr>
        <w:t>Daubert</w:t>
      </w:r>
      <w:r>
        <w:rPr>
          <w:rFonts w:ascii="Times New Roman" w:hAnsi="Times New Roman"/>
          <w:b/>
          <w:bCs/>
          <w:i/>
          <w:iCs/>
          <w:sz w:val="24"/>
          <w:szCs w:val="24"/>
        </w:rPr>
        <w:t xml:space="preserve"> </w:t>
      </w:r>
      <w:r w:rsidRPr="00A66200">
        <w:rPr>
          <w:rFonts w:ascii="Times New Roman" w:hAnsi="Times New Roman"/>
          <w:b/>
          <w:bCs/>
          <w:sz w:val="24"/>
          <w:szCs w:val="24"/>
        </w:rPr>
        <w:t xml:space="preserve">standard </w:t>
      </w:r>
      <w:r>
        <w:rPr>
          <w:rFonts w:ascii="Times New Roman" w:hAnsi="Times New Roman"/>
          <w:b/>
          <w:bCs/>
          <w:sz w:val="24"/>
          <w:szCs w:val="24"/>
        </w:rPr>
        <w:t xml:space="preserve">and the Federal Rules of Evidence allow federal judges to rely the opinion of “experts” who are qualified based on their knowledge, experience and training. </w:t>
      </w:r>
    </w:p>
    <w:p w14:paraId="32AE181D" w14:textId="77777777" w:rsidR="000915C1" w:rsidRDefault="000915C1" w:rsidP="000915C1">
      <w:pPr>
        <w:spacing w:before="100" w:beforeAutospacing="1" w:after="100" w:afterAutospacing="1" w:line="240" w:lineRule="auto"/>
        <w:ind w:left="1440"/>
        <w:rPr>
          <w:rFonts w:ascii="Times New Roman" w:hAnsi="Times New Roman"/>
          <w:sz w:val="24"/>
          <w:szCs w:val="24"/>
        </w:rPr>
      </w:pPr>
      <w:r w:rsidRPr="00A66200">
        <w:rPr>
          <w:rFonts w:ascii="Times New Roman" w:eastAsia="Times New Roman" w:hAnsi="Times New Roman"/>
          <w:sz w:val="24"/>
          <w:szCs w:val="24"/>
        </w:rPr>
        <w:t xml:space="preserve">Note:   See </w:t>
      </w:r>
      <w:r w:rsidRPr="00A66200">
        <w:rPr>
          <w:rFonts w:ascii="Times New Roman" w:hAnsi="Times New Roman"/>
          <w:sz w:val="24"/>
          <w:szCs w:val="24"/>
        </w:rPr>
        <w:t>Rule 702</w:t>
      </w:r>
      <w:r>
        <w:rPr>
          <w:rFonts w:ascii="Times New Roman" w:hAnsi="Times New Roman"/>
          <w:sz w:val="24"/>
          <w:szCs w:val="24"/>
        </w:rPr>
        <w:t xml:space="preserve">. Federal Rules of Evidence: </w:t>
      </w:r>
      <w:hyperlink r:id="rId944" w:history="1">
        <w:r w:rsidRPr="008F3FAE">
          <w:rPr>
            <w:rStyle w:val="Hyperlink"/>
            <w:sz w:val="24"/>
            <w:szCs w:val="24"/>
          </w:rPr>
          <w:t>https://www.law.cornell.edu/rules/fre/rule_702</w:t>
        </w:r>
      </w:hyperlink>
    </w:p>
    <w:p w14:paraId="5BDFE98C" w14:textId="77777777" w:rsidR="000915C1" w:rsidRPr="00A66200" w:rsidRDefault="000915C1" w:rsidP="000915C1">
      <w:pPr>
        <w:spacing w:before="100" w:beforeAutospacing="1" w:after="100" w:afterAutospacing="1" w:line="240" w:lineRule="auto"/>
        <w:ind w:left="1440"/>
        <w:rPr>
          <w:rFonts w:ascii="Times New Roman" w:hAnsi="Times New Roman"/>
          <w:sz w:val="24"/>
          <w:szCs w:val="24"/>
        </w:rPr>
      </w:pPr>
      <w:r w:rsidRPr="00A66200">
        <w:rPr>
          <w:rFonts w:ascii="Times New Roman" w:hAnsi="Times New Roman"/>
          <w:sz w:val="24"/>
          <w:szCs w:val="24"/>
        </w:rPr>
        <w:t>Testimony by Expert Witnesses</w:t>
      </w:r>
    </w:p>
    <w:p w14:paraId="380F97F8" w14:textId="77777777" w:rsidR="000915C1" w:rsidRPr="00A66200" w:rsidRDefault="000915C1" w:rsidP="000915C1">
      <w:pPr>
        <w:pStyle w:val="statutory-body"/>
        <w:ind w:left="1440"/>
      </w:pPr>
      <w:r w:rsidRPr="00A66200">
        <w:t>A witness who is qualified as an expert by knowledge, skill, experience, training, or education may testify in the form of an opinion or otherwise if:</w:t>
      </w:r>
    </w:p>
    <w:p w14:paraId="4945E574" w14:textId="77777777" w:rsidR="000915C1" w:rsidRPr="00A66200" w:rsidRDefault="000915C1" w:rsidP="000915C1">
      <w:pPr>
        <w:pStyle w:val="statutory-body"/>
        <w:ind w:left="1440"/>
      </w:pPr>
      <w:r w:rsidRPr="00A66200">
        <w:rPr>
          <w:rStyle w:val="Strong"/>
        </w:rPr>
        <w:t>(a)</w:t>
      </w:r>
      <w:r w:rsidRPr="00A66200">
        <w:t xml:space="preserve"> the expert’s scientific, technical, or other specialized knowledge will help the trier of fact to understand the evidence or to determine a fact in issue;</w:t>
      </w:r>
    </w:p>
    <w:p w14:paraId="19805D3F" w14:textId="77777777" w:rsidR="000915C1" w:rsidRPr="00A66200" w:rsidRDefault="000915C1" w:rsidP="000915C1">
      <w:pPr>
        <w:pStyle w:val="statutory-body"/>
        <w:ind w:left="720" w:firstLine="720"/>
      </w:pPr>
      <w:r w:rsidRPr="00A66200">
        <w:rPr>
          <w:rStyle w:val="Strong"/>
        </w:rPr>
        <w:t>(b)</w:t>
      </w:r>
      <w:r w:rsidRPr="00A66200">
        <w:t xml:space="preserve"> the testimony is based on sufficient facts or data;</w:t>
      </w:r>
    </w:p>
    <w:p w14:paraId="6C860603" w14:textId="77777777" w:rsidR="000915C1" w:rsidRPr="00A66200" w:rsidRDefault="000915C1" w:rsidP="000915C1">
      <w:pPr>
        <w:pStyle w:val="statutory-body"/>
        <w:ind w:left="720" w:firstLine="720"/>
      </w:pPr>
      <w:r w:rsidRPr="00A66200">
        <w:rPr>
          <w:rStyle w:val="Strong"/>
        </w:rPr>
        <w:t>(c)</w:t>
      </w:r>
      <w:r w:rsidRPr="00A66200">
        <w:t xml:space="preserve"> the testimony is the product of reliable principles and methods; and</w:t>
      </w:r>
    </w:p>
    <w:p w14:paraId="6CA18FE8" w14:textId="77777777" w:rsidR="000915C1" w:rsidRPr="00A66200" w:rsidRDefault="000915C1" w:rsidP="000915C1">
      <w:pPr>
        <w:pStyle w:val="statutory-body"/>
        <w:ind w:left="1440"/>
      </w:pPr>
      <w:r w:rsidRPr="00A66200">
        <w:rPr>
          <w:rStyle w:val="Strong"/>
        </w:rPr>
        <w:t>(d)</w:t>
      </w:r>
      <w:r w:rsidRPr="00A66200">
        <w:t xml:space="preserve"> the expert has reliably applied the principles and methods to the facts of the case.</w:t>
      </w:r>
    </w:p>
    <w:p w14:paraId="0D1AAA00" w14:textId="77777777" w:rsidR="000915C1" w:rsidRPr="00A66200" w:rsidRDefault="000915C1" w:rsidP="000915C1">
      <w:pPr>
        <w:pStyle w:val="Heading4"/>
        <w:ind w:left="720" w:firstLine="720"/>
        <w:rPr>
          <w:rFonts w:ascii="Times New Roman" w:hAnsi="Times New Roman" w:cs="Times New Roman"/>
          <w:color w:val="auto"/>
          <w:sz w:val="24"/>
          <w:szCs w:val="24"/>
        </w:rPr>
      </w:pPr>
      <w:r w:rsidRPr="00A66200">
        <w:rPr>
          <w:rFonts w:ascii="Times New Roman" w:hAnsi="Times New Roman" w:cs="Times New Roman"/>
          <w:color w:val="auto"/>
          <w:sz w:val="24"/>
          <w:szCs w:val="24"/>
        </w:rPr>
        <w:t>Notes</w:t>
      </w:r>
    </w:p>
    <w:p w14:paraId="52F87912" w14:textId="77777777" w:rsidR="000915C1" w:rsidRPr="00A66200" w:rsidRDefault="000915C1" w:rsidP="000915C1">
      <w:pPr>
        <w:pStyle w:val="source-credit"/>
        <w:ind w:left="1440"/>
      </w:pPr>
      <w:r w:rsidRPr="00A66200">
        <w:t>(Pub. L. 93–595, §1, Jan. 2, 1975, 88 Stat. 1937; Apr. 17, 2000, eff. Dec. 1, 2000; Apr. 26, 2011, eff. Dec. 1, 2011.)</w:t>
      </w:r>
    </w:p>
    <w:p w14:paraId="36609E57" w14:textId="77777777" w:rsidR="000915C1" w:rsidRDefault="000915C1" w:rsidP="002B1283">
      <w:pPr>
        <w:rPr>
          <w:rStyle w:val="Hyperlink"/>
          <w:rFonts w:ascii="Arial Black" w:hAnsi="Arial Black"/>
          <w:b/>
          <w:color w:val="auto"/>
          <w:sz w:val="24"/>
          <w:szCs w:val="24"/>
          <w:u w:val="none"/>
        </w:rPr>
      </w:pPr>
    </w:p>
    <w:p w14:paraId="4DA580C0" w14:textId="10CFD56A" w:rsidR="005E132A" w:rsidRDefault="005E132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4-13</w:t>
      </w:r>
    </w:p>
    <w:p w14:paraId="603533A1" w14:textId="77777777" w:rsidR="005E132A" w:rsidRDefault="005E132A" w:rsidP="005E132A">
      <w:pPr>
        <w:rPr>
          <w:rFonts w:ascii="Arial Black" w:eastAsiaTheme="minorHAnsi" w:hAnsi="Arial Black" w:cstheme="minorBidi"/>
          <w:sz w:val="28"/>
          <w:szCs w:val="28"/>
        </w:rPr>
      </w:pPr>
      <w:r>
        <w:rPr>
          <w:rFonts w:ascii="Arial Black" w:hAnsi="Arial Black"/>
          <w:sz w:val="28"/>
          <w:szCs w:val="28"/>
        </w:rPr>
        <w:t xml:space="preserve">OH: STUDENT DIED, VAN SEAT FOLDED ONTO HIM – 911 DISPATCH, PD COULDN’T LOCATE – LAWSUIT PROCEED </w:t>
      </w:r>
    </w:p>
    <w:p w14:paraId="740A9BB3" w14:textId="77777777" w:rsidR="005E132A" w:rsidRDefault="005E132A" w:rsidP="005E132A">
      <w:pPr>
        <w:rPr>
          <w:rFonts w:ascii="Times New Roman" w:hAnsi="Times New Roman"/>
          <w:sz w:val="24"/>
          <w:szCs w:val="24"/>
        </w:rPr>
      </w:pPr>
      <w:r>
        <w:rPr>
          <w:rFonts w:ascii="Times New Roman" w:hAnsi="Times New Roman"/>
          <w:sz w:val="24"/>
          <w:szCs w:val="24"/>
        </w:rPr>
        <w:t xml:space="preserve">On Dec. 16, 2020, in </w:t>
      </w:r>
      <w:r>
        <w:rPr>
          <w:rFonts w:ascii="Times New Roman" w:hAnsi="Times New Roman"/>
          <w:sz w:val="24"/>
          <w:szCs w:val="24"/>
          <w:u w:val="single"/>
        </w:rPr>
        <w:t>Rob Plush, Individually and Administrator of Estate of Kyle Plush, and Jill Plush v. City of Cincinnati, Harry Black, et al</w:t>
      </w:r>
      <w:r>
        <w:rPr>
          <w:rFonts w:ascii="Times New Roman" w:hAnsi="Times New Roman"/>
          <w:sz w:val="24"/>
          <w:szCs w:val="24"/>
        </w:rPr>
        <w:t xml:space="preserve">., the Court of Appeals for First Appellate District (Hamilton County), held (3 to 0) that while the City enjoy governmental immunity, the lawsuit may proceed against former City Manager, dispatchers, and police [1 Dissent on police]. The </w:t>
      </w:r>
      <w:proofErr w:type="gramStart"/>
      <w:r>
        <w:rPr>
          <w:rFonts w:ascii="Times New Roman" w:hAnsi="Times New Roman"/>
          <w:sz w:val="24"/>
          <w:szCs w:val="24"/>
        </w:rPr>
        <w:t>City</w:t>
      </w:r>
      <w:proofErr w:type="gramEnd"/>
      <w:r>
        <w:rPr>
          <w:rFonts w:ascii="Times New Roman" w:hAnsi="Times New Roman"/>
          <w:sz w:val="24"/>
          <w:szCs w:val="24"/>
        </w:rPr>
        <w:t xml:space="preserve"> has confirmed it will defend and indemnify these personnel. </w:t>
      </w:r>
    </w:p>
    <w:p w14:paraId="4CAF9CA4" w14:textId="3A914803" w:rsidR="005E132A" w:rsidRDefault="005E132A" w:rsidP="005E132A">
      <w:pPr>
        <w:rPr>
          <w:rStyle w:val="Hyperlink"/>
        </w:rPr>
      </w:pPr>
      <w:r>
        <w:rPr>
          <w:rFonts w:ascii="Times New Roman" w:hAnsi="Times New Roman"/>
          <w:sz w:val="24"/>
          <w:szCs w:val="24"/>
        </w:rPr>
        <w:t xml:space="preserve">“We find that Ron and Jill Plush’ s … claims squarely attack the city of Cincinnati’s … provision of emergency medical or rescue services, which is shielded by governmental immunity. Therefore, we reverse the denial of appellants’ motion to dismiss as to the city and its employees in their official capacities. However, the complaint sufficiently alleges at least reckless conduct to preclude </w:t>
      </w:r>
      <w:proofErr w:type="gramStart"/>
      <w:r>
        <w:rPr>
          <w:rFonts w:ascii="Times New Roman" w:hAnsi="Times New Roman"/>
          <w:sz w:val="24"/>
          <w:szCs w:val="24"/>
        </w:rPr>
        <w:t>immunity as</w:t>
      </w:r>
      <w:proofErr w:type="gramEnd"/>
      <w:r>
        <w:rPr>
          <w:rFonts w:ascii="Times New Roman" w:hAnsi="Times New Roman"/>
          <w:sz w:val="24"/>
          <w:szCs w:val="24"/>
        </w:rPr>
        <w:t xml:space="preserve"> </w:t>
      </w:r>
      <w:proofErr w:type="gramStart"/>
      <w:r>
        <w:rPr>
          <w:rFonts w:ascii="Times New Roman" w:hAnsi="Times New Roman"/>
          <w:sz w:val="24"/>
          <w:szCs w:val="24"/>
        </w:rPr>
        <w:t>to</w:t>
      </w:r>
      <w:proofErr w:type="gramEnd"/>
      <w:r>
        <w:rPr>
          <w:rFonts w:ascii="Times New Roman" w:hAnsi="Times New Roman"/>
          <w:sz w:val="24"/>
          <w:szCs w:val="24"/>
        </w:rPr>
        <w:t xml:space="preserve"> the individual defendants. Therefore, appellants’ motion to dismiss was properly denied as to Harry Black, Amber Smith, Stephanie Magee, Edsel Osborn, and Brian Brazile, in their individual capacities.”</w:t>
      </w:r>
      <w:r>
        <w:t xml:space="preserve"> </w:t>
      </w:r>
      <w:hyperlink r:id="rId945" w:history="1">
        <w:r>
          <w:rPr>
            <w:rStyle w:val="Hyperlink"/>
          </w:rPr>
          <w:t>https://www.hamiltoncountyohio.gov/UserFiles/Servers/Server_3788196/File/releases/2020/C-200030_12162020.pdf</w:t>
        </w:r>
      </w:hyperlink>
    </w:p>
    <w:p w14:paraId="5B6A7AF5" w14:textId="77777777" w:rsidR="005E132A" w:rsidRDefault="005E132A" w:rsidP="005E132A">
      <w:pPr>
        <w:rPr>
          <w:rFonts w:ascii="Times New Roman" w:hAnsi="Times New Roman"/>
          <w:b/>
          <w:bCs/>
          <w:sz w:val="24"/>
          <w:szCs w:val="24"/>
        </w:rPr>
      </w:pPr>
      <w:r>
        <w:rPr>
          <w:rFonts w:ascii="Times New Roman" w:hAnsi="Times New Roman"/>
          <w:b/>
          <w:bCs/>
          <w:sz w:val="24"/>
          <w:szCs w:val="24"/>
        </w:rPr>
        <w:t>Legal Lesson Learned: Tragic event; hopefully most modern dispatch system can now locate 911 caller within a few feet.</w:t>
      </w:r>
    </w:p>
    <w:p w14:paraId="1EFBF654" w14:textId="77777777" w:rsidR="005E132A" w:rsidRPr="006B1421" w:rsidRDefault="005E132A" w:rsidP="005E132A">
      <w:pPr>
        <w:pStyle w:val="Heading1"/>
        <w:ind w:left="1440"/>
        <w:rPr>
          <w:b w:val="0"/>
          <w:bCs w:val="0"/>
          <w:sz w:val="24"/>
          <w:szCs w:val="24"/>
        </w:rPr>
      </w:pPr>
      <w:r w:rsidRPr="006B1421">
        <w:rPr>
          <w:b w:val="0"/>
          <w:bCs w:val="0"/>
          <w:sz w:val="24"/>
          <w:szCs w:val="24"/>
        </w:rPr>
        <w:t>Note:  See this article.</w:t>
      </w:r>
      <w:r>
        <w:rPr>
          <w:sz w:val="24"/>
          <w:szCs w:val="24"/>
        </w:rPr>
        <w:t xml:space="preserve">  </w:t>
      </w:r>
      <w:r>
        <w:rPr>
          <w:b w:val="0"/>
          <w:bCs w:val="0"/>
          <w:sz w:val="24"/>
          <w:szCs w:val="24"/>
        </w:rPr>
        <w:t xml:space="preserve"> “</w:t>
      </w:r>
      <w:r w:rsidRPr="006B1421">
        <w:rPr>
          <w:b w:val="0"/>
          <w:bCs w:val="0"/>
          <w:sz w:val="24"/>
          <w:szCs w:val="24"/>
        </w:rPr>
        <w:t>How Does Location Work for 911?</w:t>
      </w:r>
      <w:r>
        <w:rPr>
          <w:b w:val="0"/>
          <w:bCs w:val="0"/>
          <w:sz w:val="24"/>
          <w:szCs w:val="24"/>
        </w:rPr>
        <w:t>”</w:t>
      </w:r>
      <w:r w:rsidRPr="006B1421">
        <w:rPr>
          <w:b w:val="0"/>
          <w:bCs w:val="0"/>
          <w:sz w:val="24"/>
          <w:szCs w:val="24"/>
        </w:rPr>
        <w:t xml:space="preserve"> </w:t>
      </w:r>
      <w:hyperlink r:id="rId946" w:history="1">
        <w:r w:rsidRPr="009A2D81">
          <w:rPr>
            <w:rStyle w:val="Hyperlink"/>
            <w:b w:val="0"/>
            <w:bCs w:val="0"/>
            <w:sz w:val="24"/>
            <w:szCs w:val="24"/>
          </w:rPr>
          <w:t>https://www.nct911.org/how-location-works-for-911/</w:t>
        </w:r>
      </w:hyperlink>
      <w:r>
        <w:rPr>
          <w:b w:val="0"/>
          <w:bCs w:val="0"/>
          <w:sz w:val="24"/>
          <w:szCs w:val="24"/>
        </w:rPr>
        <w:t xml:space="preserve"> </w:t>
      </w:r>
    </w:p>
    <w:p w14:paraId="4325A884" w14:textId="1E63C5BA" w:rsidR="005E132A" w:rsidRPr="006B1421" w:rsidRDefault="005E132A" w:rsidP="005E132A">
      <w:pPr>
        <w:ind w:left="1440"/>
        <w:rPr>
          <w:rFonts w:ascii="Times New Roman" w:hAnsi="Times New Roman"/>
          <w:sz w:val="24"/>
          <w:szCs w:val="24"/>
        </w:rPr>
      </w:pPr>
      <w:r w:rsidRPr="006B1421">
        <w:rPr>
          <w:rFonts w:ascii="Times New Roman" w:hAnsi="Times New Roman"/>
          <w:b/>
          <w:bCs/>
          <w:sz w:val="24"/>
          <w:szCs w:val="24"/>
        </w:rPr>
        <w:t>“</w:t>
      </w:r>
      <w:r w:rsidRPr="006B1421">
        <w:rPr>
          <w:rFonts w:ascii="Times New Roman" w:hAnsi="Times New Roman"/>
          <w:sz w:val="24"/>
          <w:szCs w:val="24"/>
        </w:rPr>
        <w:t>On an Enhanced 9-1-1 system, calling 9-1-1 on a cell phone can yield different results. This is because the location information is provided by your cell phone carrier and each carrier is different. When you call on a cell phone, your location is determined by a combination of network triangulation and trilateration to gain an approximate location. By approximate location, we mean within 300 meters of the nearest cell phone tower. That’s about three football fields.</w:t>
      </w:r>
      <w:r>
        <w:rPr>
          <w:rFonts w:ascii="Times New Roman" w:hAnsi="Times New Roman"/>
          <w:sz w:val="24"/>
          <w:szCs w:val="24"/>
        </w:rPr>
        <w:t xml:space="preserve"> </w:t>
      </w:r>
      <w:r w:rsidRPr="006B1421">
        <w:rPr>
          <w:rFonts w:ascii="Times New Roman" w:hAnsi="Times New Roman"/>
          <w:sz w:val="24"/>
          <w:szCs w:val="24"/>
        </w:rPr>
        <w:t xml:space="preserve">If your police department or sheriff’s office is on a Next Generation 9-1-1 network, which emphasizes more modern technology, and if they use device-based hybrid location accuracy, DHL, (technology similar to that used by ride-sharing apps), they may be able to pinpoint your location within 15 meters.” </w:t>
      </w:r>
    </w:p>
    <w:p w14:paraId="16BEAC0B" w14:textId="77777777" w:rsidR="005E132A" w:rsidRPr="006B1421" w:rsidRDefault="005E132A" w:rsidP="005E132A">
      <w:pPr>
        <w:ind w:left="720"/>
        <w:rPr>
          <w:rStyle w:val="Hyperlink"/>
          <w:rFonts w:ascii="Times New Roman" w:hAnsi="Times New Roman"/>
          <w:sz w:val="24"/>
          <w:szCs w:val="24"/>
        </w:rPr>
      </w:pPr>
      <w:hyperlink r:id="rId947" w:history="1">
        <w:r w:rsidRPr="006B1421">
          <w:rPr>
            <w:rStyle w:val="Hyperlink"/>
            <w:rFonts w:ascii="Times New Roman" w:hAnsi="Times New Roman"/>
            <w:sz w:val="24"/>
            <w:szCs w:val="24"/>
          </w:rPr>
          <w:t>https://www.nct911.org/how-location-works-for-911/</w:t>
        </w:r>
      </w:hyperlink>
    </w:p>
    <w:p w14:paraId="7284602C" w14:textId="77777777" w:rsidR="005E132A" w:rsidRDefault="005E132A" w:rsidP="005E132A">
      <w:pPr>
        <w:rPr>
          <w:rStyle w:val="Hyperlink"/>
          <w:rFonts w:ascii="Arial Black" w:hAnsi="Arial Black"/>
          <w:b/>
          <w:color w:val="auto"/>
          <w:sz w:val="24"/>
          <w:szCs w:val="24"/>
          <w:u w:val="none"/>
        </w:rPr>
      </w:pPr>
    </w:p>
    <w:p w14:paraId="45589666" w14:textId="77777777" w:rsidR="005E132A" w:rsidRDefault="005E132A" w:rsidP="002B1283">
      <w:pPr>
        <w:rPr>
          <w:rStyle w:val="Hyperlink"/>
          <w:rFonts w:ascii="Arial Black" w:hAnsi="Arial Black"/>
          <w:b/>
          <w:color w:val="auto"/>
          <w:sz w:val="24"/>
          <w:szCs w:val="24"/>
          <w:u w:val="none"/>
        </w:rPr>
      </w:pPr>
    </w:p>
    <w:p w14:paraId="52AE58BE" w14:textId="08191573" w:rsidR="007D178F" w:rsidRDefault="007D178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4-12</w:t>
      </w:r>
    </w:p>
    <w:p w14:paraId="673E86C1" w14:textId="77777777" w:rsidR="007D178F" w:rsidRPr="00075D85" w:rsidRDefault="007D178F" w:rsidP="007D178F">
      <w:pPr>
        <w:pStyle w:val="NoSpacing"/>
        <w:rPr>
          <w:rFonts w:ascii="Arial Black" w:hAnsi="Arial Black"/>
          <w:sz w:val="28"/>
          <w:szCs w:val="28"/>
        </w:rPr>
      </w:pPr>
      <w:r>
        <w:rPr>
          <w:rFonts w:ascii="Arial Black" w:hAnsi="Arial Black"/>
          <w:sz w:val="28"/>
          <w:szCs w:val="28"/>
        </w:rPr>
        <w:t>NY: FDNY TRAINING APARTMENT BLDG BEING REHABED – STILL FEW RESIDENTS, DOORS FORCED OPEN – CASE DISMISSED</w:t>
      </w:r>
    </w:p>
    <w:p w14:paraId="64C49571" w14:textId="77777777" w:rsidR="007D178F" w:rsidRDefault="007D178F" w:rsidP="007D178F">
      <w:pPr>
        <w:pStyle w:val="NormalWeb"/>
      </w:pPr>
      <w:r>
        <w:t xml:space="preserve">On Nov. 25, 2020, in </w:t>
      </w:r>
      <w:r w:rsidRPr="00075D85">
        <w:rPr>
          <w:u w:val="single"/>
        </w:rPr>
        <w:t xml:space="preserve">Henry Brown, et al. v. Fire Department of City of New York, </w:t>
      </w:r>
      <w:r>
        <w:rPr>
          <w:u w:val="single"/>
        </w:rPr>
        <w:t xml:space="preserve">the City of New York, </w:t>
      </w:r>
      <w:r w:rsidRPr="00075D85">
        <w:rPr>
          <w:u w:val="single"/>
        </w:rPr>
        <w:t>et al</w:t>
      </w:r>
      <w:r>
        <w:t xml:space="preserve">., U.S. District Court Judge Lashann Dearcy Hall, U.S. District Court for Eastern District of New York, granted the City’s motion to dismiss; there was no proof that the City was on notice of any deficiencies in the FDNY’s training conducted April – </w:t>
      </w:r>
      <w:proofErr w:type="gramStart"/>
      <w:r>
        <w:t>June,</w:t>
      </w:r>
      <w:proofErr w:type="gramEnd"/>
      <w:r>
        <w:t xml:space="preserve"> 2016 in the 23-unit apartment building (five plaintiffs still lived in the building). The training exercises included breaking down doors and entering apartments, and led to two incidents of forcible, warrantless entry into Plaintiffs' apartments.</w:t>
      </w:r>
    </w:p>
    <w:p w14:paraId="64A60F80" w14:textId="77777777" w:rsidR="007D178F" w:rsidRDefault="007D178F" w:rsidP="007D178F">
      <w:pPr>
        <w:pStyle w:val="NormalWeb"/>
        <w:ind w:left="720"/>
      </w:pPr>
      <w:r>
        <w:t xml:space="preserve">“Here, Plaintiffs allege that City Defendants failed to train FDNY officers how to ‘properly distinguish occupied from vacant apartments in the context of emergency entry training exercises.’ (Am. </w:t>
      </w:r>
      <w:proofErr w:type="spellStart"/>
      <w:r>
        <w:t>Compl</w:t>
      </w:r>
      <w:proofErr w:type="spellEnd"/>
      <w:r>
        <w:t>. ¶¶ 53, 113.) The complaint contains two allegations of constitutional violations: the warrantless entries by FDNY Officers into Plaintiff Moyer's apartment on May 17, 2016, and Plaintiff Henry Brown's apartment on May 21, 2016.… However, there are no allegations that indicate that City Defendants were on notice that the training of FDNY officers was deficient. Plaintiff Moyer did call the police after the FDNY allegedly entered her home because she thought they had been robbed…. However, there is no plausible inference that her call to the police to report a robbery put the City Defendants on notice that the training of FDNY officers was deficient. Plaintiff Henry Brown filed a complaint at the local fire house and complained to Brooklyn Community Board #8 after the alleged unlawful entrance into his home</w:t>
      </w:r>
      <w:proofErr w:type="gramStart"/>
      <w:r>
        <w:t>…..</w:t>
      </w:r>
      <w:proofErr w:type="gramEnd"/>
      <w:r>
        <w:t xml:space="preserve"> However, any such complaints, which were made after the alleged warrantless entries into Plaintiffs' homes, could not be said to have put the City Defendants on notice of training deficiencies prior to the alleged unconstitutional conduct.” </w:t>
      </w:r>
      <w:hyperlink r:id="rId948" w:history="1">
        <w:r w:rsidRPr="00695F3D">
          <w:rPr>
            <w:rStyle w:val="Hyperlink"/>
          </w:rPr>
          <w:t>https://docs.justia.com/cases/federal/district-courts/new-york/nyedce/1:2019cv02400/432390/46</w:t>
        </w:r>
      </w:hyperlink>
      <w:r>
        <w:t xml:space="preserve"> </w:t>
      </w:r>
    </w:p>
    <w:p w14:paraId="300EC7BA" w14:textId="77777777" w:rsidR="007D178F" w:rsidRPr="005E4BB8" w:rsidRDefault="007D178F" w:rsidP="007D178F">
      <w:pPr>
        <w:pStyle w:val="NormalWeb"/>
        <w:rPr>
          <w:b/>
          <w:bCs/>
        </w:rPr>
      </w:pPr>
      <w:r w:rsidRPr="005E4BB8">
        <w:rPr>
          <w:b/>
          <w:bCs/>
        </w:rPr>
        <w:t>Legal Lesson Learned</w:t>
      </w:r>
      <w:r>
        <w:rPr>
          <w:b/>
          <w:bCs/>
        </w:rPr>
        <w:t xml:space="preserve">: No constitutional violations, but training in a partially occupied apartment building presenting some obvious “challenges” for training officers and the participating firefighters. </w:t>
      </w:r>
    </w:p>
    <w:p w14:paraId="6B12B880" w14:textId="77777777" w:rsidR="007D178F" w:rsidRDefault="007D178F" w:rsidP="002B1283">
      <w:pPr>
        <w:rPr>
          <w:rStyle w:val="Hyperlink"/>
          <w:rFonts w:ascii="Arial Black" w:hAnsi="Arial Black"/>
          <w:b/>
          <w:color w:val="auto"/>
          <w:sz w:val="24"/>
          <w:szCs w:val="24"/>
          <w:u w:val="none"/>
        </w:rPr>
      </w:pPr>
    </w:p>
    <w:p w14:paraId="63155450" w14:textId="77777777" w:rsidR="007D178F" w:rsidRDefault="007D178F" w:rsidP="002B1283">
      <w:pPr>
        <w:rPr>
          <w:rStyle w:val="Hyperlink"/>
          <w:rFonts w:ascii="Arial Black" w:hAnsi="Arial Black"/>
          <w:b/>
          <w:color w:val="auto"/>
          <w:sz w:val="24"/>
          <w:szCs w:val="24"/>
          <w:u w:val="none"/>
        </w:rPr>
      </w:pPr>
    </w:p>
    <w:p w14:paraId="6606C8A5" w14:textId="483CE476" w:rsidR="007D178F" w:rsidRDefault="007D178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4-11</w:t>
      </w:r>
    </w:p>
    <w:p w14:paraId="1D24AEDF" w14:textId="77777777" w:rsidR="007D178F" w:rsidRPr="003E0282" w:rsidRDefault="007D178F" w:rsidP="007D178F">
      <w:pPr>
        <w:pStyle w:val="NoSpacing"/>
        <w:rPr>
          <w:rFonts w:ascii="Arial Black" w:hAnsi="Arial Black"/>
          <w:sz w:val="28"/>
          <w:szCs w:val="28"/>
        </w:rPr>
      </w:pPr>
      <w:bookmarkStart w:id="176" w:name="_Hlk66942804"/>
      <w:r>
        <w:rPr>
          <w:rFonts w:ascii="Arial Black" w:hAnsi="Arial Black"/>
          <w:sz w:val="28"/>
          <w:szCs w:val="28"/>
        </w:rPr>
        <w:t>NY: PAPER MILL FIRE – DECK GUN – DISCHARGED OVER TOP OF HYDROELECTRIC FACILITY – NO LIABILITY FOR DAMAGE</w:t>
      </w:r>
    </w:p>
    <w:p w14:paraId="235564E6" w14:textId="77777777" w:rsidR="007D178F" w:rsidRDefault="007D178F" w:rsidP="007D178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Nov. 25, 2020, in </w:t>
      </w:r>
      <w:r w:rsidRPr="003E0282">
        <w:rPr>
          <w:rFonts w:ascii="Times New Roman" w:eastAsia="Times New Roman" w:hAnsi="Times New Roman"/>
          <w:sz w:val="24"/>
          <w:szCs w:val="24"/>
          <w:u w:val="single"/>
        </w:rPr>
        <w:t>Stevens &amp; Thompson Paper Company, Inc. v. Middle Falls Fire Department, Inc.</w:t>
      </w:r>
      <w:r>
        <w:rPr>
          <w:rFonts w:ascii="Times New Roman" w:eastAsia="Times New Roman" w:hAnsi="Times New Roman"/>
          <w:sz w:val="24"/>
          <w:szCs w:val="24"/>
          <w:u w:val="single"/>
        </w:rPr>
        <w:t>, et al</w:t>
      </w:r>
      <w:r>
        <w:rPr>
          <w:rFonts w:ascii="Times New Roman" w:eastAsia="Times New Roman" w:hAnsi="Times New Roman"/>
          <w:sz w:val="24"/>
          <w:szCs w:val="24"/>
        </w:rPr>
        <w:t xml:space="preserve">, the Appellate Division of the Supreme Court of the State of New York, held (5 to 0) that the trial court properly granted summary judgment to the FD and the </w:t>
      </w:r>
      <w:r w:rsidRPr="003E0282">
        <w:rPr>
          <w:rFonts w:ascii="Times New Roman" w:eastAsia="Times New Roman" w:hAnsi="Times New Roman"/>
          <w:sz w:val="24"/>
          <w:szCs w:val="24"/>
        </w:rPr>
        <w:t>Village of Greenwich, and the Town of Greenwich</w:t>
      </w:r>
      <w:r>
        <w:rPr>
          <w:rFonts w:ascii="Times New Roman" w:eastAsia="Times New Roman" w:hAnsi="Times New Roman"/>
          <w:sz w:val="24"/>
          <w:szCs w:val="24"/>
        </w:rPr>
        <w:t xml:space="preserve"> under the governmental immunity doctrine.</w:t>
      </w:r>
    </w:p>
    <w:bookmarkEnd w:id="176"/>
    <w:p w14:paraId="1E0C94C3"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902E58">
        <w:rPr>
          <w:rFonts w:ascii="Times New Roman" w:hAnsi="Times New Roman"/>
          <w:sz w:val="24"/>
          <w:szCs w:val="24"/>
        </w:rPr>
        <w:t xml:space="preserve">The key issue is therefore whether the fire department defendants' purportedly negligent acts — choosing to use the deck gun and aim it in a direction that caused a rain to fall around the powerhouse — were discretionary in that they arose from </w:t>
      </w:r>
      <w:r>
        <w:rPr>
          <w:rFonts w:ascii="Times New Roman" w:hAnsi="Times New Roman"/>
          <w:sz w:val="24"/>
          <w:szCs w:val="24"/>
        </w:rPr>
        <w:t>‘</w:t>
      </w:r>
      <w:r w:rsidRPr="00902E58">
        <w:rPr>
          <w:rFonts w:ascii="Times New Roman" w:hAnsi="Times New Roman"/>
          <w:sz w:val="24"/>
          <w:szCs w:val="24"/>
        </w:rPr>
        <w:t>the exercise of reasoned judgment which could typically produce different acceptable results</w:t>
      </w:r>
      <w:r>
        <w:rPr>
          <w:rFonts w:ascii="Times New Roman" w:hAnsi="Times New Roman"/>
          <w:sz w:val="24"/>
          <w:szCs w:val="24"/>
        </w:rPr>
        <w:t>’</w:t>
      </w:r>
      <w:r w:rsidRPr="00902E58">
        <w:rPr>
          <w:rFonts w:ascii="Times New Roman" w:hAnsi="Times New Roman"/>
          <w:sz w:val="24"/>
          <w:szCs w:val="24"/>
        </w:rPr>
        <w:t xml:space="preserve"> (</w:t>
      </w:r>
      <w:r w:rsidRPr="00902E58">
        <w:rPr>
          <w:rFonts w:ascii="Times New Roman" w:hAnsi="Times New Roman"/>
          <w:i/>
          <w:iCs/>
          <w:sz w:val="24"/>
          <w:szCs w:val="24"/>
        </w:rPr>
        <w:t>Tango v Tulevech</w:t>
      </w:r>
      <w:r w:rsidRPr="00902E58">
        <w:rPr>
          <w:rFonts w:ascii="Times New Roman" w:hAnsi="Times New Roman"/>
          <w:sz w:val="24"/>
          <w:szCs w:val="24"/>
        </w:rPr>
        <w:t xml:space="preserve">, 61 NY2d 34, 4). </w:t>
      </w:r>
    </w:p>
    <w:p w14:paraId="63B3C212" w14:textId="77777777" w:rsidR="007D178F" w:rsidRDefault="007D178F" w:rsidP="007D178F">
      <w:pPr>
        <w:pStyle w:val="NoSpacing"/>
        <w:ind w:left="720"/>
        <w:rPr>
          <w:rFonts w:ascii="Times New Roman" w:hAnsi="Times New Roman"/>
          <w:sz w:val="24"/>
          <w:szCs w:val="24"/>
        </w:rPr>
      </w:pPr>
    </w:p>
    <w:p w14:paraId="02292674" w14:textId="77777777" w:rsidR="007D178F" w:rsidRDefault="007D178F" w:rsidP="007D178F">
      <w:pPr>
        <w:pStyle w:val="NoSpacing"/>
        <w:ind w:left="720"/>
        <w:rPr>
          <w:rFonts w:ascii="Times New Roman" w:hAnsi="Times New Roman"/>
          <w:sz w:val="24"/>
          <w:szCs w:val="24"/>
        </w:rPr>
      </w:pPr>
      <w:r w:rsidRPr="00902E58">
        <w:rPr>
          <w:rFonts w:ascii="Times New Roman" w:hAnsi="Times New Roman"/>
          <w:sz w:val="24"/>
          <w:szCs w:val="24"/>
        </w:rPr>
        <w:t xml:space="preserve">*** </w:t>
      </w:r>
    </w:p>
    <w:p w14:paraId="21999CE5" w14:textId="7FB4D18E" w:rsidR="007D178F" w:rsidRDefault="007D178F" w:rsidP="007D178F">
      <w:pPr>
        <w:rPr>
          <w:rStyle w:val="Hyperlink"/>
          <w:rFonts w:ascii="Arial Black" w:hAnsi="Arial Black"/>
          <w:b/>
          <w:color w:val="auto"/>
          <w:sz w:val="24"/>
          <w:szCs w:val="24"/>
          <w:u w:val="none"/>
        </w:rPr>
      </w:pPr>
      <w:r w:rsidRPr="00902E58">
        <w:rPr>
          <w:rFonts w:ascii="Times New Roman" w:hAnsi="Times New Roman"/>
          <w:sz w:val="24"/>
          <w:szCs w:val="24"/>
        </w:rPr>
        <w:t xml:space="preserve">Moreover, although the selected direction of the deck gun caused </w:t>
      </w:r>
      <w:proofErr w:type="gramStart"/>
      <w:r w:rsidRPr="00902E58">
        <w:rPr>
          <w:rFonts w:ascii="Times New Roman" w:hAnsi="Times New Roman"/>
          <w:sz w:val="24"/>
          <w:szCs w:val="24"/>
        </w:rPr>
        <w:t>a rain</w:t>
      </w:r>
      <w:proofErr w:type="gramEnd"/>
      <w:r w:rsidRPr="00902E58">
        <w:rPr>
          <w:rFonts w:ascii="Times New Roman" w:hAnsi="Times New Roman"/>
          <w:sz w:val="24"/>
          <w:szCs w:val="24"/>
        </w:rPr>
        <w:t xml:space="preserve"> or mist to fall upon the powerhouse when it was in use, the firefighters had no reason to anticipate that this would affect the interior of the powerhouse. A surveillance video of the area shows wet ground, but no flooding, and it appears that </w:t>
      </w:r>
      <w:proofErr w:type="gramStart"/>
      <w:r w:rsidRPr="00902E58">
        <w:rPr>
          <w:rFonts w:ascii="Times New Roman" w:hAnsi="Times New Roman"/>
          <w:sz w:val="24"/>
          <w:szCs w:val="24"/>
        </w:rPr>
        <w:t>water that</w:t>
      </w:r>
      <w:proofErr w:type="gramEnd"/>
      <w:r w:rsidRPr="00902E58">
        <w:rPr>
          <w:rFonts w:ascii="Times New Roman" w:hAnsi="Times New Roman"/>
          <w:sz w:val="24"/>
          <w:szCs w:val="24"/>
        </w:rPr>
        <w:t xml:space="preserve"> drained into an outdoor catch basin as designed then seeped into the powerhouse through a masonry joint. Further, although one could reasonably question the efficacy of the firefighters' efforts to reorient the deck gun once they learned of that problem, the efficacy of those efforts </w:t>
      </w:r>
      <w:proofErr w:type="gramStart"/>
      <w:r w:rsidRPr="00902E58">
        <w:rPr>
          <w:rFonts w:ascii="Times New Roman" w:hAnsi="Times New Roman"/>
          <w:sz w:val="24"/>
          <w:szCs w:val="24"/>
        </w:rPr>
        <w:t>are</w:t>
      </w:r>
      <w:proofErr w:type="gramEnd"/>
      <w:r w:rsidRPr="00902E58">
        <w:rPr>
          <w:rFonts w:ascii="Times New Roman" w:hAnsi="Times New Roman"/>
          <w:sz w:val="24"/>
          <w:szCs w:val="24"/>
        </w:rPr>
        <w:t xml:space="preserve"> irrelevant given that their activities caused no further seepage into the powerhouse</w:t>
      </w:r>
      <w:r>
        <w:rPr>
          <w:rFonts w:ascii="Times New Roman" w:hAnsi="Times New Roman"/>
          <w:sz w:val="24"/>
          <w:szCs w:val="24"/>
        </w:rPr>
        <w:t xml:space="preserve">.” </w:t>
      </w:r>
      <w:bookmarkStart w:id="177" w:name="_Hlk66942827"/>
      <w:r w:rsidR="00F00958">
        <w:fldChar w:fldCharType="begin"/>
      </w:r>
      <w:r w:rsidR="00F00958">
        <w:instrText xml:space="preserve"> HYPERLINK "http://decisions.courts.state.ny.us/ad3/Decisions/2020/529718.pdf" </w:instrText>
      </w:r>
      <w:r w:rsidR="00F00958">
        <w:fldChar w:fldCharType="separate"/>
      </w:r>
      <w:r w:rsidRPr="00695F3D">
        <w:rPr>
          <w:rStyle w:val="Hyperlink"/>
          <w:rFonts w:ascii="Times New Roman" w:hAnsi="Times New Roman"/>
          <w:sz w:val="24"/>
          <w:szCs w:val="24"/>
        </w:rPr>
        <w:t>http://decisions.courts.state.ny.us/ad3/Decisions/2020/529718.pdf</w:t>
      </w:r>
      <w:r w:rsidR="00F00958">
        <w:rPr>
          <w:rStyle w:val="Hyperlink"/>
          <w:rFonts w:ascii="Times New Roman" w:hAnsi="Times New Roman"/>
          <w:sz w:val="24"/>
          <w:szCs w:val="24"/>
        </w:rPr>
        <w:fldChar w:fldCharType="end"/>
      </w:r>
    </w:p>
    <w:p w14:paraId="1FD92A1D" w14:textId="77777777" w:rsidR="007D178F" w:rsidRPr="00902E58" w:rsidRDefault="007D178F" w:rsidP="007D178F">
      <w:pPr>
        <w:pStyle w:val="NoSpacing"/>
        <w:rPr>
          <w:rFonts w:ascii="Times New Roman" w:hAnsi="Times New Roman"/>
          <w:b/>
          <w:bCs/>
          <w:sz w:val="24"/>
          <w:szCs w:val="24"/>
        </w:rPr>
      </w:pPr>
      <w:r w:rsidRPr="00902E58">
        <w:rPr>
          <w:rFonts w:ascii="Times New Roman" w:hAnsi="Times New Roman"/>
          <w:b/>
          <w:bCs/>
          <w:sz w:val="24"/>
          <w:szCs w:val="24"/>
        </w:rPr>
        <w:t xml:space="preserve">Legal Lesson Learned:  Discretionary acts by fire department are protected by governmental immunity. </w:t>
      </w:r>
    </w:p>
    <w:bookmarkEnd w:id="177"/>
    <w:p w14:paraId="69314B50" w14:textId="77777777" w:rsidR="007D178F" w:rsidRDefault="007D178F" w:rsidP="007D178F">
      <w:pPr>
        <w:pStyle w:val="NoSpacing"/>
        <w:rPr>
          <w:rFonts w:ascii="Times New Roman" w:hAnsi="Times New Roman"/>
          <w:sz w:val="24"/>
          <w:szCs w:val="24"/>
        </w:rPr>
      </w:pPr>
    </w:p>
    <w:p w14:paraId="6213E884" w14:textId="77777777" w:rsidR="007D178F" w:rsidRDefault="007D178F" w:rsidP="002B1283">
      <w:pPr>
        <w:rPr>
          <w:rStyle w:val="Hyperlink"/>
          <w:rFonts w:ascii="Arial Black" w:hAnsi="Arial Black"/>
          <w:b/>
          <w:color w:val="auto"/>
          <w:sz w:val="24"/>
          <w:szCs w:val="24"/>
          <w:u w:val="none"/>
        </w:rPr>
      </w:pPr>
    </w:p>
    <w:p w14:paraId="3D84C96F" w14:textId="2D4C4586" w:rsidR="00DD03E3" w:rsidRDefault="00DD03E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4-10</w:t>
      </w:r>
    </w:p>
    <w:p w14:paraId="22CD24AA" w14:textId="77777777" w:rsidR="00DD03E3" w:rsidRPr="00E0368C" w:rsidRDefault="00DD03E3" w:rsidP="00DD03E3">
      <w:pPr>
        <w:pStyle w:val="Heading1"/>
        <w:rPr>
          <w:rFonts w:ascii="Arial Black" w:hAnsi="Arial Black"/>
          <w:b w:val="0"/>
          <w:sz w:val="28"/>
          <w:szCs w:val="28"/>
        </w:rPr>
      </w:pPr>
      <w:bookmarkStart w:id="178" w:name="_Hlk66942878"/>
      <w:r>
        <w:rPr>
          <w:rStyle w:val="font-weight-bold"/>
          <w:rFonts w:ascii="Arial Black" w:eastAsiaTheme="majorEastAsia" w:hAnsi="Arial Black"/>
          <w:sz w:val="28"/>
          <w:szCs w:val="28"/>
        </w:rPr>
        <w:t>CA: KOBE BRYANT DEATH – NEW CA STATUTE – CRIME FOR EMERGENCY RESPONDERS TAKE PHOTOS WITH PERSONAL DEVICES</w:t>
      </w:r>
    </w:p>
    <w:p w14:paraId="3304462E" w14:textId="77777777" w:rsidR="00DD03E3" w:rsidRPr="00E0368C" w:rsidRDefault="00DD03E3" w:rsidP="00DD03E3">
      <w:pPr>
        <w:pStyle w:val="NormalWeb"/>
        <w:rPr>
          <w:bCs/>
        </w:rPr>
      </w:pPr>
      <w:r w:rsidRPr="00E0368C">
        <w:rPr>
          <w:bCs/>
        </w:rPr>
        <w:t xml:space="preserve">Sept. 28, 2020: CA - Gov. Newsom Signs New Law Prompted </w:t>
      </w:r>
      <w:proofErr w:type="gramStart"/>
      <w:r w:rsidRPr="00E0368C">
        <w:rPr>
          <w:bCs/>
        </w:rPr>
        <w:t>By</w:t>
      </w:r>
      <w:proofErr w:type="gramEnd"/>
      <w:r w:rsidRPr="00E0368C">
        <w:rPr>
          <w:bCs/>
        </w:rPr>
        <w:t xml:space="preserve"> Photo Scandal </w:t>
      </w:r>
      <w:proofErr w:type="gramStart"/>
      <w:r w:rsidRPr="00E0368C">
        <w:rPr>
          <w:bCs/>
        </w:rPr>
        <w:t>In</w:t>
      </w:r>
      <w:proofErr w:type="gramEnd"/>
      <w:r w:rsidRPr="00E0368C">
        <w:rPr>
          <w:bCs/>
        </w:rPr>
        <w:t xml:space="preserve"> Crash That Killed Kobe Bryant, 8 Others </w:t>
      </w:r>
      <w:proofErr w:type="gramStart"/>
      <w:r w:rsidRPr="00E0368C">
        <w:rPr>
          <w:bCs/>
        </w:rPr>
        <w:t>In</w:t>
      </w:r>
      <w:proofErr w:type="gramEnd"/>
      <w:r w:rsidRPr="00E0368C">
        <w:rPr>
          <w:bCs/>
        </w:rPr>
        <w:t xml:space="preserve"> Calabasas - Gov. Gavin Newsom has approved legislation prompted by the helicopter crash that killed Kobe Bryant and eight others in Calabasas earlier this year. The bill </w:t>
      </w:r>
      <w:proofErr w:type="gramStart"/>
      <w:r w:rsidRPr="00E0368C">
        <w:rPr>
          <w:bCs/>
        </w:rPr>
        <w:t>signed</w:t>
      </w:r>
      <w:proofErr w:type="gramEnd"/>
      <w:r w:rsidRPr="00E0368C">
        <w:rPr>
          <w:bCs/>
        </w:rPr>
        <w:t xml:space="preserve"> Monday makes it a crime for first responders to take unauthorized photos of deceased people at the scene of an accident or crime.  Reports surfaced after the Jan. 26 crash that graphic photos of the victims were being shared by eight deputies.  Los Angeles County Sheriff Alex Villanueva said the department has a policy against taking and sharing crime scene photos, but it does not apply to accident scenes. Vanessa </w:t>
      </w:r>
      <w:hyperlink r:id="rId949" w:history="1">
        <w:r w:rsidRPr="00E0368C">
          <w:rPr>
            <w:rStyle w:val="Hyperlink"/>
            <w:rFonts w:eastAsiaTheme="majorEastAsia"/>
            <w:bCs/>
          </w:rPr>
          <w:t>Bryant has sued the sheriff</w:t>
        </w:r>
      </w:hyperlink>
      <w:r w:rsidRPr="00E0368C">
        <w:rPr>
          <w:bCs/>
        </w:rPr>
        <w:t xml:space="preserve"> in a lawsuit seeking damages for negligence, invasion of privacy and intentional infliction of emotional distress. </w:t>
      </w:r>
      <w:hyperlink r:id="rId950" w:history="1">
        <w:r w:rsidRPr="00E0368C">
          <w:rPr>
            <w:rStyle w:val="Hyperlink"/>
            <w:bCs/>
          </w:rPr>
          <w:t>https://ktla.com/news/local-news/gov-newsom-signs-new-law-prompted-by-photo-scandal-in-crash-that-killed-kobe-bryant-8-others-in-calabasas/</w:t>
        </w:r>
      </w:hyperlink>
      <w:r w:rsidRPr="00E0368C">
        <w:rPr>
          <w:bCs/>
        </w:rPr>
        <w:t xml:space="preserve"> </w:t>
      </w:r>
    </w:p>
    <w:p w14:paraId="460523EF" w14:textId="77777777" w:rsidR="00DD03E3" w:rsidRPr="00E0368C" w:rsidRDefault="00DD03E3" w:rsidP="00DD03E3">
      <w:pPr>
        <w:pStyle w:val="NormalWeb"/>
        <w:ind w:left="720"/>
      </w:pPr>
      <w:r w:rsidRPr="00E0368C">
        <w:t xml:space="preserve">CA Law: 647.9:  (a) A first responder, operating under color of authority, who responds to the scene of an accident or crime and captures the photographic image of a deceased person by any means, including, but not limited to, by use of a personal electronic device or a device belonging to their employing agency, for any purpose other than an official law enforcement purpose or a genuine public interest is guilty of a misdemeanor punishable by a fine not exceeding one thousand dollars ($1,000) per violation. </w:t>
      </w:r>
      <w:hyperlink r:id="rId951" w:history="1">
        <w:r w:rsidRPr="00987F62">
          <w:rPr>
            <w:rStyle w:val="Hyperlink"/>
          </w:rPr>
          <w:t>https://leginfo.legislature.ca.gov/faces/billTextClient.xhtml?bill_id=201920200AB2655</w:t>
        </w:r>
      </w:hyperlink>
      <w:r w:rsidRPr="00E0368C">
        <w:t xml:space="preserve"> </w:t>
      </w:r>
    </w:p>
    <w:p w14:paraId="4E405DC4"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bookmarkStart w:id="179" w:name="_Hlk66942912"/>
      <w:bookmarkEnd w:id="178"/>
      <w:r>
        <w:rPr>
          <w:rFonts w:ascii="Times New Roman" w:eastAsia="Times New Roman" w:hAnsi="Times New Roman"/>
          <w:b/>
          <w:bCs/>
          <w:sz w:val="24"/>
          <w:szCs w:val="24"/>
        </w:rPr>
        <w:t xml:space="preserve">Legal Lesson Learned:  Fire &amp; EMS departments should have a policy or SOG regarding taking photos at scenes. </w:t>
      </w:r>
    </w:p>
    <w:p w14:paraId="4DDC9857" w14:textId="165A0F28" w:rsidR="00DD03E3" w:rsidRPr="00DD03E3" w:rsidRDefault="00DD03E3" w:rsidP="00DD03E3">
      <w:pPr>
        <w:ind w:left="720"/>
        <w:rPr>
          <w:rStyle w:val="Hyperlink"/>
          <w:rFonts w:ascii="Times New Roman" w:hAnsi="Times New Roman"/>
          <w:b/>
          <w:color w:val="auto"/>
          <w:sz w:val="24"/>
          <w:szCs w:val="24"/>
          <w:u w:val="none"/>
        </w:rPr>
      </w:pPr>
      <w:r w:rsidRPr="00DD03E3">
        <w:rPr>
          <w:rFonts w:ascii="Times New Roman" w:hAnsi="Times New Roman"/>
          <w:sz w:val="24"/>
          <w:szCs w:val="24"/>
        </w:rPr>
        <w:t xml:space="preserve">For example, see Yakima County, WA Fire District 12 policy: “All personnel are permitted to photograph an incident scene so long as the photograph is taken with a </w:t>
      </w:r>
      <w:proofErr w:type="gramStart"/>
      <w:r w:rsidRPr="00DD03E3">
        <w:rPr>
          <w:rFonts w:ascii="Times New Roman" w:hAnsi="Times New Roman"/>
          <w:sz w:val="24"/>
          <w:szCs w:val="24"/>
        </w:rPr>
        <w:t>Department</w:t>
      </w:r>
      <w:proofErr w:type="gramEnd"/>
      <w:r w:rsidRPr="00DD03E3">
        <w:rPr>
          <w:rFonts w:ascii="Times New Roman" w:hAnsi="Times New Roman"/>
          <w:sz w:val="24"/>
          <w:szCs w:val="24"/>
        </w:rPr>
        <w:t xml:space="preserve"> issued camera. a. Personal devices: cell phone cameras, video cameras, digital cameras and film cameras are not permitted to take on scene photos at any time by any member.” </w:t>
      </w:r>
      <w:hyperlink r:id="rId952" w:history="1">
        <w:r w:rsidRPr="00DD03E3">
          <w:rPr>
            <w:rStyle w:val="Hyperlink"/>
            <w:rFonts w:ascii="Times New Roman" w:hAnsi="Times New Roman"/>
            <w:sz w:val="24"/>
            <w:szCs w:val="24"/>
          </w:rPr>
          <w:t>http://www.westvalleyfire.com/default.asp?pageid=188&amp;deptid=1</w:t>
        </w:r>
      </w:hyperlink>
    </w:p>
    <w:bookmarkEnd w:id="179"/>
    <w:p w14:paraId="20092EC1" w14:textId="77777777" w:rsidR="00DD03E3" w:rsidRDefault="00DD03E3" w:rsidP="002B1283">
      <w:pPr>
        <w:rPr>
          <w:rStyle w:val="Hyperlink"/>
          <w:rFonts w:ascii="Arial Black" w:hAnsi="Arial Black"/>
          <w:b/>
          <w:color w:val="auto"/>
          <w:sz w:val="24"/>
          <w:szCs w:val="24"/>
          <w:u w:val="none"/>
        </w:rPr>
      </w:pPr>
    </w:p>
    <w:p w14:paraId="68A820C6" w14:textId="77777777" w:rsidR="00DD03E3" w:rsidRDefault="00DD03E3" w:rsidP="002B1283">
      <w:pPr>
        <w:rPr>
          <w:rStyle w:val="Hyperlink"/>
          <w:rFonts w:ascii="Arial Black" w:hAnsi="Arial Black"/>
          <w:b/>
          <w:color w:val="auto"/>
          <w:sz w:val="24"/>
          <w:szCs w:val="24"/>
          <w:u w:val="none"/>
        </w:rPr>
      </w:pPr>
    </w:p>
    <w:p w14:paraId="06E98AA9" w14:textId="1B536075" w:rsidR="00C630E7" w:rsidRDefault="00C630E7"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4-9</w:t>
      </w:r>
    </w:p>
    <w:p w14:paraId="1CD9C302" w14:textId="77777777" w:rsidR="00C630E7" w:rsidRDefault="00C630E7" w:rsidP="00C630E7">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MD: PG COUNTY FIRE CHIEF – BATTALION CHIEFS TO OUTRANK VOLUNTEER CO. CHIEF - AUTHORIZED</w:t>
      </w:r>
    </w:p>
    <w:p w14:paraId="691ADB65" w14:textId="77777777" w:rsidR="00C630E7" w:rsidRDefault="00C630E7" w:rsidP="00C630E7">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4, 2020, in Prince George’s Volunteer Fire </w:t>
      </w:r>
      <w:proofErr w:type="gramStart"/>
      <w:r>
        <w:rPr>
          <w:rFonts w:ascii="Times New Roman" w:hAnsi="Times New Roman"/>
          <w:sz w:val="24"/>
          <w:szCs w:val="24"/>
        </w:rPr>
        <w:t>And</w:t>
      </w:r>
      <w:proofErr w:type="gramEnd"/>
      <w:r>
        <w:rPr>
          <w:rFonts w:ascii="Times New Roman" w:hAnsi="Times New Roman"/>
          <w:sz w:val="24"/>
          <w:szCs w:val="24"/>
        </w:rPr>
        <w:t xml:space="preserve"> Rescue Association, Inc. v. Prince George’s County, Maryland, the Court of Special Appeals of Maryland, held (3 to 0; unreported decision) that the County Fire Chief had the authority in 2016 to issue revised General Order 01-03 that elevated the rank of County Battalion Chiefs, over that of Chiefs of volunteer fire companies.   </w:t>
      </w:r>
    </w:p>
    <w:p w14:paraId="465FB052" w14:textId="77777777" w:rsidR="00C630E7" w:rsidRDefault="00C630E7" w:rsidP="00C630E7">
      <w:pPr>
        <w:spacing w:after="100" w:line="240" w:lineRule="auto"/>
        <w:ind w:left="720"/>
        <w:rPr>
          <w:rFonts w:ascii="Times New Roman" w:eastAsia="Times New Roman" w:hAnsi="Times New Roman"/>
          <w:sz w:val="24"/>
          <w:szCs w:val="24"/>
        </w:rPr>
      </w:pPr>
      <w:r>
        <w:rPr>
          <w:rFonts w:ascii="Times New Roman" w:hAnsi="Times New Roman"/>
          <w:sz w:val="24"/>
          <w:szCs w:val="24"/>
        </w:rPr>
        <w:t xml:space="preserve">“Ultimately, PGCVFRA failed to sufficiently allege that it suffered irreparable injury through the Fire Chief's revision of General Order 01-03 and its amendment of the chain of command. As noted in our discussion on PGCVFRA's governmental </w:t>
      </w:r>
      <w:proofErr w:type="gramStart"/>
      <w:r>
        <w:rPr>
          <w:rFonts w:ascii="Times New Roman" w:hAnsi="Times New Roman"/>
          <w:sz w:val="24"/>
          <w:szCs w:val="24"/>
        </w:rPr>
        <w:t>takings</w:t>
      </w:r>
      <w:proofErr w:type="gramEnd"/>
      <w:r>
        <w:rPr>
          <w:rFonts w:ascii="Times New Roman" w:hAnsi="Times New Roman"/>
          <w:sz w:val="24"/>
          <w:szCs w:val="24"/>
        </w:rPr>
        <w:t xml:space="preserve"> claim, PGCVFRA failed to establish any sort of injury. Its claims regarding potential injury are hypothetical, speculative, and depend on future—uncertain—conduct that PGCVFRA alleges the County may undertake. The speculative nature of these complaints is apparent, and these ‘mere allegations’ are insufficient to ground PGCVFRA's claim for permanent injunctive relief.” </w:t>
      </w:r>
      <w:hyperlink r:id="rId953"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5456B139" w14:textId="1ACD305B" w:rsidR="00C630E7" w:rsidRDefault="00C630E7" w:rsidP="002B1283">
      <w:pPr>
        <w:rPr>
          <w:rStyle w:val="Hyperlink"/>
          <w:rFonts w:ascii="Arial Black" w:hAnsi="Arial Black"/>
          <w:b/>
          <w:color w:val="auto"/>
          <w:sz w:val="24"/>
          <w:szCs w:val="24"/>
          <w:u w:val="none"/>
        </w:rPr>
      </w:pPr>
    </w:p>
    <w:p w14:paraId="35CD32C0" w14:textId="77777777" w:rsidR="00557CA2" w:rsidRDefault="00557CA2" w:rsidP="00557CA2">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County Fire Chief has authority over firefighting and chain of command. </w:t>
      </w:r>
    </w:p>
    <w:p w14:paraId="1C20C1F3" w14:textId="77777777" w:rsidR="00557CA2" w:rsidRDefault="00557CA2" w:rsidP="00557CA2">
      <w:pPr>
        <w:spacing w:after="100" w:line="240" w:lineRule="auto"/>
        <w:rPr>
          <w:rFonts w:ascii="Times New Roman" w:eastAsia="Times New Roman" w:hAnsi="Times New Roman"/>
          <w:b/>
          <w:bCs/>
          <w:sz w:val="24"/>
          <w:szCs w:val="24"/>
        </w:rPr>
      </w:pPr>
    </w:p>
    <w:p w14:paraId="2FBD44B8" w14:textId="77777777" w:rsidR="00557CA2" w:rsidRDefault="00557CA2" w:rsidP="00557CA2">
      <w:pPr>
        <w:spacing w:after="100" w:line="240" w:lineRule="auto"/>
        <w:ind w:left="720"/>
        <w:rPr>
          <w:rFonts w:ascii="Times New Roman" w:eastAsiaTheme="minorHAnsi" w:hAnsi="Times New Roman"/>
          <w:sz w:val="24"/>
          <w:szCs w:val="24"/>
        </w:rPr>
      </w:pPr>
      <w:r>
        <w:rPr>
          <w:rFonts w:ascii="Times New Roman" w:eastAsia="Times New Roman" w:hAnsi="Times New Roman"/>
          <w:sz w:val="24"/>
          <w:szCs w:val="24"/>
        </w:rPr>
        <w:t xml:space="preserve">Note:  </w:t>
      </w:r>
      <w:r>
        <w:rPr>
          <w:rFonts w:ascii="Times New Roman" w:hAnsi="Times New Roman"/>
          <w:sz w:val="24"/>
          <w:szCs w:val="24"/>
        </w:rPr>
        <w:t>Under revised General Order 01-03, the relevant portion of the chain of command reads as follows:</w:t>
      </w:r>
    </w:p>
    <w:p w14:paraId="0B021E97" w14:textId="77777777" w:rsidR="00557CA2" w:rsidRDefault="00557CA2" w:rsidP="00557CA2">
      <w:pPr>
        <w:ind w:left="1440"/>
        <w:rPr>
          <w:rFonts w:ascii="Times New Roman" w:hAnsi="Times New Roman"/>
          <w:sz w:val="24"/>
          <w:szCs w:val="24"/>
        </w:rPr>
      </w:pPr>
      <w:r>
        <w:rPr>
          <w:rFonts w:ascii="Times New Roman" w:hAnsi="Times New Roman"/>
          <w:sz w:val="24"/>
          <w:szCs w:val="24"/>
        </w:rPr>
        <w:t>1. County Fire Chief</w:t>
      </w:r>
      <w:r>
        <w:rPr>
          <w:rFonts w:ascii="Times New Roman" w:hAnsi="Times New Roman"/>
          <w:sz w:val="24"/>
          <w:szCs w:val="24"/>
        </w:rPr>
        <w:br/>
        <w:t>2. Chief Deputy</w:t>
      </w:r>
      <w:r>
        <w:rPr>
          <w:rFonts w:ascii="Times New Roman" w:hAnsi="Times New Roman"/>
          <w:sz w:val="24"/>
          <w:szCs w:val="24"/>
        </w:rPr>
        <w:br/>
        <w:t>3. Deputy Fire Chief</w:t>
      </w:r>
      <w:r>
        <w:rPr>
          <w:rFonts w:ascii="Times New Roman" w:hAnsi="Times New Roman"/>
          <w:sz w:val="24"/>
          <w:szCs w:val="24"/>
        </w:rPr>
        <w:br/>
        <w:t>4. Assistant Fire Chief, Career/Volunteer</w:t>
      </w:r>
      <w:r>
        <w:rPr>
          <w:rFonts w:ascii="Times New Roman" w:hAnsi="Times New Roman"/>
          <w:sz w:val="24"/>
          <w:szCs w:val="24"/>
        </w:rPr>
        <w:br/>
        <w:t>5. Battalion Chief, Career/Volunteer</w:t>
      </w:r>
      <w:r>
        <w:rPr>
          <w:rFonts w:ascii="Times New Roman" w:hAnsi="Times New Roman"/>
          <w:sz w:val="24"/>
          <w:szCs w:val="24"/>
        </w:rPr>
        <w:br/>
        <w:t xml:space="preserve">6. Volunteer Company Chief   </w:t>
      </w:r>
    </w:p>
    <w:p w14:paraId="6B5C2EDD" w14:textId="77777777" w:rsidR="00557CA2" w:rsidRDefault="00557CA2" w:rsidP="00557CA2">
      <w:pPr>
        <w:ind w:left="720"/>
        <w:rPr>
          <w:rFonts w:ascii="Times New Roman" w:hAnsi="Times New Roman"/>
          <w:sz w:val="24"/>
          <w:szCs w:val="24"/>
        </w:rPr>
      </w:pPr>
      <w:r>
        <w:rPr>
          <w:rFonts w:ascii="Times New Roman" w:hAnsi="Times New Roman"/>
          <w:sz w:val="24"/>
          <w:szCs w:val="24"/>
        </w:rPr>
        <w:t xml:space="preserve">[Footnote 8 of the Court’s decision.] </w:t>
      </w:r>
      <w:hyperlink r:id="rId954"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4CC4D286" w14:textId="77777777" w:rsidR="00557CA2" w:rsidRDefault="00557CA2" w:rsidP="002B1283">
      <w:pPr>
        <w:rPr>
          <w:rStyle w:val="Hyperlink"/>
          <w:rFonts w:ascii="Arial Black" w:hAnsi="Arial Black"/>
          <w:b/>
          <w:color w:val="auto"/>
          <w:sz w:val="24"/>
          <w:szCs w:val="24"/>
          <w:u w:val="none"/>
        </w:rPr>
      </w:pPr>
    </w:p>
    <w:p w14:paraId="6D130E4F" w14:textId="77777777" w:rsidR="00C630E7" w:rsidRDefault="00C630E7" w:rsidP="002B1283">
      <w:pPr>
        <w:rPr>
          <w:rStyle w:val="Hyperlink"/>
          <w:rFonts w:ascii="Arial Black" w:hAnsi="Arial Black"/>
          <w:b/>
          <w:color w:val="auto"/>
          <w:sz w:val="24"/>
          <w:szCs w:val="24"/>
          <w:u w:val="none"/>
        </w:rPr>
      </w:pPr>
    </w:p>
    <w:p w14:paraId="15C2CB92" w14:textId="487935D5" w:rsidR="005F0E6D" w:rsidRDefault="005F0E6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4-8</w:t>
      </w:r>
    </w:p>
    <w:p w14:paraId="6C63B4BC" w14:textId="77777777" w:rsidR="005F0E6D" w:rsidRPr="003567B0" w:rsidRDefault="005F0E6D" w:rsidP="005F0E6D">
      <w:pPr>
        <w:pStyle w:val="NoSpacing"/>
        <w:rPr>
          <w:rFonts w:ascii="Arial Black" w:hAnsi="Arial Black"/>
          <w:b/>
          <w:bCs/>
          <w:sz w:val="28"/>
          <w:szCs w:val="28"/>
        </w:rPr>
      </w:pPr>
      <w:r w:rsidRPr="003567B0">
        <w:rPr>
          <w:rFonts w:ascii="Arial Black" w:hAnsi="Arial Black"/>
          <w:bCs/>
          <w:sz w:val="28"/>
          <w:szCs w:val="28"/>
        </w:rPr>
        <w:t>MD:</w:t>
      </w:r>
      <w:r>
        <w:rPr>
          <w:rFonts w:ascii="Arial Black" w:hAnsi="Arial Black"/>
          <w:bCs/>
          <w:sz w:val="28"/>
          <w:szCs w:val="28"/>
        </w:rPr>
        <w:t xml:space="preserve"> FREELANCING – OFF DUTY VOL. FF - STRUCTURE FIRE – FIRED – CAN’T APPEAL TO COUNTY PERSONNEL BOARD</w:t>
      </w:r>
    </w:p>
    <w:p w14:paraId="4819869C" w14:textId="77777777" w:rsidR="005F0E6D" w:rsidRDefault="005F0E6D" w:rsidP="005F0E6D">
      <w:pPr>
        <w:pStyle w:val="NoSpacing"/>
        <w:rPr>
          <w:rFonts w:ascii="Arial Black" w:hAnsi="Arial Black"/>
          <w:b/>
          <w:bCs/>
          <w:sz w:val="28"/>
          <w:szCs w:val="28"/>
        </w:rPr>
      </w:pPr>
    </w:p>
    <w:p w14:paraId="164DE152" w14:textId="77777777" w:rsidR="005F0E6D" w:rsidRPr="000A5D76" w:rsidRDefault="005F0E6D" w:rsidP="005F0E6D">
      <w:pPr>
        <w:pStyle w:val="NoSpacing"/>
        <w:rPr>
          <w:rFonts w:ascii="Times New Roman" w:hAnsi="Times New Roman"/>
          <w:b/>
          <w:bCs/>
          <w:sz w:val="24"/>
          <w:szCs w:val="24"/>
        </w:rPr>
      </w:pPr>
      <w:r w:rsidRPr="000A5D76">
        <w:rPr>
          <w:rFonts w:ascii="Times New Roman" w:hAnsi="Times New Roman"/>
          <w:bCs/>
          <w:sz w:val="24"/>
          <w:szCs w:val="24"/>
        </w:rPr>
        <w:t xml:space="preserve">On </w:t>
      </w:r>
      <w:bookmarkStart w:id="180" w:name="_Hlk39825854"/>
      <w:r w:rsidRPr="000A5D76">
        <w:rPr>
          <w:rFonts w:ascii="Times New Roman" w:hAnsi="Times New Roman"/>
          <w:bCs/>
          <w:sz w:val="24"/>
          <w:szCs w:val="24"/>
        </w:rPr>
        <w:t xml:space="preserve">April 9, 2020, in </w:t>
      </w:r>
      <w:r w:rsidRPr="000A5D76">
        <w:rPr>
          <w:rFonts w:ascii="Times New Roman" w:hAnsi="Times New Roman"/>
          <w:bCs/>
          <w:sz w:val="24"/>
          <w:szCs w:val="24"/>
          <w:u w:val="single"/>
        </w:rPr>
        <w:t xml:space="preserve">Ricardo Hinson v. Personnel Board </w:t>
      </w:r>
      <w:proofErr w:type="gramStart"/>
      <w:r w:rsidRPr="000A5D76">
        <w:rPr>
          <w:rFonts w:ascii="Times New Roman" w:hAnsi="Times New Roman"/>
          <w:bCs/>
          <w:sz w:val="24"/>
          <w:szCs w:val="24"/>
          <w:u w:val="single"/>
        </w:rPr>
        <w:t>Of</w:t>
      </w:r>
      <w:proofErr w:type="gramEnd"/>
      <w:r w:rsidRPr="000A5D76">
        <w:rPr>
          <w:rFonts w:ascii="Times New Roman" w:hAnsi="Times New Roman"/>
          <w:bCs/>
          <w:sz w:val="24"/>
          <w:szCs w:val="24"/>
          <w:u w:val="single"/>
        </w:rPr>
        <w:t xml:space="preserve"> Prince George’s County</w:t>
      </w:r>
      <w:bookmarkEnd w:id="180"/>
      <w:r w:rsidRPr="000A5D76">
        <w:rPr>
          <w:rFonts w:ascii="Times New Roman" w:hAnsi="Times New Roman"/>
          <w:bCs/>
          <w:sz w:val="24"/>
          <w:szCs w:val="24"/>
        </w:rPr>
        <w:t xml:space="preserve">,  the Court of Special Appeals of Maryland, held (3 to 0) in an unpublished opinion that the trial court properly dismissed the volunteer firefighter’s case; volunteers serve at will of FD, </w:t>
      </w:r>
      <w:proofErr w:type="gramStart"/>
      <w:r w:rsidRPr="000A5D76">
        <w:rPr>
          <w:rFonts w:ascii="Times New Roman" w:hAnsi="Times New Roman"/>
          <w:bCs/>
          <w:sz w:val="24"/>
          <w:szCs w:val="24"/>
        </w:rPr>
        <w:t>no right to</w:t>
      </w:r>
      <w:proofErr w:type="gramEnd"/>
      <w:r w:rsidRPr="000A5D76">
        <w:rPr>
          <w:rFonts w:ascii="Times New Roman" w:hAnsi="Times New Roman"/>
          <w:bCs/>
          <w:sz w:val="24"/>
          <w:szCs w:val="24"/>
        </w:rPr>
        <w:t xml:space="preserve"> hearing before County Personnel Board.   </w:t>
      </w:r>
    </w:p>
    <w:p w14:paraId="44C9C7AD" w14:textId="77777777" w:rsidR="005F0E6D" w:rsidRPr="000A5D76" w:rsidRDefault="005F0E6D" w:rsidP="005F0E6D">
      <w:pPr>
        <w:pStyle w:val="NoSpacing"/>
        <w:rPr>
          <w:rFonts w:ascii="Times New Roman" w:hAnsi="Times New Roman"/>
          <w:b/>
          <w:bCs/>
          <w:sz w:val="24"/>
          <w:szCs w:val="24"/>
        </w:rPr>
      </w:pPr>
    </w:p>
    <w:p w14:paraId="0BFE1D3B"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“The dispositive question in this case is whether the County Code has granted volunteer firefighters the right to appeal disciplinary actions to the Personnel Board. We agree with the County and the Personnel Board that Hinson, as a volunteer firefighter, was not a </w:t>
      </w:r>
      <w:proofErr w:type="gramStart"/>
      <w:r w:rsidRPr="000A5D76">
        <w:rPr>
          <w:rFonts w:ascii="Times New Roman" w:hAnsi="Times New Roman"/>
          <w:bCs/>
          <w:sz w:val="24"/>
          <w:szCs w:val="24"/>
        </w:rPr>
        <w:t>County</w:t>
      </w:r>
      <w:proofErr w:type="gramEnd"/>
      <w:r w:rsidRPr="000A5D76">
        <w:rPr>
          <w:rFonts w:ascii="Times New Roman" w:hAnsi="Times New Roman"/>
          <w:bCs/>
          <w:sz w:val="24"/>
          <w:szCs w:val="24"/>
        </w:rPr>
        <w:t xml:space="preserve"> employee who had the right to appeal a personnel decision to the Personnel Board. Consequently, the Personnel Board did not commit legal error in dismissing Hinson’s appeal.”</w:t>
      </w:r>
    </w:p>
    <w:bookmarkStart w:id="181" w:name="_Hlk39825871"/>
    <w:p w14:paraId="2EB40AB2" w14:textId="77777777" w:rsidR="005F0E6D" w:rsidRPr="000A5D76" w:rsidRDefault="00F2621E" w:rsidP="005F0E6D">
      <w:pPr>
        <w:pStyle w:val="NoSpacing"/>
        <w:ind w:left="720"/>
        <w:rPr>
          <w:rFonts w:ascii="Times New Roman" w:hAnsi="Times New Roman"/>
          <w:b/>
          <w:bCs/>
          <w:sz w:val="24"/>
          <w:szCs w:val="24"/>
        </w:rPr>
      </w:pPr>
      <w:r>
        <w:fldChar w:fldCharType="begin"/>
      </w:r>
      <w:r>
        <w:instrText xml:space="preserve"> HYPERLINK "https://www.courts.state.md.us/sites/default/files/unreported-opinions/1702s17.pdf" </w:instrText>
      </w:r>
      <w:r>
        <w:fldChar w:fldCharType="separate"/>
      </w:r>
      <w:r w:rsidR="005F0E6D" w:rsidRPr="000A5D76">
        <w:rPr>
          <w:rStyle w:val="Hyperlink"/>
          <w:rFonts w:ascii="Times New Roman" w:hAnsi="Times New Roman"/>
          <w:b/>
          <w:sz w:val="24"/>
          <w:szCs w:val="24"/>
        </w:rPr>
        <w:t>https://www.courts.state.md.us/sites/default/files/unreported-opinions/1702s17.pdf</w:t>
      </w:r>
      <w:r>
        <w:rPr>
          <w:rStyle w:val="Hyperlink"/>
          <w:rFonts w:ascii="Times New Roman" w:hAnsi="Times New Roman"/>
          <w:b/>
          <w:sz w:val="24"/>
          <w:szCs w:val="24"/>
        </w:rPr>
        <w:fldChar w:fldCharType="end"/>
      </w:r>
      <w:r w:rsidR="005F0E6D" w:rsidRPr="000A5D76">
        <w:rPr>
          <w:rFonts w:ascii="Times New Roman" w:hAnsi="Times New Roman"/>
          <w:bCs/>
          <w:sz w:val="24"/>
          <w:szCs w:val="24"/>
        </w:rPr>
        <w:t xml:space="preserve"> </w:t>
      </w:r>
    </w:p>
    <w:bookmarkEnd w:id="181"/>
    <w:p w14:paraId="2C7678E7" w14:textId="77777777" w:rsidR="005F0E6D" w:rsidRDefault="005F0E6D" w:rsidP="005F0E6D">
      <w:pPr>
        <w:pStyle w:val="NoSpacing"/>
        <w:rPr>
          <w:rFonts w:ascii="Times New Roman" w:hAnsi="Times New Roman"/>
          <w:b/>
          <w:bCs/>
          <w:sz w:val="24"/>
          <w:szCs w:val="24"/>
        </w:rPr>
      </w:pPr>
    </w:p>
    <w:p w14:paraId="40ED5A38" w14:textId="75D2A0F9" w:rsidR="005F0E6D" w:rsidRPr="000A5D76" w:rsidRDefault="005F0E6D" w:rsidP="005F0E6D">
      <w:pPr>
        <w:pStyle w:val="NoSpacing"/>
        <w:rPr>
          <w:rFonts w:ascii="Times New Roman" w:hAnsi="Times New Roman"/>
          <w:b/>
          <w:bCs/>
          <w:sz w:val="24"/>
          <w:szCs w:val="24"/>
        </w:rPr>
      </w:pPr>
      <w:bookmarkStart w:id="182" w:name="_Hlk40509659"/>
      <w:r w:rsidRPr="000A5D76">
        <w:rPr>
          <w:rFonts w:ascii="Times New Roman" w:hAnsi="Times New Roman"/>
          <w:b/>
          <w:bCs/>
          <w:sz w:val="24"/>
          <w:szCs w:val="24"/>
        </w:rPr>
        <w:t xml:space="preserve">Legal Lessons Learned: Volunteer firefighters serve “at will” in most states, with no right to appeal to a </w:t>
      </w:r>
      <w:proofErr w:type="gramStart"/>
      <w:r w:rsidRPr="000A5D76">
        <w:rPr>
          <w:rFonts w:ascii="Times New Roman" w:hAnsi="Times New Roman"/>
          <w:b/>
          <w:bCs/>
          <w:sz w:val="24"/>
          <w:szCs w:val="24"/>
        </w:rPr>
        <w:t>County</w:t>
      </w:r>
      <w:proofErr w:type="gramEnd"/>
      <w:r w:rsidRPr="000A5D76">
        <w:rPr>
          <w:rFonts w:ascii="Times New Roman" w:hAnsi="Times New Roman"/>
          <w:b/>
          <w:bCs/>
          <w:sz w:val="24"/>
          <w:szCs w:val="24"/>
        </w:rPr>
        <w:t xml:space="preserve"> review board.   “Freelancing” can have deadly results.</w:t>
      </w:r>
    </w:p>
    <w:bookmarkEnd w:id="182"/>
    <w:p w14:paraId="6CAAF700" w14:textId="77777777" w:rsidR="005F0E6D" w:rsidRDefault="005F0E6D" w:rsidP="005F0E6D">
      <w:pPr>
        <w:pStyle w:val="NoSpacing"/>
        <w:rPr>
          <w:b/>
          <w:bCs/>
          <w:sz w:val="24"/>
          <w:szCs w:val="24"/>
        </w:rPr>
      </w:pPr>
    </w:p>
    <w:p w14:paraId="4FB3D489" w14:textId="77777777" w:rsidR="005F0E6D" w:rsidRDefault="005F0E6D" w:rsidP="002B1283">
      <w:pPr>
        <w:rPr>
          <w:rStyle w:val="Hyperlink"/>
          <w:rFonts w:ascii="Arial Black" w:hAnsi="Arial Black"/>
          <w:b/>
          <w:color w:val="auto"/>
          <w:sz w:val="24"/>
          <w:szCs w:val="24"/>
          <w:u w:val="none"/>
        </w:rPr>
      </w:pPr>
    </w:p>
    <w:p w14:paraId="764A4029" w14:textId="77777777" w:rsidR="005F0E6D" w:rsidRDefault="005F0E6D" w:rsidP="002B1283">
      <w:pPr>
        <w:rPr>
          <w:rStyle w:val="Hyperlink"/>
          <w:rFonts w:ascii="Arial Black" w:hAnsi="Arial Black"/>
          <w:b/>
          <w:color w:val="auto"/>
          <w:sz w:val="24"/>
          <w:szCs w:val="24"/>
          <w:u w:val="none"/>
        </w:rPr>
      </w:pPr>
    </w:p>
    <w:p w14:paraId="3A378005" w14:textId="77777777" w:rsidR="005F0E6D" w:rsidRDefault="005F0E6D" w:rsidP="002B1283">
      <w:pPr>
        <w:rPr>
          <w:rStyle w:val="Hyperlink"/>
          <w:rFonts w:ascii="Arial Black" w:hAnsi="Arial Black"/>
          <w:b/>
          <w:color w:val="auto"/>
          <w:sz w:val="24"/>
          <w:szCs w:val="24"/>
          <w:u w:val="none"/>
        </w:rPr>
      </w:pPr>
    </w:p>
    <w:p w14:paraId="00F2972F" w14:textId="198C6626" w:rsidR="005F0E6D" w:rsidRDefault="005F0E6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4-7</w:t>
      </w:r>
    </w:p>
    <w:p w14:paraId="5655538D" w14:textId="77777777" w:rsidR="005F0E6D" w:rsidRPr="00A83387" w:rsidRDefault="005F0E6D" w:rsidP="005F0E6D">
      <w:pPr>
        <w:pStyle w:val="NoSpacing"/>
        <w:rPr>
          <w:rFonts w:ascii="Arial Black" w:hAnsi="Arial Black"/>
          <w:sz w:val="28"/>
          <w:szCs w:val="28"/>
        </w:rPr>
      </w:pPr>
      <w:r w:rsidRPr="00A83387">
        <w:rPr>
          <w:rFonts w:ascii="Arial Black" w:hAnsi="Arial Black"/>
          <w:sz w:val="28"/>
          <w:szCs w:val="28"/>
        </w:rPr>
        <w:t xml:space="preserve">NY: </w:t>
      </w:r>
      <w:r>
        <w:rPr>
          <w:rFonts w:ascii="Arial Black" w:hAnsi="Arial Black"/>
          <w:sz w:val="28"/>
          <w:szCs w:val="28"/>
        </w:rPr>
        <w:t>MASSIVE GAS LEAK – FDNY NOT EVACUATE HOUSES - BASEMENT LIGHT SWITCH, EXPLOSION – GOV. IMMUNITY</w:t>
      </w:r>
    </w:p>
    <w:p w14:paraId="22732C1B" w14:textId="77777777" w:rsidR="005F0E6D" w:rsidRDefault="005F0E6D" w:rsidP="005F0E6D">
      <w:pPr>
        <w:pStyle w:val="NoSpacing"/>
        <w:rPr>
          <w:b/>
          <w:bCs/>
          <w:sz w:val="24"/>
          <w:szCs w:val="24"/>
        </w:rPr>
      </w:pPr>
    </w:p>
    <w:p w14:paraId="552B88C9" w14:textId="187F6F44" w:rsidR="005F0E6D" w:rsidRDefault="005F0E6D" w:rsidP="005F0E6D">
      <w:pPr>
        <w:pStyle w:val="NoSpacing"/>
        <w:rPr>
          <w:rFonts w:ascii="Times New Roman" w:hAnsi="Times New Roman"/>
          <w:bCs/>
          <w:sz w:val="24"/>
          <w:szCs w:val="24"/>
        </w:rPr>
      </w:pPr>
      <w:r w:rsidRPr="000A5D76">
        <w:rPr>
          <w:rFonts w:ascii="Times New Roman" w:hAnsi="Times New Roman"/>
          <w:bCs/>
          <w:sz w:val="24"/>
          <w:szCs w:val="24"/>
        </w:rPr>
        <w:t xml:space="preserve">On Feb. 11, 2020, in </w:t>
      </w:r>
      <w:r w:rsidRPr="000A5D76">
        <w:rPr>
          <w:rFonts w:ascii="Times New Roman" w:hAnsi="Times New Roman"/>
          <w:bCs/>
          <w:sz w:val="24"/>
          <w:szCs w:val="24"/>
          <w:u w:val="single"/>
        </w:rPr>
        <w:t>State Farm Fire &amp; Casualty Insurance Company, a/s/o Charles Caccse v.  The Brooklyn Union Gas Company, d/b/a National Grid New York</w:t>
      </w:r>
      <w:r w:rsidRPr="000A5D76">
        <w:rPr>
          <w:rFonts w:ascii="Times New Roman" w:hAnsi="Times New Roman"/>
          <w:bCs/>
          <w:sz w:val="24"/>
          <w:szCs w:val="24"/>
        </w:rPr>
        <w:t xml:space="preserve">, and second lawsuit of </w:t>
      </w:r>
      <w:r w:rsidRPr="000A5D76">
        <w:rPr>
          <w:rFonts w:ascii="Times New Roman" w:hAnsi="Times New Roman"/>
          <w:bCs/>
          <w:sz w:val="24"/>
          <w:szCs w:val="24"/>
          <w:u w:val="single"/>
        </w:rPr>
        <w:t>State Farm v. The City of New York and FDNY</w:t>
      </w:r>
      <w:r w:rsidRPr="000A5D76">
        <w:rPr>
          <w:rFonts w:ascii="Times New Roman" w:hAnsi="Times New Roman"/>
          <w:bCs/>
          <w:sz w:val="24"/>
          <w:szCs w:val="24"/>
        </w:rPr>
        <w:t xml:space="preserve">, </w:t>
      </w:r>
      <w:r w:rsidRPr="000A5D76">
        <w:rPr>
          <w:rFonts w:ascii="Times New Roman" w:eastAsia="Times New Roman" w:hAnsi="Times New Roman"/>
          <w:bCs/>
          <w:sz w:val="24"/>
          <w:szCs w:val="24"/>
        </w:rPr>
        <w:t xml:space="preserve">2020 NY Slip Op 30876(U), </w:t>
      </w:r>
      <w:r w:rsidRPr="000A5D76">
        <w:rPr>
          <w:rFonts w:ascii="Times New Roman" w:hAnsi="Times New Roman"/>
          <w:bCs/>
          <w:sz w:val="24"/>
          <w:szCs w:val="24"/>
        </w:rPr>
        <w:t xml:space="preserve">Judge Tomas P. Aliotta, Supreme Court of New York (County of Richmond), </w:t>
      </w:r>
    </w:p>
    <w:p w14:paraId="022B6116" w14:textId="77777777" w:rsidR="005F0E6D" w:rsidRPr="000A5D76" w:rsidRDefault="005F0E6D" w:rsidP="005F0E6D">
      <w:pPr>
        <w:pStyle w:val="NoSpacing"/>
        <w:rPr>
          <w:rFonts w:ascii="Times New Roman" w:hAnsi="Times New Roman"/>
          <w:b/>
          <w:bCs/>
          <w:sz w:val="24"/>
          <w:szCs w:val="24"/>
        </w:rPr>
      </w:pPr>
      <w:r w:rsidRPr="000A5D76">
        <w:rPr>
          <w:rFonts w:ascii="Times New Roman" w:hAnsi="Times New Roman"/>
          <w:bCs/>
          <w:sz w:val="24"/>
          <w:szCs w:val="24"/>
        </w:rPr>
        <w:t xml:space="preserve">granted the City &amp; FD’s motion to dismiss, since FDNY was performing governmental function involving discretionary judgments, and owed no “special duty” to the injured homeowner.  The lawsuit against the gas company for defective gas mains may proceed. </w:t>
      </w:r>
    </w:p>
    <w:p w14:paraId="55384934" w14:textId="77777777" w:rsidR="005F0E6D" w:rsidRPr="000A5D76" w:rsidRDefault="005F0E6D" w:rsidP="005F0E6D">
      <w:pPr>
        <w:pStyle w:val="NoSpacing"/>
        <w:rPr>
          <w:rFonts w:ascii="Times New Roman" w:hAnsi="Times New Roman"/>
          <w:b/>
          <w:bCs/>
          <w:sz w:val="24"/>
          <w:szCs w:val="24"/>
        </w:rPr>
      </w:pPr>
    </w:p>
    <w:p w14:paraId="6B5D4348"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“[I]n the opinion of this Court, the City and the FDNY have met their prima facie burden of establishing their right to judgment as a matter of law by submitting satisfactory proof regarding their claim of governmental function immunity and that no special duty existed between them and the plaintiffs. In opposition, plaintiffs have failed to rebut that showing and raise a triable issue of fact (see Zuckerman v. City of New York, 49 NY2d 557 [1980]).  ‘When a negligence claim is asserted against a municipality, the first issue for a court to decide is whether the municipal entity was engaged in a proprietary function or acted in a governmental capacity at the time the claim arose’ (Applewhite v. </w:t>
      </w:r>
      <w:proofErr w:type="spellStart"/>
      <w:r w:rsidRPr="000A5D76">
        <w:rPr>
          <w:rFonts w:ascii="Times New Roman" w:hAnsi="Times New Roman"/>
          <w:bCs/>
          <w:sz w:val="24"/>
          <w:szCs w:val="24"/>
        </w:rPr>
        <w:t>Accuhealth</w:t>
      </w:r>
      <w:proofErr w:type="spellEnd"/>
      <w:r w:rsidRPr="000A5D76">
        <w:rPr>
          <w:rFonts w:ascii="Times New Roman" w:hAnsi="Times New Roman"/>
          <w:bCs/>
          <w:sz w:val="24"/>
          <w:szCs w:val="24"/>
        </w:rPr>
        <w:t xml:space="preserve">, Inc., 21 NY3d 420, 425 [2013]). If a municipality was acting in a governmental capacity, then the plaintiff must prove the existence of a special duty (see Applewhite, 21 AD3d at 426). Since police and fire protection are examples of long-recognized, quintessential governmental functions’ (Matter of World Trade Ctr Bombing Litig., 17 NY3d 428 [2011]), plaintiff must plead and prove the existence of a special duty beyond the obligation owed to the public at large (see Valdez v. City of New York, 18 NY3d 69 [2011]). </w:t>
      </w:r>
      <w:hyperlink r:id="rId955" w:history="1">
        <w:r w:rsidRPr="000A5D76">
          <w:rPr>
            <w:rStyle w:val="Hyperlink"/>
            <w:rFonts w:ascii="Times New Roman" w:hAnsi="Times New Roman"/>
            <w:b/>
            <w:sz w:val="24"/>
            <w:szCs w:val="24"/>
          </w:rPr>
          <w:t>https://public.fastcase.com/Wl%2B2t%2BeVuI35%2FN70vAMFZn8FExk2ons8UFiGzSPZ6Ig%2B2pF54RtCKp9IHiewQM23</w:t>
        </w:r>
      </w:hyperlink>
      <w:r w:rsidRPr="000A5D76">
        <w:rPr>
          <w:rFonts w:ascii="Times New Roman" w:hAnsi="Times New Roman"/>
          <w:bCs/>
          <w:sz w:val="24"/>
          <w:szCs w:val="24"/>
        </w:rPr>
        <w:t xml:space="preserve"> </w:t>
      </w:r>
    </w:p>
    <w:p w14:paraId="05606019" w14:textId="77777777" w:rsidR="005F0E6D" w:rsidRPr="000A5D76" w:rsidRDefault="005F0E6D" w:rsidP="005F0E6D">
      <w:pPr>
        <w:spacing w:before="100" w:beforeAutospacing="1" w:after="100" w:afterAutospacing="1" w:line="240" w:lineRule="auto"/>
        <w:rPr>
          <w:rFonts w:ascii="Times New Roman" w:eastAsia="Times New Roman" w:hAnsi="Times New Roman"/>
          <w:b/>
          <w:bCs/>
          <w:sz w:val="24"/>
          <w:szCs w:val="24"/>
        </w:rPr>
      </w:pPr>
      <w:r w:rsidRPr="000A5D76">
        <w:rPr>
          <w:rFonts w:ascii="Times New Roman" w:hAnsi="Times New Roman"/>
          <w:b/>
          <w:bCs/>
          <w:sz w:val="24"/>
          <w:szCs w:val="24"/>
        </w:rPr>
        <w:t>Legal Lessons Learned:</w:t>
      </w:r>
      <w:r w:rsidRPr="000A5D76">
        <w:rPr>
          <w:rFonts w:ascii="Times New Roman" w:eastAsia="Times New Roman" w:hAnsi="Times New Roman"/>
          <w:b/>
          <w:bCs/>
          <w:sz w:val="24"/>
          <w:szCs w:val="24"/>
        </w:rPr>
        <w:t xml:space="preserve"> Governmental immunity for discretionary decisions at an emergency scene is a very important legal doctrine. </w:t>
      </w:r>
    </w:p>
    <w:p w14:paraId="03D7B5A6" w14:textId="77777777" w:rsidR="005F0E6D" w:rsidRDefault="005F0E6D" w:rsidP="002B1283">
      <w:pPr>
        <w:rPr>
          <w:rStyle w:val="Hyperlink"/>
          <w:rFonts w:ascii="Arial Black" w:hAnsi="Arial Black"/>
          <w:b/>
          <w:color w:val="auto"/>
          <w:sz w:val="24"/>
          <w:szCs w:val="24"/>
          <w:u w:val="none"/>
        </w:rPr>
      </w:pPr>
    </w:p>
    <w:p w14:paraId="601F4BC6" w14:textId="77777777" w:rsidR="005F0E6D" w:rsidRDefault="005F0E6D" w:rsidP="002B1283">
      <w:pPr>
        <w:rPr>
          <w:rStyle w:val="Hyperlink"/>
          <w:rFonts w:ascii="Arial Black" w:hAnsi="Arial Black"/>
          <w:b/>
          <w:color w:val="auto"/>
          <w:sz w:val="24"/>
          <w:szCs w:val="24"/>
          <w:u w:val="none"/>
        </w:rPr>
      </w:pPr>
    </w:p>
    <w:p w14:paraId="3E912560" w14:textId="759E974D" w:rsidR="007C6FEF" w:rsidRDefault="007C6FE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4-6</w:t>
      </w:r>
    </w:p>
    <w:p w14:paraId="2E311A82" w14:textId="77777777" w:rsidR="007C6FEF" w:rsidRDefault="007C6FEF" w:rsidP="007C6FEF">
      <w:pPr>
        <w:rPr>
          <w:rFonts w:ascii="Arial Black" w:hAnsi="Arial Black"/>
          <w:sz w:val="28"/>
          <w:szCs w:val="28"/>
        </w:rPr>
      </w:pPr>
      <w:r>
        <w:rPr>
          <w:rFonts w:ascii="Arial Black" w:hAnsi="Arial Black"/>
          <w:sz w:val="28"/>
          <w:szCs w:val="28"/>
        </w:rPr>
        <w:t>TN: GREAT SMOKEY MOUNTAIN FIRE – GATLINBURG NOT WARNED - KILLED 14 – LAWSUIT MAY PROCEED</w:t>
      </w:r>
    </w:p>
    <w:p w14:paraId="2CD2C2A5" w14:textId="77777777" w:rsidR="007C6FEF" w:rsidRDefault="007C6FEF" w:rsidP="007C6FEF">
      <w:pPr>
        <w:pStyle w:val="NoSpacing"/>
        <w:rPr>
          <w:rFonts w:ascii="Times New Roman" w:hAnsi="Times New Roman"/>
          <w:sz w:val="24"/>
          <w:szCs w:val="24"/>
        </w:rPr>
      </w:pPr>
      <w:r>
        <w:rPr>
          <w:rFonts w:ascii="Times New Roman" w:hAnsi="Times New Roman"/>
          <w:sz w:val="24"/>
          <w:szCs w:val="24"/>
        </w:rPr>
        <w:t xml:space="preserve">On </w:t>
      </w:r>
      <w:bookmarkStart w:id="183" w:name="_Hlk39824082"/>
      <w:r>
        <w:rPr>
          <w:rFonts w:ascii="Times New Roman" w:hAnsi="Times New Roman"/>
          <w:sz w:val="24"/>
          <w:szCs w:val="24"/>
        </w:rPr>
        <w:t xml:space="preserve">Dec. 9, 2019, in </w:t>
      </w:r>
      <w:r w:rsidRPr="00FA33D8">
        <w:rPr>
          <w:rFonts w:ascii="Times New Roman" w:hAnsi="Times New Roman"/>
          <w:sz w:val="24"/>
          <w:szCs w:val="24"/>
          <w:u w:val="single"/>
        </w:rPr>
        <w:t>Michael Reed v. United States</w:t>
      </w:r>
      <w:r>
        <w:rPr>
          <w:rFonts w:ascii="Times New Roman" w:hAnsi="Times New Roman"/>
          <w:sz w:val="24"/>
          <w:szCs w:val="24"/>
        </w:rPr>
        <w:t xml:space="preserve">, </w:t>
      </w:r>
      <w:bookmarkEnd w:id="183"/>
      <w:r>
        <w:rPr>
          <w:rFonts w:ascii="Times New Roman" w:hAnsi="Times New Roman"/>
          <w:sz w:val="24"/>
          <w:szCs w:val="24"/>
        </w:rPr>
        <w:t xml:space="preserve">Senior U.S. District Court Judge Thomas W. Phillips, Eastern District of Tennessee (Knoxville Division), denied the U.S. Government’s motion to dismiss, since Federal Tort Claims Act allows lawsuit since the National Park Services’ “Fire Management Plan has mandatory mitigation actions to protect life and property (duty to warn).  </w:t>
      </w:r>
    </w:p>
    <w:p w14:paraId="2C82107B" w14:textId="77777777" w:rsidR="007C6FEF" w:rsidRDefault="007C6FEF" w:rsidP="007C6FEF">
      <w:pPr>
        <w:pStyle w:val="NoSpacing"/>
        <w:rPr>
          <w:rFonts w:ascii="Times New Roman" w:hAnsi="Times New Roman"/>
          <w:sz w:val="24"/>
          <w:szCs w:val="24"/>
        </w:rPr>
      </w:pPr>
    </w:p>
    <w:p w14:paraId="14BEFEAD" w14:textId="77777777" w:rsidR="007C6FEF" w:rsidRDefault="007C6FEF" w:rsidP="007C6FEF">
      <w:pPr>
        <w:pStyle w:val="NoSpacing"/>
        <w:ind w:left="720"/>
        <w:rPr>
          <w:rFonts w:ascii="Times New Roman" w:hAnsi="Times New Roman"/>
          <w:sz w:val="24"/>
          <w:szCs w:val="24"/>
        </w:rPr>
      </w:pPr>
      <w:r>
        <w:rPr>
          <w:rFonts w:ascii="Times New Roman" w:hAnsi="Times New Roman"/>
          <w:sz w:val="24"/>
          <w:szCs w:val="24"/>
        </w:rPr>
        <w:t>“</w:t>
      </w:r>
      <w:r w:rsidRPr="00FA33D8">
        <w:rPr>
          <w:rFonts w:ascii="Times New Roman" w:hAnsi="Times New Roman"/>
          <w:sz w:val="24"/>
          <w:szCs w:val="24"/>
        </w:rPr>
        <w:t xml:space="preserve">Section 3.3.2(C) of the FMP </w:t>
      </w:r>
      <w:r>
        <w:rPr>
          <w:rFonts w:ascii="Times New Roman" w:hAnsi="Times New Roman"/>
          <w:sz w:val="24"/>
          <w:szCs w:val="24"/>
        </w:rPr>
        <w:t xml:space="preserve">[Fire Management Plan] </w:t>
      </w:r>
      <w:r w:rsidRPr="00FA33D8">
        <w:rPr>
          <w:rFonts w:ascii="Times New Roman" w:hAnsi="Times New Roman"/>
          <w:sz w:val="24"/>
          <w:szCs w:val="24"/>
        </w:rPr>
        <w:t xml:space="preserve">states that </w:t>
      </w:r>
      <w:r>
        <w:rPr>
          <w:rFonts w:ascii="Times New Roman" w:hAnsi="Times New Roman"/>
          <w:sz w:val="24"/>
          <w:szCs w:val="24"/>
        </w:rPr>
        <w:t>‘</w:t>
      </w:r>
      <w:r w:rsidRPr="00FA33D8">
        <w:rPr>
          <w:rFonts w:ascii="Times New Roman" w:hAnsi="Times New Roman"/>
          <w:sz w:val="24"/>
          <w:szCs w:val="24"/>
        </w:rPr>
        <w:t>[f]</w:t>
      </w:r>
      <w:proofErr w:type="spellStart"/>
      <w:r w:rsidRPr="00FA33D8">
        <w:rPr>
          <w:rFonts w:ascii="Times New Roman" w:hAnsi="Times New Roman"/>
          <w:sz w:val="24"/>
          <w:szCs w:val="24"/>
        </w:rPr>
        <w:t>irefighter</w:t>
      </w:r>
      <w:proofErr w:type="spellEnd"/>
      <w:r w:rsidRPr="00FA33D8">
        <w:rPr>
          <w:rFonts w:ascii="Times New Roman" w:hAnsi="Times New Roman"/>
          <w:sz w:val="24"/>
          <w:szCs w:val="24"/>
        </w:rPr>
        <w:t xml:space="preserve"> and public safety is the first priority in all fire management activities[,]</w:t>
      </w:r>
      <w:r>
        <w:rPr>
          <w:rFonts w:ascii="Times New Roman" w:hAnsi="Times New Roman"/>
          <w:sz w:val="24"/>
          <w:szCs w:val="24"/>
        </w:rPr>
        <w:t>’</w:t>
      </w:r>
      <w:r w:rsidRPr="00FA33D8">
        <w:rPr>
          <w:rFonts w:ascii="Times New Roman" w:hAnsi="Times New Roman"/>
          <w:sz w:val="24"/>
          <w:szCs w:val="24"/>
        </w:rPr>
        <w:t xml:space="preserve"> and specifies that </w:t>
      </w:r>
      <w:r>
        <w:rPr>
          <w:rFonts w:ascii="Times New Roman" w:hAnsi="Times New Roman"/>
          <w:sz w:val="24"/>
          <w:szCs w:val="24"/>
        </w:rPr>
        <w:t>‘</w:t>
      </w:r>
      <w:r w:rsidRPr="00FA33D8">
        <w:rPr>
          <w:rFonts w:ascii="Times New Roman" w:hAnsi="Times New Roman"/>
          <w:sz w:val="24"/>
          <w:szCs w:val="24"/>
        </w:rPr>
        <w:t xml:space="preserve">Park neighbors, Park visitors and local residents </w:t>
      </w:r>
      <w:r w:rsidRPr="00FA33D8">
        <w:rPr>
          <w:rFonts w:ascii="Times New Roman" w:hAnsi="Times New Roman"/>
          <w:i/>
          <w:iCs/>
          <w:sz w:val="24"/>
          <w:szCs w:val="24"/>
        </w:rPr>
        <w:t>will be</w:t>
      </w:r>
      <w:r w:rsidRPr="00FA33D8">
        <w:rPr>
          <w:rFonts w:ascii="Times New Roman" w:hAnsi="Times New Roman"/>
          <w:sz w:val="24"/>
          <w:szCs w:val="24"/>
        </w:rPr>
        <w:t xml:space="preserve"> notified of </w:t>
      </w:r>
      <w:r w:rsidRPr="00FA33D8">
        <w:rPr>
          <w:rFonts w:ascii="Times New Roman" w:hAnsi="Times New Roman"/>
          <w:i/>
          <w:iCs/>
          <w:sz w:val="24"/>
          <w:szCs w:val="24"/>
        </w:rPr>
        <w:t>all</w:t>
      </w:r>
      <w:r w:rsidRPr="00FA33D8">
        <w:rPr>
          <w:rFonts w:ascii="Times New Roman" w:hAnsi="Times New Roman"/>
          <w:sz w:val="24"/>
          <w:szCs w:val="24"/>
        </w:rPr>
        <w:t xml:space="preserve"> planned and unplanned fire management activities that have the potential to impact them.</w:t>
      </w:r>
      <w:r>
        <w:rPr>
          <w:rFonts w:ascii="Times New Roman" w:hAnsi="Times New Roman"/>
          <w:sz w:val="24"/>
          <w:szCs w:val="24"/>
        </w:rPr>
        <w:t xml:space="preserve">’ </w:t>
      </w:r>
      <w:r w:rsidRPr="00FA33D8">
        <w:rPr>
          <w:rFonts w:ascii="Times New Roman" w:hAnsi="Times New Roman"/>
          <w:sz w:val="24"/>
          <w:szCs w:val="24"/>
        </w:rPr>
        <w:t>[</w:t>
      </w:r>
      <w:r w:rsidRPr="00FA33D8">
        <w:rPr>
          <w:rFonts w:ascii="Times New Roman" w:hAnsi="Times New Roman"/>
          <w:i/>
          <w:iCs/>
          <w:sz w:val="24"/>
          <w:szCs w:val="24"/>
        </w:rPr>
        <w:t>Id</w:t>
      </w:r>
      <w:r w:rsidRPr="00FA33D8">
        <w:rPr>
          <w:rFonts w:ascii="Times New Roman" w:hAnsi="Times New Roman"/>
          <w:sz w:val="24"/>
          <w:szCs w:val="24"/>
        </w:rPr>
        <w:t xml:space="preserve">. at 28 (emphasis added)]. Additionally, Section 4.4.2 of the FMP addresses the issue of public safety, and subsection (F) </w:t>
      </w:r>
      <w:r>
        <w:rPr>
          <w:rFonts w:ascii="Times New Roman" w:hAnsi="Times New Roman"/>
          <w:sz w:val="24"/>
          <w:szCs w:val="24"/>
        </w:rPr>
        <w:t>‘</w:t>
      </w:r>
      <w:r w:rsidRPr="00FA33D8">
        <w:rPr>
          <w:rFonts w:ascii="Times New Roman" w:hAnsi="Times New Roman"/>
          <w:sz w:val="24"/>
          <w:szCs w:val="24"/>
        </w:rPr>
        <w:t xml:space="preserve">outline[s] mitigation actions </w:t>
      </w:r>
      <w:r w:rsidRPr="00FA33D8">
        <w:rPr>
          <w:rFonts w:ascii="Times New Roman" w:hAnsi="Times New Roman"/>
          <w:i/>
          <w:iCs/>
          <w:sz w:val="24"/>
          <w:szCs w:val="24"/>
        </w:rPr>
        <w:t>required</w:t>
      </w:r>
      <w:r w:rsidRPr="00FA33D8">
        <w:rPr>
          <w:rFonts w:ascii="Times New Roman" w:hAnsi="Times New Roman"/>
          <w:sz w:val="24"/>
          <w:szCs w:val="24"/>
        </w:rPr>
        <w:t xml:space="preserve"> to protect values at risk and to ensure the safety of park staff and visitors as well as the neighboring public.</w:t>
      </w:r>
      <w:r>
        <w:rPr>
          <w:rFonts w:ascii="Times New Roman" w:hAnsi="Times New Roman"/>
          <w:sz w:val="24"/>
          <w:szCs w:val="24"/>
        </w:rPr>
        <w:t>’</w:t>
      </w:r>
      <w:r w:rsidRPr="00FA33D8">
        <w:rPr>
          <w:rFonts w:ascii="Times New Roman" w:hAnsi="Times New Roman"/>
          <w:sz w:val="24"/>
          <w:szCs w:val="24"/>
        </w:rPr>
        <w:t xml:space="preserve"> [</w:t>
      </w:r>
      <w:r w:rsidRPr="00FA33D8">
        <w:rPr>
          <w:rFonts w:ascii="Times New Roman" w:hAnsi="Times New Roman"/>
          <w:i/>
          <w:iCs/>
          <w:sz w:val="24"/>
          <w:szCs w:val="24"/>
        </w:rPr>
        <w:t>Id</w:t>
      </w:r>
      <w:r w:rsidRPr="00FA33D8">
        <w:rPr>
          <w:rFonts w:ascii="Times New Roman" w:hAnsi="Times New Roman"/>
          <w:sz w:val="24"/>
          <w:szCs w:val="24"/>
        </w:rPr>
        <w:t xml:space="preserve">. at 54-55 (emphasis added)]. Table 13, titled </w:t>
      </w:r>
      <w:r>
        <w:rPr>
          <w:rFonts w:ascii="Times New Roman" w:hAnsi="Times New Roman"/>
          <w:sz w:val="24"/>
          <w:szCs w:val="24"/>
        </w:rPr>
        <w:t>‘</w:t>
      </w:r>
      <w:r w:rsidRPr="00FA33D8">
        <w:rPr>
          <w:rFonts w:ascii="Times New Roman" w:hAnsi="Times New Roman"/>
          <w:sz w:val="24"/>
          <w:szCs w:val="24"/>
        </w:rPr>
        <w:t>Mitigations for Public Safety Issues,</w:t>
      </w:r>
      <w:r>
        <w:rPr>
          <w:rFonts w:ascii="Times New Roman" w:hAnsi="Times New Roman"/>
          <w:sz w:val="24"/>
          <w:szCs w:val="24"/>
        </w:rPr>
        <w:t>’</w:t>
      </w:r>
      <w:r w:rsidRPr="00FA33D8">
        <w:rPr>
          <w:rFonts w:ascii="Times New Roman" w:hAnsi="Times New Roman"/>
          <w:sz w:val="24"/>
          <w:szCs w:val="24"/>
        </w:rPr>
        <w:t xml:space="preserve"> then addresses various actions to be taken to protect various groups and resources. [</w:t>
      </w:r>
      <w:r w:rsidRPr="00FA33D8">
        <w:rPr>
          <w:rFonts w:ascii="Times New Roman" w:hAnsi="Times New Roman"/>
          <w:i/>
          <w:iCs/>
          <w:sz w:val="24"/>
          <w:szCs w:val="24"/>
        </w:rPr>
        <w:t>Id</w:t>
      </w:r>
      <w:r w:rsidRPr="00FA33D8">
        <w:rPr>
          <w:rFonts w:ascii="Times New Roman" w:hAnsi="Times New Roman"/>
          <w:sz w:val="24"/>
          <w:szCs w:val="24"/>
        </w:rPr>
        <w:t xml:space="preserve">. at 55]. *** Plaintiffs have cited mandatory directives to support jurisdiction over their claims based on the failure to warn about the Chimney Tops 2 fire, the Court finds that it has jurisdiction over this matter, and Defendant's motion to dismiss for lack of jurisdiction </w:t>
      </w:r>
      <w:r>
        <w:rPr>
          <w:rFonts w:ascii="Times New Roman" w:hAnsi="Times New Roman"/>
          <w:sz w:val="24"/>
          <w:szCs w:val="24"/>
        </w:rPr>
        <w:t xml:space="preserve">… </w:t>
      </w:r>
      <w:r w:rsidRPr="00FA33D8">
        <w:rPr>
          <w:rFonts w:ascii="Times New Roman" w:hAnsi="Times New Roman"/>
          <w:sz w:val="24"/>
          <w:szCs w:val="24"/>
        </w:rPr>
        <w:t xml:space="preserve">will be denied. </w:t>
      </w:r>
    </w:p>
    <w:bookmarkStart w:id="184" w:name="_Hlk39824099"/>
    <w:p w14:paraId="7E3CEAF7" w14:textId="77777777" w:rsidR="007C6FEF" w:rsidRPr="00FA33D8" w:rsidRDefault="00F2621E" w:rsidP="007C6FEF">
      <w:pPr>
        <w:pStyle w:val="NoSpacing"/>
        <w:ind w:left="720"/>
        <w:rPr>
          <w:rFonts w:ascii="Times New Roman" w:hAnsi="Times New Roman"/>
          <w:sz w:val="24"/>
          <w:szCs w:val="24"/>
        </w:rPr>
      </w:pPr>
      <w:r>
        <w:fldChar w:fldCharType="begin"/>
      </w:r>
      <w:r>
        <w:instrText xml:space="preserve"> HYPERLINK "https://www.nationalparkstraveler.org/sites/default/files/attachments/reed-chimney_tops_2_lawsuit.pdf" </w:instrText>
      </w:r>
      <w:r>
        <w:fldChar w:fldCharType="separate"/>
      </w:r>
      <w:r w:rsidR="007C6FEF" w:rsidRPr="009D5900">
        <w:rPr>
          <w:rStyle w:val="Hyperlink"/>
          <w:rFonts w:ascii="Times New Roman" w:hAnsi="Times New Roman"/>
          <w:sz w:val="24"/>
          <w:szCs w:val="24"/>
        </w:rPr>
        <w:t>https://www.nationalparkstraveler.org/sites/default/files/attachments/reed-chimney_tops_2_lawsuit.pdf</w:t>
      </w:r>
      <w:r>
        <w:rPr>
          <w:rStyle w:val="Hyperlink"/>
          <w:rFonts w:ascii="Times New Roman" w:hAnsi="Times New Roman"/>
          <w:sz w:val="24"/>
          <w:szCs w:val="24"/>
        </w:rPr>
        <w:fldChar w:fldCharType="end"/>
      </w:r>
      <w:bookmarkEnd w:id="184"/>
      <w:r w:rsidR="007C6FEF">
        <w:rPr>
          <w:rFonts w:ascii="Times New Roman" w:hAnsi="Times New Roman"/>
          <w:sz w:val="24"/>
          <w:szCs w:val="24"/>
        </w:rPr>
        <w:t xml:space="preserve"> </w:t>
      </w:r>
    </w:p>
    <w:p w14:paraId="6278688D" w14:textId="77777777" w:rsidR="009C4A80" w:rsidRDefault="009C4A80" w:rsidP="003464C5">
      <w:pPr>
        <w:rPr>
          <w:rFonts w:ascii="Arial" w:hAnsi="Arial" w:cs="Arial"/>
          <w:sz w:val="30"/>
          <w:szCs w:val="30"/>
        </w:rPr>
      </w:pPr>
    </w:p>
    <w:p w14:paraId="5B41531C" w14:textId="13F7125A" w:rsidR="003464C5" w:rsidRPr="009C4A80" w:rsidRDefault="009C4A80" w:rsidP="003464C5">
      <w:pPr>
        <w:rPr>
          <w:rStyle w:val="Hyperlink"/>
          <w:rFonts w:ascii="Times New Roman" w:hAnsi="Times New Roman"/>
          <w:b/>
          <w:bCs/>
          <w:color w:val="auto"/>
          <w:sz w:val="24"/>
          <w:szCs w:val="24"/>
          <w:u w:val="none"/>
        </w:rPr>
      </w:pPr>
      <w:r w:rsidRPr="009C4A80">
        <w:rPr>
          <w:rFonts w:ascii="Times New Roman" w:hAnsi="Times New Roman"/>
          <w:b/>
          <w:bCs/>
          <w:sz w:val="24"/>
          <w:szCs w:val="24"/>
        </w:rPr>
        <w:t xml:space="preserve">Legal Lessons Learned: “Failure to warn” establishes a cause of action under Federal Tort Claims Act. See also the </w:t>
      </w:r>
      <w:proofErr w:type="gramStart"/>
      <w:r w:rsidRPr="009C4A80">
        <w:rPr>
          <w:rFonts w:ascii="Times New Roman" w:hAnsi="Times New Roman"/>
          <w:b/>
          <w:bCs/>
          <w:sz w:val="24"/>
          <w:szCs w:val="24"/>
        </w:rPr>
        <w:t>After Action</w:t>
      </w:r>
      <w:proofErr w:type="gramEnd"/>
      <w:r w:rsidRPr="009C4A80">
        <w:rPr>
          <w:rFonts w:ascii="Times New Roman" w:hAnsi="Times New Roman"/>
          <w:b/>
          <w:bCs/>
          <w:sz w:val="24"/>
          <w:szCs w:val="24"/>
        </w:rPr>
        <w:t xml:space="preserve"> Report (Dec. 19, 2017): “An </w:t>
      </w:r>
      <w:proofErr w:type="gramStart"/>
      <w:r w:rsidRPr="009C4A80">
        <w:rPr>
          <w:rFonts w:ascii="Times New Roman" w:hAnsi="Times New Roman"/>
          <w:b/>
          <w:bCs/>
          <w:sz w:val="24"/>
          <w:szCs w:val="24"/>
        </w:rPr>
        <w:t>After Action</w:t>
      </w:r>
      <w:proofErr w:type="gramEnd"/>
      <w:r w:rsidRPr="009C4A80">
        <w:rPr>
          <w:rFonts w:ascii="Times New Roman" w:hAnsi="Times New Roman"/>
          <w:b/>
          <w:bCs/>
          <w:sz w:val="24"/>
          <w:szCs w:val="24"/>
        </w:rPr>
        <w:t xml:space="preserve"> Review has been released for the Chimney Tops 2 Fire that spread from Great Smoky Mountains National Park into the city of Gatlinburg, Tennessee a little over a year ago killing 14 people, forcing 14,000 to evacuate, destroying or damaging 2,500 structures, and burning 17,000 acres. The AAR, completed by ABS Group, was commissioned by Gatlinburg and Sevier County.”</w:t>
      </w:r>
    </w:p>
    <w:p w14:paraId="1C004A5B" w14:textId="77777777" w:rsidR="003464C5" w:rsidRDefault="003464C5" w:rsidP="002B1283">
      <w:pPr>
        <w:rPr>
          <w:rStyle w:val="Hyperlink"/>
          <w:rFonts w:ascii="Arial Black" w:hAnsi="Arial Black"/>
          <w:b/>
          <w:color w:val="auto"/>
          <w:sz w:val="24"/>
          <w:szCs w:val="24"/>
          <w:u w:val="none"/>
        </w:rPr>
      </w:pPr>
    </w:p>
    <w:p w14:paraId="1698244A" w14:textId="77777777" w:rsidR="007C6FEF" w:rsidRDefault="007C6FEF" w:rsidP="002B1283">
      <w:pPr>
        <w:rPr>
          <w:rStyle w:val="Hyperlink"/>
          <w:rFonts w:ascii="Arial Black" w:hAnsi="Arial Black"/>
          <w:b/>
          <w:color w:val="auto"/>
          <w:sz w:val="24"/>
          <w:szCs w:val="24"/>
          <w:u w:val="none"/>
        </w:rPr>
      </w:pPr>
    </w:p>
    <w:p w14:paraId="77ED83DA" w14:textId="77A1D5E8" w:rsidR="007471AF" w:rsidRDefault="007471A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w:t>
      </w:r>
    </w:p>
    <w:p w14:paraId="6CA1E87E" w14:textId="4ADF62CE" w:rsidR="007471AF" w:rsidRPr="00706498" w:rsidRDefault="007471AF" w:rsidP="007471AF">
      <w:pPr>
        <w:rPr>
          <w:rFonts w:ascii="Arial Black" w:hAnsi="Arial Black"/>
          <w:sz w:val="28"/>
          <w:szCs w:val="28"/>
        </w:rPr>
      </w:pPr>
      <w:r w:rsidRPr="00706498">
        <w:rPr>
          <w:rFonts w:ascii="Arial Black" w:hAnsi="Arial Black"/>
          <w:sz w:val="28"/>
          <w:szCs w:val="28"/>
        </w:rPr>
        <w:t xml:space="preserve">IN: DRONE – WOMAN FINDS DRONE IN HER YARD – ONBOARD VIDEO SHOWS NEIGHBOR CARRYING DRUGS </w:t>
      </w:r>
      <w:r>
        <w:rPr>
          <w:rFonts w:ascii="Arial Black" w:hAnsi="Arial Black"/>
          <w:sz w:val="28"/>
          <w:szCs w:val="28"/>
        </w:rPr>
        <w:t>[also filed, Chap. 1]</w:t>
      </w:r>
    </w:p>
    <w:p w14:paraId="1A611AD8" w14:textId="77777777" w:rsidR="007471AF" w:rsidRPr="009C4A80" w:rsidRDefault="007471AF" w:rsidP="007471AF">
      <w:pPr>
        <w:pStyle w:val="NoSpacing"/>
        <w:rPr>
          <w:rFonts w:ascii="Times New Roman" w:hAnsi="Times New Roman"/>
          <w:b/>
          <w:bCs/>
          <w:sz w:val="24"/>
          <w:szCs w:val="24"/>
        </w:rPr>
      </w:pPr>
      <w:r w:rsidRPr="009C4A80">
        <w:rPr>
          <w:rFonts w:ascii="Times New Roman" w:hAnsi="Times New Roman"/>
          <w:bCs/>
          <w:sz w:val="24"/>
          <w:szCs w:val="24"/>
        </w:rPr>
        <w:t xml:space="preserve">On Oct. 24, 2019, in </w:t>
      </w:r>
      <w:r w:rsidRPr="009C4A80">
        <w:rPr>
          <w:rFonts w:ascii="Times New Roman" w:hAnsi="Times New Roman"/>
          <w:bCs/>
          <w:sz w:val="24"/>
          <w:szCs w:val="24"/>
          <w:u w:val="single"/>
        </w:rPr>
        <w:t>Galen Byers v. State of Indiana</w:t>
      </w:r>
      <w:r w:rsidRPr="009C4A80">
        <w:rPr>
          <w:rFonts w:ascii="Times New Roman" w:hAnsi="Times New Roman"/>
          <w:bCs/>
          <w:sz w:val="24"/>
          <w:szCs w:val="24"/>
        </w:rPr>
        <w:t xml:space="preserve">, Court of Appeals of Indiana held (3 to 0) that the search warrant was obtained timely, and the trial court properly denied the defendant’s motion to suppress.  Criminal </w:t>
      </w:r>
      <w:proofErr w:type="gramStart"/>
      <w:r w:rsidRPr="009C4A80">
        <w:rPr>
          <w:rFonts w:ascii="Times New Roman" w:hAnsi="Times New Roman"/>
          <w:bCs/>
          <w:sz w:val="24"/>
          <w:szCs w:val="24"/>
        </w:rPr>
        <w:t>case</w:t>
      </w:r>
      <w:proofErr w:type="gramEnd"/>
      <w:r w:rsidRPr="009C4A80">
        <w:rPr>
          <w:rFonts w:ascii="Times New Roman" w:hAnsi="Times New Roman"/>
          <w:bCs/>
          <w:sz w:val="24"/>
          <w:szCs w:val="24"/>
        </w:rPr>
        <w:t xml:space="preserve"> for </w:t>
      </w:r>
      <w:proofErr w:type="gramStart"/>
      <w:r w:rsidRPr="009C4A80">
        <w:rPr>
          <w:rFonts w:ascii="Times New Roman" w:hAnsi="Times New Roman"/>
          <w:bCs/>
          <w:sz w:val="24"/>
          <w:szCs w:val="24"/>
        </w:rPr>
        <w:t>dealing</w:t>
      </w:r>
      <w:proofErr w:type="gramEnd"/>
      <w:r w:rsidRPr="009C4A80">
        <w:rPr>
          <w:rFonts w:ascii="Times New Roman" w:hAnsi="Times New Roman"/>
          <w:bCs/>
          <w:sz w:val="24"/>
          <w:szCs w:val="24"/>
        </w:rPr>
        <w:t xml:space="preserve"> methamphetamine will now be tried, unless the defendant enters a guilty plea.  </w:t>
      </w:r>
    </w:p>
    <w:p w14:paraId="1A4F87B2" w14:textId="77777777" w:rsidR="007471AF" w:rsidRPr="009C4A80" w:rsidRDefault="007471AF" w:rsidP="007471AF">
      <w:pPr>
        <w:pStyle w:val="NoSpacing"/>
        <w:rPr>
          <w:rFonts w:ascii="Times New Roman" w:hAnsi="Times New Roman"/>
          <w:b/>
          <w:bCs/>
          <w:sz w:val="24"/>
          <w:szCs w:val="24"/>
        </w:rPr>
      </w:pPr>
    </w:p>
    <w:p w14:paraId="7815661E" w14:textId="77777777" w:rsidR="007471AF" w:rsidRPr="009C4A80" w:rsidRDefault="007471AF" w:rsidP="007471AF">
      <w:pPr>
        <w:pStyle w:val="NoSpacing"/>
        <w:ind w:left="720"/>
        <w:rPr>
          <w:rFonts w:ascii="Times New Roman" w:hAnsi="Times New Roman"/>
          <w:b/>
          <w:bCs/>
          <w:sz w:val="24"/>
          <w:szCs w:val="24"/>
        </w:rPr>
      </w:pPr>
      <w:r w:rsidRPr="009C4A80">
        <w:rPr>
          <w:rFonts w:ascii="Times New Roman" w:hAnsi="Times New Roman"/>
          <w:bCs/>
          <w:sz w:val="24"/>
          <w:szCs w:val="24"/>
        </w:rPr>
        <w:t xml:space="preserve">“Moreover, while we look at the date of the video footage to determine whether probable cause existed, some lapse can also be accounted for here because [Marcie] </w:t>
      </w:r>
      <w:proofErr w:type="spellStart"/>
      <w:r w:rsidRPr="009C4A80">
        <w:rPr>
          <w:rFonts w:ascii="Times New Roman" w:hAnsi="Times New Roman"/>
          <w:bCs/>
          <w:sz w:val="24"/>
          <w:szCs w:val="24"/>
        </w:rPr>
        <w:t>Vormohr</w:t>
      </w:r>
      <w:proofErr w:type="spellEnd"/>
      <w:r w:rsidRPr="009C4A80">
        <w:rPr>
          <w:rFonts w:ascii="Times New Roman" w:hAnsi="Times New Roman"/>
          <w:bCs/>
          <w:sz w:val="24"/>
          <w:szCs w:val="24"/>
        </w:rPr>
        <w:t xml:space="preserve"> was in possession of the drone for likely at least one of those days. And, although we acknowledge that the woman in the video handled the alleged substances, the video also shows another individual—a man who </w:t>
      </w:r>
      <w:proofErr w:type="spellStart"/>
      <w:r w:rsidRPr="009C4A80">
        <w:rPr>
          <w:rFonts w:ascii="Times New Roman" w:hAnsi="Times New Roman"/>
          <w:bCs/>
          <w:sz w:val="24"/>
          <w:szCs w:val="24"/>
        </w:rPr>
        <w:t>Vormohr</w:t>
      </w:r>
      <w:proofErr w:type="spellEnd"/>
      <w:r w:rsidRPr="009C4A80">
        <w:rPr>
          <w:rFonts w:ascii="Times New Roman" w:hAnsi="Times New Roman"/>
          <w:bCs/>
          <w:sz w:val="24"/>
          <w:szCs w:val="24"/>
        </w:rPr>
        <w:t xml:space="preserve"> testified was Byers—handling the drone moments later in the same and subsequent video recordings. Based on the facts and circumstances before us, we cannot say that a four-day period between the activity and the finding of probable cause renders the warrant constitutionally stale.”</w:t>
      </w:r>
    </w:p>
    <w:p w14:paraId="67FB7E6A" w14:textId="77777777" w:rsidR="007471AF" w:rsidRPr="009C4A80" w:rsidRDefault="007471AF" w:rsidP="007471AF">
      <w:pPr>
        <w:pStyle w:val="NoSpacing"/>
        <w:ind w:left="720"/>
        <w:rPr>
          <w:rFonts w:ascii="Times New Roman" w:hAnsi="Times New Roman"/>
          <w:b/>
          <w:bCs/>
          <w:sz w:val="24"/>
          <w:szCs w:val="24"/>
        </w:rPr>
      </w:pPr>
      <w:hyperlink r:id="rId956" w:history="1">
        <w:r w:rsidRPr="009C4A80">
          <w:rPr>
            <w:rStyle w:val="Hyperlink"/>
            <w:rFonts w:ascii="Times New Roman" w:hAnsi="Times New Roman"/>
            <w:bCs/>
            <w:sz w:val="24"/>
            <w:szCs w:val="24"/>
          </w:rPr>
          <w:t>https://www.in.gov/judiciary/opinions/pdf/10241902eft.pdf</w:t>
        </w:r>
      </w:hyperlink>
      <w:r w:rsidRPr="009C4A80">
        <w:rPr>
          <w:rFonts w:ascii="Times New Roman" w:hAnsi="Times New Roman"/>
          <w:bCs/>
          <w:sz w:val="24"/>
          <w:szCs w:val="24"/>
        </w:rPr>
        <w:t xml:space="preserve"> </w:t>
      </w:r>
    </w:p>
    <w:p w14:paraId="45C8694D" w14:textId="77777777" w:rsidR="009C4A80" w:rsidRDefault="009C4A80" w:rsidP="007471AF">
      <w:pPr>
        <w:pStyle w:val="NoSpacing"/>
        <w:rPr>
          <w:rFonts w:ascii="Times New Roman" w:hAnsi="Times New Roman"/>
          <w:b/>
          <w:bCs/>
          <w:sz w:val="24"/>
          <w:szCs w:val="24"/>
        </w:rPr>
      </w:pPr>
    </w:p>
    <w:p w14:paraId="362D898A" w14:textId="23747565" w:rsidR="007471AF" w:rsidRPr="009C4A80" w:rsidRDefault="007471AF" w:rsidP="007471AF">
      <w:pPr>
        <w:pStyle w:val="NoSpacing"/>
        <w:rPr>
          <w:rFonts w:ascii="Times New Roman" w:hAnsi="Times New Roman"/>
          <w:b/>
          <w:bCs/>
          <w:sz w:val="24"/>
          <w:szCs w:val="24"/>
        </w:rPr>
      </w:pPr>
      <w:r w:rsidRPr="009C4A80">
        <w:rPr>
          <w:rFonts w:ascii="Times New Roman" w:hAnsi="Times New Roman"/>
          <w:b/>
          <w:bCs/>
          <w:sz w:val="24"/>
          <w:szCs w:val="24"/>
        </w:rPr>
        <w:t xml:space="preserve">Legal Lessons Learned:  If you are a drug dealer, be cautious of drones with video cameras. </w:t>
      </w:r>
    </w:p>
    <w:p w14:paraId="0C025598" w14:textId="55D588A2" w:rsidR="007471AF" w:rsidRDefault="007471AF" w:rsidP="007471AF">
      <w:pPr>
        <w:rPr>
          <w:rFonts w:ascii="Arial Black" w:hAnsi="Arial Black"/>
          <w:b/>
          <w:sz w:val="24"/>
          <w:szCs w:val="24"/>
        </w:rPr>
      </w:pPr>
    </w:p>
    <w:p w14:paraId="033989F1" w14:textId="77777777" w:rsidR="007471AF" w:rsidRDefault="007471AF" w:rsidP="002B1283">
      <w:pPr>
        <w:rPr>
          <w:rStyle w:val="Hyperlink"/>
          <w:rFonts w:ascii="Arial Black" w:hAnsi="Arial Black"/>
          <w:b/>
          <w:color w:val="auto"/>
          <w:sz w:val="24"/>
          <w:szCs w:val="24"/>
          <w:u w:val="none"/>
        </w:rPr>
      </w:pPr>
    </w:p>
    <w:p w14:paraId="1254A69A" w14:textId="6DE848B0" w:rsidR="00A06387" w:rsidRDefault="00A06387"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p>
    <w:p w14:paraId="5DE28287" w14:textId="77777777" w:rsidR="00A06387" w:rsidRPr="00BA42E2" w:rsidRDefault="00A06387" w:rsidP="00A06387">
      <w:pPr>
        <w:pStyle w:val="NoSpacing"/>
        <w:rPr>
          <w:rFonts w:ascii="Arial Black" w:hAnsi="Arial Black"/>
          <w:b/>
          <w:bCs/>
          <w:sz w:val="28"/>
          <w:szCs w:val="28"/>
        </w:rPr>
      </w:pPr>
      <w:r>
        <w:rPr>
          <w:rFonts w:ascii="Arial Black" w:hAnsi="Arial Black"/>
          <w:bCs/>
          <w:sz w:val="28"/>
          <w:szCs w:val="28"/>
        </w:rPr>
        <w:t>NY:  RE-KINDLE WAREHOUSE FIRE – FD HAD TURNED OFF SPRINKLER SYSTEM – NO GOVERNMENTAL IMMUNITY</w:t>
      </w:r>
    </w:p>
    <w:p w14:paraId="55B6582C" w14:textId="77777777" w:rsidR="00A06387" w:rsidRDefault="00A06387" w:rsidP="00A06387">
      <w:pPr>
        <w:pStyle w:val="NoSpacing"/>
      </w:pPr>
    </w:p>
    <w:p w14:paraId="4F6175BD" w14:textId="37EE9D26"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t xml:space="preserve">On </w:t>
      </w:r>
      <w:bookmarkStart w:id="185" w:name="_Hlk39824745"/>
      <w:r w:rsidRPr="009C4A80">
        <w:rPr>
          <w:rFonts w:ascii="Times New Roman" w:hAnsi="Times New Roman"/>
          <w:bCs/>
          <w:sz w:val="24"/>
          <w:szCs w:val="24"/>
        </w:rPr>
        <w:t xml:space="preserve">Oct. 23, 2019, in </w:t>
      </w:r>
      <w:r w:rsidRPr="009C4A80">
        <w:rPr>
          <w:rFonts w:ascii="Times New Roman" w:hAnsi="Times New Roman"/>
          <w:bCs/>
          <w:sz w:val="24"/>
          <w:szCs w:val="24"/>
          <w:u w:val="single"/>
        </w:rPr>
        <w:t>Zurick American Insurance Company v. City of New York</w:t>
      </w:r>
      <w:bookmarkEnd w:id="185"/>
      <w:r w:rsidRPr="009C4A80">
        <w:rPr>
          <w:rFonts w:ascii="Times New Roman" w:hAnsi="Times New Roman"/>
          <w:bCs/>
          <w:sz w:val="24"/>
          <w:szCs w:val="24"/>
        </w:rPr>
        <w:t xml:space="preserve">, the Supreme Court of New York, Appellate Division / Second Judicial Department held (5 to 0) that the insurance company for the warehouse may proceed with the lawsuit against the City of New York.  </w:t>
      </w:r>
    </w:p>
    <w:p w14:paraId="6380CCD4" w14:textId="77777777" w:rsidR="009C4A80" w:rsidRDefault="009C4A80" w:rsidP="00A06387">
      <w:pPr>
        <w:pStyle w:val="NoSpacing"/>
        <w:ind w:left="720"/>
        <w:rPr>
          <w:rFonts w:ascii="Times New Roman" w:hAnsi="Times New Roman"/>
          <w:bCs/>
          <w:sz w:val="24"/>
          <w:szCs w:val="24"/>
        </w:rPr>
      </w:pPr>
    </w:p>
    <w:p w14:paraId="68EEA0C2" w14:textId="288A7A41"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“Here, the plaintiffs' allegations that FDNY personnel, upon arriving at the scene and assuming control over the ongoing fire, shut off the main water supply valve to the warehouse's sprinkler systems, then certified to warehouse employees that it was safe to reenter the building when in fact the fire was still at risk of rekindling—which it did within minutes after FDNY personnel left the premises—are sufficient to establish a special relationship (see Trimble v City of Albany, 144 AD3d 1484; S.C. </w:t>
      </w:r>
      <w:proofErr w:type="spellStart"/>
      <w:r w:rsidRPr="009C4A80">
        <w:rPr>
          <w:rFonts w:ascii="Times New Roman" w:hAnsi="Times New Roman"/>
          <w:bCs/>
          <w:sz w:val="24"/>
          <w:szCs w:val="24"/>
        </w:rPr>
        <w:t>Freidfertig</w:t>
      </w:r>
      <w:proofErr w:type="spellEnd"/>
      <w:r w:rsidRPr="009C4A80">
        <w:rPr>
          <w:rFonts w:ascii="Times New Roman" w:hAnsi="Times New Roman"/>
          <w:bCs/>
          <w:sz w:val="24"/>
          <w:szCs w:val="24"/>
        </w:rPr>
        <w:t xml:space="preserve"> Bldrs. v Spano Plumbing &amp; Heating, Inc., 173 AD2d 454). Therefore, we agree with the Supreme Court's determination denying the defendant's motion to dismiss the complaint.”</w:t>
      </w:r>
    </w:p>
    <w:bookmarkStart w:id="186" w:name="_Hlk39824846"/>
    <w:p w14:paraId="76A2C813" w14:textId="38261899" w:rsidR="00A06387" w:rsidRPr="009C4A80" w:rsidRDefault="00F2621E" w:rsidP="009C4A80">
      <w:pPr>
        <w:ind w:firstLine="720"/>
        <w:rPr>
          <w:rStyle w:val="Hyperlink"/>
          <w:rFonts w:ascii="Times New Roman" w:hAnsi="Times New Roman"/>
          <w:b/>
          <w:color w:val="auto"/>
          <w:sz w:val="24"/>
          <w:szCs w:val="24"/>
          <w:u w:val="none"/>
        </w:rPr>
      </w:pPr>
      <w:r>
        <w:fldChar w:fldCharType="begin"/>
      </w:r>
      <w:r>
        <w:instrText xml:space="preserve"> HYPERLINK "https://law.justia.com/cases/new-york/appellate-division-second-department/2019/2017-08288.html" </w:instrText>
      </w:r>
      <w:r>
        <w:fldChar w:fldCharType="separate"/>
      </w:r>
      <w:r w:rsidR="009C4A80" w:rsidRPr="002F304C">
        <w:rPr>
          <w:rStyle w:val="Hyperlink"/>
          <w:rFonts w:ascii="Times New Roman" w:hAnsi="Times New Roman"/>
          <w:bCs/>
          <w:sz w:val="24"/>
          <w:szCs w:val="24"/>
        </w:rPr>
        <w:t>https://law.justia.com/cases/new-york/appellate-division-second-department/2019/2017-08288.html</w:t>
      </w:r>
      <w:r>
        <w:rPr>
          <w:rStyle w:val="Hyperlink"/>
          <w:rFonts w:ascii="Times New Roman" w:hAnsi="Times New Roman"/>
          <w:bCs/>
          <w:sz w:val="24"/>
          <w:szCs w:val="24"/>
        </w:rPr>
        <w:fldChar w:fldCharType="end"/>
      </w:r>
    </w:p>
    <w:p w14:paraId="5C2F6F78" w14:textId="412CFDA1" w:rsidR="00A06387" w:rsidRPr="009C4A80" w:rsidRDefault="00A06387" w:rsidP="00A06387">
      <w:pPr>
        <w:pStyle w:val="NormalWeb"/>
        <w:rPr>
          <w:b/>
          <w:bCs/>
        </w:rPr>
      </w:pPr>
      <w:bookmarkStart w:id="187" w:name="_Hlk40509731"/>
      <w:bookmarkEnd w:id="186"/>
      <w:r w:rsidRPr="009C4A80">
        <w:rPr>
          <w:b/>
          <w:bCs/>
        </w:rPr>
        <w:t>Legal Lessons Learned: Extreme care must be exercised when a sprinkler system is shut down</w:t>
      </w:r>
      <w:r w:rsidR="005E5044">
        <w:rPr>
          <w:b/>
          <w:bCs/>
        </w:rPr>
        <w:t>.</w:t>
      </w:r>
      <w:r w:rsidRPr="009C4A80">
        <w:rPr>
          <w:b/>
          <w:bCs/>
        </w:rPr>
        <w:t xml:space="preserve"> </w:t>
      </w:r>
    </w:p>
    <w:bookmarkEnd w:id="187"/>
    <w:p w14:paraId="0792F4E8" w14:textId="77777777" w:rsidR="00A06387" w:rsidRDefault="00A06387" w:rsidP="002B1283">
      <w:pPr>
        <w:rPr>
          <w:rStyle w:val="Hyperlink"/>
          <w:rFonts w:ascii="Arial Black" w:hAnsi="Arial Black"/>
          <w:b/>
          <w:color w:val="auto"/>
          <w:sz w:val="24"/>
          <w:szCs w:val="24"/>
          <w:u w:val="none"/>
        </w:rPr>
      </w:pPr>
    </w:p>
    <w:p w14:paraId="01530D47" w14:textId="77777777" w:rsidR="00A06387" w:rsidRDefault="00A06387" w:rsidP="002B1283">
      <w:pPr>
        <w:rPr>
          <w:rStyle w:val="Hyperlink"/>
          <w:rFonts w:ascii="Arial Black" w:hAnsi="Arial Black"/>
          <w:b/>
          <w:color w:val="auto"/>
          <w:sz w:val="24"/>
          <w:szCs w:val="24"/>
          <w:u w:val="none"/>
        </w:rPr>
      </w:pPr>
    </w:p>
    <w:p w14:paraId="072AD8B2" w14:textId="2BCA0C9F" w:rsidR="00EF1133" w:rsidRDefault="00EF1133" w:rsidP="002B1283">
      <w:pPr>
        <w:rPr>
          <w:rFonts w:ascii="Arial Black" w:hAnsi="Arial Black"/>
          <w:sz w:val="28"/>
          <w:szCs w:val="28"/>
        </w:rPr>
      </w:pPr>
      <w:r w:rsidRPr="00EF1133">
        <w:rPr>
          <w:rStyle w:val="Hyperlink"/>
          <w:rFonts w:ascii="Arial Black" w:hAnsi="Arial Black"/>
          <w:b/>
          <w:color w:val="auto"/>
          <w:sz w:val="24"/>
          <w:szCs w:val="24"/>
          <w:u w:val="none"/>
        </w:rPr>
        <w:t>4-</w:t>
      </w:r>
      <w:r>
        <w:rPr>
          <w:rStyle w:val="Hyperlink"/>
          <w:rFonts w:ascii="Arial Black" w:hAnsi="Arial Black"/>
          <w:b/>
          <w:color w:val="auto"/>
          <w:sz w:val="24"/>
          <w:szCs w:val="24"/>
          <w:u w:val="none"/>
        </w:rPr>
        <w:t>3</w:t>
      </w:r>
    </w:p>
    <w:p w14:paraId="40B3C8DD" w14:textId="690BDD04" w:rsidR="002B1283" w:rsidRDefault="002B1283" w:rsidP="002B1283">
      <w:pPr>
        <w:rPr>
          <w:rFonts w:ascii="Arial Black" w:hAnsi="Arial Black"/>
          <w:sz w:val="28"/>
          <w:szCs w:val="28"/>
        </w:rPr>
      </w:pPr>
      <w:bookmarkStart w:id="188" w:name="_Hlk39763888"/>
      <w:r>
        <w:rPr>
          <w:rFonts w:ascii="Arial Black" w:hAnsi="Arial Black"/>
          <w:sz w:val="28"/>
          <w:szCs w:val="28"/>
        </w:rPr>
        <w:t>CA:  WILDLAND FIRE IN NATIONAL FOREST – WATER TRUCK RAN OVER FF SLEEPING AT BASE CAMP – NO AUTOMATIC GOVT IMMUNITY</w:t>
      </w:r>
    </w:p>
    <w:p w14:paraId="4C2D8A8B" w14:textId="77777777" w:rsidR="002B1283" w:rsidRDefault="002B1283" w:rsidP="002B1283">
      <w:pPr>
        <w:rPr>
          <w:rStyle w:val="Hyperlink"/>
        </w:rPr>
      </w:pPr>
      <w:r w:rsidRPr="00AA1593">
        <w:rPr>
          <w:rFonts w:ascii="Times New Roman" w:hAnsi="Times New Roman"/>
          <w:sz w:val="24"/>
          <w:szCs w:val="24"/>
        </w:rPr>
        <w:t xml:space="preserve">On July 15, 2019, in </w:t>
      </w:r>
      <w:r w:rsidRPr="00AA1593">
        <w:rPr>
          <w:rFonts w:ascii="Times New Roman" w:hAnsi="Times New Roman"/>
          <w:sz w:val="24"/>
          <w:szCs w:val="24"/>
          <w:u w:val="single"/>
        </w:rPr>
        <w:t>Rebecca Megan Quigley v. Garden Valley Fire Protection District, et al.</w:t>
      </w:r>
      <w:r w:rsidRPr="00AA1593">
        <w:rPr>
          <w:rFonts w:ascii="Times New Roman" w:hAnsi="Times New Roman"/>
          <w:sz w:val="24"/>
          <w:szCs w:val="24"/>
        </w:rPr>
        <w:t xml:space="preserve">, the Supreme Court of California held (7 to 0), the Court reversed the Court of Appeals </w:t>
      </w:r>
      <w:r>
        <w:rPr>
          <w:rFonts w:ascii="Times New Roman" w:hAnsi="Times New Roman"/>
          <w:sz w:val="24"/>
          <w:szCs w:val="24"/>
        </w:rPr>
        <w:t xml:space="preserve">which had </w:t>
      </w:r>
      <w:r w:rsidRPr="00AA1593">
        <w:rPr>
          <w:rFonts w:ascii="Times New Roman" w:hAnsi="Times New Roman"/>
          <w:sz w:val="24"/>
          <w:szCs w:val="24"/>
        </w:rPr>
        <w:t xml:space="preserve">held </w:t>
      </w:r>
      <w:r>
        <w:rPr>
          <w:rFonts w:ascii="Times New Roman" w:hAnsi="Times New Roman"/>
          <w:sz w:val="24"/>
          <w:szCs w:val="24"/>
        </w:rPr>
        <w:t xml:space="preserve">that </w:t>
      </w:r>
      <w:r w:rsidRPr="00AA1593">
        <w:rPr>
          <w:rFonts w:ascii="Times New Roman" w:hAnsi="Times New Roman"/>
          <w:sz w:val="24"/>
          <w:szCs w:val="24"/>
        </w:rPr>
        <w:t xml:space="preserve">the base camp management team and their Fire Departments were automatically </w:t>
      </w:r>
      <w:r>
        <w:rPr>
          <w:rFonts w:ascii="Times New Roman" w:hAnsi="Times New Roman"/>
          <w:sz w:val="24"/>
          <w:szCs w:val="24"/>
        </w:rPr>
        <w:t xml:space="preserve">protected from liability </w:t>
      </w:r>
      <w:r w:rsidRPr="00AA1593">
        <w:rPr>
          <w:rFonts w:ascii="Times New Roman" w:hAnsi="Times New Roman"/>
          <w:sz w:val="24"/>
          <w:szCs w:val="24"/>
        </w:rPr>
        <w:t xml:space="preserve">by CA governmental immunity statute. </w:t>
      </w:r>
      <w:r>
        <w:rPr>
          <w:rFonts w:ascii="Times New Roman" w:hAnsi="Times New Roman"/>
          <w:sz w:val="24"/>
          <w:szCs w:val="24"/>
        </w:rPr>
        <w:t xml:space="preserve"> </w:t>
      </w:r>
    </w:p>
    <w:p w14:paraId="0A28E28C" w14:textId="77777777" w:rsidR="002B1283" w:rsidRDefault="002B1283" w:rsidP="002B1283">
      <w:pPr>
        <w:pStyle w:val="NoSpacing"/>
        <w:ind w:left="720"/>
        <w:rPr>
          <w:rFonts w:ascii="Times New Roman" w:hAnsi="Times New Roman"/>
          <w:sz w:val="24"/>
          <w:szCs w:val="24"/>
        </w:rPr>
      </w:pPr>
      <w:bookmarkStart w:id="189" w:name="_Hlk39765736"/>
      <w:r>
        <w:rPr>
          <w:rFonts w:ascii="Times New Roman" w:hAnsi="Times New Roman"/>
          <w:sz w:val="24"/>
          <w:szCs w:val="24"/>
        </w:rPr>
        <w:t>“</w:t>
      </w:r>
      <w:r w:rsidRPr="00AA1593">
        <w:rPr>
          <w:rFonts w:ascii="Times New Roman" w:hAnsi="Times New Roman"/>
          <w:sz w:val="24"/>
          <w:szCs w:val="24"/>
        </w:rPr>
        <w:t>If the Court of Appeal determines that section 850.4 immunity was not adequately raised in defendants’ answer, the case should be remanded to permit the trial court to decide whether to exercise its discretion to allow the belated assertion of the defense after the commencement of the trial.</w:t>
      </w:r>
      <w:r>
        <w:rPr>
          <w:rFonts w:ascii="Times New Roman" w:hAnsi="Times New Roman"/>
          <w:sz w:val="24"/>
          <w:szCs w:val="24"/>
        </w:rPr>
        <w:t>”</w:t>
      </w:r>
    </w:p>
    <w:p w14:paraId="5D87C57D" w14:textId="77777777" w:rsidR="002B1283" w:rsidRDefault="002B1283" w:rsidP="002B1283">
      <w:pPr>
        <w:ind w:firstLine="720"/>
      </w:pPr>
      <w:hyperlink r:id="rId957" w:history="1">
        <w:r w:rsidRPr="00455844">
          <w:rPr>
            <w:rStyle w:val="Hyperlink"/>
          </w:rPr>
          <w:t>https://law.justia.com/cases/california/supreme-court/2019/s242250.html</w:t>
        </w:r>
      </w:hyperlink>
      <w:bookmarkEnd w:id="189"/>
    </w:p>
    <w:bookmarkEnd w:id="188"/>
    <w:p w14:paraId="29819BF9" w14:textId="77777777" w:rsidR="002B1283" w:rsidRPr="00AA1593" w:rsidRDefault="002B1283" w:rsidP="002B1283">
      <w:pPr>
        <w:pStyle w:val="NoSpacing"/>
        <w:ind w:left="720"/>
        <w:rPr>
          <w:rFonts w:ascii="Times New Roman" w:hAnsi="Times New Roman"/>
          <w:sz w:val="24"/>
          <w:szCs w:val="24"/>
        </w:rPr>
      </w:pPr>
    </w:p>
    <w:p w14:paraId="6C495F4B" w14:textId="77777777" w:rsidR="002B1283" w:rsidRDefault="002B1283" w:rsidP="002B1283">
      <w:pPr>
        <w:rPr>
          <w:rFonts w:ascii="Times New Roman" w:hAnsi="Times New Roman"/>
          <w:b/>
          <w:bCs/>
          <w:sz w:val="24"/>
          <w:szCs w:val="24"/>
        </w:rPr>
      </w:pPr>
      <w:bookmarkStart w:id="190" w:name="_Hlk40509887"/>
      <w:r>
        <w:rPr>
          <w:rFonts w:ascii="Times New Roman" w:hAnsi="Times New Roman"/>
          <w:b/>
          <w:bCs/>
          <w:sz w:val="24"/>
          <w:szCs w:val="24"/>
        </w:rPr>
        <w:t>Legal Lessons Learned:  The injured Federal firefighter was covered by workers comp, but under CA broad governmental immunity statute, she will have a difficult time obtaining damages from these California commanders or their fire department.</w:t>
      </w:r>
    </w:p>
    <w:p w14:paraId="55D9B728" w14:textId="349B1AA6" w:rsidR="002B1283" w:rsidRDefault="005E5044" w:rsidP="002B1283">
      <w:pPr>
        <w:pStyle w:val="NoSpacing"/>
        <w:ind w:left="720"/>
      </w:pPr>
      <w:r>
        <w:rPr>
          <w:rFonts w:ascii="Times New Roman" w:hAnsi="Times New Roman"/>
          <w:sz w:val="24"/>
          <w:szCs w:val="24"/>
        </w:rPr>
        <w:t xml:space="preserve">Note: </w:t>
      </w:r>
      <w:r w:rsidR="002B1283">
        <w:rPr>
          <w:rFonts w:ascii="Times New Roman" w:hAnsi="Times New Roman"/>
          <w:sz w:val="24"/>
          <w:szCs w:val="24"/>
        </w:rPr>
        <w:t>“</w:t>
      </w:r>
      <w:r w:rsidR="002B1283" w:rsidRPr="003F6F54">
        <w:rPr>
          <w:rFonts w:ascii="Times New Roman" w:hAnsi="Times New Roman"/>
          <w:sz w:val="24"/>
          <w:szCs w:val="24"/>
        </w:rPr>
        <w:t>Government Code section 850.4(section 850.4), the provision at issue in this case,</w:t>
      </w:r>
      <w:r w:rsidR="002B1283">
        <w:rPr>
          <w:rFonts w:ascii="Times New Roman" w:hAnsi="Times New Roman"/>
          <w:sz w:val="24"/>
          <w:szCs w:val="24"/>
        </w:rPr>
        <w:t xml:space="preserve"> </w:t>
      </w:r>
      <w:r w:rsidR="002B1283" w:rsidRPr="003F6F54">
        <w:rPr>
          <w:rFonts w:ascii="Times New Roman" w:hAnsi="Times New Roman"/>
          <w:sz w:val="24"/>
          <w:szCs w:val="24"/>
        </w:rPr>
        <w:t xml:space="preserve">establishes immunity: </w:t>
      </w:r>
      <w:r w:rsidR="002B1283">
        <w:rPr>
          <w:rFonts w:ascii="Times New Roman" w:hAnsi="Times New Roman"/>
          <w:sz w:val="24"/>
          <w:szCs w:val="24"/>
        </w:rPr>
        <w:t>‘</w:t>
      </w:r>
      <w:r w:rsidR="002B1283" w:rsidRPr="003F6F54">
        <w:rPr>
          <w:rFonts w:ascii="Times New Roman" w:hAnsi="Times New Roman"/>
          <w:sz w:val="24"/>
          <w:szCs w:val="24"/>
        </w:rPr>
        <w:t>Neither a public entity, nor a public employee acting in the scope of his employment, is liable for any injury resulting from the condition of fire protection or firefighting equipment or facilities or,</w:t>
      </w:r>
      <w:r w:rsidR="002B1283">
        <w:rPr>
          <w:rFonts w:ascii="Times New Roman" w:hAnsi="Times New Roman"/>
          <w:sz w:val="24"/>
          <w:szCs w:val="24"/>
        </w:rPr>
        <w:t>’</w:t>
      </w:r>
      <w:r w:rsidR="002B1283" w:rsidRPr="003F6F54">
        <w:rPr>
          <w:rFonts w:ascii="Times New Roman" w:hAnsi="Times New Roman"/>
          <w:sz w:val="24"/>
          <w:szCs w:val="24"/>
        </w:rPr>
        <w:t xml:space="preserve"> with the exception of certain motor vehicle accidents, </w:t>
      </w:r>
      <w:r w:rsidR="002B1283">
        <w:rPr>
          <w:rFonts w:ascii="Times New Roman" w:hAnsi="Times New Roman"/>
          <w:sz w:val="24"/>
          <w:szCs w:val="24"/>
        </w:rPr>
        <w:t>‘</w:t>
      </w:r>
      <w:r w:rsidR="002B1283" w:rsidRPr="003F6F54">
        <w:rPr>
          <w:rFonts w:ascii="Times New Roman" w:hAnsi="Times New Roman"/>
          <w:sz w:val="24"/>
          <w:szCs w:val="24"/>
        </w:rPr>
        <w:t>for any injury caused in fighting fires.</w:t>
      </w:r>
      <w:r w:rsidR="002B1283">
        <w:rPr>
          <w:rFonts w:ascii="Times New Roman" w:hAnsi="Times New Roman"/>
          <w:sz w:val="24"/>
          <w:szCs w:val="24"/>
        </w:rPr>
        <w:t>’</w:t>
      </w:r>
      <w:r w:rsidR="002B1283" w:rsidRPr="003F6F54">
        <w:rPr>
          <w:rFonts w:ascii="Times New Roman" w:hAnsi="Times New Roman"/>
          <w:sz w:val="24"/>
          <w:szCs w:val="24"/>
        </w:rPr>
        <w:t xml:space="preserve"> Section 850.4 was enacted at the recommendation of the Law Revision</w:t>
      </w:r>
      <w:r w:rsidR="002B1283">
        <w:rPr>
          <w:rFonts w:ascii="Times New Roman" w:hAnsi="Times New Roman"/>
          <w:sz w:val="24"/>
          <w:szCs w:val="24"/>
        </w:rPr>
        <w:t xml:space="preserve"> </w:t>
      </w:r>
      <w:r w:rsidR="002B1283" w:rsidRPr="003F6F54">
        <w:rPr>
          <w:rFonts w:ascii="Times New Roman" w:hAnsi="Times New Roman"/>
          <w:sz w:val="24"/>
          <w:szCs w:val="24"/>
        </w:rPr>
        <w:t>Commission.</w:t>
      </w:r>
      <w:r w:rsidR="002B1283">
        <w:rPr>
          <w:rFonts w:ascii="Times New Roman" w:hAnsi="Times New Roman"/>
          <w:sz w:val="24"/>
          <w:szCs w:val="24"/>
        </w:rPr>
        <w:t xml:space="preserve"> </w:t>
      </w:r>
      <w:r w:rsidR="002B1283" w:rsidRPr="003F6F54">
        <w:rPr>
          <w:rFonts w:ascii="Times New Roman" w:hAnsi="Times New Roman"/>
          <w:sz w:val="24"/>
          <w:szCs w:val="24"/>
        </w:rPr>
        <w:t>The commission’s report to the Legislature explained</w:t>
      </w:r>
      <w:r w:rsidR="002B1283">
        <w:rPr>
          <w:rFonts w:ascii="Times New Roman" w:hAnsi="Times New Roman"/>
          <w:sz w:val="24"/>
          <w:szCs w:val="24"/>
        </w:rPr>
        <w:t xml:space="preserve"> </w:t>
      </w:r>
      <w:r w:rsidR="002B1283" w:rsidRPr="003F6F54">
        <w:rPr>
          <w:rFonts w:ascii="Times New Roman" w:hAnsi="Times New Roman"/>
          <w:sz w:val="24"/>
          <w:szCs w:val="24"/>
        </w:rPr>
        <w:t xml:space="preserve">section 850.4’s purpose as follows: </w:t>
      </w:r>
      <w:r w:rsidR="002B1283">
        <w:rPr>
          <w:rFonts w:ascii="Times New Roman" w:hAnsi="Times New Roman"/>
          <w:sz w:val="24"/>
          <w:szCs w:val="24"/>
        </w:rPr>
        <w:t>‘</w:t>
      </w:r>
      <w:r w:rsidR="002B1283" w:rsidRPr="003F6F54">
        <w:rPr>
          <w:rFonts w:ascii="Times New Roman" w:hAnsi="Times New Roman"/>
          <w:sz w:val="24"/>
          <w:szCs w:val="24"/>
        </w:rPr>
        <w:t>There are adequate incentives to careful maintenance of fire equipment without imposing tort liability; and firemen should not be deterred from any action they may</w:t>
      </w:r>
      <w:r w:rsidR="002B1283">
        <w:rPr>
          <w:rFonts w:ascii="Times New Roman" w:hAnsi="Times New Roman"/>
          <w:sz w:val="24"/>
          <w:szCs w:val="24"/>
        </w:rPr>
        <w:t xml:space="preserve"> </w:t>
      </w:r>
      <w:r w:rsidR="002B1283" w:rsidRPr="003F6F54">
        <w:rPr>
          <w:rFonts w:ascii="Times New Roman" w:hAnsi="Times New Roman"/>
          <w:sz w:val="24"/>
          <w:szCs w:val="24"/>
        </w:rPr>
        <w:t>desire to take in combatting fires by a fear that liability might be imposed if a jury believes such action to be unreasonable.</w:t>
      </w:r>
      <w:r w:rsidR="002B1283">
        <w:rPr>
          <w:rFonts w:ascii="Times New Roman" w:hAnsi="Times New Roman"/>
          <w:sz w:val="24"/>
          <w:szCs w:val="24"/>
        </w:rPr>
        <w:t>’”</w:t>
      </w:r>
    </w:p>
    <w:p w14:paraId="1C545D90" w14:textId="77777777" w:rsidR="002B1283" w:rsidRDefault="002B1283" w:rsidP="002B1283">
      <w:pPr>
        <w:ind w:firstLine="720"/>
      </w:pPr>
      <w:hyperlink r:id="rId958" w:history="1">
        <w:r w:rsidRPr="0000752C">
          <w:rPr>
            <w:rStyle w:val="Hyperlink"/>
          </w:rPr>
          <w:t>https://law.justia.com/cases/california/supreme-court/2019/s242250.html</w:t>
        </w:r>
      </w:hyperlink>
      <w:r>
        <w:t xml:space="preserve"> </w:t>
      </w:r>
    </w:p>
    <w:bookmarkEnd w:id="190"/>
    <w:p w14:paraId="71E386B5" w14:textId="77777777" w:rsidR="002B1283" w:rsidRDefault="002B1283" w:rsidP="00F326E5">
      <w:pPr>
        <w:pStyle w:val="NoSpacing"/>
        <w:rPr>
          <w:sz w:val="24"/>
          <w:szCs w:val="24"/>
        </w:rPr>
      </w:pPr>
    </w:p>
    <w:p w14:paraId="0B2ADBAF" w14:textId="344C2A9F" w:rsidR="00EF1133" w:rsidRDefault="00EF1133" w:rsidP="00EF1133">
      <w:pPr>
        <w:rPr>
          <w:rFonts w:ascii="Arial Black" w:hAnsi="Arial Black"/>
          <w:sz w:val="28"/>
          <w:szCs w:val="28"/>
        </w:rPr>
      </w:pPr>
      <w:r w:rsidRPr="00EF1133">
        <w:rPr>
          <w:rStyle w:val="Hyperlink"/>
          <w:rFonts w:ascii="Arial Black" w:hAnsi="Arial Black"/>
          <w:b/>
          <w:color w:val="auto"/>
          <w:sz w:val="24"/>
          <w:szCs w:val="24"/>
          <w:u w:val="none"/>
        </w:rPr>
        <w:t>4-</w:t>
      </w:r>
      <w:r>
        <w:rPr>
          <w:rStyle w:val="Hyperlink"/>
          <w:rFonts w:ascii="Arial Black" w:hAnsi="Arial Black"/>
          <w:b/>
          <w:color w:val="auto"/>
          <w:sz w:val="24"/>
          <w:szCs w:val="24"/>
          <w:u w:val="none"/>
        </w:rPr>
        <w:t>2</w:t>
      </w:r>
    </w:p>
    <w:p w14:paraId="06A915EE" w14:textId="21C12EBD" w:rsidR="00F326E5" w:rsidRDefault="00F326E5" w:rsidP="00F326E5">
      <w:pPr>
        <w:pStyle w:val="NoSpacing"/>
        <w:rPr>
          <w:rFonts w:ascii="Arial Black" w:hAnsi="Arial Black"/>
          <w:sz w:val="28"/>
          <w:szCs w:val="28"/>
        </w:rPr>
      </w:pPr>
      <w:r w:rsidRPr="0077539E">
        <w:rPr>
          <w:rFonts w:ascii="Arial Black" w:hAnsi="Arial Black"/>
          <w:sz w:val="28"/>
          <w:szCs w:val="28"/>
        </w:rPr>
        <w:t xml:space="preserve">GA:  </w:t>
      </w:r>
      <w:r>
        <w:rPr>
          <w:rFonts w:ascii="Arial Black" w:hAnsi="Arial Black"/>
          <w:sz w:val="28"/>
          <w:szCs w:val="28"/>
        </w:rPr>
        <w:t xml:space="preserve">DRONE VIDEO ADMISSIBLE - SHOWS ARREST DURING DEMONSTRATION WAS LAWFUL </w:t>
      </w:r>
    </w:p>
    <w:p w14:paraId="65F0CFDA"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w:t>
      </w:r>
      <w:bookmarkStart w:id="191" w:name="_Hlk39825247"/>
      <w:r w:rsidRPr="009C4A80">
        <w:rPr>
          <w:rFonts w:ascii="Times New Roman" w:hAnsi="Times New Roman"/>
          <w:sz w:val="24"/>
          <w:szCs w:val="24"/>
        </w:rPr>
        <w:t xml:space="preserve">March 28, 2019, in </w:t>
      </w:r>
      <w:r w:rsidRPr="009C4A80">
        <w:rPr>
          <w:rFonts w:ascii="Times New Roman" w:hAnsi="Times New Roman"/>
          <w:sz w:val="24"/>
          <w:szCs w:val="24"/>
          <w:u w:val="single"/>
        </w:rPr>
        <w:t>John Ruch v. Sergeant Michelle McKenzie</w:t>
      </w:r>
      <w:bookmarkEnd w:id="191"/>
      <w:r w:rsidRPr="009C4A80">
        <w:rPr>
          <w:rFonts w:ascii="Times New Roman" w:hAnsi="Times New Roman"/>
          <w:sz w:val="24"/>
          <w:szCs w:val="24"/>
        </w:rPr>
        <w:t xml:space="preserve">, U.S. District Court judge Michael L. Brown, US District Court, Northern District of Georgia / Atlanta, granted motion for summary judgment for Sergeant McKenzie, writing:   </w:t>
      </w:r>
    </w:p>
    <w:p w14:paraId="048DB128" w14:textId="77777777" w:rsidR="009C4A80" w:rsidRDefault="009C4A80" w:rsidP="009C4A80">
      <w:pPr>
        <w:pStyle w:val="NoSpacing"/>
        <w:ind w:firstLine="720"/>
        <w:rPr>
          <w:rFonts w:ascii="Times New Roman" w:hAnsi="Times New Roman"/>
          <w:sz w:val="24"/>
          <w:szCs w:val="24"/>
        </w:rPr>
      </w:pPr>
    </w:p>
    <w:p w14:paraId="1FBAF5CC" w14:textId="6262D4E1" w:rsidR="00F326E5" w:rsidRPr="009C4A80" w:rsidRDefault="00F326E5" w:rsidP="009C4A80">
      <w:pPr>
        <w:pStyle w:val="NoSpacing"/>
        <w:ind w:left="720"/>
        <w:rPr>
          <w:rFonts w:ascii="Times New Roman" w:hAnsi="Times New Roman"/>
          <w:sz w:val="24"/>
          <w:szCs w:val="24"/>
        </w:rPr>
      </w:pPr>
      <w:r w:rsidRPr="009C4A80">
        <w:rPr>
          <w:rFonts w:ascii="Times New Roman" w:hAnsi="Times New Roman"/>
          <w:sz w:val="24"/>
          <w:szCs w:val="24"/>
        </w:rPr>
        <w:t xml:space="preserve">“The video footage shows Plaintiff step off the sidewalk in one location, walk around a group of people watching and filming the fight, and step back onto the sidewalk — directly into the area where Defendant stood protecting the </w:t>
      </w:r>
      <w:proofErr w:type="gramStart"/>
      <w:r w:rsidRPr="009C4A80">
        <w:rPr>
          <w:rFonts w:ascii="Times New Roman" w:hAnsi="Times New Roman"/>
          <w:sz w:val="24"/>
          <w:szCs w:val="24"/>
        </w:rPr>
        <w:t>officers</w:t>
      </w:r>
      <w:proofErr w:type="gramEnd"/>
      <w:r w:rsidRPr="009C4A80">
        <w:rPr>
          <w:rFonts w:ascii="Times New Roman" w:hAnsi="Times New Roman"/>
          <w:sz w:val="24"/>
          <w:szCs w:val="24"/>
        </w:rPr>
        <w:t xml:space="preserve"> making arrests. (Id. at minute mark 3:58.) Contrary to Plaintiff’s allegations, he was not standing still at the time of his arrest. He was moving toward the area Defendant was trying to secure.” </w:t>
      </w:r>
      <w:bookmarkStart w:id="192" w:name="_Hlk39825271"/>
      <w:r w:rsidR="00F2621E">
        <w:fldChar w:fldCharType="begin"/>
      </w:r>
      <w:r w:rsidR="00F2621E">
        <w:instrText xml:space="preserve"> HYPERLINK "https://cases.justia.com/federal/district-courts/georgia/gandce/1:2015cv03296/220233/141/0.pdf?ts=1553851239" </w:instrText>
      </w:r>
      <w:r w:rsidR="00F2621E">
        <w:fldChar w:fldCharType="separate"/>
      </w:r>
      <w:r w:rsidRPr="009C4A80">
        <w:rPr>
          <w:rStyle w:val="Hyperlink"/>
          <w:rFonts w:ascii="Times New Roman" w:hAnsi="Times New Roman"/>
          <w:sz w:val="24"/>
          <w:szCs w:val="24"/>
        </w:rPr>
        <w:t>https://cases.justia.com/federal/district-courts/georgia/gandce/1:2015cv03296/220233/141/0.pdf?ts=1553851239</w:t>
      </w:r>
      <w:r w:rsidR="00F2621E">
        <w:rPr>
          <w:rStyle w:val="Hyperlink"/>
          <w:rFonts w:ascii="Times New Roman" w:hAnsi="Times New Roman"/>
          <w:sz w:val="24"/>
          <w:szCs w:val="24"/>
        </w:rPr>
        <w:fldChar w:fldCharType="end"/>
      </w:r>
      <w:r w:rsidRPr="009C4A80">
        <w:rPr>
          <w:rFonts w:ascii="Times New Roman" w:hAnsi="Times New Roman"/>
          <w:sz w:val="24"/>
          <w:szCs w:val="24"/>
        </w:rPr>
        <w:t xml:space="preserve"> </w:t>
      </w:r>
      <w:bookmarkEnd w:id="192"/>
    </w:p>
    <w:p w14:paraId="731179D7" w14:textId="77777777" w:rsidR="009C4A80" w:rsidRDefault="009C4A80" w:rsidP="00F326E5">
      <w:pPr>
        <w:rPr>
          <w:rFonts w:ascii="Times New Roman" w:hAnsi="Times New Roman"/>
          <w:b/>
          <w:sz w:val="24"/>
          <w:szCs w:val="24"/>
        </w:rPr>
      </w:pPr>
    </w:p>
    <w:p w14:paraId="62745EA3" w14:textId="4AD1F0D8" w:rsidR="00F326E5" w:rsidRPr="009C4A80" w:rsidRDefault="00F326E5" w:rsidP="00F326E5">
      <w:pPr>
        <w:rPr>
          <w:rFonts w:ascii="Times New Roman" w:hAnsi="Times New Roman"/>
          <w:b/>
          <w:sz w:val="24"/>
          <w:szCs w:val="24"/>
        </w:rPr>
      </w:pPr>
      <w:r w:rsidRPr="009C4A80">
        <w:rPr>
          <w:rFonts w:ascii="Times New Roman" w:hAnsi="Times New Roman"/>
          <w:b/>
          <w:sz w:val="24"/>
          <w:szCs w:val="24"/>
        </w:rPr>
        <w:t xml:space="preserve">Legal Lessons Learned:  Videos can sometimes lead to dismissal of </w:t>
      </w:r>
      <w:proofErr w:type="gramStart"/>
      <w:r w:rsidRPr="009C4A80">
        <w:rPr>
          <w:rFonts w:ascii="Times New Roman" w:hAnsi="Times New Roman"/>
          <w:b/>
          <w:sz w:val="24"/>
          <w:szCs w:val="24"/>
        </w:rPr>
        <w:t>lawsuit</w:t>
      </w:r>
      <w:proofErr w:type="gramEnd"/>
      <w:r w:rsidRPr="009C4A80">
        <w:rPr>
          <w:rFonts w:ascii="Times New Roman" w:hAnsi="Times New Roman"/>
          <w:b/>
          <w:sz w:val="24"/>
          <w:szCs w:val="24"/>
        </w:rPr>
        <w:t>.</w:t>
      </w:r>
    </w:p>
    <w:bookmarkEnd w:id="173"/>
    <w:p w14:paraId="59717D8D" w14:textId="007C121D" w:rsidR="00F326E5" w:rsidRDefault="00F326E5" w:rsidP="00F326E5">
      <w:pPr>
        <w:rPr>
          <w:rStyle w:val="Hyperlink"/>
          <w:b/>
          <w:sz w:val="24"/>
          <w:szCs w:val="24"/>
        </w:rPr>
      </w:pPr>
    </w:p>
    <w:p w14:paraId="32CF9051" w14:textId="50F7EE6F" w:rsidR="009C4A80" w:rsidRDefault="009C4A80" w:rsidP="00F326E5">
      <w:pPr>
        <w:rPr>
          <w:rStyle w:val="Hyperlink"/>
          <w:b/>
          <w:sz w:val="24"/>
          <w:szCs w:val="24"/>
        </w:rPr>
      </w:pPr>
    </w:p>
    <w:p w14:paraId="5282FA41" w14:textId="77777777" w:rsidR="009C4A80" w:rsidRDefault="009C4A80" w:rsidP="00F326E5">
      <w:pPr>
        <w:rPr>
          <w:rStyle w:val="Hyperlink"/>
          <w:b/>
          <w:sz w:val="24"/>
          <w:szCs w:val="24"/>
        </w:rPr>
      </w:pPr>
    </w:p>
    <w:p w14:paraId="6F4D3831" w14:textId="25C4E644" w:rsidR="00EF1133" w:rsidRPr="00EF1133" w:rsidRDefault="00EF1133" w:rsidP="00F326E5">
      <w:pPr>
        <w:rPr>
          <w:rStyle w:val="Hyperlink"/>
          <w:rFonts w:ascii="Arial Black" w:hAnsi="Arial Black"/>
          <w:b/>
          <w:color w:val="auto"/>
          <w:sz w:val="24"/>
          <w:szCs w:val="24"/>
          <w:u w:val="none"/>
        </w:rPr>
      </w:pPr>
      <w:r w:rsidRPr="00EF1133">
        <w:rPr>
          <w:rStyle w:val="Hyperlink"/>
          <w:rFonts w:ascii="Arial Black" w:hAnsi="Arial Black"/>
          <w:b/>
          <w:color w:val="auto"/>
          <w:sz w:val="24"/>
          <w:szCs w:val="24"/>
          <w:u w:val="none"/>
        </w:rPr>
        <w:t>4-1</w:t>
      </w:r>
    </w:p>
    <w:p w14:paraId="71EA5D9D" w14:textId="6024D070" w:rsidR="00F326E5" w:rsidRPr="009F2867" w:rsidRDefault="00F326E5" w:rsidP="00F326E5">
      <w:pPr>
        <w:pStyle w:val="NoSpacing"/>
        <w:rPr>
          <w:rFonts w:ascii="Arial Black" w:hAnsi="Arial Black"/>
          <w:sz w:val="24"/>
          <w:szCs w:val="24"/>
        </w:rPr>
      </w:pPr>
      <w:bookmarkStart w:id="193" w:name="_Hlk7249620"/>
      <w:r w:rsidRPr="007F6024">
        <w:rPr>
          <w:rFonts w:ascii="Arial Black" w:hAnsi="Arial Black"/>
          <w:sz w:val="28"/>
          <w:szCs w:val="28"/>
        </w:rPr>
        <w:t xml:space="preserve">OH: </w:t>
      </w:r>
      <w:r>
        <w:rPr>
          <w:rFonts w:ascii="Arial Black" w:hAnsi="Arial Black"/>
          <w:sz w:val="28"/>
          <w:szCs w:val="28"/>
        </w:rPr>
        <w:t xml:space="preserve">MJ FOUND IN HOUSE FIRE – DRUG DETECTIVE NEEDED WARRANT – SCENE WAS SAFE </w:t>
      </w:r>
    </w:p>
    <w:p w14:paraId="019E5400" w14:textId="77777777" w:rsidR="009C4A80" w:rsidRDefault="00F326E5" w:rsidP="00F326E5">
      <w:pPr>
        <w:rPr>
          <w:rFonts w:ascii="Times New Roman" w:eastAsia="Times New Roman" w:hAnsi="Times New Roman"/>
          <w:sz w:val="24"/>
          <w:szCs w:val="24"/>
        </w:rPr>
      </w:pPr>
      <w:r w:rsidRPr="009C4A80">
        <w:rPr>
          <w:rFonts w:ascii="Times New Roman" w:eastAsia="Times New Roman" w:hAnsi="Times New Roman"/>
          <w:sz w:val="24"/>
          <w:szCs w:val="24"/>
        </w:rPr>
        <w:t xml:space="preserve">On Aug. 24, 2018, in </w:t>
      </w:r>
      <w:r w:rsidRPr="009C4A80">
        <w:rPr>
          <w:rFonts w:ascii="Times New Roman" w:eastAsia="Times New Roman" w:hAnsi="Times New Roman"/>
          <w:sz w:val="24"/>
          <w:szCs w:val="24"/>
          <w:u w:val="single"/>
        </w:rPr>
        <w:t>State of Ohio v. Albert N. Smith</w:t>
      </w:r>
      <w:r w:rsidRPr="009C4A80">
        <w:rPr>
          <w:rFonts w:ascii="Times New Roman" w:eastAsia="Times New Roman" w:hAnsi="Times New Roman"/>
          <w:sz w:val="24"/>
          <w:szCs w:val="24"/>
        </w:rPr>
        <w:t xml:space="preserve">, the Court of Appeals for Fifth Appellate District (Licking County) held (3 to 0) that the trial court judge properly granted defendant’s motion to suppress the marijuana and other evidence. </w:t>
      </w:r>
    </w:p>
    <w:p w14:paraId="4716569B" w14:textId="3209312F" w:rsidR="00F326E5" w:rsidRPr="009C4A80" w:rsidRDefault="00F326E5" w:rsidP="009C4A80">
      <w:pPr>
        <w:ind w:left="720" w:firstLine="60"/>
        <w:rPr>
          <w:rFonts w:ascii="Times New Roman" w:eastAsia="Times New Roman" w:hAnsi="Times New Roman"/>
          <w:sz w:val="24"/>
          <w:szCs w:val="24"/>
        </w:rPr>
      </w:pPr>
      <w:r w:rsidRPr="009C4A80">
        <w:rPr>
          <w:rFonts w:ascii="Times New Roman" w:eastAsia="Times New Roman" w:hAnsi="Times New Roman"/>
          <w:sz w:val="24"/>
          <w:szCs w:val="24"/>
        </w:rPr>
        <w:t xml:space="preserve">“Det. Thomas testified that he was assured the fire was out, and the home was safe for him to enter …. Det. Thomas also stated that he was not told that any of the evidence was in danger of being damaged by smoke, water or fire. </w:t>
      </w:r>
      <w:r w:rsidRPr="009C4A80">
        <w:rPr>
          <w:rFonts w:ascii="Times New Roman" w:hAnsi="Times New Roman"/>
          <w:sz w:val="24"/>
          <w:szCs w:val="24"/>
        </w:rPr>
        <w:t>Based on the foregoing, we</w:t>
      </w:r>
      <w:r w:rsidRPr="009C4A80">
        <w:rPr>
          <w:rFonts w:ascii="Times New Roman" w:eastAsia="Times New Roman" w:hAnsi="Times New Roman"/>
          <w:sz w:val="24"/>
          <w:szCs w:val="24"/>
        </w:rPr>
        <w:t xml:space="preserve"> do not find exigent </w:t>
      </w:r>
      <w:proofErr w:type="gramStart"/>
      <w:r w:rsidRPr="009C4A80">
        <w:rPr>
          <w:rFonts w:ascii="Times New Roman" w:eastAsia="Times New Roman" w:hAnsi="Times New Roman"/>
          <w:sz w:val="24"/>
          <w:szCs w:val="24"/>
        </w:rPr>
        <w:t>circumstances existed</w:t>
      </w:r>
      <w:proofErr w:type="gramEnd"/>
      <w:r w:rsidRPr="009C4A80">
        <w:rPr>
          <w:rFonts w:ascii="Times New Roman" w:eastAsia="Times New Roman" w:hAnsi="Times New Roman"/>
          <w:sz w:val="24"/>
          <w:szCs w:val="24"/>
        </w:rPr>
        <w:t xml:space="preserve"> that required or allowed for a warrantless search of the premises. We therefore find no error in the trial court’s suppression of the evidence collected in this matter.”</w:t>
      </w:r>
      <w:r w:rsidRPr="009C4A80">
        <w:rPr>
          <w:rFonts w:ascii="Times New Roman" w:hAnsi="Times New Roman"/>
          <w:sz w:val="24"/>
          <w:szCs w:val="24"/>
        </w:rPr>
        <w:t xml:space="preserve"> </w:t>
      </w:r>
      <w:hyperlink r:id="rId959" w:history="1">
        <w:r w:rsidRPr="009C4A80">
          <w:rPr>
            <w:rStyle w:val="Hyperlink"/>
            <w:rFonts w:ascii="Times New Roman" w:hAnsi="Times New Roman"/>
            <w:sz w:val="24"/>
            <w:szCs w:val="24"/>
          </w:rPr>
          <w:t>http://www.supremecourt.ohio.gov/rod/docs/pdf/5/2018/2018-Ohio-3436.pdf</w:t>
        </w:r>
      </w:hyperlink>
      <w:r w:rsidRPr="009C4A80">
        <w:rPr>
          <w:rFonts w:ascii="Times New Roman" w:eastAsia="Times New Roman" w:hAnsi="Times New Roman"/>
          <w:sz w:val="24"/>
          <w:szCs w:val="24"/>
        </w:rPr>
        <w:t xml:space="preserve"> </w:t>
      </w:r>
    </w:p>
    <w:p w14:paraId="3F055AD7" w14:textId="77777777" w:rsidR="00F326E5" w:rsidRPr="009C4A80" w:rsidRDefault="00F326E5" w:rsidP="00F326E5">
      <w:pPr>
        <w:rPr>
          <w:rFonts w:ascii="Times New Roman" w:eastAsia="Times New Roman" w:hAnsi="Times New Roman"/>
          <w:b/>
          <w:sz w:val="24"/>
          <w:szCs w:val="24"/>
        </w:rPr>
      </w:pPr>
      <w:r w:rsidRPr="009C4A80">
        <w:rPr>
          <w:rFonts w:ascii="Times New Roman" w:eastAsia="Times New Roman" w:hAnsi="Times New Roman"/>
          <w:b/>
          <w:sz w:val="24"/>
          <w:szCs w:val="24"/>
        </w:rPr>
        <w:t xml:space="preserve">Legal Lessons Learned:  If the structure fire has been extinguished, and the property deemed safe to enter, FD should continue to secure the property, while PD gets a search warrant. </w:t>
      </w:r>
    </w:p>
    <w:bookmarkEnd w:id="193"/>
    <w:p w14:paraId="496712ED" w14:textId="77777777" w:rsidR="00DE42DC" w:rsidRDefault="00F326E5" w:rsidP="00F326E5">
      <w:pPr>
        <w:rPr>
          <w:rFonts w:ascii="Times New Roman" w:hAnsi="Times New Roman"/>
          <w:sz w:val="24"/>
          <w:szCs w:val="24"/>
        </w:rPr>
      </w:pPr>
      <w:r w:rsidRPr="009C4A80">
        <w:rPr>
          <w:rFonts w:ascii="Times New Roman" w:hAnsi="Times New Roman"/>
          <w:sz w:val="24"/>
          <w:szCs w:val="24"/>
        </w:rPr>
        <w:br w:type="page"/>
      </w:r>
    </w:p>
    <w:p w14:paraId="5309A560" w14:textId="77777777" w:rsidR="00DE42DC" w:rsidRDefault="00DE42DC" w:rsidP="00F326E5">
      <w:pPr>
        <w:rPr>
          <w:rFonts w:ascii="Times New Roman" w:hAnsi="Times New Roman"/>
          <w:sz w:val="24"/>
          <w:szCs w:val="24"/>
        </w:rPr>
      </w:pPr>
    </w:p>
    <w:p w14:paraId="6B1959FF" w14:textId="77777777" w:rsidR="00DE42DC" w:rsidRDefault="00DE42DC" w:rsidP="00F326E5">
      <w:pPr>
        <w:rPr>
          <w:rFonts w:ascii="Times New Roman" w:hAnsi="Times New Roman"/>
          <w:sz w:val="24"/>
          <w:szCs w:val="24"/>
        </w:rPr>
      </w:pPr>
    </w:p>
    <w:p w14:paraId="684CEFC3" w14:textId="77777777" w:rsidR="005263F1" w:rsidRDefault="005263F1" w:rsidP="00F326E5">
      <w:pPr>
        <w:rPr>
          <w:rFonts w:ascii="Arial Black" w:hAnsi="Arial Black"/>
          <w:sz w:val="40"/>
          <w:szCs w:val="40"/>
        </w:rPr>
      </w:pPr>
    </w:p>
    <w:p w14:paraId="3A43B264" w14:textId="77777777" w:rsidR="005263F1" w:rsidRDefault="005263F1" w:rsidP="00F326E5">
      <w:pPr>
        <w:rPr>
          <w:rFonts w:ascii="Arial Black" w:hAnsi="Arial Black"/>
          <w:sz w:val="40"/>
          <w:szCs w:val="40"/>
        </w:rPr>
      </w:pPr>
    </w:p>
    <w:p w14:paraId="1E061D7A" w14:textId="77777777" w:rsidR="005263F1" w:rsidRDefault="005263F1" w:rsidP="00F326E5">
      <w:pPr>
        <w:rPr>
          <w:rFonts w:ascii="Arial Black" w:hAnsi="Arial Black"/>
          <w:sz w:val="40"/>
          <w:szCs w:val="40"/>
        </w:rPr>
      </w:pPr>
    </w:p>
    <w:p w14:paraId="48C76D90" w14:textId="77777777" w:rsidR="005263F1" w:rsidRDefault="005263F1" w:rsidP="00F326E5">
      <w:pPr>
        <w:rPr>
          <w:rFonts w:ascii="Arial Black" w:hAnsi="Arial Black"/>
          <w:sz w:val="40"/>
          <w:szCs w:val="40"/>
        </w:rPr>
      </w:pPr>
    </w:p>
    <w:p w14:paraId="48DBD379" w14:textId="77777777" w:rsidR="005263F1" w:rsidRDefault="005263F1" w:rsidP="00F326E5">
      <w:pPr>
        <w:rPr>
          <w:rFonts w:ascii="Arial Black" w:hAnsi="Arial Black"/>
          <w:sz w:val="40"/>
          <w:szCs w:val="40"/>
        </w:rPr>
      </w:pPr>
    </w:p>
    <w:p w14:paraId="7CA0ABAC" w14:textId="77777777" w:rsidR="005263F1" w:rsidRDefault="005263F1" w:rsidP="00F326E5">
      <w:pPr>
        <w:rPr>
          <w:rFonts w:ascii="Arial Black" w:hAnsi="Arial Black"/>
          <w:sz w:val="40"/>
          <w:szCs w:val="40"/>
        </w:rPr>
      </w:pPr>
    </w:p>
    <w:p w14:paraId="46BBA60C" w14:textId="77777777" w:rsidR="005263F1" w:rsidRDefault="005263F1" w:rsidP="00F326E5">
      <w:pPr>
        <w:rPr>
          <w:rFonts w:ascii="Arial Black" w:hAnsi="Arial Black"/>
          <w:sz w:val="40"/>
          <w:szCs w:val="40"/>
        </w:rPr>
      </w:pPr>
    </w:p>
    <w:p w14:paraId="08B77CA9" w14:textId="77777777" w:rsidR="005263F1" w:rsidRDefault="005263F1" w:rsidP="00F326E5">
      <w:pPr>
        <w:rPr>
          <w:rFonts w:ascii="Arial Black" w:hAnsi="Arial Black"/>
          <w:sz w:val="40"/>
          <w:szCs w:val="40"/>
        </w:rPr>
      </w:pPr>
    </w:p>
    <w:p w14:paraId="6FA9E4BE" w14:textId="77777777" w:rsidR="005263F1" w:rsidRDefault="005263F1" w:rsidP="00F326E5">
      <w:pPr>
        <w:rPr>
          <w:rFonts w:ascii="Arial Black" w:hAnsi="Arial Black"/>
          <w:sz w:val="40"/>
          <w:szCs w:val="40"/>
        </w:rPr>
      </w:pPr>
    </w:p>
    <w:p w14:paraId="533F9C13" w14:textId="77777777" w:rsidR="005263F1" w:rsidRDefault="005263F1" w:rsidP="00F326E5">
      <w:pPr>
        <w:rPr>
          <w:rFonts w:ascii="Arial Black" w:hAnsi="Arial Black"/>
          <w:sz w:val="40"/>
          <w:szCs w:val="40"/>
        </w:rPr>
      </w:pPr>
    </w:p>
    <w:p w14:paraId="7C8E835F" w14:textId="77777777" w:rsidR="005263F1" w:rsidRDefault="005263F1" w:rsidP="00F326E5">
      <w:pPr>
        <w:rPr>
          <w:rFonts w:ascii="Arial Black" w:hAnsi="Arial Black"/>
          <w:sz w:val="40"/>
          <w:szCs w:val="40"/>
        </w:rPr>
      </w:pPr>
    </w:p>
    <w:p w14:paraId="3E20CA32" w14:textId="77777777" w:rsidR="005263F1" w:rsidRDefault="005263F1" w:rsidP="00F326E5">
      <w:pPr>
        <w:rPr>
          <w:rFonts w:ascii="Arial Black" w:hAnsi="Arial Black"/>
          <w:sz w:val="40"/>
          <w:szCs w:val="40"/>
        </w:rPr>
      </w:pPr>
    </w:p>
    <w:p w14:paraId="2A673545" w14:textId="77777777" w:rsidR="005263F1" w:rsidRDefault="005263F1" w:rsidP="00F326E5">
      <w:pPr>
        <w:rPr>
          <w:rFonts w:ascii="Arial Black" w:hAnsi="Arial Black"/>
          <w:sz w:val="40"/>
          <w:szCs w:val="40"/>
        </w:rPr>
      </w:pPr>
    </w:p>
    <w:p w14:paraId="6BC32481" w14:textId="77777777" w:rsidR="005263F1" w:rsidRDefault="005263F1" w:rsidP="00F326E5">
      <w:pPr>
        <w:rPr>
          <w:rFonts w:ascii="Arial Black" w:hAnsi="Arial Black"/>
          <w:sz w:val="40"/>
          <w:szCs w:val="40"/>
        </w:rPr>
      </w:pPr>
    </w:p>
    <w:p w14:paraId="480FF2C6" w14:textId="77777777" w:rsidR="005263F1" w:rsidRDefault="005263F1" w:rsidP="00F326E5">
      <w:pPr>
        <w:rPr>
          <w:rFonts w:ascii="Arial Black" w:hAnsi="Arial Black"/>
          <w:sz w:val="40"/>
          <w:szCs w:val="40"/>
        </w:rPr>
      </w:pPr>
    </w:p>
    <w:p w14:paraId="310E0FCD" w14:textId="77777777" w:rsidR="005263F1" w:rsidRDefault="005263F1" w:rsidP="00F326E5">
      <w:pPr>
        <w:rPr>
          <w:rFonts w:ascii="Arial Black" w:hAnsi="Arial Black"/>
          <w:sz w:val="40"/>
          <w:szCs w:val="40"/>
        </w:rPr>
      </w:pPr>
    </w:p>
    <w:p w14:paraId="4B7ABE79" w14:textId="26E16C8C" w:rsidR="00F326E5" w:rsidRDefault="00F326E5" w:rsidP="00F326E5">
      <w:pPr>
        <w:rPr>
          <w:rFonts w:ascii="Arial Black" w:hAnsi="Arial Black"/>
          <w:sz w:val="40"/>
          <w:szCs w:val="40"/>
        </w:rPr>
      </w:pPr>
      <w:r w:rsidRPr="007732FA">
        <w:rPr>
          <w:rFonts w:ascii="Arial Black" w:hAnsi="Arial Black"/>
          <w:sz w:val="40"/>
          <w:szCs w:val="40"/>
        </w:rPr>
        <w:t>Chap. 5</w:t>
      </w:r>
      <w:r w:rsidRPr="007732FA">
        <w:rPr>
          <w:rFonts w:ascii="Arial Black" w:hAnsi="Arial Black"/>
          <w:sz w:val="40"/>
          <w:szCs w:val="40"/>
        </w:rPr>
        <w:tab/>
        <w:t>Emergency Vehicle Operations</w:t>
      </w:r>
    </w:p>
    <w:p w14:paraId="6A094DC8" w14:textId="59D6884D" w:rsidR="0014409A" w:rsidRDefault="00163CC4" w:rsidP="004102A6">
      <w:pPr>
        <w:rPr>
          <w:rFonts w:ascii="Arial Black" w:hAnsi="Arial Black"/>
          <w:b/>
          <w:sz w:val="28"/>
          <w:szCs w:val="28"/>
        </w:rPr>
      </w:pPr>
      <w:bookmarkStart w:id="194" w:name="_Hlk7342650"/>
      <w:r>
        <w:rPr>
          <w:rFonts w:ascii="Arial Black" w:hAnsi="Arial Black"/>
          <w:b/>
          <w:sz w:val="28"/>
          <w:szCs w:val="28"/>
        </w:rPr>
        <w:t>5-6</w:t>
      </w:r>
      <w:r>
        <w:rPr>
          <w:rFonts w:ascii="Arial Black" w:hAnsi="Arial Black"/>
          <w:b/>
          <w:sz w:val="28"/>
          <w:szCs w:val="28"/>
        </w:rPr>
        <w:t>9</w:t>
      </w:r>
    </w:p>
    <w:p w14:paraId="3C86963C" w14:textId="77777777" w:rsidR="0014409A" w:rsidRPr="009E758C" w:rsidRDefault="0014409A" w:rsidP="0014409A">
      <w:pPr>
        <w:pStyle w:val="NoSpacing"/>
        <w:rPr>
          <w:rFonts w:ascii="Arial Black" w:hAnsi="Arial Black"/>
          <w:sz w:val="28"/>
          <w:szCs w:val="28"/>
        </w:rPr>
      </w:pPr>
      <w:r>
        <w:rPr>
          <w:rFonts w:ascii="Arial Black" w:hAnsi="Arial Black"/>
          <w:sz w:val="28"/>
          <w:szCs w:val="28"/>
        </w:rPr>
        <w:t xml:space="preserve">MI: AMBUL ACCIDENT RPT – FF CROSS-OUTS - “55” TO “30” </w:t>
      </w:r>
    </w:p>
    <w:p w14:paraId="123E47B4" w14:textId="77777777" w:rsidR="0014409A" w:rsidRDefault="0014409A" w:rsidP="0014409A">
      <w:pPr>
        <w:pStyle w:val="NoSpacing"/>
      </w:pPr>
    </w:p>
    <w:p w14:paraId="7A5177F0" w14:textId="77777777" w:rsidR="0014409A" w:rsidRPr="001C6599" w:rsidRDefault="0014409A" w:rsidP="0014409A">
      <w:pPr>
        <w:rPr>
          <w:color w:val="EE0000"/>
        </w:rPr>
      </w:pPr>
      <w:r>
        <w:t xml:space="preserve">On September 14, 2026, in </w:t>
      </w:r>
      <w:r w:rsidRPr="0031286D">
        <w:rPr>
          <w:u w:val="single"/>
        </w:rPr>
        <w:t>Tia Gentry, Personal Representative of the Estate of Delana Gentry v. Ryan Baugh and City of Detroit</w:t>
      </w:r>
      <w:r>
        <w:t xml:space="preserve">, the State of Michigan Court of Appeals held (3 to 0; unpublished opinion) that the trial court judge properly denied governmental immunity to the ambulance driver and the city.  The family of the deceased patient alleges “gross-negligence” when the ambulance entered the intersection on October 23, 2020, was struck by motorist who said he had a green light, and the ambulance over – patient died.   Baugh himself tore a ligament in his wrist </w:t>
      </w:r>
      <w:proofErr w:type="gramStart"/>
      <w:r>
        <w:t>as a result of</w:t>
      </w:r>
      <w:proofErr w:type="gramEnd"/>
      <w:r>
        <w:t xml:space="preserve"> the collision, which required him to take six months </w:t>
      </w:r>
      <w:proofErr w:type="gramStart"/>
      <w:r>
        <w:t>off of</w:t>
      </w:r>
      <w:proofErr w:type="gramEnd"/>
      <w:r>
        <w:t xml:space="preserve"> work. “Under MCL 691.1407(8)(a), gross negligence is defined as ‘conduct so reckless as to demonstrate a substantial lack of concern for whether an injury results.’ … Defendants contend that there are ‘no facts that establish gross negligence.’ However, as stated in the prior appeal, the ‘evidence is rife with discrepancies’ that make summary disposition inappropriate…. The speed that Baugh was traveling before the accident is also unclear. In his report, Baugh wrote that his speed was ‘55’ but crossed that out and wrote ‘30.’ Then, at his deposition, Baugh said that he ‘couldn’t put an estimate on’ his speed, but “would say more than 10 miles an hour is a good estimate.’ When asked if he was traveling ‘[m]</w:t>
      </w:r>
      <w:proofErr w:type="spellStart"/>
      <w:r>
        <w:t>ore</w:t>
      </w:r>
      <w:proofErr w:type="spellEnd"/>
      <w:r>
        <w:t xml:space="preserve"> than 50,’ he said, ‘Probably not more than 50,’ and agreed that he was traveling ‘10 to 50, somewhere in there.’”</w:t>
      </w:r>
      <w:r w:rsidRPr="001C6599">
        <w:t xml:space="preserve"> </w:t>
      </w:r>
      <w:hyperlink r:id="rId960" w:history="1">
        <w:r w:rsidRPr="001C6599">
          <w:rPr>
            <w:rStyle w:val="Hyperlink"/>
          </w:rPr>
          <w:t>https://cases.justia.com/michigan/court-of-appeals-unpublished/2026-376372.pdf?ts=1789477207</w:t>
        </w:r>
      </w:hyperlink>
      <w:r w:rsidRPr="001C6599">
        <w:rPr>
          <w:color w:val="EE0000"/>
        </w:rPr>
        <w:t xml:space="preserve"> </w:t>
      </w:r>
    </w:p>
    <w:p w14:paraId="22733131" w14:textId="77777777" w:rsidR="0014409A" w:rsidRDefault="0014409A" w:rsidP="0014409A">
      <w:pPr>
        <w:pStyle w:val="NoSpacing"/>
      </w:pPr>
      <w:r>
        <w:t xml:space="preserve"> </w:t>
      </w:r>
    </w:p>
    <w:p w14:paraId="3832FA25" w14:textId="77777777" w:rsidR="0014409A" w:rsidRDefault="0014409A" w:rsidP="0014409A">
      <w:pPr>
        <w:pStyle w:val="NoSpacing"/>
      </w:pPr>
      <w:r>
        <w:t>THE COURT WROTE:</w:t>
      </w:r>
    </w:p>
    <w:p w14:paraId="16B33303" w14:textId="77777777" w:rsidR="0014409A" w:rsidRDefault="0014409A" w:rsidP="0014409A">
      <w:pPr>
        <w:pStyle w:val="NoSpacing"/>
      </w:pPr>
    </w:p>
    <w:p w14:paraId="73B8BE32" w14:textId="77777777" w:rsidR="0014409A" w:rsidRDefault="0014409A" w:rsidP="0014409A">
      <w:pPr>
        <w:pStyle w:val="NoSpacing"/>
        <w:ind w:left="720"/>
      </w:pPr>
      <w:r>
        <w:t xml:space="preserve">“This case arises out of a motor vehicle accident at around 9 p.m. on October 23, 2020, at the intersection of James Couzens Freeway and West McNichols Road in Detroit, Michigan. Plaintiff’s mother, Delana, </w:t>
      </w:r>
      <w:proofErr w:type="gramStart"/>
      <w:r>
        <w:t>was recovered</w:t>
      </w:r>
      <w:proofErr w:type="gramEnd"/>
      <w:r>
        <w:t xml:space="preserve"> from a burning home by the Detroit Fire Department and transported by EMS employees to the hospital for further treatment. Baugh drove the ambulance while others treated Delana in the back of the vehicle. </w:t>
      </w:r>
    </w:p>
    <w:p w14:paraId="116588A4" w14:textId="77777777" w:rsidR="0014409A" w:rsidRDefault="0014409A" w:rsidP="0014409A">
      <w:pPr>
        <w:pStyle w:val="NoSpacing"/>
        <w:ind w:left="720"/>
      </w:pPr>
    </w:p>
    <w:p w14:paraId="7F37B472" w14:textId="77777777" w:rsidR="0014409A" w:rsidRDefault="0014409A" w:rsidP="0014409A">
      <w:pPr>
        <w:pStyle w:val="NoSpacing"/>
        <w:ind w:left="720"/>
      </w:pPr>
      <w:r>
        <w:t>As Baugh drove down James Couzens Freeway through the West McNichols Road intersection, defendant Edwin Nichols struck the ambulance, causing it to roll over.</w:t>
      </w:r>
    </w:p>
    <w:p w14:paraId="17127473" w14:textId="77777777" w:rsidR="0014409A" w:rsidRDefault="0014409A" w:rsidP="0014409A">
      <w:pPr>
        <w:pStyle w:val="NoSpacing"/>
        <w:ind w:left="720"/>
      </w:pPr>
      <w:r>
        <w:t xml:space="preserve">The details of the accident are hotly contested. Baugh wrote in his report following the accident that he had a green light and that Nichols ‘ran a red light’ at a high rate of speed, causing the crash. At his deposition, Baugh testified that he could not remember the color of his light but ‘remember[ed] driving down James Couzens and seeing the green light.’ In contrast, Nichols and a witness interviewed at the scene both said that Nichols had the green light. Nichols also testified that he was traveling the speed limit, which was 35 miles per hour. Baugh wrote in his report and testified at his deposition that he slowed down at the intersection, </w:t>
      </w:r>
      <w:proofErr w:type="gramStart"/>
      <w:r>
        <w:t>looked</w:t>
      </w:r>
      <w:proofErr w:type="gramEnd"/>
      <w:r>
        <w:t xml:space="preserve"> both ways to make sure the intersection was clear, and only proceeded after determining that it was safe to do so. Baugh’s supervisor testified that, when she arrived at the scene of the accident, a witness told her that Nichols’[s] vehicle went around stopped traffic to enter the intersection. Nichols, however, never said that he went around stopped traffic before the accident. He testified that he turned onto</w:t>
      </w:r>
    </w:p>
    <w:p w14:paraId="3A0A1D25" w14:textId="77777777" w:rsidR="0014409A" w:rsidRDefault="0014409A" w:rsidP="0014409A">
      <w:pPr>
        <w:pStyle w:val="NoSpacing"/>
        <w:ind w:firstLine="720"/>
      </w:pPr>
      <w:r>
        <w:t xml:space="preserve">McNichols and was simply driving through his green light when the accident happened. </w:t>
      </w:r>
    </w:p>
    <w:p w14:paraId="310CE537" w14:textId="77777777" w:rsidR="0014409A" w:rsidRDefault="0014409A" w:rsidP="0014409A">
      <w:pPr>
        <w:pStyle w:val="NoSpacing"/>
        <w:ind w:firstLine="720"/>
      </w:pPr>
    </w:p>
    <w:p w14:paraId="56C2417A" w14:textId="77777777" w:rsidR="0014409A" w:rsidRDefault="0014409A" w:rsidP="0014409A">
      <w:pPr>
        <w:pStyle w:val="NoSpacing"/>
        <w:ind w:left="720"/>
      </w:pPr>
      <w:r>
        <w:t xml:space="preserve">Plaintiff’s accident reconstructionist seemingly confirmed this—he represented that the crash data from the vehicle Nichols was driving showed that Nichols’[s] “vehicle was traveling between 34-35 m.p.h. in the five seconds leading up to the crash . . . .” </w:t>
      </w:r>
    </w:p>
    <w:p w14:paraId="7556BEA2" w14:textId="77777777" w:rsidR="0014409A" w:rsidRDefault="0014409A" w:rsidP="0014409A">
      <w:pPr>
        <w:pStyle w:val="NoSpacing"/>
        <w:ind w:left="720"/>
      </w:pPr>
    </w:p>
    <w:p w14:paraId="1BDC3A79" w14:textId="77777777" w:rsidR="0014409A" w:rsidRDefault="0014409A" w:rsidP="0014409A">
      <w:pPr>
        <w:pStyle w:val="NoSpacing"/>
        <w:ind w:left="720"/>
      </w:pPr>
      <w:r>
        <w:t>Baugh testified at his deposition that he had his lights and sirens activated, and a witness at the scene confirmed this and additionally reported that the ambulance sounded its horn before entering the intersection. Nichols, however, said that, while he heard sirens, he thought that they were the sirens of ambulances that he could see down the street in front of him, and he denied seeing any lights on the ambulance that Baugh was operating. The speed that Baugh was traveling before the accident is also unclear. In his report, Baugh wrote that his speed was ‘55’ but crossed that out and wrote ‘30.’ Then, at his deposition, Baugh said that he ‘couldn’t put an estimate on’ his speed, but “would say more than 10</w:t>
      </w:r>
    </w:p>
    <w:p w14:paraId="6ABC03E7" w14:textId="77777777" w:rsidR="0014409A" w:rsidRDefault="0014409A" w:rsidP="0014409A">
      <w:pPr>
        <w:pStyle w:val="NoSpacing"/>
        <w:ind w:left="720"/>
      </w:pPr>
      <w:r>
        <w:t>miles an hour is a good estimate.’ When asked if he was traveling ‘[m]</w:t>
      </w:r>
      <w:proofErr w:type="spellStart"/>
      <w:r>
        <w:t>ore</w:t>
      </w:r>
      <w:proofErr w:type="spellEnd"/>
      <w:r>
        <w:t xml:space="preserve"> than 50,’ he said, ‘Probably not more than 50,’ and agreed that he was traveling ‘10 to 50, somewhere in there.’”</w:t>
      </w:r>
    </w:p>
    <w:p w14:paraId="49EEADDA" w14:textId="77777777" w:rsidR="0014409A" w:rsidRDefault="0014409A" w:rsidP="0014409A">
      <w:pPr>
        <w:pStyle w:val="NoSpacing"/>
        <w:ind w:left="720"/>
      </w:pPr>
    </w:p>
    <w:p w14:paraId="6490647A" w14:textId="77777777" w:rsidR="0014409A" w:rsidRPr="004B5596" w:rsidRDefault="0014409A" w:rsidP="0014409A">
      <w:pPr>
        <w:rPr>
          <w:b/>
          <w:bCs/>
        </w:rPr>
      </w:pPr>
      <w:r>
        <w:rPr>
          <w:b/>
        </w:rPr>
        <w:t xml:space="preserve">Legal lesson learned: In post-accident reports use “estimated speed” and avoid “cross-outs” of speed. </w:t>
      </w:r>
    </w:p>
    <w:p w14:paraId="126B85D3" w14:textId="77777777" w:rsidR="0014409A" w:rsidRDefault="0014409A" w:rsidP="0014409A">
      <w:pPr>
        <w:pStyle w:val="NoSpacing"/>
      </w:pPr>
    </w:p>
    <w:p w14:paraId="4F1E6655" w14:textId="2E111B2B" w:rsidR="00994FE9" w:rsidRDefault="00747DAC" w:rsidP="004102A6">
      <w:pPr>
        <w:rPr>
          <w:rFonts w:ascii="Arial Black" w:hAnsi="Arial Black"/>
          <w:b/>
          <w:sz w:val="28"/>
          <w:szCs w:val="28"/>
        </w:rPr>
      </w:pPr>
      <w:r>
        <w:rPr>
          <w:rFonts w:ascii="Arial Black" w:hAnsi="Arial Black"/>
          <w:b/>
          <w:sz w:val="28"/>
          <w:szCs w:val="28"/>
        </w:rPr>
        <w:t>5-68</w:t>
      </w:r>
    </w:p>
    <w:p w14:paraId="784EC9AA" w14:textId="77777777" w:rsidR="00994FE9" w:rsidRDefault="00994FE9" w:rsidP="00994FE9">
      <w:pPr>
        <w:rPr>
          <w:rFonts w:ascii="Arial Black" w:hAnsi="Arial Black"/>
          <w:b/>
          <w:sz w:val="28"/>
          <w:szCs w:val="28"/>
        </w:rPr>
      </w:pPr>
      <w:r>
        <w:rPr>
          <w:rFonts w:ascii="Arial Black" w:hAnsi="Arial Black"/>
          <w:b/>
          <w:sz w:val="28"/>
          <w:szCs w:val="28"/>
        </w:rPr>
        <w:t xml:space="preserve">MD: FIRETRUCK – JURY – FAO NOT NEG – CAR DIDN’T YIELD </w:t>
      </w:r>
    </w:p>
    <w:p w14:paraId="019B7586" w14:textId="77777777" w:rsidR="00994FE9" w:rsidRDefault="00994FE9" w:rsidP="00994FE9">
      <w:pPr>
        <w:rPr>
          <w:b/>
        </w:rPr>
      </w:pPr>
      <w:r w:rsidRPr="00816787">
        <w:t xml:space="preserve">On August 17, 2026, in </w:t>
      </w:r>
      <w:r w:rsidRPr="00AF430A">
        <w:rPr>
          <w:u w:val="single"/>
        </w:rPr>
        <w:t>Rodney Ivey v. Mayor and City Council of Baltimore, et al</w:t>
      </w:r>
      <w:r>
        <w:t xml:space="preserve">., the </w:t>
      </w:r>
      <w:r w:rsidRPr="00AF430A">
        <w:t>Appellate Court of Maryland</w:t>
      </w:r>
      <w:r>
        <w:t xml:space="preserve"> held (3 to 0; unreported decision) that t</w:t>
      </w:r>
      <w:r w:rsidRPr="004307CE">
        <w:t>he jury found no negligence</w:t>
      </w:r>
      <w:r>
        <w:t xml:space="preserve"> </w:t>
      </w:r>
      <w:r w:rsidRPr="004307CE">
        <w:t>by the operator of the firetruck.</w:t>
      </w:r>
      <w:r>
        <w:t xml:space="preserve"> [See photos of engine.]  On a run for building fire, two fire engines were on three lane road and needed center lane to make left turn.  One vehicle pulled to right curb, but plaintiff’s vehicle just stopped in center lane.  The first engine made it through, but second engine clipped front side of stopped center lane vehicle (FAO didn’t know he scraped the car until after the run).  Jury heard the evidence and held that the FAO was not negligent.  Court of Appeals agreed. </w:t>
      </w:r>
      <w:hyperlink r:id="rId961" w:history="1">
        <w:r w:rsidRPr="00444613">
          <w:rPr>
            <w:rStyle w:val="Hyperlink"/>
            <w:b/>
          </w:rPr>
          <w:t>https://www.mdcourts.gov/sites/default/files/unreported-opinions/0042s25.pdf</w:t>
        </w:r>
      </w:hyperlink>
      <w:r>
        <w:rPr>
          <w:b/>
        </w:rPr>
        <w:t xml:space="preserve"> </w:t>
      </w:r>
    </w:p>
    <w:p w14:paraId="43F84569" w14:textId="77777777" w:rsidR="00994FE9" w:rsidRPr="00AF430A" w:rsidRDefault="00994FE9" w:rsidP="00994FE9">
      <w:pPr>
        <w:rPr>
          <w:bCs/>
        </w:rPr>
      </w:pPr>
      <w:r>
        <w:t>THE COURT WROTE:</w:t>
      </w:r>
    </w:p>
    <w:p w14:paraId="268B9BAC" w14:textId="77777777" w:rsidR="00994FE9" w:rsidRPr="009C70BC" w:rsidRDefault="00994FE9" w:rsidP="00994FE9">
      <w:pPr>
        <w:pStyle w:val="NoSpacing"/>
        <w:ind w:firstLine="720"/>
      </w:pPr>
      <w:r>
        <w:t>“</w:t>
      </w:r>
      <w:r w:rsidRPr="009C70BC">
        <w:t>The driver of the firetruck, Mr. Brown, testified that the fastest route to the</w:t>
      </w:r>
      <w:r>
        <w:t xml:space="preserve"> </w:t>
      </w:r>
    </w:p>
    <w:p w14:paraId="54DFE236" w14:textId="77777777" w:rsidR="00994FE9" w:rsidRPr="009C70BC" w:rsidRDefault="00994FE9" w:rsidP="00994FE9">
      <w:pPr>
        <w:pStyle w:val="NoSpacing"/>
        <w:ind w:firstLine="720"/>
      </w:pPr>
      <w:r w:rsidRPr="009C70BC">
        <w:t>location of the reported fire required him to make a left turn from East Saratoga Street</w:t>
      </w:r>
    </w:p>
    <w:p w14:paraId="2BF60B75" w14:textId="77777777" w:rsidR="00994FE9" w:rsidRPr="009C70BC" w:rsidRDefault="00994FE9" w:rsidP="00994FE9">
      <w:pPr>
        <w:pStyle w:val="NoSpacing"/>
        <w:ind w:firstLine="720"/>
      </w:pPr>
      <w:r w:rsidRPr="009C70BC">
        <w:t>onto Guilford Avenue. Because of the vehicle’s length, he could not make that turn from</w:t>
      </w:r>
    </w:p>
    <w:p w14:paraId="1922592E" w14:textId="77777777" w:rsidR="00994FE9" w:rsidRPr="009C70BC" w:rsidRDefault="00994FE9" w:rsidP="00994FE9">
      <w:pPr>
        <w:pStyle w:val="NoSpacing"/>
        <w:ind w:firstLine="720"/>
      </w:pPr>
      <w:r w:rsidRPr="009C70BC">
        <w:t>the left lane. Because several cars stopped in the center lane, he could not use the center</w:t>
      </w:r>
    </w:p>
    <w:p w14:paraId="55C3ECBC" w14:textId="77777777" w:rsidR="00994FE9" w:rsidRPr="009C70BC" w:rsidRDefault="00994FE9" w:rsidP="00994FE9">
      <w:pPr>
        <w:pStyle w:val="NoSpacing"/>
        <w:ind w:firstLine="720"/>
      </w:pPr>
      <w:r w:rsidRPr="009C70BC">
        <w:t>lane. As he attempted to use the right lane, a smaller vehicle pulled over and stopped</w:t>
      </w:r>
    </w:p>
    <w:p w14:paraId="585DDCE2" w14:textId="77777777" w:rsidR="00994FE9" w:rsidRPr="009C70BC" w:rsidRDefault="00994FE9" w:rsidP="00994FE9">
      <w:pPr>
        <w:pStyle w:val="NoSpacing"/>
        <w:ind w:firstLine="720"/>
      </w:pPr>
      <w:r w:rsidRPr="009C70BC">
        <w:t xml:space="preserve">next to the curb, apparently </w:t>
      </w:r>
      <w:proofErr w:type="gramStart"/>
      <w:r w:rsidRPr="009C70BC">
        <w:t>in an effort to</w:t>
      </w:r>
      <w:proofErr w:type="gramEnd"/>
      <w:r w:rsidRPr="009C70BC">
        <w:t xml:space="preserve"> yield the right-of-way. To maneuver around</w:t>
      </w:r>
    </w:p>
    <w:p w14:paraId="23EFBC38" w14:textId="77777777" w:rsidR="00994FE9" w:rsidRPr="009C70BC" w:rsidRDefault="00994FE9" w:rsidP="00994FE9">
      <w:pPr>
        <w:pStyle w:val="NoSpacing"/>
        <w:ind w:firstLine="720"/>
      </w:pPr>
      <w:r w:rsidRPr="009C70BC">
        <w:t>that vehicle, he steered to the center lane and then steered back into the right lane and</w:t>
      </w:r>
    </w:p>
    <w:p w14:paraId="3F147C52" w14:textId="77777777" w:rsidR="00994FE9" w:rsidRDefault="00994FE9" w:rsidP="00994FE9">
      <w:pPr>
        <w:pStyle w:val="NoSpacing"/>
        <w:ind w:firstLine="720"/>
      </w:pPr>
      <w:r w:rsidRPr="009C70BC">
        <w:t xml:space="preserve">tried to straighten out before the intersection. </w:t>
      </w:r>
    </w:p>
    <w:p w14:paraId="0FF236AD" w14:textId="77777777" w:rsidR="00994FE9" w:rsidRDefault="00994FE9" w:rsidP="00994FE9">
      <w:pPr>
        <w:pStyle w:val="NoSpacing"/>
        <w:ind w:firstLine="720"/>
      </w:pPr>
    </w:p>
    <w:p w14:paraId="5A283901" w14:textId="77777777" w:rsidR="00994FE9" w:rsidRDefault="00994FE9" w:rsidP="00994FE9">
      <w:pPr>
        <w:pStyle w:val="NoSpacing"/>
        <w:ind w:left="720"/>
      </w:pPr>
      <w:r w:rsidRPr="009C70BC">
        <w:t>One can reasonably conclude that this</w:t>
      </w:r>
      <w:r>
        <w:t xml:space="preserve"> </w:t>
      </w:r>
      <w:r w:rsidRPr="009C70BC">
        <w:t>maneuver affected the angle of his turn and increased the degree of difficulty, relative to</w:t>
      </w:r>
      <w:r>
        <w:t xml:space="preserve"> the difficulty experienced by the first firetruck. Under those circumstances, the left side of the firetruck, several feet from the back of the firetruck, </w:t>
      </w:r>
      <w:proofErr w:type="gramStart"/>
      <w:r>
        <w:t>made contact with</w:t>
      </w:r>
      <w:proofErr w:type="gramEnd"/>
      <w:r>
        <w:t xml:space="preserve"> the front right side of Mr. Ivey’s stopped vehicle. Based on the video evidence and photos of the damage to Mr. Ivey’s vehicle, the jury could make its own assessment of the severity of the collision.</w:t>
      </w:r>
    </w:p>
    <w:p w14:paraId="541FB101" w14:textId="77777777" w:rsidR="00994FE9" w:rsidRDefault="00994FE9" w:rsidP="00994FE9">
      <w:pPr>
        <w:pStyle w:val="NoSpacing"/>
        <w:ind w:left="720"/>
      </w:pPr>
    </w:p>
    <w:p w14:paraId="5ED664CE" w14:textId="77777777" w:rsidR="00994FE9" w:rsidRDefault="00994FE9" w:rsidP="00994FE9">
      <w:pPr>
        <w:pStyle w:val="NoSpacing"/>
        <w:ind w:left="720"/>
      </w:pPr>
      <w:r>
        <w:t>***</w:t>
      </w:r>
    </w:p>
    <w:p w14:paraId="61E60CD3" w14:textId="77777777" w:rsidR="00994FE9" w:rsidRDefault="00994FE9" w:rsidP="00994FE9">
      <w:pPr>
        <w:pStyle w:val="NoSpacing"/>
      </w:pPr>
    </w:p>
    <w:p w14:paraId="5186DA43" w14:textId="77777777" w:rsidR="00994FE9" w:rsidRDefault="00994FE9" w:rsidP="00994FE9">
      <w:pPr>
        <w:pStyle w:val="NoSpacing"/>
        <w:ind w:left="720"/>
      </w:pPr>
      <w:r>
        <w:t xml:space="preserve">The </w:t>
      </w:r>
      <w:proofErr w:type="gramStart"/>
      <w:r>
        <w:t>jury could conclude</w:t>
      </w:r>
      <w:proofErr w:type="gramEnd"/>
      <w:r>
        <w:t xml:space="preserve"> that Mr. Brown exercised the degree of care required of an emergency vehicle operator performing an emergency service, but he nevertheless was unable to avoid the collision. In reaching that conclusion, the jury could consider the </w:t>
      </w:r>
      <w:proofErr w:type="gramStart"/>
      <w:r>
        <w:t>emergency situation</w:t>
      </w:r>
      <w:proofErr w:type="gramEnd"/>
      <w:r>
        <w:t>, the length of the firetruck, the narrow confines through which the firetruck operator needed to maneuver, and the absence of an obvious threat to the safety of others (such as a potential head-on collision). It was up to the jury to decide whether, in the circumstances, Mr. Brown’s conduct created an unreasonable risk of harm to others.</w:t>
      </w:r>
    </w:p>
    <w:p w14:paraId="3D700D7D" w14:textId="77777777" w:rsidR="00994FE9" w:rsidRDefault="00994FE9" w:rsidP="00994FE9">
      <w:pPr>
        <w:pStyle w:val="NoSpacing"/>
      </w:pPr>
    </w:p>
    <w:p w14:paraId="0EC24363" w14:textId="77777777" w:rsidR="00994FE9" w:rsidRDefault="00994FE9" w:rsidP="00994FE9">
      <w:pPr>
        <w:pStyle w:val="NoSpacing"/>
        <w:ind w:firstLine="720"/>
      </w:pPr>
      <w:r>
        <w:t>At a minimum, the evidence permitted the jury to find that Mr. Brown was not</w:t>
      </w:r>
    </w:p>
    <w:p w14:paraId="4D9FF1AC" w14:textId="77777777" w:rsidR="00994FE9" w:rsidRDefault="00994FE9" w:rsidP="00994FE9">
      <w:pPr>
        <w:pStyle w:val="NoSpacing"/>
        <w:ind w:firstLine="720"/>
      </w:pPr>
      <w:r>
        <w:t>negligent under the circumstances. For that reason, we conclude that the circuit court did</w:t>
      </w:r>
    </w:p>
    <w:p w14:paraId="0C0742FB" w14:textId="77777777" w:rsidR="00994FE9" w:rsidRDefault="00994FE9" w:rsidP="00994FE9">
      <w:pPr>
        <w:pStyle w:val="NoSpacing"/>
        <w:ind w:firstLine="720"/>
      </w:pPr>
      <w:r>
        <w:t>not err in denying Mr. Ivey’s motion for judgment and thereby allowing the jury to</w:t>
      </w:r>
    </w:p>
    <w:p w14:paraId="0DA15574" w14:textId="77777777" w:rsidR="00994FE9" w:rsidRDefault="00994FE9" w:rsidP="00994FE9">
      <w:pPr>
        <w:pStyle w:val="NoSpacing"/>
        <w:ind w:firstLine="720"/>
      </w:pPr>
      <w:r>
        <w:t xml:space="preserve">decide whether the </w:t>
      </w:r>
      <w:proofErr w:type="gramStart"/>
      <w:r>
        <w:t>City</w:t>
      </w:r>
      <w:proofErr w:type="gramEnd"/>
      <w:r>
        <w:t xml:space="preserve"> was liable for negligence.”</w:t>
      </w:r>
    </w:p>
    <w:p w14:paraId="0157F473" w14:textId="77777777" w:rsidR="00994FE9" w:rsidRDefault="00994FE9" w:rsidP="00994FE9">
      <w:pPr>
        <w:pStyle w:val="NoSpacing"/>
        <w:ind w:firstLine="720"/>
      </w:pPr>
    </w:p>
    <w:p w14:paraId="264980D3" w14:textId="77777777" w:rsidR="00994FE9" w:rsidRPr="00B2255A" w:rsidRDefault="00994FE9" w:rsidP="00994FE9">
      <w:pPr>
        <w:rPr>
          <w:b/>
          <w:bCs/>
        </w:rPr>
      </w:pPr>
      <w:r>
        <w:rPr>
          <w:b/>
        </w:rPr>
        <w:t xml:space="preserve">Legal lesson learned: Maryland law, like many states, requires drivers to pull to the curb and grant right away to emergency </w:t>
      </w:r>
      <w:proofErr w:type="gramStart"/>
      <w:r>
        <w:rPr>
          <w:b/>
        </w:rPr>
        <w:t>vehicle</w:t>
      </w:r>
      <w:proofErr w:type="gramEnd"/>
      <w:r>
        <w:rPr>
          <w:b/>
        </w:rPr>
        <w:t xml:space="preserve">. </w:t>
      </w:r>
    </w:p>
    <w:p w14:paraId="6D1173EA" w14:textId="77777777" w:rsidR="00994FE9" w:rsidRDefault="00994FE9" w:rsidP="004102A6">
      <w:pPr>
        <w:rPr>
          <w:rFonts w:ascii="Arial Black" w:hAnsi="Arial Black"/>
          <w:b/>
          <w:sz w:val="28"/>
          <w:szCs w:val="28"/>
        </w:rPr>
      </w:pPr>
    </w:p>
    <w:p w14:paraId="6D4CDC93" w14:textId="77777777" w:rsidR="00994FE9" w:rsidRDefault="00994FE9" w:rsidP="004102A6">
      <w:pPr>
        <w:rPr>
          <w:rFonts w:ascii="Arial Black" w:hAnsi="Arial Black"/>
          <w:b/>
          <w:sz w:val="28"/>
          <w:szCs w:val="28"/>
        </w:rPr>
      </w:pPr>
    </w:p>
    <w:p w14:paraId="5BAF8A05" w14:textId="77777777" w:rsidR="00994FE9" w:rsidRDefault="00994FE9" w:rsidP="004102A6">
      <w:pPr>
        <w:rPr>
          <w:rFonts w:ascii="Arial Black" w:hAnsi="Arial Black"/>
          <w:b/>
          <w:sz w:val="28"/>
          <w:szCs w:val="28"/>
        </w:rPr>
      </w:pPr>
    </w:p>
    <w:p w14:paraId="17EDBDA1" w14:textId="38B6E658" w:rsidR="004102A6" w:rsidRDefault="004102A6" w:rsidP="004102A6">
      <w:pPr>
        <w:rPr>
          <w:rFonts w:ascii="Arial Black" w:hAnsi="Arial Black"/>
          <w:b/>
          <w:sz w:val="28"/>
          <w:szCs w:val="28"/>
        </w:rPr>
      </w:pPr>
      <w:r>
        <w:rPr>
          <w:rFonts w:ascii="Arial Black" w:hAnsi="Arial Black"/>
          <w:b/>
          <w:sz w:val="28"/>
          <w:szCs w:val="28"/>
        </w:rPr>
        <w:t>5-67</w:t>
      </w:r>
    </w:p>
    <w:p w14:paraId="3B4536C3" w14:textId="46FAA08B" w:rsidR="004102A6" w:rsidRPr="00DC3BF9" w:rsidRDefault="004102A6" w:rsidP="004102A6">
      <w:pPr>
        <w:rPr>
          <w:rFonts w:ascii="Arial Black" w:hAnsi="Arial Black"/>
          <w:b/>
          <w:sz w:val="28"/>
          <w:szCs w:val="28"/>
        </w:rPr>
      </w:pPr>
      <w:r>
        <w:rPr>
          <w:rFonts w:ascii="Arial Black" w:hAnsi="Arial Black"/>
          <w:b/>
          <w:sz w:val="28"/>
          <w:szCs w:val="28"/>
        </w:rPr>
        <w:t>LA: SEVERE INJURY - EMT $81M – HELP PT / NO SEAT BELT</w:t>
      </w:r>
    </w:p>
    <w:p w14:paraId="6952A609" w14:textId="77777777" w:rsidR="004102A6" w:rsidRDefault="004102A6" w:rsidP="004102A6">
      <w:r>
        <w:t xml:space="preserve">On July 1, 2026, in </w:t>
      </w:r>
      <w:r w:rsidRPr="00C04A1E">
        <w:rPr>
          <w:u w:val="single"/>
        </w:rPr>
        <w:t>Sherri Tramble v. Joshua Briscoe, et al.</w:t>
      </w:r>
      <w:r>
        <w:t xml:space="preserve">, </w:t>
      </w:r>
      <w:r w:rsidRPr="00C04A1E">
        <w:t>the Court of Appeals of Louisiana, Third Circuit</w:t>
      </w:r>
      <w:r>
        <w:t xml:space="preserve"> held (3 to 0) that trial court judge properly excluded the testimony of defense witness about the failure of severely injured EMT to wear a seat belt while in back of the ambulance tending to the patient.  The driver who ran into the ambulance was </w:t>
      </w:r>
      <w:proofErr w:type="gramStart"/>
      <w:r>
        <w:t>found by jury</w:t>
      </w:r>
      <w:proofErr w:type="gramEnd"/>
      <w:r>
        <w:t xml:space="preserve"> 100% at fault; the Court of Appeals did however reduce the jury award from </w:t>
      </w:r>
      <w:r w:rsidRPr="00F57A55">
        <w:t>$219,742,924.31</w:t>
      </w:r>
      <w:r>
        <w:t xml:space="preserve"> to </w:t>
      </w:r>
      <w:r w:rsidRPr="00DC3BF9">
        <w:t>$40,000,000.00 in general damages and $41,300,219.00 in future medical</w:t>
      </w:r>
      <w:r>
        <w:t xml:space="preserve"> </w:t>
      </w:r>
      <w:r w:rsidRPr="00DC3BF9">
        <w:t>expenses</w:t>
      </w:r>
      <w:r>
        <w:t xml:space="preserve">. </w:t>
      </w:r>
      <w:hyperlink r:id="rId962" w:history="1">
        <w:r w:rsidRPr="00EA7685">
          <w:rPr>
            <w:rStyle w:val="Hyperlink"/>
          </w:rPr>
          <w:t>https://cases.justia.com/louisiana/third-circuit-court-of-appeal/2026-ca-0025-0423.pdf?ts=1782919449</w:t>
        </w:r>
      </w:hyperlink>
      <w:r>
        <w:t xml:space="preserve"> </w:t>
      </w:r>
    </w:p>
    <w:p w14:paraId="22B8A740" w14:textId="77777777" w:rsidR="004102A6" w:rsidRDefault="004102A6" w:rsidP="004102A6"/>
    <w:p w14:paraId="20F4FF05" w14:textId="77777777" w:rsidR="004102A6" w:rsidRDefault="004102A6" w:rsidP="004102A6">
      <w:r>
        <w:t>THE COURT WROTE:</w:t>
      </w:r>
    </w:p>
    <w:p w14:paraId="71E82234" w14:textId="77777777" w:rsidR="004102A6" w:rsidRDefault="004102A6" w:rsidP="004102A6">
      <w:pPr>
        <w:pStyle w:val="NoSpacing"/>
      </w:pPr>
      <w:r>
        <w:t>“</w:t>
      </w:r>
      <w:r w:rsidRPr="00E55309">
        <w:t>This lawsuit arises out of a motor vehicle accident that occurred on July 8,</w:t>
      </w:r>
      <w:r>
        <w:t xml:space="preserve"> </w:t>
      </w:r>
      <w:r w:rsidRPr="00E55309">
        <w:t xml:space="preserve">2021, on Louisiana Highway 182 in St. Landry Parish, Louisiana. Sherri </w:t>
      </w:r>
      <w:proofErr w:type="gramStart"/>
      <w:r w:rsidRPr="00E55309">
        <w:t>Tramble</w:t>
      </w:r>
      <w:r>
        <w:t xml:space="preserve"> </w:t>
      </w:r>
      <w:r w:rsidRPr="00E55309">
        <w:t>(</w:t>
      </w:r>
      <w:r>
        <w:t>‘</w:t>
      </w:r>
      <w:proofErr w:type="gramEnd"/>
      <w:r w:rsidRPr="00E55309">
        <w:t>Sherri</w:t>
      </w:r>
      <w:r>
        <w:t>’</w:t>
      </w:r>
      <w:r w:rsidRPr="00E55309">
        <w:t>), an EMT, was attending a patient in the back of a 2019 Ram Express</w:t>
      </w:r>
      <w:r>
        <w:t xml:space="preserve"> </w:t>
      </w:r>
      <w:r w:rsidRPr="00E55309">
        <w:t>ambulance driven by Margo Bellard. Joshua Briscoe, the driver of a 2019 Chevrolet</w:t>
      </w:r>
      <w:r>
        <w:t xml:space="preserve"> </w:t>
      </w:r>
      <w:r w:rsidRPr="00E55309">
        <w:t xml:space="preserve">Silverado, was traveling north crossing Louisiana Highway 182 </w:t>
      </w:r>
      <w:proofErr w:type="gramStart"/>
      <w:r w:rsidRPr="00E55309">
        <w:t>in order to</w:t>
      </w:r>
      <w:proofErr w:type="gramEnd"/>
      <w:r w:rsidRPr="00E55309">
        <w:t xml:space="preserve"> access</w:t>
      </w:r>
      <w:r>
        <w:t xml:space="preserve"> </w:t>
      </w:r>
      <w:r w:rsidRPr="00E55309">
        <w:t>the U.S. Interstate 49 entrance ramp.</w:t>
      </w:r>
      <w:r>
        <w:t xml:space="preserve"> </w:t>
      </w:r>
      <w:r w:rsidRPr="000C4341">
        <w:t>Plaintiff alleges that Joshua Briscoe failed to yield to the ambulance causing</w:t>
      </w:r>
      <w:r>
        <w:t xml:space="preserve"> </w:t>
      </w:r>
      <w:r w:rsidRPr="000C4341">
        <w:t>the ambulance to strike the rear right side of the 2019 Chevrolet Silverado. It was</w:t>
      </w:r>
      <w:r>
        <w:t xml:space="preserve"> </w:t>
      </w:r>
      <w:r w:rsidRPr="000C4341">
        <w:t>stipulated by the parties that Briscoe was in the course and scope of his employment</w:t>
      </w:r>
      <w:r>
        <w:t xml:space="preserve"> </w:t>
      </w:r>
      <w:r w:rsidRPr="000C4341">
        <w:t xml:space="preserve">with </w:t>
      </w:r>
      <w:proofErr w:type="spellStart"/>
      <w:r w:rsidRPr="000C4341">
        <w:t>Linetec</w:t>
      </w:r>
      <w:proofErr w:type="spellEnd"/>
      <w:r w:rsidRPr="000C4341">
        <w:t xml:space="preserve"> Service, LLC at the time of the subject accident, and </w:t>
      </w:r>
      <w:proofErr w:type="spellStart"/>
      <w:r w:rsidRPr="000C4341">
        <w:t>Linetec</w:t>
      </w:r>
      <w:proofErr w:type="spellEnd"/>
      <w:r w:rsidRPr="000C4341">
        <w:t xml:space="preserve"> Service,</w:t>
      </w:r>
      <w:r>
        <w:t xml:space="preserve"> </w:t>
      </w:r>
      <w:r w:rsidRPr="000C4341">
        <w:t>LLC is responsible for any negligence and fault of Briscoe in connection with the</w:t>
      </w:r>
      <w:r>
        <w:t xml:space="preserve"> </w:t>
      </w:r>
      <w:r w:rsidRPr="000C4341">
        <w:t>Accident</w:t>
      </w:r>
      <w:r>
        <w:t>….</w:t>
      </w:r>
      <w:r w:rsidRPr="00591D60">
        <w:t>After a trial, the jury found the</w:t>
      </w:r>
      <w:r>
        <w:t xml:space="preserve"> </w:t>
      </w:r>
      <w:r w:rsidRPr="00591D60">
        <w:t>defendant driver 100% at fault for the accident and awarded the Plaintiff damages</w:t>
      </w:r>
      <w:r>
        <w:t xml:space="preserve"> </w:t>
      </w:r>
      <w:r w:rsidRPr="00591D60">
        <w:t>totaling $219,742,924.31.</w:t>
      </w:r>
    </w:p>
    <w:p w14:paraId="7175185A" w14:textId="77777777" w:rsidR="004102A6" w:rsidRDefault="004102A6" w:rsidP="004102A6">
      <w:pPr>
        <w:pStyle w:val="NoSpacing"/>
      </w:pPr>
    </w:p>
    <w:p w14:paraId="34343174" w14:textId="77777777" w:rsidR="004102A6" w:rsidRDefault="004102A6" w:rsidP="004102A6">
      <w:pPr>
        <w:pStyle w:val="NoSpacing"/>
        <w:rPr>
          <w:b/>
        </w:rPr>
      </w:pPr>
      <w:r>
        <w:t>***</w:t>
      </w:r>
    </w:p>
    <w:p w14:paraId="5159F340" w14:textId="77777777" w:rsidR="004102A6" w:rsidRDefault="004102A6" w:rsidP="004102A6">
      <w:pPr>
        <w:pStyle w:val="NoSpacing"/>
      </w:pPr>
      <w:r w:rsidRPr="00A60E3D">
        <w:t>We have reviewed both the record before us in this appeal and the applicable</w:t>
      </w:r>
      <w:r>
        <w:t xml:space="preserve"> </w:t>
      </w:r>
      <w:r w:rsidRPr="00A60E3D">
        <w:t>law. As before in the writ application, the evidence in the record is that there is no</w:t>
      </w:r>
      <w:r>
        <w:t xml:space="preserve"> </w:t>
      </w:r>
      <w:r w:rsidRPr="00A60E3D">
        <w:t>law requiring an EMT tending to a patient to use a seat belt, there is no evidence that</w:t>
      </w:r>
      <w:r>
        <w:t xml:space="preserve"> </w:t>
      </w:r>
      <w:r w:rsidRPr="00A60E3D">
        <w:t xml:space="preserve">expert </w:t>
      </w:r>
      <w:r>
        <w:t xml:space="preserve">[John B.] </w:t>
      </w:r>
      <w:proofErr w:type="spellStart"/>
      <w:r w:rsidRPr="00A60E3D">
        <w:t>Everlove</w:t>
      </w:r>
      <w:proofErr w:type="spellEnd"/>
      <w:r w:rsidRPr="00A60E3D">
        <w:t xml:space="preserve"> knew whether Sherri was standing, seated or tending to the patient</w:t>
      </w:r>
      <w:r>
        <w:t xml:space="preserve"> </w:t>
      </w:r>
      <w:r w:rsidRPr="00261229">
        <w:t>at the time of the accident, and there is no evidence that Sherri was not tending to</w:t>
      </w:r>
      <w:r>
        <w:t xml:space="preserve"> t</w:t>
      </w:r>
      <w:r w:rsidRPr="00261229">
        <w:t xml:space="preserve">he patient at the time of the accident. Additionally, it is clear from </w:t>
      </w:r>
      <w:proofErr w:type="spellStart"/>
      <w:r w:rsidRPr="00261229">
        <w:t>Everlove’s</w:t>
      </w:r>
      <w:proofErr w:type="spellEnd"/>
      <w:r>
        <w:t xml:space="preserve"> </w:t>
      </w:r>
      <w:r w:rsidRPr="00261229">
        <w:t>deposition testimony that he did not have any knowledge of circumstances present</w:t>
      </w:r>
      <w:r>
        <w:t xml:space="preserve"> </w:t>
      </w:r>
      <w:r w:rsidRPr="00261229">
        <w:t>in the back of the ambulance prior to the accident. Thus, any opinion by Defendants’</w:t>
      </w:r>
      <w:r>
        <w:t xml:space="preserve"> </w:t>
      </w:r>
      <w:r w:rsidRPr="00261229">
        <w:t>expert as to whether Sherri breached any alleged standard of care of an EMT under</w:t>
      </w:r>
      <w:r>
        <w:t xml:space="preserve"> </w:t>
      </w:r>
      <w:r w:rsidRPr="00261229">
        <w:t>the circumstances present would be of no value.</w:t>
      </w:r>
    </w:p>
    <w:p w14:paraId="02D5BC5D" w14:textId="77777777" w:rsidR="004102A6" w:rsidRDefault="004102A6" w:rsidP="004102A6">
      <w:pPr>
        <w:pStyle w:val="NoSpacing"/>
      </w:pPr>
    </w:p>
    <w:p w14:paraId="5CA7F4A8" w14:textId="77777777" w:rsidR="004102A6" w:rsidRDefault="004102A6" w:rsidP="004102A6">
      <w:pPr>
        <w:pStyle w:val="NoSpacing"/>
      </w:pPr>
      <w:r w:rsidRPr="00925EA8">
        <w:t>Moreover, any opinion that Sherri was at fault for the accident for lack of</w:t>
      </w:r>
      <w:r>
        <w:t xml:space="preserve"> </w:t>
      </w:r>
      <w:r w:rsidRPr="00925EA8">
        <w:t>seat belt usage is rendered meritless by the undisputed circumstances of the accident</w:t>
      </w:r>
      <w:r>
        <w:t xml:space="preserve"> </w:t>
      </w:r>
      <w:r w:rsidRPr="00925EA8">
        <w:t>and the training Saint Landry EMS provided regarding seat belt usage. At the time</w:t>
      </w:r>
      <w:r>
        <w:t xml:space="preserve"> </w:t>
      </w:r>
      <w:r w:rsidRPr="00925EA8">
        <w:t>of the accident, Margo Bellard was driving the ambulance while Krystle Johnson</w:t>
      </w:r>
      <w:r>
        <w:t xml:space="preserve"> </w:t>
      </w:r>
      <w:r w:rsidRPr="00925EA8">
        <w:t>was riding in the front and Sherri was in the back with the patient, Mr. Kenneth Isles.</w:t>
      </w:r>
      <w:r>
        <w:t xml:space="preserve"> </w:t>
      </w:r>
      <w:r w:rsidRPr="00925EA8">
        <w:t>Both Johnson and Bellard testified that while a patient is in the back of the</w:t>
      </w:r>
      <w:r>
        <w:t xml:space="preserve"> </w:t>
      </w:r>
      <w:r w:rsidRPr="00925EA8">
        <w:t>ambulance, it is proper to be unrestrained when doing active care on the patient.</w:t>
      </w:r>
    </w:p>
    <w:p w14:paraId="3261A5B4" w14:textId="77777777" w:rsidR="004102A6" w:rsidRDefault="004102A6" w:rsidP="004102A6">
      <w:pPr>
        <w:rPr>
          <w:b/>
        </w:rPr>
      </w:pPr>
    </w:p>
    <w:p w14:paraId="671EBE9C" w14:textId="77777777" w:rsidR="004102A6" w:rsidRPr="001D0940" w:rsidRDefault="004102A6" w:rsidP="004102A6">
      <w:pPr>
        <w:pStyle w:val="NoSpacing"/>
      </w:pPr>
      <w:r w:rsidRPr="001D0940">
        <w:t>Bellard testified to the following:</w:t>
      </w:r>
    </w:p>
    <w:p w14:paraId="218346CF" w14:textId="77777777" w:rsidR="004102A6" w:rsidRDefault="004102A6" w:rsidP="004102A6">
      <w:pPr>
        <w:pStyle w:val="NoSpacing"/>
      </w:pPr>
    </w:p>
    <w:p w14:paraId="44402866" w14:textId="77777777" w:rsidR="004102A6" w:rsidRPr="001D0940" w:rsidRDefault="004102A6" w:rsidP="004102A6">
      <w:pPr>
        <w:pStyle w:val="NoSpacing"/>
        <w:ind w:firstLine="720"/>
      </w:pPr>
      <w:r w:rsidRPr="001D0940">
        <w:t>Q. And Ms. Johnson told the jury that when she was trained</w:t>
      </w:r>
    </w:p>
    <w:p w14:paraId="6C5AA98B" w14:textId="77777777" w:rsidR="004102A6" w:rsidRPr="001D0940" w:rsidRDefault="004102A6" w:rsidP="004102A6">
      <w:pPr>
        <w:pStyle w:val="NoSpacing"/>
        <w:ind w:firstLine="720"/>
      </w:pPr>
      <w:r w:rsidRPr="001D0940">
        <w:t>by St. Landry EMS, they trained her on when she should</w:t>
      </w:r>
    </w:p>
    <w:p w14:paraId="6D272730" w14:textId="77777777" w:rsidR="004102A6" w:rsidRPr="001D0940" w:rsidRDefault="004102A6" w:rsidP="004102A6">
      <w:pPr>
        <w:pStyle w:val="NoSpacing"/>
        <w:ind w:firstLine="720"/>
      </w:pPr>
      <w:r w:rsidRPr="001D0940">
        <w:t xml:space="preserve">and shouldn’t wear seatbelt [sic] </w:t>
      </w:r>
      <w:proofErr w:type="gramStart"/>
      <w:r w:rsidRPr="001D0940">
        <w:t>in</w:t>
      </w:r>
      <w:proofErr w:type="gramEnd"/>
      <w:r w:rsidRPr="001D0940">
        <w:t xml:space="preserve"> the back of the</w:t>
      </w:r>
    </w:p>
    <w:p w14:paraId="121759A5" w14:textId="77777777" w:rsidR="004102A6" w:rsidRPr="001D0940" w:rsidRDefault="004102A6" w:rsidP="004102A6">
      <w:pPr>
        <w:pStyle w:val="NoSpacing"/>
        <w:ind w:firstLine="720"/>
      </w:pPr>
      <w:r w:rsidRPr="001D0940">
        <w:t>ambulance. Did you receive similar training?</w:t>
      </w:r>
    </w:p>
    <w:p w14:paraId="24D6D680" w14:textId="77777777" w:rsidR="004102A6" w:rsidRPr="001D0940" w:rsidRDefault="004102A6" w:rsidP="004102A6">
      <w:pPr>
        <w:pStyle w:val="NoSpacing"/>
        <w:ind w:firstLine="720"/>
      </w:pPr>
      <w:r w:rsidRPr="001D0940">
        <w:t>A. Correct.</w:t>
      </w:r>
    </w:p>
    <w:p w14:paraId="60EFB1E2" w14:textId="77777777" w:rsidR="004102A6" w:rsidRPr="001D0940" w:rsidRDefault="004102A6" w:rsidP="004102A6">
      <w:pPr>
        <w:pStyle w:val="NoSpacing"/>
        <w:ind w:firstLine="720"/>
      </w:pPr>
      <w:r w:rsidRPr="001D0940">
        <w:t>Q. And she told the jury that while she’s doing that, or while</w:t>
      </w:r>
    </w:p>
    <w:p w14:paraId="66880C95" w14:textId="77777777" w:rsidR="004102A6" w:rsidRPr="001D0940" w:rsidRDefault="004102A6" w:rsidP="004102A6">
      <w:pPr>
        <w:pStyle w:val="NoSpacing"/>
        <w:ind w:firstLine="720"/>
      </w:pPr>
      <w:r w:rsidRPr="001D0940">
        <w:t>somebody in the back of the ambulance is doing active</w:t>
      </w:r>
    </w:p>
    <w:p w14:paraId="0C579609" w14:textId="77777777" w:rsidR="004102A6" w:rsidRPr="001D0940" w:rsidRDefault="004102A6" w:rsidP="004102A6">
      <w:pPr>
        <w:pStyle w:val="NoSpacing"/>
        <w:ind w:firstLine="720"/>
      </w:pPr>
      <w:r w:rsidRPr="001D0940">
        <w:t>care on a patient, it’s okay for them to not be restrained</w:t>
      </w:r>
    </w:p>
    <w:p w14:paraId="17238BF2" w14:textId="77777777" w:rsidR="004102A6" w:rsidRPr="001D0940" w:rsidRDefault="004102A6" w:rsidP="004102A6">
      <w:pPr>
        <w:pStyle w:val="NoSpacing"/>
        <w:ind w:firstLine="720"/>
      </w:pPr>
      <w:r w:rsidRPr="001D0940">
        <w:t>while they’re providing that care. Is that the same</w:t>
      </w:r>
    </w:p>
    <w:p w14:paraId="49BC90FD" w14:textId="77777777" w:rsidR="004102A6" w:rsidRPr="001D0940" w:rsidRDefault="004102A6" w:rsidP="004102A6">
      <w:pPr>
        <w:pStyle w:val="NoSpacing"/>
        <w:ind w:firstLine="720"/>
      </w:pPr>
      <w:r w:rsidRPr="001D0940">
        <w:t>treatment-</w:t>
      </w:r>
    </w:p>
    <w:p w14:paraId="62131E16" w14:textId="77777777" w:rsidR="004102A6" w:rsidRPr="001D0940" w:rsidRDefault="004102A6" w:rsidP="004102A6">
      <w:pPr>
        <w:pStyle w:val="NoSpacing"/>
        <w:ind w:firstLine="720"/>
      </w:pPr>
      <w:r w:rsidRPr="001D0940">
        <w:t>A. Correct.</w:t>
      </w:r>
    </w:p>
    <w:p w14:paraId="12762C94" w14:textId="77777777" w:rsidR="004102A6" w:rsidRPr="001D0940" w:rsidRDefault="004102A6" w:rsidP="004102A6">
      <w:pPr>
        <w:pStyle w:val="NoSpacing"/>
        <w:ind w:firstLine="720"/>
      </w:pPr>
      <w:r w:rsidRPr="001D0940">
        <w:t>Q. ...training that you got?</w:t>
      </w:r>
    </w:p>
    <w:p w14:paraId="5A98E389" w14:textId="77777777" w:rsidR="004102A6" w:rsidRPr="001D0940" w:rsidRDefault="004102A6" w:rsidP="004102A6">
      <w:pPr>
        <w:pStyle w:val="NoSpacing"/>
        <w:ind w:firstLine="720"/>
      </w:pPr>
      <w:r w:rsidRPr="001D0940">
        <w:t>A. mm-hmm. [affirmative]</w:t>
      </w:r>
    </w:p>
    <w:p w14:paraId="365DDA55" w14:textId="77777777" w:rsidR="004102A6" w:rsidRDefault="004102A6" w:rsidP="004102A6">
      <w:pPr>
        <w:pStyle w:val="NoSpacing"/>
      </w:pPr>
    </w:p>
    <w:p w14:paraId="498DC75E" w14:textId="77777777" w:rsidR="004102A6" w:rsidRDefault="004102A6" w:rsidP="004102A6">
      <w:pPr>
        <w:pStyle w:val="NoSpacing"/>
      </w:pPr>
      <w:r w:rsidRPr="001D0940">
        <w:t>Additionally, Bellard testified that it was not possible for an EMT to provide</w:t>
      </w:r>
      <w:r>
        <w:t xml:space="preserve"> </w:t>
      </w:r>
      <w:r w:rsidRPr="001D0940">
        <w:t>care to a patient while buckled in the seat where Sherri was seated. Bellard also</w:t>
      </w:r>
      <w:r>
        <w:t xml:space="preserve"> testified that the patient, Mr. Isles, iterated that Sherri was administering care </w:t>
      </w:r>
      <w:proofErr w:type="gramStart"/>
      <w:r>
        <w:t>to</w:t>
      </w:r>
      <w:proofErr w:type="gramEnd"/>
      <w:r>
        <w:t xml:space="preserve"> him when the wreck happened. These testimonies are undisputed. Accordingly, we find no error in our disposition of Defendants’ previous writ application and no merit to this issue raised again on appeal for review. Therefore,</w:t>
      </w:r>
    </w:p>
    <w:p w14:paraId="5F264ED8" w14:textId="77777777" w:rsidR="004102A6" w:rsidRDefault="004102A6" w:rsidP="004102A6">
      <w:pPr>
        <w:pStyle w:val="NoSpacing"/>
      </w:pPr>
      <w:proofErr w:type="gramStart"/>
      <w:r>
        <w:t>we</w:t>
      </w:r>
      <w:proofErr w:type="gramEnd"/>
      <w:r>
        <w:t xml:space="preserve"> find the trial court was within its discretion to exclude the testimony of</w:t>
      </w:r>
    </w:p>
    <w:p w14:paraId="5BAB8B4F" w14:textId="77777777" w:rsidR="004102A6" w:rsidRDefault="004102A6" w:rsidP="004102A6">
      <w:pPr>
        <w:pStyle w:val="NoSpacing"/>
      </w:pPr>
      <w:r>
        <w:t xml:space="preserve">Defendants’ expert, John B. </w:t>
      </w:r>
      <w:proofErr w:type="spellStart"/>
      <w:r>
        <w:t>Everlove</w:t>
      </w:r>
      <w:proofErr w:type="spellEnd"/>
      <w:r>
        <w:t>.”</w:t>
      </w:r>
    </w:p>
    <w:p w14:paraId="5F0C438B" w14:textId="77777777" w:rsidR="004102A6" w:rsidRDefault="004102A6" w:rsidP="004102A6">
      <w:pPr>
        <w:pStyle w:val="NoSpacing"/>
      </w:pPr>
    </w:p>
    <w:p w14:paraId="74881046" w14:textId="77777777" w:rsidR="004102A6" w:rsidRPr="006F2C17" w:rsidRDefault="004102A6" w:rsidP="004102A6">
      <w:pPr>
        <w:pStyle w:val="NoSpacing"/>
        <w:rPr>
          <w:b/>
          <w:bCs/>
        </w:rPr>
      </w:pPr>
      <w:r>
        <w:rPr>
          <w:b/>
        </w:rPr>
        <w:t xml:space="preserve">Legal lesson learned: Tragic accident, but no </w:t>
      </w:r>
      <w:r w:rsidRPr="00AD4347">
        <w:rPr>
          <w:b/>
        </w:rPr>
        <w:t>Louisiana</w:t>
      </w:r>
      <w:r>
        <w:rPr>
          <w:b/>
        </w:rPr>
        <w:t xml:space="preserve"> law requiring EMT to wear seat belt when tending to patient in rear of ambulance. </w:t>
      </w:r>
    </w:p>
    <w:p w14:paraId="22E53309" w14:textId="77777777" w:rsidR="004102A6" w:rsidRDefault="004102A6" w:rsidP="004102A6">
      <w:pPr>
        <w:rPr>
          <w:b/>
        </w:rPr>
      </w:pPr>
    </w:p>
    <w:p w14:paraId="4DE39F6F" w14:textId="77777777" w:rsidR="004102A6" w:rsidRPr="000D486A" w:rsidRDefault="004102A6" w:rsidP="004102A6">
      <w:pPr>
        <w:ind w:left="720"/>
        <w:rPr>
          <w:bCs/>
        </w:rPr>
      </w:pPr>
      <w:r w:rsidRPr="000D486A">
        <w:t xml:space="preserve">Note: See this Nov. 14, </w:t>
      </w:r>
      <w:proofErr w:type="gramStart"/>
      <w:r w:rsidRPr="000D486A">
        <w:t>2025</w:t>
      </w:r>
      <w:proofErr w:type="gramEnd"/>
      <w:r w:rsidRPr="000D486A">
        <w:t xml:space="preserve"> article, “6 lifesaving seat belt tips for EMTs and paramedics. Try these tips to make seat belt use in the patient care compartment just as normal as your personal </w:t>
      </w:r>
      <w:proofErr w:type="gramStart"/>
      <w:r w:rsidRPr="000D486A">
        <w:t>vehicle.”</w:t>
      </w:r>
      <w:proofErr w:type="gramEnd"/>
      <w:r w:rsidRPr="000D486A">
        <w:t xml:space="preserve"> </w:t>
      </w:r>
      <w:r>
        <w:t xml:space="preserve"> </w:t>
      </w:r>
      <w:hyperlink r:id="rId963" w:history="1">
        <w:r w:rsidRPr="004F5883">
          <w:rPr>
            <w:rStyle w:val="Hyperlink"/>
          </w:rPr>
          <w:t>https://www.ems1.com/ems-products/ambulance-safety/articles/6-lifesaving-seat-belt-tips-for-emts-and-paramedics-Xz0h9ek4lqN37Hmc/</w:t>
        </w:r>
      </w:hyperlink>
      <w:r w:rsidRPr="000D486A">
        <w:t xml:space="preserve"> </w:t>
      </w:r>
    </w:p>
    <w:p w14:paraId="306843E3" w14:textId="77777777" w:rsidR="004102A6" w:rsidRDefault="004102A6" w:rsidP="004102A6">
      <w:pPr>
        <w:rPr>
          <w:b/>
        </w:rPr>
      </w:pPr>
    </w:p>
    <w:p w14:paraId="22AEC63C" w14:textId="77777777" w:rsidR="004102A6" w:rsidRDefault="004102A6" w:rsidP="004102A6">
      <w:pPr>
        <w:pStyle w:val="NoSpacing"/>
        <w:rPr>
          <w:b/>
          <w:sz w:val="20"/>
          <w:szCs w:val="20"/>
        </w:rPr>
      </w:pPr>
    </w:p>
    <w:p w14:paraId="5F5C7B1A" w14:textId="78F20460" w:rsidR="004102A6" w:rsidRDefault="004102A6" w:rsidP="004102A6">
      <w:pPr>
        <w:pStyle w:val="NoSpacing"/>
        <w:rPr>
          <w:rFonts w:ascii="Arial Black" w:hAnsi="Arial Black"/>
          <w:sz w:val="28"/>
          <w:szCs w:val="28"/>
        </w:rPr>
      </w:pPr>
      <w:r>
        <w:rPr>
          <w:rFonts w:ascii="Arial Black" w:hAnsi="Arial Black"/>
          <w:sz w:val="28"/>
          <w:szCs w:val="28"/>
        </w:rPr>
        <w:t>5-66</w:t>
      </w:r>
    </w:p>
    <w:p w14:paraId="1FC59905" w14:textId="77777777" w:rsidR="004102A6" w:rsidRDefault="004102A6" w:rsidP="004102A6">
      <w:pPr>
        <w:pStyle w:val="NoSpacing"/>
        <w:rPr>
          <w:rFonts w:ascii="Arial Black" w:hAnsi="Arial Black"/>
          <w:sz w:val="28"/>
          <w:szCs w:val="28"/>
        </w:rPr>
      </w:pPr>
    </w:p>
    <w:p w14:paraId="79EB6E22" w14:textId="77777777" w:rsidR="004102A6" w:rsidRDefault="004102A6" w:rsidP="004102A6">
      <w:pPr>
        <w:pStyle w:val="NoSpacing"/>
      </w:pPr>
      <w:r>
        <w:rPr>
          <w:rFonts w:ascii="Arial Black" w:hAnsi="Arial Black"/>
          <w:sz w:val="28"/>
          <w:szCs w:val="28"/>
        </w:rPr>
        <w:t xml:space="preserve">TX: CRASH INTER - 20 MPH – SLOW DOWN “IF NECESSARY” </w:t>
      </w:r>
    </w:p>
    <w:p w14:paraId="57ECF873" w14:textId="77777777" w:rsidR="004102A6" w:rsidRDefault="004102A6" w:rsidP="004102A6">
      <w:pPr>
        <w:pStyle w:val="NoSpacing"/>
      </w:pPr>
    </w:p>
    <w:p w14:paraId="39043569" w14:textId="77777777" w:rsidR="004102A6" w:rsidRDefault="004102A6" w:rsidP="004102A6">
      <w:r>
        <w:t xml:space="preserve">On June 30, 2026, in </w:t>
      </w:r>
      <w:r w:rsidRPr="00DC50BD">
        <w:rPr>
          <w:u w:val="single"/>
        </w:rPr>
        <w:t>Oscar Lopez v. City of Houston</w:t>
      </w:r>
      <w:r>
        <w:t xml:space="preserve">, the </w:t>
      </w:r>
      <w:r w:rsidRPr="00DC50BD">
        <w:t>Court of Appeals of Texas, Fourteenth District</w:t>
      </w:r>
      <w:r>
        <w:t xml:space="preserve"> held (3 to 0) that trial court properly granted judgment for the City, under the “emergency exception” for municipal liability.  The lead engine entered intersection going 20 mph, with two vehicles stopped. Video from nearby business showed he didn’t slow down; statute only requires slow down “as necessary for safe operation.” See Tex. Transp. Code §546.001(2). </w:t>
      </w:r>
      <w:hyperlink r:id="rId964" w:history="1">
        <w:r w:rsidRPr="004F5883">
          <w:rPr>
            <w:rStyle w:val="Hyperlink"/>
          </w:rPr>
          <w:t>https://cases.justia.com/texas/fourteenth-court-of-appeals/2026-14-25-00343-cv.pdf?ts=1782834443</w:t>
        </w:r>
      </w:hyperlink>
      <w:r>
        <w:t xml:space="preserve"> </w:t>
      </w:r>
    </w:p>
    <w:p w14:paraId="7181CA9E" w14:textId="77777777" w:rsidR="004102A6" w:rsidRDefault="004102A6" w:rsidP="004102A6"/>
    <w:p w14:paraId="1B47088F" w14:textId="77777777" w:rsidR="004102A6" w:rsidRDefault="004102A6" w:rsidP="004102A6">
      <w:r>
        <w:t>THE COURT WROTE:</w:t>
      </w:r>
    </w:p>
    <w:p w14:paraId="0F2024DA" w14:textId="77777777" w:rsidR="004102A6" w:rsidRDefault="004102A6" w:rsidP="004102A6">
      <w:pPr>
        <w:pStyle w:val="NoSpacing"/>
      </w:pPr>
      <w:r>
        <w:t>“</w:t>
      </w:r>
      <w:r w:rsidRPr="003E796F">
        <w:t>At approximately 5:00 a.m. on February 6, 2021, Houston Fire Department</w:t>
      </w:r>
      <w:r>
        <w:t xml:space="preserve"> </w:t>
      </w:r>
      <w:r w:rsidRPr="003E796F">
        <w:t>(</w:t>
      </w:r>
      <w:r>
        <w:t>‘</w:t>
      </w:r>
      <w:r w:rsidRPr="003E796F">
        <w:t>HFD</w:t>
      </w:r>
      <w:r>
        <w:t>’</w:t>
      </w:r>
      <w:r w:rsidRPr="003E796F">
        <w:t>) Station 93 received a 9-1-1 dispatch regarding a house fire. Two units from</w:t>
      </w:r>
      <w:r>
        <w:t xml:space="preserve"> </w:t>
      </w:r>
      <w:r w:rsidRPr="003E796F">
        <w:t>Station 93 were dispatched to address the fire, Engine 93 and Ladder 93, along</w:t>
      </w:r>
      <w:r>
        <w:t xml:space="preserve"> </w:t>
      </w:r>
      <w:r w:rsidRPr="003E796F">
        <w:t>with Engine 52 from Station 52.</w:t>
      </w:r>
      <w:r>
        <w:t xml:space="preserve"> </w:t>
      </w:r>
      <w:r w:rsidRPr="003E796F">
        <w:t>Upon receiving the dispatch orders, HFD Engineer/Operator Anthony</w:t>
      </w:r>
      <w:r>
        <w:t xml:space="preserve"> </w:t>
      </w:r>
      <w:r w:rsidRPr="003E796F">
        <w:t>Grizzaffi, HFD Junior Captain Erick Mikel, as well as other HFD fire fighters</w:t>
      </w:r>
      <w:r>
        <w:t xml:space="preserve"> </w:t>
      </w:r>
      <w:r w:rsidRPr="003E796F">
        <w:t>boarded Engine 93. Engineer/Operator Grizzaffi was the assigned driver of Engine</w:t>
      </w:r>
      <w:r>
        <w:t xml:space="preserve"> </w:t>
      </w:r>
      <w:r w:rsidRPr="003E796F">
        <w:t>93, and Junior Captain Mikel rode in the front passenger seat of Engine 93</w:t>
      </w:r>
      <w:r>
        <w:t xml:space="preserve">…. </w:t>
      </w:r>
      <w:r w:rsidRPr="00EA57A1">
        <w:t>Engineer/Operator Grizzaffi and Captain Mikel both observed two vehicles at</w:t>
      </w:r>
      <w:r>
        <w:t xml:space="preserve"> </w:t>
      </w:r>
      <w:r w:rsidRPr="00EA57A1">
        <w:t>the intersection yielding the right of way to Engine 93 and the other two HFD units;</w:t>
      </w:r>
      <w:r>
        <w:t xml:space="preserve"> </w:t>
      </w:r>
      <w:r w:rsidRPr="00EA57A1">
        <w:t xml:space="preserve">one was stopped in the designated left-turn </w:t>
      </w:r>
      <w:proofErr w:type="gramStart"/>
      <w:r w:rsidRPr="00EA57A1">
        <w:t>lane</w:t>
      </w:r>
      <w:proofErr w:type="gramEnd"/>
      <w:r w:rsidRPr="00EA57A1">
        <w:t xml:space="preserve"> and one was stopped in the middle</w:t>
      </w:r>
      <w:r>
        <w:t xml:space="preserve"> </w:t>
      </w:r>
      <w:r w:rsidRPr="00EA57A1">
        <w:t>lane. Grizzaffi stated in his affidavit that he was driving at under twenty miles per</w:t>
      </w:r>
      <w:r>
        <w:t xml:space="preserve"> </w:t>
      </w:r>
      <w:r w:rsidRPr="00EA57A1">
        <w:t>hour as he passed through the intersection. As the front quadrant of Engine 93</w:t>
      </w:r>
      <w:r>
        <w:t xml:space="preserve"> </w:t>
      </w:r>
      <w:r w:rsidRPr="00EA57A1">
        <w:t xml:space="preserve">passed through the three lanes of the intersection, Grizzaffi heard a </w:t>
      </w:r>
      <w:r>
        <w:t>‘</w:t>
      </w:r>
      <w:r w:rsidRPr="00EA57A1">
        <w:t>metallic</w:t>
      </w:r>
      <w:r>
        <w:t xml:space="preserve"> </w:t>
      </w:r>
      <w:r w:rsidRPr="00EA57A1">
        <w:t>thump.</w:t>
      </w:r>
      <w:r>
        <w:t xml:space="preserve">’ </w:t>
      </w:r>
      <w:r w:rsidRPr="00EA57A1">
        <w:t xml:space="preserve">Grizzaffi later learned that Lopez had </w:t>
      </w:r>
      <w:r>
        <w:t>‘</w:t>
      </w:r>
      <w:r w:rsidRPr="00EA57A1">
        <w:t>t-boned</w:t>
      </w:r>
      <w:r>
        <w:t xml:space="preserve">’ </w:t>
      </w:r>
      <w:r w:rsidRPr="00EA57A1">
        <w:t>Engine 93 in a Nissan Sentra</w:t>
      </w:r>
      <w:r>
        <w:t xml:space="preserve"> </w:t>
      </w:r>
      <w:r w:rsidRPr="00EA57A1">
        <w:t>as Engine 93 passed through the intersection. The Sentra struck Engine 93 behind</w:t>
      </w:r>
      <w:r>
        <w:t xml:space="preserve"> </w:t>
      </w:r>
      <w:r w:rsidRPr="00EA57A1">
        <w:t>the engine’s front passenger wheel, which is located approximately seven feet</w:t>
      </w:r>
      <w:r>
        <w:t xml:space="preserve"> </w:t>
      </w:r>
      <w:r w:rsidRPr="00EA57A1">
        <w:t>behind the front of the front bumper.</w:t>
      </w:r>
    </w:p>
    <w:p w14:paraId="5F327CEF" w14:textId="77777777" w:rsidR="004102A6" w:rsidRDefault="004102A6" w:rsidP="004102A6">
      <w:pPr>
        <w:pStyle w:val="NoSpacing"/>
      </w:pPr>
    </w:p>
    <w:p w14:paraId="2EEFD071" w14:textId="77777777" w:rsidR="004102A6" w:rsidRDefault="004102A6" w:rsidP="004102A6">
      <w:pPr>
        <w:pStyle w:val="NoSpacing"/>
      </w:pPr>
      <w:r>
        <w:t>***</w:t>
      </w:r>
    </w:p>
    <w:p w14:paraId="411C3CF1" w14:textId="77777777" w:rsidR="004102A6" w:rsidRDefault="004102A6" w:rsidP="004102A6">
      <w:pPr>
        <w:pStyle w:val="NoSpacing"/>
      </w:pPr>
    </w:p>
    <w:p w14:paraId="735AC4BC" w14:textId="77777777" w:rsidR="004102A6" w:rsidRDefault="004102A6" w:rsidP="004102A6">
      <w:pPr>
        <w:pStyle w:val="NoSpacing"/>
      </w:pPr>
      <w:r>
        <w:t>Lopez filed deposition testimony from investigating policeman Officer Wu that surveillance video obtained from a nearby business showed Engine 93 did not slow down before crossing the intersection…. Officer Wu testified that he reviewed surveillance video of the three HFD units passing through the intersection. Wu testified that while he did not see Lopez strike Engine 93 on the video, he noticed that Engine 93 did not slow down before it passed through the intersection, whereas Ladder 93 and Engine 52 slowed down before driving through the intersection. Wu testified that he could see on the video that all three units had their emergency lights activated at the time. The excerpts from Wu’s deposition did not include any indication whether the sirens on the HFD units were audible at the time of the collision…. Under the facts presented, these fact issues preclude a conclusive showing of good faith and therefore preclude summary judgment based on official immunity.</w:t>
      </w:r>
    </w:p>
    <w:p w14:paraId="7C3A62AB" w14:textId="77777777" w:rsidR="004102A6" w:rsidRDefault="004102A6" w:rsidP="004102A6">
      <w:pPr>
        <w:pStyle w:val="NoSpacing"/>
      </w:pPr>
    </w:p>
    <w:p w14:paraId="66E83C6B" w14:textId="77777777" w:rsidR="004102A6" w:rsidRDefault="004102A6" w:rsidP="004102A6">
      <w:pPr>
        <w:pStyle w:val="NoSpacing"/>
      </w:pPr>
      <w:r>
        <w:t>Transportation Code section 546.001(2) applies to emergency action and is at issue here. Section 546.001(2) provides that when responding to an emergency call, an operator of an emergency vehicle may ‘proceed past a red or stop signal or stop sign, after slowing as necessary for safe operation[.]’ See Tex. Transp. Code §546.001(2). Slowing as necessary, however, does not relieve a driver of an emergency vehicle from “the consequences of reckless disregard for the safety of others.” Id. § 546.005(2)…. Under these facts, it was not necessary for Grizzaffi to slow Engine 93 further before entering the intersection…. because the summary-judgment evidence conclusively shows the emergency exception applies, the trial court did not err by granting final summary judgment in the City’s favor.”</w:t>
      </w:r>
    </w:p>
    <w:p w14:paraId="7662D046" w14:textId="77777777" w:rsidR="004102A6" w:rsidRDefault="004102A6" w:rsidP="004102A6">
      <w:pPr>
        <w:pStyle w:val="NoSpacing"/>
      </w:pPr>
    </w:p>
    <w:p w14:paraId="47DD13DA" w14:textId="77777777" w:rsidR="004102A6" w:rsidRPr="001A7905" w:rsidRDefault="004102A6" w:rsidP="004102A6">
      <w:pPr>
        <w:pStyle w:val="NoSpacing"/>
        <w:rPr>
          <w:b/>
          <w:bCs/>
        </w:rPr>
      </w:pPr>
      <w:r w:rsidRPr="001A7905">
        <w:rPr>
          <w:b/>
        </w:rPr>
        <w:t xml:space="preserve">Legal lesson learned: </w:t>
      </w:r>
      <w:r>
        <w:rPr>
          <w:b/>
        </w:rPr>
        <w:t xml:space="preserve"> The evidence showed the FAO was driving safely when entering intersection, with lights and siren, at 20 mph. </w:t>
      </w:r>
    </w:p>
    <w:p w14:paraId="074F66F1" w14:textId="77777777" w:rsidR="004102A6" w:rsidRDefault="004102A6" w:rsidP="004102A6">
      <w:pPr>
        <w:pStyle w:val="NoSpacing"/>
        <w:rPr>
          <w:b/>
          <w:sz w:val="20"/>
          <w:szCs w:val="20"/>
        </w:rPr>
      </w:pPr>
    </w:p>
    <w:p w14:paraId="0C2CEFBD" w14:textId="77777777" w:rsidR="004102A6" w:rsidRDefault="004102A6" w:rsidP="004102A6">
      <w:pPr>
        <w:pStyle w:val="NoSpacing"/>
        <w:rPr>
          <w:b/>
          <w:sz w:val="20"/>
          <w:szCs w:val="20"/>
        </w:rPr>
      </w:pPr>
    </w:p>
    <w:p w14:paraId="252C9B0E" w14:textId="77777777" w:rsidR="004102A6" w:rsidRDefault="004102A6" w:rsidP="00574CD1">
      <w:pPr>
        <w:rPr>
          <w:rFonts w:ascii="Arial Black" w:hAnsi="Arial Black"/>
          <w:sz w:val="28"/>
          <w:szCs w:val="28"/>
        </w:rPr>
      </w:pPr>
    </w:p>
    <w:p w14:paraId="0137AAF2" w14:textId="41F9BF4C" w:rsidR="00574CD1" w:rsidRDefault="00574CD1" w:rsidP="00574CD1">
      <w:pPr>
        <w:rPr>
          <w:rFonts w:ascii="Arial Black" w:hAnsi="Arial Black"/>
          <w:sz w:val="28"/>
          <w:szCs w:val="28"/>
        </w:rPr>
      </w:pPr>
      <w:r>
        <w:rPr>
          <w:rFonts w:ascii="Arial Black" w:hAnsi="Arial Black"/>
          <w:sz w:val="28"/>
          <w:szCs w:val="28"/>
        </w:rPr>
        <w:t>5-65</w:t>
      </w:r>
    </w:p>
    <w:p w14:paraId="58065D71" w14:textId="77777777" w:rsidR="0016116D" w:rsidRPr="00A21FFE" w:rsidRDefault="0016116D" w:rsidP="0016116D">
      <w:pPr>
        <w:pStyle w:val="NoSpacing"/>
        <w:rPr>
          <w:rFonts w:ascii="Arial Black" w:hAnsi="Arial Black"/>
          <w:b/>
          <w:sz w:val="28"/>
          <w:szCs w:val="28"/>
        </w:rPr>
      </w:pPr>
      <w:r>
        <w:rPr>
          <w:rFonts w:ascii="Arial Black" w:hAnsi="Arial Black"/>
          <w:b/>
          <w:sz w:val="28"/>
          <w:szCs w:val="28"/>
        </w:rPr>
        <w:t>TX: DRUNK RUNS INTO FIRETRUCK – 3</w:t>
      </w:r>
      <w:r w:rsidRPr="00A21FFE">
        <w:rPr>
          <w:rFonts w:ascii="Arial Black" w:hAnsi="Arial Black"/>
          <w:b/>
          <w:sz w:val="28"/>
          <w:szCs w:val="28"/>
          <w:vertAlign w:val="superscript"/>
        </w:rPr>
        <w:t>rd</w:t>
      </w:r>
      <w:r>
        <w:rPr>
          <w:rFonts w:ascii="Arial Black" w:hAnsi="Arial Black"/>
          <w:b/>
          <w:sz w:val="28"/>
          <w:szCs w:val="28"/>
        </w:rPr>
        <w:t xml:space="preserve"> CONV. – 50 YEARS</w:t>
      </w:r>
    </w:p>
    <w:p w14:paraId="073BB02A" w14:textId="77777777" w:rsidR="0016116D" w:rsidRDefault="0016116D" w:rsidP="0016116D">
      <w:pPr>
        <w:pStyle w:val="NoSpacing"/>
        <w:rPr>
          <w:b/>
        </w:rPr>
      </w:pPr>
    </w:p>
    <w:p w14:paraId="17E1F541" w14:textId="77777777" w:rsidR="0016116D" w:rsidRDefault="0016116D" w:rsidP="0016116D">
      <w:pPr>
        <w:pStyle w:val="NoSpacing"/>
      </w:pPr>
      <w:r>
        <w:t xml:space="preserve">On June 24, 2026, in </w:t>
      </w:r>
      <w:r w:rsidRPr="005830A9">
        <w:rPr>
          <w:u w:val="single"/>
        </w:rPr>
        <w:t>Dennis Lee Giddings v. The State of Texas</w:t>
      </w:r>
      <w:r>
        <w:t xml:space="preserve">, the </w:t>
      </w:r>
      <w:r w:rsidRPr="005830A9">
        <w:t>Court of Appeals of Texas, Fourth District, San Antonio</w:t>
      </w:r>
      <w:r>
        <w:t xml:space="preserve"> held (3 to 0; unpublished) that jury properly convicted the defendant </w:t>
      </w:r>
      <w:r w:rsidRPr="00D8691B">
        <w:t xml:space="preserve">for driving while intoxicated, </w:t>
      </w:r>
      <w:r>
        <w:t xml:space="preserve">two prior felony convictions, </w:t>
      </w:r>
      <w:r w:rsidRPr="00774DA1">
        <w:t xml:space="preserve">and it assessed his punishment at 50 years' confinement. </w:t>
      </w:r>
      <w:r w:rsidRPr="00766685">
        <w:t xml:space="preserve">The trial court subsequently signed a judgment of conviction that was consistent with the jury's verdict. </w:t>
      </w:r>
      <w:r>
        <w:t>The defendant on appeal argued that the firefighter testified not only what was in his accident report, but also that the defendant was combative – Court rejected this defense. The Court wrote:  “</w:t>
      </w:r>
      <w:r w:rsidRPr="00E378D5">
        <w:t>But the record does not contain any evidence that the</w:t>
      </w:r>
      <w:r>
        <w:t xml:space="preserve"> State knew Gregory planned to testify about the distance between the two vehicles or that Giddings swatted his hand away when he </w:t>
      </w:r>
      <w:proofErr w:type="gramStart"/>
      <w:r>
        <w:t>offered assistance</w:t>
      </w:r>
      <w:proofErr w:type="gramEnd"/>
      <w:r>
        <w:t>. To the contrary, the State affirmatively represented below that it, like Giddings, was hearing those details “for the first time.” Under these circumstances, the trial court did not abuse its discretion by overruling Giddings’s Article 39.14 objection.”</w:t>
      </w:r>
      <w:hyperlink r:id="rId965" w:history="1">
        <w:r w:rsidRPr="00014504">
          <w:rPr>
            <w:rStyle w:val="Hyperlink"/>
          </w:rPr>
          <w:t>https://cases.justia.com/texas/fourth-court-of-appeals/2026-04-25-00487-cr.pdf?ts=1782304969</w:t>
        </w:r>
      </w:hyperlink>
      <w:r>
        <w:t xml:space="preserve"> </w:t>
      </w:r>
    </w:p>
    <w:p w14:paraId="528A88B7" w14:textId="77777777" w:rsidR="0016116D" w:rsidRDefault="0016116D" w:rsidP="0016116D">
      <w:pPr>
        <w:pStyle w:val="NoSpacing"/>
      </w:pPr>
    </w:p>
    <w:p w14:paraId="27ABC6F9" w14:textId="77777777" w:rsidR="0016116D" w:rsidRPr="00503492" w:rsidRDefault="0016116D" w:rsidP="0016116D">
      <w:pPr>
        <w:pStyle w:val="NoSpacing"/>
        <w:rPr>
          <w:b/>
          <w:bCs/>
        </w:rPr>
      </w:pPr>
      <w:r w:rsidRPr="00503492">
        <w:rPr>
          <w:b/>
        </w:rPr>
        <w:t xml:space="preserve">FACTS: </w:t>
      </w:r>
    </w:p>
    <w:p w14:paraId="03FD06EB" w14:textId="77777777" w:rsidR="0016116D" w:rsidRDefault="0016116D" w:rsidP="0016116D">
      <w:pPr>
        <w:pStyle w:val="NoSpacing"/>
      </w:pPr>
    </w:p>
    <w:p w14:paraId="1CFF0B4A" w14:textId="77777777" w:rsidR="0016116D" w:rsidRPr="007F2543" w:rsidRDefault="0016116D" w:rsidP="0016116D">
      <w:pPr>
        <w:pStyle w:val="NoSpacing"/>
      </w:pPr>
      <w:r>
        <w:t>“</w:t>
      </w:r>
      <w:r w:rsidRPr="007F2543">
        <w:t xml:space="preserve">On July 4, 2024, Giddings was involved in an automobile collision with a City of Boerne firetruck. Giddings maintained that the firetruck hit him, while the truck's driver testified that </w:t>
      </w:r>
    </w:p>
    <w:p w14:paraId="7F60C5E9" w14:textId="77777777" w:rsidR="0016116D" w:rsidRDefault="0016116D" w:rsidP="0016116D">
      <w:pPr>
        <w:pStyle w:val="NoSpacing"/>
      </w:pPr>
      <w:r w:rsidRPr="007F2543">
        <w:t xml:space="preserve">Giddings entered his lane and collided with the back of the truck. The police officers who responded to the collision believed Giddings was intoxicated, and they arrested him. A Kendall County grand jury indicted him for driving while intoxicated, third or more. </w:t>
      </w:r>
    </w:p>
    <w:p w14:paraId="3E95660B" w14:textId="77777777" w:rsidR="0016116D" w:rsidRDefault="0016116D" w:rsidP="0016116D">
      <w:pPr>
        <w:pStyle w:val="NoSpacing"/>
      </w:pPr>
    </w:p>
    <w:p w14:paraId="04788B24" w14:textId="77777777" w:rsidR="0016116D" w:rsidRDefault="0016116D" w:rsidP="0016116D">
      <w:pPr>
        <w:pStyle w:val="NoSpacing"/>
      </w:pPr>
      <w:r>
        <w:t>***</w:t>
      </w:r>
    </w:p>
    <w:p w14:paraId="1F7EA112" w14:textId="77777777" w:rsidR="0016116D" w:rsidRDefault="0016116D" w:rsidP="0016116D">
      <w:pPr>
        <w:pStyle w:val="NoSpacing"/>
      </w:pPr>
    </w:p>
    <w:p w14:paraId="57F603D5" w14:textId="77777777" w:rsidR="0016116D" w:rsidRPr="00F503BB" w:rsidRDefault="0016116D" w:rsidP="0016116D">
      <w:pPr>
        <w:pStyle w:val="NoSpacing"/>
      </w:pPr>
      <w:r w:rsidRPr="00F503BB">
        <w:t xml:space="preserve"> Gregory testified without objection that after the collision, he noticed that Giddings's vehicle came to rest </w:t>
      </w:r>
      <w:r>
        <w:t>‘</w:t>
      </w:r>
      <w:r w:rsidRPr="00F503BB">
        <w:t>a substantial distance,</w:t>
      </w:r>
      <w:r>
        <w:t>’</w:t>
      </w:r>
      <w:r w:rsidRPr="00F503BB">
        <w:t xml:space="preserve"> which he estimated to be 1,180 </w:t>
      </w:r>
      <w:proofErr w:type="gramStart"/>
      <w:r w:rsidRPr="00F503BB">
        <w:t>feet,</w:t>
      </w:r>
      <w:proofErr w:type="gramEnd"/>
      <w:r w:rsidRPr="00F503BB">
        <w:t xml:space="preserve"> away from the </w:t>
      </w:r>
    </w:p>
    <w:p w14:paraId="13FDE97C" w14:textId="77777777" w:rsidR="0016116D" w:rsidRDefault="0016116D" w:rsidP="0016116D">
      <w:pPr>
        <w:pStyle w:val="NoSpacing"/>
      </w:pPr>
      <w:r w:rsidRPr="00F503BB">
        <w:t xml:space="preserve">firetruck and the collision site. He explained that the distance between the two vehicles led him to </w:t>
      </w:r>
      <w:proofErr w:type="gramStart"/>
      <w:r w:rsidRPr="00F503BB">
        <w:t xml:space="preserve">believe </w:t>
      </w:r>
      <w:r>
        <w:t>‘</w:t>
      </w:r>
      <w:r w:rsidRPr="00F503BB">
        <w:t>[t]hat</w:t>
      </w:r>
      <w:proofErr w:type="gramEnd"/>
      <w:r w:rsidRPr="00F503BB">
        <w:t xml:space="preserve"> there was a high rate of speed involved from [Giddings's] vehicle to have slid that far or there was just complete lack of control of the vehicle.</w:t>
      </w:r>
      <w:r>
        <w:t>’</w:t>
      </w:r>
      <w:r w:rsidRPr="00F503BB">
        <w:t xml:space="preserve"> He further testified that as he was trying to assess Giddings's physical condition after the collision, Giddings swore at him, ignored his instructions to stay seated until further assistance arrived, and </w:t>
      </w:r>
      <w:r>
        <w:t>‘</w:t>
      </w:r>
      <w:r w:rsidRPr="00F503BB">
        <w:t>swatted [his hand] away</w:t>
      </w:r>
      <w:r>
        <w:t>’</w:t>
      </w:r>
      <w:r w:rsidRPr="00F503BB">
        <w:t xml:space="preserve"> when he tried to help Giddings out of his crashed vehicle. Gregory also testified that he noticed </w:t>
      </w:r>
      <w:r>
        <w:t>‘</w:t>
      </w:r>
      <w:r w:rsidRPr="00F503BB">
        <w:t>a strong smell of alcohol coming from the vehicle.</w:t>
      </w:r>
      <w:r>
        <w:t>’”</w:t>
      </w:r>
    </w:p>
    <w:p w14:paraId="0EF2EB21" w14:textId="77777777" w:rsidR="0016116D" w:rsidRDefault="0016116D" w:rsidP="0016116D">
      <w:pPr>
        <w:pStyle w:val="NoSpacing"/>
      </w:pPr>
    </w:p>
    <w:p w14:paraId="1833037E" w14:textId="77777777" w:rsidR="0016116D" w:rsidRDefault="0016116D" w:rsidP="0016116D">
      <w:pPr>
        <w:pStyle w:val="NoSpacing"/>
        <w:rPr>
          <w:b/>
          <w:bCs/>
        </w:rPr>
      </w:pPr>
      <w:r w:rsidRPr="00193B24">
        <w:rPr>
          <w:b/>
        </w:rPr>
        <w:t xml:space="preserve">COURT HELD: </w:t>
      </w:r>
    </w:p>
    <w:p w14:paraId="7819BC95" w14:textId="77777777" w:rsidR="0016116D" w:rsidRDefault="0016116D" w:rsidP="0016116D">
      <w:pPr>
        <w:pStyle w:val="NoSpacing"/>
        <w:rPr>
          <w:b/>
          <w:bCs/>
        </w:rPr>
      </w:pPr>
    </w:p>
    <w:p w14:paraId="0E6488BB" w14:textId="77777777" w:rsidR="0016116D" w:rsidRDefault="0016116D" w:rsidP="0016116D">
      <w:pPr>
        <w:pStyle w:val="NoSpacing"/>
      </w:pPr>
      <w:r>
        <w:t>“</w:t>
      </w:r>
      <w:r w:rsidRPr="00CF41C3">
        <w:t> In his first issue, Giddings argues the State violated its discovery obligations regarding testimony from Matthew Gregory, the firefighter and EMT who was driving the firetruck and who tried to assess Giddings at the scene. Giddings contends that the State had an obligation to disclose that Gregory's trial testimony would include details not recited in his written EMT report.</w:t>
      </w:r>
    </w:p>
    <w:p w14:paraId="41DE374A" w14:textId="77777777" w:rsidR="0016116D" w:rsidRDefault="0016116D" w:rsidP="0016116D">
      <w:pPr>
        <w:pStyle w:val="NoSpacing"/>
      </w:pPr>
    </w:p>
    <w:p w14:paraId="04FBE50F" w14:textId="77777777" w:rsidR="0016116D" w:rsidRDefault="0016116D" w:rsidP="0016116D">
      <w:pPr>
        <w:pStyle w:val="NoSpacing"/>
      </w:pPr>
      <w:r>
        <w:t>***</w:t>
      </w:r>
    </w:p>
    <w:p w14:paraId="4E8F1563" w14:textId="77777777" w:rsidR="0016116D" w:rsidRDefault="0016116D" w:rsidP="0016116D">
      <w:pPr>
        <w:pStyle w:val="NoSpacing"/>
      </w:pPr>
      <w:r w:rsidRPr="006C238E">
        <w:t>Here, Gregory's testimony about the post-collision distance between the firetruck and Giddings's vehicle was corroborated by Trooper Robert Pennington, who testified that he personally observed both vehicles' positions at the scene. Like Gregory, he explained why the distance stood out to him: The firetruck remained relatively close to the area of impact, which indicated to me a normal reaction. They experienced the impact and brought the vehicle to a stop. And the red sedan [Giddings's vehicle] was a significant distance away from [sic] further down continuing in the direction it was coming from the point of impact, which told me there was either a delayed response to the impact or a failed response to the impact, that the vehicle was not intended to stop.</w:t>
      </w:r>
      <w:r>
        <w:t>”</w:t>
      </w:r>
    </w:p>
    <w:p w14:paraId="623465DB" w14:textId="77777777" w:rsidR="0016116D" w:rsidRDefault="0016116D" w:rsidP="0016116D">
      <w:pPr>
        <w:pStyle w:val="NoSpacing"/>
      </w:pPr>
    </w:p>
    <w:p w14:paraId="0F347C2C" w14:textId="77777777" w:rsidR="0016116D" w:rsidRPr="004E652D" w:rsidRDefault="0016116D" w:rsidP="0016116D">
      <w:pPr>
        <w:pStyle w:val="NoSpacing"/>
        <w:rPr>
          <w:b/>
          <w:bCs/>
        </w:rPr>
      </w:pPr>
      <w:r>
        <w:rPr>
          <w:b/>
        </w:rPr>
        <w:t xml:space="preserve">Legal lesson learned: Firefighter properly testified about conduct of the drunk driver.  </w:t>
      </w:r>
      <w:proofErr w:type="gramStart"/>
      <w:r>
        <w:rPr>
          <w:b/>
        </w:rPr>
        <w:t>Also</w:t>
      </w:r>
      <w:proofErr w:type="gramEnd"/>
      <w:r>
        <w:rPr>
          <w:b/>
        </w:rPr>
        <w:t xml:space="preserve"> in Texas the jury imposes the sentence – in this case, 50 years – confirmed by trial court judge.  </w:t>
      </w:r>
    </w:p>
    <w:p w14:paraId="6B8C4FE4" w14:textId="77777777" w:rsidR="0016116D" w:rsidRDefault="0016116D" w:rsidP="0016116D">
      <w:pPr>
        <w:rPr>
          <w:sz w:val="20"/>
          <w:szCs w:val="20"/>
        </w:rPr>
      </w:pPr>
    </w:p>
    <w:p w14:paraId="00E1C89B" w14:textId="77777777" w:rsidR="0016116D" w:rsidRDefault="0016116D" w:rsidP="0016116D">
      <w:pPr>
        <w:rPr>
          <w:sz w:val="20"/>
          <w:szCs w:val="20"/>
        </w:rPr>
      </w:pPr>
    </w:p>
    <w:p w14:paraId="6E56E459" w14:textId="61784B7D" w:rsidR="00574CD1" w:rsidRDefault="00574CD1" w:rsidP="00574CD1">
      <w:pPr>
        <w:rPr>
          <w:rFonts w:ascii="Arial Black" w:hAnsi="Arial Black"/>
          <w:sz w:val="28"/>
          <w:szCs w:val="28"/>
        </w:rPr>
      </w:pPr>
      <w:r>
        <w:rPr>
          <w:rFonts w:ascii="Arial Black" w:hAnsi="Arial Black"/>
          <w:sz w:val="28"/>
          <w:szCs w:val="28"/>
        </w:rPr>
        <w:t>5-64</w:t>
      </w:r>
    </w:p>
    <w:p w14:paraId="6FA9AD31" w14:textId="25C88F00" w:rsidR="0016116D" w:rsidRPr="00BA4DF1" w:rsidRDefault="0016116D" w:rsidP="0016116D">
      <w:pPr>
        <w:rPr>
          <w:rFonts w:ascii="Arial Black" w:hAnsi="Arial Black"/>
          <w:b/>
          <w:sz w:val="28"/>
          <w:szCs w:val="28"/>
        </w:rPr>
      </w:pPr>
      <w:r>
        <w:rPr>
          <w:rFonts w:ascii="Arial Black" w:hAnsi="Arial Black"/>
          <w:b/>
          <w:sz w:val="28"/>
          <w:szCs w:val="28"/>
        </w:rPr>
        <w:t>OH: AMBUL RUNS OVER / KILLS REFUSING PT – CASE GO</w:t>
      </w:r>
    </w:p>
    <w:p w14:paraId="5B662BFB" w14:textId="77777777" w:rsidR="0016116D" w:rsidRPr="00AF1D9B" w:rsidRDefault="0016116D" w:rsidP="0016116D">
      <w:pPr>
        <w:rPr>
          <w:bCs/>
        </w:rPr>
      </w:pPr>
      <w:r>
        <w:t xml:space="preserve">On June 11, 2026, in </w:t>
      </w:r>
      <w:r w:rsidRPr="00AF1D9B">
        <w:rPr>
          <w:u w:val="single"/>
        </w:rPr>
        <w:t>Jessica Formoso v. City of Parma Heights, et al</w:t>
      </w:r>
      <w:r>
        <w:t xml:space="preserve">., the </w:t>
      </w:r>
      <w:r w:rsidRPr="00AF1D9B">
        <w:t>Court of Appeals of Ohio, Eighth District, Cuyahoga</w:t>
      </w:r>
      <w:r>
        <w:t xml:space="preserve"> held (3 to 0) the trial court properly denied the City’s motion to dismiss based on immunity.  The Court wrote: “We find that Formoso has sufficiently pled facts that, if true, could entitle her to relief regarding whether the Emergency Medical Personnel’s actions were negligent as well as whether they rise to the level of willful or wanton misconduct.” </w:t>
      </w:r>
      <w:hyperlink r:id="rId966" w:history="1">
        <w:r w:rsidRPr="00A41B9A">
          <w:rPr>
            <w:rStyle w:val="Hyperlink"/>
          </w:rPr>
          <w:t>https://www.supremecourt.ohio.gov/rod/docs/pdf/8/2026/2026-Ohio-2189.pdf</w:t>
        </w:r>
      </w:hyperlink>
      <w:r>
        <w:t xml:space="preserve"> </w:t>
      </w:r>
    </w:p>
    <w:p w14:paraId="79B22DB2" w14:textId="77777777" w:rsidR="0016116D" w:rsidRDefault="0016116D" w:rsidP="0016116D">
      <w:pPr>
        <w:rPr>
          <w:b/>
        </w:rPr>
      </w:pPr>
      <w:r>
        <w:rPr>
          <w:b/>
        </w:rPr>
        <w:t>FACTS:</w:t>
      </w:r>
    </w:p>
    <w:p w14:paraId="43900CFC" w14:textId="77777777" w:rsidR="0016116D" w:rsidRDefault="0016116D" w:rsidP="0016116D">
      <w:pPr>
        <w:pStyle w:val="NoSpacing"/>
      </w:pPr>
      <w:r>
        <w:t>“Formoso filed this action individually and as administrator of the estate of Gwen Laverne Guerrero, deceased … arising out of the death of her mother Gwen Laverne Guerrero (“Guerrero”). Formoso claimed that Guerrero died after she was run over by an ambulance</w:t>
      </w:r>
    </w:p>
    <w:p w14:paraId="084EFB30" w14:textId="77777777" w:rsidR="0016116D" w:rsidRDefault="0016116D" w:rsidP="0016116D">
      <w:pPr>
        <w:pStyle w:val="NoSpacing"/>
      </w:pPr>
      <w:r>
        <w:t xml:space="preserve">operated by the </w:t>
      </w:r>
      <w:proofErr w:type="gramStart"/>
      <w:r>
        <w:t>City</w:t>
      </w:r>
      <w:proofErr w:type="gramEnd"/>
      <w:r>
        <w:t>.</w:t>
      </w:r>
    </w:p>
    <w:p w14:paraId="59071988" w14:textId="77777777" w:rsidR="0016116D" w:rsidRDefault="0016116D" w:rsidP="0016116D">
      <w:pPr>
        <w:pStyle w:val="NoSpacing"/>
      </w:pPr>
    </w:p>
    <w:p w14:paraId="006B5FFC" w14:textId="77777777" w:rsidR="0016116D" w:rsidRDefault="0016116D" w:rsidP="0016116D">
      <w:pPr>
        <w:pStyle w:val="NoSpacing"/>
      </w:pPr>
      <w:r>
        <w:t>***</w:t>
      </w:r>
    </w:p>
    <w:p w14:paraId="324DF767" w14:textId="77777777" w:rsidR="0016116D" w:rsidRDefault="0016116D" w:rsidP="0016116D">
      <w:pPr>
        <w:pStyle w:val="NoSpacing"/>
      </w:pPr>
      <w:r>
        <w:t>On June 17, 2023, Parma Heights Police responded to a request for a welfare check of</w:t>
      </w:r>
    </w:p>
    <w:p w14:paraId="7418EE60" w14:textId="77777777" w:rsidR="0016116D" w:rsidRDefault="0016116D" w:rsidP="0016116D">
      <w:pPr>
        <w:pStyle w:val="NoSpacing"/>
      </w:pPr>
      <w:r>
        <w:t xml:space="preserve">Guerrero by a resident of her apartment complex over concerns of a possible head injury. Parma Heights police officers </w:t>
      </w:r>
      <w:proofErr w:type="spellStart"/>
      <w:r>
        <w:t>Percun</w:t>
      </w:r>
      <w:proofErr w:type="spellEnd"/>
      <w:r>
        <w:t xml:space="preserve"> and Smith (collectively, the “Officers”) responded to Guerrero’s apartment, ultimately kicked down her door to gain entry, and observed her lying on her bed with a large bruise on her face. Based on Guerrero’s behavior, the Officers contacted the Fire Department to request that ‘medical personnel provide care’ to Guerrero. When they arrived on scene, Hanzel and Lane … advised the Officers that they were familiar with Guerrero and had responded to her apartment in the past. They also told the Officers that ‘it was extremely difficult to establish a baseline with her because her behavior is always different.’</w:t>
      </w:r>
    </w:p>
    <w:p w14:paraId="7B7DDAE9" w14:textId="77777777" w:rsidR="0016116D" w:rsidRDefault="0016116D" w:rsidP="0016116D">
      <w:pPr>
        <w:pStyle w:val="NoSpacing"/>
      </w:pPr>
    </w:p>
    <w:p w14:paraId="264412CF" w14:textId="77777777" w:rsidR="0016116D" w:rsidRDefault="0016116D" w:rsidP="0016116D">
      <w:pPr>
        <w:pStyle w:val="NoSpacing"/>
      </w:pPr>
      <w:r>
        <w:t xml:space="preserve">The Emergency Medical Personnel examined and questioned Guerrero. They found her unstable on her feet, confused, evasive, and irritated. Hanzel ‘had to catch [Guerrero] as [she] was falling’ and noted that ‘she has a history of falls.’ The Emergency Medical Personnel advised Guerrero to go to the hospital with </w:t>
      </w:r>
      <w:proofErr w:type="gramStart"/>
      <w:r>
        <w:t>them, ‘</w:t>
      </w:r>
      <w:proofErr w:type="gramEnd"/>
      <w:r>
        <w:t>as they were concerned with her status and head injury.’ Guerrero refused.</w:t>
      </w:r>
    </w:p>
    <w:p w14:paraId="1C9253E9" w14:textId="77777777" w:rsidR="0016116D" w:rsidRDefault="0016116D" w:rsidP="0016116D">
      <w:pPr>
        <w:pStyle w:val="NoSpacing"/>
      </w:pPr>
    </w:p>
    <w:p w14:paraId="34A9DAC7" w14:textId="77777777" w:rsidR="0016116D" w:rsidRDefault="0016116D" w:rsidP="0016116D">
      <w:pPr>
        <w:pStyle w:val="NoSpacing"/>
      </w:pPr>
      <w:r>
        <w:t>After Guerrero refused treatment, both the Officers and the Emergency Medical Personnel left her residence and provided no additional care. The Emergency Medical Personnel indicated that when they left, Guerrero was outside the door to her apartment, complaining about her door being broken and fixing her rug.</w:t>
      </w:r>
    </w:p>
    <w:p w14:paraId="733AC28E" w14:textId="77777777" w:rsidR="0016116D" w:rsidRDefault="0016116D" w:rsidP="0016116D">
      <w:pPr>
        <w:pStyle w:val="NoSpacing"/>
      </w:pPr>
    </w:p>
    <w:p w14:paraId="3046BF9E" w14:textId="77777777" w:rsidR="0016116D" w:rsidRDefault="0016116D" w:rsidP="0016116D">
      <w:pPr>
        <w:pStyle w:val="NoSpacing"/>
      </w:pPr>
      <w:r>
        <w:t>While the Emergency Medical Personnel were still on the property of the apartment complex, but preparing to leave, Guerrero came out of the front entrance of her apartment and went to speak with the Emergency Medical Personnel. Despite Guerrero attempting to get the attention of the Emergency Medical Personnel by ‘pounding on the side of the ambulance,’ the ambulance,</w:t>
      </w:r>
    </w:p>
    <w:p w14:paraId="2531D7F5" w14:textId="77777777" w:rsidR="0016116D" w:rsidRDefault="0016116D" w:rsidP="0016116D">
      <w:pPr>
        <w:pStyle w:val="NoSpacing"/>
      </w:pPr>
      <w:r>
        <w:t>driven by Hanzel, ‘rapidly drove off . . . causing Guerrero to fall” and be run over by the ambulance, instantly killing her.”</w:t>
      </w:r>
    </w:p>
    <w:p w14:paraId="04369764" w14:textId="77777777" w:rsidR="0016116D" w:rsidRDefault="0016116D" w:rsidP="0016116D">
      <w:pPr>
        <w:pStyle w:val="NoSpacing"/>
      </w:pPr>
    </w:p>
    <w:p w14:paraId="3D5A9272" w14:textId="77777777" w:rsidR="0016116D" w:rsidRDefault="0016116D" w:rsidP="0016116D">
      <w:pPr>
        <w:pStyle w:val="NoSpacing"/>
      </w:pPr>
    </w:p>
    <w:p w14:paraId="56B10551" w14:textId="77777777" w:rsidR="0016116D" w:rsidRPr="00166644" w:rsidRDefault="0016116D" w:rsidP="0016116D">
      <w:pPr>
        <w:pStyle w:val="NoSpacing"/>
        <w:rPr>
          <w:b/>
          <w:bCs/>
        </w:rPr>
      </w:pPr>
      <w:r w:rsidRPr="00166644">
        <w:rPr>
          <w:b/>
        </w:rPr>
        <w:t>COURT HELD:</w:t>
      </w:r>
    </w:p>
    <w:p w14:paraId="6025CF76" w14:textId="77777777" w:rsidR="0016116D" w:rsidRDefault="0016116D" w:rsidP="0016116D">
      <w:pPr>
        <w:pStyle w:val="NoSpacing"/>
      </w:pPr>
    </w:p>
    <w:p w14:paraId="2594D64F" w14:textId="77777777" w:rsidR="0016116D" w:rsidRDefault="0016116D" w:rsidP="0016116D">
      <w:pPr>
        <w:pStyle w:val="NoSpacing"/>
      </w:pPr>
      <w:r>
        <w:t>“We find that Formoso has sufficiently pled facts that, if true, could entitle her to relief regarding whether the Emergency Medical Personnel’s actions were negligent as well as whether they rise to the level of willful or wanton misconduct. Specifically, Formoso alleged that Guerrero was ‘pounding on the side of the ambulance” when the Emergency Medical Personnel, who had previously observed her to be confused and unstable, caused her to fall and then ran her over</w:t>
      </w:r>
    </w:p>
    <w:p w14:paraId="59EE5284" w14:textId="77777777" w:rsidR="0016116D" w:rsidRDefault="0016116D" w:rsidP="0016116D">
      <w:pPr>
        <w:pStyle w:val="NoSpacing"/>
      </w:pPr>
      <w:r>
        <w:t>while rapidly driving away. We, therefore, overrule the appellants’ assignment of error with respect to the City’s liability for damages relating to the ambulance running over Guerrero.”</w:t>
      </w:r>
    </w:p>
    <w:p w14:paraId="26E0662D" w14:textId="77777777" w:rsidR="0016116D" w:rsidRDefault="0016116D" w:rsidP="0016116D">
      <w:pPr>
        <w:pStyle w:val="NoSpacing"/>
      </w:pPr>
    </w:p>
    <w:p w14:paraId="09BC861F" w14:textId="77777777" w:rsidR="0016116D" w:rsidRPr="00F93752" w:rsidRDefault="0016116D" w:rsidP="0016116D">
      <w:pPr>
        <w:pStyle w:val="NoSpacing"/>
        <w:rPr>
          <w:b/>
          <w:bCs/>
        </w:rPr>
      </w:pPr>
      <w:r w:rsidRPr="00F93752">
        <w:rPr>
          <w:b/>
        </w:rPr>
        <w:t xml:space="preserve">Legal lesson learned: </w:t>
      </w:r>
      <w:r>
        <w:rPr>
          <w:b/>
        </w:rPr>
        <w:t xml:space="preserve">Tragic set of facts; City should consider a for settlement. </w:t>
      </w:r>
    </w:p>
    <w:p w14:paraId="20720877" w14:textId="77777777" w:rsidR="0016116D" w:rsidRPr="00F93752" w:rsidRDefault="0016116D" w:rsidP="0016116D">
      <w:pPr>
        <w:pStyle w:val="NoSpacing"/>
        <w:rPr>
          <w:b/>
          <w:bCs/>
        </w:rPr>
      </w:pPr>
    </w:p>
    <w:p w14:paraId="5EEEE3BA" w14:textId="77777777" w:rsidR="0016116D" w:rsidRDefault="0016116D" w:rsidP="00CA01BF">
      <w:pPr>
        <w:rPr>
          <w:rFonts w:ascii="Arial Black" w:hAnsi="Arial Black"/>
          <w:sz w:val="28"/>
          <w:szCs w:val="28"/>
        </w:rPr>
      </w:pPr>
    </w:p>
    <w:p w14:paraId="4B0BC0B8" w14:textId="77777777" w:rsidR="0016116D" w:rsidRDefault="0016116D" w:rsidP="00CA01BF">
      <w:pPr>
        <w:rPr>
          <w:rFonts w:ascii="Arial Black" w:hAnsi="Arial Black"/>
          <w:sz w:val="28"/>
          <w:szCs w:val="28"/>
        </w:rPr>
      </w:pPr>
    </w:p>
    <w:p w14:paraId="50CCB346" w14:textId="77777777" w:rsidR="0016116D" w:rsidRDefault="0016116D" w:rsidP="00CA01BF">
      <w:pPr>
        <w:rPr>
          <w:rFonts w:ascii="Arial Black" w:hAnsi="Arial Black"/>
          <w:sz w:val="28"/>
          <w:szCs w:val="28"/>
        </w:rPr>
      </w:pPr>
    </w:p>
    <w:p w14:paraId="35768A98" w14:textId="1CED25B8" w:rsidR="00CA01BF" w:rsidRDefault="00CA01BF" w:rsidP="00CA01BF">
      <w:pPr>
        <w:rPr>
          <w:rFonts w:ascii="Arial Black" w:hAnsi="Arial Black"/>
          <w:sz w:val="28"/>
          <w:szCs w:val="28"/>
        </w:rPr>
      </w:pPr>
      <w:r>
        <w:rPr>
          <w:rFonts w:ascii="Arial Black" w:hAnsi="Arial Black"/>
          <w:sz w:val="28"/>
          <w:szCs w:val="28"/>
        </w:rPr>
        <w:t>5-63</w:t>
      </w:r>
    </w:p>
    <w:p w14:paraId="20AD16C5" w14:textId="45FA7C12" w:rsidR="00CA01BF" w:rsidRPr="00BA5B26" w:rsidRDefault="00CA01BF" w:rsidP="00CA01BF">
      <w:pPr>
        <w:rPr>
          <w:rFonts w:ascii="Arial Black" w:hAnsi="Arial Black"/>
          <w:sz w:val="28"/>
          <w:szCs w:val="28"/>
        </w:rPr>
      </w:pPr>
      <w:r>
        <w:rPr>
          <w:rFonts w:ascii="Arial Black" w:hAnsi="Arial Black"/>
          <w:sz w:val="28"/>
          <w:szCs w:val="28"/>
        </w:rPr>
        <w:t xml:space="preserve">TX: AERIAL – GROCERIES / BACKED CAR – FD “ON DUTY” </w:t>
      </w:r>
    </w:p>
    <w:p w14:paraId="2B4F3BB0" w14:textId="77777777" w:rsidR="00CA01BF" w:rsidRDefault="00CA01BF" w:rsidP="00CA01BF">
      <w:pPr>
        <w:pStyle w:val="NoSpacing"/>
        <w:rPr>
          <w:bCs/>
        </w:rPr>
      </w:pPr>
      <w:r>
        <w:t xml:space="preserve">On March 24, 2026, in </w:t>
      </w:r>
      <w:r w:rsidRPr="00C970B8">
        <w:rPr>
          <w:u w:val="single"/>
        </w:rPr>
        <w:t>The City of Houston v. Hollis F. Holmes</w:t>
      </w:r>
      <w:r>
        <w:t xml:space="preserve">, the </w:t>
      </w:r>
      <w:r w:rsidRPr="00C970B8">
        <w:t>Court of Appeals of Texas, First District</w:t>
      </w:r>
      <w:r>
        <w:t xml:space="preserve"> held (3 to 0) that trial court properly held that the four firefighters were on duty when picking up groceries for their shift, and therefore the City can be sued for damage to plaintiff’s car when they backed into her.  </w:t>
      </w:r>
      <w:hyperlink r:id="rId967" w:history="1">
        <w:r w:rsidRPr="00682DA7">
          <w:rPr>
            <w:rStyle w:val="Hyperlink"/>
          </w:rPr>
          <w:t>https://cases.justia.com/texas/first-court-of-appeals/2026-01-25-00359-cv.pdf?ts=1774367002</w:t>
        </w:r>
      </w:hyperlink>
      <w:r>
        <w:t xml:space="preserve"> </w:t>
      </w:r>
    </w:p>
    <w:p w14:paraId="19B1AAA7" w14:textId="77777777" w:rsidR="00CA01BF" w:rsidRDefault="00CA01BF" w:rsidP="00CA01BF">
      <w:pPr>
        <w:pStyle w:val="NoSpacing"/>
        <w:rPr>
          <w:bCs/>
        </w:rPr>
      </w:pPr>
    </w:p>
    <w:p w14:paraId="4FEC88BB" w14:textId="77777777" w:rsidR="00CA01BF" w:rsidRDefault="00CA01BF" w:rsidP="00CA01BF">
      <w:pPr>
        <w:pStyle w:val="NoSpacing"/>
        <w:rPr>
          <w:bCs/>
        </w:rPr>
      </w:pPr>
      <w:r>
        <w:t xml:space="preserve">THE COURT HELD: </w:t>
      </w:r>
    </w:p>
    <w:p w14:paraId="40465363" w14:textId="77777777" w:rsidR="00CA01BF" w:rsidRDefault="00CA01BF" w:rsidP="00CA01BF">
      <w:pPr>
        <w:pStyle w:val="NoSpacing"/>
        <w:rPr>
          <w:bCs/>
        </w:rPr>
      </w:pPr>
    </w:p>
    <w:p w14:paraId="64F9D48E" w14:textId="77777777" w:rsidR="00CA01BF" w:rsidRDefault="00CA01BF" w:rsidP="00CA01BF">
      <w:pPr>
        <w:pStyle w:val="NoSpacing"/>
        <w:ind w:left="720"/>
      </w:pPr>
      <w:r>
        <w:t>“</w:t>
      </w:r>
      <w:r w:rsidRPr="00377F72">
        <w:t>On September 11, 2022, at approximately 11 a.m., Houston firefighter Eugene Schifani drove a Houston Fire Department (</w:t>
      </w:r>
      <w:r>
        <w:t>‘</w:t>
      </w:r>
      <w:r w:rsidRPr="00377F72">
        <w:t>HFD</w:t>
      </w:r>
      <w:r>
        <w:t>’</w:t>
      </w:r>
      <w:r w:rsidRPr="00377F72">
        <w:t xml:space="preserve">) ladder truck to an H-E-B grocery store in Houston, Texas with three other firefighters on board. </w:t>
      </w:r>
      <w:proofErr w:type="spellStart"/>
      <w:r w:rsidRPr="00377F72">
        <w:t>Schifani</w:t>
      </w:r>
      <w:proofErr w:type="spellEnd"/>
      <w:r w:rsidRPr="00377F72">
        <w:t xml:space="preserve"> and firefighter Troy Dornak waited in the fire truck with its engine running while the two other firefighters went inside the grocery store to purchase groceries for the fire station's crew to eat during their twenty-four-hour shift. According to Schifani, the fire truck's engine remained running during the forty-five minutes the two firefighters were in the store </w:t>
      </w:r>
      <w:r>
        <w:t>‘</w:t>
      </w:r>
      <w:r w:rsidRPr="00377F72">
        <w:t>just in case we got an emergency call for a ladder truck while on our grocery run.</w:t>
      </w:r>
      <w:r>
        <w:t>’</w:t>
      </w:r>
    </w:p>
    <w:p w14:paraId="5F5C3263" w14:textId="77777777" w:rsidR="00CA01BF" w:rsidRDefault="00CA01BF" w:rsidP="00CA01BF">
      <w:pPr>
        <w:pStyle w:val="NoSpacing"/>
        <w:ind w:left="720"/>
      </w:pPr>
    </w:p>
    <w:p w14:paraId="6F05E1E5" w14:textId="77777777" w:rsidR="00CA01BF" w:rsidRDefault="00CA01BF" w:rsidP="00CA01BF">
      <w:pPr>
        <w:pStyle w:val="NoSpacing"/>
        <w:ind w:left="720"/>
      </w:pPr>
      <w:r>
        <w:t>***</w:t>
      </w:r>
    </w:p>
    <w:p w14:paraId="4FB7F78A" w14:textId="77777777" w:rsidR="00CA01BF" w:rsidRDefault="00CA01BF" w:rsidP="00CA01BF">
      <w:pPr>
        <w:pStyle w:val="NoSpacing"/>
        <w:ind w:left="720"/>
      </w:pPr>
      <w:r w:rsidRPr="003D28DE">
        <w:t xml:space="preserve">The groceries were purchased </w:t>
      </w:r>
      <w:r>
        <w:t>‘</w:t>
      </w:r>
      <w:r w:rsidRPr="003D28DE">
        <w:t xml:space="preserve">to be prepared at the station for lunch, dinner and breakfast the next day. We have twelve firefighters at Station 62 for the shift. Each firefighter chips in $25.00, so we [have] $300.00 to buy groceries for three </w:t>
      </w:r>
      <w:proofErr w:type="gramStart"/>
      <w:r w:rsidRPr="003D28DE">
        <w:t>really substantial</w:t>
      </w:r>
      <w:proofErr w:type="gramEnd"/>
      <w:r w:rsidRPr="003D28DE">
        <w:t xml:space="preserve"> meals.</w:t>
      </w:r>
      <w:r>
        <w:t>’</w:t>
      </w:r>
    </w:p>
    <w:p w14:paraId="5FA051F5" w14:textId="77777777" w:rsidR="00CA01BF" w:rsidRDefault="00CA01BF" w:rsidP="00CA01BF">
      <w:pPr>
        <w:pStyle w:val="NoSpacing"/>
        <w:ind w:left="720"/>
      </w:pPr>
    </w:p>
    <w:p w14:paraId="24750244" w14:textId="77777777" w:rsidR="00CA01BF" w:rsidRDefault="00CA01BF" w:rsidP="00CA01BF">
      <w:pPr>
        <w:pStyle w:val="NoSpacing"/>
        <w:ind w:left="720"/>
      </w:pPr>
      <w:r>
        <w:t>***</w:t>
      </w:r>
    </w:p>
    <w:p w14:paraId="37E4B183" w14:textId="77777777" w:rsidR="00CA01BF" w:rsidRDefault="00CA01BF" w:rsidP="00CA01BF">
      <w:pPr>
        <w:pStyle w:val="NoSpacing"/>
        <w:ind w:left="720"/>
      </w:pPr>
      <w:r>
        <w:t xml:space="preserve">The </w:t>
      </w:r>
      <w:proofErr w:type="gramStart"/>
      <w:r>
        <w:t>City</w:t>
      </w:r>
      <w:proofErr w:type="gramEnd"/>
      <w:r>
        <w:t xml:space="preserve"> pled in its answer, among other things, that governmental immunity barred Holmes’ claims…. In its summary judgment reply, the </w:t>
      </w:r>
      <w:proofErr w:type="gramStart"/>
      <w:r>
        <w:t>City</w:t>
      </w:r>
      <w:proofErr w:type="gramEnd"/>
      <w:r>
        <w:t xml:space="preserve"> argued </w:t>
      </w:r>
      <w:proofErr w:type="gramStart"/>
      <w:r>
        <w:t>that ‘[</w:t>
      </w:r>
      <w:proofErr w:type="gramEnd"/>
      <w:r>
        <w:t xml:space="preserve">c]o-workers tasked by other co-workers to buy groceries during the shift and every shift does not make the errand in the scope of employment;’ going to purchase groceries in </w:t>
      </w:r>
      <w:proofErr w:type="gramStart"/>
      <w:r>
        <w:t>a</w:t>
      </w:r>
      <w:proofErr w:type="gramEnd"/>
      <w:r>
        <w:t xml:space="preserve"> HFD</w:t>
      </w:r>
    </w:p>
    <w:p w14:paraId="5B7ABB04" w14:textId="77777777" w:rsidR="00CA01BF" w:rsidRDefault="00CA01BF" w:rsidP="00CA01BF">
      <w:pPr>
        <w:pStyle w:val="NoSpacing"/>
        <w:ind w:left="720"/>
      </w:pPr>
      <w:r>
        <w:t>ladder truck does not turn the errand into a ‘scope of employment endeavor;’ the</w:t>
      </w:r>
    </w:p>
    <w:p w14:paraId="0E656CC9" w14:textId="77777777" w:rsidR="00CA01BF" w:rsidRDefault="00CA01BF" w:rsidP="00CA01BF">
      <w:pPr>
        <w:pStyle w:val="NoSpacing"/>
        <w:ind w:left="720"/>
      </w:pPr>
      <w:r>
        <w:t>City does not derive benefit from the grocery run; and the grocery run was not in</w:t>
      </w:r>
    </w:p>
    <w:p w14:paraId="640B16CF" w14:textId="77777777" w:rsidR="00CA01BF" w:rsidRDefault="00CA01BF" w:rsidP="00CA01BF">
      <w:pPr>
        <w:pStyle w:val="NoSpacing"/>
        <w:ind w:left="720"/>
      </w:pPr>
      <w:r>
        <w:t>furtherance of the City’s business.</w:t>
      </w:r>
    </w:p>
    <w:p w14:paraId="18770175" w14:textId="77777777" w:rsidR="00CA01BF" w:rsidRDefault="00CA01BF" w:rsidP="00CA01BF">
      <w:pPr>
        <w:pStyle w:val="NoSpacing"/>
        <w:ind w:left="720"/>
      </w:pPr>
    </w:p>
    <w:p w14:paraId="287F9B74" w14:textId="77777777" w:rsidR="00CA01BF" w:rsidRDefault="00CA01BF" w:rsidP="00CA01BF">
      <w:pPr>
        <w:pStyle w:val="NoSpacing"/>
        <w:ind w:left="720"/>
      </w:pPr>
      <w:r>
        <w:t>***</w:t>
      </w:r>
    </w:p>
    <w:p w14:paraId="427B8296" w14:textId="77777777" w:rsidR="00CA01BF" w:rsidRDefault="00CA01BF" w:rsidP="00CA01BF">
      <w:pPr>
        <w:pStyle w:val="NoSpacing"/>
        <w:ind w:left="720"/>
      </w:pPr>
      <w:r>
        <w:t xml:space="preserve">The grocery trip was not made to purchase </w:t>
      </w:r>
      <w:proofErr w:type="spellStart"/>
      <w:r>
        <w:t>Schifani’s</w:t>
      </w:r>
      <w:proofErr w:type="spellEnd"/>
      <w:r>
        <w:t xml:space="preserve"> own personal groceries, or even just for those four firefighters with him at the store, but for the entire on-duty crew. Given that he was required to remain ready and able to cover any emergency that arose during the grocery run, there is at least a fact question as to whether he was acting in the course and scope of his employment when the fire truck struck Holmes’ car…. We affirm the trial court’s denial of the City of Houston’s motion for summary judgment.”</w:t>
      </w:r>
    </w:p>
    <w:p w14:paraId="174D9F58" w14:textId="77777777" w:rsidR="00CA01BF" w:rsidRDefault="00CA01BF" w:rsidP="00CA01BF">
      <w:pPr>
        <w:pStyle w:val="NoSpacing"/>
        <w:ind w:left="720"/>
      </w:pPr>
    </w:p>
    <w:p w14:paraId="17E6A732" w14:textId="77777777" w:rsidR="00CA01BF" w:rsidRPr="006F3C84" w:rsidRDefault="00CA01BF" w:rsidP="00CA01BF">
      <w:pPr>
        <w:rPr>
          <w:b/>
          <w:bCs/>
        </w:rPr>
      </w:pPr>
      <w:r>
        <w:rPr>
          <w:b/>
        </w:rPr>
        <w:t xml:space="preserve">Legal lesson learned: Grocery runs are part of the “course and scope of duties” of the engineer who back the aerial into her vehicle; the City’s motion for summary judgement was properly denied. </w:t>
      </w:r>
    </w:p>
    <w:p w14:paraId="06A8F3CC" w14:textId="77777777" w:rsidR="00CA01BF" w:rsidRPr="008C12EA" w:rsidRDefault="00CA01BF" w:rsidP="00CA01BF">
      <w:pPr>
        <w:pStyle w:val="NoSpacing"/>
      </w:pPr>
    </w:p>
    <w:p w14:paraId="7906B0AC" w14:textId="77777777" w:rsidR="00CA01BF" w:rsidRDefault="00CA01BF" w:rsidP="000C62A1">
      <w:pPr>
        <w:pStyle w:val="NoSpacing"/>
        <w:rPr>
          <w:rFonts w:ascii="Arial Black" w:hAnsi="Arial Black"/>
          <w:sz w:val="28"/>
          <w:szCs w:val="28"/>
        </w:rPr>
      </w:pPr>
    </w:p>
    <w:p w14:paraId="7E10E3DB" w14:textId="77777777" w:rsidR="00CA01BF" w:rsidRDefault="00CA01BF" w:rsidP="000C62A1">
      <w:pPr>
        <w:pStyle w:val="NoSpacing"/>
        <w:rPr>
          <w:rFonts w:ascii="Arial Black" w:hAnsi="Arial Black"/>
          <w:sz w:val="28"/>
          <w:szCs w:val="28"/>
        </w:rPr>
      </w:pPr>
    </w:p>
    <w:p w14:paraId="1743D773" w14:textId="77777777" w:rsidR="00CA01BF" w:rsidRDefault="00CA01BF" w:rsidP="000C62A1">
      <w:pPr>
        <w:pStyle w:val="NoSpacing"/>
        <w:rPr>
          <w:rFonts w:ascii="Arial Black" w:hAnsi="Arial Black"/>
          <w:sz w:val="28"/>
          <w:szCs w:val="28"/>
        </w:rPr>
      </w:pPr>
    </w:p>
    <w:p w14:paraId="75FE50BD" w14:textId="690245FD" w:rsidR="00B63DAD" w:rsidRDefault="00B63DAD" w:rsidP="000C62A1">
      <w:pPr>
        <w:pStyle w:val="NoSpacing"/>
        <w:rPr>
          <w:rFonts w:ascii="Arial Black" w:hAnsi="Arial Black"/>
          <w:sz w:val="28"/>
          <w:szCs w:val="28"/>
        </w:rPr>
      </w:pPr>
      <w:r>
        <w:rPr>
          <w:rFonts w:ascii="Arial Black" w:hAnsi="Arial Black"/>
          <w:sz w:val="28"/>
          <w:szCs w:val="28"/>
        </w:rPr>
        <w:t>5-62</w:t>
      </w:r>
    </w:p>
    <w:p w14:paraId="3CDAD1B5" w14:textId="77777777" w:rsidR="00B63DAD" w:rsidRDefault="00B63DAD" w:rsidP="000C62A1">
      <w:pPr>
        <w:pStyle w:val="NoSpacing"/>
        <w:rPr>
          <w:rFonts w:ascii="Arial Black" w:hAnsi="Arial Black"/>
          <w:sz w:val="28"/>
          <w:szCs w:val="28"/>
        </w:rPr>
      </w:pPr>
    </w:p>
    <w:p w14:paraId="402F8CA4" w14:textId="77777777" w:rsidR="00C24BBC" w:rsidRDefault="00C24BBC" w:rsidP="00C24BBC">
      <w:pPr>
        <w:pStyle w:val="NoSpacing"/>
        <w:rPr>
          <w:rFonts w:ascii="Arial Black" w:hAnsi="Arial Black"/>
          <w:sz w:val="28"/>
          <w:szCs w:val="28"/>
        </w:rPr>
      </w:pPr>
      <w:r>
        <w:rPr>
          <w:rFonts w:ascii="Arial Black" w:hAnsi="Arial Black"/>
          <w:sz w:val="28"/>
          <w:szCs w:val="28"/>
        </w:rPr>
        <w:t xml:space="preserve">NY: MEDIC REPORTED EMT SPEEDING – NEXT DAY RADAR </w:t>
      </w:r>
    </w:p>
    <w:p w14:paraId="7B3333FC" w14:textId="77777777" w:rsidR="00C24BBC" w:rsidRDefault="00C24BBC" w:rsidP="00C24BBC">
      <w:pPr>
        <w:pStyle w:val="NoSpacing"/>
        <w:rPr>
          <w:rFonts w:ascii="Arial Black" w:hAnsi="Arial Black"/>
          <w:sz w:val="28"/>
          <w:szCs w:val="28"/>
        </w:rPr>
      </w:pPr>
    </w:p>
    <w:p w14:paraId="765E4487" w14:textId="77777777" w:rsidR="00C24BBC" w:rsidRDefault="00C24BBC" w:rsidP="00C24BBC">
      <w:pPr>
        <w:pStyle w:val="NoSpacing"/>
      </w:pPr>
      <w:r>
        <w:t xml:space="preserve">On February 26, 2026, in </w:t>
      </w:r>
      <w:r w:rsidRPr="00E713AD">
        <w:rPr>
          <w:u w:val="single"/>
        </w:rPr>
        <w:t>Robert Kuiken v. County of Hamilton, Michael Tracy, et al</w:t>
      </w:r>
      <w:r>
        <w:t xml:space="preserve">., U.S. District Court Judge </w:t>
      </w:r>
      <w:r w:rsidRPr="009F0088">
        <w:t>Anthony Brindisi</w:t>
      </w:r>
      <w:r>
        <w:t xml:space="preserve">, United States District Court for Northern District of New York, granted the defense motion for summary judgment. The 82-year-old volunteer EMT was observed speeding and crossing center line in his personal vehicle (with a green “courtesy” light). by a Paramedic (“critical care technician”) responding from another department.  The Medic reported this to volunteer’s </w:t>
      </w:r>
      <w:proofErr w:type="gramStart"/>
      <w:r>
        <w:t>department, and</w:t>
      </w:r>
      <w:proofErr w:type="gramEnd"/>
      <w:r>
        <w:t xml:space="preserve"> made a complaint to a Deputy Sheriff.  The next day, the Deputy was running radar and recorded the EMT speeding in his private vehicle on another run and issued a citation. Court rejected plaintiff’s claim of “selective prosecution” – claiming the critical care technician falsely accused the volunteer of driving recklessly, and that the Deputy “selectively enforced vehicle and traffic laws against plaintiff the next day by charging him with traffic offenses based on false accusations.” </w:t>
      </w:r>
    </w:p>
    <w:p w14:paraId="1977E429" w14:textId="77777777" w:rsidR="00C24BBC" w:rsidRPr="00671B60" w:rsidRDefault="00C24BBC" w:rsidP="00C24BBC">
      <w:pPr>
        <w:pStyle w:val="NoSpacing"/>
      </w:pPr>
      <w:hyperlink r:id="rId968" w:history="1">
        <w:r w:rsidRPr="00671B60">
          <w:rPr>
            <w:rStyle w:val="Hyperlink"/>
          </w:rPr>
          <w:t>https://cases.justia.com/federal/district-courts/new-york/nyndce/6:2022cv01157/135604/81/0.pdf?ts=1772211450</w:t>
        </w:r>
      </w:hyperlink>
      <w:r w:rsidRPr="00671B60">
        <w:t xml:space="preserve"> </w:t>
      </w:r>
    </w:p>
    <w:p w14:paraId="2778A8C7" w14:textId="77777777" w:rsidR="00C24BBC" w:rsidRPr="00671B60" w:rsidRDefault="00C24BBC" w:rsidP="00C24BBC">
      <w:pPr>
        <w:pStyle w:val="NoSpacing"/>
      </w:pPr>
    </w:p>
    <w:p w14:paraId="5AEF9064" w14:textId="77777777" w:rsidR="00C24BBC" w:rsidRDefault="00C24BBC" w:rsidP="00C24BBC">
      <w:pPr>
        <w:pStyle w:val="NoSpacing"/>
      </w:pPr>
      <w:r>
        <w:t>The COURT HELD:  “On July 17, 2021, Tracy [</w:t>
      </w:r>
      <w:r w:rsidRPr="0077409C">
        <w:t>Michael Tracy</w:t>
      </w:r>
      <w:r>
        <w:t>; critical care technician and supervisor with the Greater  Amsterdam Volunteer Ambulance Corps] filed a complaint with Deputy O’Brien regarding plaintiff’s allegedly unsafe driving earlier that day…. Though Tracy indicated that he wanted to pursue a criminal complaint against plaintiff … the Deputy defendants informed Tracy that the Sheriff’s Office could not file charges based on Tracy’s allegations. The next day, Deputy Loomis ticketed plaintiff for speeding and for failing to comply with a lawful order….  It is undisputed that Deputy Loomis observed plaintiff speeding and witnessed him drive away from a traffic stop [</w:t>
      </w:r>
      <w:proofErr w:type="gramStart"/>
      <w:r>
        <w:t>continued on</w:t>
      </w:r>
      <w:proofErr w:type="gramEnd"/>
      <w:r>
        <w:t xml:space="preserve"> to EMS call location] on July 18, 2021…. Just as the Deputy defendants exercised independent judgment in declining to prosecute plaintiff based on Tracy’s complaint, the undisputed evidence establishes that Deputy Loomis decided to pull plaintiff over only after observing him speeding and confirming that observation with a radar.</w:t>
      </w:r>
    </w:p>
    <w:p w14:paraId="33832BB7" w14:textId="77777777" w:rsidR="00C24BBC" w:rsidRDefault="00C24BBC" w:rsidP="00C24BBC">
      <w:pPr>
        <w:pStyle w:val="NoSpacing"/>
      </w:pPr>
    </w:p>
    <w:p w14:paraId="4A30C7B9" w14:textId="77777777" w:rsidR="00C24BBC" w:rsidRDefault="00C24BBC" w:rsidP="00C24BBC">
      <w:pPr>
        <w:pStyle w:val="NoSpacing"/>
      </w:pPr>
      <w:r>
        <w:t>***</w:t>
      </w:r>
    </w:p>
    <w:p w14:paraId="4C6ADF8B" w14:textId="77777777" w:rsidR="00C24BBC" w:rsidRDefault="00C24BBC" w:rsidP="00C24BBC">
      <w:pPr>
        <w:pStyle w:val="NoSpacing"/>
      </w:pPr>
    </w:p>
    <w:p w14:paraId="3B0EC172" w14:textId="77777777" w:rsidR="00C24BBC" w:rsidRDefault="00C24BBC" w:rsidP="00C24BBC">
      <w:pPr>
        <w:pStyle w:val="NoSpacing"/>
      </w:pPr>
      <w:r>
        <w:t xml:space="preserve">On May 24, 2022, plaintiff appeared in court in connection with the July 18, 2021, traffic tickets…. After rejecting </w:t>
      </w:r>
      <w:proofErr w:type="gramStart"/>
      <w:r>
        <w:t>a number of</w:t>
      </w:r>
      <w:proofErr w:type="gramEnd"/>
      <w:r>
        <w:t xml:space="preserve"> plea deals that would have required him to plead guilty to traffic infractions, plaintiff eventually agreed to plead guilty to two parking violations on the advice of his </w:t>
      </w:r>
      <w:proofErr w:type="gramStart"/>
      <w:r>
        <w:t>attorney.”</w:t>
      </w:r>
      <w:proofErr w:type="gramEnd"/>
    </w:p>
    <w:p w14:paraId="4020061C" w14:textId="77777777" w:rsidR="00C24BBC" w:rsidRDefault="00C24BBC" w:rsidP="00C24BBC">
      <w:pPr>
        <w:pStyle w:val="NoSpacing"/>
      </w:pPr>
    </w:p>
    <w:p w14:paraId="279735E4" w14:textId="77777777" w:rsidR="00C24BBC" w:rsidRDefault="00C24BBC" w:rsidP="00C24BBC">
      <w:pPr>
        <w:pStyle w:val="NoSpacing"/>
        <w:rPr>
          <w:b/>
        </w:rPr>
      </w:pPr>
      <w:r>
        <w:rPr>
          <w:b/>
        </w:rPr>
        <w:t xml:space="preserve">Legal lesson learned: The critical care technician property reported the volunteer’s unsafe driving. </w:t>
      </w:r>
    </w:p>
    <w:p w14:paraId="6EFB3DDF" w14:textId="77777777" w:rsidR="00C24BBC" w:rsidRDefault="00C24BBC" w:rsidP="00C24BBC">
      <w:pPr>
        <w:pStyle w:val="NoSpacing"/>
        <w:rPr>
          <w:b/>
        </w:rPr>
      </w:pPr>
    </w:p>
    <w:p w14:paraId="3781903E" w14:textId="77777777" w:rsidR="00C24BBC" w:rsidRPr="008D4B87" w:rsidRDefault="00C24BBC" w:rsidP="00C24BBC">
      <w:pPr>
        <w:pStyle w:val="NoSpacing"/>
        <w:ind w:left="720"/>
        <w:rPr>
          <w:bCs/>
        </w:rPr>
      </w:pPr>
      <w:r w:rsidRPr="008D4B87">
        <w:t>Note:</w:t>
      </w:r>
      <w:r>
        <w:t xml:space="preserve">  After the first speeding incident, the volunteer was directed by his </w:t>
      </w:r>
      <w:proofErr w:type="gramStart"/>
      <w:r>
        <w:t>Department</w:t>
      </w:r>
      <w:proofErr w:type="gramEnd"/>
      <w:r>
        <w:t xml:space="preserve"> to stop making runs </w:t>
      </w:r>
      <w:r w:rsidRPr="004162FF">
        <w:t>until he was instructed to do so.</w:t>
      </w:r>
      <w:r>
        <w:t xml:space="preserve"> </w:t>
      </w:r>
      <w:r w:rsidRPr="00CC0192">
        <w:t>“Even though [p]</w:t>
      </w:r>
      <w:proofErr w:type="spellStart"/>
      <w:r w:rsidRPr="00CC0192">
        <w:t>laintiff</w:t>
      </w:r>
      <w:proofErr w:type="spellEnd"/>
      <w:r w:rsidRPr="00CC0192">
        <w:t xml:space="preserve"> never retired nor resigned, in July 2022, SVAC leadership</w:t>
      </w:r>
      <w:r>
        <w:t xml:space="preserve"> </w:t>
      </w:r>
      <w:r w:rsidRPr="00CC0192">
        <w:t>showed up at [p]</w:t>
      </w:r>
      <w:proofErr w:type="spellStart"/>
      <w:r w:rsidRPr="00CC0192">
        <w:t>laintiff’s</w:t>
      </w:r>
      <w:proofErr w:type="spellEnd"/>
      <w:r w:rsidRPr="00CC0192">
        <w:t xml:space="preserve"> house unsolicited and presented him with a framed document</w:t>
      </w:r>
      <w:r>
        <w:t xml:space="preserve"> </w:t>
      </w:r>
      <w:r w:rsidRPr="00CC0192">
        <w:t>recognizing his 41 years of service to the community of Speculator.”</w:t>
      </w:r>
    </w:p>
    <w:p w14:paraId="00877AA9" w14:textId="77777777" w:rsidR="00C24BBC" w:rsidRPr="008D4B87" w:rsidRDefault="00C24BBC" w:rsidP="00C24BBC">
      <w:pPr>
        <w:pStyle w:val="NoSpacing"/>
        <w:rPr>
          <w:bCs/>
        </w:rPr>
      </w:pPr>
    </w:p>
    <w:p w14:paraId="2983B4DC" w14:textId="77777777" w:rsidR="00B63DAD" w:rsidRDefault="00B63DAD" w:rsidP="000C62A1">
      <w:pPr>
        <w:pStyle w:val="NoSpacing"/>
        <w:rPr>
          <w:rFonts w:ascii="Arial Black" w:hAnsi="Arial Black"/>
          <w:sz w:val="28"/>
          <w:szCs w:val="28"/>
        </w:rPr>
      </w:pPr>
    </w:p>
    <w:p w14:paraId="3116AA3D" w14:textId="77777777" w:rsidR="00B63DAD" w:rsidRDefault="00B63DAD" w:rsidP="000C62A1">
      <w:pPr>
        <w:pStyle w:val="NoSpacing"/>
        <w:rPr>
          <w:rFonts w:ascii="Arial Black" w:hAnsi="Arial Black"/>
          <w:sz w:val="28"/>
          <w:szCs w:val="28"/>
        </w:rPr>
      </w:pPr>
    </w:p>
    <w:p w14:paraId="4EEF557F" w14:textId="77777777" w:rsidR="00B63DAD" w:rsidRDefault="00B63DAD" w:rsidP="000C62A1">
      <w:pPr>
        <w:pStyle w:val="NoSpacing"/>
        <w:rPr>
          <w:rFonts w:ascii="Arial Black" w:hAnsi="Arial Black"/>
          <w:sz w:val="28"/>
          <w:szCs w:val="28"/>
        </w:rPr>
      </w:pPr>
    </w:p>
    <w:p w14:paraId="7EEC6F22" w14:textId="4D8DAB3E" w:rsidR="00CF5DF6" w:rsidRDefault="00CF5DF6" w:rsidP="000C62A1">
      <w:pPr>
        <w:pStyle w:val="NoSpacing"/>
        <w:rPr>
          <w:rFonts w:ascii="Arial Black" w:hAnsi="Arial Black"/>
          <w:sz w:val="28"/>
          <w:szCs w:val="28"/>
        </w:rPr>
      </w:pPr>
      <w:r>
        <w:rPr>
          <w:rFonts w:ascii="Arial Black" w:hAnsi="Arial Black"/>
          <w:sz w:val="28"/>
          <w:szCs w:val="28"/>
        </w:rPr>
        <w:t>5-61</w:t>
      </w:r>
    </w:p>
    <w:p w14:paraId="1E11B4BD" w14:textId="77777777" w:rsidR="00CF5DF6" w:rsidRPr="00914070" w:rsidRDefault="00CF5DF6" w:rsidP="00CF5DF6">
      <w:pPr>
        <w:pStyle w:val="NoSpacing"/>
        <w:rPr>
          <w:rFonts w:ascii="Arial Black" w:hAnsi="Arial Black"/>
          <w:b/>
          <w:sz w:val="28"/>
          <w:szCs w:val="28"/>
        </w:rPr>
      </w:pPr>
      <w:r>
        <w:rPr>
          <w:rFonts w:ascii="Arial Black" w:hAnsi="Arial Black"/>
          <w:b/>
          <w:sz w:val="28"/>
          <w:szCs w:val="28"/>
        </w:rPr>
        <w:t xml:space="preserve">TX: FF DRIVING FD VEH TO WORK – ACCID. CITY NO LIAB </w:t>
      </w:r>
    </w:p>
    <w:p w14:paraId="284F8B7B" w14:textId="77777777" w:rsidR="00CF5DF6" w:rsidRDefault="00CF5DF6" w:rsidP="00CF5DF6">
      <w:pPr>
        <w:pStyle w:val="NoSpacing"/>
        <w:rPr>
          <w:b/>
        </w:rPr>
      </w:pPr>
    </w:p>
    <w:p w14:paraId="0EA6B8D7" w14:textId="77777777" w:rsidR="00CF5DF6" w:rsidRPr="00363AC0" w:rsidRDefault="00CF5DF6" w:rsidP="00CF5DF6">
      <w:pPr>
        <w:pStyle w:val="NoSpacing"/>
        <w:rPr>
          <w:bCs/>
        </w:rPr>
      </w:pPr>
      <w:r>
        <w:t xml:space="preserve">On February 10, 2026, in </w:t>
      </w:r>
      <w:r w:rsidRPr="00363AC0">
        <w:rPr>
          <w:u w:val="single"/>
        </w:rPr>
        <w:t>City of Houston v. Sheniqua Henderson</w:t>
      </w:r>
      <w:r>
        <w:t xml:space="preserve">, the </w:t>
      </w:r>
      <w:r w:rsidRPr="00363AC0">
        <w:t>Court of Appeals of Texas, Fourteenth District</w:t>
      </w:r>
      <w:r>
        <w:t xml:space="preserve"> held (3 to 0) that the trial court should have dismissed the plaintiff’s lawsuit against the City of Houston, since the firefighter was off duty when the accident occurred when he was driving to his station on September 1, 2022, at 6:19 am.  Under Texas state law a city or other governmental unit is only liable for automobile accident when it occurs “within his scope of employment.” </w:t>
      </w:r>
      <w:hyperlink r:id="rId969" w:history="1">
        <w:r w:rsidRPr="00C72C21">
          <w:rPr>
            <w:rStyle w:val="Hyperlink"/>
          </w:rPr>
          <w:t>https://cases.justia.com/texas/fourteenth-court-of-appeals/2026-14-25-00078-cv.pdf?ts=1770741693</w:t>
        </w:r>
      </w:hyperlink>
      <w:r>
        <w:t xml:space="preserve"> </w:t>
      </w:r>
    </w:p>
    <w:p w14:paraId="2D0DCAB3" w14:textId="77777777" w:rsidR="00CF5DF6" w:rsidRDefault="00CF5DF6" w:rsidP="00CF5DF6">
      <w:pPr>
        <w:pStyle w:val="NoSpacing"/>
      </w:pPr>
    </w:p>
    <w:p w14:paraId="05261085" w14:textId="77777777" w:rsidR="00CF5DF6" w:rsidRDefault="00CF5DF6" w:rsidP="00CF5DF6">
      <w:pPr>
        <w:pStyle w:val="NoSpacing"/>
      </w:pPr>
      <w:r>
        <w:t>THE COURT HELD:  “</w:t>
      </w:r>
      <w:r w:rsidRPr="00D11F00">
        <w:t xml:space="preserve"> On September 1, 2022, Henderson was driving on the service road of the North Sam Houston Parkway in Harris County. City of Houston employee and firefighter Carlos Manuel Pascualli was driving to work in a vehicle owned and provided to </w:t>
      </w:r>
      <w:proofErr w:type="spellStart"/>
      <w:r w:rsidRPr="00D11F00">
        <w:t>Pascualli</w:t>
      </w:r>
      <w:proofErr w:type="spellEnd"/>
      <w:r w:rsidRPr="00D11F00">
        <w:t xml:space="preserve"> by Houston in the lane next to Henderson, when </w:t>
      </w:r>
      <w:proofErr w:type="spellStart"/>
      <w:r w:rsidRPr="00D11F00">
        <w:t>Pascualli</w:t>
      </w:r>
      <w:proofErr w:type="spellEnd"/>
      <w:r w:rsidRPr="00D11F00">
        <w:t xml:space="preserve"> changed lanes and collided with Henderson's vehicle</w:t>
      </w:r>
      <w:r>
        <w:t xml:space="preserve">…. </w:t>
      </w:r>
      <w:proofErr w:type="spellStart"/>
      <w:r w:rsidRPr="00B60506">
        <w:t>Pascualli</w:t>
      </w:r>
      <w:proofErr w:type="spellEnd"/>
      <w:r w:rsidRPr="00B60506">
        <w:t xml:space="preserve"> provided a supporting affidavit establishing that he was </w:t>
      </w:r>
      <w:proofErr w:type="gramStart"/>
      <w:r w:rsidRPr="00B60506">
        <w:t>off-duty</w:t>
      </w:r>
      <w:proofErr w:type="gramEnd"/>
      <w:r w:rsidRPr="00B60506">
        <w:t>, not on call, and driving to start his shift at 6:30 am.</w:t>
      </w:r>
    </w:p>
    <w:p w14:paraId="2054697A" w14:textId="77777777" w:rsidR="00CF5DF6" w:rsidRDefault="00CF5DF6" w:rsidP="00CF5DF6">
      <w:pPr>
        <w:pStyle w:val="NoSpacing"/>
        <w:ind w:left="720"/>
      </w:pPr>
    </w:p>
    <w:p w14:paraId="615F38C5" w14:textId="77777777" w:rsidR="00CF5DF6" w:rsidRPr="007253B6" w:rsidRDefault="00CF5DF6" w:rsidP="00CF5DF6">
      <w:pPr>
        <w:pStyle w:val="NoSpacing"/>
        <w:ind w:left="720"/>
      </w:pPr>
      <w:r w:rsidRPr="007253B6">
        <w:t xml:space="preserve">On September 1, 2022, at approximately 6:19 am, I was traveling on North Sam Houston East Parkway Service Road, Harris County Texas, when my vehicle collided with Plaintiff's vehicle. I was traveling to Fire Station 99 located </w:t>
      </w:r>
      <w:proofErr w:type="gramStart"/>
      <w:r w:rsidRPr="007253B6">
        <w:t>in</w:t>
      </w:r>
      <w:proofErr w:type="gramEnd"/>
      <w:r w:rsidRPr="007253B6">
        <w:t xml:space="preserve"> 18580 Chanute Road, Houston, Texas 77032. At the time of the collision on September 1, 2022, I was off duty, not on call and driving to work. At the time of the collision, I was not being directed by the Houston Fire Department, or furthering Houston Fire Department business.</w:t>
      </w:r>
    </w:p>
    <w:p w14:paraId="1D11DA66" w14:textId="77777777" w:rsidR="00CF5DF6" w:rsidRDefault="00CF5DF6" w:rsidP="00CF5DF6">
      <w:pPr>
        <w:pStyle w:val="NoSpacing"/>
      </w:pPr>
    </w:p>
    <w:p w14:paraId="50F4460F" w14:textId="77777777" w:rsidR="00CF5DF6" w:rsidRDefault="00CF5DF6" w:rsidP="00CF5DF6">
      <w:pPr>
        <w:pStyle w:val="NoSpacing"/>
      </w:pPr>
      <w:r w:rsidRPr="00211E46">
        <w:t xml:space="preserve">In response, Henderson argued that </w:t>
      </w:r>
      <w:proofErr w:type="spellStart"/>
      <w:r w:rsidRPr="00211E46">
        <w:t>Pascualli's</w:t>
      </w:r>
      <w:proofErr w:type="spellEnd"/>
      <w:r w:rsidRPr="00211E46">
        <w:t xml:space="preserve"> affidavit was a sham affidavit. She further claimed that </w:t>
      </w:r>
      <w:proofErr w:type="spellStart"/>
      <w:r w:rsidRPr="00211E46">
        <w:t>Pascualli</w:t>
      </w:r>
      <w:proofErr w:type="spellEnd"/>
      <w:r w:rsidRPr="00211E46">
        <w:t xml:space="preserve"> was in the scope of his employment and that she was entitled to take his deposition. </w:t>
      </w:r>
      <w:r>
        <w:t xml:space="preserve">*** </w:t>
      </w:r>
      <w:r w:rsidRPr="00914070">
        <w:t xml:space="preserve">Tex. Civ. </w:t>
      </w:r>
      <w:proofErr w:type="spellStart"/>
      <w:r w:rsidRPr="00914070">
        <w:t>Prac</w:t>
      </w:r>
      <w:proofErr w:type="spellEnd"/>
      <w:r w:rsidRPr="00914070">
        <w:t xml:space="preserve">. &amp; Rem. Code Ann. § 101.021. A governmental unit is only liable for the negligence of its employee, </w:t>
      </w:r>
      <w:proofErr w:type="gramStart"/>
      <w:r w:rsidRPr="00914070">
        <w:t>if and when</w:t>
      </w:r>
      <w:proofErr w:type="gramEnd"/>
      <w:r w:rsidRPr="00914070">
        <w:t xml:space="preserve"> that employee is </w:t>
      </w:r>
      <w:r>
        <w:t>‘</w:t>
      </w:r>
      <w:r w:rsidRPr="00914070">
        <w:t>acting within his scope of employment.</w:t>
      </w:r>
      <w:r>
        <w:t xml:space="preserve">’ … </w:t>
      </w:r>
      <w:r w:rsidRPr="00914070">
        <w:t>Although Henderson argues that she also has a direct negligence claim against Houston, she cites no authority or statute, nor have we found any, other than Section 101.021 that waives Houston's immunity for injuries resulting from the use of a motor-driven vehicle.</w:t>
      </w:r>
      <w:r>
        <w:t>”</w:t>
      </w:r>
    </w:p>
    <w:p w14:paraId="46308078" w14:textId="77777777" w:rsidR="00CF5DF6" w:rsidRDefault="00CF5DF6" w:rsidP="00CF5DF6">
      <w:pPr>
        <w:pStyle w:val="NoSpacing"/>
      </w:pPr>
    </w:p>
    <w:p w14:paraId="4DBD5F53" w14:textId="77777777" w:rsidR="00CF5DF6" w:rsidRDefault="00CF5DF6" w:rsidP="00CF5DF6">
      <w:pPr>
        <w:pStyle w:val="NoSpacing"/>
        <w:rPr>
          <w:b/>
          <w:bCs/>
        </w:rPr>
      </w:pPr>
      <w:r w:rsidRPr="005D3975">
        <w:rPr>
          <w:b/>
        </w:rPr>
        <w:t xml:space="preserve">Legal lesson learned: </w:t>
      </w:r>
      <w:r>
        <w:rPr>
          <w:b/>
        </w:rPr>
        <w:t>Firefighter was off duty; city cannot be sued.</w:t>
      </w:r>
    </w:p>
    <w:p w14:paraId="74FEC3EC" w14:textId="77777777" w:rsidR="00CF5DF6" w:rsidRDefault="00CF5DF6" w:rsidP="00CF5DF6">
      <w:pPr>
        <w:pStyle w:val="NoSpacing"/>
      </w:pPr>
    </w:p>
    <w:p w14:paraId="4FA59353" w14:textId="77777777" w:rsidR="00CF5DF6" w:rsidRDefault="00CF5DF6" w:rsidP="000C62A1">
      <w:pPr>
        <w:pStyle w:val="NoSpacing"/>
        <w:rPr>
          <w:rFonts w:ascii="Arial Black" w:hAnsi="Arial Black"/>
          <w:sz w:val="28"/>
          <w:szCs w:val="28"/>
        </w:rPr>
      </w:pPr>
    </w:p>
    <w:p w14:paraId="236B5FE9" w14:textId="77777777" w:rsidR="00CF5DF6" w:rsidRDefault="00CF5DF6" w:rsidP="000C62A1">
      <w:pPr>
        <w:pStyle w:val="NoSpacing"/>
        <w:rPr>
          <w:rFonts w:ascii="Arial Black" w:hAnsi="Arial Black"/>
          <w:sz w:val="28"/>
          <w:szCs w:val="28"/>
        </w:rPr>
      </w:pPr>
    </w:p>
    <w:p w14:paraId="027ED139" w14:textId="77777777" w:rsidR="00CF5DF6" w:rsidRDefault="00CF5DF6" w:rsidP="000C62A1">
      <w:pPr>
        <w:pStyle w:val="NoSpacing"/>
        <w:rPr>
          <w:rFonts w:ascii="Arial Black" w:hAnsi="Arial Black"/>
          <w:sz w:val="28"/>
          <w:szCs w:val="28"/>
        </w:rPr>
      </w:pPr>
    </w:p>
    <w:p w14:paraId="1BD44A23" w14:textId="694B22B1" w:rsidR="00CC770C" w:rsidRDefault="007100AC" w:rsidP="000C62A1">
      <w:pPr>
        <w:pStyle w:val="NoSpacing"/>
        <w:rPr>
          <w:rFonts w:ascii="Arial Black" w:hAnsi="Arial Black"/>
          <w:sz w:val="28"/>
          <w:szCs w:val="28"/>
        </w:rPr>
      </w:pPr>
      <w:r>
        <w:rPr>
          <w:rFonts w:ascii="Arial Black" w:hAnsi="Arial Black"/>
          <w:sz w:val="28"/>
          <w:szCs w:val="28"/>
        </w:rPr>
        <w:t>5-60</w:t>
      </w:r>
    </w:p>
    <w:p w14:paraId="002E8A9E" w14:textId="77777777" w:rsidR="007100AC" w:rsidRDefault="007100AC" w:rsidP="000C62A1">
      <w:pPr>
        <w:pStyle w:val="NoSpacing"/>
        <w:rPr>
          <w:rFonts w:ascii="Arial Black" w:hAnsi="Arial Black"/>
          <w:sz w:val="28"/>
          <w:szCs w:val="28"/>
        </w:rPr>
      </w:pPr>
    </w:p>
    <w:p w14:paraId="60A05A40" w14:textId="77777777" w:rsidR="007100AC" w:rsidRPr="005A1845" w:rsidRDefault="007100AC" w:rsidP="007100AC">
      <w:pPr>
        <w:rPr>
          <w:rFonts w:ascii="Arial Black" w:hAnsi="Arial Black"/>
          <w:b/>
          <w:sz w:val="28"/>
          <w:szCs w:val="28"/>
        </w:rPr>
      </w:pPr>
      <w:r>
        <w:rPr>
          <w:rFonts w:ascii="Arial Black" w:hAnsi="Arial Black"/>
          <w:b/>
          <w:sz w:val="28"/>
          <w:szCs w:val="28"/>
        </w:rPr>
        <w:t>TX: AMBULANCE – IMMUNITY - PHOTO EMER LIGHTS ON</w:t>
      </w:r>
    </w:p>
    <w:p w14:paraId="02B325B7" w14:textId="77777777" w:rsidR="007100AC" w:rsidRDefault="007100AC" w:rsidP="007100AC">
      <w:pPr>
        <w:pStyle w:val="NoSpacing"/>
        <w:rPr>
          <w:bCs/>
        </w:rPr>
      </w:pPr>
      <w:r>
        <w:t xml:space="preserve">On Jan. 21, 2026, in </w:t>
      </w:r>
      <w:r w:rsidRPr="00B031E6">
        <w:rPr>
          <w:u w:val="single"/>
        </w:rPr>
        <w:t>Michelle Ojeda v. City of Grand Prairie</w:t>
      </w:r>
      <w:r>
        <w:t xml:space="preserve">, the </w:t>
      </w:r>
      <w:r w:rsidRPr="00934DC7">
        <w:t>Court of Appeals of Texas, Fifth District, Dallas</w:t>
      </w:r>
      <w:r>
        <w:t xml:space="preserve"> held (3 to 0) that trial court properly dismissed the lawsuit, since the intersection crash happened on an emergency run, lights (photo taken after the accident) and siren activated, and slowed down entering the intersection. </w:t>
      </w:r>
      <w:hyperlink r:id="rId970" w:history="1">
        <w:r w:rsidRPr="00AC5608">
          <w:rPr>
            <w:rStyle w:val="Hyperlink"/>
          </w:rPr>
          <w:t>https://cases.justia.com/texas/fifth-court-of-appeals/2026-05-24-01403-cv.pdf?ts=1769077961</w:t>
        </w:r>
      </w:hyperlink>
    </w:p>
    <w:p w14:paraId="2DBA9681" w14:textId="77777777" w:rsidR="007100AC" w:rsidRDefault="007100AC" w:rsidP="007100AC">
      <w:pPr>
        <w:pStyle w:val="NoSpacing"/>
        <w:rPr>
          <w:bCs/>
        </w:rPr>
      </w:pPr>
    </w:p>
    <w:p w14:paraId="6A2C8F1B" w14:textId="77777777" w:rsidR="007100AC" w:rsidRDefault="007100AC" w:rsidP="007100AC">
      <w:pPr>
        <w:pStyle w:val="NoSpacing"/>
        <w:rPr>
          <w:bCs/>
        </w:rPr>
      </w:pPr>
      <w:r>
        <w:t xml:space="preserve">THE COURT HELD: </w:t>
      </w:r>
    </w:p>
    <w:p w14:paraId="4A7AF126" w14:textId="77777777" w:rsidR="007100AC" w:rsidRDefault="007100AC" w:rsidP="007100AC">
      <w:pPr>
        <w:pStyle w:val="NoSpacing"/>
        <w:rPr>
          <w:bCs/>
        </w:rPr>
      </w:pPr>
    </w:p>
    <w:p w14:paraId="69821FAF" w14:textId="77777777" w:rsidR="007100AC" w:rsidRDefault="007100AC" w:rsidP="007100AC">
      <w:pPr>
        <w:pStyle w:val="NoSpacing"/>
        <w:ind w:left="720"/>
        <w:rPr>
          <w:bCs/>
        </w:rPr>
      </w:pPr>
      <w:r>
        <w:t>“</w:t>
      </w:r>
      <w:r w:rsidRPr="00492BC7">
        <w:t>In an attempt to raise a fact issue, Ojeda asserts in her briefing that the ambulance's emergency lights and siren were not activated when the ambulance entered the intersection. But the summary judgment record contains no evidence supporting this assertion and the testimony of Kildal and Herrera and the photograph of the ambulance immediately after the crash establish the emergency lights and siren were activated and in operation before and during the collision</w:t>
      </w:r>
      <w:r>
        <w:t xml:space="preserve">…. </w:t>
      </w:r>
      <w:r w:rsidRPr="00801AF4">
        <w:t>With respect to Ojeda's contention reckless disregard is shown by Kildal entering the intersection without knowing whether the light was green or red, a driver of an emergency vehicle is permitted to proceed through a red light without stopping if they do so after slowing as necessary for safe operation</w:t>
      </w:r>
      <w:r>
        <w:t xml:space="preserve">…. </w:t>
      </w:r>
      <w:r w:rsidRPr="00801AF4">
        <w:t>(citing Tex. Transp. Code § 546.001(2)).</w:t>
      </w:r>
      <w:r>
        <w:t xml:space="preserve"> *** </w:t>
      </w:r>
      <w:r w:rsidRPr="00000FE4">
        <w:t>Data obtained from the Electronic Data Recorder device in the ambulance showed Kildal slowed the ambulance down five seconds before the collision from a speed of 33.3 mph to a speed of 16.8 mph at the time of impact.</w:t>
      </w:r>
      <w:r>
        <w:t xml:space="preserve">”  *** </w:t>
      </w:r>
      <w:r w:rsidRPr="00D253AC">
        <w:t xml:space="preserve">Under this exception, the waiver of immunity under the Texas Tort Claims Act does not apply to a claim based on a governmental employee's conduct if that employee, while responding to an emergency call or reacting to an emergency situation, acts in compliance with </w:t>
      </w:r>
      <w:r>
        <w:t>‘</w:t>
      </w:r>
      <w:r w:rsidRPr="00D253AC">
        <w:t>the laws and ordinances applicable to emergency action,</w:t>
      </w:r>
      <w:r>
        <w:t>’</w:t>
      </w:r>
      <w:r w:rsidRPr="00D253AC">
        <w:t xml:space="preserve"> or in the absence of such a law or ordinance, the employee's actions are not taken </w:t>
      </w:r>
      <w:r>
        <w:t>‘</w:t>
      </w:r>
      <w:r w:rsidRPr="00D253AC">
        <w:t>with conscious indifference or reckless disregard for the safety of others.</w:t>
      </w:r>
      <w:r>
        <w:t>’</w:t>
      </w:r>
      <w:r w:rsidRPr="00D253AC">
        <w:t xml:space="preserve"> Civ. </w:t>
      </w:r>
      <w:proofErr w:type="spellStart"/>
      <w:r w:rsidRPr="00D253AC">
        <w:t>Prac</w:t>
      </w:r>
      <w:proofErr w:type="spellEnd"/>
      <w:r w:rsidRPr="00D253AC">
        <w:t>. &amp; Rem. § 101.055(2).</w:t>
      </w:r>
      <w:r>
        <w:t>”</w:t>
      </w:r>
    </w:p>
    <w:p w14:paraId="40067775" w14:textId="77777777" w:rsidR="007100AC" w:rsidRDefault="007100AC" w:rsidP="007100AC">
      <w:pPr>
        <w:pStyle w:val="NoSpacing"/>
        <w:rPr>
          <w:bCs/>
        </w:rPr>
      </w:pPr>
    </w:p>
    <w:p w14:paraId="53219925" w14:textId="77777777" w:rsidR="007100AC" w:rsidRPr="004D5620" w:rsidRDefault="007100AC" w:rsidP="007100AC">
      <w:pPr>
        <w:pStyle w:val="NoSpacing"/>
        <w:rPr>
          <w:b/>
        </w:rPr>
      </w:pPr>
      <w:r>
        <w:rPr>
          <w:b/>
        </w:rPr>
        <w:t xml:space="preserve">Legal lesson learned: After an on-duty accident, leave your siren on as you notify dispatch, and then take a photo showing your emergency lights still activated. </w:t>
      </w:r>
    </w:p>
    <w:p w14:paraId="521A93AE" w14:textId="77777777" w:rsidR="007100AC" w:rsidRDefault="007100AC" w:rsidP="000C62A1">
      <w:pPr>
        <w:pStyle w:val="NoSpacing"/>
        <w:rPr>
          <w:rFonts w:ascii="Arial Black" w:hAnsi="Arial Black"/>
          <w:sz w:val="28"/>
          <w:szCs w:val="28"/>
        </w:rPr>
      </w:pPr>
    </w:p>
    <w:p w14:paraId="626F94C9" w14:textId="77777777" w:rsidR="007100AC" w:rsidRDefault="007100AC" w:rsidP="000C62A1">
      <w:pPr>
        <w:pStyle w:val="NoSpacing"/>
        <w:rPr>
          <w:rFonts w:ascii="Arial Black" w:hAnsi="Arial Black"/>
          <w:sz w:val="28"/>
          <w:szCs w:val="28"/>
        </w:rPr>
      </w:pPr>
    </w:p>
    <w:p w14:paraId="7444A9E1" w14:textId="77777777" w:rsidR="007100AC" w:rsidRDefault="007100AC" w:rsidP="000C62A1">
      <w:pPr>
        <w:pStyle w:val="NoSpacing"/>
        <w:rPr>
          <w:rFonts w:ascii="Arial Black" w:hAnsi="Arial Black"/>
          <w:sz w:val="28"/>
          <w:szCs w:val="28"/>
        </w:rPr>
      </w:pPr>
    </w:p>
    <w:p w14:paraId="6733B22F" w14:textId="6DABD62F" w:rsidR="00CC770C" w:rsidRDefault="00CC770C" w:rsidP="000C62A1">
      <w:pPr>
        <w:pStyle w:val="NoSpacing"/>
        <w:rPr>
          <w:rFonts w:ascii="Arial Black" w:hAnsi="Arial Black"/>
          <w:sz w:val="28"/>
          <w:szCs w:val="28"/>
        </w:rPr>
      </w:pPr>
      <w:r>
        <w:rPr>
          <w:rFonts w:ascii="Arial Black" w:hAnsi="Arial Black"/>
          <w:sz w:val="28"/>
          <w:szCs w:val="28"/>
        </w:rPr>
        <w:t>5-5</w:t>
      </w:r>
      <w:r w:rsidR="00EC252C">
        <w:rPr>
          <w:rFonts w:ascii="Arial Black" w:hAnsi="Arial Black"/>
          <w:sz w:val="28"/>
          <w:szCs w:val="28"/>
        </w:rPr>
        <w:t>9</w:t>
      </w:r>
    </w:p>
    <w:p w14:paraId="133AFA35" w14:textId="77777777" w:rsidR="00EC252C" w:rsidRPr="00E62CBF" w:rsidRDefault="00EC252C" w:rsidP="00EC252C">
      <w:pPr>
        <w:rPr>
          <w:rFonts w:ascii="Arial Black" w:hAnsi="Arial Black"/>
          <w:sz w:val="28"/>
          <w:szCs w:val="28"/>
        </w:rPr>
      </w:pPr>
      <w:r>
        <w:rPr>
          <w:rFonts w:ascii="Arial Black" w:hAnsi="Arial Black"/>
          <w:sz w:val="28"/>
          <w:szCs w:val="28"/>
        </w:rPr>
        <w:t>LA: FF BAD DRIVING – NOT SUSP. WITHIN “60-DAY RULE”</w:t>
      </w:r>
    </w:p>
    <w:p w14:paraId="589D6F9C" w14:textId="77777777" w:rsidR="00EC252C" w:rsidRPr="009434D7" w:rsidRDefault="00EC252C" w:rsidP="00EC252C">
      <w:pPr>
        <w:rPr>
          <w:bCs/>
        </w:rPr>
      </w:pPr>
      <w:r>
        <w:t xml:space="preserve">On December 15, 2025, in </w:t>
      </w:r>
      <w:r w:rsidRPr="009434D7">
        <w:rPr>
          <w:u w:val="single"/>
        </w:rPr>
        <w:t>Chase Bruner v. New Orleans Fire Department</w:t>
      </w:r>
      <w:r>
        <w:t xml:space="preserve">, the </w:t>
      </w:r>
      <w:r w:rsidRPr="009434D7">
        <w:t>Court of Appeals of Louisiana, Fourth Circuit</w:t>
      </w:r>
      <w:r>
        <w:t xml:space="preserve"> held (3 to 0) that the city’s Civil Service Commission properly set aside six-day suspension because the </w:t>
      </w:r>
      <w:r w:rsidRPr="005F7F77">
        <w:t>NOFD failed to comply with sixty-day investigatory</w:t>
      </w:r>
      <w:r>
        <w:t xml:space="preserve"> </w:t>
      </w:r>
      <w:r w:rsidRPr="005F7F77">
        <w:t>timeline in the Firefighter Bill of Rights</w:t>
      </w:r>
      <w:r>
        <w:t xml:space="preserve">.  The bad driving occurred </w:t>
      </w:r>
      <w:r w:rsidRPr="00F9679A">
        <w:t>April 11, 2024</w:t>
      </w:r>
      <w:r>
        <w:t xml:space="preserve">. On April 18, </w:t>
      </w:r>
      <w:r w:rsidRPr="00874B90">
        <w:t>Major Figueroa-Camps reviewed the video of the EMS vehicles and forwarded it</w:t>
      </w:r>
      <w:r>
        <w:t xml:space="preserve"> </w:t>
      </w:r>
      <w:r w:rsidRPr="00874B90">
        <w:t>to Chief Keller</w:t>
      </w:r>
      <w:r>
        <w:t xml:space="preserve">, who on April 19 </w:t>
      </w:r>
      <w:r w:rsidRPr="00874B90">
        <w:t>notified NOFD of the incident</w:t>
      </w:r>
      <w:r>
        <w:t xml:space="preserve">.  </w:t>
      </w:r>
      <w:r w:rsidRPr="00874B90">
        <w:t xml:space="preserve"> </w:t>
      </w:r>
      <w:r>
        <w:t xml:space="preserve">The Civil Service Commission stated the 60-day clock started on April 19.  The 60-days ended </w:t>
      </w:r>
      <w:r w:rsidRPr="004E7AAB">
        <w:t>June 19, 2024</w:t>
      </w:r>
      <w:r>
        <w:t xml:space="preserve">, but Mr. Brunner was issued his suspension letter on June 21.  </w:t>
      </w:r>
      <w:hyperlink r:id="rId971" w:history="1">
        <w:r w:rsidRPr="00CB1D74">
          <w:rPr>
            <w:rStyle w:val="Hyperlink"/>
          </w:rPr>
          <w:t>https://cases.justia.com/louisiana/fourth-circuit-court-of-appeal/2025-2025-ca-0386.pdf?ts=1765847814</w:t>
        </w:r>
      </w:hyperlink>
      <w:r>
        <w:t xml:space="preserve"> </w:t>
      </w:r>
    </w:p>
    <w:p w14:paraId="2ACFA1E5" w14:textId="77777777" w:rsidR="00EC252C" w:rsidRDefault="00EC252C" w:rsidP="00EC252C">
      <w:r>
        <w:t>THE COURT HELD:</w:t>
      </w:r>
    </w:p>
    <w:p w14:paraId="7A828915" w14:textId="77777777" w:rsidR="00EC252C" w:rsidRDefault="00EC252C" w:rsidP="00EC252C">
      <w:pPr>
        <w:pStyle w:val="NoSpacing"/>
        <w:ind w:left="720"/>
      </w:pPr>
      <w:r>
        <w:t>“On April 11, 2024, Mr. Bruner had an overtime shift as an ambulance driver for New Orleans Emergency Medical Services (‘EMS’). During his shift, Mr. Bruner violated multiple traffic laws, specifically, racing another ambulance, excessive speeding and driving on the wrong side of the street. The EMS in-vehicle camera system flagged a sudden brake event, prompting EMS Major Gerardo Figueroa-Camps (‘Major Figueroa-Camps’) to review and send the full video footage to EMS Deputy Chief Chris Keller (‘Chief Keller’) on April 18</w:t>
      </w:r>
      <w:proofErr w:type="gramStart"/>
      <w:r>
        <w:t xml:space="preserve"> 2024</w:t>
      </w:r>
      <w:proofErr w:type="gramEnd"/>
      <w:r>
        <w:t>, and [on April 19] Chief Keller emailed NOFD about Mr. Bruner’s traffic violations.</w:t>
      </w:r>
    </w:p>
    <w:p w14:paraId="7CD1E1FC" w14:textId="77777777" w:rsidR="00EC252C" w:rsidRDefault="00EC252C" w:rsidP="00EC252C">
      <w:pPr>
        <w:pStyle w:val="NoSpacing"/>
        <w:ind w:left="720"/>
      </w:pPr>
    </w:p>
    <w:p w14:paraId="1AD78E64" w14:textId="77777777" w:rsidR="00EC252C" w:rsidRDefault="00EC252C" w:rsidP="00EC252C">
      <w:pPr>
        <w:pStyle w:val="NoSpacing"/>
        <w:ind w:left="720"/>
      </w:pPr>
      <w:r>
        <w:t>***</w:t>
      </w:r>
    </w:p>
    <w:p w14:paraId="5A7E3FF5" w14:textId="77777777" w:rsidR="00EC252C" w:rsidRDefault="00EC252C" w:rsidP="00EC252C">
      <w:pPr>
        <w:pStyle w:val="NoSpacing"/>
        <w:ind w:left="720"/>
      </w:pPr>
      <w:r>
        <w:t xml:space="preserve">On June 21, 2024, NOFD Superintendent Roman Nelson issued a letter to Mr. Bruner informing him that he was charged </w:t>
      </w:r>
      <w:proofErr w:type="gramStart"/>
      <w:r>
        <w:t>for</w:t>
      </w:r>
      <w:proofErr w:type="gramEnd"/>
      <w:r>
        <w:t xml:space="preserve"> violating NOFD Rule RR5, which requires compliance with City of New Orleans policies, specifically CAO Policy 5(R) concerning driving standards. The letter further stated that Mr. Bruner would be suspended for six hours.</w:t>
      </w:r>
    </w:p>
    <w:p w14:paraId="38688B99" w14:textId="77777777" w:rsidR="00EC252C" w:rsidRDefault="00EC252C" w:rsidP="00EC252C">
      <w:pPr>
        <w:pStyle w:val="NoSpacing"/>
        <w:ind w:left="720"/>
      </w:pPr>
    </w:p>
    <w:p w14:paraId="1DC02E26" w14:textId="77777777" w:rsidR="00EC252C" w:rsidRDefault="00EC252C" w:rsidP="00EC252C">
      <w:pPr>
        <w:pStyle w:val="NoSpacing"/>
        <w:ind w:left="720"/>
      </w:pPr>
      <w:r>
        <w:t>***</w:t>
      </w:r>
    </w:p>
    <w:p w14:paraId="70B718CE" w14:textId="77777777" w:rsidR="00EC252C" w:rsidRDefault="00EC252C" w:rsidP="00EC252C">
      <w:pPr>
        <w:pStyle w:val="NoSpacing"/>
        <w:ind w:left="720"/>
      </w:pPr>
      <w:r>
        <w:t xml:space="preserve">Mr. Bruner </w:t>
      </w:r>
      <w:proofErr w:type="gramStart"/>
      <w:r>
        <w:t>appealed</w:t>
      </w:r>
      <w:proofErr w:type="gramEnd"/>
      <w:r>
        <w:t xml:space="preserve"> his suspension to the Civil Service Commission. A hearing took place on November 15, 2024. On May 8, 2025, the Commission granted Mr. Bruner’s appeal and ordered NOFD to reimburse Mr. Bruner for all lost wages and emoluments of employment from his six-hour suspension. The Commission found that NOFD failed to comply with sixty-day investigatory timeline in the Firefighter Bill of Rights. </w:t>
      </w:r>
    </w:p>
    <w:p w14:paraId="3B3F8F19" w14:textId="77777777" w:rsidR="00EC252C" w:rsidRDefault="00EC252C" w:rsidP="00EC252C">
      <w:pPr>
        <w:pStyle w:val="NoSpacing"/>
      </w:pPr>
    </w:p>
    <w:p w14:paraId="10617A17" w14:textId="77777777" w:rsidR="00EC252C" w:rsidRDefault="00EC252C" w:rsidP="00EC252C">
      <w:pPr>
        <w:pStyle w:val="NoSpacing"/>
        <w:ind w:left="1440"/>
      </w:pPr>
    </w:p>
    <w:p w14:paraId="06958D31" w14:textId="77777777" w:rsidR="00EC252C" w:rsidRDefault="00EC252C" w:rsidP="00EC252C">
      <w:pPr>
        <w:pStyle w:val="NoSpacing"/>
        <w:ind w:left="1440"/>
      </w:pPr>
      <w:r>
        <w:t>[</w:t>
      </w:r>
      <w:r w:rsidRPr="009E64D7">
        <w:t>Louisiana Revised Statute 33:2181, known as the Firefighters Bill of Rights</w:t>
      </w:r>
      <w:r>
        <w:t>]</w:t>
      </w:r>
      <w:r w:rsidRPr="009E64D7">
        <w:t>,</w:t>
      </w:r>
    </w:p>
    <w:p w14:paraId="32563332" w14:textId="77777777" w:rsidR="00EC252C" w:rsidRDefault="00EC252C" w:rsidP="00EC252C">
      <w:pPr>
        <w:pStyle w:val="NoSpacing"/>
        <w:ind w:left="1440"/>
      </w:pPr>
      <w:proofErr w:type="gramStart"/>
      <w:r>
        <w:t>provides ‘[</w:t>
      </w:r>
      <w:proofErr w:type="gramEnd"/>
      <w:r>
        <w:t>a]</w:t>
      </w:r>
      <w:proofErr w:type="spellStart"/>
      <w:r>
        <w:t>ny</w:t>
      </w:r>
      <w:proofErr w:type="spellEnd"/>
      <w:r>
        <w:t xml:space="preserve"> investigation of a fire employee which is conducted pursuant to this Subpart shall be completed within sixty days, including the conducting of any pre-disciplinary hearing or conference.’ La. R.S. 33:2186(A). The fire department may petition the governing authority for an extension of time in which to complete its investigation upon a showing of good cause. La. R.S. 33:2186(B).” </w:t>
      </w:r>
    </w:p>
    <w:p w14:paraId="2FF6C6F4" w14:textId="77777777" w:rsidR="00EC252C" w:rsidRDefault="00EC252C" w:rsidP="00EC252C">
      <w:pPr>
        <w:pStyle w:val="NoSpacing"/>
        <w:ind w:left="1440"/>
      </w:pPr>
    </w:p>
    <w:p w14:paraId="293B448D" w14:textId="77777777" w:rsidR="00EC252C" w:rsidRDefault="00EC252C" w:rsidP="00EC252C">
      <w:pPr>
        <w:pStyle w:val="NoSpacing"/>
        <w:ind w:left="720"/>
      </w:pPr>
      <w:r>
        <w:t>***</w:t>
      </w:r>
    </w:p>
    <w:p w14:paraId="61C19AC1" w14:textId="77777777" w:rsidR="00EC252C" w:rsidRDefault="00EC252C" w:rsidP="00EC252C">
      <w:pPr>
        <w:pStyle w:val="NoSpacing"/>
        <w:ind w:left="720"/>
      </w:pPr>
    </w:p>
    <w:p w14:paraId="5B5ACD88" w14:textId="77777777" w:rsidR="00EC252C" w:rsidRDefault="00EC252C" w:rsidP="00EC252C">
      <w:pPr>
        <w:pStyle w:val="NoSpacing"/>
        <w:ind w:left="720"/>
      </w:pPr>
      <w:r>
        <w:t xml:space="preserve">The NOFD argues that the Commission’s finding was erroneous because it undermines this Court’s decision in Pitre v. </w:t>
      </w:r>
      <w:proofErr w:type="spellStart"/>
      <w:r>
        <w:t>Dep’t</w:t>
      </w:r>
      <w:proofErr w:type="spellEnd"/>
      <w:r>
        <w:t xml:space="preserve"> of Fire, 2021-0632 (La. App. 4 Cir. 2022), 338 So.3d 70 regarding when an investigation commences…. In Pitre, a firefighter was charged with making false statements during a formal investigation regarding another employee’s worker’s compensation claim. The NOFD sent a notification letter to the firefighter on July 8, </w:t>
      </w:r>
      <w:proofErr w:type="gramStart"/>
      <w:r>
        <w:t>2020</w:t>
      </w:r>
      <w:proofErr w:type="gramEnd"/>
      <w:r>
        <w:t xml:space="preserve"> and the firefighter was terminated on September 28, 2020…. </w:t>
      </w:r>
    </w:p>
    <w:p w14:paraId="458BB811" w14:textId="77777777" w:rsidR="00EC252C" w:rsidRDefault="00EC252C" w:rsidP="00EC252C">
      <w:pPr>
        <w:pStyle w:val="NoSpacing"/>
        <w:ind w:left="720"/>
      </w:pPr>
      <w:r>
        <w:t>NOFD received an enhanced video footage of the firefighter’s actions on August 7, 2020….  NOFD argued that the investigation into the firefighter did not commence until August 7, 2020…. This Court found that the investigation commenced on July 8, 2020, when NOFD conducted an interrogation, not an initial inquiry. Specifically, the</w:t>
      </w:r>
    </w:p>
    <w:p w14:paraId="1C213FF7" w14:textId="77777777" w:rsidR="00EC252C" w:rsidRDefault="00EC252C" w:rsidP="00EC252C">
      <w:pPr>
        <w:pStyle w:val="NoSpacing"/>
        <w:ind w:left="720"/>
      </w:pPr>
      <w:r>
        <w:t xml:space="preserve">notification letter was issued to the firefighter detailing that he would be interviewed in connection with an investigation for violation of the NOFD Rules and Regulations. </w:t>
      </w:r>
    </w:p>
    <w:p w14:paraId="429FADC3" w14:textId="77777777" w:rsidR="00EC252C" w:rsidRDefault="00EC252C" w:rsidP="00EC252C">
      <w:pPr>
        <w:pStyle w:val="NoSpacing"/>
        <w:ind w:left="720"/>
      </w:pPr>
    </w:p>
    <w:p w14:paraId="02D9F32D" w14:textId="77777777" w:rsidR="00EC252C" w:rsidRDefault="00EC252C" w:rsidP="00EC252C">
      <w:pPr>
        <w:pStyle w:val="NoSpacing"/>
        <w:ind w:left="720"/>
      </w:pPr>
      <w:r>
        <w:t>***</w:t>
      </w:r>
    </w:p>
    <w:p w14:paraId="7E52B6F2" w14:textId="77777777" w:rsidR="00EC252C" w:rsidRDefault="00EC252C" w:rsidP="00EC252C">
      <w:pPr>
        <w:pStyle w:val="NoSpacing"/>
        <w:ind w:left="720"/>
      </w:pPr>
    </w:p>
    <w:p w14:paraId="46416B8F" w14:textId="77777777" w:rsidR="00EC252C" w:rsidRDefault="00EC252C" w:rsidP="00EC252C">
      <w:pPr>
        <w:pStyle w:val="NoSpacing"/>
        <w:ind w:left="720"/>
      </w:pPr>
      <w:r w:rsidRPr="00B05652">
        <w:t>We do not find that the Commission’s decision undermines this Court’s</w:t>
      </w:r>
      <w:r>
        <w:t xml:space="preserve"> </w:t>
      </w:r>
      <w:r w:rsidRPr="00B05652">
        <w:t xml:space="preserve">decision in Pitre. The facts in </w:t>
      </w:r>
      <w:proofErr w:type="gramStart"/>
      <w:r w:rsidRPr="00B05652">
        <w:t>Pitre,</w:t>
      </w:r>
      <w:proofErr w:type="gramEnd"/>
      <w:r w:rsidRPr="00B05652">
        <w:t xml:space="preserve"> are distinguishable, as the investigation into</w:t>
      </w:r>
      <w:r>
        <w:t xml:space="preserve"> </w:t>
      </w:r>
      <w:r w:rsidRPr="00B05652">
        <w:t>the firefighter began when NOFD made more than an initial inquiry into the</w:t>
      </w:r>
      <w:r>
        <w:t xml:space="preserve"> </w:t>
      </w:r>
      <w:r w:rsidRPr="00B05652">
        <w:t>firefighter’s misconduct by conducting a formal interview. Here, we find that the</w:t>
      </w:r>
      <w:r>
        <w:t xml:space="preserve"> </w:t>
      </w:r>
      <w:r w:rsidRPr="00B05652">
        <w:t>investigation into Mr. Bruner commenced on April 19, 2024, when NOFD was</w:t>
      </w:r>
      <w:r>
        <w:t xml:space="preserve"> </w:t>
      </w:r>
      <w:r w:rsidRPr="00B05652">
        <w:t>informed of Mr. Bruner’s misconduct and requested, and received evidence of his</w:t>
      </w:r>
      <w:r>
        <w:t xml:space="preserve"> </w:t>
      </w:r>
      <w:r w:rsidRPr="00B05652">
        <w:t>misconduct on the same date.</w:t>
      </w:r>
      <w:r>
        <w:t>”</w:t>
      </w:r>
    </w:p>
    <w:p w14:paraId="56C83147" w14:textId="77777777" w:rsidR="00EC252C" w:rsidRDefault="00EC252C" w:rsidP="00EC252C">
      <w:pPr>
        <w:pStyle w:val="NoSpacing"/>
        <w:ind w:left="720"/>
      </w:pPr>
    </w:p>
    <w:p w14:paraId="591752F3" w14:textId="77777777" w:rsidR="00EC252C" w:rsidRPr="00B05652" w:rsidRDefault="00EC252C" w:rsidP="00EC252C">
      <w:pPr>
        <w:pStyle w:val="NoSpacing"/>
        <w:rPr>
          <w:b/>
          <w:bCs/>
        </w:rPr>
      </w:pPr>
      <w:r>
        <w:rPr>
          <w:b/>
        </w:rPr>
        <w:t xml:space="preserve">Legal </w:t>
      </w:r>
      <w:proofErr w:type="gramStart"/>
      <w:r>
        <w:rPr>
          <w:b/>
        </w:rPr>
        <w:t>lesson</w:t>
      </w:r>
      <w:proofErr w:type="gramEnd"/>
      <w:r>
        <w:rPr>
          <w:b/>
        </w:rPr>
        <w:t xml:space="preserve"> learned:  The 60-day rule can lead to confusion; be helpful if a FD policy could give specific guidance. </w:t>
      </w:r>
    </w:p>
    <w:p w14:paraId="6ED60C2A" w14:textId="77777777" w:rsidR="00EC252C" w:rsidRDefault="00EC252C" w:rsidP="00EC252C">
      <w:pPr>
        <w:rPr>
          <w:b/>
        </w:rPr>
      </w:pPr>
    </w:p>
    <w:p w14:paraId="5B1D6F12" w14:textId="66D6A7EC" w:rsidR="00EC252C" w:rsidRDefault="009D283D" w:rsidP="000C62A1">
      <w:pPr>
        <w:pStyle w:val="NoSpacing"/>
        <w:rPr>
          <w:rFonts w:ascii="Arial Black" w:hAnsi="Arial Black"/>
          <w:sz w:val="28"/>
          <w:szCs w:val="28"/>
        </w:rPr>
      </w:pPr>
      <w:r>
        <w:rPr>
          <w:rFonts w:ascii="Arial Black" w:hAnsi="Arial Black"/>
          <w:sz w:val="28"/>
          <w:szCs w:val="28"/>
        </w:rPr>
        <w:t>5-58</w:t>
      </w:r>
    </w:p>
    <w:p w14:paraId="4565709E" w14:textId="77777777" w:rsidR="003F1E51" w:rsidRDefault="003F1E51" w:rsidP="009D283D">
      <w:pPr>
        <w:pStyle w:val="NoSpacing"/>
        <w:rPr>
          <w:rFonts w:ascii="Arial Black" w:hAnsi="Arial Black"/>
          <w:sz w:val="28"/>
          <w:szCs w:val="28"/>
        </w:rPr>
      </w:pPr>
    </w:p>
    <w:p w14:paraId="0C380036" w14:textId="3C1D26C7" w:rsidR="009D283D" w:rsidRPr="00FA1AE7" w:rsidRDefault="009D283D" w:rsidP="009D283D">
      <w:pPr>
        <w:pStyle w:val="NoSpacing"/>
        <w:rPr>
          <w:rFonts w:ascii="Arial Black" w:hAnsi="Arial Black"/>
          <w:sz w:val="28"/>
          <w:szCs w:val="28"/>
        </w:rPr>
      </w:pPr>
      <w:r>
        <w:rPr>
          <w:rFonts w:ascii="Arial Black" w:hAnsi="Arial Black"/>
          <w:sz w:val="28"/>
          <w:szCs w:val="28"/>
        </w:rPr>
        <w:t xml:space="preserve">TX: CHIEF MVA DRIVING TO WORK - CITY </w:t>
      </w:r>
      <w:r w:rsidR="00F42915">
        <w:rPr>
          <w:rFonts w:ascii="Arial Black" w:hAnsi="Arial Black"/>
          <w:sz w:val="28"/>
          <w:szCs w:val="28"/>
        </w:rPr>
        <w:t xml:space="preserve">HAS </w:t>
      </w:r>
      <w:r>
        <w:rPr>
          <w:rFonts w:ascii="Arial Black" w:hAnsi="Arial Black"/>
          <w:sz w:val="28"/>
          <w:szCs w:val="28"/>
        </w:rPr>
        <w:t xml:space="preserve">IMMUNITY </w:t>
      </w:r>
    </w:p>
    <w:p w14:paraId="5B6CD67B" w14:textId="77777777" w:rsidR="009D283D" w:rsidRDefault="009D283D" w:rsidP="009D283D">
      <w:pPr>
        <w:pStyle w:val="NoSpacing"/>
      </w:pPr>
    </w:p>
    <w:p w14:paraId="796D15BB" w14:textId="77777777" w:rsidR="009D283D" w:rsidRDefault="009D283D" w:rsidP="009D283D">
      <w:pPr>
        <w:rPr>
          <w:bCs/>
        </w:rPr>
      </w:pPr>
      <w:r>
        <w:t xml:space="preserve">On December 9, 2025, in </w:t>
      </w:r>
      <w:r w:rsidRPr="00236011">
        <w:rPr>
          <w:u w:val="single"/>
        </w:rPr>
        <w:t>City of Houston v. Annie Gutierrez, et al</w:t>
      </w:r>
      <w:r>
        <w:t xml:space="preserve">., the </w:t>
      </w:r>
      <w:r w:rsidRPr="00236011">
        <w:t>Court of Appeals of Texas, Fourteenth District</w:t>
      </w:r>
      <w:r>
        <w:t xml:space="preserve"> held that trial court should have dismissed the city; under the State’s tort claims act, municipalities wave their governmental immunity for motor vehicle accidents in the performance of employee’s duties.  Under the “coming and going” rule, employees driving to work are not in the performance of their duties.  </w:t>
      </w:r>
      <w:hyperlink r:id="rId972" w:history="1">
        <w:r w:rsidRPr="00AE4181">
          <w:rPr>
            <w:rStyle w:val="Hyperlink"/>
          </w:rPr>
          <w:t>https://cases.justia.com/texas/fourteenth-court-of-appeals/2025-14-24-00811-cv.pdf?ts=1765287556</w:t>
        </w:r>
      </w:hyperlink>
      <w:r>
        <w:t xml:space="preserve"> </w:t>
      </w:r>
    </w:p>
    <w:p w14:paraId="68E79A19" w14:textId="77777777" w:rsidR="009D283D" w:rsidRDefault="009D283D" w:rsidP="009D283D">
      <w:pPr>
        <w:rPr>
          <w:bCs/>
        </w:rPr>
      </w:pPr>
      <w:r>
        <w:t>THE COURT HELD:</w:t>
      </w:r>
    </w:p>
    <w:p w14:paraId="180F91F8" w14:textId="77777777" w:rsidR="009D283D" w:rsidRPr="00354114" w:rsidRDefault="009D283D" w:rsidP="009D283D">
      <w:pPr>
        <w:pStyle w:val="NoSpacing"/>
        <w:ind w:firstLine="720"/>
      </w:pPr>
      <w:r>
        <w:t>“</w:t>
      </w:r>
      <w:r w:rsidRPr="00354114">
        <w:t>At approximately 5:30 a.m. one morning, a Chevrolet Silverado truck struck</w:t>
      </w:r>
    </w:p>
    <w:p w14:paraId="285F8540" w14:textId="77777777" w:rsidR="009D283D" w:rsidRPr="00354114" w:rsidRDefault="009D283D" w:rsidP="009D283D">
      <w:pPr>
        <w:pStyle w:val="NoSpacing"/>
        <w:ind w:firstLine="720"/>
      </w:pPr>
      <w:r w:rsidRPr="00354114">
        <w:t>the back of a car in a left-hand-turn lane on Westpark Drive in Houston. City of</w:t>
      </w:r>
    </w:p>
    <w:p w14:paraId="7387BDE4" w14:textId="77777777" w:rsidR="009D283D" w:rsidRPr="00354114" w:rsidRDefault="009D283D" w:rsidP="009D283D">
      <w:pPr>
        <w:pStyle w:val="NoSpacing"/>
        <w:ind w:firstLine="720"/>
      </w:pPr>
      <w:r w:rsidRPr="00354114">
        <w:t xml:space="preserve">Houston Fire Chief Mark Griffiths was the driver of the </w:t>
      </w:r>
      <w:proofErr w:type="gramStart"/>
      <w:r w:rsidRPr="00354114">
        <w:t>truck, which</w:t>
      </w:r>
      <w:proofErr w:type="gramEnd"/>
      <w:r w:rsidRPr="00354114">
        <w:t xml:space="preserve"> the </w:t>
      </w:r>
      <w:proofErr w:type="gramStart"/>
      <w:r w:rsidRPr="00354114">
        <w:t>City</w:t>
      </w:r>
      <w:proofErr w:type="gramEnd"/>
      <w:r w:rsidRPr="00354114">
        <w:t xml:space="preserve"> owned.</w:t>
      </w:r>
    </w:p>
    <w:p w14:paraId="398CC545" w14:textId="77777777" w:rsidR="009D283D" w:rsidRPr="00354114" w:rsidRDefault="009D283D" w:rsidP="009D283D">
      <w:pPr>
        <w:pStyle w:val="NoSpacing"/>
        <w:ind w:firstLine="720"/>
      </w:pPr>
      <w:r w:rsidRPr="00354114">
        <w:t xml:space="preserve">Appellees sued the </w:t>
      </w:r>
      <w:proofErr w:type="gramStart"/>
      <w:r w:rsidRPr="00354114">
        <w:t>City</w:t>
      </w:r>
      <w:proofErr w:type="gramEnd"/>
      <w:r w:rsidRPr="00354114">
        <w:t xml:space="preserve"> alleging personal injuries from the collision. Appellees</w:t>
      </w:r>
    </w:p>
    <w:p w14:paraId="6878C234" w14:textId="77777777" w:rsidR="009D283D" w:rsidRPr="00354114" w:rsidRDefault="009D283D" w:rsidP="009D283D">
      <w:pPr>
        <w:pStyle w:val="NoSpacing"/>
        <w:ind w:firstLine="720"/>
      </w:pPr>
      <w:r w:rsidRPr="00354114">
        <w:t xml:space="preserve">alleged Griffiths drove negligently while </w:t>
      </w:r>
      <w:proofErr w:type="gramStart"/>
      <w:r w:rsidRPr="00354114">
        <w:t>in</w:t>
      </w:r>
      <w:proofErr w:type="gramEnd"/>
      <w:r w:rsidRPr="00354114">
        <w:t xml:space="preserve"> the course and scope of his </w:t>
      </w:r>
      <w:proofErr w:type="gramStart"/>
      <w:r w:rsidRPr="00354114">
        <w:t>City</w:t>
      </w:r>
      <w:proofErr w:type="gramEnd"/>
    </w:p>
    <w:p w14:paraId="7BBF326F" w14:textId="77777777" w:rsidR="009D283D" w:rsidRPr="00354114" w:rsidRDefault="009D283D" w:rsidP="009D283D">
      <w:pPr>
        <w:pStyle w:val="NoSpacing"/>
        <w:ind w:firstLine="720"/>
      </w:pPr>
      <w:r w:rsidRPr="00354114">
        <w:t xml:space="preserve">employment at the time of the collision, and thus, the City’s immunity was </w:t>
      </w:r>
      <w:proofErr w:type="gramStart"/>
      <w:r w:rsidRPr="00354114">
        <w:t>waived</w:t>
      </w:r>
      <w:proofErr w:type="gramEnd"/>
    </w:p>
    <w:p w14:paraId="70FEBB97" w14:textId="77777777" w:rsidR="009D283D" w:rsidRPr="00354114" w:rsidRDefault="009D283D" w:rsidP="009D283D">
      <w:pPr>
        <w:pStyle w:val="NoSpacing"/>
        <w:ind w:firstLine="720"/>
      </w:pPr>
      <w:r w:rsidRPr="00354114">
        <w:t xml:space="preserve">under the Texas Torts Claims Act (“TTCA”). See Tex. Civ. </w:t>
      </w:r>
      <w:proofErr w:type="spellStart"/>
      <w:r w:rsidRPr="00354114">
        <w:t>Prac</w:t>
      </w:r>
      <w:proofErr w:type="spellEnd"/>
      <w:r w:rsidRPr="00354114">
        <w:t>. &amp; Rem. Code</w:t>
      </w:r>
    </w:p>
    <w:p w14:paraId="776F8604" w14:textId="77777777" w:rsidR="009D283D" w:rsidRDefault="009D283D" w:rsidP="009D283D">
      <w:pPr>
        <w:pStyle w:val="NoSpacing"/>
        <w:ind w:firstLine="720"/>
      </w:pPr>
      <w:r w:rsidRPr="00354114">
        <w:t>Ann. § 101.021(1).</w:t>
      </w:r>
    </w:p>
    <w:p w14:paraId="0C753287" w14:textId="77777777" w:rsidR="009D283D" w:rsidRDefault="009D283D" w:rsidP="009D283D">
      <w:pPr>
        <w:pStyle w:val="NoSpacing"/>
      </w:pPr>
    </w:p>
    <w:p w14:paraId="07202E40" w14:textId="77777777" w:rsidR="009D283D" w:rsidRDefault="009D283D" w:rsidP="009D283D">
      <w:pPr>
        <w:pStyle w:val="NoSpacing"/>
        <w:ind w:firstLine="720"/>
      </w:pPr>
      <w:r>
        <w:t>The City’s evidence showed that when this accident occurred, Griffiths was</w:t>
      </w:r>
    </w:p>
    <w:p w14:paraId="789B127B" w14:textId="77777777" w:rsidR="009D283D" w:rsidRDefault="009D283D" w:rsidP="009D283D">
      <w:pPr>
        <w:pStyle w:val="NoSpacing"/>
        <w:ind w:firstLine="720"/>
      </w:pPr>
      <w:r>
        <w:t>driving from his home. Griffiths was about ten minutes away from the fire station,</w:t>
      </w:r>
    </w:p>
    <w:p w14:paraId="7020F297" w14:textId="77777777" w:rsidR="009D283D" w:rsidRDefault="009D283D" w:rsidP="009D283D">
      <w:pPr>
        <w:pStyle w:val="NoSpacing"/>
        <w:ind w:firstLine="720"/>
      </w:pPr>
      <w:r>
        <w:t>but planned to go to the gym, then to work. Griffiths was wearing his gym clothes</w:t>
      </w:r>
    </w:p>
    <w:p w14:paraId="3B077913" w14:textId="77777777" w:rsidR="009D283D" w:rsidRDefault="009D283D" w:rsidP="009D283D">
      <w:pPr>
        <w:pStyle w:val="NoSpacing"/>
        <w:ind w:firstLine="720"/>
      </w:pPr>
      <w:r>
        <w:t>at the time of the accident. Griffiths testified his normal routine was to go to the</w:t>
      </w:r>
    </w:p>
    <w:p w14:paraId="28BCAF3C" w14:textId="77777777" w:rsidR="009D283D" w:rsidRDefault="009D283D" w:rsidP="009D283D">
      <w:pPr>
        <w:pStyle w:val="NoSpacing"/>
        <w:ind w:firstLine="720"/>
      </w:pPr>
      <w:r>
        <w:t>gym, work out, then put on his uniform and then start work.</w:t>
      </w:r>
    </w:p>
    <w:p w14:paraId="699B68C3" w14:textId="77777777" w:rsidR="009D283D" w:rsidRDefault="009D283D" w:rsidP="009D283D">
      <w:pPr>
        <w:pStyle w:val="NoSpacing"/>
      </w:pPr>
    </w:p>
    <w:p w14:paraId="0A0EE420" w14:textId="77777777" w:rsidR="009D283D" w:rsidRDefault="009D283D" w:rsidP="009D283D">
      <w:pPr>
        <w:pStyle w:val="NoSpacing"/>
        <w:ind w:firstLine="720"/>
      </w:pPr>
      <w:proofErr w:type="spellStart"/>
      <w:r>
        <w:t>Griffiths’s</w:t>
      </w:r>
      <w:proofErr w:type="spellEnd"/>
      <w:r>
        <w:t xml:space="preserve"> work hours were 6:00 a.m. to 4:00 p.m., Tuesdays through Fridays.</w:t>
      </w:r>
    </w:p>
    <w:p w14:paraId="78524696" w14:textId="77777777" w:rsidR="009D283D" w:rsidRDefault="009D283D" w:rsidP="009D283D">
      <w:pPr>
        <w:pStyle w:val="NoSpacing"/>
        <w:ind w:firstLine="720"/>
      </w:pPr>
      <w:proofErr w:type="spellStart"/>
      <w:r>
        <w:t>Griffiths’s</w:t>
      </w:r>
      <w:proofErr w:type="spellEnd"/>
      <w:r>
        <w:t xml:space="preserve"> work duties did not include responding to emergencies. Griffiths</w:t>
      </w:r>
    </w:p>
    <w:p w14:paraId="076AD3B8" w14:textId="77777777" w:rsidR="009D283D" w:rsidRDefault="009D283D" w:rsidP="009D283D">
      <w:pPr>
        <w:pStyle w:val="NoSpacing"/>
        <w:ind w:firstLine="720"/>
      </w:pPr>
      <w:r>
        <w:t>described his work as training firefighters and quality assurance of incoming calls</w:t>
      </w:r>
    </w:p>
    <w:p w14:paraId="2848EAA0" w14:textId="77777777" w:rsidR="009D283D" w:rsidRDefault="009D283D" w:rsidP="009D283D">
      <w:pPr>
        <w:ind w:firstLine="720"/>
      </w:pPr>
      <w:r>
        <w:t>and complaints.</w:t>
      </w:r>
    </w:p>
    <w:p w14:paraId="105DB91F" w14:textId="77777777" w:rsidR="009D283D" w:rsidRDefault="009D283D" w:rsidP="009D283D">
      <w:pPr>
        <w:ind w:firstLine="720"/>
      </w:pPr>
      <w:r>
        <w:t>***</w:t>
      </w:r>
    </w:p>
    <w:p w14:paraId="76938831" w14:textId="77777777" w:rsidR="009D283D" w:rsidRDefault="009D283D" w:rsidP="009D283D">
      <w:pPr>
        <w:pStyle w:val="NoSpacing"/>
        <w:ind w:firstLine="720"/>
        <w:rPr>
          <w:bCs/>
        </w:rPr>
      </w:pPr>
      <w:r w:rsidRPr="009F3681">
        <w:t>This Court recently summarized the coming-and-going rule as follows:</w:t>
      </w:r>
      <w:r>
        <w:t xml:space="preserve"> </w:t>
      </w:r>
    </w:p>
    <w:p w14:paraId="14DCA6E8" w14:textId="77777777" w:rsidR="009D283D" w:rsidRPr="009F3681" w:rsidRDefault="009D283D" w:rsidP="009D283D">
      <w:pPr>
        <w:pStyle w:val="NoSpacing"/>
        <w:ind w:left="720"/>
        <w:rPr>
          <w:bCs/>
        </w:rPr>
      </w:pPr>
      <w:r w:rsidRPr="009F3681">
        <w:t xml:space="preserve">Under the coming-and-going rule, an </w:t>
      </w:r>
      <w:r>
        <w:t>‘</w:t>
      </w:r>
      <w:r w:rsidRPr="009F3681">
        <w:t>employee is generally not acting</w:t>
      </w:r>
      <w:r>
        <w:t xml:space="preserve"> </w:t>
      </w:r>
      <w:r w:rsidRPr="009F3681">
        <w:t>within the scope of [her] employment when traveling to and from</w:t>
      </w:r>
      <w:r>
        <w:t xml:space="preserve"> </w:t>
      </w:r>
      <w:r w:rsidRPr="009F3681">
        <w:t>work.</w:t>
      </w:r>
      <w:r>
        <w:t xml:space="preserve">’ </w:t>
      </w:r>
      <w:r w:rsidRPr="009F3681">
        <w:t xml:space="preserve"> Painter v. </w:t>
      </w:r>
      <w:proofErr w:type="spellStart"/>
      <w:r w:rsidRPr="009F3681">
        <w:t>Amerimex</w:t>
      </w:r>
      <w:proofErr w:type="spellEnd"/>
      <w:r w:rsidRPr="009F3681">
        <w:t xml:space="preserve"> Drilling I, Ltd., 561 S.W.3d 125, 136 (Tex.</w:t>
      </w:r>
      <w:r>
        <w:t xml:space="preserve"> </w:t>
      </w:r>
      <w:r w:rsidRPr="009F3681">
        <w:t>2018). The coming-and-going rule reflects that an accident while</w:t>
      </w:r>
      <w:r>
        <w:t xml:space="preserve"> </w:t>
      </w:r>
      <w:r w:rsidRPr="009F3681">
        <w:t>traveling to and from work does not generally arise from a person’s</w:t>
      </w:r>
    </w:p>
    <w:p w14:paraId="6FFBC35B" w14:textId="77777777" w:rsidR="009D283D" w:rsidRPr="009F3681" w:rsidRDefault="009D283D" w:rsidP="009D283D">
      <w:pPr>
        <w:pStyle w:val="NoSpacing"/>
        <w:ind w:left="720"/>
        <w:rPr>
          <w:bCs/>
        </w:rPr>
      </w:pPr>
      <w:r w:rsidRPr="009F3681">
        <w:t xml:space="preserve">employment but instead </w:t>
      </w:r>
      <w:proofErr w:type="gramStart"/>
      <w:r w:rsidRPr="009F3681">
        <w:t>from</w:t>
      </w:r>
      <w:proofErr w:type="gramEnd"/>
      <w:r w:rsidRPr="009F3681">
        <w:t xml:space="preserve"> the risks and hazards inherent to the</w:t>
      </w:r>
      <w:r>
        <w:t xml:space="preserve"> </w:t>
      </w:r>
      <w:r w:rsidRPr="009F3681">
        <w:t xml:space="preserve">driving public. Smith v. Tex. Emp. Ins. </w:t>
      </w:r>
      <w:proofErr w:type="spellStart"/>
      <w:r w:rsidRPr="009F3681">
        <w:t>Ass’n</w:t>
      </w:r>
      <w:proofErr w:type="spellEnd"/>
      <w:r w:rsidRPr="009F3681">
        <w:t>, 105 S.W.2d 192, 193</w:t>
      </w:r>
      <w:r>
        <w:t xml:space="preserve"> </w:t>
      </w:r>
      <w:r w:rsidRPr="009F3681">
        <w:t>(Tex. [Comm’n Op.] 1937); see Cameron Int’l Corp. v. Martinez, 662</w:t>
      </w:r>
      <w:r>
        <w:t xml:space="preserve"> </w:t>
      </w:r>
      <w:r w:rsidRPr="009F3681">
        <w:t xml:space="preserve">S.W.3d 373, 376 (Tex. 2022). </w:t>
      </w:r>
      <w:r>
        <w:t>‘</w:t>
      </w:r>
      <w:r w:rsidRPr="009F3681">
        <w:t>Such travel hazards do not arise out of</w:t>
      </w:r>
      <w:r>
        <w:t xml:space="preserve"> </w:t>
      </w:r>
      <w:r w:rsidRPr="009F3681">
        <w:t>the business of an employer; thus, the law does not hold the employer</w:t>
      </w:r>
    </w:p>
    <w:p w14:paraId="2882794A" w14:textId="77777777" w:rsidR="009D283D" w:rsidRDefault="009D283D" w:rsidP="009D283D">
      <w:pPr>
        <w:pStyle w:val="NoSpacing"/>
        <w:ind w:firstLine="720"/>
        <w:rPr>
          <w:bCs/>
        </w:rPr>
      </w:pPr>
      <w:r w:rsidRPr="009F3681">
        <w:t>liable for injuries resulting from engaging in these risks.</w:t>
      </w:r>
      <w:r>
        <w:t>’</w:t>
      </w:r>
      <w:r w:rsidRPr="009F3681">
        <w:t xml:space="preserve"> Cameron,</w:t>
      </w:r>
      <w:r>
        <w:t xml:space="preserve"> </w:t>
      </w:r>
      <w:r w:rsidRPr="009F3681">
        <w:t>662 S.W.3d at 376.</w:t>
      </w:r>
      <w:r>
        <w:t>”</w:t>
      </w:r>
    </w:p>
    <w:p w14:paraId="3073CFD8" w14:textId="77777777" w:rsidR="009D283D" w:rsidRDefault="009D283D" w:rsidP="009D283D">
      <w:pPr>
        <w:pStyle w:val="NoSpacing"/>
        <w:ind w:firstLine="720"/>
        <w:rPr>
          <w:bCs/>
        </w:rPr>
      </w:pPr>
    </w:p>
    <w:p w14:paraId="65F961A4" w14:textId="77777777" w:rsidR="009D283D" w:rsidRPr="00072A0E" w:rsidRDefault="009D283D" w:rsidP="009D283D">
      <w:pPr>
        <w:pStyle w:val="NoSpacing"/>
        <w:rPr>
          <w:b/>
        </w:rPr>
      </w:pPr>
      <w:r>
        <w:rPr>
          <w:b/>
        </w:rPr>
        <w:t xml:space="preserve">Legal lesson learned: The motorist may pursue litigation against the Chief in his personal capacity, but not the city. </w:t>
      </w:r>
    </w:p>
    <w:p w14:paraId="2B23B80E" w14:textId="77777777" w:rsidR="009D283D" w:rsidRPr="00236011" w:rsidRDefault="009D283D" w:rsidP="009D283D">
      <w:pPr>
        <w:pStyle w:val="NoSpacing"/>
        <w:rPr>
          <w:bCs/>
        </w:rPr>
      </w:pPr>
    </w:p>
    <w:p w14:paraId="77A190AC" w14:textId="77777777" w:rsidR="009D283D" w:rsidRDefault="009D283D" w:rsidP="000C62A1">
      <w:pPr>
        <w:pStyle w:val="NoSpacing"/>
        <w:rPr>
          <w:rFonts w:ascii="Arial Black" w:hAnsi="Arial Black"/>
          <w:sz w:val="28"/>
          <w:szCs w:val="28"/>
        </w:rPr>
      </w:pPr>
    </w:p>
    <w:p w14:paraId="671CC357" w14:textId="77777777" w:rsidR="00CC770C" w:rsidRDefault="00CC770C" w:rsidP="000C62A1">
      <w:pPr>
        <w:pStyle w:val="NoSpacing"/>
        <w:rPr>
          <w:rFonts w:ascii="Arial Black" w:hAnsi="Arial Black"/>
          <w:sz w:val="28"/>
          <w:szCs w:val="28"/>
        </w:rPr>
      </w:pPr>
    </w:p>
    <w:p w14:paraId="7B4787A0" w14:textId="77777777" w:rsidR="00CC770C" w:rsidRDefault="00CC770C" w:rsidP="000C62A1">
      <w:pPr>
        <w:pStyle w:val="NoSpacing"/>
        <w:rPr>
          <w:rFonts w:ascii="Arial Black" w:hAnsi="Arial Black"/>
          <w:sz w:val="28"/>
          <w:szCs w:val="28"/>
        </w:rPr>
      </w:pPr>
    </w:p>
    <w:p w14:paraId="44843B33" w14:textId="77777777" w:rsidR="00CC770C" w:rsidRDefault="00CC770C" w:rsidP="000C62A1">
      <w:pPr>
        <w:pStyle w:val="NoSpacing"/>
        <w:rPr>
          <w:rFonts w:ascii="Arial Black" w:hAnsi="Arial Black"/>
          <w:sz w:val="28"/>
          <w:szCs w:val="28"/>
        </w:rPr>
      </w:pPr>
    </w:p>
    <w:p w14:paraId="6E03A7EA" w14:textId="77777777" w:rsidR="00CC770C" w:rsidRDefault="00CC770C" w:rsidP="000C62A1">
      <w:pPr>
        <w:pStyle w:val="NoSpacing"/>
        <w:rPr>
          <w:rFonts w:ascii="Arial Black" w:hAnsi="Arial Black"/>
          <w:sz w:val="28"/>
          <w:szCs w:val="28"/>
        </w:rPr>
      </w:pPr>
    </w:p>
    <w:p w14:paraId="4793D3E2" w14:textId="77777777" w:rsidR="00CC770C" w:rsidRDefault="00CC770C" w:rsidP="000C62A1">
      <w:pPr>
        <w:pStyle w:val="NoSpacing"/>
        <w:rPr>
          <w:rFonts w:ascii="Arial Black" w:hAnsi="Arial Black"/>
          <w:sz w:val="28"/>
          <w:szCs w:val="28"/>
        </w:rPr>
      </w:pPr>
    </w:p>
    <w:p w14:paraId="129C85C4" w14:textId="1D4DAA88" w:rsidR="0096096B" w:rsidRDefault="003E41BB" w:rsidP="000C62A1">
      <w:pPr>
        <w:pStyle w:val="NoSpacing"/>
        <w:rPr>
          <w:rFonts w:ascii="Arial Black" w:hAnsi="Arial Black"/>
          <w:sz w:val="28"/>
          <w:szCs w:val="28"/>
        </w:rPr>
      </w:pPr>
      <w:r>
        <w:rPr>
          <w:rFonts w:ascii="Arial Black" w:hAnsi="Arial Black"/>
          <w:sz w:val="28"/>
          <w:szCs w:val="28"/>
        </w:rPr>
        <w:t>5-57</w:t>
      </w:r>
    </w:p>
    <w:p w14:paraId="492954D3" w14:textId="77777777" w:rsidR="003E41BB" w:rsidRDefault="003E41BB" w:rsidP="000C62A1">
      <w:pPr>
        <w:pStyle w:val="NoSpacing"/>
        <w:rPr>
          <w:rFonts w:ascii="Arial Black" w:hAnsi="Arial Black"/>
          <w:sz w:val="28"/>
          <w:szCs w:val="28"/>
        </w:rPr>
      </w:pPr>
    </w:p>
    <w:p w14:paraId="755FC4FA" w14:textId="77777777" w:rsidR="003E41BB" w:rsidRPr="00D418F3" w:rsidRDefault="003E41BB" w:rsidP="003E41BB">
      <w:pPr>
        <w:rPr>
          <w:rFonts w:ascii="Arial Black" w:hAnsi="Arial Black"/>
          <w:b/>
          <w:sz w:val="28"/>
          <w:szCs w:val="28"/>
        </w:rPr>
      </w:pPr>
      <w:r>
        <w:rPr>
          <w:rFonts w:ascii="Arial Black" w:hAnsi="Arial Black"/>
          <w:b/>
          <w:sz w:val="28"/>
          <w:szCs w:val="28"/>
        </w:rPr>
        <w:t>TX: RED LIGHT – NO PROOF SLOWED DOWN - NO IMMUNITY</w:t>
      </w:r>
    </w:p>
    <w:p w14:paraId="76149E22" w14:textId="77777777" w:rsidR="003E41BB" w:rsidRPr="00B00D48" w:rsidRDefault="003E41BB" w:rsidP="003E41BB">
      <w:pPr>
        <w:rPr>
          <w:b/>
          <w:bCs/>
        </w:rPr>
      </w:pPr>
      <w:r>
        <w:t xml:space="preserve">On Nov. 13, 2025, in </w:t>
      </w:r>
      <w:r w:rsidRPr="001C357D">
        <w:rPr>
          <w:u w:val="single"/>
        </w:rPr>
        <w:t>City of Houston, Texas v. Chelsea Manning, et al</w:t>
      </w:r>
      <w:r>
        <w:t xml:space="preserve">., the </w:t>
      </w:r>
      <w:r w:rsidRPr="00C56FEE">
        <w:t>Court of Appeals of Texas, Fourteenth District</w:t>
      </w:r>
      <w:r>
        <w:t xml:space="preserve"> held (3 to 0) that the trial court properly refused to grant immunity; the City failed to present evidence that Opticom had turned light to green.  </w:t>
      </w:r>
      <w:proofErr w:type="gramStart"/>
      <w:r>
        <w:t>Also</w:t>
      </w:r>
      <w:proofErr w:type="gramEnd"/>
      <w:r>
        <w:t xml:space="preserve"> no evidence Engine slowed down at the intersection (going 45 mph in 35 mph zone). This case has previously </w:t>
      </w:r>
      <w:proofErr w:type="gramStart"/>
      <w:r>
        <w:t>be</w:t>
      </w:r>
      <w:proofErr w:type="gramEnd"/>
      <w:r>
        <w:t xml:space="preserve"> appealed to Texas Supreme Court which remanded it back to the Court of Appeals to reconsider the evidence. THE COURT WROTE:  “[FAO </w:t>
      </w:r>
      <w:r w:rsidRPr="005E1C69">
        <w:t>Wilhelm</w:t>
      </w:r>
      <w:r>
        <w:t xml:space="preserve">] </w:t>
      </w:r>
      <w:r w:rsidRPr="007E7142">
        <w:t xml:space="preserve">Schmidt said he slowed to </w:t>
      </w:r>
      <w:r>
        <w:t>‘</w:t>
      </w:r>
      <w:r w:rsidRPr="007E7142">
        <w:t>clear the intersection,</w:t>
      </w:r>
      <w:r>
        <w:t>’</w:t>
      </w:r>
      <w:r w:rsidRPr="007E7142">
        <w:t xml:space="preserve"> but, as explained, other evidence in the record indicates that he was driving 45 miles per hour </w:t>
      </w:r>
      <w:r>
        <w:t>‘</w:t>
      </w:r>
      <w:r w:rsidRPr="007E7142">
        <w:t>on some of the straightaways</w:t>
      </w:r>
      <w:r>
        <w:t>’</w:t>
      </w:r>
      <w:r w:rsidRPr="007E7142">
        <w:t xml:space="preserve"> and remained driving at 45 miles per hour—10 miles per hour over the speed limit—at the </w:t>
      </w:r>
      <w:r>
        <w:t>‘</w:t>
      </w:r>
      <w:r w:rsidRPr="007E7142">
        <w:t>time of impact.</w:t>
      </w:r>
      <w:r>
        <w:t>’</w:t>
      </w:r>
      <w:r w:rsidRPr="007E7142">
        <w:t xml:space="preserve"> which is evidence from which a reasonable juror could infer that Schmidt either did not slow the vehicle at all or did not slow it as necessary for safe operation</w:t>
      </w:r>
      <w:r>
        <w:t xml:space="preserve">…. </w:t>
      </w:r>
      <w:r w:rsidRPr="000F4DCD">
        <w:t xml:space="preserve">We conclude that the </w:t>
      </w:r>
      <w:proofErr w:type="gramStart"/>
      <w:r w:rsidRPr="000F4DCD">
        <w:t>City</w:t>
      </w:r>
      <w:proofErr w:type="gramEnd"/>
      <w:r w:rsidRPr="000F4DCD">
        <w:t xml:space="preserve"> did not meet its initial burden to prove conclusively Schmidt's good fait</w:t>
      </w:r>
      <w:r>
        <w:t xml:space="preserve">h.” </w:t>
      </w:r>
      <w:hyperlink r:id="rId973" w:history="1">
        <w:r w:rsidRPr="006C188F">
          <w:rPr>
            <w:rStyle w:val="Hyperlink"/>
            <w:b/>
          </w:rPr>
          <w:t>https://caselaw.findlaw.com/court/tx-court-of-appeals/117928954.html</w:t>
        </w:r>
      </w:hyperlink>
      <w:r w:rsidRPr="00B00D48">
        <w:rPr>
          <w:b/>
        </w:rPr>
        <w:t xml:space="preserve"> </w:t>
      </w:r>
    </w:p>
    <w:p w14:paraId="10036D2C" w14:textId="77777777" w:rsidR="003E41BB" w:rsidRDefault="003E41BB" w:rsidP="003E41BB">
      <w:pPr>
        <w:pStyle w:val="NoSpacing"/>
      </w:pPr>
    </w:p>
    <w:p w14:paraId="6E7FFD55" w14:textId="77777777" w:rsidR="003E41BB" w:rsidRDefault="003E41BB" w:rsidP="003E41BB">
      <w:r>
        <w:t xml:space="preserve">THE COURT HELD: </w:t>
      </w:r>
    </w:p>
    <w:p w14:paraId="3F26A99A" w14:textId="77777777" w:rsidR="003E41BB" w:rsidRDefault="003E41BB" w:rsidP="003E41BB">
      <w:pPr>
        <w:ind w:left="720"/>
      </w:pPr>
      <w:r>
        <w:t>“</w:t>
      </w:r>
      <w:r w:rsidRPr="005E1C69">
        <w:t xml:space="preserve">The relevant facts are familiar to both the parties and to this court, so we summarize them only briefly. A Houston Fire </w:t>
      </w:r>
      <w:proofErr w:type="gramStart"/>
      <w:r w:rsidRPr="005E1C69">
        <w:t>Department (</w:t>
      </w:r>
      <w:r>
        <w:t>‘</w:t>
      </w:r>
      <w:proofErr w:type="gramEnd"/>
      <w:r w:rsidRPr="005E1C69">
        <w:t>HFD</w:t>
      </w:r>
      <w:r>
        <w:t>’</w:t>
      </w:r>
      <w:r w:rsidRPr="005E1C69">
        <w:t>) truck driven by Engineer/Operator Wilhelm Schmidt responded to a dispatch for a dumpster fire at an apartment complex. En route, the fire truck collided with a car driven by Chelsea Manning at the intersection of Ludington Drive and Fondren Road. Also in Manning's car were three minor passengers.</w:t>
      </w:r>
    </w:p>
    <w:p w14:paraId="49455F5F" w14:textId="77777777" w:rsidR="003E41BB" w:rsidRDefault="003E41BB" w:rsidP="003E41BB">
      <w:pPr>
        <w:ind w:left="720"/>
      </w:pPr>
      <w:r>
        <w:t>***</w:t>
      </w:r>
    </w:p>
    <w:p w14:paraId="0568A4F8" w14:textId="77777777" w:rsidR="003E41BB" w:rsidRDefault="003E41BB" w:rsidP="003E41BB">
      <w:pPr>
        <w:ind w:left="720"/>
      </w:pPr>
      <w:r w:rsidRPr="004F2DF7">
        <w:t xml:space="preserve">Under section 546.001, the operator of an emergency vehicle may proceed past a red or stop signal or stop sign, after slowing as necessary for safe operation. Id. § 546.001(2). Such an operator may also exceed a maximum speed limit, except as provided by an ordinance adopted under section 545.365, </w:t>
      </w:r>
      <w:proofErr w:type="gramStart"/>
      <w:r w:rsidRPr="004F2DF7">
        <w:t>as long as</w:t>
      </w:r>
      <w:proofErr w:type="gramEnd"/>
      <w:r w:rsidRPr="004F2DF7">
        <w:t xml:space="preserve"> the operator does not endanger life or property. Id. § 546.001(3)</w:t>
      </w:r>
      <w:r>
        <w:t xml:space="preserve">…. </w:t>
      </w:r>
    </w:p>
    <w:p w14:paraId="1A8D6F53" w14:textId="77777777" w:rsidR="003E41BB" w:rsidRDefault="003E41BB" w:rsidP="003E41BB">
      <w:pPr>
        <w:ind w:left="720"/>
      </w:pPr>
      <w:r w:rsidRPr="007E7142">
        <w:t>It is also evidence from which a reasonable juror could infer that Schmidt's excessive speed endangered life or property. Based on this evidence, a factfinder could reasonably conclude that Schmidt (1) drove above the speed limit endangering life or property, (2) did not slow his speed as necessary for safe operation of the vehicle, and (3) proceeded against a red light.</w:t>
      </w:r>
    </w:p>
    <w:p w14:paraId="3EF48397" w14:textId="77777777" w:rsidR="003E41BB" w:rsidRDefault="003E41BB" w:rsidP="003E41BB">
      <w:pPr>
        <w:ind w:left="720"/>
      </w:pPr>
      <w:r>
        <w:t>***</w:t>
      </w:r>
    </w:p>
    <w:p w14:paraId="456919C9" w14:textId="77777777" w:rsidR="003E41BB" w:rsidRDefault="003E41BB" w:rsidP="003E41BB">
      <w:pPr>
        <w:pStyle w:val="NoSpacing"/>
        <w:ind w:left="720"/>
      </w:pPr>
      <w:r w:rsidRPr="00920FF6">
        <w:t xml:space="preserve">Captain Hill introduced a new fact with the City's second summary-judgment motion that was not presented in the first appeal. He explained that the fire truck was fitted with an </w:t>
      </w:r>
      <w:r>
        <w:t>‘</w:t>
      </w:r>
      <w:r w:rsidRPr="00920FF6">
        <w:t>Opticom transmitter</w:t>
      </w:r>
      <w:r>
        <w:t>’</w:t>
      </w:r>
      <w:r w:rsidRPr="00920FF6">
        <w:t xml:space="preserve"> that automatically activated when the emergency lights were turned on. </w:t>
      </w:r>
      <w:r>
        <w:t xml:space="preserve"> </w:t>
      </w:r>
      <w:r w:rsidRPr="00920FF6">
        <w:t xml:space="preserve">An Opticom transmitter </w:t>
      </w:r>
      <w:r>
        <w:t>‘</w:t>
      </w:r>
      <w:r w:rsidRPr="00920FF6">
        <w:t>grants the apparatus a temporary right of way by turning their traffic light green, and the others red.</w:t>
      </w:r>
      <w:r>
        <w:t>’</w:t>
      </w:r>
      <w:r w:rsidRPr="00920FF6">
        <w:t xml:space="preserve"> Captain Hill could tell that the Opticom transmitter was working because traffic lights in their path changed to green as they drove to the scene. Based on the Opticom transmitter's operation, Captain Hill opined that, even if Schmidt did not slow down as he approached the intersection, he still acted in good faith because </w:t>
      </w:r>
      <w:r>
        <w:t>‘</w:t>
      </w:r>
      <w:r w:rsidRPr="00920FF6">
        <w:t>the Opticom transmitter was operating and turned our light green as we approached, so we did not have to slow down for a red traffic signal.</w:t>
      </w:r>
      <w:r>
        <w:t>’</w:t>
      </w:r>
      <w:r w:rsidRPr="00920FF6">
        <w:t xml:space="preserve"> Captain Hill added that the fire truck's emergency lights were activated the entire time, and they blew the airhorn as they approached each intersection, including the one at Fondren and Ludington.</w:t>
      </w:r>
      <w:r>
        <w:t xml:space="preserve"> </w:t>
      </w:r>
      <w:r w:rsidRPr="00134CE7">
        <w:t>There is no evidence, however, that the traffic signals for Schmidt and Manning could have been green at the same time. Captain Hill testified that, when the Opticom transmitter activates a green signal for an approaching fire truck, the signals for other traffic are changed to red.</w:t>
      </w:r>
      <w:r>
        <w:t xml:space="preserve">” </w:t>
      </w:r>
    </w:p>
    <w:p w14:paraId="6C0F1D5E" w14:textId="77777777" w:rsidR="003E41BB" w:rsidRDefault="003E41BB" w:rsidP="003E41BB">
      <w:pPr>
        <w:rPr>
          <w:b/>
          <w:bCs/>
        </w:rPr>
      </w:pPr>
    </w:p>
    <w:p w14:paraId="1AE687D3" w14:textId="3EEDCA8F" w:rsidR="003E41BB" w:rsidRDefault="003E41BB" w:rsidP="003E41BB">
      <w:pPr>
        <w:rPr>
          <w:b/>
          <w:bCs/>
        </w:rPr>
      </w:pPr>
      <w:r>
        <w:rPr>
          <w:b/>
        </w:rPr>
        <w:t xml:space="preserve">Legal lesson learned: The trial court judge was not presented with proof that FAO slowed down entering the intersection, or that the Opticom had timely operated to give FAO a green light.  </w:t>
      </w:r>
    </w:p>
    <w:p w14:paraId="35AAD2A5" w14:textId="77777777" w:rsidR="003E41BB" w:rsidRDefault="003E41BB" w:rsidP="000C62A1">
      <w:pPr>
        <w:pStyle w:val="NoSpacing"/>
        <w:rPr>
          <w:rFonts w:ascii="Arial Black" w:hAnsi="Arial Black"/>
          <w:sz w:val="28"/>
          <w:szCs w:val="28"/>
        </w:rPr>
      </w:pPr>
    </w:p>
    <w:p w14:paraId="481636D7" w14:textId="77777777" w:rsidR="003E41BB" w:rsidRDefault="003E41BB" w:rsidP="000C62A1">
      <w:pPr>
        <w:pStyle w:val="NoSpacing"/>
        <w:rPr>
          <w:rFonts w:ascii="Arial Black" w:hAnsi="Arial Black"/>
          <w:sz w:val="28"/>
          <w:szCs w:val="28"/>
        </w:rPr>
      </w:pPr>
    </w:p>
    <w:p w14:paraId="72877E0D" w14:textId="77777777" w:rsidR="003E41BB" w:rsidRDefault="003E41BB" w:rsidP="000C62A1">
      <w:pPr>
        <w:pStyle w:val="NoSpacing"/>
        <w:rPr>
          <w:rFonts w:ascii="Arial Black" w:hAnsi="Arial Black"/>
          <w:sz w:val="28"/>
          <w:szCs w:val="28"/>
        </w:rPr>
      </w:pPr>
    </w:p>
    <w:p w14:paraId="1CE9B9BF" w14:textId="23AF963E" w:rsidR="003E41BB" w:rsidRDefault="003E41BB" w:rsidP="000C62A1">
      <w:pPr>
        <w:pStyle w:val="NoSpacing"/>
        <w:rPr>
          <w:rFonts w:ascii="Arial Black" w:hAnsi="Arial Black"/>
          <w:sz w:val="28"/>
          <w:szCs w:val="28"/>
        </w:rPr>
      </w:pPr>
      <w:r>
        <w:rPr>
          <w:rFonts w:ascii="Arial Black" w:hAnsi="Arial Black"/>
          <w:sz w:val="28"/>
          <w:szCs w:val="28"/>
        </w:rPr>
        <w:t>5-56</w:t>
      </w:r>
    </w:p>
    <w:p w14:paraId="63C19777" w14:textId="77777777" w:rsidR="003E41BB" w:rsidRDefault="003E41BB" w:rsidP="000C62A1">
      <w:pPr>
        <w:pStyle w:val="NoSpacing"/>
        <w:rPr>
          <w:rFonts w:ascii="Arial Black" w:hAnsi="Arial Black"/>
          <w:sz w:val="28"/>
          <w:szCs w:val="28"/>
        </w:rPr>
      </w:pPr>
    </w:p>
    <w:p w14:paraId="5D4A0353" w14:textId="77777777" w:rsidR="00CC56F9" w:rsidRPr="00491816" w:rsidRDefault="00CC56F9" w:rsidP="00CC56F9">
      <w:pPr>
        <w:pStyle w:val="NoSpacing"/>
        <w:rPr>
          <w:rFonts w:ascii="Arial Black" w:hAnsi="Arial Black"/>
          <w:sz w:val="28"/>
          <w:szCs w:val="28"/>
        </w:rPr>
      </w:pPr>
      <w:r>
        <w:rPr>
          <w:rFonts w:ascii="Arial Black" w:hAnsi="Arial Black"/>
          <w:sz w:val="28"/>
          <w:szCs w:val="28"/>
        </w:rPr>
        <w:t>TX: ENGINE – HIT CAR PULLING TO RIGHT – NO IMMUNITY</w:t>
      </w:r>
    </w:p>
    <w:p w14:paraId="7B6E6123" w14:textId="77777777" w:rsidR="00CC56F9" w:rsidRDefault="00CC56F9" w:rsidP="00CC56F9">
      <w:pPr>
        <w:pStyle w:val="NoSpacing"/>
      </w:pPr>
    </w:p>
    <w:p w14:paraId="549181B0" w14:textId="77777777" w:rsidR="00CC56F9" w:rsidRDefault="00CC56F9" w:rsidP="00CC56F9">
      <w:r>
        <w:t xml:space="preserve">On November 4, 2025, in </w:t>
      </w:r>
      <w:r w:rsidRPr="00B75D1D">
        <w:rPr>
          <w:u w:val="single"/>
        </w:rPr>
        <w:t>City of Houston</w:t>
      </w:r>
      <w:r>
        <w:rPr>
          <w:u w:val="single"/>
        </w:rPr>
        <w:t>, et al.</w:t>
      </w:r>
      <w:r w:rsidRPr="00B75D1D">
        <w:rPr>
          <w:u w:val="single"/>
        </w:rPr>
        <w:t xml:space="preserve"> v. Myauna Wright</w:t>
      </w:r>
      <w:r>
        <w:t xml:space="preserve">, the </w:t>
      </w:r>
      <w:r w:rsidRPr="00B75D1D">
        <w:t>Court of Appeals of Texas, Houston (1st Dist.)</w:t>
      </w:r>
      <w:r>
        <w:t xml:space="preserve"> held (3 to 0) that trial court judge properly denied the City’s motion to dismiss under the Texas </w:t>
      </w:r>
      <w:r w:rsidRPr="00305726">
        <w:t>doctrine of official immunity.</w:t>
      </w:r>
      <w:r>
        <w:t xml:space="preserve">  The plaintiff’s vehicle was struck by the engine on August 25, 2022.   THE COURT WROTE: “Wright sued the </w:t>
      </w:r>
      <w:proofErr w:type="gramStart"/>
      <w:r>
        <w:t>City</w:t>
      </w:r>
      <w:proofErr w:type="gramEnd"/>
      <w:r>
        <w:t xml:space="preserve"> and … [FAO] S. Obando, for damages arising from a collision between a City of Houston fire engine and her vehicle…. Wright’s pleading does not establish that Obando is entitled to official immunity because she alleged that he acted with reckless disregard, which would </w:t>
      </w:r>
      <w:r w:rsidRPr="00875355">
        <w:t xml:space="preserve">negate good </w:t>
      </w:r>
      <w:proofErr w:type="gramStart"/>
      <w:r w:rsidRPr="00875355">
        <w:t>faith.</w:t>
      </w:r>
      <w:r>
        <w:t>”</w:t>
      </w:r>
      <w:proofErr w:type="gramEnd"/>
      <w:r>
        <w:t xml:space="preserve"> </w:t>
      </w:r>
      <w:hyperlink r:id="rId974" w:history="1">
        <w:r w:rsidRPr="005B3B90">
          <w:rPr>
            <w:rStyle w:val="Hyperlink"/>
          </w:rPr>
          <w:t>https://cases.justia.com/texas/first-court-of-appeals/2025-01-24-00936-cv.pdf?ts=1762265344</w:t>
        </w:r>
      </w:hyperlink>
      <w:r>
        <w:t xml:space="preserve"> </w:t>
      </w:r>
    </w:p>
    <w:p w14:paraId="6D290E15" w14:textId="77777777" w:rsidR="00CC56F9" w:rsidRDefault="00CC56F9" w:rsidP="00CC56F9">
      <w:r>
        <w:t>THE COURT HELD:</w:t>
      </w:r>
    </w:p>
    <w:p w14:paraId="5B0E30F7" w14:textId="77777777" w:rsidR="00CC56F9" w:rsidRDefault="00CC56F9" w:rsidP="00CC56F9">
      <w:pPr>
        <w:pStyle w:val="NoSpacing"/>
        <w:ind w:left="720"/>
      </w:pPr>
      <w:r>
        <w:t xml:space="preserve">“Wright’s pleading does not establish that Obando is entitled to official immunity because she alleged that he acted with reckless disregard, which would  negate good faith. Moreover, in its </w:t>
      </w:r>
      <w:proofErr w:type="gramStart"/>
      <w:r>
        <w:t>reply brief</w:t>
      </w:r>
      <w:proofErr w:type="gramEnd"/>
      <w:r>
        <w:t xml:space="preserve">, the </w:t>
      </w:r>
      <w:proofErr w:type="gramStart"/>
      <w:r>
        <w:t>City</w:t>
      </w:r>
      <w:proofErr w:type="gramEnd"/>
      <w:r>
        <w:t xml:space="preserve"> conceded that Wright had no burden to plead facts to overcome the driver’s assertion of official immunity. Because Wright’s pleading alleges that the fire engine driver’s breach of a duty of care caused her </w:t>
      </w:r>
      <w:proofErr w:type="gramStart"/>
      <w:r>
        <w:t>damages</w:t>
      </w:r>
      <w:proofErr w:type="gramEnd"/>
      <w:r>
        <w:t>, we conclude that she alleged a waiver of immunity under the TTCA [</w:t>
      </w:r>
      <w:r w:rsidRPr="006B192D">
        <w:t>Texas Tort Claims Act</w:t>
      </w:r>
      <w:r>
        <w:t>], subject to the statutory exceptions, which we consider next. See TEX. CIV. PRAC. &amp; REM. CODE § 101.021(1).</w:t>
      </w:r>
    </w:p>
    <w:p w14:paraId="4A795EF4" w14:textId="77777777" w:rsidR="00CC56F9" w:rsidRDefault="00CC56F9" w:rsidP="00CC56F9">
      <w:pPr>
        <w:pStyle w:val="NoSpacing"/>
        <w:ind w:left="720"/>
      </w:pPr>
    </w:p>
    <w:p w14:paraId="2D3C8DB5" w14:textId="77777777" w:rsidR="00CC56F9" w:rsidRDefault="00CC56F9" w:rsidP="00CC56F9">
      <w:pPr>
        <w:pStyle w:val="NoSpacing"/>
        <w:ind w:left="720"/>
      </w:pPr>
      <w:r>
        <w:t>***</w:t>
      </w:r>
    </w:p>
    <w:p w14:paraId="07153525" w14:textId="77777777" w:rsidR="00CC56F9" w:rsidRDefault="00CC56F9" w:rsidP="00CC56F9">
      <w:pPr>
        <w:pStyle w:val="NoSpacing"/>
        <w:ind w:left="720"/>
      </w:pPr>
      <w:r>
        <w:t>A governmental employee is entitled to official immunity: (1) for the performance of discretionary duties; (2) within the scope of the employee’s authority; (3) provided the employee acts in good faith.”</w:t>
      </w:r>
    </w:p>
    <w:p w14:paraId="53A47E7E" w14:textId="77777777" w:rsidR="00CC56F9" w:rsidRDefault="00CC56F9" w:rsidP="00CC56F9">
      <w:pPr>
        <w:pStyle w:val="NoSpacing"/>
        <w:ind w:left="720"/>
      </w:pPr>
    </w:p>
    <w:p w14:paraId="68958E7F" w14:textId="77777777" w:rsidR="00CC56F9" w:rsidRDefault="00CC56F9" w:rsidP="00CC56F9">
      <w:pPr>
        <w:pStyle w:val="NoSpacing"/>
        <w:rPr>
          <w:b/>
          <w:bCs/>
        </w:rPr>
      </w:pPr>
      <w:r>
        <w:rPr>
          <w:b/>
        </w:rPr>
        <w:t>Legal lesson learned: Texas has a “good faith” exception to official immunity; many state</w:t>
      </w:r>
      <w:r>
        <w:rPr>
          <w:b/>
          <w:bCs/>
        </w:rPr>
        <w:t>s</w:t>
      </w:r>
      <w:r>
        <w:rPr>
          <w:b/>
        </w:rPr>
        <w:t xml:space="preserve"> </w:t>
      </w:r>
      <w:r w:rsidRPr="006D3B26">
        <w:rPr>
          <w:b/>
        </w:rPr>
        <w:t>use a “</w:t>
      </w:r>
      <w:r w:rsidRPr="008E532E">
        <w:rPr>
          <w:b/>
        </w:rPr>
        <w:t>willful or wanton misconduct</w:t>
      </w:r>
      <w:r w:rsidRPr="006D3B26">
        <w:rPr>
          <w:b/>
        </w:rPr>
        <w:t xml:space="preserve">” or </w:t>
      </w:r>
      <w:r>
        <w:rPr>
          <w:b/>
          <w:bCs/>
        </w:rPr>
        <w:t>si</w:t>
      </w:r>
      <w:r w:rsidRPr="006D3B26">
        <w:rPr>
          <w:b/>
        </w:rPr>
        <w:t>milar standard.</w:t>
      </w:r>
      <w:r>
        <w:t xml:space="preserve"> </w:t>
      </w:r>
    </w:p>
    <w:p w14:paraId="4C889F76" w14:textId="77777777" w:rsidR="00CC56F9" w:rsidRDefault="00CC56F9" w:rsidP="00CC56F9">
      <w:pPr>
        <w:pStyle w:val="NoSpacing"/>
        <w:rPr>
          <w:b/>
          <w:bCs/>
        </w:rPr>
      </w:pPr>
    </w:p>
    <w:p w14:paraId="305A5F57" w14:textId="77777777" w:rsidR="00CC56F9" w:rsidRPr="00B359C0" w:rsidRDefault="00CC56F9" w:rsidP="00CC56F9">
      <w:pPr>
        <w:pStyle w:val="NoSpacing"/>
        <w:ind w:left="720"/>
        <w:rPr>
          <w:b/>
        </w:rPr>
      </w:pPr>
      <w:r>
        <w:t xml:space="preserve">Note: See Ohio Revised Code, </w:t>
      </w:r>
      <w:r w:rsidRPr="00B359C0">
        <w:rPr>
          <w:b/>
        </w:rPr>
        <w:t>Section 2744.02 | Governmental functions and proprietary functions of political subdivisions</w:t>
      </w:r>
      <w:r>
        <w:rPr>
          <w:b/>
        </w:rPr>
        <w:t xml:space="preserve"> </w:t>
      </w:r>
      <w:hyperlink r:id="rId975" w:history="1">
        <w:r w:rsidRPr="009C046C">
          <w:rPr>
            <w:rStyle w:val="Hyperlink"/>
            <w:b/>
          </w:rPr>
          <w:t>https://codes.ohio.gov/ohio-revised-code/section-2744.02</w:t>
        </w:r>
      </w:hyperlink>
      <w:r>
        <w:rPr>
          <w:b/>
        </w:rPr>
        <w:t xml:space="preserve"> </w:t>
      </w:r>
    </w:p>
    <w:p w14:paraId="16084E8C" w14:textId="77777777" w:rsidR="00CC56F9" w:rsidRDefault="00CC56F9" w:rsidP="00CC56F9">
      <w:pPr>
        <w:pStyle w:val="NoSpacing"/>
      </w:pPr>
    </w:p>
    <w:p w14:paraId="57B9FE57" w14:textId="77777777" w:rsidR="00CC56F9" w:rsidRPr="008E532E" w:rsidRDefault="00CC56F9" w:rsidP="00CC56F9">
      <w:pPr>
        <w:pStyle w:val="NoSpacing"/>
        <w:ind w:left="720"/>
      </w:pPr>
      <w:r w:rsidRPr="008E532E">
        <w:t>(1) Except as otherwise provided in this division, political subdivisions are liable for injury, death, or loss to person or property caused by the negligent operation of any motor vehicle by their employees when the employees are engaged within the scope of their employment and authority. The following are full defenses to that liability:</w:t>
      </w:r>
    </w:p>
    <w:p w14:paraId="155F3343" w14:textId="77777777" w:rsidR="00CC56F9" w:rsidRPr="008E532E" w:rsidRDefault="00CC56F9" w:rsidP="00CC56F9">
      <w:pPr>
        <w:pStyle w:val="NoSpacing"/>
        <w:ind w:left="720"/>
      </w:pPr>
      <w:r w:rsidRPr="008E532E">
        <w:t>(a) A member of a municipal corporation police department or any other police agency was operating a motor vehicle while responding to an emergency call and the operation of the vehicle did not constitute willful or wanton misconduct;</w:t>
      </w:r>
    </w:p>
    <w:p w14:paraId="003E5B26" w14:textId="77777777" w:rsidR="00CC56F9" w:rsidRPr="008E532E" w:rsidRDefault="00CC56F9" w:rsidP="00CC56F9">
      <w:pPr>
        <w:pStyle w:val="NoSpacing"/>
        <w:ind w:left="720"/>
      </w:pPr>
      <w:r w:rsidRPr="008E532E">
        <w:t>(b) A member of a municipal corporation fire department or any other firefighting agency was operating a motor vehicle while engaged in duty at a fire, proceeding toward a place where a fire is in progress or is believed to be in progress, or answering any other emergency alarm and the operation of the vehicle did not constitute willful or wanton misconduct</w:t>
      </w:r>
      <w:r>
        <w:t>….</w:t>
      </w:r>
    </w:p>
    <w:p w14:paraId="733B710E" w14:textId="77777777" w:rsidR="00CC56F9" w:rsidRPr="000E4B43" w:rsidRDefault="00CC56F9" w:rsidP="00CC56F9">
      <w:pPr>
        <w:pStyle w:val="NoSpacing"/>
      </w:pPr>
    </w:p>
    <w:p w14:paraId="4A6D2564" w14:textId="77777777" w:rsidR="00CC56F9" w:rsidRDefault="00CC56F9" w:rsidP="00CC56F9">
      <w:pPr>
        <w:pStyle w:val="NoSpacing"/>
      </w:pPr>
    </w:p>
    <w:p w14:paraId="1A84374B" w14:textId="77777777" w:rsidR="00CC56F9" w:rsidRDefault="00CC56F9" w:rsidP="000C62A1">
      <w:pPr>
        <w:pStyle w:val="NoSpacing"/>
        <w:rPr>
          <w:rFonts w:ascii="Arial Black" w:hAnsi="Arial Black"/>
          <w:sz w:val="28"/>
          <w:szCs w:val="28"/>
        </w:rPr>
      </w:pPr>
    </w:p>
    <w:p w14:paraId="6C2B0064" w14:textId="77777777" w:rsidR="003E41BB" w:rsidRDefault="003E41BB" w:rsidP="000C62A1">
      <w:pPr>
        <w:pStyle w:val="NoSpacing"/>
        <w:rPr>
          <w:rFonts w:ascii="Arial Black" w:hAnsi="Arial Black"/>
          <w:sz w:val="28"/>
          <w:szCs w:val="28"/>
        </w:rPr>
      </w:pPr>
    </w:p>
    <w:p w14:paraId="207E2160" w14:textId="14DC8D72" w:rsidR="0096096B" w:rsidRDefault="0096096B" w:rsidP="000C62A1">
      <w:pPr>
        <w:pStyle w:val="NoSpacing"/>
        <w:rPr>
          <w:rFonts w:ascii="Arial Black" w:hAnsi="Arial Black"/>
          <w:sz w:val="28"/>
          <w:szCs w:val="28"/>
        </w:rPr>
      </w:pPr>
      <w:r>
        <w:rPr>
          <w:rFonts w:ascii="Arial Black" w:hAnsi="Arial Black"/>
          <w:sz w:val="28"/>
          <w:szCs w:val="28"/>
        </w:rPr>
        <w:t>5-55</w:t>
      </w:r>
    </w:p>
    <w:p w14:paraId="7261FFD7" w14:textId="77777777" w:rsidR="00547BA3" w:rsidRDefault="00547BA3" w:rsidP="0096096B">
      <w:pPr>
        <w:pStyle w:val="NoSpacing"/>
        <w:rPr>
          <w:rFonts w:ascii="Arial Black" w:hAnsi="Arial Black"/>
          <w:sz w:val="28"/>
          <w:szCs w:val="28"/>
        </w:rPr>
      </w:pPr>
    </w:p>
    <w:p w14:paraId="509BBFA5" w14:textId="705B1C85" w:rsidR="0096096B" w:rsidRPr="00457206" w:rsidRDefault="0096096B" w:rsidP="0096096B">
      <w:pPr>
        <w:pStyle w:val="NoSpacing"/>
        <w:rPr>
          <w:rFonts w:ascii="Arial Black" w:hAnsi="Arial Black"/>
          <w:sz w:val="28"/>
          <w:szCs w:val="28"/>
        </w:rPr>
      </w:pPr>
      <w:r>
        <w:rPr>
          <w:rFonts w:ascii="Arial Black" w:hAnsi="Arial Black"/>
          <w:sz w:val="28"/>
          <w:szCs w:val="28"/>
        </w:rPr>
        <w:t xml:space="preserve">LA: DRUNK HITS ENGINE – FD GETS VALUE / PLUS $50,000 </w:t>
      </w:r>
    </w:p>
    <w:p w14:paraId="021406F8" w14:textId="77777777" w:rsidR="0096096B" w:rsidRDefault="0096096B" w:rsidP="0096096B">
      <w:pPr>
        <w:pStyle w:val="NoSpacing"/>
        <w:ind w:left="720"/>
      </w:pPr>
    </w:p>
    <w:p w14:paraId="555C0C65" w14:textId="77777777" w:rsidR="0096096B" w:rsidRPr="00496071" w:rsidRDefault="0096096B" w:rsidP="0096096B">
      <w:pPr>
        <w:pStyle w:val="NoSpacing"/>
      </w:pPr>
      <w:r>
        <w:t xml:space="preserve">On Oct. 29, 2025, in </w:t>
      </w:r>
      <w:r w:rsidRPr="00296094">
        <w:rPr>
          <w:u w:val="single"/>
        </w:rPr>
        <w:t>Lafayette City-Parish Consolidated Government v. Tripple T Enterprises, Inc., and Nathan Allen Martin</w:t>
      </w:r>
      <w:r>
        <w:t xml:space="preserve">, the Court of Appeal of Louisiana, Third Circuit held (3 to 0) that the trial court judge, after a bench trial, properly awarded “exemplary” (punitive) damages of $50,000 for destruction of the Lafayette Fire Department’s 1994 Pierce engine, plus its cash value ($12,500) and loss of use damages while </w:t>
      </w:r>
      <w:proofErr w:type="gramStart"/>
      <w:r>
        <w:t>awaiting</w:t>
      </w:r>
      <w:proofErr w:type="gramEnd"/>
      <w:r>
        <w:t xml:space="preserve"> for new engine ($131,175).  Punitive damages were proper even though the plaintiff government suffered no physical or mental injuries; under LA, “injuries” include destruction or loss of use of property. </w:t>
      </w:r>
      <w:hyperlink r:id="rId976" w:history="1">
        <w:r w:rsidRPr="00281F77">
          <w:rPr>
            <w:rStyle w:val="Hyperlink"/>
          </w:rPr>
          <w:t>https://cases.justia.com/louisiana/third-circuit-court-of-appeal/2025-ca-0025-0267.pdf?ts=1761751417</w:t>
        </w:r>
      </w:hyperlink>
      <w:r>
        <w:t xml:space="preserve"> </w:t>
      </w:r>
    </w:p>
    <w:p w14:paraId="4754504A" w14:textId="77777777" w:rsidR="0096096B" w:rsidRDefault="0096096B" w:rsidP="0096096B">
      <w:pPr>
        <w:pStyle w:val="NoSpacing"/>
        <w:ind w:left="720"/>
      </w:pPr>
    </w:p>
    <w:p w14:paraId="08991050" w14:textId="77777777" w:rsidR="0096096B" w:rsidRDefault="0096096B" w:rsidP="0096096B">
      <w:pPr>
        <w:pStyle w:val="NoSpacing"/>
      </w:pPr>
      <w:r>
        <w:t xml:space="preserve">THE COURT HELD: </w:t>
      </w:r>
    </w:p>
    <w:p w14:paraId="73136FFA" w14:textId="77777777" w:rsidR="0096096B" w:rsidRDefault="0096096B" w:rsidP="0096096B">
      <w:pPr>
        <w:pStyle w:val="NoSpacing"/>
        <w:ind w:left="720"/>
      </w:pPr>
    </w:p>
    <w:p w14:paraId="4BBBBC63" w14:textId="77777777" w:rsidR="0096096B" w:rsidRDefault="0096096B" w:rsidP="0096096B">
      <w:pPr>
        <w:pStyle w:val="NoSpacing"/>
        <w:ind w:firstLine="720"/>
      </w:pPr>
      <w:r>
        <w:t>“Nathan Allen Martin was driving an 18-wheeler for his employer, Triple T,</w:t>
      </w:r>
    </w:p>
    <w:p w14:paraId="7C36F176" w14:textId="77777777" w:rsidR="0096096B" w:rsidRDefault="0096096B" w:rsidP="0096096B">
      <w:pPr>
        <w:pStyle w:val="NoSpacing"/>
        <w:ind w:left="720"/>
      </w:pPr>
      <w:r>
        <w:t>while intoxicated and using an electronic device. Martin was hauling a fully loaded flat-bed trailer. Meanwhile, a nearby Lafayette Fire Department firetruck was responding to a major automobile crash. The firetruck stopped on an overpass with its emergency lights activated. Martin proceeded to crash head-on into the firetruck. A firefighter was injured from jumping off the overpass to avoid being struck by Martin. His claims were settled. The firetruck was a total loss.</w:t>
      </w:r>
    </w:p>
    <w:p w14:paraId="62DA315A" w14:textId="77777777" w:rsidR="0096096B" w:rsidRDefault="0096096B" w:rsidP="0096096B">
      <w:pPr>
        <w:pStyle w:val="NoSpacing"/>
      </w:pPr>
    </w:p>
    <w:p w14:paraId="67A442B4" w14:textId="77777777" w:rsidR="0096096B" w:rsidRDefault="0096096B" w:rsidP="0096096B">
      <w:pPr>
        <w:pStyle w:val="NoSpacing"/>
        <w:ind w:firstLine="720"/>
      </w:pPr>
      <w:r>
        <w:t>At the scene of the wreck, responding officers witnessed Martin slurring his</w:t>
      </w:r>
    </w:p>
    <w:p w14:paraId="239FDAA5" w14:textId="77777777" w:rsidR="0096096B" w:rsidRDefault="0096096B" w:rsidP="0096096B">
      <w:pPr>
        <w:pStyle w:val="NoSpacing"/>
        <w:ind w:firstLine="720"/>
      </w:pPr>
      <w:r>
        <w:t>words and displaying a lack of balance. He smelled of alcohol. The officers</w:t>
      </w:r>
    </w:p>
    <w:p w14:paraId="4693AAF5" w14:textId="77777777" w:rsidR="0096096B" w:rsidRDefault="0096096B" w:rsidP="0096096B">
      <w:pPr>
        <w:pStyle w:val="NoSpacing"/>
        <w:ind w:left="720"/>
      </w:pPr>
      <w:r>
        <w:t>discovered an open whiskey bottle on the ground near the 18-wheeler, and an opened beer can with condensation inside the cab of the vehicle. Martin’s blood alcohol test showed a level of 0.11 percent, well over the 0.04 percent limit for operators of commercial motor carriers under the Federal Motor Carrier Act.</w:t>
      </w:r>
    </w:p>
    <w:p w14:paraId="2A1249A1" w14:textId="77777777" w:rsidR="0096096B" w:rsidRDefault="0096096B" w:rsidP="0096096B">
      <w:pPr>
        <w:pStyle w:val="NoSpacing"/>
      </w:pPr>
    </w:p>
    <w:p w14:paraId="1A9F6A0D" w14:textId="77777777" w:rsidR="0096096B" w:rsidRDefault="0096096B" w:rsidP="0096096B">
      <w:pPr>
        <w:pStyle w:val="NoSpacing"/>
        <w:ind w:firstLine="720"/>
      </w:pPr>
      <w:r>
        <w:t>The firetruck was a 1994 Pierce pumper truck used as a spare pumper truck</w:t>
      </w:r>
    </w:p>
    <w:p w14:paraId="70B42FEA" w14:textId="77777777" w:rsidR="0096096B" w:rsidRDefault="0096096B" w:rsidP="0096096B">
      <w:pPr>
        <w:pStyle w:val="NoSpacing"/>
        <w:ind w:firstLine="720"/>
      </w:pPr>
      <w:r>
        <w:t>for the fire department’s fleet if other trucks went offline. Employees of the fire</w:t>
      </w:r>
    </w:p>
    <w:p w14:paraId="4B9F10E1" w14:textId="77777777" w:rsidR="0096096B" w:rsidRDefault="0096096B" w:rsidP="0096096B">
      <w:pPr>
        <w:pStyle w:val="NoSpacing"/>
        <w:ind w:left="720"/>
      </w:pPr>
      <w:r>
        <w:t>department and city testified that although the cost of rental for a similar truck would have been $275 per day, the department was unwilling to accept the risk associated with leasing or buying a used replacement vehicle.</w:t>
      </w:r>
    </w:p>
    <w:p w14:paraId="30575EBB" w14:textId="77777777" w:rsidR="0096096B" w:rsidRDefault="0096096B" w:rsidP="0096096B">
      <w:pPr>
        <w:pStyle w:val="NoSpacing"/>
        <w:ind w:left="720"/>
      </w:pPr>
    </w:p>
    <w:p w14:paraId="22DA015B" w14:textId="77777777" w:rsidR="0096096B" w:rsidRDefault="0096096B" w:rsidP="0096096B">
      <w:pPr>
        <w:pStyle w:val="NoSpacing"/>
        <w:ind w:left="720"/>
      </w:pPr>
      <w:r>
        <w:t>***</w:t>
      </w:r>
    </w:p>
    <w:p w14:paraId="2072B63C" w14:textId="77777777" w:rsidR="0096096B" w:rsidRDefault="0096096B" w:rsidP="0096096B">
      <w:pPr>
        <w:pStyle w:val="NoSpacing"/>
        <w:ind w:left="720"/>
      </w:pPr>
    </w:p>
    <w:p w14:paraId="6BC5DBC9" w14:textId="77777777" w:rsidR="0096096B" w:rsidRDefault="0096096B" w:rsidP="0096096B">
      <w:pPr>
        <w:pStyle w:val="NoSpacing"/>
      </w:pPr>
      <w:r>
        <w:tab/>
      </w:r>
      <w:r>
        <w:tab/>
      </w:r>
      <w:r w:rsidRPr="00133DBA">
        <w:t>Louisiana Civil Code Article 2315.4 states, in pertinent part:</w:t>
      </w:r>
    </w:p>
    <w:p w14:paraId="208D8C82" w14:textId="77777777" w:rsidR="0096096B" w:rsidRDefault="0096096B" w:rsidP="0096096B">
      <w:pPr>
        <w:pStyle w:val="NoSpacing"/>
        <w:ind w:left="720" w:firstLine="720"/>
      </w:pPr>
      <w:proofErr w:type="gramStart"/>
      <w:r>
        <w:t>exemplary</w:t>
      </w:r>
      <w:proofErr w:type="gramEnd"/>
      <w:r>
        <w:t xml:space="preserve"> damages may be awarded upon proof that the injuries on</w:t>
      </w:r>
    </w:p>
    <w:p w14:paraId="71540CA6" w14:textId="77777777" w:rsidR="0096096B" w:rsidRDefault="0096096B" w:rsidP="0096096B">
      <w:pPr>
        <w:pStyle w:val="NoSpacing"/>
        <w:ind w:left="720" w:firstLine="720"/>
      </w:pPr>
      <w:r>
        <w:t>which the action is based were caused by a wanton or reckless disregard</w:t>
      </w:r>
    </w:p>
    <w:p w14:paraId="407629B3" w14:textId="77777777" w:rsidR="0096096B" w:rsidRDefault="0096096B" w:rsidP="0096096B">
      <w:pPr>
        <w:pStyle w:val="NoSpacing"/>
        <w:ind w:left="720" w:firstLine="720"/>
      </w:pPr>
      <w:r>
        <w:t>for the rights and safety of others by a defendant whose intoxication</w:t>
      </w:r>
    </w:p>
    <w:p w14:paraId="102A995D" w14:textId="77777777" w:rsidR="0096096B" w:rsidRDefault="0096096B" w:rsidP="0096096B">
      <w:pPr>
        <w:pStyle w:val="NoSpacing"/>
        <w:ind w:left="720" w:firstLine="720"/>
      </w:pPr>
      <w:r>
        <w:t>while operating a motor vehicle was a cause in fact of the resulting</w:t>
      </w:r>
    </w:p>
    <w:p w14:paraId="4D4A3663" w14:textId="77777777" w:rsidR="0096096B" w:rsidRDefault="0096096B" w:rsidP="0096096B">
      <w:pPr>
        <w:pStyle w:val="NoSpacing"/>
        <w:ind w:left="1440"/>
      </w:pPr>
      <w:r>
        <w:t>injuries.</w:t>
      </w:r>
    </w:p>
    <w:p w14:paraId="3315573F" w14:textId="77777777" w:rsidR="0096096B" w:rsidRDefault="0096096B" w:rsidP="0096096B">
      <w:pPr>
        <w:pStyle w:val="NoSpacing"/>
        <w:ind w:left="1440"/>
      </w:pPr>
    </w:p>
    <w:p w14:paraId="54C0D936" w14:textId="77777777" w:rsidR="0096096B" w:rsidRDefault="0096096B" w:rsidP="0096096B">
      <w:pPr>
        <w:pStyle w:val="NoSpacing"/>
        <w:ind w:left="720"/>
      </w:pPr>
      <w:r>
        <w:t>***</w:t>
      </w:r>
    </w:p>
    <w:p w14:paraId="0559D7D8" w14:textId="77777777" w:rsidR="0096096B" w:rsidRDefault="0096096B" w:rsidP="0096096B">
      <w:pPr>
        <w:pStyle w:val="NoSpacing"/>
        <w:ind w:left="1440"/>
      </w:pPr>
    </w:p>
    <w:p w14:paraId="62BA2A2C" w14:textId="77777777" w:rsidR="0096096B" w:rsidRDefault="0096096B" w:rsidP="0096096B">
      <w:pPr>
        <w:pStyle w:val="NoSpacing"/>
        <w:ind w:left="720"/>
      </w:pPr>
      <w:r>
        <w:t>The defendants claim that ‘injuries’ are limited to physical and mental injuries and are unavailable in a case with only property and loss of use damages…. We adopt the reasoning of the fourth circuit that the term ‘injuries’ is sufficiently broad to include damages from the destruction or loss of use of property.</w:t>
      </w:r>
    </w:p>
    <w:p w14:paraId="1AF0B660" w14:textId="77777777" w:rsidR="0096096B" w:rsidRDefault="0096096B" w:rsidP="0096096B">
      <w:pPr>
        <w:pStyle w:val="NoSpacing"/>
        <w:ind w:left="720"/>
      </w:pPr>
    </w:p>
    <w:p w14:paraId="1F9132EE" w14:textId="77777777" w:rsidR="0096096B" w:rsidRDefault="0096096B" w:rsidP="0096096B">
      <w:pPr>
        <w:pStyle w:val="NoSpacing"/>
        <w:ind w:left="720"/>
      </w:pPr>
      <w:r>
        <w:t>***</w:t>
      </w:r>
    </w:p>
    <w:p w14:paraId="205B94D4" w14:textId="77777777" w:rsidR="0096096B" w:rsidRDefault="0096096B" w:rsidP="0096096B">
      <w:pPr>
        <w:pStyle w:val="NoSpacing"/>
        <w:ind w:left="720"/>
      </w:pPr>
      <w:r>
        <w:t>The trial court has much discretion in fixing the amount of an exemplary</w:t>
      </w:r>
    </w:p>
    <w:p w14:paraId="74693D9D" w14:textId="77777777" w:rsidR="0096096B" w:rsidRDefault="0096096B" w:rsidP="0096096B">
      <w:pPr>
        <w:pStyle w:val="NoSpacing"/>
        <w:ind w:left="720"/>
      </w:pPr>
      <w:r>
        <w:t>damage award…. Martin’s conduct was particularly egregious in this case. Not only was he operating a vehicle while over the legal blood alcohol limit, but his vehicle was a loaded 18-wheeler. Its size and weight presented a greater threat than most vehicles. Martin was also on an electronic device. Considering all of this, we cannot say that the trial court’s award for exemplary damages was abusively high in this case.”</w:t>
      </w:r>
    </w:p>
    <w:p w14:paraId="046D9D82" w14:textId="77777777" w:rsidR="0096096B" w:rsidRDefault="0096096B" w:rsidP="0096096B">
      <w:pPr>
        <w:pStyle w:val="NoSpacing"/>
        <w:ind w:left="1440"/>
      </w:pPr>
    </w:p>
    <w:p w14:paraId="7C40463C" w14:textId="77777777" w:rsidR="0096096B" w:rsidRDefault="0096096B" w:rsidP="0096096B">
      <w:pPr>
        <w:pStyle w:val="NoSpacing"/>
        <w:rPr>
          <w:b/>
          <w:bCs/>
        </w:rPr>
      </w:pPr>
      <w:r w:rsidRPr="00DB52C3">
        <w:rPr>
          <w:b/>
        </w:rPr>
        <w:t>Legal lesson learned: Punitive damages are designed to punish</w:t>
      </w:r>
      <w:r>
        <w:rPr>
          <w:b/>
        </w:rPr>
        <w:t xml:space="preserve"> drunk</w:t>
      </w:r>
      <w:r w:rsidRPr="00DB52C3">
        <w:rPr>
          <w:b/>
        </w:rPr>
        <w:t xml:space="preserve"> drivers for </w:t>
      </w:r>
      <w:r>
        <w:rPr>
          <w:b/>
        </w:rPr>
        <w:t>“</w:t>
      </w:r>
      <w:r w:rsidRPr="00DB52C3">
        <w:rPr>
          <w:b/>
        </w:rPr>
        <w:t>wanton or reckless disregard for the rights and safety of others</w:t>
      </w:r>
      <w:r>
        <w:rPr>
          <w:b/>
        </w:rPr>
        <w:t>.”</w:t>
      </w:r>
    </w:p>
    <w:p w14:paraId="0671A38B" w14:textId="77777777" w:rsidR="0096096B" w:rsidRDefault="0096096B" w:rsidP="000C62A1">
      <w:pPr>
        <w:pStyle w:val="NoSpacing"/>
        <w:rPr>
          <w:rFonts w:ascii="Arial Black" w:hAnsi="Arial Black"/>
          <w:sz w:val="28"/>
          <w:szCs w:val="28"/>
        </w:rPr>
      </w:pPr>
    </w:p>
    <w:p w14:paraId="27B4A078" w14:textId="77777777" w:rsidR="007B0FFF" w:rsidRDefault="007B0FFF" w:rsidP="000C62A1">
      <w:pPr>
        <w:pStyle w:val="NoSpacing"/>
        <w:rPr>
          <w:rFonts w:ascii="Arial Black" w:hAnsi="Arial Black"/>
          <w:sz w:val="28"/>
          <w:szCs w:val="28"/>
        </w:rPr>
      </w:pPr>
    </w:p>
    <w:p w14:paraId="6C769C4F" w14:textId="1591A71A" w:rsidR="007B0FFF" w:rsidRDefault="007B0FFF" w:rsidP="000C62A1">
      <w:pPr>
        <w:pStyle w:val="NoSpacing"/>
        <w:rPr>
          <w:rFonts w:ascii="Arial Black" w:hAnsi="Arial Black"/>
          <w:sz w:val="28"/>
          <w:szCs w:val="28"/>
        </w:rPr>
      </w:pPr>
      <w:r>
        <w:rPr>
          <w:rFonts w:ascii="Arial Black" w:hAnsi="Arial Black"/>
          <w:sz w:val="28"/>
          <w:szCs w:val="28"/>
        </w:rPr>
        <w:t>5-54</w:t>
      </w:r>
    </w:p>
    <w:p w14:paraId="79710F41" w14:textId="77777777" w:rsidR="007B0FFF" w:rsidRDefault="007B0FFF" w:rsidP="000C62A1">
      <w:pPr>
        <w:pStyle w:val="NoSpacing"/>
        <w:rPr>
          <w:rFonts w:ascii="Arial Black" w:hAnsi="Arial Black"/>
          <w:sz w:val="28"/>
          <w:szCs w:val="28"/>
        </w:rPr>
      </w:pPr>
    </w:p>
    <w:p w14:paraId="2CDA4D6C" w14:textId="748A8259" w:rsidR="007B0FFF" w:rsidRPr="006D18C8" w:rsidRDefault="007B0FFF" w:rsidP="007B0FFF">
      <w:pPr>
        <w:pStyle w:val="NoSpacing"/>
        <w:rPr>
          <w:rFonts w:ascii="Arial Black" w:hAnsi="Arial Black"/>
          <w:bCs/>
          <w:sz w:val="28"/>
          <w:szCs w:val="28"/>
        </w:rPr>
      </w:pPr>
      <w:r>
        <w:rPr>
          <w:rFonts w:ascii="Arial Black" w:hAnsi="Arial Black"/>
          <w:sz w:val="28"/>
          <w:szCs w:val="28"/>
        </w:rPr>
        <w:t>VA: RESCUE 1 – DISP</w:t>
      </w:r>
      <w:r w:rsidR="00F47375">
        <w:rPr>
          <w:rFonts w:ascii="Arial Black" w:hAnsi="Arial Black"/>
          <w:sz w:val="28"/>
          <w:szCs w:val="28"/>
        </w:rPr>
        <w:t xml:space="preserve"> / </w:t>
      </w:r>
      <w:r>
        <w:rPr>
          <w:rFonts w:ascii="Arial Black" w:hAnsi="Arial Black"/>
          <w:sz w:val="28"/>
          <w:szCs w:val="28"/>
        </w:rPr>
        <w:t xml:space="preserve">EMER </w:t>
      </w:r>
      <w:r w:rsidR="00F47375">
        <w:rPr>
          <w:rFonts w:ascii="Arial Black" w:hAnsi="Arial Black"/>
          <w:sz w:val="28"/>
          <w:szCs w:val="28"/>
        </w:rPr>
        <w:t xml:space="preserve">OVER </w:t>
      </w:r>
      <w:r w:rsidR="002824DF">
        <w:rPr>
          <w:rFonts w:ascii="Arial Black" w:hAnsi="Arial Black"/>
          <w:sz w:val="28"/>
          <w:szCs w:val="28"/>
        </w:rPr>
        <w:t>–</w:t>
      </w:r>
      <w:r>
        <w:rPr>
          <w:rFonts w:ascii="Arial Black" w:hAnsi="Arial Black"/>
          <w:sz w:val="28"/>
          <w:szCs w:val="28"/>
        </w:rPr>
        <w:t xml:space="preserve"> </w:t>
      </w:r>
      <w:r w:rsidR="002824DF">
        <w:rPr>
          <w:rFonts w:ascii="Arial Black" w:hAnsi="Arial Black"/>
          <w:sz w:val="28"/>
          <w:szCs w:val="28"/>
        </w:rPr>
        <w:t xml:space="preserve">CONT. EMER. – JURY </w:t>
      </w:r>
      <w:r>
        <w:rPr>
          <w:rFonts w:ascii="Arial Black" w:hAnsi="Arial Black"/>
          <w:sz w:val="28"/>
          <w:szCs w:val="28"/>
        </w:rPr>
        <w:t>$500,000</w:t>
      </w:r>
    </w:p>
    <w:p w14:paraId="4DD8FA35" w14:textId="77777777" w:rsidR="007B0FFF" w:rsidRDefault="007B0FFF" w:rsidP="007B0FFF">
      <w:pPr>
        <w:pStyle w:val="NoSpacing"/>
        <w:rPr>
          <w:bCs/>
        </w:rPr>
      </w:pPr>
    </w:p>
    <w:p w14:paraId="18039228" w14:textId="77777777" w:rsidR="007B0FFF" w:rsidRDefault="007B0FFF" w:rsidP="007B0FFF">
      <w:pPr>
        <w:pStyle w:val="NoSpacing"/>
        <w:rPr>
          <w:b/>
        </w:rPr>
      </w:pPr>
      <w:r>
        <w:t xml:space="preserve">On Oct. 21, </w:t>
      </w:r>
      <w:proofErr w:type="gramStart"/>
      <w:r>
        <w:t>2025</w:t>
      </w:r>
      <w:proofErr w:type="gramEnd"/>
      <w:r>
        <w:t xml:space="preserve"> in </w:t>
      </w:r>
      <w:r w:rsidRPr="00BC24EC">
        <w:rPr>
          <w:u w:val="single"/>
        </w:rPr>
        <w:t>James Lee v. Jason Carr</w:t>
      </w:r>
      <w:r>
        <w:t xml:space="preserve"> the </w:t>
      </w:r>
      <w:r w:rsidRPr="00E1635E">
        <w:t>Court of Appeals of Virginia</w:t>
      </w:r>
      <w:r>
        <w:t xml:space="preserve"> held (2 to 1; unpublished decision) the Court </w:t>
      </w:r>
      <w:r w:rsidRPr="00F22EA8">
        <w:t>remand</w:t>
      </w:r>
      <w:r>
        <w:t>ed</w:t>
      </w:r>
      <w:r w:rsidRPr="00F22EA8">
        <w:t xml:space="preserve"> the case for a new trial limited</w:t>
      </w:r>
      <w:r>
        <w:t xml:space="preserve"> to the </w:t>
      </w:r>
      <w:proofErr w:type="gramStart"/>
      <w:r>
        <w:t>amount</w:t>
      </w:r>
      <w:proofErr w:type="gramEnd"/>
      <w:r>
        <w:t xml:space="preserve"> of damages; the finding of “gross negligence” by first jury remains against driver of Recue 1, City of Newport News. The trial court judge after jury verdict and award of $500,000, set aside the finding of “gross negligence” and the punitive damages.  Rescue 1 was responding to a motor vehicle accident in a tunnel, but Dispatch advised that “</w:t>
      </w:r>
      <w:r w:rsidRPr="00BE09B2">
        <w:t>the vehicles</w:t>
      </w:r>
      <w:r>
        <w:t xml:space="preserve"> </w:t>
      </w:r>
      <w:r w:rsidRPr="00BE09B2">
        <w:t>had been cleared in the tunnel and there was no longer an emergency situation</w:t>
      </w:r>
      <w:r>
        <w:t>.</w:t>
      </w:r>
      <w:r w:rsidRPr="00BE09B2">
        <w:t>”</w:t>
      </w:r>
      <w:r>
        <w:t xml:space="preserve">  Firefighter Carr heard the dispatch, slowed down, but continued with lights and siren.  He entered the intersection westbound u</w:t>
      </w:r>
      <w:r w:rsidRPr="00423587">
        <w:t>nable to determine</w:t>
      </w:r>
      <w:r>
        <w:t xml:space="preserve"> </w:t>
      </w:r>
      <w:r w:rsidRPr="00423587">
        <w:t>whether he had a red light because of the sun</w:t>
      </w:r>
      <w:r>
        <w:t xml:space="preserve">, and his view of southbound traffic was obstructed by a house.  On board Captain did not order Carr to go non-emergency.  City may appeal to Virginia Supreme Court – see dissenting opinion. </w:t>
      </w:r>
      <w:hyperlink r:id="rId977" w:history="1">
        <w:r w:rsidRPr="00D23E57">
          <w:rPr>
            <w:rStyle w:val="Hyperlink"/>
            <w:b/>
          </w:rPr>
          <w:t>https://cases.justia.com/virginia/court-of-appeals-unpublished/2025-0990-24-1.pdf?ts=1761062926</w:t>
        </w:r>
      </w:hyperlink>
      <w:r>
        <w:rPr>
          <w:b/>
        </w:rPr>
        <w:t xml:space="preserve"> </w:t>
      </w:r>
    </w:p>
    <w:p w14:paraId="5C0AC645" w14:textId="77777777" w:rsidR="007B0FFF" w:rsidRDefault="007B0FFF" w:rsidP="007B0FFF">
      <w:pPr>
        <w:pStyle w:val="NoSpacing"/>
        <w:rPr>
          <w:b/>
        </w:rPr>
      </w:pPr>
    </w:p>
    <w:p w14:paraId="246538AF" w14:textId="77777777" w:rsidR="007B0FFF" w:rsidRDefault="007B0FFF" w:rsidP="007B0FFF">
      <w:pPr>
        <w:pStyle w:val="NoSpacing"/>
      </w:pPr>
      <w:r>
        <w:t xml:space="preserve">  </w:t>
      </w:r>
    </w:p>
    <w:p w14:paraId="5A3C4F77" w14:textId="77777777" w:rsidR="007B0FFF" w:rsidRPr="003C445E" w:rsidRDefault="007B0FFF" w:rsidP="007B0FFF">
      <w:pPr>
        <w:pStyle w:val="NoSpacing"/>
        <w:rPr>
          <w:bCs/>
        </w:rPr>
      </w:pPr>
      <w:r>
        <w:t xml:space="preserve">THE COURT HELD: </w:t>
      </w:r>
    </w:p>
    <w:p w14:paraId="56C1636B" w14:textId="77777777" w:rsidR="007B0FFF" w:rsidRPr="003C445E" w:rsidRDefault="007B0FFF" w:rsidP="007B0FFF">
      <w:pPr>
        <w:pStyle w:val="NoSpacing"/>
        <w:rPr>
          <w:bCs/>
        </w:rPr>
      </w:pPr>
    </w:p>
    <w:p w14:paraId="540FDBE2" w14:textId="77777777" w:rsidR="007B0FFF" w:rsidRDefault="007B0FFF" w:rsidP="007B0FFF">
      <w:pPr>
        <w:pStyle w:val="NoSpacing"/>
        <w:ind w:left="720"/>
      </w:pPr>
      <w:r>
        <w:t>“This case arises from a motor vehicle accident at the traffic light-controlled intersection of 16th Street and Ivy Avenue in the City of Newport News. At the time of the accident, Carr was driving a fire department rescue truck (Rescue 1) westbound on 16th Street toward the scene of a motor vehicle accident in the Monitor-Merrimac Bridge-Tunnel. As he approached the intersection, Carr’s view of southbound traffic on Ivy Avenue was obstructed by a house. Unable to determine whether he had a red light because of the sun, Carr drove Rescue 1 into the intersection and collided with Lee’s vehicle, which had been traveling southbound on Ivy Avenue.</w:t>
      </w:r>
    </w:p>
    <w:p w14:paraId="7F734909" w14:textId="77777777" w:rsidR="007B0FFF" w:rsidRDefault="007B0FFF" w:rsidP="007B0FFF">
      <w:pPr>
        <w:pStyle w:val="NoSpacing"/>
        <w:ind w:left="720"/>
      </w:pPr>
    </w:p>
    <w:p w14:paraId="04C5D99B" w14:textId="77777777" w:rsidR="007B0FFF" w:rsidRDefault="007B0FFF" w:rsidP="007B0FFF">
      <w:pPr>
        <w:pStyle w:val="NoSpacing"/>
        <w:ind w:left="720"/>
      </w:pPr>
      <w:r>
        <w:t>***</w:t>
      </w:r>
    </w:p>
    <w:p w14:paraId="3539C230" w14:textId="77777777" w:rsidR="007B0FFF" w:rsidRDefault="007B0FFF" w:rsidP="007B0FFF">
      <w:pPr>
        <w:pStyle w:val="NoSpacing"/>
        <w:ind w:left="720"/>
      </w:pPr>
      <w:r>
        <w:t xml:space="preserve">At trial, Lee played a silent video recording of the accident. Police officer Brandon Holden went to the scene of the accident and testified that the posted speed limit in that area was 25 miles per hour. Based on his review of the video recording and his own measurements, Officer Holden estimated that Rescue 1 travelled 110 feet in about 1.9 seconds (approximately 39 miles per hour) before </w:t>
      </w:r>
      <w:proofErr w:type="gramStart"/>
      <w:r>
        <w:t>braking</w:t>
      </w:r>
      <w:proofErr w:type="gramEnd"/>
      <w:r>
        <w:t xml:space="preserve"> in the intersection crosswalk.</w:t>
      </w:r>
    </w:p>
    <w:p w14:paraId="03DB6BBB" w14:textId="77777777" w:rsidR="007B0FFF" w:rsidRDefault="007B0FFF" w:rsidP="007B0FFF">
      <w:pPr>
        <w:pStyle w:val="NoSpacing"/>
        <w:ind w:left="720"/>
      </w:pPr>
    </w:p>
    <w:p w14:paraId="13C09291" w14:textId="77777777" w:rsidR="007B0FFF" w:rsidRDefault="007B0FFF" w:rsidP="007B0FFF">
      <w:pPr>
        <w:pStyle w:val="NoSpacing"/>
        <w:ind w:left="720"/>
      </w:pPr>
      <w:r>
        <w:t>***</w:t>
      </w:r>
    </w:p>
    <w:p w14:paraId="5DC38FE7" w14:textId="77777777" w:rsidR="007B0FFF" w:rsidRDefault="007B0FFF" w:rsidP="007B0FFF">
      <w:pPr>
        <w:pStyle w:val="NoSpacing"/>
        <w:ind w:left="720"/>
      </w:pPr>
    </w:p>
    <w:p w14:paraId="327478D8" w14:textId="77777777" w:rsidR="007B0FFF" w:rsidRDefault="007B0FFF" w:rsidP="007B0FFF">
      <w:pPr>
        <w:pStyle w:val="NoSpacing"/>
        <w:ind w:firstLine="720"/>
      </w:pPr>
      <w:r>
        <w:t>Carr admitted that he told ‘the police officer’ that ‘the only reason’ he would have gone to</w:t>
      </w:r>
    </w:p>
    <w:p w14:paraId="394CCDD6" w14:textId="77777777" w:rsidR="007B0FFF" w:rsidRDefault="007B0FFF" w:rsidP="007B0FFF">
      <w:pPr>
        <w:pStyle w:val="NoSpacing"/>
        <w:ind w:left="720"/>
      </w:pPr>
      <w:proofErr w:type="gramStart"/>
      <w:r>
        <w:t>the</w:t>
      </w:r>
      <w:proofErr w:type="gramEnd"/>
      <w:r>
        <w:t xml:space="preserve"> tunnel ‘was if people [were] in the tunnel.’ He acknowledged that he had been informed before the accident that ‘the vehicles were no longer in the tunnel,’ so he expected to ‘get turn[ed] around.’ Footnote 5:</w:t>
      </w:r>
    </w:p>
    <w:p w14:paraId="52815CA3" w14:textId="77777777" w:rsidR="007B0FFF" w:rsidRDefault="007B0FFF" w:rsidP="007B0FFF">
      <w:pPr>
        <w:pStyle w:val="NoSpacing"/>
      </w:pPr>
    </w:p>
    <w:p w14:paraId="47CBC782" w14:textId="77777777" w:rsidR="007B0FFF" w:rsidRDefault="007B0FFF" w:rsidP="007B0FFF">
      <w:pPr>
        <w:pStyle w:val="NoSpacing"/>
        <w:ind w:left="1440"/>
      </w:pPr>
      <w:r>
        <w:t xml:space="preserve">Carr testified that he had to respond to the scene of the tunnel accident until someone from the police or fire department arrived at the scene and confirmed that there was ‘nothing wrong.’ According to Carr, </w:t>
      </w:r>
      <w:proofErr w:type="gramStart"/>
      <w:r>
        <w:t>Rescue</w:t>
      </w:r>
      <w:proofErr w:type="gramEnd"/>
      <w:r>
        <w:t xml:space="preserve"> 1’s tools may have been necessary even if the vehicles had been moved out of the tunnel.</w:t>
      </w:r>
    </w:p>
    <w:p w14:paraId="6FB1AE73" w14:textId="77777777" w:rsidR="007B0FFF" w:rsidRDefault="007B0FFF" w:rsidP="007B0FFF">
      <w:pPr>
        <w:pStyle w:val="NoSpacing"/>
        <w:ind w:left="1440"/>
      </w:pPr>
    </w:p>
    <w:p w14:paraId="0E7E6505" w14:textId="77777777" w:rsidR="007B0FFF" w:rsidRDefault="007B0FFF" w:rsidP="007B0FFF">
      <w:pPr>
        <w:pStyle w:val="NoSpacing"/>
        <w:ind w:left="720"/>
      </w:pPr>
      <w:r>
        <w:t>***</w:t>
      </w:r>
    </w:p>
    <w:p w14:paraId="21F63261" w14:textId="77777777" w:rsidR="007B0FFF" w:rsidRDefault="007B0FFF" w:rsidP="007B0FFF">
      <w:pPr>
        <w:pStyle w:val="NoSpacing"/>
      </w:pPr>
    </w:p>
    <w:p w14:paraId="7CF78A9A" w14:textId="77777777" w:rsidR="007B0FFF" w:rsidRDefault="007B0FFF" w:rsidP="007B0FFF">
      <w:pPr>
        <w:pStyle w:val="NoSpacing"/>
        <w:ind w:left="720"/>
      </w:pPr>
      <w:r>
        <w:t xml:space="preserve">The question of whether Carr exercised any care was a factual one for the jury and credible evidence supports its verdict. In best light to Lee, Carr sped the </w:t>
      </w:r>
      <w:proofErr w:type="gramStart"/>
      <w:r>
        <w:t>54,000 pound</w:t>
      </w:r>
      <w:proofErr w:type="gramEnd"/>
      <w:r>
        <w:t xml:space="preserve"> firetruck into an intersection without even knowing whether the light was red or green—or whether any vehicle was in its path. According to Lee, there was no siren—and the video supports the jury’s view that there was no effort to brake upon entering the intersection (or at any meaningful time before imminent contact). The trial court </w:t>
      </w:r>
      <w:proofErr w:type="gramStart"/>
      <w:r>
        <w:t>erred</w:t>
      </w:r>
      <w:proofErr w:type="gramEnd"/>
      <w:r>
        <w:t xml:space="preserve"> by usurping the jury’s judgment because the evidence failed to conclusively establish that Carr took any care to prevent Lee’s accident. In short, the trial court relied on its findings of fact rather than the findings of fact made by the jury. In doing so, it erred. Accordingly, we reinstate the jury’s verdict on liability…. As explained below, however, we must still vacate the jury’s award of damages and remand for a new trial on that issue.”</w:t>
      </w:r>
    </w:p>
    <w:p w14:paraId="3F8D2E35" w14:textId="77777777" w:rsidR="007B0FFF" w:rsidRDefault="007B0FFF" w:rsidP="007B0FFF">
      <w:pPr>
        <w:pStyle w:val="NoSpacing"/>
        <w:ind w:left="720"/>
      </w:pPr>
    </w:p>
    <w:p w14:paraId="26326F43" w14:textId="77777777" w:rsidR="007B0FFF" w:rsidRDefault="007B0FFF" w:rsidP="007B0FFF">
      <w:pPr>
        <w:pStyle w:val="NoSpacing"/>
        <w:rPr>
          <w:bCs/>
        </w:rPr>
      </w:pPr>
      <w:r>
        <w:t xml:space="preserve">DISSENT (Judge </w:t>
      </w:r>
      <w:r w:rsidRPr="003C2F21">
        <w:t>Mary Janipher Malveaux)</w:t>
      </w:r>
    </w:p>
    <w:p w14:paraId="77E3262B" w14:textId="77777777" w:rsidR="007B0FFF" w:rsidRDefault="007B0FFF" w:rsidP="007B0FFF">
      <w:pPr>
        <w:pStyle w:val="NoSpacing"/>
        <w:rPr>
          <w:bCs/>
        </w:rPr>
      </w:pPr>
    </w:p>
    <w:p w14:paraId="603C2EBD" w14:textId="77777777" w:rsidR="007B0FFF" w:rsidRPr="00770F67" w:rsidRDefault="007B0FFF" w:rsidP="007B0FFF">
      <w:pPr>
        <w:pStyle w:val="NoSpacing"/>
        <w:rPr>
          <w:bCs/>
        </w:rPr>
      </w:pPr>
      <w:r>
        <w:tab/>
        <w:t>“</w:t>
      </w:r>
      <w:r w:rsidRPr="00770F67">
        <w:t>But as the majority correctly recognizes, the evidence that Carr had activated</w:t>
      </w:r>
    </w:p>
    <w:p w14:paraId="7FD9F0E2" w14:textId="77777777" w:rsidR="007B0FFF" w:rsidRDefault="007B0FFF" w:rsidP="007B0FFF">
      <w:pPr>
        <w:pStyle w:val="NoSpacing"/>
        <w:ind w:left="720"/>
      </w:pPr>
      <w:r w:rsidRPr="00770F67">
        <w:t xml:space="preserve">Rescue 1’s lights </w:t>
      </w:r>
      <w:proofErr w:type="gramStart"/>
      <w:r w:rsidRPr="00770F67">
        <w:t>was</w:t>
      </w:r>
      <w:proofErr w:type="gramEnd"/>
      <w:r w:rsidRPr="00770F67">
        <w:t xml:space="preserve"> uncontroverted.</w:t>
      </w:r>
      <w:r>
        <w:t xml:space="preserve"> </w:t>
      </w:r>
      <w:r w:rsidRPr="00770F67">
        <w:t>And in Virginia, uncontroverted evidence that Carr</w:t>
      </w:r>
      <w:r>
        <w:t xml:space="preserve"> </w:t>
      </w:r>
      <w:r w:rsidRPr="00770F67">
        <w:t xml:space="preserve">exercised </w:t>
      </w:r>
      <w:r>
        <w:t>‘</w:t>
      </w:r>
      <w:r w:rsidRPr="00770F67">
        <w:t>some degree of care</w:t>
      </w:r>
      <w:r>
        <w:t>’</w:t>
      </w:r>
      <w:r w:rsidRPr="00770F67">
        <w:t xml:space="preserve"> is adequate to defeat Lee’s gross negligence claim.</w:t>
      </w:r>
      <w:r>
        <w:t>”</w:t>
      </w:r>
    </w:p>
    <w:p w14:paraId="66FB0157" w14:textId="77777777" w:rsidR="007B0FFF" w:rsidRDefault="007B0FFF" w:rsidP="007B0FFF">
      <w:pPr>
        <w:pStyle w:val="NoSpacing"/>
        <w:ind w:left="720"/>
      </w:pPr>
    </w:p>
    <w:p w14:paraId="466F4E88" w14:textId="77777777" w:rsidR="007B0FFF" w:rsidRPr="00C46342" w:rsidRDefault="007B0FFF" w:rsidP="007B0FFF">
      <w:pPr>
        <w:pStyle w:val="NoSpacing"/>
        <w:rPr>
          <w:b/>
          <w:bCs/>
        </w:rPr>
      </w:pPr>
      <w:r w:rsidRPr="00C46342">
        <w:rPr>
          <w:b/>
        </w:rPr>
        <w:t xml:space="preserve">Legal lesson learned:  When dispatch advises - “the vehicles had been cleared in the tunnel and there was no longer an emergency situation” – only proceed non-emergency. </w:t>
      </w:r>
    </w:p>
    <w:p w14:paraId="37248EC6" w14:textId="77777777" w:rsidR="007B0FFF" w:rsidRPr="00DB52C3" w:rsidRDefault="007B0FFF" w:rsidP="007B0FFF">
      <w:pPr>
        <w:pStyle w:val="NoSpacing"/>
        <w:rPr>
          <w:b/>
          <w:bCs/>
        </w:rPr>
      </w:pPr>
    </w:p>
    <w:p w14:paraId="53F30381" w14:textId="77777777" w:rsidR="007B0FFF" w:rsidRDefault="007B0FFF" w:rsidP="000C62A1">
      <w:pPr>
        <w:pStyle w:val="NoSpacing"/>
        <w:rPr>
          <w:rFonts w:ascii="Arial Black" w:hAnsi="Arial Black"/>
          <w:sz w:val="28"/>
          <w:szCs w:val="28"/>
        </w:rPr>
      </w:pPr>
    </w:p>
    <w:p w14:paraId="39695791" w14:textId="77777777" w:rsidR="0096096B" w:rsidRDefault="0096096B" w:rsidP="000C62A1">
      <w:pPr>
        <w:pStyle w:val="NoSpacing"/>
        <w:rPr>
          <w:rFonts w:ascii="Arial Black" w:hAnsi="Arial Black"/>
          <w:sz w:val="28"/>
          <w:szCs w:val="28"/>
        </w:rPr>
      </w:pPr>
    </w:p>
    <w:p w14:paraId="598798E9" w14:textId="77777777" w:rsidR="0096096B" w:rsidRDefault="0096096B" w:rsidP="000C62A1">
      <w:pPr>
        <w:pStyle w:val="NoSpacing"/>
        <w:rPr>
          <w:rFonts w:ascii="Arial Black" w:hAnsi="Arial Black"/>
          <w:sz w:val="28"/>
          <w:szCs w:val="28"/>
        </w:rPr>
      </w:pPr>
    </w:p>
    <w:p w14:paraId="3AEA1F7C" w14:textId="19512866" w:rsidR="003B3DED" w:rsidRDefault="003B3DED" w:rsidP="000C62A1">
      <w:pPr>
        <w:pStyle w:val="NoSpacing"/>
        <w:rPr>
          <w:rFonts w:ascii="Arial Black" w:hAnsi="Arial Black"/>
          <w:sz w:val="28"/>
          <w:szCs w:val="28"/>
        </w:rPr>
      </w:pPr>
      <w:r>
        <w:rPr>
          <w:rFonts w:ascii="Arial Black" w:hAnsi="Arial Black"/>
          <w:sz w:val="28"/>
          <w:szCs w:val="28"/>
        </w:rPr>
        <w:t>5-53</w:t>
      </w:r>
    </w:p>
    <w:p w14:paraId="5BB1827D" w14:textId="77777777" w:rsidR="003B3DED" w:rsidRDefault="003B3DED" w:rsidP="000C62A1">
      <w:pPr>
        <w:pStyle w:val="NoSpacing"/>
        <w:rPr>
          <w:rFonts w:ascii="Arial Black" w:hAnsi="Arial Black"/>
          <w:sz w:val="28"/>
          <w:szCs w:val="28"/>
        </w:rPr>
      </w:pPr>
    </w:p>
    <w:p w14:paraId="127E8422" w14:textId="6EE877A9" w:rsidR="000C62A1" w:rsidRDefault="000C62A1" w:rsidP="000C62A1">
      <w:pPr>
        <w:pStyle w:val="NoSpacing"/>
        <w:rPr>
          <w:rFonts w:ascii="Arial Black" w:hAnsi="Arial Black"/>
          <w:sz w:val="28"/>
          <w:szCs w:val="28"/>
        </w:rPr>
      </w:pPr>
      <w:r>
        <w:rPr>
          <w:rFonts w:ascii="Arial Black" w:hAnsi="Arial Black"/>
          <w:sz w:val="28"/>
          <w:szCs w:val="28"/>
        </w:rPr>
        <w:t xml:space="preserve">TX: AMBUL BACKED </w:t>
      </w:r>
      <w:r w:rsidR="003F3074">
        <w:rPr>
          <w:rFonts w:ascii="Arial Black" w:hAnsi="Arial Black"/>
          <w:sz w:val="28"/>
          <w:szCs w:val="28"/>
        </w:rPr>
        <w:t xml:space="preserve">INTO </w:t>
      </w:r>
      <w:r>
        <w:rPr>
          <w:rFonts w:ascii="Arial Black" w:hAnsi="Arial Black"/>
          <w:sz w:val="28"/>
          <w:szCs w:val="28"/>
        </w:rPr>
        <w:t>CAR – AVOID</w:t>
      </w:r>
      <w:r w:rsidR="00E0376C">
        <w:rPr>
          <w:rFonts w:ascii="Arial Black" w:hAnsi="Arial Black"/>
          <w:sz w:val="28"/>
          <w:szCs w:val="28"/>
        </w:rPr>
        <w:t xml:space="preserve"> </w:t>
      </w:r>
      <w:r>
        <w:rPr>
          <w:rFonts w:ascii="Arial Black" w:hAnsi="Arial Black"/>
          <w:sz w:val="28"/>
          <w:szCs w:val="28"/>
        </w:rPr>
        <w:t>FIRE TRUCKS - IMMUNITY</w:t>
      </w:r>
    </w:p>
    <w:p w14:paraId="1A9FCD04" w14:textId="77777777" w:rsidR="000C62A1" w:rsidRDefault="000C62A1" w:rsidP="000C62A1">
      <w:pPr>
        <w:pStyle w:val="NoSpacing"/>
        <w:rPr>
          <w:rFonts w:ascii="Arial Black" w:hAnsi="Arial Black"/>
          <w:sz w:val="28"/>
          <w:szCs w:val="28"/>
        </w:rPr>
      </w:pPr>
    </w:p>
    <w:p w14:paraId="7F88E2EC" w14:textId="77777777" w:rsidR="000C62A1" w:rsidRPr="00B07EC1" w:rsidRDefault="000C62A1" w:rsidP="000C62A1">
      <w:pPr>
        <w:pStyle w:val="NoSpacing"/>
        <w:rPr>
          <w:rFonts w:ascii="Times New Roman" w:hAnsi="Times New Roman"/>
          <w:sz w:val="24"/>
          <w:szCs w:val="24"/>
        </w:rPr>
      </w:pPr>
      <w:r w:rsidRPr="00B07EC1">
        <w:rPr>
          <w:rFonts w:ascii="Times New Roman" w:hAnsi="Times New Roman"/>
          <w:sz w:val="24"/>
          <w:szCs w:val="24"/>
        </w:rPr>
        <w:t xml:space="preserve">On July 22, 2025, in </w:t>
      </w:r>
      <w:r w:rsidRPr="00B07EC1">
        <w:rPr>
          <w:rFonts w:ascii="Times New Roman" w:hAnsi="Times New Roman"/>
          <w:sz w:val="24"/>
          <w:szCs w:val="24"/>
          <w:u w:val="single"/>
        </w:rPr>
        <w:t xml:space="preserve">City of Houston v. </w:t>
      </w:r>
      <w:proofErr w:type="spellStart"/>
      <w:r w:rsidRPr="00B07EC1">
        <w:rPr>
          <w:rFonts w:ascii="Times New Roman" w:hAnsi="Times New Roman"/>
          <w:sz w:val="24"/>
          <w:szCs w:val="24"/>
          <w:u w:val="single"/>
        </w:rPr>
        <w:t>Maraunjanique</w:t>
      </w:r>
      <w:proofErr w:type="spellEnd"/>
      <w:r w:rsidRPr="00B07EC1">
        <w:rPr>
          <w:rFonts w:ascii="Times New Roman" w:hAnsi="Times New Roman"/>
          <w:sz w:val="24"/>
          <w:szCs w:val="24"/>
          <w:u w:val="single"/>
        </w:rPr>
        <w:t xml:space="preserve"> Smallwood</w:t>
      </w:r>
      <w:r w:rsidRPr="00B07EC1">
        <w:rPr>
          <w:rFonts w:ascii="Times New Roman" w:hAnsi="Times New Roman"/>
          <w:sz w:val="24"/>
          <w:szCs w:val="24"/>
        </w:rPr>
        <w:t xml:space="preserve">, the Court of Appeals of Texas, Fourteenth District held (3 to 0) held that trial court should have granted the City’s motion for summary judgement, under the emergency exception of waiver of immunity under the Texas Torts Claims Act.  The ambulance driver, returning to their station, saw flames coming from a building about seven blocks away – as they went north on two lane road, they had to stop and back up for two fire engines responding to the fire.  They collided with Smallwood’s vehicle behind them.  THE COURT HELD: “We conclude the City established the TTCA’s emergency exception applies to Smallwood’s claims against the City as a matter of law and that Smallwood failed to raise a fact issue as to whether the City’s immunity was waived. *** This evidence established that Moncivais was reacting to </w:t>
      </w:r>
      <w:proofErr w:type="gramStart"/>
      <w:r w:rsidRPr="00B07EC1">
        <w:rPr>
          <w:rFonts w:ascii="Times New Roman" w:hAnsi="Times New Roman"/>
          <w:sz w:val="24"/>
          <w:szCs w:val="24"/>
        </w:rPr>
        <w:t>an emergency situation</w:t>
      </w:r>
      <w:proofErr w:type="gramEnd"/>
      <w:r w:rsidRPr="00B07EC1">
        <w:rPr>
          <w:rFonts w:ascii="Times New Roman" w:hAnsi="Times New Roman"/>
          <w:sz w:val="24"/>
          <w:szCs w:val="24"/>
        </w:rPr>
        <w:t xml:space="preserve"> when he reversed the ambulance and collided with Smallwood.” </w:t>
      </w:r>
      <w:hyperlink r:id="rId978" w:history="1">
        <w:r w:rsidRPr="00B07EC1">
          <w:rPr>
            <w:rStyle w:val="Hyperlink"/>
            <w:rFonts w:ascii="Times New Roman" w:hAnsi="Times New Roman"/>
            <w:sz w:val="24"/>
            <w:szCs w:val="24"/>
          </w:rPr>
          <w:t>https://cases.justia.com/texas/fourteenth-court-of-appeals/2025-14-24-00312-cv.pdf?ts=1753189995</w:t>
        </w:r>
      </w:hyperlink>
      <w:r w:rsidRPr="00B07EC1">
        <w:rPr>
          <w:rFonts w:ascii="Times New Roman" w:hAnsi="Times New Roman"/>
          <w:sz w:val="24"/>
          <w:szCs w:val="24"/>
        </w:rPr>
        <w:t xml:space="preserve"> </w:t>
      </w:r>
    </w:p>
    <w:p w14:paraId="41767B15" w14:textId="77777777" w:rsidR="000C62A1" w:rsidRPr="00B07EC1" w:rsidRDefault="000C62A1" w:rsidP="000C62A1">
      <w:pPr>
        <w:pStyle w:val="NoSpacing"/>
        <w:rPr>
          <w:rFonts w:ascii="Times New Roman" w:hAnsi="Times New Roman"/>
          <w:sz w:val="24"/>
          <w:szCs w:val="24"/>
        </w:rPr>
      </w:pPr>
    </w:p>
    <w:p w14:paraId="70AE720F" w14:textId="77777777" w:rsidR="00B07EC1" w:rsidRDefault="00B07EC1" w:rsidP="00B07EC1">
      <w:pPr>
        <w:pStyle w:val="NoSpacing"/>
        <w:rPr>
          <w:rFonts w:ascii="Times New Roman" w:hAnsi="Times New Roman"/>
          <w:b/>
          <w:sz w:val="24"/>
          <w:szCs w:val="24"/>
        </w:rPr>
      </w:pPr>
      <w:r w:rsidRPr="00B07EC1">
        <w:rPr>
          <w:rFonts w:ascii="Times New Roman" w:hAnsi="Times New Roman"/>
          <w:b/>
          <w:sz w:val="24"/>
          <w:szCs w:val="24"/>
        </w:rPr>
        <w:t>Legal lesson learned:  Immunity statute protects City from liability</w:t>
      </w:r>
      <w:r w:rsidRPr="00B07EC1">
        <w:rPr>
          <w:rFonts w:ascii="Times New Roman" w:hAnsi="Times New Roman"/>
          <w:b/>
          <w:bCs/>
          <w:sz w:val="24"/>
          <w:szCs w:val="24"/>
        </w:rPr>
        <w:t xml:space="preserve"> in </w:t>
      </w:r>
      <w:proofErr w:type="gramStart"/>
      <w:r w:rsidRPr="00B07EC1">
        <w:rPr>
          <w:rFonts w:ascii="Times New Roman" w:hAnsi="Times New Roman"/>
          <w:b/>
          <w:bCs/>
          <w:sz w:val="24"/>
          <w:szCs w:val="24"/>
        </w:rPr>
        <w:t>emergency situation</w:t>
      </w:r>
      <w:proofErr w:type="gramEnd"/>
      <w:r w:rsidRPr="00B07EC1">
        <w:rPr>
          <w:rFonts w:ascii="Times New Roman" w:hAnsi="Times New Roman"/>
          <w:b/>
          <w:sz w:val="24"/>
          <w:szCs w:val="24"/>
        </w:rPr>
        <w:t xml:space="preserve">, even if ambulance did not activate siren or emergency lights. </w:t>
      </w:r>
    </w:p>
    <w:p w14:paraId="24BE3A4F" w14:textId="77777777" w:rsidR="007963B6" w:rsidRDefault="007963B6" w:rsidP="00B07EC1">
      <w:pPr>
        <w:pStyle w:val="NoSpacing"/>
        <w:rPr>
          <w:rFonts w:ascii="Times New Roman" w:hAnsi="Times New Roman"/>
          <w:b/>
          <w:sz w:val="24"/>
          <w:szCs w:val="24"/>
        </w:rPr>
      </w:pPr>
    </w:p>
    <w:p w14:paraId="2B4D71FD" w14:textId="77777777" w:rsidR="007963B6" w:rsidRDefault="007963B6" w:rsidP="00B07EC1">
      <w:pPr>
        <w:pStyle w:val="NoSpacing"/>
        <w:rPr>
          <w:rFonts w:ascii="Times New Roman" w:hAnsi="Times New Roman"/>
          <w:b/>
          <w:sz w:val="24"/>
          <w:szCs w:val="24"/>
        </w:rPr>
      </w:pPr>
    </w:p>
    <w:p w14:paraId="01374262" w14:textId="1B68F8F8" w:rsidR="007963B6" w:rsidRPr="003B3DED" w:rsidRDefault="003B3DED" w:rsidP="00B07EC1">
      <w:pPr>
        <w:pStyle w:val="NoSpacing"/>
        <w:rPr>
          <w:rFonts w:ascii="Arial Black" w:hAnsi="Arial Black"/>
          <w:b/>
          <w:sz w:val="24"/>
          <w:szCs w:val="24"/>
        </w:rPr>
      </w:pPr>
      <w:r w:rsidRPr="003B3DED">
        <w:rPr>
          <w:rFonts w:ascii="Arial Black" w:hAnsi="Arial Black"/>
          <w:b/>
          <w:sz w:val="24"/>
          <w:szCs w:val="24"/>
        </w:rPr>
        <w:t>5-52</w:t>
      </w:r>
    </w:p>
    <w:p w14:paraId="6F6595A6" w14:textId="77777777" w:rsidR="003B3DED" w:rsidRDefault="003B3DED" w:rsidP="00B07EC1">
      <w:pPr>
        <w:pStyle w:val="NoSpacing"/>
        <w:rPr>
          <w:rFonts w:ascii="Times New Roman" w:hAnsi="Times New Roman"/>
          <w:b/>
          <w:sz w:val="24"/>
          <w:szCs w:val="24"/>
        </w:rPr>
      </w:pPr>
    </w:p>
    <w:p w14:paraId="5FB6D64D" w14:textId="77777777" w:rsidR="007963B6" w:rsidRDefault="007963B6" w:rsidP="007963B6">
      <w:pPr>
        <w:rPr>
          <w:rFonts w:ascii="Arial Black" w:hAnsi="Arial Black"/>
          <w:b/>
          <w:sz w:val="28"/>
          <w:szCs w:val="28"/>
        </w:rPr>
      </w:pPr>
      <w:r>
        <w:rPr>
          <w:rFonts w:ascii="Arial Black" w:hAnsi="Arial Black"/>
          <w:b/>
          <w:sz w:val="28"/>
          <w:szCs w:val="28"/>
        </w:rPr>
        <w:t>CO: AMBUL - ICE - AUTOMATIC CHAIN SYSTEM - IMMUNITY</w:t>
      </w:r>
    </w:p>
    <w:p w14:paraId="04483453" w14:textId="77777777" w:rsidR="007963B6" w:rsidRPr="003B3DED" w:rsidRDefault="007963B6" w:rsidP="007963B6">
      <w:pPr>
        <w:rPr>
          <w:rFonts w:ascii="Times New Roman" w:hAnsi="Times New Roman"/>
          <w:sz w:val="24"/>
          <w:szCs w:val="24"/>
        </w:rPr>
      </w:pPr>
      <w:r w:rsidRPr="003B3DED">
        <w:rPr>
          <w:rFonts w:ascii="Times New Roman" w:hAnsi="Times New Roman"/>
          <w:sz w:val="24"/>
          <w:szCs w:val="24"/>
        </w:rPr>
        <w:t xml:space="preserve">On July 3, 2025, in </w:t>
      </w:r>
      <w:r w:rsidRPr="003B3DED">
        <w:rPr>
          <w:rFonts w:ascii="Times New Roman" w:hAnsi="Times New Roman"/>
          <w:sz w:val="24"/>
          <w:szCs w:val="24"/>
          <w:u w:val="single"/>
        </w:rPr>
        <w:t>Jeffrey Malott v. Town of Palisade Fire Department</w:t>
      </w:r>
      <w:r w:rsidRPr="003B3DED">
        <w:rPr>
          <w:rFonts w:ascii="Times New Roman" w:hAnsi="Times New Roman"/>
          <w:b/>
          <w:sz w:val="24"/>
          <w:szCs w:val="24"/>
        </w:rPr>
        <w:t xml:space="preserve">, </w:t>
      </w:r>
      <w:r w:rsidRPr="003B3DED">
        <w:rPr>
          <w:rFonts w:ascii="Times New Roman" w:hAnsi="Times New Roman"/>
          <w:sz w:val="24"/>
          <w:szCs w:val="24"/>
        </w:rPr>
        <w:t xml:space="preserve">the Colorado Court of Appeals, Division IV. Held (3 to 0) that trial court properly dismissed the lawsuit under emergency response provision of the Colorado Governmental Immunity Act [CCIA]; ambulance driver activated the system, no proof it didn’t deploy.  Early on October 28, 2019, firefighter Corey Massey was driving Ambulance 41 </w:t>
      </w:r>
      <w:proofErr w:type="gramStart"/>
      <w:r w:rsidRPr="003B3DED">
        <w:rPr>
          <w:rFonts w:ascii="Times New Roman" w:hAnsi="Times New Roman"/>
          <w:sz w:val="24"/>
          <w:szCs w:val="24"/>
        </w:rPr>
        <w:t>responding</w:t>
      </w:r>
      <w:proofErr w:type="gramEnd"/>
      <w:r w:rsidRPr="003B3DED">
        <w:rPr>
          <w:rFonts w:ascii="Times New Roman" w:hAnsi="Times New Roman"/>
          <w:sz w:val="24"/>
          <w:szCs w:val="24"/>
        </w:rPr>
        <w:t xml:space="preserve"> red lights and siren, eastbound on I-70, for a roll-over accident.  The weather was poor, and the road conditions were icy. The ambulance was acquired in 2018 with automatic chain system that could deploy chains on the ambulance’s tires to help with traction during adverse weather conditions; the first FD vehicle with this system and Massey had never been trained on its use. He drove on the right shoulder, 5 to 10 mph, to pass stopped traffic; deployed the chain system – didn’t hear or fell anything – and slid into the right side of the Plaintiff’s vehicle.  THE COURT HELD: “Malott contends that the CGIA’s waiver of immunity for operation of a motor vehicle is broad and encompasses vehicle maintenance. Specifically, he asserts that the emergency vehicle exception doesn’t even apply here </w:t>
      </w:r>
      <w:proofErr w:type="gramStart"/>
      <w:r w:rsidRPr="003B3DED">
        <w:rPr>
          <w:rFonts w:ascii="Times New Roman" w:hAnsi="Times New Roman"/>
          <w:sz w:val="24"/>
          <w:szCs w:val="24"/>
        </w:rPr>
        <w:t>because</w:t>
      </w:r>
      <w:proofErr w:type="gramEnd"/>
      <w:r w:rsidRPr="003B3DED">
        <w:rPr>
          <w:rFonts w:ascii="Times New Roman" w:hAnsi="Times New Roman"/>
          <w:sz w:val="24"/>
          <w:szCs w:val="24"/>
        </w:rPr>
        <w:t xml:space="preserve"> the Fire Department’s failure to maintain the automatic chain system occurred before any emergency and, therefore, the Fire Department waived its immunity. We disagree…. The legislature created the emergency vehicle exception to immunize public employees from tort liability in situations requiring an immediate response…. Here, Massey was responding properly and lawfully to precisely the type of </w:t>
      </w:r>
      <w:proofErr w:type="gramStart"/>
      <w:r w:rsidRPr="003B3DED">
        <w:rPr>
          <w:rFonts w:ascii="Times New Roman" w:hAnsi="Times New Roman"/>
          <w:sz w:val="24"/>
          <w:szCs w:val="24"/>
        </w:rPr>
        <w:t>emergency situation</w:t>
      </w:r>
      <w:proofErr w:type="gramEnd"/>
      <w:r w:rsidRPr="003B3DED">
        <w:rPr>
          <w:rFonts w:ascii="Times New Roman" w:hAnsi="Times New Roman"/>
          <w:sz w:val="24"/>
          <w:szCs w:val="24"/>
        </w:rPr>
        <w:t xml:space="preserve"> the legislature envisioned when it created the emergency vehicle exception. The district court found that Massey activated Ambulance 41’s lights and sirens, acted with due regard for Malott’s safety, and did not endanger life or property, and that there was no evidence indicating that he was careless when responding to the rollover accident. Massey’s response fits squarely within the CGIA’s requirement that the operator of an emergency vehicle respond to an emergency with the vehicle’s lights and sirens on…. We,  therefore, conclude that because Massey operated Ambulance 41 properly and lawfully while responding to the emergency rollover accident, the emergency vehicle exception applies, and the Fire Department is immune under the CGIA. The district court properly dismissed Malott’s case under C.R.C.P. 12(b)(1).”  </w:t>
      </w:r>
      <w:hyperlink r:id="rId979" w:history="1">
        <w:r w:rsidRPr="003B3DED">
          <w:rPr>
            <w:rStyle w:val="Hyperlink"/>
            <w:rFonts w:ascii="Times New Roman" w:hAnsi="Times New Roman"/>
            <w:sz w:val="24"/>
            <w:szCs w:val="24"/>
          </w:rPr>
          <w:t>https://cases.justia.com/colorado/court-of-appeals/2025-24ca1544.pdf?ts=1751643339</w:t>
        </w:r>
      </w:hyperlink>
      <w:r w:rsidRPr="003B3DED">
        <w:rPr>
          <w:rFonts w:ascii="Times New Roman" w:hAnsi="Times New Roman"/>
          <w:sz w:val="24"/>
          <w:szCs w:val="24"/>
        </w:rPr>
        <w:t xml:space="preserve"> </w:t>
      </w:r>
    </w:p>
    <w:p w14:paraId="157AD64E" w14:textId="77777777" w:rsidR="003B3DED" w:rsidRPr="003B3DED" w:rsidRDefault="003B3DED" w:rsidP="003B3DED">
      <w:pPr>
        <w:pStyle w:val="NoSpacing"/>
        <w:rPr>
          <w:rFonts w:ascii="Times New Roman" w:hAnsi="Times New Roman"/>
          <w:b/>
          <w:bCs/>
          <w:sz w:val="24"/>
          <w:szCs w:val="24"/>
        </w:rPr>
      </w:pPr>
      <w:r w:rsidRPr="003B3DED">
        <w:rPr>
          <w:rFonts w:ascii="Times New Roman" w:hAnsi="Times New Roman"/>
          <w:b/>
          <w:sz w:val="24"/>
          <w:szCs w:val="24"/>
        </w:rPr>
        <w:t xml:space="preserve">Legal lesson learned:  When acquiring an emergency apparatus with an automatic chain system, train your personnel in its operation and establish a documented maintenance program. </w:t>
      </w:r>
    </w:p>
    <w:p w14:paraId="01A98743" w14:textId="77777777" w:rsidR="007963B6" w:rsidRPr="003B3DED" w:rsidRDefault="007963B6" w:rsidP="00B07EC1">
      <w:pPr>
        <w:pStyle w:val="NoSpacing"/>
        <w:rPr>
          <w:rFonts w:ascii="Times New Roman" w:hAnsi="Times New Roman"/>
          <w:b/>
          <w:bCs/>
          <w:sz w:val="24"/>
          <w:szCs w:val="24"/>
        </w:rPr>
      </w:pPr>
    </w:p>
    <w:p w14:paraId="5CB876FB" w14:textId="77777777" w:rsidR="000C62A1" w:rsidRPr="003B3DED" w:rsidRDefault="000C62A1" w:rsidP="00EF1133">
      <w:pPr>
        <w:rPr>
          <w:rFonts w:ascii="Times New Roman" w:hAnsi="Times New Roman"/>
          <w:b/>
          <w:sz w:val="24"/>
          <w:szCs w:val="24"/>
        </w:rPr>
      </w:pPr>
    </w:p>
    <w:p w14:paraId="78313300" w14:textId="77777777" w:rsidR="000C62A1" w:rsidRDefault="000C62A1" w:rsidP="00EF1133">
      <w:pPr>
        <w:rPr>
          <w:rFonts w:ascii="Arial Black" w:hAnsi="Arial Black"/>
          <w:b/>
          <w:sz w:val="24"/>
          <w:szCs w:val="24"/>
        </w:rPr>
      </w:pPr>
    </w:p>
    <w:p w14:paraId="4EC6D80A" w14:textId="57D096AC" w:rsidR="005758F6" w:rsidRDefault="00AE1943" w:rsidP="00EF1133">
      <w:pPr>
        <w:rPr>
          <w:rFonts w:ascii="Arial Black" w:hAnsi="Arial Black"/>
          <w:b/>
          <w:sz w:val="24"/>
          <w:szCs w:val="24"/>
        </w:rPr>
      </w:pPr>
      <w:r>
        <w:rPr>
          <w:rFonts w:ascii="Arial Black" w:hAnsi="Arial Black"/>
          <w:b/>
          <w:sz w:val="24"/>
          <w:szCs w:val="24"/>
        </w:rPr>
        <w:t>5-51</w:t>
      </w:r>
    </w:p>
    <w:p w14:paraId="1A40C989" w14:textId="77777777" w:rsidR="00BD4E9A" w:rsidRDefault="00BD4E9A" w:rsidP="00BD4E9A">
      <w:pPr>
        <w:pStyle w:val="NoSpacing"/>
        <w:rPr>
          <w:rFonts w:ascii="Arial Black" w:hAnsi="Arial Black"/>
          <w:sz w:val="28"/>
          <w:szCs w:val="28"/>
        </w:rPr>
      </w:pPr>
      <w:r>
        <w:rPr>
          <w:rFonts w:ascii="Arial Black" w:hAnsi="Arial Black"/>
          <w:sz w:val="28"/>
          <w:szCs w:val="28"/>
        </w:rPr>
        <w:t>TX: AMBULANCE – TRAFFIC / LEFT SHOULDER  - IMMUNITY</w:t>
      </w:r>
    </w:p>
    <w:p w14:paraId="51EA8BFB" w14:textId="77777777" w:rsidR="00BD4E9A" w:rsidRPr="00BD4E9A" w:rsidRDefault="00BD4E9A" w:rsidP="00BD4E9A">
      <w:pPr>
        <w:rPr>
          <w:rFonts w:ascii="Times New Roman" w:hAnsi="Times New Roman"/>
          <w:bCs/>
          <w:sz w:val="24"/>
          <w:szCs w:val="24"/>
        </w:rPr>
      </w:pPr>
      <w:r w:rsidRPr="00BD4E9A">
        <w:rPr>
          <w:rFonts w:ascii="Times New Roman" w:hAnsi="Times New Roman"/>
          <w:sz w:val="24"/>
          <w:szCs w:val="24"/>
        </w:rPr>
        <w:t xml:space="preserve">On April 24, 2025, in </w:t>
      </w:r>
      <w:r w:rsidRPr="00BD4E9A">
        <w:rPr>
          <w:rFonts w:ascii="Times New Roman" w:hAnsi="Times New Roman"/>
          <w:sz w:val="24"/>
          <w:szCs w:val="24"/>
          <w:u w:val="single"/>
        </w:rPr>
        <w:t xml:space="preserve">City of Houston v. </w:t>
      </w:r>
      <w:proofErr w:type="spellStart"/>
      <w:r w:rsidRPr="00BD4E9A">
        <w:rPr>
          <w:rFonts w:ascii="Times New Roman" w:hAnsi="Times New Roman"/>
          <w:sz w:val="24"/>
          <w:szCs w:val="24"/>
          <w:u w:val="single"/>
        </w:rPr>
        <w:t>Sokmen</w:t>
      </w:r>
      <w:proofErr w:type="spellEnd"/>
      <w:r w:rsidRPr="00BD4E9A">
        <w:rPr>
          <w:rFonts w:ascii="Times New Roman" w:hAnsi="Times New Roman"/>
          <w:sz w:val="24"/>
          <w:szCs w:val="24"/>
          <w:u w:val="single"/>
        </w:rPr>
        <w:t xml:space="preserve"> </w:t>
      </w:r>
      <w:proofErr w:type="spellStart"/>
      <w:r w:rsidRPr="00BD4E9A">
        <w:rPr>
          <w:rFonts w:ascii="Times New Roman" w:hAnsi="Times New Roman"/>
          <w:sz w:val="24"/>
          <w:szCs w:val="24"/>
          <w:u w:val="single"/>
        </w:rPr>
        <w:t>Chour</w:t>
      </w:r>
      <w:r w:rsidRPr="00BD4E9A">
        <w:rPr>
          <w:rFonts w:ascii="Times New Roman" w:hAnsi="Times New Roman"/>
          <w:sz w:val="24"/>
          <w:szCs w:val="24"/>
        </w:rPr>
        <w:t>ng</w:t>
      </w:r>
      <w:proofErr w:type="spellEnd"/>
      <w:r w:rsidRPr="00BD4E9A">
        <w:rPr>
          <w:rFonts w:ascii="Times New Roman" w:hAnsi="Times New Roman"/>
          <w:sz w:val="24"/>
          <w:szCs w:val="24"/>
        </w:rPr>
        <w:t xml:space="preserve">, the Court of Appeals of Texas, Fourteenth District held (3 to 0) that trial court improperly denied the City’s motion to dismiss that case.  The ambulance was transporting a stabbing victim, with red lights and siren, and because of heavy traffic moved to far left shoulder.  A police officer following the ambulance to the hospital observed plaintiff’s vehicle move from left lane into the shoulder area, colliding with the ambulance.  </w:t>
      </w:r>
      <w:hyperlink r:id="rId980" w:history="1">
        <w:r w:rsidRPr="00BD4E9A">
          <w:rPr>
            <w:rStyle w:val="Hyperlink"/>
            <w:rFonts w:ascii="Times New Roman" w:hAnsi="Times New Roman"/>
            <w:sz w:val="24"/>
            <w:szCs w:val="24"/>
          </w:rPr>
          <w:t>https://cases.justia.com/texas/fourteenth-court-of-appeals/2025-14-24-00251-cv.pdf?ts=1745499568</w:t>
        </w:r>
      </w:hyperlink>
      <w:r w:rsidRPr="00BD4E9A">
        <w:rPr>
          <w:rFonts w:ascii="Times New Roman" w:hAnsi="Times New Roman"/>
          <w:sz w:val="24"/>
          <w:szCs w:val="24"/>
        </w:rPr>
        <w:t xml:space="preserve"> </w:t>
      </w:r>
    </w:p>
    <w:p w14:paraId="209BF353" w14:textId="77777777" w:rsidR="00CB79E4" w:rsidRPr="00CB79E4" w:rsidRDefault="00CB79E4" w:rsidP="00CB79E4">
      <w:pPr>
        <w:pStyle w:val="NoSpacing"/>
        <w:rPr>
          <w:rFonts w:ascii="Times New Roman" w:hAnsi="Times New Roman"/>
          <w:b/>
          <w:bCs/>
          <w:sz w:val="24"/>
          <w:szCs w:val="24"/>
        </w:rPr>
      </w:pPr>
      <w:r w:rsidRPr="00CB79E4">
        <w:rPr>
          <w:rFonts w:ascii="Times New Roman" w:hAnsi="Times New Roman"/>
          <w:b/>
          <w:sz w:val="24"/>
          <w:szCs w:val="24"/>
        </w:rPr>
        <w:t xml:space="preserve">Legal Lesson Learned: Passing traffic on the left shoulder requires great care. </w:t>
      </w:r>
    </w:p>
    <w:p w14:paraId="19D28B26" w14:textId="77777777" w:rsidR="00CB79E4" w:rsidRDefault="00CB79E4" w:rsidP="00CB79E4">
      <w:pPr>
        <w:pStyle w:val="NoSpacing"/>
      </w:pPr>
    </w:p>
    <w:p w14:paraId="4285519A" w14:textId="77777777" w:rsidR="00AE1943" w:rsidRDefault="00AE1943" w:rsidP="00EF1133">
      <w:pPr>
        <w:rPr>
          <w:rFonts w:ascii="Arial Black" w:hAnsi="Arial Black"/>
          <w:b/>
          <w:sz w:val="24"/>
          <w:szCs w:val="24"/>
        </w:rPr>
      </w:pPr>
    </w:p>
    <w:p w14:paraId="62592726" w14:textId="4997C52F" w:rsidR="005758F6" w:rsidRDefault="005758F6" w:rsidP="00EF1133">
      <w:pPr>
        <w:rPr>
          <w:rFonts w:ascii="Arial Black" w:hAnsi="Arial Black"/>
          <w:b/>
          <w:sz w:val="24"/>
          <w:szCs w:val="24"/>
        </w:rPr>
      </w:pPr>
      <w:r>
        <w:rPr>
          <w:rFonts w:ascii="Arial Black" w:hAnsi="Arial Black"/>
          <w:b/>
          <w:sz w:val="24"/>
          <w:szCs w:val="24"/>
        </w:rPr>
        <w:t>5-50</w:t>
      </w:r>
    </w:p>
    <w:p w14:paraId="65BC6691" w14:textId="4A21B8D8" w:rsidR="00733BB2" w:rsidRPr="00486E8E" w:rsidRDefault="00733BB2" w:rsidP="00733BB2">
      <w:pPr>
        <w:rPr>
          <w:rFonts w:ascii="Arial Black" w:hAnsi="Arial Black"/>
          <w:bCs/>
          <w:sz w:val="28"/>
          <w:szCs w:val="28"/>
        </w:rPr>
      </w:pPr>
      <w:r>
        <w:rPr>
          <w:rFonts w:ascii="Arial Black" w:hAnsi="Arial Black"/>
          <w:sz w:val="28"/>
          <w:szCs w:val="28"/>
        </w:rPr>
        <w:t>IL: AMBUL</w:t>
      </w:r>
      <w:r w:rsidR="00C12BB0">
        <w:rPr>
          <w:rFonts w:ascii="Arial Black" w:hAnsi="Arial Black"/>
          <w:sz w:val="28"/>
          <w:szCs w:val="28"/>
        </w:rPr>
        <w:t xml:space="preserve"> - LIGHTS &amp; SIREN – DIDN’T </w:t>
      </w:r>
      <w:r>
        <w:rPr>
          <w:rFonts w:ascii="Arial Black" w:hAnsi="Arial Black"/>
          <w:bCs/>
          <w:sz w:val="28"/>
          <w:szCs w:val="28"/>
        </w:rPr>
        <w:t xml:space="preserve">STOP </w:t>
      </w:r>
      <w:r w:rsidR="00C12BB0">
        <w:rPr>
          <w:rFonts w:ascii="Arial Black" w:hAnsi="Arial Black"/>
          <w:bCs/>
          <w:sz w:val="28"/>
          <w:szCs w:val="28"/>
        </w:rPr>
        <w:t xml:space="preserve">AT </w:t>
      </w:r>
      <w:r>
        <w:rPr>
          <w:rFonts w:ascii="Arial Black" w:hAnsi="Arial Black"/>
          <w:sz w:val="28"/>
          <w:szCs w:val="28"/>
        </w:rPr>
        <w:t>STOP SIGN - IMMUNITY</w:t>
      </w:r>
    </w:p>
    <w:p w14:paraId="33EDCE6A" w14:textId="07B7C00A" w:rsidR="005758F6" w:rsidRPr="00733BB2" w:rsidRDefault="00733BB2" w:rsidP="00733BB2">
      <w:pPr>
        <w:rPr>
          <w:rFonts w:ascii="Times New Roman" w:hAnsi="Times New Roman"/>
          <w:b/>
          <w:sz w:val="24"/>
          <w:szCs w:val="24"/>
        </w:rPr>
      </w:pPr>
      <w:r w:rsidRPr="00733BB2">
        <w:rPr>
          <w:rFonts w:ascii="Times New Roman" w:hAnsi="Times New Roman"/>
          <w:sz w:val="24"/>
          <w:szCs w:val="24"/>
        </w:rPr>
        <w:t xml:space="preserve">On April 22, 2025, in </w:t>
      </w:r>
      <w:r w:rsidRPr="00733BB2">
        <w:rPr>
          <w:rFonts w:ascii="Times New Roman" w:hAnsi="Times New Roman"/>
          <w:sz w:val="24"/>
          <w:szCs w:val="24"/>
          <w:u w:val="single"/>
        </w:rPr>
        <w:t>GinaM. Postula v. Tyler D. Blackwell and City of LaSalle</w:t>
      </w:r>
      <w:r w:rsidRPr="00733BB2">
        <w:rPr>
          <w:rFonts w:ascii="Times New Roman" w:hAnsi="Times New Roman"/>
          <w:sz w:val="24"/>
          <w:szCs w:val="24"/>
        </w:rPr>
        <w:t xml:space="preserve">, the Court of Appeals of Illinois, Third District held (3 to 0) that trial court properly dismissed the lawsuit alleging negligent conduct by the ambulance EMT driver for not stopping at stop sign before entering intersection and striking side of plaintiff’s vehicle, causing personal injury.  The EMT had lights and siren </w:t>
      </w:r>
      <w:proofErr w:type="gramStart"/>
      <w:r w:rsidRPr="00733BB2">
        <w:rPr>
          <w:rFonts w:ascii="Times New Roman" w:hAnsi="Times New Roman"/>
          <w:sz w:val="24"/>
          <w:szCs w:val="24"/>
        </w:rPr>
        <w:t>activated, and</w:t>
      </w:r>
      <w:proofErr w:type="gramEnd"/>
      <w:r w:rsidRPr="00733BB2">
        <w:rPr>
          <w:rFonts w:ascii="Times New Roman" w:hAnsi="Times New Roman"/>
          <w:sz w:val="24"/>
          <w:szCs w:val="24"/>
        </w:rPr>
        <w:t xml:space="preserve"> slowed down before entering the intersection.  Under state law, emergency responders and their public employers have immunity on an emergency run, except for “willful or wanton conduct.”  The case was dismissed without pre-trial discovery, and trial court denied the plaintiff’s request to file an amended complaint alleging willful or wanton conduct, since prior case law has held that failure of emergency responder to stop at stop sign was not willful or wanton misconduct. </w:t>
      </w:r>
      <w:hyperlink r:id="rId981" w:history="1">
        <w:r w:rsidRPr="00733BB2">
          <w:rPr>
            <w:rStyle w:val="Hyperlink"/>
            <w:rFonts w:ascii="Times New Roman" w:hAnsi="Times New Roman"/>
            <w:sz w:val="24"/>
            <w:szCs w:val="24"/>
          </w:rPr>
          <w:t>https://ilcourtsaudio.blob.core.windows.net/antilles-resources/resources/95e9af0e-d4e6-4f14-9f68-6c313ea57cfa/Postula%20v.%20Blackard,%202025%20IL%20App%20(3d)%20240464-U.pdf</w:t>
        </w:r>
      </w:hyperlink>
    </w:p>
    <w:p w14:paraId="41ED5D04" w14:textId="77777777" w:rsidR="00AE1943" w:rsidRPr="00AE1943" w:rsidRDefault="00AE1943" w:rsidP="00AE1943">
      <w:pPr>
        <w:pStyle w:val="NoSpacing"/>
        <w:rPr>
          <w:rFonts w:ascii="Times New Roman" w:hAnsi="Times New Roman"/>
          <w:b/>
          <w:bCs/>
          <w:sz w:val="24"/>
          <w:szCs w:val="24"/>
        </w:rPr>
      </w:pPr>
      <w:r w:rsidRPr="00AE1943">
        <w:rPr>
          <w:rFonts w:ascii="Times New Roman" w:hAnsi="Times New Roman"/>
          <w:b/>
          <w:sz w:val="24"/>
          <w:szCs w:val="24"/>
        </w:rPr>
        <w:t xml:space="preserve">Legal Lesson Learned: </w:t>
      </w:r>
      <w:r w:rsidRPr="00AE1943">
        <w:rPr>
          <w:rFonts w:ascii="Times New Roman" w:hAnsi="Times New Roman"/>
          <w:b/>
          <w:bCs/>
          <w:sz w:val="24"/>
          <w:szCs w:val="24"/>
        </w:rPr>
        <w:t>While not required by law in most states, s</w:t>
      </w:r>
      <w:r w:rsidRPr="00AE1943">
        <w:rPr>
          <w:rFonts w:ascii="Times New Roman" w:hAnsi="Times New Roman"/>
          <w:b/>
          <w:sz w:val="24"/>
          <w:szCs w:val="24"/>
        </w:rPr>
        <w:t xml:space="preserve">ome fire and EMS departments have adopted a “full stop” policy for stop signs and red lights to help avoid personal injuries as occurred in this case. </w:t>
      </w:r>
    </w:p>
    <w:p w14:paraId="590E92E8" w14:textId="77777777" w:rsidR="005758F6" w:rsidRPr="00AE1943" w:rsidRDefault="005758F6" w:rsidP="00EF1133">
      <w:pPr>
        <w:rPr>
          <w:rFonts w:ascii="Times New Roman" w:hAnsi="Times New Roman"/>
          <w:b/>
          <w:sz w:val="24"/>
          <w:szCs w:val="24"/>
        </w:rPr>
      </w:pPr>
    </w:p>
    <w:p w14:paraId="5CE8CC4F" w14:textId="77777777" w:rsidR="00FA7646" w:rsidRDefault="00FA7646" w:rsidP="00EF1133">
      <w:pPr>
        <w:rPr>
          <w:rFonts w:ascii="Arial Black" w:hAnsi="Arial Black"/>
          <w:b/>
          <w:sz w:val="24"/>
          <w:szCs w:val="24"/>
        </w:rPr>
      </w:pPr>
    </w:p>
    <w:p w14:paraId="5EDA0975" w14:textId="113FD657" w:rsidR="002450F2" w:rsidRDefault="002450F2" w:rsidP="00EF1133">
      <w:pPr>
        <w:rPr>
          <w:rFonts w:ascii="Arial Black" w:hAnsi="Arial Black"/>
          <w:b/>
          <w:sz w:val="24"/>
          <w:szCs w:val="24"/>
        </w:rPr>
      </w:pPr>
      <w:r>
        <w:rPr>
          <w:rFonts w:ascii="Arial Black" w:hAnsi="Arial Black"/>
          <w:b/>
          <w:sz w:val="24"/>
          <w:szCs w:val="24"/>
        </w:rPr>
        <w:t>5-</w:t>
      </w:r>
      <w:r w:rsidR="002628DB">
        <w:rPr>
          <w:rFonts w:ascii="Arial Black" w:hAnsi="Arial Black"/>
          <w:b/>
          <w:sz w:val="24"/>
          <w:szCs w:val="24"/>
        </w:rPr>
        <w:t>49</w:t>
      </w:r>
    </w:p>
    <w:p w14:paraId="42588A92" w14:textId="77777777" w:rsidR="00583C7D" w:rsidRPr="0039171C" w:rsidRDefault="00583C7D" w:rsidP="00583C7D">
      <w:pPr>
        <w:rPr>
          <w:rFonts w:ascii="Arial Black" w:hAnsi="Arial Black"/>
          <w:b/>
          <w:sz w:val="28"/>
          <w:szCs w:val="28"/>
        </w:rPr>
      </w:pPr>
      <w:r>
        <w:rPr>
          <w:rFonts w:ascii="Arial Black" w:hAnsi="Arial Black"/>
          <w:b/>
          <w:sz w:val="28"/>
          <w:szCs w:val="28"/>
        </w:rPr>
        <w:t>NC: MOTORCYCLIST INTO ENGINE - TURNING – IMMUNITY</w:t>
      </w:r>
    </w:p>
    <w:p w14:paraId="59C8CB1E" w14:textId="77777777" w:rsidR="00583C7D" w:rsidRPr="00583C7D" w:rsidRDefault="00583C7D" w:rsidP="00583C7D">
      <w:pPr>
        <w:rPr>
          <w:rFonts w:ascii="Times New Roman" w:hAnsi="Times New Roman"/>
          <w:bCs/>
          <w:sz w:val="24"/>
          <w:szCs w:val="24"/>
        </w:rPr>
      </w:pPr>
      <w:r w:rsidRPr="00583C7D">
        <w:rPr>
          <w:rFonts w:ascii="Times New Roman" w:hAnsi="Times New Roman"/>
          <w:sz w:val="24"/>
          <w:szCs w:val="24"/>
        </w:rPr>
        <w:t xml:space="preserve">On April 16, 2025, in </w:t>
      </w:r>
      <w:r w:rsidRPr="00583C7D">
        <w:rPr>
          <w:rFonts w:ascii="Times New Roman" w:hAnsi="Times New Roman"/>
          <w:sz w:val="24"/>
          <w:szCs w:val="24"/>
          <w:u w:val="single"/>
        </w:rPr>
        <w:t>Robert Dustin Smith v. Teresa Lane, City of Raleigh Firefighter and City of Raleigh</w:t>
      </w:r>
      <w:r w:rsidRPr="00583C7D">
        <w:rPr>
          <w:rFonts w:ascii="Times New Roman" w:hAnsi="Times New Roman"/>
          <w:sz w:val="24"/>
          <w:szCs w:val="24"/>
        </w:rPr>
        <w:t xml:space="preserve">, the Court of Appeals of North Carolina held (3 to 0) that trial court judge improperly denied the defense motion to dismiss this lawsuit on basis of governmental immunity.  The immunity was not waived when the City purchased two excess insurance policies for combined total of $10 million.  On October 22, 2022, firefighter Teresa Lane was returning to Fire Station 9, and plaintiff was in right lane.  He claims that Lane moved from right lane to center </w:t>
      </w:r>
      <w:proofErr w:type="gramStart"/>
      <w:r w:rsidRPr="00583C7D">
        <w:rPr>
          <w:rFonts w:ascii="Times New Roman" w:hAnsi="Times New Roman"/>
          <w:sz w:val="24"/>
          <w:szCs w:val="24"/>
        </w:rPr>
        <w:t>lane, but</w:t>
      </w:r>
      <w:proofErr w:type="gramEnd"/>
      <w:r w:rsidRPr="00583C7D">
        <w:rPr>
          <w:rFonts w:ascii="Times New Roman" w:hAnsi="Times New Roman"/>
          <w:sz w:val="24"/>
          <w:szCs w:val="24"/>
        </w:rPr>
        <w:t xml:space="preserve"> went back to right lane pulling int the station without a signal; he crashed into the side of the engine, and sustained serious injuries, including amputation of one leg above the knee. </w:t>
      </w:r>
      <w:hyperlink r:id="rId982" w:history="1">
        <w:r w:rsidRPr="00583C7D">
          <w:rPr>
            <w:rStyle w:val="Hyperlink"/>
            <w:rFonts w:ascii="Times New Roman" w:hAnsi="Times New Roman"/>
            <w:sz w:val="24"/>
            <w:szCs w:val="24"/>
          </w:rPr>
          <w:t>https://cases.justia.com/north-carolina/court-of-appeals/2025-24-790.pdf?ts=1744808209</w:t>
        </w:r>
      </w:hyperlink>
      <w:r w:rsidRPr="00583C7D">
        <w:rPr>
          <w:rFonts w:ascii="Times New Roman" w:hAnsi="Times New Roman"/>
          <w:sz w:val="24"/>
          <w:szCs w:val="24"/>
        </w:rPr>
        <w:t xml:space="preserve"> </w:t>
      </w:r>
    </w:p>
    <w:p w14:paraId="503A1096" w14:textId="77777777" w:rsidR="00EE5744" w:rsidRPr="00EE5744" w:rsidRDefault="00EE5744" w:rsidP="00EE5744">
      <w:pPr>
        <w:pStyle w:val="NoSpacing"/>
        <w:rPr>
          <w:rFonts w:ascii="Times New Roman" w:hAnsi="Times New Roman"/>
          <w:b/>
          <w:sz w:val="24"/>
          <w:szCs w:val="24"/>
        </w:rPr>
      </w:pPr>
      <w:r w:rsidRPr="00EE5744">
        <w:rPr>
          <w:rFonts w:ascii="Times New Roman" w:hAnsi="Times New Roman"/>
          <w:b/>
          <w:sz w:val="24"/>
          <w:szCs w:val="24"/>
        </w:rPr>
        <w:t xml:space="preserve">Legal Lesson Learned: Governmental immunity continues even if city has purchased  excess insurance policies.   </w:t>
      </w:r>
    </w:p>
    <w:p w14:paraId="5E9B277A" w14:textId="77777777" w:rsidR="00EE5744" w:rsidRDefault="00EE5744" w:rsidP="00EE5744">
      <w:pPr>
        <w:pStyle w:val="NoSpacing"/>
      </w:pPr>
    </w:p>
    <w:p w14:paraId="2400C48D" w14:textId="77777777" w:rsidR="002450F2" w:rsidRDefault="002450F2" w:rsidP="00EF1133">
      <w:pPr>
        <w:rPr>
          <w:rFonts w:ascii="Arial Black" w:hAnsi="Arial Black"/>
          <w:b/>
          <w:sz w:val="24"/>
          <w:szCs w:val="24"/>
        </w:rPr>
      </w:pPr>
    </w:p>
    <w:p w14:paraId="0F1164BD" w14:textId="6DA9BE91" w:rsidR="00AB3819" w:rsidRDefault="00AB3819" w:rsidP="00EF1133">
      <w:pPr>
        <w:rPr>
          <w:rFonts w:ascii="Arial Black" w:hAnsi="Arial Black"/>
          <w:b/>
          <w:sz w:val="24"/>
          <w:szCs w:val="24"/>
        </w:rPr>
      </w:pPr>
      <w:r>
        <w:rPr>
          <w:rFonts w:ascii="Arial Black" w:hAnsi="Arial Black"/>
          <w:b/>
          <w:sz w:val="24"/>
          <w:szCs w:val="24"/>
        </w:rPr>
        <w:t>5-48</w:t>
      </w:r>
    </w:p>
    <w:p w14:paraId="16CD5A42" w14:textId="77777777" w:rsidR="00AB3819" w:rsidRPr="000D3550" w:rsidRDefault="00AB3819" w:rsidP="00AB3819">
      <w:pPr>
        <w:rPr>
          <w:rFonts w:ascii="Arial Black" w:hAnsi="Arial Black"/>
          <w:bCs/>
          <w:sz w:val="28"/>
          <w:szCs w:val="28"/>
        </w:rPr>
      </w:pPr>
      <w:r>
        <w:rPr>
          <w:rFonts w:ascii="Arial Black" w:hAnsi="Arial Black"/>
          <w:sz w:val="28"/>
          <w:szCs w:val="28"/>
        </w:rPr>
        <w:t>OH: “HONOR RIDE” – CIVILIAN FALLS OUT ENGINE - DIED</w:t>
      </w:r>
    </w:p>
    <w:p w14:paraId="5F0C421C" w14:textId="77777777" w:rsidR="00AB3819" w:rsidRPr="00AB3819" w:rsidRDefault="00AB3819" w:rsidP="00AB3819">
      <w:pPr>
        <w:pStyle w:val="NoSpacing"/>
        <w:rPr>
          <w:rFonts w:ascii="Times New Roman" w:hAnsi="Times New Roman"/>
          <w:bCs/>
          <w:sz w:val="24"/>
          <w:szCs w:val="24"/>
        </w:rPr>
      </w:pPr>
      <w:r w:rsidRPr="00AB3819">
        <w:rPr>
          <w:rFonts w:ascii="Times New Roman" w:hAnsi="Times New Roman"/>
          <w:sz w:val="24"/>
          <w:szCs w:val="24"/>
        </w:rPr>
        <w:t xml:space="preserve">On Jan. 23, 2025, in </w:t>
      </w:r>
      <w:r w:rsidRPr="00AB3819">
        <w:rPr>
          <w:rFonts w:ascii="Times New Roman" w:hAnsi="Times New Roman"/>
          <w:sz w:val="24"/>
          <w:szCs w:val="24"/>
          <w:u w:val="single"/>
        </w:rPr>
        <w:t xml:space="preserve">Amanda Luke, Administrator of the Estate of Marguerite Appel v. Short Creek Joint Fire </w:t>
      </w:r>
      <w:proofErr w:type="spellStart"/>
      <w:r w:rsidRPr="00AB3819">
        <w:rPr>
          <w:rFonts w:ascii="Times New Roman" w:hAnsi="Times New Roman"/>
          <w:sz w:val="24"/>
          <w:szCs w:val="24"/>
          <w:u w:val="single"/>
        </w:rPr>
        <w:t>District,et</w:t>
      </w:r>
      <w:proofErr w:type="spellEnd"/>
      <w:r w:rsidRPr="00AB3819">
        <w:rPr>
          <w:rFonts w:ascii="Times New Roman" w:hAnsi="Times New Roman"/>
          <w:sz w:val="24"/>
          <w:szCs w:val="24"/>
          <w:u w:val="single"/>
        </w:rPr>
        <w:t xml:space="preserve"> al</w:t>
      </w:r>
      <w:r w:rsidRPr="00AB3819">
        <w:rPr>
          <w:rFonts w:ascii="Times New Roman" w:hAnsi="Times New Roman"/>
          <w:sz w:val="24"/>
          <w:szCs w:val="24"/>
        </w:rPr>
        <w:t xml:space="preserve">., the Court of Appeals of Ohio, Seventh District (Jefferson County) held (2 to 1) that trial court should have dismissed the firefighters, the Fire District and the political subdivisions served by the joint Fire District in the death of civilian who fell out of rear of engine during honor ride of her step-brother (former Fire Chief).   The deceased voluntarily rode in crowded back seat of the engine without a seat belt and encouraged more passengers to enter and take the empty seat. A man crying at the scene who had been in the fire truck told the Deputy Fire Chief that Ms. Appel was standing holding the door and she grabbed the wrong handle. There was no proof of negligence in operating the engine (15-25 mph), and the driver and other firefighters who allowed crowded engine were not “reckless.” </w:t>
      </w:r>
      <w:hyperlink r:id="rId983" w:history="1">
        <w:r w:rsidRPr="00AB3819">
          <w:rPr>
            <w:rStyle w:val="Hyperlink"/>
            <w:rFonts w:ascii="Times New Roman" w:hAnsi="Times New Roman"/>
            <w:sz w:val="24"/>
            <w:szCs w:val="24"/>
          </w:rPr>
          <w:t>https://www.supremecourt.ohio.gov/rod/docs/pdf/7/2025/2025-Ohio-203.pdf</w:t>
        </w:r>
      </w:hyperlink>
      <w:r w:rsidRPr="00AB3819">
        <w:rPr>
          <w:rFonts w:ascii="Times New Roman" w:hAnsi="Times New Roman"/>
          <w:sz w:val="24"/>
          <w:szCs w:val="24"/>
        </w:rPr>
        <w:t xml:space="preserve"> </w:t>
      </w:r>
    </w:p>
    <w:p w14:paraId="7451057C" w14:textId="77777777" w:rsidR="00AB3819" w:rsidRPr="00AB3819" w:rsidRDefault="00AB3819" w:rsidP="00AB3819">
      <w:pPr>
        <w:rPr>
          <w:rFonts w:ascii="Times New Roman" w:hAnsi="Times New Roman"/>
          <w:bCs/>
          <w:sz w:val="24"/>
          <w:szCs w:val="24"/>
        </w:rPr>
      </w:pPr>
    </w:p>
    <w:p w14:paraId="634C53AA" w14:textId="77777777" w:rsidR="00AB3819" w:rsidRPr="00AB3819" w:rsidRDefault="00AB3819" w:rsidP="00AB3819">
      <w:pPr>
        <w:rPr>
          <w:rFonts w:ascii="Times New Roman" w:hAnsi="Times New Roman"/>
          <w:bCs/>
          <w:sz w:val="24"/>
          <w:szCs w:val="24"/>
        </w:rPr>
      </w:pPr>
      <w:r w:rsidRPr="00AB3819">
        <w:rPr>
          <w:rFonts w:ascii="Times New Roman" w:hAnsi="Times New Roman"/>
          <w:sz w:val="24"/>
          <w:szCs w:val="24"/>
        </w:rPr>
        <w:t>The Court wrote:</w:t>
      </w:r>
    </w:p>
    <w:p w14:paraId="02329713"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“Defendants-Appellants Short Creek Joint Fire District and two employees appeal the decision of the Jefferson County Common Pleas Court denying their motion for summary judgment. They claimed immunity in the lawsuit filed by Appellee Amanda Luke, individually and as administrator of the Estate of Marguerite Appel (the decedent)…. The political subdivision [which is served by the Fire District] argues there was no evidence of negligence as required for the immunity exceptions involving the operation of a motor vehicle or the performance of a proprietary function, arguing there was no breach of </w:t>
      </w:r>
      <w:proofErr w:type="gramStart"/>
      <w:r w:rsidRPr="00AB3819">
        <w:rPr>
          <w:rFonts w:ascii="Times New Roman" w:hAnsi="Times New Roman"/>
          <w:sz w:val="24"/>
          <w:szCs w:val="24"/>
        </w:rPr>
        <w:t>a duty</w:t>
      </w:r>
      <w:proofErr w:type="gramEnd"/>
      <w:r w:rsidRPr="00AB3819">
        <w:rPr>
          <w:rFonts w:ascii="Times New Roman" w:hAnsi="Times New Roman"/>
          <w:sz w:val="24"/>
          <w:szCs w:val="24"/>
        </w:rPr>
        <w:t xml:space="preserve"> that proximately caused the decedent’s injury. In arguing the lack of duty for negligence, the political subdivision emphasizes the primary assumption of the risk doctrine and argues there was no showing of recklessness as required to defeat the doctrine. We agree and find the political subdivision was entitled to summary judgment….The employees contend they are immune because their performance was not reckless as required to invoke the recklessness exception to employee immunity. It is also argued their performance was not manifestly outside the scope of employment, while pointing out this exception was not invoked by Appellee below. We agree and find the employees were entitled to summary judgment.</w:t>
      </w:r>
    </w:p>
    <w:p w14:paraId="69DA601C" w14:textId="77777777" w:rsidR="00AB3819" w:rsidRPr="00AB3819" w:rsidRDefault="00AB3819" w:rsidP="00AB3819">
      <w:pPr>
        <w:pStyle w:val="NoSpacing"/>
        <w:ind w:left="720"/>
        <w:rPr>
          <w:rFonts w:ascii="Times New Roman" w:hAnsi="Times New Roman"/>
          <w:bCs/>
          <w:sz w:val="24"/>
          <w:szCs w:val="24"/>
        </w:rPr>
      </w:pPr>
    </w:p>
    <w:p w14:paraId="79A5F274"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t>
      </w:r>
    </w:p>
    <w:p w14:paraId="6E534CA4" w14:textId="77777777" w:rsidR="00AB3819" w:rsidRPr="00AB3819" w:rsidRDefault="00AB3819" w:rsidP="00AB3819">
      <w:pPr>
        <w:pStyle w:val="NoSpacing"/>
        <w:ind w:left="720"/>
        <w:rPr>
          <w:rFonts w:ascii="Times New Roman" w:hAnsi="Times New Roman"/>
          <w:bCs/>
          <w:sz w:val="24"/>
          <w:szCs w:val="24"/>
        </w:rPr>
      </w:pPr>
    </w:p>
    <w:p w14:paraId="0CB01D34"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Chief Manbeck noted the department provided civilian rides in the past, such as driving the youth baseball team in a small parade when they won a championship and the softball team for a similar reason; Spiderman also rode in a fire truck for </w:t>
      </w:r>
      <w:proofErr w:type="gramStart"/>
      <w:r w:rsidRPr="00AB3819">
        <w:rPr>
          <w:rFonts w:ascii="Times New Roman" w:hAnsi="Times New Roman"/>
          <w:sz w:val="24"/>
          <w:szCs w:val="24"/>
        </w:rPr>
        <w:t>a Fourth</w:t>
      </w:r>
      <w:proofErr w:type="gramEnd"/>
      <w:r w:rsidRPr="00AB3819">
        <w:rPr>
          <w:rFonts w:ascii="Times New Roman" w:hAnsi="Times New Roman"/>
          <w:sz w:val="24"/>
          <w:szCs w:val="24"/>
        </w:rPr>
        <w:t xml:space="preserve"> of July parade. He was also aware such services were provided by one of the prior fire districts before the merger into a joint district…. He said SCJFD had no specific policy on civilian rides, seat belts, or abiding by recommendations from a named publication….He pointed out state law does not require seat belts for backseat passengers and it is legal to sit on the floor in the back of the truck, regardless of what a manufacturer’s warning label states. </w:t>
      </w:r>
    </w:p>
    <w:p w14:paraId="5B5CFD79" w14:textId="77777777" w:rsidR="00AB3819" w:rsidRPr="00AB3819" w:rsidRDefault="00AB3819" w:rsidP="00AB3819">
      <w:pPr>
        <w:pStyle w:val="NoSpacing"/>
        <w:ind w:left="720"/>
        <w:rPr>
          <w:rFonts w:ascii="Times New Roman" w:hAnsi="Times New Roman"/>
          <w:bCs/>
          <w:sz w:val="24"/>
          <w:szCs w:val="24"/>
        </w:rPr>
      </w:pPr>
    </w:p>
    <w:p w14:paraId="197503E5"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t>
      </w:r>
    </w:p>
    <w:p w14:paraId="3923221D" w14:textId="77777777" w:rsidR="00AB3819" w:rsidRPr="00AB3819" w:rsidRDefault="00AB3819" w:rsidP="00AB3819">
      <w:pPr>
        <w:pStyle w:val="NoSpacing"/>
        <w:ind w:left="720"/>
        <w:rPr>
          <w:rFonts w:ascii="Times New Roman" w:hAnsi="Times New Roman"/>
          <w:bCs/>
          <w:sz w:val="24"/>
          <w:szCs w:val="24"/>
        </w:rPr>
      </w:pPr>
    </w:p>
    <w:p w14:paraId="13E075AD" w14:textId="77777777" w:rsidR="00AB3819" w:rsidRPr="00AB3819" w:rsidRDefault="00AB3819" w:rsidP="00AB3819">
      <w:pPr>
        <w:pStyle w:val="NoSpacing"/>
        <w:ind w:left="720"/>
        <w:rPr>
          <w:rFonts w:ascii="Times New Roman" w:hAnsi="Times New Roman"/>
          <w:bCs/>
          <w:i/>
          <w:iCs/>
          <w:sz w:val="24"/>
          <w:szCs w:val="24"/>
        </w:rPr>
      </w:pPr>
      <w:r w:rsidRPr="00AB3819">
        <w:rPr>
          <w:rFonts w:ascii="Times New Roman" w:hAnsi="Times New Roman"/>
          <w:i/>
          <w:iCs/>
          <w:sz w:val="24"/>
          <w:szCs w:val="24"/>
        </w:rPr>
        <w:t xml:space="preserve">At the very least, these riders assume the risks of normal driving movements incurred </w:t>
      </w:r>
      <w:proofErr w:type="gramStart"/>
      <w:r w:rsidRPr="00AB3819">
        <w:rPr>
          <w:rFonts w:ascii="Times New Roman" w:hAnsi="Times New Roman"/>
          <w:i/>
          <w:iCs/>
          <w:sz w:val="24"/>
          <w:szCs w:val="24"/>
        </w:rPr>
        <w:t>as a result of</w:t>
      </w:r>
      <w:proofErr w:type="gramEnd"/>
      <w:r w:rsidRPr="00AB3819">
        <w:rPr>
          <w:rFonts w:ascii="Times New Roman" w:hAnsi="Times New Roman"/>
          <w:i/>
          <w:iCs/>
          <w:sz w:val="24"/>
          <w:szCs w:val="24"/>
        </w:rPr>
        <w:t xml:space="preserve"> the position they placed themselves, even if they do not assume the risk of abnormal driving movements. [Emphasis in court decision.]</w:t>
      </w:r>
    </w:p>
    <w:p w14:paraId="250F17BC" w14:textId="77777777" w:rsidR="00AB3819" w:rsidRPr="00AB3819" w:rsidRDefault="00AB3819" w:rsidP="00AB3819">
      <w:pPr>
        <w:pStyle w:val="NoSpacing"/>
        <w:ind w:left="720"/>
        <w:rPr>
          <w:rFonts w:ascii="Times New Roman" w:hAnsi="Times New Roman"/>
          <w:bCs/>
          <w:i/>
          <w:iCs/>
          <w:sz w:val="24"/>
          <w:szCs w:val="24"/>
        </w:rPr>
      </w:pPr>
    </w:p>
    <w:p w14:paraId="4F0E4F61"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t>
      </w:r>
    </w:p>
    <w:p w14:paraId="73080C09" w14:textId="77777777" w:rsidR="00AB3819" w:rsidRPr="00AB3819" w:rsidRDefault="00AB3819" w:rsidP="00AB3819">
      <w:pPr>
        <w:pStyle w:val="NoSpacing"/>
        <w:ind w:left="720"/>
        <w:rPr>
          <w:rFonts w:ascii="Times New Roman" w:hAnsi="Times New Roman"/>
          <w:bCs/>
          <w:sz w:val="24"/>
          <w:szCs w:val="24"/>
        </w:rPr>
      </w:pPr>
    </w:p>
    <w:p w14:paraId="16C2A045"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We conclude a person voluntarily riding in a crowded fire truck after choosing to occupy the space by the door without a seat or seat belt and then encouraging more passengers to enter instead of taking the empty seat, primarily assumes the specific risk of falling out if they lean on the door as the truck navigates a curve after the door handle is accidentally activated by the plaintiff (or another person).”</w:t>
      </w:r>
    </w:p>
    <w:p w14:paraId="438B393A" w14:textId="77777777" w:rsidR="00AB3819" w:rsidRPr="00AB3819" w:rsidRDefault="00AB3819" w:rsidP="00AB3819">
      <w:pPr>
        <w:pStyle w:val="NoSpacing"/>
        <w:ind w:left="720"/>
        <w:rPr>
          <w:rFonts w:ascii="Times New Roman" w:hAnsi="Times New Roman"/>
          <w:bCs/>
          <w:sz w:val="24"/>
          <w:szCs w:val="24"/>
        </w:rPr>
      </w:pPr>
    </w:p>
    <w:p w14:paraId="4F1F4ED2" w14:textId="77777777" w:rsidR="00AB3819" w:rsidRPr="00AB3819" w:rsidRDefault="00AB3819" w:rsidP="00AB3819">
      <w:pPr>
        <w:pStyle w:val="NoSpacing"/>
        <w:rPr>
          <w:rFonts w:ascii="Times New Roman" w:hAnsi="Times New Roman"/>
          <w:bCs/>
          <w:sz w:val="24"/>
          <w:szCs w:val="24"/>
        </w:rPr>
      </w:pPr>
      <w:r w:rsidRPr="00AB3819">
        <w:rPr>
          <w:rFonts w:ascii="Times New Roman" w:hAnsi="Times New Roman"/>
          <w:sz w:val="24"/>
          <w:szCs w:val="24"/>
        </w:rPr>
        <w:t>Dissent:</w:t>
      </w:r>
    </w:p>
    <w:p w14:paraId="7F1FA594" w14:textId="77777777" w:rsidR="00AB3819" w:rsidRPr="00AB3819" w:rsidRDefault="00AB3819" w:rsidP="00AB3819">
      <w:pPr>
        <w:pStyle w:val="NoSpacing"/>
        <w:rPr>
          <w:rFonts w:ascii="Times New Roman" w:hAnsi="Times New Roman"/>
          <w:bCs/>
          <w:sz w:val="24"/>
          <w:szCs w:val="24"/>
        </w:rPr>
      </w:pPr>
    </w:p>
    <w:p w14:paraId="7C20100E"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“I would find that Appellants owed Ms. Appel a general duty of care to ensure her</w:t>
      </w:r>
    </w:p>
    <w:p w14:paraId="7514DB80"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safety on the firetruck after John Sebring, a volunteer firefighter, encouraged her to board</w:t>
      </w:r>
    </w:p>
    <w:p w14:paraId="3C35A56D"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the firetruck after Ms. Appel expressed concern about the overcrowding on the </w:t>
      </w:r>
      <w:proofErr w:type="gramStart"/>
      <w:r w:rsidRPr="00AB3819">
        <w:rPr>
          <w:rFonts w:ascii="Times New Roman" w:hAnsi="Times New Roman"/>
          <w:sz w:val="24"/>
          <w:szCs w:val="24"/>
        </w:rPr>
        <w:t>truck.}</w:t>
      </w:r>
      <w:proofErr w:type="gramEnd"/>
    </w:p>
    <w:p w14:paraId="71181E09" w14:textId="77777777" w:rsidR="00AB3819" w:rsidRPr="00AB3819" w:rsidRDefault="00AB3819" w:rsidP="00AB3819">
      <w:pPr>
        <w:pStyle w:val="NoSpacing"/>
        <w:ind w:left="720"/>
        <w:rPr>
          <w:rFonts w:ascii="Times New Roman" w:hAnsi="Times New Roman"/>
          <w:bCs/>
          <w:sz w:val="24"/>
          <w:szCs w:val="24"/>
        </w:rPr>
      </w:pPr>
    </w:p>
    <w:p w14:paraId="45453E7F" w14:textId="77777777" w:rsidR="00AB3819" w:rsidRPr="00AB3819" w:rsidRDefault="00AB3819" w:rsidP="00AB3819">
      <w:pPr>
        <w:pStyle w:val="NoSpacing"/>
        <w:rPr>
          <w:rFonts w:ascii="Times New Roman" w:hAnsi="Times New Roman"/>
          <w:b/>
          <w:sz w:val="24"/>
          <w:szCs w:val="24"/>
        </w:rPr>
      </w:pPr>
      <w:r w:rsidRPr="00AB3819">
        <w:rPr>
          <w:rFonts w:ascii="Times New Roman" w:hAnsi="Times New Roman"/>
          <w:b/>
          <w:sz w:val="24"/>
          <w:szCs w:val="24"/>
        </w:rPr>
        <w:t xml:space="preserve">Legal Lesson Learned: Tragic event that could have been avoided.  Civilians or firefighters riding in a fire engine should all be using seat belts. </w:t>
      </w:r>
    </w:p>
    <w:p w14:paraId="5C0DC1B6" w14:textId="77777777" w:rsidR="00AB3819" w:rsidRDefault="00AB3819" w:rsidP="00EF1133">
      <w:pPr>
        <w:rPr>
          <w:rFonts w:ascii="Arial Black" w:hAnsi="Arial Black"/>
          <w:b/>
          <w:sz w:val="24"/>
          <w:szCs w:val="24"/>
        </w:rPr>
      </w:pPr>
    </w:p>
    <w:p w14:paraId="59DCA56B" w14:textId="77777777" w:rsidR="00AB3819" w:rsidRDefault="00AB3819" w:rsidP="00EF1133">
      <w:pPr>
        <w:rPr>
          <w:rFonts w:ascii="Arial Black" w:hAnsi="Arial Black"/>
          <w:b/>
          <w:sz w:val="24"/>
          <w:szCs w:val="24"/>
        </w:rPr>
      </w:pPr>
    </w:p>
    <w:p w14:paraId="4CD383B4" w14:textId="77777777" w:rsidR="00AB3819" w:rsidRDefault="00AB3819" w:rsidP="00EF1133">
      <w:pPr>
        <w:rPr>
          <w:rFonts w:ascii="Arial Black" w:hAnsi="Arial Black"/>
          <w:b/>
          <w:sz w:val="24"/>
          <w:szCs w:val="24"/>
        </w:rPr>
      </w:pPr>
    </w:p>
    <w:p w14:paraId="47AD33CA" w14:textId="00C2D0DE" w:rsidR="00DE42DC" w:rsidRDefault="000B228A" w:rsidP="00EF1133">
      <w:pPr>
        <w:rPr>
          <w:rFonts w:ascii="Arial Black" w:hAnsi="Arial Black"/>
          <w:b/>
          <w:sz w:val="24"/>
          <w:szCs w:val="24"/>
        </w:rPr>
      </w:pPr>
      <w:r>
        <w:rPr>
          <w:rFonts w:ascii="Arial Black" w:hAnsi="Arial Black"/>
          <w:b/>
          <w:sz w:val="24"/>
          <w:szCs w:val="24"/>
        </w:rPr>
        <w:t>5-47</w:t>
      </w:r>
    </w:p>
    <w:p w14:paraId="1BFE0B0E" w14:textId="77777777" w:rsidR="00243663" w:rsidRDefault="00243663" w:rsidP="00243663">
      <w:pPr>
        <w:pStyle w:val="NoSpacing"/>
        <w:rPr>
          <w:rFonts w:ascii="Arial Black" w:hAnsi="Arial Black"/>
          <w:b/>
          <w:sz w:val="28"/>
          <w:szCs w:val="28"/>
        </w:rPr>
      </w:pPr>
      <w:r>
        <w:rPr>
          <w:rFonts w:ascii="Arial Black" w:hAnsi="Arial Black"/>
          <w:b/>
          <w:sz w:val="28"/>
          <w:szCs w:val="28"/>
        </w:rPr>
        <w:t xml:space="preserve">CA: MOTORCYCLIST KILLED – COLLISION FIRE ENGINE – PL’S EXPERT - FD CAPTAIN / RELATIVE  - MAY TESTIFY </w:t>
      </w:r>
    </w:p>
    <w:p w14:paraId="7BFAD992" w14:textId="77777777" w:rsidR="00243663" w:rsidRDefault="00243663" w:rsidP="00243663">
      <w:pPr>
        <w:pStyle w:val="NoSpacing"/>
        <w:rPr>
          <w:rFonts w:ascii="Arial Black" w:hAnsi="Arial Black"/>
          <w:b/>
          <w:sz w:val="28"/>
          <w:szCs w:val="28"/>
        </w:rPr>
      </w:pPr>
    </w:p>
    <w:p w14:paraId="6179ACCC" w14:textId="77777777" w:rsidR="00243663" w:rsidRPr="00127BCE" w:rsidRDefault="00243663" w:rsidP="00243663">
      <w:pPr>
        <w:pStyle w:val="NoSpacing"/>
        <w:rPr>
          <w:rFonts w:ascii="Times New Roman" w:hAnsi="Times New Roman"/>
          <w:sz w:val="24"/>
          <w:szCs w:val="24"/>
        </w:rPr>
      </w:pPr>
      <w:r w:rsidRPr="00127BCE">
        <w:rPr>
          <w:rFonts w:ascii="Times New Roman" w:hAnsi="Times New Roman"/>
          <w:sz w:val="24"/>
          <w:szCs w:val="24"/>
        </w:rPr>
        <w:t xml:space="preserve">On Nov. 7, 2024, in </w:t>
      </w:r>
      <w:r w:rsidRPr="00127BCE">
        <w:rPr>
          <w:rFonts w:ascii="Times New Roman" w:hAnsi="Times New Roman"/>
          <w:sz w:val="24"/>
          <w:szCs w:val="24"/>
          <w:u w:val="single"/>
        </w:rPr>
        <w:t>Carol Leigh Kneeshaw v. The Superior Court of Orange County; and City of Orange (Real Party in Interest</w:t>
      </w:r>
      <w:r w:rsidRPr="00127BCE">
        <w:rPr>
          <w:rFonts w:ascii="Times New Roman" w:hAnsi="Times New Roman"/>
          <w:sz w:val="24"/>
          <w:szCs w:val="24"/>
        </w:rPr>
        <w:t xml:space="preserve">), the California Court of Appeal, Fourth District, Division 3, held (3 to 0; unpublished decision) that trial court improperly excluded the Fire Captain as an expert witness for the plaintiff.  The </w:t>
      </w:r>
      <w:proofErr w:type="gramStart"/>
      <w:r w:rsidRPr="00127BCE">
        <w:rPr>
          <w:rFonts w:ascii="Times New Roman" w:hAnsi="Times New Roman"/>
          <w:sz w:val="24"/>
          <w:szCs w:val="24"/>
        </w:rPr>
        <w:t>Captain</w:t>
      </w:r>
      <w:proofErr w:type="gramEnd"/>
      <w:r w:rsidRPr="00127BCE">
        <w:rPr>
          <w:rFonts w:ascii="Times New Roman" w:hAnsi="Times New Roman"/>
          <w:sz w:val="24"/>
          <w:szCs w:val="24"/>
        </w:rPr>
        <w:t xml:space="preserve"> is also brother of the son-in-law of Christian Bardales, petitioner's co-plaintiff.  “There can be no question that Buford's basic credentials are sufficient to qualify him as an expert witness on the capabilities and operation of fire engines. While questions can be raised as to his methodology, the proper remedy is either cross-examination or a limitation on his testimony, not wholesale exclusion. Nor is bias arising from a distant familial relationship an adequate reason to exclude Buford. *** The opinions ultimately offered by Buford were that ‘the fire apparatus is not capable of making [the] maneuver described by the engine crew,’ ‘the fire apparatus is capable of making the maneuver that [certain </w:t>
      </w:r>
      <w:proofErr w:type="gramStart"/>
      <w:r w:rsidRPr="00127BCE">
        <w:rPr>
          <w:rFonts w:ascii="Times New Roman" w:hAnsi="Times New Roman"/>
          <w:sz w:val="24"/>
          <w:szCs w:val="24"/>
        </w:rPr>
        <w:t>third party</w:t>
      </w:r>
      <w:proofErr w:type="gramEnd"/>
      <w:r w:rsidRPr="00127BCE">
        <w:rPr>
          <w:rFonts w:ascii="Times New Roman" w:hAnsi="Times New Roman"/>
          <w:sz w:val="24"/>
          <w:szCs w:val="24"/>
        </w:rPr>
        <w:t xml:space="preserve"> witnesses] described,’ and ‘the fire apparatus is capable of making [the maneuver described by the accident reconstructionist], yet it's outside of standard operating procedures.’” </w:t>
      </w:r>
      <w:hyperlink r:id="rId984" w:history="1">
        <w:r w:rsidRPr="00127BCE">
          <w:rPr>
            <w:rStyle w:val="Hyperlink"/>
            <w:rFonts w:ascii="Times New Roman" w:hAnsi="Times New Roman"/>
            <w:sz w:val="24"/>
            <w:szCs w:val="24"/>
          </w:rPr>
          <w:t>https://casetext.com/case/kneeshaw-v-the-superior-court-of-orange-cnty</w:t>
        </w:r>
      </w:hyperlink>
      <w:r w:rsidRPr="00127BCE">
        <w:rPr>
          <w:rFonts w:ascii="Times New Roman" w:hAnsi="Times New Roman"/>
          <w:sz w:val="24"/>
          <w:szCs w:val="24"/>
        </w:rPr>
        <w:t xml:space="preserve"> </w:t>
      </w:r>
    </w:p>
    <w:p w14:paraId="23655509" w14:textId="77777777" w:rsidR="000B228A" w:rsidRPr="00127BCE" w:rsidRDefault="000B228A" w:rsidP="000B228A">
      <w:pPr>
        <w:pStyle w:val="NoSpacing"/>
        <w:rPr>
          <w:rFonts w:ascii="Times New Roman" w:hAnsi="Times New Roman"/>
          <w:sz w:val="24"/>
          <w:szCs w:val="24"/>
        </w:rPr>
      </w:pPr>
    </w:p>
    <w:p w14:paraId="5AF33DDB" w14:textId="77777777" w:rsidR="00127BCE" w:rsidRPr="00127BCE" w:rsidRDefault="00127BCE" w:rsidP="00127BCE">
      <w:pPr>
        <w:pStyle w:val="NoSpacing"/>
        <w:rPr>
          <w:rFonts w:ascii="Times New Roman" w:hAnsi="Times New Roman"/>
          <w:b/>
          <w:bCs/>
          <w:sz w:val="24"/>
          <w:szCs w:val="24"/>
        </w:rPr>
      </w:pPr>
      <w:r w:rsidRPr="00127BCE">
        <w:rPr>
          <w:rFonts w:ascii="Times New Roman" w:hAnsi="Times New Roman"/>
          <w:b/>
          <w:sz w:val="24"/>
          <w:szCs w:val="24"/>
        </w:rPr>
        <w:t xml:space="preserve">Legal Lesson Learned: A fire captain who is a certified instructor of Type 1 fire engines may testify as an expert witness (and offer his opinions), even if he is a distant relative to the plaintiffs. </w:t>
      </w:r>
    </w:p>
    <w:p w14:paraId="4098F225" w14:textId="77777777" w:rsidR="00127BCE" w:rsidRPr="00127BCE" w:rsidRDefault="00127BCE" w:rsidP="00127BCE">
      <w:pPr>
        <w:pStyle w:val="NoSpacing"/>
        <w:ind w:left="720"/>
        <w:rPr>
          <w:rFonts w:ascii="Times New Roman" w:hAnsi="Times New Roman"/>
          <w:bCs/>
          <w:sz w:val="24"/>
          <w:szCs w:val="24"/>
        </w:rPr>
      </w:pPr>
    </w:p>
    <w:p w14:paraId="468E4B62" w14:textId="77777777" w:rsidR="00127BCE" w:rsidRPr="00127BCE" w:rsidRDefault="00127BCE" w:rsidP="00127BCE">
      <w:pPr>
        <w:pStyle w:val="NoSpacing"/>
        <w:ind w:left="720"/>
        <w:rPr>
          <w:rFonts w:ascii="Times New Roman" w:hAnsi="Times New Roman"/>
          <w:sz w:val="24"/>
          <w:szCs w:val="24"/>
        </w:rPr>
      </w:pPr>
      <w:r w:rsidRPr="00127BCE">
        <w:rPr>
          <w:rFonts w:ascii="Times New Roman" w:hAnsi="Times New Roman"/>
          <w:sz w:val="24"/>
          <w:szCs w:val="24"/>
        </w:rPr>
        <w:t xml:space="preserve">Note: See this article and video; this appears to be the same incident as this case. </w:t>
      </w:r>
    </w:p>
    <w:p w14:paraId="5BEED58D" w14:textId="77777777" w:rsidR="00127BCE" w:rsidRPr="00127BCE" w:rsidRDefault="00127BCE" w:rsidP="00127BCE">
      <w:pPr>
        <w:pStyle w:val="NoSpacing"/>
        <w:ind w:left="720"/>
        <w:rPr>
          <w:rFonts w:ascii="Times New Roman" w:hAnsi="Times New Roman"/>
          <w:bCs/>
          <w:sz w:val="24"/>
          <w:szCs w:val="24"/>
        </w:rPr>
      </w:pPr>
    </w:p>
    <w:p w14:paraId="74837216" w14:textId="77777777" w:rsidR="00127BCE" w:rsidRPr="00127BCE" w:rsidRDefault="00127BCE" w:rsidP="00127BCE">
      <w:pPr>
        <w:pStyle w:val="NoSpacing"/>
        <w:ind w:left="720"/>
        <w:rPr>
          <w:rFonts w:ascii="Times New Roman" w:hAnsi="Times New Roman"/>
          <w:bCs/>
          <w:sz w:val="24"/>
          <w:szCs w:val="24"/>
        </w:rPr>
      </w:pPr>
      <w:r w:rsidRPr="00127BCE">
        <w:rPr>
          <w:rFonts w:ascii="Times New Roman" w:hAnsi="Times New Roman"/>
          <w:sz w:val="24"/>
          <w:szCs w:val="24"/>
        </w:rPr>
        <w:t xml:space="preserve">June 6, 2019: </w:t>
      </w:r>
      <w:r w:rsidRPr="00127BCE">
        <w:rPr>
          <w:rFonts w:ascii="Times New Roman" w:hAnsi="Times New Roman"/>
          <w:bCs/>
          <w:sz w:val="24"/>
          <w:szCs w:val="24"/>
        </w:rPr>
        <w:t>“Orange: Motorcyclist dies after crash with fire truck.” (</w:t>
      </w:r>
      <w:r w:rsidRPr="00127BCE">
        <w:rPr>
          <w:rFonts w:ascii="Times New Roman" w:hAnsi="Times New Roman"/>
          <w:sz w:val="24"/>
          <w:szCs w:val="24"/>
        </w:rPr>
        <w:t>KABC) -- A motorcyclist has died and three firefighters have minor injuries following a crash involving a fire truck in the city of Orange on Wednesday. According to Orange police, officers responded to the crash at about 4:41 p.m. near E. Collins Avenue and Roberto. The motorcyclist was transported to the hospital with life-threatening injuries and later died. The three firefighters were also transported with non-</w:t>
      </w:r>
      <w:proofErr w:type="gramStart"/>
      <w:r w:rsidRPr="00127BCE">
        <w:rPr>
          <w:rFonts w:ascii="Times New Roman" w:hAnsi="Times New Roman"/>
          <w:sz w:val="24"/>
          <w:szCs w:val="24"/>
        </w:rPr>
        <w:t>life threatening</w:t>
      </w:r>
      <w:proofErr w:type="gramEnd"/>
      <w:r w:rsidRPr="00127BCE">
        <w:rPr>
          <w:rFonts w:ascii="Times New Roman" w:hAnsi="Times New Roman"/>
          <w:sz w:val="24"/>
          <w:szCs w:val="24"/>
        </w:rPr>
        <w:t xml:space="preserve"> injuries, police said. It's unclear whether the fire truck had lights and sirens blaring at the time of the crash.”  </w:t>
      </w:r>
      <w:hyperlink r:id="rId985" w:history="1">
        <w:r w:rsidRPr="00127BCE">
          <w:rPr>
            <w:rStyle w:val="Hyperlink"/>
            <w:rFonts w:ascii="Times New Roman" w:hAnsi="Times New Roman"/>
            <w:sz w:val="24"/>
            <w:szCs w:val="24"/>
          </w:rPr>
          <w:t>https://abc7.com/orange-crash-fire-truck-motorcycle-and/5333918/</w:t>
        </w:r>
      </w:hyperlink>
      <w:r w:rsidRPr="00127BCE">
        <w:rPr>
          <w:rFonts w:ascii="Times New Roman" w:hAnsi="Times New Roman"/>
          <w:sz w:val="24"/>
          <w:szCs w:val="24"/>
        </w:rPr>
        <w:t xml:space="preserve"> </w:t>
      </w:r>
    </w:p>
    <w:p w14:paraId="71BCBD76" w14:textId="77777777" w:rsidR="00127BCE" w:rsidRPr="00127BCE" w:rsidRDefault="00127BCE" w:rsidP="00127BCE">
      <w:pPr>
        <w:pStyle w:val="NoSpacing"/>
        <w:ind w:left="720"/>
        <w:rPr>
          <w:rFonts w:ascii="Times New Roman" w:hAnsi="Times New Roman"/>
          <w:bCs/>
          <w:sz w:val="24"/>
          <w:szCs w:val="24"/>
        </w:rPr>
      </w:pPr>
    </w:p>
    <w:p w14:paraId="70BD414A" w14:textId="77777777" w:rsidR="00127BCE" w:rsidRPr="00127BCE" w:rsidRDefault="00127BCE" w:rsidP="00127BCE">
      <w:pPr>
        <w:pStyle w:val="NoSpacing"/>
        <w:ind w:left="720"/>
        <w:rPr>
          <w:rFonts w:ascii="Times New Roman" w:hAnsi="Times New Roman"/>
          <w:bCs/>
          <w:sz w:val="24"/>
          <w:szCs w:val="24"/>
        </w:rPr>
      </w:pPr>
      <w:r w:rsidRPr="00127BCE">
        <w:rPr>
          <w:rFonts w:ascii="Times New Roman" w:hAnsi="Times New Roman"/>
          <w:sz w:val="24"/>
          <w:szCs w:val="24"/>
        </w:rPr>
        <w:t xml:space="preserve">Video: </w:t>
      </w:r>
      <w:hyperlink r:id="rId986" w:history="1">
        <w:r w:rsidRPr="00127BCE">
          <w:rPr>
            <w:rStyle w:val="Hyperlink"/>
            <w:rFonts w:ascii="Times New Roman" w:hAnsi="Times New Roman"/>
            <w:sz w:val="24"/>
            <w:szCs w:val="24"/>
          </w:rPr>
          <w:t>https://www.youtube.com/watch?v=4rwA-whTxmQ</w:t>
        </w:r>
      </w:hyperlink>
      <w:r w:rsidRPr="00127BCE">
        <w:rPr>
          <w:rFonts w:ascii="Times New Roman" w:hAnsi="Times New Roman"/>
          <w:sz w:val="24"/>
          <w:szCs w:val="24"/>
        </w:rPr>
        <w:t xml:space="preserve"> </w:t>
      </w:r>
    </w:p>
    <w:p w14:paraId="403F642F" w14:textId="77777777" w:rsidR="00127BCE" w:rsidRDefault="00127BCE" w:rsidP="000B228A">
      <w:pPr>
        <w:pStyle w:val="NoSpacing"/>
      </w:pPr>
    </w:p>
    <w:p w14:paraId="4A07D3F4" w14:textId="77777777" w:rsidR="000B228A" w:rsidRDefault="000B228A" w:rsidP="00EF1133">
      <w:pPr>
        <w:rPr>
          <w:rFonts w:ascii="Arial Black" w:hAnsi="Arial Black"/>
          <w:b/>
          <w:sz w:val="24"/>
          <w:szCs w:val="24"/>
        </w:rPr>
      </w:pPr>
    </w:p>
    <w:p w14:paraId="04C68D6F" w14:textId="38F4EF39" w:rsidR="00DE42DC" w:rsidRDefault="00DE42DC" w:rsidP="00EF1133">
      <w:pPr>
        <w:rPr>
          <w:rFonts w:ascii="Arial Black" w:hAnsi="Arial Black"/>
          <w:b/>
          <w:sz w:val="24"/>
          <w:szCs w:val="24"/>
        </w:rPr>
      </w:pPr>
      <w:r>
        <w:rPr>
          <w:rFonts w:ascii="Arial Black" w:hAnsi="Arial Black"/>
          <w:b/>
          <w:sz w:val="24"/>
          <w:szCs w:val="24"/>
        </w:rPr>
        <w:t>5-46</w:t>
      </w:r>
    </w:p>
    <w:p w14:paraId="5385DA40" w14:textId="77777777" w:rsidR="001F2A28" w:rsidRPr="009D30FC" w:rsidRDefault="001F2A28" w:rsidP="001F2A28">
      <w:pPr>
        <w:rPr>
          <w:rFonts w:ascii="Arial Black" w:hAnsi="Arial Black"/>
          <w:b/>
          <w:bCs/>
          <w:sz w:val="28"/>
          <w:szCs w:val="28"/>
        </w:rPr>
      </w:pPr>
      <w:r w:rsidRPr="009D30FC">
        <w:rPr>
          <w:rFonts w:ascii="Arial Black" w:hAnsi="Arial Black"/>
          <w:b/>
          <w:bCs/>
          <w:sz w:val="28"/>
          <w:szCs w:val="28"/>
        </w:rPr>
        <w:t>PA: EMS LICENSE - 1-YR SUSP. REVERSED – 65 MPH / 40 ZONE – LIGHTS / SIREN - MOTORIST PULLED OUT / KILLED</w:t>
      </w:r>
    </w:p>
    <w:p w14:paraId="51E24838" w14:textId="35C84FCC" w:rsidR="001F2A28" w:rsidRPr="001F1BB0" w:rsidRDefault="001F2A28" w:rsidP="001F2A28">
      <w:pPr>
        <w:pStyle w:val="NoSpacing"/>
        <w:rPr>
          <w:rFonts w:ascii="Times New Roman" w:hAnsi="Times New Roman"/>
          <w:sz w:val="24"/>
          <w:szCs w:val="24"/>
        </w:rPr>
      </w:pPr>
      <w:r w:rsidRPr="001F1BB0">
        <w:rPr>
          <w:rFonts w:ascii="Times New Roman" w:hAnsi="Times New Roman"/>
          <w:sz w:val="24"/>
          <w:szCs w:val="24"/>
        </w:rPr>
        <w:t xml:space="preserve">On Oct. 24, </w:t>
      </w:r>
      <w:proofErr w:type="gramStart"/>
      <w:r w:rsidRPr="001F1BB0">
        <w:rPr>
          <w:rFonts w:ascii="Times New Roman" w:hAnsi="Times New Roman"/>
          <w:sz w:val="24"/>
          <w:szCs w:val="24"/>
        </w:rPr>
        <w:t>2024</w:t>
      </w:r>
      <w:proofErr w:type="gramEnd"/>
      <w:r w:rsidRPr="001F1BB0">
        <w:rPr>
          <w:rFonts w:ascii="Times New Roman" w:hAnsi="Times New Roman"/>
          <w:sz w:val="24"/>
          <w:szCs w:val="24"/>
        </w:rPr>
        <w:t xml:space="preserve"> in  </w:t>
      </w:r>
      <w:r w:rsidRPr="001F1BB0">
        <w:rPr>
          <w:rFonts w:ascii="Times New Roman" w:hAnsi="Times New Roman"/>
          <w:sz w:val="24"/>
          <w:szCs w:val="24"/>
          <w:u w:val="single"/>
        </w:rPr>
        <w:t>Steve E. Piotrowski v. Department of Health</w:t>
      </w:r>
      <w:r w:rsidRPr="001F1BB0">
        <w:rPr>
          <w:rFonts w:ascii="Times New Roman" w:hAnsi="Times New Roman"/>
          <w:sz w:val="24"/>
          <w:szCs w:val="24"/>
        </w:rPr>
        <w:t>, the Commonwealth of Pennsylvania held (3 to 0): “Steve E. Piotrowski (Piotrowski) petitions for review of an adjudication of the Department of Health (Health Department) that suspended his license as an</w:t>
      </w:r>
      <w:r w:rsidR="00594E74">
        <w:rPr>
          <w:rFonts w:ascii="Times New Roman" w:hAnsi="Times New Roman"/>
          <w:sz w:val="24"/>
          <w:szCs w:val="24"/>
        </w:rPr>
        <w:t xml:space="preserve"> </w:t>
      </w:r>
      <w:r w:rsidRPr="001F1BB0">
        <w:rPr>
          <w:rFonts w:ascii="Times New Roman" w:hAnsi="Times New Roman"/>
          <w:sz w:val="24"/>
          <w:szCs w:val="24"/>
        </w:rPr>
        <w:t xml:space="preserve">emergency medical services provider for operating an ambulance in a reckless manner. In doing so, the Health Department rejected the proposed adjudication of its hearing officer that Piotrowski’s operation of an ambulance </w:t>
      </w:r>
      <w:proofErr w:type="spellStart"/>
      <w:r w:rsidRPr="001F1BB0">
        <w:rPr>
          <w:rFonts w:ascii="Times New Roman" w:hAnsi="Times New Roman"/>
          <w:sz w:val="24"/>
          <w:szCs w:val="24"/>
        </w:rPr>
        <w:t>en</w:t>
      </w:r>
      <w:proofErr w:type="spellEnd"/>
      <w:r w:rsidRPr="001F1BB0">
        <w:rPr>
          <w:rFonts w:ascii="Times New Roman" w:hAnsi="Times New Roman"/>
          <w:sz w:val="24"/>
          <w:szCs w:val="24"/>
        </w:rPr>
        <w:t xml:space="preserve"> route to an emergency </w:t>
      </w:r>
      <w:proofErr w:type="gramStart"/>
      <w:r w:rsidRPr="001F1BB0">
        <w:rPr>
          <w:rFonts w:ascii="Times New Roman" w:hAnsi="Times New Roman"/>
          <w:sz w:val="24"/>
          <w:szCs w:val="24"/>
        </w:rPr>
        <w:t>in excess of</w:t>
      </w:r>
      <w:proofErr w:type="gramEnd"/>
      <w:r w:rsidRPr="001F1BB0">
        <w:rPr>
          <w:rFonts w:ascii="Times New Roman" w:hAnsi="Times New Roman"/>
          <w:sz w:val="24"/>
          <w:szCs w:val="24"/>
        </w:rPr>
        <w:t xml:space="preserve"> the posted speed limit did not, ipso facto, constitute reckless conduct. On appeal, Piotrowski argues that the Health Department </w:t>
      </w:r>
      <w:proofErr w:type="gramStart"/>
      <w:r w:rsidRPr="001F1BB0">
        <w:rPr>
          <w:rFonts w:ascii="Times New Roman" w:hAnsi="Times New Roman"/>
          <w:sz w:val="24"/>
          <w:szCs w:val="24"/>
        </w:rPr>
        <w:t>erred</w:t>
      </w:r>
      <w:proofErr w:type="gramEnd"/>
      <w:r w:rsidRPr="001F1BB0">
        <w:rPr>
          <w:rFonts w:ascii="Times New Roman" w:hAnsi="Times New Roman"/>
          <w:sz w:val="24"/>
          <w:szCs w:val="24"/>
        </w:rPr>
        <w:t xml:space="preserve"> in its rejection of the hearing officer’s interpretation and application of the term ‘reckless’ is set forth in Section 8121(a)(6) of the Emergency Medical Services System Act (EMS Act), 35 Pa. C.S. §8121(a)(6). After review, we reverse the Health Department’s adjudication.” </w:t>
      </w:r>
      <w:hyperlink r:id="rId987" w:history="1">
        <w:r w:rsidRPr="001F1BB0">
          <w:rPr>
            <w:rStyle w:val="Hyperlink"/>
            <w:rFonts w:ascii="Times New Roman" w:hAnsi="Times New Roman"/>
            <w:sz w:val="24"/>
            <w:szCs w:val="24"/>
          </w:rPr>
          <w:t>https://cases.justia.com/pennsylvania/commonwealth-court/2024-1232-c-d-2023.pdf?ts=1729783758</w:t>
        </w:r>
      </w:hyperlink>
      <w:r w:rsidRPr="001F1BB0">
        <w:rPr>
          <w:rFonts w:ascii="Times New Roman" w:hAnsi="Times New Roman"/>
          <w:sz w:val="24"/>
          <w:szCs w:val="24"/>
        </w:rPr>
        <w:t xml:space="preserve"> </w:t>
      </w:r>
    </w:p>
    <w:p w14:paraId="70F96415" w14:textId="77777777" w:rsidR="001F2A28" w:rsidRPr="001F1BB0" w:rsidRDefault="001F2A28" w:rsidP="001F2A28">
      <w:pPr>
        <w:pStyle w:val="NoSpacing"/>
        <w:rPr>
          <w:rFonts w:ascii="Times New Roman" w:hAnsi="Times New Roman"/>
          <w:sz w:val="24"/>
          <w:szCs w:val="24"/>
        </w:rPr>
      </w:pPr>
    </w:p>
    <w:p w14:paraId="36C9E5A8" w14:textId="77777777" w:rsidR="001F1BB0" w:rsidRPr="001F1BB0" w:rsidRDefault="001F1BB0" w:rsidP="001F1BB0">
      <w:pPr>
        <w:pStyle w:val="NoSpacing"/>
        <w:rPr>
          <w:rFonts w:ascii="Times New Roman" w:hAnsi="Times New Roman"/>
          <w:b/>
          <w:bCs/>
          <w:sz w:val="24"/>
          <w:szCs w:val="24"/>
        </w:rPr>
      </w:pPr>
      <w:r w:rsidRPr="001F1BB0">
        <w:rPr>
          <w:rFonts w:ascii="Times New Roman" w:hAnsi="Times New Roman"/>
          <w:b/>
          <w:sz w:val="24"/>
          <w:szCs w:val="24"/>
        </w:rPr>
        <w:t>Legal Lesson Learned:  Emergency run – 65 in 40 mph zone in rural area is not clearly reckless</w:t>
      </w:r>
      <w:r w:rsidRPr="001F1BB0">
        <w:rPr>
          <w:rFonts w:ascii="Times New Roman" w:hAnsi="Times New Roman"/>
          <w:b/>
          <w:bCs/>
          <w:sz w:val="24"/>
          <w:szCs w:val="24"/>
        </w:rPr>
        <w:t xml:space="preserve">. </w:t>
      </w:r>
    </w:p>
    <w:p w14:paraId="7C62346A" w14:textId="77777777" w:rsidR="00DE42DC" w:rsidRPr="001F1BB0" w:rsidRDefault="00DE42DC" w:rsidP="00EF1133">
      <w:pPr>
        <w:rPr>
          <w:rFonts w:ascii="Times New Roman" w:hAnsi="Times New Roman"/>
          <w:b/>
          <w:sz w:val="24"/>
          <w:szCs w:val="24"/>
        </w:rPr>
      </w:pPr>
    </w:p>
    <w:p w14:paraId="12095560" w14:textId="53C46569" w:rsidR="00DE42DC" w:rsidRDefault="00DE42DC" w:rsidP="00EF1133">
      <w:pPr>
        <w:rPr>
          <w:rFonts w:ascii="Arial Black" w:hAnsi="Arial Black"/>
          <w:b/>
          <w:sz w:val="24"/>
          <w:szCs w:val="24"/>
        </w:rPr>
      </w:pPr>
      <w:r>
        <w:rPr>
          <w:rFonts w:ascii="Arial Black" w:hAnsi="Arial Black"/>
          <w:b/>
          <w:sz w:val="24"/>
          <w:szCs w:val="24"/>
        </w:rPr>
        <w:t>5-45</w:t>
      </w:r>
    </w:p>
    <w:p w14:paraId="2870D18A" w14:textId="77777777" w:rsidR="00AC5D33" w:rsidRPr="009D30FC" w:rsidRDefault="00AC5D33" w:rsidP="00AC5D33">
      <w:pPr>
        <w:rPr>
          <w:rFonts w:ascii="Arial Black" w:hAnsi="Arial Black"/>
          <w:b/>
          <w:bCs/>
          <w:sz w:val="28"/>
          <w:szCs w:val="28"/>
        </w:rPr>
      </w:pPr>
      <w:r w:rsidRPr="009D30FC">
        <w:rPr>
          <w:rFonts w:ascii="Arial Black" w:hAnsi="Arial Black"/>
          <w:b/>
          <w:bCs/>
          <w:sz w:val="28"/>
          <w:szCs w:val="28"/>
        </w:rPr>
        <w:t>MI: AMBULANCE STRUCK BY MOTORIST – PATIENT DIED –EMS MAY BEEN EXCESIVE SPEED – NO IMMUNITY</w:t>
      </w:r>
    </w:p>
    <w:p w14:paraId="6D1572ED" w14:textId="77777777" w:rsidR="00AD7ECA" w:rsidRPr="00883F9B" w:rsidRDefault="00AD7ECA" w:rsidP="00AD7ECA">
      <w:pPr>
        <w:pStyle w:val="NoSpacing"/>
        <w:rPr>
          <w:rFonts w:ascii="Times New Roman" w:hAnsi="Times New Roman"/>
          <w:sz w:val="24"/>
          <w:szCs w:val="24"/>
        </w:rPr>
      </w:pPr>
      <w:r w:rsidRPr="00883F9B">
        <w:rPr>
          <w:rFonts w:ascii="Times New Roman" w:hAnsi="Times New Roman"/>
          <w:sz w:val="24"/>
          <w:szCs w:val="24"/>
        </w:rPr>
        <w:t xml:space="preserve">On Oct. 11, </w:t>
      </w:r>
      <w:proofErr w:type="gramStart"/>
      <w:r w:rsidRPr="00883F9B">
        <w:rPr>
          <w:rFonts w:ascii="Times New Roman" w:hAnsi="Times New Roman"/>
          <w:sz w:val="24"/>
          <w:szCs w:val="24"/>
        </w:rPr>
        <w:t>2024</w:t>
      </w:r>
      <w:proofErr w:type="gramEnd"/>
      <w:r w:rsidRPr="00883F9B">
        <w:rPr>
          <w:rFonts w:ascii="Times New Roman" w:hAnsi="Times New Roman"/>
          <w:sz w:val="24"/>
          <w:szCs w:val="24"/>
        </w:rPr>
        <w:t xml:space="preserve"> in Tia Gentry, personal representative of the estate of </w:t>
      </w:r>
      <w:r w:rsidRPr="00883F9B">
        <w:rPr>
          <w:rFonts w:ascii="Times New Roman" w:hAnsi="Times New Roman"/>
          <w:sz w:val="24"/>
          <w:szCs w:val="24"/>
          <w:u w:val="single"/>
        </w:rPr>
        <w:t>Delana Gentry v. Ryan Baugh; City of Detroit; et al.,</w:t>
      </w:r>
      <w:r w:rsidRPr="00883F9B">
        <w:rPr>
          <w:rFonts w:ascii="Times New Roman" w:hAnsi="Times New Roman"/>
          <w:sz w:val="24"/>
          <w:szCs w:val="24"/>
        </w:rPr>
        <w:t xml:space="preserve"> the Michigan Court of Appeals held (3 to 0): “In sum, as the record currently stands, there are genuine issues of material fact whether [firefighter] Baugh was negligent in his operation of the ambulance. The trial court accordingly did not err by denying defendants’ motion for summary disposition under MCR 2.116(C)(7) on grounds that plaintiff’s claims were barred by governmental immunity.” </w:t>
      </w:r>
      <w:hyperlink r:id="rId988" w:history="1">
        <w:r w:rsidRPr="00883F9B">
          <w:rPr>
            <w:rStyle w:val="Hyperlink"/>
            <w:rFonts w:ascii="Times New Roman" w:hAnsi="Times New Roman"/>
            <w:sz w:val="24"/>
            <w:szCs w:val="24"/>
          </w:rPr>
          <w:t>https://cases.justia.com/michigan/court-of-appeals-unpublished/2024-367862.pdf?ts=1728738006</w:t>
        </w:r>
      </w:hyperlink>
      <w:r w:rsidRPr="00883F9B">
        <w:rPr>
          <w:rFonts w:ascii="Times New Roman" w:hAnsi="Times New Roman"/>
          <w:sz w:val="24"/>
          <w:szCs w:val="24"/>
        </w:rPr>
        <w:t xml:space="preserve"> </w:t>
      </w:r>
    </w:p>
    <w:p w14:paraId="6AE6DC9D" w14:textId="77777777" w:rsidR="00AD7ECA" w:rsidRPr="00883F9B" w:rsidRDefault="00AD7ECA" w:rsidP="00AD7ECA">
      <w:pPr>
        <w:pStyle w:val="NoSpacing"/>
        <w:rPr>
          <w:rFonts w:ascii="Times New Roman" w:hAnsi="Times New Roman"/>
          <w:sz w:val="24"/>
          <w:szCs w:val="24"/>
        </w:rPr>
      </w:pPr>
    </w:p>
    <w:p w14:paraId="3F8ECE6A" w14:textId="77777777" w:rsidR="00883F9B" w:rsidRPr="00883F9B" w:rsidRDefault="00883F9B" w:rsidP="00883F9B">
      <w:pPr>
        <w:pStyle w:val="NoSpacing"/>
        <w:jc w:val="both"/>
        <w:rPr>
          <w:rFonts w:ascii="Times New Roman" w:hAnsi="Times New Roman"/>
          <w:b/>
          <w:bCs/>
          <w:sz w:val="24"/>
          <w:szCs w:val="24"/>
        </w:rPr>
      </w:pPr>
      <w:r w:rsidRPr="00883F9B">
        <w:rPr>
          <w:rFonts w:ascii="Times New Roman" w:hAnsi="Times New Roman"/>
          <w:b/>
          <w:sz w:val="24"/>
          <w:szCs w:val="24"/>
        </w:rPr>
        <w:t xml:space="preserve">Legal Lesson Learned: In deposition, </w:t>
      </w:r>
      <w:r w:rsidRPr="00883F9B">
        <w:rPr>
          <w:rFonts w:ascii="Times New Roman" w:hAnsi="Times New Roman"/>
          <w:b/>
          <w:bCs/>
          <w:sz w:val="24"/>
          <w:szCs w:val="24"/>
        </w:rPr>
        <w:t xml:space="preserve">EMS driver was not clear about speed. </w:t>
      </w:r>
      <w:r w:rsidRPr="00883F9B">
        <w:rPr>
          <w:rFonts w:ascii="Times New Roman" w:hAnsi="Times New Roman"/>
          <w:b/>
          <w:sz w:val="24"/>
          <w:szCs w:val="24"/>
        </w:rPr>
        <w:t xml:space="preserve"> </w:t>
      </w:r>
    </w:p>
    <w:p w14:paraId="71F9617A" w14:textId="77777777" w:rsidR="00DE42DC" w:rsidRPr="00883F9B" w:rsidRDefault="00DE42DC" w:rsidP="00EF1133">
      <w:pPr>
        <w:rPr>
          <w:rFonts w:ascii="Times New Roman" w:hAnsi="Times New Roman"/>
          <w:b/>
          <w:sz w:val="24"/>
          <w:szCs w:val="24"/>
        </w:rPr>
      </w:pPr>
    </w:p>
    <w:p w14:paraId="4084C568" w14:textId="77777777" w:rsidR="001F1BB0" w:rsidRDefault="001F1BB0" w:rsidP="00EF1133">
      <w:pPr>
        <w:rPr>
          <w:rFonts w:ascii="Arial Black" w:hAnsi="Arial Black"/>
          <w:b/>
          <w:sz w:val="24"/>
          <w:szCs w:val="24"/>
        </w:rPr>
      </w:pPr>
    </w:p>
    <w:p w14:paraId="7435CBD4" w14:textId="0B1CFBED" w:rsidR="00FC2C67" w:rsidRDefault="00FC2C67" w:rsidP="00EF1133">
      <w:pPr>
        <w:rPr>
          <w:rFonts w:ascii="Arial Black" w:hAnsi="Arial Black"/>
          <w:b/>
          <w:sz w:val="24"/>
          <w:szCs w:val="24"/>
        </w:rPr>
      </w:pPr>
      <w:r>
        <w:rPr>
          <w:rFonts w:ascii="Arial Black" w:hAnsi="Arial Black"/>
          <w:b/>
          <w:sz w:val="24"/>
          <w:szCs w:val="24"/>
        </w:rPr>
        <w:t>5-44</w:t>
      </w:r>
    </w:p>
    <w:p w14:paraId="632106F1" w14:textId="77777777" w:rsidR="00FC2C67" w:rsidRPr="004407E2" w:rsidRDefault="00FC2C67" w:rsidP="00FC2C67">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TX: CAPTAIN IN FD VEHICLE – STOPPED FOR GAS / MVA – CITY CAN BE SUED – EXCEPTION “GOING &amp; COMING RULE”</w:t>
      </w:r>
    </w:p>
    <w:p w14:paraId="05143EB8" w14:textId="77777777" w:rsidR="00FC2C67" w:rsidRPr="008F6524" w:rsidRDefault="00FC2C67" w:rsidP="00FC2C67">
      <w:pPr>
        <w:pStyle w:val="NormalWeb"/>
        <w:rPr>
          <w:color w:val="454545"/>
          <w:shd w:val="clear" w:color="auto" w:fill="FFFFFF"/>
        </w:rPr>
      </w:pPr>
      <w:r w:rsidRPr="008F6524">
        <w:rPr>
          <w:color w:val="454545"/>
          <w:shd w:val="clear" w:color="auto" w:fill="FFFFFF"/>
        </w:rPr>
        <w:t xml:space="preserve">On July 16, 2024, in </w:t>
      </w:r>
      <w:r w:rsidRPr="008F6524">
        <w:rPr>
          <w:color w:val="454545"/>
          <w:u w:val="single"/>
          <w:shd w:val="clear" w:color="auto" w:fill="FFFFFF"/>
        </w:rPr>
        <w:t>The City of Houston v. Amber Stoffer</w:t>
      </w:r>
      <w:r w:rsidRPr="008F6524">
        <w:rPr>
          <w:color w:val="454545"/>
          <w:shd w:val="clear" w:color="auto" w:fill="FFFFFF"/>
        </w:rPr>
        <w:t xml:space="preserve">, the Court of Appeals of Texas, First District, held (3 to 0) that trial court properly denied the City’s motion for summary judgment; under the City’s tort claim act it can be sued for damages incurred by employees “acting within the scope of employment.”  </w:t>
      </w:r>
      <w:r w:rsidRPr="008F6524">
        <w:rPr>
          <w:shd w:val="clear" w:color="auto" w:fill="FFFFFF"/>
        </w:rPr>
        <w:t>Under the “coming-and-going rule,” an employee is generally not acting within the scope of her employment when traveling to and from work</w:t>
      </w:r>
      <w:r w:rsidRPr="008F6524">
        <w:rPr>
          <w:color w:val="454545"/>
          <w:shd w:val="clear" w:color="auto" w:fill="FFFFFF"/>
        </w:rPr>
        <w:t xml:space="preserve">. However, since the </w:t>
      </w:r>
      <w:proofErr w:type="gramStart"/>
      <w:r w:rsidRPr="008F6524">
        <w:rPr>
          <w:color w:val="454545"/>
          <w:shd w:val="clear" w:color="auto" w:fill="FFFFFF"/>
        </w:rPr>
        <w:t>Captain</w:t>
      </w:r>
      <w:proofErr w:type="gramEnd"/>
      <w:r w:rsidRPr="008F6524">
        <w:rPr>
          <w:color w:val="454545"/>
          <w:shd w:val="clear" w:color="auto" w:fill="FFFFFF"/>
        </w:rPr>
        <w:t xml:space="preserve"> stopped for gas for FD vehicle, after conducting training at </w:t>
      </w:r>
      <w:proofErr w:type="gramStart"/>
      <w:r w:rsidRPr="008F6524">
        <w:rPr>
          <w:color w:val="454545"/>
          <w:shd w:val="clear" w:color="auto" w:fill="FFFFFF"/>
        </w:rPr>
        <w:t>a FD</w:t>
      </w:r>
      <w:proofErr w:type="gramEnd"/>
      <w:r w:rsidRPr="008F6524">
        <w:rPr>
          <w:color w:val="454545"/>
          <w:shd w:val="clear" w:color="auto" w:fill="FFFFFF"/>
        </w:rPr>
        <w:t xml:space="preserve"> station (the fire station pump was not working), there is a presumption she was acting within scope of her employment and jury can decide that question of fact. </w:t>
      </w:r>
      <w:hyperlink r:id="rId989" w:history="1">
        <w:r w:rsidRPr="008F6524">
          <w:rPr>
            <w:rStyle w:val="Hyperlink"/>
            <w:shd w:val="clear" w:color="auto" w:fill="FFFFFF"/>
          </w:rPr>
          <w:t>https://casetext.com/case/the-city-of-houston-v-stoffer</w:t>
        </w:r>
      </w:hyperlink>
      <w:r w:rsidRPr="008F6524">
        <w:rPr>
          <w:color w:val="454545"/>
          <w:shd w:val="clear" w:color="auto" w:fill="FFFFFF"/>
        </w:rPr>
        <w:t xml:space="preserve"> </w:t>
      </w:r>
    </w:p>
    <w:p w14:paraId="74B6D349" w14:textId="77777777" w:rsidR="00FC2C67" w:rsidRPr="008F6524" w:rsidRDefault="00FC2C67" w:rsidP="00FC2C67">
      <w:pPr>
        <w:pStyle w:val="NormalWeb"/>
        <w:rPr>
          <w:color w:val="454545"/>
          <w:shd w:val="clear" w:color="auto" w:fill="FFFFFF"/>
        </w:rPr>
      </w:pPr>
      <w:r w:rsidRPr="008F6524">
        <w:rPr>
          <w:color w:val="454545"/>
          <w:shd w:val="clear" w:color="auto" w:fill="FFFFFF"/>
        </w:rPr>
        <w:t xml:space="preserve">THE COURT HELD: </w:t>
      </w:r>
    </w:p>
    <w:p w14:paraId="24D48B70"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5330E">
        <w:rPr>
          <w:rFonts w:ascii="Times New Roman" w:hAnsi="Times New Roman"/>
          <w:sz w:val="24"/>
          <w:szCs w:val="24"/>
          <w:shd w:val="clear" w:color="auto" w:fill="FFFFFF"/>
        </w:rPr>
        <w:t>Because conflicting inferences could be drawn from Captain Tollett's affidavit and deposition testimony, and we resolve doubts in Stoffer's favor, Captain Tollett's statements that she stopped at the convenience store to refuel her city-issued vehicle is some evidence that she was not merely stopping for personal needs.</w:t>
      </w:r>
    </w:p>
    <w:p w14:paraId="08F5FB2B"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5FB14BEE" w14:textId="77777777" w:rsidR="00FC2C67" w:rsidRDefault="00FC2C67" w:rsidP="00FC2C67">
      <w:pPr>
        <w:pStyle w:val="NoSpacing"/>
        <w:rPr>
          <w:rFonts w:ascii="Times New Roman" w:hAnsi="Times New Roman"/>
          <w:sz w:val="24"/>
          <w:szCs w:val="24"/>
          <w:shd w:val="clear" w:color="auto" w:fill="FFFFFF"/>
        </w:rPr>
      </w:pPr>
    </w:p>
    <w:p w14:paraId="2FBAC2DA" w14:textId="77777777" w:rsidR="00FC2C67" w:rsidRDefault="00FC2C67" w:rsidP="00FC2C67">
      <w:pPr>
        <w:pStyle w:val="NoSpacing"/>
        <w:ind w:left="720"/>
        <w:rPr>
          <w:rFonts w:ascii="Times New Roman" w:hAnsi="Times New Roman"/>
          <w:sz w:val="24"/>
          <w:szCs w:val="24"/>
          <w:shd w:val="clear" w:color="auto" w:fill="FFFFFF"/>
        </w:rPr>
      </w:pPr>
      <w:r w:rsidRPr="006924EE">
        <w:rPr>
          <w:rFonts w:ascii="Times New Roman" w:hAnsi="Times New Roman"/>
          <w:sz w:val="24"/>
          <w:szCs w:val="24"/>
          <w:shd w:val="clear" w:color="auto" w:fill="FFFFFF"/>
        </w:rPr>
        <w:t xml:space="preserve">The TTCA's limited waiver of immunity for motor vehicles only applies if the government employee was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acting within the scope of employment</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at the time of the alleged event. </w:t>
      </w:r>
      <w:hyperlink r:id="rId990" w:history="1">
        <w:r w:rsidRPr="006924EE">
          <w:rPr>
            <w:rStyle w:val="Hyperlink"/>
            <w:rFonts w:ascii="Times New Roman" w:hAnsi="Times New Roman"/>
            <w:sz w:val="24"/>
            <w:szCs w:val="24"/>
            <w:shd w:val="clear" w:color="auto" w:fill="FFFFFF"/>
          </w:rPr>
          <w:t xml:space="preserve">Tex. Civ. </w:t>
        </w:r>
        <w:proofErr w:type="spellStart"/>
        <w:r w:rsidRPr="006924EE">
          <w:rPr>
            <w:rStyle w:val="Hyperlink"/>
            <w:rFonts w:ascii="Times New Roman" w:hAnsi="Times New Roman"/>
            <w:sz w:val="24"/>
            <w:szCs w:val="24"/>
            <w:shd w:val="clear" w:color="auto" w:fill="FFFFFF"/>
          </w:rPr>
          <w:t>Prac</w:t>
        </w:r>
        <w:proofErr w:type="spellEnd"/>
        <w:r w:rsidRPr="006924EE">
          <w:rPr>
            <w:rStyle w:val="Hyperlink"/>
            <w:rFonts w:ascii="Times New Roman" w:hAnsi="Times New Roman"/>
            <w:sz w:val="24"/>
            <w:szCs w:val="24"/>
            <w:shd w:val="clear" w:color="auto" w:fill="FFFFFF"/>
          </w:rPr>
          <w:t>. &amp; Rem. Code § 101.021(1)</w:t>
        </w:r>
      </w:hyperlink>
      <w:r w:rsidRPr="006924EE">
        <w:rPr>
          <w:rFonts w:ascii="Times New Roman" w:hAnsi="Times New Roman"/>
          <w:sz w:val="24"/>
          <w:szCs w:val="24"/>
          <w:shd w:val="clear" w:color="auto" w:fill="FFFFFF"/>
        </w:rPr>
        <w:t xml:space="preserve">. The TTCA defines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scope of employment</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the performance for a governmental unit of the duties of an employee's office or employment and includes being in and about the performance of a task lawfully assigned to an employee by competent authority.</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w:t>
      </w:r>
      <w:r w:rsidRPr="006924EE">
        <w:rPr>
          <w:rFonts w:ascii="Times New Roman" w:hAnsi="Times New Roman"/>
          <w:i/>
          <w:iCs/>
          <w:sz w:val="24"/>
          <w:szCs w:val="24"/>
          <w:shd w:val="clear" w:color="auto" w:fill="FFFFFF"/>
        </w:rPr>
        <w:t>Id.</w:t>
      </w:r>
      <w:r w:rsidRPr="006924EE">
        <w:rPr>
          <w:rFonts w:ascii="Times New Roman" w:hAnsi="Times New Roman"/>
          <w:sz w:val="24"/>
          <w:szCs w:val="24"/>
          <w:shd w:val="clear" w:color="auto" w:fill="FFFFFF"/>
        </w:rPr>
        <w:t xml:space="preserve"> § 101.001(5).</w:t>
      </w:r>
    </w:p>
    <w:p w14:paraId="2AD1F36C" w14:textId="77777777" w:rsidR="00FC2C67" w:rsidRDefault="00FC2C67" w:rsidP="00FC2C67">
      <w:pPr>
        <w:pStyle w:val="NoSpacing"/>
        <w:ind w:left="720"/>
        <w:rPr>
          <w:rFonts w:ascii="Times New Roman" w:hAnsi="Times New Roman"/>
          <w:sz w:val="24"/>
          <w:szCs w:val="24"/>
          <w:shd w:val="clear" w:color="auto" w:fill="FFFFFF"/>
        </w:rPr>
      </w:pPr>
    </w:p>
    <w:p w14:paraId="537441FC"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2E1452E4" w14:textId="77777777" w:rsidR="00FC2C67" w:rsidRDefault="00FC2C67" w:rsidP="00FC2C67">
      <w:pPr>
        <w:pStyle w:val="NoSpacing"/>
        <w:rPr>
          <w:rFonts w:ascii="Times New Roman" w:hAnsi="Times New Roman"/>
          <w:sz w:val="24"/>
          <w:szCs w:val="24"/>
          <w:shd w:val="clear" w:color="auto" w:fill="FFFFFF"/>
        </w:rPr>
      </w:pPr>
    </w:p>
    <w:p w14:paraId="5CBCAF58" w14:textId="77777777" w:rsidR="00FC2C67" w:rsidRDefault="00FC2C67" w:rsidP="00FC2C67">
      <w:pPr>
        <w:pStyle w:val="NoSpacing"/>
        <w:ind w:left="720"/>
        <w:rPr>
          <w:rFonts w:ascii="Times New Roman" w:hAnsi="Times New Roman"/>
          <w:sz w:val="24"/>
          <w:szCs w:val="24"/>
          <w:shd w:val="clear" w:color="auto" w:fill="FFFFFF"/>
        </w:rPr>
      </w:pPr>
      <w:r w:rsidRPr="00D442E3">
        <w:rPr>
          <w:rFonts w:ascii="Times New Roman" w:hAnsi="Times New Roman"/>
          <w:sz w:val="24"/>
          <w:szCs w:val="24"/>
          <w:shd w:val="clear" w:color="auto" w:fill="FFFFFF"/>
        </w:rPr>
        <w:t xml:space="preserve">Under the </w:t>
      </w:r>
      <w:r>
        <w:rPr>
          <w:rFonts w:ascii="Times New Roman" w:hAnsi="Times New Roman"/>
          <w:sz w:val="24"/>
          <w:szCs w:val="24"/>
          <w:shd w:val="clear" w:color="auto" w:fill="FFFFFF"/>
        </w:rPr>
        <w:t>‘</w:t>
      </w:r>
      <w:r w:rsidRPr="00D442E3">
        <w:rPr>
          <w:rFonts w:ascii="Times New Roman" w:hAnsi="Times New Roman"/>
          <w:sz w:val="24"/>
          <w:szCs w:val="24"/>
          <w:shd w:val="clear" w:color="auto" w:fill="FFFFFF"/>
        </w:rPr>
        <w:t>coming-and-going rule,</w:t>
      </w:r>
      <w:r>
        <w:rPr>
          <w:rFonts w:ascii="Times New Roman" w:hAnsi="Times New Roman"/>
          <w:sz w:val="24"/>
          <w:szCs w:val="24"/>
          <w:shd w:val="clear" w:color="auto" w:fill="FFFFFF"/>
        </w:rPr>
        <w:t>’</w:t>
      </w:r>
      <w:r w:rsidRPr="00D442E3">
        <w:rPr>
          <w:rFonts w:ascii="Times New Roman" w:hAnsi="Times New Roman"/>
          <w:sz w:val="24"/>
          <w:szCs w:val="24"/>
          <w:shd w:val="clear" w:color="auto" w:fill="FFFFFF"/>
        </w:rPr>
        <w:t xml:space="preserve"> an employee is generally not acting within the scope of her employment when traveling to and from work</w:t>
      </w:r>
      <w:r>
        <w:rPr>
          <w:rFonts w:ascii="Times New Roman" w:hAnsi="Times New Roman"/>
          <w:sz w:val="24"/>
          <w:szCs w:val="24"/>
          <w:shd w:val="clear" w:color="auto" w:fill="FFFFFF"/>
        </w:rPr>
        <w:t xml:space="preserve">…. </w:t>
      </w:r>
      <w:r w:rsidRPr="00111BB5">
        <w:rPr>
          <w:rFonts w:ascii="Times New Roman" w:hAnsi="Times New Roman"/>
          <w:sz w:val="24"/>
          <w:szCs w:val="24"/>
          <w:shd w:val="clear" w:color="auto" w:fill="FFFFFF"/>
        </w:rPr>
        <w:t>However, if the vehicle involved in the accident was owned by the defendant and the driver was an employee of the defendant, a presumption arises that the driver was acting within the scope of her employment when the accident occurred.</w:t>
      </w:r>
      <w:r>
        <w:rPr>
          <w:rFonts w:ascii="Times New Roman" w:hAnsi="Times New Roman"/>
          <w:sz w:val="24"/>
          <w:szCs w:val="24"/>
          <w:shd w:val="clear" w:color="auto" w:fill="FFFFFF"/>
        </w:rPr>
        <w:t>”</w:t>
      </w:r>
    </w:p>
    <w:p w14:paraId="4D9FBDDA" w14:textId="77777777" w:rsidR="00FC2C67" w:rsidRPr="00FD2FF9" w:rsidRDefault="00FC2C67" w:rsidP="00FC2C67">
      <w:pPr>
        <w:pStyle w:val="NoSpacing"/>
        <w:ind w:left="720"/>
        <w:rPr>
          <w:rFonts w:ascii="Times New Roman" w:hAnsi="Times New Roman"/>
          <w:sz w:val="24"/>
          <w:szCs w:val="24"/>
          <w:shd w:val="clear" w:color="auto" w:fill="FFFFFF"/>
        </w:rPr>
      </w:pPr>
    </w:p>
    <w:p w14:paraId="5E544D29" w14:textId="09DF6F51" w:rsidR="00FC2C67" w:rsidRDefault="007A4CFB" w:rsidP="00EF1133">
      <w:pPr>
        <w:rPr>
          <w:rFonts w:ascii="Arial Black" w:hAnsi="Arial Black"/>
          <w:b/>
          <w:sz w:val="24"/>
          <w:szCs w:val="24"/>
        </w:rPr>
      </w:pPr>
      <w:r w:rsidRPr="00601FA7">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The “coming and going” to work rule, where employer normally cannot be sued, doesn’t apply when employee operating FD vehicle and stopping for gas</w:t>
      </w:r>
    </w:p>
    <w:p w14:paraId="0AE89C20" w14:textId="77777777" w:rsidR="00FC2C67" w:rsidRDefault="00FC2C67" w:rsidP="00EF1133">
      <w:pPr>
        <w:rPr>
          <w:rFonts w:ascii="Arial Black" w:hAnsi="Arial Black"/>
          <w:b/>
          <w:sz w:val="24"/>
          <w:szCs w:val="24"/>
        </w:rPr>
      </w:pPr>
    </w:p>
    <w:p w14:paraId="3C58D07C" w14:textId="77777777" w:rsidR="00FC2C67" w:rsidRDefault="00FC2C67" w:rsidP="00EF1133">
      <w:pPr>
        <w:rPr>
          <w:rFonts w:ascii="Arial Black" w:hAnsi="Arial Black"/>
          <w:b/>
          <w:sz w:val="24"/>
          <w:szCs w:val="24"/>
        </w:rPr>
      </w:pPr>
    </w:p>
    <w:p w14:paraId="1780CDFF" w14:textId="18BA40E8" w:rsidR="00FC33D2" w:rsidRDefault="00FC33D2" w:rsidP="00EF1133">
      <w:pPr>
        <w:rPr>
          <w:rFonts w:ascii="Arial Black" w:hAnsi="Arial Black"/>
          <w:b/>
          <w:sz w:val="24"/>
          <w:szCs w:val="24"/>
        </w:rPr>
      </w:pPr>
      <w:r>
        <w:rPr>
          <w:rFonts w:ascii="Arial Black" w:hAnsi="Arial Black"/>
          <w:b/>
          <w:sz w:val="24"/>
          <w:szCs w:val="24"/>
        </w:rPr>
        <w:t>5-43</w:t>
      </w:r>
    </w:p>
    <w:p w14:paraId="48ED0278" w14:textId="77777777" w:rsidR="00FC33D2" w:rsidRPr="006A4945" w:rsidRDefault="00FC33D2" w:rsidP="00FC33D2">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PA: MENTAL STOLE ANBULANCE – HOUR LONG LOW SPEED CHASE - 4-8 YEARS IN PRISON – LOCK THE AMBULANCE</w:t>
      </w:r>
    </w:p>
    <w:p w14:paraId="47848432" w14:textId="77777777" w:rsidR="00FC33D2" w:rsidRDefault="00FC33D2" w:rsidP="00FC33D2">
      <w:pPr>
        <w:pStyle w:val="NormalWeb"/>
      </w:pPr>
      <w:r>
        <w:rPr>
          <w:color w:val="454545"/>
        </w:rPr>
        <w:t xml:space="preserve">On March 26, 2024, in </w:t>
      </w:r>
      <w:r w:rsidRPr="0003348E">
        <w:rPr>
          <w:color w:val="454545"/>
          <w:u w:val="single"/>
        </w:rPr>
        <w:t>Commonwealth of Pennsylvania v. Mark Giwerowski</w:t>
      </w:r>
      <w:r>
        <w:rPr>
          <w:color w:val="454545"/>
        </w:rPr>
        <w:t xml:space="preserve">, the Superior Court of Pennsylvania, held (3 to 0) that sentence was appropriate. Defendant waived jury trial; </w:t>
      </w:r>
      <w:r>
        <w:t xml:space="preserve">at the trial's conclusion, the court found defendant guilty of the remaining thirty-six offenses, which included robbery of a motor vehicle, aggravated assault-attempt to cause bodily injury to police or enumerated persons, and ten other felonies. </w:t>
      </w:r>
    </w:p>
    <w:p w14:paraId="046F1801"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1D03A65" w14:textId="77777777" w:rsidR="00FC33D2" w:rsidRDefault="00FC33D2" w:rsidP="00FC33D2">
      <w:pPr>
        <w:pStyle w:val="NormalWeb"/>
        <w:ind w:left="720" w:firstLine="60"/>
      </w:pPr>
      <w:r>
        <w:t xml:space="preserve">“Finally, while the prison sentence imposed for robbery of a motor vehicle was itself above the aggravated minimum range of the sentencing guidelines, Appellant was nonetheless convicted of </w:t>
      </w:r>
      <w:r w:rsidRPr="008F6094">
        <w:rPr>
          <w:rStyle w:val="Strong"/>
          <w:rFonts w:eastAsiaTheme="majorEastAsia"/>
        </w:rPr>
        <w:t>eleven other felony offenses</w:t>
      </w:r>
      <w:r w:rsidRPr="008F6094">
        <w:rPr>
          <w:b/>
          <w:bCs/>
        </w:rPr>
        <w:t>,</w:t>
      </w:r>
      <w:r>
        <w:t xml:space="preserve"> the sentences for all of which were run concurrently. Had the trial court exercised its discretion to run them consecutively, even if each was within the standard range, Appellant could have faced more than the minimum of ten years in prison that the Commonwealth requested. </w:t>
      </w:r>
    </w:p>
    <w:p w14:paraId="6C5D126D" w14:textId="77777777" w:rsidR="00FC33D2" w:rsidRDefault="00FC33D2" w:rsidP="00FC33D2">
      <w:pPr>
        <w:pStyle w:val="NormalWeb"/>
        <w:ind w:left="720"/>
      </w:pPr>
      <w:r>
        <w:t xml:space="preserve">For all the above reasons, we do not find that the sentence imposed by the trial court was the product of an abuse of its considerable sentencing discretion, and therefore it must be upheld.”  </w:t>
      </w:r>
      <w:hyperlink r:id="rId991" w:history="1">
        <w:r w:rsidRPr="006F5A98">
          <w:rPr>
            <w:rStyle w:val="Hyperlink"/>
          </w:rPr>
          <w:t>https://public.fastcase.com/H1P9uiW3J20SFp%2BGCG%2BxLdY6%2FSfit7cxFyw3bnS%2FOidOFypRHxHWNwsmGqo4fSQEV9JpTw1bCRB2JkBf6VgjErq%2BbrT9DkyICOjdjgBVHFs%3D?utm_medium=email&amp;_hsmi=226712652&amp;_hsenc=p2ANqtz-82_plk0g72fbRvFB8NjbgL3Ik8GBcsuuIrmbdbiUiPbF7Kb8UwG6VvxYNyc-qobM2A00y-E3aXbEp-pYTE9TR3ELyYBQ&amp;utm_content=226712652&amp;utm_source=hs_email</w:t>
        </w:r>
      </w:hyperlink>
      <w:r>
        <w:t xml:space="preserve"> </w:t>
      </w:r>
    </w:p>
    <w:p w14:paraId="56D8AA4C" w14:textId="77777777" w:rsidR="00FC33D2" w:rsidRPr="00BB5CED" w:rsidRDefault="00FC33D2" w:rsidP="00FC33D2">
      <w:pPr>
        <w:pStyle w:val="NormalWeb"/>
        <w:rPr>
          <w:b/>
          <w:bCs/>
        </w:rPr>
      </w:pPr>
      <w:r w:rsidRPr="00BB5CED">
        <w:rPr>
          <w:b/>
          <w:bCs/>
        </w:rPr>
        <w:t>Legal Lesson Learned:</w:t>
      </w:r>
      <w:r>
        <w:rPr>
          <w:b/>
          <w:bCs/>
        </w:rPr>
        <w:t xml:space="preserve"> When arriving at scene of mental call, turn off the ambulance and </w:t>
      </w:r>
      <w:proofErr w:type="gramStart"/>
      <w:r>
        <w:rPr>
          <w:b/>
          <w:bCs/>
        </w:rPr>
        <w:t>secured</w:t>
      </w:r>
      <w:proofErr w:type="gramEnd"/>
      <w:r>
        <w:rPr>
          <w:b/>
          <w:bCs/>
        </w:rPr>
        <w:t xml:space="preserve"> your keys. </w:t>
      </w:r>
    </w:p>
    <w:p w14:paraId="5109FC60" w14:textId="77777777" w:rsidR="00FC33D2" w:rsidRDefault="00FC33D2" w:rsidP="00FC33D2">
      <w:pPr>
        <w:pStyle w:val="NormalWeb"/>
        <w:rPr>
          <w:rFonts w:ascii="Arial Black" w:hAnsi="Arial Black"/>
          <w:sz w:val="28"/>
          <w:szCs w:val="28"/>
        </w:rPr>
      </w:pPr>
    </w:p>
    <w:p w14:paraId="04CC0FA7" w14:textId="77777777" w:rsidR="00FC33D2" w:rsidRDefault="00FC33D2" w:rsidP="00FC33D2">
      <w:pPr>
        <w:pStyle w:val="NoSpacing"/>
        <w:ind w:left="720"/>
        <w:rPr>
          <w:rFonts w:ascii="Times New Roman" w:hAnsi="Times New Roman"/>
          <w:sz w:val="24"/>
          <w:szCs w:val="24"/>
          <w:shd w:val="clear" w:color="auto" w:fill="FFFFFF"/>
        </w:rPr>
      </w:pPr>
    </w:p>
    <w:p w14:paraId="23813889" w14:textId="77777777" w:rsidR="00FC33D2" w:rsidRDefault="00FC33D2" w:rsidP="00FC33D2">
      <w:pPr>
        <w:pStyle w:val="NoSpacing"/>
        <w:rPr>
          <w:rFonts w:ascii="Times New Roman" w:hAnsi="Times New Roman"/>
          <w:sz w:val="24"/>
          <w:szCs w:val="24"/>
        </w:rPr>
      </w:pPr>
    </w:p>
    <w:p w14:paraId="502C4026" w14:textId="77777777" w:rsidR="00FC33D2" w:rsidRPr="00FC33D2" w:rsidRDefault="00FC33D2" w:rsidP="00FC33D2">
      <w:pPr>
        <w:pStyle w:val="NormalWeb"/>
        <w:shd w:val="clear" w:color="auto" w:fill="FFFFFF"/>
        <w:spacing w:before="0" w:beforeAutospacing="0"/>
        <w:rPr>
          <w:rFonts w:ascii="Arial Black" w:hAnsi="Arial Black"/>
        </w:rPr>
      </w:pPr>
      <w:r w:rsidRPr="00FC33D2">
        <w:rPr>
          <w:rFonts w:ascii="Arial Black" w:hAnsi="Arial Black"/>
        </w:rPr>
        <w:t>5-42</w:t>
      </w:r>
    </w:p>
    <w:p w14:paraId="75FF2F4D" w14:textId="4CA5CE31" w:rsidR="00FC33D2" w:rsidRPr="009C706C" w:rsidRDefault="00FC33D2" w:rsidP="00FC33D2">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TX: ENGINE TO DUMSTER FIRE – 10 MPH OVER, THROUGH RED LIGHT, COLLISION – NO GOVERNMENTAL IMMUNITY</w:t>
      </w:r>
    </w:p>
    <w:p w14:paraId="59C6A424" w14:textId="77777777" w:rsidR="00FC33D2" w:rsidRDefault="00FC33D2" w:rsidP="00FC33D2">
      <w:pPr>
        <w:pStyle w:val="NoSpacing"/>
        <w:rPr>
          <w:rFonts w:ascii="Times New Roman" w:hAnsi="Times New Roman"/>
          <w:sz w:val="24"/>
          <w:szCs w:val="24"/>
        </w:rPr>
      </w:pPr>
      <w:r>
        <w:rPr>
          <w:rFonts w:ascii="Times New Roman" w:hAnsi="Times New Roman"/>
          <w:sz w:val="24"/>
          <w:szCs w:val="24"/>
        </w:rPr>
        <w:t xml:space="preserve">On March 7, 2024, in </w:t>
      </w:r>
      <w:r w:rsidRPr="00B5059C">
        <w:rPr>
          <w:rFonts w:ascii="Times New Roman" w:hAnsi="Times New Roman"/>
          <w:sz w:val="24"/>
          <w:szCs w:val="24"/>
          <w:u w:val="single"/>
        </w:rPr>
        <w:t>City of Houston v. Chelsea Manning, et al</w:t>
      </w:r>
      <w:r>
        <w:rPr>
          <w:rFonts w:ascii="Times New Roman" w:hAnsi="Times New Roman"/>
          <w:sz w:val="24"/>
          <w:szCs w:val="24"/>
        </w:rPr>
        <w:t xml:space="preserve">., the Fourteenth Court of Appeals of Texas, held (3 to 0) that trial court properly denied their motion for summary judgment on the emergency response exception to tort liability; on this second appeal the city is again denied immunity. </w:t>
      </w:r>
    </w:p>
    <w:p w14:paraId="56BD4193" w14:textId="77777777" w:rsidR="003956F7" w:rsidRDefault="003956F7" w:rsidP="003956F7">
      <w:pPr>
        <w:pStyle w:val="NoSpacing"/>
        <w:rPr>
          <w:rFonts w:ascii="Times New Roman" w:hAnsi="Times New Roman"/>
          <w:sz w:val="24"/>
          <w:szCs w:val="24"/>
          <w:shd w:val="clear" w:color="auto" w:fill="FFFFFF"/>
        </w:rPr>
      </w:pPr>
    </w:p>
    <w:p w14:paraId="711A12B0" w14:textId="76FCAE72"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33205EC" w14:textId="77777777" w:rsidR="003956F7" w:rsidRDefault="003956F7" w:rsidP="00FC33D2">
      <w:pPr>
        <w:pStyle w:val="NoSpacing"/>
        <w:rPr>
          <w:rFonts w:ascii="Times New Roman" w:hAnsi="Times New Roman"/>
          <w:sz w:val="24"/>
          <w:szCs w:val="24"/>
        </w:rPr>
      </w:pPr>
    </w:p>
    <w:p w14:paraId="3493ECFE" w14:textId="77777777" w:rsidR="00FC33D2" w:rsidRDefault="00FC33D2" w:rsidP="00FC33D2">
      <w:pPr>
        <w:pStyle w:val="NoSpacing"/>
        <w:rPr>
          <w:rFonts w:ascii="Times New Roman" w:hAnsi="Times New Roman"/>
          <w:sz w:val="24"/>
          <w:szCs w:val="24"/>
        </w:rPr>
      </w:pPr>
    </w:p>
    <w:p w14:paraId="29F7A60A" w14:textId="77777777" w:rsidR="00FC33D2" w:rsidRPr="0011159F" w:rsidRDefault="00FC33D2" w:rsidP="00FC33D2">
      <w:pPr>
        <w:pStyle w:val="NoSpacing"/>
        <w:ind w:left="720"/>
        <w:rPr>
          <w:rFonts w:ascii="Times New Roman" w:hAnsi="Times New Roman"/>
          <w:sz w:val="24"/>
          <w:szCs w:val="24"/>
        </w:rPr>
      </w:pPr>
      <w:r>
        <w:rPr>
          <w:rFonts w:ascii="Times New Roman" w:hAnsi="Times New Roman"/>
          <w:sz w:val="24"/>
          <w:szCs w:val="24"/>
        </w:rPr>
        <w:t>“T</w:t>
      </w:r>
      <w:r w:rsidRPr="0011159F">
        <w:rPr>
          <w:rFonts w:ascii="Times New Roman" w:hAnsi="Times New Roman"/>
          <w:sz w:val="24"/>
          <w:szCs w:val="24"/>
        </w:rPr>
        <w:t>his is the second appeal by the City of Houston in this personal injury suit</w:t>
      </w:r>
    </w:p>
    <w:p w14:paraId="1CA99857" w14:textId="77777777" w:rsidR="00FC33D2" w:rsidRPr="0011159F" w:rsidRDefault="00FC33D2" w:rsidP="00FC33D2">
      <w:pPr>
        <w:pStyle w:val="NoSpacing"/>
        <w:ind w:left="720"/>
        <w:rPr>
          <w:rFonts w:ascii="Times New Roman" w:hAnsi="Times New Roman"/>
          <w:sz w:val="24"/>
          <w:szCs w:val="24"/>
        </w:rPr>
      </w:pPr>
      <w:r w:rsidRPr="0011159F">
        <w:rPr>
          <w:rFonts w:ascii="Times New Roman" w:hAnsi="Times New Roman"/>
          <w:sz w:val="24"/>
          <w:szCs w:val="24"/>
        </w:rPr>
        <w:t>arising from a collision between a fire truck and appellees’ vehicle. In the first</w:t>
      </w:r>
    </w:p>
    <w:p w14:paraId="3145F8C1" w14:textId="77777777" w:rsidR="00FC33D2" w:rsidRPr="0011159F" w:rsidRDefault="00FC33D2" w:rsidP="00FC33D2">
      <w:pPr>
        <w:pStyle w:val="NoSpacing"/>
        <w:ind w:left="720"/>
        <w:rPr>
          <w:rFonts w:ascii="Times New Roman" w:hAnsi="Times New Roman"/>
          <w:sz w:val="24"/>
          <w:szCs w:val="24"/>
        </w:rPr>
      </w:pPr>
      <w:r w:rsidRPr="0011159F">
        <w:rPr>
          <w:rFonts w:ascii="Times New Roman" w:hAnsi="Times New Roman"/>
          <w:sz w:val="24"/>
          <w:szCs w:val="24"/>
        </w:rPr>
        <w:t>appeal, the City challenged an order denying its traditional summary-judgment</w:t>
      </w:r>
    </w:p>
    <w:p w14:paraId="6464D1F6" w14:textId="77777777" w:rsidR="00FC33D2" w:rsidRPr="005E4DA9" w:rsidRDefault="00FC33D2" w:rsidP="00FC33D2">
      <w:pPr>
        <w:pStyle w:val="NoSpacing"/>
        <w:ind w:left="720"/>
        <w:rPr>
          <w:rFonts w:ascii="Times New Roman" w:hAnsi="Times New Roman"/>
          <w:sz w:val="24"/>
          <w:szCs w:val="24"/>
        </w:rPr>
      </w:pPr>
      <w:r w:rsidRPr="0011159F">
        <w:rPr>
          <w:rFonts w:ascii="Times New Roman" w:hAnsi="Times New Roman"/>
          <w:sz w:val="24"/>
          <w:szCs w:val="24"/>
        </w:rPr>
        <w:t>motion on immunity grounds. We held that a genuine and material fact questio</w:t>
      </w:r>
      <w:r>
        <w:rPr>
          <w:rFonts w:ascii="Times New Roman" w:hAnsi="Times New Roman"/>
          <w:sz w:val="24"/>
          <w:szCs w:val="24"/>
        </w:rPr>
        <w:t xml:space="preserve">n </w:t>
      </w:r>
      <w:r w:rsidRPr="005E4DA9">
        <w:rPr>
          <w:rFonts w:ascii="Times New Roman" w:hAnsi="Times New Roman"/>
          <w:sz w:val="24"/>
          <w:szCs w:val="24"/>
        </w:rPr>
        <w:t>existed as to the good-faith element of the City’s employee’s official immunity,</w:t>
      </w:r>
    </w:p>
    <w:p w14:paraId="0AD7C002" w14:textId="77777777" w:rsidR="00FC33D2" w:rsidRDefault="00FC33D2" w:rsidP="00FC33D2">
      <w:pPr>
        <w:pStyle w:val="NoSpacing"/>
        <w:ind w:left="720"/>
        <w:rPr>
          <w:rFonts w:ascii="Times New Roman" w:hAnsi="Times New Roman"/>
          <w:sz w:val="24"/>
          <w:szCs w:val="24"/>
        </w:rPr>
      </w:pPr>
      <w:r w:rsidRPr="005E4DA9">
        <w:rPr>
          <w:rFonts w:ascii="Times New Roman" w:hAnsi="Times New Roman"/>
          <w:sz w:val="24"/>
          <w:szCs w:val="24"/>
        </w:rPr>
        <w:t>and we affirmed in part the trial court’s denial of the City’s motion.</w:t>
      </w:r>
    </w:p>
    <w:p w14:paraId="11EDC6F3" w14:textId="77777777" w:rsidR="00FC33D2" w:rsidRDefault="00FC33D2" w:rsidP="00FC33D2">
      <w:pPr>
        <w:pStyle w:val="NoSpacing"/>
        <w:ind w:left="720"/>
        <w:rPr>
          <w:rFonts w:ascii="Times New Roman" w:hAnsi="Times New Roman"/>
          <w:sz w:val="24"/>
          <w:szCs w:val="24"/>
        </w:rPr>
      </w:pPr>
    </w:p>
    <w:p w14:paraId="69F610EC" w14:textId="77777777" w:rsidR="00FC33D2" w:rsidRDefault="00FC33D2" w:rsidP="00FC33D2">
      <w:pPr>
        <w:pStyle w:val="NoSpacing"/>
        <w:ind w:left="720"/>
        <w:rPr>
          <w:rFonts w:ascii="Times New Roman" w:hAnsi="Times New Roman"/>
          <w:sz w:val="24"/>
          <w:szCs w:val="24"/>
        </w:rPr>
      </w:pPr>
      <w:r>
        <w:rPr>
          <w:rFonts w:ascii="Times New Roman" w:hAnsi="Times New Roman"/>
          <w:sz w:val="24"/>
          <w:szCs w:val="24"/>
        </w:rPr>
        <w:t>***</w:t>
      </w:r>
    </w:p>
    <w:p w14:paraId="1FF413DD" w14:textId="77777777" w:rsidR="00FC33D2" w:rsidRDefault="00FC33D2" w:rsidP="00FC33D2">
      <w:pPr>
        <w:pStyle w:val="NoSpacing"/>
        <w:ind w:left="720"/>
        <w:rPr>
          <w:rFonts w:ascii="Times New Roman" w:hAnsi="Times New Roman"/>
          <w:sz w:val="24"/>
          <w:szCs w:val="24"/>
        </w:rPr>
      </w:pPr>
    </w:p>
    <w:p w14:paraId="71AACEDD"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After the first appeal, the City moved for summary judgment again on</w:t>
      </w:r>
    </w:p>
    <w:p w14:paraId="40CEDC5C"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immunity grounds, relying on its earlier evidence but adding some new evidence</w:t>
      </w:r>
    </w:p>
    <w:p w14:paraId="5AE89ACC"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and arguments. The trial court denied the City’s second motion. In this appeal, we</w:t>
      </w:r>
    </w:p>
    <w:p w14:paraId="28877B19" w14:textId="77777777" w:rsidR="00FC33D2" w:rsidRPr="00662D7E" w:rsidRDefault="00FC33D2" w:rsidP="00FC33D2">
      <w:pPr>
        <w:pStyle w:val="NoSpacing"/>
        <w:ind w:left="720"/>
        <w:rPr>
          <w:rFonts w:ascii="Times New Roman" w:hAnsi="Times New Roman"/>
          <w:sz w:val="24"/>
          <w:szCs w:val="24"/>
        </w:rPr>
      </w:pPr>
      <w:proofErr w:type="gramStart"/>
      <w:r w:rsidRPr="00662D7E">
        <w:rPr>
          <w:rFonts w:ascii="Times New Roman" w:hAnsi="Times New Roman"/>
          <w:sz w:val="24"/>
          <w:szCs w:val="24"/>
        </w:rPr>
        <w:t>again</w:t>
      </w:r>
      <w:proofErr w:type="gramEnd"/>
      <w:r w:rsidRPr="00662D7E">
        <w:rPr>
          <w:rFonts w:ascii="Times New Roman" w:hAnsi="Times New Roman"/>
          <w:sz w:val="24"/>
          <w:szCs w:val="24"/>
        </w:rPr>
        <w:t xml:space="preserve"> conclude that the City has not established conclusively that it is immune as a</w:t>
      </w:r>
    </w:p>
    <w:p w14:paraId="708A32A4" w14:textId="77777777" w:rsidR="00FC33D2" w:rsidRDefault="00FC33D2" w:rsidP="00FC33D2">
      <w:pPr>
        <w:pStyle w:val="NoSpacing"/>
        <w:ind w:left="720"/>
        <w:rPr>
          <w:rFonts w:ascii="Times New Roman" w:hAnsi="Times New Roman"/>
          <w:sz w:val="24"/>
          <w:szCs w:val="24"/>
        </w:rPr>
      </w:pPr>
      <w:r w:rsidRPr="00662D7E">
        <w:rPr>
          <w:rFonts w:ascii="Times New Roman" w:hAnsi="Times New Roman"/>
          <w:sz w:val="24"/>
          <w:szCs w:val="24"/>
        </w:rPr>
        <w:t>matter of law.</w:t>
      </w:r>
    </w:p>
    <w:p w14:paraId="00C59F24" w14:textId="77777777" w:rsidR="00FC33D2" w:rsidRDefault="00FC33D2" w:rsidP="00FC33D2">
      <w:pPr>
        <w:pStyle w:val="NoSpacing"/>
        <w:ind w:left="720"/>
        <w:rPr>
          <w:rFonts w:ascii="Times New Roman" w:hAnsi="Times New Roman"/>
          <w:sz w:val="24"/>
          <w:szCs w:val="24"/>
        </w:rPr>
      </w:pPr>
    </w:p>
    <w:p w14:paraId="3876C85F" w14:textId="77777777" w:rsidR="00FC33D2" w:rsidRDefault="00FC33D2" w:rsidP="00FC33D2">
      <w:pPr>
        <w:pStyle w:val="NoSpacing"/>
        <w:ind w:left="720"/>
        <w:rPr>
          <w:rFonts w:ascii="Times New Roman" w:hAnsi="Times New Roman"/>
          <w:sz w:val="24"/>
          <w:szCs w:val="24"/>
        </w:rPr>
      </w:pPr>
      <w:r>
        <w:rPr>
          <w:rFonts w:ascii="Times New Roman" w:hAnsi="Times New Roman"/>
          <w:sz w:val="24"/>
          <w:szCs w:val="24"/>
        </w:rPr>
        <w:t>***</w:t>
      </w:r>
    </w:p>
    <w:p w14:paraId="3FF1C95E" w14:textId="77777777" w:rsidR="00FC33D2" w:rsidRDefault="00FC33D2" w:rsidP="00FC33D2">
      <w:pPr>
        <w:pStyle w:val="NoSpacing"/>
        <w:ind w:left="720"/>
        <w:rPr>
          <w:rFonts w:ascii="Times New Roman" w:hAnsi="Times New Roman"/>
          <w:sz w:val="24"/>
          <w:szCs w:val="24"/>
        </w:rPr>
      </w:pPr>
    </w:p>
    <w:p w14:paraId="39C6ECD2" w14:textId="77777777" w:rsidR="00FC33D2" w:rsidRPr="00956F61" w:rsidRDefault="00FC33D2" w:rsidP="00FC33D2">
      <w:pPr>
        <w:pStyle w:val="NoSpacing"/>
        <w:ind w:left="720"/>
        <w:rPr>
          <w:rFonts w:ascii="Times New Roman" w:hAnsi="Times New Roman"/>
          <w:sz w:val="24"/>
          <w:szCs w:val="24"/>
        </w:rPr>
      </w:pPr>
      <w:r w:rsidRPr="00956F61">
        <w:rPr>
          <w:rFonts w:ascii="Times New Roman" w:hAnsi="Times New Roman"/>
          <w:sz w:val="24"/>
          <w:szCs w:val="24"/>
        </w:rPr>
        <w:t xml:space="preserve">Thus, fact questions </w:t>
      </w:r>
      <w:proofErr w:type="gramStart"/>
      <w:r w:rsidRPr="00956F61">
        <w:rPr>
          <w:rFonts w:ascii="Times New Roman" w:hAnsi="Times New Roman"/>
          <w:sz w:val="24"/>
          <w:szCs w:val="24"/>
        </w:rPr>
        <w:t>exist</w:t>
      </w:r>
      <w:proofErr w:type="gramEnd"/>
      <w:r w:rsidRPr="00956F61">
        <w:rPr>
          <w:rFonts w:ascii="Times New Roman" w:hAnsi="Times New Roman"/>
          <w:sz w:val="24"/>
          <w:szCs w:val="24"/>
        </w:rPr>
        <w:t xml:space="preserve"> whether the </w:t>
      </w:r>
      <w:proofErr w:type="gramStart"/>
      <w:r w:rsidRPr="00956F61">
        <w:rPr>
          <w:rFonts w:ascii="Times New Roman" w:hAnsi="Times New Roman"/>
          <w:sz w:val="24"/>
          <w:szCs w:val="24"/>
        </w:rPr>
        <w:t>City</w:t>
      </w:r>
      <w:proofErr w:type="gramEnd"/>
      <w:r w:rsidRPr="00956F61">
        <w:rPr>
          <w:rFonts w:ascii="Times New Roman" w:hAnsi="Times New Roman"/>
          <w:sz w:val="24"/>
          <w:szCs w:val="24"/>
        </w:rPr>
        <w:t xml:space="preserve"> complied with all three</w:t>
      </w:r>
      <w:r>
        <w:rPr>
          <w:rFonts w:ascii="Times New Roman" w:hAnsi="Times New Roman"/>
          <w:sz w:val="24"/>
          <w:szCs w:val="24"/>
        </w:rPr>
        <w:t xml:space="preserve"> </w:t>
      </w:r>
      <w:r w:rsidRPr="00956F61">
        <w:rPr>
          <w:rFonts w:ascii="Times New Roman" w:hAnsi="Times New Roman"/>
          <w:sz w:val="24"/>
          <w:szCs w:val="24"/>
        </w:rPr>
        <w:t>applicable laws it cited. A factfinder could reasonably conclude that Schmidt</w:t>
      </w:r>
      <w:r>
        <w:rPr>
          <w:rFonts w:ascii="Times New Roman" w:hAnsi="Times New Roman"/>
          <w:sz w:val="24"/>
          <w:szCs w:val="24"/>
        </w:rPr>
        <w:t xml:space="preserve"> </w:t>
      </w:r>
      <w:r w:rsidRPr="00956F61">
        <w:rPr>
          <w:rFonts w:ascii="Times New Roman" w:hAnsi="Times New Roman"/>
          <w:sz w:val="24"/>
          <w:szCs w:val="24"/>
        </w:rPr>
        <w:t>(1) drove above the speed limit, (2) did not slow his speed while entering the</w:t>
      </w:r>
      <w:r>
        <w:rPr>
          <w:rFonts w:ascii="Times New Roman" w:hAnsi="Times New Roman"/>
          <w:sz w:val="24"/>
          <w:szCs w:val="24"/>
        </w:rPr>
        <w:t xml:space="preserve"> </w:t>
      </w:r>
      <w:r w:rsidRPr="00956F61">
        <w:rPr>
          <w:rFonts w:ascii="Times New Roman" w:hAnsi="Times New Roman"/>
          <w:sz w:val="24"/>
          <w:szCs w:val="24"/>
        </w:rPr>
        <w:t>intersection, and (3) proceeded against a red light. Thus, disputed and material fact</w:t>
      </w:r>
      <w:r>
        <w:rPr>
          <w:rFonts w:ascii="Times New Roman" w:hAnsi="Times New Roman"/>
          <w:sz w:val="24"/>
          <w:szCs w:val="24"/>
        </w:rPr>
        <w:t xml:space="preserve"> </w:t>
      </w:r>
      <w:r w:rsidRPr="00956F61">
        <w:rPr>
          <w:rFonts w:ascii="Times New Roman" w:hAnsi="Times New Roman"/>
          <w:sz w:val="24"/>
          <w:szCs w:val="24"/>
        </w:rPr>
        <w:t>issues preclude summary judgment in the City’s favor on the emergency response</w:t>
      </w:r>
      <w:r>
        <w:rPr>
          <w:rFonts w:ascii="Times New Roman" w:hAnsi="Times New Roman"/>
          <w:sz w:val="24"/>
          <w:szCs w:val="24"/>
        </w:rPr>
        <w:t xml:space="preserve"> </w:t>
      </w:r>
      <w:proofErr w:type="gramStart"/>
      <w:r w:rsidRPr="00956F61">
        <w:rPr>
          <w:rFonts w:ascii="Times New Roman" w:hAnsi="Times New Roman"/>
          <w:sz w:val="24"/>
          <w:szCs w:val="24"/>
        </w:rPr>
        <w:t>exception.</w:t>
      </w:r>
      <w:r>
        <w:rPr>
          <w:rFonts w:ascii="Times New Roman" w:hAnsi="Times New Roman"/>
          <w:sz w:val="24"/>
          <w:szCs w:val="24"/>
        </w:rPr>
        <w:t>”</w:t>
      </w:r>
      <w:proofErr w:type="gramEnd"/>
      <w:r>
        <w:rPr>
          <w:rFonts w:ascii="Times New Roman" w:hAnsi="Times New Roman"/>
          <w:sz w:val="24"/>
          <w:szCs w:val="24"/>
        </w:rPr>
        <w:t xml:space="preserve"> </w:t>
      </w:r>
      <w:hyperlink r:id="rId992" w:history="1">
        <w:r w:rsidRPr="0090149E">
          <w:rPr>
            <w:rStyle w:val="Hyperlink"/>
            <w:rFonts w:ascii="Times New Roman" w:hAnsi="Times New Roman"/>
            <w:sz w:val="24"/>
            <w:szCs w:val="24"/>
          </w:rPr>
          <w:t>https://cases.justia.com/texas/fourteenth-court-of-appeals/2024-14-23-00087-cv.pdf?ts=1709819934</w:t>
        </w:r>
      </w:hyperlink>
      <w:r>
        <w:rPr>
          <w:rFonts w:ascii="Times New Roman" w:hAnsi="Times New Roman"/>
          <w:sz w:val="24"/>
          <w:szCs w:val="24"/>
        </w:rPr>
        <w:t xml:space="preserve"> </w:t>
      </w:r>
    </w:p>
    <w:p w14:paraId="72E9B41D" w14:textId="77777777" w:rsidR="00FC33D2" w:rsidRDefault="00FC33D2" w:rsidP="00FC33D2">
      <w:pPr>
        <w:pStyle w:val="NoSpacing"/>
        <w:ind w:left="720"/>
        <w:rPr>
          <w:rFonts w:ascii="Times New Roman" w:hAnsi="Times New Roman"/>
          <w:sz w:val="24"/>
          <w:szCs w:val="24"/>
        </w:rPr>
      </w:pPr>
    </w:p>
    <w:p w14:paraId="0AAFB88C" w14:textId="77777777" w:rsidR="00FC33D2" w:rsidRPr="00497100" w:rsidRDefault="00FC33D2" w:rsidP="00FC33D2">
      <w:pPr>
        <w:pStyle w:val="NoSpacing"/>
        <w:rPr>
          <w:b/>
          <w:bCs/>
          <w:color w:val="454545"/>
        </w:rPr>
      </w:pPr>
      <w:r w:rsidRPr="00497100">
        <w:rPr>
          <w:rFonts w:ascii="Times New Roman" w:hAnsi="Times New Roman"/>
          <w:b/>
          <w:bCs/>
          <w:sz w:val="24"/>
          <w:szCs w:val="24"/>
        </w:rPr>
        <w:t>Legal Lesson Learned:</w:t>
      </w:r>
      <w:r>
        <w:rPr>
          <w:rFonts w:ascii="Times New Roman" w:hAnsi="Times New Roman"/>
          <w:b/>
          <w:bCs/>
          <w:sz w:val="24"/>
          <w:szCs w:val="24"/>
        </w:rPr>
        <w:t xml:space="preserve"> On emergency response, proceed with due care and slow down at red lights to confirm safe to proceed.</w:t>
      </w:r>
    </w:p>
    <w:p w14:paraId="124777A7" w14:textId="77777777" w:rsidR="00FC33D2" w:rsidRPr="00497100" w:rsidRDefault="00FC33D2" w:rsidP="00FC33D2">
      <w:pPr>
        <w:pStyle w:val="NormalWeb"/>
        <w:spacing w:before="0" w:beforeAutospacing="0"/>
        <w:rPr>
          <w:b/>
          <w:bCs/>
          <w:color w:val="454545"/>
          <w:shd w:val="clear" w:color="auto" w:fill="FFFFFF"/>
        </w:rPr>
      </w:pPr>
    </w:p>
    <w:p w14:paraId="1A14ED05" w14:textId="06597828" w:rsidR="00A35726" w:rsidRDefault="00A35726" w:rsidP="00EF1133">
      <w:pPr>
        <w:rPr>
          <w:rFonts w:ascii="Arial Black" w:hAnsi="Arial Black"/>
          <w:b/>
          <w:sz w:val="24"/>
          <w:szCs w:val="24"/>
        </w:rPr>
      </w:pPr>
      <w:r>
        <w:rPr>
          <w:rFonts w:ascii="Arial Black" w:hAnsi="Arial Black"/>
          <w:b/>
          <w:sz w:val="24"/>
          <w:szCs w:val="24"/>
        </w:rPr>
        <w:t>5-41</w:t>
      </w:r>
    </w:p>
    <w:p w14:paraId="278A6B46" w14:textId="40B9F893" w:rsidR="00AD7949" w:rsidRPr="00D166AA" w:rsidRDefault="00AD7949" w:rsidP="00AD7949">
      <w:pPr>
        <w:pStyle w:val="NoSpacing"/>
        <w:rPr>
          <w:rFonts w:ascii="Arial Black" w:hAnsi="Arial Black"/>
          <w:sz w:val="28"/>
          <w:szCs w:val="28"/>
        </w:rPr>
      </w:pPr>
      <w:r>
        <w:rPr>
          <w:rFonts w:ascii="Arial Black" w:hAnsi="Arial Black"/>
          <w:sz w:val="28"/>
          <w:szCs w:val="28"/>
        </w:rPr>
        <w:t>OK: AMBULANCE SPEEDING WITH PATIENT RUNS INTO TOLL</w:t>
      </w:r>
      <w:r w:rsidR="00EC68FC">
        <w:rPr>
          <w:rFonts w:ascii="Arial Black" w:hAnsi="Arial Black"/>
          <w:sz w:val="28"/>
          <w:szCs w:val="28"/>
        </w:rPr>
        <w:t xml:space="preserve"> </w:t>
      </w:r>
      <w:r>
        <w:rPr>
          <w:rFonts w:ascii="Arial Black" w:hAnsi="Arial Black"/>
          <w:sz w:val="28"/>
          <w:szCs w:val="28"/>
        </w:rPr>
        <w:t xml:space="preserve">BOOTH – </w:t>
      </w:r>
      <w:r w:rsidR="00FE158F">
        <w:rPr>
          <w:rFonts w:ascii="Arial Black" w:hAnsi="Arial Black"/>
          <w:sz w:val="28"/>
          <w:szCs w:val="28"/>
        </w:rPr>
        <w:t xml:space="preserve">IMMUNITY - </w:t>
      </w:r>
      <w:r w:rsidR="00D25072">
        <w:rPr>
          <w:rFonts w:ascii="Arial Black" w:hAnsi="Arial Black"/>
          <w:sz w:val="28"/>
          <w:szCs w:val="28"/>
        </w:rPr>
        <w:t xml:space="preserve">TOLL BOTH OPERATOR </w:t>
      </w:r>
      <w:r>
        <w:rPr>
          <w:rFonts w:ascii="Arial Black" w:hAnsi="Arial Black"/>
          <w:sz w:val="28"/>
          <w:szCs w:val="28"/>
        </w:rPr>
        <w:t>G</w:t>
      </w:r>
      <w:r w:rsidR="00CD2ECE">
        <w:rPr>
          <w:rFonts w:ascii="Arial Black" w:hAnsi="Arial Black"/>
          <w:sz w:val="28"/>
          <w:szCs w:val="28"/>
        </w:rPr>
        <w:t>E</w:t>
      </w:r>
      <w:r>
        <w:rPr>
          <w:rFonts w:ascii="Arial Black" w:hAnsi="Arial Black"/>
          <w:sz w:val="28"/>
          <w:szCs w:val="28"/>
        </w:rPr>
        <w:t>T</w:t>
      </w:r>
      <w:r w:rsidR="00CD2ECE">
        <w:rPr>
          <w:rFonts w:ascii="Arial Black" w:hAnsi="Arial Black"/>
          <w:sz w:val="28"/>
          <w:szCs w:val="28"/>
        </w:rPr>
        <w:t>S</w:t>
      </w:r>
      <w:r>
        <w:rPr>
          <w:rFonts w:ascii="Arial Black" w:hAnsi="Arial Black"/>
          <w:sz w:val="28"/>
          <w:szCs w:val="28"/>
        </w:rPr>
        <w:t xml:space="preserve"> WORKERS COMP </w:t>
      </w:r>
    </w:p>
    <w:p w14:paraId="04421C59" w14:textId="77777777" w:rsidR="00AD7949" w:rsidRDefault="00AD7949" w:rsidP="00AD7949">
      <w:pPr>
        <w:pStyle w:val="Heading1"/>
        <w:rPr>
          <w:b w:val="0"/>
          <w:bCs w:val="0"/>
          <w:sz w:val="24"/>
          <w:szCs w:val="24"/>
          <w:u w:val="single"/>
        </w:rPr>
      </w:pPr>
      <w:r w:rsidRPr="00C07EB0">
        <w:rPr>
          <w:b w:val="0"/>
          <w:bCs w:val="0"/>
          <w:sz w:val="24"/>
          <w:szCs w:val="24"/>
        </w:rPr>
        <w:t xml:space="preserve">On Feb. 13, 2024, in </w:t>
      </w:r>
      <w:r w:rsidRPr="00C344F2">
        <w:rPr>
          <w:b w:val="0"/>
          <w:bCs w:val="0"/>
          <w:sz w:val="24"/>
          <w:szCs w:val="24"/>
          <w:u w:val="single"/>
        </w:rPr>
        <w:t>Jackson County Emergency Medical Service District v. The Honorable Kory S. Kirkland, Judge of the District Court for Grady County, State of Oklahoma</w:t>
      </w:r>
      <w:r w:rsidRPr="00C344F2">
        <w:rPr>
          <w:b w:val="0"/>
          <w:bCs w:val="0"/>
          <w:sz w:val="24"/>
          <w:szCs w:val="24"/>
        </w:rPr>
        <w:t xml:space="preserve">, </w:t>
      </w:r>
      <w:r>
        <w:rPr>
          <w:b w:val="0"/>
          <w:bCs w:val="0"/>
          <w:sz w:val="24"/>
          <w:szCs w:val="24"/>
        </w:rPr>
        <w:t xml:space="preserve">the Supreme Court of Oklahoma held (9 t0 0) that trial court improperly denied the Medical District’s motion to dismiss; it is a governmental entity of Jackson County, and under Oklahoma law, when an injured person[Shannon Garst, the injured toll-both attendant] collected worker’s comp from her employer,  </w:t>
      </w:r>
      <w:r w:rsidRPr="00247832">
        <w:rPr>
          <w:b w:val="0"/>
          <w:bCs w:val="0"/>
          <w:sz w:val="24"/>
          <w:szCs w:val="24"/>
        </w:rPr>
        <w:t>American Staff Corporation</w:t>
      </w:r>
      <w:r>
        <w:rPr>
          <w:b w:val="0"/>
          <w:bCs w:val="0"/>
          <w:sz w:val="24"/>
          <w:szCs w:val="24"/>
        </w:rPr>
        <w:t xml:space="preserve">, she cannot sue government agency. </w:t>
      </w:r>
    </w:p>
    <w:p w14:paraId="7746337B" w14:textId="77777777" w:rsidR="00AD7949" w:rsidRDefault="00AD7949" w:rsidP="00AD7949">
      <w:pPr>
        <w:pStyle w:val="Heading1"/>
        <w:rPr>
          <w:b w:val="0"/>
          <w:bCs w:val="0"/>
          <w:sz w:val="24"/>
          <w:szCs w:val="24"/>
        </w:rPr>
      </w:pPr>
      <w:r>
        <w:rPr>
          <w:b w:val="0"/>
          <w:bCs w:val="0"/>
          <w:sz w:val="24"/>
          <w:szCs w:val="24"/>
        </w:rPr>
        <w:t xml:space="preserve">The Court held:  </w:t>
      </w:r>
    </w:p>
    <w:p w14:paraId="5B31FBE1" w14:textId="77777777" w:rsidR="00AD7949" w:rsidRPr="006D7B0A" w:rsidRDefault="00AD7949" w:rsidP="00AD7949">
      <w:pPr>
        <w:pStyle w:val="NoSpacing"/>
        <w:ind w:left="720"/>
        <w:rPr>
          <w:rFonts w:ascii="Times New Roman" w:hAnsi="Times New Roman"/>
          <w:sz w:val="24"/>
          <w:szCs w:val="24"/>
        </w:rPr>
      </w:pPr>
      <w:r w:rsidRPr="006D7B0A">
        <w:rPr>
          <w:rFonts w:ascii="Times New Roman" w:hAnsi="Times New Roman"/>
          <w:sz w:val="24"/>
          <w:szCs w:val="24"/>
        </w:rPr>
        <w:t xml:space="preserve">“After an ambulance collided with a turnpike tollbooth, the injured toll-worker filed a lawsuit against the ambulance driver and her employer, the Jackson County Emergency Medical Services District. The medical district sought to dismiss the lawsuit. It argued that it was entitled to governmental immunity, and that the Governmental Tort Claims Act, 51 O.S. 2021 §155(14) applied to prohibit recovery because the toll-worker had recovered workers compensation benefits. The trial court denied the dismissal. The medical district filed an </w:t>
      </w:r>
      <w:proofErr w:type="gramStart"/>
      <w:r w:rsidRPr="006D7B0A">
        <w:rPr>
          <w:rFonts w:ascii="Times New Roman" w:hAnsi="Times New Roman"/>
          <w:sz w:val="24"/>
          <w:szCs w:val="24"/>
        </w:rPr>
        <w:t>Application</w:t>
      </w:r>
      <w:proofErr w:type="gramEnd"/>
      <w:r w:rsidRPr="006D7B0A">
        <w:rPr>
          <w:rFonts w:ascii="Times New Roman" w:hAnsi="Times New Roman"/>
          <w:sz w:val="24"/>
          <w:szCs w:val="24"/>
        </w:rPr>
        <w:t xml:space="preserve"> to Assume Original Jurisdiction and Petition for Writ of Prohibition in this Court to prevent the trial court from proceeding further. We assume original jurisdiction and grant the writ of prohibition by opinion. We hold that: 1) pursuant to the Okla. Const. art. 10, §9C, although the medical district is a unique entity, it is subject to lawsuits through its board of trustees to the same extent as any Oklahoma municipality or county; and 2) the Governmental Tort Claims Act, 51 O.S. 2021, §155(14) et seq., is applicable to preclude recovery.</w:t>
      </w:r>
      <w:r>
        <w:rPr>
          <w:rFonts w:ascii="Times New Roman" w:hAnsi="Times New Roman"/>
          <w:sz w:val="24"/>
          <w:szCs w:val="24"/>
        </w:rPr>
        <w:t xml:space="preserve">” </w:t>
      </w:r>
      <w:hyperlink r:id="rId993" w:history="1">
        <w:r w:rsidRPr="006D7B0A">
          <w:rPr>
            <w:rStyle w:val="Hyperlink"/>
            <w:rFonts w:ascii="Times New Roman" w:hAnsi="Times New Roman"/>
            <w:sz w:val="24"/>
            <w:szCs w:val="24"/>
          </w:rPr>
          <w:t>https://law.justia.com/cases/oklahoma/supreme-court/2024/121510.html</w:t>
        </w:r>
      </w:hyperlink>
      <w:r w:rsidRPr="006D7B0A">
        <w:rPr>
          <w:rFonts w:ascii="Times New Roman" w:hAnsi="Times New Roman"/>
          <w:sz w:val="24"/>
          <w:szCs w:val="24"/>
        </w:rPr>
        <w:t xml:space="preserve"> </w:t>
      </w:r>
    </w:p>
    <w:p w14:paraId="2798CCDE" w14:textId="77777777" w:rsidR="00AD7949" w:rsidRDefault="00AD7949" w:rsidP="00AD7949">
      <w:pPr>
        <w:pStyle w:val="NoSpacing"/>
        <w:rPr>
          <w:rFonts w:ascii="Times New Roman" w:hAnsi="Times New Roman"/>
          <w:sz w:val="24"/>
          <w:szCs w:val="24"/>
        </w:rPr>
      </w:pPr>
    </w:p>
    <w:p w14:paraId="2BF82A3B" w14:textId="77777777" w:rsidR="00AD7949" w:rsidRDefault="00AD7949" w:rsidP="00AD7949">
      <w:pPr>
        <w:pStyle w:val="NoSpacing"/>
      </w:pPr>
    </w:p>
    <w:p w14:paraId="50F06CEF" w14:textId="77777777" w:rsidR="00AD7949" w:rsidRPr="006D7B0A" w:rsidRDefault="00AD7949" w:rsidP="00AD7949">
      <w:pPr>
        <w:pStyle w:val="NormalWeb"/>
        <w:rPr>
          <w:b/>
          <w:bCs/>
        </w:rPr>
      </w:pPr>
      <w:r w:rsidRPr="006D7B0A">
        <w:rPr>
          <w:b/>
          <w:bCs/>
        </w:rPr>
        <w:t>Legal Lesson Learned:</w:t>
      </w:r>
      <w:r>
        <w:rPr>
          <w:b/>
          <w:bCs/>
        </w:rPr>
        <w:t xml:space="preserve"> Pay attention when operating an emergency vehicle, including when passing through a tollbooth; fortunate to have government immunity when injured persons </w:t>
      </w:r>
      <w:proofErr w:type="gramStart"/>
      <w:r>
        <w:rPr>
          <w:b/>
          <w:bCs/>
        </w:rPr>
        <w:t>receives</w:t>
      </w:r>
      <w:proofErr w:type="gramEnd"/>
      <w:r>
        <w:rPr>
          <w:b/>
          <w:bCs/>
        </w:rPr>
        <w:t xml:space="preserve"> workers compensation. </w:t>
      </w:r>
    </w:p>
    <w:p w14:paraId="365A48DF" w14:textId="77777777" w:rsidR="00A35726" w:rsidRDefault="00A35726" w:rsidP="00EF1133">
      <w:pPr>
        <w:rPr>
          <w:rFonts w:ascii="Arial Black" w:hAnsi="Arial Black"/>
          <w:b/>
          <w:sz w:val="24"/>
          <w:szCs w:val="24"/>
        </w:rPr>
      </w:pPr>
    </w:p>
    <w:p w14:paraId="304E3595" w14:textId="77777777" w:rsidR="00A35726" w:rsidRDefault="00A35726" w:rsidP="00EF1133">
      <w:pPr>
        <w:rPr>
          <w:rFonts w:ascii="Arial Black" w:hAnsi="Arial Black"/>
          <w:b/>
          <w:sz w:val="24"/>
          <w:szCs w:val="24"/>
        </w:rPr>
      </w:pPr>
    </w:p>
    <w:p w14:paraId="2E7FF696" w14:textId="2FD598A8" w:rsidR="00AF2973" w:rsidRDefault="00AF2973" w:rsidP="00EF1133">
      <w:pPr>
        <w:rPr>
          <w:rFonts w:ascii="Arial Black" w:hAnsi="Arial Black"/>
          <w:b/>
          <w:sz w:val="24"/>
          <w:szCs w:val="24"/>
        </w:rPr>
      </w:pPr>
      <w:r>
        <w:rPr>
          <w:rFonts w:ascii="Arial Black" w:hAnsi="Arial Black"/>
          <w:b/>
          <w:sz w:val="24"/>
          <w:szCs w:val="24"/>
        </w:rPr>
        <w:t>5-40</w:t>
      </w:r>
    </w:p>
    <w:p w14:paraId="5E231F2C" w14:textId="77777777" w:rsidR="001C5889" w:rsidRPr="00960419" w:rsidRDefault="001C5889" w:rsidP="001C5889">
      <w:pPr>
        <w:pStyle w:val="NormalWeb"/>
        <w:rPr>
          <w:rFonts w:ascii="Arial Black" w:hAnsi="Arial Black"/>
          <w:sz w:val="28"/>
          <w:szCs w:val="28"/>
        </w:rPr>
      </w:pPr>
      <w:r>
        <w:rPr>
          <w:rFonts w:ascii="Arial Black" w:hAnsi="Arial Black"/>
          <w:sz w:val="28"/>
          <w:szCs w:val="28"/>
        </w:rPr>
        <w:t>MO: PD OFFICER RESPONDING TO VEHICLE CHASE – 87 MPH, STOP SIGN - CRASH– RECKLESS - OFFICIAL IMMUNITY</w:t>
      </w:r>
    </w:p>
    <w:p w14:paraId="046FB9FF" w14:textId="77777777" w:rsidR="001C5889" w:rsidRDefault="001C5889" w:rsidP="001C5889">
      <w:pPr>
        <w:pStyle w:val="NormalWeb"/>
      </w:pPr>
      <w:r>
        <w:t xml:space="preserve">On Jan. 30, 2024, in </w:t>
      </w:r>
      <w:r w:rsidRPr="00AA2F98">
        <w:rPr>
          <w:u w:val="single"/>
        </w:rPr>
        <w:t>John Carlton v. Brandon Means</w:t>
      </w:r>
      <w:r>
        <w:t xml:space="preserve">, the Court of Appeals of Missouri, Eastern Division (Second Division) holds (3 to 0) that while the officer may have been reckless, he enjoys official immunity under Missouri law since there was no “malice” (improper or wrongful motive) on his part. </w:t>
      </w:r>
    </w:p>
    <w:p w14:paraId="4D3F2B66" w14:textId="77777777" w:rsidR="001C5889" w:rsidRDefault="001C5889" w:rsidP="001C5889">
      <w:pPr>
        <w:pStyle w:val="NormalWeb"/>
        <w:ind w:left="720"/>
      </w:pPr>
      <w:r>
        <w:t xml:space="preserve">“Carlton suggests he can show the requisite intent because Officer Means's conduct was </w:t>
      </w:r>
      <w:r>
        <w:rPr>
          <w:rStyle w:val="Emphasis"/>
        </w:rPr>
        <w:t>so</w:t>
      </w:r>
      <w:r>
        <w:t xml:space="preserve"> reckless and was </w:t>
      </w:r>
      <w:r>
        <w:rPr>
          <w:rStyle w:val="Emphasis"/>
        </w:rPr>
        <w:t>so</w:t>
      </w:r>
      <w:r>
        <w:t xml:space="preserve"> willfully in disregard of another's rights that a trier of fact could infer he had an improper or wrongful motive. No Missouri cases have found malice based on an inference of intent drawn solely from the recklessness of an officer's conduct in responding to an emergency. </w:t>
      </w:r>
      <w:r>
        <w:rPr>
          <w:rStyle w:val="Emphasis"/>
        </w:rPr>
        <w:t>Throneberry</w:t>
      </w:r>
      <w:r>
        <w:t xml:space="preserve"> and </w:t>
      </w:r>
      <w:r>
        <w:rPr>
          <w:rStyle w:val="Emphasis"/>
        </w:rPr>
        <w:t>Moore</w:t>
      </w:r>
      <w:r>
        <w:t xml:space="preserve">, however, noted the </w:t>
      </w:r>
      <w:r>
        <w:rPr>
          <w:rStyle w:val="Emphasis"/>
        </w:rPr>
        <w:t>lack</w:t>
      </w:r>
      <w:r>
        <w:t xml:space="preserve"> of </w:t>
      </w:r>
      <w:proofErr w:type="gramStart"/>
      <w:r>
        <w:t>any facts</w:t>
      </w:r>
      <w:proofErr w:type="gramEnd"/>
      <w:r>
        <w:t xml:space="preserve"> giving rise to such an inference, which suggests the possibility that such an inference could be drawn in appropriate circumstances.  But no such inference can be drawn from the facts or opinions in this case, even when viewed in the light most favorable to Carlton. In the context of responding to this emergency, Officer Means's act of driving over the speed limit and past a stop sign-even if reckless-did not show an intent to injure anyone, only an intent to get to the officer in need as quickly as possible.” </w:t>
      </w:r>
      <w:hyperlink r:id="rId994" w:history="1">
        <w:r w:rsidRPr="00D10854">
          <w:rPr>
            <w:rStyle w:val="Hyperlink"/>
          </w:rPr>
          <w:t>https://www.courts.mo.gov/file.jsp?id=205075</w:t>
        </w:r>
      </w:hyperlink>
      <w:r>
        <w:t xml:space="preserve"> </w:t>
      </w:r>
    </w:p>
    <w:p w14:paraId="3643BB04" w14:textId="77777777" w:rsidR="00D73F92" w:rsidRPr="00175FBA" w:rsidRDefault="00D73F92" w:rsidP="00D73F92">
      <w:pPr>
        <w:pStyle w:val="NormalWeb"/>
        <w:rPr>
          <w:b/>
          <w:bCs/>
        </w:rPr>
      </w:pPr>
      <w:r w:rsidRPr="00175FBA">
        <w:rPr>
          <w:b/>
          <w:bCs/>
        </w:rPr>
        <w:t>Legal Lesson Learned</w:t>
      </w:r>
      <w:r>
        <w:rPr>
          <w:b/>
          <w:bCs/>
        </w:rPr>
        <w:t xml:space="preserve">: This officer, and his </w:t>
      </w:r>
      <w:proofErr w:type="gramStart"/>
      <w:r>
        <w:rPr>
          <w:b/>
          <w:bCs/>
        </w:rPr>
        <w:t>City</w:t>
      </w:r>
      <w:proofErr w:type="gramEnd"/>
      <w:r>
        <w:rPr>
          <w:b/>
          <w:bCs/>
        </w:rPr>
        <w:t xml:space="preserve">, were very fortunate to escape liability for this reckless conduct. </w:t>
      </w:r>
    </w:p>
    <w:p w14:paraId="24E6E62C" w14:textId="77777777" w:rsidR="00AF2973" w:rsidRDefault="00AF2973" w:rsidP="00EF1133">
      <w:pPr>
        <w:rPr>
          <w:rFonts w:ascii="Arial Black" w:hAnsi="Arial Black"/>
          <w:b/>
          <w:sz w:val="24"/>
          <w:szCs w:val="24"/>
        </w:rPr>
      </w:pPr>
    </w:p>
    <w:p w14:paraId="77AD4061" w14:textId="068B3117" w:rsidR="00BB49C5" w:rsidRDefault="00E118E6" w:rsidP="00EF1133">
      <w:pPr>
        <w:rPr>
          <w:rFonts w:ascii="Arial Black" w:hAnsi="Arial Black"/>
          <w:b/>
          <w:sz w:val="24"/>
          <w:szCs w:val="24"/>
        </w:rPr>
      </w:pPr>
      <w:r>
        <w:rPr>
          <w:rFonts w:ascii="Arial Black" w:hAnsi="Arial Black"/>
          <w:b/>
          <w:sz w:val="24"/>
          <w:szCs w:val="24"/>
        </w:rPr>
        <w:t>5-39</w:t>
      </w:r>
    </w:p>
    <w:p w14:paraId="6893F751" w14:textId="77777777" w:rsidR="00E118E6" w:rsidRDefault="00E118E6" w:rsidP="00E118E6">
      <w:pPr>
        <w:pStyle w:val="Heading1"/>
        <w:rPr>
          <w:rFonts w:ascii="Arial Black" w:hAnsi="Arial Black"/>
          <w:b w:val="0"/>
          <w:bCs w:val="0"/>
          <w:sz w:val="28"/>
          <w:szCs w:val="28"/>
        </w:rPr>
      </w:pPr>
      <w:r>
        <w:rPr>
          <w:rFonts w:ascii="Arial Black" w:hAnsi="Arial Black"/>
          <w:sz w:val="28"/>
          <w:szCs w:val="28"/>
        </w:rPr>
        <w:t xml:space="preserve">TX: PD &amp; EMS REPORTS GAVE CITY ADEQUATE “NOTICE” PD AT FAULT INJURED MOTORIST – LAWSUIT PROCEEED </w:t>
      </w:r>
    </w:p>
    <w:p w14:paraId="0F83DB56" w14:textId="77777777" w:rsidR="00E118E6" w:rsidRPr="00556010" w:rsidRDefault="00E118E6" w:rsidP="00E118E6">
      <w:pPr>
        <w:pStyle w:val="NoSpacing"/>
        <w:rPr>
          <w:rFonts w:ascii="Times New Roman" w:hAnsi="Times New Roman"/>
          <w:sz w:val="24"/>
          <w:szCs w:val="24"/>
        </w:rPr>
      </w:pPr>
      <w:r w:rsidRPr="00556010">
        <w:rPr>
          <w:rFonts w:ascii="Times New Roman" w:hAnsi="Times New Roman"/>
          <w:sz w:val="24"/>
          <w:szCs w:val="24"/>
        </w:rPr>
        <w:t xml:space="preserve">On Dec. 28, 2023, in </w:t>
      </w:r>
      <w:r w:rsidRPr="00556010">
        <w:rPr>
          <w:rFonts w:ascii="Times New Roman" w:hAnsi="Times New Roman"/>
          <w:sz w:val="24"/>
          <w:szCs w:val="24"/>
          <w:u w:val="single"/>
        </w:rPr>
        <w:t>City of Houston v. Marvis Huff</w:t>
      </w:r>
      <w:r w:rsidRPr="00556010">
        <w:rPr>
          <w:rFonts w:ascii="Times New Roman" w:hAnsi="Times New Roman"/>
          <w:sz w:val="24"/>
          <w:szCs w:val="24"/>
        </w:rPr>
        <w:t>, the Court of Appeals of Texas, First District, held (3 to 0) that trial court judge properly denied the City’s motion for summary judgment; the personal injury lawsuit may proceed even if injured party didn’t give City formal notice of his claim within 90 days (was 60 days late). “Officer Rangel concluded in the crash report that Officer Miller improperly</w:t>
      </w:r>
      <w:r>
        <w:rPr>
          <w:rFonts w:ascii="Times New Roman" w:hAnsi="Times New Roman"/>
          <w:sz w:val="24"/>
          <w:szCs w:val="24"/>
        </w:rPr>
        <w:t xml:space="preserve"> </w:t>
      </w:r>
      <w:r w:rsidRPr="00556010">
        <w:rPr>
          <w:rFonts w:ascii="Times New Roman" w:hAnsi="Times New Roman"/>
          <w:sz w:val="24"/>
          <w:szCs w:val="24"/>
        </w:rPr>
        <w:t xml:space="preserve">turned from the wrong lane and that this improper turn was the sole contributing factor to the accident. The report does not assign any fault to Huff or to any other party—other than Miller. Thus, the report in this case does more than just imply Miller’s </w:t>
      </w:r>
      <w:proofErr w:type="gramStart"/>
      <w:r w:rsidRPr="00556010">
        <w:rPr>
          <w:rFonts w:ascii="Times New Roman" w:hAnsi="Times New Roman"/>
          <w:sz w:val="24"/>
          <w:szCs w:val="24"/>
        </w:rPr>
        <w:t>fault—</w:t>
      </w:r>
      <w:proofErr w:type="gramEnd"/>
      <w:r w:rsidRPr="00556010">
        <w:rPr>
          <w:rFonts w:ascii="Times New Roman" w:hAnsi="Times New Roman"/>
          <w:sz w:val="24"/>
          <w:szCs w:val="24"/>
        </w:rPr>
        <w:t xml:space="preserve">it expressly assigns fault to him. An incident that triggers an investigation and accident report will impute actual notice where there is evidence to connect the accident to an action or omission by the governmental unit such that it should have known of its potential </w:t>
      </w:r>
      <w:proofErr w:type="gramStart"/>
      <w:r w:rsidRPr="00556010">
        <w:rPr>
          <w:rFonts w:ascii="Times New Roman" w:hAnsi="Times New Roman"/>
          <w:sz w:val="24"/>
          <w:szCs w:val="24"/>
        </w:rPr>
        <w:t>culpability.”</w:t>
      </w:r>
      <w:proofErr w:type="gramEnd"/>
      <w:r w:rsidRPr="00556010">
        <w:rPr>
          <w:rFonts w:ascii="Times New Roman" w:hAnsi="Times New Roman"/>
          <w:sz w:val="24"/>
          <w:szCs w:val="24"/>
        </w:rPr>
        <w:t xml:space="preserve"> </w:t>
      </w:r>
      <w:hyperlink r:id="rId995" w:history="1">
        <w:r w:rsidRPr="00556010">
          <w:rPr>
            <w:rStyle w:val="Hyperlink"/>
            <w:rFonts w:ascii="Times New Roman" w:hAnsi="Times New Roman"/>
            <w:sz w:val="24"/>
            <w:szCs w:val="24"/>
          </w:rPr>
          <w:t>https://cases.justia.com/texas/first-court-of-appeals/2023-01-22-00496-cv.pdf?ts=1703769793</w:t>
        </w:r>
      </w:hyperlink>
      <w:r w:rsidRPr="00556010">
        <w:rPr>
          <w:rFonts w:ascii="Times New Roman" w:hAnsi="Times New Roman"/>
          <w:sz w:val="24"/>
          <w:szCs w:val="24"/>
        </w:rPr>
        <w:t xml:space="preserve"> </w:t>
      </w:r>
    </w:p>
    <w:p w14:paraId="080B7229" w14:textId="77777777" w:rsidR="00AB682E" w:rsidRPr="00496608" w:rsidRDefault="00AB682E" w:rsidP="00AB682E">
      <w:pPr>
        <w:pStyle w:val="NormalWeb"/>
        <w:rPr>
          <w:b/>
          <w:bCs/>
        </w:rPr>
      </w:pPr>
      <w:r w:rsidRPr="00496608">
        <w:rPr>
          <w:b/>
          <w:bCs/>
        </w:rPr>
        <w:t>Legal Lesson Learned:</w:t>
      </w:r>
      <w:r>
        <w:rPr>
          <w:b/>
          <w:bCs/>
        </w:rPr>
        <w:t xml:space="preserve"> City ordinance requiring 90- day notice can be set aside when PD and EMS reports confirmed injury. </w:t>
      </w:r>
    </w:p>
    <w:p w14:paraId="0E839265" w14:textId="77777777" w:rsidR="00E118E6" w:rsidRDefault="00E118E6" w:rsidP="00EF1133">
      <w:pPr>
        <w:rPr>
          <w:rFonts w:ascii="Arial Black" w:hAnsi="Arial Black"/>
          <w:b/>
          <w:sz w:val="24"/>
          <w:szCs w:val="24"/>
        </w:rPr>
      </w:pPr>
    </w:p>
    <w:p w14:paraId="5C1C0CD6" w14:textId="46DAA9A1" w:rsidR="007B5BD2" w:rsidRDefault="007B5BD2" w:rsidP="00EF1133">
      <w:pPr>
        <w:rPr>
          <w:rFonts w:ascii="Arial Black" w:hAnsi="Arial Black"/>
          <w:b/>
          <w:sz w:val="24"/>
          <w:szCs w:val="24"/>
        </w:rPr>
      </w:pPr>
      <w:r>
        <w:rPr>
          <w:rFonts w:ascii="Arial Black" w:hAnsi="Arial Black"/>
          <w:b/>
          <w:sz w:val="24"/>
          <w:szCs w:val="24"/>
        </w:rPr>
        <w:t>5-3</w:t>
      </w:r>
      <w:r w:rsidR="00964D1B">
        <w:rPr>
          <w:rFonts w:ascii="Arial Black" w:hAnsi="Arial Black"/>
          <w:b/>
          <w:sz w:val="24"/>
          <w:szCs w:val="24"/>
        </w:rPr>
        <w:t>8</w:t>
      </w:r>
    </w:p>
    <w:p w14:paraId="4D7D017C" w14:textId="6E9EE2A8" w:rsidR="007B5BD2" w:rsidRPr="004F3E23" w:rsidRDefault="007B5BD2" w:rsidP="007B5BD2">
      <w:pPr>
        <w:pStyle w:val="NoSpacing"/>
        <w:rPr>
          <w:rFonts w:ascii="Arial Black" w:hAnsi="Arial Black"/>
          <w:b/>
          <w:sz w:val="28"/>
          <w:szCs w:val="28"/>
        </w:rPr>
      </w:pPr>
      <w:r>
        <w:rPr>
          <w:rFonts w:ascii="Arial Black" w:hAnsi="Arial Black"/>
          <w:b/>
          <w:sz w:val="28"/>
          <w:szCs w:val="28"/>
        </w:rPr>
        <w:t>OH: AMBULANCE TURNING LEFT NON-EMER. TRANSPORT -</w:t>
      </w:r>
      <w:r w:rsidR="00107D14">
        <w:rPr>
          <w:rFonts w:ascii="Arial Black" w:hAnsi="Arial Black"/>
          <w:b/>
          <w:sz w:val="28"/>
          <w:szCs w:val="28"/>
        </w:rPr>
        <w:t xml:space="preserve"> </w:t>
      </w:r>
      <w:r>
        <w:rPr>
          <w:rFonts w:ascii="Arial Black" w:hAnsi="Arial Black"/>
          <w:b/>
          <w:sz w:val="28"/>
          <w:szCs w:val="28"/>
        </w:rPr>
        <w:t>RUNS OVER FOOT PEDESTRIAN – LAWSUIT REINSTATED</w:t>
      </w:r>
    </w:p>
    <w:p w14:paraId="4FAED434" w14:textId="77777777" w:rsidR="007B5BD2" w:rsidRDefault="007B5BD2" w:rsidP="007B5BD2">
      <w:pPr>
        <w:pStyle w:val="NoSpacing"/>
        <w:rPr>
          <w:rFonts w:ascii="Times New Roman" w:hAnsi="Times New Roman"/>
          <w:b/>
          <w:sz w:val="24"/>
          <w:szCs w:val="24"/>
        </w:rPr>
      </w:pPr>
    </w:p>
    <w:p w14:paraId="010FA6C9" w14:textId="77777777" w:rsidR="007B5BD2" w:rsidRDefault="007B5BD2" w:rsidP="007B5BD2">
      <w:pPr>
        <w:pStyle w:val="NoSpacing"/>
        <w:rPr>
          <w:rFonts w:ascii="Times New Roman" w:hAnsi="Times New Roman"/>
          <w:bCs/>
          <w:sz w:val="24"/>
          <w:szCs w:val="24"/>
        </w:rPr>
      </w:pPr>
      <w:r>
        <w:rPr>
          <w:rFonts w:ascii="Times New Roman" w:hAnsi="Times New Roman"/>
          <w:bCs/>
          <w:sz w:val="24"/>
          <w:szCs w:val="24"/>
        </w:rPr>
        <w:t xml:space="preserve">On Nov. 22, 2023, in </w:t>
      </w:r>
      <w:r w:rsidRPr="00283F31">
        <w:rPr>
          <w:rFonts w:ascii="Times New Roman" w:hAnsi="Times New Roman"/>
          <w:bCs/>
          <w:sz w:val="24"/>
          <w:szCs w:val="24"/>
          <w:u w:val="single"/>
        </w:rPr>
        <w:t>Kiranmai Parker v. City of Cleveland, et al</w:t>
      </w:r>
      <w:r>
        <w:rPr>
          <w:rFonts w:ascii="Times New Roman" w:hAnsi="Times New Roman"/>
          <w:bCs/>
          <w:sz w:val="24"/>
          <w:szCs w:val="24"/>
        </w:rPr>
        <w:t xml:space="preserve">., the Ohio Court of Appeals for Eighth Appellate District (Cuyahoga County) held (3 to 0) that the trial court improperly dismissed the lawsuit.  The ambulance driver, Ms. </w:t>
      </w:r>
      <w:r w:rsidRPr="001A0714">
        <w:rPr>
          <w:rFonts w:ascii="Times New Roman" w:hAnsi="Times New Roman"/>
          <w:bCs/>
          <w:sz w:val="24"/>
          <w:szCs w:val="24"/>
        </w:rPr>
        <w:t>Sampson-Hall</w:t>
      </w:r>
      <w:r>
        <w:rPr>
          <w:rFonts w:ascii="Times New Roman" w:hAnsi="Times New Roman"/>
          <w:bCs/>
          <w:sz w:val="24"/>
          <w:szCs w:val="24"/>
        </w:rPr>
        <w:t xml:space="preserve">, and her partner were transporting a minor injury patient to hospital and was turning left in an intersection. The pedestrian had a “walk” sign when the </w:t>
      </w:r>
      <w:r w:rsidRPr="00B02E61">
        <w:rPr>
          <w:rFonts w:ascii="Times New Roman" w:hAnsi="Times New Roman"/>
          <w:bCs/>
          <w:sz w:val="24"/>
          <w:szCs w:val="24"/>
        </w:rPr>
        <w:t>vehicle’s front left tire crushed Pakeer’s right foot, causing</w:t>
      </w:r>
      <w:r>
        <w:rPr>
          <w:rFonts w:ascii="Times New Roman" w:hAnsi="Times New Roman"/>
          <w:bCs/>
          <w:sz w:val="24"/>
          <w:szCs w:val="24"/>
        </w:rPr>
        <w:t xml:space="preserve"> </w:t>
      </w:r>
      <w:r w:rsidRPr="00B02E61">
        <w:rPr>
          <w:rFonts w:ascii="Times New Roman" w:hAnsi="Times New Roman"/>
          <w:bCs/>
          <w:sz w:val="24"/>
          <w:szCs w:val="24"/>
        </w:rPr>
        <w:t>several fractures leading to the amputation of her big toe.</w:t>
      </w:r>
      <w:r>
        <w:rPr>
          <w:rFonts w:ascii="Times New Roman" w:hAnsi="Times New Roman"/>
          <w:bCs/>
          <w:sz w:val="24"/>
          <w:szCs w:val="24"/>
        </w:rPr>
        <w:t xml:space="preserve">  </w:t>
      </w:r>
      <w:hyperlink r:id="rId996" w:history="1">
        <w:r w:rsidRPr="00821889">
          <w:rPr>
            <w:rStyle w:val="Hyperlink"/>
            <w:rFonts w:ascii="Times New Roman" w:hAnsi="Times New Roman"/>
            <w:bCs/>
            <w:sz w:val="24"/>
            <w:szCs w:val="24"/>
          </w:rPr>
          <w:t>https://www.supremecourt.ohio.gov/rod/docs/pdf/8/2023/2023-Ohio-4213.pdf</w:t>
        </w:r>
      </w:hyperlink>
      <w:r>
        <w:rPr>
          <w:rFonts w:ascii="Times New Roman" w:hAnsi="Times New Roman"/>
          <w:bCs/>
          <w:sz w:val="24"/>
          <w:szCs w:val="24"/>
        </w:rPr>
        <w:t xml:space="preserve"> </w:t>
      </w:r>
    </w:p>
    <w:p w14:paraId="507E22F8" w14:textId="77777777" w:rsidR="007B5BD2" w:rsidRDefault="007B5BD2" w:rsidP="007B5BD2">
      <w:pPr>
        <w:pStyle w:val="NoSpacing"/>
        <w:rPr>
          <w:rFonts w:ascii="Times New Roman" w:hAnsi="Times New Roman"/>
          <w:bCs/>
          <w:sz w:val="24"/>
          <w:szCs w:val="24"/>
        </w:rPr>
      </w:pPr>
    </w:p>
    <w:p w14:paraId="1210558C" w14:textId="77777777" w:rsidR="007B5BD2" w:rsidRDefault="007B5BD2" w:rsidP="007B5BD2">
      <w:pPr>
        <w:pStyle w:val="NoSpacing"/>
        <w:rPr>
          <w:rFonts w:ascii="Times New Roman" w:hAnsi="Times New Roman"/>
          <w:bCs/>
          <w:sz w:val="24"/>
          <w:szCs w:val="24"/>
        </w:rPr>
      </w:pPr>
      <w:r>
        <w:rPr>
          <w:rFonts w:ascii="Times New Roman" w:hAnsi="Times New Roman"/>
          <w:bCs/>
          <w:sz w:val="24"/>
          <w:szCs w:val="24"/>
        </w:rPr>
        <w:t xml:space="preserve">The Court wrote: </w:t>
      </w:r>
    </w:p>
    <w:p w14:paraId="17AE8573" w14:textId="77777777" w:rsidR="007B5BD2" w:rsidRDefault="007B5BD2" w:rsidP="007B5BD2">
      <w:pPr>
        <w:pStyle w:val="NoSpacing"/>
        <w:rPr>
          <w:rFonts w:ascii="Times New Roman" w:hAnsi="Times New Roman"/>
          <w:bCs/>
          <w:sz w:val="24"/>
          <w:szCs w:val="24"/>
        </w:rPr>
      </w:pPr>
    </w:p>
    <w:p w14:paraId="1D4238FD" w14:textId="77777777" w:rsidR="007B5BD2" w:rsidRDefault="007B5BD2" w:rsidP="007B5BD2">
      <w:pPr>
        <w:pStyle w:val="NoSpacing"/>
        <w:ind w:left="720"/>
        <w:rPr>
          <w:rFonts w:ascii="Times New Roman" w:hAnsi="Times New Roman"/>
          <w:bCs/>
          <w:sz w:val="24"/>
          <w:szCs w:val="24"/>
        </w:rPr>
      </w:pPr>
      <w:r>
        <w:rPr>
          <w:rFonts w:ascii="Times New Roman" w:hAnsi="Times New Roman"/>
          <w:bCs/>
          <w:sz w:val="24"/>
          <w:szCs w:val="24"/>
        </w:rPr>
        <w:t xml:space="preserve">“She </w:t>
      </w:r>
      <w:r w:rsidRPr="0081318D">
        <w:rPr>
          <w:rFonts w:ascii="Times New Roman" w:hAnsi="Times New Roman"/>
          <w:bCs/>
          <w:sz w:val="24"/>
          <w:szCs w:val="24"/>
        </w:rPr>
        <w:t xml:space="preserve">claims to have slowed but kept moving in one continuous motion, and despite the five-second delay between the pedestrian light and the yellow arrow on Chester Avenue, Sampson-Hall still collided with Pakeer. Thus, there is an issue of fact as to the timing of the traffic lights as they relate to Sampson-Hall’s travel. The pedestrian’s </w:t>
      </w:r>
      <w:r>
        <w:rPr>
          <w:rFonts w:ascii="Times New Roman" w:hAnsi="Times New Roman"/>
          <w:bCs/>
          <w:sz w:val="24"/>
          <w:szCs w:val="24"/>
        </w:rPr>
        <w:t>‘</w:t>
      </w:r>
      <w:r w:rsidRPr="0081318D">
        <w:rPr>
          <w:rFonts w:ascii="Times New Roman" w:hAnsi="Times New Roman"/>
          <w:bCs/>
          <w:sz w:val="24"/>
          <w:szCs w:val="24"/>
        </w:rPr>
        <w:t>walk</w:t>
      </w:r>
      <w:r>
        <w:rPr>
          <w:rFonts w:ascii="Times New Roman" w:hAnsi="Times New Roman"/>
          <w:bCs/>
          <w:sz w:val="24"/>
          <w:szCs w:val="24"/>
        </w:rPr>
        <w:t>’</w:t>
      </w:r>
      <w:r w:rsidRPr="0081318D">
        <w:rPr>
          <w:rFonts w:ascii="Times New Roman" w:hAnsi="Times New Roman"/>
          <w:bCs/>
          <w:sz w:val="24"/>
          <w:szCs w:val="24"/>
        </w:rPr>
        <w:t xml:space="preserve"> signal illuminates five seconds after the Chester Avenue traffic control light for turning traffic illuminates the yellow arrow. The collision undisputedly occurred after the “walk” signal illuminated and Pakeer took one or two steps into the intersection (meaning additional time passed after the walk signal was illuminated). There is enough evidence, construing the disputed evidence in Pakeer’s favor, demonstrating that she possessed the </w:t>
      </w:r>
      <w:proofErr w:type="gramStart"/>
      <w:r w:rsidRPr="0081318D">
        <w:rPr>
          <w:rFonts w:ascii="Times New Roman" w:hAnsi="Times New Roman"/>
          <w:bCs/>
          <w:sz w:val="24"/>
          <w:szCs w:val="24"/>
        </w:rPr>
        <w:t>right of</w:t>
      </w:r>
      <w:proofErr w:type="gramEnd"/>
      <w:r w:rsidRPr="0081318D">
        <w:rPr>
          <w:rFonts w:ascii="Times New Roman" w:hAnsi="Times New Roman"/>
          <w:bCs/>
          <w:sz w:val="24"/>
          <w:szCs w:val="24"/>
        </w:rPr>
        <w:t xml:space="preserve"> way to cross the street.</w:t>
      </w:r>
      <w:r>
        <w:rPr>
          <w:rFonts w:ascii="Times New Roman" w:hAnsi="Times New Roman"/>
          <w:bCs/>
          <w:sz w:val="24"/>
          <w:szCs w:val="24"/>
        </w:rPr>
        <w:t xml:space="preserve"> </w:t>
      </w:r>
      <w:r w:rsidRPr="00912610">
        <w:rPr>
          <w:rFonts w:ascii="Times New Roman" w:hAnsi="Times New Roman"/>
          <w:bCs/>
          <w:sz w:val="24"/>
          <w:szCs w:val="24"/>
        </w:rPr>
        <w:t>*** At the least, the City has not demonstrated the absence of genuine issues of material fact with respect to whether Sampson-Hall’s operation of the vehicle constituted wanton misconduct for the purposes of R.C. 2744.02(B)(1)(c). That question is one for the jury to decide based on whose version of events is deemed more credible.”</w:t>
      </w:r>
      <w:r w:rsidRPr="007428B7">
        <w:t xml:space="preserve"> </w:t>
      </w:r>
      <w:hyperlink r:id="rId997" w:history="1">
        <w:r w:rsidRPr="00821889">
          <w:rPr>
            <w:rStyle w:val="Hyperlink"/>
            <w:rFonts w:ascii="Times New Roman" w:hAnsi="Times New Roman"/>
            <w:bCs/>
            <w:sz w:val="24"/>
            <w:szCs w:val="24"/>
          </w:rPr>
          <w:t>https://www.supremecourt.ohio.gov/rod/docs/pdf/8/2023/2023-Ohio-4213.pdf</w:t>
        </w:r>
      </w:hyperlink>
      <w:r>
        <w:rPr>
          <w:rFonts w:ascii="Times New Roman" w:hAnsi="Times New Roman"/>
          <w:bCs/>
          <w:sz w:val="24"/>
          <w:szCs w:val="24"/>
        </w:rPr>
        <w:t xml:space="preserve"> </w:t>
      </w:r>
    </w:p>
    <w:p w14:paraId="1090FBD5" w14:textId="77777777" w:rsidR="007B5BD2" w:rsidRDefault="007B5BD2" w:rsidP="007B5BD2">
      <w:pPr>
        <w:pStyle w:val="NoSpacing"/>
        <w:rPr>
          <w:rFonts w:ascii="Times New Roman" w:hAnsi="Times New Roman"/>
          <w:bCs/>
          <w:sz w:val="24"/>
          <w:szCs w:val="24"/>
        </w:rPr>
      </w:pPr>
    </w:p>
    <w:p w14:paraId="2519DD84" w14:textId="77777777" w:rsidR="007B5BD2" w:rsidRDefault="007B5BD2" w:rsidP="007B5BD2">
      <w:pPr>
        <w:pStyle w:val="NoSpacing"/>
        <w:rPr>
          <w:rFonts w:ascii="Times New Roman" w:hAnsi="Times New Roman"/>
          <w:b/>
          <w:sz w:val="24"/>
          <w:szCs w:val="24"/>
        </w:rPr>
      </w:pPr>
      <w:r w:rsidRPr="007428B7">
        <w:rPr>
          <w:rFonts w:ascii="Times New Roman" w:hAnsi="Times New Roman"/>
          <w:b/>
          <w:sz w:val="24"/>
          <w:szCs w:val="24"/>
        </w:rPr>
        <w:t xml:space="preserve">Legal Lesson Learned: </w:t>
      </w:r>
      <w:r>
        <w:rPr>
          <w:rFonts w:ascii="Times New Roman" w:hAnsi="Times New Roman"/>
          <w:b/>
          <w:sz w:val="24"/>
          <w:szCs w:val="24"/>
        </w:rPr>
        <w:t>Jury will now decide if EMS driver conduct was “wanton misconduct.”</w:t>
      </w:r>
    </w:p>
    <w:p w14:paraId="269F6F49" w14:textId="77777777" w:rsidR="007B5BD2" w:rsidRDefault="007B5BD2" w:rsidP="00EF1133">
      <w:pPr>
        <w:rPr>
          <w:rFonts w:ascii="Arial Black" w:hAnsi="Arial Black"/>
          <w:b/>
          <w:sz w:val="24"/>
          <w:szCs w:val="24"/>
        </w:rPr>
      </w:pPr>
    </w:p>
    <w:p w14:paraId="23069079" w14:textId="5CFF4C79" w:rsidR="007B5BD2" w:rsidRDefault="007B5BD2" w:rsidP="00EF1133">
      <w:pPr>
        <w:rPr>
          <w:rFonts w:ascii="Arial Black" w:hAnsi="Arial Black"/>
          <w:b/>
          <w:sz w:val="24"/>
          <w:szCs w:val="24"/>
        </w:rPr>
      </w:pPr>
      <w:r>
        <w:rPr>
          <w:rFonts w:ascii="Arial Black" w:hAnsi="Arial Black"/>
          <w:b/>
          <w:sz w:val="24"/>
          <w:szCs w:val="24"/>
        </w:rPr>
        <w:t>5-3</w:t>
      </w:r>
      <w:r w:rsidR="00964D1B">
        <w:rPr>
          <w:rFonts w:ascii="Arial Black" w:hAnsi="Arial Black"/>
          <w:b/>
          <w:sz w:val="24"/>
          <w:szCs w:val="24"/>
        </w:rPr>
        <w:t>7</w:t>
      </w:r>
    </w:p>
    <w:p w14:paraId="10C981B7" w14:textId="77777777" w:rsidR="009A03D1" w:rsidRDefault="009A03D1" w:rsidP="009A03D1">
      <w:pPr>
        <w:pStyle w:val="NoSpacing"/>
        <w:rPr>
          <w:rFonts w:ascii="Arial Black" w:hAnsi="Arial Black"/>
          <w:b/>
          <w:sz w:val="28"/>
          <w:szCs w:val="28"/>
        </w:rPr>
      </w:pPr>
      <w:r>
        <w:rPr>
          <w:rFonts w:ascii="Arial Black" w:hAnsi="Arial Black"/>
          <w:b/>
          <w:sz w:val="28"/>
          <w:szCs w:val="28"/>
        </w:rPr>
        <w:t>MI: MOTORIST KILLED – PULLED LEFT INTO ENGINE GOING AGAINST TRAFFIC – 44 MPH / 35 MPH ZONE, CASE PROCEED</w:t>
      </w:r>
    </w:p>
    <w:p w14:paraId="1D821323" w14:textId="77777777" w:rsidR="009A03D1" w:rsidRDefault="009A03D1" w:rsidP="009A03D1">
      <w:pPr>
        <w:pStyle w:val="NoSpacing"/>
        <w:rPr>
          <w:rFonts w:ascii="Times New Roman" w:hAnsi="Times New Roman"/>
          <w:bCs/>
          <w:sz w:val="24"/>
          <w:szCs w:val="24"/>
        </w:rPr>
      </w:pPr>
    </w:p>
    <w:p w14:paraId="2224EE66" w14:textId="77777777" w:rsidR="009A03D1" w:rsidRDefault="009A03D1" w:rsidP="009A03D1">
      <w:pPr>
        <w:pStyle w:val="NoSpacing"/>
        <w:rPr>
          <w:rFonts w:ascii="Times New Roman" w:hAnsi="Times New Roman"/>
          <w:bCs/>
          <w:sz w:val="24"/>
          <w:szCs w:val="24"/>
        </w:rPr>
      </w:pPr>
      <w:r>
        <w:rPr>
          <w:rFonts w:ascii="Times New Roman" w:hAnsi="Times New Roman"/>
          <w:bCs/>
          <w:sz w:val="24"/>
          <w:szCs w:val="24"/>
        </w:rPr>
        <w:t xml:space="preserve">On Nov. 21, 2023, in </w:t>
      </w:r>
      <w:r w:rsidRPr="00DA24D6">
        <w:rPr>
          <w:rFonts w:ascii="Times New Roman" w:hAnsi="Times New Roman"/>
          <w:bCs/>
          <w:sz w:val="24"/>
          <w:szCs w:val="24"/>
          <w:u w:val="single"/>
        </w:rPr>
        <w:t>Harold T. Sullivan, Personal Representative of the Estate of India D. Sullivan v. Brett Matthew Stiles and the City of Detroit</w:t>
      </w:r>
      <w:r>
        <w:rPr>
          <w:rFonts w:ascii="Times New Roman" w:hAnsi="Times New Roman"/>
          <w:bCs/>
          <w:sz w:val="24"/>
          <w:szCs w:val="24"/>
        </w:rPr>
        <w:t xml:space="preserve">, the Michigan Court of Appeals held (3 to 0) that trial court improperly dismissed the lawsuit. On a run for a structure fire, because of heavy traffic the first responding engine went into the oncoming lane.  FAO Brett Stiles, driving the second engine a few seconds behind the first, was going about 44 mph in a </w:t>
      </w:r>
      <w:proofErr w:type="gramStart"/>
      <w:r>
        <w:rPr>
          <w:rFonts w:ascii="Times New Roman" w:hAnsi="Times New Roman"/>
          <w:bCs/>
          <w:sz w:val="24"/>
          <w:szCs w:val="24"/>
        </w:rPr>
        <w:t>35 mph</w:t>
      </w:r>
      <w:proofErr w:type="gramEnd"/>
      <w:r>
        <w:rPr>
          <w:rFonts w:ascii="Times New Roman" w:hAnsi="Times New Roman"/>
          <w:bCs/>
          <w:sz w:val="24"/>
          <w:szCs w:val="24"/>
        </w:rPr>
        <w:t xml:space="preserve"> area, also went into the oncoming lane.  The deceased had her left turn signal on and turned left into the second engine. </w:t>
      </w:r>
      <w:hyperlink r:id="rId998" w:history="1">
        <w:r w:rsidRPr="00553FEF">
          <w:rPr>
            <w:rStyle w:val="Hyperlink"/>
            <w:rFonts w:ascii="Times New Roman" w:hAnsi="Times New Roman"/>
            <w:bCs/>
            <w:sz w:val="24"/>
            <w:szCs w:val="24"/>
          </w:rPr>
          <w:t>https://cases.justia.com/michigan/court-of-appeals-unpublished/2023-361624.pdf?ts=1700661618</w:t>
        </w:r>
      </w:hyperlink>
    </w:p>
    <w:p w14:paraId="7F0F03E6" w14:textId="77777777" w:rsidR="007B5BD2" w:rsidRDefault="007B5BD2" w:rsidP="00EF1133">
      <w:pPr>
        <w:rPr>
          <w:rFonts w:ascii="Arial Black" w:hAnsi="Arial Black"/>
          <w:b/>
          <w:sz w:val="24"/>
          <w:szCs w:val="24"/>
        </w:rPr>
      </w:pPr>
    </w:p>
    <w:p w14:paraId="5C1998F8" w14:textId="77777777" w:rsidR="0079584F" w:rsidRPr="00532965" w:rsidRDefault="0079584F" w:rsidP="0079584F">
      <w:pPr>
        <w:pStyle w:val="NoSpacing"/>
        <w:rPr>
          <w:rFonts w:ascii="Times New Roman" w:hAnsi="Times New Roman"/>
          <w:b/>
          <w:sz w:val="24"/>
          <w:szCs w:val="24"/>
        </w:rPr>
      </w:pPr>
      <w:r w:rsidRPr="00532965">
        <w:rPr>
          <w:rFonts w:ascii="Times New Roman" w:hAnsi="Times New Roman"/>
          <w:b/>
          <w:sz w:val="24"/>
          <w:szCs w:val="24"/>
        </w:rPr>
        <w:t xml:space="preserve">Legal Lesson Learned:  </w:t>
      </w:r>
      <w:r>
        <w:rPr>
          <w:rFonts w:ascii="Times New Roman" w:hAnsi="Times New Roman"/>
          <w:b/>
          <w:sz w:val="24"/>
          <w:szCs w:val="24"/>
        </w:rPr>
        <w:t xml:space="preserve">Fire &amp; EMS Departments should have an SOG requiring very reduced speed when traveling in a lane against oncoming traffic. </w:t>
      </w:r>
    </w:p>
    <w:p w14:paraId="0FEEED7D" w14:textId="77777777" w:rsidR="0079584F" w:rsidRDefault="0079584F" w:rsidP="00EF1133">
      <w:pPr>
        <w:rPr>
          <w:rFonts w:ascii="Arial Black" w:hAnsi="Arial Black"/>
          <w:b/>
          <w:sz w:val="24"/>
          <w:szCs w:val="24"/>
        </w:rPr>
      </w:pPr>
    </w:p>
    <w:p w14:paraId="5188441E" w14:textId="79506DCB" w:rsidR="0079584F" w:rsidRDefault="0079584F" w:rsidP="00EF1133">
      <w:pPr>
        <w:rPr>
          <w:rFonts w:ascii="Arial Black" w:hAnsi="Arial Black"/>
          <w:b/>
          <w:sz w:val="24"/>
          <w:szCs w:val="24"/>
        </w:rPr>
      </w:pPr>
      <w:r>
        <w:rPr>
          <w:rFonts w:ascii="Arial Black" w:hAnsi="Arial Black"/>
          <w:b/>
          <w:sz w:val="24"/>
          <w:szCs w:val="24"/>
        </w:rPr>
        <w:t>5-3</w:t>
      </w:r>
      <w:r w:rsidR="00964D1B">
        <w:rPr>
          <w:rFonts w:ascii="Arial Black" w:hAnsi="Arial Black"/>
          <w:b/>
          <w:sz w:val="24"/>
          <w:szCs w:val="24"/>
        </w:rPr>
        <w:t>6</w:t>
      </w:r>
    </w:p>
    <w:p w14:paraId="1CFF973A" w14:textId="77777777" w:rsidR="00D753A8" w:rsidRDefault="00D753A8" w:rsidP="00D753A8">
      <w:pPr>
        <w:pStyle w:val="NoSpacing"/>
        <w:rPr>
          <w:rFonts w:ascii="Arial Black" w:hAnsi="Arial Black"/>
          <w:sz w:val="28"/>
          <w:szCs w:val="28"/>
        </w:rPr>
      </w:pPr>
      <w:r>
        <w:rPr>
          <w:rFonts w:ascii="Arial Black" w:hAnsi="Arial Black"/>
          <w:sz w:val="28"/>
          <w:szCs w:val="28"/>
        </w:rPr>
        <w:t xml:space="preserve">OH: MUTUAL AID – WATER TENDER FROM WV – BACKING, KILLED TWO CIVILIAN - NO BACKING ALARM, NO BACKER </w:t>
      </w:r>
    </w:p>
    <w:p w14:paraId="14593E93" w14:textId="77777777" w:rsidR="00D753A8" w:rsidRDefault="00D753A8" w:rsidP="00D753A8">
      <w:pPr>
        <w:pStyle w:val="NoSpacing"/>
        <w:rPr>
          <w:rFonts w:ascii="Arial Black" w:hAnsi="Arial Black"/>
          <w:sz w:val="28"/>
          <w:szCs w:val="28"/>
        </w:rPr>
      </w:pPr>
    </w:p>
    <w:p w14:paraId="3EC25136" w14:textId="77777777" w:rsidR="00D753A8" w:rsidRDefault="00D753A8" w:rsidP="00D753A8">
      <w:pPr>
        <w:pStyle w:val="NoSpacing"/>
        <w:rPr>
          <w:rFonts w:ascii="Times New Roman" w:hAnsi="Times New Roman"/>
          <w:sz w:val="24"/>
          <w:szCs w:val="24"/>
        </w:rPr>
      </w:pPr>
      <w:r>
        <w:rPr>
          <w:rFonts w:ascii="Times New Roman" w:hAnsi="Times New Roman"/>
          <w:sz w:val="24"/>
          <w:szCs w:val="24"/>
        </w:rPr>
        <w:t xml:space="preserve">On Nov. 14, 2023, in </w:t>
      </w:r>
      <w:r w:rsidRPr="00EC19D2">
        <w:rPr>
          <w:rFonts w:ascii="Times New Roman" w:hAnsi="Times New Roman"/>
          <w:sz w:val="24"/>
          <w:szCs w:val="24"/>
          <w:u w:val="single"/>
        </w:rPr>
        <w:t>Craig W. Wakefield, as the Personal Representative and Administrator of the Estate of William A. Reed, Jr. and Karolyn Reed v. Williamstown Volunteer Fire Company, et al</w:t>
      </w:r>
      <w:r w:rsidRPr="00EC19D2">
        <w:rPr>
          <w:rFonts w:ascii="Times New Roman" w:hAnsi="Times New Roman"/>
          <w:sz w:val="24"/>
          <w:szCs w:val="24"/>
        </w:rPr>
        <w:t xml:space="preserve">., </w:t>
      </w:r>
      <w:r>
        <w:rPr>
          <w:rFonts w:ascii="Times New Roman" w:hAnsi="Times New Roman"/>
          <w:sz w:val="24"/>
          <w:szCs w:val="24"/>
        </w:rPr>
        <w:t xml:space="preserve">Chief U.S. District Court Judge Algenon L. Marbley, U.S. District Court for Southern District of Ohio (Cincinnati), held that defense motion for summary judgment is denied and case will proceed with pre-trial discovery. </w:t>
      </w:r>
      <w:hyperlink r:id="rId999" w:history="1">
        <w:r w:rsidRPr="006F62A4">
          <w:rPr>
            <w:rStyle w:val="Hyperlink"/>
            <w:rFonts w:ascii="Times New Roman" w:hAnsi="Times New Roman"/>
            <w:sz w:val="24"/>
            <w:szCs w:val="24"/>
          </w:rPr>
          <w:t>https://casetext.com/case/wakefield-v-williamstown-volunteer-fire-co</w:t>
        </w:r>
      </w:hyperlink>
      <w:r>
        <w:rPr>
          <w:rFonts w:ascii="Times New Roman" w:hAnsi="Times New Roman"/>
          <w:sz w:val="24"/>
          <w:szCs w:val="24"/>
        </w:rPr>
        <w:t xml:space="preserve"> </w:t>
      </w:r>
    </w:p>
    <w:p w14:paraId="3FB26D38" w14:textId="77777777" w:rsidR="00D753A8" w:rsidRDefault="00D753A8" w:rsidP="00D753A8">
      <w:pPr>
        <w:pStyle w:val="NoSpacing"/>
        <w:rPr>
          <w:rFonts w:ascii="Times New Roman" w:hAnsi="Times New Roman"/>
          <w:sz w:val="24"/>
          <w:szCs w:val="24"/>
        </w:rPr>
      </w:pPr>
    </w:p>
    <w:p w14:paraId="3B14C6B3" w14:textId="77777777" w:rsidR="00D753A8" w:rsidRDefault="00D753A8" w:rsidP="00D753A8">
      <w:pPr>
        <w:pStyle w:val="NoSpacing"/>
        <w:rPr>
          <w:rFonts w:ascii="Times New Roman" w:hAnsi="Times New Roman"/>
          <w:sz w:val="24"/>
          <w:szCs w:val="24"/>
        </w:rPr>
      </w:pPr>
    </w:p>
    <w:p w14:paraId="4B1F9147" w14:textId="77777777" w:rsidR="00964D1B" w:rsidRPr="000760A1" w:rsidRDefault="00964D1B" w:rsidP="00964D1B">
      <w:pPr>
        <w:pStyle w:val="NoSpacing"/>
        <w:rPr>
          <w:rFonts w:ascii="Times New Roman" w:hAnsi="Times New Roman"/>
          <w:b/>
          <w:bCs/>
          <w:sz w:val="24"/>
          <w:szCs w:val="24"/>
        </w:rPr>
      </w:pPr>
      <w:r w:rsidRPr="000760A1">
        <w:rPr>
          <w:rFonts w:ascii="Times New Roman" w:hAnsi="Times New Roman"/>
          <w:b/>
          <w:bCs/>
          <w:sz w:val="24"/>
          <w:szCs w:val="24"/>
        </w:rPr>
        <w:t>Legal Lesson Learned:</w:t>
      </w:r>
      <w:r>
        <w:rPr>
          <w:rFonts w:ascii="Times New Roman" w:hAnsi="Times New Roman"/>
          <w:b/>
          <w:bCs/>
          <w:sz w:val="24"/>
          <w:szCs w:val="24"/>
        </w:rPr>
        <w:t xml:space="preserve">  When backing an emergency vehicle, have a backer; tankers  should have a backing alarm; keep mutual aid agreement current. </w:t>
      </w:r>
    </w:p>
    <w:p w14:paraId="15151C40" w14:textId="77777777" w:rsidR="00964D1B" w:rsidRDefault="00964D1B" w:rsidP="00964D1B">
      <w:pPr>
        <w:pStyle w:val="Heading1"/>
        <w:ind w:left="720"/>
        <w:rPr>
          <w:b w:val="0"/>
          <w:bCs w:val="0"/>
          <w:sz w:val="24"/>
          <w:szCs w:val="24"/>
        </w:rPr>
      </w:pPr>
      <w:r w:rsidRPr="00315F60">
        <w:rPr>
          <w:b w:val="0"/>
          <w:bCs w:val="0"/>
          <w:sz w:val="24"/>
          <w:szCs w:val="24"/>
        </w:rPr>
        <w:t xml:space="preserve">Note: See Ohio Administrative Code: Rule 4123:1-3-06 </w:t>
      </w:r>
      <w:r w:rsidRPr="00315F60">
        <w:rPr>
          <w:rStyle w:val="codes-separator"/>
          <w:rFonts w:eastAsiaTheme="majorEastAsia"/>
          <w:b w:val="0"/>
          <w:bCs w:val="0"/>
          <w:sz w:val="24"/>
          <w:szCs w:val="24"/>
        </w:rPr>
        <w:t>|</w:t>
      </w:r>
      <w:r w:rsidRPr="00315F60">
        <w:rPr>
          <w:b w:val="0"/>
          <w:bCs w:val="0"/>
          <w:sz w:val="24"/>
          <w:szCs w:val="24"/>
        </w:rPr>
        <w:t xml:space="preserve"> Motor vehicles, mechanized equipment and marine operations. </w:t>
      </w:r>
      <w:hyperlink r:id="rId1000" w:history="1">
        <w:r w:rsidRPr="00315F60">
          <w:rPr>
            <w:rStyle w:val="Hyperlink"/>
            <w:b w:val="0"/>
            <w:bCs w:val="0"/>
            <w:sz w:val="24"/>
            <w:szCs w:val="24"/>
          </w:rPr>
          <w:t>https://codes.ohio.gov/ohio-administrative-code/rule-4123:1-3-06</w:t>
        </w:r>
      </w:hyperlink>
      <w:r w:rsidRPr="00315F60">
        <w:rPr>
          <w:b w:val="0"/>
          <w:bCs w:val="0"/>
          <w:sz w:val="24"/>
          <w:szCs w:val="24"/>
        </w:rPr>
        <w:t xml:space="preserve"> </w:t>
      </w:r>
    </w:p>
    <w:p w14:paraId="65E9735A" w14:textId="77777777" w:rsidR="00964D1B" w:rsidRDefault="00964D1B" w:rsidP="00964D1B">
      <w:pPr>
        <w:pStyle w:val="first-paragraph"/>
        <w:ind w:firstLine="720"/>
      </w:pPr>
      <w:r>
        <w:t>(D) Motor vehicles.</w:t>
      </w:r>
    </w:p>
    <w:p w14:paraId="47FB3510" w14:textId="77777777" w:rsidR="00964D1B" w:rsidRDefault="00964D1B" w:rsidP="00964D1B">
      <w:pPr>
        <w:pStyle w:val="first-paragraph"/>
        <w:ind w:left="720"/>
      </w:pPr>
      <w:r>
        <w:t>(1) All trucks shall be equipped with an audible warning device, in an operable condition, at the operator's station.</w:t>
      </w:r>
    </w:p>
    <w:p w14:paraId="0B2F79D6" w14:textId="77777777" w:rsidR="00964D1B" w:rsidRDefault="00964D1B" w:rsidP="00964D1B">
      <w:pPr>
        <w:pStyle w:val="first-paragraph"/>
        <w:ind w:firstLine="720"/>
      </w:pPr>
      <w:r>
        <w:t>(2) On mobile equipment having an obstructed view to the rear, the employer shall:</w:t>
      </w:r>
    </w:p>
    <w:p w14:paraId="3761C41C" w14:textId="77777777" w:rsidR="00964D1B" w:rsidRDefault="00964D1B" w:rsidP="00964D1B">
      <w:pPr>
        <w:pStyle w:val="first-paragraph"/>
        <w:ind w:firstLine="720"/>
      </w:pPr>
      <w:r>
        <w:t>(a) Provide a reverse signal alarm audible above the surrounding noise, or</w:t>
      </w:r>
    </w:p>
    <w:p w14:paraId="3CAD36F2" w14:textId="77777777" w:rsidR="00964D1B" w:rsidRDefault="00964D1B" w:rsidP="00964D1B">
      <w:pPr>
        <w:pStyle w:val="first-paragraph"/>
        <w:ind w:firstLine="720"/>
      </w:pPr>
      <w:r>
        <w:t>(b) Provide an observer to signal the assured clear distance.</w:t>
      </w:r>
    </w:p>
    <w:p w14:paraId="497D40C2" w14:textId="77777777" w:rsidR="0079584F" w:rsidRDefault="0079584F" w:rsidP="00EF1133">
      <w:pPr>
        <w:rPr>
          <w:rFonts w:ascii="Arial Black" w:hAnsi="Arial Black"/>
          <w:b/>
          <w:sz w:val="24"/>
          <w:szCs w:val="24"/>
        </w:rPr>
      </w:pPr>
    </w:p>
    <w:p w14:paraId="1B2955ED" w14:textId="0808348A" w:rsidR="00964D1B" w:rsidRDefault="00964D1B" w:rsidP="00EF1133">
      <w:pPr>
        <w:rPr>
          <w:rFonts w:ascii="Arial Black" w:hAnsi="Arial Black"/>
          <w:b/>
          <w:sz w:val="24"/>
          <w:szCs w:val="24"/>
        </w:rPr>
      </w:pPr>
      <w:r>
        <w:rPr>
          <w:rFonts w:ascii="Arial Black" w:hAnsi="Arial Black"/>
          <w:b/>
          <w:sz w:val="24"/>
          <w:szCs w:val="24"/>
        </w:rPr>
        <w:t>5-35</w:t>
      </w:r>
    </w:p>
    <w:p w14:paraId="50AFD306" w14:textId="77777777" w:rsidR="00C61041" w:rsidRPr="007C21B5" w:rsidRDefault="00C61041" w:rsidP="00C61041">
      <w:pPr>
        <w:rPr>
          <w:rFonts w:ascii="Arial Black" w:hAnsi="Arial Black"/>
          <w:b/>
          <w:bCs/>
          <w:sz w:val="28"/>
          <w:szCs w:val="28"/>
        </w:rPr>
      </w:pPr>
      <w:r>
        <w:rPr>
          <w:rFonts w:ascii="Arial Black" w:hAnsi="Arial Black"/>
          <w:b/>
          <w:bCs/>
          <w:sz w:val="28"/>
          <w:szCs w:val="28"/>
        </w:rPr>
        <w:t xml:space="preserve">TX: HOUSTON ROCKETS NBA PLAYER DRIVING FD HIGH-WATER VEHICLE - 3-DAY SUSPENSION – NO REHEARING </w:t>
      </w:r>
    </w:p>
    <w:p w14:paraId="043F7C01" w14:textId="77777777" w:rsidR="00C61041" w:rsidRDefault="00C61041" w:rsidP="00C61041">
      <w:pPr>
        <w:rPr>
          <w:rFonts w:ascii="Times New Roman" w:hAnsi="Times New Roman"/>
          <w:sz w:val="24"/>
          <w:szCs w:val="24"/>
        </w:rPr>
      </w:pPr>
      <w:r>
        <w:rPr>
          <w:rFonts w:ascii="Times New Roman" w:hAnsi="Times New Roman"/>
          <w:sz w:val="24"/>
          <w:szCs w:val="24"/>
        </w:rPr>
        <w:t xml:space="preserve">On Nov. 7, 2023, in </w:t>
      </w:r>
      <w:r w:rsidRPr="00D636AD">
        <w:rPr>
          <w:rFonts w:ascii="Times New Roman" w:hAnsi="Times New Roman"/>
          <w:sz w:val="24"/>
          <w:szCs w:val="24"/>
          <w:u w:val="single"/>
        </w:rPr>
        <w:t>City of Houston v. Steven M. Dubar</w:t>
      </w:r>
      <w:r>
        <w:rPr>
          <w:rFonts w:ascii="Times New Roman" w:hAnsi="Times New Roman"/>
          <w:sz w:val="24"/>
          <w:szCs w:val="24"/>
        </w:rPr>
        <w:t xml:space="preserve">, the Texas Fourteenth Court of Appeals denied the motion for rehearing (2 to 1) by District Chief Steven Dunbar, who received a three-day suspension for not submitting an official report about Houston Rockets personnel on board the FD’s High-Water Vehicle with a Rockets player driving the vehicle with lights and sirens activated. Dissenting Justice </w:t>
      </w:r>
      <w:r w:rsidRPr="008C7BAB">
        <w:rPr>
          <w:rFonts w:ascii="Times New Roman" w:hAnsi="Times New Roman"/>
          <w:sz w:val="24"/>
          <w:szCs w:val="24"/>
        </w:rPr>
        <w:t>Jerry Zimmerer</w:t>
      </w:r>
      <w:r>
        <w:rPr>
          <w:rFonts w:ascii="Times New Roman" w:hAnsi="Times New Roman"/>
          <w:sz w:val="24"/>
          <w:szCs w:val="24"/>
        </w:rPr>
        <w:t xml:space="preserve"> again wrote that he would give Chief Dubar another hearing. </w:t>
      </w:r>
      <w:hyperlink r:id="rId1001" w:history="1">
        <w:r w:rsidRPr="007522CE">
          <w:rPr>
            <w:rStyle w:val="Hyperlink"/>
            <w:rFonts w:ascii="Times New Roman" w:hAnsi="Times New Roman"/>
            <w:sz w:val="24"/>
            <w:szCs w:val="24"/>
          </w:rPr>
          <w:t>https://search.txcourts.gov/SearchMedia.aspx?MediaVersionID=ce66bb80-60c8-4a68-9e10-0d461411b53e&amp;coa=coa14&amp;DT=Opinion&amp;MediaID=4a32394c-a506-4577-9679-e2747d0b06c4</w:t>
        </w:r>
      </w:hyperlink>
      <w:r w:rsidRPr="007522CE">
        <w:rPr>
          <w:rFonts w:ascii="Times New Roman" w:hAnsi="Times New Roman"/>
          <w:sz w:val="24"/>
          <w:szCs w:val="24"/>
        </w:rPr>
        <w:t xml:space="preserve"> </w:t>
      </w:r>
    </w:p>
    <w:p w14:paraId="3B6E0CBF" w14:textId="77777777" w:rsidR="000516E6" w:rsidRDefault="000516E6" w:rsidP="000516E6">
      <w:pPr>
        <w:rPr>
          <w:rFonts w:ascii="Times New Roman" w:hAnsi="Times New Roman"/>
          <w:b/>
          <w:bCs/>
          <w:sz w:val="24"/>
          <w:szCs w:val="24"/>
        </w:rPr>
      </w:pPr>
      <w:r w:rsidRPr="00A33895">
        <w:rPr>
          <w:rFonts w:ascii="Times New Roman" w:hAnsi="Times New Roman"/>
          <w:b/>
          <w:bCs/>
          <w:sz w:val="24"/>
          <w:szCs w:val="24"/>
        </w:rPr>
        <w:t>Legal Lesson Learned:</w:t>
      </w:r>
      <w:r>
        <w:rPr>
          <w:rFonts w:ascii="Times New Roman" w:hAnsi="Times New Roman"/>
          <w:b/>
          <w:bCs/>
          <w:sz w:val="24"/>
          <w:szCs w:val="24"/>
        </w:rPr>
        <w:t xml:space="preserve"> When sports team members or other civilians are on fire apparatus, </w:t>
      </w:r>
      <w:proofErr w:type="gramStart"/>
      <w:r>
        <w:rPr>
          <w:rFonts w:ascii="Times New Roman" w:hAnsi="Times New Roman"/>
          <w:b/>
          <w:bCs/>
          <w:sz w:val="24"/>
          <w:szCs w:val="24"/>
        </w:rPr>
        <w:t>a FD</w:t>
      </w:r>
      <w:proofErr w:type="gramEnd"/>
      <w:r>
        <w:rPr>
          <w:rFonts w:ascii="Times New Roman" w:hAnsi="Times New Roman"/>
          <w:b/>
          <w:bCs/>
          <w:sz w:val="24"/>
          <w:szCs w:val="24"/>
        </w:rPr>
        <w:t xml:space="preserve"> member must always be in control of the vehicle. </w:t>
      </w:r>
    </w:p>
    <w:p w14:paraId="3420281E" w14:textId="77777777" w:rsidR="00C61041" w:rsidRDefault="00C61041" w:rsidP="00EF1133">
      <w:pPr>
        <w:rPr>
          <w:rFonts w:ascii="Arial Black" w:hAnsi="Arial Black"/>
          <w:b/>
          <w:sz w:val="24"/>
          <w:szCs w:val="24"/>
        </w:rPr>
      </w:pPr>
    </w:p>
    <w:p w14:paraId="52295C33" w14:textId="77777777" w:rsidR="007B5BD2" w:rsidRDefault="007B5BD2" w:rsidP="00EF1133">
      <w:pPr>
        <w:rPr>
          <w:rFonts w:ascii="Arial Black" w:hAnsi="Arial Black"/>
          <w:b/>
          <w:sz w:val="24"/>
          <w:szCs w:val="24"/>
        </w:rPr>
      </w:pPr>
    </w:p>
    <w:p w14:paraId="27E45B02" w14:textId="4DE12A87" w:rsidR="00BB49C5" w:rsidRDefault="00BB49C5" w:rsidP="00EF1133">
      <w:pPr>
        <w:rPr>
          <w:rFonts w:ascii="Arial Black" w:hAnsi="Arial Black"/>
          <w:b/>
          <w:sz w:val="24"/>
          <w:szCs w:val="24"/>
        </w:rPr>
      </w:pPr>
      <w:r>
        <w:rPr>
          <w:rFonts w:ascii="Arial Black" w:hAnsi="Arial Black"/>
          <w:b/>
          <w:sz w:val="24"/>
          <w:szCs w:val="24"/>
        </w:rPr>
        <w:t>5-3</w:t>
      </w:r>
      <w:r w:rsidR="00A65FD8">
        <w:rPr>
          <w:rFonts w:ascii="Arial Black" w:hAnsi="Arial Black"/>
          <w:b/>
          <w:sz w:val="24"/>
          <w:szCs w:val="24"/>
        </w:rPr>
        <w:t>4</w:t>
      </w:r>
    </w:p>
    <w:p w14:paraId="565594C0" w14:textId="77777777" w:rsidR="00BB49C5" w:rsidRPr="006B2512" w:rsidRDefault="00BB49C5" w:rsidP="00BB49C5">
      <w:pPr>
        <w:pStyle w:val="NormalWeb"/>
        <w:rPr>
          <w:rFonts w:ascii="Arial Black" w:hAnsi="Arial Black"/>
          <w:b/>
          <w:bCs/>
          <w:sz w:val="28"/>
          <w:szCs w:val="28"/>
        </w:rPr>
      </w:pPr>
      <w:r>
        <w:rPr>
          <w:rFonts w:ascii="Arial Black" w:hAnsi="Arial Black"/>
          <w:b/>
          <w:bCs/>
          <w:sz w:val="28"/>
          <w:szCs w:val="28"/>
        </w:rPr>
        <w:t>NJ: FIRE TRUCK SHIFTED INTO GEAR DURING TRAINING – DRIVERLESS TRUCK STRUCK BUILDING – INJURED PERSON</w:t>
      </w:r>
    </w:p>
    <w:p w14:paraId="2C387B58" w14:textId="77777777" w:rsidR="00BB49C5" w:rsidRDefault="00BB49C5" w:rsidP="00BB49C5">
      <w:pPr>
        <w:pStyle w:val="NormalWeb"/>
      </w:pPr>
      <w:r>
        <w:t xml:space="preserve">On Oct. 27, 2023, in </w:t>
      </w:r>
      <w:r w:rsidRPr="0089423C">
        <w:rPr>
          <w:u w:val="single"/>
        </w:rPr>
        <w:t xml:space="preserve">Berta Abreu Flores v. North Hudson Regional Fire </w:t>
      </w:r>
      <w:proofErr w:type="gramStart"/>
      <w:r w:rsidRPr="0089423C">
        <w:rPr>
          <w:u w:val="single"/>
        </w:rPr>
        <w:t>And</w:t>
      </w:r>
      <w:proofErr w:type="gramEnd"/>
      <w:r w:rsidRPr="0089423C">
        <w:rPr>
          <w:u w:val="single"/>
        </w:rPr>
        <w:t xml:space="preserve"> Rescue, et al</w:t>
      </w:r>
      <w:r>
        <w:t xml:space="preserve">., the Superior Court of New Jersey, Appellate Division, held (3 to 0), reversed trial court and held that under NJ law the injured person may proceed with claim for continuing medical issue regarding loss of balance. The Court described the incident. “On March 29, 2018, a fire engine owned by defendant North Hudson Regional Fire and Rescue accidently shifted into drive during a training exercise at a fire station in Union City. Driverless, the fire engine crossed the road and struck the front of a residence opposite the firehouse. The impact damaged the building's support columns. Plaintiff Berta Abreu Flores, a sixty-five-year-old woman who had been working on the first floor of the building, was injured by the collision.” </w:t>
      </w:r>
      <w:hyperlink r:id="rId1002" w:history="1">
        <w:r w:rsidRPr="0097451D">
          <w:rPr>
            <w:rStyle w:val="Hyperlink"/>
            <w:rFonts w:eastAsiaTheme="majorEastAsia"/>
          </w:rPr>
          <w:t>https://www.njcourts.gov/system/files/court-opinions/2023/a0009-22.pdf</w:t>
        </w:r>
      </w:hyperlink>
      <w:r>
        <w:t xml:space="preserve"> </w:t>
      </w:r>
    </w:p>
    <w:p w14:paraId="1C86170A" w14:textId="77777777" w:rsidR="00A65FD8" w:rsidRDefault="00A65FD8" w:rsidP="00A65FD8">
      <w:pPr>
        <w:pStyle w:val="NormalWeb"/>
        <w:rPr>
          <w:b/>
          <w:bCs/>
        </w:rPr>
      </w:pPr>
      <w:bookmarkStart w:id="195" w:name="_Hlk149717414"/>
      <w:r w:rsidRPr="0089423C">
        <w:rPr>
          <w:b/>
          <w:bCs/>
        </w:rPr>
        <w:t>Legal Lesson Learned:</w:t>
      </w:r>
      <w:r>
        <w:rPr>
          <w:b/>
          <w:bCs/>
        </w:rPr>
        <w:t xml:space="preserve"> New drivers and experienced Fire Apparatus Operators [FAOs] must always set the brake when a fire vehicle is parked.  Tire chocks should also be used when vehicle is parked. </w:t>
      </w:r>
    </w:p>
    <w:p w14:paraId="3B189D0A" w14:textId="77777777" w:rsidR="00A65FD8" w:rsidRDefault="00A65FD8" w:rsidP="00A65FD8">
      <w:pPr>
        <w:pStyle w:val="NormalWeb"/>
        <w:rPr>
          <w:b/>
          <w:bCs/>
        </w:rPr>
      </w:pPr>
    </w:p>
    <w:p w14:paraId="3EF86AA3" w14:textId="7595CA3F" w:rsidR="00A65FD8" w:rsidRDefault="00A65FD8" w:rsidP="00A65FD8">
      <w:pPr>
        <w:pStyle w:val="NormalWeb"/>
        <w:rPr>
          <w:b/>
          <w:bCs/>
        </w:rPr>
      </w:pPr>
      <w:r>
        <w:rPr>
          <w:b/>
          <w:bCs/>
        </w:rPr>
        <w:t>5-33</w:t>
      </w:r>
    </w:p>
    <w:p w14:paraId="4D37A177" w14:textId="77777777" w:rsidR="00A65FD8" w:rsidRPr="001578E0" w:rsidRDefault="00A65FD8" w:rsidP="00A65FD8">
      <w:pPr>
        <w:pStyle w:val="NormalWeb"/>
        <w:rPr>
          <w:rFonts w:ascii="Arial Black" w:hAnsi="Arial Black"/>
          <w:sz w:val="28"/>
          <w:szCs w:val="28"/>
        </w:rPr>
      </w:pPr>
      <w:r>
        <w:rPr>
          <w:rFonts w:ascii="Arial Black" w:hAnsi="Arial Black"/>
          <w:sz w:val="28"/>
          <w:szCs w:val="28"/>
        </w:rPr>
        <w:t>GA: SPEEDING MOTORIST RUNS INTO FIRE ENGINE – BUT MOTORIST EXPERT FF SHOULD SEEN HIM – CASE PROCEED</w:t>
      </w:r>
    </w:p>
    <w:p w14:paraId="73BCBA6E" w14:textId="77777777" w:rsidR="00A65FD8" w:rsidRPr="00CF75EB" w:rsidRDefault="00A65FD8" w:rsidP="00A65FD8">
      <w:pPr>
        <w:pStyle w:val="NormalWeb"/>
      </w:pPr>
      <w:r>
        <w:t xml:space="preserve">On Oct. 18, 2023, in </w:t>
      </w:r>
      <w:r w:rsidRPr="001578E0">
        <w:rPr>
          <w:u w:val="single"/>
        </w:rPr>
        <w:t>Chandler v. City of Lafayette</w:t>
      </w:r>
      <w:r>
        <w:t>, the Court of Appeals of Georgia held (3 to 0) that trial court improperly granted summary judgment to the City. The Court held:  “Because there is some evidence to show that the accident still would have occurred despite Chandler’s speeding and that both [</w:t>
      </w:r>
      <w:r w:rsidRPr="001578E0">
        <w:t>James Lamar</w:t>
      </w:r>
      <w:r>
        <w:t xml:space="preserve">] Chandler and [firefighter] Dennison should have been able to see each other before the collision, we conclude that genuine issues of material fact remain as to whether Dennison proximately caused Chandler’s injuries, and thus the trial court erred by granting summary judgment to the City.*** Moreover, Chandler’s expert testified that Dennison should have waited at the intersection or ensured that Chandler acknowledged his presence, and that Dennison failed to observe Chandler’s vehicle at the intersection. Because there is conflicting evidence as to whether Dennison slowed down as was necessary before proceeding past the red light and entering the intersection, genuine issues of material fact remain as to the City’s affirmative defense, and the trial court therefore erred to the extent that it granted summary judgment on this basis.” </w:t>
      </w:r>
      <w:hyperlink r:id="rId1003" w:history="1">
        <w:r w:rsidRPr="00DC791D">
          <w:rPr>
            <w:rStyle w:val="Hyperlink"/>
            <w:rFonts w:eastAsiaTheme="majorEastAsia"/>
          </w:rPr>
          <w:t>https://cases.justia.com/georgia/court-of-appeals/2023-a23a1037.pdf?ts=1697652631</w:t>
        </w:r>
      </w:hyperlink>
      <w:r>
        <w:t xml:space="preserve"> </w:t>
      </w:r>
    </w:p>
    <w:p w14:paraId="7B31E113" w14:textId="77777777" w:rsidR="00A65FD8" w:rsidRDefault="00A65FD8" w:rsidP="00A65FD8">
      <w:pPr>
        <w:pStyle w:val="NormalWeb"/>
        <w:rPr>
          <w:b/>
          <w:bCs/>
        </w:rPr>
      </w:pPr>
      <w:r w:rsidRPr="00585D35">
        <w:rPr>
          <w:b/>
          <w:bCs/>
        </w:rPr>
        <w:t xml:space="preserve">Legal Lesson Learned: </w:t>
      </w:r>
      <w:r>
        <w:rPr>
          <w:b/>
          <w:bCs/>
        </w:rPr>
        <w:t xml:space="preserve">This case appears to be a “battle of the experts.” Some fire departments have adopted a “full stop” policy if entering against a red light, to avoid this type of litigation.  </w:t>
      </w:r>
    </w:p>
    <w:p w14:paraId="62E0CBF3" w14:textId="77777777" w:rsidR="00A65FD8" w:rsidRDefault="00A65FD8" w:rsidP="00A65FD8">
      <w:pPr>
        <w:pStyle w:val="NormalWeb"/>
        <w:rPr>
          <w:b/>
          <w:bCs/>
        </w:rPr>
      </w:pPr>
    </w:p>
    <w:bookmarkEnd w:id="195"/>
    <w:p w14:paraId="5B89F3AA" w14:textId="77777777" w:rsidR="00BB49C5" w:rsidRDefault="00BB49C5" w:rsidP="00EF1133">
      <w:pPr>
        <w:rPr>
          <w:rFonts w:ascii="Arial Black" w:hAnsi="Arial Black"/>
          <w:b/>
          <w:sz w:val="24"/>
          <w:szCs w:val="24"/>
        </w:rPr>
      </w:pPr>
    </w:p>
    <w:p w14:paraId="2FCE7B72" w14:textId="77777777" w:rsidR="00BB49C5" w:rsidRDefault="00BB49C5" w:rsidP="00EF1133">
      <w:pPr>
        <w:rPr>
          <w:rFonts w:ascii="Arial Black" w:hAnsi="Arial Black"/>
          <w:b/>
          <w:sz w:val="24"/>
          <w:szCs w:val="24"/>
        </w:rPr>
      </w:pPr>
    </w:p>
    <w:p w14:paraId="00FBA9D7" w14:textId="7E842D65" w:rsidR="009B0593" w:rsidRDefault="009B0593" w:rsidP="00EF1133">
      <w:pPr>
        <w:rPr>
          <w:rFonts w:ascii="Arial Black" w:hAnsi="Arial Black"/>
          <w:b/>
          <w:sz w:val="24"/>
          <w:szCs w:val="24"/>
        </w:rPr>
      </w:pPr>
      <w:r>
        <w:rPr>
          <w:rFonts w:ascii="Arial Black" w:hAnsi="Arial Black"/>
          <w:b/>
          <w:sz w:val="24"/>
          <w:szCs w:val="24"/>
        </w:rPr>
        <w:t>5-32</w:t>
      </w:r>
    </w:p>
    <w:p w14:paraId="3FAE011C" w14:textId="77777777" w:rsidR="009B0593" w:rsidRDefault="009B0593" w:rsidP="009B0593">
      <w:pPr>
        <w:pStyle w:val="NormalWeb"/>
        <w:rPr>
          <w:rFonts w:ascii="Arial Black" w:hAnsi="Arial Black"/>
          <w:b/>
          <w:bCs/>
          <w:sz w:val="28"/>
          <w:szCs w:val="28"/>
        </w:rPr>
      </w:pPr>
      <w:r>
        <w:rPr>
          <w:rFonts w:ascii="Arial Black" w:hAnsi="Arial Black"/>
          <w:b/>
          <w:bCs/>
          <w:sz w:val="28"/>
          <w:szCs w:val="28"/>
        </w:rPr>
        <w:t xml:space="preserve">TX: EMER. RUN – HEAVY TRAFFIC - BACKING UP ENGINE SIDE-SWIPED SUV – OFFICIAL IMMUNITY FOR FF &amp; CITY </w:t>
      </w:r>
    </w:p>
    <w:p w14:paraId="116D65DE" w14:textId="77777777" w:rsidR="009B0593" w:rsidRPr="001E2B05" w:rsidRDefault="009B0593" w:rsidP="009B0593">
      <w:pPr>
        <w:pStyle w:val="NormalWeb"/>
      </w:pPr>
      <w:r w:rsidRPr="001E2B05">
        <w:t xml:space="preserve">On Aug. 22, 2023, in </w:t>
      </w:r>
      <w:r w:rsidRPr="001E2B05">
        <w:rPr>
          <w:u w:val="single"/>
        </w:rPr>
        <w:t>City of Houston v. Emmitt Wilson</w:t>
      </w:r>
      <w:r>
        <w:t xml:space="preserve">, the Court of Appeals of Texas, Fourteenth District, reversed the </w:t>
      </w:r>
      <w:proofErr w:type="gramStart"/>
      <w:r>
        <w:t>trial court judge</w:t>
      </w:r>
      <w:proofErr w:type="gramEnd"/>
      <w:r>
        <w:t xml:space="preserve"> and ordered the lawsuit dismissed. The firefighters were responding to an accident with 18-wheeler and a sedan, and because of heavy traffic the engine had to slowly back up with a spotter on passenger side.  The engine side-swiped Mr. Wilson’s vehicle when he suddenly stopped backing up.  </w:t>
      </w:r>
    </w:p>
    <w:p w14:paraId="2CE9AF32" w14:textId="77777777" w:rsidR="009B0593" w:rsidRDefault="009B0593" w:rsidP="009B0593">
      <w:pPr>
        <w:pStyle w:val="NormalWeb"/>
        <w:ind w:firstLine="720"/>
      </w:pPr>
      <w:r w:rsidRPr="001919F6">
        <w:t xml:space="preserve">The Court held: </w:t>
      </w:r>
    </w:p>
    <w:p w14:paraId="1BF2D7D3" w14:textId="77777777" w:rsidR="009B0593" w:rsidRDefault="009B0593" w:rsidP="009B0593">
      <w:pPr>
        <w:pStyle w:val="NormalWeb"/>
        <w:ind w:left="720" w:firstLine="60"/>
      </w:pPr>
      <w:r>
        <w:t>“[Firefighter Jason] Carroll testified that when he determined he would need to back up on Wayside, he used his individual judgment to leave his emergency lights engaged but disengaged the siren so that he could hear his spotter's radio transmissions. Carroll also explained that his back up signals would sound. Wilson did not dispute that these alarms were operating at the time of the accident and admits that ‘Mr. Carroll and all the [City's] agents were responding to an emergency’ at the time of the accident.</w:t>
      </w:r>
    </w:p>
    <w:p w14:paraId="4E4E7824" w14:textId="77777777" w:rsidR="009B0593" w:rsidRDefault="009B0593" w:rsidP="009B0593">
      <w:pPr>
        <w:pStyle w:val="NormalWeb"/>
        <w:ind w:left="720" w:firstLine="60"/>
      </w:pPr>
      <w:r>
        <w:t>***</w:t>
      </w:r>
    </w:p>
    <w:p w14:paraId="3363E9A6" w14:textId="77777777" w:rsidR="009B0593" w:rsidRDefault="009B0593" w:rsidP="009B0593">
      <w:pPr>
        <w:pStyle w:val="NormalWeb"/>
        <w:ind w:left="720" w:firstLine="60"/>
        <w:rPr>
          <w:rFonts w:eastAsiaTheme="minorHAnsi"/>
          <w:kern w:val="2"/>
          <w14:ligatures w14:val="standardContextual"/>
        </w:rPr>
      </w:pPr>
      <w:r w:rsidRPr="001919F6">
        <w:rPr>
          <w:rFonts w:eastAsiaTheme="minorHAnsi"/>
          <w:kern w:val="2"/>
          <w14:ligatures w14:val="standardContextual"/>
        </w:rPr>
        <w:t xml:space="preserve">Because the evidence was uncontroverted that Carrol was operating Engine 43 in the course of an emergency response to a vehicle accident, and Carroll's affidavit illustrates the various decisions he made in the course of driving Engine 43 leading up to the collision-including determining the proper route to the accident, whether to keep the emergency siren and lights engaged while backing up, whether and how many spotters he should have while performing the reverse maneuver-we conclude that the Carrol was performing </w:t>
      </w:r>
      <w:r w:rsidRPr="001919F6">
        <w:rPr>
          <w:rFonts w:eastAsiaTheme="minorHAnsi"/>
          <w:i/>
          <w:iCs/>
          <w:kern w:val="2"/>
          <w14:ligatures w14:val="standardContextual"/>
        </w:rPr>
        <w:t>discretionary duties</w:t>
      </w:r>
      <w:r w:rsidRPr="001919F6">
        <w:rPr>
          <w:rFonts w:eastAsiaTheme="minorHAnsi"/>
          <w:kern w:val="2"/>
          <w14:ligatures w14:val="standardContextual"/>
        </w:rPr>
        <w:t xml:space="preserve"> at the time of the incident. </w:t>
      </w:r>
      <w:r w:rsidRPr="001919F6">
        <w:rPr>
          <w:rFonts w:eastAsiaTheme="minorHAnsi"/>
          <w:i/>
          <w:iCs/>
          <w:kern w:val="2"/>
          <w14:ligatures w14:val="standardContextual"/>
        </w:rPr>
        <w:t>See id</w:t>
      </w:r>
      <w:r w:rsidRPr="001919F6">
        <w:rPr>
          <w:rFonts w:eastAsiaTheme="minorHAnsi"/>
          <w:kern w:val="2"/>
          <w14:ligatures w14:val="standardContextual"/>
        </w:rPr>
        <w:t xml:space="preserve">. Thus, to the extent the trial court's denial of summary judgment was based on a finding that the City failed to conclusively establish that Carrol's acts were discretionary duties at the time of the collision, such </w:t>
      </w:r>
      <w:proofErr w:type="gramStart"/>
      <w:r w:rsidRPr="001919F6">
        <w:rPr>
          <w:rFonts w:eastAsiaTheme="minorHAnsi"/>
          <w:kern w:val="2"/>
          <w14:ligatures w14:val="standardContextual"/>
        </w:rPr>
        <w:t>finding was</w:t>
      </w:r>
      <w:proofErr w:type="gramEnd"/>
      <w:r w:rsidRPr="001919F6">
        <w:rPr>
          <w:rFonts w:eastAsiaTheme="minorHAnsi"/>
          <w:kern w:val="2"/>
          <w14:ligatures w14:val="standardContextual"/>
        </w:rPr>
        <w:t xml:space="preserve"> erroneous. We next consider the trial court's implicit finding that the City failed to conclusively establish that Carrol was acting in good faith at the time of the incident.</w:t>
      </w:r>
    </w:p>
    <w:p w14:paraId="1B0766B7" w14:textId="77777777" w:rsidR="009B0593" w:rsidRDefault="009B0593" w:rsidP="009B0593">
      <w:pPr>
        <w:pStyle w:val="NormalWeb"/>
        <w:ind w:left="720" w:firstLine="60"/>
        <w:rPr>
          <w:rFonts w:eastAsiaTheme="minorHAnsi"/>
          <w:kern w:val="2"/>
          <w14:ligatures w14:val="standardContextual"/>
        </w:rPr>
      </w:pPr>
      <w:r>
        <w:rPr>
          <w:rFonts w:eastAsiaTheme="minorHAnsi"/>
          <w:kern w:val="2"/>
          <w14:ligatures w14:val="standardContextual"/>
        </w:rPr>
        <w:t>***</w:t>
      </w:r>
    </w:p>
    <w:p w14:paraId="05FC330E" w14:textId="77777777" w:rsidR="009B0593" w:rsidRDefault="009B0593" w:rsidP="009B0593">
      <w:pPr>
        <w:pStyle w:val="NormalWeb"/>
        <w:ind w:left="720"/>
      </w:pPr>
      <w:r>
        <w:t xml:space="preserve">On this record, the </w:t>
      </w:r>
      <w:proofErr w:type="gramStart"/>
      <w:r>
        <w:t>City</w:t>
      </w:r>
      <w:proofErr w:type="gramEnd"/>
      <w:r>
        <w:t xml:space="preserve"> satisfied its burden to prove conclusively that Carroll was acting in good faith at the time in question…. The fact that Carroll had turned off his siren or that he had chosen only one spotter is unconvincing </w:t>
      </w:r>
      <w:proofErr w:type="gramStart"/>
      <w:r>
        <w:t>in light of</w:t>
      </w:r>
      <w:proofErr w:type="gramEnd"/>
      <w:r>
        <w:t xml:space="preserve"> the circumstances described in Carroll's affidavit, and thus the cases Wilson has cited are not germane to this case.” </w:t>
      </w:r>
      <w:hyperlink r:id="rId1004" w:history="1">
        <w:r w:rsidRPr="00CD12AF">
          <w:rPr>
            <w:rStyle w:val="Hyperlink"/>
            <w:rFonts w:eastAsiaTheme="majorEastAsia"/>
          </w:rPr>
          <w:t>https://casetext.com/case/city-of-houston-v-wilson-1</w:t>
        </w:r>
      </w:hyperlink>
      <w:r>
        <w:t xml:space="preserve"> </w:t>
      </w:r>
    </w:p>
    <w:p w14:paraId="2A0F08EF" w14:textId="77777777" w:rsidR="009B0593" w:rsidRPr="00023C8D" w:rsidRDefault="009B0593" w:rsidP="009B0593">
      <w:pPr>
        <w:pStyle w:val="NormalWeb"/>
        <w:rPr>
          <w:b/>
          <w:bCs/>
        </w:rPr>
      </w:pPr>
      <w:r w:rsidRPr="00023C8D">
        <w:rPr>
          <w:b/>
          <w:bCs/>
        </w:rPr>
        <w:t>Legal Lesson Learned:</w:t>
      </w:r>
      <w:r>
        <w:rPr>
          <w:b/>
          <w:bCs/>
        </w:rPr>
        <w:t xml:space="preserve"> Official immunity under Texas law protects the City and the apparatus operator from liability. </w:t>
      </w:r>
    </w:p>
    <w:p w14:paraId="43C03495" w14:textId="77777777" w:rsidR="009B0593" w:rsidRDefault="009B0593" w:rsidP="00EF1133">
      <w:pPr>
        <w:rPr>
          <w:rFonts w:ascii="Arial Black" w:hAnsi="Arial Black"/>
          <w:b/>
          <w:sz w:val="24"/>
          <w:szCs w:val="24"/>
        </w:rPr>
      </w:pPr>
    </w:p>
    <w:p w14:paraId="4B9F6DBA" w14:textId="77777777" w:rsidR="009B0593" w:rsidRDefault="009B0593" w:rsidP="00EF1133">
      <w:pPr>
        <w:rPr>
          <w:rFonts w:ascii="Arial Black" w:hAnsi="Arial Black"/>
          <w:b/>
          <w:sz w:val="24"/>
          <w:szCs w:val="24"/>
        </w:rPr>
      </w:pPr>
    </w:p>
    <w:p w14:paraId="57C269F7" w14:textId="51AF42B8" w:rsidR="007A0E71" w:rsidRDefault="00FE60DA" w:rsidP="00EF1133">
      <w:pPr>
        <w:rPr>
          <w:rFonts w:ascii="Arial Black" w:hAnsi="Arial Black"/>
          <w:b/>
          <w:sz w:val="24"/>
          <w:szCs w:val="24"/>
        </w:rPr>
      </w:pPr>
      <w:r>
        <w:rPr>
          <w:rFonts w:ascii="Arial Black" w:hAnsi="Arial Black"/>
          <w:b/>
          <w:sz w:val="24"/>
          <w:szCs w:val="24"/>
        </w:rPr>
        <w:t>5-31</w:t>
      </w:r>
    </w:p>
    <w:p w14:paraId="4790ACA0" w14:textId="77777777" w:rsidR="00FE60DA"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TX: EMT 65+ MPH THROUGH RED LIGHT – MVA – TEXAS  “MEDICAL LIAB” LAW REQ. EXPERT REPORT OF NEGLIGENT </w:t>
      </w:r>
    </w:p>
    <w:p w14:paraId="143B6313" w14:textId="77777777" w:rsidR="00FE60DA" w:rsidRDefault="00FE60DA" w:rsidP="00FE60DA">
      <w:pPr>
        <w:spacing w:before="100" w:beforeAutospacing="1" w:after="100" w:afterAutospacing="1" w:line="240" w:lineRule="auto"/>
        <w:rPr>
          <w:rFonts w:ascii="Times New Roman" w:hAnsi="Times New Roman"/>
          <w:sz w:val="24"/>
          <w:szCs w:val="24"/>
        </w:rPr>
      </w:pPr>
      <w:r w:rsidRPr="006E4E96">
        <w:rPr>
          <w:rFonts w:ascii="Times New Roman" w:hAnsi="Times New Roman"/>
          <w:sz w:val="24"/>
          <w:szCs w:val="24"/>
        </w:rPr>
        <w:t xml:space="preserve">On June 15, 2023, in </w:t>
      </w:r>
      <w:r w:rsidRPr="006E4E96">
        <w:rPr>
          <w:rFonts w:ascii="Times New Roman" w:hAnsi="Times New Roman"/>
          <w:sz w:val="24"/>
          <w:szCs w:val="24"/>
          <w:u w:val="single"/>
        </w:rPr>
        <w:t>City of Alvin v. Edna Fields</w:t>
      </w:r>
      <w:r w:rsidRPr="006E4E96">
        <w:rPr>
          <w:rFonts w:ascii="Times New Roman" w:hAnsi="Times New Roman"/>
          <w:sz w:val="24"/>
          <w:szCs w:val="24"/>
        </w:rPr>
        <w:t>, the Court of Appeals of Texas, First</w:t>
      </w:r>
      <w:r>
        <w:rPr>
          <w:rFonts w:ascii="Times New Roman" w:hAnsi="Times New Roman"/>
          <w:sz w:val="24"/>
          <w:szCs w:val="24"/>
        </w:rPr>
        <w:t xml:space="preserve"> </w:t>
      </w:r>
      <w:r w:rsidRPr="006E4E96">
        <w:rPr>
          <w:rFonts w:ascii="Times New Roman" w:hAnsi="Times New Roman"/>
          <w:sz w:val="24"/>
          <w:szCs w:val="24"/>
        </w:rPr>
        <w:t>District,</w:t>
      </w:r>
      <w:r>
        <w:rPr>
          <w:rFonts w:ascii="Times New Roman" w:hAnsi="Times New Roman"/>
          <w:sz w:val="24"/>
          <w:szCs w:val="24"/>
        </w:rPr>
        <w:t xml:space="preserve"> </w:t>
      </w:r>
      <w:r w:rsidRPr="006E4E96">
        <w:rPr>
          <w:rFonts w:ascii="Times New Roman" w:hAnsi="Times New Roman"/>
          <w:sz w:val="24"/>
          <w:szCs w:val="24"/>
        </w:rPr>
        <w:t>held (3 to 0) that trial court should have granted city’s motion to dismiss, because the patient claiming neck injury from the accident was required by the Texas Medical Liability Act (TMLA)</w:t>
      </w:r>
      <w:r>
        <w:rPr>
          <w:rFonts w:ascii="Times New Roman" w:hAnsi="Times New Roman"/>
          <w:sz w:val="24"/>
          <w:szCs w:val="24"/>
        </w:rPr>
        <w:t xml:space="preserve"> to file report from an expert supporting a claim of negligence by ambulance driver.  </w:t>
      </w:r>
    </w:p>
    <w:p w14:paraId="4554876D" w14:textId="77777777" w:rsidR="00FE60DA" w:rsidRDefault="00FE60DA" w:rsidP="00FE60DA">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The Court </w:t>
      </w:r>
      <w:proofErr w:type="gramStart"/>
      <w:r>
        <w:rPr>
          <w:rFonts w:ascii="Times New Roman" w:hAnsi="Times New Roman"/>
          <w:sz w:val="24"/>
          <w:szCs w:val="24"/>
        </w:rPr>
        <w:t>held: “</w:t>
      </w:r>
      <w:proofErr w:type="gramEnd"/>
      <w:r>
        <w:rPr>
          <w:rFonts w:ascii="Times New Roman" w:hAnsi="Times New Roman"/>
          <w:sz w:val="24"/>
          <w:szCs w:val="24"/>
        </w:rPr>
        <w:t xml:space="preserve">[EMT driver Beverly] </w:t>
      </w:r>
      <w:r w:rsidRPr="00CC4FAC">
        <w:rPr>
          <w:rFonts w:ascii="Times New Roman" w:eastAsia="Times New Roman" w:hAnsi="Times New Roman"/>
          <w:sz w:val="24"/>
          <w:szCs w:val="24"/>
        </w:rPr>
        <w:t xml:space="preserve">Scott testified that she entered the intersection against the red light to protect her partner, who was unrestrained because he was providing emergent health care to Fields. She also said that she was considering herself, her partner, her patient, and everyone in the vicinity </w:t>
      </w:r>
      <w:r>
        <w:rPr>
          <w:rFonts w:ascii="Times New Roman" w:eastAsia="Times New Roman" w:hAnsi="Times New Roman"/>
          <w:sz w:val="24"/>
          <w:szCs w:val="24"/>
        </w:rPr>
        <w:t>‘</w:t>
      </w:r>
      <w:r w:rsidRPr="00CC4FAC">
        <w:rPr>
          <w:rFonts w:ascii="Times New Roman" w:eastAsia="Times New Roman" w:hAnsi="Times New Roman"/>
          <w:sz w:val="24"/>
          <w:szCs w:val="24"/>
        </w:rPr>
        <w:t>while running emergency traffic.</w:t>
      </w:r>
      <w:r>
        <w:rPr>
          <w:rFonts w:ascii="Times New Roman" w:eastAsia="Times New Roman" w:hAnsi="Times New Roman"/>
          <w:sz w:val="24"/>
          <w:szCs w:val="24"/>
        </w:rPr>
        <w:t>’</w:t>
      </w:r>
      <w:r w:rsidRPr="00CC4FAC">
        <w:rPr>
          <w:rFonts w:ascii="Times New Roman" w:eastAsia="Times New Roman" w:hAnsi="Times New Roman"/>
          <w:sz w:val="24"/>
          <w:szCs w:val="24"/>
        </w:rPr>
        <w:t xml:space="preserve"> We conclude that the claim that Fields </w:t>
      </w:r>
      <w:proofErr w:type="gramStart"/>
      <w:r w:rsidRPr="00CC4FAC">
        <w:rPr>
          <w:rFonts w:ascii="Times New Roman" w:eastAsia="Times New Roman" w:hAnsi="Times New Roman"/>
          <w:sz w:val="24"/>
          <w:szCs w:val="24"/>
        </w:rPr>
        <w:t>pleaded</w:t>
      </w:r>
      <w:proofErr w:type="gramEnd"/>
      <w:r w:rsidRPr="00CC4FAC">
        <w:rPr>
          <w:rFonts w:ascii="Times New Roman" w:eastAsia="Times New Roman" w:hAnsi="Times New Roman"/>
          <w:sz w:val="24"/>
          <w:szCs w:val="24"/>
        </w:rPr>
        <w:t xml:space="preserve"> has a nexus between the alleged negligence and the provision of health care, and we hold that Fields's claim is a health care liability claim. </w:t>
      </w:r>
      <w:r w:rsidRPr="00CC4FAC">
        <w:rPr>
          <w:rFonts w:ascii="Times New Roman" w:eastAsia="Times New Roman" w:hAnsi="Times New Roman"/>
          <w:i/>
          <w:iCs/>
          <w:sz w:val="24"/>
          <w:szCs w:val="24"/>
        </w:rPr>
        <w:t>Ross</w:t>
      </w:r>
      <w:r w:rsidRPr="00CC4FAC">
        <w:rPr>
          <w:rFonts w:ascii="Times New Roman" w:eastAsia="Times New Roman" w:hAnsi="Times New Roman"/>
          <w:sz w:val="24"/>
          <w:szCs w:val="24"/>
        </w:rPr>
        <w:t xml:space="preserve">, 462 S.W.3d at 504; </w:t>
      </w:r>
      <w:r w:rsidRPr="00CC4FAC">
        <w:rPr>
          <w:rFonts w:ascii="Times New Roman" w:eastAsia="Times New Roman" w:hAnsi="Times New Roman"/>
          <w:i/>
          <w:iCs/>
          <w:sz w:val="24"/>
          <w:szCs w:val="24"/>
        </w:rPr>
        <w:t>see Coming Attractions Bridal &amp; Formal</w:t>
      </w:r>
      <w:r w:rsidRPr="00CC4FAC">
        <w:rPr>
          <w:rFonts w:ascii="Times New Roman" w:eastAsia="Times New Roman" w:hAnsi="Times New Roman"/>
          <w:sz w:val="24"/>
          <w:szCs w:val="24"/>
        </w:rPr>
        <w:t>, 595 S.W.3d at 664</w:t>
      </w:r>
      <w:r>
        <w:rPr>
          <w:rFonts w:ascii="Times New Roman" w:eastAsia="Times New Roman" w:hAnsi="Times New Roman"/>
          <w:sz w:val="24"/>
          <w:szCs w:val="24"/>
        </w:rPr>
        <w:t xml:space="preserve">. </w:t>
      </w:r>
      <w:r w:rsidRPr="00CC4FAC">
        <w:rPr>
          <w:rFonts w:ascii="Times New Roman" w:eastAsia="Times New Roman" w:hAnsi="Times New Roman"/>
          <w:sz w:val="24"/>
          <w:szCs w:val="24"/>
        </w:rPr>
        <w:t xml:space="preserve"> It is undisputed that Fields did not timely serve an expert report. </w:t>
      </w:r>
      <w:r w:rsidRPr="00CC4FAC">
        <w:rPr>
          <w:rFonts w:ascii="Times New Roman" w:eastAsia="Times New Roman" w:hAnsi="Times New Roman"/>
          <w:i/>
          <w:iCs/>
          <w:sz w:val="24"/>
          <w:szCs w:val="24"/>
        </w:rPr>
        <w:t>See</w:t>
      </w:r>
      <w:r w:rsidRPr="00CC4FAC">
        <w:rPr>
          <w:rFonts w:ascii="Times New Roman" w:eastAsia="Times New Roman" w:hAnsi="Times New Roman"/>
          <w:sz w:val="24"/>
          <w:szCs w:val="24"/>
        </w:rPr>
        <w:t xml:space="preserve"> TEX. CIV. PRAC. &amp; REM. CODE § 74.351(b). We therefore hold that the trial court erred by denying the City's motion to dismiss. We sustain the City's second issue.</w:t>
      </w:r>
      <w:r>
        <w:rPr>
          <w:rFonts w:ascii="Times New Roman" w:eastAsia="Times New Roman" w:hAnsi="Times New Roman"/>
          <w:sz w:val="24"/>
          <w:szCs w:val="24"/>
        </w:rPr>
        <w:t>”</w:t>
      </w:r>
      <w:r w:rsidRPr="00CC4FAC">
        <w:rPr>
          <w:rFonts w:ascii="Times New Roman" w:eastAsia="Times New Roman" w:hAnsi="Times New Roman"/>
          <w:sz w:val="24"/>
          <w:szCs w:val="24"/>
        </w:rPr>
        <w:t xml:space="preserve"> </w:t>
      </w:r>
      <w:hyperlink r:id="rId1005" w:history="1">
        <w:r w:rsidRPr="00812663">
          <w:rPr>
            <w:rStyle w:val="Hyperlink"/>
            <w:sz w:val="24"/>
            <w:szCs w:val="24"/>
          </w:rPr>
          <w:t>https://casetext.com/case/city-of-alvin-v-fields</w:t>
        </w:r>
      </w:hyperlink>
      <w:r>
        <w:rPr>
          <w:rFonts w:ascii="Times New Roman" w:eastAsia="Times New Roman" w:hAnsi="Times New Roman"/>
          <w:sz w:val="24"/>
          <w:szCs w:val="24"/>
        </w:rPr>
        <w:t xml:space="preserve"> </w:t>
      </w:r>
    </w:p>
    <w:p w14:paraId="13F01E28" w14:textId="77777777" w:rsidR="00FE60DA" w:rsidRDefault="00FE60DA" w:rsidP="00FE60DA">
      <w:pPr>
        <w:pStyle w:val="NormalWeb"/>
        <w:rPr>
          <w:b/>
          <w:bCs/>
        </w:rPr>
      </w:pPr>
      <w:r w:rsidRPr="007D7E2D">
        <w:rPr>
          <w:b/>
          <w:bCs/>
        </w:rPr>
        <w:t xml:space="preserve">Legal Lesson Learned: </w:t>
      </w:r>
      <w:r>
        <w:rPr>
          <w:b/>
          <w:bCs/>
        </w:rPr>
        <w:t xml:space="preserve"> EMS transporting stroke victim, where time is of the essence, should still slow down from 65 MPH when entering a controlled intersection.  In many states, this would be a normal tort claim for negligence, and not a medical claim requiring expert </w:t>
      </w:r>
      <w:proofErr w:type="gramStart"/>
      <w:r>
        <w:rPr>
          <w:b/>
          <w:bCs/>
        </w:rPr>
        <w:t>report</w:t>
      </w:r>
      <w:proofErr w:type="gramEnd"/>
      <w:r>
        <w:rPr>
          <w:b/>
          <w:bCs/>
        </w:rPr>
        <w:t xml:space="preserve">. </w:t>
      </w:r>
    </w:p>
    <w:p w14:paraId="7DC1989A" w14:textId="77777777" w:rsidR="00FE60DA" w:rsidRPr="00F115F8" w:rsidRDefault="00FE60DA" w:rsidP="00FE60DA">
      <w:pPr>
        <w:pStyle w:val="Heading1"/>
        <w:ind w:left="720"/>
        <w:rPr>
          <w:b w:val="0"/>
          <w:bCs w:val="0"/>
          <w:sz w:val="24"/>
          <w:szCs w:val="24"/>
        </w:rPr>
      </w:pPr>
      <w:r w:rsidRPr="00F115F8">
        <w:rPr>
          <w:b w:val="0"/>
          <w:bCs w:val="0"/>
          <w:sz w:val="24"/>
          <w:szCs w:val="24"/>
        </w:rPr>
        <w:t xml:space="preserve">Note: Under Ohio law. Section 4511.03 </w:t>
      </w:r>
      <w:r w:rsidRPr="00F115F8">
        <w:rPr>
          <w:rStyle w:val="codes-separator"/>
          <w:b w:val="0"/>
          <w:bCs w:val="0"/>
          <w:sz w:val="24"/>
          <w:szCs w:val="24"/>
        </w:rPr>
        <w:t>|</w:t>
      </w:r>
      <w:r w:rsidRPr="00F115F8">
        <w:rPr>
          <w:b w:val="0"/>
          <w:bCs w:val="0"/>
          <w:sz w:val="24"/>
          <w:szCs w:val="24"/>
        </w:rPr>
        <w:t xml:space="preserve"> Emergency vehicles at red signal or stop sign. </w:t>
      </w:r>
      <w:hyperlink r:id="rId1006" w:history="1">
        <w:r w:rsidRPr="00F115F8">
          <w:rPr>
            <w:rStyle w:val="Hyperlink"/>
            <w:b w:val="0"/>
            <w:bCs w:val="0"/>
            <w:sz w:val="24"/>
            <w:szCs w:val="24"/>
          </w:rPr>
          <w:t>https://codes.ohio.gov/ohio-revised-code/section-4511.03</w:t>
        </w:r>
      </w:hyperlink>
      <w:r w:rsidRPr="00F115F8">
        <w:rPr>
          <w:b w:val="0"/>
          <w:bCs w:val="0"/>
          <w:sz w:val="24"/>
          <w:szCs w:val="24"/>
        </w:rPr>
        <w:t xml:space="preserve"> </w:t>
      </w:r>
    </w:p>
    <w:p w14:paraId="0708555E" w14:textId="77777777" w:rsidR="00FE60DA" w:rsidRPr="007D7E2D" w:rsidRDefault="00FE60DA" w:rsidP="00FE60DA">
      <w:pPr>
        <w:pStyle w:val="NormalWeb"/>
        <w:ind w:left="1440"/>
      </w:pPr>
      <w:r>
        <w:t>“</w:t>
      </w:r>
      <w:r w:rsidRPr="007D7E2D">
        <w:t xml:space="preserve">(A) The driver of any emergency vehicle or public safety vehicle, when responding to an emergency call, upon approaching a red or stop signal or any stop sign shall slow down as necessary for safety to </w:t>
      </w:r>
      <w:proofErr w:type="gramStart"/>
      <w:r w:rsidRPr="007D7E2D">
        <w:t>traffic, but</w:t>
      </w:r>
      <w:proofErr w:type="gramEnd"/>
      <w:r w:rsidRPr="007D7E2D">
        <w:t xml:space="preserve"> may proceed cautiously past such red or stop sign or signal with due regard for the safety of all persons using the street or highway.</w:t>
      </w:r>
      <w:r>
        <w:t>”</w:t>
      </w:r>
    </w:p>
    <w:p w14:paraId="65BFAFB8" w14:textId="77777777" w:rsidR="00FE60DA" w:rsidRPr="00F115F8" w:rsidRDefault="00FE60DA" w:rsidP="00FE60DA">
      <w:pPr>
        <w:pStyle w:val="Heading1"/>
        <w:ind w:left="720"/>
        <w:rPr>
          <w:b w:val="0"/>
          <w:bCs w:val="0"/>
          <w:sz w:val="24"/>
          <w:szCs w:val="24"/>
        </w:rPr>
      </w:pPr>
      <w:r w:rsidRPr="00F115F8">
        <w:rPr>
          <w:b w:val="0"/>
          <w:bCs w:val="0"/>
          <w:sz w:val="24"/>
          <w:szCs w:val="24"/>
        </w:rPr>
        <w:t xml:space="preserve">See also Ohio Administrative Code: Rule 3335-21-12 </w:t>
      </w:r>
      <w:r w:rsidRPr="00F115F8">
        <w:rPr>
          <w:rStyle w:val="codes-separator"/>
          <w:b w:val="0"/>
          <w:bCs w:val="0"/>
          <w:sz w:val="24"/>
          <w:szCs w:val="24"/>
        </w:rPr>
        <w:t>|</w:t>
      </w:r>
      <w:r w:rsidRPr="00F115F8">
        <w:rPr>
          <w:b w:val="0"/>
          <w:bCs w:val="0"/>
          <w:sz w:val="24"/>
          <w:szCs w:val="24"/>
        </w:rPr>
        <w:t xml:space="preserve"> Emergency and public safety vehicles. </w:t>
      </w:r>
      <w:hyperlink r:id="rId1007" w:history="1">
        <w:r w:rsidRPr="00F115F8">
          <w:rPr>
            <w:rStyle w:val="Hyperlink"/>
            <w:b w:val="0"/>
            <w:bCs w:val="0"/>
            <w:sz w:val="24"/>
            <w:szCs w:val="24"/>
          </w:rPr>
          <w:t>https://codes.ohio.gov/ohio-administrative-code/rule-3335-21-12</w:t>
        </w:r>
      </w:hyperlink>
      <w:r w:rsidRPr="00F115F8">
        <w:rPr>
          <w:b w:val="0"/>
          <w:bCs w:val="0"/>
          <w:sz w:val="24"/>
          <w:szCs w:val="24"/>
        </w:rPr>
        <w:t xml:space="preserve"> </w:t>
      </w:r>
    </w:p>
    <w:p w14:paraId="05C50502" w14:textId="77777777" w:rsidR="00FE60DA" w:rsidRDefault="00FE60DA" w:rsidP="00FE60DA">
      <w:pPr>
        <w:pStyle w:val="first-paragraph"/>
        <w:ind w:left="1440"/>
      </w:pPr>
      <w:r>
        <w:t>“(A) Privileges of drivers. The driver of an authorized emergency vehicle or public safety vehicle, when responding to an emergency call, or when in the pursuit of an actual or suspected violator of the law, or when responding to but not upon returning from a fire or other emergency alarm, may exercise the privileges set forth in this regulation, but subject to the conditions herein stated. The driver of an authorized emergency vehicle or public safety vehicle may:</w:t>
      </w:r>
    </w:p>
    <w:p w14:paraId="725DC510" w14:textId="77777777" w:rsidR="00FE60DA" w:rsidRDefault="00FE60DA" w:rsidP="00FE60DA">
      <w:pPr>
        <w:pStyle w:val="first-paragraph"/>
        <w:ind w:left="720" w:firstLine="720"/>
      </w:pPr>
      <w:r>
        <w:t xml:space="preserve">(1) Park or stand, irrespective of the provisions of </w:t>
      </w:r>
      <w:proofErr w:type="gramStart"/>
      <w:r>
        <w:t>these regulation</w:t>
      </w:r>
      <w:proofErr w:type="gramEnd"/>
      <w:r>
        <w:t>;</w:t>
      </w:r>
    </w:p>
    <w:p w14:paraId="125DDE84" w14:textId="77777777" w:rsidR="00FE60DA" w:rsidRDefault="00FE60DA" w:rsidP="00FE60DA">
      <w:pPr>
        <w:pStyle w:val="first-paragraph"/>
        <w:ind w:left="1440"/>
      </w:pPr>
      <w:r>
        <w:t>(2) Proceed past a red or stop signal or stop sign, but only after slowing down as may be necessary for safe operation;</w:t>
      </w:r>
    </w:p>
    <w:p w14:paraId="362E306A" w14:textId="77777777" w:rsidR="00FE60DA" w:rsidRDefault="00FE60DA" w:rsidP="00FE60DA">
      <w:pPr>
        <w:pStyle w:val="first-paragraph"/>
        <w:ind w:left="1440"/>
      </w:pPr>
      <w:r>
        <w:t>(3) Exceed the maximum speed limits so long as he or she does not endanger life or property; and</w:t>
      </w:r>
    </w:p>
    <w:p w14:paraId="250430C5" w14:textId="77777777" w:rsidR="00FE60DA" w:rsidRDefault="00FE60DA" w:rsidP="00FE60DA">
      <w:pPr>
        <w:pStyle w:val="first-paragraph"/>
        <w:ind w:left="1440"/>
      </w:pPr>
      <w:r>
        <w:t>(4) Disregard regulations governing direction of movement or turning in specified directions.”</w:t>
      </w:r>
    </w:p>
    <w:p w14:paraId="7CC1E033" w14:textId="77777777" w:rsidR="00FE60DA" w:rsidRDefault="00FE60DA" w:rsidP="00EF1133">
      <w:pPr>
        <w:rPr>
          <w:rFonts w:ascii="Arial Black" w:hAnsi="Arial Black"/>
          <w:b/>
          <w:sz w:val="24"/>
          <w:szCs w:val="24"/>
        </w:rPr>
      </w:pPr>
    </w:p>
    <w:p w14:paraId="2C5688C3" w14:textId="61493A01" w:rsidR="007A0E71" w:rsidRDefault="007A0E71" w:rsidP="00EF1133">
      <w:pPr>
        <w:rPr>
          <w:rFonts w:ascii="Arial Black" w:hAnsi="Arial Black"/>
          <w:b/>
          <w:sz w:val="24"/>
          <w:szCs w:val="24"/>
        </w:rPr>
      </w:pPr>
      <w:r>
        <w:rPr>
          <w:rFonts w:ascii="Arial Black" w:hAnsi="Arial Black"/>
          <w:b/>
          <w:sz w:val="24"/>
          <w:szCs w:val="24"/>
        </w:rPr>
        <w:t>5-30</w:t>
      </w:r>
    </w:p>
    <w:p w14:paraId="502F966D" w14:textId="77777777" w:rsidR="007A0E71" w:rsidRPr="00216C4D" w:rsidRDefault="007A0E71" w:rsidP="007A0E71">
      <w:pPr>
        <w:pStyle w:val="NoSpacing"/>
        <w:rPr>
          <w:rFonts w:ascii="Arial Black" w:hAnsi="Arial Black"/>
          <w:sz w:val="28"/>
          <w:szCs w:val="28"/>
        </w:rPr>
      </w:pPr>
      <w:r w:rsidRPr="00216C4D">
        <w:rPr>
          <w:rFonts w:ascii="Arial Black" w:hAnsi="Arial Black"/>
          <w:sz w:val="28"/>
          <w:szCs w:val="28"/>
        </w:rPr>
        <w:t xml:space="preserve">IN (4/28/2023) – BLUE LIGHTS VOL. FF – NON-VOL CITED HAVING TWO BLUE LIGHTS ON INSIDE BACK WINDOW </w:t>
      </w:r>
    </w:p>
    <w:p w14:paraId="4CAAB6A7" w14:textId="77777777" w:rsidR="007A0E71" w:rsidRDefault="007A0E71" w:rsidP="007A0E71">
      <w:pPr>
        <w:pStyle w:val="NoSpacing"/>
      </w:pPr>
    </w:p>
    <w:p w14:paraId="4C2E0374" w14:textId="77777777" w:rsidR="007A0E71" w:rsidRPr="00F76E2E" w:rsidRDefault="007A0E71" w:rsidP="007A0E71">
      <w:pPr>
        <w:pStyle w:val="NoSpacing"/>
        <w:rPr>
          <w:rFonts w:ascii="Times New Roman" w:hAnsi="Times New Roman"/>
          <w:sz w:val="24"/>
          <w:szCs w:val="24"/>
        </w:rPr>
      </w:pPr>
      <w:r w:rsidRPr="00F76E2E">
        <w:rPr>
          <w:rFonts w:ascii="Times New Roman" w:hAnsi="Times New Roman"/>
          <w:sz w:val="24"/>
          <w:szCs w:val="24"/>
          <w:u w:val="single"/>
        </w:rPr>
        <w:t>Bryan C. Falletti v. State of Indiana, Court of Appeals of Indiana</w:t>
      </w:r>
      <w:r w:rsidRPr="00F76E2E">
        <w:rPr>
          <w:rFonts w:ascii="Times New Roman" w:hAnsi="Times New Roman"/>
          <w:sz w:val="24"/>
          <w:szCs w:val="24"/>
        </w:rPr>
        <w:t xml:space="preserve">. </w:t>
      </w:r>
      <w:hyperlink r:id="rId1008" w:history="1">
        <w:r w:rsidRPr="00F76E2E">
          <w:rPr>
            <w:rStyle w:val="Hyperlink"/>
            <w:rFonts w:ascii="Times New Roman" w:hAnsi="Times New Roman"/>
            <w:sz w:val="24"/>
            <w:szCs w:val="24"/>
          </w:rPr>
          <w:t>https://public.courts.in.gov/Decisions/api/Document/Opinion?Id=rJRDncpWPHQbq7P5uv2HFHli7-yY9NDpUsGFV_2xhbEFoKT6dBGW8VG2YJisX0M_0</w:t>
        </w:r>
      </w:hyperlink>
      <w:r w:rsidRPr="00F76E2E">
        <w:rPr>
          <w:rFonts w:ascii="Times New Roman" w:hAnsi="Times New Roman"/>
          <w:sz w:val="24"/>
          <w:szCs w:val="24"/>
        </w:rPr>
        <w:t xml:space="preserve"> </w:t>
      </w:r>
    </w:p>
    <w:p w14:paraId="12DE5294" w14:textId="77777777" w:rsidR="007A0E71" w:rsidRDefault="007A0E71" w:rsidP="007A0E71">
      <w:pPr>
        <w:pStyle w:val="NormalWeb"/>
        <w:rPr>
          <w:b/>
          <w:bCs/>
        </w:rPr>
      </w:pPr>
      <w:r>
        <w:rPr>
          <w:b/>
          <w:bCs/>
        </w:rPr>
        <w:t xml:space="preserve">Legal Lesson Learned: Unless you are a volunteer firefighter, may not have blue lights on top of your vehicle, or in your vehicle, in Indiana. </w:t>
      </w:r>
    </w:p>
    <w:p w14:paraId="5D6C70D2" w14:textId="77777777" w:rsidR="007A0E71" w:rsidRDefault="007A0E71" w:rsidP="00EF1133">
      <w:pPr>
        <w:rPr>
          <w:rFonts w:ascii="Arial Black" w:hAnsi="Arial Black"/>
          <w:b/>
          <w:sz w:val="24"/>
          <w:szCs w:val="24"/>
        </w:rPr>
      </w:pPr>
    </w:p>
    <w:p w14:paraId="0AA079C7" w14:textId="0EC9591D" w:rsidR="002D64A4" w:rsidRDefault="002D64A4" w:rsidP="00EF1133">
      <w:pPr>
        <w:rPr>
          <w:rFonts w:ascii="Arial Black" w:hAnsi="Arial Black"/>
          <w:b/>
          <w:sz w:val="24"/>
          <w:szCs w:val="24"/>
        </w:rPr>
      </w:pPr>
      <w:r>
        <w:rPr>
          <w:rFonts w:ascii="Arial Black" w:hAnsi="Arial Black"/>
          <w:b/>
          <w:sz w:val="24"/>
          <w:szCs w:val="24"/>
        </w:rPr>
        <w:t>5-29</w:t>
      </w:r>
    </w:p>
    <w:p w14:paraId="068DC7AC" w14:textId="77777777" w:rsidR="002D64A4" w:rsidRPr="00570961" w:rsidRDefault="002D64A4" w:rsidP="002D64A4">
      <w:pPr>
        <w:pStyle w:val="NormalWeb"/>
        <w:rPr>
          <w:rFonts w:ascii="Arial Black" w:hAnsi="Arial Black"/>
          <w:sz w:val="28"/>
          <w:szCs w:val="28"/>
        </w:rPr>
      </w:pPr>
      <w:r>
        <w:rPr>
          <w:rFonts w:ascii="Arial Black" w:hAnsi="Arial Black"/>
          <w:sz w:val="28"/>
          <w:szCs w:val="28"/>
        </w:rPr>
        <w:t xml:space="preserve">OH: ENGINE 20-25 MPH THROUGH RED LIGHT - FD &amp; TWP IMMUNITY – LAWSUIT AGAINST FF TO PROCEED </w:t>
      </w:r>
    </w:p>
    <w:p w14:paraId="0831C650" w14:textId="77777777" w:rsidR="002D64A4" w:rsidRDefault="002D64A4" w:rsidP="002D64A4">
      <w:pPr>
        <w:pStyle w:val="NormalWeb"/>
        <w:rPr>
          <w:b/>
          <w:bCs/>
        </w:rPr>
      </w:pPr>
      <w:r>
        <w:t xml:space="preserve">On Feb. 21, 2023, in </w:t>
      </w:r>
      <w:r w:rsidRPr="00E477B6">
        <w:rPr>
          <w:u w:val="single"/>
        </w:rPr>
        <w:t>Brandon Freeman v. David A. Lovejoy, et al</w:t>
      </w:r>
      <w:r>
        <w:t xml:space="preserve">., the Court of Appeals, Fifth District (Fairfield), held (3 to 0) that the trial court judge properly denied the firefighter’s motion for summary judgment in a personal injury lawsuit by a motorist who collided with the engine on April 19, </w:t>
      </w:r>
      <w:proofErr w:type="gramStart"/>
      <w:r>
        <w:t>2019</w:t>
      </w:r>
      <w:proofErr w:type="gramEnd"/>
      <w:r>
        <w:t xml:space="preserve"> in an intersection where the motorist had a green light, and the engine came through a red light.   “On April 25, 2022, the trial court granted summary judgment in favor of the Fire Department and the Township, finding the Fire Department and the Township were statutorily immune from liability as Appellant did not act in a willful or wanton manner. However, the trial court denied Appellant's motion for summary judgment, finding a genuine issue of material fact exists as to whether Appellant operated the fire engine in a reckless manner. *** Viewing the evidence in a light most favorable to Appellee, we find reasonable minds could come to different conclusions about Appellant's operation of the fire engine given the visual and sound obstructions in the area, the number of lanes of travel Appellant was crossing.” </w:t>
      </w:r>
      <w:hyperlink r:id="rId1009" w:history="1">
        <w:r w:rsidRPr="00933DFB">
          <w:rPr>
            <w:rStyle w:val="Hyperlink"/>
            <w:rFonts w:eastAsiaTheme="majorEastAsia"/>
          </w:rPr>
          <w:t>https://cms7files1.revize.com/starkcountyoh/f22-16.wbh.sl.pdf</w:t>
        </w:r>
      </w:hyperlink>
      <w:r>
        <w:t xml:space="preserve"> </w:t>
      </w:r>
    </w:p>
    <w:p w14:paraId="7891A0B5" w14:textId="77777777" w:rsidR="002D64A4" w:rsidRDefault="002D64A4" w:rsidP="002D64A4">
      <w:pPr>
        <w:pStyle w:val="NormalWeb"/>
        <w:ind w:left="720"/>
      </w:pPr>
      <w:r>
        <w:t xml:space="preserve">“Pickerington Police Officer Thomas Spreen completed the Crash Report. Therein, Officer Spreen indicated the traffic was moderate, the road conditions were wet, and it was raining. Officer Spreen </w:t>
      </w:r>
      <w:proofErr w:type="gramStart"/>
      <w:r>
        <w:t>concluded</w:t>
      </w:r>
      <w:proofErr w:type="gramEnd"/>
      <w:r>
        <w:t xml:space="preserve"> Appellant [firefighter] was at fault for the accident, </w:t>
      </w:r>
      <w:proofErr w:type="gramStart"/>
      <w:r>
        <w:t>explaining</w:t>
      </w:r>
      <w:proofErr w:type="gramEnd"/>
      <w:r>
        <w:t xml:space="preserve"> Appellant entered ‘the busy intersection at an estimated speed of 20 mph to 25 mph without stopping on a red light. Therefore, I find that the driver of the fire truck did not use due regard when entering the intersection causing the accident.’ Crash Report at 8. Officer Spreen </w:t>
      </w:r>
      <w:proofErr w:type="gramStart"/>
      <w:r>
        <w:t>stated, ‘</w:t>
      </w:r>
      <w:proofErr w:type="gramEnd"/>
      <w:r>
        <w:t>From the vantage point of the Unit 2 driver [Appellee]. I found that his view or initial observation point on the fire truck was partially obstructed by the CVS building, (4) trees, landscaping and landscaping wall (photo taken). I also find that his being able to hear the (2) sets of approaching sirens from the (2) Truro emergency vehicles while approaching the intersection would also have been obstructed by the physical barriers listed.’”</w:t>
      </w:r>
    </w:p>
    <w:p w14:paraId="05CF420F" w14:textId="77777777" w:rsidR="002D64A4" w:rsidRDefault="002D64A4" w:rsidP="002D64A4">
      <w:pPr>
        <w:pStyle w:val="NormalWeb"/>
        <w:rPr>
          <w:b/>
          <w:bCs/>
        </w:rPr>
      </w:pPr>
      <w:r>
        <w:rPr>
          <w:b/>
          <w:bCs/>
        </w:rPr>
        <w:t>Legal Lesson Learned: FDs should consider adopting an SOP requiring a “full stop” at red lights.</w:t>
      </w:r>
    </w:p>
    <w:p w14:paraId="7B25E820" w14:textId="77777777" w:rsidR="002D64A4" w:rsidRDefault="002D64A4" w:rsidP="002D64A4">
      <w:pPr>
        <w:pStyle w:val="NormalWeb"/>
      </w:pPr>
    </w:p>
    <w:p w14:paraId="3AE3990F" w14:textId="06E39DF0" w:rsidR="006D2C51" w:rsidRDefault="00AE32D3" w:rsidP="00EF1133">
      <w:pPr>
        <w:rPr>
          <w:rFonts w:ascii="Arial Black" w:hAnsi="Arial Black"/>
          <w:b/>
          <w:sz w:val="24"/>
          <w:szCs w:val="24"/>
        </w:rPr>
      </w:pPr>
      <w:r>
        <w:rPr>
          <w:rFonts w:ascii="Arial Black" w:hAnsi="Arial Black"/>
          <w:b/>
          <w:sz w:val="24"/>
          <w:szCs w:val="24"/>
        </w:rPr>
        <w:t>5-28</w:t>
      </w:r>
    </w:p>
    <w:p w14:paraId="4BDDE1EB" w14:textId="77777777" w:rsidR="00B87D79" w:rsidRPr="00130410" w:rsidRDefault="00B87D79" w:rsidP="00B87D79">
      <w:pPr>
        <w:pStyle w:val="NormalWeb"/>
        <w:rPr>
          <w:rFonts w:ascii="Arial Black" w:hAnsi="Arial Black"/>
          <w:sz w:val="28"/>
          <w:szCs w:val="28"/>
        </w:rPr>
      </w:pPr>
      <w:r>
        <w:rPr>
          <w:rFonts w:ascii="Arial Black" w:hAnsi="Arial Black"/>
          <w:sz w:val="28"/>
          <w:szCs w:val="28"/>
        </w:rPr>
        <w:t>TX: AMBULANCE DRIVER CAME TO FULL STOP – SLOWLY ENTERED INTERSECTION WITH “BLIND SPOTS” - IMMUNITY</w:t>
      </w:r>
    </w:p>
    <w:p w14:paraId="1A30D734" w14:textId="77777777" w:rsidR="00B87D79" w:rsidRDefault="00B87D79" w:rsidP="00B87D79">
      <w:pPr>
        <w:pStyle w:val="NormalWeb"/>
      </w:pPr>
      <w:r>
        <w:t xml:space="preserve">On Nov. 8, 2022, in </w:t>
      </w:r>
      <w:r w:rsidRPr="00130410">
        <w:rPr>
          <w:u w:val="single"/>
        </w:rPr>
        <w:t>City of Houston v. Martha Vogel and Maria Escalante</w:t>
      </w:r>
      <w:r>
        <w:t xml:space="preserve">, the Court of Appeals of Texas, First District, held (3 to 0) that the trial court improperly denied the City’s motion to dismiss the case.  The deposition testimony of the EMT, his passenger, and civilian witnesses confirmed the ambulance driver had lights and siren operating, came to a complete stop, and slowly entered the intersection; the plaintiffs vehicle struct and rolled the ambulance. </w:t>
      </w:r>
    </w:p>
    <w:p w14:paraId="5EBCAFC5" w14:textId="77777777" w:rsidR="00B87D79" w:rsidRDefault="00B87D79" w:rsidP="00B87D79">
      <w:pPr>
        <w:pStyle w:val="NormalWeb"/>
        <w:ind w:left="720"/>
      </w:pPr>
      <w:r>
        <w:t xml:space="preserve">“Here, like in </w:t>
      </w:r>
      <w:r>
        <w:rPr>
          <w:rStyle w:val="Emphasis"/>
        </w:rPr>
        <w:t>Kuhn</w:t>
      </w:r>
      <w:r>
        <w:t>, whether the intersection was ‘blind’ did not create a material fact issue in light of the undisputed evidence that EMT Brooks was responding to a 9-1-1 emergency call, activated his lights and siren, came to a complete stop at the stop sign on Euel, and looked for traffic.</w:t>
      </w:r>
    </w:p>
    <w:p w14:paraId="07AFF628" w14:textId="77777777" w:rsidR="00B87D79" w:rsidRDefault="00B87D79" w:rsidP="00B87D79">
      <w:pPr>
        <w:pStyle w:val="NormalWeb"/>
        <w:ind w:left="720"/>
      </w:pPr>
      <w:r>
        <w:t>***</w:t>
      </w:r>
    </w:p>
    <w:p w14:paraId="3A362347" w14:textId="04830AFE" w:rsidR="00AE32D3"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Fogel and Escalante also asserted that their evidence raised a fact issue because it showed that EMT Brooks was reckless in entering the intersection ‘completely blind.’ They presented photographs of the intersection at issue, which they asserted ‘show EMT Brooks' view of Hardy was </w:t>
      </w:r>
      <w:r w:rsidRPr="00B87D79">
        <w:rPr>
          <w:rStyle w:val="Emphasis"/>
          <w:rFonts w:ascii="Times New Roman" w:hAnsi="Times New Roman"/>
          <w:sz w:val="24"/>
          <w:szCs w:val="24"/>
        </w:rPr>
        <w:t>completely blocked</w:t>
      </w:r>
      <w:r w:rsidRPr="00B87D79">
        <w:rPr>
          <w:rFonts w:ascii="Times New Roman" w:hAnsi="Times New Roman"/>
          <w:sz w:val="24"/>
          <w:szCs w:val="24"/>
        </w:rPr>
        <w:t xml:space="preserve"> by construction, a house, parked box trucks, trees and shrubs.’ (Emphasis added.) The record does not support their assertion. The photographs do not show that Brooks's view of Hardy was ‘completely blocked.’ Rather, the Exhibit 3 photograph shows a view of traffic on Hardy Street. Although plastic barriers and pylons appear, traffic behind them is readily visible. Their field diagram shows the stop sign located at the corner of the intersection, and the tree depicted in the photographs is shown in Exhibit 3 to be set back from the corner. There is not a house shown in the photographs attached their response to the City's plea.” </w:t>
      </w:r>
      <w:hyperlink r:id="rId1010" w:history="1">
        <w:r w:rsidRPr="00B87D79">
          <w:rPr>
            <w:rStyle w:val="Hyperlink"/>
            <w:rFonts w:ascii="Times New Roman" w:eastAsiaTheme="majorEastAsia" w:hAnsi="Times New Roman"/>
            <w:sz w:val="24"/>
            <w:szCs w:val="24"/>
          </w:rPr>
          <w:t>https://casetext.com/case/city-of-hous-v-vogel</w:t>
        </w:r>
      </w:hyperlink>
    </w:p>
    <w:p w14:paraId="50671468" w14:textId="77777777" w:rsidR="00B87D79" w:rsidRDefault="00B87D79" w:rsidP="00B87D79">
      <w:pPr>
        <w:spacing w:after="100" w:line="240" w:lineRule="auto"/>
        <w:rPr>
          <w:rFonts w:ascii="Times New Roman" w:hAnsi="Times New Roman"/>
          <w:b/>
          <w:bCs/>
          <w:sz w:val="24"/>
          <w:szCs w:val="24"/>
        </w:rPr>
      </w:pPr>
      <w:r w:rsidRPr="00675A8D">
        <w:rPr>
          <w:rFonts w:ascii="Times New Roman" w:hAnsi="Times New Roman"/>
          <w:b/>
          <w:bCs/>
          <w:sz w:val="24"/>
          <w:szCs w:val="24"/>
        </w:rPr>
        <w:t>Legal Lesson Learned:</w:t>
      </w:r>
      <w:r>
        <w:rPr>
          <w:rFonts w:ascii="Times New Roman" w:hAnsi="Times New Roman"/>
          <w:b/>
          <w:bCs/>
          <w:sz w:val="24"/>
          <w:szCs w:val="24"/>
        </w:rPr>
        <w:t xml:space="preserve"> Testimony of civilian witnesses about </w:t>
      </w:r>
      <w:proofErr w:type="gramStart"/>
      <w:r>
        <w:rPr>
          <w:rFonts w:ascii="Times New Roman" w:hAnsi="Times New Roman"/>
          <w:b/>
          <w:bCs/>
          <w:sz w:val="24"/>
          <w:szCs w:val="24"/>
        </w:rPr>
        <w:t>ambulance</w:t>
      </w:r>
      <w:proofErr w:type="gramEnd"/>
      <w:r>
        <w:rPr>
          <w:rFonts w:ascii="Times New Roman" w:hAnsi="Times New Roman"/>
          <w:b/>
          <w:bCs/>
          <w:sz w:val="24"/>
          <w:szCs w:val="24"/>
        </w:rPr>
        <w:t xml:space="preserve"> coming to full stop, and slowly entering the intersection, was extremely helpful. </w:t>
      </w:r>
    </w:p>
    <w:p w14:paraId="3904177B" w14:textId="6D059BCD" w:rsidR="00AE32D3" w:rsidRDefault="00AE32D3" w:rsidP="00EF1133">
      <w:pPr>
        <w:rPr>
          <w:rFonts w:ascii="Arial Black" w:hAnsi="Arial Black"/>
          <w:b/>
          <w:sz w:val="24"/>
          <w:szCs w:val="24"/>
        </w:rPr>
      </w:pPr>
    </w:p>
    <w:p w14:paraId="0B370AAD" w14:textId="77777777" w:rsidR="00AE32D3" w:rsidRDefault="00AE32D3" w:rsidP="00EF1133">
      <w:pPr>
        <w:rPr>
          <w:rFonts w:ascii="Arial Black" w:hAnsi="Arial Black"/>
          <w:b/>
          <w:sz w:val="24"/>
          <w:szCs w:val="24"/>
        </w:rPr>
      </w:pPr>
    </w:p>
    <w:p w14:paraId="17C72C02" w14:textId="1E6349C6" w:rsidR="006D2C51" w:rsidRDefault="006D2C51" w:rsidP="00EF1133">
      <w:pPr>
        <w:rPr>
          <w:rFonts w:ascii="Arial Black" w:hAnsi="Arial Black"/>
          <w:b/>
          <w:sz w:val="24"/>
          <w:szCs w:val="24"/>
        </w:rPr>
      </w:pPr>
      <w:r>
        <w:rPr>
          <w:rFonts w:ascii="Arial Black" w:hAnsi="Arial Black"/>
          <w:b/>
          <w:sz w:val="24"/>
          <w:szCs w:val="24"/>
        </w:rPr>
        <w:t>5-27</w:t>
      </w:r>
    </w:p>
    <w:p w14:paraId="166D5F5B" w14:textId="77777777" w:rsidR="006D2C51" w:rsidRDefault="006D2C51" w:rsidP="006D2C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MI: EMS DRIVER SLOWED DOWN - LIGHTS &amp; SIRENS PRIOR TO RED LIGHT – WITNESS CONFIRMED - IMMUNITY </w:t>
      </w:r>
    </w:p>
    <w:p w14:paraId="7CEFE585" w14:textId="77777777" w:rsidR="006D2C51" w:rsidRPr="00317CF0" w:rsidRDefault="006D2C51" w:rsidP="006D2C51">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28, 2022, in </w:t>
      </w:r>
      <w:r w:rsidRPr="00317CF0">
        <w:rPr>
          <w:rFonts w:ascii="Times New Roman" w:hAnsi="Times New Roman"/>
          <w:sz w:val="24"/>
          <w:szCs w:val="24"/>
          <w:u w:val="single"/>
        </w:rPr>
        <w:t xml:space="preserve">Denise Ann Middleton v. Kenneth Arthur Temple and Ogemaw County EMS, </w:t>
      </w:r>
      <w:r>
        <w:rPr>
          <w:rFonts w:ascii="Times New Roman" w:hAnsi="Times New Roman"/>
          <w:sz w:val="24"/>
          <w:szCs w:val="24"/>
        </w:rPr>
        <w:t>the Court of Appeals of Michigan, held (3 to 0</w:t>
      </w:r>
      <w:proofErr w:type="gramStart"/>
      <w:r>
        <w:rPr>
          <w:rFonts w:ascii="Times New Roman" w:hAnsi="Times New Roman"/>
          <w:sz w:val="24"/>
          <w:szCs w:val="24"/>
        </w:rPr>
        <w:t>) on</w:t>
      </w:r>
      <w:proofErr w:type="gramEnd"/>
      <w:r>
        <w:rPr>
          <w:rFonts w:ascii="Times New Roman" w:hAnsi="Times New Roman"/>
          <w:sz w:val="24"/>
          <w:szCs w:val="24"/>
        </w:rPr>
        <w:t xml:space="preserve"> an immediate appeal by the defense, that the trial court should have granted summary judgment to EMS driver and to County EMS.  The plaintiff entered intersection on green light, said she didn’t see or hear the ambulance, and drove into left side of the ambulance.  </w:t>
      </w:r>
      <w:hyperlink r:id="rId1011" w:history="1">
        <w:r w:rsidRPr="0019682E">
          <w:rPr>
            <w:rStyle w:val="Hyperlink"/>
            <w:rFonts w:ascii="Times New Roman" w:eastAsia="Times New Roman" w:hAnsi="Times New Roman"/>
            <w:sz w:val="24"/>
            <w:szCs w:val="24"/>
          </w:rPr>
          <w:t>https://www.courts.michigan.gov/4a237a/siteassets/case-documents/uploads/opinions/final/coa/20220728_c356829_27_356829.opn.pdf</w:t>
        </w:r>
      </w:hyperlink>
      <w:r>
        <w:rPr>
          <w:rFonts w:ascii="Times New Roman" w:eastAsia="Times New Roman" w:hAnsi="Times New Roman"/>
          <w:sz w:val="24"/>
          <w:szCs w:val="24"/>
        </w:rPr>
        <w:t xml:space="preserve"> </w:t>
      </w:r>
    </w:p>
    <w:p w14:paraId="1BABEC09" w14:textId="77777777" w:rsidR="006D2C51" w:rsidRPr="000625D7" w:rsidRDefault="006D2C51" w:rsidP="006D2C51">
      <w:pPr>
        <w:spacing w:before="100" w:beforeAutospacing="1" w:after="100" w:afterAutospacing="1" w:line="240" w:lineRule="auto"/>
        <w:rPr>
          <w:rFonts w:ascii="Times New Roman" w:hAnsi="Times New Roman"/>
          <w:b/>
          <w:bCs/>
          <w:sz w:val="24"/>
          <w:szCs w:val="24"/>
        </w:rPr>
      </w:pPr>
      <w:r w:rsidRPr="000625D7">
        <w:rPr>
          <w:rFonts w:ascii="Times New Roman" w:hAnsi="Times New Roman"/>
          <w:b/>
          <w:bCs/>
          <w:sz w:val="24"/>
          <w:szCs w:val="24"/>
        </w:rPr>
        <w:t>Legal Lesson Learned:</w:t>
      </w:r>
      <w:r>
        <w:rPr>
          <w:rFonts w:ascii="Times New Roman" w:hAnsi="Times New Roman"/>
          <w:b/>
          <w:bCs/>
          <w:sz w:val="24"/>
          <w:szCs w:val="24"/>
        </w:rPr>
        <w:t xml:space="preserve"> EMS driver slowed down as entering intersection against a red light as required by law; extremely helpful to have civilian witness confirm this to PD. </w:t>
      </w:r>
    </w:p>
    <w:p w14:paraId="2D8ACED1" w14:textId="77777777" w:rsidR="006D2C51" w:rsidRDefault="006D2C51" w:rsidP="006D2C51">
      <w:pPr>
        <w:pStyle w:val="Heading1"/>
        <w:ind w:left="720"/>
        <w:rPr>
          <w:b w:val="0"/>
          <w:bCs w:val="0"/>
          <w:sz w:val="24"/>
          <w:szCs w:val="24"/>
        </w:rPr>
      </w:pPr>
      <w:r w:rsidRPr="00980AEA">
        <w:rPr>
          <w:b w:val="0"/>
          <w:bCs w:val="0"/>
          <w:sz w:val="24"/>
          <w:szCs w:val="24"/>
        </w:rPr>
        <w:t xml:space="preserve">Note: See Ohio Revised Code - Section 4511.03 </w:t>
      </w:r>
      <w:r w:rsidRPr="00980AEA">
        <w:rPr>
          <w:rStyle w:val="codes-separator"/>
          <w:b w:val="0"/>
          <w:bCs w:val="0"/>
          <w:sz w:val="24"/>
          <w:szCs w:val="24"/>
        </w:rPr>
        <w:t>|</w:t>
      </w:r>
      <w:r w:rsidRPr="00980AEA">
        <w:rPr>
          <w:b w:val="0"/>
          <w:bCs w:val="0"/>
          <w:sz w:val="24"/>
          <w:szCs w:val="24"/>
        </w:rPr>
        <w:t xml:space="preserve"> Emergency vehicles at red signal or stop sign</w:t>
      </w:r>
      <w:r>
        <w:rPr>
          <w:b w:val="0"/>
          <w:bCs w:val="0"/>
          <w:sz w:val="24"/>
          <w:szCs w:val="24"/>
        </w:rPr>
        <w:t xml:space="preserve">. </w:t>
      </w:r>
      <w:hyperlink r:id="rId1012" w:history="1">
        <w:r w:rsidRPr="0019682E">
          <w:rPr>
            <w:rStyle w:val="Hyperlink"/>
            <w:rFonts w:eastAsiaTheme="majorEastAsia"/>
            <w:b w:val="0"/>
            <w:bCs w:val="0"/>
            <w:sz w:val="24"/>
            <w:szCs w:val="24"/>
          </w:rPr>
          <w:t>https://codes.ohio.gov/ohio-revised-code/section-4511.03</w:t>
        </w:r>
      </w:hyperlink>
      <w:r>
        <w:rPr>
          <w:b w:val="0"/>
          <w:bCs w:val="0"/>
          <w:sz w:val="24"/>
          <w:szCs w:val="24"/>
        </w:rPr>
        <w:t xml:space="preserve"> </w:t>
      </w:r>
    </w:p>
    <w:p w14:paraId="412CEE95" w14:textId="77777777" w:rsidR="006D2C51" w:rsidRDefault="006D2C51" w:rsidP="006D2C51">
      <w:pPr>
        <w:pStyle w:val="NormalWeb"/>
        <w:ind w:left="720"/>
      </w:pPr>
      <w:r>
        <w:t xml:space="preserve">“(A) The driver of any emergency vehicle or public safety vehicle, when responding to an emergency call, upon approaching a red or stop signal or any stop sign shall slow down as necessary for safety to </w:t>
      </w:r>
      <w:proofErr w:type="gramStart"/>
      <w:r>
        <w:t>traffic, but</w:t>
      </w:r>
      <w:proofErr w:type="gramEnd"/>
      <w:r>
        <w:t xml:space="preserve"> may proceed cautiously past such red or stop sign or signal with due regard for the safety of all persons using the street or highway.</w:t>
      </w:r>
    </w:p>
    <w:p w14:paraId="73C9AEFB" w14:textId="77777777" w:rsidR="006D2C51" w:rsidRDefault="006D2C51" w:rsidP="006D2C51">
      <w:pPr>
        <w:pStyle w:val="NormalWeb"/>
        <w:ind w:left="720"/>
      </w:pPr>
      <w:r>
        <w:t>(B) Except as otherwise provided in this division, whoever violates this section is guilty of a minor misdemeanor. If, within one year of the offense, the offender previously has been convicted of or pleaded guilty to one predicate motor vehicle or traffic offense, whoever violates this section is guilty of a misdemeanor of the fourth degree. If, within one year of the offense, the offender previously has been convicted of two or more predicate motor vehicle or traffic offenses, whoever violates this section is guilty of a misdemeanor of the third degree.</w:t>
      </w:r>
    </w:p>
    <w:p w14:paraId="1B4ABFC2" w14:textId="77777777" w:rsidR="006D2C51" w:rsidRDefault="006D2C51" w:rsidP="006D2C51">
      <w:pPr>
        <w:pStyle w:val="NormalWeb"/>
        <w:ind w:left="720"/>
      </w:pPr>
      <w:r>
        <w:t xml:space="preserve">If the offender commits the offense while distracted and the distracting activity is a contributing factor to the commission of the offense, the offender is subject to the additional fine established under section </w:t>
      </w:r>
      <w:hyperlink r:id="rId1013" w:history="1">
        <w:r>
          <w:rPr>
            <w:rStyle w:val="Hyperlink"/>
            <w:rFonts w:eastAsiaTheme="majorEastAsia"/>
          </w:rPr>
          <w:t>4511.991</w:t>
        </w:r>
      </w:hyperlink>
      <w:r>
        <w:t xml:space="preserve"> of the Revised Code.”</w:t>
      </w:r>
    </w:p>
    <w:p w14:paraId="6211EDD8" w14:textId="77777777" w:rsidR="006D2C51" w:rsidRDefault="006D2C51" w:rsidP="00EF1133">
      <w:pPr>
        <w:rPr>
          <w:rFonts w:ascii="Arial Black" w:hAnsi="Arial Black"/>
          <w:b/>
          <w:sz w:val="24"/>
          <w:szCs w:val="24"/>
        </w:rPr>
      </w:pPr>
    </w:p>
    <w:p w14:paraId="6896DDF5" w14:textId="77777777" w:rsidR="006D2C51" w:rsidRDefault="006D2C51" w:rsidP="00EF1133">
      <w:pPr>
        <w:rPr>
          <w:rFonts w:ascii="Arial Black" w:hAnsi="Arial Black"/>
          <w:b/>
          <w:sz w:val="24"/>
          <w:szCs w:val="24"/>
        </w:rPr>
      </w:pPr>
    </w:p>
    <w:p w14:paraId="554D944F" w14:textId="4EF00259" w:rsidR="00557CA2" w:rsidRDefault="0002742E" w:rsidP="00EF1133">
      <w:pPr>
        <w:rPr>
          <w:rFonts w:ascii="Arial Black" w:hAnsi="Arial Black"/>
          <w:b/>
          <w:sz w:val="24"/>
          <w:szCs w:val="24"/>
        </w:rPr>
      </w:pPr>
      <w:r>
        <w:rPr>
          <w:rFonts w:ascii="Arial Black" w:hAnsi="Arial Black"/>
          <w:b/>
          <w:sz w:val="24"/>
          <w:szCs w:val="24"/>
        </w:rPr>
        <w:t>5-26</w:t>
      </w:r>
    </w:p>
    <w:p w14:paraId="2C2906E4" w14:textId="77777777" w:rsidR="0002742E" w:rsidRPr="002D3A2F"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DISPATCH REFUSES SEND PD WITHOUT SPECIFIC ADDRESS – WIFE IS DRIVING DRUNK, DIES - NO CASE</w:t>
      </w:r>
    </w:p>
    <w:p w14:paraId="3CFA2269" w14:textId="77777777" w:rsidR="0002742E" w:rsidRDefault="0002742E" w:rsidP="0002742E">
      <w:pPr>
        <w:pStyle w:val="NormalWeb"/>
      </w:pPr>
      <w:r>
        <w:t xml:space="preserve">On April 21, 2022, in </w:t>
      </w:r>
      <w:r w:rsidRPr="00EA6EC1">
        <w:rPr>
          <w:u w:val="single"/>
        </w:rPr>
        <w:t>Larry E. Schultz, Special Administrator of Estate of Laurene T. Schultz, Deceased v. St. Clair County, et al</w:t>
      </w:r>
      <w:r>
        <w:t xml:space="preserve">., the Supreme Court of Illinois held (6 to 1) that the lawsuit was properly dismissed since “the decedent's decision to drive while intoxicated was the sole proximate cause of her injuries and death.”  The Court also held that the dispatcher does not enjoy absolute immunity; under 2015 amendment of the state’s Tort Immunity Act, a dispatcher and her employer can be sued if their conduct </w:t>
      </w:r>
      <w:r w:rsidRPr="00447D07">
        <w:rPr>
          <w:rStyle w:val="Emphasis"/>
          <w:rFonts w:eastAsiaTheme="majorEastAsia"/>
        </w:rPr>
        <w:t>constitutes</w:t>
      </w:r>
      <w:r>
        <w:rPr>
          <w:rStyle w:val="Emphasis"/>
          <w:rFonts w:eastAsiaTheme="majorEastAsia"/>
        </w:rPr>
        <w:t xml:space="preserve"> “</w:t>
      </w:r>
      <w:r w:rsidRPr="00447D07">
        <w:rPr>
          <w:rStyle w:val="Emphasis"/>
          <w:rFonts w:eastAsiaTheme="majorEastAsia"/>
        </w:rPr>
        <w:t>gross negligence, recklessness, or intentional misconduct</w:t>
      </w:r>
      <w:r>
        <w:t xml:space="preserve">.”  </w:t>
      </w:r>
      <w:hyperlink r:id="rId1014" w:history="1">
        <w:r w:rsidRPr="00C50FC4">
          <w:rPr>
            <w:rStyle w:val="Hyperlink"/>
          </w:rPr>
          <w:t>https://casetext.com/case/schultz-v-st-clair-cnty-2</w:t>
        </w:r>
      </w:hyperlink>
      <w:r>
        <w:t xml:space="preserve"> </w:t>
      </w:r>
    </w:p>
    <w:p w14:paraId="33942B55" w14:textId="77777777" w:rsidR="0002742E" w:rsidRPr="00AA7590" w:rsidRDefault="0002742E" w:rsidP="0002742E">
      <w:pPr>
        <w:rPr>
          <w:rFonts w:ascii="Times New Roman" w:hAnsi="Times New Roman"/>
          <w:b/>
          <w:bCs/>
          <w:sz w:val="24"/>
          <w:szCs w:val="24"/>
        </w:rPr>
      </w:pPr>
      <w:r w:rsidRPr="00AA7590">
        <w:rPr>
          <w:rFonts w:ascii="Times New Roman" w:hAnsi="Times New Roman"/>
          <w:b/>
          <w:bCs/>
          <w:sz w:val="24"/>
          <w:szCs w:val="24"/>
        </w:rPr>
        <w:t xml:space="preserve">Legal Lesson Learned: Dispatchers should be trained to alert police to a drunk driver, even if the exact current location of the driver is not known. </w:t>
      </w:r>
    </w:p>
    <w:p w14:paraId="1416B89D" w14:textId="77777777" w:rsidR="0002742E" w:rsidRDefault="0002742E" w:rsidP="00EF1133">
      <w:pPr>
        <w:rPr>
          <w:rFonts w:ascii="Arial Black" w:hAnsi="Arial Black"/>
          <w:b/>
          <w:sz w:val="24"/>
          <w:szCs w:val="24"/>
        </w:rPr>
      </w:pPr>
    </w:p>
    <w:p w14:paraId="447B3904" w14:textId="28BE314E" w:rsidR="0002742E" w:rsidRDefault="0002742E" w:rsidP="00EF1133">
      <w:pPr>
        <w:rPr>
          <w:rFonts w:ascii="Arial Black" w:hAnsi="Arial Black"/>
          <w:b/>
          <w:sz w:val="24"/>
          <w:szCs w:val="24"/>
        </w:rPr>
      </w:pPr>
      <w:r>
        <w:rPr>
          <w:rFonts w:ascii="Arial Black" w:hAnsi="Arial Black"/>
          <w:b/>
          <w:sz w:val="24"/>
          <w:szCs w:val="24"/>
        </w:rPr>
        <w:t>5-25</w:t>
      </w:r>
    </w:p>
    <w:p w14:paraId="0BD343DB" w14:textId="77777777" w:rsidR="0002742E" w:rsidRPr="00420468" w:rsidRDefault="0002742E" w:rsidP="0002742E">
      <w:pPr>
        <w:spacing w:before="100" w:beforeAutospacing="1" w:after="100" w:afterAutospacing="1" w:line="240" w:lineRule="auto"/>
        <w:rPr>
          <w:rFonts w:ascii="Arial Black" w:hAnsi="Arial Black"/>
          <w:sz w:val="28"/>
          <w:szCs w:val="28"/>
        </w:rPr>
      </w:pPr>
      <w:r>
        <w:rPr>
          <w:rFonts w:ascii="Arial Black" w:hAnsi="Arial Black"/>
          <w:sz w:val="28"/>
          <w:szCs w:val="28"/>
        </w:rPr>
        <w:t>VA: VOL. FF – NOT ALLOWED DRIVE ENGINE, SHEARED OFF COMPARTMENT DOOR – CONVICTED “UNAUTHORIZED USE”</w:t>
      </w:r>
    </w:p>
    <w:p w14:paraId="42DECD33" w14:textId="77777777" w:rsidR="0002742E" w:rsidRDefault="0002742E" w:rsidP="0002742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April 12, 2022, in </w:t>
      </w:r>
      <w:r w:rsidRPr="00681FE1">
        <w:rPr>
          <w:rFonts w:ascii="Times New Roman" w:hAnsi="Times New Roman"/>
          <w:sz w:val="24"/>
          <w:szCs w:val="24"/>
          <w:u w:val="single"/>
        </w:rPr>
        <w:t>Charles Raymond Arrington v. Commonwealth of Virginia</w:t>
      </w:r>
      <w:r>
        <w:rPr>
          <w:rFonts w:ascii="Times New Roman" w:hAnsi="Times New Roman"/>
          <w:sz w:val="24"/>
          <w:szCs w:val="24"/>
        </w:rPr>
        <w:t xml:space="preserve">, the Court of Appeals of Virginia, held (3 to 0) that the volunteer firefighter, who sheared off a compartment door left open on the engine as he backed out of station, was properly convicted of unauthorized use. </w:t>
      </w:r>
      <w:r w:rsidRPr="0065182A">
        <w:rPr>
          <w:rFonts w:ascii="Times New Roman" w:hAnsi="Times New Roman"/>
          <w:sz w:val="24"/>
          <w:szCs w:val="24"/>
        </w:rPr>
        <w:t xml:space="preserve">Arrington was indicted for the unauthorized use of a vehicle belonging to the Clifton Forge Fire Department, in violation of Code § 18.2-102. If the vehicle is worth $1, 000 or more, the crime is a Class 6 felony. At his bench trial, Arrington moved to strike the evidence, arguing that the Commonwealth failed to prove "any kind of deprivation" of possession or that Arrington had "the intent to deprive" </w:t>
      </w:r>
      <w:proofErr w:type="gramStart"/>
      <w:r w:rsidRPr="0065182A">
        <w:rPr>
          <w:rFonts w:ascii="Times New Roman" w:hAnsi="Times New Roman"/>
          <w:sz w:val="24"/>
          <w:szCs w:val="24"/>
        </w:rPr>
        <w:t>the</w:t>
      </w:r>
      <w:proofErr w:type="gramEnd"/>
      <w:r w:rsidRPr="0065182A">
        <w:rPr>
          <w:rFonts w:ascii="Times New Roman" w:hAnsi="Times New Roman"/>
          <w:sz w:val="24"/>
          <w:szCs w:val="24"/>
        </w:rPr>
        <w:t xml:space="preserve"> department of possession. The court denied the motion and found Arrington guilty as charged. The court sentenced him to twelve months' incarceration, all suspended, plus two years of unsupervised probation. Arrington was also ordered to pay $21, 947.64 in restitution to the two insurance companies that had paid the department's </w:t>
      </w:r>
      <w:proofErr w:type="gramStart"/>
      <w:r w:rsidRPr="0065182A">
        <w:rPr>
          <w:rFonts w:ascii="Times New Roman" w:hAnsi="Times New Roman"/>
          <w:sz w:val="24"/>
          <w:szCs w:val="24"/>
        </w:rPr>
        <w:t>property-damage</w:t>
      </w:r>
      <w:proofErr w:type="gramEnd"/>
      <w:r w:rsidRPr="0065182A">
        <w:rPr>
          <w:rFonts w:ascii="Times New Roman" w:hAnsi="Times New Roman"/>
          <w:sz w:val="24"/>
          <w:szCs w:val="24"/>
        </w:rPr>
        <w:t xml:space="preserve"> claims.</w:t>
      </w:r>
      <w:r>
        <w:rPr>
          <w:rFonts w:ascii="Times New Roman" w:hAnsi="Times New Roman"/>
          <w:sz w:val="24"/>
          <w:szCs w:val="24"/>
        </w:rPr>
        <w:t xml:space="preserve"> </w:t>
      </w:r>
      <w:hyperlink r:id="rId1015" w:history="1">
        <w:r w:rsidRPr="00E9684A">
          <w:rPr>
            <w:rStyle w:val="Hyperlink"/>
            <w:rFonts w:ascii="Times New Roman" w:hAnsi="Times New Roman"/>
            <w:sz w:val="24"/>
            <w:szCs w:val="24"/>
          </w:rPr>
          <w:t>https://law.justia.com/cases/virginia/court-of-appeals-unpublished/2022/0124-21-3.html</w:t>
        </w:r>
      </w:hyperlink>
      <w:r>
        <w:rPr>
          <w:rFonts w:ascii="Times New Roman" w:hAnsi="Times New Roman"/>
          <w:sz w:val="24"/>
          <w:szCs w:val="24"/>
        </w:rPr>
        <w:t xml:space="preserve"> </w:t>
      </w:r>
    </w:p>
    <w:p w14:paraId="67E3DFB7" w14:textId="77777777" w:rsidR="0002742E" w:rsidRDefault="0002742E" w:rsidP="0002742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Do not drive emergency vehicles until authorized by your FD.</w:t>
      </w:r>
    </w:p>
    <w:p w14:paraId="237648CA" w14:textId="77777777" w:rsidR="0002742E" w:rsidRDefault="0002742E" w:rsidP="00EF1133">
      <w:pPr>
        <w:rPr>
          <w:rFonts w:ascii="Arial Black" w:hAnsi="Arial Black"/>
          <w:b/>
          <w:sz w:val="24"/>
          <w:szCs w:val="24"/>
        </w:rPr>
      </w:pPr>
    </w:p>
    <w:p w14:paraId="3357719E" w14:textId="77777777" w:rsidR="0002742E" w:rsidRDefault="0002742E" w:rsidP="00EF1133">
      <w:pPr>
        <w:rPr>
          <w:rFonts w:ascii="Arial Black" w:hAnsi="Arial Black"/>
          <w:b/>
          <w:sz w:val="24"/>
          <w:szCs w:val="24"/>
        </w:rPr>
      </w:pPr>
    </w:p>
    <w:p w14:paraId="0E157562" w14:textId="77777777" w:rsidR="0002742E" w:rsidRDefault="0002742E" w:rsidP="00EF1133">
      <w:pPr>
        <w:rPr>
          <w:rFonts w:ascii="Arial Black" w:hAnsi="Arial Black"/>
          <w:b/>
          <w:sz w:val="24"/>
          <w:szCs w:val="24"/>
        </w:rPr>
      </w:pPr>
    </w:p>
    <w:p w14:paraId="1B6A1ACB" w14:textId="3CAE8447" w:rsidR="00AE6CF5" w:rsidRDefault="00AE6CF5" w:rsidP="00EF1133">
      <w:pPr>
        <w:rPr>
          <w:rFonts w:ascii="Arial Black" w:hAnsi="Arial Black"/>
          <w:b/>
          <w:sz w:val="24"/>
          <w:szCs w:val="24"/>
        </w:rPr>
      </w:pPr>
      <w:r>
        <w:rPr>
          <w:rFonts w:ascii="Arial Black" w:hAnsi="Arial Black"/>
          <w:b/>
          <w:sz w:val="24"/>
          <w:szCs w:val="24"/>
        </w:rPr>
        <w:t>5-24</w:t>
      </w:r>
    </w:p>
    <w:p w14:paraId="7166C67D" w14:textId="77777777" w:rsidR="00AE6CF5" w:rsidRDefault="00AE6CF5" w:rsidP="00AE6CF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MEDIC USED LIGHTS / BUT NO SIREN – INTERSECTION RED LIGHT - TRUCK KILLED PATIENT – NO IMMUNITY</w:t>
      </w:r>
    </w:p>
    <w:p w14:paraId="0ED998AF"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sidRPr="00A7603D">
        <w:rPr>
          <w:rFonts w:ascii="Times New Roman" w:eastAsia="Times New Roman" w:hAnsi="Times New Roman"/>
          <w:sz w:val="24"/>
          <w:szCs w:val="24"/>
        </w:rPr>
        <w:t xml:space="preserve">On March 17, 2022, in </w:t>
      </w:r>
      <w:r w:rsidRPr="00A7603D">
        <w:rPr>
          <w:rFonts w:ascii="Times New Roman" w:eastAsia="Times New Roman" w:hAnsi="Times New Roman"/>
          <w:sz w:val="24"/>
          <w:szCs w:val="24"/>
          <w:u w:val="single"/>
        </w:rPr>
        <w:t>Blue Bird Medical Enterprises, LLC, d/b/a Allegiance Mobile Health and Nicole Marina Mirza</w:t>
      </w:r>
      <w:r>
        <w:rPr>
          <w:rFonts w:ascii="Times New Roman" w:eastAsia="Times New Roman" w:hAnsi="Times New Roman"/>
          <w:sz w:val="24"/>
          <w:szCs w:val="24"/>
          <w:u w:val="single"/>
        </w:rPr>
        <w:t xml:space="preserve"> v. Russell Lynn Wllis, et al.</w:t>
      </w:r>
      <w:r>
        <w:rPr>
          <w:rFonts w:ascii="Times New Roman" w:eastAsia="Times New Roman" w:hAnsi="Times New Roman"/>
          <w:sz w:val="24"/>
          <w:szCs w:val="24"/>
        </w:rPr>
        <w:t xml:space="preserve">, the Court of Appeals of Texas, Fourteenth District, held (3 to 0) that trial court properly denied the defendants’ motion to dismiss, since the plaintiffs’ expert (a very experienced medic) testified the medic on a hospital to hospital transfer “breached the standard of care” when entering intersection against a red light without a siren activated.  The lawsuit may now proceed under the Texas health care liability claim. </w:t>
      </w:r>
      <w:hyperlink r:id="rId1016" w:history="1">
        <w:r w:rsidRPr="005848D2">
          <w:rPr>
            <w:rStyle w:val="Hyperlink"/>
            <w:rFonts w:ascii="Times New Roman" w:hAnsi="Times New Roman"/>
            <w:sz w:val="24"/>
            <w:szCs w:val="24"/>
          </w:rPr>
          <w:t>https://law.justia.com/cases/texas/fourteenth-court-of-appeals/2022/14-20-00566-cv.html</w:t>
        </w:r>
      </w:hyperlink>
    </w:p>
    <w:p w14:paraId="4CC31B02" w14:textId="77777777" w:rsidR="00AE6CF5" w:rsidRPr="005F6421" w:rsidRDefault="00AE6CF5" w:rsidP="00AE6CF5">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5F6421">
        <w:rPr>
          <w:rFonts w:ascii="Times New Roman" w:eastAsia="Times New Roman" w:hAnsi="Times New Roman"/>
          <w:sz w:val="24"/>
          <w:szCs w:val="24"/>
        </w:rPr>
        <w:t xml:space="preserve">Nicole Mirza was driving the ambulance, with Willis as a passenger on the rear stretcher, on FM 2004 in Brazoria County. Mirza approached a red light at the intersection of FM 2004 and State Highway 288B. Mirza entered the left-hand turn lane to pass other vehicles waiting at the red light, and she pulled into the intersection using only emergency lights with no audible siren. A pickup truck struck the ambulance, causing it to overturn. Shortly thereafter, Willis collapsed and could not be resuscitated. In the crash, Willis sustained blunt force injuries with laceration of the spleen and massive internal injuries, and the blunt force trauma caused his death. </w:t>
      </w:r>
    </w:p>
    <w:p w14:paraId="73F006B9" w14:textId="77777777" w:rsidR="00AE6CF5" w:rsidRDefault="00AE6CF5" w:rsidP="00AE6CF5">
      <w:pPr>
        <w:spacing w:after="100" w:line="240" w:lineRule="auto"/>
        <w:ind w:left="720"/>
        <w:rPr>
          <w:rFonts w:ascii="Times New Roman" w:hAnsi="Times New Roman"/>
          <w:sz w:val="24"/>
          <w:szCs w:val="24"/>
        </w:rPr>
      </w:pPr>
      <w:r w:rsidRPr="005F6421">
        <w:rPr>
          <w:rFonts w:ascii="Times New Roman" w:eastAsia="Times New Roman" w:hAnsi="Times New Roman"/>
          <w:sz w:val="24"/>
          <w:szCs w:val="24"/>
        </w:rPr>
        <w:t xml:space="preserve">The driver of the pickup truck had a green light and did not hear any siren activated on the ambulance. Three eyewitnesses at the scene confirmed that Mirza had not activated the ambulance siren by the time of the collision. The investigating police officer cited Mirza's failure to activate the siren as the only contributing factor in the crash. </w:t>
      </w:r>
      <w:r>
        <w:rPr>
          <w:rFonts w:ascii="Times New Roman" w:hAnsi="Times New Roman"/>
          <w:sz w:val="24"/>
          <w:szCs w:val="24"/>
        </w:rPr>
        <w:tab/>
      </w:r>
    </w:p>
    <w:p w14:paraId="5A3ECFBB" w14:textId="77777777" w:rsidR="00AE6CF5" w:rsidRPr="005F6421" w:rsidRDefault="00AE6CF5" w:rsidP="00AE6CF5">
      <w:pPr>
        <w:spacing w:after="100" w:line="240" w:lineRule="auto"/>
        <w:ind w:left="720"/>
        <w:rPr>
          <w:rFonts w:ascii="Times New Roman" w:eastAsia="Times New Roman" w:hAnsi="Times New Roman"/>
          <w:sz w:val="24"/>
          <w:szCs w:val="24"/>
        </w:rPr>
      </w:pPr>
      <w:r>
        <w:rPr>
          <w:rFonts w:ascii="Times New Roman" w:hAnsi="Times New Roman"/>
          <w:sz w:val="24"/>
          <w:szCs w:val="24"/>
        </w:rPr>
        <w:t>Plaintiff’s expert [</w:t>
      </w:r>
      <w:r w:rsidRPr="005F6421">
        <w:rPr>
          <w:rFonts w:ascii="Times New Roman" w:eastAsia="Times New Roman" w:hAnsi="Times New Roman"/>
          <w:sz w:val="24"/>
          <w:szCs w:val="24"/>
        </w:rPr>
        <w:t>Robert Krause</w:t>
      </w:r>
      <w:r>
        <w:rPr>
          <w:rFonts w:ascii="Times New Roman" w:eastAsia="Times New Roman" w:hAnsi="Times New Roman"/>
          <w:sz w:val="24"/>
          <w:szCs w:val="24"/>
        </w:rPr>
        <w:t xml:space="preserve">, Ed.D., has </w:t>
      </w:r>
      <w:r w:rsidRPr="005F6421">
        <w:rPr>
          <w:rFonts w:ascii="Times New Roman" w:eastAsia="Times New Roman" w:hAnsi="Times New Roman"/>
          <w:sz w:val="24"/>
          <w:szCs w:val="24"/>
        </w:rPr>
        <w:t>been a practicing paramedic for nearly four decades</w:t>
      </w:r>
      <w:r>
        <w:rPr>
          <w:rFonts w:ascii="Times New Roman" w:eastAsia="Times New Roman" w:hAnsi="Times New Roman"/>
          <w:sz w:val="24"/>
          <w:szCs w:val="24"/>
        </w:rPr>
        <w:t xml:space="preserve">] </w:t>
      </w:r>
      <w:r w:rsidRPr="00CA6457">
        <w:rPr>
          <w:rFonts w:ascii="Times New Roman" w:hAnsi="Times New Roman"/>
          <w:sz w:val="24"/>
          <w:szCs w:val="24"/>
        </w:rPr>
        <w:t xml:space="preserve">then identified the different standards of care applicable to </w:t>
      </w:r>
      <w:r>
        <w:rPr>
          <w:rFonts w:ascii="Times New Roman" w:hAnsi="Times New Roman"/>
          <w:sz w:val="24"/>
          <w:szCs w:val="24"/>
        </w:rPr>
        <w:t>‘</w:t>
      </w:r>
      <w:r w:rsidRPr="00CA6457">
        <w:rPr>
          <w:rFonts w:ascii="Times New Roman" w:hAnsi="Times New Roman"/>
          <w:sz w:val="24"/>
          <w:szCs w:val="24"/>
        </w:rPr>
        <w:t>routine</w:t>
      </w:r>
      <w:r>
        <w:rPr>
          <w:rFonts w:ascii="Times New Roman" w:hAnsi="Times New Roman"/>
          <w:sz w:val="24"/>
          <w:szCs w:val="24"/>
        </w:rPr>
        <w:t>’</w:t>
      </w:r>
      <w:r w:rsidRPr="00CA6457">
        <w:rPr>
          <w:rFonts w:ascii="Times New Roman" w:hAnsi="Times New Roman"/>
          <w:sz w:val="24"/>
          <w:szCs w:val="24"/>
        </w:rPr>
        <w:t xml:space="preserve"> transports and to </w:t>
      </w:r>
      <w:r>
        <w:rPr>
          <w:rFonts w:ascii="Times New Roman" w:hAnsi="Times New Roman"/>
          <w:sz w:val="24"/>
          <w:szCs w:val="24"/>
        </w:rPr>
        <w:t>‘</w:t>
      </w:r>
      <w:r w:rsidRPr="00CA6457">
        <w:rPr>
          <w:rFonts w:ascii="Times New Roman" w:hAnsi="Times New Roman"/>
          <w:sz w:val="24"/>
          <w:szCs w:val="24"/>
        </w:rPr>
        <w:t>true emergencies,</w:t>
      </w:r>
      <w:r>
        <w:rPr>
          <w:rFonts w:ascii="Times New Roman" w:hAnsi="Times New Roman"/>
          <w:sz w:val="24"/>
          <w:szCs w:val="24"/>
        </w:rPr>
        <w:t>’</w:t>
      </w:r>
      <w:r w:rsidRPr="00CA6457">
        <w:rPr>
          <w:rFonts w:ascii="Times New Roman" w:hAnsi="Times New Roman"/>
          <w:sz w:val="24"/>
          <w:szCs w:val="24"/>
        </w:rPr>
        <w:t xml:space="preserve"> and although he asserted that Willis's transport </w:t>
      </w:r>
      <w:r>
        <w:rPr>
          <w:rFonts w:ascii="Times New Roman" w:hAnsi="Times New Roman"/>
          <w:sz w:val="24"/>
          <w:szCs w:val="24"/>
        </w:rPr>
        <w:t>‘</w:t>
      </w:r>
      <w:r w:rsidRPr="00CA6457">
        <w:rPr>
          <w:rFonts w:ascii="Times New Roman" w:hAnsi="Times New Roman"/>
          <w:sz w:val="24"/>
          <w:szCs w:val="24"/>
        </w:rPr>
        <w:t>was not an emergency,</w:t>
      </w:r>
      <w:r>
        <w:rPr>
          <w:rFonts w:ascii="Times New Roman" w:hAnsi="Times New Roman"/>
          <w:sz w:val="24"/>
          <w:szCs w:val="24"/>
        </w:rPr>
        <w:t>’</w:t>
      </w:r>
      <w:r w:rsidRPr="00CA6457">
        <w:rPr>
          <w:rFonts w:ascii="Times New Roman" w:hAnsi="Times New Roman"/>
          <w:sz w:val="24"/>
          <w:szCs w:val="24"/>
        </w:rPr>
        <w:t xml:space="preserve"> he opined that Mirza breached both standards of care.</w:t>
      </w:r>
      <w:r>
        <w:rPr>
          <w:rFonts w:ascii="Times New Roman" w:hAnsi="Times New Roman"/>
          <w:sz w:val="24"/>
          <w:szCs w:val="24"/>
        </w:rPr>
        <w:t xml:space="preserve">” </w:t>
      </w:r>
      <w:hyperlink r:id="rId1017" w:history="1">
        <w:r w:rsidRPr="005848D2">
          <w:rPr>
            <w:rStyle w:val="Hyperlink"/>
            <w:rFonts w:ascii="Times New Roman" w:hAnsi="Times New Roman"/>
            <w:sz w:val="24"/>
            <w:szCs w:val="24"/>
          </w:rPr>
          <w:t>https://law.justia.com/cases/texas/fourteenth-court-of-appeals/2022/14-20-00566-cv.html</w:t>
        </w:r>
      </w:hyperlink>
      <w:r>
        <w:rPr>
          <w:rFonts w:ascii="Times New Roman" w:hAnsi="Times New Roman"/>
          <w:sz w:val="24"/>
          <w:szCs w:val="24"/>
        </w:rPr>
        <w:t xml:space="preserve"> </w:t>
      </w:r>
    </w:p>
    <w:p w14:paraId="148A37DB" w14:textId="77777777" w:rsidR="00727951" w:rsidRPr="00BB6FE9" w:rsidRDefault="00727951" w:rsidP="00727951">
      <w:pPr>
        <w:pStyle w:val="NormalWeb"/>
        <w:rPr>
          <w:b/>
          <w:bCs/>
        </w:rPr>
      </w:pPr>
      <w:r w:rsidRPr="00BB6FE9">
        <w:rPr>
          <w:b/>
          <w:bCs/>
        </w:rPr>
        <w:t>Legal Lesson Learned:</w:t>
      </w:r>
      <w:r>
        <w:rPr>
          <w:b/>
          <w:bCs/>
        </w:rPr>
        <w:t xml:space="preserve"> When driving an ambulance, or other emergency apparatus, do not enter an intersection against a red light without both siren and lights activated. A best practice, while not required by some state laws, is to have a SOG requiring full stops at controlled intersections.</w:t>
      </w:r>
    </w:p>
    <w:p w14:paraId="2E99815E" w14:textId="77777777" w:rsidR="00AE6CF5" w:rsidRDefault="00AE6CF5" w:rsidP="00EF1133">
      <w:pPr>
        <w:rPr>
          <w:rFonts w:ascii="Arial Black" w:hAnsi="Arial Black"/>
          <w:b/>
          <w:sz w:val="24"/>
          <w:szCs w:val="24"/>
        </w:rPr>
      </w:pPr>
    </w:p>
    <w:p w14:paraId="3148A01C" w14:textId="005DEEA9" w:rsidR="00AE6CF5" w:rsidRDefault="00AE6CF5" w:rsidP="00EF1133">
      <w:pPr>
        <w:rPr>
          <w:rFonts w:ascii="Arial Black" w:hAnsi="Arial Black"/>
          <w:b/>
          <w:sz w:val="24"/>
          <w:szCs w:val="24"/>
        </w:rPr>
      </w:pPr>
      <w:r>
        <w:rPr>
          <w:rFonts w:ascii="Arial Black" w:hAnsi="Arial Black"/>
          <w:b/>
          <w:sz w:val="24"/>
          <w:szCs w:val="24"/>
        </w:rPr>
        <w:t>5-23</w:t>
      </w:r>
    </w:p>
    <w:p w14:paraId="14C7391A" w14:textId="77777777" w:rsidR="00AE6CF5" w:rsidRPr="00773F77" w:rsidRDefault="00AE6CF5" w:rsidP="00AE6CF5">
      <w:pPr>
        <w:spacing w:before="100" w:beforeAutospacing="1" w:after="100" w:afterAutospacing="1" w:line="240" w:lineRule="auto"/>
        <w:rPr>
          <w:rFonts w:ascii="Arial Black" w:eastAsia="Times New Roman" w:hAnsi="Arial Black"/>
          <w:b/>
          <w:bCs/>
          <w:color w:val="000000" w:themeColor="text1"/>
          <w:sz w:val="28"/>
          <w:szCs w:val="28"/>
        </w:rPr>
      </w:pPr>
      <w:r w:rsidRPr="00773F77">
        <w:rPr>
          <w:rFonts w:ascii="Arial Black" w:eastAsia="Times New Roman" w:hAnsi="Arial Black"/>
          <w:b/>
          <w:bCs/>
          <w:color w:val="000000" w:themeColor="text1"/>
          <w:sz w:val="28"/>
          <w:szCs w:val="28"/>
        </w:rPr>
        <w:t xml:space="preserve">TX: VOL. FF DRIVING HOME AFTER FIRE – STRUCK TWO FF CHECKING TIRE ON TANKER – ONE DIED </w:t>
      </w:r>
      <w:r>
        <w:rPr>
          <w:rFonts w:ascii="Arial Black" w:eastAsia="Times New Roman" w:hAnsi="Arial Black"/>
          <w:b/>
          <w:bCs/>
          <w:color w:val="000000" w:themeColor="text1"/>
          <w:sz w:val="28"/>
          <w:szCs w:val="28"/>
        </w:rPr>
        <w:t xml:space="preserve">- </w:t>
      </w:r>
      <w:r w:rsidRPr="00773F77">
        <w:rPr>
          <w:rFonts w:ascii="Arial Black" w:eastAsia="Times New Roman" w:hAnsi="Arial Black"/>
          <w:b/>
          <w:bCs/>
          <w:color w:val="000000" w:themeColor="text1"/>
          <w:sz w:val="28"/>
          <w:szCs w:val="28"/>
        </w:rPr>
        <w:t xml:space="preserve">NO IMMUNITY </w:t>
      </w:r>
    </w:p>
    <w:p w14:paraId="39E6660C" w14:textId="77777777" w:rsidR="00AE6CF5" w:rsidRDefault="00AE6CF5" w:rsidP="00AE6CF5">
      <w:pPr>
        <w:pStyle w:val="NormalWeb"/>
      </w:pPr>
      <w:r w:rsidRPr="004D2359">
        <w:t xml:space="preserve">On </w:t>
      </w:r>
      <w:r>
        <w:t xml:space="preserve">March 17, 2022, in </w:t>
      </w:r>
      <w:r w:rsidRPr="00055EE6">
        <w:rPr>
          <w:u w:val="single"/>
        </w:rPr>
        <w:t xml:space="preserve">John Weston Roades v. Lisa Henderson, as Administratrix of the estate of Steven Henderson, Kinsley Henderson, </w:t>
      </w:r>
      <w:proofErr w:type="spellStart"/>
      <w:r w:rsidRPr="00055EE6">
        <w:rPr>
          <w:u w:val="single"/>
        </w:rPr>
        <w:t>Koale</w:t>
      </w:r>
      <w:proofErr w:type="spellEnd"/>
      <w:r w:rsidRPr="00055EE6">
        <w:rPr>
          <w:u w:val="single"/>
        </w:rPr>
        <w:t xml:space="preserve"> Jaks and Robert Popp</w:t>
      </w:r>
      <w:r>
        <w:t xml:space="preserve">, the Court of Appeals of Texas, Thirteenth District (Corpus Christi – Edinburg), held (3 to 0) </w:t>
      </w:r>
      <w:r w:rsidRPr="008C6B39">
        <w:t xml:space="preserve">that the trial court properly denied the </w:t>
      </w:r>
      <w:r>
        <w:t xml:space="preserve">motion to dismiss by the </w:t>
      </w:r>
      <w:r w:rsidRPr="008C6B39">
        <w:t>volunteer firefighter</w:t>
      </w:r>
      <w:r>
        <w:t xml:space="preserve"> </w:t>
      </w:r>
      <w:r w:rsidRPr="008C6B39">
        <w:t xml:space="preserve">with the Louise Volunteer Fire Department (LVFD), Wharton County, Texas, </w:t>
      </w:r>
      <w:r>
        <w:t>since the Texas Tort Claims Act protects governmental “employees” (defined as “in the paid service of a governmental unit) and another provision only protects volunteer firefighters “</w:t>
      </w:r>
      <w:r w:rsidRPr="00C9048E">
        <w:rPr>
          <w:rStyle w:val="Emphasis"/>
        </w:rPr>
        <w:t>while involved in or providing an emergency response</w:t>
      </w:r>
      <w:r w:rsidRPr="00C9048E">
        <w:t xml:space="preserve"> as a member of a volunteer fire department."</w:t>
      </w:r>
      <w:r>
        <w:t xml:space="preserve"> </w:t>
      </w:r>
      <w:hyperlink r:id="rId1018" w:history="1">
        <w:r w:rsidRPr="005A2A16">
          <w:rPr>
            <w:rStyle w:val="Hyperlink"/>
            <w:rFonts w:eastAsiaTheme="majorEastAsia"/>
          </w:rPr>
          <w:t>https://law.justia.com/cases/texas/thirteenth-court-of-appeals/2022/13-20-00315-cv.html</w:t>
        </w:r>
      </w:hyperlink>
      <w:r>
        <w:t xml:space="preserve"> </w:t>
      </w:r>
    </w:p>
    <w:p w14:paraId="56E5BEC3" w14:textId="77777777" w:rsidR="00AE6CF5" w:rsidRDefault="00AE6CF5" w:rsidP="00AE6CF5">
      <w:pPr>
        <w:pStyle w:val="NormalWeb"/>
        <w:ind w:left="1440"/>
      </w:pPr>
      <w:r>
        <w:t xml:space="preserve">“Here, by Roades's own account, ‘the fire was under control’ and he was travelling home in his personal vehicle when the accident occurred. Thus, it is undisputed that Roades was not involved in or providing an emergency response during or at the time of the accident. Accordingly, Roades is not entitled to </w:t>
      </w:r>
      <w:proofErr w:type="gramStart"/>
      <w:r>
        <w:t>the ‘exclusions,</w:t>
      </w:r>
      <w:proofErr w:type="gramEnd"/>
      <w:r>
        <w:t xml:space="preserve"> exceptions, immunities, and </w:t>
      </w:r>
      <w:proofErr w:type="gramStart"/>
      <w:r>
        <w:t>defenses’</w:t>
      </w:r>
      <w:proofErr w:type="gramEnd"/>
      <w:r>
        <w:t xml:space="preserve"> applicable to an employee under the TTCA. </w:t>
      </w:r>
      <w:r>
        <w:rPr>
          <w:rStyle w:val="Emphasis"/>
        </w:rPr>
        <w:t>See</w:t>
      </w:r>
      <w:r>
        <w:t xml:space="preserve"> Tex. Civ. </w:t>
      </w:r>
      <w:proofErr w:type="spellStart"/>
      <w:r>
        <w:t>Prac</w:t>
      </w:r>
      <w:proofErr w:type="spellEnd"/>
      <w:r>
        <w:t xml:space="preserve">. &amp; Rem. Code Ann. §§ 78.101(1), 78.102, 78.104.” </w:t>
      </w:r>
      <w:hyperlink r:id="rId1019" w:history="1">
        <w:r w:rsidRPr="005A2A16">
          <w:rPr>
            <w:rStyle w:val="Hyperlink"/>
            <w:rFonts w:eastAsiaTheme="majorEastAsia"/>
          </w:rPr>
          <w:t>https://law.justia.com/cases/texas/thirteenth-court-of-appeals/2022/13-20-00315-cv.html</w:t>
        </w:r>
      </w:hyperlink>
      <w:r>
        <w:t xml:space="preserve"> </w:t>
      </w:r>
    </w:p>
    <w:p w14:paraId="12F41A3B"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Here’s an article on this tragic accident. </w:t>
      </w:r>
    </w:p>
    <w:p w14:paraId="399F0B72" w14:textId="77777777" w:rsidR="00AE6CF5" w:rsidRPr="00F908DA" w:rsidRDefault="00AE6CF5" w:rsidP="00AE6CF5">
      <w:pPr>
        <w:spacing w:before="100" w:beforeAutospacing="1" w:after="100" w:afterAutospacing="1" w:line="240" w:lineRule="auto"/>
        <w:ind w:left="1440"/>
        <w:rPr>
          <w:rFonts w:ascii="Times New Roman" w:eastAsia="Times New Roman" w:hAnsi="Times New Roman"/>
          <w:sz w:val="24"/>
          <w:szCs w:val="24"/>
        </w:rPr>
      </w:pPr>
      <w:r w:rsidRPr="00F908DA">
        <w:rPr>
          <w:rFonts w:ascii="Times New Roman" w:eastAsia="Times New Roman" w:hAnsi="Times New Roman"/>
          <w:sz w:val="24"/>
          <w:szCs w:val="24"/>
        </w:rPr>
        <w:t>On Monday, October 7, 2019, Firefighter Steven Henderson with the Louise (TX) Volunteer Fire Department and another firefighter were returning from a fire call in a tanker truck when they stopped alongside the road to inspect the front tires.  While outside the vehicle, another firefighter from the same fire department driving his personal pick-up truck, who was also at the scene of the fire call and left shortly after Henderson, did not see the truck parked in the roadway or the two firefighters standing outside of it. He subsequently hit both Henderson and the other firefighter.</w:t>
      </w:r>
      <w:r>
        <w:rPr>
          <w:rFonts w:ascii="Times New Roman" w:eastAsia="Times New Roman" w:hAnsi="Times New Roman"/>
          <w:sz w:val="24"/>
          <w:szCs w:val="24"/>
        </w:rPr>
        <w:t xml:space="preserve">” </w:t>
      </w:r>
      <w:hyperlink r:id="rId1020" w:anchor="gref" w:history="1">
        <w:r w:rsidRPr="005A2A16">
          <w:rPr>
            <w:rStyle w:val="Hyperlink"/>
            <w:rFonts w:ascii="Times New Roman" w:eastAsia="Times New Roman" w:hAnsi="Times New Roman"/>
            <w:sz w:val="24"/>
            <w:szCs w:val="24"/>
          </w:rPr>
          <w:t>https://www.fireengineering.com/health-safety/tx-firefighter-dies-after-being-struck/#gref</w:t>
        </w:r>
      </w:hyperlink>
      <w:r>
        <w:rPr>
          <w:rFonts w:ascii="Times New Roman" w:eastAsia="Times New Roman" w:hAnsi="Times New Roman"/>
          <w:sz w:val="24"/>
          <w:szCs w:val="24"/>
        </w:rPr>
        <w:t xml:space="preserve"> </w:t>
      </w:r>
    </w:p>
    <w:p w14:paraId="43D5B593" w14:textId="77777777" w:rsidR="00AE6CF5" w:rsidRPr="00C9048E" w:rsidRDefault="00AE6CF5" w:rsidP="00AE6CF5">
      <w:pPr>
        <w:pStyle w:val="NormalWeb"/>
        <w:rPr>
          <w:b/>
          <w:bCs/>
        </w:rPr>
      </w:pPr>
      <w:r w:rsidRPr="00927C97">
        <w:rPr>
          <w:b/>
          <w:bCs/>
        </w:rPr>
        <w:t xml:space="preserve">Legal Lesson Learned: </w:t>
      </w:r>
      <w:r>
        <w:rPr>
          <w:b/>
          <w:bCs/>
        </w:rPr>
        <w:t xml:space="preserve">Volunteer emergency responders should carefully check the law in their state; it is a wise practice to confirm with your automobile insurance carrier that you have coverage when serving as a volunteer. </w:t>
      </w:r>
    </w:p>
    <w:p w14:paraId="2DDBEC6C" w14:textId="77777777" w:rsidR="00AE6CF5" w:rsidRDefault="00AE6CF5" w:rsidP="00EF1133">
      <w:pPr>
        <w:rPr>
          <w:rFonts w:ascii="Arial Black" w:hAnsi="Arial Black"/>
          <w:b/>
          <w:sz w:val="24"/>
          <w:szCs w:val="24"/>
        </w:rPr>
      </w:pPr>
    </w:p>
    <w:p w14:paraId="7EDAB3F2" w14:textId="54900446" w:rsidR="00B5724A" w:rsidRDefault="00B5724A" w:rsidP="00EF1133">
      <w:pPr>
        <w:rPr>
          <w:rFonts w:ascii="Arial Black" w:hAnsi="Arial Black"/>
          <w:b/>
          <w:sz w:val="24"/>
          <w:szCs w:val="24"/>
        </w:rPr>
      </w:pPr>
      <w:r>
        <w:rPr>
          <w:rFonts w:ascii="Arial Black" w:hAnsi="Arial Black"/>
          <w:b/>
          <w:sz w:val="24"/>
          <w:szCs w:val="24"/>
        </w:rPr>
        <w:t>5-22</w:t>
      </w:r>
    </w:p>
    <w:p w14:paraId="6DA16F78" w14:textId="77777777" w:rsidR="00B5724A" w:rsidRDefault="00B5724A" w:rsidP="00B5724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RED LIGHT - AMBULANCE DRIVER LIGHTS &amp; SIREN DIDN’T SLOW DOWN - OBSTRUCTED VIEW – NO IMMUNITY </w:t>
      </w:r>
    </w:p>
    <w:p w14:paraId="653E5251" w14:textId="77777777" w:rsidR="00B5724A" w:rsidRPr="00CB1C4F" w:rsidRDefault="00B5724A" w:rsidP="00B5724A">
      <w:pPr>
        <w:spacing w:before="100" w:beforeAutospacing="1" w:after="100" w:afterAutospacing="1" w:line="240" w:lineRule="auto"/>
        <w:rPr>
          <w:rFonts w:ascii="Times New Roman" w:hAnsi="Times New Roman"/>
          <w:sz w:val="24"/>
          <w:szCs w:val="24"/>
        </w:rPr>
      </w:pPr>
      <w:r w:rsidRPr="00E82791">
        <w:rPr>
          <w:rFonts w:ascii="Times New Roman" w:hAnsi="Times New Roman"/>
          <w:sz w:val="24"/>
          <w:szCs w:val="24"/>
        </w:rPr>
        <w:t xml:space="preserve">On </w:t>
      </w:r>
      <w:r>
        <w:rPr>
          <w:rFonts w:ascii="Times New Roman" w:hAnsi="Times New Roman"/>
          <w:sz w:val="24"/>
          <w:szCs w:val="24"/>
        </w:rPr>
        <w:t xml:space="preserve">Dec. 30, 2021, in </w:t>
      </w:r>
      <w:proofErr w:type="spellStart"/>
      <w:r w:rsidRPr="00E82791">
        <w:rPr>
          <w:rFonts w:ascii="Times New Roman" w:hAnsi="Times New Roman"/>
          <w:sz w:val="24"/>
          <w:szCs w:val="24"/>
          <w:u w:val="single"/>
        </w:rPr>
        <w:t>Seronda</w:t>
      </w:r>
      <w:proofErr w:type="spellEnd"/>
      <w:r w:rsidRPr="00E82791">
        <w:rPr>
          <w:rFonts w:ascii="Times New Roman" w:hAnsi="Times New Roman"/>
          <w:sz w:val="24"/>
          <w:szCs w:val="24"/>
          <w:u w:val="single"/>
        </w:rPr>
        <w:t xml:space="preserve"> Gillespie and </w:t>
      </w:r>
      <w:proofErr w:type="spellStart"/>
      <w:r w:rsidRPr="00E82791">
        <w:rPr>
          <w:rFonts w:ascii="Times New Roman" w:hAnsi="Times New Roman"/>
          <w:sz w:val="24"/>
          <w:szCs w:val="24"/>
          <w:u w:val="single"/>
        </w:rPr>
        <w:t>Torondia</w:t>
      </w:r>
      <w:proofErr w:type="spellEnd"/>
      <w:r w:rsidRPr="00E82791">
        <w:rPr>
          <w:rFonts w:ascii="Times New Roman" w:hAnsi="Times New Roman"/>
          <w:sz w:val="24"/>
          <w:szCs w:val="24"/>
          <w:u w:val="single"/>
        </w:rPr>
        <w:t xml:space="preserve"> </w:t>
      </w:r>
      <w:proofErr w:type="spellStart"/>
      <w:r w:rsidRPr="00E82791">
        <w:rPr>
          <w:rFonts w:ascii="Times New Roman" w:hAnsi="Times New Roman"/>
          <w:sz w:val="24"/>
          <w:szCs w:val="24"/>
          <w:u w:val="single"/>
        </w:rPr>
        <w:t>Talber</w:t>
      </w:r>
      <w:proofErr w:type="spellEnd"/>
      <w:r w:rsidRPr="00E82791">
        <w:rPr>
          <w:rFonts w:ascii="Times New Roman" w:hAnsi="Times New Roman"/>
          <w:sz w:val="24"/>
          <w:szCs w:val="24"/>
          <w:u w:val="single"/>
        </w:rPr>
        <w:t xml:space="preserve"> v. Galveston County Health District,</w:t>
      </w:r>
      <w:r>
        <w:rPr>
          <w:rFonts w:ascii="Times New Roman" w:hAnsi="Times New Roman"/>
          <w:sz w:val="24"/>
          <w:szCs w:val="24"/>
        </w:rPr>
        <w:t xml:space="preserve"> the Court of Appeals of Texas, Fourteenth District, held (3 to 0) that trial court is reversed and lawsuit reinstated. By </w:t>
      </w:r>
      <w:proofErr w:type="gramStart"/>
      <w:r>
        <w:rPr>
          <w:rFonts w:ascii="Times New Roman" w:hAnsi="Times New Roman"/>
          <w:sz w:val="24"/>
          <w:szCs w:val="24"/>
        </w:rPr>
        <w:t>entering into</w:t>
      </w:r>
      <w:proofErr w:type="gramEnd"/>
      <w:r>
        <w:rPr>
          <w:rFonts w:ascii="Times New Roman" w:hAnsi="Times New Roman"/>
          <w:sz w:val="24"/>
          <w:szCs w:val="24"/>
        </w:rPr>
        <w:t xml:space="preserve"> the obstructed intersection without slowing down as she had for prior red lights, there is sufficient evidence of “</w:t>
      </w:r>
      <w:r w:rsidRPr="00CB1C4F">
        <w:rPr>
          <w:rFonts w:ascii="Times New Roman" w:hAnsi="Times New Roman"/>
          <w:sz w:val="24"/>
          <w:szCs w:val="24"/>
        </w:rPr>
        <w:t>reckless disregard for the safety of others."</w:t>
      </w:r>
      <w:r>
        <w:rPr>
          <w:rFonts w:ascii="Times New Roman" w:hAnsi="Times New Roman"/>
          <w:sz w:val="24"/>
          <w:szCs w:val="24"/>
        </w:rPr>
        <w:t xml:space="preserve"> The posted speed was 35 mph; paramedic was going about 40 mph. </w:t>
      </w:r>
    </w:p>
    <w:p w14:paraId="22E8D3DB" w14:textId="77777777" w:rsidR="00B5724A" w:rsidRPr="00FF02D0" w:rsidRDefault="00B5724A" w:rsidP="00B5724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FF02D0">
        <w:rPr>
          <w:rFonts w:ascii="Times New Roman" w:eastAsia="Times New Roman" w:hAnsi="Times New Roman"/>
          <w:sz w:val="24"/>
          <w:szCs w:val="24"/>
        </w:rPr>
        <w:t xml:space="preserve">The </w:t>
      </w:r>
      <w:r>
        <w:rPr>
          <w:rFonts w:ascii="Times New Roman" w:eastAsia="Times New Roman" w:hAnsi="Times New Roman"/>
          <w:sz w:val="24"/>
          <w:szCs w:val="24"/>
        </w:rPr>
        <w:t xml:space="preserve">[County Health] </w:t>
      </w:r>
      <w:r w:rsidRPr="00FF02D0">
        <w:rPr>
          <w:rFonts w:ascii="Times New Roman" w:eastAsia="Times New Roman" w:hAnsi="Times New Roman"/>
          <w:sz w:val="24"/>
          <w:szCs w:val="24"/>
        </w:rPr>
        <w:t xml:space="preserve">District presented no evidence that a reasonably prudent official could have believed that Sanders-Fletcher was justified in entering the intersection without first slowing down under these circumstances. The </w:t>
      </w:r>
      <w:proofErr w:type="gramStart"/>
      <w:r w:rsidRPr="00FF02D0">
        <w:rPr>
          <w:rFonts w:ascii="Times New Roman" w:eastAsia="Times New Roman" w:hAnsi="Times New Roman"/>
          <w:sz w:val="24"/>
          <w:szCs w:val="24"/>
        </w:rPr>
        <w:t>District</w:t>
      </w:r>
      <w:proofErr w:type="gramEnd"/>
      <w:r w:rsidRPr="00FF02D0">
        <w:rPr>
          <w:rFonts w:ascii="Times New Roman" w:eastAsia="Times New Roman" w:hAnsi="Times New Roman"/>
          <w:sz w:val="24"/>
          <w:szCs w:val="24"/>
        </w:rPr>
        <w:t xml:space="preserve"> does not contend otherwise; it merely asserts on appeal that Sanders-Fletcher is entitled to official immunity because there is no fact issue as to whether her conduct was reckless and that the video shows her cautious speed and approach through the intersection. Because there is a genuine issue of material fact as to whether Sanders-Fletcher's conduct was reckless, the </w:t>
      </w:r>
      <w:proofErr w:type="gramStart"/>
      <w:r w:rsidRPr="00FF02D0">
        <w:rPr>
          <w:rFonts w:ascii="Times New Roman" w:eastAsia="Times New Roman" w:hAnsi="Times New Roman"/>
          <w:sz w:val="24"/>
          <w:szCs w:val="24"/>
        </w:rPr>
        <w:t>District's</w:t>
      </w:r>
      <w:proofErr w:type="gramEnd"/>
      <w:r w:rsidRPr="00FF02D0">
        <w:rPr>
          <w:rFonts w:ascii="Times New Roman" w:eastAsia="Times New Roman" w:hAnsi="Times New Roman"/>
          <w:sz w:val="24"/>
          <w:szCs w:val="24"/>
        </w:rPr>
        <w:t xml:space="preserve"> official-immunity argument cannot be sustained on this basis.</w:t>
      </w:r>
      <w:r>
        <w:rPr>
          <w:rFonts w:ascii="Times New Roman" w:eastAsia="Times New Roman" w:hAnsi="Times New Roman"/>
          <w:sz w:val="24"/>
          <w:szCs w:val="24"/>
        </w:rPr>
        <w:t xml:space="preserve">” </w:t>
      </w:r>
      <w:r w:rsidRPr="00FF02D0">
        <w:rPr>
          <w:rFonts w:ascii="Times New Roman" w:eastAsia="Times New Roman" w:hAnsi="Times New Roman"/>
          <w:sz w:val="24"/>
          <w:szCs w:val="24"/>
        </w:rPr>
        <w:t xml:space="preserve"> </w:t>
      </w:r>
      <w:hyperlink r:id="rId1021" w:history="1">
        <w:r w:rsidRPr="00EC5853">
          <w:rPr>
            <w:rStyle w:val="Hyperlink"/>
            <w:rFonts w:ascii="Times New Roman" w:eastAsia="Times New Roman" w:hAnsi="Times New Roman"/>
            <w:sz w:val="24"/>
            <w:szCs w:val="24"/>
          </w:rPr>
          <w:t>https://public.fastcase.com/9SKwsfNqTc6OieYDhNMyMxYFAOB%2B8Exz96lCVjgKZ3LX4kIIj1F%2BwgWx84FRdD2XxPjZrEkhT3uMWAcBEArrI0vrm%2B5Vt5gbBlhQIZhqFuE%3D</w:t>
        </w:r>
      </w:hyperlink>
      <w:r>
        <w:rPr>
          <w:rFonts w:ascii="Times New Roman" w:eastAsia="Times New Roman" w:hAnsi="Times New Roman"/>
          <w:sz w:val="24"/>
          <w:szCs w:val="24"/>
        </w:rPr>
        <w:t xml:space="preserve"> </w:t>
      </w:r>
    </w:p>
    <w:p w14:paraId="326AB7B5" w14:textId="77777777" w:rsidR="00B5724A" w:rsidRPr="002C414E" w:rsidRDefault="00B5724A" w:rsidP="00B5724A">
      <w:pPr>
        <w:spacing w:before="100" w:beforeAutospacing="1" w:after="100" w:afterAutospacing="1" w:line="240" w:lineRule="auto"/>
        <w:rPr>
          <w:rFonts w:ascii="Times New Roman" w:hAnsi="Times New Roman"/>
          <w:b/>
          <w:bCs/>
          <w:sz w:val="24"/>
          <w:szCs w:val="24"/>
        </w:rPr>
      </w:pPr>
      <w:r w:rsidRPr="002C414E">
        <w:rPr>
          <w:rFonts w:ascii="Times New Roman" w:hAnsi="Times New Roman"/>
          <w:b/>
          <w:bCs/>
          <w:sz w:val="24"/>
          <w:szCs w:val="24"/>
        </w:rPr>
        <w:t xml:space="preserve">Legal Lesson Learned: Operators of emergency vehicles should slow down when approaching a red light or stop sign, particularly if on a road with obstructed views. </w:t>
      </w:r>
    </w:p>
    <w:p w14:paraId="431666F5" w14:textId="77777777" w:rsidR="00B5724A" w:rsidRPr="002C414E" w:rsidRDefault="00B5724A" w:rsidP="00B5724A">
      <w:pPr>
        <w:pStyle w:val="Heading1"/>
        <w:ind w:left="720"/>
        <w:rPr>
          <w:b w:val="0"/>
          <w:bCs w:val="0"/>
          <w:sz w:val="24"/>
          <w:szCs w:val="24"/>
        </w:rPr>
      </w:pPr>
      <w:r w:rsidRPr="002C414E">
        <w:rPr>
          <w:b w:val="0"/>
          <w:bCs w:val="0"/>
          <w:sz w:val="24"/>
          <w:szCs w:val="24"/>
        </w:rPr>
        <w:t xml:space="preserve">Note: Ohio Revised Code Section 4511.03 </w:t>
      </w:r>
      <w:r w:rsidRPr="002C414E">
        <w:rPr>
          <w:rStyle w:val="codes-separator"/>
          <w:b w:val="0"/>
          <w:bCs w:val="0"/>
          <w:sz w:val="24"/>
          <w:szCs w:val="24"/>
        </w:rPr>
        <w:t>|</w:t>
      </w:r>
      <w:r w:rsidRPr="002C414E">
        <w:rPr>
          <w:b w:val="0"/>
          <w:bCs w:val="0"/>
          <w:sz w:val="24"/>
          <w:szCs w:val="24"/>
        </w:rPr>
        <w:t xml:space="preserve"> Emergency vehicles at red signal or stop sign. </w:t>
      </w:r>
      <w:hyperlink r:id="rId1022" w:history="1">
        <w:r w:rsidRPr="002C414E">
          <w:rPr>
            <w:rFonts w:eastAsiaTheme="majorEastAsia"/>
            <w:b w:val="0"/>
            <w:bCs w:val="0"/>
            <w:sz w:val="24"/>
            <w:szCs w:val="24"/>
          </w:rPr>
          <w:t>https://codes.ohio.gov/ohio-revised-code/section-4511.03</w:t>
        </w:r>
      </w:hyperlink>
      <w:r w:rsidRPr="002C414E">
        <w:rPr>
          <w:b w:val="0"/>
          <w:bCs w:val="0"/>
          <w:sz w:val="24"/>
          <w:szCs w:val="24"/>
        </w:rPr>
        <w:t xml:space="preserve"> </w:t>
      </w:r>
    </w:p>
    <w:p w14:paraId="4D78946D" w14:textId="77777777" w:rsidR="00B5724A" w:rsidRPr="002C414E" w:rsidRDefault="00B5724A" w:rsidP="00B5724A">
      <w:pPr>
        <w:spacing w:before="100" w:beforeAutospacing="1" w:after="100" w:afterAutospacing="1" w:line="240" w:lineRule="auto"/>
        <w:ind w:left="1440"/>
        <w:rPr>
          <w:rFonts w:ascii="Times New Roman" w:eastAsia="Times New Roman" w:hAnsi="Times New Roman"/>
          <w:sz w:val="24"/>
          <w:szCs w:val="24"/>
        </w:rPr>
      </w:pPr>
      <w:r w:rsidRPr="002C414E">
        <w:rPr>
          <w:rFonts w:ascii="Times New Roman" w:hAnsi="Times New Roman"/>
          <w:sz w:val="24"/>
          <w:szCs w:val="24"/>
        </w:rPr>
        <w:t xml:space="preserve">“(A) The driver of any emergency vehicle or public safety vehicle, when responding to an emergency call, upon approaching a red or stop signal or any stop sign shall slow down as necessary for safety to </w:t>
      </w:r>
      <w:proofErr w:type="gramStart"/>
      <w:r w:rsidRPr="002C414E">
        <w:rPr>
          <w:rFonts w:ascii="Times New Roman" w:hAnsi="Times New Roman"/>
          <w:sz w:val="24"/>
          <w:szCs w:val="24"/>
        </w:rPr>
        <w:t>traffic, but</w:t>
      </w:r>
      <w:proofErr w:type="gramEnd"/>
      <w:r w:rsidRPr="002C414E">
        <w:rPr>
          <w:rFonts w:ascii="Times New Roman" w:hAnsi="Times New Roman"/>
          <w:sz w:val="24"/>
          <w:szCs w:val="24"/>
        </w:rPr>
        <w:t xml:space="preserve"> may proceed cautiously past such red or stop sign or signal with due regard for the safety of all persons using the street or highway.”</w:t>
      </w:r>
    </w:p>
    <w:p w14:paraId="6B1FF64C" w14:textId="77777777" w:rsidR="00B5724A" w:rsidRDefault="00B5724A" w:rsidP="00EF1133">
      <w:pPr>
        <w:rPr>
          <w:rFonts w:ascii="Arial Black" w:hAnsi="Arial Black"/>
          <w:b/>
          <w:sz w:val="24"/>
          <w:szCs w:val="24"/>
        </w:rPr>
      </w:pPr>
    </w:p>
    <w:p w14:paraId="30A46054" w14:textId="273659CE" w:rsidR="00BC5936" w:rsidRPr="00BC5936" w:rsidRDefault="00BC5936" w:rsidP="00EF1133">
      <w:pPr>
        <w:rPr>
          <w:rFonts w:ascii="Times New Roman" w:hAnsi="Times New Roman"/>
          <w:bCs/>
          <w:sz w:val="24"/>
          <w:szCs w:val="24"/>
        </w:rPr>
      </w:pPr>
      <w:r>
        <w:rPr>
          <w:rFonts w:ascii="Arial Black" w:hAnsi="Arial Black"/>
          <w:b/>
          <w:sz w:val="24"/>
          <w:szCs w:val="24"/>
        </w:rPr>
        <w:t xml:space="preserve">5-21 </w:t>
      </w:r>
      <w:r>
        <w:rPr>
          <w:rFonts w:ascii="Times New Roman" w:hAnsi="Times New Roman"/>
          <w:bCs/>
          <w:sz w:val="24"/>
          <w:szCs w:val="24"/>
        </w:rPr>
        <w:t>[also filed, Chap. 13]</w:t>
      </w:r>
    </w:p>
    <w:p w14:paraId="5A6B839B" w14:textId="77777777" w:rsidR="00BC5936" w:rsidRPr="002F193B" w:rsidRDefault="00BC5936" w:rsidP="00BC5936">
      <w:pPr>
        <w:pStyle w:val="NoSpacing"/>
        <w:rPr>
          <w:rFonts w:ascii="Arial Black" w:hAnsi="Arial Black"/>
          <w:sz w:val="28"/>
          <w:szCs w:val="28"/>
        </w:rPr>
      </w:pPr>
      <w:r>
        <w:rPr>
          <w:rFonts w:ascii="Arial Black" w:hAnsi="Arial Black"/>
          <w:sz w:val="28"/>
          <w:szCs w:val="28"/>
        </w:rPr>
        <w:t>WV: AMBULANCE ROLL OVER - 2 KILLED, EMT’S LAWSUIT HOSP. DISMISSED – MEDICAL CERT. OF MERIT REQUIRED</w:t>
      </w:r>
    </w:p>
    <w:p w14:paraId="69A4B9FB" w14:textId="77777777" w:rsidR="00BC5936" w:rsidRDefault="00BC5936" w:rsidP="00BC5936">
      <w:pPr>
        <w:pStyle w:val="NoSpacing"/>
      </w:pPr>
    </w:p>
    <w:p w14:paraId="6F7FC8DE" w14:textId="77777777" w:rsidR="00BC5936" w:rsidRDefault="00BC5936" w:rsidP="00BC5936">
      <w:pPr>
        <w:pStyle w:val="NoSpacing"/>
        <w:rPr>
          <w:rFonts w:ascii="Times New Roman" w:hAnsi="Times New Roman"/>
          <w:sz w:val="24"/>
          <w:szCs w:val="24"/>
        </w:rPr>
      </w:pPr>
      <w:r w:rsidRPr="00397962">
        <w:rPr>
          <w:rFonts w:ascii="Times New Roman" w:hAnsi="Times New Roman"/>
          <w:sz w:val="24"/>
          <w:szCs w:val="24"/>
        </w:rPr>
        <w:t xml:space="preserve">On May 20, 2021, in </w:t>
      </w:r>
      <w:r w:rsidRPr="00397962">
        <w:rPr>
          <w:rFonts w:ascii="Times New Roman" w:hAnsi="Times New Roman"/>
          <w:sz w:val="24"/>
          <w:szCs w:val="24"/>
          <w:u w:val="single"/>
        </w:rPr>
        <w:t>Crystal G. Brown and Tri-State Ambulance, Inc. v. Ohio Valley Health Services &amp; Education Corporation; Ohio Valley Medical Center; et al</w:t>
      </w:r>
      <w:r>
        <w:rPr>
          <w:rFonts w:ascii="Times New Roman" w:hAnsi="Times New Roman"/>
          <w:sz w:val="24"/>
          <w:szCs w:val="24"/>
        </w:rPr>
        <w:t xml:space="preserve">., the State of West Virginia Supreme Court of Appeals, </w:t>
      </w:r>
      <w:r w:rsidRPr="00FD6489">
        <w:rPr>
          <w:rStyle w:val="font-weight-bold"/>
          <w:rFonts w:ascii="Times New Roman" w:hAnsi="Times New Roman"/>
          <w:sz w:val="24"/>
          <w:szCs w:val="24"/>
        </w:rPr>
        <w:t>Brown v. Ohio Valley Health Servs. &amp; Educ. Corp. (W. Va. 202</w:t>
      </w:r>
      <w:r>
        <w:rPr>
          <w:rFonts w:ascii="Times New Roman" w:hAnsi="Times New Roman"/>
          <w:sz w:val="24"/>
          <w:szCs w:val="24"/>
        </w:rPr>
        <w:t xml:space="preserve">1, held (3 to 0) that the lawsuit was properly dismissed since the West Virginia code of medical professional liability requires both patients and others suing a health care provider 30 days </w:t>
      </w:r>
      <w:proofErr w:type="gramStart"/>
      <w:r>
        <w:rPr>
          <w:rFonts w:ascii="Times New Roman" w:hAnsi="Times New Roman"/>
          <w:sz w:val="24"/>
          <w:szCs w:val="24"/>
        </w:rPr>
        <w:t>prior</w:t>
      </w:r>
      <w:proofErr w:type="gramEnd"/>
      <w:r>
        <w:rPr>
          <w:rFonts w:ascii="Times New Roman" w:hAnsi="Times New Roman"/>
          <w:sz w:val="24"/>
          <w:szCs w:val="24"/>
        </w:rPr>
        <w:t xml:space="preserve"> written notice, and a certificate of merit by a qualified health care provider.  The EMT in her lawsuit claimed the hospital knew but failed to disclose that transporting the patient to a Columbus, OH hospital was not medically necessary to save his life and that dangerous weather was approaching; the Ambulance company’s insurance provider sought reimbursement for its settlement costs.</w:t>
      </w:r>
    </w:p>
    <w:p w14:paraId="1449E210" w14:textId="77777777" w:rsidR="00BC5936" w:rsidRPr="00FD6489" w:rsidRDefault="00BC5936" w:rsidP="00BC5936">
      <w:pPr>
        <w:spacing w:before="100" w:beforeAutospacing="1" w:after="100" w:afterAutospacing="1"/>
        <w:ind w:left="720"/>
        <w:rPr>
          <w:rFonts w:ascii="Times New Roman" w:hAnsi="Times New Roman"/>
          <w:sz w:val="24"/>
          <w:szCs w:val="24"/>
        </w:rPr>
      </w:pPr>
      <w:r>
        <w:rPr>
          <w:rFonts w:ascii="Times New Roman" w:hAnsi="Times New Roman"/>
          <w:sz w:val="24"/>
          <w:szCs w:val="24"/>
        </w:rPr>
        <w:t>“</w:t>
      </w:r>
      <w:r w:rsidRPr="00FD6489">
        <w:rPr>
          <w:rFonts w:ascii="Times New Roman" w:hAnsi="Times New Roman"/>
          <w:sz w:val="24"/>
          <w:szCs w:val="24"/>
        </w:rPr>
        <w:t xml:space="preserve">That Petitioner Brown was not the patient does not preclude application of the MPLA. [Medical Professional Liability Act].  In syllabus point 5 of </w:t>
      </w:r>
      <w:r w:rsidRPr="00FD6489">
        <w:rPr>
          <w:rFonts w:ascii="Times New Roman" w:hAnsi="Times New Roman"/>
          <w:i/>
          <w:iCs/>
          <w:sz w:val="24"/>
          <w:szCs w:val="24"/>
        </w:rPr>
        <w:t>Osbourne v</w:t>
      </w:r>
      <w:r w:rsidRPr="00FD6489">
        <w:rPr>
          <w:rFonts w:ascii="Times New Roman" w:hAnsi="Times New Roman"/>
          <w:sz w:val="24"/>
          <w:szCs w:val="24"/>
        </w:rPr>
        <w:t xml:space="preserve">. </w:t>
      </w:r>
      <w:r w:rsidRPr="00FD6489">
        <w:rPr>
          <w:rFonts w:ascii="Times New Roman" w:hAnsi="Times New Roman"/>
          <w:i/>
          <w:iCs/>
          <w:sz w:val="24"/>
          <w:szCs w:val="24"/>
        </w:rPr>
        <w:t>United States</w:t>
      </w:r>
      <w:r w:rsidRPr="00FD6489">
        <w:rPr>
          <w:rFonts w:ascii="Times New Roman" w:hAnsi="Times New Roman"/>
          <w:sz w:val="24"/>
          <w:szCs w:val="24"/>
        </w:rPr>
        <w:t xml:space="preserve">, 211 W. Va. 667, 567 S.E.2d 677 (2002), we held that the Act </w:t>
      </w:r>
      <w:r>
        <w:rPr>
          <w:rFonts w:ascii="Times New Roman" w:hAnsi="Times New Roman"/>
          <w:sz w:val="24"/>
          <w:szCs w:val="24"/>
        </w:rPr>
        <w:t>‘</w:t>
      </w:r>
      <w:r w:rsidRPr="00FD6489">
        <w:rPr>
          <w:rFonts w:ascii="Times New Roman" w:hAnsi="Times New Roman"/>
          <w:sz w:val="24"/>
          <w:szCs w:val="24"/>
        </w:rPr>
        <w:t>permits a third party to bring a cause of action against a health care provider for foreseeable injuries that were proximately caused by the health care provider's negligent treatment of a tortfeasor patient.</w:t>
      </w:r>
      <w:r>
        <w:rPr>
          <w:rFonts w:ascii="Times New Roman" w:hAnsi="Times New Roman"/>
          <w:sz w:val="24"/>
          <w:szCs w:val="24"/>
        </w:rPr>
        <w:t>’</w:t>
      </w:r>
      <w:r w:rsidRPr="00FD6489">
        <w:rPr>
          <w:rFonts w:ascii="Times New Roman" w:hAnsi="Times New Roman"/>
          <w:sz w:val="24"/>
          <w:szCs w:val="24"/>
        </w:rPr>
        <w:t xml:space="preserve"> In reaching this holding, we observed that, in defining </w:t>
      </w:r>
      <w:r>
        <w:rPr>
          <w:rFonts w:ascii="Times New Roman" w:hAnsi="Times New Roman"/>
          <w:sz w:val="24"/>
          <w:szCs w:val="24"/>
        </w:rPr>
        <w:t>‘</w:t>
      </w:r>
      <w:r w:rsidRPr="00FD6489">
        <w:rPr>
          <w:rFonts w:ascii="Times New Roman" w:hAnsi="Times New Roman"/>
          <w:sz w:val="24"/>
          <w:szCs w:val="24"/>
        </w:rPr>
        <w:t>medical professional liability</w:t>
      </w:r>
      <w:r>
        <w:rPr>
          <w:rFonts w:ascii="Times New Roman" w:hAnsi="Times New Roman"/>
          <w:sz w:val="24"/>
          <w:szCs w:val="24"/>
        </w:rPr>
        <w:t xml:space="preserve">.’” </w:t>
      </w:r>
      <w:hyperlink r:id="rId1023" w:history="1">
        <w:r w:rsidRPr="007344F4">
          <w:rPr>
            <w:rStyle w:val="Hyperlink"/>
            <w:sz w:val="24"/>
            <w:szCs w:val="24"/>
          </w:rPr>
          <w:t>https://casetext.com/case/brown-v-ohio-valley-health-servs-educ-corp</w:t>
        </w:r>
      </w:hyperlink>
      <w:r>
        <w:rPr>
          <w:rFonts w:ascii="Times New Roman" w:hAnsi="Times New Roman"/>
          <w:sz w:val="24"/>
          <w:szCs w:val="24"/>
        </w:rPr>
        <w:t xml:space="preserve"> </w:t>
      </w:r>
    </w:p>
    <w:p w14:paraId="71724B90" w14:textId="77777777" w:rsidR="00BC5936" w:rsidRPr="006723F9" w:rsidRDefault="00BC5936" w:rsidP="00BC5936">
      <w:pPr>
        <w:spacing w:before="100" w:beforeAutospacing="1" w:after="100" w:afterAutospacing="1"/>
        <w:rPr>
          <w:rFonts w:ascii="Times New Roman" w:eastAsia="Times New Roman" w:hAnsi="Times New Roman"/>
          <w:b/>
          <w:bCs/>
          <w:sz w:val="24"/>
          <w:szCs w:val="24"/>
        </w:rPr>
      </w:pPr>
      <w:r w:rsidRPr="006723F9">
        <w:rPr>
          <w:rFonts w:ascii="Times New Roman" w:hAnsi="Times New Roman"/>
          <w:b/>
          <w:bCs/>
          <w:sz w:val="24"/>
          <w:szCs w:val="24"/>
        </w:rPr>
        <w:t xml:space="preserve">Legal Lesson Learned:  </w:t>
      </w:r>
      <w:r>
        <w:rPr>
          <w:rFonts w:ascii="Times New Roman" w:hAnsi="Times New Roman"/>
          <w:b/>
          <w:bCs/>
          <w:sz w:val="24"/>
          <w:szCs w:val="24"/>
        </w:rPr>
        <w:t xml:space="preserve">Lawsuit dismissed since EMT and her attorney </w:t>
      </w:r>
      <w:r w:rsidRPr="006723F9">
        <w:rPr>
          <w:rFonts w:ascii="Times New Roman" w:hAnsi="Times New Roman"/>
          <w:b/>
          <w:bCs/>
          <w:sz w:val="24"/>
          <w:szCs w:val="24"/>
        </w:rPr>
        <w:t xml:space="preserve">didn’t </w:t>
      </w:r>
      <w:r>
        <w:rPr>
          <w:rFonts w:ascii="Times New Roman" w:hAnsi="Times New Roman"/>
          <w:b/>
          <w:bCs/>
          <w:sz w:val="24"/>
          <w:szCs w:val="24"/>
        </w:rPr>
        <w:t xml:space="preserve">provide the Certificate of Merit required by the Medical Professional Liability </w:t>
      </w:r>
      <w:r w:rsidRPr="006723F9">
        <w:rPr>
          <w:rFonts w:ascii="Times New Roman" w:hAnsi="Times New Roman"/>
          <w:b/>
          <w:bCs/>
          <w:sz w:val="24"/>
          <w:szCs w:val="24"/>
        </w:rPr>
        <w:t xml:space="preserve">statute. </w:t>
      </w:r>
      <w:r>
        <w:rPr>
          <w:rFonts w:ascii="Times New Roman" w:hAnsi="Times New Roman"/>
          <w:b/>
          <w:bCs/>
          <w:sz w:val="24"/>
          <w:szCs w:val="24"/>
        </w:rPr>
        <w:t xml:space="preserve"> Similar statutes can be found throughout U.S. </w:t>
      </w:r>
    </w:p>
    <w:p w14:paraId="48C9C5A7" w14:textId="77777777" w:rsidR="00BC5936" w:rsidRDefault="00BC5936" w:rsidP="00BC5936">
      <w:pPr>
        <w:spacing w:before="100" w:beforeAutospacing="1" w:after="100" w:afterAutospacing="1"/>
        <w:ind w:left="720"/>
        <w:rPr>
          <w:rFonts w:ascii="Times New Roman" w:hAnsi="Times New Roman"/>
          <w:sz w:val="24"/>
          <w:szCs w:val="24"/>
        </w:rPr>
      </w:pPr>
      <w:r>
        <w:rPr>
          <w:rFonts w:ascii="Times New Roman" w:eastAsia="Times New Roman" w:hAnsi="Times New Roman"/>
          <w:sz w:val="24"/>
          <w:szCs w:val="24"/>
        </w:rPr>
        <w:t>Note: See this article on the roll over.</w:t>
      </w:r>
    </w:p>
    <w:p w14:paraId="7FB078B2" w14:textId="77777777" w:rsidR="00BC5936" w:rsidRPr="006C56B5" w:rsidRDefault="00BC5936" w:rsidP="00BC5936">
      <w:pPr>
        <w:ind w:left="720"/>
        <w:rPr>
          <w:rFonts w:ascii="Times New Roman" w:hAnsi="Times New Roman"/>
          <w:sz w:val="24"/>
          <w:szCs w:val="24"/>
        </w:rPr>
      </w:pPr>
      <w:r w:rsidRPr="006C56B5">
        <w:rPr>
          <w:rFonts w:ascii="Times New Roman" w:hAnsi="Times New Roman"/>
          <w:b/>
          <w:bCs/>
          <w:sz w:val="24"/>
          <w:szCs w:val="24"/>
        </w:rPr>
        <w:t>Two Dead After Ambulance Rollover</w:t>
      </w:r>
      <w:r>
        <w:rPr>
          <w:rFonts w:ascii="Times New Roman" w:hAnsi="Times New Roman"/>
          <w:sz w:val="24"/>
          <w:szCs w:val="24"/>
        </w:rPr>
        <w:t xml:space="preserve"> (Dec. 17, 2016): </w:t>
      </w:r>
      <w:hyperlink r:id="rId1024" w:history="1">
        <w:r w:rsidRPr="006C56B5">
          <w:rPr>
            <w:rStyle w:val="Hyperlink"/>
            <w:sz w:val="24"/>
            <w:szCs w:val="24"/>
          </w:rPr>
          <w:t>https://www.zanesvilletimesrecorder.com/story/news/local/2016/12/17/two-dead-after-ambulance-rollover/95557626/</w:t>
        </w:r>
      </w:hyperlink>
      <w:r w:rsidRPr="006C56B5">
        <w:rPr>
          <w:rFonts w:ascii="Times New Roman" w:hAnsi="Times New Roman"/>
          <w:sz w:val="24"/>
          <w:szCs w:val="24"/>
        </w:rPr>
        <w:t xml:space="preserve"> </w:t>
      </w:r>
    </w:p>
    <w:p w14:paraId="30134D7C" w14:textId="77777777" w:rsidR="00BC5936" w:rsidRPr="006C56B5" w:rsidRDefault="00BC5936" w:rsidP="00BC5936">
      <w:pPr>
        <w:ind w:left="1440"/>
        <w:rPr>
          <w:rFonts w:ascii="Times New Roman" w:hAnsi="Times New Roman"/>
          <w:sz w:val="24"/>
          <w:szCs w:val="24"/>
        </w:rPr>
      </w:pPr>
      <w:r w:rsidRPr="006C56B5">
        <w:rPr>
          <w:rFonts w:ascii="Times New Roman" w:hAnsi="Times New Roman"/>
          <w:sz w:val="24"/>
          <w:szCs w:val="24"/>
        </w:rPr>
        <w:t>CAMBRIDGE, OH- Two people died early Saturday morning after an ambulance lost control and overturned several times, according to a release from the Cambridge Post of the Ohio Highway Patrol.</w:t>
      </w:r>
    </w:p>
    <w:p w14:paraId="6F905B98" w14:textId="77777777" w:rsidR="00BC5936" w:rsidRDefault="00BC5936" w:rsidP="00BC5936">
      <w:pPr>
        <w:pStyle w:val="gntarbp"/>
        <w:ind w:left="1440"/>
      </w:pPr>
      <w:r>
        <w:t>According to the release, shortly after 2 a.m. an ambulance, registered to Tri State Ambulance, was transporting a patient on I-70 westbound near milepost 176 when it lost control, drove off the left edge of the interstate and overturned multiple times.</w:t>
      </w:r>
    </w:p>
    <w:p w14:paraId="1016D659" w14:textId="77777777" w:rsidR="00BC5936" w:rsidRDefault="00BC5936" w:rsidP="00BC5936">
      <w:pPr>
        <w:pStyle w:val="gntarbp"/>
        <w:ind w:left="1440"/>
      </w:pPr>
      <w:r>
        <w:t>At the time of the crash, a patient and four emergency medical personnel were in the ambulance. A patient and one of the emergency personnel, both in the patient care area of the ambulance, were killed in the crash. The three other emergency personnel sustained minor injuries, which were treated at Southeastern Medical Center.</w:t>
      </w:r>
    </w:p>
    <w:p w14:paraId="5729DF2F" w14:textId="77777777" w:rsidR="00BC5936" w:rsidRPr="006C56B5" w:rsidRDefault="00BC5936" w:rsidP="00BC5936">
      <w:pPr>
        <w:pStyle w:val="gntarbp"/>
        <w:ind w:left="1440"/>
      </w:pPr>
      <w:r>
        <w:t xml:space="preserve">Killed in the crash were the patient, Dennis Calvert, 64, of Wheeling West Virginia, and emergency personnel Charles McMahan, 39, of New Matamoras. Injured in the crash </w:t>
      </w:r>
      <w:proofErr w:type="gramStart"/>
      <w:r>
        <w:t>were the driver,</w:t>
      </w:r>
      <w:proofErr w:type="gramEnd"/>
      <w:r>
        <w:t xml:space="preserve"> Crystal Brown, 33</w:t>
      </w:r>
      <w:proofErr w:type="gramStart"/>
      <w:r>
        <w:t>, of</w:t>
      </w:r>
      <w:proofErr w:type="gramEnd"/>
      <w:r>
        <w:t xml:space="preserve"> Proctor, West Virginia, passengers Jennifer Rothwell, 32, of Wheeling, West Virginia, and Randi Watson, 37, of Glen Easton, West Virginia.</w:t>
      </w:r>
    </w:p>
    <w:p w14:paraId="7C63F985" w14:textId="77777777" w:rsidR="00BC5936" w:rsidRPr="00D1078B" w:rsidRDefault="00BC5936" w:rsidP="00BC5936">
      <w:pPr>
        <w:spacing w:before="100" w:beforeAutospacing="1" w:after="100" w:afterAutospacing="1"/>
        <w:ind w:left="720"/>
        <w:rPr>
          <w:rFonts w:ascii="Times New Roman" w:hAnsi="Times New Roman"/>
          <w:sz w:val="24"/>
          <w:szCs w:val="24"/>
        </w:rPr>
      </w:pPr>
      <w:r w:rsidRPr="00D1078B">
        <w:rPr>
          <w:rFonts w:ascii="Times New Roman" w:hAnsi="Times New Roman"/>
          <w:sz w:val="24"/>
          <w:szCs w:val="24"/>
        </w:rPr>
        <w:t xml:space="preserve">The West Virginia </w:t>
      </w:r>
      <w:r w:rsidRPr="00FD6489">
        <w:rPr>
          <w:rFonts w:ascii="Times New Roman" w:hAnsi="Times New Roman"/>
          <w:sz w:val="24"/>
          <w:szCs w:val="24"/>
        </w:rPr>
        <w:t>Medical Professional Liability Act</w:t>
      </w:r>
      <w:r>
        <w:rPr>
          <w:rFonts w:ascii="Times New Roman" w:hAnsi="Times New Roman"/>
          <w:sz w:val="24"/>
          <w:szCs w:val="24"/>
        </w:rPr>
        <w:t xml:space="preserve"> provides: </w:t>
      </w:r>
      <w:hyperlink r:id="rId1025" w:history="1">
        <w:r w:rsidRPr="00C15479">
          <w:rPr>
            <w:rStyle w:val="Hyperlink"/>
            <w:sz w:val="24"/>
            <w:szCs w:val="24"/>
          </w:rPr>
          <w:t>https://law.justia.com/codes/west-virginia/2017/chapter-55/article-7b/section-55-7b-6/</w:t>
        </w:r>
      </w:hyperlink>
    </w:p>
    <w:p w14:paraId="22684F4A" w14:textId="77777777" w:rsidR="00BC5936" w:rsidRPr="002F193B" w:rsidRDefault="00BC5936" w:rsidP="00BC5936">
      <w:pPr>
        <w:spacing w:before="100" w:beforeAutospacing="1" w:after="100" w:afterAutospacing="1"/>
        <w:ind w:left="1440"/>
        <w:rPr>
          <w:rFonts w:ascii="Times New Roman" w:eastAsia="Times New Roman" w:hAnsi="Times New Roman"/>
          <w:sz w:val="24"/>
          <w:szCs w:val="24"/>
        </w:rPr>
      </w:pPr>
      <w:r>
        <w:rPr>
          <w:rFonts w:ascii="Times New Roman" w:hAnsi="Times New Roman"/>
          <w:sz w:val="24"/>
          <w:szCs w:val="24"/>
        </w:rPr>
        <w:t>“</w:t>
      </w:r>
      <w:r w:rsidRPr="00D1078B">
        <w:rPr>
          <w:rFonts w:ascii="Times New Roman" w:hAnsi="Times New Roman"/>
          <w:sz w:val="24"/>
          <w:szCs w:val="24"/>
        </w:rPr>
        <w:t xml:space="preserve">(b) At least thirty days prior to the filing of a medical professional liability action against a health care provider, the claimant shall serve by certified mail, return receipt requested, a notice of claim on each health care provider the claimant will join in litigation. The notice of claim shall include a statement of the theory or theories of liability upon which a cause of action may be based, and a list of all health care providers and health care facilities to whom notices of claim are being sent, together with a screening certificate of merit. The screening certificate of merit shall be executed under oath by a health care provider qualified as an expert under the West Virginia rules of evidence and shall state with particularity: (1) The expert’s familiarity with the applicable standard of care in issue; (2) the expert’s qualifications; (3) the expert’s opinion as to how the applicable standard of care was breached; and (4) the expert’s opinion as to how the breach of the applicable standard of care resulted in injury or death. A separate screening certificate of merit must be provided for each health care provider against whom a claim is asserted. The person signing the screening certificate of merit shall have no financial interest in the underlying </w:t>
      </w:r>
      <w:proofErr w:type="gramStart"/>
      <w:r w:rsidRPr="00D1078B">
        <w:rPr>
          <w:rFonts w:ascii="Times New Roman" w:hAnsi="Times New Roman"/>
          <w:sz w:val="24"/>
          <w:szCs w:val="24"/>
        </w:rPr>
        <w:t>claim, but</w:t>
      </w:r>
      <w:proofErr w:type="gramEnd"/>
      <w:r w:rsidRPr="00D1078B">
        <w:rPr>
          <w:rFonts w:ascii="Times New Roman" w:hAnsi="Times New Roman"/>
          <w:sz w:val="24"/>
          <w:szCs w:val="24"/>
        </w:rPr>
        <w:t xml:space="preserve"> may participate as an expert witness in any judicial proceeding. Nothing in this subsection may be construed to limit the application of Rule 15 of the Rules of Civil Procedure.</w:t>
      </w:r>
    </w:p>
    <w:p w14:paraId="4AB69B2A" w14:textId="77777777" w:rsidR="00BC5936" w:rsidRDefault="00BC5936" w:rsidP="00EF1133">
      <w:pPr>
        <w:rPr>
          <w:rFonts w:ascii="Arial Black" w:hAnsi="Arial Black"/>
          <w:b/>
          <w:sz w:val="24"/>
          <w:szCs w:val="24"/>
        </w:rPr>
      </w:pPr>
    </w:p>
    <w:p w14:paraId="6158793C" w14:textId="77777777" w:rsidR="00BC5936" w:rsidRDefault="00BC5936" w:rsidP="00EF1133">
      <w:pPr>
        <w:rPr>
          <w:rFonts w:ascii="Arial Black" w:hAnsi="Arial Black"/>
          <w:b/>
          <w:sz w:val="24"/>
          <w:szCs w:val="24"/>
        </w:rPr>
      </w:pPr>
    </w:p>
    <w:p w14:paraId="0CBA9DB3" w14:textId="2D1031EF" w:rsidR="00CD5950" w:rsidRDefault="00CD5950" w:rsidP="00EF1133">
      <w:pPr>
        <w:rPr>
          <w:rFonts w:ascii="Arial Black" w:hAnsi="Arial Black"/>
          <w:b/>
          <w:sz w:val="24"/>
          <w:szCs w:val="24"/>
        </w:rPr>
      </w:pPr>
      <w:r>
        <w:rPr>
          <w:rFonts w:ascii="Arial Black" w:hAnsi="Arial Black"/>
          <w:b/>
          <w:sz w:val="24"/>
          <w:szCs w:val="24"/>
        </w:rPr>
        <w:t>5-20</w:t>
      </w:r>
    </w:p>
    <w:p w14:paraId="0671D53F" w14:textId="77777777" w:rsidR="00CD5950" w:rsidRPr="00781094" w:rsidRDefault="00CD5950" w:rsidP="00CD5950">
      <w:pPr>
        <w:pStyle w:val="NoSpacing"/>
        <w:rPr>
          <w:rFonts w:ascii="Arial Black" w:hAnsi="Arial Black"/>
          <w:sz w:val="28"/>
          <w:szCs w:val="28"/>
        </w:rPr>
      </w:pPr>
      <w:r>
        <w:rPr>
          <w:rFonts w:ascii="Arial Black" w:hAnsi="Arial Black"/>
          <w:sz w:val="28"/>
          <w:szCs w:val="28"/>
        </w:rPr>
        <w:t>MS:  VOL. FF IN ACCIDENT ON CALL – QUALIFIED IMMUNITY WAVED SINCE HIS ATTORNEY DIDN’T RAISE 14 MONTHS</w:t>
      </w:r>
    </w:p>
    <w:p w14:paraId="580E97DE" w14:textId="77777777" w:rsidR="00CD5950" w:rsidRDefault="00CD5950" w:rsidP="00CD595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22, 2021, in </w:t>
      </w:r>
      <w:r w:rsidRPr="00781094">
        <w:rPr>
          <w:rFonts w:ascii="Times New Roman" w:eastAsia="Times New Roman" w:hAnsi="Times New Roman"/>
          <w:sz w:val="24"/>
          <w:szCs w:val="24"/>
          <w:u w:val="single"/>
        </w:rPr>
        <w:t>Brenda Cook v. Amos Taylor</w:t>
      </w:r>
      <w:r>
        <w:rPr>
          <w:rFonts w:ascii="Times New Roman" w:eastAsia="Times New Roman" w:hAnsi="Times New Roman"/>
          <w:sz w:val="24"/>
          <w:szCs w:val="24"/>
        </w:rPr>
        <w:t xml:space="preserve">, the Court of Appeals of the State of Mississippi, held (6 to 1) that the trial judge improperly granted summary judgment to the volunteer firefighter, finding that his attorney “waved” the statutory defense by not asserting it in his answer to the complaint, or for 14 months of pre-trial discovery. </w:t>
      </w:r>
    </w:p>
    <w:p w14:paraId="42E51283" w14:textId="77777777" w:rsidR="00CD5950" w:rsidRDefault="00CD5950" w:rsidP="00CD5950">
      <w:pPr>
        <w:pStyle w:val="NormalWeb"/>
        <w:ind w:left="720"/>
      </w:pPr>
      <w:r>
        <w:t>“Under the MTCA [Mississippi Tort Claims Act], a governmental employee is entitled to qualified immunity if, while engaged in ‘activities relating to . . . fire protection,’ he did not act ‘in reckless disregard of the safety and well-being of any person’ while engaged in those activities. Miss. Code Ann. § 11-46-9(1)(c).</w:t>
      </w:r>
      <w:hyperlink r:id="rId1026" w:anchor="fr1" w:history="1">
        <w:r>
          <w:rPr>
            <w:rStyle w:val="Hyperlink"/>
            <w:sz w:val="20"/>
            <w:szCs w:val="20"/>
            <w:vertAlign w:val="superscript"/>
          </w:rPr>
          <w:t>1</w:t>
        </w:r>
      </w:hyperlink>
      <w:r>
        <w:t xml:space="preserve"> The MTCA defines ‘employee[s]’ to include ‘firefighters who are members of a volunteer fire department that is a political subdivision,’ Miss. Code Ann. § 11-46-1(f) (Supp. 2017), and it defines ‘political subdivision’ to include a ‘volunteer fire department that is a chartered nonprofit corporation providing emergency services under contract with a county or municipality.’ Miss. Code Ann. § 11-46-1(</w:t>
      </w:r>
      <w:proofErr w:type="spellStart"/>
      <w:r>
        <w:t>i</w:t>
      </w:r>
      <w:proofErr w:type="spellEnd"/>
      <w:r>
        <w:t>).</w:t>
      </w:r>
    </w:p>
    <w:p w14:paraId="690416E3" w14:textId="77777777" w:rsidR="00CD5950" w:rsidRDefault="00CD5950" w:rsidP="00CD5950">
      <w:pPr>
        <w:pStyle w:val="NormalWeb"/>
        <w:ind w:left="720"/>
      </w:pPr>
      <w:r>
        <w:t>***</w:t>
      </w:r>
    </w:p>
    <w:p w14:paraId="5CEEE080" w14:textId="77777777" w:rsidR="00CD5950" w:rsidRPr="00781094" w:rsidRDefault="00CD5950" w:rsidP="00CD5950">
      <w:pPr>
        <w:spacing w:before="100" w:beforeAutospacing="1" w:after="100" w:afterAutospacing="1" w:line="240" w:lineRule="auto"/>
        <w:ind w:left="720"/>
        <w:rPr>
          <w:rFonts w:ascii="Times New Roman" w:eastAsia="Times New Roman" w:hAnsi="Times New Roman"/>
          <w:sz w:val="24"/>
          <w:szCs w:val="24"/>
        </w:rPr>
      </w:pPr>
      <w:r w:rsidRPr="00AB7084">
        <w:rPr>
          <w:rFonts w:ascii="Times New Roman" w:hAnsi="Times New Roman"/>
          <w:sz w:val="24"/>
          <w:szCs w:val="24"/>
        </w:rPr>
        <w:t xml:space="preserve">For the reasons stated, we therefore find that the circuit court abused its discretion by implicitly allowing Taylor to amend his answer when it proceeded to grant Taylor's motion for summary judgment based upon a qualified immunity defense. </w:t>
      </w:r>
      <w:proofErr w:type="gramStart"/>
      <w:r w:rsidRPr="00AB7084">
        <w:rPr>
          <w:rFonts w:ascii="Times New Roman" w:hAnsi="Times New Roman"/>
          <w:sz w:val="24"/>
          <w:szCs w:val="24"/>
        </w:rPr>
        <w:t>We further</w:t>
      </w:r>
      <w:proofErr w:type="gramEnd"/>
      <w:r w:rsidRPr="00AB7084">
        <w:rPr>
          <w:rFonts w:ascii="Times New Roman" w:hAnsi="Times New Roman"/>
          <w:sz w:val="24"/>
          <w:szCs w:val="24"/>
        </w:rPr>
        <w:t xml:space="preserve"> find that Taylor waived his qualified immunity affirmative defense as a matter of law. Accordingly, the circuit court's judgment is reversed, and this case is remanded for further proceedings on Cook's negligence and negligence per se complaint against Taylor.</w:t>
      </w:r>
      <w:r>
        <w:rPr>
          <w:rFonts w:ascii="Times New Roman" w:hAnsi="Times New Roman"/>
          <w:sz w:val="24"/>
          <w:szCs w:val="24"/>
        </w:rPr>
        <w:t xml:space="preserve">” </w:t>
      </w:r>
      <w:hyperlink r:id="rId1027" w:history="1">
        <w:r w:rsidRPr="00EA374E">
          <w:rPr>
            <w:rStyle w:val="Hyperlink"/>
            <w:rFonts w:ascii="Times New Roman" w:hAnsi="Times New Roman"/>
            <w:sz w:val="24"/>
            <w:szCs w:val="24"/>
          </w:rPr>
          <w:t>https://law.justia.com/cases/mississippi/court-of-appeals/2021/2019-ca-01406-coa.html</w:t>
        </w:r>
      </w:hyperlink>
      <w:r>
        <w:rPr>
          <w:rFonts w:ascii="Times New Roman" w:hAnsi="Times New Roman"/>
          <w:sz w:val="24"/>
          <w:szCs w:val="24"/>
        </w:rPr>
        <w:t xml:space="preserve"> </w:t>
      </w:r>
    </w:p>
    <w:p w14:paraId="0DE8A90B" w14:textId="4B25262C" w:rsidR="00CD5950" w:rsidRPr="00AB7084" w:rsidRDefault="00CD5950" w:rsidP="00CD5950">
      <w:pPr>
        <w:spacing w:before="100" w:beforeAutospacing="1" w:after="100" w:afterAutospacing="1" w:line="240" w:lineRule="auto"/>
        <w:rPr>
          <w:rFonts w:ascii="Times New Roman" w:eastAsia="Times New Roman" w:hAnsi="Times New Roman"/>
          <w:b/>
          <w:bCs/>
          <w:sz w:val="24"/>
          <w:szCs w:val="24"/>
        </w:rPr>
      </w:pPr>
      <w:bookmarkStart w:id="196" w:name="_Hlk65910959"/>
      <w:r w:rsidRPr="00326FC0">
        <w:rPr>
          <w:rFonts w:ascii="Times New Roman" w:hAnsi="Times New Roman"/>
          <w:b/>
          <w:bCs/>
          <w:sz w:val="24"/>
          <w:szCs w:val="24"/>
        </w:rPr>
        <w:t xml:space="preserve">Legal Lesson Learned:  Qualified immunity is an “affirmative defense” and should normally be asserted early in the litigation process, </w:t>
      </w:r>
      <w:r>
        <w:rPr>
          <w:rFonts w:ascii="Times New Roman" w:hAnsi="Times New Roman"/>
          <w:b/>
          <w:bCs/>
          <w:sz w:val="24"/>
          <w:szCs w:val="24"/>
        </w:rPr>
        <w:t xml:space="preserve">and if lawsuit not dismissed, in many jurisdictions FF can take an immediate appeal. </w:t>
      </w:r>
    </w:p>
    <w:bookmarkEnd w:id="196"/>
    <w:p w14:paraId="358690E8" w14:textId="77777777" w:rsidR="00CD5950" w:rsidRDefault="00CD5950" w:rsidP="00EF1133">
      <w:pPr>
        <w:rPr>
          <w:rFonts w:ascii="Arial Black" w:hAnsi="Arial Black"/>
          <w:b/>
          <w:sz w:val="24"/>
          <w:szCs w:val="24"/>
        </w:rPr>
      </w:pPr>
    </w:p>
    <w:p w14:paraId="3DA01B9B" w14:textId="77777777" w:rsidR="00CD5950" w:rsidRDefault="00CD5950" w:rsidP="00EF1133">
      <w:pPr>
        <w:rPr>
          <w:rFonts w:ascii="Arial Black" w:hAnsi="Arial Black"/>
          <w:b/>
          <w:sz w:val="24"/>
          <w:szCs w:val="24"/>
        </w:rPr>
      </w:pPr>
    </w:p>
    <w:p w14:paraId="0C208D9F" w14:textId="77777777" w:rsidR="00CD5950" w:rsidRDefault="00CD5950" w:rsidP="00EF1133">
      <w:pPr>
        <w:rPr>
          <w:rFonts w:ascii="Arial Black" w:hAnsi="Arial Black"/>
          <w:b/>
          <w:sz w:val="24"/>
          <w:szCs w:val="24"/>
        </w:rPr>
      </w:pPr>
    </w:p>
    <w:p w14:paraId="1205991C" w14:textId="424FD80F" w:rsidR="007D178F" w:rsidRDefault="007D178F" w:rsidP="00EF1133">
      <w:pPr>
        <w:rPr>
          <w:rFonts w:ascii="Arial Black" w:hAnsi="Arial Black"/>
          <w:b/>
          <w:sz w:val="24"/>
          <w:szCs w:val="24"/>
        </w:rPr>
      </w:pPr>
      <w:r>
        <w:rPr>
          <w:rFonts w:ascii="Arial Black" w:hAnsi="Arial Black"/>
          <w:b/>
          <w:sz w:val="24"/>
          <w:szCs w:val="24"/>
        </w:rPr>
        <w:t>5-19</w:t>
      </w:r>
    </w:p>
    <w:p w14:paraId="7970F4F1" w14:textId="77777777" w:rsidR="009E093C" w:rsidRPr="003E79B9" w:rsidRDefault="009E093C" w:rsidP="009E093C">
      <w:pPr>
        <w:pStyle w:val="NoSpacing"/>
        <w:rPr>
          <w:rFonts w:ascii="Arial Black" w:hAnsi="Arial Black"/>
          <w:sz w:val="28"/>
          <w:szCs w:val="28"/>
        </w:rPr>
      </w:pPr>
      <w:r>
        <w:rPr>
          <w:rFonts w:ascii="Arial Black" w:hAnsi="Arial Black"/>
          <w:sz w:val="28"/>
          <w:szCs w:val="28"/>
        </w:rPr>
        <w:t xml:space="preserve">MI: NON-EMERGENCY TRANSPORT – BLACK ICE, AMBULANCE ROLLED OVER DITCH – NO IMMUNITY, NON-EMERGENCY </w:t>
      </w:r>
    </w:p>
    <w:p w14:paraId="490D9070" w14:textId="77777777" w:rsidR="009E093C" w:rsidRDefault="009E093C" w:rsidP="009E093C">
      <w:pPr>
        <w:rPr>
          <w:rFonts w:ascii="Times New Roman" w:hAnsi="Times New Roman"/>
          <w:sz w:val="24"/>
          <w:szCs w:val="24"/>
        </w:rPr>
      </w:pPr>
    </w:p>
    <w:p w14:paraId="1022DADD" w14:textId="3CF61EEF" w:rsidR="009E093C" w:rsidRDefault="009E093C" w:rsidP="009E093C">
      <w:pPr>
        <w:rPr>
          <w:rFonts w:ascii="Times New Roman" w:hAnsi="Times New Roman"/>
          <w:sz w:val="24"/>
          <w:szCs w:val="24"/>
        </w:rPr>
      </w:pPr>
      <w:r>
        <w:rPr>
          <w:rFonts w:ascii="Times New Roman" w:hAnsi="Times New Roman"/>
          <w:sz w:val="24"/>
          <w:szCs w:val="24"/>
        </w:rPr>
        <w:t xml:space="preserve">On Nov. 24, 2020, in </w:t>
      </w:r>
      <w:r w:rsidRPr="003E79B9">
        <w:rPr>
          <w:rFonts w:ascii="Times New Roman" w:hAnsi="Times New Roman"/>
          <w:sz w:val="24"/>
          <w:szCs w:val="24"/>
          <w:u w:val="single"/>
        </w:rPr>
        <w:t>Charles C. Willis v. Community Emergency Medical Service, Inc. and Eric J. Norris</w:t>
      </w:r>
      <w:r>
        <w:rPr>
          <w:rFonts w:ascii="Times New Roman" w:hAnsi="Times New Roman"/>
          <w:sz w:val="24"/>
          <w:szCs w:val="24"/>
        </w:rPr>
        <w:t xml:space="preserve">, the State of Michigan Court of Appeals, held (3 to 0; unpublished decision) that lawsuit against the ambulance company and the EMT driver is reinstated, overturning trial judge’s decision that there were no material facts showing negligence.  The Court of Appeals found that there is a dispute whether EMT was driving too fast for weather conditions, with </w:t>
      </w:r>
      <w:r w:rsidRPr="00BF69CF">
        <w:rPr>
          <w:rFonts w:ascii="Times New Roman" w:hAnsi="Times New Roman"/>
          <w:sz w:val="24"/>
          <w:szCs w:val="24"/>
        </w:rPr>
        <w:t>ice on the ground and a mix of rain, snow, and sleet</w:t>
      </w:r>
      <w:r>
        <w:rPr>
          <w:rFonts w:ascii="Times New Roman" w:hAnsi="Times New Roman"/>
          <w:sz w:val="24"/>
          <w:szCs w:val="24"/>
        </w:rPr>
        <w:t xml:space="preserve">; Court also held the immunity statute for EMS does not apply to non-emergency </w:t>
      </w:r>
      <w:proofErr w:type="gramStart"/>
      <w:r>
        <w:rPr>
          <w:rFonts w:ascii="Times New Roman" w:hAnsi="Times New Roman"/>
          <w:sz w:val="24"/>
          <w:szCs w:val="24"/>
        </w:rPr>
        <w:t>transports</w:t>
      </w:r>
      <w:proofErr w:type="gramEnd"/>
      <w:r>
        <w:rPr>
          <w:rFonts w:ascii="Times New Roman" w:hAnsi="Times New Roman"/>
          <w:sz w:val="24"/>
          <w:szCs w:val="24"/>
        </w:rPr>
        <w:t xml:space="preserve">. </w:t>
      </w:r>
    </w:p>
    <w:p w14:paraId="24330A5B" w14:textId="77777777" w:rsidR="009E093C" w:rsidRDefault="009E093C" w:rsidP="009E093C">
      <w:pPr>
        <w:ind w:left="720"/>
        <w:rPr>
          <w:rFonts w:ascii="Times New Roman" w:hAnsi="Times New Roman"/>
          <w:sz w:val="24"/>
          <w:szCs w:val="24"/>
        </w:rPr>
      </w:pPr>
      <w:r>
        <w:rPr>
          <w:rFonts w:ascii="Times New Roman" w:hAnsi="Times New Roman"/>
          <w:sz w:val="24"/>
          <w:szCs w:val="24"/>
        </w:rPr>
        <w:t>“[W]</w:t>
      </w:r>
      <w:r w:rsidRPr="003B03E6">
        <w:rPr>
          <w:rFonts w:ascii="Times New Roman" w:hAnsi="Times New Roman"/>
          <w:sz w:val="24"/>
          <w:szCs w:val="24"/>
        </w:rPr>
        <w:t>e conclude that the trial court erred in granting defendants' motion for summary disposition pursuant to MCR 2.116(C)(10). Specifically, the trial court erred by failing to view the evidence in the light most favorable to plaintiff and to draw all reasonable inferences in his favor, and by weighing credibility. Plaintiff may not be able to establish his claim for negligence ultimately, but he has at least raised a genuine issue of material fact regarding whether the accident at issue occurred because Norris was negligent by driving too fast for the weather conditions. Accordingly, we reverse that portion of the trial court's order granting defendants' motion for summary disposition pursuant to MCR 2.116(C)(10).</w:t>
      </w:r>
      <w:r>
        <w:rPr>
          <w:rFonts w:ascii="Times New Roman" w:hAnsi="Times New Roman"/>
          <w:sz w:val="24"/>
          <w:szCs w:val="24"/>
        </w:rPr>
        <w:t xml:space="preserve">” </w:t>
      </w:r>
      <w:hyperlink r:id="rId1028" w:history="1">
        <w:r w:rsidRPr="00D35A04">
          <w:rPr>
            <w:rStyle w:val="Hyperlink"/>
            <w:rFonts w:ascii="Times New Roman" w:hAnsi="Times New Roman"/>
            <w:sz w:val="24"/>
            <w:szCs w:val="24"/>
          </w:rPr>
          <w:t>https://law.justia.com/cases/michigan/court-of-appeals-unpublished/2020/351871.html</w:t>
        </w:r>
      </w:hyperlink>
      <w:r>
        <w:rPr>
          <w:rFonts w:ascii="Times New Roman" w:hAnsi="Times New Roman"/>
          <w:sz w:val="24"/>
          <w:szCs w:val="24"/>
        </w:rPr>
        <w:t xml:space="preserve"> </w:t>
      </w:r>
    </w:p>
    <w:p w14:paraId="2B4B66AE" w14:textId="77777777" w:rsidR="009E093C" w:rsidRPr="003404A7" w:rsidRDefault="009E093C" w:rsidP="009E093C">
      <w:pPr>
        <w:pStyle w:val="NoSpacing"/>
        <w:rPr>
          <w:rFonts w:ascii="Times New Roman" w:hAnsi="Times New Roman"/>
          <w:b/>
          <w:bCs/>
          <w:sz w:val="24"/>
          <w:szCs w:val="24"/>
        </w:rPr>
      </w:pPr>
      <w:r w:rsidRPr="003404A7">
        <w:rPr>
          <w:rFonts w:ascii="Times New Roman" w:hAnsi="Times New Roman"/>
          <w:b/>
          <w:bCs/>
          <w:sz w:val="24"/>
          <w:szCs w:val="24"/>
        </w:rPr>
        <w:t>Legal Lesson Learned:</w:t>
      </w:r>
      <w:r>
        <w:rPr>
          <w:rFonts w:ascii="Times New Roman" w:hAnsi="Times New Roman"/>
          <w:b/>
          <w:bCs/>
          <w:sz w:val="24"/>
          <w:szCs w:val="24"/>
        </w:rPr>
        <w:t xml:space="preserve"> The state’s immunity statute protects EMS only for “treatment” of a patient. </w:t>
      </w:r>
    </w:p>
    <w:p w14:paraId="4DCAD598" w14:textId="77777777" w:rsidR="009E093C" w:rsidRDefault="009E093C" w:rsidP="00EF1133">
      <w:pPr>
        <w:rPr>
          <w:rFonts w:ascii="Arial Black" w:hAnsi="Arial Black"/>
          <w:b/>
          <w:sz w:val="24"/>
          <w:szCs w:val="24"/>
        </w:rPr>
      </w:pPr>
    </w:p>
    <w:p w14:paraId="61AF6354" w14:textId="77777777" w:rsidR="007D178F" w:rsidRDefault="007D178F" w:rsidP="00EF1133">
      <w:pPr>
        <w:rPr>
          <w:rFonts w:ascii="Arial Black" w:hAnsi="Arial Black"/>
          <w:b/>
          <w:sz w:val="24"/>
          <w:szCs w:val="24"/>
        </w:rPr>
      </w:pPr>
    </w:p>
    <w:p w14:paraId="6E55ED21" w14:textId="7BCF7B05" w:rsidR="007D178F" w:rsidRDefault="007D178F" w:rsidP="00EF1133">
      <w:pPr>
        <w:rPr>
          <w:rFonts w:ascii="Arial Black" w:hAnsi="Arial Black"/>
          <w:b/>
          <w:sz w:val="24"/>
          <w:szCs w:val="24"/>
        </w:rPr>
      </w:pPr>
      <w:r>
        <w:rPr>
          <w:rFonts w:ascii="Arial Black" w:hAnsi="Arial Black"/>
          <w:b/>
          <w:sz w:val="24"/>
          <w:szCs w:val="24"/>
        </w:rPr>
        <w:t>5-18</w:t>
      </w:r>
    </w:p>
    <w:p w14:paraId="3ED15AF1" w14:textId="77777777" w:rsidR="007D178F" w:rsidRDefault="007D178F" w:rsidP="007D178F">
      <w:pPr>
        <w:pStyle w:val="NoSpacing"/>
        <w:rPr>
          <w:rFonts w:ascii="Arial Black" w:hAnsi="Arial Black"/>
          <w:sz w:val="28"/>
          <w:szCs w:val="28"/>
        </w:rPr>
      </w:pPr>
      <w:bookmarkStart w:id="197" w:name="_Hlk66946467"/>
      <w:r>
        <w:rPr>
          <w:rFonts w:ascii="Arial Black" w:hAnsi="Arial Black"/>
          <w:sz w:val="28"/>
          <w:szCs w:val="28"/>
        </w:rPr>
        <w:t>TX: AMBULANCE LEFT RUNNING AT SCENE – STOLEN, INJURED MOTORISTS – ANTI-THEFT DEVICE NOT REQUIRED – NO CASE</w:t>
      </w:r>
    </w:p>
    <w:p w14:paraId="009AB070" w14:textId="77777777" w:rsidR="007D178F" w:rsidRDefault="007D178F" w:rsidP="007D178F">
      <w:pPr>
        <w:pStyle w:val="NoSpacing"/>
        <w:rPr>
          <w:rFonts w:ascii="Arial Black" w:hAnsi="Arial Black"/>
          <w:sz w:val="28"/>
          <w:szCs w:val="28"/>
        </w:rPr>
      </w:pPr>
    </w:p>
    <w:p w14:paraId="496F66D8" w14:textId="77777777" w:rsidR="007D178F" w:rsidRDefault="007D178F" w:rsidP="007D178F">
      <w:pPr>
        <w:rPr>
          <w:rFonts w:ascii="Times New Roman" w:hAnsi="Times New Roman"/>
          <w:sz w:val="24"/>
          <w:szCs w:val="24"/>
        </w:rPr>
      </w:pPr>
      <w:r>
        <w:rPr>
          <w:rFonts w:ascii="Times New Roman" w:hAnsi="Times New Roman"/>
          <w:sz w:val="24"/>
          <w:szCs w:val="24"/>
        </w:rPr>
        <w:t xml:space="preserve">On Nov. 25, 2020, in </w:t>
      </w:r>
      <w:r w:rsidRPr="007F700A">
        <w:rPr>
          <w:rFonts w:ascii="Times New Roman" w:hAnsi="Times New Roman"/>
          <w:sz w:val="24"/>
          <w:szCs w:val="24"/>
          <w:u w:val="single"/>
        </w:rPr>
        <w:t>The City of San Antonio v. Suzanne L. Smith and Claudia Acevedo</w:t>
      </w:r>
      <w:r>
        <w:rPr>
          <w:rFonts w:ascii="Times New Roman" w:hAnsi="Times New Roman"/>
          <w:sz w:val="24"/>
          <w:szCs w:val="24"/>
        </w:rPr>
        <w:t xml:space="preserve">, the Fourth Court of Appeals, San Antonio held (3 to 0) that the trial court should have dismissed the lawsuit against the City; while an anti-theft device may be helpful when leaving an ambulance running at 3 am, the City enjoys government immunity.  The plaintiffs </w:t>
      </w:r>
      <w:proofErr w:type="gramStart"/>
      <w:r>
        <w:rPr>
          <w:rFonts w:ascii="Times New Roman" w:hAnsi="Times New Roman"/>
          <w:sz w:val="24"/>
          <w:szCs w:val="24"/>
        </w:rPr>
        <w:t>had included</w:t>
      </w:r>
      <w:proofErr w:type="gramEnd"/>
      <w:r>
        <w:rPr>
          <w:rFonts w:ascii="Times New Roman" w:hAnsi="Times New Roman"/>
          <w:sz w:val="24"/>
          <w:szCs w:val="24"/>
        </w:rPr>
        <w:t xml:space="preserve"> </w:t>
      </w:r>
      <w:r w:rsidRPr="00950AE6">
        <w:rPr>
          <w:rFonts w:ascii="Times New Roman" w:hAnsi="Times New Roman"/>
          <w:sz w:val="24"/>
          <w:szCs w:val="24"/>
        </w:rPr>
        <w:t>an affidavit from Robyn McKinley, a firefighter and paramedic in Memphis, Tennessee, who specifically advocated for the use of an anti-theft device manufactured by a company called Tremco. This device apparently is designed to make it difficult to put a vehicle into gear even though the vehicle has been left running.</w:t>
      </w:r>
      <w:r>
        <w:rPr>
          <w:rFonts w:ascii="Times New Roman" w:hAnsi="Times New Roman"/>
          <w:sz w:val="24"/>
          <w:szCs w:val="24"/>
        </w:rPr>
        <w:t>”</w:t>
      </w:r>
    </w:p>
    <w:bookmarkEnd w:id="197"/>
    <w:p w14:paraId="51C9421D"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1C3116">
        <w:rPr>
          <w:rFonts w:ascii="Times New Roman" w:hAnsi="Times New Roman"/>
          <w:sz w:val="24"/>
          <w:szCs w:val="24"/>
        </w:rPr>
        <w:t xml:space="preserve">In the present case, Appellees allege that the ambulance was not equipped with a specific anti-theft device that may have prevented it from being stolen even though it was left running. They argue that the City thus used or provided property (the ambulance) that lacked an integral safety feature (a particular anti-theft device), thus bringing their claims within the "use or condition of personal property" waiver pursuant to </w:t>
      </w:r>
      <w:r w:rsidRPr="001C3116">
        <w:rPr>
          <w:rFonts w:ascii="Times New Roman" w:hAnsi="Times New Roman"/>
          <w:i/>
          <w:iCs/>
          <w:sz w:val="24"/>
          <w:szCs w:val="24"/>
        </w:rPr>
        <w:t>Lowe</w:t>
      </w:r>
      <w:r w:rsidRPr="001C3116">
        <w:rPr>
          <w:rFonts w:ascii="Times New Roman" w:hAnsi="Times New Roman"/>
          <w:sz w:val="24"/>
          <w:szCs w:val="24"/>
        </w:rPr>
        <w:t xml:space="preserve"> and </w:t>
      </w:r>
      <w:r w:rsidRPr="001C3116">
        <w:rPr>
          <w:rFonts w:ascii="Times New Roman" w:hAnsi="Times New Roman"/>
          <w:i/>
          <w:iCs/>
          <w:sz w:val="24"/>
          <w:szCs w:val="24"/>
        </w:rPr>
        <w:t>Robinson</w:t>
      </w:r>
      <w:r w:rsidRPr="001C3116">
        <w:rPr>
          <w:rFonts w:ascii="Times New Roman" w:hAnsi="Times New Roman"/>
          <w:sz w:val="24"/>
          <w:szCs w:val="24"/>
        </w:rPr>
        <w:t xml:space="preserve">. The </w:t>
      </w:r>
      <w:proofErr w:type="gramStart"/>
      <w:r w:rsidRPr="001C3116">
        <w:rPr>
          <w:rFonts w:ascii="Times New Roman" w:hAnsi="Times New Roman"/>
          <w:sz w:val="24"/>
          <w:szCs w:val="24"/>
        </w:rPr>
        <w:t>City</w:t>
      </w:r>
      <w:proofErr w:type="gramEnd"/>
      <w:r w:rsidRPr="001C3116">
        <w:rPr>
          <w:rFonts w:ascii="Times New Roman" w:hAnsi="Times New Roman"/>
          <w:sz w:val="24"/>
          <w:szCs w:val="24"/>
        </w:rPr>
        <w:t xml:space="preserve"> counters that Appellees' claims do not fall within that waiver because the ambulance </w:t>
      </w:r>
      <w:r w:rsidRPr="001C3116">
        <w:rPr>
          <w:rFonts w:ascii="Times New Roman" w:hAnsi="Times New Roman"/>
          <w:i/>
          <w:iCs/>
          <w:sz w:val="24"/>
          <w:szCs w:val="24"/>
        </w:rPr>
        <w:t>was</w:t>
      </w:r>
      <w:r w:rsidRPr="001C3116">
        <w:rPr>
          <w:rFonts w:ascii="Times New Roman" w:hAnsi="Times New Roman"/>
          <w:sz w:val="24"/>
          <w:szCs w:val="24"/>
        </w:rPr>
        <w:t xml:space="preserve"> equipped with anti-theft devices—door locks and an alarm—and Appellees' contention that it should also have been equipped with a different device is not cognizable under the integral safety component theory. </w:t>
      </w:r>
      <w:r w:rsidRPr="001C3116">
        <w:rPr>
          <w:rFonts w:ascii="Times New Roman" w:hAnsi="Times New Roman"/>
          <w:i/>
          <w:iCs/>
          <w:sz w:val="24"/>
          <w:szCs w:val="24"/>
        </w:rPr>
        <w:t>See Bishop</w:t>
      </w:r>
      <w:r w:rsidRPr="001C3116">
        <w:rPr>
          <w:rFonts w:ascii="Times New Roman" w:hAnsi="Times New Roman"/>
          <w:sz w:val="24"/>
          <w:szCs w:val="24"/>
        </w:rPr>
        <w:t xml:space="preserve">, 156 S.W.3d at 584 (theory applies "only when an integral safety component is entirely lacking rather than merely inadequate"). We agree with the </w:t>
      </w:r>
      <w:proofErr w:type="gramStart"/>
      <w:r w:rsidRPr="001C3116">
        <w:rPr>
          <w:rFonts w:ascii="Times New Roman" w:hAnsi="Times New Roman"/>
          <w:sz w:val="24"/>
          <w:szCs w:val="24"/>
        </w:rPr>
        <w:t>City</w:t>
      </w:r>
      <w:proofErr w:type="gramEnd"/>
      <w:r w:rsidRPr="001C3116">
        <w:rPr>
          <w:rFonts w:ascii="Times New Roman" w:hAnsi="Times New Roman"/>
          <w:sz w:val="24"/>
          <w:szCs w:val="24"/>
        </w:rPr>
        <w:t>.</w:t>
      </w:r>
    </w:p>
    <w:p w14:paraId="30FA2914" w14:textId="77777777" w:rsidR="007D178F" w:rsidRDefault="007D178F" w:rsidP="007D178F">
      <w:pPr>
        <w:pStyle w:val="NoSpacing"/>
        <w:ind w:left="720"/>
        <w:rPr>
          <w:rFonts w:ascii="Times New Roman" w:hAnsi="Times New Roman"/>
          <w:sz w:val="24"/>
          <w:szCs w:val="24"/>
        </w:rPr>
      </w:pPr>
    </w:p>
    <w:p w14:paraId="0806B63E"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p>
    <w:p w14:paraId="048A1110" w14:textId="77777777" w:rsidR="007D178F" w:rsidRDefault="007D178F" w:rsidP="007D178F">
      <w:pPr>
        <w:pStyle w:val="NoSpacing"/>
        <w:ind w:left="720"/>
        <w:rPr>
          <w:rFonts w:ascii="Times New Roman" w:hAnsi="Times New Roman"/>
          <w:sz w:val="24"/>
          <w:szCs w:val="24"/>
        </w:rPr>
      </w:pPr>
    </w:p>
    <w:p w14:paraId="3FBD508E" w14:textId="77777777" w:rsidR="007D178F" w:rsidRDefault="007D178F" w:rsidP="007D178F">
      <w:pPr>
        <w:pStyle w:val="NoSpacing"/>
        <w:ind w:left="720"/>
        <w:rPr>
          <w:rFonts w:ascii="Times New Roman" w:hAnsi="Times New Roman"/>
          <w:sz w:val="24"/>
          <w:szCs w:val="24"/>
        </w:rPr>
      </w:pPr>
      <w:r w:rsidRPr="001C3116">
        <w:rPr>
          <w:rFonts w:ascii="Times New Roman" w:eastAsia="Times New Roman" w:hAnsi="Times New Roman"/>
          <w:sz w:val="24"/>
          <w:szCs w:val="24"/>
        </w:rPr>
        <w:t xml:space="preserve">[Footnote 3.]  </w:t>
      </w:r>
      <w:r w:rsidRPr="001C3116">
        <w:rPr>
          <w:rFonts w:ascii="Times New Roman" w:hAnsi="Times New Roman"/>
          <w:sz w:val="24"/>
          <w:szCs w:val="24"/>
        </w:rPr>
        <w:t xml:space="preserve">Insofar as Appellees challenge the City's decision not to equip its ambulances with the </w:t>
      </w:r>
      <w:proofErr w:type="gramStart"/>
      <w:r w:rsidRPr="001C3116">
        <w:rPr>
          <w:rFonts w:ascii="Times New Roman" w:hAnsi="Times New Roman"/>
          <w:sz w:val="24"/>
          <w:szCs w:val="24"/>
        </w:rPr>
        <w:t>particular anti-</w:t>
      </w:r>
      <w:proofErr w:type="gramEnd"/>
      <w:r w:rsidRPr="001C3116">
        <w:rPr>
          <w:rFonts w:ascii="Times New Roman" w:hAnsi="Times New Roman"/>
          <w:sz w:val="24"/>
          <w:szCs w:val="24"/>
        </w:rPr>
        <w:t xml:space="preserve">theft device they favor, which they contend is a safety feature, we note that </w:t>
      </w:r>
      <w:r>
        <w:rPr>
          <w:rFonts w:ascii="Times New Roman" w:hAnsi="Times New Roman"/>
          <w:sz w:val="24"/>
          <w:szCs w:val="24"/>
        </w:rPr>
        <w:t>‘</w:t>
      </w:r>
      <w:r w:rsidRPr="001C3116">
        <w:rPr>
          <w:rFonts w:ascii="Times New Roman" w:hAnsi="Times New Roman"/>
          <w:sz w:val="24"/>
          <w:szCs w:val="24"/>
        </w:rPr>
        <w:t>decisions about installing safety features are discretionary decisions for which the [City] may not be sued.</w:t>
      </w:r>
      <w:r>
        <w:rPr>
          <w:rFonts w:ascii="Times New Roman" w:hAnsi="Times New Roman"/>
          <w:sz w:val="24"/>
          <w:szCs w:val="24"/>
        </w:rPr>
        <w:t>’</w:t>
      </w:r>
      <w:r w:rsidRPr="001C3116">
        <w:rPr>
          <w:rFonts w:ascii="Times New Roman" w:hAnsi="Times New Roman"/>
          <w:sz w:val="24"/>
          <w:szCs w:val="24"/>
        </w:rPr>
        <w:t xml:space="preserve"> </w:t>
      </w:r>
      <w:r w:rsidRPr="001C3116">
        <w:rPr>
          <w:rFonts w:ascii="Times New Roman" w:hAnsi="Times New Roman"/>
          <w:i/>
          <w:iCs/>
          <w:sz w:val="24"/>
          <w:szCs w:val="24"/>
        </w:rPr>
        <w:t>Tex</w:t>
      </w:r>
      <w:r w:rsidRPr="001C3116">
        <w:rPr>
          <w:rFonts w:ascii="Times New Roman" w:hAnsi="Times New Roman"/>
          <w:sz w:val="24"/>
          <w:szCs w:val="24"/>
        </w:rPr>
        <w:t xml:space="preserve">. </w:t>
      </w:r>
      <w:proofErr w:type="spellStart"/>
      <w:r w:rsidRPr="001C3116">
        <w:rPr>
          <w:rFonts w:ascii="Times New Roman" w:hAnsi="Times New Roman"/>
          <w:i/>
          <w:iCs/>
          <w:sz w:val="24"/>
          <w:szCs w:val="24"/>
        </w:rPr>
        <w:t>Dep't</w:t>
      </w:r>
      <w:proofErr w:type="spellEnd"/>
      <w:r w:rsidRPr="001C3116">
        <w:rPr>
          <w:rFonts w:ascii="Times New Roman" w:hAnsi="Times New Roman"/>
          <w:i/>
          <w:iCs/>
          <w:sz w:val="24"/>
          <w:szCs w:val="24"/>
        </w:rPr>
        <w:t xml:space="preserve"> of Transp</w:t>
      </w:r>
      <w:r w:rsidRPr="001C3116">
        <w:rPr>
          <w:rFonts w:ascii="Times New Roman" w:hAnsi="Times New Roman"/>
          <w:sz w:val="24"/>
          <w:szCs w:val="24"/>
        </w:rPr>
        <w:t xml:space="preserve">. </w:t>
      </w:r>
      <w:r w:rsidRPr="001C3116">
        <w:rPr>
          <w:rFonts w:ascii="Times New Roman" w:hAnsi="Times New Roman"/>
          <w:i/>
          <w:iCs/>
          <w:sz w:val="24"/>
          <w:szCs w:val="24"/>
        </w:rPr>
        <w:t>v</w:t>
      </w:r>
      <w:r w:rsidRPr="001C3116">
        <w:rPr>
          <w:rFonts w:ascii="Times New Roman" w:hAnsi="Times New Roman"/>
          <w:sz w:val="24"/>
          <w:szCs w:val="24"/>
        </w:rPr>
        <w:t xml:space="preserve">. </w:t>
      </w:r>
      <w:r w:rsidRPr="001C3116">
        <w:rPr>
          <w:rFonts w:ascii="Times New Roman" w:hAnsi="Times New Roman"/>
          <w:i/>
          <w:iCs/>
          <w:sz w:val="24"/>
          <w:szCs w:val="24"/>
        </w:rPr>
        <w:t>Ramirez</w:t>
      </w:r>
      <w:r w:rsidRPr="001C3116">
        <w:rPr>
          <w:rFonts w:ascii="Times New Roman" w:hAnsi="Times New Roman"/>
          <w:sz w:val="24"/>
          <w:szCs w:val="24"/>
        </w:rPr>
        <w:t>, 74 S.W.3d 864, 867 (Tex. 2002).</w:t>
      </w:r>
      <w:r>
        <w:rPr>
          <w:rFonts w:ascii="Times New Roman" w:hAnsi="Times New Roman"/>
          <w:sz w:val="24"/>
          <w:szCs w:val="24"/>
        </w:rPr>
        <w:t xml:space="preserve">” </w:t>
      </w:r>
      <w:bookmarkStart w:id="198" w:name="_Hlk66946499"/>
      <w:r w:rsidR="00F00958">
        <w:fldChar w:fldCharType="begin"/>
      </w:r>
      <w:r w:rsidR="00F00958">
        <w:instrText xml:space="preserve"> HYPERLINK "https://law.justia.com/cases/texas/fourth-court-of-appeals/2020/04-20-00077-cv.html" </w:instrText>
      </w:r>
      <w:r w:rsidR="00F00958">
        <w:fldChar w:fldCharType="separate"/>
      </w:r>
      <w:r w:rsidRPr="00695F3D">
        <w:rPr>
          <w:rStyle w:val="Hyperlink"/>
          <w:rFonts w:ascii="Times New Roman" w:hAnsi="Times New Roman"/>
          <w:sz w:val="24"/>
          <w:szCs w:val="24"/>
        </w:rPr>
        <w:t>https://law.justia.com/cases/texas/fourth-court-of-appeals/2020/04-20-00077-cv.html</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269F0D63" w14:textId="7BF43612" w:rsidR="007D178F" w:rsidRDefault="007D178F" w:rsidP="00EF1133">
      <w:pPr>
        <w:rPr>
          <w:rFonts w:ascii="Arial Black" w:hAnsi="Arial Black"/>
          <w:b/>
          <w:sz w:val="24"/>
          <w:szCs w:val="24"/>
        </w:rPr>
      </w:pPr>
    </w:p>
    <w:p w14:paraId="2AA9546F" w14:textId="77777777" w:rsidR="007D178F" w:rsidRPr="001C3116" w:rsidRDefault="007D178F" w:rsidP="007D178F">
      <w:pPr>
        <w:spacing w:before="100" w:beforeAutospacing="1" w:after="100" w:afterAutospacing="1" w:line="240" w:lineRule="auto"/>
        <w:rPr>
          <w:rFonts w:ascii="Times New Roman" w:eastAsia="Times New Roman" w:hAnsi="Times New Roman"/>
          <w:b/>
          <w:bCs/>
          <w:sz w:val="24"/>
          <w:szCs w:val="24"/>
        </w:rPr>
      </w:pPr>
      <w:r w:rsidRPr="00950AE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Theft of ambulances left running at the scene are increasingly common; if possible, lock the doors and take a second set of keys. </w:t>
      </w:r>
    </w:p>
    <w:p w14:paraId="3D18E7D0" w14:textId="77777777" w:rsidR="007D178F" w:rsidRDefault="007D178F" w:rsidP="007D178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Plaintiff’s expert suggested Tremco anti-theft device. See their ad: </w:t>
      </w:r>
      <w:hyperlink r:id="rId1029" w:history="1">
        <w:r w:rsidRPr="00695F3D">
          <w:rPr>
            <w:rStyle w:val="Hyperlink"/>
            <w:rFonts w:ascii="Times New Roman" w:hAnsi="Times New Roman"/>
            <w:sz w:val="24"/>
            <w:szCs w:val="24"/>
          </w:rPr>
          <w:t>https://www.tremcopoliceproducts.com/</w:t>
        </w:r>
      </w:hyperlink>
      <w:r>
        <w:rPr>
          <w:rFonts w:ascii="Times New Roman" w:eastAsia="Times New Roman" w:hAnsi="Times New Roman"/>
          <w:sz w:val="24"/>
          <w:szCs w:val="24"/>
        </w:rPr>
        <w:t xml:space="preserve"> </w:t>
      </w:r>
    </w:p>
    <w:p w14:paraId="7F81E6F5"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Vehicles Can Be Left Unattended While Running</w:t>
      </w:r>
    </w:p>
    <w:p w14:paraId="35864163"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Allows Emergency Lighting &amp; Other Electronics to Operate</w:t>
      </w:r>
    </w:p>
    <w:p w14:paraId="7A873A85"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 xml:space="preserve">Provides More Security at The Scene </w:t>
      </w:r>
      <w:proofErr w:type="gramStart"/>
      <w:r w:rsidRPr="00950AE6">
        <w:rPr>
          <w:rFonts w:ascii="Times New Roman" w:eastAsia="Times New Roman" w:hAnsi="Times New Roman"/>
          <w:sz w:val="24"/>
          <w:szCs w:val="24"/>
        </w:rPr>
        <w:t>Of</w:t>
      </w:r>
      <w:proofErr w:type="gramEnd"/>
      <w:r w:rsidRPr="00950AE6">
        <w:rPr>
          <w:rFonts w:ascii="Times New Roman" w:eastAsia="Times New Roman" w:hAnsi="Times New Roman"/>
          <w:sz w:val="24"/>
          <w:szCs w:val="24"/>
        </w:rPr>
        <w:t xml:space="preserve"> </w:t>
      </w:r>
      <w:proofErr w:type="gramStart"/>
      <w:r w:rsidRPr="00950AE6">
        <w:rPr>
          <w:rFonts w:ascii="Times New Roman" w:eastAsia="Times New Roman" w:hAnsi="Times New Roman"/>
          <w:sz w:val="24"/>
          <w:szCs w:val="24"/>
        </w:rPr>
        <w:t>An</w:t>
      </w:r>
      <w:proofErr w:type="gramEnd"/>
      <w:r w:rsidRPr="00950AE6">
        <w:rPr>
          <w:rFonts w:ascii="Times New Roman" w:eastAsia="Times New Roman" w:hAnsi="Times New Roman"/>
          <w:sz w:val="24"/>
          <w:szCs w:val="24"/>
        </w:rPr>
        <w:t xml:space="preserve"> Accident</w:t>
      </w:r>
    </w:p>
    <w:p w14:paraId="30DCEC11"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Inexpensive &amp; Easy to Install – Plug N Play</w:t>
      </w:r>
      <w:r>
        <w:rPr>
          <w:rFonts w:ascii="Times New Roman" w:eastAsia="Times New Roman" w:hAnsi="Times New Roman"/>
          <w:sz w:val="24"/>
          <w:szCs w:val="24"/>
        </w:rPr>
        <w:t>.</w:t>
      </w:r>
    </w:p>
    <w:bookmarkEnd w:id="198"/>
    <w:p w14:paraId="7BA52E9F" w14:textId="77777777" w:rsidR="007D178F" w:rsidRDefault="007D178F" w:rsidP="00EF1133">
      <w:pPr>
        <w:rPr>
          <w:rFonts w:ascii="Arial Black" w:hAnsi="Arial Black"/>
          <w:b/>
          <w:sz w:val="24"/>
          <w:szCs w:val="24"/>
        </w:rPr>
      </w:pPr>
    </w:p>
    <w:p w14:paraId="4960E410" w14:textId="7176F516" w:rsidR="00557CA2" w:rsidRDefault="00557CA2" w:rsidP="00EF1133">
      <w:pPr>
        <w:rPr>
          <w:rFonts w:ascii="Arial Black" w:hAnsi="Arial Black"/>
          <w:b/>
          <w:sz w:val="24"/>
          <w:szCs w:val="24"/>
        </w:rPr>
      </w:pPr>
      <w:r>
        <w:rPr>
          <w:rFonts w:ascii="Arial Black" w:hAnsi="Arial Black"/>
          <w:b/>
          <w:sz w:val="24"/>
          <w:szCs w:val="24"/>
        </w:rPr>
        <w:t>5-17</w:t>
      </w:r>
    </w:p>
    <w:p w14:paraId="06DC5D93"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VOL. FF IN MVA – CROSSED AGAINST RED LIGHT- NO SIREN, ONLY EMER. LIGHT - 40% LIABLE – JURY $20,000</w:t>
      </w:r>
    </w:p>
    <w:p w14:paraId="4EFE939D" w14:textId="77777777" w:rsidR="00557CA2" w:rsidRDefault="00557CA2" w:rsidP="00557CA2">
      <w:pPr>
        <w:tabs>
          <w:tab w:val="left" w:pos="6680"/>
        </w:tabs>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19, 2020, in </w:t>
      </w:r>
      <w:r>
        <w:rPr>
          <w:rFonts w:ascii="Times New Roman" w:eastAsia="Times New Roman" w:hAnsi="Times New Roman"/>
          <w:sz w:val="24"/>
          <w:szCs w:val="24"/>
          <w:u w:val="single"/>
        </w:rPr>
        <w:t>Jeffrey K. Schleger v. Michael F. Jurcsak</w:t>
      </w:r>
      <w:r>
        <w:rPr>
          <w:rFonts w:ascii="Times New Roman" w:eastAsia="Times New Roman" w:hAnsi="Times New Roman"/>
          <w:sz w:val="24"/>
          <w:szCs w:val="24"/>
        </w:rPr>
        <w:t xml:space="preserve">, the Supreme Court of the State of New York, Appellate Division (Second Judicial Department) upheld (3 to 0) the jury’s verdict, finding plaintiff 60% liable and only awarding him $20,000 in damages. </w:t>
      </w:r>
    </w:p>
    <w:p w14:paraId="1771C541" w14:textId="77777777" w:rsidR="00557CA2" w:rsidRDefault="00557CA2" w:rsidP="00557CA2">
      <w:pPr>
        <w:tabs>
          <w:tab w:val="left" w:pos="6680"/>
        </w:tabs>
        <w:spacing w:before="100" w:beforeAutospacing="1" w:after="100" w:afterAutospacing="1" w:line="240" w:lineRule="auto"/>
        <w:ind w:left="540"/>
        <w:rPr>
          <w:rFonts w:ascii="Times New Roman" w:eastAsia="Times New Roman" w:hAnsi="Times New Roman"/>
          <w:sz w:val="24"/>
          <w:szCs w:val="24"/>
        </w:rPr>
      </w:pPr>
      <w:r>
        <w:rPr>
          <w:rFonts w:ascii="Times New Roman" w:hAnsi="Times New Roman"/>
          <w:sz w:val="24"/>
          <w:szCs w:val="24"/>
        </w:rPr>
        <w:t>“Issues of credibility are for the jury, which had the opportunity to observe the witnesses and the evidence,' and its credibility determination is entitled to deference" (</w:t>
      </w:r>
      <w:r>
        <w:rPr>
          <w:rFonts w:ascii="Times New Roman" w:hAnsi="Times New Roman"/>
          <w:i/>
          <w:iCs/>
          <w:sz w:val="24"/>
          <w:szCs w:val="24"/>
        </w:rPr>
        <w:t>id</w:t>
      </w:r>
      <w:r>
        <w:rPr>
          <w:rFonts w:ascii="Times New Roman" w:hAnsi="Times New Roman"/>
          <w:sz w:val="24"/>
          <w:szCs w:val="24"/>
        </w:rPr>
        <w:t xml:space="preserve">., quoting </w:t>
      </w:r>
      <w:r>
        <w:rPr>
          <w:rFonts w:ascii="Times New Roman" w:hAnsi="Times New Roman"/>
          <w:i/>
          <w:iCs/>
          <w:sz w:val="24"/>
          <w:szCs w:val="24"/>
        </w:rPr>
        <w:t>Aronov v Kanarek</w:t>
      </w:r>
      <w:r>
        <w:rPr>
          <w:rFonts w:ascii="Times New Roman" w:hAnsi="Times New Roman"/>
          <w:sz w:val="24"/>
          <w:szCs w:val="24"/>
        </w:rPr>
        <w:t>, 166 AD3d 574, 575 [internal quotation marks omitted]). Contrary to the plaintiff's contention, the jury's verdict on the issue of liability finding that the plaintiff was negligent and 60% at fault in the happening of the accident was not contrary to the weight of the evidence because a fair interpretation of the evidence supports the verdict (</w:t>
      </w:r>
      <w:r>
        <w:rPr>
          <w:rFonts w:ascii="Times New Roman" w:hAnsi="Times New Roman"/>
          <w:i/>
          <w:iCs/>
          <w:sz w:val="24"/>
          <w:szCs w:val="24"/>
        </w:rPr>
        <w:t xml:space="preserve">see </w:t>
      </w:r>
      <w:proofErr w:type="spellStart"/>
      <w:r>
        <w:rPr>
          <w:rFonts w:ascii="Times New Roman" w:hAnsi="Times New Roman"/>
          <w:i/>
          <w:iCs/>
          <w:sz w:val="24"/>
          <w:szCs w:val="24"/>
        </w:rPr>
        <w:t>Khaydarov</w:t>
      </w:r>
      <w:proofErr w:type="spellEnd"/>
      <w:r>
        <w:rPr>
          <w:rFonts w:ascii="Times New Roman" w:hAnsi="Times New Roman"/>
          <w:i/>
          <w:iCs/>
          <w:sz w:val="24"/>
          <w:szCs w:val="24"/>
        </w:rPr>
        <w:t xml:space="preserve"> v AK1 Group</w:t>
      </w:r>
      <w:r>
        <w:rPr>
          <w:rFonts w:ascii="Times New Roman" w:hAnsi="Times New Roman"/>
          <w:sz w:val="24"/>
          <w:szCs w:val="24"/>
        </w:rPr>
        <w:t xml:space="preserve">, </w:t>
      </w:r>
      <w:r>
        <w:rPr>
          <w:rFonts w:ascii="Times New Roman" w:hAnsi="Times New Roman"/>
          <w:i/>
          <w:iCs/>
          <w:sz w:val="24"/>
          <w:szCs w:val="24"/>
        </w:rPr>
        <w:t>Inc</w:t>
      </w:r>
      <w:r>
        <w:rPr>
          <w:rFonts w:ascii="Times New Roman" w:hAnsi="Times New Roman"/>
          <w:sz w:val="24"/>
          <w:szCs w:val="24"/>
        </w:rPr>
        <w:t xml:space="preserve">., 173 AD3d at 722; </w:t>
      </w:r>
      <w:r>
        <w:rPr>
          <w:rFonts w:ascii="Times New Roman" w:hAnsi="Times New Roman"/>
          <w:i/>
          <w:iCs/>
          <w:sz w:val="24"/>
          <w:szCs w:val="24"/>
        </w:rPr>
        <w:t>Vazquez v County of Nassau</w:t>
      </w:r>
      <w:r>
        <w:rPr>
          <w:rFonts w:ascii="Times New Roman" w:hAnsi="Times New Roman"/>
          <w:sz w:val="24"/>
          <w:szCs w:val="24"/>
        </w:rPr>
        <w:t xml:space="preserve"> 91 AD3d at 857).” </w:t>
      </w:r>
      <w:hyperlink r:id="rId1030" w:history="1">
        <w:r>
          <w:rPr>
            <w:rStyle w:val="Hyperlink"/>
            <w:sz w:val="24"/>
            <w:szCs w:val="24"/>
          </w:rPr>
          <w:t>https://public.fastcase.com/Wl%2B2t%2BeVuI35%2FN70vAMFZpcMKjA7NXtV8NizS7yUss6ITpHR1n8JduscQQ47RvF2</w:t>
        </w:r>
      </w:hyperlink>
      <w:r>
        <w:rPr>
          <w:rFonts w:ascii="Times New Roman" w:hAnsi="Times New Roman"/>
          <w:sz w:val="24"/>
          <w:szCs w:val="24"/>
        </w:rPr>
        <w:t xml:space="preserve"> </w:t>
      </w:r>
    </w:p>
    <w:p w14:paraId="769603FE" w14:textId="77777777" w:rsidR="00557CA2" w:rsidRDefault="00557CA2" w:rsidP="00557CA2">
      <w:pPr>
        <w:tabs>
          <w:tab w:val="left" w:pos="3130"/>
        </w:tabs>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Fire Departments should require fire &amp; EMS personnel to use both emergency lights and sirens when entering intersection against a red light.  Volunteers should inform their personal insurance companies in writing they are using their personal vehicles to respond and request written confirmation they have coverage. </w:t>
      </w:r>
    </w:p>
    <w:p w14:paraId="0BEFBAC2" w14:textId="77777777" w:rsidR="00557CA2" w:rsidRDefault="00557CA2" w:rsidP="00EF1133">
      <w:pPr>
        <w:rPr>
          <w:rFonts w:ascii="Arial Black" w:hAnsi="Arial Black"/>
          <w:b/>
          <w:sz w:val="24"/>
          <w:szCs w:val="24"/>
        </w:rPr>
      </w:pPr>
    </w:p>
    <w:p w14:paraId="759BB1E3" w14:textId="77777777" w:rsidR="00557CA2" w:rsidRDefault="00557CA2" w:rsidP="00EF1133">
      <w:pPr>
        <w:rPr>
          <w:rFonts w:ascii="Arial Black" w:hAnsi="Arial Black"/>
          <w:b/>
          <w:sz w:val="24"/>
          <w:szCs w:val="24"/>
        </w:rPr>
      </w:pPr>
    </w:p>
    <w:p w14:paraId="2A81DF57" w14:textId="251A1B72" w:rsidR="00D94DC4" w:rsidRDefault="00A672EE" w:rsidP="00EF1133">
      <w:pPr>
        <w:rPr>
          <w:rFonts w:ascii="Arial Black" w:hAnsi="Arial Black"/>
          <w:b/>
          <w:sz w:val="24"/>
          <w:szCs w:val="24"/>
        </w:rPr>
      </w:pPr>
      <w:r>
        <w:rPr>
          <w:rFonts w:ascii="Arial Black" w:hAnsi="Arial Black"/>
          <w:b/>
          <w:sz w:val="24"/>
          <w:szCs w:val="24"/>
        </w:rPr>
        <w:t>5-16</w:t>
      </w:r>
    </w:p>
    <w:p w14:paraId="2403CFD6" w14:textId="77777777" w:rsidR="00A672EE" w:rsidRPr="0050734F" w:rsidRDefault="00A672EE" w:rsidP="00A672EE">
      <w:pPr>
        <w:spacing w:before="100" w:beforeAutospacing="1" w:after="100" w:afterAutospacing="1" w:line="240" w:lineRule="auto"/>
        <w:rPr>
          <w:rFonts w:ascii="Arial Black" w:eastAsia="Times New Roman" w:hAnsi="Arial Black"/>
          <w:sz w:val="28"/>
          <w:szCs w:val="28"/>
        </w:rPr>
      </w:pPr>
      <w:r w:rsidRPr="0050734F">
        <w:rPr>
          <w:rFonts w:ascii="Arial Black" w:eastAsia="Times New Roman" w:hAnsi="Arial Black"/>
          <w:sz w:val="28"/>
          <w:szCs w:val="28"/>
        </w:rPr>
        <w:t xml:space="preserve">NY: </w:t>
      </w:r>
      <w:r>
        <w:rPr>
          <w:rFonts w:ascii="Arial Black" w:eastAsia="Times New Roman" w:hAnsi="Arial Black"/>
          <w:sz w:val="28"/>
          <w:szCs w:val="28"/>
        </w:rPr>
        <w:t xml:space="preserve">FDNY AMBULANCE RESPONDED TO MVA – BACKED INTO VEHICE – CLAIM NOT FILED WITHIN 90 DAYS </w:t>
      </w:r>
    </w:p>
    <w:p w14:paraId="77D791DD" w14:textId="44924364" w:rsidR="00A672EE" w:rsidRDefault="00A672EE" w:rsidP="00A672EE">
      <w:pPr>
        <w:rPr>
          <w:rStyle w:val="Hyperlink"/>
          <w:rFonts w:ascii="Times New Roman" w:hAnsi="Times New Roman"/>
          <w:sz w:val="24"/>
          <w:szCs w:val="24"/>
        </w:rPr>
      </w:pPr>
      <w:r w:rsidRPr="0050734F">
        <w:rPr>
          <w:rFonts w:ascii="Times New Roman" w:eastAsia="Times New Roman" w:hAnsi="Times New Roman"/>
          <w:sz w:val="24"/>
          <w:szCs w:val="24"/>
        </w:rPr>
        <w:t>On July 15, 2020, i</w:t>
      </w:r>
      <w:r>
        <w:rPr>
          <w:rFonts w:ascii="Times New Roman" w:eastAsia="Times New Roman" w:hAnsi="Times New Roman"/>
          <w:sz w:val="24"/>
          <w:szCs w:val="24"/>
        </w:rPr>
        <w:t xml:space="preserve">n case </w:t>
      </w:r>
      <w:r w:rsidRPr="00D91ABE">
        <w:rPr>
          <w:rFonts w:ascii="Times New Roman" w:eastAsia="Times New Roman" w:hAnsi="Times New Roman"/>
          <w:sz w:val="24"/>
          <w:szCs w:val="24"/>
          <w:u w:val="single"/>
        </w:rPr>
        <w:t>In the Matter of Johanny M. Lugo et al. v. City of New York</w:t>
      </w:r>
      <w:r>
        <w:rPr>
          <w:rFonts w:ascii="Times New Roman" w:eastAsia="Times New Roman" w:hAnsi="Times New Roman"/>
          <w:b/>
          <w:bCs/>
          <w:sz w:val="24"/>
          <w:szCs w:val="24"/>
        </w:rPr>
        <w:t xml:space="preserve">, </w:t>
      </w:r>
      <w:r>
        <w:rPr>
          <w:rFonts w:ascii="Times New Roman" w:eastAsia="Times New Roman" w:hAnsi="Times New Roman"/>
          <w:sz w:val="24"/>
          <w:szCs w:val="24"/>
        </w:rPr>
        <w:t>the Supreme Court of the State of New York, Appellate Division, Second Judicial Department, upheld (5 to 0) the trial court judge’s decision dismissing her request to file a late claim. Court wrote: “</w:t>
      </w:r>
      <w:r w:rsidRPr="00D91ABE">
        <w:rPr>
          <w:rFonts w:ascii="Times New Roman" w:hAnsi="Times New Roman"/>
          <w:sz w:val="24"/>
          <w:szCs w:val="24"/>
        </w:rPr>
        <w:t>Here, the police accident report</w:t>
      </w:r>
      <w:r>
        <w:rPr>
          <w:rFonts w:ascii="Times New Roman" w:hAnsi="Times New Roman"/>
          <w:sz w:val="24"/>
          <w:szCs w:val="24"/>
        </w:rPr>
        <w:t xml:space="preserve"> </w:t>
      </w:r>
      <w:r w:rsidRPr="00D91ABE">
        <w:rPr>
          <w:rFonts w:ascii="Times New Roman" w:hAnsi="Times New Roman"/>
          <w:sz w:val="24"/>
          <w:szCs w:val="24"/>
        </w:rPr>
        <w:t>stated that the EMS vehicle caused</w:t>
      </w:r>
      <w:r>
        <w:rPr>
          <w:rFonts w:ascii="Times New Roman" w:hAnsi="Times New Roman"/>
          <w:sz w:val="24"/>
          <w:szCs w:val="24"/>
        </w:rPr>
        <w:t xml:space="preserve"> </w:t>
      </w:r>
      <w:r w:rsidRPr="00D91ABE">
        <w:rPr>
          <w:rFonts w:ascii="Times New Roman" w:hAnsi="Times New Roman"/>
          <w:sz w:val="24"/>
          <w:szCs w:val="24"/>
        </w:rPr>
        <w:t xml:space="preserve">“no damage” to the petitioner’s </w:t>
      </w:r>
      <w:proofErr w:type="gramStart"/>
      <w:r w:rsidRPr="00D91ABE">
        <w:rPr>
          <w:rFonts w:ascii="Times New Roman" w:hAnsi="Times New Roman"/>
          <w:sz w:val="24"/>
          <w:szCs w:val="24"/>
        </w:rPr>
        <w:t>vehicle, and</w:t>
      </w:r>
      <w:proofErr w:type="gramEnd"/>
      <w:r w:rsidRPr="00D91ABE">
        <w:rPr>
          <w:rFonts w:ascii="Times New Roman" w:hAnsi="Times New Roman"/>
          <w:sz w:val="24"/>
          <w:szCs w:val="24"/>
        </w:rPr>
        <w:t xml:space="preserve"> did not indicate that there was any connection between</w:t>
      </w:r>
      <w:r>
        <w:rPr>
          <w:rFonts w:ascii="Times New Roman" w:hAnsi="Times New Roman"/>
          <w:sz w:val="24"/>
          <w:szCs w:val="24"/>
        </w:rPr>
        <w:t xml:space="preserve"> </w:t>
      </w:r>
      <w:r w:rsidRPr="00D91ABE">
        <w:rPr>
          <w:rFonts w:ascii="Times New Roman" w:hAnsi="Times New Roman"/>
          <w:sz w:val="24"/>
          <w:szCs w:val="24"/>
        </w:rPr>
        <w:t>the petitioner’s alleged injuries and any negligent conduct on</w:t>
      </w:r>
      <w:r>
        <w:rPr>
          <w:rFonts w:ascii="Times New Roman" w:hAnsi="Times New Roman"/>
          <w:sz w:val="24"/>
          <w:szCs w:val="24"/>
        </w:rPr>
        <w:t xml:space="preserve"> </w:t>
      </w:r>
      <w:r w:rsidRPr="00D91ABE">
        <w:rPr>
          <w:rFonts w:ascii="Times New Roman" w:hAnsi="Times New Roman"/>
          <w:sz w:val="24"/>
          <w:szCs w:val="24"/>
        </w:rPr>
        <w:t>the</w:t>
      </w:r>
      <w:r>
        <w:rPr>
          <w:rFonts w:ascii="Times New Roman" w:hAnsi="Times New Roman"/>
          <w:sz w:val="24"/>
          <w:szCs w:val="24"/>
        </w:rPr>
        <w:t xml:space="preserve"> </w:t>
      </w:r>
      <w:r w:rsidRPr="00D91ABE">
        <w:rPr>
          <w:rFonts w:ascii="Times New Roman" w:hAnsi="Times New Roman"/>
          <w:sz w:val="24"/>
          <w:szCs w:val="24"/>
        </w:rPr>
        <w:t>part</w:t>
      </w:r>
      <w:r>
        <w:rPr>
          <w:rFonts w:ascii="Times New Roman" w:hAnsi="Times New Roman"/>
          <w:sz w:val="24"/>
          <w:szCs w:val="24"/>
        </w:rPr>
        <w:t xml:space="preserve"> </w:t>
      </w:r>
      <w:r w:rsidRPr="00D91ABE">
        <w:rPr>
          <w:rFonts w:ascii="Times New Roman" w:hAnsi="Times New Roman"/>
          <w:sz w:val="24"/>
          <w:szCs w:val="24"/>
        </w:rPr>
        <w:t>of the operator of the EMS</w:t>
      </w:r>
      <w:r>
        <w:rPr>
          <w:rFonts w:ascii="Times New Roman" w:hAnsi="Times New Roman"/>
          <w:sz w:val="24"/>
          <w:szCs w:val="24"/>
        </w:rPr>
        <w:t xml:space="preserve"> </w:t>
      </w:r>
      <w:r w:rsidRPr="00D91ABE">
        <w:rPr>
          <w:rFonts w:ascii="Times New Roman" w:hAnsi="Times New Roman"/>
          <w:sz w:val="24"/>
          <w:szCs w:val="24"/>
        </w:rPr>
        <w:t>vehicle. Thus, the petitioner failed to establish that the police accident report provided actual notice</w:t>
      </w:r>
      <w:r>
        <w:rPr>
          <w:rFonts w:ascii="Times New Roman" w:hAnsi="Times New Roman"/>
          <w:sz w:val="24"/>
          <w:szCs w:val="24"/>
        </w:rPr>
        <w:t xml:space="preserve"> </w:t>
      </w:r>
      <w:r w:rsidRPr="00D91ABE">
        <w:rPr>
          <w:rFonts w:ascii="Times New Roman" w:hAnsi="Times New Roman"/>
          <w:sz w:val="24"/>
          <w:szCs w:val="24"/>
        </w:rPr>
        <w:t>of the facts constituting the petitioner’s claim</w:t>
      </w:r>
      <w:r>
        <w:rPr>
          <w:rFonts w:ascii="Times New Roman" w:hAnsi="Times New Roman"/>
          <w:sz w:val="24"/>
          <w:szCs w:val="24"/>
        </w:rPr>
        <w:t xml:space="preserve"> </w:t>
      </w:r>
      <w:r w:rsidRPr="00D91ABE">
        <w:rPr>
          <w:rFonts w:ascii="Times New Roman" w:hAnsi="Times New Roman"/>
          <w:sz w:val="24"/>
          <w:szCs w:val="24"/>
        </w:rPr>
        <w:t xml:space="preserve">that she sustained serious injuries </w:t>
      </w:r>
      <w:proofErr w:type="gramStart"/>
      <w:r w:rsidRPr="00D91ABE">
        <w:rPr>
          <w:rFonts w:ascii="Times New Roman" w:hAnsi="Times New Roman"/>
          <w:sz w:val="24"/>
          <w:szCs w:val="24"/>
        </w:rPr>
        <w:t>as a result of</w:t>
      </w:r>
      <w:proofErr w:type="gramEnd"/>
      <w:r w:rsidRPr="00D91ABE">
        <w:rPr>
          <w:rFonts w:ascii="Times New Roman" w:hAnsi="Times New Roman"/>
          <w:sz w:val="24"/>
          <w:szCs w:val="24"/>
        </w:rPr>
        <w:t xml:space="preserve"> the</w:t>
      </w:r>
      <w:r>
        <w:rPr>
          <w:rFonts w:ascii="Times New Roman" w:hAnsi="Times New Roman"/>
          <w:sz w:val="24"/>
          <w:szCs w:val="24"/>
        </w:rPr>
        <w:t xml:space="preserve"> </w:t>
      </w:r>
      <w:r w:rsidRPr="00D91ABE">
        <w:rPr>
          <w:rFonts w:ascii="Times New Roman" w:hAnsi="Times New Roman"/>
          <w:sz w:val="24"/>
          <w:szCs w:val="24"/>
        </w:rPr>
        <w:t>City’s negligence</w:t>
      </w:r>
      <w:r>
        <w:rPr>
          <w:rFonts w:ascii="Times New Roman" w:hAnsi="Times New Roman"/>
          <w:sz w:val="24"/>
          <w:szCs w:val="24"/>
        </w:rPr>
        <w:t xml:space="preserve">….”  </w:t>
      </w:r>
      <w:hyperlink r:id="rId1031" w:history="1">
        <w:r w:rsidRPr="00DD4F05">
          <w:rPr>
            <w:rStyle w:val="Hyperlink"/>
            <w:rFonts w:ascii="Times New Roman" w:hAnsi="Times New Roman"/>
            <w:sz w:val="24"/>
            <w:szCs w:val="24"/>
          </w:rPr>
          <w:t>http://www.nycourts.gov/courts/AD2/Handdowns/2020/Decisions/D63290.pdf</w:t>
        </w:r>
      </w:hyperlink>
    </w:p>
    <w:p w14:paraId="67F93CFE" w14:textId="77777777" w:rsidR="00A672EE" w:rsidRDefault="00A672EE" w:rsidP="00A672EE">
      <w:pPr>
        <w:tabs>
          <w:tab w:val="left" w:pos="3680"/>
        </w:tabs>
        <w:spacing w:before="100" w:beforeAutospacing="1" w:after="100" w:afterAutospacing="1" w:line="240" w:lineRule="auto"/>
        <w:rPr>
          <w:rFonts w:ascii="Times New Roman" w:hAnsi="Times New Roman"/>
          <w:b/>
          <w:bCs/>
          <w:sz w:val="24"/>
          <w:szCs w:val="24"/>
        </w:rPr>
      </w:pPr>
      <w:r w:rsidRPr="00DD4F05">
        <w:rPr>
          <w:rFonts w:ascii="Times New Roman" w:hAnsi="Times New Roman"/>
          <w:b/>
          <w:bCs/>
          <w:sz w:val="24"/>
          <w:szCs w:val="24"/>
        </w:rPr>
        <w:t>Legal Lesson Learned</w:t>
      </w:r>
      <w:r>
        <w:rPr>
          <w:rFonts w:ascii="Times New Roman" w:hAnsi="Times New Roman"/>
          <w:sz w:val="24"/>
          <w:szCs w:val="24"/>
        </w:rPr>
        <w:t xml:space="preserve">:  </w:t>
      </w:r>
      <w:r w:rsidRPr="00683FEB">
        <w:rPr>
          <w:rFonts w:ascii="Times New Roman" w:hAnsi="Times New Roman"/>
          <w:b/>
          <w:bCs/>
          <w:sz w:val="24"/>
          <w:szCs w:val="24"/>
        </w:rPr>
        <w:t xml:space="preserve">Courts will enforce municipal </w:t>
      </w:r>
      <w:r>
        <w:rPr>
          <w:rFonts w:ascii="Times New Roman" w:hAnsi="Times New Roman"/>
          <w:b/>
          <w:bCs/>
          <w:sz w:val="24"/>
          <w:szCs w:val="24"/>
        </w:rPr>
        <w:t>ordinances</w:t>
      </w:r>
      <w:r w:rsidRPr="00683FEB">
        <w:rPr>
          <w:rFonts w:ascii="Times New Roman" w:hAnsi="Times New Roman"/>
          <w:b/>
          <w:bCs/>
          <w:sz w:val="24"/>
          <w:szCs w:val="24"/>
        </w:rPr>
        <w:t xml:space="preserve"> requiring timely, written notice of a </w:t>
      </w:r>
      <w:r>
        <w:rPr>
          <w:rFonts w:ascii="Times New Roman" w:hAnsi="Times New Roman"/>
          <w:b/>
          <w:bCs/>
          <w:sz w:val="24"/>
          <w:szCs w:val="24"/>
        </w:rPr>
        <w:t xml:space="preserve">tort </w:t>
      </w:r>
      <w:r w:rsidRPr="00683FEB">
        <w:rPr>
          <w:rFonts w:ascii="Times New Roman" w:hAnsi="Times New Roman"/>
          <w:b/>
          <w:bCs/>
          <w:sz w:val="24"/>
          <w:szCs w:val="24"/>
        </w:rPr>
        <w:t xml:space="preserve">claim. </w:t>
      </w:r>
      <w:r>
        <w:rPr>
          <w:rFonts w:ascii="Times New Roman" w:hAnsi="Times New Roman"/>
          <w:b/>
          <w:bCs/>
          <w:sz w:val="24"/>
          <w:szCs w:val="24"/>
        </w:rPr>
        <w:t xml:space="preserve"> </w:t>
      </w:r>
    </w:p>
    <w:p w14:paraId="037D4301" w14:textId="77777777" w:rsidR="00A672EE" w:rsidRDefault="00A672EE" w:rsidP="001C563D">
      <w:pPr>
        <w:rPr>
          <w:rFonts w:ascii="Arial Black" w:hAnsi="Arial Black"/>
          <w:b/>
          <w:sz w:val="24"/>
          <w:szCs w:val="24"/>
        </w:rPr>
      </w:pPr>
    </w:p>
    <w:p w14:paraId="17F7CC47" w14:textId="5834FA90" w:rsidR="001C563D" w:rsidRPr="007105B3" w:rsidRDefault="007105B3" w:rsidP="001C563D">
      <w:pPr>
        <w:rPr>
          <w:rFonts w:ascii="Times New Roman" w:hAnsi="Times New Roman"/>
          <w:bCs/>
          <w:sz w:val="24"/>
          <w:szCs w:val="24"/>
        </w:rPr>
      </w:pPr>
      <w:r>
        <w:rPr>
          <w:rFonts w:ascii="Arial Black" w:hAnsi="Arial Black"/>
          <w:b/>
          <w:sz w:val="24"/>
          <w:szCs w:val="24"/>
        </w:rPr>
        <w:t>5-1</w:t>
      </w:r>
      <w:r w:rsidR="00A672EE">
        <w:rPr>
          <w:rFonts w:ascii="Arial Black" w:hAnsi="Arial Black"/>
          <w:b/>
          <w:sz w:val="24"/>
          <w:szCs w:val="24"/>
        </w:rPr>
        <w:t>5</w:t>
      </w:r>
      <w:r w:rsidR="001C563D">
        <w:rPr>
          <w:rFonts w:ascii="Arial Black" w:hAnsi="Arial Black"/>
          <w:b/>
          <w:sz w:val="24"/>
          <w:szCs w:val="24"/>
        </w:rPr>
        <w:t xml:space="preserve"> </w:t>
      </w:r>
      <w:r w:rsidR="001C563D" w:rsidRPr="007105B3">
        <w:rPr>
          <w:rFonts w:ascii="Times New Roman" w:hAnsi="Times New Roman"/>
          <w:bCs/>
          <w:sz w:val="24"/>
          <w:szCs w:val="24"/>
        </w:rPr>
        <w:t>[Also filed, Chap. 1</w:t>
      </w:r>
      <w:r w:rsidR="001C563D">
        <w:rPr>
          <w:rFonts w:ascii="Times New Roman" w:hAnsi="Times New Roman"/>
          <w:bCs/>
          <w:sz w:val="24"/>
          <w:szCs w:val="24"/>
        </w:rPr>
        <w:t>3</w:t>
      </w:r>
      <w:r w:rsidR="001C563D" w:rsidRPr="007105B3">
        <w:rPr>
          <w:rFonts w:ascii="Times New Roman" w:hAnsi="Times New Roman"/>
          <w:bCs/>
          <w:sz w:val="24"/>
          <w:szCs w:val="24"/>
        </w:rPr>
        <w:t>]</w:t>
      </w:r>
    </w:p>
    <w:p w14:paraId="63DB6797" w14:textId="77777777" w:rsidR="007105B3" w:rsidRDefault="007105B3" w:rsidP="007105B3">
      <w:pPr>
        <w:pStyle w:val="NoSpacing"/>
        <w:rPr>
          <w:rFonts w:ascii="Arial Black" w:hAnsi="Arial Black"/>
          <w:sz w:val="28"/>
          <w:szCs w:val="28"/>
        </w:rPr>
      </w:pPr>
      <w:r w:rsidRPr="00284D4F">
        <w:rPr>
          <w:rFonts w:ascii="Arial Black" w:hAnsi="Arial Black"/>
          <w:sz w:val="28"/>
          <w:szCs w:val="28"/>
        </w:rPr>
        <w:t xml:space="preserve">IL: </w:t>
      </w:r>
      <w:r>
        <w:rPr>
          <w:rFonts w:ascii="Arial Black" w:hAnsi="Arial Black"/>
          <w:sz w:val="28"/>
          <w:szCs w:val="28"/>
        </w:rPr>
        <w:t>PRIVATE AMBULANCE – RAN RED LIGHT WHEN DRIVING TO NON-EMERGENCY TRANSPORT - NO IMMUNITY</w:t>
      </w:r>
    </w:p>
    <w:p w14:paraId="0000839C" w14:textId="77777777" w:rsidR="007105B3" w:rsidRDefault="007105B3" w:rsidP="007105B3">
      <w:pPr>
        <w:pStyle w:val="NoSpacing"/>
        <w:rPr>
          <w:rFonts w:ascii="Arial Black" w:hAnsi="Arial Black"/>
          <w:sz w:val="28"/>
          <w:szCs w:val="28"/>
        </w:rPr>
      </w:pPr>
    </w:p>
    <w:p w14:paraId="76DA4ACE" w14:textId="00F6329E" w:rsidR="007105B3" w:rsidRPr="00700A10" w:rsidRDefault="007105B3" w:rsidP="007105B3">
      <w:pPr>
        <w:pStyle w:val="NoSpacing"/>
        <w:rPr>
          <w:rFonts w:ascii="Times New Roman" w:hAnsi="Times New Roman"/>
          <w:sz w:val="24"/>
          <w:szCs w:val="24"/>
        </w:rPr>
      </w:pPr>
      <w:r w:rsidRPr="00284D4F">
        <w:rPr>
          <w:rFonts w:ascii="Times New Roman" w:hAnsi="Times New Roman"/>
          <w:sz w:val="24"/>
          <w:szCs w:val="24"/>
        </w:rPr>
        <w:t xml:space="preserve">On </w:t>
      </w:r>
      <w:r>
        <w:rPr>
          <w:rFonts w:ascii="Times New Roman" w:hAnsi="Times New Roman"/>
          <w:sz w:val="24"/>
          <w:szCs w:val="24"/>
        </w:rPr>
        <w:t xml:space="preserve">June 18, 2020, in </w:t>
      </w:r>
      <w:r w:rsidRPr="00284D4F">
        <w:rPr>
          <w:rFonts w:ascii="Times New Roman" w:hAnsi="Times New Roman"/>
          <w:sz w:val="24"/>
          <w:szCs w:val="24"/>
          <w:u w:val="single"/>
        </w:rPr>
        <w:t>Roberto Hernandez v. Lifeline Ambulance, LLC, et al</w:t>
      </w:r>
      <w:r>
        <w:rPr>
          <w:rFonts w:ascii="Times New Roman" w:hAnsi="Times New Roman"/>
          <w:sz w:val="24"/>
          <w:szCs w:val="24"/>
        </w:rPr>
        <w:t xml:space="preserve">., the Supreme Court of State of Illinois, held (4 to 3) that the private ambulance driver and his employer are not protected under the state’s EMS immunity statute when the ambulance driver, on a non-emergency run without lights or siren, ran a red light and injured the driver of another vehicle. The ambulance had been dispatched </w:t>
      </w:r>
      <w:r w:rsidRPr="00700A10">
        <w:rPr>
          <w:rFonts w:ascii="Times New Roman" w:hAnsi="Times New Roman"/>
          <w:sz w:val="24"/>
          <w:szCs w:val="24"/>
        </w:rPr>
        <w:t>to pick up a patient for nonemergency medical transport from Symphony at Aria Post Acute Care in Hillside to Villa Park Home Dialysis in Villa Park</w:t>
      </w:r>
      <w:r>
        <w:rPr>
          <w:rFonts w:ascii="Times New Roman" w:hAnsi="Times New Roman"/>
          <w:sz w:val="24"/>
          <w:szCs w:val="24"/>
        </w:rPr>
        <w:t>. The Court’s majority held: “</w:t>
      </w:r>
      <w:r w:rsidRPr="00700A10">
        <w:rPr>
          <w:rFonts w:ascii="Times New Roman" w:hAnsi="Times New Roman"/>
          <w:sz w:val="24"/>
          <w:szCs w:val="24"/>
        </w:rPr>
        <w:t xml:space="preserve">The issue presented is whether section 3.150 of the Emergency Medical Services Systems Act (EMS Act) (210 ILCS 50/3.150 (West 2016)) provides immunity from liability—to an ambulance owner and its driver—stemming from a motor-vehicle accident caused by the negligent operation of the ambulance while </w:t>
      </w:r>
      <w:proofErr w:type="spellStart"/>
      <w:r w:rsidRPr="00700A10">
        <w:rPr>
          <w:rFonts w:ascii="Times New Roman" w:hAnsi="Times New Roman"/>
          <w:sz w:val="24"/>
          <w:szCs w:val="24"/>
        </w:rPr>
        <w:t>en</w:t>
      </w:r>
      <w:proofErr w:type="spellEnd"/>
      <w:r w:rsidRPr="00700A10">
        <w:rPr>
          <w:rFonts w:ascii="Times New Roman" w:hAnsi="Times New Roman"/>
          <w:sz w:val="24"/>
          <w:szCs w:val="24"/>
        </w:rPr>
        <w:t xml:space="preserve"> route to pick up a patient for nonemergency transportation. We answer this question in the negative, holding that defendants are not immune from liability under the circumstances of this case.</w:t>
      </w:r>
      <w:r>
        <w:rPr>
          <w:rFonts w:ascii="Times New Roman" w:hAnsi="Times New Roman"/>
          <w:sz w:val="24"/>
          <w:szCs w:val="24"/>
        </w:rPr>
        <w:t xml:space="preserve">” </w:t>
      </w:r>
      <w:hyperlink r:id="rId1032" w:history="1">
        <w:r w:rsidRPr="005B0C9C">
          <w:rPr>
            <w:rStyle w:val="Hyperlink"/>
            <w:rFonts w:ascii="Times New Roman" w:hAnsi="Times New Roman"/>
            <w:sz w:val="24"/>
            <w:szCs w:val="24"/>
          </w:rPr>
          <w:t>https://courts.illinois.gov/Opinions/SupremeCourt/2020/124610.pdf</w:t>
        </w:r>
      </w:hyperlink>
      <w:r>
        <w:rPr>
          <w:rFonts w:ascii="Times New Roman" w:hAnsi="Times New Roman"/>
          <w:sz w:val="24"/>
          <w:szCs w:val="24"/>
        </w:rPr>
        <w:t xml:space="preserve"> </w:t>
      </w:r>
    </w:p>
    <w:p w14:paraId="2F74C9E2" w14:textId="77777777" w:rsidR="007105B3" w:rsidRPr="00700A10" w:rsidRDefault="007105B3" w:rsidP="007105B3">
      <w:pPr>
        <w:pStyle w:val="NoSpacing"/>
        <w:rPr>
          <w:rFonts w:ascii="Times New Roman" w:hAnsi="Times New Roman"/>
          <w:sz w:val="24"/>
          <w:szCs w:val="24"/>
        </w:rPr>
      </w:pPr>
    </w:p>
    <w:p w14:paraId="264DFFDE" w14:textId="77777777" w:rsidR="007105B3" w:rsidRPr="00700A10" w:rsidRDefault="007105B3" w:rsidP="007105B3">
      <w:pPr>
        <w:pStyle w:val="NoSpacing"/>
        <w:rPr>
          <w:rFonts w:ascii="Times New Roman" w:hAnsi="Times New Roman"/>
          <w:b/>
          <w:bCs/>
          <w:sz w:val="24"/>
          <w:szCs w:val="24"/>
        </w:rPr>
      </w:pPr>
      <w:r w:rsidRPr="00700A10">
        <w:rPr>
          <w:rFonts w:ascii="Times New Roman" w:hAnsi="Times New Roman"/>
          <w:b/>
          <w:bCs/>
          <w:sz w:val="24"/>
          <w:szCs w:val="24"/>
        </w:rPr>
        <w:t>Legal Lessons Learned:</w:t>
      </w:r>
      <w:r>
        <w:rPr>
          <w:rFonts w:ascii="Times New Roman" w:hAnsi="Times New Roman"/>
          <w:b/>
          <w:bCs/>
          <w:sz w:val="24"/>
          <w:szCs w:val="24"/>
        </w:rPr>
        <w:t xml:space="preserve"> EMS driving running a red light for a non-emergency transport should be held responsible, along with his company, for his negligent conduct. </w:t>
      </w:r>
    </w:p>
    <w:p w14:paraId="195DB726" w14:textId="77777777" w:rsidR="007105B3" w:rsidRDefault="007105B3" w:rsidP="007105B3">
      <w:pPr>
        <w:pStyle w:val="NoSpacing"/>
        <w:rPr>
          <w:rFonts w:ascii="Times New Roman" w:hAnsi="Times New Roman"/>
          <w:sz w:val="24"/>
          <w:szCs w:val="24"/>
        </w:rPr>
      </w:pPr>
    </w:p>
    <w:p w14:paraId="3B47FBEE" w14:textId="77777777" w:rsidR="007105B3" w:rsidRPr="005262A7" w:rsidRDefault="007105B3" w:rsidP="007105B3">
      <w:pPr>
        <w:pStyle w:val="NoSpacing"/>
        <w:ind w:firstLine="720"/>
        <w:rPr>
          <w:rFonts w:ascii="Times New Roman" w:hAnsi="Times New Roman"/>
          <w:sz w:val="24"/>
          <w:szCs w:val="24"/>
        </w:rPr>
      </w:pPr>
      <w:r w:rsidRPr="005262A7">
        <w:rPr>
          <w:rFonts w:ascii="Times New Roman" w:hAnsi="Times New Roman"/>
          <w:sz w:val="24"/>
          <w:szCs w:val="24"/>
        </w:rPr>
        <w:t xml:space="preserve">Note: Three dissenting Justices </w:t>
      </w:r>
      <w:r>
        <w:rPr>
          <w:rFonts w:ascii="Times New Roman" w:hAnsi="Times New Roman"/>
          <w:sz w:val="24"/>
          <w:szCs w:val="24"/>
        </w:rPr>
        <w:t>disagreed:</w:t>
      </w:r>
    </w:p>
    <w:p w14:paraId="5398AC1B" w14:textId="77777777" w:rsidR="007105B3" w:rsidRDefault="007105B3" w:rsidP="007105B3">
      <w:pPr>
        <w:pStyle w:val="NoSpacing"/>
        <w:ind w:left="720"/>
        <w:rPr>
          <w:rFonts w:ascii="Times New Roman" w:hAnsi="Times New Roman"/>
          <w:sz w:val="24"/>
          <w:szCs w:val="24"/>
        </w:rPr>
      </w:pPr>
    </w:p>
    <w:p w14:paraId="230F6F10" w14:textId="18D4006C" w:rsidR="007105B3" w:rsidRDefault="007105B3" w:rsidP="007105B3">
      <w:pPr>
        <w:pStyle w:val="NoSpacing"/>
        <w:ind w:left="720"/>
      </w:pPr>
      <w:r>
        <w:rPr>
          <w:rFonts w:ascii="Times New Roman" w:hAnsi="Times New Roman"/>
          <w:sz w:val="24"/>
          <w:szCs w:val="24"/>
        </w:rPr>
        <w:t>“</w:t>
      </w:r>
      <w:r w:rsidRPr="005262A7">
        <w:rPr>
          <w:rFonts w:ascii="Times New Roman" w:hAnsi="Times New Roman"/>
          <w:sz w:val="24"/>
          <w:szCs w:val="24"/>
        </w:rPr>
        <w:t xml:space="preserve">In the case at bar, at the time of the accident, Nicholas was rendering nonemergency medical services in the normal course of conducting his duties. Nicholas was in the process of responding to a dispatch to transport a patient to a health care facility. Driving to the patient was preparatory for and integral to delivering the medical service. Further, the accident occurred before transporting the patient to a health care facility and during defendant’s driving in response to the dispatch. Therefore, absent willful and wanton misconduct, section 3.150(a) of the EMS Act immunizes defendants for their alleged negligent acts or omissions while providing nonemergency medical </w:t>
      </w:r>
      <w:proofErr w:type="gramStart"/>
      <w:r w:rsidRPr="005262A7">
        <w:rPr>
          <w:rFonts w:ascii="Times New Roman" w:hAnsi="Times New Roman"/>
          <w:sz w:val="24"/>
          <w:szCs w:val="24"/>
        </w:rPr>
        <w:t>services</w:t>
      </w:r>
      <w:r>
        <w:t>.”</w:t>
      </w:r>
      <w:proofErr w:type="gramEnd"/>
    </w:p>
    <w:p w14:paraId="1820DBE5" w14:textId="77777777" w:rsidR="007105B3" w:rsidRDefault="007105B3" w:rsidP="007105B3">
      <w:pPr>
        <w:pStyle w:val="NoSpacing"/>
        <w:ind w:left="720"/>
      </w:pPr>
    </w:p>
    <w:p w14:paraId="35B897B6" w14:textId="77777777" w:rsidR="007105B3" w:rsidRDefault="007105B3" w:rsidP="00EF1133">
      <w:pPr>
        <w:rPr>
          <w:rFonts w:ascii="Arial Black" w:hAnsi="Arial Black"/>
          <w:b/>
          <w:sz w:val="24"/>
          <w:szCs w:val="24"/>
        </w:rPr>
      </w:pPr>
    </w:p>
    <w:p w14:paraId="4F7A9F7A" w14:textId="4E1A7FBC" w:rsidR="00D94DC4" w:rsidRDefault="00D94DC4" w:rsidP="00EF1133">
      <w:pPr>
        <w:rPr>
          <w:rFonts w:ascii="Arial Black" w:hAnsi="Arial Black"/>
          <w:b/>
          <w:sz w:val="24"/>
          <w:szCs w:val="24"/>
        </w:rPr>
      </w:pPr>
      <w:r>
        <w:rPr>
          <w:rFonts w:ascii="Arial Black" w:hAnsi="Arial Black"/>
          <w:b/>
          <w:sz w:val="24"/>
          <w:szCs w:val="24"/>
        </w:rPr>
        <w:t>5-</w:t>
      </w:r>
      <w:r w:rsidR="004E22C3">
        <w:rPr>
          <w:rFonts w:ascii="Arial Black" w:hAnsi="Arial Black"/>
          <w:b/>
          <w:sz w:val="24"/>
          <w:szCs w:val="24"/>
        </w:rPr>
        <w:t>1</w:t>
      </w:r>
      <w:r w:rsidR="00A672EE">
        <w:rPr>
          <w:rFonts w:ascii="Arial Black" w:hAnsi="Arial Black"/>
          <w:b/>
          <w:sz w:val="24"/>
          <w:szCs w:val="24"/>
        </w:rPr>
        <w:t>4</w:t>
      </w:r>
    </w:p>
    <w:p w14:paraId="4759CF39" w14:textId="77777777" w:rsidR="004E22C3" w:rsidRPr="007B3BAD" w:rsidRDefault="004E22C3" w:rsidP="004E22C3">
      <w:pPr>
        <w:spacing w:before="100" w:beforeAutospacing="1" w:after="100" w:afterAutospacing="1" w:line="240" w:lineRule="auto"/>
        <w:jc w:val="both"/>
        <w:rPr>
          <w:rFonts w:ascii="Arial Black" w:eastAsia="Times New Roman" w:hAnsi="Arial Black"/>
          <w:b/>
          <w:bCs/>
          <w:sz w:val="28"/>
          <w:szCs w:val="28"/>
        </w:rPr>
      </w:pPr>
      <w:r w:rsidRPr="007B3BAD">
        <w:rPr>
          <w:rFonts w:ascii="Arial Black" w:eastAsia="Times New Roman" w:hAnsi="Arial Black"/>
          <w:b/>
          <w:bCs/>
          <w:sz w:val="28"/>
          <w:szCs w:val="28"/>
        </w:rPr>
        <w:t xml:space="preserve">AL: </w:t>
      </w:r>
      <w:r>
        <w:rPr>
          <w:rFonts w:ascii="Arial Black" w:eastAsia="Times New Roman" w:hAnsi="Arial Black"/>
          <w:b/>
          <w:bCs/>
          <w:sz w:val="28"/>
          <w:szCs w:val="28"/>
        </w:rPr>
        <w:t>PARAMEDIC INJURED IN MVA - SETTLED WITH DRIVER $25K, BUT WITHOUT CONSENT OF MEDIC’S INSURANCE CO. – STATE FARM NO LONGER REQ. COVER “UNDERINSURED”</w:t>
      </w:r>
    </w:p>
    <w:p w14:paraId="5B6F94FF" w14:textId="77777777" w:rsidR="004E22C3" w:rsidRDefault="004E22C3" w:rsidP="004E22C3">
      <w:pPr>
        <w:spacing w:before="100" w:beforeAutospacing="1" w:after="100" w:afterAutospacing="1" w:line="240" w:lineRule="auto"/>
        <w:rPr>
          <w:rFonts w:ascii="Times New Roman" w:eastAsia="Times New Roman" w:hAnsi="Times New Roman"/>
          <w:sz w:val="24"/>
          <w:szCs w:val="24"/>
        </w:rPr>
      </w:pPr>
      <w:r w:rsidRPr="00F74356">
        <w:rPr>
          <w:rFonts w:ascii="Times New Roman" w:eastAsia="Times New Roman" w:hAnsi="Times New Roman"/>
          <w:sz w:val="24"/>
          <w:szCs w:val="24"/>
        </w:rPr>
        <w:t xml:space="preserve">On May 29, 2020, in </w:t>
      </w:r>
      <w:r w:rsidRPr="00F74356">
        <w:rPr>
          <w:rFonts w:ascii="Times New Roman" w:eastAsia="Times New Roman" w:hAnsi="Times New Roman"/>
          <w:sz w:val="24"/>
          <w:szCs w:val="24"/>
          <w:u w:val="single"/>
        </w:rPr>
        <w:t>David R. Turner v. State Farm Mutual Insurance Company</w:t>
      </w:r>
      <w:r w:rsidRPr="00F74356">
        <w:rPr>
          <w:rFonts w:ascii="Times New Roman" w:eastAsia="Times New Roman" w:hAnsi="Times New Roman"/>
          <w:sz w:val="24"/>
          <w:szCs w:val="24"/>
        </w:rPr>
        <w:t>, the Supreme Court of Alabama, upheld the trial court’s dismissal of the paramedic’s lawsuit against his own insurance company [All State].</w:t>
      </w:r>
      <w:r>
        <w:rPr>
          <w:rFonts w:ascii="Times New Roman" w:eastAsia="Times New Roman" w:hAnsi="Times New Roman"/>
          <w:sz w:val="24"/>
          <w:szCs w:val="24"/>
        </w:rPr>
        <w:t xml:space="preserve"> </w:t>
      </w:r>
      <w:hyperlink r:id="rId1033" w:history="1">
        <w:r w:rsidRPr="00BA0245">
          <w:rPr>
            <w:rStyle w:val="Hyperlink"/>
            <w:sz w:val="24"/>
            <w:szCs w:val="24"/>
          </w:rPr>
          <w:t>https://acis.alabama.gov/displaydocs.cfm?no=1022968&amp;event=5S20LIXMT</w:t>
        </w:r>
      </w:hyperlink>
    </w:p>
    <w:p w14:paraId="228BC173" w14:textId="77777777" w:rsidR="004E22C3" w:rsidRPr="0071286B" w:rsidRDefault="004E22C3" w:rsidP="004E22C3">
      <w:pPr>
        <w:spacing w:before="100" w:beforeAutospacing="1" w:after="100" w:afterAutospacing="1" w:line="240" w:lineRule="auto"/>
        <w:jc w:val="both"/>
        <w:rPr>
          <w:rFonts w:ascii="Times New Roman" w:eastAsia="Times New Roman" w:hAnsi="Times New Roman"/>
          <w:b/>
          <w:bCs/>
          <w:sz w:val="24"/>
          <w:szCs w:val="24"/>
        </w:rPr>
      </w:pPr>
      <w:r w:rsidRPr="0071286B">
        <w:rPr>
          <w:rFonts w:ascii="Times New Roman" w:hAnsi="Times New Roman"/>
          <w:b/>
          <w:bCs/>
          <w:sz w:val="24"/>
          <w:szCs w:val="24"/>
        </w:rPr>
        <w:t>Legal Lessons Learned:</w:t>
      </w:r>
      <w:r>
        <w:rPr>
          <w:rFonts w:ascii="Times New Roman" w:hAnsi="Times New Roman"/>
          <w:b/>
          <w:bCs/>
          <w:sz w:val="24"/>
          <w:szCs w:val="24"/>
        </w:rPr>
        <w:t xml:space="preserve"> If injured in MVA, do not settle and release the other driver’s insurance company without the consent of your insurance company.   Since medic also covered by worker’s comp, the state fund has a right to recover from the $25K settlement.  </w:t>
      </w:r>
    </w:p>
    <w:p w14:paraId="2288998B" w14:textId="27DEB1A6" w:rsidR="00D94DC4" w:rsidRDefault="00A672EE" w:rsidP="00EF1133">
      <w:pPr>
        <w:rPr>
          <w:rFonts w:ascii="Arial Black" w:hAnsi="Arial Black"/>
          <w:b/>
          <w:sz w:val="24"/>
          <w:szCs w:val="24"/>
        </w:rPr>
      </w:pPr>
      <w:r>
        <w:rPr>
          <w:rFonts w:ascii="Arial Black" w:hAnsi="Arial Black"/>
          <w:b/>
          <w:sz w:val="24"/>
          <w:szCs w:val="24"/>
        </w:rPr>
        <w:t>5-13</w:t>
      </w:r>
    </w:p>
    <w:p w14:paraId="52A49942" w14:textId="77777777" w:rsidR="00A672EE" w:rsidRDefault="00A672EE" w:rsidP="00A672EE">
      <w:pPr>
        <w:pStyle w:val="NoSpacing"/>
        <w:rPr>
          <w:rFonts w:ascii="Arial Black" w:hAnsi="Arial Black"/>
          <w:sz w:val="28"/>
          <w:szCs w:val="28"/>
        </w:rPr>
      </w:pPr>
      <w:bookmarkStart w:id="199" w:name="_Hlk66946612"/>
      <w:r w:rsidRPr="009B0E33">
        <w:rPr>
          <w:rFonts w:ascii="Arial Black" w:hAnsi="Arial Black"/>
          <w:sz w:val="28"/>
          <w:szCs w:val="28"/>
        </w:rPr>
        <w:t>TX:</w:t>
      </w:r>
      <w:r>
        <w:rPr>
          <w:rFonts w:ascii="Arial Black" w:hAnsi="Arial Black"/>
          <w:sz w:val="28"/>
          <w:szCs w:val="28"/>
        </w:rPr>
        <w:t xml:space="preserve"> FIRETRUCK ACCIDENT AT INTERSECTION– FF DIDN’T STOP RED LIGHT / FD POLICY – NOT RECKLESS – GOVT IMMUNITY</w:t>
      </w:r>
    </w:p>
    <w:p w14:paraId="0F984B7A" w14:textId="77777777" w:rsidR="00A672EE" w:rsidRDefault="00A672EE" w:rsidP="00A672EE">
      <w:pPr>
        <w:pStyle w:val="NoSpacing"/>
        <w:rPr>
          <w:rFonts w:ascii="Arial Black" w:hAnsi="Arial Black"/>
          <w:sz w:val="28"/>
          <w:szCs w:val="28"/>
        </w:rPr>
      </w:pPr>
    </w:p>
    <w:p w14:paraId="2551EAAC" w14:textId="60943A45" w:rsidR="00A672EE" w:rsidRDefault="00A672EE" w:rsidP="00A672EE">
      <w:pPr>
        <w:rPr>
          <w:rFonts w:ascii="Arial Black" w:hAnsi="Arial Black"/>
          <w:b/>
          <w:sz w:val="24"/>
          <w:szCs w:val="24"/>
        </w:rPr>
      </w:pPr>
      <w:r w:rsidRPr="009B0E33">
        <w:rPr>
          <w:rFonts w:ascii="Times New Roman" w:hAnsi="Times New Roman"/>
          <w:sz w:val="24"/>
          <w:szCs w:val="24"/>
        </w:rPr>
        <w:t xml:space="preserve">On </w:t>
      </w:r>
      <w:r>
        <w:rPr>
          <w:rFonts w:ascii="Times New Roman" w:hAnsi="Times New Roman"/>
          <w:sz w:val="24"/>
          <w:szCs w:val="24"/>
        </w:rPr>
        <w:t xml:space="preserve">May 28, 2020, in </w:t>
      </w:r>
      <w:r w:rsidRPr="009B0E33">
        <w:rPr>
          <w:rFonts w:ascii="Times New Roman" w:hAnsi="Times New Roman"/>
          <w:sz w:val="24"/>
          <w:szCs w:val="24"/>
          <w:u w:val="single"/>
        </w:rPr>
        <w:t>The City of Kingsville v. Ermelinda Dominguez</w:t>
      </w:r>
      <w:r>
        <w:rPr>
          <w:rFonts w:ascii="Times New Roman" w:hAnsi="Times New Roman"/>
          <w:sz w:val="24"/>
          <w:szCs w:val="24"/>
        </w:rPr>
        <w:t xml:space="preserve">, the Court of Appeals, Thirteenth District of Texas (Corpus Christi – Edinburg), reversed the trial court and ordered the lawsuit dismissed since the firefighter was not driving recklessly, when on an EMS run with lights and siren, he followed an ambulance through a red light at reasonable speed. </w:t>
      </w:r>
      <w:bookmarkEnd w:id="199"/>
      <w:r>
        <w:rPr>
          <w:rFonts w:ascii="Times New Roman" w:hAnsi="Times New Roman"/>
          <w:sz w:val="24"/>
          <w:szCs w:val="24"/>
        </w:rPr>
        <w:t xml:space="preserve">The Court wrote: </w:t>
      </w:r>
      <w:r w:rsidRPr="006D72FE">
        <w:rPr>
          <w:rFonts w:ascii="Times New Roman" w:hAnsi="Times New Roman"/>
          <w:sz w:val="24"/>
          <w:szCs w:val="24"/>
        </w:rPr>
        <w:t>“[T]he fact that Mendiola violated department policy by not coming to a complete stop prior to entering the intersection is not evidence of recklessness. See Hudson, 179 S.W.3d at 700–01; see also City of Laredo v. Varela, No. 04-10-00619-CV, 2011 WL 1852439, *3–5 (Tex. App.—San Antonio May 11, 2011, no pet.) (</w:t>
      </w:r>
      <w:proofErr w:type="gramStart"/>
      <w:r w:rsidRPr="006D72FE">
        <w:rPr>
          <w:rFonts w:ascii="Times New Roman" w:hAnsi="Times New Roman"/>
          <w:sz w:val="24"/>
          <w:szCs w:val="24"/>
        </w:rPr>
        <w:t>mem</w:t>
      </w:r>
      <w:proofErr w:type="gramEnd"/>
      <w:r w:rsidRPr="006D72FE">
        <w:rPr>
          <w:rFonts w:ascii="Times New Roman" w:hAnsi="Times New Roman"/>
          <w:sz w:val="24"/>
          <w:szCs w:val="24"/>
        </w:rPr>
        <w:t>. op.) (holding that an officer’s failure to adhere to policy requiring emergency vehicles to come to complete stop did not raise fact issue as to whether officer acted with reckless disregard for the safety of others). We conclude that the undisputed facts do not demonstrate that Mendiola committed an act that he knew or should have known posed a high degree of risk of serious injury but did not care about the result.SeePerez,511 S.W.3d at 236.</w:t>
      </w:r>
      <w:r>
        <w:rPr>
          <w:rFonts w:ascii="Times New Roman" w:hAnsi="Times New Roman"/>
          <w:sz w:val="24"/>
          <w:szCs w:val="24"/>
        </w:rPr>
        <w:t xml:space="preserve"> </w:t>
      </w:r>
      <w:r w:rsidRPr="006D72FE">
        <w:rPr>
          <w:rFonts w:ascii="Times New Roman" w:hAnsi="Times New Roman"/>
          <w:sz w:val="24"/>
          <w:szCs w:val="24"/>
        </w:rPr>
        <w:t xml:space="preserve">Rather, by travelling at a speed below the speed limit, activating his siren and emergency lights and confirming that the cross-traffic was yielding, Mendiola was not acting with reckless disregard </w:t>
      </w:r>
      <w:proofErr w:type="gramStart"/>
      <w:r w:rsidRPr="006D72FE">
        <w:rPr>
          <w:rFonts w:ascii="Times New Roman" w:hAnsi="Times New Roman"/>
          <w:sz w:val="24"/>
          <w:szCs w:val="24"/>
        </w:rPr>
        <w:t>to</w:t>
      </w:r>
      <w:proofErr w:type="gramEnd"/>
      <w:r w:rsidRPr="006D72FE">
        <w:rPr>
          <w:rFonts w:ascii="Times New Roman" w:hAnsi="Times New Roman"/>
          <w:sz w:val="24"/>
          <w:szCs w:val="24"/>
        </w:rPr>
        <w:t xml:space="preserve"> others. Because the jurisdictional record fails to raise a fact issue regarding recklessness, the City retains its immunity from suit pursuant to the </w:t>
      </w:r>
      <w:r>
        <w:rPr>
          <w:rFonts w:ascii="Times New Roman" w:hAnsi="Times New Roman"/>
          <w:sz w:val="24"/>
          <w:szCs w:val="24"/>
        </w:rPr>
        <w:t>T</w:t>
      </w:r>
      <w:r w:rsidRPr="006D72FE">
        <w:rPr>
          <w:rFonts w:ascii="Times New Roman" w:hAnsi="Times New Roman"/>
          <w:sz w:val="24"/>
          <w:szCs w:val="24"/>
        </w:rPr>
        <w:t xml:space="preserve">TCA’s </w:t>
      </w:r>
      <w:r>
        <w:rPr>
          <w:rFonts w:ascii="Times New Roman" w:hAnsi="Times New Roman"/>
          <w:sz w:val="24"/>
          <w:szCs w:val="24"/>
        </w:rPr>
        <w:t xml:space="preserve">[Texas Tort Claims Act] </w:t>
      </w:r>
      <w:r w:rsidRPr="006D72FE">
        <w:rPr>
          <w:rFonts w:ascii="Times New Roman" w:hAnsi="Times New Roman"/>
          <w:sz w:val="24"/>
          <w:szCs w:val="24"/>
        </w:rPr>
        <w:t xml:space="preserve">emergency response </w:t>
      </w:r>
      <w:proofErr w:type="gramStart"/>
      <w:r w:rsidRPr="006D72FE">
        <w:rPr>
          <w:rFonts w:ascii="Times New Roman" w:hAnsi="Times New Roman"/>
          <w:sz w:val="24"/>
          <w:szCs w:val="24"/>
        </w:rPr>
        <w:t>exception.</w:t>
      </w:r>
      <w:r>
        <w:rPr>
          <w:rFonts w:ascii="Times New Roman" w:hAnsi="Times New Roman"/>
          <w:sz w:val="24"/>
          <w:szCs w:val="24"/>
        </w:rPr>
        <w:t>”</w:t>
      </w:r>
      <w:proofErr w:type="gramEnd"/>
      <w:r>
        <w:rPr>
          <w:rFonts w:ascii="Times New Roman" w:hAnsi="Times New Roman"/>
          <w:sz w:val="24"/>
          <w:szCs w:val="24"/>
        </w:rPr>
        <w:t xml:space="preserve"> </w:t>
      </w:r>
      <w:bookmarkStart w:id="200" w:name="_Hlk66946639"/>
      <w:r w:rsidR="00F00958">
        <w:fldChar w:fldCharType="begin"/>
      </w:r>
      <w:r w:rsidR="00F00958">
        <w:instrText xml:space="preserve"> HYPERLINK "https://www.txcourts.gov/media/1446920/13-19-00236-cv-city-of-kingsville-v-dominguez-memo-op.pdf" </w:instrText>
      </w:r>
      <w:r w:rsidR="00F00958">
        <w:fldChar w:fldCharType="separate"/>
      </w:r>
      <w:r w:rsidRPr="00DE6B93">
        <w:rPr>
          <w:rStyle w:val="Hyperlink"/>
          <w:rFonts w:ascii="Times New Roman" w:hAnsi="Times New Roman"/>
          <w:sz w:val="24"/>
          <w:szCs w:val="24"/>
        </w:rPr>
        <w:t>https://www.txcourts.gov/media/1446920/13-19-00236-cv-city-of-kingsville-v-dominguez-memo-op.pdf</w:t>
      </w:r>
      <w:r w:rsidR="00F00958">
        <w:rPr>
          <w:rStyle w:val="Hyperlink"/>
          <w:rFonts w:ascii="Times New Roman" w:hAnsi="Times New Roman"/>
          <w:sz w:val="24"/>
          <w:szCs w:val="24"/>
        </w:rPr>
        <w:fldChar w:fldCharType="end"/>
      </w:r>
    </w:p>
    <w:p w14:paraId="3930AD62" w14:textId="77777777" w:rsidR="00A672EE" w:rsidRPr="006D72FE" w:rsidRDefault="00A672EE" w:rsidP="00A672EE">
      <w:pPr>
        <w:pStyle w:val="NoSpacing"/>
        <w:rPr>
          <w:rFonts w:ascii="Times New Roman" w:hAnsi="Times New Roman"/>
          <w:b/>
          <w:bCs/>
          <w:sz w:val="24"/>
          <w:szCs w:val="24"/>
        </w:rPr>
      </w:pPr>
      <w:r w:rsidRPr="006D72FE">
        <w:rPr>
          <w:rFonts w:ascii="Times New Roman" w:hAnsi="Times New Roman"/>
          <w:b/>
          <w:bCs/>
          <w:sz w:val="24"/>
          <w:szCs w:val="24"/>
        </w:rPr>
        <w:t>Legal Lessons Learned:</w:t>
      </w:r>
      <w:r>
        <w:rPr>
          <w:rFonts w:ascii="Times New Roman" w:hAnsi="Times New Roman"/>
          <w:b/>
          <w:bCs/>
          <w:sz w:val="24"/>
          <w:szCs w:val="24"/>
        </w:rPr>
        <w:t xml:space="preserve"> FDs should consider including in their emergency vehicle policy those situations where one apparatus is following another through a controlled intersection. </w:t>
      </w:r>
    </w:p>
    <w:bookmarkEnd w:id="200"/>
    <w:p w14:paraId="12E93138" w14:textId="77777777" w:rsidR="00D94DC4" w:rsidRDefault="00D94DC4" w:rsidP="00EF1133">
      <w:pPr>
        <w:rPr>
          <w:rFonts w:ascii="Arial Black" w:hAnsi="Arial Black"/>
          <w:b/>
          <w:sz w:val="24"/>
          <w:szCs w:val="24"/>
        </w:rPr>
      </w:pPr>
    </w:p>
    <w:p w14:paraId="345AC58D" w14:textId="6D774043" w:rsidR="00D94DC4" w:rsidRDefault="00D94DC4" w:rsidP="00EF1133">
      <w:pPr>
        <w:rPr>
          <w:rFonts w:ascii="Arial Black" w:hAnsi="Arial Black"/>
          <w:b/>
          <w:sz w:val="24"/>
          <w:szCs w:val="24"/>
        </w:rPr>
      </w:pPr>
      <w:r>
        <w:rPr>
          <w:rFonts w:ascii="Arial Black" w:hAnsi="Arial Black"/>
          <w:b/>
          <w:sz w:val="24"/>
          <w:szCs w:val="24"/>
        </w:rPr>
        <w:t>5-12</w:t>
      </w:r>
    </w:p>
    <w:p w14:paraId="27084001" w14:textId="77777777" w:rsidR="00D94DC4" w:rsidRPr="008A7C9E" w:rsidRDefault="00D94DC4" w:rsidP="00D94DC4">
      <w:pPr>
        <w:spacing w:before="100" w:beforeAutospacing="1" w:after="100" w:afterAutospacing="1" w:line="240" w:lineRule="auto"/>
        <w:rPr>
          <w:rFonts w:ascii="Arial Black" w:eastAsia="Times New Roman" w:hAnsi="Arial Black"/>
          <w:b/>
          <w:bCs/>
          <w:sz w:val="28"/>
          <w:szCs w:val="28"/>
        </w:rPr>
      </w:pPr>
      <w:r w:rsidRPr="008A7C9E">
        <w:rPr>
          <w:rFonts w:ascii="Arial Black" w:eastAsia="Times New Roman" w:hAnsi="Arial Black"/>
          <w:b/>
          <w:bCs/>
          <w:sz w:val="28"/>
          <w:szCs w:val="28"/>
        </w:rPr>
        <w:t xml:space="preserve">TX: </w:t>
      </w:r>
      <w:r>
        <w:rPr>
          <w:rFonts w:ascii="Arial Black" w:eastAsia="Times New Roman" w:hAnsi="Arial Black"/>
          <w:b/>
          <w:bCs/>
          <w:sz w:val="28"/>
          <w:szCs w:val="28"/>
        </w:rPr>
        <w:t>MEMBER OF COMMUNITY. EMER. RESPONSE TEAM [CERT] - ILLEGALLY USING LIGHTS &amp; SIREN – CONVICTION CONFIRMED</w:t>
      </w:r>
    </w:p>
    <w:p w14:paraId="028C2FA6" w14:textId="77777777" w:rsidR="00D94DC4" w:rsidRDefault="00D94DC4" w:rsidP="00D94DC4">
      <w:pPr>
        <w:spacing w:before="100" w:beforeAutospacing="1" w:after="100" w:afterAutospacing="1" w:line="240" w:lineRule="auto"/>
        <w:rPr>
          <w:rFonts w:ascii="Times New Roman" w:hAnsi="Times New Roman"/>
          <w:sz w:val="24"/>
          <w:szCs w:val="24"/>
        </w:rPr>
      </w:pPr>
      <w:r w:rsidRPr="00726E26">
        <w:rPr>
          <w:rFonts w:ascii="Times New Roman" w:hAnsi="Times New Roman"/>
          <w:sz w:val="24"/>
          <w:szCs w:val="24"/>
        </w:rPr>
        <w:t xml:space="preserve">On April 14, 2020, in </w:t>
      </w:r>
      <w:r w:rsidRPr="00726E26">
        <w:rPr>
          <w:rFonts w:ascii="Times New Roman" w:hAnsi="Times New Roman"/>
          <w:sz w:val="24"/>
          <w:szCs w:val="24"/>
          <w:u w:val="single"/>
        </w:rPr>
        <w:t>Michael Thomas Paul v. State of Texas</w:t>
      </w:r>
      <w:r>
        <w:rPr>
          <w:rFonts w:ascii="Times New Roman" w:hAnsi="Times New Roman"/>
          <w:sz w:val="24"/>
          <w:szCs w:val="24"/>
        </w:rPr>
        <w:t xml:space="preserve">, the Court of Appeals, Seventh District of Texas at Amarillo, held (3 to 0) that defendant was properly convicted after a bench trial (not jury trial) of the </w:t>
      </w:r>
      <w:r w:rsidRPr="00726E26">
        <w:rPr>
          <w:rFonts w:ascii="Times New Roman" w:hAnsi="Times New Roman"/>
          <w:sz w:val="24"/>
          <w:szCs w:val="24"/>
        </w:rPr>
        <w:t>offense of impersonating a public servant, a third-degree felony.</w:t>
      </w:r>
      <w:r>
        <w:rPr>
          <w:rFonts w:ascii="Times New Roman" w:hAnsi="Times New Roman"/>
          <w:sz w:val="24"/>
          <w:szCs w:val="24"/>
        </w:rPr>
        <w:t xml:space="preserve"> </w:t>
      </w:r>
      <w:hyperlink r:id="rId1034" w:history="1">
        <w:r w:rsidRPr="00250842">
          <w:rPr>
            <w:rStyle w:val="Hyperlink"/>
            <w:sz w:val="24"/>
            <w:szCs w:val="24"/>
          </w:rPr>
          <w:t>https://cases.justia.com/texas/seventh-court-of-appeals/2020-07-19-00027-cr.pdf?ts=1586952945</w:t>
        </w:r>
      </w:hyperlink>
      <w:r>
        <w:rPr>
          <w:rFonts w:ascii="Times New Roman" w:hAnsi="Times New Roman"/>
          <w:sz w:val="24"/>
          <w:szCs w:val="24"/>
        </w:rPr>
        <w:t xml:space="preserve"> </w:t>
      </w:r>
    </w:p>
    <w:p w14:paraId="4DDACF54" w14:textId="77777777" w:rsidR="00D94DC4" w:rsidRDefault="00D94DC4" w:rsidP="00D94DC4">
      <w:pPr>
        <w:spacing w:before="100" w:beforeAutospacing="1" w:after="100" w:afterAutospacing="1" w:line="240" w:lineRule="auto"/>
        <w:jc w:val="both"/>
        <w:rPr>
          <w:rFonts w:ascii="Times New Roman" w:hAnsi="Times New Roman"/>
          <w:b/>
          <w:bCs/>
          <w:sz w:val="24"/>
          <w:szCs w:val="24"/>
        </w:rPr>
      </w:pPr>
      <w:r w:rsidRPr="00EC01F5">
        <w:rPr>
          <w:rFonts w:ascii="Times New Roman" w:hAnsi="Times New Roman"/>
          <w:b/>
          <w:bCs/>
          <w:sz w:val="24"/>
          <w:szCs w:val="24"/>
        </w:rPr>
        <w:t>Legal Lessons Learned:</w:t>
      </w:r>
      <w:r>
        <w:rPr>
          <w:rFonts w:ascii="Times New Roman" w:hAnsi="Times New Roman"/>
          <w:b/>
          <w:bCs/>
          <w:sz w:val="24"/>
          <w:szCs w:val="24"/>
        </w:rPr>
        <w:t xml:space="preserve"> Members of CERT Teams should be reminded they are not emergency responders, and use of emergency lights &amp; sirens can lead to conviction. </w:t>
      </w:r>
    </w:p>
    <w:p w14:paraId="5E50B962" w14:textId="77777777" w:rsidR="00D94DC4" w:rsidRPr="00EC01F5" w:rsidRDefault="00D94DC4" w:rsidP="00D94DC4">
      <w:pPr>
        <w:spacing w:before="100" w:beforeAutospacing="1" w:after="100" w:afterAutospacing="1" w:line="240" w:lineRule="auto"/>
        <w:ind w:left="720"/>
        <w:jc w:val="both"/>
        <w:rPr>
          <w:rFonts w:ascii="Times New Roman" w:hAnsi="Times New Roman"/>
          <w:sz w:val="24"/>
          <w:szCs w:val="24"/>
        </w:rPr>
      </w:pPr>
      <w:r w:rsidRPr="00EC01F5">
        <w:rPr>
          <w:rFonts w:ascii="Times New Roman" w:hAnsi="Times New Roman"/>
          <w:sz w:val="24"/>
          <w:szCs w:val="24"/>
        </w:rPr>
        <w:t xml:space="preserve">Note: Defendant </w:t>
      </w:r>
      <w:r>
        <w:rPr>
          <w:rFonts w:ascii="Times New Roman" w:hAnsi="Times New Roman"/>
          <w:sz w:val="24"/>
          <w:szCs w:val="24"/>
        </w:rPr>
        <w:t xml:space="preserve">was very fortunate to receive a suspended sentence and placed on probation for three years. </w:t>
      </w:r>
    </w:p>
    <w:p w14:paraId="2C06A724" w14:textId="71E33349" w:rsidR="00C9355B" w:rsidRDefault="00C9355B" w:rsidP="00EF1133">
      <w:pPr>
        <w:rPr>
          <w:rFonts w:ascii="Arial Black" w:hAnsi="Arial Black"/>
          <w:b/>
          <w:sz w:val="24"/>
          <w:szCs w:val="24"/>
        </w:rPr>
      </w:pPr>
      <w:r>
        <w:rPr>
          <w:rFonts w:ascii="Arial Black" w:hAnsi="Arial Black"/>
          <w:b/>
          <w:sz w:val="24"/>
          <w:szCs w:val="24"/>
        </w:rPr>
        <w:t>5-11</w:t>
      </w:r>
    </w:p>
    <w:p w14:paraId="60F8F100" w14:textId="77777777" w:rsidR="00C9355B" w:rsidRPr="005E0291" w:rsidRDefault="00C9355B" w:rsidP="00C9355B">
      <w:pPr>
        <w:spacing w:before="100" w:beforeAutospacing="1" w:after="100" w:afterAutospacing="1"/>
        <w:rPr>
          <w:rFonts w:ascii="Arial Black" w:eastAsia="Times New Roman" w:hAnsi="Arial Black"/>
          <w:b/>
          <w:sz w:val="28"/>
          <w:szCs w:val="28"/>
        </w:rPr>
      </w:pPr>
      <w:bookmarkStart w:id="201" w:name="_Hlk39763993"/>
      <w:r w:rsidRPr="005E0291">
        <w:rPr>
          <w:rFonts w:ascii="Arial Black" w:eastAsia="Times New Roman" w:hAnsi="Arial Black"/>
          <w:sz w:val="28"/>
          <w:szCs w:val="28"/>
        </w:rPr>
        <w:t xml:space="preserve">LA: </w:t>
      </w:r>
      <w:r>
        <w:rPr>
          <w:rFonts w:ascii="Arial Black" w:eastAsia="Times New Roman" w:hAnsi="Arial Black"/>
          <w:sz w:val="28"/>
          <w:szCs w:val="28"/>
        </w:rPr>
        <w:t xml:space="preserve"> ENGINE EMER. RUN – FROM LEFT LANE, MADE SHARP RIGHT TURN, COLLISION – GROSS NEGLIGENCE - NO IMMUNITY</w:t>
      </w:r>
    </w:p>
    <w:p w14:paraId="49427D51" w14:textId="77777777" w:rsidR="00C9355B" w:rsidRPr="009C4A80" w:rsidRDefault="00C9355B" w:rsidP="00C9355B">
      <w:pPr>
        <w:spacing w:before="100" w:beforeAutospacing="1" w:after="100" w:afterAutospacing="1"/>
        <w:rPr>
          <w:rFonts w:ascii="Times New Roman" w:eastAsia="Times New Roman" w:hAnsi="Times New Roman"/>
          <w:b/>
          <w:sz w:val="24"/>
          <w:szCs w:val="24"/>
        </w:rPr>
      </w:pPr>
      <w:r w:rsidRPr="009C4A80">
        <w:rPr>
          <w:rFonts w:ascii="Times New Roman" w:eastAsia="Times New Roman" w:hAnsi="Times New Roman"/>
          <w:sz w:val="24"/>
          <w:szCs w:val="24"/>
        </w:rPr>
        <w:t xml:space="preserve">On Jan. 8, 2020, in </w:t>
      </w:r>
      <w:r w:rsidRPr="009C4A80">
        <w:rPr>
          <w:rFonts w:ascii="Times New Roman" w:eastAsia="Times New Roman" w:hAnsi="Times New Roman"/>
          <w:sz w:val="24"/>
          <w:szCs w:val="24"/>
          <w:u w:val="single"/>
        </w:rPr>
        <w:t>Louis Ridgel v. Mitchell Chevalier, St. Bernard Parish Fire Department, et al</w:t>
      </w:r>
      <w:r w:rsidRPr="009C4A80">
        <w:rPr>
          <w:rFonts w:ascii="Times New Roman" w:eastAsia="Times New Roman" w:hAnsi="Times New Roman"/>
          <w:sz w:val="24"/>
          <w:szCs w:val="24"/>
        </w:rPr>
        <w:t xml:space="preserve">., the LA Court of Appeals, Fourth Circuit, held (3 to 0) that the trial judge properly found that the firefighter’s sharp right turn, even if had lights and sirens on, amounted to “gross negligence” and therefore the states’ immunity statute did not apply. </w:t>
      </w:r>
    </w:p>
    <w:p w14:paraId="0D3BF24F" w14:textId="16CE70FB" w:rsidR="00C9355B" w:rsidRPr="009C4A80" w:rsidRDefault="00C9355B" w:rsidP="009C4A80">
      <w:pPr>
        <w:ind w:left="720"/>
        <w:rPr>
          <w:rFonts w:ascii="Times New Roman" w:hAnsi="Times New Roman"/>
          <w:b/>
          <w:sz w:val="24"/>
          <w:szCs w:val="24"/>
        </w:rPr>
      </w:pPr>
      <w:r w:rsidRPr="009C4A80">
        <w:rPr>
          <w:rFonts w:ascii="Times New Roman" w:hAnsi="Times New Roman"/>
          <w:bCs/>
          <w:sz w:val="24"/>
          <w:szCs w:val="24"/>
        </w:rPr>
        <w:t xml:space="preserve">“The trial court found, however, that Mr. Chevalier [FF driver] should have kept a proper lookout for other motorists on the road, specifically because he was making a right turn from the left lane. Further, the trial court determined that the evidence showed that Mr. Chevalier intended to make a quick right turn from the left lane onto West Judge Perez </w:t>
      </w:r>
      <w:proofErr w:type="gramStart"/>
      <w:r w:rsidRPr="009C4A80">
        <w:rPr>
          <w:rFonts w:ascii="Times New Roman" w:hAnsi="Times New Roman"/>
          <w:bCs/>
          <w:sz w:val="24"/>
          <w:szCs w:val="24"/>
        </w:rPr>
        <w:t>Drive, but</w:t>
      </w:r>
      <w:proofErr w:type="gramEnd"/>
      <w:r w:rsidRPr="009C4A80">
        <w:rPr>
          <w:rFonts w:ascii="Times New Roman" w:hAnsi="Times New Roman"/>
          <w:bCs/>
          <w:sz w:val="24"/>
          <w:szCs w:val="24"/>
        </w:rPr>
        <w:t xml:space="preserve"> did not ensure it was safe to make that right turn. As such, the trial court determined that Mr. Chevalier’s actions constituted gross negligence despite the immunity established by La. R.S. 32:24. We agree.  </w:t>
      </w:r>
      <w:hyperlink r:id="rId1035" w:history="1">
        <w:r w:rsidRPr="009C4A80">
          <w:rPr>
            <w:rStyle w:val="Hyperlink"/>
            <w:rFonts w:ascii="Times New Roman" w:hAnsi="Times New Roman"/>
            <w:b/>
            <w:sz w:val="24"/>
            <w:szCs w:val="24"/>
          </w:rPr>
          <w:t>https://cases.justia.com/louisiana/fourth-circuit-court-of-appeal/2020-2019-ca-0250.pdf?ts=1578564502</w:t>
        </w:r>
      </w:hyperlink>
    </w:p>
    <w:p w14:paraId="5E2F24FC" w14:textId="77777777" w:rsidR="00C9355B" w:rsidRPr="009C4A80" w:rsidRDefault="00C9355B" w:rsidP="00C9355B">
      <w:pPr>
        <w:spacing w:before="100" w:beforeAutospacing="1" w:after="100" w:afterAutospacing="1"/>
        <w:rPr>
          <w:rFonts w:ascii="Times New Roman" w:hAnsi="Times New Roman"/>
          <w:b/>
          <w:bCs/>
          <w:sz w:val="24"/>
          <w:szCs w:val="24"/>
        </w:rPr>
      </w:pPr>
      <w:bookmarkStart w:id="202" w:name="_Hlk40510107"/>
      <w:bookmarkEnd w:id="201"/>
      <w:r w:rsidRPr="009C4A80">
        <w:rPr>
          <w:rFonts w:ascii="Times New Roman" w:hAnsi="Times New Roman"/>
          <w:b/>
          <w:bCs/>
          <w:sz w:val="24"/>
          <w:szCs w:val="24"/>
        </w:rPr>
        <w:t xml:space="preserve">Legal Lessons Learned:  Share these facts with your FD and discuss what steps could have been taken by both the FF driver and the </w:t>
      </w:r>
      <w:proofErr w:type="gramStart"/>
      <w:r w:rsidRPr="009C4A80">
        <w:rPr>
          <w:rFonts w:ascii="Times New Roman" w:hAnsi="Times New Roman"/>
          <w:b/>
          <w:bCs/>
          <w:sz w:val="24"/>
          <w:szCs w:val="24"/>
        </w:rPr>
        <w:t>Captain</w:t>
      </w:r>
      <w:proofErr w:type="gramEnd"/>
      <w:r w:rsidRPr="009C4A80">
        <w:rPr>
          <w:rFonts w:ascii="Times New Roman" w:hAnsi="Times New Roman"/>
          <w:b/>
          <w:bCs/>
          <w:sz w:val="24"/>
          <w:szCs w:val="24"/>
        </w:rPr>
        <w:t xml:space="preserve"> to avoid the collision.  FYI: the plaintiff claimed personal injury and was awarded total of $143,074 in damages.  </w:t>
      </w:r>
    </w:p>
    <w:bookmarkEnd w:id="202"/>
    <w:p w14:paraId="4A855BE8" w14:textId="7923C1DF" w:rsidR="00C9355B" w:rsidRPr="009C4A80" w:rsidRDefault="00C9355B" w:rsidP="00EF1133">
      <w:pPr>
        <w:rPr>
          <w:rFonts w:ascii="Times New Roman" w:hAnsi="Times New Roman"/>
          <w:b/>
          <w:sz w:val="24"/>
          <w:szCs w:val="24"/>
        </w:rPr>
      </w:pPr>
    </w:p>
    <w:p w14:paraId="6BD18C1C" w14:textId="77777777" w:rsidR="00C9355B" w:rsidRDefault="00C9355B" w:rsidP="00EF1133">
      <w:pPr>
        <w:rPr>
          <w:rFonts w:ascii="Arial Black" w:hAnsi="Arial Black"/>
          <w:b/>
          <w:sz w:val="24"/>
          <w:szCs w:val="24"/>
        </w:rPr>
      </w:pPr>
    </w:p>
    <w:p w14:paraId="70C69FEB" w14:textId="4A43F479" w:rsidR="00A06387" w:rsidRDefault="00A06387" w:rsidP="00EF1133">
      <w:pPr>
        <w:rPr>
          <w:rFonts w:ascii="Arial Black" w:hAnsi="Arial Black"/>
          <w:b/>
          <w:sz w:val="24"/>
          <w:szCs w:val="24"/>
        </w:rPr>
      </w:pPr>
      <w:r>
        <w:rPr>
          <w:rFonts w:ascii="Arial Black" w:hAnsi="Arial Black"/>
          <w:b/>
          <w:sz w:val="24"/>
          <w:szCs w:val="24"/>
        </w:rPr>
        <w:t>5-10</w:t>
      </w:r>
    </w:p>
    <w:p w14:paraId="203A74FE" w14:textId="77777777" w:rsidR="00A06387" w:rsidRDefault="00A06387" w:rsidP="00A06387">
      <w:pPr>
        <w:pStyle w:val="NoSpacing"/>
        <w:rPr>
          <w:rFonts w:ascii="Arial Black" w:hAnsi="Arial Black"/>
          <w:sz w:val="28"/>
          <w:szCs w:val="28"/>
        </w:rPr>
      </w:pPr>
      <w:r>
        <w:rPr>
          <w:rFonts w:ascii="Arial Black" w:hAnsi="Arial Black"/>
          <w:sz w:val="28"/>
          <w:szCs w:val="28"/>
        </w:rPr>
        <w:t xml:space="preserve">TX:  PD RESPONSE ROBBERY CALL – MVA – CONFLICTING REPORTS ON EMERENCY LIGHTS, LAWSUIT REINSTATED </w:t>
      </w:r>
    </w:p>
    <w:p w14:paraId="7DA6E9FE" w14:textId="77777777" w:rsidR="00A06387" w:rsidRDefault="00A06387" w:rsidP="00A06387">
      <w:pPr>
        <w:pStyle w:val="NoSpacing"/>
        <w:rPr>
          <w:rFonts w:ascii="Arial Black" w:hAnsi="Arial Black"/>
          <w:sz w:val="28"/>
          <w:szCs w:val="28"/>
        </w:rPr>
      </w:pPr>
    </w:p>
    <w:p w14:paraId="076BBE8C"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t xml:space="preserve">On Oct. 29, 2019, in </w:t>
      </w:r>
      <w:r w:rsidRPr="009C4A80">
        <w:rPr>
          <w:rFonts w:ascii="Times New Roman" w:hAnsi="Times New Roman"/>
          <w:bCs/>
          <w:sz w:val="24"/>
          <w:szCs w:val="24"/>
          <w:u w:val="single"/>
        </w:rPr>
        <w:t>Marcia Gomez v. City of Houston</w:t>
      </w:r>
      <w:r w:rsidRPr="009C4A80">
        <w:rPr>
          <w:rFonts w:ascii="Times New Roman" w:hAnsi="Times New Roman"/>
          <w:bCs/>
          <w:sz w:val="24"/>
          <w:szCs w:val="24"/>
        </w:rPr>
        <w:t>, the Texas Fourteenth Court of Appeals held (</w:t>
      </w:r>
      <w:proofErr w:type="spellStart"/>
      <w:r w:rsidRPr="009C4A80">
        <w:rPr>
          <w:rFonts w:ascii="Times New Roman" w:hAnsi="Times New Roman"/>
          <w:bCs/>
          <w:sz w:val="24"/>
          <w:szCs w:val="24"/>
        </w:rPr>
        <w:t>en</w:t>
      </w:r>
      <w:proofErr w:type="spellEnd"/>
      <w:r w:rsidRPr="009C4A80">
        <w:rPr>
          <w:rFonts w:ascii="Times New Roman" w:hAnsi="Times New Roman"/>
          <w:bCs/>
          <w:sz w:val="24"/>
          <w:szCs w:val="24"/>
        </w:rPr>
        <w:t xml:space="preserve"> banc decision of all judges on court, vote of 6 to 3) held that the trial court improperly granted immunity to the City.  </w:t>
      </w:r>
    </w:p>
    <w:p w14:paraId="15AF2870" w14:textId="77777777" w:rsidR="00A06387" w:rsidRPr="009C4A80" w:rsidRDefault="00A06387" w:rsidP="00A06387">
      <w:pPr>
        <w:pStyle w:val="NoSpacing"/>
        <w:ind w:left="720"/>
        <w:rPr>
          <w:rFonts w:ascii="Times New Roman" w:hAnsi="Times New Roman"/>
          <w:sz w:val="24"/>
          <w:szCs w:val="24"/>
        </w:rPr>
      </w:pPr>
    </w:p>
    <w:p w14:paraId="7BAEFF84" w14:textId="5D3AF1D3"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sz w:val="24"/>
          <w:szCs w:val="24"/>
        </w:rPr>
        <w:t>“</w:t>
      </w:r>
      <w:r w:rsidRPr="009C4A80">
        <w:rPr>
          <w:rFonts w:ascii="Times New Roman" w:hAnsi="Times New Roman"/>
          <w:bCs/>
          <w:sz w:val="24"/>
          <w:szCs w:val="24"/>
        </w:rPr>
        <w:t xml:space="preserve">Thus, the City’s evidence of good faith assumes the truth of a disputed fact —that [Officer] Simmons was using his overhead emergency lights as he approached the </w:t>
      </w:r>
      <w:proofErr w:type="spellStart"/>
      <w:r w:rsidRPr="009C4A80">
        <w:rPr>
          <w:rFonts w:ascii="Times New Roman" w:hAnsi="Times New Roman"/>
          <w:bCs/>
          <w:sz w:val="24"/>
          <w:szCs w:val="24"/>
        </w:rPr>
        <w:t>Crosstimbers</w:t>
      </w:r>
      <w:proofErr w:type="spellEnd"/>
      <w:r w:rsidRPr="009C4A80">
        <w:rPr>
          <w:rFonts w:ascii="Times New Roman" w:hAnsi="Times New Roman"/>
          <w:bCs/>
          <w:sz w:val="24"/>
          <w:szCs w:val="24"/>
        </w:rPr>
        <w:t xml:space="preserve"> intersection. Simmons testified that he used overhead emergency lights continuously from the beginning of his response to the armed-robbery call, but the record contains other evidence that he did not do so. This evidence includes (1) [plaintiff] Gomez’s affidavit testimony that Simmons was not using his vehicle’s overhead emergency lights and (2) [Houston PD Accident Investigator Isaac] Jefferson’s PD accident  determination in his investigation report that Simmons was not using his vehicle’s overhead emergency lights before the collision.”  </w:t>
      </w:r>
    </w:p>
    <w:p w14:paraId="038D58F4" w14:textId="77777777" w:rsidR="00A06387" w:rsidRPr="009C4A80" w:rsidRDefault="00A06387" w:rsidP="00A06387">
      <w:pPr>
        <w:pStyle w:val="NoSpacing"/>
        <w:ind w:left="720"/>
        <w:rPr>
          <w:rFonts w:ascii="Times New Roman" w:hAnsi="Times New Roman"/>
          <w:b/>
          <w:bCs/>
          <w:sz w:val="24"/>
          <w:szCs w:val="24"/>
        </w:rPr>
      </w:pPr>
    </w:p>
    <w:p w14:paraId="609A2EA1"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w:t>
      </w:r>
    </w:p>
    <w:p w14:paraId="15FBB3DA"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The City did not conclusively establish Simmons’s good faith, and a material fact issue exists as to whether Simmons acted recklessly.3Therefore, we reverse the trial court’s judgment and remand the case to the trial court for further proceeding </w:t>
      </w:r>
      <w:proofErr w:type="gramStart"/>
      <w:r w:rsidRPr="009C4A80">
        <w:rPr>
          <w:rFonts w:ascii="Times New Roman" w:hAnsi="Times New Roman"/>
          <w:bCs/>
          <w:sz w:val="24"/>
          <w:szCs w:val="24"/>
        </w:rPr>
        <w:t>consistent</w:t>
      </w:r>
      <w:proofErr w:type="gramEnd"/>
      <w:r w:rsidRPr="009C4A80">
        <w:rPr>
          <w:rFonts w:ascii="Times New Roman" w:hAnsi="Times New Roman"/>
          <w:bCs/>
          <w:sz w:val="24"/>
          <w:szCs w:val="24"/>
        </w:rPr>
        <w:t xml:space="preserve"> with this opinion.</w:t>
      </w:r>
    </w:p>
    <w:p w14:paraId="742F721B" w14:textId="77777777" w:rsidR="00A06387" w:rsidRPr="009C4A80" w:rsidRDefault="00A06387" w:rsidP="00A06387">
      <w:pPr>
        <w:pStyle w:val="NoSpacing"/>
        <w:ind w:left="720"/>
        <w:rPr>
          <w:rFonts w:ascii="Times New Roman" w:hAnsi="Times New Roman"/>
          <w:b/>
          <w:bCs/>
          <w:sz w:val="24"/>
          <w:szCs w:val="24"/>
        </w:rPr>
      </w:pPr>
      <w:hyperlink r:id="rId1036" w:history="1">
        <w:r w:rsidRPr="009C4A80">
          <w:rPr>
            <w:rStyle w:val="Hyperlink"/>
            <w:rFonts w:ascii="Times New Roman" w:hAnsi="Times New Roman"/>
            <w:bCs/>
            <w:sz w:val="24"/>
            <w:szCs w:val="24"/>
          </w:rPr>
          <w:t>https://cases.justia.com/texas/fourteenth-court-of-appeals/2019-14-17-00811-cv.pdf?ts=1572351542</w:t>
        </w:r>
      </w:hyperlink>
      <w:r w:rsidRPr="009C4A80">
        <w:rPr>
          <w:rFonts w:ascii="Times New Roman" w:hAnsi="Times New Roman"/>
          <w:bCs/>
          <w:sz w:val="24"/>
          <w:szCs w:val="24"/>
        </w:rPr>
        <w:t xml:space="preserve"> </w:t>
      </w:r>
    </w:p>
    <w:p w14:paraId="5B3973B0"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 </w:t>
      </w:r>
    </w:p>
    <w:p w14:paraId="22C8999F"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
          <w:bCs/>
          <w:sz w:val="24"/>
          <w:szCs w:val="24"/>
        </w:rPr>
        <w:t>Legal Lessons Learned:  Emergency response when lights &amp; siren not used, extreme care must be exercised to prove you drove with “due regard” for the safety of others</w:t>
      </w:r>
      <w:r w:rsidRPr="009C4A80">
        <w:rPr>
          <w:rFonts w:ascii="Times New Roman" w:hAnsi="Times New Roman"/>
          <w:sz w:val="24"/>
          <w:szCs w:val="24"/>
        </w:rPr>
        <w:t xml:space="preserve">. </w:t>
      </w:r>
      <w:r w:rsidRPr="009C4A80">
        <w:rPr>
          <w:rFonts w:ascii="Times New Roman" w:hAnsi="Times New Roman"/>
          <w:bCs/>
          <w:sz w:val="24"/>
          <w:szCs w:val="24"/>
        </w:rPr>
        <w:t xml:space="preserve">For example, Ohio Revised Code 4511.03, Emergency Vehicles At Red Signal Or Stop Sign, provides:  “(A) The driver of any emergency vehicle or public safety vehicle, when responding to an emergency call, upon approaching a red or stop signal or any stop sign shall slow down as necessary for safety to traffic, but may proceed cautiously past such red or stop sign or signal with due regard for the safety of all persons using the street or highway.” </w:t>
      </w:r>
      <w:hyperlink r:id="rId1037" w:history="1">
        <w:r w:rsidRPr="009C4A80">
          <w:rPr>
            <w:rStyle w:val="Hyperlink"/>
            <w:rFonts w:ascii="Times New Roman" w:hAnsi="Times New Roman"/>
            <w:bCs/>
            <w:sz w:val="24"/>
            <w:szCs w:val="24"/>
          </w:rPr>
          <w:t>http://codes.ohio.gov/orc/4511.03v1</w:t>
        </w:r>
      </w:hyperlink>
      <w:r w:rsidRPr="009C4A80">
        <w:rPr>
          <w:rFonts w:ascii="Times New Roman" w:hAnsi="Times New Roman"/>
          <w:bCs/>
          <w:sz w:val="24"/>
          <w:szCs w:val="24"/>
        </w:rPr>
        <w:t xml:space="preserve"> </w:t>
      </w:r>
    </w:p>
    <w:p w14:paraId="19C11B21" w14:textId="255D36C4" w:rsidR="00A06387" w:rsidRPr="009C4A80" w:rsidRDefault="00A06387" w:rsidP="00EF1133">
      <w:pPr>
        <w:rPr>
          <w:rFonts w:ascii="Times New Roman" w:hAnsi="Times New Roman"/>
          <w:b/>
          <w:sz w:val="24"/>
          <w:szCs w:val="24"/>
        </w:rPr>
      </w:pPr>
    </w:p>
    <w:p w14:paraId="7351F4B7" w14:textId="77777777" w:rsidR="00A06387" w:rsidRDefault="00A06387" w:rsidP="00EF1133">
      <w:pPr>
        <w:rPr>
          <w:rFonts w:ascii="Arial Black" w:hAnsi="Arial Black"/>
          <w:b/>
          <w:sz w:val="24"/>
          <w:szCs w:val="24"/>
        </w:rPr>
      </w:pPr>
    </w:p>
    <w:p w14:paraId="120A335C" w14:textId="77777777" w:rsidR="00A06387" w:rsidRDefault="00A06387" w:rsidP="00EF1133">
      <w:pPr>
        <w:rPr>
          <w:rFonts w:ascii="Arial Black" w:hAnsi="Arial Black"/>
          <w:b/>
          <w:sz w:val="24"/>
          <w:szCs w:val="24"/>
        </w:rPr>
      </w:pPr>
    </w:p>
    <w:p w14:paraId="58D952EB" w14:textId="2A261541" w:rsidR="009F0F05" w:rsidRDefault="009F0F05" w:rsidP="00EF1133">
      <w:pPr>
        <w:rPr>
          <w:rFonts w:ascii="Arial Black" w:hAnsi="Arial Black"/>
          <w:b/>
          <w:sz w:val="24"/>
          <w:szCs w:val="24"/>
        </w:rPr>
      </w:pPr>
      <w:r>
        <w:rPr>
          <w:rFonts w:ascii="Arial Black" w:hAnsi="Arial Black"/>
          <w:b/>
          <w:sz w:val="24"/>
          <w:szCs w:val="24"/>
        </w:rPr>
        <w:t>5-9</w:t>
      </w:r>
    </w:p>
    <w:p w14:paraId="6F8A33AD" w14:textId="77777777" w:rsidR="009F0F05" w:rsidRPr="003D7FE9" w:rsidRDefault="009F0F05" w:rsidP="009F0F05">
      <w:pPr>
        <w:rPr>
          <w:rFonts w:ascii="Arial Black" w:hAnsi="Arial Black"/>
          <w:sz w:val="28"/>
          <w:szCs w:val="28"/>
        </w:rPr>
      </w:pPr>
      <w:bookmarkStart w:id="203" w:name="_Hlk39764089"/>
      <w:r w:rsidRPr="003D7FE9">
        <w:rPr>
          <w:rFonts w:ascii="Arial Black" w:hAnsi="Arial Black"/>
          <w:sz w:val="28"/>
          <w:szCs w:val="28"/>
        </w:rPr>
        <w:t xml:space="preserve">NY: </w:t>
      </w:r>
      <w:r>
        <w:rPr>
          <w:rFonts w:ascii="Arial Black" w:hAnsi="Arial Black"/>
          <w:sz w:val="28"/>
          <w:szCs w:val="28"/>
        </w:rPr>
        <w:t xml:space="preserve">VOL. FF INJURED ENGINE ROLLED OVER – CAN NOT SUE VOL. DRIVER OR FD - NO PROOF WILLFUL NEGLIGENCE </w:t>
      </w:r>
    </w:p>
    <w:p w14:paraId="23ED54A8" w14:textId="2D0DE6E4" w:rsidR="009F0F05" w:rsidRPr="006756B6" w:rsidRDefault="009F0F05" w:rsidP="009F0F05">
      <w:pPr>
        <w:rPr>
          <w:rFonts w:ascii="Times New Roman" w:hAnsi="Times New Roman"/>
          <w:sz w:val="24"/>
          <w:szCs w:val="24"/>
        </w:rPr>
      </w:pPr>
      <w:r w:rsidRPr="006756B6">
        <w:rPr>
          <w:rFonts w:ascii="Times New Roman" w:hAnsi="Times New Roman"/>
          <w:sz w:val="24"/>
          <w:szCs w:val="24"/>
        </w:rPr>
        <w:t xml:space="preserve">On </w:t>
      </w:r>
      <w:bookmarkStart w:id="204" w:name="_Hlk39836866"/>
      <w:r w:rsidRPr="006756B6">
        <w:rPr>
          <w:rFonts w:ascii="Times New Roman" w:hAnsi="Times New Roman"/>
          <w:sz w:val="24"/>
          <w:szCs w:val="24"/>
        </w:rPr>
        <w:t xml:space="preserve">Aug. 13, 2019, in </w:t>
      </w:r>
      <w:r w:rsidRPr="006756B6">
        <w:rPr>
          <w:rFonts w:ascii="Times New Roman" w:hAnsi="Times New Roman"/>
          <w:sz w:val="24"/>
          <w:szCs w:val="24"/>
          <w:u w:val="single"/>
        </w:rPr>
        <w:t xml:space="preserve">Robert E. Lee v. Kyle M. Verstraete and </w:t>
      </w:r>
      <w:proofErr w:type="spellStart"/>
      <w:r w:rsidRPr="006756B6">
        <w:rPr>
          <w:rFonts w:ascii="Times New Roman" w:hAnsi="Times New Roman"/>
          <w:sz w:val="24"/>
          <w:szCs w:val="24"/>
          <w:u w:val="single"/>
        </w:rPr>
        <w:t>Marbletown</w:t>
      </w:r>
      <w:proofErr w:type="spellEnd"/>
      <w:r w:rsidRPr="006756B6">
        <w:rPr>
          <w:rFonts w:ascii="Times New Roman" w:hAnsi="Times New Roman"/>
          <w:sz w:val="24"/>
          <w:szCs w:val="24"/>
          <w:u w:val="single"/>
        </w:rPr>
        <w:t xml:space="preserve"> Volunteer Fire Department, Inc, et a</w:t>
      </w:r>
      <w:r w:rsidRPr="006756B6">
        <w:rPr>
          <w:rFonts w:ascii="Times New Roman" w:hAnsi="Times New Roman"/>
          <w:sz w:val="24"/>
          <w:szCs w:val="24"/>
        </w:rPr>
        <w:t>l</w:t>
      </w:r>
      <w:bookmarkEnd w:id="204"/>
      <w:r w:rsidRPr="006756B6">
        <w:rPr>
          <w:rFonts w:ascii="Times New Roman" w:hAnsi="Times New Roman"/>
          <w:sz w:val="24"/>
          <w:szCs w:val="24"/>
        </w:rPr>
        <w:t xml:space="preserve">., Superior Court, Wayne County, 2019 NY Slip Op 29270 (N.Y. Sup. Ct., 2019), Acting Supreme Court Justice John B. Nesbitt granted defense motion to dismiss.  </w:t>
      </w:r>
    </w:p>
    <w:p w14:paraId="4E8930A3" w14:textId="628EAE52" w:rsidR="00DC51D4" w:rsidRPr="006756B6" w:rsidRDefault="009F0F05" w:rsidP="00DC51D4">
      <w:pPr>
        <w:ind w:left="720"/>
        <w:rPr>
          <w:rFonts w:ascii="Times New Roman" w:hAnsi="Times New Roman"/>
          <w:sz w:val="24"/>
          <w:szCs w:val="24"/>
        </w:rPr>
      </w:pPr>
      <w:r w:rsidRPr="006756B6">
        <w:rPr>
          <w:rFonts w:ascii="Times New Roman" w:hAnsi="Times New Roman"/>
          <w:sz w:val="24"/>
          <w:szCs w:val="24"/>
        </w:rPr>
        <w:t xml:space="preserve">“After long thought and careful analysis, the Court grants both </w:t>
      </w:r>
      <w:proofErr w:type="gramStart"/>
      <w:r w:rsidRPr="006756B6">
        <w:rPr>
          <w:rFonts w:ascii="Times New Roman" w:hAnsi="Times New Roman"/>
          <w:sz w:val="24"/>
          <w:szCs w:val="24"/>
        </w:rPr>
        <w:t>defendants</w:t>
      </w:r>
      <w:proofErr w:type="gramEnd"/>
      <w:r w:rsidR="00DC51D4">
        <w:rPr>
          <w:rFonts w:ascii="Times New Roman" w:hAnsi="Times New Roman"/>
          <w:sz w:val="24"/>
          <w:szCs w:val="24"/>
        </w:rPr>
        <w:t xml:space="preserve"> </w:t>
      </w:r>
      <w:r w:rsidRPr="006756B6">
        <w:rPr>
          <w:rFonts w:ascii="Times New Roman" w:hAnsi="Times New Roman"/>
          <w:sz w:val="24"/>
          <w:szCs w:val="24"/>
        </w:rPr>
        <w:t>motions for judgment dismissing the complaint and denying plaintiff's motion to amend the same. First, the Court finds, as a matter of law, upon the papers submitted, that plaintiff fails to demonstrate a triable issue whether the conduct of Kyle Verstraete constituted willful negligence or malfeasance.”</w:t>
      </w:r>
      <w:r w:rsidR="00DC51D4">
        <w:rPr>
          <w:rFonts w:ascii="Times New Roman" w:hAnsi="Times New Roman"/>
          <w:sz w:val="24"/>
          <w:szCs w:val="24"/>
        </w:rPr>
        <w:t xml:space="preserve">  </w:t>
      </w:r>
      <w:bookmarkStart w:id="205" w:name="_Hlk39836885"/>
      <w:r w:rsidR="00DC51D4">
        <w:fldChar w:fldCharType="begin"/>
      </w:r>
      <w:r w:rsidR="00DC51D4">
        <w:instrText xml:space="preserve"> HYPERLINK "https://law.justia.com/cases/new-york/other-courts/2019/2019-ny-slip-op-29270.html" </w:instrText>
      </w:r>
      <w:r w:rsidR="00DC51D4">
        <w:fldChar w:fldCharType="separate"/>
      </w:r>
      <w:r w:rsidR="00DC51D4" w:rsidRPr="006756B6">
        <w:rPr>
          <w:rStyle w:val="Hyperlink"/>
          <w:rFonts w:ascii="Times New Roman" w:hAnsi="Times New Roman"/>
          <w:sz w:val="24"/>
          <w:szCs w:val="24"/>
        </w:rPr>
        <w:t>https://law.justia.com/cases/new-york/other-courts/2019/2019-ny-slip-op-29270.html</w:t>
      </w:r>
      <w:r w:rsidR="00DC51D4">
        <w:rPr>
          <w:rStyle w:val="Hyperlink"/>
          <w:rFonts w:ascii="Times New Roman" w:hAnsi="Times New Roman"/>
          <w:sz w:val="24"/>
          <w:szCs w:val="24"/>
        </w:rPr>
        <w:fldChar w:fldCharType="end"/>
      </w:r>
      <w:r w:rsidR="00DC51D4" w:rsidRPr="006756B6">
        <w:rPr>
          <w:rFonts w:ascii="Times New Roman" w:hAnsi="Times New Roman"/>
          <w:sz w:val="24"/>
          <w:szCs w:val="24"/>
        </w:rPr>
        <w:t xml:space="preserve"> </w:t>
      </w:r>
    </w:p>
    <w:bookmarkEnd w:id="205"/>
    <w:p w14:paraId="62D57E95" w14:textId="001BB76F" w:rsidR="009F0F05" w:rsidRPr="006756B6" w:rsidRDefault="009F0F05" w:rsidP="009F0F05">
      <w:pPr>
        <w:ind w:left="720"/>
        <w:rPr>
          <w:rFonts w:ascii="Times New Roman" w:hAnsi="Times New Roman"/>
          <w:sz w:val="24"/>
          <w:szCs w:val="24"/>
        </w:rPr>
      </w:pPr>
    </w:p>
    <w:bookmarkEnd w:id="203"/>
    <w:p w14:paraId="694A62E5" w14:textId="640BABF1" w:rsidR="009F0F05" w:rsidRDefault="009F0F05" w:rsidP="009F0F05">
      <w:pPr>
        <w:pStyle w:val="NoSpacing"/>
        <w:rPr>
          <w:rFonts w:ascii="Times New Roman" w:hAnsi="Times New Roman"/>
          <w:b/>
          <w:bCs/>
          <w:sz w:val="24"/>
          <w:szCs w:val="24"/>
        </w:rPr>
      </w:pPr>
      <w:r>
        <w:rPr>
          <w:rFonts w:ascii="Times New Roman" w:hAnsi="Times New Roman"/>
          <w:b/>
          <w:bCs/>
          <w:sz w:val="24"/>
          <w:szCs w:val="24"/>
        </w:rPr>
        <w:t xml:space="preserve">Legal Lessons Learned: The injured volunteer firefighter’s only remedy is workers comp.  </w:t>
      </w:r>
      <w:proofErr w:type="gramStart"/>
      <w:r>
        <w:rPr>
          <w:rFonts w:ascii="Times New Roman" w:hAnsi="Times New Roman"/>
          <w:b/>
          <w:bCs/>
          <w:sz w:val="24"/>
          <w:szCs w:val="24"/>
        </w:rPr>
        <w:t>Other</w:t>
      </w:r>
      <w:proofErr w:type="gramEnd"/>
      <w:r>
        <w:rPr>
          <w:rFonts w:ascii="Times New Roman" w:hAnsi="Times New Roman"/>
          <w:b/>
          <w:bCs/>
          <w:sz w:val="24"/>
          <w:szCs w:val="24"/>
        </w:rPr>
        <w:t xml:space="preserve"> lesson - wear your seat belt.</w:t>
      </w:r>
    </w:p>
    <w:p w14:paraId="2ED036E9" w14:textId="04D753E0" w:rsidR="00E26EA8" w:rsidRDefault="00E26EA8" w:rsidP="009F0F05">
      <w:pPr>
        <w:pStyle w:val="NoSpacing"/>
        <w:rPr>
          <w:rFonts w:ascii="Times New Roman" w:hAnsi="Times New Roman"/>
          <w:b/>
          <w:bCs/>
          <w:sz w:val="24"/>
          <w:szCs w:val="24"/>
        </w:rPr>
      </w:pPr>
    </w:p>
    <w:p w14:paraId="659533B1" w14:textId="092AC4E6" w:rsidR="009F0F05" w:rsidRPr="00715CF2" w:rsidRDefault="009F0F05" w:rsidP="00EF1133">
      <w:pPr>
        <w:rPr>
          <w:rFonts w:ascii="Times New Roman" w:hAnsi="Times New Roman"/>
          <w:bCs/>
          <w:sz w:val="24"/>
          <w:szCs w:val="24"/>
        </w:rPr>
      </w:pPr>
    </w:p>
    <w:p w14:paraId="091455C7" w14:textId="77777777" w:rsidR="00715CF2" w:rsidRDefault="00715CF2" w:rsidP="00EF1133">
      <w:pPr>
        <w:rPr>
          <w:rFonts w:ascii="Arial Black" w:hAnsi="Arial Black"/>
          <w:b/>
          <w:sz w:val="24"/>
          <w:szCs w:val="24"/>
        </w:rPr>
      </w:pPr>
    </w:p>
    <w:p w14:paraId="5990C83D" w14:textId="6C2B7BBF" w:rsidR="009F0F05" w:rsidRDefault="009F0F05" w:rsidP="00EF1133">
      <w:pPr>
        <w:rPr>
          <w:rFonts w:ascii="Arial Black" w:hAnsi="Arial Black"/>
          <w:b/>
          <w:sz w:val="24"/>
          <w:szCs w:val="24"/>
        </w:rPr>
      </w:pPr>
      <w:r>
        <w:rPr>
          <w:rFonts w:ascii="Arial Black" w:hAnsi="Arial Black"/>
          <w:b/>
          <w:sz w:val="24"/>
          <w:szCs w:val="24"/>
        </w:rPr>
        <w:t>5-8</w:t>
      </w:r>
    </w:p>
    <w:p w14:paraId="092F8E23" w14:textId="77777777" w:rsidR="009F0F05" w:rsidRDefault="009F0F05" w:rsidP="009F0F05">
      <w:pPr>
        <w:rPr>
          <w:rFonts w:ascii="Arial Black" w:hAnsi="Arial Black"/>
          <w:sz w:val="28"/>
          <w:szCs w:val="28"/>
        </w:rPr>
      </w:pPr>
      <w:bookmarkStart w:id="206" w:name="_Hlk39764142"/>
      <w:r w:rsidRPr="00D803B2">
        <w:rPr>
          <w:rFonts w:ascii="Arial Black" w:hAnsi="Arial Black"/>
          <w:sz w:val="28"/>
          <w:szCs w:val="28"/>
        </w:rPr>
        <w:t xml:space="preserve">IL: </w:t>
      </w:r>
      <w:r>
        <w:rPr>
          <w:rFonts w:ascii="Arial Black" w:hAnsi="Arial Black"/>
          <w:sz w:val="28"/>
          <w:szCs w:val="28"/>
        </w:rPr>
        <w:t xml:space="preserve"> PATIENT INJURED AMBULANCE CRASH - 65 MPH WET HWY – PARAMEDIC REPRIMANDED - QUALIFIED IMMUNITY  </w:t>
      </w:r>
    </w:p>
    <w:p w14:paraId="61A2AF96" w14:textId="71F3EEFE" w:rsidR="009F0F05" w:rsidRDefault="009F0F05" w:rsidP="009F0F05">
      <w:r w:rsidRPr="004112C3">
        <w:rPr>
          <w:rFonts w:ascii="Times New Roman" w:hAnsi="Times New Roman"/>
          <w:sz w:val="24"/>
          <w:szCs w:val="24"/>
        </w:rPr>
        <w:t>On</w:t>
      </w:r>
      <w:r>
        <w:rPr>
          <w:rFonts w:ascii="Times New Roman" w:hAnsi="Times New Roman"/>
          <w:sz w:val="24"/>
          <w:szCs w:val="24"/>
        </w:rPr>
        <w:t xml:space="preserve"> Aug. 6, 2019, in </w:t>
      </w:r>
      <w:r w:rsidRPr="0030048E">
        <w:rPr>
          <w:rFonts w:ascii="Times New Roman" w:hAnsi="Times New Roman"/>
          <w:sz w:val="24"/>
          <w:szCs w:val="24"/>
          <w:u w:val="single"/>
        </w:rPr>
        <w:t>Jeremy Hicks and Isaiah Sampson (a minor) v. City of Fallon, et al.</w:t>
      </w:r>
      <w:r>
        <w:rPr>
          <w:rFonts w:ascii="Times New Roman" w:hAnsi="Times New Roman"/>
          <w:sz w:val="24"/>
          <w:szCs w:val="24"/>
        </w:rPr>
        <w:t xml:space="preserve">, </w:t>
      </w:r>
      <w:r w:rsidRPr="00A84C9A">
        <w:rPr>
          <w:rFonts w:ascii="Times New Roman" w:hAnsi="Times New Roman"/>
          <w:sz w:val="24"/>
          <w:szCs w:val="24"/>
        </w:rPr>
        <w:t xml:space="preserve">2019 Ill. App. 5th 180397, the Appellate Court of Illinois, Fifth District, held (3 to 0) that the trial court properly granted summary judgment to the </w:t>
      </w:r>
      <w:proofErr w:type="gramStart"/>
      <w:r w:rsidRPr="00A84C9A">
        <w:rPr>
          <w:rFonts w:ascii="Times New Roman" w:hAnsi="Times New Roman"/>
          <w:sz w:val="24"/>
          <w:szCs w:val="24"/>
        </w:rPr>
        <w:t>City</w:t>
      </w:r>
      <w:proofErr w:type="gramEnd"/>
      <w:r w:rsidRPr="00A84C9A">
        <w:rPr>
          <w:rFonts w:ascii="Times New Roman" w:hAnsi="Times New Roman"/>
          <w:sz w:val="24"/>
          <w:szCs w:val="24"/>
        </w:rPr>
        <w:t xml:space="preserve"> and the EMS personnel. </w:t>
      </w:r>
      <w:r w:rsidR="00AA589C">
        <w:rPr>
          <w:rFonts w:ascii="Times New Roman" w:hAnsi="Times New Roman"/>
          <w:sz w:val="24"/>
          <w:szCs w:val="24"/>
        </w:rPr>
        <w:t xml:space="preserve"> </w:t>
      </w:r>
      <w:bookmarkStart w:id="207" w:name="_Hlk39766010"/>
      <w:bookmarkEnd w:id="206"/>
      <w:r>
        <w:rPr>
          <w:rFonts w:ascii="Times New Roman" w:hAnsi="Times New Roman"/>
          <w:sz w:val="24"/>
          <w:szCs w:val="24"/>
        </w:rPr>
        <w:t xml:space="preserve">Justice Barberis wrote: </w:t>
      </w:r>
    </w:p>
    <w:p w14:paraId="27549F51" w14:textId="77777777" w:rsidR="00A84C9A" w:rsidRPr="00A84C9A" w:rsidRDefault="009F0F05" w:rsidP="00A84C9A">
      <w:pPr>
        <w:ind w:left="720"/>
        <w:rPr>
          <w:rFonts w:ascii="Times New Roman" w:hAnsi="Times New Roman"/>
          <w:sz w:val="24"/>
          <w:szCs w:val="24"/>
        </w:rPr>
      </w:pPr>
      <w:r>
        <w:rPr>
          <w:rFonts w:ascii="Times New Roman" w:hAnsi="Times New Roman"/>
          <w:sz w:val="24"/>
          <w:szCs w:val="24"/>
        </w:rPr>
        <w:t>“[P]</w:t>
      </w:r>
      <w:proofErr w:type="spellStart"/>
      <w:r w:rsidRPr="00086296">
        <w:rPr>
          <w:rFonts w:ascii="Times New Roman" w:hAnsi="Times New Roman"/>
          <w:sz w:val="24"/>
          <w:szCs w:val="24"/>
        </w:rPr>
        <w:t>laintiffs</w:t>
      </w:r>
      <w:proofErr w:type="spellEnd"/>
      <w:r w:rsidRPr="00086296">
        <w:rPr>
          <w:rFonts w:ascii="Times New Roman" w:hAnsi="Times New Roman"/>
          <w:sz w:val="24"/>
          <w:szCs w:val="24"/>
        </w:rPr>
        <w:t xml:space="preserve"> argue that Sill's</w:t>
      </w:r>
      <w:r>
        <w:rPr>
          <w:rFonts w:ascii="Times New Roman" w:hAnsi="Times New Roman"/>
          <w:sz w:val="24"/>
          <w:szCs w:val="24"/>
        </w:rPr>
        <w:t xml:space="preserve"> {paramedic] </w:t>
      </w:r>
      <w:r w:rsidRPr="00086296">
        <w:rPr>
          <w:rFonts w:ascii="Times New Roman" w:hAnsi="Times New Roman"/>
          <w:sz w:val="24"/>
          <w:szCs w:val="24"/>
        </w:rPr>
        <w:t xml:space="preserve">failure to operate the ambulance at a speed below the speed limit violated the City's policies and procedures, per Wild's deposition testimony, that required an ambulance to be operated slower in adverse conditions than it might be otherwise be operated in </w:t>
      </w:r>
      <w:proofErr w:type="spellStart"/>
      <w:r w:rsidRPr="00086296">
        <w:rPr>
          <w:rFonts w:ascii="Times New Roman" w:hAnsi="Times New Roman"/>
          <w:sz w:val="24"/>
          <w:szCs w:val="24"/>
        </w:rPr>
        <w:t>nonadverse</w:t>
      </w:r>
      <w:proofErr w:type="spellEnd"/>
      <w:r w:rsidRPr="00086296">
        <w:rPr>
          <w:rFonts w:ascii="Times New Roman" w:hAnsi="Times New Roman"/>
          <w:sz w:val="24"/>
          <w:szCs w:val="24"/>
        </w:rPr>
        <w:t xml:space="preserve"> conditions. First, we note that </w:t>
      </w:r>
      <w:r>
        <w:rPr>
          <w:rFonts w:ascii="Times New Roman" w:hAnsi="Times New Roman"/>
          <w:sz w:val="24"/>
          <w:szCs w:val="24"/>
        </w:rPr>
        <w:t>W</w:t>
      </w:r>
      <w:r w:rsidRPr="00086296">
        <w:rPr>
          <w:rFonts w:ascii="Times New Roman" w:hAnsi="Times New Roman"/>
          <w:sz w:val="24"/>
          <w:szCs w:val="24"/>
        </w:rPr>
        <w:t xml:space="preserve">ild </w:t>
      </w:r>
      <w:r>
        <w:rPr>
          <w:rFonts w:ascii="Times New Roman" w:hAnsi="Times New Roman"/>
          <w:sz w:val="24"/>
          <w:szCs w:val="24"/>
        </w:rPr>
        <w:t xml:space="preserve">[paramedic] </w:t>
      </w:r>
      <w:r w:rsidRPr="00086296">
        <w:rPr>
          <w:rFonts w:ascii="Times New Roman" w:hAnsi="Times New Roman"/>
          <w:sz w:val="24"/>
          <w:szCs w:val="24"/>
        </w:rPr>
        <w:t xml:space="preserve">testified that drivers were to maintain slower speeds during adverse weather conditions, although he was unsure whether a specific policy was in place. Moreover, our colleagues in the First District stated that a </w:t>
      </w:r>
      <w:r>
        <w:rPr>
          <w:rFonts w:ascii="Times New Roman" w:hAnsi="Times New Roman"/>
          <w:sz w:val="24"/>
          <w:szCs w:val="24"/>
        </w:rPr>
        <w:t>‘</w:t>
      </w:r>
      <w:r w:rsidRPr="00086296">
        <w:rPr>
          <w:rFonts w:ascii="Times New Roman" w:hAnsi="Times New Roman"/>
          <w:sz w:val="24"/>
          <w:szCs w:val="24"/>
        </w:rPr>
        <w:t>[v]</w:t>
      </w:r>
      <w:proofErr w:type="spellStart"/>
      <w:r w:rsidRPr="00086296">
        <w:rPr>
          <w:rFonts w:ascii="Times New Roman" w:hAnsi="Times New Roman"/>
          <w:sz w:val="24"/>
          <w:szCs w:val="24"/>
        </w:rPr>
        <w:t>iolation</w:t>
      </w:r>
      <w:proofErr w:type="spellEnd"/>
      <w:r w:rsidRPr="00086296">
        <w:rPr>
          <w:rFonts w:ascii="Times New Roman" w:hAnsi="Times New Roman"/>
          <w:sz w:val="24"/>
          <w:szCs w:val="24"/>
        </w:rPr>
        <w:t xml:space="preserve"> of self-imposed rules or internal guidelines *** 'does not normally impose a legal duty, let alone constitute evidence of negligence, or beyond that, willful and wanton conduct.' Wade v. City of Chicago, 364 Ill. App. 3d 773, 781 (2006) (quoting Morton v. City of Chicago, 286 Ill. App. 3d 444, 454 (1997)). Thus, a violation of the City's policy, if one had existed at the time of the accident, would not alone constitute evidence of willful and wanton </w:t>
      </w:r>
      <w:proofErr w:type="gramStart"/>
      <w:r w:rsidRPr="00086296">
        <w:rPr>
          <w:rFonts w:ascii="Times New Roman" w:hAnsi="Times New Roman"/>
          <w:sz w:val="24"/>
          <w:szCs w:val="24"/>
        </w:rPr>
        <w:t>conduct.</w:t>
      </w:r>
      <w:r>
        <w:rPr>
          <w:rFonts w:ascii="Times New Roman" w:hAnsi="Times New Roman"/>
          <w:sz w:val="24"/>
          <w:szCs w:val="24"/>
        </w:rPr>
        <w:t>”</w:t>
      </w:r>
      <w:proofErr w:type="gramEnd"/>
      <w:r w:rsidR="00A84C9A">
        <w:rPr>
          <w:rFonts w:ascii="Times New Roman" w:hAnsi="Times New Roman"/>
          <w:sz w:val="24"/>
          <w:szCs w:val="24"/>
        </w:rPr>
        <w:t xml:space="preserve"> </w:t>
      </w:r>
      <w:hyperlink r:id="rId1038" w:history="1">
        <w:r w:rsidR="00A84C9A" w:rsidRPr="00A84C9A">
          <w:rPr>
            <w:rStyle w:val="Hyperlink"/>
            <w:rFonts w:ascii="Times New Roman" w:hAnsi="Times New Roman"/>
            <w:sz w:val="24"/>
            <w:szCs w:val="24"/>
          </w:rPr>
          <w:t>https://casetext.com/case/hicks-v-city-of-ofallon</w:t>
        </w:r>
      </w:hyperlink>
      <w:r w:rsidR="00A84C9A" w:rsidRPr="00A84C9A">
        <w:rPr>
          <w:rFonts w:ascii="Times New Roman" w:hAnsi="Times New Roman"/>
          <w:sz w:val="24"/>
          <w:szCs w:val="24"/>
        </w:rPr>
        <w:t xml:space="preserve"> </w:t>
      </w:r>
    </w:p>
    <w:p w14:paraId="2439432B" w14:textId="77777777" w:rsidR="009F0F05" w:rsidRPr="005245B1" w:rsidRDefault="009F0F05" w:rsidP="009F0F05">
      <w:pPr>
        <w:rPr>
          <w:rFonts w:ascii="Times New Roman" w:hAnsi="Times New Roman"/>
          <w:b/>
          <w:bCs/>
          <w:sz w:val="24"/>
          <w:szCs w:val="24"/>
        </w:rPr>
      </w:pPr>
      <w:bookmarkStart w:id="208" w:name="_Hlk40510205"/>
      <w:bookmarkEnd w:id="207"/>
      <w:r w:rsidRPr="005245B1">
        <w:rPr>
          <w:rFonts w:ascii="Times New Roman" w:hAnsi="Times New Roman"/>
          <w:b/>
          <w:bCs/>
          <w:sz w:val="24"/>
          <w:szCs w:val="24"/>
        </w:rPr>
        <w:t xml:space="preserve">Legal Lessons Learned: </w:t>
      </w:r>
      <w:r>
        <w:rPr>
          <w:rFonts w:ascii="Times New Roman" w:hAnsi="Times New Roman"/>
          <w:b/>
          <w:bCs/>
          <w:sz w:val="24"/>
          <w:szCs w:val="24"/>
        </w:rPr>
        <w:t xml:space="preserve">Immunity </w:t>
      </w:r>
      <w:proofErr w:type="gramStart"/>
      <w:r>
        <w:rPr>
          <w:rFonts w:ascii="Times New Roman" w:hAnsi="Times New Roman"/>
          <w:b/>
          <w:bCs/>
          <w:sz w:val="24"/>
          <w:szCs w:val="24"/>
        </w:rPr>
        <w:t>statute</w:t>
      </w:r>
      <w:proofErr w:type="gramEnd"/>
      <w:r>
        <w:rPr>
          <w:rFonts w:ascii="Times New Roman" w:hAnsi="Times New Roman"/>
          <w:b/>
          <w:bCs/>
          <w:sz w:val="24"/>
          <w:szCs w:val="24"/>
        </w:rPr>
        <w:t xml:space="preserve"> very helpful; but use caution when driving high speeds on a wet highway.  </w:t>
      </w:r>
    </w:p>
    <w:bookmarkEnd w:id="208"/>
    <w:p w14:paraId="4A9C5183" w14:textId="77777777" w:rsidR="009F0F05" w:rsidRDefault="009F0F05" w:rsidP="00EF1133">
      <w:pPr>
        <w:rPr>
          <w:rFonts w:ascii="Arial Black" w:hAnsi="Arial Black"/>
          <w:b/>
          <w:sz w:val="24"/>
          <w:szCs w:val="24"/>
        </w:rPr>
      </w:pPr>
    </w:p>
    <w:p w14:paraId="2084228C" w14:textId="27ED0317" w:rsidR="00EF1133" w:rsidRDefault="00EF1133" w:rsidP="00EF1133">
      <w:pPr>
        <w:rPr>
          <w:rFonts w:ascii="Arial Black" w:hAnsi="Arial Black"/>
          <w:sz w:val="28"/>
          <w:szCs w:val="28"/>
        </w:rPr>
      </w:pPr>
      <w:r w:rsidRPr="00EF1133">
        <w:rPr>
          <w:rFonts w:ascii="Arial Black" w:hAnsi="Arial Black"/>
          <w:b/>
          <w:sz w:val="24"/>
          <w:szCs w:val="24"/>
        </w:rPr>
        <w:t>5-</w:t>
      </w:r>
      <w:r>
        <w:rPr>
          <w:rFonts w:ascii="Arial Black" w:hAnsi="Arial Black"/>
          <w:b/>
          <w:sz w:val="24"/>
          <w:szCs w:val="24"/>
        </w:rPr>
        <w:t>7</w:t>
      </w:r>
    </w:p>
    <w:p w14:paraId="572158BB" w14:textId="1451C876" w:rsidR="00527EDF" w:rsidRDefault="00527EDF" w:rsidP="00527EDF">
      <w:pPr>
        <w:pStyle w:val="NoSpacing"/>
        <w:rPr>
          <w:rFonts w:ascii="Arial Black" w:hAnsi="Arial Black"/>
          <w:sz w:val="28"/>
          <w:szCs w:val="28"/>
        </w:rPr>
      </w:pPr>
      <w:r>
        <w:rPr>
          <w:rFonts w:ascii="Arial Black" w:hAnsi="Arial Black"/>
          <w:sz w:val="28"/>
          <w:szCs w:val="28"/>
        </w:rPr>
        <w:t xml:space="preserve">TX:  EMT LOST CONTROL AMBULANCE - INJURED ROAD GRADER – MAX LIAB. OF NOT-FOR-PROFIT CO. IS $100K  </w:t>
      </w:r>
    </w:p>
    <w:p w14:paraId="3555D47A" w14:textId="77777777" w:rsidR="00527EDF" w:rsidRDefault="00527EDF" w:rsidP="00527EDF">
      <w:pPr>
        <w:pStyle w:val="NoSpacing"/>
        <w:rPr>
          <w:rFonts w:ascii="Arial Black" w:hAnsi="Arial Black"/>
          <w:sz w:val="28"/>
          <w:szCs w:val="28"/>
        </w:rPr>
      </w:pPr>
    </w:p>
    <w:p w14:paraId="38C51E4B" w14:textId="77777777" w:rsidR="00527EDF" w:rsidRPr="004A0292" w:rsidRDefault="00527EDF" w:rsidP="00527EDF">
      <w:pPr>
        <w:pStyle w:val="NoSpacing"/>
        <w:rPr>
          <w:rFonts w:ascii="Times New Roman" w:hAnsi="Times New Roman"/>
          <w:sz w:val="24"/>
          <w:szCs w:val="24"/>
        </w:rPr>
      </w:pPr>
      <w:r w:rsidRPr="004A0292">
        <w:rPr>
          <w:rFonts w:ascii="Times New Roman" w:hAnsi="Times New Roman"/>
          <w:sz w:val="24"/>
          <w:szCs w:val="24"/>
        </w:rPr>
        <w:t xml:space="preserve">On May 23, 2019, in </w:t>
      </w:r>
      <w:r w:rsidRPr="004A0292">
        <w:rPr>
          <w:rFonts w:ascii="Times New Roman" w:hAnsi="Times New Roman"/>
          <w:sz w:val="24"/>
          <w:szCs w:val="24"/>
          <w:u w:val="single"/>
        </w:rPr>
        <w:t>Jose Roel Garcia v. Jesse Perez and South Texas Emergency Care Foundation, Inc.</w:t>
      </w:r>
      <w:r w:rsidRPr="004A0292">
        <w:rPr>
          <w:rFonts w:ascii="Times New Roman" w:hAnsi="Times New Roman"/>
          <w:sz w:val="24"/>
          <w:szCs w:val="24"/>
        </w:rPr>
        <w:t>, the Court of Appeals of Thirteenth District, Corpus Christi held (3 to 0)</w:t>
      </w:r>
    </w:p>
    <w:p w14:paraId="7D27F224" w14:textId="77777777" w:rsidR="00527EDF" w:rsidRPr="004A0292" w:rsidRDefault="00527EDF" w:rsidP="00527EDF">
      <w:pPr>
        <w:pStyle w:val="NoSpacing"/>
        <w:rPr>
          <w:rFonts w:ascii="Times New Roman" w:hAnsi="Times New Roman"/>
          <w:sz w:val="24"/>
          <w:szCs w:val="24"/>
        </w:rPr>
      </w:pPr>
    </w:p>
    <w:p w14:paraId="0081598D" w14:textId="77777777" w:rsidR="00527EDF" w:rsidRPr="004A0292" w:rsidRDefault="00527EDF" w:rsidP="00527EDF">
      <w:pPr>
        <w:pStyle w:val="NoSpacing"/>
        <w:ind w:left="720"/>
        <w:rPr>
          <w:rFonts w:ascii="Times New Roman" w:hAnsi="Times New Roman"/>
          <w:sz w:val="24"/>
          <w:szCs w:val="24"/>
        </w:rPr>
      </w:pPr>
      <w:r w:rsidRPr="004A0292">
        <w:rPr>
          <w:rFonts w:ascii="Times New Roman" w:hAnsi="Times New Roman"/>
          <w:sz w:val="24"/>
          <w:szCs w:val="24"/>
        </w:rPr>
        <w:t>“Thus, we conclude that Garcia’s argument that STEC is not an emergency service organization because it is not operated by volunteer members is not supported by the statute. Accordingly, we reject this argument.”</w:t>
      </w:r>
    </w:p>
    <w:p w14:paraId="34EA4B9A" w14:textId="113270E2" w:rsidR="00527EDF" w:rsidRDefault="00527EDF" w:rsidP="00F326E5">
      <w:pPr>
        <w:pStyle w:val="NoSpacing"/>
        <w:rPr>
          <w:sz w:val="24"/>
          <w:szCs w:val="24"/>
        </w:rPr>
      </w:pPr>
    </w:p>
    <w:p w14:paraId="0B50BC02" w14:textId="77777777" w:rsidR="00527EDF" w:rsidRPr="00E8724B" w:rsidRDefault="00527EDF" w:rsidP="00527EDF">
      <w:pPr>
        <w:pStyle w:val="HTMLPreformatted"/>
        <w:rPr>
          <w:rFonts w:ascii="Times New Roman" w:hAnsi="Times New Roman" w:cs="Times New Roman"/>
          <w:b/>
          <w:sz w:val="24"/>
          <w:szCs w:val="24"/>
        </w:rPr>
      </w:pPr>
      <w:bookmarkStart w:id="209" w:name="_Hlk10126871"/>
      <w:r w:rsidRPr="00E8724B">
        <w:rPr>
          <w:rFonts w:ascii="Times New Roman" w:hAnsi="Times New Roman" w:cs="Times New Roman"/>
          <w:b/>
          <w:sz w:val="24"/>
          <w:szCs w:val="24"/>
        </w:rPr>
        <w:t xml:space="preserve">Legal Lessons Learned: </w:t>
      </w:r>
      <w:r>
        <w:rPr>
          <w:rFonts w:ascii="Times New Roman" w:hAnsi="Times New Roman" w:cs="Times New Roman"/>
          <w:b/>
          <w:sz w:val="24"/>
          <w:szCs w:val="24"/>
        </w:rPr>
        <w:t xml:space="preserve">  Helpful to have a statutory cap on liability for volunteer and not-for-profit emergency response organizations.  This may also reduce the cost of insurance.  </w:t>
      </w:r>
    </w:p>
    <w:bookmarkEnd w:id="209"/>
    <w:p w14:paraId="33495ABD" w14:textId="77777777" w:rsidR="00527EDF" w:rsidRDefault="00527EDF" w:rsidP="00527EDF">
      <w:pPr>
        <w:pStyle w:val="NoSpacing"/>
        <w:rPr>
          <w:rFonts w:ascii="Times New Roman" w:hAnsi="Times New Roman"/>
          <w:sz w:val="24"/>
          <w:szCs w:val="24"/>
        </w:rPr>
      </w:pPr>
    </w:p>
    <w:p w14:paraId="010CFCD3" w14:textId="6A4BE911" w:rsidR="0097592D" w:rsidRDefault="0097592D" w:rsidP="00F326E5">
      <w:pPr>
        <w:pStyle w:val="NoSpacing"/>
        <w:rPr>
          <w:sz w:val="24"/>
          <w:szCs w:val="24"/>
        </w:rPr>
      </w:pPr>
    </w:p>
    <w:p w14:paraId="7D3916C7" w14:textId="77777777" w:rsidR="0097592D" w:rsidRDefault="0097592D" w:rsidP="00F326E5">
      <w:pPr>
        <w:pStyle w:val="NoSpacing"/>
        <w:rPr>
          <w:sz w:val="24"/>
          <w:szCs w:val="24"/>
        </w:rPr>
      </w:pPr>
    </w:p>
    <w:p w14:paraId="42C00D40" w14:textId="5A9B567C" w:rsidR="00527EDF" w:rsidRDefault="00EF1133" w:rsidP="00EF1133">
      <w:pPr>
        <w:rPr>
          <w:sz w:val="24"/>
          <w:szCs w:val="24"/>
        </w:rPr>
      </w:pPr>
      <w:r w:rsidRPr="00EF1133">
        <w:rPr>
          <w:rFonts w:ascii="Arial Black" w:hAnsi="Arial Black"/>
          <w:b/>
          <w:sz w:val="24"/>
          <w:szCs w:val="24"/>
        </w:rPr>
        <w:t>5-</w:t>
      </w:r>
      <w:r>
        <w:rPr>
          <w:rFonts w:ascii="Arial Black" w:hAnsi="Arial Black"/>
          <w:b/>
          <w:sz w:val="24"/>
          <w:szCs w:val="24"/>
        </w:rPr>
        <w:t>6</w:t>
      </w:r>
    </w:p>
    <w:p w14:paraId="3EEA1607" w14:textId="2A633C47" w:rsidR="00F326E5" w:rsidRDefault="002B1283" w:rsidP="00F326E5">
      <w:pPr>
        <w:pStyle w:val="NoSpacing"/>
        <w:rPr>
          <w:rFonts w:ascii="Arial Black" w:hAnsi="Arial Black"/>
          <w:sz w:val="28"/>
          <w:szCs w:val="28"/>
        </w:rPr>
      </w:pPr>
      <w:bookmarkStart w:id="210" w:name="_Hlk39764237"/>
      <w:r>
        <w:rPr>
          <w:rFonts w:ascii="Arial Black" w:hAnsi="Arial Black"/>
          <w:sz w:val="28"/>
          <w:szCs w:val="28"/>
        </w:rPr>
        <w:t>L</w:t>
      </w:r>
      <w:r w:rsidR="00F326E5">
        <w:rPr>
          <w:rFonts w:ascii="Arial Black" w:hAnsi="Arial Black"/>
          <w:sz w:val="28"/>
          <w:szCs w:val="28"/>
        </w:rPr>
        <w:t>A:  EMER. LIGHTS USED, BUT NO SIREN – CHILD NON</w:t>
      </w:r>
      <w:r w:rsidR="00A84C9A">
        <w:rPr>
          <w:rFonts w:ascii="Arial Black" w:hAnsi="Arial Black"/>
          <w:sz w:val="28"/>
          <w:szCs w:val="28"/>
        </w:rPr>
        <w:t>-</w:t>
      </w:r>
      <w:r w:rsidR="00F326E5">
        <w:rPr>
          <w:rFonts w:ascii="Arial Black" w:hAnsi="Arial Black"/>
          <w:sz w:val="28"/>
          <w:szCs w:val="28"/>
        </w:rPr>
        <w:t xml:space="preserve">BREATHER RUN - NO STATUTORY IMMUNITY </w:t>
      </w:r>
    </w:p>
    <w:p w14:paraId="355BDDDD" w14:textId="77777777" w:rsidR="00F326E5" w:rsidRPr="009C4A80" w:rsidRDefault="00F326E5" w:rsidP="00F326E5">
      <w:pPr>
        <w:pStyle w:val="NoSpacing"/>
        <w:rPr>
          <w:rFonts w:ascii="Times New Roman" w:hAnsi="Times New Roman"/>
          <w:b/>
          <w:sz w:val="24"/>
          <w:szCs w:val="24"/>
        </w:rPr>
      </w:pPr>
      <w:r w:rsidRPr="009C4A80">
        <w:rPr>
          <w:rFonts w:ascii="Times New Roman" w:hAnsi="Times New Roman"/>
          <w:sz w:val="24"/>
          <w:szCs w:val="24"/>
        </w:rPr>
        <w:t xml:space="preserve">On Feb. 22, 2019, in </w:t>
      </w:r>
      <w:r w:rsidRPr="009C4A80">
        <w:rPr>
          <w:rFonts w:ascii="Times New Roman" w:hAnsi="Times New Roman"/>
          <w:sz w:val="24"/>
          <w:szCs w:val="24"/>
          <w:u w:val="single"/>
        </w:rPr>
        <w:t xml:space="preserve">Nunzio </w:t>
      </w:r>
      <w:proofErr w:type="spellStart"/>
      <w:r w:rsidRPr="009C4A80">
        <w:rPr>
          <w:rFonts w:ascii="Times New Roman" w:hAnsi="Times New Roman"/>
          <w:sz w:val="24"/>
          <w:szCs w:val="24"/>
          <w:u w:val="single"/>
        </w:rPr>
        <w:t>Inzina</w:t>
      </w:r>
      <w:proofErr w:type="spellEnd"/>
      <w:r w:rsidRPr="009C4A80">
        <w:rPr>
          <w:rFonts w:ascii="Times New Roman" w:hAnsi="Times New Roman"/>
          <w:sz w:val="24"/>
          <w:szCs w:val="24"/>
          <w:u w:val="single"/>
        </w:rPr>
        <w:t xml:space="preserve"> &amp; Emily </w:t>
      </w:r>
      <w:proofErr w:type="spellStart"/>
      <w:r w:rsidRPr="009C4A80">
        <w:rPr>
          <w:rFonts w:ascii="Times New Roman" w:hAnsi="Times New Roman"/>
          <w:sz w:val="24"/>
          <w:szCs w:val="24"/>
          <w:u w:val="single"/>
        </w:rPr>
        <w:t>Inzina</w:t>
      </w:r>
      <w:proofErr w:type="spellEnd"/>
      <w:r w:rsidRPr="009C4A80">
        <w:rPr>
          <w:rFonts w:ascii="Times New Roman" w:hAnsi="Times New Roman"/>
          <w:sz w:val="24"/>
          <w:szCs w:val="24"/>
          <w:u w:val="single"/>
        </w:rPr>
        <w:t xml:space="preserve"> v. Troy Guitreau, et al</w:t>
      </w:r>
      <w:r w:rsidRPr="009C4A80">
        <w:rPr>
          <w:rFonts w:ascii="Times New Roman" w:hAnsi="Times New Roman"/>
          <w:sz w:val="24"/>
          <w:szCs w:val="24"/>
        </w:rPr>
        <w:t xml:space="preserve">.,  the State of Louisiana, Court of Appeal, First District (3 to 0) held that “because the trial court's finding that Mr. Guitreau's emergency lights were insufficient to warn motorists of his approach was not manifestly erroneous, the trial court properly determined that the ‘reckless disregard’ (or ‘gross negligence’) standard does not apply. Mr. Guitreau does not meet the requirements of 32:24(C) and therefore his actions must be assessed under an ordinary negligence </w:t>
      </w:r>
      <w:proofErr w:type="gramStart"/>
      <w:r w:rsidRPr="009C4A80">
        <w:rPr>
          <w:rFonts w:ascii="Times New Roman" w:hAnsi="Times New Roman"/>
          <w:sz w:val="24"/>
          <w:szCs w:val="24"/>
        </w:rPr>
        <w:t>standard.”</w:t>
      </w:r>
      <w:proofErr w:type="gramEnd"/>
      <w:r w:rsidRPr="009C4A80">
        <w:rPr>
          <w:rFonts w:ascii="Times New Roman" w:hAnsi="Times New Roman"/>
          <w:b/>
          <w:sz w:val="24"/>
          <w:szCs w:val="24"/>
        </w:rPr>
        <w:t xml:space="preserve"> </w:t>
      </w:r>
      <w:hyperlink r:id="rId1039" w:history="1">
        <w:r w:rsidRPr="009C4A80">
          <w:rPr>
            <w:rStyle w:val="Hyperlink"/>
            <w:rFonts w:ascii="Times New Roman" w:hAnsi="Times New Roman"/>
            <w:sz w:val="24"/>
            <w:szCs w:val="24"/>
          </w:rPr>
          <w:t>http://www.la-fcca.org/opiniongrid/opinionpdf/2018%20CA%200905%20Decision%20Appeal.pdf</w:t>
        </w:r>
      </w:hyperlink>
      <w:r w:rsidRPr="009C4A80">
        <w:rPr>
          <w:rFonts w:ascii="Times New Roman" w:hAnsi="Times New Roman"/>
          <w:b/>
          <w:sz w:val="24"/>
          <w:szCs w:val="24"/>
        </w:rPr>
        <w:t xml:space="preserve"> </w:t>
      </w:r>
    </w:p>
    <w:bookmarkEnd w:id="210"/>
    <w:p w14:paraId="6E875164" w14:textId="77777777" w:rsidR="009C4A80" w:rsidRDefault="009C4A80" w:rsidP="00F326E5">
      <w:pPr>
        <w:pStyle w:val="NoSpacing"/>
        <w:rPr>
          <w:rFonts w:ascii="Times New Roman" w:hAnsi="Times New Roman"/>
          <w:b/>
          <w:sz w:val="24"/>
          <w:szCs w:val="24"/>
        </w:rPr>
      </w:pPr>
    </w:p>
    <w:p w14:paraId="205B4087" w14:textId="6B386BAA" w:rsidR="00F326E5" w:rsidRPr="009C4A80" w:rsidRDefault="00F326E5" w:rsidP="00F326E5">
      <w:pPr>
        <w:pStyle w:val="NoSpacing"/>
        <w:rPr>
          <w:rFonts w:ascii="Times New Roman" w:hAnsi="Times New Roman"/>
          <w:b/>
          <w:sz w:val="24"/>
          <w:szCs w:val="24"/>
        </w:rPr>
      </w:pPr>
      <w:bookmarkStart w:id="211" w:name="_Hlk40510242"/>
      <w:r w:rsidRPr="009C4A80">
        <w:rPr>
          <w:rFonts w:ascii="Times New Roman" w:hAnsi="Times New Roman"/>
          <w:b/>
          <w:sz w:val="24"/>
          <w:szCs w:val="24"/>
        </w:rPr>
        <w:t xml:space="preserve">Legal Lessons Learned: If you are in an accident responding to an emergency, and your siren was on, keep it on when calling dispatch to report the accident – the 911 Dispatch recording will help avoid litigation and liability.  </w:t>
      </w:r>
    </w:p>
    <w:bookmarkEnd w:id="211"/>
    <w:p w14:paraId="024C6EE7" w14:textId="77777777" w:rsidR="00536545" w:rsidRPr="009C4A80" w:rsidRDefault="00536545" w:rsidP="00F326E5">
      <w:pPr>
        <w:rPr>
          <w:rFonts w:ascii="Times New Roman" w:hAnsi="Times New Roman"/>
          <w:b/>
          <w:sz w:val="24"/>
          <w:szCs w:val="24"/>
        </w:rPr>
      </w:pPr>
    </w:p>
    <w:bookmarkEnd w:id="194"/>
    <w:p w14:paraId="1CD749BE" w14:textId="77777777" w:rsidR="00EF1133" w:rsidRDefault="00EF1133" w:rsidP="00F326E5">
      <w:pPr>
        <w:rPr>
          <w:rFonts w:ascii="Arial Black" w:hAnsi="Arial Black"/>
          <w:b/>
          <w:sz w:val="24"/>
          <w:szCs w:val="24"/>
        </w:rPr>
      </w:pPr>
    </w:p>
    <w:p w14:paraId="4C5758B7" w14:textId="77777777" w:rsidR="00536545" w:rsidRDefault="00536545" w:rsidP="00F326E5">
      <w:pPr>
        <w:rPr>
          <w:rFonts w:ascii="Arial Black" w:hAnsi="Arial Black"/>
          <w:b/>
          <w:sz w:val="24"/>
          <w:szCs w:val="24"/>
        </w:rPr>
      </w:pPr>
    </w:p>
    <w:p w14:paraId="059C9922" w14:textId="77777777" w:rsidR="00536545" w:rsidRDefault="00536545" w:rsidP="00F326E5">
      <w:pPr>
        <w:rPr>
          <w:rFonts w:ascii="Arial Black" w:hAnsi="Arial Black"/>
          <w:b/>
          <w:sz w:val="24"/>
          <w:szCs w:val="24"/>
        </w:rPr>
      </w:pPr>
    </w:p>
    <w:p w14:paraId="613BFFDF" w14:textId="4DF3309B" w:rsidR="00F326E5" w:rsidRDefault="00EF1133" w:rsidP="00F326E5">
      <w:pPr>
        <w:rPr>
          <w:rFonts w:ascii="Arial Black" w:hAnsi="Arial Black"/>
          <w:sz w:val="40"/>
          <w:szCs w:val="40"/>
        </w:rPr>
      </w:pPr>
      <w:r w:rsidRPr="00EF1133">
        <w:rPr>
          <w:rFonts w:ascii="Arial Black" w:hAnsi="Arial Black"/>
          <w:b/>
          <w:sz w:val="24"/>
          <w:szCs w:val="24"/>
        </w:rPr>
        <w:t>5-</w:t>
      </w:r>
      <w:r>
        <w:rPr>
          <w:rFonts w:ascii="Arial Black" w:hAnsi="Arial Black"/>
          <w:b/>
          <w:sz w:val="24"/>
          <w:szCs w:val="24"/>
        </w:rPr>
        <w:t>5</w:t>
      </w:r>
    </w:p>
    <w:p w14:paraId="55D3FF9A" w14:textId="35A3B6F2" w:rsidR="00F326E5" w:rsidRDefault="00F326E5" w:rsidP="00F326E5">
      <w:pPr>
        <w:pStyle w:val="NoSpacing"/>
        <w:rPr>
          <w:rFonts w:ascii="Arial Black" w:eastAsia="Times New Roman" w:hAnsi="Arial Black"/>
          <w:sz w:val="28"/>
          <w:szCs w:val="28"/>
        </w:rPr>
      </w:pPr>
      <w:bookmarkStart w:id="212" w:name="_Hlk7342692"/>
      <w:r>
        <w:rPr>
          <w:rFonts w:ascii="Arial Black" w:eastAsia="Times New Roman" w:hAnsi="Arial Black"/>
          <w:sz w:val="28"/>
          <w:szCs w:val="28"/>
        </w:rPr>
        <w:t>IL:  STATE IMMUNITY STATUTE PROTECTS PRIV. &amp; PUBLIC AMBULANCES – ONLY IF PATIENT ON BOARD</w:t>
      </w:r>
    </w:p>
    <w:p w14:paraId="12BBCED6"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Feb. 1, 2019, in </w:t>
      </w:r>
      <w:r w:rsidRPr="009C4A80">
        <w:rPr>
          <w:rFonts w:ascii="Times New Roman" w:hAnsi="Times New Roman"/>
          <w:sz w:val="24"/>
          <w:szCs w:val="24"/>
          <w:u w:val="single"/>
        </w:rPr>
        <w:t>Roberto Hernandez v. Lifeline Ambulance, LLC and Joshua M. Nicholas</w:t>
      </w:r>
      <w:r w:rsidRPr="009C4A80">
        <w:rPr>
          <w:rFonts w:ascii="Times New Roman" w:hAnsi="Times New Roman"/>
          <w:sz w:val="24"/>
          <w:szCs w:val="24"/>
        </w:rPr>
        <w:t>, the Appellate Court of Illinois (First District; Fifth Division) held (2 to 1):</w:t>
      </w:r>
    </w:p>
    <w:p w14:paraId="302F8D5A" w14:textId="77777777" w:rsidR="009C4A80" w:rsidRDefault="009C4A80" w:rsidP="00F326E5">
      <w:pPr>
        <w:pStyle w:val="NoSpacing"/>
        <w:rPr>
          <w:rFonts w:ascii="Times New Roman" w:hAnsi="Times New Roman"/>
          <w:sz w:val="24"/>
          <w:szCs w:val="24"/>
        </w:rPr>
      </w:pPr>
    </w:p>
    <w:p w14:paraId="41019EDF" w14:textId="2B4E75D6" w:rsidR="00F326E5" w:rsidRPr="009C4A80" w:rsidRDefault="00F326E5" w:rsidP="009C4A80">
      <w:pPr>
        <w:pStyle w:val="NoSpacing"/>
        <w:ind w:left="720"/>
        <w:rPr>
          <w:rFonts w:ascii="Times New Roman" w:eastAsia="Times New Roman" w:hAnsi="Times New Roman"/>
          <w:sz w:val="24"/>
          <w:szCs w:val="24"/>
        </w:rPr>
      </w:pPr>
      <w:r w:rsidRPr="009C4A80">
        <w:rPr>
          <w:rFonts w:ascii="Times New Roman" w:hAnsi="Times New Roman"/>
          <w:sz w:val="24"/>
          <w:szCs w:val="24"/>
        </w:rPr>
        <w:t xml:space="preserve">“As the ambulance driven by Nicholas was not transporting a patient to a health care facility at the time of the collision with the vehicle driven by the plaintiff, section 3.150(a) of the EMS Act does not provide Nicholas or Lifeline with immunity from liability for any negligent acts or omissions which proximately resulted in damages to the plaintiff. </w:t>
      </w:r>
      <w:hyperlink r:id="rId1040" w:history="1">
        <w:r w:rsidRPr="009C4A80">
          <w:rPr>
            <w:rStyle w:val="Hyperlink"/>
            <w:rFonts w:ascii="Times New Roman" w:hAnsi="Times New Roman"/>
            <w:sz w:val="24"/>
            <w:szCs w:val="24"/>
          </w:rPr>
          <w:t>https://cases.justia.com/illinois/court-of-appeals-first-appellate-district/2019-1-18-0696.pdf?ts=1549320383</w:t>
        </w:r>
      </w:hyperlink>
      <w:r w:rsidRPr="009C4A80">
        <w:rPr>
          <w:rFonts w:ascii="Times New Roman" w:hAnsi="Times New Roman"/>
          <w:bCs/>
          <w:sz w:val="24"/>
          <w:szCs w:val="24"/>
        </w:rPr>
        <w:t xml:space="preserve"> </w:t>
      </w:r>
    </w:p>
    <w:p w14:paraId="5A5A83F1" w14:textId="77777777" w:rsidR="009C4A80" w:rsidRDefault="009C4A80" w:rsidP="00F326E5">
      <w:pPr>
        <w:pStyle w:val="NoSpacing"/>
        <w:rPr>
          <w:rFonts w:ascii="Times New Roman" w:hAnsi="Times New Roman"/>
          <w:b/>
          <w:sz w:val="24"/>
          <w:szCs w:val="24"/>
        </w:rPr>
      </w:pPr>
    </w:p>
    <w:p w14:paraId="7638A860" w14:textId="7C0B58CC"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 xml:space="preserve">Legal Lessons Learned:  The Illinois immunity statute broadly includes non-emergency </w:t>
      </w:r>
      <w:proofErr w:type="gramStart"/>
      <w:r w:rsidRPr="009C4A80">
        <w:rPr>
          <w:rFonts w:ascii="Times New Roman" w:hAnsi="Times New Roman"/>
          <w:b/>
          <w:sz w:val="24"/>
          <w:szCs w:val="24"/>
        </w:rPr>
        <w:t>transports</w:t>
      </w:r>
      <w:proofErr w:type="gramEnd"/>
      <w:r w:rsidRPr="009C4A80">
        <w:rPr>
          <w:rFonts w:ascii="Times New Roman" w:hAnsi="Times New Roman"/>
          <w:b/>
          <w:sz w:val="24"/>
          <w:szCs w:val="24"/>
        </w:rPr>
        <w:t xml:space="preserve">, but not so broad as to cover driving ambulance to pick up a patient.  Hopefully the ambulance company’s private insurance will cover both the company and its </w:t>
      </w:r>
      <w:proofErr w:type="gramStart"/>
      <w:r w:rsidRPr="009C4A80">
        <w:rPr>
          <w:rFonts w:ascii="Times New Roman" w:hAnsi="Times New Roman"/>
          <w:b/>
          <w:sz w:val="24"/>
          <w:szCs w:val="24"/>
        </w:rPr>
        <w:t>employee</w:t>
      </w:r>
      <w:proofErr w:type="gramEnd"/>
      <w:r w:rsidRPr="009C4A80">
        <w:rPr>
          <w:rFonts w:ascii="Times New Roman" w:hAnsi="Times New Roman"/>
          <w:b/>
          <w:sz w:val="24"/>
          <w:szCs w:val="24"/>
        </w:rPr>
        <w:t>.</w:t>
      </w:r>
    </w:p>
    <w:p w14:paraId="0207FDBA" w14:textId="77777777" w:rsidR="00F326E5" w:rsidRPr="009C4A80" w:rsidRDefault="00F326E5" w:rsidP="00F326E5">
      <w:pPr>
        <w:pStyle w:val="NoSpacing"/>
        <w:rPr>
          <w:rFonts w:ascii="Times New Roman" w:hAnsi="Times New Roman"/>
          <w:sz w:val="24"/>
          <w:szCs w:val="24"/>
        </w:rPr>
      </w:pPr>
      <w:bookmarkStart w:id="213" w:name="_Hlk1297730"/>
      <w:bookmarkEnd w:id="212"/>
    </w:p>
    <w:p w14:paraId="61406979" w14:textId="77777777" w:rsidR="00EF1133" w:rsidRDefault="00EF1133" w:rsidP="00EF1133">
      <w:pPr>
        <w:rPr>
          <w:rFonts w:ascii="Arial Black" w:hAnsi="Arial Black"/>
          <w:b/>
          <w:sz w:val="24"/>
          <w:szCs w:val="24"/>
        </w:rPr>
      </w:pPr>
    </w:p>
    <w:p w14:paraId="69B573DF" w14:textId="2955F262" w:rsidR="00EF1133" w:rsidRPr="00EF1133" w:rsidRDefault="00EF1133" w:rsidP="00EF1133">
      <w:pPr>
        <w:rPr>
          <w:rFonts w:ascii="Arial Black" w:hAnsi="Arial Black"/>
          <w:b/>
          <w:sz w:val="24"/>
          <w:szCs w:val="24"/>
        </w:rPr>
      </w:pPr>
      <w:r w:rsidRPr="00EF1133">
        <w:rPr>
          <w:rFonts w:ascii="Arial Black" w:hAnsi="Arial Black"/>
          <w:b/>
          <w:sz w:val="24"/>
          <w:szCs w:val="24"/>
        </w:rPr>
        <w:t>5-</w:t>
      </w:r>
      <w:r>
        <w:rPr>
          <w:rFonts w:ascii="Arial Black" w:hAnsi="Arial Black"/>
          <w:b/>
          <w:sz w:val="24"/>
          <w:szCs w:val="24"/>
        </w:rPr>
        <w:t>4</w:t>
      </w:r>
    </w:p>
    <w:p w14:paraId="03DA6A01" w14:textId="36BF1ECD" w:rsidR="00F326E5" w:rsidRPr="00EA4270" w:rsidRDefault="00F326E5" w:rsidP="00F326E5">
      <w:pPr>
        <w:pStyle w:val="NoSpacing"/>
        <w:rPr>
          <w:rFonts w:ascii="Arial Black" w:hAnsi="Arial Black"/>
          <w:sz w:val="28"/>
          <w:szCs w:val="28"/>
        </w:rPr>
      </w:pPr>
      <w:bookmarkStart w:id="214" w:name="_Hlk7342728"/>
      <w:r>
        <w:rPr>
          <w:rFonts w:ascii="Arial Black" w:hAnsi="Arial Black"/>
          <w:sz w:val="28"/>
          <w:szCs w:val="28"/>
        </w:rPr>
        <w:t xml:space="preserve">OH: </w:t>
      </w:r>
      <w:r w:rsidR="00374417">
        <w:rPr>
          <w:rFonts w:ascii="Arial Black" w:hAnsi="Arial Black"/>
          <w:sz w:val="28"/>
          <w:szCs w:val="28"/>
        </w:rPr>
        <w:t>MAN</w:t>
      </w:r>
      <w:r w:rsidRPr="00EA4270">
        <w:rPr>
          <w:rFonts w:ascii="Arial Black" w:hAnsi="Arial Black"/>
          <w:sz w:val="28"/>
          <w:szCs w:val="28"/>
        </w:rPr>
        <w:t xml:space="preserve"> KILLED BY LOOSE FIRE HOSE –</w:t>
      </w:r>
      <w:r>
        <w:rPr>
          <w:rFonts w:ascii="Arial Black" w:hAnsi="Arial Black"/>
          <w:sz w:val="28"/>
          <w:szCs w:val="28"/>
        </w:rPr>
        <w:t xml:space="preserve"> NO </w:t>
      </w:r>
      <w:r w:rsidRPr="00EA4270">
        <w:rPr>
          <w:rFonts w:ascii="Arial Black" w:hAnsi="Arial Black"/>
          <w:sz w:val="28"/>
          <w:szCs w:val="28"/>
        </w:rPr>
        <w:t>WILLFUL OR WANTON MISCONDUCT / NFPA GUIDELINES</w:t>
      </w:r>
    </w:p>
    <w:p w14:paraId="4A95E4C3" w14:textId="77777777" w:rsidR="009C4A80" w:rsidRDefault="009C4A80" w:rsidP="00F326E5">
      <w:pPr>
        <w:pStyle w:val="NoSpacing"/>
        <w:rPr>
          <w:rFonts w:ascii="Times New Roman" w:hAnsi="Times New Roman"/>
          <w:sz w:val="24"/>
          <w:szCs w:val="24"/>
        </w:rPr>
      </w:pPr>
    </w:p>
    <w:p w14:paraId="6D21564B" w14:textId="7375E58D" w:rsidR="00F326E5" w:rsidRDefault="00F326E5" w:rsidP="00F326E5">
      <w:pPr>
        <w:pStyle w:val="NoSpacing"/>
        <w:rPr>
          <w:rFonts w:ascii="Times New Roman" w:hAnsi="Times New Roman"/>
          <w:bCs/>
          <w:sz w:val="24"/>
          <w:szCs w:val="24"/>
        </w:rPr>
      </w:pPr>
      <w:r w:rsidRPr="009C4A80">
        <w:rPr>
          <w:rFonts w:ascii="Times New Roman" w:hAnsi="Times New Roman"/>
          <w:sz w:val="24"/>
          <w:szCs w:val="24"/>
        </w:rPr>
        <w:t xml:space="preserve">On </w:t>
      </w:r>
      <w:bookmarkStart w:id="215" w:name="_Hlk39827597"/>
      <w:r w:rsidRPr="009C4A80">
        <w:rPr>
          <w:rFonts w:ascii="Times New Roman" w:hAnsi="Times New Roman"/>
          <w:sz w:val="24"/>
          <w:szCs w:val="24"/>
        </w:rPr>
        <w:t xml:space="preserve">Jan. 18, </w:t>
      </w:r>
      <w:proofErr w:type="gramStart"/>
      <w:r w:rsidRPr="009C4A80">
        <w:rPr>
          <w:rFonts w:ascii="Times New Roman" w:hAnsi="Times New Roman"/>
          <w:sz w:val="24"/>
          <w:szCs w:val="24"/>
        </w:rPr>
        <w:t>2019</w:t>
      </w:r>
      <w:proofErr w:type="gramEnd"/>
      <w:r w:rsidRPr="009C4A80">
        <w:rPr>
          <w:rFonts w:ascii="Times New Roman" w:hAnsi="Times New Roman"/>
          <w:sz w:val="24"/>
          <w:szCs w:val="24"/>
        </w:rPr>
        <w:t xml:space="preserve"> in </w:t>
      </w:r>
      <w:r w:rsidRPr="009C4A80">
        <w:rPr>
          <w:rFonts w:ascii="Times New Roman" w:hAnsi="Times New Roman"/>
          <w:sz w:val="24"/>
          <w:szCs w:val="24"/>
          <w:u w:val="single"/>
        </w:rPr>
        <w:t>Linda H. Ogburn, etc., Appellant, v. City of Toledo</w:t>
      </w:r>
      <w:bookmarkEnd w:id="215"/>
      <w:r w:rsidRPr="009C4A80">
        <w:rPr>
          <w:rFonts w:ascii="Times New Roman" w:hAnsi="Times New Roman"/>
          <w:sz w:val="24"/>
          <w:szCs w:val="24"/>
        </w:rPr>
        <w:t xml:space="preserve">, Appellee., </w:t>
      </w:r>
      <w:r w:rsidRPr="009C4A80">
        <w:rPr>
          <w:rFonts w:ascii="Times New Roman" w:hAnsi="Times New Roman"/>
          <w:bCs/>
          <w:sz w:val="24"/>
          <w:szCs w:val="24"/>
        </w:rPr>
        <w:t>Court of Appeals of Ohio, Sixth District, Lucas County:</w:t>
      </w:r>
    </w:p>
    <w:p w14:paraId="0CF454D3" w14:textId="77777777" w:rsidR="009C4A80" w:rsidRPr="009C4A80" w:rsidRDefault="009C4A80" w:rsidP="00F326E5">
      <w:pPr>
        <w:pStyle w:val="NoSpacing"/>
        <w:rPr>
          <w:rFonts w:ascii="Times New Roman" w:hAnsi="Times New Roman"/>
          <w:sz w:val="24"/>
          <w:szCs w:val="24"/>
        </w:rPr>
      </w:pPr>
    </w:p>
    <w:p w14:paraId="32F86259" w14:textId="77777777" w:rsidR="00F326E5" w:rsidRPr="009C4A80" w:rsidRDefault="00F326E5" w:rsidP="00F326E5">
      <w:pPr>
        <w:pStyle w:val="NoSpacing"/>
        <w:ind w:left="720"/>
        <w:rPr>
          <w:rFonts w:ascii="Times New Roman" w:hAnsi="Times New Roman"/>
          <w:sz w:val="24"/>
          <w:szCs w:val="24"/>
        </w:rPr>
      </w:pPr>
      <w:r w:rsidRPr="009C4A80">
        <w:rPr>
          <w:rFonts w:ascii="Times New Roman" w:hAnsi="Times New Roman"/>
          <w:sz w:val="24"/>
          <w:szCs w:val="24"/>
        </w:rPr>
        <w:t xml:space="preserve">“The evidence contained in the record by way of deposition testimony reveals that the city removed the safety nets on its fire engines to facilitate firefighter safety, based upon incidents in which TFRD firefighters were tripped by the nets when they were attempting to utilize fire hoses. According to TFRD's fire maintenance officer, the nets also slowed down firefighting efforts that are time-sensitive in nature. As a result, TFRD decided to remove the safety nets and install holsters in their place. The holsters that were installed eliminated the trip hazard presented by the nets, while at the same time facilitating expedient use of the fire hoses. Since the nets were removed and the holsters installed, the city has safely completed over one million runs without a fire hose coming loose from a fire engine. To us, the fact that over one million runs have taken place without incident demonstrates that injury to others does not ordinarily follow from the removal of safety nets and installation of the </w:t>
      </w:r>
      <w:proofErr w:type="gramStart"/>
      <w:r w:rsidRPr="009C4A80">
        <w:rPr>
          <w:rFonts w:ascii="Times New Roman" w:hAnsi="Times New Roman"/>
          <w:sz w:val="24"/>
          <w:szCs w:val="24"/>
        </w:rPr>
        <w:t>holsters.”</w:t>
      </w:r>
      <w:proofErr w:type="gramEnd"/>
    </w:p>
    <w:bookmarkStart w:id="216" w:name="_Hlk39827619"/>
    <w:p w14:paraId="7DE1C7C5" w14:textId="68775843" w:rsidR="00F326E5" w:rsidRPr="009C4A80" w:rsidRDefault="00374417" w:rsidP="009C4A80">
      <w:pPr>
        <w:pStyle w:val="NoSpacing"/>
        <w:ind w:left="720"/>
        <w:rPr>
          <w:rFonts w:ascii="Times New Roman" w:hAnsi="Times New Roman"/>
          <w:sz w:val="24"/>
          <w:szCs w:val="24"/>
        </w:rPr>
      </w:pPr>
      <w:r>
        <w:fldChar w:fldCharType="begin"/>
      </w:r>
      <w:r>
        <w:instrText xml:space="preserve"> HYPERLINK "https://scholar.google.com/scholar_case?case=11320550123465325906&amp;hl=en&amp;as_sdt=6&amp;as_vis=1&amp;oi=scholarr" </w:instrText>
      </w:r>
      <w:r>
        <w:fldChar w:fldCharType="separate"/>
      </w:r>
      <w:r w:rsidR="009C4A80" w:rsidRPr="002F304C">
        <w:rPr>
          <w:rStyle w:val="Hyperlink"/>
          <w:rFonts w:ascii="Times New Roman" w:hAnsi="Times New Roman"/>
          <w:sz w:val="24"/>
          <w:szCs w:val="24"/>
        </w:rPr>
        <w:t>https://scholar.google.com/scholar_case?case=11320550123465325906&amp;hl=en&amp;as_sdt=6&amp;as_vis=1&amp;oi=scholarr</w:t>
      </w:r>
      <w:r>
        <w:rPr>
          <w:rStyle w:val="Hyperlink"/>
          <w:rFonts w:ascii="Times New Roman" w:hAnsi="Times New Roman"/>
          <w:sz w:val="24"/>
          <w:szCs w:val="24"/>
        </w:rPr>
        <w:fldChar w:fldCharType="end"/>
      </w:r>
      <w:r w:rsidR="00F326E5" w:rsidRPr="009C4A80">
        <w:rPr>
          <w:rFonts w:ascii="Times New Roman" w:hAnsi="Times New Roman"/>
          <w:sz w:val="24"/>
          <w:szCs w:val="24"/>
        </w:rPr>
        <w:t xml:space="preserve"> </w:t>
      </w:r>
    </w:p>
    <w:bookmarkEnd w:id="213"/>
    <w:bookmarkEnd w:id="216"/>
    <w:p w14:paraId="4BA6D9D4" w14:textId="77777777" w:rsidR="009C4A80" w:rsidRDefault="009C4A80" w:rsidP="00F326E5">
      <w:pPr>
        <w:pStyle w:val="NoSpacing"/>
        <w:rPr>
          <w:rFonts w:ascii="Times New Roman" w:hAnsi="Times New Roman"/>
          <w:b/>
          <w:sz w:val="24"/>
          <w:szCs w:val="24"/>
        </w:rPr>
      </w:pPr>
    </w:p>
    <w:p w14:paraId="59B9CFCB" w14:textId="1466ED35"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 xml:space="preserve">Legal Lessons Learned:  Secure your fire hoses; avoid similar tragedies. </w:t>
      </w:r>
    </w:p>
    <w:p w14:paraId="48658912" w14:textId="5650516E" w:rsidR="00F326E5" w:rsidRPr="009C4A80" w:rsidRDefault="00F326E5" w:rsidP="00F326E5">
      <w:pPr>
        <w:pStyle w:val="NoSpacing"/>
        <w:ind w:left="720"/>
        <w:rPr>
          <w:rFonts w:ascii="Times New Roman" w:hAnsi="Times New Roman"/>
          <w:sz w:val="24"/>
          <w:szCs w:val="24"/>
        </w:rPr>
      </w:pPr>
      <w:bookmarkStart w:id="217" w:name="_Hlk39827460"/>
      <w:bookmarkStart w:id="218" w:name="_Hlk1297666"/>
      <w:r w:rsidRPr="009C4A80">
        <w:rPr>
          <w:rFonts w:ascii="Times New Roman" w:hAnsi="Times New Roman"/>
          <w:sz w:val="24"/>
          <w:szCs w:val="24"/>
        </w:rPr>
        <w:t xml:space="preserve">See also March 7, </w:t>
      </w:r>
      <w:proofErr w:type="gramStart"/>
      <w:r w:rsidRPr="009C4A80">
        <w:rPr>
          <w:rFonts w:ascii="Times New Roman" w:hAnsi="Times New Roman"/>
          <w:sz w:val="24"/>
          <w:szCs w:val="24"/>
        </w:rPr>
        <w:t>2017</w:t>
      </w:r>
      <w:proofErr w:type="gramEnd"/>
      <w:r w:rsidRPr="009C4A80">
        <w:rPr>
          <w:rFonts w:ascii="Times New Roman" w:hAnsi="Times New Roman"/>
          <w:sz w:val="24"/>
          <w:szCs w:val="24"/>
        </w:rPr>
        <w:t xml:space="preserve"> article: “Hose Alert: A Firefighter's Commonsense Solution to a Serious Problem.” </w:t>
      </w:r>
      <w:hyperlink r:id="rId1041" w:history="1">
        <w:r w:rsidRPr="009C4A80">
          <w:rPr>
            <w:rStyle w:val="Hyperlink"/>
            <w:rFonts w:ascii="Times New Roman" w:hAnsi="Times New Roman"/>
            <w:sz w:val="24"/>
            <w:szCs w:val="24"/>
          </w:rPr>
          <w:t>https://www.fireapparatusmagazine.com/articles/print/volume-22/issue-3/features/hose-alert-a-firefighter-s-commonsense-solution-to-a-serious-problem.html</w:t>
        </w:r>
      </w:hyperlink>
      <w:r w:rsidRPr="009C4A80">
        <w:rPr>
          <w:rFonts w:ascii="Times New Roman" w:hAnsi="Times New Roman"/>
          <w:sz w:val="24"/>
          <w:szCs w:val="24"/>
        </w:rPr>
        <w:t xml:space="preserve">  </w:t>
      </w:r>
    </w:p>
    <w:bookmarkEnd w:id="217"/>
    <w:p w14:paraId="4EFD87C4" w14:textId="77777777" w:rsidR="009C4A80" w:rsidRDefault="009C4A80" w:rsidP="00F326E5">
      <w:pPr>
        <w:pStyle w:val="NoSpacing"/>
        <w:ind w:left="720" w:firstLine="720"/>
        <w:rPr>
          <w:rFonts w:ascii="Times New Roman" w:hAnsi="Times New Roman"/>
          <w:sz w:val="24"/>
          <w:szCs w:val="24"/>
        </w:rPr>
      </w:pPr>
    </w:p>
    <w:p w14:paraId="7A4847B6" w14:textId="6250C0B3" w:rsidR="00F326E5" w:rsidRPr="009C4A80" w:rsidRDefault="00F326E5" w:rsidP="009C4A80">
      <w:pPr>
        <w:pStyle w:val="NoSpacing"/>
        <w:ind w:left="720"/>
        <w:rPr>
          <w:rFonts w:ascii="Times New Roman" w:hAnsi="Times New Roman"/>
          <w:sz w:val="24"/>
          <w:szCs w:val="24"/>
        </w:rPr>
      </w:pPr>
      <w:bookmarkStart w:id="219" w:name="_Hlk39827520"/>
      <w:r w:rsidRPr="009C4A80">
        <w:rPr>
          <w:rFonts w:ascii="Times New Roman" w:hAnsi="Times New Roman"/>
          <w:sz w:val="24"/>
          <w:szCs w:val="24"/>
        </w:rPr>
        <w:t xml:space="preserve">See also Jan. 29, </w:t>
      </w:r>
      <w:proofErr w:type="gramStart"/>
      <w:r w:rsidRPr="009C4A80">
        <w:rPr>
          <w:rFonts w:ascii="Times New Roman" w:hAnsi="Times New Roman"/>
          <w:sz w:val="24"/>
          <w:szCs w:val="24"/>
        </w:rPr>
        <w:t>2010</w:t>
      </w:r>
      <w:proofErr w:type="gramEnd"/>
      <w:r w:rsidRPr="009C4A80">
        <w:rPr>
          <w:rFonts w:ascii="Times New Roman" w:hAnsi="Times New Roman"/>
          <w:sz w:val="24"/>
          <w:szCs w:val="24"/>
        </w:rPr>
        <w:t xml:space="preserve"> article from MA: “Woman struck by flailing fire hose dies.” </w:t>
      </w:r>
      <w:hyperlink r:id="rId1042" w:history="1">
        <w:r w:rsidRPr="009C4A80">
          <w:rPr>
            <w:rStyle w:val="Hyperlink"/>
            <w:rFonts w:ascii="Times New Roman" w:hAnsi="Times New Roman"/>
            <w:sz w:val="24"/>
            <w:szCs w:val="24"/>
          </w:rPr>
          <w:t>http://www.cnn.com/2010/US/01/29/massachusetts.fire.hose.deaths/index.html</w:t>
        </w:r>
      </w:hyperlink>
      <w:r w:rsidRPr="009C4A80">
        <w:rPr>
          <w:rFonts w:ascii="Times New Roman" w:hAnsi="Times New Roman"/>
          <w:sz w:val="24"/>
          <w:szCs w:val="24"/>
        </w:rPr>
        <w:t xml:space="preserve"> </w:t>
      </w:r>
    </w:p>
    <w:p w14:paraId="41F3F898" w14:textId="77777777" w:rsidR="00F326E5" w:rsidRPr="009C4A80" w:rsidRDefault="00F326E5" w:rsidP="00F326E5">
      <w:pPr>
        <w:pStyle w:val="NoSpacing"/>
        <w:ind w:left="720"/>
        <w:rPr>
          <w:rFonts w:ascii="Times New Roman" w:hAnsi="Times New Roman"/>
          <w:sz w:val="24"/>
          <w:szCs w:val="24"/>
        </w:rPr>
      </w:pPr>
      <w:r w:rsidRPr="009C4A80">
        <w:rPr>
          <w:rFonts w:ascii="Times New Roman" w:hAnsi="Times New Roman"/>
          <w:sz w:val="24"/>
          <w:szCs w:val="24"/>
        </w:rPr>
        <w:t xml:space="preserve">See also Sept. 15, </w:t>
      </w:r>
      <w:proofErr w:type="gramStart"/>
      <w:r w:rsidRPr="009C4A80">
        <w:rPr>
          <w:rFonts w:ascii="Times New Roman" w:hAnsi="Times New Roman"/>
          <w:sz w:val="24"/>
          <w:szCs w:val="24"/>
        </w:rPr>
        <w:t>2006</w:t>
      </w:r>
      <w:proofErr w:type="gramEnd"/>
      <w:r w:rsidRPr="009C4A80">
        <w:rPr>
          <w:rFonts w:ascii="Times New Roman" w:hAnsi="Times New Roman"/>
          <w:sz w:val="24"/>
          <w:szCs w:val="24"/>
        </w:rPr>
        <w:t xml:space="preserve"> article from PA: “Jury awards $5 million to families in fire hose accident.” </w:t>
      </w:r>
      <w:hyperlink r:id="rId1043" w:history="1">
        <w:r w:rsidRPr="009C4A80">
          <w:rPr>
            <w:rStyle w:val="Hyperlink"/>
            <w:rFonts w:ascii="Times New Roman" w:hAnsi="Times New Roman"/>
            <w:sz w:val="24"/>
            <w:szCs w:val="24"/>
          </w:rPr>
          <w:t>https://www.post-gazette.com/local/west/2006/09/15/Jury-awards-5-million-to-families-in-fire-hose-accident/stories/200609150169</w:t>
        </w:r>
      </w:hyperlink>
      <w:bookmarkEnd w:id="219"/>
      <w:r w:rsidRPr="009C4A80">
        <w:rPr>
          <w:rFonts w:ascii="Times New Roman" w:hAnsi="Times New Roman"/>
          <w:sz w:val="24"/>
          <w:szCs w:val="24"/>
        </w:rPr>
        <w:t xml:space="preserve"> </w:t>
      </w:r>
    </w:p>
    <w:bookmarkEnd w:id="218"/>
    <w:p w14:paraId="4794B337" w14:textId="77777777" w:rsidR="00F326E5" w:rsidRPr="009C4A80" w:rsidRDefault="00F326E5" w:rsidP="00F326E5">
      <w:pPr>
        <w:pStyle w:val="NoSpacing"/>
        <w:rPr>
          <w:rFonts w:ascii="Times New Roman" w:hAnsi="Times New Roman"/>
          <w:sz w:val="24"/>
          <w:szCs w:val="24"/>
        </w:rPr>
      </w:pPr>
    </w:p>
    <w:p w14:paraId="2EAC1036" w14:textId="77777777" w:rsidR="00F326E5" w:rsidRPr="009C4A80" w:rsidRDefault="00F326E5" w:rsidP="00F326E5">
      <w:pPr>
        <w:ind w:left="720"/>
        <w:rPr>
          <w:rFonts w:ascii="Times New Roman" w:eastAsia="Times New Roman" w:hAnsi="Times New Roman"/>
          <w:sz w:val="24"/>
          <w:szCs w:val="24"/>
        </w:rPr>
      </w:pPr>
      <w:bookmarkStart w:id="220" w:name="_Hlk1297617"/>
      <w:r w:rsidRPr="009C4A80">
        <w:rPr>
          <w:rFonts w:ascii="Times New Roman" w:eastAsia="Times New Roman" w:hAnsi="Times New Roman"/>
          <w:sz w:val="24"/>
          <w:szCs w:val="24"/>
        </w:rPr>
        <w:t xml:space="preserve">Note: Ohio public employees are protected by indemnification statute they acted in “good faith.” Ohio Revised Code 2744.07: “The political subdivision has the duty to defend the employee if the act or omission occurred while the employee was acting both in good faith and not manifestly outside the scope of employment or official responsibilities. *** Except as otherwise provided in this division, a political subdivision shall indemnify and hold harmless an employee in the amount of any judgment, other than a judgment for punitive or exemplary damages, that is obtained against the employee in a state or federal court or as a result of a law of a foreign jurisdiction and that is for damages for injury, death, or loss to person or property caused by an act or omission in connection with a governmental or proprietary function, if at the time of the act or omission the employee was acting in good faith and within the scope of employment or official responsibilities.”  </w:t>
      </w:r>
      <w:hyperlink r:id="rId1044" w:history="1">
        <w:r w:rsidRPr="009C4A80">
          <w:rPr>
            <w:rStyle w:val="Hyperlink"/>
            <w:rFonts w:ascii="Times New Roman" w:hAnsi="Times New Roman"/>
            <w:sz w:val="24"/>
            <w:szCs w:val="24"/>
          </w:rPr>
          <w:t>http://codes.ohio.gov/orc/2744.07</w:t>
        </w:r>
      </w:hyperlink>
      <w:r w:rsidRPr="009C4A80">
        <w:rPr>
          <w:rFonts w:ascii="Times New Roman" w:eastAsia="Times New Roman" w:hAnsi="Times New Roman"/>
          <w:sz w:val="24"/>
          <w:szCs w:val="24"/>
        </w:rPr>
        <w:t xml:space="preserve"> </w:t>
      </w:r>
    </w:p>
    <w:p w14:paraId="19F6A92F"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t xml:space="preserve">Likewise, “reckless” driving by fire or EMS can lead to personal liability if case is not settled by the political subdivision. In Anderson v. Massillon, involving aerial truck killing elderly driver and his grandson, the Ohio Supreme Court in 2012 held that the aerial driver and the </w:t>
      </w:r>
      <w:proofErr w:type="gramStart"/>
      <w:r w:rsidRPr="009C4A80">
        <w:rPr>
          <w:rFonts w:ascii="Times New Roman" w:eastAsia="Times New Roman" w:hAnsi="Times New Roman"/>
          <w:sz w:val="24"/>
          <w:szCs w:val="24"/>
        </w:rPr>
        <w:t>Captain</w:t>
      </w:r>
      <w:proofErr w:type="gramEnd"/>
      <w:r w:rsidRPr="009C4A80">
        <w:rPr>
          <w:rFonts w:ascii="Times New Roman" w:eastAsia="Times New Roman" w:hAnsi="Times New Roman"/>
          <w:sz w:val="24"/>
          <w:szCs w:val="24"/>
        </w:rPr>
        <w:t xml:space="preserve"> were not entitled to immunity, but the </w:t>
      </w:r>
      <w:proofErr w:type="gramStart"/>
      <w:r w:rsidRPr="009C4A80">
        <w:rPr>
          <w:rFonts w:ascii="Times New Roman" w:eastAsia="Times New Roman" w:hAnsi="Times New Roman"/>
          <w:sz w:val="24"/>
          <w:szCs w:val="24"/>
        </w:rPr>
        <w:t>City</w:t>
      </w:r>
      <w:proofErr w:type="gramEnd"/>
      <w:r w:rsidRPr="009C4A80">
        <w:rPr>
          <w:rFonts w:ascii="Times New Roman" w:eastAsia="Times New Roman" w:hAnsi="Times New Roman"/>
          <w:sz w:val="24"/>
          <w:szCs w:val="24"/>
        </w:rPr>
        <w:t xml:space="preserve"> was immune. See video from scene: </w:t>
      </w:r>
      <w:hyperlink r:id="rId1045" w:history="1">
        <w:r w:rsidRPr="009C4A80">
          <w:rPr>
            <w:rStyle w:val="Hyperlink"/>
            <w:rFonts w:ascii="Times New Roman" w:hAnsi="Times New Roman"/>
            <w:sz w:val="24"/>
            <w:szCs w:val="24"/>
          </w:rPr>
          <w:t>https://www.youtube.com/watch?v=ga_vHeGYQ34</w:t>
        </w:r>
      </w:hyperlink>
      <w:r w:rsidRPr="009C4A80">
        <w:rPr>
          <w:rFonts w:ascii="Times New Roman" w:eastAsia="Times New Roman" w:hAnsi="Times New Roman"/>
          <w:sz w:val="24"/>
          <w:szCs w:val="24"/>
        </w:rPr>
        <w:t xml:space="preserve"> </w:t>
      </w:r>
    </w:p>
    <w:p w14:paraId="26C52114"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t xml:space="preserve">The Supreme Court held: “R.C. 2744.02(B)(1)(b) provides a political subdivision with a full defense to liability for injuries caused by the operation of a fire department vehicle while engaged in duty at a fire, proceeding toward a place where a fire is in progress or is believed to be in progress, or answering any other emergency alarm if its operation does not constitute willful or wanton misconduct. R.C. 2744.03(A)(6)(b) provides immunity to employees of a political subdivision for acts that are not committed in a wanton or reckless manner.” </w:t>
      </w:r>
      <w:hyperlink r:id="rId1046" w:history="1">
        <w:r w:rsidRPr="009C4A80">
          <w:rPr>
            <w:rStyle w:val="Hyperlink"/>
            <w:rFonts w:ascii="Times New Roman" w:hAnsi="Times New Roman"/>
            <w:sz w:val="24"/>
            <w:szCs w:val="24"/>
          </w:rPr>
          <w:t>http://www.legallyspeakingohio.com/wordpress/wp-content/uploads/2013/03/anderson-v-massilon.pdf</w:t>
        </w:r>
      </w:hyperlink>
      <w:r w:rsidRPr="009C4A80">
        <w:rPr>
          <w:rFonts w:ascii="Times New Roman" w:eastAsia="Times New Roman" w:hAnsi="Times New Roman"/>
          <w:sz w:val="24"/>
          <w:szCs w:val="24"/>
        </w:rPr>
        <w:t xml:space="preserve"> </w:t>
      </w:r>
    </w:p>
    <w:p w14:paraId="7392CE29"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t xml:space="preserve">Case was settled by the </w:t>
      </w:r>
      <w:proofErr w:type="gramStart"/>
      <w:r w:rsidRPr="009C4A80">
        <w:rPr>
          <w:rFonts w:ascii="Times New Roman" w:eastAsia="Times New Roman" w:hAnsi="Times New Roman"/>
          <w:sz w:val="24"/>
          <w:szCs w:val="24"/>
        </w:rPr>
        <w:t>City</w:t>
      </w:r>
      <w:proofErr w:type="gramEnd"/>
      <w:r w:rsidRPr="009C4A80">
        <w:rPr>
          <w:rFonts w:ascii="Times New Roman" w:eastAsia="Times New Roman" w:hAnsi="Times New Roman"/>
          <w:sz w:val="24"/>
          <w:szCs w:val="24"/>
        </w:rPr>
        <w:t xml:space="preserve"> in 2008 for $362,000: </w:t>
      </w:r>
      <w:hyperlink r:id="rId1047" w:history="1">
        <w:r w:rsidRPr="009C4A80">
          <w:rPr>
            <w:rStyle w:val="Hyperlink"/>
            <w:rFonts w:ascii="Times New Roman" w:hAnsi="Times New Roman"/>
            <w:sz w:val="24"/>
            <w:szCs w:val="24"/>
          </w:rPr>
          <w:t>http://www.cantonrep.com/news/20160713/massillon-family-awarded-362k-in-2008-firetruck-crash-settlement</w:t>
        </w:r>
      </w:hyperlink>
    </w:p>
    <w:bookmarkEnd w:id="214"/>
    <w:bookmarkEnd w:id="220"/>
    <w:p w14:paraId="6665C7F8" w14:textId="77777777" w:rsidR="00EF1133" w:rsidRPr="009C4A80" w:rsidRDefault="00EF1133" w:rsidP="00EF1133">
      <w:pPr>
        <w:rPr>
          <w:rFonts w:ascii="Times New Roman" w:hAnsi="Times New Roman"/>
          <w:b/>
          <w:sz w:val="24"/>
          <w:szCs w:val="24"/>
        </w:rPr>
      </w:pPr>
    </w:p>
    <w:p w14:paraId="61FBE930" w14:textId="104FF48F" w:rsidR="00F326E5" w:rsidRPr="009F2867" w:rsidRDefault="00EF1133" w:rsidP="00EF1133">
      <w:pPr>
        <w:rPr>
          <w:bCs/>
        </w:rPr>
      </w:pPr>
      <w:r w:rsidRPr="00EF1133">
        <w:rPr>
          <w:rFonts w:ascii="Arial Black" w:hAnsi="Arial Black"/>
          <w:b/>
          <w:sz w:val="24"/>
          <w:szCs w:val="24"/>
        </w:rPr>
        <w:t>5-</w:t>
      </w:r>
      <w:r>
        <w:rPr>
          <w:rFonts w:ascii="Arial Black" w:hAnsi="Arial Black"/>
          <w:b/>
          <w:sz w:val="24"/>
          <w:szCs w:val="24"/>
        </w:rPr>
        <w:t>3</w:t>
      </w:r>
    </w:p>
    <w:p w14:paraId="182DBEAA" w14:textId="0AE6B069" w:rsidR="00F326E5" w:rsidRDefault="00F326E5" w:rsidP="00F326E5">
      <w:pPr>
        <w:pStyle w:val="NoSpacing"/>
        <w:rPr>
          <w:rFonts w:ascii="Arial Black" w:hAnsi="Arial Black"/>
          <w:b/>
          <w:sz w:val="28"/>
          <w:szCs w:val="28"/>
        </w:rPr>
      </w:pPr>
      <w:bookmarkStart w:id="221" w:name="_Hlk7342765"/>
      <w:r w:rsidRPr="006A0855">
        <w:rPr>
          <w:rFonts w:ascii="Arial Black" w:hAnsi="Arial Black"/>
          <w:b/>
          <w:sz w:val="28"/>
          <w:szCs w:val="28"/>
        </w:rPr>
        <w:t>CA: DRUNK DRIVER RAN INTO FIRE ENGINE – MUST PAY FULL RESTITUTION, EVEN IF FD INSUR</w:t>
      </w:r>
      <w:r>
        <w:rPr>
          <w:rFonts w:ascii="Arial Black" w:hAnsi="Arial Black"/>
          <w:b/>
          <w:sz w:val="28"/>
          <w:szCs w:val="28"/>
        </w:rPr>
        <w:t xml:space="preserve">ED </w:t>
      </w:r>
    </w:p>
    <w:p w14:paraId="2DF84CA3" w14:textId="03776433" w:rsidR="00F326E5" w:rsidRPr="00F86024" w:rsidRDefault="00F326E5" w:rsidP="00F326E5">
      <w:pPr>
        <w:pStyle w:val="NoSpacing"/>
        <w:rPr>
          <w:b/>
          <w:sz w:val="24"/>
          <w:szCs w:val="24"/>
        </w:rPr>
      </w:pPr>
    </w:p>
    <w:p w14:paraId="39D7850A"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Jan. 15, 2019, in </w:t>
      </w:r>
      <w:r w:rsidRPr="009C4A80">
        <w:rPr>
          <w:rFonts w:ascii="Times New Roman" w:hAnsi="Times New Roman"/>
          <w:bCs/>
          <w:sz w:val="24"/>
          <w:szCs w:val="24"/>
          <w:u w:val="single"/>
        </w:rPr>
        <w:t>The People v. Christian A. Zuniga,</w:t>
      </w:r>
      <w:r w:rsidRPr="009C4A80">
        <w:rPr>
          <w:rFonts w:ascii="Times New Roman" w:hAnsi="Times New Roman"/>
          <w:bCs/>
          <w:sz w:val="24"/>
          <w:szCs w:val="24"/>
        </w:rPr>
        <w:t xml:space="preserve"> the Court of Appeal of California, First Appellate District, held 3 to 0 [unpublished opinion], </w:t>
      </w:r>
      <w:r w:rsidRPr="009C4A80">
        <w:rPr>
          <w:rFonts w:ascii="Times New Roman" w:hAnsi="Times New Roman"/>
          <w:sz w:val="24"/>
          <w:szCs w:val="24"/>
        </w:rPr>
        <w:t> </w:t>
      </w:r>
    </w:p>
    <w:p w14:paraId="51FC80C0" w14:textId="77777777" w:rsidR="009C4A80" w:rsidRDefault="009C4A80" w:rsidP="00F326E5">
      <w:pPr>
        <w:pStyle w:val="NoSpacing"/>
        <w:rPr>
          <w:rFonts w:ascii="Times New Roman" w:hAnsi="Times New Roman"/>
          <w:sz w:val="24"/>
          <w:szCs w:val="24"/>
        </w:rPr>
      </w:pPr>
    </w:p>
    <w:p w14:paraId="29A0CAA1" w14:textId="1C17A408" w:rsidR="00F326E5" w:rsidRPr="009C4A80" w:rsidRDefault="00F326E5" w:rsidP="009C4A80">
      <w:pPr>
        <w:pStyle w:val="NoSpacing"/>
        <w:ind w:left="720"/>
        <w:rPr>
          <w:rFonts w:ascii="Times New Roman" w:hAnsi="Times New Roman"/>
          <w:sz w:val="24"/>
          <w:szCs w:val="24"/>
        </w:rPr>
      </w:pPr>
      <w:r w:rsidRPr="009C4A80">
        <w:rPr>
          <w:rFonts w:ascii="Times New Roman" w:hAnsi="Times New Roman"/>
          <w:sz w:val="24"/>
          <w:szCs w:val="24"/>
        </w:rPr>
        <w:t xml:space="preserve">“We have carefully reviewed the entire record in accordance with our </w:t>
      </w:r>
      <w:r w:rsidRPr="009C4A80">
        <w:rPr>
          <w:rFonts w:ascii="Times New Roman" w:hAnsi="Times New Roman"/>
          <w:i/>
          <w:iCs/>
          <w:sz w:val="24"/>
          <w:szCs w:val="24"/>
        </w:rPr>
        <w:t>Wende</w:t>
      </w:r>
      <w:r w:rsidRPr="009C4A80">
        <w:rPr>
          <w:rFonts w:ascii="Times New Roman" w:hAnsi="Times New Roman"/>
          <w:sz w:val="24"/>
          <w:szCs w:val="24"/>
        </w:rPr>
        <w:t xml:space="preserve"> obligations, and we conclude there are no arguable issues on appeal that require further briefing. (See </w:t>
      </w:r>
      <w:r w:rsidRPr="009C4A80">
        <w:rPr>
          <w:rFonts w:ascii="Times New Roman" w:hAnsi="Times New Roman"/>
          <w:i/>
          <w:iCs/>
          <w:sz w:val="24"/>
          <w:szCs w:val="24"/>
        </w:rPr>
        <w:t>People v</w:t>
      </w:r>
      <w:r w:rsidRPr="009C4A80">
        <w:rPr>
          <w:rFonts w:ascii="Times New Roman" w:hAnsi="Times New Roman"/>
          <w:sz w:val="24"/>
          <w:szCs w:val="24"/>
        </w:rPr>
        <w:t xml:space="preserve">. </w:t>
      </w:r>
      <w:r w:rsidRPr="009C4A80">
        <w:rPr>
          <w:rFonts w:ascii="Times New Roman" w:hAnsi="Times New Roman"/>
          <w:i/>
          <w:iCs/>
          <w:sz w:val="24"/>
          <w:szCs w:val="24"/>
        </w:rPr>
        <w:t xml:space="preserve">Birkett </w:t>
      </w:r>
      <w:hyperlink r:id="rId1048" w:history="1">
        <w:r w:rsidRPr="009C4A80">
          <w:rPr>
            <w:rStyle w:val="Hyperlink"/>
            <w:rFonts w:ascii="Times New Roman" w:hAnsi="Times New Roman"/>
            <w:sz w:val="24"/>
            <w:szCs w:val="24"/>
          </w:rPr>
          <w:t>(1999) 21 Cal.4th 226</w:t>
        </w:r>
      </w:hyperlink>
      <w:r w:rsidRPr="009C4A80">
        <w:rPr>
          <w:rFonts w:ascii="Times New Roman" w:hAnsi="Times New Roman"/>
          <w:sz w:val="24"/>
          <w:szCs w:val="24"/>
        </w:rPr>
        <w:t xml:space="preserve">, 245-247 [victim entitled to restitution in the ‘full amount of the loss caused by the crime, regardless of whether, in the exercise of prudence, the victim had purchased private insurance that covered some or all of the same losses’].)” </w:t>
      </w:r>
      <w:hyperlink r:id="rId1049" w:history="1">
        <w:r w:rsidRPr="009C4A80">
          <w:rPr>
            <w:rStyle w:val="Hyperlink"/>
            <w:rFonts w:ascii="Times New Roman" w:hAnsi="Times New Roman"/>
            <w:sz w:val="24"/>
            <w:szCs w:val="24"/>
          </w:rPr>
          <w:t>http://www.courts.ca.gov/opinions/nonpub/A154587.PDF</w:t>
        </w:r>
      </w:hyperlink>
      <w:r w:rsidRPr="009C4A80">
        <w:rPr>
          <w:rFonts w:ascii="Times New Roman" w:hAnsi="Times New Roman"/>
          <w:sz w:val="24"/>
          <w:szCs w:val="24"/>
        </w:rPr>
        <w:t xml:space="preserve"> </w:t>
      </w:r>
    </w:p>
    <w:p w14:paraId="71EA2686" w14:textId="77777777" w:rsidR="009C4A80" w:rsidRDefault="009C4A80" w:rsidP="00F326E5">
      <w:pPr>
        <w:pStyle w:val="NoSpacing"/>
        <w:rPr>
          <w:rFonts w:ascii="Times New Roman" w:hAnsi="Times New Roman"/>
          <w:b/>
          <w:sz w:val="24"/>
          <w:szCs w:val="24"/>
        </w:rPr>
      </w:pPr>
    </w:p>
    <w:p w14:paraId="188A4BEC" w14:textId="5EE42847"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Legal Lessons Learned: Great lesson for this drunk driver.  The Insurance company may be entitled to a refund, if this defendant ultimately pays full amount.</w:t>
      </w:r>
    </w:p>
    <w:bookmarkEnd w:id="221"/>
    <w:p w14:paraId="711078C5" w14:textId="77777777" w:rsidR="00F326E5" w:rsidRDefault="00F326E5" w:rsidP="00F326E5">
      <w:pPr>
        <w:rPr>
          <w:rFonts w:eastAsia="Times New Roman"/>
          <w:sz w:val="24"/>
          <w:szCs w:val="24"/>
        </w:rPr>
      </w:pPr>
    </w:p>
    <w:p w14:paraId="1FF60CD6" w14:textId="2816875C" w:rsidR="00F326E5" w:rsidRDefault="00EF1133" w:rsidP="00F326E5">
      <w:pPr>
        <w:rPr>
          <w:sz w:val="24"/>
          <w:szCs w:val="24"/>
        </w:rPr>
      </w:pPr>
      <w:r w:rsidRPr="00EF1133">
        <w:rPr>
          <w:rFonts w:ascii="Arial Black" w:hAnsi="Arial Black"/>
          <w:b/>
          <w:sz w:val="24"/>
          <w:szCs w:val="24"/>
        </w:rPr>
        <w:t>5-</w:t>
      </w:r>
      <w:r>
        <w:rPr>
          <w:rFonts w:ascii="Arial Black" w:hAnsi="Arial Black"/>
          <w:b/>
          <w:sz w:val="24"/>
          <w:szCs w:val="24"/>
        </w:rPr>
        <w:t>2</w:t>
      </w:r>
    </w:p>
    <w:p w14:paraId="3D573D8B" w14:textId="4F0A5F78" w:rsidR="00F326E5" w:rsidRDefault="00F326E5" w:rsidP="00F326E5">
      <w:pPr>
        <w:rPr>
          <w:rFonts w:ascii="Arial Black" w:eastAsia="Times New Roman" w:hAnsi="Arial Black"/>
          <w:sz w:val="28"/>
          <w:szCs w:val="28"/>
        </w:rPr>
      </w:pPr>
      <w:bookmarkStart w:id="222" w:name="_Hlk7342818"/>
      <w:r>
        <w:rPr>
          <w:rFonts w:ascii="Arial Black" w:eastAsia="Times New Roman" w:hAnsi="Arial Black"/>
          <w:sz w:val="28"/>
          <w:szCs w:val="28"/>
        </w:rPr>
        <w:t>OH: EMER. VEH. OPERATOR ENTITLED TO IMMUNITY – BACKED OVER WALKER – NOT “RECKLESS”</w:t>
      </w:r>
    </w:p>
    <w:p w14:paraId="7285E0B9" w14:textId="77777777" w:rsidR="009C4A80" w:rsidRDefault="00F326E5" w:rsidP="00F326E5">
      <w:pPr>
        <w:pStyle w:val="NoSpacing"/>
        <w:rPr>
          <w:rFonts w:ascii="Times New Roman" w:hAnsi="Times New Roman"/>
          <w:sz w:val="24"/>
          <w:szCs w:val="24"/>
        </w:rPr>
      </w:pPr>
      <w:r w:rsidRPr="009C4A80">
        <w:rPr>
          <w:rFonts w:ascii="Times New Roman" w:eastAsia="Times New Roman" w:hAnsi="Times New Roman"/>
          <w:bCs/>
          <w:sz w:val="24"/>
          <w:szCs w:val="24"/>
        </w:rPr>
        <w:t xml:space="preserve">On </w:t>
      </w:r>
      <w:bookmarkStart w:id="223" w:name="_Hlk39829822"/>
      <w:r w:rsidRPr="009C4A80">
        <w:rPr>
          <w:rFonts w:ascii="Times New Roman" w:eastAsia="Times New Roman" w:hAnsi="Times New Roman"/>
          <w:bCs/>
          <w:sz w:val="24"/>
          <w:szCs w:val="24"/>
        </w:rPr>
        <w:t xml:space="preserve">Oct. 9, 2018, in </w:t>
      </w:r>
      <w:r w:rsidRPr="009C4A80">
        <w:rPr>
          <w:rFonts w:ascii="Times New Roman" w:eastAsia="Times New Roman" w:hAnsi="Times New Roman"/>
          <w:bCs/>
          <w:sz w:val="24"/>
          <w:szCs w:val="24"/>
          <w:u w:val="single"/>
        </w:rPr>
        <w:t>Riehm v. Green Springs Rural Volunteer Fire Dept</w:t>
      </w:r>
      <w:r w:rsidRPr="009C4A80">
        <w:rPr>
          <w:rFonts w:ascii="Times New Roman" w:eastAsia="Times New Roman" w:hAnsi="Times New Roman"/>
          <w:bCs/>
          <w:sz w:val="24"/>
          <w:szCs w:val="24"/>
        </w:rPr>
        <w:t>., 2018-Ohio-4075</w:t>
      </w:r>
      <w:bookmarkEnd w:id="223"/>
      <w:r w:rsidRPr="009C4A80">
        <w:rPr>
          <w:rFonts w:ascii="Times New Roman" w:eastAsia="Times New Roman" w:hAnsi="Times New Roman"/>
          <w:bCs/>
          <w:sz w:val="24"/>
          <w:szCs w:val="24"/>
        </w:rPr>
        <w:t>, the</w:t>
      </w:r>
      <w:r w:rsidRPr="009C4A80">
        <w:rPr>
          <w:rFonts w:ascii="Times New Roman" w:eastAsia="Times New Roman" w:hAnsi="Times New Roman"/>
          <w:b/>
          <w:sz w:val="24"/>
          <w:szCs w:val="24"/>
        </w:rPr>
        <w:t xml:space="preserve"> </w:t>
      </w:r>
      <w:r w:rsidRPr="009C4A80">
        <w:rPr>
          <w:rFonts w:ascii="Times New Roman" w:eastAsia="Times New Roman" w:hAnsi="Times New Roman"/>
          <w:sz w:val="24"/>
          <w:szCs w:val="24"/>
        </w:rPr>
        <w:t xml:space="preserve">Ohio Court of Appeals for Third District (Seneca County), held (2 to 1) that the trial court improperly denied the fire department, and firefighter </w:t>
      </w:r>
      <w:r w:rsidRPr="009C4A80">
        <w:rPr>
          <w:rFonts w:ascii="Times New Roman" w:hAnsi="Times New Roman"/>
          <w:sz w:val="24"/>
          <w:szCs w:val="24"/>
        </w:rPr>
        <w:t xml:space="preserve">Seth T. Knieriemen’s motions for summary judgment.  </w:t>
      </w:r>
    </w:p>
    <w:p w14:paraId="63E95956" w14:textId="77777777" w:rsidR="009C4A80" w:rsidRDefault="009C4A80" w:rsidP="00F326E5">
      <w:pPr>
        <w:pStyle w:val="NoSpacing"/>
        <w:rPr>
          <w:rFonts w:ascii="Times New Roman" w:hAnsi="Times New Roman"/>
          <w:sz w:val="24"/>
          <w:szCs w:val="24"/>
        </w:rPr>
      </w:pPr>
    </w:p>
    <w:p w14:paraId="56E0C221" w14:textId="150B0C73" w:rsidR="00F326E5" w:rsidRPr="009C4A80" w:rsidRDefault="00F326E5" w:rsidP="009C4A80">
      <w:pPr>
        <w:pStyle w:val="NoSpacing"/>
        <w:ind w:left="720"/>
        <w:rPr>
          <w:rStyle w:val="Hyperlink"/>
          <w:rFonts w:ascii="Times New Roman" w:hAnsi="Times New Roman"/>
          <w:b/>
          <w:sz w:val="24"/>
          <w:szCs w:val="24"/>
        </w:rPr>
      </w:pPr>
      <w:r w:rsidRPr="009C4A80">
        <w:rPr>
          <w:rFonts w:ascii="Times New Roman" w:hAnsi="Times New Roman"/>
          <w:sz w:val="24"/>
          <w:szCs w:val="24"/>
        </w:rPr>
        <w:t>“</w:t>
      </w:r>
      <w:r w:rsidRPr="009C4A80">
        <w:rPr>
          <w:rFonts w:ascii="Times New Roman" w:eastAsia="Times New Roman" w:hAnsi="Times New Roman"/>
          <w:sz w:val="24"/>
          <w:szCs w:val="24"/>
        </w:rPr>
        <w:t xml:space="preserve">As to Knieriemen individually, he could still be liable if his conduct constituted recklessness. Recklessness implies conduct that is substantially greater than negligence. Knieriemen’s failure to follow standard operating guidelines does not establish a genuine issue of material fact as to whether there was more than negligence here, particularly where he did not see, and perhaps could not have seen, Lorri. Knieriemen’s conduct could certainly be considered negligent, but not substantially greater than negligent. Therefore, we find that the trial court also erred on this issue.” </w:t>
      </w:r>
      <w:bookmarkStart w:id="224" w:name="_Hlk39829850"/>
      <w:r w:rsidR="00374417">
        <w:fldChar w:fldCharType="begin"/>
      </w:r>
      <w:r w:rsidR="00374417">
        <w:instrText xml:space="preserve"> HYPERLINK "https://www.courtlistener.com/pdf/2018/10/09/riehm_v._green_springs_rural_volunteer_fire_dept..pdf" </w:instrText>
      </w:r>
      <w:r w:rsidR="00374417">
        <w:fldChar w:fldCharType="separate"/>
      </w:r>
      <w:r w:rsidRPr="009C4A80">
        <w:rPr>
          <w:rStyle w:val="Hyperlink"/>
          <w:rFonts w:ascii="Times New Roman" w:hAnsi="Times New Roman"/>
          <w:sz w:val="24"/>
          <w:szCs w:val="24"/>
        </w:rPr>
        <w:t>https://www.courtlistener.com/pdf/2018/10/09/riehm_v._green_springs_rural_volunteer_fire_dept..pdf</w:t>
      </w:r>
      <w:r w:rsidR="00374417">
        <w:rPr>
          <w:rStyle w:val="Hyperlink"/>
          <w:rFonts w:ascii="Times New Roman" w:hAnsi="Times New Roman"/>
          <w:sz w:val="24"/>
          <w:szCs w:val="24"/>
        </w:rPr>
        <w:fldChar w:fldCharType="end"/>
      </w:r>
      <w:bookmarkEnd w:id="224"/>
    </w:p>
    <w:p w14:paraId="6AC4635A" w14:textId="77777777" w:rsidR="009C4A80" w:rsidRDefault="009C4A80" w:rsidP="00F326E5">
      <w:pPr>
        <w:rPr>
          <w:rFonts w:ascii="Times New Roman" w:hAnsi="Times New Roman"/>
          <w:b/>
          <w:sz w:val="24"/>
          <w:szCs w:val="24"/>
        </w:rPr>
      </w:pPr>
    </w:p>
    <w:p w14:paraId="07845484" w14:textId="0A1535FA" w:rsidR="00F326E5" w:rsidRPr="009C4A80" w:rsidRDefault="00F326E5" w:rsidP="00F326E5">
      <w:pPr>
        <w:rPr>
          <w:rFonts w:ascii="Times New Roman" w:hAnsi="Times New Roman"/>
          <w:b/>
          <w:sz w:val="24"/>
          <w:szCs w:val="24"/>
        </w:rPr>
      </w:pPr>
      <w:r w:rsidRPr="009C4A80">
        <w:rPr>
          <w:rFonts w:ascii="Times New Roman" w:hAnsi="Times New Roman"/>
          <w:b/>
          <w:sz w:val="24"/>
          <w:szCs w:val="24"/>
        </w:rPr>
        <w:t xml:space="preserve">Legal Lessons Learned:  Tragic accidents can be avoided if SOGs are followed, including using a backer.  </w:t>
      </w:r>
    </w:p>
    <w:bookmarkEnd w:id="222"/>
    <w:p w14:paraId="7AAB0E56" w14:textId="77777777" w:rsidR="00F326E5" w:rsidRDefault="00F326E5" w:rsidP="00F326E5">
      <w:pPr>
        <w:rPr>
          <w:b/>
          <w:sz w:val="24"/>
          <w:szCs w:val="24"/>
        </w:rPr>
      </w:pPr>
    </w:p>
    <w:p w14:paraId="0F51F6E6" w14:textId="45CE9A32" w:rsidR="00F326E5" w:rsidRPr="00EF1133" w:rsidRDefault="00EF1133" w:rsidP="00F326E5">
      <w:pPr>
        <w:rPr>
          <w:rFonts w:ascii="Arial Black" w:hAnsi="Arial Black"/>
          <w:b/>
          <w:sz w:val="24"/>
          <w:szCs w:val="24"/>
        </w:rPr>
      </w:pPr>
      <w:r w:rsidRPr="00EF1133">
        <w:rPr>
          <w:rFonts w:ascii="Arial Black" w:hAnsi="Arial Black"/>
          <w:b/>
          <w:sz w:val="24"/>
          <w:szCs w:val="24"/>
        </w:rPr>
        <w:t>5-1</w:t>
      </w:r>
    </w:p>
    <w:p w14:paraId="5679A08F" w14:textId="5BFD68B1" w:rsidR="00F326E5" w:rsidRPr="00103A9C" w:rsidRDefault="00F326E5" w:rsidP="00F326E5">
      <w:pPr>
        <w:rPr>
          <w:rFonts w:ascii="Arial Black" w:hAnsi="Arial Black"/>
          <w:sz w:val="28"/>
          <w:szCs w:val="28"/>
        </w:rPr>
      </w:pPr>
      <w:bookmarkStart w:id="225" w:name="_Hlk7342908"/>
      <w:r w:rsidRPr="00103A9C">
        <w:rPr>
          <w:rFonts w:ascii="Arial Black" w:hAnsi="Arial Black"/>
          <w:sz w:val="28"/>
          <w:szCs w:val="28"/>
        </w:rPr>
        <w:t>MI: A</w:t>
      </w:r>
      <w:r>
        <w:rPr>
          <w:rFonts w:ascii="Arial Black" w:hAnsi="Arial Black"/>
          <w:sz w:val="28"/>
          <w:szCs w:val="28"/>
        </w:rPr>
        <w:t>MBULANCE STRUCT DEBRIS IN ROADWAY, EMT INJURED – NOT ENTITLED TO UNINSURED MOTORIST</w:t>
      </w:r>
      <w:r w:rsidR="00EF0BEC">
        <w:rPr>
          <w:rFonts w:ascii="Arial Black" w:hAnsi="Arial Black"/>
          <w:sz w:val="28"/>
          <w:szCs w:val="28"/>
        </w:rPr>
        <w:t xml:space="preserve"> INSURANCE COVERAGE</w:t>
      </w:r>
    </w:p>
    <w:p w14:paraId="74D68AB1" w14:textId="77777777" w:rsidR="009C4A80" w:rsidRDefault="00F326E5" w:rsidP="00F326E5">
      <w:pPr>
        <w:rPr>
          <w:rFonts w:ascii="Times New Roman" w:hAnsi="Times New Roman"/>
          <w:sz w:val="24"/>
          <w:szCs w:val="24"/>
        </w:rPr>
      </w:pPr>
      <w:r w:rsidRPr="009C4A80">
        <w:rPr>
          <w:rFonts w:ascii="Times New Roman" w:hAnsi="Times New Roman"/>
          <w:sz w:val="24"/>
          <w:szCs w:val="24"/>
        </w:rPr>
        <w:t xml:space="preserve">On Feb. 27, 2018, in Jeremy </w:t>
      </w:r>
      <w:r w:rsidRPr="009C4A80">
        <w:rPr>
          <w:rFonts w:ascii="Times New Roman" w:hAnsi="Times New Roman"/>
          <w:sz w:val="24"/>
          <w:szCs w:val="24"/>
          <w:u w:val="single"/>
        </w:rPr>
        <w:t>Drouillard v. American Alternative Insurance Company</w:t>
      </w:r>
      <w:r w:rsidRPr="009C4A80">
        <w:rPr>
          <w:rFonts w:ascii="Times New Roman" w:hAnsi="Times New Roman"/>
          <w:sz w:val="24"/>
          <w:szCs w:val="24"/>
        </w:rPr>
        <w:t xml:space="preserve">, the Court of Appeals of Michigan held (2 to 1) that the insurance policy which was purchased by ambulance company does not cover such an accident.  </w:t>
      </w:r>
    </w:p>
    <w:p w14:paraId="131160F9" w14:textId="0452BAD7" w:rsidR="00F326E5" w:rsidRPr="009C4A80" w:rsidRDefault="00F326E5" w:rsidP="009C4A80">
      <w:pPr>
        <w:ind w:left="720"/>
        <w:rPr>
          <w:rFonts w:ascii="Times New Roman" w:hAnsi="Times New Roman"/>
          <w:sz w:val="24"/>
          <w:szCs w:val="24"/>
        </w:rPr>
      </w:pPr>
      <w:r w:rsidRPr="009C4A80">
        <w:rPr>
          <w:rFonts w:ascii="Times New Roman" w:hAnsi="Times New Roman"/>
          <w:sz w:val="24"/>
          <w:szCs w:val="24"/>
        </w:rPr>
        <w:t xml:space="preserve">“[T] he plain language of the contract provides uninsured motorist coverage to Drouillard [EMT passenger] only if the unidentified pickup truck caused an object to hit the insured ambulance, and not vice versa. Reviewing the pertinent </w:t>
      </w:r>
      <w:proofErr w:type="gramStart"/>
      <w:r w:rsidRPr="009C4A80">
        <w:rPr>
          <w:rFonts w:ascii="Times New Roman" w:hAnsi="Times New Roman"/>
          <w:sz w:val="24"/>
          <w:szCs w:val="24"/>
        </w:rPr>
        <w:t>section as a whole, the</w:t>
      </w:r>
      <w:proofErr w:type="gramEnd"/>
      <w:r w:rsidRPr="009C4A80">
        <w:rPr>
          <w:rFonts w:ascii="Times New Roman" w:hAnsi="Times New Roman"/>
          <w:sz w:val="24"/>
          <w:szCs w:val="24"/>
        </w:rPr>
        <w:t xml:space="preserve"> language cannot reasonably be understood in any other way. Importantly, Drouillard and Schoenberg {EMT driver] both admitted that the building materials were stationary at the time of the accident, and Schoenberg agreed that, as the driver of the ambulance, she struck the materials in the roadway. Therefore, this is not a situation in which a hit-and-run vehicle caused an object to hit the insured ambulance, and Drouillard is not entitled to uninsured motorist benefits under the terms of the </w:t>
      </w:r>
      <w:proofErr w:type="gramStart"/>
      <w:r w:rsidRPr="009C4A80">
        <w:rPr>
          <w:rFonts w:ascii="Times New Roman" w:hAnsi="Times New Roman"/>
          <w:sz w:val="24"/>
          <w:szCs w:val="24"/>
        </w:rPr>
        <w:t>policy.”</w:t>
      </w:r>
      <w:proofErr w:type="gramEnd"/>
      <w:r w:rsidRPr="009C4A80">
        <w:rPr>
          <w:rFonts w:ascii="Times New Roman" w:hAnsi="Times New Roman"/>
          <w:sz w:val="24"/>
          <w:szCs w:val="24"/>
        </w:rPr>
        <w:t xml:space="preserve"> </w:t>
      </w:r>
      <w:hyperlink r:id="rId1050" w:history="1">
        <w:r w:rsidRPr="009C4A80">
          <w:rPr>
            <w:rStyle w:val="Hyperlink"/>
            <w:rFonts w:ascii="Times New Roman" w:hAnsi="Times New Roman"/>
            <w:sz w:val="24"/>
            <w:szCs w:val="24"/>
          </w:rPr>
          <w:t>https://caselaw.findlaw.com/mi-court-of-appeals/1890718.html</w:t>
        </w:r>
      </w:hyperlink>
      <w:r w:rsidRPr="009C4A80">
        <w:rPr>
          <w:rFonts w:ascii="Times New Roman" w:hAnsi="Times New Roman"/>
          <w:sz w:val="24"/>
          <w:szCs w:val="24"/>
        </w:rPr>
        <w:t xml:space="preserve"> </w:t>
      </w:r>
    </w:p>
    <w:p w14:paraId="58B5F07F" w14:textId="5660B739" w:rsidR="00F326E5" w:rsidRDefault="00F326E5" w:rsidP="0090461E">
      <w:pPr>
        <w:rPr>
          <w:rFonts w:ascii="Arial Black" w:hAnsi="Arial Black"/>
          <w:sz w:val="40"/>
          <w:szCs w:val="40"/>
        </w:rPr>
      </w:pPr>
      <w:r w:rsidRPr="009C4A80">
        <w:rPr>
          <w:rFonts w:ascii="Times New Roman" w:hAnsi="Times New Roman"/>
          <w:b/>
          <w:sz w:val="24"/>
          <w:szCs w:val="24"/>
        </w:rPr>
        <w:t>Legal Lessons Learned:  Ask your insurance carrier how they would respond to a similar claim; if they would deny the claim, then get the insurance carrier to amend your policy or find a new carrier.</w:t>
      </w:r>
      <w:r w:rsidRPr="009F2867">
        <w:rPr>
          <w:b/>
          <w:sz w:val="24"/>
          <w:szCs w:val="24"/>
        </w:rPr>
        <w:t xml:space="preserve"> </w:t>
      </w:r>
      <w:bookmarkEnd w:id="225"/>
    </w:p>
    <w:p w14:paraId="649E036E" w14:textId="77777777" w:rsidR="0090461E" w:rsidRDefault="0090461E" w:rsidP="00F326E5">
      <w:pPr>
        <w:pStyle w:val="NoSpacing"/>
        <w:rPr>
          <w:rFonts w:ascii="Arial Black" w:hAnsi="Arial Black"/>
          <w:sz w:val="40"/>
          <w:szCs w:val="40"/>
        </w:rPr>
      </w:pPr>
    </w:p>
    <w:p w14:paraId="36C6CE7B" w14:textId="77777777" w:rsidR="0090461E" w:rsidRDefault="0090461E" w:rsidP="00F326E5">
      <w:pPr>
        <w:pStyle w:val="NoSpacing"/>
        <w:rPr>
          <w:rFonts w:ascii="Arial Black" w:hAnsi="Arial Black"/>
          <w:sz w:val="40"/>
          <w:szCs w:val="40"/>
        </w:rPr>
      </w:pPr>
    </w:p>
    <w:p w14:paraId="1081D8B7" w14:textId="77777777" w:rsidR="0090461E" w:rsidRDefault="0090461E" w:rsidP="00F326E5">
      <w:pPr>
        <w:pStyle w:val="NoSpacing"/>
        <w:rPr>
          <w:rFonts w:ascii="Arial Black" w:hAnsi="Arial Black"/>
          <w:sz w:val="40"/>
          <w:szCs w:val="40"/>
        </w:rPr>
      </w:pPr>
    </w:p>
    <w:p w14:paraId="66D50EAB" w14:textId="77777777" w:rsidR="0090461E" w:rsidRDefault="0090461E" w:rsidP="00F326E5">
      <w:pPr>
        <w:pStyle w:val="NoSpacing"/>
        <w:rPr>
          <w:rFonts w:ascii="Arial Black" w:hAnsi="Arial Black"/>
          <w:sz w:val="40"/>
          <w:szCs w:val="40"/>
        </w:rPr>
      </w:pPr>
    </w:p>
    <w:p w14:paraId="296EFA27" w14:textId="77777777" w:rsidR="0090461E" w:rsidRDefault="0090461E" w:rsidP="00F326E5">
      <w:pPr>
        <w:pStyle w:val="NoSpacing"/>
        <w:rPr>
          <w:rFonts w:ascii="Arial Black" w:hAnsi="Arial Black"/>
          <w:sz w:val="40"/>
          <w:szCs w:val="40"/>
        </w:rPr>
      </w:pPr>
    </w:p>
    <w:p w14:paraId="30B957C6" w14:textId="77777777" w:rsidR="0090461E" w:rsidRDefault="0090461E" w:rsidP="00F326E5">
      <w:pPr>
        <w:pStyle w:val="NoSpacing"/>
        <w:rPr>
          <w:rFonts w:ascii="Arial Black" w:hAnsi="Arial Black"/>
          <w:sz w:val="40"/>
          <w:szCs w:val="40"/>
        </w:rPr>
      </w:pPr>
    </w:p>
    <w:p w14:paraId="494BD50A" w14:textId="77777777" w:rsidR="0090461E" w:rsidRDefault="0090461E" w:rsidP="00F326E5">
      <w:pPr>
        <w:pStyle w:val="NoSpacing"/>
        <w:rPr>
          <w:rFonts w:ascii="Arial Black" w:hAnsi="Arial Black"/>
          <w:sz w:val="40"/>
          <w:szCs w:val="40"/>
        </w:rPr>
      </w:pPr>
    </w:p>
    <w:p w14:paraId="05451AE6" w14:textId="77777777" w:rsidR="0090461E" w:rsidRDefault="0090461E" w:rsidP="00F326E5">
      <w:pPr>
        <w:pStyle w:val="NoSpacing"/>
        <w:rPr>
          <w:rFonts w:ascii="Arial Black" w:hAnsi="Arial Black"/>
          <w:sz w:val="40"/>
          <w:szCs w:val="40"/>
        </w:rPr>
      </w:pPr>
    </w:p>
    <w:p w14:paraId="097348AB" w14:textId="77777777" w:rsidR="0090461E" w:rsidRDefault="0090461E" w:rsidP="00F326E5">
      <w:pPr>
        <w:pStyle w:val="NoSpacing"/>
        <w:rPr>
          <w:rFonts w:ascii="Arial Black" w:hAnsi="Arial Black"/>
          <w:sz w:val="40"/>
          <w:szCs w:val="40"/>
        </w:rPr>
      </w:pPr>
    </w:p>
    <w:p w14:paraId="67837476" w14:textId="77777777" w:rsidR="0090461E" w:rsidRDefault="0090461E" w:rsidP="00F326E5">
      <w:pPr>
        <w:pStyle w:val="NoSpacing"/>
        <w:rPr>
          <w:rFonts w:ascii="Arial Black" w:hAnsi="Arial Black"/>
          <w:sz w:val="40"/>
          <w:szCs w:val="40"/>
        </w:rPr>
      </w:pPr>
    </w:p>
    <w:p w14:paraId="0573D9BC" w14:textId="77777777" w:rsidR="005263F1" w:rsidRDefault="005263F1" w:rsidP="00F326E5">
      <w:pPr>
        <w:pStyle w:val="NoSpacing"/>
        <w:rPr>
          <w:rFonts w:ascii="Arial Black" w:hAnsi="Arial Black"/>
          <w:sz w:val="40"/>
          <w:szCs w:val="40"/>
        </w:rPr>
      </w:pPr>
    </w:p>
    <w:p w14:paraId="0C3B30FD" w14:textId="0982FD90" w:rsidR="0097062D" w:rsidRDefault="0097062D">
      <w:pPr>
        <w:spacing w:after="0" w:line="240" w:lineRule="auto"/>
        <w:rPr>
          <w:rFonts w:ascii="Arial Black" w:hAnsi="Arial Black"/>
          <w:sz w:val="40"/>
          <w:szCs w:val="40"/>
        </w:rPr>
      </w:pPr>
      <w:r>
        <w:rPr>
          <w:rFonts w:ascii="Arial Black" w:hAnsi="Arial Black"/>
          <w:sz w:val="40"/>
          <w:szCs w:val="40"/>
        </w:rPr>
        <w:br w:type="page"/>
      </w:r>
    </w:p>
    <w:p w14:paraId="255FC209" w14:textId="35C02436" w:rsidR="00F326E5" w:rsidRDefault="00F326E5" w:rsidP="00F326E5">
      <w:pPr>
        <w:pStyle w:val="NoSpacing"/>
        <w:rPr>
          <w:rFonts w:ascii="Arial Black" w:hAnsi="Arial Black"/>
          <w:sz w:val="40"/>
          <w:szCs w:val="40"/>
        </w:rPr>
      </w:pPr>
      <w:r w:rsidRPr="007732FA">
        <w:rPr>
          <w:rFonts w:ascii="Arial Black" w:hAnsi="Arial Black"/>
          <w:sz w:val="40"/>
          <w:szCs w:val="40"/>
        </w:rPr>
        <w:t>Chap. 6</w:t>
      </w:r>
      <w:r w:rsidRPr="007732FA">
        <w:rPr>
          <w:rFonts w:ascii="Arial Black" w:hAnsi="Arial Black"/>
          <w:sz w:val="40"/>
          <w:szCs w:val="40"/>
        </w:rPr>
        <w:tab/>
        <w:t>Employment Litigation</w:t>
      </w:r>
      <w:r w:rsidR="003F660F">
        <w:rPr>
          <w:rFonts w:ascii="Arial Black" w:hAnsi="Arial Black"/>
          <w:sz w:val="40"/>
          <w:szCs w:val="40"/>
        </w:rPr>
        <w:t>, incl</w:t>
      </w:r>
      <w:r w:rsidR="00BC5936">
        <w:rPr>
          <w:rFonts w:ascii="Arial Black" w:hAnsi="Arial Black"/>
          <w:sz w:val="40"/>
          <w:szCs w:val="40"/>
        </w:rPr>
        <w:t xml:space="preserve">. </w:t>
      </w:r>
      <w:r w:rsidR="00BB43DD">
        <w:rPr>
          <w:rFonts w:ascii="Arial Black" w:hAnsi="Arial Black"/>
          <w:sz w:val="40"/>
          <w:szCs w:val="40"/>
        </w:rPr>
        <w:t>Workers</w:t>
      </w:r>
      <w:r w:rsidR="005F0E6D">
        <w:rPr>
          <w:rFonts w:ascii="Arial Black" w:hAnsi="Arial Black"/>
          <w:sz w:val="40"/>
          <w:szCs w:val="40"/>
        </w:rPr>
        <w:t>’</w:t>
      </w:r>
      <w:r w:rsidR="00BB43DD">
        <w:rPr>
          <w:rFonts w:ascii="Arial Black" w:hAnsi="Arial Black"/>
          <w:sz w:val="40"/>
          <w:szCs w:val="40"/>
        </w:rPr>
        <w:t xml:space="preserve"> Comp</w:t>
      </w:r>
      <w:r w:rsidR="003F660F">
        <w:rPr>
          <w:rFonts w:ascii="Arial Black" w:hAnsi="Arial Black"/>
          <w:sz w:val="40"/>
          <w:szCs w:val="40"/>
        </w:rPr>
        <w:t>.</w:t>
      </w:r>
      <w:r w:rsidR="00BC5936">
        <w:rPr>
          <w:rFonts w:ascii="Arial Black" w:hAnsi="Arial Black"/>
          <w:sz w:val="40"/>
          <w:szCs w:val="40"/>
        </w:rPr>
        <w:t>, Disability</w:t>
      </w:r>
    </w:p>
    <w:p w14:paraId="1CAF88C4" w14:textId="77777777" w:rsidR="00066F05" w:rsidRDefault="00066F05" w:rsidP="00EF1133">
      <w:pPr>
        <w:rPr>
          <w:rFonts w:ascii="Arial Black" w:hAnsi="Arial Black"/>
          <w:b/>
          <w:sz w:val="24"/>
          <w:szCs w:val="24"/>
        </w:rPr>
      </w:pPr>
    </w:p>
    <w:p w14:paraId="4B031F3A" w14:textId="0384664D" w:rsidR="0012404B" w:rsidRDefault="0012404B" w:rsidP="0012404B">
      <w:pPr>
        <w:rPr>
          <w:rFonts w:ascii="Arial Black" w:hAnsi="Arial Black"/>
          <w:b/>
          <w:sz w:val="28"/>
          <w:szCs w:val="28"/>
        </w:rPr>
      </w:pPr>
      <w:r>
        <w:rPr>
          <w:rFonts w:ascii="Arial Black" w:hAnsi="Arial Black"/>
          <w:b/>
          <w:sz w:val="24"/>
          <w:szCs w:val="24"/>
        </w:rPr>
        <w:t>6-19</w:t>
      </w:r>
      <w:r w:rsidR="00CD15D7">
        <w:rPr>
          <w:rFonts w:ascii="Arial Black" w:hAnsi="Arial Black"/>
          <w:b/>
          <w:sz w:val="24"/>
          <w:szCs w:val="24"/>
        </w:rPr>
        <w:t>3</w:t>
      </w:r>
    </w:p>
    <w:p w14:paraId="1F75D649" w14:textId="3F74F264" w:rsidR="007B6DE7" w:rsidRPr="0096075F" w:rsidRDefault="007B6DE7" w:rsidP="007B6DE7">
      <w:pPr>
        <w:rPr>
          <w:rFonts w:ascii="Arial Black" w:hAnsi="Arial Black"/>
          <w:sz w:val="28"/>
          <w:szCs w:val="28"/>
        </w:rPr>
      </w:pPr>
      <w:r>
        <w:rPr>
          <w:rFonts w:ascii="Arial Black" w:hAnsi="Arial Black"/>
          <w:sz w:val="28"/>
          <w:szCs w:val="28"/>
        </w:rPr>
        <w:t>PUERTO RICO: MEDIC HEARING LOSS – NO SOCIAL SECUR</w:t>
      </w:r>
    </w:p>
    <w:p w14:paraId="06AA6598" w14:textId="77777777" w:rsidR="007B6DE7" w:rsidRDefault="007B6DE7" w:rsidP="007B6DE7">
      <w:r>
        <w:t xml:space="preserve">On September 25, 2026, in </w:t>
      </w:r>
      <w:r w:rsidRPr="001D479F">
        <w:rPr>
          <w:u w:val="single"/>
        </w:rPr>
        <w:t>Damaris Navarro v. Commissioner of Social Security</w:t>
      </w:r>
      <w:r>
        <w:t xml:space="preserve">, U.S. Magistrate Judge </w:t>
      </w:r>
      <w:r w:rsidRPr="00E93D22">
        <w:t>Marcos E. Lopez</w:t>
      </w:r>
      <w:r>
        <w:t xml:space="preserve"> agreed with Administrative Law Judge that the former medic is not “disabled” under Social Security despite her bilateral hearing loss. “</w:t>
      </w:r>
      <w:r w:rsidRPr="009D7C7F">
        <w:t>She can interact with supervisors and coworkers frequently on one-to-one conversations, but she can never interact with the public due to bilateral hearing loss</w:t>
      </w:r>
      <w:r>
        <w:t xml:space="preserve">…. </w:t>
      </w:r>
      <w:r w:rsidRPr="00E93D22">
        <w:t>At step four, the ALJ determined that Plaintiff was unable to perform any past relevant work as a paramedic</w:t>
      </w:r>
      <w:r>
        <w:t xml:space="preserve">…. </w:t>
      </w:r>
      <w:r w:rsidRPr="00E93D22">
        <w:t xml:space="preserve"> At step five, the ALJ presented Plaintiff's RFC </w:t>
      </w:r>
      <w:r>
        <w:t>[</w:t>
      </w:r>
      <w:r w:rsidRPr="00C64075">
        <w:t xml:space="preserve">residual functioning capacity </w:t>
      </w:r>
      <w:r w:rsidRPr="00E93D22">
        <w:t>limitations</w:t>
      </w:r>
      <w:r>
        <w:t>]</w:t>
      </w:r>
      <w:r w:rsidRPr="00E93D22">
        <w:t>, as well as her age, education, and work experience to a vocational expert (</w:t>
      </w:r>
      <w:r>
        <w:t>‘</w:t>
      </w:r>
      <w:r w:rsidRPr="00E93D22">
        <w:t>VE</w:t>
      </w:r>
      <w:r>
        <w:t>’</w:t>
      </w:r>
      <w:r w:rsidRPr="00E93D22">
        <w:t>)</w:t>
      </w:r>
      <w:r>
        <w:t xml:space="preserve">…. </w:t>
      </w:r>
      <w:r w:rsidRPr="00E93D22">
        <w:t>The VE testified that a hypothetical individual with a similar RFC would be able to perform representative occupations such as laundry sorter and routing clerk</w:t>
      </w:r>
      <w:r>
        <w:t xml:space="preserve">…. </w:t>
      </w:r>
      <w:r w:rsidRPr="00E93D22">
        <w:t>Because there was work in the national economy that Plaintiff could perform, the ALJ concluded that she was not disabled.</w:t>
      </w:r>
      <w:r>
        <w:t xml:space="preserve">”  </w:t>
      </w:r>
      <w:hyperlink r:id="rId1051" w:history="1">
        <w:r w:rsidRPr="00782F3B">
          <w:rPr>
            <w:rStyle w:val="Hyperlink"/>
          </w:rPr>
          <w:t>https://public.fastcase.com/Jhe1Qn%2BmJndQYQU6z%2FeNm%2FDVRm1IFBLYQal3y6QLHDB52PgsteCM3eoS3n%2FXL6Sgqv9%2BpGD7Dnqqxb%2FdkMXjuAmaEGrH7WpeRlJP7ZGwW0c%3D?utm_medium=email&amp;_hsenc=p2ANqtz-_6EdHiT9bcA_gERNlRb7Vqb7-JCSNqXEDo92exSXbK_TUmYHONA0ZCptKn2tQXH9xE_3AJtzp2fzp86MK3e5_pVV6PEw&amp;_hsmi=226712652&amp;utm_content=226712652&amp;utm_source=hs_email</w:t>
        </w:r>
      </w:hyperlink>
      <w:r>
        <w:t xml:space="preserve"> </w:t>
      </w:r>
    </w:p>
    <w:p w14:paraId="52083F1A" w14:textId="77777777" w:rsidR="007B6DE7" w:rsidRDefault="007B6DE7" w:rsidP="007B6DE7">
      <w:r>
        <w:t>THE COURT WROTE:</w:t>
      </w:r>
    </w:p>
    <w:p w14:paraId="21699BD8" w14:textId="77777777" w:rsidR="007B6DE7" w:rsidRDefault="007B6DE7" w:rsidP="007B6DE7">
      <w:pPr>
        <w:ind w:left="720"/>
      </w:pPr>
      <w:r>
        <w:t>“</w:t>
      </w:r>
      <w:r w:rsidRPr="00200B5D">
        <w:t xml:space="preserve">To establish entitlement to disability benefits, a plaintiff bears the burden of proving that she is disabled within the meaning of the Social Security Act. </w:t>
      </w:r>
      <w:r w:rsidRPr="00200B5D">
        <w:rPr>
          <w:i/>
          <w:iCs/>
        </w:rPr>
        <w:t xml:space="preserve">See Bowen v. </w:t>
      </w:r>
      <w:proofErr w:type="spellStart"/>
      <w:r w:rsidRPr="00200B5D">
        <w:rPr>
          <w:i/>
          <w:iCs/>
        </w:rPr>
        <w:t>Yuckert</w:t>
      </w:r>
      <w:proofErr w:type="spellEnd"/>
      <w:r w:rsidRPr="00200B5D">
        <w:t xml:space="preserve">, 482 U.S. 137, 146 n.5, 146-47 (1987). An individual is deemed to be disabled under the Social Security Act if she is unable </w:t>
      </w:r>
      <w:r>
        <w:t>‘</w:t>
      </w:r>
      <w:r w:rsidRPr="00200B5D">
        <w:t>to engage in any substantial gainful activity by reason of any medically determinable physical or mental impairment which can be expected to result in death or which has lasted or can be expected to last for a continuous period of not less than 12 months.</w:t>
      </w:r>
      <w:r>
        <w:t>’</w:t>
      </w:r>
      <w:r w:rsidRPr="00200B5D">
        <w:t xml:space="preserve"> 42 U.S.C. § 423(d)(1)(A).</w:t>
      </w:r>
    </w:p>
    <w:p w14:paraId="6B8C6750" w14:textId="77777777" w:rsidR="007B6DE7" w:rsidRDefault="007B6DE7" w:rsidP="007B6DE7">
      <w:pPr>
        <w:ind w:left="720"/>
      </w:pPr>
      <w:r>
        <w:t>***</w:t>
      </w:r>
    </w:p>
    <w:p w14:paraId="04644A99" w14:textId="77777777" w:rsidR="007B6DE7" w:rsidRDefault="007B6DE7" w:rsidP="007B6DE7">
      <w:pPr>
        <w:ind w:left="720"/>
      </w:pPr>
      <w:r w:rsidRPr="00047A21">
        <w:t xml:space="preserve">At step one of the sequential </w:t>
      </w:r>
      <w:proofErr w:type="gramStart"/>
      <w:r w:rsidRPr="00047A21">
        <w:t>analysis</w:t>
      </w:r>
      <w:proofErr w:type="gramEnd"/>
      <w:r w:rsidRPr="00047A21">
        <w:t>, the ALJ found that Plaintiff had not engaged in substantial gainful activity since the onset date of February 25, 2020</w:t>
      </w:r>
      <w:r>
        <w:t>….</w:t>
      </w:r>
      <w:r w:rsidRPr="00047A21">
        <w:t xml:space="preserve"> At step two, the ALJ determined that Plaintiff had the following severe impairments: generalized anxiety disorder, major depressive disorder, degenerative disc disease cervical with mild stenosis and significant neuroforaminal narrowing, lumbar osteoarthritis, interstitial cystitis, and moderate to severe bilateral hearing loss</w:t>
      </w:r>
      <w:r>
        <w:t>.</w:t>
      </w:r>
    </w:p>
    <w:p w14:paraId="168E7DAA" w14:textId="77777777" w:rsidR="007B6DE7" w:rsidRDefault="007B6DE7" w:rsidP="007B6DE7">
      <w:pPr>
        <w:ind w:left="720"/>
      </w:pPr>
      <w:r>
        <w:t>***</w:t>
      </w:r>
    </w:p>
    <w:p w14:paraId="7377B16E" w14:textId="77777777" w:rsidR="007B6DE7" w:rsidRDefault="007B6DE7" w:rsidP="007B6DE7">
      <w:pPr>
        <w:ind w:left="720"/>
      </w:pPr>
      <w:r w:rsidRPr="00BB21FE">
        <w:t xml:space="preserve">[Plaintiff] claimant has the residual functional capacity to perform light work as defined in 20 CFR 404.1567(b) except lifting and/or carrying 20 pounds occasionally and 10 pounds frequently; sitting for 6 hours, standing for 6 hours, walking for 6 hours. The claimant can push and pull as much weight as she can lift and carry but limited to occasionally with the upper and/or /lower [sic] extremities bilaterally. The claimant can occasionally reach overhead to the left and/or to the right. The claimant can climb ramps and stairs occasionally, climb ladders, ropes, or scaffolds occasionally, balance occasionally, stoop occasionally, kneel occasionally, crouch occasionally, and crawl occasionally. The claimant can never be exposed to moving mechanical parts, can never perform tasks that require perceiving the nature of sounds by ear, and she must be assigned to quiet work environments. The claimant retains the capacity to understand, remember, and </w:t>
      </w:r>
      <w:proofErr w:type="gramStart"/>
      <w:r w:rsidRPr="00BB21FE">
        <w:t>carryout</w:t>
      </w:r>
      <w:proofErr w:type="gramEnd"/>
      <w:r w:rsidRPr="00BB21FE">
        <w:t xml:space="preserve"> [sic] simple instructions, and is limited to </w:t>
      </w:r>
      <w:proofErr w:type="gramStart"/>
      <w:r w:rsidRPr="00BB21FE">
        <w:t>deal</w:t>
      </w:r>
      <w:proofErr w:type="gramEnd"/>
      <w:r w:rsidRPr="00BB21FE">
        <w:t xml:space="preserve"> with occasional changes in a routine work setting. She can interact with supervisors and coworkers frequently on one-to-one conversations, but she can never interact with the public due to bilateral hearing </w:t>
      </w:r>
      <w:proofErr w:type="gramStart"/>
      <w:r w:rsidRPr="00BB21FE">
        <w:t>loss.</w:t>
      </w:r>
      <w:r>
        <w:t>”</w:t>
      </w:r>
      <w:proofErr w:type="gramEnd"/>
    </w:p>
    <w:p w14:paraId="51DEBE86" w14:textId="77777777" w:rsidR="007B6DE7" w:rsidRPr="001C74A5" w:rsidRDefault="007B6DE7" w:rsidP="007B6DE7">
      <w:pPr>
        <w:rPr>
          <w:b/>
          <w:bCs/>
        </w:rPr>
      </w:pPr>
      <w:r>
        <w:rPr>
          <w:b/>
        </w:rPr>
        <w:t xml:space="preserve">Legal lesson learned: </w:t>
      </w:r>
      <w:r w:rsidRPr="001C74A5">
        <w:rPr>
          <w:b/>
        </w:rPr>
        <w:t>Under Social Security law, an individual is deemed to be disabled if she is unable ‘to engage in any substantial gainful activity by reason of any medically determinable physical or mental impairment.</w:t>
      </w:r>
    </w:p>
    <w:p w14:paraId="693FF45E" w14:textId="77777777" w:rsidR="007B6DE7" w:rsidRDefault="007B6DE7" w:rsidP="007B6DE7">
      <w:pPr>
        <w:ind w:left="720"/>
      </w:pPr>
    </w:p>
    <w:p w14:paraId="62F9CF11" w14:textId="583D574B" w:rsidR="00CD15D7" w:rsidRDefault="00CD15D7" w:rsidP="00CD15D7">
      <w:pPr>
        <w:rPr>
          <w:rFonts w:ascii="Arial Black" w:hAnsi="Arial Black"/>
          <w:b/>
          <w:sz w:val="28"/>
          <w:szCs w:val="28"/>
        </w:rPr>
      </w:pPr>
      <w:r>
        <w:rPr>
          <w:rFonts w:ascii="Arial Black" w:hAnsi="Arial Black"/>
          <w:b/>
          <w:sz w:val="24"/>
          <w:szCs w:val="24"/>
        </w:rPr>
        <w:t>6-19</w:t>
      </w:r>
      <w:r>
        <w:rPr>
          <w:rFonts w:ascii="Arial Black" w:hAnsi="Arial Black"/>
          <w:b/>
          <w:sz w:val="24"/>
          <w:szCs w:val="24"/>
        </w:rPr>
        <w:t>2 [also filed, Chap. 15]</w:t>
      </w:r>
    </w:p>
    <w:p w14:paraId="02ADDCBC" w14:textId="77777777" w:rsidR="00CD15D7" w:rsidRDefault="00CD15D7" w:rsidP="007B6DE7">
      <w:pPr>
        <w:ind w:left="720"/>
      </w:pPr>
    </w:p>
    <w:p w14:paraId="273898AB" w14:textId="77777777" w:rsidR="00CD15D7" w:rsidRDefault="00CD15D7" w:rsidP="00CD15D7">
      <w:pPr>
        <w:pStyle w:val="NoSpacing"/>
        <w:rPr>
          <w:rFonts w:ascii="Arial Black" w:hAnsi="Arial Black"/>
          <w:sz w:val="28"/>
          <w:szCs w:val="28"/>
        </w:rPr>
      </w:pPr>
      <w:r>
        <w:rPr>
          <w:rFonts w:ascii="Arial Black" w:hAnsi="Arial Black"/>
          <w:sz w:val="28"/>
          <w:szCs w:val="28"/>
        </w:rPr>
        <w:t xml:space="preserve">FL: HEART DISEASE – SVT / AT – WORK COMP CONDITION </w:t>
      </w:r>
    </w:p>
    <w:p w14:paraId="4145AE10" w14:textId="77777777" w:rsidR="00CD15D7" w:rsidRDefault="00CD15D7" w:rsidP="00CD15D7">
      <w:pPr>
        <w:pStyle w:val="NoSpacing"/>
      </w:pPr>
    </w:p>
    <w:p w14:paraId="293382C4" w14:textId="77777777" w:rsidR="00CD15D7" w:rsidRDefault="00CD15D7" w:rsidP="00CD15D7">
      <w:pPr>
        <w:pStyle w:val="NoSpacing"/>
      </w:pPr>
      <w:r>
        <w:t xml:space="preserve">On September 23, 2026, in </w:t>
      </w:r>
      <w:r w:rsidRPr="00EB42BA">
        <w:rPr>
          <w:u w:val="single"/>
        </w:rPr>
        <w:t>Village Center Community Development District, et al. v. Chelsea Illek</w:t>
      </w:r>
      <w:r>
        <w:t xml:space="preserve">, the </w:t>
      </w:r>
      <w:r w:rsidRPr="00E34960">
        <w:t>District Court of Appeal of Florida, First District</w:t>
      </w:r>
      <w:r>
        <w:t xml:space="preserve"> held (3 to 0) that the firefighter was properly determined to be covered with workers compensation; two Independent Medical Examination cardiologists concluded that the electrical issues are “heart disease” issues under the 1965 Florida statutory presumption law for firefighters. “</w:t>
      </w:r>
      <w:r w:rsidRPr="00471A6B">
        <w:t>Because the only competent medical evidence is that</w:t>
      </w:r>
      <w:r>
        <w:t xml:space="preserve"> </w:t>
      </w:r>
      <w:r w:rsidRPr="00471A6B">
        <w:t xml:space="preserve">Claimant’s arrythmia-related condition constitutes </w:t>
      </w:r>
      <w:r>
        <w:t>‘</w:t>
      </w:r>
      <w:r w:rsidRPr="00471A6B">
        <w:t>heart</w:t>
      </w:r>
      <w:r>
        <w:t xml:space="preserve"> </w:t>
      </w:r>
      <w:r w:rsidRPr="00471A6B">
        <w:t>disease,</w:t>
      </w:r>
      <w:r>
        <w:t>’</w:t>
      </w:r>
      <w:r w:rsidRPr="00471A6B">
        <w:t xml:space="preserve"> we find no basis to reverse the final compensation order</w:t>
      </w:r>
      <w:r>
        <w:t>.”</w:t>
      </w:r>
    </w:p>
    <w:p w14:paraId="382C62B5" w14:textId="77777777" w:rsidR="00CD15D7" w:rsidRDefault="00CD15D7" w:rsidP="00CD15D7">
      <w:pPr>
        <w:pStyle w:val="NoSpacing"/>
      </w:pPr>
      <w:r>
        <w:t xml:space="preserve"> </w:t>
      </w:r>
      <w:hyperlink r:id="rId1052" w:history="1">
        <w:r w:rsidRPr="00984BA5">
          <w:rPr>
            <w:rStyle w:val="Hyperlink"/>
          </w:rPr>
          <w:t>https://flcourts-media.flcourts.gov/content/download/2495602/opinion/Opinion_2025-3075.pdf</w:t>
        </w:r>
      </w:hyperlink>
      <w:r>
        <w:t xml:space="preserve"> </w:t>
      </w:r>
    </w:p>
    <w:p w14:paraId="19D39ADD" w14:textId="77777777" w:rsidR="00CD15D7" w:rsidRDefault="00CD15D7" w:rsidP="00CD15D7"/>
    <w:p w14:paraId="65E8D358" w14:textId="77777777" w:rsidR="00CD15D7" w:rsidRPr="00A12656" w:rsidRDefault="00CD15D7" w:rsidP="00CD15D7">
      <w:r>
        <w:t xml:space="preserve">THE COURT WROTE: </w:t>
      </w:r>
    </w:p>
    <w:p w14:paraId="3000C69D" w14:textId="77777777" w:rsidR="00CD15D7" w:rsidRDefault="00CD15D7" w:rsidP="00CD15D7">
      <w:pPr>
        <w:pStyle w:val="NoSpacing"/>
        <w:ind w:left="720"/>
      </w:pPr>
      <w:r>
        <w:t>“Claimant joined the fire department in the Villages Community Development Districts as a full-time firefighter in 2014. In the run-up to her employment Claimant underwent a pre-employment physical that showed no evidence of heart disease. But in the Fall of 2023, Claimant suffered heart issues while transporting a patient at work, including chest pain, shortness of breath, and a racing heart. She was placed on a monitor at the hospital and told she was in SVT—an abnormal heart rhythm emanating from the heart’s upper chambers. The hospital gave Claimant fluids and discharged her. She continued seeing a cardiologist and when her condition persisted, she underwent an ablation of heart tissue to address the SVT in March 2024. Claimant missed some work following the ablation and subsequently transitioned to light duty and quality assurance roles…. Claimant had a second heart ablation procedure in August 2025, because of ongoing symptoms and persistent arrhythmias.</w:t>
      </w:r>
    </w:p>
    <w:p w14:paraId="28D0413D" w14:textId="77777777" w:rsidR="00CD15D7" w:rsidRDefault="00CD15D7" w:rsidP="00CD15D7">
      <w:pPr>
        <w:pStyle w:val="NoSpacing"/>
        <w:ind w:left="720"/>
      </w:pPr>
    </w:p>
    <w:p w14:paraId="58639095" w14:textId="77777777" w:rsidR="00CD15D7" w:rsidRDefault="00CD15D7" w:rsidP="00CD15D7">
      <w:pPr>
        <w:pStyle w:val="NoSpacing"/>
        <w:ind w:left="720"/>
      </w:pPr>
      <w:r>
        <w:t>***</w:t>
      </w:r>
    </w:p>
    <w:p w14:paraId="7EAE92A5" w14:textId="77777777" w:rsidR="00CD15D7" w:rsidRDefault="00CD15D7" w:rsidP="00CD15D7">
      <w:pPr>
        <w:pStyle w:val="NoSpacing"/>
        <w:ind w:left="720"/>
      </w:pPr>
      <w:r>
        <w:t>In subsequent workers’ compensation litigation between the parties before a Judge of Compensation Claims, the E-C [</w:t>
      </w:r>
      <w:r w:rsidRPr="00A11CFA">
        <w:t>Employer-Carrier</w:t>
      </w:r>
      <w:r>
        <w:t xml:space="preserve">] argued that SVT and AT are not covered conditions under § 112.18(1), because they fail to meet </w:t>
      </w:r>
      <w:r w:rsidRPr="00047285">
        <w:rPr>
          <w:i/>
          <w:iCs/>
        </w:rPr>
        <w:t>Harlem’s</w:t>
      </w:r>
      <w:r>
        <w:t xml:space="preserve"> definition of ‘heart disease.’ … </w:t>
      </w:r>
      <w:r w:rsidRPr="00471A6B">
        <w:t>The trouble with this argument is that both parties’ IME doctors</w:t>
      </w:r>
      <w:r>
        <w:t xml:space="preserve"> </w:t>
      </w:r>
      <w:r w:rsidRPr="00471A6B">
        <w:t xml:space="preserve">testified to that Claimant’s condition is considered </w:t>
      </w:r>
      <w:r>
        <w:t>‘</w:t>
      </w:r>
      <w:r w:rsidRPr="00471A6B">
        <w:t>heart disease,</w:t>
      </w:r>
      <w:r>
        <w:t xml:space="preserve">’ </w:t>
      </w:r>
      <w:r w:rsidRPr="00471A6B">
        <w:t>and has been so considered since 1965, when the Legislature first</w:t>
      </w:r>
      <w:r>
        <w:t xml:space="preserve"> </w:t>
      </w:r>
      <w:r w:rsidRPr="00471A6B">
        <w:t>enacted the heart-lung statute. No medical evidence rebuts this</w:t>
      </w:r>
      <w:r>
        <w:t xml:space="preserve"> </w:t>
      </w:r>
      <w:r w:rsidRPr="00471A6B">
        <w:t>testimony. Because the only competent medical evidence is that</w:t>
      </w:r>
      <w:r>
        <w:t xml:space="preserve"> </w:t>
      </w:r>
      <w:r w:rsidRPr="00471A6B">
        <w:t xml:space="preserve">Claimant’s arrythmia-related condition constitutes </w:t>
      </w:r>
      <w:r>
        <w:t>‘</w:t>
      </w:r>
      <w:r w:rsidRPr="00471A6B">
        <w:t>heart</w:t>
      </w:r>
      <w:r>
        <w:t xml:space="preserve"> </w:t>
      </w:r>
      <w:r w:rsidRPr="00471A6B">
        <w:t>disease,</w:t>
      </w:r>
      <w:r>
        <w:t>’</w:t>
      </w:r>
      <w:r w:rsidRPr="00471A6B">
        <w:t xml:space="preserve"> we find no basis to reverse the final compensation order</w:t>
      </w:r>
      <w:r>
        <w:t>.”</w:t>
      </w:r>
    </w:p>
    <w:p w14:paraId="0A3CC113" w14:textId="77777777" w:rsidR="00CD15D7" w:rsidRDefault="00CD15D7" w:rsidP="00CD15D7">
      <w:pPr>
        <w:pStyle w:val="NoSpacing"/>
        <w:ind w:left="720"/>
      </w:pPr>
    </w:p>
    <w:p w14:paraId="57C7B690" w14:textId="77777777" w:rsidR="00CD15D7" w:rsidRDefault="00CD15D7" w:rsidP="00CD15D7">
      <w:pPr>
        <w:pStyle w:val="NoSpacing"/>
        <w:rPr>
          <w:b/>
          <w:bCs/>
        </w:rPr>
      </w:pPr>
      <w:r>
        <w:rPr>
          <w:b/>
        </w:rPr>
        <w:t xml:space="preserve">Legal lesson learned: When both IMEs find that firefighter has “heart disease” under state statutory presumption law, the Courts will uphold that finding. </w:t>
      </w:r>
    </w:p>
    <w:p w14:paraId="23B3A927" w14:textId="77777777" w:rsidR="00CD15D7" w:rsidRDefault="00CD15D7" w:rsidP="00CD15D7">
      <w:pPr>
        <w:pStyle w:val="NoSpacing"/>
        <w:rPr>
          <w:b/>
          <w:bCs/>
        </w:rPr>
      </w:pPr>
    </w:p>
    <w:p w14:paraId="3E6CF3CB" w14:textId="77777777" w:rsidR="00CD15D7" w:rsidRDefault="00CD15D7" w:rsidP="00CD15D7">
      <w:pPr>
        <w:pStyle w:val="NoSpacing"/>
        <w:ind w:left="720"/>
      </w:pPr>
      <w:r w:rsidRPr="0091682C">
        <w:t xml:space="preserve">Note: In the 2023 decision in </w:t>
      </w:r>
      <w:r w:rsidRPr="00C56D5E">
        <w:rPr>
          <w:i/>
          <w:iCs/>
        </w:rPr>
        <w:t>Harlem</w:t>
      </w:r>
      <w:r w:rsidRPr="0091682C">
        <w:t xml:space="preserve"> case, the firefighter suffered from a thoracic aortic aneurysm</w:t>
      </w:r>
      <w:r>
        <w:t xml:space="preserve"> (weakening of the aorta)</w:t>
      </w:r>
      <w:r w:rsidRPr="0091682C">
        <w:t>, the Court held his condition did not meet definition of “heart disease”</w:t>
      </w:r>
      <w:r>
        <w:t xml:space="preserve"> (such as clogged arteries). </w:t>
      </w:r>
      <w:r w:rsidRPr="001A2463">
        <w:t xml:space="preserve"> </w:t>
      </w:r>
      <w:hyperlink r:id="rId1053" w:history="1">
        <w:r w:rsidRPr="009231AC">
          <w:rPr>
            <w:rStyle w:val="Hyperlink"/>
          </w:rPr>
          <w:t>https://caselaw.findlaw.com/court/fl-district-court-of-appeal/114825250.html</w:t>
        </w:r>
      </w:hyperlink>
      <w:r>
        <w:t xml:space="preserve"> </w:t>
      </w:r>
    </w:p>
    <w:p w14:paraId="74D1762E" w14:textId="77777777" w:rsidR="00CD15D7" w:rsidRDefault="00CD15D7" w:rsidP="00CD15D7">
      <w:pPr>
        <w:pStyle w:val="NoSpacing"/>
        <w:ind w:left="720"/>
      </w:pPr>
    </w:p>
    <w:p w14:paraId="22AFAED6" w14:textId="77777777" w:rsidR="00CD15D7" w:rsidRDefault="00CD15D7" w:rsidP="00CD15D7">
      <w:pPr>
        <w:pStyle w:val="NoSpacing"/>
        <w:ind w:left="720"/>
        <w:rPr>
          <w:b/>
          <w:bCs/>
        </w:rPr>
      </w:pPr>
      <w:r w:rsidRPr="0091682C">
        <w:t xml:space="preserve"> </w:t>
      </w:r>
      <w:r>
        <w:t>“</w:t>
      </w:r>
      <w:r w:rsidRPr="0091682C">
        <w:t xml:space="preserve">Coming back to this case, we apply the term </w:t>
      </w:r>
      <w:r>
        <w:t>‘</w:t>
      </w:r>
      <w:r w:rsidRPr="0091682C">
        <w:t>heart disease</w:t>
      </w:r>
      <w:r>
        <w:t xml:space="preserve">’ </w:t>
      </w:r>
      <w:r w:rsidRPr="0091682C">
        <w:t xml:space="preserve">based on its original meaning. Basically, it is the type of disease affecting and weakening the heart muscle through a degradation of the vessels or the valves, and which was prevalent as major cause of death in the United States in the 1950s and 1960s. The JCC's determination that Harlem's aortic aneurysm was </w:t>
      </w:r>
      <w:r>
        <w:t>‘</w:t>
      </w:r>
      <w:r w:rsidRPr="0091682C">
        <w:t>heart disease,</w:t>
      </w:r>
      <w:r>
        <w:t>’</w:t>
      </w:r>
      <w:r w:rsidRPr="0091682C">
        <w:t xml:space="preserve"> such that the presumption contained in section 112.18 could apply, conflicts with what that term assuredly meant at the time the statute originally was enacted</w:t>
      </w:r>
      <w:r w:rsidRPr="0091682C">
        <w:rPr>
          <w:b/>
        </w:rPr>
        <w:t>.</w:t>
      </w:r>
      <w:r>
        <w:rPr>
          <w:b/>
        </w:rPr>
        <w:t>”</w:t>
      </w:r>
    </w:p>
    <w:p w14:paraId="48D2FF6A" w14:textId="77777777" w:rsidR="00CD15D7" w:rsidRDefault="00CD15D7" w:rsidP="00CD15D7">
      <w:pPr>
        <w:pStyle w:val="NoSpacing"/>
        <w:rPr>
          <w:rFonts w:ascii="Arial Black" w:hAnsi="Arial Black"/>
          <w:sz w:val="28"/>
          <w:szCs w:val="28"/>
        </w:rPr>
      </w:pPr>
    </w:p>
    <w:p w14:paraId="558EA43F" w14:textId="77777777" w:rsidR="007B6DE7" w:rsidRDefault="007B6DE7" w:rsidP="007B6DE7">
      <w:pPr>
        <w:pStyle w:val="NoSpacing"/>
        <w:ind w:left="720"/>
      </w:pPr>
    </w:p>
    <w:p w14:paraId="5C3FE684" w14:textId="77777777" w:rsidR="007B6DE7" w:rsidRDefault="007B6DE7" w:rsidP="007B6DE7">
      <w:pPr>
        <w:pStyle w:val="NoSpacing"/>
        <w:ind w:left="720"/>
      </w:pPr>
    </w:p>
    <w:p w14:paraId="1A7B49CB" w14:textId="77777777" w:rsidR="007B6DE7" w:rsidRDefault="007B6DE7" w:rsidP="007B6DE7">
      <w:pPr>
        <w:pStyle w:val="NoSpacing"/>
        <w:ind w:left="720"/>
      </w:pPr>
    </w:p>
    <w:p w14:paraId="26304F0A" w14:textId="46528068" w:rsidR="0012404B" w:rsidRDefault="0012404B" w:rsidP="0012404B">
      <w:pPr>
        <w:rPr>
          <w:rFonts w:ascii="Arial Black" w:hAnsi="Arial Black"/>
          <w:b/>
          <w:sz w:val="28"/>
          <w:szCs w:val="28"/>
        </w:rPr>
      </w:pPr>
      <w:r>
        <w:rPr>
          <w:rFonts w:ascii="Arial Black" w:hAnsi="Arial Black"/>
          <w:b/>
          <w:sz w:val="24"/>
          <w:szCs w:val="24"/>
        </w:rPr>
        <w:t>6-19</w:t>
      </w:r>
      <w:r>
        <w:rPr>
          <w:rFonts w:ascii="Arial Black" w:hAnsi="Arial Black"/>
          <w:b/>
          <w:sz w:val="24"/>
          <w:szCs w:val="24"/>
        </w:rPr>
        <w:t>1</w:t>
      </w:r>
    </w:p>
    <w:p w14:paraId="78AD78EC" w14:textId="77777777" w:rsidR="007B6DE7" w:rsidRPr="00FA13A9" w:rsidRDefault="007B6DE7" w:rsidP="007B6DE7">
      <w:pPr>
        <w:pStyle w:val="NoSpacing"/>
        <w:rPr>
          <w:rFonts w:ascii="Arial Black" w:hAnsi="Arial Black"/>
          <w:sz w:val="28"/>
          <w:szCs w:val="28"/>
        </w:rPr>
      </w:pPr>
      <w:r>
        <w:rPr>
          <w:rFonts w:ascii="Arial Black" w:hAnsi="Arial Black"/>
          <w:sz w:val="28"/>
          <w:szCs w:val="28"/>
        </w:rPr>
        <w:t>NY: WORLD TRADE CTR - LUMBAR DISC – DISAB REMANDED</w:t>
      </w:r>
    </w:p>
    <w:p w14:paraId="3204ED79" w14:textId="77777777" w:rsidR="007B6DE7" w:rsidRDefault="007B6DE7" w:rsidP="007B6DE7">
      <w:pPr>
        <w:pStyle w:val="NoSpacing"/>
      </w:pPr>
    </w:p>
    <w:p w14:paraId="0216F8A1" w14:textId="77777777" w:rsidR="007B6DE7" w:rsidRDefault="007B6DE7" w:rsidP="007B6DE7">
      <w:pPr>
        <w:rPr>
          <w:b/>
          <w:bCs/>
        </w:rPr>
      </w:pPr>
      <w:r>
        <w:t xml:space="preserve">On September 16, 2026, </w:t>
      </w:r>
      <w:r w:rsidRPr="009B3A66">
        <w:rPr>
          <w:u w:val="single"/>
        </w:rPr>
        <w:t xml:space="preserve">In </w:t>
      </w:r>
      <w:proofErr w:type="gramStart"/>
      <w:r w:rsidRPr="009B3A66">
        <w:rPr>
          <w:u w:val="single"/>
        </w:rPr>
        <w:t>The</w:t>
      </w:r>
      <w:proofErr w:type="gramEnd"/>
      <w:r w:rsidRPr="009B3A66">
        <w:rPr>
          <w:u w:val="single"/>
        </w:rPr>
        <w:t xml:space="preserve"> Matter </w:t>
      </w:r>
      <w:proofErr w:type="gramStart"/>
      <w:r w:rsidRPr="009B3A66">
        <w:rPr>
          <w:u w:val="single"/>
        </w:rPr>
        <w:t>Of</w:t>
      </w:r>
      <w:proofErr w:type="gramEnd"/>
      <w:r w:rsidRPr="009B3A66">
        <w:rPr>
          <w:u w:val="single"/>
        </w:rPr>
        <w:t xml:space="preserve"> Robert McCracken v. Melanie Whinnery</w:t>
      </w:r>
      <w:r>
        <w:t xml:space="preserve">, the </w:t>
      </w:r>
      <w:r w:rsidRPr="009B3A66">
        <w:t>Supreme Court, Appellate Division, Second Department, New York</w:t>
      </w:r>
      <w:r>
        <w:t xml:space="preserve"> held (3 to 0) that trial court should have remanded the retired paramedic’s appeal of denial of disability benefits back to the Medical Board and Board of Trustees for review of his physical limitations (instead of awarding him disability retirement). “</w:t>
      </w:r>
      <w:r w:rsidRPr="00FA13A9">
        <w:t>Here, the Medical Board failed to adequately explain the reasoning for its determination in light of the job description and certification requirements of a supervising emergency medical service specialist chief, which, among other things, required paramedics to be able to transport an average of 40 pounds of equipment over at least 6-10 flights of stairs and to lift patients weighing more than 200 pounds onto a stretcher and ambulance</w:t>
      </w:r>
      <w:r>
        <w:t xml:space="preserve">.” </w:t>
      </w:r>
      <w:hyperlink r:id="rId1054" w:history="1">
        <w:r w:rsidRPr="00BF5241">
          <w:rPr>
            <w:rStyle w:val="Hyperlink"/>
            <w:b/>
          </w:rPr>
          <w:t>https://law.justia.com/cases/new-york/appellate-division-second-department/2026/2024-05337.html</w:t>
        </w:r>
      </w:hyperlink>
      <w:r>
        <w:rPr>
          <w:b/>
        </w:rPr>
        <w:t xml:space="preserve"> </w:t>
      </w:r>
    </w:p>
    <w:p w14:paraId="464CD868" w14:textId="77777777" w:rsidR="007B6DE7" w:rsidRDefault="007B6DE7" w:rsidP="007B6DE7">
      <w:r>
        <w:t>THE COURT WROTE:</w:t>
      </w:r>
    </w:p>
    <w:p w14:paraId="0D16F62A" w14:textId="77777777" w:rsidR="007B6DE7" w:rsidRDefault="007B6DE7" w:rsidP="007B6DE7">
      <w:pPr>
        <w:ind w:left="720"/>
      </w:pPr>
      <w:r>
        <w:t>“</w:t>
      </w:r>
      <w:r w:rsidRPr="004306A8">
        <w:t>The petitioner was an emergency medical specialist paramedic for the New York City Fire Department and a first responder at the World Trade Center site following the attacks on September 11, 2001. He subsequently retired with the title of supervising emergency medical service specialist chief. In March 2019, the petitioner applied to the New York City Employees' Retirement System (hereinafter NYCERS) for World Trade Center disability retirement benefits pursuant to Administrative Code of the City of New York § 13-168, based on injuries he suffered at the World Trade Center site. He alleged, among other things, that he suffered from herniated lumbar discs.</w:t>
      </w:r>
    </w:p>
    <w:p w14:paraId="44EE4E59" w14:textId="77777777" w:rsidR="007B6DE7" w:rsidRDefault="007B6DE7" w:rsidP="007B6DE7">
      <w:pPr>
        <w:ind w:left="720"/>
      </w:pPr>
      <w:r>
        <w:t>***</w:t>
      </w:r>
    </w:p>
    <w:p w14:paraId="054082CE" w14:textId="77777777" w:rsidR="007B6DE7" w:rsidRDefault="007B6DE7" w:rsidP="007B6DE7">
      <w:pPr>
        <w:ind w:left="720"/>
      </w:pPr>
      <w:r w:rsidRPr="00541454">
        <w:t>NYCERS members, such as the petitioner, holding or retired from eligible positions, may apply for disability retirement benefits under Administrative Code § 13-168 (</w:t>
      </w:r>
      <w:r w:rsidRPr="00541454">
        <w:rPr>
          <w:i/>
          <w:iCs/>
        </w:rPr>
        <w:t>see</w:t>
      </w:r>
      <w:r w:rsidRPr="00541454">
        <w:t xml:space="preserve"> </w:t>
      </w:r>
      <w:r w:rsidRPr="00541454">
        <w:rPr>
          <w:i/>
          <w:iCs/>
        </w:rPr>
        <w:t>id.</w:t>
      </w:r>
      <w:r w:rsidRPr="00541454">
        <w:t xml:space="preserve">; </w:t>
      </w:r>
      <w:r w:rsidRPr="00541454">
        <w:rPr>
          <w:i/>
          <w:iCs/>
        </w:rPr>
        <w:t>see</w:t>
      </w:r>
      <w:r w:rsidRPr="00541454">
        <w:t xml:space="preserve"> </w:t>
      </w:r>
      <w:r w:rsidRPr="00541454">
        <w:rPr>
          <w:i/>
          <w:iCs/>
        </w:rPr>
        <w:t>also</w:t>
      </w:r>
      <w:r w:rsidRPr="00541454">
        <w:t xml:space="preserve"> Retirement and Social Security Law § 607-b). Where, as here, an applicant participated in the World Trade Center rescue, recovery, or </w:t>
      </w:r>
      <w:proofErr w:type="spellStart"/>
      <w:r w:rsidRPr="00541454">
        <w:t>clean up</w:t>
      </w:r>
      <w:proofErr w:type="spellEnd"/>
      <w:r w:rsidRPr="00541454">
        <w:t xml:space="preserve"> operations following the September 11, 2001, terrorist attacks suffers from a condition or impairment of health caused by a qualifying World Trade Center condition, a presumption attaches that such condition or impairment of health was incurred in the performance and discharge of duty and the natural and proximate result of an accident unless the contrary is proved by competent evidence (</w:t>
      </w:r>
      <w:r w:rsidRPr="00541454">
        <w:rPr>
          <w:i/>
          <w:iCs/>
        </w:rPr>
        <w:t>see</w:t>
      </w:r>
      <w:r w:rsidRPr="00541454">
        <w:t xml:space="preserve"> Administrative Code § 13-168[b][5][b][1]; </w:t>
      </w:r>
      <w:r w:rsidRPr="00541454">
        <w:rPr>
          <w:i/>
          <w:iCs/>
        </w:rPr>
        <w:t>see</w:t>
      </w:r>
      <w:r w:rsidRPr="00541454">
        <w:t xml:space="preserve"> </w:t>
      </w:r>
      <w:r w:rsidRPr="00541454">
        <w:rPr>
          <w:i/>
          <w:iCs/>
        </w:rPr>
        <w:t>also</w:t>
      </w:r>
      <w:r w:rsidRPr="00541454">
        <w:t xml:space="preserve"> </w:t>
      </w:r>
      <w:r w:rsidRPr="00541454">
        <w:rPr>
          <w:i/>
          <w:iCs/>
        </w:rPr>
        <w:t xml:space="preserve">Matter of </w:t>
      </w:r>
      <w:proofErr w:type="spellStart"/>
      <w:r w:rsidRPr="00541454">
        <w:rPr>
          <w:i/>
          <w:iCs/>
        </w:rPr>
        <w:t>Bitchatchi</w:t>
      </w:r>
      <w:proofErr w:type="spellEnd"/>
      <w:r w:rsidRPr="00541454">
        <w:rPr>
          <w:i/>
          <w:iCs/>
        </w:rPr>
        <w:t xml:space="preserve"> v Board of Trustees of the N.Y. City Police Dept. Pension Fund, Art. II</w:t>
      </w:r>
      <w:r w:rsidRPr="00541454">
        <w:t>, 20 NY3d 268, 276, 281-282).</w:t>
      </w:r>
      <w:r>
        <w:t>”</w:t>
      </w:r>
    </w:p>
    <w:p w14:paraId="16E6BD7B" w14:textId="77777777" w:rsidR="007B6DE7" w:rsidRPr="00505922" w:rsidRDefault="007B6DE7" w:rsidP="007B6DE7">
      <w:pPr>
        <w:rPr>
          <w:b/>
          <w:bCs/>
        </w:rPr>
      </w:pPr>
      <w:r>
        <w:rPr>
          <w:b/>
        </w:rPr>
        <w:t>Legal lesson learned:  There is a “presumption” that emergency responders who responded to World Trade Center and now suffer from a qualifying medical condition are entitled to a disability retirement.</w:t>
      </w:r>
    </w:p>
    <w:p w14:paraId="6DBBF07F" w14:textId="77777777" w:rsidR="007B6DE7" w:rsidRDefault="007B6DE7" w:rsidP="00CC293C">
      <w:pPr>
        <w:rPr>
          <w:rFonts w:ascii="Arial Black" w:hAnsi="Arial Black"/>
          <w:b/>
          <w:sz w:val="24"/>
          <w:szCs w:val="24"/>
        </w:rPr>
      </w:pPr>
    </w:p>
    <w:p w14:paraId="2B45660D" w14:textId="77777777" w:rsidR="007B6DE7" w:rsidRDefault="007B6DE7" w:rsidP="00CC293C">
      <w:pPr>
        <w:rPr>
          <w:rFonts w:ascii="Arial Black" w:hAnsi="Arial Black"/>
          <w:b/>
          <w:sz w:val="24"/>
          <w:szCs w:val="24"/>
        </w:rPr>
      </w:pPr>
    </w:p>
    <w:p w14:paraId="6D70E7B4" w14:textId="77777777" w:rsidR="007B6DE7" w:rsidRDefault="007B6DE7" w:rsidP="00CC293C">
      <w:pPr>
        <w:rPr>
          <w:rFonts w:ascii="Arial Black" w:hAnsi="Arial Black"/>
          <w:b/>
          <w:sz w:val="24"/>
          <w:szCs w:val="24"/>
        </w:rPr>
      </w:pPr>
    </w:p>
    <w:p w14:paraId="4A465845" w14:textId="2068BEEA" w:rsidR="009A3DAE" w:rsidRDefault="009A3DAE" w:rsidP="00CC293C">
      <w:pPr>
        <w:rPr>
          <w:rFonts w:ascii="Arial Black" w:hAnsi="Arial Black"/>
          <w:b/>
          <w:sz w:val="28"/>
          <w:szCs w:val="28"/>
        </w:rPr>
      </w:pPr>
      <w:r>
        <w:rPr>
          <w:rFonts w:ascii="Arial Black" w:hAnsi="Arial Black"/>
          <w:b/>
          <w:sz w:val="24"/>
          <w:szCs w:val="24"/>
        </w:rPr>
        <w:t>6-190</w:t>
      </w:r>
    </w:p>
    <w:p w14:paraId="0B0FCE7A" w14:textId="76F9051E" w:rsidR="00CC293C" w:rsidRDefault="00CC293C" w:rsidP="00CC293C">
      <w:pPr>
        <w:rPr>
          <w:rFonts w:ascii="Arial Black" w:hAnsi="Arial Black"/>
          <w:b/>
          <w:sz w:val="28"/>
          <w:szCs w:val="28"/>
        </w:rPr>
      </w:pPr>
      <w:r>
        <w:rPr>
          <w:rFonts w:ascii="Arial Black" w:hAnsi="Arial Black"/>
          <w:b/>
          <w:sz w:val="28"/>
          <w:szCs w:val="28"/>
        </w:rPr>
        <w:t>IL: POOR PERF / THREATS - NO LINE-OF-DUTY DISABILITY</w:t>
      </w:r>
    </w:p>
    <w:p w14:paraId="7870E0DB" w14:textId="77777777" w:rsidR="00CC293C" w:rsidRDefault="00CC293C" w:rsidP="00CC293C">
      <w:pPr>
        <w:rPr>
          <w:bCs/>
        </w:rPr>
      </w:pPr>
      <w:r w:rsidRPr="00006AE8">
        <w:t xml:space="preserve">On August 31, 2026, </w:t>
      </w:r>
      <w:r>
        <w:t xml:space="preserve">in </w:t>
      </w:r>
      <w:r w:rsidRPr="002E168D">
        <w:rPr>
          <w:u w:val="single"/>
        </w:rPr>
        <w:t xml:space="preserve">Daniel Haley v. East Moline Firefighters’ Pension Fund. </w:t>
      </w:r>
      <w:r>
        <w:rPr>
          <w:u w:val="single"/>
        </w:rPr>
        <w:t>e</w:t>
      </w:r>
      <w:r w:rsidRPr="002E168D">
        <w:rPr>
          <w:u w:val="single"/>
        </w:rPr>
        <w:t>t al.,</w:t>
      </w:r>
      <w:r>
        <w:t xml:space="preserve"> the </w:t>
      </w:r>
      <w:r w:rsidRPr="002E168D">
        <w:t>Court of Appeals of Illinois, Fourth District</w:t>
      </w:r>
      <w:r>
        <w:t xml:space="preserve"> held (3 to 0) that the pension Board’s decision </w:t>
      </w:r>
      <w:r w:rsidRPr="00EF3035">
        <w:t>denying Haley's application for a line-of-duty disability pension does not stand against the manifest weight of the evidence. The record contains evidence to support the Board's decision, so we affirm it.</w:t>
      </w:r>
      <w:r>
        <w:t xml:space="preserve">”  The firefighter receives only a non-duty disability pension.  </w:t>
      </w:r>
      <w:hyperlink r:id="rId1055" w:history="1">
        <w:r w:rsidRPr="0045711E">
          <w:rPr>
            <w:rStyle w:val="Hyperlink"/>
          </w:rPr>
          <w:t>https://ilcourtsaudio.blob.core.windows.net/antilles-resources/resources/8915be3b-9919-454d-af72-f179ae44351b/Haley%20v.%20East%20Moline%20Firefighters%20Pension%20Fund%202026%20IL%20App%20(4th)%20251251-U.pdf</w:t>
        </w:r>
      </w:hyperlink>
      <w:r>
        <w:t xml:space="preserve"> </w:t>
      </w:r>
    </w:p>
    <w:p w14:paraId="1D6F16CA" w14:textId="77777777" w:rsidR="00CC293C" w:rsidRDefault="00CC293C" w:rsidP="00CC293C">
      <w:pPr>
        <w:rPr>
          <w:bCs/>
        </w:rPr>
      </w:pPr>
      <w:r>
        <w:t>THE COURT WROTE:</w:t>
      </w:r>
    </w:p>
    <w:p w14:paraId="49CA0625" w14:textId="77777777" w:rsidR="00CC293C" w:rsidRDefault="00CC293C" w:rsidP="00CC293C">
      <w:pPr>
        <w:ind w:left="720"/>
      </w:pPr>
      <w:r>
        <w:t>“</w:t>
      </w:r>
      <w:r w:rsidRPr="00012305">
        <w:t>2018 Threats, Unfitness, and Administrative Leave</w:t>
      </w:r>
      <w:r>
        <w:t xml:space="preserve">. </w:t>
      </w:r>
    </w:p>
    <w:p w14:paraId="665A8D36" w14:textId="77777777" w:rsidR="00CC293C" w:rsidRDefault="00CC293C" w:rsidP="00CC293C">
      <w:pPr>
        <w:ind w:left="720"/>
      </w:pPr>
      <w:r w:rsidRPr="00E44331">
        <w:t xml:space="preserve">Haley testified </w:t>
      </w:r>
      <w:r>
        <w:t xml:space="preserve">[before the Pension Board] </w:t>
      </w:r>
      <w:r w:rsidRPr="00E44331">
        <w:t xml:space="preserve">that in February 2018, he was preparing to appear before the fire and police commission board for a disciplinary hearing regarding his poor performance evaluations. When his superior, Lieutenant Caves, asked Haley what he planned to do in the hearing, Haley remembered saying, </w:t>
      </w:r>
      <w:r>
        <w:t>‘</w:t>
      </w:r>
      <w:r w:rsidRPr="00E44331">
        <w:t>I'm going to go in there and I'm going to burn this place down, or burn this place to the ground.</w:t>
      </w:r>
      <w:r>
        <w:t>’</w:t>
      </w:r>
      <w:r w:rsidRPr="00E44331">
        <w:t xml:space="preserve"> Haley testified it was a </w:t>
      </w:r>
      <w:r>
        <w:t>‘</w:t>
      </w:r>
      <w:r w:rsidRPr="00E44331">
        <w:t>figure of speech.</w:t>
      </w:r>
      <w:r>
        <w:t>’</w:t>
      </w:r>
      <w:r w:rsidRPr="00E44331">
        <w:t xml:space="preserve"> When Caves admonished him, Haley was </w:t>
      </w:r>
      <w:r>
        <w:t>‘</w:t>
      </w:r>
      <w:r w:rsidRPr="00E44331">
        <w:t>kind of taken aback</w:t>
      </w:r>
      <w:r>
        <w:t>’</w:t>
      </w:r>
      <w:r w:rsidRPr="00E44331">
        <w:t xml:space="preserve"> because he believed Caves </w:t>
      </w:r>
      <w:r>
        <w:t>‘</w:t>
      </w:r>
      <w:r w:rsidRPr="00E44331">
        <w:t>knew what [he] meant.</w:t>
      </w:r>
      <w:r>
        <w:t>’</w:t>
      </w:r>
      <w:r w:rsidRPr="00E44331">
        <w:t xml:space="preserve"> Haley responded to the rebuke by sarcastically asking, </w:t>
      </w:r>
      <w:r>
        <w:t>‘</w:t>
      </w:r>
      <w:r w:rsidRPr="00E44331">
        <w:t>Well you want me to say blow the place up?</w:t>
      </w:r>
      <w:r>
        <w:t>’</w:t>
      </w:r>
      <w:r w:rsidRPr="00E44331">
        <w:t xml:space="preserve"> </w:t>
      </w:r>
      <w:proofErr w:type="gramStart"/>
      <w:r w:rsidRPr="00E44331">
        <w:t>or,</w:t>
      </w:r>
      <w:proofErr w:type="gramEnd"/>
      <w:r w:rsidRPr="00E44331">
        <w:t xml:space="preserve"> </w:t>
      </w:r>
      <w:r>
        <w:t>‘</w:t>
      </w:r>
      <w:r w:rsidRPr="00E44331">
        <w:t>Shoot the place up?</w:t>
      </w:r>
      <w:r>
        <w:t xml:space="preserve">’ </w:t>
      </w:r>
      <w:r w:rsidRPr="00E44331">
        <w:t xml:space="preserve"> Haley said, </w:t>
      </w:r>
      <w:r>
        <w:t>‘</w:t>
      </w:r>
      <w:r w:rsidRPr="00E44331">
        <w:t>Fine, I will expose it for the shit hole that it is.</w:t>
      </w:r>
      <w:r>
        <w:t>’</w:t>
      </w:r>
      <w:r w:rsidRPr="00E44331">
        <w:t xml:space="preserve"> He elaborated that he </w:t>
      </w:r>
      <w:r>
        <w:t>‘</w:t>
      </w:r>
      <w:r w:rsidRPr="00E44331">
        <w:t>felt that [he] was being treated wrongly and persecuted for things that weren't a big deal</w:t>
      </w:r>
      <w:r>
        <w:t>’</w:t>
      </w:r>
      <w:r w:rsidRPr="00E44331">
        <w:t xml:space="preserve"> and wanted to "throw people under the bus." Haley testified Caves reported his statements up the chain of command. </w:t>
      </w:r>
    </w:p>
    <w:p w14:paraId="3AE82D4E" w14:textId="77777777" w:rsidR="00CC293C" w:rsidRDefault="00CC293C" w:rsidP="00CC293C">
      <w:pPr>
        <w:ind w:left="720"/>
      </w:pPr>
      <w:r>
        <w:t>T</w:t>
      </w:r>
      <w:r w:rsidRPr="00A16EC2">
        <w:t>he battalion chief confronted Haley and asked if he needed to go home. Haley said no, and he finished his shift without incident. The next day, February 22, 2018, Haley was placed on administrative leave and sent for an evaluation with Dr. Campion</w:t>
      </w:r>
      <w:r>
        <w:t xml:space="preserve"> [two </w:t>
      </w:r>
      <w:r w:rsidRPr="005F60A0">
        <w:t>independent psychological evaluations with Thomas R. Campion, Ph.D.</w:t>
      </w:r>
      <w:r>
        <w:t xml:space="preserve">] </w:t>
      </w:r>
      <w:r w:rsidRPr="00A16EC2">
        <w:t xml:space="preserve">who found him </w:t>
      </w:r>
      <w:r>
        <w:t>‘</w:t>
      </w:r>
      <w:r w:rsidRPr="00A16EC2">
        <w:t>emotionally unfit for duty</w:t>
      </w:r>
      <w:r>
        <w:t>’</w:t>
      </w:r>
      <w:r w:rsidRPr="00A16EC2">
        <w:t xml:space="preserve"> and placed him off work. Meanwhile, Haley testified he had his disciplinary hearing regarding his poor performance reviews in July 2018 and received a 30-day suspension. When Drs. Lash and Narayana told him he could return to work in November 2018, the department sent him back to Dr. Campion, who again found him emotionally unfit for duty. Haley said he </w:t>
      </w:r>
      <w:r>
        <w:t>‘</w:t>
      </w:r>
      <w:r w:rsidRPr="00A16EC2">
        <w:t>was shocked</w:t>
      </w:r>
      <w:r>
        <w:t>’</w:t>
      </w:r>
      <w:r w:rsidRPr="00A16EC2">
        <w:t xml:space="preserve"> by the second unfitness finding. He testified this finding prompted his second disability application, </w:t>
      </w:r>
      <w:proofErr w:type="gramStart"/>
      <w:r w:rsidRPr="00A16EC2">
        <w:t xml:space="preserve">saying, </w:t>
      </w:r>
      <w:r>
        <w:t>‘</w:t>
      </w:r>
      <w:proofErr w:type="gramEnd"/>
      <w:r w:rsidRPr="00A16EC2">
        <w:t>The city's doctor told me that I was unable to go to work due to PTSD.</w:t>
      </w:r>
      <w:r>
        <w:t>’</w:t>
      </w:r>
    </w:p>
    <w:p w14:paraId="781ED742" w14:textId="77777777" w:rsidR="00CC293C" w:rsidRDefault="00CC293C" w:rsidP="00CC293C">
      <w:pPr>
        <w:ind w:left="720"/>
      </w:pPr>
      <w:r>
        <w:t>***</w:t>
      </w:r>
    </w:p>
    <w:p w14:paraId="5234FB95" w14:textId="77777777" w:rsidR="00CC293C" w:rsidRDefault="00CC293C" w:rsidP="00CC293C">
      <w:pPr>
        <w:ind w:left="720"/>
      </w:pPr>
      <w:r w:rsidRPr="00F6155D">
        <w:t>Per section 4-112 of the Pension Code, the Board selected four doctors to examine Haley. See 40 ILCS 5/4-112 (West 2020). Over the course of three months in autumn 2020, Haley underwent three psychiatric evaluations—with Richard P. Harris, M.D., in September, Steven Weine, M.D., in October, and Gaurava Agarwal, M.D., in November.</w:t>
      </w:r>
    </w:p>
    <w:p w14:paraId="55A45FAA" w14:textId="77777777" w:rsidR="00CC293C" w:rsidRDefault="00CC293C" w:rsidP="00CC293C">
      <w:pPr>
        <w:ind w:left="720"/>
      </w:pPr>
      <w:r>
        <w:t>***</w:t>
      </w:r>
    </w:p>
    <w:p w14:paraId="1DF6E31D" w14:textId="77777777" w:rsidR="00CC293C" w:rsidRDefault="00CC293C" w:rsidP="00CC293C">
      <w:pPr>
        <w:ind w:left="720"/>
      </w:pPr>
      <w:r w:rsidRPr="00D67CB5">
        <w:t>Nearly two years passed before the Board reconvened another hearing on Haley's application</w:t>
      </w:r>
      <w:r>
        <w:t xml:space="preserve">…. </w:t>
      </w:r>
      <w:r w:rsidRPr="00452282">
        <w:t>After executive session, the Board unanimously voted to deny Haley a line-of- duty disability pension. It then unanimously voted to grant him a nonduty disability pension</w:t>
      </w:r>
      <w:r>
        <w:t xml:space="preserve">…. </w:t>
      </w:r>
      <w:r w:rsidRPr="00D9763C">
        <w:t>We hold the Board's decision denying Haley's application for a line-of-duty disability pension does not stand against the manifest weight of the evidence. The record contains evidence to support the Board's decision, so we affirm it.</w:t>
      </w:r>
      <w:r>
        <w:t>”</w:t>
      </w:r>
    </w:p>
    <w:p w14:paraId="237387A9" w14:textId="77777777" w:rsidR="00CC293C" w:rsidRPr="00D9763C" w:rsidRDefault="00CC293C" w:rsidP="00CC293C">
      <w:pPr>
        <w:rPr>
          <w:b/>
          <w:bCs/>
        </w:rPr>
      </w:pPr>
      <w:r>
        <w:rPr>
          <w:b/>
        </w:rPr>
        <w:t xml:space="preserve">Legal lesson learned: Pension Board heard testimony at two separate hearings. </w:t>
      </w:r>
    </w:p>
    <w:p w14:paraId="7FB58C12" w14:textId="77777777" w:rsidR="00CC293C" w:rsidRDefault="00CC293C" w:rsidP="00C26E25">
      <w:pPr>
        <w:rPr>
          <w:rFonts w:ascii="Arial Black" w:hAnsi="Arial Black"/>
          <w:b/>
          <w:sz w:val="24"/>
          <w:szCs w:val="24"/>
        </w:rPr>
      </w:pPr>
    </w:p>
    <w:p w14:paraId="3ADF2EA6" w14:textId="411FCCB4" w:rsidR="009A3DAE" w:rsidRDefault="009A3DAE" w:rsidP="009A3DAE">
      <w:pPr>
        <w:rPr>
          <w:rFonts w:ascii="Arial Black" w:hAnsi="Arial Black"/>
          <w:b/>
          <w:sz w:val="28"/>
          <w:szCs w:val="28"/>
        </w:rPr>
      </w:pPr>
      <w:r>
        <w:rPr>
          <w:rFonts w:ascii="Arial Black" w:hAnsi="Arial Black"/>
          <w:b/>
          <w:sz w:val="24"/>
          <w:szCs w:val="24"/>
        </w:rPr>
        <w:t>6-189</w:t>
      </w:r>
    </w:p>
    <w:p w14:paraId="0538ABE5" w14:textId="77777777" w:rsidR="00CC293C" w:rsidRDefault="00CC293C" w:rsidP="00C26E25">
      <w:pPr>
        <w:rPr>
          <w:rFonts w:ascii="Arial Black" w:hAnsi="Arial Black"/>
          <w:b/>
          <w:sz w:val="24"/>
          <w:szCs w:val="24"/>
        </w:rPr>
      </w:pPr>
    </w:p>
    <w:p w14:paraId="54618B29" w14:textId="77777777" w:rsidR="009A3DAE" w:rsidRPr="00E43715" w:rsidRDefault="009A3DAE" w:rsidP="009A3DAE">
      <w:pPr>
        <w:rPr>
          <w:rFonts w:ascii="Arial Black" w:hAnsi="Arial Black"/>
          <w:b/>
          <w:sz w:val="28"/>
          <w:szCs w:val="28"/>
        </w:rPr>
      </w:pPr>
      <w:r>
        <w:rPr>
          <w:rFonts w:ascii="Arial Black" w:hAnsi="Arial Black"/>
          <w:b/>
          <w:sz w:val="28"/>
          <w:szCs w:val="28"/>
        </w:rPr>
        <w:t>NM: CHIEF DIED CANCER – WIFE - MAX 700 WEEKS NM LAW</w:t>
      </w:r>
    </w:p>
    <w:p w14:paraId="3D248B99" w14:textId="77777777" w:rsidR="009A3DAE" w:rsidRDefault="009A3DAE" w:rsidP="009A3DAE">
      <w:pPr>
        <w:pStyle w:val="NoSpacing"/>
      </w:pPr>
      <w:r>
        <w:t xml:space="preserve">On Aug. 19, 2026, in </w:t>
      </w:r>
      <w:r w:rsidRPr="00872557">
        <w:rPr>
          <w:u w:val="single"/>
        </w:rPr>
        <w:t xml:space="preserve">Janet M. </w:t>
      </w:r>
      <w:proofErr w:type="spellStart"/>
      <w:r w:rsidRPr="00872557">
        <w:rPr>
          <w:u w:val="single"/>
        </w:rPr>
        <w:t>DiLuzo</w:t>
      </w:r>
      <w:proofErr w:type="spellEnd"/>
      <w:r w:rsidRPr="00872557">
        <w:rPr>
          <w:u w:val="single"/>
        </w:rPr>
        <w:t xml:space="preserve"> v. City of Santa Fe</w:t>
      </w:r>
      <w:r>
        <w:t xml:space="preserve">, the Court of Appeals of New Mexico held (3 to 0) that under state law the </w:t>
      </w:r>
      <w:r w:rsidRPr="00DA51DB">
        <w:t>total duration of all benefits</w:t>
      </w:r>
      <w:r>
        <w:t xml:space="preserve"> (disability and death benefits) </w:t>
      </w:r>
      <w:r w:rsidRPr="00DA51DB">
        <w:t xml:space="preserve"> is limited to 700 weeks</w:t>
      </w:r>
      <w:r>
        <w:t xml:space="preserve">. Chief Frank Clark Di Luzio was a firefighter for the City of Santa Fe New Mexico, for over twenty years; he retired on August 1, 2001, and 12 years later was diagnosed with Stage IV mantle cell non-Hodgkin’s lymphoma. He became physically unable to work on January 11, 2012, and never recovered. The city paid </w:t>
      </w:r>
      <w:r w:rsidRPr="000639E6">
        <w:t xml:space="preserve">permanent total disability </w:t>
      </w:r>
      <w:r>
        <w:t xml:space="preserve">(PTD) </w:t>
      </w:r>
      <w:r w:rsidRPr="000639E6">
        <w:t>benefits for 492 weeks, approximately nine and</w:t>
      </w:r>
      <w:r>
        <w:t xml:space="preserve"> </w:t>
      </w:r>
      <w:r w:rsidRPr="000639E6">
        <w:t>one-half years, totaling $360,714.72.</w:t>
      </w:r>
      <w:r>
        <w:t xml:space="preserve">  After his death </w:t>
      </w:r>
      <w:r w:rsidRPr="000639E6">
        <w:t>on June 2, 2021,</w:t>
      </w:r>
      <w:r>
        <w:t xml:space="preserve"> </w:t>
      </w:r>
      <w:r w:rsidRPr="000639E6">
        <w:t>at the age of sixty-six</w:t>
      </w:r>
      <w:r>
        <w:t xml:space="preserve">, the Worker’s Comp judge after a trial awarded her an additional 700 weeks of pay totaling $513,212.  Court reversed this award, since that would be a total of 1,192 weeks, exceeding the 700-week maximum; her </w:t>
      </w:r>
      <w:r w:rsidRPr="00DB5478">
        <w:t>death benefits are limited to the remaining 208 weeks.</w:t>
      </w:r>
      <w:r>
        <w:t xml:space="preserve"> </w:t>
      </w:r>
    </w:p>
    <w:p w14:paraId="3E0C2F0B" w14:textId="77777777" w:rsidR="009A3DAE" w:rsidRDefault="009A3DAE" w:rsidP="009A3DAE">
      <w:pPr>
        <w:pStyle w:val="NoSpacing"/>
      </w:pPr>
      <w:r>
        <w:t xml:space="preserve">. </w:t>
      </w:r>
      <w:hyperlink r:id="rId1056" w:history="1">
        <w:r w:rsidRPr="00A05782">
          <w:rPr>
            <w:rStyle w:val="Hyperlink"/>
          </w:rPr>
          <w:t>https://coa.nmcourts.gov/wp-content/uploads/sites/43/2026/08/August-19-2026-Janet-M.-Di-Luzio-v.-City-of-Santa-Fe-No.-A-1-CA-41627.pdf</w:t>
        </w:r>
      </w:hyperlink>
      <w:r>
        <w:t xml:space="preserve"> </w:t>
      </w:r>
    </w:p>
    <w:p w14:paraId="74759741" w14:textId="77777777" w:rsidR="009A3DAE" w:rsidRDefault="009A3DAE" w:rsidP="009A3DAE"/>
    <w:p w14:paraId="5E3885C8" w14:textId="77777777" w:rsidR="009A3DAE" w:rsidRDefault="009A3DAE" w:rsidP="009A3DAE">
      <w:r>
        <w:t>THE COURT WROTE:</w:t>
      </w:r>
    </w:p>
    <w:p w14:paraId="39713C86" w14:textId="77777777" w:rsidR="009A3DAE" w:rsidRDefault="009A3DAE" w:rsidP="009A3DAE">
      <w:pPr>
        <w:pStyle w:val="NoSpacing"/>
        <w:ind w:firstLine="720"/>
      </w:pPr>
      <w:r>
        <w:t>“However, we do conclude that the 700-week aggregate limit on all collective</w:t>
      </w:r>
    </w:p>
    <w:p w14:paraId="482BA59D" w14:textId="77777777" w:rsidR="009A3DAE" w:rsidRDefault="009A3DAE" w:rsidP="009A3DAE">
      <w:pPr>
        <w:pStyle w:val="NoSpacing"/>
        <w:ind w:firstLine="720"/>
      </w:pPr>
      <w:r>
        <w:t>benefits under the ODDL, in Section 52-3-14(D), applies to Widow’s death benefits.</w:t>
      </w:r>
    </w:p>
    <w:p w14:paraId="4D7D5612" w14:textId="77777777" w:rsidR="009A3DAE" w:rsidRDefault="009A3DAE" w:rsidP="009A3DAE">
      <w:pPr>
        <w:pStyle w:val="NoSpacing"/>
        <w:ind w:firstLine="720"/>
      </w:pPr>
      <w:r>
        <w:t>Because Worker received 492 weeks of disability benefits during his life, Widow’s</w:t>
      </w:r>
    </w:p>
    <w:p w14:paraId="5C5BC8CE" w14:textId="77777777" w:rsidR="009A3DAE" w:rsidRDefault="009A3DAE" w:rsidP="009A3DAE">
      <w:pPr>
        <w:pStyle w:val="NoSpacing"/>
        <w:ind w:left="720"/>
      </w:pPr>
      <w:r>
        <w:t xml:space="preserve">death benefits are limited to the remaining 208 weeks…. Section 52-3-14(H)(2) sets the maximum duration of death benefits, standing alone, at 700 weeks from the date of a worker’s death, while Section 52-3-2 14(D) limits the combined total of all collective benefits, including disability and death, to a 700-week aggregate limit. This reading gives meaning and effect to every part of the statute…. The aggregate limit in Section 52-3-14(D) reflects a legislative judgment to limit employers’ total exposure, a ‘legitimate legislative goal,’ per our Supreme Court in </w:t>
      </w:r>
      <w:r w:rsidRPr="007A1F85">
        <w:rPr>
          <w:i/>
          <w:iCs/>
        </w:rPr>
        <w:t>Schirme</w:t>
      </w:r>
      <w:r>
        <w:t>r, 1994-NMSC-095, ¶ 8.”</w:t>
      </w:r>
    </w:p>
    <w:p w14:paraId="48335FA0" w14:textId="77777777" w:rsidR="009A3DAE" w:rsidRDefault="009A3DAE" w:rsidP="009A3DAE">
      <w:pPr>
        <w:pStyle w:val="NoSpacing"/>
        <w:ind w:left="720"/>
      </w:pPr>
    </w:p>
    <w:p w14:paraId="75E86054" w14:textId="77777777" w:rsidR="009A3DAE" w:rsidRDefault="009A3DAE" w:rsidP="009A3DAE">
      <w:pPr>
        <w:pStyle w:val="NoSpacing"/>
        <w:rPr>
          <w:b/>
          <w:bCs/>
        </w:rPr>
      </w:pPr>
      <w:r w:rsidRPr="00A96F5C">
        <w:rPr>
          <w:b/>
        </w:rPr>
        <w:t xml:space="preserve">Legal lesson learned: </w:t>
      </w:r>
      <w:r>
        <w:rPr>
          <w:b/>
        </w:rPr>
        <w:t>Legislature can limit total of disability and death benefits to 700 weeks.</w:t>
      </w:r>
    </w:p>
    <w:p w14:paraId="6EC4633C" w14:textId="77777777" w:rsidR="009A3DAE" w:rsidRDefault="009A3DAE" w:rsidP="009A3DAE">
      <w:pPr>
        <w:pStyle w:val="NoSpacing"/>
        <w:rPr>
          <w:b/>
          <w:bCs/>
        </w:rPr>
      </w:pPr>
    </w:p>
    <w:p w14:paraId="7F1FE436" w14:textId="77777777" w:rsidR="009A3DAE" w:rsidRDefault="009A3DAE" w:rsidP="009A3DAE">
      <w:pPr>
        <w:pStyle w:val="NoSpacing"/>
        <w:ind w:left="720"/>
      </w:pPr>
      <w:r w:rsidRPr="00817572">
        <w:t xml:space="preserve">Note: </w:t>
      </w:r>
      <w:r>
        <w:t>The Court rejected the City’s other arguments: “</w:t>
      </w:r>
      <w:r w:rsidRPr="00244117">
        <w:t>First, Section 52-3-14(H) of the</w:t>
      </w:r>
      <w:r>
        <w:t xml:space="preserve"> </w:t>
      </w:r>
      <w:r w:rsidRPr="00244117">
        <w:t xml:space="preserve">ODDL requiring death to occur </w:t>
      </w:r>
      <w:r>
        <w:t>‘</w:t>
      </w:r>
      <w:r w:rsidRPr="00244117">
        <w:t>within the period of two years</w:t>
      </w:r>
      <w:r>
        <w:t>’</w:t>
      </w:r>
      <w:r w:rsidRPr="00244117">
        <w:t xml:space="preserve"> from the</w:t>
      </w:r>
      <w:r>
        <w:t xml:space="preserve"> </w:t>
      </w:r>
      <w:r w:rsidRPr="00244117">
        <w:t>disablement bars Widow’s claim because Worker died more than nine years after</w:t>
      </w:r>
      <w:r>
        <w:t xml:space="preserve"> </w:t>
      </w:r>
      <w:r w:rsidRPr="00244117">
        <w:t>the onset of his disablement. Second, Section 52-3-10(B)(4) of the ODDL bars death</w:t>
      </w:r>
      <w:r>
        <w:t xml:space="preserve"> </w:t>
      </w:r>
      <w:r w:rsidRPr="00244117">
        <w:t>benefits because Worker died more than three years after his last day of employment</w:t>
      </w:r>
      <w:r>
        <w:t xml:space="preserve"> </w:t>
      </w:r>
      <w:r w:rsidRPr="00244117">
        <w:t>with the City.</w:t>
      </w:r>
      <w:r>
        <w:t>”</w:t>
      </w:r>
    </w:p>
    <w:p w14:paraId="0582EFB8" w14:textId="77777777" w:rsidR="009A3DAE" w:rsidRDefault="009A3DAE" w:rsidP="009A3DAE">
      <w:pPr>
        <w:rPr>
          <w:b/>
        </w:rPr>
      </w:pPr>
    </w:p>
    <w:p w14:paraId="7CEBCDA2" w14:textId="77777777" w:rsidR="00CC293C" w:rsidRDefault="00CC293C" w:rsidP="00C26E25">
      <w:pPr>
        <w:rPr>
          <w:rFonts w:ascii="Arial Black" w:hAnsi="Arial Black"/>
          <w:b/>
          <w:sz w:val="24"/>
          <w:szCs w:val="24"/>
        </w:rPr>
      </w:pPr>
    </w:p>
    <w:p w14:paraId="1B595099" w14:textId="77777777" w:rsidR="00CC293C" w:rsidRDefault="00CC293C" w:rsidP="00C26E25">
      <w:pPr>
        <w:rPr>
          <w:rFonts w:ascii="Arial Black" w:hAnsi="Arial Black"/>
          <w:b/>
          <w:sz w:val="24"/>
          <w:szCs w:val="24"/>
        </w:rPr>
      </w:pPr>
    </w:p>
    <w:p w14:paraId="5D2FBA6D" w14:textId="77777777" w:rsidR="00CC293C" w:rsidRDefault="00CC293C" w:rsidP="00C26E25">
      <w:pPr>
        <w:rPr>
          <w:rFonts w:ascii="Arial Black" w:hAnsi="Arial Black"/>
          <w:b/>
          <w:sz w:val="24"/>
          <w:szCs w:val="24"/>
        </w:rPr>
      </w:pPr>
    </w:p>
    <w:p w14:paraId="4B4D6EAC" w14:textId="4C75C5BD" w:rsidR="00C26E25" w:rsidRDefault="00C26E25" w:rsidP="00C26E25">
      <w:pPr>
        <w:rPr>
          <w:rFonts w:ascii="Arial Black" w:hAnsi="Arial Black"/>
          <w:b/>
          <w:sz w:val="28"/>
          <w:szCs w:val="28"/>
        </w:rPr>
      </w:pPr>
      <w:r>
        <w:rPr>
          <w:rFonts w:ascii="Arial Black" w:hAnsi="Arial Black"/>
          <w:b/>
          <w:sz w:val="24"/>
          <w:szCs w:val="24"/>
        </w:rPr>
        <w:t>6-188</w:t>
      </w:r>
    </w:p>
    <w:p w14:paraId="3D7251DD" w14:textId="0203151B" w:rsidR="00C26E25" w:rsidRPr="00B50A22" w:rsidRDefault="00C26E25" w:rsidP="00C26E25">
      <w:pPr>
        <w:pStyle w:val="NoSpacing"/>
        <w:rPr>
          <w:rFonts w:ascii="Arial Black" w:hAnsi="Arial Black"/>
          <w:b/>
          <w:sz w:val="28"/>
          <w:szCs w:val="28"/>
        </w:rPr>
      </w:pPr>
      <w:r>
        <w:rPr>
          <w:rFonts w:ascii="Arial Black" w:hAnsi="Arial Black"/>
          <w:b/>
          <w:sz w:val="28"/>
          <w:szCs w:val="28"/>
        </w:rPr>
        <w:t>NY: NECK / SHOULDER – DEGENER - NO DISAB BENEFITS</w:t>
      </w:r>
    </w:p>
    <w:p w14:paraId="65BB6DAA" w14:textId="77777777" w:rsidR="00C26E25" w:rsidRDefault="00C26E25" w:rsidP="00C26E25">
      <w:pPr>
        <w:pStyle w:val="NoSpacing"/>
        <w:rPr>
          <w:b/>
        </w:rPr>
      </w:pPr>
    </w:p>
    <w:p w14:paraId="626AFF8D" w14:textId="77777777" w:rsidR="00C26E25" w:rsidRDefault="00C26E25" w:rsidP="00C26E25">
      <w:pPr>
        <w:pStyle w:val="NoSpacing"/>
      </w:pPr>
      <w:r>
        <w:t xml:space="preserve">On July 24, 2026, </w:t>
      </w:r>
      <w:r w:rsidRPr="00FD522C">
        <w:rPr>
          <w:u w:val="single"/>
        </w:rPr>
        <w:t xml:space="preserve">In </w:t>
      </w:r>
      <w:proofErr w:type="gramStart"/>
      <w:r w:rsidRPr="00FD522C">
        <w:rPr>
          <w:u w:val="single"/>
        </w:rPr>
        <w:t>The</w:t>
      </w:r>
      <w:proofErr w:type="gramEnd"/>
      <w:r w:rsidRPr="00FD522C">
        <w:rPr>
          <w:u w:val="single"/>
        </w:rPr>
        <w:t xml:space="preserve"> Matter </w:t>
      </w:r>
      <w:proofErr w:type="gramStart"/>
      <w:r w:rsidRPr="00FD522C">
        <w:rPr>
          <w:u w:val="single"/>
        </w:rPr>
        <w:t>Of</w:t>
      </w:r>
      <w:proofErr w:type="gramEnd"/>
      <w:r w:rsidRPr="00FD522C">
        <w:rPr>
          <w:u w:val="single"/>
        </w:rPr>
        <w:t xml:space="preserve"> Randy Spencer</w:t>
      </w:r>
      <w:r>
        <w:t xml:space="preserve">, the </w:t>
      </w:r>
      <w:r w:rsidRPr="00BC5751">
        <w:t>Supreme Court of New York, Fourth Department</w:t>
      </w:r>
      <w:r>
        <w:t xml:space="preserve"> held (5 to 0) that the firefighter was properly denied disability benefits.  The firefighter’s treating physician concluded that neck and right should injuries </w:t>
      </w:r>
      <w:proofErr w:type="gramStart"/>
      <w:r>
        <w:t>were</w:t>
      </w:r>
      <w:proofErr w:type="gramEnd"/>
      <w:r>
        <w:t xml:space="preserve"> a direct result of the March 7, </w:t>
      </w:r>
      <w:proofErr w:type="gramStart"/>
      <w:r>
        <w:t>2019</w:t>
      </w:r>
      <w:proofErr w:type="gramEnd"/>
      <w:r>
        <w:t xml:space="preserve"> on duty crash when he was driving the fire truck, the doctor never reviewed the firefighter’s prior medical records.  The City’s physician did review the </w:t>
      </w:r>
      <w:r w:rsidRPr="00B50A22">
        <w:t>pre-accident medical history</w:t>
      </w:r>
      <w:r>
        <w:t xml:space="preserve">, which revealed prior </w:t>
      </w:r>
      <w:r w:rsidRPr="00B50A22">
        <w:t>chronic degeneration</w:t>
      </w:r>
      <w:r>
        <w:t xml:space="preserve"> of neck and shoulder.  </w:t>
      </w:r>
      <w:hyperlink r:id="rId1057" w:history="1">
        <w:r w:rsidRPr="005315D9">
          <w:rPr>
            <w:rStyle w:val="Hyperlink"/>
          </w:rPr>
          <w:t>https://public.fastcase.com/Jhe1Qn%2BmJndQYQU6z%2FeNm3BZXxMtfKvDKUuuTsV2npm66ieHwlmdQlB7eZ5vGA8QuOESb%2F3K1RQvpQEkPuEDUbGjL%2Fa81lCq0WbwpmSle%2Fs%3D?utm_medium=email&amp;_hsenc=p2ANqtz-_5eDAf6zJHZ3x5XTDJZmK3o4KVQ_64dEa2tiItnjUQH6kGchr0D5wuvNQXhbtIIPVnIy-jvGCDQGSZmLLj65ZPiQLHfg&amp;_hsmi=226712652&amp;utm_content=226712652&amp;utm_source=hs_email</w:t>
        </w:r>
      </w:hyperlink>
      <w:r>
        <w:t xml:space="preserve"> </w:t>
      </w:r>
    </w:p>
    <w:p w14:paraId="3DDABA89" w14:textId="77777777" w:rsidR="00C26E25" w:rsidRDefault="00C26E25" w:rsidP="00C26E25">
      <w:pPr>
        <w:pStyle w:val="NoSpacing"/>
      </w:pPr>
    </w:p>
    <w:p w14:paraId="0B32EC58" w14:textId="77777777" w:rsidR="00C26E25" w:rsidRPr="00BC5751" w:rsidRDefault="00C26E25" w:rsidP="00C26E25">
      <w:pPr>
        <w:pStyle w:val="NoSpacing"/>
        <w:rPr>
          <w:bCs/>
        </w:rPr>
      </w:pPr>
      <w:r>
        <w:t>THE COURT WROTE:</w:t>
      </w:r>
    </w:p>
    <w:p w14:paraId="3BA1A5E4" w14:textId="77777777" w:rsidR="00C26E25" w:rsidRPr="003B6EA6" w:rsidRDefault="00C26E25" w:rsidP="00C26E25">
      <w:pPr>
        <w:pStyle w:val="NoSpacing"/>
        <w:rPr>
          <w:bCs/>
        </w:rPr>
      </w:pPr>
    </w:p>
    <w:p w14:paraId="4365DEF7" w14:textId="77777777" w:rsidR="00C26E25" w:rsidRDefault="00C26E25" w:rsidP="00C26E25">
      <w:pPr>
        <w:pStyle w:val="NoSpacing"/>
      </w:pPr>
      <w:r>
        <w:t>“</w:t>
      </w:r>
      <w:r w:rsidRPr="00323804">
        <w:t>At the hearing, petitioner presented evidence that he was involved in an on-duty motor vehicle accident while he was driving a City fire truck on March 7, 2019, and that he suffered neck and right shoulder injuries that rendered him physically unable to return to work as a firefighter. Petitioner's evidence included testimony from a physician who began treating petitioner for complaints of neck and right arm pain on March 28, 2019. Although the physician did not review any of petitioner's medical records from before March 7, 2019, the physician opined that petitioner's injuries were caused by the motor vehicle accident.</w:t>
      </w:r>
    </w:p>
    <w:p w14:paraId="362779FB" w14:textId="77777777" w:rsidR="00C26E25" w:rsidRDefault="00C26E25" w:rsidP="00C26E25">
      <w:pPr>
        <w:pStyle w:val="NoSpacing"/>
      </w:pPr>
    </w:p>
    <w:p w14:paraId="237F5A44" w14:textId="77777777" w:rsidR="00C26E25" w:rsidRDefault="00C26E25" w:rsidP="00C26E25">
      <w:pPr>
        <w:pStyle w:val="NoSpacing"/>
      </w:pPr>
      <w:r>
        <w:t>***</w:t>
      </w:r>
    </w:p>
    <w:p w14:paraId="67B6B280" w14:textId="77777777" w:rsidR="00C26E25" w:rsidRDefault="00C26E25" w:rsidP="00C26E25">
      <w:pPr>
        <w:pStyle w:val="NoSpacing"/>
      </w:pPr>
    </w:p>
    <w:p w14:paraId="66EAC37F" w14:textId="77777777" w:rsidR="00C26E25" w:rsidRDefault="00C26E25" w:rsidP="00C26E25">
      <w:pPr>
        <w:pStyle w:val="NoSpacing"/>
      </w:pPr>
      <w:r w:rsidRPr="00B50A22">
        <w:t xml:space="preserve">While the City did not dispute that petitioner was permanently disabled, the City's examining physician testified that petitioner's prior medical history indicated that his injuries began before March 7, 2019, and were the result of chronic degeneration. The physician thus opined that petitioner's injuries were preexisting and not caused by the motor vehicle accident. The Hearing Officer found both physicians to be credible but found the opinion of the City's </w:t>
      </w:r>
      <w:proofErr w:type="gramStart"/>
      <w:r w:rsidRPr="00B50A22">
        <w:t>expert</w:t>
      </w:r>
      <w:proofErr w:type="gramEnd"/>
      <w:r w:rsidRPr="00B50A22">
        <w:t xml:space="preserve"> more persuasive </w:t>
      </w:r>
      <w:proofErr w:type="gramStart"/>
      <w:r w:rsidRPr="00B50A22">
        <w:t>in light of</w:t>
      </w:r>
      <w:proofErr w:type="gramEnd"/>
      <w:r w:rsidRPr="00B50A22">
        <w:t xml:space="preserve"> the physician's review of petitioner's pre-accident medical history. The Hearing Officer "was entitled to weigh the parties' conflicting medical evidence and to assess the credibility of the witnesses, and [w]e may not weigh the evidence or reject [the Hearing Officer's] choice where the evidence is conflicting and room for a choice exists" (Matter of Erie County Sheriff' s Police Benevolent Assn., Inc. v County of Erie, 159 A.D.3d 1561, 1562 [4th Dept 2018] [internal quotation marks omitted]; see Matter of Childs v City of Little Falls, 109 A.D.3d 1148, 1149 [4th Dept 2013]). We have reviewed petitioner's remaining contention and conclude that it does not require a different result.</w:t>
      </w:r>
      <w:r>
        <w:t>”</w:t>
      </w:r>
    </w:p>
    <w:p w14:paraId="575AC7A9" w14:textId="77777777" w:rsidR="00C26E25" w:rsidRDefault="00C26E25" w:rsidP="00C26E25">
      <w:pPr>
        <w:pStyle w:val="NoSpacing"/>
      </w:pPr>
    </w:p>
    <w:p w14:paraId="50AA8725" w14:textId="77777777" w:rsidR="00C26E25" w:rsidRPr="0083472F" w:rsidRDefault="00C26E25" w:rsidP="00C26E25">
      <w:pPr>
        <w:pStyle w:val="NoSpacing"/>
        <w:rPr>
          <w:b/>
          <w:bCs/>
        </w:rPr>
      </w:pPr>
      <w:r>
        <w:rPr>
          <w:b/>
        </w:rPr>
        <w:t xml:space="preserve">Legal lesson learned: Expert testimony is critical in workers compensation case. </w:t>
      </w:r>
    </w:p>
    <w:p w14:paraId="390F6DBC" w14:textId="77777777" w:rsidR="00C26E25" w:rsidRDefault="00C26E25" w:rsidP="00C26E25">
      <w:pPr>
        <w:pStyle w:val="NoSpacing"/>
        <w:rPr>
          <w:b/>
        </w:rPr>
      </w:pPr>
    </w:p>
    <w:p w14:paraId="1FF1903A" w14:textId="77777777" w:rsidR="00C26E25" w:rsidRDefault="00C26E25" w:rsidP="00C26E25">
      <w:pPr>
        <w:pStyle w:val="NoSpacing"/>
        <w:rPr>
          <w:b/>
          <w:sz w:val="20"/>
          <w:szCs w:val="20"/>
        </w:rPr>
      </w:pPr>
    </w:p>
    <w:p w14:paraId="1136CD20" w14:textId="77777777" w:rsidR="00C26E25" w:rsidRDefault="00C26E25" w:rsidP="00C26E25">
      <w:pPr>
        <w:pStyle w:val="NoSpacing"/>
        <w:rPr>
          <w:b/>
          <w:sz w:val="20"/>
          <w:szCs w:val="20"/>
        </w:rPr>
      </w:pPr>
    </w:p>
    <w:p w14:paraId="7E68061C" w14:textId="77777777" w:rsidR="00C26E25" w:rsidRDefault="00C26E25" w:rsidP="00C26E25">
      <w:pPr>
        <w:pStyle w:val="NoSpacing"/>
        <w:rPr>
          <w:b/>
          <w:sz w:val="20"/>
          <w:szCs w:val="20"/>
        </w:rPr>
      </w:pPr>
    </w:p>
    <w:p w14:paraId="77BF56EE" w14:textId="77777777" w:rsidR="00C26E25" w:rsidRDefault="00C26E25" w:rsidP="00C26E25">
      <w:pPr>
        <w:pStyle w:val="NoSpacing"/>
        <w:rPr>
          <w:b/>
          <w:sz w:val="20"/>
          <w:szCs w:val="20"/>
        </w:rPr>
      </w:pPr>
    </w:p>
    <w:p w14:paraId="0276E4EC" w14:textId="77777777" w:rsidR="00C26E25" w:rsidRDefault="00C26E25" w:rsidP="00C26E25">
      <w:pPr>
        <w:pStyle w:val="NoSpacing"/>
        <w:rPr>
          <w:b/>
          <w:sz w:val="20"/>
          <w:szCs w:val="20"/>
        </w:rPr>
      </w:pPr>
    </w:p>
    <w:p w14:paraId="6E0EEDB0" w14:textId="07924EF2" w:rsidR="00C26E25" w:rsidRDefault="00C26E25" w:rsidP="00C26E25">
      <w:pPr>
        <w:pStyle w:val="NoSpacing"/>
        <w:rPr>
          <w:rFonts w:ascii="Arial Black" w:hAnsi="Arial Black"/>
          <w:bCs/>
          <w:sz w:val="24"/>
          <w:szCs w:val="24"/>
        </w:rPr>
      </w:pPr>
      <w:r w:rsidRPr="00C26E25">
        <w:rPr>
          <w:rFonts w:ascii="Arial Black" w:hAnsi="Arial Black"/>
          <w:bCs/>
          <w:sz w:val="24"/>
          <w:szCs w:val="24"/>
        </w:rPr>
        <w:t>6-187</w:t>
      </w:r>
    </w:p>
    <w:p w14:paraId="7BAEF53D" w14:textId="77777777" w:rsidR="00C26E25" w:rsidRPr="00C26E25" w:rsidRDefault="00C26E25" w:rsidP="00C26E25">
      <w:pPr>
        <w:pStyle w:val="NoSpacing"/>
        <w:rPr>
          <w:rFonts w:ascii="Arial Black" w:hAnsi="Arial Black"/>
          <w:bCs/>
          <w:sz w:val="24"/>
          <w:szCs w:val="24"/>
        </w:rPr>
      </w:pPr>
    </w:p>
    <w:p w14:paraId="4DC16DAD" w14:textId="77777777" w:rsidR="00C26E25" w:rsidRDefault="00C26E25" w:rsidP="00C26E25">
      <w:pPr>
        <w:pStyle w:val="NoSpacing"/>
        <w:rPr>
          <w:rFonts w:ascii="Arial Black" w:hAnsi="Arial Black"/>
          <w:bCs/>
          <w:sz w:val="28"/>
          <w:szCs w:val="28"/>
        </w:rPr>
      </w:pPr>
      <w:r>
        <w:rPr>
          <w:rFonts w:ascii="Arial Black" w:hAnsi="Arial Black"/>
          <w:sz w:val="28"/>
          <w:szCs w:val="28"/>
        </w:rPr>
        <w:t xml:space="preserve">MA: BACK INJURY – ALSO LYMPHOMA – GETS WORK COMP </w:t>
      </w:r>
    </w:p>
    <w:p w14:paraId="10995FB1" w14:textId="77777777" w:rsidR="00C26E25" w:rsidRDefault="00C26E25" w:rsidP="00C26E25">
      <w:pPr>
        <w:pStyle w:val="NoSpacing"/>
        <w:rPr>
          <w:bCs/>
        </w:rPr>
      </w:pPr>
    </w:p>
    <w:p w14:paraId="66F8B49B" w14:textId="77777777" w:rsidR="00C26E25" w:rsidRDefault="00C26E25" w:rsidP="00C26E25">
      <w:pPr>
        <w:pStyle w:val="NoSpacing"/>
        <w:rPr>
          <w:bCs/>
        </w:rPr>
      </w:pPr>
      <w:r>
        <w:t xml:space="preserve">On July 24, 2026, </w:t>
      </w:r>
      <w:proofErr w:type="gramStart"/>
      <w:r w:rsidRPr="00006F13">
        <w:rPr>
          <w:u w:val="single"/>
        </w:rPr>
        <w:t>In</w:t>
      </w:r>
      <w:proofErr w:type="gramEnd"/>
      <w:r w:rsidRPr="00006F13">
        <w:rPr>
          <w:u w:val="single"/>
        </w:rPr>
        <w:t xml:space="preserve"> re Michael Gallaher</w:t>
      </w:r>
      <w:r>
        <w:t xml:space="preserve">, the </w:t>
      </w:r>
      <w:r w:rsidRPr="00006F13">
        <w:t>Appeals Court of Massachusetts</w:t>
      </w:r>
      <w:r>
        <w:t xml:space="preserve"> held (3 to 0) that the Administrative Law Judge, and the Review Board of the Department of Industrial Accidents, properly ordered the </w:t>
      </w:r>
      <w:proofErr w:type="gramStart"/>
      <w:r>
        <w:t>City</w:t>
      </w:r>
      <w:proofErr w:type="gramEnd"/>
      <w:r>
        <w:t xml:space="preserve"> to pay ongoing workers comp benefits. The Medic, injured back in 2019 and again in 2021, had to retire and now requires use of a wheelchair with severe </w:t>
      </w:r>
      <w:r w:rsidRPr="007F378A">
        <w:t>neurological deficit</w:t>
      </w:r>
      <w:r>
        <w:t xml:space="preserve">.  When medical examinations showed that the Medic also has </w:t>
      </w:r>
      <w:r w:rsidRPr="002F467D">
        <w:t>non-Hodgkin's lymphoma</w:t>
      </w:r>
      <w:r>
        <w:t xml:space="preserve">; the </w:t>
      </w:r>
      <w:proofErr w:type="gramStart"/>
      <w:r>
        <w:t>City</w:t>
      </w:r>
      <w:proofErr w:type="gramEnd"/>
      <w:r>
        <w:t xml:space="preserve"> in 2022 filed a </w:t>
      </w:r>
      <w:r w:rsidRPr="00745C39">
        <w:t>complaint for discontinuance of benefits, contending that any ongoing disability was no longer related to the industrial injury.</w:t>
      </w:r>
      <w:r>
        <w:t xml:space="preserve"> The firefighter’s expert was key to the decision: while</w:t>
      </w:r>
      <w:r w:rsidRPr="00745C39">
        <w:t xml:space="preserve"> </w:t>
      </w:r>
      <w:r>
        <w:t>‘</w:t>
      </w:r>
      <w:r w:rsidRPr="002F467D">
        <w:t>lifting incident did occur in the presence of probable preexisting lymphoma. However, that lifting injury significantly worsened the back and left leg symptoms.</w:t>
      </w:r>
      <w:r>
        <w:t>’</w:t>
      </w:r>
      <w:r w:rsidRPr="002F467D">
        <w:t xml:space="preserve"> </w:t>
      </w:r>
      <w:hyperlink r:id="rId1058" w:history="1">
        <w:r w:rsidRPr="005315D9">
          <w:rPr>
            <w:rStyle w:val="Hyperlink"/>
          </w:rPr>
          <w:t>https://public.fastcase.com/Jhe1Qn%2BmJndQYQU6z%2FeNm5P3wAYrkQ98kdLlymoB1tnqkW6UeoR3EEofjHZbRGV948hVvIxCPDS9tpBfFEcmqGTc7kKGvATMMrEucF8thr8%3D?utm_medium=email&amp;_hsenc=p2ANqtz-8jIFUULBvOMnFFZTJscGA3kv4aE6mAq6MuaEb49Zar3qBrOzpASOYVP1MlSDLvHBN7GmUVAcOXynKq8kt28mHQPYsJ8w&amp;_hsmi=226712652&amp;utm_content=226712652&amp;utm_source=hs_email</w:t>
        </w:r>
      </w:hyperlink>
      <w:r>
        <w:t xml:space="preserve"> </w:t>
      </w:r>
    </w:p>
    <w:p w14:paraId="6E359E0F" w14:textId="77777777" w:rsidR="00C26E25" w:rsidRDefault="00C26E25" w:rsidP="00C26E25">
      <w:pPr>
        <w:pStyle w:val="NoSpacing"/>
        <w:rPr>
          <w:bCs/>
        </w:rPr>
      </w:pPr>
    </w:p>
    <w:p w14:paraId="19FD9A0A" w14:textId="77777777" w:rsidR="00C26E25" w:rsidRDefault="00C26E25" w:rsidP="00C26E25">
      <w:pPr>
        <w:pStyle w:val="NoSpacing"/>
        <w:rPr>
          <w:bCs/>
        </w:rPr>
      </w:pPr>
      <w:r>
        <w:t>THE COURT WROTE:</w:t>
      </w:r>
    </w:p>
    <w:p w14:paraId="310B3D63" w14:textId="77777777" w:rsidR="00C26E25" w:rsidRDefault="00C26E25" w:rsidP="00C26E25">
      <w:pPr>
        <w:pStyle w:val="NoSpacing"/>
        <w:rPr>
          <w:bCs/>
        </w:rPr>
      </w:pPr>
    </w:p>
    <w:p w14:paraId="173ECAF2" w14:textId="77777777" w:rsidR="00C26E25" w:rsidRDefault="00C26E25" w:rsidP="00C26E25">
      <w:pPr>
        <w:pStyle w:val="NoSpacing"/>
      </w:pPr>
      <w:r>
        <w:t>“</w:t>
      </w:r>
      <w:r w:rsidRPr="00120347">
        <w:t xml:space="preserve">On August 18, 2019, he </w:t>
      </w:r>
      <w:r>
        <w:t>‘</w:t>
      </w:r>
      <w:r w:rsidRPr="00120347">
        <w:t>injured his back lifting a patient,</w:t>
      </w:r>
      <w:r>
        <w:t xml:space="preserve">’ </w:t>
      </w:r>
      <w:r w:rsidRPr="00120347">
        <w:t>and experienced mid to low back pain and numbness associated with radiation down the left leg. He subsequently returned to work, and on February 20, 2021</w:t>
      </w:r>
      <w:r>
        <w:t xml:space="preserve"> ‘</w:t>
      </w:r>
      <w:r w:rsidRPr="00120347">
        <w:t>sustained further tragic injuries to his lumbar spine, responding to a call for cardiac arrest.</w:t>
      </w:r>
      <w:r>
        <w:t xml:space="preserve">’  [Footnote 1: </w:t>
      </w:r>
      <w:r w:rsidRPr="00456CF3">
        <w:t xml:space="preserve">While lifting a patient for transport, Gallagher </w:t>
      </w:r>
      <w:r>
        <w:t>‘</w:t>
      </w:r>
      <w:r w:rsidRPr="00456CF3">
        <w:t>felt a pop in his back with immediate intense pain down his left leg.</w:t>
      </w:r>
      <w:r>
        <w:t xml:space="preserve">’] </w:t>
      </w:r>
      <w:r w:rsidRPr="003C3F14">
        <w:t>As a result of this accident, he did not return to work. He reported the injury to the city, which began paying for medical treatment and weekly disability benefits effective February 20, 2021</w:t>
      </w:r>
      <w:r>
        <w:t xml:space="preserve">…. </w:t>
      </w:r>
      <w:r w:rsidRPr="007F378A">
        <w:t xml:space="preserve">Gallagher now requires the use of a wheelchair and ongoing medical treatment and care </w:t>
      </w:r>
      <w:r>
        <w:t>‘</w:t>
      </w:r>
      <w:r w:rsidRPr="007F378A">
        <w:t>for his now permanent, severe neurological deficits.</w:t>
      </w:r>
      <w:r>
        <w:t>’</w:t>
      </w:r>
    </w:p>
    <w:p w14:paraId="5EFC606E" w14:textId="77777777" w:rsidR="00C26E25" w:rsidRDefault="00C26E25" w:rsidP="00C26E25">
      <w:pPr>
        <w:pStyle w:val="NoSpacing"/>
      </w:pPr>
    </w:p>
    <w:p w14:paraId="130C56D9" w14:textId="77777777" w:rsidR="00C26E25" w:rsidRDefault="00C26E25" w:rsidP="00C26E25">
      <w:pPr>
        <w:pStyle w:val="NoSpacing"/>
      </w:pPr>
      <w:r>
        <w:t>***</w:t>
      </w:r>
    </w:p>
    <w:p w14:paraId="5B6C721C" w14:textId="77777777" w:rsidR="00C26E25" w:rsidRDefault="00C26E25" w:rsidP="00C26E25">
      <w:pPr>
        <w:pStyle w:val="NoSpacing"/>
      </w:pPr>
      <w:r w:rsidRPr="00F67D02">
        <w:t xml:space="preserve">The city offered the reports of (1) an anesthesiologist who opined that the work-related injury of February 20, 2021, was not the cause of Gallagher's symptoms, and (2) a hematologist and oncologist who opined that Gallagher </w:t>
      </w:r>
      <w:r>
        <w:t>‘</w:t>
      </w:r>
      <w:r w:rsidRPr="00F67D02">
        <w:t>had an injury which resulted in some of the paraparesis, but the cauda equina syndrome was due to the evolving intravascular large B-cell lymphoma.</w:t>
      </w:r>
      <w:r>
        <w:t>’</w:t>
      </w:r>
    </w:p>
    <w:p w14:paraId="6A628D9C" w14:textId="77777777" w:rsidR="00C26E25" w:rsidRDefault="00C26E25" w:rsidP="00C26E25">
      <w:pPr>
        <w:pStyle w:val="NoSpacing"/>
      </w:pPr>
    </w:p>
    <w:p w14:paraId="61DF9A06" w14:textId="77777777" w:rsidR="00C26E25" w:rsidRPr="002F467D" w:rsidRDefault="00C26E25" w:rsidP="00C26E25">
      <w:pPr>
        <w:pStyle w:val="NoSpacing"/>
        <w:rPr>
          <w:bCs/>
        </w:rPr>
      </w:pPr>
      <w:r w:rsidRPr="00EA3C6E">
        <w:t>The sole contention on appeal is that the board's summary affirmance of the administrative judge's decision was arbitrary, capricious, contrary to law, or an abuse of discretion because it was based on legally insufficient medical opinion evidence. We affirm.</w:t>
      </w:r>
      <w:r>
        <w:t xml:space="preserve"> </w:t>
      </w:r>
      <w:r w:rsidRPr="002F467D">
        <w:t xml:space="preserve">Here, there is no merit to the city's claim that the IME's causation opinions were not stated to a reasonable degree of medical certainty. Contrary to this claim, the IME wrote in </w:t>
      </w:r>
      <w:proofErr w:type="gramStart"/>
      <w:r w:rsidRPr="002F467D">
        <w:t>his</w:t>
      </w:r>
      <w:proofErr w:type="gramEnd"/>
      <w:r w:rsidRPr="002F467D">
        <w:t xml:space="preserve"> report as follows: </w:t>
      </w:r>
    </w:p>
    <w:p w14:paraId="5A24B7C9" w14:textId="77777777" w:rsidR="00C26E25" w:rsidRDefault="00C26E25" w:rsidP="00C26E25">
      <w:pPr>
        <w:pStyle w:val="NoSpacing"/>
        <w:rPr>
          <w:bCs/>
        </w:rPr>
      </w:pPr>
    </w:p>
    <w:p w14:paraId="4DAB9188" w14:textId="77777777" w:rsidR="00C26E25" w:rsidRDefault="00C26E25" w:rsidP="00C26E25">
      <w:pPr>
        <w:pStyle w:val="NoSpacing"/>
        <w:ind w:left="720"/>
        <w:rPr>
          <w:bCs/>
        </w:rPr>
      </w:pPr>
      <w:r w:rsidRPr="002F467D">
        <w:t>"</w:t>
      </w:r>
      <w:proofErr w:type="gramStart"/>
      <w:r w:rsidRPr="002F467D">
        <w:t>it</w:t>
      </w:r>
      <w:proofErr w:type="gramEnd"/>
      <w:r w:rsidRPr="002F467D">
        <w:t xml:space="preserve"> is my professional opinion, to a reasonable degree of medical certainty that causally related to the industrial injury of 02/20/21, Mr. Gallagher sustained an acute injury at L4-5 resulting in a </w:t>
      </w:r>
      <w:proofErr w:type="gramStart"/>
      <w:r w:rsidRPr="002F467D">
        <w:t>broad based</w:t>
      </w:r>
      <w:proofErr w:type="gramEnd"/>
      <w:r w:rsidRPr="002F467D">
        <w:t xml:space="preserve"> disc protrusion with subsequent acute onset of back pain and left lumbar radiculopathy in the presence of non-Hodgkin's lymphoma." </w:t>
      </w:r>
    </w:p>
    <w:p w14:paraId="49FADD61" w14:textId="77777777" w:rsidR="00C26E25" w:rsidRDefault="00C26E25" w:rsidP="00C26E25">
      <w:pPr>
        <w:pStyle w:val="NoSpacing"/>
        <w:rPr>
          <w:bCs/>
        </w:rPr>
      </w:pPr>
    </w:p>
    <w:p w14:paraId="380BBD50" w14:textId="77777777" w:rsidR="00C26E25" w:rsidRDefault="00C26E25" w:rsidP="00C26E25">
      <w:pPr>
        <w:pStyle w:val="NoSpacing"/>
        <w:rPr>
          <w:bCs/>
        </w:rPr>
      </w:pPr>
      <w:r w:rsidRPr="002F467D">
        <w:t xml:space="preserve">He further opined that the </w:t>
      </w:r>
      <w:r>
        <w:t>‘</w:t>
      </w:r>
      <w:r w:rsidRPr="002F467D">
        <w:t>lifting incident did occur in the presence of probable preexisting lymphoma. However, that lifting injury significantly worsened the back and left leg symptoms.</w:t>
      </w:r>
      <w:r>
        <w:t>’</w:t>
      </w:r>
      <w:r w:rsidRPr="002F467D">
        <w:t xml:space="preserve"> He also stated, </w:t>
      </w:r>
      <w:r>
        <w:t>‘</w:t>
      </w:r>
      <w:r w:rsidRPr="002F467D">
        <w:t>In my opinion, the industrial incident of 02/20/2021 was a major, but not necessarily predominant cause of his onset of back and left leg symptoms, as well as results of cauda equina syndrome.</w:t>
      </w:r>
      <w:r>
        <w:t>’</w:t>
      </w:r>
      <w:r w:rsidRPr="002F467D">
        <w:t xml:space="preserve"> To avoid any confusion, he repeated </w:t>
      </w:r>
      <w:proofErr w:type="gramStart"/>
      <w:r w:rsidRPr="002F467D">
        <w:t xml:space="preserve">that </w:t>
      </w:r>
      <w:r>
        <w:t>‘</w:t>
      </w:r>
      <w:r w:rsidRPr="002F467D">
        <w:t>[</w:t>
      </w:r>
      <w:proofErr w:type="gramEnd"/>
      <w:r w:rsidRPr="002F467D">
        <w:t>a]11 my opinions are stated to within a reasonable degree of medical certainty.</w:t>
      </w:r>
      <w:r>
        <w:t xml:space="preserve">’ </w:t>
      </w:r>
      <w:r w:rsidRPr="002F467D">
        <w:t>Thus, this aspect of the city's argument fails.</w:t>
      </w:r>
      <w:r>
        <w:t>”</w:t>
      </w:r>
    </w:p>
    <w:p w14:paraId="356A6F32" w14:textId="77777777" w:rsidR="00C26E25" w:rsidRDefault="00C26E25" w:rsidP="00C26E25">
      <w:pPr>
        <w:pStyle w:val="NoSpacing"/>
        <w:rPr>
          <w:bCs/>
        </w:rPr>
      </w:pPr>
    </w:p>
    <w:p w14:paraId="4F388F6E" w14:textId="77777777" w:rsidR="00C26E25" w:rsidRPr="00373CB9" w:rsidRDefault="00C26E25" w:rsidP="00C26E25">
      <w:pPr>
        <w:pStyle w:val="NoSpacing"/>
        <w:rPr>
          <w:b/>
        </w:rPr>
      </w:pPr>
      <w:r>
        <w:rPr>
          <w:b/>
        </w:rPr>
        <w:t xml:space="preserve">Legal lesson learned: The Medic’s expert was key to continuing benefits. </w:t>
      </w:r>
    </w:p>
    <w:p w14:paraId="47E346A0" w14:textId="77777777" w:rsidR="00C26E25" w:rsidRDefault="00C26E25" w:rsidP="00C26E25">
      <w:pPr>
        <w:pStyle w:val="NoSpacing"/>
        <w:rPr>
          <w:bCs/>
        </w:rPr>
      </w:pPr>
    </w:p>
    <w:p w14:paraId="751955E4" w14:textId="77777777" w:rsidR="00C26E25" w:rsidRDefault="00C26E25" w:rsidP="00C26E25">
      <w:pPr>
        <w:pStyle w:val="NoSpacing"/>
        <w:rPr>
          <w:b/>
          <w:sz w:val="20"/>
          <w:szCs w:val="20"/>
        </w:rPr>
      </w:pPr>
    </w:p>
    <w:p w14:paraId="68011000" w14:textId="77777777" w:rsidR="00C26E25" w:rsidRDefault="00C26E25" w:rsidP="00C26E25">
      <w:pPr>
        <w:pStyle w:val="NoSpacing"/>
        <w:rPr>
          <w:b/>
          <w:sz w:val="20"/>
          <w:szCs w:val="20"/>
        </w:rPr>
      </w:pPr>
    </w:p>
    <w:p w14:paraId="0BCFB9BA" w14:textId="77777777" w:rsidR="00C26E25" w:rsidRDefault="00C26E25" w:rsidP="00C26E25">
      <w:pPr>
        <w:pStyle w:val="NoSpacing"/>
        <w:rPr>
          <w:b/>
          <w:sz w:val="20"/>
          <w:szCs w:val="20"/>
        </w:rPr>
      </w:pPr>
    </w:p>
    <w:p w14:paraId="28FD5281" w14:textId="5470AA9E" w:rsidR="00C26E25" w:rsidRPr="00C26E25" w:rsidRDefault="00C26E25" w:rsidP="00C26E25">
      <w:pPr>
        <w:pStyle w:val="NoSpacing"/>
        <w:rPr>
          <w:rFonts w:ascii="Arial Black" w:hAnsi="Arial Black"/>
          <w:b/>
          <w:sz w:val="24"/>
          <w:szCs w:val="24"/>
        </w:rPr>
      </w:pPr>
      <w:r w:rsidRPr="00C26E25">
        <w:rPr>
          <w:rFonts w:ascii="Arial Black" w:hAnsi="Arial Black"/>
          <w:b/>
          <w:sz w:val="24"/>
          <w:szCs w:val="24"/>
        </w:rPr>
        <w:t>6-186</w:t>
      </w:r>
    </w:p>
    <w:p w14:paraId="1952EFCA" w14:textId="77777777" w:rsidR="00C26E25" w:rsidRDefault="00C26E25" w:rsidP="00C26E25">
      <w:pPr>
        <w:pStyle w:val="NoSpacing"/>
        <w:rPr>
          <w:b/>
        </w:rPr>
      </w:pPr>
    </w:p>
    <w:p w14:paraId="1DC5D274" w14:textId="77777777" w:rsidR="00C26E25" w:rsidRPr="002A6BE9" w:rsidRDefault="00C26E25" w:rsidP="00C26E25">
      <w:pPr>
        <w:pStyle w:val="NoSpacing"/>
        <w:rPr>
          <w:rFonts w:ascii="Arial Black" w:hAnsi="Arial Black"/>
          <w:sz w:val="28"/>
          <w:szCs w:val="28"/>
        </w:rPr>
      </w:pPr>
      <w:r>
        <w:rPr>
          <w:rFonts w:ascii="Arial Black" w:hAnsi="Arial Black"/>
          <w:sz w:val="28"/>
          <w:szCs w:val="28"/>
        </w:rPr>
        <w:t xml:space="preserve">PA: MEDIC - BACK &amp; PTSD – NO SOC. SEC. / OTHER WORK </w:t>
      </w:r>
    </w:p>
    <w:p w14:paraId="49277D36" w14:textId="77777777" w:rsidR="00C26E25" w:rsidRDefault="00C26E25" w:rsidP="00C26E25">
      <w:pPr>
        <w:pStyle w:val="NoSpacing"/>
      </w:pPr>
    </w:p>
    <w:p w14:paraId="0AFB6EFD" w14:textId="77777777" w:rsidR="00C26E25" w:rsidRDefault="00C26E25" w:rsidP="00C26E25">
      <w:pPr>
        <w:pStyle w:val="NoSpacing"/>
      </w:pPr>
      <w:r>
        <w:t xml:space="preserve">On July 15, 2026, in </w:t>
      </w:r>
      <w:r w:rsidRPr="0072079C">
        <w:rPr>
          <w:u w:val="single"/>
        </w:rPr>
        <w:t>Brian Robert Bohr v. Frank Bisiganano, Commissioner of Social Security</w:t>
      </w:r>
      <w:r>
        <w:t xml:space="preserve">, U.S .Magistrate Judge </w:t>
      </w:r>
      <w:r w:rsidRPr="00D93BFB">
        <w:t>Martin C. Carlson</w:t>
      </w:r>
      <w:r>
        <w:t xml:space="preserve">, </w:t>
      </w:r>
      <w:r w:rsidRPr="00D93BFB">
        <w:t xml:space="preserve">United States </w:t>
      </w:r>
      <w:r>
        <w:t>District Court for the Middle District of Pennsylvania, affirmed the decision of the Administrative Law Judge.  His PTSD included on O</w:t>
      </w:r>
      <w:r w:rsidRPr="00A60E8A">
        <w:t xml:space="preserve">ctober 26, 2022, the claimant was voluntarily hospitalized for suicidal ideation without a plan, reporting ongoing pain and depression relating to his physical </w:t>
      </w:r>
      <w:proofErr w:type="gramStart"/>
      <w:r w:rsidRPr="00A60E8A">
        <w:t>condition</w:t>
      </w:r>
      <w:r>
        <w:t>s</w:t>
      </w:r>
      <w:proofErr w:type="gramEnd"/>
      <w:r>
        <w:t xml:space="preserve"> </w:t>
      </w:r>
      <w:r w:rsidRPr="00A60E8A">
        <w:t>and inability to work, losing his pet of fourteen (14) years, and feeling like a burden to his family</w:t>
      </w:r>
      <w:r>
        <w:t xml:space="preserve">.  </w:t>
      </w:r>
      <w:hyperlink r:id="rId1059" w:history="1">
        <w:r w:rsidRPr="004D1C66">
          <w:rPr>
            <w:rStyle w:val="Hyperlink"/>
          </w:rPr>
          <w:t>https://cases.justia.com/federal/district-courts/pennsylvania/pamdce/1:2024cv00290/141189/15/0.pdf?ts=1784317755</w:t>
        </w:r>
      </w:hyperlink>
      <w:r>
        <w:t xml:space="preserve"> </w:t>
      </w:r>
    </w:p>
    <w:p w14:paraId="6ADDA8BD" w14:textId="77777777" w:rsidR="00C26E25" w:rsidRDefault="00C26E25" w:rsidP="00C26E25">
      <w:pPr>
        <w:pStyle w:val="NoSpacing"/>
      </w:pPr>
    </w:p>
    <w:p w14:paraId="549F49C7" w14:textId="77777777" w:rsidR="00C26E25" w:rsidRDefault="00C26E25" w:rsidP="00C26E25">
      <w:pPr>
        <w:pStyle w:val="NoSpacing"/>
      </w:pPr>
    </w:p>
    <w:p w14:paraId="7DDE3F84" w14:textId="77777777" w:rsidR="00C26E25" w:rsidRDefault="00C26E25" w:rsidP="00C26E25">
      <w:pPr>
        <w:pStyle w:val="NoSpacing"/>
      </w:pPr>
      <w:r>
        <w:t>THE COURT WROTE: “</w:t>
      </w:r>
      <w:r w:rsidRPr="004E475C">
        <w:t>A hearing was conducted in this case on March 7, 2023, at which Bohr and a vocational expert testified</w:t>
      </w:r>
      <w:r>
        <w:t xml:space="preserve">…. </w:t>
      </w:r>
      <w:r w:rsidRPr="004E475C">
        <w:t>In his testimony, Bohr highlighted ongoing issues with his cervical, thoracic, and lumbar spine with the pain exacerbating his mental health symptoms</w:t>
      </w:r>
      <w:r>
        <w:t xml:space="preserve">…. </w:t>
      </w:r>
      <w:r w:rsidRPr="004E475C">
        <w:t>And, while plaintiff's counsel noted that his overexertion can lead to pain, he also indicated that Bohr retained an ability to at least perform some physical activity and activities of daily living. For example, he noted instances where the plaintiff shoveled snow, fixed flashing, and helped his father repair drywall, although he stated he ended up hospitalized after each instance</w:t>
      </w:r>
      <w:r>
        <w:t xml:space="preserve">…. </w:t>
      </w:r>
      <w:r w:rsidRPr="00F96421">
        <w:t>Having made these findings, the ALJ concluded that Bohr could not perform his past relevant work but that there were other jobs that existed in significant numbers in the national economy that he could perform</w:t>
      </w:r>
      <w:r>
        <w:t xml:space="preserve">…. </w:t>
      </w:r>
      <w:r w:rsidRPr="00F96421">
        <w:t>Accordingly, the ALJ concluded that Bohr had not met the stringent standard of disability set by law and denied this claim.</w:t>
      </w:r>
      <w:r>
        <w:t xml:space="preserve"> </w:t>
      </w:r>
    </w:p>
    <w:p w14:paraId="52379E31" w14:textId="77777777" w:rsidR="00C26E25" w:rsidRDefault="00C26E25" w:rsidP="00C26E25">
      <w:pPr>
        <w:pStyle w:val="NoSpacing"/>
      </w:pPr>
    </w:p>
    <w:p w14:paraId="3ABCA5BA" w14:textId="77777777" w:rsidR="00C26E25" w:rsidRDefault="00C26E25" w:rsidP="00C26E25">
      <w:pPr>
        <w:pStyle w:val="NoSpacing"/>
      </w:pPr>
      <w:r>
        <w:t>***</w:t>
      </w:r>
    </w:p>
    <w:p w14:paraId="722EA7EF" w14:textId="77777777" w:rsidR="00C26E25" w:rsidRDefault="00C26E25" w:rsidP="00C26E25">
      <w:pPr>
        <w:pStyle w:val="NoSpacing"/>
      </w:pPr>
    </w:p>
    <w:p w14:paraId="02ED7417" w14:textId="77777777" w:rsidR="00C26E25" w:rsidRDefault="00C26E25" w:rsidP="00C26E25">
      <w:pPr>
        <w:pStyle w:val="NoSpacing"/>
      </w:pPr>
      <w:r w:rsidRPr="002A6BE9">
        <w:t xml:space="preserve">In closing, the ALJ's assessment of the evidence in this case complied with the dictates of the law and was supported by substantial evidence. This is all that the law requires, and all that a claimant can demand in a disability proceeding. Thus, notwithstanding the argument that this evidence might have been viewed in a way which would have also supported a different finding, we are obliged to affirm this ruling once we find that it is </w:t>
      </w:r>
      <w:r>
        <w:t>‘</w:t>
      </w:r>
      <w:r w:rsidRPr="002A6BE9">
        <w:t xml:space="preserve">supported by substantial evidence, ‘even [where] this court acting </w:t>
      </w:r>
      <w:r w:rsidRPr="002A6BE9">
        <w:rPr>
          <w:i/>
          <w:iCs/>
        </w:rPr>
        <w:t>de novo</w:t>
      </w:r>
      <w:r w:rsidRPr="002A6BE9">
        <w:t xml:space="preserve"> might have reached a different conclusion.</w:t>
      </w:r>
      <w:r>
        <w:t xml:space="preserve">’ </w:t>
      </w:r>
      <w:r w:rsidRPr="002A6BE9">
        <w:t xml:space="preserve"> </w:t>
      </w:r>
      <w:r w:rsidRPr="002A6BE9">
        <w:rPr>
          <w:i/>
          <w:iCs/>
        </w:rPr>
        <w:t>Monsour Med. Ctr. v. Heckler</w:t>
      </w:r>
      <w:r w:rsidRPr="002A6BE9">
        <w:t xml:space="preserve">, 806 F.2d 1185, 1190-91 (3d Cir. 1986) (quoting </w:t>
      </w:r>
      <w:r w:rsidRPr="002A6BE9">
        <w:rPr>
          <w:i/>
          <w:iCs/>
        </w:rPr>
        <w:t>Hunter Douglas, Inc. v. NLRB</w:t>
      </w:r>
      <w:r w:rsidRPr="002A6BE9">
        <w:t>, 804 F.2d 808, 812 (3d Cir. 1986)). Accordingly, under the deferential standard of review that applies to appeals of Social Security disability determinations, we find that substantial evidence supported the ALJ's evaluation of this case and will affirm that decision.</w:t>
      </w:r>
      <w:r>
        <w:t xml:space="preserve">” </w:t>
      </w:r>
    </w:p>
    <w:p w14:paraId="6A8B37FF" w14:textId="77777777" w:rsidR="00C26E25" w:rsidRDefault="00C26E25" w:rsidP="00C26E25">
      <w:pPr>
        <w:pStyle w:val="NoSpacing"/>
      </w:pPr>
    </w:p>
    <w:p w14:paraId="79F020D4" w14:textId="77777777" w:rsidR="00C26E25" w:rsidRPr="00325C52" w:rsidRDefault="00C26E25" w:rsidP="00C26E25">
      <w:pPr>
        <w:pStyle w:val="NoSpacing"/>
        <w:rPr>
          <w:b/>
          <w:bCs/>
        </w:rPr>
      </w:pPr>
      <w:r>
        <w:rPr>
          <w:b/>
        </w:rPr>
        <w:t>Legal lesson learned: Social Security disability requires proof the claimant cannot perform any jobs, not just work as a medic; courts follow a “</w:t>
      </w:r>
      <w:r w:rsidRPr="00325C52">
        <w:rPr>
          <w:b/>
        </w:rPr>
        <w:t>deferential standard of review</w:t>
      </w:r>
      <w:r>
        <w:rPr>
          <w:b/>
        </w:rPr>
        <w:t xml:space="preserve">: where ALJ decision must be upheld when there is </w:t>
      </w:r>
      <w:r w:rsidRPr="00325C52">
        <w:rPr>
          <w:b/>
        </w:rPr>
        <w:t xml:space="preserve">“substantial evidence” supporting the ALJ's determination. </w:t>
      </w:r>
    </w:p>
    <w:p w14:paraId="0C286B24" w14:textId="77777777" w:rsidR="00C26E25" w:rsidRPr="005570A9" w:rsidRDefault="00C26E25" w:rsidP="00C26E25">
      <w:pPr>
        <w:pStyle w:val="NoSpacing"/>
        <w:rPr>
          <w:b/>
          <w:bCs/>
        </w:rPr>
      </w:pPr>
    </w:p>
    <w:p w14:paraId="62DC9B87" w14:textId="77777777" w:rsidR="00C26E25" w:rsidRDefault="00C26E25" w:rsidP="009D37DC">
      <w:pPr>
        <w:rPr>
          <w:rFonts w:ascii="Arial Black" w:hAnsi="Arial Black"/>
          <w:b/>
          <w:sz w:val="28"/>
          <w:szCs w:val="28"/>
        </w:rPr>
      </w:pPr>
    </w:p>
    <w:p w14:paraId="06E5CC31" w14:textId="77777777" w:rsidR="00C26E25" w:rsidRDefault="00C26E25" w:rsidP="009D37DC">
      <w:pPr>
        <w:rPr>
          <w:rFonts w:ascii="Arial Black" w:hAnsi="Arial Black"/>
          <w:b/>
          <w:sz w:val="28"/>
          <w:szCs w:val="28"/>
        </w:rPr>
      </w:pPr>
    </w:p>
    <w:p w14:paraId="32EAAADE" w14:textId="77777777" w:rsidR="00C26E25" w:rsidRDefault="00C26E25" w:rsidP="009D37DC">
      <w:pPr>
        <w:rPr>
          <w:rFonts w:ascii="Arial Black" w:hAnsi="Arial Black"/>
          <w:b/>
          <w:sz w:val="28"/>
          <w:szCs w:val="28"/>
        </w:rPr>
      </w:pPr>
    </w:p>
    <w:p w14:paraId="635DC9D9" w14:textId="77777777" w:rsidR="00C26E25" w:rsidRDefault="00C26E25" w:rsidP="009D37DC">
      <w:pPr>
        <w:rPr>
          <w:rFonts w:ascii="Arial Black" w:hAnsi="Arial Black"/>
          <w:b/>
          <w:sz w:val="28"/>
          <w:szCs w:val="28"/>
        </w:rPr>
      </w:pPr>
    </w:p>
    <w:p w14:paraId="715DFAFB" w14:textId="77777777" w:rsidR="00C26E25" w:rsidRDefault="00C26E25" w:rsidP="009D37DC">
      <w:pPr>
        <w:rPr>
          <w:rFonts w:ascii="Arial Black" w:hAnsi="Arial Black"/>
          <w:b/>
          <w:sz w:val="28"/>
          <w:szCs w:val="28"/>
        </w:rPr>
      </w:pPr>
    </w:p>
    <w:p w14:paraId="6474727D" w14:textId="20156F5D" w:rsidR="009D37DC" w:rsidRDefault="009D37DC" w:rsidP="009D37DC">
      <w:pPr>
        <w:rPr>
          <w:rFonts w:ascii="Arial Black" w:hAnsi="Arial Black"/>
          <w:b/>
          <w:sz w:val="28"/>
          <w:szCs w:val="28"/>
        </w:rPr>
      </w:pPr>
      <w:r>
        <w:rPr>
          <w:rFonts w:ascii="Arial Black" w:hAnsi="Arial Black"/>
          <w:b/>
          <w:sz w:val="28"/>
          <w:szCs w:val="28"/>
        </w:rPr>
        <w:t>6-185</w:t>
      </w:r>
    </w:p>
    <w:p w14:paraId="61949543" w14:textId="77777777" w:rsidR="003502A8" w:rsidRDefault="003502A8" w:rsidP="003502A8">
      <w:pPr>
        <w:pStyle w:val="NoSpacing"/>
        <w:rPr>
          <w:rFonts w:ascii="Arial Black" w:hAnsi="Arial Black"/>
          <w:sz w:val="28"/>
          <w:szCs w:val="28"/>
        </w:rPr>
      </w:pPr>
      <w:r>
        <w:rPr>
          <w:rFonts w:ascii="Arial Black" w:hAnsi="Arial Black"/>
          <w:sz w:val="28"/>
          <w:szCs w:val="28"/>
        </w:rPr>
        <w:t>NY: FDNY 9/11 – FINALLY GETS 100% DISAB - SINUS / PTSD</w:t>
      </w:r>
    </w:p>
    <w:p w14:paraId="1C2F142B" w14:textId="77777777" w:rsidR="003502A8" w:rsidRDefault="003502A8" w:rsidP="003502A8">
      <w:pPr>
        <w:pStyle w:val="NoSpacing"/>
      </w:pPr>
    </w:p>
    <w:p w14:paraId="55256D84" w14:textId="77777777" w:rsidR="003502A8" w:rsidRPr="00912ACD" w:rsidRDefault="003502A8" w:rsidP="003502A8">
      <w:pPr>
        <w:pStyle w:val="NoSpacing"/>
      </w:pPr>
      <w:r>
        <w:t xml:space="preserve">On June 24, 2026, </w:t>
      </w:r>
      <w:r w:rsidRPr="005F71C9">
        <w:rPr>
          <w:u w:val="single"/>
        </w:rPr>
        <w:t>In the Matter of Gary Smiley v. Melanie Whinnery, et</w:t>
      </w:r>
      <w:r>
        <w:rPr>
          <w:u w:val="single"/>
        </w:rPr>
        <w:t xml:space="preserve"> al</w:t>
      </w:r>
      <w:r w:rsidRPr="002B619B">
        <w:t xml:space="preserve">. the </w:t>
      </w:r>
      <w:r w:rsidRPr="001B2BE2">
        <w:t>Supreme Court of the State of New York, Appellate Division, Second Judicial Department</w:t>
      </w:r>
      <w:r>
        <w:t xml:space="preserve">, held that the paramedic is entitled to 100% </w:t>
      </w:r>
      <w:r w:rsidRPr="00FA32B2">
        <w:t>performance of duty disability retirement</w:t>
      </w:r>
      <w:r>
        <w:t xml:space="preserve">. The Court rejected the Medical Board’s assertion that a medic was not physically </w:t>
      </w:r>
      <w:proofErr w:type="gramStart"/>
      <w:r>
        <w:t>disabled, and</w:t>
      </w:r>
      <w:proofErr w:type="gramEnd"/>
      <w:r>
        <w:t xml:space="preserve"> could control his sinus condition </w:t>
      </w:r>
      <w:r w:rsidRPr="00912ACD">
        <w:t>with the use of rinses and with the use of a dosing nebulizer several times per day.</w:t>
      </w:r>
      <w:r>
        <w:t xml:space="preserve"> The Court wrote: “</w:t>
      </w:r>
      <w:r w:rsidRPr="00912ACD">
        <w:t>The Medical Board failed to consider how the petitioner could have</w:t>
      </w:r>
      <w:r>
        <w:t xml:space="preserve"> </w:t>
      </w:r>
      <w:r w:rsidRPr="00912ACD">
        <w:t>managed this treatment when FDNY paramedics are required to, among other things, work for extended periods during the night or day in ambulances and to perform tasks in confined spaces.</w:t>
      </w:r>
      <w:r>
        <w:t>”</w:t>
      </w:r>
      <w:r w:rsidRPr="00BF2049">
        <w:t xml:space="preserve"> </w:t>
      </w:r>
      <w:hyperlink r:id="rId1060" w:history="1">
        <w:r w:rsidRPr="00E96FE1">
          <w:rPr>
            <w:rStyle w:val="Hyperlink"/>
          </w:rPr>
          <w:t>https://www.nycourts.gov/reporter/current/3dseries/2026/2026_03970.shtml</w:t>
        </w:r>
      </w:hyperlink>
      <w:r>
        <w:t xml:space="preserve"> </w:t>
      </w:r>
    </w:p>
    <w:p w14:paraId="17E74E20" w14:textId="77777777" w:rsidR="003502A8" w:rsidRDefault="003502A8" w:rsidP="003502A8">
      <w:pPr>
        <w:pStyle w:val="NoSpacing"/>
        <w:rPr>
          <w:b/>
          <w:bCs/>
        </w:rPr>
      </w:pPr>
    </w:p>
    <w:p w14:paraId="1FACEE0E" w14:textId="77777777" w:rsidR="003502A8" w:rsidRDefault="003502A8" w:rsidP="003502A8">
      <w:pPr>
        <w:pStyle w:val="NoSpacing"/>
        <w:rPr>
          <w:b/>
          <w:bCs/>
        </w:rPr>
      </w:pPr>
      <w:r w:rsidRPr="00902E19">
        <w:rPr>
          <w:b/>
        </w:rPr>
        <w:t>FACTS:</w:t>
      </w:r>
    </w:p>
    <w:p w14:paraId="48354D0D" w14:textId="77777777" w:rsidR="003502A8" w:rsidRDefault="003502A8" w:rsidP="003502A8">
      <w:pPr>
        <w:pStyle w:val="NoSpacing"/>
        <w:rPr>
          <w:b/>
          <w:bCs/>
        </w:rPr>
      </w:pPr>
    </w:p>
    <w:p w14:paraId="3FD9CDE1" w14:textId="77777777" w:rsidR="003502A8" w:rsidRDefault="003502A8" w:rsidP="003502A8">
      <w:pPr>
        <w:pStyle w:val="NoSpacing"/>
      </w:pPr>
      <w:r>
        <w:t>“</w:t>
      </w:r>
      <w:r w:rsidRPr="00902E19">
        <w:t>The petitioner, who was a New York City Fire Department (hereinafter FDNY) paramedic, was a first responder at the World Trade Center site following the attack on September 11, 2001. In September 2013, the petitioner applied for performance of duty disability retirement pursuant to Retirement and Social Security Law § 607-b based on injuries he suffered at the World Trade Center site (hereinafter the petitioner's application). He alleged, among other things, that he suffered from asthma, chronic sinusitis and rhinitis, prolonged post-traumatic stress disorder (hereinafter PTSD), gastroesophageal reflux disease (hereinafter GERD), and chronic dizziness and headaches.</w:t>
      </w:r>
    </w:p>
    <w:p w14:paraId="21BC08A2" w14:textId="77777777" w:rsidR="003502A8" w:rsidRDefault="003502A8" w:rsidP="003502A8">
      <w:pPr>
        <w:pStyle w:val="NoSpacing"/>
      </w:pPr>
    </w:p>
    <w:p w14:paraId="45A3E4CD" w14:textId="77777777" w:rsidR="003502A8" w:rsidRDefault="003502A8" w:rsidP="003502A8">
      <w:pPr>
        <w:pStyle w:val="NoSpacing"/>
      </w:pPr>
      <w:r>
        <w:t>***</w:t>
      </w:r>
    </w:p>
    <w:p w14:paraId="3B8D5DEC" w14:textId="77777777" w:rsidR="003502A8" w:rsidRDefault="003502A8" w:rsidP="003502A8">
      <w:pPr>
        <w:pStyle w:val="NoSpacing"/>
      </w:pPr>
      <w:r w:rsidRPr="00777C19">
        <w:t>In February 2014, the Medical Board of the New York City Employees' Retirement System (hereinafter the Medical Board) determined that the petitioner's chronic sinus disease, asthma, and GERD were not of such severity as to preclude him from performing the duties of an FDNY paramedic, and in March 2014, the Medical Board found that the documentary and clinical evidence failed to substantiate that the petitioner was disabled on mental health grounds.</w:t>
      </w:r>
    </w:p>
    <w:p w14:paraId="3958EB38" w14:textId="77777777" w:rsidR="003502A8" w:rsidRDefault="003502A8" w:rsidP="003502A8">
      <w:pPr>
        <w:pStyle w:val="NoSpacing"/>
      </w:pPr>
    </w:p>
    <w:p w14:paraId="23449DEF" w14:textId="77777777" w:rsidR="003502A8" w:rsidRDefault="003502A8" w:rsidP="003502A8">
      <w:pPr>
        <w:pStyle w:val="NoSpacing"/>
      </w:pPr>
      <w:r>
        <w:t>***</w:t>
      </w:r>
    </w:p>
    <w:p w14:paraId="1A6BA475" w14:textId="77777777" w:rsidR="003502A8" w:rsidRDefault="003502A8" w:rsidP="003502A8">
      <w:pPr>
        <w:pStyle w:val="NoSpacing"/>
      </w:pPr>
      <w:r w:rsidRPr="00E330D5">
        <w:t xml:space="preserve">In January 2017, after the petitioner commenced a proceeding pursuant to CPLR article 78 challenging the Board of </w:t>
      </w:r>
      <w:proofErr w:type="spellStart"/>
      <w:r w:rsidRPr="00E330D5">
        <w:t>Trustees's</w:t>
      </w:r>
      <w:proofErr w:type="spellEnd"/>
      <w:r w:rsidRPr="00E330D5">
        <w:t xml:space="preserve"> determination, the Supreme Court annulled the denial of the petitioner's application and remanded the matter for the Medical Board to set forth an adequate statement of the factual basis for its determination and a new determination by the Board of Trustees. </w:t>
      </w:r>
    </w:p>
    <w:p w14:paraId="2E90CCAF" w14:textId="77777777" w:rsidR="003502A8" w:rsidRDefault="003502A8" w:rsidP="003502A8">
      <w:pPr>
        <w:pStyle w:val="NoSpacing"/>
      </w:pPr>
    </w:p>
    <w:p w14:paraId="0409278D" w14:textId="77777777" w:rsidR="003502A8" w:rsidRPr="00E330D5" w:rsidRDefault="003502A8" w:rsidP="003502A8">
      <w:pPr>
        <w:pStyle w:val="NoSpacing"/>
      </w:pPr>
      <w:r w:rsidRPr="00E330D5">
        <w:t>In October 2017, after remand, the Medical Board determined that the petitioner was disabled due to PTSD and depression and recommended approval of the petitioner's application on those grounds. However, the Medical Board did not find that the petitioner's sinus condition, GERD, and asthma were of such severity as to preclude the work of an FDNY paramedic.</w:t>
      </w:r>
    </w:p>
    <w:p w14:paraId="6E3EF4C2" w14:textId="77777777" w:rsidR="003502A8" w:rsidRDefault="003502A8" w:rsidP="003502A8">
      <w:pPr>
        <w:pStyle w:val="NoSpacing"/>
      </w:pPr>
    </w:p>
    <w:p w14:paraId="00409A96" w14:textId="77777777" w:rsidR="003502A8" w:rsidRDefault="003502A8" w:rsidP="003502A8">
      <w:pPr>
        <w:pStyle w:val="NoSpacing"/>
      </w:pPr>
      <w:r w:rsidRPr="00E330D5">
        <w:t>In November 2017, the Board of Trustees approved the Medical Board's recommendation and awarded the petitioner a ¾ disability retirement benefit for depression and PTSD under Retirement and Social Security Law § 607-b.</w:t>
      </w:r>
    </w:p>
    <w:p w14:paraId="49771361" w14:textId="77777777" w:rsidR="003502A8" w:rsidRDefault="003502A8" w:rsidP="003502A8">
      <w:pPr>
        <w:pStyle w:val="NoSpacing"/>
      </w:pPr>
    </w:p>
    <w:p w14:paraId="782F547E" w14:textId="77777777" w:rsidR="003502A8" w:rsidRDefault="003502A8" w:rsidP="003502A8">
      <w:pPr>
        <w:pStyle w:val="NoSpacing"/>
      </w:pPr>
      <w:r>
        <w:t>***</w:t>
      </w:r>
    </w:p>
    <w:p w14:paraId="4AC94F59" w14:textId="77777777" w:rsidR="003502A8" w:rsidRDefault="003502A8" w:rsidP="003502A8">
      <w:pPr>
        <w:pStyle w:val="NoSpacing"/>
      </w:pPr>
      <w:r w:rsidRPr="001B4429">
        <w:t>November 30, 2020, the Board of Trustees adopted the Medical Board's recommendation and denied the petitioner's application to the extent that it was based on physical disability</w:t>
      </w:r>
      <w:r>
        <w:t xml:space="preserve">…. </w:t>
      </w:r>
      <w:r w:rsidRPr="00A05BAB">
        <w:t xml:space="preserve">In a judgment dated December 13, 2021, the Supreme Court granted the petition and annulled the November 30, </w:t>
      </w:r>
      <w:proofErr w:type="gramStart"/>
      <w:r w:rsidRPr="00A05BAB">
        <w:t>2020</w:t>
      </w:r>
      <w:proofErr w:type="gramEnd"/>
      <w:r w:rsidRPr="00A05BAB">
        <w:t xml:space="preserve"> determination. Whinnery, the Medical Board, and the Board of Trustees (hereinafter collectively the appellants) appeal.</w:t>
      </w:r>
      <w:r>
        <w:t>”</w:t>
      </w:r>
    </w:p>
    <w:p w14:paraId="27F5E0A0" w14:textId="77777777" w:rsidR="003502A8" w:rsidRDefault="003502A8" w:rsidP="003502A8">
      <w:pPr>
        <w:pStyle w:val="NoSpacing"/>
      </w:pPr>
    </w:p>
    <w:p w14:paraId="1EB7250E" w14:textId="77777777" w:rsidR="003502A8" w:rsidRPr="00E7709D" w:rsidRDefault="003502A8" w:rsidP="003502A8">
      <w:pPr>
        <w:pStyle w:val="NoSpacing"/>
        <w:rPr>
          <w:b/>
          <w:bCs/>
        </w:rPr>
      </w:pPr>
      <w:r w:rsidRPr="00E7709D">
        <w:rPr>
          <w:b/>
        </w:rPr>
        <w:t>COURT HELD:</w:t>
      </w:r>
    </w:p>
    <w:p w14:paraId="73155623" w14:textId="77777777" w:rsidR="003502A8" w:rsidRDefault="003502A8" w:rsidP="003502A8">
      <w:pPr>
        <w:pStyle w:val="NoSpacing"/>
      </w:pPr>
    </w:p>
    <w:p w14:paraId="14966492" w14:textId="77777777" w:rsidR="003502A8" w:rsidRPr="00912ACD" w:rsidRDefault="003502A8" w:rsidP="003502A8">
      <w:pPr>
        <w:pStyle w:val="NoSpacing"/>
      </w:pPr>
      <w:r>
        <w:t>“</w:t>
      </w:r>
      <w:r w:rsidRPr="00912ACD">
        <w:t xml:space="preserve">Specifically, one of the petitioner's doctors determined that the petitioner's sinus condition would be exacerbated by exposure to smoke and other irritants. The Medical Board's ear, nose, and throat examination of the petitioner and medical reports did not address this conclusion, even though, as an FDNY paramedic, the petitioner could be required to perform tasks at hazardous material scenes such as a chemical spill, an industrial fire, or another accident where smoke and other environmental irritants would be present. Additionally, the Medical Board determined that the petitioner was not disabled because his sinus conditions could be controlled with the use of rinses and with the use of a dosing nebulizer several times per day. The Medical Board failed to consider how the petitioner could </w:t>
      </w:r>
      <w:proofErr w:type="gramStart"/>
      <w:r w:rsidRPr="00912ACD">
        <w:t>have</w:t>
      </w:r>
      <w:r>
        <w:t xml:space="preserve"> </w:t>
      </w:r>
      <w:r w:rsidRPr="00912ACD">
        <w:t>managed</w:t>
      </w:r>
      <w:proofErr w:type="gramEnd"/>
      <w:r w:rsidRPr="00912ACD">
        <w:t xml:space="preserve"> this treatment when FDNY paramedics are required to, among other things, work for extended periods during the night or day in ambulances and to perform tasks in confined spaces.</w:t>
      </w:r>
    </w:p>
    <w:p w14:paraId="689CDF39" w14:textId="77777777" w:rsidR="003502A8" w:rsidRDefault="003502A8" w:rsidP="003502A8">
      <w:pPr>
        <w:pStyle w:val="NoSpacing"/>
      </w:pPr>
    </w:p>
    <w:p w14:paraId="652C71A9" w14:textId="77777777" w:rsidR="003502A8" w:rsidRPr="00912ACD" w:rsidRDefault="003502A8" w:rsidP="003502A8">
      <w:pPr>
        <w:pStyle w:val="NoSpacing"/>
      </w:pPr>
      <w:r w:rsidRPr="00912ACD">
        <w:t xml:space="preserve">Accordingly, the Supreme Court properly granted that branch of the petition which was to annul the Board of </w:t>
      </w:r>
      <w:proofErr w:type="spellStart"/>
      <w:r w:rsidRPr="00912ACD">
        <w:t>Trustees's</w:t>
      </w:r>
      <w:proofErr w:type="spellEnd"/>
      <w:r w:rsidRPr="00912ACD">
        <w:t xml:space="preserve"> determination dated November 30, 2020, and to direct the NYCERS to retire him with performance of duty disability benefits based on his World Trade Center-related qualifying physical condition.</w:t>
      </w:r>
    </w:p>
    <w:p w14:paraId="75114612" w14:textId="77777777" w:rsidR="003502A8" w:rsidRDefault="003502A8" w:rsidP="003502A8">
      <w:pPr>
        <w:pStyle w:val="NoSpacing"/>
      </w:pPr>
    </w:p>
    <w:p w14:paraId="32BA0D09" w14:textId="77777777" w:rsidR="003502A8" w:rsidRPr="00912ACD" w:rsidRDefault="003502A8" w:rsidP="003502A8">
      <w:pPr>
        <w:pStyle w:val="NoSpacing"/>
      </w:pPr>
      <w:r w:rsidRPr="00912ACD">
        <w:t>However, the appellants correctly contend that there was no basis for the Supreme Court to award the petitioner attorneys' fees, a contention that the petitioner did not oppose in his submission to this Court.</w:t>
      </w:r>
      <w:r>
        <w:t>”</w:t>
      </w:r>
    </w:p>
    <w:p w14:paraId="2692ECB6" w14:textId="77777777" w:rsidR="003502A8" w:rsidRPr="00E330D5" w:rsidRDefault="003502A8" w:rsidP="003502A8">
      <w:pPr>
        <w:pStyle w:val="NoSpacing"/>
      </w:pPr>
    </w:p>
    <w:p w14:paraId="6D8FBECF" w14:textId="77777777" w:rsidR="003502A8" w:rsidRPr="00BF2049" w:rsidRDefault="003502A8" w:rsidP="003502A8">
      <w:pPr>
        <w:pStyle w:val="NoSpacing"/>
        <w:rPr>
          <w:b/>
          <w:bCs/>
        </w:rPr>
      </w:pPr>
      <w:r>
        <w:rPr>
          <w:b/>
        </w:rPr>
        <w:t xml:space="preserve">Legal lesson learned: This was a long fight for the retired medic; </w:t>
      </w:r>
      <w:proofErr w:type="gramStart"/>
      <w:r>
        <w:rPr>
          <w:b/>
        </w:rPr>
        <w:t>fortunately</w:t>
      </w:r>
      <w:proofErr w:type="gramEnd"/>
      <w:r>
        <w:rPr>
          <w:b/>
        </w:rPr>
        <w:t xml:space="preserve"> the Court recognized using a nebulizer several </w:t>
      </w:r>
      <w:proofErr w:type="gramStart"/>
      <w:r>
        <w:rPr>
          <w:b/>
        </w:rPr>
        <w:t>time</w:t>
      </w:r>
      <w:proofErr w:type="gramEnd"/>
      <w:r>
        <w:rPr>
          <w:b/>
        </w:rPr>
        <w:t xml:space="preserve"> a day was not realistic.</w:t>
      </w:r>
    </w:p>
    <w:p w14:paraId="3E97E9FC" w14:textId="77777777" w:rsidR="003502A8" w:rsidRDefault="003502A8" w:rsidP="003502A8">
      <w:pPr>
        <w:pStyle w:val="NoSpacing"/>
      </w:pPr>
    </w:p>
    <w:p w14:paraId="64F839D8" w14:textId="77777777" w:rsidR="003502A8" w:rsidRDefault="003502A8" w:rsidP="003502A8">
      <w:pPr>
        <w:pStyle w:val="NoSpacing"/>
      </w:pPr>
    </w:p>
    <w:p w14:paraId="21CFF062" w14:textId="77777777" w:rsidR="003502A8" w:rsidRDefault="003502A8" w:rsidP="003502A8">
      <w:pPr>
        <w:pStyle w:val="NoSpacing"/>
      </w:pPr>
    </w:p>
    <w:p w14:paraId="1F7AFD59" w14:textId="359306B1" w:rsidR="009D37DC" w:rsidRDefault="009D37DC" w:rsidP="009D37DC">
      <w:pPr>
        <w:rPr>
          <w:rFonts w:ascii="Arial Black" w:hAnsi="Arial Black"/>
          <w:b/>
          <w:sz w:val="28"/>
          <w:szCs w:val="28"/>
        </w:rPr>
      </w:pPr>
      <w:r>
        <w:rPr>
          <w:rFonts w:ascii="Arial Black" w:hAnsi="Arial Black"/>
          <w:b/>
          <w:sz w:val="28"/>
          <w:szCs w:val="28"/>
        </w:rPr>
        <w:t>6-184</w:t>
      </w:r>
    </w:p>
    <w:p w14:paraId="43F86E75" w14:textId="77777777" w:rsidR="003502A8" w:rsidRPr="00D30DC8" w:rsidRDefault="003502A8" w:rsidP="003502A8">
      <w:pPr>
        <w:rPr>
          <w:rFonts w:ascii="Arial Black" w:hAnsi="Arial Black"/>
          <w:b/>
          <w:sz w:val="28"/>
          <w:szCs w:val="28"/>
        </w:rPr>
      </w:pPr>
      <w:r>
        <w:rPr>
          <w:rFonts w:ascii="Arial Black" w:hAnsi="Arial Black"/>
          <w:b/>
          <w:sz w:val="28"/>
          <w:szCs w:val="28"/>
        </w:rPr>
        <w:t xml:space="preserve">OR: MYELOMA – RET FF / INDEP. CONT. – NO STAT PRESUMP </w:t>
      </w:r>
    </w:p>
    <w:p w14:paraId="2CB25353" w14:textId="77777777" w:rsidR="003502A8" w:rsidRPr="00DB6A9C" w:rsidRDefault="003502A8" w:rsidP="003502A8">
      <w:pPr>
        <w:rPr>
          <w:bCs/>
        </w:rPr>
      </w:pPr>
      <w:r>
        <w:t xml:space="preserve">On June 10, 2026, </w:t>
      </w:r>
      <w:r w:rsidRPr="007A1338">
        <w:rPr>
          <w:u w:val="single"/>
        </w:rPr>
        <w:t>In the Matter of the Compensation of Bradley Kastner v. City of Hillsboro</w:t>
      </w:r>
      <w:r>
        <w:t xml:space="preserve">, the </w:t>
      </w:r>
      <w:r w:rsidRPr="007A1338">
        <w:t>Court of Appeals of Oregon</w:t>
      </w:r>
      <w:r>
        <w:t xml:space="preserve"> held (3 to 0) that the firefighter (retired in 2010), now training fire and EMS, is an “independent contractor” and not entitled to the statutory presumption that his cancer was caused by his fire service. The Court wrote: </w:t>
      </w:r>
      <w:r w:rsidRPr="00DB6A9C">
        <w:t>“As substantial evidence supports the board's determination that claimant was an independent contractor during the 84 months prior to his claim, he was not entitled to the firefighter's presumption of compensability.</w:t>
      </w:r>
      <w:r>
        <w:t xml:space="preserve">” </w:t>
      </w:r>
      <w:hyperlink r:id="rId1061" w:history="1">
        <w:r w:rsidRPr="003E6F82">
          <w:rPr>
            <w:rStyle w:val="Hyperlink"/>
          </w:rPr>
          <w:t>https://www.casemine.com/judgement/us/6a2a2b87eaa021ae7251d39f</w:t>
        </w:r>
      </w:hyperlink>
      <w:r>
        <w:t xml:space="preserve"> </w:t>
      </w:r>
    </w:p>
    <w:p w14:paraId="5033624E" w14:textId="77777777" w:rsidR="003502A8" w:rsidRPr="00500F61" w:rsidRDefault="003502A8" w:rsidP="003502A8">
      <w:pPr>
        <w:rPr>
          <w:b/>
        </w:rPr>
      </w:pPr>
    </w:p>
    <w:p w14:paraId="5E4F2B4B" w14:textId="77777777" w:rsidR="003502A8" w:rsidRDefault="003502A8" w:rsidP="003502A8">
      <w:pPr>
        <w:rPr>
          <w:b/>
        </w:rPr>
      </w:pPr>
      <w:r>
        <w:rPr>
          <w:b/>
        </w:rPr>
        <w:t>FACTS:</w:t>
      </w:r>
    </w:p>
    <w:p w14:paraId="1E3CB7BC" w14:textId="77777777" w:rsidR="003502A8" w:rsidRDefault="003502A8" w:rsidP="003502A8">
      <w:pPr>
        <w:pStyle w:val="NoSpacing"/>
      </w:pPr>
      <w:r>
        <w:t>“C</w:t>
      </w:r>
      <w:r w:rsidRPr="008006D4">
        <w:t xml:space="preserve">laimant worked as a firefighter for the City of Hillsboro from 1978 until 2010, when he retired. After his retirement, claimant provided fire and emergency medical training for city employees through a series of contractual arrangements with the City of Hillsboro until 2020. Each contract described claimant as an </w:t>
      </w:r>
      <w:r>
        <w:t>‘</w:t>
      </w:r>
      <w:r w:rsidRPr="008006D4">
        <w:t>independent contractor,</w:t>
      </w:r>
      <w:r>
        <w:t>’</w:t>
      </w:r>
      <w:r w:rsidRPr="008006D4">
        <w:t xml:space="preserve"> specified the class to be taught, and stated that claimant would provide the curriculum and materials. Despite those contractual provisions, the city provided the equipment and training materials, although claimant adjusted the materials as he saw fit.</w:t>
      </w:r>
    </w:p>
    <w:p w14:paraId="1A6178D2" w14:textId="77777777" w:rsidR="003502A8" w:rsidRDefault="003502A8" w:rsidP="003502A8">
      <w:pPr>
        <w:pStyle w:val="NoSpacing"/>
      </w:pPr>
    </w:p>
    <w:p w14:paraId="2864DBBE" w14:textId="77777777" w:rsidR="003502A8" w:rsidRDefault="003502A8" w:rsidP="003502A8">
      <w:pPr>
        <w:pStyle w:val="NoSpacing"/>
      </w:pPr>
      <w:r w:rsidRPr="00ED4017">
        <w:t>Claimant filed a workers' compensation claim in 2023, seeking compensability for his myeloma through the firefighter's presumption, ORS 656.802(5Xb). The board denied the claim, determining that claimant was an independent contractor and not an employee within the 84 months prior to filing his claim, as required to obtain compensability under the firefighter's presumption. ORS 656.802(5)(e). Thus, as both parties acknowledge, the key question is whether claimant was a city employee when he was performing the contractual training services during the 84 months leading up to his claim. That question, in turn, requires us to determine whether claimant was acting as an employee, and thus subject to workers' compensation coverage, or as an independent contractor under ORS 670.600(2). Although the parties' contractual designation of claimant as an independent contractor "is not controlling, it is not to be disregarded, and 'in a close case, it may swing the balance</w:t>
      </w:r>
      <w:proofErr w:type="gramStart"/>
      <w:r w:rsidRPr="00ED4017">
        <w:t>.'"</w:t>
      </w:r>
      <w:proofErr w:type="gramEnd"/>
      <w:r w:rsidRPr="00ED4017">
        <w:t xml:space="preserve"> </w:t>
      </w:r>
      <w:proofErr w:type="spellStart"/>
      <w:r w:rsidRPr="00ED4017">
        <w:rPr>
          <w:i/>
          <w:iCs/>
        </w:rPr>
        <w:t>McQuiggin</w:t>
      </w:r>
      <w:proofErr w:type="spellEnd"/>
      <w:r w:rsidRPr="00ED4017">
        <w:rPr>
          <w:i/>
          <w:iCs/>
        </w:rPr>
        <w:t xml:space="preserve"> v. Burr,</w:t>
      </w:r>
      <w:r w:rsidRPr="00ED4017">
        <w:t xml:space="preserve"> 119 </w:t>
      </w:r>
      <w:proofErr w:type="spellStart"/>
      <w:r w:rsidRPr="00ED4017">
        <w:t>Or.App</w:t>
      </w:r>
      <w:proofErr w:type="spellEnd"/>
      <w:r w:rsidRPr="00ED4017">
        <w:t xml:space="preserve">. 202, 207, 850 P.2d 385 (1993) [350 </w:t>
      </w:r>
      <w:proofErr w:type="spellStart"/>
      <w:r w:rsidRPr="00ED4017">
        <w:t>Or.App</w:t>
      </w:r>
      <w:proofErr w:type="spellEnd"/>
      <w:r w:rsidRPr="00ED4017">
        <w:t xml:space="preserve">. 541] (quoting </w:t>
      </w:r>
      <w:r w:rsidRPr="00ED4017">
        <w:rPr>
          <w:i/>
          <w:iCs/>
        </w:rPr>
        <w:t>Henri v. SAIF,</w:t>
      </w:r>
      <w:r w:rsidRPr="00ED4017">
        <w:t xml:space="preserve"> 60 </w:t>
      </w:r>
      <w:proofErr w:type="spellStart"/>
      <w:r w:rsidRPr="00ED4017">
        <w:t>Or.App</w:t>
      </w:r>
      <w:proofErr w:type="spellEnd"/>
      <w:r w:rsidRPr="00ED4017">
        <w:t xml:space="preserve">. 587, 592, 654 P.2d 1129, </w:t>
      </w:r>
      <w:r w:rsidRPr="00ED4017">
        <w:rPr>
          <w:i/>
          <w:iCs/>
        </w:rPr>
        <w:t>rev den</w:t>
      </w:r>
      <w:r w:rsidRPr="00ED4017">
        <w:t xml:space="preserve"> 294 Or. 536 (1983)).</w:t>
      </w:r>
      <w:r>
        <w:t>”</w:t>
      </w:r>
    </w:p>
    <w:p w14:paraId="404EDE7E" w14:textId="77777777" w:rsidR="003502A8" w:rsidRDefault="003502A8" w:rsidP="003502A8">
      <w:pPr>
        <w:pStyle w:val="NoSpacing"/>
      </w:pPr>
    </w:p>
    <w:p w14:paraId="2CBA52C7" w14:textId="77777777" w:rsidR="003502A8" w:rsidRPr="00F05DCB" w:rsidRDefault="003502A8" w:rsidP="003502A8">
      <w:pPr>
        <w:pStyle w:val="NoSpacing"/>
        <w:rPr>
          <w:b/>
          <w:bCs/>
        </w:rPr>
      </w:pPr>
      <w:r w:rsidRPr="00F05DCB">
        <w:rPr>
          <w:b/>
        </w:rPr>
        <w:t>COURT HELD:</w:t>
      </w:r>
    </w:p>
    <w:p w14:paraId="03066F51" w14:textId="77777777" w:rsidR="003502A8" w:rsidRPr="00F05DCB" w:rsidRDefault="003502A8" w:rsidP="003502A8">
      <w:pPr>
        <w:pStyle w:val="NoSpacing"/>
        <w:rPr>
          <w:b/>
          <w:bCs/>
        </w:rPr>
      </w:pPr>
      <w:r w:rsidRPr="00F05DCB">
        <w:rPr>
          <w:b/>
        </w:rPr>
        <w:t xml:space="preserve"> </w:t>
      </w:r>
    </w:p>
    <w:p w14:paraId="28E933CB" w14:textId="77777777" w:rsidR="003502A8" w:rsidRDefault="003502A8" w:rsidP="003502A8">
      <w:pPr>
        <w:pStyle w:val="NoSpacing"/>
      </w:pPr>
      <w:r>
        <w:t>“</w:t>
      </w:r>
      <w:r w:rsidRPr="00F05DCB">
        <w:t xml:space="preserve">As to the element of freedom from direction or control, also known as the </w:t>
      </w:r>
      <w:r>
        <w:t>‘</w:t>
      </w:r>
      <w:r w:rsidRPr="00F05DCB">
        <w:t>right to control</w:t>
      </w:r>
      <w:r>
        <w:t>’</w:t>
      </w:r>
      <w:r w:rsidRPr="00F05DCB">
        <w:t xml:space="preserve"> element, the key question is whether the city could direct and control the means and the manner of claimant's services as opposed to simply specifying the desired result. ORS 670.600(2)(a). The </w:t>
      </w:r>
      <w:r>
        <w:t>‘</w:t>
      </w:r>
      <w:r w:rsidRPr="00F05DCB">
        <w:t xml:space="preserve">principal factors showing right </w:t>
      </w:r>
      <w:proofErr w:type="gramStart"/>
      <w:r w:rsidRPr="00F05DCB">
        <w:t>of</w:t>
      </w:r>
      <w:proofErr w:type="gramEnd"/>
      <w:r w:rsidRPr="00F05DCB">
        <w:t xml:space="preserve"> control are: (1) direct evidence of the right to or the exercise of control; (2) the method of payment; (3) the furnishing of equipment; and (4) the right to fire.</w:t>
      </w:r>
      <w:r>
        <w:t>’</w:t>
      </w:r>
      <w:r w:rsidRPr="00F05DCB">
        <w:t xml:space="preserve"> </w:t>
      </w:r>
      <w:r w:rsidRPr="00F05DCB">
        <w:rPr>
          <w:i/>
          <w:iCs/>
        </w:rPr>
        <w:t>National Maintenance Contractors v. Employment Dept,</w:t>
      </w:r>
      <w:r w:rsidRPr="00F05DCB">
        <w:t xml:space="preserve"> 288 </w:t>
      </w:r>
      <w:proofErr w:type="spellStart"/>
      <w:r w:rsidRPr="00F05DCB">
        <w:t>Or.App</w:t>
      </w:r>
      <w:proofErr w:type="spellEnd"/>
      <w:r w:rsidRPr="00F05DCB">
        <w:t xml:space="preserve">. 347, 353, 406 P.3d 133 (2017), </w:t>
      </w:r>
      <w:r w:rsidRPr="00F05DCB">
        <w:rPr>
          <w:i/>
          <w:iCs/>
        </w:rPr>
        <w:t>rev den,</w:t>
      </w:r>
      <w:r w:rsidRPr="00F05DCB">
        <w:t xml:space="preserve"> 362 Or. 508 (2018) (internal quotation marks omitted). Applying those factors, we conclude that the board's determination that the city exercised control over the result rather than the means and manner of claimant's performance is supported by substantial evidence.</w:t>
      </w:r>
    </w:p>
    <w:p w14:paraId="1574C386" w14:textId="77777777" w:rsidR="003502A8" w:rsidRDefault="003502A8" w:rsidP="003502A8">
      <w:pPr>
        <w:pStyle w:val="NoSpacing"/>
      </w:pPr>
    </w:p>
    <w:p w14:paraId="3B7DAED1" w14:textId="77777777" w:rsidR="003502A8" w:rsidRDefault="003502A8" w:rsidP="003502A8">
      <w:pPr>
        <w:pStyle w:val="NoSpacing"/>
      </w:pPr>
      <w:r w:rsidRPr="003851A6">
        <w:t>Starting with the first factor, direct evidence of the right to control, the record of any direct evidence is limited. Although the city provided the curriculum and schedule for the training of its employees, claimant could adjust that curriculum or hire a substitute if he was unavailable for the scheduled training. Thus, the board's determination that this factor is inconclusive is supported by substantial evidence. Second, as to the method of payment, claimant was not salaried but rather submitted invoices up to an amount capped by the contract. Taxes and union dues were not deducted. When claimant hired a substitute to teach in his stead, the city paid claimant, who then paid the substitute. That evidence supports the board's conclusion that that factor supports an independent contractor relationship.</w:t>
      </w:r>
      <w:r>
        <w:t>”</w:t>
      </w:r>
    </w:p>
    <w:p w14:paraId="5FA8582C" w14:textId="77777777" w:rsidR="003502A8" w:rsidRDefault="003502A8" w:rsidP="003502A8">
      <w:pPr>
        <w:pStyle w:val="NoSpacing"/>
      </w:pPr>
    </w:p>
    <w:p w14:paraId="584B7E6D" w14:textId="77777777" w:rsidR="003502A8" w:rsidRPr="005A43D1" w:rsidRDefault="003502A8" w:rsidP="003502A8">
      <w:pPr>
        <w:pStyle w:val="NoSpacing"/>
      </w:pPr>
      <w:r>
        <w:rPr>
          <w:b/>
        </w:rPr>
        <w:t xml:space="preserve">Legal lesson learned: The firefighters’ statutory presumption only applies to employees, and claim is </w:t>
      </w:r>
      <w:r w:rsidRPr="005A43D1">
        <w:rPr>
          <w:b/>
        </w:rPr>
        <w:t>filed within 84 months of retirement</w:t>
      </w:r>
      <w:r w:rsidRPr="005A43D1">
        <w:t xml:space="preserve">. </w:t>
      </w:r>
    </w:p>
    <w:p w14:paraId="633E11C2" w14:textId="77777777" w:rsidR="003502A8" w:rsidRDefault="003502A8" w:rsidP="003502A8">
      <w:pPr>
        <w:pStyle w:val="NoSpacing"/>
      </w:pPr>
    </w:p>
    <w:p w14:paraId="5F3C2A79" w14:textId="77777777" w:rsidR="003502A8" w:rsidRDefault="003502A8" w:rsidP="003502A8">
      <w:pPr>
        <w:pStyle w:val="NoSpacing"/>
      </w:pPr>
    </w:p>
    <w:p w14:paraId="5C3E6AD0" w14:textId="77777777" w:rsidR="003502A8" w:rsidRDefault="003502A8" w:rsidP="00EF1133">
      <w:pPr>
        <w:rPr>
          <w:rFonts w:ascii="Arial Black" w:hAnsi="Arial Black"/>
          <w:b/>
          <w:sz w:val="28"/>
          <w:szCs w:val="28"/>
        </w:rPr>
      </w:pPr>
    </w:p>
    <w:p w14:paraId="3576C85C" w14:textId="369A65C1" w:rsidR="00AB5980" w:rsidRDefault="00312498" w:rsidP="00EF1133">
      <w:pPr>
        <w:rPr>
          <w:rFonts w:ascii="Arial Black" w:hAnsi="Arial Black"/>
          <w:b/>
          <w:sz w:val="28"/>
          <w:szCs w:val="28"/>
        </w:rPr>
      </w:pPr>
      <w:r>
        <w:rPr>
          <w:rFonts w:ascii="Arial Black" w:hAnsi="Arial Black"/>
          <w:b/>
          <w:sz w:val="28"/>
          <w:szCs w:val="28"/>
        </w:rPr>
        <w:t>6-183</w:t>
      </w:r>
    </w:p>
    <w:p w14:paraId="08AA11E4" w14:textId="77777777" w:rsidR="00AB5980" w:rsidRPr="00750C03" w:rsidRDefault="00AB5980" w:rsidP="00AB5980">
      <w:pPr>
        <w:pStyle w:val="NoSpacing"/>
        <w:rPr>
          <w:rFonts w:ascii="Arial Black" w:hAnsi="Arial Black"/>
          <w:sz w:val="28"/>
          <w:szCs w:val="28"/>
        </w:rPr>
      </w:pPr>
      <w:r>
        <w:rPr>
          <w:rFonts w:ascii="Arial Black" w:hAnsi="Arial Black"/>
          <w:sz w:val="28"/>
          <w:szCs w:val="28"/>
        </w:rPr>
        <w:t xml:space="preserve">MA: FF NOT HIRED – BACKGROUND CHECK - 3 FDs NEG </w:t>
      </w:r>
    </w:p>
    <w:p w14:paraId="7F7D053B" w14:textId="77777777" w:rsidR="00AB5980" w:rsidRDefault="00AB5980" w:rsidP="00AB5980">
      <w:pPr>
        <w:pStyle w:val="NoSpacing"/>
      </w:pPr>
    </w:p>
    <w:p w14:paraId="7A3EAB7B" w14:textId="77777777" w:rsidR="00AB5980" w:rsidRDefault="00AB5980" w:rsidP="00AB5980">
      <w:pPr>
        <w:pStyle w:val="NoSpacing"/>
      </w:pPr>
      <w:r>
        <w:t xml:space="preserve">On May 26, 2026, in </w:t>
      </w:r>
      <w:r w:rsidRPr="000A62A7">
        <w:rPr>
          <w:u w:val="single"/>
        </w:rPr>
        <w:t>Paul Defarias v. Civil Service Commission and City of Gloucester</w:t>
      </w:r>
      <w:r>
        <w:t>, the</w:t>
      </w:r>
    </w:p>
    <w:p w14:paraId="5145820C" w14:textId="77777777" w:rsidR="00AB5980" w:rsidRDefault="00AB5980" w:rsidP="00AB5980">
      <w:pPr>
        <w:pStyle w:val="NoSpacing"/>
        <w:rPr>
          <w:b/>
          <w:bCs/>
        </w:rPr>
      </w:pPr>
      <w:r w:rsidRPr="000A62A7">
        <w:t>Appeals Court of Massachusetts</w:t>
      </w:r>
      <w:r>
        <w:t xml:space="preserve"> held (3 to 0) that trial court properly affirmed the Civil Service Commission – the City of Gloucester </w:t>
      </w:r>
      <w:r w:rsidRPr="0047214A">
        <w:t>had</w:t>
      </w:r>
      <w:r>
        <w:t xml:space="preserve"> a </w:t>
      </w:r>
      <w:r w:rsidRPr="0047214A">
        <w:t xml:space="preserve">reasonable justification to bypass </w:t>
      </w:r>
      <w:proofErr w:type="spellStart"/>
      <w:r w:rsidRPr="0047214A">
        <w:t>DeFarias</w:t>
      </w:r>
      <w:proofErr w:type="spellEnd"/>
      <w:r w:rsidRPr="0047214A">
        <w:t xml:space="preserve"> for a firefighter</w:t>
      </w:r>
      <w:r>
        <w:t xml:space="preserve"> </w:t>
      </w:r>
      <w:r w:rsidRPr="0047214A">
        <w:t>position</w:t>
      </w:r>
      <w:r>
        <w:t xml:space="preserve"> (four openings posted in </w:t>
      </w:r>
      <w:r w:rsidRPr="003829BA">
        <w:t>March 2022</w:t>
      </w:r>
      <w:r>
        <w:t xml:space="preserve">), even if the detectives who conducted the background only reported on negative feedback from three prior Massachusetts FDs and not positive feedback from a Florida FD.  The detectives also </w:t>
      </w:r>
      <w:r w:rsidRPr="0062071D">
        <w:t>did not run criminal</w:t>
      </w:r>
      <w:r>
        <w:t xml:space="preserve"> </w:t>
      </w:r>
      <w:r w:rsidRPr="0062071D">
        <w:t xml:space="preserve">history and driving history checks as part of </w:t>
      </w:r>
      <w:proofErr w:type="spellStart"/>
      <w:r w:rsidRPr="0062071D">
        <w:t>DeFarias's</w:t>
      </w:r>
      <w:proofErr w:type="spellEnd"/>
      <w:r>
        <w:t xml:space="preserve"> </w:t>
      </w:r>
      <w:r w:rsidRPr="0062071D">
        <w:t>background investigation, despite it being their normal practice</w:t>
      </w:r>
      <w:r>
        <w:t xml:space="preserve"> </w:t>
      </w:r>
      <w:r w:rsidRPr="0062071D">
        <w:t>to conduct such checks.</w:t>
      </w:r>
      <w:r>
        <w:t xml:space="preserve"> They also didn’t request his personnel files from the FDs.  THE COURT WROTE: “We agree with the commission that the evidence of concern by three of </w:t>
      </w:r>
      <w:proofErr w:type="spellStart"/>
      <w:r>
        <w:t>DeFarias's</w:t>
      </w:r>
      <w:proofErr w:type="spellEnd"/>
      <w:r>
        <w:t xml:space="preserve"> former employers at relevant work experiences provided the city adequate reason not to hire him. Even if the city properly considered the positive aspects of </w:t>
      </w:r>
      <w:proofErr w:type="spellStart"/>
      <w:r>
        <w:t>DeFarias's</w:t>
      </w:r>
      <w:proofErr w:type="spellEnd"/>
      <w:r>
        <w:t xml:space="preserve"> professional history, the negative aspects nonetheless raised legitimate doubts about his suitability for a firefighter position with the city.”  </w:t>
      </w:r>
      <w:hyperlink r:id="rId1062" w:history="1">
        <w:r w:rsidRPr="00C55935">
          <w:rPr>
            <w:rStyle w:val="Hyperlink"/>
          </w:rPr>
          <w:t>https://www.mass.gov/doc/defarias-paul-v-city-of-gloucester-related-appeals-court-decision-52626/download</w:t>
        </w:r>
      </w:hyperlink>
      <w:r w:rsidRPr="00C55935">
        <w:t xml:space="preserve"> </w:t>
      </w:r>
    </w:p>
    <w:p w14:paraId="729AE3A4" w14:textId="77777777" w:rsidR="00AB5980" w:rsidRDefault="00AB5980" w:rsidP="00AB5980">
      <w:pPr>
        <w:pStyle w:val="NoSpacing"/>
        <w:rPr>
          <w:b/>
          <w:bCs/>
        </w:rPr>
      </w:pPr>
    </w:p>
    <w:p w14:paraId="3B1C1040" w14:textId="77777777" w:rsidR="00AB5980" w:rsidRPr="00C55935" w:rsidRDefault="00AB5980" w:rsidP="00AB5980">
      <w:pPr>
        <w:pStyle w:val="NoSpacing"/>
      </w:pPr>
      <w:r w:rsidRPr="00C55935">
        <w:t>THE COURT HELD:</w:t>
      </w:r>
    </w:p>
    <w:p w14:paraId="3EA842E3" w14:textId="77777777" w:rsidR="00AB5980" w:rsidRPr="00C55935" w:rsidRDefault="00AB5980" w:rsidP="00AB5980">
      <w:pPr>
        <w:pStyle w:val="NoSpacing"/>
      </w:pPr>
      <w:r w:rsidRPr="00C55935">
        <w:t xml:space="preserve"> </w:t>
      </w:r>
    </w:p>
    <w:p w14:paraId="581ADDEC" w14:textId="77777777" w:rsidR="00AB5980" w:rsidRDefault="00AB5980" w:rsidP="00AB5980">
      <w:pPr>
        <w:pStyle w:val="NoSpacing"/>
        <w:ind w:left="720"/>
      </w:pPr>
      <w:r>
        <w:t xml:space="preserve">“Much of the information the detectives collected was positive. </w:t>
      </w:r>
      <w:proofErr w:type="spellStart"/>
      <w:r>
        <w:t>DeFarias's</w:t>
      </w:r>
      <w:proofErr w:type="spellEnd"/>
      <w:r>
        <w:t xml:space="preserve"> personal references praised him as a model student, a ‘straight arrow,’ and a hard worker. His supervisor at </w:t>
      </w:r>
      <w:proofErr w:type="spellStart"/>
      <w:r>
        <w:t>Zartech</w:t>
      </w:r>
      <w:proofErr w:type="spellEnd"/>
      <w:r>
        <w:t xml:space="preserve">, where </w:t>
      </w:r>
      <w:proofErr w:type="spellStart"/>
      <w:r>
        <w:t>DeFarias</w:t>
      </w:r>
      <w:proofErr w:type="spellEnd"/>
      <w:r>
        <w:t xml:space="preserve"> is a fabrication shop technician, stated that </w:t>
      </w:r>
      <w:proofErr w:type="spellStart"/>
      <w:r>
        <w:t>DeFarias</w:t>
      </w:r>
      <w:proofErr w:type="spellEnd"/>
      <w:r>
        <w:t xml:space="preserve"> is mature, honest, and generally an ‘outstanding guy.’ In addition, the chief of the volunteer fire department of Montverde, Florida, where </w:t>
      </w:r>
      <w:proofErr w:type="spellStart"/>
      <w:r>
        <w:t>DeFarias</w:t>
      </w:r>
      <w:proofErr w:type="spellEnd"/>
      <w:r>
        <w:t xml:space="preserve"> served as an</w:t>
      </w:r>
    </w:p>
    <w:p w14:paraId="19C09050" w14:textId="77777777" w:rsidR="00AB5980" w:rsidRDefault="00AB5980" w:rsidP="00AB5980">
      <w:pPr>
        <w:pStyle w:val="NoSpacing"/>
        <w:ind w:left="720"/>
      </w:pPr>
      <w:proofErr w:type="gramStart"/>
      <w:r>
        <w:t>on</w:t>
      </w:r>
      <w:proofErr w:type="gramEnd"/>
      <w:r>
        <w:t xml:space="preserve">-call volunteer firefighter in early 2017, reported that </w:t>
      </w:r>
      <w:proofErr w:type="spellStart"/>
      <w:r>
        <w:t>DeFarias</w:t>
      </w:r>
      <w:proofErr w:type="spellEnd"/>
      <w:r>
        <w:t xml:space="preserve"> was well liked, exhibited good attendance, and had a positive work ethic.</w:t>
      </w:r>
    </w:p>
    <w:p w14:paraId="0B6CFDEB" w14:textId="77777777" w:rsidR="00AB5980" w:rsidRDefault="00AB5980" w:rsidP="00AB5980">
      <w:pPr>
        <w:pStyle w:val="NoSpacing"/>
        <w:ind w:left="720"/>
      </w:pPr>
    </w:p>
    <w:p w14:paraId="6F55E454" w14:textId="77777777" w:rsidR="00AB5980" w:rsidRDefault="00AB5980" w:rsidP="00AB5980">
      <w:pPr>
        <w:pStyle w:val="NoSpacing"/>
        <w:ind w:left="720"/>
      </w:pPr>
      <w:r>
        <w:t>***</w:t>
      </w:r>
    </w:p>
    <w:p w14:paraId="4D25610D" w14:textId="77777777" w:rsidR="00AB5980" w:rsidRDefault="00AB5980" w:rsidP="00AB5980">
      <w:pPr>
        <w:pStyle w:val="NoSpacing"/>
        <w:ind w:left="720"/>
      </w:pPr>
    </w:p>
    <w:p w14:paraId="2E09175A" w14:textId="77777777" w:rsidR="00AB5980" w:rsidRDefault="00AB5980" w:rsidP="00AB5980">
      <w:pPr>
        <w:pStyle w:val="NoSpacing"/>
        <w:ind w:left="720"/>
      </w:pPr>
      <w:proofErr w:type="spellStart"/>
      <w:r>
        <w:t>DeFarias</w:t>
      </w:r>
      <w:proofErr w:type="spellEnd"/>
      <w:r>
        <w:t xml:space="preserve"> has performed EMT or firefighting work for three </w:t>
      </w:r>
      <w:proofErr w:type="gramStart"/>
      <w:r>
        <w:t>employers</w:t>
      </w:r>
      <w:proofErr w:type="gramEnd"/>
      <w:r>
        <w:t xml:space="preserve"> in Massachusetts: Cataldo Ambulance Service (Cataldo), Beauport Ambulance Service (Beauport), and the Lynnfield fire department (Lynnfield). Each of these employers provided the detectives with ‘partly negative </w:t>
      </w:r>
      <w:proofErr w:type="gramStart"/>
      <w:r>
        <w:t>reviews’</w:t>
      </w:r>
      <w:proofErr w:type="gramEnd"/>
      <w:r>
        <w:t xml:space="preserve"> of </w:t>
      </w:r>
      <w:proofErr w:type="spellStart"/>
      <w:r>
        <w:t>DeFarias</w:t>
      </w:r>
      <w:proofErr w:type="spellEnd"/>
      <w:r>
        <w:t>. It is undisputed that Cataldo terminated DeFarias, although the circumstances of the termination were ‘hazier.’  4</w:t>
      </w:r>
    </w:p>
    <w:p w14:paraId="2DD19331" w14:textId="77777777" w:rsidR="00AB5980" w:rsidRDefault="00AB5980" w:rsidP="00AB5980">
      <w:pPr>
        <w:pStyle w:val="NoSpacing"/>
        <w:ind w:left="720"/>
      </w:pPr>
    </w:p>
    <w:p w14:paraId="5C087AD1" w14:textId="77777777" w:rsidR="00AB5980" w:rsidRDefault="00AB5980" w:rsidP="00AB5980">
      <w:pPr>
        <w:pStyle w:val="NoSpacing"/>
        <w:ind w:left="720"/>
      </w:pPr>
      <w:r>
        <w:tab/>
        <w:t xml:space="preserve">Footnote 4: </w:t>
      </w:r>
      <w:proofErr w:type="spellStart"/>
      <w:r>
        <w:t>DeFarias</w:t>
      </w:r>
      <w:proofErr w:type="spellEnd"/>
      <w:r>
        <w:t xml:space="preserve"> was suspended pending an investigation into a</w:t>
      </w:r>
    </w:p>
    <w:p w14:paraId="4C5C90B9" w14:textId="77777777" w:rsidR="00AB5980" w:rsidRDefault="00AB5980" w:rsidP="00AB5980">
      <w:pPr>
        <w:pStyle w:val="NoSpacing"/>
        <w:ind w:left="720" w:firstLine="720"/>
      </w:pPr>
      <w:r>
        <w:t>complaint about an interaction with a patient. The magistrate</w:t>
      </w:r>
    </w:p>
    <w:p w14:paraId="1628D929" w14:textId="77777777" w:rsidR="00AB5980" w:rsidRDefault="00AB5980" w:rsidP="00AB5980">
      <w:pPr>
        <w:pStyle w:val="NoSpacing"/>
        <w:ind w:left="720" w:firstLine="720"/>
      </w:pPr>
      <w:r>
        <w:t xml:space="preserve">found that </w:t>
      </w:r>
      <w:proofErr w:type="spellStart"/>
      <w:r>
        <w:t>DeFarias</w:t>
      </w:r>
      <w:proofErr w:type="spellEnd"/>
      <w:r>
        <w:t xml:space="preserve"> was terminated because he did not leave the</w:t>
      </w:r>
    </w:p>
    <w:p w14:paraId="381FA61A" w14:textId="77777777" w:rsidR="00AB5980" w:rsidRDefault="00AB5980" w:rsidP="00AB5980">
      <w:pPr>
        <w:pStyle w:val="NoSpacing"/>
        <w:ind w:left="720" w:firstLine="720"/>
      </w:pPr>
      <w:r>
        <w:t>premises promptly after being suspended and instead demanded</w:t>
      </w:r>
    </w:p>
    <w:p w14:paraId="313413BB" w14:textId="77777777" w:rsidR="00AB5980" w:rsidRDefault="00AB5980" w:rsidP="00AB5980">
      <w:pPr>
        <w:pStyle w:val="NoSpacing"/>
        <w:ind w:left="720" w:firstLine="720"/>
      </w:pPr>
      <w:r>
        <w:t>documentation about his suspension.</w:t>
      </w:r>
    </w:p>
    <w:p w14:paraId="35E5B012" w14:textId="77777777" w:rsidR="00AB5980" w:rsidRDefault="00AB5980" w:rsidP="00AB5980">
      <w:pPr>
        <w:pStyle w:val="NoSpacing"/>
        <w:ind w:left="720"/>
      </w:pPr>
    </w:p>
    <w:p w14:paraId="47A072CA" w14:textId="77777777" w:rsidR="00AB5980" w:rsidRDefault="00AB5980" w:rsidP="00AB5980">
      <w:pPr>
        <w:pStyle w:val="NoSpacing"/>
        <w:ind w:left="720"/>
      </w:pPr>
      <w:r>
        <w:t xml:space="preserve">Beauport terminated </w:t>
      </w:r>
      <w:proofErr w:type="spellStart"/>
      <w:r>
        <w:t>DeFarias</w:t>
      </w:r>
      <w:proofErr w:type="spellEnd"/>
      <w:r>
        <w:t xml:space="preserve"> due to his ‘repeated clinical </w:t>
      </w:r>
      <w:proofErr w:type="gramStart"/>
      <w:r>
        <w:t>errors’ and ‘</w:t>
      </w:r>
      <w:proofErr w:type="gramEnd"/>
      <w:r>
        <w:t xml:space="preserve">personality </w:t>
      </w:r>
      <w:proofErr w:type="gramStart"/>
      <w:r>
        <w:t>conflicts’</w:t>
      </w:r>
      <w:proofErr w:type="gramEnd"/>
      <w:r>
        <w:t xml:space="preserve"> between him and his coworkers. Similarly, a captain at Lynnfield stated that he was disinclined to hire </w:t>
      </w:r>
      <w:proofErr w:type="spellStart"/>
      <w:r>
        <w:t>DeFarias</w:t>
      </w:r>
      <w:proofErr w:type="spellEnd"/>
      <w:r>
        <w:t xml:space="preserve"> in the future because </w:t>
      </w:r>
      <w:proofErr w:type="spellStart"/>
      <w:r>
        <w:t>DeFarias</w:t>
      </w:r>
      <w:proofErr w:type="spellEnd"/>
      <w:r>
        <w:t xml:space="preserve"> had "trouble catching on" and had ‘a few issues with peers.’  Nonetheless, the captain liked DeFarias, praised his work ethic, and suggested that the city should ‘give him a shot.’</w:t>
      </w:r>
    </w:p>
    <w:p w14:paraId="71607776" w14:textId="77777777" w:rsidR="00AB5980" w:rsidRDefault="00AB5980" w:rsidP="00AB5980">
      <w:pPr>
        <w:pStyle w:val="NoSpacing"/>
        <w:ind w:left="720"/>
      </w:pPr>
    </w:p>
    <w:p w14:paraId="1CD3E008" w14:textId="77777777" w:rsidR="00AB5980" w:rsidRDefault="00AB5980" w:rsidP="00AB5980">
      <w:pPr>
        <w:pStyle w:val="NoSpacing"/>
        <w:ind w:left="720"/>
      </w:pPr>
      <w:r>
        <w:t>***</w:t>
      </w:r>
    </w:p>
    <w:p w14:paraId="0746579F" w14:textId="77777777" w:rsidR="00AB5980" w:rsidRDefault="00AB5980" w:rsidP="00AB5980">
      <w:pPr>
        <w:pStyle w:val="NoSpacing"/>
        <w:ind w:left="720"/>
      </w:pPr>
      <w:r>
        <w:t xml:space="preserve">In the future, we expect the city to conduct a thorough and unbiased investigation and write a report that includes both positive and negative findings before the interview to allow the candidate to address negative findings during the interview. But that is not the issue before us. Although the background investigation was flawed, we must evaluate whether there was substantial evidence that (1) ‘the appointing authority had a reasonable justification on the merits for deciding to bypass’ </w:t>
      </w:r>
      <w:proofErr w:type="spellStart"/>
      <w:r>
        <w:t>DeFarias</w:t>
      </w:r>
      <w:proofErr w:type="spellEnd"/>
      <w:r>
        <w:t>, and (2) ‘the flaws in the selection process are not so severe that it is impossible to evaluate the merits from the record.’" Sherman, 472 Mass. at 813.”</w:t>
      </w:r>
    </w:p>
    <w:p w14:paraId="309C1188" w14:textId="77777777" w:rsidR="00AB5980" w:rsidRDefault="00AB5980" w:rsidP="00AB5980">
      <w:pPr>
        <w:pStyle w:val="NoSpacing"/>
        <w:ind w:left="720"/>
      </w:pPr>
    </w:p>
    <w:p w14:paraId="6E594CAB" w14:textId="77777777" w:rsidR="00AB5980" w:rsidRPr="001D5D66" w:rsidRDefault="00AB5980" w:rsidP="00AB5980">
      <w:pPr>
        <w:pStyle w:val="NoSpacing"/>
        <w:rPr>
          <w:b/>
          <w:bCs/>
        </w:rPr>
      </w:pPr>
      <w:r>
        <w:rPr>
          <w:b/>
        </w:rPr>
        <w:t>Legal lesson learned: Background checks are important; include both positive and negative feedback from prior FD employers.</w:t>
      </w:r>
    </w:p>
    <w:p w14:paraId="72DF3A26" w14:textId="77777777" w:rsidR="00AB5980" w:rsidRDefault="00AB5980" w:rsidP="00AB5980">
      <w:pPr>
        <w:pStyle w:val="NoSpacing"/>
        <w:ind w:left="720"/>
      </w:pPr>
    </w:p>
    <w:p w14:paraId="78C6B1B9" w14:textId="77777777" w:rsidR="00AB5980" w:rsidRPr="00CC31B5" w:rsidRDefault="00AB5980" w:rsidP="00AB5980">
      <w:pPr>
        <w:pStyle w:val="NoSpacing"/>
        <w:ind w:left="720"/>
        <w:rPr>
          <w:bCs/>
        </w:rPr>
      </w:pPr>
      <w:r w:rsidRPr="00CC31B5">
        <w:t xml:space="preserve">Note: In Ohio, Fire Chiefs can obtain state and FBI criminal history records. </w:t>
      </w:r>
      <w:hyperlink r:id="rId1063" w:history="1">
        <w:r w:rsidRPr="00A036CD">
          <w:rPr>
            <w:rStyle w:val="Hyperlink"/>
          </w:rPr>
          <w:t>https://codes.ohio.gov/ohio-revised-code/section-505.381</w:t>
        </w:r>
      </w:hyperlink>
      <w:r>
        <w:t xml:space="preserve"> </w:t>
      </w:r>
    </w:p>
    <w:p w14:paraId="799CF207" w14:textId="77777777" w:rsidR="00AB5980" w:rsidRDefault="00AB5980" w:rsidP="00AB5980">
      <w:pPr>
        <w:pStyle w:val="NoSpacing"/>
        <w:rPr>
          <w:b/>
        </w:rPr>
      </w:pPr>
    </w:p>
    <w:p w14:paraId="14FDDF12" w14:textId="77777777" w:rsidR="00AB5980" w:rsidRPr="00425EAF" w:rsidRDefault="00AB5980" w:rsidP="00AB5980">
      <w:pPr>
        <w:pStyle w:val="NoSpacing"/>
        <w:ind w:left="720"/>
      </w:pPr>
      <w:r w:rsidRPr="00425EAF">
        <w:t>(A) The fire chief of a township or fire district may request the superintendent of BCII to conduct a criminal records check with respect to any person who is under consideration for appointment or employment as a permanent, full-time paid firefighter or any person who is under consideration for appointment as a volunteer firefighter.</w:t>
      </w:r>
    </w:p>
    <w:p w14:paraId="6A637800" w14:textId="77777777" w:rsidR="00AB5980" w:rsidRPr="00425EAF" w:rsidRDefault="00AB5980" w:rsidP="00AB5980">
      <w:pPr>
        <w:pStyle w:val="NoSpacing"/>
        <w:ind w:left="720"/>
      </w:pPr>
      <w:r w:rsidRPr="00425EAF">
        <w:t xml:space="preserve">(B)(1) The fire chief of the township or fire district may request that the superintendent of BCII obtain information from the federal bureau of investigation as a part of the criminal </w:t>
      </w:r>
      <w:proofErr w:type="gramStart"/>
      <w:r w:rsidRPr="00425EAF">
        <w:t>records check</w:t>
      </w:r>
      <w:proofErr w:type="gramEnd"/>
      <w:r w:rsidRPr="00425EAF">
        <w:t xml:space="preserve"> requested pursuant to division (A) of this section.</w:t>
      </w:r>
    </w:p>
    <w:p w14:paraId="04FF7644" w14:textId="77777777" w:rsidR="00AB5980" w:rsidRPr="00425EAF" w:rsidRDefault="00AB5980" w:rsidP="00AB5980">
      <w:pPr>
        <w:pStyle w:val="NoSpacing"/>
        <w:ind w:left="720"/>
      </w:pPr>
      <w:r w:rsidRPr="00425EAF">
        <w:t xml:space="preserve">(2) A fire chief authorized by division (A) of this section to request a criminal records check shall provide to each person for whom the fire chief intends to request a criminal records check a copy of the form prescribed pursuant to division (C)(1) of section </w:t>
      </w:r>
      <w:hyperlink r:id="rId1064" w:history="1">
        <w:r w:rsidRPr="00425EAF">
          <w:rPr>
            <w:rStyle w:val="Hyperlink"/>
            <w:color w:val="auto"/>
            <w:u w:val="none"/>
          </w:rPr>
          <w:t>109.578</w:t>
        </w:r>
      </w:hyperlink>
      <w:r w:rsidRPr="00425EAF">
        <w:t xml:space="preserve"> of the Revised Code and a standard impression sheet to obtain fingerprint impressions prescribed pursuant to division (C)(2) of section </w:t>
      </w:r>
      <w:hyperlink r:id="rId1065" w:history="1">
        <w:r w:rsidRPr="00425EAF">
          <w:rPr>
            <w:rStyle w:val="Hyperlink"/>
            <w:color w:val="auto"/>
            <w:u w:val="none"/>
          </w:rPr>
          <w:t>109.578</w:t>
        </w:r>
      </w:hyperlink>
      <w:r w:rsidRPr="00425EAF">
        <w:t xml:space="preserve"> of the Revised Code, obtain the completed form and impression sheet from the person, and forward the completed form and impression sheet to the superintendent of BCII at the time the criminal records check is requested.</w:t>
      </w:r>
    </w:p>
    <w:p w14:paraId="5768AF25" w14:textId="77777777" w:rsidR="00AB5980" w:rsidRPr="00425EAF" w:rsidRDefault="00AB5980" w:rsidP="00AB5980">
      <w:pPr>
        <w:pStyle w:val="NoSpacing"/>
        <w:ind w:left="720"/>
      </w:pPr>
      <w:r w:rsidRPr="00425EAF">
        <w:t>(3) Any person subject to a criminal records check who receives a copy of the form and a copy of the impression sheet pursuant to division (B)(2) of this section and who is requested to complete the form and provide a set of fingerprint impressions shall complete the form or provide all the information necessary to complete the form and shall provide the impression sheet with the impressions of the person's fingerprints. If a person fails to provide the information necessary to complete the form or fails to provide impressions of the person's fingerprints, the appointing authority shall not appoint or employ the person as a permanent, full-time paid firefighter or a volunteer firefighter.</w:t>
      </w:r>
    </w:p>
    <w:p w14:paraId="6614113B" w14:textId="77777777" w:rsidR="00AB5980" w:rsidRPr="00425EAF" w:rsidRDefault="00AB5980" w:rsidP="00AB5980">
      <w:pPr>
        <w:pStyle w:val="NoSpacing"/>
      </w:pPr>
    </w:p>
    <w:p w14:paraId="49183B16" w14:textId="77777777" w:rsidR="00AB5980" w:rsidRDefault="00AB5980" w:rsidP="00EF1133">
      <w:pPr>
        <w:rPr>
          <w:rFonts w:ascii="Arial Black" w:hAnsi="Arial Black"/>
          <w:b/>
          <w:sz w:val="28"/>
          <w:szCs w:val="28"/>
        </w:rPr>
      </w:pPr>
    </w:p>
    <w:p w14:paraId="1FFB59A0" w14:textId="77777777" w:rsidR="00AB5980" w:rsidRDefault="00AB5980" w:rsidP="00EF1133">
      <w:pPr>
        <w:rPr>
          <w:rFonts w:ascii="Arial Black" w:hAnsi="Arial Black"/>
          <w:b/>
          <w:sz w:val="28"/>
          <w:szCs w:val="28"/>
        </w:rPr>
      </w:pPr>
    </w:p>
    <w:p w14:paraId="53A6A14E" w14:textId="419F8698" w:rsidR="00221DD4" w:rsidRDefault="00221DD4" w:rsidP="00EF1133">
      <w:pPr>
        <w:rPr>
          <w:rFonts w:ascii="Arial Black" w:hAnsi="Arial Black"/>
          <w:b/>
          <w:sz w:val="24"/>
          <w:szCs w:val="24"/>
        </w:rPr>
      </w:pPr>
      <w:r>
        <w:rPr>
          <w:rFonts w:ascii="Arial Black" w:hAnsi="Arial Black"/>
          <w:b/>
          <w:sz w:val="28"/>
          <w:szCs w:val="28"/>
        </w:rPr>
        <w:t>6-182</w:t>
      </w:r>
    </w:p>
    <w:p w14:paraId="0C180BC4" w14:textId="77777777" w:rsidR="00893575" w:rsidRPr="00CB350E" w:rsidRDefault="00893575" w:rsidP="00893575">
      <w:pPr>
        <w:pStyle w:val="NoSpacing"/>
        <w:rPr>
          <w:rFonts w:ascii="Arial Black" w:hAnsi="Arial Black"/>
          <w:sz w:val="28"/>
          <w:szCs w:val="28"/>
        </w:rPr>
      </w:pPr>
      <w:r>
        <w:rPr>
          <w:rFonts w:ascii="Arial Black" w:hAnsi="Arial Black"/>
          <w:sz w:val="28"/>
          <w:szCs w:val="28"/>
        </w:rPr>
        <w:t>NY: FF FOOT INJURED ON FIRE BOAT – CASE PROCEED</w:t>
      </w:r>
    </w:p>
    <w:p w14:paraId="11882251" w14:textId="77777777" w:rsidR="00893575" w:rsidRDefault="00893575" w:rsidP="00893575">
      <w:pPr>
        <w:pStyle w:val="NoSpacing"/>
      </w:pPr>
    </w:p>
    <w:p w14:paraId="2E99352C" w14:textId="77777777" w:rsidR="00893575" w:rsidRDefault="00893575" w:rsidP="00893575">
      <w:pPr>
        <w:pStyle w:val="NoSpacing"/>
      </w:pPr>
      <w:r>
        <w:t xml:space="preserve">On April 30, 2026, </w:t>
      </w:r>
      <w:r w:rsidRPr="00C14F25">
        <w:rPr>
          <w:u w:val="single"/>
        </w:rPr>
        <w:t>In Re: In the Matter of the Complaint of Verplanck Fire District, et al. v. Troy Dyckman</w:t>
      </w:r>
      <w:r w:rsidRPr="00DD01C1">
        <w:t>, the</w:t>
      </w:r>
      <w:r>
        <w:t xml:space="preserve"> </w:t>
      </w:r>
      <w:r w:rsidRPr="00DD01C1">
        <w:t>United States Court of Appeals for Second District</w:t>
      </w:r>
      <w:r>
        <w:t xml:space="preserve"> (New York City) held (3 to 0) that the firefighter lawsuit seeking damages for breach of “warranty of seaworthiness may proceed under federal maritime law.  He was a volunteer firefighter while aboard 25-foot Marine I, owned by the Verplanck Fire District on August 9, </w:t>
      </w:r>
      <w:proofErr w:type="gramStart"/>
      <w:r>
        <w:t>2020</w:t>
      </w:r>
      <w:proofErr w:type="gramEnd"/>
      <w:r>
        <w:t xml:space="preserve"> to the reported site of a boat fire on the Hudson River, when he </w:t>
      </w:r>
      <w:r w:rsidRPr="00815FFD">
        <w:t xml:space="preserve">extended his leg to fend off a collision with </w:t>
      </w:r>
      <w:r>
        <w:t xml:space="preserve">West Chester County police </w:t>
      </w:r>
      <w:r w:rsidRPr="00815FFD">
        <w:t>vessel.</w:t>
      </w:r>
      <w:r>
        <w:t xml:space="preserve">  His foot was crushed between the boats; he has since undergone two surgeries. Under the New York State Volunteer Firefighters’ Benefit Law, his medical expenses are paid by the FD, plus he is paid $500 every two weeks for loss of income while injured.  Under the New York Volunteer Fireman’s statute, workers comp is his sole remedy, but federal maritime law allowing lawsuits for breach of “warranty of seaworthiness” may override that state law – case remanded for discovery.  </w:t>
      </w:r>
      <w:hyperlink r:id="rId1066" w:history="1">
        <w:r w:rsidRPr="00EF04F6">
          <w:rPr>
            <w:rStyle w:val="Hyperlink"/>
          </w:rPr>
          <w:t>https://cases.justia.com/federal/appellate-courts/ca2/23-1218/23-1218-2026-04-30.pdf?ts=1777566611</w:t>
        </w:r>
      </w:hyperlink>
      <w:r>
        <w:t xml:space="preserve"> </w:t>
      </w:r>
    </w:p>
    <w:p w14:paraId="4699B838" w14:textId="77777777" w:rsidR="00893575" w:rsidRDefault="00893575" w:rsidP="00893575">
      <w:pPr>
        <w:pStyle w:val="NoSpacing"/>
      </w:pPr>
    </w:p>
    <w:p w14:paraId="123D1104" w14:textId="77777777" w:rsidR="00893575" w:rsidRDefault="00893575" w:rsidP="00893575">
      <w:pPr>
        <w:pStyle w:val="NoSpacing"/>
      </w:pPr>
      <w:r>
        <w:t>THE COURT HELD:</w:t>
      </w:r>
    </w:p>
    <w:p w14:paraId="4BC283AB" w14:textId="77777777" w:rsidR="00893575" w:rsidRDefault="00893575" w:rsidP="00893575">
      <w:pPr>
        <w:pStyle w:val="NoSpacing"/>
      </w:pPr>
    </w:p>
    <w:p w14:paraId="00422053" w14:textId="77777777" w:rsidR="00893575" w:rsidRDefault="00893575" w:rsidP="00893575">
      <w:pPr>
        <w:pStyle w:val="NoSpacing"/>
        <w:ind w:left="720"/>
      </w:pPr>
      <w:r>
        <w:t>“[Footnote 1.] “Dyckman testified in his deposition that he went to the front of the boat to ‘get the ropes ready to tie off in the front,’ either on the instruction of a colleague or his own initiative, purportedly to secure the boat by tying it to a mooring or vessel.</w:t>
      </w:r>
    </w:p>
    <w:p w14:paraId="03DEC488" w14:textId="77777777" w:rsidR="00893575" w:rsidRDefault="00893575" w:rsidP="00893575">
      <w:pPr>
        <w:pStyle w:val="NoSpacing"/>
        <w:ind w:left="720"/>
      </w:pPr>
    </w:p>
    <w:p w14:paraId="1426479D" w14:textId="77777777" w:rsidR="00893575" w:rsidRDefault="00893575" w:rsidP="00893575">
      <w:pPr>
        <w:pStyle w:val="NoSpacing"/>
        <w:ind w:left="720"/>
      </w:pPr>
      <w:r>
        <w:t>***</w:t>
      </w:r>
    </w:p>
    <w:p w14:paraId="1B960859" w14:textId="77777777" w:rsidR="00893575" w:rsidRDefault="00893575" w:rsidP="00893575">
      <w:pPr>
        <w:pStyle w:val="NoSpacing"/>
        <w:ind w:left="720"/>
      </w:pPr>
      <w:r>
        <w:t xml:space="preserve">Nothing in the logic of </w:t>
      </w:r>
      <w:r w:rsidRPr="00546785">
        <w:rPr>
          <w:i/>
          <w:iCs/>
        </w:rPr>
        <w:t>Sieracki</w:t>
      </w:r>
      <w:r>
        <w:t xml:space="preserve"> [U.S. Supreme Court - </w:t>
      </w:r>
      <w:r w:rsidRPr="005A0F3E">
        <w:t>Seas Shipping Co. v. Sieracki, 328 U.S. 85 (1946</w:t>
      </w:r>
      <w:r>
        <w:t>] or its progeny has suggested that, while workers employed by an independent stevedoring contractor may recover from the shipowner for unseaworthy conditions, workers employed by a shipowner in its own land-based stevedoring operation may not.</w:t>
      </w:r>
    </w:p>
    <w:p w14:paraId="65CAF55D" w14:textId="77777777" w:rsidR="00893575" w:rsidRDefault="00893575" w:rsidP="00893575">
      <w:pPr>
        <w:pStyle w:val="NoSpacing"/>
        <w:ind w:left="720"/>
      </w:pPr>
    </w:p>
    <w:p w14:paraId="3633EDBB" w14:textId="77777777" w:rsidR="00893575" w:rsidRDefault="00893575" w:rsidP="00893575">
      <w:pPr>
        <w:pStyle w:val="NoSpacing"/>
        <w:ind w:left="720"/>
      </w:pPr>
      <w:r>
        <w:t>***</w:t>
      </w:r>
    </w:p>
    <w:p w14:paraId="0133E12D" w14:textId="77777777" w:rsidR="00893575" w:rsidRDefault="00893575" w:rsidP="00893575">
      <w:pPr>
        <w:pStyle w:val="NoSpacing"/>
        <w:ind w:left="720"/>
      </w:pPr>
      <w:r>
        <w:t xml:space="preserve">The relevant issue for us is whether Dyckman was covered by the Act. Dyckman, as explained below, is not covered by the Act [Limitation of Liability Act of 1851, 46 U.S.C. § 30523.]  because he is a </w:t>
      </w:r>
      <w:proofErr w:type="gramStart"/>
      <w:r>
        <w:t>governmental</w:t>
      </w:r>
      <w:proofErr w:type="gramEnd"/>
      <w:r>
        <w:t xml:space="preserve"> employee. Because he is excluded as a governmental employee, the fact that he is neither an independent contractor nor employed by one is of no significance as to whether he is or is not covered under the Act.</w:t>
      </w:r>
    </w:p>
    <w:p w14:paraId="3E521E57" w14:textId="77777777" w:rsidR="00893575" w:rsidRDefault="00893575" w:rsidP="00893575">
      <w:pPr>
        <w:pStyle w:val="NoSpacing"/>
        <w:ind w:left="720"/>
      </w:pPr>
      <w:r>
        <w:t xml:space="preserve">Footnote 2: The Limitation of Liability Act limits the liability of the owner of a vessel to the ‘value of the vessel and pending freight’ so long as the damage, loss, or personal injury was incurred ‘without the privity or knowledge of the owner.’ </w:t>
      </w:r>
    </w:p>
    <w:p w14:paraId="6F62C2C6" w14:textId="77777777" w:rsidR="00893575" w:rsidRDefault="00893575" w:rsidP="00893575">
      <w:pPr>
        <w:pStyle w:val="NoSpacing"/>
        <w:ind w:left="720"/>
      </w:pPr>
    </w:p>
    <w:p w14:paraId="3AD72310" w14:textId="77777777" w:rsidR="00893575" w:rsidRDefault="00893575" w:rsidP="00893575">
      <w:pPr>
        <w:pStyle w:val="NoSpacing"/>
        <w:ind w:left="720"/>
      </w:pPr>
      <w:r>
        <w:t>***</w:t>
      </w:r>
    </w:p>
    <w:p w14:paraId="6A68DD79" w14:textId="77777777" w:rsidR="00893575" w:rsidRDefault="00893575" w:rsidP="00893575">
      <w:pPr>
        <w:pStyle w:val="NoSpacing"/>
        <w:ind w:left="720"/>
      </w:pPr>
      <w:r>
        <w:t xml:space="preserve">We leave it to the proceedings in the district court on </w:t>
      </w:r>
      <w:proofErr w:type="gramStart"/>
      <w:r>
        <w:t>remand</w:t>
      </w:r>
      <w:proofErr w:type="gramEnd"/>
      <w:r>
        <w:t xml:space="preserve"> to determine</w:t>
      </w:r>
    </w:p>
    <w:p w14:paraId="540561CB" w14:textId="77777777" w:rsidR="00893575" w:rsidRDefault="00893575" w:rsidP="00893575">
      <w:pPr>
        <w:pStyle w:val="NoSpacing"/>
        <w:ind w:left="720"/>
      </w:pPr>
      <w:r>
        <w:t>whether this evidence should be believed and whether Dyckman was doing</w:t>
      </w:r>
    </w:p>
    <w:p w14:paraId="6D8585BB" w14:textId="77777777" w:rsidR="00893575" w:rsidRDefault="00893575" w:rsidP="00893575">
      <w:pPr>
        <w:pStyle w:val="NoSpacing"/>
        <w:ind w:left="720"/>
      </w:pPr>
      <w:r>
        <w:t>seaman’s work and incurring a seaman’s hazards.”</w:t>
      </w:r>
    </w:p>
    <w:p w14:paraId="366840BC" w14:textId="77777777" w:rsidR="00893575" w:rsidRDefault="00893575" w:rsidP="00893575">
      <w:pPr>
        <w:pStyle w:val="NoSpacing"/>
        <w:ind w:left="720"/>
      </w:pPr>
    </w:p>
    <w:p w14:paraId="5888320E" w14:textId="77777777" w:rsidR="00893575" w:rsidRPr="007F2593" w:rsidRDefault="00893575" w:rsidP="00893575">
      <w:pPr>
        <w:pStyle w:val="NoSpacing"/>
        <w:rPr>
          <w:b/>
          <w:bCs/>
        </w:rPr>
      </w:pPr>
      <w:r>
        <w:rPr>
          <w:b/>
        </w:rPr>
        <w:t xml:space="preserve">Legal lesson learned: Workers’ comp is normally only remedy for </w:t>
      </w:r>
      <w:proofErr w:type="gramStart"/>
      <w:r>
        <w:rPr>
          <w:b/>
        </w:rPr>
        <w:t>firefighter</w:t>
      </w:r>
      <w:proofErr w:type="gramEnd"/>
      <w:r>
        <w:rPr>
          <w:b/>
        </w:rPr>
        <w:t xml:space="preserve"> seeking claims against his FD. </w:t>
      </w:r>
    </w:p>
    <w:p w14:paraId="7BF5210B" w14:textId="77777777" w:rsidR="00893575" w:rsidRPr="00C14F25" w:rsidRDefault="00893575" w:rsidP="00893575">
      <w:pPr>
        <w:pStyle w:val="NoSpacing"/>
        <w:rPr>
          <w:u w:val="single"/>
        </w:rPr>
      </w:pPr>
    </w:p>
    <w:p w14:paraId="06019AA9" w14:textId="77777777" w:rsidR="00893575" w:rsidRDefault="00893575" w:rsidP="00893575">
      <w:pPr>
        <w:pStyle w:val="NoSpacing"/>
      </w:pPr>
    </w:p>
    <w:p w14:paraId="31B216A3" w14:textId="77777777" w:rsidR="0092471F" w:rsidRDefault="0092471F" w:rsidP="000624FD">
      <w:pPr>
        <w:pStyle w:val="NoSpacing"/>
        <w:rPr>
          <w:rFonts w:ascii="Arial Black" w:hAnsi="Arial Black"/>
          <w:b/>
          <w:sz w:val="28"/>
          <w:szCs w:val="28"/>
        </w:rPr>
      </w:pPr>
    </w:p>
    <w:p w14:paraId="6979F8A7" w14:textId="77777777" w:rsidR="0092471F" w:rsidRDefault="0092471F" w:rsidP="000624FD">
      <w:pPr>
        <w:pStyle w:val="NoSpacing"/>
        <w:rPr>
          <w:rFonts w:ascii="Arial Black" w:hAnsi="Arial Black"/>
          <w:b/>
          <w:sz w:val="28"/>
          <w:szCs w:val="28"/>
        </w:rPr>
      </w:pPr>
    </w:p>
    <w:p w14:paraId="7E5A09BD" w14:textId="77777777" w:rsidR="0092471F" w:rsidRDefault="0092471F" w:rsidP="000624FD">
      <w:pPr>
        <w:pStyle w:val="NoSpacing"/>
        <w:rPr>
          <w:rFonts w:ascii="Arial Black" w:hAnsi="Arial Black"/>
          <w:b/>
          <w:sz w:val="28"/>
          <w:szCs w:val="28"/>
        </w:rPr>
      </w:pPr>
    </w:p>
    <w:p w14:paraId="64226EC6" w14:textId="0745083F" w:rsidR="00035385" w:rsidRDefault="00035385" w:rsidP="000624FD">
      <w:pPr>
        <w:pStyle w:val="NoSpacing"/>
        <w:rPr>
          <w:rFonts w:ascii="Arial Black" w:hAnsi="Arial Black"/>
          <w:b/>
          <w:sz w:val="28"/>
          <w:szCs w:val="28"/>
        </w:rPr>
      </w:pPr>
      <w:r>
        <w:rPr>
          <w:rFonts w:ascii="Arial Black" w:hAnsi="Arial Black"/>
          <w:b/>
          <w:sz w:val="28"/>
          <w:szCs w:val="28"/>
        </w:rPr>
        <w:t>6-181</w:t>
      </w:r>
    </w:p>
    <w:p w14:paraId="74F3F171" w14:textId="77777777" w:rsidR="00035385" w:rsidRDefault="00035385" w:rsidP="000624FD">
      <w:pPr>
        <w:pStyle w:val="NoSpacing"/>
        <w:rPr>
          <w:rFonts w:ascii="Arial Black" w:hAnsi="Arial Black"/>
          <w:b/>
          <w:sz w:val="28"/>
          <w:szCs w:val="28"/>
        </w:rPr>
      </w:pPr>
    </w:p>
    <w:p w14:paraId="54EC177A" w14:textId="77777777" w:rsidR="007B6232" w:rsidRDefault="007B6232" w:rsidP="007B6232">
      <w:pPr>
        <w:pStyle w:val="NoSpacing"/>
        <w:rPr>
          <w:rFonts w:ascii="Arial Black" w:hAnsi="Arial Black"/>
          <w:b/>
          <w:sz w:val="28"/>
          <w:szCs w:val="28"/>
        </w:rPr>
      </w:pPr>
      <w:r>
        <w:rPr>
          <w:rFonts w:ascii="Arial Black" w:hAnsi="Arial Black"/>
          <w:b/>
          <w:sz w:val="28"/>
          <w:szCs w:val="28"/>
        </w:rPr>
        <w:t xml:space="preserve">NY: FDNY - 7 BACK INJURIES – DEGENERATIVE / NO ADR </w:t>
      </w:r>
    </w:p>
    <w:p w14:paraId="004D7752" w14:textId="77777777" w:rsidR="007B6232" w:rsidRDefault="007B6232" w:rsidP="007B6232">
      <w:pPr>
        <w:pStyle w:val="NoSpacing"/>
        <w:rPr>
          <w:rFonts w:ascii="Arial Black" w:hAnsi="Arial Black"/>
          <w:b/>
          <w:sz w:val="28"/>
          <w:szCs w:val="28"/>
        </w:rPr>
      </w:pPr>
    </w:p>
    <w:p w14:paraId="36E729A8" w14:textId="77777777" w:rsidR="007B6232" w:rsidRDefault="007B6232" w:rsidP="007B6232">
      <w:pPr>
        <w:pStyle w:val="NoSpacing"/>
      </w:pPr>
      <w:r w:rsidRPr="00426EAE">
        <w:t xml:space="preserve">On February 24, 2026, in </w:t>
      </w:r>
      <w:r w:rsidRPr="00DE0863">
        <w:rPr>
          <w:u w:val="single"/>
        </w:rPr>
        <w:t>Marcus Cevallos v. Robert Tucker, as the Fire Commissioner of the City of New York</w:t>
      </w:r>
      <w:r>
        <w:t xml:space="preserve">, Judge </w:t>
      </w:r>
      <w:r w:rsidRPr="00505C38">
        <w:t xml:space="preserve">Kathleen Waterman-Marshall, </w:t>
      </w:r>
      <w:r w:rsidRPr="00DE0863">
        <w:t>Supreme Court, New York County</w:t>
      </w:r>
      <w:r>
        <w:t xml:space="preserve">, held that plaintiff was properly awarded only ordinary disability retirement (ODR), and denied </w:t>
      </w:r>
      <w:r w:rsidRPr="009B77E9">
        <w:t>Accident Disability Retirement</w:t>
      </w:r>
      <w:r>
        <w:t xml:space="preserve"> (ADR) because his medical history revealed </w:t>
      </w:r>
      <w:r w:rsidRPr="00EC6C51">
        <w:t xml:space="preserve">degenerative changes and not </w:t>
      </w:r>
      <w:r>
        <w:t>changes cause by his workplace injuries. B</w:t>
      </w:r>
      <w:r w:rsidRPr="0058637B">
        <w:t xml:space="preserve">etween March 2014 and August 2022, </w:t>
      </w:r>
      <w:r>
        <w:t xml:space="preserve">he </w:t>
      </w:r>
      <w:r w:rsidRPr="0058637B">
        <w:t xml:space="preserve">suffered seven </w:t>
      </w:r>
      <w:r>
        <w:t xml:space="preserve">documented </w:t>
      </w:r>
      <w:proofErr w:type="gramStart"/>
      <w:r w:rsidRPr="0058637B">
        <w:t>line</w:t>
      </w:r>
      <w:proofErr w:type="gramEnd"/>
      <w:r w:rsidRPr="0058637B">
        <w:t xml:space="preserve"> of duty injuries to his back</w:t>
      </w:r>
      <w:r>
        <w:t xml:space="preserve">, but on March 29, </w:t>
      </w:r>
      <w:r w:rsidRPr="00EC6C51">
        <w:t xml:space="preserve">2014, </w:t>
      </w:r>
      <w:r>
        <w:t xml:space="preserve">he </w:t>
      </w:r>
      <w:r w:rsidRPr="00EC6C51">
        <w:t xml:space="preserve">was seen in the emergency room at Phelps Memorial </w:t>
      </w:r>
      <w:proofErr w:type="gramStart"/>
      <w:r w:rsidRPr="00EC6C51">
        <w:t xml:space="preserve">Hospital, </w:t>
      </w:r>
      <w:r>
        <w:t>and</w:t>
      </w:r>
      <w:proofErr w:type="gramEnd"/>
      <w:r>
        <w:t xml:space="preserve"> </w:t>
      </w:r>
      <w:r w:rsidRPr="00EC6C51">
        <w:t>told the examiner that he had "chronic back pain and was taking Naprosyn." This is less than a year on the job, with no previous injur</w:t>
      </w:r>
      <w:r>
        <w:t>ies</w:t>
      </w:r>
      <w:r w:rsidRPr="00EC6C51">
        <w:t xml:space="preserve"> to his back. </w:t>
      </w:r>
      <w:r>
        <w:t xml:space="preserve"> </w:t>
      </w:r>
      <w:hyperlink r:id="rId1067" w:history="1">
        <w:r w:rsidRPr="00502BCE">
          <w:rPr>
            <w:rStyle w:val="Hyperlink"/>
          </w:rPr>
          <w:t>https://cases.justia.com/new-york/other-courts/2026-2026-ny-slip-op-30695-u.pdf?ts=1773178122</w:t>
        </w:r>
      </w:hyperlink>
      <w:r>
        <w:t xml:space="preserve"> </w:t>
      </w:r>
    </w:p>
    <w:p w14:paraId="5D35D398" w14:textId="77777777" w:rsidR="007B6232" w:rsidRDefault="007B6232" w:rsidP="007B6232">
      <w:pPr>
        <w:pStyle w:val="NoSpacing"/>
      </w:pPr>
    </w:p>
    <w:p w14:paraId="750353F8" w14:textId="77777777" w:rsidR="007B6232" w:rsidRDefault="007B6232" w:rsidP="007B6232">
      <w:pPr>
        <w:pStyle w:val="NoSpacing"/>
      </w:pPr>
    </w:p>
    <w:p w14:paraId="1BB94490" w14:textId="77777777" w:rsidR="007B6232" w:rsidRDefault="007B6232" w:rsidP="007B6232">
      <w:pPr>
        <w:pStyle w:val="NoSpacing"/>
      </w:pPr>
      <w:r>
        <w:t>THE COURT HELD: “</w:t>
      </w:r>
      <w:r w:rsidRPr="000F7DF4">
        <w:t>Put simply, the Medical Board was presented with competing and arguably conflicting medical evidence concerning the cause of Mr. Cevallos' disability. By way of brief example, on the one hand, the report of Mr. Cevallos' doctor urges that there was no pre-existing condition prior to Mr. Cevallos' line of duty injuries, because he was able to pass the physical exam and the 2012 x-ray showed no structural issues. One the other hand, March 2014 medical records show that Mr. Cevallos complained of chronic back pain as the result of weightlifting, requiring medication, and various radiographic studies revealed degenerative disc herniations and bulges and the absence of an acute injury. The Medical Board was entitled to review the competing evidence and recommend that the disability was caused by degenerative disease, notwithstanding the prior line of duty injuries</w:t>
      </w:r>
      <w:r>
        <w:t>.”</w:t>
      </w:r>
    </w:p>
    <w:p w14:paraId="2D87F858" w14:textId="77777777" w:rsidR="007B6232" w:rsidRDefault="007B6232" w:rsidP="007B6232">
      <w:pPr>
        <w:pStyle w:val="NoSpacing"/>
      </w:pPr>
    </w:p>
    <w:p w14:paraId="544F0C01" w14:textId="77777777" w:rsidR="007B6232" w:rsidRPr="00037C57" w:rsidRDefault="007B6232" w:rsidP="007B6232">
      <w:pPr>
        <w:pStyle w:val="NoSpacing"/>
        <w:rPr>
          <w:b/>
          <w:bCs/>
        </w:rPr>
      </w:pPr>
      <w:r w:rsidRPr="00037C57">
        <w:rPr>
          <w:b/>
        </w:rPr>
        <w:t xml:space="preserve">Legal lesson learned: </w:t>
      </w:r>
      <w:r>
        <w:rPr>
          <w:b/>
        </w:rPr>
        <w:t xml:space="preserve">Courts will generally not “second guess” the Medical Board. </w:t>
      </w:r>
    </w:p>
    <w:p w14:paraId="778C5980" w14:textId="77777777" w:rsidR="007B6232" w:rsidRDefault="007B6232" w:rsidP="007B6232">
      <w:pPr>
        <w:pStyle w:val="NoSpacing"/>
      </w:pPr>
    </w:p>
    <w:p w14:paraId="200870D5" w14:textId="77777777" w:rsidR="00035385" w:rsidRDefault="00035385" w:rsidP="000624FD">
      <w:pPr>
        <w:pStyle w:val="NoSpacing"/>
        <w:rPr>
          <w:rFonts w:ascii="Arial Black" w:hAnsi="Arial Black"/>
          <w:b/>
          <w:sz w:val="28"/>
          <w:szCs w:val="28"/>
        </w:rPr>
      </w:pPr>
    </w:p>
    <w:p w14:paraId="6ABAAB22" w14:textId="77777777" w:rsidR="00035385" w:rsidRDefault="00035385" w:rsidP="000624FD">
      <w:pPr>
        <w:pStyle w:val="NoSpacing"/>
        <w:rPr>
          <w:rFonts w:ascii="Arial Black" w:hAnsi="Arial Black"/>
          <w:b/>
          <w:sz w:val="28"/>
          <w:szCs w:val="28"/>
        </w:rPr>
      </w:pPr>
    </w:p>
    <w:p w14:paraId="517BBB1C" w14:textId="77777777" w:rsidR="00035385" w:rsidRDefault="00035385" w:rsidP="000624FD">
      <w:pPr>
        <w:pStyle w:val="NoSpacing"/>
        <w:rPr>
          <w:rFonts w:ascii="Arial Black" w:hAnsi="Arial Black"/>
          <w:b/>
          <w:sz w:val="28"/>
          <w:szCs w:val="28"/>
        </w:rPr>
      </w:pPr>
    </w:p>
    <w:p w14:paraId="18A1AE36" w14:textId="16443396" w:rsidR="006D2F6D" w:rsidRDefault="006D2F6D" w:rsidP="000624FD">
      <w:pPr>
        <w:pStyle w:val="NoSpacing"/>
        <w:rPr>
          <w:rFonts w:ascii="Arial Black" w:hAnsi="Arial Black"/>
          <w:b/>
          <w:sz w:val="28"/>
          <w:szCs w:val="28"/>
        </w:rPr>
      </w:pPr>
      <w:r>
        <w:rPr>
          <w:rFonts w:ascii="Arial Black" w:hAnsi="Arial Black"/>
          <w:b/>
          <w:sz w:val="28"/>
          <w:szCs w:val="28"/>
        </w:rPr>
        <w:t>6-1</w:t>
      </w:r>
      <w:r w:rsidR="00977A84">
        <w:rPr>
          <w:rFonts w:ascii="Arial Black" w:hAnsi="Arial Black"/>
          <w:b/>
          <w:sz w:val="28"/>
          <w:szCs w:val="28"/>
        </w:rPr>
        <w:t>80</w:t>
      </w:r>
    </w:p>
    <w:p w14:paraId="6F955B6E" w14:textId="77777777" w:rsidR="006D2F6D" w:rsidRPr="00D908BA" w:rsidRDefault="006D2F6D" w:rsidP="006D2F6D">
      <w:pPr>
        <w:pStyle w:val="NoSpacing"/>
        <w:rPr>
          <w:rFonts w:ascii="Arial Black" w:hAnsi="Arial Black"/>
          <w:b/>
          <w:sz w:val="28"/>
          <w:szCs w:val="28"/>
        </w:rPr>
      </w:pPr>
      <w:r>
        <w:rPr>
          <w:rFonts w:ascii="Arial Black" w:hAnsi="Arial Black"/>
          <w:b/>
          <w:sz w:val="28"/>
          <w:szCs w:val="28"/>
        </w:rPr>
        <w:t>WV: RIGHT KNEE – GETS WORK COMP / SURGEON’S RPT</w:t>
      </w:r>
    </w:p>
    <w:p w14:paraId="4FE170CA" w14:textId="77777777" w:rsidR="006D2F6D" w:rsidRDefault="006D2F6D" w:rsidP="006D2F6D">
      <w:pPr>
        <w:pStyle w:val="NoSpacing"/>
        <w:rPr>
          <w:b/>
        </w:rPr>
      </w:pPr>
    </w:p>
    <w:p w14:paraId="16B0C988" w14:textId="77777777" w:rsidR="006D2F6D" w:rsidRDefault="006D2F6D" w:rsidP="006D2F6D">
      <w:pPr>
        <w:pStyle w:val="NoSpacing"/>
      </w:pPr>
      <w:r>
        <w:t xml:space="preserve">On February 27, 2026, in </w:t>
      </w:r>
      <w:r w:rsidRPr="009E3073">
        <w:rPr>
          <w:u w:val="single"/>
        </w:rPr>
        <w:t>City of Wheeling v. Cody Melsop</w:t>
      </w:r>
      <w:r>
        <w:t xml:space="preserve">, the </w:t>
      </w:r>
      <w:r w:rsidRPr="009E3073">
        <w:t>West Virginia Intermediate Court of Appeals</w:t>
      </w:r>
      <w:r>
        <w:t xml:space="preserve"> held (5 to 0) that the firefighter was entitled to worker comp;  his right knee surgery was required because of the December 21, </w:t>
      </w:r>
      <w:proofErr w:type="gramStart"/>
      <w:r>
        <w:t>2023</w:t>
      </w:r>
      <w:proofErr w:type="gramEnd"/>
      <w:r>
        <w:t xml:space="preserve"> injury carrying a tote up the stairs, not because of his </w:t>
      </w:r>
      <w:r w:rsidRPr="00B63D1A">
        <w:t>degenerative</w:t>
      </w:r>
      <w:r>
        <w:t xml:space="preserve"> knee condition.  H</w:t>
      </w:r>
      <w:r w:rsidRPr="007B64B1">
        <w:t>e was carrying a large tote with about forty pounds of supplies from the laundry room, which is downstairs, and he proceeded up the stairs</w:t>
      </w:r>
      <w:r>
        <w:t xml:space="preserve">, when </w:t>
      </w:r>
      <w:r w:rsidRPr="007B64B1">
        <w:t xml:space="preserve"> about halfway up the stairs, he felt an excruciating pain in his right knee and immediately thereafter felt a loss of stability and that his knee was weak.</w:t>
      </w:r>
      <w:r>
        <w:t xml:space="preserve">  An </w:t>
      </w:r>
      <w:r w:rsidRPr="009916E8">
        <w:t xml:space="preserve">MRI </w:t>
      </w:r>
      <w:r>
        <w:t>did r</w:t>
      </w:r>
      <w:r w:rsidRPr="009916E8">
        <w:t>eveal an irregularity at the posterior horn of the medial meniscus without displaced tearing</w:t>
      </w:r>
      <w:r>
        <w:t xml:space="preserve">, but his surgeon who performed the surgery reported the knee injury was </w:t>
      </w:r>
      <w:proofErr w:type="gramStart"/>
      <w:r>
        <w:t>as a result of</w:t>
      </w:r>
      <w:proofErr w:type="gramEnd"/>
      <w:r>
        <w:t xml:space="preserve"> the workplace in jury. The </w:t>
      </w:r>
      <w:r w:rsidRPr="001A72CC">
        <w:t>Workers' Compensation Board of Review</w:t>
      </w:r>
      <w:r>
        <w:t xml:space="preserve"> relied on the report of the surgeon, reversing the Hearing Officer who relied on the work comp retained doctor.  </w:t>
      </w:r>
      <w:hyperlink r:id="rId1068" w:history="1">
        <w:r w:rsidRPr="00CB2F3F">
          <w:rPr>
            <w:rStyle w:val="Hyperlink"/>
          </w:rPr>
          <w:t>https://www.courtswv.gov/sites/default/pubfilesmnt/2026-02/25-ICA-338_MD.pdf</w:t>
        </w:r>
      </w:hyperlink>
      <w:r>
        <w:t xml:space="preserve"> </w:t>
      </w:r>
    </w:p>
    <w:p w14:paraId="17301936" w14:textId="77777777" w:rsidR="006D2F6D" w:rsidRDefault="006D2F6D" w:rsidP="006D2F6D">
      <w:pPr>
        <w:pStyle w:val="NoSpacing"/>
      </w:pPr>
    </w:p>
    <w:p w14:paraId="2B43E5F0" w14:textId="77777777" w:rsidR="006D2F6D" w:rsidRDefault="006D2F6D" w:rsidP="006D2F6D">
      <w:pPr>
        <w:pStyle w:val="NoSpacing"/>
      </w:pPr>
      <w:r>
        <w:t>THE COURT HELD:  “</w:t>
      </w:r>
      <w:r w:rsidRPr="00B63D1A">
        <w:t xml:space="preserve">Wheeling argues that the Board erred in finding the opinion of Dr. Frank to be more credible than that of Dr. Magone based solely upon Dr. Frank's status as Mr. </w:t>
      </w:r>
      <w:proofErr w:type="spellStart"/>
      <w:r w:rsidRPr="00B63D1A">
        <w:t>Melsop's</w:t>
      </w:r>
      <w:proofErr w:type="spellEnd"/>
      <w:r w:rsidRPr="00B63D1A">
        <w:t xml:space="preserve"> treating physician and Dr. Magone only conducting a records review, when Dr. Magone's opinion is more consistent with Mr. </w:t>
      </w:r>
      <w:proofErr w:type="spellStart"/>
      <w:r w:rsidRPr="00B63D1A">
        <w:t>Melsop's</w:t>
      </w:r>
      <w:proofErr w:type="spellEnd"/>
      <w:r w:rsidRPr="00B63D1A">
        <w:t xml:space="preserve"> medical records. Wheeling further argues that Dr. Frank failed to explain the alleged causal relationship between Mr. </w:t>
      </w:r>
      <w:proofErr w:type="spellStart"/>
      <w:r w:rsidRPr="00B63D1A">
        <w:t>Melsop's</w:t>
      </w:r>
      <w:proofErr w:type="spellEnd"/>
      <w:r w:rsidRPr="00B63D1A">
        <w:t xml:space="preserve"> meniscal tear and his compensable injury, while Dr. Magone's conclusion that Mr. </w:t>
      </w:r>
      <w:proofErr w:type="spellStart"/>
      <w:r w:rsidRPr="00B63D1A">
        <w:t>Melsop's</w:t>
      </w:r>
      <w:proofErr w:type="spellEnd"/>
      <w:r w:rsidRPr="00B63D1A">
        <w:t xml:space="preserve"> tear is degenerative in nature is consistent with his medical records. Wheeling also argues that the Board's award of TTD benefits to Mr. </w:t>
      </w:r>
      <w:proofErr w:type="spellStart"/>
      <w:r w:rsidRPr="00B63D1A">
        <w:t>Melsop</w:t>
      </w:r>
      <w:proofErr w:type="spellEnd"/>
      <w:r w:rsidRPr="00B63D1A">
        <w:t xml:space="preserve"> is based upon its mischaracterization of the evidence that Mr. </w:t>
      </w:r>
      <w:proofErr w:type="spellStart"/>
      <w:r w:rsidRPr="00B63D1A">
        <w:t>Melsop's</w:t>
      </w:r>
      <w:proofErr w:type="spellEnd"/>
      <w:r w:rsidRPr="00B63D1A">
        <w:t xml:space="preserve"> work restrictions cannot be met. We disagree</w:t>
      </w:r>
      <w:r>
        <w:t xml:space="preserve">…. </w:t>
      </w:r>
      <w:r w:rsidRPr="00D25CC2">
        <w:t xml:space="preserve">Upon review, we conclude that the Board was not clearly wrong in finding that the preponderance of the medical evidence establishes that Mr. </w:t>
      </w:r>
      <w:proofErr w:type="spellStart"/>
      <w:r w:rsidRPr="00D25CC2">
        <w:t>Melsop</w:t>
      </w:r>
      <w:proofErr w:type="spellEnd"/>
      <w:r w:rsidRPr="00D25CC2">
        <w:t xml:space="preserve"> sustained a right knee medial meniscal tear </w:t>
      </w:r>
      <w:proofErr w:type="gramStart"/>
      <w:r w:rsidRPr="00D25CC2">
        <w:t>in the course of</w:t>
      </w:r>
      <w:proofErr w:type="gramEnd"/>
      <w:r w:rsidRPr="00D25CC2">
        <w:t xml:space="preserve"> and resulting from his employment.</w:t>
      </w:r>
      <w:r>
        <w:t>”</w:t>
      </w:r>
    </w:p>
    <w:p w14:paraId="66D9004D" w14:textId="77777777" w:rsidR="006D2F6D" w:rsidRDefault="006D2F6D" w:rsidP="006D2F6D">
      <w:pPr>
        <w:pStyle w:val="NoSpacing"/>
      </w:pPr>
    </w:p>
    <w:p w14:paraId="2DED7B31" w14:textId="77777777" w:rsidR="006D2F6D" w:rsidRPr="00F53B2E" w:rsidRDefault="006D2F6D" w:rsidP="006D2F6D">
      <w:pPr>
        <w:pStyle w:val="NoSpacing"/>
        <w:rPr>
          <w:b/>
          <w:bCs/>
        </w:rPr>
      </w:pPr>
      <w:r>
        <w:rPr>
          <w:b/>
        </w:rPr>
        <w:t>Legal lesson learned: Another drawn out battle between a firefighter (with some evidence of a prior degenerative condition) and his employer.</w:t>
      </w:r>
    </w:p>
    <w:p w14:paraId="0A9BCBE3" w14:textId="77777777" w:rsidR="006D2F6D" w:rsidRDefault="006D2F6D" w:rsidP="006D2F6D">
      <w:pPr>
        <w:pStyle w:val="NoSpacing"/>
      </w:pPr>
    </w:p>
    <w:p w14:paraId="15E98913" w14:textId="77777777" w:rsidR="006D2F6D" w:rsidRPr="001D2DCA" w:rsidRDefault="006D2F6D" w:rsidP="006D2F6D">
      <w:pPr>
        <w:pStyle w:val="NoSpacing"/>
        <w:ind w:left="720"/>
      </w:pPr>
      <w:r>
        <w:t>Note: “</w:t>
      </w:r>
      <w:r w:rsidRPr="001D2DCA">
        <w:t>On April 29, 2025, this Court issued a memorandum decision affirming the Board's order. See City of Wheeling v. Melsop, No. 24-ICA-379, 2025 WL 1249650 (W.Va. Ct. App. April 29, 2025) (memorandum decision). On October 21, 2025, the Supreme Court of Appeals of West Virginia affirmed this Court's decision. See City of Wheeling v. Melsop, No. 25-382, 2025 WL 2962901 (W.Va. Oct. 21, 2025) (memorandum decision).</w:t>
      </w:r>
      <w:r>
        <w:t>”</w:t>
      </w:r>
    </w:p>
    <w:p w14:paraId="0C4C8BA1" w14:textId="77777777" w:rsidR="006D2F6D" w:rsidRDefault="006D2F6D" w:rsidP="000624FD">
      <w:pPr>
        <w:pStyle w:val="NoSpacing"/>
        <w:rPr>
          <w:rFonts w:ascii="Arial Black" w:hAnsi="Arial Black"/>
          <w:b/>
          <w:sz w:val="28"/>
          <w:szCs w:val="28"/>
        </w:rPr>
      </w:pPr>
    </w:p>
    <w:p w14:paraId="512D3FEF" w14:textId="77777777" w:rsidR="000509A0" w:rsidRDefault="000509A0" w:rsidP="000624FD">
      <w:pPr>
        <w:pStyle w:val="NoSpacing"/>
        <w:rPr>
          <w:rFonts w:ascii="Arial Black" w:hAnsi="Arial Black"/>
          <w:b/>
          <w:sz w:val="28"/>
          <w:szCs w:val="28"/>
        </w:rPr>
      </w:pPr>
    </w:p>
    <w:p w14:paraId="43F796B9" w14:textId="78ADE6CE" w:rsidR="008E1D82" w:rsidRDefault="008E1D82" w:rsidP="000624FD">
      <w:pPr>
        <w:pStyle w:val="NoSpacing"/>
        <w:rPr>
          <w:rFonts w:ascii="Arial Black" w:hAnsi="Arial Black"/>
          <w:b/>
          <w:sz w:val="28"/>
          <w:szCs w:val="28"/>
        </w:rPr>
      </w:pPr>
      <w:r>
        <w:rPr>
          <w:rFonts w:ascii="Arial Black" w:hAnsi="Arial Black"/>
          <w:b/>
          <w:sz w:val="28"/>
          <w:szCs w:val="28"/>
        </w:rPr>
        <w:t>6-17</w:t>
      </w:r>
      <w:r w:rsidR="00977A84">
        <w:rPr>
          <w:rFonts w:ascii="Arial Black" w:hAnsi="Arial Black"/>
          <w:b/>
          <w:sz w:val="28"/>
          <w:szCs w:val="28"/>
        </w:rPr>
        <w:t>9</w:t>
      </w:r>
    </w:p>
    <w:p w14:paraId="611FE522" w14:textId="77777777" w:rsidR="008E1D82" w:rsidRDefault="008E1D82" w:rsidP="000624FD">
      <w:pPr>
        <w:pStyle w:val="NoSpacing"/>
        <w:rPr>
          <w:rFonts w:ascii="Arial Black" w:hAnsi="Arial Black"/>
          <w:b/>
          <w:sz w:val="28"/>
          <w:szCs w:val="28"/>
        </w:rPr>
      </w:pPr>
    </w:p>
    <w:p w14:paraId="36D916A7" w14:textId="77777777" w:rsidR="008E1D82" w:rsidRPr="00FF2EDA" w:rsidRDefault="008E1D82" w:rsidP="008E1D82">
      <w:pPr>
        <w:pStyle w:val="NoSpacing"/>
        <w:rPr>
          <w:rFonts w:ascii="Arial Black" w:hAnsi="Arial Black"/>
          <w:sz w:val="28"/>
          <w:szCs w:val="28"/>
        </w:rPr>
      </w:pPr>
      <w:r>
        <w:rPr>
          <w:rFonts w:ascii="Arial Black" w:hAnsi="Arial Black"/>
          <w:sz w:val="28"/>
          <w:szCs w:val="28"/>
        </w:rPr>
        <w:t xml:space="preserve">FL: MILITARY – NO PROMOTION “PREFERANCE” - </w:t>
      </w:r>
      <w:r w:rsidRPr="00FF2EDA">
        <w:rPr>
          <w:rFonts w:ascii="Arial Black" w:hAnsi="Arial Black"/>
          <w:sz w:val="28"/>
          <w:szCs w:val="28"/>
        </w:rPr>
        <w:t>USERRA</w:t>
      </w:r>
    </w:p>
    <w:p w14:paraId="4146C63B" w14:textId="77777777" w:rsidR="008E1D82" w:rsidRDefault="008E1D82" w:rsidP="008E1D82">
      <w:pPr>
        <w:pStyle w:val="NoSpacing"/>
      </w:pPr>
    </w:p>
    <w:p w14:paraId="532F9CCD" w14:textId="77777777" w:rsidR="008E1D82" w:rsidRDefault="008E1D82" w:rsidP="008E1D82">
      <w:pPr>
        <w:pStyle w:val="NoSpacing"/>
      </w:pPr>
      <w:r>
        <w:t xml:space="preserve">On February 17, 2026, in </w:t>
      </w:r>
      <w:r w:rsidRPr="00D36291">
        <w:rPr>
          <w:u w:val="single"/>
        </w:rPr>
        <w:t>John Kutz v. Bonita Springs Fire Control and Rescue District</w:t>
      </w:r>
      <w:r>
        <w:t>, U.S. District Court Judge Sheri Polster Chappel</w:t>
      </w:r>
      <w:r w:rsidRPr="00FE1D81">
        <w:t>, United States District Court</w:t>
      </w:r>
      <w:r>
        <w:rPr>
          <w:b/>
        </w:rPr>
        <w:t xml:space="preserve"> </w:t>
      </w:r>
      <w:r w:rsidRPr="00D66E4A">
        <w:t>for Middle District of Florida, Fort Myers Division</w:t>
      </w:r>
      <w:r>
        <w:t xml:space="preserve">, denied the defendant’s motion to dismiss, and held that there was some evidence in the Complaint that </w:t>
      </w:r>
      <w:r w:rsidRPr="00180F3F">
        <w:t xml:space="preserve">his membership in the uniformed services </w:t>
      </w:r>
      <w:r>
        <w:t>was “</w:t>
      </w:r>
      <w:r w:rsidRPr="00180F3F">
        <w:t>a motivating factor</w:t>
      </w:r>
      <w:r>
        <w:t>’</w:t>
      </w:r>
      <w:r w:rsidRPr="00180F3F">
        <w:t xml:space="preserve"> in the employer's adverse employment decision</w:t>
      </w:r>
      <w:r>
        <w:t xml:space="preserve"> to not promote him to deputy chief, in violation of the </w:t>
      </w:r>
      <w:r w:rsidRPr="00B56337">
        <w:t xml:space="preserve">Uniformed Services Employment and Reemployment Rights Act of 1994, 38 U.S.C. § 4301, </w:t>
      </w:r>
      <w:r w:rsidRPr="00B56337">
        <w:rPr>
          <w:i/>
          <w:iCs/>
        </w:rPr>
        <w:t>et seq.</w:t>
      </w:r>
      <w:r w:rsidRPr="00B56337">
        <w:t xml:space="preserve"> (</w:t>
      </w:r>
      <w:r>
        <w:t>‘</w:t>
      </w:r>
      <w:r w:rsidRPr="00B56337">
        <w:t>USERRA</w:t>
      </w:r>
      <w:r>
        <w:t>’</w:t>
      </w:r>
      <w:r w:rsidRPr="00B56337">
        <w:t>)</w:t>
      </w:r>
      <w:r>
        <w:t xml:space="preserve">.  The will now proceed to pretrial discovery, but Court also made it clear that </w:t>
      </w:r>
      <w:r w:rsidRPr="00DA3EEF">
        <w:t>while USERRA prevents the denial of promotion on the basis of military service, it does not itself provide a remedy to veterans who are not given preferences in employment decisions</w:t>
      </w:r>
      <w:r>
        <w:t xml:space="preserve">. </w:t>
      </w:r>
      <w:hyperlink r:id="rId1069" w:history="1">
        <w:r w:rsidRPr="002B0907">
          <w:rPr>
            <w:rStyle w:val="Hyperlink"/>
          </w:rPr>
          <w:t>https://public.fastcase.com/Jhe1Qn%2BmJndQYQU6z%2FeNm1SSbD0G3ZEWJh7YHZP1lKvwyFhreCu4Zs3UIv3EdnBK?utm_medium=email&amp;_hsenc=p2ANqtz-9nqm6pHuxrJA2eqp98a7_eI9fDSv0sKlRywY7jloQaZjhwJh8mlE2JmH7OUYiPvznSiiSBN3erALyoe2ilWNUf5RREvQ&amp;_hsmi=226712652&amp;utm_content=226712652&amp;utm_source=hs_email</w:t>
        </w:r>
      </w:hyperlink>
      <w:r>
        <w:t xml:space="preserve"> </w:t>
      </w:r>
    </w:p>
    <w:p w14:paraId="649F365E" w14:textId="77777777" w:rsidR="008E1D82" w:rsidRDefault="008E1D82" w:rsidP="008E1D82">
      <w:pPr>
        <w:pStyle w:val="NoSpacing"/>
      </w:pPr>
    </w:p>
    <w:p w14:paraId="4AF5A271" w14:textId="77777777" w:rsidR="008E1D82" w:rsidRPr="00900740" w:rsidRDefault="008E1D82" w:rsidP="008E1D82">
      <w:pPr>
        <w:pStyle w:val="NoSpacing"/>
      </w:pPr>
      <w:r>
        <w:t>THE COURT HELD:  “</w:t>
      </w:r>
      <w:r w:rsidRPr="00A04B82">
        <w:t>Plaintiff began his employment at Defendant in 2006. In 2015, Plaintiff joined the National Guard. Beginning in 2016, Plaintiff took a leave of absence for an unspecified period to attend basic training. In 2021, Plaintiff deployed for about a year.</w:t>
      </w:r>
      <w:r>
        <w:t xml:space="preserve"> </w:t>
      </w:r>
      <w:r w:rsidRPr="000D4F39">
        <w:t>Upon returning, he re-employed with Defendant as a lieutenant. Along with serving as a lieutenant, Plaintiff volunteered as an acting battalion chief. In doing so, he became eligible for promotion to any full-time battalion chief position</w:t>
      </w:r>
      <w:r>
        <w:t xml:space="preserve">…. </w:t>
      </w:r>
      <w:r w:rsidRPr="00474902">
        <w:t>Sometime later, Plaintiff applied for an open deputy chief position. Three other employees, Captain Kelli Wilson, Lieutenant Giovanni Zamora, and Nic Aracia, also applied</w:t>
      </w:r>
      <w:r>
        <w:t xml:space="preserve">…. </w:t>
      </w:r>
      <w:r w:rsidRPr="0072475D">
        <w:t xml:space="preserve">According to Plaintiff, his qualification of </w:t>
      </w:r>
      <w:r>
        <w:t>‘</w:t>
      </w:r>
      <w:r w:rsidRPr="0072475D">
        <w:t>Fire Officer Three</w:t>
      </w:r>
      <w:r>
        <w:t>’</w:t>
      </w:r>
      <w:r w:rsidRPr="0072475D">
        <w:t xml:space="preserve"> by the National Fire Protection Association made him more qualified than the two other candidates Defendant interviewed. Chief Dewitt acknowledged Plaintiff </w:t>
      </w:r>
      <w:r>
        <w:t>‘</w:t>
      </w:r>
      <w:r w:rsidRPr="0072475D">
        <w:t>may be more qualified</w:t>
      </w:r>
      <w:r>
        <w:t>’</w:t>
      </w:r>
      <w:r w:rsidRPr="0072475D">
        <w:t xml:space="preserve"> but indicated Captain Wilson would receive the promotion.</w:t>
      </w:r>
      <w:r>
        <w:t xml:space="preserve"> </w:t>
      </w:r>
      <w:r w:rsidRPr="00900740">
        <w:t xml:space="preserve">Plaintiff told Assistant Chief Brod that Defendant violated the law regarding veteran preference in hiring. </w:t>
      </w:r>
    </w:p>
    <w:p w14:paraId="4C65B147" w14:textId="77777777" w:rsidR="008E1D82" w:rsidRDefault="008E1D82" w:rsidP="008E1D82">
      <w:pPr>
        <w:pStyle w:val="NoSpacing"/>
      </w:pPr>
      <w:r w:rsidRPr="00787E1B">
        <w:t>On December 2, 2024, Defendant announced Captain Wilson's promotion to the deputy chief position</w:t>
      </w:r>
      <w:r>
        <w:t xml:space="preserve">…. </w:t>
      </w:r>
      <w:r w:rsidRPr="00AF4880">
        <w:t>Plaintiff's union refused to advance the grievance because the deputy chief position “was a non-bargaining position,” and the CBA does not cover Plaintiff's alleged violations.</w:t>
      </w:r>
      <w:r>
        <w:t xml:space="preserve"> *** </w:t>
      </w:r>
      <w:r w:rsidRPr="00180F3F">
        <w:t xml:space="preserve">USERRA prohibits employers from denying uniformed servicemembers “any benefit of employment . . . on the basis of” that service. 38 U.S.C. § 4311(a). To state a claim under USERRA, Plaintiff must allege (1) he qualifies as a member of the protected class of service members; (2) he suffered an adverse employment decision; and (3) his membership in the uniformed services </w:t>
      </w:r>
      <w:r>
        <w:t>‘</w:t>
      </w:r>
      <w:r w:rsidRPr="00180F3F">
        <w:t>is a motivating factor</w:t>
      </w:r>
      <w:r>
        <w:t>’</w:t>
      </w:r>
      <w:r w:rsidRPr="00180F3F">
        <w:t xml:space="preserve"> in the employer's adverse employment decision.</w:t>
      </w:r>
      <w:r>
        <w:t>”</w:t>
      </w:r>
    </w:p>
    <w:p w14:paraId="744EBDAB" w14:textId="77777777" w:rsidR="008E1D82" w:rsidRDefault="008E1D82" w:rsidP="008E1D82">
      <w:pPr>
        <w:pStyle w:val="NoSpacing"/>
      </w:pPr>
    </w:p>
    <w:p w14:paraId="0BCF30E6" w14:textId="77777777" w:rsidR="008E1D82" w:rsidRPr="00180F3F" w:rsidRDefault="008E1D82" w:rsidP="008E1D82">
      <w:pPr>
        <w:pStyle w:val="NoSpacing"/>
        <w:rPr>
          <w:b/>
          <w:bCs/>
        </w:rPr>
      </w:pPr>
      <w:r w:rsidRPr="007707BD">
        <w:rPr>
          <w:b/>
        </w:rPr>
        <w:t xml:space="preserve">Legal lesson learned: </w:t>
      </w:r>
      <w:r>
        <w:rPr>
          <w:b/>
        </w:rPr>
        <w:t xml:space="preserve">Case will now proceed to pre-trial discovery. </w:t>
      </w:r>
    </w:p>
    <w:p w14:paraId="2693B110" w14:textId="77777777" w:rsidR="008E1D82" w:rsidRDefault="008E1D82" w:rsidP="008E1D82">
      <w:pPr>
        <w:pStyle w:val="NoSpacing"/>
      </w:pPr>
    </w:p>
    <w:p w14:paraId="0AFC6D8F" w14:textId="77777777" w:rsidR="008E1D82" w:rsidRDefault="008E1D82" w:rsidP="008E1D82">
      <w:pPr>
        <w:pStyle w:val="NoSpacing"/>
        <w:ind w:left="720"/>
      </w:pPr>
      <w:r>
        <w:t>Note: Footnote 8: “</w:t>
      </w:r>
      <w:r w:rsidRPr="00DA3EEF">
        <w:t>Plaintiff alleges in the Second Amended Complaint that Defendant violated USERRA by failing to comply with Fla. Stat. § 295.09(1)(a), which affords veteran preference in hiring</w:t>
      </w:r>
      <w:r>
        <w:t xml:space="preserve">…. </w:t>
      </w:r>
      <w:r w:rsidRPr="00DA3EEF">
        <w:t xml:space="preserve">While this theory is not addressed in the parties' briefs, the Court rejects it as incognizable. </w:t>
      </w:r>
      <w:r w:rsidRPr="00DA3EEF">
        <w:rPr>
          <w:i/>
          <w:iCs/>
        </w:rPr>
        <w:t>See, e.g.</w:t>
      </w:r>
      <w:r w:rsidRPr="00DA3EEF">
        <w:t xml:space="preserve">, </w:t>
      </w:r>
      <w:r w:rsidRPr="00DA3EEF">
        <w:rPr>
          <w:i/>
          <w:iCs/>
        </w:rPr>
        <w:t>Case v. Judd</w:t>
      </w:r>
      <w:r w:rsidRPr="00DA3EEF">
        <w:t xml:space="preserve">, No. 8:19-CV-607-T-33TGW, 2019 WL 10966204, at *4 (M.D. Fla. Oct. 23, 2019) (“[T]he veteran's preference policies . . . in [Section] 295.09(1)(a) are not ‘benefits of employment' under USERRA. Having made this determination, the Court finds that Case cannot seek relief under 38 U.S.C. § 4311(a) for [defendant's] alleged failure to afford preference to veterans in promotional decisions”); </w:t>
      </w:r>
      <w:r w:rsidRPr="00DA3EEF">
        <w:rPr>
          <w:i/>
          <w:iCs/>
        </w:rPr>
        <w:t xml:space="preserve">see also Wilborn v. </w:t>
      </w:r>
      <w:proofErr w:type="spellStart"/>
      <w:r w:rsidRPr="00DA3EEF">
        <w:rPr>
          <w:i/>
          <w:iCs/>
        </w:rPr>
        <w:t>Dep't</w:t>
      </w:r>
      <w:proofErr w:type="spellEnd"/>
      <w:r w:rsidRPr="00DA3EEF">
        <w:rPr>
          <w:i/>
          <w:iCs/>
        </w:rPr>
        <w:t xml:space="preserve"> of Just.</w:t>
      </w:r>
      <w:r w:rsidRPr="00DA3EEF">
        <w:t>, 230 F.3d 1383, 2000 WL 194114, at *2 (Fed. Cir. 2000) (noting “while USERRA prevents the denial of promotion on the basis of military service, it does not itself provide a remedy to veterans who are not given preferences in employment decisions”).</w:t>
      </w:r>
    </w:p>
    <w:p w14:paraId="1103CA03" w14:textId="77777777" w:rsidR="008E1D82" w:rsidRDefault="008E1D82" w:rsidP="008E1D82">
      <w:pPr>
        <w:pStyle w:val="NoSpacing"/>
      </w:pPr>
    </w:p>
    <w:p w14:paraId="71A98F4F" w14:textId="6C1C41D1" w:rsidR="00191CD7" w:rsidRPr="00977A84" w:rsidRDefault="00191CD7" w:rsidP="008E1D82">
      <w:pPr>
        <w:pStyle w:val="NoSpacing"/>
        <w:rPr>
          <w:rFonts w:ascii="Arial Black" w:hAnsi="Arial Black"/>
          <w:sz w:val="28"/>
          <w:szCs w:val="28"/>
        </w:rPr>
      </w:pPr>
      <w:r w:rsidRPr="00977A84">
        <w:rPr>
          <w:rFonts w:ascii="Arial Black" w:hAnsi="Arial Black"/>
          <w:sz w:val="28"/>
          <w:szCs w:val="28"/>
        </w:rPr>
        <w:t>6-178</w:t>
      </w:r>
    </w:p>
    <w:p w14:paraId="49CEAA64" w14:textId="77777777" w:rsidR="00191CD7" w:rsidRDefault="00191CD7" w:rsidP="008E1D82">
      <w:pPr>
        <w:pStyle w:val="NoSpacing"/>
      </w:pPr>
    </w:p>
    <w:p w14:paraId="28DF3FC2" w14:textId="225729C1" w:rsidR="00191CD7" w:rsidRPr="00977A84" w:rsidRDefault="00191CD7" w:rsidP="00191CD7">
      <w:pPr>
        <w:pStyle w:val="NoSpacing"/>
        <w:rPr>
          <w:rFonts w:ascii="Times New Roman" w:hAnsi="Times New Roman"/>
          <w:b/>
          <w:sz w:val="24"/>
          <w:szCs w:val="24"/>
        </w:rPr>
      </w:pPr>
      <w:r>
        <w:rPr>
          <w:rFonts w:ascii="Arial Black" w:hAnsi="Arial Black"/>
          <w:b/>
          <w:sz w:val="28"/>
          <w:szCs w:val="28"/>
        </w:rPr>
        <w:t>CT: NEW DROP LAW – NOT FF UNDER 55 – CASE PROCEED</w:t>
      </w:r>
      <w:r w:rsidR="00977A84">
        <w:rPr>
          <w:rFonts w:ascii="Arial Black" w:hAnsi="Arial Black"/>
          <w:b/>
          <w:sz w:val="28"/>
          <w:szCs w:val="28"/>
        </w:rPr>
        <w:t xml:space="preserve"> </w:t>
      </w:r>
      <w:r w:rsidR="00977A84" w:rsidRPr="00977A84">
        <w:rPr>
          <w:rFonts w:ascii="Times New Roman" w:hAnsi="Times New Roman"/>
          <w:b/>
          <w:sz w:val="24"/>
          <w:szCs w:val="24"/>
        </w:rPr>
        <w:t>[also filed, Chap. 18]</w:t>
      </w:r>
    </w:p>
    <w:p w14:paraId="179DB026" w14:textId="77777777" w:rsidR="00191CD7" w:rsidRDefault="00191CD7" w:rsidP="00191CD7">
      <w:pPr>
        <w:pStyle w:val="NoSpacing"/>
      </w:pPr>
    </w:p>
    <w:p w14:paraId="177B5DE6" w14:textId="77777777" w:rsidR="00191CD7" w:rsidRDefault="00191CD7" w:rsidP="00191CD7">
      <w:pPr>
        <w:pStyle w:val="NoSpacing"/>
      </w:pPr>
      <w:r>
        <w:t xml:space="preserve">On February 4, 2026, in </w:t>
      </w:r>
      <w:r w:rsidRPr="004C7896">
        <w:rPr>
          <w:u w:val="single"/>
        </w:rPr>
        <w:t>David Dobbs, IAFF Local 834</w:t>
      </w:r>
      <w:r>
        <w:rPr>
          <w:u w:val="single"/>
        </w:rPr>
        <w:t xml:space="preserve">, et al. </w:t>
      </w:r>
      <w:r w:rsidRPr="004C7896">
        <w:rPr>
          <w:u w:val="single"/>
        </w:rPr>
        <w:t xml:space="preserve"> v. Brian Vahey, Chair of the State of Connecticut Municipal Employees Retirement Commission, et al</w:t>
      </w:r>
      <w:r w:rsidRPr="004C7896">
        <w:t>., U.S.</w:t>
      </w:r>
      <w:r>
        <w:rPr>
          <w:u w:val="single"/>
        </w:rPr>
        <w:t xml:space="preserve"> </w:t>
      </w:r>
      <w:r>
        <w:t xml:space="preserve">District Court Judge </w:t>
      </w:r>
    </w:p>
    <w:p w14:paraId="72CE0DF4" w14:textId="77777777" w:rsidR="00191CD7" w:rsidRDefault="00191CD7" w:rsidP="00191CD7">
      <w:pPr>
        <w:pStyle w:val="NoSpacing"/>
      </w:pPr>
      <w:r w:rsidRPr="004F64AC">
        <w:t xml:space="preserve">Sarala V. </w:t>
      </w:r>
      <w:proofErr w:type="spellStart"/>
      <w:r w:rsidRPr="004F64AC">
        <w:t>Nagala</w:t>
      </w:r>
      <w:proofErr w:type="spellEnd"/>
      <w:r w:rsidRPr="00357297">
        <w:t>, United States United States District Court for the District of Connecticut</w:t>
      </w:r>
      <w:r>
        <w:t>, denied the Commission’s motion to dismiss (</w:t>
      </w:r>
      <w:proofErr w:type="gramStart"/>
      <w:r>
        <w:t>and also</w:t>
      </w:r>
      <w:proofErr w:type="gramEnd"/>
      <w:r>
        <w:t xml:space="preserve"> Bridgeport firefighters and Union’s motion for preliminary injunction); case will now proceed with pre-trial discovery.  The Bridgeport firefighters and Local 834 argue that it is age discrimination under the new DROP program to allow some public safety employees (including Plaintiffs) to be eligible to retire—for instance, if they have completed twenty-five years of service—but ineligible to enter the DROP, because they are not yet age 55 and have not completed thirty years of service.  </w:t>
      </w:r>
      <w:hyperlink r:id="rId1070" w:history="1">
        <w:r w:rsidRPr="00FF19A6">
          <w:rPr>
            <w:rStyle w:val="Hyperlink"/>
          </w:rPr>
          <w:t>https://ecf.ctd.uscourts.gov/cgi-bin/show_public_doc?2025cv0824-74</w:t>
        </w:r>
      </w:hyperlink>
      <w:r>
        <w:t xml:space="preserve"> </w:t>
      </w:r>
    </w:p>
    <w:p w14:paraId="65FA3BD4" w14:textId="77777777" w:rsidR="00191CD7" w:rsidRDefault="00191CD7" w:rsidP="00191CD7">
      <w:pPr>
        <w:pStyle w:val="NoSpacing"/>
      </w:pPr>
    </w:p>
    <w:p w14:paraId="4BD62D53" w14:textId="77777777" w:rsidR="00191CD7" w:rsidRDefault="00191CD7" w:rsidP="00191CD7">
      <w:pPr>
        <w:pStyle w:val="NoSpacing"/>
      </w:pPr>
      <w:r>
        <w:t xml:space="preserve">THE COURT HELD: “Effective July 1, 2025, certain members of the Connecticut Municipal Employees’ Retirement System who are otherwise eligible to retire can elect to defer their retirement allowance, while continuing their employment for up to five years, under a Deferred Retirement Option Plan (‘DROP’)…. </w:t>
      </w:r>
      <w:r w:rsidRPr="00D22380">
        <w:t>Under the statute adopted by the Connecticut legislature, the Connecticut State Employees</w:t>
      </w:r>
      <w:r>
        <w:t xml:space="preserve"> </w:t>
      </w:r>
      <w:r w:rsidRPr="00D22380">
        <w:t xml:space="preserve">Retirement Commission </w:t>
      </w:r>
      <w:r>
        <w:t>‘</w:t>
      </w:r>
      <w:r w:rsidRPr="00D22380">
        <w:t>may create</w:t>
      </w:r>
      <w:r>
        <w:t>’</w:t>
      </w:r>
      <w:r w:rsidRPr="00D22380">
        <w:t xml:space="preserve"> a DROP, which </w:t>
      </w:r>
      <w:r>
        <w:t>‘</w:t>
      </w:r>
      <w:r w:rsidRPr="00D22380">
        <w:t>shall include a fixed period of time for</w:t>
      </w:r>
      <w:r>
        <w:t xml:space="preserve"> </w:t>
      </w:r>
      <w:r w:rsidRPr="00D22380">
        <w:t>member participation, not to exceed five years, and a specified rate of interest credit for member</w:t>
      </w:r>
      <w:r>
        <w:t xml:space="preserve"> </w:t>
      </w:r>
      <w:r w:rsidRPr="00D22380">
        <w:t>accounts.” Conn. Gen. Stat. § 7-459b(b)</w:t>
      </w:r>
      <w:r>
        <w:t xml:space="preserve">…. As relevant here, retirement-eligible firefighters may join the DROP at age 57 with five years of continuous service, at age 55 with 25 years of aggregate service, or with 30 years of aggregate service regardless of age. The Individual Plaintiffs, firefighters with the Bridgeport Fire Department,1 are eligible for retirement allowances by virtue of their tenure with the Fire Department, but are all under age 55, and therefore ineligible to join the DROP. *** First, the Court notes that Defendants’ argument about the rationality of the age classification—that it incentivizes skilled employees to delay their retirement beyond the date they are first eligible to collect pension benefits, thereby extending the period during which the employees contribute to the plan and delaying the time at which they begin to receive payments— are not in fact arguments about the rationality of the challenged age classification at all: they are simply arguments about the rationality of adopting a DROP as a whole….  </w:t>
      </w:r>
      <w:proofErr w:type="gramStart"/>
      <w:r>
        <w:t>(‘[</w:t>
      </w:r>
      <w:proofErr w:type="gramEnd"/>
      <w:r>
        <w:t>The DROP] is also intended to encourage . . . skilled employees to stick around and delay their retirement’). Defendants do not meaningfully explain why this reasoning would apply differently to retirement-eligible firefighters who are under age 55 than to those who are age 55 or older. The desire to keep skilled employees working for a longer period and to delay paying benefits applies to all employees, regardless of age, and therefore does not squarely address the age-55 requirement Plaintiffs challenge here.”</w:t>
      </w:r>
    </w:p>
    <w:p w14:paraId="7295A5E9" w14:textId="77777777" w:rsidR="00191CD7" w:rsidRDefault="00191CD7" w:rsidP="00191CD7">
      <w:pPr>
        <w:pStyle w:val="NoSpacing"/>
      </w:pPr>
    </w:p>
    <w:p w14:paraId="720AD6E6" w14:textId="77777777" w:rsidR="00191CD7" w:rsidRDefault="00191CD7" w:rsidP="00191CD7">
      <w:pPr>
        <w:pStyle w:val="NoSpacing"/>
        <w:rPr>
          <w:b/>
          <w:bCs/>
        </w:rPr>
      </w:pPr>
      <w:r w:rsidRPr="007A4F40">
        <w:rPr>
          <w:b/>
        </w:rPr>
        <w:t xml:space="preserve">Legal lesson learned: </w:t>
      </w:r>
      <w:r>
        <w:rPr>
          <w:b/>
        </w:rPr>
        <w:t xml:space="preserve">The case will now proceed with pre-trial discovery; the Commission will then likely file a motion for summary judgment that addresses the cost reasons for keeping eligibility at age 55 or older. </w:t>
      </w:r>
    </w:p>
    <w:p w14:paraId="24E32E1E" w14:textId="77777777" w:rsidR="00191CD7" w:rsidRDefault="00191CD7" w:rsidP="00191CD7">
      <w:pPr>
        <w:pStyle w:val="NoSpacing"/>
        <w:rPr>
          <w:b/>
          <w:bCs/>
        </w:rPr>
      </w:pPr>
    </w:p>
    <w:p w14:paraId="3A6CF26A" w14:textId="77777777" w:rsidR="00191CD7" w:rsidRDefault="00191CD7" w:rsidP="00191CD7">
      <w:pPr>
        <w:pStyle w:val="NoSpacing"/>
      </w:pPr>
      <w:r>
        <w:tab/>
        <w:t xml:space="preserve">Note: See Ohio DROP. </w:t>
      </w:r>
      <w:hyperlink r:id="rId1071" w:history="1">
        <w:r w:rsidRPr="00FF19A6">
          <w:rPr>
            <w:rStyle w:val="Hyperlink"/>
          </w:rPr>
          <w:t>https://www.op-f.org/files/mgdrop.pdf</w:t>
        </w:r>
      </w:hyperlink>
      <w:r>
        <w:t xml:space="preserve"> </w:t>
      </w:r>
    </w:p>
    <w:p w14:paraId="009CAB39" w14:textId="77777777" w:rsidR="00191CD7" w:rsidRDefault="00191CD7" w:rsidP="00191CD7">
      <w:pPr>
        <w:pStyle w:val="NoSpacing"/>
        <w:ind w:left="720"/>
      </w:pPr>
      <w:r>
        <w:t>“If you are eligible for a normal service retirement you can enter the DROP</w:t>
      </w:r>
    </w:p>
    <w:p w14:paraId="15614D9A" w14:textId="77777777" w:rsidR="00191CD7" w:rsidRDefault="00191CD7" w:rsidP="00191CD7">
      <w:pPr>
        <w:pStyle w:val="NoSpacing"/>
        <w:ind w:firstLine="720"/>
      </w:pPr>
      <w:r>
        <w:t>program by delaying retirement and continuing to work as a police officer or</w:t>
      </w:r>
    </w:p>
    <w:p w14:paraId="50EAC0A5" w14:textId="77777777" w:rsidR="00191CD7" w:rsidRDefault="00191CD7" w:rsidP="00191CD7">
      <w:pPr>
        <w:pStyle w:val="NoSpacing"/>
        <w:ind w:firstLine="720"/>
      </w:pPr>
      <w:r>
        <w:t>firefighter. For those who were OP&amp;F members on or before July 1, 2013,</w:t>
      </w:r>
    </w:p>
    <w:p w14:paraId="58ED6C05" w14:textId="77777777" w:rsidR="00191CD7" w:rsidRDefault="00191CD7" w:rsidP="00191CD7">
      <w:pPr>
        <w:pStyle w:val="NoSpacing"/>
        <w:ind w:firstLine="720"/>
      </w:pPr>
      <w:proofErr w:type="gramStart"/>
      <w:r>
        <w:t>normal</w:t>
      </w:r>
      <w:proofErr w:type="gramEnd"/>
      <w:r>
        <w:t xml:space="preserve"> service retirement eligibility is at least 48 years of age with at least 25 years</w:t>
      </w:r>
    </w:p>
    <w:p w14:paraId="2755D788" w14:textId="77777777" w:rsidR="00191CD7" w:rsidRDefault="00191CD7" w:rsidP="00191CD7">
      <w:pPr>
        <w:pStyle w:val="NoSpacing"/>
        <w:ind w:firstLine="720"/>
      </w:pPr>
      <w:r>
        <w:t>of service. For members hired into an OP&amp;F-covered position after July 1, 2013,</w:t>
      </w:r>
    </w:p>
    <w:p w14:paraId="233A3C79" w14:textId="77777777" w:rsidR="00191CD7" w:rsidRPr="004749CB" w:rsidRDefault="00191CD7" w:rsidP="00191CD7">
      <w:pPr>
        <w:pStyle w:val="NoSpacing"/>
        <w:ind w:firstLine="720"/>
      </w:pPr>
      <w:r>
        <w:t>normal service retirement is age 52 with at least 25 years of service.”</w:t>
      </w:r>
    </w:p>
    <w:p w14:paraId="0C2EAD0D" w14:textId="77777777" w:rsidR="00191CD7" w:rsidRDefault="00191CD7" w:rsidP="00191CD7">
      <w:pPr>
        <w:pStyle w:val="NoSpacing"/>
      </w:pPr>
    </w:p>
    <w:p w14:paraId="75B17CF3" w14:textId="77777777" w:rsidR="00191CD7" w:rsidRDefault="00191CD7" w:rsidP="00191CD7">
      <w:pPr>
        <w:pStyle w:val="NoSpacing"/>
      </w:pPr>
    </w:p>
    <w:p w14:paraId="75967A50" w14:textId="77777777" w:rsidR="00191CD7" w:rsidRDefault="00191CD7" w:rsidP="008E1D82">
      <w:pPr>
        <w:pStyle w:val="NoSpacing"/>
      </w:pPr>
    </w:p>
    <w:p w14:paraId="41908A86" w14:textId="77777777" w:rsidR="00191CD7" w:rsidRDefault="00191CD7" w:rsidP="008E1D82">
      <w:pPr>
        <w:pStyle w:val="NoSpacing"/>
      </w:pPr>
    </w:p>
    <w:p w14:paraId="458C6A5C" w14:textId="77777777" w:rsidR="008E1D82" w:rsidRDefault="008E1D82" w:rsidP="000624FD">
      <w:pPr>
        <w:pStyle w:val="NoSpacing"/>
        <w:rPr>
          <w:rFonts w:ascii="Arial Black" w:hAnsi="Arial Black"/>
          <w:b/>
          <w:sz w:val="28"/>
          <w:szCs w:val="28"/>
        </w:rPr>
      </w:pPr>
    </w:p>
    <w:p w14:paraId="0FB4758C" w14:textId="04E4A26F" w:rsidR="006D2F6D" w:rsidRDefault="00CB4012" w:rsidP="000624FD">
      <w:pPr>
        <w:pStyle w:val="NoSpacing"/>
        <w:rPr>
          <w:rFonts w:ascii="Arial Black" w:hAnsi="Arial Black"/>
          <w:b/>
          <w:sz w:val="28"/>
          <w:szCs w:val="28"/>
        </w:rPr>
      </w:pPr>
      <w:r>
        <w:rPr>
          <w:rFonts w:ascii="Arial Black" w:hAnsi="Arial Black"/>
          <w:b/>
          <w:sz w:val="28"/>
          <w:szCs w:val="28"/>
        </w:rPr>
        <w:t>6-177</w:t>
      </w:r>
    </w:p>
    <w:p w14:paraId="51A57099" w14:textId="77777777" w:rsidR="00CB4012" w:rsidRDefault="00CB4012" w:rsidP="000624FD">
      <w:pPr>
        <w:pStyle w:val="NoSpacing"/>
        <w:rPr>
          <w:rFonts w:ascii="Arial Black" w:hAnsi="Arial Black"/>
          <w:b/>
          <w:sz w:val="28"/>
          <w:szCs w:val="28"/>
        </w:rPr>
      </w:pPr>
    </w:p>
    <w:p w14:paraId="76806ADA" w14:textId="77777777" w:rsidR="00CB4012" w:rsidRDefault="00CB4012" w:rsidP="00CB4012">
      <w:pPr>
        <w:pStyle w:val="NoSpacing"/>
        <w:rPr>
          <w:rFonts w:ascii="Arial Black" w:hAnsi="Arial Black"/>
          <w:b/>
          <w:sz w:val="28"/>
          <w:szCs w:val="28"/>
        </w:rPr>
      </w:pPr>
      <w:r>
        <w:rPr>
          <w:rFonts w:ascii="Arial Black" w:hAnsi="Arial Black"/>
          <w:b/>
          <w:sz w:val="28"/>
          <w:szCs w:val="28"/>
        </w:rPr>
        <w:t>PA: COLON CANCER – TOBACCO - FAMILY HIST - NO LODD</w:t>
      </w:r>
    </w:p>
    <w:p w14:paraId="37901BB7" w14:textId="77777777" w:rsidR="00CB4012" w:rsidRDefault="00CB4012" w:rsidP="00CB4012">
      <w:pPr>
        <w:pStyle w:val="NoSpacing"/>
        <w:rPr>
          <w:bCs/>
        </w:rPr>
      </w:pPr>
    </w:p>
    <w:p w14:paraId="2E841253" w14:textId="77777777" w:rsidR="00CB4012" w:rsidRDefault="00CB4012" w:rsidP="00CB4012">
      <w:pPr>
        <w:pStyle w:val="NoSpacing"/>
      </w:pPr>
      <w:r w:rsidRPr="00ED6F9A">
        <w:t xml:space="preserve">On February 2, 2026, in </w:t>
      </w:r>
      <w:r w:rsidRPr="000768AC">
        <w:rPr>
          <w:u w:val="single"/>
        </w:rPr>
        <w:t xml:space="preserve">Estate of Thomas R. </w:t>
      </w:r>
      <w:proofErr w:type="spellStart"/>
      <w:r w:rsidRPr="000768AC">
        <w:rPr>
          <w:u w:val="single"/>
        </w:rPr>
        <w:t>Tratthen</w:t>
      </w:r>
      <w:proofErr w:type="spellEnd"/>
      <w:r w:rsidRPr="000768AC">
        <w:rPr>
          <w:u w:val="single"/>
        </w:rPr>
        <w:t xml:space="preserve"> and Lisa </w:t>
      </w:r>
      <w:proofErr w:type="spellStart"/>
      <w:r w:rsidRPr="000768AC">
        <w:rPr>
          <w:u w:val="single"/>
        </w:rPr>
        <w:t>Tratthen</w:t>
      </w:r>
      <w:proofErr w:type="spellEnd"/>
      <w:r w:rsidRPr="000768AC">
        <w:rPr>
          <w:u w:val="single"/>
        </w:rPr>
        <w:t xml:space="preserve"> v. Department of General Services</w:t>
      </w:r>
      <w:r w:rsidRPr="00137327">
        <w:t xml:space="preserve">, </w:t>
      </w:r>
      <w:r>
        <w:t xml:space="preserve">the </w:t>
      </w:r>
      <w:r w:rsidRPr="00137327">
        <w:t xml:space="preserve"> Commonwealth Court of Pennsylvania</w:t>
      </w:r>
      <w:r>
        <w:t xml:space="preserve"> held (3 to 0) that the family of the firefighter who died of colon cancer on June 4, </w:t>
      </w:r>
      <w:proofErr w:type="gramStart"/>
      <w:r>
        <w:t>2018</w:t>
      </w:r>
      <w:proofErr w:type="gramEnd"/>
      <w:r>
        <w:t xml:space="preserve"> was properly </w:t>
      </w:r>
      <w:r w:rsidRPr="00001CCE">
        <w:t>denie</w:t>
      </w:r>
      <w:r>
        <w:t xml:space="preserve">d </w:t>
      </w:r>
      <w:r w:rsidRPr="00001CCE">
        <w:t>Line of Duty Death (LODD) benefits under the Emergency and Law Enforcement Personnel Death Benefits Act (Act 101).</w:t>
      </w:r>
      <w:r>
        <w:rPr>
          <w:vertAlign w:val="superscript"/>
        </w:rPr>
        <w:t xml:space="preserve"> </w:t>
      </w:r>
      <w:r w:rsidRPr="00D9476B">
        <w:t xml:space="preserve">He worked full time for Dunmore Borough from 2000 to 2007, and </w:t>
      </w:r>
      <w:proofErr w:type="gramStart"/>
      <w:r w:rsidRPr="00D9476B">
        <w:t>part-time paid</w:t>
      </w:r>
      <w:proofErr w:type="gramEnd"/>
      <w:r w:rsidRPr="00D9476B">
        <w:t xml:space="preserve"> until June 4, 2018</w:t>
      </w:r>
      <w:r>
        <w:t xml:space="preserve">, but had </w:t>
      </w:r>
      <w:r w:rsidRPr="00217163">
        <w:t>diabetes</w:t>
      </w:r>
      <w:r>
        <w:t xml:space="preserve">, </w:t>
      </w:r>
      <w:r w:rsidRPr="00217163">
        <w:t>25-year history of smokeless tobacco use</w:t>
      </w:r>
      <w:r>
        <w:t xml:space="preserve">, and a family history of colon cancer. </w:t>
      </w:r>
      <w:hyperlink r:id="rId1072" w:history="1">
        <w:r w:rsidRPr="00734647">
          <w:rPr>
            <w:rStyle w:val="Hyperlink"/>
          </w:rPr>
          <w:t>https://www.pacourts.us/assets/opinions/Commonwealth/out/1089CD24_2-2-26.pdf?cb=1</w:t>
        </w:r>
      </w:hyperlink>
      <w:r>
        <w:t xml:space="preserve"> </w:t>
      </w:r>
    </w:p>
    <w:p w14:paraId="1BBFC1A3" w14:textId="77777777" w:rsidR="00CB4012" w:rsidRDefault="00CB4012" w:rsidP="00CB4012">
      <w:pPr>
        <w:pStyle w:val="NoSpacing"/>
      </w:pPr>
    </w:p>
    <w:p w14:paraId="267448A2" w14:textId="77777777" w:rsidR="00CB4012" w:rsidRDefault="00CB4012" w:rsidP="00CB4012">
      <w:pPr>
        <w:pStyle w:val="NoSpacing"/>
        <w:rPr>
          <w:b/>
        </w:rPr>
      </w:pPr>
      <w:r>
        <w:t>THE COURT HELD: “</w:t>
      </w:r>
      <w:r w:rsidRPr="00FB0CC5">
        <w:t>This Court agrees with the Department's reasoning. Given that the standard is whether, but for Decedent's firefighting activities, Decedent's colon cancer would not have occurred, and Petitioners did not present any evidence from which the Department could so conclude, the Department properly denied LODD benefits</w:t>
      </w:r>
      <w:r>
        <w:t xml:space="preserve">…. </w:t>
      </w:r>
      <w:r w:rsidRPr="00EA1266">
        <w:t xml:space="preserve">On July 26, 2022, the Department's Bureau of Finance and Risk Management (Bureau) denied Petitioners' LODD benefits claim. On August 17, 2022, Petitioners filed a Notice of Appeal and Request for Hearing. On May 12, 2023, Department Hearing Officer Michael T. Foerster (Hearing Officer Foerster) held a hearing at which the Bureau and Petitioners </w:t>
      </w:r>
      <w:proofErr w:type="gramStart"/>
      <w:r w:rsidRPr="00EA1266">
        <w:t>stipulated to</w:t>
      </w:r>
      <w:proofErr w:type="gramEnd"/>
      <w:r w:rsidRPr="00EA1266">
        <w:t xml:space="preserve"> certain facts and documents. In addition, the Bureau </w:t>
      </w:r>
      <w:proofErr w:type="gramStart"/>
      <w:r w:rsidRPr="00EA1266">
        <w:t>entered into</w:t>
      </w:r>
      <w:proofErr w:type="gramEnd"/>
      <w:r w:rsidRPr="00EA1266">
        <w:t xml:space="preserve"> evidence additional documents and both sides presented witnesses</w:t>
      </w:r>
      <w:r w:rsidRPr="00EA1266">
        <w:rPr>
          <w:b/>
        </w:rPr>
        <w:t>.</w:t>
      </w:r>
      <w:r>
        <w:rPr>
          <w:b/>
        </w:rPr>
        <w:t xml:space="preserve"> </w:t>
      </w:r>
    </w:p>
    <w:p w14:paraId="56132E17" w14:textId="77777777" w:rsidR="00CB4012" w:rsidRPr="00217163" w:rsidRDefault="00CB4012" w:rsidP="00CB4012">
      <w:pPr>
        <w:pStyle w:val="NoSpacing"/>
      </w:pPr>
      <w:r w:rsidRPr="0045688E">
        <w:t xml:space="preserve">Petitioners presented, inter alia, Tee Guidotti, M.D.'s (Dr. Guidotti) April 3, </w:t>
      </w:r>
      <w:proofErr w:type="gramStart"/>
      <w:r w:rsidRPr="0045688E">
        <w:t>2020</w:t>
      </w:r>
      <w:proofErr w:type="gramEnd"/>
      <w:r w:rsidRPr="0045688E">
        <w:t xml:space="preserve"> report to support Petitioners' Act 101 claim, which had also been produced in support of Decedent's claim for WC benefits. Therein, Dr. Guidotti stated: </w:t>
      </w:r>
      <w:r>
        <w:t xml:space="preserve"> </w:t>
      </w:r>
      <w:r w:rsidRPr="0045688E">
        <w:t xml:space="preserve">Given [Decedent's] long service and exposure to International Agency for Research on Cancer (IARC) Group I carcinogens in smoke, soot, diesel emissions, and building materials, I can opine, to a reasonable degree of medical certainty, that his volunteer fire service was, at a minimum, a substantial contributing factor to his diagnosis with cancer. </w:t>
      </w:r>
      <w:r>
        <w:t xml:space="preserve"> </w:t>
      </w:r>
      <w:r w:rsidRPr="0045688E">
        <w:t>Reproduced Record (R.R.) at 138a (emphasis added)</w:t>
      </w:r>
      <w:r>
        <w:t xml:space="preserve">…. </w:t>
      </w:r>
      <w:r w:rsidRPr="00217163">
        <w:t xml:space="preserve">The Bureau presented, </w:t>
      </w:r>
      <w:r w:rsidRPr="00217163">
        <w:rPr>
          <w:i/>
          <w:iCs/>
        </w:rPr>
        <w:t>inter alia</w:t>
      </w:r>
      <w:r w:rsidRPr="00217163">
        <w:t xml:space="preserve">, Howard Sandler, M.D.'s (Dr. Sandler) December 3, </w:t>
      </w:r>
      <w:proofErr w:type="gramStart"/>
      <w:r w:rsidRPr="00217163">
        <w:t>2020</w:t>
      </w:r>
      <w:proofErr w:type="gramEnd"/>
      <w:r w:rsidRPr="00217163">
        <w:t xml:space="preserve"> report authored on behalf of the insurance carrier defending against Decedent's WC claim. Therein, Dr. Sandler referenced Decedent's diabetes and his 25-year history of smokeless tobacco use, and opined: </w:t>
      </w:r>
    </w:p>
    <w:p w14:paraId="38DC0DE2" w14:textId="77777777" w:rsidR="00CB4012" w:rsidRPr="00217163" w:rsidRDefault="00CB4012" w:rsidP="00CB4012">
      <w:pPr>
        <w:pStyle w:val="NoSpacing"/>
      </w:pPr>
      <w:r w:rsidRPr="00217163">
        <w:t>[</w:t>
      </w:r>
      <w:proofErr w:type="gramStart"/>
      <w:r w:rsidRPr="00217163">
        <w:t>Decedent's</w:t>
      </w:r>
      <w:proofErr w:type="gramEnd"/>
      <w:r w:rsidRPr="00217163">
        <w:t xml:space="preserve">] diagnosed colorectal or rectal carcinomas are most likely caused by his underlying personal risk factors as discussed previously[,] such as diet, minimal physical activity, diabetes mellitus, obesity, smoking[,] and alcohol consumption. . . . [Decedent's] family history of various cancers[,] including colon cancer[,] is indeed a risk factor for the development of colorectal/rectal </w:t>
      </w:r>
      <w:proofErr w:type="gramStart"/>
      <w:r w:rsidRPr="00217163">
        <w:t>cancer.</w:t>
      </w:r>
      <w:r>
        <w:t>”</w:t>
      </w:r>
      <w:proofErr w:type="gramEnd"/>
    </w:p>
    <w:p w14:paraId="6D0D75A9" w14:textId="77777777" w:rsidR="00CB4012" w:rsidRDefault="00CB4012" w:rsidP="00CB4012">
      <w:pPr>
        <w:pStyle w:val="NoSpacing"/>
      </w:pPr>
    </w:p>
    <w:p w14:paraId="3867B713" w14:textId="77777777" w:rsidR="00CB4012" w:rsidRPr="000768AC" w:rsidRDefault="00CB4012" w:rsidP="00CB4012">
      <w:pPr>
        <w:pStyle w:val="NoSpacing"/>
        <w:rPr>
          <w:b/>
          <w:bCs/>
        </w:rPr>
      </w:pPr>
      <w:r>
        <w:rPr>
          <w:b/>
        </w:rPr>
        <w:t xml:space="preserve">Legal lesson learned: The 25-year history of smokeless tobacco use, and family history, led to denial of LODD benefits. </w:t>
      </w:r>
    </w:p>
    <w:p w14:paraId="7DE73648" w14:textId="77777777" w:rsidR="00CB4012" w:rsidRDefault="00CB4012" w:rsidP="00CB4012">
      <w:pPr>
        <w:pStyle w:val="NoSpacing"/>
      </w:pPr>
    </w:p>
    <w:p w14:paraId="2A1A54F4" w14:textId="77777777" w:rsidR="00CB4012" w:rsidRDefault="00CB4012" w:rsidP="00CB4012">
      <w:pPr>
        <w:pStyle w:val="NoSpacing"/>
      </w:pPr>
    </w:p>
    <w:p w14:paraId="187FB646" w14:textId="77777777" w:rsidR="00CB4012" w:rsidRDefault="00CB4012" w:rsidP="000624FD">
      <w:pPr>
        <w:pStyle w:val="NoSpacing"/>
        <w:rPr>
          <w:rFonts w:ascii="Arial Black" w:hAnsi="Arial Black"/>
          <w:b/>
          <w:sz w:val="28"/>
          <w:szCs w:val="28"/>
        </w:rPr>
      </w:pPr>
    </w:p>
    <w:p w14:paraId="512C3D0D" w14:textId="77777777" w:rsidR="006D2F6D" w:rsidRDefault="006D2F6D" w:rsidP="000624FD">
      <w:pPr>
        <w:pStyle w:val="NoSpacing"/>
        <w:rPr>
          <w:rFonts w:ascii="Arial Black" w:hAnsi="Arial Black"/>
          <w:b/>
          <w:sz w:val="28"/>
          <w:szCs w:val="28"/>
        </w:rPr>
      </w:pPr>
    </w:p>
    <w:p w14:paraId="095BA951" w14:textId="77777777" w:rsidR="006D2F6D" w:rsidRDefault="006D2F6D" w:rsidP="000624FD">
      <w:pPr>
        <w:pStyle w:val="NoSpacing"/>
        <w:rPr>
          <w:rFonts w:ascii="Arial Black" w:hAnsi="Arial Black"/>
          <w:b/>
          <w:sz w:val="28"/>
          <w:szCs w:val="28"/>
        </w:rPr>
      </w:pPr>
    </w:p>
    <w:p w14:paraId="08490DB9" w14:textId="292EF437" w:rsidR="007369A1" w:rsidRDefault="007369A1" w:rsidP="000624FD">
      <w:pPr>
        <w:pStyle w:val="NoSpacing"/>
        <w:rPr>
          <w:rFonts w:ascii="Arial Black" w:hAnsi="Arial Black"/>
          <w:b/>
          <w:sz w:val="28"/>
          <w:szCs w:val="28"/>
        </w:rPr>
      </w:pPr>
      <w:r>
        <w:rPr>
          <w:rFonts w:ascii="Arial Black" w:hAnsi="Arial Black"/>
          <w:b/>
          <w:sz w:val="28"/>
          <w:szCs w:val="28"/>
        </w:rPr>
        <w:t>6-176</w:t>
      </w:r>
    </w:p>
    <w:p w14:paraId="40B5F97F" w14:textId="77777777" w:rsidR="007369A1" w:rsidRDefault="007369A1" w:rsidP="007369A1">
      <w:pPr>
        <w:rPr>
          <w:rFonts w:ascii="Arial Black" w:hAnsi="Arial Black"/>
          <w:b/>
          <w:sz w:val="28"/>
          <w:szCs w:val="28"/>
        </w:rPr>
      </w:pPr>
      <w:r>
        <w:rPr>
          <w:rFonts w:ascii="Arial Black" w:hAnsi="Arial Black"/>
          <w:b/>
          <w:sz w:val="28"/>
          <w:szCs w:val="28"/>
        </w:rPr>
        <w:t>DE: BACK INJURY – “RECURRENCE” PRIOR AT ANOTHER FD</w:t>
      </w:r>
    </w:p>
    <w:p w14:paraId="20314A64" w14:textId="77777777" w:rsidR="007369A1" w:rsidRDefault="007369A1" w:rsidP="007369A1">
      <w:pPr>
        <w:rPr>
          <w:b/>
        </w:rPr>
      </w:pPr>
      <w:r w:rsidRPr="00555944">
        <w:t xml:space="preserve">On December 4, 2025, in </w:t>
      </w:r>
      <w:r w:rsidRPr="00555944">
        <w:rPr>
          <w:u w:val="single"/>
        </w:rPr>
        <w:t>Corey Ferrell v. City of Wilmington</w:t>
      </w:r>
      <w:r w:rsidRPr="00555944">
        <w:t xml:space="preserve">, </w:t>
      </w:r>
      <w:r>
        <w:t xml:space="preserve">the </w:t>
      </w:r>
      <w:r w:rsidRPr="00EA031B">
        <w:t>Supreme Court of Delaware</w:t>
      </w:r>
      <w:r>
        <w:t xml:space="preserve"> held (3 to 0) that Wilmington Fire Department had no workers comp liability for 2023 incident, where the firefighter injured his back carrying two high-rise packs (second was for his officer) up high-rise, since this was a “recurrence” of a 2015 claim settled with the </w:t>
      </w:r>
      <w:r w:rsidRPr="004B7C01">
        <w:t>Belvedere</w:t>
      </w:r>
      <w:r>
        <w:t xml:space="preserve"> Fire Department where he worked on </w:t>
      </w:r>
      <w:r w:rsidRPr="004B7C01">
        <w:t>part-time basis</w:t>
      </w:r>
      <w:r>
        <w:t xml:space="preserve">. </w:t>
      </w:r>
      <w:hyperlink r:id="rId1073" w:history="1">
        <w:r w:rsidRPr="007F05A7">
          <w:rPr>
            <w:rStyle w:val="Hyperlink"/>
            <w:b/>
          </w:rPr>
          <w:t>https://cases.justia.com/delaware/supreme-court/2025-152-2025.pdf?ts=1764862317</w:t>
        </w:r>
      </w:hyperlink>
      <w:r>
        <w:rPr>
          <w:b/>
        </w:rPr>
        <w:t xml:space="preserve"> </w:t>
      </w:r>
    </w:p>
    <w:p w14:paraId="1DFF9C39" w14:textId="77777777" w:rsidR="007369A1" w:rsidRDefault="007369A1" w:rsidP="007369A1">
      <w:pPr>
        <w:rPr>
          <w:bCs/>
        </w:rPr>
      </w:pPr>
      <w:r>
        <w:t>THE COURT HELD:</w:t>
      </w:r>
    </w:p>
    <w:p w14:paraId="7218EB87" w14:textId="77777777" w:rsidR="007369A1" w:rsidRDefault="007369A1" w:rsidP="007369A1">
      <w:pPr>
        <w:pStyle w:val="NoSpacing"/>
        <w:ind w:left="720"/>
        <w:rPr>
          <w:bCs/>
        </w:rPr>
      </w:pPr>
      <w:r>
        <w:t>“</w:t>
      </w:r>
      <w:r w:rsidRPr="005C01D2">
        <w:t>Ultimately, the Board concluded that the 2023 incident was a recurrence of</w:t>
      </w:r>
      <w:r>
        <w:t xml:space="preserve"> </w:t>
      </w:r>
      <w:r w:rsidRPr="005C01D2">
        <w:t>the injury that Ferrell sustained in 2015. In reaching that conclusion, the Board</w:t>
      </w:r>
      <w:r>
        <w:t xml:space="preserve"> </w:t>
      </w:r>
      <w:r w:rsidRPr="005C01D2">
        <w:t>placed significant weight on Dr. Matz’s opinion and testimony. The Board found</w:t>
      </w:r>
      <w:r>
        <w:t xml:space="preserve"> </w:t>
      </w:r>
      <w:r w:rsidRPr="005C01D2">
        <w:t>that the 2023 incident did not aggravate the 2015 injury and did not cause a new,</w:t>
      </w:r>
      <w:r>
        <w:t xml:space="preserve"> </w:t>
      </w:r>
      <w:r w:rsidRPr="005C01D2">
        <w:t>separately compensable injury to Ferrell. The Board agreed with Dr. Matz that a</w:t>
      </w:r>
      <w:r>
        <w:t xml:space="preserve"> </w:t>
      </w:r>
      <w:r w:rsidRPr="005C01D2">
        <w:t>comparison of Ferrell’s MRIs showed the expected progression of spinal</w:t>
      </w:r>
      <w:r>
        <w:t xml:space="preserve"> </w:t>
      </w:r>
      <w:r w:rsidRPr="005C01D2">
        <w:t>deterioration from the 2015 injury, and the Board found that the act of walking up</w:t>
      </w:r>
      <w:r>
        <w:t xml:space="preserve"> </w:t>
      </w:r>
      <w:r w:rsidRPr="005C01D2">
        <w:t xml:space="preserve">the stairs carrying the high-rise packs was not enough to create a </w:t>
      </w:r>
      <w:r>
        <w:t>‘</w:t>
      </w:r>
      <w:r w:rsidRPr="005C01D2">
        <w:t>genuine</w:t>
      </w:r>
      <w:r>
        <w:t xml:space="preserve"> </w:t>
      </w:r>
      <w:r w:rsidRPr="005C01D2">
        <w:t xml:space="preserve">intervening </w:t>
      </w:r>
      <w:proofErr w:type="gramStart"/>
      <w:r w:rsidRPr="005C01D2">
        <w:t>event.</w:t>
      </w:r>
      <w:r>
        <w:t>’</w:t>
      </w:r>
      <w:proofErr w:type="gramEnd"/>
      <w:r>
        <w:t xml:space="preserve"> </w:t>
      </w:r>
      <w:r w:rsidRPr="001B07A1">
        <w:t>The Board therefore held that liability for the 2023 incident</w:t>
      </w:r>
      <w:r>
        <w:t xml:space="preserve"> </w:t>
      </w:r>
      <w:r w:rsidRPr="002F57F5">
        <w:t>would remain under the 2015 claim and denied Ferrell’s petition for workers’</w:t>
      </w:r>
      <w:r>
        <w:t xml:space="preserve"> </w:t>
      </w:r>
      <w:r w:rsidRPr="002F57F5">
        <w:t>compensation coverage from Wilmington FD.</w:t>
      </w:r>
    </w:p>
    <w:p w14:paraId="41109C6B" w14:textId="77777777" w:rsidR="007369A1" w:rsidRDefault="007369A1" w:rsidP="007369A1">
      <w:pPr>
        <w:pStyle w:val="NoSpacing"/>
        <w:ind w:left="720"/>
        <w:rPr>
          <w:bCs/>
        </w:rPr>
      </w:pPr>
    </w:p>
    <w:p w14:paraId="354D90CF" w14:textId="77777777" w:rsidR="007369A1" w:rsidRDefault="007369A1" w:rsidP="007369A1">
      <w:pPr>
        <w:pStyle w:val="NoSpacing"/>
        <w:ind w:left="720"/>
        <w:rPr>
          <w:bCs/>
        </w:rPr>
      </w:pPr>
      <w:r>
        <w:t>***</w:t>
      </w:r>
    </w:p>
    <w:p w14:paraId="7BB92A2A" w14:textId="77777777" w:rsidR="007369A1" w:rsidRDefault="007369A1" w:rsidP="007369A1">
      <w:pPr>
        <w:pStyle w:val="NoSpacing"/>
        <w:ind w:left="720"/>
        <w:rPr>
          <w:bCs/>
        </w:rPr>
      </w:pPr>
      <w:r w:rsidRPr="000F4EBA">
        <w:t>The Board heard contrasting</w:t>
      </w:r>
      <w:r>
        <w:t xml:space="preserve"> </w:t>
      </w:r>
      <w:r w:rsidRPr="000F4EBA">
        <w:t>medical opinions from Dr. Tucker and Dr. Matz, both of whom relied on their</w:t>
      </w:r>
      <w:r>
        <w:t xml:space="preserve"> </w:t>
      </w:r>
      <w:r w:rsidRPr="000F4EBA">
        <w:t>physical evaluations of Ferrell and their comparisons of his 2015 and 2023 MRIs.</w:t>
      </w:r>
    </w:p>
    <w:p w14:paraId="09938CB7" w14:textId="77777777" w:rsidR="007369A1" w:rsidRDefault="007369A1" w:rsidP="007369A1">
      <w:pPr>
        <w:pStyle w:val="NoSpacing"/>
        <w:ind w:left="720"/>
        <w:rPr>
          <w:bCs/>
        </w:rPr>
      </w:pPr>
    </w:p>
    <w:p w14:paraId="7C89FAE7" w14:textId="77777777" w:rsidR="007369A1" w:rsidRDefault="007369A1" w:rsidP="007369A1">
      <w:pPr>
        <w:pStyle w:val="NoSpacing"/>
        <w:ind w:left="720"/>
        <w:rPr>
          <w:bCs/>
        </w:rPr>
      </w:pPr>
      <w:r>
        <w:t>***</w:t>
      </w:r>
    </w:p>
    <w:p w14:paraId="546B797C" w14:textId="77777777" w:rsidR="007369A1" w:rsidRDefault="007369A1" w:rsidP="007369A1">
      <w:pPr>
        <w:pStyle w:val="NoSpacing"/>
        <w:ind w:left="720"/>
        <w:rPr>
          <w:bCs/>
        </w:rPr>
      </w:pPr>
      <w:r w:rsidRPr="00A63172">
        <w:t>Dr. Matz is an orthopedic surgeon whom the Board found credible. In Dr.</w:t>
      </w:r>
      <w:r>
        <w:t xml:space="preserve"> </w:t>
      </w:r>
      <w:r w:rsidRPr="00A63172">
        <w:t>Matz’s opinion, the results of Ferrell’s MRIs showed that his condition was</w:t>
      </w:r>
      <w:r>
        <w:t xml:space="preserve"> </w:t>
      </w:r>
      <w:r w:rsidRPr="00A63172">
        <w:t xml:space="preserve">degenerative, not acute, and </w:t>
      </w:r>
      <w:r>
        <w:t>‘</w:t>
      </w:r>
      <w:r w:rsidRPr="00A63172">
        <w:t>the sort of progression that you would expect with the</w:t>
      </w:r>
      <w:r>
        <w:t xml:space="preserve"> </w:t>
      </w:r>
      <w:r w:rsidRPr="00A63172">
        <w:t>natural aging process.</w:t>
      </w:r>
      <w:r>
        <w:t xml:space="preserve">’ </w:t>
      </w:r>
      <w:r w:rsidRPr="00A63172">
        <w:t>The Board agreed that the MRIs—performed eight years</w:t>
      </w:r>
      <w:r>
        <w:t xml:space="preserve"> </w:t>
      </w:r>
      <w:r w:rsidRPr="00A63172">
        <w:t>apart—may have shown some worsening in Ferrell’s condition, but the progression</w:t>
      </w:r>
      <w:r>
        <w:t xml:space="preserve"> </w:t>
      </w:r>
      <w:r w:rsidRPr="00D23F0F">
        <w:t>was expected. The Board accepted Dr. Matz’s expert opinion that Ferrell’s</w:t>
      </w:r>
      <w:r>
        <w:t xml:space="preserve"> </w:t>
      </w:r>
      <w:r w:rsidRPr="00D23F0F">
        <w:t xml:space="preserve">condition was degenerative and a </w:t>
      </w:r>
      <w:r>
        <w:t>‘</w:t>
      </w:r>
      <w:r w:rsidRPr="00D23F0F">
        <w:t>slowly progressive thoracic disc disease.</w:t>
      </w:r>
      <w:r>
        <w:t>’”</w:t>
      </w:r>
    </w:p>
    <w:p w14:paraId="3A2076C5" w14:textId="77777777" w:rsidR="007369A1" w:rsidRDefault="007369A1" w:rsidP="007369A1">
      <w:pPr>
        <w:pStyle w:val="NoSpacing"/>
        <w:ind w:left="720"/>
        <w:rPr>
          <w:bCs/>
        </w:rPr>
      </w:pPr>
    </w:p>
    <w:p w14:paraId="0A792C8D" w14:textId="77777777" w:rsidR="007369A1" w:rsidRDefault="007369A1" w:rsidP="007369A1">
      <w:pPr>
        <w:pStyle w:val="NoSpacing"/>
        <w:jc w:val="both"/>
        <w:rPr>
          <w:b/>
        </w:rPr>
      </w:pPr>
      <w:r>
        <w:rPr>
          <w:b/>
        </w:rPr>
        <w:t xml:space="preserve">Legal lesson learned: Since the firefighter had settled his 2015 claim, he had no workers comp coverage for the 2023 claim. </w:t>
      </w:r>
    </w:p>
    <w:p w14:paraId="65AECD8D" w14:textId="77777777" w:rsidR="007369A1" w:rsidRDefault="007369A1" w:rsidP="007369A1">
      <w:pPr>
        <w:pStyle w:val="NoSpacing"/>
        <w:jc w:val="both"/>
        <w:rPr>
          <w:b/>
        </w:rPr>
      </w:pPr>
    </w:p>
    <w:p w14:paraId="7E107A21" w14:textId="77777777" w:rsidR="007369A1" w:rsidRPr="000A0735" w:rsidRDefault="007369A1" w:rsidP="007369A1">
      <w:pPr>
        <w:pStyle w:val="NoSpacing"/>
        <w:ind w:left="720"/>
        <w:jc w:val="both"/>
        <w:rPr>
          <w:bCs/>
        </w:rPr>
      </w:pPr>
      <w:r w:rsidRPr="000A0735">
        <w:t xml:space="preserve">Note: </w:t>
      </w:r>
      <w:r>
        <w:t>The Court wrote: “</w:t>
      </w:r>
      <w:r w:rsidRPr="000A0735">
        <w:t>In 2018, Ferrell accepted a commutation of the 2015 claim with Belvedere’s workers’</w:t>
      </w:r>
      <w:r>
        <w:t xml:space="preserve"> </w:t>
      </w:r>
      <w:r w:rsidRPr="000A0735">
        <w:t>compensation insurance carrier. The commutation globally resolved the claim and</w:t>
      </w:r>
      <w:r>
        <w:t xml:space="preserve"> </w:t>
      </w:r>
      <w:r w:rsidRPr="000A0735">
        <w:t>released the insurer from further liability with respect to the injury.</w:t>
      </w:r>
      <w:r>
        <w:t>”</w:t>
      </w:r>
    </w:p>
    <w:p w14:paraId="592A3102" w14:textId="77777777" w:rsidR="007369A1" w:rsidRDefault="007369A1" w:rsidP="007369A1">
      <w:pPr>
        <w:rPr>
          <w:rFonts w:ascii="Arial Black" w:hAnsi="Arial Black"/>
          <w:bCs/>
          <w:sz w:val="28"/>
          <w:szCs w:val="28"/>
        </w:rPr>
      </w:pPr>
    </w:p>
    <w:p w14:paraId="74D8EAD6" w14:textId="03B91F8D" w:rsidR="007369A1" w:rsidRDefault="007369A1" w:rsidP="000624FD">
      <w:pPr>
        <w:pStyle w:val="NoSpacing"/>
        <w:rPr>
          <w:rFonts w:ascii="Arial Black" w:hAnsi="Arial Black"/>
          <w:b/>
          <w:sz w:val="28"/>
          <w:szCs w:val="28"/>
        </w:rPr>
      </w:pPr>
      <w:r>
        <w:rPr>
          <w:rFonts w:ascii="Arial Black" w:hAnsi="Arial Black"/>
          <w:b/>
          <w:sz w:val="28"/>
          <w:szCs w:val="28"/>
        </w:rPr>
        <w:t>6-175</w:t>
      </w:r>
    </w:p>
    <w:p w14:paraId="3016E18C" w14:textId="77777777" w:rsidR="00EC0328" w:rsidRDefault="00EC0328" w:rsidP="000624FD">
      <w:pPr>
        <w:pStyle w:val="NoSpacing"/>
        <w:rPr>
          <w:rFonts w:ascii="Arial Black" w:hAnsi="Arial Black"/>
          <w:b/>
          <w:sz w:val="28"/>
          <w:szCs w:val="28"/>
        </w:rPr>
      </w:pPr>
    </w:p>
    <w:p w14:paraId="3E87115A" w14:textId="433F400F" w:rsidR="00EC0328" w:rsidRDefault="00EC0328" w:rsidP="00EC0328">
      <w:pPr>
        <w:rPr>
          <w:rFonts w:ascii="Arial Black" w:hAnsi="Arial Black"/>
          <w:b/>
          <w:sz w:val="28"/>
          <w:szCs w:val="28"/>
        </w:rPr>
      </w:pPr>
      <w:r>
        <w:rPr>
          <w:rFonts w:ascii="Arial Black" w:hAnsi="Arial Black"/>
          <w:b/>
          <w:sz w:val="28"/>
          <w:szCs w:val="28"/>
        </w:rPr>
        <w:t xml:space="preserve">WV: FF R-WRIST – TRIPPED </w:t>
      </w:r>
      <w:r w:rsidR="00CA4898">
        <w:rPr>
          <w:rFonts w:ascii="Arial Black" w:hAnsi="Arial Black"/>
          <w:b/>
          <w:sz w:val="28"/>
          <w:szCs w:val="28"/>
        </w:rPr>
        <w:t xml:space="preserve">IN </w:t>
      </w:r>
      <w:r>
        <w:rPr>
          <w:rFonts w:ascii="Arial Black" w:hAnsi="Arial Black"/>
          <w:b/>
          <w:sz w:val="28"/>
          <w:szCs w:val="28"/>
        </w:rPr>
        <w:t>AMBULANCE – BENEFITS CONT</w:t>
      </w:r>
    </w:p>
    <w:p w14:paraId="5EB17885" w14:textId="77777777" w:rsidR="00EC0328" w:rsidRDefault="00EC0328" w:rsidP="00EC0328">
      <w:pPr>
        <w:rPr>
          <w:bCs/>
        </w:rPr>
      </w:pPr>
      <w:r w:rsidRPr="001D4F31">
        <w:t xml:space="preserve">On December 4, 2025, in </w:t>
      </w:r>
      <w:r w:rsidRPr="001839BD">
        <w:rPr>
          <w:u w:val="single"/>
        </w:rPr>
        <w:t>City of Wheeling v. David Gilbert</w:t>
      </w:r>
      <w:r>
        <w:t xml:space="preserve">, the </w:t>
      </w:r>
      <w:r w:rsidRPr="001839BD">
        <w:t>West Virginia Intermediate Court of Appeals</w:t>
      </w:r>
      <w:r>
        <w:t xml:space="preserve"> held (3 to 0) that the Worker’s Comp Board properly reversed the hearing officer who closed the claim on November 5, 2024.  He is entitled to continued coverage for his December 1, </w:t>
      </w:r>
      <w:proofErr w:type="gramStart"/>
      <w:r>
        <w:t>2023</w:t>
      </w:r>
      <w:proofErr w:type="gramEnd"/>
      <w:r>
        <w:t xml:space="preserve"> injury of his right wrist </w:t>
      </w:r>
      <w:r w:rsidRPr="000E3282">
        <w:t xml:space="preserve">when he tripped and caught himself while getting into an ambulance. </w:t>
      </w:r>
      <w:hyperlink r:id="rId1074" w:history="1">
        <w:r w:rsidRPr="00E22D14">
          <w:rPr>
            <w:rStyle w:val="Hyperlink"/>
          </w:rPr>
          <w:t>https://www.courtswv.gov/sites/default/pubfilesmnt/2025-12/25-ICA-222_MD.pdf</w:t>
        </w:r>
      </w:hyperlink>
      <w:r>
        <w:t xml:space="preserve"> </w:t>
      </w:r>
    </w:p>
    <w:p w14:paraId="59696EEA" w14:textId="77777777" w:rsidR="00EC0328" w:rsidRDefault="00EC0328" w:rsidP="00EC0328">
      <w:pPr>
        <w:rPr>
          <w:bCs/>
        </w:rPr>
      </w:pPr>
      <w:r>
        <w:t xml:space="preserve">THE COURT HELD: </w:t>
      </w:r>
    </w:p>
    <w:p w14:paraId="3CD0F6BA" w14:textId="77777777" w:rsidR="00EC0328" w:rsidRDefault="00EC0328" w:rsidP="00EC0328">
      <w:pPr>
        <w:pStyle w:val="NoSpacing"/>
        <w:ind w:firstLine="720"/>
        <w:rPr>
          <w:bCs/>
        </w:rPr>
      </w:pPr>
      <w:r>
        <w:t>“</w:t>
      </w:r>
      <w:r w:rsidRPr="005D768D">
        <w:t>Mr. Gilbert had not worked since June 2, 2024.</w:t>
      </w:r>
    </w:p>
    <w:p w14:paraId="379610BE" w14:textId="77777777" w:rsidR="00EC0328" w:rsidRDefault="00EC0328" w:rsidP="00EC0328">
      <w:pPr>
        <w:pStyle w:val="NoSpacing"/>
        <w:ind w:firstLine="720"/>
        <w:rPr>
          <w:bCs/>
        </w:rPr>
      </w:pPr>
    </w:p>
    <w:p w14:paraId="130D1454" w14:textId="77777777" w:rsidR="00EC0328" w:rsidRDefault="00EC0328" w:rsidP="00EC0328">
      <w:pPr>
        <w:pStyle w:val="NoSpacing"/>
        <w:ind w:firstLine="720"/>
        <w:rPr>
          <w:bCs/>
        </w:rPr>
      </w:pPr>
      <w:r>
        <w:t>***</w:t>
      </w:r>
    </w:p>
    <w:p w14:paraId="77D1A30B" w14:textId="77777777" w:rsidR="00EC0328" w:rsidRPr="009B705D" w:rsidRDefault="00EC0328" w:rsidP="00EC0328">
      <w:pPr>
        <w:pStyle w:val="NoSpacing"/>
        <w:ind w:firstLine="720"/>
        <w:rPr>
          <w:bCs/>
        </w:rPr>
      </w:pPr>
      <w:r w:rsidRPr="009B705D">
        <w:t>On July 31, 2024, the claim administrator issued an order denying the addition of</w:t>
      </w:r>
    </w:p>
    <w:p w14:paraId="4068D69B" w14:textId="77777777" w:rsidR="00EC0328" w:rsidRDefault="00EC0328" w:rsidP="00EC0328">
      <w:pPr>
        <w:pStyle w:val="NoSpacing"/>
        <w:ind w:left="720"/>
        <w:rPr>
          <w:bCs/>
        </w:rPr>
      </w:pPr>
      <w:r w:rsidRPr="009B705D">
        <w:t>scapholunate instability of the right wrist and scapholunate ligament tear of the right wrist</w:t>
      </w:r>
      <w:r>
        <w:t xml:space="preserve"> </w:t>
      </w:r>
      <w:r w:rsidRPr="009B705D">
        <w:t>as compensable conditions of the claim. Mr. Gilbert protested this claim.</w:t>
      </w:r>
    </w:p>
    <w:p w14:paraId="10FDCAA8" w14:textId="77777777" w:rsidR="00EC0328" w:rsidRDefault="00EC0328" w:rsidP="00EC0328">
      <w:pPr>
        <w:pStyle w:val="NoSpacing"/>
        <w:ind w:left="720"/>
        <w:rPr>
          <w:bCs/>
        </w:rPr>
      </w:pPr>
    </w:p>
    <w:p w14:paraId="73545A68" w14:textId="77777777" w:rsidR="00EC0328" w:rsidRDefault="00EC0328" w:rsidP="00EC0328">
      <w:pPr>
        <w:pStyle w:val="NoSpacing"/>
        <w:ind w:left="720"/>
        <w:rPr>
          <w:bCs/>
        </w:rPr>
      </w:pPr>
      <w:r>
        <w:t>***</w:t>
      </w:r>
    </w:p>
    <w:p w14:paraId="061D3DA6" w14:textId="77777777" w:rsidR="00EC0328" w:rsidRPr="00A10B17" w:rsidRDefault="00EC0328" w:rsidP="00EC0328">
      <w:pPr>
        <w:pStyle w:val="NoSpacing"/>
        <w:ind w:left="720"/>
        <w:rPr>
          <w:bCs/>
        </w:rPr>
      </w:pPr>
      <w:r w:rsidRPr="00A10B17">
        <w:t>Mr. Gilbert was evaluated by Joseph Grady II, M.D., on September 6, 2024.</w:t>
      </w:r>
      <w:r>
        <w:t xml:space="preserve"> </w:t>
      </w:r>
      <w:r w:rsidRPr="00A10B17">
        <w:t>Mr. Gilbert reported pain and a shifting sensation within the radial aspect of the right wrist.</w:t>
      </w:r>
      <w:r>
        <w:t xml:space="preserve"> </w:t>
      </w:r>
      <w:r w:rsidRPr="00A10B17">
        <w:t>Dr. Grady noted that Mr. Gilbert had not worked since June 2, 2024. The assessment was</w:t>
      </w:r>
      <w:r>
        <w:t xml:space="preserve"> </w:t>
      </w:r>
      <w:r w:rsidRPr="00A10B17">
        <w:t>right wrist pain with demonstrated right scapholunate ligament tear on direct visualization</w:t>
      </w:r>
      <w:r>
        <w:t xml:space="preserve"> </w:t>
      </w:r>
      <w:r w:rsidRPr="00A10B17">
        <w:t>during arthroscopic examination. Dr. Grady opined that the right wrist sprain that occurred</w:t>
      </w:r>
      <w:r>
        <w:t xml:space="preserve"> </w:t>
      </w:r>
      <w:r w:rsidRPr="00A10B17">
        <w:t>with the initial injury had resolved, and Mr. Gilbert had reached maximum medical</w:t>
      </w:r>
      <w:r>
        <w:t xml:space="preserve"> </w:t>
      </w:r>
      <w:r w:rsidRPr="00A10B17">
        <w:t>improvement (</w:t>
      </w:r>
      <w:r>
        <w:t>‘</w:t>
      </w:r>
      <w:r w:rsidRPr="00A10B17">
        <w:t>MMI</w:t>
      </w:r>
      <w:r>
        <w:t>’</w:t>
      </w:r>
      <w:r w:rsidRPr="00A10B17">
        <w:t>) for the compensable injury. Dr. Grady further opined that Mr.</w:t>
      </w:r>
    </w:p>
    <w:p w14:paraId="2AD2B224" w14:textId="77777777" w:rsidR="00EC0328" w:rsidRDefault="00EC0328" w:rsidP="00EC0328">
      <w:pPr>
        <w:pStyle w:val="NoSpacing"/>
        <w:ind w:left="720"/>
        <w:rPr>
          <w:bCs/>
        </w:rPr>
      </w:pPr>
      <w:r w:rsidRPr="00A10B17">
        <w:t>Gilbert would have difficulty working full duty at his regular job because of the right-hand</w:t>
      </w:r>
      <w:r>
        <w:t xml:space="preserve"> </w:t>
      </w:r>
      <w:r w:rsidRPr="00A10B17">
        <w:t xml:space="preserve">pain and weakness, which Dr. Grady attributed to the </w:t>
      </w:r>
      <w:proofErr w:type="spellStart"/>
      <w:proofErr w:type="gramStart"/>
      <w:r w:rsidRPr="00A10B17">
        <w:t>non</w:t>
      </w:r>
      <w:r>
        <w:t xml:space="preserve"> </w:t>
      </w:r>
      <w:r w:rsidRPr="00A10B17">
        <w:t>compensable</w:t>
      </w:r>
      <w:proofErr w:type="spellEnd"/>
      <w:proofErr w:type="gramEnd"/>
      <w:r w:rsidRPr="00A10B17">
        <w:t xml:space="preserve"> scapholunate</w:t>
      </w:r>
      <w:r>
        <w:t xml:space="preserve"> </w:t>
      </w:r>
      <w:r w:rsidRPr="00A10B17">
        <w:t>ligament tear.</w:t>
      </w:r>
    </w:p>
    <w:p w14:paraId="7008E8B1" w14:textId="77777777" w:rsidR="00EC0328" w:rsidRDefault="00EC0328" w:rsidP="00EC0328">
      <w:pPr>
        <w:pStyle w:val="NoSpacing"/>
        <w:ind w:firstLine="720"/>
        <w:rPr>
          <w:bCs/>
        </w:rPr>
      </w:pPr>
    </w:p>
    <w:p w14:paraId="20D3B16F" w14:textId="77777777" w:rsidR="00EC0328" w:rsidRDefault="00EC0328" w:rsidP="00EC0328">
      <w:pPr>
        <w:pStyle w:val="NoSpacing"/>
        <w:ind w:firstLine="720"/>
        <w:rPr>
          <w:bCs/>
        </w:rPr>
      </w:pPr>
      <w:r>
        <w:t>***</w:t>
      </w:r>
    </w:p>
    <w:p w14:paraId="744AAEC9" w14:textId="77777777" w:rsidR="00EC0328" w:rsidRDefault="00EC0328" w:rsidP="00EC0328">
      <w:pPr>
        <w:pStyle w:val="NoSpacing"/>
        <w:ind w:firstLine="720"/>
        <w:rPr>
          <w:bCs/>
        </w:rPr>
      </w:pPr>
    </w:p>
    <w:p w14:paraId="70204F73" w14:textId="77777777" w:rsidR="00EC0328" w:rsidRPr="00A43EB0" w:rsidRDefault="00EC0328" w:rsidP="00EC0328">
      <w:pPr>
        <w:pStyle w:val="NoSpacing"/>
        <w:ind w:firstLine="720"/>
        <w:rPr>
          <w:bCs/>
        </w:rPr>
      </w:pPr>
      <w:r w:rsidRPr="00A43EB0">
        <w:t>Mr. Gilbert underwent a scapholunate ligament reconstruction, with tendon graft</w:t>
      </w:r>
    </w:p>
    <w:p w14:paraId="2294E77D" w14:textId="77777777" w:rsidR="00EC0328" w:rsidRPr="00A43EB0" w:rsidRDefault="00EC0328" w:rsidP="00EC0328">
      <w:pPr>
        <w:pStyle w:val="NoSpacing"/>
        <w:ind w:firstLine="720"/>
        <w:rPr>
          <w:bCs/>
        </w:rPr>
      </w:pPr>
      <w:r w:rsidRPr="00A43EB0">
        <w:t>and internal brace augmentation of the right wrist on September 12, 2024. The post-</w:t>
      </w:r>
    </w:p>
    <w:p w14:paraId="458171DD" w14:textId="77777777" w:rsidR="00EC0328" w:rsidRDefault="00EC0328" w:rsidP="00EC0328">
      <w:pPr>
        <w:pStyle w:val="NoSpacing"/>
        <w:ind w:firstLine="720"/>
        <w:rPr>
          <w:bCs/>
        </w:rPr>
      </w:pPr>
      <w:r w:rsidRPr="00A43EB0">
        <w:t>operative diagnosis was a complete tear of the scapholunate ligament of the right wrist.</w:t>
      </w:r>
    </w:p>
    <w:p w14:paraId="11FA01C1" w14:textId="77777777" w:rsidR="00EC0328" w:rsidRDefault="00EC0328" w:rsidP="00EC0328">
      <w:pPr>
        <w:pStyle w:val="NoSpacing"/>
        <w:ind w:firstLine="720"/>
        <w:rPr>
          <w:bCs/>
        </w:rPr>
      </w:pPr>
    </w:p>
    <w:p w14:paraId="3F22141E" w14:textId="77777777" w:rsidR="00EC0328" w:rsidRDefault="00EC0328" w:rsidP="00EC0328">
      <w:pPr>
        <w:pStyle w:val="NoSpacing"/>
        <w:ind w:firstLine="720"/>
        <w:rPr>
          <w:bCs/>
        </w:rPr>
      </w:pPr>
      <w:r>
        <w:t>***</w:t>
      </w:r>
    </w:p>
    <w:p w14:paraId="196A95EC" w14:textId="77777777" w:rsidR="00EC0328" w:rsidRDefault="00EC0328" w:rsidP="00EC0328">
      <w:pPr>
        <w:pStyle w:val="NoSpacing"/>
        <w:ind w:firstLine="720"/>
        <w:rPr>
          <w:bCs/>
        </w:rPr>
      </w:pPr>
    </w:p>
    <w:p w14:paraId="29063C1A" w14:textId="77777777" w:rsidR="00EC0328" w:rsidRPr="00596A41" w:rsidRDefault="00EC0328" w:rsidP="00EC0328">
      <w:pPr>
        <w:pStyle w:val="NoSpacing"/>
        <w:ind w:firstLine="720"/>
        <w:rPr>
          <w:bCs/>
        </w:rPr>
      </w:pPr>
      <w:r w:rsidRPr="00596A41">
        <w:t>On September 30, 2024, the claim administrator issued an order suspending Mr.</w:t>
      </w:r>
    </w:p>
    <w:p w14:paraId="6F3C8237" w14:textId="77777777" w:rsidR="00EC0328" w:rsidRPr="00596A41" w:rsidRDefault="00EC0328" w:rsidP="00EC0328">
      <w:pPr>
        <w:pStyle w:val="NoSpacing"/>
        <w:ind w:firstLine="720"/>
        <w:rPr>
          <w:bCs/>
        </w:rPr>
      </w:pPr>
      <w:r w:rsidRPr="00596A41">
        <w:t xml:space="preserve">Gilbert’s TTD benefits </w:t>
      </w:r>
      <w:proofErr w:type="gramStart"/>
      <w:r w:rsidRPr="00596A41">
        <w:t>based</w:t>
      </w:r>
      <w:proofErr w:type="gramEnd"/>
      <w:r w:rsidRPr="00596A41">
        <w:t xml:space="preserve"> upon Dr. Grady’s finding of MMI. </w:t>
      </w:r>
      <w:proofErr w:type="gramStart"/>
      <w:r w:rsidRPr="00596A41">
        <w:t>On November</w:t>
      </w:r>
      <w:proofErr w:type="gramEnd"/>
      <w:r w:rsidRPr="00596A41">
        <w:t xml:space="preserve"> 5, 2024,</w:t>
      </w:r>
    </w:p>
    <w:p w14:paraId="7F5C70D6" w14:textId="77777777" w:rsidR="00EC0328" w:rsidRPr="00596A41" w:rsidRDefault="00EC0328" w:rsidP="00EC0328">
      <w:pPr>
        <w:pStyle w:val="NoSpacing"/>
        <w:ind w:firstLine="720"/>
        <w:rPr>
          <w:bCs/>
        </w:rPr>
      </w:pPr>
      <w:proofErr w:type="gramStart"/>
      <w:r w:rsidRPr="00596A41">
        <w:t>the</w:t>
      </w:r>
      <w:proofErr w:type="gramEnd"/>
      <w:r w:rsidRPr="00596A41">
        <w:t xml:space="preserve"> claim administrator issued an order closing the claim for TTD benefits. Mr. Gilbert</w:t>
      </w:r>
    </w:p>
    <w:p w14:paraId="1861C17F" w14:textId="77777777" w:rsidR="00EC0328" w:rsidRDefault="00EC0328" w:rsidP="00EC0328">
      <w:pPr>
        <w:pStyle w:val="NoSpacing"/>
        <w:ind w:firstLine="720"/>
        <w:rPr>
          <w:bCs/>
        </w:rPr>
      </w:pPr>
      <w:r w:rsidRPr="00596A41">
        <w:t>protested this order.</w:t>
      </w:r>
    </w:p>
    <w:p w14:paraId="7948F36F" w14:textId="77777777" w:rsidR="00EC0328" w:rsidRDefault="00EC0328" w:rsidP="00EC0328">
      <w:pPr>
        <w:pStyle w:val="NoSpacing"/>
        <w:ind w:firstLine="720"/>
        <w:rPr>
          <w:bCs/>
        </w:rPr>
      </w:pPr>
    </w:p>
    <w:p w14:paraId="7EAFE268" w14:textId="77777777" w:rsidR="00EC0328" w:rsidRDefault="00EC0328" w:rsidP="00EC0328">
      <w:pPr>
        <w:pStyle w:val="NoSpacing"/>
        <w:ind w:firstLine="720"/>
        <w:rPr>
          <w:bCs/>
        </w:rPr>
      </w:pPr>
      <w:r>
        <w:t>***</w:t>
      </w:r>
    </w:p>
    <w:p w14:paraId="3C8D9E00" w14:textId="77777777" w:rsidR="00EC0328" w:rsidRDefault="00EC0328" w:rsidP="00EC0328">
      <w:pPr>
        <w:pStyle w:val="NoSpacing"/>
        <w:ind w:firstLine="720"/>
        <w:rPr>
          <w:bCs/>
        </w:rPr>
      </w:pPr>
    </w:p>
    <w:p w14:paraId="1FF34756" w14:textId="77777777" w:rsidR="00EC0328" w:rsidRPr="00433300" w:rsidRDefault="00EC0328" w:rsidP="00EC0328">
      <w:pPr>
        <w:pStyle w:val="NoSpacing"/>
        <w:ind w:firstLine="720"/>
        <w:rPr>
          <w:bCs/>
        </w:rPr>
      </w:pPr>
      <w:r w:rsidRPr="00433300">
        <w:t>Upon review, we conclude that the Board was not clearly wrong in finding that the</w:t>
      </w:r>
    </w:p>
    <w:p w14:paraId="53045FD8" w14:textId="77777777" w:rsidR="00EC0328" w:rsidRPr="00433300" w:rsidRDefault="00EC0328" w:rsidP="00EC0328">
      <w:pPr>
        <w:pStyle w:val="NoSpacing"/>
        <w:ind w:firstLine="720"/>
        <w:rPr>
          <w:bCs/>
        </w:rPr>
      </w:pPr>
      <w:r w:rsidRPr="00433300">
        <w:t>closure of the claim for TTD benefits was premature and improper. We note that TTD</w:t>
      </w:r>
    </w:p>
    <w:p w14:paraId="69DDC4BF" w14:textId="77777777" w:rsidR="00EC0328" w:rsidRPr="00433300" w:rsidRDefault="00EC0328" w:rsidP="00EC0328">
      <w:pPr>
        <w:pStyle w:val="NoSpacing"/>
        <w:ind w:firstLine="720"/>
        <w:rPr>
          <w:bCs/>
        </w:rPr>
      </w:pPr>
      <w:r w:rsidRPr="00433300">
        <w:t xml:space="preserve">payments are payable during an injured worker’s recovery period after a </w:t>
      </w:r>
      <w:proofErr w:type="gramStart"/>
      <w:r w:rsidRPr="00433300">
        <w:t>compensable</w:t>
      </w:r>
      <w:proofErr w:type="gramEnd"/>
    </w:p>
    <w:p w14:paraId="7BD1C713" w14:textId="77777777" w:rsidR="00EC0328" w:rsidRPr="00433300" w:rsidRDefault="00EC0328" w:rsidP="00EC0328">
      <w:pPr>
        <w:pStyle w:val="NoSpacing"/>
        <w:ind w:firstLine="720"/>
        <w:rPr>
          <w:bCs/>
        </w:rPr>
      </w:pPr>
      <w:r w:rsidRPr="00433300">
        <w:t>injury. Pursuant to West Virginia Code § 23-4-7a, TTD benefits are not payable once an</w:t>
      </w:r>
    </w:p>
    <w:p w14:paraId="39CF0F20" w14:textId="77777777" w:rsidR="00EC0328" w:rsidRPr="00433300" w:rsidRDefault="00EC0328" w:rsidP="00EC0328">
      <w:pPr>
        <w:pStyle w:val="NoSpacing"/>
        <w:ind w:firstLine="720"/>
        <w:rPr>
          <w:bCs/>
        </w:rPr>
      </w:pPr>
      <w:r w:rsidRPr="00433300">
        <w:t xml:space="preserve">injured worker reaches MMI, is released to return to work, or </w:t>
      </w:r>
      <w:proofErr w:type="gramStart"/>
      <w:r w:rsidRPr="00433300">
        <w:t>actually returns</w:t>
      </w:r>
      <w:proofErr w:type="gramEnd"/>
      <w:r w:rsidRPr="00433300">
        <w:t xml:space="preserve"> to work.</w:t>
      </w:r>
    </w:p>
    <w:p w14:paraId="578415C4" w14:textId="77777777" w:rsidR="00EC0328" w:rsidRDefault="00EC0328" w:rsidP="00EC0328">
      <w:pPr>
        <w:pStyle w:val="NoSpacing"/>
        <w:ind w:left="720"/>
        <w:rPr>
          <w:bCs/>
        </w:rPr>
      </w:pPr>
      <w:r w:rsidRPr="00433300">
        <w:t>Upon review, we conclude that the Board was not clearly wrong in finding that the evidence</w:t>
      </w:r>
      <w:r>
        <w:t xml:space="preserve"> </w:t>
      </w:r>
      <w:r w:rsidRPr="00433300">
        <w:t>established that the closing of the claim for TTD benefits on November 5, 2024, was</w:t>
      </w:r>
      <w:r>
        <w:t xml:space="preserve"> </w:t>
      </w:r>
      <w:r w:rsidRPr="00433300">
        <w:t>premature</w:t>
      </w:r>
      <w:r>
        <w:t>. “</w:t>
      </w:r>
    </w:p>
    <w:p w14:paraId="0143E390" w14:textId="77777777" w:rsidR="00EC0328" w:rsidRDefault="00EC0328" w:rsidP="00EC0328">
      <w:pPr>
        <w:pStyle w:val="NoSpacing"/>
        <w:ind w:left="720"/>
        <w:rPr>
          <w:bCs/>
        </w:rPr>
      </w:pPr>
    </w:p>
    <w:p w14:paraId="247DB93F" w14:textId="77777777" w:rsidR="00EC0328" w:rsidRPr="00A10B17" w:rsidRDefault="00EC0328" w:rsidP="00EC0328">
      <w:pPr>
        <w:pStyle w:val="NoSpacing"/>
        <w:rPr>
          <w:b/>
        </w:rPr>
      </w:pPr>
      <w:r>
        <w:rPr>
          <w:b/>
        </w:rPr>
        <w:t xml:space="preserve">Legal lesson learned:  Another “battle of the experts.”  Nice to read that the firefighter will have continuing coverage until he reaches MMI (Maximum Medical Improvement). </w:t>
      </w:r>
    </w:p>
    <w:p w14:paraId="00CC73E7" w14:textId="77777777" w:rsidR="00EC0328" w:rsidRDefault="00EC0328" w:rsidP="000624FD">
      <w:pPr>
        <w:pStyle w:val="NoSpacing"/>
        <w:rPr>
          <w:rFonts w:ascii="Arial Black" w:hAnsi="Arial Black"/>
          <w:b/>
          <w:sz w:val="28"/>
          <w:szCs w:val="28"/>
        </w:rPr>
      </w:pPr>
    </w:p>
    <w:p w14:paraId="1B935616" w14:textId="77777777" w:rsidR="007369A1" w:rsidRDefault="007369A1" w:rsidP="000624FD">
      <w:pPr>
        <w:pStyle w:val="NoSpacing"/>
        <w:rPr>
          <w:rFonts w:ascii="Arial Black" w:hAnsi="Arial Black"/>
          <w:b/>
          <w:sz w:val="28"/>
          <w:szCs w:val="28"/>
        </w:rPr>
      </w:pPr>
    </w:p>
    <w:p w14:paraId="6B16C6AC" w14:textId="77777777" w:rsidR="007369A1" w:rsidRDefault="007369A1" w:rsidP="000624FD">
      <w:pPr>
        <w:pStyle w:val="NoSpacing"/>
        <w:rPr>
          <w:rFonts w:ascii="Arial Black" w:hAnsi="Arial Black"/>
          <w:b/>
          <w:sz w:val="28"/>
          <w:szCs w:val="28"/>
        </w:rPr>
      </w:pPr>
    </w:p>
    <w:p w14:paraId="55973961" w14:textId="77777777" w:rsidR="007369A1" w:rsidRDefault="007369A1" w:rsidP="000624FD">
      <w:pPr>
        <w:pStyle w:val="NoSpacing"/>
        <w:rPr>
          <w:rFonts w:ascii="Arial Black" w:hAnsi="Arial Black"/>
          <w:b/>
          <w:sz w:val="28"/>
          <w:szCs w:val="28"/>
        </w:rPr>
      </w:pPr>
    </w:p>
    <w:p w14:paraId="69E06DAD" w14:textId="63D0A001" w:rsidR="00040383" w:rsidRDefault="00040383" w:rsidP="000624FD">
      <w:pPr>
        <w:pStyle w:val="NoSpacing"/>
        <w:rPr>
          <w:rFonts w:ascii="Arial Black" w:hAnsi="Arial Black"/>
          <w:b/>
          <w:sz w:val="28"/>
          <w:szCs w:val="28"/>
        </w:rPr>
      </w:pPr>
      <w:r>
        <w:rPr>
          <w:rFonts w:ascii="Arial Black" w:hAnsi="Arial Black"/>
          <w:b/>
          <w:sz w:val="28"/>
          <w:szCs w:val="28"/>
        </w:rPr>
        <w:t>6-174</w:t>
      </w:r>
    </w:p>
    <w:p w14:paraId="2FB79C9D" w14:textId="77777777" w:rsidR="00040383" w:rsidRDefault="00040383" w:rsidP="00040383">
      <w:pPr>
        <w:pStyle w:val="NoSpacing"/>
        <w:rPr>
          <w:rFonts w:ascii="Arial Black" w:hAnsi="Arial Black"/>
          <w:sz w:val="28"/>
          <w:szCs w:val="28"/>
        </w:rPr>
      </w:pPr>
      <w:r>
        <w:rPr>
          <w:rFonts w:ascii="Arial Black" w:hAnsi="Arial Black"/>
          <w:sz w:val="28"/>
          <w:szCs w:val="28"/>
        </w:rPr>
        <w:t>MD: EMT HEAD INJURY– JURY - TT 47 DAYS OFF IN 5 YRS</w:t>
      </w:r>
    </w:p>
    <w:p w14:paraId="32000FA6" w14:textId="77777777" w:rsidR="00040383" w:rsidRDefault="00040383" w:rsidP="00040383">
      <w:pPr>
        <w:pStyle w:val="NoSpacing"/>
        <w:rPr>
          <w:rFonts w:ascii="Arial Black" w:hAnsi="Arial Black"/>
          <w:sz w:val="28"/>
          <w:szCs w:val="28"/>
        </w:rPr>
      </w:pPr>
    </w:p>
    <w:p w14:paraId="47651A43" w14:textId="7679CE3B" w:rsidR="00040383" w:rsidRDefault="00040383" w:rsidP="00040383">
      <w:pPr>
        <w:pStyle w:val="NoSpacing"/>
      </w:pPr>
      <w:r>
        <w:t xml:space="preserve">On November 19, 2025, in </w:t>
      </w:r>
      <w:r w:rsidRPr="00562B80">
        <w:rPr>
          <w:u w:val="single"/>
        </w:rPr>
        <w:t>Montgomery County, Maryland v. Patricia Taylor</w:t>
      </w:r>
      <w:r>
        <w:t xml:space="preserve">, the </w:t>
      </w:r>
      <w:r w:rsidRPr="00562B80">
        <w:t>Court of Special Appeals of Maryland</w:t>
      </w:r>
      <w:r>
        <w:t xml:space="preserve"> held (4 to 0; unreported decision) that a jury properly awarded a volunteer Medic (and College instructor) temporary total disability for 47 days missed from work because of migraine headaches </w:t>
      </w:r>
      <w:r w:rsidRPr="001D7936">
        <w:t>between 2017-2021</w:t>
      </w:r>
      <w:r>
        <w:t>.  THE COURT WROTE: “</w:t>
      </w:r>
      <w:r w:rsidRPr="001D7936">
        <w:t>On August 15, 2016, Appellee Patricia Taylor, a Montgomery County EMT, sustained a head injury after she was struck by a heavy backboard during a training exercise</w:t>
      </w:r>
      <w:r>
        <w:t xml:space="preserve">…. [She] </w:t>
      </w:r>
      <w:r w:rsidRPr="009D25FA">
        <w:t>appealed the denial of her claim for temporary total disability benefits by the Maryland Workers' Compensation Commission to the Circuit Court for Montgomery County. Appellee elected a jury trial, and following the presentation of evidence and deliberations, the jury determined that she was temporarily totally disabled on the dates specified in her claim</w:t>
      </w:r>
      <w:r>
        <w:t xml:space="preserve">…. </w:t>
      </w:r>
      <w:r w:rsidRPr="00732DE9">
        <w:t> </w:t>
      </w:r>
      <w:r w:rsidRPr="00C81949">
        <w:t>Dr. Jeffrey Gaber, a board-certified internal medicine doctor</w:t>
      </w:r>
      <w:r>
        <w:t xml:space="preserve"> … </w:t>
      </w:r>
      <w:r w:rsidRPr="00732DE9">
        <w:t xml:space="preserve">testified that based on his own evaluation and in part, on a review of medical records from Appellee's internal neurologist and the county's independent medical examiner, that the accident that Appellee suffered can </w:t>
      </w:r>
      <w:r>
        <w:t>‘</w:t>
      </w:r>
      <w:r w:rsidRPr="00732DE9">
        <w:t>absolutely</w:t>
      </w:r>
      <w:r>
        <w:t>’</w:t>
      </w:r>
      <w:r w:rsidRPr="00732DE9">
        <w:t xml:space="preserve"> cause the </w:t>
      </w:r>
      <w:r>
        <w:t>‘</w:t>
      </w:r>
      <w:r w:rsidRPr="00732DE9">
        <w:t>severe</w:t>
      </w:r>
      <w:r>
        <w:t>’</w:t>
      </w:r>
      <w:r w:rsidRPr="00732DE9">
        <w:t xml:space="preserve"> post-concussive headaches that Appellee experienced.</w:t>
      </w:r>
      <w:r>
        <w:t>”</w:t>
      </w:r>
      <w:r w:rsidR="00A94598">
        <w:t xml:space="preserve"> </w:t>
      </w:r>
      <w:hyperlink r:id="rId1075" w:history="1">
        <w:r w:rsidR="00A94598" w:rsidRPr="00824C83">
          <w:rPr>
            <w:rStyle w:val="Hyperlink"/>
          </w:rPr>
          <w:t>https://thedailyrecord.com/files/2025/12/1167s24.pdf</w:t>
        </w:r>
      </w:hyperlink>
      <w:r w:rsidR="00A94598">
        <w:t xml:space="preserve"> </w:t>
      </w:r>
    </w:p>
    <w:p w14:paraId="0CAD56B5" w14:textId="77777777" w:rsidR="00040383" w:rsidRDefault="00040383" w:rsidP="00040383">
      <w:pPr>
        <w:pStyle w:val="NoSpacing"/>
      </w:pPr>
    </w:p>
    <w:p w14:paraId="70E4137A" w14:textId="77777777" w:rsidR="00040383" w:rsidRPr="00D070F3" w:rsidRDefault="00040383" w:rsidP="00040383">
      <w:pPr>
        <w:pStyle w:val="NoSpacing"/>
      </w:pPr>
      <w:r>
        <w:t xml:space="preserve">THE COURT HELD:  </w:t>
      </w:r>
    </w:p>
    <w:p w14:paraId="78CC1239" w14:textId="77777777" w:rsidR="00040383" w:rsidRDefault="00040383" w:rsidP="00040383">
      <w:pPr>
        <w:pStyle w:val="NoSpacing"/>
      </w:pPr>
    </w:p>
    <w:p w14:paraId="47E40BEB" w14:textId="77777777" w:rsidR="00040383" w:rsidRDefault="00040383" w:rsidP="00040383">
      <w:pPr>
        <w:pStyle w:val="NoSpacing"/>
        <w:ind w:left="720"/>
      </w:pPr>
      <w:r>
        <w:t>“</w:t>
      </w:r>
      <w:r w:rsidRPr="00101E58">
        <w:t xml:space="preserve">Appellee presented two witnesses, Dr. Jeffrey Gaber, a board-certified internal medicine doctor, who testified by video deposition and herself. Dr. Gaber opined that, based on his training, experience, medical evaluation, and review of Appellee's medical records, Appellee sustained a concussion </w:t>
      </w:r>
      <w:proofErr w:type="gramStart"/>
      <w:r w:rsidRPr="00101E58">
        <w:t>as a result of</w:t>
      </w:r>
      <w:proofErr w:type="gramEnd"/>
      <w:r w:rsidRPr="00101E58">
        <w:t xml:space="preserve"> a work injury on August 15, 2016. Dr. Gaber further opined that Appellee suffers from post-concussive syndrome because of the accident and that she was unable to work on days when the symptoms were severe</w:t>
      </w:r>
      <w:r>
        <w:t xml:space="preserve">…. </w:t>
      </w:r>
    </w:p>
    <w:p w14:paraId="12AA0FEA" w14:textId="77777777" w:rsidR="00040383" w:rsidRDefault="00040383" w:rsidP="00040383">
      <w:pPr>
        <w:pStyle w:val="NoSpacing"/>
        <w:ind w:left="720" w:firstLine="60"/>
      </w:pPr>
      <w:r w:rsidRPr="00101E58">
        <w:t>Dr. Gaber explained the significance of EMT Taylor's post concussive headaches and their impact on her ability to serve as a paramedic and as a full-time teacher in the education and training department at Johns Hopkins University.</w:t>
      </w:r>
      <w:r>
        <w:t>”</w:t>
      </w:r>
    </w:p>
    <w:p w14:paraId="213139CF" w14:textId="77777777" w:rsidR="00040383" w:rsidRDefault="00040383" w:rsidP="00040383">
      <w:pPr>
        <w:pStyle w:val="NoSpacing"/>
        <w:ind w:left="720" w:firstLine="60"/>
      </w:pPr>
    </w:p>
    <w:p w14:paraId="78837DB5" w14:textId="77777777" w:rsidR="00040383" w:rsidRPr="00567053" w:rsidRDefault="00040383" w:rsidP="00040383">
      <w:pPr>
        <w:pStyle w:val="NoSpacing"/>
        <w:ind w:firstLine="60"/>
        <w:rPr>
          <w:b/>
          <w:bCs/>
        </w:rPr>
      </w:pPr>
      <w:r>
        <w:rPr>
          <w:b/>
        </w:rPr>
        <w:t xml:space="preserve">Legal lesson learned:  Maryland </w:t>
      </w:r>
      <w:r>
        <w:rPr>
          <w:b/>
          <w:bCs/>
        </w:rPr>
        <w:t xml:space="preserve">has unique </w:t>
      </w:r>
      <w:r>
        <w:rPr>
          <w:b/>
        </w:rPr>
        <w:t>jury trial</w:t>
      </w:r>
      <w:r>
        <w:rPr>
          <w:b/>
          <w:bCs/>
        </w:rPr>
        <w:t xml:space="preserve">s </w:t>
      </w:r>
      <w:r>
        <w:rPr>
          <w:b/>
        </w:rPr>
        <w:t>on worker’s comp claims</w:t>
      </w:r>
      <w:r>
        <w:rPr>
          <w:b/>
          <w:bCs/>
        </w:rPr>
        <w:t xml:space="preserve">. </w:t>
      </w:r>
    </w:p>
    <w:p w14:paraId="677A7BD7" w14:textId="77777777" w:rsidR="00040383" w:rsidRDefault="00040383" w:rsidP="00040383">
      <w:pPr>
        <w:rPr>
          <w:b/>
        </w:rPr>
      </w:pPr>
    </w:p>
    <w:p w14:paraId="2182BDC9" w14:textId="77777777" w:rsidR="00040383" w:rsidRDefault="00040383" w:rsidP="000624FD">
      <w:pPr>
        <w:pStyle w:val="NoSpacing"/>
        <w:rPr>
          <w:rFonts w:ascii="Arial Black" w:hAnsi="Arial Black"/>
          <w:b/>
          <w:sz w:val="28"/>
          <w:szCs w:val="28"/>
        </w:rPr>
      </w:pPr>
    </w:p>
    <w:p w14:paraId="631B1D63" w14:textId="77777777" w:rsidR="00040383" w:rsidRDefault="00040383" w:rsidP="000624FD">
      <w:pPr>
        <w:pStyle w:val="NoSpacing"/>
        <w:rPr>
          <w:rFonts w:ascii="Arial Black" w:hAnsi="Arial Black"/>
          <w:b/>
          <w:sz w:val="28"/>
          <w:szCs w:val="28"/>
        </w:rPr>
      </w:pPr>
    </w:p>
    <w:p w14:paraId="46E247D5" w14:textId="61DC7FAE" w:rsidR="00DE3247" w:rsidRDefault="00040383" w:rsidP="000624FD">
      <w:pPr>
        <w:pStyle w:val="NoSpacing"/>
        <w:rPr>
          <w:rFonts w:ascii="Arial Black" w:hAnsi="Arial Black"/>
          <w:b/>
          <w:sz w:val="28"/>
          <w:szCs w:val="28"/>
        </w:rPr>
      </w:pPr>
      <w:r>
        <w:rPr>
          <w:rFonts w:ascii="Arial Black" w:hAnsi="Arial Black"/>
          <w:b/>
          <w:sz w:val="28"/>
          <w:szCs w:val="28"/>
        </w:rPr>
        <w:t>6-173</w:t>
      </w:r>
    </w:p>
    <w:p w14:paraId="2961EA3B" w14:textId="77777777" w:rsidR="00190EAB" w:rsidRDefault="00190EAB" w:rsidP="000624FD">
      <w:pPr>
        <w:pStyle w:val="NoSpacing"/>
        <w:rPr>
          <w:rFonts w:ascii="Arial Black" w:hAnsi="Arial Black"/>
          <w:b/>
          <w:sz w:val="28"/>
          <w:szCs w:val="28"/>
        </w:rPr>
      </w:pPr>
    </w:p>
    <w:p w14:paraId="69F6602F" w14:textId="77777777" w:rsidR="00190EAB" w:rsidRDefault="00190EAB" w:rsidP="00190EAB">
      <w:pPr>
        <w:pStyle w:val="NoSpacing"/>
        <w:rPr>
          <w:rFonts w:ascii="Arial Black" w:hAnsi="Arial Black"/>
          <w:sz w:val="28"/>
          <w:szCs w:val="28"/>
        </w:rPr>
      </w:pPr>
      <w:r>
        <w:rPr>
          <w:rFonts w:ascii="Arial Black" w:hAnsi="Arial Black"/>
          <w:sz w:val="28"/>
          <w:szCs w:val="28"/>
        </w:rPr>
        <w:t>CA: PENSION “SPIKING” – STANDBY PAY NOT COUNTED</w:t>
      </w:r>
    </w:p>
    <w:p w14:paraId="2BD4DC38" w14:textId="77777777" w:rsidR="00190EAB" w:rsidRDefault="00190EAB" w:rsidP="00190EAB">
      <w:pPr>
        <w:pStyle w:val="NoSpacing"/>
        <w:rPr>
          <w:rFonts w:ascii="Arial Black" w:hAnsi="Arial Black"/>
          <w:sz w:val="28"/>
          <w:szCs w:val="28"/>
        </w:rPr>
      </w:pPr>
    </w:p>
    <w:p w14:paraId="20110E76" w14:textId="77777777" w:rsidR="00190EAB" w:rsidRDefault="00190EAB" w:rsidP="00190EAB">
      <w:pPr>
        <w:pStyle w:val="NoSpacing"/>
      </w:pPr>
      <w:r>
        <w:t xml:space="preserve">On November 13, 2025, in </w:t>
      </w:r>
      <w:r w:rsidRPr="00FC0177">
        <w:rPr>
          <w:u w:val="single"/>
        </w:rPr>
        <w:t>Ventura County Professional Firefighters’ Association, et al. v. Ventura County Employees’ Retirement Association, et al</w:t>
      </w:r>
      <w:r>
        <w:t xml:space="preserve">., the </w:t>
      </w:r>
      <w:r w:rsidRPr="0038538F">
        <w:t>California Court of Appeals, Second District, Sixth Division</w:t>
      </w:r>
      <w:r>
        <w:t xml:space="preserve"> held (3 to 0; unpublished opinion) that pension Board since 2021 stop considering “standby pay” (where they may be called back work in an emergency) in employee pension calculation of their “annual average compensation.”  The state pension law was amended in 2013 to prevent “spiking” – “additional services rendered outside of normal working hours” no longer in pension calculation.  Three firefighter Heavy Equipment Operators, and two firefighter Aviation Managers were hired prior to the 2021 change, and these “legacy” personnel and their union </w:t>
      </w:r>
      <w:r w:rsidRPr="00224E79">
        <w:t>petitioned for a writ of mandamus in the trial court</w:t>
      </w:r>
      <w:r>
        <w:t>. THE COURT WROTE:  “PEPRA revised laws governing pension plans and amended provisions of CERL in response to a rise in ‘spiking’ and other practices used to increase retirement benefits during the representative period…. Among the types of compensation excluded are ‘[p]</w:t>
      </w:r>
      <w:proofErr w:type="spellStart"/>
      <w:r>
        <w:t>ayments</w:t>
      </w:r>
      <w:proofErr w:type="spellEnd"/>
      <w:r>
        <w:t xml:space="preserve"> for additional services rendered outside of normal working hours, whether paid in a lump sum or otherwise.’ (§ 31461, subd. (b)(3).) … T</w:t>
      </w:r>
      <w:r w:rsidRPr="00434C5F">
        <w:t>ime on standby, it must follow, is not</w:t>
      </w:r>
      <w:r>
        <w:t xml:space="preserve"> time appellants are ‘actually’ working under Article 10, but time they agree the </w:t>
      </w:r>
      <w:proofErr w:type="gramStart"/>
      <w:r>
        <w:t>District</w:t>
      </w:r>
      <w:proofErr w:type="gramEnd"/>
      <w:r>
        <w:t xml:space="preserve"> may call them back to work an unspecified number of overtime hours under Article 11…. </w:t>
      </w:r>
      <w:r w:rsidRPr="00E55F32">
        <w:t>Employees</w:t>
      </w:r>
      <w:r>
        <w:t xml:space="preserve"> </w:t>
      </w:r>
      <w:r w:rsidRPr="00E55F32">
        <w:t xml:space="preserve">are paid one quarter of their hourly wage if placed on </w:t>
      </w:r>
      <w:proofErr w:type="gramStart"/>
      <w:r w:rsidRPr="00E55F32">
        <w:t xml:space="preserve">standby </w:t>
      </w:r>
      <w:r>
        <w:t>status</w:t>
      </w:r>
      <w:proofErr w:type="gramEnd"/>
      <w:r>
        <w:t xml:space="preserve"> </w:t>
      </w:r>
      <w:r w:rsidRPr="00E55F32">
        <w:t>by their Duty Chief. If called back to work, they are paid</w:t>
      </w:r>
      <w:r>
        <w:t xml:space="preserve"> </w:t>
      </w:r>
      <w:r w:rsidRPr="00E55F32">
        <w:t>at a predetermined hourly overtime rate</w:t>
      </w:r>
      <w:r>
        <w:t xml:space="preserve">…. The [Pension] Board ratified revised pay codes in May of 2021…. The discretionary nature of standby hours is what requires us to conclude they are not hours ‘ordinarily performed…. We read these provisions as requiring appellants to accept standby </w:t>
      </w:r>
      <w:r w:rsidRPr="001A5C92">
        <w:rPr>
          <w:i/>
          <w:iCs/>
        </w:rPr>
        <w:t xml:space="preserve">if </w:t>
      </w:r>
      <w:r>
        <w:t>assigned and not as expanding their normal work hours. VCERA and the trial court</w:t>
      </w:r>
    </w:p>
    <w:p w14:paraId="49648E99" w14:textId="77777777" w:rsidR="00190EAB" w:rsidRDefault="00190EAB" w:rsidP="00190EAB">
      <w:pPr>
        <w:pStyle w:val="NoSpacing"/>
      </w:pPr>
      <w:r>
        <w:t xml:space="preserve">correctly considered standby—at least as defined in the MOA and Side Letter—as ‘additional services rendered outside of normal working hours.’ (§ 31461, subd. (b)(3).) “ </w:t>
      </w:r>
      <w:hyperlink r:id="rId1076" w:history="1">
        <w:r w:rsidRPr="00583A8C">
          <w:rPr>
            <w:rStyle w:val="Hyperlink"/>
          </w:rPr>
          <w:t>https://www4.courts.ca.gov/opinions/nonpub/B338919.PDF</w:t>
        </w:r>
      </w:hyperlink>
      <w:r>
        <w:t xml:space="preserve"> </w:t>
      </w:r>
    </w:p>
    <w:p w14:paraId="31BF533B" w14:textId="77777777" w:rsidR="00190EAB" w:rsidRDefault="00190EAB" w:rsidP="00190EAB">
      <w:pPr>
        <w:pStyle w:val="NoSpacing"/>
      </w:pPr>
    </w:p>
    <w:p w14:paraId="13E8DB7F" w14:textId="77777777" w:rsidR="00190EAB" w:rsidRDefault="00190EAB" w:rsidP="00190EAB">
      <w:pPr>
        <w:pStyle w:val="NoSpacing"/>
      </w:pPr>
      <w:r>
        <w:t>THE COURT HELD:</w:t>
      </w:r>
    </w:p>
    <w:p w14:paraId="6739618A" w14:textId="77777777" w:rsidR="00190EAB" w:rsidRDefault="00190EAB" w:rsidP="00190EAB">
      <w:pPr>
        <w:pStyle w:val="NoSpacing"/>
      </w:pPr>
    </w:p>
    <w:p w14:paraId="1F5FD323" w14:textId="77777777" w:rsidR="00190EAB" w:rsidRDefault="00190EAB" w:rsidP="00190EAB">
      <w:pPr>
        <w:pStyle w:val="NoSpacing"/>
        <w:ind w:left="720"/>
      </w:pPr>
      <w:r>
        <w:t xml:space="preserve">“VCPFA’s co-appellants are five employees of the </w:t>
      </w:r>
      <w:proofErr w:type="gramStart"/>
      <w:r>
        <w:t>District</w:t>
      </w:r>
      <w:proofErr w:type="gramEnd"/>
      <w:r>
        <w:t>: aviation managers Melvin Lovo and Jeffrey Seabrook, and heavy equipment operators Scott Price, Christopher Beery, and Ryan Winchester. They contribute a portion of every paycheck to VCERA to fund their pension benefits. CERL governs the calculation of VCERA members’ retirement allowances based on a formula comprised of an employee’s: (1) age at retirement; (2) years of service; and (3) final compensation.</w:t>
      </w:r>
    </w:p>
    <w:p w14:paraId="3A339DB0" w14:textId="77777777" w:rsidR="00190EAB" w:rsidRDefault="00190EAB" w:rsidP="00190EAB">
      <w:pPr>
        <w:pStyle w:val="NoSpacing"/>
        <w:ind w:left="720"/>
      </w:pPr>
    </w:p>
    <w:p w14:paraId="693536B6" w14:textId="77777777" w:rsidR="00190EAB" w:rsidRDefault="00190EAB" w:rsidP="00190EAB">
      <w:pPr>
        <w:pStyle w:val="NoSpacing"/>
        <w:ind w:left="720"/>
      </w:pPr>
      <w:r>
        <w:t>***</w:t>
      </w:r>
    </w:p>
    <w:p w14:paraId="3980D2C9" w14:textId="77777777" w:rsidR="00190EAB" w:rsidRDefault="00190EAB" w:rsidP="00190EAB">
      <w:pPr>
        <w:pStyle w:val="NoSpacing"/>
        <w:ind w:left="720"/>
      </w:pPr>
      <w:r>
        <w:t>Appellants are ‘legacy’ members of VCERA because they were employed by the county prior to the enactment of PEPRA in 2013…. EPRA revised laws governing pension plans and amended provisions of CERL in response to a rise in ‘spiking’ and other practices used to increase retirement benefits during the representative period.</w:t>
      </w:r>
    </w:p>
    <w:p w14:paraId="1E234DBA" w14:textId="77777777" w:rsidR="00190EAB" w:rsidRDefault="00190EAB" w:rsidP="00190EAB">
      <w:pPr>
        <w:pStyle w:val="NoSpacing"/>
        <w:ind w:left="720"/>
      </w:pPr>
    </w:p>
    <w:p w14:paraId="4B6990D7" w14:textId="77777777" w:rsidR="00190EAB" w:rsidRDefault="00190EAB" w:rsidP="00190EAB">
      <w:pPr>
        <w:pStyle w:val="NoSpacing"/>
        <w:ind w:left="720"/>
      </w:pPr>
      <w:r>
        <w:t>***</w:t>
      </w:r>
    </w:p>
    <w:p w14:paraId="2BE671C2" w14:textId="77777777" w:rsidR="00190EAB" w:rsidRDefault="00190EAB" w:rsidP="00190EAB">
      <w:pPr>
        <w:pStyle w:val="NoSpacing"/>
        <w:ind w:left="720"/>
      </w:pPr>
    </w:p>
    <w:p w14:paraId="42A6D74C" w14:textId="77777777" w:rsidR="00190EAB" w:rsidRDefault="00190EAB" w:rsidP="00190EAB">
      <w:pPr>
        <w:pStyle w:val="NoSpacing"/>
        <w:ind w:left="720"/>
      </w:pPr>
      <w:r>
        <w:t xml:space="preserve">The MOA does not differentiate between different types of standby. Appellants assert that in practice there are two types: (1) ‘ad hoc’ standby worked at the Duty Chief’s discretion when emergency conditions were forecasted; and (2) ‘scheduled’ standby that is ‘assigned, regular, and reoccurring, mandatory, and part of an employee’s normal working hours.” They allege the </w:t>
      </w:r>
      <w:proofErr w:type="gramStart"/>
      <w:r>
        <w:t>District</w:t>
      </w:r>
      <w:proofErr w:type="gramEnd"/>
      <w:r>
        <w:t xml:space="preserve"> requires them ‘to be on standby for a certain number of days each month as part of their normal </w:t>
      </w:r>
      <w:proofErr w:type="gramStart"/>
      <w:r>
        <w:t>schedules’</w:t>
      </w:r>
      <w:proofErr w:type="gramEnd"/>
      <w:r>
        <w:t xml:space="preserve"> because they have specialized skills. ‘Heavy Equipment Operator[s]’ work ‘a minimum’ of two days per week and seven days per three-week period. ‘ Aviation Manager[s]/ work an additional</w:t>
      </w:r>
    </w:p>
    <w:p w14:paraId="159E64D1" w14:textId="77777777" w:rsidR="00190EAB" w:rsidRDefault="00190EAB" w:rsidP="00190EAB">
      <w:pPr>
        <w:pStyle w:val="NoSpacing"/>
        <w:ind w:left="720"/>
      </w:pPr>
      <w:r>
        <w:t>eight hours of standby after each shift.”</w:t>
      </w:r>
    </w:p>
    <w:p w14:paraId="788E501B" w14:textId="77777777" w:rsidR="00190EAB" w:rsidRDefault="00190EAB" w:rsidP="00190EAB">
      <w:pPr>
        <w:pStyle w:val="NoSpacing"/>
        <w:ind w:firstLine="720"/>
      </w:pPr>
    </w:p>
    <w:p w14:paraId="06A42621" w14:textId="77777777" w:rsidR="00190EAB" w:rsidRPr="00CD2147" w:rsidRDefault="00190EAB" w:rsidP="00190EAB">
      <w:pPr>
        <w:pStyle w:val="NoSpacing"/>
        <w:rPr>
          <w:b/>
          <w:bCs/>
        </w:rPr>
      </w:pPr>
      <w:r>
        <w:rPr>
          <w:b/>
        </w:rPr>
        <w:t xml:space="preserve">Legal lesson learned: California law was amended in 2013 because of pension “spiking” – </w:t>
      </w:r>
      <w:r w:rsidRPr="00CD2147">
        <w:rPr>
          <w:b/>
        </w:rPr>
        <w:t>“additional services rendered outside of normal working hours” not in calculation of average annual compensation.</w:t>
      </w:r>
    </w:p>
    <w:p w14:paraId="04100214" w14:textId="77777777" w:rsidR="00190EAB" w:rsidRDefault="00190EAB" w:rsidP="000624FD">
      <w:pPr>
        <w:pStyle w:val="NoSpacing"/>
        <w:rPr>
          <w:rFonts w:ascii="Arial Black" w:hAnsi="Arial Black"/>
          <w:b/>
          <w:sz w:val="28"/>
          <w:szCs w:val="28"/>
        </w:rPr>
      </w:pPr>
    </w:p>
    <w:p w14:paraId="4185E707" w14:textId="77777777" w:rsidR="00190EAB" w:rsidRDefault="00190EAB" w:rsidP="000624FD">
      <w:pPr>
        <w:pStyle w:val="NoSpacing"/>
        <w:rPr>
          <w:rFonts w:ascii="Arial Black" w:hAnsi="Arial Black"/>
          <w:b/>
          <w:sz w:val="28"/>
          <w:szCs w:val="28"/>
        </w:rPr>
      </w:pPr>
    </w:p>
    <w:p w14:paraId="2513789F" w14:textId="77777777" w:rsidR="00190EAB" w:rsidRDefault="00190EAB" w:rsidP="000624FD">
      <w:pPr>
        <w:pStyle w:val="NoSpacing"/>
        <w:rPr>
          <w:rFonts w:ascii="Arial Black" w:hAnsi="Arial Black"/>
          <w:b/>
          <w:sz w:val="28"/>
          <w:szCs w:val="28"/>
        </w:rPr>
      </w:pPr>
    </w:p>
    <w:p w14:paraId="6A9ED24A" w14:textId="77777777" w:rsidR="00190EAB" w:rsidRDefault="00190EAB" w:rsidP="000624FD">
      <w:pPr>
        <w:pStyle w:val="NoSpacing"/>
        <w:rPr>
          <w:rFonts w:ascii="Arial Black" w:hAnsi="Arial Black"/>
          <w:b/>
          <w:sz w:val="28"/>
          <w:szCs w:val="28"/>
        </w:rPr>
      </w:pPr>
    </w:p>
    <w:p w14:paraId="0EFFD7B3" w14:textId="77777777" w:rsidR="00040383" w:rsidRDefault="00040383" w:rsidP="000624FD">
      <w:pPr>
        <w:pStyle w:val="NoSpacing"/>
        <w:rPr>
          <w:rFonts w:ascii="Arial Black" w:hAnsi="Arial Black"/>
          <w:b/>
          <w:sz w:val="28"/>
          <w:szCs w:val="28"/>
        </w:rPr>
      </w:pPr>
    </w:p>
    <w:p w14:paraId="4D41564F" w14:textId="3EF1D647" w:rsidR="00DE3247" w:rsidRDefault="005646A1" w:rsidP="000624FD">
      <w:pPr>
        <w:pStyle w:val="NoSpacing"/>
        <w:rPr>
          <w:rFonts w:ascii="Arial Black" w:hAnsi="Arial Black"/>
          <w:b/>
          <w:sz w:val="28"/>
          <w:szCs w:val="28"/>
        </w:rPr>
      </w:pPr>
      <w:r>
        <w:rPr>
          <w:rFonts w:ascii="Arial Black" w:hAnsi="Arial Black"/>
          <w:b/>
          <w:sz w:val="28"/>
          <w:szCs w:val="28"/>
        </w:rPr>
        <w:t>6-17</w:t>
      </w:r>
      <w:r w:rsidR="002A0697">
        <w:rPr>
          <w:rFonts w:ascii="Arial Black" w:hAnsi="Arial Black"/>
          <w:b/>
          <w:sz w:val="28"/>
          <w:szCs w:val="28"/>
        </w:rPr>
        <w:t>2</w:t>
      </w:r>
    </w:p>
    <w:p w14:paraId="186CA53D" w14:textId="77777777" w:rsidR="005646A1" w:rsidRDefault="005646A1" w:rsidP="000624FD">
      <w:pPr>
        <w:pStyle w:val="NoSpacing"/>
        <w:rPr>
          <w:rFonts w:ascii="Arial Black" w:hAnsi="Arial Black"/>
          <w:b/>
          <w:sz w:val="28"/>
          <w:szCs w:val="28"/>
        </w:rPr>
      </w:pPr>
    </w:p>
    <w:p w14:paraId="07CE58F2" w14:textId="3F774473" w:rsidR="00FC5BB1" w:rsidRPr="00244855" w:rsidRDefault="00FC5BB1" w:rsidP="00FC5BB1">
      <w:pPr>
        <w:pStyle w:val="NoSpacing"/>
        <w:rPr>
          <w:rFonts w:ascii="Arial Black" w:hAnsi="Arial Black"/>
          <w:sz w:val="28"/>
          <w:szCs w:val="28"/>
        </w:rPr>
      </w:pPr>
      <w:r>
        <w:rPr>
          <w:rFonts w:ascii="Arial Black" w:hAnsi="Arial Black"/>
          <w:sz w:val="28"/>
          <w:szCs w:val="28"/>
        </w:rPr>
        <w:t xml:space="preserve">AZ: BRAIN CANCER – WORK COMP </w:t>
      </w:r>
      <w:r w:rsidR="005C48CA">
        <w:rPr>
          <w:rFonts w:ascii="Arial Black" w:hAnsi="Arial Black"/>
          <w:sz w:val="28"/>
          <w:szCs w:val="28"/>
        </w:rPr>
        <w:t>COVERAGE</w:t>
      </w:r>
    </w:p>
    <w:p w14:paraId="1236FD41" w14:textId="77777777" w:rsidR="00FC5BB1" w:rsidRDefault="00FC5BB1" w:rsidP="00FC5BB1">
      <w:pPr>
        <w:pStyle w:val="NoSpacing"/>
      </w:pPr>
    </w:p>
    <w:p w14:paraId="629E6913" w14:textId="77777777" w:rsidR="00FC5BB1" w:rsidRPr="009327ED" w:rsidRDefault="00FC5BB1" w:rsidP="00FC5BB1">
      <w:pPr>
        <w:pStyle w:val="NoSpacing"/>
      </w:pPr>
      <w:r>
        <w:t xml:space="preserve">On Oct. 31, 2025, in </w:t>
      </w:r>
      <w:r w:rsidRPr="008559F1">
        <w:rPr>
          <w:u w:val="single"/>
        </w:rPr>
        <w:t>Robert Vande Krol v. The Industrial Commission of Arizona, et al</w:t>
      </w:r>
      <w:r>
        <w:t xml:space="preserve">., the </w:t>
      </w:r>
      <w:r w:rsidRPr="009327ED">
        <w:t>Court of Appeals of Arizona, First Division</w:t>
      </w:r>
      <w:r>
        <w:t xml:space="preserve"> held (3 to 1, unpublished opinion) that the medically retired firefighter from Superstition Fire Department was entitled to workers comp. by showing that </w:t>
      </w:r>
      <w:r w:rsidRPr="00C23189">
        <w:t>carcinogen</w:t>
      </w:r>
      <w:r>
        <w:t>s to which he was exposed could lead to brain cancer in general – no need to prove cause his specific type of cancer (</w:t>
      </w:r>
      <w:r w:rsidRPr="00EC6245">
        <w:t>oligodendroglioma,</w:t>
      </w:r>
      <w:r>
        <w:t xml:space="preserve">). In August 2000 as part of annual physical, a tumor </w:t>
      </w:r>
      <w:proofErr w:type="gramStart"/>
      <w:r>
        <w:t>was located in</w:t>
      </w:r>
      <w:proofErr w:type="gramEnd"/>
      <w:r>
        <w:t xml:space="preserve"> brain of this 18-year firefighter. </w:t>
      </w:r>
      <w:r w:rsidRPr="00EC6245">
        <w:t xml:space="preserve">In October 2020, Vande Krol underwent brain surgery (a right craniotomy), which successfully removed the tumor. Thereafter, </w:t>
      </w:r>
      <w:r>
        <w:t xml:space="preserve">he </w:t>
      </w:r>
      <w:r w:rsidRPr="00EC6245">
        <w:t>was diagnosed with oligodendroglioma, a rare form of brain cancer. After surgery, Vande Krol lost peripheral vision in his left eye, and he now suffers cognitive impairment, vertigo, headaches, and muscle weakness</w:t>
      </w:r>
      <w:r>
        <w:t xml:space="preserve">, and was required to take medical </w:t>
      </w:r>
      <w:r w:rsidRPr="00EC6245">
        <w:t xml:space="preserve"> retirement. </w:t>
      </w:r>
      <w:r>
        <w:t xml:space="preserve"> </w:t>
      </w:r>
      <w:hyperlink r:id="rId1077" w:history="1">
        <w:r w:rsidRPr="00822BB2">
          <w:rPr>
            <w:rStyle w:val="Hyperlink"/>
          </w:rPr>
          <w:t>https://public.fastcase.com/jaEE2PXzRXmZ99jOLMt1IiCZZZpteOfluZOkYG3wMviTSniVMo5h4kc4WRTpe6V8Jg8IM7MTKJ5SfgRKhZGl2tVI6P4U%2BnkSaEwO2dzM8Rk%3D?utm_medium=email&amp;_hsenc=p2ANqtz--UPexxOwqhUZNftyKJhb3R-qXmsyD2qvqkoufxMeh6uEfEbZVRIKhd7hzivD-PUaEhi0YeikRdDbC9teuqS6ORoDRaLQ&amp;_hsmi=226712652&amp;utm_content=226712652&amp;utm_source=hs_email</w:t>
        </w:r>
      </w:hyperlink>
      <w:r>
        <w:t xml:space="preserve"> </w:t>
      </w:r>
    </w:p>
    <w:p w14:paraId="7231DC29" w14:textId="77777777" w:rsidR="00FC5BB1" w:rsidRDefault="00FC5BB1" w:rsidP="00FC5BB1">
      <w:pPr>
        <w:pStyle w:val="NoSpacing"/>
      </w:pPr>
    </w:p>
    <w:p w14:paraId="7DD7FE10" w14:textId="77777777" w:rsidR="00FC5BB1" w:rsidRDefault="00FC5BB1" w:rsidP="00FC5BB1">
      <w:pPr>
        <w:pStyle w:val="NoSpacing"/>
      </w:pPr>
      <w:r>
        <w:t>THE COURT HELD:</w:t>
      </w:r>
    </w:p>
    <w:p w14:paraId="623A9EAD" w14:textId="77777777" w:rsidR="00FC5BB1" w:rsidRDefault="00FC5BB1" w:rsidP="00FC5BB1">
      <w:pPr>
        <w:pStyle w:val="NoSpacing"/>
        <w:ind w:left="720"/>
      </w:pPr>
    </w:p>
    <w:p w14:paraId="7DE63E37" w14:textId="77777777" w:rsidR="00FC5BB1" w:rsidRDefault="00FC5BB1" w:rsidP="00FC5BB1">
      <w:pPr>
        <w:pStyle w:val="NoSpacing"/>
        <w:ind w:left="720"/>
      </w:pPr>
      <w:r>
        <w:t>“V</w:t>
      </w:r>
      <w:r w:rsidRPr="00A43411">
        <w:t>ande Krol filed a workers' compensation claim with Superstition's insurer, Benchmark Insurance Company ("Benchmark"), stating that his brain cancer was a covered occupational disease. Benchmark denied the claim, so Vande Krol requested a hearing before an ALJ</w:t>
      </w:r>
      <w:r>
        <w:t>.</w:t>
      </w:r>
    </w:p>
    <w:p w14:paraId="04EDCF5A" w14:textId="77777777" w:rsidR="00FC5BB1" w:rsidRDefault="00FC5BB1" w:rsidP="00FC5BB1">
      <w:pPr>
        <w:pStyle w:val="NoSpacing"/>
        <w:ind w:left="720"/>
      </w:pPr>
    </w:p>
    <w:p w14:paraId="32385D7A" w14:textId="77777777" w:rsidR="00FC5BB1" w:rsidRDefault="00FC5BB1" w:rsidP="00FC5BB1">
      <w:pPr>
        <w:pStyle w:val="NoSpacing"/>
        <w:ind w:left="720"/>
      </w:pPr>
      <w:r>
        <w:t>***</w:t>
      </w:r>
    </w:p>
    <w:p w14:paraId="3766EA7C" w14:textId="77777777" w:rsidR="00FC5BB1" w:rsidRDefault="00FC5BB1" w:rsidP="00FC5BB1">
      <w:pPr>
        <w:pStyle w:val="NoSpacing"/>
      </w:pPr>
    </w:p>
    <w:p w14:paraId="023E76BC" w14:textId="77777777" w:rsidR="00FC5BB1" w:rsidRDefault="00FC5BB1" w:rsidP="00FC5BB1">
      <w:pPr>
        <w:pStyle w:val="NoSpacing"/>
        <w:ind w:left="720"/>
      </w:pPr>
      <w:r w:rsidRPr="00BA15B4">
        <w:t xml:space="preserve">At the hearing, the ALJ </w:t>
      </w:r>
      <w:r>
        <w:t xml:space="preserve">[Administrative Law Judge] </w:t>
      </w:r>
      <w:r w:rsidRPr="00BA15B4">
        <w:t xml:space="preserve">heard testimony from Vande Krol and two medical experts. Dr. Smith, a former firefighter and current physician, testified for Vande Krol. He opined that the </w:t>
      </w:r>
      <w:r>
        <w:t>‘</w:t>
      </w:r>
      <w:r w:rsidRPr="00BA15B4">
        <w:t>probable cause</w:t>
      </w:r>
      <w:r>
        <w:t>’</w:t>
      </w:r>
      <w:r w:rsidRPr="00BA15B4">
        <w:t xml:space="preserve"> of Vande Krol's brain cancer was a combination of exposure to (1) the byproducts of combustion from fires, (2) firefighting foam, (3) diesel fumes, and (4) radiation emitted from the cell tower near his fire station.</w:t>
      </w:r>
    </w:p>
    <w:p w14:paraId="315DBC0D" w14:textId="77777777" w:rsidR="00FC5BB1" w:rsidRDefault="00FC5BB1" w:rsidP="00FC5BB1">
      <w:pPr>
        <w:pStyle w:val="NoSpacing"/>
      </w:pPr>
    </w:p>
    <w:p w14:paraId="74040993" w14:textId="77777777" w:rsidR="00FC5BB1" w:rsidRDefault="00FC5BB1" w:rsidP="00FC5BB1">
      <w:pPr>
        <w:pStyle w:val="NoSpacing"/>
        <w:ind w:left="720"/>
      </w:pPr>
      <w:r w:rsidRPr="00727F96">
        <w:t xml:space="preserve">Dr. Peter Ferrara, a surgical oncologist, testified </w:t>
      </w:r>
      <w:proofErr w:type="gramStart"/>
      <w:r w:rsidRPr="00727F96">
        <w:t>for</w:t>
      </w:r>
      <w:proofErr w:type="gramEnd"/>
      <w:r w:rsidRPr="00727F96">
        <w:t xml:space="preserve"> Superstition and Benchmark (together, "Respondents"). Dr. Ferrara testified that the only </w:t>
      </w:r>
      <w:r>
        <w:t>‘</w:t>
      </w:r>
      <w:r w:rsidRPr="00727F96">
        <w:t xml:space="preserve">definite </w:t>
      </w:r>
      <w:proofErr w:type="spellStart"/>
      <w:r w:rsidRPr="00727F96">
        <w:t>caus</w:t>
      </w:r>
      <w:proofErr w:type="spellEnd"/>
      <w:r w:rsidRPr="00727F96">
        <w:t xml:space="preserve">[e] of brain </w:t>
      </w:r>
      <w:proofErr w:type="gramStart"/>
      <w:r w:rsidRPr="00727F96">
        <w:t>cancers</w:t>
      </w:r>
      <w:proofErr w:type="gramEnd"/>
      <w:r w:rsidRPr="00727F96">
        <w:t xml:space="preserve"> is ionizing radiation,</w:t>
      </w:r>
      <w:r>
        <w:t>’</w:t>
      </w:r>
      <w:r w:rsidRPr="00727F96">
        <w:t xml:space="preserve"> and there was no evidence of such exposure. Dr. Ferrara said he could not opine to a </w:t>
      </w:r>
      <w:r>
        <w:t>‘</w:t>
      </w:r>
      <w:r w:rsidRPr="00727F96">
        <w:t>reasonable degree of medical probability</w:t>
      </w:r>
      <w:r>
        <w:t>’</w:t>
      </w:r>
      <w:r w:rsidRPr="00727F96">
        <w:t xml:space="preserve"> that Vande Krol's exposure to any carcinogens commonly associated with firefighting were related to his </w:t>
      </w:r>
      <w:r>
        <w:t>‘</w:t>
      </w:r>
      <w:r w:rsidRPr="00727F96">
        <w:t>type of brain cancer.</w:t>
      </w:r>
      <w:r>
        <w:t>’</w:t>
      </w:r>
    </w:p>
    <w:p w14:paraId="59F04EDA" w14:textId="77777777" w:rsidR="00FC5BB1" w:rsidRDefault="00FC5BB1" w:rsidP="00FC5BB1">
      <w:pPr>
        <w:pStyle w:val="NoSpacing"/>
        <w:ind w:left="720"/>
      </w:pPr>
    </w:p>
    <w:p w14:paraId="730DE42C" w14:textId="77777777" w:rsidR="00FC5BB1" w:rsidRPr="00E571B4" w:rsidRDefault="00FC5BB1" w:rsidP="00FC5BB1">
      <w:pPr>
        <w:pStyle w:val="NoSpacing"/>
        <w:ind w:left="720"/>
      </w:pPr>
      <w:r>
        <w:t>***</w:t>
      </w:r>
    </w:p>
    <w:p w14:paraId="76F76A29" w14:textId="77777777" w:rsidR="00FC5BB1" w:rsidRDefault="00FC5BB1" w:rsidP="00FC5BB1">
      <w:pPr>
        <w:pStyle w:val="NoSpacing"/>
      </w:pPr>
    </w:p>
    <w:p w14:paraId="0CB0A29B" w14:textId="77777777" w:rsidR="00FC5BB1" w:rsidRDefault="00FC5BB1" w:rsidP="00FC5BB1">
      <w:pPr>
        <w:pStyle w:val="NoSpacing"/>
        <w:ind w:left="720"/>
      </w:pPr>
      <w:r w:rsidRPr="00B875CD">
        <w:t>The ALJ determined Vande Krol satisfied the requirements of A.R.S. § 23-901.01(C), save for one. Based on the ALJ's interpretation of A.R.S. § 23-901.01(C)(3), she concluded Vande Krol failed to prove that his exposure to a specific carcinogen caused his specific type of brain cancer (oligodendroglioma). And, because Vande Krol had not made that showing, the ALJ concluded Vande Krol had not suffered a compensable injury entitling him to compensation.</w:t>
      </w:r>
    </w:p>
    <w:p w14:paraId="6F5AC396" w14:textId="77777777" w:rsidR="00FC5BB1" w:rsidRDefault="00FC5BB1" w:rsidP="00FC5BB1">
      <w:pPr>
        <w:pStyle w:val="NoSpacing"/>
        <w:ind w:left="720"/>
      </w:pPr>
    </w:p>
    <w:p w14:paraId="080E42F0" w14:textId="77777777" w:rsidR="00FC5BB1" w:rsidRDefault="00FC5BB1" w:rsidP="00FC5BB1">
      <w:pPr>
        <w:pStyle w:val="NoSpacing"/>
        <w:ind w:left="720"/>
      </w:pPr>
      <w:r>
        <w:t>***</w:t>
      </w:r>
    </w:p>
    <w:p w14:paraId="262AA4F7" w14:textId="77777777" w:rsidR="00FC5BB1" w:rsidRDefault="00FC5BB1" w:rsidP="00FC5BB1">
      <w:pPr>
        <w:pStyle w:val="NoSpacing"/>
        <w:ind w:left="720"/>
      </w:pPr>
      <w:r w:rsidRPr="00006D2F">
        <w:t xml:space="preserve">Beginning in 2001, Arizona joined a growing number of states to enact a statutory presumption easing causation for firefighters with certain cancers. </w:t>
      </w:r>
      <w:r w:rsidRPr="00006D2F">
        <w:rPr>
          <w:i/>
          <w:iCs/>
        </w:rPr>
        <w:t>See</w:t>
      </w:r>
      <w:r w:rsidRPr="00006D2F">
        <w:t xml:space="preserve"> A.R.S. §§ 23-901.01(B)-(E) (2001); 2001 Ariz. Sess. Laws ch. 192, § 1 (1st Reg. Sess.)</w:t>
      </w:r>
      <w:r>
        <w:t xml:space="preserve">… </w:t>
      </w:r>
      <w:r w:rsidRPr="008D1591">
        <w:t xml:space="preserve">Applying our interpretation, Vande Krol's claim is subject to the presumption in (B)(1) because (everyone agrees) he had brain cancer. Under (C)(3), Vande Krol had to prove that a carcinogen or </w:t>
      </w:r>
      <w:proofErr w:type="gramStart"/>
      <w:r w:rsidRPr="008D1591">
        <w:t>carcinogens</w:t>
      </w:r>
      <w:proofErr w:type="gramEnd"/>
      <w:r w:rsidRPr="008D1591">
        <w:t xml:space="preserve"> to which he was exposed is reasonably related to the type of cancer making him eligible under (B)(1)-namely, brain cancer. He was not required to show that the carcinogens are reasonably related to some specific type, or subset, of brain cancer, like oligodendroglioma.</w:t>
      </w:r>
    </w:p>
    <w:p w14:paraId="4D075EE9" w14:textId="77777777" w:rsidR="00FC5BB1" w:rsidRDefault="00FC5BB1" w:rsidP="00FC5BB1">
      <w:pPr>
        <w:pStyle w:val="NoSpacing"/>
        <w:ind w:left="720"/>
      </w:pPr>
    </w:p>
    <w:p w14:paraId="2ED0FFEA" w14:textId="77777777" w:rsidR="00FC5BB1" w:rsidRDefault="00FC5BB1" w:rsidP="00FC5BB1">
      <w:pPr>
        <w:pStyle w:val="NoSpacing"/>
        <w:ind w:left="720"/>
      </w:pPr>
      <w:r>
        <w:t>***</w:t>
      </w:r>
    </w:p>
    <w:p w14:paraId="22F683BC" w14:textId="77777777" w:rsidR="00FC5BB1" w:rsidRDefault="00FC5BB1" w:rsidP="00FC5BB1">
      <w:pPr>
        <w:pStyle w:val="NoSpacing"/>
        <w:ind w:left="720"/>
      </w:pPr>
      <w:r w:rsidRPr="00AA1DB1">
        <w:t xml:space="preserve">We conclude that, under (C)(3), a firefighter need not show that his exposure to a carcinogen is reasonably related to his specific type of brain cancer. Instead, he must show that a carcinogen to which he was exposed is reasonably related to brain cancer </w:t>
      </w:r>
      <w:proofErr w:type="gramStart"/>
      <w:r w:rsidRPr="00AA1DB1">
        <w:t>generally.</w:t>
      </w:r>
      <w:r>
        <w:t>”</w:t>
      </w:r>
      <w:proofErr w:type="gramEnd"/>
    </w:p>
    <w:p w14:paraId="662880F6" w14:textId="77777777" w:rsidR="00FC5BB1" w:rsidRDefault="00FC5BB1" w:rsidP="00FC5BB1">
      <w:pPr>
        <w:pStyle w:val="NoSpacing"/>
        <w:ind w:left="720"/>
      </w:pPr>
    </w:p>
    <w:p w14:paraId="3AE84A04" w14:textId="1C657DB8" w:rsidR="00FC5BB1" w:rsidRDefault="00FC5BB1" w:rsidP="00FC5BB1">
      <w:pPr>
        <w:pStyle w:val="NoSpacing"/>
        <w:rPr>
          <w:b/>
          <w:bCs/>
        </w:rPr>
      </w:pPr>
      <w:r>
        <w:rPr>
          <w:b/>
        </w:rPr>
        <w:t xml:space="preserve">Lesson learned: </w:t>
      </w:r>
      <w:proofErr w:type="gramStart"/>
      <w:r>
        <w:rPr>
          <w:b/>
        </w:rPr>
        <w:t>Great</w:t>
      </w:r>
      <w:proofErr w:type="gramEnd"/>
      <w:r>
        <w:rPr>
          <w:b/>
        </w:rPr>
        <w:t xml:space="preserve"> decision, after a lengthy legal battle – Jan. 2021 claim; appeal to Court of Appeals, then to Arizona Supreme Court, and remand to Court of Appeals.  </w:t>
      </w:r>
    </w:p>
    <w:p w14:paraId="7C6C3D76" w14:textId="77777777" w:rsidR="00FC5BB1" w:rsidRDefault="00FC5BB1" w:rsidP="00FC5BB1">
      <w:pPr>
        <w:pStyle w:val="NoSpacing"/>
        <w:rPr>
          <w:b/>
          <w:bCs/>
        </w:rPr>
      </w:pPr>
    </w:p>
    <w:p w14:paraId="5F7ED90B" w14:textId="77777777" w:rsidR="00FC5BB1" w:rsidRPr="000F1AB9" w:rsidRDefault="00FC5BB1" w:rsidP="00FC5BB1">
      <w:pPr>
        <w:pStyle w:val="NoSpacing"/>
        <w:ind w:left="720"/>
      </w:pPr>
      <w:r w:rsidRPr="000F1AB9">
        <w:t xml:space="preserve">Note: On March 26, </w:t>
      </w:r>
      <w:proofErr w:type="gramStart"/>
      <w:r w:rsidRPr="000F1AB9">
        <w:t>2025</w:t>
      </w:r>
      <w:proofErr w:type="gramEnd"/>
      <w:r w:rsidRPr="000F1AB9">
        <w:t xml:space="preserve"> the Arizona Supreme Court (6 to 1): We hold that the 2017 statute applies to Vande Krol’s workers’ compensation claim. We vacate the court of appeals’ opinion. Because the court of appeals concluded that the 2021 statute applied, it did “not address whether the ALJ correctly interpreted the 2017 statute.”</w:t>
      </w:r>
      <w:r w:rsidRPr="003205D0">
        <w:t xml:space="preserve"> </w:t>
      </w:r>
      <w:hyperlink r:id="rId1078" w:history="1">
        <w:r w:rsidRPr="00822BB2">
          <w:rPr>
            <w:rStyle w:val="Hyperlink"/>
          </w:rPr>
          <w:t>https://cases.justia.com/arizona/supreme-court/2025-cv-23-0211-pr.pdf?ts=1743008459</w:t>
        </w:r>
      </w:hyperlink>
      <w:r>
        <w:t xml:space="preserve"> </w:t>
      </w:r>
    </w:p>
    <w:p w14:paraId="20595A88" w14:textId="77777777" w:rsidR="00FC5BB1" w:rsidRDefault="00FC5BB1" w:rsidP="00FC5BB1">
      <w:pPr>
        <w:pStyle w:val="NoSpacing"/>
        <w:ind w:left="720"/>
      </w:pPr>
    </w:p>
    <w:p w14:paraId="1EF2DD96" w14:textId="77777777" w:rsidR="00FC5BB1" w:rsidRDefault="00FC5BB1" w:rsidP="00FC5BB1">
      <w:pPr>
        <w:pStyle w:val="NoSpacing"/>
        <w:ind w:left="720"/>
        <w:rPr>
          <w:b/>
          <w:bCs/>
        </w:rPr>
      </w:pPr>
      <w:r w:rsidRPr="00F87F8E">
        <w:t>Then,</w:t>
      </w:r>
      <w:r>
        <w:t xml:space="preserve"> </w:t>
      </w:r>
      <w:r w:rsidRPr="00F87F8E">
        <w:t xml:space="preserve">in 2021, the legislature relaxed the burden on firefighters to establish </w:t>
      </w:r>
      <w:proofErr w:type="gramStart"/>
      <w:r w:rsidRPr="00F87F8E">
        <w:t>the</w:t>
      </w:r>
      <w:r>
        <w:t xml:space="preserve"> </w:t>
      </w:r>
      <w:r w:rsidRPr="00F87F8E">
        <w:t>statutory</w:t>
      </w:r>
      <w:proofErr w:type="gramEnd"/>
      <w:r w:rsidRPr="00F87F8E">
        <w:t xml:space="preserve"> presumption </w:t>
      </w:r>
      <w:proofErr w:type="gramStart"/>
      <w:r w:rsidRPr="00F87F8E">
        <w:t>and also</w:t>
      </w:r>
      <w:proofErr w:type="gramEnd"/>
      <w:r w:rsidRPr="00F87F8E">
        <w:t xml:space="preserve"> heightened the evidentiary standard </w:t>
      </w:r>
      <w:r>
        <w:t xml:space="preserve">for an employer seeking </w:t>
      </w:r>
      <w:r w:rsidRPr="00F87F8E">
        <w:t>to</w:t>
      </w:r>
      <w:r>
        <w:t xml:space="preserve"> </w:t>
      </w:r>
      <w:r w:rsidRPr="00F87F8E">
        <w:t>rebut the presumption. A.R.S. § 23-901.09 (2021) (effective Sept. 29, 2021)</w:t>
      </w:r>
      <w:r>
        <w:t xml:space="preserve"> </w:t>
      </w:r>
      <w:r w:rsidRPr="00F87F8E">
        <w:t>(“2021 statute”); 2021 Ariz. Sess. Laws ch. 229, §§ 5–6 (1st Reg. Sess.).</w:t>
      </w:r>
    </w:p>
    <w:p w14:paraId="662B9696" w14:textId="77777777" w:rsidR="00FC5BB1" w:rsidRDefault="00FC5BB1" w:rsidP="00FC5BB1">
      <w:pPr>
        <w:pStyle w:val="NoSpacing"/>
        <w:rPr>
          <w:b/>
          <w:bCs/>
        </w:rPr>
      </w:pPr>
    </w:p>
    <w:p w14:paraId="313CE331" w14:textId="77777777" w:rsidR="00FC5BB1" w:rsidRDefault="00FC5BB1" w:rsidP="00FC5BB1">
      <w:pPr>
        <w:pStyle w:val="NoSpacing"/>
        <w:ind w:left="720"/>
      </w:pPr>
      <w:r>
        <w:t xml:space="preserve">See March 26, </w:t>
      </w:r>
      <w:proofErr w:type="gramStart"/>
      <w:r>
        <w:t>2025</w:t>
      </w:r>
      <w:proofErr w:type="gramEnd"/>
      <w:r>
        <w:t xml:space="preserve"> article: </w:t>
      </w:r>
      <w:r w:rsidRPr="003812BA">
        <w:t xml:space="preserve">“Arizona Supreme Court rules in favor of firefighter in compensation claim.” </w:t>
      </w:r>
      <w:hyperlink r:id="rId1079" w:history="1">
        <w:r w:rsidRPr="00822BB2">
          <w:rPr>
            <w:rStyle w:val="Hyperlink"/>
          </w:rPr>
          <w:t>https://www.kvoa.com/news/arizona/arizona-supreme-court-rules-in-favor-of-firefighter-in-compensation-claim/article_63a696b0-5894-4bcc-94e3-966091411b00.html</w:t>
        </w:r>
      </w:hyperlink>
      <w:r>
        <w:t xml:space="preserve"> </w:t>
      </w:r>
    </w:p>
    <w:p w14:paraId="07E49B75" w14:textId="77777777" w:rsidR="00FC5BB1" w:rsidRDefault="00FC5BB1" w:rsidP="00FC5BB1">
      <w:pPr>
        <w:pStyle w:val="NoSpacing"/>
        <w:ind w:left="720"/>
      </w:pPr>
    </w:p>
    <w:p w14:paraId="682C8402" w14:textId="77777777" w:rsidR="00FC5BB1" w:rsidRDefault="00FC5BB1" w:rsidP="00FC5BB1">
      <w:pPr>
        <w:pStyle w:val="NoSpacing"/>
        <w:ind w:left="720"/>
      </w:pPr>
    </w:p>
    <w:p w14:paraId="30F7060A" w14:textId="6669CB98" w:rsidR="005646A1" w:rsidRDefault="00FC5BB1" w:rsidP="000624FD">
      <w:pPr>
        <w:pStyle w:val="NoSpacing"/>
        <w:rPr>
          <w:rFonts w:ascii="Arial Black" w:hAnsi="Arial Black"/>
          <w:b/>
          <w:sz w:val="28"/>
          <w:szCs w:val="28"/>
        </w:rPr>
      </w:pPr>
      <w:r>
        <w:rPr>
          <w:rFonts w:ascii="Arial Black" w:hAnsi="Arial Black"/>
          <w:b/>
          <w:sz w:val="28"/>
          <w:szCs w:val="28"/>
        </w:rPr>
        <w:t>6-17</w:t>
      </w:r>
      <w:r w:rsidR="002A0697">
        <w:rPr>
          <w:rFonts w:ascii="Arial Black" w:hAnsi="Arial Black"/>
          <w:b/>
          <w:sz w:val="28"/>
          <w:szCs w:val="28"/>
        </w:rPr>
        <w:t>1</w:t>
      </w:r>
    </w:p>
    <w:p w14:paraId="41D259CD" w14:textId="77777777" w:rsidR="00FC5BB1" w:rsidRDefault="00FC5BB1" w:rsidP="000624FD">
      <w:pPr>
        <w:pStyle w:val="NoSpacing"/>
        <w:rPr>
          <w:rFonts w:ascii="Arial Black" w:hAnsi="Arial Black"/>
          <w:b/>
          <w:sz w:val="28"/>
          <w:szCs w:val="28"/>
        </w:rPr>
      </w:pPr>
    </w:p>
    <w:p w14:paraId="20753664" w14:textId="77777777" w:rsidR="001F0C4C" w:rsidRPr="008C4E26" w:rsidRDefault="001F0C4C" w:rsidP="001F0C4C">
      <w:pPr>
        <w:spacing w:after="0"/>
        <w:rPr>
          <w:rFonts w:ascii="Arial Black" w:hAnsi="Arial Black"/>
          <w:b/>
          <w:sz w:val="28"/>
          <w:szCs w:val="28"/>
        </w:rPr>
      </w:pPr>
      <w:r>
        <w:rPr>
          <w:rFonts w:ascii="Arial Black" w:hAnsi="Arial Black"/>
          <w:b/>
          <w:sz w:val="28"/>
          <w:szCs w:val="28"/>
        </w:rPr>
        <w:t xml:space="preserve">WV: WRIST INJURY – THERAPIST WROTE “PRIOR ISSUES” </w:t>
      </w:r>
    </w:p>
    <w:p w14:paraId="4BB44EDA" w14:textId="77777777" w:rsidR="001F0C4C" w:rsidRDefault="001F0C4C" w:rsidP="001F0C4C">
      <w:pPr>
        <w:pStyle w:val="NoSpacing"/>
      </w:pPr>
    </w:p>
    <w:p w14:paraId="5F41E7B2" w14:textId="77777777" w:rsidR="001F0C4C" w:rsidRDefault="001F0C4C" w:rsidP="001F0C4C">
      <w:pPr>
        <w:spacing w:after="0"/>
        <w:rPr>
          <w:bCs/>
        </w:rPr>
      </w:pPr>
      <w:r>
        <w:t xml:space="preserve">On Oct. 24, 2025, in </w:t>
      </w:r>
      <w:r w:rsidRPr="00E72AD3">
        <w:rPr>
          <w:u w:val="single"/>
        </w:rPr>
        <w:t>City of Wheeling v. David Gilbert</w:t>
      </w:r>
      <w:r>
        <w:t xml:space="preserve">, the </w:t>
      </w:r>
      <w:r w:rsidRPr="00E72AD3">
        <w:t>West Virginia Intermediate Court of Appeals</w:t>
      </w:r>
      <w:r>
        <w:t xml:space="preserve"> held (3 to 0) that the </w:t>
      </w:r>
      <w:r w:rsidRPr="00554591">
        <w:t>Workers’ Compensation Board of Review</w:t>
      </w:r>
      <w:r>
        <w:t xml:space="preserve"> properly overruled the Claim Administrator, and will cover surgery for right wrist (Dec. 1, </w:t>
      </w:r>
      <w:proofErr w:type="gramStart"/>
      <w:r>
        <w:t>2023</w:t>
      </w:r>
      <w:proofErr w:type="gramEnd"/>
      <w:r>
        <w:t xml:space="preserve"> injury; X-Ray no broken bone and normal MRI; but June 3, </w:t>
      </w:r>
      <w:proofErr w:type="gramStart"/>
      <w:r>
        <w:t>2024</w:t>
      </w:r>
      <w:proofErr w:type="gramEnd"/>
      <w:r>
        <w:t xml:space="preserve"> </w:t>
      </w:r>
      <w:r w:rsidRPr="00572C02">
        <w:t>arthroscopy</w:t>
      </w:r>
      <w:r>
        <w:t xml:space="preserve"> revealed complete tear of ligament). </w:t>
      </w:r>
    </w:p>
    <w:p w14:paraId="7E628415" w14:textId="77777777" w:rsidR="001F0C4C" w:rsidRDefault="001F0C4C" w:rsidP="001F0C4C">
      <w:pPr>
        <w:spacing w:after="0"/>
        <w:rPr>
          <w:b/>
        </w:rPr>
      </w:pPr>
      <w:r>
        <w:t xml:space="preserve">The Independent Medical Examiner physician focused on notes by physical therapist that firefighter had prior issues with that right wrist.  The Board, however, relied on firefighter’s deposition testimony that he told the therapist he had prior issues with his </w:t>
      </w:r>
      <w:r w:rsidRPr="007113A0">
        <w:t>left wrist</w:t>
      </w:r>
      <w:r>
        <w:t xml:space="preserve">, and the therapist mistakenly recorded prior issues with right wrist. </w:t>
      </w:r>
      <w:hyperlink r:id="rId1080" w:history="1">
        <w:r w:rsidRPr="00E1728C">
          <w:rPr>
            <w:rStyle w:val="Hyperlink"/>
            <w:b/>
          </w:rPr>
          <w:t>https://cases.justia.com/west-virginia/intermediate-court-of-appeals/2025-25-ica-138.pdf?ts=1761335525</w:t>
        </w:r>
      </w:hyperlink>
      <w:r>
        <w:rPr>
          <w:b/>
        </w:rPr>
        <w:t xml:space="preserve"> </w:t>
      </w:r>
    </w:p>
    <w:p w14:paraId="24721377" w14:textId="77777777" w:rsidR="001F0C4C" w:rsidRDefault="001F0C4C" w:rsidP="001F0C4C">
      <w:pPr>
        <w:spacing w:after="0"/>
        <w:rPr>
          <w:bCs/>
        </w:rPr>
      </w:pPr>
    </w:p>
    <w:p w14:paraId="47617D31" w14:textId="77777777" w:rsidR="001F0C4C" w:rsidRDefault="001F0C4C" w:rsidP="001F0C4C">
      <w:pPr>
        <w:spacing w:after="0"/>
      </w:pPr>
      <w:r>
        <w:t xml:space="preserve">THE COURT HELD: </w:t>
      </w:r>
    </w:p>
    <w:p w14:paraId="020CAD27" w14:textId="77777777" w:rsidR="001F0C4C" w:rsidRDefault="001F0C4C" w:rsidP="001F0C4C">
      <w:pPr>
        <w:spacing w:after="0"/>
      </w:pPr>
    </w:p>
    <w:p w14:paraId="3B5B574F" w14:textId="77777777" w:rsidR="001F0C4C" w:rsidRDefault="001F0C4C" w:rsidP="001F0C4C">
      <w:pPr>
        <w:spacing w:after="0"/>
        <w:ind w:left="720"/>
      </w:pPr>
      <w:r>
        <w:t>“Mr. Gilbert was deposed on November 11, 2024, and testified that he injured his right wrist on December 1, 2023, when he tripped while getting into a vehicle and attempted to catch himself. Mr. Gilbert stated that he hooked his thumb on the headrest of the stretcher, which injured his wrist…. He stated that he might have mentioned that he</w:t>
      </w:r>
    </w:p>
    <w:p w14:paraId="3A3136A3" w14:textId="77777777" w:rsidR="001F0C4C" w:rsidRDefault="001F0C4C" w:rsidP="001F0C4C">
      <w:pPr>
        <w:spacing w:after="0"/>
        <w:ind w:firstLine="720"/>
      </w:pPr>
      <w:r>
        <w:t>had some prior issues with his left wrist, such as when he was rock climbing that required</w:t>
      </w:r>
    </w:p>
    <w:p w14:paraId="0D09D9E5" w14:textId="77777777" w:rsidR="001F0C4C" w:rsidRDefault="001F0C4C" w:rsidP="001F0C4C">
      <w:pPr>
        <w:spacing w:after="0"/>
        <w:ind w:left="720"/>
      </w:pPr>
      <w:r>
        <w:t xml:space="preserve">him to adjust his left wrist to use it functionally. Regarding the physical therapy note dated December 13, 2023, which reported that he had some joint instability in his right wrist prior to the compensable injury, Mr. Gilbert testified that he believed that note was based upon a miscommunication. Mr. Gilbert further testified that he was describing an issue with his left wrist and trying to say that he never had any issues with his right wrist. </w:t>
      </w:r>
    </w:p>
    <w:p w14:paraId="4DF8CF07" w14:textId="77777777" w:rsidR="001F0C4C" w:rsidRDefault="001F0C4C" w:rsidP="001F0C4C">
      <w:pPr>
        <w:spacing w:after="0"/>
        <w:ind w:left="720"/>
      </w:pPr>
    </w:p>
    <w:p w14:paraId="5D2B1928" w14:textId="77777777" w:rsidR="001F0C4C" w:rsidRDefault="001F0C4C" w:rsidP="001F0C4C">
      <w:pPr>
        <w:spacing w:after="0"/>
        <w:ind w:left="720"/>
      </w:pPr>
      <w:r>
        <w:t>***</w:t>
      </w:r>
    </w:p>
    <w:p w14:paraId="5970F6A9" w14:textId="77777777" w:rsidR="001F0C4C" w:rsidRDefault="001F0C4C" w:rsidP="001F0C4C">
      <w:pPr>
        <w:spacing w:after="0"/>
        <w:ind w:left="720"/>
      </w:pPr>
      <w:r>
        <w:t>Here, the Board found that Mr. Gilbert established with medical evidence that</w:t>
      </w:r>
    </w:p>
    <w:p w14:paraId="5DB39725" w14:textId="77777777" w:rsidR="001F0C4C" w:rsidRDefault="001F0C4C" w:rsidP="001F0C4C">
      <w:pPr>
        <w:spacing w:after="0"/>
        <w:ind w:left="720"/>
      </w:pPr>
      <w:r>
        <w:t xml:space="preserve">scapholunate instability of the right wrist and ligament tear of the scapholunate right wrist are causally related to the compensable injury. The Board further found that Mr. Gilbert’s testimony regarding the inconsistency in the occupational therapy records was credible.” </w:t>
      </w:r>
    </w:p>
    <w:p w14:paraId="4DBA59E8" w14:textId="77777777" w:rsidR="001F0C4C" w:rsidRDefault="001F0C4C" w:rsidP="001F0C4C">
      <w:pPr>
        <w:spacing w:after="0"/>
        <w:ind w:left="720"/>
      </w:pPr>
    </w:p>
    <w:p w14:paraId="0117EF9A" w14:textId="69894794" w:rsidR="001F0C4C" w:rsidRPr="002322D7" w:rsidRDefault="001F0C4C" w:rsidP="001F0C4C">
      <w:pPr>
        <w:spacing w:after="0"/>
        <w:rPr>
          <w:b/>
          <w:bCs/>
        </w:rPr>
      </w:pPr>
      <w:r>
        <w:rPr>
          <w:b/>
        </w:rPr>
        <w:t xml:space="preserve">Lesson Learned:  When speaking with physical </w:t>
      </w:r>
      <w:proofErr w:type="gramStart"/>
      <w:r>
        <w:rPr>
          <w:b/>
        </w:rPr>
        <w:t>therapist</w:t>
      </w:r>
      <w:proofErr w:type="gramEnd"/>
      <w:r>
        <w:rPr>
          <w:b/>
        </w:rPr>
        <w:t xml:space="preserve"> </w:t>
      </w:r>
      <w:proofErr w:type="gramStart"/>
      <w:r>
        <w:rPr>
          <w:b/>
        </w:rPr>
        <w:t>be</w:t>
      </w:r>
      <w:proofErr w:type="gramEnd"/>
      <w:r>
        <w:rPr>
          <w:b/>
        </w:rPr>
        <w:t xml:space="preserve"> very clear in discussing prior injuries.   </w:t>
      </w:r>
    </w:p>
    <w:p w14:paraId="0E4FA404" w14:textId="77777777" w:rsidR="001F0C4C" w:rsidRDefault="001F0C4C" w:rsidP="001F0C4C">
      <w:pPr>
        <w:spacing w:after="0"/>
        <w:rPr>
          <w:rFonts w:ascii="Arial Black" w:hAnsi="Arial Black"/>
          <w:sz w:val="28"/>
          <w:szCs w:val="28"/>
        </w:rPr>
      </w:pPr>
    </w:p>
    <w:p w14:paraId="523C3C52" w14:textId="704358B3" w:rsidR="00FC5BB1" w:rsidRDefault="001F0C4C" w:rsidP="000624FD">
      <w:pPr>
        <w:pStyle w:val="NoSpacing"/>
        <w:rPr>
          <w:rFonts w:ascii="Arial Black" w:hAnsi="Arial Black"/>
          <w:b/>
          <w:sz w:val="28"/>
          <w:szCs w:val="28"/>
        </w:rPr>
      </w:pPr>
      <w:r>
        <w:rPr>
          <w:rFonts w:ascii="Arial Black" w:hAnsi="Arial Black"/>
          <w:b/>
          <w:sz w:val="28"/>
          <w:szCs w:val="28"/>
        </w:rPr>
        <w:t>6-1</w:t>
      </w:r>
      <w:r w:rsidR="002A0697">
        <w:rPr>
          <w:rFonts w:ascii="Arial Black" w:hAnsi="Arial Black"/>
          <w:b/>
          <w:sz w:val="28"/>
          <w:szCs w:val="28"/>
        </w:rPr>
        <w:t>70</w:t>
      </w:r>
    </w:p>
    <w:p w14:paraId="773E1CDC" w14:textId="77777777" w:rsidR="007867D4" w:rsidRDefault="007867D4" w:rsidP="000624FD">
      <w:pPr>
        <w:pStyle w:val="NoSpacing"/>
        <w:rPr>
          <w:rFonts w:ascii="Arial Black" w:hAnsi="Arial Black"/>
          <w:b/>
          <w:sz w:val="28"/>
          <w:szCs w:val="28"/>
        </w:rPr>
      </w:pPr>
    </w:p>
    <w:p w14:paraId="4154BB56" w14:textId="77777777" w:rsidR="007867D4" w:rsidRDefault="007867D4" w:rsidP="007867D4">
      <w:pPr>
        <w:pStyle w:val="NoSpacing"/>
        <w:rPr>
          <w:rFonts w:ascii="Arial Black" w:hAnsi="Arial Black"/>
          <w:sz w:val="28"/>
          <w:szCs w:val="28"/>
        </w:rPr>
      </w:pPr>
      <w:r>
        <w:rPr>
          <w:rFonts w:ascii="Arial Black" w:hAnsi="Arial Black"/>
          <w:sz w:val="28"/>
          <w:szCs w:val="28"/>
        </w:rPr>
        <w:t>RI: FF CANCER DEATH –  ADDED INSURANCE IF “INJURY”</w:t>
      </w:r>
    </w:p>
    <w:p w14:paraId="6AA3AFFA" w14:textId="77777777" w:rsidR="007867D4" w:rsidRDefault="007867D4" w:rsidP="007867D4">
      <w:pPr>
        <w:pStyle w:val="NoSpacing"/>
        <w:rPr>
          <w:rFonts w:ascii="Arial Black" w:hAnsi="Arial Black"/>
          <w:sz w:val="28"/>
          <w:szCs w:val="28"/>
        </w:rPr>
      </w:pPr>
    </w:p>
    <w:p w14:paraId="24A2EC94" w14:textId="77777777" w:rsidR="007867D4" w:rsidRDefault="007867D4" w:rsidP="007867D4">
      <w:pPr>
        <w:pStyle w:val="NoSpacing"/>
      </w:pPr>
      <w:r>
        <w:t xml:space="preserve">On October 14, 2025, in </w:t>
      </w:r>
      <w:r w:rsidRPr="005765C3">
        <w:rPr>
          <w:u w:val="single"/>
        </w:rPr>
        <w:t>James L. Varin, Jr. and Tyer C. Varin v. The Prudential Insurance Company of America</w:t>
      </w:r>
      <w:r>
        <w:t xml:space="preserve">, Chief Judge John J. McConnell, Jr., United States District Court for the District of Rhode Island denied the insurance company’s motion to dismiss the lawsuit by two sons of deceased firefighter James Varin, Sr., a Providence firefighter who died of brain cancer. The family seeks a declaratory judgment that father’s death should be covered as an “injury” while insurance company claims it is a “sickness” not covered.  Under the terms of the policy, a City of Providence fire department employee has $100,000 in basic life insurance coverage (which was paid to the family), </w:t>
      </w:r>
      <w:proofErr w:type="gramStart"/>
      <w:r>
        <w:t>and also</w:t>
      </w:r>
      <w:proofErr w:type="gramEnd"/>
      <w:r>
        <w:t xml:space="preserve"> $100,000 in basic accidental death and dismemberment (“AD&amp;D”) insurance coverage.  Plaintiffs will now proceed with pre-trial discovery; the Court held that the insurance company presumably knew when negotiating the policy with the city that Rhode Island has a “statutory presumption” for firefighter cancer, and IAFF Local 799 has a similar provision in their Collective Bargaining Agreement with the city.  </w:t>
      </w:r>
      <w:hyperlink r:id="rId1081" w:history="1">
        <w:r w:rsidRPr="00F13728">
          <w:rPr>
            <w:rStyle w:val="Hyperlink"/>
          </w:rPr>
          <w:t>https://ecf.rid.uscourts.gov/cgi-bin/show_public_doc?2025cv0270-20</w:t>
        </w:r>
      </w:hyperlink>
      <w:r>
        <w:t xml:space="preserve"> </w:t>
      </w:r>
    </w:p>
    <w:p w14:paraId="195AACAE" w14:textId="77777777" w:rsidR="007867D4" w:rsidRDefault="007867D4" w:rsidP="007867D4">
      <w:pPr>
        <w:pStyle w:val="NoSpacing"/>
      </w:pPr>
    </w:p>
    <w:p w14:paraId="469F4A8E" w14:textId="77777777" w:rsidR="007867D4" w:rsidRDefault="007867D4" w:rsidP="007867D4">
      <w:pPr>
        <w:pStyle w:val="NoSpacing"/>
      </w:pPr>
      <w:r>
        <w:t>THE COURT HELD:</w:t>
      </w:r>
    </w:p>
    <w:p w14:paraId="67FBFE07" w14:textId="77777777" w:rsidR="007867D4" w:rsidRDefault="007867D4" w:rsidP="007867D4">
      <w:pPr>
        <w:pStyle w:val="NoSpacing"/>
      </w:pPr>
    </w:p>
    <w:p w14:paraId="494D4795" w14:textId="77777777" w:rsidR="007867D4" w:rsidRDefault="007867D4" w:rsidP="007867D4">
      <w:pPr>
        <w:pStyle w:val="NoSpacing"/>
        <w:ind w:left="720"/>
      </w:pPr>
      <w:r>
        <w:t xml:space="preserve">In their complaint, Plaintiffs allege that Mr. Varin’s cause of death was glioblastoma, a cancer that could be caused by carcinogenic exposure…. They also allege that Mr. Varin was exposed to carcinogens in his job as a firefighter and that his employer, the City of Providence, considers his death to be an injury in the line of duty…. Plaintiffs cite to the CBA, which states that whenever a firefighter dies from cancer, it is presumed to be an injury resulting from their firefighting duties…. In addition, they </w:t>
      </w:r>
      <w:proofErr w:type="gramStart"/>
      <w:r>
        <w:t>reference</w:t>
      </w:r>
      <w:proofErr w:type="gramEnd"/>
      <w:r>
        <w:t xml:space="preserve"> a state statute,</w:t>
      </w:r>
    </w:p>
    <w:p w14:paraId="34BFEE54" w14:textId="77777777" w:rsidR="007867D4" w:rsidRDefault="007867D4" w:rsidP="007867D4">
      <w:pPr>
        <w:pStyle w:val="NoSpacing"/>
        <w:ind w:left="720"/>
      </w:pPr>
      <w:r>
        <w:t>R.I. Gen. Laws § 45-19.1-1, which also states that firefighters are exposed to carcinogens, so cancer is a recognized occupational hazard under Rhode Island law…. At this stage of the litigation, the Court finds that these allegations are sufficient to state a claim under the policy.</w:t>
      </w:r>
    </w:p>
    <w:p w14:paraId="4226E621" w14:textId="77777777" w:rsidR="007867D4" w:rsidRDefault="007867D4" w:rsidP="007867D4">
      <w:pPr>
        <w:pStyle w:val="NoSpacing"/>
        <w:ind w:left="720"/>
      </w:pPr>
    </w:p>
    <w:p w14:paraId="6957631E" w14:textId="77777777" w:rsidR="007867D4" w:rsidRDefault="007867D4" w:rsidP="007867D4">
      <w:pPr>
        <w:pStyle w:val="NoSpacing"/>
        <w:ind w:left="720"/>
      </w:pPr>
      <w:r>
        <w:t>***</w:t>
      </w:r>
    </w:p>
    <w:p w14:paraId="58825BA6" w14:textId="77777777" w:rsidR="007867D4" w:rsidRDefault="007867D4" w:rsidP="007867D4">
      <w:pPr>
        <w:pStyle w:val="NoSpacing"/>
        <w:ind w:left="720"/>
      </w:pPr>
      <w:r>
        <w:t>It is plausible that Prudential knew what benefits the Union expected to provide its members because the CBA states that members have a $100,000 life insurance policy with a maximum of $200,000 for deaths sustained in the line of duty, and that is exactly</w:t>
      </w:r>
    </w:p>
    <w:p w14:paraId="1C02E2C6" w14:textId="77777777" w:rsidR="007867D4" w:rsidRDefault="007867D4" w:rsidP="007867D4">
      <w:pPr>
        <w:pStyle w:val="NoSpacing"/>
        <w:ind w:firstLine="720"/>
      </w:pPr>
      <w:r>
        <w:t>what the Prudential policy at issue here provides. ECF No. 1 ¶ 12; 7-2 at 9.</w:t>
      </w:r>
    </w:p>
    <w:p w14:paraId="35C275E2" w14:textId="77777777" w:rsidR="007867D4" w:rsidRDefault="007867D4" w:rsidP="007867D4">
      <w:pPr>
        <w:pStyle w:val="NoSpacing"/>
        <w:ind w:firstLine="720"/>
      </w:pPr>
    </w:p>
    <w:p w14:paraId="00314289" w14:textId="77777777" w:rsidR="007867D4" w:rsidRDefault="007867D4" w:rsidP="007867D4">
      <w:pPr>
        <w:pStyle w:val="NoSpacing"/>
        <w:ind w:firstLine="720"/>
      </w:pPr>
      <w:r>
        <w:t>***</w:t>
      </w:r>
    </w:p>
    <w:p w14:paraId="7CD236AA" w14:textId="77777777" w:rsidR="007867D4" w:rsidRDefault="007867D4" w:rsidP="007867D4">
      <w:pPr>
        <w:pStyle w:val="NoSpacing"/>
        <w:ind w:left="720"/>
      </w:pPr>
      <w:r>
        <w:t>As for the sickness exception, Prudential argues that it applies because cancer is generally recognized as a sickness not an injury….  The policy provides that a loss is not covered if it results from sickness, which is defined as ‘Any disorder of the body or mind of a Covered Person, but not an Injury.’ …  If discovery proves that Plaintiffs’ claims are covered because the Prudential policy was negotiated to cover cancer as an on-the-job injury, then their father’s cancer would be an ‘injury’ not a ‘sickness’ as defined in the policy. Therefore, the Court finds that the complaint states a claim for declaratory relief.”</w:t>
      </w:r>
    </w:p>
    <w:p w14:paraId="2788211B" w14:textId="77777777" w:rsidR="007867D4" w:rsidRDefault="007867D4" w:rsidP="007867D4">
      <w:pPr>
        <w:pStyle w:val="NoSpacing"/>
        <w:rPr>
          <w:b/>
          <w:bCs/>
        </w:rPr>
      </w:pPr>
    </w:p>
    <w:p w14:paraId="2C6AC8B9" w14:textId="66911C6C" w:rsidR="007867D4" w:rsidRPr="00960E6C" w:rsidRDefault="007867D4" w:rsidP="007867D4">
      <w:pPr>
        <w:pStyle w:val="NoSpacing"/>
        <w:rPr>
          <w:b/>
          <w:bCs/>
        </w:rPr>
      </w:pPr>
      <w:r>
        <w:rPr>
          <w:b/>
        </w:rPr>
        <w:t xml:space="preserve">Lesson learned: When City is contracting with insurance policy for firefighters, there should be a clause in the policy specifically covering firefighter cancers. </w:t>
      </w:r>
    </w:p>
    <w:p w14:paraId="17A338BA" w14:textId="77777777" w:rsidR="007867D4" w:rsidRDefault="007867D4" w:rsidP="007867D4">
      <w:pPr>
        <w:pStyle w:val="NoSpacing"/>
      </w:pPr>
    </w:p>
    <w:p w14:paraId="2B74F7D7" w14:textId="77777777" w:rsidR="007867D4" w:rsidRDefault="007867D4" w:rsidP="000624FD">
      <w:pPr>
        <w:pStyle w:val="NoSpacing"/>
        <w:rPr>
          <w:rFonts w:ascii="Arial Black" w:hAnsi="Arial Black"/>
          <w:b/>
          <w:sz w:val="28"/>
          <w:szCs w:val="28"/>
        </w:rPr>
      </w:pPr>
    </w:p>
    <w:p w14:paraId="2F065326" w14:textId="77777777" w:rsidR="00DE3247" w:rsidRDefault="00DE3247" w:rsidP="000624FD">
      <w:pPr>
        <w:pStyle w:val="NoSpacing"/>
        <w:rPr>
          <w:rFonts w:ascii="Arial Black" w:hAnsi="Arial Black"/>
          <w:b/>
          <w:sz w:val="28"/>
          <w:szCs w:val="28"/>
        </w:rPr>
      </w:pPr>
    </w:p>
    <w:p w14:paraId="3127AAA3" w14:textId="77777777" w:rsidR="00DE3247" w:rsidRDefault="00DE3247" w:rsidP="000624FD">
      <w:pPr>
        <w:pStyle w:val="NoSpacing"/>
        <w:rPr>
          <w:rFonts w:ascii="Arial Black" w:hAnsi="Arial Black"/>
          <w:b/>
          <w:sz w:val="28"/>
          <w:szCs w:val="28"/>
        </w:rPr>
      </w:pPr>
    </w:p>
    <w:p w14:paraId="36F82DB0" w14:textId="77777777" w:rsidR="00DE3247" w:rsidRDefault="00DE3247" w:rsidP="000624FD">
      <w:pPr>
        <w:pStyle w:val="NoSpacing"/>
        <w:rPr>
          <w:rFonts w:ascii="Arial Black" w:hAnsi="Arial Black"/>
          <w:b/>
          <w:sz w:val="28"/>
          <w:szCs w:val="28"/>
        </w:rPr>
      </w:pPr>
    </w:p>
    <w:p w14:paraId="27A3793F" w14:textId="053E4140"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9</w:t>
      </w:r>
    </w:p>
    <w:p w14:paraId="7C26530E" w14:textId="77777777" w:rsidR="000624FD" w:rsidRDefault="000624FD" w:rsidP="00424D1C">
      <w:pPr>
        <w:pStyle w:val="NoSpacing"/>
        <w:rPr>
          <w:rFonts w:ascii="Arial Black" w:hAnsi="Arial Black"/>
          <w:sz w:val="28"/>
          <w:szCs w:val="28"/>
        </w:rPr>
      </w:pPr>
    </w:p>
    <w:p w14:paraId="705E1F64" w14:textId="654D46F4" w:rsidR="00424D1C" w:rsidRDefault="00424D1C" w:rsidP="00424D1C">
      <w:pPr>
        <w:pStyle w:val="NoSpacing"/>
      </w:pPr>
      <w:r>
        <w:rPr>
          <w:rFonts w:ascii="Arial Black" w:hAnsi="Arial Black"/>
          <w:sz w:val="28"/>
          <w:szCs w:val="28"/>
        </w:rPr>
        <w:t>NC: FF AGE 54 FIRED – COMMENTS AGE - CASE PROCEED</w:t>
      </w:r>
    </w:p>
    <w:p w14:paraId="65E7203E" w14:textId="77777777" w:rsidR="00424D1C" w:rsidRDefault="00424D1C" w:rsidP="00424D1C">
      <w:pPr>
        <w:pStyle w:val="NoSpacing"/>
      </w:pPr>
    </w:p>
    <w:p w14:paraId="6ECCCE1A" w14:textId="77777777" w:rsidR="00424D1C" w:rsidRDefault="00424D1C" w:rsidP="00424D1C">
      <w:pPr>
        <w:pStyle w:val="NoSpacing"/>
      </w:pPr>
      <w:r>
        <w:t xml:space="preserve">On September 3, 2025, in </w:t>
      </w:r>
      <w:r w:rsidRPr="00A3297C">
        <w:rPr>
          <w:u w:val="single"/>
        </w:rPr>
        <w:t>Walter Kevin Carpenter v. The City of Newton, et al</w:t>
      </w:r>
      <w:r>
        <w:t xml:space="preserve">., U.S. Magistrate Judge Susan C. Rodriquez, United States District Court for Western District of North Carolina (Statesville Division) issued a report and recommendation recommended that city’s motion to dismiss be denied in part (age discrimination claim).  On June 22, 2022, the first day after Plaintiff returned from vacation, the </w:t>
      </w:r>
      <w:proofErr w:type="gramStart"/>
      <w:r>
        <w:t>City</w:t>
      </w:r>
      <w:proofErr w:type="gramEnd"/>
      <w:r>
        <w:t xml:space="preserve"> terminated Plaintiff for “abusive </w:t>
      </w:r>
      <w:r w:rsidRPr="006F631B">
        <w:t>and/or threatening language to a supervisor</w:t>
      </w:r>
      <w:r>
        <w:t>.  He claims he was joking, when heading out for vacation he texted to  his Battalion Chief, “In the famous words of Cody Lawing, F U and F U and I am out of here.”</w:t>
      </w:r>
    </w:p>
    <w:p w14:paraId="420BA4A5" w14:textId="77777777" w:rsidR="00424D1C" w:rsidRDefault="00424D1C" w:rsidP="00424D1C">
      <w:pPr>
        <w:pStyle w:val="NoSpacing"/>
      </w:pPr>
      <w:r>
        <w:t xml:space="preserve"> </w:t>
      </w:r>
    </w:p>
    <w:p w14:paraId="53B828AE" w14:textId="77777777" w:rsidR="00424D1C" w:rsidRDefault="00424D1C" w:rsidP="00424D1C">
      <w:pPr>
        <w:pStyle w:val="NoSpacing"/>
      </w:pPr>
      <w:r w:rsidRPr="00B511E1">
        <w:rPr>
          <w:b/>
        </w:rPr>
        <w:t>THE MAGISTRATE WROTE</w:t>
      </w:r>
      <w:r>
        <w:t xml:space="preserve">: “The undersigned finds Plaintiff has alleged sufficient facts that the employer took an adverse employment action under circumstances giving rise to an inference of age discrimination. Plaintiff has alleged certain derogatory comments made related to his age by those in the supervisory chain … and that Plaintiff was terminated within a month of certain comments….  This, combined with Plaintiff’s allegations related to the different responses to the similar conduct of Plaintiff and Lawing, create an inference of age discrimination at this initial stage.” </w:t>
      </w:r>
      <w:hyperlink r:id="rId1082" w:history="1">
        <w:r w:rsidRPr="00B23663">
          <w:rPr>
            <w:rStyle w:val="Hyperlink"/>
          </w:rPr>
          <w:t>https://www.govinfo.gov/content/pkg/USCOURTS-ncwd-5_24-cv-00192/pdf/USCOURTS-ncwd-5_24-cv-00192-1.pdf</w:t>
        </w:r>
      </w:hyperlink>
      <w:r>
        <w:t xml:space="preserve"> </w:t>
      </w:r>
    </w:p>
    <w:p w14:paraId="5AFD73C6" w14:textId="77777777" w:rsidR="00424D1C" w:rsidRDefault="00424D1C" w:rsidP="00424D1C">
      <w:pPr>
        <w:pStyle w:val="NoSpacing"/>
      </w:pPr>
    </w:p>
    <w:p w14:paraId="484F6798" w14:textId="77777777" w:rsidR="00424D1C" w:rsidRDefault="00424D1C" w:rsidP="00424D1C">
      <w:pPr>
        <w:pStyle w:val="NoSpacing"/>
      </w:pPr>
      <w:r w:rsidRPr="00B511E1">
        <w:rPr>
          <w:b/>
        </w:rPr>
        <w:t>KEY FACTS</w:t>
      </w:r>
      <w:r>
        <w:t>:</w:t>
      </w:r>
    </w:p>
    <w:p w14:paraId="294604F1" w14:textId="77777777" w:rsidR="00424D1C" w:rsidRDefault="00424D1C" w:rsidP="00424D1C">
      <w:pPr>
        <w:pStyle w:val="NoSpacing"/>
      </w:pPr>
    </w:p>
    <w:p w14:paraId="7E385967" w14:textId="77777777" w:rsidR="00424D1C" w:rsidRDefault="00424D1C" w:rsidP="00424D1C">
      <w:pPr>
        <w:pStyle w:val="NoSpacing"/>
        <w:ind w:left="720"/>
      </w:pPr>
      <w:r>
        <w:t>“Plaintiff alleges that Defendants made several ageist comments toward him in public, such as his supervisor, Battalion Chief Kenneth Huffman (‘Huffman’), saying, ‘We’re going to push you down the steps and you won’t recover.’ … On approximately June 4, 2022, Huffman ordered Plaintiff to respond on the ladder truck to a structure fire…. Huffman chose to put on his turnout gear and assist with the fire…. After the call, Defendant Whitener reprimanded Plaintiff for not putting on his turnout gear. Id. Plaintiff contends that he did not have an opportunity to put on his turnout gear. Id. The following day, Chief Yoder criticized Plaintiff, allegedly saying, ‘You think you don’t have to do anything but run the truck . . . [a]</w:t>
      </w:r>
      <w:proofErr w:type="spellStart"/>
      <w:r>
        <w:t>ll</w:t>
      </w:r>
      <w:proofErr w:type="spellEnd"/>
      <w:r>
        <w:t xml:space="preserve"> of the younger guys go in and actually fight fires….’</w:t>
      </w:r>
    </w:p>
    <w:p w14:paraId="52CACC0A" w14:textId="77777777" w:rsidR="00424D1C" w:rsidRDefault="00424D1C" w:rsidP="00424D1C">
      <w:pPr>
        <w:pStyle w:val="NoSpacing"/>
        <w:ind w:left="720"/>
      </w:pPr>
    </w:p>
    <w:p w14:paraId="49026CC8" w14:textId="77777777" w:rsidR="00424D1C" w:rsidRDefault="00424D1C" w:rsidP="00424D1C">
      <w:pPr>
        <w:pStyle w:val="NoSpacing"/>
        <w:ind w:left="720"/>
      </w:pPr>
      <w:r>
        <w:t>***</w:t>
      </w:r>
    </w:p>
    <w:p w14:paraId="7D1403A1" w14:textId="77777777" w:rsidR="00424D1C" w:rsidRDefault="00424D1C" w:rsidP="00424D1C">
      <w:pPr>
        <w:pStyle w:val="NoSpacing"/>
        <w:ind w:left="720"/>
      </w:pPr>
      <w:r>
        <w:t>On or about June 15, 2022, when Plaintiff was preparing to take leave for vacation, he</w:t>
      </w:r>
    </w:p>
    <w:p w14:paraId="03DC2291" w14:textId="77777777" w:rsidR="00424D1C" w:rsidRDefault="00424D1C" w:rsidP="00424D1C">
      <w:pPr>
        <w:pStyle w:val="NoSpacing"/>
        <w:ind w:left="720"/>
      </w:pPr>
      <w:r>
        <w:t>texted Huffman: ‘In the famous words of Cody Lawing, F U and F U and I am out of here.’ … Cody Lawing (‘Lawing’), an employee under the age of forty, used this phrase often to joke with various members of the Fire Department, stating the full explicative when doing so, and, at times, directing his words toward Huffman…. Lawing, however, was never terminated or reprimanded for using this language as it was known to be made in jest…. Plaintiff claims he sent the text to Huffman jokingly, and Huffman admitted he perceived the text as a joke, not a threat….</w:t>
      </w:r>
    </w:p>
    <w:p w14:paraId="2F26B785" w14:textId="77777777" w:rsidR="00424D1C" w:rsidRDefault="00424D1C" w:rsidP="00424D1C">
      <w:pPr>
        <w:pStyle w:val="NoSpacing"/>
        <w:ind w:left="720"/>
      </w:pPr>
    </w:p>
    <w:p w14:paraId="7B5B2E8C" w14:textId="77777777" w:rsidR="00424D1C" w:rsidRDefault="00424D1C" w:rsidP="00424D1C">
      <w:pPr>
        <w:pStyle w:val="NoSpacing"/>
        <w:ind w:left="720"/>
      </w:pPr>
      <w:r>
        <w:t xml:space="preserve">On June 22, 2022, the first day after Plaintiff returned from vacation, the </w:t>
      </w:r>
      <w:proofErr w:type="gramStart"/>
      <w:r>
        <w:t>City</w:t>
      </w:r>
      <w:proofErr w:type="gramEnd"/>
      <w:r>
        <w:t xml:space="preserve"> terminated</w:t>
      </w:r>
    </w:p>
    <w:p w14:paraId="7415AAC4" w14:textId="77777777" w:rsidR="00424D1C" w:rsidRDefault="00424D1C" w:rsidP="00424D1C">
      <w:pPr>
        <w:pStyle w:val="NoSpacing"/>
        <w:ind w:left="720"/>
      </w:pPr>
      <w:r>
        <w:t xml:space="preserve">Plaintiff….The City referenced personnel policy IV.10(b)(18), which prohibits ‘abusive </w:t>
      </w:r>
      <w:r w:rsidRPr="006F631B">
        <w:t>and/or threatening language to a supervisor</w:t>
      </w:r>
      <w:r>
        <w:t xml:space="preserve">’ </w:t>
      </w:r>
      <w:r w:rsidRPr="006F631B">
        <w:t>in terminating Plaintiff.</w:t>
      </w:r>
      <w:r>
        <w:t>”</w:t>
      </w:r>
    </w:p>
    <w:p w14:paraId="7E450F6B" w14:textId="77777777" w:rsidR="00424D1C" w:rsidRDefault="00424D1C" w:rsidP="00424D1C">
      <w:pPr>
        <w:pStyle w:val="NoSpacing"/>
      </w:pPr>
    </w:p>
    <w:p w14:paraId="3A6D8391" w14:textId="77777777" w:rsidR="00424D1C" w:rsidRPr="002C1CFD" w:rsidRDefault="00424D1C" w:rsidP="00424D1C">
      <w:pPr>
        <w:pStyle w:val="NoSpacing"/>
        <w:rPr>
          <w:b/>
          <w:bCs/>
        </w:rPr>
      </w:pPr>
      <w:r>
        <w:t xml:space="preserve"> </w:t>
      </w:r>
      <w:r>
        <w:rPr>
          <w:b/>
        </w:rPr>
        <w:t xml:space="preserve">Legal lesson learned:  Age-related comments can lead to litigation.  </w:t>
      </w:r>
    </w:p>
    <w:p w14:paraId="165D29B8" w14:textId="77777777" w:rsidR="00424D1C" w:rsidRDefault="00424D1C" w:rsidP="00424D1C">
      <w:pPr>
        <w:pStyle w:val="NoSpacing"/>
      </w:pPr>
    </w:p>
    <w:p w14:paraId="0F163BBB" w14:textId="77777777" w:rsidR="00424D1C" w:rsidRDefault="00424D1C" w:rsidP="00424D1C">
      <w:pPr>
        <w:pStyle w:val="NoSpacing"/>
        <w:ind w:left="720"/>
      </w:pPr>
      <w:r>
        <w:t xml:space="preserve">Note: On September 18, 2025, U.S. District Court Judge Kenneth D. Bell adopted the Magistrate’s recommendation </w:t>
      </w:r>
      <w:hyperlink r:id="rId1083" w:history="1">
        <w:r w:rsidRPr="00D0636F">
          <w:rPr>
            <w:rStyle w:val="Hyperlink"/>
          </w:rPr>
          <w:t>https://www.govinfo.gov/content/pkg/USCOURTS-ncwd-5_24-cv-00192/pdf/USCOURTS-ncwd-5_24-cv-00192-3.pdf</w:t>
        </w:r>
      </w:hyperlink>
      <w:r>
        <w:t xml:space="preserve"> </w:t>
      </w:r>
    </w:p>
    <w:p w14:paraId="5B6BA90F" w14:textId="77777777" w:rsidR="00D44956" w:rsidRDefault="00D44956" w:rsidP="00EF1133">
      <w:pPr>
        <w:rPr>
          <w:rFonts w:ascii="Arial Black" w:hAnsi="Arial Black"/>
          <w:b/>
          <w:sz w:val="24"/>
          <w:szCs w:val="24"/>
        </w:rPr>
      </w:pPr>
    </w:p>
    <w:p w14:paraId="0EDCAD5E" w14:textId="4FE382C8"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8</w:t>
      </w:r>
    </w:p>
    <w:p w14:paraId="6802D4E8" w14:textId="77777777" w:rsidR="000624FD" w:rsidRDefault="000624FD" w:rsidP="00782139">
      <w:pPr>
        <w:rPr>
          <w:rFonts w:ascii="Arial Black" w:hAnsi="Arial Black"/>
          <w:sz w:val="28"/>
          <w:szCs w:val="28"/>
        </w:rPr>
      </w:pPr>
    </w:p>
    <w:p w14:paraId="7151D473" w14:textId="61CBF1A9" w:rsidR="00782139" w:rsidRPr="00A83858" w:rsidRDefault="00782139" w:rsidP="00782139">
      <w:pPr>
        <w:rPr>
          <w:rFonts w:ascii="Arial Black" w:hAnsi="Arial Black"/>
          <w:bCs/>
          <w:sz w:val="28"/>
          <w:szCs w:val="28"/>
        </w:rPr>
      </w:pPr>
      <w:r>
        <w:rPr>
          <w:rFonts w:ascii="Arial Black" w:hAnsi="Arial Black"/>
          <w:sz w:val="28"/>
          <w:szCs w:val="28"/>
        </w:rPr>
        <w:t xml:space="preserve">MD: WORK COMP – JURY FF 63% WORK COMP – NOT 3% </w:t>
      </w:r>
    </w:p>
    <w:p w14:paraId="6B502694" w14:textId="77777777" w:rsidR="00782139" w:rsidRDefault="00782139" w:rsidP="00782139">
      <w:pPr>
        <w:pStyle w:val="NoSpacing"/>
        <w:rPr>
          <w:bCs/>
        </w:rPr>
      </w:pPr>
      <w:r>
        <w:t xml:space="preserve">On September 2, 2025, in </w:t>
      </w:r>
      <w:r w:rsidRPr="004D4CE6">
        <w:rPr>
          <w:u w:val="single"/>
        </w:rPr>
        <w:t>Prince George’s County, Maryland v. Bradley Schroder</w:t>
      </w:r>
      <w:r>
        <w:t xml:space="preserve">, </w:t>
      </w:r>
      <w:r w:rsidRPr="004D4CE6">
        <w:t>Court of Special Appeals of Maryland</w:t>
      </w:r>
      <w:r>
        <w:t xml:space="preserve"> held (3 to 0; unreported decision) that firefighter Bradley Schroeder was properly awarded workers’ compensation by a jury of 63% prominent partial, overturning the Work Comp Commission award of only 3%.  </w:t>
      </w:r>
    </w:p>
    <w:p w14:paraId="7CE4DDB2" w14:textId="77777777" w:rsidR="00782139" w:rsidRDefault="00782139" w:rsidP="00782139">
      <w:pPr>
        <w:pStyle w:val="NoSpacing"/>
        <w:rPr>
          <w:bCs/>
        </w:rPr>
      </w:pPr>
    </w:p>
    <w:p w14:paraId="7319DF16" w14:textId="77777777" w:rsidR="00782139" w:rsidRDefault="00782139" w:rsidP="00782139">
      <w:pPr>
        <w:pStyle w:val="NoSpacing"/>
        <w:rPr>
          <w:bCs/>
        </w:rPr>
      </w:pPr>
      <w:r w:rsidRPr="00D82473">
        <w:rPr>
          <w:b/>
        </w:rPr>
        <w:t>THE COURT HELD:</w:t>
      </w:r>
      <w:r>
        <w:t xml:space="preserve"> “</w:t>
      </w:r>
      <w:r w:rsidRPr="00694FA2">
        <w:t>We do not hold that a finding by the jury of 63% permanent partial disability was</w:t>
      </w:r>
      <w:r>
        <w:t xml:space="preserve"> </w:t>
      </w:r>
      <w:r w:rsidRPr="00694FA2">
        <w:t>grossly excessive and the trial court therefore did not abuse its discretion in denying the</w:t>
      </w:r>
      <w:r>
        <w:t xml:space="preserve"> </w:t>
      </w:r>
      <w:r w:rsidRPr="00694FA2">
        <w:t>County’s motion for a new trial.</w:t>
      </w:r>
      <w:r>
        <w:t>”</w:t>
      </w:r>
    </w:p>
    <w:p w14:paraId="42903EB6" w14:textId="77777777" w:rsidR="00782139" w:rsidRDefault="00782139" w:rsidP="00782139">
      <w:pPr>
        <w:rPr>
          <w:bCs/>
        </w:rPr>
      </w:pPr>
      <w:hyperlink r:id="rId1084" w:history="1">
        <w:r w:rsidRPr="00204094">
          <w:rPr>
            <w:rStyle w:val="Hyperlink"/>
          </w:rPr>
          <w:t>https://www.courts.state.md.us/sites/default/files/unreported-opinions/1098s22.pdf</w:t>
        </w:r>
      </w:hyperlink>
      <w:r>
        <w:t xml:space="preserve"> </w:t>
      </w:r>
    </w:p>
    <w:p w14:paraId="32C29F5D" w14:textId="77777777" w:rsidR="00782139" w:rsidRDefault="00782139" w:rsidP="00782139">
      <w:pPr>
        <w:pStyle w:val="NoSpacing"/>
        <w:rPr>
          <w:bCs/>
        </w:rPr>
      </w:pPr>
    </w:p>
    <w:p w14:paraId="6F68850E" w14:textId="77777777" w:rsidR="00782139" w:rsidRPr="00BD39E4" w:rsidRDefault="00782139" w:rsidP="00782139">
      <w:pPr>
        <w:pStyle w:val="NoSpacing"/>
        <w:rPr>
          <w:b/>
        </w:rPr>
      </w:pPr>
      <w:r w:rsidRPr="00BD39E4">
        <w:rPr>
          <w:b/>
        </w:rPr>
        <w:t>KEY FACTS:</w:t>
      </w:r>
    </w:p>
    <w:p w14:paraId="17C554DD" w14:textId="77777777" w:rsidR="00782139" w:rsidRDefault="00782139" w:rsidP="00782139">
      <w:pPr>
        <w:pStyle w:val="NoSpacing"/>
        <w:rPr>
          <w:bCs/>
        </w:rPr>
      </w:pPr>
    </w:p>
    <w:p w14:paraId="08554F9F" w14:textId="77777777" w:rsidR="00782139" w:rsidRDefault="00782139" w:rsidP="00782139">
      <w:pPr>
        <w:pStyle w:val="NoSpacing"/>
        <w:ind w:left="720"/>
        <w:rPr>
          <w:bCs/>
        </w:rPr>
      </w:pPr>
      <w:r>
        <w:t>“</w:t>
      </w:r>
      <w:r w:rsidRPr="00742BFE">
        <w:t>While working for the Prince George’s County Fire Department, Bradley</w:t>
      </w:r>
      <w:r>
        <w:t xml:space="preserve"> </w:t>
      </w:r>
      <w:r w:rsidRPr="00742BFE">
        <w:t>Schroeder, the Appellee, suffered an injury to his back during a training exercise. Based</w:t>
      </w:r>
      <w:r>
        <w:t xml:space="preserve"> </w:t>
      </w:r>
      <w:r w:rsidRPr="00742BFE">
        <w:t>on his injuries, the Appellee filed a worker’s compensation claim. The Worker’s</w:t>
      </w:r>
      <w:r>
        <w:t xml:space="preserve"> </w:t>
      </w:r>
      <w:r w:rsidRPr="00742BFE">
        <w:t>Compensation Commission found that the Appellee had a 3.5% permanent partial</w:t>
      </w:r>
      <w:r>
        <w:t xml:space="preserve"> </w:t>
      </w:r>
      <w:r w:rsidRPr="00742BFE">
        <w:t>disability. The Appellee appealed this ruling to the Circuit Court for Prince George’s</w:t>
      </w:r>
      <w:r>
        <w:t xml:space="preserve"> </w:t>
      </w:r>
      <w:r w:rsidRPr="00742BFE">
        <w:t xml:space="preserve">County. After a trial, the jury returned a verdict of 63% permanent partial disability. </w:t>
      </w:r>
      <w:proofErr w:type="gramStart"/>
      <w:r w:rsidRPr="00742BFE">
        <w:t>The</w:t>
      </w:r>
      <w:r>
        <w:t xml:space="preserve"> </w:t>
      </w:r>
      <w:r w:rsidRPr="00742BFE">
        <w:t>Prince</w:t>
      </w:r>
      <w:proofErr w:type="gramEnd"/>
      <w:r w:rsidRPr="00742BFE">
        <w:t xml:space="preserve"> George’s County Government, the County, filed a Motion for a New Trial, arguing</w:t>
      </w:r>
      <w:r>
        <w:t xml:space="preserve"> </w:t>
      </w:r>
      <w:r w:rsidRPr="00742BFE">
        <w:t>that this verdict was grossly excessive, which the trial court denied. The County appealed</w:t>
      </w:r>
      <w:r>
        <w:t xml:space="preserve"> </w:t>
      </w:r>
      <w:r w:rsidRPr="00742BFE">
        <w:t>the judgment to this Court.</w:t>
      </w:r>
    </w:p>
    <w:p w14:paraId="4BDC361E" w14:textId="77777777" w:rsidR="00782139" w:rsidRDefault="00782139" w:rsidP="00782139">
      <w:pPr>
        <w:pStyle w:val="NoSpacing"/>
        <w:ind w:firstLine="720"/>
        <w:rPr>
          <w:bCs/>
        </w:rPr>
      </w:pPr>
    </w:p>
    <w:p w14:paraId="5A14EEF2" w14:textId="77777777" w:rsidR="00782139" w:rsidRDefault="00782139" w:rsidP="00782139">
      <w:pPr>
        <w:pStyle w:val="NoSpacing"/>
        <w:ind w:firstLine="720"/>
        <w:rPr>
          <w:bCs/>
        </w:rPr>
      </w:pPr>
      <w:r>
        <w:t>***</w:t>
      </w:r>
    </w:p>
    <w:p w14:paraId="701F8FC7" w14:textId="77777777" w:rsidR="00782139" w:rsidRPr="00033701" w:rsidRDefault="00782139" w:rsidP="00782139">
      <w:pPr>
        <w:pStyle w:val="NoSpacing"/>
        <w:ind w:firstLine="720"/>
        <w:rPr>
          <w:bCs/>
        </w:rPr>
      </w:pPr>
      <w:r w:rsidRPr="00033701">
        <w:t xml:space="preserve">The Appellee began working for </w:t>
      </w:r>
      <w:proofErr w:type="gramStart"/>
      <w:r w:rsidRPr="00033701">
        <w:t>the Prince</w:t>
      </w:r>
      <w:proofErr w:type="gramEnd"/>
      <w:r w:rsidRPr="00033701">
        <w:t xml:space="preserve"> George’s County Fire Department in</w:t>
      </w:r>
    </w:p>
    <w:p w14:paraId="05DBCBA5" w14:textId="77777777" w:rsidR="00782139" w:rsidRPr="00057EA9" w:rsidRDefault="00782139" w:rsidP="00782139">
      <w:pPr>
        <w:pStyle w:val="NoSpacing"/>
        <w:ind w:left="720"/>
        <w:rPr>
          <w:bCs/>
        </w:rPr>
      </w:pPr>
      <w:r w:rsidRPr="00033701">
        <w:t>June of 2015. On January 9, 2019, he participated in a training exercise at an abandoned</w:t>
      </w:r>
      <w:r>
        <w:t xml:space="preserve"> </w:t>
      </w:r>
      <w:r w:rsidRPr="00057EA9">
        <w:t>building. Part of the training involved a series of tasks performed with full gear, with the</w:t>
      </w:r>
    </w:p>
    <w:p w14:paraId="5C202047" w14:textId="77777777" w:rsidR="00782139" w:rsidRPr="00057EA9" w:rsidRDefault="00782139" w:rsidP="00782139">
      <w:pPr>
        <w:pStyle w:val="NoSpacing"/>
        <w:ind w:firstLine="720"/>
        <w:rPr>
          <w:bCs/>
        </w:rPr>
      </w:pPr>
      <w:r w:rsidRPr="00057EA9">
        <w:t>final task being a simulation of the ceiling falling on the firefighter. This simulation</w:t>
      </w:r>
    </w:p>
    <w:p w14:paraId="57832B7E" w14:textId="77777777" w:rsidR="00782139" w:rsidRPr="00057EA9" w:rsidRDefault="00782139" w:rsidP="00782139">
      <w:pPr>
        <w:pStyle w:val="NoSpacing"/>
        <w:ind w:firstLine="720"/>
        <w:rPr>
          <w:bCs/>
        </w:rPr>
      </w:pPr>
      <w:r w:rsidRPr="00057EA9">
        <w:t>involved a heavy six-foot by ten-foot chain-link fence coming down directly on top of the</w:t>
      </w:r>
    </w:p>
    <w:p w14:paraId="5E286999" w14:textId="77777777" w:rsidR="00782139" w:rsidRPr="00057EA9" w:rsidRDefault="00782139" w:rsidP="00782139">
      <w:pPr>
        <w:pStyle w:val="NoSpacing"/>
        <w:ind w:firstLine="720"/>
        <w:rPr>
          <w:bCs/>
        </w:rPr>
      </w:pPr>
      <w:r w:rsidRPr="00057EA9">
        <w:t>firefighter. When the Appellee got to this part of the simulation, the other firefighters put</w:t>
      </w:r>
    </w:p>
    <w:p w14:paraId="4F67F0D7" w14:textId="77777777" w:rsidR="00782139" w:rsidRDefault="00782139" w:rsidP="00782139">
      <w:pPr>
        <w:pStyle w:val="NoSpacing"/>
        <w:ind w:left="720"/>
        <w:rPr>
          <w:bCs/>
        </w:rPr>
      </w:pPr>
      <w:r w:rsidRPr="00057EA9">
        <w:t>the fence down on him. The Appellee threw it off and knelt on all fours on the ground. The</w:t>
      </w:r>
      <w:r>
        <w:t xml:space="preserve"> </w:t>
      </w:r>
      <w:r w:rsidRPr="00057EA9">
        <w:t>instructor then jumped on the Appellee’s back and the Appellee flattened out on the floor,</w:t>
      </w:r>
      <w:r>
        <w:t xml:space="preserve"> </w:t>
      </w:r>
      <w:r w:rsidRPr="00057EA9">
        <w:t>held down by the others until he called for a mayday on his radio. The Appellee’s back</w:t>
      </w:r>
      <w:r>
        <w:t xml:space="preserve"> </w:t>
      </w:r>
      <w:r w:rsidRPr="00057EA9">
        <w:t>began to hurt immediately after this exercise.</w:t>
      </w:r>
    </w:p>
    <w:p w14:paraId="618F5546" w14:textId="77777777" w:rsidR="00782139" w:rsidRDefault="00782139" w:rsidP="00782139">
      <w:pPr>
        <w:pStyle w:val="NoSpacing"/>
        <w:ind w:left="720"/>
        <w:rPr>
          <w:bCs/>
        </w:rPr>
      </w:pPr>
    </w:p>
    <w:p w14:paraId="52C75138" w14:textId="77777777" w:rsidR="00782139" w:rsidRDefault="00782139" w:rsidP="00782139">
      <w:pPr>
        <w:pStyle w:val="NoSpacing"/>
        <w:ind w:left="720"/>
        <w:rPr>
          <w:bCs/>
        </w:rPr>
      </w:pPr>
      <w:r>
        <w:t>***</w:t>
      </w:r>
    </w:p>
    <w:p w14:paraId="4383B5AC" w14:textId="77777777" w:rsidR="00782139" w:rsidRPr="00E2647D" w:rsidRDefault="00782139" w:rsidP="00782139">
      <w:pPr>
        <w:pStyle w:val="NoSpacing"/>
        <w:ind w:left="720"/>
        <w:rPr>
          <w:bCs/>
        </w:rPr>
      </w:pPr>
      <w:r w:rsidRPr="00E2647D">
        <w:t>The Appellee filed a worker’s compensation claim. A hearing was held by the</w:t>
      </w:r>
      <w:r>
        <w:t xml:space="preserve"> </w:t>
      </w:r>
      <w:r w:rsidRPr="00E2647D">
        <w:t>Workers’ Compensation Commission on September 25, 2020. By this time, the Appellee</w:t>
      </w:r>
    </w:p>
    <w:p w14:paraId="2EDD69A4" w14:textId="77777777" w:rsidR="00782139" w:rsidRPr="00E2647D" w:rsidRDefault="00782139" w:rsidP="00782139">
      <w:pPr>
        <w:pStyle w:val="NoSpacing"/>
        <w:ind w:left="720"/>
        <w:rPr>
          <w:bCs/>
        </w:rPr>
      </w:pPr>
      <w:r w:rsidRPr="00E2647D">
        <w:t>had returned to his full duties. However, he was not working any voluntary overtime like</w:t>
      </w:r>
    </w:p>
    <w:p w14:paraId="7F2A9077" w14:textId="77777777" w:rsidR="00782139" w:rsidRPr="00E2647D" w:rsidRDefault="00782139" w:rsidP="00782139">
      <w:pPr>
        <w:pStyle w:val="NoSpacing"/>
        <w:ind w:left="720"/>
        <w:rPr>
          <w:bCs/>
        </w:rPr>
      </w:pPr>
      <w:proofErr w:type="gramStart"/>
      <w:r w:rsidRPr="00E2647D">
        <w:t>he</w:t>
      </w:r>
      <w:proofErr w:type="gramEnd"/>
      <w:r w:rsidRPr="00E2647D">
        <w:t xml:space="preserve"> had prior to his injuries because he needed to rest his back. His injuries prevented him</w:t>
      </w:r>
    </w:p>
    <w:p w14:paraId="1EF527E8" w14:textId="77777777" w:rsidR="00782139" w:rsidRPr="00E2647D" w:rsidRDefault="00782139" w:rsidP="00782139">
      <w:pPr>
        <w:pStyle w:val="NoSpacing"/>
        <w:ind w:left="720"/>
        <w:rPr>
          <w:bCs/>
        </w:rPr>
      </w:pPr>
      <w:r w:rsidRPr="00E2647D">
        <w:t>from playing softball and golf. The Appellee said that at the time of the hearing his</w:t>
      </w:r>
    </w:p>
    <w:p w14:paraId="3E08C0BB" w14:textId="77777777" w:rsidR="00782139" w:rsidRPr="00C06A4E" w:rsidRDefault="00782139" w:rsidP="00782139">
      <w:pPr>
        <w:pStyle w:val="NoSpacing"/>
        <w:ind w:left="720"/>
        <w:rPr>
          <w:bCs/>
        </w:rPr>
      </w:pPr>
      <w:r w:rsidRPr="00E2647D">
        <w:t>symptoms had not resolved. The Appellee said he still had pain during 24-hour shifts,</w:t>
      </w:r>
      <w:r>
        <w:t xml:space="preserve"> </w:t>
      </w:r>
      <w:r w:rsidRPr="00C06A4E">
        <w:t>especially when he was crawling around. The pain was shooting pain down his back and</w:t>
      </w:r>
    </w:p>
    <w:p w14:paraId="70D68A6A" w14:textId="77777777" w:rsidR="00782139" w:rsidRDefault="00782139" w:rsidP="00782139">
      <w:pPr>
        <w:pStyle w:val="NoSpacing"/>
        <w:ind w:left="720"/>
        <w:rPr>
          <w:bCs/>
        </w:rPr>
      </w:pPr>
      <w:r w:rsidRPr="00C06A4E">
        <w:t>he experienced stiffness between his shoulder blades.</w:t>
      </w:r>
      <w:r>
        <w:t>”</w:t>
      </w:r>
    </w:p>
    <w:p w14:paraId="71890575" w14:textId="77777777" w:rsidR="00782139" w:rsidRDefault="00782139" w:rsidP="00782139">
      <w:pPr>
        <w:pStyle w:val="NoSpacing"/>
        <w:rPr>
          <w:bCs/>
        </w:rPr>
      </w:pPr>
    </w:p>
    <w:p w14:paraId="30A34A92" w14:textId="77777777" w:rsidR="00782139" w:rsidRPr="00552F88" w:rsidRDefault="00782139" w:rsidP="00782139">
      <w:pPr>
        <w:pStyle w:val="NoSpacing"/>
        <w:rPr>
          <w:b/>
        </w:rPr>
      </w:pPr>
      <w:r>
        <w:rPr>
          <w:b/>
        </w:rPr>
        <w:t xml:space="preserve">Legal lesson learned:  Maryland law provides for jury to increase Work Comp award. </w:t>
      </w:r>
    </w:p>
    <w:p w14:paraId="2FABEA8C" w14:textId="77777777" w:rsidR="00782139" w:rsidRDefault="00782139" w:rsidP="00EF1133">
      <w:pPr>
        <w:rPr>
          <w:rFonts w:ascii="Arial Black" w:hAnsi="Arial Black"/>
          <w:b/>
          <w:sz w:val="24"/>
          <w:szCs w:val="24"/>
        </w:rPr>
      </w:pPr>
    </w:p>
    <w:p w14:paraId="4DB6EBA5" w14:textId="77777777" w:rsidR="005E6D64" w:rsidRDefault="005E6D64" w:rsidP="00EF1133">
      <w:pPr>
        <w:rPr>
          <w:rFonts w:ascii="Arial Black" w:hAnsi="Arial Black"/>
          <w:b/>
          <w:sz w:val="24"/>
          <w:szCs w:val="24"/>
        </w:rPr>
      </w:pPr>
    </w:p>
    <w:p w14:paraId="5810C630" w14:textId="376F9DAE"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7</w:t>
      </w:r>
    </w:p>
    <w:p w14:paraId="65DF2835" w14:textId="77777777" w:rsidR="000624FD" w:rsidRDefault="000624FD" w:rsidP="005E6D64">
      <w:pPr>
        <w:pStyle w:val="NoSpacing"/>
        <w:rPr>
          <w:rFonts w:ascii="Arial Black" w:hAnsi="Arial Black"/>
          <w:sz w:val="28"/>
          <w:szCs w:val="28"/>
        </w:rPr>
      </w:pPr>
    </w:p>
    <w:p w14:paraId="2FDED63F" w14:textId="40D6DB7C" w:rsidR="005E6D64" w:rsidRPr="00606633" w:rsidRDefault="005E6D64" w:rsidP="005E6D64">
      <w:pPr>
        <w:pStyle w:val="NoSpacing"/>
        <w:rPr>
          <w:rFonts w:ascii="Arial Black" w:hAnsi="Arial Black"/>
          <w:sz w:val="28"/>
          <w:szCs w:val="28"/>
        </w:rPr>
      </w:pPr>
      <w:r>
        <w:rPr>
          <w:rFonts w:ascii="Arial Black" w:hAnsi="Arial Black"/>
          <w:sz w:val="28"/>
          <w:szCs w:val="28"/>
        </w:rPr>
        <w:t xml:space="preserve">NY: WIDOW – </w:t>
      </w:r>
      <w:r w:rsidR="007A51E6">
        <w:rPr>
          <w:rFonts w:ascii="Arial Black" w:hAnsi="Arial Black"/>
          <w:sz w:val="28"/>
          <w:szCs w:val="28"/>
        </w:rPr>
        <w:t xml:space="preserve">LODD </w:t>
      </w:r>
      <w:r w:rsidR="00042C6A">
        <w:rPr>
          <w:rFonts w:ascii="Arial Black" w:hAnsi="Arial Black"/>
          <w:sz w:val="28"/>
          <w:szCs w:val="28"/>
        </w:rPr>
        <w:t xml:space="preserve">BENEFITS </w:t>
      </w:r>
      <w:r w:rsidR="00693E53">
        <w:rPr>
          <w:rFonts w:ascii="Arial Black" w:hAnsi="Arial Black"/>
          <w:sz w:val="28"/>
          <w:szCs w:val="28"/>
        </w:rPr>
        <w:t>–</w:t>
      </w:r>
      <w:r w:rsidR="00042C6A">
        <w:rPr>
          <w:rFonts w:ascii="Arial Black" w:hAnsi="Arial Black"/>
          <w:sz w:val="28"/>
          <w:szCs w:val="28"/>
        </w:rPr>
        <w:t xml:space="preserve"> </w:t>
      </w:r>
      <w:r>
        <w:rPr>
          <w:rFonts w:ascii="Arial Black" w:hAnsi="Arial Black"/>
          <w:sz w:val="28"/>
          <w:szCs w:val="28"/>
        </w:rPr>
        <w:t>CARDIAC</w:t>
      </w:r>
      <w:r w:rsidR="00693E53">
        <w:rPr>
          <w:rFonts w:ascii="Arial Black" w:hAnsi="Arial Black"/>
          <w:sz w:val="28"/>
          <w:szCs w:val="28"/>
        </w:rPr>
        <w:t xml:space="preserve"> – NY </w:t>
      </w:r>
      <w:r>
        <w:rPr>
          <w:rFonts w:ascii="Arial Black" w:hAnsi="Arial Black"/>
          <w:sz w:val="28"/>
          <w:szCs w:val="28"/>
        </w:rPr>
        <w:t xml:space="preserve">HEART BILL – EVEN IF COCAINE </w:t>
      </w:r>
    </w:p>
    <w:p w14:paraId="12CE0DD3" w14:textId="77777777" w:rsidR="005E6D64" w:rsidRDefault="005E6D64" w:rsidP="005E6D64">
      <w:pPr>
        <w:pStyle w:val="NoSpacing"/>
      </w:pPr>
    </w:p>
    <w:p w14:paraId="05F51074" w14:textId="77777777" w:rsidR="005E6D64" w:rsidRDefault="005E6D64" w:rsidP="005E6D64">
      <w:pPr>
        <w:pStyle w:val="NoSpacing"/>
        <w:rPr>
          <w:bCs/>
        </w:rPr>
      </w:pPr>
      <w:r>
        <w:t xml:space="preserve">On Aug. 26, 2025, in </w:t>
      </w:r>
      <w:r w:rsidRPr="00B80F96">
        <w:rPr>
          <w:u w:val="single"/>
        </w:rPr>
        <w:t>Deborah Morrison-Morgan v. Robert Tucker, The Board of Trustees of the New York City Fire Department</w:t>
      </w:r>
      <w:r>
        <w:t xml:space="preserve">, the </w:t>
      </w:r>
      <w:r w:rsidRPr="00B80F96">
        <w:t xml:space="preserve">Supreme Court, </w:t>
      </w:r>
      <w:r>
        <w:t xml:space="preserve">Justice Jeffrey H. Pearlman, Supreme Court, </w:t>
      </w:r>
      <w:r w:rsidRPr="00B80F96">
        <w:t>New York County</w:t>
      </w:r>
      <w:r>
        <w:t xml:space="preserve"> held (unpublished decision) that the widow is entitled to line-of-duty death benefits under the Heart Bill’s statutory presumption, even if autopsy revealed cocaine.  </w:t>
      </w:r>
    </w:p>
    <w:p w14:paraId="2584D97B" w14:textId="77777777" w:rsidR="005E6D64" w:rsidRDefault="005E6D64" w:rsidP="005E6D64">
      <w:pPr>
        <w:pStyle w:val="NoSpacing"/>
        <w:rPr>
          <w:bCs/>
        </w:rPr>
      </w:pPr>
    </w:p>
    <w:p w14:paraId="74980505" w14:textId="77777777" w:rsidR="005E6D64" w:rsidRDefault="005E6D64" w:rsidP="005E6D64">
      <w:pPr>
        <w:pStyle w:val="NoSpacing"/>
      </w:pPr>
      <w:r w:rsidRPr="002B48FE">
        <w:rPr>
          <w:b/>
        </w:rPr>
        <w:t>THE COURT HELD:</w:t>
      </w:r>
      <w:r>
        <w:t xml:space="preserve"> “[W]hen Decedent joined the FDNY, he passed his physical examination … revealed no heart conditions. Decedent died while serving as an FDNY firefighter and his autopsy report listed cardiomegaly and coronary atherosclerosis, moderate, both heart diseases…. These facts plainly qualify Petitioner for the statutory presumption that t</w:t>
      </w:r>
      <w:r w:rsidRPr="00430B2A">
        <w:t>he Heart Bill provides.</w:t>
      </w:r>
      <w:r>
        <w:t xml:space="preserve">”  </w:t>
      </w:r>
      <w:hyperlink r:id="rId1085" w:history="1">
        <w:r w:rsidRPr="008D04E3">
          <w:rPr>
            <w:rStyle w:val="Hyperlink"/>
          </w:rPr>
          <w:t>https://cases.justia.com/new-york/other-courts/2025-2025-ny-slip-op-33207-u.pdf?ts=1757714614</w:t>
        </w:r>
      </w:hyperlink>
      <w:r>
        <w:t xml:space="preserve"> </w:t>
      </w:r>
    </w:p>
    <w:p w14:paraId="070579A5" w14:textId="77777777" w:rsidR="005E6D64" w:rsidRDefault="005E6D64" w:rsidP="005E6D64">
      <w:pPr>
        <w:rPr>
          <w:bCs/>
        </w:rPr>
      </w:pPr>
    </w:p>
    <w:p w14:paraId="781866E9" w14:textId="77777777" w:rsidR="005E6D64" w:rsidRPr="002B48FE" w:rsidRDefault="005E6D64" w:rsidP="005E6D64">
      <w:pPr>
        <w:rPr>
          <w:b/>
        </w:rPr>
      </w:pPr>
      <w:r w:rsidRPr="002B48FE">
        <w:rPr>
          <w:b/>
        </w:rPr>
        <w:t>KEY FACTS:</w:t>
      </w:r>
    </w:p>
    <w:p w14:paraId="5B30ECC8" w14:textId="77777777" w:rsidR="005E6D64" w:rsidRPr="007B337D" w:rsidRDefault="005E6D64" w:rsidP="005E6D64">
      <w:pPr>
        <w:pStyle w:val="NoSpacing"/>
        <w:ind w:firstLine="720"/>
        <w:rPr>
          <w:bCs/>
        </w:rPr>
      </w:pPr>
      <w:r>
        <w:t>“</w:t>
      </w:r>
      <w:r w:rsidRPr="007B337D">
        <w:t>Petitioner is the widow and beneficiary</w:t>
      </w:r>
      <w:r>
        <w:t xml:space="preserve"> </w:t>
      </w:r>
      <w:r w:rsidRPr="007B337D">
        <w:t>of</w:t>
      </w:r>
      <w:r>
        <w:t xml:space="preserve"> </w:t>
      </w:r>
      <w:r w:rsidRPr="007B337D">
        <w:t>FDNY Firefighter John P. Morgan</w:t>
      </w:r>
    </w:p>
    <w:p w14:paraId="7EF8A379" w14:textId="77777777" w:rsidR="005E6D64" w:rsidRPr="007B337D" w:rsidRDefault="005E6D64" w:rsidP="005E6D64">
      <w:pPr>
        <w:pStyle w:val="NoSpacing"/>
        <w:ind w:left="720"/>
        <w:rPr>
          <w:bCs/>
        </w:rPr>
      </w:pPr>
      <w:r w:rsidRPr="007B337D">
        <w:t>(</w:t>
      </w:r>
      <w:r>
        <w:t>‘</w:t>
      </w:r>
      <w:r w:rsidRPr="007B337D">
        <w:t>Decedent</w:t>
      </w:r>
      <w:r>
        <w:t>’</w:t>
      </w:r>
      <w:r w:rsidRPr="007B337D">
        <w:t xml:space="preserve">). Decedent served as a Firefighter in the FDNY from August 5, </w:t>
      </w:r>
      <w:proofErr w:type="gramStart"/>
      <w:r w:rsidRPr="007B337D">
        <w:t>2007</w:t>
      </w:r>
      <w:proofErr w:type="gramEnd"/>
      <w:r w:rsidRPr="007B337D">
        <w:t xml:space="preserve"> continuously</w:t>
      </w:r>
      <w:r>
        <w:t xml:space="preserve"> </w:t>
      </w:r>
      <w:r w:rsidRPr="007B337D">
        <w:t>until his death on July 4, 2024. On June 17, 2023, the FDNY Bureau</w:t>
      </w:r>
    </w:p>
    <w:p w14:paraId="23A44B99" w14:textId="77777777" w:rsidR="005E6D64" w:rsidRDefault="005E6D64" w:rsidP="005E6D64">
      <w:pPr>
        <w:pStyle w:val="NoSpacing"/>
        <w:ind w:left="720"/>
        <w:rPr>
          <w:bCs/>
        </w:rPr>
      </w:pPr>
      <w:r w:rsidRPr="007B337D">
        <w:t>Of</w:t>
      </w:r>
      <w:r>
        <w:t xml:space="preserve"> </w:t>
      </w:r>
      <w:r w:rsidRPr="007B337D">
        <w:t xml:space="preserve">Health </w:t>
      </w:r>
      <w:proofErr w:type="gramStart"/>
      <w:r w:rsidRPr="007B337D">
        <w:t>Services</w:t>
      </w:r>
      <w:r>
        <w:t xml:space="preserve"> </w:t>
      </w:r>
      <w:r w:rsidRPr="005516F1">
        <w:t>(</w:t>
      </w:r>
      <w:r>
        <w:t>‘</w:t>
      </w:r>
      <w:proofErr w:type="gramEnd"/>
      <w:r w:rsidRPr="005516F1">
        <w:t>BHS</w:t>
      </w:r>
      <w:r>
        <w:t>’</w:t>
      </w:r>
      <w:r w:rsidRPr="005516F1">
        <w:t xml:space="preserve">) examined Decedent due to a </w:t>
      </w:r>
      <w:proofErr w:type="gramStart"/>
      <w:r w:rsidRPr="005516F1">
        <w:t>service connected</w:t>
      </w:r>
      <w:proofErr w:type="gramEnd"/>
      <w:r w:rsidRPr="005516F1">
        <w:t xml:space="preserve"> injury. Pet. </w:t>
      </w:r>
      <w:proofErr w:type="spellStart"/>
      <w:r w:rsidRPr="005516F1">
        <w:t>Exh</w:t>
      </w:r>
      <w:proofErr w:type="spellEnd"/>
      <w:r w:rsidRPr="005516F1">
        <w:t>. A., NYSCEF Doc. No.</w:t>
      </w:r>
      <w:r>
        <w:t xml:space="preserve"> </w:t>
      </w:r>
      <w:r w:rsidRPr="005516F1">
        <w:t>3. In BHS's Examination Report, decedent's blood pressure reading was 157/98, a reading</w:t>
      </w:r>
      <w:r>
        <w:t xml:space="preserve"> </w:t>
      </w:r>
      <w:r w:rsidRPr="005516F1">
        <w:t>consistent with Stage II Hypertension. Id. On July 1, 2023, a BHS Clinic-Triage report measured</w:t>
      </w:r>
      <w:r>
        <w:t xml:space="preserve"> </w:t>
      </w:r>
      <w:r w:rsidRPr="005516F1">
        <w:t>Decedent's blood pressure at 157/98, also consistent with Stage II Hypertension</w:t>
      </w:r>
      <w:r>
        <w:t xml:space="preserve">…. </w:t>
      </w:r>
      <w:r w:rsidRPr="005516F1">
        <w:t>Decedent died on July 4, 2023, during active service; an autopsy reported</w:t>
      </w:r>
      <w:r>
        <w:t xml:space="preserve"> </w:t>
      </w:r>
      <w:r w:rsidRPr="005516F1">
        <w:t xml:space="preserve">the cause of death as </w:t>
      </w:r>
      <w:r>
        <w:t>‘</w:t>
      </w:r>
      <w:r w:rsidRPr="005516F1">
        <w:t>cardiomegaly with recent cocaine use" with pathological diagnoses</w:t>
      </w:r>
      <w:r>
        <w:t xml:space="preserve"> </w:t>
      </w:r>
      <w:r w:rsidRPr="005516F1">
        <w:t>including</w:t>
      </w:r>
      <w:r>
        <w:t xml:space="preserve">’ </w:t>
      </w:r>
      <w:r w:rsidRPr="005516F1">
        <w:t>coronary atherosclerosis, moderate</w:t>
      </w:r>
      <w:r>
        <w:t>….’</w:t>
      </w:r>
      <w:r w:rsidRPr="005516F1">
        <w:t xml:space="preserve"> </w:t>
      </w:r>
    </w:p>
    <w:p w14:paraId="70F5031F" w14:textId="77777777" w:rsidR="005E6D64" w:rsidRDefault="005E6D64" w:rsidP="005E6D64">
      <w:pPr>
        <w:pStyle w:val="NoSpacing"/>
        <w:ind w:left="720"/>
        <w:rPr>
          <w:bCs/>
        </w:rPr>
      </w:pPr>
    </w:p>
    <w:p w14:paraId="0285B49A" w14:textId="77777777" w:rsidR="005E6D64" w:rsidRPr="00ED7AB1" w:rsidRDefault="005E6D64" w:rsidP="005E6D64">
      <w:pPr>
        <w:pStyle w:val="NoSpacing"/>
        <w:ind w:left="720"/>
        <w:rPr>
          <w:bCs/>
        </w:rPr>
      </w:pPr>
      <w:r w:rsidRPr="00ED7AB1">
        <w:t>Petitioner filed an Application for Administrative Line-of-Duty Pension with the FDF on</w:t>
      </w:r>
    </w:p>
    <w:p w14:paraId="5E6E20A1" w14:textId="77777777" w:rsidR="005E6D64" w:rsidRDefault="005E6D64" w:rsidP="005E6D64">
      <w:pPr>
        <w:pStyle w:val="NoSpacing"/>
        <w:ind w:left="720"/>
        <w:rPr>
          <w:bCs/>
        </w:rPr>
      </w:pPr>
      <w:r w:rsidRPr="00ED7AB1">
        <w:t>September 11, 2023</w:t>
      </w:r>
      <w:r>
        <w:t>….</w:t>
      </w:r>
      <w:r w:rsidRPr="00ED7AB1">
        <w:t xml:space="preserve"> On January 2, 2024, the FPF Medical</w:t>
      </w:r>
      <w:r>
        <w:t xml:space="preserve"> </w:t>
      </w:r>
      <w:r w:rsidRPr="00ED7AB1">
        <w:t xml:space="preserve">Board declined Petitioner's application on the grounds that it was </w:t>
      </w:r>
      <w:r>
        <w:t>‘</w:t>
      </w:r>
      <w:r w:rsidRPr="00ED7AB1">
        <w:t>not possible to define the</w:t>
      </w:r>
      <w:r>
        <w:t xml:space="preserve"> </w:t>
      </w:r>
      <w:r w:rsidRPr="00ED7AB1">
        <w:t>basis for [Decedent]'s death ... [as] cardiomegaly ... does not define the etiology of his death.</w:t>
      </w:r>
      <w:r>
        <w:t xml:space="preserve">’ … </w:t>
      </w:r>
      <w:r w:rsidRPr="00ED7AB1">
        <w:t xml:space="preserve">The Medical Board further cited </w:t>
      </w:r>
      <w:r>
        <w:t>‘</w:t>
      </w:r>
      <w:r w:rsidRPr="00ED7AB1">
        <w:t>evidence of recent cocaine use</w:t>
      </w:r>
      <w:r>
        <w:t xml:space="preserve">’ </w:t>
      </w:r>
      <w:r w:rsidRPr="00ED7AB1">
        <w:t>as a factor obscuring Decedent's cause of death. Id. On May 29, 2024, the Board of Trustees</w:t>
      </w:r>
      <w:r>
        <w:t xml:space="preserve"> </w:t>
      </w:r>
      <w:r w:rsidRPr="00ED7AB1">
        <w:t xml:space="preserve">denied Petitioner's application based on the Medical Board </w:t>
      </w:r>
      <w:proofErr w:type="gramStart"/>
      <w:r w:rsidRPr="00ED7AB1">
        <w:t>recommendation.</w:t>
      </w:r>
      <w:r>
        <w:t>”</w:t>
      </w:r>
      <w:proofErr w:type="gramEnd"/>
    </w:p>
    <w:p w14:paraId="41E6B288" w14:textId="77777777" w:rsidR="005E6D64" w:rsidRDefault="005E6D64" w:rsidP="005E6D64">
      <w:pPr>
        <w:pStyle w:val="NoSpacing"/>
        <w:rPr>
          <w:b/>
          <w:bCs/>
        </w:rPr>
      </w:pPr>
    </w:p>
    <w:p w14:paraId="4A5BE76B" w14:textId="77777777" w:rsidR="005E6D64" w:rsidRPr="00466C63" w:rsidRDefault="005E6D64" w:rsidP="005E6D64">
      <w:pPr>
        <w:pStyle w:val="NoSpacing"/>
        <w:rPr>
          <w:b/>
          <w:bCs/>
        </w:rPr>
      </w:pPr>
      <w:r>
        <w:rPr>
          <w:b/>
        </w:rPr>
        <w:t>Legal lesson learned</w:t>
      </w:r>
      <w:proofErr w:type="gramStart"/>
      <w:r>
        <w:rPr>
          <w:b/>
        </w:rPr>
        <w:t>: The</w:t>
      </w:r>
      <w:r>
        <w:rPr>
          <w:b/>
          <w:bCs/>
        </w:rPr>
        <w:t xml:space="preserve"> </w:t>
      </w:r>
      <w:r>
        <w:rPr>
          <w:b/>
        </w:rPr>
        <w:t>statutory</w:t>
      </w:r>
      <w:proofErr w:type="gramEnd"/>
      <w:r>
        <w:rPr>
          <w:b/>
        </w:rPr>
        <w:t xml:space="preserve"> presumption in the Heart Bill controls, even if there is evidence of cocaine use. </w:t>
      </w:r>
    </w:p>
    <w:p w14:paraId="7019FBD4" w14:textId="77777777" w:rsidR="005E6D64" w:rsidRDefault="005E6D64" w:rsidP="00EF1133">
      <w:pPr>
        <w:rPr>
          <w:rFonts w:ascii="Arial Black" w:hAnsi="Arial Black"/>
          <w:b/>
          <w:sz w:val="24"/>
          <w:szCs w:val="24"/>
        </w:rPr>
      </w:pPr>
    </w:p>
    <w:p w14:paraId="28943BD2" w14:textId="77777777" w:rsidR="00D44956" w:rsidRDefault="00D44956" w:rsidP="00EF1133">
      <w:pPr>
        <w:rPr>
          <w:rFonts w:ascii="Arial Black" w:hAnsi="Arial Black"/>
          <w:b/>
          <w:sz w:val="24"/>
          <w:szCs w:val="24"/>
        </w:rPr>
      </w:pPr>
    </w:p>
    <w:p w14:paraId="15FB7053" w14:textId="67D0D791" w:rsidR="002F205D" w:rsidRDefault="002F205D" w:rsidP="0086215E">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6</w:t>
      </w:r>
    </w:p>
    <w:p w14:paraId="24B5C097" w14:textId="77777777" w:rsidR="002F205D" w:rsidRDefault="002F205D" w:rsidP="0086215E">
      <w:pPr>
        <w:pStyle w:val="NoSpacing"/>
        <w:rPr>
          <w:rFonts w:ascii="Arial Black" w:hAnsi="Arial Black"/>
          <w:b/>
          <w:sz w:val="28"/>
          <w:szCs w:val="28"/>
        </w:rPr>
      </w:pPr>
    </w:p>
    <w:p w14:paraId="0C0308E4" w14:textId="6A10E1DD" w:rsidR="0086215E" w:rsidRPr="0084729D" w:rsidRDefault="0086215E" w:rsidP="0086215E">
      <w:pPr>
        <w:pStyle w:val="NoSpacing"/>
        <w:rPr>
          <w:rFonts w:ascii="Arial Black" w:hAnsi="Arial Black"/>
          <w:b/>
          <w:sz w:val="28"/>
          <w:szCs w:val="28"/>
        </w:rPr>
      </w:pPr>
      <w:r>
        <w:rPr>
          <w:rFonts w:ascii="Arial Black" w:hAnsi="Arial Black"/>
          <w:b/>
          <w:sz w:val="28"/>
          <w:szCs w:val="28"/>
        </w:rPr>
        <w:t xml:space="preserve">IL: FF BACK INJURY – NOT CREDIBLE CLAIM </w:t>
      </w:r>
    </w:p>
    <w:p w14:paraId="6B78C973" w14:textId="77777777" w:rsidR="0086215E" w:rsidRDefault="0086215E" w:rsidP="0086215E">
      <w:pPr>
        <w:pStyle w:val="NoSpacing"/>
        <w:rPr>
          <w:bCs/>
        </w:rPr>
      </w:pPr>
    </w:p>
    <w:p w14:paraId="68F032A4" w14:textId="13D52A94" w:rsidR="003B3DED" w:rsidRPr="00483671" w:rsidRDefault="0086215E" w:rsidP="0086215E">
      <w:pPr>
        <w:pStyle w:val="NoSpacing"/>
        <w:rPr>
          <w:rFonts w:ascii="Times New Roman" w:hAnsi="Times New Roman"/>
          <w:sz w:val="24"/>
          <w:szCs w:val="24"/>
        </w:rPr>
      </w:pPr>
      <w:r w:rsidRPr="00483671">
        <w:rPr>
          <w:rFonts w:ascii="Times New Roman" w:hAnsi="Times New Roman"/>
          <w:sz w:val="24"/>
          <w:szCs w:val="24"/>
        </w:rPr>
        <w:t xml:space="preserve">On July 25, 2025, in </w:t>
      </w:r>
      <w:r w:rsidRPr="00483671">
        <w:rPr>
          <w:rFonts w:ascii="Times New Roman" w:hAnsi="Times New Roman"/>
          <w:sz w:val="24"/>
          <w:szCs w:val="24"/>
          <w:u w:val="single"/>
        </w:rPr>
        <w:t>Nicholas Witteman v. Brookfield Firefighters’ Pension Fund</w:t>
      </w:r>
      <w:r w:rsidRPr="00483671">
        <w:rPr>
          <w:rFonts w:ascii="Times New Roman" w:hAnsi="Times New Roman"/>
          <w:sz w:val="24"/>
          <w:szCs w:val="24"/>
        </w:rPr>
        <w:t xml:space="preserve">, the Court of Appeals of Illinois, First District, Sixth Division held (3 to 0) that the Board properly denied the firefighter a line-of-duty pension; only receive disability pension.  His credibility was challenged by testimony of fellow firefighters; patient used Hoyer Lift to put himself on stretcher; firefighter [and union President] never said he was injured, went on two more runs. THE COURT WROTE: “The Board concluded that Witteman was disabled </w:t>
      </w:r>
      <w:proofErr w:type="gramStart"/>
      <w:r w:rsidRPr="00483671">
        <w:rPr>
          <w:rFonts w:ascii="Times New Roman" w:hAnsi="Times New Roman"/>
          <w:sz w:val="24"/>
          <w:szCs w:val="24"/>
        </w:rPr>
        <w:t>but,</w:t>
      </w:r>
      <w:proofErr w:type="gramEnd"/>
      <w:r w:rsidRPr="00483671">
        <w:rPr>
          <w:rFonts w:ascii="Times New Roman" w:hAnsi="Times New Roman"/>
          <w:sz w:val="24"/>
          <w:szCs w:val="24"/>
        </w:rPr>
        <w:t xml:space="preserve"> based on his demeanor and credibility, as well as the testimony of others, determined that he did not injure his back by lifting the patient and, thus, unrelated to his job.” </w:t>
      </w:r>
      <w:hyperlink r:id="rId1086" w:history="1">
        <w:r w:rsidRPr="00483671">
          <w:rPr>
            <w:rStyle w:val="Hyperlink"/>
            <w:rFonts w:ascii="Times New Roman" w:hAnsi="Times New Roman"/>
            <w:sz w:val="24"/>
            <w:szCs w:val="24"/>
          </w:rPr>
          <w:t>https://ilcourtsaudio.blob.core.windows.net/antilles-resources/resources/f07642b7-1e8b-438e-bd0d-cfbc858fbc9b/Witteman%20v.%20Brookfield%20Firefighters%20Pension%20Fund%202025%20IL%20App%20(1st)%20241278.pdf</w:t>
        </w:r>
      </w:hyperlink>
    </w:p>
    <w:p w14:paraId="2FF8AC72" w14:textId="77777777" w:rsidR="00483671" w:rsidRPr="00483671" w:rsidRDefault="00483671" w:rsidP="00483671">
      <w:pPr>
        <w:pStyle w:val="NoSpacing"/>
        <w:rPr>
          <w:rFonts w:ascii="Times New Roman" w:hAnsi="Times New Roman"/>
          <w:b/>
          <w:sz w:val="24"/>
          <w:szCs w:val="24"/>
        </w:rPr>
      </w:pPr>
      <w:r w:rsidRPr="00483671">
        <w:rPr>
          <w:rFonts w:ascii="Times New Roman" w:hAnsi="Times New Roman"/>
          <w:b/>
          <w:sz w:val="24"/>
          <w:szCs w:val="24"/>
        </w:rPr>
        <w:t xml:space="preserve">Legal lesson learned:  If injured on the job, inform your crew and your officer and promptly complete an injury form. </w:t>
      </w:r>
    </w:p>
    <w:p w14:paraId="41C14ECB" w14:textId="77777777" w:rsidR="00483671" w:rsidRPr="00483671" w:rsidRDefault="00483671" w:rsidP="0086215E">
      <w:pPr>
        <w:pStyle w:val="NoSpacing"/>
        <w:rPr>
          <w:rFonts w:ascii="Times New Roman" w:hAnsi="Times New Roman"/>
          <w:sz w:val="24"/>
          <w:szCs w:val="24"/>
        </w:rPr>
      </w:pPr>
    </w:p>
    <w:p w14:paraId="100DF6E5" w14:textId="77777777" w:rsidR="003B3DED" w:rsidRDefault="003B3DED" w:rsidP="007C4C98">
      <w:pPr>
        <w:pStyle w:val="NoSpacing"/>
        <w:rPr>
          <w:rFonts w:ascii="Arial Black" w:hAnsi="Arial Black"/>
          <w:sz w:val="28"/>
          <w:szCs w:val="28"/>
        </w:rPr>
      </w:pPr>
    </w:p>
    <w:p w14:paraId="6C7208BE" w14:textId="77777777" w:rsidR="003B3DED" w:rsidRDefault="003B3DED" w:rsidP="007C4C98">
      <w:pPr>
        <w:pStyle w:val="NoSpacing"/>
        <w:rPr>
          <w:rFonts w:ascii="Arial Black" w:hAnsi="Arial Black"/>
          <w:sz w:val="28"/>
          <w:szCs w:val="28"/>
        </w:rPr>
      </w:pPr>
    </w:p>
    <w:p w14:paraId="101C00A3" w14:textId="785AC5F7"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5</w:t>
      </w:r>
    </w:p>
    <w:p w14:paraId="30FA5F05" w14:textId="77777777" w:rsidR="007C4C98" w:rsidRDefault="007C4C98" w:rsidP="00462481">
      <w:pPr>
        <w:rPr>
          <w:rFonts w:ascii="Arial Black" w:hAnsi="Arial Black"/>
          <w:b/>
          <w:sz w:val="28"/>
          <w:szCs w:val="28"/>
        </w:rPr>
      </w:pPr>
    </w:p>
    <w:p w14:paraId="45D8DCF5" w14:textId="7622D2B5" w:rsidR="00462481" w:rsidRDefault="00462481" w:rsidP="00462481">
      <w:pPr>
        <w:rPr>
          <w:rFonts w:ascii="Arial Black" w:hAnsi="Arial Black"/>
          <w:b/>
          <w:sz w:val="28"/>
          <w:szCs w:val="28"/>
        </w:rPr>
      </w:pPr>
      <w:r>
        <w:rPr>
          <w:rFonts w:ascii="Arial Black" w:hAnsi="Arial Black"/>
          <w:b/>
          <w:sz w:val="28"/>
          <w:szCs w:val="28"/>
        </w:rPr>
        <w:t xml:space="preserve">IL: HEARING LOSS – FF JOB WAS “CONTRIBUTING FACTOR” </w:t>
      </w:r>
    </w:p>
    <w:p w14:paraId="2BA16B63" w14:textId="77777777" w:rsidR="00462481" w:rsidRPr="00E82675" w:rsidRDefault="00462481" w:rsidP="00462481">
      <w:pPr>
        <w:pStyle w:val="NoSpacing"/>
        <w:rPr>
          <w:rFonts w:ascii="Times New Roman" w:hAnsi="Times New Roman"/>
          <w:sz w:val="24"/>
          <w:szCs w:val="24"/>
        </w:rPr>
      </w:pPr>
      <w:r w:rsidRPr="00E82675">
        <w:rPr>
          <w:rFonts w:ascii="Times New Roman" w:hAnsi="Times New Roman"/>
          <w:sz w:val="24"/>
          <w:szCs w:val="24"/>
        </w:rPr>
        <w:t xml:space="preserve">On June 27, 2025, in The </w:t>
      </w:r>
      <w:r w:rsidRPr="00E82675">
        <w:rPr>
          <w:rFonts w:ascii="Times New Roman" w:hAnsi="Times New Roman"/>
          <w:sz w:val="24"/>
          <w:szCs w:val="24"/>
          <w:u w:val="single"/>
        </w:rPr>
        <w:t>Village of Schaumburg v. The Village of Schaumburg Firefighters’ Pension Fund, and Phillip Reid, et al</w:t>
      </w:r>
      <w:r w:rsidRPr="00E82675">
        <w:rPr>
          <w:rFonts w:ascii="Times New Roman" w:hAnsi="Times New Roman"/>
          <w:sz w:val="24"/>
          <w:szCs w:val="24"/>
        </w:rPr>
        <w:t xml:space="preserve">., the Court of Appeals of Illinois, First District, Sixth Division held (3 to 0) that the Pension Board, upon order of Circuit Court judge, properly reconsidered their previous denial of the duty caused injury pension, and awarded the improved pension.  Phillip Reid served 32 years as a firefighter, and part-time at another fire department.  He developed hearing loss in 2009 and began wearing hearing aids.  In January 2017, he applied for a line-of-duty disability pension and retired, claiming that the noise from his job as a Village firefighter caused his hearing loss.  THE COURT HELD: “The record supports the Board’s conclusion that Ried suffered from a hearing loss disability and his duty-related activities were a contributing or exacerbating factor. We do not reweigh the evidence or independently assess the facts…. Thus, the Board’s decision to grant Ried a line of duty disability pension was not against the manifest weight of the evidence.” </w:t>
      </w:r>
      <w:hyperlink r:id="rId1087" w:history="1">
        <w:r w:rsidRPr="00E82675">
          <w:rPr>
            <w:rStyle w:val="Hyperlink"/>
            <w:rFonts w:ascii="Times New Roman" w:hAnsi="Times New Roman"/>
            <w:sz w:val="24"/>
            <w:szCs w:val="24"/>
          </w:rPr>
          <w:t>https://ilcourtsaudio.blob.core.windows.net/antilles-resources/resources/b97cd9d5-bd7a-4b80-8ae7-ba3200915f21/Village%20of%20Schaumburg%20v.%20VoS%20Firefighters%E2%80%99%20Pension%20Fund%202025%20IL%20App%20(1st)%20241764.pdf</w:t>
        </w:r>
      </w:hyperlink>
      <w:r w:rsidRPr="00E82675">
        <w:rPr>
          <w:rFonts w:ascii="Times New Roman" w:hAnsi="Times New Roman"/>
          <w:sz w:val="24"/>
          <w:szCs w:val="24"/>
        </w:rPr>
        <w:t xml:space="preserve"> </w:t>
      </w:r>
    </w:p>
    <w:p w14:paraId="3EFA355D" w14:textId="77777777" w:rsidR="00E82675" w:rsidRPr="00E82675" w:rsidRDefault="00E82675" w:rsidP="00E82675">
      <w:pPr>
        <w:pStyle w:val="NoSpacing"/>
        <w:rPr>
          <w:rFonts w:ascii="Times New Roman" w:hAnsi="Times New Roman"/>
          <w:b/>
          <w:sz w:val="24"/>
          <w:szCs w:val="24"/>
        </w:rPr>
      </w:pPr>
    </w:p>
    <w:p w14:paraId="472F9133" w14:textId="02D1A02B" w:rsidR="00E82675" w:rsidRPr="00E82675" w:rsidRDefault="00E82675" w:rsidP="00E82675">
      <w:pPr>
        <w:pStyle w:val="NoSpacing"/>
        <w:rPr>
          <w:rFonts w:ascii="Times New Roman" w:hAnsi="Times New Roman"/>
          <w:b/>
          <w:bCs/>
          <w:sz w:val="24"/>
          <w:szCs w:val="24"/>
        </w:rPr>
      </w:pPr>
      <w:r w:rsidRPr="00E82675">
        <w:rPr>
          <w:rFonts w:ascii="Times New Roman" w:hAnsi="Times New Roman"/>
          <w:b/>
          <w:sz w:val="24"/>
          <w:szCs w:val="24"/>
        </w:rPr>
        <w:t xml:space="preserve">Legal lesson learned: It was a classic “battle of the experts.”  Many states have enacted a “statutory presumption” that certain illnesses, such as cancer and heart disease, are caused by the job to avoid these types of extended legal battles. </w:t>
      </w:r>
    </w:p>
    <w:p w14:paraId="06E22EAB" w14:textId="77777777" w:rsidR="00E82675" w:rsidRPr="00E82675" w:rsidRDefault="00E82675" w:rsidP="00E82675">
      <w:pPr>
        <w:pStyle w:val="NoSpacing"/>
        <w:rPr>
          <w:rFonts w:ascii="Times New Roman" w:hAnsi="Times New Roman"/>
          <w:sz w:val="24"/>
          <w:szCs w:val="24"/>
        </w:rPr>
      </w:pPr>
    </w:p>
    <w:p w14:paraId="2E250122" w14:textId="77777777" w:rsidR="00E82675" w:rsidRPr="00E82675" w:rsidRDefault="00E82675" w:rsidP="00E82675">
      <w:pPr>
        <w:ind w:left="720"/>
        <w:rPr>
          <w:rFonts w:ascii="Times New Roman" w:hAnsi="Times New Roman"/>
          <w:bCs/>
          <w:sz w:val="24"/>
          <w:szCs w:val="24"/>
        </w:rPr>
      </w:pPr>
      <w:r w:rsidRPr="00E82675">
        <w:rPr>
          <w:rFonts w:ascii="Times New Roman" w:hAnsi="Times New Roman"/>
          <w:sz w:val="24"/>
          <w:szCs w:val="24"/>
        </w:rPr>
        <w:t xml:space="preserve">Note: See Illinois House Bill 3392 (filed 2023) seeking to include hearing loss to the list of diseases for which certain firefighters may be eligible for an occupational disease disability pension. </w:t>
      </w:r>
      <w:hyperlink r:id="rId1088" w:history="1">
        <w:r w:rsidRPr="00E82675">
          <w:rPr>
            <w:rStyle w:val="Hyperlink"/>
            <w:rFonts w:ascii="Times New Roman" w:hAnsi="Times New Roman"/>
            <w:sz w:val="24"/>
            <w:szCs w:val="24"/>
          </w:rPr>
          <w:t>https://www.ilga.gov/legislation/BillStatus.asp?DocNum=3392&amp;GAID=17&amp;DocTypeID=HB&amp;LegId=148558&amp;SessionID=112&amp;GA=103</w:t>
        </w:r>
      </w:hyperlink>
    </w:p>
    <w:p w14:paraId="33433332" w14:textId="77777777" w:rsidR="00462481" w:rsidRPr="00E82675" w:rsidRDefault="00462481" w:rsidP="00015CB5">
      <w:pPr>
        <w:rPr>
          <w:rFonts w:ascii="Times New Roman" w:hAnsi="Times New Roman"/>
          <w:b/>
          <w:sz w:val="24"/>
          <w:szCs w:val="24"/>
        </w:rPr>
      </w:pPr>
    </w:p>
    <w:p w14:paraId="5D391A12" w14:textId="77777777" w:rsidR="00462481" w:rsidRDefault="00462481" w:rsidP="00015CB5">
      <w:pPr>
        <w:rPr>
          <w:rFonts w:ascii="Arial Black" w:hAnsi="Arial Black"/>
          <w:b/>
          <w:sz w:val="28"/>
          <w:szCs w:val="28"/>
        </w:rPr>
      </w:pPr>
    </w:p>
    <w:p w14:paraId="3BC77956" w14:textId="231EC196"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4</w:t>
      </w:r>
    </w:p>
    <w:p w14:paraId="69757A7D" w14:textId="77777777" w:rsidR="007C4C98" w:rsidRDefault="007C4C98" w:rsidP="00015CB5">
      <w:pPr>
        <w:rPr>
          <w:rFonts w:ascii="Arial Black" w:hAnsi="Arial Black"/>
          <w:b/>
          <w:sz w:val="28"/>
          <w:szCs w:val="28"/>
        </w:rPr>
      </w:pPr>
    </w:p>
    <w:p w14:paraId="216DC94F" w14:textId="07C34688" w:rsidR="00015CB5" w:rsidRPr="00453B8C" w:rsidRDefault="00015CB5" w:rsidP="00015CB5">
      <w:pPr>
        <w:rPr>
          <w:rFonts w:ascii="Arial Black" w:hAnsi="Arial Black"/>
          <w:b/>
          <w:sz w:val="28"/>
          <w:szCs w:val="28"/>
        </w:rPr>
      </w:pPr>
      <w:r>
        <w:rPr>
          <w:rFonts w:ascii="Arial Black" w:hAnsi="Arial Black"/>
          <w:b/>
          <w:sz w:val="28"/>
          <w:szCs w:val="28"/>
        </w:rPr>
        <w:t>WA: MILITARY LEAVE - 21 DAYS PAY/ FY – STATE LAW</w:t>
      </w:r>
    </w:p>
    <w:p w14:paraId="0BD09CD1" w14:textId="77777777" w:rsidR="00015CB5" w:rsidRPr="005A4D75" w:rsidRDefault="00015CB5" w:rsidP="00015CB5">
      <w:pPr>
        <w:pStyle w:val="NoSpacing"/>
        <w:rPr>
          <w:rFonts w:ascii="Times New Roman" w:hAnsi="Times New Roman"/>
          <w:sz w:val="24"/>
          <w:szCs w:val="24"/>
        </w:rPr>
      </w:pPr>
      <w:r w:rsidRPr="005A4D75">
        <w:rPr>
          <w:rFonts w:ascii="Times New Roman" w:hAnsi="Times New Roman"/>
          <w:sz w:val="24"/>
          <w:szCs w:val="24"/>
        </w:rPr>
        <w:t xml:space="preserve">On June 26, 2025, in </w:t>
      </w:r>
      <w:r w:rsidRPr="005A4D75">
        <w:rPr>
          <w:rFonts w:ascii="Times New Roman" w:hAnsi="Times New Roman"/>
          <w:sz w:val="24"/>
          <w:szCs w:val="24"/>
          <w:u w:val="single"/>
        </w:rPr>
        <w:t>Travis Bearden v. City of Ocean Shores, et al</w:t>
      </w:r>
      <w:r w:rsidRPr="005A4D75">
        <w:rPr>
          <w:rFonts w:ascii="Times New Roman" w:hAnsi="Times New Roman"/>
          <w:sz w:val="24"/>
          <w:szCs w:val="24"/>
        </w:rPr>
        <w:t>., the Supreme Court of Washington held (</w:t>
      </w:r>
      <w:proofErr w:type="spellStart"/>
      <w:r w:rsidRPr="005A4D75">
        <w:rPr>
          <w:rFonts w:ascii="Times New Roman" w:hAnsi="Times New Roman"/>
          <w:sz w:val="24"/>
          <w:szCs w:val="24"/>
        </w:rPr>
        <w:t>en</w:t>
      </w:r>
      <w:proofErr w:type="spellEnd"/>
      <w:r w:rsidRPr="005A4D75">
        <w:rPr>
          <w:rFonts w:ascii="Times New Roman" w:hAnsi="Times New Roman"/>
          <w:sz w:val="24"/>
          <w:szCs w:val="24"/>
        </w:rPr>
        <w:t xml:space="preserve"> banc; all 9 Justices) held that under State law firefighters and other public employees are entitled to 21 days of paid leave when on Reserve or Active duty during each military fiscal year.  Firefighter Travis Bearden has filed a lawsuit in federal court under USERRA when he was not paid the 21 days while on Active duty in Army Reserve for 273 days (August 2020-May 2021) and was therefore not scheduled to work at the fire department.  The State Supreme Court responded to a question for the U.S. Court of Appeals for the 9</w:t>
      </w:r>
      <w:r w:rsidRPr="005A4D75">
        <w:rPr>
          <w:rFonts w:ascii="Times New Roman" w:hAnsi="Times New Roman"/>
          <w:sz w:val="24"/>
          <w:szCs w:val="24"/>
          <w:vertAlign w:val="superscript"/>
        </w:rPr>
        <w:t>th</w:t>
      </w:r>
      <w:r w:rsidRPr="005A4D75">
        <w:rPr>
          <w:rFonts w:ascii="Times New Roman" w:hAnsi="Times New Roman"/>
          <w:sz w:val="24"/>
          <w:szCs w:val="24"/>
        </w:rPr>
        <w:t xml:space="preserve"> Circuit (San Francisco) confirming he is entitled to the 21 days paid leave under state law. THE COURT HELD: “According to the city’s reading of the statute, employers would not have to pay paid military leave at all because once they know an employee will be absent, they would not place them on the schedule. That cannot be what the legislature intended when it </w:t>
      </w:r>
      <w:proofErr w:type="gramStart"/>
      <w:r w:rsidRPr="005A4D75">
        <w:rPr>
          <w:rFonts w:ascii="Times New Roman" w:hAnsi="Times New Roman"/>
          <w:sz w:val="24"/>
          <w:szCs w:val="24"/>
        </w:rPr>
        <w:t>provided that</w:t>
      </w:r>
      <w:proofErr w:type="gramEnd"/>
      <w:r w:rsidRPr="005A4D75">
        <w:rPr>
          <w:rFonts w:ascii="Times New Roman" w:hAnsi="Times New Roman"/>
          <w:sz w:val="24"/>
          <w:szCs w:val="24"/>
        </w:rPr>
        <w:t xml:space="preserve"> service members are entitled to and granted military leave that must be charged to </w:t>
      </w:r>
      <w:proofErr w:type="gramStart"/>
      <w:r w:rsidRPr="005A4D75">
        <w:rPr>
          <w:rFonts w:ascii="Times New Roman" w:hAnsi="Times New Roman"/>
          <w:sz w:val="24"/>
          <w:szCs w:val="24"/>
        </w:rPr>
        <w:t>days</w:t>
      </w:r>
      <w:proofErr w:type="gramEnd"/>
      <w:r w:rsidRPr="005A4D75">
        <w:rPr>
          <w:rFonts w:ascii="Times New Roman" w:hAnsi="Times New Roman"/>
          <w:sz w:val="24"/>
          <w:szCs w:val="24"/>
        </w:rPr>
        <w:t xml:space="preserve"> they are scheduled to work. No rational employer would schedule an employee to work when they know that employee would not be present and, therefore, no employee could ever claim the paid military leave to which they are entitled under RCW 38.40.060.”</w:t>
      </w:r>
    </w:p>
    <w:p w14:paraId="50A3070C" w14:textId="5D1CAB7B" w:rsidR="005263F1" w:rsidRPr="005A4D75" w:rsidRDefault="00015CB5" w:rsidP="00015CB5">
      <w:pPr>
        <w:pStyle w:val="NoSpacing"/>
        <w:rPr>
          <w:rFonts w:ascii="Times New Roman" w:hAnsi="Times New Roman"/>
          <w:sz w:val="24"/>
          <w:szCs w:val="24"/>
        </w:rPr>
      </w:pPr>
      <w:hyperlink r:id="rId1089" w:history="1">
        <w:r w:rsidRPr="005A4D75">
          <w:rPr>
            <w:rStyle w:val="Hyperlink"/>
            <w:rFonts w:ascii="Times New Roman" w:hAnsi="Times New Roman"/>
            <w:sz w:val="24"/>
            <w:szCs w:val="24"/>
          </w:rPr>
          <w:t>https://cases.justia.com/washington/supreme-court/2025-103-121-1.pdf?ts=1750950890</w:t>
        </w:r>
      </w:hyperlink>
    </w:p>
    <w:p w14:paraId="02D71073" w14:textId="77777777" w:rsidR="005263F1" w:rsidRPr="005A4D75" w:rsidRDefault="005263F1" w:rsidP="00683497">
      <w:pPr>
        <w:pStyle w:val="NoSpacing"/>
        <w:rPr>
          <w:rFonts w:ascii="Times New Roman" w:hAnsi="Times New Roman"/>
          <w:sz w:val="24"/>
          <w:szCs w:val="24"/>
        </w:rPr>
      </w:pPr>
    </w:p>
    <w:p w14:paraId="7A0709B2" w14:textId="77777777" w:rsidR="005A4D75" w:rsidRPr="005A4D75" w:rsidRDefault="005A4D75" w:rsidP="005A4D75">
      <w:pPr>
        <w:pStyle w:val="NoSpacing"/>
        <w:rPr>
          <w:rFonts w:ascii="Times New Roman" w:hAnsi="Times New Roman"/>
          <w:b/>
          <w:bCs/>
          <w:sz w:val="24"/>
          <w:szCs w:val="24"/>
        </w:rPr>
      </w:pPr>
      <w:r w:rsidRPr="005A4D75">
        <w:rPr>
          <w:rFonts w:ascii="Times New Roman" w:hAnsi="Times New Roman"/>
          <w:b/>
          <w:sz w:val="24"/>
          <w:szCs w:val="24"/>
        </w:rPr>
        <w:t>Legal lesson learned:  Hopefully the City will not settle his USERRA lawsuit in Federal Court, pay his lost reimbursement and his attorney fees.</w:t>
      </w:r>
      <w:r w:rsidRPr="005A4D75">
        <w:rPr>
          <w:rFonts w:ascii="Times New Roman" w:hAnsi="Times New Roman"/>
          <w:sz w:val="24"/>
          <w:szCs w:val="24"/>
        </w:rPr>
        <w:t xml:space="preserve"> </w:t>
      </w:r>
    </w:p>
    <w:p w14:paraId="7B0BE3B4" w14:textId="77777777" w:rsidR="005A4D75" w:rsidRPr="005A4D75" w:rsidRDefault="005A4D75" w:rsidP="005A4D75">
      <w:pPr>
        <w:pStyle w:val="NoSpacing"/>
        <w:rPr>
          <w:rFonts w:ascii="Times New Roman" w:hAnsi="Times New Roman"/>
          <w:sz w:val="24"/>
          <w:szCs w:val="24"/>
        </w:rPr>
      </w:pPr>
    </w:p>
    <w:p w14:paraId="122B5BEA" w14:textId="77777777" w:rsidR="005A4D75" w:rsidRPr="005A4D75" w:rsidRDefault="005A4D75" w:rsidP="005A4D75">
      <w:pPr>
        <w:pStyle w:val="NoSpacing"/>
        <w:ind w:left="720"/>
        <w:rPr>
          <w:rFonts w:ascii="Times New Roman" w:hAnsi="Times New Roman"/>
          <w:sz w:val="24"/>
          <w:szCs w:val="24"/>
        </w:rPr>
      </w:pPr>
      <w:r w:rsidRPr="005A4D75">
        <w:rPr>
          <w:rFonts w:ascii="Times New Roman" w:hAnsi="Times New Roman"/>
          <w:sz w:val="24"/>
          <w:szCs w:val="24"/>
        </w:rPr>
        <w:t>Note:  See U.S. Department of Labor – “A Guide to the Uniformed Services</w:t>
      </w:r>
      <w:r w:rsidRPr="005A4D75">
        <w:rPr>
          <w:rFonts w:ascii="Times New Roman" w:hAnsi="Times New Roman"/>
          <w:sz w:val="24"/>
          <w:szCs w:val="24"/>
        </w:rPr>
        <w:br/>
        <w:t xml:space="preserve">Employment and Reemployment Rights Act.” </w:t>
      </w:r>
      <w:hyperlink r:id="rId1090" w:anchor="ch21" w:history="1">
        <w:r w:rsidRPr="005A4D75">
          <w:rPr>
            <w:rStyle w:val="Hyperlink"/>
            <w:rFonts w:ascii="Times New Roman" w:hAnsi="Times New Roman"/>
            <w:sz w:val="24"/>
            <w:szCs w:val="24"/>
          </w:rPr>
          <w:t>https://www.dol.gov/agencies/vets/programs/userra/USERRA-Pocket-Guide#ch21</w:t>
        </w:r>
      </w:hyperlink>
      <w:r w:rsidRPr="005A4D75">
        <w:rPr>
          <w:rFonts w:ascii="Times New Roman" w:hAnsi="Times New Roman"/>
          <w:sz w:val="24"/>
          <w:szCs w:val="24"/>
        </w:rPr>
        <w:t xml:space="preserve"> </w:t>
      </w:r>
    </w:p>
    <w:p w14:paraId="2471ECA9" w14:textId="77777777" w:rsidR="005A4D75" w:rsidRPr="005A4D75" w:rsidRDefault="005A4D75" w:rsidP="005A4D75">
      <w:pPr>
        <w:pStyle w:val="NoSpacing"/>
        <w:rPr>
          <w:rFonts w:ascii="Times New Roman" w:hAnsi="Times New Roman"/>
          <w:sz w:val="24"/>
          <w:szCs w:val="24"/>
        </w:rPr>
      </w:pPr>
    </w:p>
    <w:p w14:paraId="4190E244" w14:textId="77777777" w:rsidR="005A4D75" w:rsidRPr="005A4D75" w:rsidRDefault="005A4D75" w:rsidP="005A4D75">
      <w:pPr>
        <w:pStyle w:val="NoSpacing"/>
        <w:ind w:left="720"/>
        <w:rPr>
          <w:rFonts w:ascii="Times New Roman" w:hAnsi="Times New Roman"/>
          <w:sz w:val="24"/>
          <w:szCs w:val="24"/>
        </w:rPr>
      </w:pPr>
      <w:r w:rsidRPr="005A4D75">
        <w:rPr>
          <w:rFonts w:ascii="Times New Roman" w:hAnsi="Times New Roman"/>
          <w:sz w:val="24"/>
          <w:szCs w:val="24"/>
        </w:rPr>
        <w:t>“Awards of attorney fees, expert witness fees, and other litigation expenses to successful plaintiffs who retain private counsel may be made at the court’s discretion.”</w:t>
      </w:r>
    </w:p>
    <w:p w14:paraId="6E45207E" w14:textId="77777777" w:rsidR="005A4D75" w:rsidRDefault="005A4D75" w:rsidP="005A4D75">
      <w:pPr>
        <w:rPr>
          <w:bCs/>
        </w:rPr>
      </w:pPr>
    </w:p>
    <w:p w14:paraId="5CC8619D" w14:textId="49E0191F"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3</w:t>
      </w:r>
    </w:p>
    <w:p w14:paraId="738552DA" w14:textId="77777777" w:rsidR="007C4C98" w:rsidRDefault="007C4C98" w:rsidP="00683497">
      <w:pPr>
        <w:pStyle w:val="NoSpacing"/>
        <w:rPr>
          <w:rFonts w:ascii="Arial Black" w:hAnsi="Arial Black"/>
          <w:sz w:val="28"/>
          <w:szCs w:val="28"/>
        </w:rPr>
      </w:pPr>
    </w:p>
    <w:p w14:paraId="3D8CC82F" w14:textId="77777777" w:rsidR="00B571BC" w:rsidRDefault="00B571BC" w:rsidP="00B571BC">
      <w:pPr>
        <w:rPr>
          <w:rFonts w:ascii="Arial Black" w:hAnsi="Arial Black"/>
          <w:bCs/>
          <w:sz w:val="28"/>
          <w:szCs w:val="28"/>
        </w:rPr>
      </w:pPr>
      <w:r>
        <w:rPr>
          <w:rFonts w:ascii="Arial Black" w:hAnsi="Arial Black"/>
          <w:sz w:val="28"/>
          <w:szCs w:val="28"/>
        </w:rPr>
        <w:t xml:space="preserve">MA: FF VOL. RESIGNED – </w:t>
      </w:r>
      <w:r>
        <w:rPr>
          <w:rFonts w:ascii="Arial Black" w:hAnsi="Arial Black"/>
          <w:bCs/>
          <w:sz w:val="28"/>
          <w:szCs w:val="28"/>
        </w:rPr>
        <w:t>NO RIGHT TO</w:t>
      </w:r>
      <w:r>
        <w:rPr>
          <w:rFonts w:ascii="Arial Black" w:hAnsi="Arial Black"/>
          <w:sz w:val="28"/>
          <w:szCs w:val="28"/>
        </w:rPr>
        <w:t xml:space="preserve"> GROUP HEALTH </w:t>
      </w:r>
    </w:p>
    <w:p w14:paraId="69953CAE" w14:textId="5CE898FA" w:rsidR="006325EF" w:rsidRPr="007A2A30" w:rsidRDefault="00B571BC" w:rsidP="00B571BC">
      <w:pPr>
        <w:pStyle w:val="NoSpacing"/>
        <w:rPr>
          <w:rFonts w:ascii="Times New Roman" w:hAnsi="Times New Roman"/>
          <w:sz w:val="24"/>
          <w:szCs w:val="24"/>
        </w:rPr>
      </w:pPr>
      <w:r w:rsidRPr="007A2A30">
        <w:rPr>
          <w:rFonts w:ascii="Times New Roman" w:hAnsi="Times New Roman"/>
          <w:sz w:val="24"/>
          <w:szCs w:val="24"/>
        </w:rPr>
        <w:t xml:space="preserve">On June 18, 2025, in </w:t>
      </w:r>
      <w:r w:rsidRPr="007A2A30">
        <w:rPr>
          <w:rFonts w:ascii="Times New Roman" w:hAnsi="Times New Roman"/>
          <w:sz w:val="24"/>
          <w:szCs w:val="24"/>
          <w:u w:val="single"/>
        </w:rPr>
        <w:t>Michael Cannata v. Town of Mashpee</w:t>
      </w:r>
      <w:r w:rsidRPr="007A2A30">
        <w:rPr>
          <w:rFonts w:ascii="Times New Roman" w:hAnsi="Times New Roman"/>
          <w:sz w:val="24"/>
          <w:szCs w:val="24"/>
        </w:rPr>
        <w:t xml:space="preserve">, the Supreme Judicial Court of Massachusetts, Barnstable held (7 to 0) that the trial court properly granted the Town’s motion to dismiss; the firefighter voluntarily resigned in 2004 after 10 years on the fire department and did not elect to continue paying for group health insurance.  When he reached age 55 in 2021, the Town had no legal obligation to allow him to enroll in the group </w:t>
      </w:r>
      <w:proofErr w:type="gramStart"/>
      <w:r w:rsidRPr="007A2A30">
        <w:rPr>
          <w:rFonts w:ascii="Times New Roman" w:hAnsi="Times New Roman"/>
          <w:sz w:val="24"/>
          <w:szCs w:val="24"/>
        </w:rPr>
        <w:t>plan, but</w:t>
      </w:r>
      <w:proofErr w:type="gramEnd"/>
      <w:r w:rsidRPr="007A2A30">
        <w:rPr>
          <w:rFonts w:ascii="Times New Roman" w:hAnsi="Times New Roman"/>
          <w:sz w:val="24"/>
          <w:szCs w:val="24"/>
        </w:rPr>
        <w:t xml:space="preserve"> could have done so.  THE COURT HELD: “We conclude that G. L. c. 32B, § 9, neither requires nor prohibits a municipality from enrolling individuals like Cannata. Accordingly, the third paragraph of the statute does not govern this case, and the judge erred in holding otherwise. Municipalities may -- but are not obligated to -- allow such individuals to enroll in group health insurance upon </w:t>
      </w:r>
      <w:proofErr w:type="gramStart"/>
      <w:r w:rsidRPr="007A2A30">
        <w:rPr>
          <w:rFonts w:ascii="Times New Roman" w:hAnsi="Times New Roman"/>
          <w:sz w:val="24"/>
          <w:szCs w:val="24"/>
        </w:rPr>
        <w:t>retirement.”</w:t>
      </w:r>
      <w:proofErr w:type="gramEnd"/>
      <w:r w:rsidRPr="007A2A30">
        <w:rPr>
          <w:rFonts w:ascii="Times New Roman" w:hAnsi="Times New Roman"/>
          <w:sz w:val="24"/>
          <w:szCs w:val="24"/>
        </w:rPr>
        <w:t xml:space="preserve">  </w:t>
      </w:r>
      <w:hyperlink r:id="rId1091" w:history="1">
        <w:r w:rsidRPr="007A2A30">
          <w:rPr>
            <w:rStyle w:val="Hyperlink"/>
            <w:rFonts w:ascii="Times New Roman" w:hAnsi="Times New Roman"/>
            <w:sz w:val="24"/>
            <w:szCs w:val="24"/>
          </w:rPr>
          <w:t>https://www.socialaw.com/services/slip-opinions/slip-opinion-details/michael-cannata-vs.-town-of-mashpee</w:t>
        </w:r>
      </w:hyperlink>
    </w:p>
    <w:p w14:paraId="7BB9C507" w14:textId="77777777" w:rsidR="007A2A30" w:rsidRDefault="007A2A30" w:rsidP="007A2A30">
      <w:pPr>
        <w:rPr>
          <w:rFonts w:ascii="Times New Roman" w:hAnsi="Times New Roman"/>
          <w:b/>
          <w:sz w:val="24"/>
          <w:szCs w:val="24"/>
        </w:rPr>
      </w:pPr>
    </w:p>
    <w:p w14:paraId="78A304E8" w14:textId="2D8C5586" w:rsidR="007A2A30" w:rsidRPr="007A2A30" w:rsidRDefault="007A2A30" w:rsidP="007A2A30">
      <w:pPr>
        <w:rPr>
          <w:rFonts w:ascii="Times New Roman" w:hAnsi="Times New Roman"/>
          <w:b/>
          <w:bCs/>
          <w:sz w:val="24"/>
          <w:szCs w:val="24"/>
        </w:rPr>
      </w:pPr>
      <w:r w:rsidRPr="007A2A30">
        <w:rPr>
          <w:rFonts w:ascii="Times New Roman" w:hAnsi="Times New Roman"/>
          <w:b/>
          <w:sz w:val="24"/>
          <w:szCs w:val="24"/>
        </w:rPr>
        <w:t xml:space="preserve">Legal lesson learned:  Prior to resigning or retiring, confirm with HR your rights to continued group health insurance. </w:t>
      </w:r>
    </w:p>
    <w:p w14:paraId="21028487" w14:textId="77777777" w:rsidR="007A2A30" w:rsidRDefault="007A2A30" w:rsidP="00B571BC">
      <w:pPr>
        <w:pStyle w:val="NoSpacing"/>
        <w:rPr>
          <w:rFonts w:ascii="Times New Roman" w:hAnsi="Times New Roman"/>
          <w:sz w:val="24"/>
          <w:szCs w:val="24"/>
        </w:rPr>
      </w:pPr>
    </w:p>
    <w:p w14:paraId="5AA4A549" w14:textId="77777777" w:rsidR="007C4C98" w:rsidRDefault="007C4C98" w:rsidP="007F03DE">
      <w:pPr>
        <w:rPr>
          <w:rFonts w:ascii="Arial Black" w:hAnsi="Arial Black"/>
          <w:b/>
          <w:sz w:val="28"/>
          <w:szCs w:val="28"/>
        </w:rPr>
      </w:pPr>
    </w:p>
    <w:p w14:paraId="6CD7A283" w14:textId="257BD3A0"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2</w:t>
      </w:r>
    </w:p>
    <w:p w14:paraId="4ECEC13A" w14:textId="77777777" w:rsidR="007C4C98" w:rsidRDefault="007C4C98" w:rsidP="007F03DE">
      <w:pPr>
        <w:rPr>
          <w:rFonts w:ascii="Arial Black" w:hAnsi="Arial Black"/>
          <w:b/>
          <w:sz w:val="28"/>
          <w:szCs w:val="28"/>
        </w:rPr>
      </w:pPr>
    </w:p>
    <w:p w14:paraId="6F4F2639" w14:textId="7965BB48" w:rsidR="007F03DE" w:rsidRDefault="007F03DE" w:rsidP="007F03DE">
      <w:pPr>
        <w:rPr>
          <w:rFonts w:ascii="Arial Black" w:hAnsi="Arial Black"/>
          <w:b/>
          <w:sz w:val="28"/>
          <w:szCs w:val="28"/>
        </w:rPr>
      </w:pPr>
      <w:r>
        <w:rPr>
          <w:rFonts w:ascii="Arial Black" w:hAnsi="Arial Black"/>
          <w:b/>
          <w:sz w:val="28"/>
          <w:szCs w:val="28"/>
        </w:rPr>
        <w:t xml:space="preserve">NV: HEART - 8-YR AFTER RETIRED - TOTAL DISAB PENSION </w:t>
      </w:r>
    </w:p>
    <w:p w14:paraId="4A7A53D0" w14:textId="77777777" w:rsidR="007F03DE" w:rsidRPr="007C4C98" w:rsidRDefault="007F03DE" w:rsidP="007F03DE">
      <w:pPr>
        <w:pStyle w:val="NoSpacing"/>
        <w:rPr>
          <w:rFonts w:ascii="Times New Roman" w:hAnsi="Times New Roman"/>
          <w:sz w:val="24"/>
          <w:szCs w:val="24"/>
        </w:rPr>
      </w:pPr>
      <w:r w:rsidRPr="007C4C98">
        <w:rPr>
          <w:rFonts w:ascii="Times New Roman" w:hAnsi="Times New Roman"/>
          <w:sz w:val="24"/>
          <w:szCs w:val="24"/>
        </w:rPr>
        <w:t xml:space="preserve">On June 12, 2025, in </w:t>
      </w:r>
      <w:r w:rsidRPr="007C4C98">
        <w:rPr>
          <w:rFonts w:ascii="Times New Roman" w:hAnsi="Times New Roman"/>
          <w:sz w:val="24"/>
          <w:szCs w:val="24"/>
          <w:u w:val="single"/>
        </w:rPr>
        <w:t>City of Las Vegas and CCMSI v. Peggy Munson</w:t>
      </w:r>
      <w:r w:rsidRPr="007C4C98">
        <w:rPr>
          <w:rFonts w:ascii="Times New Roman" w:hAnsi="Times New Roman"/>
          <w:sz w:val="24"/>
          <w:szCs w:val="24"/>
        </w:rPr>
        <w:t xml:space="preserve">, the Court at Ms. Munson’s request published it prior unpublished order, granting her worker’s comp - permanent total disability – for disabling heart disease in 2021, eight years after retirement.  In 2015, the Nevada Legislature restricted heart benefits to cover only medical expenses, not wages, unless the firefighter had 20 years of service.  She met that requirement , having worked from November 1992 until February 2013, and is therefore entitled to 66 2/3 percent of the average monthly </w:t>
      </w:r>
      <w:proofErr w:type="gramStart"/>
      <w:r w:rsidRPr="007C4C98">
        <w:rPr>
          <w:rFonts w:ascii="Times New Roman" w:hAnsi="Times New Roman"/>
          <w:sz w:val="24"/>
          <w:szCs w:val="24"/>
        </w:rPr>
        <w:t>wage for wages</w:t>
      </w:r>
      <w:proofErr w:type="gramEnd"/>
      <w:r w:rsidRPr="007C4C98">
        <w:rPr>
          <w:rFonts w:ascii="Times New Roman" w:hAnsi="Times New Roman"/>
          <w:sz w:val="24"/>
          <w:szCs w:val="24"/>
        </w:rPr>
        <w:t xml:space="preserve"> earned in 2013.  THE COURT HELD: “Because section 6 of S.B. 153, as enacted, constitutes binding law, NRS 617.457(14) does not apply to Munson, and thus the statute did not preclude her from seeking permanent total disability benefits if she had ‘completed at least 20 years of creditable service’ as a firefighter at the time section 6 became effective in 2015, regardless of when she became disabled.” </w:t>
      </w:r>
    </w:p>
    <w:p w14:paraId="76CB4626" w14:textId="51EE3D2F" w:rsidR="007F03DE" w:rsidRPr="007C4C98" w:rsidRDefault="007F03DE" w:rsidP="007F03DE">
      <w:pPr>
        <w:pStyle w:val="NoSpacing"/>
        <w:rPr>
          <w:rFonts w:ascii="Times New Roman" w:hAnsi="Times New Roman"/>
          <w:sz w:val="24"/>
          <w:szCs w:val="24"/>
        </w:rPr>
      </w:pPr>
      <w:r w:rsidRPr="007C4C98">
        <w:rPr>
          <w:rFonts w:ascii="Times New Roman" w:hAnsi="Times New Roman"/>
          <w:sz w:val="24"/>
          <w:szCs w:val="24"/>
        </w:rPr>
        <w:t xml:space="preserve"> </w:t>
      </w:r>
      <w:hyperlink r:id="rId1092" w:history="1">
        <w:r w:rsidRPr="007C4C98">
          <w:rPr>
            <w:rStyle w:val="Hyperlink"/>
            <w:rFonts w:ascii="Times New Roman" w:hAnsi="Times New Roman"/>
            <w:sz w:val="24"/>
            <w:szCs w:val="24"/>
          </w:rPr>
          <w:t>file:///C:/Users/lawre/Downloads/25-26180-1.pdf</w:t>
        </w:r>
      </w:hyperlink>
    </w:p>
    <w:p w14:paraId="369813A7" w14:textId="77777777" w:rsidR="007C4C98" w:rsidRPr="007C4C98" w:rsidRDefault="007C4C98" w:rsidP="007F03DE">
      <w:pPr>
        <w:pStyle w:val="NoSpacing"/>
        <w:rPr>
          <w:rFonts w:ascii="Times New Roman" w:hAnsi="Times New Roman"/>
          <w:sz w:val="24"/>
          <w:szCs w:val="24"/>
        </w:rPr>
      </w:pPr>
    </w:p>
    <w:p w14:paraId="44FEE055" w14:textId="77777777" w:rsidR="007C4C98" w:rsidRPr="007C4C98" w:rsidRDefault="007C4C98" w:rsidP="007C4C98">
      <w:pPr>
        <w:pStyle w:val="NoSpacing"/>
        <w:rPr>
          <w:rFonts w:ascii="Times New Roman" w:hAnsi="Times New Roman"/>
          <w:b/>
          <w:sz w:val="24"/>
          <w:szCs w:val="24"/>
        </w:rPr>
      </w:pPr>
      <w:r w:rsidRPr="007C4C98">
        <w:rPr>
          <w:rFonts w:ascii="Times New Roman" w:hAnsi="Times New Roman"/>
          <w:b/>
          <w:sz w:val="24"/>
          <w:szCs w:val="24"/>
        </w:rPr>
        <w:t xml:space="preserve">Legal lesson learned: Very nice of the court to now publish their earlier unpublished decision in favor of this retiree. </w:t>
      </w:r>
    </w:p>
    <w:p w14:paraId="00F104E2" w14:textId="77777777" w:rsidR="007C4C98" w:rsidRPr="007C4C98" w:rsidRDefault="007C4C98" w:rsidP="007C4C98">
      <w:pPr>
        <w:pStyle w:val="NoSpacing"/>
        <w:ind w:left="720"/>
        <w:rPr>
          <w:rFonts w:ascii="Times New Roman" w:hAnsi="Times New Roman"/>
          <w:bCs/>
          <w:sz w:val="24"/>
          <w:szCs w:val="24"/>
        </w:rPr>
      </w:pPr>
    </w:p>
    <w:p w14:paraId="39550A13" w14:textId="77777777" w:rsidR="007C4C98" w:rsidRPr="007C4C98" w:rsidRDefault="007C4C98" w:rsidP="007C4C98">
      <w:pPr>
        <w:ind w:left="720"/>
        <w:rPr>
          <w:rFonts w:ascii="Times New Roman" w:hAnsi="Times New Roman"/>
          <w:bCs/>
          <w:sz w:val="24"/>
          <w:szCs w:val="24"/>
        </w:rPr>
      </w:pPr>
      <w:r w:rsidRPr="007C4C98">
        <w:rPr>
          <w:rFonts w:ascii="Times New Roman" w:hAnsi="Times New Roman"/>
          <w:sz w:val="24"/>
          <w:szCs w:val="24"/>
        </w:rPr>
        <w:t xml:space="preserve">Note: Section 6 of S.B. 153 provides: </w:t>
      </w:r>
      <w:hyperlink r:id="rId1093" w:history="1">
        <w:r w:rsidRPr="007C4C98">
          <w:rPr>
            <w:rStyle w:val="Hyperlink"/>
            <w:rFonts w:ascii="Times New Roman" w:hAnsi="Times New Roman"/>
            <w:sz w:val="24"/>
            <w:szCs w:val="24"/>
          </w:rPr>
          <w:t>https://www.leg.state.nv.us/App/NELIS/REL/82nd2023/Bill/9844/Overview</w:t>
        </w:r>
      </w:hyperlink>
      <w:r w:rsidRPr="007C4C98">
        <w:rPr>
          <w:rFonts w:ascii="Times New Roman" w:hAnsi="Times New Roman"/>
          <w:sz w:val="24"/>
          <w:szCs w:val="24"/>
        </w:rPr>
        <w:t xml:space="preserve">  </w:t>
      </w:r>
    </w:p>
    <w:p w14:paraId="0E7048AF"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t>The amendatory provisions of this act:</w:t>
      </w:r>
    </w:p>
    <w:p w14:paraId="04A10EFC"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t>1. Apply only to disablement which occurs on</w:t>
      </w:r>
    </w:p>
    <w:p w14:paraId="31C88FDF"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t>or after the effective date of this section; and</w:t>
      </w:r>
    </w:p>
    <w:p w14:paraId="76442BEF"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 xml:space="preserve">2. Do not apply to any person who, on the effective date </w:t>
      </w:r>
    </w:p>
    <w:p w14:paraId="30566C6E"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 xml:space="preserve">of this section, has completed at least 20 years of creditable </w:t>
      </w:r>
    </w:p>
    <w:p w14:paraId="7E8A947E"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service . . . as a . . firefighter . . . in this State.</w:t>
      </w:r>
    </w:p>
    <w:p w14:paraId="667F842F" w14:textId="77777777" w:rsidR="007C4C98" w:rsidRPr="007A2A30" w:rsidRDefault="007C4C98" w:rsidP="007F03DE">
      <w:pPr>
        <w:pStyle w:val="NoSpacing"/>
        <w:rPr>
          <w:rFonts w:ascii="Times New Roman" w:hAnsi="Times New Roman"/>
          <w:sz w:val="24"/>
          <w:szCs w:val="24"/>
        </w:rPr>
      </w:pPr>
    </w:p>
    <w:p w14:paraId="1987FA7D" w14:textId="77777777" w:rsidR="006325EF" w:rsidRDefault="006325EF" w:rsidP="00683497">
      <w:pPr>
        <w:pStyle w:val="NoSpacing"/>
        <w:rPr>
          <w:rFonts w:ascii="Arial Black" w:hAnsi="Arial Black"/>
          <w:sz w:val="28"/>
          <w:szCs w:val="28"/>
        </w:rPr>
      </w:pPr>
    </w:p>
    <w:p w14:paraId="07C213B1" w14:textId="77777777" w:rsidR="005263F1" w:rsidRDefault="005263F1" w:rsidP="00683497">
      <w:pPr>
        <w:pStyle w:val="NoSpacing"/>
        <w:rPr>
          <w:rFonts w:ascii="Arial Black" w:hAnsi="Arial Black"/>
          <w:sz w:val="28"/>
          <w:szCs w:val="28"/>
        </w:rPr>
      </w:pPr>
    </w:p>
    <w:p w14:paraId="60B11BA5" w14:textId="0CE63C41" w:rsidR="0090461E" w:rsidRDefault="0090461E" w:rsidP="00683497">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1</w:t>
      </w:r>
    </w:p>
    <w:p w14:paraId="40676CCC" w14:textId="77777777" w:rsidR="0090461E" w:rsidRDefault="0090461E" w:rsidP="00683497">
      <w:pPr>
        <w:pStyle w:val="NoSpacing"/>
        <w:rPr>
          <w:rFonts w:ascii="Arial Black" w:hAnsi="Arial Black"/>
          <w:sz w:val="28"/>
          <w:szCs w:val="28"/>
        </w:rPr>
      </w:pPr>
    </w:p>
    <w:p w14:paraId="38FDD922" w14:textId="7CF4A11A" w:rsidR="00683497" w:rsidRDefault="00683497" w:rsidP="00683497">
      <w:pPr>
        <w:pStyle w:val="NoSpacing"/>
        <w:rPr>
          <w:rFonts w:ascii="Arial Black" w:hAnsi="Arial Black"/>
          <w:sz w:val="28"/>
          <w:szCs w:val="28"/>
        </w:rPr>
      </w:pPr>
      <w:r w:rsidRPr="006F2B87">
        <w:rPr>
          <w:rFonts w:ascii="Arial Black" w:hAnsi="Arial Black"/>
          <w:sz w:val="28"/>
          <w:szCs w:val="28"/>
        </w:rPr>
        <w:t>KY: MEDIC MVA - WORK COMP</w:t>
      </w:r>
      <w:r w:rsidR="00D116D3">
        <w:rPr>
          <w:rFonts w:ascii="Arial Black" w:hAnsi="Arial Black"/>
          <w:sz w:val="28"/>
          <w:szCs w:val="28"/>
        </w:rPr>
        <w:t xml:space="preserve"> / CAN ALSO SUE </w:t>
      </w:r>
      <w:r w:rsidRPr="006F2B87">
        <w:rPr>
          <w:rFonts w:ascii="Arial Black" w:hAnsi="Arial Black"/>
          <w:sz w:val="28"/>
          <w:szCs w:val="28"/>
        </w:rPr>
        <w:t>“UNINSURED MOTORIST”</w:t>
      </w:r>
    </w:p>
    <w:p w14:paraId="5DE86FA7" w14:textId="39103F0C" w:rsidR="00D116D3" w:rsidRPr="006F2B87" w:rsidRDefault="00D116D3" w:rsidP="00683497">
      <w:pPr>
        <w:pStyle w:val="NoSpacing"/>
        <w:rPr>
          <w:rFonts w:ascii="Arial Black" w:hAnsi="Arial Black"/>
          <w:sz w:val="28"/>
          <w:szCs w:val="28"/>
        </w:rPr>
      </w:pPr>
      <w:hyperlink r:id="rId1094" w:history="1">
        <w:r w:rsidRPr="00683497">
          <w:rPr>
            <w:rStyle w:val="Hyperlink"/>
            <w:rFonts w:ascii="Times New Roman" w:hAnsi="Times New Roman"/>
            <w:sz w:val="24"/>
            <w:szCs w:val="24"/>
          </w:rPr>
          <w:t>https://cases.justia.com/kentucky/court-of-appeals/2025-2024-ca-0152-mr.pdf?ts=1748009113</w:t>
        </w:r>
      </w:hyperlink>
    </w:p>
    <w:p w14:paraId="7D7FC876" w14:textId="77777777" w:rsidR="00683497" w:rsidRPr="006F2B87" w:rsidRDefault="00683497" w:rsidP="00683497">
      <w:pPr>
        <w:pStyle w:val="NoSpacing"/>
      </w:pPr>
    </w:p>
    <w:p w14:paraId="2A3A5247" w14:textId="77777777" w:rsidR="00683497" w:rsidRPr="00683497" w:rsidRDefault="00683497" w:rsidP="00683497">
      <w:pPr>
        <w:pStyle w:val="NoSpacing"/>
        <w:rPr>
          <w:rFonts w:ascii="Times New Roman" w:hAnsi="Times New Roman"/>
          <w:bCs/>
          <w:sz w:val="24"/>
          <w:szCs w:val="24"/>
        </w:rPr>
      </w:pPr>
      <w:r w:rsidRPr="00683497">
        <w:rPr>
          <w:rFonts w:ascii="Times New Roman" w:hAnsi="Times New Roman"/>
          <w:sz w:val="24"/>
          <w:szCs w:val="24"/>
        </w:rPr>
        <w:t xml:space="preserve">On May 25, 2025, in </w:t>
      </w:r>
      <w:r w:rsidRPr="00683497">
        <w:rPr>
          <w:rFonts w:ascii="Times New Roman" w:hAnsi="Times New Roman"/>
          <w:sz w:val="24"/>
          <w:szCs w:val="24"/>
          <w:u w:val="single"/>
        </w:rPr>
        <w:t xml:space="preserve">Scott Preston v. Nationwide Insurance Company and Kentucky Association of Counties </w:t>
      </w:r>
      <w:proofErr w:type="gramStart"/>
      <w:r w:rsidRPr="00683497">
        <w:rPr>
          <w:rFonts w:ascii="Times New Roman" w:hAnsi="Times New Roman"/>
          <w:sz w:val="24"/>
          <w:szCs w:val="24"/>
          <w:u w:val="single"/>
        </w:rPr>
        <w:t>And</w:t>
      </w:r>
      <w:proofErr w:type="gramEnd"/>
      <w:r w:rsidRPr="00683497">
        <w:rPr>
          <w:rFonts w:ascii="Times New Roman" w:hAnsi="Times New Roman"/>
          <w:sz w:val="24"/>
          <w:szCs w:val="24"/>
          <w:u w:val="single"/>
        </w:rPr>
        <w:t xml:space="preserve"> All Lines Fund</w:t>
      </w:r>
      <w:r w:rsidRPr="00683497">
        <w:rPr>
          <w:rFonts w:ascii="Times New Roman" w:hAnsi="Times New Roman"/>
          <w:sz w:val="24"/>
          <w:szCs w:val="24"/>
        </w:rPr>
        <w:t xml:space="preserve">, the Court of Appeals of Kentucky held (3 to 0) that trial court improperly dismissed Preston’s lawsuit against KALF’s, which has a $60,000 policy limit for uninsured motorist claims.  While Preston is covered by worker’s comp, he may pursue claims not covered by worker’s comp. </w:t>
      </w:r>
    </w:p>
    <w:p w14:paraId="1A732791" w14:textId="77777777" w:rsidR="00683497" w:rsidRPr="00683497" w:rsidRDefault="00683497" w:rsidP="00683497">
      <w:pPr>
        <w:pStyle w:val="NoSpacing"/>
        <w:rPr>
          <w:rFonts w:ascii="Times New Roman" w:hAnsi="Times New Roman"/>
          <w:bCs/>
          <w:sz w:val="24"/>
          <w:szCs w:val="24"/>
        </w:rPr>
      </w:pPr>
    </w:p>
    <w:p w14:paraId="4EC19AE0" w14:textId="77777777" w:rsidR="00683497" w:rsidRPr="00683497" w:rsidRDefault="00683497" w:rsidP="00683497">
      <w:pPr>
        <w:pStyle w:val="NoSpacing"/>
        <w:rPr>
          <w:rFonts w:ascii="Times New Roman" w:hAnsi="Times New Roman"/>
          <w:bCs/>
          <w:sz w:val="24"/>
          <w:szCs w:val="24"/>
        </w:rPr>
      </w:pPr>
      <w:r w:rsidRPr="00683497">
        <w:rPr>
          <w:rFonts w:ascii="Times New Roman" w:hAnsi="Times New Roman"/>
          <w:sz w:val="24"/>
          <w:szCs w:val="24"/>
        </w:rPr>
        <w:t xml:space="preserve">The Court wrote: “However, any jury award for lost wages and permanent impairment not duplicated by the workers’ compensation award would be recoverable by Preston under KALF’s UIM policy, as would any award for pain and suffering, as it is not an item of damages covered by workers’ compensation.” </w:t>
      </w:r>
      <w:hyperlink r:id="rId1095" w:history="1">
        <w:r w:rsidRPr="00683497">
          <w:rPr>
            <w:rStyle w:val="Hyperlink"/>
            <w:rFonts w:ascii="Times New Roman" w:hAnsi="Times New Roman"/>
            <w:sz w:val="24"/>
            <w:szCs w:val="24"/>
          </w:rPr>
          <w:t>https://cases.justia.com/kentucky/court-of-appeals/2025-2024-ca-0152-mr.pdf?ts=1748009113</w:t>
        </w:r>
      </w:hyperlink>
      <w:r w:rsidRPr="00683497">
        <w:rPr>
          <w:rFonts w:ascii="Times New Roman" w:hAnsi="Times New Roman"/>
          <w:sz w:val="24"/>
          <w:szCs w:val="24"/>
        </w:rPr>
        <w:t xml:space="preserve"> </w:t>
      </w:r>
    </w:p>
    <w:p w14:paraId="125999A8" w14:textId="77777777" w:rsidR="00575946" w:rsidRDefault="00575946" w:rsidP="00575946">
      <w:pPr>
        <w:pStyle w:val="NoSpacing"/>
        <w:rPr>
          <w:rFonts w:ascii="Times New Roman" w:hAnsi="Times New Roman"/>
          <w:b/>
          <w:sz w:val="24"/>
          <w:szCs w:val="24"/>
        </w:rPr>
      </w:pPr>
    </w:p>
    <w:p w14:paraId="706F4653" w14:textId="198B5C1E" w:rsidR="00575946" w:rsidRDefault="00575946" w:rsidP="00575946">
      <w:pPr>
        <w:pStyle w:val="NoSpacing"/>
        <w:rPr>
          <w:rFonts w:ascii="Times New Roman" w:hAnsi="Times New Roman"/>
          <w:b/>
          <w:sz w:val="24"/>
          <w:szCs w:val="24"/>
        </w:rPr>
      </w:pPr>
      <w:r w:rsidRPr="00575946">
        <w:rPr>
          <w:rFonts w:ascii="Times New Roman" w:hAnsi="Times New Roman"/>
          <w:b/>
          <w:sz w:val="24"/>
          <w:szCs w:val="24"/>
        </w:rPr>
        <w:t xml:space="preserve">Legal Lesson Learned: The pension plan was </w:t>
      </w:r>
      <w:proofErr w:type="gramStart"/>
      <w:r w:rsidRPr="00575946">
        <w:rPr>
          <w:rFonts w:ascii="Times New Roman" w:hAnsi="Times New Roman"/>
          <w:b/>
          <w:sz w:val="24"/>
          <w:szCs w:val="24"/>
        </w:rPr>
        <w:t>clear,</w:t>
      </w:r>
      <w:proofErr w:type="gramEnd"/>
      <w:r w:rsidRPr="00575946">
        <w:rPr>
          <w:rFonts w:ascii="Times New Roman" w:hAnsi="Times New Roman"/>
          <w:b/>
          <w:sz w:val="24"/>
          <w:szCs w:val="24"/>
        </w:rPr>
        <w:t xml:space="preserve"> three physicians must certify total disability. </w:t>
      </w:r>
    </w:p>
    <w:p w14:paraId="53C57AC5" w14:textId="77777777" w:rsidR="006E00CC" w:rsidRDefault="006E00CC" w:rsidP="00575946">
      <w:pPr>
        <w:pStyle w:val="NoSpacing"/>
        <w:rPr>
          <w:rFonts w:ascii="Times New Roman" w:hAnsi="Times New Roman"/>
          <w:b/>
          <w:sz w:val="24"/>
          <w:szCs w:val="24"/>
        </w:rPr>
      </w:pPr>
    </w:p>
    <w:p w14:paraId="181DB2A7" w14:textId="77777777" w:rsidR="006E00CC" w:rsidRDefault="006E00CC" w:rsidP="00575946">
      <w:pPr>
        <w:pStyle w:val="NoSpacing"/>
        <w:rPr>
          <w:rFonts w:ascii="Times New Roman" w:hAnsi="Times New Roman"/>
          <w:b/>
          <w:sz w:val="24"/>
          <w:szCs w:val="24"/>
        </w:rPr>
      </w:pPr>
    </w:p>
    <w:p w14:paraId="3D4E37E5" w14:textId="77777777" w:rsidR="006E00CC" w:rsidRDefault="006E00CC" w:rsidP="00575946">
      <w:pPr>
        <w:pStyle w:val="NoSpacing"/>
        <w:rPr>
          <w:rFonts w:ascii="Times New Roman" w:hAnsi="Times New Roman"/>
          <w:b/>
          <w:sz w:val="24"/>
          <w:szCs w:val="24"/>
        </w:rPr>
      </w:pPr>
    </w:p>
    <w:p w14:paraId="27539B55" w14:textId="77777777" w:rsidR="00C74618" w:rsidRDefault="00C74618" w:rsidP="00575946">
      <w:pPr>
        <w:pStyle w:val="NoSpacing"/>
        <w:rPr>
          <w:rFonts w:ascii="Times New Roman" w:hAnsi="Times New Roman"/>
          <w:b/>
          <w:bCs/>
          <w:sz w:val="24"/>
          <w:szCs w:val="24"/>
        </w:rPr>
      </w:pPr>
    </w:p>
    <w:p w14:paraId="2907EC9C" w14:textId="2D39DC69" w:rsidR="0090461E" w:rsidRDefault="0090461E" w:rsidP="00411F2A">
      <w:pPr>
        <w:pStyle w:val="NoSpacing"/>
        <w:rPr>
          <w:rFonts w:ascii="Arial Black" w:hAnsi="Arial Black"/>
          <w:sz w:val="28"/>
          <w:szCs w:val="28"/>
        </w:rPr>
      </w:pPr>
      <w:r>
        <w:rPr>
          <w:rFonts w:ascii="Arial Black" w:hAnsi="Arial Black"/>
          <w:sz w:val="28"/>
          <w:szCs w:val="28"/>
        </w:rPr>
        <w:t>6-1</w:t>
      </w:r>
      <w:r w:rsidR="002A0697">
        <w:rPr>
          <w:rFonts w:ascii="Arial Black" w:hAnsi="Arial Black"/>
          <w:sz w:val="28"/>
          <w:szCs w:val="28"/>
        </w:rPr>
        <w:t>60</w:t>
      </w:r>
    </w:p>
    <w:p w14:paraId="78E758F6" w14:textId="77777777" w:rsidR="0090461E" w:rsidRDefault="0090461E" w:rsidP="00411F2A">
      <w:pPr>
        <w:pStyle w:val="NoSpacing"/>
        <w:rPr>
          <w:rFonts w:ascii="Arial Black" w:hAnsi="Arial Black"/>
          <w:sz w:val="28"/>
          <w:szCs w:val="28"/>
        </w:rPr>
      </w:pPr>
    </w:p>
    <w:p w14:paraId="7F7C32D9" w14:textId="300CDF82" w:rsidR="00411F2A" w:rsidRPr="006F2B87" w:rsidRDefault="00411F2A" w:rsidP="00411F2A">
      <w:pPr>
        <w:pStyle w:val="NoSpacing"/>
        <w:rPr>
          <w:rFonts w:ascii="Arial Black" w:hAnsi="Arial Black"/>
          <w:sz w:val="28"/>
          <w:szCs w:val="28"/>
        </w:rPr>
      </w:pPr>
      <w:r w:rsidRPr="006F2B87">
        <w:rPr>
          <w:rFonts w:ascii="Arial Black" w:hAnsi="Arial Black"/>
          <w:sz w:val="28"/>
          <w:szCs w:val="28"/>
        </w:rPr>
        <w:t>CT: DISAB. PENSION FOR HEARING LOSS DENIED – 3 MDs</w:t>
      </w:r>
    </w:p>
    <w:p w14:paraId="5AB7B27B" w14:textId="77777777" w:rsidR="00411F2A" w:rsidRPr="006F2B87" w:rsidRDefault="00411F2A" w:rsidP="00411F2A">
      <w:pPr>
        <w:pStyle w:val="NoSpacing"/>
      </w:pPr>
    </w:p>
    <w:p w14:paraId="5446F811" w14:textId="77777777" w:rsidR="00411F2A" w:rsidRPr="00411F2A" w:rsidRDefault="00411F2A" w:rsidP="00411F2A">
      <w:pPr>
        <w:pStyle w:val="NoSpacing"/>
        <w:rPr>
          <w:rFonts w:ascii="Times New Roman" w:hAnsi="Times New Roman"/>
          <w:bCs/>
          <w:sz w:val="24"/>
          <w:szCs w:val="24"/>
        </w:rPr>
      </w:pPr>
      <w:r w:rsidRPr="00411F2A">
        <w:rPr>
          <w:rFonts w:ascii="Times New Roman" w:hAnsi="Times New Roman"/>
          <w:sz w:val="24"/>
          <w:szCs w:val="24"/>
        </w:rPr>
        <w:t xml:space="preserve">On May 15, 2025, in </w:t>
      </w:r>
      <w:r w:rsidRPr="00411F2A">
        <w:rPr>
          <w:rFonts w:ascii="Times New Roman" w:hAnsi="Times New Roman"/>
          <w:sz w:val="24"/>
          <w:szCs w:val="24"/>
          <w:u w:val="single"/>
        </w:rPr>
        <w:t>Kenneth Lombardi v. Town of Westport</w:t>
      </w:r>
      <w:r w:rsidRPr="00411F2A">
        <w:rPr>
          <w:rFonts w:ascii="Times New Roman" w:hAnsi="Times New Roman"/>
          <w:sz w:val="24"/>
          <w:szCs w:val="24"/>
        </w:rPr>
        <w:t xml:space="preserve">, the Court of Appeals of Connecticut held (3 to 0) that the Pension Board properly denied the firefighter a disability pension; he retired June 1, </w:t>
      </w:r>
      <w:proofErr w:type="gramStart"/>
      <w:r w:rsidRPr="00411F2A">
        <w:rPr>
          <w:rFonts w:ascii="Times New Roman" w:hAnsi="Times New Roman"/>
          <w:sz w:val="24"/>
          <w:szCs w:val="24"/>
        </w:rPr>
        <w:t>2017</w:t>
      </w:r>
      <w:proofErr w:type="gramEnd"/>
      <w:r w:rsidRPr="00411F2A">
        <w:rPr>
          <w:rFonts w:ascii="Times New Roman" w:hAnsi="Times New Roman"/>
          <w:sz w:val="24"/>
          <w:szCs w:val="24"/>
        </w:rPr>
        <w:t xml:space="preserve"> and claimed an on-the-job ear injury in 2004 entitled him to disability pension.  The pension plan required three (3) physicians to certify total disability, and the third doctor found he could still perform 90% of his job.  </w:t>
      </w:r>
    </w:p>
    <w:p w14:paraId="41A786C8" w14:textId="77777777" w:rsidR="00411F2A" w:rsidRPr="00411F2A" w:rsidRDefault="00411F2A" w:rsidP="00411F2A">
      <w:pPr>
        <w:pStyle w:val="NoSpacing"/>
        <w:rPr>
          <w:rFonts w:ascii="Times New Roman" w:hAnsi="Times New Roman"/>
          <w:bCs/>
          <w:sz w:val="24"/>
          <w:szCs w:val="24"/>
        </w:rPr>
      </w:pPr>
    </w:p>
    <w:p w14:paraId="52EA81FE" w14:textId="77777777" w:rsidR="00411F2A" w:rsidRPr="00411F2A" w:rsidRDefault="00411F2A" w:rsidP="00411F2A">
      <w:pPr>
        <w:pStyle w:val="NoSpacing"/>
        <w:rPr>
          <w:rFonts w:ascii="Times New Roman" w:hAnsi="Times New Roman"/>
          <w:bCs/>
          <w:sz w:val="24"/>
          <w:szCs w:val="24"/>
        </w:rPr>
      </w:pPr>
      <w:r w:rsidRPr="00411F2A">
        <w:rPr>
          <w:rFonts w:ascii="Times New Roman" w:hAnsi="Times New Roman"/>
          <w:sz w:val="24"/>
          <w:szCs w:val="24"/>
        </w:rPr>
        <w:t xml:space="preserve">The Court wrote: “To aid in its determination of whether the plaintiff qualified for a disability retirement pension, the board accepted and considered medical evaluations from two physicians selected by the plaintiff, who opined that the plaintiff ‘’suffered from permanent hearing disabilities rendering him unfit for duty as a fire-fighter.’’ In addition, the board referred the plaintiff to Craig Hecht, a physician, for an independent examination. ‘’Hecht’s findings were consistent with the conclusions of [the other two physicians], except [for] Hecht’s conclusion that the plaintiff could perform ‘90 percent of his job responsibilities’ . . . . In </w:t>
      </w:r>
      <w:proofErr w:type="gramStart"/>
      <w:r w:rsidRPr="00411F2A">
        <w:rPr>
          <w:rFonts w:ascii="Times New Roman" w:hAnsi="Times New Roman"/>
          <w:sz w:val="24"/>
          <w:szCs w:val="24"/>
        </w:rPr>
        <w:t>December,</w:t>
      </w:r>
      <w:proofErr w:type="gramEnd"/>
      <w:r w:rsidRPr="00411F2A">
        <w:rPr>
          <w:rFonts w:ascii="Times New Roman" w:hAnsi="Times New Roman"/>
          <w:sz w:val="24"/>
          <w:szCs w:val="24"/>
        </w:rPr>
        <w:t xml:space="preserve"> 2017, the board denied the plaintiff’s request for a disability retirement pension. *** Accordingly, there exists no genuine issue of material fact that the plaintiff was not entitled to a disability retirement pension on the basis that he did not have certifications from at least three physicians.”  </w:t>
      </w:r>
      <w:hyperlink r:id="rId1096" w:history="1">
        <w:r w:rsidRPr="00411F2A">
          <w:rPr>
            <w:rStyle w:val="Hyperlink"/>
            <w:rFonts w:ascii="Times New Roman" w:hAnsi="Times New Roman"/>
            <w:sz w:val="24"/>
            <w:szCs w:val="24"/>
          </w:rPr>
          <w:t>https://www.jud.ct.gov/external/supapp/Cases/AROap/AP232/AP232.214.pdf</w:t>
        </w:r>
      </w:hyperlink>
      <w:r w:rsidRPr="00411F2A">
        <w:rPr>
          <w:rFonts w:ascii="Times New Roman" w:hAnsi="Times New Roman"/>
          <w:sz w:val="24"/>
          <w:szCs w:val="24"/>
        </w:rPr>
        <w:t xml:space="preserve"> </w:t>
      </w:r>
    </w:p>
    <w:p w14:paraId="5B8DF7FB" w14:textId="77777777" w:rsidR="00575946" w:rsidRPr="00411F2A" w:rsidRDefault="00575946" w:rsidP="00EF1133">
      <w:pPr>
        <w:rPr>
          <w:rFonts w:ascii="Times New Roman" w:hAnsi="Times New Roman"/>
          <w:b/>
          <w:sz w:val="24"/>
          <w:szCs w:val="24"/>
        </w:rPr>
      </w:pPr>
    </w:p>
    <w:p w14:paraId="2341891A" w14:textId="77777777" w:rsidR="0010642B" w:rsidRPr="006F2B87" w:rsidRDefault="0010642B" w:rsidP="0010642B">
      <w:pPr>
        <w:pStyle w:val="NoSpacing"/>
        <w:rPr>
          <w:b/>
          <w:bCs/>
        </w:rPr>
      </w:pPr>
      <w:r w:rsidRPr="0010642B">
        <w:rPr>
          <w:rFonts w:ascii="Times New Roman" w:hAnsi="Times New Roman"/>
          <w:b/>
          <w:sz w:val="24"/>
          <w:szCs w:val="24"/>
        </w:rPr>
        <w:t>Legal Lesson Learned: The pension plan was clear</w:t>
      </w:r>
      <w:r w:rsidRPr="0010642B">
        <w:rPr>
          <w:rFonts w:ascii="Times New Roman" w:hAnsi="Times New Roman"/>
          <w:b/>
          <w:bCs/>
          <w:sz w:val="24"/>
          <w:szCs w:val="24"/>
        </w:rPr>
        <w:t xml:space="preserve">; </w:t>
      </w:r>
      <w:r w:rsidRPr="0010642B">
        <w:rPr>
          <w:rFonts w:ascii="Times New Roman" w:hAnsi="Times New Roman"/>
          <w:b/>
          <w:sz w:val="24"/>
          <w:szCs w:val="24"/>
        </w:rPr>
        <w:t xml:space="preserve"> three physicians must certify total disability</w:t>
      </w:r>
      <w:r w:rsidRPr="006F2B87">
        <w:rPr>
          <w:b/>
        </w:rPr>
        <w:t xml:space="preserve">. </w:t>
      </w:r>
    </w:p>
    <w:p w14:paraId="2A04E333" w14:textId="77777777" w:rsidR="00744788" w:rsidRDefault="00744788" w:rsidP="00EF1133">
      <w:pPr>
        <w:rPr>
          <w:rFonts w:ascii="Arial Black" w:hAnsi="Arial Black"/>
          <w:b/>
          <w:sz w:val="24"/>
          <w:szCs w:val="24"/>
        </w:rPr>
      </w:pPr>
    </w:p>
    <w:p w14:paraId="29CA7718" w14:textId="302C12D0" w:rsidR="00F0728A" w:rsidRDefault="0090461E" w:rsidP="00EF1133">
      <w:pPr>
        <w:rPr>
          <w:rFonts w:ascii="Arial Black" w:hAnsi="Arial Black"/>
          <w:b/>
          <w:sz w:val="24"/>
          <w:szCs w:val="24"/>
        </w:rPr>
      </w:pPr>
      <w:r>
        <w:rPr>
          <w:rFonts w:ascii="Arial Black" w:hAnsi="Arial Black"/>
          <w:b/>
          <w:sz w:val="24"/>
          <w:szCs w:val="24"/>
        </w:rPr>
        <w:t>6-15</w:t>
      </w:r>
      <w:r w:rsidR="002A0697">
        <w:rPr>
          <w:rFonts w:ascii="Arial Black" w:hAnsi="Arial Black"/>
          <w:b/>
          <w:sz w:val="24"/>
          <w:szCs w:val="24"/>
        </w:rPr>
        <w:t>9</w:t>
      </w:r>
    </w:p>
    <w:p w14:paraId="36166260" w14:textId="77777777" w:rsidR="00F0728A" w:rsidRPr="006F2B87" w:rsidRDefault="00F0728A" w:rsidP="00F0728A">
      <w:pPr>
        <w:pStyle w:val="NoSpacing"/>
        <w:rPr>
          <w:rFonts w:ascii="Arial Black" w:hAnsi="Arial Black"/>
          <w:bCs/>
          <w:sz w:val="28"/>
          <w:szCs w:val="28"/>
        </w:rPr>
      </w:pPr>
      <w:r w:rsidRPr="006F2B87">
        <w:rPr>
          <w:rFonts w:ascii="Arial Black" w:hAnsi="Arial Black"/>
          <w:sz w:val="28"/>
          <w:szCs w:val="28"/>
        </w:rPr>
        <w:t xml:space="preserve">LA:  CAPT DIED FLU / MRSA – </w:t>
      </w:r>
      <w:r>
        <w:rPr>
          <w:rFonts w:ascii="Arial Black" w:hAnsi="Arial Black"/>
          <w:sz w:val="28"/>
          <w:szCs w:val="28"/>
        </w:rPr>
        <w:t xml:space="preserve">STATUTORY PRESUMPTION </w:t>
      </w:r>
    </w:p>
    <w:p w14:paraId="13C8DF69" w14:textId="77777777" w:rsidR="00F0728A" w:rsidRDefault="00F0728A" w:rsidP="00F0728A">
      <w:pPr>
        <w:pStyle w:val="NoSpacing"/>
      </w:pPr>
    </w:p>
    <w:p w14:paraId="2776D5F0" w14:textId="77777777" w:rsidR="00693E53" w:rsidRDefault="00F0728A" w:rsidP="00693E53">
      <w:pPr>
        <w:rPr>
          <w:rFonts w:ascii="Times New Roman" w:hAnsi="Times New Roman"/>
          <w:sz w:val="24"/>
          <w:szCs w:val="24"/>
        </w:rPr>
      </w:pPr>
      <w:r w:rsidRPr="00F0728A">
        <w:rPr>
          <w:rFonts w:ascii="Times New Roman" w:hAnsi="Times New Roman"/>
          <w:sz w:val="24"/>
          <w:szCs w:val="24"/>
        </w:rPr>
        <w:t xml:space="preserve">On May 6, 2025, in </w:t>
      </w:r>
      <w:r w:rsidRPr="00F0728A">
        <w:rPr>
          <w:rFonts w:ascii="Times New Roman" w:hAnsi="Times New Roman"/>
          <w:sz w:val="24"/>
          <w:szCs w:val="24"/>
          <w:u w:val="single"/>
        </w:rPr>
        <w:t>Roy D. Magee (deceased) / Wallace Magee and Clara Caston Filey v. City of New Orlean Fire Department</w:t>
      </w:r>
      <w:r w:rsidRPr="00F0728A">
        <w:rPr>
          <w:rFonts w:ascii="Times New Roman" w:hAnsi="Times New Roman"/>
          <w:sz w:val="24"/>
          <w:szCs w:val="24"/>
        </w:rPr>
        <w:t xml:space="preserve">, the Court of Appeals of Louisiana, Fourth Circuit held (3 to 0) that the Office of Workers’ Compensation properly found that the firefighter, who died from influenza A and MRSA pneumonia (methicillin-resistant staphylococcus aureus), was covered by the Firefighter's Heart and Lung Act, and his father and mother each can receive $75,000, and medical and funeral expenses (but not attorney fees).   </w:t>
      </w:r>
      <w:hyperlink r:id="rId1097" w:history="1">
        <w:r w:rsidR="00693E53" w:rsidRPr="00F0728A">
          <w:rPr>
            <w:rStyle w:val="Hyperlink"/>
            <w:rFonts w:ascii="Times New Roman" w:hAnsi="Times New Roman"/>
            <w:sz w:val="24"/>
            <w:szCs w:val="24"/>
          </w:rPr>
          <w:t>https://cases.justia.com/louisiana/fourth-circuit-court-of-appeal/2025-2024-ca-0747.pdf?ts=1746576943</w:t>
        </w:r>
      </w:hyperlink>
    </w:p>
    <w:p w14:paraId="1C2F6D27" w14:textId="14FA2FDB" w:rsidR="00F0728A" w:rsidRPr="00F0728A" w:rsidRDefault="00F0728A" w:rsidP="00F0728A">
      <w:pPr>
        <w:pStyle w:val="NoSpacing"/>
        <w:rPr>
          <w:rFonts w:ascii="Times New Roman" w:hAnsi="Times New Roman"/>
          <w:bCs/>
          <w:sz w:val="24"/>
          <w:szCs w:val="24"/>
        </w:rPr>
      </w:pPr>
    </w:p>
    <w:p w14:paraId="627B38DF" w14:textId="77777777" w:rsidR="00F0728A" w:rsidRPr="00F0728A" w:rsidRDefault="00F0728A" w:rsidP="00F0728A">
      <w:pPr>
        <w:pStyle w:val="NoSpacing"/>
        <w:rPr>
          <w:rFonts w:ascii="Times New Roman" w:hAnsi="Times New Roman"/>
          <w:bCs/>
          <w:sz w:val="24"/>
          <w:szCs w:val="24"/>
        </w:rPr>
      </w:pPr>
    </w:p>
    <w:p w14:paraId="5A70B167" w14:textId="2C41BCB2" w:rsidR="00F0728A" w:rsidRDefault="00F0728A" w:rsidP="00F0728A">
      <w:pPr>
        <w:rPr>
          <w:rFonts w:ascii="Times New Roman" w:hAnsi="Times New Roman"/>
          <w:sz w:val="24"/>
          <w:szCs w:val="24"/>
        </w:rPr>
      </w:pPr>
      <w:r w:rsidRPr="00F0728A">
        <w:rPr>
          <w:rFonts w:ascii="Times New Roman" w:hAnsi="Times New Roman"/>
          <w:sz w:val="24"/>
          <w:szCs w:val="24"/>
        </w:rPr>
        <w:t xml:space="preserve">The Court wrote:  “In October 2014, Captain Troy Magee (‘Captain Magee’), who had been employed as a Hazmat firefighter with the NOFD for 13 years, was in New Mexico attending a week-long firefighter training course. On the final day of training, he became extremely ill and had to be transported by ambulance to the hospital. His medical condition worsened and required a helicopter transfer to another hospital's intensive care unit. Captain Magee was diagnosed with acute respiratory distress and multifocal pneumonia. He remained in intensive care for four days and later died on October 27, 2014. Dr. Keith Hutchinson (‘Dr. Hutchinson’), the critical care physician who treated Captain Magee, was present when he died and completed the discharge summary. Dr. Hutchinson listed the cause of death as ‘acute respiratory distress syndrome, secondary to influenza A, and H3/MRSA pneumonia.’ ***  The Firefighter's Heart and Lung Act ("Act"), set forth in La. R.S. 33:2581, states: "Any disease or infirmity of the heart and lungs which develops during a period of employment in the classified fire service of Louisiana shall be classified as a disease or infirmity connected with employment.”  </w:t>
      </w:r>
      <w:hyperlink r:id="rId1098" w:history="1">
        <w:r w:rsidRPr="00F0728A">
          <w:rPr>
            <w:rStyle w:val="Hyperlink"/>
            <w:rFonts w:ascii="Times New Roman" w:hAnsi="Times New Roman"/>
            <w:sz w:val="24"/>
            <w:szCs w:val="24"/>
          </w:rPr>
          <w:t>https://cases.justia.com/louisiana/fourth-circuit-court-of-appeal/2025-2024-ca-0747.pdf?ts=1746576943</w:t>
        </w:r>
      </w:hyperlink>
    </w:p>
    <w:p w14:paraId="5085F9DC" w14:textId="77777777" w:rsidR="00A0378C" w:rsidRPr="00A0378C" w:rsidRDefault="00A0378C" w:rsidP="00A0378C">
      <w:pPr>
        <w:pStyle w:val="NoSpacing"/>
        <w:rPr>
          <w:rFonts w:ascii="Times New Roman" w:hAnsi="Times New Roman"/>
          <w:b/>
          <w:bCs/>
          <w:sz w:val="24"/>
          <w:szCs w:val="24"/>
        </w:rPr>
      </w:pPr>
      <w:r w:rsidRPr="00A0378C">
        <w:rPr>
          <w:rFonts w:ascii="Times New Roman" w:hAnsi="Times New Roman"/>
          <w:b/>
          <w:sz w:val="24"/>
          <w:szCs w:val="24"/>
        </w:rPr>
        <w:t xml:space="preserve">Legal Lesson Learned: The statutory presumption in the Firefighter's Heart and Lung Act is very broad. </w:t>
      </w:r>
    </w:p>
    <w:p w14:paraId="3ECF5154" w14:textId="77777777" w:rsidR="00A0378C" w:rsidRPr="00A0378C" w:rsidRDefault="00A0378C" w:rsidP="00A0378C">
      <w:pPr>
        <w:pStyle w:val="NoSpacing"/>
        <w:rPr>
          <w:rFonts w:ascii="Times New Roman" w:hAnsi="Times New Roman"/>
          <w:b/>
          <w:bCs/>
          <w:sz w:val="24"/>
          <w:szCs w:val="24"/>
        </w:rPr>
      </w:pPr>
    </w:p>
    <w:p w14:paraId="57EA3F29" w14:textId="77777777" w:rsidR="00A0378C" w:rsidRDefault="00A0378C" w:rsidP="00F0728A">
      <w:pPr>
        <w:rPr>
          <w:rFonts w:ascii="Times New Roman" w:hAnsi="Times New Roman"/>
          <w:b/>
          <w:sz w:val="24"/>
          <w:szCs w:val="24"/>
        </w:rPr>
      </w:pPr>
    </w:p>
    <w:p w14:paraId="7B5156A7" w14:textId="77777777" w:rsidR="002F63E3" w:rsidRDefault="002F63E3" w:rsidP="00F0728A">
      <w:pPr>
        <w:rPr>
          <w:rFonts w:ascii="Times New Roman" w:hAnsi="Times New Roman"/>
          <w:b/>
          <w:sz w:val="24"/>
          <w:szCs w:val="24"/>
        </w:rPr>
      </w:pPr>
    </w:p>
    <w:p w14:paraId="6E9A77C3" w14:textId="77777777" w:rsidR="00744788" w:rsidRDefault="00744788" w:rsidP="00EF1133">
      <w:pPr>
        <w:rPr>
          <w:rFonts w:ascii="Arial Black" w:hAnsi="Arial Black"/>
          <w:b/>
          <w:sz w:val="24"/>
          <w:szCs w:val="24"/>
        </w:rPr>
      </w:pPr>
    </w:p>
    <w:p w14:paraId="70951456" w14:textId="5DC5491B" w:rsidR="00CB79E4" w:rsidRDefault="00CB79E4" w:rsidP="00EF1133">
      <w:pPr>
        <w:rPr>
          <w:rFonts w:ascii="Arial Black" w:hAnsi="Arial Black"/>
          <w:b/>
          <w:sz w:val="24"/>
          <w:szCs w:val="24"/>
        </w:rPr>
      </w:pPr>
      <w:r>
        <w:rPr>
          <w:rFonts w:ascii="Arial Black" w:hAnsi="Arial Black"/>
          <w:b/>
          <w:sz w:val="24"/>
          <w:szCs w:val="24"/>
        </w:rPr>
        <w:t>6-15</w:t>
      </w:r>
      <w:r w:rsidR="002A0697">
        <w:rPr>
          <w:rFonts w:ascii="Arial Black" w:hAnsi="Arial Black"/>
          <w:b/>
          <w:sz w:val="24"/>
          <w:szCs w:val="24"/>
        </w:rPr>
        <w:t>8</w:t>
      </w:r>
    </w:p>
    <w:p w14:paraId="20264B8A" w14:textId="77777777" w:rsidR="00981C5A" w:rsidRPr="009041B2" w:rsidRDefault="00981C5A" w:rsidP="00981C5A">
      <w:pPr>
        <w:pStyle w:val="NoSpacing"/>
        <w:rPr>
          <w:rFonts w:ascii="Arial Black" w:hAnsi="Arial Black"/>
          <w:sz w:val="28"/>
          <w:szCs w:val="28"/>
        </w:rPr>
      </w:pPr>
      <w:r>
        <w:rPr>
          <w:rFonts w:ascii="Arial Black" w:hAnsi="Arial Black"/>
          <w:sz w:val="28"/>
          <w:szCs w:val="28"/>
        </w:rPr>
        <w:t>WV: FF KNEE – 40 LBS SUPPLIES UP STAIRS – WORK COMP</w:t>
      </w:r>
    </w:p>
    <w:p w14:paraId="782CAB52" w14:textId="77777777" w:rsidR="00981C5A" w:rsidRDefault="00981C5A" w:rsidP="00981C5A">
      <w:pPr>
        <w:pStyle w:val="NoSpacing"/>
      </w:pPr>
    </w:p>
    <w:p w14:paraId="64B55FD9" w14:textId="77777777" w:rsidR="00981C5A" w:rsidRPr="00981C5A" w:rsidRDefault="00981C5A" w:rsidP="00981C5A">
      <w:pPr>
        <w:rPr>
          <w:rFonts w:ascii="Times New Roman" w:hAnsi="Times New Roman"/>
          <w:sz w:val="24"/>
          <w:szCs w:val="24"/>
        </w:rPr>
      </w:pPr>
      <w:r w:rsidRPr="00981C5A">
        <w:rPr>
          <w:rFonts w:ascii="Times New Roman" w:hAnsi="Times New Roman"/>
          <w:sz w:val="24"/>
          <w:szCs w:val="24"/>
        </w:rPr>
        <w:t xml:space="preserve">On April 29, 2025, in </w:t>
      </w:r>
      <w:r w:rsidRPr="00981C5A">
        <w:rPr>
          <w:rFonts w:ascii="Times New Roman" w:hAnsi="Times New Roman"/>
          <w:sz w:val="24"/>
          <w:szCs w:val="24"/>
          <w:u w:val="single"/>
        </w:rPr>
        <w:t>City of Wheeling v. Cody Melsop</w:t>
      </w:r>
      <w:r w:rsidRPr="00981C5A">
        <w:rPr>
          <w:rFonts w:ascii="Times New Roman" w:hAnsi="Times New Roman"/>
          <w:sz w:val="24"/>
          <w:szCs w:val="24"/>
        </w:rPr>
        <w:t xml:space="preserve">, the West Virginia Intermediate Court of Appeals held (3 to 0) that the Workers Comp Board properly reversed the claim administrator; the injury was work related since he was carrying a tote with 40 pounds of supplies up 17 steps at the fire station when he felt pain in his right knee.  While an MRI revealed significant cartilage loss, the injury occurred on duty.  </w:t>
      </w:r>
      <w:hyperlink r:id="rId1099" w:history="1">
        <w:r w:rsidRPr="00981C5A">
          <w:rPr>
            <w:rStyle w:val="Hyperlink"/>
            <w:rFonts w:ascii="Times New Roman" w:hAnsi="Times New Roman"/>
            <w:sz w:val="24"/>
            <w:szCs w:val="24"/>
          </w:rPr>
          <w:t>https://cases.justia.com/west-virginia/intermediate-court-of-appeals/2025-24-ica-379.pdf?ts=1745964757</w:t>
        </w:r>
      </w:hyperlink>
      <w:r w:rsidRPr="00981C5A">
        <w:rPr>
          <w:rFonts w:ascii="Times New Roman" w:hAnsi="Times New Roman"/>
          <w:sz w:val="24"/>
          <w:szCs w:val="24"/>
        </w:rPr>
        <w:t xml:space="preserve"> </w:t>
      </w:r>
    </w:p>
    <w:p w14:paraId="77DF5FE8" w14:textId="77777777" w:rsidR="0062764C" w:rsidRPr="0062764C" w:rsidRDefault="0062764C" w:rsidP="0062764C">
      <w:pPr>
        <w:pStyle w:val="NoSpacing"/>
        <w:rPr>
          <w:rFonts w:ascii="Times New Roman" w:hAnsi="Times New Roman"/>
          <w:b/>
          <w:bCs/>
          <w:sz w:val="24"/>
          <w:szCs w:val="24"/>
        </w:rPr>
      </w:pPr>
      <w:r w:rsidRPr="0062764C">
        <w:rPr>
          <w:rFonts w:ascii="Times New Roman" w:hAnsi="Times New Roman"/>
          <w:b/>
          <w:sz w:val="24"/>
          <w:szCs w:val="24"/>
        </w:rPr>
        <w:t>Legal Lesson Learned: The firefighter was injured performing fire station duties.</w:t>
      </w:r>
    </w:p>
    <w:p w14:paraId="2AB2FF4B" w14:textId="77777777" w:rsidR="00CB79E4" w:rsidRPr="0062764C" w:rsidRDefault="00CB79E4" w:rsidP="00EF1133">
      <w:pPr>
        <w:rPr>
          <w:rFonts w:ascii="Times New Roman" w:hAnsi="Times New Roman"/>
          <w:b/>
          <w:sz w:val="24"/>
          <w:szCs w:val="24"/>
        </w:rPr>
      </w:pPr>
    </w:p>
    <w:p w14:paraId="4913FBA1" w14:textId="77777777" w:rsidR="002A0697" w:rsidRDefault="002A0697" w:rsidP="00EF1133">
      <w:pPr>
        <w:rPr>
          <w:rFonts w:ascii="Arial Black" w:hAnsi="Arial Black"/>
          <w:b/>
          <w:sz w:val="24"/>
          <w:szCs w:val="24"/>
        </w:rPr>
      </w:pPr>
    </w:p>
    <w:p w14:paraId="2C6F8D82" w14:textId="3119E286" w:rsidR="00CB79E4" w:rsidRDefault="002A0697" w:rsidP="00EF1133">
      <w:pPr>
        <w:rPr>
          <w:rFonts w:ascii="Arial Black" w:hAnsi="Arial Black"/>
          <w:b/>
          <w:sz w:val="24"/>
          <w:szCs w:val="24"/>
        </w:rPr>
      </w:pPr>
      <w:r>
        <w:rPr>
          <w:rFonts w:ascii="Arial Black" w:hAnsi="Arial Black"/>
          <w:b/>
          <w:sz w:val="24"/>
          <w:szCs w:val="24"/>
        </w:rPr>
        <w:t>6-157</w:t>
      </w:r>
    </w:p>
    <w:p w14:paraId="64E28150" w14:textId="77777777" w:rsidR="0090461E" w:rsidRPr="006F2B87" w:rsidRDefault="0090461E" w:rsidP="0090461E">
      <w:pPr>
        <w:pStyle w:val="NoSpacing"/>
        <w:rPr>
          <w:rFonts w:ascii="Arial Black" w:hAnsi="Arial Black"/>
          <w:b/>
          <w:bCs/>
          <w:sz w:val="28"/>
          <w:szCs w:val="28"/>
        </w:rPr>
      </w:pPr>
      <w:r w:rsidRPr="006F2B87">
        <w:rPr>
          <w:rFonts w:ascii="Arial Black" w:hAnsi="Arial Black"/>
          <w:b/>
          <w:sz w:val="28"/>
          <w:szCs w:val="28"/>
        </w:rPr>
        <w:t xml:space="preserve">NY: GROUND ZERO – FF’s </w:t>
      </w:r>
      <w:r>
        <w:rPr>
          <w:rFonts w:ascii="Arial Black" w:hAnsi="Arial Black"/>
          <w:b/>
          <w:sz w:val="28"/>
          <w:szCs w:val="28"/>
        </w:rPr>
        <w:t xml:space="preserve">LUNGS - </w:t>
      </w:r>
      <w:r w:rsidRPr="006F2B87">
        <w:rPr>
          <w:rFonts w:ascii="Arial Black" w:hAnsi="Arial Black"/>
          <w:b/>
          <w:sz w:val="28"/>
          <w:szCs w:val="28"/>
        </w:rPr>
        <w:t xml:space="preserve">WIFE GET </w:t>
      </w:r>
      <w:r>
        <w:rPr>
          <w:rFonts w:ascii="Arial Black" w:hAnsi="Arial Black"/>
          <w:b/>
          <w:sz w:val="28"/>
          <w:szCs w:val="28"/>
        </w:rPr>
        <w:t xml:space="preserve">WTC </w:t>
      </w:r>
      <w:r w:rsidRPr="006F2B87">
        <w:rPr>
          <w:rFonts w:ascii="Arial Black" w:hAnsi="Arial Black"/>
          <w:b/>
          <w:sz w:val="28"/>
          <w:szCs w:val="28"/>
        </w:rPr>
        <w:t xml:space="preserve">BENEFITS </w:t>
      </w:r>
    </w:p>
    <w:p w14:paraId="6087B686" w14:textId="77777777" w:rsidR="0090461E" w:rsidRDefault="0090461E" w:rsidP="0090461E">
      <w:pPr>
        <w:pStyle w:val="NoSpacing"/>
        <w:rPr>
          <w:bCs/>
        </w:rPr>
      </w:pPr>
    </w:p>
    <w:p w14:paraId="51721210" w14:textId="77777777" w:rsidR="0090461E" w:rsidRPr="002F63E3" w:rsidRDefault="0090461E" w:rsidP="0090461E">
      <w:pPr>
        <w:pStyle w:val="NoSpacing"/>
        <w:rPr>
          <w:rFonts w:ascii="Times New Roman" w:hAnsi="Times New Roman"/>
          <w:bCs/>
          <w:sz w:val="24"/>
          <w:szCs w:val="24"/>
        </w:rPr>
      </w:pPr>
      <w:r w:rsidRPr="002F63E3">
        <w:rPr>
          <w:rFonts w:ascii="Times New Roman" w:hAnsi="Times New Roman"/>
          <w:sz w:val="24"/>
          <w:szCs w:val="24"/>
        </w:rPr>
        <w:t xml:space="preserve">On April 11, 2025, </w:t>
      </w:r>
      <w:r w:rsidRPr="002F63E3">
        <w:rPr>
          <w:rFonts w:ascii="Times New Roman" w:hAnsi="Times New Roman"/>
          <w:sz w:val="24"/>
          <w:szCs w:val="24"/>
          <w:u w:val="single"/>
        </w:rPr>
        <w:t>In the matter of the Application of Susan Michlik-Klipp v. Board of Trustees of the Fire Department of the City of New York</w:t>
      </w:r>
      <w:r w:rsidRPr="002F63E3">
        <w:rPr>
          <w:rFonts w:ascii="Times New Roman" w:hAnsi="Times New Roman"/>
          <w:sz w:val="24"/>
          <w:szCs w:val="24"/>
        </w:rPr>
        <w:t xml:space="preserve">, the Supreme Court, New York County, New York, Judge Leslie A. Stroth, reversed the Board, holding the denial of World Trade Center death benefits to widow of FDNY firefighter Kenneth Klipp was “arbitrary and capricious.”  He joined the FDNY in 1985 and retired in 2016; he died on November 3, 2020. </w:t>
      </w:r>
    </w:p>
    <w:p w14:paraId="202BD26C" w14:textId="77777777" w:rsidR="0090461E" w:rsidRPr="002F63E3" w:rsidRDefault="0090461E" w:rsidP="0090461E">
      <w:pPr>
        <w:pStyle w:val="NoSpacing"/>
        <w:rPr>
          <w:rFonts w:ascii="Times New Roman" w:hAnsi="Times New Roman"/>
          <w:bCs/>
          <w:sz w:val="24"/>
          <w:szCs w:val="24"/>
        </w:rPr>
      </w:pPr>
    </w:p>
    <w:p w14:paraId="4C342E35" w14:textId="77777777" w:rsidR="0090461E" w:rsidRPr="002F63E3" w:rsidRDefault="0090461E" w:rsidP="0090461E">
      <w:pPr>
        <w:pStyle w:val="NoSpacing"/>
        <w:rPr>
          <w:rFonts w:ascii="Times New Roman" w:hAnsi="Times New Roman"/>
          <w:b/>
          <w:bCs/>
          <w:sz w:val="24"/>
          <w:szCs w:val="24"/>
        </w:rPr>
      </w:pPr>
      <w:r w:rsidRPr="002F63E3">
        <w:rPr>
          <w:rFonts w:ascii="Times New Roman" w:hAnsi="Times New Roman"/>
          <w:sz w:val="24"/>
          <w:szCs w:val="24"/>
        </w:rPr>
        <w:t xml:space="preserve">The Court wrote: “During his employment of over 30 years with FDNY, firefighter Klipp responded to the World Trade Center site after the terrorist attack on September 11, </w:t>
      </w:r>
      <w:proofErr w:type="gramStart"/>
      <w:r w:rsidRPr="002F63E3">
        <w:rPr>
          <w:rFonts w:ascii="Times New Roman" w:hAnsi="Times New Roman"/>
          <w:sz w:val="24"/>
          <w:szCs w:val="24"/>
        </w:rPr>
        <w:t>2001</w:t>
      </w:r>
      <w:proofErr w:type="gramEnd"/>
      <w:r w:rsidRPr="002F63E3">
        <w:rPr>
          <w:rFonts w:ascii="Times New Roman" w:hAnsi="Times New Roman"/>
          <w:sz w:val="24"/>
          <w:szCs w:val="24"/>
        </w:rPr>
        <w:t xml:space="preserve"> and ‘spent sufficient time . . . to qualify for WTC retirement benefits under the New York City Administrative Code and the New York State Retirement and Social Security Law.’ *** In support of her application, petitioner submitted, among other things, firefighter Klipp's medical records and two reports from board certified cardiologist Dr. Bruce Charash, F.A.C.C.</w:t>
      </w:r>
      <w:hyperlink r:id="rId1100" w:anchor="footnote_2" w:history="1">
        <w:r w:rsidRPr="002F63E3">
          <w:rPr>
            <w:rStyle w:val="Hyperlink"/>
            <w:rFonts w:ascii="Times New Roman" w:hAnsi="Times New Roman"/>
            <w:sz w:val="24"/>
            <w:szCs w:val="24"/>
            <w:vertAlign w:val="superscript"/>
          </w:rPr>
          <w:t>2</w:t>
        </w:r>
      </w:hyperlink>
      <w:r w:rsidRPr="002F63E3">
        <w:rPr>
          <w:rFonts w:ascii="Times New Roman" w:hAnsi="Times New Roman"/>
          <w:sz w:val="24"/>
          <w:szCs w:val="24"/>
        </w:rPr>
        <w:t xml:space="preserve">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dated February 17, </w:t>
      </w:r>
      <w:proofErr w:type="gramStart"/>
      <w:r w:rsidRPr="002F63E3">
        <w:rPr>
          <w:rFonts w:ascii="Times New Roman" w:hAnsi="Times New Roman"/>
          <w:sz w:val="24"/>
          <w:szCs w:val="24"/>
        </w:rPr>
        <w:t>2022</w:t>
      </w:r>
      <w:proofErr w:type="gramEnd"/>
      <w:r w:rsidRPr="002F63E3">
        <w:rPr>
          <w:rFonts w:ascii="Times New Roman" w:hAnsi="Times New Roman"/>
          <w:sz w:val="24"/>
          <w:szCs w:val="24"/>
        </w:rPr>
        <w:t xml:space="preserve"> and October 7, 2022….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reviewed firefighter Klipp's medical records and opined that his death was a ‘direct consequence of his exposure to inhaled particles due to his work at Ground Zero after 9/11’….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emphasized that firefighter Klipp ‘should have had a normal pulmonary performance’ with his normal cardiac status and an absence of obstructive lung disease ….Yet,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opined that firefighter Klipp had a ‘catastrophic lung collapse’ in 2020, and his exposure to inhaled toxins while working at Ground Zero after 9/11 resulted in ‘a degradation of his lungs and a damage to the local architecture of his lungs’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opined that exposure to inhaled toxins thus damaged firefighter Klipp's lungs on the ‘tissue level; creating a local state of immune compromise’ that lead to his death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further emphasized that firefighter Klipp's CT scan from October 18, </w:t>
      </w:r>
      <w:proofErr w:type="gramStart"/>
      <w:r w:rsidRPr="002F63E3">
        <w:rPr>
          <w:rFonts w:ascii="Times New Roman" w:hAnsi="Times New Roman"/>
          <w:sz w:val="24"/>
          <w:szCs w:val="24"/>
        </w:rPr>
        <w:t>2020</w:t>
      </w:r>
      <w:proofErr w:type="gramEnd"/>
      <w:r w:rsidRPr="002F63E3">
        <w:rPr>
          <w:rFonts w:ascii="Times New Roman" w:hAnsi="Times New Roman"/>
          <w:sz w:val="24"/>
          <w:szCs w:val="24"/>
        </w:rPr>
        <w:t xml:space="preserve"> showed that firefighter Klipp had ‘pneumoconiosis caused by inorganic dust,’ which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described as damage to the tissue and a ‘disruption of the local lung tissue architecture,’ associated with the lung's inability to fight infections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concluded that firefighter Klipp demonstrated ‘a significant failure of his lungs" to fight infections as demonstrated by his </w:t>
      </w:r>
      <w:proofErr w:type="spellStart"/>
      <w:r w:rsidRPr="002F63E3">
        <w:rPr>
          <w:rFonts w:ascii="Times New Roman" w:hAnsi="Times New Roman"/>
          <w:sz w:val="24"/>
          <w:szCs w:val="24"/>
        </w:rPr>
        <w:t>extubation</w:t>
      </w:r>
      <w:proofErr w:type="spellEnd"/>
      <w:r w:rsidRPr="002F63E3">
        <w:rPr>
          <w:rFonts w:ascii="Times New Roman" w:hAnsi="Times New Roman"/>
          <w:sz w:val="24"/>
          <w:szCs w:val="24"/>
        </w:rPr>
        <w:t xml:space="preserve"> on “9/25/19" and re-intubation on "9/27/19"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determined that firefighter Klipp died due to his damaged lungs and their inability to fight infections.’  *** To the contrary, the medical board's speculative conclusion that firefighter Klipp died ‘as a consequence of a cerebral vascular accident, in the face of defined hypertension and hypertensive heart disease, with multiple systemic complications"’(NYSCEF Doc No. 49, p. 4) is not supported by firefighter Klipp's medical records.”  </w:t>
      </w:r>
      <w:hyperlink r:id="rId1101" w:history="1">
        <w:r w:rsidRPr="002F63E3">
          <w:rPr>
            <w:rStyle w:val="Hyperlink"/>
            <w:rFonts w:ascii="Times New Roman" w:hAnsi="Times New Roman"/>
            <w:sz w:val="24"/>
            <w:szCs w:val="24"/>
          </w:rPr>
          <w:t>https://caselaw.findlaw.com/court/ny-supreme-court/117196656.html</w:t>
        </w:r>
      </w:hyperlink>
      <w:r w:rsidRPr="002F63E3">
        <w:rPr>
          <w:rFonts w:ascii="Times New Roman" w:hAnsi="Times New Roman"/>
          <w:sz w:val="24"/>
          <w:szCs w:val="24"/>
        </w:rPr>
        <w:t xml:space="preserve"> </w:t>
      </w:r>
    </w:p>
    <w:p w14:paraId="08DD9135" w14:textId="77777777" w:rsidR="0090461E" w:rsidRPr="002F63E3" w:rsidRDefault="0090461E" w:rsidP="0090461E">
      <w:pPr>
        <w:pStyle w:val="NoSpacing"/>
        <w:rPr>
          <w:rFonts w:ascii="Times New Roman" w:hAnsi="Times New Roman"/>
          <w:bCs/>
          <w:sz w:val="24"/>
          <w:szCs w:val="24"/>
        </w:rPr>
      </w:pPr>
    </w:p>
    <w:p w14:paraId="37184B96" w14:textId="77777777" w:rsidR="0090461E" w:rsidRPr="0090461E" w:rsidRDefault="0090461E" w:rsidP="0090461E">
      <w:pPr>
        <w:pStyle w:val="NoSpacing"/>
        <w:rPr>
          <w:rFonts w:ascii="Times New Roman" w:hAnsi="Times New Roman"/>
          <w:b/>
          <w:bCs/>
          <w:sz w:val="24"/>
          <w:szCs w:val="24"/>
        </w:rPr>
      </w:pPr>
      <w:r w:rsidRPr="0090461E">
        <w:rPr>
          <w:rFonts w:ascii="Times New Roman" w:hAnsi="Times New Roman"/>
          <w:b/>
          <w:sz w:val="24"/>
          <w:szCs w:val="24"/>
        </w:rPr>
        <w:t xml:space="preserve">Legal Lesson Learned: The NY Administrative Code creates a presumption that the retiree's death was </w:t>
      </w:r>
      <w:r w:rsidRPr="0090461E">
        <w:rPr>
          <w:rFonts w:ascii="Times New Roman" w:hAnsi="Times New Roman"/>
          <w:b/>
          <w:bCs/>
          <w:sz w:val="24"/>
          <w:szCs w:val="24"/>
        </w:rPr>
        <w:t>“</w:t>
      </w:r>
      <w:r w:rsidRPr="0090461E">
        <w:rPr>
          <w:rFonts w:ascii="Times New Roman" w:hAnsi="Times New Roman"/>
          <w:b/>
          <w:sz w:val="24"/>
          <w:szCs w:val="24"/>
        </w:rPr>
        <w:t>a natural and proximate result of</w:t>
      </w:r>
      <w:r w:rsidRPr="0090461E">
        <w:rPr>
          <w:rFonts w:ascii="Times New Roman" w:hAnsi="Times New Roman"/>
          <w:b/>
          <w:bCs/>
          <w:sz w:val="24"/>
          <w:szCs w:val="24"/>
        </w:rPr>
        <w:t>”</w:t>
      </w:r>
      <w:r w:rsidRPr="0090461E">
        <w:rPr>
          <w:rFonts w:ascii="Times New Roman" w:hAnsi="Times New Roman"/>
          <w:b/>
          <w:sz w:val="24"/>
          <w:szCs w:val="24"/>
        </w:rPr>
        <w:t xml:space="preserve"> their participation in the WTC rescue, recovery or cleanup operations.</w:t>
      </w:r>
    </w:p>
    <w:p w14:paraId="3A188F36" w14:textId="77777777" w:rsidR="0090461E" w:rsidRPr="0090461E" w:rsidRDefault="0090461E" w:rsidP="0090461E">
      <w:pPr>
        <w:pStyle w:val="NoSpacing"/>
        <w:rPr>
          <w:rFonts w:ascii="Times New Roman" w:hAnsi="Times New Roman"/>
          <w:sz w:val="24"/>
          <w:szCs w:val="24"/>
        </w:rPr>
      </w:pPr>
    </w:p>
    <w:p w14:paraId="5B3ADCAA" w14:textId="77777777" w:rsidR="0090461E" w:rsidRPr="00F0728A" w:rsidRDefault="0090461E" w:rsidP="0090461E">
      <w:pPr>
        <w:rPr>
          <w:rFonts w:ascii="Times New Roman" w:hAnsi="Times New Roman"/>
          <w:b/>
          <w:sz w:val="24"/>
          <w:szCs w:val="24"/>
        </w:rPr>
      </w:pPr>
    </w:p>
    <w:p w14:paraId="4EFD423A" w14:textId="77777777" w:rsidR="0090461E" w:rsidRDefault="0090461E" w:rsidP="00EF1133">
      <w:pPr>
        <w:rPr>
          <w:rFonts w:ascii="Arial Black" w:hAnsi="Arial Black"/>
          <w:b/>
          <w:sz w:val="24"/>
          <w:szCs w:val="24"/>
        </w:rPr>
      </w:pPr>
    </w:p>
    <w:p w14:paraId="393812F2" w14:textId="223A2A25" w:rsidR="00130523" w:rsidRDefault="00130523" w:rsidP="00EF1133">
      <w:pPr>
        <w:rPr>
          <w:rFonts w:ascii="Arial Black" w:hAnsi="Arial Black"/>
          <w:b/>
          <w:sz w:val="24"/>
          <w:szCs w:val="24"/>
        </w:rPr>
      </w:pPr>
      <w:r>
        <w:rPr>
          <w:rFonts w:ascii="Arial Black" w:hAnsi="Arial Black"/>
          <w:b/>
          <w:sz w:val="24"/>
          <w:szCs w:val="24"/>
        </w:rPr>
        <w:t>6-156</w:t>
      </w:r>
    </w:p>
    <w:p w14:paraId="72AAF748" w14:textId="77777777" w:rsidR="00130523" w:rsidRPr="00FF013C" w:rsidRDefault="00130523" w:rsidP="00130523">
      <w:pPr>
        <w:pStyle w:val="NoSpacing"/>
        <w:rPr>
          <w:rFonts w:ascii="Arial Black" w:hAnsi="Arial Black"/>
          <w:bCs/>
          <w:sz w:val="28"/>
          <w:szCs w:val="28"/>
        </w:rPr>
      </w:pPr>
      <w:r>
        <w:rPr>
          <w:rFonts w:ascii="Arial Black" w:hAnsi="Arial Black"/>
          <w:sz w:val="28"/>
          <w:szCs w:val="28"/>
        </w:rPr>
        <w:t>PA: THROAT CANCER – COVERED – LIST OF HIS RUNS</w:t>
      </w:r>
    </w:p>
    <w:p w14:paraId="23DD7C72" w14:textId="77777777" w:rsidR="00130523" w:rsidRPr="00130523" w:rsidRDefault="00130523" w:rsidP="00130523">
      <w:pPr>
        <w:pStyle w:val="NoSpacing"/>
        <w:rPr>
          <w:rFonts w:ascii="Times New Roman" w:hAnsi="Times New Roman"/>
          <w:bCs/>
          <w:sz w:val="24"/>
          <w:szCs w:val="24"/>
        </w:rPr>
      </w:pPr>
    </w:p>
    <w:p w14:paraId="02FBDB7D" w14:textId="77777777" w:rsidR="00130523" w:rsidRPr="00130523" w:rsidRDefault="00130523" w:rsidP="00130523">
      <w:pPr>
        <w:pStyle w:val="NoSpacing"/>
        <w:rPr>
          <w:rFonts w:ascii="Times New Roman" w:hAnsi="Times New Roman"/>
          <w:bCs/>
          <w:sz w:val="24"/>
          <w:szCs w:val="24"/>
        </w:rPr>
      </w:pPr>
      <w:r w:rsidRPr="00130523">
        <w:rPr>
          <w:rFonts w:ascii="Times New Roman" w:hAnsi="Times New Roman"/>
          <w:sz w:val="24"/>
          <w:szCs w:val="24"/>
        </w:rPr>
        <w:t xml:space="preserve">On April 1, 2025, in </w:t>
      </w:r>
      <w:r w:rsidRPr="00130523">
        <w:rPr>
          <w:rFonts w:ascii="Times New Roman" w:hAnsi="Times New Roman"/>
          <w:sz w:val="24"/>
          <w:szCs w:val="24"/>
          <w:u w:val="single"/>
        </w:rPr>
        <w:t>Lake Ariel Volunteer Fire Company, Petitioner v. Alex Rae (Workers' Compensation Appeal Board), Respondent</w:t>
      </w:r>
      <w:r w:rsidRPr="00130523">
        <w:rPr>
          <w:rFonts w:ascii="Times New Roman" w:hAnsi="Times New Roman"/>
          <w:sz w:val="24"/>
          <w:szCs w:val="24"/>
        </w:rPr>
        <w:t xml:space="preserve">, the Commonwealth Court of Pennsylvania held (3 to 0; unpublished decision) that the 72-year-old firefighter, having been active volunteer for over 28 years in NY and PA, was properly awarded workers comp.  In March 2021, Claimant was diagnosed with oral cancer.  Claimant prepared a report of his runs from the website,  </w:t>
      </w:r>
      <w:hyperlink r:id="rId1102" w:history="1">
        <w:r w:rsidRPr="00130523">
          <w:rPr>
            <w:rStyle w:val="Hyperlink"/>
            <w:rFonts w:ascii="Times New Roman" w:hAnsi="Times New Roman"/>
            <w:sz w:val="24"/>
            <w:szCs w:val="24"/>
          </w:rPr>
          <w:t>https://www.iamresponding.com/</w:t>
        </w:r>
      </w:hyperlink>
      <w:r w:rsidRPr="00130523">
        <w:rPr>
          <w:rFonts w:ascii="Times New Roman" w:hAnsi="Times New Roman"/>
          <w:sz w:val="24"/>
          <w:szCs w:val="24"/>
        </w:rPr>
        <w:t xml:space="preserve"> and testimony of expert witness. The WCJ found “the opinions of Dr. Guidotti [firefighter’s expert] more credible than the testimony of [Dr.] Goldsmith to the extent their testimony is inconsistent,” citing Dr. Guidotti’s status as a highly credentialed medical doctor with numerous certifications. </w:t>
      </w:r>
      <w:hyperlink r:id="rId1103" w:history="1">
        <w:r w:rsidRPr="00130523">
          <w:rPr>
            <w:rStyle w:val="Hyperlink"/>
            <w:rFonts w:ascii="Times New Roman" w:hAnsi="Times New Roman"/>
            <w:sz w:val="24"/>
            <w:szCs w:val="24"/>
          </w:rPr>
          <w:t>https://cases.justia.com/pennsylvania/commonwealth-court/2025-92-c-d-2024.pdf?ts=1743522170</w:t>
        </w:r>
      </w:hyperlink>
      <w:r w:rsidRPr="00130523">
        <w:rPr>
          <w:rFonts w:ascii="Times New Roman" w:hAnsi="Times New Roman"/>
          <w:sz w:val="24"/>
          <w:szCs w:val="24"/>
        </w:rPr>
        <w:t xml:space="preserve"> </w:t>
      </w:r>
    </w:p>
    <w:p w14:paraId="131FF51F" w14:textId="77777777" w:rsidR="00130523" w:rsidRPr="00130523" w:rsidRDefault="00130523" w:rsidP="00130523">
      <w:pPr>
        <w:pStyle w:val="NoSpacing"/>
        <w:rPr>
          <w:rFonts w:ascii="Times New Roman" w:hAnsi="Times New Roman"/>
          <w:bCs/>
          <w:sz w:val="24"/>
          <w:szCs w:val="24"/>
        </w:rPr>
      </w:pPr>
    </w:p>
    <w:p w14:paraId="4C0B6E45"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 xml:space="preserve">“Alex Rae (Claimant) was diagnosed with various cancers after decades of being a firefighter, most recently as a volunteer for the Lake Ariel Volunteer Fire Company (Employer). Certain cancers are known to have a causal connection to firefighting, and so the legislature created a presumption that those cancers are caused by being a firefighter for purposes of the occupational disease provisions of the Workers’ Compensation Act (Act). A Workers’ Compensation Judge (WCJ) granted Claimant’s Claim Petition awarding benefits, and the Workers’ Compensation Appeal Board (Board) affirmed. </w:t>
      </w:r>
    </w:p>
    <w:p w14:paraId="6D922CE6" w14:textId="77777777" w:rsidR="00130523" w:rsidRPr="00130523" w:rsidRDefault="00130523" w:rsidP="00130523">
      <w:pPr>
        <w:pStyle w:val="NoSpacing"/>
        <w:ind w:left="720"/>
        <w:rPr>
          <w:rFonts w:ascii="Times New Roman" w:hAnsi="Times New Roman"/>
          <w:bCs/>
          <w:sz w:val="24"/>
          <w:szCs w:val="24"/>
        </w:rPr>
      </w:pPr>
    </w:p>
    <w:p w14:paraId="1BD1599C"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w:t>
      </w:r>
    </w:p>
    <w:p w14:paraId="4967786F" w14:textId="77777777" w:rsidR="00130523" w:rsidRPr="00130523" w:rsidRDefault="00130523" w:rsidP="00130523">
      <w:pPr>
        <w:pStyle w:val="NoSpacing"/>
        <w:ind w:left="720"/>
        <w:rPr>
          <w:rFonts w:ascii="Times New Roman" w:hAnsi="Times New Roman"/>
          <w:b/>
          <w:sz w:val="24"/>
          <w:szCs w:val="24"/>
        </w:rPr>
      </w:pPr>
    </w:p>
    <w:p w14:paraId="21840E19"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 xml:space="preserve">Employer argues Claimant did not show, by competent, substantial evidence, that Claimant was exposed to carcinogens. Instead of presenting </w:t>
      </w:r>
      <w:proofErr w:type="spellStart"/>
      <w:r w:rsidRPr="00130523">
        <w:rPr>
          <w:rFonts w:ascii="Times New Roman" w:hAnsi="Times New Roman"/>
          <w:sz w:val="24"/>
          <w:szCs w:val="24"/>
        </w:rPr>
        <w:t>PennFIRS</w:t>
      </w:r>
      <w:proofErr w:type="spellEnd"/>
      <w:r w:rsidRPr="00130523">
        <w:rPr>
          <w:rFonts w:ascii="Times New Roman" w:hAnsi="Times New Roman"/>
          <w:sz w:val="24"/>
          <w:szCs w:val="24"/>
        </w:rPr>
        <w:t xml:space="preserve"> reports, as provided by Section 301(f) of the Act, Claimant only presented lay testimony and</w:t>
      </w:r>
    </w:p>
    <w:p w14:paraId="621D8B6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 xml:space="preserve">data from the </w:t>
      </w:r>
      <w:proofErr w:type="gramStart"/>
      <w:r w:rsidRPr="00130523">
        <w:rPr>
          <w:rFonts w:ascii="Times New Roman" w:hAnsi="Times New Roman"/>
          <w:sz w:val="24"/>
          <w:szCs w:val="24"/>
        </w:rPr>
        <w:t>website, ‘</w:t>
      </w:r>
      <w:proofErr w:type="gramEnd"/>
      <w:r w:rsidRPr="00130523">
        <w:rPr>
          <w:rFonts w:ascii="Times New Roman" w:hAnsi="Times New Roman"/>
          <w:sz w:val="24"/>
          <w:szCs w:val="24"/>
        </w:rPr>
        <w:t xml:space="preserve">iamresponding.com.’ Unlike the </w:t>
      </w:r>
      <w:proofErr w:type="spellStart"/>
      <w:r w:rsidRPr="00130523">
        <w:rPr>
          <w:rFonts w:ascii="Times New Roman" w:hAnsi="Times New Roman"/>
          <w:sz w:val="24"/>
          <w:szCs w:val="24"/>
        </w:rPr>
        <w:t>PennFIRS</w:t>
      </w:r>
      <w:proofErr w:type="spellEnd"/>
      <w:r w:rsidRPr="00130523">
        <w:rPr>
          <w:rFonts w:ascii="Times New Roman" w:hAnsi="Times New Roman"/>
          <w:sz w:val="24"/>
          <w:szCs w:val="24"/>
        </w:rPr>
        <w:t xml:space="preserve"> reports or other</w:t>
      </w:r>
    </w:p>
    <w:p w14:paraId="2279E2B5"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reports that the Court has found to be sufficient, Employer argues the data here only</w:t>
      </w:r>
    </w:p>
    <w:p w14:paraId="38FB0FFF"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includes a date, station name, and reference to an unspecified ‘scene,’ which could</w:t>
      </w:r>
    </w:p>
    <w:p w14:paraId="12A1861A"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be a fire or not. Furthermore, Employer posits that to the extent Claimant testified</w:t>
      </w:r>
    </w:p>
    <w:p w14:paraId="59A24C7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to make up any deficiencies in the data, this Court has rejected lay testimony as</w:t>
      </w:r>
    </w:p>
    <w:p w14:paraId="425C53D6"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sufficient under the Act.</w:t>
      </w:r>
    </w:p>
    <w:p w14:paraId="6B091414" w14:textId="77777777" w:rsidR="00130523" w:rsidRPr="00130523" w:rsidRDefault="00130523" w:rsidP="00130523">
      <w:pPr>
        <w:pStyle w:val="NoSpacing"/>
        <w:ind w:firstLine="720"/>
        <w:rPr>
          <w:rFonts w:ascii="Times New Roman" w:hAnsi="Times New Roman"/>
          <w:bCs/>
          <w:sz w:val="24"/>
          <w:szCs w:val="24"/>
        </w:rPr>
      </w:pPr>
    </w:p>
    <w:p w14:paraId="56542D3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w:t>
      </w:r>
    </w:p>
    <w:p w14:paraId="76576AD2"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The incident participation report was provided by Employer, and given Claimant’s credible testimony and the WCJ’s findings, we agree with the Board that ‘the purpose of the provision was served.’ (Board Op. at 16.) Like the Board, we will not disturb the</w:t>
      </w:r>
    </w:p>
    <w:p w14:paraId="12AA044F"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WCJ’s determination.:</w:t>
      </w:r>
    </w:p>
    <w:p w14:paraId="1F7414A8" w14:textId="77777777" w:rsidR="00130523" w:rsidRPr="00130523" w:rsidRDefault="00130523" w:rsidP="00130523">
      <w:pPr>
        <w:pStyle w:val="NoSpacing"/>
        <w:ind w:firstLine="720"/>
        <w:rPr>
          <w:rFonts w:ascii="Times New Roman" w:hAnsi="Times New Roman"/>
          <w:bCs/>
          <w:sz w:val="24"/>
          <w:szCs w:val="24"/>
        </w:rPr>
      </w:pPr>
    </w:p>
    <w:p w14:paraId="43492F39" w14:textId="77777777" w:rsidR="00130523" w:rsidRPr="00130523" w:rsidRDefault="00130523" w:rsidP="00130523">
      <w:pPr>
        <w:pStyle w:val="NoSpacing"/>
        <w:rPr>
          <w:rFonts w:ascii="Times New Roman" w:hAnsi="Times New Roman"/>
          <w:b/>
          <w:sz w:val="24"/>
          <w:szCs w:val="24"/>
        </w:rPr>
      </w:pPr>
      <w:r w:rsidRPr="00130523">
        <w:rPr>
          <w:rFonts w:ascii="Times New Roman" w:hAnsi="Times New Roman"/>
          <w:b/>
          <w:sz w:val="24"/>
          <w:szCs w:val="24"/>
        </w:rPr>
        <w:t xml:space="preserve">Legal Lesson Learned: Keep a personal record of all runs where you have been exposed to smoke and other hazardous items.  </w:t>
      </w:r>
    </w:p>
    <w:p w14:paraId="0575782B" w14:textId="77777777" w:rsidR="001F58ED" w:rsidRDefault="001F58ED" w:rsidP="00EF1133">
      <w:pPr>
        <w:rPr>
          <w:rFonts w:ascii="Arial Black" w:hAnsi="Arial Black"/>
          <w:b/>
          <w:sz w:val="24"/>
          <w:szCs w:val="24"/>
        </w:rPr>
      </w:pPr>
    </w:p>
    <w:p w14:paraId="31CE11F5" w14:textId="78BCFE52" w:rsidR="009506CE" w:rsidRDefault="009506CE" w:rsidP="00EF1133">
      <w:pPr>
        <w:rPr>
          <w:rFonts w:ascii="Arial Black" w:hAnsi="Arial Black"/>
          <w:b/>
          <w:sz w:val="24"/>
          <w:szCs w:val="24"/>
        </w:rPr>
      </w:pPr>
      <w:r>
        <w:rPr>
          <w:rFonts w:ascii="Arial Black" w:hAnsi="Arial Black"/>
          <w:b/>
          <w:sz w:val="24"/>
          <w:szCs w:val="24"/>
        </w:rPr>
        <w:t>6-155</w:t>
      </w:r>
    </w:p>
    <w:p w14:paraId="092ECF35" w14:textId="77777777" w:rsidR="00BA2BFB" w:rsidRDefault="00BA2BFB" w:rsidP="00BA2BFB">
      <w:pPr>
        <w:pStyle w:val="NoSpacing"/>
        <w:rPr>
          <w:rFonts w:ascii="Arial Black" w:hAnsi="Arial Black"/>
          <w:b/>
          <w:bCs/>
          <w:sz w:val="28"/>
          <w:szCs w:val="28"/>
        </w:rPr>
      </w:pPr>
      <w:r>
        <w:rPr>
          <w:rFonts w:ascii="Arial Black" w:hAnsi="Arial Black"/>
          <w:b/>
          <w:sz w:val="28"/>
          <w:szCs w:val="28"/>
        </w:rPr>
        <w:t xml:space="preserve">LA: WORK COMP – TOTALLY DISAB - CITY PAY $2K PENALTY  </w:t>
      </w:r>
    </w:p>
    <w:p w14:paraId="63CFC96B" w14:textId="77777777" w:rsidR="00BA2BFB" w:rsidRPr="0080750A" w:rsidRDefault="00BA2BFB" w:rsidP="00BA2BFB">
      <w:pPr>
        <w:pStyle w:val="NoSpacing"/>
        <w:rPr>
          <w:rFonts w:ascii="Times New Roman" w:hAnsi="Times New Roman"/>
          <w:sz w:val="24"/>
          <w:szCs w:val="24"/>
        </w:rPr>
      </w:pPr>
    </w:p>
    <w:p w14:paraId="356EEB4F" w14:textId="77777777" w:rsidR="00BA2BFB" w:rsidRPr="0080750A" w:rsidRDefault="00BA2BFB" w:rsidP="00BA2BFB">
      <w:pPr>
        <w:pStyle w:val="NoSpacing"/>
        <w:rPr>
          <w:rFonts w:ascii="Times New Roman" w:hAnsi="Times New Roman"/>
          <w:b/>
          <w:sz w:val="24"/>
          <w:szCs w:val="24"/>
        </w:rPr>
      </w:pPr>
      <w:r w:rsidRPr="0080750A">
        <w:rPr>
          <w:rFonts w:ascii="Times New Roman" w:hAnsi="Times New Roman"/>
          <w:sz w:val="24"/>
          <w:szCs w:val="24"/>
        </w:rPr>
        <w:t xml:space="preserve">On March 28, 2025, in </w:t>
      </w:r>
      <w:r w:rsidRPr="0080750A">
        <w:rPr>
          <w:rFonts w:ascii="Times New Roman" w:hAnsi="Times New Roman"/>
          <w:sz w:val="24"/>
          <w:szCs w:val="24"/>
          <w:u w:val="single"/>
        </w:rPr>
        <w:t>Mark Shubert v. City of New Orleans</w:t>
      </w:r>
      <w:r w:rsidRPr="0080750A">
        <w:rPr>
          <w:rFonts w:ascii="Times New Roman" w:hAnsi="Times New Roman"/>
          <w:sz w:val="24"/>
          <w:szCs w:val="24"/>
        </w:rPr>
        <w:t xml:space="preserve">, the Court of Appeal of Louisiana, Fourth Circuit, held (3 to 0) that the worker’s comp judge properly held that the City was “arbitrary and capricious” in reducing his weekly benefits.   The </w:t>
      </w:r>
      <w:proofErr w:type="gramStart"/>
      <w:r w:rsidRPr="0080750A">
        <w:rPr>
          <w:rFonts w:ascii="Times New Roman" w:hAnsi="Times New Roman"/>
          <w:sz w:val="24"/>
          <w:szCs w:val="24"/>
        </w:rPr>
        <w:t>City</w:t>
      </w:r>
      <w:proofErr w:type="gramEnd"/>
      <w:r w:rsidRPr="0080750A">
        <w:rPr>
          <w:rFonts w:ascii="Times New Roman" w:hAnsi="Times New Roman"/>
          <w:sz w:val="24"/>
          <w:szCs w:val="24"/>
        </w:rPr>
        <w:t xml:space="preserve"> contends that no evidence supported the Worker’s Comp Judge’s finding that Mr. Shubert was totally disabled from all work after March 25, 2019.  The firefighter was limited to lifting only 10 pounds and no sitting or standing more than 20 minutes. He wisely kept a detailed list of jobs to which he applied and was rejected, including CarMax customer service rep.  The Court of Appeals agreed with the workers comp judge that City must reinstate </w:t>
      </w:r>
      <w:proofErr w:type="gramStart"/>
      <w:r w:rsidRPr="0080750A">
        <w:rPr>
          <w:rFonts w:ascii="Times New Roman" w:hAnsi="Times New Roman"/>
          <w:sz w:val="24"/>
          <w:szCs w:val="24"/>
        </w:rPr>
        <w:t>his</w:t>
      </w:r>
      <w:proofErr w:type="gramEnd"/>
      <w:r w:rsidRPr="0080750A">
        <w:rPr>
          <w:rFonts w:ascii="Times New Roman" w:hAnsi="Times New Roman"/>
          <w:sz w:val="24"/>
          <w:szCs w:val="24"/>
        </w:rPr>
        <w:t xml:space="preserve"> weekly benefits back to $630 [from $448.07], pay a penalty of $2,000, plus attorney fees for the work comp trial ($4,000) and attorney fees for the appeal ($2,500).  </w:t>
      </w:r>
      <w:hyperlink r:id="rId1104" w:history="1">
        <w:r w:rsidRPr="0080750A">
          <w:rPr>
            <w:rStyle w:val="Hyperlink"/>
            <w:rFonts w:ascii="Times New Roman" w:hAnsi="Times New Roman"/>
            <w:b/>
            <w:sz w:val="24"/>
            <w:szCs w:val="24"/>
          </w:rPr>
          <w:t>https://caselaw.findlaw.com/court/la-court-of-appeal/117104839.html</w:t>
        </w:r>
      </w:hyperlink>
      <w:r w:rsidRPr="0080750A">
        <w:rPr>
          <w:rFonts w:ascii="Times New Roman" w:hAnsi="Times New Roman"/>
          <w:b/>
          <w:sz w:val="24"/>
          <w:szCs w:val="24"/>
        </w:rPr>
        <w:t xml:space="preserve"> </w:t>
      </w:r>
    </w:p>
    <w:p w14:paraId="2024A053" w14:textId="77777777" w:rsidR="0080750A" w:rsidRPr="0080750A" w:rsidRDefault="0080750A" w:rsidP="0080750A">
      <w:pPr>
        <w:pStyle w:val="NoSpacing"/>
        <w:rPr>
          <w:rFonts w:ascii="Times New Roman" w:hAnsi="Times New Roman"/>
          <w:b/>
          <w:sz w:val="24"/>
          <w:szCs w:val="24"/>
        </w:rPr>
      </w:pPr>
    </w:p>
    <w:p w14:paraId="520C5C7E" w14:textId="14807C13" w:rsidR="0080750A" w:rsidRPr="0080750A" w:rsidRDefault="0080750A" w:rsidP="0080750A">
      <w:pPr>
        <w:pStyle w:val="NoSpacing"/>
        <w:rPr>
          <w:rFonts w:ascii="Times New Roman" w:hAnsi="Times New Roman"/>
          <w:b/>
          <w:bCs/>
          <w:sz w:val="24"/>
          <w:szCs w:val="24"/>
        </w:rPr>
      </w:pPr>
      <w:r w:rsidRPr="0080750A">
        <w:rPr>
          <w:rFonts w:ascii="Times New Roman" w:hAnsi="Times New Roman"/>
          <w:b/>
          <w:sz w:val="24"/>
          <w:szCs w:val="24"/>
        </w:rPr>
        <w:t xml:space="preserve">Legal Lesson Learned:  They firefighter wisely kept a log of all positions to which he applied. </w:t>
      </w:r>
    </w:p>
    <w:p w14:paraId="4134F82E" w14:textId="77777777" w:rsidR="009506CE" w:rsidRDefault="009506CE" w:rsidP="00EF1133">
      <w:pPr>
        <w:rPr>
          <w:rFonts w:ascii="Arial Black" w:hAnsi="Arial Black"/>
          <w:b/>
          <w:sz w:val="24"/>
          <w:szCs w:val="24"/>
        </w:rPr>
      </w:pPr>
    </w:p>
    <w:p w14:paraId="33DD8028" w14:textId="77777777" w:rsidR="009506CE" w:rsidRDefault="009506CE" w:rsidP="00EF1133">
      <w:pPr>
        <w:rPr>
          <w:rFonts w:ascii="Arial Black" w:hAnsi="Arial Black"/>
          <w:b/>
          <w:sz w:val="24"/>
          <w:szCs w:val="24"/>
        </w:rPr>
      </w:pPr>
    </w:p>
    <w:p w14:paraId="4D8A5CDC" w14:textId="2821CDB6" w:rsidR="00986728" w:rsidRDefault="00924257" w:rsidP="00EF1133">
      <w:pPr>
        <w:rPr>
          <w:rFonts w:ascii="Arial Black" w:hAnsi="Arial Black"/>
          <w:b/>
          <w:sz w:val="24"/>
          <w:szCs w:val="24"/>
        </w:rPr>
      </w:pPr>
      <w:r>
        <w:rPr>
          <w:rFonts w:ascii="Arial Black" w:hAnsi="Arial Black"/>
          <w:b/>
          <w:sz w:val="24"/>
          <w:szCs w:val="24"/>
        </w:rPr>
        <w:t>6-154</w:t>
      </w:r>
    </w:p>
    <w:p w14:paraId="7428FDC4" w14:textId="77777777" w:rsidR="00433EE5" w:rsidRPr="00FF57DC" w:rsidRDefault="00433EE5" w:rsidP="00433EE5">
      <w:pPr>
        <w:pStyle w:val="NoSpacing"/>
        <w:rPr>
          <w:rFonts w:ascii="Arial Black" w:hAnsi="Arial Black"/>
          <w:bCs/>
          <w:sz w:val="28"/>
          <w:szCs w:val="28"/>
        </w:rPr>
      </w:pPr>
      <w:r>
        <w:rPr>
          <w:rFonts w:ascii="Arial Black" w:hAnsi="Arial Black"/>
          <w:sz w:val="28"/>
          <w:szCs w:val="28"/>
        </w:rPr>
        <w:t>AR: BRAIN CANCER – 2021 LAW NOT RETROACTIVE</w:t>
      </w:r>
    </w:p>
    <w:p w14:paraId="639C47BB" w14:textId="77777777" w:rsidR="00433EE5" w:rsidRDefault="00433EE5" w:rsidP="00433EE5">
      <w:pPr>
        <w:pStyle w:val="NoSpacing"/>
        <w:rPr>
          <w:bCs/>
        </w:rPr>
      </w:pPr>
    </w:p>
    <w:p w14:paraId="7D78B0C3" w14:textId="77777777" w:rsidR="00433EE5" w:rsidRPr="009506CE" w:rsidRDefault="00433EE5" w:rsidP="00433EE5">
      <w:pPr>
        <w:pStyle w:val="NoSpacing"/>
        <w:rPr>
          <w:rFonts w:ascii="Times New Roman" w:hAnsi="Times New Roman"/>
          <w:bCs/>
          <w:sz w:val="24"/>
          <w:szCs w:val="24"/>
        </w:rPr>
      </w:pPr>
      <w:r w:rsidRPr="009506CE">
        <w:rPr>
          <w:rFonts w:ascii="Times New Roman" w:hAnsi="Times New Roman"/>
          <w:sz w:val="24"/>
          <w:szCs w:val="24"/>
        </w:rPr>
        <w:t xml:space="preserve">On March 26, 2025, in </w:t>
      </w:r>
      <w:r w:rsidRPr="009506CE">
        <w:rPr>
          <w:rFonts w:ascii="Times New Roman" w:hAnsi="Times New Roman"/>
          <w:sz w:val="24"/>
          <w:szCs w:val="24"/>
          <w:u w:val="single"/>
        </w:rPr>
        <w:t>Robert Vande Krol v. The Industrial Commission of Arizona, et al</w:t>
      </w:r>
      <w:r w:rsidRPr="009506CE">
        <w:rPr>
          <w:rFonts w:ascii="Times New Roman" w:hAnsi="Times New Roman"/>
          <w:sz w:val="24"/>
          <w:szCs w:val="24"/>
        </w:rPr>
        <w:t xml:space="preserve">., the </w:t>
      </w:r>
    </w:p>
    <w:p w14:paraId="1A223542" w14:textId="77777777" w:rsidR="00433EE5" w:rsidRPr="009506CE" w:rsidRDefault="00433EE5" w:rsidP="00433EE5">
      <w:pPr>
        <w:pStyle w:val="NoSpacing"/>
        <w:rPr>
          <w:rFonts w:ascii="Times New Roman" w:hAnsi="Times New Roman"/>
          <w:bCs/>
          <w:sz w:val="24"/>
          <w:szCs w:val="24"/>
        </w:rPr>
      </w:pPr>
      <w:r w:rsidRPr="009506CE">
        <w:rPr>
          <w:rFonts w:ascii="Times New Roman" w:hAnsi="Times New Roman"/>
          <w:sz w:val="24"/>
          <w:szCs w:val="24"/>
        </w:rPr>
        <w:t xml:space="preserve">Supreme Court of the State of Arizona held (6 to 1) that the firefighter. with 18 years of service. was not entitled to workers compensation because he filed his claim 8 months prior to the effective date of the 2021 statute that put burden of proof on the employer to prove it was not caused by the job.  The Court agreed with the Worker’s Comp Administrative Law Judge that the 2017 stature applied. The ALJ explained that while there is not much research regarding the causes of the unusual brain cancer - oligodendroglioma, “[t]he only known cause is ionizing radiation, which is not present in this case.”  Dr. Ferrara testified that the only known cause of oligodendroglioma is ionizing radiation, and Vande Krol’s record did not show exposure to that form of radiation.  The state’s 2021 statute, where the employer had to prove the cancer was not job related, did not specifically state it was retroactive for pending claims.  </w:t>
      </w:r>
      <w:hyperlink r:id="rId1105" w:history="1">
        <w:r w:rsidRPr="009506CE">
          <w:rPr>
            <w:rStyle w:val="Hyperlink"/>
            <w:rFonts w:ascii="Times New Roman" w:hAnsi="Times New Roman"/>
            <w:sz w:val="24"/>
            <w:szCs w:val="24"/>
          </w:rPr>
          <w:t>https://cases.justia.com/arizona/supreme-court/2025-cv-23-0211-pr.pdf?ts=1743008459</w:t>
        </w:r>
      </w:hyperlink>
      <w:r w:rsidRPr="009506CE">
        <w:rPr>
          <w:rFonts w:ascii="Times New Roman" w:hAnsi="Times New Roman"/>
          <w:sz w:val="24"/>
          <w:szCs w:val="24"/>
        </w:rPr>
        <w:t xml:space="preserve"> </w:t>
      </w:r>
    </w:p>
    <w:p w14:paraId="1C232474" w14:textId="77777777" w:rsidR="00924257" w:rsidRPr="009506CE" w:rsidRDefault="00924257" w:rsidP="00EF1133">
      <w:pPr>
        <w:rPr>
          <w:rFonts w:ascii="Times New Roman" w:hAnsi="Times New Roman"/>
          <w:b/>
          <w:sz w:val="24"/>
          <w:szCs w:val="24"/>
        </w:rPr>
      </w:pPr>
    </w:p>
    <w:p w14:paraId="011D9585" w14:textId="77777777" w:rsidR="009506CE" w:rsidRPr="009506CE" w:rsidRDefault="009506CE" w:rsidP="009506CE">
      <w:pPr>
        <w:pStyle w:val="NoSpacing"/>
        <w:rPr>
          <w:rFonts w:ascii="Times New Roman" w:hAnsi="Times New Roman"/>
          <w:b/>
          <w:sz w:val="24"/>
          <w:szCs w:val="24"/>
        </w:rPr>
      </w:pPr>
      <w:r w:rsidRPr="009506CE">
        <w:rPr>
          <w:rFonts w:ascii="Times New Roman" w:hAnsi="Times New Roman"/>
          <w:b/>
          <w:sz w:val="24"/>
          <w:szCs w:val="24"/>
        </w:rPr>
        <w:t xml:space="preserve">Legal Lesson Learned: The 2021 statute is very helpful to firefighters; it is a shame that the legislature did not specifically include a provision holding it was retroactive to pending claims. </w:t>
      </w:r>
    </w:p>
    <w:p w14:paraId="66FDB48E" w14:textId="77777777" w:rsidR="009506CE" w:rsidRPr="009506CE" w:rsidRDefault="009506CE" w:rsidP="009506CE">
      <w:pPr>
        <w:pStyle w:val="NoSpacing"/>
        <w:rPr>
          <w:rFonts w:ascii="Times New Roman" w:hAnsi="Times New Roman"/>
          <w:bCs/>
          <w:sz w:val="24"/>
          <w:szCs w:val="24"/>
        </w:rPr>
      </w:pPr>
    </w:p>
    <w:p w14:paraId="2E048FFE" w14:textId="77777777" w:rsidR="009506CE" w:rsidRPr="009506CE" w:rsidRDefault="009506CE" w:rsidP="009506CE">
      <w:pPr>
        <w:pStyle w:val="NoSpacing"/>
        <w:rPr>
          <w:rFonts w:ascii="Times New Roman" w:hAnsi="Times New Roman"/>
          <w:bCs/>
          <w:sz w:val="24"/>
          <w:szCs w:val="24"/>
        </w:rPr>
      </w:pPr>
      <w:r w:rsidRPr="009506CE">
        <w:rPr>
          <w:rFonts w:ascii="Times New Roman" w:hAnsi="Times New Roman"/>
          <w:sz w:val="24"/>
          <w:szCs w:val="24"/>
        </w:rPr>
        <w:tab/>
        <w:t>Note: Dissenting Justice Montgomery wrote:</w:t>
      </w:r>
    </w:p>
    <w:p w14:paraId="0014D181" w14:textId="77777777" w:rsidR="009506CE" w:rsidRPr="009506CE" w:rsidRDefault="009506CE" w:rsidP="009506CE">
      <w:pPr>
        <w:pStyle w:val="NoSpacing"/>
        <w:rPr>
          <w:rFonts w:ascii="Times New Roman" w:hAnsi="Times New Roman"/>
          <w:bCs/>
          <w:sz w:val="24"/>
          <w:szCs w:val="24"/>
        </w:rPr>
      </w:pPr>
    </w:p>
    <w:p w14:paraId="39B5E741" w14:textId="77777777" w:rsidR="009506CE" w:rsidRPr="009506CE" w:rsidRDefault="009506CE" w:rsidP="009506CE">
      <w:pPr>
        <w:pStyle w:val="NoSpacing"/>
        <w:ind w:left="720"/>
        <w:rPr>
          <w:rFonts w:ascii="Times New Roman" w:hAnsi="Times New Roman"/>
          <w:bCs/>
          <w:sz w:val="24"/>
          <w:szCs w:val="24"/>
        </w:rPr>
      </w:pPr>
      <w:r w:rsidRPr="009506CE">
        <w:rPr>
          <w:rFonts w:ascii="Times New Roman" w:hAnsi="Times New Roman"/>
          <w:sz w:val="24"/>
          <w:szCs w:val="24"/>
        </w:rPr>
        <w:t>“As amended in 2021, § 23-901.09(A)(1) provides: ‘Any disease, infirmity or impairment of a firefighter’s . . . health that is caused by brain . . . cancer . . . and that results in disability or death is presumed to be an occupational disease . . . and is deemed to arise out of employment.’ § 23-901.09(A)(1) (2021) (the “Presumption”)….  And § 23-901.09(C) specifies that the Presumption applies to firefighters who are: 1) currently in service, and 2) aged sixty-five or younger and diagnosed with brain cancer not more than fifteen years after their last date of employment as a firefighter…. The Amendments also made changes to sections of title 20 that permitted insurers to raise statewide insurance rates and adjust premiums related to firefighter workers’ compensation claims brought</w:t>
      </w:r>
    </w:p>
    <w:p w14:paraId="12757498" w14:textId="77777777" w:rsidR="009506CE" w:rsidRPr="009506CE" w:rsidRDefault="009506CE" w:rsidP="009506CE">
      <w:pPr>
        <w:pStyle w:val="NoSpacing"/>
        <w:ind w:left="720"/>
        <w:rPr>
          <w:rFonts w:ascii="Times New Roman" w:hAnsi="Times New Roman"/>
          <w:bCs/>
          <w:sz w:val="24"/>
          <w:szCs w:val="24"/>
        </w:rPr>
      </w:pPr>
      <w:r w:rsidRPr="009506CE">
        <w:rPr>
          <w:rFonts w:ascii="Times New Roman" w:hAnsi="Times New Roman"/>
          <w:sz w:val="24"/>
          <w:szCs w:val="24"/>
        </w:rPr>
        <w:t>under the Presumption. See 2021 Ariz. Sess. Laws ch. 229, §§ 1–3 (1st Reg.</w:t>
      </w:r>
    </w:p>
    <w:p w14:paraId="3F06B360" w14:textId="77777777" w:rsidR="009506CE" w:rsidRDefault="009506CE" w:rsidP="009506CE">
      <w:pPr>
        <w:pStyle w:val="NoSpacing"/>
        <w:ind w:left="720"/>
        <w:rPr>
          <w:bCs/>
        </w:rPr>
      </w:pPr>
      <w:r w:rsidRPr="009506CE">
        <w:rPr>
          <w:rFonts w:ascii="Times New Roman" w:hAnsi="Times New Roman"/>
          <w:sz w:val="24"/>
          <w:szCs w:val="24"/>
        </w:rPr>
        <w:t xml:space="preserve">Sess.).  Accordingly, I would affirm the court of appeals’ conclusion, albeit with different reasoning, and set aside the ALJ’s decision.”  </w:t>
      </w:r>
      <w:hyperlink r:id="rId1106" w:history="1">
        <w:r w:rsidRPr="009506CE">
          <w:rPr>
            <w:rStyle w:val="Hyperlink"/>
            <w:rFonts w:ascii="Times New Roman" w:hAnsi="Times New Roman"/>
            <w:sz w:val="24"/>
            <w:szCs w:val="24"/>
          </w:rPr>
          <w:t>https://cases.justia.com/arizona/supreme-court/2025-cv-23-0211-pr.pdf?ts=1743008459</w:t>
        </w:r>
      </w:hyperlink>
      <w:r>
        <w:t xml:space="preserve"> </w:t>
      </w:r>
    </w:p>
    <w:p w14:paraId="09CFB9F5" w14:textId="77777777" w:rsidR="009506CE" w:rsidRDefault="009506CE" w:rsidP="00EF1133">
      <w:pPr>
        <w:rPr>
          <w:rFonts w:ascii="Arial Black" w:hAnsi="Arial Black"/>
          <w:b/>
          <w:sz w:val="24"/>
          <w:szCs w:val="24"/>
        </w:rPr>
      </w:pPr>
    </w:p>
    <w:p w14:paraId="023E5752" w14:textId="77777777" w:rsidR="00924257" w:rsidRDefault="00924257" w:rsidP="00EF1133">
      <w:pPr>
        <w:rPr>
          <w:rFonts w:ascii="Arial Black" w:hAnsi="Arial Black"/>
          <w:b/>
          <w:sz w:val="24"/>
          <w:szCs w:val="24"/>
        </w:rPr>
      </w:pPr>
    </w:p>
    <w:p w14:paraId="71DC4519" w14:textId="66B32925" w:rsidR="00986728" w:rsidRDefault="00986728" w:rsidP="00EF1133">
      <w:pPr>
        <w:rPr>
          <w:rFonts w:ascii="Arial Black" w:hAnsi="Arial Black"/>
          <w:b/>
          <w:sz w:val="24"/>
          <w:szCs w:val="24"/>
        </w:rPr>
      </w:pPr>
      <w:r>
        <w:rPr>
          <w:rFonts w:ascii="Arial Black" w:hAnsi="Arial Black"/>
          <w:b/>
          <w:sz w:val="24"/>
          <w:szCs w:val="24"/>
        </w:rPr>
        <w:t>6-153</w:t>
      </w:r>
    </w:p>
    <w:p w14:paraId="4517BC2F" w14:textId="77777777" w:rsidR="00986728" w:rsidRPr="00457642" w:rsidRDefault="00986728" w:rsidP="00986728">
      <w:pPr>
        <w:pStyle w:val="NoSpacing"/>
        <w:rPr>
          <w:rFonts w:ascii="Arial Black" w:hAnsi="Arial Black"/>
          <w:b/>
          <w:sz w:val="28"/>
          <w:szCs w:val="28"/>
        </w:rPr>
      </w:pPr>
      <w:r>
        <w:rPr>
          <w:rFonts w:ascii="Arial Black" w:hAnsi="Arial Black"/>
          <w:b/>
          <w:sz w:val="28"/>
          <w:szCs w:val="28"/>
        </w:rPr>
        <w:t xml:space="preserve">PA: FF DIED CANCER – WIFE GETS 51% WAGE / 9 YR FIGHT </w:t>
      </w:r>
    </w:p>
    <w:p w14:paraId="3A9B30FD" w14:textId="77777777" w:rsidR="00986728" w:rsidRDefault="00986728" w:rsidP="00986728">
      <w:pPr>
        <w:pStyle w:val="NoSpacing"/>
        <w:rPr>
          <w:bCs/>
        </w:rPr>
      </w:pPr>
    </w:p>
    <w:p w14:paraId="352E1CE8" w14:textId="6EB3328C" w:rsidR="00986728" w:rsidRPr="00924257" w:rsidRDefault="00986728" w:rsidP="00986728">
      <w:pPr>
        <w:rPr>
          <w:rFonts w:ascii="Times New Roman" w:hAnsi="Times New Roman"/>
          <w:sz w:val="24"/>
          <w:szCs w:val="24"/>
        </w:rPr>
      </w:pPr>
      <w:r w:rsidRPr="00924257">
        <w:rPr>
          <w:rFonts w:ascii="Times New Roman" w:hAnsi="Times New Roman"/>
          <w:sz w:val="24"/>
          <w:szCs w:val="24"/>
        </w:rPr>
        <w:t xml:space="preserve">On March 19, 2025, in </w:t>
      </w:r>
      <w:r w:rsidRPr="00924257">
        <w:rPr>
          <w:rFonts w:ascii="Times New Roman" w:hAnsi="Times New Roman"/>
          <w:sz w:val="24"/>
          <w:szCs w:val="24"/>
          <w:u w:val="single"/>
        </w:rPr>
        <w:t>City of Philadelphia v. Larry Thompson (Workers’ Compensation Appeal Board)</w:t>
      </w:r>
      <w:r w:rsidRPr="00924257">
        <w:rPr>
          <w:rFonts w:ascii="Times New Roman" w:hAnsi="Times New Roman"/>
          <w:sz w:val="24"/>
          <w:szCs w:val="24"/>
        </w:rPr>
        <w:t xml:space="preserve">, the Commonwealth Court of Pennsylvania held (3 to 0; unpublished decision) upheld the award of </w:t>
      </w:r>
      <w:proofErr w:type="gramStart"/>
      <w:r w:rsidRPr="00924257">
        <w:rPr>
          <w:rFonts w:ascii="Times New Roman" w:hAnsi="Times New Roman"/>
          <w:sz w:val="24"/>
          <w:szCs w:val="24"/>
        </w:rPr>
        <w:t>work related</w:t>
      </w:r>
      <w:proofErr w:type="gramEnd"/>
      <w:r w:rsidRPr="00924257">
        <w:rPr>
          <w:rFonts w:ascii="Times New Roman" w:hAnsi="Times New Roman"/>
          <w:sz w:val="24"/>
          <w:szCs w:val="24"/>
        </w:rPr>
        <w:t xml:space="preserve"> death benefits to the wife of a 25-year Philadelphia firefighter; he died  on May 11, </w:t>
      </w:r>
      <w:proofErr w:type="gramStart"/>
      <w:r w:rsidRPr="00924257">
        <w:rPr>
          <w:rFonts w:ascii="Times New Roman" w:hAnsi="Times New Roman"/>
          <w:sz w:val="24"/>
          <w:szCs w:val="24"/>
        </w:rPr>
        <w:t>2013</w:t>
      </w:r>
      <w:proofErr w:type="gramEnd"/>
      <w:r w:rsidRPr="00924257">
        <w:rPr>
          <w:rFonts w:ascii="Times New Roman" w:hAnsi="Times New Roman"/>
          <w:sz w:val="24"/>
          <w:szCs w:val="24"/>
        </w:rPr>
        <w:t xml:space="preserve"> of non-Hodgkin’s lymphoma, and she filed her claim in 2016.  The City has fought her claim for 9 years -  including appealing May 4, </w:t>
      </w:r>
      <w:proofErr w:type="gramStart"/>
      <w:r w:rsidRPr="00924257">
        <w:rPr>
          <w:rFonts w:ascii="Times New Roman" w:hAnsi="Times New Roman"/>
          <w:sz w:val="24"/>
          <w:szCs w:val="24"/>
        </w:rPr>
        <w:t>2018</w:t>
      </w:r>
      <w:proofErr w:type="gramEnd"/>
      <w:r w:rsidRPr="00924257">
        <w:rPr>
          <w:rFonts w:ascii="Times New Roman" w:hAnsi="Times New Roman"/>
          <w:sz w:val="24"/>
          <w:szCs w:val="24"/>
        </w:rPr>
        <w:t xml:space="preserve"> ruling in her favor by Workers Comp Judge, and WC Board ruling in her favor on July 21, 2021, and their petition to this Court. </w:t>
      </w:r>
      <w:hyperlink r:id="rId1107" w:history="1">
        <w:r w:rsidRPr="00924257">
          <w:rPr>
            <w:rStyle w:val="Hyperlink"/>
            <w:rFonts w:ascii="Times New Roman" w:hAnsi="Times New Roman"/>
            <w:sz w:val="24"/>
            <w:szCs w:val="24"/>
          </w:rPr>
          <w:t>https://cases.justia.com/pennsylvania/commonwealth-court/2025-923-c-d-2021.pdf?ts=1742398374</w:t>
        </w:r>
      </w:hyperlink>
    </w:p>
    <w:p w14:paraId="194DED79" w14:textId="77777777" w:rsidR="00F93AE8" w:rsidRPr="00F93AE8" w:rsidRDefault="00F93AE8" w:rsidP="00F93AE8">
      <w:pPr>
        <w:pStyle w:val="NoSpacing"/>
        <w:rPr>
          <w:rFonts w:ascii="Times New Roman" w:hAnsi="Times New Roman"/>
          <w:b/>
          <w:sz w:val="24"/>
          <w:szCs w:val="24"/>
        </w:rPr>
      </w:pPr>
      <w:r w:rsidRPr="00F93AE8">
        <w:rPr>
          <w:rFonts w:ascii="Times New Roman" w:hAnsi="Times New Roman"/>
          <w:b/>
          <w:sz w:val="24"/>
          <w:szCs w:val="24"/>
        </w:rPr>
        <w:t xml:space="preserve">Legal Lesson Learned: Keep records of your exposure to fires and hazardous materials, to support testimony by your expert witness. </w:t>
      </w:r>
    </w:p>
    <w:p w14:paraId="5D9C074F" w14:textId="77777777" w:rsidR="00F93AE8" w:rsidRPr="00063B93" w:rsidRDefault="00F93AE8" w:rsidP="00F93AE8">
      <w:pPr>
        <w:pStyle w:val="NoSpacing"/>
        <w:rPr>
          <w:b/>
        </w:rPr>
      </w:pPr>
    </w:p>
    <w:p w14:paraId="34602CFA" w14:textId="77777777" w:rsidR="00924257" w:rsidRPr="00063B93" w:rsidRDefault="00924257" w:rsidP="00924257">
      <w:pPr>
        <w:pStyle w:val="NoSpacing"/>
        <w:rPr>
          <w:b/>
        </w:rPr>
      </w:pPr>
    </w:p>
    <w:p w14:paraId="6A1A2CE8" w14:textId="77777777" w:rsidR="00986728" w:rsidRDefault="00986728" w:rsidP="00EF1133">
      <w:pPr>
        <w:rPr>
          <w:rFonts w:ascii="Arial Black" w:hAnsi="Arial Black"/>
          <w:b/>
          <w:sz w:val="24"/>
          <w:szCs w:val="24"/>
        </w:rPr>
      </w:pPr>
    </w:p>
    <w:p w14:paraId="5E111C04" w14:textId="2A53C0DA" w:rsidR="00045450" w:rsidRDefault="00BF6F6C" w:rsidP="00EF1133">
      <w:pPr>
        <w:rPr>
          <w:rFonts w:ascii="Arial Black" w:hAnsi="Arial Black"/>
          <w:b/>
          <w:sz w:val="24"/>
          <w:szCs w:val="24"/>
        </w:rPr>
      </w:pPr>
      <w:r>
        <w:rPr>
          <w:rFonts w:ascii="Arial Black" w:hAnsi="Arial Black"/>
          <w:b/>
          <w:sz w:val="24"/>
          <w:szCs w:val="24"/>
        </w:rPr>
        <w:t>6-152</w:t>
      </w:r>
    </w:p>
    <w:p w14:paraId="46DF1A05" w14:textId="77777777" w:rsidR="000A5F54" w:rsidRPr="000B7F2C" w:rsidRDefault="000A5F54" w:rsidP="000A5F54">
      <w:pPr>
        <w:rPr>
          <w:rFonts w:ascii="Arial Black" w:hAnsi="Arial Black"/>
          <w:b/>
          <w:sz w:val="28"/>
          <w:szCs w:val="28"/>
        </w:rPr>
      </w:pPr>
      <w:r w:rsidRPr="000B7F2C">
        <w:rPr>
          <w:rFonts w:ascii="Arial Black" w:hAnsi="Arial Black"/>
          <w:b/>
          <w:sz w:val="28"/>
          <w:szCs w:val="28"/>
        </w:rPr>
        <w:t xml:space="preserve">IL: </w:t>
      </w:r>
      <w:r>
        <w:rPr>
          <w:rFonts w:ascii="Arial Black" w:hAnsi="Arial Black"/>
          <w:b/>
          <w:sz w:val="28"/>
          <w:szCs w:val="28"/>
        </w:rPr>
        <w:t xml:space="preserve">DIAB. </w:t>
      </w:r>
      <w:r w:rsidRPr="000B7F2C">
        <w:rPr>
          <w:rFonts w:ascii="Arial Black" w:hAnsi="Arial Black"/>
          <w:b/>
          <w:sz w:val="28"/>
          <w:szCs w:val="28"/>
        </w:rPr>
        <w:t xml:space="preserve">HEALTH INSUR </w:t>
      </w:r>
      <w:r>
        <w:rPr>
          <w:rFonts w:ascii="Arial Black" w:hAnsi="Arial Black"/>
          <w:b/>
          <w:sz w:val="28"/>
          <w:szCs w:val="28"/>
        </w:rPr>
        <w:t xml:space="preserve">IF </w:t>
      </w:r>
      <w:r w:rsidRPr="000B7F2C">
        <w:rPr>
          <w:rFonts w:ascii="Arial Black" w:hAnsi="Arial Black"/>
          <w:b/>
          <w:sz w:val="28"/>
          <w:szCs w:val="28"/>
        </w:rPr>
        <w:t xml:space="preserve">“EMERGENCY” </w:t>
      </w:r>
      <w:r>
        <w:rPr>
          <w:rFonts w:ascii="Arial Black" w:hAnsi="Arial Black"/>
          <w:b/>
          <w:sz w:val="28"/>
          <w:szCs w:val="28"/>
        </w:rPr>
        <w:t xml:space="preserve">-  </w:t>
      </w:r>
      <w:r w:rsidRPr="000B7F2C">
        <w:rPr>
          <w:rFonts w:ascii="Arial Black" w:hAnsi="Arial Black"/>
          <w:b/>
          <w:sz w:val="28"/>
          <w:szCs w:val="28"/>
        </w:rPr>
        <w:t>LIFT</w:t>
      </w:r>
      <w:r>
        <w:rPr>
          <w:rFonts w:ascii="Arial Black" w:hAnsi="Arial Black"/>
          <w:b/>
          <w:sz w:val="28"/>
          <w:szCs w:val="28"/>
        </w:rPr>
        <w:t xml:space="preserve"> PT</w:t>
      </w:r>
    </w:p>
    <w:p w14:paraId="77F600DD" w14:textId="77777777" w:rsidR="000A5F54" w:rsidRPr="000A5F54" w:rsidRDefault="000A5F54" w:rsidP="000A5F54">
      <w:pPr>
        <w:rPr>
          <w:rFonts w:ascii="Times New Roman" w:hAnsi="Times New Roman"/>
          <w:sz w:val="24"/>
          <w:szCs w:val="24"/>
        </w:rPr>
      </w:pPr>
      <w:r w:rsidRPr="000A5F54">
        <w:rPr>
          <w:rFonts w:ascii="Times New Roman" w:hAnsi="Times New Roman"/>
          <w:sz w:val="24"/>
          <w:szCs w:val="24"/>
        </w:rPr>
        <w:t xml:space="preserve">On Feb. 20, 2925, in </w:t>
      </w:r>
      <w:r w:rsidRPr="000A5F54">
        <w:rPr>
          <w:rFonts w:ascii="Times New Roman" w:hAnsi="Times New Roman"/>
          <w:sz w:val="24"/>
          <w:szCs w:val="24"/>
          <w:u w:val="single"/>
        </w:rPr>
        <w:t>Charles R. Ford v. Village of Northbrook, et al</w:t>
      </w:r>
      <w:r w:rsidRPr="000A5F54">
        <w:rPr>
          <w:rFonts w:ascii="Times New Roman" w:hAnsi="Times New Roman"/>
          <w:sz w:val="24"/>
          <w:szCs w:val="24"/>
        </w:rPr>
        <w:t xml:space="preserve">., the Court of Appeals of Illinois, First District, Fourth Division, held (3 to 0) that the trial court correctly held the firefighter was met the definition of the health insurance statute – he was injured in “response to what is reasonably believed to be an emergency.” The had responded non-fire emergent to a “person feeling week” – and found patient (325-pounds, 65-years old) sitting on the toilet with two family members holding her upright.  They used a stair chair, moved her the ambulance, and transported her red lights and siren.   While moving her to hospital bed he felt pain in his right shoulder.  The shoulder showed no fracture or dislocation, but Mr. Ford had a narrowing of his cervical spine in certain areas. An MRI also showed a narrowing of Mr. Ford’s cervical spine, and he received a line-of-duty pension, but the Village denied health insurance since the emergency transport had concluded.   </w:t>
      </w:r>
      <w:hyperlink r:id="rId1108" w:history="1">
        <w:r w:rsidRPr="000A5F54">
          <w:rPr>
            <w:rStyle w:val="Hyperlink"/>
            <w:rFonts w:ascii="Times New Roman" w:hAnsi="Times New Roman"/>
            <w:sz w:val="24"/>
            <w:szCs w:val="24"/>
          </w:rPr>
          <w:t>https://ilcourtsaudio.blob.core.windows.net/antilles-resources/resources/09ac8ced-f502-4e22-9f67-a03c9e14d801/Ford%20v.%20Village%20of%20Northbrook,%202025%20IL%20App%20(1st)%20231952-U.pdf</w:t>
        </w:r>
      </w:hyperlink>
      <w:r w:rsidRPr="000A5F54">
        <w:rPr>
          <w:rFonts w:ascii="Times New Roman" w:hAnsi="Times New Roman"/>
          <w:sz w:val="24"/>
          <w:szCs w:val="24"/>
        </w:rPr>
        <w:t xml:space="preserve"> </w:t>
      </w:r>
    </w:p>
    <w:p w14:paraId="338C1054" w14:textId="77777777" w:rsidR="000A5F54" w:rsidRPr="000A5F54" w:rsidRDefault="000A5F54" w:rsidP="000A5F54">
      <w:pPr>
        <w:rPr>
          <w:rFonts w:ascii="Times New Roman" w:hAnsi="Times New Roman"/>
          <w:sz w:val="24"/>
          <w:szCs w:val="24"/>
        </w:rPr>
      </w:pPr>
      <w:r w:rsidRPr="000A5F54">
        <w:rPr>
          <w:rFonts w:ascii="Times New Roman" w:hAnsi="Times New Roman"/>
          <w:sz w:val="24"/>
          <w:szCs w:val="24"/>
        </w:rPr>
        <w:t>The Court wrote:</w:t>
      </w:r>
    </w:p>
    <w:p w14:paraId="1F5B2BAD"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t>“The circuit court granted Mr. Ford’s writ of certiorari, finding that the Village’s</w:t>
      </w:r>
    </w:p>
    <w:p w14:paraId="07A7586E" w14:textId="77777777" w:rsidR="000A5F54" w:rsidRPr="000A5F54" w:rsidRDefault="000A5F54" w:rsidP="000A5F54">
      <w:pPr>
        <w:pStyle w:val="NoSpacing"/>
        <w:ind w:left="720"/>
        <w:rPr>
          <w:rFonts w:ascii="Times New Roman" w:hAnsi="Times New Roman"/>
          <w:sz w:val="24"/>
          <w:szCs w:val="24"/>
        </w:rPr>
      </w:pPr>
      <w:r w:rsidRPr="000A5F54">
        <w:rPr>
          <w:rFonts w:ascii="Times New Roman" w:hAnsi="Times New Roman"/>
          <w:sz w:val="24"/>
          <w:szCs w:val="24"/>
        </w:rPr>
        <w:t>determination that Mr. Ford was not injured while responding to what he reasonably believed to be an emergency was clearly erroneous. The court observed that the medical records showed that the patient presented with pale skin, was on numerous medications, was complaining of pain, and was given oxygen in the ambulance. The court noted at the time Mr. Ford was injured while transferring the patient, he did not have a diagnosis for the patient, did not know the cause of her pain, and could not have known if the emergency had passed. The court determined that it was reasonable for Mr. Ford to believe that the emergency was ongoing. The court therefore reversed the decision of the Village and instructed the Village to provide Mr. Ford health insurance benefits under the Act.</w:t>
      </w:r>
    </w:p>
    <w:p w14:paraId="39F81980" w14:textId="77777777" w:rsidR="000A5F54" w:rsidRPr="000A5F54" w:rsidRDefault="000A5F54" w:rsidP="000A5F54">
      <w:pPr>
        <w:pStyle w:val="NoSpacing"/>
        <w:rPr>
          <w:rFonts w:ascii="Times New Roman" w:hAnsi="Times New Roman"/>
          <w:sz w:val="24"/>
          <w:szCs w:val="24"/>
        </w:rPr>
      </w:pPr>
    </w:p>
    <w:p w14:paraId="7DF71D69"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t>***</w:t>
      </w:r>
    </w:p>
    <w:p w14:paraId="0C304427"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t xml:space="preserve">Accordingly, we find that these facts establish that Mr. Ford was injured </w:t>
      </w:r>
      <w:proofErr w:type="gramStart"/>
      <w:r w:rsidRPr="000A5F54">
        <w:rPr>
          <w:rFonts w:ascii="Times New Roman" w:hAnsi="Times New Roman"/>
          <w:sz w:val="24"/>
          <w:szCs w:val="24"/>
        </w:rPr>
        <w:t>as a result of</w:t>
      </w:r>
      <w:proofErr w:type="gramEnd"/>
      <w:r w:rsidRPr="000A5F54">
        <w:rPr>
          <w:rFonts w:ascii="Times New Roman" w:hAnsi="Times New Roman"/>
          <w:sz w:val="24"/>
          <w:szCs w:val="24"/>
        </w:rPr>
        <w:t xml:space="preserve"> his</w:t>
      </w:r>
    </w:p>
    <w:p w14:paraId="32B33B26" w14:textId="77777777" w:rsidR="000A5F54" w:rsidRPr="000A5F54" w:rsidRDefault="000A5F54" w:rsidP="000A5F54">
      <w:pPr>
        <w:pStyle w:val="NoSpacing"/>
        <w:ind w:left="720"/>
        <w:rPr>
          <w:rFonts w:ascii="Times New Roman" w:hAnsi="Times New Roman"/>
          <w:sz w:val="24"/>
          <w:szCs w:val="24"/>
        </w:rPr>
      </w:pPr>
      <w:r w:rsidRPr="000A5F54">
        <w:rPr>
          <w:rFonts w:ascii="Times New Roman" w:hAnsi="Times New Roman"/>
          <w:sz w:val="24"/>
          <w:szCs w:val="24"/>
        </w:rPr>
        <w:t>response to what he reasonably believed to be an emergency. We are therefore left with the definite and firm conviction that the Village’s finding to the contrary was clearly erroneous. We find that, under the circumstances of this case, Mr. Ford was entitled to benefits under section 10 of the Act and we affirm the judgment of the circuit court reversing the decision of the Village.”</w:t>
      </w:r>
    </w:p>
    <w:p w14:paraId="20F0F660" w14:textId="77777777" w:rsidR="000A5F54" w:rsidRPr="000A5F54" w:rsidRDefault="000A5F54" w:rsidP="000A5F54">
      <w:pPr>
        <w:pStyle w:val="NoSpacing"/>
        <w:rPr>
          <w:rFonts w:ascii="Times New Roman" w:hAnsi="Times New Roman"/>
          <w:sz w:val="24"/>
          <w:szCs w:val="24"/>
        </w:rPr>
      </w:pPr>
    </w:p>
    <w:p w14:paraId="572884FC" w14:textId="77777777" w:rsidR="000A5F54" w:rsidRPr="000A5F54" w:rsidRDefault="000A5F54" w:rsidP="000A5F54">
      <w:pPr>
        <w:pStyle w:val="NoSpacing"/>
        <w:rPr>
          <w:rFonts w:ascii="Times New Roman" w:hAnsi="Times New Roman"/>
          <w:b/>
          <w:bCs/>
          <w:sz w:val="24"/>
          <w:szCs w:val="24"/>
        </w:rPr>
      </w:pPr>
      <w:r w:rsidRPr="000A5F54">
        <w:rPr>
          <w:rFonts w:ascii="Times New Roman" w:hAnsi="Times New Roman"/>
          <w:b/>
          <w:sz w:val="24"/>
          <w:szCs w:val="24"/>
        </w:rPr>
        <w:t xml:space="preserve">Legal Lesson Learned:  The firefighter won his appeal; court viewed the entirety of the EMS run as an emergency, including the transport and lifting her on hospital bed. </w:t>
      </w:r>
    </w:p>
    <w:p w14:paraId="7732FD32" w14:textId="77777777" w:rsidR="00BF6F6C" w:rsidRPr="000A5F54" w:rsidRDefault="00BF6F6C" w:rsidP="00EF1133">
      <w:pPr>
        <w:rPr>
          <w:rFonts w:ascii="Times New Roman" w:hAnsi="Times New Roman"/>
          <w:b/>
          <w:sz w:val="24"/>
          <w:szCs w:val="24"/>
        </w:rPr>
      </w:pPr>
    </w:p>
    <w:p w14:paraId="22AAFD78" w14:textId="77777777" w:rsidR="00045450" w:rsidRPr="000A5F54" w:rsidRDefault="00045450" w:rsidP="00EF1133">
      <w:pPr>
        <w:rPr>
          <w:rFonts w:ascii="Times New Roman" w:hAnsi="Times New Roman"/>
          <w:b/>
          <w:sz w:val="24"/>
          <w:szCs w:val="24"/>
        </w:rPr>
      </w:pPr>
    </w:p>
    <w:p w14:paraId="3D7D6216" w14:textId="3755CAC7" w:rsidR="00045450" w:rsidRDefault="00045450" w:rsidP="00EF1133">
      <w:pPr>
        <w:rPr>
          <w:rFonts w:ascii="Arial Black" w:hAnsi="Arial Black"/>
          <w:b/>
          <w:sz w:val="24"/>
          <w:szCs w:val="24"/>
        </w:rPr>
      </w:pPr>
      <w:r>
        <w:rPr>
          <w:rFonts w:ascii="Arial Black" w:hAnsi="Arial Black"/>
          <w:b/>
          <w:sz w:val="24"/>
          <w:szCs w:val="24"/>
        </w:rPr>
        <w:t>6-151</w:t>
      </w:r>
    </w:p>
    <w:p w14:paraId="1684856A" w14:textId="77777777" w:rsidR="00045450" w:rsidRPr="000B7F2C" w:rsidRDefault="00045450" w:rsidP="00045450">
      <w:pPr>
        <w:rPr>
          <w:rFonts w:ascii="Arial Black" w:hAnsi="Arial Black"/>
          <w:sz w:val="28"/>
          <w:szCs w:val="28"/>
        </w:rPr>
      </w:pPr>
      <w:r w:rsidRPr="000B7F2C">
        <w:rPr>
          <w:rFonts w:ascii="Arial Black" w:hAnsi="Arial Black"/>
          <w:sz w:val="28"/>
          <w:szCs w:val="28"/>
        </w:rPr>
        <w:t>MO: CARPEL TUNNEL –</w:t>
      </w:r>
      <w:r>
        <w:rPr>
          <w:rFonts w:ascii="Arial Black" w:hAnsi="Arial Black"/>
          <w:sz w:val="28"/>
          <w:szCs w:val="28"/>
        </w:rPr>
        <w:t xml:space="preserve"> </w:t>
      </w:r>
      <w:r w:rsidRPr="000B7F2C">
        <w:rPr>
          <w:rFonts w:ascii="Arial Black" w:hAnsi="Arial Black"/>
          <w:sz w:val="28"/>
          <w:szCs w:val="28"/>
        </w:rPr>
        <w:t>3 MDs AGREE</w:t>
      </w:r>
      <w:r>
        <w:rPr>
          <w:rFonts w:ascii="Arial Black" w:hAnsi="Arial Black"/>
          <w:sz w:val="28"/>
          <w:szCs w:val="28"/>
        </w:rPr>
        <w:t xml:space="preserve"> </w:t>
      </w:r>
      <w:r w:rsidRPr="000B7F2C">
        <w:rPr>
          <w:rFonts w:ascii="Arial Black" w:hAnsi="Arial Black"/>
          <w:sz w:val="28"/>
          <w:szCs w:val="28"/>
        </w:rPr>
        <w:t xml:space="preserve">“DUTY-RELATED” </w:t>
      </w:r>
    </w:p>
    <w:p w14:paraId="74FEE003" w14:textId="77777777" w:rsidR="00045450" w:rsidRPr="00045450" w:rsidRDefault="00045450" w:rsidP="00045450">
      <w:pPr>
        <w:rPr>
          <w:rFonts w:ascii="Times New Roman" w:hAnsi="Times New Roman"/>
          <w:sz w:val="24"/>
          <w:szCs w:val="24"/>
        </w:rPr>
      </w:pPr>
      <w:r w:rsidRPr="00045450">
        <w:rPr>
          <w:rFonts w:ascii="Times New Roman" w:hAnsi="Times New Roman"/>
          <w:sz w:val="24"/>
          <w:szCs w:val="24"/>
        </w:rPr>
        <w:t xml:space="preserve">On Feb. 19, 2025, in </w:t>
      </w:r>
      <w:r w:rsidRPr="00045450">
        <w:rPr>
          <w:rFonts w:ascii="Times New Roman" w:hAnsi="Times New Roman"/>
          <w:sz w:val="24"/>
          <w:szCs w:val="24"/>
          <w:u w:val="single"/>
        </w:rPr>
        <w:t>State of Missouri ex rel. Jeremy Starr v. Board of Trustees for the Firefighter’s Pension System of the City of Kansas City, Missouri</w:t>
      </w:r>
      <w:r w:rsidRPr="00045450">
        <w:rPr>
          <w:rFonts w:ascii="Times New Roman" w:hAnsi="Times New Roman"/>
          <w:sz w:val="24"/>
          <w:szCs w:val="24"/>
        </w:rPr>
        <w:t xml:space="preserve">, the Court of Appeals of Missouri, Western District, Second Division, held (3 to 0) the Circuit Court correctly reversed the Board, and awarded him a “duty-related” disability pension.  Jeremy Starr served on the Kansas City fire department for 18.5 years. Three medical experts - plaintiff’s treating physician and the Boards’ two independent medical examiners – all agreed the carpal tunnel “substantially caused by actual performance of [Starr’s] duty as a firefighter.”  </w:t>
      </w:r>
      <w:hyperlink r:id="rId1109" w:history="1">
        <w:r w:rsidRPr="00045450">
          <w:rPr>
            <w:rStyle w:val="Hyperlink"/>
            <w:rFonts w:ascii="Times New Roman" w:hAnsi="Times New Roman"/>
            <w:sz w:val="24"/>
            <w:szCs w:val="24"/>
          </w:rPr>
          <w:t>https://cases.justia.com/missouri/court-of-appeals/2025-wd87111.pdf?ts=1739982610</w:t>
        </w:r>
      </w:hyperlink>
      <w:r w:rsidRPr="00045450">
        <w:rPr>
          <w:rFonts w:ascii="Times New Roman" w:hAnsi="Times New Roman"/>
          <w:sz w:val="24"/>
          <w:szCs w:val="24"/>
        </w:rPr>
        <w:t xml:space="preserve"> </w:t>
      </w:r>
    </w:p>
    <w:p w14:paraId="70E4CF3E" w14:textId="77777777" w:rsidR="00045450" w:rsidRPr="00045450" w:rsidRDefault="00045450" w:rsidP="00045450">
      <w:pPr>
        <w:pStyle w:val="NoSpacing"/>
        <w:rPr>
          <w:rFonts w:ascii="Times New Roman" w:hAnsi="Times New Roman"/>
          <w:sz w:val="24"/>
          <w:szCs w:val="24"/>
        </w:rPr>
      </w:pPr>
      <w:r w:rsidRPr="00045450">
        <w:rPr>
          <w:rFonts w:ascii="Times New Roman" w:hAnsi="Times New Roman"/>
          <w:sz w:val="24"/>
          <w:szCs w:val="24"/>
        </w:rPr>
        <w:t>The Court wrote:</w:t>
      </w:r>
    </w:p>
    <w:p w14:paraId="14EF7CFB" w14:textId="77777777" w:rsidR="00045450" w:rsidRPr="00045450" w:rsidRDefault="00045450" w:rsidP="00045450">
      <w:pPr>
        <w:pStyle w:val="NoSpacing"/>
        <w:rPr>
          <w:rFonts w:ascii="Times New Roman" w:hAnsi="Times New Roman"/>
          <w:sz w:val="24"/>
          <w:szCs w:val="24"/>
        </w:rPr>
      </w:pPr>
    </w:p>
    <w:p w14:paraId="429A5B9C"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“The Pension Board rejected the opinions of Starr’s treating physician and</w:t>
      </w:r>
    </w:p>
    <w:p w14:paraId="36B952E1"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the Medical Board doctors, and consequently found that Starr had failed to</w:t>
      </w:r>
    </w:p>
    <w:p w14:paraId="7EAD4818"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satisfy his burden to prove work-relatedness, based primarily on two factors:</w:t>
      </w:r>
    </w:p>
    <w:p w14:paraId="58B3B010"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 xml:space="preserve">(1) that Starr had overstated his use of </w:t>
      </w:r>
      <w:proofErr w:type="gramStart"/>
      <w:r w:rsidRPr="00045450">
        <w:rPr>
          <w:rFonts w:ascii="Times New Roman" w:hAnsi="Times New Roman"/>
          <w:sz w:val="24"/>
          <w:szCs w:val="24"/>
        </w:rPr>
        <w:t>particular vibrating</w:t>
      </w:r>
      <w:proofErr w:type="gramEnd"/>
      <w:r w:rsidRPr="00045450">
        <w:rPr>
          <w:rFonts w:ascii="Times New Roman" w:hAnsi="Times New Roman"/>
          <w:sz w:val="24"/>
          <w:szCs w:val="24"/>
        </w:rPr>
        <w:t xml:space="preserve"> equipment (driving a</w:t>
      </w:r>
    </w:p>
    <w:p w14:paraId="00762CA9"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pumper truck; using power tools and chainsaws); and (2) that Starr had been on</w:t>
      </w:r>
    </w:p>
    <w:p w14:paraId="509BF083"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modified duty, and was therefore not exposed to the rigors of fire suppression</w:t>
      </w:r>
    </w:p>
    <w:p w14:paraId="0966B660"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work, for half the time in the twenty-seven months before his disability</w:t>
      </w:r>
    </w:p>
    <w:p w14:paraId="446F2537"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manifested.</w:t>
      </w:r>
    </w:p>
    <w:p w14:paraId="76F38C7D" w14:textId="77777777" w:rsidR="00045450" w:rsidRPr="00045450" w:rsidRDefault="00045450" w:rsidP="00045450">
      <w:pPr>
        <w:pStyle w:val="NoSpacing"/>
        <w:rPr>
          <w:rFonts w:ascii="Times New Roman" w:hAnsi="Times New Roman"/>
          <w:sz w:val="24"/>
          <w:szCs w:val="24"/>
        </w:rPr>
      </w:pPr>
    </w:p>
    <w:p w14:paraId="78618B9F"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w:t>
      </w:r>
    </w:p>
    <w:p w14:paraId="51364879" w14:textId="77777777" w:rsidR="00045450" w:rsidRPr="00045450" w:rsidRDefault="00045450" w:rsidP="00045450">
      <w:pPr>
        <w:pStyle w:val="NoSpacing"/>
        <w:rPr>
          <w:rFonts w:ascii="Times New Roman" w:hAnsi="Times New Roman"/>
          <w:sz w:val="24"/>
          <w:szCs w:val="24"/>
        </w:rPr>
      </w:pPr>
    </w:p>
    <w:p w14:paraId="2A873196" w14:textId="77777777" w:rsidR="00045450" w:rsidRPr="00045450" w:rsidRDefault="00045450" w:rsidP="00045450">
      <w:pPr>
        <w:pStyle w:val="NoSpacing"/>
        <w:ind w:left="720"/>
        <w:rPr>
          <w:rFonts w:ascii="Times New Roman" w:hAnsi="Times New Roman"/>
          <w:sz w:val="24"/>
          <w:szCs w:val="24"/>
        </w:rPr>
      </w:pPr>
      <w:r w:rsidRPr="00045450">
        <w:rPr>
          <w:rFonts w:ascii="Times New Roman" w:hAnsi="Times New Roman"/>
          <w:sz w:val="24"/>
          <w:szCs w:val="24"/>
        </w:rPr>
        <w:t xml:space="preserve">The Pension Board’s conclusion that Starr had failed to prove that his disability was work related is unsupported by sufficient competent </w:t>
      </w:r>
      <w:proofErr w:type="gramStart"/>
      <w:r w:rsidRPr="00045450">
        <w:rPr>
          <w:rFonts w:ascii="Times New Roman" w:hAnsi="Times New Roman"/>
          <w:sz w:val="24"/>
          <w:szCs w:val="24"/>
        </w:rPr>
        <w:t>evidence, and</w:t>
      </w:r>
      <w:proofErr w:type="gramEnd"/>
      <w:r w:rsidRPr="00045450">
        <w:rPr>
          <w:rFonts w:ascii="Times New Roman" w:hAnsi="Times New Roman"/>
          <w:sz w:val="24"/>
          <w:szCs w:val="24"/>
        </w:rPr>
        <w:t xml:space="preserve"> must be reversed.”</w:t>
      </w:r>
    </w:p>
    <w:p w14:paraId="1F8602FD" w14:textId="77777777" w:rsidR="00045450" w:rsidRPr="00045450" w:rsidRDefault="00045450" w:rsidP="00045450">
      <w:pPr>
        <w:pStyle w:val="NoSpacing"/>
        <w:rPr>
          <w:rFonts w:ascii="Times New Roman" w:hAnsi="Times New Roman"/>
          <w:b/>
          <w:sz w:val="24"/>
          <w:szCs w:val="24"/>
        </w:rPr>
      </w:pPr>
    </w:p>
    <w:p w14:paraId="732D5FED" w14:textId="77777777" w:rsidR="00045450" w:rsidRPr="00045450" w:rsidRDefault="00045450" w:rsidP="00045450">
      <w:pPr>
        <w:pStyle w:val="NoSpacing"/>
        <w:rPr>
          <w:rFonts w:ascii="Times New Roman" w:hAnsi="Times New Roman"/>
          <w:b/>
          <w:sz w:val="24"/>
          <w:szCs w:val="24"/>
        </w:rPr>
      </w:pPr>
      <w:r w:rsidRPr="00045450">
        <w:rPr>
          <w:rFonts w:ascii="Times New Roman" w:hAnsi="Times New Roman"/>
          <w:b/>
          <w:sz w:val="24"/>
          <w:szCs w:val="24"/>
        </w:rPr>
        <w:t xml:space="preserve">Legal Lesson Learned: The Board improperly rejected the conclusion of its two independent medical examiners. </w:t>
      </w:r>
    </w:p>
    <w:p w14:paraId="2EC5F3E5" w14:textId="77777777" w:rsidR="00045450" w:rsidRPr="00045450" w:rsidRDefault="00045450" w:rsidP="00045450">
      <w:pPr>
        <w:rPr>
          <w:rFonts w:ascii="Times New Roman" w:hAnsi="Times New Roman"/>
          <w:sz w:val="24"/>
          <w:szCs w:val="24"/>
        </w:rPr>
      </w:pPr>
    </w:p>
    <w:p w14:paraId="2EB2997C" w14:textId="77777777" w:rsidR="002A0697" w:rsidRDefault="002A0697" w:rsidP="00B572BA">
      <w:pPr>
        <w:rPr>
          <w:rFonts w:ascii="Arial Black" w:hAnsi="Arial Black"/>
          <w:sz w:val="28"/>
          <w:szCs w:val="28"/>
        </w:rPr>
      </w:pPr>
    </w:p>
    <w:p w14:paraId="4B4B1694" w14:textId="34DF0E37" w:rsidR="002A0697" w:rsidRDefault="002A0697" w:rsidP="00B572BA">
      <w:pPr>
        <w:rPr>
          <w:rFonts w:ascii="Arial Black" w:hAnsi="Arial Black"/>
          <w:sz w:val="28"/>
          <w:szCs w:val="28"/>
        </w:rPr>
      </w:pPr>
      <w:r>
        <w:rPr>
          <w:rFonts w:ascii="Arial Black" w:hAnsi="Arial Black"/>
          <w:sz w:val="28"/>
          <w:szCs w:val="28"/>
        </w:rPr>
        <w:t>6-150</w:t>
      </w:r>
    </w:p>
    <w:p w14:paraId="0980842A" w14:textId="0641017D" w:rsidR="00B572BA" w:rsidRPr="000B7F2C" w:rsidRDefault="00B572BA" w:rsidP="00B572BA">
      <w:pPr>
        <w:rPr>
          <w:rFonts w:ascii="Arial Black" w:hAnsi="Arial Black"/>
          <w:sz w:val="28"/>
          <w:szCs w:val="28"/>
        </w:rPr>
      </w:pPr>
      <w:r w:rsidRPr="000B7F2C">
        <w:rPr>
          <w:rFonts w:ascii="Arial Black" w:hAnsi="Arial Black"/>
          <w:sz w:val="28"/>
          <w:szCs w:val="28"/>
        </w:rPr>
        <w:t>AR: PTSD –</w:t>
      </w:r>
      <w:r w:rsidR="00125039">
        <w:rPr>
          <w:rFonts w:ascii="Arial Black" w:hAnsi="Arial Black"/>
          <w:sz w:val="28"/>
          <w:szCs w:val="28"/>
        </w:rPr>
        <w:t xml:space="preserve"> ADMIN. LAW JUDGE - </w:t>
      </w:r>
      <w:r w:rsidRPr="000B7F2C">
        <w:rPr>
          <w:rFonts w:ascii="Arial Black" w:hAnsi="Arial Black"/>
          <w:sz w:val="28"/>
          <w:szCs w:val="28"/>
        </w:rPr>
        <w:t xml:space="preserve">1 YR </w:t>
      </w:r>
      <w:r w:rsidR="00E869C9">
        <w:rPr>
          <w:rFonts w:ascii="Arial Black" w:hAnsi="Arial Black"/>
          <w:sz w:val="28"/>
          <w:szCs w:val="28"/>
        </w:rPr>
        <w:t>OF</w:t>
      </w:r>
      <w:r w:rsidRPr="000B7F2C">
        <w:rPr>
          <w:rFonts w:ascii="Arial Black" w:hAnsi="Arial Black"/>
          <w:sz w:val="28"/>
          <w:szCs w:val="28"/>
        </w:rPr>
        <w:t xml:space="preserve"> “DIAGNOSIS” TO FILE WORK COMP</w:t>
      </w:r>
      <w:r>
        <w:rPr>
          <w:rFonts w:ascii="Arial Black" w:hAnsi="Arial Black"/>
          <w:sz w:val="28"/>
          <w:szCs w:val="28"/>
        </w:rPr>
        <w:t xml:space="preserve"> </w:t>
      </w:r>
      <w:r w:rsidR="00E869C9">
        <w:rPr>
          <w:rFonts w:ascii="Arial Black" w:hAnsi="Arial Black"/>
          <w:sz w:val="28"/>
          <w:szCs w:val="28"/>
        </w:rPr>
        <w:t xml:space="preserve"> </w:t>
      </w:r>
      <w:r>
        <w:rPr>
          <w:rFonts w:ascii="Arial Black" w:hAnsi="Arial Black"/>
          <w:sz w:val="28"/>
          <w:szCs w:val="28"/>
        </w:rPr>
        <w:t>[also filed, Chap. 15]</w:t>
      </w:r>
    </w:p>
    <w:p w14:paraId="225AF9A1" w14:textId="606024C8" w:rsidR="00B572BA" w:rsidRPr="00144037" w:rsidRDefault="00B572BA" w:rsidP="00B572BA">
      <w:pPr>
        <w:rPr>
          <w:rFonts w:ascii="Times New Roman" w:hAnsi="Times New Roman"/>
          <w:sz w:val="24"/>
          <w:szCs w:val="24"/>
        </w:rPr>
      </w:pPr>
      <w:r w:rsidRPr="00144037">
        <w:rPr>
          <w:rFonts w:ascii="Times New Roman" w:hAnsi="Times New Roman"/>
          <w:sz w:val="24"/>
          <w:szCs w:val="24"/>
        </w:rPr>
        <w:t xml:space="preserve">On January 27, 2025, in </w:t>
      </w:r>
      <w:r w:rsidRPr="00144037">
        <w:rPr>
          <w:rFonts w:ascii="Times New Roman" w:hAnsi="Times New Roman"/>
          <w:sz w:val="24"/>
          <w:szCs w:val="24"/>
          <w:u w:val="single"/>
        </w:rPr>
        <w:t>City of Tucson v. The Industrial Commission of Arizona; Christopher Mercer, Respondent Employee</w:t>
      </w:r>
      <w:r w:rsidRPr="00144037">
        <w:rPr>
          <w:rFonts w:ascii="Times New Roman" w:hAnsi="Times New Roman"/>
          <w:sz w:val="24"/>
          <w:szCs w:val="24"/>
        </w:rPr>
        <w:t>, the Court of Appeals of Arizona, Second Division, (3 to 0; unpublished decision) upheld the Administrative Law Judge who ruled the 1-</w:t>
      </w:r>
      <w:r w:rsidR="00125039">
        <w:rPr>
          <w:rFonts w:ascii="Times New Roman" w:hAnsi="Times New Roman"/>
          <w:sz w:val="24"/>
          <w:szCs w:val="24"/>
        </w:rPr>
        <w:t>y</w:t>
      </w:r>
      <w:r w:rsidRPr="00144037">
        <w:rPr>
          <w:rFonts w:ascii="Times New Roman" w:hAnsi="Times New Roman"/>
          <w:sz w:val="24"/>
          <w:szCs w:val="24"/>
        </w:rPr>
        <w:t xml:space="preserve">ear statute of limitations to file worker’s comp claim starts when the official diagnosis of PTSD has been made, not when employee has sought help for mental issues.  Time line: In 2017, with anger issues, his Captain suggested he see a psychiatrist; met six times between 2017 and 2021; in 2020 moved to slower station; April 2022 attended music festival off duty and helped female patient who feel 15 feet; that night at home threatened suicide including pulling trigger of 9 mil firearm (presumably unloaded); hospitalized 28 days at facility for first responders where for first time was diagnosed with PTSD; filed works comp claim July 30, 2022.  </w:t>
      </w:r>
      <w:hyperlink r:id="rId1110" w:history="1">
        <w:r w:rsidRPr="00144037">
          <w:rPr>
            <w:rStyle w:val="Hyperlink"/>
            <w:rFonts w:ascii="Times New Roman" w:hAnsi="Times New Roman"/>
            <w:sz w:val="24"/>
            <w:szCs w:val="24"/>
          </w:rPr>
          <w:t>https://cases.justia.com/arizona/court-of-appeals-division-two-unpublished/2025-2-ca-ic-2024-0003.pdf?ts=1738026580</w:t>
        </w:r>
      </w:hyperlink>
      <w:r w:rsidRPr="00144037">
        <w:rPr>
          <w:rFonts w:ascii="Times New Roman" w:hAnsi="Times New Roman"/>
          <w:sz w:val="24"/>
          <w:szCs w:val="24"/>
        </w:rPr>
        <w:t xml:space="preserve"> </w:t>
      </w:r>
    </w:p>
    <w:p w14:paraId="17275C13" w14:textId="77777777" w:rsidR="00B572BA" w:rsidRPr="00144037" w:rsidRDefault="00B572BA" w:rsidP="00B572BA">
      <w:pPr>
        <w:rPr>
          <w:rFonts w:ascii="Times New Roman" w:hAnsi="Times New Roman"/>
          <w:sz w:val="24"/>
          <w:szCs w:val="24"/>
        </w:rPr>
      </w:pPr>
    </w:p>
    <w:p w14:paraId="5C03FC6C" w14:textId="77777777" w:rsidR="00B572BA" w:rsidRPr="00144037" w:rsidRDefault="00B572BA" w:rsidP="00B572BA">
      <w:pPr>
        <w:pStyle w:val="NoSpacing"/>
        <w:rPr>
          <w:rFonts w:ascii="Times New Roman" w:hAnsi="Times New Roman"/>
          <w:sz w:val="24"/>
          <w:szCs w:val="24"/>
        </w:rPr>
      </w:pPr>
      <w:r w:rsidRPr="00144037">
        <w:rPr>
          <w:rFonts w:ascii="Times New Roman" w:hAnsi="Times New Roman"/>
          <w:sz w:val="24"/>
          <w:szCs w:val="24"/>
        </w:rPr>
        <w:t xml:space="preserve">The Court wrote: </w:t>
      </w:r>
    </w:p>
    <w:p w14:paraId="1FF7ABEE" w14:textId="77777777" w:rsidR="00B572BA" w:rsidRPr="00144037" w:rsidRDefault="00B572BA" w:rsidP="00B572BA">
      <w:pPr>
        <w:pStyle w:val="NoSpacing"/>
        <w:rPr>
          <w:rFonts w:ascii="Times New Roman" w:hAnsi="Times New Roman"/>
          <w:sz w:val="24"/>
          <w:szCs w:val="24"/>
        </w:rPr>
      </w:pPr>
    </w:p>
    <w:p w14:paraId="7B8B8420" w14:textId="77777777" w:rsidR="00B572BA" w:rsidRPr="00144037" w:rsidRDefault="00B572BA" w:rsidP="00B572BA">
      <w:pPr>
        <w:pStyle w:val="NoSpacing"/>
        <w:ind w:left="720"/>
        <w:rPr>
          <w:rFonts w:ascii="Times New Roman" w:hAnsi="Times New Roman"/>
          <w:sz w:val="24"/>
          <w:szCs w:val="24"/>
        </w:rPr>
      </w:pPr>
      <w:r w:rsidRPr="00144037">
        <w:rPr>
          <w:rFonts w:ascii="Times New Roman" w:hAnsi="Times New Roman"/>
          <w:sz w:val="24"/>
          <w:szCs w:val="24"/>
        </w:rPr>
        <w:t>“The ALJ determined that he was never ‘officially diagnosed with PTSD’ until April 2022, and there was ‘insufficient evidence to find that his symptoms had become serious and acute enough to meet the diagnosis for PTSD’ before then. The ALJ further explained that April 2022 was also the point at which Mercer first required inpatient psychiatric treatment and first became unable to return to work. Accordingly, the ALJ determined that Mercer’s July 2022 ICA claim was timely.</w:t>
      </w:r>
    </w:p>
    <w:p w14:paraId="3258C872" w14:textId="77777777" w:rsidR="00B572BA" w:rsidRPr="00144037" w:rsidRDefault="00B572BA" w:rsidP="00B572BA">
      <w:pPr>
        <w:pStyle w:val="NoSpacing"/>
        <w:rPr>
          <w:rFonts w:ascii="Times New Roman" w:hAnsi="Times New Roman"/>
          <w:sz w:val="24"/>
          <w:szCs w:val="24"/>
        </w:rPr>
      </w:pPr>
    </w:p>
    <w:p w14:paraId="130E8AF8" w14:textId="77777777" w:rsidR="00B572BA" w:rsidRPr="00144037" w:rsidRDefault="00B572BA" w:rsidP="00B572BA">
      <w:pPr>
        <w:pStyle w:val="NoSpacing"/>
        <w:ind w:firstLine="720"/>
        <w:rPr>
          <w:rFonts w:ascii="Times New Roman" w:hAnsi="Times New Roman"/>
          <w:sz w:val="24"/>
          <w:szCs w:val="24"/>
        </w:rPr>
      </w:pPr>
      <w:r w:rsidRPr="00144037">
        <w:rPr>
          <w:rFonts w:ascii="Times New Roman" w:hAnsi="Times New Roman"/>
          <w:sz w:val="24"/>
          <w:szCs w:val="24"/>
        </w:rPr>
        <w:t>***</w:t>
      </w:r>
    </w:p>
    <w:p w14:paraId="2FF5FF7F" w14:textId="77777777" w:rsidR="00B572BA" w:rsidRPr="00144037" w:rsidRDefault="00B572BA" w:rsidP="00B572BA">
      <w:pPr>
        <w:pStyle w:val="NoSpacing"/>
        <w:rPr>
          <w:rFonts w:ascii="Times New Roman" w:hAnsi="Times New Roman"/>
          <w:sz w:val="24"/>
          <w:szCs w:val="24"/>
        </w:rPr>
      </w:pPr>
    </w:p>
    <w:p w14:paraId="0B5775D8" w14:textId="77777777" w:rsidR="00B572BA" w:rsidRPr="00144037" w:rsidRDefault="00B572BA" w:rsidP="00B572BA">
      <w:pPr>
        <w:pStyle w:val="NoSpacing"/>
        <w:ind w:left="720"/>
        <w:rPr>
          <w:rFonts w:ascii="Times New Roman" w:hAnsi="Times New Roman"/>
          <w:sz w:val="24"/>
          <w:szCs w:val="24"/>
        </w:rPr>
      </w:pPr>
      <w:r w:rsidRPr="00144037">
        <w:rPr>
          <w:rFonts w:ascii="Times New Roman" w:hAnsi="Times New Roman"/>
          <w:sz w:val="24"/>
          <w:szCs w:val="24"/>
        </w:rPr>
        <w:t>[T]</w:t>
      </w:r>
      <w:proofErr w:type="gramStart"/>
      <w:r w:rsidRPr="00144037">
        <w:rPr>
          <w:rFonts w:ascii="Times New Roman" w:hAnsi="Times New Roman"/>
          <w:sz w:val="24"/>
          <w:szCs w:val="24"/>
        </w:rPr>
        <w:t>he</w:t>
      </w:r>
      <w:proofErr w:type="gramEnd"/>
      <w:r w:rsidRPr="00144037">
        <w:rPr>
          <w:rFonts w:ascii="Times New Roman" w:hAnsi="Times New Roman"/>
          <w:sz w:val="24"/>
          <w:szCs w:val="24"/>
        </w:rPr>
        <w:t xml:space="preserve"> City contends it produced expert testimony that Mercer’s PTSD was diagnosable prior to July 2021, it has satisfied some portion of the test for the accrual of mental injuries. Not so.” </w:t>
      </w:r>
    </w:p>
    <w:p w14:paraId="3550969E" w14:textId="77777777" w:rsidR="00B572BA" w:rsidRPr="00144037" w:rsidRDefault="00B572BA" w:rsidP="00B572BA">
      <w:pPr>
        <w:pStyle w:val="NoSpacing"/>
        <w:rPr>
          <w:rFonts w:ascii="Times New Roman" w:hAnsi="Times New Roman"/>
          <w:b/>
          <w:bCs/>
          <w:sz w:val="24"/>
          <w:szCs w:val="24"/>
        </w:rPr>
      </w:pPr>
    </w:p>
    <w:p w14:paraId="6FAEF93F" w14:textId="77777777" w:rsidR="00B572BA" w:rsidRPr="00144037" w:rsidRDefault="00B572BA" w:rsidP="00B572BA">
      <w:pPr>
        <w:pStyle w:val="NoSpacing"/>
        <w:rPr>
          <w:rFonts w:ascii="Times New Roman" w:hAnsi="Times New Roman"/>
          <w:b/>
          <w:bCs/>
          <w:sz w:val="24"/>
          <w:szCs w:val="24"/>
        </w:rPr>
      </w:pPr>
      <w:r w:rsidRPr="00144037">
        <w:rPr>
          <w:rFonts w:ascii="Times New Roman" w:hAnsi="Times New Roman"/>
          <w:b/>
          <w:sz w:val="24"/>
          <w:szCs w:val="24"/>
        </w:rPr>
        <w:t xml:space="preserve">Legal Lesson Learned: Excellent decision; city can’t force employees to file workers comp claim when they are merely seeking assistance. </w:t>
      </w:r>
    </w:p>
    <w:p w14:paraId="4C954BAA" w14:textId="77777777" w:rsidR="00045450" w:rsidRPr="00045450" w:rsidRDefault="00045450" w:rsidP="00EF1133">
      <w:pPr>
        <w:rPr>
          <w:rFonts w:ascii="Times New Roman" w:hAnsi="Times New Roman"/>
          <w:b/>
          <w:sz w:val="24"/>
          <w:szCs w:val="24"/>
        </w:rPr>
      </w:pPr>
    </w:p>
    <w:p w14:paraId="4DFD8CE9" w14:textId="77777777" w:rsidR="00045450" w:rsidRDefault="00045450" w:rsidP="00EF1133">
      <w:pPr>
        <w:rPr>
          <w:rFonts w:ascii="Arial Black" w:hAnsi="Arial Black"/>
          <w:b/>
          <w:sz w:val="24"/>
          <w:szCs w:val="24"/>
        </w:rPr>
      </w:pPr>
    </w:p>
    <w:p w14:paraId="7EE5F35D" w14:textId="6D2524AC" w:rsidR="00AF0D0A" w:rsidRDefault="00AF0D0A" w:rsidP="00EF1133">
      <w:pPr>
        <w:rPr>
          <w:rFonts w:ascii="Arial Black" w:hAnsi="Arial Black"/>
          <w:b/>
          <w:sz w:val="24"/>
          <w:szCs w:val="24"/>
        </w:rPr>
      </w:pPr>
      <w:r>
        <w:rPr>
          <w:rFonts w:ascii="Arial Black" w:hAnsi="Arial Black"/>
          <w:b/>
          <w:sz w:val="24"/>
          <w:szCs w:val="24"/>
        </w:rPr>
        <w:t>6-1</w:t>
      </w:r>
      <w:r w:rsidR="002A0697">
        <w:rPr>
          <w:rFonts w:ascii="Arial Black" w:hAnsi="Arial Black"/>
          <w:b/>
          <w:sz w:val="24"/>
          <w:szCs w:val="24"/>
        </w:rPr>
        <w:t>49</w:t>
      </w:r>
    </w:p>
    <w:p w14:paraId="3836D6EE" w14:textId="77777777" w:rsidR="00AF0D0A" w:rsidRPr="00386040" w:rsidRDefault="00AF0D0A" w:rsidP="00AF0D0A">
      <w:pPr>
        <w:pStyle w:val="NoSpacing"/>
        <w:rPr>
          <w:rFonts w:ascii="Arial Black" w:hAnsi="Arial Black"/>
          <w:sz w:val="28"/>
          <w:szCs w:val="28"/>
        </w:rPr>
      </w:pPr>
      <w:r>
        <w:rPr>
          <w:rFonts w:ascii="Arial Black" w:hAnsi="Arial Black"/>
          <w:sz w:val="28"/>
          <w:szCs w:val="28"/>
        </w:rPr>
        <w:t xml:space="preserve">NJ: FF BROKE ANKLE – ORDIN. DISAB., NOT “UNEXPECTED”   </w:t>
      </w:r>
    </w:p>
    <w:p w14:paraId="2AE0466C" w14:textId="77777777" w:rsidR="00AF0D0A" w:rsidRPr="00AF0D0A" w:rsidRDefault="00AF0D0A" w:rsidP="00AF0D0A">
      <w:pPr>
        <w:pStyle w:val="NoSpacing"/>
        <w:rPr>
          <w:rFonts w:ascii="Times New Roman" w:hAnsi="Times New Roman"/>
          <w:sz w:val="24"/>
          <w:szCs w:val="24"/>
        </w:rPr>
      </w:pPr>
    </w:p>
    <w:p w14:paraId="78FA6E87"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sz w:val="24"/>
          <w:szCs w:val="24"/>
        </w:rPr>
        <w:t xml:space="preserve">On Jan. 17, 2025, in </w:t>
      </w:r>
      <w:r w:rsidRPr="00AF0D0A">
        <w:rPr>
          <w:rFonts w:ascii="Times New Roman" w:hAnsi="Times New Roman"/>
          <w:sz w:val="24"/>
          <w:szCs w:val="24"/>
          <w:u w:val="single"/>
        </w:rPr>
        <w:t>Roberto Villarreal-Rio v. Board of Trustees, Police and Fireman’s Retirement System</w:t>
      </w:r>
      <w:r w:rsidRPr="00AF0D0A">
        <w:rPr>
          <w:rFonts w:ascii="Times New Roman" w:hAnsi="Times New Roman"/>
          <w:sz w:val="24"/>
          <w:szCs w:val="24"/>
        </w:rPr>
        <w:t xml:space="preserve">, the Superior Court of New Jersey, held (2 to 0; unpublished decision) that the retirement board properly held the firefighter was not entitled to Accidental Disability Retirement (72.7%), but only Ordinary Disability Retirement (43.6%); must be a traumatic event injured because of an “unexpected happening.”  </w:t>
      </w:r>
      <w:hyperlink r:id="rId1111" w:history="1">
        <w:r w:rsidRPr="00AF0D0A">
          <w:rPr>
            <w:rStyle w:val="Hyperlink"/>
            <w:rFonts w:ascii="Times New Roman" w:hAnsi="Times New Roman"/>
            <w:sz w:val="24"/>
            <w:szCs w:val="24"/>
          </w:rPr>
          <w:t>https://www.njcourts.gov/system/files/court-opinions/2025/a0585-22.pdf</w:t>
        </w:r>
      </w:hyperlink>
      <w:r w:rsidRPr="00AF0D0A">
        <w:rPr>
          <w:rFonts w:ascii="Times New Roman" w:hAnsi="Times New Roman"/>
          <w:sz w:val="24"/>
          <w:szCs w:val="24"/>
        </w:rPr>
        <w:t xml:space="preserve"> </w:t>
      </w:r>
    </w:p>
    <w:p w14:paraId="3A6F3451" w14:textId="77777777" w:rsidR="00AF0D0A" w:rsidRPr="00AF0D0A" w:rsidRDefault="00AF0D0A" w:rsidP="00AF0D0A">
      <w:pPr>
        <w:pStyle w:val="NoSpacing"/>
        <w:rPr>
          <w:rFonts w:ascii="Times New Roman" w:hAnsi="Times New Roman"/>
          <w:sz w:val="24"/>
          <w:szCs w:val="24"/>
        </w:rPr>
      </w:pPr>
    </w:p>
    <w:p w14:paraId="5736EA41"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sz w:val="24"/>
          <w:szCs w:val="24"/>
        </w:rPr>
        <w:tab/>
        <w:t xml:space="preserve">The Court held: </w:t>
      </w:r>
    </w:p>
    <w:p w14:paraId="70C5AFDA" w14:textId="77777777" w:rsidR="00AF0D0A" w:rsidRPr="00AF0D0A" w:rsidRDefault="00AF0D0A" w:rsidP="00AF0D0A">
      <w:pPr>
        <w:pStyle w:val="NoSpacing"/>
        <w:rPr>
          <w:rFonts w:ascii="Times New Roman" w:hAnsi="Times New Roman"/>
          <w:sz w:val="24"/>
          <w:szCs w:val="24"/>
        </w:rPr>
      </w:pPr>
    </w:p>
    <w:p w14:paraId="6AF84224"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 xml:space="preserve">“On September 22, 2017, petitioner, along with the </w:t>
      </w:r>
      <w:proofErr w:type="gramStart"/>
      <w:r w:rsidRPr="00AF0D0A">
        <w:rPr>
          <w:rFonts w:ascii="Times New Roman" w:hAnsi="Times New Roman"/>
          <w:sz w:val="24"/>
          <w:szCs w:val="24"/>
        </w:rPr>
        <w:t>Captain</w:t>
      </w:r>
      <w:proofErr w:type="gramEnd"/>
      <w:r w:rsidRPr="00AF0D0A">
        <w:rPr>
          <w:rFonts w:ascii="Times New Roman" w:hAnsi="Times New Roman"/>
          <w:sz w:val="24"/>
          <w:szCs w:val="24"/>
        </w:rPr>
        <w:t xml:space="preserve"> and another firefighter, responded to a call for an electrical fire in a basement. According to petitioner, when they arrived at the scene, a bookshelf was blocking the door to the basement. Therefore, the Captain asked him to retrieve additional feet of hose from the truck so they could access another entrance to the basement to reach the fire. The truck was parked at the bottom of the driveway, about one hundred feet from the building. As he returned with the extra feet of hose, petitioner stated he twisted his ankle and fell on the driveway. He stated that he did not recall what caused him to twist his ankle.</w:t>
      </w:r>
    </w:p>
    <w:p w14:paraId="510E5A56" w14:textId="77777777" w:rsidR="00AF0D0A" w:rsidRPr="00AF0D0A" w:rsidRDefault="00AF0D0A" w:rsidP="00AF0D0A">
      <w:pPr>
        <w:pStyle w:val="NoSpacing"/>
        <w:ind w:left="720"/>
        <w:rPr>
          <w:rFonts w:ascii="Times New Roman" w:hAnsi="Times New Roman"/>
          <w:sz w:val="24"/>
          <w:szCs w:val="24"/>
        </w:rPr>
      </w:pPr>
    </w:p>
    <w:p w14:paraId="2EAC6771"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w:t>
      </w:r>
    </w:p>
    <w:p w14:paraId="2709177E" w14:textId="77777777" w:rsidR="00AF0D0A" w:rsidRPr="00AF0D0A" w:rsidRDefault="00AF0D0A" w:rsidP="00AF0D0A">
      <w:pPr>
        <w:pStyle w:val="NoSpacing"/>
        <w:ind w:left="720"/>
        <w:rPr>
          <w:rFonts w:ascii="Times New Roman" w:hAnsi="Times New Roman"/>
          <w:sz w:val="24"/>
          <w:szCs w:val="24"/>
        </w:rPr>
      </w:pPr>
    </w:p>
    <w:p w14:paraId="22D71484"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Here, petitioner has not demonstrated an ‘unexpected happening’ that caused him to injure his ankle. He testified regarding his training and the specific duties of his job which included loading and unloading equipment, laying and connecting hoses, and preparing for the delivery of water discharge lines…. The evidence reflects petitioner was performing his usual job duties when he was injured. Dragging a hose up a driveway is not an unexpected event in his line of work.”</w:t>
      </w:r>
    </w:p>
    <w:p w14:paraId="303ADA54" w14:textId="77777777" w:rsidR="00AF0D0A" w:rsidRPr="00AF0D0A" w:rsidRDefault="00AF0D0A" w:rsidP="00AF0D0A">
      <w:pPr>
        <w:pStyle w:val="NoSpacing"/>
        <w:rPr>
          <w:rFonts w:ascii="Times New Roman" w:hAnsi="Times New Roman"/>
          <w:sz w:val="24"/>
          <w:szCs w:val="24"/>
        </w:rPr>
      </w:pPr>
    </w:p>
    <w:p w14:paraId="5CD6A234"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b/>
          <w:sz w:val="24"/>
          <w:szCs w:val="24"/>
        </w:rPr>
        <w:t>Legal Lesson Learned</w:t>
      </w:r>
      <w:r w:rsidRPr="00AF0D0A">
        <w:rPr>
          <w:rFonts w:ascii="Times New Roman" w:hAnsi="Times New Roman"/>
          <w:sz w:val="24"/>
          <w:szCs w:val="24"/>
        </w:rPr>
        <w:t xml:space="preserve">:  Under NJ statute and case law, public employees are only entitled to enhanced retirement for traumatic injuries from “unexpecting happening” such as a police officer shot pursuing a suspect or a librarian hit by falling bookshelf while restocking books.  </w:t>
      </w:r>
    </w:p>
    <w:p w14:paraId="31198EFE" w14:textId="77777777" w:rsidR="00AF0D0A" w:rsidRPr="00AF0D0A" w:rsidRDefault="00AF0D0A" w:rsidP="00AF0D0A">
      <w:pPr>
        <w:pStyle w:val="NoSpacing"/>
        <w:rPr>
          <w:rFonts w:ascii="Times New Roman" w:hAnsi="Times New Roman"/>
          <w:sz w:val="24"/>
          <w:szCs w:val="24"/>
        </w:rPr>
      </w:pPr>
    </w:p>
    <w:p w14:paraId="3C8F618B"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 xml:space="preserve">Note:  See NJ public employee retirement bulletin.  </w:t>
      </w:r>
      <w:hyperlink r:id="rId1112" w:history="1">
        <w:r w:rsidRPr="00AF0D0A">
          <w:rPr>
            <w:rStyle w:val="Hyperlink"/>
            <w:rFonts w:ascii="Times New Roman" w:hAnsi="Times New Roman"/>
            <w:sz w:val="24"/>
            <w:szCs w:val="24"/>
          </w:rPr>
          <w:t>https://www.nj.gov/treasury/pensions/documents/factsheets/fact15.pdf</w:t>
        </w:r>
      </w:hyperlink>
      <w:r w:rsidRPr="00AF0D0A">
        <w:rPr>
          <w:rFonts w:ascii="Times New Roman" w:hAnsi="Times New Roman"/>
          <w:sz w:val="24"/>
          <w:szCs w:val="24"/>
        </w:rPr>
        <w:t xml:space="preserve"> </w:t>
      </w:r>
    </w:p>
    <w:p w14:paraId="639DDEF8" w14:textId="77777777" w:rsidR="00AF0D0A" w:rsidRPr="00AF0D0A" w:rsidRDefault="00AF0D0A" w:rsidP="00AF0D0A">
      <w:pPr>
        <w:pStyle w:val="NoSpacing"/>
        <w:rPr>
          <w:rFonts w:ascii="Times New Roman" w:hAnsi="Times New Roman"/>
          <w:sz w:val="24"/>
          <w:szCs w:val="24"/>
        </w:rPr>
      </w:pPr>
    </w:p>
    <w:p w14:paraId="3A7FC941" w14:textId="77777777" w:rsidR="00AF0D0A" w:rsidRDefault="00AF0D0A" w:rsidP="00AF0D0A">
      <w:pPr>
        <w:pStyle w:val="NoSpacing"/>
      </w:pPr>
    </w:p>
    <w:p w14:paraId="297F019B" w14:textId="5BA60FB8" w:rsidR="00AF0D0A" w:rsidRDefault="00AF0D0A"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8</w:t>
      </w:r>
    </w:p>
    <w:p w14:paraId="5437276C" w14:textId="77777777" w:rsidR="00D93C20" w:rsidRPr="00FC011D" w:rsidRDefault="00D93C20" w:rsidP="00D93C20">
      <w:pPr>
        <w:rPr>
          <w:rFonts w:ascii="Arial Black" w:hAnsi="Arial Black"/>
          <w:b/>
          <w:sz w:val="28"/>
          <w:szCs w:val="28"/>
        </w:rPr>
      </w:pPr>
      <w:r>
        <w:rPr>
          <w:rFonts w:ascii="Arial Black" w:hAnsi="Arial Black"/>
          <w:b/>
          <w:sz w:val="28"/>
          <w:szCs w:val="28"/>
        </w:rPr>
        <w:t>WV: HEARING LOSS – 17.5% COAL MINER – NO ADDED PPD</w:t>
      </w:r>
    </w:p>
    <w:p w14:paraId="62F0338C"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 xml:space="preserve">On Jan. 14, 2025, in </w:t>
      </w:r>
      <w:r w:rsidRPr="00BE4CD4">
        <w:rPr>
          <w:rFonts w:ascii="Times New Roman" w:hAnsi="Times New Roman"/>
          <w:sz w:val="24"/>
          <w:szCs w:val="24"/>
          <w:u w:val="single"/>
        </w:rPr>
        <w:t>Wilburn T. Preece, Jr. v. Kermit Volunteer Fire Department</w:t>
      </w:r>
      <w:r w:rsidRPr="00BE4CD4">
        <w:rPr>
          <w:rFonts w:ascii="Times New Roman" w:hAnsi="Times New Roman"/>
          <w:sz w:val="24"/>
          <w:szCs w:val="24"/>
        </w:rPr>
        <w:t xml:space="preserve">, the Supreme Court of Appeals of West Virginia held (5 to 0) that the WV Workers’ Compensation Board properly denied the Fire Chief’s claim for progressive hearing loss on Sept. 11, 2023.  In 2015 he was awarded 17.5% permanent partial disability (PPD) from his years working as a coal miner.  He became </w:t>
      </w:r>
      <w:proofErr w:type="gramStart"/>
      <w:r w:rsidRPr="00BE4CD4">
        <w:rPr>
          <w:rFonts w:ascii="Times New Roman" w:hAnsi="Times New Roman"/>
          <w:sz w:val="24"/>
          <w:szCs w:val="24"/>
        </w:rPr>
        <w:t>full time</w:t>
      </w:r>
      <w:proofErr w:type="gramEnd"/>
      <w:r w:rsidRPr="00BE4CD4">
        <w:rPr>
          <w:rFonts w:ascii="Times New Roman" w:hAnsi="Times New Roman"/>
          <w:sz w:val="24"/>
          <w:szCs w:val="24"/>
        </w:rPr>
        <w:t xml:space="preserve"> Fire Chief in 2014 and in 2020 claimed 23% PPD (responded to 90% of the 300 – 500 calls per year). The Board rejected his claim on Sept. 11, 2023, after the Chief was examined by two experts – neither found fire service was clearly the cause of additional hearing loss. The Chief appealed to the WV Intermediate Court of Appeals, which upheld the Board on March 25, 2024.  </w:t>
      </w:r>
      <w:hyperlink r:id="rId1113" w:history="1">
        <w:r w:rsidRPr="00BE4CD4">
          <w:rPr>
            <w:rStyle w:val="Hyperlink"/>
            <w:rFonts w:ascii="Times New Roman" w:hAnsi="Times New Roman"/>
            <w:sz w:val="24"/>
            <w:szCs w:val="24"/>
          </w:rPr>
          <w:t>https://cases.justia.com/west-virginia/supreme-court/2025-24-266.pdf?ts=1736880091</w:t>
        </w:r>
      </w:hyperlink>
      <w:r w:rsidRPr="00BE4CD4">
        <w:rPr>
          <w:rFonts w:ascii="Times New Roman" w:hAnsi="Times New Roman"/>
          <w:sz w:val="24"/>
          <w:szCs w:val="24"/>
        </w:rPr>
        <w:t xml:space="preserve"> </w:t>
      </w:r>
    </w:p>
    <w:p w14:paraId="33F66F7B" w14:textId="77777777" w:rsidR="00D93C20" w:rsidRPr="00BE4CD4" w:rsidRDefault="00D93C20" w:rsidP="00D93C20">
      <w:pPr>
        <w:pStyle w:val="NoSpacing"/>
        <w:rPr>
          <w:rFonts w:ascii="Times New Roman" w:hAnsi="Times New Roman"/>
          <w:sz w:val="24"/>
          <w:szCs w:val="24"/>
        </w:rPr>
      </w:pPr>
    </w:p>
    <w:p w14:paraId="101F918F"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 xml:space="preserve">The State Supreme Court wrote: </w:t>
      </w:r>
    </w:p>
    <w:p w14:paraId="261FE68E" w14:textId="77777777" w:rsidR="00D93C20" w:rsidRPr="00BE4CD4" w:rsidRDefault="00D93C20" w:rsidP="00D93C20">
      <w:pPr>
        <w:pStyle w:val="NoSpacing"/>
        <w:rPr>
          <w:rFonts w:ascii="Times New Roman" w:hAnsi="Times New Roman"/>
          <w:sz w:val="24"/>
          <w:szCs w:val="24"/>
        </w:rPr>
      </w:pPr>
    </w:p>
    <w:p w14:paraId="30DC93A1" w14:textId="77777777" w:rsidR="00D93C20" w:rsidRPr="00BE4CD4" w:rsidRDefault="00D93C20" w:rsidP="00D93C20">
      <w:pPr>
        <w:pStyle w:val="NoSpacing"/>
        <w:ind w:firstLine="720"/>
        <w:rPr>
          <w:rFonts w:ascii="Times New Roman" w:hAnsi="Times New Roman"/>
          <w:sz w:val="24"/>
          <w:szCs w:val="24"/>
        </w:rPr>
      </w:pPr>
      <w:r w:rsidRPr="00BE4CD4">
        <w:rPr>
          <w:rFonts w:ascii="Times New Roman" w:hAnsi="Times New Roman"/>
          <w:sz w:val="24"/>
          <w:szCs w:val="24"/>
        </w:rPr>
        <w:t>“The claimant argues that the ICA was clearly wrong in finding that the report of Joseph</w:t>
      </w:r>
    </w:p>
    <w:p w14:paraId="19184A4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Touma, M.D., was insufficient to establish that his occupation, as the fire chief, caused additional hearing loss. The claimant asserts that Dr. Touma’s report is the only credible medical evidence of record concerning whether he has additional </w:t>
      </w:r>
      <w:proofErr w:type="gramStart"/>
      <w:r w:rsidRPr="00BE4CD4">
        <w:rPr>
          <w:rFonts w:ascii="Times New Roman" w:hAnsi="Times New Roman"/>
          <w:sz w:val="24"/>
          <w:szCs w:val="24"/>
        </w:rPr>
        <w:t>noise induced</w:t>
      </w:r>
      <w:proofErr w:type="gramEnd"/>
      <w:r w:rsidRPr="00BE4CD4">
        <w:rPr>
          <w:rFonts w:ascii="Times New Roman" w:hAnsi="Times New Roman"/>
          <w:sz w:val="24"/>
          <w:szCs w:val="24"/>
        </w:rPr>
        <w:t xml:space="preserve"> impairment </w:t>
      </w:r>
      <w:proofErr w:type="gramStart"/>
      <w:r w:rsidRPr="00BE4CD4">
        <w:rPr>
          <w:rFonts w:ascii="Times New Roman" w:hAnsi="Times New Roman"/>
          <w:sz w:val="24"/>
          <w:szCs w:val="24"/>
        </w:rPr>
        <w:t>as a result of</w:t>
      </w:r>
      <w:proofErr w:type="gramEnd"/>
      <w:r w:rsidRPr="00BE4CD4">
        <w:rPr>
          <w:rFonts w:ascii="Times New Roman" w:hAnsi="Times New Roman"/>
          <w:sz w:val="24"/>
          <w:szCs w:val="24"/>
        </w:rPr>
        <w:t xml:space="preserve"> his work. As such, the claimant believes that Dr. Touma’s recommended impairment award of 23% should have been granted by the ICA. The employer counters by arguing that Dr. Touma did not consider the claimant’s nonoccupational factors that could contribute to hearing loss. Because the Board of Review found that Dr. Touma’s report was unpersuasive on the basis that he failed to consider whether the claimant’s progressive hearing loss was due to causes other than occupational noise exposure, the employer contends that the ICA correctly affirmed the Board of Review’s order.”</w:t>
      </w:r>
    </w:p>
    <w:p w14:paraId="53E54D05" w14:textId="77777777" w:rsidR="00D93C20" w:rsidRPr="00BE4CD4" w:rsidRDefault="00D93C20" w:rsidP="00D93C20">
      <w:pPr>
        <w:pStyle w:val="NoSpacing"/>
        <w:ind w:left="720"/>
        <w:rPr>
          <w:rFonts w:ascii="Times New Roman" w:hAnsi="Times New Roman"/>
          <w:sz w:val="24"/>
          <w:szCs w:val="24"/>
        </w:rPr>
      </w:pPr>
    </w:p>
    <w:p w14:paraId="1EC89581"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The Intermediate Court of Appeals described the Chief’s prior work history.</w:t>
      </w:r>
    </w:p>
    <w:p w14:paraId="101C43CB" w14:textId="77777777" w:rsidR="00D93C20" w:rsidRPr="00BE4CD4" w:rsidRDefault="00D93C20" w:rsidP="00D93C20">
      <w:pPr>
        <w:pStyle w:val="NoSpacing"/>
        <w:rPr>
          <w:rFonts w:ascii="Times New Roman" w:hAnsi="Times New Roman"/>
          <w:sz w:val="24"/>
          <w:szCs w:val="24"/>
        </w:rPr>
      </w:pPr>
    </w:p>
    <w:p w14:paraId="276172A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“In 2014, Mr. Preece began working as fire chief full-time for the KVFD. In a previous claim, Mr. Preece was granted a 17.5% PPD award in 2015 for occupational hearing loss related to his employment with another employer for whom he worked as a coal miner. Mr. Preece filed an Employees’ and Physicians’ Report of Occupational Hearing Loss dated August 25, 2020; indicating that he has occupational hearing loss due to noise exposure related to his employment at KVFD. </w:t>
      </w:r>
    </w:p>
    <w:p w14:paraId="60774096" w14:textId="77777777" w:rsidR="00D93C20" w:rsidRPr="00BE4CD4" w:rsidRDefault="00D93C20" w:rsidP="00D93C20">
      <w:pPr>
        <w:pStyle w:val="NoSpacing"/>
        <w:ind w:left="720"/>
        <w:rPr>
          <w:rFonts w:ascii="Times New Roman" w:hAnsi="Times New Roman"/>
          <w:sz w:val="24"/>
          <w:szCs w:val="24"/>
        </w:rPr>
      </w:pPr>
    </w:p>
    <w:p w14:paraId="59F599E0"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 </w:t>
      </w:r>
    </w:p>
    <w:p w14:paraId="3E1D08FB" w14:textId="77777777" w:rsidR="00D93C20" w:rsidRPr="00BE4CD4" w:rsidRDefault="00D93C20" w:rsidP="00D93C20">
      <w:pPr>
        <w:pStyle w:val="NoSpacing"/>
        <w:ind w:left="720"/>
        <w:rPr>
          <w:rFonts w:ascii="Times New Roman" w:hAnsi="Times New Roman"/>
          <w:sz w:val="24"/>
          <w:szCs w:val="24"/>
        </w:rPr>
      </w:pPr>
    </w:p>
    <w:p w14:paraId="7AEE6085"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Mr. Preece was deposed on May 13, 2022. Mr. Preece indicated that his job as fire chief required him to be at the fire station </w:t>
      </w:r>
      <w:proofErr w:type="gramStart"/>
      <w:r w:rsidRPr="00BE4CD4">
        <w:rPr>
          <w:rFonts w:ascii="Times New Roman" w:hAnsi="Times New Roman"/>
          <w:sz w:val="24"/>
          <w:szCs w:val="24"/>
        </w:rPr>
        <w:t>on a daily basis</w:t>
      </w:r>
      <w:proofErr w:type="gramEnd"/>
      <w:r w:rsidRPr="00BE4CD4">
        <w:rPr>
          <w:rFonts w:ascii="Times New Roman" w:hAnsi="Times New Roman"/>
          <w:sz w:val="24"/>
          <w:szCs w:val="24"/>
        </w:rPr>
        <w:t>. Mr. Preece testified that he answered 90% of the calls received by the fire department and that during the calls he would be exposed to loud noise from the sirens. Mr. Preece further testified that the fire department answers between 300 and 500 calls each year and that answering a call could take between twenty and thirty minutes wherein he would be exposed to the noise from the engine and siren.</w:t>
      </w:r>
    </w:p>
    <w:p w14:paraId="25F9B844" w14:textId="77777777" w:rsidR="00D93C20" w:rsidRPr="00BE4CD4" w:rsidRDefault="00D93C20" w:rsidP="00D93C20">
      <w:pPr>
        <w:pStyle w:val="NoSpacing"/>
        <w:ind w:left="720"/>
        <w:rPr>
          <w:rFonts w:ascii="Times New Roman" w:hAnsi="Times New Roman"/>
          <w:sz w:val="24"/>
          <w:szCs w:val="24"/>
        </w:rPr>
      </w:pPr>
    </w:p>
    <w:p w14:paraId="781EDC8B"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w:t>
      </w:r>
    </w:p>
    <w:p w14:paraId="52FFCA83"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Mr. Preece was evaluated by David Phillips, M.D., who drafted a report dated</w:t>
      </w:r>
    </w:p>
    <w:p w14:paraId="3A08F3E8"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December 14, 2022. Dr. Phillips found that Mr. Preece had a total of 22% whole person</w:t>
      </w:r>
    </w:p>
    <w:p w14:paraId="0481EFD7"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impairment (“WPI”) related to hearing loss. Dr. Phillips noted that Mr. Preece has a</w:t>
      </w:r>
    </w:p>
    <w:p w14:paraId="07DAB572"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medical history of diabetes, hypertension, and elevated cholesterol, all of which can</w:t>
      </w:r>
    </w:p>
    <w:p w14:paraId="6C6F7B93"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contribute to progressive hearing loss. Thus, Dr. Phillips attributed 17.5% of Mr. Preece’s</w:t>
      </w:r>
    </w:p>
    <w:p w14:paraId="0BE4BA34"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hearing loss to prior mining occupational noise exposure and 4.5% to nonoccupational</w:t>
      </w:r>
    </w:p>
    <w:p w14:paraId="60C823D9"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factors. Dr. Philips did not acknowledge Mr. Preece’s employment at KVFD or </w:t>
      </w:r>
      <w:proofErr w:type="gramStart"/>
      <w:r w:rsidRPr="00BE4CD4">
        <w:rPr>
          <w:rFonts w:ascii="Times New Roman" w:hAnsi="Times New Roman"/>
          <w:sz w:val="24"/>
          <w:szCs w:val="24"/>
        </w:rPr>
        <w:t>opine about</w:t>
      </w:r>
      <w:proofErr w:type="gramEnd"/>
      <w:r w:rsidRPr="00BE4CD4">
        <w:rPr>
          <w:rFonts w:ascii="Times New Roman" w:hAnsi="Times New Roman"/>
          <w:sz w:val="24"/>
          <w:szCs w:val="24"/>
        </w:rPr>
        <w:t xml:space="preserve"> any potential impairment related to noise exposure from KVFD. </w:t>
      </w:r>
    </w:p>
    <w:p w14:paraId="79141631" w14:textId="77777777" w:rsidR="00D93C20" w:rsidRPr="00BE4CD4" w:rsidRDefault="00D93C20" w:rsidP="00D93C20">
      <w:pPr>
        <w:pStyle w:val="NoSpacing"/>
        <w:ind w:left="720"/>
        <w:rPr>
          <w:rFonts w:ascii="Times New Roman" w:hAnsi="Times New Roman"/>
          <w:sz w:val="24"/>
          <w:szCs w:val="24"/>
        </w:rPr>
      </w:pPr>
    </w:p>
    <w:p w14:paraId="12A4584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On March 29, 2023, Mr. Preece was examined by Joseph Touma, M.D. Dr. Touma found that Mr. Preece had a total of 23% WPI for hearing loss related to occupational noise exposure. Dr. Touma’s report indicates that adjustments were made for non-noise related</w:t>
      </w:r>
    </w:p>
    <w:p w14:paraId="45DA723B"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impairment, but the report does not give any further details regarding those adjustments.</w:t>
      </w:r>
    </w:p>
    <w:p w14:paraId="685D193F"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Dr. Touma opined that Mr. Preece’s worsening hearing loss “may” be due to subsequent</w:t>
      </w:r>
    </w:p>
    <w:p w14:paraId="569E8198"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noise exposure from his new work environment with KVFD. Dr. Touma further opined</w:t>
      </w:r>
    </w:p>
    <w:p w14:paraId="19DE79CA"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that Mr. Preece had no preexisting conditions that could have contributed to his progressive hearing </w:t>
      </w:r>
      <w:proofErr w:type="gramStart"/>
      <w:r w:rsidRPr="00BE4CD4">
        <w:rPr>
          <w:rFonts w:ascii="Times New Roman" w:hAnsi="Times New Roman"/>
          <w:sz w:val="24"/>
          <w:szCs w:val="24"/>
        </w:rPr>
        <w:t>loss.”</w:t>
      </w:r>
      <w:proofErr w:type="gramEnd"/>
      <w:r w:rsidRPr="00BE4CD4">
        <w:rPr>
          <w:rFonts w:ascii="Times New Roman" w:hAnsi="Times New Roman"/>
          <w:sz w:val="24"/>
          <w:szCs w:val="24"/>
        </w:rPr>
        <w:t xml:space="preserve"> </w:t>
      </w:r>
      <w:hyperlink r:id="rId1114" w:history="1">
        <w:r w:rsidRPr="00BE4CD4">
          <w:rPr>
            <w:rStyle w:val="Hyperlink"/>
            <w:rFonts w:ascii="Times New Roman" w:hAnsi="Times New Roman"/>
            <w:sz w:val="24"/>
            <w:szCs w:val="24"/>
          </w:rPr>
          <w:t>https://www.courtswv.gov/sites/default/pubfilesmnt/2024-03/23-ICA-446_MD.pdf</w:t>
        </w:r>
      </w:hyperlink>
      <w:r w:rsidRPr="00BE4CD4">
        <w:rPr>
          <w:rFonts w:ascii="Times New Roman" w:hAnsi="Times New Roman"/>
          <w:sz w:val="24"/>
          <w:szCs w:val="24"/>
        </w:rPr>
        <w:t xml:space="preserve"> </w:t>
      </w:r>
    </w:p>
    <w:p w14:paraId="06F2FE7F" w14:textId="77777777" w:rsidR="00D93C20" w:rsidRPr="00BE4CD4" w:rsidRDefault="00D93C20" w:rsidP="00D93C20">
      <w:pPr>
        <w:pStyle w:val="NoSpacing"/>
        <w:rPr>
          <w:rFonts w:ascii="Times New Roman" w:hAnsi="Times New Roman"/>
          <w:sz w:val="24"/>
          <w:szCs w:val="24"/>
        </w:rPr>
      </w:pPr>
    </w:p>
    <w:p w14:paraId="331A05E2" w14:textId="77777777" w:rsidR="00D93C20" w:rsidRPr="00BE4CD4" w:rsidRDefault="00D93C20" w:rsidP="00D93C20">
      <w:pPr>
        <w:pStyle w:val="NoSpacing"/>
        <w:ind w:left="720"/>
        <w:rPr>
          <w:rFonts w:ascii="Times New Roman" w:hAnsi="Times New Roman"/>
          <w:sz w:val="24"/>
          <w:szCs w:val="24"/>
        </w:rPr>
      </w:pPr>
    </w:p>
    <w:p w14:paraId="08608E57" w14:textId="77777777" w:rsidR="00D93C20" w:rsidRPr="00BE4CD4" w:rsidRDefault="00D93C20" w:rsidP="00D93C20">
      <w:pPr>
        <w:pStyle w:val="NoSpacing"/>
        <w:rPr>
          <w:rFonts w:ascii="Times New Roman" w:hAnsi="Times New Roman"/>
          <w:b/>
          <w:bCs/>
          <w:sz w:val="24"/>
          <w:szCs w:val="24"/>
        </w:rPr>
      </w:pPr>
      <w:r w:rsidRPr="00BE4CD4">
        <w:rPr>
          <w:rFonts w:ascii="Times New Roman" w:hAnsi="Times New Roman"/>
          <w:b/>
          <w:sz w:val="24"/>
          <w:szCs w:val="24"/>
        </w:rPr>
        <w:t xml:space="preserve">Legal Lesson Learned: Hearing loss is clearly an issue in the fire service; wearing hearing protection on all emergency runs should be mandatory.  To prove workplace loss, claimants should retain an expert who will record load noise exposure at fire and other scenes. </w:t>
      </w:r>
    </w:p>
    <w:p w14:paraId="64F1A625" w14:textId="77777777" w:rsidR="00AF0D0A" w:rsidRDefault="00AF0D0A" w:rsidP="00EF1133">
      <w:pPr>
        <w:rPr>
          <w:rFonts w:ascii="Arial Black" w:hAnsi="Arial Black"/>
          <w:b/>
          <w:sz w:val="24"/>
          <w:szCs w:val="24"/>
        </w:rPr>
      </w:pPr>
    </w:p>
    <w:p w14:paraId="32521D32" w14:textId="77777777" w:rsidR="00AF0D0A" w:rsidRDefault="00AF0D0A" w:rsidP="00EF1133">
      <w:pPr>
        <w:rPr>
          <w:rFonts w:ascii="Arial Black" w:hAnsi="Arial Black"/>
          <w:b/>
          <w:sz w:val="24"/>
          <w:szCs w:val="24"/>
        </w:rPr>
      </w:pPr>
    </w:p>
    <w:p w14:paraId="30499DCB" w14:textId="1EA3752D" w:rsidR="006634F6" w:rsidRDefault="006634F6"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7</w:t>
      </w:r>
    </w:p>
    <w:p w14:paraId="3E73A28D" w14:textId="77777777" w:rsidR="00BF6110" w:rsidRPr="00FA067C" w:rsidRDefault="00BF6110" w:rsidP="00BF6110">
      <w:pPr>
        <w:pStyle w:val="NoSpacing"/>
        <w:rPr>
          <w:rFonts w:ascii="Arial Black" w:hAnsi="Arial Black"/>
          <w:b/>
          <w:sz w:val="28"/>
          <w:szCs w:val="28"/>
        </w:rPr>
      </w:pPr>
      <w:r>
        <w:rPr>
          <w:rFonts w:ascii="Arial Black" w:hAnsi="Arial Black"/>
          <w:b/>
          <w:sz w:val="28"/>
          <w:szCs w:val="28"/>
        </w:rPr>
        <w:t>PA: LUNG CANCER – CITY PAY WIFE 10% PENALTY</w:t>
      </w:r>
    </w:p>
    <w:p w14:paraId="752FCA0B" w14:textId="77777777" w:rsidR="00BF6110" w:rsidRDefault="00BF6110" w:rsidP="00BF6110">
      <w:pPr>
        <w:pStyle w:val="NoSpacing"/>
        <w:rPr>
          <w:b/>
        </w:rPr>
      </w:pPr>
    </w:p>
    <w:p w14:paraId="45670B7F" w14:textId="77777777" w:rsidR="00BF6110" w:rsidRPr="00BF6110" w:rsidRDefault="00BF6110" w:rsidP="00BF6110">
      <w:pPr>
        <w:pStyle w:val="NoSpacing"/>
        <w:rPr>
          <w:rFonts w:ascii="Times New Roman" w:hAnsi="Times New Roman"/>
          <w:bCs/>
          <w:sz w:val="24"/>
          <w:szCs w:val="24"/>
        </w:rPr>
      </w:pPr>
      <w:r w:rsidRPr="00BF6110">
        <w:rPr>
          <w:rFonts w:ascii="Times New Roman" w:hAnsi="Times New Roman"/>
          <w:sz w:val="24"/>
          <w:szCs w:val="24"/>
        </w:rPr>
        <w:t xml:space="preserve">On Dec. 24, 2024, in </w:t>
      </w:r>
      <w:r w:rsidRPr="00BF6110">
        <w:rPr>
          <w:rFonts w:ascii="Times New Roman" w:hAnsi="Times New Roman"/>
          <w:sz w:val="24"/>
          <w:szCs w:val="24"/>
          <w:u w:val="single"/>
        </w:rPr>
        <w:t>City of Philadelphia v. Wayne Deloatch and Independence Blue Cross</w:t>
      </w:r>
      <w:r w:rsidRPr="00BF6110">
        <w:rPr>
          <w:rFonts w:ascii="Times New Roman" w:hAnsi="Times New Roman"/>
          <w:sz w:val="24"/>
          <w:szCs w:val="24"/>
        </w:rPr>
        <w:t xml:space="preserve"> (Workers’ Compensation Appeal Board), the Commonwealth Court of Pennsylvania held (3 to 0) that City must reimburse the firefighter’s insurance company $124,680.22 for medical benefits paid to the firefighter, plus interest back to 2014, and also pay a 10% penalty to the wife of the deceased firefighter.  The Court referenced the PA statutory presumption law (July 7, 2011) in holding that the firefighter’s wife will receive 51% of Deloatch’s average weekly wage as of his death on September 26, 2019.</w:t>
      </w:r>
    </w:p>
    <w:p w14:paraId="1D30D896" w14:textId="77777777" w:rsidR="00BF6110" w:rsidRPr="00BF6110" w:rsidRDefault="00BF6110" w:rsidP="00BF6110">
      <w:pPr>
        <w:pStyle w:val="NoSpacing"/>
        <w:rPr>
          <w:rFonts w:ascii="Times New Roman" w:hAnsi="Times New Roman"/>
          <w:bCs/>
          <w:sz w:val="24"/>
          <w:szCs w:val="24"/>
        </w:rPr>
      </w:pPr>
    </w:p>
    <w:p w14:paraId="75F1B6F9" w14:textId="77777777" w:rsidR="00BF6110" w:rsidRPr="00BF6110" w:rsidRDefault="00BF6110" w:rsidP="00BF6110">
      <w:pPr>
        <w:pStyle w:val="NoSpacing"/>
        <w:rPr>
          <w:rFonts w:ascii="Times New Roman" w:hAnsi="Times New Roman"/>
          <w:bCs/>
          <w:sz w:val="24"/>
          <w:szCs w:val="24"/>
        </w:rPr>
      </w:pPr>
      <w:r w:rsidRPr="00BF6110">
        <w:rPr>
          <w:rFonts w:ascii="Times New Roman" w:hAnsi="Times New Roman"/>
          <w:sz w:val="24"/>
          <w:szCs w:val="24"/>
        </w:rPr>
        <w:t>The Court wrote:</w:t>
      </w:r>
    </w:p>
    <w:p w14:paraId="55056F68" w14:textId="77777777" w:rsidR="00BF6110" w:rsidRPr="00BF6110" w:rsidRDefault="00BF6110" w:rsidP="00BF6110">
      <w:pPr>
        <w:pStyle w:val="NoSpacing"/>
        <w:rPr>
          <w:rFonts w:ascii="Times New Roman" w:hAnsi="Times New Roman"/>
          <w:bCs/>
          <w:sz w:val="24"/>
          <w:szCs w:val="24"/>
        </w:rPr>
      </w:pPr>
    </w:p>
    <w:p w14:paraId="391B417C" w14:textId="4C8FD9D9" w:rsidR="006634F6" w:rsidRPr="00BF6110" w:rsidRDefault="00BF6110" w:rsidP="00BF6110">
      <w:pPr>
        <w:ind w:left="720"/>
        <w:rPr>
          <w:rFonts w:ascii="Times New Roman" w:hAnsi="Times New Roman"/>
          <w:b/>
          <w:sz w:val="24"/>
          <w:szCs w:val="24"/>
        </w:rPr>
      </w:pPr>
      <w:r w:rsidRPr="00BF6110">
        <w:rPr>
          <w:rFonts w:ascii="Times New Roman" w:hAnsi="Times New Roman"/>
          <w:sz w:val="24"/>
          <w:szCs w:val="24"/>
        </w:rPr>
        <w:t xml:space="preserve">“Accordingly, because Insurer is entitled to interest on its subrogation lien, and the subrogation lien was established as of October 21, 2014, when Insurer introduced it before WCJ [Worker’s Comp Judge] Timm, WCJ Lawrence did not err by ordering Employer to pay interest on the subrogation lien from October 21, 2014.” </w:t>
      </w:r>
      <w:hyperlink r:id="rId1115" w:history="1">
        <w:r w:rsidRPr="00BF6110">
          <w:rPr>
            <w:rStyle w:val="Hyperlink"/>
            <w:rFonts w:ascii="Times New Roman" w:hAnsi="Times New Roman"/>
            <w:sz w:val="24"/>
            <w:szCs w:val="24"/>
          </w:rPr>
          <w:t>https://cases.justia.com/pennsylvania/commonwealth-court/2024-541-and-589-c-d-2022.pdf?ts=1735057731</w:t>
        </w:r>
      </w:hyperlink>
    </w:p>
    <w:p w14:paraId="3445CF49" w14:textId="77777777" w:rsidR="00922A0A" w:rsidRDefault="00922A0A" w:rsidP="00922A0A">
      <w:pPr>
        <w:pStyle w:val="NoSpacing"/>
        <w:ind w:left="720"/>
        <w:rPr>
          <w:bCs/>
        </w:rPr>
      </w:pPr>
    </w:p>
    <w:p w14:paraId="752DE9A6" w14:textId="77777777" w:rsidR="00922A0A" w:rsidRPr="00922A0A" w:rsidRDefault="00922A0A" w:rsidP="00922A0A">
      <w:pPr>
        <w:pStyle w:val="NoSpacing"/>
        <w:rPr>
          <w:rFonts w:ascii="Times New Roman" w:hAnsi="Times New Roman"/>
          <w:bCs/>
          <w:sz w:val="24"/>
          <w:szCs w:val="24"/>
        </w:rPr>
      </w:pPr>
      <w:r w:rsidRPr="00922A0A">
        <w:rPr>
          <w:rFonts w:ascii="Times New Roman" w:hAnsi="Times New Roman"/>
          <w:sz w:val="24"/>
          <w:szCs w:val="24"/>
        </w:rPr>
        <w:t>HOLDING:</w:t>
      </w:r>
    </w:p>
    <w:p w14:paraId="7D69861A" w14:textId="77777777" w:rsidR="00922A0A" w:rsidRPr="00922A0A" w:rsidRDefault="00922A0A" w:rsidP="00922A0A">
      <w:pPr>
        <w:pStyle w:val="NoSpacing"/>
        <w:rPr>
          <w:rFonts w:ascii="Times New Roman" w:hAnsi="Times New Roman"/>
          <w:bCs/>
          <w:sz w:val="24"/>
          <w:szCs w:val="24"/>
        </w:rPr>
      </w:pPr>
    </w:p>
    <w:p w14:paraId="544A9CF0" w14:textId="77777777" w:rsidR="00922A0A" w:rsidRPr="00922A0A" w:rsidRDefault="00922A0A" w:rsidP="00922A0A">
      <w:pPr>
        <w:pStyle w:val="NoSpacing"/>
        <w:ind w:left="720"/>
        <w:rPr>
          <w:rFonts w:ascii="Times New Roman" w:hAnsi="Times New Roman"/>
          <w:bCs/>
          <w:sz w:val="24"/>
          <w:szCs w:val="24"/>
        </w:rPr>
      </w:pPr>
      <w:r w:rsidRPr="00922A0A">
        <w:rPr>
          <w:rFonts w:ascii="Times New Roman" w:hAnsi="Times New Roman"/>
          <w:sz w:val="24"/>
          <w:szCs w:val="24"/>
        </w:rPr>
        <w:t>“Once this Court reversed the Board’s opinion and order, the granting of the underlying Claim Petition was reinstated; thus, the ‘entitlement to medical expenses or a lien for</w:t>
      </w:r>
    </w:p>
    <w:p w14:paraId="4D738904" w14:textId="77777777" w:rsidR="00922A0A" w:rsidRPr="00922A0A" w:rsidRDefault="00922A0A" w:rsidP="00922A0A">
      <w:pPr>
        <w:pStyle w:val="NoSpacing"/>
        <w:ind w:left="720"/>
        <w:rPr>
          <w:rFonts w:ascii="Times New Roman" w:hAnsi="Times New Roman"/>
          <w:bCs/>
          <w:sz w:val="24"/>
          <w:szCs w:val="24"/>
        </w:rPr>
      </w:pPr>
      <w:r w:rsidRPr="00922A0A">
        <w:rPr>
          <w:rFonts w:ascii="Times New Roman" w:hAnsi="Times New Roman"/>
          <w:sz w:val="24"/>
          <w:szCs w:val="24"/>
        </w:rPr>
        <w:t xml:space="preserve">medical expenses paid on [Deloatch’s] behalf’ was also reinstated…. Accordingly, Insurer did not waive its right to seek subrogation by not appealing from the Board’s December 11, </w:t>
      </w:r>
      <w:proofErr w:type="gramStart"/>
      <w:r w:rsidRPr="00922A0A">
        <w:rPr>
          <w:rFonts w:ascii="Times New Roman" w:hAnsi="Times New Roman"/>
          <w:sz w:val="24"/>
          <w:szCs w:val="24"/>
        </w:rPr>
        <w:t>2018</w:t>
      </w:r>
      <w:proofErr w:type="gramEnd"/>
      <w:r w:rsidRPr="00922A0A">
        <w:rPr>
          <w:rFonts w:ascii="Times New Roman" w:hAnsi="Times New Roman"/>
          <w:sz w:val="24"/>
          <w:szCs w:val="24"/>
        </w:rPr>
        <w:t xml:space="preserve"> opinion and order.”</w:t>
      </w:r>
    </w:p>
    <w:p w14:paraId="645C3285" w14:textId="77777777" w:rsidR="00922A0A" w:rsidRPr="00922A0A" w:rsidRDefault="00922A0A" w:rsidP="00922A0A">
      <w:pPr>
        <w:pStyle w:val="NoSpacing"/>
        <w:ind w:left="720"/>
        <w:rPr>
          <w:rFonts w:ascii="Times New Roman" w:hAnsi="Times New Roman"/>
          <w:bCs/>
          <w:sz w:val="24"/>
          <w:szCs w:val="24"/>
        </w:rPr>
      </w:pPr>
    </w:p>
    <w:p w14:paraId="400B10E0" w14:textId="77777777" w:rsidR="00922A0A" w:rsidRPr="00922A0A" w:rsidRDefault="00922A0A" w:rsidP="00922A0A">
      <w:pPr>
        <w:pStyle w:val="NoSpacing"/>
        <w:rPr>
          <w:rFonts w:ascii="Times New Roman" w:hAnsi="Times New Roman"/>
          <w:b/>
          <w:sz w:val="24"/>
          <w:szCs w:val="24"/>
        </w:rPr>
      </w:pPr>
      <w:r w:rsidRPr="00922A0A">
        <w:rPr>
          <w:rFonts w:ascii="Times New Roman" w:hAnsi="Times New Roman"/>
          <w:b/>
          <w:sz w:val="24"/>
          <w:szCs w:val="24"/>
        </w:rPr>
        <w:t xml:space="preserve">Legal Lesson Learned:  Employers continue to litigate firefighter cancer claims despite a statutory presumption. </w:t>
      </w:r>
    </w:p>
    <w:p w14:paraId="0393452F" w14:textId="77777777" w:rsidR="00922A0A" w:rsidRPr="00922A0A" w:rsidRDefault="00922A0A" w:rsidP="00922A0A">
      <w:pPr>
        <w:pStyle w:val="NoSpacing"/>
        <w:ind w:left="720"/>
        <w:rPr>
          <w:rFonts w:ascii="Times New Roman" w:hAnsi="Times New Roman"/>
          <w:bCs/>
          <w:sz w:val="24"/>
          <w:szCs w:val="24"/>
        </w:rPr>
      </w:pPr>
    </w:p>
    <w:p w14:paraId="2327851C" w14:textId="77777777" w:rsidR="009C6350" w:rsidRDefault="009C6350" w:rsidP="00EF1133">
      <w:pPr>
        <w:rPr>
          <w:rFonts w:ascii="Arial Black" w:hAnsi="Arial Black"/>
          <w:b/>
          <w:sz w:val="24"/>
          <w:szCs w:val="24"/>
        </w:rPr>
      </w:pPr>
    </w:p>
    <w:p w14:paraId="0AEEE8B9" w14:textId="67D3D261" w:rsidR="003B4DA5" w:rsidRDefault="003B4DA5"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6</w:t>
      </w:r>
    </w:p>
    <w:p w14:paraId="20E82761" w14:textId="77777777" w:rsidR="002972FF" w:rsidRPr="00CB1548" w:rsidRDefault="002972FF" w:rsidP="002972FF">
      <w:pPr>
        <w:pStyle w:val="NoSpacing"/>
        <w:rPr>
          <w:rFonts w:ascii="Arial Black" w:hAnsi="Arial Black"/>
          <w:b/>
          <w:sz w:val="28"/>
          <w:szCs w:val="28"/>
        </w:rPr>
      </w:pPr>
      <w:r>
        <w:rPr>
          <w:rFonts w:ascii="Arial Black" w:hAnsi="Arial Black"/>
          <w:b/>
          <w:sz w:val="28"/>
          <w:szCs w:val="28"/>
        </w:rPr>
        <w:t xml:space="preserve">IL: PROSTATE CANCER – NO WORKER’S COMP – FAMILY HISTORY – CONFLICTING EXPERTS / SCIENTIFIC STUDIES </w:t>
      </w:r>
    </w:p>
    <w:p w14:paraId="053B73B5" w14:textId="77777777" w:rsidR="002972FF" w:rsidRDefault="002972FF" w:rsidP="002972FF">
      <w:pPr>
        <w:pStyle w:val="NoSpacing"/>
        <w:ind w:firstLine="720"/>
        <w:rPr>
          <w:b/>
        </w:rPr>
      </w:pPr>
    </w:p>
    <w:p w14:paraId="09B1789E" w14:textId="54D29476" w:rsidR="003B4DA5" w:rsidRPr="00C1151D" w:rsidRDefault="002972FF" w:rsidP="002972FF">
      <w:pPr>
        <w:rPr>
          <w:rStyle w:val="Hyperlink"/>
          <w:rFonts w:ascii="Times New Roman" w:hAnsi="Times New Roman"/>
          <w:sz w:val="24"/>
          <w:szCs w:val="24"/>
        </w:rPr>
      </w:pPr>
      <w:r w:rsidRPr="00C1151D">
        <w:rPr>
          <w:rFonts w:ascii="Times New Roman" w:hAnsi="Times New Roman"/>
          <w:sz w:val="24"/>
          <w:szCs w:val="24"/>
        </w:rPr>
        <w:t xml:space="preserve">On Nov. 22, 2024, in </w:t>
      </w:r>
      <w:r w:rsidRPr="00C1151D">
        <w:rPr>
          <w:rFonts w:ascii="Times New Roman" w:hAnsi="Times New Roman"/>
          <w:sz w:val="24"/>
          <w:szCs w:val="24"/>
          <w:u w:val="single"/>
        </w:rPr>
        <w:t>Thomas Mangiameli v. The Illinois Workers’ Compensation Commission, et al. (Village of Hoffman Estates)</w:t>
      </w:r>
      <w:r w:rsidRPr="00C1151D">
        <w:rPr>
          <w:rFonts w:ascii="Times New Roman" w:hAnsi="Times New Roman"/>
          <w:sz w:val="24"/>
          <w:szCs w:val="24"/>
        </w:rPr>
        <w:t xml:space="preserve">, the Appellate Court of Illinois, First District, Worker’s Compensation Di vision (held 2 to 1, unpublished decision) held that the retired firefighter was properly denied worker’s comp. for his prostate cancer (cancer detected in 2017; he retired in 2018).  The Court wrote: “We agree with the dissent that the Act affords special protections to  firefighters ‘because Illinois values the vital services provided by them and because it is understood that, due to the nature of their work, they come into contact with carcinogens, chemicals, pathogens, and other substances which are detrimental to their health and to which the ordinary person is not regularly exposed.’ We note, however, that </w:t>
      </w:r>
      <w:proofErr w:type="gramStart"/>
      <w:r w:rsidRPr="00C1151D">
        <w:rPr>
          <w:rFonts w:ascii="Times New Roman" w:hAnsi="Times New Roman"/>
          <w:sz w:val="24"/>
          <w:szCs w:val="24"/>
        </w:rPr>
        <w:t>the</w:t>
      </w:r>
      <w:r w:rsidRPr="00C1151D">
        <w:rPr>
          <w:rFonts w:ascii="Times New Roman" w:hAnsi="Times New Roman"/>
          <w:bCs/>
          <w:sz w:val="24"/>
          <w:szCs w:val="24"/>
        </w:rPr>
        <w:t xml:space="preserve"> </w:t>
      </w:r>
      <w:r w:rsidRPr="00C1151D">
        <w:rPr>
          <w:rFonts w:ascii="Times New Roman" w:hAnsi="Times New Roman"/>
          <w:sz w:val="24"/>
          <w:szCs w:val="24"/>
        </w:rPr>
        <w:t>scientific</w:t>
      </w:r>
      <w:proofErr w:type="gramEnd"/>
      <w:r w:rsidRPr="00C1151D">
        <w:rPr>
          <w:rFonts w:ascii="Times New Roman" w:hAnsi="Times New Roman"/>
          <w:sz w:val="24"/>
          <w:szCs w:val="24"/>
        </w:rPr>
        <w:t xml:space="preserve"> studies, </w:t>
      </w:r>
      <w:proofErr w:type="gramStart"/>
      <w:r w:rsidRPr="00C1151D">
        <w:rPr>
          <w:rFonts w:ascii="Times New Roman" w:hAnsi="Times New Roman"/>
          <w:sz w:val="24"/>
          <w:szCs w:val="24"/>
        </w:rPr>
        <w:t>at this point in time</w:t>
      </w:r>
      <w:proofErr w:type="gramEnd"/>
      <w:r w:rsidRPr="00C1151D">
        <w:rPr>
          <w:rFonts w:ascii="Times New Roman" w:hAnsi="Times New Roman"/>
          <w:sz w:val="24"/>
          <w:szCs w:val="24"/>
        </w:rPr>
        <w:t xml:space="preserve">, regarding the correlation between the development of prostate cancer and the occupation of a firefighter are evolving. We reiterate that, in the present case, claimant had a family history of prostate cancer which doubled his risk for developing the cancer. Under these circumstances, we will not usurp the function of the Commission to weigh the evidence and make credibility determinations.” </w:t>
      </w:r>
      <w:hyperlink r:id="rId1116" w:history="1">
        <w:r w:rsidRPr="00C1151D">
          <w:rPr>
            <w:rStyle w:val="Hyperlink"/>
            <w:rFonts w:ascii="Times New Roman" w:hAnsi="Times New Roman"/>
            <w:sz w:val="24"/>
            <w:szCs w:val="24"/>
          </w:rPr>
          <w:t>https://ilcourtsaudio.blob.core.windows.net/antilles-resources/resources/19fc956b-c59f-4d15-932a-20de8f3f1feb/Mangiameli%20v.%20Illinois%20Workers%27%20Compensation%20Comm%27n,%202024%20IL%20App%20(1st)%20231397WC-U.pdf</w:t>
        </w:r>
      </w:hyperlink>
    </w:p>
    <w:p w14:paraId="478E3430" w14:textId="4AF28117" w:rsidR="00C1151D" w:rsidRPr="00C1151D" w:rsidRDefault="00C1151D" w:rsidP="00BE6A72">
      <w:pPr>
        <w:pStyle w:val="NoSpacing"/>
        <w:rPr>
          <w:rFonts w:ascii="Times New Roman" w:hAnsi="Times New Roman"/>
          <w:bCs/>
          <w:sz w:val="24"/>
          <w:szCs w:val="24"/>
        </w:rPr>
      </w:pPr>
      <w:r w:rsidRPr="00C1151D">
        <w:rPr>
          <w:rFonts w:ascii="Times New Roman" w:hAnsi="Times New Roman"/>
          <w:bCs/>
          <w:sz w:val="24"/>
          <w:szCs w:val="24"/>
        </w:rPr>
        <w:t>Dissent.</w:t>
      </w:r>
    </w:p>
    <w:p w14:paraId="604EBC82" w14:textId="77777777" w:rsidR="00C1151D" w:rsidRPr="00C1151D" w:rsidRDefault="00C1151D" w:rsidP="00BE6A72">
      <w:pPr>
        <w:pStyle w:val="NoSpacing"/>
        <w:rPr>
          <w:rFonts w:ascii="Times New Roman" w:hAnsi="Times New Roman"/>
          <w:b/>
          <w:sz w:val="24"/>
          <w:szCs w:val="24"/>
        </w:rPr>
      </w:pPr>
    </w:p>
    <w:p w14:paraId="384EABBF" w14:textId="3574E3AA" w:rsidR="00BE6A72" w:rsidRPr="00C1151D" w:rsidRDefault="00BE6A72" w:rsidP="00BE6A72">
      <w:pPr>
        <w:pStyle w:val="NoSpacing"/>
        <w:rPr>
          <w:rFonts w:ascii="Times New Roman" w:hAnsi="Times New Roman"/>
          <w:b/>
          <w:sz w:val="24"/>
          <w:szCs w:val="24"/>
        </w:rPr>
      </w:pPr>
      <w:r w:rsidRPr="00C1151D">
        <w:rPr>
          <w:rFonts w:ascii="Times New Roman" w:hAnsi="Times New Roman"/>
          <w:b/>
          <w:sz w:val="24"/>
          <w:szCs w:val="24"/>
        </w:rPr>
        <w:t xml:space="preserve">Legal Lesson Learned: Conflicting experts and scientific studies; court won’t overturn Commission. </w:t>
      </w:r>
    </w:p>
    <w:p w14:paraId="2CFB1B2F" w14:textId="77777777" w:rsidR="00BE6A72" w:rsidRPr="00C1151D" w:rsidRDefault="00BE6A72" w:rsidP="002972FF">
      <w:pPr>
        <w:rPr>
          <w:rFonts w:ascii="Times New Roman" w:hAnsi="Times New Roman"/>
          <w:b/>
          <w:sz w:val="24"/>
          <w:szCs w:val="24"/>
        </w:rPr>
      </w:pPr>
    </w:p>
    <w:p w14:paraId="08AB4E82" w14:textId="77777777" w:rsidR="003B4DA5" w:rsidRDefault="003B4DA5" w:rsidP="00EF1133">
      <w:pPr>
        <w:rPr>
          <w:rFonts w:ascii="Arial Black" w:hAnsi="Arial Black"/>
          <w:b/>
          <w:sz w:val="24"/>
          <w:szCs w:val="24"/>
        </w:rPr>
      </w:pPr>
    </w:p>
    <w:p w14:paraId="78BDDF17" w14:textId="4EC4E100" w:rsidR="009C6350" w:rsidRDefault="009C6350"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5</w:t>
      </w:r>
    </w:p>
    <w:p w14:paraId="18C0D0F9" w14:textId="77777777" w:rsidR="00A25CDF" w:rsidRDefault="00A25CDF" w:rsidP="00A25CDF">
      <w:pPr>
        <w:pStyle w:val="NoSpacing"/>
        <w:rPr>
          <w:b/>
        </w:rPr>
      </w:pPr>
      <w:r>
        <w:rPr>
          <w:rFonts w:ascii="Arial Black" w:hAnsi="Arial Black"/>
          <w:b/>
          <w:sz w:val="28"/>
          <w:szCs w:val="28"/>
        </w:rPr>
        <w:t>PA: LEUKEMIA – VOL. FF GETS WORKERS COMP – DIESEL EXHAUST / BENZENE - EVEN IF FEW INTERIOR FIRES</w:t>
      </w:r>
    </w:p>
    <w:p w14:paraId="381D8D91" w14:textId="77777777" w:rsidR="00A25CDF" w:rsidRDefault="00A25CDF" w:rsidP="00A25CDF">
      <w:pPr>
        <w:pStyle w:val="NoSpacing"/>
        <w:ind w:firstLine="720"/>
        <w:rPr>
          <w:b/>
        </w:rPr>
      </w:pPr>
    </w:p>
    <w:p w14:paraId="60CCB47D" w14:textId="77777777" w:rsidR="00A25CDF" w:rsidRPr="003B4DA5" w:rsidRDefault="00A25CDF" w:rsidP="00A25CDF">
      <w:pPr>
        <w:pStyle w:val="NoSpacing"/>
        <w:rPr>
          <w:rFonts w:ascii="Times New Roman" w:hAnsi="Times New Roman"/>
          <w:sz w:val="24"/>
          <w:szCs w:val="24"/>
        </w:rPr>
      </w:pPr>
      <w:r w:rsidRPr="003B4DA5">
        <w:rPr>
          <w:rFonts w:ascii="Times New Roman" w:hAnsi="Times New Roman"/>
          <w:sz w:val="24"/>
          <w:szCs w:val="24"/>
        </w:rPr>
        <w:t xml:space="preserve">On Nov. 19, 2024, in </w:t>
      </w:r>
      <w:r w:rsidRPr="003B4DA5">
        <w:rPr>
          <w:rFonts w:ascii="Times New Roman" w:hAnsi="Times New Roman"/>
          <w:sz w:val="24"/>
          <w:szCs w:val="24"/>
          <w:u w:val="single"/>
        </w:rPr>
        <w:t>Borough of Hollidaysburg v. Paul Detwiler (Workers’ Compensation Appeal Board</w:t>
      </w:r>
      <w:r w:rsidRPr="003B4DA5">
        <w:rPr>
          <w:rFonts w:ascii="Times New Roman" w:hAnsi="Times New Roman"/>
          <w:sz w:val="24"/>
          <w:szCs w:val="24"/>
        </w:rPr>
        <w:t>), Commonwealth Court of Pennsylvania held (2 to 1) that the firefighter was properly awarded worker’s comp.  The Court wrote: “The second prong of 301(f)’s test for the presumption requires a claimant to ‘establish a direct exposure to a carcinogen referred to in [S]</w:t>
      </w:r>
      <w:proofErr w:type="spellStart"/>
      <w:r w:rsidRPr="003B4DA5">
        <w:rPr>
          <w:rFonts w:ascii="Times New Roman" w:hAnsi="Times New Roman"/>
          <w:sz w:val="24"/>
          <w:szCs w:val="24"/>
        </w:rPr>
        <w:t>ection</w:t>
      </w:r>
      <w:proofErr w:type="spellEnd"/>
      <w:r w:rsidRPr="003B4DA5">
        <w:rPr>
          <w:rFonts w:ascii="Times New Roman" w:hAnsi="Times New Roman"/>
          <w:sz w:val="24"/>
          <w:szCs w:val="24"/>
        </w:rPr>
        <w:t xml:space="preserve"> 108(r) relating to cancer by a firefighter.’ The relevant carcinogen in this case is benzene.”</w:t>
      </w:r>
    </w:p>
    <w:p w14:paraId="2834FDD2" w14:textId="77777777" w:rsidR="00A25CDF" w:rsidRPr="003B4DA5" w:rsidRDefault="00A25CDF" w:rsidP="00A25CDF">
      <w:pPr>
        <w:pStyle w:val="NoSpacing"/>
        <w:rPr>
          <w:rFonts w:ascii="Times New Roman" w:hAnsi="Times New Roman"/>
          <w:bCs/>
          <w:sz w:val="24"/>
          <w:szCs w:val="24"/>
        </w:rPr>
      </w:pPr>
      <w:hyperlink r:id="rId1117" w:history="1">
        <w:r w:rsidRPr="003B4DA5">
          <w:rPr>
            <w:rStyle w:val="Hyperlink"/>
            <w:rFonts w:ascii="Times New Roman" w:hAnsi="Times New Roman"/>
            <w:sz w:val="24"/>
            <w:szCs w:val="24"/>
          </w:rPr>
          <w:t>https://cases.justia.com/pennsylvania/commonwealth-court/2024-739-c-d-2023.pdf?ts=1732034168</w:t>
        </w:r>
      </w:hyperlink>
      <w:r w:rsidRPr="003B4DA5">
        <w:rPr>
          <w:rFonts w:ascii="Times New Roman" w:hAnsi="Times New Roman"/>
          <w:sz w:val="24"/>
          <w:szCs w:val="24"/>
        </w:rPr>
        <w:t xml:space="preserve"> </w:t>
      </w:r>
    </w:p>
    <w:p w14:paraId="6F3AF292" w14:textId="77777777" w:rsidR="003B4DA5" w:rsidRDefault="003B4DA5" w:rsidP="00EF1133">
      <w:pPr>
        <w:rPr>
          <w:rFonts w:ascii="Times New Roman" w:hAnsi="Times New Roman"/>
          <w:bCs/>
          <w:sz w:val="24"/>
          <w:szCs w:val="24"/>
        </w:rPr>
      </w:pPr>
    </w:p>
    <w:p w14:paraId="3345F1E2" w14:textId="3C85AC97" w:rsidR="003B4DA5" w:rsidRPr="003B4DA5" w:rsidRDefault="003B4DA5" w:rsidP="00EF1133">
      <w:pPr>
        <w:rPr>
          <w:rFonts w:ascii="Times New Roman" w:hAnsi="Times New Roman"/>
          <w:bCs/>
          <w:sz w:val="24"/>
          <w:szCs w:val="24"/>
        </w:rPr>
      </w:pPr>
      <w:r w:rsidRPr="003B4DA5">
        <w:rPr>
          <w:rFonts w:ascii="Times New Roman" w:hAnsi="Times New Roman"/>
          <w:bCs/>
          <w:sz w:val="24"/>
          <w:szCs w:val="24"/>
        </w:rPr>
        <w:t>Dissent</w:t>
      </w:r>
    </w:p>
    <w:p w14:paraId="382EF0C8" w14:textId="77777777" w:rsidR="003B4DA5" w:rsidRPr="003B4DA5" w:rsidRDefault="003B4DA5" w:rsidP="003B4DA5">
      <w:pPr>
        <w:pStyle w:val="NoSpacing"/>
        <w:rPr>
          <w:rFonts w:ascii="Times New Roman" w:hAnsi="Times New Roman"/>
          <w:b/>
          <w:sz w:val="24"/>
          <w:szCs w:val="24"/>
        </w:rPr>
      </w:pPr>
      <w:r w:rsidRPr="003B4DA5">
        <w:rPr>
          <w:rFonts w:ascii="Times New Roman" w:hAnsi="Times New Roman"/>
          <w:b/>
          <w:sz w:val="24"/>
          <w:szCs w:val="24"/>
        </w:rPr>
        <w:t xml:space="preserve">Legal Lesson Learned: With the state’s statutory presumption, there is no requirement that the firefighter prove he had extensive interior firefighting experience. </w:t>
      </w:r>
    </w:p>
    <w:p w14:paraId="451B022A" w14:textId="77777777" w:rsidR="003B4DA5" w:rsidRDefault="003B4DA5" w:rsidP="00EF1133">
      <w:pPr>
        <w:rPr>
          <w:rFonts w:ascii="Arial Black" w:hAnsi="Arial Black"/>
          <w:b/>
          <w:sz w:val="24"/>
          <w:szCs w:val="24"/>
        </w:rPr>
      </w:pPr>
    </w:p>
    <w:p w14:paraId="0AABA937" w14:textId="77777777" w:rsidR="009C6350" w:rsidRDefault="009C6350" w:rsidP="00EF1133">
      <w:pPr>
        <w:rPr>
          <w:rFonts w:ascii="Arial Black" w:hAnsi="Arial Black"/>
          <w:b/>
          <w:sz w:val="24"/>
          <w:szCs w:val="24"/>
        </w:rPr>
      </w:pPr>
    </w:p>
    <w:p w14:paraId="22FE6C5D" w14:textId="16C899D8" w:rsidR="009C2906" w:rsidRDefault="009C2906"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4</w:t>
      </w:r>
    </w:p>
    <w:p w14:paraId="6F169179" w14:textId="77777777" w:rsidR="00840283" w:rsidRPr="009E40D5" w:rsidRDefault="00840283" w:rsidP="00840283">
      <w:pPr>
        <w:pStyle w:val="NoSpacing"/>
        <w:rPr>
          <w:rFonts w:ascii="Arial Black" w:hAnsi="Arial Black"/>
          <w:sz w:val="28"/>
          <w:szCs w:val="28"/>
        </w:rPr>
      </w:pPr>
      <w:r>
        <w:rPr>
          <w:rFonts w:ascii="Arial Black" w:hAnsi="Arial Black"/>
          <w:sz w:val="28"/>
          <w:szCs w:val="28"/>
        </w:rPr>
        <w:t xml:space="preserve">IL:  ON-DUTY PENSION - 2 ANKLE INJURIES – NEVER FULLY RECOVERED / DIDN’T HIDE ALSO FARMER – BOARD REV. </w:t>
      </w:r>
    </w:p>
    <w:p w14:paraId="4FD7D00F" w14:textId="77777777" w:rsidR="00840283" w:rsidRDefault="00840283" w:rsidP="00840283">
      <w:pPr>
        <w:pStyle w:val="NoSpacing"/>
      </w:pPr>
    </w:p>
    <w:p w14:paraId="2555A817" w14:textId="77777777" w:rsidR="00840283" w:rsidRPr="00456DFA" w:rsidRDefault="00840283" w:rsidP="00840283">
      <w:pPr>
        <w:pStyle w:val="NoSpacing"/>
        <w:rPr>
          <w:rFonts w:ascii="Times New Roman" w:hAnsi="Times New Roman"/>
          <w:sz w:val="24"/>
          <w:szCs w:val="24"/>
        </w:rPr>
      </w:pPr>
      <w:r w:rsidRPr="00456DFA">
        <w:rPr>
          <w:rFonts w:ascii="Times New Roman" w:hAnsi="Times New Roman"/>
          <w:sz w:val="24"/>
          <w:szCs w:val="24"/>
        </w:rPr>
        <w:t xml:space="preserve">On Nov. 15, 2024, in </w:t>
      </w:r>
      <w:r w:rsidRPr="00456DFA">
        <w:rPr>
          <w:rFonts w:ascii="Times New Roman" w:hAnsi="Times New Roman"/>
          <w:sz w:val="24"/>
          <w:szCs w:val="24"/>
          <w:u w:val="single"/>
        </w:rPr>
        <w:t>Timothy R. Barz v. The Village of Hazel Crest Firefighters Pension Fund, et al</w:t>
      </w:r>
      <w:r w:rsidRPr="00456DFA">
        <w:rPr>
          <w:rFonts w:ascii="Times New Roman" w:hAnsi="Times New Roman"/>
          <w:sz w:val="24"/>
          <w:szCs w:val="24"/>
        </w:rPr>
        <w:t xml:space="preserve">., the Appellate Courts of Illinois, First District held (3 to 0) that trail court judge properly overruled the Pension Board, which had only granted him a non-duty disability pension of 50% of his salary.  The Court wrote: “It is clear to us that the Board denied Barz an on-duty pension because it thought he lied to the medical treaters and evaluators about his farming operation by not disclosing it. Barz testified he mentioned it, and it is clear from the medical records and surveillance videos that at least some of the medical providers knew he was walking on uneven surfaces at home, working in his yard, operating equipment, and keeping active overall. No one testified Barz lied or concealed anything.” </w:t>
      </w:r>
      <w:hyperlink r:id="rId1118" w:history="1">
        <w:r w:rsidRPr="00456DFA">
          <w:rPr>
            <w:rStyle w:val="Hyperlink"/>
            <w:rFonts w:ascii="Times New Roman" w:hAnsi="Times New Roman"/>
            <w:sz w:val="24"/>
            <w:szCs w:val="24"/>
          </w:rPr>
          <w:t>https://ilcourtsaudio.blob.core.windows.net/antilles-resources/resources/cb295fe3-77b3-494e-ba2f-aabcd601915c/Barz%20v.%20Village%20of%20Hazel%20Crest%20Firefighters%20Pension%20Fund,%202024%20IL%20App%20(1st)%20240137-U.pdf</w:t>
        </w:r>
      </w:hyperlink>
      <w:r w:rsidRPr="00456DFA">
        <w:rPr>
          <w:rFonts w:ascii="Times New Roman" w:hAnsi="Times New Roman"/>
          <w:sz w:val="24"/>
          <w:szCs w:val="24"/>
        </w:rPr>
        <w:t xml:space="preserve"> </w:t>
      </w:r>
    </w:p>
    <w:p w14:paraId="621E4F9F" w14:textId="77777777" w:rsidR="00840283" w:rsidRPr="00456DFA" w:rsidRDefault="00840283" w:rsidP="00840283">
      <w:pPr>
        <w:pStyle w:val="NoSpacing"/>
        <w:rPr>
          <w:rFonts w:ascii="Times New Roman" w:hAnsi="Times New Roman"/>
          <w:sz w:val="24"/>
          <w:szCs w:val="24"/>
        </w:rPr>
      </w:pPr>
    </w:p>
    <w:p w14:paraId="6B89879F" w14:textId="77777777" w:rsidR="00456DFA" w:rsidRPr="00456DFA" w:rsidRDefault="00456DFA" w:rsidP="00456DFA">
      <w:pPr>
        <w:pStyle w:val="NoSpacing"/>
        <w:rPr>
          <w:rFonts w:ascii="Times New Roman" w:hAnsi="Times New Roman"/>
          <w:b/>
          <w:sz w:val="24"/>
          <w:szCs w:val="24"/>
        </w:rPr>
      </w:pPr>
      <w:r w:rsidRPr="00456DFA">
        <w:rPr>
          <w:rFonts w:ascii="Times New Roman" w:hAnsi="Times New Roman"/>
          <w:b/>
          <w:sz w:val="24"/>
          <w:szCs w:val="24"/>
        </w:rPr>
        <w:t>Legal Lesson Learned:   Board reversed – “no competent evidence supports the Board’s findings that Barz fully recovered following his second 2018 injury.”</w:t>
      </w:r>
    </w:p>
    <w:p w14:paraId="4E4C1E4B" w14:textId="77777777" w:rsidR="009C2906" w:rsidRPr="00456DFA" w:rsidRDefault="009C2906" w:rsidP="00EF1133">
      <w:pPr>
        <w:rPr>
          <w:rFonts w:ascii="Times New Roman" w:hAnsi="Times New Roman"/>
          <w:b/>
          <w:sz w:val="24"/>
          <w:szCs w:val="24"/>
        </w:rPr>
      </w:pPr>
    </w:p>
    <w:p w14:paraId="463BF82F" w14:textId="2D718893" w:rsidR="005D74B5" w:rsidRDefault="00066F05"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3</w:t>
      </w:r>
    </w:p>
    <w:p w14:paraId="4CB0663C" w14:textId="0772E0B1" w:rsidR="00311857" w:rsidRPr="004E2ADB" w:rsidRDefault="00311857" w:rsidP="00311857">
      <w:pPr>
        <w:pStyle w:val="NoSpacing"/>
        <w:rPr>
          <w:rFonts w:ascii="Arial Black" w:hAnsi="Arial Black"/>
          <w:b/>
          <w:bCs/>
          <w:sz w:val="28"/>
          <w:szCs w:val="28"/>
        </w:rPr>
      </w:pPr>
      <w:r w:rsidRPr="004E2ADB">
        <w:rPr>
          <w:rFonts w:ascii="Arial Black" w:hAnsi="Arial Black"/>
          <w:b/>
          <w:bCs/>
          <w:sz w:val="28"/>
          <w:szCs w:val="28"/>
        </w:rPr>
        <w:t xml:space="preserve">VA: AGE DISCRIMINATION NOT PROVEN – BC AGE </w:t>
      </w:r>
      <w:r w:rsidR="00D704A4" w:rsidRPr="004E2ADB">
        <w:rPr>
          <w:rFonts w:ascii="Arial Black" w:hAnsi="Arial Black"/>
          <w:b/>
          <w:bCs/>
          <w:sz w:val="28"/>
          <w:szCs w:val="28"/>
        </w:rPr>
        <w:t>58</w:t>
      </w:r>
      <w:r w:rsidRPr="004E2ADB">
        <w:rPr>
          <w:rFonts w:ascii="Arial Black" w:hAnsi="Arial Black"/>
          <w:b/>
          <w:bCs/>
          <w:sz w:val="28"/>
          <w:szCs w:val="28"/>
        </w:rPr>
        <w:t xml:space="preserve"> – FIRED FOR UNAUTHORIZED PURCHASE OF BRUSH TRUCK </w:t>
      </w:r>
    </w:p>
    <w:p w14:paraId="264EECAE" w14:textId="77777777" w:rsidR="00311857" w:rsidRPr="00FC6D48" w:rsidRDefault="00311857" w:rsidP="00311857">
      <w:pPr>
        <w:pStyle w:val="NoSpacing"/>
        <w:rPr>
          <w:rFonts w:ascii="Times New Roman" w:hAnsi="Times New Roman"/>
          <w:sz w:val="24"/>
          <w:szCs w:val="24"/>
        </w:rPr>
      </w:pPr>
    </w:p>
    <w:p w14:paraId="3CDAA3BB" w14:textId="77777777" w:rsidR="00311857" w:rsidRPr="00FC6D48" w:rsidRDefault="00311857" w:rsidP="00311857">
      <w:pPr>
        <w:pStyle w:val="NoSpacing"/>
        <w:rPr>
          <w:rFonts w:ascii="Times New Roman" w:hAnsi="Times New Roman"/>
          <w:sz w:val="24"/>
          <w:szCs w:val="24"/>
        </w:rPr>
      </w:pPr>
      <w:r w:rsidRPr="00FC6D48">
        <w:rPr>
          <w:rFonts w:ascii="Times New Roman" w:hAnsi="Times New Roman"/>
          <w:sz w:val="24"/>
          <w:szCs w:val="24"/>
        </w:rPr>
        <w:t xml:space="preserve">On Oct. 25, 2024, in </w:t>
      </w:r>
      <w:r w:rsidRPr="00FC6D48">
        <w:rPr>
          <w:rFonts w:ascii="Times New Roman" w:hAnsi="Times New Roman"/>
          <w:sz w:val="24"/>
          <w:szCs w:val="24"/>
          <w:u w:val="single"/>
        </w:rPr>
        <w:t>Clay O’Neal Fitzgerald v. Botetourt County, Virginia</w:t>
      </w:r>
      <w:r w:rsidRPr="00FC6D48">
        <w:rPr>
          <w:rFonts w:ascii="Times New Roman" w:hAnsi="Times New Roman"/>
          <w:sz w:val="24"/>
          <w:szCs w:val="24"/>
        </w:rPr>
        <w:t xml:space="preserve">, the U.S. Court of Appeals for the Fourth Circuit (Richmond, VA) held (3 to 0; unpublished opinion): “Plaintiff-appellant Clay O’Neal Fitzgerald alleges that his former employer, Botetourt County, Virginia, terminated him in retaliation for his complaints about age discrimination. The district court granted Botetourt County’s motion for summary judgment, finding that Fitzgerald failed to produce sufficient evidence under the McDonnell Douglas framework to show that the County’s proffered justification for terminating him was pretextual. Because we agree that no reasonable jury could conclude that the County’s legitimate non-retaliatory reason for Fitzgerald’s termination was mere pretext, we affirm. *** Per the County, Fitzgerald neither had ‘authority to make [the purchase] [$37,500 Ford pickup truck for neighboring volunteer fire department] nor did [he] seek or receive appropriate authorization.” </w:t>
      </w:r>
      <w:hyperlink r:id="rId1119" w:history="1">
        <w:r w:rsidRPr="00FC6D48">
          <w:rPr>
            <w:rStyle w:val="Hyperlink"/>
            <w:rFonts w:ascii="Times New Roman" w:hAnsi="Times New Roman"/>
            <w:sz w:val="24"/>
            <w:szCs w:val="24"/>
          </w:rPr>
          <w:t>https://www.ca4.uscourts.gov/opinions/221081.U.pdf</w:t>
        </w:r>
      </w:hyperlink>
      <w:r w:rsidRPr="00FC6D48">
        <w:rPr>
          <w:rFonts w:ascii="Times New Roman" w:hAnsi="Times New Roman"/>
          <w:sz w:val="24"/>
          <w:szCs w:val="24"/>
        </w:rPr>
        <w:t xml:space="preserve"> </w:t>
      </w:r>
    </w:p>
    <w:p w14:paraId="10A0BE1D" w14:textId="77777777" w:rsidR="00FC6D48" w:rsidRPr="00FC6D48" w:rsidRDefault="00FC6D48" w:rsidP="00FC6D48">
      <w:pPr>
        <w:pStyle w:val="NoSpacing"/>
        <w:rPr>
          <w:rFonts w:ascii="Times New Roman" w:hAnsi="Times New Roman"/>
          <w:b/>
          <w:sz w:val="24"/>
          <w:szCs w:val="24"/>
        </w:rPr>
      </w:pPr>
    </w:p>
    <w:p w14:paraId="02D47389" w14:textId="67AA703D" w:rsidR="00FC6D48" w:rsidRPr="00FC6D48" w:rsidRDefault="00FC6D48" w:rsidP="00FC6D48">
      <w:pPr>
        <w:pStyle w:val="NoSpacing"/>
        <w:rPr>
          <w:rFonts w:ascii="Times New Roman" w:hAnsi="Times New Roman"/>
          <w:b/>
          <w:bCs/>
          <w:sz w:val="24"/>
          <w:szCs w:val="24"/>
        </w:rPr>
      </w:pPr>
      <w:r w:rsidRPr="00FC6D48">
        <w:rPr>
          <w:rFonts w:ascii="Times New Roman" w:hAnsi="Times New Roman"/>
          <w:b/>
          <w:sz w:val="24"/>
          <w:szCs w:val="24"/>
        </w:rPr>
        <w:t>Legal Lesson Learned: County terminate</w:t>
      </w:r>
      <w:r w:rsidRPr="00FC6D48">
        <w:rPr>
          <w:rFonts w:ascii="Times New Roman" w:hAnsi="Times New Roman"/>
          <w:b/>
          <w:bCs/>
          <w:sz w:val="24"/>
          <w:szCs w:val="24"/>
        </w:rPr>
        <w:t xml:space="preserve">d </w:t>
      </w:r>
      <w:r w:rsidRPr="00FC6D48">
        <w:rPr>
          <w:rFonts w:ascii="Times New Roman" w:hAnsi="Times New Roman"/>
          <w:b/>
          <w:sz w:val="24"/>
          <w:szCs w:val="24"/>
        </w:rPr>
        <w:t>for unauthorized purchase of truck</w:t>
      </w:r>
      <w:r w:rsidRPr="00FC6D48">
        <w:rPr>
          <w:rFonts w:ascii="Times New Roman" w:hAnsi="Times New Roman"/>
          <w:b/>
          <w:bCs/>
          <w:sz w:val="24"/>
          <w:szCs w:val="24"/>
        </w:rPr>
        <w:t xml:space="preserve">; not age of Battalion Chief. </w:t>
      </w:r>
    </w:p>
    <w:p w14:paraId="03553F8A" w14:textId="77777777" w:rsidR="00FC6D48" w:rsidRDefault="00FC6D48" w:rsidP="006C4AD8">
      <w:pPr>
        <w:pStyle w:val="NormalWeb"/>
        <w:spacing w:before="0" w:beforeAutospacing="0"/>
        <w:rPr>
          <w:rFonts w:ascii="Arial Black" w:hAnsi="Arial Black"/>
          <w:b/>
          <w:bCs/>
          <w:color w:val="454545"/>
          <w:sz w:val="28"/>
          <w:szCs w:val="28"/>
          <w:shd w:val="clear" w:color="auto" w:fill="FFFFFF"/>
        </w:rPr>
      </w:pPr>
    </w:p>
    <w:p w14:paraId="060FFB7D" w14:textId="605C99E5" w:rsidR="00066F05"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2</w:t>
      </w:r>
    </w:p>
    <w:p w14:paraId="20E999E7" w14:textId="77777777" w:rsidR="00AD5EF8" w:rsidRPr="004E2ADB" w:rsidRDefault="00AD5EF8" w:rsidP="00AD5EF8">
      <w:pPr>
        <w:rPr>
          <w:rFonts w:ascii="Arial Black" w:hAnsi="Arial Black"/>
          <w:b/>
          <w:bCs/>
          <w:sz w:val="28"/>
          <w:szCs w:val="28"/>
        </w:rPr>
      </w:pPr>
      <w:r w:rsidRPr="004E2ADB">
        <w:rPr>
          <w:rFonts w:ascii="Arial Black" w:hAnsi="Arial Black"/>
          <w:b/>
          <w:bCs/>
          <w:sz w:val="28"/>
          <w:szCs w:val="28"/>
        </w:rPr>
        <w:t xml:space="preserve">OH: CINCINNATI FF – THYROID CANCER – STATUTORY PRESUMPTION WAS CAUSED BY JOB </w:t>
      </w:r>
    </w:p>
    <w:p w14:paraId="7AF1C5D6" w14:textId="65CCBA29" w:rsidR="00AD5EF8" w:rsidRPr="00F23ECF" w:rsidRDefault="00AD5EF8" w:rsidP="00AD5EF8">
      <w:pPr>
        <w:pStyle w:val="NoSpacing"/>
        <w:rPr>
          <w:rFonts w:ascii="Times New Roman" w:hAnsi="Times New Roman"/>
          <w:sz w:val="24"/>
          <w:szCs w:val="24"/>
        </w:rPr>
      </w:pPr>
      <w:r w:rsidRPr="00F23ECF">
        <w:rPr>
          <w:rFonts w:ascii="Times New Roman" w:hAnsi="Times New Roman"/>
          <w:sz w:val="24"/>
          <w:szCs w:val="24"/>
        </w:rPr>
        <w:t xml:space="preserve">On Oct. 10, 2024, in </w:t>
      </w:r>
      <w:r w:rsidRPr="00F23ECF">
        <w:rPr>
          <w:rFonts w:ascii="Times New Roman" w:hAnsi="Times New Roman"/>
          <w:sz w:val="24"/>
          <w:szCs w:val="24"/>
          <w:u w:val="single"/>
        </w:rPr>
        <w:t>State ex rel. City of Cincinnati v. Industrial Commission of Ohio (re: claimant, Joshua K. Knoechel</w:t>
      </w:r>
      <w:r w:rsidRPr="00F23ECF">
        <w:rPr>
          <w:rFonts w:ascii="Times New Roman" w:hAnsi="Times New Roman"/>
          <w:sz w:val="24"/>
          <w:szCs w:val="24"/>
        </w:rPr>
        <w:t>), the Ohio Court of Appeals for the Tenth Appellate District held (3 to 0):  “Relator, the City of Cincinnati, commenced this original action requesting this court to issue a writ of mandamus ordering respondent, the Industrial Commission of</w:t>
      </w:r>
    </w:p>
    <w:p w14:paraId="08EF269E" w14:textId="28B0BAAF" w:rsidR="00AD5EF8" w:rsidRPr="00F23ECF" w:rsidRDefault="00AD5EF8" w:rsidP="00AD5EF8">
      <w:pPr>
        <w:pStyle w:val="NoSpacing"/>
        <w:rPr>
          <w:rFonts w:ascii="Times New Roman" w:hAnsi="Times New Roman"/>
          <w:sz w:val="24"/>
          <w:szCs w:val="24"/>
        </w:rPr>
      </w:pPr>
      <w:r w:rsidRPr="00F23ECF">
        <w:rPr>
          <w:rFonts w:ascii="Times New Roman" w:hAnsi="Times New Roman"/>
          <w:sz w:val="24"/>
          <w:szCs w:val="24"/>
        </w:rPr>
        <w:t xml:space="preserve">Ohio (“commission”), to vacate its order exercising continuing jurisdiction to allow the workers’ compensation claim of claimant, Joshua K. Knoechel, for papillary thyroid cancer and to reinstate the March 11, </w:t>
      </w:r>
      <w:proofErr w:type="gramStart"/>
      <w:r w:rsidRPr="00F23ECF">
        <w:rPr>
          <w:rFonts w:ascii="Times New Roman" w:hAnsi="Times New Roman"/>
          <w:sz w:val="24"/>
          <w:szCs w:val="24"/>
        </w:rPr>
        <w:t>2022</w:t>
      </w:r>
      <w:proofErr w:type="gramEnd"/>
      <w:r w:rsidRPr="00F23ECF">
        <w:rPr>
          <w:rFonts w:ascii="Times New Roman" w:hAnsi="Times New Roman"/>
          <w:sz w:val="24"/>
          <w:szCs w:val="24"/>
        </w:rPr>
        <w:t xml:space="preserve"> order of the Staff Hearing Officer (‘SHO’) denying the claim. [Court agreed with Magistrate, who recommended] that this court should deny the employer’s petition for writ of mandamus.” </w:t>
      </w:r>
      <w:hyperlink r:id="rId1120" w:history="1">
        <w:r w:rsidRPr="00F23ECF">
          <w:rPr>
            <w:rStyle w:val="Hyperlink"/>
            <w:rFonts w:ascii="Times New Roman" w:hAnsi="Times New Roman"/>
            <w:sz w:val="24"/>
            <w:szCs w:val="24"/>
          </w:rPr>
          <w:t>https://cases.justia.com/ohio/tenth-district-court-of-appeals/2024-22ap-431.pdf?ts=1728583884</w:t>
        </w:r>
      </w:hyperlink>
      <w:r w:rsidRPr="00F23ECF">
        <w:rPr>
          <w:rFonts w:ascii="Times New Roman" w:hAnsi="Times New Roman"/>
          <w:sz w:val="24"/>
          <w:szCs w:val="24"/>
        </w:rPr>
        <w:t xml:space="preserve"> </w:t>
      </w:r>
    </w:p>
    <w:p w14:paraId="3B16020B" w14:textId="77777777" w:rsidR="00F23ECF" w:rsidRPr="00F23ECF" w:rsidRDefault="00F23ECF" w:rsidP="00F23ECF">
      <w:pPr>
        <w:pStyle w:val="NoSpacing"/>
        <w:rPr>
          <w:rFonts w:ascii="Times New Roman" w:hAnsi="Times New Roman"/>
          <w:b/>
          <w:sz w:val="24"/>
          <w:szCs w:val="24"/>
        </w:rPr>
      </w:pPr>
    </w:p>
    <w:p w14:paraId="223D5A0D" w14:textId="1117048B" w:rsidR="00F23ECF" w:rsidRPr="00F23ECF" w:rsidRDefault="00F23ECF" w:rsidP="00F23ECF">
      <w:pPr>
        <w:pStyle w:val="NoSpacing"/>
        <w:rPr>
          <w:rFonts w:ascii="Times New Roman" w:hAnsi="Times New Roman"/>
          <w:b/>
          <w:bCs/>
          <w:sz w:val="24"/>
          <w:szCs w:val="24"/>
        </w:rPr>
      </w:pPr>
      <w:r w:rsidRPr="00F23ECF">
        <w:rPr>
          <w:rFonts w:ascii="Times New Roman" w:hAnsi="Times New Roman"/>
          <w:b/>
          <w:sz w:val="24"/>
          <w:szCs w:val="24"/>
        </w:rPr>
        <w:t xml:space="preserve">Legal Lesson Learned: Statutory presumption that cancer was caused by the job; employer’s expert report did not overcome this presumption. </w:t>
      </w:r>
    </w:p>
    <w:p w14:paraId="10D6F9E4" w14:textId="77777777" w:rsidR="00F23ECF" w:rsidRPr="00F23ECF" w:rsidRDefault="00F23ECF" w:rsidP="006C4AD8">
      <w:pPr>
        <w:pStyle w:val="NormalWeb"/>
        <w:spacing w:before="0" w:beforeAutospacing="0"/>
        <w:rPr>
          <w:b/>
          <w:bCs/>
          <w:color w:val="454545"/>
          <w:shd w:val="clear" w:color="auto" w:fill="FFFFFF"/>
        </w:rPr>
      </w:pPr>
    </w:p>
    <w:p w14:paraId="0838296B" w14:textId="77777777" w:rsidR="00FC6D48" w:rsidRDefault="00FC6D48" w:rsidP="006C4AD8">
      <w:pPr>
        <w:pStyle w:val="NormalWeb"/>
        <w:spacing w:before="0" w:beforeAutospacing="0"/>
        <w:rPr>
          <w:rFonts w:ascii="Arial Black" w:hAnsi="Arial Black"/>
          <w:b/>
          <w:bCs/>
          <w:color w:val="454545"/>
          <w:sz w:val="28"/>
          <w:szCs w:val="28"/>
          <w:shd w:val="clear" w:color="auto" w:fill="FFFFFF"/>
        </w:rPr>
      </w:pPr>
    </w:p>
    <w:p w14:paraId="732AC63F" w14:textId="63C0B554" w:rsidR="00066F05"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1</w:t>
      </w:r>
    </w:p>
    <w:p w14:paraId="78888F58" w14:textId="77777777" w:rsidR="007506C7" w:rsidRPr="004E2ADB" w:rsidRDefault="007506C7" w:rsidP="007506C7">
      <w:pPr>
        <w:pStyle w:val="NoSpacing"/>
        <w:rPr>
          <w:rFonts w:ascii="Arial Black" w:hAnsi="Arial Black"/>
          <w:b/>
          <w:bCs/>
          <w:sz w:val="28"/>
          <w:szCs w:val="28"/>
        </w:rPr>
      </w:pPr>
      <w:r w:rsidRPr="004E2ADB">
        <w:rPr>
          <w:rFonts w:ascii="Arial Black" w:hAnsi="Arial Black"/>
          <w:b/>
          <w:bCs/>
          <w:sz w:val="28"/>
          <w:szCs w:val="28"/>
        </w:rPr>
        <w:t xml:space="preserve">OH: PROSTATE CANCER – 25 YRS ON JOB BEFORE RETIRED – AWARDED PERMANENT PARTIAL DISABILITY  </w:t>
      </w:r>
    </w:p>
    <w:p w14:paraId="29F02A84" w14:textId="77777777" w:rsidR="007506C7" w:rsidRPr="00067499" w:rsidRDefault="007506C7" w:rsidP="007506C7">
      <w:pPr>
        <w:pStyle w:val="NoSpacing"/>
        <w:rPr>
          <w:rFonts w:ascii="Times New Roman" w:hAnsi="Times New Roman"/>
          <w:b/>
          <w:bCs/>
          <w:sz w:val="24"/>
          <w:szCs w:val="24"/>
        </w:rPr>
      </w:pPr>
    </w:p>
    <w:p w14:paraId="7482D31A" w14:textId="780E0433" w:rsidR="001E7A60" w:rsidRPr="00067499" w:rsidRDefault="001E7A60" w:rsidP="001E7A60">
      <w:pPr>
        <w:pStyle w:val="NoSpacing"/>
        <w:rPr>
          <w:rStyle w:val="Hyperlink"/>
          <w:rFonts w:ascii="Times New Roman" w:hAnsi="Times New Roman"/>
        </w:rPr>
      </w:pPr>
      <w:r w:rsidRPr="00067499">
        <w:rPr>
          <w:rFonts w:ascii="Times New Roman" w:hAnsi="Times New Roman"/>
        </w:rPr>
        <w:t xml:space="preserve">On Oct. 17, 2024, in </w:t>
      </w:r>
      <w:r w:rsidRPr="00067499">
        <w:rPr>
          <w:rFonts w:ascii="Times New Roman" w:hAnsi="Times New Roman"/>
          <w:u w:val="single"/>
        </w:rPr>
        <w:t>State ex rel. City of Cincinnati v. Industrial Commission of Ohio (re: claimant Michael K. Hines</w:t>
      </w:r>
      <w:r w:rsidRPr="00067499">
        <w:rPr>
          <w:rFonts w:ascii="Times New Roman" w:hAnsi="Times New Roman"/>
        </w:rPr>
        <w:t xml:space="preserve">), the Cour of Appeals of Ohio, Tenth Appellate District. held (3 to 0): </w:t>
      </w:r>
      <w:r w:rsidR="007179A1" w:rsidRPr="00067499">
        <w:rPr>
          <w:rFonts w:ascii="Times New Roman" w:hAnsi="Times New Roman"/>
        </w:rPr>
        <w:t xml:space="preserve"> </w:t>
      </w:r>
      <w:r w:rsidRPr="00067499">
        <w:rPr>
          <w:rFonts w:ascii="Times New Roman" w:hAnsi="Times New Roman"/>
        </w:rPr>
        <w:t>“The magistrate determined the commission correctly applied R.C. 4123.57 in determining claimant is entitled to PPD compensation. Thus, the magistrate recommends this court deny</w:t>
      </w:r>
      <w:r w:rsidR="007179A1" w:rsidRPr="00067499">
        <w:rPr>
          <w:rFonts w:ascii="Times New Roman" w:hAnsi="Times New Roman"/>
        </w:rPr>
        <w:t xml:space="preserve"> </w:t>
      </w:r>
      <w:r w:rsidRPr="00067499">
        <w:rPr>
          <w:rFonts w:ascii="Times New Roman" w:hAnsi="Times New Roman"/>
        </w:rPr>
        <w:t xml:space="preserve">employer’s petition for a writ of mandamus. *** Upon review, we find no error of law or other defect on the face of the magistrate’s decision. Therefore, we adopt the magistrate’s decision as our own, including findings of fact and conclusions of law, and we deny employer’s petition for a writ of mandamus.” </w:t>
      </w:r>
      <w:hyperlink r:id="rId1121" w:history="1">
        <w:r w:rsidRPr="00067499">
          <w:rPr>
            <w:rStyle w:val="Hyperlink"/>
            <w:rFonts w:ascii="Times New Roman" w:hAnsi="Times New Roman"/>
          </w:rPr>
          <w:t>https://www.supremecourt.ohio.gov/rod/docs/pdf/10/2024/2024-Ohio-5010.pdf</w:t>
        </w:r>
      </w:hyperlink>
    </w:p>
    <w:p w14:paraId="6333D5F4" w14:textId="77777777" w:rsidR="007179A1" w:rsidRPr="00067499" w:rsidRDefault="007179A1" w:rsidP="007179A1">
      <w:pPr>
        <w:pStyle w:val="NoSpacing"/>
        <w:rPr>
          <w:rFonts w:ascii="Times New Roman" w:hAnsi="Times New Roman"/>
          <w:b/>
        </w:rPr>
      </w:pPr>
    </w:p>
    <w:p w14:paraId="29DB39F8" w14:textId="043E4042" w:rsidR="007179A1" w:rsidRPr="00067499" w:rsidRDefault="007179A1" w:rsidP="007179A1">
      <w:pPr>
        <w:pStyle w:val="NoSpacing"/>
        <w:rPr>
          <w:rFonts w:ascii="Times New Roman" w:hAnsi="Times New Roman"/>
          <w:b/>
          <w:bCs/>
        </w:rPr>
      </w:pPr>
      <w:r w:rsidRPr="00067499">
        <w:rPr>
          <w:rFonts w:ascii="Times New Roman" w:hAnsi="Times New Roman"/>
          <w:b/>
        </w:rPr>
        <w:t xml:space="preserve">Legal Lesson Learned: Statutory presumption that prostate cancer caused by the job. </w:t>
      </w:r>
    </w:p>
    <w:p w14:paraId="5A4B9C29" w14:textId="77777777" w:rsidR="007179A1" w:rsidRPr="00067499" w:rsidRDefault="007179A1" w:rsidP="007179A1">
      <w:pPr>
        <w:pStyle w:val="NoSpacing"/>
        <w:rPr>
          <w:rFonts w:ascii="Times New Roman" w:hAnsi="Times New Roman"/>
          <w:bCs/>
          <w:sz w:val="28"/>
          <w:szCs w:val="28"/>
        </w:rPr>
      </w:pPr>
    </w:p>
    <w:p w14:paraId="72316945" w14:textId="77777777" w:rsidR="002A0697" w:rsidRDefault="002A0697" w:rsidP="006C4AD8">
      <w:pPr>
        <w:pStyle w:val="NormalWeb"/>
        <w:spacing w:before="0" w:beforeAutospacing="0"/>
        <w:rPr>
          <w:rFonts w:ascii="Arial Black" w:hAnsi="Arial Black"/>
          <w:b/>
          <w:bCs/>
          <w:color w:val="454545"/>
          <w:sz w:val="28"/>
          <w:szCs w:val="28"/>
          <w:shd w:val="clear" w:color="auto" w:fill="FFFFFF"/>
        </w:rPr>
      </w:pPr>
    </w:p>
    <w:p w14:paraId="37315153" w14:textId="6F92EA3F" w:rsidR="00E13EDA"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0</w:t>
      </w:r>
    </w:p>
    <w:p w14:paraId="617E65E9" w14:textId="77777777" w:rsidR="00EC0331" w:rsidRPr="004E2ADB" w:rsidRDefault="00EC0331" w:rsidP="00EC0331">
      <w:pPr>
        <w:pStyle w:val="NoSpacing"/>
        <w:rPr>
          <w:rFonts w:ascii="Arial Black" w:hAnsi="Arial Black"/>
          <w:b/>
          <w:bCs/>
          <w:sz w:val="28"/>
          <w:szCs w:val="28"/>
        </w:rPr>
      </w:pPr>
      <w:r w:rsidRPr="004E2ADB">
        <w:rPr>
          <w:rFonts w:ascii="Arial Black" w:hAnsi="Arial Black"/>
          <w:b/>
          <w:bCs/>
          <w:sz w:val="28"/>
          <w:szCs w:val="28"/>
        </w:rPr>
        <w:t>PA: FF – COLON CANCER / KIDNEY DISEASE – STATUTORY PRESUMPTION FOR CANCER – GETS WORK COMP.</w:t>
      </w:r>
    </w:p>
    <w:p w14:paraId="49187B54" w14:textId="77777777" w:rsidR="00EC0331" w:rsidRPr="004E2ADB" w:rsidRDefault="00EC0331" w:rsidP="00EC0331">
      <w:pPr>
        <w:pStyle w:val="NoSpacing"/>
        <w:rPr>
          <w:rFonts w:ascii="Arial Black" w:hAnsi="Arial Black"/>
          <w:sz w:val="28"/>
          <w:szCs w:val="28"/>
        </w:rPr>
      </w:pPr>
    </w:p>
    <w:p w14:paraId="4B401DA2" w14:textId="77777777" w:rsidR="00EC0331" w:rsidRPr="00084D68" w:rsidRDefault="00EC0331" w:rsidP="00EC0331">
      <w:pPr>
        <w:pStyle w:val="NoSpacing"/>
        <w:rPr>
          <w:rFonts w:ascii="Times New Roman" w:hAnsi="Times New Roman"/>
          <w:sz w:val="24"/>
          <w:szCs w:val="24"/>
          <w:u w:val="single"/>
        </w:rPr>
      </w:pPr>
      <w:r w:rsidRPr="00084D68">
        <w:rPr>
          <w:rFonts w:ascii="Times New Roman" w:hAnsi="Times New Roman"/>
          <w:sz w:val="24"/>
          <w:szCs w:val="24"/>
        </w:rPr>
        <w:t xml:space="preserve">On Oct. 10, 2024, in </w:t>
      </w:r>
      <w:r w:rsidRPr="00084D68">
        <w:rPr>
          <w:rFonts w:ascii="Times New Roman" w:hAnsi="Times New Roman"/>
          <w:sz w:val="24"/>
          <w:szCs w:val="24"/>
          <w:u w:val="single"/>
        </w:rPr>
        <w:t>West Conshohocken Borough v. David Markland (Workers’ :</w:t>
      </w:r>
    </w:p>
    <w:p w14:paraId="75BD9AB4" w14:textId="77777777" w:rsidR="00EC0331" w:rsidRPr="00084D68" w:rsidRDefault="00EC0331" w:rsidP="00EC0331">
      <w:pPr>
        <w:pStyle w:val="NoSpacing"/>
        <w:rPr>
          <w:rFonts w:ascii="Times New Roman" w:hAnsi="Times New Roman"/>
          <w:sz w:val="24"/>
          <w:szCs w:val="24"/>
        </w:rPr>
      </w:pPr>
      <w:r w:rsidRPr="00084D68">
        <w:rPr>
          <w:rFonts w:ascii="Times New Roman" w:hAnsi="Times New Roman"/>
          <w:sz w:val="24"/>
          <w:szCs w:val="24"/>
          <w:u w:val="single"/>
        </w:rPr>
        <w:t>Compensation Appeal Board</w:t>
      </w:r>
      <w:r w:rsidRPr="00084D68">
        <w:rPr>
          <w:rFonts w:ascii="Times New Roman" w:hAnsi="Times New Roman"/>
          <w:sz w:val="24"/>
          <w:szCs w:val="24"/>
        </w:rPr>
        <w:t xml:space="preserve">), the Commonwealth Court of Pennsylvania held (6 to 1): “West Conshohocken Borough (Employer) petitions for review of the November 18, </w:t>
      </w:r>
      <w:proofErr w:type="gramStart"/>
      <w:r w:rsidRPr="00084D68">
        <w:rPr>
          <w:rFonts w:ascii="Times New Roman" w:hAnsi="Times New Roman"/>
          <w:sz w:val="24"/>
          <w:szCs w:val="24"/>
        </w:rPr>
        <w:t>2022</w:t>
      </w:r>
      <w:proofErr w:type="gramEnd"/>
      <w:r w:rsidRPr="00084D68">
        <w:rPr>
          <w:rFonts w:ascii="Times New Roman" w:hAnsi="Times New Roman"/>
          <w:sz w:val="24"/>
          <w:szCs w:val="24"/>
        </w:rPr>
        <w:t xml:space="preserve"> opinion and order (Order) of the Workers’ Compensation Appeal Board (Board) that affirmed the Workers’ Compensation Judge’s (WCJ) May 2, </w:t>
      </w:r>
      <w:proofErr w:type="gramStart"/>
      <w:r w:rsidRPr="00084D68">
        <w:rPr>
          <w:rFonts w:ascii="Times New Roman" w:hAnsi="Times New Roman"/>
          <w:sz w:val="24"/>
          <w:szCs w:val="24"/>
        </w:rPr>
        <w:t>2022</w:t>
      </w:r>
      <w:proofErr w:type="gramEnd"/>
      <w:r w:rsidRPr="00084D68">
        <w:rPr>
          <w:rFonts w:ascii="Times New Roman" w:hAnsi="Times New Roman"/>
          <w:sz w:val="24"/>
          <w:szCs w:val="24"/>
        </w:rPr>
        <w:t xml:space="preserve"> decision and order (Decision) granting the Claim Petition that David Markland (Claimant) filed under the Workers’ Compensation Act (Act).After</w:t>
      </w:r>
    </w:p>
    <w:p w14:paraId="05E4D6D7" w14:textId="77777777" w:rsidR="00EC0331" w:rsidRPr="00084D68" w:rsidRDefault="00EC0331" w:rsidP="00EC0331">
      <w:pPr>
        <w:pStyle w:val="NoSpacing"/>
        <w:rPr>
          <w:rFonts w:ascii="Times New Roman" w:hAnsi="Times New Roman"/>
          <w:sz w:val="24"/>
          <w:szCs w:val="24"/>
        </w:rPr>
      </w:pPr>
      <w:r w:rsidRPr="00084D68">
        <w:rPr>
          <w:rFonts w:ascii="Times New Roman" w:hAnsi="Times New Roman"/>
          <w:sz w:val="24"/>
          <w:szCs w:val="24"/>
        </w:rPr>
        <w:t>careful review, we affirm.”</w:t>
      </w:r>
    </w:p>
    <w:p w14:paraId="11ED62A2" w14:textId="3712BBDD" w:rsidR="00067499" w:rsidRPr="00084D68" w:rsidRDefault="00EC0331" w:rsidP="00EC0331">
      <w:pPr>
        <w:pStyle w:val="NormalWeb"/>
        <w:spacing w:before="0" w:beforeAutospacing="0"/>
        <w:rPr>
          <w:rStyle w:val="Hyperlink"/>
        </w:rPr>
      </w:pPr>
      <w:hyperlink r:id="rId1122" w:history="1">
        <w:r w:rsidRPr="00084D68">
          <w:rPr>
            <w:rStyle w:val="Hyperlink"/>
          </w:rPr>
          <w:t>https://www.pacourts.us/assets/opinions/Commonwealth/out/1382CD22_10-10-24.pdf?cb=1</w:t>
        </w:r>
      </w:hyperlink>
    </w:p>
    <w:p w14:paraId="22FA04F5" w14:textId="77777777" w:rsidR="00084D68" w:rsidRPr="00084D68" w:rsidRDefault="00084D68" w:rsidP="00084D68">
      <w:pPr>
        <w:pStyle w:val="NoSpacing"/>
        <w:rPr>
          <w:rFonts w:ascii="Times New Roman" w:hAnsi="Times New Roman"/>
          <w:b/>
          <w:bCs/>
          <w:sz w:val="24"/>
          <w:szCs w:val="24"/>
        </w:rPr>
      </w:pPr>
      <w:r w:rsidRPr="00084D68">
        <w:rPr>
          <w:rFonts w:ascii="Times New Roman" w:hAnsi="Times New Roman"/>
          <w:b/>
          <w:sz w:val="24"/>
          <w:szCs w:val="24"/>
        </w:rPr>
        <w:t>Legal Lesson Learned: Employer failed to prove a</w:t>
      </w:r>
      <w:r w:rsidRPr="00084D68">
        <w:rPr>
          <w:rFonts w:ascii="Times New Roman" w:hAnsi="Times New Roman"/>
          <w:b/>
          <w:bCs/>
          <w:sz w:val="24"/>
          <w:szCs w:val="24"/>
        </w:rPr>
        <w:t>nother</w:t>
      </w:r>
      <w:r w:rsidRPr="00084D68">
        <w:rPr>
          <w:rFonts w:ascii="Times New Roman" w:hAnsi="Times New Roman"/>
          <w:b/>
          <w:sz w:val="24"/>
          <w:szCs w:val="24"/>
        </w:rPr>
        <w:t xml:space="preserve"> “specific, non-firefighting cause” of the colon cancer. </w:t>
      </w:r>
    </w:p>
    <w:p w14:paraId="67B6684E" w14:textId="77777777" w:rsidR="00067499" w:rsidRDefault="00067499" w:rsidP="006C4AD8">
      <w:pPr>
        <w:pStyle w:val="NormalWeb"/>
        <w:spacing w:before="0" w:beforeAutospacing="0"/>
        <w:rPr>
          <w:rFonts w:ascii="Arial Black" w:hAnsi="Arial Black"/>
          <w:b/>
          <w:bCs/>
          <w:color w:val="454545"/>
          <w:sz w:val="28"/>
          <w:szCs w:val="28"/>
          <w:shd w:val="clear" w:color="auto" w:fill="FFFFFF"/>
        </w:rPr>
      </w:pPr>
    </w:p>
    <w:p w14:paraId="5E514763" w14:textId="7EC1C6F0" w:rsidR="00E13EDA"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w:t>
      </w:r>
      <w:r w:rsidR="002A0697">
        <w:rPr>
          <w:rFonts w:ascii="Arial Black" w:hAnsi="Arial Black"/>
          <w:b/>
          <w:bCs/>
          <w:color w:val="454545"/>
          <w:sz w:val="28"/>
          <w:szCs w:val="28"/>
          <w:shd w:val="clear" w:color="auto" w:fill="FFFFFF"/>
        </w:rPr>
        <w:t>39</w:t>
      </w:r>
    </w:p>
    <w:p w14:paraId="5CCEE1B4" w14:textId="77777777" w:rsidR="001713FB" w:rsidRPr="004E2ADB" w:rsidRDefault="001713FB" w:rsidP="001713FB">
      <w:pPr>
        <w:pStyle w:val="NoSpacing"/>
        <w:rPr>
          <w:rFonts w:ascii="Arial Black" w:hAnsi="Arial Black"/>
          <w:b/>
          <w:bCs/>
          <w:sz w:val="28"/>
          <w:szCs w:val="28"/>
        </w:rPr>
      </w:pPr>
      <w:r w:rsidRPr="004E2ADB">
        <w:rPr>
          <w:rFonts w:ascii="Arial Black" w:hAnsi="Arial Black"/>
          <w:b/>
          <w:bCs/>
          <w:sz w:val="28"/>
          <w:szCs w:val="28"/>
        </w:rPr>
        <w:t>LA: HEART DISEASE – STATUTORY PRESUMPTION – NEW ORLEANS FF RECEIVES WORKERS COMP. &amp; ATTY FEES</w:t>
      </w:r>
    </w:p>
    <w:p w14:paraId="07B5ADFB" w14:textId="77777777" w:rsidR="001713FB" w:rsidRPr="00903FC7" w:rsidRDefault="001713FB" w:rsidP="001713FB">
      <w:pPr>
        <w:pStyle w:val="NoSpacing"/>
        <w:rPr>
          <w:rFonts w:ascii="Times New Roman" w:hAnsi="Times New Roman"/>
          <w:b/>
          <w:bCs/>
          <w:sz w:val="24"/>
          <w:szCs w:val="24"/>
        </w:rPr>
      </w:pPr>
    </w:p>
    <w:p w14:paraId="7F75CE85" w14:textId="554F7FE7" w:rsidR="001713FB" w:rsidRPr="00903FC7" w:rsidRDefault="001713FB" w:rsidP="001713FB">
      <w:pPr>
        <w:pStyle w:val="NoSpacing"/>
        <w:rPr>
          <w:rFonts w:ascii="Times New Roman" w:hAnsi="Times New Roman"/>
          <w:sz w:val="24"/>
          <w:szCs w:val="24"/>
        </w:rPr>
      </w:pPr>
      <w:r w:rsidRPr="00903FC7">
        <w:rPr>
          <w:rFonts w:ascii="Times New Roman" w:hAnsi="Times New Roman"/>
          <w:sz w:val="24"/>
          <w:szCs w:val="24"/>
        </w:rPr>
        <w:t xml:space="preserve">On Oct. 4, 2024, in </w:t>
      </w:r>
      <w:r w:rsidRPr="00903FC7">
        <w:rPr>
          <w:rFonts w:ascii="Times New Roman" w:hAnsi="Times New Roman"/>
          <w:sz w:val="24"/>
          <w:szCs w:val="24"/>
          <w:u w:val="single"/>
        </w:rPr>
        <w:t>Kenneth Prevost v. City of New Orleans Fire Department</w:t>
      </w:r>
      <w:r w:rsidRPr="00903FC7">
        <w:rPr>
          <w:rFonts w:ascii="Times New Roman" w:hAnsi="Times New Roman"/>
          <w:sz w:val="24"/>
          <w:szCs w:val="24"/>
        </w:rPr>
        <w:t xml:space="preserve">, the Louisiana Court of Appeal, </w:t>
      </w:r>
      <w:proofErr w:type="spellStart"/>
      <w:r w:rsidRPr="00903FC7">
        <w:rPr>
          <w:rFonts w:ascii="Times New Roman" w:hAnsi="Times New Roman"/>
          <w:sz w:val="24"/>
          <w:szCs w:val="24"/>
        </w:rPr>
        <w:t>Forth</w:t>
      </w:r>
      <w:proofErr w:type="spellEnd"/>
      <w:r w:rsidRPr="00903FC7">
        <w:rPr>
          <w:rFonts w:ascii="Times New Roman" w:hAnsi="Times New Roman"/>
          <w:sz w:val="24"/>
          <w:szCs w:val="24"/>
        </w:rPr>
        <w:t xml:space="preserve"> Circuit, held (3 to 0): “This is a workers’ compensation case. Defendant-Appellant, the New Orleans Fire Department (‘NOFD’) appeals the May 20, </w:t>
      </w:r>
      <w:proofErr w:type="gramStart"/>
      <w:r w:rsidRPr="00903FC7">
        <w:rPr>
          <w:rFonts w:ascii="Times New Roman" w:hAnsi="Times New Roman"/>
          <w:sz w:val="24"/>
          <w:szCs w:val="24"/>
        </w:rPr>
        <w:t>2022</w:t>
      </w:r>
      <w:proofErr w:type="gramEnd"/>
      <w:r w:rsidRPr="00903FC7">
        <w:rPr>
          <w:rFonts w:ascii="Times New Roman" w:hAnsi="Times New Roman"/>
          <w:sz w:val="24"/>
          <w:szCs w:val="24"/>
        </w:rPr>
        <w:t xml:space="preserve"> judgment rendered by the workers’ compensation judge (‘WCJ’), which found the claim filed by</w:t>
      </w:r>
      <w:r w:rsidR="00903FC7">
        <w:rPr>
          <w:rFonts w:ascii="Times New Roman" w:hAnsi="Times New Roman"/>
          <w:sz w:val="24"/>
          <w:szCs w:val="24"/>
        </w:rPr>
        <w:t xml:space="preserve"> </w:t>
      </w:r>
      <w:r w:rsidRPr="00903FC7">
        <w:rPr>
          <w:rFonts w:ascii="Times New Roman" w:hAnsi="Times New Roman"/>
          <w:sz w:val="24"/>
          <w:szCs w:val="24"/>
        </w:rPr>
        <w:t>Plaintiff-Appellee, Kenneth Prevost (‘Prevost’), under the Fireman’s Heart and Lung Act was compensable and awarded Prevost $2,000.00 in penalties and $3,500.00 in attorney’s fees.</w:t>
      </w:r>
      <w:r w:rsidR="00903FC7">
        <w:rPr>
          <w:rFonts w:ascii="Times New Roman" w:hAnsi="Times New Roman"/>
          <w:sz w:val="24"/>
          <w:szCs w:val="24"/>
        </w:rPr>
        <w:t xml:space="preserve"> </w:t>
      </w:r>
      <w:r w:rsidRPr="00903FC7">
        <w:rPr>
          <w:rFonts w:ascii="Times New Roman" w:hAnsi="Times New Roman"/>
          <w:sz w:val="24"/>
          <w:szCs w:val="24"/>
        </w:rPr>
        <w:t>For the following reasons, we affirm.”</w:t>
      </w:r>
    </w:p>
    <w:p w14:paraId="6580B861" w14:textId="77777777" w:rsidR="001713FB" w:rsidRPr="00903FC7" w:rsidRDefault="001713FB" w:rsidP="001713FB">
      <w:pPr>
        <w:pStyle w:val="NoSpacing"/>
        <w:rPr>
          <w:rFonts w:ascii="Times New Roman" w:hAnsi="Times New Roman"/>
          <w:sz w:val="24"/>
          <w:szCs w:val="24"/>
        </w:rPr>
      </w:pPr>
      <w:hyperlink r:id="rId1123" w:history="1">
        <w:r w:rsidRPr="00903FC7">
          <w:rPr>
            <w:rStyle w:val="Hyperlink"/>
            <w:rFonts w:ascii="Times New Roman" w:hAnsi="Times New Roman"/>
            <w:sz w:val="24"/>
            <w:szCs w:val="24"/>
          </w:rPr>
          <w:t>https://cases.justia.com/louisiana/fourth-circuit-court-of-appeal/2024-2024-ca-0114.pdf?ts=1727828103</w:t>
        </w:r>
      </w:hyperlink>
      <w:r w:rsidRPr="00903FC7">
        <w:rPr>
          <w:rFonts w:ascii="Times New Roman" w:hAnsi="Times New Roman"/>
          <w:sz w:val="24"/>
          <w:szCs w:val="24"/>
        </w:rPr>
        <w:t xml:space="preserve"> </w:t>
      </w:r>
    </w:p>
    <w:p w14:paraId="1D7E6594" w14:textId="77777777" w:rsidR="00903FC7" w:rsidRPr="00903FC7" w:rsidRDefault="00903FC7" w:rsidP="00903FC7">
      <w:pPr>
        <w:pStyle w:val="NoSpacing"/>
        <w:rPr>
          <w:rFonts w:ascii="Times New Roman" w:hAnsi="Times New Roman"/>
          <w:b/>
          <w:sz w:val="24"/>
          <w:szCs w:val="24"/>
        </w:rPr>
      </w:pPr>
    </w:p>
    <w:p w14:paraId="1F8BD6DF" w14:textId="39C03357" w:rsidR="00903FC7" w:rsidRPr="00903FC7" w:rsidRDefault="00903FC7" w:rsidP="00903FC7">
      <w:pPr>
        <w:pStyle w:val="NoSpacing"/>
        <w:rPr>
          <w:rFonts w:ascii="Times New Roman" w:hAnsi="Times New Roman"/>
          <w:b/>
          <w:bCs/>
          <w:sz w:val="24"/>
          <w:szCs w:val="24"/>
        </w:rPr>
      </w:pPr>
      <w:r w:rsidRPr="00903FC7">
        <w:rPr>
          <w:rFonts w:ascii="Times New Roman" w:hAnsi="Times New Roman"/>
          <w:b/>
          <w:sz w:val="24"/>
          <w:szCs w:val="24"/>
        </w:rPr>
        <w:t xml:space="preserve">Legal Lesson Learned: </w:t>
      </w:r>
      <w:r w:rsidRPr="00903FC7">
        <w:rPr>
          <w:rFonts w:ascii="Times New Roman" w:hAnsi="Times New Roman"/>
          <w:b/>
          <w:bCs/>
          <w:sz w:val="24"/>
          <w:szCs w:val="24"/>
        </w:rPr>
        <w:t>Heart disease, including d</w:t>
      </w:r>
      <w:r w:rsidRPr="00903FC7">
        <w:rPr>
          <w:rFonts w:ascii="Times New Roman" w:hAnsi="Times New Roman"/>
          <w:b/>
          <w:sz w:val="24"/>
          <w:szCs w:val="24"/>
        </w:rPr>
        <w:t>efective heart valve covered by statutory presumption.</w:t>
      </w:r>
    </w:p>
    <w:p w14:paraId="5C5AB984" w14:textId="77777777" w:rsidR="00903FC7" w:rsidRPr="00903FC7" w:rsidRDefault="00903FC7" w:rsidP="006C4AD8">
      <w:pPr>
        <w:pStyle w:val="NormalWeb"/>
        <w:spacing w:before="0" w:beforeAutospacing="0"/>
        <w:rPr>
          <w:b/>
          <w:bCs/>
          <w:color w:val="454545"/>
          <w:shd w:val="clear" w:color="auto" w:fill="FFFFFF"/>
        </w:rPr>
      </w:pPr>
    </w:p>
    <w:p w14:paraId="5AC760B0" w14:textId="77777777" w:rsidR="00B97A1B" w:rsidRDefault="00B97A1B" w:rsidP="006C4AD8">
      <w:pPr>
        <w:pStyle w:val="NormalWeb"/>
        <w:spacing w:before="0" w:beforeAutospacing="0"/>
        <w:rPr>
          <w:rFonts w:ascii="Arial Black" w:hAnsi="Arial Black"/>
          <w:b/>
          <w:bCs/>
          <w:color w:val="454545"/>
          <w:sz w:val="28"/>
          <w:szCs w:val="28"/>
          <w:shd w:val="clear" w:color="auto" w:fill="FFFFFF"/>
        </w:rPr>
      </w:pPr>
    </w:p>
    <w:p w14:paraId="633C599C" w14:textId="77777777" w:rsidR="00B97A1B" w:rsidRDefault="00B97A1B" w:rsidP="006C4AD8">
      <w:pPr>
        <w:pStyle w:val="NormalWeb"/>
        <w:spacing w:before="0" w:beforeAutospacing="0"/>
        <w:rPr>
          <w:rFonts w:ascii="Arial Black" w:hAnsi="Arial Black"/>
          <w:b/>
          <w:bCs/>
          <w:color w:val="454545"/>
          <w:sz w:val="28"/>
          <w:szCs w:val="28"/>
          <w:shd w:val="clear" w:color="auto" w:fill="FFFFFF"/>
        </w:rPr>
      </w:pPr>
    </w:p>
    <w:p w14:paraId="177B4407" w14:textId="62FDA3BC" w:rsidR="00525E67" w:rsidRDefault="00525E67"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w:t>
      </w:r>
      <w:r w:rsidR="00447612">
        <w:rPr>
          <w:rFonts w:ascii="Arial Black" w:hAnsi="Arial Black"/>
          <w:b/>
          <w:bCs/>
          <w:color w:val="454545"/>
          <w:sz w:val="28"/>
          <w:szCs w:val="28"/>
          <w:shd w:val="clear" w:color="auto" w:fill="FFFFFF"/>
        </w:rPr>
        <w:t>3</w:t>
      </w:r>
      <w:r w:rsidR="002A0697">
        <w:rPr>
          <w:rFonts w:ascii="Arial Black" w:hAnsi="Arial Black"/>
          <w:b/>
          <w:bCs/>
          <w:color w:val="454545"/>
          <w:sz w:val="28"/>
          <w:szCs w:val="28"/>
          <w:shd w:val="clear" w:color="auto" w:fill="FFFFFF"/>
        </w:rPr>
        <w:t>8</w:t>
      </w:r>
    </w:p>
    <w:p w14:paraId="00297654" w14:textId="77777777" w:rsidR="00E0229F" w:rsidRPr="007955D5" w:rsidRDefault="00E0229F" w:rsidP="00E0229F">
      <w:pPr>
        <w:rPr>
          <w:rFonts w:ascii="Arial Black" w:hAnsi="Arial Black"/>
          <w:sz w:val="28"/>
        </w:rPr>
      </w:pPr>
      <w:r>
        <w:rPr>
          <w:rFonts w:ascii="Arial Black" w:hAnsi="Arial Black"/>
          <w:sz w:val="28"/>
        </w:rPr>
        <w:t>IL: CAPTAIN WITH NECK CANCER – DENIED “LINE-OF-DUTY” PENSION – NO PROOF THAT SMOKE WAS CAUSE</w:t>
      </w:r>
    </w:p>
    <w:p w14:paraId="51AD2C7C"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 xml:space="preserve">On September 30, 2024, in </w:t>
      </w:r>
      <w:r w:rsidRPr="00E0229F">
        <w:rPr>
          <w:rFonts w:ascii="Times New Roman" w:hAnsi="Times New Roman"/>
          <w:sz w:val="24"/>
          <w:szCs w:val="24"/>
          <w:u w:val="single"/>
        </w:rPr>
        <w:t>Edward G. Sobczyk v. Board of Trustees of the Rockford Firefighters’ Pension Fund,</w:t>
      </w:r>
      <w:r w:rsidRPr="00E0229F">
        <w:rPr>
          <w:rFonts w:ascii="Times New Roman" w:hAnsi="Times New Roman"/>
          <w:sz w:val="24"/>
          <w:szCs w:val="24"/>
        </w:rPr>
        <w:t xml:space="preserve"> the Court of Appeals of Illinois, Fourth District, held (3 to 0) that the Board properly denied the </w:t>
      </w:r>
      <w:proofErr w:type="gramStart"/>
      <w:r w:rsidRPr="00E0229F">
        <w:rPr>
          <w:rFonts w:ascii="Times New Roman" w:hAnsi="Times New Roman"/>
          <w:sz w:val="24"/>
          <w:szCs w:val="24"/>
        </w:rPr>
        <w:t>Captain’s</w:t>
      </w:r>
      <w:proofErr w:type="gramEnd"/>
      <w:r w:rsidRPr="00E0229F">
        <w:rPr>
          <w:rFonts w:ascii="Times New Roman" w:hAnsi="Times New Roman"/>
          <w:sz w:val="24"/>
          <w:szCs w:val="24"/>
        </w:rPr>
        <w:t xml:space="preserve"> application for line-of-duty pensions.  The Court wrote: “And even though plaintiff asserted ‘that smoke ‘could be a cause or factor in the</w:t>
      </w:r>
    </w:p>
    <w:p w14:paraId="7B90852F"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development’ of his cancer,’ the Board determined plaintiff failed to ‘come forward with</w:t>
      </w:r>
    </w:p>
    <w:p w14:paraId="72525920"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 xml:space="preserve">sufficient evidence that smoke was a cause in his cancer.’” </w:t>
      </w:r>
      <w:hyperlink r:id="rId1124" w:history="1">
        <w:r w:rsidRPr="00E0229F">
          <w:rPr>
            <w:rStyle w:val="Hyperlink"/>
            <w:rFonts w:ascii="Times New Roman" w:hAnsi="Times New Roman"/>
            <w:sz w:val="24"/>
            <w:szCs w:val="24"/>
          </w:rPr>
          <w:t>https://ilcourtsaudio.blob.core.windows.net/antilles-resources/resources/6872cb37-ae61-4b36-815c-de4cd8130990/Sobczyk%20v.%20Board%20of%20Trustees%20of%20the%20Rockford%20Firefighters%e2%80%99%20Pension%20Fund,%202024%20IL%20App%20(4th)%20240261-U.pdf</w:t>
        </w:r>
      </w:hyperlink>
      <w:r w:rsidRPr="00E0229F">
        <w:rPr>
          <w:rFonts w:ascii="Times New Roman" w:hAnsi="Times New Roman"/>
          <w:sz w:val="24"/>
          <w:szCs w:val="24"/>
        </w:rPr>
        <w:t xml:space="preserve"> </w:t>
      </w:r>
    </w:p>
    <w:p w14:paraId="5C3226F8" w14:textId="77777777" w:rsidR="00E0229F" w:rsidRPr="00E0229F" w:rsidRDefault="00E0229F" w:rsidP="00E0229F">
      <w:pPr>
        <w:pStyle w:val="NoSpacing"/>
        <w:rPr>
          <w:rFonts w:ascii="Times New Roman" w:hAnsi="Times New Roman"/>
          <w:sz w:val="24"/>
          <w:szCs w:val="24"/>
        </w:rPr>
      </w:pPr>
    </w:p>
    <w:p w14:paraId="0B0DEC29"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THE COURT HELD:</w:t>
      </w:r>
    </w:p>
    <w:p w14:paraId="3029A23C" w14:textId="77777777" w:rsidR="00E0229F" w:rsidRPr="00E0229F" w:rsidRDefault="00E0229F" w:rsidP="00E0229F">
      <w:pPr>
        <w:pStyle w:val="NoSpacing"/>
        <w:rPr>
          <w:rFonts w:ascii="Times New Roman" w:hAnsi="Times New Roman"/>
          <w:sz w:val="24"/>
          <w:szCs w:val="24"/>
        </w:rPr>
      </w:pPr>
    </w:p>
    <w:p w14:paraId="48419A42"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“The Board also received the reports and testimony of four doctors. Plaintiff called</w:t>
      </w:r>
    </w:p>
    <w:p w14:paraId="17C7B43D"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 xml:space="preserve">Dr. Peter Orris, a physician trained in occupational and internal medicine, as a retained expert. The other three </w:t>
      </w:r>
      <w:proofErr w:type="gramStart"/>
      <w:r w:rsidRPr="00E0229F">
        <w:rPr>
          <w:rFonts w:ascii="Times New Roman" w:hAnsi="Times New Roman"/>
          <w:sz w:val="24"/>
          <w:szCs w:val="24"/>
        </w:rPr>
        <w:t>doctors—</w:t>
      </w:r>
      <w:proofErr w:type="gramEnd"/>
      <w:r w:rsidRPr="00E0229F">
        <w:rPr>
          <w:rFonts w:ascii="Times New Roman" w:hAnsi="Times New Roman"/>
          <w:sz w:val="24"/>
          <w:szCs w:val="24"/>
        </w:rPr>
        <w:t>Dr. Nicholas Campbell, Dr. Daniel Samo, and Dr. Elliot Lieberman— served as the Board’s IMEs.</w:t>
      </w:r>
    </w:p>
    <w:p w14:paraId="635A4EF7" w14:textId="77777777" w:rsidR="00E0229F" w:rsidRPr="00E0229F" w:rsidRDefault="00E0229F" w:rsidP="00E0229F">
      <w:pPr>
        <w:pStyle w:val="NoSpacing"/>
        <w:ind w:left="720"/>
        <w:rPr>
          <w:rFonts w:ascii="Times New Roman" w:hAnsi="Times New Roman"/>
          <w:sz w:val="24"/>
          <w:szCs w:val="24"/>
        </w:rPr>
      </w:pPr>
    </w:p>
    <w:p w14:paraId="1A944C86"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w:t>
      </w:r>
    </w:p>
    <w:p w14:paraId="46486EA5"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In February 2023, the Board issued its written decision and order. In relevant part,</w:t>
      </w:r>
    </w:p>
    <w:p w14:paraId="63C99218"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the Board determined plaintiff failed to show ‘that his act or acts of duty, or the cumulative effects thereof, caused or contributed to his disability,’ and he further failed to show ‘that his cancer was related to his service as a firefighter.’ In coming to its conclusion, the Board acknowledged the differences of opinion between the IMEs and Dr. Orris but afforded ‘paramount weight to the opinion of Dr. Campbell’ because he was ‘a board-certified oncologist and therefore in the best position to opine on the cause of the [plaintiff’s] cancer.’</w:t>
      </w:r>
    </w:p>
    <w:p w14:paraId="46F6A0F9" w14:textId="77777777" w:rsidR="00E0229F" w:rsidRPr="00E0229F" w:rsidRDefault="00E0229F" w:rsidP="00E0229F">
      <w:pPr>
        <w:pStyle w:val="NoSpacing"/>
        <w:ind w:left="720"/>
        <w:rPr>
          <w:rFonts w:ascii="Times New Roman" w:hAnsi="Times New Roman"/>
          <w:sz w:val="24"/>
          <w:szCs w:val="24"/>
        </w:rPr>
      </w:pPr>
    </w:p>
    <w:p w14:paraId="7E8A4CC4"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w:t>
      </w:r>
    </w:p>
    <w:p w14:paraId="1AAFF304" w14:textId="77777777" w:rsidR="00E0229F" w:rsidRPr="00E0229F" w:rsidRDefault="00E0229F" w:rsidP="00E0229F">
      <w:pPr>
        <w:pStyle w:val="NoSpacing"/>
        <w:ind w:left="720"/>
        <w:rPr>
          <w:rFonts w:ascii="Times New Roman" w:hAnsi="Times New Roman"/>
          <w:sz w:val="24"/>
          <w:szCs w:val="24"/>
        </w:rPr>
      </w:pPr>
    </w:p>
    <w:p w14:paraId="6B0AA503"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 xml:space="preserve">Dr. Nicholas Campbell is a board-certified oncologist specializing in thoracic, head, and neck malignancies. Dr. Campbell ruled out plaintiff’s firefighting duties as a contributing cause of plaintiff’s cancer based on the type of cancer plaintiff had. According to Dr. </w:t>
      </w:r>
      <w:proofErr w:type="gramStart"/>
      <w:r w:rsidRPr="00E0229F">
        <w:rPr>
          <w:rFonts w:ascii="Times New Roman" w:hAnsi="Times New Roman"/>
          <w:sz w:val="24"/>
          <w:szCs w:val="24"/>
        </w:rPr>
        <w:t>Campbell, ‘</w:t>
      </w:r>
      <w:proofErr w:type="gramEnd"/>
      <w:r w:rsidRPr="00E0229F">
        <w:rPr>
          <w:rFonts w:ascii="Times New Roman" w:hAnsi="Times New Roman"/>
          <w:sz w:val="24"/>
          <w:szCs w:val="24"/>
        </w:rPr>
        <w:t xml:space="preserve">p16 is a well-known and highly reproducible molecule for which pathologists routinely test head [and] neck cancers.’ Plaintiff’s tumors tested ‘strongly positive for this molecule,’ and Dr. Campbell concluded plaintiff’s cancer ‘was not caused by heat, radiation, or a known carcinogen that he would have been exposed to at work.’ Dr. Campbell explained, ‘p16 positivity, especially when diffusely positive on a specimen as [plaintiff’s] samples were, is pathognomonic for a cancer caused by HPV. Other cancers that are not HPV related in the head [and] neck can rarely be seen to be p16 </w:t>
      </w:r>
      <w:proofErr w:type="gramStart"/>
      <w:r w:rsidRPr="00E0229F">
        <w:rPr>
          <w:rFonts w:ascii="Times New Roman" w:hAnsi="Times New Roman"/>
          <w:sz w:val="24"/>
          <w:szCs w:val="24"/>
        </w:rPr>
        <w:t>positive, but</w:t>
      </w:r>
      <w:proofErr w:type="gramEnd"/>
      <w:r w:rsidRPr="00E0229F">
        <w:rPr>
          <w:rFonts w:ascii="Times New Roman" w:hAnsi="Times New Roman"/>
          <w:sz w:val="24"/>
          <w:szCs w:val="24"/>
        </w:rPr>
        <w:t xml:space="preserve"> usually have a primary lesion that is found.’ Dr. Campbell also explained why the negative results of plaintiff’s metastasized samples for the HPV 16 and 18 genotypes did not change his opinion. According to Dr. </w:t>
      </w:r>
      <w:proofErr w:type="gramStart"/>
      <w:r w:rsidRPr="00E0229F">
        <w:rPr>
          <w:rFonts w:ascii="Times New Roman" w:hAnsi="Times New Roman"/>
          <w:sz w:val="24"/>
          <w:szCs w:val="24"/>
        </w:rPr>
        <w:t>Campbell, ‘</w:t>
      </w:r>
      <w:proofErr w:type="gramEnd"/>
      <w:r w:rsidRPr="00E0229F">
        <w:rPr>
          <w:rFonts w:ascii="Times New Roman" w:hAnsi="Times New Roman"/>
          <w:sz w:val="24"/>
          <w:szCs w:val="24"/>
        </w:rPr>
        <w:t>when cancers spread and metastasize, they become more deranged” and “will oftentimes lose the HPV positivity.’ And because plaintiff’s initial biopsy samples were diffusely positive for the p16 molecule, Dr. Campbell reasoned that ‘[t]his would be sort of the one tumor type to get that you can’t really pin on anything else,’ other than HPV.”</w:t>
      </w:r>
    </w:p>
    <w:p w14:paraId="126945A6" w14:textId="77777777" w:rsidR="00E0229F" w:rsidRPr="00E0229F" w:rsidRDefault="00E0229F" w:rsidP="00E0229F">
      <w:pPr>
        <w:pStyle w:val="NoSpacing"/>
        <w:rPr>
          <w:rFonts w:ascii="Times New Roman" w:hAnsi="Times New Roman"/>
          <w:sz w:val="24"/>
          <w:szCs w:val="24"/>
        </w:rPr>
      </w:pPr>
    </w:p>
    <w:p w14:paraId="13E11A92" w14:textId="77777777" w:rsidR="00E0229F" w:rsidRPr="00E0229F" w:rsidRDefault="00E0229F" w:rsidP="00E0229F">
      <w:pPr>
        <w:pStyle w:val="NoSpacing"/>
        <w:rPr>
          <w:rFonts w:ascii="Times New Roman" w:hAnsi="Times New Roman"/>
          <w:sz w:val="24"/>
          <w:szCs w:val="24"/>
        </w:rPr>
      </w:pPr>
    </w:p>
    <w:p w14:paraId="3DC51640" w14:textId="77777777" w:rsidR="00E0229F" w:rsidRPr="00E0229F" w:rsidRDefault="00E0229F" w:rsidP="00E0229F">
      <w:pPr>
        <w:rPr>
          <w:rFonts w:ascii="Times New Roman" w:hAnsi="Times New Roman"/>
          <w:b/>
          <w:bCs/>
          <w:sz w:val="24"/>
          <w:szCs w:val="24"/>
        </w:rPr>
      </w:pPr>
      <w:r w:rsidRPr="00E0229F">
        <w:rPr>
          <w:rFonts w:ascii="Times New Roman" w:hAnsi="Times New Roman"/>
          <w:b/>
          <w:bCs/>
          <w:sz w:val="24"/>
          <w:szCs w:val="24"/>
        </w:rPr>
        <w:t xml:space="preserve">Legal Lesson Learned:  Another case involving “battle of experts” where Pension Board relied on their experts.  Where SCBA during overhaul if smoky environment.  </w:t>
      </w:r>
    </w:p>
    <w:p w14:paraId="4CF36C77" w14:textId="77777777" w:rsidR="00E0229F" w:rsidRDefault="00E0229F" w:rsidP="00E0229F"/>
    <w:p w14:paraId="6B24DC6F" w14:textId="77777777" w:rsidR="00E0229F" w:rsidRDefault="00E0229F" w:rsidP="006C4AD8">
      <w:pPr>
        <w:pStyle w:val="NormalWeb"/>
        <w:spacing w:before="0" w:beforeAutospacing="0"/>
        <w:rPr>
          <w:rFonts w:ascii="Arial Black" w:hAnsi="Arial Black"/>
          <w:b/>
          <w:bCs/>
          <w:color w:val="454545"/>
          <w:sz w:val="28"/>
          <w:szCs w:val="28"/>
          <w:shd w:val="clear" w:color="auto" w:fill="FFFFFF"/>
        </w:rPr>
      </w:pPr>
    </w:p>
    <w:p w14:paraId="26E1D17B" w14:textId="77777777" w:rsidR="00525E67" w:rsidRDefault="00525E67" w:rsidP="006C4AD8">
      <w:pPr>
        <w:pStyle w:val="NormalWeb"/>
        <w:spacing w:before="0" w:beforeAutospacing="0"/>
        <w:rPr>
          <w:rFonts w:ascii="Arial Black" w:hAnsi="Arial Black"/>
          <w:b/>
          <w:bCs/>
          <w:color w:val="454545"/>
          <w:sz w:val="28"/>
          <w:szCs w:val="28"/>
          <w:shd w:val="clear" w:color="auto" w:fill="FFFFFF"/>
        </w:rPr>
      </w:pPr>
    </w:p>
    <w:p w14:paraId="1FB1BDF4" w14:textId="04AAFF3F" w:rsidR="00FF0339" w:rsidRDefault="00FF0339"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7</w:t>
      </w:r>
    </w:p>
    <w:p w14:paraId="32AD24CE" w14:textId="77777777" w:rsidR="00525E67" w:rsidRPr="0047626B" w:rsidRDefault="00525E67" w:rsidP="00525E67">
      <w:pPr>
        <w:rPr>
          <w:rFonts w:ascii="Arial Black" w:hAnsi="Arial Black"/>
          <w:b/>
          <w:bCs/>
          <w:sz w:val="28"/>
        </w:rPr>
      </w:pPr>
      <w:r>
        <w:rPr>
          <w:rFonts w:ascii="Arial Black" w:hAnsi="Arial Black"/>
          <w:b/>
          <w:bCs/>
          <w:sz w:val="28"/>
        </w:rPr>
        <w:t xml:space="preserve">CT: FIRE CHIEF – CITY CHARTER “PENSION OFFSET” - 75% DISABILITY PENSION OFFSET / WIFE NO MORE WORK COMP </w:t>
      </w:r>
    </w:p>
    <w:p w14:paraId="3769B752" w14:textId="77777777" w:rsidR="00525E67" w:rsidRPr="00525E67" w:rsidRDefault="00525E67" w:rsidP="00525E67">
      <w:pPr>
        <w:pStyle w:val="NoSpacing"/>
        <w:rPr>
          <w:rFonts w:ascii="Times New Roman" w:hAnsi="Times New Roman"/>
          <w:sz w:val="24"/>
          <w:szCs w:val="24"/>
        </w:rPr>
      </w:pPr>
      <w:r w:rsidRPr="00525E67">
        <w:rPr>
          <w:rFonts w:ascii="Times New Roman" w:hAnsi="Times New Roman"/>
          <w:sz w:val="24"/>
          <w:szCs w:val="24"/>
        </w:rPr>
        <w:t xml:space="preserve">On Sept. 24, 2024, in </w:t>
      </w:r>
      <w:r w:rsidRPr="00525E67">
        <w:rPr>
          <w:rFonts w:ascii="Times New Roman" w:hAnsi="Times New Roman"/>
          <w:sz w:val="24"/>
          <w:szCs w:val="24"/>
          <w:u w:val="single"/>
        </w:rPr>
        <w:t>City of Waterbury v. Janet Brennan, et al</w:t>
      </w:r>
      <w:r w:rsidRPr="00525E67">
        <w:rPr>
          <w:rFonts w:ascii="Times New Roman" w:hAnsi="Times New Roman"/>
          <w:sz w:val="24"/>
          <w:szCs w:val="24"/>
        </w:rPr>
        <w:t xml:space="preserve">., the Connecticut Appellant Court held (9 to 0) that the trial court properly granted summary judgment to the city.  Fire Chief Thomas Brennan had a heart attack in 1993 and was awarded worker’s comp; he retired on disability pension in 1995 (75%).  He died in 2006, having received monthly pension payments </w:t>
      </w:r>
      <w:proofErr w:type="gramStart"/>
      <w:r w:rsidRPr="00525E67">
        <w:rPr>
          <w:rFonts w:ascii="Times New Roman" w:hAnsi="Times New Roman"/>
          <w:sz w:val="24"/>
          <w:szCs w:val="24"/>
        </w:rPr>
        <w:t>and also</w:t>
      </w:r>
      <w:proofErr w:type="gramEnd"/>
      <w:r w:rsidRPr="00525E67">
        <w:rPr>
          <w:rFonts w:ascii="Times New Roman" w:hAnsi="Times New Roman"/>
          <w:sz w:val="24"/>
          <w:szCs w:val="24"/>
        </w:rPr>
        <w:t xml:space="preserve"> two worker’s comp lump sum payments in 1997 and 1999.   The </w:t>
      </w:r>
      <w:proofErr w:type="gramStart"/>
      <w:r w:rsidRPr="00525E67">
        <w:rPr>
          <w:rFonts w:ascii="Times New Roman" w:hAnsi="Times New Roman"/>
          <w:sz w:val="24"/>
          <w:szCs w:val="24"/>
        </w:rPr>
        <w:t>City</w:t>
      </w:r>
      <w:proofErr w:type="gramEnd"/>
      <w:r w:rsidRPr="00525E67">
        <w:rPr>
          <w:rFonts w:ascii="Times New Roman" w:hAnsi="Times New Roman"/>
          <w:sz w:val="24"/>
          <w:szCs w:val="24"/>
        </w:rPr>
        <w:t xml:space="preserve"> in 2005 asked Court to confirm no further worker’s comp payments were due to his widow. The City Charter provides that worker’s comp. obligations are to be “offset” by pension payments paid to the retiree.  The Court wrote: “As our Supreme Court observed in Russo v. Waterbury, 304 Conn. 710, 714, 41 A.3d 1033 (2012), § 2761 of the city charter ‘‘allows the city to offset the . . . pension benefits [of municipal employees] based on their heart and hypertension benefits’’ under § 7-433c.”</w:t>
      </w:r>
    </w:p>
    <w:p w14:paraId="6DAA9F60" w14:textId="77777777" w:rsidR="00525E67" w:rsidRPr="00525E67" w:rsidRDefault="00525E67" w:rsidP="00525E67">
      <w:pPr>
        <w:pStyle w:val="NoSpacing"/>
        <w:rPr>
          <w:rFonts w:ascii="Times New Roman" w:hAnsi="Times New Roman"/>
          <w:sz w:val="24"/>
          <w:szCs w:val="24"/>
        </w:rPr>
      </w:pPr>
      <w:hyperlink r:id="rId1125" w:history="1">
        <w:r w:rsidRPr="00525E67">
          <w:rPr>
            <w:rStyle w:val="Hyperlink"/>
            <w:rFonts w:ascii="Times New Roman" w:hAnsi="Times New Roman"/>
            <w:sz w:val="24"/>
            <w:szCs w:val="24"/>
          </w:rPr>
          <w:t>https://www.jud.ct.gov/external/supapp/Cases/AROap/AP228/AP228.307.pdf</w:t>
        </w:r>
      </w:hyperlink>
      <w:r w:rsidRPr="00525E67">
        <w:rPr>
          <w:rFonts w:ascii="Times New Roman" w:hAnsi="Times New Roman"/>
          <w:sz w:val="24"/>
          <w:szCs w:val="24"/>
        </w:rPr>
        <w:t xml:space="preserve"> </w:t>
      </w:r>
    </w:p>
    <w:p w14:paraId="45B116DE" w14:textId="77777777" w:rsidR="00525E67" w:rsidRPr="00525E67" w:rsidRDefault="00525E67" w:rsidP="00525E67">
      <w:pPr>
        <w:pStyle w:val="NoSpacing"/>
        <w:jc w:val="both"/>
        <w:rPr>
          <w:rFonts w:ascii="Times New Roman" w:hAnsi="Times New Roman"/>
          <w:sz w:val="24"/>
          <w:szCs w:val="24"/>
        </w:rPr>
      </w:pPr>
    </w:p>
    <w:p w14:paraId="35C71931" w14:textId="77777777" w:rsidR="00525E67" w:rsidRPr="00525E67" w:rsidRDefault="00525E67" w:rsidP="00525E67">
      <w:pPr>
        <w:pStyle w:val="NoSpacing"/>
        <w:rPr>
          <w:rFonts w:ascii="Times New Roman" w:hAnsi="Times New Roman"/>
          <w:sz w:val="24"/>
          <w:szCs w:val="24"/>
        </w:rPr>
      </w:pPr>
      <w:r w:rsidRPr="00525E67">
        <w:rPr>
          <w:rFonts w:ascii="Times New Roman" w:hAnsi="Times New Roman"/>
          <w:sz w:val="24"/>
          <w:szCs w:val="24"/>
        </w:rPr>
        <w:t xml:space="preserve"> THE COURT HELD: </w:t>
      </w:r>
    </w:p>
    <w:p w14:paraId="321E3EC6" w14:textId="77777777" w:rsidR="00525E67" w:rsidRPr="00525E67" w:rsidRDefault="00525E67" w:rsidP="00525E67">
      <w:pPr>
        <w:pStyle w:val="NoSpacing"/>
        <w:rPr>
          <w:rFonts w:ascii="Times New Roman" w:hAnsi="Times New Roman"/>
          <w:sz w:val="24"/>
          <w:szCs w:val="24"/>
        </w:rPr>
      </w:pPr>
    </w:p>
    <w:p w14:paraId="4D5B00D4" w14:textId="77777777" w:rsidR="00525E67" w:rsidRPr="00525E67" w:rsidRDefault="00525E67" w:rsidP="00525E67">
      <w:pPr>
        <w:pStyle w:val="NoSpacing"/>
        <w:ind w:left="720"/>
        <w:rPr>
          <w:rFonts w:ascii="Times New Roman" w:hAnsi="Times New Roman"/>
          <w:sz w:val="24"/>
          <w:szCs w:val="24"/>
        </w:rPr>
      </w:pPr>
      <w:r w:rsidRPr="00525E67">
        <w:rPr>
          <w:rFonts w:ascii="Times New Roman" w:hAnsi="Times New Roman"/>
          <w:sz w:val="24"/>
          <w:szCs w:val="24"/>
        </w:rPr>
        <w:t>“In this action for declaratory relief, the defendant Janet Brennan appeals from the judgment of the trial court rendered in favor of the plaintiff, the city of Waterbury (city). On appeal, the defendant claims that the court improperly denied her motion for summary judgment and, relatedly, that it improperly granted the motion for summary judgment filed by the city. We affirm the judgment of the trial court.</w:t>
      </w:r>
    </w:p>
    <w:p w14:paraId="373BA91F" w14:textId="77777777" w:rsidR="00525E67" w:rsidRPr="00525E67" w:rsidRDefault="00525E67" w:rsidP="00525E67">
      <w:pPr>
        <w:pStyle w:val="NoSpacing"/>
        <w:rPr>
          <w:rFonts w:ascii="Times New Roman" w:hAnsi="Times New Roman"/>
          <w:sz w:val="24"/>
          <w:szCs w:val="24"/>
        </w:rPr>
      </w:pPr>
    </w:p>
    <w:p w14:paraId="06D3D784" w14:textId="77777777" w:rsidR="00525E67" w:rsidRPr="00525E67" w:rsidRDefault="00525E67" w:rsidP="00525E67">
      <w:pPr>
        <w:pStyle w:val="NoSpacing"/>
        <w:ind w:firstLine="720"/>
        <w:rPr>
          <w:rFonts w:ascii="Times New Roman" w:hAnsi="Times New Roman"/>
          <w:sz w:val="24"/>
          <w:szCs w:val="24"/>
        </w:rPr>
      </w:pPr>
      <w:r w:rsidRPr="00525E67">
        <w:rPr>
          <w:rFonts w:ascii="Times New Roman" w:hAnsi="Times New Roman"/>
          <w:sz w:val="24"/>
          <w:szCs w:val="24"/>
        </w:rPr>
        <w:t>***</w:t>
      </w:r>
    </w:p>
    <w:p w14:paraId="07FFA0D9" w14:textId="77777777" w:rsidR="00525E67" w:rsidRPr="00525E67" w:rsidRDefault="00525E67" w:rsidP="00525E67">
      <w:pPr>
        <w:ind w:left="720"/>
        <w:rPr>
          <w:rFonts w:ascii="Times New Roman" w:hAnsi="Times New Roman"/>
          <w:sz w:val="24"/>
          <w:szCs w:val="24"/>
        </w:rPr>
      </w:pPr>
      <w:r w:rsidRPr="00525E67">
        <w:rPr>
          <w:rFonts w:ascii="Times New Roman" w:hAnsi="Times New Roman"/>
          <w:sz w:val="24"/>
          <w:szCs w:val="24"/>
        </w:rPr>
        <w:t xml:space="preserve">The city commenced the present action by service of process on December 24, 2015. The gist of its complaint was that, due to a pension offset provision in </w:t>
      </w:r>
      <w:proofErr w:type="gramStart"/>
      <w:r w:rsidRPr="00525E67">
        <w:rPr>
          <w:rFonts w:ascii="Times New Roman" w:hAnsi="Times New Roman"/>
          <w:sz w:val="24"/>
          <w:szCs w:val="24"/>
        </w:rPr>
        <w:t>the 1967</w:t>
      </w:r>
      <w:proofErr w:type="gramEnd"/>
      <w:r w:rsidRPr="00525E67">
        <w:rPr>
          <w:rFonts w:ascii="Times New Roman" w:hAnsi="Times New Roman"/>
          <w:sz w:val="24"/>
          <w:szCs w:val="24"/>
        </w:rPr>
        <w:t xml:space="preserve"> Waterbury city charter (city charter), no further heart and hypertension payments were due to the defendant.</w:t>
      </w:r>
    </w:p>
    <w:p w14:paraId="74CA59A7" w14:textId="77777777" w:rsidR="00525E67" w:rsidRPr="00525E67" w:rsidRDefault="00525E67" w:rsidP="00525E67">
      <w:pPr>
        <w:ind w:firstLine="720"/>
        <w:rPr>
          <w:rFonts w:ascii="Times New Roman" w:hAnsi="Times New Roman"/>
          <w:sz w:val="24"/>
          <w:szCs w:val="24"/>
        </w:rPr>
      </w:pPr>
      <w:r w:rsidRPr="00525E67">
        <w:rPr>
          <w:rFonts w:ascii="Times New Roman" w:hAnsi="Times New Roman"/>
          <w:sz w:val="24"/>
          <w:szCs w:val="24"/>
        </w:rPr>
        <w:t>***</w:t>
      </w:r>
    </w:p>
    <w:p w14:paraId="11DE5E0C" w14:textId="77777777" w:rsidR="00525E67" w:rsidRPr="00525E67" w:rsidRDefault="00525E67" w:rsidP="00525E67">
      <w:pPr>
        <w:pStyle w:val="NoSpacing"/>
        <w:ind w:left="720"/>
        <w:rPr>
          <w:rFonts w:ascii="Times New Roman" w:hAnsi="Times New Roman"/>
          <w:sz w:val="24"/>
          <w:szCs w:val="24"/>
        </w:rPr>
      </w:pPr>
      <w:r w:rsidRPr="00525E67">
        <w:rPr>
          <w:rFonts w:ascii="Times New Roman" w:hAnsi="Times New Roman"/>
          <w:sz w:val="24"/>
          <w:szCs w:val="24"/>
        </w:rPr>
        <w:t xml:space="preserve">Section 2761 of the city charter provides: ‘’No payments of retirement, disability or death benefits shall be allowed or paid under the provisions of this act so long or for such period as payments are being made by [the city] under the provisions of the General Statutes relating to workers’ compensation except when such payments would exceed the payments made under the provisions of the Workers’ Compensation Act. In such cases the pensioner shall receive, in addition to his payments under the Workers’ Compensation </w:t>
      </w:r>
      <w:proofErr w:type="gramStart"/>
      <w:r w:rsidRPr="00525E67">
        <w:rPr>
          <w:rFonts w:ascii="Times New Roman" w:hAnsi="Times New Roman"/>
          <w:sz w:val="24"/>
          <w:szCs w:val="24"/>
        </w:rPr>
        <w:t>Act</w:t>
      </w:r>
      <w:proofErr w:type="gramEnd"/>
      <w:r w:rsidRPr="00525E67">
        <w:rPr>
          <w:rFonts w:ascii="Times New Roman" w:hAnsi="Times New Roman"/>
          <w:sz w:val="24"/>
          <w:szCs w:val="24"/>
        </w:rPr>
        <w:t xml:space="preserve"> the difference between that amount and the amount which he would have received under the provisions of this </w:t>
      </w:r>
      <w:proofErr w:type="gramStart"/>
      <w:r w:rsidRPr="00525E67">
        <w:rPr>
          <w:rFonts w:ascii="Times New Roman" w:hAnsi="Times New Roman"/>
          <w:sz w:val="24"/>
          <w:szCs w:val="24"/>
        </w:rPr>
        <w:t>act.’</w:t>
      </w:r>
      <w:proofErr w:type="gramEnd"/>
      <w:r w:rsidRPr="00525E67">
        <w:rPr>
          <w:rFonts w:ascii="Times New Roman" w:hAnsi="Times New Roman"/>
          <w:sz w:val="24"/>
          <w:szCs w:val="24"/>
        </w:rPr>
        <w:t>’ In Russo v. Waterbury, supra, 304 Conn. 714, our Supreme Court concluded that § 2761 of the city charter ’allows the city to offset the . . . pension benefits [of municipal employees] based on their heart and hypertension benefits’’ under § 7-433c.’”</w:t>
      </w:r>
    </w:p>
    <w:p w14:paraId="1ACAA7F0" w14:textId="77777777" w:rsidR="00525E67" w:rsidRPr="00525E67" w:rsidRDefault="00525E67" w:rsidP="00525E67">
      <w:pPr>
        <w:pStyle w:val="NoSpacing"/>
        <w:ind w:left="720"/>
        <w:rPr>
          <w:rFonts w:ascii="Times New Roman" w:hAnsi="Times New Roman"/>
          <w:sz w:val="24"/>
          <w:szCs w:val="24"/>
        </w:rPr>
      </w:pPr>
    </w:p>
    <w:p w14:paraId="6B9950CA" w14:textId="77777777" w:rsidR="00525E67" w:rsidRPr="00525E67" w:rsidRDefault="00525E67" w:rsidP="00525E67">
      <w:pPr>
        <w:pStyle w:val="NoSpacing"/>
        <w:rPr>
          <w:rFonts w:ascii="Times New Roman" w:hAnsi="Times New Roman"/>
          <w:sz w:val="24"/>
          <w:szCs w:val="24"/>
        </w:rPr>
      </w:pPr>
    </w:p>
    <w:p w14:paraId="1DA4930A" w14:textId="77777777" w:rsidR="00525E67" w:rsidRPr="00525E67" w:rsidRDefault="00525E67" w:rsidP="00525E67">
      <w:pPr>
        <w:rPr>
          <w:rFonts w:ascii="Times New Roman" w:hAnsi="Times New Roman"/>
          <w:sz w:val="24"/>
          <w:szCs w:val="24"/>
        </w:rPr>
      </w:pPr>
    </w:p>
    <w:p w14:paraId="4DA998E9" w14:textId="77777777" w:rsidR="00525E67" w:rsidRPr="00525E67" w:rsidRDefault="00525E67" w:rsidP="00525E67">
      <w:pPr>
        <w:rPr>
          <w:rFonts w:ascii="Times New Roman" w:hAnsi="Times New Roman"/>
          <w:b/>
          <w:bCs/>
          <w:sz w:val="24"/>
          <w:szCs w:val="24"/>
        </w:rPr>
      </w:pPr>
      <w:r w:rsidRPr="00525E67">
        <w:rPr>
          <w:rFonts w:ascii="Times New Roman" w:hAnsi="Times New Roman"/>
          <w:b/>
          <w:bCs/>
          <w:sz w:val="24"/>
          <w:szCs w:val="24"/>
        </w:rPr>
        <w:t xml:space="preserve">Legal Lesson Learned: A City Charter can provide for “offset” so the city will not be required to pay both workers comp and pension. </w:t>
      </w:r>
    </w:p>
    <w:p w14:paraId="7E5BF7E9" w14:textId="77777777" w:rsidR="00525E67" w:rsidRDefault="00525E67" w:rsidP="00525E67"/>
    <w:p w14:paraId="6E9E6046" w14:textId="229DE5E2" w:rsidR="003F2075" w:rsidRDefault="003F207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6</w:t>
      </w:r>
    </w:p>
    <w:p w14:paraId="77CDEA8F" w14:textId="77777777" w:rsidR="00C81642" w:rsidRDefault="00C81642" w:rsidP="00C81642">
      <w:pPr>
        <w:pStyle w:val="NoSpacing"/>
        <w:rPr>
          <w:rFonts w:ascii="Aptos Black" w:hAnsi="Aptos Black"/>
          <w:sz w:val="28"/>
        </w:rPr>
      </w:pPr>
      <w:r>
        <w:rPr>
          <w:rFonts w:ascii="Arial Black" w:hAnsi="Arial Black"/>
          <w:sz w:val="28"/>
        </w:rPr>
        <w:t xml:space="preserve">MA: BOSTON FF – MUSLIM – REFUSED COVID WEEKLY TESTING OR VACINATION – NO UNEMPLOYMENT </w:t>
      </w:r>
    </w:p>
    <w:p w14:paraId="31AC6C68" w14:textId="77777777" w:rsidR="00C81642" w:rsidRDefault="00C81642" w:rsidP="00C81642">
      <w:pPr>
        <w:pStyle w:val="NoSpacing"/>
        <w:rPr>
          <w:rFonts w:ascii="Aptos Black" w:hAnsi="Aptos Black"/>
          <w:sz w:val="28"/>
        </w:rPr>
      </w:pPr>
    </w:p>
    <w:p w14:paraId="3EC7A062"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 xml:space="preserve">On August 28, 2024, in </w:t>
      </w:r>
      <w:r w:rsidRPr="00C81642">
        <w:rPr>
          <w:rFonts w:ascii="Times New Roman" w:hAnsi="Times New Roman"/>
          <w:sz w:val="24"/>
          <w:szCs w:val="24"/>
          <w:u w:val="single"/>
        </w:rPr>
        <w:t>Michael Browder v. Department of Unemployment Assistance</w:t>
      </w:r>
      <w:r w:rsidRPr="00C81642">
        <w:rPr>
          <w:rFonts w:ascii="Times New Roman" w:hAnsi="Times New Roman"/>
          <w:sz w:val="24"/>
          <w:szCs w:val="24"/>
        </w:rPr>
        <w:t xml:space="preserve">, the Appeals Court of Massachusetts held (3 to 0) that the former Boston firefighter was not entitled to unemployment compensation.  The Court wrote: “As directed, the [unemployment hearing] examiner made one additional finding: </w:t>
      </w:r>
    </w:p>
    <w:p w14:paraId="0B6097D6" w14:textId="77777777" w:rsidR="00C81642" w:rsidRPr="00C81642" w:rsidRDefault="00C81642" w:rsidP="00C81642">
      <w:pPr>
        <w:pStyle w:val="NoSpacing"/>
        <w:ind w:left="720"/>
        <w:rPr>
          <w:rFonts w:ascii="Times New Roman" w:hAnsi="Times New Roman"/>
          <w:sz w:val="24"/>
          <w:szCs w:val="24"/>
        </w:rPr>
      </w:pPr>
    </w:p>
    <w:p w14:paraId="13ADA41E" w14:textId="77777777" w:rsidR="00C81642" w:rsidRPr="00C81642" w:rsidRDefault="00C81642" w:rsidP="00C81642">
      <w:pPr>
        <w:pStyle w:val="NoSpacing"/>
        <w:ind w:left="720"/>
        <w:rPr>
          <w:rFonts w:ascii="Times New Roman" w:hAnsi="Times New Roman"/>
          <w:sz w:val="24"/>
          <w:szCs w:val="24"/>
        </w:rPr>
      </w:pPr>
      <w:r w:rsidRPr="00C81642">
        <w:rPr>
          <w:rFonts w:ascii="Times New Roman" w:hAnsi="Times New Roman"/>
          <w:sz w:val="24"/>
          <w:szCs w:val="24"/>
        </w:rPr>
        <w:t>‘Since being placed on an employer-imposed leave of absence, [Browder] has not been actively seeking work because he only wants to be a firefighter and feels that other municipalities would not hire him because of his vaccination status.’ Adopting the review examiner's factual findings in their entirety, the board reached a different conclusion: Browder was neither totally nor partially unemployed under G. L. c. 151A, §§ 1 (r) and 29, and was therefore ineligible for unemployment benefits.</w:t>
      </w:r>
    </w:p>
    <w:p w14:paraId="077DCF4B" w14:textId="77777777" w:rsidR="00C81642" w:rsidRPr="00C81642" w:rsidRDefault="00C81642" w:rsidP="00C81642">
      <w:pPr>
        <w:pStyle w:val="NoSpacing"/>
        <w:rPr>
          <w:rFonts w:ascii="Times New Roman" w:hAnsi="Times New Roman"/>
          <w:sz w:val="24"/>
          <w:szCs w:val="24"/>
        </w:rPr>
      </w:pPr>
    </w:p>
    <w:p w14:paraId="00863329"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 xml:space="preserve">In the BMC [Boston Municipal Court], Browder argued that the board failed to provide a full remand hearing with an opportunity for Browder to testify and submit evidence of his search for work. While the remand procedure employed by the board does indeed appear unorthodox, Browder's principal brief provides no legal authority demonstrating that the procedure violated any statute, regulation, or Browder's due process rights. Nor does he provide any basis for us to conclude that the board's decision, to which we owe substantial deference, was arbitrary or capricious, was not based on correct legal principles, or was not supported by substantial </w:t>
      </w:r>
      <w:proofErr w:type="gramStart"/>
      <w:r w:rsidRPr="00C81642">
        <w:rPr>
          <w:rFonts w:ascii="Times New Roman" w:hAnsi="Times New Roman"/>
          <w:sz w:val="24"/>
          <w:szCs w:val="24"/>
        </w:rPr>
        <w:t>evidence.”</w:t>
      </w:r>
      <w:proofErr w:type="gramEnd"/>
      <w:r w:rsidRPr="00C81642">
        <w:rPr>
          <w:rFonts w:ascii="Times New Roman" w:hAnsi="Times New Roman"/>
          <w:sz w:val="24"/>
          <w:szCs w:val="24"/>
        </w:rPr>
        <w:t xml:space="preserve"> </w:t>
      </w:r>
      <w:hyperlink r:id="rId1126" w:history="1">
        <w:r w:rsidRPr="00C81642">
          <w:rPr>
            <w:rStyle w:val="Hyperlink"/>
            <w:rFonts w:ascii="Times New Roman" w:hAnsi="Times New Roman"/>
            <w:sz w:val="24"/>
            <w:szCs w:val="24"/>
          </w:rPr>
          <w:t>https://caselaw.findlaw.com/court/ma-court-of-appeals/116528710.html</w:t>
        </w:r>
      </w:hyperlink>
      <w:r w:rsidRPr="00C81642">
        <w:rPr>
          <w:rFonts w:ascii="Times New Roman" w:hAnsi="Times New Roman"/>
          <w:sz w:val="24"/>
          <w:szCs w:val="24"/>
        </w:rPr>
        <w:t xml:space="preserve"> </w:t>
      </w:r>
    </w:p>
    <w:p w14:paraId="3765673D" w14:textId="77777777" w:rsidR="00C81642" w:rsidRPr="00C81642" w:rsidRDefault="00C81642" w:rsidP="00C81642">
      <w:pPr>
        <w:pStyle w:val="NoSpacing"/>
        <w:rPr>
          <w:rFonts w:ascii="Times New Roman" w:hAnsi="Times New Roman"/>
          <w:sz w:val="24"/>
          <w:szCs w:val="24"/>
        </w:rPr>
      </w:pPr>
    </w:p>
    <w:p w14:paraId="4836639B"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THE COURT HELD:</w:t>
      </w:r>
    </w:p>
    <w:p w14:paraId="69980B72" w14:textId="77777777" w:rsidR="00C81642" w:rsidRPr="00C81642" w:rsidRDefault="00C81642" w:rsidP="00C81642">
      <w:pPr>
        <w:pStyle w:val="NoSpacing"/>
        <w:rPr>
          <w:rFonts w:ascii="Times New Roman" w:hAnsi="Times New Roman"/>
          <w:sz w:val="24"/>
          <w:szCs w:val="24"/>
        </w:rPr>
      </w:pPr>
    </w:p>
    <w:p w14:paraId="08FC01F7" w14:textId="77777777" w:rsidR="00C81642" w:rsidRPr="00C81642" w:rsidRDefault="00C81642" w:rsidP="00C81642">
      <w:pPr>
        <w:pStyle w:val="NoSpacing"/>
        <w:ind w:left="720"/>
        <w:rPr>
          <w:rFonts w:ascii="Times New Roman" w:hAnsi="Times New Roman"/>
          <w:sz w:val="24"/>
          <w:szCs w:val="24"/>
        </w:rPr>
      </w:pPr>
      <w:r w:rsidRPr="00C81642">
        <w:rPr>
          <w:rFonts w:ascii="Times New Roman" w:hAnsi="Times New Roman"/>
          <w:sz w:val="24"/>
          <w:szCs w:val="24"/>
        </w:rPr>
        <w:t>“The judge had no obligation to take Browder's testimony, as the administrative agency is the sole finder of fact and judicial review is based on the administrative record. See Curtis v. Commissioner of the Div. of Unemployment Assistance, 68 Mass. App. Ct. 516, 519 (2007). Live testimony is not necessary where the claims of irregularities in the agency procedure can be decided on the record.”</w:t>
      </w:r>
    </w:p>
    <w:p w14:paraId="46E40346" w14:textId="77777777" w:rsidR="00C81642" w:rsidRPr="00C81642" w:rsidRDefault="00C81642" w:rsidP="00C81642">
      <w:pPr>
        <w:pStyle w:val="NoSpacing"/>
        <w:rPr>
          <w:rFonts w:ascii="Times New Roman" w:hAnsi="Times New Roman"/>
          <w:sz w:val="24"/>
          <w:szCs w:val="24"/>
        </w:rPr>
      </w:pPr>
    </w:p>
    <w:p w14:paraId="7BBB6E83" w14:textId="77777777" w:rsidR="00C81642" w:rsidRPr="00C81642" w:rsidRDefault="00C81642" w:rsidP="00C81642">
      <w:pPr>
        <w:pStyle w:val="NoSpacing"/>
        <w:ind w:left="720"/>
        <w:rPr>
          <w:rFonts w:ascii="Times New Roman" w:hAnsi="Times New Roman"/>
          <w:sz w:val="24"/>
          <w:szCs w:val="24"/>
        </w:rPr>
      </w:pPr>
    </w:p>
    <w:p w14:paraId="608B8821" w14:textId="77777777" w:rsidR="00C81642" w:rsidRPr="00C81642" w:rsidRDefault="00C81642" w:rsidP="00C81642">
      <w:pPr>
        <w:pStyle w:val="NoSpacing"/>
        <w:rPr>
          <w:rFonts w:ascii="Times New Roman" w:hAnsi="Times New Roman"/>
          <w:b/>
          <w:bCs/>
          <w:sz w:val="24"/>
          <w:szCs w:val="24"/>
        </w:rPr>
      </w:pPr>
      <w:r w:rsidRPr="00C81642">
        <w:rPr>
          <w:rFonts w:ascii="Times New Roman" w:hAnsi="Times New Roman"/>
          <w:b/>
          <w:bCs/>
          <w:sz w:val="24"/>
          <w:szCs w:val="24"/>
        </w:rPr>
        <w:t xml:space="preserve">Legal Lesson Learned:  Unemployment denied for failure to comply with COVID safety precautions. </w:t>
      </w:r>
    </w:p>
    <w:p w14:paraId="63F25398" w14:textId="77777777" w:rsidR="00C81642" w:rsidRDefault="00C81642" w:rsidP="00C81642">
      <w:pPr>
        <w:pStyle w:val="NoSpacing"/>
        <w:rPr>
          <w:szCs w:val="24"/>
        </w:rPr>
      </w:pPr>
    </w:p>
    <w:p w14:paraId="56D0DD75" w14:textId="77777777" w:rsidR="003F2075" w:rsidRDefault="003F2075" w:rsidP="006C4AD8">
      <w:pPr>
        <w:pStyle w:val="NormalWeb"/>
        <w:spacing w:before="0" w:beforeAutospacing="0"/>
        <w:rPr>
          <w:rFonts w:ascii="Arial Black" w:hAnsi="Arial Black"/>
          <w:b/>
          <w:bCs/>
          <w:color w:val="454545"/>
          <w:sz w:val="28"/>
          <w:szCs w:val="28"/>
          <w:shd w:val="clear" w:color="auto" w:fill="FFFFFF"/>
        </w:rPr>
      </w:pPr>
    </w:p>
    <w:p w14:paraId="5E37FC36" w14:textId="5D974DE5" w:rsidR="004F15A5" w:rsidRDefault="004F15A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5</w:t>
      </w:r>
    </w:p>
    <w:p w14:paraId="2A191D1D" w14:textId="77777777" w:rsidR="004B21EA" w:rsidRPr="00F5128A" w:rsidRDefault="004B21EA" w:rsidP="004B21EA">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IL: FF LINE-OF-DUTY KNEE INJURY – 6 YRS LITIGATION – GETS HEALTH INSURANCE – REIMBURSED PRIVATE PAY</w:t>
      </w:r>
    </w:p>
    <w:p w14:paraId="207EA74C" w14:textId="77777777" w:rsidR="004B21EA" w:rsidRDefault="004B21EA" w:rsidP="004B21EA">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July 29, 2024, in </w:t>
      </w:r>
      <w:r w:rsidRPr="00C81CE6">
        <w:rPr>
          <w:rFonts w:ascii="Times New Roman" w:hAnsi="Times New Roman"/>
          <w:sz w:val="24"/>
          <w:szCs w:val="24"/>
          <w:u w:val="single"/>
          <w:shd w:val="clear" w:color="auto" w:fill="FFFFFF"/>
        </w:rPr>
        <w:t>Benno Ceyer, et al. v. The City of Berwyn</w:t>
      </w:r>
      <w:r>
        <w:rPr>
          <w:rFonts w:ascii="Times New Roman" w:hAnsi="Times New Roman"/>
          <w:sz w:val="24"/>
          <w:szCs w:val="24"/>
          <w:shd w:val="clear" w:color="auto" w:fill="FFFFFF"/>
        </w:rPr>
        <w:t xml:space="preserve">, the Court of Appeals of Illinois, First District, First Division, held (3 to 0) that the FF is entitled to reimbursement for the private insurance costs he purchased (Oct. 11, 2008 – Feb. 15, 2015), when the city’s Pension Fund denied his disability claim. </w:t>
      </w:r>
      <w:r w:rsidRPr="003E3404">
        <w:rPr>
          <w:rFonts w:ascii="Times New Roman" w:hAnsi="Times New Roman"/>
          <w:sz w:val="24"/>
          <w:szCs w:val="24"/>
          <w:shd w:val="clear" w:color="auto" w:fill="FFFFFF"/>
        </w:rPr>
        <w:t xml:space="preserve">Under section 10 of the </w:t>
      </w:r>
      <w:r>
        <w:rPr>
          <w:rFonts w:ascii="Times New Roman" w:hAnsi="Times New Roman"/>
          <w:sz w:val="24"/>
          <w:szCs w:val="24"/>
          <w:shd w:val="clear" w:color="auto" w:fill="FFFFFF"/>
        </w:rPr>
        <w:t xml:space="preserve">state’s </w:t>
      </w:r>
      <w:r w:rsidRPr="003E3404">
        <w:rPr>
          <w:rFonts w:ascii="Times New Roman" w:hAnsi="Times New Roman"/>
          <w:sz w:val="24"/>
          <w:szCs w:val="24"/>
          <w:shd w:val="clear" w:color="auto" w:fill="FFFFFF"/>
        </w:rPr>
        <w:t>Public Safety Employee Benefits Act (Act) (820 ILCS 320/10</w:t>
      </w:r>
      <w:r>
        <w:rPr>
          <w:rFonts w:ascii="Times New Roman" w:hAnsi="Times New Roman"/>
          <w:sz w:val="24"/>
          <w:szCs w:val="24"/>
          <w:shd w:val="clear" w:color="auto" w:fill="FFFFFF"/>
        </w:rPr>
        <w:t xml:space="preserve"> </w:t>
      </w:r>
      <w:r w:rsidRPr="003E3404">
        <w:rPr>
          <w:rFonts w:ascii="Times New Roman" w:hAnsi="Times New Roman"/>
          <w:sz w:val="24"/>
          <w:szCs w:val="24"/>
          <w:shd w:val="clear" w:color="auto" w:fill="FFFFFF"/>
        </w:rPr>
        <w:t>(West 2018)), firefighters who suffer a catastrophic injur</w:t>
      </w:r>
      <w:r>
        <w:rPr>
          <w:rFonts w:ascii="Times New Roman" w:hAnsi="Times New Roman"/>
          <w:sz w:val="24"/>
          <w:szCs w:val="24"/>
          <w:shd w:val="clear" w:color="auto" w:fill="FFFFFF"/>
        </w:rPr>
        <w:t>y</w:t>
      </w:r>
      <w:r w:rsidRPr="003E3404">
        <w:rPr>
          <w:rFonts w:ascii="Times New Roman" w:hAnsi="Times New Roman"/>
          <w:sz w:val="24"/>
          <w:szCs w:val="24"/>
          <w:shd w:val="clear" w:color="auto" w:fill="FFFFFF"/>
        </w:rPr>
        <w:t xml:space="preserve"> in responding to an emergency are</w:t>
      </w:r>
      <w:r>
        <w:rPr>
          <w:rFonts w:ascii="Times New Roman" w:hAnsi="Times New Roman"/>
          <w:sz w:val="24"/>
          <w:szCs w:val="24"/>
          <w:shd w:val="clear" w:color="auto" w:fill="FFFFFF"/>
        </w:rPr>
        <w:t xml:space="preserve"> </w:t>
      </w:r>
      <w:r w:rsidRPr="003E3404">
        <w:rPr>
          <w:rFonts w:ascii="Times New Roman" w:hAnsi="Times New Roman"/>
          <w:sz w:val="24"/>
          <w:szCs w:val="24"/>
          <w:shd w:val="clear" w:color="auto" w:fill="FFFFFF"/>
        </w:rPr>
        <w:t xml:space="preserve">entitled to payment of health insurance premiums by their employer. </w:t>
      </w:r>
      <w:r>
        <w:rPr>
          <w:rFonts w:ascii="Times New Roman" w:hAnsi="Times New Roman"/>
          <w:sz w:val="24"/>
          <w:szCs w:val="24"/>
          <w:shd w:val="clear" w:color="auto" w:fill="FFFFFF"/>
        </w:rPr>
        <w:t xml:space="preserve">When the city Pension Fund initially denied him coverage.  The Trial Court judge found that the Pension Fund hearing officer, instead of being “neutral” hearing officer, was also an attorney for the Fund.  The retired FF opened his own business, </w:t>
      </w:r>
      <w:r w:rsidRPr="008C7351">
        <w:rPr>
          <w:rFonts w:ascii="Times New Roman" w:hAnsi="Times New Roman"/>
          <w:sz w:val="24"/>
          <w:szCs w:val="24"/>
          <w:shd w:val="clear" w:color="auto" w:fill="FFFFFF"/>
        </w:rPr>
        <w:t>Weimer Machine (WM)</w:t>
      </w:r>
      <w:r>
        <w:rPr>
          <w:rFonts w:ascii="Times New Roman" w:hAnsi="Times New Roman"/>
          <w:sz w:val="24"/>
          <w:szCs w:val="24"/>
          <w:shd w:val="clear" w:color="auto" w:fill="FFFFFF"/>
        </w:rPr>
        <w:t xml:space="preserve">, which reimbursed health insurance for his two employees; he had no obligation to have the company reimburse himself, and from 2008 – 2015 he purchased his own private insurance. </w:t>
      </w:r>
      <w:hyperlink r:id="rId1127" w:history="1">
        <w:r w:rsidRPr="0013187C">
          <w:rPr>
            <w:rStyle w:val="Hyperlink"/>
            <w:rFonts w:ascii="Times New Roman" w:hAnsi="Times New Roman"/>
            <w:sz w:val="24"/>
            <w:szCs w:val="24"/>
            <w:shd w:val="clear" w:color="auto" w:fill="FFFFFF"/>
          </w:rPr>
          <w:t>https://ilcourtsaudio.blob.core.windows.net/antilles-resources/resources/b3c62d52-1215-4e2d-8145-22ad48aed626/Ceyer%20v.%20City%20of%20Berwyn,%202024%20IL%20App%20(1st)%20231538.pdf</w:t>
        </w:r>
      </w:hyperlink>
      <w:r>
        <w:rPr>
          <w:rFonts w:ascii="Times New Roman" w:hAnsi="Times New Roman"/>
          <w:sz w:val="24"/>
          <w:szCs w:val="24"/>
          <w:shd w:val="clear" w:color="auto" w:fill="FFFFFF"/>
        </w:rPr>
        <w:t xml:space="preserve"> </w:t>
      </w:r>
    </w:p>
    <w:p w14:paraId="35E4C635" w14:textId="77777777" w:rsidR="004B21EA" w:rsidRDefault="004B21EA" w:rsidP="004B21EA">
      <w:pPr>
        <w:pStyle w:val="NoSpacing"/>
        <w:rPr>
          <w:rFonts w:ascii="Times New Roman" w:hAnsi="Times New Roman"/>
          <w:sz w:val="24"/>
          <w:szCs w:val="24"/>
          <w:shd w:val="clear" w:color="auto" w:fill="FFFFFF"/>
        </w:rPr>
      </w:pPr>
    </w:p>
    <w:p w14:paraId="2494B08E" w14:textId="77777777" w:rsidR="004B21EA" w:rsidRDefault="004B21EA" w:rsidP="004B21EA">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7745EE21" w14:textId="77777777" w:rsidR="004B21EA" w:rsidRDefault="004B21EA" w:rsidP="004B21EA">
      <w:pPr>
        <w:pStyle w:val="NoSpacing"/>
        <w:rPr>
          <w:rFonts w:ascii="Times New Roman" w:hAnsi="Times New Roman"/>
          <w:sz w:val="24"/>
          <w:szCs w:val="24"/>
          <w:shd w:val="clear" w:color="auto" w:fill="FFFFFF"/>
        </w:rPr>
      </w:pPr>
    </w:p>
    <w:p w14:paraId="50CD712E" w14:textId="77777777" w:rsidR="004B21EA" w:rsidRPr="00E37A14" w:rsidRDefault="004B21EA" w:rsidP="004B21E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The record reflects that, at all relevant times, Ceyer has been covered under the City’s</w:t>
      </w:r>
    </w:p>
    <w:p w14:paraId="747BE207" w14:textId="77777777" w:rsidR="004B21EA" w:rsidRDefault="004B21EA" w:rsidP="004B21EA">
      <w:pPr>
        <w:pStyle w:val="NoSpacing"/>
        <w:ind w:left="720"/>
        <w:rPr>
          <w:rFonts w:ascii="Times New Roman" w:hAnsi="Times New Roman"/>
          <w:sz w:val="24"/>
          <w:szCs w:val="24"/>
          <w:shd w:val="clear" w:color="auto" w:fill="FFFFFF"/>
        </w:rPr>
      </w:pPr>
      <w:r w:rsidRPr="00E37A14">
        <w:rPr>
          <w:rFonts w:ascii="Times New Roman" w:hAnsi="Times New Roman"/>
          <w:sz w:val="24"/>
          <w:szCs w:val="24"/>
          <w:shd w:val="clear" w:color="auto" w:fill="FFFFFF"/>
        </w:rPr>
        <w:t>group health insurance plan. He paid his own premiums from September 2008 to May 2015,</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 xml:space="preserve">after which the </w:t>
      </w:r>
      <w:proofErr w:type="gramStart"/>
      <w:r w:rsidRPr="00E37A14">
        <w:rPr>
          <w:rFonts w:ascii="Times New Roman" w:hAnsi="Times New Roman"/>
          <w:sz w:val="24"/>
          <w:szCs w:val="24"/>
          <w:shd w:val="clear" w:color="auto" w:fill="FFFFFF"/>
        </w:rPr>
        <w:t>City</w:t>
      </w:r>
      <w:proofErr w:type="gramEnd"/>
      <w:r w:rsidRPr="00E37A14">
        <w:rPr>
          <w:rFonts w:ascii="Times New Roman" w:hAnsi="Times New Roman"/>
          <w:sz w:val="24"/>
          <w:szCs w:val="24"/>
          <w:shd w:val="clear" w:color="auto" w:fill="FFFFFF"/>
        </w:rPr>
        <w:t xml:space="preserve"> commenced making payments under the Act. At no time did Ceyer receive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health insurance through WM, nor did he receive reimbursement from WM for the cost of the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 xml:space="preserve">premiums that he paid. The City nevertheless argues that Ceyer had </w:t>
      </w: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access to health insurance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through [his] employer</w:t>
      </w: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 xml:space="preserve"> because WM paid health insurance premiums for two of its employees,</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Pietraszewski and Rausch, and could therefore theoretically have done the same for Ceyer.</w:t>
      </w:r>
    </w:p>
    <w:p w14:paraId="4F9B0B19" w14:textId="77777777" w:rsidR="004B21EA" w:rsidRDefault="004B21EA" w:rsidP="004B21EA">
      <w:pPr>
        <w:pStyle w:val="NoSpacing"/>
        <w:rPr>
          <w:rFonts w:ascii="Times New Roman" w:hAnsi="Times New Roman"/>
          <w:sz w:val="24"/>
          <w:szCs w:val="24"/>
          <w:shd w:val="clear" w:color="auto" w:fill="FFFFFF"/>
        </w:rPr>
      </w:pPr>
    </w:p>
    <w:p w14:paraId="0A058EEF" w14:textId="77777777" w:rsidR="004B21EA" w:rsidRPr="00B33896" w:rsidRDefault="004B21EA" w:rsidP="004B21E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w:t>
      </w:r>
      <w:r w:rsidRPr="00B33896">
        <w:rPr>
          <w:rFonts w:ascii="Times New Roman" w:hAnsi="Times New Roman"/>
          <w:sz w:val="24"/>
          <w:szCs w:val="24"/>
          <w:shd w:val="clear" w:color="auto" w:fill="FFFFFF"/>
        </w:rPr>
        <w:t xml:space="preserve">e disagree. As the trial court aptly </w:t>
      </w:r>
      <w:proofErr w:type="gramStart"/>
      <w:r w:rsidRPr="00B33896">
        <w:rPr>
          <w:rFonts w:ascii="Times New Roman" w:hAnsi="Times New Roman"/>
          <w:sz w:val="24"/>
          <w:szCs w:val="24"/>
          <w:shd w:val="clear" w:color="auto" w:fill="FFFFFF"/>
        </w:rPr>
        <w:t xml:space="preserve">stated, </w:t>
      </w:r>
      <w:r>
        <w:rPr>
          <w:rFonts w:ascii="Times New Roman" w:hAnsi="Times New Roman"/>
          <w:sz w:val="24"/>
          <w:szCs w:val="24"/>
          <w:shd w:val="clear" w:color="auto" w:fill="FFFFFF"/>
        </w:rPr>
        <w:t>‘</w:t>
      </w:r>
      <w:proofErr w:type="gramEnd"/>
      <w:r w:rsidRPr="00B33896">
        <w:rPr>
          <w:rFonts w:ascii="Times New Roman" w:hAnsi="Times New Roman"/>
          <w:sz w:val="24"/>
          <w:szCs w:val="24"/>
          <w:shd w:val="clear" w:color="auto" w:fill="FFFFFF"/>
        </w:rPr>
        <w:t xml:space="preserve">to find that </w:t>
      </w:r>
      <w:r>
        <w:rPr>
          <w:rFonts w:ascii="Times New Roman" w:hAnsi="Times New Roman"/>
          <w:sz w:val="24"/>
          <w:szCs w:val="24"/>
          <w:shd w:val="clear" w:color="auto" w:fill="FFFFFF"/>
        </w:rPr>
        <w:t>‘</w:t>
      </w:r>
      <w:r w:rsidRPr="00B33896">
        <w:rPr>
          <w:rFonts w:ascii="Times New Roman" w:hAnsi="Times New Roman"/>
          <w:sz w:val="24"/>
          <w:szCs w:val="24"/>
          <w:shd w:val="clear" w:color="auto" w:fill="FFFFFF"/>
        </w:rPr>
        <w:t>payable from any other source</w:t>
      </w:r>
      <w:r>
        <w:rPr>
          <w:rFonts w:ascii="Times New Roman" w:hAnsi="Times New Roman"/>
          <w:sz w:val="24"/>
          <w:szCs w:val="24"/>
          <w:shd w:val="clear" w:color="auto" w:fill="FFFFFF"/>
        </w:rPr>
        <w:t>’</w:t>
      </w:r>
    </w:p>
    <w:p w14:paraId="124919EE" w14:textId="77777777" w:rsidR="004B21EA" w:rsidRPr="00D6540F" w:rsidRDefault="004B21EA" w:rsidP="004B21EA">
      <w:pPr>
        <w:pStyle w:val="NoSpacing"/>
        <w:ind w:left="720"/>
        <w:rPr>
          <w:rFonts w:ascii="Times New Roman" w:hAnsi="Times New Roman"/>
          <w:sz w:val="24"/>
          <w:szCs w:val="24"/>
          <w:shd w:val="clear" w:color="auto" w:fill="FFFFFF"/>
        </w:rPr>
      </w:pPr>
      <w:r w:rsidRPr="00B33896">
        <w:rPr>
          <w:rFonts w:ascii="Times New Roman" w:hAnsi="Times New Roman"/>
          <w:sz w:val="24"/>
          <w:szCs w:val="24"/>
          <w:shd w:val="clear" w:color="auto" w:fill="FFFFFF"/>
        </w:rPr>
        <w:t>under [the Act] includes a beneficiary’s individual capacity to go buy themselves insurance</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would be inconsistent with the purpose of [the Act].</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 xml:space="preserve"> Indeed, such an interpretation would</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 xml:space="preserve">entirely vitiate the statute. We will not interpret a statute </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in a manner that makes [it]</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meaningless.</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 xml:space="preserve"> Boucher v. 111 East Chestnut Condominium </w:t>
      </w:r>
      <w:proofErr w:type="spellStart"/>
      <w:r w:rsidRPr="00FF07E8">
        <w:rPr>
          <w:rFonts w:ascii="Times New Roman" w:hAnsi="Times New Roman"/>
          <w:sz w:val="24"/>
          <w:szCs w:val="24"/>
          <w:shd w:val="clear" w:color="auto" w:fill="FFFFFF"/>
        </w:rPr>
        <w:t>Ass’n</w:t>
      </w:r>
      <w:proofErr w:type="spellEnd"/>
      <w:r w:rsidRPr="00FF07E8">
        <w:rPr>
          <w:rFonts w:ascii="Times New Roman" w:hAnsi="Times New Roman"/>
          <w:sz w:val="24"/>
          <w:szCs w:val="24"/>
          <w:shd w:val="clear" w:color="auto" w:fill="FFFFFF"/>
        </w:rPr>
        <w:t>, 2018 IL App (1st) 162233,¶ 18.</w:t>
      </w:r>
    </w:p>
    <w:p w14:paraId="566F128C" w14:textId="77777777" w:rsidR="004F15A5" w:rsidRDefault="004F15A5" w:rsidP="006C4AD8">
      <w:pPr>
        <w:pStyle w:val="NormalWeb"/>
        <w:spacing w:before="0" w:beforeAutospacing="0"/>
        <w:rPr>
          <w:rFonts w:ascii="Arial Black" w:hAnsi="Arial Black"/>
          <w:b/>
          <w:bCs/>
          <w:color w:val="454545"/>
          <w:sz w:val="28"/>
          <w:szCs w:val="28"/>
          <w:shd w:val="clear" w:color="auto" w:fill="FFFFFF"/>
        </w:rPr>
      </w:pPr>
    </w:p>
    <w:p w14:paraId="3B88B171" w14:textId="77777777" w:rsidR="00E16202" w:rsidRDefault="00E16202" w:rsidP="00E16202">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It is a shame to have 6 years of litigation to receive disability retirement health insurance. </w:t>
      </w:r>
    </w:p>
    <w:p w14:paraId="060C1B83" w14:textId="77777777" w:rsidR="00E16202" w:rsidRDefault="00E16202" w:rsidP="00E16202">
      <w:pPr>
        <w:pStyle w:val="NoSpacing"/>
        <w:rPr>
          <w:rFonts w:ascii="Times New Roman" w:hAnsi="Times New Roman"/>
          <w:b/>
          <w:bCs/>
          <w:sz w:val="24"/>
          <w:szCs w:val="24"/>
          <w:shd w:val="clear" w:color="auto" w:fill="FFFFFF"/>
        </w:rPr>
      </w:pPr>
    </w:p>
    <w:p w14:paraId="198833CE" w14:textId="77777777" w:rsidR="00E16202" w:rsidRDefault="00E16202" w:rsidP="00E16202">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 xml:space="preserve">Note: Under the State statute, he was entitled to free insurance for a line-of-duty injury. </w:t>
      </w:r>
    </w:p>
    <w:p w14:paraId="193816B1" w14:textId="77777777" w:rsidR="00E16202" w:rsidRPr="00C13929" w:rsidRDefault="00E16202" w:rsidP="00E16202">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[Footnote 1.] “</w:t>
      </w:r>
      <w:r w:rsidRPr="00C13929">
        <w:rPr>
          <w:rFonts w:ascii="Times New Roman" w:hAnsi="Times New Roman"/>
          <w:sz w:val="24"/>
          <w:szCs w:val="24"/>
          <w:shd w:val="clear" w:color="auto" w:fill="FFFFFF"/>
        </w:rPr>
        <w:t xml:space="preserve">A </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catastrophic injury</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 xml:space="preserve"> is defined as </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an injury resulting in a line-of-duty disability</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 xml:space="preserve"> under</w:t>
      </w:r>
      <w:r>
        <w:rPr>
          <w:rFonts w:ascii="Times New Roman" w:hAnsi="Times New Roman"/>
          <w:sz w:val="24"/>
          <w:szCs w:val="24"/>
          <w:shd w:val="clear" w:color="auto" w:fill="FFFFFF"/>
        </w:rPr>
        <w:t xml:space="preserve"> </w:t>
      </w:r>
      <w:r w:rsidRPr="00C13929">
        <w:rPr>
          <w:rFonts w:ascii="Times New Roman" w:hAnsi="Times New Roman"/>
          <w:sz w:val="24"/>
          <w:szCs w:val="24"/>
          <w:shd w:val="clear" w:color="auto" w:fill="FFFFFF"/>
        </w:rPr>
        <w:t>section 4-110 of the Illinois Pension Code (40 ILCS 5/4-110 (West 2000)). Krohe v. City of Bloomington,</w:t>
      </w:r>
      <w:r>
        <w:rPr>
          <w:rFonts w:ascii="Times New Roman" w:hAnsi="Times New Roman"/>
          <w:sz w:val="24"/>
          <w:szCs w:val="24"/>
          <w:shd w:val="clear" w:color="auto" w:fill="FFFFFF"/>
        </w:rPr>
        <w:t xml:space="preserve"> </w:t>
      </w:r>
      <w:r w:rsidRPr="00C13929">
        <w:rPr>
          <w:rFonts w:ascii="Times New Roman" w:hAnsi="Times New Roman"/>
          <w:sz w:val="24"/>
          <w:szCs w:val="24"/>
          <w:shd w:val="clear" w:color="auto" w:fill="FFFFFF"/>
        </w:rPr>
        <w:t>204 Ill. 2d 392, 400 (2003).</w:t>
      </w:r>
    </w:p>
    <w:p w14:paraId="32247426" w14:textId="77777777" w:rsidR="00E16202" w:rsidRDefault="00E16202" w:rsidP="006C4AD8">
      <w:pPr>
        <w:pStyle w:val="NormalWeb"/>
        <w:spacing w:before="0" w:beforeAutospacing="0"/>
        <w:rPr>
          <w:rFonts w:ascii="Arial Black" w:hAnsi="Arial Black"/>
          <w:b/>
          <w:bCs/>
          <w:color w:val="454545"/>
          <w:sz w:val="28"/>
          <w:szCs w:val="28"/>
          <w:shd w:val="clear" w:color="auto" w:fill="FFFFFF"/>
        </w:rPr>
      </w:pPr>
    </w:p>
    <w:p w14:paraId="6568EAA9" w14:textId="77777777" w:rsidR="004F15A5" w:rsidRDefault="004F15A5" w:rsidP="006C4AD8">
      <w:pPr>
        <w:pStyle w:val="NormalWeb"/>
        <w:spacing w:before="0" w:beforeAutospacing="0"/>
        <w:rPr>
          <w:rFonts w:ascii="Arial Black" w:hAnsi="Arial Black"/>
          <w:b/>
          <w:bCs/>
          <w:color w:val="454545"/>
          <w:sz w:val="28"/>
          <w:szCs w:val="28"/>
          <w:shd w:val="clear" w:color="auto" w:fill="FFFFFF"/>
        </w:rPr>
      </w:pPr>
    </w:p>
    <w:p w14:paraId="499DFDDE" w14:textId="707FABAB" w:rsidR="00562A25" w:rsidRDefault="00364F21"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4</w:t>
      </w:r>
    </w:p>
    <w:p w14:paraId="6D78F0FA" w14:textId="77777777" w:rsidR="00364F21" w:rsidRDefault="00364F21" w:rsidP="00364F21">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LA: NEW TIMEKEEPING SYSTEM – ALL FF REQUIRED FINGERPRINTS - UPHELD BY U.S. DISTRICT COURT</w:t>
      </w:r>
    </w:p>
    <w:p w14:paraId="53C1AAEB" w14:textId="77777777" w:rsidR="00364F21" w:rsidRPr="0071601A" w:rsidRDefault="00364F21" w:rsidP="00364F21">
      <w:pPr>
        <w:pStyle w:val="NormalWeb"/>
        <w:rPr>
          <w:shd w:val="clear" w:color="auto" w:fill="FFFFFF"/>
        </w:rPr>
      </w:pPr>
      <w:r w:rsidRPr="0071601A">
        <w:rPr>
          <w:color w:val="454545"/>
          <w:shd w:val="clear" w:color="auto" w:fill="FFFFFF"/>
        </w:rPr>
        <w:t xml:space="preserve">On July 22, 2024, in </w:t>
      </w:r>
      <w:proofErr w:type="spellStart"/>
      <w:r w:rsidRPr="0071601A">
        <w:rPr>
          <w:color w:val="454545"/>
          <w:u w:val="single"/>
          <w:shd w:val="clear" w:color="auto" w:fill="FFFFFF"/>
        </w:rPr>
        <w:t>Chistopher</w:t>
      </w:r>
      <w:proofErr w:type="spellEnd"/>
      <w:r w:rsidRPr="0071601A">
        <w:rPr>
          <w:color w:val="454545"/>
          <w:u w:val="single"/>
          <w:shd w:val="clear" w:color="auto" w:fill="FFFFFF"/>
        </w:rPr>
        <w:t xml:space="preserve"> Perre, et al. v. East Bank Consolidated Special Service Fire Protection Section</w:t>
      </w:r>
      <w:r w:rsidRPr="0071601A">
        <w:rPr>
          <w:color w:val="454545"/>
          <w:shd w:val="clear" w:color="auto" w:fill="FFFFFF"/>
        </w:rPr>
        <w:t>, five firefighters filed a lawsuit challenging new “</w:t>
      </w:r>
      <w:r w:rsidRPr="0071601A">
        <w:rPr>
          <w:shd w:val="clear" w:color="auto" w:fill="FFFFFF"/>
        </w:rPr>
        <w:t xml:space="preserve">Kronos” timekeeping security system where </w:t>
      </w:r>
      <w:r w:rsidRPr="0071601A">
        <w:rPr>
          <w:color w:val="454545"/>
          <w:shd w:val="clear" w:color="auto" w:fill="FFFFFF"/>
        </w:rPr>
        <w:t>their fingerprints must be taken.  U.S. District Court Judge Wendy B. Vitter, in a lengthy decision reviewing U.S. Supreme Court and lower court decisions, dismissed the lawsuit.  “</w:t>
      </w:r>
      <w:r w:rsidRPr="0071601A">
        <w:rPr>
          <w:shd w:val="clear" w:color="auto" w:fill="FFFFFF"/>
        </w:rPr>
        <w:t>However, even assuming such mandatory fingerprint collection qualifies as a Fourth Amendment search, Plaintiffs fail to show that the search was unreasonable… The intrusion undertaken by Defendants therefore satisfies the legitimate government interest in timekeeping and ensuring that public funds related to employee salaries are used for their intended purpose. The fingerprinting policy was justified at its inception.”</w:t>
      </w:r>
      <w:r w:rsidRPr="0071601A">
        <w:t xml:space="preserve"> </w:t>
      </w:r>
      <w:hyperlink r:id="rId1128" w:history="1">
        <w:r w:rsidRPr="0071601A">
          <w:rPr>
            <w:rStyle w:val="Hyperlink"/>
            <w:shd w:val="clear" w:color="auto" w:fill="FFFFFF"/>
          </w:rPr>
          <w:t>https://cases.justia.com/federal/district-courts/louisiana/laedce/2:2023cv00439/259406/50/0.pdf?ts=1721728516</w:t>
        </w:r>
      </w:hyperlink>
      <w:r w:rsidRPr="0071601A">
        <w:rPr>
          <w:shd w:val="clear" w:color="auto" w:fill="FFFFFF"/>
        </w:rPr>
        <w:t xml:space="preserve"> </w:t>
      </w:r>
    </w:p>
    <w:p w14:paraId="47C6DC34" w14:textId="77777777" w:rsidR="00364F21" w:rsidRDefault="00364F21" w:rsidP="00364F21">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32FA80C5" w14:textId="77777777" w:rsidR="00364F21" w:rsidRDefault="00364F21" w:rsidP="00364F21">
      <w:pPr>
        <w:pStyle w:val="NoSpacing"/>
        <w:rPr>
          <w:rFonts w:ascii="Times New Roman" w:hAnsi="Times New Roman"/>
          <w:sz w:val="24"/>
          <w:szCs w:val="24"/>
          <w:shd w:val="clear" w:color="auto" w:fill="FFFFFF"/>
        </w:rPr>
      </w:pPr>
    </w:p>
    <w:p w14:paraId="4F2AE327" w14:textId="77777777" w:rsidR="00364F21" w:rsidRDefault="00364F21" w:rsidP="00364F21">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01FC6">
        <w:rPr>
          <w:rFonts w:ascii="Times New Roman" w:hAnsi="Times New Roman"/>
          <w:sz w:val="24"/>
          <w:szCs w:val="24"/>
          <w:shd w:val="clear" w:color="auto" w:fill="FFFFFF"/>
        </w:rPr>
        <w:t xml:space="preserve">While the fingerprinting in this case likely constituted a search under </w:t>
      </w:r>
      <w:r w:rsidRPr="00E01FC6">
        <w:rPr>
          <w:rFonts w:ascii="Times New Roman" w:hAnsi="Times New Roman"/>
          <w:i/>
          <w:iCs/>
          <w:sz w:val="24"/>
          <w:szCs w:val="24"/>
          <w:shd w:val="clear" w:color="auto" w:fill="FFFFFF"/>
        </w:rPr>
        <w:t>Jones</w:t>
      </w:r>
      <w:r w:rsidRPr="00E01FC6">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 xml:space="preserve">the search did not run afoul of the Fourth Amendment. The scope of the </w:t>
      </w:r>
      <w:proofErr w:type="gramStart"/>
      <w:r w:rsidRPr="00E01FC6">
        <w:rPr>
          <w:rFonts w:ascii="Times New Roman" w:hAnsi="Times New Roman"/>
          <w:sz w:val="24"/>
          <w:szCs w:val="24"/>
          <w:shd w:val="clear" w:color="auto" w:fill="FFFFFF"/>
        </w:rPr>
        <w:t>particular</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intrusion</w:t>
      </w:r>
      <w:proofErr w:type="gramEnd"/>
      <w:r w:rsidRPr="00E01FC6">
        <w:rPr>
          <w:rFonts w:ascii="Times New Roman" w:hAnsi="Times New Roman"/>
          <w:sz w:val="24"/>
          <w:szCs w:val="24"/>
          <w:shd w:val="clear" w:color="auto" w:fill="FFFFFF"/>
        </w:rPr>
        <w:t xml:space="preserve"> and the </w:t>
      </w:r>
      <w:proofErr w:type="gramStart"/>
      <w:r w:rsidRPr="00E01FC6">
        <w:rPr>
          <w:rFonts w:ascii="Times New Roman" w:hAnsi="Times New Roman"/>
          <w:sz w:val="24"/>
          <w:szCs w:val="24"/>
          <w:shd w:val="clear" w:color="auto" w:fill="FFFFFF"/>
        </w:rPr>
        <w:t>manner in which</w:t>
      </w:r>
      <w:proofErr w:type="gramEnd"/>
      <w:r w:rsidRPr="00E01FC6">
        <w:rPr>
          <w:rFonts w:ascii="Times New Roman" w:hAnsi="Times New Roman"/>
          <w:sz w:val="24"/>
          <w:szCs w:val="24"/>
          <w:shd w:val="clear" w:color="auto" w:fill="FFFFFF"/>
        </w:rPr>
        <w:t xml:space="preserve"> it was collected in this case were minimal. The</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timekeeping justification for the intrusion constitutes a legitimate work-related,</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non</w:t>
      </w:r>
      <w:r>
        <w:rPr>
          <w:rFonts w:ascii="Times New Roman" w:hAnsi="Times New Roman"/>
          <w:sz w:val="24"/>
          <w:szCs w:val="24"/>
          <w:shd w:val="clear" w:color="auto" w:fill="FFFFFF"/>
        </w:rPr>
        <w:t>-</w:t>
      </w:r>
      <w:r w:rsidRPr="00E01FC6">
        <w:rPr>
          <w:rFonts w:ascii="Times New Roman" w:hAnsi="Times New Roman"/>
          <w:sz w:val="24"/>
          <w:szCs w:val="24"/>
          <w:shd w:val="clear" w:color="auto" w:fill="FFFFFF"/>
        </w:rPr>
        <w:t>investigatory intrusion that satisfies the reasonableness standard in terms of its</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inception and scope. Therefore, the fingerprinting of Plaintiffs was not an</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unreasonable search in violation of the Fourth Amendment. Because the Plaintiffs</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 xml:space="preserve">cannot demonstrate an underlying constitutional violation, their § 1983 </w:t>
      </w:r>
      <w:r w:rsidRPr="004220C8">
        <w:rPr>
          <w:rFonts w:ascii="Times New Roman" w:hAnsi="Times New Roman"/>
          <w:i/>
          <w:iCs/>
          <w:sz w:val="24"/>
          <w:szCs w:val="24"/>
          <w:shd w:val="clear" w:color="auto" w:fill="FFFFFF"/>
        </w:rPr>
        <w:t xml:space="preserve">Monell </w:t>
      </w:r>
      <w:r w:rsidRPr="004220C8">
        <w:rPr>
          <w:rFonts w:ascii="Times New Roman" w:hAnsi="Times New Roman"/>
          <w:sz w:val="24"/>
          <w:szCs w:val="24"/>
          <w:shd w:val="clear" w:color="auto" w:fill="FFFFFF"/>
        </w:rPr>
        <w:t>claims against the Defendants necessarily fail. Likewise, the Plaintiffs’ Louisiana</w:t>
      </w:r>
      <w:r>
        <w:rPr>
          <w:rFonts w:ascii="Times New Roman" w:hAnsi="Times New Roman"/>
          <w:sz w:val="24"/>
          <w:szCs w:val="24"/>
          <w:shd w:val="clear" w:color="auto" w:fill="FFFFFF"/>
        </w:rPr>
        <w:t xml:space="preserve"> </w:t>
      </w:r>
      <w:r w:rsidRPr="004220C8">
        <w:rPr>
          <w:rFonts w:ascii="Times New Roman" w:hAnsi="Times New Roman"/>
          <w:sz w:val="24"/>
          <w:szCs w:val="24"/>
          <w:shd w:val="clear" w:color="auto" w:fill="FFFFFF"/>
        </w:rPr>
        <w:t>constitutional claims also fail.</w:t>
      </w:r>
      <w:r>
        <w:rPr>
          <w:rFonts w:ascii="Times New Roman" w:hAnsi="Times New Roman"/>
          <w:sz w:val="24"/>
          <w:szCs w:val="24"/>
          <w:shd w:val="clear" w:color="auto" w:fill="FFFFFF"/>
        </w:rPr>
        <w:t>”</w:t>
      </w:r>
    </w:p>
    <w:p w14:paraId="30960912" w14:textId="77777777" w:rsidR="004F15A5" w:rsidRDefault="004F15A5" w:rsidP="004F15A5">
      <w:pPr>
        <w:pStyle w:val="NoSpacing"/>
        <w:rPr>
          <w:rFonts w:ascii="Times New Roman" w:hAnsi="Times New Roman"/>
          <w:b/>
          <w:bCs/>
          <w:sz w:val="24"/>
          <w:szCs w:val="24"/>
          <w:shd w:val="clear" w:color="auto" w:fill="FFFFFF"/>
        </w:rPr>
      </w:pPr>
    </w:p>
    <w:p w14:paraId="173CA355" w14:textId="160DF5A9" w:rsidR="004F15A5" w:rsidRPr="005136BE" w:rsidRDefault="004F15A5" w:rsidP="004F15A5">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Legal Lesson Learned: There is little case law on fingerprinting of employees; this decision is extremely well researched.</w:t>
      </w:r>
    </w:p>
    <w:p w14:paraId="5170BFBF" w14:textId="0C52AEC7" w:rsidR="00364F21" w:rsidRDefault="004F15A5" w:rsidP="004F15A5">
      <w:pPr>
        <w:pStyle w:val="NormalWeb"/>
        <w:spacing w:before="0" w:beforeAutospacing="0"/>
        <w:rPr>
          <w:rFonts w:ascii="Arial Black" w:hAnsi="Arial Black"/>
          <w:b/>
          <w:bCs/>
          <w:color w:val="454545"/>
          <w:sz w:val="28"/>
          <w:szCs w:val="28"/>
          <w:shd w:val="clear" w:color="auto" w:fill="FFFFFF"/>
        </w:rPr>
      </w:pPr>
      <w:r w:rsidRPr="0071601A">
        <w:rPr>
          <w:color w:val="454545"/>
          <w:shd w:val="clear" w:color="auto" w:fill="FFFFFF"/>
        </w:rPr>
        <w:t xml:space="preserve">Note: See the </w:t>
      </w:r>
      <w:r>
        <w:rPr>
          <w:color w:val="454545"/>
          <w:shd w:val="clear" w:color="auto" w:fill="FFFFFF"/>
        </w:rPr>
        <w:t>“</w:t>
      </w:r>
      <w:r w:rsidRPr="0071601A">
        <w:rPr>
          <w:color w:val="454545"/>
          <w:shd w:val="clear" w:color="auto" w:fill="FFFFFF"/>
        </w:rPr>
        <w:t>Kronos</w:t>
      </w:r>
      <w:r>
        <w:rPr>
          <w:color w:val="454545"/>
          <w:shd w:val="clear" w:color="auto" w:fill="FFFFFF"/>
        </w:rPr>
        <w:t>”</w:t>
      </w:r>
      <w:r w:rsidRPr="0071601A">
        <w:rPr>
          <w:color w:val="454545"/>
          <w:shd w:val="clear" w:color="auto" w:fill="FFFFFF"/>
        </w:rPr>
        <w:t xml:space="preserve"> timekeeping system. </w:t>
      </w:r>
      <w:hyperlink r:id="rId1129" w:history="1">
        <w:r w:rsidRPr="0071601A">
          <w:rPr>
            <w:rStyle w:val="Hyperlink"/>
            <w:shd w:val="clear" w:color="auto" w:fill="FFFFFF"/>
          </w:rPr>
          <w:t>https://www.360connect.com/product-blog/kronos-time-and-attendance-system-types-features-pricing/</w:t>
        </w:r>
      </w:hyperlink>
    </w:p>
    <w:p w14:paraId="06D5BBD6" w14:textId="77777777" w:rsidR="00562A25" w:rsidRDefault="00562A25" w:rsidP="006C4AD8">
      <w:pPr>
        <w:pStyle w:val="NormalWeb"/>
        <w:spacing w:before="0" w:beforeAutospacing="0"/>
        <w:rPr>
          <w:rFonts w:ascii="Arial Black" w:hAnsi="Arial Black"/>
          <w:b/>
          <w:bCs/>
          <w:color w:val="454545"/>
          <w:sz w:val="28"/>
          <w:szCs w:val="28"/>
          <w:shd w:val="clear" w:color="auto" w:fill="FFFFFF"/>
        </w:rPr>
      </w:pPr>
    </w:p>
    <w:p w14:paraId="4E0DF329" w14:textId="77777777" w:rsidR="00562A25" w:rsidRDefault="00562A25" w:rsidP="006C4AD8">
      <w:pPr>
        <w:pStyle w:val="NormalWeb"/>
        <w:spacing w:before="0" w:beforeAutospacing="0"/>
        <w:rPr>
          <w:rFonts w:ascii="Arial Black" w:hAnsi="Arial Black"/>
          <w:b/>
          <w:bCs/>
          <w:color w:val="454545"/>
          <w:sz w:val="28"/>
          <w:szCs w:val="28"/>
          <w:shd w:val="clear" w:color="auto" w:fill="FFFFFF"/>
        </w:rPr>
      </w:pPr>
    </w:p>
    <w:p w14:paraId="75C35C2D" w14:textId="020C7F5B" w:rsidR="00C63CEB" w:rsidRDefault="009F02E2"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3</w:t>
      </w:r>
    </w:p>
    <w:p w14:paraId="24C3F924" w14:textId="77777777" w:rsidR="00A905C2" w:rsidRPr="000F466D" w:rsidRDefault="00A905C2" w:rsidP="00A905C2">
      <w:pPr>
        <w:pStyle w:val="NormalWeb"/>
        <w:rPr>
          <w:rFonts w:ascii="Arial Black" w:hAnsi="Arial Black"/>
          <w:sz w:val="28"/>
          <w:szCs w:val="28"/>
        </w:rPr>
      </w:pPr>
      <w:r>
        <w:rPr>
          <w:rFonts w:ascii="Arial Black" w:hAnsi="Arial Black"/>
          <w:sz w:val="28"/>
          <w:szCs w:val="28"/>
        </w:rPr>
        <w:t>IL: CORONARY ARTERY DISEASE – LT. 28 YEARS FIRE SERVICE – CAN’T PROVE CAUSED BY JOB – NO WORK COMP</w:t>
      </w:r>
    </w:p>
    <w:p w14:paraId="0D39A263" w14:textId="77777777" w:rsidR="00A905C2" w:rsidRDefault="00A905C2" w:rsidP="00A905C2">
      <w:pPr>
        <w:pStyle w:val="NormalWeb"/>
      </w:pPr>
      <w:r>
        <w:t xml:space="preserve">On May 24, 2024, in </w:t>
      </w:r>
      <w:r w:rsidRPr="00110426">
        <w:rPr>
          <w:u w:val="single"/>
        </w:rPr>
        <w:t>Jerry Faruzzi v. The Illinois Workers Compensation Commission</w:t>
      </w:r>
      <w:r>
        <w:t xml:space="preserve">, the Court of Appeals of Illinois, First District, Workers’ Compensation Commission Division, held (5 to 0) that the firefighter failed to prove the artery disease was caused by the job. The Court held: </w:t>
      </w:r>
    </w:p>
    <w:p w14:paraId="77176E4D" w14:textId="77777777" w:rsidR="00A905C2" w:rsidRDefault="00A905C2" w:rsidP="00A905C2">
      <w:pPr>
        <w:pStyle w:val="NormalWeb"/>
        <w:ind w:left="720" w:firstLine="60"/>
      </w:pPr>
      <w:r>
        <w:t>“The claimant argues that Dr. Moisan's testimony that the claimant's firefighting activities contributed in part to his development of coronary artery disease is a judicial admission by the Village based on Dr. Moisan's position as medical director for the Village's fire department. We disagree…. As noted earlier, Dr. Moisan's causation opinion is hardly unequivocal. When asked directly whether the claimant's coronary artery disease was caused or contributed to by his firefighting duties, Dr. Moisan stated: ‘I can't know that</w:t>
      </w:r>
      <w:proofErr w:type="gramStart"/>
      <w:r>
        <w:t>.</w:t>
      </w:r>
      <w:proofErr w:type="gramEnd"/>
      <w:r>
        <w:t xml:space="preserve"> I can't exclude it.’” </w:t>
      </w:r>
      <w:hyperlink r:id="rId1130" w:history="1">
        <w:r w:rsidRPr="00F80308">
          <w:rPr>
            <w:rStyle w:val="Hyperlink"/>
          </w:rPr>
          <w:t>https://ilcourtsaudio.blob.core.windows.net/antilles-resources/resources/db67e7e2-0717-4638-8c31-3e01bcc193d9/Faruzzi%20v.%20Illinois%20Workers%27%20Compensation%20Comm%27n,%202024%20IL%20App%20(1st)%20231896WC-U.pdf</w:t>
        </w:r>
      </w:hyperlink>
      <w:r>
        <w:t xml:space="preserve"> </w:t>
      </w:r>
    </w:p>
    <w:p w14:paraId="2C422B3B" w14:textId="77777777" w:rsidR="009C6DC9" w:rsidRDefault="009C6DC9" w:rsidP="009C6DC9">
      <w:pPr>
        <w:pStyle w:val="NormalWeb"/>
        <w:rPr>
          <w:b/>
          <w:bCs/>
        </w:rPr>
      </w:pPr>
      <w:r>
        <w:rPr>
          <w:b/>
          <w:bCs/>
        </w:rPr>
        <w:t xml:space="preserve">Legal Lesson Learned:  Extremely difficult to prove coronary artery disease caused by the job. </w:t>
      </w:r>
    </w:p>
    <w:p w14:paraId="01812EC9" w14:textId="77777777" w:rsidR="009C6DC9" w:rsidRPr="009E5A90" w:rsidRDefault="009C6DC9" w:rsidP="009C6DC9">
      <w:pPr>
        <w:pStyle w:val="Heading1"/>
        <w:ind w:left="720"/>
        <w:rPr>
          <w:sz w:val="24"/>
          <w:szCs w:val="24"/>
        </w:rPr>
      </w:pPr>
      <w:r w:rsidRPr="009E5A90">
        <w:rPr>
          <w:sz w:val="24"/>
          <w:szCs w:val="24"/>
        </w:rPr>
        <w:t xml:space="preserve">Note: In Ohio, the legislature has enacted a “statutory presumption” law for certain firefighter diseases.  Section 4123.68 </w:t>
      </w:r>
      <w:r w:rsidRPr="009E5A90">
        <w:rPr>
          <w:rStyle w:val="codes-separator"/>
          <w:rFonts w:eastAsiaTheme="minorHAnsi"/>
          <w:sz w:val="24"/>
          <w:szCs w:val="24"/>
        </w:rPr>
        <w:t>|</w:t>
      </w:r>
      <w:r w:rsidRPr="009E5A90">
        <w:rPr>
          <w:sz w:val="24"/>
          <w:szCs w:val="24"/>
        </w:rPr>
        <w:t xml:space="preserve"> Schedule of compensable occupational diseases. </w:t>
      </w:r>
      <w:hyperlink r:id="rId1131" w:history="1">
        <w:r w:rsidRPr="00F80308">
          <w:rPr>
            <w:rStyle w:val="Hyperlink"/>
            <w:sz w:val="24"/>
            <w:szCs w:val="24"/>
          </w:rPr>
          <w:t>https://codes.ohio.gov/ohio-revised-code/section-4123.68</w:t>
        </w:r>
      </w:hyperlink>
      <w:r>
        <w:rPr>
          <w:sz w:val="24"/>
          <w:szCs w:val="24"/>
        </w:rPr>
        <w:t xml:space="preserve"> </w:t>
      </w:r>
    </w:p>
    <w:p w14:paraId="53EC78E9" w14:textId="77777777" w:rsidR="009C6DC9" w:rsidRDefault="009C6DC9" w:rsidP="009C6DC9">
      <w:pPr>
        <w:pStyle w:val="NormalWeb"/>
        <w:ind w:left="720"/>
      </w:pPr>
      <w:r>
        <w:t>For example:</w:t>
      </w:r>
    </w:p>
    <w:p w14:paraId="31E75CB6" w14:textId="77777777" w:rsidR="009C6DC9" w:rsidRDefault="009C6DC9" w:rsidP="009C6DC9">
      <w:pPr>
        <w:pStyle w:val="NormalWeb"/>
        <w:ind w:left="1440"/>
      </w:pPr>
      <w:r>
        <w:t>“(W) Cardiovascular, pulmonary, or respiratory diseases incurred by firefighters or police officers following exposure to heat, smoke, toxic gases, chemical fumes and other toxic substances: Any cardiovascular, pulmonary, or respiratory disease of a firefighter or police officer caused or induced by the cumulative effect of exposure to heat, the inhalation of smoke, toxic gases, chemical fumes and other toxic substances in the performance of the firefighter's or police officer's duty constitutes a presumption, which may be refuted by affirmative evidence, that such occurred in the course of and arising out of the firefighter's or police officer's employment.</w:t>
      </w:r>
    </w:p>
    <w:p w14:paraId="13DC7DCC" w14:textId="77777777" w:rsidR="009C6DC9" w:rsidRPr="00797268" w:rsidRDefault="009C6DC9" w:rsidP="009C6DC9">
      <w:pPr>
        <w:pStyle w:val="NormalWeb"/>
        <w:ind w:left="1440"/>
      </w:pPr>
      <w:r>
        <w:t>***</w:t>
      </w:r>
    </w:p>
    <w:p w14:paraId="0CD2C01F" w14:textId="77777777" w:rsidR="009C6DC9" w:rsidRPr="00EE37D5" w:rsidRDefault="009C6DC9" w:rsidP="009C6DC9">
      <w:pPr>
        <w:pStyle w:val="NormalWeb"/>
        <w:ind w:left="1440"/>
        <w:rPr>
          <w:b/>
          <w:bCs/>
        </w:rPr>
      </w:pPr>
      <w:r>
        <w:t xml:space="preserve">(X)(1) Cancer contracted by a firefighter: Cancer contracted by a firefighter who has been assigned to at least six years of hazardous duty as a firefighter constitutes a presumption that the cancer was contracted in the course of and arising out of the firefighter's employment if the firefighter was exposed to an agent classified by the international agency for research on cancer or its successor organization as a group 1 or 2A carcinogen.” </w:t>
      </w:r>
    </w:p>
    <w:p w14:paraId="0C2123E8" w14:textId="77777777" w:rsidR="009C6DC9" w:rsidRDefault="009C6DC9" w:rsidP="009C6DC9">
      <w:pPr>
        <w:pStyle w:val="NormalWeb"/>
        <w:ind w:left="720"/>
      </w:pPr>
      <w:r>
        <w:t xml:space="preserve">See IAFF list of states with statutory presumption laws. </w:t>
      </w:r>
      <w:hyperlink r:id="rId1132" w:history="1">
        <w:r w:rsidRPr="00F80308">
          <w:rPr>
            <w:rStyle w:val="Hyperlink"/>
          </w:rPr>
          <w:t>https://www.iaff.org/presumptive-health/</w:t>
        </w:r>
      </w:hyperlink>
      <w:r>
        <w:t xml:space="preserve"> </w:t>
      </w:r>
    </w:p>
    <w:p w14:paraId="278DA56C" w14:textId="77777777" w:rsidR="009F02E2" w:rsidRDefault="009F02E2" w:rsidP="006C4AD8">
      <w:pPr>
        <w:pStyle w:val="NormalWeb"/>
        <w:spacing w:before="0" w:beforeAutospacing="0"/>
        <w:rPr>
          <w:rFonts w:ascii="Arial Black" w:hAnsi="Arial Black"/>
          <w:b/>
          <w:bCs/>
          <w:color w:val="454545"/>
          <w:sz w:val="28"/>
          <w:szCs w:val="28"/>
          <w:shd w:val="clear" w:color="auto" w:fill="FFFFFF"/>
        </w:rPr>
      </w:pPr>
    </w:p>
    <w:p w14:paraId="31C637F1" w14:textId="2CC1D7DF" w:rsidR="00C63CEB" w:rsidRDefault="00C63CE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2</w:t>
      </w:r>
    </w:p>
    <w:p w14:paraId="16ECB341" w14:textId="77777777" w:rsidR="00DC3D8E" w:rsidRDefault="00DC3D8E" w:rsidP="00DC3D8E">
      <w:pPr>
        <w:pStyle w:val="NormalWeb"/>
        <w:spacing w:before="0" w:beforeAutospacing="0"/>
        <w:rPr>
          <w:rFonts w:ascii="Arial Black" w:hAnsi="Arial Black"/>
          <w:b/>
          <w:bCs/>
          <w:color w:val="454545"/>
          <w:sz w:val="28"/>
          <w:szCs w:val="28"/>
          <w:shd w:val="clear" w:color="auto" w:fill="FFFFFF"/>
        </w:rPr>
      </w:pPr>
      <w:r w:rsidRPr="009E0BBC">
        <w:rPr>
          <w:rFonts w:ascii="Arial Black" w:hAnsi="Arial Black"/>
          <w:b/>
          <w:bCs/>
          <w:color w:val="454545"/>
          <w:sz w:val="28"/>
          <w:szCs w:val="28"/>
          <w:shd w:val="clear" w:color="auto" w:fill="FFFFFF"/>
        </w:rPr>
        <w:t xml:space="preserve">PA: </w:t>
      </w:r>
      <w:r>
        <w:rPr>
          <w:rFonts w:ascii="Arial Black" w:hAnsi="Arial Black"/>
          <w:b/>
          <w:bCs/>
          <w:color w:val="454545"/>
          <w:sz w:val="28"/>
          <w:szCs w:val="28"/>
          <w:shd w:val="clear" w:color="auto" w:fill="FFFFFF"/>
        </w:rPr>
        <w:t xml:space="preserve">PHILADELPHIA FF - </w:t>
      </w:r>
      <w:r w:rsidRPr="009E0BBC">
        <w:rPr>
          <w:rFonts w:ascii="Arial Black" w:hAnsi="Arial Black"/>
          <w:b/>
          <w:bCs/>
          <w:color w:val="454545"/>
          <w:sz w:val="28"/>
          <w:szCs w:val="28"/>
          <w:shd w:val="clear" w:color="auto" w:fill="FFFFFF"/>
        </w:rPr>
        <w:t xml:space="preserve">TRANSGENDER </w:t>
      </w:r>
      <w:r>
        <w:rPr>
          <w:rFonts w:ascii="Arial Black" w:hAnsi="Arial Black"/>
          <w:b/>
          <w:bCs/>
          <w:color w:val="454545"/>
          <w:sz w:val="28"/>
          <w:szCs w:val="28"/>
          <w:shd w:val="clear" w:color="auto" w:fill="FFFFFF"/>
        </w:rPr>
        <w:t xml:space="preserve">FEMALE - DENIED </w:t>
      </w:r>
      <w:r w:rsidRPr="009E0BBC">
        <w:rPr>
          <w:rFonts w:ascii="Arial Black" w:hAnsi="Arial Black"/>
          <w:b/>
          <w:bCs/>
          <w:color w:val="454545"/>
          <w:sz w:val="28"/>
          <w:szCs w:val="28"/>
          <w:shd w:val="clear" w:color="auto" w:fill="FFFFFF"/>
        </w:rPr>
        <w:t>INSUR</w:t>
      </w:r>
      <w:r>
        <w:rPr>
          <w:rFonts w:ascii="Arial Black" w:hAnsi="Arial Black"/>
          <w:b/>
          <w:bCs/>
          <w:color w:val="454545"/>
          <w:sz w:val="28"/>
          <w:szCs w:val="28"/>
          <w:shd w:val="clear" w:color="auto" w:fill="FFFFFF"/>
        </w:rPr>
        <w:t>. “FACIAL SURGERY” – CASE DISMISSED / CAN REFILE</w:t>
      </w:r>
    </w:p>
    <w:p w14:paraId="11A5892D" w14:textId="77777777" w:rsidR="00DC3D8E" w:rsidRDefault="00DC3D8E" w:rsidP="00DC3D8E">
      <w:pPr>
        <w:pStyle w:val="NormalWeb"/>
        <w:spacing w:before="0" w:beforeAutospacing="0"/>
      </w:pPr>
      <w:r w:rsidRPr="000B7D4B">
        <w:rPr>
          <w:color w:val="454545"/>
          <w:shd w:val="clear" w:color="auto" w:fill="FFFFFF"/>
        </w:rPr>
        <w:t xml:space="preserve">On May 16, 2024, in </w:t>
      </w:r>
      <w:r w:rsidRPr="00885806">
        <w:rPr>
          <w:color w:val="454545"/>
          <w:u w:val="single"/>
          <w:shd w:val="clear" w:color="auto" w:fill="FFFFFF"/>
        </w:rPr>
        <w:t>Jane Doe [not actual name] v. City of Philadelphia, Independent Blue Cross, Firefighters’ &amp; Paramedics Union, IADD Local 22</w:t>
      </w:r>
      <w:r>
        <w:rPr>
          <w:color w:val="454545"/>
          <w:shd w:val="clear" w:color="auto" w:fill="FFFFFF"/>
        </w:rPr>
        <w:t>, the plaintiff, a member of the FD for three decades, was denied insurance coverage for “</w:t>
      </w:r>
      <w:r>
        <w:t xml:space="preserve">facial feminization surgery.”  </w:t>
      </w:r>
      <w:r>
        <w:rPr>
          <w:color w:val="454545"/>
          <w:shd w:val="clear" w:color="auto" w:fill="FFFFFF"/>
        </w:rPr>
        <w:t xml:space="preserve">United States District Court Judge </w:t>
      </w:r>
      <w:r>
        <w:t>Wendy Beetlestone granted the defendants’ motion to dismiss her lawsuit since it is not specific regarding alleged unlawful conduct of each of the three defendants, but the dismissal is “without prejudice” meaning she can refile with a more specific Complaint.  The plaintiff had filed an EEOC complaint and received a “Right to Sue” letter from EEOC, so she has properly taken steps to file a lawsuit. The Court held:</w:t>
      </w:r>
    </w:p>
    <w:p w14:paraId="168C3E8B" w14:textId="77777777" w:rsidR="00DC3D8E" w:rsidRDefault="00DC3D8E" w:rsidP="00DC3D8E">
      <w:pPr>
        <w:pStyle w:val="NormalWeb"/>
        <w:ind w:left="720"/>
      </w:pPr>
      <w:r>
        <w:t xml:space="preserve">“Here, Doe levies most of her allegations against Defendants as a whole, without identifying the conduct for which the </w:t>
      </w:r>
      <w:proofErr w:type="gramStart"/>
      <w:r>
        <w:t>City</w:t>
      </w:r>
      <w:proofErr w:type="gramEnd"/>
      <w:r>
        <w:t xml:space="preserve"> specifically is responsible. The only non-conclusory allegations against the City are that: (1) it employed Doe; (2) as her employer, the City was ‘responsible for the provision of benefits to [her] including employer-sponsored healthcare benefits;’ (3) the City funded that plan; and, (4) ‘[</w:t>
      </w:r>
      <w:proofErr w:type="spellStart"/>
      <w:r>
        <w:t>i</w:t>
      </w:r>
      <w:proofErr w:type="spellEnd"/>
      <w:r>
        <w:t xml:space="preserve">]t is believed and therefore averred that’ the City, along with the other Defendants ‘exercised extensive control over benefits,’ including health insurance. The key allegations relating to Defendants' liability-that they denied Doe health insurance coverage for treatments necessary to treat her gender dysphoria and misapplied her policy's cosmetic surgery exclusion in doing so-do not distinguish between the conduct of the City, Independence Blue Cross, and Local 22. The Amended Complaint therefore does not </w:t>
      </w:r>
      <w:proofErr w:type="gramStart"/>
      <w:r>
        <w:t>plead</w:t>
      </w:r>
      <w:proofErr w:type="gramEnd"/>
      <w:r>
        <w:t xml:space="preserve"> facts sufficient to show that Doe is plausibly entitled to relief from the City.</w:t>
      </w:r>
    </w:p>
    <w:p w14:paraId="1D482102" w14:textId="77777777" w:rsidR="00DC3D8E" w:rsidRDefault="00DC3D8E" w:rsidP="00DC3D8E">
      <w:pPr>
        <w:pStyle w:val="NormalWeb"/>
        <w:ind w:left="720"/>
      </w:pPr>
      <w:r>
        <w:t>***</w:t>
      </w:r>
    </w:p>
    <w:p w14:paraId="7326FA47" w14:textId="77777777" w:rsidR="00DC3D8E" w:rsidRDefault="00DC3D8E" w:rsidP="00DC3D8E">
      <w:pPr>
        <w:pStyle w:val="NormalWeb"/>
        <w:spacing w:before="0" w:beforeAutospacing="0"/>
        <w:ind w:left="720" w:firstLine="60"/>
      </w:pPr>
      <w:r>
        <w:t xml:space="preserve">For the foregoing reasons, the City of Philadelphia's Motion to Dismiss will be granted, and Doe's Amended Complaint will be dismissed without prejudice.”  </w:t>
      </w:r>
      <w:hyperlink r:id="rId1133" w:history="1">
        <w:r w:rsidRPr="00DF21B2">
          <w:rPr>
            <w:rStyle w:val="Hyperlink"/>
          </w:rPr>
          <w:t>https://casetext.com/case/doe-v-city-of-philadelphia-5</w:t>
        </w:r>
      </w:hyperlink>
      <w:r>
        <w:t xml:space="preserve"> </w:t>
      </w:r>
    </w:p>
    <w:p w14:paraId="4352044C" w14:textId="77777777" w:rsidR="009F02E2" w:rsidRPr="007D3354" w:rsidRDefault="009F02E2" w:rsidP="009F02E2">
      <w:pPr>
        <w:pStyle w:val="NormalWeb"/>
        <w:spacing w:before="0" w:beforeAutospacing="0"/>
        <w:rPr>
          <w:b/>
          <w:bCs/>
          <w:color w:val="454545"/>
          <w:shd w:val="clear" w:color="auto" w:fill="FFFFFF"/>
        </w:rPr>
      </w:pPr>
      <w:r w:rsidRPr="007D3354">
        <w:rPr>
          <w:b/>
          <w:bCs/>
        </w:rPr>
        <w:t xml:space="preserve">Legal Lesson Learned: This lawsuit will likely be refiled, focusing on the Insurance Company’s cosmetic surgery exclusion. </w:t>
      </w:r>
    </w:p>
    <w:p w14:paraId="3C7BA024" w14:textId="77777777" w:rsidR="009F02E2" w:rsidRDefault="009F02E2" w:rsidP="009F02E2">
      <w:pPr>
        <w:pStyle w:val="NormalWeb"/>
        <w:spacing w:before="0" w:beforeAutospacing="0"/>
        <w:ind w:left="720"/>
        <w:rPr>
          <w:b/>
          <w:bCs/>
          <w:color w:val="454545"/>
          <w:shd w:val="clear" w:color="auto" w:fill="FFFFFF"/>
        </w:rPr>
      </w:pPr>
      <w:r w:rsidRPr="007E1F50">
        <w:rPr>
          <w:color w:val="000000" w:themeColor="text1"/>
          <w:shd w:val="clear" w:color="auto" w:fill="FFFFFF"/>
        </w:rPr>
        <w:t>Note: See this abstract (Aug. 12, 2023):</w:t>
      </w:r>
      <w:r w:rsidRPr="007E1F50">
        <w:rPr>
          <w:b/>
          <w:bCs/>
          <w:color w:val="000000" w:themeColor="text1"/>
          <w:shd w:val="clear" w:color="auto" w:fill="FFFFFF"/>
        </w:rPr>
        <w:t xml:space="preserve"> </w:t>
      </w:r>
      <w:r>
        <w:rPr>
          <w:b/>
          <w:bCs/>
          <w:color w:val="000000" w:themeColor="text1"/>
          <w:shd w:val="clear" w:color="auto" w:fill="FFFFFF"/>
        </w:rPr>
        <w:t>“</w:t>
      </w:r>
      <w:r w:rsidRPr="007E1F50">
        <w:rPr>
          <w:color w:val="000000" w:themeColor="text1"/>
        </w:rPr>
        <w:t>The Limited Coverage of Facial Feminization Surgery in the United States: A Literature Review of Policy Constraints and Implications</w:t>
      </w:r>
      <w:r>
        <w:rPr>
          <w:color w:val="000000" w:themeColor="text1"/>
        </w:rPr>
        <w:t xml:space="preserve">.” </w:t>
      </w:r>
      <w:hyperlink r:id="rId1134" w:history="1">
        <w:r w:rsidRPr="00DF21B2">
          <w:rPr>
            <w:rStyle w:val="Hyperlink"/>
          </w:rPr>
          <w:t>https://www.ncbi.nlm.nih.gov/pmc/articles/PMC10455106/</w:t>
        </w:r>
      </w:hyperlink>
      <w:r>
        <w:t xml:space="preserve"> </w:t>
      </w:r>
    </w:p>
    <w:p w14:paraId="6DBB5852" w14:textId="77777777" w:rsidR="009F02E2" w:rsidRDefault="009F02E2" w:rsidP="009F02E2">
      <w:pPr>
        <w:pStyle w:val="NormalWeb"/>
        <w:spacing w:before="0" w:beforeAutospacing="0"/>
        <w:ind w:left="1440"/>
        <w:rPr>
          <w:b/>
          <w:bCs/>
          <w:color w:val="454545"/>
          <w:shd w:val="clear" w:color="auto" w:fill="FFFFFF"/>
        </w:rPr>
      </w:pPr>
      <w:r>
        <w:t xml:space="preserve">“In 2014, the Department of Human Health Services (HHS) lifted the transgender exclusion policy, leading to an increase in policies regarding GASs for both private and state insurance. However, there are differences in medical necessity requirements among policies, which may not align with the World Professional Association for Transgender Health (WPATH) criteria. States that prohibit exclusion tend to offer better coverage for FFS. These states are mainly located in the western and northeast regions, whereas states in the southern and middle east regions have less coverage. Among the procedures, chondrolaryngoplasty is the most covered, while facial and cervical rhytidectomy are the least covered. To enhance transgender care, it is crucial to reach a consensus on how to offer coverage for facial feminization surgery. However, there is a lack of adequate research on this topic, and there is a need for resources and tools to assess the results of FFS procedures.” </w:t>
      </w:r>
    </w:p>
    <w:p w14:paraId="47383A6C" w14:textId="77777777" w:rsidR="009F02E2" w:rsidRDefault="009F02E2" w:rsidP="009F02E2">
      <w:pPr>
        <w:pStyle w:val="NormalWeb"/>
        <w:spacing w:before="0" w:beforeAutospacing="0"/>
        <w:ind w:left="720"/>
        <w:rPr>
          <w:color w:val="454545"/>
          <w:shd w:val="clear" w:color="auto" w:fill="FFFFFF"/>
        </w:rPr>
      </w:pPr>
      <w:r w:rsidRPr="00546DEF">
        <w:rPr>
          <w:color w:val="454545"/>
          <w:shd w:val="clear" w:color="auto" w:fill="FFFFFF"/>
        </w:rPr>
        <w:t>See also</w:t>
      </w:r>
      <w:r>
        <w:rPr>
          <w:color w:val="454545"/>
          <w:shd w:val="clear" w:color="auto" w:fill="FFFFFF"/>
        </w:rPr>
        <w:t xml:space="preserve">:  May 13, </w:t>
      </w:r>
      <w:proofErr w:type="gramStart"/>
      <w:r>
        <w:rPr>
          <w:color w:val="454545"/>
          <w:shd w:val="clear" w:color="auto" w:fill="FFFFFF"/>
        </w:rPr>
        <w:t>2024</w:t>
      </w:r>
      <w:proofErr w:type="gramEnd"/>
      <w:r>
        <w:rPr>
          <w:color w:val="454545"/>
          <w:shd w:val="clear" w:color="auto" w:fill="FFFFFF"/>
        </w:rPr>
        <w:t xml:space="preserve"> decision by U.S. Court of Appeals for the 11</w:t>
      </w:r>
      <w:r w:rsidRPr="00BF4B65">
        <w:rPr>
          <w:color w:val="454545"/>
          <w:shd w:val="clear" w:color="auto" w:fill="FFFFFF"/>
          <w:vertAlign w:val="superscript"/>
        </w:rPr>
        <w:t>th</w:t>
      </w:r>
      <w:r>
        <w:rPr>
          <w:color w:val="454545"/>
          <w:shd w:val="clear" w:color="auto" w:fill="FFFFFF"/>
        </w:rPr>
        <w:t xml:space="preserve"> Circuit, </w:t>
      </w:r>
      <w:r w:rsidRPr="007F4E32">
        <w:rPr>
          <w:color w:val="454545"/>
          <w:u w:val="single"/>
          <w:shd w:val="clear" w:color="auto" w:fill="FFFFFF"/>
        </w:rPr>
        <w:t>Anna Lang v. Houston County, Georg</w:t>
      </w:r>
      <w:r>
        <w:rPr>
          <w:color w:val="454545"/>
          <w:u w:val="single"/>
          <w:shd w:val="clear" w:color="auto" w:fill="FFFFFF"/>
        </w:rPr>
        <w:t>ia</w:t>
      </w:r>
      <w:r>
        <w:rPr>
          <w:color w:val="454545"/>
          <w:shd w:val="clear" w:color="auto" w:fill="FFFFFF"/>
        </w:rPr>
        <w:t xml:space="preserve">: </w:t>
      </w:r>
    </w:p>
    <w:p w14:paraId="53262C28" w14:textId="77777777" w:rsidR="009F02E2" w:rsidRPr="00C65EDF"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C61F2">
        <w:rPr>
          <w:rFonts w:ascii="Times New Roman" w:hAnsi="Times New Roman"/>
          <w:sz w:val="24"/>
          <w:szCs w:val="24"/>
          <w:shd w:val="clear" w:color="auto" w:fill="FFFFFF"/>
        </w:rPr>
        <w:t>Anna Lange is a transgender woman</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Lange was formally diagnosed with gender dysphoria by a</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healthcare provider in 2017. The next year, Lange informed the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Sheriff’s Office that she was transgender and would be living as a</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woman. Following her formal diagnosis, Lange’s healthcare providers started her on a treatment plan to align her physical characteristics with her gender identity. The plan comprised of hormone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therapy and gender-affirming surgery, both of which are shown to</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alleviate symptoms of gender dysphoria. In 2018, her healthcare</w:t>
      </w:r>
    </w:p>
    <w:p w14:paraId="7A78DC16" w14:textId="77777777" w:rsidR="009F02E2" w:rsidRPr="00C65EDF" w:rsidRDefault="009F02E2" w:rsidP="009F02E2">
      <w:pPr>
        <w:pStyle w:val="NoSpacing"/>
        <w:ind w:left="1440"/>
        <w:rPr>
          <w:rFonts w:ascii="Times New Roman" w:hAnsi="Times New Roman"/>
          <w:sz w:val="24"/>
          <w:szCs w:val="24"/>
          <w:shd w:val="clear" w:color="auto" w:fill="FFFFFF"/>
        </w:rPr>
      </w:pPr>
      <w:r w:rsidRPr="00C65EDF">
        <w:rPr>
          <w:rFonts w:ascii="Times New Roman" w:hAnsi="Times New Roman"/>
          <w:sz w:val="24"/>
          <w:szCs w:val="24"/>
          <w:shd w:val="clear" w:color="auto" w:fill="FFFFFF"/>
        </w:rPr>
        <w:t>providers determined that a vaginoplasty—a surgical procedure to</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feminize her genitals—was medically necessary.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 xml:space="preserve">Lange turned to her health insurance to cover her </w:t>
      </w:r>
      <w:proofErr w:type="gramStart"/>
      <w:r w:rsidRPr="00C65EDF">
        <w:rPr>
          <w:rFonts w:ascii="Times New Roman" w:hAnsi="Times New Roman"/>
          <w:sz w:val="24"/>
          <w:szCs w:val="24"/>
          <w:shd w:val="clear" w:color="auto" w:fill="FFFFFF"/>
        </w:rPr>
        <w:t>medically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necessary</w:t>
      </w:r>
      <w:proofErr w:type="gramEnd"/>
      <w:r w:rsidRPr="00C65EDF">
        <w:rPr>
          <w:rFonts w:ascii="Times New Roman" w:hAnsi="Times New Roman"/>
          <w:sz w:val="24"/>
          <w:szCs w:val="24"/>
          <w:shd w:val="clear" w:color="auto" w:fill="FFFFFF"/>
        </w:rPr>
        <w:t xml:space="preserve"> surgery. However, Lange’s request for coverage was </w:t>
      </w:r>
      <w:r>
        <w:rPr>
          <w:rFonts w:ascii="Times New Roman" w:hAnsi="Times New Roman"/>
          <w:sz w:val="24"/>
          <w:szCs w:val="24"/>
          <w:shd w:val="clear" w:color="auto" w:fill="FFFFFF"/>
        </w:rPr>
        <w:t>denied</w:t>
      </w:r>
      <w:r w:rsidRPr="00C65EDF">
        <w:rPr>
          <w:rFonts w:ascii="Times New Roman" w:hAnsi="Times New Roman"/>
          <w:sz w:val="24"/>
          <w:szCs w:val="24"/>
          <w:shd w:val="clear" w:color="auto" w:fill="FFFFFF"/>
        </w:rPr>
        <w:t xml:space="preserve"> based on the Health Plan’s exclusion of </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[d]rugs for sex change</w:t>
      </w:r>
    </w:p>
    <w:p w14:paraId="09A024DE" w14:textId="77777777" w:rsidR="009F02E2" w:rsidRPr="007A5B05" w:rsidRDefault="009F02E2" w:rsidP="009F02E2">
      <w:pPr>
        <w:pStyle w:val="NoSpacing"/>
        <w:ind w:left="1440"/>
        <w:rPr>
          <w:rFonts w:ascii="Times New Roman" w:hAnsi="Times New Roman"/>
          <w:sz w:val="24"/>
          <w:szCs w:val="24"/>
          <w:shd w:val="clear" w:color="auto" w:fill="FFFFFF"/>
        </w:rPr>
      </w:pPr>
      <w:r w:rsidRPr="00C65EDF">
        <w:rPr>
          <w:rFonts w:ascii="Times New Roman" w:hAnsi="Times New Roman"/>
          <w:sz w:val="24"/>
          <w:szCs w:val="24"/>
          <w:shd w:val="clear" w:color="auto" w:fill="FFFFFF"/>
        </w:rPr>
        <w:t>surgery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 xml:space="preserve">and </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[s]</w:t>
      </w:r>
      <w:proofErr w:type="spellStart"/>
      <w:r w:rsidRPr="00C65EDF">
        <w:rPr>
          <w:rFonts w:ascii="Times New Roman" w:hAnsi="Times New Roman"/>
          <w:sz w:val="24"/>
          <w:szCs w:val="24"/>
          <w:shd w:val="clear" w:color="auto" w:fill="FFFFFF"/>
        </w:rPr>
        <w:t>ervices</w:t>
      </w:r>
      <w:proofErr w:type="spellEnd"/>
      <w:r w:rsidRPr="00C65EDF">
        <w:rPr>
          <w:rFonts w:ascii="Times New Roman" w:hAnsi="Times New Roman"/>
          <w:sz w:val="24"/>
          <w:szCs w:val="24"/>
          <w:shd w:val="clear" w:color="auto" w:fill="FFFFFF"/>
        </w:rPr>
        <w:t xml:space="preserve"> and supplies for a sex change and/or the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reversal of a sex change</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 xml:space="preserve"> (together, the Exclusion)</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In granting summary judgment to Lange on the Title VII</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claim, the district court found the Exclusion facially discriminatory</w:t>
      </w:r>
    </w:p>
    <w:p w14:paraId="5FB30946" w14:textId="77777777" w:rsidR="009F02E2" w:rsidRDefault="009F02E2" w:rsidP="009F02E2">
      <w:pPr>
        <w:pStyle w:val="NoSpacing"/>
        <w:ind w:left="1440"/>
        <w:rPr>
          <w:rFonts w:ascii="Times New Roman" w:hAnsi="Times New Roman"/>
          <w:sz w:val="24"/>
          <w:szCs w:val="24"/>
          <w:shd w:val="clear" w:color="auto" w:fill="FFFFFF"/>
        </w:rPr>
      </w:pPr>
      <w:r w:rsidRPr="007A5B05">
        <w:rPr>
          <w:rFonts w:ascii="Times New Roman" w:hAnsi="Times New Roman"/>
          <w:sz w:val="24"/>
          <w:szCs w:val="24"/>
          <w:shd w:val="clear" w:color="auto" w:fill="FFFFFF"/>
        </w:rPr>
        <w:t>as a matter of law. The Title VII claim then proceeded to trial, and</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a jury awarded Lange $60,000 in damages. After trial, the district</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court entered an order declaring that the Exclusion violated Title</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VII and permanently enjoined the Sheriff and Houston County</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 xml:space="preserve">from any further enforcement or application of the </w:t>
      </w:r>
      <w:proofErr w:type="gramStart"/>
      <w:r w:rsidRPr="007A5B05">
        <w:rPr>
          <w:rFonts w:ascii="Times New Roman" w:hAnsi="Times New Roman"/>
          <w:sz w:val="24"/>
          <w:szCs w:val="24"/>
          <w:shd w:val="clear" w:color="auto" w:fill="FFFFFF"/>
        </w:rPr>
        <w:t>Exclusion.</w:t>
      </w:r>
      <w:r>
        <w:rPr>
          <w:rFonts w:ascii="Times New Roman" w:hAnsi="Times New Roman"/>
          <w:sz w:val="24"/>
          <w:szCs w:val="24"/>
          <w:shd w:val="clear" w:color="auto" w:fill="FFFFFF"/>
        </w:rPr>
        <w:t>”</w:t>
      </w:r>
      <w:proofErr w:type="gramEnd"/>
    </w:p>
    <w:p w14:paraId="7277BE35" w14:textId="77777777" w:rsidR="009F02E2" w:rsidRDefault="009F02E2" w:rsidP="009F02E2">
      <w:pPr>
        <w:pStyle w:val="NoSpacing"/>
        <w:ind w:left="1440"/>
        <w:rPr>
          <w:rFonts w:ascii="Times New Roman" w:hAnsi="Times New Roman"/>
          <w:sz w:val="24"/>
          <w:szCs w:val="24"/>
          <w:shd w:val="clear" w:color="auto" w:fill="FFFFFF"/>
        </w:rPr>
      </w:pPr>
    </w:p>
    <w:p w14:paraId="76C8FA27" w14:textId="77777777" w:rsidR="009F02E2"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The 11</w:t>
      </w:r>
      <w:r w:rsidRPr="007A5B05">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agreed:</w:t>
      </w:r>
    </w:p>
    <w:p w14:paraId="17319099" w14:textId="77777777" w:rsidR="009F02E2" w:rsidRDefault="009F02E2" w:rsidP="009F02E2">
      <w:pPr>
        <w:pStyle w:val="NoSpacing"/>
        <w:ind w:left="1440"/>
        <w:rPr>
          <w:rFonts w:ascii="Times New Roman" w:hAnsi="Times New Roman"/>
          <w:sz w:val="24"/>
          <w:szCs w:val="24"/>
          <w:shd w:val="clear" w:color="auto" w:fill="FFFFFF"/>
        </w:rPr>
      </w:pPr>
    </w:p>
    <w:p w14:paraId="6384FCBF" w14:textId="77777777" w:rsidR="009F02E2" w:rsidRPr="00017ECB"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w:t>
      </w:r>
      <w:r w:rsidRPr="00017ECB">
        <w:rPr>
          <w:rFonts w:ascii="Times New Roman" w:hAnsi="Times New Roman"/>
          <w:sz w:val="24"/>
          <w:szCs w:val="24"/>
          <w:shd w:val="clear" w:color="auto" w:fill="FFFFFF"/>
        </w:rPr>
        <w:t>e conclude that the district court was correct in finding that the Exclusion violated Title VII. There is no genuine dispute of fact or law</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as to whether the Exclusion unlawfully discriminates against Lange</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and other transgender persons. The Exclusion is a blanket denial</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of coverage for gender-affirming surgery. Health Plan participants</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who are transgender are the only participants who would seek gender-affirming surgery. Because transgender persons are the only</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plan participants who qualify for gender-affirming surgery, the plan</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denies health care coverage based on transgender status.</w:t>
      </w:r>
      <w:r>
        <w:rPr>
          <w:rFonts w:ascii="Times New Roman" w:hAnsi="Times New Roman"/>
          <w:sz w:val="24"/>
          <w:szCs w:val="24"/>
          <w:shd w:val="clear" w:color="auto" w:fill="FFFFFF"/>
        </w:rPr>
        <w:t xml:space="preserve">” </w:t>
      </w:r>
      <w:hyperlink r:id="rId1135" w:history="1">
        <w:r w:rsidRPr="003E1588">
          <w:rPr>
            <w:rStyle w:val="Hyperlink"/>
            <w:rFonts w:ascii="Times New Roman" w:hAnsi="Times New Roman"/>
            <w:sz w:val="24"/>
            <w:szCs w:val="24"/>
            <w:shd w:val="clear" w:color="auto" w:fill="FFFFFF"/>
          </w:rPr>
          <w:t>https://media.ca11.uscourts.gov/opinions/pub/files/202213626.pdf</w:t>
        </w:r>
      </w:hyperlink>
      <w:r>
        <w:rPr>
          <w:rFonts w:ascii="Times New Roman" w:hAnsi="Times New Roman"/>
          <w:sz w:val="24"/>
          <w:szCs w:val="24"/>
          <w:shd w:val="clear" w:color="auto" w:fill="FFFFFF"/>
        </w:rPr>
        <w:t xml:space="preserve"> </w:t>
      </w:r>
    </w:p>
    <w:p w14:paraId="3669E115" w14:textId="77777777" w:rsidR="00DC3D8E" w:rsidRDefault="00DC3D8E" w:rsidP="006C4AD8">
      <w:pPr>
        <w:pStyle w:val="NormalWeb"/>
        <w:spacing w:before="0" w:beforeAutospacing="0"/>
        <w:rPr>
          <w:rFonts w:ascii="Arial Black" w:hAnsi="Arial Black"/>
          <w:b/>
          <w:bCs/>
          <w:color w:val="454545"/>
          <w:sz w:val="28"/>
          <w:szCs w:val="28"/>
          <w:shd w:val="clear" w:color="auto" w:fill="FFFFFF"/>
        </w:rPr>
      </w:pPr>
    </w:p>
    <w:p w14:paraId="355E5168" w14:textId="77777777" w:rsidR="00C63CEB" w:rsidRDefault="00C63CEB" w:rsidP="006C4AD8">
      <w:pPr>
        <w:pStyle w:val="NormalWeb"/>
        <w:spacing w:before="0" w:beforeAutospacing="0"/>
        <w:rPr>
          <w:rFonts w:ascii="Arial Black" w:hAnsi="Arial Black"/>
          <w:b/>
          <w:bCs/>
          <w:color w:val="454545"/>
          <w:sz w:val="28"/>
          <w:szCs w:val="28"/>
          <w:shd w:val="clear" w:color="auto" w:fill="FFFFFF"/>
        </w:rPr>
      </w:pPr>
    </w:p>
    <w:p w14:paraId="155CB732" w14:textId="754EF3A1" w:rsidR="003F14B8" w:rsidRDefault="003F14B8"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1</w:t>
      </w:r>
    </w:p>
    <w:p w14:paraId="6299ACD8" w14:textId="77777777" w:rsidR="00E018F9" w:rsidRPr="00DC6B8D" w:rsidRDefault="00E018F9" w:rsidP="00E018F9">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NJ: EMT SLIPPED ON ICE – RETIRED – ACCIDENTAL DISABILITY PENSION DENIED – NOT “UNEXPECTED” </w:t>
      </w:r>
    </w:p>
    <w:p w14:paraId="3C88B6B5" w14:textId="77777777" w:rsidR="00E018F9" w:rsidRDefault="00E018F9" w:rsidP="00E018F9">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14, 2024, in </w:t>
      </w:r>
      <w:r w:rsidRPr="00530983">
        <w:rPr>
          <w:rFonts w:ascii="Times New Roman" w:eastAsia="Times New Roman" w:hAnsi="Times New Roman"/>
          <w:sz w:val="24"/>
          <w:szCs w:val="24"/>
          <w:u w:val="single"/>
        </w:rPr>
        <w:t>Dennis McCool v. Board of Trustees, Public Employees’ Retirement System</w:t>
      </w:r>
      <w:r>
        <w:rPr>
          <w:rFonts w:ascii="Times New Roman" w:eastAsia="Times New Roman" w:hAnsi="Times New Roman"/>
          <w:sz w:val="24"/>
          <w:szCs w:val="24"/>
        </w:rPr>
        <w:t>, the Superior Court of New Jersey, Appellate Division, upheld the Board and the Administrative Law Judge decision denying ADR [accidental disability pension] benefits. ADR is 72.7% of base salary at time of traumatic event, ordinary is 43.6% of final average salary.</w:t>
      </w:r>
      <w:r w:rsidRPr="0084019C">
        <w:t xml:space="preserve"> </w:t>
      </w:r>
      <w:hyperlink r:id="rId1136" w:history="1">
        <w:r w:rsidRPr="008C767B">
          <w:rPr>
            <w:rStyle w:val="Hyperlink"/>
            <w:rFonts w:ascii="Times New Roman" w:eastAsia="Times New Roman" w:hAnsi="Times New Roman"/>
            <w:sz w:val="24"/>
            <w:szCs w:val="24"/>
          </w:rPr>
          <w:t>https://www.nj.gov/treasury/pensions/documents/factsheets/fact15.pdf</w:t>
        </w:r>
      </w:hyperlink>
      <w:r>
        <w:rPr>
          <w:rFonts w:ascii="Times New Roman" w:eastAsia="Times New Roman" w:hAnsi="Times New Roman"/>
          <w:sz w:val="24"/>
          <w:szCs w:val="24"/>
        </w:rPr>
        <w:t xml:space="preserve">.  The Court held (3 to 0): </w:t>
      </w:r>
    </w:p>
    <w:p w14:paraId="63D6083B" w14:textId="77777777" w:rsidR="00E018F9" w:rsidRPr="00560FAA" w:rsidRDefault="00E018F9" w:rsidP="00E018F9">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r w:rsidRPr="00560FAA">
        <w:rPr>
          <w:rFonts w:ascii="Times New Roman" w:eastAsia="Times New Roman" w:hAnsi="Times New Roman"/>
          <w:sz w:val="24"/>
          <w:szCs w:val="24"/>
        </w:rPr>
        <w:t xml:space="preserve">On January 4, 2019, petitioner applied for ADR benefits. In his application he wrote: </w:t>
      </w:r>
    </w:p>
    <w:p w14:paraId="2506AE68" w14:textId="77777777" w:rsidR="00E018F9" w:rsidRPr="00560FAA" w:rsidRDefault="00E018F9" w:rsidP="00E018F9">
      <w:pPr>
        <w:spacing w:after="100" w:line="240" w:lineRule="auto"/>
        <w:ind w:left="1440"/>
        <w:rPr>
          <w:rFonts w:ascii="Times New Roman" w:eastAsia="Times New Roman" w:hAnsi="Times New Roman"/>
          <w:sz w:val="24"/>
          <w:szCs w:val="24"/>
        </w:rPr>
      </w:pPr>
      <w:r w:rsidRPr="00560FAA">
        <w:rPr>
          <w:rFonts w:ascii="Times New Roman" w:eastAsia="Times New Roman" w:hAnsi="Times New Roman"/>
          <w:sz w:val="24"/>
          <w:szCs w:val="24"/>
        </w:rPr>
        <w:t>On January 9</w:t>
      </w:r>
      <w:proofErr w:type="gramStart"/>
      <w:r w:rsidRPr="00560FAA">
        <w:rPr>
          <w:rFonts w:ascii="Times New Roman" w:eastAsia="Times New Roman" w:hAnsi="Times New Roman"/>
          <w:sz w:val="24"/>
          <w:szCs w:val="24"/>
        </w:rPr>
        <w:t xml:space="preserve"> 2018</w:t>
      </w:r>
      <w:proofErr w:type="gramEnd"/>
      <w:r w:rsidRPr="00560FAA">
        <w:rPr>
          <w:rFonts w:ascii="Times New Roman" w:eastAsia="Times New Roman" w:hAnsi="Times New Roman"/>
          <w:sz w:val="24"/>
          <w:szCs w:val="24"/>
        </w:rPr>
        <w:t xml:space="preserve">[,] I slipped on icy snowy steps returning to vehicle from assisting a patient into residence[,] which resulted in a large piece of disc shearing off and compressing [my] sciatic nerve. I then underwent multiple surgeries and now have permanent nerve damage[,] a spinal nerve stimulator[,] and limited mobility. </w:t>
      </w:r>
    </w:p>
    <w:p w14:paraId="0C5D7FA3" w14:textId="77777777" w:rsidR="00E018F9" w:rsidRDefault="00E018F9" w:rsidP="00E018F9">
      <w:pPr>
        <w:spacing w:before="100" w:beforeAutospacing="1" w:after="100" w:afterAutospacing="1" w:line="240" w:lineRule="auto"/>
        <w:ind w:left="540"/>
        <w:rPr>
          <w:rFonts w:ascii="Times New Roman" w:eastAsia="Times New Roman" w:hAnsi="Times New Roman"/>
          <w:sz w:val="24"/>
          <w:szCs w:val="24"/>
        </w:rPr>
      </w:pPr>
      <w:r w:rsidRPr="00560FAA">
        <w:rPr>
          <w:rFonts w:ascii="Times New Roman" w:eastAsia="Times New Roman" w:hAnsi="Times New Roman"/>
          <w:sz w:val="24"/>
          <w:szCs w:val="24"/>
        </w:rPr>
        <w:t xml:space="preserve">On October 17, 2019, the Board denied McCool's application for ADR benefits because his disability was not the result of a traumatic event that was </w:t>
      </w:r>
      <w:r>
        <w:rPr>
          <w:rFonts w:ascii="Times New Roman" w:eastAsia="Times New Roman" w:hAnsi="Times New Roman"/>
          <w:sz w:val="24"/>
          <w:szCs w:val="24"/>
        </w:rPr>
        <w:t>‘</w:t>
      </w:r>
      <w:r w:rsidRPr="00560FAA">
        <w:rPr>
          <w:rFonts w:ascii="Times New Roman" w:eastAsia="Times New Roman" w:hAnsi="Times New Roman"/>
          <w:sz w:val="24"/>
          <w:szCs w:val="24"/>
        </w:rPr>
        <w:t>undesigned and unexpected.</w:t>
      </w:r>
      <w:r>
        <w:rPr>
          <w:rFonts w:ascii="Times New Roman" w:eastAsia="Times New Roman" w:hAnsi="Times New Roman"/>
          <w:sz w:val="24"/>
          <w:szCs w:val="24"/>
        </w:rPr>
        <w:t>’</w:t>
      </w:r>
    </w:p>
    <w:p w14:paraId="79F63800" w14:textId="77777777" w:rsidR="00E018F9" w:rsidRDefault="00E018F9" w:rsidP="00E018F9">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w:t>
      </w:r>
    </w:p>
    <w:p w14:paraId="75CF4325" w14:textId="77777777" w:rsidR="00E018F9" w:rsidRDefault="00E018F9" w:rsidP="00E018F9">
      <w:pPr>
        <w:pStyle w:val="NormalWeb"/>
        <w:ind w:left="540"/>
      </w:pPr>
      <w:r>
        <w:t xml:space="preserve">McCool's contention that his case is </w:t>
      </w:r>
      <w:proofErr w:type="gramStart"/>
      <w:r>
        <w:t>similar to</w:t>
      </w:r>
      <w:proofErr w:type="gramEnd"/>
      <w:r>
        <w:t xml:space="preserve"> </w:t>
      </w:r>
      <w:r>
        <w:rPr>
          <w:rStyle w:val="Emphasis"/>
          <w:rFonts w:eastAsiaTheme="majorEastAsia"/>
        </w:rPr>
        <w:t>Richardson</w:t>
      </w:r>
      <w:r>
        <w:t xml:space="preserve"> and </w:t>
      </w:r>
      <w:r>
        <w:rPr>
          <w:rStyle w:val="Emphasis"/>
          <w:rFonts w:eastAsiaTheme="majorEastAsia"/>
        </w:rPr>
        <w:t>Moran v. Board of Trustees, Police &amp;Firemen's Retirement System</w:t>
      </w:r>
      <w:r>
        <w:t xml:space="preserve">, 438 </w:t>
      </w:r>
      <w:proofErr w:type="spellStart"/>
      <w:r>
        <w:t>N.J.Super</w:t>
      </w:r>
      <w:proofErr w:type="spellEnd"/>
      <w:r>
        <w:t xml:space="preserve">. 346 (App. Div. 2014), is not convincing. In </w:t>
      </w:r>
      <w:r>
        <w:rPr>
          <w:rStyle w:val="Emphasis"/>
          <w:rFonts w:eastAsiaTheme="majorEastAsia"/>
        </w:rPr>
        <w:t>Richardson</w:t>
      </w:r>
      <w:r>
        <w:t xml:space="preserve">, a corrections officer was injured while attempting to subdue an inmate. 192 N.J. at 193. There, the officer straddled the inmate to hold him down. </w:t>
      </w:r>
      <w:r>
        <w:rPr>
          <w:rStyle w:val="Emphasis"/>
          <w:rFonts w:eastAsiaTheme="majorEastAsia"/>
        </w:rPr>
        <w:t>Ibid.</w:t>
      </w:r>
      <w:r>
        <w:t xml:space="preserve"> The inmate continued to kick, punch, and throw his body around, and eventually pulled himself loose. </w:t>
      </w:r>
      <w:r>
        <w:rPr>
          <w:rStyle w:val="Emphasis"/>
          <w:rFonts w:eastAsiaTheme="majorEastAsia"/>
        </w:rPr>
        <w:t>Ibid.</w:t>
      </w:r>
      <w:r>
        <w:t xml:space="preserve"> The inmate then forcefully jerked up from the ground and knocked the officer backward, injuring him. </w:t>
      </w:r>
      <w:r>
        <w:rPr>
          <w:rStyle w:val="Emphasis"/>
          <w:rFonts w:eastAsiaTheme="majorEastAsia"/>
        </w:rPr>
        <w:t>Ibid.</w:t>
      </w:r>
      <w:r>
        <w:t xml:space="preserve"> </w:t>
      </w:r>
    </w:p>
    <w:p w14:paraId="2B4FD90E" w14:textId="77777777" w:rsidR="00E018F9" w:rsidRDefault="00E018F9" w:rsidP="00E018F9">
      <w:pPr>
        <w:pStyle w:val="NormalWeb"/>
        <w:ind w:left="540"/>
      </w:pPr>
      <w:r>
        <w:t xml:space="preserve">In </w:t>
      </w:r>
      <w:r>
        <w:rPr>
          <w:rStyle w:val="Emphasis"/>
          <w:rFonts w:eastAsiaTheme="majorEastAsia"/>
        </w:rPr>
        <w:t>Moran,</w:t>
      </w:r>
      <w:r>
        <w:t xml:space="preserve"> the court found an undesigned and unexpected event occurred when a ‘combination of unusual circumstances . . . led to [the member's] injury.’ 438 </w:t>
      </w:r>
      <w:proofErr w:type="spellStart"/>
      <w:r>
        <w:t>N.J.Super</w:t>
      </w:r>
      <w:proofErr w:type="spellEnd"/>
      <w:r>
        <w:t xml:space="preserve">. at 354. In that case, a firefighter was injured after kicking down a door to a burning building because he heard voices yelling from inside. </w:t>
      </w:r>
      <w:r>
        <w:rPr>
          <w:rStyle w:val="Emphasis"/>
          <w:rFonts w:eastAsiaTheme="majorEastAsia"/>
        </w:rPr>
        <w:t>Id.</w:t>
      </w:r>
      <w:r>
        <w:t xml:space="preserve"> at 349-50. The firefighter was part of the ‘engine company’ that brought </w:t>
      </w:r>
      <w:proofErr w:type="gramStart"/>
      <w:r>
        <w:t>hoses</w:t>
      </w:r>
      <w:proofErr w:type="gramEnd"/>
      <w:r>
        <w:t xml:space="preserve"> to burning buildings and not part of the ‘truck company’ that brought equipment used to forcibly enter buildings. </w:t>
      </w:r>
      <w:r>
        <w:rPr>
          <w:rStyle w:val="Emphasis"/>
          <w:rFonts w:eastAsiaTheme="majorEastAsia"/>
        </w:rPr>
        <w:t>Id.</w:t>
      </w:r>
      <w:r>
        <w:t xml:space="preserve"> at 349. The ‘truck company’ was running late so the firefighter attempted to rescue victims trapped inside the building despite not having the proper equipment. </w:t>
      </w:r>
      <w:r>
        <w:rPr>
          <w:rStyle w:val="Emphasis"/>
          <w:rFonts w:eastAsiaTheme="majorEastAsia"/>
        </w:rPr>
        <w:t>Id.</w:t>
      </w:r>
      <w:r>
        <w:t xml:space="preserve"> at 354. We concluded the firefighter's injury was caused by an undesigned and unexpected event because the firefighter faced unusual circumstances, including the presence of victims inside the burning building, the "truck company's" delay, and the lack of equipment to break down the door. </w:t>
      </w:r>
      <w:r>
        <w:rPr>
          <w:rStyle w:val="Emphasis"/>
          <w:rFonts w:eastAsiaTheme="majorEastAsia"/>
        </w:rPr>
        <w:t>Ibid.</w:t>
      </w:r>
      <w:r>
        <w:t xml:space="preserve"> </w:t>
      </w:r>
    </w:p>
    <w:p w14:paraId="3146B63E" w14:textId="77777777" w:rsidR="00E018F9" w:rsidRDefault="00E018F9" w:rsidP="00E018F9">
      <w:pPr>
        <w:pStyle w:val="NormalWeb"/>
        <w:ind w:left="540"/>
      </w:pPr>
      <w:r>
        <w:t xml:space="preserve">Unlike in </w:t>
      </w:r>
      <w:r>
        <w:rPr>
          <w:rStyle w:val="Emphasis"/>
          <w:rFonts w:eastAsiaTheme="majorEastAsia"/>
        </w:rPr>
        <w:t>Richardson</w:t>
      </w:r>
      <w:r>
        <w:t xml:space="preserve"> and </w:t>
      </w:r>
      <w:r>
        <w:rPr>
          <w:rStyle w:val="Emphasis"/>
          <w:rFonts w:eastAsiaTheme="majorEastAsia"/>
        </w:rPr>
        <w:t>Moran</w:t>
      </w:r>
      <w:r>
        <w:t xml:space="preserve">, petitioner's injury did not result from an ‘unexpected happening.’ He did not face unusual circumstances like in </w:t>
      </w:r>
      <w:r>
        <w:rPr>
          <w:rStyle w:val="Emphasis"/>
          <w:rFonts w:eastAsiaTheme="majorEastAsia"/>
        </w:rPr>
        <w:t>Moran</w:t>
      </w:r>
      <w:r>
        <w:t xml:space="preserve">; nor was he injured as </w:t>
      </w:r>
      <w:proofErr w:type="spellStart"/>
      <w:proofErr w:type="gramStart"/>
      <w:r>
        <w:t>a</w:t>
      </w:r>
      <w:proofErr w:type="spellEnd"/>
      <w:proofErr w:type="gramEnd"/>
      <w:r>
        <w:t xml:space="preserve"> individual like in </w:t>
      </w:r>
      <w:r>
        <w:rPr>
          <w:rStyle w:val="Emphasis"/>
          <w:rFonts w:eastAsiaTheme="majorEastAsia"/>
        </w:rPr>
        <w:t>Richardson</w:t>
      </w:r>
      <w:r>
        <w:t xml:space="preserve">. After considering </w:t>
      </w:r>
      <w:proofErr w:type="gramStart"/>
      <w:r>
        <w:t>all of</w:t>
      </w:r>
      <w:proofErr w:type="gramEnd"/>
      <w:r>
        <w:t xml:space="preserve"> the evidence presented and the applicable legal standards, the ALJ determined McCool failed to prove by a preponderance of the evidence his disability was caused by an undesigned and unexpected event. The ALJ's decision was based on ample findings supported by substantial credible evidence in the record and was not arbitrary, capricious, or unreasonable. We discern no basis to disturb the Board's decision </w:t>
      </w:r>
      <w:proofErr w:type="gramStart"/>
      <w:r>
        <w:t>adopting</w:t>
      </w:r>
      <w:proofErr w:type="gramEnd"/>
      <w:r>
        <w:t xml:space="preserve"> the ALJ's findings and </w:t>
      </w:r>
      <w:proofErr w:type="gramStart"/>
      <w:r>
        <w:t>denying</w:t>
      </w:r>
      <w:proofErr w:type="gramEnd"/>
      <w:r>
        <w:t xml:space="preserve"> McCool's application for ADR benefits. </w:t>
      </w:r>
    </w:p>
    <w:p w14:paraId="00CA3F4B" w14:textId="77777777" w:rsidR="00E018F9" w:rsidRPr="00560FAA" w:rsidRDefault="00E018F9" w:rsidP="00E018F9">
      <w:pPr>
        <w:pStyle w:val="NormalWeb"/>
        <w:ind w:left="540"/>
      </w:pPr>
      <w:r>
        <w:t xml:space="preserve">The Board's decision is supported by sufficient credible evidence on the </w:t>
      </w:r>
      <w:proofErr w:type="gramStart"/>
      <w:r>
        <w:t>record as a whole</w:t>
      </w:r>
      <w:proofErr w:type="gramEnd"/>
      <w:r>
        <w:t xml:space="preserve">. </w:t>
      </w:r>
      <w:r>
        <w:rPr>
          <w:rStyle w:val="Emphasis"/>
          <w:rFonts w:eastAsiaTheme="majorEastAsia"/>
        </w:rPr>
        <w:t>R.</w:t>
      </w:r>
      <w:r>
        <w:t xml:space="preserve"> 2:11-3(e)(1)(D). To the extent we have not otherwise addressed McCool's arguments, they are without sufficient merit to warrant discussion in a written opinion. </w:t>
      </w:r>
      <w:r>
        <w:rPr>
          <w:rStyle w:val="Emphasis"/>
          <w:rFonts w:eastAsiaTheme="majorEastAsia"/>
        </w:rPr>
        <w:t>R.</w:t>
      </w:r>
      <w:r>
        <w:t xml:space="preserve"> 2:11-3(e)(1)(E).”</w:t>
      </w:r>
      <w:r w:rsidRPr="00C602E7">
        <w:t xml:space="preserve"> </w:t>
      </w:r>
      <w:hyperlink r:id="rId1137" w:history="1">
        <w:r w:rsidRPr="008C767B">
          <w:rPr>
            <w:rStyle w:val="Hyperlink"/>
          </w:rPr>
          <w:t>https://www.njcourts.gov/system/files/court-opinions/2024/a3332-21.pdf</w:t>
        </w:r>
      </w:hyperlink>
      <w:r>
        <w:t xml:space="preserve"> </w:t>
      </w:r>
      <w:r w:rsidRPr="00560FAA">
        <w:t xml:space="preserve"> </w:t>
      </w:r>
    </w:p>
    <w:p w14:paraId="45BCA169" w14:textId="77777777" w:rsidR="00C63CEB" w:rsidRPr="001D4B2A" w:rsidRDefault="00C63CEB" w:rsidP="00C63CEB">
      <w:pPr>
        <w:pStyle w:val="NormalWeb"/>
        <w:rPr>
          <w:b/>
          <w:bCs/>
        </w:rPr>
      </w:pPr>
      <w:r w:rsidRPr="001D4B2A">
        <w:rPr>
          <w:b/>
          <w:bCs/>
        </w:rPr>
        <w:t>Legal Lesson Learned:</w:t>
      </w:r>
      <w:r>
        <w:rPr>
          <w:b/>
          <w:bCs/>
        </w:rPr>
        <w:t xml:space="preserve"> Enhanced accidental disability pension for traumatic injury is limited to those injuries that are an “unexpected.”</w:t>
      </w:r>
    </w:p>
    <w:p w14:paraId="30E88095" w14:textId="77777777" w:rsidR="00E018F9" w:rsidRDefault="00E018F9" w:rsidP="006C4AD8">
      <w:pPr>
        <w:pStyle w:val="NormalWeb"/>
        <w:spacing w:before="0" w:beforeAutospacing="0"/>
        <w:rPr>
          <w:rFonts w:ascii="Arial Black" w:hAnsi="Arial Black"/>
          <w:b/>
          <w:bCs/>
          <w:color w:val="454545"/>
          <w:sz w:val="28"/>
          <w:szCs w:val="28"/>
          <w:shd w:val="clear" w:color="auto" w:fill="FFFFFF"/>
        </w:rPr>
      </w:pPr>
    </w:p>
    <w:p w14:paraId="3611B9F0" w14:textId="77777777" w:rsidR="003F14B8" w:rsidRDefault="003F14B8" w:rsidP="006C4AD8">
      <w:pPr>
        <w:pStyle w:val="NormalWeb"/>
        <w:spacing w:before="0" w:beforeAutospacing="0"/>
        <w:rPr>
          <w:rFonts w:ascii="Arial Black" w:hAnsi="Arial Black"/>
          <w:b/>
          <w:bCs/>
          <w:color w:val="454545"/>
          <w:sz w:val="28"/>
          <w:szCs w:val="28"/>
          <w:shd w:val="clear" w:color="auto" w:fill="FFFFFF"/>
        </w:rPr>
      </w:pPr>
    </w:p>
    <w:p w14:paraId="2459F776" w14:textId="03652378" w:rsidR="0060031B" w:rsidRDefault="0060031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0</w:t>
      </w:r>
    </w:p>
    <w:p w14:paraId="56260724" w14:textId="7A6C35D4" w:rsidR="006C4AD8" w:rsidRDefault="006C4AD8" w:rsidP="006C4AD8">
      <w:pPr>
        <w:pStyle w:val="NormalWeb"/>
        <w:spacing w:before="0" w:beforeAutospacing="0"/>
        <w:rPr>
          <w:b/>
          <w:bCs/>
          <w:color w:val="454545"/>
          <w:shd w:val="clear" w:color="auto" w:fill="FFFFFF"/>
        </w:rPr>
      </w:pPr>
      <w:r>
        <w:rPr>
          <w:rFonts w:ascii="Arial Black" w:hAnsi="Arial Black"/>
          <w:b/>
          <w:bCs/>
          <w:color w:val="454545"/>
          <w:sz w:val="28"/>
          <w:szCs w:val="28"/>
          <w:shd w:val="clear" w:color="auto" w:fill="FFFFFF"/>
        </w:rPr>
        <w:t xml:space="preserve">WV: VOL. FIRE CHIEF HEARING LOSS AS COAL MINOR (17.5%) – CLAIM ADDITIONAL LOSS FD DENIED / DIABETES  </w:t>
      </w:r>
    </w:p>
    <w:p w14:paraId="0BECCF51" w14:textId="77777777" w:rsidR="006C4AD8" w:rsidRDefault="006C4AD8" w:rsidP="006C4AD8">
      <w:pPr>
        <w:pStyle w:val="NoSpacing"/>
        <w:rPr>
          <w:rFonts w:ascii="Times New Roman" w:hAnsi="Times New Roman"/>
          <w:sz w:val="24"/>
          <w:szCs w:val="24"/>
        </w:rPr>
      </w:pPr>
      <w:r>
        <w:rPr>
          <w:rFonts w:ascii="Times New Roman" w:hAnsi="Times New Roman"/>
          <w:sz w:val="24"/>
          <w:szCs w:val="24"/>
        </w:rPr>
        <w:t xml:space="preserve">On March 25, 2024, in </w:t>
      </w:r>
      <w:r w:rsidRPr="00D22B5A">
        <w:rPr>
          <w:rFonts w:ascii="Times New Roman" w:hAnsi="Times New Roman"/>
          <w:sz w:val="24"/>
          <w:szCs w:val="24"/>
          <w:u w:val="single"/>
        </w:rPr>
        <w:t>Wilburn T. Preece, Jr. v. Kermit Volunteer Fire Department</w:t>
      </w:r>
      <w:r>
        <w:rPr>
          <w:rFonts w:ascii="Times New Roman" w:hAnsi="Times New Roman"/>
          <w:sz w:val="24"/>
          <w:szCs w:val="24"/>
        </w:rPr>
        <w:t xml:space="preserve">, the West Virginia Intermediate Court of Appeals upheld (3 to 0) the Administrative Law Judge, and the </w:t>
      </w:r>
      <w:r w:rsidRPr="00AD6935">
        <w:rPr>
          <w:rFonts w:ascii="Times New Roman" w:hAnsi="Times New Roman"/>
          <w:sz w:val="24"/>
          <w:szCs w:val="24"/>
        </w:rPr>
        <w:t xml:space="preserve">Workers' Compensation Board of Review </w:t>
      </w:r>
      <w:r>
        <w:rPr>
          <w:rFonts w:ascii="Times New Roman" w:hAnsi="Times New Roman"/>
          <w:sz w:val="24"/>
          <w:szCs w:val="24"/>
        </w:rPr>
        <w:t xml:space="preserve">decision denying him additional worker’s comp.  He had previously been granted 17.5% </w:t>
      </w:r>
      <w:r w:rsidRPr="00781DB6">
        <w:rPr>
          <w:rFonts w:ascii="Times New Roman" w:hAnsi="Times New Roman"/>
          <w:sz w:val="24"/>
          <w:szCs w:val="24"/>
        </w:rPr>
        <w:t>permanent partial disability</w:t>
      </w:r>
      <w:r>
        <w:rPr>
          <w:rFonts w:ascii="Times New Roman" w:hAnsi="Times New Roman"/>
          <w:sz w:val="24"/>
          <w:szCs w:val="24"/>
        </w:rPr>
        <w:t xml:space="preserve"> (PPD)</w:t>
      </w:r>
      <w:r w:rsidRPr="00781DB6">
        <w:rPr>
          <w:rFonts w:ascii="Times New Roman" w:hAnsi="Times New Roman"/>
          <w:sz w:val="24"/>
          <w:szCs w:val="24"/>
        </w:rPr>
        <w:t xml:space="preserve"> award</w:t>
      </w:r>
      <w:r>
        <w:rPr>
          <w:rFonts w:ascii="Times New Roman" w:hAnsi="Times New Roman"/>
          <w:sz w:val="24"/>
          <w:szCs w:val="24"/>
        </w:rPr>
        <w:t xml:space="preserve"> in 2015 related to work as a minor and failed to prove additional hearing loss (22%) was due to service starting in 2014 as the Fire Chief at the volunteer fire department.  </w:t>
      </w:r>
    </w:p>
    <w:p w14:paraId="4D4D7809" w14:textId="77777777" w:rsidR="003956F7" w:rsidRDefault="003956F7" w:rsidP="003956F7">
      <w:pPr>
        <w:pStyle w:val="NoSpacing"/>
        <w:rPr>
          <w:rFonts w:ascii="Times New Roman" w:hAnsi="Times New Roman"/>
          <w:sz w:val="24"/>
          <w:szCs w:val="24"/>
          <w:shd w:val="clear" w:color="auto" w:fill="FFFFFF"/>
        </w:rPr>
      </w:pPr>
    </w:p>
    <w:p w14:paraId="5A819468" w14:textId="16978171"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9520472" w14:textId="77777777" w:rsidR="003956F7" w:rsidRPr="00781DB6" w:rsidRDefault="003956F7" w:rsidP="006C4AD8">
      <w:pPr>
        <w:pStyle w:val="NoSpacing"/>
        <w:rPr>
          <w:rFonts w:ascii="Times New Roman" w:hAnsi="Times New Roman"/>
          <w:sz w:val="24"/>
          <w:szCs w:val="24"/>
        </w:rPr>
      </w:pPr>
    </w:p>
    <w:p w14:paraId="44F45D83" w14:textId="77777777" w:rsidR="006C4AD8" w:rsidRPr="00FD334E" w:rsidRDefault="006C4AD8" w:rsidP="006C4AD8">
      <w:pPr>
        <w:pStyle w:val="NoSpacing"/>
        <w:ind w:left="720"/>
        <w:rPr>
          <w:rFonts w:ascii="Times New Roman" w:hAnsi="Times New Roman"/>
          <w:sz w:val="24"/>
          <w:szCs w:val="24"/>
        </w:rPr>
      </w:pPr>
      <w:r w:rsidRPr="00FD334E">
        <w:rPr>
          <w:rFonts w:ascii="Times New Roman" w:hAnsi="Times New Roman"/>
          <w:sz w:val="24"/>
          <w:szCs w:val="24"/>
        </w:rPr>
        <w:t xml:space="preserve">“Mr. Preece was evaluated by David Phillips, M.D., who drafted a report dated December 14, 2022. Dr. Phillips found that Mr. Preece had a total of 22% </w:t>
      </w:r>
      <w:proofErr w:type="gramStart"/>
      <w:r w:rsidRPr="00FD334E">
        <w:rPr>
          <w:rFonts w:ascii="Times New Roman" w:hAnsi="Times New Roman"/>
          <w:sz w:val="24"/>
          <w:szCs w:val="24"/>
        </w:rPr>
        <w:t>whole</w:t>
      </w:r>
      <w:proofErr w:type="gramEnd"/>
      <w:r w:rsidRPr="00FD334E">
        <w:rPr>
          <w:rFonts w:ascii="Times New Roman" w:hAnsi="Times New Roman"/>
          <w:sz w:val="24"/>
          <w:szCs w:val="24"/>
        </w:rPr>
        <w:t xml:space="preserve"> </w:t>
      </w:r>
      <w:proofErr w:type="gramStart"/>
      <w:r w:rsidRPr="00FD334E">
        <w:rPr>
          <w:rFonts w:ascii="Times New Roman" w:hAnsi="Times New Roman"/>
          <w:sz w:val="24"/>
          <w:szCs w:val="24"/>
        </w:rPr>
        <w:t>person</w:t>
      </w:r>
      <w:proofErr w:type="gramEnd"/>
      <w:r w:rsidRPr="00FD334E">
        <w:rPr>
          <w:rFonts w:ascii="Times New Roman" w:hAnsi="Times New Roman"/>
          <w:sz w:val="24"/>
          <w:szCs w:val="24"/>
        </w:rPr>
        <w:t xml:space="preserve"> </w:t>
      </w:r>
      <w:proofErr w:type="gramStart"/>
      <w:r w:rsidRPr="00FD334E">
        <w:rPr>
          <w:rFonts w:ascii="Times New Roman" w:hAnsi="Times New Roman"/>
          <w:sz w:val="24"/>
          <w:szCs w:val="24"/>
        </w:rPr>
        <w:t>impairment (</w:t>
      </w:r>
      <w:r>
        <w:rPr>
          <w:rFonts w:ascii="Times New Roman" w:hAnsi="Times New Roman"/>
          <w:sz w:val="24"/>
          <w:szCs w:val="24"/>
        </w:rPr>
        <w:t>‘</w:t>
      </w:r>
      <w:proofErr w:type="gramEnd"/>
      <w:r w:rsidRPr="00FD334E">
        <w:rPr>
          <w:rFonts w:ascii="Times New Roman" w:hAnsi="Times New Roman"/>
          <w:sz w:val="24"/>
          <w:szCs w:val="24"/>
        </w:rPr>
        <w:t>WPI</w:t>
      </w:r>
      <w:r>
        <w:rPr>
          <w:rFonts w:ascii="Times New Roman" w:hAnsi="Times New Roman"/>
          <w:sz w:val="24"/>
          <w:szCs w:val="24"/>
        </w:rPr>
        <w:t>’</w:t>
      </w:r>
      <w:r w:rsidRPr="00FD334E">
        <w:rPr>
          <w:rFonts w:ascii="Times New Roman" w:hAnsi="Times New Roman"/>
          <w:sz w:val="24"/>
          <w:szCs w:val="24"/>
        </w:rPr>
        <w:t>) related to hearing loss. Dr. Phillips noted that Mr. Preece has a medical history of diabetes, hypertension, and elevated cholesterol, all of which can contribute to progressive hearing loss. Thus, Dr. Phillips attributed 17.5% of Mr. Preece's hearing loss to prior mining occupational noise exposure and 4.5% to nonoccupational factors.</w:t>
      </w:r>
    </w:p>
    <w:p w14:paraId="6DB453C9" w14:textId="77777777" w:rsidR="006C4AD8" w:rsidRPr="00AA7464" w:rsidRDefault="006C4AD8" w:rsidP="006C4AD8">
      <w:pPr>
        <w:pStyle w:val="NoSpacing"/>
        <w:ind w:left="720"/>
        <w:rPr>
          <w:rFonts w:ascii="Times New Roman" w:hAnsi="Times New Roman"/>
          <w:sz w:val="24"/>
          <w:szCs w:val="24"/>
        </w:rPr>
      </w:pPr>
    </w:p>
    <w:p w14:paraId="39FF471F" w14:textId="77777777" w:rsidR="006C4AD8" w:rsidRDefault="006C4AD8" w:rsidP="006C4AD8">
      <w:pPr>
        <w:pStyle w:val="NoSpacing"/>
        <w:ind w:left="720"/>
        <w:rPr>
          <w:rFonts w:ascii="Times New Roman" w:hAnsi="Times New Roman"/>
          <w:sz w:val="24"/>
          <w:szCs w:val="24"/>
        </w:rPr>
      </w:pPr>
      <w:r>
        <w:rPr>
          <w:rFonts w:ascii="Times New Roman" w:hAnsi="Times New Roman"/>
          <w:sz w:val="24"/>
          <w:szCs w:val="24"/>
        </w:rPr>
        <w:t>***</w:t>
      </w:r>
    </w:p>
    <w:p w14:paraId="115848E8" w14:textId="77777777" w:rsidR="006C4AD8" w:rsidRDefault="006C4AD8" w:rsidP="006C4AD8">
      <w:pPr>
        <w:pStyle w:val="NoSpacing"/>
        <w:ind w:left="720"/>
        <w:rPr>
          <w:rFonts w:ascii="Times New Roman" w:hAnsi="Times New Roman"/>
          <w:sz w:val="24"/>
          <w:szCs w:val="24"/>
        </w:rPr>
      </w:pPr>
    </w:p>
    <w:p w14:paraId="02F19B31" w14:textId="77777777" w:rsidR="006C4AD8" w:rsidRPr="00215DCD" w:rsidRDefault="006C4AD8" w:rsidP="006C4AD8">
      <w:pPr>
        <w:pStyle w:val="NoSpacing"/>
        <w:ind w:left="720"/>
        <w:rPr>
          <w:rFonts w:ascii="Times New Roman" w:hAnsi="Times New Roman"/>
          <w:b/>
          <w:bCs/>
          <w:color w:val="454545"/>
          <w:sz w:val="24"/>
          <w:szCs w:val="24"/>
          <w:shd w:val="clear" w:color="auto" w:fill="FFFFFF"/>
        </w:rPr>
      </w:pPr>
      <w:r w:rsidRPr="00215DCD">
        <w:rPr>
          <w:rFonts w:ascii="Times New Roman" w:hAnsi="Times New Roman"/>
          <w:sz w:val="24"/>
          <w:szCs w:val="24"/>
        </w:rPr>
        <w:t xml:space="preserve">Upon review, we cannot conclude that the Board was clearly wrong in finding that Mr. Preece failed to establish that his job as fire chief has caused additional hearing loss. As the Supreme Court of Appeals of West Virginia has set forth, "[t]he 'clearly wrong' and the 'arbitrary and capricious' standards of review are deferential ones which presume an agency's actions are valid as long as the decision is supported by substantial evidence or </w:t>
      </w:r>
      <w:proofErr w:type="gramStart"/>
      <w:r w:rsidRPr="00215DCD">
        <w:rPr>
          <w:rFonts w:ascii="Times New Roman" w:hAnsi="Times New Roman"/>
          <w:sz w:val="24"/>
          <w:szCs w:val="24"/>
        </w:rPr>
        <w:t>by</w:t>
      </w:r>
      <w:proofErr w:type="gramEnd"/>
      <w:r w:rsidRPr="00215DCD">
        <w:rPr>
          <w:rFonts w:ascii="Times New Roman" w:hAnsi="Times New Roman"/>
          <w:sz w:val="24"/>
          <w:szCs w:val="24"/>
        </w:rPr>
        <w:t xml:space="preserve"> a rational basis." Syl. Pt. 3, </w:t>
      </w:r>
      <w:r w:rsidRPr="00215DCD">
        <w:rPr>
          <w:rStyle w:val="Emphasis"/>
          <w:rFonts w:ascii="Times New Roman" w:hAnsi="Times New Roman"/>
          <w:sz w:val="24"/>
          <w:szCs w:val="24"/>
        </w:rPr>
        <w:t>In re Queen</w:t>
      </w:r>
      <w:r w:rsidRPr="00215DCD">
        <w:rPr>
          <w:rFonts w:ascii="Times New Roman" w:hAnsi="Times New Roman"/>
          <w:sz w:val="24"/>
          <w:szCs w:val="24"/>
        </w:rPr>
        <w:t>, 196 W.Va. 442, 473 S.E.2d 483 (1996). With this deferential standard of review in mind, we cannot conclude that the Board was clearly wrong in affirming the claim administrator's order rejecting the claim.</w:t>
      </w:r>
      <w:r>
        <w:rPr>
          <w:rFonts w:ascii="Times New Roman" w:hAnsi="Times New Roman"/>
          <w:sz w:val="24"/>
          <w:szCs w:val="24"/>
        </w:rPr>
        <w:t>”</w:t>
      </w:r>
      <w:r w:rsidRPr="000A3EB7">
        <w:t xml:space="preserve"> </w:t>
      </w:r>
      <w:hyperlink r:id="rId1138" w:history="1">
        <w:r w:rsidRPr="007E7996">
          <w:rPr>
            <w:rStyle w:val="Hyperlink"/>
            <w:rFonts w:ascii="Times New Roman" w:hAnsi="Times New Roman"/>
            <w:sz w:val="24"/>
            <w:szCs w:val="24"/>
          </w:rPr>
          <w:t>https://public.fastcase.com/H1P9uiW3J20SFp%2BGCG%2BxLadhvM%2BTk6CyYLUbfEuOSnynNWxAhyJMu40rylJQnWa9?utm_medium=email&amp;_hsmi=226712652&amp;_hsenc=p2ANqtz-_Dihe0VmJESjxgjqn36kOhagQU45bmN7CEHRIuj2470_KUhcV7wrW-Y9ruG8-Hj5g_txVmqO_R_d6e-gS-IENa_oPFKQ&amp;utm_content=226712652&amp;utm_source=hs_email</w:t>
        </w:r>
      </w:hyperlink>
      <w:r>
        <w:rPr>
          <w:rFonts w:ascii="Times New Roman" w:hAnsi="Times New Roman"/>
          <w:sz w:val="24"/>
          <w:szCs w:val="24"/>
        </w:rPr>
        <w:t xml:space="preserve"> </w:t>
      </w:r>
    </w:p>
    <w:p w14:paraId="09DB4F0A" w14:textId="77777777" w:rsidR="006C4AD8" w:rsidRDefault="006C4AD8" w:rsidP="006C4AD8">
      <w:pPr>
        <w:pStyle w:val="NoSpacing"/>
        <w:rPr>
          <w:rFonts w:ascii="Times New Roman" w:hAnsi="Times New Roman"/>
          <w:sz w:val="24"/>
          <w:szCs w:val="24"/>
        </w:rPr>
      </w:pPr>
    </w:p>
    <w:p w14:paraId="3D73FADE" w14:textId="77777777" w:rsidR="006C4AD8" w:rsidRDefault="006C4AD8" w:rsidP="006C4AD8">
      <w:pPr>
        <w:pStyle w:val="NoSpacing"/>
        <w:rPr>
          <w:rFonts w:ascii="Times New Roman" w:hAnsi="Times New Roman"/>
          <w:sz w:val="24"/>
          <w:szCs w:val="24"/>
        </w:rPr>
      </w:pPr>
    </w:p>
    <w:p w14:paraId="2994A667" w14:textId="77777777" w:rsidR="006C4AD8" w:rsidRPr="008B6467" w:rsidRDefault="006C4AD8" w:rsidP="006C4AD8">
      <w:pPr>
        <w:pStyle w:val="NormalWeb"/>
        <w:rPr>
          <w:b/>
          <w:bCs/>
        </w:rPr>
      </w:pPr>
      <w:r w:rsidRPr="008B6467">
        <w:rPr>
          <w:b/>
          <w:bCs/>
        </w:rPr>
        <w:t>Legal Lesson Learned: Hearing loss can be attributed to multiple factors, including diabetes, hypertension, and elevated cholesterol.</w:t>
      </w:r>
    </w:p>
    <w:p w14:paraId="46C0753D" w14:textId="77777777" w:rsidR="006C4AD8" w:rsidRDefault="006C4AD8" w:rsidP="006C4AD8">
      <w:pPr>
        <w:pStyle w:val="NoSpacing"/>
        <w:rPr>
          <w:rFonts w:ascii="Times New Roman" w:hAnsi="Times New Roman"/>
          <w:sz w:val="24"/>
          <w:szCs w:val="24"/>
        </w:rPr>
      </w:pPr>
    </w:p>
    <w:p w14:paraId="605E8B5C" w14:textId="77777777" w:rsidR="006C4AD8" w:rsidRDefault="006C4AD8" w:rsidP="006C4AD8">
      <w:pPr>
        <w:pStyle w:val="NormalWeb"/>
        <w:spacing w:before="0" w:beforeAutospacing="0"/>
        <w:rPr>
          <w:b/>
          <w:bCs/>
          <w:color w:val="454545"/>
          <w:shd w:val="clear" w:color="auto" w:fill="FFFFFF"/>
        </w:rPr>
      </w:pPr>
    </w:p>
    <w:p w14:paraId="26153F56" w14:textId="387FF3E1" w:rsidR="006C4AD8" w:rsidRDefault="0060031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w:t>
      </w:r>
      <w:r w:rsidR="002A0697">
        <w:rPr>
          <w:rFonts w:ascii="Arial Black" w:hAnsi="Arial Black"/>
          <w:b/>
          <w:bCs/>
          <w:color w:val="454545"/>
          <w:sz w:val="28"/>
          <w:szCs w:val="28"/>
          <w:shd w:val="clear" w:color="auto" w:fill="FFFFFF"/>
        </w:rPr>
        <w:t>29</w:t>
      </w:r>
    </w:p>
    <w:p w14:paraId="586D680E" w14:textId="77777777" w:rsidR="006C4AD8" w:rsidRDefault="006C4AD8"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TX:  PANCREATIC CANCER NOT COVERD UNDER FF PRESUMPTION LAW – WIDOW DENIED WORK COMP</w:t>
      </w:r>
    </w:p>
    <w:p w14:paraId="783DCD94" w14:textId="77777777" w:rsidR="006C4AD8" w:rsidRDefault="006C4AD8" w:rsidP="006C4AD8">
      <w:pPr>
        <w:pStyle w:val="NormalWeb"/>
        <w:rPr>
          <w:color w:val="454545"/>
          <w:shd w:val="clear" w:color="auto" w:fill="FFFFFF"/>
        </w:rPr>
      </w:pPr>
      <w:r>
        <w:rPr>
          <w:color w:val="454545"/>
          <w:shd w:val="clear" w:color="auto" w:fill="FFFFFF"/>
        </w:rPr>
        <w:t xml:space="preserve">On March 7, 2024, in </w:t>
      </w:r>
      <w:r w:rsidRPr="003F27FF">
        <w:rPr>
          <w:color w:val="454545"/>
          <w:u w:val="single"/>
          <w:shd w:val="clear" w:color="auto" w:fill="FFFFFF"/>
        </w:rPr>
        <w:t>City of Stephenville v. Anna Belew, et al</w:t>
      </w:r>
      <w:r>
        <w:rPr>
          <w:color w:val="454545"/>
          <w:shd w:val="clear" w:color="auto" w:fill="FFFFFF"/>
        </w:rPr>
        <w:t xml:space="preserve">., the Eleventh Court of Appeals of Texas, held (3 to 0) in a lengthy decision, that the City’s appeal is granted, reversing the award of workers comp death benefits to widow of </w:t>
      </w:r>
      <w:r w:rsidRPr="00DF56EC">
        <w:rPr>
          <w:color w:val="454545"/>
          <w:shd w:val="clear" w:color="auto" w:fill="FFFFFF"/>
        </w:rPr>
        <w:t>Michael Belew, a firefighter for the City of</w:t>
      </w:r>
      <w:r>
        <w:rPr>
          <w:color w:val="454545"/>
          <w:shd w:val="clear" w:color="auto" w:fill="FFFFFF"/>
        </w:rPr>
        <w:t xml:space="preserve"> </w:t>
      </w:r>
      <w:r w:rsidRPr="00DF56EC">
        <w:rPr>
          <w:color w:val="454545"/>
          <w:shd w:val="clear" w:color="auto" w:fill="FFFFFF"/>
        </w:rPr>
        <w:t>Stephenville who passed away in 2014 after a battle with pancreatic</w:t>
      </w:r>
      <w:r>
        <w:rPr>
          <w:color w:val="454545"/>
          <w:shd w:val="clear" w:color="auto" w:fill="FFFFFF"/>
        </w:rPr>
        <w:t xml:space="preserve"> </w:t>
      </w:r>
      <w:r w:rsidRPr="00DF56EC">
        <w:rPr>
          <w:color w:val="454545"/>
          <w:shd w:val="clear" w:color="auto" w:fill="FFFFFF"/>
        </w:rPr>
        <w:t>cancer.</w:t>
      </w:r>
    </w:p>
    <w:p w14:paraId="0492065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604A790"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B55288">
        <w:rPr>
          <w:rFonts w:ascii="Times New Roman" w:hAnsi="Times New Roman"/>
          <w:sz w:val="24"/>
          <w:szCs w:val="24"/>
          <w:shd w:val="clear" w:color="auto" w:fill="FFFFFF"/>
        </w:rPr>
        <w:t xml:space="preserve">The IARC </w:t>
      </w:r>
      <w:r w:rsidRPr="00B81F19">
        <w:rPr>
          <w:rFonts w:ascii="Times New Roman" w:hAnsi="Times New Roman"/>
          <w:sz w:val="24"/>
          <w:szCs w:val="24"/>
          <w:shd w:val="clear" w:color="auto" w:fill="FFFFFF"/>
        </w:rPr>
        <w:t>[</w:t>
      </w:r>
      <w:r w:rsidRPr="00B81F19">
        <w:rPr>
          <w:rFonts w:ascii="Times New Roman" w:hAnsi="Times New Roman"/>
          <w:sz w:val="24"/>
          <w:szCs w:val="24"/>
        </w:rPr>
        <w:t>International Agency for Research on Cancer</w:t>
      </w:r>
      <w:r>
        <w:t xml:space="preserve">] </w:t>
      </w:r>
      <w:r w:rsidRPr="00B55288">
        <w:rPr>
          <w:rFonts w:ascii="Times New Roman" w:hAnsi="Times New Roman"/>
          <w:sz w:val="24"/>
          <w:szCs w:val="24"/>
          <w:shd w:val="clear" w:color="auto" w:fill="FFFFFF"/>
        </w:rPr>
        <w:t>is the cancer research agency of the World Health Organization.</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The IARC conducts critical reviews and evaluations on the carcinogenicity of a wide</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range of human exposures. These are done by a working group of experts in the</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subject field and the IARC publishes the results of this working group’s evaluations</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in monographs.</w:t>
      </w:r>
    </w:p>
    <w:p w14:paraId="2B9D48CF" w14:textId="77777777" w:rsidR="006C4AD8" w:rsidRDefault="006C4AD8" w:rsidP="006C4AD8">
      <w:pPr>
        <w:pStyle w:val="NoSpacing"/>
        <w:ind w:left="720"/>
        <w:rPr>
          <w:rFonts w:ascii="Times New Roman" w:hAnsi="Times New Roman"/>
          <w:sz w:val="24"/>
          <w:szCs w:val="24"/>
          <w:shd w:val="clear" w:color="auto" w:fill="FFFFFF"/>
        </w:rPr>
      </w:pPr>
    </w:p>
    <w:p w14:paraId="4BFEECAA"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0DCA09D5" w14:textId="77777777" w:rsidR="006C4AD8" w:rsidRDefault="006C4AD8" w:rsidP="006C4AD8">
      <w:pPr>
        <w:pStyle w:val="NoSpacing"/>
        <w:ind w:left="720"/>
        <w:rPr>
          <w:rFonts w:ascii="Times New Roman" w:hAnsi="Times New Roman"/>
          <w:sz w:val="24"/>
          <w:szCs w:val="24"/>
          <w:shd w:val="clear" w:color="auto" w:fill="FFFFFF"/>
        </w:rPr>
      </w:pPr>
    </w:p>
    <w:p w14:paraId="1AE7DC37"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A</w:t>
      </w:r>
      <w:r w:rsidRPr="003E7505">
        <w:rPr>
          <w:rFonts w:ascii="Times New Roman" w:hAnsi="Times New Roman"/>
          <w:sz w:val="24"/>
          <w:szCs w:val="24"/>
          <w:shd w:val="clear" w:color="auto" w:fill="FFFFFF"/>
        </w:rPr>
        <w:t xml:space="preserve">ppellees </w:t>
      </w:r>
      <w:r>
        <w:rPr>
          <w:rFonts w:ascii="Times New Roman" w:hAnsi="Times New Roman"/>
          <w:sz w:val="24"/>
          <w:szCs w:val="24"/>
          <w:shd w:val="clear" w:color="auto" w:fill="FFFFFF"/>
        </w:rPr>
        <w:t xml:space="preserve">[widow and family] </w:t>
      </w:r>
      <w:r w:rsidRPr="003E7505">
        <w:rPr>
          <w:rFonts w:ascii="Times New Roman" w:hAnsi="Times New Roman"/>
          <w:sz w:val="24"/>
          <w:szCs w:val="24"/>
          <w:shd w:val="clear" w:color="auto" w:fill="FFFFFF"/>
        </w:rPr>
        <w:t>did not proffer any</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expert testimony or opinions, or other evidence for that matter, to explain and</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support their nuanced argument that individual studies within the Monograph</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 xml:space="preserve">indicate that the IARC has </w:t>
      </w:r>
      <w:r>
        <w:rPr>
          <w:rFonts w:ascii="Times New Roman" w:hAnsi="Times New Roman"/>
          <w:sz w:val="24"/>
          <w:szCs w:val="24"/>
          <w:shd w:val="clear" w:color="auto" w:fill="FFFFFF"/>
        </w:rPr>
        <w:t>‘</w:t>
      </w:r>
      <w:r w:rsidRPr="003E7505">
        <w:rPr>
          <w:rFonts w:ascii="Times New Roman" w:hAnsi="Times New Roman"/>
          <w:sz w:val="24"/>
          <w:szCs w:val="24"/>
          <w:shd w:val="clear" w:color="auto" w:fill="FFFFFF"/>
        </w:rPr>
        <w:t>determined</w:t>
      </w:r>
      <w:r>
        <w:rPr>
          <w:rFonts w:ascii="Times New Roman" w:hAnsi="Times New Roman"/>
          <w:sz w:val="24"/>
          <w:szCs w:val="24"/>
          <w:shd w:val="clear" w:color="auto" w:fill="FFFFFF"/>
        </w:rPr>
        <w:t>’</w:t>
      </w:r>
      <w:r w:rsidRPr="003E7505">
        <w:rPr>
          <w:rFonts w:ascii="Times New Roman" w:hAnsi="Times New Roman"/>
          <w:sz w:val="24"/>
          <w:szCs w:val="24"/>
          <w:shd w:val="clear" w:color="auto" w:fill="FFFFFF"/>
        </w:rPr>
        <w:t xml:space="preserve"> pancreatic cancer to be a type of cancer that</w:t>
      </w:r>
      <w:r>
        <w:rPr>
          <w:rFonts w:ascii="Times New Roman" w:hAnsi="Times New Roman"/>
          <w:sz w:val="24"/>
          <w:szCs w:val="24"/>
          <w:shd w:val="clear" w:color="auto" w:fill="FFFFFF"/>
        </w:rPr>
        <w:t xml:space="preserve"> i</w:t>
      </w:r>
      <w:r w:rsidRPr="00296A1A">
        <w:rPr>
          <w:rFonts w:ascii="Times New Roman" w:hAnsi="Times New Roman"/>
          <w:sz w:val="24"/>
          <w:szCs w:val="24"/>
          <w:shd w:val="clear" w:color="auto" w:fill="FFFFFF"/>
        </w:rPr>
        <w:t>s covered by the statute.</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 xml:space="preserve">On the other hand, the </w:t>
      </w:r>
      <w:proofErr w:type="gramStart"/>
      <w:r w:rsidRPr="005A181E">
        <w:rPr>
          <w:rFonts w:ascii="Times New Roman" w:hAnsi="Times New Roman"/>
          <w:sz w:val="24"/>
          <w:szCs w:val="24"/>
          <w:shd w:val="clear" w:color="auto" w:fill="FFFFFF"/>
        </w:rPr>
        <w:t>City</w:t>
      </w:r>
      <w:proofErr w:type="gramEnd"/>
      <w:r w:rsidRPr="005A181E">
        <w:rPr>
          <w:rFonts w:ascii="Times New Roman" w:hAnsi="Times New Roman"/>
          <w:sz w:val="24"/>
          <w:szCs w:val="24"/>
          <w:shd w:val="clear" w:color="auto" w:fill="FFFFFF"/>
        </w:rPr>
        <w:t xml:space="preserve"> presented the affidavits of two qualified experts,</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each of whom opined that the IARC has not determined that pancreatic cancer is a</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type of cancer that is covered by the statut</w:t>
      </w:r>
      <w:r>
        <w:rPr>
          <w:rFonts w:ascii="Times New Roman" w:hAnsi="Times New Roman"/>
          <w:sz w:val="24"/>
          <w:szCs w:val="24"/>
          <w:shd w:val="clear" w:color="auto" w:fill="FFFFFF"/>
        </w:rPr>
        <w:t>e.”</w:t>
      </w:r>
    </w:p>
    <w:p w14:paraId="4BF7E76C" w14:textId="77777777" w:rsidR="006C4AD8" w:rsidRDefault="006C4AD8" w:rsidP="006C4AD8">
      <w:pPr>
        <w:pStyle w:val="NoSpacing"/>
        <w:ind w:left="720"/>
        <w:rPr>
          <w:rFonts w:ascii="Times New Roman" w:hAnsi="Times New Roman"/>
          <w:sz w:val="24"/>
          <w:szCs w:val="24"/>
          <w:shd w:val="clear" w:color="auto" w:fill="FFFFFF"/>
        </w:rPr>
      </w:pPr>
    </w:p>
    <w:p w14:paraId="00B926BA" w14:textId="77777777" w:rsidR="006C4AD8" w:rsidRPr="00E362EA" w:rsidRDefault="006C4AD8" w:rsidP="006C4AD8">
      <w:pPr>
        <w:pStyle w:val="NoSpacing"/>
        <w:rPr>
          <w:rFonts w:ascii="Times New Roman" w:hAnsi="Times New Roman"/>
          <w:b/>
          <w:bCs/>
          <w:sz w:val="24"/>
          <w:szCs w:val="24"/>
          <w:shd w:val="clear" w:color="auto" w:fill="FFFFFF"/>
        </w:rPr>
      </w:pPr>
      <w:r w:rsidRPr="00E362EA">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Under the firefighter statutory presumption law must show that IARC has classified the cancer as likely caused by the job. </w:t>
      </w:r>
    </w:p>
    <w:p w14:paraId="5A0F5B46" w14:textId="77777777" w:rsidR="006C4AD8" w:rsidRDefault="006C4AD8" w:rsidP="006C4AD8">
      <w:pPr>
        <w:pStyle w:val="NoSpacing"/>
        <w:rPr>
          <w:rFonts w:ascii="Times New Roman" w:hAnsi="Times New Roman"/>
          <w:sz w:val="24"/>
          <w:szCs w:val="24"/>
          <w:shd w:val="clear" w:color="auto" w:fill="FFFFFF"/>
        </w:rPr>
      </w:pPr>
    </w:p>
    <w:p w14:paraId="1A2D84FE" w14:textId="77777777" w:rsidR="006C4AD8" w:rsidRDefault="006C4AD8" w:rsidP="006C4AD8">
      <w:pPr>
        <w:pStyle w:val="NoSpacing"/>
        <w:rPr>
          <w:rFonts w:ascii="Times New Roman" w:hAnsi="Times New Roman"/>
          <w:sz w:val="24"/>
          <w:szCs w:val="24"/>
          <w:shd w:val="clear" w:color="auto" w:fill="FFFFFF"/>
        </w:rPr>
      </w:pPr>
    </w:p>
    <w:p w14:paraId="5F53CD2D" w14:textId="77777777" w:rsidR="006C4AD8" w:rsidRDefault="006C4AD8" w:rsidP="006C4AD8">
      <w:pPr>
        <w:pStyle w:val="NoSpacing"/>
        <w:rPr>
          <w:rFonts w:ascii="Times New Roman" w:hAnsi="Times New Roman"/>
          <w:sz w:val="24"/>
          <w:szCs w:val="24"/>
        </w:rPr>
      </w:pPr>
    </w:p>
    <w:p w14:paraId="2CF32D70" w14:textId="77777777" w:rsidR="006C4AD8" w:rsidRDefault="006C4AD8" w:rsidP="006C4AD8">
      <w:pPr>
        <w:pStyle w:val="NoSpacing"/>
        <w:rPr>
          <w:rFonts w:ascii="Times New Roman" w:hAnsi="Times New Roman"/>
          <w:sz w:val="24"/>
          <w:szCs w:val="24"/>
        </w:rPr>
      </w:pPr>
    </w:p>
    <w:p w14:paraId="1ED1FA8F" w14:textId="0B56C466" w:rsidR="0060031B" w:rsidRPr="0060031B" w:rsidRDefault="0060031B" w:rsidP="006C4AD8">
      <w:pPr>
        <w:pStyle w:val="NormalWeb"/>
        <w:spacing w:before="0" w:beforeAutospacing="0"/>
        <w:rPr>
          <w:rFonts w:ascii="Arial Black" w:hAnsi="Arial Black"/>
          <w:b/>
          <w:bCs/>
        </w:rPr>
      </w:pPr>
      <w:r w:rsidRPr="0060031B">
        <w:rPr>
          <w:rFonts w:ascii="Arial Black" w:hAnsi="Arial Black"/>
          <w:b/>
          <w:bCs/>
        </w:rPr>
        <w:t>6-1</w:t>
      </w:r>
      <w:r w:rsidR="00D11FBB">
        <w:rPr>
          <w:rFonts w:ascii="Arial Black" w:hAnsi="Arial Black"/>
          <w:b/>
          <w:bCs/>
        </w:rPr>
        <w:t>2</w:t>
      </w:r>
      <w:r w:rsidR="002A0697">
        <w:rPr>
          <w:rFonts w:ascii="Arial Black" w:hAnsi="Arial Black"/>
          <w:b/>
          <w:bCs/>
        </w:rPr>
        <w:t>8</w:t>
      </w:r>
    </w:p>
    <w:p w14:paraId="3CDF6C58" w14:textId="1D77FA81" w:rsidR="006C4AD8" w:rsidRDefault="006C4AD8" w:rsidP="006C4AD8">
      <w:pPr>
        <w:pStyle w:val="NormalWeb"/>
        <w:spacing w:before="0" w:beforeAutospacing="0"/>
        <w:rPr>
          <w:rFonts w:ascii="Arial Black" w:hAnsi="Arial Black"/>
          <w:sz w:val="28"/>
          <w:szCs w:val="28"/>
        </w:rPr>
      </w:pPr>
      <w:r>
        <w:rPr>
          <w:rFonts w:ascii="Arial Black" w:hAnsi="Arial Black"/>
          <w:sz w:val="28"/>
          <w:szCs w:val="28"/>
        </w:rPr>
        <w:t>WI: PART-TIME CAPTAIN LOST TITLE – ALL OFFICERS MUST APPROVED COMMISSION - DUE PROCESS CASE PROCEED</w:t>
      </w:r>
    </w:p>
    <w:p w14:paraId="624C2DFB" w14:textId="77777777" w:rsidR="006C4AD8" w:rsidRDefault="006C4AD8" w:rsidP="006C4AD8">
      <w:pPr>
        <w:pStyle w:val="NormalWeb"/>
        <w:spacing w:before="0" w:beforeAutospacing="0"/>
      </w:pPr>
      <w:r>
        <w:t xml:space="preserve">On March 20, 2024, in </w:t>
      </w:r>
      <w:r w:rsidRPr="008A4F1E">
        <w:rPr>
          <w:u w:val="single"/>
        </w:rPr>
        <w:t>Richard Haffner v. Joshua Bell, The City of New Richmond, et al.</w:t>
      </w:r>
      <w:r>
        <w:t xml:space="preserve">, United States District Court Judge James D. Peterson, U.S. District Court for Western District of Wisconsin, held that Fire Chief Joshua Bell is dismissed since he enjoys qualified immunity, the part-time Captain was denied due process in loss of his rank. </w:t>
      </w:r>
    </w:p>
    <w:p w14:paraId="468119D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6E1D770" w14:textId="77777777" w:rsidR="003956F7" w:rsidRDefault="003956F7" w:rsidP="006C4AD8">
      <w:pPr>
        <w:pStyle w:val="NormalWeb"/>
        <w:spacing w:before="0" w:beforeAutospacing="0"/>
        <w:ind w:left="720"/>
      </w:pPr>
    </w:p>
    <w:p w14:paraId="1F8CD100" w14:textId="7A165C5A" w:rsidR="006C4AD8" w:rsidRDefault="006C4AD8" w:rsidP="006C4AD8">
      <w:pPr>
        <w:pStyle w:val="NormalWeb"/>
        <w:spacing w:before="0" w:beforeAutospacing="0"/>
        <w:ind w:left="720"/>
      </w:pPr>
      <w:r>
        <w:t xml:space="preserve">“For years, the City of New Richmond elected the subordinate officers in its fire department without the formal approval of the city's Police and Fire Commission. This process did not conform to state law. In 2021, the city brought its promotion practices into compliance, and it authorized its fire chief, defendant Joshua Bell, to start fresh with a new slate of officers. Plaintiff Richard Haffner is a part-time firefighter with the department. At the time of the change in promotion practice, he was a captain and the health and safety officer. But he was not among those whom Bell chose as new officers. Haffner contends that defendants demoted him from his officer positions without providing </w:t>
      </w:r>
      <w:proofErr w:type="gramStart"/>
      <w:r>
        <w:t>him</w:t>
      </w:r>
      <w:proofErr w:type="gramEnd"/>
      <w:r>
        <w:t xml:space="preserve"> the procedural protection he was due under state law, violating his right to due process under the Fourteenth Amendment.</w:t>
      </w:r>
    </w:p>
    <w:p w14:paraId="783AA62B" w14:textId="77777777" w:rsidR="006C4AD8" w:rsidRPr="004628C1" w:rsidRDefault="006C4AD8" w:rsidP="006C4AD8">
      <w:pPr>
        <w:pStyle w:val="NormalWeb"/>
        <w:spacing w:before="0" w:beforeAutospacing="0"/>
        <w:ind w:left="720"/>
        <w:rPr>
          <w:rFonts w:ascii="Arial Black" w:hAnsi="Arial Black"/>
          <w:sz w:val="28"/>
          <w:szCs w:val="28"/>
        </w:rPr>
      </w:pPr>
      <w:r>
        <w:t>***</w:t>
      </w:r>
    </w:p>
    <w:p w14:paraId="7D05B029" w14:textId="77777777" w:rsidR="006C4AD8" w:rsidRDefault="006C4AD8" w:rsidP="006C4AD8">
      <w:pPr>
        <w:ind w:left="720"/>
        <w:rPr>
          <w:rFonts w:ascii="Times New Roman" w:hAnsi="Times New Roman"/>
          <w:sz w:val="24"/>
          <w:szCs w:val="24"/>
        </w:rPr>
      </w:pPr>
      <w:r w:rsidRPr="004628C1">
        <w:rPr>
          <w:rFonts w:ascii="Times New Roman" w:hAnsi="Times New Roman"/>
          <w:sz w:val="24"/>
          <w:szCs w:val="24"/>
        </w:rPr>
        <w:t xml:space="preserve">Under </w:t>
      </w:r>
      <w:proofErr w:type="gramStart"/>
      <w:r w:rsidRPr="004628C1">
        <w:rPr>
          <w:rStyle w:val="Emphasis"/>
          <w:rFonts w:ascii="Times New Roman" w:hAnsi="Times New Roman"/>
          <w:sz w:val="24"/>
          <w:szCs w:val="24"/>
        </w:rPr>
        <w:t>Loudermill</w:t>
      </w:r>
      <w:r w:rsidRPr="004628C1">
        <w:rPr>
          <w:rFonts w:ascii="Times New Roman" w:hAnsi="Times New Roman"/>
          <w:sz w:val="24"/>
          <w:szCs w:val="24"/>
        </w:rPr>
        <w:t xml:space="preserve">, </w:t>
      </w:r>
      <w:r>
        <w:rPr>
          <w:rFonts w:ascii="Times New Roman" w:hAnsi="Times New Roman"/>
          <w:sz w:val="24"/>
          <w:szCs w:val="24"/>
        </w:rPr>
        <w:t>‘</w:t>
      </w:r>
      <w:proofErr w:type="gramEnd"/>
      <w:r w:rsidRPr="004628C1">
        <w:rPr>
          <w:rFonts w:ascii="Times New Roman" w:hAnsi="Times New Roman"/>
          <w:sz w:val="24"/>
          <w:szCs w:val="24"/>
        </w:rPr>
        <w:t xml:space="preserve">some kind of </w:t>
      </w:r>
      <w:proofErr w:type="gramStart"/>
      <w:r w:rsidRPr="004628C1">
        <w:rPr>
          <w:rFonts w:ascii="Times New Roman" w:hAnsi="Times New Roman"/>
          <w:sz w:val="24"/>
          <w:szCs w:val="24"/>
        </w:rPr>
        <w:t>a hearing</w:t>
      </w:r>
      <w:r>
        <w:rPr>
          <w:rFonts w:ascii="Times New Roman" w:hAnsi="Times New Roman"/>
          <w:sz w:val="24"/>
          <w:szCs w:val="24"/>
        </w:rPr>
        <w:t>’</w:t>
      </w:r>
      <w:proofErr w:type="gramEnd"/>
      <w:r w:rsidRPr="004628C1">
        <w:rPr>
          <w:rFonts w:ascii="Times New Roman" w:hAnsi="Times New Roman"/>
          <w:sz w:val="24"/>
          <w:szCs w:val="24"/>
        </w:rPr>
        <w:t xml:space="preserve"> is required before discharging an employee with a property interest. 470 U.S. at 542. The court need not define the minimum procedural requirement here other than to say that it is more than the nothing that Haffner got.</w:t>
      </w:r>
    </w:p>
    <w:p w14:paraId="5E440E80" w14:textId="77777777" w:rsidR="006C4AD8" w:rsidRDefault="006C4AD8" w:rsidP="006C4AD8">
      <w:pPr>
        <w:ind w:left="720"/>
        <w:rPr>
          <w:rFonts w:ascii="Times New Roman" w:hAnsi="Times New Roman"/>
          <w:sz w:val="24"/>
          <w:szCs w:val="24"/>
        </w:rPr>
      </w:pPr>
      <w:r>
        <w:rPr>
          <w:rFonts w:ascii="Times New Roman" w:hAnsi="Times New Roman"/>
          <w:sz w:val="24"/>
          <w:szCs w:val="24"/>
        </w:rPr>
        <w:t>***</w:t>
      </w:r>
    </w:p>
    <w:p w14:paraId="73ED3D35" w14:textId="77777777" w:rsidR="006C4AD8" w:rsidRPr="00F803ED" w:rsidRDefault="006C4AD8" w:rsidP="006C4AD8">
      <w:pPr>
        <w:ind w:left="720"/>
        <w:rPr>
          <w:rFonts w:ascii="Times New Roman" w:hAnsi="Times New Roman"/>
          <w:sz w:val="24"/>
          <w:szCs w:val="24"/>
        </w:rPr>
      </w:pPr>
      <w:r>
        <w:t> </w:t>
      </w:r>
      <w:r w:rsidRPr="006B660C">
        <w:rPr>
          <w:rFonts w:ascii="Times New Roman" w:hAnsi="Times New Roman"/>
          <w:sz w:val="24"/>
          <w:szCs w:val="24"/>
        </w:rPr>
        <w:t>Defendants' argument is based on a statutory interpretation. In essence, defendants contend that the statutory protections in § 62.13(5)(</w:t>
      </w:r>
      <w:proofErr w:type="spellStart"/>
      <w:r w:rsidRPr="006B660C">
        <w:rPr>
          <w:rFonts w:ascii="Times New Roman" w:hAnsi="Times New Roman"/>
          <w:sz w:val="24"/>
          <w:szCs w:val="24"/>
        </w:rPr>
        <w:t>em</w:t>
      </w:r>
      <w:proofErr w:type="spellEnd"/>
      <w:r w:rsidRPr="006B660C">
        <w:rPr>
          <w:rFonts w:ascii="Times New Roman" w:hAnsi="Times New Roman"/>
          <w:sz w:val="24"/>
          <w:szCs w:val="24"/>
        </w:rPr>
        <w:t xml:space="preserve">) are available only to officers whose hiring or promotion was approved by the commission, as required by § 62.13(4)(a). Nothing in the text of the statute supports </w:t>
      </w:r>
      <w:proofErr w:type="gramStart"/>
      <w:r w:rsidRPr="006B660C">
        <w:rPr>
          <w:rFonts w:ascii="Times New Roman" w:hAnsi="Times New Roman"/>
          <w:sz w:val="24"/>
          <w:szCs w:val="24"/>
        </w:rPr>
        <w:t>such a</w:t>
      </w:r>
      <w:proofErr w:type="gramEnd"/>
      <w:r w:rsidRPr="006B660C">
        <w:rPr>
          <w:rFonts w:ascii="Times New Roman" w:hAnsi="Times New Roman"/>
          <w:sz w:val="24"/>
          <w:szCs w:val="24"/>
        </w:rPr>
        <w:t xml:space="preserve"> reading. And this interpretation would allow a municipality to avoid affording job protection to its firefighters and law enforcement officers simply by withholding commission approval of their hiring and promotion. This is an absurd result that frustrates the purpose of the statute, so the court must reject the defendants' interpretation.</w:t>
      </w:r>
      <w:r>
        <w:rPr>
          <w:rFonts w:ascii="Times New Roman" w:hAnsi="Times New Roman"/>
          <w:sz w:val="24"/>
          <w:szCs w:val="24"/>
        </w:rPr>
        <w:t xml:space="preserve">” </w:t>
      </w:r>
      <w:hyperlink r:id="rId1139" w:history="1">
        <w:r w:rsidRPr="001C375D">
          <w:rPr>
            <w:rStyle w:val="Hyperlink"/>
            <w:rFonts w:ascii="Times New Roman" w:hAnsi="Times New Roman"/>
            <w:sz w:val="24"/>
            <w:szCs w:val="24"/>
          </w:rPr>
          <w:t>https://public.fastcase.com/H1P9uiW3J20SFp%2BGCG%2BxLTokB0aoklJy6U6lHfy%2FfW4XgHUeDnfzCtV2IraSxfBK?utm_medium=email&amp;_hsmi=226712652&amp;_hsenc=p2ANqtz-_gim38WUKhev0Avzaj483M_b7fed8rsJvlzMdOQbFB_Jpk5Z-</w:t>
        </w:r>
      </w:hyperlink>
      <w:r>
        <w:rPr>
          <w:rFonts w:ascii="Times New Roman" w:hAnsi="Times New Roman"/>
          <w:sz w:val="24"/>
          <w:szCs w:val="24"/>
        </w:rPr>
        <w:t xml:space="preserve"> </w:t>
      </w:r>
    </w:p>
    <w:p w14:paraId="28C92297" w14:textId="77777777" w:rsidR="0060031B" w:rsidRPr="00681787" w:rsidRDefault="0060031B" w:rsidP="0060031B">
      <w:pPr>
        <w:pStyle w:val="NormalWeb"/>
        <w:spacing w:before="0" w:beforeAutospacing="0"/>
        <w:rPr>
          <w:b/>
          <w:bCs/>
        </w:rPr>
      </w:pPr>
      <w:r>
        <w:rPr>
          <w:b/>
          <w:bCs/>
        </w:rPr>
        <w:t>Legal Lesson Learned: Provide due process (such as a hearing before Commission) before removing officer’s title.</w:t>
      </w:r>
    </w:p>
    <w:p w14:paraId="6F882CA7" w14:textId="77777777" w:rsidR="006C4AD8" w:rsidRDefault="006C4AD8" w:rsidP="00EF1133">
      <w:pPr>
        <w:rPr>
          <w:rFonts w:ascii="Arial Black" w:hAnsi="Arial Black"/>
          <w:b/>
          <w:sz w:val="24"/>
          <w:szCs w:val="24"/>
        </w:rPr>
      </w:pPr>
    </w:p>
    <w:p w14:paraId="0E390E3B" w14:textId="373D02EC" w:rsidR="00AD7949" w:rsidRDefault="00AD7949"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7</w:t>
      </w:r>
    </w:p>
    <w:p w14:paraId="037D73FF" w14:textId="77777777" w:rsidR="00C42282" w:rsidRPr="00461960" w:rsidRDefault="00C42282" w:rsidP="00C42282">
      <w:pPr>
        <w:pStyle w:val="NormalWeb"/>
        <w:rPr>
          <w:rFonts w:ascii="Arial Black" w:hAnsi="Arial Black"/>
          <w:b/>
          <w:bCs/>
          <w:sz w:val="28"/>
          <w:szCs w:val="28"/>
        </w:rPr>
      </w:pPr>
      <w:r>
        <w:rPr>
          <w:rFonts w:ascii="Arial Black" w:hAnsi="Arial Black"/>
          <w:b/>
          <w:bCs/>
          <w:sz w:val="28"/>
          <w:szCs w:val="28"/>
        </w:rPr>
        <w:t>NY: FDNY FF – ALLERGIC REACTION TO COVID 2</w:t>
      </w:r>
      <w:r w:rsidRPr="00D16292">
        <w:rPr>
          <w:rFonts w:ascii="Arial Black" w:hAnsi="Arial Black"/>
          <w:b/>
          <w:bCs/>
          <w:sz w:val="28"/>
          <w:szCs w:val="28"/>
          <w:vertAlign w:val="superscript"/>
        </w:rPr>
        <w:t>ND</w:t>
      </w:r>
      <w:r>
        <w:rPr>
          <w:rFonts w:ascii="Arial Black" w:hAnsi="Arial Black"/>
          <w:b/>
          <w:bCs/>
          <w:sz w:val="28"/>
          <w:szCs w:val="28"/>
        </w:rPr>
        <w:t xml:space="preserve"> SHOT – FORCED RETIRE – NOT “ACCIDENTAL” DISAB. RETIREMENT</w:t>
      </w:r>
    </w:p>
    <w:p w14:paraId="7ED7C0D8" w14:textId="77777777" w:rsidR="00C42282" w:rsidRDefault="00C42282" w:rsidP="00C42282">
      <w:pPr>
        <w:pStyle w:val="NormalWeb"/>
      </w:pPr>
      <w:r w:rsidRPr="008E4A59">
        <w:t xml:space="preserve">On Feb. 12, 2024, in </w:t>
      </w:r>
      <w:r w:rsidRPr="00BB0CE6">
        <w:rPr>
          <w:u w:val="single"/>
        </w:rPr>
        <w:t>O'Brian Pastran v. New York City Fire Pension Fund</w:t>
      </w:r>
      <w:r>
        <w:t xml:space="preserve">, Judge Arlene P. Bluth, Supreme Court, New York County, held that two Medical Boards voted to award the firefighter “ordinary” disability retirement, not accidental (75%) and there in not sufficient medical basis to reverse the Boards decision.  </w:t>
      </w:r>
    </w:p>
    <w:p w14:paraId="360E1C0D" w14:textId="77777777" w:rsidR="00C42282" w:rsidRPr="008E4A59" w:rsidRDefault="00C42282" w:rsidP="00C42282">
      <w:pPr>
        <w:pStyle w:val="NormalWeb"/>
      </w:pPr>
      <w:r>
        <w:t>The Judge held:</w:t>
      </w:r>
    </w:p>
    <w:p w14:paraId="5656E2AE" w14:textId="77777777" w:rsidR="00C42282" w:rsidRDefault="00C42282" w:rsidP="00C42282">
      <w:pPr>
        <w:ind w:left="720"/>
        <w:rPr>
          <w:rFonts w:ascii="Times New Roman" w:hAnsi="Times New Roman"/>
          <w:sz w:val="24"/>
          <w:szCs w:val="24"/>
        </w:rPr>
      </w:pPr>
      <w:r>
        <w:rPr>
          <w:rFonts w:ascii="Times New Roman" w:hAnsi="Times New Roman"/>
          <w:sz w:val="24"/>
          <w:szCs w:val="24"/>
        </w:rPr>
        <w:t>“</w:t>
      </w:r>
      <w:r w:rsidRPr="00461960">
        <w:rPr>
          <w:rFonts w:ascii="Times New Roman" w:hAnsi="Times New Roman"/>
          <w:sz w:val="24"/>
          <w:szCs w:val="24"/>
        </w:rPr>
        <w:t>Although it appears the Board of Trustees seriously considered granting petitioner ADR, petitioner unfortunately did not prevail in the final vote. That this Court may have significant admiration for petitioner's many years of service for the FDNY and compassion for his current physical ailments is not a sufficient basis upon which this Court can substitute its own judgment for that of respondents.</w:t>
      </w:r>
      <w:r>
        <w:rPr>
          <w:rFonts w:ascii="Times New Roman" w:hAnsi="Times New Roman"/>
          <w:sz w:val="24"/>
          <w:szCs w:val="24"/>
        </w:rPr>
        <w:t xml:space="preserve">” </w:t>
      </w:r>
      <w:hyperlink r:id="rId1140" w:history="1">
        <w:r w:rsidRPr="00644350">
          <w:rPr>
            <w:rStyle w:val="Hyperlink"/>
            <w:rFonts w:ascii="Times New Roman" w:hAnsi="Times New Roman"/>
            <w:sz w:val="24"/>
            <w:szCs w:val="24"/>
          </w:rPr>
          <w:t>https://casetext.com/case/pastrana-v-nyc-fire-pension-fund</w:t>
        </w:r>
      </w:hyperlink>
      <w:r>
        <w:rPr>
          <w:rFonts w:ascii="Times New Roman" w:hAnsi="Times New Roman"/>
          <w:sz w:val="24"/>
          <w:szCs w:val="24"/>
        </w:rPr>
        <w:t xml:space="preserve"> </w:t>
      </w:r>
    </w:p>
    <w:p w14:paraId="2C907A06" w14:textId="77777777" w:rsidR="00C42282" w:rsidRDefault="00C42282" w:rsidP="00C42282">
      <w:pPr>
        <w:pStyle w:val="NormalWeb"/>
      </w:pPr>
      <w:r w:rsidRPr="00195947">
        <w:rPr>
          <w:b/>
          <w:bCs/>
        </w:rPr>
        <w:t>Legal Lesson Learned:</w:t>
      </w:r>
      <w:r>
        <w:rPr>
          <w:b/>
          <w:bCs/>
        </w:rPr>
        <w:t xml:space="preserve"> To receive accidental disability retirement (75%), the firefighter must prove he became permanently incapacitated (physically or mentally) as result of an on-the-job accident not due to his willful negligence. </w:t>
      </w:r>
      <w:hyperlink r:id="rId1141" w:history="1">
        <w:r w:rsidRPr="00E8503C">
          <w:rPr>
            <w:rStyle w:val="Hyperlink"/>
          </w:rPr>
          <w:t>https://www.osc.ny.gov/retirement/publications/1512/accidental-disability</w:t>
        </w:r>
      </w:hyperlink>
      <w:r w:rsidRPr="00E8503C">
        <w:t xml:space="preserve"> </w:t>
      </w:r>
    </w:p>
    <w:p w14:paraId="38556BD6" w14:textId="77777777" w:rsidR="00C42282" w:rsidRDefault="00C42282" w:rsidP="00EF1133">
      <w:pPr>
        <w:rPr>
          <w:rFonts w:ascii="Arial Black" w:hAnsi="Arial Black"/>
          <w:b/>
          <w:sz w:val="24"/>
          <w:szCs w:val="24"/>
        </w:rPr>
      </w:pPr>
    </w:p>
    <w:p w14:paraId="63B478E1" w14:textId="77777777" w:rsidR="00AD7949" w:rsidRDefault="00AD7949" w:rsidP="00EF1133">
      <w:pPr>
        <w:rPr>
          <w:rFonts w:ascii="Arial Black" w:hAnsi="Arial Black"/>
          <w:b/>
          <w:sz w:val="24"/>
          <w:szCs w:val="24"/>
        </w:rPr>
      </w:pPr>
    </w:p>
    <w:p w14:paraId="43F9A71C" w14:textId="29BFB144" w:rsidR="00D73F92" w:rsidRDefault="00D73F92"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6</w:t>
      </w:r>
    </w:p>
    <w:p w14:paraId="07C0FC7C" w14:textId="77777777" w:rsidR="00255984" w:rsidRDefault="00255984" w:rsidP="00255984">
      <w:pPr>
        <w:pStyle w:val="NoSpacing"/>
        <w:rPr>
          <w:rFonts w:ascii="Arial Black" w:hAnsi="Arial Black"/>
          <w:sz w:val="28"/>
          <w:szCs w:val="28"/>
        </w:rPr>
      </w:pPr>
      <w:r>
        <w:rPr>
          <w:rFonts w:ascii="Arial Black" w:hAnsi="Arial Black"/>
          <w:sz w:val="28"/>
          <w:szCs w:val="28"/>
        </w:rPr>
        <w:t>VA: FF FRACTURED HIP 2014 – SCREWS – 6 YRS LATER TOTAL HIP – DENIED TEMP. TOTAL / PERM. IMPAIRMENT</w:t>
      </w:r>
    </w:p>
    <w:p w14:paraId="11A2CB62" w14:textId="77777777" w:rsidR="00255984" w:rsidRDefault="00255984" w:rsidP="00255984">
      <w:pPr>
        <w:pStyle w:val="NoSpacing"/>
        <w:rPr>
          <w:rFonts w:ascii="Arial Black" w:hAnsi="Arial Black"/>
          <w:sz w:val="28"/>
          <w:szCs w:val="28"/>
        </w:rPr>
      </w:pPr>
    </w:p>
    <w:p w14:paraId="2D613A21" w14:textId="77777777" w:rsidR="00255984" w:rsidRDefault="00255984" w:rsidP="00255984">
      <w:pPr>
        <w:pStyle w:val="NoSpacing"/>
        <w:rPr>
          <w:rFonts w:ascii="Times New Roman" w:hAnsi="Times New Roman"/>
          <w:sz w:val="24"/>
          <w:szCs w:val="24"/>
        </w:rPr>
      </w:pPr>
      <w:r>
        <w:rPr>
          <w:rFonts w:ascii="Times New Roman" w:hAnsi="Times New Roman"/>
          <w:sz w:val="24"/>
          <w:szCs w:val="24"/>
        </w:rPr>
        <w:t xml:space="preserve">On Jan. 30, 2024, in </w:t>
      </w:r>
      <w:r w:rsidRPr="00A14439">
        <w:rPr>
          <w:rFonts w:ascii="Times New Roman" w:hAnsi="Times New Roman"/>
          <w:sz w:val="24"/>
          <w:szCs w:val="24"/>
          <w:u w:val="single"/>
        </w:rPr>
        <w:t>Joshua Stanton v. Virginia Beach – Fire Operations</w:t>
      </w:r>
      <w:r>
        <w:rPr>
          <w:rFonts w:ascii="Times New Roman" w:hAnsi="Times New Roman"/>
          <w:sz w:val="24"/>
          <w:szCs w:val="24"/>
        </w:rPr>
        <w:t xml:space="preserve">, the Court of Appeals of Virginia, held (3 to 0) that Virginia Worker’s Compensation Commission properly held that the firefighter was not entitled to temporary total and permanent impairment coverage for a “changed condition.”  On Aug. 30, </w:t>
      </w:r>
      <w:proofErr w:type="gramStart"/>
      <w:r>
        <w:rPr>
          <w:rFonts w:ascii="Times New Roman" w:hAnsi="Times New Roman"/>
          <w:sz w:val="24"/>
          <w:szCs w:val="24"/>
        </w:rPr>
        <w:t>2014</w:t>
      </w:r>
      <w:proofErr w:type="gramEnd"/>
      <w:r>
        <w:rPr>
          <w:rFonts w:ascii="Times New Roman" w:hAnsi="Times New Roman"/>
          <w:sz w:val="24"/>
          <w:szCs w:val="24"/>
        </w:rPr>
        <w:t xml:space="preserve"> he fractured his hip on duty (3 screws), and </w:t>
      </w:r>
      <w:proofErr w:type="gramStart"/>
      <w:r>
        <w:rPr>
          <w:rFonts w:ascii="Times New Roman" w:hAnsi="Times New Roman"/>
          <w:sz w:val="24"/>
          <w:szCs w:val="24"/>
        </w:rPr>
        <w:t>returned</w:t>
      </w:r>
      <w:proofErr w:type="gramEnd"/>
      <w:r>
        <w:rPr>
          <w:rFonts w:ascii="Times New Roman" w:hAnsi="Times New Roman"/>
          <w:sz w:val="24"/>
          <w:szCs w:val="24"/>
        </w:rPr>
        <w:t xml:space="preserve"> full duty Sept. 2015.  He then worked full duty for net six </w:t>
      </w:r>
      <w:proofErr w:type="gramStart"/>
      <w:r>
        <w:rPr>
          <w:rFonts w:ascii="Times New Roman" w:hAnsi="Times New Roman"/>
          <w:sz w:val="24"/>
          <w:szCs w:val="24"/>
        </w:rPr>
        <w:t>year</w:t>
      </w:r>
      <w:proofErr w:type="gramEnd"/>
      <w:r>
        <w:rPr>
          <w:rFonts w:ascii="Times New Roman" w:hAnsi="Times New Roman"/>
          <w:sz w:val="24"/>
          <w:szCs w:val="24"/>
        </w:rPr>
        <w:t>, until he needed total hip replacement Aug. 31, 2021; on light duty until returned full duty Nov. 2021.  The Court agreed with the Commission - his claim for t</w:t>
      </w:r>
      <w:r w:rsidRPr="005A7E8F">
        <w:rPr>
          <w:rFonts w:ascii="Times New Roman" w:hAnsi="Times New Roman"/>
          <w:sz w:val="24"/>
          <w:szCs w:val="24"/>
        </w:rPr>
        <w:t xml:space="preserve">emporary total disability and permanent impairment </w:t>
      </w:r>
      <w:r>
        <w:rPr>
          <w:rFonts w:ascii="Times New Roman" w:hAnsi="Times New Roman"/>
          <w:sz w:val="24"/>
          <w:szCs w:val="24"/>
        </w:rPr>
        <w:t xml:space="preserve">were </w:t>
      </w:r>
      <w:r w:rsidRPr="005A7E8F">
        <w:rPr>
          <w:rFonts w:ascii="Times New Roman" w:hAnsi="Times New Roman"/>
          <w:sz w:val="24"/>
          <w:szCs w:val="24"/>
        </w:rPr>
        <w:t>untimely</w:t>
      </w:r>
      <w:r>
        <w:rPr>
          <w:rFonts w:ascii="Times New Roman" w:hAnsi="Times New Roman"/>
          <w:sz w:val="24"/>
          <w:szCs w:val="24"/>
        </w:rPr>
        <w:t xml:space="preserve"> since not made with two </w:t>
      </w:r>
      <w:proofErr w:type="gramStart"/>
      <w:r>
        <w:rPr>
          <w:rFonts w:ascii="Times New Roman" w:hAnsi="Times New Roman"/>
          <w:sz w:val="24"/>
          <w:szCs w:val="24"/>
        </w:rPr>
        <w:t>year</w:t>
      </w:r>
      <w:proofErr w:type="gramEnd"/>
      <w:r>
        <w:rPr>
          <w:rFonts w:ascii="Times New Roman" w:hAnsi="Times New Roman"/>
          <w:sz w:val="24"/>
          <w:szCs w:val="24"/>
        </w:rPr>
        <w:t xml:space="preserve"> of last </w:t>
      </w:r>
      <w:proofErr w:type="gramStart"/>
      <w:r>
        <w:rPr>
          <w:rFonts w:ascii="Times New Roman" w:hAnsi="Times New Roman"/>
          <w:sz w:val="24"/>
          <w:szCs w:val="24"/>
        </w:rPr>
        <w:t>workers</w:t>
      </w:r>
      <w:proofErr w:type="gramEnd"/>
      <w:r>
        <w:rPr>
          <w:rFonts w:ascii="Times New Roman" w:hAnsi="Times New Roman"/>
          <w:sz w:val="24"/>
          <w:szCs w:val="24"/>
        </w:rPr>
        <w:t xml:space="preserve"> comp payment (six years prior).</w:t>
      </w:r>
    </w:p>
    <w:p w14:paraId="05FFE16D" w14:textId="77777777" w:rsidR="00255984" w:rsidRDefault="00255984" w:rsidP="00255984">
      <w:pPr>
        <w:pStyle w:val="NoSpacing"/>
        <w:rPr>
          <w:rFonts w:ascii="Times New Roman" w:hAnsi="Times New Roman"/>
          <w:sz w:val="24"/>
          <w:szCs w:val="24"/>
        </w:rPr>
      </w:pPr>
    </w:p>
    <w:p w14:paraId="4477D97B" w14:textId="77777777" w:rsidR="00255984" w:rsidRDefault="00255984" w:rsidP="00255984">
      <w:pPr>
        <w:pStyle w:val="NoSpacing"/>
        <w:ind w:left="720"/>
        <w:rPr>
          <w:rFonts w:ascii="Times New Roman" w:hAnsi="Times New Roman"/>
          <w:sz w:val="24"/>
          <w:szCs w:val="24"/>
        </w:rPr>
      </w:pPr>
      <w:r>
        <w:rPr>
          <w:rFonts w:ascii="Times New Roman" w:hAnsi="Times New Roman"/>
          <w:sz w:val="24"/>
          <w:szCs w:val="24"/>
        </w:rPr>
        <w:t>“T</w:t>
      </w:r>
      <w:r w:rsidRPr="00CB1BAF">
        <w:rPr>
          <w:rFonts w:ascii="Times New Roman" w:hAnsi="Times New Roman"/>
          <w:sz w:val="24"/>
          <w:szCs w:val="24"/>
        </w:rPr>
        <w:t>hus, September of 2015 was the last time that</w:t>
      </w:r>
      <w:r>
        <w:rPr>
          <w:rFonts w:ascii="Times New Roman" w:hAnsi="Times New Roman"/>
          <w:sz w:val="24"/>
          <w:szCs w:val="24"/>
        </w:rPr>
        <w:t xml:space="preserve"> </w:t>
      </w:r>
      <w:r w:rsidRPr="00CB1BAF">
        <w:rPr>
          <w:rFonts w:ascii="Times New Roman" w:hAnsi="Times New Roman"/>
          <w:sz w:val="24"/>
          <w:szCs w:val="24"/>
        </w:rPr>
        <w:t xml:space="preserve">Stanton received compensation </w:t>
      </w:r>
      <w:r>
        <w:rPr>
          <w:rFonts w:ascii="Times New Roman" w:hAnsi="Times New Roman"/>
          <w:sz w:val="24"/>
          <w:szCs w:val="24"/>
        </w:rPr>
        <w:t>‘</w:t>
      </w:r>
      <w:r w:rsidRPr="00CB1BAF">
        <w:rPr>
          <w:rFonts w:ascii="Times New Roman" w:hAnsi="Times New Roman"/>
          <w:sz w:val="24"/>
          <w:szCs w:val="24"/>
        </w:rPr>
        <w:t>pursuant to an award.</w:t>
      </w:r>
      <w:r>
        <w:rPr>
          <w:rFonts w:ascii="Times New Roman" w:hAnsi="Times New Roman"/>
          <w:sz w:val="24"/>
          <w:szCs w:val="24"/>
        </w:rPr>
        <w:t>’</w:t>
      </w:r>
      <w:r w:rsidRPr="00CB1BAF">
        <w:rPr>
          <w:rFonts w:ascii="Times New Roman" w:hAnsi="Times New Roman"/>
          <w:sz w:val="24"/>
          <w:szCs w:val="24"/>
        </w:rPr>
        <w:t xml:space="preserve"> As a result, the two-year statute of</w:t>
      </w:r>
      <w:r>
        <w:rPr>
          <w:rFonts w:ascii="Times New Roman" w:hAnsi="Times New Roman"/>
          <w:sz w:val="24"/>
          <w:szCs w:val="24"/>
        </w:rPr>
        <w:t xml:space="preserve"> </w:t>
      </w:r>
      <w:r w:rsidRPr="00CB1BAF">
        <w:rPr>
          <w:rFonts w:ascii="Times New Roman" w:hAnsi="Times New Roman"/>
          <w:sz w:val="24"/>
          <w:szCs w:val="24"/>
        </w:rPr>
        <w:t>limitations period under Code § 65.2-708(A) began in September of 2015, and any tolling of</w:t>
      </w:r>
      <w:r>
        <w:rPr>
          <w:rFonts w:ascii="Times New Roman" w:hAnsi="Times New Roman"/>
          <w:sz w:val="24"/>
          <w:szCs w:val="24"/>
        </w:rPr>
        <w:t xml:space="preserve"> </w:t>
      </w:r>
      <w:r w:rsidRPr="00CB1BAF">
        <w:rPr>
          <w:rFonts w:ascii="Times New Roman" w:hAnsi="Times New Roman"/>
          <w:sz w:val="24"/>
          <w:szCs w:val="24"/>
        </w:rPr>
        <w:t>subsection (A) due to the fulfillment of the conditions described in subsection (C) would need to</w:t>
      </w:r>
      <w:r>
        <w:rPr>
          <w:rFonts w:ascii="Times New Roman" w:hAnsi="Times New Roman"/>
          <w:sz w:val="24"/>
          <w:szCs w:val="24"/>
        </w:rPr>
        <w:t xml:space="preserve"> </w:t>
      </w:r>
      <w:r w:rsidRPr="00CB1BAF">
        <w:rPr>
          <w:rFonts w:ascii="Times New Roman" w:hAnsi="Times New Roman"/>
          <w:sz w:val="24"/>
          <w:szCs w:val="24"/>
        </w:rPr>
        <w:t>have occurred in the following 24 months. Since Stanton was not placed on light duty again until</w:t>
      </w:r>
      <w:r>
        <w:rPr>
          <w:rFonts w:ascii="Times New Roman" w:hAnsi="Times New Roman"/>
          <w:sz w:val="24"/>
          <w:szCs w:val="24"/>
        </w:rPr>
        <w:t xml:space="preserve"> </w:t>
      </w:r>
      <w:r w:rsidRPr="00CB1BAF">
        <w:rPr>
          <w:rFonts w:ascii="Times New Roman" w:hAnsi="Times New Roman"/>
          <w:sz w:val="24"/>
          <w:szCs w:val="24"/>
        </w:rPr>
        <w:t>six years later in October of 2021 after undergoing hip replacement surgery, he may have fulfilled</w:t>
      </w:r>
      <w:r>
        <w:rPr>
          <w:rFonts w:ascii="Times New Roman" w:hAnsi="Times New Roman"/>
          <w:sz w:val="24"/>
          <w:szCs w:val="24"/>
        </w:rPr>
        <w:t xml:space="preserve"> </w:t>
      </w:r>
      <w:r w:rsidRPr="00CB1BAF">
        <w:rPr>
          <w:rFonts w:ascii="Times New Roman" w:hAnsi="Times New Roman"/>
          <w:sz w:val="24"/>
          <w:szCs w:val="24"/>
        </w:rPr>
        <w:t>the conditions as expressed in subsection (C), but he did so outside of the statute of limitations of</w:t>
      </w:r>
      <w:r>
        <w:rPr>
          <w:rFonts w:ascii="Times New Roman" w:hAnsi="Times New Roman"/>
          <w:sz w:val="24"/>
          <w:szCs w:val="24"/>
        </w:rPr>
        <w:t xml:space="preserve"> </w:t>
      </w:r>
      <w:r w:rsidRPr="00CB1BAF">
        <w:rPr>
          <w:rFonts w:ascii="Times New Roman" w:hAnsi="Times New Roman"/>
          <w:sz w:val="24"/>
          <w:szCs w:val="24"/>
        </w:rPr>
        <w:t>subsection (A). Therefore, we find no error in the Commission’s finding and affirm the</w:t>
      </w:r>
      <w:r>
        <w:rPr>
          <w:rFonts w:ascii="Times New Roman" w:hAnsi="Times New Roman"/>
          <w:sz w:val="24"/>
          <w:szCs w:val="24"/>
        </w:rPr>
        <w:t xml:space="preserve"> </w:t>
      </w:r>
      <w:r w:rsidRPr="000E7188">
        <w:rPr>
          <w:rFonts w:ascii="Times New Roman" w:hAnsi="Times New Roman"/>
          <w:sz w:val="24"/>
          <w:szCs w:val="24"/>
        </w:rPr>
        <w:t>Commission’s decision</w:t>
      </w:r>
      <w:r>
        <w:rPr>
          <w:rFonts w:ascii="Times New Roman" w:hAnsi="Times New Roman"/>
          <w:sz w:val="24"/>
          <w:szCs w:val="24"/>
        </w:rPr>
        <w:t xml:space="preserve">.” </w:t>
      </w:r>
      <w:hyperlink r:id="rId1142" w:history="1">
        <w:r w:rsidRPr="00665549">
          <w:rPr>
            <w:rStyle w:val="Hyperlink"/>
            <w:rFonts w:ascii="Times New Roman" w:hAnsi="Times New Roman"/>
            <w:sz w:val="24"/>
            <w:szCs w:val="24"/>
          </w:rPr>
          <w:t>https://cases.justia.com/virginia/court-of-appeals-published/2024-0344-23-1.pdf?ts=1706633278</w:t>
        </w:r>
      </w:hyperlink>
      <w:r>
        <w:rPr>
          <w:rFonts w:ascii="Times New Roman" w:hAnsi="Times New Roman"/>
          <w:sz w:val="24"/>
          <w:szCs w:val="24"/>
        </w:rPr>
        <w:t xml:space="preserve"> </w:t>
      </w:r>
    </w:p>
    <w:p w14:paraId="4C187E9F" w14:textId="77777777" w:rsidR="00D73F92" w:rsidRDefault="00D73F92" w:rsidP="00EF1133">
      <w:pPr>
        <w:rPr>
          <w:rFonts w:ascii="Arial Black" w:hAnsi="Arial Black"/>
          <w:b/>
          <w:sz w:val="24"/>
          <w:szCs w:val="24"/>
        </w:rPr>
      </w:pPr>
    </w:p>
    <w:p w14:paraId="07C249E1" w14:textId="77777777" w:rsidR="00A763AF" w:rsidRPr="001662AE" w:rsidRDefault="00A763AF" w:rsidP="00A763AF">
      <w:pPr>
        <w:pStyle w:val="NoSpacing"/>
        <w:rPr>
          <w:rFonts w:ascii="Times New Roman" w:hAnsi="Times New Roman"/>
          <w:b/>
          <w:bCs/>
          <w:sz w:val="24"/>
          <w:szCs w:val="24"/>
        </w:rPr>
      </w:pPr>
      <w:r w:rsidRPr="001662AE">
        <w:rPr>
          <w:rFonts w:ascii="Times New Roman" w:hAnsi="Times New Roman"/>
          <w:b/>
          <w:bCs/>
          <w:sz w:val="24"/>
          <w:szCs w:val="24"/>
        </w:rPr>
        <w:t xml:space="preserve">Legal Lesson Learned: The parties agreed that if he had received a prosthesis in 2014, instead of three screws, then a “repair replacement” of the prosthesis in 2021 would have been covered. </w:t>
      </w:r>
    </w:p>
    <w:p w14:paraId="22254842" w14:textId="77777777" w:rsidR="000C0691" w:rsidRDefault="000C0691" w:rsidP="00EF1133">
      <w:pPr>
        <w:rPr>
          <w:rFonts w:ascii="Arial Black" w:hAnsi="Arial Black"/>
          <w:b/>
          <w:sz w:val="24"/>
          <w:szCs w:val="24"/>
        </w:rPr>
      </w:pPr>
    </w:p>
    <w:p w14:paraId="3FB7A6E0" w14:textId="77777777" w:rsidR="00D73F92" w:rsidRDefault="00D73F92" w:rsidP="00EF1133">
      <w:pPr>
        <w:rPr>
          <w:rFonts w:ascii="Arial Black" w:hAnsi="Arial Black"/>
          <w:b/>
          <w:sz w:val="24"/>
          <w:szCs w:val="24"/>
        </w:rPr>
      </w:pPr>
    </w:p>
    <w:p w14:paraId="54FAEB81" w14:textId="77777777" w:rsidR="00D73F92" w:rsidRDefault="00D73F92" w:rsidP="00EF1133">
      <w:pPr>
        <w:rPr>
          <w:rFonts w:ascii="Arial Black" w:hAnsi="Arial Black"/>
          <w:b/>
          <w:sz w:val="24"/>
          <w:szCs w:val="24"/>
        </w:rPr>
      </w:pPr>
    </w:p>
    <w:p w14:paraId="338BCD41" w14:textId="77777777" w:rsidR="002744EE" w:rsidRDefault="002744EE" w:rsidP="00EF1133">
      <w:pPr>
        <w:rPr>
          <w:rFonts w:ascii="Arial Black" w:hAnsi="Arial Black"/>
          <w:b/>
          <w:sz w:val="24"/>
          <w:szCs w:val="24"/>
        </w:rPr>
      </w:pPr>
    </w:p>
    <w:p w14:paraId="0E824F22" w14:textId="449FD04F" w:rsidR="00F33E0E" w:rsidRDefault="004668C7"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5</w:t>
      </w:r>
    </w:p>
    <w:p w14:paraId="7A744957" w14:textId="77777777" w:rsidR="00542190" w:rsidRDefault="00542190" w:rsidP="00542190">
      <w:pPr>
        <w:pStyle w:val="NormalWeb"/>
        <w:rPr>
          <w:rFonts w:ascii="Arial Black" w:hAnsi="Arial Black"/>
          <w:sz w:val="28"/>
          <w:szCs w:val="28"/>
        </w:rPr>
      </w:pPr>
      <w:r>
        <w:rPr>
          <w:rFonts w:ascii="Arial Black" w:hAnsi="Arial Black"/>
          <w:sz w:val="28"/>
          <w:szCs w:val="28"/>
        </w:rPr>
        <w:t xml:space="preserve">TN: PTSD - </w:t>
      </w:r>
      <w:r w:rsidRPr="003C4F4B">
        <w:rPr>
          <w:rFonts w:ascii="Arial Black" w:hAnsi="Arial Black"/>
          <w:sz w:val="28"/>
          <w:szCs w:val="28"/>
        </w:rPr>
        <w:t>CHATTANOOGA</w:t>
      </w:r>
      <w:r>
        <w:rPr>
          <w:rFonts w:ascii="Arial Black" w:hAnsi="Arial Black"/>
          <w:sz w:val="28"/>
          <w:szCs w:val="28"/>
        </w:rPr>
        <w:t xml:space="preserve"> – COURT ORDERS FIRE &amp; POLICE FUND GRANT FF JOB-RELATED DISAB. PENSION </w:t>
      </w:r>
    </w:p>
    <w:p w14:paraId="5A2E8631" w14:textId="77777777" w:rsidR="00542190" w:rsidRDefault="00542190" w:rsidP="00542190">
      <w:pPr>
        <w:pStyle w:val="NormalWeb"/>
      </w:pPr>
      <w:r>
        <w:t xml:space="preserve">On Dec. 18, 2023, in </w:t>
      </w:r>
      <w:r w:rsidRPr="001D0F2C">
        <w:rPr>
          <w:u w:val="single"/>
        </w:rPr>
        <w:t xml:space="preserve">Matthew Long v. Chattanooga Fire </w:t>
      </w:r>
      <w:proofErr w:type="gramStart"/>
      <w:r w:rsidRPr="001D0F2C">
        <w:rPr>
          <w:u w:val="single"/>
        </w:rPr>
        <w:t>And</w:t>
      </w:r>
      <w:proofErr w:type="gramEnd"/>
      <w:r w:rsidRPr="001D0F2C">
        <w:rPr>
          <w:u w:val="single"/>
        </w:rPr>
        <w:t xml:space="preserve"> Police Fund</w:t>
      </w:r>
      <w:r>
        <w:t>, the Court of Appeals of Tennessee held (3 to 0) that trial court judge properly ordered the Fund a job-</w:t>
      </w:r>
      <w:proofErr w:type="gramStart"/>
      <w:r>
        <w:t>related disability</w:t>
      </w:r>
      <w:proofErr w:type="gramEnd"/>
      <w:r>
        <w:t xml:space="preserve"> pension for firefighter’s PTSD. Board’s policy requiring proof of “undesigned and unexpected” traumatic event makes it impossible for most fire and police to receive pension. The Court wrote: “The Policy provides that an applicant can only obtain benefits for a job-related disability based on PTSD if the disability “is a direct result of a traumatic event that is . . . b. undesigned and unexpected[.]” However, the Policy makes no effort to define the term ‘unexpected,’ nor is that term defined in any controlling legal authority or caselaw. As a result, this portion of the Policy is ambiguous.  *** Here, “unexpected” is not defined in the Plan, and there is no binding Tennessee caselaw construing a similar plan provision. Yet, the Fund essentially argues that the term “unexpected” should be construed to mean that the event giving rise to benefits is entirely unforeseeable.” *** Accordingly, the Board relied on an undefined, ambiguous term in the Plan to deny Long’s benefits and then offered no explanation as to its reasoning. Inasmuch as the Board construed the Plan’s terms in favor of the Fund, instead of in favor of Long, its decision was arbitrary, capricious, and contrary to Tennessee law.” </w:t>
      </w:r>
      <w:hyperlink r:id="rId1143" w:history="1">
        <w:r w:rsidRPr="0044657D">
          <w:rPr>
            <w:rStyle w:val="Hyperlink"/>
          </w:rPr>
          <w:t>https://cases.justia.com/tennessee/court-of-appeals/2023-e2022-01151-coa-r3-cv.pdf?ts=1703121841</w:t>
        </w:r>
      </w:hyperlink>
      <w:r>
        <w:t xml:space="preserve"> </w:t>
      </w:r>
    </w:p>
    <w:p w14:paraId="3C3CF2C0" w14:textId="77777777" w:rsidR="002744EE" w:rsidRPr="00EE0B9A" w:rsidRDefault="002744EE" w:rsidP="002744EE">
      <w:pPr>
        <w:pStyle w:val="NoSpacing"/>
        <w:rPr>
          <w:rFonts w:ascii="Times New Roman" w:hAnsi="Times New Roman"/>
          <w:b/>
          <w:bCs/>
          <w:sz w:val="24"/>
          <w:szCs w:val="24"/>
        </w:rPr>
      </w:pPr>
      <w:r w:rsidRPr="00EE0B9A">
        <w:rPr>
          <w:rFonts w:ascii="Times New Roman" w:hAnsi="Times New Roman"/>
          <w:b/>
          <w:bCs/>
          <w:sz w:val="24"/>
          <w:szCs w:val="24"/>
        </w:rPr>
        <w:t xml:space="preserve">Legal Lesson Learned: </w:t>
      </w:r>
      <w:r>
        <w:rPr>
          <w:rFonts w:ascii="Times New Roman" w:hAnsi="Times New Roman"/>
          <w:b/>
          <w:bCs/>
          <w:sz w:val="24"/>
          <w:szCs w:val="24"/>
        </w:rPr>
        <w:t xml:space="preserve"> The Board needs to better define “unexpected” traumatic events that will be covered for PTSD disability pension. </w:t>
      </w:r>
    </w:p>
    <w:p w14:paraId="09398639" w14:textId="77777777" w:rsidR="002744EE" w:rsidRDefault="002744EE" w:rsidP="002744EE">
      <w:pPr>
        <w:pStyle w:val="NoSpacing"/>
        <w:rPr>
          <w:rFonts w:ascii="Times New Roman" w:hAnsi="Times New Roman"/>
          <w:sz w:val="24"/>
          <w:szCs w:val="24"/>
        </w:rPr>
      </w:pPr>
    </w:p>
    <w:p w14:paraId="7EDEF459" w14:textId="77777777" w:rsidR="002744EE" w:rsidRDefault="002744EE" w:rsidP="002744EE">
      <w:pPr>
        <w:pStyle w:val="NoSpacing"/>
        <w:ind w:left="720"/>
      </w:pPr>
      <w:r>
        <w:rPr>
          <w:rFonts w:ascii="Times New Roman" w:hAnsi="Times New Roman"/>
          <w:sz w:val="24"/>
          <w:szCs w:val="24"/>
        </w:rPr>
        <w:t xml:space="preserve">Note: See video of oral argument before Court of Appeals in this case. </w:t>
      </w:r>
      <w:hyperlink r:id="rId1144" w:anchor="fpstate=ive&amp;vld=cid:c519e51a,vid:fx8S8hEp9_s,st:0" w:history="1">
        <w:r w:rsidRPr="00A7078E">
          <w:rPr>
            <w:rStyle w:val="Hyperlink"/>
          </w:rPr>
          <w:t>https://www.google.com/search?channel=frsc&amp;client=firefox-b-1-d&amp;q=MATTHEW+LONG+v.+CHATTANOOGA+FIRE+AND+POLICE+PENSION+FUND+No.+E2022-01151-COA-R3-CV+%7C+June+20%2C+2023+Session+%7C+#fpstate=ive&amp;vld=cid:c519e51a,vid:fx8S8hEp9_s,st:0</w:t>
        </w:r>
      </w:hyperlink>
    </w:p>
    <w:p w14:paraId="37A4F4F8" w14:textId="77777777" w:rsidR="004668C7" w:rsidRDefault="004668C7" w:rsidP="00EF1133">
      <w:pPr>
        <w:rPr>
          <w:rFonts w:ascii="Arial Black" w:hAnsi="Arial Black"/>
          <w:b/>
          <w:sz w:val="24"/>
          <w:szCs w:val="24"/>
        </w:rPr>
      </w:pPr>
    </w:p>
    <w:p w14:paraId="07D20297" w14:textId="77777777" w:rsidR="004668C7" w:rsidRDefault="004668C7" w:rsidP="00EF1133">
      <w:pPr>
        <w:rPr>
          <w:rFonts w:ascii="Arial Black" w:hAnsi="Arial Black"/>
          <w:b/>
          <w:sz w:val="24"/>
          <w:szCs w:val="24"/>
        </w:rPr>
      </w:pPr>
    </w:p>
    <w:p w14:paraId="4D7F707D" w14:textId="4A4A40B3" w:rsidR="00554962" w:rsidRDefault="00554962"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4</w:t>
      </w:r>
    </w:p>
    <w:p w14:paraId="71156FBD" w14:textId="77777777" w:rsidR="00F33E0E" w:rsidRPr="008F275A" w:rsidRDefault="00F33E0E" w:rsidP="00F33E0E">
      <w:pPr>
        <w:pStyle w:val="NormalWeb"/>
        <w:rPr>
          <w:rFonts w:ascii="Arial Black" w:hAnsi="Arial Black"/>
          <w:sz w:val="28"/>
          <w:szCs w:val="28"/>
        </w:rPr>
      </w:pPr>
      <w:r>
        <w:rPr>
          <w:rFonts w:ascii="Arial Black" w:hAnsi="Arial Black"/>
          <w:sz w:val="28"/>
          <w:szCs w:val="28"/>
        </w:rPr>
        <w:t>FL: FF HEART REPLACEMENT – STATUTORY PRESUMPTION -  COUNTY FAILED PROVE CAUSED BY OFF DUTY COVID-19</w:t>
      </w:r>
    </w:p>
    <w:p w14:paraId="2108FE6D" w14:textId="5E6CA530" w:rsidR="00F33E0E" w:rsidRPr="00F33E0E" w:rsidRDefault="00F33E0E" w:rsidP="00F33E0E">
      <w:pPr>
        <w:rPr>
          <w:rFonts w:ascii="Times New Roman" w:hAnsi="Times New Roman"/>
          <w:b/>
          <w:sz w:val="24"/>
          <w:szCs w:val="24"/>
        </w:rPr>
      </w:pPr>
      <w:r w:rsidRPr="00F33E0E">
        <w:rPr>
          <w:rFonts w:ascii="Times New Roman" w:hAnsi="Times New Roman"/>
          <w:sz w:val="24"/>
          <w:szCs w:val="24"/>
        </w:rPr>
        <w:t xml:space="preserve">On Dec. 13, 2023, in </w:t>
      </w:r>
      <w:r w:rsidRPr="00F33E0E">
        <w:rPr>
          <w:rFonts w:ascii="Times New Roman" w:hAnsi="Times New Roman"/>
          <w:sz w:val="24"/>
          <w:szCs w:val="24"/>
          <w:u w:val="single"/>
        </w:rPr>
        <w:t>Seminole County, Florisa and John Eastern Company, Inc. v. Chad Braden</w:t>
      </w:r>
      <w:r w:rsidRPr="00F33E0E">
        <w:rPr>
          <w:rFonts w:ascii="Times New Roman" w:hAnsi="Times New Roman"/>
          <w:sz w:val="24"/>
          <w:szCs w:val="24"/>
        </w:rPr>
        <w:t xml:space="preserve">, the Florida Court of Appeals, First District, held (3 to 0) that the Judge of Compensation Claims (JCC), properly awarded workers' compensation benefits to firefighter Chad Braden. The Court wrote: “Rather, we consider only whether Seminole County met its burden to overcome the statutory burden of work causation. Under these facts, we find competent evidence supports the JCC's determination that Seminole County failed to rebut the statutory presumption.”  </w:t>
      </w:r>
      <w:hyperlink r:id="rId1145" w:history="1">
        <w:r w:rsidRPr="00F33E0E">
          <w:rPr>
            <w:rStyle w:val="Hyperlink"/>
            <w:rFonts w:ascii="Times New Roman" w:hAnsi="Times New Roman"/>
            <w:sz w:val="24"/>
            <w:szCs w:val="24"/>
          </w:rPr>
          <w:t>https://public.fastcase.com/ZZhmr5v9wN%2FXOe5IsQ%2FqD597Cj8vEFtFKU6dv%2BnWYID0RND2DGxx0gwPm3LnKjbN?utm_medium=email&amp;_hsmi=226712652&amp;_hsenc=p2ANqtz-9VqkDv3iEaCOhGJ0e7W649YKVFgXPPT1K4rwfEfIma89pOhcAxwCchfIpHNeRMlfH4gAwQhfXkNV3ClRJYpxBL670A4g&amp;utm_content=226712652&amp;utm_source=hs_email</w:t>
        </w:r>
      </w:hyperlink>
    </w:p>
    <w:p w14:paraId="16EEA3AE" w14:textId="77777777" w:rsidR="004668C7" w:rsidRDefault="004668C7" w:rsidP="004668C7">
      <w:pPr>
        <w:pStyle w:val="NormalWeb"/>
        <w:rPr>
          <w:b/>
          <w:bCs/>
        </w:rPr>
      </w:pPr>
      <w:r w:rsidRPr="000664E1">
        <w:rPr>
          <w:b/>
          <w:bCs/>
        </w:rPr>
        <w:t>Legal Lesson Learned:</w:t>
      </w:r>
      <w:r>
        <w:rPr>
          <w:b/>
          <w:bCs/>
        </w:rPr>
        <w:t xml:space="preserve"> The FL statutory presumption properly puts burden on employer to prove heart issues were not caused by the job. </w:t>
      </w:r>
    </w:p>
    <w:p w14:paraId="26524411" w14:textId="77777777" w:rsidR="00554962" w:rsidRDefault="00554962" w:rsidP="00EF1133">
      <w:pPr>
        <w:rPr>
          <w:rFonts w:ascii="Arial Black" w:hAnsi="Arial Black"/>
          <w:b/>
          <w:sz w:val="24"/>
          <w:szCs w:val="24"/>
        </w:rPr>
      </w:pPr>
    </w:p>
    <w:p w14:paraId="46A0881E" w14:textId="77777777" w:rsidR="00554962" w:rsidRDefault="00554962" w:rsidP="00EF1133">
      <w:pPr>
        <w:rPr>
          <w:rFonts w:ascii="Arial Black" w:hAnsi="Arial Black"/>
          <w:b/>
          <w:sz w:val="24"/>
          <w:szCs w:val="24"/>
        </w:rPr>
      </w:pPr>
    </w:p>
    <w:p w14:paraId="49277BC9" w14:textId="28637DCA" w:rsidR="00841FB9" w:rsidRDefault="00841FB9"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3</w:t>
      </w:r>
    </w:p>
    <w:p w14:paraId="5A5776CA" w14:textId="77777777" w:rsidR="00841FB9" w:rsidRDefault="00841FB9" w:rsidP="00841FB9">
      <w:pPr>
        <w:pStyle w:val="NormalWeb"/>
        <w:rPr>
          <w:rFonts w:ascii="Arial Black" w:hAnsi="Arial Black"/>
          <w:b/>
          <w:bCs/>
          <w:sz w:val="28"/>
          <w:szCs w:val="28"/>
        </w:rPr>
      </w:pPr>
      <w:r>
        <w:rPr>
          <w:rFonts w:ascii="Arial Black" w:hAnsi="Arial Black"/>
          <w:b/>
          <w:bCs/>
          <w:sz w:val="28"/>
          <w:szCs w:val="28"/>
        </w:rPr>
        <w:t xml:space="preserve">OR: PROSTATE CANCER – STAUTORY PRESUMPTION – EMPLOYER FAILED TO OVERCOME PRESUMPTION </w:t>
      </w:r>
    </w:p>
    <w:p w14:paraId="68750709" w14:textId="77777777" w:rsidR="00841FB9" w:rsidRDefault="00841FB9" w:rsidP="00841FB9">
      <w:pPr>
        <w:pStyle w:val="NormalWeb"/>
      </w:pPr>
      <w:r w:rsidRPr="00561FB7">
        <w:t xml:space="preserve">On Dec. 6, 2023, </w:t>
      </w:r>
      <w:r w:rsidRPr="00532D49">
        <w:rPr>
          <w:u w:val="single"/>
        </w:rPr>
        <w:t xml:space="preserve">In the Matter of the Compensation of Stephen Smith;  Marion County Fire </w:t>
      </w:r>
      <w:proofErr w:type="gramStart"/>
      <w:r w:rsidRPr="00532D49">
        <w:rPr>
          <w:u w:val="single"/>
        </w:rPr>
        <w:t>District #1</w:t>
      </w:r>
      <w:proofErr w:type="gramEnd"/>
      <w:r w:rsidRPr="00532D49">
        <w:rPr>
          <w:u w:val="single"/>
        </w:rPr>
        <w:t xml:space="preserve"> v. Stephen Smith</w:t>
      </w:r>
      <w:r>
        <w:t xml:space="preserve">, the Court of Appeals of Oregon held (3 to 0; nonprecedential memorandum </w:t>
      </w:r>
      <w:proofErr w:type="spellStart"/>
      <w:r>
        <w:t>opinio</w:t>
      </w:r>
      <w:proofErr w:type="spellEnd"/>
      <w:r>
        <w:t xml:space="preserve">) that the Workers’ Compensation Board properly held for the firefighter.  The Court wrote: “This case concerns whether the Workers' Compensation Board (board) properly construed and applied the so-called ‘firefighter's presumption’ when it reversed employer's denial of claimant's occupational disease claim. *** The board reasoned that Dr. Beer's opinion was largely based on the conclusion that the causes of prostate cancer are unknown. The board correctly noted that in </w:t>
      </w:r>
      <w:r>
        <w:rPr>
          <w:rStyle w:val="Emphasis"/>
        </w:rPr>
        <w:t>Thompson,</w:t>
      </w:r>
      <w:r>
        <w:t xml:space="preserve"> the Supreme Court held that </w:t>
      </w:r>
      <w:proofErr w:type="gramStart"/>
      <w:r>
        <w:t>an</w:t>
      </w:r>
      <w:proofErr w:type="gramEnd"/>
      <w:r>
        <w:t xml:space="preserve"> opinion that the cause of a condition is unknown is "a confession of an inability to identify a cause," rather than evidence that the condition was not related to employment. </w:t>
      </w:r>
      <w:r>
        <w:rPr>
          <w:rStyle w:val="Emphasis"/>
        </w:rPr>
        <w:t>Thompson,</w:t>
      </w:r>
      <w:r>
        <w:t xml:space="preserve"> 360 Or at 168. The board went on to note several internal inconsistencies in Dr. Beer's opinion that left the board unpersuaded by the opinion. We conclude that the board's representation of Dr. Beer's opinion is reasonable and supported by substantial evidence. While employer characterizes Dr. Beer's opinion differently, we are not convinced that the board was required to view the opinion the way employer urges. The board reasonably could find, for the reasons the board stated, that Dr. Beer's evidence did not meet employer's burden of persuasion.” </w:t>
      </w:r>
      <w:hyperlink r:id="rId1146" w:history="1">
        <w:r w:rsidRPr="002D5A3E">
          <w:rPr>
            <w:rStyle w:val="Hyperlink"/>
          </w:rPr>
          <w:t>https://casetext.com/case/marion-cnty-fire-dist-1-v-smith-in-re-smith</w:t>
        </w:r>
      </w:hyperlink>
      <w:r>
        <w:t xml:space="preserve"> </w:t>
      </w:r>
    </w:p>
    <w:p w14:paraId="0A3917F7" w14:textId="77777777" w:rsidR="00554962" w:rsidRDefault="00554962" w:rsidP="00554962">
      <w:pPr>
        <w:pStyle w:val="NormalWeb"/>
        <w:rPr>
          <w:b/>
          <w:bCs/>
        </w:rPr>
      </w:pPr>
      <w:r w:rsidRPr="006C2F5A">
        <w:rPr>
          <w:b/>
          <w:bCs/>
        </w:rPr>
        <w:t>Legal Lesson Learned:</w:t>
      </w:r>
      <w:r>
        <w:rPr>
          <w:b/>
          <w:bCs/>
        </w:rPr>
        <w:t xml:space="preserve"> With the statutory presumption, the employer failed to rebut the presumption that the firefighter’s prostate cancer resulted from his employment as a firefighter. </w:t>
      </w:r>
    </w:p>
    <w:p w14:paraId="4B59223E" w14:textId="77777777" w:rsidR="00554962" w:rsidRPr="00F54637" w:rsidRDefault="00554962" w:rsidP="00554962">
      <w:pPr>
        <w:pStyle w:val="NormalWeb"/>
        <w:ind w:left="720"/>
      </w:pPr>
      <w:r w:rsidRPr="00F54637">
        <w:t>Note: The Court</w:t>
      </w:r>
      <w:r>
        <w:t xml:space="preserve"> of Appeals</w:t>
      </w:r>
      <w:r w:rsidRPr="00F54637">
        <w:t xml:space="preserve"> on same date</w:t>
      </w:r>
      <w:r>
        <w:t>, Dec. 6, 2023,</w:t>
      </w:r>
      <w:r w:rsidRPr="00F54637">
        <w:t xml:space="preserve"> upheld the award to another</w:t>
      </w:r>
      <w:r>
        <w:t xml:space="preserve"> Oregon</w:t>
      </w:r>
      <w:r w:rsidRPr="00F54637">
        <w:t xml:space="preserve"> firefighter</w:t>
      </w:r>
      <w:r>
        <w:t xml:space="preserve"> with another fire department. In the Matter of the Compensation of Robert M. Shannon, Claimant. v. Robert M. Shannon. North Douglas County Fire &amp; EMS. </w:t>
      </w:r>
      <w:hyperlink r:id="rId1147" w:history="1">
        <w:r w:rsidRPr="002D5A3E">
          <w:rPr>
            <w:rStyle w:val="Hyperlink"/>
          </w:rPr>
          <w:t>https://casetext.com/case/n-douglas-cnty-fire-ems-v-shannon-in-re-shannon</w:t>
        </w:r>
      </w:hyperlink>
      <w:r w:rsidRPr="00F54637">
        <w:t xml:space="preserve"> </w:t>
      </w:r>
    </w:p>
    <w:p w14:paraId="77F84341" w14:textId="77777777" w:rsidR="00554962" w:rsidRDefault="00554962" w:rsidP="00841FB9">
      <w:pPr>
        <w:pStyle w:val="NormalWeb"/>
      </w:pPr>
    </w:p>
    <w:p w14:paraId="3EDB32F1" w14:textId="1088390B" w:rsidR="000516E6" w:rsidRDefault="000516E6"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2</w:t>
      </w:r>
    </w:p>
    <w:p w14:paraId="2D565E84" w14:textId="77777777" w:rsidR="001B28A9" w:rsidRDefault="001B28A9" w:rsidP="001B28A9">
      <w:pPr>
        <w:pStyle w:val="NormalWeb"/>
        <w:rPr>
          <w:rFonts w:ascii="Arial Black" w:hAnsi="Arial Black"/>
          <w:sz w:val="28"/>
          <w:szCs w:val="28"/>
        </w:rPr>
      </w:pPr>
      <w:r>
        <w:rPr>
          <w:rFonts w:ascii="Arial Black" w:hAnsi="Arial Black"/>
          <w:sz w:val="28"/>
          <w:szCs w:val="28"/>
        </w:rPr>
        <w:t>CO: FF HAND INJURED - LIGHT DUTY / RETIRED - MUST FILE EEOC CHARGE IN 300 DAYS AFTER INFORMED FD RETIRING</w:t>
      </w:r>
    </w:p>
    <w:p w14:paraId="121C83CD" w14:textId="6574C3D2" w:rsidR="000516E6" w:rsidRDefault="001B28A9" w:rsidP="001B28A9">
      <w:pPr>
        <w:rPr>
          <w:rStyle w:val="Hyperlink"/>
          <w:rFonts w:ascii="Times New Roman" w:hAnsi="Times New Roman"/>
          <w:sz w:val="24"/>
          <w:szCs w:val="24"/>
        </w:rPr>
      </w:pPr>
      <w:r w:rsidRPr="001B28A9">
        <w:rPr>
          <w:rFonts w:ascii="Times New Roman" w:hAnsi="Times New Roman"/>
          <w:sz w:val="24"/>
          <w:szCs w:val="24"/>
        </w:rPr>
        <w:t xml:space="preserve">On Nov. 13, 2023, in </w:t>
      </w:r>
      <w:r w:rsidRPr="001B28A9">
        <w:rPr>
          <w:rFonts w:ascii="Times New Roman" w:hAnsi="Times New Roman"/>
          <w:sz w:val="24"/>
          <w:szCs w:val="24"/>
          <w:u w:val="single"/>
        </w:rPr>
        <w:t>David Perez v. City and County of Denver</w:t>
      </w:r>
      <w:r w:rsidRPr="001B28A9">
        <w:rPr>
          <w:rFonts w:ascii="Times New Roman" w:hAnsi="Times New Roman"/>
          <w:sz w:val="24"/>
          <w:szCs w:val="24"/>
        </w:rPr>
        <w:t xml:space="preserve">, the U.S. Court of Appeals for Tenth Circuit (Denver) held (3 to 0) that trial court properly dismissed the lawsuit for failure to timely file charge with EEOC.  The firefighter represented himself (pro se) instead of retaining an attorney. He also failed to timely file the lawsuit (90 days) when he </w:t>
      </w:r>
      <w:proofErr w:type="gramStart"/>
      <w:r w:rsidRPr="001B28A9">
        <w:rPr>
          <w:rFonts w:ascii="Times New Roman" w:hAnsi="Times New Roman"/>
          <w:sz w:val="24"/>
          <w:szCs w:val="24"/>
        </w:rPr>
        <w:t>received “</w:t>
      </w:r>
      <w:proofErr w:type="gramEnd"/>
      <w:r w:rsidRPr="001B28A9">
        <w:rPr>
          <w:rFonts w:ascii="Times New Roman" w:hAnsi="Times New Roman"/>
          <w:sz w:val="24"/>
          <w:szCs w:val="24"/>
        </w:rPr>
        <w:t xml:space="preserve">Right </w:t>
      </w:r>
      <w:proofErr w:type="gramStart"/>
      <w:r w:rsidRPr="001B28A9">
        <w:rPr>
          <w:rFonts w:ascii="Times New Roman" w:hAnsi="Times New Roman"/>
          <w:sz w:val="24"/>
          <w:szCs w:val="24"/>
        </w:rPr>
        <w:t>To</w:t>
      </w:r>
      <w:proofErr w:type="gramEnd"/>
      <w:r w:rsidRPr="001B28A9">
        <w:rPr>
          <w:rFonts w:ascii="Times New Roman" w:hAnsi="Times New Roman"/>
          <w:sz w:val="24"/>
          <w:szCs w:val="24"/>
        </w:rPr>
        <w:t xml:space="preserve"> Sue” letter from EEOC. </w:t>
      </w:r>
      <w:hyperlink r:id="rId1148" w:history="1">
        <w:r w:rsidRPr="001B28A9">
          <w:rPr>
            <w:rStyle w:val="Hyperlink"/>
            <w:rFonts w:ascii="Times New Roman" w:hAnsi="Times New Roman"/>
            <w:sz w:val="24"/>
            <w:szCs w:val="24"/>
          </w:rPr>
          <w:t>https://casetext.com/case/perez-v-city-of-denver-4</w:t>
        </w:r>
      </w:hyperlink>
    </w:p>
    <w:p w14:paraId="52201B1B" w14:textId="77777777" w:rsidR="0079037C" w:rsidRDefault="0079037C" w:rsidP="0079037C">
      <w:pPr>
        <w:pStyle w:val="NormalWeb"/>
        <w:rPr>
          <w:b/>
          <w:bCs/>
        </w:rPr>
      </w:pPr>
      <w:r w:rsidRPr="00863139">
        <w:rPr>
          <w:b/>
          <w:bCs/>
        </w:rPr>
        <w:t xml:space="preserve">Legal Lesson Learned: </w:t>
      </w:r>
      <w:r>
        <w:rPr>
          <w:b/>
          <w:bCs/>
        </w:rPr>
        <w:t xml:space="preserve">The time requirements for filing charge with </w:t>
      </w:r>
      <w:proofErr w:type="gramStart"/>
      <w:r>
        <w:rPr>
          <w:b/>
          <w:bCs/>
        </w:rPr>
        <w:t>EEOC, and</w:t>
      </w:r>
      <w:proofErr w:type="gramEnd"/>
      <w:r>
        <w:rPr>
          <w:b/>
          <w:bCs/>
        </w:rPr>
        <w:t xml:space="preserve"> then filing lawsuit after right-to-sue EEOC letter must be followed; even by those handling case pro se (no attorney).</w:t>
      </w:r>
    </w:p>
    <w:p w14:paraId="30CA0B4B" w14:textId="77777777" w:rsidR="0079037C" w:rsidRPr="001B28A9" w:rsidRDefault="0079037C" w:rsidP="001B28A9">
      <w:pPr>
        <w:rPr>
          <w:rFonts w:ascii="Times New Roman" w:hAnsi="Times New Roman"/>
          <w:b/>
          <w:sz w:val="24"/>
          <w:szCs w:val="24"/>
        </w:rPr>
      </w:pPr>
    </w:p>
    <w:p w14:paraId="3CF2A6BC" w14:textId="77777777" w:rsidR="000516E6" w:rsidRDefault="000516E6" w:rsidP="00EF1133">
      <w:pPr>
        <w:rPr>
          <w:rFonts w:ascii="Arial Black" w:hAnsi="Arial Black"/>
          <w:b/>
          <w:sz w:val="24"/>
          <w:szCs w:val="24"/>
        </w:rPr>
      </w:pPr>
    </w:p>
    <w:p w14:paraId="0BDF3C95" w14:textId="70D82113" w:rsidR="00A65FD8" w:rsidRDefault="00A65FD8"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1</w:t>
      </w:r>
    </w:p>
    <w:p w14:paraId="629D2590" w14:textId="77777777" w:rsidR="00A65FD8" w:rsidRPr="00EE3B90" w:rsidRDefault="00A65FD8" w:rsidP="00A65FD8">
      <w:pPr>
        <w:pStyle w:val="NormalWeb"/>
        <w:rPr>
          <w:rFonts w:ascii="Arial Black" w:hAnsi="Arial Black"/>
          <w:b/>
          <w:bCs/>
          <w:sz w:val="28"/>
          <w:szCs w:val="28"/>
        </w:rPr>
      </w:pPr>
      <w:r>
        <w:rPr>
          <w:rFonts w:ascii="Arial Black" w:hAnsi="Arial Black"/>
          <w:b/>
          <w:bCs/>
          <w:sz w:val="28"/>
          <w:szCs w:val="28"/>
        </w:rPr>
        <w:t xml:space="preserve">FL: FF DIED BRAIN CANCER – WIDOW ENTITLED TO $150,000 DEATH BENEFITS –PLUS THE PRIOR $25K </w:t>
      </w:r>
    </w:p>
    <w:p w14:paraId="41B6FC13" w14:textId="77777777" w:rsidR="00A65FD8" w:rsidRDefault="00A65FD8" w:rsidP="00A65FD8">
      <w:pPr>
        <w:pStyle w:val="NormalWeb"/>
      </w:pPr>
      <w:r>
        <w:t xml:space="preserve">On Oct. 25, 2023, in </w:t>
      </w:r>
      <w:r w:rsidRPr="00353608">
        <w:rPr>
          <w:u w:val="single"/>
        </w:rPr>
        <w:t>Christy Siena v. Orange County Fire Rescue / CCMSI</w:t>
      </w:r>
      <w:r>
        <w:t xml:space="preserve">, the Florida Court of Appeals, First District, held (3 to 0) that the Worker’s Comp. Judge of Compensation Claims is reversed, and widow is entitled to $150, 000. Under Florida statute, a </w:t>
      </w:r>
      <w:proofErr w:type="gramStart"/>
      <w:r>
        <w:t>firefighter</w:t>
      </w:r>
      <w:proofErr w:type="gramEnd"/>
      <w:r>
        <w:t xml:space="preserve"> when diagnosed with </w:t>
      </w:r>
      <w:proofErr w:type="gramStart"/>
      <w:r>
        <w:t>cancer</w:t>
      </w:r>
      <w:proofErr w:type="gramEnd"/>
      <w:r>
        <w:t xml:space="preserve"> is entitled to a one-time cash payout of $25,000.  Eric Siena received that amount when he was diagnosed with glioblastoma in January 2020; he died in May of 2021. The Court held: “In this appeal we consider whether receipt of medical, indemnity, and death benefits through section 112.1816, Florida Statutes, bars receipt of death benefits under section 440.16, Florida Statutes. We conclude that it does not and set aside the order below.” </w:t>
      </w:r>
      <w:hyperlink r:id="rId1149" w:history="1">
        <w:r w:rsidRPr="00956CFD">
          <w:rPr>
            <w:rStyle w:val="Hyperlink"/>
            <w:rFonts w:eastAsiaTheme="majorEastAsia"/>
          </w:rPr>
          <w:t>https://caselaw.findlaw.com/court/fl-district-court-of-appeal/115346402.html</w:t>
        </w:r>
      </w:hyperlink>
      <w:r>
        <w:t xml:space="preserve"> </w:t>
      </w:r>
    </w:p>
    <w:p w14:paraId="0C2780B5" w14:textId="77777777" w:rsidR="00A65FD8" w:rsidRDefault="00A65FD8" w:rsidP="00A65FD8">
      <w:pPr>
        <w:pStyle w:val="defaultstyledtext-tl066j-0"/>
        <w:rPr>
          <w:b/>
          <w:bCs/>
        </w:rPr>
      </w:pPr>
      <w:r w:rsidRPr="00C71B53">
        <w:rPr>
          <w:b/>
          <w:bCs/>
        </w:rPr>
        <w:t xml:space="preserve">Legal Lesson Learned: </w:t>
      </w:r>
      <w:r>
        <w:rPr>
          <w:b/>
          <w:bCs/>
        </w:rPr>
        <w:t>The Court has properly examined the legislative intent when interpreting the statutes.</w:t>
      </w:r>
    </w:p>
    <w:p w14:paraId="62814FA2" w14:textId="77777777" w:rsidR="00A65FD8" w:rsidRDefault="00A65FD8" w:rsidP="00A65FD8">
      <w:pPr>
        <w:pStyle w:val="NormalWeb"/>
        <w:ind w:left="720"/>
      </w:pPr>
      <w:r w:rsidRPr="009C192C">
        <w:t>Note:</w:t>
      </w:r>
      <w:r>
        <w:rPr>
          <w:b/>
          <w:bCs/>
        </w:rPr>
        <w:t xml:space="preserve"> </w:t>
      </w:r>
      <w:r>
        <w:t xml:space="preserve">See Oct. 25, </w:t>
      </w:r>
      <w:proofErr w:type="gramStart"/>
      <w:r>
        <w:t>2023</w:t>
      </w:r>
      <w:proofErr w:type="gramEnd"/>
      <w:r>
        <w:t xml:space="preserve"> article, “</w:t>
      </w:r>
      <w:r w:rsidRPr="00C71B53">
        <w:t xml:space="preserve">Appeals court ruling paves way for Orange County firefighter’s widow to seek workers’ comp payout.” </w:t>
      </w:r>
      <w:hyperlink r:id="rId1150" w:history="1">
        <w:r w:rsidRPr="00956CFD">
          <w:rPr>
            <w:rStyle w:val="Hyperlink"/>
            <w:rFonts w:eastAsiaTheme="majorEastAsia"/>
          </w:rPr>
          <w:t>https://www.wftv.com/news/local/appeals-court-ruling-paves-way-orange-county-firefighters-widow-seek-workers-comp-payout/QFOHSP22XNHLXLGDFDZYKLTKMM/</w:t>
        </w:r>
      </w:hyperlink>
      <w:r>
        <w:t xml:space="preserve"> </w:t>
      </w:r>
    </w:p>
    <w:p w14:paraId="15D8D651" w14:textId="77777777" w:rsidR="00A65FD8" w:rsidRDefault="00A65FD8" w:rsidP="00A65FD8">
      <w:pPr>
        <w:pStyle w:val="NormalWeb"/>
        <w:ind w:left="720"/>
      </w:pPr>
      <w:r>
        <w:t>ORANGE COUNTY, Fla. — A First District Court of Appeals judge has ruled in favor of an Orange County firefighter’s widow, who was fighting for payment promised to her under state law after her husband died of work-related cancer.</w:t>
      </w:r>
    </w:p>
    <w:p w14:paraId="3AA29A72" w14:textId="77777777" w:rsidR="00A65FD8" w:rsidRDefault="00A65FD8" w:rsidP="00A65FD8">
      <w:pPr>
        <w:pStyle w:val="defaultstyledtext-tl066j-0"/>
        <w:ind w:left="720"/>
      </w:pPr>
      <w:r>
        <w:t>The ruling clears the way for her to petition for $150,000 in workers’ compensation benefits related to her husband’s death; something Orange County had questioned whether she was entitled to seek because her husband had accepted a one-time $25,000 payout when he was first diagnosed with work-related brain cancer.</w:t>
      </w:r>
    </w:p>
    <w:p w14:paraId="0B0BEA06" w14:textId="77777777" w:rsidR="00A65FD8" w:rsidRDefault="00A65FD8" w:rsidP="00A65FD8">
      <w:pPr>
        <w:pStyle w:val="defaultstyledtext-tl066j-0"/>
        <w:ind w:left="720"/>
      </w:pPr>
      <w:r>
        <w:t>Eric Siena was on the top of his game as an Orange County firefighter before being diagnosed with glioblastoma in January 2020. The devastating brain cancer would take his life in May of 2021.</w:t>
      </w:r>
    </w:p>
    <w:p w14:paraId="631D9D27" w14:textId="77777777" w:rsidR="00A65FD8" w:rsidRDefault="00A65FD8" w:rsidP="00A65FD8">
      <w:pPr>
        <w:pStyle w:val="defaultstyledtext-tl066j-0"/>
        <w:ind w:left="720"/>
      </w:pPr>
      <w:r>
        <w:t>His wife Christy, who was also a first responder, was left alone to fight the system instead of fires.</w:t>
      </w:r>
    </w:p>
    <w:p w14:paraId="0222CB1F" w14:textId="77777777" w:rsidR="00A65FD8" w:rsidRDefault="00A65FD8" w:rsidP="00A65FD8">
      <w:pPr>
        <w:pStyle w:val="defaultstyledtext-tl066j-0"/>
        <w:ind w:left="720"/>
      </w:pPr>
      <w:r>
        <w:t>‘There’s not another decision in the state that has dealt with this issue so far,’ attorney Geoff Bichler said during a previous interview with 9 Investigates. Bichler has been fighting with Siena for the $150,000 payment, arguing that because each portion of the payout is covered by separate portions of the statute, receiving one does not prevent descendants from applying for the other.</w:t>
      </w:r>
    </w:p>
    <w:p w14:paraId="0BD71199" w14:textId="77777777" w:rsidR="00A65FD8" w:rsidRDefault="00A65FD8" w:rsidP="00A65FD8">
      <w:pPr>
        <w:pStyle w:val="defaultstyledtext-tl066j-0"/>
        <w:ind w:left="720"/>
      </w:pPr>
      <w:r>
        <w:t xml:space="preserve">‘Most employers are operating from the assumption that if they pay this benefit, they’re off the hook for worker’s compensation, and we do not agree with that,’ Bichler </w:t>
      </w:r>
      <w:proofErr w:type="gramStart"/>
      <w:r>
        <w:t>said.”</w:t>
      </w:r>
      <w:proofErr w:type="gramEnd"/>
    </w:p>
    <w:p w14:paraId="71FF1A34" w14:textId="77777777" w:rsidR="00A65FD8" w:rsidRDefault="00A65FD8" w:rsidP="00EF1133">
      <w:pPr>
        <w:rPr>
          <w:rFonts w:ascii="Arial Black" w:hAnsi="Arial Black"/>
          <w:b/>
          <w:sz w:val="24"/>
          <w:szCs w:val="24"/>
        </w:rPr>
      </w:pPr>
    </w:p>
    <w:p w14:paraId="67D2BEEB" w14:textId="7DD21865" w:rsidR="00A65FD8" w:rsidRDefault="00A65FD8"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0</w:t>
      </w:r>
    </w:p>
    <w:p w14:paraId="1570C17B" w14:textId="77777777" w:rsidR="00A65FD8" w:rsidRDefault="00A65FD8" w:rsidP="00A65FD8">
      <w:pPr>
        <w:pStyle w:val="NormalWeb"/>
        <w:rPr>
          <w:rFonts w:ascii="Arial Black" w:hAnsi="Arial Black"/>
          <w:b/>
          <w:bCs/>
          <w:sz w:val="28"/>
          <w:szCs w:val="28"/>
        </w:rPr>
      </w:pPr>
      <w:r>
        <w:rPr>
          <w:rFonts w:ascii="Arial Black" w:hAnsi="Arial Black"/>
          <w:b/>
          <w:bCs/>
          <w:sz w:val="28"/>
          <w:szCs w:val="28"/>
        </w:rPr>
        <w:t>OH: CINCINNATI FF – THYROID CANCER – OHIO STATUTORY PRESUMPTION – FF FINALLY WINS WORKERS COMP.</w:t>
      </w:r>
    </w:p>
    <w:p w14:paraId="21BB4C59" w14:textId="77777777" w:rsidR="00A65FD8" w:rsidRDefault="00A65FD8" w:rsidP="00A65FD8">
      <w:pPr>
        <w:pStyle w:val="NormalWeb"/>
      </w:pPr>
      <w:r>
        <w:t xml:space="preserve">On </w:t>
      </w:r>
      <w:proofErr w:type="gramStart"/>
      <w:r>
        <w:t>Oct,</w:t>
      </w:r>
      <w:proofErr w:type="gramEnd"/>
      <w:r>
        <w:t xml:space="preserve"> 5, 2023, in </w:t>
      </w:r>
      <w:r>
        <w:rPr>
          <w:u w:val="single"/>
        </w:rPr>
        <w:t>State ex rel. City of Cincinnati v. Industrial Commission of Ohio  (Joseph C. Conley)</w:t>
      </w:r>
      <w:r>
        <w:t xml:space="preserve">, the Ohio Court of Appeals, Tenth District, refused the City’s petition for a writ of mandamus, and upheld the Industrial Commission’s award of workers comp for the firefighter. The Court held: “Although Dr. [Rafid] </w:t>
      </w:r>
      <w:proofErr w:type="spellStart"/>
      <w:r>
        <w:t>Kakel</w:t>
      </w:r>
      <w:proofErr w:type="spellEnd"/>
      <w:r>
        <w:t xml:space="preserve">, M.D. </w:t>
      </w:r>
      <w:proofErr w:type="spellStart"/>
      <w:r>
        <w:t>Kakel</w:t>
      </w:r>
      <w:proofErr w:type="spellEnd"/>
      <w:r>
        <w:t xml:space="preserve"> opined that Conley's exposure to the carcinogens may not have been the cause of Conley's thyroid cancer, Dr. </w:t>
      </w:r>
      <w:proofErr w:type="spellStart"/>
      <w:r>
        <w:t>Kakel's</w:t>
      </w:r>
      <w:proofErr w:type="spellEnd"/>
      <w:r>
        <w:t xml:space="preserve"> report did not show by a preponderance of competent scientific evidence that Conley's exposure to the carcinogens </w:t>
      </w:r>
      <w:r>
        <w:rPr>
          <w:rStyle w:val="Emphasis"/>
        </w:rPr>
        <w:t>did not or could not have</w:t>
      </w:r>
      <w:r>
        <w:t xml:space="preserve"> caused Conley's thyroid cancer. Thus, because Cincinnati put forth insufficient evidence to rebut the statutory presumption in R.C. 4123.68(X), the SHO's [Staff Hearing Officer] order contained a clear mistake of law.” </w:t>
      </w:r>
      <w:hyperlink r:id="rId1151" w:history="1">
        <w:r>
          <w:rPr>
            <w:rStyle w:val="Hyperlink"/>
          </w:rPr>
          <w:t>https://casetext.com/case/state-ex-rel-city-of-cincinnati-v-indus-commn-of-ohio</w:t>
        </w:r>
      </w:hyperlink>
      <w:r>
        <w:t xml:space="preserve"> </w:t>
      </w:r>
    </w:p>
    <w:p w14:paraId="6A39C5A4" w14:textId="77777777" w:rsidR="00A65FD8" w:rsidRDefault="00A65FD8" w:rsidP="00A65FD8">
      <w:pPr>
        <w:pStyle w:val="NormalWeb"/>
        <w:rPr>
          <w:b/>
          <w:bCs/>
        </w:rPr>
      </w:pPr>
      <w:r>
        <w:rPr>
          <w:b/>
          <w:bCs/>
        </w:rPr>
        <w:t xml:space="preserve">Legal Lesson Learned:  It was a three-year fight, with numerous appeals, but the firefighter was victorious under the Ohio statutory presumption statute. </w:t>
      </w:r>
    </w:p>
    <w:p w14:paraId="520402E3" w14:textId="77777777" w:rsidR="00A65FD8" w:rsidRDefault="00A65FD8" w:rsidP="00EF1133">
      <w:pPr>
        <w:rPr>
          <w:rFonts w:ascii="Arial Black" w:hAnsi="Arial Black"/>
          <w:b/>
          <w:sz w:val="24"/>
          <w:szCs w:val="24"/>
        </w:rPr>
      </w:pPr>
    </w:p>
    <w:p w14:paraId="4136FF35" w14:textId="50D8AC96" w:rsidR="00A65FD8" w:rsidRDefault="00A65FD8" w:rsidP="00EF1133">
      <w:pPr>
        <w:rPr>
          <w:rFonts w:ascii="Arial Black" w:hAnsi="Arial Black"/>
          <w:b/>
          <w:sz w:val="24"/>
          <w:szCs w:val="24"/>
        </w:rPr>
      </w:pPr>
      <w:r>
        <w:rPr>
          <w:rFonts w:ascii="Arial Black" w:hAnsi="Arial Black"/>
          <w:b/>
          <w:sz w:val="24"/>
          <w:szCs w:val="24"/>
        </w:rPr>
        <w:t>6-1</w:t>
      </w:r>
      <w:r w:rsidR="002A0697">
        <w:rPr>
          <w:rFonts w:ascii="Arial Black" w:hAnsi="Arial Black"/>
          <w:b/>
          <w:sz w:val="24"/>
          <w:szCs w:val="24"/>
        </w:rPr>
        <w:t>19</w:t>
      </w:r>
    </w:p>
    <w:p w14:paraId="4FEAD6CC" w14:textId="77777777" w:rsidR="00832745" w:rsidRPr="00BF3F98" w:rsidRDefault="00832745" w:rsidP="00832745">
      <w:pPr>
        <w:pStyle w:val="NormalWeb"/>
        <w:rPr>
          <w:rFonts w:ascii="Arial Black" w:hAnsi="Arial Black"/>
          <w:b/>
          <w:bCs/>
          <w:sz w:val="28"/>
          <w:szCs w:val="28"/>
        </w:rPr>
      </w:pPr>
      <w:r w:rsidRPr="00BF3F98">
        <w:rPr>
          <w:rFonts w:ascii="Arial Black" w:hAnsi="Arial Black"/>
          <w:b/>
          <w:bCs/>
          <w:sz w:val="28"/>
          <w:szCs w:val="28"/>
        </w:rPr>
        <w:t>PA: VOL. FF WITH CHRONIC LYMPHOCTIC LEUKEMIA [CLE] – DENIED WORK COMP - NO MEDICAL STUDIES LINKED JOB</w:t>
      </w:r>
    </w:p>
    <w:p w14:paraId="1253D223" w14:textId="7F3F2034" w:rsidR="00A65FD8" w:rsidRDefault="00832745" w:rsidP="00832745">
      <w:pPr>
        <w:rPr>
          <w:rFonts w:ascii="Arial Black" w:hAnsi="Arial Black"/>
          <w:b/>
          <w:sz w:val="24"/>
          <w:szCs w:val="24"/>
        </w:rPr>
      </w:pPr>
      <w:r w:rsidRPr="00BF3F98">
        <w:rPr>
          <w:rFonts w:ascii="Times New Roman" w:hAnsi="Times New Roman"/>
          <w:sz w:val="24"/>
          <w:szCs w:val="24"/>
        </w:rPr>
        <w:t xml:space="preserve">On April 14, 2023, </w:t>
      </w:r>
      <w:r w:rsidRPr="00BF3F98">
        <w:rPr>
          <w:rFonts w:ascii="Times New Roman" w:hAnsi="Times New Roman"/>
          <w:sz w:val="24"/>
          <w:szCs w:val="24"/>
          <w:u w:val="single"/>
        </w:rPr>
        <w:t>in Nicholas Caruccio v. Shrewsbury Borough (Workers’ Compensation Appeal Board)</w:t>
      </w:r>
      <w:r w:rsidRPr="00BF3F98">
        <w:rPr>
          <w:rFonts w:ascii="Times New Roman" w:hAnsi="Times New Roman"/>
          <w:sz w:val="24"/>
          <w:szCs w:val="24"/>
        </w:rPr>
        <w:t>, the Commonwealth Court of Pennsylvania held (3 to 0; unpublished opinion) that even though PA has a firefighter statutory presumption law, the Workers Comp administrative law judge properly concluded there is no medical evidence that CLE was caused by his exposure to carcinogens.  The Court held: “Based on our review of the evidence, and the WCJ’s findings and credibility determinations, Claimant was unable to establish Section 108(r) general causation. In other words, based on the credited evidence, Claimant failed to demonstrate that his exposure to several IARC Group 1 carcinogens possibly caused his CLL.  In this case, Claimant’s expert, Dr. Guidotti, conceded that there is no specific epidemiological evidence demonstrating a link between CLL and exposure to benzene, TCE, or dioxins. Report of Dr. Guidotti at 5-6. *** In response, Dr. Sandler [employer’s expert] noted his agreement with Dr. Guidotti that ‘there is no scientific/medical literature, comprehensive assessments and meta-analyses to show a causal relationship between possible firefighter exposures especially those potentially received as a volunteer firefighter and the development of CLL/SCL.’ Report of Dr. Sandler at 7 (double emphasis in original). *** As in Malone, the WCJ considered the evidence and made a reasoned decision to credit one expert opinion over another. Cf. Malone. In this case, the WCJ found Dr. Sandler’s opinion credible and rejected the opinion of Dr. Guidotti. This decision was neither arbitrary nor capricious and is supported by substantial evidence of record. See Morocho, 167 A.3d at 858 n.4; Kriebel, 29 A.3d at 769. We therefore decline to overturn the WCJ’s findings on appeal.”</w:t>
      </w:r>
      <w:hyperlink r:id="rId1152" w:history="1">
        <w:r w:rsidRPr="00BF3F98">
          <w:rPr>
            <w:rStyle w:val="Hyperlink"/>
            <w:rFonts w:ascii="Times New Roman" w:eastAsiaTheme="majorEastAsia" w:hAnsi="Times New Roman"/>
            <w:sz w:val="24"/>
            <w:szCs w:val="24"/>
          </w:rPr>
          <w:t>https://www.pacourts.us/assets/opinions/Commonwealth/out/726CD22_10-3-23.pdf?cb=1</w:t>
        </w:r>
      </w:hyperlink>
    </w:p>
    <w:p w14:paraId="44D4881D" w14:textId="77777777" w:rsidR="00832745" w:rsidRPr="000755D1" w:rsidRDefault="00832745" w:rsidP="00832745">
      <w:pPr>
        <w:pStyle w:val="NormalWeb"/>
        <w:rPr>
          <w:b/>
          <w:bCs/>
        </w:rPr>
      </w:pPr>
      <w:r w:rsidRPr="000755D1">
        <w:rPr>
          <w:b/>
          <w:bCs/>
        </w:rPr>
        <w:t xml:space="preserve">Legal Lesson Learned: </w:t>
      </w:r>
      <w:r>
        <w:rPr>
          <w:b/>
          <w:bCs/>
        </w:rPr>
        <w:t xml:space="preserve">Firefighters with cancer still must provide credible evidence that Group 1 carcinogens can cause their cancer. </w:t>
      </w:r>
    </w:p>
    <w:p w14:paraId="0CAA0922" w14:textId="77777777" w:rsidR="00A65FD8" w:rsidRDefault="00A65FD8" w:rsidP="00EF1133">
      <w:pPr>
        <w:rPr>
          <w:rFonts w:ascii="Arial Black" w:hAnsi="Arial Black"/>
          <w:b/>
          <w:sz w:val="24"/>
          <w:szCs w:val="24"/>
        </w:rPr>
      </w:pPr>
    </w:p>
    <w:p w14:paraId="47BD11BD" w14:textId="77777777" w:rsidR="00A65FD8" w:rsidRDefault="00A65FD8" w:rsidP="00EF1133">
      <w:pPr>
        <w:rPr>
          <w:rFonts w:ascii="Arial Black" w:hAnsi="Arial Black"/>
          <w:b/>
          <w:sz w:val="24"/>
          <w:szCs w:val="24"/>
        </w:rPr>
      </w:pPr>
    </w:p>
    <w:p w14:paraId="327490B6" w14:textId="757CF6A1" w:rsidR="00411936" w:rsidRDefault="0041193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8</w:t>
      </w:r>
    </w:p>
    <w:p w14:paraId="6D93090B" w14:textId="77777777" w:rsidR="00411936" w:rsidRPr="009850B1" w:rsidRDefault="00411936" w:rsidP="00411936">
      <w:pPr>
        <w:pStyle w:val="NormalWeb"/>
        <w:rPr>
          <w:rFonts w:ascii="Arial Black" w:hAnsi="Arial Black"/>
          <w:sz w:val="28"/>
          <w:szCs w:val="28"/>
        </w:rPr>
      </w:pPr>
      <w:r>
        <w:rPr>
          <w:rFonts w:ascii="Arial Black" w:hAnsi="Arial Black"/>
          <w:sz w:val="28"/>
          <w:szCs w:val="28"/>
        </w:rPr>
        <w:t>AR: FF BRAIN CANCER 2020 – NEW STATE LAW IN 2021  STATUTORY PRESUMPTION – COVERED UNDER NEW LAW</w:t>
      </w:r>
    </w:p>
    <w:p w14:paraId="3CCECDFA" w14:textId="77777777" w:rsidR="00411936" w:rsidRDefault="00411936" w:rsidP="00411936">
      <w:pPr>
        <w:pStyle w:val="NormalWeb"/>
      </w:pPr>
      <w:r>
        <w:t>On July 11, 2023</w:t>
      </w:r>
      <w:proofErr w:type="gramStart"/>
      <w:r>
        <w:t>, in</w:t>
      </w:r>
      <w:proofErr w:type="gramEnd"/>
      <w:r>
        <w:t xml:space="preserve"> </w:t>
      </w:r>
      <w:r w:rsidRPr="001E5789">
        <w:rPr>
          <w:u w:val="single"/>
        </w:rPr>
        <w:t>Robert Vande Krol v. The Industrial Commission of Arizona, et al</w:t>
      </w:r>
      <w:r>
        <w:t xml:space="preserve">., the Court of Appeals of Arizona, First Division, held (3 to 0) that the Industrial Commission’s Administrative Law Judge incorrectly applied 2017 statute where there was no statutory presumption. The firefighter (18 years on the job; age 50 when cancer was detected); when the ALJ held the 3-day hearing the new 2021 statutory presumption statute was in effect.  The Court held this was a “procedural” change in law, and ALJ should have followed it.  The FF is entitled to workers comp coverage unless the insurance company for the FD has clear and convincing evidence that cancer was not caused by the job. </w:t>
      </w:r>
    </w:p>
    <w:p w14:paraId="64C0C7B6" w14:textId="77777777" w:rsidR="00411936" w:rsidRDefault="00411936" w:rsidP="00411936">
      <w:pPr>
        <w:pStyle w:val="NormalWeb"/>
      </w:pPr>
      <w:r>
        <w:t>The Court held:</w:t>
      </w:r>
    </w:p>
    <w:p w14:paraId="52BA6D6E" w14:textId="77777777" w:rsidR="00411936" w:rsidRDefault="00411936" w:rsidP="00411936">
      <w:pPr>
        <w:pStyle w:val="NormalWeb"/>
      </w:pPr>
      <w:r>
        <w:t xml:space="preserve">“The 2021 statute contains a </w:t>
      </w:r>
      <w:r>
        <w:rPr>
          <w:rStyle w:val="Emphasis"/>
        </w:rPr>
        <w:t>procedural</w:t>
      </w:r>
      <w:r>
        <w:t xml:space="preserve"> presumption-the presumption is rebuttable and disappears with clear and convincing evidence of ‘a specific cause of the cancer other than an occupational exposure to a carcinogen.’ A.R.S. § 23-901.09(E). *** Arizona's workers' compensation system provides covered firefighters with benefits for workplace injuries. Yet not all firefighting injuries are alike. Physical injuries stemming from perceptible dangers (like burns or smoke inhalation from rushing into a burning building) are easily provable. Occupational diseases stemming from imperceptible dangers (like cancer from inhaling carcinogens or other noxious chemicals) are more difficult (if not impossible) to prove, particularly as to causation. *** We conclude the 2021 statute applies to Vande Krol's workers' compensation claim, and we, therefore, need not address whether the ALJ correctly interpreted the 2017 statute. Because </w:t>
      </w:r>
      <w:proofErr w:type="gramStart"/>
      <w:r>
        <w:t>the ALJ</w:t>
      </w:r>
      <w:proofErr w:type="gramEnd"/>
      <w:r>
        <w:t xml:space="preserve"> did not apply the 2021 statute, we set aside the award of non-compensation. The parties and the ALJ all correctly agreed Vande Krol satisfied the elements necessary to invoke the presumption in the 2021 statute. We </w:t>
      </w:r>
      <w:proofErr w:type="gramStart"/>
      <w:r>
        <w:t>remand to allow the</w:t>
      </w:r>
      <w:proofErr w:type="gramEnd"/>
      <w:r>
        <w:t xml:space="preserve"> ALJ </w:t>
      </w:r>
      <w:proofErr w:type="gramStart"/>
      <w:r>
        <w:t>to determine</w:t>
      </w:r>
      <w:proofErr w:type="gramEnd"/>
      <w:r>
        <w:t xml:space="preserve"> in the first instance whether Benchmark [Insurance Company] presented clear and convincing evidence to rebut the presumption. *** Distilled down, we apply a rather straightforward framework: applying a new procedural statute to a future procedure is not applying the statute retroactively and is generally permissible.”  </w:t>
      </w:r>
      <w:hyperlink r:id="rId1153" w:history="1">
        <w:r w:rsidRPr="007B2850">
          <w:rPr>
            <w:rStyle w:val="Hyperlink"/>
            <w:rFonts w:eastAsiaTheme="majorEastAsia"/>
          </w:rPr>
          <w:t>https://public.fastcase.com/ZZhmr5v9wN%2FXOe5IsQ%2FqD%2FaLdDTUZ9Bp4i3kiVRF7d97YDP9rIPdBi21RNkcNkR5tUpl7J0i2aSQMqXbficIjpy79lKVHToNjy22tiJ4vWE%3D?utm_medium=email&amp;_hsmi=226712652&amp;_hsenc=p2ANqtz-9MD5NcRenWzxZK3r0B0IWrLCE0j3XNAkXqR3ZxFb7wcv_xjopQQNgTmJWg80Fq-GGoAscEcs0qRLFtSd9eSgTH9vCqyg&amp;utm_content=226712652&amp;utm_source=hs_email</w:t>
        </w:r>
      </w:hyperlink>
      <w:r>
        <w:t xml:space="preserve"> </w:t>
      </w:r>
    </w:p>
    <w:p w14:paraId="78DE78FC" w14:textId="77777777" w:rsidR="00411936" w:rsidRDefault="00411936" w:rsidP="00411936">
      <w:pPr>
        <w:pStyle w:val="NormalWeb"/>
        <w:rPr>
          <w:b/>
          <w:bCs/>
        </w:rPr>
      </w:pPr>
      <w:r w:rsidRPr="00321A87">
        <w:rPr>
          <w:b/>
          <w:bCs/>
        </w:rPr>
        <w:t xml:space="preserve">Legal Lesson Learned: </w:t>
      </w:r>
      <w:r>
        <w:rPr>
          <w:b/>
          <w:bCs/>
        </w:rPr>
        <w:t xml:space="preserve">Great decision; firefighter is protected by the new “procedural” statutory presumption law. </w:t>
      </w:r>
    </w:p>
    <w:p w14:paraId="1FB392FF" w14:textId="77777777" w:rsidR="00411936" w:rsidRDefault="00411936" w:rsidP="00EF1133">
      <w:pPr>
        <w:rPr>
          <w:rFonts w:ascii="Arial Black" w:hAnsi="Arial Black"/>
          <w:b/>
          <w:sz w:val="24"/>
          <w:szCs w:val="24"/>
        </w:rPr>
      </w:pPr>
    </w:p>
    <w:p w14:paraId="09C954F4" w14:textId="77777777" w:rsidR="00411936" w:rsidRDefault="00411936" w:rsidP="00EF1133">
      <w:pPr>
        <w:rPr>
          <w:rFonts w:ascii="Arial Black" w:hAnsi="Arial Black"/>
          <w:b/>
          <w:sz w:val="24"/>
          <w:szCs w:val="24"/>
        </w:rPr>
      </w:pPr>
    </w:p>
    <w:p w14:paraId="177B68CD" w14:textId="0D2217C8" w:rsidR="00FE60DA"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7</w:t>
      </w:r>
    </w:p>
    <w:p w14:paraId="27FBE35E" w14:textId="77777777" w:rsidR="00BC4628" w:rsidRDefault="00BC4628" w:rsidP="00BC4628">
      <w:pPr>
        <w:spacing w:before="100" w:beforeAutospacing="1" w:after="100" w:afterAutospacing="1" w:line="240" w:lineRule="auto"/>
        <w:rPr>
          <w:rFonts w:ascii="Arial Black" w:hAnsi="Arial Black"/>
          <w:sz w:val="28"/>
          <w:szCs w:val="28"/>
        </w:rPr>
      </w:pPr>
      <w:r>
        <w:rPr>
          <w:rFonts w:ascii="Arial Black" w:hAnsi="Arial Black"/>
          <w:sz w:val="28"/>
          <w:szCs w:val="28"/>
        </w:rPr>
        <w:t>PA: KIDNEY CANCER AFTER HE RETIRED - 37 YRS CITY FF - NOW TWP FIRE MARSHAL – CITY’S WORK. COMP. LIABLE</w:t>
      </w:r>
    </w:p>
    <w:p w14:paraId="054E5A67" w14:textId="77777777" w:rsidR="00BC4628" w:rsidRDefault="00BC4628" w:rsidP="00BC4628">
      <w:pPr>
        <w:pStyle w:val="NormalWeb"/>
      </w:pPr>
      <w:r>
        <w:t xml:space="preserve">On July 6, 2023, in </w:t>
      </w:r>
      <w:r w:rsidRPr="009B0261">
        <w:rPr>
          <w:u w:val="single"/>
        </w:rPr>
        <w:t>City of Chester v. John Gresch and Nether Providence Township (Workers’ Compensation Appeal Board)</w:t>
      </w:r>
      <w:r>
        <w:t xml:space="preserve">, the Commonwealth Court of Pennsylvania, held (3 to 0; unpublished decision) that the Worker’s Compensation Board properly held that the City, not the Township, must covered his disability claim. </w:t>
      </w:r>
    </w:p>
    <w:p w14:paraId="29EEDF4F" w14:textId="77777777" w:rsidR="00BC4628" w:rsidRPr="009B0261" w:rsidRDefault="00BC4628" w:rsidP="00BC4628">
      <w:pPr>
        <w:pStyle w:val="NormalWeb"/>
      </w:pPr>
      <w:r w:rsidRPr="009B0261">
        <w:t xml:space="preserve">The Court held: </w:t>
      </w:r>
      <w:r>
        <w:t>“</w:t>
      </w:r>
      <w:r w:rsidRPr="009B0261">
        <w:t xml:space="preserve">Although Claimant worked for the Township more recently, for two years immediately preceding his diagnosis, Claimant credibly testified that he responded to six or seven fires in total while employed by the Township. In contrast, Claimant responded to 12 fires per month while employed by the </w:t>
      </w:r>
      <w:proofErr w:type="gramStart"/>
      <w:r w:rsidRPr="009B0261">
        <w:t>City</w:t>
      </w:r>
      <w:proofErr w:type="gramEnd"/>
      <w:r w:rsidRPr="009B0261">
        <w:t xml:space="preserve">. It is therefore obvious that Claimant's actual exposure to the relevant group 1 carcinogens was far greater while employed by the </w:t>
      </w:r>
      <w:proofErr w:type="gramStart"/>
      <w:r w:rsidRPr="009B0261">
        <w:t>City</w:t>
      </w:r>
      <w:proofErr w:type="gramEnd"/>
      <w:r w:rsidRPr="009B0261">
        <w:t xml:space="preserve"> than the Township. Thus, the </w:t>
      </w:r>
      <w:proofErr w:type="gramStart"/>
      <w:r w:rsidRPr="009B0261">
        <w:t>City</w:t>
      </w:r>
      <w:proofErr w:type="gramEnd"/>
      <w:r w:rsidRPr="009B0261">
        <w:t xml:space="preserve"> is liable for the payment of Claimant's workers' compensation </w:t>
      </w:r>
      <w:proofErr w:type="gramStart"/>
      <w:r w:rsidRPr="009B0261">
        <w:t>benefits.</w:t>
      </w:r>
      <w:r>
        <w:t>”</w:t>
      </w:r>
      <w:proofErr w:type="gramEnd"/>
      <w:r>
        <w:t xml:space="preserve"> </w:t>
      </w:r>
      <w:hyperlink r:id="rId1154" w:history="1">
        <w:r w:rsidRPr="00812663">
          <w:rPr>
            <w:rStyle w:val="Hyperlink"/>
          </w:rPr>
          <w:t>https://law.justia.com/cases/pennsylvania/commonwealth-court/2023/1040-c-d-2021.html</w:t>
        </w:r>
      </w:hyperlink>
      <w:r>
        <w:t xml:space="preserve"> </w:t>
      </w:r>
    </w:p>
    <w:p w14:paraId="08711EE1" w14:textId="77777777" w:rsidR="00BC4628" w:rsidRDefault="00BC4628" w:rsidP="00BC4628">
      <w:pPr>
        <w:spacing w:before="100" w:beforeAutospacing="1" w:after="100" w:afterAutospacing="1" w:line="240" w:lineRule="auto"/>
        <w:rPr>
          <w:rFonts w:ascii="Times New Roman" w:hAnsi="Times New Roman"/>
          <w:b/>
          <w:bCs/>
          <w:sz w:val="24"/>
          <w:szCs w:val="24"/>
        </w:rPr>
      </w:pPr>
      <w:r w:rsidRPr="009B0261">
        <w:rPr>
          <w:rFonts w:ascii="Times New Roman" w:hAnsi="Times New Roman"/>
          <w:b/>
          <w:bCs/>
          <w:sz w:val="24"/>
          <w:szCs w:val="24"/>
        </w:rPr>
        <w:t xml:space="preserve">Legal Lesson Learned: </w:t>
      </w:r>
      <w:r>
        <w:rPr>
          <w:rFonts w:ascii="Times New Roman" w:hAnsi="Times New Roman"/>
          <w:b/>
          <w:bCs/>
          <w:sz w:val="24"/>
          <w:szCs w:val="24"/>
        </w:rPr>
        <w:t xml:space="preserve">Another case where a city’s worker’s comp representative seeks to avoid clear legal obligation. </w:t>
      </w:r>
    </w:p>
    <w:p w14:paraId="1151AE43" w14:textId="77777777" w:rsidR="00FE60DA" w:rsidRDefault="00FE60DA" w:rsidP="00EF1133">
      <w:pPr>
        <w:rPr>
          <w:rFonts w:ascii="Arial Black" w:hAnsi="Arial Black"/>
          <w:b/>
          <w:sz w:val="24"/>
          <w:szCs w:val="24"/>
        </w:rPr>
      </w:pPr>
    </w:p>
    <w:p w14:paraId="32288A8D" w14:textId="73D31D4E" w:rsidR="00BC4628"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6</w:t>
      </w:r>
    </w:p>
    <w:p w14:paraId="08FC405A" w14:textId="77777777" w:rsidR="00BC4628" w:rsidRDefault="00BC4628" w:rsidP="00BC4628">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NJ: FF / EMT INJURED BACK MOVING PT TO HOSPITAL BED – ORDINARY DISABILITY – NOT A “TRAUMATIC EVENT”</w:t>
      </w:r>
    </w:p>
    <w:p w14:paraId="503D7544" w14:textId="77777777" w:rsidR="00BC4628" w:rsidRDefault="00BC4628" w:rsidP="00BC462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June 30, 2023, in </w:t>
      </w:r>
      <w:r w:rsidRPr="00A33FA3">
        <w:rPr>
          <w:rFonts w:ascii="Times New Roman" w:eastAsia="Times New Roman" w:hAnsi="Times New Roman"/>
          <w:sz w:val="24"/>
          <w:szCs w:val="24"/>
          <w:u w:val="single"/>
        </w:rPr>
        <w:t>John Karolinski v. Board of Trustees, Public Employees’ Retirement System</w:t>
      </w:r>
      <w:r>
        <w:rPr>
          <w:rFonts w:ascii="Times New Roman" w:eastAsia="Times New Roman" w:hAnsi="Times New Roman"/>
          <w:sz w:val="24"/>
          <w:szCs w:val="24"/>
        </w:rPr>
        <w:t xml:space="preserve">, the Superior Court of New Jersey, Appellate Division, held (2 to 0) that while the firefighter / EMT is entitled to ordinary disability retirement benefits, he is not entitled to accidental benefits for a “traumatic event.”  </w:t>
      </w:r>
      <w:r w:rsidRPr="00A33FA3">
        <w:rPr>
          <w:rFonts w:ascii="Times New Roman" w:eastAsia="Times New Roman" w:hAnsi="Times New Roman"/>
          <w:sz w:val="24"/>
          <w:szCs w:val="24"/>
        </w:rPr>
        <w:t xml:space="preserve">The </w:t>
      </w:r>
      <w:r>
        <w:rPr>
          <w:rFonts w:ascii="Times New Roman" w:eastAsia="Times New Roman" w:hAnsi="Times New Roman"/>
          <w:sz w:val="24"/>
          <w:szCs w:val="24"/>
        </w:rPr>
        <w:t xml:space="preserve">Court agreed with the </w:t>
      </w:r>
      <w:r w:rsidRPr="00A33FA3">
        <w:rPr>
          <w:rFonts w:ascii="Times New Roman" w:eastAsia="Times New Roman" w:hAnsi="Times New Roman"/>
          <w:sz w:val="24"/>
          <w:szCs w:val="24"/>
        </w:rPr>
        <w:t>Administrative Law Judge</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there</w:t>
      </w:r>
      <w:proofErr w:type="gramEnd"/>
      <w:r>
        <w:rPr>
          <w:rFonts w:ascii="Times New Roman" w:eastAsia="Times New Roman" w:hAnsi="Times New Roman"/>
          <w:sz w:val="24"/>
          <w:szCs w:val="24"/>
        </w:rPr>
        <w:t xml:space="preserve"> firefighter was performing </w:t>
      </w:r>
      <w:proofErr w:type="gramStart"/>
      <w:r>
        <w:rPr>
          <w:rFonts w:ascii="Times New Roman" w:eastAsia="Times New Roman" w:hAnsi="Times New Roman"/>
          <w:sz w:val="24"/>
          <w:szCs w:val="24"/>
        </w:rPr>
        <w:t>task</w:t>
      </w:r>
      <w:proofErr w:type="gramEnd"/>
      <w:r>
        <w:rPr>
          <w:rFonts w:ascii="Times New Roman" w:eastAsia="Times New Roman" w:hAnsi="Times New Roman"/>
          <w:sz w:val="24"/>
          <w:szCs w:val="24"/>
        </w:rPr>
        <w:t xml:space="preserve"> he had done many times.</w:t>
      </w:r>
    </w:p>
    <w:p w14:paraId="60C890DC" w14:textId="77777777" w:rsidR="00BC4628" w:rsidRPr="00A33FA3" w:rsidRDefault="00BC4628" w:rsidP="00BC462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Court held: </w:t>
      </w:r>
      <w:r>
        <w:rPr>
          <w:rFonts w:ascii="Times New Roman" w:hAnsi="Times New Roman"/>
          <w:sz w:val="24"/>
          <w:szCs w:val="24"/>
        </w:rPr>
        <w:t>“</w:t>
      </w:r>
      <w:r w:rsidRPr="00A33FA3">
        <w:rPr>
          <w:rFonts w:ascii="Times New Roman" w:hAnsi="Times New Roman"/>
          <w:sz w:val="24"/>
          <w:szCs w:val="24"/>
        </w:rPr>
        <w:t>Petitioner testified he was injured while transferring a patient from a stretcher to the catheterization table, a job duty he had performed ‘hundreds of time[s]’ and was trained to do. It was petitioner's work effort that caused his disability. He stated it was common for patients to be ‘freaking out.</w:t>
      </w:r>
      <w:r>
        <w:rPr>
          <w:rFonts w:ascii="Times New Roman" w:hAnsi="Times New Roman"/>
          <w:sz w:val="24"/>
          <w:szCs w:val="24"/>
        </w:rPr>
        <w:t xml:space="preserve">’ </w:t>
      </w:r>
      <w:r w:rsidRPr="00A33FA3">
        <w:rPr>
          <w:rFonts w:ascii="Times New Roman" w:hAnsi="Times New Roman"/>
          <w:sz w:val="24"/>
          <w:szCs w:val="24"/>
        </w:rPr>
        <w:t xml:space="preserve">Therefore, it was not unexpected for a patient to be uncooperative during the transfer process. Moreover, he </w:t>
      </w:r>
      <w:proofErr w:type="gramStart"/>
      <w:r w:rsidRPr="00A33FA3">
        <w:rPr>
          <w:rFonts w:ascii="Times New Roman" w:hAnsi="Times New Roman"/>
          <w:sz w:val="24"/>
          <w:szCs w:val="24"/>
        </w:rPr>
        <w:t>testified</w:t>
      </w:r>
      <w:proofErr w:type="gramEnd"/>
      <w:r w:rsidRPr="00A33FA3">
        <w:rPr>
          <w:rFonts w:ascii="Times New Roman" w:hAnsi="Times New Roman"/>
          <w:sz w:val="24"/>
          <w:szCs w:val="24"/>
        </w:rPr>
        <w:t xml:space="preserve"> the way in which he transfers a patient-using a double </w:t>
      </w:r>
      <w:proofErr w:type="gramStart"/>
      <w:r w:rsidRPr="00A33FA3">
        <w:rPr>
          <w:rFonts w:ascii="Times New Roman" w:hAnsi="Times New Roman"/>
          <w:sz w:val="24"/>
          <w:szCs w:val="24"/>
        </w:rPr>
        <w:t>sheet-‘</w:t>
      </w:r>
      <w:proofErr w:type="gramEnd"/>
      <w:r w:rsidRPr="00A33FA3">
        <w:rPr>
          <w:rFonts w:ascii="Times New Roman" w:hAnsi="Times New Roman"/>
          <w:sz w:val="24"/>
          <w:szCs w:val="24"/>
        </w:rPr>
        <w:t xml:space="preserve">makes it a lot easier to move . . . a patient </w:t>
      </w:r>
      <w:proofErr w:type="gramStart"/>
      <w:r w:rsidRPr="00A33FA3">
        <w:rPr>
          <w:rFonts w:ascii="Times New Roman" w:hAnsi="Times New Roman"/>
          <w:sz w:val="24"/>
          <w:szCs w:val="24"/>
        </w:rPr>
        <w:t>that[] [</w:t>
      </w:r>
      <w:proofErr w:type="gramEnd"/>
      <w:r w:rsidRPr="00A33FA3">
        <w:rPr>
          <w:rFonts w:ascii="Times New Roman" w:hAnsi="Times New Roman"/>
          <w:sz w:val="24"/>
          <w:szCs w:val="24"/>
        </w:rPr>
        <w:t>is] not cooperating.’ It was not an ‘unexpected happening’ that petitioner would need to help a patient to prevent a fall during a transfer.”</w:t>
      </w:r>
      <w:r>
        <w:rPr>
          <w:rFonts w:ascii="Times New Roman" w:hAnsi="Times New Roman"/>
          <w:sz w:val="24"/>
          <w:szCs w:val="24"/>
        </w:rPr>
        <w:t xml:space="preserve"> </w:t>
      </w:r>
      <w:hyperlink r:id="rId1155" w:history="1">
        <w:r w:rsidRPr="00812663">
          <w:rPr>
            <w:rStyle w:val="Hyperlink"/>
            <w:sz w:val="24"/>
            <w:szCs w:val="24"/>
          </w:rPr>
          <w:t>https://www.njcourts.gov/system/files/court-opinions/2023/a3333-21.pdf</w:t>
        </w:r>
      </w:hyperlink>
      <w:r>
        <w:rPr>
          <w:rFonts w:ascii="Times New Roman" w:eastAsia="Times New Roman" w:hAnsi="Times New Roman"/>
          <w:sz w:val="24"/>
          <w:szCs w:val="24"/>
        </w:rPr>
        <w:t xml:space="preserve"> </w:t>
      </w:r>
    </w:p>
    <w:p w14:paraId="35D0F98C" w14:textId="77777777" w:rsidR="00BC4628" w:rsidRPr="00954CB5" w:rsidRDefault="00BC4628" w:rsidP="00BC4628">
      <w:pPr>
        <w:spacing w:before="100" w:beforeAutospacing="1" w:after="100" w:afterAutospacing="1" w:line="240" w:lineRule="auto"/>
        <w:rPr>
          <w:rFonts w:ascii="Times New Roman" w:eastAsia="Times New Roman" w:hAnsi="Times New Roman"/>
          <w:b/>
          <w:bCs/>
          <w:sz w:val="24"/>
          <w:szCs w:val="24"/>
        </w:rPr>
      </w:pPr>
      <w:r w:rsidRPr="00954CB5">
        <w:rPr>
          <w:rFonts w:ascii="Times New Roman" w:hAnsi="Times New Roman"/>
          <w:b/>
          <w:bCs/>
          <w:sz w:val="24"/>
          <w:szCs w:val="24"/>
        </w:rPr>
        <w:t xml:space="preserve">Legal Lesson Learned: Under NJ law, accidental disability </w:t>
      </w:r>
      <w:r>
        <w:rPr>
          <w:rFonts w:ascii="Times New Roman" w:hAnsi="Times New Roman"/>
          <w:b/>
          <w:bCs/>
          <w:sz w:val="24"/>
          <w:szCs w:val="24"/>
        </w:rPr>
        <w:t xml:space="preserve">with enhanced compensation </w:t>
      </w:r>
      <w:r w:rsidRPr="00954CB5">
        <w:rPr>
          <w:rFonts w:ascii="Times New Roman" w:hAnsi="Times New Roman"/>
          <w:b/>
          <w:bCs/>
          <w:sz w:val="24"/>
          <w:szCs w:val="24"/>
        </w:rPr>
        <w:t>is only for fire &amp; EMS personnel "permanently and totally disabled as a direct result of a traumatic event occurring during and as a result of the performance of [their] regular or assigned duties.”</w:t>
      </w:r>
    </w:p>
    <w:p w14:paraId="10277B32" w14:textId="77777777" w:rsidR="00BC4628" w:rsidRDefault="00BC4628" w:rsidP="00EF1133">
      <w:pPr>
        <w:rPr>
          <w:rFonts w:ascii="Arial Black" w:hAnsi="Arial Black"/>
          <w:b/>
          <w:sz w:val="24"/>
          <w:szCs w:val="24"/>
        </w:rPr>
      </w:pPr>
    </w:p>
    <w:p w14:paraId="00D2A871" w14:textId="6213896E" w:rsidR="00BC4628"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5</w:t>
      </w:r>
    </w:p>
    <w:p w14:paraId="25C2ED0E" w14:textId="77777777" w:rsidR="00BC4628" w:rsidRPr="00FE3A79" w:rsidRDefault="00BC4628" w:rsidP="00BC4628">
      <w:pPr>
        <w:pStyle w:val="NormalWeb"/>
        <w:rPr>
          <w:rFonts w:ascii="Arial Black" w:hAnsi="Arial Black"/>
          <w:sz w:val="28"/>
          <w:szCs w:val="28"/>
        </w:rPr>
      </w:pPr>
      <w:r>
        <w:rPr>
          <w:rFonts w:ascii="Arial Black" w:hAnsi="Arial Black"/>
          <w:sz w:val="28"/>
          <w:szCs w:val="28"/>
        </w:rPr>
        <w:t>RI: RETIRED PROVIDENCE FF – CANCER – COVERED BY STATE’S DISABILITY, EVEN IF CITY HAS RETIREMENT PLAN</w:t>
      </w:r>
    </w:p>
    <w:p w14:paraId="420CF6DF" w14:textId="77777777" w:rsidR="00BC4628" w:rsidRDefault="00BC4628" w:rsidP="00BC4628">
      <w:pPr>
        <w:pStyle w:val="NormalWeb"/>
      </w:pPr>
      <w:r>
        <w:t xml:space="preserve">On June 26, 2023, in </w:t>
      </w:r>
      <w:r w:rsidRPr="00FE3A79">
        <w:rPr>
          <w:u w:val="single"/>
        </w:rPr>
        <w:t xml:space="preserve">The Providence Retired Police </w:t>
      </w:r>
      <w:proofErr w:type="gramStart"/>
      <w:r w:rsidRPr="00FE3A79">
        <w:rPr>
          <w:u w:val="single"/>
        </w:rPr>
        <w:t>And</w:t>
      </w:r>
      <w:proofErr w:type="gramEnd"/>
      <w:r w:rsidRPr="00FE3A79">
        <w:rPr>
          <w:u w:val="single"/>
        </w:rPr>
        <w:t xml:space="preserve"> Firefighter’s Association v. The City of Providence</w:t>
      </w:r>
      <w:r>
        <w:t xml:space="preserve">, Judge </w:t>
      </w:r>
      <w:r w:rsidRPr="00FE3A79">
        <w:t>R. David Cruise</w:t>
      </w:r>
      <w:r>
        <w:t xml:space="preserve">, Superior Court of Rhode Island, held that retired Providence firefighters, who develop cancer, are covered for disability benefits under the state’s 1986 statutory presumption law, even though City of Providence does not participate in the State’s “Municipal Employee Retirement System” and in 2008 enacted its own statutory presumption ordinance under its retirement plan.  </w:t>
      </w:r>
    </w:p>
    <w:p w14:paraId="0667991D" w14:textId="77777777" w:rsidR="00BC4628" w:rsidRDefault="00BC4628" w:rsidP="00BC4628">
      <w:pPr>
        <w:pStyle w:val="NormalWeb"/>
      </w:pPr>
      <w:r>
        <w:t>The Court held: “</w:t>
      </w:r>
      <w:r w:rsidRPr="00981B02">
        <w:t xml:space="preserve">The Court agrees with Plaintiff that our Supreme Court's decision in </w:t>
      </w:r>
      <w:r w:rsidRPr="00981B02">
        <w:rPr>
          <w:rStyle w:val="Emphasis"/>
          <w:rFonts w:eastAsiaTheme="majorEastAsia"/>
        </w:rPr>
        <w:t>East Providence</w:t>
      </w:r>
      <w:r w:rsidRPr="00981B02">
        <w:t xml:space="preserve"> </w:t>
      </w:r>
      <w:r w:rsidRPr="004F140E">
        <w:t>[</w:t>
      </w:r>
      <w:r w:rsidRPr="004F140E">
        <w:rPr>
          <w:rStyle w:val="Emphasis"/>
          <w:rFonts w:eastAsiaTheme="majorEastAsia"/>
        </w:rPr>
        <w:t>v. IAFF Local,</w:t>
      </w:r>
      <w:r w:rsidRPr="004F140E">
        <w:t xml:space="preserve"> 850, 982 A.2d 1281 (R.I. 2009)],</w:t>
      </w:r>
      <w:r>
        <w:t xml:space="preserve"> s</w:t>
      </w:r>
      <w:r w:rsidRPr="00981B02">
        <w:t xml:space="preserve">upports that § 45-19.1-3 does not restrict its application to only firefighters of municipalities that participate in the MERS…. Furthermore, it is apparent that § 45-19.1-3 was intended to provide cancer disability benefits to </w:t>
      </w:r>
      <w:r w:rsidRPr="00981B02">
        <w:rPr>
          <w:rStyle w:val="Emphasis"/>
          <w:rFonts w:eastAsiaTheme="majorEastAsia"/>
        </w:rPr>
        <w:t>all</w:t>
      </w:r>
      <w:r w:rsidRPr="00981B02">
        <w:t xml:space="preserve"> firefighters in the State, in accordance with the legislative intent and our Supreme Court's explanation in </w:t>
      </w:r>
      <w:r w:rsidRPr="00981B02">
        <w:rPr>
          <w:rStyle w:val="Emphasis"/>
          <w:rFonts w:eastAsiaTheme="majorEastAsia"/>
        </w:rPr>
        <w:t>East Providence</w:t>
      </w:r>
      <w:r w:rsidRPr="00981B02">
        <w:t>, and it would be absurd for the Court to conclude that Providence firefighters are excluded from said benefits when § 45-19.1-3 is meant to apply to all firefighters.</w:t>
      </w:r>
      <w:r>
        <w:t xml:space="preserve">” </w:t>
      </w:r>
      <w:hyperlink r:id="rId1156" w:history="1">
        <w:r w:rsidRPr="00812663">
          <w:rPr>
            <w:rStyle w:val="Hyperlink"/>
          </w:rPr>
          <w:t>https://casetext.com/case/the-providence-retired-police-firefighters-assn-v-city-of-providence</w:t>
        </w:r>
      </w:hyperlink>
      <w:r>
        <w:t xml:space="preserve"> </w:t>
      </w:r>
    </w:p>
    <w:p w14:paraId="4385A2DC" w14:textId="77777777" w:rsidR="00BC4628" w:rsidRDefault="00BC4628" w:rsidP="00BC462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state-wide retirement system fortunately includes a statutory presumption for cancer that includes retirees. </w:t>
      </w:r>
    </w:p>
    <w:p w14:paraId="78C5A6F6" w14:textId="77777777" w:rsidR="00BC4628" w:rsidRPr="00F115F8" w:rsidRDefault="00BC4628" w:rsidP="00BC4628">
      <w:pPr>
        <w:pStyle w:val="Heading1"/>
        <w:ind w:left="720"/>
        <w:rPr>
          <w:b w:val="0"/>
          <w:bCs w:val="0"/>
          <w:sz w:val="24"/>
          <w:szCs w:val="24"/>
        </w:rPr>
      </w:pPr>
      <w:r w:rsidRPr="00F115F8">
        <w:rPr>
          <w:b w:val="0"/>
          <w:bCs w:val="0"/>
          <w:kern w:val="0"/>
          <w:sz w:val="24"/>
          <w:szCs w:val="24"/>
        </w:rPr>
        <w:t xml:space="preserve">Note: See July 5, </w:t>
      </w:r>
      <w:proofErr w:type="gramStart"/>
      <w:r w:rsidRPr="00F115F8">
        <w:rPr>
          <w:b w:val="0"/>
          <w:bCs w:val="0"/>
          <w:kern w:val="0"/>
          <w:sz w:val="24"/>
          <w:szCs w:val="24"/>
        </w:rPr>
        <w:t>2023</w:t>
      </w:r>
      <w:proofErr w:type="gramEnd"/>
      <w:r w:rsidRPr="00F115F8">
        <w:rPr>
          <w:b w:val="0"/>
          <w:bCs w:val="0"/>
          <w:kern w:val="0"/>
          <w:sz w:val="24"/>
          <w:szCs w:val="24"/>
        </w:rPr>
        <w:t xml:space="preserve"> article on the case, “</w:t>
      </w:r>
      <w:r w:rsidRPr="00F115F8">
        <w:rPr>
          <w:b w:val="0"/>
          <w:bCs w:val="0"/>
          <w:sz w:val="24"/>
          <w:szCs w:val="24"/>
        </w:rPr>
        <w:t xml:space="preserve">Retired Providence firefighters not barred from cancer benefits.” </w:t>
      </w:r>
      <w:hyperlink r:id="rId1157" w:history="1">
        <w:r w:rsidRPr="00F115F8">
          <w:rPr>
            <w:rStyle w:val="Hyperlink"/>
            <w:b w:val="0"/>
            <w:bCs w:val="0"/>
            <w:sz w:val="24"/>
            <w:szCs w:val="24"/>
          </w:rPr>
          <w:t>https://rilawyersweekly.com/blog/2023/07/05/retired-providence-firefighters-not-barred-from-cancer-benefits/</w:t>
        </w:r>
      </w:hyperlink>
      <w:r w:rsidRPr="00F115F8">
        <w:rPr>
          <w:b w:val="0"/>
          <w:bCs w:val="0"/>
          <w:sz w:val="24"/>
          <w:szCs w:val="24"/>
        </w:rPr>
        <w:t xml:space="preserve"> </w:t>
      </w:r>
    </w:p>
    <w:p w14:paraId="6D74B9CB" w14:textId="77777777" w:rsidR="00BC4628" w:rsidRDefault="00BC4628" w:rsidP="00EF1133">
      <w:pPr>
        <w:rPr>
          <w:rFonts w:ascii="Arial Black" w:hAnsi="Arial Black"/>
          <w:b/>
          <w:sz w:val="24"/>
          <w:szCs w:val="24"/>
        </w:rPr>
      </w:pPr>
    </w:p>
    <w:p w14:paraId="09F4F789" w14:textId="4BCAF48C" w:rsidR="00FE60DA"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4</w:t>
      </w:r>
    </w:p>
    <w:p w14:paraId="3280DD8E" w14:textId="77777777" w:rsidR="00BC4628" w:rsidRDefault="00BC4628" w:rsidP="00BC4628">
      <w:pPr>
        <w:pStyle w:val="NormalWeb"/>
        <w:rPr>
          <w:rFonts w:ascii="Arial Black" w:hAnsi="Arial Black"/>
          <w:sz w:val="28"/>
          <w:szCs w:val="28"/>
        </w:rPr>
      </w:pPr>
      <w:r>
        <w:rPr>
          <w:rFonts w:ascii="Arial Black" w:hAnsi="Arial Black"/>
          <w:sz w:val="28"/>
          <w:szCs w:val="28"/>
        </w:rPr>
        <w:t>CT: PART-TIME FF – HEART - SEEKS DISABILITY BONUS PAID FF HIRED PRIOR JULY 1, 1996 – AVER. 20 HRS / WEEK</w:t>
      </w:r>
    </w:p>
    <w:p w14:paraId="13697E2D" w14:textId="77777777" w:rsidR="00BC4628" w:rsidRDefault="00BC4628" w:rsidP="00BC4628">
      <w:pPr>
        <w:pStyle w:val="NormalWeb"/>
      </w:pPr>
      <w:r>
        <w:t xml:space="preserve">On June 20, 2023, in </w:t>
      </w:r>
      <w:r w:rsidRPr="00993113">
        <w:rPr>
          <w:u w:val="single"/>
        </w:rPr>
        <w:t xml:space="preserve">Christopher A. Clark v. Town of Waterford, </w:t>
      </w:r>
      <w:proofErr w:type="spellStart"/>
      <w:r w:rsidRPr="00993113">
        <w:rPr>
          <w:u w:val="single"/>
        </w:rPr>
        <w:t>Cohanzie</w:t>
      </w:r>
      <w:proofErr w:type="spellEnd"/>
      <w:r w:rsidRPr="00993113">
        <w:rPr>
          <w:u w:val="single"/>
        </w:rPr>
        <w:t xml:space="preserve"> Fire Department, et al.</w:t>
      </w:r>
      <w:r>
        <w:t xml:space="preserve">, the Supreme Court of Connecticut, held (6 to 1) </w:t>
      </w:r>
      <w:r w:rsidRPr="00221594">
        <w:t>that the Town correctly contended that</w:t>
      </w:r>
      <w:r>
        <w:t xml:space="preserve"> a state statute awarding municipal police and firefighters hired prior to July 1, </w:t>
      </w:r>
      <w:proofErr w:type="gramStart"/>
      <w:r>
        <w:t>1996</w:t>
      </w:r>
      <w:proofErr w:type="gramEnd"/>
      <w:r>
        <w:t xml:space="preserve"> with enhanced benefits for heart </w:t>
      </w:r>
      <w:r w:rsidRPr="005B1FFB">
        <w:t>or hypertension disease</w:t>
      </w:r>
      <w:r>
        <w:t xml:space="preserve"> (get benefits as if they suffered on duty personal injury), but only if they worked an average of 20 hours a week or more. Case </w:t>
      </w:r>
      <w:proofErr w:type="gramStart"/>
      <w:r>
        <w:t>remanded</w:t>
      </w:r>
      <w:proofErr w:type="gramEnd"/>
      <w:r>
        <w:t xml:space="preserve"> to determine if he met this hourly requirement when he served as a part-time firefighter starting in 1992.</w:t>
      </w:r>
    </w:p>
    <w:p w14:paraId="511A3487" w14:textId="77777777" w:rsidR="00BC4628" w:rsidRPr="00993113" w:rsidRDefault="00BC4628" w:rsidP="00BC4628">
      <w:pPr>
        <w:pStyle w:val="NormalWeb"/>
      </w:pPr>
      <w:r>
        <w:t>The Court held: “</w:t>
      </w:r>
      <w:r w:rsidRPr="005B1FFB">
        <w:t xml:space="preserve">Because the </w:t>
      </w:r>
      <w:r>
        <w:t xml:space="preserve">[Workers Comp.] </w:t>
      </w:r>
      <w:r w:rsidRPr="005B1FFB">
        <w:t>commissioner did not apply the correct legal standard in failing to make a finding as to whether the plaintiff had customarily worked the requisite twenty hours per week prior to his hiring as a full-time firefighter, the plaintiff is entitled to have the commissioner decide that factual issue</w:t>
      </w:r>
      <w:r>
        <w:t xml:space="preserve">.” </w:t>
      </w:r>
      <w:hyperlink r:id="rId1158" w:history="1">
        <w:r w:rsidRPr="00812663">
          <w:rPr>
            <w:rStyle w:val="Hyperlink"/>
          </w:rPr>
          <w:t>https://casetext.com/case/clark-v-town-of-waterford-1</w:t>
        </w:r>
      </w:hyperlink>
      <w:r>
        <w:t xml:space="preserve"> </w:t>
      </w:r>
    </w:p>
    <w:p w14:paraId="5DD3720F" w14:textId="77777777" w:rsidR="00BC4628" w:rsidRPr="00295415" w:rsidRDefault="00BC4628" w:rsidP="00BC4628">
      <w:pPr>
        <w:pStyle w:val="NormalWeb"/>
        <w:rPr>
          <w:b/>
          <w:bCs/>
        </w:rPr>
      </w:pPr>
      <w:r w:rsidRPr="00295415">
        <w:rPr>
          <w:b/>
          <w:bCs/>
        </w:rPr>
        <w:t xml:space="preserve">Legal Lesson Learned: </w:t>
      </w:r>
      <w:r>
        <w:rPr>
          <w:b/>
          <w:bCs/>
        </w:rPr>
        <w:t>This is unusual decision; per the Dissent, the Court is reversing 70 years of history awarding disability benefits to all uniformed members of municipal fire departments.</w:t>
      </w:r>
    </w:p>
    <w:p w14:paraId="13CBA0BD" w14:textId="77777777" w:rsidR="00BC4628" w:rsidRPr="00F115F8" w:rsidRDefault="00BC4628" w:rsidP="00BC4628">
      <w:pPr>
        <w:pStyle w:val="Heading1"/>
        <w:ind w:left="720"/>
        <w:rPr>
          <w:b w:val="0"/>
          <w:bCs w:val="0"/>
          <w:sz w:val="24"/>
          <w:szCs w:val="24"/>
        </w:rPr>
      </w:pPr>
      <w:r w:rsidRPr="00F115F8">
        <w:rPr>
          <w:b w:val="0"/>
          <w:bCs w:val="0"/>
          <w:sz w:val="24"/>
          <w:szCs w:val="24"/>
        </w:rPr>
        <w:t xml:space="preserve">Note: See June 26, </w:t>
      </w:r>
      <w:proofErr w:type="gramStart"/>
      <w:r w:rsidRPr="00F115F8">
        <w:rPr>
          <w:b w:val="0"/>
          <w:bCs w:val="0"/>
          <w:sz w:val="24"/>
          <w:szCs w:val="24"/>
        </w:rPr>
        <w:t>2023</w:t>
      </w:r>
      <w:proofErr w:type="gramEnd"/>
      <w:r w:rsidRPr="00F115F8">
        <w:rPr>
          <w:b w:val="0"/>
          <w:bCs w:val="0"/>
          <w:sz w:val="24"/>
          <w:szCs w:val="24"/>
        </w:rPr>
        <w:t xml:space="preserve"> article, “Connecticut High Court Nixes Workers’ Comp for Firefighter </w:t>
      </w:r>
      <w:proofErr w:type="gramStart"/>
      <w:r w:rsidRPr="00F115F8">
        <w:rPr>
          <w:b w:val="0"/>
          <w:bCs w:val="0"/>
          <w:sz w:val="24"/>
          <w:szCs w:val="24"/>
        </w:rPr>
        <w:t>With</w:t>
      </w:r>
      <w:proofErr w:type="gramEnd"/>
      <w:r w:rsidRPr="00F115F8">
        <w:rPr>
          <w:b w:val="0"/>
          <w:bCs w:val="0"/>
          <w:sz w:val="24"/>
          <w:szCs w:val="24"/>
        </w:rPr>
        <w:t xml:space="preserve"> Heart Condition.” </w:t>
      </w:r>
      <w:hyperlink r:id="rId1159" w:history="1">
        <w:r w:rsidRPr="00F115F8">
          <w:rPr>
            <w:rStyle w:val="Hyperlink"/>
            <w:b w:val="0"/>
            <w:bCs w:val="0"/>
            <w:sz w:val="24"/>
            <w:szCs w:val="24"/>
          </w:rPr>
          <w:t>https://www.insurancejournal.com/news/east/2023/06/26/727250.htm#</w:t>
        </w:r>
      </w:hyperlink>
      <w:r w:rsidRPr="00F115F8">
        <w:rPr>
          <w:b w:val="0"/>
          <w:bCs w:val="0"/>
          <w:sz w:val="24"/>
          <w:szCs w:val="24"/>
        </w:rPr>
        <w:t xml:space="preserve"> </w:t>
      </w:r>
    </w:p>
    <w:p w14:paraId="61B687B4" w14:textId="77777777" w:rsidR="00BC4628" w:rsidRDefault="00BC4628" w:rsidP="00EF1133">
      <w:pPr>
        <w:rPr>
          <w:rFonts w:ascii="Arial Black" w:hAnsi="Arial Black"/>
          <w:b/>
          <w:sz w:val="24"/>
          <w:szCs w:val="24"/>
        </w:rPr>
      </w:pPr>
    </w:p>
    <w:p w14:paraId="580EF268" w14:textId="77777777" w:rsidR="00FE60DA" w:rsidRDefault="00FE60DA" w:rsidP="00EF1133">
      <w:pPr>
        <w:rPr>
          <w:rFonts w:ascii="Arial Black" w:hAnsi="Arial Black"/>
          <w:b/>
          <w:sz w:val="24"/>
          <w:szCs w:val="24"/>
        </w:rPr>
      </w:pPr>
    </w:p>
    <w:p w14:paraId="674FB872" w14:textId="778F9BC4" w:rsidR="00477016" w:rsidRDefault="0047701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3</w:t>
      </w:r>
    </w:p>
    <w:p w14:paraId="3DF14A5F" w14:textId="77777777" w:rsidR="00477016" w:rsidRPr="00683B6E" w:rsidRDefault="00477016" w:rsidP="00477016">
      <w:pPr>
        <w:pStyle w:val="NormalWeb"/>
        <w:rPr>
          <w:rStyle w:val="markedcontent"/>
          <w:rFonts w:ascii="Arial Black" w:hAnsi="Arial Black"/>
          <w:sz w:val="28"/>
          <w:szCs w:val="28"/>
        </w:rPr>
      </w:pPr>
      <w:bookmarkStart w:id="226" w:name="_Hlk136859176"/>
      <w:r>
        <w:rPr>
          <w:rStyle w:val="markedcontent"/>
          <w:rFonts w:ascii="Arial Black" w:hAnsi="Arial Black"/>
          <w:sz w:val="28"/>
          <w:szCs w:val="28"/>
        </w:rPr>
        <w:t xml:space="preserve">MI:  ARMY FF NOT PROMOTED CAPTAIN – RATED BELOW 2 OTHERS – NO RETALITION / COMMENTS HIS “B-SIZE BRA” </w:t>
      </w:r>
    </w:p>
    <w:bookmarkEnd w:id="226"/>
    <w:p w14:paraId="6CBEFE58" w14:textId="77777777" w:rsidR="00477016" w:rsidRDefault="00477016" w:rsidP="00477016">
      <w:pPr>
        <w:pStyle w:val="NormalWeb"/>
      </w:pPr>
      <w:r>
        <w:rPr>
          <w:rStyle w:val="markedcontent"/>
        </w:rPr>
        <w:t xml:space="preserve">On June 2, 2023, in </w:t>
      </w:r>
      <w:r w:rsidRPr="00CD5BF6">
        <w:rPr>
          <w:rStyle w:val="markedcontent"/>
          <w:u w:val="single"/>
        </w:rPr>
        <w:t>Joe Dasilva v. Mark Esper, et al</w:t>
      </w:r>
      <w:r>
        <w:rPr>
          <w:rStyle w:val="markedcontent"/>
        </w:rPr>
        <w:t xml:space="preserve">., U.S. District Court Judge Mark A. </w:t>
      </w:r>
      <w:proofErr w:type="spellStart"/>
      <w:r>
        <w:rPr>
          <w:rStyle w:val="markedcontent"/>
        </w:rPr>
        <w:t>Golsmith</w:t>
      </w:r>
      <w:proofErr w:type="spellEnd"/>
      <w:r>
        <w:rPr>
          <w:rStyle w:val="markedcontent"/>
        </w:rPr>
        <w:t xml:space="preserve">, U.S. District Court for Eastern District of Michigan, Southern Division, granted U.S, Army’s motion for summary judgment, dismissing the lawsuit by the firefighter / EMT.  He claimed that the Chief of the Fire Division, </w:t>
      </w:r>
      <w:r>
        <w:t xml:space="preserve">Martin Potter, </w:t>
      </w:r>
      <w:r>
        <w:rPr>
          <w:rStyle w:val="markedcontent"/>
        </w:rPr>
        <w:t xml:space="preserve">who served on the three-member promotion panel in 2019, denied him promotion because he had filed EEOC complaints against him in 2017 and 2018 after comments  such as, </w:t>
      </w:r>
      <w:r>
        <w:t xml:space="preserve">“I bet you can wear a B-sized bra.” </w:t>
      </w:r>
      <w:hyperlink r:id="rId1160" w:history="1">
        <w:r w:rsidRPr="005E5A42">
          <w:rPr>
            <w:rStyle w:val="Hyperlink"/>
          </w:rPr>
          <w:t>https://casetext.com/case/dasilva-v-esper-1</w:t>
        </w:r>
      </w:hyperlink>
      <w:r>
        <w:t xml:space="preserve"> </w:t>
      </w:r>
    </w:p>
    <w:p w14:paraId="76305C05" w14:textId="77777777" w:rsidR="00477016" w:rsidRDefault="00477016" w:rsidP="00477016">
      <w:pPr>
        <w:pStyle w:val="NormalWeb"/>
        <w:ind w:left="720"/>
      </w:pPr>
      <w:r>
        <w:t>“Dasilva alleges that Potter created a hostile work environment by sexually harassing him…. According to Dasilva, Potter ‘continuously’ told him from 2008 until 2018, ‘I bet you can wear a B-sized bra….’ Potter also allegedly once asked Dasilva how much breast implants cost and once stated, ‘Hey, Dasilva [bet] you can . . . hold this pencil under . . . your breasts</w:t>
      </w:r>
      <w:proofErr w:type="gramStart"/>
      <w:r>
        <w:t>…..</w:t>
      </w:r>
      <w:proofErr w:type="gramEnd"/>
      <w:r>
        <w:t>”’ Dasilva further asserts that Potter retaliated against him for reporting the sexual harassment. *** The Army asserts that Dasilva was not selected for the position of captain because he was less qualified than the candidate who was selected, Shane Biehl…. The three individuals who interviewed and rated Dasilva's abilities when Dasilva applied for the position-Potter, Assistant Chief Adam Todd, and Assistant Chief Lesley Tillman-submitted declarations stating that they did not deem Dasilva qualified for the position…. The rating criteria sheets attached to the declarations show that all three individuals rated Dasilva the second lowest of the eight individuals who applied for the position</w:t>
      </w:r>
      <w:proofErr w:type="gramStart"/>
      <w:r>
        <w:t>…..</w:t>
      </w:r>
      <w:proofErr w:type="gramEnd"/>
      <w:r>
        <w:t xml:space="preserve"> Out of 110 total points, they scored the highest-scoring applicant between 48-52 points higher than Dasilva…. The interview rating sheets attached to the declarations show that Potter and Tillman found that Dasilva did not demonstrate leadership performance skills….Todd's interview rating sheet shows that Todd found that Dasilva lacked evidence of numerous performance skills, including leadership, customer service, motivating others, team building, and ‘planning, prioritizing, and goal setting</w:t>
      </w:r>
      <w:proofErr w:type="gramStart"/>
      <w:r>
        <w:t>…..</w:t>
      </w:r>
      <w:proofErr w:type="gramEnd"/>
      <w:r>
        <w:t xml:space="preserve">’ It also states that Dasilva ‘does not demonstrate abilities needed to effectively lead at the GS-8 level’ and ‘should continue to improve and work </w:t>
      </w:r>
      <w:proofErr w:type="spellStart"/>
      <w:r>
        <w:t>towar</w:t>
      </w:r>
      <w:proofErr w:type="spellEnd"/>
      <w:r>
        <w:t>[d] engaging in activity to help….’ Defendants' reason for not promoting Dasilva to captain-that he was not qualified-satisfies their burden of proof at this stage.”</w:t>
      </w:r>
    </w:p>
    <w:p w14:paraId="384714F1" w14:textId="77777777" w:rsidR="00477016" w:rsidRPr="000D14A8" w:rsidRDefault="00477016" w:rsidP="00477016">
      <w:pPr>
        <w:pStyle w:val="NormalWeb"/>
        <w:rPr>
          <w:b/>
          <w:bCs/>
        </w:rPr>
      </w:pPr>
      <w:r w:rsidRPr="000D14A8">
        <w:rPr>
          <w:b/>
          <w:bCs/>
        </w:rPr>
        <w:t>Legal Lesson Learned:</w:t>
      </w:r>
      <w:r>
        <w:rPr>
          <w:b/>
          <w:bCs/>
        </w:rPr>
        <w:t xml:space="preserve"> Promotion panel score sheets carry great weight.  FD officers need to be cautious about comments on firefighter appearance – male or female. </w:t>
      </w:r>
    </w:p>
    <w:p w14:paraId="0F43FA98" w14:textId="77777777" w:rsidR="00477016" w:rsidRDefault="00477016" w:rsidP="00EF1133">
      <w:pPr>
        <w:rPr>
          <w:rFonts w:ascii="Arial Black" w:hAnsi="Arial Black"/>
          <w:b/>
          <w:sz w:val="24"/>
          <w:szCs w:val="24"/>
        </w:rPr>
      </w:pPr>
    </w:p>
    <w:p w14:paraId="1CE03F25" w14:textId="3875709E" w:rsidR="00477016" w:rsidRDefault="0047701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2</w:t>
      </w:r>
    </w:p>
    <w:p w14:paraId="2271E22E" w14:textId="77777777" w:rsidR="00477016" w:rsidRPr="00907F57" w:rsidRDefault="00477016" w:rsidP="00477016">
      <w:pPr>
        <w:pStyle w:val="NormalWeb"/>
        <w:rPr>
          <w:rFonts w:ascii="Arial Black" w:hAnsi="Arial Black"/>
          <w:sz w:val="28"/>
          <w:szCs w:val="28"/>
        </w:rPr>
      </w:pPr>
      <w:bookmarkStart w:id="227" w:name="_Hlk136859401"/>
      <w:r>
        <w:rPr>
          <w:rFonts w:ascii="Arial Black" w:hAnsi="Arial Black"/>
          <w:sz w:val="28"/>
          <w:szCs w:val="28"/>
        </w:rPr>
        <w:t xml:space="preserve">IL: GAY CHICAGO FF – CLAIMS FEMALE MGR. ASKED FOR SEX / HARASSED – CITY SLOW INVEST. - CASE PROCEED </w:t>
      </w:r>
    </w:p>
    <w:bookmarkEnd w:id="227"/>
    <w:p w14:paraId="05FEBEC7" w14:textId="77777777" w:rsidR="00477016" w:rsidRDefault="00477016" w:rsidP="00477016">
      <w:pPr>
        <w:pStyle w:val="NormalWeb"/>
      </w:pPr>
      <w:r>
        <w:t xml:space="preserve">On May 18, 2023, in </w:t>
      </w:r>
      <w:r w:rsidRPr="001D0C15">
        <w:rPr>
          <w:u w:val="single"/>
        </w:rPr>
        <w:t>James Mundo v. City of Chicago and Janice Hogan</w:t>
      </w:r>
      <w:r>
        <w:t xml:space="preserve">, U.S. District Court Judge Matthew F. Kennelly, U.S. District Court for Northern District of Illinois, Eastern Division, denied the City’s motion for summary judgment on firefighter’s asserts a hostile work environment claim under Title VII of the Civil Rights Act of 1964.   The Court described allegations.  </w:t>
      </w:r>
      <w:hyperlink r:id="rId1161" w:history="1">
        <w:r w:rsidRPr="00B93E1E">
          <w:rPr>
            <w:rStyle w:val="Hyperlink"/>
            <w:rFonts w:eastAsiaTheme="majorEastAsia"/>
          </w:rPr>
          <w:t>https://public.fastcase.com/ZZhmr5v9wN%2FXOe5IsQ%2FqD20iR7BWmLId4hSDI3nXqVWgPhPXw%2BQtkDECKs6HrcpaaA0bYVe7yei9SfZEfso10IPB%2B%2BM5XAOSsASvTO6V770%3D?utm_medium=email&amp;_hsmi=226712652&amp;_hsenc=p2ANqtz-8Ok8gGNpyLe8hTDi80EaJgVLaHo-pifPeTe8oohUIZEvo8GKO7wbe6cb01t7sw656xUcVdVRiPGkXPM8qU1b5G_smouQ&amp;utm_content=226712652&amp;utm_source=hs_email</w:t>
        </w:r>
      </w:hyperlink>
      <w:r>
        <w:t xml:space="preserve"> </w:t>
      </w:r>
    </w:p>
    <w:p w14:paraId="18E99763" w14:textId="77777777" w:rsidR="00477016" w:rsidRDefault="00477016" w:rsidP="00477016">
      <w:pPr>
        <w:pStyle w:val="NormalWeb"/>
        <w:ind w:left="720"/>
      </w:pPr>
      <w:r>
        <w:t xml:space="preserve">“On October 5, 2018, Mundo and his husband Dave met with Malec [Steven Malec, the Assistant Commissioner of Internal Affairs] over lunch. During their meeting, Mundo handed Malec a six page, typed document listing </w:t>
      </w:r>
      <w:proofErr w:type="gramStart"/>
      <w:r>
        <w:t>a number of</w:t>
      </w:r>
      <w:proofErr w:type="gramEnd"/>
      <w:r>
        <w:t xml:space="preserve"> instances of sexual harassment that he said he had experienced at Hogan's hands. *** The entries range from October 1, </w:t>
      </w:r>
      <w:proofErr w:type="gramStart"/>
      <w:r>
        <w:t>2016</w:t>
      </w:r>
      <w:proofErr w:type="gramEnd"/>
      <w:r>
        <w:t xml:space="preserve"> to October 11, 2018. The reported incidents include, among other things: Hogan repeatedly asking Mundo to have sex with her and to masturbate in front of her (and on one occasion, onto her phone); hitting Mundo over the head; undressing in front of him at least twenty times; making comments about her genitalia and comparing it to a flower; saying that she and Mundo would be perfect together if he wasn't gay; using homophobic slurs; saying that she needed to ‘get laid; and threatening to send Mundo back to the field if he didn't comply with her demands. *** Deputy Commissioner Vasquez and </w:t>
      </w:r>
      <w:proofErr w:type="spellStart"/>
      <w:r>
        <w:t>DeCamp</w:t>
      </w:r>
      <w:proofErr w:type="spellEnd"/>
      <w:r>
        <w:t xml:space="preserve"> did not sit down with Hogan </w:t>
      </w:r>
      <w:r w:rsidRPr="001D0C15">
        <w:t>[Deputy Chief of L</w:t>
      </w:r>
      <w:r>
        <w:t xml:space="preserve">abor Relations Division] until a month after Mundo made his official complaint, and in the </w:t>
      </w:r>
      <w:proofErr w:type="gramStart"/>
      <w:r>
        <w:t>interim</w:t>
      </w:r>
      <w:proofErr w:type="gramEnd"/>
      <w:r>
        <w:t xml:space="preserve"> they allowed her to remain in her then-current position. After their interview, Vasquez and </w:t>
      </w:r>
      <w:proofErr w:type="spellStart"/>
      <w:r>
        <w:t>DeCamp</w:t>
      </w:r>
      <w:proofErr w:type="spellEnd"/>
      <w:r>
        <w:t xml:space="preserve"> allowed Hogan to move back to her career service rank of firefighter/paramedic despite her admission that she had engaged in some of the conduct that Mundo accused her of. Moreover, the EEO Division did not begin conducting interviews </w:t>
      </w:r>
      <w:proofErr w:type="gramStart"/>
      <w:r>
        <w:t>of</w:t>
      </w:r>
      <w:proofErr w:type="gramEnd"/>
      <w:r>
        <w:t xml:space="preserve"> </w:t>
      </w:r>
      <w:proofErr w:type="gramStart"/>
      <w:r>
        <w:t>the parties</w:t>
      </w:r>
      <w:proofErr w:type="gramEnd"/>
      <w:r>
        <w:t xml:space="preserve"> and witnesses until another month after that (December 2018). Nor did the EEO Division complete its investigation until over a year and one-half later, on July 10, 2020. And despite Commander Ford's statement that he found Hogan's conduct to be ‘egregious,’ she did not serve her suspension until almost seven months later, on January 29, 2021. Finally, although Hogan and Mundo ceased working together the very same </w:t>
      </w:r>
      <w:proofErr w:type="gramStart"/>
      <w:r>
        <w:t>day</w:t>
      </w:r>
      <w:proofErr w:type="gramEnd"/>
      <w:r>
        <w:t xml:space="preserve"> he made his complaint to Malec, a reasonable jury could find that was due to Mundo taking medical leave, not any remedial action on the City's part.” </w:t>
      </w:r>
    </w:p>
    <w:p w14:paraId="12B7E07B" w14:textId="77777777" w:rsidR="00477016" w:rsidRPr="00DB7D01" w:rsidRDefault="00477016" w:rsidP="00477016">
      <w:pPr>
        <w:pStyle w:val="NormalWeb"/>
        <w:rPr>
          <w:b/>
          <w:bCs/>
        </w:rPr>
      </w:pPr>
      <w:r w:rsidRPr="00DB7D01">
        <w:rPr>
          <w:b/>
          <w:bCs/>
        </w:rPr>
        <w:t>Legal Lesson Learned:</w:t>
      </w:r>
      <w:r>
        <w:rPr>
          <w:b/>
          <w:bCs/>
        </w:rPr>
        <w:t xml:space="preserve"> Internal complaints </w:t>
      </w:r>
      <w:proofErr w:type="gramStart"/>
      <w:r>
        <w:rPr>
          <w:b/>
          <w:bCs/>
        </w:rPr>
        <w:t>of</w:t>
      </w:r>
      <w:proofErr w:type="gramEnd"/>
      <w:r>
        <w:rPr>
          <w:b/>
          <w:bCs/>
        </w:rPr>
        <w:t xml:space="preserve"> hostile work environment should be promptly investigated and corrective action taken.</w:t>
      </w:r>
    </w:p>
    <w:p w14:paraId="0DDAEAE4" w14:textId="77777777" w:rsidR="00477016" w:rsidRDefault="00477016" w:rsidP="00EF1133">
      <w:pPr>
        <w:rPr>
          <w:rFonts w:ascii="Arial Black" w:hAnsi="Arial Black"/>
          <w:b/>
          <w:sz w:val="24"/>
          <w:szCs w:val="24"/>
        </w:rPr>
      </w:pPr>
    </w:p>
    <w:p w14:paraId="276F88CF" w14:textId="6675FE0D" w:rsidR="007A0E71" w:rsidRDefault="007A0E71"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1</w:t>
      </w:r>
    </w:p>
    <w:p w14:paraId="37BAE7AE" w14:textId="33BCFCED" w:rsidR="007A0E71" w:rsidRPr="00806668" w:rsidRDefault="007A0E71" w:rsidP="007A0E71">
      <w:pPr>
        <w:pStyle w:val="NoSpacing"/>
        <w:rPr>
          <w:rFonts w:ascii="Arial Black" w:hAnsi="Arial Black"/>
          <w:sz w:val="28"/>
          <w:szCs w:val="28"/>
        </w:rPr>
      </w:pPr>
      <w:r w:rsidRPr="00806668">
        <w:rPr>
          <w:rFonts w:ascii="Arial Black" w:hAnsi="Arial Black"/>
          <w:sz w:val="28"/>
          <w:szCs w:val="28"/>
        </w:rPr>
        <w:t>KY</w:t>
      </w:r>
      <w:r w:rsidR="00CF133C">
        <w:rPr>
          <w:rFonts w:ascii="Arial Black" w:hAnsi="Arial Black"/>
          <w:sz w:val="28"/>
          <w:szCs w:val="28"/>
        </w:rPr>
        <w:t xml:space="preserve">: </w:t>
      </w:r>
      <w:r w:rsidRPr="00806668">
        <w:rPr>
          <w:rFonts w:ascii="Arial Black" w:hAnsi="Arial Black"/>
          <w:sz w:val="28"/>
          <w:szCs w:val="28"/>
        </w:rPr>
        <w:t>FF</w:t>
      </w:r>
      <w:r>
        <w:rPr>
          <w:rFonts w:ascii="Arial Black" w:hAnsi="Arial Black"/>
          <w:sz w:val="28"/>
          <w:szCs w:val="28"/>
        </w:rPr>
        <w:t xml:space="preserve"> HAD BOTH KNEES REPLACED – WORK RELATED TRAUMA - PERMANENT PARTIAL D</w:t>
      </w:r>
      <w:r w:rsidRPr="00806668">
        <w:rPr>
          <w:rFonts w:ascii="Arial Black" w:hAnsi="Arial Black"/>
          <w:sz w:val="28"/>
          <w:szCs w:val="28"/>
        </w:rPr>
        <w:t xml:space="preserve">ISABILITY </w:t>
      </w:r>
    </w:p>
    <w:p w14:paraId="1856D14F" w14:textId="77777777" w:rsidR="007A0E71" w:rsidRDefault="007A0E71" w:rsidP="007A0E71">
      <w:pPr>
        <w:pStyle w:val="NoSpacing"/>
      </w:pPr>
    </w:p>
    <w:p w14:paraId="55A88808" w14:textId="77777777" w:rsidR="007A0E71" w:rsidRDefault="007A0E71" w:rsidP="007A0E71">
      <w:pPr>
        <w:pStyle w:val="NoSpacing"/>
        <w:rPr>
          <w:rFonts w:ascii="Times New Roman" w:hAnsi="Times New Roman"/>
          <w:sz w:val="24"/>
          <w:szCs w:val="24"/>
        </w:rPr>
      </w:pPr>
      <w:r w:rsidRPr="003C1643">
        <w:rPr>
          <w:rFonts w:ascii="Times New Roman" w:hAnsi="Times New Roman"/>
          <w:sz w:val="24"/>
          <w:szCs w:val="24"/>
          <w:u w:val="single"/>
        </w:rPr>
        <w:t>Lexington Fayette Urban County Government v. Michael Gosper, et al</w:t>
      </w:r>
      <w:r w:rsidRPr="003C1643">
        <w:rPr>
          <w:rFonts w:ascii="Times New Roman" w:hAnsi="Times New Roman"/>
          <w:sz w:val="24"/>
          <w:szCs w:val="24"/>
        </w:rPr>
        <w:t xml:space="preserve">., Supreme Court of Kentucky, </w:t>
      </w:r>
      <w:hyperlink r:id="rId1162" w:history="1">
        <w:r w:rsidRPr="003C1643">
          <w:rPr>
            <w:rStyle w:val="Hyperlink"/>
            <w:rFonts w:ascii="Times New Roman" w:hAnsi="Times New Roman"/>
            <w:sz w:val="24"/>
            <w:szCs w:val="24"/>
          </w:rPr>
          <w:t>https://casetext.com/case/lexington-fayette-urban-cnty-govt-v-gosper-1</w:t>
        </w:r>
      </w:hyperlink>
      <w:r w:rsidRPr="003C1643">
        <w:rPr>
          <w:rFonts w:ascii="Times New Roman" w:hAnsi="Times New Roman"/>
          <w:sz w:val="24"/>
          <w:szCs w:val="24"/>
        </w:rPr>
        <w:t xml:space="preserve"> </w:t>
      </w:r>
    </w:p>
    <w:p w14:paraId="1926DC56" w14:textId="6DB0242B" w:rsidR="00546A79" w:rsidRPr="003C1643" w:rsidRDefault="00CF133C" w:rsidP="007A0E71">
      <w:pPr>
        <w:pStyle w:val="NoSpacing"/>
        <w:rPr>
          <w:rFonts w:ascii="Times New Roman" w:hAnsi="Times New Roman"/>
          <w:sz w:val="24"/>
          <w:szCs w:val="24"/>
        </w:rPr>
      </w:pPr>
      <w:r>
        <w:rPr>
          <w:rFonts w:ascii="Times New Roman" w:hAnsi="Times New Roman"/>
          <w:sz w:val="24"/>
          <w:szCs w:val="24"/>
        </w:rPr>
        <w:t>4/27/2023</w:t>
      </w:r>
    </w:p>
    <w:p w14:paraId="3D778DEC" w14:textId="77777777" w:rsidR="007A0E71" w:rsidRPr="003C1643" w:rsidRDefault="007A0E71" w:rsidP="007A0E71">
      <w:pPr>
        <w:pStyle w:val="NoSpacing"/>
        <w:rPr>
          <w:rFonts w:ascii="Times New Roman" w:hAnsi="Times New Roman"/>
          <w:sz w:val="24"/>
          <w:szCs w:val="24"/>
        </w:rPr>
      </w:pPr>
    </w:p>
    <w:p w14:paraId="5C421277" w14:textId="77777777" w:rsidR="007A0E71" w:rsidRDefault="007A0E71" w:rsidP="007A0E71">
      <w:pPr>
        <w:pStyle w:val="NormalWeb"/>
        <w:rPr>
          <w:b/>
          <w:bCs/>
        </w:rPr>
      </w:pPr>
      <w:r>
        <w:rPr>
          <w:b/>
          <w:bCs/>
        </w:rPr>
        <w:t xml:space="preserve">Legal Lesson Learned: Testimony concerning 18 years of strenuous on duty activities was important. </w:t>
      </w:r>
    </w:p>
    <w:p w14:paraId="2F99BB80" w14:textId="77777777" w:rsidR="007A0E71" w:rsidRDefault="007A0E71" w:rsidP="00EF1133">
      <w:pPr>
        <w:rPr>
          <w:rFonts w:ascii="Arial Black" w:hAnsi="Arial Black"/>
          <w:b/>
          <w:sz w:val="24"/>
          <w:szCs w:val="24"/>
        </w:rPr>
      </w:pPr>
    </w:p>
    <w:p w14:paraId="0E702D2D" w14:textId="1D09652C" w:rsidR="007A0E71" w:rsidRDefault="007A0E71" w:rsidP="00EF1133">
      <w:pPr>
        <w:rPr>
          <w:rFonts w:ascii="Arial Black" w:hAnsi="Arial Black"/>
          <w:b/>
          <w:sz w:val="24"/>
          <w:szCs w:val="24"/>
        </w:rPr>
      </w:pPr>
      <w:r>
        <w:rPr>
          <w:rFonts w:ascii="Arial Black" w:hAnsi="Arial Black"/>
          <w:b/>
          <w:sz w:val="24"/>
          <w:szCs w:val="24"/>
        </w:rPr>
        <w:t>6-1</w:t>
      </w:r>
      <w:r w:rsidR="00227BDE">
        <w:rPr>
          <w:rFonts w:ascii="Arial Black" w:hAnsi="Arial Black"/>
          <w:b/>
          <w:sz w:val="24"/>
          <w:szCs w:val="24"/>
        </w:rPr>
        <w:t>1</w:t>
      </w:r>
      <w:r w:rsidR="002A0697">
        <w:rPr>
          <w:rFonts w:ascii="Arial Black" w:hAnsi="Arial Black"/>
          <w:b/>
          <w:sz w:val="24"/>
          <w:szCs w:val="24"/>
        </w:rPr>
        <w:t>0</w:t>
      </w:r>
    </w:p>
    <w:p w14:paraId="65F4DD95" w14:textId="33E24254" w:rsidR="007A0E71" w:rsidRPr="000218A8" w:rsidRDefault="007A0E71" w:rsidP="007A0E71">
      <w:pPr>
        <w:pStyle w:val="NoSpacing"/>
        <w:rPr>
          <w:rFonts w:ascii="Arial Black" w:hAnsi="Arial Black"/>
          <w:sz w:val="28"/>
          <w:szCs w:val="28"/>
        </w:rPr>
      </w:pPr>
      <w:r w:rsidRPr="000218A8">
        <w:rPr>
          <w:rFonts w:ascii="Arial Black" w:hAnsi="Arial Black"/>
          <w:sz w:val="28"/>
          <w:szCs w:val="28"/>
        </w:rPr>
        <w:t>TX</w:t>
      </w:r>
      <w:r w:rsidR="00CF133C">
        <w:rPr>
          <w:rFonts w:ascii="Arial Black" w:hAnsi="Arial Black"/>
          <w:sz w:val="28"/>
          <w:szCs w:val="28"/>
        </w:rPr>
        <w:t xml:space="preserve">: </w:t>
      </w:r>
      <w:r w:rsidRPr="000218A8">
        <w:rPr>
          <w:rFonts w:ascii="Arial Black" w:hAnsi="Arial Black"/>
          <w:sz w:val="28"/>
          <w:szCs w:val="28"/>
        </w:rPr>
        <w:t xml:space="preserve">FF NOT HIRED BY SAN ANTONIO FD – </w:t>
      </w:r>
      <w:r>
        <w:rPr>
          <w:rFonts w:ascii="Arial Black" w:hAnsi="Arial Black"/>
          <w:sz w:val="28"/>
          <w:szCs w:val="28"/>
        </w:rPr>
        <w:t>ONLY CITY EMPLOYEES CAN APPEAL CITY</w:t>
      </w:r>
      <w:r w:rsidRPr="000218A8">
        <w:rPr>
          <w:rFonts w:ascii="Arial Black" w:hAnsi="Arial Black"/>
          <w:sz w:val="28"/>
          <w:szCs w:val="28"/>
        </w:rPr>
        <w:t xml:space="preserve"> CIVIL SERVICE COMM.</w:t>
      </w:r>
    </w:p>
    <w:p w14:paraId="7DE57EFB" w14:textId="77777777" w:rsidR="007A0E71" w:rsidRDefault="007A0E71" w:rsidP="007A0E71">
      <w:pPr>
        <w:pStyle w:val="NoSpacing"/>
      </w:pPr>
    </w:p>
    <w:p w14:paraId="68456BED" w14:textId="77777777" w:rsidR="007A0E71" w:rsidRDefault="007A0E71" w:rsidP="007A0E71">
      <w:pPr>
        <w:pStyle w:val="NoSpacing"/>
        <w:rPr>
          <w:rFonts w:ascii="Times New Roman" w:hAnsi="Times New Roman"/>
          <w:sz w:val="24"/>
          <w:szCs w:val="24"/>
        </w:rPr>
      </w:pPr>
      <w:r w:rsidRPr="003C1643">
        <w:rPr>
          <w:rFonts w:ascii="Times New Roman" w:hAnsi="Times New Roman"/>
          <w:sz w:val="24"/>
          <w:szCs w:val="24"/>
          <w:u w:val="single"/>
        </w:rPr>
        <w:t xml:space="preserve">The City of San Antonio Fire Fighters’ </w:t>
      </w:r>
      <w:proofErr w:type="gramStart"/>
      <w:r w:rsidRPr="003C1643">
        <w:rPr>
          <w:rFonts w:ascii="Times New Roman" w:hAnsi="Times New Roman"/>
          <w:sz w:val="24"/>
          <w:szCs w:val="24"/>
          <w:u w:val="single"/>
        </w:rPr>
        <w:t>And</w:t>
      </w:r>
      <w:proofErr w:type="gramEnd"/>
      <w:r w:rsidRPr="003C1643">
        <w:rPr>
          <w:rFonts w:ascii="Times New Roman" w:hAnsi="Times New Roman"/>
          <w:sz w:val="24"/>
          <w:szCs w:val="24"/>
          <w:u w:val="single"/>
        </w:rPr>
        <w:t xml:space="preserve"> Police Officers’ Civil Service Commission, et al. v. Gabriel Saenz</w:t>
      </w:r>
      <w:r w:rsidRPr="003C1643">
        <w:rPr>
          <w:rFonts w:ascii="Times New Roman" w:hAnsi="Times New Roman"/>
          <w:sz w:val="24"/>
          <w:szCs w:val="24"/>
        </w:rPr>
        <w:t xml:space="preserve">, Court of Appeals of Texas, Fourth District, San Antonio. </w:t>
      </w:r>
      <w:hyperlink r:id="rId1163" w:history="1">
        <w:r w:rsidRPr="003C1643">
          <w:rPr>
            <w:rStyle w:val="Hyperlink"/>
            <w:rFonts w:ascii="Times New Roman" w:hAnsi="Times New Roman"/>
            <w:sz w:val="24"/>
            <w:szCs w:val="24"/>
          </w:rPr>
          <w:t>https://law.justia.com/cases/texas/fourth-court-of-appeals/2023/04-22-00347-cv.html</w:t>
        </w:r>
      </w:hyperlink>
      <w:r w:rsidRPr="003C1643">
        <w:rPr>
          <w:rFonts w:ascii="Times New Roman" w:hAnsi="Times New Roman"/>
          <w:sz w:val="24"/>
          <w:szCs w:val="24"/>
        </w:rPr>
        <w:t xml:space="preserve"> </w:t>
      </w:r>
    </w:p>
    <w:p w14:paraId="4E8C2112" w14:textId="6AF60273" w:rsidR="00CF133C" w:rsidRPr="003C1643" w:rsidRDefault="00CF133C" w:rsidP="007A0E71">
      <w:pPr>
        <w:pStyle w:val="NoSpacing"/>
        <w:rPr>
          <w:rFonts w:ascii="Times New Roman" w:hAnsi="Times New Roman"/>
          <w:sz w:val="24"/>
          <w:szCs w:val="24"/>
        </w:rPr>
      </w:pPr>
      <w:r>
        <w:rPr>
          <w:rFonts w:ascii="Times New Roman" w:hAnsi="Times New Roman"/>
          <w:sz w:val="24"/>
          <w:szCs w:val="24"/>
        </w:rPr>
        <w:t>4/27/2023</w:t>
      </w:r>
    </w:p>
    <w:p w14:paraId="764E7DCA" w14:textId="77777777" w:rsidR="007A0E71" w:rsidRDefault="007A0E71" w:rsidP="00EF1133">
      <w:pPr>
        <w:rPr>
          <w:rFonts w:ascii="Arial Black" w:hAnsi="Arial Black"/>
          <w:b/>
          <w:sz w:val="24"/>
          <w:szCs w:val="24"/>
        </w:rPr>
      </w:pPr>
    </w:p>
    <w:p w14:paraId="789FE2D2" w14:textId="77777777" w:rsidR="007A0E71" w:rsidRDefault="007A0E71" w:rsidP="007A0E71">
      <w:pPr>
        <w:pStyle w:val="NormalWeb"/>
        <w:rPr>
          <w:b/>
          <w:bCs/>
        </w:rPr>
      </w:pPr>
      <w:r>
        <w:rPr>
          <w:b/>
          <w:bCs/>
        </w:rPr>
        <w:t xml:space="preserve">Legal Lesson Learned: Civil Service Commission appeals are only for city employees. </w:t>
      </w:r>
    </w:p>
    <w:p w14:paraId="3BBDBA46" w14:textId="77777777" w:rsidR="007A0E71" w:rsidRDefault="007A0E71" w:rsidP="00EF1133">
      <w:pPr>
        <w:rPr>
          <w:rFonts w:ascii="Arial Black" w:hAnsi="Arial Black"/>
          <w:b/>
          <w:sz w:val="24"/>
          <w:szCs w:val="24"/>
        </w:rPr>
      </w:pPr>
    </w:p>
    <w:p w14:paraId="11FAC368" w14:textId="77777777" w:rsidR="007A0E71" w:rsidRDefault="007A0E71" w:rsidP="00EF1133">
      <w:pPr>
        <w:rPr>
          <w:rFonts w:ascii="Arial Black" w:hAnsi="Arial Black"/>
          <w:b/>
          <w:sz w:val="24"/>
          <w:szCs w:val="24"/>
        </w:rPr>
      </w:pPr>
    </w:p>
    <w:p w14:paraId="67FE4841" w14:textId="20EF6AD5" w:rsidR="007A0E71" w:rsidRDefault="007A0E71" w:rsidP="00EF1133">
      <w:pPr>
        <w:rPr>
          <w:rFonts w:ascii="Arial Black" w:hAnsi="Arial Black"/>
          <w:b/>
          <w:sz w:val="24"/>
          <w:szCs w:val="24"/>
        </w:rPr>
      </w:pPr>
      <w:r>
        <w:rPr>
          <w:rFonts w:ascii="Arial Black" w:hAnsi="Arial Black"/>
          <w:b/>
          <w:sz w:val="24"/>
          <w:szCs w:val="24"/>
        </w:rPr>
        <w:t>6-1</w:t>
      </w:r>
      <w:r w:rsidR="00B877B2">
        <w:rPr>
          <w:rFonts w:ascii="Arial Black" w:hAnsi="Arial Black"/>
          <w:b/>
          <w:sz w:val="24"/>
          <w:szCs w:val="24"/>
        </w:rPr>
        <w:t>09</w:t>
      </w:r>
    </w:p>
    <w:p w14:paraId="0DAACF9B" w14:textId="77777777" w:rsidR="007A0E71" w:rsidRPr="009A765C" w:rsidRDefault="007A0E71" w:rsidP="007A0E71">
      <w:pPr>
        <w:pStyle w:val="NoSpacing"/>
        <w:rPr>
          <w:rFonts w:ascii="Arial Black" w:hAnsi="Arial Black"/>
          <w:sz w:val="28"/>
          <w:szCs w:val="28"/>
        </w:rPr>
      </w:pPr>
      <w:r w:rsidRPr="009A765C">
        <w:rPr>
          <w:rFonts w:ascii="Arial Black" w:hAnsi="Arial Black"/>
          <w:sz w:val="28"/>
          <w:szCs w:val="28"/>
        </w:rPr>
        <w:t xml:space="preserve">IL (4/24/2023) – FF - LEUKEMIA – </w:t>
      </w:r>
      <w:r>
        <w:rPr>
          <w:rFonts w:ascii="Arial Black" w:hAnsi="Arial Black"/>
          <w:sz w:val="28"/>
          <w:szCs w:val="28"/>
        </w:rPr>
        <w:t xml:space="preserve">RECEIVES </w:t>
      </w:r>
      <w:r w:rsidRPr="009A765C">
        <w:rPr>
          <w:rFonts w:ascii="Arial Black" w:hAnsi="Arial Black"/>
          <w:sz w:val="28"/>
          <w:szCs w:val="28"/>
        </w:rPr>
        <w:t>LINE OF DUTY DISABILTY PENSION &amp; PAID HEALTH INSURANCE</w:t>
      </w:r>
    </w:p>
    <w:p w14:paraId="6CEB268D" w14:textId="77777777" w:rsidR="007A0E71" w:rsidRDefault="007A0E71" w:rsidP="007A0E71">
      <w:pPr>
        <w:pStyle w:val="NoSpacing"/>
      </w:pPr>
    </w:p>
    <w:p w14:paraId="022ED0F9" w14:textId="5178084E" w:rsidR="007A0E71" w:rsidRDefault="007A0E71" w:rsidP="007A0E71">
      <w:r w:rsidRPr="003C1643">
        <w:rPr>
          <w:rFonts w:ascii="Times New Roman" w:hAnsi="Times New Roman"/>
          <w:sz w:val="24"/>
          <w:szCs w:val="24"/>
          <w:u w:val="single"/>
        </w:rPr>
        <w:t xml:space="preserve">James Ivetic, on behalf of his spouse, Nancy </w:t>
      </w:r>
      <w:proofErr w:type="spellStart"/>
      <w:r w:rsidRPr="003C1643">
        <w:rPr>
          <w:rFonts w:ascii="Times New Roman" w:hAnsi="Times New Roman"/>
          <w:sz w:val="24"/>
          <w:szCs w:val="24"/>
          <w:u w:val="single"/>
        </w:rPr>
        <w:t>Ivetic</w:t>
      </w:r>
      <w:proofErr w:type="spellEnd"/>
      <w:r w:rsidRPr="003C1643">
        <w:rPr>
          <w:rFonts w:ascii="Times New Roman" w:hAnsi="Times New Roman"/>
          <w:sz w:val="24"/>
          <w:szCs w:val="24"/>
          <w:u w:val="single"/>
        </w:rPr>
        <w:t xml:space="preserve"> v. Bensenville Fire Protection District No. 2</w:t>
      </w:r>
      <w:r w:rsidRPr="003C1643">
        <w:rPr>
          <w:rFonts w:ascii="Times New Roman" w:hAnsi="Times New Roman"/>
          <w:sz w:val="24"/>
          <w:szCs w:val="24"/>
        </w:rPr>
        <w:t xml:space="preserve">, Court of Appeals of Illinois, First District, First Division. </w:t>
      </w:r>
      <w:hyperlink r:id="rId1164" w:history="1">
        <w:r w:rsidR="002A0697" w:rsidRPr="00792717">
          <w:rPr>
            <w:rStyle w:val="Hyperlink"/>
            <w:rFonts w:ascii="Times New Roman" w:hAnsi="Times New Roman"/>
            <w:sz w:val="24"/>
            <w:szCs w:val="24"/>
          </w:rPr>
          <w:t>https://ilcourtsaudio.blob.core.windows.net/antilles- resources/resources/467a406e-7cd0-4d26-a9c9-2d169ea7237c/Ivetic%20v.%20Bensenville%20Fire%20Protection%20District%20No.3,%202023%20IL%20App%20(1st)%20220879-U.pdf</w:t>
        </w:r>
      </w:hyperlink>
    </w:p>
    <w:p w14:paraId="4A250EC2" w14:textId="13D1E9C5" w:rsidR="002A0697" w:rsidRDefault="002A0697" w:rsidP="007A0E71">
      <w:pPr>
        <w:rPr>
          <w:rFonts w:ascii="Arial Black" w:hAnsi="Arial Black"/>
          <w:b/>
          <w:sz w:val="24"/>
          <w:szCs w:val="24"/>
        </w:rPr>
      </w:pPr>
      <w:r>
        <w:t>4/24/2023</w:t>
      </w:r>
    </w:p>
    <w:p w14:paraId="3B30B91E" w14:textId="77777777" w:rsidR="007A0E71" w:rsidRPr="003C1643" w:rsidRDefault="007A0E71" w:rsidP="007A0E71">
      <w:pPr>
        <w:pStyle w:val="NormalWeb"/>
        <w:rPr>
          <w:b/>
          <w:bCs/>
        </w:rPr>
      </w:pPr>
      <w:r w:rsidRPr="003C1643">
        <w:rPr>
          <w:b/>
          <w:bCs/>
        </w:rPr>
        <w:t xml:space="preserve">Legal Lesson Learned:  Firefighter entitled to health insurance benefit for him and his wife. </w:t>
      </w:r>
    </w:p>
    <w:p w14:paraId="4020FE30" w14:textId="77777777" w:rsidR="007A0E71" w:rsidRDefault="007A0E71" w:rsidP="00EF1133">
      <w:pPr>
        <w:rPr>
          <w:rFonts w:ascii="Arial Black" w:hAnsi="Arial Black"/>
          <w:b/>
          <w:sz w:val="24"/>
          <w:szCs w:val="24"/>
        </w:rPr>
      </w:pPr>
    </w:p>
    <w:p w14:paraId="64F4A4DB" w14:textId="070A2BB9" w:rsidR="007A0E71" w:rsidRDefault="007A0E71" w:rsidP="00EF1133">
      <w:pPr>
        <w:rPr>
          <w:rFonts w:ascii="Arial Black" w:hAnsi="Arial Black"/>
          <w:b/>
          <w:sz w:val="24"/>
          <w:szCs w:val="24"/>
        </w:rPr>
      </w:pPr>
      <w:r>
        <w:rPr>
          <w:rFonts w:ascii="Arial Black" w:hAnsi="Arial Black"/>
          <w:b/>
          <w:sz w:val="24"/>
          <w:szCs w:val="24"/>
        </w:rPr>
        <w:t>6-10</w:t>
      </w:r>
      <w:r w:rsidR="00B877B2">
        <w:rPr>
          <w:rFonts w:ascii="Arial Black" w:hAnsi="Arial Black"/>
          <w:b/>
          <w:sz w:val="24"/>
          <w:szCs w:val="24"/>
        </w:rPr>
        <w:t>8</w:t>
      </w:r>
    </w:p>
    <w:p w14:paraId="1803F61E" w14:textId="17EC8C9E" w:rsidR="007A0E71" w:rsidRPr="00A23E14" w:rsidRDefault="007A0E71" w:rsidP="007A0E71">
      <w:pPr>
        <w:pStyle w:val="NoSpacing"/>
        <w:rPr>
          <w:rFonts w:ascii="Arial Black" w:hAnsi="Arial Black"/>
          <w:sz w:val="28"/>
          <w:szCs w:val="28"/>
        </w:rPr>
      </w:pPr>
      <w:r w:rsidRPr="00A23E14">
        <w:rPr>
          <w:rFonts w:ascii="Arial Black" w:hAnsi="Arial Black"/>
          <w:sz w:val="28"/>
          <w:szCs w:val="28"/>
        </w:rPr>
        <w:t>PA</w:t>
      </w:r>
      <w:r w:rsidR="00B877B2">
        <w:rPr>
          <w:rFonts w:ascii="Arial Black" w:hAnsi="Arial Black"/>
          <w:sz w:val="28"/>
          <w:szCs w:val="28"/>
        </w:rPr>
        <w:t xml:space="preserve">: </w:t>
      </w:r>
      <w:r w:rsidRPr="00A23E14">
        <w:rPr>
          <w:rFonts w:ascii="Arial Black" w:hAnsi="Arial Black"/>
          <w:sz w:val="28"/>
          <w:szCs w:val="28"/>
        </w:rPr>
        <w:t xml:space="preserve">FF RIGHT SHOULDER </w:t>
      </w:r>
      <w:r>
        <w:rPr>
          <w:rFonts w:ascii="Arial Black" w:hAnsi="Arial Black"/>
          <w:sz w:val="28"/>
          <w:szCs w:val="28"/>
        </w:rPr>
        <w:t xml:space="preserve">INJURY </w:t>
      </w:r>
      <w:r w:rsidRPr="00A23E14">
        <w:rPr>
          <w:rFonts w:ascii="Arial Black" w:hAnsi="Arial Black"/>
          <w:sz w:val="28"/>
          <w:szCs w:val="28"/>
        </w:rPr>
        <w:t xml:space="preserve">– LIGHT DUTY UNTIL </w:t>
      </w:r>
      <w:r>
        <w:rPr>
          <w:rFonts w:ascii="Arial Black" w:hAnsi="Arial Black"/>
          <w:sz w:val="28"/>
          <w:szCs w:val="28"/>
        </w:rPr>
        <w:t xml:space="preserve">FELT HE HAD </w:t>
      </w:r>
      <w:r w:rsidRPr="00A23E14">
        <w:rPr>
          <w:rFonts w:ascii="Arial Black" w:hAnsi="Arial Black"/>
          <w:sz w:val="28"/>
          <w:szCs w:val="28"/>
        </w:rPr>
        <w:t>RETIRE</w:t>
      </w:r>
      <w:r>
        <w:rPr>
          <w:rFonts w:ascii="Arial Black" w:hAnsi="Arial Black"/>
          <w:sz w:val="28"/>
          <w:szCs w:val="28"/>
        </w:rPr>
        <w:t xml:space="preserve"> – DISABILITY BENEFITS </w:t>
      </w:r>
    </w:p>
    <w:p w14:paraId="6B058F79" w14:textId="77777777" w:rsidR="007A0E71" w:rsidRDefault="007A0E71" w:rsidP="007A0E71">
      <w:pPr>
        <w:pStyle w:val="NoSpacing"/>
      </w:pPr>
    </w:p>
    <w:p w14:paraId="4F5E0619" w14:textId="77777777"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u w:val="single"/>
        </w:rPr>
        <w:t>City of Wilkes-Barre v. Thomas Snyder (Workers’ Compensation Appeal Board)</w:t>
      </w:r>
      <w:r w:rsidRPr="003C1643">
        <w:rPr>
          <w:rFonts w:ascii="Times New Roman" w:hAnsi="Times New Roman"/>
          <w:sz w:val="24"/>
          <w:szCs w:val="24"/>
        </w:rPr>
        <w:t xml:space="preserve">, Commonwealth Court of Pennsylvania. </w:t>
      </w:r>
      <w:hyperlink r:id="rId1165" w:history="1">
        <w:r w:rsidRPr="003C1643">
          <w:rPr>
            <w:rStyle w:val="Hyperlink"/>
            <w:rFonts w:ascii="Times New Roman" w:hAnsi="Times New Roman"/>
            <w:sz w:val="24"/>
            <w:szCs w:val="24"/>
          </w:rPr>
          <w:t>https://casetext.com/case/city-of-wilkes-barre-v-snyder</w:t>
        </w:r>
      </w:hyperlink>
      <w:r w:rsidRPr="003C1643">
        <w:rPr>
          <w:rFonts w:ascii="Times New Roman" w:hAnsi="Times New Roman"/>
          <w:sz w:val="24"/>
          <w:szCs w:val="24"/>
        </w:rPr>
        <w:t xml:space="preserve"> </w:t>
      </w:r>
    </w:p>
    <w:p w14:paraId="651CD1B5" w14:textId="478AD09D"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rPr>
        <w:t>[Unpublished Decision.]</w:t>
      </w:r>
      <w:r w:rsidR="00B877B2">
        <w:rPr>
          <w:rFonts w:ascii="Times New Roman" w:hAnsi="Times New Roman"/>
          <w:sz w:val="24"/>
          <w:szCs w:val="24"/>
        </w:rPr>
        <w:t xml:space="preserve"> 4/20/2023</w:t>
      </w:r>
    </w:p>
    <w:p w14:paraId="499A7814" w14:textId="77777777" w:rsidR="007A0E71" w:rsidRDefault="007A0E71" w:rsidP="00EF1133">
      <w:pPr>
        <w:rPr>
          <w:rFonts w:ascii="Arial Black" w:hAnsi="Arial Black"/>
          <w:b/>
          <w:sz w:val="24"/>
          <w:szCs w:val="24"/>
        </w:rPr>
      </w:pPr>
    </w:p>
    <w:p w14:paraId="74918EA5" w14:textId="77777777" w:rsidR="007A0E71" w:rsidRPr="003C1643" w:rsidRDefault="007A0E71" w:rsidP="007A0E71">
      <w:pPr>
        <w:pStyle w:val="NoSpacing"/>
        <w:rPr>
          <w:rFonts w:ascii="Times New Roman" w:hAnsi="Times New Roman"/>
          <w:b/>
          <w:bCs/>
          <w:sz w:val="24"/>
          <w:szCs w:val="24"/>
        </w:rPr>
      </w:pPr>
      <w:r w:rsidRPr="003C1643">
        <w:rPr>
          <w:rFonts w:ascii="Times New Roman" w:hAnsi="Times New Roman"/>
          <w:b/>
          <w:bCs/>
          <w:sz w:val="24"/>
          <w:szCs w:val="24"/>
        </w:rPr>
        <w:t xml:space="preserve">Legal Lesson Learned:  If injury will not allow you to return full duty, document with management the need for disability retirement. </w:t>
      </w:r>
    </w:p>
    <w:p w14:paraId="337A440E" w14:textId="77777777" w:rsidR="007A0E71" w:rsidRDefault="007A0E71" w:rsidP="00EF1133">
      <w:pPr>
        <w:rPr>
          <w:rFonts w:ascii="Arial Black" w:hAnsi="Arial Black"/>
          <w:b/>
          <w:sz w:val="24"/>
          <w:szCs w:val="24"/>
        </w:rPr>
      </w:pPr>
    </w:p>
    <w:p w14:paraId="2F7A68ED" w14:textId="7B4FA9D4" w:rsidR="007A0E71" w:rsidRDefault="007A0E71"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7</w:t>
      </w:r>
    </w:p>
    <w:p w14:paraId="7901C0E7" w14:textId="77777777" w:rsidR="00B877B2" w:rsidRDefault="007A0E71" w:rsidP="007A0E71">
      <w:pPr>
        <w:pStyle w:val="NoSpacing"/>
        <w:rPr>
          <w:rFonts w:ascii="Arial Black" w:hAnsi="Arial Black"/>
          <w:sz w:val="28"/>
          <w:szCs w:val="28"/>
        </w:rPr>
      </w:pPr>
      <w:r w:rsidRPr="00811A7B">
        <w:rPr>
          <w:rFonts w:ascii="Arial Black" w:hAnsi="Arial Black"/>
          <w:sz w:val="28"/>
          <w:szCs w:val="28"/>
        </w:rPr>
        <w:t>NY</w:t>
      </w:r>
      <w:r w:rsidR="00FF7C63">
        <w:rPr>
          <w:rFonts w:ascii="Arial Black" w:hAnsi="Arial Black"/>
          <w:sz w:val="28"/>
          <w:szCs w:val="28"/>
        </w:rPr>
        <w:t xml:space="preserve">: </w:t>
      </w:r>
    </w:p>
    <w:p w14:paraId="72A4DAD9" w14:textId="180BD2F1" w:rsidR="007A0E71" w:rsidRPr="00811A7B" w:rsidRDefault="007A0E71" w:rsidP="007A0E71">
      <w:pPr>
        <w:pStyle w:val="NoSpacing"/>
        <w:rPr>
          <w:rFonts w:ascii="Arial Black" w:hAnsi="Arial Black"/>
          <w:sz w:val="28"/>
          <w:szCs w:val="28"/>
        </w:rPr>
      </w:pPr>
      <w:r w:rsidRPr="00811A7B">
        <w:rPr>
          <w:rFonts w:ascii="Arial Black" w:hAnsi="Arial Black"/>
          <w:sz w:val="28"/>
          <w:szCs w:val="28"/>
        </w:rPr>
        <w:t xml:space="preserve">FDNY – </w:t>
      </w:r>
      <w:r>
        <w:rPr>
          <w:rFonts w:ascii="Arial Black" w:hAnsi="Arial Black"/>
          <w:sz w:val="28"/>
          <w:szCs w:val="28"/>
        </w:rPr>
        <w:t xml:space="preserve">HIP </w:t>
      </w:r>
      <w:r w:rsidRPr="00811A7B">
        <w:rPr>
          <w:rFonts w:ascii="Arial Black" w:hAnsi="Arial Black"/>
          <w:sz w:val="28"/>
          <w:szCs w:val="28"/>
        </w:rPr>
        <w:t xml:space="preserve">INJURY AT FIRE </w:t>
      </w:r>
      <w:r>
        <w:rPr>
          <w:rFonts w:ascii="Arial Black" w:hAnsi="Arial Black"/>
          <w:sz w:val="28"/>
          <w:szCs w:val="28"/>
        </w:rPr>
        <w:t>–</w:t>
      </w:r>
      <w:r w:rsidRPr="00811A7B">
        <w:rPr>
          <w:rFonts w:ascii="Arial Black" w:hAnsi="Arial Black"/>
          <w:sz w:val="28"/>
          <w:szCs w:val="28"/>
        </w:rPr>
        <w:t xml:space="preserve"> </w:t>
      </w:r>
      <w:r>
        <w:rPr>
          <w:rFonts w:ascii="Arial Black" w:hAnsi="Arial Black"/>
          <w:sz w:val="28"/>
          <w:szCs w:val="28"/>
        </w:rPr>
        <w:t xml:space="preserve">ORDINARY DISABILITY - </w:t>
      </w:r>
      <w:r w:rsidRPr="00811A7B">
        <w:rPr>
          <w:rFonts w:ascii="Arial Black" w:hAnsi="Arial Black"/>
          <w:sz w:val="28"/>
          <w:szCs w:val="28"/>
        </w:rPr>
        <w:t>NO</w:t>
      </w:r>
      <w:r>
        <w:rPr>
          <w:rFonts w:ascii="Arial Black" w:hAnsi="Arial Black"/>
          <w:sz w:val="28"/>
          <w:szCs w:val="28"/>
        </w:rPr>
        <w:t>T</w:t>
      </w:r>
      <w:r w:rsidRPr="00811A7B">
        <w:rPr>
          <w:rFonts w:ascii="Arial Black" w:hAnsi="Arial Black"/>
          <w:sz w:val="28"/>
          <w:szCs w:val="28"/>
        </w:rPr>
        <w:t xml:space="preserve"> ACCIDENTAL DISAB</w:t>
      </w:r>
      <w:r>
        <w:rPr>
          <w:rFonts w:ascii="Arial Black" w:hAnsi="Arial Black"/>
          <w:sz w:val="28"/>
          <w:szCs w:val="28"/>
        </w:rPr>
        <w:t xml:space="preserve"> - </w:t>
      </w:r>
      <w:r w:rsidRPr="00811A7B">
        <w:rPr>
          <w:rFonts w:ascii="Arial Black" w:hAnsi="Arial Black"/>
          <w:sz w:val="28"/>
          <w:szCs w:val="28"/>
        </w:rPr>
        <w:t xml:space="preserve">DEGENERATIVE </w:t>
      </w:r>
      <w:r>
        <w:rPr>
          <w:rFonts w:ascii="Arial Black" w:hAnsi="Arial Black"/>
          <w:sz w:val="28"/>
          <w:szCs w:val="28"/>
        </w:rPr>
        <w:t>HIP</w:t>
      </w:r>
    </w:p>
    <w:p w14:paraId="396C9EAF" w14:textId="77777777" w:rsidR="007A0E71" w:rsidRDefault="007A0E71" w:rsidP="007A0E71">
      <w:pPr>
        <w:pStyle w:val="NoSpacing"/>
      </w:pPr>
    </w:p>
    <w:p w14:paraId="17107020" w14:textId="77777777"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u w:val="single"/>
        </w:rPr>
        <w:t>Kevin Barnabee v. The New York City Fire Pension Fund, et al</w:t>
      </w:r>
      <w:r w:rsidRPr="003C1643">
        <w:rPr>
          <w:rFonts w:ascii="Times New Roman" w:hAnsi="Times New Roman"/>
          <w:sz w:val="24"/>
          <w:szCs w:val="24"/>
        </w:rPr>
        <w:t xml:space="preserve">., Supreme Court, New York County. </w:t>
      </w:r>
      <w:hyperlink r:id="rId1166" w:history="1">
        <w:r w:rsidRPr="003C1643">
          <w:rPr>
            <w:rStyle w:val="Hyperlink"/>
            <w:rFonts w:ascii="Times New Roman" w:hAnsi="Times New Roman"/>
            <w:sz w:val="24"/>
            <w:szCs w:val="24"/>
          </w:rPr>
          <w:t>https://casetext.com/case/barnabee-v-the-nyc-fire-pension-fund</w:t>
        </w:r>
      </w:hyperlink>
      <w:r w:rsidRPr="003C1643">
        <w:rPr>
          <w:rFonts w:ascii="Times New Roman" w:hAnsi="Times New Roman"/>
          <w:sz w:val="24"/>
          <w:szCs w:val="24"/>
        </w:rPr>
        <w:t xml:space="preserve"> </w:t>
      </w:r>
    </w:p>
    <w:p w14:paraId="6CAA3937" w14:textId="2EB8A533" w:rsidR="007A0E71" w:rsidRPr="003C1643" w:rsidRDefault="00FF7C63" w:rsidP="007A0E71">
      <w:pPr>
        <w:pStyle w:val="NoSpacing"/>
        <w:rPr>
          <w:rFonts w:ascii="Times New Roman" w:hAnsi="Times New Roman"/>
          <w:sz w:val="24"/>
          <w:szCs w:val="24"/>
        </w:rPr>
      </w:pPr>
      <w:r>
        <w:rPr>
          <w:rFonts w:ascii="Times New Roman" w:hAnsi="Times New Roman"/>
          <w:sz w:val="24"/>
          <w:szCs w:val="24"/>
        </w:rPr>
        <w:t>4/10/2023</w:t>
      </w:r>
    </w:p>
    <w:p w14:paraId="106CBA1F" w14:textId="77777777" w:rsidR="00227BDE" w:rsidRPr="003C1643" w:rsidRDefault="00227BDE" w:rsidP="00227BDE">
      <w:pPr>
        <w:pStyle w:val="NormalWeb"/>
        <w:rPr>
          <w:b/>
          <w:bCs/>
        </w:rPr>
      </w:pPr>
      <w:r w:rsidRPr="003C1643">
        <w:rPr>
          <w:b/>
          <w:bCs/>
        </w:rPr>
        <w:t xml:space="preserve">Legal Lesson Learned: Degenerative hip medical history does not qualify for accidental disability benefits. </w:t>
      </w:r>
    </w:p>
    <w:p w14:paraId="3E98453C" w14:textId="77777777" w:rsidR="007A0E71" w:rsidRDefault="007A0E71" w:rsidP="00EF1133">
      <w:pPr>
        <w:rPr>
          <w:rFonts w:ascii="Arial Black" w:hAnsi="Arial Black"/>
          <w:b/>
          <w:sz w:val="24"/>
          <w:szCs w:val="24"/>
        </w:rPr>
      </w:pPr>
    </w:p>
    <w:p w14:paraId="233259AC" w14:textId="77777777" w:rsidR="007A0E71" w:rsidRDefault="007A0E71" w:rsidP="00EF1133">
      <w:pPr>
        <w:rPr>
          <w:rFonts w:ascii="Arial Black" w:hAnsi="Arial Black"/>
          <w:b/>
          <w:sz w:val="24"/>
          <w:szCs w:val="24"/>
        </w:rPr>
      </w:pPr>
    </w:p>
    <w:p w14:paraId="1F029A0F" w14:textId="7AFD8C3F" w:rsidR="003F788B" w:rsidRDefault="003F788B"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6</w:t>
      </w:r>
    </w:p>
    <w:p w14:paraId="129A4EBF"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IL: PART-TIME FF – CLAIMED RETALIATION FOR SUPPORTING MAYOR’S OPPONENT IN 2005 – NO CASE  </w:t>
      </w:r>
    </w:p>
    <w:p w14:paraId="44CB9ED2" w14:textId="77777777" w:rsidR="003F788B" w:rsidRDefault="003F788B" w:rsidP="003F788B">
      <w:pPr>
        <w:pStyle w:val="NormalWeb"/>
      </w:pPr>
      <w:r>
        <w:t xml:space="preserve">On March 30, 2023, in </w:t>
      </w:r>
      <w:r>
        <w:rPr>
          <w:u w:val="single"/>
        </w:rPr>
        <w:t>Brian E. Carroll v. City of Oak Forest</w:t>
      </w:r>
      <w:r>
        <w:t xml:space="preserve">, U.S. District Court Judge L. Jorge Alonso, U.S., District Court for Northern District of Illinois, Eastern District, granted the City’s motion for summary judgment; insufficient evidence of “retaliation because of his political activities while he was employed as a part-time firefighter with the City of Oak Forest.” </w:t>
      </w:r>
    </w:p>
    <w:p w14:paraId="5298C949" w14:textId="77777777" w:rsidR="003F788B" w:rsidRDefault="003F788B" w:rsidP="003F788B">
      <w:pPr>
        <w:pStyle w:val="NormalWeb"/>
        <w:ind w:left="720"/>
      </w:pPr>
      <w:r>
        <w:t xml:space="preserve">The Court described his claims: “In 2005, Carroll and his father, Edward Carroll, campaigned for a candidate running against JoAnn Kelly, one of the mayoral candidates for the City of Oak Forest at that time. Edward Carroll was an outspoken member of the Oak Forest political community who served as an alderman and a three-term commissioner of the Oak Forest Board of Fire and Police Commissioners (hereafter the ‘Board’)….Carroll claims that, because of his campaigning and political affiliations, he has been harassed and retaliated against while working as a part-time firefighter with the Oak Forest Fire Department. To wit, he claims that he was subjected to general harassment within the department; made fun of for his reaction to his mother passing away in 2006; threatened with ‘blackballing,’ termination, and other reprimands; not allowed to join the South Suburban Emergency Response Team; refused accommodations for light-duty work after an injury in 2019; and refused additional hours for part-time firefighters in the department in 2019.”  He also claimed he was improperly denied an opportunity to take full-time exam in 2018 (he was not eligible; over age 35), having failed 2014 written exam.  </w:t>
      </w:r>
      <w:hyperlink r:id="rId1167" w:history="1">
        <w:r>
          <w:rPr>
            <w:rStyle w:val="Hyperlink"/>
          </w:rPr>
          <w:t>https://public.fastcase.com/J%2FJP6pdidelsXxEE4k%2BLMqXEJeUJZsYN8XwYWOyUlC0GPh%2F%2Bwkq0xl5anyRaTE9QaHRZkEBmW2yHOKZORN4PlxYhmnon1IB%2FHyIvmx43UH0%3D?utm_medium=email&amp;_hsmi=226712652&amp;_hsenc=p2ANqtz-9rfqpJ9UH1QBxXvlnF05ow2K3pkk0BVnTTX6Sp6SY3f-pdahd0e2LayjJ1D5QImVRxXi3oa7lL84FVoA8yZRWqxdZ-pA&amp;utm_content=226712652&amp;utm_source=hs_email</w:t>
        </w:r>
      </w:hyperlink>
      <w:r>
        <w:t xml:space="preserve"> </w:t>
      </w:r>
    </w:p>
    <w:p w14:paraId="4A6EDE0B" w14:textId="77777777" w:rsidR="003F788B" w:rsidRDefault="003F788B" w:rsidP="003F788B">
      <w:pPr>
        <w:pStyle w:val="NormalWeb"/>
        <w:ind w:left="720"/>
      </w:pPr>
      <w:r>
        <w:t>“Even if the Court reached the merits, however, Carroll does not come forward with sufficient evidence to sustain a First Amendment claim based on the alleged pre-2017 acts of retaliation. For starters, his claim about general harassment is too vague to survive summary judgment.</w:t>
      </w:r>
    </w:p>
    <w:p w14:paraId="1A4934C0" w14:textId="77777777" w:rsidR="003F788B" w:rsidRDefault="003F788B" w:rsidP="003F788B">
      <w:pPr>
        <w:pStyle w:val="NormalWeb"/>
        <w:ind w:left="720"/>
      </w:pPr>
      <w:r>
        <w:t>***</w:t>
      </w:r>
    </w:p>
    <w:p w14:paraId="05795AAF" w14:textId="77777777" w:rsidR="003F788B" w:rsidRDefault="003F788B" w:rsidP="003F788B">
      <w:pPr>
        <w:pStyle w:val="NormalWeb"/>
        <w:ind w:left="720"/>
      </w:pPr>
      <w:r>
        <w:t xml:space="preserve">Likewise, the record does not demonstrate any retaliation related to the 2014 firefighter exam. Any such claim suffers from a causation deficiency because the Board allowed Carroll to sit for the exam and he did not pass it because he failed the written portion. He does not dispute that he failed the written portion or assert that the Board purposefully failed him because of his political activities. Instead, he claims that comments directed toward him by Nagel “rattled” him and prevented him from passing the written portion of the test. But the Court finds that no reasonable juror could infer that he failed to pass the exam because of Nagel's comment, even if the comment was rude or disparaging. </w:t>
      </w:r>
      <w:r>
        <w:rPr>
          <w:rStyle w:val="Emphasis"/>
        </w:rPr>
        <w:t>See Riley v. City of Kokomo</w:t>
      </w:r>
      <w:r>
        <w:t>, 909 F.3d 182, 192 (7th Cir. 2018) (declining to draw an unreasonable inference at summary judgment).”</w:t>
      </w:r>
    </w:p>
    <w:p w14:paraId="1B989024" w14:textId="77777777" w:rsidR="003F788B" w:rsidRDefault="003F788B" w:rsidP="003F788B">
      <w:pPr>
        <w:pStyle w:val="NormalWeb"/>
        <w:rPr>
          <w:b/>
          <w:bCs/>
        </w:rPr>
      </w:pPr>
      <w:r>
        <w:rPr>
          <w:b/>
          <w:bCs/>
        </w:rPr>
        <w:t xml:space="preserve">Legal Lesson Learned: The plaintiff failed to prove retaliation for his 2005 political activities; his allegations of harassment were too vague.  </w:t>
      </w:r>
    </w:p>
    <w:p w14:paraId="46DE8121" w14:textId="77777777" w:rsidR="003F788B" w:rsidRDefault="003F788B" w:rsidP="003F788B">
      <w:pPr>
        <w:pStyle w:val="NormalWeb"/>
      </w:pPr>
    </w:p>
    <w:p w14:paraId="3D3AC4BD" w14:textId="4154263D" w:rsidR="003F788B" w:rsidRDefault="003F788B"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5</w:t>
      </w:r>
    </w:p>
    <w:p w14:paraId="79E86101" w14:textId="77777777" w:rsidR="003F788B" w:rsidRDefault="003F788B" w:rsidP="003F788B">
      <w:pPr>
        <w:pStyle w:val="NormalWeb"/>
        <w:rPr>
          <w:rFonts w:ascii="Arial Black" w:hAnsi="Arial Black"/>
          <w:sz w:val="28"/>
          <w:szCs w:val="28"/>
        </w:rPr>
      </w:pPr>
      <w:r>
        <w:rPr>
          <w:rFonts w:ascii="Arial Black" w:hAnsi="Arial Black"/>
          <w:sz w:val="28"/>
          <w:szCs w:val="28"/>
        </w:rPr>
        <w:t>IL:  FF STROKE – GETS ON DUTY DISABILITY PENSION – BLOOD THINNER 3 YRS PRIOR – STATUTORY PRESUMPTION</w:t>
      </w:r>
    </w:p>
    <w:p w14:paraId="62DE527B" w14:textId="77777777" w:rsidR="003F788B" w:rsidRDefault="003F788B" w:rsidP="003F788B">
      <w:pPr>
        <w:pStyle w:val="NormalWeb"/>
      </w:pPr>
      <w:r>
        <w:t xml:space="preserve">On March 22, 2023, in </w:t>
      </w:r>
      <w:r>
        <w:rPr>
          <w:u w:val="single"/>
        </w:rPr>
        <w:t>The City of East Peoria, Illinois v. Charles Melton II</w:t>
      </w:r>
      <w:r>
        <w:t xml:space="preserve">, the Court of Appeals of Illinois, Fourth District, upheld the decision of the Board of Trustees of the Firefighter’s Pension Fund of the City of East Peoria, which voted “three to two in favor of an oral motion to find that the disability resulted from service as a firefighter, entitling him to an       occupational disease disability pension.” Lieutenant Melton (age 56) was at home on March 11, </w:t>
      </w:r>
      <w:proofErr w:type="gramStart"/>
      <w:r>
        <w:t>2020</w:t>
      </w:r>
      <w:proofErr w:type="gramEnd"/>
      <w:r>
        <w:t xml:space="preserve"> and suffered right cerebellar ischemic stroke and has fully recovered but must remain on blood thinner rest of his life. Per NFPA 1582, he was not allowed to return to full duty for one year, and FD had no light duty. On July 8, 2020, he applied for an occupational disease disability pension. The Pension Board majority vote relied on report of one of three Independent Medical Experts who reviewed his file (none did physical exam or testified before the Board) that "one cannot discount the cumulative effects of active-duty firefighting in regard to his stroke."  The City </w:t>
      </w:r>
      <w:proofErr w:type="gramStart"/>
      <w:r>
        <w:t>appealed</w:t>
      </w:r>
      <w:proofErr w:type="gramEnd"/>
      <w:r>
        <w:t xml:space="preserve"> the Pension Board’s decision. </w:t>
      </w:r>
    </w:p>
    <w:p w14:paraId="060F20EA" w14:textId="77777777" w:rsidR="003F788B" w:rsidRDefault="003F788B" w:rsidP="003F788B">
      <w:pPr>
        <w:pStyle w:val="NormalWeb"/>
      </w:pPr>
      <w:r>
        <w:t xml:space="preserve">The Court of Appeals ruled </w:t>
      </w:r>
      <w:proofErr w:type="gramStart"/>
      <w:r>
        <w:t>the</w:t>
      </w:r>
      <w:proofErr w:type="gramEnd"/>
      <w:r>
        <w:t xml:space="preserve"> Independent Medical Experts were not required by state law to physically examine the firefighter.  The Court also held he was entitled to a work-related disability pension, referencing state statutory presumption statute.  </w:t>
      </w:r>
    </w:p>
    <w:p w14:paraId="0D6E5786" w14:textId="77777777" w:rsidR="003F788B" w:rsidRDefault="003F788B" w:rsidP="003F788B">
      <w:pPr>
        <w:pStyle w:val="NormalWeb"/>
        <w:ind w:left="720"/>
      </w:pPr>
      <w:r>
        <w:t xml:space="preserve">“We conclude that the Board's finding that Melton's stroke resulted from his ‘service as a firefighter’ was not against the manifest weight of the evidence.”  *** Melton himself does not dispute that he had numerous preexisting conditions that could have contributed to the stroke. However, a firefighter is ‘not required to prove that a duty-related accident or illness was the primary or originating </w:t>
      </w:r>
      <w:proofErr w:type="gramStart"/>
      <w:r>
        <w:t>cause</w:t>
      </w:r>
      <w:proofErr w:type="gramEnd"/>
      <w:r>
        <w:t xml:space="preserve"> of his disability; rather, he only needed to prove that a duty-related accident or illness aggravated, contributed, or exacerbated his disability.’ </w:t>
      </w:r>
      <w:r>
        <w:rPr>
          <w:rStyle w:val="Emphasis"/>
        </w:rPr>
        <w:t>Covello v. Village of Schaumburg Firefighters' Pension Fund</w:t>
      </w:r>
      <w:r>
        <w:t xml:space="preserve">, 2018 IL App (1st) 172350, ¶ 43. In other words, Melton did not have to prove that his stroke resulted solely from his firefighting duties. Though the City disputes that Melton demonstrated that he was subject to hazardous work conditions, Melton testified that his duties included being on firefighting calls and that he performed </w:t>
      </w:r>
      <w:proofErr w:type="gramStart"/>
      <w:r>
        <w:t>all of</w:t>
      </w:r>
      <w:proofErr w:type="gramEnd"/>
      <w:r>
        <w:t xml:space="preserve"> the duties listed in the job description for his position. The occupational disease disability statute itself, section 4-110.1, includes legislative findings that firefighters are exposed to dangerous conditions </w:t>
      </w:r>
      <w:proofErr w:type="gramStart"/>
      <w:r>
        <w:t>as a result of</w:t>
      </w:r>
      <w:proofErr w:type="gramEnd"/>
      <w:r>
        <w:t xml:space="preserve"> their employment. See also </w:t>
      </w:r>
      <w:r>
        <w:rPr>
          <w:rStyle w:val="Emphasis"/>
        </w:rPr>
        <w:t>Bremer v. City of Rockford</w:t>
      </w:r>
      <w:r>
        <w:t>, 2016 IL 119889, ¶ 31 ("[S]</w:t>
      </w:r>
      <w:proofErr w:type="spellStart"/>
      <w:r>
        <w:t>ection</w:t>
      </w:r>
      <w:proofErr w:type="spellEnd"/>
      <w:r>
        <w:t xml:space="preserve"> 4-110.1 recognizes that firefighters work in dangerous conditions and provides compensation when a firefighter contracts one of the listed diseases from repeated exposure to those conditions over a set period of time."); </w:t>
      </w:r>
      <w:r>
        <w:rPr>
          <w:rStyle w:val="Emphasis"/>
        </w:rPr>
        <w:t>Lindemulder</w:t>
      </w:r>
      <w:r>
        <w:t xml:space="preserve">, 408 Ill.App.3d at 503 ("Courts are not empowered to adjudicate the accuracy of legislative findings, but must accord great deference to the legislature's fact-finding authority."). As these diseases are recognized as possibly resulting from repeated exposures over long periods of time, that Melton suffered the stroke at home as opposed to while at work does not undermine his claim.” </w:t>
      </w:r>
      <w:hyperlink r:id="rId1168" w:history="1">
        <w:r>
          <w:rPr>
            <w:rStyle w:val="Hyperlink"/>
          </w:rPr>
          <w:t>https://public.fastcase.com/J%2FJP6pdidelsXxEE4k%2BLMk0xZflerRl5zZ1fWOEI5mhvpVlhWjp%2F9QDqlOI9DDnF8Aa9%2BfFIJaxfznSW2LItCr2%2FIZnHCYIIWW3H5dl8900%3D?utm_medium=email&amp;_hsmi=226712652&amp;_hsenc=p2ANqtz-9FKeS83U96VoJDZ5OFHU1pICbtYjQvhKtRkoV1KLCJmMon6gHAySjMj0YQylycLU_jnNetJR4aMTbAa4E7Rm7YwE3nmg&amp;utm_content=226712652&amp;utm_source=hs_email</w:t>
        </w:r>
      </w:hyperlink>
      <w:r>
        <w:t xml:space="preserve"> </w:t>
      </w:r>
    </w:p>
    <w:p w14:paraId="5D207117" w14:textId="77777777" w:rsidR="003F788B" w:rsidRDefault="003F788B" w:rsidP="003F788B">
      <w:pPr>
        <w:pStyle w:val="NormalWeb"/>
      </w:pPr>
      <w:r>
        <w:t>One of three IME, Dr. Williamson-Link, wrote a helpful report:</w:t>
      </w:r>
    </w:p>
    <w:p w14:paraId="409F6F26" w14:textId="77777777" w:rsidR="003F788B" w:rsidRDefault="003F788B" w:rsidP="003F788B">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“Dr. Jeffrey D. Williamson-Link, who was board certified in occupational medicine, similarly outlined Melton's medical history. </w:t>
      </w:r>
      <w:proofErr w:type="gramStart"/>
      <w:r>
        <w:rPr>
          <w:rFonts w:ascii="Times New Roman" w:eastAsia="Times New Roman" w:hAnsi="Times New Roman"/>
          <w:sz w:val="24"/>
          <w:szCs w:val="24"/>
        </w:rPr>
        <w:t>On the subject of the</w:t>
      </w:r>
      <w:proofErr w:type="gramEnd"/>
      <w:r>
        <w:rPr>
          <w:rFonts w:ascii="Times New Roman" w:eastAsia="Times New Roman" w:hAnsi="Times New Roman"/>
          <w:sz w:val="24"/>
          <w:szCs w:val="24"/>
        </w:rPr>
        <w:t xml:space="preserve"> nature and extent of any disability, Williamson-Link stated that Melton suffered from a cerebellar infarction that would, under NFPA 1582, require a waiting period of at least 12 months and </w:t>
      </w:r>
      <w:proofErr w:type="gramStart"/>
      <w:r>
        <w:rPr>
          <w:rFonts w:ascii="Times New Roman" w:eastAsia="Times New Roman" w:hAnsi="Times New Roman"/>
          <w:sz w:val="24"/>
          <w:szCs w:val="24"/>
        </w:rPr>
        <w:t>meeting</w:t>
      </w:r>
      <w:proofErr w:type="gramEnd"/>
      <w:r>
        <w:rPr>
          <w:rFonts w:ascii="Times New Roman" w:eastAsia="Times New Roman" w:hAnsi="Times New Roman"/>
          <w:sz w:val="24"/>
          <w:szCs w:val="24"/>
        </w:rPr>
        <w:t xml:space="preserve"> additional criteria before being considered to return to active duty without limitations or restrictions. ‘Additionally [Melton was] also on long term anticoagulation treatment for history of Factor V Leiden and Pulmonary Embolism which would restrict him from performing Essential Job Task #8 which involves climbing ladders, operating from heights and uneven surfaces.’ The lifelong need to remain on anticoagulation would prevent him from being "able to be </w:t>
      </w:r>
      <w:proofErr w:type="gramStart"/>
      <w:r>
        <w:rPr>
          <w:rFonts w:ascii="Times New Roman" w:eastAsia="Times New Roman" w:hAnsi="Times New Roman"/>
          <w:sz w:val="24"/>
          <w:szCs w:val="24"/>
        </w:rPr>
        <w:t>cleared</w:t>
      </w:r>
      <w:proofErr w:type="gramEnd"/>
      <w:r>
        <w:rPr>
          <w:rFonts w:ascii="Times New Roman" w:eastAsia="Times New Roman" w:hAnsi="Times New Roman"/>
          <w:sz w:val="24"/>
          <w:szCs w:val="24"/>
        </w:rPr>
        <w:t xml:space="preserve"> for full firefighting duties.’ In response to the question of whether any disabilities were the result of service as a firefighter, Williamson-Link wrote: </w:t>
      </w:r>
    </w:p>
    <w:p w14:paraId="3F77DEF2"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‘It is my medical opinion that one cannot discount the cumulative effects of active duty of Firefighting </w:t>
      </w:r>
      <w:proofErr w:type="gramStart"/>
      <w:r>
        <w:rPr>
          <w:rFonts w:ascii="Times New Roman" w:eastAsia="Times New Roman" w:hAnsi="Times New Roman"/>
          <w:sz w:val="24"/>
          <w:szCs w:val="24"/>
        </w:rPr>
        <w:t>in regards to</w:t>
      </w:r>
      <w:proofErr w:type="gramEnd"/>
      <w:r>
        <w:rPr>
          <w:rFonts w:ascii="Times New Roman" w:eastAsia="Times New Roman" w:hAnsi="Times New Roman"/>
          <w:sz w:val="24"/>
          <w:szCs w:val="24"/>
        </w:rPr>
        <w:t xml:space="preserve"> his stroke. Though the firefighter did have other risk factors, the occupational stressors of active firefighting </w:t>
      </w:r>
      <w:proofErr w:type="gramStart"/>
      <w:r>
        <w:rPr>
          <w:rFonts w:ascii="Times New Roman" w:eastAsia="Times New Roman" w:hAnsi="Times New Roman"/>
          <w:sz w:val="24"/>
          <w:szCs w:val="24"/>
        </w:rPr>
        <w:t>is</w:t>
      </w:r>
      <w:proofErr w:type="gramEnd"/>
      <w:r>
        <w:rPr>
          <w:rFonts w:ascii="Times New Roman" w:eastAsia="Times New Roman" w:hAnsi="Times New Roman"/>
          <w:sz w:val="24"/>
          <w:szCs w:val="24"/>
        </w:rPr>
        <w:t xml:space="preserve"> well-documented and its effects on the Cardiovascular System. </w:t>
      </w:r>
      <w:proofErr w:type="gramStart"/>
      <w:r>
        <w:rPr>
          <w:rFonts w:ascii="Times New Roman" w:eastAsia="Times New Roman" w:hAnsi="Times New Roman"/>
          <w:sz w:val="24"/>
          <w:szCs w:val="24"/>
        </w:rPr>
        <w:t>Additionally</w:t>
      </w:r>
      <w:proofErr w:type="gramEnd"/>
      <w:r>
        <w:rPr>
          <w:rFonts w:ascii="Times New Roman" w:eastAsia="Times New Roman" w:hAnsi="Times New Roman"/>
          <w:sz w:val="24"/>
          <w:szCs w:val="24"/>
        </w:rPr>
        <w:t xml:space="preserve"> the Firefighter has a history of Factor V </w:t>
      </w:r>
      <w:proofErr w:type="gramStart"/>
      <w:r>
        <w:rPr>
          <w:rFonts w:ascii="Times New Roman" w:eastAsia="Times New Roman" w:hAnsi="Times New Roman"/>
          <w:sz w:val="24"/>
          <w:szCs w:val="24"/>
        </w:rPr>
        <w:t>Leiden, and</w:t>
      </w:r>
      <w:proofErr w:type="gramEnd"/>
      <w:r>
        <w:rPr>
          <w:rFonts w:ascii="Times New Roman" w:eastAsia="Times New Roman" w:hAnsi="Times New Roman"/>
          <w:sz w:val="24"/>
          <w:szCs w:val="24"/>
        </w:rPr>
        <w:t xml:space="preserve"> has subsequently developed Pulmonary Embolism. Based on the review of the medical records, this appears to be a genetic disorder and would not be considered to be part of cumulative effects of active duty." </w:t>
      </w:r>
    </w:p>
    <w:p w14:paraId="74B0B118" w14:textId="77777777" w:rsidR="003F788B" w:rsidRDefault="003F788B" w:rsidP="003F788B">
      <w:pPr>
        <w:pStyle w:val="NormalWeb"/>
        <w:ind w:left="720"/>
        <w:rPr>
          <w:b/>
          <w:bCs/>
        </w:rPr>
      </w:pPr>
      <w:r>
        <w:t xml:space="preserve"> </w:t>
      </w:r>
      <w:r>
        <w:rPr>
          <w:b/>
          <w:bCs/>
        </w:rPr>
        <w:t xml:space="preserve">Legal Lesson Learned: The Court relied on language in the Illinois statutory presumption statute. </w:t>
      </w:r>
    </w:p>
    <w:p w14:paraId="3986D4FD" w14:textId="77777777" w:rsidR="003F788B" w:rsidRDefault="003F788B" w:rsidP="003F788B">
      <w:pPr>
        <w:pStyle w:val="NormalWeb"/>
        <w:ind w:left="1440"/>
        <w:rPr>
          <w:kern w:val="36"/>
        </w:rPr>
      </w:pPr>
      <w:r>
        <w:t xml:space="preserve">Note: See Ohio Revised Code, </w:t>
      </w:r>
      <w:r>
        <w:rPr>
          <w:kern w:val="36"/>
        </w:rPr>
        <w:t xml:space="preserve">Section 4123.68 | Schedule of compensable occupational diseases. </w:t>
      </w:r>
      <w:hyperlink r:id="rId1169" w:history="1">
        <w:r>
          <w:rPr>
            <w:rStyle w:val="Hyperlink"/>
          </w:rPr>
          <w:t>https://codes.ohio.gov/ohio-revised-code/section-4123.68</w:t>
        </w:r>
      </w:hyperlink>
      <w:r>
        <w:rPr>
          <w:kern w:val="36"/>
        </w:rPr>
        <w:t xml:space="preserve">. </w:t>
      </w:r>
      <w:r>
        <w:t>(W) Cardiovascular, pulmonary, or respiratory diseases incurred by firefighters or police officers following exposure to heat, smoke, toxic gases, chemical fumes and other toxic substances: Any cardiovascular, pulmonary, or respiratory disease of a firefighter or police officer caused or induced by the cumulative effect of exposure to heat, the inhalation of smoke, toxic gases, chemical fumes and other toxic substances in the performance of the firefighter's or police officer's duty constitutes a presumption, which may be refuted by affirmative evidence, that such occurred in the course of and arising out of the firefighter's or police officer's employment.”</w:t>
      </w:r>
    </w:p>
    <w:p w14:paraId="58C63217" w14:textId="77777777" w:rsidR="003F788B" w:rsidRDefault="003F788B" w:rsidP="00EF1133">
      <w:pPr>
        <w:rPr>
          <w:rFonts w:ascii="Arial Black" w:hAnsi="Arial Black"/>
          <w:b/>
          <w:sz w:val="24"/>
          <w:szCs w:val="24"/>
        </w:rPr>
      </w:pPr>
    </w:p>
    <w:p w14:paraId="798294AE" w14:textId="7C8702B0" w:rsidR="00EF1133" w:rsidRDefault="002D64A4"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4</w:t>
      </w:r>
    </w:p>
    <w:p w14:paraId="756D8721" w14:textId="77777777" w:rsidR="002D64A4" w:rsidRDefault="002D64A4" w:rsidP="002D64A4">
      <w:pPr>
        <w:pStyle w:val="NormalWeb"/>
        <w:rPr>
          <w:rFonts w:ascii="Arial Black" w:hAnsi="Arial Black"/>
          <w:sz w:val="28"/>
          <w:szCs w:val="28"/>
        </w:rPr>
      </w:pPr>
      <w:bookmarkStart w:id="228" w:name="_Hlk129180485"/>
      <w:r>
        <w:rPr>
          <w:rFonts w:ascii="Arial Black" w:hAnsi="Arial Black"/>
          <w:sz w:val="28"/>
          <w:szCs w:val="28"/>
        </w:rPr>
        <w:t>LA: NASAL CANCER – FF WINS WORK COMP – STATUTORY PRESUMPTION – “CANNOT RULE OUT” CAUSED BY THE JOB</w:t>
      </w:r>
    </w:p>
    <w:p w14:paraId="05E5FE18" w14:textId="77777777" w:rsidR="002D64A4" w:rsidRDefault="002D64A4" w:rsidP="002D64A4">
      <w:pPr>
        <w:pStyle w:val="NormalWeb"/>
      </w:pPr>
      <w:r>
        <w:t xml:space="preserve">On March 1, 2023, in </w:t>
      </w:r>
      <w:r w:rsidRPr="00AF372B">
        <w:rPr>
          <w:u w:val="single"/>
        </w:rPr>
        <w:t>James Schexnayder v. Jefferson Parish Fire Department</w:t>
      </w:r>
      <w:r>
        <w:t xml:space="preserve">, the Court of Appeals of Louisiana, Fifth Circuit held (3 to 0) that Office of Workers Comp (OWC) judge erred in dismissing claimant's petition and we reverse the judgment appealed, based on the state “statutory presumption” law for firefighters who have cancer.  “In this case, it is undisputed that claimant has been employed in the classified service as a firefighter for the Jefferson Parish Fire Department for more than 31 years and is still employed as a professional firefighter with the Parish and actively fighting fires today. Therefore, he is clearly entitled to the presumption set forth in the Cancer Act. Upon review of all evidence presented at trial, we find that the Parish did not rebut the presumption sufficiently to dismiss claimant's petition. Although the Parish put forth evidence to demonstrate that the type of lymphoma claimant has been diagnosed with is generally caused by the EBV virus, the claimant presented evidence that such a diagnosis is multifactorial and that the etiology is complicated. The evidence claimant introduced clearly demonstrated that claimant's employment could not be ruled out as a contributing factor to his disease.” </w:t>
      </w:r>
      <w:hyperlink r:id="rId1170" w:history="1">
        <w:r w:rsidRPr="003C2BFF">
          <w:rPr>
            <w:rStyle w:val="Hyperlink"/>
            <w:rFonts w:eastAsiaTheme="majorEastAsia"/>
          </w:rPr>
          <w:t>https://www.fifthcircuit.org/dmzdocs/OI/PO/2023/E7D4F8B7-C22B-4814-BFD0-4E0FF0BBD0BE.pdf</w:t>
        </w:r>
      </w:hyperlink>
      <w:r>
        <w:t xml:space="preserve"> </w:t>
      </w:r>
    </w:p>
    <w:p w14:paraId="635190FE" w14:textId="77777777" w:rsidR="002D64A4" w:rsidRDefault="002D64A4" w:rsidP="002D64A4">
      <w:pPr>
        <w:pStyle w:val="NormalWeb"/>
        <w:ind w:left="720"/>
      </w:pPr>
      <w:r>
        <w:t xml:space="preserve">“The [Firefighter Cancer] Act embodies the social policy of the state which recognizes that firemen are subjected during their career to the hazards of smoke, heat, and nauseous fumes from all kinds of toxic chemicals…. The legislature recognized that this exposure could cause a fireman to become the victim of cancer and the presumption relieves the claimant from the necessity of proving an occupational causation of the disease. </w:t>
      </w:r>
    </w:p>
    <w:p w14:paraId="4B345BE8" w14:textId="77777777" w:rsidR="002D64A4" w:rsidRDefault="002D64A4" w:rsidP="002D64A4">
      <w:pPr>
        <w:pStyle w:val="NormalWeb"/>
        <w:ind w:left="720"/>
      </w:pPr>
      <w:r>
        <w:t>***</w:t>
      </w:r>
    </w:p>
    <w:p w14:paraId="32B6A1E2" w14:textId="77777777" w:rsidR="002D64A4" w:rsidRDefault="002D64A4" w:rsidP="002D64A4">
      <w:pPr>
        <w:pStyle w:val="NormalWeb"/>
        <w:ind w:left="720"/>
      </w:pPr>
      <w:r>
        <w:t>We find the evidence presented at trial could not rule out that claimant's more than 30-year employment actively fighting fires could not have contributed to his diagnoses of lymphoma in this case. Consequently, we find the OWJ was clearly erroneous in dismissing claimant's 1008.”</w:t>
      </w:r>
    </w:p>
    <w:p w14:paraId="236D2356" w14:textId="49EE32DB" w:rsidR="002D64A4" w:rsidRDefault="002D64A4" w:rsidP="002D64A4">
      <w:pPr>
        <w:pStyle w:val="NormalWeb"/>
        <w:rPr>
          <w:b/>
          <w:bCs/>
        </w:rPr>
      </w:pPr>
      <w:r w:rsidRPr="006C7ECC">
        <w:rPr>
          <w:b/>
          <w:bCs/>
        </w:rPr>
        <w:t>Legal Lesson Learned:</w:t>
      </w:r>
      <w:r>
        <w:rPr>
          <w:b/>
          <w:bCs/>
        </w:rPr>
        <w:t xml:space="preserve"> Another case where the “statutory presumption” was the deciding factor.  FF should keep records of fires and other chemical exposures.  </w:t>
      </w:r>
    </w:p>
    <w:p w14:paraId="5221CE81" w14:textId="58C50AE5" w:rsidR="002D64A4" w:rsidRDefault="002D64A4" w:rsidP="002D64A4">
      <w:pPr>
        <w:pStyle w:val="NormalWeb"/>
        <w:rPr>
          <w:b/>
          <w:bCs/>
        </w:rPr>
      </w:pPr>
    </w:p>
    <w:p w14:paraId="1A3FCAEF" w14:textId="693E0F9C" w:rsidR="002D64A4" w:rsidRPr="00FF0339" w:rsidRDefault="002D64A4" w:rsidP="002D64A4">
      <w:pPr>
        <w:pStyle w:val="NormalWeb"/>
        <w:rPr>
          <w:rFonts w:ascii="Arial Black" w:hAnsi="Arial Black"/>
          <w:sz w:val="28"/>
          <w:szCs w:val="28"/>
        </w:rPr>
      </w:pPr>
      <w:r w:rsidRPr="00FF0339">
        <w:rPr>
          <w:rFonts w:ascii="Arial Black" w:hAnsi="Arial Black"/>
          <w:sz w:val="28"/>
          <w:szCs w:val="28"/>
        </w:rPr>
        <w:t>6-10</w:t>
      </w:r>
      <w:r w:rsidR="00FF7C63">
        <w:rPr>
          <w:rFonts w:ascii="Arial Black" w:hAnsi="Arial Black"/>
          <w:sz w:val="28"/>
          <w:szCs w:val="28"/>
        </w:rPr>
        <w:t>3</w:t>
      </w:r>
    </w:p>
    <w:p w14:paraId="27ADF6EA" w14:textId="77777777" w:rsidR="002D64A4" w:rsidRPr="001377C6" w:rsidRDefault="002D64A4" w:rsidP="002D64A4">
      <w:pPr>
        <w:pStyle w:val="NormalWeb"/>
        <w:rPr>
          <w:rFonts w:ascii="Arial Black" w:hAnsi="Arial Black"/>
          <w:b/>
          <w:bCs/>
          <w:sz w:val="28"/>
          <w:szCs w:val="28"/>
        </w:rPr>
      </w:pPr>
      <w:r>
        <w:rPr>
          <w:rFonts w:ascii="Arial Black" w:hAnsi="Arial Black"/>
          <w:b/>
          <w:bCs/>
          <w:sz w:val="28"/>
          <w:szCs w:val="28"/>
        </w:rPr>
        <w:t>MA: FIRE CHIEF CONTRACT NOT RENEWED AFTER 5</w:t>
      </w:r>
      <w:r w:rsidRPr="001377C6">
        <w:rPr>
          <w:rFonts w:ascii="Arial Black" w:hAnsi="Arial Black"/>
          <w:b/>
          <w:bCs/>
          <w:sz w:val="28"/>
          <w:szCs w:val="28"/>
          <w:vertAlign w:val="superscript"/>
        </w:rPr>
        <w:t>th</w:t>
      </w:r>
      <w:r>
        <w:rPr>
          <w:rFonts w:ascii="Arial Black" w:hAnsi="Arial Black"/>
          <w:b/>
          <w:bCs/>
          <w:sz w:val="28"/>
          <w:szCs w:val="28"/>
        </w:rPr>
        <w:t xml:space="preserve"> YEARS – DIDN’T HAVE LIFETIME APPOINTMENT</w:t>
      </w:r>
    </w:p>
    <w:p w14:paraId="57E63D28" w14:textId="77777777" w:rsidR="002D64A4" w:rsidRPr="001377C6" w:rsidRDefault="002D64A4" w:rsidP="002D64A4">
      <w:pPr>
        <w:pStyle w:val="NormalWeb"/>
      </w:pPr>
      <w:r>
        <w:t xml:space="preserve">On Feb. 24, 2023, in </w:t>
      </w:r>
      <w:r w:rsidRPr="001377C6">
        <w:rPr>
          <w:u w:val="single"/>
        </w:rPr>
        <w:t>Mark Tetreault v. Board of Selectmen of Lynnfield</w:t>
      </w:r>
      <w:r>
        <w:t xml:space="preserve">, the Appeals Court of Massachusetts, Essex, held (3 to 0) that that the town did not violate the “strong chief” statute, the town charter, or the town's personnel bylaws by electing in 2018 not to renew Tetreault's contract.  </w:t>
      </w:r>
      <w:r w:rsidRPr="00EF4D33">
        <w:t>The</w:t>
      </w:r>
      <w:r>
        <w:t xml:space="preserve"> Court noted: “Tetreault suggests that its purpose was to protect fire chiefs from ‘political machinations’ and to allow them independence in the discharge of their duties. He argues that this purpose would be undermined by our interpretation. We disagree. ***  Even if the strong chief statute could be interpreted to provide fire chiefs with lifetime tenure -- a doubtful proposition -- Tetreault waived any such statutory right by </w:t>
      </w:r>
      <w:proofErr w:type="gramStart"/>
      <w:r>
        <w:t>entering into</w:t>
      </w:r>
      <w:proofErr w:type="gramEnd"/>
      <w:r>
        <w:t xml:space="preserve"> the employment contract. When he did so, he knew that the contract had language and terms that conflicted with what he professes was his belief about the meaning of the strong chief statute. As we have said, however, nothing would prohibit a fire chief from </w:t>
      </w:r>
      <w:proofErr w:type="gramStart"/>
      <w:r>
        <w:t>entering into</w:t>
      </w:r>
      <w:proofErr w:type="gramEnd"/>
      <w:r>
        <w:t xml:space="preserve"> an employment contract on terms that differ from the strong chief statute, and G. L. c. 41, § 108O, expressly permits that course of action.” </w:t>
      </w:r>
      <w:hyperlink r:id="rId1171" w:history="1">
        <w:r w:rsidRPr="00CE4DCE">
          <w:rPr>
            <w:rStyle w:val="Hyperlink"/>
            <w:rFonts w:eastAsiaTheme="majorEastAsia"/>
          </w:rPr>
          <w:t>https://www.socialaw.com/services/slip-opinions/slip-opinion-details/mark-tetreault-vs.-board-of-selectmen-of-lynnfield</w:t>
        </w:r>
      </w:hyperlink>
      <w:r>
        <w:t xml:space="preserve"> </w:t>
      </w:r>
    </w:p>
    <w:p w14:paraId="36C512AE" w14:textId="77777777" w:rsidR="002D64A4" w:rsidRDefault="002D64A4" w:rsidP="002D64A4">
      <w:pPr>
        <w:pStyle w:val="NormalWeb"/>
        <w:ind w:left="720"/>
      </w:pPr>
      <w:r>
        <w:t xml:space="preserve">“In December 2013, the board appointed Tetreault as the town's fire chief ‘subject to the successful negotiation of an employment contract.’ During those negotiations, in discussing the contract provision that he </w:t>
      </w:r>
      <w:proofErr w:type="gramStart"/>
      <w:r>
        <w:t>serve</w:t>
      </w:r>
      <w:proofErr w:type="gramEnd"/>
      <w:r>
        <w:t xml:space="preserve"> as an employee at will during an initial six-month probationary period, Tetreault told the town administrator that it was his understanding that under the strong chief statute, a chief ‘only could be terminated for cause.’ Tetreault asked to include in the contract language that provided that ‘[n]</w:t>
      </w:r>
      <w:proofErr w:type="spellStart"/>
      <w:r>
        <w:t>othing</w:t>
      </w:r>
      <w:proofErr w:type="spellEnd"/>
      <w:r>
        <w:t xml:space="preserve"> in this agreement shall diminish the authority, duty, and protections granted under [G. L. c. 48, § 42],’ and that the contract was ‘in accordance with [G. L. c. 41, § 108O].’ The town administrator declined to do so, and no reference to either statute was included in the contract.”</w:t>
      </w:r>
    </w:p>
    <w:p w14:paraId="416A6D4F" w14:textId="77777777" w:rsidR="002D64A4" w:rsidRDefault="002D64A4" w:rsidP="002D64A4">
      <w:pPr>
        <w:pStyle w:val="NormalWeb"/>
        <w:rPr>
          <w:b/>
          <w:bCs/>
        </w:rPr>
      </w:pPr>
      <w:r w:rsidRPr="00577551">
        <w:rPr>
          <w:b/>
          <w:bCs/>
        </w:rPr>
        <w:t>Legal Lesson Learned:</w:t>
      </w:r>
      <w:r>
        <w:rPr>
          <w:b/>
          <w:bCs/>
        </w:rPr>
        <w:t xml:space="preserve"> Fire Chiefs when negotiating an employment contract should have a clear provision on basis for non-renewal of the contract; wise to have an attorney review. </w:t>
      </w:r>
    </w:p>
    <w:p w14:paraId="409649A0" w14:textId="77777777" w:rsidR="002D64A4" w:rsidRPr="006C7ECC" w:rsidRDefault="002D64A4" w:rsidP="002D64A4">
      <w:pPr>
        <w:pStyle w:val="NormalWeb"/>
        <w:rPr>
          <w:b/>
          <w:bCs/>
        </w:rPr>
      </w:pPr>
    </w:p>
    <w:bookmarkEnd w:id="228"/>
    <w:p w14:paraId="1F96F92E" w14:textId="77777777" w:rsidR="002D64A4" w:rsidRDefault="002D64A4" w:rsidP="00EF1133">
      <w:pPr>
        <w:rPr>
          <w:rFonts w:ascii="Arial Black" w:hAnsi="Arial Black"/>
          <w:b/>
          <w:sz w:val="24"/>
          <w:szCs w:val="24"/>
        </w:rPr>
      </w:pPr>
    </w:p>
    <w:p w14:paraId="416F9D9E" w14:textId="01A68C81" w:rsidR="007959C9" w:rsidRDefault="008A4533"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2</w:t>
      </w:r>
    </w:p>
    <w:p w14:paraId="1808E9E0" w14:textId="77777777" w:rsidR="008A4533" w:rsidRPr="00E81735" w:rsidRDefault="008A4533" w:rsidP="008A4533">
      <w:pPr>
        <w:pStyle w:val="NormalWeb"/>
        <w:rPr>
          <w:rFonts w:ascii="Arial Black" w:hAnsi="Arial Black"/>
          <w:sz w:val="28"/>
          <w:szCs w:val="28"/>
        </w:rPr>
      </w:pPr>
      <w:r>
        <w:rPr>
          <w:rFonts w:ascii="Arial Black" w:hAnsi="Arial Black"/>
          <w:sz w:val="28"/>
          <w:szCs w:val="28"/>
        </w:rPr>
        <w:t xml:space="preserve">PA: VOLUNTEER FF – KIDNEY / COLON CANCER – GETS WORK COMP UNDER PA “STATUTORY PRESUMPTION” </w:t>
      </w:r>
    </w:p>
    <w:p w14:paraId="2900FECC" w14:textId="77777777" w:rsidR="008A4533" w:rsidRDefault="008A4533" w:rsidP="008A4533">
      <w:pPr>
        <w:pStyle w:val="NormalWeb"/>
      </w:pPr>
      <w:r>
        <w:t xml:space="preserve">On Jan. 10, 2023, in </w:t>
      </w:r>
      <w:r w:rsidRPr="00FE6967">
        <w:rPr>
          <w:u w:val="single"/>
        </w:rPr>
        <w:t>Volunteer Fire Companies of Lower Saucon v. David Cawley (Workers’ Compensation Appeal Board</w:t>
      </w:r>
      <w:r>
        <w:t xml:space="preserve">,  the Commonwealth Court of Pennsylvania held (3 to 0; unpublished opinion) that the Administrative Law Judge, and the Appeal Board, both properly held that the volunteer firefighter, with over 20 years of service, and over 1,000 fires, who worked in Fire Station that did not extract diesel smoke, was entitled to worker’s comp for his kidney and colon cancers. Under the PA statutory presumption statute, firefighters with over 4 years on the job, with no cancer when they joined fire service, only had to </w:t>
      </w:r>
      <w:r w:rsidRPr="00FE6967">
        <w:t>prove</w:t>
      </w:r>
      <w:r>
        <w:t xml:space="preserve"> a</w:t>
      </w:r>
      <w:r w:rsidRPr="00FE6967">
        <w:rPr>
          <w:b/>
          <w:bCs/>
        </w:rPr>
        <w:t xml:space="preserve"> “</w:t>
      </w:r>
      <w:r w:rsidRPr="00FE6967">
        <w:rPr>
          <w:rStyle w:val="Strong"/>
        </w:rPr>
        <w:t>general causative link between the claimant</w:t>
      </w:r>
      <w:r w:rsidRPr="00FE6967">
        <w:rPr>
          <w:b/>
          <w:bCs/>
        </w:rPr>
        <w:t>'</w:t>
      </w:r>
      <w:r w:rsidRPr="00FE6967">
        <w:rPr>
          <w:rStyle w:val="Strong"/>
        </w:rPr>
        <w:t>s type of cancer and a Group 1 carcinogen</w:t>
      </w:r>
      <w:r w:rsidRPr="00FE6967">
        <w:rPr>
          <w:b/>
          <w:bCs/>
        </w:rPr>
        <w:t>.”</w:t>
      </w:r>
      <w:r>
        <w:t xml:space="preserve"> The Court held: “In other words, the claimant </w:t>
      </w:r>
      <w:r>
        <w:rPr>
          <w:rStyle w:val="Emphasis"/>
        </w:rPr>
        <w:t>must produce evidence that it is possible</w:t>
      </w:r>
      <w:r>
        <w:t xml:space="preserve"> that the carcinogen in question caused the type of cancer with which the claimant is afflicted. It does </w:t>
      </w:r>
      <w:r>
        <w:rPr>
          <w:rStyle w:val="Emphasis"/>
        </w:rPr>
        <w:t xml:space="preserve">not require the claimant to prove that the identified Group 1 carcinogen </w:t>
      </w:r>
      <w:proofErr w:type="gramStart"/>
      <w:r>
        <w:rPr>
          <w:rStyle w:val="Emphasis"/>
        </w:rPr>
        <w:t>actually</w:t>
      </w:r>
      <w:r>
        <w:t xml:space="preserve"> caused</w:t>
      </w:r>
      <w:proofErr w:type="gramEnd"/>
      <w:r>
        <w:t xml:space="preserve"> claimant's cancer.”</w:t>
      </w:r>
      <w:hyperlink r:id="rId1172" w:history="1">
        <w:r w:rsidRPr="00D25822">
          <w:rPr>
            <w:rStyle w:val="Hyperlink"/>
          </w:rPr>
          <w:t>https://law.justia.com/cases/pennsylvania/commonwealth-court/2023/12-c-d-2022.html</w:t>
        </w:r>
      </w:hyperlink>
      <w:r>
        <w:t xml:space="preserve"> </w:t>
      </w:r>
    </w:p>
    <w:p w14:paraId="263B8DB9" w14:textId="77777777" w:rsidR="008A4533" w:rsidRDefault="008A4533" w:rsidP="008A4533">
      <w:pPr>
        <w:pStyle w:val="NormalWeb"/>
        <w:ind w:left="720"/>
      </w:pPr>
      <w:r>
        <w:t xml:space="preserve">“Here, Claimant testified that he has always worked at the same firehouse, which operates three diesel-powered vehicles, and it does not have a diesel fuel emissions capture system….  He could see and smell diesel fuel emissions on every fire call for approximately five to eight minutes before the trucks pulled out of the firehouse, during which time he was not wearing breathing protection. …  He was also exposed while the trucks are running at every fire scene…. Claimant recalled that the firehouse apparatus door, walls, and ceiling were covered in diesel fuel soot, which he periodically participated in cleaning without being given personal protective equipment. </w:t>
      </w:r>
    </w:p>
    <w:p w14:paraId="55B8B77A" w14:textId="77777777" w:rsidR="008A4533" w:rsidRDefault="008A4533" w:rsidP="008A4533">
      <w:pPr>
        <w:pStyle w:val="NormalWeb"/>
        <w:ind w:left="720" w:firstLine="60"/>
      </w:pPr>
      <w:r>
        <w:t>Claimant described that he fought at least 1,000 interior and exterior fires over the years, including house, car, trash, brush, and warehouse fires…. Claimant presented Employer's pre-</w:t>
      </w:r>
      <w:proofErr w:type="spellStart"/>
      <w:r>
        <w:t>PennFIRS</w:t>
      </w:r>
      <w:proofErr w:type="spellEnd"/>
      <w:r>
        <w:t xml:space="preserve"> and </w:t>
      </w:r>
      <w:proofErr w:type="spellStart"/>
      <w:r>
        <w:t>PennFIRS</w:t>
      </w:r>
      <w:proofErr w:type="spellEnd"/>
      <w:r>
        <w:t xml:space="preserve"> reports reflecting his firefighting since 1979. He stated that he participated in all firefighting stages, including: the attack phase (entry, search, rescue, ventilation and suppression), the overhaul phase, the salvage phase, and the fire investigation phase, all of which exposed him to soot and smoke…. Claimant explained that, although firefighters now use self-contained breathing apparatuses (SCBAs) for all types of fires and phases, for the first 20 years or so of his service, SCBAs were not used for exterior fires, car fires, overhaul, or salvage.</w:t>
      </w:r>
    </w:p>
    <w:p w14:paraId="2A63AD88" w14:textId="77777777" w:rsidR="008A4533" w:rsidRDefault="008A4533" w:rsidP="008A4533">
      <w:pPr>
        <w:pStyle w:val="NormalWeb"/>
        <w:ind w:left="720" w:firstLine="60"/>
        <w:rPr>
          <w:rStyle w:val="Emphasis"/>
        </w:rPr>
      </w:pPr>
      <w:r>
        <w:t>***</w:t>
      </w:r>
    </w:p>
    <w:p w14:paraId="4D051345" w14:textId="77777777" w:rsidR="008A4533" w:rsidRDefault="008A4533" w:rsidP="008A4533">
      <w:pPr>
        <w:pStyle w:val="NormalWeb"/>
        <w:ind w:left="720"/>
      </w:pPr>
      <w:r>
        <w:t xml:space="preserve">“The express language of </w:t>
      </w:r>
      <w:r>
        <w:rPr>
          <w:rStyle w:val="Strong"/>
        </w:rPr>
        <w:t>Section 108(r)</w:t>
      </w:r>
      <w:r>
        <w:t xml:space="preserve"> [</w:t>
      </w:r>
      <w:r>
        <w:rPr>
          <w:rStyle w:val="Strong"/>
        </w:rPr>
        <w:t>of the Act</w:t>
      </w:r>
      <w:r>
        <w:t xml:space="preserve">], namely that the claimant has a ‘cancer . . . which is caused by exposure to a known (Group 1) carcinogen’ clearly imposes an initial burden of causation on the claimant. Importantly, however, the provision </w:t>
      </w:r>
      <w:r>
        <w:rPr>
          <w:rStyle w:val="Strong"/>
        </w:rPr>
        <w:t>only requires the claimant to establish a general causative link between the claimant</w:t>
      </w:r>
      <w:r>
        <w:t>'</w:t>
      </w:r>
      <w:r>
        <w:rPr>
          <w:rStyle w:val="Strong"/>
        </w:rPr>
        <w:t>s type of cancer and a Group 1 carcinogen</w:t>
      </w:r>
      <w:r>
        <w:t>…. Section 108(r) [of the Act] embodies a legislative acknowledgement that firefighting is a dangerous occupation that routinely exposes firefighters to Group 1 carcinogens that are known to cause various types of cancers. The ‘general causation’ requirement under Section 108(r) [of the Act] constitutes a recognition that different types of cancers have different etiologies, and it weeds out claims for compensation for cancers with no known link to Group 1 carcinogens. The burden imposed by Section 108(r) [of the Act] is not a heavy burden.”</w:t>
      </w:r>
    </w:p>
    <w:p w14:paraId="56C1283D" w14:textId="77777777" w:rsidR="008A4533" w:rsidRPr="005B7454" w:rsidRDefault="008A4533" w:rsidP="008A4533">
      <w:pPr>
        <w:pStyle w:val="NormalWeb"/>
        <w:rPr>
          <w:b/>
          <w:bCs/>
        </w:rPr>
      </w:pPr>
      <w:r w:rsidRPr="005B7454">
        <w:rPr>
          <w:b/>
          <w:bCs/>
        </w:rPr>
        <w:t>Legal Lesson Learned:</w:t>
      </w:r>
      <w:r>
        <w:rPr>
          <w:b/>
          <w:bCs/>
        </w:rPr>
        <w:t xml:space="preserve"> Statutory presumption statute in Pennsylvania, and many other states, is very helpful.   </w:t>
      </w:r>
    </w:p>
    <w:p w14:paraId="4B3194C2" w14:textId="77777777" w:rsidR="008A4533" w:rsidRDefault="008A4533" w:rsidP="008A4533">
      <w:pPr>
        <w:pStyle w:val="NormalWeb"/>
      </w:pPr>
    </w:p>
    <w:p w14:paraId="29711B73" w14:textId="7336E4EA" w:rsidR="008A4533" w:rsidRDefault="008A4533" w:rsidP="00EF1133">
      <w:pPr>
        <w:rPr>
          <w:rFonts w:ascii="Arial Black" w:hAnsi="Arial Black"/>
          <w:b/>
          <w:sz w:val="24"/>
          <w:szCs w:val="24"/>
        </w:rPr>
      </w:pPr>
    </w:p>
    <w:p w14:paraId="1BF8D28E" w14:textId="1737D3C0" w:rsidR="008A4533" w:rsidRDefault="008A4533"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1</w:t>
      </w:r>
    </w:p>
    <w:p w14:paraId="48019C73" w14:textId="00DBCD29" w:rsidR="008A4533" w:rsidRDefault="008A4533" w:rsidP="00EF1133">
      <w:pPr>
        <w:rPr>
          <w:rFonts w:ascii="Arial Black" w:hAnsi="Arial Black"/>
          <w:b/>
          <w:sz w:val="24"/>
          <w:szCs w:val="24"/>
        </w:rPr>
      </w:pPr>
    </w:p>
    <w:p w14:paraId="218EEB18" w14:textId="77777777" w:rsidR="008A4533" w:rsidRPr="00BF0E9D" w:rsidRDefault="008A4533" w:rsidP="008A4533">
      <w:pPr>
        <w:pStyle w:val="NormalWeb"/>
        <w:rPr>
          <w:rFonts w:ascii="Arial Black" w:hAnsi="Arial Black"/>
          <w:sz w:val="28"/>
          <w:szCs w:val="28"/>
        </w:rPr>
      </w:pPr>
      <w:r>
        <w:rPr>
          <w:rFonts w:ascii="Arial Black" w:hAnsi="Arial Black"/>
          <w:sz w:val="28"/>
          <w:szCs w:val="28"/>
        </w:rPr>
        <w:t>AL:  ASSISTANT FIRE CHIEF – ARRESTED DOMESTIC VIOLENCE - RETIRED “IMMEDIATELY” – NOT FORCED</w:t>
      </w:r>
    </w:p>
    <w:p w14:paraId="02DDBE6B" w14:textId="77777777" w:rsidR="008A4533" w:rsidRDefault="008A4533" w:rsidP="008A4533">
      <w:pPr>
        <w:pStyle w:val="NormalWeb"/>
      </w:pPr>
      <w:r>
        <w:t xml:space="preserve">On Jan. 6, 2023, in </w:t>
      </w:r>
      <w:r w:rsidRPr="00BF0E9D">
        <w:rPr>
          <w:u w:val="single"/>
        </w:rPr>
        <w:t>Kenneth Bolling v. City of Montgomery</w:t>
      </w:r>
      <w:r>
        <w:t xml:space="preserve">, U.S. District Court Judge A. Austin Huffaker, Jr., U.S. District Court for Middle District of Alabama (Northern Division), held that after holding a bench trial May 16-17, </w:t>
      </w:r>
      <w:proofErr w:type="gramStart"/>
      <w:r>
        <w:t>2022</w:t>
      </w:r>
      <w:proofErr w:type="gramEnd"/>
      <w:r>
        <w:t xml:space="preserve"> and July 11, 2022, he found that Assistant Fire Bolling’s allegation that Fire Chief directed him to immediate resign after his arrest for domestic violence was not credible.  Bolling was second in command at the FD, 33 years of service, was arrested on June 27, </w:t>
      </w:r>
      <w:proofErr w:type="gramStart"/>
      <w:r>
        <w:t>2018</w:t>
      </w:r>
      <w:proofErr w:type="gramEnd"/>
      <w:r>
        <w:t xml:space="preserve"> for alleged domestic violence against his former girlfriend the night before.  When released from jail after 12-hour mandatory hold, he first called the City’s retirement specialist for estimate of his retirement payout.  He then met with Fire Chief </w:t>
      </w:r>
      <w:proofErr w:type="spellStart"/>
      <w:r>
        <w:t>Miford</w:t>
      </w:r>
      <w:proofErr w:type="spellEnd"/>
      <w:r>
        <w:t xml:space="preserve"> Jordan, and Chief of Staff Chief of Staff John Petrey, and signed a suspension with pay document.  He then when to retirement specialist, obtained retirement document, and signed for “immediate retirement” (not giving 7-days’ notice led to forfeiture of accrued leave and sick time). The Court held:  “And finally, and perhaps most persuasively, on the morning he turned himself into the city police-</w:t>
      </w:r>
      <w:r>
        <w:rPr>
          <w:rStyle w:val="Emphasis"/>
        </w:rPr>
        <w:t>before</w:t>
      </w:r>
      <w:r>
        <w:t xml:space="preserve"> his parking lot discussion with Chief Jordan and </w:t>
      </w:r>
      <w:r>
        <w:rPr>
          <w:rStyle w:val="Emphasis"/>
        </w:rPr>
        <w:t>before</w:t>
      </w:r>
      <w:r>
        <w:t xml:space="preserve"> the Petrey office meeting-Bolling called city retirement specialist Kim Neese to obtain an estimate of retirement benefit payouts should he decide to retire immediately. This uncoerced, self-initiated action supports the inference that Bolling intended to resign (or at least was seriously considering it) prior to any discussion with Chief Jordan and Petrey about his termination and supposed loss of retirement benefits.” </w:t>
      </w:r>
      <w:hyperlink r:id="rId1173" w:history="1">
        <w:r w:rsidRPr="00D25822">
          <w:rPr>
            <w:rStyle w:val="Hyperlink"/>
          </w:rPr>
          <w:t>https://public.fastcase.com/J%2FJP6pdidelsXxEE4k%2BLMqkdD5%2F9vomvqFlCkCXbHBZeshVe9dMO69n26VvOOGQ0AfFNIJdHHotvSTHs4WCcjg4h%2FMs%2B3ZGL0GmuYT%2B2kk4%3D?utm_medium=email&amp;_hsmi=226712652&amp;_hsenc=p2ANqtz-9blRBfGvWcvPfjP94U0OWp5xjRToJRFC1FgT4HNxkVt3pCFWJPlaIDL-9MMTlNfF1ZXM41l3Otj_VuO__ziHrFsLR4IQ&amp;utm_content=226712652&amp;utm_source=hs_email</w:t>
        </w:r>
      </w:hyperlink>
      <w:r>
        <w:t xml:space="preserve"> </w:t>
      </w:r>
    </w:p>
    <w:p w14:paraId="0FDEBDAB" w14:textId="77777777" w:rsidR="008A4533" w:rsidRDefault="008A4533" w:rsidP="008A4533">
      <w:pPr>
        <w:pStyle w:val="NormalWeb"/>
        <w:ind w:left="720"/>
      </w:pPr>
      <w:r>
        <w:t xml:space="preserve">“According to Chief Jordan, in the parking garage and on the way to Petrey's office, Bolling kept repeating that he should not have gone over to his </w:t>
      </w:r>
      <w:proofErr w:type="spellStart"/>
      <w:proofErr w:type="gramStart"/>
      <w:r>
        <w:t>ex girlfriend’s</w:t>
      </w:r>
      <w:proofErr w:type="spellEnd"/>
      <w:proofErr w:type="gramEnd"/>
      <w:r>
        <w:t xml:space="preserve"> house. Chief Jordan also testified that the two did not talk about anything related to Bolling's employment status at the time.  According to Bolling, the discussion was somewhat different. Per Bolling, Chief Jordan approached Bolling in the parking lot, hugged him, and told him, “They [are] going to fire you.” Chief Jordan also said, “Bolling, I'm talking to you like a brother [T]here </w:t>
      </w:r>
      <w:proofErr w:type="spellStart"/>
      <w:r>
        <w:t>ain't</w:t>
      </w:r>
      <w:proofErr w:type="spellEnd"/>
      <w:r>
        <w:t xml:space="preserve"> no fighting this.” </w:t>
      </w:r>
    </w:p>
    <w:p w14:paraId="6F1EFA16" w14:textId="77777777" w:rsidR="008A4533" w:rsidRDefault="008A4533" w:rsidP="008A4533">
      <w:pPr>
        <w:pStyle w:val="NormalWeb"/>
        <w:ind w:left="720"/>
      </w:pPr>
      <w:r>
        <w:t>***</w:t>
      </w:r>
    </w:p>
    <w:p w14:paraId="126D1698" w14:textId="77777777" w:rsidR="008A4533" w:rsidRDefault="008A4533" w:rsidP="008A4533">
      <w:pPr>
        <w:pStyle w:val="NormalWeb"/>
        <w:ind w:left="720"/>
      </w:pPr>
      <w:r>
        <w:t>Chief Jordan further testified that he never told Bolling that he was being terminated, that he should resign, or that he would lose his benefits if he did not resign. Simply put, according to Chief Jordan, they never discussed resignation or termination whatsoever during the meeting. This version of events was fully corroborated by Petrey, who reiterated in his testimony that Bolling was put on administrative leave without ever discussing resignation, retirement, or termination, and that Bolling acknowledged being put on administrative leave while an investigation into the arrest was conducted.</w:t>
      </w:r>
    </w:p>
    <w:p w14:paraId="7E0872FF" w14:textId="77777777" w:rsidR="008A4533" w:rsidRDefault="008A4533" w:rsidP="008A4533">
      <w:pPr>
        <w:pStyle w:val="NormalWeb"/>
        <w:ind w:left="720"/>
      </w:pPr>
      <w:r>
        <w:t>***</w:t>
      </w:r>
    </w:p>
    <w:p w14:paraId="2530A02B" w14:textId="77777777" w:rsidR="008A4533" w:rsidRDefault="008A4533" w:rsidP="008A4533">
      <w:pPr>
        <w:pStyle w:val="NormalWeb"/>
        <w:ind w:left="720"/>
      </w:pPr>
      <w:r>
        <w:t xml:space="preserve">Footnote 2: </w:t>
      </w:r>
      <w:r w:rsidRPr="009B4536">
        <w:t xml:space="preserve">From Bolling's standpoint, resignation ended any city investigation into the domestic violence incident over which criminal charges had been initiated and therefore Bolling would have avoided having to sit and answer questions during the interview about the incident as well as the other incidents, allegations, and convictions of domestic violence against Bolling over the </w:t>
      </w:r>
      <w:proofErr w:type="gramStart"/>
      <w:r w:rsidRPr="009B4536">
        <w:t>years, and</w:t>
      </w:r>
      <w:proofErr w:type="gramEnd"/>
      <w:r w:rsidRPr="009B4536">
        <w:t xml:space="preserve"> arguably would have allowed him to separate in good standing. During the trial, there was much testimony and evidence about other domestic violations incidents, criminal charges and convictions against Bolling. The Court fails to see the relevancy of his domestic violence history other than the impact it may have had in his decision to resign, effective immediately.</w:t>
      </w:r>
    </w:p>
    <w:p w14:paraId="557D4B17" w14:textId="77777777" w:rsidR="008A4533" w:rsidRPr="009B4536" w:rsidRDefault="008A4533" w:rsidP="008A4533">
      <w:pPr>
        <w:pStyle w:val="NormalWeb"/>
        <w:rPr>
          <w:b/>
          <w:bCs/>
        </w:rPr>
      </w:pPr>
      <w:r w:rsidRPr="009B4536">
        <w:rPr>
          <w:b/>
          <w:bCs/>
        </w:rPr>
        <w:t>Legal Lesson Learned:</w:t>
      </w:r>
      <w:r>
        <w:rPr>
          <w:b/>
          <w:bCs/>
        </w:rPr>
        <w:t xml:space="preserve"> Do not make hasty retirement decisions.</w:t>
      </w:r>
    </w:p>
    <w:p w14:paraId="42B69768" w14:textId="77777777" w:rsidR="008A4533" w:rsidRDefault="008A4533" w:rsidP="008A4533">
      <w:pPr>
        <w:pStyle w:val="NormalWeb"/>
        <w:ind w:left="720"/>
      </w:pPr>
      <w:r>
        <w:t xml:space="preserve">Note:  The Court is an earlier decision in this case , April 2, 2020, wrote: “Bolling has never been convicted of domestic violence, but he has been charged with domestic violence at least eight times during his career.” </w:t>
      </w:r>
      <w:hyperlink r:id="rId1174" w:history="1">
        <w:r w:rsidRPr="00D25822">
          <w:rPr>
            <w:rStyle w:val="Hyperlink"/>
          </w:rPr>
          <w:t>https://casetext.com/case/bolling-v-city-of-montgomery</w:t>
        </w:r>
      </w:hyperlink>
      <w:r>
        <w:t xml:space="preserve"> </w:t>
      </w:r>
    </w:p>
    <w:p w14:paraId="71DB59C1" w14:textId="77777777" w:rsidR="008A4533" w:rsidRDefault="008A4533" w:rsidP="008A4533">
      <w:pPr>
        <w:pStyle w:val="NormalWeb"/>
        <w:ind w:left="720"/>
      </w:pPr>
    </w:p>
    <w:p w14:paraId="0B5A4828" w14:textId="77777777" w:rsidR="008A4533" w:rsidRDefault="008A4533" w:rsidP="00EF1133">
      <w:pPr>
        <w:rPr>
          <w:rFonts w:ascii="Arial Black" w:hAnsi="Arial Black"/>
          <w:b/>
          <w:sz w:val="24"/>
          <w:szCs w:val="24"/>
        </w:rPr>
      </w:pPr>
    </w:p>
    <w:p w14:paraId="4F9C9290" w14:textId="77777777" w:rsidR="007959C9" w:rsidRDefault="007959C9" w:rsidP="00EF1133">
      <w:pPr>
        <w:rPr>
          <w:rFonts w:ascii="Arial Black" w:hAnsi="Arial Black"/>
          <w:b/>
          <w:sz w:val="24"/>
          <w:szCs w:val="24"/>
        </w:rPr>
      </w:pPr>
    </w:p>
    <w:p w14:paraId="742E3D60" w14:textId="2011C56F" w:rsidR="00BA3CDE" w:rsidRDefault="00BA3CDE"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0</w:t>
      </w:r>
    </w:p>
    <w:p w14:paraId="6A11D359" w14:textId="77777777" w:rsidR="00BA3CDE" w:rsidRPr="003B67CB" w:rsidRDefault="00BA3CDE" w:rsidP="00BA3CDE">
      <w:pPr>
        <w:pStyle w:val="NormalWeb"/>
        <w:rPr>
          <w:rFonts w:ascii="Arial Black" w:hAnsi="Arial Black"/>
          <w:b/>
          <w:bCs/>
          <w:sz w:val="28"/>
          <w:szCs w:val="28"/>
        </w:rPr>
      </w:pPr>
      <w:r>
        <w:rPr>
          <w:rFonts w:ascii="Arial Black" w:hAnsi="Arial Black"/>
          <w:b/>
          <w:bCs/>
          <w:sz w:val="28"/>
          <w:szCs w:val="28"/>
        </w:rPr>
        <w:t xml:space="preserve">NJ: FF BACK INJURY CARRYING PATIENT – NOT “UNEXPECTED” - DENIED ACCID. DISABILIY PENSION </w:t>
      </w:r>
    </w:p>
    <w:p w14:paraId="48E5E5DB" w14:textId="77777777" w:rsidR="00BA3CDE" w:rsidRDefault="00BA3CDE" w:rsidP="00BA3CDE">
      <w:pPr>
        <w:pStyle w:val="NormalWeb"/>
      </w:pPr>
      <w:r>
        <w:t xml:space="preserve">On Dec. 16, 2022, in </w:t>
      </w:r>
      <w:r w:rsidRPr="003B67CB">
        <w:rPr>
          <w:u w:val="single"/>
        </w:rPr>
        <w:t>Dennis Coaxum v. Board of Trustees, Police and Firemen’s Retirement System</w:t>
      </w:r>
      <w:r>
        <w:t xml:space="preserve">, the Superior Court of New Jersey, Appellate Division, held (2 to 0) that the Administrative Law Judge properly concluded that the injury suffered by the Atlantic City firefighter was not "undesigned and unexpected” as required under State law for accidental disability retirement benefits (ADRB).  The ALJ found Dennis failed to satisfy, by a preponderance of the evidence, the July 18, </w:t>
      </w:r>
      <w:proofErr w:type="gramStart"/>
      <w:r>
        <w:t>2017</w:t>
      </w:r>
      <w:proofErr w:type="gramEnd"/>
      <w:r>
        <w:t xml:space="preserve"> incident was "undesigned and unexpected."  Additionally, the ALJ questioned Dennis' credibility given his lack of disclosure about the patient grabbing the railing on any form or to any doctor prior to his testimony.</w:t>
      </w:r>
    </w:p>
    <w:p w14:paraId="36AFEB4F" w14:textId="77777777" w:rsidR="00BA3CDE" w:rsidRDefault="00BA3CDE" w:rsidP="00BA3CDE">
      <w:pPr>
        <w:pStyle w:val="NormalWeb"/>
        <w:ind w:left="720"/>
      </w:pPr>
      <w:r>
        <w:t xml:space="preserve">“Dennis was performing his normal job duties on the date of the incident. He had been trained to transport people to medical facilities. While the utilization of a stair chair was more common and preferable, Dennis had been supplied with and trained to use a Reeves Sleeve and had utilized it to move patients on previous occasions. He conceded he was trained to move patients in different types of areas and under different circumstances. He testified he was trained to lift things over his head as a firefighter. The record is bereft of any indication Dennis' injury arose from anything other than ordinary strenuous work effort.” </w:t>
      </w:r>
      <w:hyperlink r:id="rId1175" w:history="1">
        <w:r w:rsidRPr="00237809">
          <w:rPr>
            <w:rStyle w:val="Hyperlink"/>
            <w:rFonts w:eastAsiaTheme="majorEastAsia"/>
          </w:rPr>
          <w:t>https://casetext.com/case/coaxum-v-bd-of-trs</w:t>
        </w:r>
      </w:hyperlink>
      <w:r>
        <w:t xml:space="preserve"> </w:t>
      </w:r>
    </w:p>
    <w:p w14:paraId="15E30CFE" w14:textId="77777777" w:rsidR="00BA3CDE" w:rsidRDefault="00BA3CDE" w:rsidP="00BA3CDE">
      <w:pPr>
        <w:pStyle w:val="NormalWeb"/>
        <w:rPr>
          <w:b/>
          <w:bCs/>
        </w:rPr>
      </w:pPr>
      <w:r w:rsidRPr="000502FD">
        <w:rPr>
          <w:b/>
          <w:bCs/>
        </w:rPr>
        <w:t>Legal Lesson Learned:</w:t>
      </w:r>
      <w:r>
        <w:rPr>
          <w:b/>
          <w:bCs/>
        </w:rPr>
        <w:t xml:space="preserve">  Thoroughly document in all reports that the patient grabbed the railing. </w:t>
      </w:r>
    </w:p>
    <w:p w14:paraId="63A9C5F9" w14:textId="77777777" w:rsidR="00BA3CDE" w:rsidRDefault="00BA3CDE" w:rsidP="00EF1133">
      <w:pPr>
        <w:rPr>
          <w:rFonts w:ascii="Arial Black" w:hAnsi="Arial Black"/>
          <w:b/>
          <w:sz w:val="24"/>
          <w:szCs w:val="24"/>
        </w:rPr>
      </w:pPr>
    </w:p>
    <w:p w14:paraId="02D6A6EE" w14:textId="77777777" w:rsidR="00BA3CDE" w:rsidRDefault="00BA3CDE" w:rsidP="00EF1133">
      <w:pPr>
        <w:rPr>
          <w:rFonts w:ascii="Arial Black" w:hAnsi="Arial Black"/>
          <w:b/>
          <w:sz w:val="24"/>
          <w:szCs w:val="24"/>
        </w:rPr>
      </w:pPr>
    </w:p>
    <w:p w14:paraId="2B74590B" w14:textId="28FE1369" w:rsidR="006C79BE" w:rsidRDefault="006C79BE"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99</w:t>
      </w:r>
    </w:p>
    <w:p w14:paraId="15A77FF6" w14:textId="77777777" w:rsidR="006C79BE" w:rsidRPr="00E86687" w:rsidRDefault="006C79BE" w:rsidP="006C79BE">
      <w:pPr>
        <w:rPr>
          <w:rFonts w:ascii="Arial Black" w:hAnsi="Arial Black"/>
          <w:sz w:val="28"/>
          <w:szCs w:val="28"/>
        </w:rPr>
      </w:pPr>
      <w:r>
        <w:rPr>
          <w:rFonts w:ascii="Arial Black" w:hAnsi="Arial Black"/>
          <w:sz w:val="28"/>
          <w:szCs w:val="28"/>
        </w:rPr>
        <w:t>SC: FF BACK INJURY - WORKERS COMP AWARDED FOR “REPETITIVE TRAUMA INJURY” – ALJ REVERSED</w:t>
      </w:r>
    </w:p>
    <w:p w14:paraId="55E4B2CB" w14:textId="77777777" w:rsidR="006C79BE" w:rsidRDefault="006C79BE" w:rsidP="006C79BE">
      <w:pPr>
        <w:pStyle w:val="NormalWeb"/>
      </w:pPr>
      <w:r w:rsidRPr="00E86687">
        <w:t xml:space="preserve">On Dec. 7, 2022, </w:t>
      </w:r>
      <w:r>
        <w:t xml:space="preserve">in </w:t>
      </w:r>
      <w:r w:rsidRPr="00E86687">
        <w:rPr>
          <w:u w:val="single"/>
        </w:rPr>
        <w:t>Nicholas B. Thompson v. Bluffton Township Fire District, et al</w:t>
      </w:r>
      <w:r>
        <w:t xml:space="preserve">., the Court of Appeals of South Carolina, held (3 to 0) that Administrative Law Judge is reversed, since there is substantial evidence of repetitive trauma injury caused by his work as a firefighter. He began experiencing back pain in </w:t>
      </w:r>
      <w:proofErr w:type="gramStart"/>
      <w:r>
        <w:t>2014, but</w:t>
      </w:r>
      <w:proofErr w:type="gramEnd"/>
      <w:r>
        <w:t xml:space="preserve"> was able to perform firefighter duties. </w:t>
      </w:r>
      <w:r w:rsidRPr="00E86687">
        <w:t xml:space="preserve">In 2016, Thompson </w:t>
      </w:r>
      <w:r>
        <w:t xml:space="preserve">identified </w:t>
      </w:r>
      <w:r w:rsidRPr="00E86687">
        <w:t xml:space="preserve">three specific instances where his back pain was "significant" at work. </w:t>
      </w:r>
      <w:r>
        <w:t xml:space="preserve">In </w:t>
      </w:r>
      <w:r w:rsidRPr="00E86687">
        <w:t xml:space="preserve">late spring of 2016, Thompson responded to a "lift and assist call" to help a four-hundred-pound woman rise from the floor of her home. </w:t>
      </w:r>
      <w:r>
        <w:t xml:space="preserve"> On </w:t>
      </w:r>
      <w:r w:rsidRPr="00E86687">
        <w:t>July 9, 2016</w:t>
      </w:r>
      <w:r>
        <w:t xml:space="preserve">, he </w:t>
      </w:r>
      <w:r w:rsidRPr="00E86687">
        <w:t>was at the scene of a large house fire (the Belfair Fire)</w:t>
      </w:r>
      <w:r>
        <w:t xml:space="preserve"> where he handled high-pressure hose and replaced SCBAs.  In October 2016, he used chains in </w:t>
      </w:r>
      <w:r w:rsidRPr="00E86687">
        <w:t>aftermath of Hurricane Matthew</w:t>
      </w:r>
      <w:r>
        <w:t xml:space="preserve">. In January 2017, Thompson reported to his Battalion Chief that his back pain was affecting his ability to do his job and underwent MRI that revealed he had a bulging disc, disc degeneration, and nerve impingement in his lower back. The Court was particularly critical of ALJ’s criticism that </w:t>
      </w:r>
      <w:proofErr w:type="gramStart"/>
      <w:r>
        <w:t>firefighter</w:t>
      </w:r>
      <w:proofErr w:type="gramEnd"/>
      <w:r>
        <w:t xml:space="preserve"> did not file reports of injury from these incidents.  </w:t>
      </w:r>
    </w:p>
    <w:p w14:paraId="41ABF8F4" w14:textId="77777777" w:rsidR="006C79BE" w:rsidRDefault="006C79BE" w:rsidP="006C79BE">
      <w:pPr>
        <w:pStyle w:val="NormalWeb"/>
        <w:ind w:left="720"/>
      </w:pPr>
      <w:r>
        <w:t>“</w:t>
      </w:r>
      <w:r w:rsidRPr="00BF6A0E">
        <w:rPr>
          <w:rStyle w:val="markedcontent"/>
        </w:rPr>
        <w:t>We find Thompson, although</w:t>
      </w:r>
      <w:r>
        <w:rPr>
          <w:rStyle w:val="markedcontent"/>
        </w:rPr>
        <w:t xml:space="preserve"> </w:t>
      </w:r>
      <w:r w:rsidRPr="00BF6A0E">
        <w:rPr>
          <w:rStyle w:val="markedcontent"/>
        </w:rPr>
        <w:t>experiencing and receiving treatment for back pain from 2014 until 2016, could not</w:t>
      </w:r>
      <w:r>
        <w:rPr>
          <w:rStyle w:val="markedcontent"/>
        </w:rPr>
        <w:t xml:space="preserve"> </w:t>
      </w:r>
      <w:r w:rsidRPr="00BF6A0E">
        <w:rPr>
          <w:rStyle w:val="markedcontent"/>
        </w:rPr>
        <w:t>have reasonably known it was a compensable repetitive trauma injury until February</w:t>
      </w:r>
      <w:r>
        <w:rPr>
          <w:rStyle w:val="markedcontent"/>
        </w:rPr>
        <w:t xml:space="preserve"> </w:t>
      </w:r>
      <w:r w:rsidRPr="00BF6A0E">
        <w:rPr>
          <w:rStyle w:val="markedcontent"/>
        </w:rPr>
        <w:t>2017, when the pain from his gradual onset injury became so intense that he was</w:t>
      </w:r>
      <w:r>
        <w:rPr>
          <w:rStyle w:val="markedcontent"/>
        </w:rPr>
        <w:t xml:space="preserve"> </w:t>
      </w:r>
      <w:r w:rsidRPr="00BF6A0E">
        <w:rPr>
          <w:rStyle w:val="markedcontent"/>
        </w:rPr>
        <w:t>unable to complete daily duties as a firefighter and he sought medical treatment from</w:t>
      </w:r>
      <w:r>
        <w:rPr>
          <w:rStyle w:val="markedcontent"/>
        </w:rPr>
        <w:t xml:space="preserve"> </w:t>
      </w:r>
      <w:r w:rsidRPr="00BF6A0E">
        <w:rPr>
          <w:rStyle w:val="markedcontent"/>
        </w:rPr>
        <w:t>Dr. Cramer</w:t>
      </w:r>
      <w:r>
        <w:rPr>
          <w:rStyle w:val="markedcontent"/>
        </w:rPr>
        <w:t xml:space="preserve">…. </w:t>
      </w:r>
      <w:r w:rsidRPr="00E73268">
        <w:t xml:space="preserve">We also find Thompson presented competent medical evidence </w:t>
      </w:r>
      <w:r>
        <w:t>‘</w:t>
      </w:r>
      <w:r w:rsidRPr="00E73268">
        <w:t>that there is a direct causal relationship between the condition under which the work is performed and the injury.</w:t>
      </w:r>
      <w:r>
        <w:t>’</w:t>
      </w:r>
      <w:r w:rsidRPr="00E73268">
        <w:t xml:space="preserve"> § 42-1-172(D). Dr. Lindley was under no misapprehension about the duties Thompson was required to perform as a firefighter when giving his opinion about the cause of Thompson's repetitive trauma injury, and it was his expert medical opinion-recited in both his July 11, 2017 letter and in his sworn deposition testimony-that to a reasonable degree of medical certainty, Thompson's repeated activity of picking up heavy objects and people caused Thompson's L4-5 disc protrusion with radiculopathy, nerve impingement, and bowel and bladder issues.</w:t>
      </w:r>
      <w:r>
        <w:t xml:space="preserve">” </w:t>
      </w:r>
      <w:hyperlink r:id="rId1176" w:history="1">
        <w:r w:rsidRPr="00622894">
          <w:rPr>
            <w:rStyle w:val="Hyperlink"/>
          </w:rPr>
          <w:t>https://law.justia.com/cases/south-carolina/court-of-appeals/2022/2022-up-437.html</w:t>
        </w:r>
      </w:hyperlink>
      <w:r>
        <w:t xml:space="preserve"> </w:t>
      </w:r>
    </w:p>
    <w:p w14:paraId="7D7A6EFF" w14:textId="77777777" w:rsidR="006C79BE" w:rsidRPr="00E73268" w:rsidRDefault="006C79BE" w:rsidP="006C79BE">
      <w:pPr>
        <w:rPr>
          <w:rFonts w:ascii="Times New Roman" w:hAnsi="Times New Roman"/>
          <w:b/>
          <w:bCs/>
          <w:sz w:val="24"/>
          <w:szCs w:val="24"/>
        </w:rPr>
      </w:pPr>
      <w:r w:rsidRPr="00E73268">
        <w:rPr>
          <w:rFonts w:ascii="Times New Roman" w:hAnsi="Times New Roman"/>
          <w:b/>
          <w:bCs/>
          <w:sz w:val="24"/>
          <w:szCs w:val="24"/>
        </w:rPr>
        <w:t>Legal Lesson Learned:</w:t>
      </w:r>
      <w:r>
        <w:rPr>
          <w:rFonts w:ascii="Times New Roman" w:hAnsi="Times New Roman"/>
          <w:b/>
          <w:bCs/>
          <w:sz w:val="24"/>
          <w:szCs w:val="24"/>
        </w:rPr>
        <w:t xml:space="preserve"> Excellent decision based on substantial testimony about the firefighter’s strenuous job duties. </w:t>
      </w:r>
    </w:p>
    <w:p w14:paraId="5D011BFB" w14:textId="77777777" w:rsidR="006C79BE" w:rsidRDefault="006C79BE" w:rsidP="006C79BE">
      <w:pPr>
        <w:pStyle w:val="NormalWeb"/>
      </w:pPr>
    </w:p>
    <w:p w14:paraId="1E574966" w14:textId="77777777" w:rsidR="006C79BE" w:rsidRDefault="006C79BE" w:rsidP="00EF1133">
      <w:pPr>
        <w:rPr>
          <w:rFonts w:ascii="Arial Black" w:hAnsi="Arial Black"/>
          <w:b/>
          <w:sz w:val="24"/>
          <w:szCs w:val="24"/>
        </w:rPr>
      </w:pPr>
    </w:p>
    <w:p w14:paraId="7F2960A1" w14:textId="77777777" w:rsidR="006C79BE" w:rsidRDefault="006C79BE" w:rsidP="00EF1133">
      <w:pPr>
        <w:rPr>
          <w:rFonts w:ascii="Arial Black" w:hAnsi="Arial Black"/>
          <w:b/>
          <w:sz w:val="24"/>
          <w:szCs w:val="24"/>
        </w:rPr>
      </w:pPr>
    </w:p>
    <w:p w14:paraId="7D617C63" w14:textId="77777777" w:rsidR="006C79BE" w:rsidRDefault="006C79BE" w:rsidP="00EF1133">
      <w:pPr>
        <w:rPr>
          <w:rFonts w:ascii="Arial Black" w:hAnsi="Arial Black"/>
          <w:b/>
          <w:sz w:val="24"/>
          <w:szCs w:val="24"/>
        </w:rPr>
      </w:pPr>
    </w:p>
    <w:p w14:paraId="3596749D" w14:textId="06B31B61" w:rsidR="00B87D79" w:rsidRDefault="00B87D79"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8</w:t>
      </w:r>
    </w:p>
    <w:p w14:paraId="6A018D38" w14:textId="77777777" w:rsidR="00B87D79" w:rsidRDefault="00B87D79" w:rsidP="00B87D79">
      <w:pPr>
        <w:pStyle w:val="NormalWeb"/>
        <w:rPr>
          <w:rFonts w:ascii="Arial Black" w:hAnsi="Arial Black"/>
          <w:sz w:val="28"/>
          <w:szCs w:val="28"/>
        </w:rPr>
      </w:pPr>
      <w:r>
        <w:rPr>
          <w:rFonts w:ascii="Arial Black" w:hAnsi="Arial Black"/>
          <w:sz w:val="28"/>
          <w:szCs w:val="28"/>
        </w:rPr>
        <w:t>IL: FIRE CHIEF – SEVERANCE – PENSION MUST INCLUDE 4 ½ MONTHS ON PAID LEAVE AND 3% PAY INCREASE FOR FF</w:t>
      </w:r>
    </w:p>
    <w:p w14:paraId="58938F75" w14:textId="77777777" w:rsidR="00B87D79" w:rsidRDefault="00B87D79" w:rsidP="00B87D79">
      <w:pPr>
        <w:pStyle w:val="NormalWeb"/>
      </w:pPr>
      <w:r>
        <w:t xml:space="preserve">On Nov. 30, 2022, in </w:t>
      </w:r>
      <w:r w:rsidRPr="00CE1473">
        <w:rPr>
          <w:u w:val="single"/>
        </w:rPr>
        <w:t>Kenneth Brucki v. Orland Fire Protection District, et al</w:t>
      </w:r>
      <w:r>
        <w:t xml:space="preserve">., the Court of Appeals of Illinois, Third Division, held (3 to 0) that Pension Board is reversed; the Fire Chief’s pension should be increased based on his salary with 3% increase to $186,449 (from $181,220), and shall include his pay while on administrative leave. The Fire Chief had been under investigation and “Brucki agreed to pay $12,500 as reimbursement for charges on the </w:t>
      </w:r>
      <w:proofErr w:type="gramStart"/>
      <w:r>
        <w:t>District's</w:t>
      </w:r>
      <w:proofErr w:type="gramEnd"/>
      <w:r>
        <w:t xml:space="preserve"> credit cards.”</w:t>
      </w:r>
    </w:p>
    <w:p w14:paraId="2FF36DD9" w14:textId="77777777" w:rsidR="00B87D79" w:rsidRDefault="00B87D79" w:rsidP="00B87D79">
      <w:pPr>
        <w:pStyle w:val="NormalWeb"/>
        <w:ind w:left="720"/>
      </w:pPr>
      <w:r>
        <w:t xml:space="preserve">“After his 50th birthday in October 2017, Brucki was entitled to a pension. In his pension application, he listed his last day worked as January 4, 2016, and his annual pensionable salary as $186,449, which included the 3% adjustment on January 1, 2016. The pension fund submitted paperwork indicating that his last day was August 20, 2015, and his salary was $181,220. </w:t>
      </w:r>
    </w:p>
    <w:p w14:paraId="28C9D85A" w14:textId="77777777" w:rsidR="00B87D79" w:rsidRDefault="00B87D79" w:rsidP="00B87D79">
      <w:pPr>
        <w:pStyle w:val="NormalWeb"/>
        <w:ind w:left="720"/>
      </w:pPr>
      <w:r>
        <w:t>***</w:t>
      </w:r>
    </w:p>
    <w:p w14:paraId="643BED0A" w14:textId="627DC936" w:rsidR="00B87D79"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We thus reverse the decision of the Board and the circuit court and remand with instructions to recalculate and award pension benefits to Brucki based on a final date of service of January 4, 2016, and an annual salary amount which includes the 3% adjustment - $186,449.” </w:t>
      </w:r>
      <w:hyperlink r:id="rId1177" w:history="1">
        <w:r w:rsidRPr="00B87D79">
          <w:rPr>
            <w:rStyle w:val="Hyperlink"/>
            <w:rFonts w:ascii="Times New Roman" w:eastAsiaTheme="majorEastAsia" w:hAnsi="Times New Roman"/>
            <w:sz w:val="24"/>
            <w:szCs w:val="24"/>
          </w:rPr>
          <w:t>https://ilcourtsaudio.blob.core.windows.net/antilles-resources/resources/aec16a44-b27a-4304-97c1-5c133043b2dd/Brucki%20v.%20Orland%20Fire%20Protection%20District,%202022%20IL%20App%20(1st)%20220288-U.pdf</w:t>
        </w:r>
      </w:hyperlink>
    </w:p>
    <w:p w14:paraId="75695449" w14:textId="77777777" w:rsidR="00B87D79" w:rsidRPr="00F058AD" w:rsidRDefault="00B87D79" w:rsidP="00B87D79">
      <w:pPr>
        <w:pStyle w:val="NormalWeb"/>
        <w:rPr>
          <w:b/>
          <w:bCs/>
        </w:rPr>
      </w:pPr>
      <w:r w:rsidRPr="00F058AD">
        <w:rPr>
          <w:b/>
          <w:bCs/>
        </w:rPr>
        <w:t>Legal Lesson Learned:</w:t>
      </w:r>
      <w:r>
        <w:rPr>
          <w:b/>
          <w:bCs/>
        </w:rPr>
        <w:t xml:space="preserve"> When negotiating a severance agreement with 4 ½ months of paid leave, the parties should include a clause regarding how those </w:t>
      </w:r>
      <w:proofErr w:type="gramStart"/>
      <w:r>
        <w:rPr>
          <w:b/>
          <w:bCs/>
        </w:rPr>
        <w:t>months</w:t>
      </w:r>
      <w:proofErr w:type="gramEnd"/>
      <w:r>
        <w:rPr>
          <w:b/>
          <w:bCs/>
        </w:rPr>
        <w:t xml:space="preserve"> and any pay increases would impact pension calculations. </w:t>
      </w:r>
    </w:p>
    <w:p w14:paraId="64D36E47" w14:textId="77777777" w:rsidR="00B87D79" w:rsidRPr="00F058AD" w:rsidRDefault="00B87D79" w:rsidP="00B87D79">
      <w:pPr>
        <w:pStyle w:val="Heading1"/>
        <w:ind w:left="720"/>
        <w:rPr>
          <w:b w:val="0"/>
          <w:bCs w:val="0"/>
          <w:sz w:val="24"/>
          <w:szCs w:val="24"/>
        </w:rPr>
      </w:pPr>
      <w:r w:rsidRPr="00F058AD">
        <w:rPr>
          <w:b w:val="0"/>
          <w:bCs w:val="0"/>
          <w:sz w:val="24"/>
          <w:szCs w:val="24"/>
        </w:rPr>
        <w:t xml:space="preserve">Note: See Aug. 23, </w:t>
      </w:r>
      <w:proofErr w:type="gramStart"/>
      <w:r w:rsidRPr="00F058AD">
        <w:rPr>
          <w:b w:val="0"/>
          <w:bCs w:val="0"/>
          <w:sz w:val="24"/>
          <w:szCs w:val="24"/>
        </w:rPr>
        <w:t>2011</w:t>
      </w:r>
      <w:proofErr w:type="gramEnd"/>
      <w:r w:rsidRPr="00F058AD">
        <w:rPr>
          <w:b w:val="0"/>
          <w:bCs w:val="0"/>
          <w:sz w:val="24"/>
          <w:szCs w:val="24"/>
        </w:rPr>
        <w:t xml:space="preserve"> article, Orland fire chief retires under cloud: 'I didn't do anything wrong.' </w:t>
      </w:r>
      <w:hyperlink r:id="rId1178" w:history="1">
        <w:r w:rsidRPr="00F058AD">
          <w:rPr>
            <w:rStyle w:val="Hyperlink"/>
            <w:rFonts w:eastAsiaTheme="majorEastAsia"/>
            <w:b w:val="0"/>
            <w:bCs w:val="0"/>
            <w:sz w:val="24"/>
            <w:szCs w:val="24"/>
          </w:rPr>
          <w:t>https://www.chicagotribune.com/news/breaking/chi-retiring-orland-fire-chief-i-didnt-do-anything-wrong-20110823-story.html</w:t>
        </w:r>
      </w:hyperlink>
      <w:r w:rsidRPr="00F058AD">
        <w:rPr>
          <w:b w:val="0"/>
          <w:bCs w:val="0"/>
          <w:sz w:val="24"/>
          <w:szCs w:val="24"/>
        </w:rPr>
        <w:t xml:space="preserve"> </w:t>
      </w:r>
    </w:p>
    <w:p w14:paraId="3437C912" w14:textId="77777777" w:rsidR="00B87D79" w:rsidRDefault="00B87D79" w:rsidP="00EF1133">
      <w:pPr>
        <w:rPr>
          <w:rFonts w:ascii="Arial Black" w:hAnsi="Arial Black"/>
          <w:b/>
          <w:sz w:val="24"/>
          <w:szCs w:val="24"/>
        </w:rPr>
      </w:pPr>
    </w:p>
    <w:p w14:paraId="636D96E9" w14:textId="77777777" w:rsidR="00B87D79" w:rsidRDefault="00B87D79" w:rsidP="00EF1133">
      <w:pPr>
        <w:rPr>
          <w:rFonts w:ascii="Arial Black" w:hAnsi="Arial Black"/>
          <w:b/>
          <w:sz w:val="24"/>
          <w:szCs w:val="24"/>
        </w:rPr>
      </w:pPr>
    </w:p>
    <w:p w14:paraId="77EF82F8" w14:textId="77777777" w:rsidR="00B87D79" w:rsidRDefault="00B87D79" w:rsidP="00EF1133">
      <w:pPr>
        <w:rPr>
          <w:rFonts w:ascii="Arial Black" w:hAnsi="Arial Black"/>
          <w:b/>
          <w:sz w:val="24"/>
          <w:szCs w:val="24"/>
        </w:rPr>
      </w:pPr>
    </w:p>
    <w:p w14:paraId="0EE088C5" w14:textId="5F553AA2" w:rsidR="00B87D79" w:rsidRDefault="00B87D79"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7</w:t>
      </w:r>
    </w:p>
    <w:p w14:paraId="6FB0873B" w14:textId="77777777" w:rsidR="00B87D79" w:rsidRDefault="00B87D79" w:rsidP="00B87D79">
      <w:pPr>
        <w:pStyle w:val="NormalWeb"/>
        <w:rPr>
          <w:rFonts w:ascii="Arial Black" w:hAnsi="Arial Black"/>
          <w:sz w:val="28"/>
          <w:szCs w:val="28"/>
        </w:rPr>
      </w:pPr>
      <w:r>
        <w:rPr>
          <w:rFonts w:ascii="Arial Black" w:hAnsi="Arial Black"/>
          <w:sz w:val="28"/>
          <w:szCs w:val="28"/>
        </w:rPr>
        <w:t>IL: FF STROKE AT HOME – “CUMULATIVE EFFECTS OF ACTIVE DUTY” – OCCUP. DISEASE DISABILITY PENSION</w:t>
      </w:r>
    </w:p>
    <w:p w14:paraId="6240D2E6" w14:textId="77777777" w:rsidR="00B87D79" w:rsidRDefault="00B87D79" w:rsidP="00B87D79">
      <w:pPr>
        <w:pStyle w:val="NormalWeb"/>
      </w:pPr>
      <w:r>
        <w:t xml:space="preserve">On Nov. 29, 2022, in </w:t>
      </w:r>
      <w:r w:rsidRPr="009F7136">
        <w:rPr>
          <w:u w:val="single"/>
        </w:rPr>
        <w:t>The City of East Peoria, Illinois v. Charles Melton, II, et al</w:t>
      </w:r>
      <w:r>
        <w:t xml:space="preserve">., the Court of Appeals of Illinois, Fourth District, held (3 to 0) that the Pension Board properly held that the 56-year-old Lieutenant was entitled to the disability pension. NFPA </w:t>
      </w:r>
      <w:proofErr w:type="gramStart"/>
      <w:r>
        <w:t>requires wait</w:t>
      </w:r>
      <w:proofErr w:type="gramEnd"/>
      <w:r>
        <w:t xml:space="preserve"> one year after stroke to return to work; but he can’t ever return since on blood thinner from 2017 pulmonary embolism. City argued that the stroke was not caused by the job, but from blood thinner,  but Board had three physicians review his medical records (not statutory requirement they give him physical exam) and a physician </w:t>
      </w:r>
      <w:proofErr w:type="gramStart"/>
      <w:r>
        <w:t>said</w:t>
      </w:r>
      <w:proofErr w:type="gramEnd"/>
      <w:r>
        <w:t xml:space="preserve"> “</w:t>
      </w:r>
      <w:r w:rsidRPr="009F7136">
        <w:t xml:space="preserve">cannot discount the cumulative effects of active duty of Firefighting </w:t>
      </w:r>
      <w:proofErr w:type="gramStart"/>
      <w:r w:rsidRPr="009F7136">
        <w:t>in regards to</w:t>
      </w:r>
      <w:proofErr w:type="gramEnd"/>
      <w:r w:rsidRPr="009F7136">
        <w:t xml:space="preserve"> his stroke.</w:t>
      </w:r>
      <w:r>
        <w:t xml:space="preserve">” </w:t>
      </w:r>
    </w:p>
    <w:p w14:paraId="6BE7B41E" w14:textId="77777777" w:rsidR="00B87D79" w:rsidRDefault="00B87D79" w:rsidP="00B87D79">
      <w:pPr>
        <w:pStyle w:val="NormalWeb"/>
        <w:ind w:left="720"/>
      </w:pPr>
      <w:r>
        <w:t xml:space="preserve">“The Board argues that Melton's pre-existing medical conditions, including his prior voluntary use of anticoagulants, does not disqualify him from receiving an occupational disease pension. The Board argues that there was no evidence that Melton was prohibited from performing full unrestricted duties prior to his stroke and that he continued those duties even after voluntarily beginning the medications in 2017. The Board argues that there is no dispute that Melton suffered a stroke, and </w:t>
      </w:r>
      <w:proofErr w:type="gramStart"/>
      <w:r>
        <w:t>as a result of</w:t>
      </w:r>
      <w:proofErr w:type="gramEnd"/>
      <w:r>
        <w:t xml:space="preserve"> the stroke he thereafter was prescribed a mandatory, higher dose of anticoagulants that he must take for the rest of his life.</w:t>
      </w:r>
    </w:p>
    <w:p w14:paraId="32F5D8B0" w14:textId="77777777" w:rsidR="00B87D79" w:rsidRDefault="00B87D79" w:rsidP="00B87D79">
      <w:pPr>
        <w:pStyle w:val="NormalWeb"/>
        <w:ind w:left="720"/>
      </w:pPr>
      <w:r>
        <w:t>***</w:t>
      </w:r>
    </w:p>
    <w:p w14:paraId="1C86A019" w14:textId="77777777" w:rsidR="00B87D79" w:rsidRPr="009F7136" w:rsidRDefault="00B87D79" w:rsidP="00B87D79">
      <w:pPr>
        <w:pStyle w:val="NormalWeb"/>
        <w:ind w:left="720"/>
      </w:pPr>
      <w:r>
        <w:t xml:space="preserve">We conclude that the Board's finding that Melton's stroke resulted from his ‘service as a firefighter’ was not against the manifest weight of the evidence.” </w:t>
      </w:r>
      <w:hyperlink r:id="rId1179" w:history="1">
        <w:r w:rsidRPr="00736457">
          <w:rPr>
            <w:rStyle w:val="Hyperlink"/>
            <w:rFonts w:eastAsiaTheme="majorEastAsia"/>
          </w:rPr>
          <w:t>https://ilcourtsaudio.blob.core.windows.net/antilles-resources/resources/afeb172a-b7f7-45e5-889d-a00b38f164df/City%20of%20East%20Peoria%20v.%20Melton,%202022%20IL%20App%20(4th)%20220281-U.pdf</w:t>
        </w:r>
      </w:hyperlink>
      <w:r>
        <w:t xml:space="preserve"> </w:t>
      </w:r>
    </w:p>
    <w:p w14:paraId="49D66FC6" w14:textId="77777777" w:rsidR="00B87D79" w:rsidRPr="006C71D8" w:rsidRDefault="00B87D79" w:rsidP="00B87D79">
      <w:pPr>
        <w:pStyle w:val="NormalWeb"/>
        <w:rPr>
          <w:b/>
          <w:bCs/>
        </w:rPr>
      </w:pPr>
      <w:r w:rsidRPr="006C71D8">
        <w:rPr>
          <w:b/>
          <w:bCs/>
        </w:rPr>
        <w:t>Legal Lesson Learned: The Board relied on physician’s report that “</w:t>
      </w:r>
      <w:r w:rsidRPr="009F7136">
        <w:rPr>
          <w:b/>
          <w:bCs/>
        </w:rPr>
        <w:t xml:space="preserve">cannot discount the cumulative effects of active duty of Firefighting </w:t>
      </w:r>
      <w:proofErr w:type="gramStart"/>
      <w:r w:rsidRPr="009F7136">
        <w:rPr>
          <w:b/>
          <w:bCs/>
        </w:rPr>
        <w:t>in regards</w:t>
      </w:r>
      <w:r>
        <w:rPr>
          <w:b/>
          <w:bCs/>
        </w:rPr>
        <w:t xml:space="preserve"> </w:t>
      </w:r>
      <w:r w:rsidRPr="009F7136">
        <w:rPr>
          <w:b/>
          <w:bCs/>
        </w:rPr>
        <w:t>to</w:t>
      </w:r>
      <w:proofErr w:type="gramEnd"/>
      <w:r w:rsidRPr="009F7136">
        <w:rPr>
          <w:b/>
          <w:bCs/>
        </w:rPr>
        <w:t xml:space="preserve"> his stroke.</w:t>
      </w:r>
      <w:r w:rsidRPr="006C71D8">
        <w:rPr>
          <w:b/>
          <w:bCs/>
        </w:rPr>
        <w:t xml:space="preserve">” </w:t>
      </w:r>
    </w:p>
    <w:p w14:paraId="2EE9A954" w14:textId="31D0CDD7" w:rsidR="00804F3A" w:rsidRDefault="00804F3A"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6</w:t>
      </w:r>
    </w:p>
    <w:p w14:paraId="48121EE9" w14:textId="77777777" w:rsidR="00804F3A" w:rsidRPr="00815A5D" w:rsidRDefault="00804F3A" w:rsidP="00804F3A">
      <w:pPr>
        <w:pStyle w:val="NormalWeb"/>
        <w:rPr>
          <w:rFonts w:ascii="Arial Black" w:hAnsi="Arial Black"/>
          <w:b/>
          <w:bCs/>
          <w:sz w:val="28"/>
          <w:szCs w:val="28"/>
        </w:rPr>
      </w:pPr>
      <w:r>
        <w:rPr>
          <w:rFonts w:ascii="Arial Black" w:hAnsi="Arial Black"/>
          <w:b/>
          <w:bCs/>
          <w:sz w:val="28"/>
          <w:szCs w:val="28"/>
        </w:rPr>
        <w:t xml:space="preserve">NY: FF ON DUTY INJURED RIGHT HIP – MRI SHOWED HISTORY JOINT DISEASE – NO ACCIDENTAL DISAB. </w:t>
      </w:r>
    </w:p>
    <w:p w14:paraId="7A389ABF" w14:textId="77777777" w:rsidR="00804F3A" w:rsidRDefault="00804F3A" w:rsidP="00804F3A">
      <w:pPr>
        <w:pStyle w:val="NormalWeb"/>
      </w:pPr>
      <w:r w:rsidRPr="00AC10D4">
        <w:t xml:space="preserve">On </w:t>
      </w:r>
      <w:r>
        <w:t xml:space="preserve">Oct. 26, 2022, </w:t>
      </w:r>
      <w:r w:rsidRPr="00AC10D4">
        <w:rPr>
          <w:u w:val="single"/>
        </w:rPr>
        <w:t>In the Matter of Joseph M. Kearney v. Daniel A. Nigro, et al.,</w:t>
      </w:r>
      <w:r>
        <w:t xml:space="preserve"> the Supreme Court of New York held (4 to 0), 2022 NY Slip Op 06007, that the Pension Fund properly denied the firefighter’s application for accidental disability retirement benefits and retired him on ordinary disability retirement benefits. Although the firefighter was disabled due to his right hip injury, this disabling condition was causally related to chronic degenerative joint disease, not a work-related injury. </w:t>
      </w:r>
    </w:p>
    <w:p w14:paraId="689583E0" w14:textId="77777777" w:rsidR="00804F3A" w:rsidRPr="00AC10D4" w:rsidRDefault="00804F3A" w:rsidP="00804F3A">
      <w:pPr>
        <w:pStyle w:val="NormalWeb"/>
        <w:ind w:left="720"/>
        <w:rPr>
          <w:b/>
          <w:bCs/>
        </w:rPr>
      </w:pPr>
      <w:r w:rsidRPr="00AC10D4">
        <w:rPr>
          <w:rFonts w:eastAsiaTheme="minorHAnsi"/>
        </w:rPr>
        <w:t xml:space="preserve">Here, the Medical Board's initial determination that the petitioner's </w:t>
      </w:r>
      <w:r>
        <w:rPr>
          <w:rFonts w:eastAsiaTheme="minorHAnsi"/>
        </w:rPr>
        <w:t>‘</w:t>
      </w:r>
      <w:r w:rsidRPr="00AC10D4">
        <w:rPr>
          <w:rFonts w:eastAsiaTheme="minorHAnsi"/>
        </w:rPr>
        <w:t>right hip disability is causally related to Chronic Degenerative Joint Disease,</w:t>
      </w:r>
      <w:r>
        <w:rPr>
          <w:rFonts w:eastAsiaTheme="minorHAnsi"/>
        </w:rPr>
        <w:t>’</w:t>
      </w:r>
      <w:r w:rsidRPr="00AC10D4">
        <w:rPr>
          <w:rFonts w:eastAsiaTheme="minorHAnsi"/>
        </w:rPr>
        <w:t xml:space="preserve"> which remained unchanged upon further consideration, was supported by credible evidence, consisting of the results of the MRI performed on August 14, 2015</w:t>
      </w:r>
      <w:r>
        <w:rPr>
          <w:rFonts w:eastAsiaTheme="minorHAnsi"/>
        </w:rPr>
        <w:t xml:space="preserve">…. </w:t>
      </w:r>
      <w:r w:rsidRPr="00AC10D4">
        <w:rPr>
          <w:rFonts w:eastAsiaTheme="minorHAnsi"/>
        </w:rPr>
        <w:t>Accordingly, it cannot be determined as a matter of law that the petitioner's disability was caused by his May 2015 accident. Moreover, contrary to the petitioner's contention, the record does not support a determination, as a matter of law, that his pre-existing degenerative condition was exacerbated by the accident</w:t>
      </w:r>
      <w:r>
        <w:rPr>
          <w:rFonts w:eastAsiaTheme="minorHAnsi"/>
        </w:rPr>
        <w:t>….”</w:t>
      </w:r>
      <w:hyperlink r:id="rId1180" w:history="1">
        <w:r w:rsidRPr="007662E8">
          <w:rPr>
            <w:rStyle w:val="Hyperlink"/>
            <w:rFonts w:eastAsiaTheme="minorHAnsi"/>
          </w:rPr>
          <w:t>https://caselaw.findlaw.com/ny-supreme-court/1972528.html</w:t>
        </w:r>
      </w:hyperlink>
      <w:r>
        <w:rPr>
          <w:rFonts w:eastAsiaTheme="minorHAnsi"/>
        </w:rPr>
        <w:t xml:space="preserve"> </w:t>
      </w:r>
    </w:p>
    <w:p w14:paraId="5C8C09D1" w14:textId="77777777" w:rsidR="00804F3A" w:rsidRPr="00AC10D4" w:rsidRDefault="00804F3A" w:rsidP="00804F3A">
      <w:pPr>
        <w:pStyle w:val="NormalWeb"/>
        <w:rPr>
          <w:b/>
          <w:bCs/>
        </w:rPr>
      </w:pPr>
      <w:r>
        <w:rPr>
          <w:b/>
          <w:bCs/>
        </w:rPr>
        <w:t xml:space="preserve">Legal Lesson Learned:  Hip replacement was not due to a work-related injury; ordinary retirement. </w:t>
      </w:r>
    </w:p>
    <w:p w14:paraId="4DF195F1" w14:textId="77777777" w:rsidR="00804F3A" w:rsidRDefault="00804F3A" w:rsidP="00EF1133">
      <w:pPr>
        <w:rPr>
          <w:rFonts w:ascii="Arial Black" w:hAnsi="Arial Black"/>
          <w:b/>
          <w:sz w:val="24"/>
          <w:szCs w:val="24"/>
        </w:rPr>
      </w:pPr>
    </w:p>
    <w:p w14:paraId="25DA10C3" w14:textId="77777777" w:rsidR="00804F3A" w:rsidRDefault="00804F3A" w:rsidP="00EF1133">
      <w:pPr>
        <w:rPr>
          <w:rFonts w:ascii="Arial Black" w:hAnsi="Arial Black"/>
          <w:b/>
          <w:sz w:val="24"/>
          <w:szCs w:val="24"/>
        </w:rPr>
      </w:pPr>
    </w:p>
    <w:p w14:paraId="670C6C59" w14:textId="13184F2C" w:rsidR="00E8117B" w:rsidRDefault="00E8117B"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5</w:t>
      </w:r>
    </w:p>
    <w:p w14:paraId="03FF7C59"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NY: ON-THE-JOB FOOT INJURY / SHOULDER INJURY - NOT UNEPECTED “ACCIDENTS” – NO DISABILITY RETIREMENT</w:t>
      </w:r>
    </w:p>
    <w:p w14:paraId="7B521BF3" w14:textId="77777777" w:rsidR="00E8117B" w:rsidRPr="00E8117B" w:rsidRDefault="00E8117B" w:rsidP="00E8117B">
      <w:pPr>
        <w:pStyle w:val="NormalWeb"/>
      </w:pPr>
      <w:r w:rsidRPr="00E8117B">
        <w:t xml:space="preserve">On Sept. 29, 2022, in </w:t>
      </w:r>
      <w:r w:rsidRPr="00E8117B">
        <w:rPr>
          <w:u w:val="single"/>
        </w:rPr>
        <w:t>Matter of Elaine R. Berman v. Thomas P. DiNapoli, State Comptroller</w:t>
      </w:r>
      <w:r w:rsidRPr="00E8117B">
        <w:t xml:space="preserve">, the  Supreme Court of New York, Third Department, held (5 to 0) that souse of a deceased firefighter was not entitled to accidental disability payments. The Court agreed with the Hearing Officer that the firefighter’s foot injury and back injury occurred </w:t>
      </w:r>
      <w:proofErr w:type="gramStart"/>
      <w:r w:rsidRPr="00E8117B">
        <w:t>during the course of</w:t>
      </w:r>
      <w:proofErr w:type="gramEnd"/>
      <w:r w:rsidRPr="00E8117B">
        <w:t xml:space="preserve"> routine employment duties and were a risk inherent in the performance thereof.  </w:t>
      </w:r>
    </w:p>
    <w:p w14:paraId="152B2C6D" w14:textId="18072D45" w:rsidR="00E8117B" w:rsidRPr="00E8117B" w:rsidRDefault="00E8117B" w:rsidP="00E8117B">
      <w:pPr>
        <w:rPr>
          <w:rFonts w:ascii="Times New Roman" w:hAnsi="Times New Roman"/>
          <w:b/>
          <w:sz w:val="24"/>
          <w:szCs w:val="24"/>
        </w:rPr>
      </w:pPr>
      <w:r w:rsidRPr="00E8117B">
        <w:rPr>
          <w:rFonts w:ascii="Times New Roman" w:hAnsi="Times New Roman"/>
          <w:sz w:val="24"/>
          <w:szCs w:val="24"/>
        </w:rPr>
        <w:t xml:space="preserve">“Petitioner's burden was to demonstrate that decedent's disability arose out of an accident, which, for purposes of the Retirement and Social Security Law, is defined as ‘a sudden, fortuitous mischance, unexpected, out of the ordinary, and injurious in impact.’ *** </w:t>
      </w:r>
      <w:r w:rsidRPr="00E8117B">
        <w:rPr>
          <w:rFonts w:ascii="Times New Roman" w:eastAsiaTheme="minorHAnsi" w:hAnsi="Times New Roman"/>
          <w:sz w:val="24"/>
          <w:szCs w:val="24"/>
        </w:rPr>
        <w:t>His resulting injury was not caused by a sudden and unexpected event. As such, substantial evidence supports respondent's finding that the incident did not constitute an accident.”</w:t>
      </w:r>
      <w:hyperlink r:id="rId1181" w:history="1">
        <w:r w:rsidRPr="00E8117B">
          <w:rPr>
            <w:rStyle w:val="Hyperlink"/>
            <w:rFonts w:ascii="Times New Roman" w:hAnsi="Times New Roman"/>
            <w:sz w:val="24"/>
            <w:szCs w:val="24"/>
          </w:rPr>
          <w:t>https://public.fastcase.com/J%2FJP6pdidelsXxEE4k%2BLMgZsxRPxIagHaOxK3V7dyuXFeFyB6fz1Dln4tTh4Jm%2FUrhr8rAmwFuGj0jKVlSZT92lB7laeHNqW0rDlXNrGxCk%3D?utm_medium=email&amp;_hsmi=226712652&amp;_hsenc=p2ANqtz-88sbIkrx-fKIJNKIHom0LKoVEBAjtP4sRnfpcv7MlL8ga8F7YTwpRtQY7XbucL3D6C1qELcyLUMrsKcjyI3sLUlue5QA&amp;utm_content=226712652&amp;utm_source=hs_email</w:t>
        </w:r>
      </w:hyperlink>
    </w:p>
    <w:p w14:paraId="2B0451A4" w14:textId="77777777" w:rsidR="00E8117B" w:rsidRDefault="00E8117B" w:rsidP="00E8117B">
      <w:pPr>
        <w:pStyle w:val="NormalWeb"/>
        <w:rPr>
          <w:b/>
          <w:bCs/>
        </w:rPr>
      </w:pPr>
      <w:r>
        <w:rPr>
          <w:b/>
          <w:bCs/>
        </w:rPr>
        <w:t>Legal Lesson Learned: In New York, accidental disability retirement benefits are only for on-the-job accidents that are “sudden, fortuitous mischance, unexpected, out of the ordinary, and injurious in impact.”</w:t>
      </w:r>
    </w:p>
    <w:p w14:paraId="022D6364" w14:textId="300D3511" w:rsidR="00E8117B" w:rsidRDefault="00E8117B" w:rsidP="00EF1133">
      <w:pPr>
        <w:rPr>
          <w:rFonts w:ascii="Arial Black" w:hAnsi="Arial Black"/>
          <w:b/>
          <w:sz w:val="24"/>
          <w:szCs w:val="24"/>
        </w:rPr>
      </w:pPr>
    </w:p>
    <w:p w14:paraId="05B9903E" w14:textId="6DC5C59E" w:rsidR="00E8117B" w:rsidRDefault="00E8117B"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4</w:t>
      </w:r>
    </w:p>
    <w:p w14:paraId="0E5E2E01"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 xml:space="preserve">IL: FF KIDNEY CANCER – WINS WORKERS COMP – REBUTTABLE PRESUMPTION STATUTE, EXPERT OPINION  </w:t>
      </w:r>
    </w:p>
    <w:p w14:paraId="4E179B9A" w14:textId="77777777" w:rsidR="00E8117B" w:rsidRDefault="00E8117B" w:rsidP="00E8117B">
      <w:pPr>
        <w:pStyle w:val="NormalWeb"/>
      </w:pPr>
      <w:r>
        <w:t xml:space="preserve">On Sept. 15, 2022, in </w:t>
      </w:r>
      <w:r>
        <w:rPr>
          <w:u w:val="single"/>
        </w:rPr>
        <w:t>City of Springfield v. The Illinois Workers’ Compensation Commission et al. (Matt Wood)</w:t>
      </w:r>
      <w:r>
        <w:t xml:space="preserve">, the Court of Appeals of Illinois, Fourth District (Workers; Compensation Commission Division) held (5 to 0) that the arbitrator and the Worker’s Comp Commission properly held that the firefighter was entitled to workers comp under the Illinois “rebuttable presumption” statute. </w:t>
      </w:r>
    </w:p>
    <w:p w14:paraId="7AB94878" w14:textId="77777777" w:rsidR="00E8117B" w:rsidRDefault="00E8117B" w:rsidP="00E8117B">
      <w:pPr>
        <w:pStyle w:val="NormalWeb"/>
        <w:ind w:left="720"/>
      </w:pPr>
      <w:r>
        <w:t xml:space="preserve">“[T]he Commission's finding that the claimant's kidney cancer arose out of and in the course of his employment was not against the manifest weight of the evidence. *** The arbitrator found that given the claimant [Matt Wood] was a firefighter for about 16 years on September 6, 2013, and he had kidney cancer that resulted in a disability, his kidney cancer shall be rebuttably presumed to (1) arise out of and in the course of his employment and (2) be causally connected to the hazards or exposures of the employment (820 ILCS 310/1(d) (West 2012)).” </w:t>
      </w:r>
      <w:hyperlink r:id="rId1182" w:history="1">
        <w:r w:rsidRPr="0078619C">
          <w:rPr>
            <w:rStyle w:val="Hyperlink"/>
          </w:rPr>
          <w:t>https://ilcourtsaudio.blob.core.windows.net/antilles-resources/resources/eba608df-6fa9-4d1a-8a11-f48abce29596/City%20of%20Springfield%20v.%20Illinois%20Workers'%20Compensation%20Comm'n,%202022%20IL%20App%20(4th)%20210604WC-U.pdf</w:t>
        </w:r>
      </w:hyperlink>
    </w:p>
    <w:p w14:paraId="097419E2" w14:textId="77777777" w:rsidR="00E8117B" w:rsidRDefault="00E8117B" w:rsidP="00E8117B">
      <w:pPr>
        <w:pStyle w:val="NormalWeb"/>
        <w:rPr>
          <w:b/>
          <w:bCs/>
        </w:rPr>
      </w:pPr>
      <w:r>
        <w:rPr>
          <w:b/>
          <w:bCs/>
        </w:rPr>
        <w:t xml:space="preserve">Legal Lesson Learned: Having an expert who has studied firefighter </w:t>
      </w:r>
      <w:proofErr w:type="gramStart"/>
      <w:r>
        <w:rPr>
          <w:b/>
          <w:bCs/>
        </w:rPr>
        <w:t>cancers</w:t>
      </w:r>
      <w:proofErr w:type="gramEnd"/>
      <w:r>
        <w:rPr>
          <w:b/>
          <w:bCs/>
        </w:rPr>
        <w:t xml:space="preserve"> is essential when presenting a workers’ compensation claim. </w:t>
      </w:r>
    </w:p>
    <w:p w14:paraId="4611AF32" w14:textId="77777777" w:rsidR="00E8117B" w:rsidRDefault="00E8117B" w:rsidP="00E8117B">
      <w:pPr>
        <w:pStyle w:val="NormalWeb"/>
        <w:ind w:left="720"/>
      </w:pPr>
      <w:r>
        <w:t xml:space="preserve">Note: The Court cited Firefighter Matt Wood’s testimony about changes in protocol in wearing SCBAs during overhaul and other cancer prevention SOGs.  </w:t>
      </w:r>
    </w:p>
    <w:p w14:paraId="2F7ADE91" w14:textId="77777777" w:rsidR="00E8117B" w:rsidRDefault="00E8117B" w:rsidP="00E8117B">
      <w:pPr>
        <w:pStyle w:val="NormalWeb"/>
        <w:ind w:left="720"/>
      </w:pPr>
      <w:r>
        <w:t xml:space="preserve">“The claimant testified that his firefighting duties were the same while in all three positions, which included actively fighting fires. He stated that he responded to approximately four fires per month. The claimant responded to fires at residential homes, structural fires, building fires, and fires in cars, rubbish, and brush. When he responded to a fire, he wore his bunker gear, which consisted of a fire suit, pants, coat, helmet, gloves, hat, mask, and a self-contained breathing apparatus (SCBA), which is a backpack that carries a cylinder holding air. The claimant testified that new procedures went into effect four years ago and now firefighters would keep their SCBA on until an </w:t>
      </w:r>
      <w:proofErr w:type="gramStart"/>
      <w:r>
        <w:t>on shift</w:t>
      </w:r>
      <w:proofErr w:type="gramEnd"/>
      <w:r>
        <w:t xml:space="preserve"> safety officer determined with a Lower Explosive Limit (LEL) monitor, that all gas levels were within normal range and it was safe to take the equipment off. He stated that this resulted in the firefighters' masks remaining on much longer while they were performing their overhaul duties. Other changes also went into effect at that time, such as the firefighters having a spare set of gear ready and wet wipes at the scene to clean their face, neck, and hands.” </w:t>
      </w:r>
      <w:hyperlink r:id="rId1183" w:history="1">
        <w:r>
          <w:rPr>
            <w:rStyle w:val="Hyperlink"/>
          </w:rPr>
          <w:t>https://ilcourtsaudio.blob.core.windows.net/antilles-resources/resources/eba608df-6fa9-4d1a-8a11-f48abce29596/City%20of%20Springfield%20v.%20Illinois%20Workers'%20Compensation%20Comm'n,%202022%20IL%20App%20(4th)%20210604WC-U.pdf</w:t>
        </w:r>
      </w:hyperlink>
      <w:r>
        <w:t xml:space="preserve"> </w:t>
      </w:r>
    </w:p>
    <w:p w14:paraId="17B92C82" w14:textId="77777777" w:rsidR="00E8117B" w:rsidRDefault="00E8117B" w:rsidP="00E8117B">
      <w:pPr>
        <w:pStyle w:val="NormalWeb"/>
        <w:ind w:left="1440"/>
      </w:pPr>
    </w:p>
    <w:p w14:paraId="35ED23CF" w14:textId="77777777" w:rsidR="00E8117B" w:rsidRPr="00CB79E4" w:rsidRDefault="00E8117B" w:rsidP="00E8117B">
      <w:pPr>
        <w:pStyle w:val="NormalWeb"/>
        <w:ind w:firstLine="720"/>
      </w:pPr>
      <w:r w:rsidRPr="00CB79E4">
        <w:t xml:space="preserve">Illinois Rebuttable Presumption: </w:t>
      </w:r>
    </w:p>
    <w:p w14:paraId="658398F5" w14:textId="77777777" w:rsidR="00E8117B" w:rsidRPr="00CB79E4" w:rsidRDefault="00E8117B" w:rsidP="00E8117B">
      <w:pPr>
        <w:pStyle w:val="NormalWeb"/>
        <w:ind w:left="720"/>
      </w:pPr>
      <w:r w:rsidRPr="00CB79E4">
        <w:t>“</w:t>
      </w:r>
      <w:r w:rsidRPr="00CB79E4">
        <w:rPr>
          <w:rStyle w:val="HTMLCode"/>
          <w:rFonts w:ascii="Times New Roman" w:eastAsiaTheme="majorEastAsia" w:hAnsi="Times New Roman" w:cs="Times New Roman"/>
          <w:sz w:val="24"/>
          <w:szCs w:val="24"/>
        </w:rPr>
        <w:t xml:space="preserve">Any condition or impairment of health of an employee employed as a firefighter, emergency medical technician (EMT), emergency medical technician-intermediate (EMT-I), advanced emergency medical technician (A-EMT), or paramedic which results directly or indirectly from any bloodborne pathogen, lung or respiratory disease or condition, heart or vascular disease or condition, hypertension, tuberculosis, or cancer resulting in any disability (temporary, permanent, total, or partial) to the employee shall be rebuttably presumed to arise out of and in the course of the employee's firefighting, EMT, EMT-I, A-EMT, or paramedic employment and, further, shall be rebuttably presumed to be causally connected to the hazards or exposures of the employment. This presumption shall also apply to any hernia or hearing loss suffered by an employee employed as a firefighter, EMT, EMT-I, A-EMT, or paramedic. However, this presumption shall not apply to any employee who has been employed as a firefighter, EMT, EMT-I, A-EMT, or paramedic for less than 5 years at the time he or she files an Application for Adjustment of Claim concerning this condition or impairment with the Illinois Workers' Compensation Commission.” </w:t>
      </w:r>
      <w:hyperlink r:id="rId1184" w:history="1">
        <w:r w:rsidRPr="00CB79E4">
          <w:rPr>
            <w:rStyle w:val="Hyperlink"/>
          </w:rPr>
          <w:t>https://www.ilga.gov/legislation/ilcs/ilcs3.asp?ActID=2431&amp;ChapterID=68</w:t>
        </w:r>
      </w:hyperlink>
      <w:r w:rsidRPr="00CB79E4">
        <w:rPr>
          <w:rStyle w:val="HTMLCode"/>
          <w:rFonts w:ascii="Times New Roman" w:eastAsiaTheme="majorEastAsia" w:hAnsi="Times New Roman" w:cs="Times New Roman"/>
          <w:sz w:val="24"/>
          <w:szCs w:val="24"/>
        </w:rPr>
        <w:t xml:space="preserve"> </w:t>
      </w:r>
    </w:p>
    <w:p w14:paraId="5F1A488D" w14:textId="77777777" w:rsidR="00E8117B" w:rsidRDefault="00E8117B" w:rsidP="00EF1133">
      <w:pPr>
        <w:rPr>
          <w:rFonts w:ascii="Arial Black" w:hAnsi="Arial Black"/>
          <w:b/>
          <w:sz w:val="24"/>
          <w:szCs w:val="24"/>
        </w:rPr>
      </w:pPr>
    </w:p>
    <w:p w14:paraId="222DBE32" w14:textId="77777777" w:rsidR="00E8117B" w:rsidRDefault="00E8117B" w:rsidP="00EF1133">
      <w:pPr>
        <w:rPr>
          <w:rFonts w:ascii="Arial Black" w:hAnsi="Arial Black"/>
          <w:b/>
          <w:sz w:val="24"/>
          <w:szCs w:val="24"/>
        </w:rPr>
      </w:pPr>
    </w:p>
    <w:p w14:paraId="4E134FD3" w14:textId="02D03CAE" w:rsidR="006D2C51" w:rsidRDefault="006D2C51"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3</w:t>
      </w:r>
    </w:p>
    <w:p w14:paraId="2F7B079B" w14:textId="77777777" w:rsidR="006C4BDE"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NY: FDNY KNEE INJURY – 7</w:t>
      </w:r>
      <w:r w:rsidRPr="00D97113">
        <w:rPr>
          <w:rFonts w:ascii="Arial Black" w:hAnsi="Arial Black"/>
          <w:sz w:val="28"/>
          <w:szCs w:val="28"/>
          <w:vertAlign w:val="superscript"/>
        </w:rPr>
        <w:t>th</w:t>
      </w:r>
      <w:r>
        <w:rPr>
          <w:rFonts w:ascii="Arial Black" w:hAnsi="Arial Black"/>
          <w:sz w:val="28"/>
          <w:szCs w:val="28"/>
        </w:rPr>
        <w:t xml:space="preserve"> ON JOB - BUT ARTHRITIS - COURT AWARDS 75% ACCIDENTAL DISAB. RETIREMENT </w:t>
      </w:r>
    </w:p>
    <w:p w14:paraId="1DDF8872" w14:textId="77777777" w:rsidR="006C4BDE" w:rsidRDefault="006C4BDE" w:rsidP="006C4BD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11, 2022, in </w:t>
      </w:r>
      <w:r w:rsidRPr="000836BE">
        <w:rPr>
          <w:rFonts w:ascii="Times New Roman" w:hAnsi="Times New Roman"/>
          <w:sz w:val="24"/>
          <w:szCs w:val="24"/>
          <w:u w:val="single"/>
        </w:rPr>
        <w:t>David J. Lamar v. Daniel Nigro, the Board of Trustees of the New York City Fire Department, et al</w:t>
      </w:r>
      <w:r>
        <w:rPr>
          <w:rFonts w:ascii="Times New Roman" w:hAnsi="Times New Roman"/>
          <w:sz w:val="24"/>
          <w:szCs w:val="24"/>
        </w:rPr>
        <w:t xml:space="preserve">., the Supreme Court, New York County held (2 to 0; unpublished opinion) granted the retired firefighter’s </w:t>
      </w:r>
      <w:r w:rsidRPr="000836BE">
        <w:rPr>
          <w:rFonts w:ascii="Times New Roman" w:hAnsi="Times New Roman"/>
          <w:sz w:val="24"/>
          <w:szCs w:val="24"/>
        </w:rPr>
        <w:t>petition to reverse respondents' determination denying petitioner's application for accident disability retirement (</w:t>
      </w:r>
      <w:r>
        <w:rPr>
          <w:rFonts w:ascii="Times New Roman" w:hAnsi="Times New Roman"/>
          <w:sz w:val="24"/>
          <w:szCs w:val="24"/>
        </w:rPr>
        <w:t>‘</w:t>
      </w:r>
      <w:r w:rsidRPr="000836BE">
        <w:rPr>
          <w:rFonts w:ascii="Times New Roman" w:hAnsi="Times New Roman"/>
          <w:sz w:val="24"/>
          <w:szCs w:val="24"/>
        </w:rPr>
        <w:t>ADR</w:t>
      </w:r>
      <w:r>
        <w:rPr>
          <w:rFonts w:ascii="Times New Roman" w:hAnsi="Times New Roman"/>
          <w:sz w:val="24"/>
          <w:szCs w:val="24"/>
        </w:rPr>
        <w:t>’</w:t>
      </w:r>
      <w:r w:rsidRPr="000836BE">
        <w:rPr>
          <w:rFonts w:ascii="Times New Roman" w:hAnsi="Times New Roman"/>
          <w:sz w:val="24"/>
          <w:szCs w:val="24"/>
        </w:rPr>
        <w:t>) benefits</w:t>
      </w:r>
      <w:r>
        <w:rPr>
          <w:rFonts w:ascii="Times New Roman" w:hAnsi="Times New Roman"/>
          <w:sz w:val="24"/>
          <w:szCs w:val="24"/>
        </w:rPr>
        <w:t xml:space="preserve"> [$75%] </w:t>
      </w:r>
      <w:r w:rsidRPr="000836BE">
        <w:rPr>
          <w:rFonts w:ascii="Times New Roman" w:hAnsi="Times New Roman"/>
          <w:sz w:val="24"/>
          <w:szCs w:val="24"/>
        </w:rPr>
        <w:t>is granted and he is entitled to benefits retroactive to his date of retirement.</w:t>
      </w:r>
      <w:r>
        <w:rPr>
          <w:rFonts w:ascii="Times New Roman" w:hAnsi="Times New Roman"/>
          <w:sz w:val="24"/>
          <w:szCs w:val="24"/>
        </w:rPr>
        <w:t xml:space="preserve">  </w:t>
      </w:r>
      <w:hyperlink r:id="rId1185" w:history="1">
        <w:r w:rsidRPr="00355029">
          <w:rPr>
            <w:rStyle w:val="Hyperlink"/>
            <w:rFonts w:ascii="Times New Roman" w:eastAsia="Times New Roman" w:hAnsi="Times New Roman"/>
            <w:sz w:val="24"/>
            <w:szCs w:val="24"/>
          </w:rPr>
          <w:t>https://cases.justia.com/new-york/other-courts/2022-2022-ny-slip-op-32197-u.pdf?ts=1657833320</w:t>
        </w:r>
      </w:hyperlink>
    </w:p>
    <w:p w14:paraId="46B4B6F5" w14:textId="77777777" w:rsidR="006C4BDE" w:rsidRPr="00134EB1" w:rsidRDefault="006C4BDE" w:rsidP="006C4BDE">
      <w:pPr>
        <w:spacing w:before="100" w:beforeAutospacing="1" w:after="100" w:afterAutospacing="1" w:line="240" w:lineRule="auto"/>
        <w:rPr>
          <w:rFonts w:ascii="Times New Roman" w:eastAsia="Times New Roman" w:hAnsi="Times New Roman"/>
          <w:b/>
          <w:bCs/>
          <w:sz w:val="24"/>
          <w:szCs w:val="24"/>
        </w:rPr>
      </w:pPr>
      <w:r w:rsidRPr="00134EB1">
        <w:rPr>
          <w:rFonts w:ascii="Times New Roman" w:eastAsia="Times New Roman" w:hAnsi="Times New Roman"/>
          <w:b/>
          <w:bCs/>
          <w:sz w:val="24"/>
          <w:szCs w:val="24"/>
        </w:rPr>
        <w:t xml:space="preserve">Legal Lesson Learned: Nice to see Court recognizing </w:t>
      </w:r>
      <w:r w:rsidRPr="00134EB1">
        <w:rPr>
          <w:rFonts w:ascii="Times New Roman" w:hAnsi="Times New Roman"/>
          <w:b/>
          <w:bCs/>
          <w:sz w:val="24"/>
          <w:szCs w:val="24"/>
        </w:rPr>
        <w:t>that “years pass</w:t>
      </w:r>
      <w:r>
        <w:rPr>
          <w:rFonts w:ascii="Times New Roman" w:hAnsi="Times New Roman"/>
          <w:b/>
          <w:bCs/>
          <w:sz w:val="24"/>
          <w:szCs w:val="24"/>
        </w:rPr>
        <w:t xml:space="preserve"> </w:t>
      </w:r>
      <w:r w:rsidRPr="00134EB1">
        <w:rPr>
          <w:rFonts w:ascii="Times New Roman" w:hAnsi="Times New Roman"/>
          <w:b/>
          <w:bCs/>
          <w:sz w:val="24"/>
          <w:szCs w:val="24"/>
        </w:rPr>
        <w:t xml:space="preserve">and knees can get worse due to degenerative conditions,” but firefighter still entitled to ADR because this was clearly aggravated by </w:t>
      </w:r>
      <w:proofErr w:type="spellStart"/>
      <w:proofErr w:type="gramStart"/>
      <w:r w:rsidRPr="00134EB1">
        <w:rPr>
          <w:rFonts w:ascii="Times New Roman" w:hAnsi="Times New Roman"/>
          <w:b/>
          <w:bCs/>
          <w:sz w:val="24"/>
          <w:szCs w:val="24"/>
        </w:rPr>
        <w:t>a</w:t>
      </w:r>
      <w:proofErr w:type="spellEnd"/>
      <w:proofErr w:type="gramEnd"/>
      <w:r w:rsidRPr="00134EB1">
        <w:rPr>
          <w:rFonts w:ascii="Times New Roman" w:hAnsi="Times New Roman"/>
          <w:b/>
          <w:bCs/>
          <w:sz w:val="24"/>
          <w:szCs w:val="24"/>
        </w:rPr>
        <w:t xml:space="preserve"> on-the-job injury. </w:t>
      </w:r>
    </w:p>
    <w:p w14:paraId="146AE8C0" w14:textId="77777777" w:rsidR="006D2C51" w:rsidRDefault="006D2C51" w:rsidP="00EF1133">
      <w:pPr>
        <w:rPr>
          <w:rFonts w:ascii="Arial Black" w:hAnsi="Arial Black"/>
          <w:b/>
          <w:sz w:val="24"/>
          <w:szCs w:val="24"/>
        </w:rPr>
      </w:pPr>
    </w:p>
    <w:p w14:paraId="5E96F905" w14:textId="41F57F97" w:rsidR="007F3F5A" w:rsidRDefault="007F3F5A"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2</w:t>
      </w:r>
    </w:p>
    <w:p w14:paraId="2B5D5AD2" w14:textId="77777777" w:rsidR="007F3F5A" w:rsidRDefault="007F3F5A" w:rsidP="007F3F5A">
      <w:pPr>
        <w:spacing w:before="100" w:beforeAutospacing="1" w:after="100" w:afterAutospacing="1" w:line="240" w:lineRule="auto"/>
        <w:rPr>
          <w:rStyle w:val="markedcontent"/>
          <w:rFonts w:ascii="Arial Black" w:hAnsi="Arial Black"/>
          <w:sz w:val="28"/>
          <w:szCs w:val="28"/>
        </w:rPr>
      </w:pPr>
      <w:r>
        <w:rPr>
          <w:rStyle w:val="markedcontent"/>
          <w:rFonts w:ascii="Arial Black" w:hAnsi="Arial Black"/>
          <w:b/>
          <w:bCs/>
          <w:sz w:val="28"/>
          <w:szCs w:val="28"/>
        </w:rPr>
        <w:t>U.S. SUP. CT:  USERRA – TX STATE TROOPER RETURNING FROM IRAQ – LUNG ISSUES – CAN SUE IN STATE COURT</w:t>
      </w:r>
    </w:p>
    <w:p w14:paraId="3771FD9C" w14:textId="77777777" w:rsidR="007F3F5A" w:rsidRDefault="007F3F5A" w:rsidP="007F3F5A">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June 29, 2022, in </w:t>
      </w:r>
      <w:r>
        <w:rPr>
          <w:rStyle w:val="markedcontent"/>
          <w:rFonts w:ascii="Times New Roman" w:hAnsi="Times New Roman"/>
          <w:sz w:val="24"/>
          <w:szCs w:val="24"/>
          <w:u w:val="single"/>
        </w:rPr>
        <w:t>Torres v. Texas Department of Public Safety</w:t>
      </w:r>
      <w:r>
        <w:rPr>
          <w:rStyle w:val="markedcontent"/>
          <w:rFonts w:ascii="Times New Roman" w:hAnsi="Times New Roman"/>
          <w:sz w:val="24"/>
          <w:szCs w:val="24"/>
        </w:rPr>
        <w:t xml:space="preserve">, the U.S. Supreme Court held (4 to 0) that the former State Trooper can sue his employer in state court for violation of USERRA [Uniformed Services Employment and Reemployment Rights Act of 1994]; he is not required to sue in federal court.  Le Roy Torres returned from active military service in Iraq with lung issues from “burn pits” and </w:t>
      </w:r>
      <w:r>
        <w:rPr>
          <w:rFonts w:ascii="Times New Roman" w:hAnsi="Times New Roman"/>
          <w:sz w:val="24"/>
          <w:szCs w:val="24"/>
        </w:rPr>
        <w:t xml:space="preserve">but requested to be placed in a different position other than as a state trooper, since his lung damage precluded him from performing </w:t>
      </w:r>
      <w:proofErr w:type="gramStart"/>
      <w:r>
        <w:rPr>
          <w:rFonts w:ascii="Times New Roman" w:hAnsi="Times New Roman"/>
          <w:sz w:val="24"/>
          <w:szCs w:val="24"/>
        </w:rPr>
        <w:t>all of</w:t>
      </w:r>
      <w:proofErr w:type="gramEnd"/>
      <w:r>
        <w:rPr>
          <w:rFonts w:ascii="Times New Roman" w:hAnsi="Times New Roman"/>
          <w:sz w:val="24"/>
          <w:szCs w:val="24"/>
        </w:rPr>
        <w:t xml:space="preserve"> his duties. DPS declined the request and offered him a temporary position as a state trooper, stating that if he did not report to duty, his employment would be terminated. Torres resigned. He </w:t>
      </w:r>
      <w:proofErr w:type="gramStart"/>
      <w:r>
        <w:rPr>
          <w:rFonts w:ascii="Times New Roman" w:hAnsi="Times New Roman"/>
          <w:sz w:val="24"/>
          <w:szCs w:val="24"/>
        </w:rPr>
        <w:t>sued</w:t>
      </w:r>
      <w:proofErr w:type="gramEnd"/>
      <w:r>
        <w:rPr>
          <w:rFonts w:ascii="Times New Roman" w:hAnsi="Times New Roman"/>
          <w:sz w:val="24"/>
          <w:szCs w:val="24"/>
        </w:rPr>
        <w:t xml:space="preserve"> in state court, but Texas court of appeals said that </w:t>
      </w:r>
      <w:proofErr w:type="gramStart"/>
      <w:r>
        <w:rPr>
          <w:rFonts w:ascii="Times New Roman" w:hAnsi="Times New Roman"/>
          <w:sz w:val="24"/>
          <w:szCs w:val="24"/>
        </w:rPr>
        <w:t>he</w:t>
      </w:r>
      <w:proofErr w:type="gramEnd"/>
      <w:r>
        <w:rPr>
          <w:rFonts w:ascii="Times New Roman" w:hAnsi="Times New Roman"/>
          <w:sz w:val="24"/>
          <w:szCs w:val="24"/>
        </w:rPr>
        <w:t xml:space="preserve"> only remedy is in federal court.  The lawsuit will now proceed in State </w:t>
      </w:r>
      <w:proofErr w:type="gramStart"/>
      <w:r>
        <w:rPr>
          <w:rFonts w:ascii="Times New Roman" w:hAnsi="Times New Roman"/>
          <w:sz w:val="24"/>
          <w:szCs w:val="24"/>
        </w:rPr>
        <w:t>court</w:t>
      </w:r>
      <w:proofErr w:type="gramEnd"/>
      <w:r>
        <w:rPr>
          <w:rFonts w:ascii="Times New Roman" w:hAnsi="Times New Roman"/>
          <w:sz w:val="24"/>
          <w:szCs w:val="24"/>
        </w:rPr>
        <w:t xml:space="preserve"> and a jury will be asked to award damages. </w:t>
      </w:r>
      <w:hyperlink r:id="rId1186" w:history="1">
        <w:r>
          <w:rPr>
            <w:rStyle w:val="Hyperlink"/>
            <w:sz w:val="24"/>
            <w:szCs w:val="24"/>
          </w:rPr>
          <w:t>https://www.supremecourt.gov/opinions/21pdf/20-603_o758.pdf</w:t>
        </w:r>
      </w:hyperlink>
      <w:r>
        <w:rPr>
          <w:rStyle w:val="markedcontent"/>
          <w:rFonts w:ascii="Times New Roman" w:hAnsi="Times New Roman"/>
          <w:sz w:val="24"/>
          <w:szCs w:val="24"/>
        </w:rPr>
        <w:t xml:space="preserve"> </w:t>
      </w:r>
    </w:p>
    <w:p w14:paraId="7706807C" w14:textId="77777777" w:rsidR="007F3F5A" w:rsidRDefault="007F3F5A" w:rsidP="007F3F5A">
      <w:pPr>
        <w:spacing w:before="100" w:beforeAutospacing="1" w:after="100" w:afterAutospacing="1" w:line="240" w:lineRule="auto"/>
        <w:rPr>
          <w:b/>
          <w:bCs/>
        </w:rPr>
      </w:pPr>
      <w:r>
        <w:rPr>
          <w:rStyle w:val="markedcontent"/>
          <w:rFonts w:ascii="Times New Roman" w:hAnsi="Times New Roman"/>
          <w:b/>
          <w:bCs/>
          <w:sz w:val="24"/>
          <w:szCs w:val="24"/>
        </w:rPr>
        <w:t xml:space="preserve">Legal Lesson Learned: Fire &amp; EMS departments must comply with USERRA, and failure to comply can lead to lawsuits in State court with a jury awarding </w:t>
      </w:r>
      <w:proofErr w:type="gramStart"/>
      <w:r>
        <w:rPr>
          <w:rStyle w:val="markedcontent"/>
          <w:rFonts w:ascii="Times New Roman" w:hAnsi="Times New Roman"/>
          <w:b/>
          <w:bCs/>
          <w:sz w:val="24"/>
          <w:szCs w:val="24"/>
        </w:rPr>
        <w:t>damages</w:t>
      </w:r>
      <w:proofErr w:type="gramEnd"/>
      <w:r>
        <w:rPr>
          <w:rStyle w:val="markedcontent"/>
          <w:rFonts w:ascii="Times New Roman" w:hAnsi="Times New Roman"/>
          <w:b/>
          <w:bCs/>
          <w:sz w:val="24"/>
          <w:szCs w:val="24"/>
        </w:rPr>
        <w:t xml:space="preserve">. </w:t>
      </w:r>
    </w:p>
    <w:p w14:paraId="78E849A2" w14:textId="77777777" w:rsidR="007F3F5A" w:rsidRDefault="007F3F5A" w:rsidP="00EF1133">
      <w:pPr>
        <w:rPr>
          <w:rFonts w:ascii="Arial Black" w:hAnsi="Arial Black"/>
          <w:b/>
          <w:sz w:val="24"/>
          <w:szCs w:val="24"/>
        </w:rPr>
      </w:pPr>
    </w:p>
    <w:p w14:paraId="46FA1073" w14:textId="6F05E5E0" w:rsidR="00FC62FF" w:rsidRDefault="00FC62FF"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1</w:t>
      </w:r>
      <w:r w:rsidR="00156E5D">
        <w:rPr>
          <w:rFonts w:ascii="Arial Black" w:hAnsi="Arial Black"/>
          <w:b/>
          <w:sz w:val="24"/>
          <w:szCs w:val="24"/>
        </w:rPr>
        <w:t xml:space="preserve"> [also filed, Chap. 17]</w:t>
      </w:r>
    </w:p>
    <w:p w14:paraId="3D614908" w14:textId="77777777" w:rsidR="00FC62FF" w:rsidRDefault="00FC62FF" w:rsidP="00FC62F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FIRE CHIEF “RETIRE / REHIRE” NEXT DAY IS LAWFUL – CIVIL SERVICE POSTING JOB ONLY WHEN A “VACANCY” </w:t>
      </w:r>
    </w:p>
    <w:p w14:paraId="583B9C62" w14:textId="77777777" w:rsidR="00FC62FF" w:rsidRDefault="00FC62FF" w:rsidP="00FC62F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27, 2022, in </w:t>
      </w:r>
      <w:r>
        <w:rPr>
          <w:rFonts w:ascii="Times New Roman" w:hAnsi="Times New Roman"/>
          <w:sz w:val="24"/>
          <w:szCs w:val="24"/>
          <w:u w:val="single"/>
        </w:rPr>
        <w:t xml:space="preserve">State of Ohio ex re. The International Association of Fire Fighters, Local 1536, AFL-CIO v. John Barbush, In His Official Capacity </w:t>
      </w:r>
      <w:proofErr w:type="gramStart"/>
      <w:r>
        <w:rPr>
          <w:rFonts w:ascii="Times New Roman" w:hAnsi="Times New Roman"/>
          <w:sz w:val="24"/>
          <w:szCs w:val="24"/>
          <w:u w:val="single"/>
        </w:rPr>
        <w:t>As</w:t>
      </w:r>
      <w:proofErr w:type="gramEnd"/>
      <w:r>
        <w:rPr>
          <w:rFonts w:ascii="Times New Roman" w:hAnsi="Times New Roman"/>
          <w:sz w:val="24"/>
          <w:szCs w:val="24"/>
          <w:u w:val="single"/>
        </w:rPr>
        <w:t xml:space="preserve"> Maor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Director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Public Safety, et. al., and James G. Powers</w:t>
      </w:r>
      <w:r>
        <w:rPr>
          <w:rFonts w:ascii="Times New Roman" w:hAnsi="Times New Roman"/>
          <w:sz w:val="24"/>
          <w:szCs w:val="24"/>
        </w:rPr>
        <w:t xml:space="preserve">, the Court of Appeals of Ohio, Eleventh District (Lake County), held (2 to 1) that trial court properly held that there was no “vacancy” in the Fire Chiefs position since he retired on Jan. 6, 2020, and was rehired the next day. Local 1536 argued [and the Dissenting Judge agreed] that the position should have been </w:t>
      </w:r>
      <w:proofErr w:type="gramStart"/>
      <w:r>
        <w:rPr>
          <w:rFonts w:ascii="Times New Roman" w:hAnsi="Times New Roman"/>
          <w:sz w:val="24"/>
          <w:szCs w:val="24"/>
        </w:rPr>
        <w:t>submitted</w:t>
      </w:r>
      <w:proofErr w:type="gramEnd"/>
      <w:r>
        <w:rPr>
          <w:rFonts w:ascii="Times New Roman" w:hAnsi="Times New Roman"/>
          <w:sz w:val="24"/>
          <w:szCs w:val="24"/>
        </w:rPr>
        <w:t xml:space="preserve"> the City’s Civil Service Commission, and the position filled through a competitive promotional examination process where four Captains were eligible to apply. </w:t>
      </w:r>
      <w:hyperlink r:id="rId1187" w:history="1">
        <w:r>
          <w:rPr>
            <w:rStyle w:val="Hyperlink"/>
            <w:sz w:val="24"/>
            <w:szCs w:val="24"/>
          </w:rPr>
          <w:t>https://www.leagle.com/decision/inohco20220627386</w:t>
        </w:r>
      </w:hyperlink>
      <w:r>
        <w:rPr>
          <w:rFonts w:ascii="Times New Roman" w:hAnsi="Times New Roman"/>
          <w:sz w:val="24"/>
          <w:szCs w:val="24"/>
        </w:rPr>
        <w:t xml:space="preserve"> </w:t>
      </w:r>
    </w:p>
    <w:p w14:paraId="0B204B03" w14:textId="77777777" w:rsidR="00156E5D" w:rsidRDefault="00156E5D" w:rsidP="00156E5D">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In Ohio, other fire chiefs have also done “retire / rehire.” </w:t>
      </w:r>
    </w:p>
    <w:p w14:paraId="70EA6FE7"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For example, see: “Fairfield able to rehire retired fire chief” (March 15, 2011): </w:t>
      </w:r>
      <w:hyperlink r:id="rId1188" w:history="1">
        <w:r w:rsidRPr="00102BDF">
          <w:rPr>
            <w:rStyle w:val="Hyperlink"/>
            <w:b w:val="0"/>
            <w:bCs w:val="0"/>
            <w:sz w:val="24"/>
            <w:szCs w:val="24"/>
          </w:rPr>
          <w:t>https://www.journal-news.com/news/local/fairfield-able-rehire-retired-fire-chief/JMPkJQCqJ2eIDqbu2eI8RK/</w:t>
        </w:r>
      </w:hyperlink>
      <w:r w:rsidRPr="00102BDF">
        <w:rPr>
          <w:b w:val="0"/>
          <w:bCs w:val="0"/>
          <w:sz w:val="24"/>
          <w:szCs w:val="24"/>
        </w:rPr>
        <w:t xml:space="preserve"> </w:t>
      </w:r>
    </w:p>
    <w:p w14:paraId="6CD3EB80"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“West Carrollton to rehire fire chief after Valentine’s week retirement” (Feb. 13, 2019): </w:t>
      </w:r>
      <w:hyperlink r:id="rId1189" w:history="1">
        <w:r w:rsidRPr="00102BDF">
          <w:rPr>
            <w:rStyle w:val="Hyperlink"/>
            <w:b w:val="0"/>
            <w:bCs w:val="0"/>
            <w:sz w:val="24"/>
            <w:szCs w:val="24"/>
          </w:rPr>
          <w:t>https://www.daytondailynews.com/news/west-carrollton-rehire-fire-chief-after-valentine-week-retirement/XSsYoJpSmxdkIIZtoGUpzJ/</w:t>
        </w:r>
      </w:hyperlink>
      <w:r w:rsidRPr="00102BDF">
        <w:rPr>
          <w:b w:val="0"/>
          <w:bCs w:val="0"/>
          <w:sz w:val="24"/>
          <w:szCs w:val="24"/>
        </w:rPr>
        <w:t xml:space="preserve"> </w:t>
      </w:r>
    </w:p>
    <w:p w14:paraId="7E877B0F" w14:textId="77777777" w:rsidR="00FC62FF" w:rsidRDefault="00FC62FF" w:rsidP="00EF1133">
      <w:pPr>
        <w:rPr>
          <w:rFonts w:ascii="Arial Black" w:hAnsi="Arial Black"/>
          <w:b/>
          <w:sz w:val="24"/>
          <w:szCs w:val="24"/>
        </w:rPr>
      </w:pPr>
    </w:p>
    <w:p w14:paraId="363F5A16" w14:textId="77777777" w:rsidR="00FC62FF" w:rsidRDefault="00FC62FF" w:rsidP="00EF1133">
      <w:pPr>
        <w:rPr>
          <w:rFonts w:ascii="Arial Black" w:hAnsi="Arial Black"/>
          <w:b/>
          <w:sz w:val="24"/>
          <w:szCs w:val="24"/>
        </w:rPr>
      </w:pPr>
    </w:p>
    <w:p w14:paraId="57258129" w14:textId="77777777" w:rsidR="00FC62FF" w:rsidRDefault="00FC62FF" w:rsidP="00EF1133">
      <w:pPr>
        <w:rPr>
          <w:rFonts w:ascii="Arial Black" w:hAnsi="Arial Black"/>
          <w:b/>
          <w:sz w:val="24"/>
          <w:szCs w:val="24"/>
        </w:rPr>
      </w:pPr>
    </w:p>
    <w:p w14:paraId="29759BB5" w14:textId="6108A0CF" w:rsidR="0002742E" w:rsidRDefault="0002742E"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0</w:t>
      </w:r>
    </w:p>
    <w:p w14:paraId="5306DDBC" w14:textId="77777777" w:rsidR="0002742E" w:rsidRPr="00A8477F" w:rsidRDefault="0002742E" w:rsidP="0002742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ID: FF DIED LEUKEMIA – WIDOW WINS WORKER COMP APPEAL - STATE SUP. CT. STAUTORY </w:t>
      </w:r>
      <w:r>
        <w:rPr>
          <w:rFonts w:ascii="Arial Black" w:eastAsia="Times New Roman" w:hAnsi="Arial Black"/>
          <w:sz w:val="28"/>
          <w:szCs w:val="28"/>
        </w:rPr>
        <w:t>PRESUMPTION</w:t>
      </w:r>
    </w:p>
    <w:p w14:paraId="49754685" w14:textId="77777777" w:rsidR="0002742E" w:rsidRPr="00241167" w:rsidRDefault="0002742E" w:rsidP="0002742E">
      <w:pPr>
        <w:spacing w:before="100" w:beforeAutospacing="1" w:after="100" w:afterAutospacing="1" w:line="240" w:lineRule="auto"/>
        <w:rPr>
          <w:rFonts w:ascii="Times New Roman" w:eastAsia="Times New Roman" w:hAnsi="Times New Roman"/>
          <w:sz w:val="24"/>
          <w:szCs w:val="24"/>
        </w:rPr>
      </w:pPr>
      <w:r w:rsidRPr="00A8477F">
        <w:rPr>
          <w:rFonts w:ascii="Times New Roman" w:eastAsia="Times New Roman" w:hAnsi="Times New Roman"/>
          <w:sz w:val="24"/>
          <w:szCs w:val="24"/>
        </w:rPr>
        <w:t xml:space="preserve">On </w:t>
      </w:r>
      <w:r>
        <w:rPr>
          <w:rFonts w:ascii="Times New Roman" w:eastAsia="Times New Roman" w:hAnsi="Times New Roman"/>
          <w:sz w:val="24"/>
          <w:szCs w:val="24"/>
        </w:rPr>
        <w:t xml:space="preserve">April 29, 2022, in </w:t>
      </w:r>
      <w:r w:rsidRPr="00241167">
        <w:rPr>
          <w:rFonts w:ascii="Times New Roman" w:eastAsia="Times New Roman" w:hAnsi="Times New Roman"/>
          <w:sz w:val="24"/>
          <w:szCs w:val="24"/>
          <w:u w:val="single"/>
        </w:rPr>
        <w:t>Richard Nelson v. City of Pocatello</w:t>
      </w:r>
      <w:r>
        <w:rPr>
          <w:rFonts w:ascii="Times New Roman" w:eastAsia="Times New Roman" w:hAnsi="Times New Roman"/>
          <w:sz w:val="24"/>
          <w:szCs w:val="24"/>
        </w:rPr>
        <w:t xml:space="preserve">, the Supreme Court of Idaho held (5 to 0) that the 2016 statutory presumption statute is </w:t>
      </w:r>
      <w:proofErr w:type="gramStart"/>
      <w:r>
        <w:rPr>
          <w:rFonts w:ascii="Times New Roman" w:eastAsia="Times New Roman" w:hAnsi="Times New Roman"/>
          <w:sz w:val="24"/>
          <w:szCs w:val="24"/>
        </w:rPr>
        <w:t>constitutional</w:t>
      </w:r>
      <w:proofErr w:type="gramEnd"/>
      <w:r>
        <w:rPr>
          <w:rFonts w:ascii="Times New Roman" w:eastAsia="Times New Roman" w:hAnsi="Times New Roman"/>
          <w:sz w:val="24"/>
          <w:szCs w:val="24"/>
        </w:rPr>
        <w:t xml:space="preserve"> and the Industrial Commission properly held that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failed to present “substantial evidence” to rebut that presumption.  Richard Nelson served </w:t>
      </w:r>
      <w:proofErr w:type="gramStart"/>
      <w:r>
        <w:rPr>
          <w:rFonts w:ascii="Times New Roman" w:eastAsia="Times New Roman" w:hAnsi="Times New Roman"/>
          <w:sz w:val="24"/>
          <w:szCs w:val="24"/>
        </w:rPr>
        <w:t>21-years</w:t>
      </w:r>
      <w:proofErr w:type="gramEnd"/>
      <w:r>
        <w:rPr>
          <w:rFonts w:ascii="Times New Roman" w:eastAsia="Times New Roman" w:hAnsi="Times New Roman"/>
          <w:sz w:val="24"/>
          <w:szCs w:val="24"/>
        </w:rPr>
        <w:t xml:space="preserve"> as a career firefighter, retired in 2014 and in 2018 was diagnosed with </w:t>
      </w:r>
      <w:r w:rsidRPr="00241167">
        <w:rPr>
          <w:rFonts w:ascii="Times New Roman" w:hAnsi="Times New Roman"/>
          <w:sz w:val="24"/>
          <w:szCs w:val="24"/>
        </w:rPr>
        <w:t>early-stage chronic lymphocytic leukemia ("CLL")</w:t>
      </w:r>
      <w:r>
        <w:rPr>
          <w:rFonts w:ascii="Times New Roman" w:hAnsi="Times New Roman"/>
          <w:sz w:val="24"/>
          <w:szCs w:val="24"/>
        </w:rPr>
        <w:t xml:space="preserve">.  </w:t>
      </w:r>
      <w:hyperlink r:id="rId1190" w:history="1">
        <w:r w:rsidRPr="00C50FC4">
          <w:rPr>
            <w:rStyle w:val="Hyperlink"/>
            <w:rFonts w:ascii="Times New Roman" w:hAnsi="Times New Roman"/>
            <w:sz w:val="24"/>
            <w:szCs w:val="24"/>
          </w:rPr>
          <w:t>https://isc.idaho.gov/opinions/49171.pdf</w:t>
        </w:r>
      </w:hyperlink>
      <w:r>
        <w:rPr>
          <w:rFonts w:ascii="Times New Roman" w:hAnsi="Times New Roman"/>
          <w:sz w:val="24"/>
          <w:szCs w:val="24"/>
        </w:rPr>
        <w:t xml:space="preserve"> </w:t>
      </w:r>
    </w:p>
    <w:p w14:paraId="1359ADF3" w14:textId="77777777" w:rsidR="0002742E" w:rsidRPr="008066A3" w:rsidRDefault="0002742E" w:rsidP="0002742E">
      <w:pPr>
        <w:spacing w:before="100" w:beforeAutospacing="1" w:after="100" w:afterAutospacing="1" w:line="240" w:lineRule="auto"/>
        <w:ind w:left="90"/>
        <w:rPr>
          <w:rFonts w:ascii="Times New Roman" w:hAnsi="Times New Roman"/>
          <w:b/>
          <w:bCs/>
          <w:sz w:val="24"/>
          <w:szCs w:val="24"/>
        </w:rPr>
      </w:pPr>
      <w:r w:rsidRPr="008066A3">
        <w:rPr>
          <w:rFonts w:ascii="Times New Roman" w:hAnsi="Times New Roman"/>
          <w:b/>
          <w:bCs/>
          <w:sz w:val="24"/>
          <w:szCs w:val="24"/>
        </w:rPr>
        <w:t xml:space="preserve">Legal Lesson Learned: </w:t>
      </w:r>
      <w:r>
        <w:rPr>
          <w:rFonts w:ascii="Times New Roman" w:hAnsi="Times New Roman"/>
          <w:b/>
          <w:bCs/>
          <w:sz w:val="24"/>
          <w:szCs w:val="24"/>
        </w:rPr>
        <w:t xml:space="preserve">Excellent decision; Court also cited IAFF brief listing numerous decisions in other states upholding firefighter cancer statutory presumptions. </w:t>
      </w:r>
    </w:p>
    <w:p w14:paraId="2F6BAC63" w14:textId="77777777" w:rsidR="0002742E" w:rsidRDefault="0002742E" w:rsidP="00EF1133">
      <w:pPr>
        <w:rPr>
          <w:rFonts w:ascii="Arial Black" w:hAnsi="Arial Black"/>
          <w:b/>
          <w:sz w:val="24"/>
          <w:szCs w:val="24"/>
        </w:rPr>
      </w:pPr>
    </w:p>
    <w:p w14:paraId="1AC37D27" w14:textId="01A63BB3" w:rsidR="0002742E" w:rsidRDefault="0002742E"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89</w:t>
      </w:r>
    </w:p>
    <w:p w14:paraId="1F4CF0CE" w14:textId="77777777" w:rsidR="0002742E" w:rsidRPr="00C42D64" w:rsidRDefault="0002742E" w:rsidP="0002742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NV: FF RE-INJURED SHOULDER – CAN RE-OPEN WORKERS </w:t>
      </w:r>
      <w:r w:rsidRPr="00C42D64">
        <w:rPr>
          <w:rFonts w:ascii="Arial Black" w:eastAsia="Times New Roman" w:hAnsi="Arial Black"/>
          <w:sz w:val="28"/>
          <w:szCs w:val="28"/>
        </w:rPr>
        <w:t xml:space="preserve">COMP CLAIM BECAUSE </w:t>
      </w:r>
      <w:r>
        <w:rPr>
          <w:rFonts w:ascii="Arial Black" w:eastAsia="Times New Roman" w:hAnsi="Arial Black"/>
          <w:sz w:val="28"/>
          <w:szCs w:val="28"/>
        </w:rPr>
        <w:t xml:space="preserve">HE </w:t>
      </w:r>
      <w:r w:rsidRPr="00C42D64">
        <w:rPr>
          <w:rFonts w:ascii="Arial Black" w:eastAsia="Times New Roman" w:hAnsi="Arial Black"/>
          <w:sz w:val="28"/>
          <w:szCs w:val="28"/>
        </w:rPr>
        <w:t xml:space="preserve">LOST </w:t>
      </w:r>
      <w:r>
        <w:rPr>
          <w:rFonts w:ascii="Arial Black" w:eastAsia="Times New Roman" w:hAnsi="Arial Black"/>
          <w:sz w:val="28"/>
          <w:szCs w:val="28"/>
        </w:rPr>
        <w:t>INCOME</w:t>
      </w:r>
      <w:r w:rsidRPr="00C42D64">
        <w:rPr>
          <w:rFonts w:ascii="Arial Black" w:eastAsia="Times New Roman" w:hAnsi="Arial Black"/>
          <w:sz w:val="28"/>
          <w:szCs w:val="28"/>
        </w:rPr>
        <w:t xml:space="preserve"> </w:t>
      </w:r>
      <w:r>
        <w:rPr>
          <w:rFonts w:ascii="Arial Black" w:eastAsia="Times New Roman" w:hAnsi="Arial Black"/>
          <w:sz w:val="28"/>
          <w:szCs w:val="28"/>
        </w:rPr>
        <w:t xml:space="preserve">FIRST INJURY </w:t>
      </w:r>
    </w:p>
    <w:p w14:paraId="65BED98A" w14:textId="77777777" w:rsidR="0002742E" w:rsidRDefault="0002742E" w:rsidP="0002742E">
      <w:pPr>
        <w:spacing w:before="100" w:beforeAutospacing="1" w:after="100" w:afterAutospacing="1" w:line="240" w:lineRule="auto"/>
        <w:rPr>
          <w:rFonts w:ascii="Times New Roman" w:eastAsia="Times New Roman" w:hAnsi="Times New Roman"/>
          <w:sz w:val="24"/>
          <w:szCs w:val="24"/>
        </w:rPr>
      </w:pPr>
      <w:r w:rsidRPr="00C42D64">
        <w:rPr>
          <w:rFonts w:ascii="Times New Roman" w:eastAsia="Times New Roman" w:hAnsi="Times New Roman"/>
          <w:sz w:val="24"/>
          <w:szCs w:val="24"/>
        </w:rPr>
        <w:t xml:space="preserve">On </w:t>
      </w:r>
      <w:r>
        <w:rPr>
          <w:rFonts w:ascii="Times New Roman" w:eastAsia="Times New Roman" w:hAnsi="Times New Roman"/>
          <w:sz w:val="24"/>
          <w:szCs w:val="24"/>
        </w:rPr>
        <w:t xml:space="preserve">April 20, 2022, in </w:t>
      </w:r>
      <w:r w:rsidRPr="00C42D64">
        <w:rPr>
          <w:rFonts w:ascii="Times New Roman" w:eastAsia="Times New Roman" w:hAnsi="Times New Roman"/>
          <w:sz w:val="24"/>
          <w:szCs w:val="24"/>
          <w:u w:val="single"/>
        </w:rPr>
        <w:t>City of Henderson, et al. v. Jason Law</w:t>
      </w:r>
      <w:r>
        <w:rPr>
          <w:rFonts w:ascii="Times New Roman" w:eastAsia="Times New Roman" w:hAnsi="Times New Roman"/>
          <w:sz w:val="24"/>
          <w:szCs w:val="24"/>
        </w:rPr>
        <w:t xml:space="preserve">, the Court of Appeals of Nevada, held (3 to 0), unpublished decision, that the firefighter under state law was entitled to re-open his claim for “lifetime” since he lost wage during the first injury – overtime pay while on light duty.  The firefighter injured his left shoulder on duty in 2021, and for two months while on light duty he was not eligible for overtime; in Aug. 2016 he reinjured it in a </w:t>
      </w:r>
      <w:proofErr w:type="gramStart"/>
      <w:r>
        <w:rPr>
          <w:rFonts w:ascii="Times New Roman" w:eastAsia="Times New Roman" w:hAnsi="Times New Roman"/>
          <w:sz w:val="24"/>
          <w:szCs w:val="24"/>
        </w:rPr>
        <w:t>firefighters</w:t>
      </w:r>
      <w:proofErr w:type="gramEnd"/>
      <w:r>
        <w:rPr>
          <w:rFonts w:ascii="Times New Roman" w:eastAsia="Times New Roman" w:hAnsi="Times New Roman"/>
          <w:sz w:val="24"/>
          <w:szCs w:val="24"/>
        </w:rPr>
        <w:t xml:space="preserve"> versus police officers football game. </w:t>
      </w:r>
      <w:hyperlink r:id="rId1191" w:history="1">
        <w:r w:rsidRPr="00C50FC4">
          <w:rPr>
            <w:rStyle w:val="Hyperlink"/>
            <w:rFonts w:ascii="Times New Roman" w:eastAsia="Times New Roman" w:hAnsi="Times New Roman"/>
            <w:sz w:val="24"/>
            <w:szCs w:val="24"/>
          </w:rPr>
          <w:t>https://casetext.com/case/city-of-henderson-v-law</w:t>
        </w:r>
      </w:hyperlink>
      <w:r>
        <w:rPr>
          <w:rFonts w:ascii="Times New Roman" w:eastAsia="Times New Roman" w:hAnsi="Times New Roman"/>
          <w:sz w:val="24"/>
          <w:szCs w:val="24"/>
        </w:rPr>
        <w:t xml:space="preserve">  </w:t>
      </w:r>
    </w:p>
    <w:p w14:paraId="466F4150" w14:textId="77777777" w:rsidR="0009438D" w:rsidRDefault="0002742E" w:rsidP="0002742E">
      <w:pPr>
        <w:spacing w:before="100" w:beforeAutospacing="1" w:after="100" w:afterAutospacing="1" w:line="240" w:lineRule="auto"/>
        <w:rPr>
          <w:rFonts w:ascii="Times New Roman" w:eastAsia="Times New Roman" w:hAnsi="Times New Roman"/>
          <w:b/>
          <w:bCs/>
          <w:sz w:val="24"/>
          <w:szCs w:val="24"/>
        </w:rPr>
      </w:pPr>
      <w:r w:rsidRPr="00B174B3">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Under this decision, </w:t>
      </w:r>
      <w:proofErr w:type="gramStart"/>
      <w:r>
        <w:rPr>
          <w:rFonts w:ascii="Times New Roman" w:eastAsia="Times New Roman" w:hAnsi="Times New Roman"/>
          <w:b/>
          <w:bCs/>
          <w:sz w:val="24"/>
          <w:szCs w:val="24"/>
        </w:rPr>
        <w:t>loss wages</w:t>
      </w:r>
      <w:proofErr w:type="gramEnd"/>
      <w:r>
        <w:rPr>
          <w:rFonts w:ascii="Times New Roman" w:eastAsia="Times New Roman" w:hAnsi="Times New Roman"/>
          <w:b/>
          <w:bCs/>
          <w:sz w:val="24"/>
          <w:szCs w:val="24"/>
        </w:rPr>
        <w:t xml:space="preserve"> </w:t>
      </w:r>
      <w:proofErr w:type="gramStart"/>
      <w:r>
        <w:rPr>
          <w:rFonts w:ascii="Times New Roman" w:eastAsia="Times New Roman" w:hAnsi="Times New Roman"/>
          <w:b/>
          <w:bCs/>
          <w:sz w:val="24"/>
          <w:szCs w:val="24"/>
        </w:rPr>
        <w:t>includes</w:t>
      </w:r>
      <w:proofErr w:type="gramEnd"/>
      <w:r>
        <w:rPr>
          <w:rFonts w:ascii="Times New Roman" w:eastAsia="Times New Roman" w:hAnsi="Times New Roman"/>
          <w:b/>
          <w:bCs/>
          <w:sz w:val="24"/>
          <w:szCs w:val="24"/>
        </w:rPr>
        <w:t xml:space="preserve"> loss of overtime pay.  </w:t>
      </w:r>
    </w:p>
    <w:p w14:paraId="156E99C6" w14:textId="7B602E4D" w:rsidR="0009438D" w:rsidRPr="0009438D" w:rsidRDefault="0009438D" w:rsidP="0009438D">
      <w:pPr>
        <w:spacing w:before="100" w:beforeAutospacing="1" w:after="100" w:afterAutospacing="1" w:line="240" w:lineRule="auto"/>
        <w:ind w:left="720"/>
      </w:pPr>
      <w:r w:rsidRPr="0009438D">
        <w:rPr>
          <w:rFonts w:ascii="Times New Roman" w:eastAsia="Times New Roman" w:hAnsi="Times New Roman"/>
          <w:sz w:val="24"/>
          <w:szCs w:val="24"/>
        </w:rPr>
        <w:t xml:space="preserve">Note: To avoid workers </w:t>
      </w:r>
      <w:proofErr w:type="gramStart"/>
      <w:r w:rsidRPr="0009438D">
        <w:rPr>
          <w:rFonts w:ascii="Times New Roman" w:eastAsia="Times New Roman" w:hAnsi="Times New Roman"/>
          <w:sz w:val="24"/>
          <w:szCs w:val="24"/>
        </w:rPr>
        <w:t>comp liability</w:t>
      </w:r>
      <w:proofErr w:type="gramEnd"/>
      <w:r w:rsidRPr="0009438D">
        <w:rPr>
          <w:rFonts w:ascii="Times New Roman" w:eastAsia="Times New Roman" w:hAnsi="Times New Roman"/>
          <w:sz w:val="24"/>
          <w:szCs w:val="24"/>
        </w:rPr>
        <w:t xml:space="preserve"> for personnel playing in off-duty sporting events, some employers will require </w:t>
      </w:r>
      <w:proofErr w:type="gramStart"/>
      <w:r w:rsidRPr="0009438D">
        <w:rPr>
          <w:rFonts w:ascii="Times New Roman" w:eastAsia="Times New Roman" w:hAnsi="Times New Roman"/>
          <w:sz w:val="24"/>
          <w:szCs w:val="24"/>
        </w:rPr>
        <w:t>employee</w:t>
      </w:r>
      <w:proofErr w:type="gramEnd"/>
      <w:r w:rsidRPr="0009438D">
        <w:rPr>
          <w:rFonts w:ascii="Times New Roman" w:eastAsia="Times New Roman" w:hAnsi="Times New Roman"/>
          <w:sz w:val="24"/>
          <w:szCs w:val="24"/>
        </w:rPr>
        <w:t xml:space="preserve"> to sign a waiver. </w:t>
      </w:r>
      <w:r>
        <w:rPr>
          <w:rFonts w:ascii="Times New Roman" w:eastAsia="Times New Roman" w:hAnsi="Times New Roman"/>
          <w:sz w:val="24"/>
          <w:szCs w:val="24"/>
        </w:rPr>
        <w:t xml:space="preserve">See Ohio BWC: </w:t>
      </w:r>
      <w:r>
        <w:rPr>
          <w:rFonts w:ascii="Times New Roman" w:hAnsi="Times New Roman"/>
          <w:sz w:val="24"/>
          <w:szCs w:val="24"/>
        </w:rPr>
        <w:t>“</w:t>
      </w:r>
      <w:r w:rsidRPr="0009438D">
        <w:rPr>
          <w:rFonts w:ascii="Times New Roman" w:hAnsi="Times New Roman"/>
          <w:sz w:val="24"/>
          <w:szCs w:val="24"/>
        </w:rPr>
        <w:t xml:space="preserve">It's BWC's policy that an injury or disability incurred during voluntary participation in an employer sponsored recreation or fitness activity is </w:t>
      </w:r>
      <w:r w:rsidRPr="0009438D">
        <w:rPr>
          <w:rStyle w:val="Strong"/>
          <w:rFonts w:ascii="Times New Roman" w:hAnsi="Times New Roman"/>
          <w:sz w:val="24"/>
          <w:szCs w:val="24"/>
        </w:rPr>
        <w:t>not</w:t>
      </w:r>
      <w:r w:rsidRPr="0009438D">
        <w:rPr>
          <w:rFonts w:ascii="Times New Roman" w:hAnsi="Times New Roman"/>
          <w:sz w:val="24"/>
          <w:szCs w:val="24"/>
        </w:rPr>
        <w:t xml:space="preserve"> compensable</w:t>
      </w:r>
      <w:r w:rsidRPr="0009438D">
        <w:rPr>
          <w:rStyle w:val="Strong"/>
          <w:rFonts w:ascii="Times New Roman" w:hAnsi="Times New Roman"/>
          <w:sz w:val="24"/>
          <w:szCs w:val="24"/>
        </w:rPr>
        <w:t xml:space="preserve"> if </w:t>
      </w:r>
      <w:r w:rsidRPr="0009438D">
        <w:rPr>
          <w:rFonts w:ascii="Times New Roman" w:hAnsi="Times New Roman"/>
          <w:sz w:val="24"/>
          <w:szCs w:val="24"/>
        </w:rPr>
        <w:t>the injured worker signed a waiver of the right to workers' compensation benefits prior to engaging in the recreation or fitness activity.</w:t>
      </w:r>
      <w:r>
        <w:rPr>
          <w:rFonts w:ascii="Times New Roman" w:hAnsi="Times New Roman"/>
          <w:sz w:val="24"/>
          <w:szCs w:val="24"/>
        </w:rPr>
        <w:t xml:space="preserve">” </w:t>
      </w:r>
      <w:hyperlink r:id="rId1192" w:history="1">
        <w:r w:rsidRPr="00107D95">
          <w:rPr>
            <w:rStyle w:val="Hyperlink"/>
            <w:rFonts w:ascii="Times New Roman" w:hAnsi="Times New Roman"/>
            <w:sz w:val="24"/>
            <w:szCs w:val="24"/>
          </w:rPr>
          <w:t>https://info.bwc.ohio.gov/for-employers/workers-compensation-claims/recreational-waiver</w:t>
        </w:r>
      </w:hyperlink>
      <w:r>
        <w:rPr>
          <w:rFonts w:ascii="Times New Roman" w:hAnsi="Times New Roman"/>
          <w:sz w:val="24"/>
          <w:szCs w:val="24"/>
        </w:rPr>
        <w:t xml:space="preserve"> </w:t>
      </w:r>
    </w:p>
    <w:p w14:paraId="4F7A5F60" w14:textId="77777777" w:rsidR="0002742E" w:rsidRDefault="0002742E" w:rsidP="00EF1133">
      <w:pPr>
        <w:rPr>
          <w:rFonts w:ascii="Arial Black" w:hAnsi="Arial Black"/>
          <w:b/>
          <w:sz w:val="24"/>
          <w:szCs w:val="24"/>
        </w:rPr>
      </w:pPr>
    </w:p>
    <w:p w14:paraId="1CFC6FD3" w14:textId="45A014E4" w:rsidR="00727951" w:rsidRDefault="00727951"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8</w:t>
      </w:r>
    </w:p>
    <w:p w14:paraId="788BC477" w14:textId="77777777" w:rsidR="00727951" w:rsidRPr="00421F16" w:rsidRDefault="00727951" w:rsidP="007279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FF PAY - CITY COUNCIL DOES NOT HAVE TO COMPARE PAY FF IN 5 CITIES – “MEASURE F” UNENFORCEABLE</w:t>
      </w:r>
    </w:p>
    <w:p w14:paraId="24FCF342" w14:textId="77777777" w:rsidR="00727951" w:rsidRDefault="00727951" w:rsidP="0072795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24, 2022, in </w:t>
      </w:r>
      <w:r w:rsidRPr="00421F16">
        <w:rPr>
          <w:rFonts w:ascii="Times New Roman" w:eastAsia="Times New Roman" w:hAnsi="Times New Roman"/>
          <w:sz w:val="24"/>
          <w:szCs w:val="24"/>
          <w:u w:val="single"/>
        </w:rPr>
        <w:t>Pacifica Firefighters Association v. City of Pacifica</w:t>
      </w:r>
      <w:r>
        <w:rPr>
          <w:rFonts w:ascii="Times New Roman" w:eastAsia="Times New Roman" w:hAnsi="Times New Roman"/>
          <w:sz w:val="24"/>
          <w:szCs w:val="24"/>
        </w:rPr>
        <w:t xml:space="preserve">, the California Court of Appeals, First District (Second Division) held (3 to 0) that the trial court judge properly denied the FF Association’s petition requiring the City to follow “Measure F” after an impasse in negotiations in 2019.  </w:t>
      </w:r>
      <w:hyperlink r:id="rId1193" w:history="1">
        <w:r w:rsidRPr="00B25BE6">
          <w:rPr>
            <w:rStyle w:val="Hyperlink"/>
            <w:rFonts w:ascii="Times New Roman" w:eastAsia="Times New Roman" w:hAnsi="Times New Roman"/>
            <w:sz w:val="24"/>
            <w:szCs w:val="24"/>
          </w:rPr>
          <w:t>https://law.justia.com/cases/california/court-of-appeal/2022/a161575.html</w:t>
        </w:r>
      </w:hyperlink>
      <w:r>
        <w:rPr>
          <w:rFonts w:ascii="Times New Roman" w:eastAsia="Times New Roman" w:hAnsi="Times New Roman"/>
          <w:sz w:val="24"/>
          <w:szCs w:val="24"/>
        </w:rPr>
        <w:t xml:space="preserve"> </w:t>
      </w:r>
    </w:p>
    <w:p w14:paraId="170CDF5B" w14:textId="77777777" w:rsidR="00727951" w:rsidRDefault="00727951" w:rsidP="0072795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036D7B">
        <w:rPr>
          <w:rFonts w:ascii="Times New Roman" w:hAnsi="Times New Roman"/>
          <w:sz w:val="24"/>
          <w:szCs w:val="24"/>
        </w:rPr>
        <w:t xml:space="preserve">Measure F addresses the compensation of employees in a single city department; the voters sought to ensure that if negotiations failed, firefighters in Pacifica would receive compensation commensurate with that of firefighters in neighboring cities. Laudable as their purpose may have been, the voters were considering one part of a complicated puzzle in isolation. Voters do not have access to the detailed financial information necessary to see the puzzle as a whole and weigh competing demands on a finite city treasury. In specifically directing the </w:t>
      </w:r>
      <w:r>
        <w:rPr>
          <w:rFonts w:ascii="Times New Roman" w:hAnsi="Times New Roman"/>
          <w:sz w:val="24"/>
          <w:szCs w:val="24"/>
        </w:rPr>
        <w:t>‘</w:t>
      </w:r>
      <w:r w:rsidRPr="00036D7B">
        <w:rPr>
          <w:rFonts w:ascii="Times New Roman" w:hAnsi="Times New Roman"/>
          <w:sz w:val="24"/>
          <w:szCs w:val="24"/>
        </w:rPr>
        <w:t>city council</w:t>
      </w:r>
      <w:r>
        <w:rPr>
          <w:rFonts w:ascii="Times New Roman" w:hAnsi="Times New Roman"/>
          <w:sz w:val="24"/>
          <w:szCs w:val="24"/>
        </w:rPr>
        <w:t>’</w:t>
      </w:r>
      <w:r w:rsidRPr="00036D7B">
        <w:rPr>
          <w:rFonts w:ascii="Times New Roman" w:hAnsi="Times New Roman"/>
          <w:sz w:val="24"/>
          <w:szCs w:val="24"/>
        </w:rPr>
        <w:t xml:space="preserve"> to </w:t>
      </w:r>
      <w:r>
        <w:rPr>
          <w:rFonts w:ascii="Times New Roman" w:hAnsi="Times New Roman"/>
          <w:sz w:val="24"/>
          <w:szCs w:val="24"/>
        </w:rPr>
        <w:t>‘</w:t>
      </w:r>
      <w:r w:rsidRPr="00036D7B">
        <w:rPr>
          <w:rFonts w:ascii="Times New Roman" w:hAnsi="Times New Roman"/>
          <w:sz w:val="24"/>
          <w:szCs w:val="24"/>
        </w:rPr>
        <w:t>fix the compensation of all appointive officers and employees</w:t>
      </w:r>
      <w:r>
        <w:rPr>
          <w:rFonts w:ascii="Times New Roman" w:hAnsi="Times New Roman"/>
          <w:sz w:val="24"/>
          <w:szCs w:val="24"/>
        </w:rPr>
        <w:t>’</w:t>
      </w:r>
      <w:r w:rsidRPr="00036D7B">
        <w:rPr>
          <w:rFonts w:ascii="Times New Roman" w:hAnsi="Times New Roman"/>
          <w:sz w:val="24"/>
          <w:szCs w:val="24"/>
        </w:rPr>
        <w:t xml:space="preserve"> (§ 36506), the Legislature must have intended to avoid the disruption to city operations that could result if the electorate could require a general law city to pay its firefighters higher salaries than the city council deemed appropriate by requiring salaries no less than those in another jurisdiction.</w:t>
      </w:r>
      <w:r>
        <w:rPr>
          <w:rFonts w:ascii="Times New Roman" w:hAnsi="Times New Roman"/>
          <w:sz w:val="24"/>
          <w:szCs w:val="24"/>
        </w:rPr>
        <w:t xml:space="preserve"> </w:t>
      </w:r>
      <w:r w:rsidRPr="00036D7B">
        <w:rPr>
          <w:rFonts w:ascii="Times New Roman" w:hAnsi="Times New Roman"/>
          <w:sz w:val="24"/>
          <w:szCs w:val="24"/>
        </w:rPr>
        <w:t xml:space="preserve">We therefore agree with the trial court that Measure F is unenforceable as a usurpation of authority the Legislature granted exclusively to the city </w:t>
      </w:r>
      <w:proofErr w:type="gramStart"/>
      <w:r w:rsidRPr="00036D7B">
        <w:rPr>
          <w:rFonts w:ascii="Times New Roman" w:hAnsi="Times New Roman"/>
          <w:sz w:val="24"/>
          <w:szCs w:val="24"/>
        </w:rPr>
        <w:t>council.</w:t>
      </w:r>
      <w:r>
        <w:rPr>
          <w:rFonts w:ascii="Times New Roman" w:hAnsi="Times New Roman"/>
          <w:sz w:val="24"/>
          <w:szCs w:val="24"/>
        </w:rPr>
        <w:t>”</w:t>
      </w:r>
      <w:proofErr w:type="gramEnd"/>
      <w:r>
        <w:rPr>
          <w:rFonts w:ascii="Times New Roman" w:hAnsi="Times New Roman"/>
          <w:sz w:val="24"/>
          <w:szCs w:val="24"/>
        </w:rPr>
        <w:t xml:space="preserve"> </w:t>
      </w:r>
      <w:hyperlink r:id="rId1194" w:history="1">
        <w:r w:rsidRPr="00B25BE6">
          <w:rPr>
            <w:rStyle w:val="Hyperlink"/>
            <w:rFonts w:ascii="Times New Roman" w:eastAsia="Times New Roman" w:hAnsi="Times New Roman"/>
            <w:sz w:val="24"/>
            <w:szCs w:val="24"/>
          </w:rPr>
          <w:t>https://law.justia.com/cases/california/court-of-appeal/2022/a161575.html</w:t>
        </w:r>
      </w:hyperlink>
      <w:r>
        <w:rPr>
          <w:rFonts w:ascii="Times New Roman" w:eastAsia="Times New Roman" w:hAnsi="Times New Roman"/>
          <w:sz w:val="24"/>
          <w:szCs w:val="24"/>
        </w:rPr>
        <w:t xml:space="preserve"> </w:t>
      </w:r>
    </w:p>
    <w:p w14:paraId="1675592E" w14:textId="77777777" w:rsidR="00727951" w:rsidRDefault="00727951" w:rsidP="00727951">
      <w:pPr>
        <w:spacing w:before="100" w:beforeAutospacing="1" w:after="100" w:afterAutospacing="1" w:line="240" w:lineRule="auto"/>
        <w:rPr>
          <w:rFonts w:ascii="Times New Roman" w:eastAsia="Times New Roman" w:hAnsi="Times New Roman"/>
          <w:b/>
          <w:bCs/>
          <w:sz w:val="24"/>
          <w:szCs w:val="24"/>
        </w:rPr>
      </w:pPr>
      <w:r w:rsidRPr="00036D7B">
        <w:rPr>
          <w:rFonts w:ascii="Times New Roman" w:eastAsia="Times New Roman" w:hAnsi="Times New Roman"/>
          <w:b/>
          <w:bCs/>
          <w:sz w:val="24"/>
          <w:szCs w:val="24"/>
        </w:rPr>
        <w:t xml:space="preserve">Legal Lesson Learned: </w:t>
      </w:r>
      <w:r w:rsidRPr="00DC6AC7">
        <w:rPr>
          <w:rFonts w:ascii="Times New Roman" w:eastAsia="Times New Roman" w:hAnsi="Times New Roman"/>
          <w:b/>
          <w:bCs/>
          <w:sz w:val="24"/>
          <w:szCs w:val="24"/>
        </w:rPr>
        <w:t xml:space="preserve">The </w:t>
      </w:r>
      <w:r>
        <w:rPr>
          <w:rFonts w:ascii="Times New Roman" w:eastAsia="Times New Roman" w:hAnsi="Times New Roman"/>
          <w:b/>
          <w:bCs/>
          <w:sz w:val="24"/>
          <w:szCs w:val="24"/>
        </w:rPr>
        <w:t>California</w:t>
      </w:r>
      <w:r w:rsidRPr="00DC6AC7">
        <w:rPr>
          <w:rFonts w:ascii="Times New Roman" w:eastAsia="Times New Roman" w:hAnsi="Times New Roman"/>
          <w:b/>
          <w:bCs/>
          <w:sz w:val="24"/>
          <w:szCs w:val="24"/>
        </w:rPr>
        <w:t xml:space="preserve"> legislature has enacted procedures when the parties are at an impasse in negotiations</w:t>
      </w:r>
      <w:r>
        <w:rPr>
          <w:rFonts w:ascii="Times New Roman" w:eastAsia="Times New Roman" w:hAnsi="Times New Roman"/>
          <w:b/>
          <w:bCs/>
          <w:sz w:val="24"/>
          <w:szCs w:val="24"/>
        </w:rPr>
        <w:t>, and city voters cannot overturn those provisions.</w:t>
      </w:r>
      <w:r w:rsidRPr="00DC6AC7">
        <w:rPr>
          <w:rFonts w:ascii="Times New Roman" w:eastAsia="Times New Roman" w:hAnsi="Times New Roman"/>
          <w:b/>
          <w:bCs/>
          <w:sz w:val="24"/>
          <w:szCs w:val="24"/>
        </w:rPr>
        <w:t xml:space="preserve"> </w:t>
      </w:r>
    </w:p>
    <w:p w14:paraId="0977A79C" w14:textId="2EEAEB2A" w:rsidR="00727951" w:rsidRDefault="00727951" w:rsidP="00727951">
      <w:pPr>
        <w:rPr>
          <w:rFonts w:ascii="Arial Black" w:hAnsi="Arial Black"/>
          <w:b/>
          <w:sz w:val="24"/>
          <w:szCs w:val="24"/>
        </w:rPr>
      </w:pPr>
      <w:r w:rsidRPr="0039112E">
        <w:rPr>
          <w:rFonts w:ascii="Times New Roman" w:eastAsia="Times New Roman" w:hAnsi="Times New Roman"/>
          <w:sz w:val="24"/>
          <w:szCs w:val="24"/>
        </w:rPr>
        <w:t>Note: “</w:t>
      </w:r>
      <w:r w:rsidRPr="0039112E">
        <w:rPr>
          <w:rFonts w:ascii="Times New Roman" w:hAnsi="Times New Roman"/>
          <w:sz w:val="24"/>
          <w:szCs w:val="24"/>
        </w:rPr>
        <w:t xml:space="preserve">The Meyers-Milias-Brown Act (1968) governs the labor-management relations in California local government, including cities, counties, and most special districts.” </w:t>
      </w:r>
      <w:hyperlink r:id="rId1195" w:history="1">
        <w:r w:rsidRPr="0039112E">
          <w:rPr>
            <w:rStyle w:val="Hyperlink"/>
            <w:rFonts w:ascii="Times New Roman" w:hAnsi="Times New Roman"/>
            <w:sz w:val="24"/>
            <w:szCs w:val="24"/>
          </w:rPr>
          <w:t>https://capeunion.org/contracts/meyers-milias-brown-act</w:t>
        </w:r>
      </w:hyperlink>
    </w:p>
    <w:p w14:paraId="7FBFE8AF" w14:textId="77777777" w:rsidR="00727951" w:rsidRDefault="00727951" w:rsidP="00EF1133">
      <w:pPr>
        <w:rPr>
          <w:rFonts w:ascii="Arial Black" w:hAnsi="Arial Black"/>
          <w:b/>
          <w:sz w:val="24"/>
          <w:szCs w:val="24"/>
        </w:rPr>
      </w:pPr>
    </w:p>
    <w:p w14:paraId="60736E6A" w14:textId="77777777" w:rsidR="00727951" w:rsidRDefault="00727951" w:rsidP="00EF1133">
      <w:pPr>
        <w:rPr>
          <w:rFonts w:ascii="Arial Black" w:hAnsi="Arial Black"/>
          <w:b/>
          <w:sz w:val="24"/>
          <w:szCs w:val="24"/>
        </w:rPr>
      </w:pPr>
    </w:p>
    <w:p w14:paraId="3649F5DE" w14:textId="230CC917" w:rsidR="009A3D9F" w:rsidRDefault="009A3D9F"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7</w:t>
      </w:r>
    </w:p>
    <w:p w14:paraId="35683431" w14:textId="77777777" w:rsidR="009A3D9F" w:rsidRPr="006122C5"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STATE “CATASTROPHIC INJURY” BENEFITS – CITY CAN’T DENY TO FF / PD WHO CAN DO “GAINFUL WORK”</w:t>
      </w:r>
    </w:p>
    <w:p w14:paraId="79A7036E" w14:textId="77777777" w:rsidR="009A3D9F" w:rsidRDefault="009A3D9F" w:rsidP="009A3D9F">
      <w:pPr>
        <w:spacing w:before="100" w:beforeAutospacing="1" w:after="100" w:afterAutospacing="1" w:line="240" w:lineRule="auto"/>
        <w:rPr>
          <w:rFonts w:ascii="Times New Roman" w:eastAsia="Times New Roman" w:hAnsi="Times New Roman"/>
          <w:sz w:val="24"/>
          <w:szCs w:val="24"/>
        </w:rPr>
      </w:pPr>
      <w:r w:rsidRPr="004E0E0D">
        <w:rPr>
          <w:rFonts w:ascii="Times New Roman" w:eastAsia="Times New Roman" w:hAnsi="Times New Roman"/>
          <w:sz w:val="24"/>
          <w:szCs w:val="24"/>
        </w:rPr>
        <w:t>On Jan. 21, 2022</w:t>
      </w:r>
      <w:r>
        <w:rPr>
          <w:rFonts w:ascii="Times New Roman" w:eastAsia="Times New Roman" w:hAnsi="Times New Roman"/>
          <w:sz w:val="24"/>
          <w:szCs w:val="24"/>
        </w:rPr>
        <w:t xml:space="preserve">, </w:t>
      </w:r>
      <w:r w:rsidRPr="004E0E0D">
        <w:rPr>
          <w:rFonts w:ascii="Times New Roman" w:eastAsia="Times New Roman" w:hAnsi="Times New Roman"/>
          <w:sz w:val="24"/>
          <w:szCs w:val="24"/>
        </w:rPr>
        <w:t xml:space="preserve">in </w:t>
      </w:r>
      <w:r w:rsidRPr="004E0E0D">
        <w:rPr>
          <w:rFonts w:ascii="Times New Roman" w:eastAsia="Times New Roman" w:hAnsi="Times New Roman"/>
          <w:sz w:val="24"/>
          <w:szCs w:val="24"/>
          <w:u w:val="single"/>
        </w:rPr>
        <w:t>IAFF Local 50 v. The City of Peoria</w:t>
      </w:r>
      <w:r w:rsidRPr="004E0E0D">
        <w:rPr>
          <w:rFonts w:ascii="Times New Roman" w:eastAsia="Times New Roman" w:hAnsi="Times New Roman"/>
          <w:sz w:val="24"/>
          <w:szCs w:val="24"/>
        </w:rPr>
        <w:t>, the Supreme Court of Illinois held (7 to 0)</w:t>
      </w:r>
      <w:r>
        <w:rPr>
          <w:rFonts w:ascii="Times New Roman" w:eastAsia="Times New Roman" w:hAnsi="Times New Roman"/>
          <w:sz w:val="24"/>
          <w:szCs w:val="24"/>
        </w:rPr>
        <w:t>, that the city does not have “home rule” authority to enact an ordinance restricting state pension law for career firefighters and police officers. “</w:t>
      </w:r>
      <w:r w:rsidRPr="00E32542">
        <w:rPr>
          <w:rFonts w:ascii="Times New Roman" w:eastAsia="Times New Roman" w:hAnsi="Times New Roman"/>
          <w:sz w:val="24"/>
          <w:szCs w:val="24"/>
        </w:rPr>
        <w:t>Under the ordinance, if a firefighter can volunteer part-time as a store greeter, he or she will not be considered to have suffered a catastrophic injury-even if that firefighter is not compensated.</w:t>
      </w:r>
      <w:r>
        <w:rPr>
          <w:rFonts w:ascii="Times New Roman" w:eastAsia="Times New Roman" w:hAnsi="Times New Roman"/>
          <w:sz w:val="24"/>
          <w:szCs w:val="24"/>
        </w:rPr>
        <w:t xml:space="preserve">” The Illinois 1997 </w:t>
      </w:r>
      <w:r w:rsidRPr="00302251">
        <w:rPr>
          <w:rFonts w:ascii="Times New Roman" w:eastAsia="Times New Roman" w:hAnsi="Times New Roman"/>
          <w:sz w:val="24"/>
          <w:szCs w:val="24"/>
        </w:rPr>
        <w:t>Public Safety Employee Benefits Act</w:t>
      </w:r>
      <w:r>
        <w:rPr>
          <w:rFonts w:ascii="Times New Roman" w:eastAsia="Times New Roman" w:hAnsi="Times New Roman"/>
          <w:sz w:val="24"/>
          <w:szCs w:val="24"/>
        </w:rPr>
        <w:t xml:space="preserve">, as interpreted by state Supreme Court, covers injured firefighters and police </w:t>
      </w:r>
      <w:proofErr w:type="gramStart"/>
      <w:r>
        <w:rPr>
          <w:rFonts w:ascii="Times New Roman" w:eastAsia="Times New Roman" w:hAnsi="Times New Roman"/>
          <w:sz w:val="24"/>
          <w:szCs w:val="24"/>
        </w:rPr>
        <w:t>who can</w:t>
      </w:r>
      <w:proofErr w:type="gramEnd"/>
      <w:r>
        <w:rPr>
          <w:rFonts w:ascii="Times New Roman" w:eastAsia="Times New Roman" w:hAnsi="Times New Roman"/>
          <w:sz w:val="24"/>
          <w:szCs w:val="24"/>
        </w:rPr>
        <w:t xml:space="preserve"> no longer perform their public safety jobs, but may be able to do other work. Their employer “</w:t>
      </w:r>
      <w:r w:rsidRPr="00BB5C6D">
        <w:rPr>
          <w:rFonts w:ascii="Times New Roman" w:eastAsia="Times New Roman" w:hAnsi="Times New Roman"/>
          <w:sz w:val="24"/>
          <w:szCs w:val="24"/>
        </w:rPr>
        <w:t>shall pay the entire premium of the employer's health insurance plan for the injured employee, the injured employee's spouse, and for each dependent child of the injured employee."</w:t>
      </w:r>
      <w:r>
        <w:rPr>
          <w:rFonts w:ascii="Times New Roman" w:eastAsia="Times New Roman" w:hAnsi="Times New Roman"/>
          <w:sz w:val="24"/>
          <w:szCs w:val="24"/>
        </w:rPr>
        <w:t xml:space="preserve"> </w:t>
      </w:r>
      <w:hyperlink r:id="rId1196" w:history="1">
        <w:r w:rsidRPr="00A83547">
          <w:rPr>
            <w:rStyle w:val="Hyperlink"/>
          </w:rPr>
          <w:t>https://ilcourtsaudio.blob.core.windows.net/antilles-resources/resources/51e43aff-4d85-414d-b8bb-128a5f970896/Int%20Assn%20of%20Fire%20Fighters,%20Local%2050%20v.%20City%20of%20Peoria,%202021%20IL%20127040.pdf</w:t>
        </w:r>
      </w:hyperlink>
    </w:p>
    <w:p w14:paraId="358BF0D0" w14:textId="77777777" w:rsidR="009A3D9F" w:rsidRPr="00302251" w:rsidRDefault="009A3D9F" w:rsidP="009A3D9F">
      <w:pPr>
        <w:spacing w:before="100" w:beforeAutospacing="1" w:after="100" w:afterAutospacing="1" w:line="240" w:lineRule="auto"/>
        <w:rPr>
          <w:rFonts w:ascii="Times New Roman" w:eastAsia="Times New Roman" w:hAnsi="Times New Roman"/>
          <w:b/>
          <w:bCs/>
          <w:sz w:val="24"/>
          <w:szCs w:val="24"/>
        </w:rPr>
      </w:pPr>
      <w:r w:rsidRPr="00A62F01">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Court prevented this “Home Rule” city from seeking to avoid financial obligations under the state statute.</w:t>
      </w:r>
    </w:p>
    <w:p w14:paraId="45930D0B" w14:textId="77777777" w:rsidR="009A3D9F" w:rsidRDefault="009A3D9F" w:rsidP="00EF1133">
      <w:pPr>
        <w:rPr>
          <w:rFonts w:ascii="Arial Black" w:hAnsi="Arial Black"/>
          <w:b/>
          <w:sz w:val="24"/>
          <w:szCs w:val="24"/>
        </w:rPr>
      </w:pPr>
    </w:p>
    <w:p w14:paraId="577D9922" w14:textId="77777777" w:rsidR="009A3D9F" w:rsidRDefault="009A3D9F" w:rsidP="00EF1133">
      <w:pPr>
        <w:rPr>
          <w:rFonts w:ascii="Arial Black" w:hAnsi="Arial Black"/>
          <w:b/>
          <w:sz w:val="24"/>
          <w:szCs w:val="24"/>
        </w:rPr>
      </w:pPr>
    </w:p>
    <w:p w14:paraId="1E5CDFAB" w14:textId="023C63E4"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6</w:t>
      </w:r>
    </w:p>
    <w:p w14:paraId="1CCC98C0" w14:textId="77777777" w:rsidR="00433119" w:rsidRDefault="00433119" w:rsidP="0043311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IL: PENSION - INJURED MOVING WATERBOTTLES AT STATION – FF GETS PENSION FOR “ACT OF DUTY” INJURIES </w:t>
      </w:r>
    </w:p>
    <w:p w14:paraId="700CAF20" w14:textId="77777777" w:rsidR="00433119" w:rsidRDefault="00433119" w:rsidP="00433119">
      <w:pPr>
        <w:spacing w:before="100" w:beforeAutospacing="1" w:after="100" w:afterAutospacing="1" w:line="240" w:lineRule="auto"/>
        <w:rPr>
          <w:rFonts w:ascii="Times New Roman" w:eastAsia="Times New Roman" w:hAnsi="Times New Roman"/>
          <w:sz w:val="24"/>
          <w:szCs w:val="24"/>
        </w:rPr>
      </w:pPr>
      <w:r w:rsidRPr="00945A33">
        <w:rPr>
          <w:rFonts w:ascii="Times New Roman" w:eastAsia="Times New Roman" w:hAnsi="Times New Roman"/>
          <w:sz w:val="24"/>
          <w:szCs w:val="24"/>
        </w:rPr>
        <w:t xml:space="preserve">On </w:t>
      </w:r>
      <w:r>
        <w:rPr>
          <w:rFonts w:ascii="Times New Roman" w:eastAsia="Times New Roman" w:hAnsi="Times New Roman"/>
          <w:sz w:val="24"/>
          <w:szCs w:val="24"/>
        </w:rPr>
        <w:t xml:space="preserve">Dec. 28, 2021, in </w:t>
      </w:r>
      <w:r w:rsidRPr="00945A33">
        <w:rPr>
          <w:rFonts w:ascii="Times New Roman" w:eastAsia="Times New Roman" w:hAnsi="Times New Roman"/>
          <w:sz w:val="24"/>
          <w:szCs w:val="24"/>
          <w:u w:val="single"/>
        </w:rPr>
        <w:t>The Village of Roselle v. The Board of Trustees of the Roselle Firefighters’ Pension Fund, and Ryan Case</w:t>
      </w:r>
      <w:r>
        <w:rPr>
          <w:rFonts w:ascii="Times New Roman" w:eastAsia="Times New Roman" w:hAnsi="Times New Roman"/>
          <w:sz w:val="24"/>
          <w:szCs w:val="24"/>
        </w:rPr>
        <w:t xml:space="preserve">, the Court of Appeals of Illinois, Second District, held (3 to 0) that the Circuit Court judge had improperly reversed the Board of </w:t>
      </w:r>
      <w:proofErr w:type="gramStart"/>
      <w:r>
        <w:rPr>
          <w:rFonts w:ascii="Times New Roman" w:eastAsia="Times New Roman" w:hAnsi="Times New Roman"/>
          <w:sz w:val="24"/>
          <w:szCs w:val="24"/>
        </w:rPr>
        <w:t>Trustees</w:t>
      </w:r>
      <w:proofErr w:type="gramEnd"/>
      <w:r>
        <w:rPr>
          <w:rFonts w:ascii="Times New Roman" w:eastAsia="Times New Roman" w:hAnsi="Times New Roman"/>
          <w:sz w:val="24"/>
          <w:szCs w:val="24"/>
        </w:rPr>
        <w:t xml:space="preserve"> decision, and firefighter Ryan Case is entitled to a disability pension.  His failure to inform the Village of prior back problems when working at four prior fire department is not a defense; it was the back injury on Sept. 18, </w:t>
      </w:r>
      <w:proofErr w:type="gramStart"/>
      <w:r>
        <w:rPr>
          <w:rFonts w:ascii="Times New Roman" w:eastAsia="Times New Roman" w:hAnsi="Times New Roman"/>
          <w:sz w:val="24"/>
          <w:szCs w:val="24"/>
        </w:rPr>
        <w:t>2016</w:t>
      </w:r>
      <w:proofErr w:type="gramEnd"/>
      <w:r>
        <w:rPr>
          <w:rFonts w:ascii="Times New Roman" w:eastAsia="Times New Roman" w:hAnsi="Times New Roman"/>
          <w:sz w:val="24"/>
          <w:szCs w:val="24"/>
        </w:rPr>
        <w:t xml:space="preserve"> when moving the bottles which led to the disability</w:t>
      </w:r>
    </w:p>
    <w:p w14:paraId="567D37A5" w14:textId="31A7535D" w:rsidR="00433119" w:rsidRDefault="00433119" w:rsidP="00433119">
      <w:pPr>
        <w:ind w:left="720"/>
        <w:rPr>
          <w:rFonts w:ascii="Arial Black" w:hAnsi="Arial Black"/>
          <w:b/>
          <w:sz w:val="24"/>
          <w:szCs w:val="24"/>
        </w:rPr>
      </w:pPr>
      <w:r>
        <w:rPr>
          <w:rFonts w:ascii="Times New Roman" w:eastAsia="Times New Roman" w:hAnsi="Times New Roman"/>
          <w:sz w:val="24"/>
          <w:szCs w:val="24"/>
        </w:rPr>
        <w:t>“</w:t>
      </w:r>
      <w:r w:rsidRPr="00526A4D">
        <w:rPr>
          <w:rFonts w:ascii="Times New Roman" w:eastAsia="Times New Roman" w:hAnsi="Times New Roman"/>
          <w:sz w:val="24"/>
          <w:szCs w:val="24"/>
        </w:rPr>
        <w:t xml:space="preserve">As for the Village's assertion that the Board applied too broad a definition of </w:t>
      </w:r>
      <w:r>
        <w:rPr>
          <w:rFonts w:ascii="Times New Roman" w:eastAsia="Times New Roman" w:hAnsi="Times New Roman"/>
          <w:sz w:val="24"/>
          <w:szCs w:val="24"/>
        </w:rPr>
        <w:t>‘</w:t>
      </w:r>
      <w:r w:rsidRPr="00526A4D">
        <w:rPr>
          <w:rFonts w:ascii="Times New Roman" w:eastAsia="Times New Roman" w:hAnsi="Times New Roman"/>
          <w:sz w:val="24"/>
          <w:szCs w:val="24"/>
        </w:rPr>
        <w:t>act of duty,</w:t>
      </w:r>
      <w:r>
        <w:rPr>
          <w:rFonts w:ascii="Times New Roman" w:eastAsia="Times New Roman" w:hAnsi="Times New Roman"/>
          <w:sz w:val="24"/>
          <w:szCs w:val="24"/>
        </w:rPr>
        <w:t>’</w:t>
      </w:r>
      <w:r w:rsidRPr="00526A4D">
        <w:rPr>
          <w:rFonts w:ascii="Times New Roman" w:eastAsia="Times New Roman" w:hAnsi="Times New Roman"/>
          <w:sz w:val="24"/>
          <w:szCs w:val="24"/>
        </w:rPr>
        <w:t xml:space="preserve"> that complaint is more properly directed at the General Assembly, which chose to define the term</w:t>
      </w:r>
      <w:r w:rsidRPr="00945A33">
        <w:rPr>
          <w:rFonts w:ascii="Times New Roman" w:eastAsia="Times New Roman" w:hAnsi="Times New Roman"/>
          <w:sz w:val="24"/>
          <w:szCs w:val="24"/>
        </w:rPr>
        <w:t xml:space="preserve"> </w:t>
      </w:r>
      <w:r w:rsidRPr="00526A4D">
        <w:rPr>
          <w:rFonts w:ascii="Times New Roman" w:eastAsia="Times New Roman" w:hAnsi="Times New Roman"/>
          <w:sz w:val="24"/>
          <w:szCs w:val="24"/>
        </w:rPr>
        <w:t>broadly. The Board's duty was not to craft its own, narrower definition but to apply the definition provided in the Code. The Board did just that, and we find no error in its decision.</w:t>
      </w:r>
      <w:r>
        <w:rPr>
          <w:rFonts w:ascii="Times New Roman" w:eastAsia="Times New Roman" w:hAnsi="Times New Roman"/>
          <w:sz w:val="24"/>
          <w:szCs w:val="24"/>
        </w:rPr>
        <w:t xml:space="preserve">”  </w:t>
      </w:r>
      <w:hyperlink r:id="rId1197" w:history="1">
        <w:r w:rsidRPr="00EC5853">
          <w:rPr>
            <w:rStyle w:val="Hyperlink"/>
            <w:rFonts w:ascii="Times New Roman" w:eastAsia="Times New Roman" w:hAnsi="Times New Roman"/>
            <w:sz w:val="24"/>
            <w:szCs w:val="24"/>
          </w:rPr>
          <w:t>https://ilcourtsaudio.blob.core.windows.net/antilles-resources/resources/2cab1835-a4bd-4f15-be52-5bbea6ed2024/Roselle%20v.%20BOT%20of%20the%20Roselle%20Firefighters%20Pension%20Fund,%202021%20IL%20App%20(2d)%20200360.pdf</w:t>
        </w:r>
      </w:hyperlink>
    </w:p>
    <w:p w14:paraId="2BBAF51B" w14:textId="77777777" w:rsidR="00433119" w:rsidRPr="00FB5E08" w:rsidRDefault="00433119" w:rsidP="00433119">
      <w:pPr>
        <w:spacing w:before="100" w:beforeAutospacing="1" w:after="100" w:afterAutospacing="1" w:line="240" w:lineRule="auto"/>
        <w:rPr>
          <w:rFonts w:ascii="Times New Roman" w:eastAsia="Times New Roman" w:hAnsi="Times New Roman"/>
          <w:b/>
          <w:bCs/>
          <w:sz w:val="24"/>
          <w:szCs w:val="24"/>
        </w:rPr>
      </w:pPr>
      <w:r w:rsidRPr="00FB5E0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To avoid “surprises” concerning medical conditions of new hires, Fire Departments can (1) require release of prior medical records, and (2) condition hiring on passing medical examination.  </w:t>
      </w:r>
    </w:p>
    <w:p w14:paraId="71013C7A" w14:textId="77777777" w:rsidR="00433119" w:rsidRDefault="00433119" w:rsidP="00EF1133">
      <w:pPr>
        <w:rPr>
          <w:rFonts w:ascii="Arial Black" w:hAnsi="Arial Black"/>
          <w:b/>
          <w:sz w:val="24"/>
          <w:szCs w:val="24"/>
        </w:rPr>
      </w:pPr>
    </w:p>
    <w:p w14:paraId="1C27CF9C" w14:textId="2C99124D"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5</w:t>
      </w:r>
    </w:p>
    <w:p w14:paraId="0D58B441" w14:textId="77777777" w:rsidR="00433119" w:rsidRPr="00635F06" w:rsidRDefault="00433119" w:rsidP="00433119">
      <w:pPr>
        <w:spacing w:before="100" w:beforeAutospacing="1" w:after="100" w:afterAutospacing="1" w:line="240" w:lineRule="auto"/>
        <w:rPr>
          <w:rFonts w:ascii="Arial Black" w:hAnsi="Arial Black"/>
          <w:sz w:val="28"/>
          <w:szCs w:val="28"/>
        </w:rPr>
      </w:pPr>
      <w:r>
        <w:rPr>
          <w:rFonts w:ascii="Arial Black" w:hAnsi="Arial Black"/>
          <w:sz w:val="28"/>
          <w:szCs w:val="28"/>
        </w:rPr>
        <w:t>IL: INJURED CHICAGO FFs PENSION - FREE AGE 65 – THEN MUST USE MEDICARE – PAY FOR ANY SUPPLEMENTAL</w:t>
      </w:r>
    </w:p>
    <w:p w14:paraId="1F07CA27" w14:textId="77777777" w:rsidR="00433119" w:rsidRPr="00FA3336" w:rsidRDefault="00433119" w:rsidP="00433119">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23, 2021, in </w:t>
      </w:r>
      <w:r w:rsidRPr="0089175F">
        <w:rPr>
          <w:rFonts w:ascii="Times New Roman" w:hAnsi="Times New Roman"/>
          <w:sz w:val="24"/>
          <w:szCs w:val="24"/>
          <w:u w:val="single"/>
        </w:rPr>
        <w:t>Thomas Barry, et al. v. City of Chicago</w:t>
      </w:r>
      <w:r>
        <w:rPr>
          <w:rFonts w:ascii="Times New Roman" w:hAnsi="Times New Roman"/>
          <w:sz w:val="24"/>
          <w:szCs w:val="24"/>
        </w:rPr>
        <w:t xml:space="preserve">, the Court of Appeals of Illinois, First District (Fourth Division) held (3 to 0) that the City’s obligation to provide premium-free participation in its group plan for active-duty firefighters ended when the plaintiffs became eligible for Medicare. Unfortunately, the </w:t>
      </w:r>
      <w:proofErr w:type="gramStart"/>
      <w:r w:rsidRPr="00FA3336">
        <w:rPr>
          <w:rFonts w:ascii="Times New Roman" w:hAnsi="Times New Roman"/>
          <w:sz w:val="24"/>
          <w:szCs w:val="24"/>
        </w:rPr>
        <w:t>City</w:t>
      </w:r>
      <w:proofErr w:type="gramEnd"/>
      <w:r w:rsidRPr="00FA3336">
        <w:rPr>
          <w:rFonts w:ascii="Times New Roman" w:hAnsi="Times New Roman"/>
          <w:sz w:val="24"/>
          <w:szCs w:val="24"/>
        </w:rPr>
        <w:t xml:space="preserve"> </w:t>
      </w:r>
      <w:r>
        <w:rPr>
          <w:rFonts w:ascii="Times New Roman" w:hAnsi="Times New Roman"/>
          <w:sz w:val="24"/>
          <w:szCs w:val="24"/>
        </w:rPr>
        <w:t xml:space="preserve">had also </w:t>
      </w:r>
      <w:r w:rsidRPr="00FA3336">
        <w:rPr>
          <w:rFonts w:ascii="Times New Roman" w:hAnsi="Times New Roman"/>
          <w:sz w:val="24"/>
          <w:szCs w:val="24"/>
        </w:rPr>
        <w:t>allowed plaintiffs to participate in its Medicare supplement retiree health care plan until that plan was discontinued in December 2016.</w:t>
      </w:r>
    </w:p>
    <w:p w14:paraId="08E2F7EA" w14:textId="77777777" w:rsidR="00433119" w:rsidRPr="00635F06" w:rsidRDefault="00433119" w:rsidP="00433119">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635F06">
        <w:rPr>
          <w:rFonts w:ascii="Times New Roman" w:eastAsia="Times New Roman" w:hAnsi="Times New Roman"/>
          <w:sz w:val="24"/>
          <w:szCs w:val="24"/>
        </w:rPr>
        <w:t xml:space="preserve">We reject plaintiffs' argument that the Act guarantees lifetime premium-free health insurance under the City's group plan because the Act neither references Medicare nor states that benefits cease at a certain age. This argument seeks to add words to the Act that the legislature did not use and fails to </w:t>
      </w:r>
      <w:proofErr w:type="gramStart"/>
      <w:r w:rsidRPr="00635F06">
        <w:rPr>
          <w:rFonts w:ascii="Times New Roman" w:eastAsia="Times New Roman" w:hAnsi="Times New Roman"/>
          <w:sz w:val="24"/>
          <w:szCs w:val="24"/>
        </w:rPr>
        <w:t>construe</w:t>
      </w:r>
      <w:proofErr w:type="gramEnd"/>
      <w:r w:rsidRPr="00635F06">
        <w:rPr>
          <w:rFonts w:ascii="Times New Roman" w:eastAsia="Times New Roman" w:hAnsi="Times New Roman"/>
          <w:sz w:val="24"/>
          <w:szCs w:val="24"/>
        </w:rPr>
        <w:t xml:space="preserve"> the entire statute coherently. Although the Act does guarantee that injured firefighters will always have some type of health insurance coverage, whether from their former employer or another source like Medicare, the Act never states that premium-free coverage under the employer's group plan must last a lifetime. </w:t>
      </w:r>
      <w:r w:rsidRPr="00635F06">
        <w:rPr>
          <w:rFonts w:ascii="Times New Roman" w:hAnsi="Times New Roman"/>
          <w:sz w:val="24"/>
          <w:szCs w:val="24"/>
        </w:rPr>
        <w:t>Instead, section 10(a)(1) of the Act explicitly limits the employer's obligation to pay premiums for its group health insurance plan when benefits are payable from any other source. The public employer's obligation to pay the premiums is not reduced based on the beneficiaries' age per se but rather based on the existence of benefits payable "from any other source." 820 ILCS 320/10(a)(1) (West 2018).</w:t>
      </w:r>
      <w:r>
        <w:rPr>
          <w:rFonts w:ascii="Times New Roman" w:hAnsi="Times New Roman"/>
          <w:sz w:val="24"/>
          <w:szCs w:val="24"/>
        </w:rPr>
        <w:t xml:space="preserve">” </w:t>
      </w:r>
      <w:hyperlink r:id="rId1198" w:history="1">
        <w:r w:rsidRPr="00EC5853">
          <w:rPr>
            <w:rStyle w:val="Hyperlink"/>
            <w:rFonts w:ascii="Times New Roman" w:hAnsi="Times New Roman"/>
            <w:sz w:val="24"/>
            <w:szCs w:val="24"/>
          </w:rPr>
          <w:t>https://casetext.com/case/barry-v-the-city-of-chicago</w:t>
        </w:r>
      </w:hyperlink>
      <w:r>
        <w:rPr>
          <w:rFonts w:ascii="Times New Roman" w:hAnsi="Times New Roman"/>
          <w:sz w:val="24"/>
          <w:szCs w:val="24"/>
        </w:rPr>
        <w:t xml:space="preserve"> </w:t>
      </w:r>
    </w:p>
    <w:p w14:paraId="3A68F6F5" w14:textId="77777777" w:rsidR="00433119" w:rsidRDefault="00433119" w:rsidP="00433119">
      <w:pPr>
        <w:spacing w:before="100" w:beforeAutospacing="1" w:after="100" w:afterAutospacing="1" w:line="240" w:lineRule="auto"/>
        <w:rPr>
          <w:rFonts w:ascii="Times New Roman" w:eastAsia="Times New Roman" w:hAnsi="Times New Roman"/>
          <w:b/>
          <w:bCs/>
          <w:sz w:val="24"/>
          <w:szCs w:val="24"/>
        </w:rPr>
      </w:pPr>
      <w:r w:rsidRPr="00C10A0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medically retired firefighters must pay for Medicare supplemental retiree health care insurance.  </w:t>
      </w:r>
    </w:p>
    <w:p w14:paraId="431A8464" w14:textId="77777777" w:rsidR="00433119" w:rsidRDefault="00433119" w:rsidP="00EF1133">
      <w:pPr>
        <w:rPr>
          <w:rFonts w:ascii="Arial Black" w:hAnsi="Arial Black"/>
          <w:b/>
          <w:sz w:val="24"/>
          <w:szCs w:val="24"/>
        </w:rPr>
      </w:pPr>
    </w:p>
    <w:p w14:paraId="0D3FC633" w14:textId="75CC3222"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4</w:t>
      </w:r>
    </w:p>
    <w:p w14:paraId="7A128F32" w14:textId="77777777" w:rsidR="00433119" w:rsidRPr="005B2B58" w:rsidRDefault="00433119" w:rsidP="0043311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ASTHMA / LUNG ISSUES - 11 YEARS FIRE SCENES PHOTOS - WORKERS COMP IF CAN PROVE JOB CAUSED</w:t>
      </w:r>
    </w:p>
    <w:p w14:paraId="350C6707" w14:textId="77777777" w:rsidR="00433119" w:rsidRPr="0096799C" w:rsidRDefault="00433119" w:rsidP="00433119">
      <w:pPr>
        <w:rPr>
          <w:rFonts w:ascii="Times New Roman" w:hAnsi="Times New Roman"/>
          <w:sz w:val="24"/>
          <w:szCs w:val="24"/>
        </w:rPr>
      </w:pPr>
      <w:r w:rsidRPr="0096799C">
        <w:rPr>
          <w:rFonts w:ascii="Times New Roman" w:hAnsi="Times New Roman"/>
          <w:sz w:val="24"/>
          <w:szCs w:val="24"/>
        </w:rPr>
        <w:t xml:space="preserve">On Dec. 23, 2021, in </w:t>
      </w:r>
      <w:r w:rsidRPr="0096799C">
        <w:rPr>
          <w:rFonts w:ascii="Times New Roman" w:hAnsi="Times New Roman"/>
          <w:sz w:val="24"/>
          <w:szCs w:val="24"/>
          <w:u w:val="single"/>
        </w:rPr>
        <w:t xml:space="preserve">Peter </w:t>
      </w:r>
      <w:proofErr w:type="spellStart"/>
      <w:r w:rsidRPr="0096799C">
        <w:rPr>
          <w:rFonts w:ascii="Times New Roman" w:hAnsi="Times New Roman"/>
          <w:sz w:val="24"/>
          <w:szCs w:val="24"/>
          <w:u w:val="single"/>
        </w:rPr>
        <w:t>DiLaqua</w:t>
      </w:r>
      <w:proofErr w:type="spellEnd"/>
      <w:r w:rsidRPr="0096799C">
        <w:rPr>
          <w:rFonts w:ascii="Times New Roman" w:hAnsi="Times New Roman"/>
          <w:sz w:val="24"/>
          <w:szCs w:val="24"/>
          <w:u w:val="single"/>
        </w:rPr>
        <w:t xml:space="preserve"> v. City of Philadelphia Fire Department</w:t>
      </w:r>
      <w:r w:rsidRPr="0096799C">
        <w:rPr>
          <w:rFonts w:ascii="Times New Roman" w:hAnsi="Times New Roman"/>
          <w:sz w:val="24"/>
          <w:szCs w:val="24"/>
        </w:rPr>
        <w:t xml:space="preserve">, the Commonwealth Court of Pennsylvania held (3 to 0) that the firefighters’ claim is remanded for further evidence to be presented to the Workers Comp Judge; the court reversed the Workers’ Compensation Review Board that had overturned the WCJ’s finding that the firefighter’s asthma and RADS (Reactive Airways Dysfunction Syndrome) were job related. </w:t>
      </w:r>
    </w:p>
    <w:p w14:paraId="78F8C10A" w14:textId="37D946BE" w:rsidR="00433119" w:rsidRDefault="00433119" w:rsidP="00433119">
      <w:pPr>
        <w:ind w:left="720"/>
        <w:rPr>
          <w:rFonts w:ascii="Arial Black" w:hAnsi="Arial Black"/>
          <w:b/>
          <w:sz w:val="24"/>
          <w:szCs w:val="24"/>
        </w:rPr>
      </w:pPr>
      <w:r>
        <w:rPr>
          <w:rFonts w:ascii="Times New Roman" w:hAnsi="Times New Roman"/>
          <w:sz w:val="24"/>
          <w:szCs w:val="24"/>
        </w:rPr>
        <w:t>“</w:t>
      </w:r>
      <w:r w:rsidRPr="00AE0D89">
        <w:rPr>
          <w:rFonts w:ascii="Times New Roman" w:hAnsi="Times New Roman"/>
          <w:sz w:val="24"/>
          <w:szCs w:val="24"/>
        </w:rPr>
        <w:t>At the WCJ hearings, Claimant testified</w:t>
      </w:r>
      <w:r>
        <w:rPr>
          <w:rFonts w:ascii="Times New Roman" w:hAnsi="Times New Roman"/>
          <w:sz w:val="24"/>
          <w:szCs w:val="24"/>
          <w:vertAlign w:val="superscript"/>
        </w:rPr>
        <w:t xml:space="preserve"> </w:t>
      </w:r>
      <w:r w:rsidRPr="00AE0D89">
        <w:rPr>
          <w:rFonts w:ascii="Times New Roman" w:hAnsi="Times New Roman"/>
          <w:sz w:val="24"/>
          <w:szCs w:val="24"/>
        </w:rPr>
        <w:t>that, although Employer provided respiratory protection equipment when he fought fires for the first two years of his employment, Employer did not provide such equipment when he photographed fire scenes for the VCU</w:t>
      </w:r>
      <w:r>
        <w:rPr>
          <w:rFonts w:ascii="Times New Roman" w:hAnsi="Times New Roman"/>
          <w:sz w:val="24"/>
          <w:szCs w:val="24"/>
        </w:rPr>
        <w:t xml:space="preserve"> </w:t>
      </w:r>
      <w:r w:rsidRPr="00AE0D89">
        <w:rPr>
          <w:rFonts w:ascii="Times New Roman" w:hAnsi="Times New Roman"/>
          <w:sz w:val="24"/>
          <w:szCs w:val="24"/>
        </w:rPr>
        <w:t>[Visual Communication Unit ]….</w:t>
      </w:r>
      <w:r>
        <w:t xml:space="preserve"> </w:t>
      </w:r>
      <w:r w:rsidRPr="00AE0D89">
        <w:rPr>
          <w:rFonts w:ascii="Times New Roman" w:hAnsi="Times New Roman"/>
          <w:sz w:val="24"/>
          <w:szCs w:val="24"/>
        </w:rPr>
        <w:t>Claimant estimated that he photographed 8 to 10 multiple-alarm fires per year and, over time, he photographed 50 to 70 rooms where deaths occurred</w:t>
      </w:r>
      <w:r>
        <w:rPr>
          <w:rFonts w:ascii="Times New Roman" w:hAnsi="Times New Roman"/>
          <w:sz w:val="24"/>
          <w:szCs w:val="24"/>
        </w:rPr>
        <w:t xml:space="preserve">…. </w:t>
      </w:r>
      <w:r w:rsidRPr="00AE0D89">
        <w:rPr>
          <w:rFonts w:ascii="Times New Roman" w:hAnsi="Times New Roman"/>
          <w:sz w:val="24"/>
          <w:szCs w:val="24"/>
        </w:rPr>
        <w:t>Claimant explained that, for multiple alarm fires, he would be at a scene for 8 to 10 hours and, relative to death investigations, he would be at a fire scene for at least 6 hours</w:t>
      </w:r>
      <w:r>
        <w:rPr>
          <w:rFonts w:ascii="Times New Roman" w:hAnsi="Times New Roman"/>
          <w:sz w:val="24"/>
          <w:szCs w:val="24"/>
        </w:rPr>
        <w:t xml:space="preserve">…. </w:t>
      </w:r>
      <w:r w:rsidRPr="00AE0D89">
        <w:rPr>
          <w:rFonts w:ascii="Times New Roman" w:hAnsi="Times New Roman"/>
          <w:sz w:val="24"/>
          <w:szCs w:val="24"/>
        </w:rPr>
        <w:t>Here, key to the Board's and this Court's review is whether Claimant proved his entitlement to WC benefits. Specifically, whether he proved the injury he alleged in the Claim Petition, and whether it was causally related to his employment (or he was entitled to the Presumption). Because those issues cannot be resolved by this Court, this matter must be remanded to the Board and the WCJ for application of the correct legal principles.</w:t>
      </w:r>
      <w:r>
        <w:rPr>
          <w:rFonts w:ascii="Times New Roman" w:hAnsi="Times New Roman"/>
          <w:sz w:val="24"/>
          <w:szCs w:val="24"/>
        </w:rPr>
        <w:t xml:space="preserve">” </w:t>
      </w:r>
      <w:hyperlink r:id="rId1199" w:history="1">
        <w:r w:rsidRPr="00EC5853">
          <w:rPr>
            <w:rStyle w:val="Hyperlink"/>
            <w:rFonts w:ascii="Times New Roman" w:hAnsi="Times New Roman"/>
            <w:sz w:val="24"/>
            <w:szCs w:val="24"/>
          </w:rPr>
          <w:t>https://casetext.com/case/dilaqua-v-city-of-philadelphia-fire-dept-workers-comp-appeal-board</w:t>
        </w:r>
      </w:hyperlink>
    </w:p>
    <w:p w14:paraId="3F2F2D5D" w14:textId="77777777" w:rsidR="00433119" w:rsidRPr="00927BF6" w:rsidRDefault="00433119" w:rsidP="00433119">
      <w:pPr>
        <w:pStyle w:val="NormalWeb"/>
        <w:rPr>
          <w:b/>
          <w:bCs/>
        </w:rPr>
      </w:pPr>
      <w:r w:rsidRPr="00927BF6">
        <w:rPr>
          <w:b/>
          <w:bCs/>
        </w:rPr>
        <w:t>Legal Lesson Learned:</w:t>
      </w:r>
      <w:r>
        <w:rPr>
          <w:b/>
          <w:bCs/>
        </w:rPr>
        <w:t xml:space="preserve"> PA has a helpful statutory presumption for diseases of lungs for </w:t>
      </w:r>
      <w:proofErr w:type="gramStart"/>
      <w:r>
        <w:rPr>
          <w:b/>
          <w:bCs/>
        </w:rPr>
        <w:t>firefighter</w:t>
      </w:r>
      <w:proofErr w:type="gramEnd"/>
      <w:r>
        <w:rPr>
          <w:b/>
          <w:bCs/>
        </w:rPr>
        <w:t xml:space="preserve"> with four or more years of service. </w:t>
      </w:r>
    </w:p>
    <w:p w14:paraId="0FEC2BC5" w14:textId="77777777" w:rsidR="00433119" w:rsidRDefault="00433119" w:rsidP="00433119">
      <w:pPr>
        <w:ind w:left="720"/>
        <w:rPr>
          <w:rFonts w:ascii="Times New Roman" w:hAnsi="Times New Roman"/>
          <w:sz w:val="24"/>
          <w:szCs w:val="24"/>
        </w:rPr>
      </w:pPr>
      <w:r>
        <w:rPr>
          <w:rFonts w:ascii="Times New Roman" w:hAnsi="Times New Roman"/>
          <w:sz w:val="24"/>
          <w:szCs w:val="24"/>
        </w:rPr>
        <w:t xml:space="preserve">Note:  See Ohio Revised Code 742.38, statutory presumption: </w:t>
      </w:r>
      <w:hyperlink r:id="rId1200" w:history="1">
        <w:r w:rsidRPr="001E7A1B">
          <w:rPr>
            <w:rStyle w:val="Hyperlink"/>
            <w:rFonts w:ascii="Times New Roman" w:hAnsi="Times New Roman"/>
            <w:sz w:val="24"/>
            <w:szCs w:val="24"/>
          </w:rPr>
          <w:t>https://codes.ohio.gov/ohio-revised-code/section-742.38</w:t>
        </w:r>
      </w:hyperlink>
      <w:r>
        <w:rPr>
          <w:rFonts w:ascii="Times New Roman" w:hAnsi="Times New Roman"/>
          <w:sz w:val="24"/>
          <w:szCs w:val="24"/>
        </w:rPr>
        <w:t xml:space="preserve"> </w:t>
      </w:r>
    </w:p>
    <w:p w14:paraId="7257D604" w14:textId="77777777" w:rsidR="00433119" w:rsidRPr="00971F78" w:rsidRDefault="00433119" w:rsidP="00433119">
      <w:pPr>
        <w:ind w:left="1440"/>
        <w:rPr>
          <w:rFonts w:ascii="Times New Roman" w:hAnsi="Times New Roman"/>
          <w:b/>
          <w:bCs/>
          <w:sz w:val="24"/>
          <w:szCs w:val="24"/>
        </w:rPr>
      </w:pPr>
      <w:r w:rsidRPr="00971F78">
        <w:rPr>
          <w:rFonts w:ascii="Times New Roman" w:hAnsi="Times New Roman"/>
          <w:sz w:val="24"/>
          <w:szCs w:val="24"/>
        </w:rPr>
        <w:t>(3)(a) A member of the fund [Ohio police and fire pension fund]</w:t>
      </w:r>
      <w:r>
        <w:t xml:space="preserve"> </w:t>
      </w:r>
      <w:r w:rsidRPr="00971F78">
        <w:rPr>
          <w:rFonts w:ascii="Times New Roman" w:hAnsi="Times New Roman"/>
          <w:sz w:val="24"/>
          <w:szCs w:val="24"/>
        </w:rPr>
        <w:t xml:space="preserve">who is permanently disabled as a result of heart disease or any cardiovascular or respiratory disease of a chronic nature, which disease or any evidence of which disease was not revealed by the physical examination passed by the member on entry into the department or another examination specified in rules the board adopts under section </w:t>
      </w:r>
      <w:hyperlink r:id="rId1201" w:history="1">
        <w:r w:rsidRPr="00971F78">
          <w:rPr>
            <w:rStyle w:val="Hyperlink"/>
            <w:rFonts w:ascii="Times New Roman" w:hAnsi="Times New Roman"/>
            <w:sz w:val="24"/>
            <w:szCs w:val="24"/>
          </w:rPr>
          <w:t>742.10</w:t>
        </w:r>
      </w:hyperlink>
      <w:r w:rsidRPr="00971F78">
        <w:rPr>
          <w:rFonts w:ascii="Times New Roman" w:hAnsi="Times New Roman"/>
          <w:sz w:val="24"/>
          <w:szCs w:val="24"/>
        </w:rPr>
        <w:t xml:space="preserve"> of the Revised Code, is presumed to have incurred the disease while performing the member's official duties, unless the contrary is shown by competent evidence. The board may waive the requirement that the absence of disease be evidenced by a physical examination if competent medical evidence of a type specified in rules adopted under section </w:t>
      </w:r>
      <w:hyperlink r:id="rId1202" w:history="1">
        <w:r w:rsidRPr="00971F78">
          <w:rPr>
            <w:rStyle w:val="Hyperlink"/>
            <w:rFonts w:ascii="Times New Roman" w:hAnsi="Times New Roman"/>
            <w:sz w:val="24"/>
            <w:szCs w:val="24"/>
          </w:rPr>
          <w:t>742.10</w:t>
        </w:r>
      </w:hyperlink>
      <w:r w:rsidRPr="00971F78">
        <w:rPr>
          <w:rFonts w:ascii="Times New Roman" w:hAnsi="Times New Roman"/>
          <w:sz w:val="24"/>
          <w:szCs w:val="24"/>
        </w:rPr>
        <w:t xml:space="preserve"> of the Revised Code is submitted documenting that the disease was not evident prior to or at the time of entry into the department.</w:t>
      </w:r>
    </w:p>
    <w:p w14:paraId="2C5B5AA1" w14:textId="77777777" w:rsidR="00433119" w:rsidRDefault="00433119" w:rsidP="00EF1133">
      <w:pPr>
        <w:rPr>
          <w:rFonts w:ascii="Arial Black" w:hAnsi="Arial Black"/>
          <w:b/>
          <w:sz w:val="24"/>
          <w:szCs w:val="24"/>
        </w:rPr>
      </w:pPr>
    </w:p>
    <w:p w14:paraId="5561F4C0" w14:textId="4D97F2F3" w:rsidR="00B5724A" w:rsidRDefault="00B5724A"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3</w:t>
      </w:r>
    </w:p>
    <w:p w14:paraId="27072C7B" w14:textId="77777777" w:rsidR="00B5724A" w:rsidRDefault="00B5724A" w:rsidP="00B5724A">
      <w:pPr>
        <w:spacing w:before="100" w:beforeAutospacing="1" w:after="100" w:afterAutospacing="1" w:line="240" w:lineRule="auto"/>
        <w:rPr>
          <w:rFonts w:ascii="Arial Black" w:eastAsia="Times New Roman" w:hAnsi="Arial Black"/>
          <w:sz w:val="28"/>
          <w:szCs w:val="28"/>
        </w:rPr>
      </w:pPr>
      <w:bookmarkStart w:id="229" w:name="_Hlk92113959"/>
      <w:r>
        <w:rPr>
          <w:rFonts w:ascii="Arial Black" w:eastAsia="Times New Roman" w:hAnsi="Arial Black"/>
          <w:sz w:val="28"/>
          <w:szCs w:val="28"/>
        </w:rPr>
        <w:t>PA: FF DIED LUNG CANCER – HEAVY SMOKER - 40% INCREASE - WIFE NO WORKERS COMP DEATH BENEFITS</w:t>
      </w:r>
    </w:p>
    <w:bookmarkEnd w:id="229"/>
    <w:p w14:paraId="59423BFB" w14:textId="77777777" w:rsidR="00B5724A" w:rsidRDefault="00B5724A" w:rsidP="00B5724A">
      <w:pPr>
        <w:spacing w:before="100" w:beforeAutospacing="1" w:after="100" w:afterAutospacing="1" w:line="240" w:lineRule="auto"/>
      </w:pPr>
      <w:r>
        <w:rPr>
          <w:rFonts w:ascii="Times New Roman" w:eastAsia="Times New Roman" w:hAnsi="Times New Roman"/>
          <w:sz w:val="24"/>
          <w:szCs w:val="24"/>
        </w:rPr>
        <w:t xml:space="preserve">On Dec. 13, 2021, in </w:t>
      </w:r>
      <w:r w:rsidRPr="00BF2980">
        <w:rPr>
          <w:rFonts w:ascii="Times New Roman" w:eastAsia="Times New Roman" w:hAnsi="Times New Roman"/>
          <w:sz w:val="24"/>
          <w:szCs w:val="24"/>
          <w:u w:val="single"/>
        </w:rPr>
        <w:t>Vincent Regan v. City of Philadelphia (Workers’ Compensation Appeal Board</w:t>
      </w:r>
      <w:r>
        <w:rPr>
          <w:rFonts w:ascii="Times New Roman" w:eastAsia="Times New Roman" w:hAnsi="Times New Roman"/>
          <w:sz w:val="24"/>
          <w:szCs w:val="24"/>
          <w:u w:val="single"/>
        </w:rPr>
        <w:t>)</w:t>
      </w:r>
      <w:r>
        <w:rPr>
          <w:rFonts w:ascii="Times New Roman" w:eastAsia="Times New Roman" w:hAnsi="Times New Roman"/>
          <w:sz w:val="24"/>
          <w:szCs w:val="24"/>
        </w:rPr>
        <w:t xml:space="preserve">, the Commonwealth Court of Pennsylvania held (3 to 0) that the widow of Vincent Regan is not entitled to workers compensation, since the Administrative Law Judge found the city’s expert witness very credible. He </w:t>
      </w:r>
      <w:r w:rsidRPr="00BB487E">
        <w:rPr>
          <w:rFonts w:ascii="Times New Roman" w:eastAsia="Times New Roman" w:hAnsi="Times New Roman"/>
          <w:sz w:val="24"/>
          <w:szCs w:val="24"/>
        </w:rPr>
        <w:t>stated</w:t>
      </w:r>
      <w:r>
        <w:rPr>
          <w:rFonts w:ascii="Times New Roman" w:eastAsia="Times New Roman" w:hAnsi="Times New Roman"/>
          <w:sz w:val="24"/>
          <w:szCs w:val="24"/>
        </w:rPr>
        <w:t xml:space="preserve"> </w:t>
      </w:r>
      <w:r w:rsidRPr="00BB487E">
        <w:rPr>
          <w:rFonts w:ascii="Times New Roman" w:eastAsia="Times New Roman" w:hAnsi="Times New Roman"/>
          <w:sz w:val="24"/>
          <w:szCs w:val="24"/>
        </w:rPr>
        <w:t xml:space="preserve">that </w:t>
      </w:r>
      <w:r>
        <w:rPr>
          <w:rFonts w:ascii="Times New Roman" w:eastAsia="Times New Roman" w:hAnsi="Times New Roman"/>
          <w:sz w:val="24"/>
          <w:szCs w:val="24"/>
        </w:rPr>
        <w:t>“</w:t>
      </w:r>
      <w:r w:rsidRPr="00BB487E">
        <w:rPr>
          <w:rFonts w:ascii="Times New Roman" w:eastAsia="Times New Roman" w:hAnsi="Times New Roman"/>
          <w:sz w:val="24"/>
          <w:szCs w:val="24"/>
        </w:rPr>
        <w:t xml:space="preserve">medical records revealed that Decedent began smoking at age 16, and quit at age 68 in 2008, with a 40- to 50-pack per year history of tobacco use. He said that the effect of a 40-pack per year history will increase the risk of lung cancer by 40 </w:t>
      </w:r>
      <w:proofErr w:type="gramStart"/>
      <w:r w:rsidRPr="00BB487E">
        <w:rPr>
          <w:rFonts w:ascii="Times New Roman" w:eastAsia="Times New Roman" w:hAnsi="Times New Roman"/>
          <w:sz w:val="24"/>
          <w:szCs w:val="24"/>
        </w:rPr>
        <w:t>times.</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The PA statutory presumption law for firefighters was “fully rebutted” by the City’s expert.   </w:t>
      </w:r>
    </w:p>
    <w:p w14:paraId="5D03E918" w14:textId="77777777" w:rsidR="00B5724A" w:rsidRPr="0080447D" w:rsidRDefault="00B5724A" w:rsidP="00B5724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0447D">
        <w:rPr>
          <w:rFonts w:ascii="Times New Roman" w:eastAsia="Times New Roman" w:hAnsi="Times New Roman"/>
          <w:sz w:val="24"/>
          <w:szCs w:val="24"/>
        </w:rPr>
        <w:t xml:space="preserve">Because the WCJ's credibility determinations were not made arbitrarily and capriciously and her findings are supported by substantial evidence, the WCJ's decision cannot be disturbed on appeal. </w:t>
      </w:r>
      <w:r w:rsidRPr="0080447D">
        <w:rPr>
          <w:rFonts w:ascii="Times New Roman" w:eastAsia="Times New Roman" w:hAnsi="Times New Roman"/>
          <w:i/>
          <w:iCs/>
          <w:sz w:val="24"/>
          <w:szCs w:val="24"/>
        </w:rPr>
        <w:t>Id.</w:t>
      </w:r>
      <w:r w:rsidRPr="0080447D">
        <w:rPr>
          <w:rFonts w:ascii="Times New Roman" w:eastAsia="Times New Roman" w:hAnsi="Times New Roman"/>
          <w:sz w:val="24"/>
          <w:szCs w:val="24"/>
        </w:rPr>
        <w:t xml:space="preserve"> Further, we conclude that the WCJ's decision sets forth an adequate explanation of her reasons for accepting and rejecting </w:t>
      </w:r>
      <w:proofErr w:type="gramStart"/>
      <w:r w:rsidRPr="0080447D">
        <w:rPr>
          <w:rFonts w:ascii="Times New Roman" w:eastAsia="Times New Roman" w:hAnsi="Times New Roman"/>
          <w:sz w:val="24"/>
          <w:szCs w:val="24"/>
        </w:rPr>
        <w:t>evidence, and</w:t>
      </w:r>
      <w:proofErr w:type="gramEnd"/>
      <w:r w:rsidRPr="0080447D">
        <w:rPr>
          <w:rFonts w:ascii="Times New Roman" w:eastAsia="Times New Roman" w:hAnsi="Times New Roman"/>
          <w:sz w:val="24"/>
          <w:szCs w:val="24"/>
        </w:rPr>
        <w:t xml:space="preserve"> therefore satisfies the reasoned decision requirements of Section 422(a) of the Act. </w:t>
      </w:r>
      <w:r w:rsidRPr="0080447D">
        <w:rPr>
          <w:rFonts w:ascii="Times New Roman" w:eastAsia="Times New Roman" w:hAnsi="Times New Roman"/>
          <w:i/>
          <w:iCs/>
          <w:sz w:val="24"/>
          <w:szCs w:val="24"/>
        </w:rPr>
        <w:t>See id.</w:t>
      </w:r>
      <w:r w:rsidRPr="0080447D">
        <w:rPr>
          <w:rFonts w:ascii="Times New Roman" w:eastAsia="Times New Roman" w:hAnsi="Times New Roman"/>
          <w:sz w:val="24"/>
          <w:szCs w:val="24"/>
        </w:rPr>
        <w:t xml:space="preserve"> at 1089 (noting that Section 422(a) does not require </w:t>
      </w:r>
      <w:r>
        <w:rPr>
          <w:rFonts w:ascii="Times New Roman" w:eastAsia="Times New Roman" w:hAnsi="Times New Roman"/>
          <w:sz w:val="24"/>
          <w:szCs w:val="24"/>
        </w:rPr>
        <w:t>‘</w:t>
      </w:r>
      <w:r w:rsidRPr="0080447D">
        <w:rPr>
          <w:rFonts w:ascii="Times New Roman" w:eastAsia="Times New Roman" w:hAnsi="Times New Roman"/>
          <w:sz w:val="24"/>
          <w:szCs w:val="24"/>
        </w:rPr>
        <w:t>adequate reasons,</w:t>
      </w:r>
      <w:r>
        <w:rPr>
          <w:rFonts w:ascii="Times New Roman" w:eastAsia="Times New Roman" w:hAnsi="Times New Roman"/>
          <w:sz w:val="24"/>
          <w:szCs w:val="24"/>
        </w:rPr>
        <w:t>’</w:t>
      </w:r>
      <w:r w:rsidRPr="0080447D">
        <w:rPr>
          <w:rFonts w:ascii="Times New Roman" w:eastAsia="Times New Roman" w:hAnsi="Times New Roman"/>
          <w:sz w:val="24"/>
          <w:szCs w:val="24"/>
        </w:rPr>
        <w:t xml:space="preserve"> but an adequate explanation for those reasons, </w:t>
      </w:r>
      <w:proofErr w:type="gramStart"/>
      <w:r w:rsidRPr="0080447D">
        <w:rPr>
          <w:rFonts w:ascii="Times New Roman" w:eastAsia="Times New Roman" w:hAnsi="Times New Roman"/>
          <w:sz w:val="24"/>
          <w:szCs w:val="24"/>
        </w:rPr>
        <w:t>in order for</w:t>
      </w:r>
      <w:proofErr w:type="gramEnd"/>
      <w:r w:rsidRPr="0080447D">
        <w:rPr>
          <w:rFonts w:ascii="Times New Roman" w:eastAsia="Times New Roman" w:hAnsi="Times New Roman"/>
          <w:sz w:val="24"/>
          <w:szCs w:val="24"/>
        </w:rPr>
        <w:t xml:space="preserve"> appellate review to be meaningful). </w:t>
      </w:r>
      <w:r>
        <w:rPr>
          <w:rFonts w:ascii="Times New Roman" w:eastAsia="Times New Roman" w:hAnsi="Times New Roman"/>
          <w:sz w:val="24"/>
          <w:szCs w:val="24"/>
        </w:rPr>
        <w:t xml:space="preserve">“ </w:t>
      </w:r>
      <w:hyperlink r:id="rId1203" w:history="1">
        <w:r w:rsidRPr="00EC5853">
          <w:rPr>
            <w:rStyle w:val="Hyperlink"/>
            <w:rFonts w:ascii="Times New Roman" w:eastAsia="Times New Roman" w:hAnsi="Times New Roman"/>
            <w:sz w:val="24"/>
            <w:szCs w:val="24"/>
          </w:rPr>
          <w:t>https://casetext.com/case/regan-v-city-of-philadelphia-workers-comp-appeal-board</w:t>
        </w:r>
      </w:hyperlink>
      <w:r>
        <w:rPr>
          <w:rFonts w:ascii="Times New Roman" w:eastAsia="Times New Roman" w:hAnsi="Times New Roman"/>
          <w:sz w:val="24"/>
          <w:szCs w:val="24"/>
        </w:rPr>
        <w:t xml:space="preserve"> </w:t>
      </w:r>
    </w:p>
    <w:p w14:paraId="38606B72" w14:textId="77777777" w:rsidR="00433119" w:rsidRPr="009459BB" w:rsidRDefault="00433119" w:rsidP="00433119">
      <w:pPr>
        <w:spacing w:before="100" w:beforeAutospacing="1" w:after="100" w:afterAutospacing="1" w:line="240" w:lineRule="auto"/>
        <w:rPr>
          <w:rFonts w:ascii="Times New Roman" w:eastAsia="Times New Roman" w:hAnsi="Times New Roman"/>
          <w:b/>
          <w:bCs/>
          <w:sz w:val="24"/>
          <w:szCs w:val="24"/>
        </w:rPr>
      </w:pPr>
      <w:r w:rsidRPr="009459B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statutory presumption for firefighters can be overcome by expert testimony, including evidence the firefighter was a heavy smoker. </w:t>
      </w:r>
    </w:p>
    <w:p w14:paraId="6606C2B6" w14:textId="77777777" w:rsidR="00433119" w:rsidRDefault="00433119" w:rsidP="00433119">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Ohio statutory presumption includes provision on firefighter use of tobacco products. </w:t>
      </w:r>
      <w:proofErr w:type="gramStart"/>
      <w:r>
        <w:rPr>
          <w:rFonts w:ascii="Times New Roman" w:eastAsia="Times New Roman" w:hAnsi="Times New Roman"/>
          <w:sz w:val="24"/>
          <w:szCs w:val="24"/>
        </w:rPr>
        <w:t>Ohio Rev. Code 4123.68,</w:t>
      </w:r>
      <w:proofErr w:type="gramEnd"/>
      <w:r>
        <w:rPr>
          <w:rFonts w:ascii="Times New Roman" w:eastAsia="Times New Roman" w:hAnsi="Times New Roman"/>
          <w:sz w:val="24"/>
          <w:szCs w:val="24"/>
        </w:rPr>
        <w:t xml:space="preserve"> includes following. </w:t>
      </w:r>
      <w:r w:rsidRPr="00223FC1">
        <w:t xml:space="preserve"> </w:t>
      </w:r>
      <w:hyperlink r:id="rId1204" w:history="1">
        <w:r w:rsidRPr="003A1264">
          <w:rPr>
            <w:rFonts w:ascii="Times New Roman" w:eastAsia="Times New Roman" w:hAnsi="Times New Roman"/>
            <w:sz w:val="24"/>
            <w:szCs w:val="24"/>
          </w:rPr>
          <w:t>https://codes.ohio.gov/ohio-revised-code/section-4123.68</w:t>
        </w:r>
      </w:hyperlink>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w:t>
      </w:r>
      <w:proofErr w:type="spellEnd"/>
    </w:p>
    <w:p w14:paraId="2C68B934" w14:textId="77777777" w:rsidR="00433119" w:rsidRDefault="00433119" w:rsidP="00433119">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w:t>
      </w:r>
      <w:r w:rsidRPr="00223FC1">
        <w:rPr>
          <w:rFonts w:ascii="Times New Roman" w:hAnsi="Times New Roman"/>
          <w:sz w:val="24"/>
          <w:szCs w:val="24"/>
        </w:rPr>
        <w:t>(X)(1) Cancer contracted by a firefighter: Cancer contracted by a firefighter who has been assigned to at least six years of hazardous duty as a firefighter constitutes a presumption that the cancer was contracted in the course of and arising out of the firefighter's employment if the firefighter was exposed to an agent classified by the international agency for research on cancer or its successor organization as a group 1 or 2A carcinogen.</w:t>
      </w:r>
    </w:p>
    <w:p w14:paraId="4895C7BF" w14:textId="77777777" w:rsidR="00433119" w:rsidRPr="00223FC1" w:rsidRDefault="00433119" w:rsidP="00433119">
      <w:pPr>
        <w:spacing w:before="100" w:beforeAutospacing="1" w:after="100" w:afterAutospacing="1" w:line="240" w:lineRule="auto"/>
        <w:ind w:left="1440"/>
        <w:rPr>
          <w:rFonts w:ascii="Times New Roman" w:eastAsia="Times New Roman" w:hAnsi="Times New Roman"/>
          <w:sz w:val="24"/>
          <w:szCs w:val="24"/>
        </w:rPr>
      </w:pPr>
      <w:r w:rsidRPr="00223FC1">
        <w:rPr>
          <w:rFonts w:ascii="Times New Roman" w:eastAsia="Times New Roman" w:hAnsi="Times New Roman"/>
          <w:sz w:val="24"/>
          <w:szCs w:val="24"/>
        </w:rPr>
        <w:t>(2) The presumption described in division (X)(1) of this section is rebuttable in any of the following situations:</w:t>
      </w:r>
    </w:p>
    <w:p w14:paraId="351CCBA5" w14:textId="77777777" w:rsidR="00433119" w:rsidRPr="00223FC1" w:rsidRDefault="00433119" w:rsidP="00433119">
      <w:pPr>
        <w:spacing w:before="100" w:beforeAutospacing="1" w:after="100" w:afterAutospacing="1" w:line="240" w:lineRule="auto"/>
        <w:ind w:left="1440"/>
        <w:rPr>
          <w:rFonts w:ascii="Times New Roman" w:eastAsia="Times New Roman" w:hAnsi="Times New Roman"/>
          <w:sz w:val="24"/>
          <w:szCs w:val="24"/>
        </w:rPr>
      </w:pPr>
      <w:r w:rsidRPr="00223FC1">
        <w:rPr>
          <w:rFonts w:ascii="Times New Roman" w:eastAsia="Times New Roman" w:hAnsi="Times New Roman"/>
          <w:sz w:val="24"/>
          <w:szCs w:val="24"/>
        </w:rPr>
        <w:t xml:space="preserve">(a) There is evidence that the firefighter's exposure, outside the scope of the firefighter's official duties, to cigarettes, tobacco products, or other conditions presenting an extremely high risk for the development of the cancer alleged, was probably a significant factor in the cause or progression of the </w:t>
      </w:r>
      <w:proofErr w:type="gramStart"/>
      <w:r w:rsidRPr="00223FC1">
        <w:rPr>
          <w:rFonts w:ascii="Times New Roman" w:eastAsia="Times New Roman" w:hAnsi="Times New Roman"/>
          <w:sz w:val="24"/>
          <w:szCs w:val="24"/>
        </w:rPr>
        <w:t>cancer.</w:t>
      </w:r>
      <w:r>
        <w:rPr>
          <w:rFonts w:ascii="Times New Roman" w:eastAsia="Times New Roman" w:hAnsi="Times New Roman"/>
          <w:sz w:val="24"/>
          <w:szCs w:val="24"/>
        </w:rPr>
        <w:t>”</w:t>
      </w:r>
      <w:proofErr w:type="gramEnd"/>
    </w:p>
    <w:p w14:paraId="02F22A35" w14:textId="1F49D307" w:rsidR="00B5724A" w:rsidRDefault="00B5724A" w:rsidP="00EF1133">
      <w:pPr>
        <w:rPr>
          <w:rFonts w:ascii="Arial Black" w:hAnsi="Arial Black"/>
          <w:b/>
          <w:sz w:val="24"/>
          <w:szCs w:val="24"/>
        </w:rPr>
      </w:pPr>
    </w:p>
    <w:p w14:paraId="6E31679E" w14:textId="77777777" w:rsidR="00B5724A" w:rsidRDefault="00B5724A" w:rsidP="00EF1133">
      <w:pPr>
        <w:rPr>
          <w:rFonts w:ascii="Arial Black" w:hAnsi="Arial Black"/>
          <w:b/>
          <w:sz w:val="24"/>
          <w:szCs w:val="24"/>
        </w:rPr>
      </w:pPr>
    </w:p>
    <w:p w14:paraId="0F9DB5E0" w14:textId="321AB88B" w:rsidR="00B5724A" w:rsidRDefault="00B5724A"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2</w:t>
      </w:r>
    </w:p>
    <w:p w14:paraId="3E61DE8B" w14:textId="77777777" w:rsidR="00B5724A" w:rsidRDefault="00B5724A" w:rsidP="00B5724A">
      <w:pPr>
        <w:pStyle w:val="Heading1"/>
        <w:ind w:left="90"/>
        <w:rPr>
          <w:rFonts w:ascii="Arial Black" w:hAnsi="Arial Black"/>
          <w:b w:val="0"/>
          <w:bCs w:val="0"/>
          <w:sz w:val="28"/>
          <w:szCs w:val="28"/>
        </w:rPr>
      </w:pPr>
      <w:r>
        <w:rPr>
          <w:rFonts w:ascii="Arial Black" w:hAnsi="Arial Black"/>
          <w:b w:val="0"/>
          <w:bCs w:val="0"/>
          <w:sz w:val="28"/>
          <w:szCs w:val="28"/>
        </w:rPr>
        <w:t xml:space="preserve">WA: HEART - RETIRED FF - FAILED TO HAVE CARDIOLOGIST TESTIFY HEART CONDITION CAUSE EARLY SYMPTOMS </w:t>
      </w:r>
    </w:p>
    <w:p w14:paraId="4BA36305" w14:textId="77777777" w:rsidR="00B5724A" w:rsidRDefault="00B5724A" w:rsidP="00B5724A">
      <w:pPr>
        <w:pStyle w:val="Heading1"/>
        <w:rPr>
          <w:b w:val="0"/>
          <w:bCs w:val="0"/>
          <w:sz w:val="24"/>
          <w:szCs w:val="24"/>
        </w:rPr>
      </w:pPr>
      <w:r>
        <w:rPr>
          <w:b w:val="0"/>
          <w:bCs w:val="0"/>
          <w:sz w:val="24"/>
          <w:szCs w:val="24"/>
        </w:rPr>
        <w:t xml:space="preserve">On Dec. 7, 2021, in </w:t>
      </w:r>
      <w:r w:rsidRPr="009E02C5">
        <w:rPr>
          <w:b w:val="0"/>
          <w:bCs w:val="0"/>
          <w:sz w:val="24"/>
          <w:szCs w:val="24"/>
          <w:u w:val="single"/>
        </w:rPr>
        <w:t xml:space="preserve">Larry Spohn v. Department of Labor </w:t>
      </w:r>
      <w:proofErr w:type="gramStart"/>
      <w:r w:rsidRPr="009E02C5">
        <w:rPr>
          <w:b w:val="0"/>
          <w:bCs w:val="0"/>
          <w:sz w:val="24"/>
          <w:szCs w:val="24"/>
          <w:u w:val="single"/>
        </w:rPr>
        <w:t>And</w:t>
      </w:r>
      <w:proofErr w:type="gramEnd"/>
      <w:r w:rsidRPr="009E02C5">
        <w:rPr>
          <w:b w:val="0"/>
          <w:bCs w:val="0"/>
          <w:sz w:val="24"/>
          <w:szCs w:val="24"/>
          <w:u w:val="single"/>
        </w:rPr>
        <w:t xml:space="preserve"> Industries</w:t>
      </w:r>
      <w:r>
        <w:rPr>
          <w:b w:val="0"/>
          <w:bCs w:val="0"/>
          <w:sz w:val="24"/>
          <w:szCs w:val="24"/>
        </w:rPr>
        <w:t>, the Court of Appeals of Washington, Division 2, held (3 to 0) that trial court is reversed and should not have granted the firefighter’s claim for workers comp.  The firefighter (firefighter from 1990 to 2013) submitted his application for benefits in 2017, his “</w:t>
      </w:r>
      <w:r w:rsidRPr="00154601">
        <w:rPr>
          <w:b w:val="0"/>
          <w:bCs w:val="0"/>
          <w:sz w:val="24"/>
          <w:szCs w:val="24"/>
        </w:rPr>
        <w:t>application for benefits failed to include a physician's report or medical proof. The Department notified Spohn that it had not received the provider's section of the application four separate times.</w:t>
      </w:r>
      <w:r>
        <w:rPr>
          <w:b w:val="0"/>
          <w:bCs w:val="0"/>
          <w:sz w:val="24"/>
          <w:szCs w:val="24"/>
        </w:rPr>
        <w:t xml:space="preserve">”  </w:t>
      </w:r>
    </w:p>
    <w:p w14:paraId="561A9F91" w14:textId="77777777" w:rsidR="00B5724A" w:rsidRPr="00D038EE" w:rsidRDefault="00B5724A" w:rsidP="00B5724A">
      <w:pPr>
        <w:ind w:left="720"/>
        <w:rPr>
          <w:rFonts w:ascii="Times New Roman" w:hAnsi="Times New Roman"/>
          <w:sz w:val="24"/>
          <w:szCs w:val="24"/>
        </w:rPr>
      </w:pPr>
      <w:r w:rsidRPr="00D038EE">
        <w:rPr>
          <w:rFonts w:ascii="Times New Roman" w:hAnsi="Times New Roman"/>
          <w:sz w:val="24"/>
          <w:szCs w:val="24"/>
        </w:rPr>
        <w:t xml:space="preserve">“Spohn contends that he is entitled to the presumption in RCW 51.32.185(1)(a)(ii) because he provided evidence that he suffered shortness of breath, fatigue, and other symptoms with 72 hours of exposure to smoke, fumes, or toxic substances and within 24 hours of strenuous physical exertion due to firefighting activities. But experiencing symptoms that could reflect a heart condition is not sufficient to trigger the presumption in RCW 51.32.185(1)(a)(ii) without a doctor providing a medical opinion that those symptoms were caused by a heart condition. As our Supreme Court has recognized, testimony about symptoms is not a substitute for a doctor's testimony that the symptoms were evidence of a specific health condition. Gorre, 184 Wn.2d at 38. Medical testimony is required to connect the symptoms that Spohn experienced to a heart problem. Spohn has not provided any admissible medical evidence that the symptoms he experienced were related to a heart problem.” </w:t>
      </w:r>
      <w:hyperlink r:id="rId1205" w:history="1">
        <w:r w:rsidRPr="00EC5853">
          <w:rPr>
            <w:rStyle w:val="Hyperlink"/>
            <w:rFonts w:ascii="Times New Roman" w:hAnsi="Times New Roman"/>
            <w:sz w:val="24"/>
            <w:szCs w:val="24"/>
          </w:rPr>
          <w:t>https://law.justia.com/cases/washington/court-of-appeals-division-ii/2021/54914-0.html</w:t>
        </w:r>
      </w:hyperlink>
      <w:r>
        <w:rPr>
          <w:rFonts w:ascii="Times New Roman" w:hAnsi="Times New Roman"/>
          <w:sz w:val="24"/>
          <w:szCs w:val="24"/>
        </w:rPr>
        <w:t xml:space="preserve"> </w:t>
      </w:r>
    </w:p>
    <w:p w14:paraId="239E2266" w14:textId="77777777" w:rsidR="00B5724A" w:rsidRPr="000B3190" w:rsidRDefault="00B5724A" w:rsidP="00B5724A">
      <w:pPr>
        <w:pStyle w:val="Heading1"/>
        <w:rPr>
          <w:sz w:val="24"/>
          <w:szCs w:val="24"/>
        </w:rPr>
      </w:pPr>
      <w:r w:rsidRPr="000B3190">
        <w:rPr>
          <w:sz w:val="24"/>
          <w:szCs w:val="24"/>
        </w:rPr>
        <w:t>Legal Lesson Learned:  The for</w:t>
      </w:r>
      <w:r>
        <w:rPr>
          <w:sz w:val="24"/>
          <w:szCs w:val="24"/>
        </w:rPr>
        <w:t>mer</w:t>
      </w:r>
      <w:r w:rsidRPr="000B3190">
        <w:rPr>
          <w:sz w:val="24"/>
          <w:szCs w:val="24"/>
        </w:rPr>
        <w:t xml:space="preserve"> firefighter never provided medical testimony to support his claim. </w:t>
      </w:r>
    </w:p>
    <w:p w14:paraId="7E3A65AA" w14:textId="77777777" w:rsidR="00B5724A" w:rsidRDefault="00B5724A" w:rsidP="00EF1133">
      <w:pPr>
        <w:rPr>
          <w:rFonts w:ascii="Arial Black" w:hAnsi="Arial Black"/>
          <w:b/>
          <w:sz w:val="24"/>
          <w:szCs w:val="24"/>
        </w:rPr>
      </w:pPr>
    </w:p>
    <w:p w14:paraId="1394245F" w14:textId="77777777" w:rsidR="00B5724A" w:rsidRDefault="00B5724A" w:rsidP="00EF1133">
      <w:pPr>
        <w:rPr>
          <w:rFonts w:ascii="Arial Black" w:hAnsi="Arial Black"/>
          <w:b/>
          <w:sz w:val="24"/>
          <w:szCs w:val="24"/>
        </w:rPr>
      </w:pPr>
    </w:p>
    <w:p w14:paraId="74AE0AF9" w14:textId="1DD86925" w:rsidR="00D43015" w:rsidRDefault="00D43015"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1</w:t>
      </w:r>
    </w:p>
    <w:p w14:paraId="1EB675A9" w14:textId="77777777" w:rsidR="00D43015" w:rsidRPr="001C0F6C" w:rsidRDefault="00D43015" w:rsidP="00D4301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WA: BLADDER CANCER – FF WINS WORKERS COMP. COVERAGE – STATUTORY PRESUMPTION ALL CANCERS</w:t>
      </w:r>
    </w:p>
    <w:p w14:paraId="58CC980E" w14:textId="77777777" w:rsidR="00D43015" w:rsidRDefault="00D43015" w:rsidP="00D43015">
      <w:pPr>
        <w:spacing w:before="100" w:beforeAutospacing="1" w:after="100" w:afterAutospacing="1" w:line="240" w:lineRule="auto"/>
        <w:rPr>
          <w:rFonts w:ascii="Times New Roman" w:hAnsi="Times New Roman"/>
          <w:sz w:val="24"/>
          <w:szCs w:val="24"/>
        </w:rPr>
      </w:pPr>
      <w:r w:rsidRPr="001C0F6C">
        <w:rPr>
          <w:rFonts w:ascii="Times New Roman" w:eastAsia="Times New Roman" w:hAnsi="Times New Roman"/>
          <w:sz w:val="24"/>
          <w:szCs w:val="24"/>
        </w:rPr>
        <w:t xml:space="preserve">On </w:t>
      </w:r>
      <w:r>
        <w:rPr>
          <w:rFonts w:ascii="Times New Roman" w:eastAsia="Times New Roman" w:hAnsi="Times New Roman"/>
          <w:sz w:val="24"/>
          <w:szCs w:val="24"/>
        </w:rPr>
        <w:t xml:space="preserve">Nov. 9, 2021, in </w:t>
      </w:r>
      <w:r w:rsidRPr="001C0F6C">
        <w:rPr>
          <w:rFonts w:ascii="Times New Roman" w:eastAsia="Times New Roman" w:hAnsi="Times New Roman"/>
          <w:sz w:val="24"/>
          <w:szCs w:val="24"/>
          <w:u w:val="single"/>
        </w:rPr>
        <w:t xml:space="preserve">Stephen T. Bradley v. City of Olympia and Department of Labor </w:t>
      </w:r>
      <w:proofErr w:type="gramStart"/>
      <w:r w:rsidRPr="001C0F6C">
        <w:rPr>
          <w:rFonts w:ascii="Times New Roman" w:eastAsia="Times New Roman" w:hAnsi="Times New Roman"/>
          <w:sz w:val="24"/>
          <w:szCs w:val="24"/>
          <w:u w:val="single"/>
        </w:rPr>
        <w:t>And</w:t>
      </w:r>
      <w:proofErr w:type="gramEnd"/>
      <w:r w:rsidRPr="001C0F6C">
        <w:rPr>
          <w:rFonts w:ascii="Times New Roman" w:eastAsia="Times New Roman" w:hAnsi="Times New Roman"/>
          <w:sz w:val="24"/>
          <w:szCs w:val="24"/>
          <w:u w:val="single"/>
        </w:rPr>
        <w:t xml:space="preserve"> Industries</w:t>
      </w:r>
      <w:r>
        <w:rPr>
          <w:rFonts w:ascii="Times New Roman" w:eastAsia="Times New Roman" w:hAnsi="Times New Roman"/>
          <w:sz w:val="24"/>
          <w:szCs w:val="24"/>
        </w:rPr>
        <w:t xml:space="preserve">, the Court of Appeals of Washington, Division 2, held (3 to 0) that a Superior Court judge properly determined that the firefighter was entitled to workers comp coverage under the state statute, </w:t>
      </w:r>
      <w:r w:rsidRPr="00B014FB">
        <w:rPr>
          <w:rFonts w:ascii="Times New Roman" w:hAnsi="Times New Roman"/>
          <w:sz w:val="24"/>
          <w:szCs w:val="24"/>
        </w:rPr>
        <w:t>RCW 51.32.185(1)(a)(iii).</w:t>
      </w:r>
      <w:r>
        <w:rPr>
          <w:rFonts w:ascii="Times New Roman" w:hAnsi="Times New Roman"/>
          <w:sz w:val="24"/>
          <w:szCs w:val="24"/>
        </w:rPr>
        <w:t xml:space="preserve">  The City argued that firefighting “in general” does not cause bladder cancer, but that is not sufficient to rebut the statutory presumption.  The statute covers all cancers. </w:t>
      </w:r>
    </w:p>
    <w:p w14:paraId="3BF22BC0" w14:textId="77777777" w:rsidR="00D43015" w:rsidRDefault="00D43015" w:rsidP="00D4301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B014FB">
        <w:rPr>
          <w:rFonts w:ascii="Times New Roman" w:hAnsi="Times New Roman"/>
          <w:sz w:val="24"/>
          <w:szCs w:val="24"/>
        </w:rPr>
        <w:t xml:space="preserve">(1)(a) In the case of firefighters as defined in RCW </w:t>
      </w:r>
      <w:hyperlink r:id="rId1206" w:history="1">
        <w:r w:rsidRPr="00B014FB">
          <w:rPr>
            <w:rStyle w:val="Hyperlink"/>
            <w:rFonts w:ascii="Times New Roman" w:hAnsi="Times New Roman"/>
            <w:sz w:val="24"/>
            <w:szCs w:val="24"/>
          </w:rPr>
          <w:t>41.26.030</w:t>
        </w:r>
      </w:hyperlink>
      <w:r w:rsidRPr="00B014FB">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sidRPr="00B014FB">
        <w:rPr>
          <w:rFonts w:ascii="Times New Roman" w:hAnsi="Times New Roman"/>
          <w:sz w:val="24"/>
          <w:szCs w:val="24"/>
        </w:rPr>
        <w:t>i</w:t>
      </w:r>
      <w:proofErr w:type="spellEnd"/>
      <w:r w:rsidRPr="00B014FB">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207" w:history="1">
        <w:r w:rsidRPr="00B014FB">
          <w:rPr>
            <w:rStyle w:val="Hyperlink"/>
            <w:rFonts w:ascii="Times New Roman" w:hAnsi="Times New Roman"/>
            <w:sz w:val="24"/>
            <w:szCs w:val="24"/>
          </w:rPr>
          <w:t>51.08.140</w:t>
        </w:r>
      </w:hyperlink>
      <w:r w:rsidRPr="00B014FB">
        <w:rPr>
          <w:rFonts w:ascii="Times New Roman" w:hAnsi="Times New Roman"/>
          <w:sz w:val="24"/>
          <w:szCs w:val="24"/>
        </w:rPr>
        <w:t>.</w:t>
      </w:r>
      <w:r>
        <w:rPr>
          <w:rFonts w:ascii="Times New Roman" w:hAnsi="Times New Roman"/>
          <w:sz w:val="24"/>
          <w:szCs w:val="24"/>
        </w:rPr>
        <w:t xml:space="preserve">” </w:t>
      </w:r>
      <w:hyperlink r:id="rId1208" w:history="1">
        <w:r w:rsidRPr="00316766">
          <w:rPr>
            <w:rStyle w:val="Hyperlink"/>
            <w:rFonts w:ascii="Times New Roman" w:hAnsi="Times New Roman"/>
            <w:sz w:val="24"/>
            <w:szCs w:val="24"/>
          </w:rPr>
          <w:t>https://apps.leg.wa.gov/rcw/default.aspx?cite=51.32.185</w:t>
        </w:r>
      </w:hyperlink>
      <w:r>
        <w:rPr>
          <w:rFonts w:ascii="Times New Roman" w:hAnsi="Times New Roman"/>
          <w:sz w:val="24"/>
          <w:szCs w:val="24"/>
        </w:rPr>
        <w:t xml:space="preserve"> </w:t>
      </w:r>
    </w:p>
    <w:p w14:paraId="54853659" w14:textId="77777777" w:rsidR="00D43015" w:rsidRPr="00B014FB" w:rsidRDefault="00D43015" w:rsidP="00D43015">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The Court held:</w:t>
      </w:r>
    </w:p>
    <w:p w14:paraId="1582C6C2" w14:textId="77777777" w:rsidR="00D43015" w:rsidRDefault="00D43015" w:rsidP="00D43015">
      <w:pPr>
        <w:spacing w:before="100" w:beforeAutospacing="1" w:after="100" w:afterAutospacing="1" w:line="240" w:lineRule="auto"/>
        <w:ind w:left="720"/>
        <w:rPr>
          <w:rFonts w:ascii="Times New Roman" w:hAnsi="Times New Roman"/>
          <w:sz w:val="24"/>
          <w:szCs w:val="24"/>
        </w:rPr>
      </w:pPr>
      <w:r w:rsidRPr="008B2ECB">
        <w:rPr>
          <w:rFonts w:ascii="Times New Roman" w:hAnsi="Times New Roman"/>
          <w:sz w:val="24"/>
          <w:szCs w:val="24"/>
        </w:rPr>
        <w:t xml:space="preserve">“DLI denied Bradley's workers' compensation claim, and Bradley filed a petition for review with the Board of Industrial Insurance Appeals (Board). To rebut the RCW 51.32.185(1)(a) presumption, the </w:t>
      </w:r>
      <w:proofErr w:type="gramStart"/>
      <w:r w:rsidRPr="008B2ECB">
        <w:rPr>
          <w:rFonts w:ascii="Times New Roman" w:hAnsi="Times New Roman"/>
          <w:sz w:val="24"/>
          <w:szCs w:val="24"/>
        </w:rPr>
        <w:t>City</w:t>
      </w:r>
      <w:proofErr w:type="gramEnd"/>
      <w:r w:rsidRPr="008B2ECB">
        <w:rPr>
          <w:rFonts w:ascii="Times New Roman" w:hAnsi="Times New Roman"/>
          <w:sz w:val="24"/>
          <w:szCs w:val="24"/>
        </w:rPr>
        <w:t xml:space="preserve"> presented medical evidence that firefighting activities </w:t>
      </w:r>
      <w:r w:rsidRPr="008B2ECB">
        <w:rPr>
          <w:rStyle w:val="Emphasis"/>
          <w:rFonts w:ascii="Times New Roman" w:hAnsi="Times New Roman"/>
          <w:sz w:val="24"/>
          <w:szCs w:val="24"/>
        </w:rPr>
        <w:t>in general</w:t>
      </w:r>
      <w:r w:rsidRPr="008B2ECB">
        <w:rPr>
          <w:rFonts w:ascii="Times New Roman" w:hAnsi="Times New Roman"/>
          <w:sz w:val="24"/>
          <w:szCs w:val="24"/>
        </w:rPr>
        <w:t xml:space="preserve"> do not cause bladder cancer. The Board affirmed DLI's denial, finding that the </w:t>
      </w:r>
      <w:proofErr w:type="gramStart"/>
      <w:r w:rsidRPr="008B2ECB">
        <w:rPr>
          <w:rFonts w:ascii="Times New Roman" w:hAnsi="Times New Roman"/>
          <w:sz w:val="24"/>
          <w:szCs w:val="24"/>
        </w:rPr>
        <w:t>City</w:t>
      </w:r>
      <w:proofErr w:type="gramEnd"/>
      <w:r w:rsidRPr="008B2ECB">
        <w:rPr>
          <w:rFonts w:ascii="Times New Roman" w:hAnsi="Times New Roman"/>
          <w:sz w:val="24"/>
          <w:szCs w:val="24"/>
        </w:rPr>
        <w:t xml:space="preserve"> had rebutted the statutory presumption. On appeal, the superior court granted summary judgment in favor of Bradley on the grounds that the City's medical evidence could not rebut the RCW 51.32.185(1)(a) presumption.</w:t>
      </w:r>
    </w:p>
    <w:p w14:paraId="550FAC75" w14:textId="77777777" w:rsidR="00D43015" w:rsidRDefault="00D43015" w:rsidP="00D43015">
      <w:pPr>
        <w:spacing w:before="100" w:beforeAutospacing="1" w:after="100" w:afterAutospacing="1" w:line="240" w:lineRule="auto"/>
        <w:ind w:left="720"/>
        <w:rPr>
          <w:rFonts w:ascii="Times New Roman" w:hAnsi="Times New Roman"/>
          <w:sz w:val="24"/>
          <w:szCs w:val="24"/>
        </w:rPr>
      </w:pPr>
      <w:r w:rsidRPr="000C3B96">
        <w:rPr>
          <w:rFonts w:ascii="Times New Roman" w:hAnsi="Times New Roman"/>
          <w:sz w:val="24"/>
          <w:szCs w:val="24"/>
        </w:rPr>
        <w:t xml:space="preserve">We hold that an employer cannot rebut the presumption under RCW 51.32.185(1)(a) with evidence that firefighting activities </w:t>
      </w:r>
      <w:r w:rsidRPr="000C3B96">
        <w:rPr>
          <w:rStyle w:val="Emphasis"/>
          <w:rFonts w:ascii="Times New Roman" w:hAnsi="Times New Roman"/>
          <w:sz w:val="24"/>
          <w:szCs w:val="24"/>
        </w:rPr>
        <w:t>in general</w:t>
      </w:r>
      <w:r w:rsidRPr="000C3B96">
        <w:rPr>
          <w:rFonts w:ascii="Times New Roman" w:hAnsi="Times New Roman"/>
          <w:sz w:val="24"/>
          <w:szCs w:val="24"/>
        </w:rPr>
        <w:t xml:space="preserve"> do not cause bladder cancer. Instead, to avoid summary judgment an employer must present sufficient evidence that the individual claimant's bladder cancer was caused by nonoccupational factors. Here, summary judgment was appropriate because the City failed to present evidence that created a genuine issue of material fact as to whether nonoccupational factors caused Bradley's bladder cancer.</w:t>
      </w:r>
      <w:r>
        <w:rPr>
          <w:rFonts w:ascii="Times New Roman" w:hAnsi="Times New Roman"/>
          <w:sz w:val="24"/>
          <w:szCs w:val="24"/>
        </w:rPr>
        <w:t xml:space="preserve">” </w:t>
      </w:r>
      <w:hyperlink r:id="rId1209" w:history="1">
        <w:r w:rsidRPr="00316766">
          <w:rPr>
            <w:rStyle w:val="Hyperlink"/>
            <w:rFonts w:ascii="Times New Roman" w:hAnsi="Times New Roman"/>
            <w:sz w:val="24"/>
            <w:szCs w:val="24"/>
          </w:rPr>
          <w:t>https://casetext.com/case/bradley-v-city-of-olympia</w:t>
        </w:r>
      </w:hyperlink>
      <w:r>
        <w:rPr>
          <w:rFonts w:ascii="Times New Roman" w:hAnsi="Times New Roman"/>
          <w:sz w:val="24"/>
          <w:szCs w:val="24"/>
        </w:rPr>
        <w:t xml:space="preserve"> </w:t>
      </w:r>
    </w:p>
    <w:p w14:paraId="25394401" w14:textId="77777777" w:rsidR="00D43015" w:rsidRPr="00502D61" w:rsidRDefault="00D43015" w:rsidP="00D43015">
      <w:pPr>
        <w:spacing w:before="100" w:beforeAutospacing="1" w:after="100" w:afterAutospacing="1" w:line="240" w:lineRule="auto"/>
        <w:rPr>
          <w:rFonts w:ascii="Times New Roman" w:eastAsia="Times New Roman" w:hAnsi="Times New Roman"/>
          <w:b/>
          <w:bCs/>
          <w:sz w:val="24"/>
          <w:szCs w:val="24"/>
        </w:rPr>
      </w:pPr>
      <w:r w:rsidRPr="00502D61">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Great decision reflecting why a statutory presumption is extremely helpful in firefighter cancer claims. </w:t>
      </w:r>
    </w:p>
    <w:p w14:paraId="4C5C8FA0" w14:textId="77777777" w:rsidR="00D43015" w:rsidRDefault="00D43015" w:rsidP="00EF1133">
      <w:pPr>
        <w:rPr>
          <w:rFonts w:ascii="Arial Black" w:hAnsi="Arial Black"/>
          <w:b/>
          <w:sz w:val="24"/>
          <w:szCs w:val="24"/>
        </w:rPr>
      </w:pPr>
    </w:p>
    <w:p w14:paraId="0532651D" w14:textId="77777777" w:rsidR="00D43015" w:rsidRDefault="00D43015" w:rsidP="00EF1133">
      <w:pPr>
        <w:rPr>
          <w:rFonts w:ascii="Arial Black" w:hAnsi="Arial Black"/>
          <w:b/>
          <w:sz w:val="24"/>
          <w:szCs w:val="24"/>
        </w:rPr>
      </w:pPr>
    </w:p>
    <w:p w14:paraId="132C3C9F" w14:textId="1E9E7F85" w:rsidR="0082055F" w:rsidRDefault="0082055F"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0</w:t>
      </w:r>
    </w:p>
    <w:p w14:paraId="7F8105E0" w14:textId="77777777" w:rsidR="0082055F" w:rsidRDefault="0082055F" w:rsidP="0082055F">
      <w:pPr>
        <w:spacing w:before="100" w:beforeAutospacing="1" w:after="100" w:afterAutospacing="1" w:line="240" w:lineRule="auto"/>
        <w:rPr>
          <w:rFonts w:ascii="Arial Black" w:hAnsi="Arial Black"/>
          <w:sz w:val="28"/>
          <w:szCs w:val="28"/>
        </w:rPr>
      </w:pPr>
      <w:r>
        <w:rPr>
          <w:rFonts w:ascii="Arial Black" w:hAnsi="Arial Black"/>
          <w:sz w:val="28"/>
          <w:szCs w:val="28"/>
        </w:rPr>
        <w:t>RI: STATE PENSION BOARD – CAN’T RECOUP $129,000 OVERPAY 15 RETIRED FF – WAITED 6 YEARS INFORM THEM</w:t>
      </w:r>
    </w:p>
    <w:p w14:paraId="13CB6DE5" w14:textId="77777777" w:rsidR="0082055F" w:rsidRDefault="0082055F" w:rsidP="0082055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25, 2021, in </w:t>
      </w:r>
      <w:r w:rsidRPr="009967FA">
        <w:rPr>
          <w:rFonts w:ascii="Times New Roman" w:hAnsi="Times New Roman"/>
          <w:sz w:val="24"/>
          <w:szCs w:val="24"/>
          <w:u w:val="single"/>
        </w:rPr>
        <w:t>Frank Andre, et al. v. Employee’s Retirement System of Ohio</w:t>
      </w:r>
      <w:r>
        <w:rPr>
          <w:rFonts w:ascii="Times New Roman" w:hAnsi="Times New Roman"/>
          <w:sz w:val="24"/>
          <w:szCs w:val="24"/>
        </w:rPr>
        <w:t xml:space="preserve">, the Judge Susan E. McGuirl, Superior Court of Rhode Island, Providence, held that while the North Providence Fire Department’s CBA provided that FF overtime pay be reported to State Pension Board as part of their regular wages, this violated state law and must be stopped, but the Board knew of the problem since 2011 and never informed retirees until 2017. </w:t>
      </w:r>
    </w:p>
    <w:p w14:paraId="7E43A60E" w14:textId="77777777" w:rsidR="0082055F" w:rsidRPr="009967FA" w:rsidRDefault="0082055F" w:rsidP="0082055F">
      <w:pPr>
        <w:spacing w:before="100" w:beforeAutospacing="1" w:after="100" w:afterAutospacing="1" w:line="240" w:lineRule="auto"/>
        <w:ind w:left="720"/>
        <w:rPr>
          <w:rFonts w:ascii="Times New Roman" w:eastAsia="Times New Roman" w:hAnsi="Times New Roman"/>
          <w:sz w:val="24"/>
          <w:szCs w:val="24"/>
        </w:rPr>
      </w:pPr>
      <w:r w:rsidRPr="000F1C37">
        <w:rPr>
          <w:rFonts w:ascii="Times New Roman" w:eastAsia="Times New Roman" w:hAnsi="Times New Roman"/>
          <w:sz w:val="24"/>
          <w:szCs w:val="24"/>
        </w:rPr>
        <w:t>“</w:t>
      </w:r>
      <w:r w:rsidRPr="00A71871">
        <w:rPr>
          <w:rFonts w:ascii="Times New Roman" w:eastAsia="Times New Roman" w:hAnsi="Times New Roman"/>
          <w:sz w:val="24"/>
          <w:szCs w:val="24"/>
        </w:rPr>
        <w:t>The record reflects that, in total, the fifteen Petitioners would be required to pay back $129, 286.64</w:t>
      </w:r>
      <w:r w:rsidRPr="000F1C37">
        <w:rPr>
          <w:rFonts w:ascii="Times New Roman" w:eastAsia="Times New Roman" w:hAnsi="Times New Roman"/>
          <w:sz w:val="24"/>
          <w:szCs w:val="24"/>
        </w:rPr>
        <w:t xml:space="preserve">. </w:t>
      </w:r>
      <w:r w:rsidRPr="000F1C37">
        <w:rPr>
          <w:rFonts w:ascii="Times New Roman" w:hAnsi="Times New Roman"/>
          <w:sz w:val="24"/>
          <w:szCs w:val="24"/>
        </w:rPr>
        <w:t>As discussed above, ERSRI had discovered the mistaken overpayment of benefits by early 2011, as evidenced when its internal legal counsel reached out to the Town for assistance in correcting the matter</w:t>
      </w:r>
      <w:r>
        <w:rPr>
          <w:rFonts w:ascii="Times New Roman" w:hAnsi="Times New Roman"/>
          <w:sz w:val="24"/>
          <w:szCs w:val="24"/>
        </w:rPr>
        <w:t xml:space="preserve">…. </w:t>
      </w:r>
      <w:r w:rsidRPr="000F1C37">
        <w:rPr>
          <w:rFonts w:ascii="Times New Roman" w:hAnsi="Times New Roman"/>
          <w:sz w:val="24"/>
          <w:szCs w:val="24"/>
        </w:rPr>
        <w:t>It was not until April and May 2017 that ERSRI informed Petitioners of the overpayments, their cessation, and the recoupment of the overpaid benefits</w:t>
      </w:r>
      <w:r>
        <w:rPr>
          <w:rFonts w:ascii="Times New Roman" w:hAnsi="Times New Roman"/>
          <w:sz w:val="24"/>
          <w:szCs w:val="24"/>
        </w:rPr>
        <w:t xml:space="preserve">… </w:t>
      </w:r>
      <w:r w:rsidRPr="000F1C37">
        <w:rPr>
          <w:rFonts w:ascii="Times New Roman" w:hAnsi="Times New Roman"/>
          <w:sz w:val="24"/>
          <w:szCs w:val="24"/>
        </w:rPr>
        <w:t xml:space="preserve"> In the interim, Petitioners </w:t>
      </w:r>
      <w:proofErr w:type="gramStart"/>
      <w:r w:rsidRPr="000F1C37">
        <w:rPr>
          <w:rFonts w:ascii="Times New Roman" w:hAnsi="Times New Roman"/>
          <w:sz w:val="24"/>
          <w:szCs w:val="24"/>
        </w:rPr>
        <w:t>had continued</w:t>
      </w:r>
      <w:proofErr w:type="gramEnd"/>
      <w:r w:rsidRPr="000F1C37">
        <w:rPr>
          <w:rFonts w:ascii="Times New Roman" w:hAnsi="Times New Roman"/>
          <w:sz w:val="24"/>
          <w:szCs w:val="24"/>
        </w:rPr>
        <w:t xml:space="preserve"> to receive those benefits.</w:t>
      </w:r>
      <w:r>
        <w:rPr>
          <w:rFonts w:ascii="Times New Roman" w:hAnsi="Times New Roman"/>
          <w:sz w:val="24"/>
          <w:szCs w:val="24"/>
        </w:rPr>
        <w:t xml:space="preserve"> *** </w:t>
      </w:r>
      <w:r w:rsidRPr="009967FA">
        <w:rPr>
          <w:rFonts w:ascii="Times New Roman" w:eastAsia="Times New Roman" w:hAnsi="Times New Roman"/>
          <w:sz w:val="24"/>
          <w:szCs w:val="24"/>
        </w:rPr>
        <w:t>While the above emails indicate that ERSRI was in sporadic contact with the Town regarding the need for recalculations, this Court is troubled by the lengthy and recurring gaps between those communications. ERSRI knew that with each pension check they drew, Petitioners received what it considered to be improper benefits. Accordingly, ERSRI needed to act with diligence and expedition to obtain the information required. This Court also notes the apparent lack of urgency with which ERSRI sought to notify Petitioners of the issue, as Petitioners could have been informed of the potential change to their pensions before the exact adjustments were determined.</w:t>
      </w:r>
      <w:r>
        <w:rPr>
          <w:rFonts w:ascii="Times New Roman" w:eastAsia="Times New Roman" w:hAnsi="Times New Roman"/>
          <w:sz w:val="24"/>
          <w:szCs w:val="24"/>
        </w:rPr>
        <w:t xml:space="preserve"> </w:t>
      </w:r>
      <w:r w:rsidRPr="00DF1C6F">
        <w:rPr>
          <w:rFonts w:ascii="Times New Roman" w:eastAsia="Times New Roman" w:hAnsi="Times New Roman"/>
          <w:sz w:val="24"/>
          <w:szCs w:val="24"/>
        </w:rPr>
        <w:t xml:space="preserve">*** </w:t>
      </w:r>
      <w:r w:rsidRPr="00DF1C6F">
        <w:rPr>
          <w:rFonts w:ascii="Times New Roman" w:hAnsi="Times New Roman"/>
          <w:sz w:val="24"/>
          <w:szCs w:val="24"/>
        </w:rPr>
        <w:t>In conclusion, while the Board's interpretation of § 36-8-1(8) as excluding longevity payments calculated with reference to overtime was not an error of law, the Board's decision to unilaterally recoup the overpaid benefits from Petitioners is barred by the doctrines of laches and equitable estoppel. Accordingly, Petitioners' appeal is sustained, and the decision of the Board is hereby reversed. Counsel shall submit the appropriate order for entry.</w:t>
      </w:r>
      <w:r>
        <w:t xml:space="preserve"> </w:t>
      </w:r>
      <w:hyperlink r:id="rId1210" w:history="1">
        <w:r w:rsidRPr="007148A2">
          <w:rPr>
            <w:rStyle w:val="Hyperlink"/>
            <w:sz w:val="24"/>
            <w:szCs w:val="24"/>
          </w:rPr>
          <w:t>https://public.fastcase.com/9SKwsfNqTc6OieYDhNMyM7K54qMUE6VagvA5ZeUquJVblXNtT5CMEmLb%2FOI9awGykkKYC2JU7RwfzsQEOAIcP6T5leBqhSKOtHvIUfiLV%2Fs%3D</w:t>
        </w:r>
      </w:hyperlink>
      <w:r>
        <w:rPr>
          <w:rFonts w:ascii="Times New Roman" w:eastAsia="Times New Roman" w:hAnsi="Times New Roman"/>
          <w:sz w:val="24"/>
          <w:szCs w:val="24"/>
        </w:rPr>
        <w:t xml:space="preserve"> </w:t>
      </w:r>
    </w:p>
    <w:p w14:paraId="3FC2E16A" w14:textId="77777777" w:rsidR="0082055F" w:rsidRPr="00DF1C6F" w:rsidRDefault="0082055F" w:rsidP="0082055F">
      <w:pPr>
        <w:spacing w:before="100" w:beforeAutospacing="1" w:after="100" w:afterAutospacing="1" w:line="240" w:lineRule="auto"/>
        <w:rPr>
          <w:rFonts w:ascii="Times New Roman" w:hAnsi="Times New Roman"/>
          <w:b/>
          <w:bCs/>
          <w:sz w:val="24"/>
          <w:szCs w:val="24"/>
        </w:rPr>
      </w:pPr>
      <w:r w:rsidRPr="00DF1C6F">
        <w:rPr>
          <w:rFonts w:ascii="Times New Roman" w:hAnsi="Times New Roman"/>
          <w:b/>
          <w:bCs/>
          <w:sz w:val="24"/>
          <w:szCs w:val="24"/>
        </w:rPr>
        <w:t>Legal Lesson Learned:</w:t>
      </w:r>
      <w:r>
        <w:rPr>
          <w:rFonts w:ascii="Times New Roman" w:hAnsi="Times New Roman"/>
          <w:b/>
          <w:bCs/>
          <w:sz w:val="24"/>
          <w:szCs w:val="24"/>
        </w:rPr>
        <w:t xml:space="preserve"> Nice to see decision that six-year delay by Pension Board protects retirees from forced payback.  State may appeal this decision. </w:t>
      </w:r>
    </w:p>
    <w:p w14:paraId="732ADF62" w14:textId="77777777" w:rsidR="0082055F" w:rsidRDefault="0082055F" w:rsidP="00EF1133">
      <w:pPr>
        <w:rPr>
          <w:rFonts w:ascii="Arial Black" w:hAnsi="Arial Black"/>
          <w:b/>
          <w:sz w:val="24"/>
          <w:szCs w:val="24"/>
        </w:rPr>
      </w:pPr>
    </w:p>
    <w:p w14:paraId="64DA7A95" w14:textId="10F4E3AA" w:rsidR="0082055F" w:rsidRDefault="0082055F"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79</w:t>
      </w:r>
    </w:p>
    <w:p w14:paraId="31C9F5E3" w14:textId="77777777" w:rsidR="0082055F" w:rsidRDefault="0082055F" w:rsidP="0082055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MT: VOLUNTEER FD IS OWNED BY TOWN – “BUDGET-STRAPPED” TOWN </w:t>
      </w:r>
      <w:proofErr w:type="gramStart"/>
      <w:r>
        <w:rPr>
          <w:rFonts w:ascii="Arial Black" w:eastAsia="Times New Roman" w:hAnsi="Arial Black"/>
          <w:b/>
          <w:bCs/>
          <w:sz w:val="28"/>
          <w:szCs w:val="28"/>
        </w:rPr>
        <w:t>HAS</w:t>
      </w:r>
      <w:proofErr w:type="gramEnd"/>
      <w:r>
        <w:rPr>
          <w:rFonts w:ascii="Arial Black" w:eastAsia="Times New Roman" w:hAnsi="Arial Black"/>
          <w:b/>
          <w:bCs/>
          <w:sz w:val="28"/>
          <w:szCs w:val="28"/>
        </w:rPr>
        <w:t xml:space="preserve"> RIGHT TO MANAGE FD BUDGET</w:t>
      </w:r>
    </w:p>
    <w:p w14:paraId="2BEAE154" w14:textId="77777777" w:rsidR="0082055F" w:rsidRPr="0073357D" w:rsidRDefault="0082055F" w:rsidP="0082055F">
      <w:pPr>
        <w:spacing w:before="100" w:beforeAutospacing="1" w:after="100" w:afterAutospacing="1" w:line="240" w:lineRule="auto"/>
        <w:rPr>
          <w:rFonts w:ascii="Times New Roman" w:eastAsia="Times New Roman" w:hAnsi="Times New Roman"/>
          <w:sz w:val="24"/>
          <w:szCs w:val="24"/>
        </w:rPr>
      </w:pPr>
      <w:r w:rsidRPr="00306BD3">
        <w:rPr>
          <w:rFonts w:ascii="Times New Roman" w:eastAsia="Times New Roman" w:hAnsi="Times New Roman"/>
          <w:sz w:val="24"/>
          <w:szCs w:val="24"/>
        </w:rPr>
        <w:t xml:space="preserve">On </w:t>
      </w:r>
      <w:r>
        <w:rPr>
          <w:rFonts w:ascii="Times New Roman" w:eastAsia="Times New Roman" w:hAnsi="Times New Roman"/>
          <w:sz w:val="24"/>
          <w:szCs w:val="24"/>
        </w:rPr>
        <w:t xml:space="preserve">Oct. 19, 2021, in </w:t>
      </w:r>
      <w:r w:rsidRPr="00306BD3">
        <w:rPr>
          <w:rFonts w:ascii="Times New Roman" w:eastAsia="Times New Roman" w:hAnsi="Times New Roman"/>
          <w:sz w:val="24"/>
          <w:szCs w:val="24"/>
          <w:u w:val="single"/>
        </w:rPr>
        <w:t>Town of Ekalaka v, Ekalaka Volunteer Fire Department, Inc</w:t>
      </w:r>
      <w:r>
        <w:rPr>
          <w:rFonts w:ascii="Times New Roman" w:eastAsia="Times New Roman" w:hAnsi="Times New Roman"/>
          <w:sz w:val="24"/>
          <w:szCs w:val="24"/>
        </w:rPr>
        <w:t>., the Supreme Court of Montana held (5 to 0) that District Court judge properly granted summary judgment to the Town. It’s all about the money: “[B]</w:t>
      </w:r>
      <w:proofErr w:type="spellStart"/>
      <w:r w:rsidRPr="0073357D">
        <w:rPr>
          <w:rFonts w:ascii="Times New Roman" w:hAnsi="Times New Roman"/>
          <w:sz w:val="24"/>
          <w:szCs w:val="24"/>
        </w:rPr>
        <w:t>eginning</w:t>
      </w:r>
      <w:proofErr w:type="spellEnd"/>
      <w:r w:rsidRPr="0073357D">
        <w:rPr>
          <w:rFonts w:ascii="Times New Roman" w:hAnsi="Times New Roman"/>
          <w:sz w:val="24"/>
          <w:szCs w:val="24"/>
        </w:rPr>
        <w:t xml:space="preserve"> around 2014, the contract money in the Department’s separate coffers began to swell and outmatch that coming from Town and community funds. The Department now contends that the budget-strapped Town is trying to seize the assets of a private association</w:t>
      </w:r>
      <w:r>
        <w:rPr>
          <w:rFonts w:ascii="Times New Roman" w:hAnsi="Times New Roman"/>
          <w:sz w:val="24"/>
          <w:szCs w:val="24"/>
        </w:rPr>
        <w:t xml:space="preserve">.” </w:t>
      </w:r>
    </w:p>
    <w:p w14:paraId="6CD32183" w14:textId="77777777" w:rsidR="0082055F" w:rsidRPr="008147C2" w:rsidRDefault="0082055F" w:rsidP="0082055F">
      <w:pPr>
        <w:spacing w:before="100" w:beforeAutospacing="1" w:after="100" w:afterAutospacing="1" w:line="240" w:lineRule="auto"/>
        <w:ind w:left="720"/>
        <w:rPr>
          <w:rFonts w:ascii="Times New Roman" w:eastAsia="Times New Roman" w:hAnsi="Times New Roman"/>
          <w:sz w:val="24"/>
          <w:szCs w:val="24"/>
        </w:rPr>
      </w:pPr>
      <w:r w:rsidRPr="008147C2">
        <w:rPr>
          <w:rFonts w:ascii="Times New Roman" w:eastAsia="Times New Roman" w:hAnsi="Times New Roman"/>
          <w:sz w:val="24"/>
          <w:szCs w:val="24"/>
        </w:rPr>
        <w:t>“</w:t>
      </w:r>
      <w:r w:rsidRPr="008147C2">
        <w:rPr>
          <w:rFonts w:ascii="Times New Roman" w:hAnsi="Times New Roman"/>
          <w:sz w:val="24"/>
          <w:szCs w:val="24"/>
        </w:rPr>
        <w:t xml:space="preserve">The Town acknowledges its technically improper department oversight, but it also cites ways in which its management of the department has conformed to what </w:t>
      </w:r>
      <w:r w:rsidRPr="008147C2">
        <w:rPr>
          <w:rStyle w:val="Emphasis"/>
          <w:rFonts w:ascii="Times New Roman" w:hAnsi="Times New Roman"/>
          <w:sz w:val="24"/>
          <w:szCs w:val="24"/>
        </w:rPr>
        <w:t>only</w:t>
      </w:r>
      <w:r w:rsidRPr="008147C2">
        <w:rPr>
          <w:rFonts w:ascii="Times New Roman" w:hAnsi="Times New Roman"/>
          <w:sz w:val="24"/>
          <w:szCs w:val="24"/>
        </w:rPr>
        <w:t xml:space="preserve"> municipalities can do. For example, the town provides workers compensation insurance through the Montana Municipal Interlocal Authority, which is exclusive to municipal departments. The Town has also maintained property and liability insurance on the Department's vehicles and equipment.</w:t>
      </w:r>
    </w:p>
    <w:p w14:paraId="7AB9A229" w14:textId="77777777" w:rsidR="0082055F" w:rsidRDefault="0082055F" w:rsidP="0082055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E8EFD99" w14:textId="77777777" w:rsidR="0082055F" w:rsidRDefault="0082055F" w:rsidP="0082055F">
      <w:pPr>
        <w:spacing w:before="100" w:beforeAutospacing="1" w:after="100" w:afterAutospacing="1" w:line="240" w:lineRule="auto"/>
        <w:ind w:left="720"/>
        <w:rPr>
          <w:rFonts w:ascii="Times New Roman" w:eastAsia="Times New Roman" w:hAnsi="Times New Roman"/>
          <w:sz w:val="24"/>
          <w:szCs w:val="24"/>
        </w:rPr>
      </w:pPr>
      <w:proofErr w:type="gramStart"/>
      <w:r w:rsidRPr="00306BD3">
        <w:rPr>
          <w:rFonts w:ascii="Times New Roman" w:eastAsia="Times New Roman" w:hAnsi="Times New Roman"/>
          <w:sz w:val="24"/>
          <w:szCs w:val="24"/>
        </w:rPr>
        <w:t>At most, what</w:t>
      </w:r>
      <w:proofErr w:type="gramEnd"/>
      <w:r w:rsidRPr="00306BD3">
        <w:rPr>
          <w:rFonts w:ascii="Times New Roman" w:eastAsia="Times New Roman" w:hAnsi="Times New Roman"/>
          <w:sz w:val="24"/>
          <w:szCs w:val="24"/>
        </w:rPr>
        <w:t xml:space="preserve"> much of this evidence proves is that Ekalaka's volunteer fire department acted with an amount of delegated independence over the decades that the Town does not contest, and perhaps that some individual volunteers misperceived or lacked the language to correctly describe its municipal ownership. It is not unusual for two parts of a Town's government to interact with each other in ways that require arms-length language, nor is it odd for a fire department to thank its town government for support. Additionally, every piece of evidence the Department presents must be weighed against contrary evidence from the Town, including the perceptions and actions of former Department leaders; the Town's establishment of a relief association under state laws on municipalities; the impressions of third parties like the vehicle donors; mutual aid agreements that exist between </w:t>
      </w:r>
      <w:r w:rsidRPr="00306BD3">
        <w:rPr>
          <w:rFonts w:ascii="Times New Roman" w:eastAsia="Times New Roman" w:hAnsi="Times New Roman"/>
          <w:i/>
          <w:iCs/>
          <w:sz w:val="24"/>
          <w:szCs w:val="24"/>
        </w:rPr>
        <w:t>the Town</w:t>
      </w:r>
      <w:r w:rsidRPr="00306BD3">
        <w:rPr>
          <w:rFonts w:ascii="Times New Roman" w:eastAsia="Times New Roman" w:hAnsi="Times New Roman"/>
          <w:sz w:val="24"/>
          <w:szCs w:val="24"/>
        </w:rPr>
        <w:t xml:space="preserve"> and Carter County, even if arranged or signed by the fire chief; and municipal fire department reports the Town has sent to the Montana State Auditor. </w:t>
      </w:r>
    </w:p>
    <w:p w14:paraId="0EA3B66B" w14:textId="77777777" w:rsidR="0082055F" w:rsidRDefault="0082055F" w:rsidP="0082055F">
      <w:pPr>
        <w:spacing w:before="100" w:beforeAutospacing="1" w:after="100" w:afterAutospacing="1" w:line="240" w:lineRule="auto"/>
        <w:ind w:left="720"/>
        <w:rPr>
          <w:rFonts w:ascii="Times New Roman" w:hAnsi="Times New Roman"/>
          <w:sz w:val="24"/>
          <w:szCs w:val="24"/>
        </w:rPr>
      </w:pPr>
      <w:r w:rsidRPr="00306BD3">
        <w:rPr>
          <w:rFonts w:ascii="Times New Roman" w:hAnsi="Times New Roman"/>
          <w:sz w:val="24"/>
          <w:szCs w:val="24"/>
        </w:rPr>
        <w:t xml:space="preserve">The documentary evidence from the parties overwhelmingly weighs toward declaratory judgment affirming the duly established municipal department. The evidence that the Department claims </w:t>
      </w:r>
      <w:proofErr w:type="gramStart"/>
      <w:r w:rsidRPr="00306BD3">
        <w:rPr>
          <w:rFonts w:ascii="Times New Roman" w:hAnsi="Times New Roman"/>
          <w:sz w:val="24"/>
          <w:szCs w:val="24"/>
        </w:rPr>
        <w:t>exemplifies</w:t>
      </w:r>
      <w:proofErr w:type="gramEnd"/>
      <w:r w:rsidRPr="00306BD3">
        <w:rPr>
          <w:rFonts w:ascii="Times New Roman" w:hAnsi="Times New Roman"/>
          <w:sz w:val="24"/>
          <w:szCs w:val="24"/>
        </w:rPr>
        <w:t xml:space="preserve"> its practical legal sovereignty is equivocal at best, and the Department cites no legal authority for the notion that individual beliefs or vocabulary can excise an agency from town government. As the District Court noted, the Town's extensive financial and managerial delegation to the Department may be ill-advised and </w:t>
      </w:r>
      <w:proofErr w:type="gramStart"/>
      <w:r w:rsidRPr="00306BD3">
        <w:rPr>
          <w:rFonts w:ascii="Times New Roman" w:hAnsi="Times New Roman"/>
          <w:sz w:val="24"/>
          <w:szCs w:val="24"/>
        </w:rPr>
        <w:t>may be</w:t>
      </w:r>
      <w:proofErr w:type="gramEnd"/>
      <w:r w:rsidRPr="00306BD3">
        <w:rPr>
          <w:rFonts w:ascii="Times New Roman" w:hAnsi="Times New Roman"/>
          <w:sz w:val="24"/>
          <w:szCs w:val="24"/>
        </w:rPr>
        <w:t xml:space="preserve"> worth reconsidering</w:t>
      </w:r>
      <w:proofErr w:type="gramStart"/>
      <w:r w:rsidRPr="00306BD3">
        <w:rPr>
          <w:rFonts w:ascii="Times New Roman" w:hAnsi="Times New Roman"/>
          <w:sz w:val="24"/>
          <w:szCs w:val="24"/>
        </w:rPr>
        <w:t>-this</w:t>
      </w:r>
      <w:proofErr w:type="gramEnd"/>
      <w:r w:rsidRPr="00306BD3">
        <w:rPr>
          <w:rFonts w:ascii="Times New Roman" w:hAnsi="Times New Roman"/>
          <w:sz w:val="24"/>
          <w:szCs w:val="24"/>
        </w:rPr>
        <w:t xml:space="preserve"> controversy is proof enough of the pitfalls. But a small municipality's somewhat casual oversight of its volunteer fire department does not give that department a license to declare itself divested.</w:t>
      </w:r>
      <w:r>
        <w:rPr>
          <w:rFonts w:ascii="Times New Roman" w:hAnsi="Times New Roman"/>
          <w:sz w:val="24"/>
          <w:szCs w:val="24"/>
        </w:rPr>
        <w:t xml:space="preserve">” </w:t>
      </w:r>
      <w:hyperlink r:id="rId1211" w:history="1">
        <w:r w:rsidRPr="00764F47">
          <w:rPr>
            <w:rStyle w:val="Hyperlink"/>
            <w:sz w:val="24"/>
            <w:szCs w:val="24"/>
          </w:rPr>
          <w:t>https://cases.justia.com/montana/supreme-court/2021-da-20-0594.pdf?ts=1634679339</w:t>
        </w:r>
      </w:hyperlink>
      <w:r>
        <w:rPr>
          <w:rFonts w:ascii="Times New Roman" w:hAnsi="Times New Roman"/>
          <w:sz w:val="24"/>
          <w:szCs w:val="24"/>
        </w:rPr>
        <w:t xml:space="preserve"> </w:t>
      </w:r>
    </w:p>
    <w:p w14:paraId="65B61863" w14:textId="77777777" w:rsidR="0082055F" w:rsidRPr="00A7736E" w:rsidRDefault="0082055F" w:rsidP="0082055F">
      <w:pPr>
        <w:spacing w:before="100" w:beforeAutospacing="1" w:after="100" w:afterAutospacing="1" w:line="240" w:lineRule="auto"/>
        <w:rPr>
          <w:rFonts w:ascii="Times New Roman" w:eastAsia="Times New Roman" w:hAnsi="Times New Roman"/>
          <w:b/>
          <w:bCs/>
          <w:sz w:val="24"/>
          <w:szCs w:val="24"/>
        </w:rPr>
      </w:pPr>
      <w:r w:rsidRPr="008147C2">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Volunteer fire departments should have a clear understanding </w:t>
      </w:r>
      <w:proofErr w:type="gramStart"/>
      <w:r>
        <w:rPr>
          <w:rFonts w:ascii="Times New Roman" w:eastAsia="Times New Roman" w:hAnsi="Times New Roman"/>
          <w:b/>
          <w:bCs/>
          <w:sz w:val="24"/>
          <w:szCs w:val="24"/>
        </w:rPr>
        <w:t>on</w:t>
      </w:r>
      <w:proofErr w:type="gramEnd"/>
      <w:r>
        <w:rPr>
          <w:rFonts w:ascii="Times New Roman" w:eastAsia="Times New Roman" w:hAnsi="Times New Roman"/>
          <w:b/>
          <w:bCs/>
          <w:sz w:val="24"/>
          <w:szCs w:val="24"/>
        </w:rPr>
        <w:t xml:space="preserve"> the legal status of that department. </w:t>
      </w:r>
    </w:p>
    <w:p w14:paraId="0CBB6666" w14:textId="77777777" w:rsidR="0082055F" w:rsidRDefault="0082055F" w:rsidP="00EF1133">
      <w:pPr>
        <w:rPr>
          <w:rFonts w:ascii="Arial Black" w:hAnsi="Arial Black"/>
          <w:b/>
          <w:sz w:val="24"/>
          <w:szCs w:val="24"/>
        </w:rPr>
      </w:pPr>
    </w:p>
    <w:p w14:paraId="1CC71435" w14:textId="4F2AD901" w:rsidR="00BD1702" w:rsidRDefault="00BD1702"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8</w:t>
      </w:r>
    </w:p>
    <w:p w14:paraId="3F3A9334" w14:textId="77777777" w:rsidR="00BD1702" w:rsidRDefault="00BD1702" w:rsidP="00BD1702">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CLEVELAND LOCAL 93 – PUBLIC RECORDS - CHIEF’S E-MAILS - FOUR DOC. WERE NOT “ATTY-CLIENT PRIVILEGED” </w:t>
      </w:r>
    </w:p>
    <w:p w14:paraId="452DFC25" w14:textId="77777777" w:rsidR="00BD1702" w:rsidRDefault="00BD1702" w:rsidP="00BD1702">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Oct. 7, 2021, in </w:t>
      </w:r>
      <w:r>
        <w:rPr>
          <w:rFonts w:ascii="Times New Roman" w:eastAsia="Times New Roman" w:hAnsi="Times New Roman"/>
          <w:sz w:val="24"/>
          <w:szCs w:val="24"/>
          <w:u w:val="single"/>
        </w:rPr>
        <w:t>Association of Cleveland Fire Fighters IAFF Local 93 v. City of Cleveland, Department of Law</w:t>
      </w:r>
      <w:r>
        <w:rPr>
          <w:rFonts w:ascii="Times New Roman" w:eastAsia="Times New Roman" w:hAnsi="Times New Roman"/>
          <w:sz w:val="24"/>
          <w:szCs w:val="24"/>
        </w:rPr>
        <w:t xml:space="preserve">, </w:t>
      </w:r>
      <w:r>
        <w:rPr>
          <w:rStyle w:val="font-weight-bold"/>
          <w:rFonts w:ascii="Times New Roman" w:hAnsi="Times New Roman"/>
        </w:rPr>
        <w:t xml:space="preserve">2021 Ohio 3602 (Ohio App. 2021), </w:t>
      </w:r>
      <w:r>
        <w:rPr>
          <w:rFonts w:ascii="Times New Roman" w:eastAsia="Times New Roman" w:hAnsi="Times New Roman"/>
          <w:sz w:val="24"/>
          <w:szCs w:val="24"/>
        </w:rPr>
        <w:t>the Court of Appeals of Ohio, 8</w:t>
      </w:r>
      <w:r>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District, Cuyahoga County, held (3 to 0) that the four e-mails marked “Attorney-Client Privileged” </w:t>
      </w:r>
      <w:r>
        <w:rPr>
          <w:rFonts w:ascii="Times New Roman" w:hAnsi="Times New Roman"/>
          <w:sz w:val="24"/>
          <w:szCs w:val="24"/>
        </w:rPr>
        <w:t xml:space="preserve">relative to an early morning fire that had occurred in the city on January 26, </w:t>
      </w:r>
      <w:proofErr w:type="gramStart"/>
      <w:r>
        <w:rPr>
          <w:rFonts w:ascii="Times New Roman" w:hAnsi="Times New Roman"/>
          <w:sz w:val="24"/>
          <w:szCs w:val="24"/>
        </w:rPr>
        <w:t>2020</w:t>
      </w:r>
      <w:proofErr w:type="gramEnd"/>
      <w:r>
        <w:rPr>
          <w:rFonts w:ascii="Times New Roman" w:hAnsi="Times New Roman"/>
          <w:sz w:val="24"/>
          <w:szCs w:val="24"/>
        </w:rPr>
        <w:t xml:space="preserve"> were in fact, after in camera review, not privileged. The Ohio Court of Claims granted </w:t>
      </w:r>
      <w:r>
        <w:rPr>
          <w:rFonts w:ascii="Times New Roman" w:eastAsia="Times New Roman" w:hAnsi="Times New Roman"/>
          <w:sz w:val="24"/>
          <w:szCs w:val="24"/>
        </w:rPr>
        <w:t xml:space="preserve">Local 93’s </w:t>
      </w:r>
      <w:r>
        <w:rPr>
          <w:rFonts w:ascii="Times New Roman" w:hAnsi="Times New Roman"/>
          <w:sz w:val="24"/>
          <w:szCs w:val="24"/>
        </w:rPr>
        <w:t xml:space="preserve">public-records request for emails that city of Cleveland Fire Chief Angelo Calvillo (‘Chief Calvillo’ or ‘the Chief’) sent, received, and was copied on from January 26, 2020, through February 5, 2020, including four marked “Attorney-Client Privileged.” </w:t>
      </w:r>
    </w:p>
    <w:p w14:paraId="102EF182"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“Upon review, the first three subject emails did not fall squarely within the attorney-client privilege. They did not seek any kind of legal advice. For example, the one email naming Menzalora as the primary recipient related to a scheduling matter.</w:t>
      </w:r>
    </w:p>
    <w:p w14:paraId="73F3C870"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w:t>
      </w:r>
    </w:p>
    <w:p w14:paraId="6A5D6413"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 xml:space="preserve">The fourth email that was from Chief Calvillo to the Assistant Chief, Division of Fire, is the trickiest. Although Menzalora was copied on the email, the greeting of the email was solely to the Assistant Chief, and the body asked only for the Assistant Chiefs review of a document…. Further, the header in the subject line of the </w:t>
      </w:r>
      <w:proofErr w:type="gramStart"/>
      <w:r>
        <w:rPr>
          <w:rFonts w:ascii="Times New Roman" w:hAnsi="Times New Roman"/>
          <w:sz w:val="24"/>
          <w:szCs w:val="24"/>
        </w:rPr>
        <w:t>emails</w:t>
      </w:r>
      <w:proofErr w:type="gramEnd"/>
      <w:r>
        <w:rPr>
          <w:rFonts w:ascii="Times New Roman" w:hAnsi="Times New Roman"/>
          <w:sz w:val="24"/>
          <w:szCs w:val="24"/>
        </w:rPr>
        <w:t xml:space="preserve"> that they were ‘Attorney-Client </w:t>
      </w:r>
      <w:proofErr w:type="gramStart"/>
      <w:r>
        <w:rPr>
          <w:rFonts w:ascii="Times New Roman" w:hAnsi="Times New Roman"/>
          <w:sz w:val="24"/>
          <w:szCs w:val="24"/>
        </w:rPr>
        <w:t>privilege’</w:t>
      </w:r>
      <w:proofErr w:type="gramEnd"/>
      <w:r>
        <w:rPr>
          <w:rFonts w:ascii="Times New Roman" w:hAnsi="Times New Roman"/>
          <w:sz w:val="24"/>
          <w:szCs w:val="24"/>
        </w:rPr>
        <w:t xml:space="preserve"> do not make them so. The content of the emails </w:t>
      </w:r>
      <w:proofErr w:type="gramStart"/>
      <w:r>
        <w:rPr>
          <w:rFonts w:ascii="Times New Roman" w:hAnsi="Times New Roman"/>
          <w:sz w:val="24"/>
          <w:szCs w:val="24"/>
        </w:rPr>
        <w:t>has to</w:t>
      </w:r>
      <w:proofErr w:type="gramEnd"/>
      <w:r>
        <w:rPr>
          <w:rFonts w:ascii="Times New Roman" w:hAnsi="Times New Roman"/>
          <w:sz w:val="24"/>
          <w:szCs w:val="24"/>
        </w:rPr>
        <w:t xml:space="preserve"> involve attorney-client-privileged information, and our de novo review shows that they did not contain privileged information.</w:t>
      </w:r>
    </w:p>
    <w:p w14:paraId="1BD5229E"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w:t>
      </w:r>
    </w:p>
    <w:p w14:paraId="5A9DC896"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 xml:space="preserve">Upon review, we decline to award attorney fees to Local 93. The record does not demonstrate that the city ‘obviously filed the appeal with the intent to either delay compliance with the Court of Claims' order from which the appeal is taken for no reasonable cause or [to] unduly harass’ Local 93.” </w:t>
      </w:r>
      <w:hyperlink r:id="rId1212" w:history="1">
        <w:r>
          <w:rPr>
            <w:rStyle w:val="Hyperlink"/>
            <w:sz w:val="24"/>
            <w:szCs w:val="24"/>
          </w:rPr>
          <w:t>https://www.leagle.com/decision/inohco20211007389</w:t>
        </w:r>
      </w:hyperlink>
    </w:p>
    <w:p w14:paraId="1A43F41A" w14:textId="77777777" w:rsidR="00BD1702" w:rsidRDefault="00BD1702" w:rsidP="00BD1702">
      <w:pPr>
        <w:tabs>
          <w:tab w:val="left" w:pos="2760"/>
        </w:tabs>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burden is on the City to prove the documents meet the Attorney-Client Privilege.  Judges [or in Ohio, Special Masters with Ohio Court of Claims] will normally conduct an </w:t>
      </w:r>
      <w:proofErr w:type="gramStart"/>
      <w:r>
        <w:rPr>
          <w:rFonts w:ascii="Times New Roman" w:hAnsi="Times New Roman"/>
          <w:b/>
          <w:bCs/>
          <w:sz w:val="24"/>
          <w:szCs w:val="24"/>
        </w:rPr>
        <w:t>in camera</w:t>
      </w:r>
      <w:proofErr w:type="gramEnd"/>
      <w:r>
        <w:rPr>
          <w:rFonts w:ascii="Times New Roman" w:hAnsi="Times New Roman"/>
          <w:b/>
          <w:bCs/>
          <w:sz w:val="24"/>
          <w:szCs w:val="24"/>
        </w:rPr>
        <w:t xml:space="preserve"> review of the documents claimed to be </w:t>
      </w:r>
      <w:proofErr w:type="gramStart"/>
      <w:r>
        <w:rPr>
          <w:rFonts w:ascii="Times New Roman" w:hAnsi="Times New Roman"/>
          <w:b/>
          <w:bCs/>
          <w:sz w:val="24"/>
          <w:szCs w:val="24"/>
        </w:rPr>
        <w:t>privileged, and</w:t>
      </w:r>
      <w:proofErr w:type="gramEnd"/>
      <w:r>
        <w:rPr>
          <w:rFonts w:ascii="Times New Roman" w:hAnsi="Times New Roman"/>
          <w:b/>
          <w:bCs/>
          <w:sz w:val="24"/>
          <w:szCs w:val="24"/>
        </w:rPr>
        <w:t xml:space="preserve"> then seal the documents for review by Court of Appeals. </w:t>
      </w:r>
    </w:p>
    <w:p w14:paraId="2929F529" w14:textId="77777777" w:rsidR="00BD1702" w:rsidRDefault="00BD1702" w:rsidP="00EF1133">
      <w:pPr>
        <w:rPr>
          <w:rFonts w:ascii="Arial Black" w:hAnsi="Arial Black"/>
          <w:b/>
          <w:sz w:val="24"/>
          <w:szCs w:val="24"/>
        </w:rPr>
      </w:pPr>
    </w:p>
    <w:p w14:paraId="009FF946" w14:textId="77777777" w:rsidR="00BD1702" w:rsidRDefault="00BD1702" w:rsidP="00EF1133">
      <w:pPr>
        <w:rPr>
          <w:rFonts w:ascii="Arial Black" w:hAnsi="Arial Black"/>
          <w:b/>
          <w:sz w:val="24"/>
          <w:szCs w:val="24"/>
        </w:rPr>
      </w:pPr>
    </w:p>
    <w:p w14:paraId="64B5056D" w14:textId="35982584" w:rsidR="00BD263B" w:rsidRDefault="00BD263B"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7</w:t>
      </w:r>
    </w:p>
    <w:p w14:paraId="5DF128AA" w14:textId="77777777" w:rsidR="00BD263B" w:rsidRDefault="00BD263B" w:rsidP="00BD263B">
      <w:pPr>
        <w:pStyle w:val="articleparagraph"/>
        <w:rPr>
          <w:rFonts w:ascii="Arial Black" w:hAnsi="Arial Black"/>
          <w:sz w:val="28"/>
          <w:szCs w:val="28"/>
        </w:rPr>
      </w:pPr>
      <w:bookmarkStart w:id="230" w:name="_Hlk81842050"/>
      <w:r>
        <w:rPr>
          <w:rFonts w:ascii="Arial Black" w:hAnsi="Arial Black"/>
          <w:sz w:val="28"/>
          <w:szCs w:val="28"/>
        </w:rPr>
        <w:t>OH:  BATTALION CHIEF’s 1</w:t>
      </w:r>
      <w:r w:rsidRPr="00CF76A9">
        <w:rPr>
          <w:rFonts w:ascii="Arial Black" w:hAnsi="Arial Black"/>
          <w:sz w:val="28"/>
          <w:szCs w:val="28"/>
          <w:vertAlign w:val="superscript"/>
        </w:rPr>
        <w:t>st</w:t>
      </w:r>
      <w:r>
        <w:rPr>
          <w:rFonts w:ascii="Arial Black" w:hAnsi="Arial Black"/>
          <w:sz w:val="28"/>
          <w:szCs w:val="28"/>
        </w:rPr>
        <w:t xml:space="preserve"> AMENDMENT RIGHTS - NEW CHIEF LACKED EMS CE HOURS – LAWSUIT PROCEED</w:t>
      </w:r>
    </w:p>
    <w:bookmarkEnd w:id="230"/>
    <w:p w14:paraId="07B1D9F4" w14:textId="77777777" w:rsidR="00BD263B" w:rsidRDefault="00BD263B" w:rsidP="00BD263B">
      <w:pPr>
        <w:pStyle w:val="articleparagraph"/>
      </w:pPr>
      <w:r>
        <w:t xml:space="preserve">On Sept. 1, 2021, in </w:t>
      </w:r>
      <w:r w:rsidRPr="00F10437">
        <w:rPr>
          <w:u w:val="single"/>
        </w:rPr>
        <w:t>Sean DeCrane v. Edward Eckart, in his official and individual capacities; City of Cleveland</w:t>
      </w:r>
      <w:r>
        <w:t>, the U.S. Court of Appeals for the 6</w:t>
      </w:r>
      <w:r w:rsidRPr="00F10437">
        <w:rPr>
          <w:vertAlign w:val="superscript"/>
        </w:rPr>
        <w:t>th</w:t>
      </w:r>
      <w:r>
        <w:t xml:space="preserve"> Circuit (Cincinnati) held (3 to 0) that a retired Cleveland Battalion Chief’s lawsuit may proceed against the City and the Assistant Safety Director for retaliation, and trial court correctly denied the Safety Director’s motion for summary judgment since he does not enjoy qualified immunity.   The Battalion Chief was a candidate for Fire Chief, and when not selected, he warned the city that the new Fire Chief [</w:t>
      </w:r>
      <w:r w:rsidRPr="0046342A">
        <w:rPr>
          <w:rStyle w:val="markedcontent"/>
        </w:rPr>
        <w:t>Daryl McGinnis</w:t>
      </w:r>
      <w:r>
        <w:rPr>
          <w:rStyle w:val="markedcontent"/>
        </w:rPr>
        <w:t>, who later was suspended and then retired]</w:t>
      </w:r>
      <w:r w:rsidRPr="0046342A">
        <w:rPr>
          <w:rStyle w:val="markedcontent"/>
        </w:rPr>
        <w:t xml:space="preserve">, </w:t>
      </w:r>
      <w:r>
        <w:t xml:space="preserve">lacked continuing education hours for his EMT certificate.  Someone in the Training Division [not DeCrane] then leaked to the Press about the new Fire Chief’s lack of CE hours, and Sean DeCrane claims retaliation started against him. </w:t>
      </w:r>
    </w:p>
    <w:p w14:paraId="4D031119" w14:textId="77777777" w:rsidR="00BD263B" w:rsidRPr="0046342A" w:rsidRDefault="00BD263B" w:rsidP="00BD263B">
      <w:pPr>
        <w:pStyle w:val="articleparagraph"/>
        <w:ind w:left="720"/>
      </w:pPr>
      <w:r>
        <w:rPr>
          <w:rStyle w:val="markedcontent"/>
        </w:rPr>
        <w:t>“</w:t>
      </w:r>
      <w:r w:rsidRPr="0046342A">
        <w:rPr>
          <w:rStyle w:val="markedcontent"/>
        </w:rPr>
        <w:t xml:space="preserve">Someone in the City of Cleveland’s fire department leaked embarrassing information to the media about its chief’s insufficient training hours. Sean DeCrane, the director of the Fire Training Academy, was not that person. But, according to DeCrane, Edward Eckart thought he was. DeCrane alleges that Eckart facilitated several harmful personnel actions against him because of this mistaken </w:t>
      </w:r>
      <w:proofErr w:type="gramStart"/>
      <w:r w:rsidRPr="0046342A">
        <w:rPr>
          <w:rStyle w:val="markedcontent"/>
        </w:rPr>
        <w:t>belief—all</w:t>
      </w:r>
      <w:proofErr w:type="gramEnd"/>
      <w:r w:rsidRPr="0046342A">
        <w:rPr>
          <w:rStyle w:val="markedcontent"/>
        </w:rPr>
        <w:t xml:space="preserve"> in violation of the First Amendment. Eckart’s response? He argues that the First Amendment does not protect speech made as part of an employee’s government job, see Garcetti v. Ceballos, 547 U.S. 410, </w:t>
      </w:r>
      <w:r w:rsidRPr="0046342A">
        <w:br/>
      </w:r>
      <w:r w:rsidRPr="0046342A">
        <w:rPr>
          <w:rStyle w:val="markedcontent"/>
        </w:rPr>
        <w:t>421–22 (2006), and that DeCrane would have leaked the information pursuant to his job duties as the training director. The district court denied Eckart qualified immunity on this argument, holding that our precedent clearly established that DeCrane would have tipped off the media as a private citizen rather than a public employee. We agree and affirm this part of the court’s decision. We dismiss Eckart’s other two arguments for lack of jurisdiction in this appeal’s interlocutory posture.</w:t>
      </w:r>
      <w:r>
        <w:rPr>
          <w:rStyle w:val="markedcontent"/>
        </w:rPr>
        <w:t xml:space="preserve">”  </w:t>
      </w:r>
      <w:hyperlink r:id="rId1213" w:history="1">
        <w:r w:rsidRPr="00843DBD">
          <w:rPr>
            <w:rStyle w:val="Hyperlink"/>
          </w:rPr>
          <w:t>https://www.opn.ca6.uscourts.gov/opinions.pdf/21a0204p-06.pdf</w:t>
        </w:r>
      </w:hyperlink>
      <w:r>
        <w:rPr>
          <w:rStyle w:val="markedcontent"/>
        </w:rPr>
        <w:t xml:space="preserve"> </w:t>
      </w:r>
    </w:p>
    <w:p w14:paraId="48815E18" w14:textId="77777777" w:rsidR="00BD263B" w:rsidRPr="00F74717" w:rsidRDefault="00BD263B" w:rsidP="00BD263B">
      <w:pPr>
        <w:rPr>
          <w:rStyle w:val="markedcontent"/>
          <w:rFonts w:ascii="Times New Roman" w:hAnsi="Times New Roman"/>
          <w:b/>
          <w:bCs/>
          <w:sz w:val="24"/>
          <w:szCs w:val="24"/>
        </w:rPr>
      </w:pPr>
      <w:r w:rsidRPr="00DA62BE">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Important decision. While firefighters and police officers only have “limited” First Amendment rights to post information on social media concerning internal FD matters, but if a city official retaliates against an employee for speech protected by the First Amendment, the employee may sue even if the official </w:t>
      </w:r>
      <w:r w:rsidRPr="00F74717">
        <w:rPr>
          <w:rStyle w:val="markedcontent"/>
          <w:rFonts w:ascii="Times New Roman" w:hAnsi="Times New Roman"/>
          <w:b/>
          <w:bCs/>
          <w:i/>
          <w:iCs/>
          <w:sz w:val="24"/>
          <w:szCs w:val="24"/>
        </w:rPr>
        <w:t xml:space="preserve">incorrectly </w:t>
      </w:r>
      <w:r>
        <w:rPr>
          <w:rStyle w:val="markedcontent"/>
          <w:rFonts w:ascii="Times New Roman" w:hAnsi="Times New Roman"/>
          <w:b/>
          <w:bCs/>
          <w:sz w:val="24"/>
          <w:szCs w:val="24"/>
        </w:rPr>
        <w:t xml:space="preserve">believed the employee had leaked information to the press.  </w:t>
      </w:r>
    </w:p>
    <w:p w14:paraId="26038D3F" w14:textId="77777777" w:rsidR="00BD263B" w:rsidRPr="00DC7DCB" w:rsidRDefault="00BD263B" w:rsidP="00BD263B">
      <w:pPr>
        <w:ind w:left="720"/>
        <w:rPr>
          <w:rFonts w:ascii="Times New Roman" w:hAnsi="Times New Roman"/>
          <w:sz w:val="24"/>
          <w:szCs w:val="24"/>
        </w:rPr>
      </w:pPr>
      <w:r w:rsidRPr="00DC7DCB">
        <w:rPr>
          <w:rFonts w:ascii="Times New Roman" w:hAnsi="Times New Roman"/>
          <w:sz w:val="24"/>
          <w:szCs w:val="24"/>
        </w:rPr>
        <w:t xml:space="preserve">Note: See Sept. 2, </w:t>
      </w:r>
      <w:proofErr w:type="gramStart"/>
      <w:r w:rsidRPr="00DC7DCB">
        <w:rPr>
          <w:rFonts w:ascii="Times New Roman" w:hAnsi="Times New Roman"/>
          <w:sz w:val="24"/>
          <w:szCs w:val="24"/>
        </w:rPr>
        <w:t>2021</w:t>
      </w:r>
      <w:proofErr w:type="gramEnd"/>
      <w:r w:rsidRPr="00DC7DCB">
        <w:rPr>
          <w:rFonts w:ascii="Times New Roman" w:hAnsi="Times New Roman"/>
          <w:sz w:val="24"/>
          <w:szCs w:val="24"/>
        </w:rPr>
        <w:t xml:space="preserve"> article, “Federal appellate court upholds First Amendment case brought by retired Cleveland battalion chief.” </w:t>
      </w:r>
      <w:hyperlink r:id="rId1214" w:history="1">
        <w:r w:rsidRPr="00DC7DCB">
          <w:rPr>
            <w:rStyle w:val="Hyperlink"/>
            <w:sz w:val="24"/>
            <w:szCs w:val="24"/>
          </w:rPr>
          <w:t>https://www.cleveland.com/cityhall/2021/09/federal-appellate-court-upholds-first-amendment-case-brought-against-cleveland-by-retired-battalion-chief.html</w:t>
        </w:r>
      </w:hyperlink>
      <w:r w:rsidRPr="00DC7DCB">
        <w:rPr>
          <w:rFonts w:ascii="Times New Roman" w:hAnsi="Times New Roman"/>
          <w:sz w:val="24"/>
          <w:szCs w:val="24"/>
        </w:rPr>
        <w:t xml:space="preserve"> </w:t>
      </w:r>
    </w:p>
    <w:p w14:paraId="714E6B26" w14:textId="77777777" w:rsidR="00BD263B" w:rsidRPr="00DC7DCB" w:rsidRDefault="00BD263B" w:rsidP="00BD263B">
      <w:pPr>
        <w:pStyle w:val="Heading1"/>
        <w:ind w:left="720"/>
        <w:rPr>
          <w:b w:val="0"/>
          <w:bCs w:val="0"/>
          <w:sz w:val="24"/>
          <w:szCs w:val="24"/>
        </w:rPr>
      </w:pPr>
      <w:r w:rsidRPr="00DC7DCB">
        <w:rPr>
          <w:b w:val="0"/>
          <w:bCs w:val="0"/>
          <w:sz w:val="24"/>
          <w:szCs w:val="24"/>
        </w:rPr>
        <w:t xml:space="preserve">See Aug. 4, </w:t>
      </w:r>
      <w:proofErr w:type="gramStart"/>
      <w:r w:rsidRPr="00DC7DCB">
        <w:rPr>
          <w:b w:val="0"/>
          <w:bCs w:val="0"/>
          <w:sz w:val="24"/>
          <w:szCs w:val="24"/>
        </w:rPr>
        <w:t>2013</w:t>
      </w:r>
      <w:proofErr w:type="gramEnd"/>
      <w:r w:rsidRPr="00DC7DCB">
        <w:rPr>
          <w:b w:val="0"/>
          <w:bCs w:val="0"/>
          <w:sz w:val="24"/>
          <w:szCs w:val="24"/>
        </w:rPr>
        <w:t xml:space="preserve"> article, </w:t>
      </w:r>
      <w:r>
        <w:rPr>
          <w:b w:val="0"/>
          <w:bCs w:val="0"/>
          <w:sz w:val="24"/>
          <w:szCs w:val="24"/>
        </w:rPr>
        <w:t>“</w:t>
      </w:r>
      <w:r w:rsidRPr="00DC7DCB">
        <w:rPr>
          <w:b w:val="0"/>
          <w:bCs w:val="0"/>
          <w:sz w:val="24"/>
          <w:szCs w:val="24"/>
        </w:rPr>
        <w:t>Cleveland Fire Chief Daryl McGinnis retires two weeks after being relieved of duties</w:t>
      </w:r>
      <w:r>
        <w:rPr>
          <w:b w:val="0"/>
          <w:bCs w:val="0"/>
          <w:sz w:val="24"/>
          <w:szCs w:val="24"/>
        </w:rPr>
        <w:t>.”  “</w:t>
      </w:r>
      <w:r w:rsidRPr="00DC7DCB">
        <w:rPr>
          <w:b w:val="0"/>
          <w:bCs w:val="0"/>
          <w:sz w:val="24"/>
          <w:szCs w:val="24"/>
        </w:rPr>
        <w:t>A city review of McGinnis' training records revealed that between 2009-12 he had completed only 22 of the required 40 hours of continuing education. The city reported the information a week after The Plain Dealer asked to review his training records.</w:t>
      </w:r>
      <w:r>
        <w:rPr>
          <w:b w:val="0"/>
          <w:bCs w:val="0"/>
          <w:sz w:val="24"/>
          <w:szCs w:val="24"/>
        </w:rPr>
        <w:t xml:space="preserve">” </w:t>
      </w:r>
      <w:hyperlink r:id="rId1215" w:history="1">
        <w:r w:rsidRPr="00843DBD">
          <w:rPr>
            <w:rStyle w:val="Hyperlink"/>
            <w:sz w:val="24"/>
            <w:szCs w:val="24"/>
          </w:rPr>
          <w:t>https://www.cleveland.com/metro/2013/08/cleveland_fire_chief_daryl_mcg.html</w:t>
        </w:r>
      </w:hyperlink>
      <w:r>
        <w:rPr>
          <w:b w:val="0"/>
          <w:bCs w:val="0"/>
          <w:sz w:val="24"/>
          <w:szCs w:val="24"/>
        </w:rPr>
        <w:t xml:space="preserve"> </w:t>
      </w:r>
    </w:p>
    <w:p w14:paraId="3CF389CE" w14:textId="77777777" w:rsidR="00BD263B" w:rsidRDefault="00BD263B" w:rsidP="00EF1133">
      <w:pPr>
        <w:rPr>
          <w:rFonts w:ascii="Arial Black" w:hAnsi="Arial Black"/>
          <w:b/>
          <w:sz w:val="24"/>
          <w:szCs w:val="24"/>
        </w:rPr>
      </w:pPr>
    </w:p>
    <w:p w14:paraId="7C8B3FBF" w14:textId="6035D54A" w:rsidR="005217D5" w:rsidRDefault="005217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6</w:t>
      </w:r>
    </w:p>
    <w:p w14:paraId="47E0D5F1" w14:textId="77777777" w:rsidR="005217D5" w:rsidRDefault="005217D5" w:rsidP="00B20474">
      <w:pPr>
        <w:pStyle w:val="Heading1"/>
        <w:rPr>
          <w:rFonts w:ascii="Arial Black" w:hAnsi="Arial Black"/>
          <w:b w:val="0"/>
          <w:bCs w:val="0"/>
          <w:sz w:val="28"/>
          <w:szCs w:val="28"/>
        </w:rPr>
      </w:pPr>
      <w:r w:rsidRPr="00CB17BF">
        <w:rPr>
          <w:rFonts w:ascii="Arial Black" w:hAnsi="Arial Black"/>
          <w:b w:val="0"/>
          <w:bCs w:val="0"/>
          <w:sz w:val="28"/>
          <w:szCs w:val="28"/>
        </w:rPr>
        <w:t xml:space="preserve">CT: </w:t>
      </w:r>
      <w:r>
        <w:rPr>
          <w:rFonts w:ascii="Arial Black" w:hAnsi="Arial Black"/>
          <w:b w:val="0"/>
          <w:bCs w:val="0"/>
          <w:sz w:val="28"/>
          <w:szCs w:val="28"/>
        </w:rPr>
        <w:t>HEART ATTACK - STATUTORY PRESUMPTION FOR “MEMBERS” MUNICIPAL FD - PART-TIMERS COVERED</w:t>
      </w:r>
    </w:p>
    <w:p w14:paraId="177C602F" w14:textId="77777777" w:rsidR="005217D5" w:rsidRDefault="005217D5" w:rsidP="005217D5">
      <w:pPr>
        <w:pStyle w:val="Heading1"/>
        <w:ind w:left="720"/>
        <w:rPr>
          <w:b w:val="0"/>
          <w:bCs w:val="0"/>
          <w:sz w:val="24"/>
          <w:szCs w:val="24"/>
        </w:rPr>
      </w:pPr>
      <w:r>
        <w:rPr>
          <w:b w:val="0"/>
          <w:bCs w:val="0"/>
          <w:sz w:val="24"/>
          <w:szCs w:val="24"/>
        </w:rPr>
        <w:t xml:space="preserve">On July 27, 2021, in </w:t>
      </w:r>
      <w:r w:rsidRPr="00711A5D">
        <w:rPr>
          <w:b w:val="0"/>
          <w:bCs w:val="0"/>
          <w:sz w:val="24"/>
          <w:szCs w:val="24"/>
          <w:u w:val="single"/>
        </w:rPr>
        <w:t xml:space="preserve">Christopher A. Clark v. Town of Waterford, </w:t>
      </w:r>
      <w:proofErr w:type="spellStart"/>
      <w:r w:rsidRPr="00711A5D">
        <w:rPr>
          <w:b w:val="0"/>
          <w:bCs w:val="0"/>
          <w:sz w:val="24"/>
          <w:szCs w:val="24"/>
          <w:u w:val="single"/>
        </w:rPr>
        <w:t>Cohanzie</w:t>
      </w:r>
      <w:proofErr w:type="spellEnd"/>
      <w:r w:rsidRPr="00711A5D">
        <w:rPr>
          <w:b w:val="0"/>
          <w:bCs w:val="0"/>
          <w:sz w:val="24"/>
          <w:szCs w:val="24"/>
          <w:u w:val="single"/>
        </w:rPr>
        <w:t xml:space="preserve"> Fire </w:t>
      </w:r>
      <w:r w:rsidRPr="007400FB">
        <w:rPr>
          <w:b w:val="0"/>
          <w:bCs w:val="0"/>
          <w:sz w:val="24"/>
          <w:szCs w:val="24"/>
          <w:u w:val="single"/>
        </w:rPr>
        <w:t>Department</w:t>
      </w:r>
      <w:r w:rsidRPr="00E20B80">
        <w:rPr>
          <w:b w:val="0"/>
          <w:bCs w:val="0"/>
          <w:sz w:val="24"/>
          <w:szCs w:val="24"/>
        </w:rPr>
        <w:t xml:space="preserve">, </w:t>
      </w:r>
      <w:r>
        <w:rPr>
          <w:b w:val="0"/>
          <w:bCs w:val="0"/>
          <w:sz w:val="24"/>
          <w:szCs w:val="24"/>
        </w:rPr>
        <w:t xml:space="preserve">the Court of Appeals of Connecticut held (3 to 0) that </w:t>
      </w:r>
      <w:r w:rsidRPr="00711A5D">
        <w:rPr>
          <w:b w:val="0"/>
          <w:bCs w:val="0"/>
          <w:sz w:val="24"/>
          <w:szCs w:val="24"/>
        </w:rPr>
        <w:t>Workers' Compensation Commissioner</w:t>
      </w:r>
      <w:r>
        <w:rPr>
          <w:b w:val="0"/>
          <w:bCs w:val="0"/>
          <w:sz w:val="24"/>
          <w:szCs w:val="24"/>
        </w:rPr>
        <w:t xml:space="preserve"> correctly held that the part-time firefighter was a “uniformed member” of a municipal fire department who passed a pre-hire medical exam and therefore covered under the </w:t>
      </w:r>
      <w:r w:rsidRPr="009D0C21">
        <w:rPr>
          <w:b w:val="0"/>
          <w:bCs w:val="0"/>
          <w:sz w:val="24"/>
          <w:szCs w:val="24"/>
        </w:rPr>
        <w:t>Heart and Hypertension Act</w:t>
      </w:r>
      <w:r>
        <w:rPr>
          <w:b w:val="0"/>
          <w:bCs w:val="0"/>
          <w:sz w:val="24"/>
          <w:szCs w:val="24"/>
        </w:rPr>
        <w:t xml:space="preserve">, even if he wasn’t eligible for retirement pension since he didn’t work an average of 20 hours per week or more.  </w:t>
      </w:r>
    </w:p>
    <w:p w14:paraId="1982B88E" w14:textId="77777777" w:rsidR="005217D5" w:rsidRDefault="005217D5" w:rsidP="005217D5">
      <w:pPr>
        <w:pStyle w:val="Heading1"/>
        <w:ind w:left="1440"/>
        <w:rPr>
          <w:b w:val="0"/>
          <w:bCs w:val="0"/>
          <w:sz w:val="24"/>
          <w:szCs w:val="24"/>
        </w:rPr>
      </w:pPr>
      <w:r>
        <w:rPr>
          <w:b w:val="0"/>
          <w:bCs w:val="0"/>
          <w:sz w:val="24"/>
          <w:szCs w:val="24"/>
        </w:rPr>
        <w:t>“</w:t>
      </w:r>
      <w:r w:rsidRPr="00D553CE">
        <w:rPr>
          <w:b w:val="0"/>
          <w:bCs w:val="0"/>
          <w:sz w:val="24"/>
          <w:szCs w:val="24"/>
        </w:rPr>
        <w:t xml:space="preserve">On appeal before us, the town claims that the board erred when it affirmed the commissioner's award because it failed to apply the definition of the term </w:t>
      </w:r>
      <w:r w:rsidRPr="00D553CE">
        <w:rPr>
          <w:rStyle w:val="Emphasis"/>
          <w:b w:val="0"/>
          <w:bCs w:val="0"/>
          <w:sz w:val="24"/>
          <w:szCs w:val="24"/>
        </w:rPr>
        <w:t>member</w:t>
      </w:r>
      <w:r w:rsidRPr="00D553CE">
        <w:rPr>
          <w:b w:val="0"/>
          <w:bCs w:val="0"/>
          <w:sz w:val="24"/>
          <w:szCs w:val="24"/>
        </w:rPr>
        <w:t xml:space="preserve"> provided in § 7-425 (5) when considering whether the plaintiff was </w:t>
      </w:r>
      <w:r>
        <w:rPr>
          <w:b w:val="0"/>
          <w:bCs w:val="0"/>
          <w:sz w:val="24"/>
          <w:szCs w:val="24"/>
        </w:rPr>
        <w:t>‘</w:t>
      </w:r>
      <w:r w:rsidRPr="00D553CE">
        <w:rPr>
          <w:b w:val="0"/>
          <w:bCs w:val="0"/>
          <w:sz w:val="24"/>
          <w:szCs w:val="24"/>
        </w:rPr>
        <w:t>a uniformed member of a paid municipal fire department'</w:t>
      </w:r>
      <w:r>
        <w:rPr>
          <w:b w:val="0"/>
          <w:bCs w:val="0"/>
          <w:sz w:val="24"/>
          <w:szCs w:val="24"/>
        </w:rPr>
        <w:t>’</w:t>
      </w:r>
      <w:r w:rsidRPr="00D553CE">
        <w:rPr>
          <w:b w:val="0"/>
          <w:bCs w:val="0"/>
          <w:sz w:val="24"/>
          <w:szCs w:val="24"/>
        </w:rPr>
        <w:t xml:space="preserve"> eligible for benefits pursuant to § 7-433c. We disagree.</w:t>
      </w:r>
    </w:p>
    <w:p w14:paraId="46EECC05" w14:textId="77777777" w:rsidR="005217D5" w:rsidRDefault="005217D5" w:rsidP="005217D5">
      <w:pPr>
        <w:pStyle w:val="Heading1"/>
        <w:ind w:left="1440"/>
        <w:rPr>
          <w:b w:val="0"/>
          <w:bCs w:val="0"/>
          <w:sz w:val="24"/>
          <w:szCs w:val="24"/>
        </w:rPr>
      </w:pPr>
      <w:r>
        <w:rPr>
          <w:b w:val="0"/>
          <w:bCs w:val="0"/>
          <w:sz w:val="24"/>
          <w:szCs w:val="24"/>
        </w:rPr>
        <w:t>***</w:t>
      </w:r>
    </w:p>
    <w:p w14:paraId="5215AAA4" w14:textId="77777777" w:rsidR="005217D5" w:rsidRPr="00CB17BF" w:rsidRDefault="005217D5" w:rsidP="005217D5">
      <w:pPr>
        <w:pStyle w:val="Heading1"/>
        <w:ind w:left="1440"/>
        <w:rPr>
          <w:b w:val="0"/>
          <w:bCs w:val="0"/>
          <w:sz w:val="24"/>
          <w:szCs w:val="24"/>
        </w:rPr>
      </w:pPr>
      <w:r w:rsidRPr="00CB17BF">
        <w:rPr>
          <w:b w:val="0"/>
          <w:bCs w:val="0"/>
          <w:sz w:val="24"/>
          <w:szCs w:val="24"/>
        </w:rPr>
        <w:t xml:space="preserve">Consequently, § 7-433c requires all municipal employers, as defined in General Statutes § 7-467, to pay compensation and medical care to any </w:t>
      </w:r>
      <w:r>
        <w:rPr>
          <w:b w:val="0"/>
          <w:bCs w:val="0"/>
          <w:sz w:val="24"/>
          <w:szCs w:val="24"/>
        </w:rPr>
        <w:t>‘</w:t>
      </w:r>
      <w:r w:rsidRPr="00CB17BF">
        <w:rPr>
          <w:b w:val="0"/>
          <w:bCs w:val="0"/>
          <w:sz w:val="24"/>
          <w:szCs w:val="24"/>
        </w:rPr>
        <w:t>uniformed member of a paid municipal fire department or regular member of a paid municipal police department</w:t>
      </w:r>
      <w:r>
        <w:rPr>
          <w:b w:val="0"/>
          <w:bCs w:val="0"/>
          <w:sz w:val="24"/>
          <w:szCs w:val="24"/>
        </w:rPr>
        <w:t>’</w:t>
      </w:r>
      <w:r w:rsidRPr="00CB17BF">
        <w:rPr>
          <w:b w:val="0"/>
          <w:bCs w:val="0"/>
          <w:sz w:val="24"/>
          <w:szCs w:val="24"/>
        </w:rPr>
        <w:t xml:space="preserve"> who suffers any condition or impairment of health caused by hypertension or heart disease resulting in death or temporary or permanent, total or partial disability, or dependents, as the case may be.</w:t>
      </w:r>
      <w:r>
        <w:rPr>
          <w:b w:val="0"/>
          <w:bCs w:val="0"/>
          <w:sz w:val="24"/>
          <w:szCs w:val="24"/>
        </w:rPr>
        <w:t xml:space="preserve">” </w:t>
      </w:r>
      <w:hyperlink r:id="rId1216" w:history="1">
        <w:r w:rsidRPr="00D66E15">
          <w:rPr>
            <w:rStyle w:val="Hyperlink"/>
            <w:sz w:val="24"/>
            <w:szCs w:val="24"/>
          </w:rPr>
          <w:t>https://casetext.com/case/clark-v-town-of-waterford</w:t>
        </w:r>
      </w:hyperlink>
      <w:r>
        <w:rPr>
          <w:b w:val="0"/>
          <w:bCs w:val="0"/>
          <w:sz w:val="24"/>
          <w:szCs w:val="24"/>
        </w:rPr>
        <w:t xml:space="preserve"> </w:t>
      </w:r>
    </w:p>
    <w:p w14:paraId="03955DD3" w14:textId="77777777" w:rsidR="005217D5" w:rsidRDefault="005217D5" w:rsidP="005217D5">
      <w:pPr>
        <w:pStyle w:val="Heading1"/>
        <w:ind w:left="720"/>
        <w:rPr>
          <w:sz w:val="24"/>
          <w:szCs w:val="24"/>
        </w:rPr>
      </w:pPr>
      <w:r w:rsidRPr="0021201E">
        <w:rPr>
          <w:sz w:val="24"/>
          <w:szCs w:val="24"/>
        </w:rPr>
        <w:t>Legal Lesson Learned:</w:t>
      </w:r>
      <w:r>
        <w:rPr>
          <w:sz w:val="24"/>
          <w:szCs w:val="24"/>
        </w:rPr>
        <w:t xml:space="preserve"> Statutory presumptions for heart attacks are very helpful, and in Connecticut now applies to career, part-time, and volunteer firefighters who have passed a pre-employment physical.   </w:t>
      </w:r>
    </w:p>
    <w:p w14:paraId="143D28D8" w14:textId="77777777" w:rsidR="005217D5" w:rsidRDefault="005217D5" w:rsidP="005217D5">
      <w:pPr>
        <w:pStyle w:val="NormalWeb"/>
        <w:ind w:left="1440" w:hanging="720"/>
      </w:pPr>
      <w:r w:rsidRPr="00DD5072">
        <w:t xml:space="preserve">Note: </w:t>
      </w:r>
      <w:r w:rsidRPr="00DD5072">
        <w:tab/>
      </w:r>
    </w:p>
    <w:p w14:paraId="09549AFF" w14:textId="77777777" w:rsidR="005217D5" w:rsidRDefault="005217D5" w:rsidP="005217D5">
      <w:pPr>
        <w:pStyle w:val="Heading1"/>
        <w:ind w:left="1440"/>
        <w:rPr>
          <w:sz w:val="24"/>
          <w:szCs w:val="24"/>
        </w:rPr>
      </w:pPr>
      <w:r w:rsidRPr="00F66A5F">
        <w:rPr>
          <w:b w:val="0"/>
          <w:bCs w:val="0"/>
          <w:sz w:val="24"/>
          <w:szCs w:val="24"/>
        </w:rPr>
        <w:t>Check the law in your state: IAFF Presumptive Health Initiative:</w:t>
      </w:r>
      <w:r>
        <w:rPr>
          <w:b w:val="0"/>
          <w:bCs w:val="0"/>
          <w:sz w:val="24"/>
          <w:szCs w:val="24"/>
        </w:rPr>
        <w:t xml:space="preserve"> </w:t>
      </w:r>
      <w:hyperlink r:id="rId1217" w:history="1">
        <w:r w:rsidRPr="004A379F">
          <w:rPr>
            <w:rStyle w:val="Hyperlink"/>
            <w:sz w:val="24"/>
            <w:szCs w:val="24"/>
          </w:rPr>
          <w:t>https://www.iaff.org/presumptive-health/</w:t>
        </w:r>
      </w:hyperlink>
      <w:r>
        <w:rPr>
          <w:b w:val="0"/>
          <w:bCs w:val="0"/>
          <w:sz w:val="24"/>
          <w:szCs w:val="24"/>
        </w:rPr>
        <w:t xml:space="preserve">. </w:t>
      </w:r>
    </w:p>
    <w:p w14:paraId="0DCAE8C7" w14:textId="77777777" w:rsidR="005217D5" w:rsidRPr="006C4B78" w:rsidRDefault="005217D5" w:rsidP="005217D5">
      <w:pPr>
        <w:pStyle w:val="NormalWeb"/>
        <w:ind w:left="1440"/>
        <w:rPr>
          <w:b/>
          <w:bCs/>
        </w:rPr>
      </w:pPr>
      <w:r>
        <w:t>“</w:t>
      </w:r>
      <w:r w:rsidRPr="006C4B78">
        <w:t xml:space="preserve">Connecticut's Heart and Hypertension Act was signed into law in </w:t>
      </w:r>
      <w:proofErr w:type="gramStart"/>
      <w:r w:rsidRPr="006C4B78">
        <w:t>1977, and</w:t>
      </w:r>
      <w:proofErr w:type="gramEnd"/>
      <w:r w:rsidRPr="006C4B78">
        <w:t xml:space="preserve"> allows firefighters and police officers with hypertension and heart disease to receive benefits equivalent to those found in </w:t>
      </w:r>
      <w:hyperlink r:id="rId1218" w:history="1">
        <w:r w:rsidRPr="006C4B78">
          <w:rPr>
            <w:rStyle w:val="Hyperlink"/>
          </w:rPr>
          <w:t xml:space="preserve">workers' compensation </w:t>
        </w:r>
      </w:hyperlink>
      <w:r w:rsidRPr="006C4B78">
        <w:t>without the burden of proving that the condition was in fact caused by their work.</w:t>
      </w:r>
      <w:r>
        <w:rPr>
          <w:b/>
          <w:bCs/>
        </w:rPr>
        <w:t xml:space="preserve"> </w:t>
      </w:r>
      <w:r w:rsidRPr="006C4B78">
        <w:t>Eligibility for compensation under the Heart and Hypertension Act requires that the recipient be a current or former police officer or firefighter, and that a pre-employment physical was conducted that showed no signs of either hypertension or heart disease.</w:t>
      </w:r>
      <w:r>
        <w:t>”</w:t>
      </w:r>
      <w:hyperlink r:id="rId1219" w:history="1">
        <w:r w:rsidRPr="003612CA">
          <w:rPr>
            <w:rStyle w:val="Hyperlink"/>
          </w:rPr>
          <w:t>https://www.schafer-and-schafer.com/workers-compensation/heart-and-hypertension/</w:t>
        </w:r>
      </w:hyperlink>
      <w:r>
        <w:rPr>
          <w:b/>
          <w:bCs/>
        </w:rPr>
        <w:t xml:space="preserve"> </w:t>
      </w:r>
    </w:p>
    <w:p w14:paraId="3C50E05A" w14:textId="77777777" w:rsidR="005217D5" w:rsidRPr="006C4B78" w:rsidRDefault="005217D5" w:rsidP="005217D5">
      <w:pPr>
        <w:pStyle w:val="Heading1"/>
        <w:ind w:left="1440"/>
        <w:rPr>
          <w:b w:val="0"/>
          <w:bCs w:val="0"/>
          <w:sz w:val="24"/>
          <w:szCs w:val="24"/>
        </w:rPr>
      </w:pPr>
      <w:r>
        <w:rPr>
          <w:b w:val="0"/>
          <w:bCs w:val="0"/>
          <w:sz w:val="24"/>
          <w:szCs w:val="24"/>
        </w:rPr>
        <w:t xml:space="preserve">Volunteer firefighters are now also covered, </w:t>
      </w:r>
      <w:r w:rsidRPr="006C4B78">
        <w:rPr>
          <w:b w:val="0"/>
          <w:bCs w:val="0"/>
          <w:sz w:val="24"/>
          <w:szCs w:val="24"/>
        </w:rPr>
        <w:t>“provided such member had previously successfully passed a physical examination by a licensed physician appointed by such department or ambulance service which examination failed to reveal any evidence of such condition.</w:t>
      </w:r>
      <w:r>
        <w:rPr>
          <w:b w:val="0"/>
          <w:bCs w:val="0"/>
          <w:sz w:val="24"/>
          <w:szCs w:val="24"/>
        </w:rPr>
        <w:t xml:space="preserve">” </w:t>
      </w:r>
      <w:hyperlink r:id="rId1220" w:history="1">
        <w:r w:rsidRPr="003612CA">
          <w:rPr>
            <w:rStyle w:val="Hyperlink"/>
            <w:sz w:val="24"/>
            <w:szCs w:val="24"/>
          </w:rPr>
          <w:t>https://wcc.state.ct.us/law/rel-stat/2009/7-314a.htm</w:t>
        </w:r>
      </w:hyperlink>
      <w:r>
        <w:rPr>
          <w:b w:val="0"/>
          <w:bCs w:val="0"/>
          <w:sz w:val="24"/>
          <w:szCs w:val="24"/>
        </w:rPr>
        <w:t xml:space="preserve"> </w:t>
      </w:r>
    </w:p>
    <w:p w14:paraId="05BBB02B" w14:textId="77777777" w:rsidR="005217D5" w:rsidRDefault="005217D5" w:rsidP="005217D5">
      <w:pPr>
        <w:pStyle w:val="Heading1"/>
        <w:ind w:left="1440"/>
        <w:rPr>
          <w:b w:val="0"/>
          <w:bCs w:val="0"/>
          <w:sz w:val="24"/>
          <w:szCs w:val="24"/>
        </w:rPr>
      </w:pPr>
      <w:r>
        <w:rPr>
          <w:b w:val="0"/>
          <w:bCs w:val="0"/>
          <w:sz w:val="24"/>
          <w:szCs w:val="24"/>
        </w:rPr>
        <w:t xml:space="preserve">April 13, 2021: Watch Appellate argument in this case: </w:t>
      </w:r>
      <w:hyperlink r:id="rId1221" w:history="1">
        <w:r w:rsidRPr="00D66E15">
          <w:rPr>
            <w:rStyle w:val="Hyperlink"/>
            <w:sz w:val="24"/>
            <w:szCs w:val="24"/>
          </w:rPr>
          <w:t>https://www.youtube.com/watch?v=-Y6r01Pmcaw</w:t>
        </w:r>
      </w:hyperlink>
      <w:r>
        <w:rPr>
          <w:b w:val="0"/>
          <w:bCs w:val="0"/>
          <w:sz w:val="24"/>
          <w:szCs w:val="24"/>
        </w:rPr>
        <w:t xml:space="preserve"> </w:t>
      </w:r>
    </w:p>
    <w:p w14:paraId="2A422DB9" w14:textId="77777777" w:rsidR="005217D5" w:rsidRDefault="005217D5" w:rsidP="00EF1133">
      <w:pPr>
        <w:rPr>
          <w:rFonts w:ascii="Arial Black" w:hAnsi="Arial Black"/>
          <w:b/>
          <w:sz w:val="24"/>
          <w:szCs w:val="24"/>
        </w:rPr>
      </w:pPr>
    </w:p>
    <w:p w14:paraId="4037BB38" w14:textId="77777777" w:rsidR="005217D5" w:rsidRDefault="005217D5" w:rsidP="00EF1133">
      <w:pPr>
        <w:rPr>
          <w:rFonts w:ascii="Arial Black" w:hAnsi="Arial Black"/>
          <w:b/>
          <w:sz w:val="24"/>
          <w:szCs w:val="24"/>
        </w:rPr>
      </w:pPr>
    </w:p>
    <w:p w14:paraId="5F7DD42E" w14:textId="23001047"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5</w:t>
      </w:r>
    </w:p>
    <w:p w14:paraId="23D9175B" w14:textId="77777777" w:rsidR="00F27CD5" w:rsidRPr="00AA1475" w:rsidRDefault="00F27CD5" w:rsidP="00F27CD5">
      <w:pPr>
        <w:pStyle w:val="NoSpacing"/>
        <w:rPr>
          <w:rFonts w:ascii="Arial Black" w:hAnsi="Arial Black"/>
          <w:sz w:val="28"/>
          <w:szCs w:val="28"/>
        </w:rPr>
      </w:pPr>
      <w:r w:rsidRPr="00AA1475">
        <w:rPr>
          <w:rFonts w:ascii="Arial Black" w:hAnsi="Arial Black"/>
          <w:sz w:val="28"/>
          <w:szCs w:val="28"/>
        </w:rPr>
        <w:t xml:space="preserve">NY: FF </w:t>
      </w:r>
      <w:r>
        <w:rPr>
          <w:rFonts w:ascii="Arial Black" w:hAnsi="Arial Black"/>
          <w:sz w:val="28"/>
          <w:szCs w:val="28"/>
        </w:rPr>
        <w:t xml:space="preserve">RIGHT </w:t>
      </w:r>
      <w:r w:rsidRPr="00AA1475">
        <w:rPr>
          <w:rFonts w:ascii="Arial Black" w:hAnsi="Arial Black"/>
          <w:sz w:val="28"/>
          <w:szCs w:val="28"/>
        </w:rPr>
        <w:t>SHOULDER INJUR</w:t>
      </w:r>
      <w:r>
        <w:rPr>
          <w:rFonts w:ascii="Arial Black" w:hAnsi="Arial Black"/>
          <w:sz w:val="28"/>
          <w:szCs w:val="28"/>
        </w:rPr>
        <w:t>IES – NONE QUALIFY FOR “ACCIDENTAL DISABILITY RETIREMENT [75% TAX FREE]</w:t>
      </w:r>
    </w:p>
    <w:p w14:paraId="5A61C59D" w14:textId="77777777" w:rsidR="00F27CD5" w:rsidRDefault="00F27CD5" w:rsidP="00F27CD5">
      <w:pPr>
        <w:pStyle w:val="NoSpacing"/>
      </w:pPr>
    </w:p>
    <w:p w14:paraId="73E703C7" w14:textId="77777777" w:rsidR="00F27CD5" w:rsidRPr="008A3320" w:rsidRDefault="00F27CD5" w:rsidP="00F27CD5">
      <w:pPr>
        <w:pStyle w:val="NoSpacing"/>
        <w:rPr>
          <w:rFonts w:ascii="Times New Roman" w:hAnsi="Times New Roman"/>
          <w:sz w:val="24"/>
          <w:szCs w:val="24"/>
        </w:rPr>
      </w:pPr>
      <w:r w:rsidRPr="008A3320">
        <w:rPr>
          <w:rFonts w:ascii="Times New Roman" w:hAnsi="Times New Roman"/>
          <w:sz w:val="24"/>
          <w:szCs w:val="24"/>
        </w:rPr>
        <w:t xml:space="preserve">On May 20, 2021, </w:t>
      </w:r>
      <w:r w:rsidRPr="008A3320">
        <w:rPr>
          <w:rFonts w:ascii="Times New Roman" w:hAnsi="Times New Roman"/>
          <w:sz w:val="24"/>
          <w:szCs w:val="24"/>
          <w:u w:val="single"/>
        </w:rPr>
        <w:t>In the Matter of Bernard McGoey v. Thomas P. DiNapoli, as State Comptroller</w:t>
      </w:r>
      <w:r w:rsidRPr="008A3320">
        <w:rPr>
          <w:rFonts w:ascii="Times New Roman" w:hAnsi="Times New Roman"/>
          <w:sz w:val="24"/>
          <w:szCs w:val="24"/>
        </w:rPr>
        <w:t xml:space="preserve">, </w:t>
      </w:r>
      <w:r w:rsidRPr="008A3320">
        <w:rPr>
          <w:rStyle w:val="font-weight-bold"/>
          <w:rFonts w:ascii="Times New Roman" w:hAnsi="Times New Roman"/>
          <w:sz w:val="24"/>
          <w:szCs w:val="24"/>
        </w:rPr>
        <w:t xml:space="preserve">2021 NY Slip Op 3235 (N.Y. App. Div. 2021), </w:t>
      </w:r>
      <w:r w:rsidRPr="008A3320">
        <w:rPr>
          <w:rFonts w:ascii="Times New Roman" w:hAnsi="Times New Roman"/>
          <w:sz w:val="24"/>
          <w:szCs w:val="24"/>
        </w:rPr>
        <w:t xml:space="preserve">the Appellate Division of the Supreme Court of the State of New York, held (3 to 0) that the New York State and Local Police and Fire Retirement System correctly held that the three </w:t>
      </w:r>
      <w:r>
        <w:rPr>
          <w:rFonts w:ascii="Times New Roman" w:hAnsi="Times New Roman"/>
          <w:sz w:val="24"/>
          <w:szCs w:val="24"/>
        </w:rPr>
        <w:t>incidents, including being hit by ice from building,</w:t>
      </w:r>
      <w:r w:rsidRPr="008A3320">
        <w:rPr>
          <w:rFonts w:ascii="Times New Roman" w:hAnsi="Times New Roman"/>
          <w:sz w:val="24"/>
          <w:szCs w:val="24"/>
        </w:rPr>
        <w:t xml:space="preserve"> were part of the normal risks of firefighting, and did not constitute “accidents” within the meaning of state statute, which requires proof of "a sudden, fortuitous mischance, unexpected, out of the ordinary, and injurious in impact."</w:t>
      </w:r>
      <w:r>
        <w:rPr>
          <w:rFonts w:ascii="Times New Roman" w:hAnsi="Times New Roman"/>
          <w:sz w:val="24"/>
          <w:szCs w:val="24"/>
        </w:rPr>
        <w:t xml:space="preserve">  Under NY law, if he has proven an injury from an accident, he would receive a </w:t>
      </w:r>
      <w:r w:rsidRPr="007F639D">
        <w:rPr>
          <w:rFonts w:ascii="Times New Roman" w:hAnsi="Times New Roman"/>
          <w:sz w:val="24"/>
          <w:szCs w:val="24"/>
        </w:rPr>
        <w:t xml:space="preserve">tax-free pension of 75% of their </w:t>
      </w:r>
      <w:r>
        <w:rPr>
          <w:rFonts w:ascii="Times New Roman" w:hAnsi="Times New Roman"/>
          <w:sz w:val="24"/>
          <w:szCs w:val="24"/>
        </w:rPr>
        <w:t>f</w:t>
      </w:r>
      <w:r w:rsidRPr="007F639D">
        <w:rPr>
          <w:rFonts w:ascii="Times New Roman" w:hAnsi="Times New Roman"/>
          <w:sz w:val="24"/>
          <w:szCs w:val="24"/>
        </w:rPr>
        <w:t xml:space="preserve">inal </w:t>
      </w:r>
      <w:r>
        <w:rPr>
          <w:rFonts w:ascii="Times New Roman" w:hAnsi="Times New Roman"/>
          <w:sz w:val="24"/>
          <w:szCs w:val="24"/>
        </w:rPr>
        <w:t>a</w:t>
      </w:r>
      <w:r w:rsidRPr="007F639D">
        <w:rPr>
          <w:rFonts w:ascii="Times New Roman" w:hAnsi="Times New Roman"/>
          <w:sz w:val="24"/>
          <w:szCs w:val="24"/>
        </w:rPr>
        <w:t xml:space="preserve">verage </w:t>
      </w:r>
      <w:r>
        <w:rPr>
          <w:rFonts w:ascii="Times New Roman" w:hAnsi="Times New Roman"/>
          <w:sz w:val="24"/>
          <w:szCs w:val="24"/>
        </w:rPr>
        <w:t>s</w:t>
      </w:r>
      <w:r w:rsidRPr="007F639D">
        <w:rPr>
          <w:rFonts w:ascii="Times New Roman" w:hAnsi="Times New Roman"/>
          <w:sz w:val="24"/>
          <w:szCs w:val="24"/>
        </w:rPr>
        <w:t>alary</w:t>
      </w:r>
      <w:r>
        <w:rPr>
          <w:rFonts w:ascii="Times New Roman" w:hAnsi="Times New Roman"/>
          <w:sz w:val="24"/>
          <w:szCs w:val="24"/>
        </w:rPr>
        <w:t>.</w:t>
      </w:r>
    </w:p>
    <w:p w14:paraId="0088F124" w14:textId="77777777" w:rsidR="00F27CD5" w:rsidRPr="008A3320" w:rsidRDefault="00F27CD5" w:rsidP="00F27CD5">
      <w:pPr>
        <w:pStyle w:val="NormalWeb"/>
        <w:ind w:left="360"/>
      </w:pPr>
      <w:r>
        <w:t>“</w:t>
      </w:r>
      <w:r w:rsidRPr="008A3320">
        <w:t>Petitioner does not dispute, and the record indeed establishes, that petitioner was engaged in the performance of his ordinary firefighting duties during each of the foregoing incidents. *** It also is well established that encountering smoke, water, tangled hose lines, reduced visibility and debris — as well as the corresponding threat of tripping or falling due to such conditions</w:t>
      </w:r>
      <w:r>
        <w:t xml:space="preserve"> … </w:t>
      </w:r>
      <w:r w:rsidRPr="008A3320">
        <w:t>are all risks inherent in the performance of a firefighter's duties</w:t>
      </w:r>
      <w:r>
        <w:t>….</w:t>
      </w:r>
      <w:r w:rsidRPr="008A3320">
        <w:t xml:space="preserve"> </w:t>
      </w:r>
      <w:hyperlink r:id="rId1222" w:history="1">
        <w:r w:rsidRPr="007344F4">
          <w:rPr>
            <w:rStyle w:val="Hyperlink"/>
          </w:rPr>
          <w:t>https://law.justia.com/cases/new-york/appellate-division-third-department/2021/532333.html</w:t>
        </w:r>
      </w:hyperlink>
      <w:r>
        <w:t xml:space="preserve"> </w:t>
      </w:r>
    </w:p>
    <w:p w14:paraId="13023B9A" w14:textId="77777777" w:rsidR="00F27CD5" w:rsidRPr="00E72984" w:rsidRDefault="00F27CD5" w:rsidP="00F27CD5">
      <w:pPr>
        <w:pStyle w:val="NoSpacing"/>
        <w:rPr>
          <w:rFonts w:ascii="Times New Roman" w:hAnsi="Times New Roman"/>
          <w:b/>
          <w:bCs/>
          <w:sz w:val="24"/>
          <w:szCs w:val="24"/>
        </w:rPr>
      </w:pPr>
      <w:r w:rsidRPr="00E72984">
        <w:rPr>
          <w:rFonts w:ascii="Times New Roman" w:hAnsi="Times New Roman"/>
          <w:b/>
          <w:bCs/>
          <w:sz w:val="24"/>
          <w:szCs w:val="24"/>
        </w:rPr>
        <w:t>Legal Lesson Learned:</w:t>
      </w:r>
      <w:r>
        <w:rPr>
          <w:rFonts w:ascii="Times New Roman" w:hAnsi="Times New Roman"/>
          <w:b/>
          <w:bCs/>
          <w:sz w:val="24"/>
          <w:szCs w:val="24"/>
        </w:rPr>
        <w:t xml:space="preserve"> To receive a tax-free pension of 75% of final average salary, the firefighter had to prove injury from a sudden, unexpected occurrence that was not a risk inherent in the job.   </w:t>
      </w:r>
    </w:p>
    <w:p w14:paraId="57B53B11" w14:textId="77777777" w:rsidR="00F27CD5" w:rsidRDefault="00F27CD5" w:rsidP="00F27CD5">
      <w:pPr>
        <w:pStyle w:val="NoSpacing"/>
        <w:rPr>
          <w:rFonts w:ascii="Times New Roman" w:hAnsi="Times New Roman"/>
          <w:sz w:val="24"/>
          <w:szCs w:val="24"/>
        </w:rPr>
      </w:pPr>
    </w:p>
    <w:p w14:paraId="5EA7D6E3" w14:textId="77777777" w:rsidR="00F27CD5" w:rsidRDefault="00F27CD5" w:rsidP="00F27CD5">
      <w:pPr>
        <w:pStyle w:val="NoSpacing"/>
        <w:ind w:left="720"/>
        <w:rPr>
          <w:rFonts w:ascii="Times New Roman" w:hAnsi="Times New Roman"/>
          <w:sz w:val="24"/>
          <w:szCs w:val="24"/>
        </w:rPr>
      </w:pPr>
      <w:r>
        <w:rPr>
          <w:rFonts w:ascii="Times New Roman" w:hAnsi="Times New Roman"/>
          <w:sz w:val="24"/>
          <w:szCs w:val="24"/>
        </w:rPr>
        <w:t xml:space="preserve">Note: </w:t>
      </w:r>
    </w:p>
    <w:p w14:paraId="67EBA8E4" w14:textId="77777777" w:rsidR="00F27CD5" w:rsidRDefault="00F27CD5" w:rsidP="00F27CD5">
      <w:pPr>
        <w:pStyle w:val="NoSpacing"/>
        <w:ind w:left="720"/>
        <w:rPr>
          <w:rFonts w:ascii="Times New Roman" w:hAnsi="Times New Roman"/>
          <w:sz w:val="24"/>
          <w:szCs w:val="24"/>
        </w:rPr>
      </w:pPr>
    </w:p>
    <w:p w14:paraId="56BB1848" w14:textId="77777777" w:rsidR="00F27CD5" w:rsidRPr="005F1FB2" w:rsidRDefault="00F27CD5" w:rsidP="00F27CD5">
      <w:pPr>
        <w:pStyle w:val="Heading3"/>
        <w:ind w:left="720"/>
        <w:rPr>
          <w:rFonts w:ascii="Times New Roman" w:hAnsi="Times New Roman" w:cs="Times New Roman"/>
        </w:rPr>
      </w:pPr>
      <w:r w:rsidRPr="005F1FB2">
        <w:rPr>
          <w:rFonts w:ascii="Times New Roman" w:hAnsi="Times New Roman" w:cs="Times New Roman"/>
          <w:color w:val="auto"/>
        </w:rPr>
        <w:t>See article: NEW YORK COURTS CLARIFY DEFINITION OF 'ACCIDENT' FOR DISABILITY RETIREMENT PURPOSES (Oct. 12, 2018)</w:t>
      </w:r>
      <w:r>
        <w:rPr>
          <w:rFonts w:ascii="Times New Roman" w:hAnsi="Times New Roman" w:cs="Times New Roman"/>
          <w:color w:val="auto"/>
        </w:rPr>
        <w:t xml:space="preserve">: </w:t>
      </w:r>
      <w:hyperlink r:id="rId1223" w:history="1">
        <w:r w:rsidRPr="005F1FB2">
          <w:rPr>
            <w:rStyle w:val="Hyperlink"/>
            <w:rFonts w:cs="Times New Roman"/>
          </w:rPr>
          <w:t>https://www.alexdell.com/news/79/NEW-YORK-COURTS-CLARIFY-DEFINITION-OF-ACCIDENT-FOR-DISABILITY-RETIREMENT-PURPOSES/</w:t>
        </w:r>
      </w:hyperlink>
    </w:p>
    <w:p w14:paraId="629F59BF" w14:textId="77777777" w:rsidR="00F27CD5" w:rsidRDefault="00F27CD5" w:rsidP="00F27CD5">
      <w:pPr>
        <w:pStyle w:val="NoSpacing"/>
        <w:ind w:left="720"/>
        <w:rPr>
          <w:rFonts w:ascii="Times New Roman" w:hAnsi="Times New Roman"/>
          <w:sz w:val="24"/>
          <w:szCs w:val="24"/>
        </w:rPr>
      </w:pPr>
    </w:p>
    <w:p w14:paraId="1642DB31" w14:textId="77777777" w:rsidR="00F27CD5" w:rsidRDefault="00F27CD5" w:rsidP="00F27CD5">
      <w:pPr>
        <w:pStyle w:val="NoSpacing"/>
        <w:ind w:left="1440"/>
        <w:rPr>
          <w:rFonts w:ascii="Times New Roman" w:hAnsi="Times New Roman"/>
          <w:sz w:val="24"/>
          <w:szCs w:val="24"/>
        </w:rPr>
      </w:pPr>
      <w:r>
        <w:rPr>
          <w:rFonts w:ascii="Times New Roman" w:hAnsi="Times New Roman"/>
          <w:sz w:val="24"/>
          <w:szCs w:val="24"/>
        </w:rPr>
        <w:t>“</w:t>
      </w:r>
      <w:r w:rsidRPr="007F639D">
        <w:rPr>
          <w:rFonts w:ascii="Times New Roman" w:hAnsi="Times New Roman"/>
          <w:sz w:val="24"/>
          <w:szCs w:val="24"/>
        </w:rPr>
        <w:t>In New York State, police officers and firefighters</w:t>
      </w:r>
      <w:r>
        <w:rPr>
          <w:rFonts w:ascii="Times New Roman" w:hAnsi="Times New Roman"/>
          <w:sz w:val="24"/>
          <w:szCs w:val="24"/>
        </w:rPr>
        <w:t xml:space="preserve"> </w:t>
      </w:r>
      <w:r w:rsidRPr="007F639D">
        <w:rPr>
          <w:rFonts w:ascii="Times New Roman" w:hAnsi="Times New Roman"/>
          <w:sz w:val="24"/>
          <w:szCs w:val="24"/>
        </w:rPr>
        <w:t xml:space="preserve">who are rendered permanently disabled as the result of an on-the-job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are eligible to receive a tax-free pension of 75% of their Final Average Salary. To qualify, the first responder needs to demonstrate that their work injury meets the definition of an </w:t>
      </w:r>
      <w:r>
        <w:rPr>
          <w:rFonts w:ascii="Times New Roman" w:hAnsi="Times New Roman"/>
          <w:sz w:val="24"/>
          <w:szCs w:val="24"/>
        </w:rPr>
        <w:t>‘</w:t>
      </w:r>
      <w:r w:rsidRPr="007F639D">
        <w:rPr>
          <w:rFonts w:ascii="Times New Roman" w:hAnsi="Times New Roman"/>
          <w:sz w:val="24"/>
          <w:szCs w:val="24"/>
        </w:rPr>
        <w:t xml:space="preserve">accident” as defined over time by New York State courts. An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is a sudden, unexpected occurrence that was not a risk inherent in the work performed. For years, this definition of an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has been fraught with ambiguity and has led to inconsistent decisions, many of which involve cases where the employee was injured as the result of a misstep or fall.</w:t>
      </w:r>
      <w:r>
        <w:rPr>
          <w:rFonts w:ascii="Times New Roman" w:hAnsi="Times New Roman"/>
          <w:sz w:val="24"/>
          <w:szCs w:val="24"/>
        </w:rPr>
        <w:t xml:space="preserve"> </w:t>
      </w:r>
    </w:p>
    <w:p w14:paraId="1DDFA25F" w14:textId="77777777" w:rsidR="00F27CD5" w:rsidRDefault="00F27CD5" w:rsidP="00F27CD5">
      <w:pPr>
        <w:pStyle w:val="NoSpacing"/>
        <w:ind w:left="720"/>
        <w:rPr>
          <w:rFonts w:ascii="Times New Roman" w:hAnsi="Times New Roman"/>
          <w:sz w:val="24"/>
          <w:szCs w:val="24"/>
        </w:rPr>
      </w:pPr>
    </w:p>
    <w:p w14:paraId="2764D980" w14:textId="77777777" w:rsidR="00F27CD5" w:rsidRDefault="00F27CD5" w:rsidP="00F27CD5">
      <w:pPr>
        <w:pStyle w:val="NoSpacing"/>
        <w:ind w:left="720" w:firstLine="720"/>
        <w:rPr>
          <w:rFonts w:ascii="Times New Roman" w:hAnsi="Times New Roman"/>
          <w:sz w:val="24"/>
          <w:szCs w:val="24"/>
        </w:rPr>
      </w:pPr>
      <w:r>
        <w:rPr>
          <w:rFonts w:ascii="Times New Roman" w:hAnsi="Times New Roman"/>
          <w:sz w:val="24"/>
          <w:szCs w:val="24"/>
        </w:rPr>
        <w:t>***</w:t>
      </w:r>
    </w:p>
    <w:p w14:paraId="62F8C5CF" w14:textId="77777777" w:rsidR="00F27CD5" w:rsidRDefault="00F27CD5" w:rsidP="00F27CD5">
      <w:pPr>
        <w:pStyle w:val="NoSpacing"/>
        <w:ind w:left="1440"/>
        <w:rPr>
          <w:rFonts w:ascii="Times New Roman" w:hAnsi="Times New Roman"/>
          <w:sz w:val="24"/>
          <w:szCs w:val="24"/>
        </w:rPr>
      </w:pPr>
      <w:r w:rsidRPr="007F639D">
        <w:rPr>
          <w:rFonts w:ascii="Times New Roman" w:hAnsi="Times New Roman"/>
          <w:sz w:val="24"/>
          <w:szCs w:val="24"/>
        </w:rPr>
        <w:t xml:space="preserve">On February 13, 2018, the New York State Court of Appeals – the highest court in New York – decided two important cases involving applications for accidental disability retirement benefits. In </w:t>
      </w:r>
      <w:r w:rsidRPr="007F639D">
        <w:rPr>
          <w:rFonts w:ascii="Times New Roman" w:hAnsi="Times New Roman"/>
          <w:sz w:val="24"/>
          <w:szCs w:val="24"/>
          <w:u w:val="single"/>
        </w:rPr>
        <w:t>Kelly v. DiNapoli</w:t>
      </w:r>
      <w:r w:rsidRPr="007F639D">
        <w:rPr>
          <w:rFonts w:ascii="Times New Roman" w:hAnsi="Times New Roman"/>
          <w:sz w:val="24"/>
          <w:szCs w:val="24"/>
        </w:rPr>
        <w:t xml:space="preserve"> and </w:t>
      </w:r>
      <w:r w:rsidRPr="007F639D">
        <w:rPr>
          <w:rFonts w:ascii="Times New Roman" w:hAnsi="Times New Roman"/>
          <w:sz w:val="24"/>
          <w:szCs w:val="24"/>
          <w:u w:val="single"/>
        </w:rPr>
        <w:t>Sica v. DiNapoli</w:t>
      </w:r>
      <w:r w:rsidRPr="007F639D">
        <w:rPr>
          <w:rFonts w:ascii="Times New Roman" w:hAnsi="Times New Roman"/>
          <w:sz w:val="24"/>
          <w:szCs w:val="24"/>
        </w:rPr>
        <w:t xml:space="preserve">, the Court ruled that it would no longer require injured workers to demonstrate that they were injured as the result of a hazard that was not </w:t>
      </w:r>
      <w:r>
        <w:rPr>
          <w:rFonts w:ascii="Times New Roman" w:hAnsi="Times New Roman"/>
          <w:sz w:val="24"/>
          <w:szCs w:val="24"/>
        </w:rPr>
        <w:t>‘</w:t>
      </w:r>
      <w:r w:rsidRPr="007F639D">
        <w:rPr>
          <w:rFonts w:ascii="Times New Roman" w:hAnsi="Times New Roman"/>
          <w:sz w:val="24"/>
          <w:szCs w:val="24"/>
        </w:rPr>
        <w:t>readily observable.</w:t>
      </w:r>
      <w:r>
        <w:rPr>
          <w:rFonts w:ascii="Times New Roman" w:hAnsi="Times New Roman"/>
          <w:sz w:val="24"/>
          <w:szCs w:val="24"/>
        </w:rPr>
        <w:t>’</w:t>
      </w:r>
      <w:r w:rsidRPr="007F639D">
        <w:rPr>
          <w:rFonts w:ascii="Times New Roman" w:hAnsi="Times New Roman"/>
          <w:sz w:val="24"/>
          <w:szCs w:val="24"/>
        </w:rPr>
        <w:t xml:space="preserve"> Previously, applications for accidental disability retirement benefits were often denied simply because the hazard that caused the disabling injury was deemed </w:t>
      </w:r>
      <w:r>
        <w:rPr>
          <w:rFonts w:ascii="Times New Roman" w:hAnsi="Times New Roman"/>
          <w:sz w:val="24"/>
          <w:szCs w:val="24"/>
        </w:rPr>
        <w:t>‘</w:t>
      </w:r>
      <w:r w:rsidRPr="007F639D">
        <w:rPr>
          <w:rFonts w:ascii="Times New Roman" w:hAnsi="Times New Roman"/>
          <w:sz w:val="24"/>
          <w:szCs w:val="24"/>
        </w:rPr>
        <w:t>readily observable,</w:t>
      </w:r>
      <w:r>
        <w:rPr>
          <w:rFonts w:ascii="Times New Roman" w:hAnsi="Times New Roman"/>
          <w:sz w:val="24"/>
          <w:szCs w:val="24"/>
        </w:rPr>
        <w:t>’</w:t>
      </w:r>
      <w:r w:rsidRPr="007F639D">
        <w:rPr>
          <w:rFonts w:ascii="Times New Roman" w:hAnsi="Times New Roman"/>
          <w:sz w:val="24"/>
          <w:szCs w:val="24"/>
        </w:rPr>
        <w:t xml:space="preserve"> even if the injured worker did not actually see it at the time of their injury.</w:t>
      </w:r>
      <w:r>
        <w:rPr>
          <w:rFonts w:ascii="Times New Roman" w:hAnsi="Times New Roman"/>
          <w:sz w:val="24"/>
          <w:szCs w:val="24"/>
        </w:rPr>
        <w:t xml:space="preserve">” </w:t>
      </w:r>
    </w:p>
    <w:p w14:paraId="632BD6B7" w14:textId="77777777" w:rsidR="00F27CD5" w:rsidRDefault="00F27CD5" w:rsidP="00EF1133">
      <w:pPr>
        <w:rPr>
          <w:rFonts w:ascii="Arial Black" w:hAnsi="Arial Black"/>
          <w:b/>
          <w:sz w:val="24"/>
          <w:szCs w:val="24"/>
        </w:rPr>
      </w:pPr>
    </w:p>
    <w:p w14:paraId="0ABFE0A2" w14:textId="58AB2841"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4</w:t>
      </w:r>
    </w:p>
    <w:p w14:paraId="235441FE" w14:textId="77777777" w:rsidR="00F27CD5" w:rsidRDefault="00F27CD5" w:rsidP="00F27CD5">
      <w:pPr>
        <w:pStyle w:val="NoSpacing"/>
        <w:rPr>
          <w:rFonts w:ascii="Arial Black" w:hAnsi="Arial Black"/>
          <w:sz w:val="28"/>
          <w:szCs w:val="28"/>
        </w:rPr>
      </w:pPr>
      <w:r>
        <w:rPr>
          <w:rFonts w:ascii="Arial Black" w:hAnsi="Arial Black"/>
          <w:sz w:val="28"/>
          <w:szCs w:val="28"/>
        </w:rPr>
        <w:t xml:space="preserve">NJ: FF INJURED KNEE - SLIPPED ICE AT FIRE – PRE-EXISTING ARTHRITIS - “ACCIDENTAL DISABILITY” DENIED </w:t>
      </w:r>
    </w:p>
    <w:p w14:paraId="727461B8" w14:textId="77777777" w:rsidR="00F27CD5" w:rsidRDefault="00F27CD5" w:rsidP="00F27CD5">
      <w:pPr>
        <w:pStyle w:val="NoSpacing"/>
        <w:rPr>
          <w:rStyle w:val="font-weight-bold"/>
          <w:rFonts w:ascii="Times New Roman" w:hAnsi="Times New Roman"/>
          <w:sz w:val="24"/>
          <w:szCs w:val="24"/>
        </w:rPr>
      </w:pPr>
      <w:r>
        <w:rPr>
          <w:rFonts w:ascii="Times New Roman" w:hAnsi="Times New Roman"/>
          <w:sz w:val="24"/>
          <w:szCs w:val="24"/>
        </w:rPr>
        <w:t xml:space="preserve">On May 20, 2021, in </w:t>
      </w:r>
      <w:r w:rsidRPr="00330426">
        <w:rPr>
          <w:rFonts w:ascii="Times New Roman" w:hAnsi="Times New Roman"/>
          <w:sz w:val="24"/>
          <w:szCs w:val="24"/>
          <w:u w:val="single"/>
        </w:rPr>
        <w:t xml:space="preserve">Matthew Davis v. Board of Trustees, Police </w:t>
      </w:r>
      <w:proofErr w:type="gramStart"/>
      <w:r w:rsidRPr="00330426">
        <w:rPr>
          <w:rFonts w:ascii="Times New Roman" w:hAnsi="Times New Roman"/>
          <w:sz w:val="24"/>
          <w:szCs w:val="24"/>
          <w:u w:val="single"/>
        </w:rPr>
        <w:t>And</w:t>
      </w:r>
      <w:proofErr w:type="gramEnd"/>
      <w:r w:rsidRPr="00330426">
        <w:rPr>
          <w:rFonts w:ascii="Times New Roman" w:hAnsi="Times New Roman"/>
          <w:sz w:val="24"/>
          <w:szCs w:val="24"/>
          <w:u w:val="single"/>
        </w:rPr>
        <w:t xml:space="preserve"> Firemen’s Retirement System</w:t>
      </w:r>
      <w:r>
        <w:rPr>
          <w:rFonts w:ascii="Times New Roman" w:hAnsi="Times New Roman"/>
          <w:sz w:val="24"/>
          <w:szCs w:val="24"/>
        </w:rPr>
        <w:t xml:space="preserve">, the Superior Court of New Jersey, Appellate Division, </w:t>
      </w:r>
      <w:r w:rsidRPr="00330426">
        <w:rPr>
          <w:rStyle w:val="font-weight-bold"/>
          <w:rFonts w:ascii="Times New Roman" w:hAnsi="Times New Roman"/>
          <w:sz w:val="24"/>
          <w:szCs w:val="24"/>
        </w:rPr>
        <w:t xml:space="preserve">Davis v. Bd. of </w:t>
      </w:r>
      <w:proofErr w:type="spellStart"/>
      <w:r w:rsidRPr="00330426">
        <w:rPr>
          <w:rStyle w:val="font-weight-bold"/>
          <w:rFonts w:ascii="Times New Roman" w:hAnsi="Times New Roman"/>
          <w:sz w:val="24"/>
          <w:szCs w:val="24"/>
        </w:rPr>
        <w:t>Trs</w:t>
      </w:r>
      <w:proofErr w:type="spellEnd"/>
      <w:r w:rsidRPr="00330426">
        <w:rPr>
          <w:rStyle w:val="font-weight-bold"/>
          <w:rFonts w:ascii="Times New Roman" w:hAnsi="Times New Roman"/>
          <w:sz w:val="24"/>
          <w:szCs w:val="24"/>
        </w:rPr>
        <w:t>. (N.J. Super. App. Div. 2021)</w:t>
      </w:r>
      <w:r>
        <w:rPr>
          <w:rStyle w:val="font-weight-bold"/>
          <w:rFonts w:ascii="Times New Roman" w:hAnsi="Times New Roman"/>
          <w:sz w:val="24"/>
          <w:szCs w:val="24"/>
        </w:rPr>
        <w:t xml:space="preserve">, in unpublished decision, held (3 to 0) that the firefighter was not entitled to extra “accidental” disability benefits, only ordinary disability, since the 2015 injury was caused by the arthritis and lack of stability in his right knee from the 2005 skiing accident and ACL surgery. </w:t>
      </w:r>
    </w:p>
    <w:p w14:paraId="2EA24C42" w14:textId="75D5D5BD" w:rsidR="00F27CD5" w:rsidRDefault="00F27CD5" w:rsidP="00F27CD5">
      <w:pPr>
        <w:rPr>
          <w:rFonts w:ascii="Arial Black" w:hAnsi="Arial Black"/>
          <w:b/>
          <w:sz w:val="24"/>
          <w:szCs w:val="24"/>
        </w:rPr>
      </w:pPr>
      <w:r>
        <w:rPr>
          <w:rFonts w:ascii="Times New Roman" w:eastAsia="Times New Roman" w:hAnsi="Times New Roman"/>
          <w:sz w:val="24"/>
          <w:szCs w:val="24"/>
        </w:rPr>
        <w:t>“</w:t>
      </w:r>
      <w:r w:rsidRPr="00E26351">
        <w:rPr>
          <w:rFonts w:ascii="Times New Roman" w:eastAsia="Times New Roman" w:hAnsi="Times New Roman"/>
          <w:sz w:val="24"/>
          <w:szCs w:val="24"/>
        </w:rPr>
        <w:t xml:space="preserve">The Board stated that, under </w:t>
      </w:r>
      <w:r w:rsidRPr="00E26351">
        <w:rPr>
          <w:rFonts w:ascii="Times New Roman" w:eastAsia="Times New Roman" w:hAnsi="Times New Roman"/>
          <w:sz w:val="24"/>
          <w:szCs w:val="24"/>
          <w:u w:val="single"/>
        </w:rPr>
        <w:t>Gerba v. Board of Trustees, Public Employees' Retirement System</w:t>
      </w:r>
      <w:r w:rsidRPr="00E26351">
        <w:rPr>
          <w:rFonts w:ascii="Times New Roman" w:eastAsia="Times New Roman" w:hAnsi="Times New Roman"/>
          <w:sz w:val="24"/>
          <w:szCs w:val="24"/>
        </w:rPr>
        <w:t>, 83 N.J. 174, 186 (1980), an individual does not qualify for accidental disability benefits if the disability is caused by an underlying condition, which has not been directly caused, but is only aggravated or ignited by the traumatic event. The Board concluded that the evidence showed that the 2015 incident merely aggravated or ignited Davis's long-standing pre-existing arthritis. Therefore, he is not entitled to accidental disability retirement benefits. There is sufficient credible evidence in the record to support the Board's findings.</w:t>
      </w:r>
      <w:r>
        <w:rPr>
          <w:rFonts w:ascii="Times New Roman" w:eastAsia="Times New Roman" w:hAnsi="Times New Roman"/>
          <w:sz w:val="24"/>
          <w:szCs w:val="24"/>
        </w:rPr>
        <w:t xml:space="preserve">” </w:t>
      </w:r>
      <w:hyperlink r:id="rId1224" w:history="1">
        <w:r w:rsidRPr="007344F4">
          <w:rPr>
            <w:rStyle w:val="Hyperlink"/>
            <w:sz w:val="24"/>
            <w:szCs w:val="24"/>
          </w:rPr>
          <w:t>https://njcourts.gov/attorneys/assets/opinions/appellate/unpublished/a4070-18.pdf</w:t>
        </w:r>
      </w:hyperlink>
    </w:p>
    <w:p w14:paraId="1B1FF44D" w14:textId="77777777" w:rsidR="00F27CD5" w:rsidRPr="00D96A67" w:rsidRDefault="00F27CD5" w:rsidP="00F27CD5">
      <w:pPr>
        <w:pStyle w:val="NormalWeb"/>
        <w:rPr>
          <w:b/>
          <w:bCs/>
        </w:rPr>
      </w:pPr>
      <w:r w:rsidRPr="00D96A67">
        <w:rPr>
          <w:b/>
          <w:bCs/>
        </w:rPr>
        <w:t>Legal Lesson Learned:</w:t>
      </w:r>
      <w:r>
        <w:rPr>
          <w:b/>
          <w:bCs/>
        </w:rPr>
        <w:t xml:space="preserve"> This was a classic “battle of the experts.” An agency’s decision to accept or reject an expert’s testimony will generally be upheld by Courts on appeal. </w:t>
      </w:r>
    </w:p>
    <w:p w14:paraId="508F6A6C" w14:textId="77777777" w:rsidR="00F27CD5" w:rsidRDefault="00F27CD5" w:rsidP="00EF1133">
      <w:pPr>
        <w:rPr>
          <w:rFonts w:ascii="Arial Black" w:hAnsi="Arial Black"/>
          <w:b/>
          <w:sz w:val="24"/>
          <w:szCs w:val="24"/>
        </w:rPr>
      </w:pPr>
    </w:p>
    <w:p w14:paraId="7D9A14E1" w14:textId="77777777" w:rsidR="00F27CD5" w:rsidRDefault="00F27CD5" w:rsidP="00EF1133">
      <w:pPr>
        <w:rPr>
          <w:rFonts w:ascii="Arial Black" w:hAnsi="Arial Black"/>
          <w:b/>
          <w:sz w:val="24"/>
          <w:szCs w:val="24"/>
        </w:rPr>
      </w:pPr>
    </w:p>
    <w:p w14:paraId="2BFECD75" w14:textId="05B02F13"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3</w:t>
      </w:r>
    </w:p>
    <w:p w14:paraId="1B212B2D" w14:textId="77777777" w:rsidR="00F27CD5" w:rsidRDefault="00F27CD5" w:rsidP="00F27CD5">
      <w:pPr>
        <w:pStyle w:val="NoSpacing"/>
        <w:rPr>
          <w:rFonts w:ascii="Arial Black" w:hAnsi="Arial Black"/>
          <w:sz w:val="28"/>
          <w:szCs w:val="28"/>
        </w:rPr>
      </w:pPr>
      <w:r>
        <w:rPr>
          <w:rFonts w:ascii="Arial Black" w:hAnsi="Arial Black"/>
          <w:sz w:val="28"/>
          <w:szCs w:val="28"/>
        </w:rPr>
        <w:t>LA: CITY MUST PAY $1.6 BACKPAY TO CURRENT / RETIRED FF – STATE LAW REQ. “LONGEVITY” PAY AFTER 3 YEARS</w:t>
      </w:r>
    </w:p>
    <w:p w14:paraId="62822132" w14:textId="77777777" w:rsidR="00F27CD5" w:rsidRDefault="00F27CD5" w:rsidP="00F27CD5">
      <w:pPr>
        <w:pStyle w:val="text"/>
      </w:pPr>
      <w:r w:rsidRPr="001B4D08">
        <w:t xml:space="preserve">On </w:t>
      </w:r>
      <w:r>
        <w:t xml:space="preserve">May 13, 2021, in </w:t>
      </w:r>
      <w:r w:rsidRPr="001B4D08">
        <w:rPr>
          <w:u w:val="single"/>
        </w:rPr>
        <w:t>Arnold Lowther, et al. v. Town of Bastrop</w:t>
      </w:r>
      <w:r>
        <w:t xml:space="preserve">, the Supreme Court of Louisiana held (6 to 1) that the </w:t>
      </w:r>
      <w:proofErr w:type="gramStart"/>
      <w:r>
        <w:t>City</w:t>
      </w:r>
      <w:proofErr w:type="gramEnd"/>
      <w:r>
        <w:t xml:space="preserve"> must pay $1,673,805 in backpay to 32 current and former firefighters; </w:t>
      </w:r>
      <w:r w:rsidRPr="0059197A">
        <w:t xml:space="preserve">Louisiana law states that firefighters will receive longevity pay after three continuous years of service. </w:t>
      </w:r>
    </w:p>
    <w:p w14:paraId="35405411" w14:textId="77777777" w:rsidR="00F27CD5" w:rsidRDefault="00F27CD5" w:rsidP="00F27CD5">
      <w:pPr>
        <w:pStyle w:val="NormalWeb"/>
        <w:ind w:left="720"/>
      </w:pPr>
      <w:r>
        <w:t>“</w:t>
      </w:r>
      <w:r w:rsidRPr="0059197A">
        <w:t>The action requested by the Firefighters' amended petition for a writ of mandamus is the City's ministerial duty to appropriate funds necessary to satisfy the May 2019 judgment as required by La. Const. art. VI, § 14(A)(2)(e), La. R.S. 33:1992(A), La. R.S. 33:1992(B), and La. R.S. 33:1969.</w:t>
      </w:r>
      <w:bookmarkStart w:id="231" w:name="fn6"/>
      <w:r w:rsidRPr="0059197A">
        <w:rPr>
          <w:vertAlign w:val="superscript"/>
        </w:rPr>
        <w:fldChar w:fldCharType="begin"/>
      </w:r>
      <w:r w:rsidRPr="0059197A">
        <w:rPr>
          <w:vertAlign w:val="superscript"/>
        </w:rPr>
        <w:instrText xml:space="preserve"> HYPERLINK "https://public.fastcase.com/" \l "fr6" </w:instrText>
      </w:r>
      <w:r w:rsidRPr="0059197A">
        <w:rPr>
          <w:vertAlign w:val="superscript"/>
        </w:rPr>
      </w:r>
      <w:r w:rsidRPr="0059197A">
        <w:rPr>
          <w:vertAlign w:val="superscript"/>
        </w:rPr>
        <w:fldChar w:fldCharType="separate"/>
      </w:r>
      <w:r w:rsidRPr="0059197A">
        <w:rPr>
          <w:rStyle w:val="Hyperlink"/>
          <w:vertAlign w:val="superscript"/>
        </w:rPr>
        <w:t>6</w:t>
      </w:r>
      <w:r w:rsidRPr="0059197A">
        <w:rPr>
          <w:vertAlign w:val="superscript"/>
        </w:rPr>
        <w:fldChar w:fldCharType="end"/>
      </w:r>
      <w:bookmarkEnd w:id="231"/>
      <w:r w:rsidRPr="0059197A">
        <w:t xml:space="preserve"> Accordingly, we find the Firefighters' allegations that the City has failed to perform this duty state a valid cause of action.</w:t>
      </w:r>
      <w:r>
        <w:t xml:space="preserve">” </w:t>
      </w:r>
      <w:hyperlink r:id="rId1225" w:history="1">
        <w:r w:rsidRPr="00416E6F">
          <w:rPr>
            <w:rStyle w:val="Hyperlink"/>
          </w:rPr>
          <w:t>https://www.lasc.org/Opinions/2021/20-1231.C.OPN.pdf</w:t>
        </w:r>
      </w:hyperlink>
      <w:r>
        <w:t xml:space="preserve"> </w:t>
      </w:r>
    </w:p>
    <w:p w14:paraId="19602926" w14:textId="77777777" w:rsidR="00F27CD5" w:rsidRDefault="00F27CD5" w:rsidP="00F27CD5">
      <w:pPr>
        <w:spacing w:before="100" w:beforeAutospacing="1" w:after="100" w:afterAutospacing="1"/>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court-ordered </w:t>
      </w:r>
      <w:proofErr w:type="gramStart"/>
      <w:r>
        <w:rPr>
          <w:rFonts w:ascii="Times New Roman" w:eastAsia="Times New Roman" w:hAnsi="Times New Roman"/>
          <w:b/>
          <w:bCs/>
          <w:sz w:val="24"/>
          <w:szCs w:val="24"/>
        </w:rPr>
        <w:t>back pay</w:t>
      </w:r>
      <w:proofErr w:type="gramEnd"/>
      <w:r>
        <w:rPr>
          <w:rFonts w:ascii="Times New Roman" w:eastAsia="Times New Roman" w:hAnsi="Times New Roman"/>
          <w:b/>
          <w:bCs/>
          <w:sz w:val="24"/>
          <w:szCs w:val="24"/>
        </w:rPr>
        <w:t xml:space="preserve"> award must be honored.</w:t>
      </w:r>
    </w:p>
    <w:p w14:paraId="1917693B" w14:textId="77777777" w:rsidR="00F27CD5" w:rsidRDefault="00F27CD5" w:rsidP="00F27CD5">
      <w:pPr>
        <w:pStyle w:val="text"/>
        <w:ind w:left="720"/>
      </w:pPr>
      <w:r>
        <w:t xml:space="preserve">Note: On March 20, 2021, the City held a special election and citizens voted for a 1.4 mil property tax to pay the judgment. </w:t>
      </w:r>
      <w:hyperlink r:id="rId1226" w:history="1">
        <w:r w:rsidRPr="00416E6F">
          <w:rPr>
            <w:rStyle w:val="Hyperlink"/>
          </w:rPr>
          <w:t>https://www.knoe.com/2021/03/21/bastrop-passes-14-million-property-tax/</w:t>
        </w:r>
      </w:hyperlink>
      <w:r>
        <w:t xml:space="preserve"> </w:t>
      </w:r>
    </w:p>
    <w:p w14:paraId="322CBF6C" w14:textId="77777777" w:rsidR="00F27CD5" w:rsidRDefault="00F27CD5" w:rsidP="00F27CD5">
      <w:pPr>
        <w:spacing w:before="100" w:beforeAutospacing="1" w:after="100" w:afterAutospacing="1"/>
        <w:ind w:left="720"/>
      </w:pPr>
      <w:r>
        <w:rPr>
          <w:rFonts w:ascii="Times New Roman" w:eastAsia="Times New Roman" w:hAnsi="Times New Roman"/>
          <w:sz w:val="24"/>
          <w:szCs w:val="24"/>
        </w:rPr>
        <w:t xml:space="preserve">See also: </w:t>
      </w:r>
      <w:r w:rsidRPr="00E42885">
        <w:rPr>
          <w:rFonts w:ascii="Times New Roman" w:eastAsia="Times New Roman" w:hAnsi="Times New Roman"/>
          <w:sz w:val="24"/>
          <w:szCs w:val="24"/>
        </w:rPr>
        <w:t xml:space="preserve">May 6, 2019: </w:t>
      </w:r>
      <w:r>
        <w:rPr>
          <w:rFonts w:ascii="Times New Roman" w:eastAsia="Times New Roman" w:hAnsi="Times New Roman"/>
          <w:sz w:val="24"/>
          <w:szCs w:val="24"/>
        </w:rPr>
        <w:t>“</w:t>
      </w:r>
      <w:r w:rsidRPr="00E42885">
        <w:rPr>
          <w:rFonts w:ascii="Times New Roman" w:hAnsi="Times New Roman"/>
          <w:sz w:val="24"/>
          <w:szCs w:val="24"/>
        </w:rPr>
        <w:t>Bastrop ordered to pay more than $1.6 million to firemen after lawsuit</w:t>
      </w:r>
      <w:r>
        <w:rPr>
          <w:rFonts w:ascii="Times New Roman" w:hAnsi="Times New Roman"/>
          <w:sz w:val="24"/>
          <w:szCs w:val="24"/>
        </w:rPr>
        <w:t xml:space="preserve">.” </w:t>
      </w:r>
      <w:hyperlink r:id="rId1227" w:history="1">
        <w:r w:rsidRPr="00416E6F">
          <w:rPr>
            <w:rStyle w:val="Hyperlink"/>
          </w:rPr>
          <w:t>https://www.knoe.com/content/news/Bastrop-ordered-to-pay-more-than-16-million-to-firemen-after-lawsuit-509570521.html</w:t>
        </w:r>
      </w:hyperlink>
    </w:p>
    <w:p w14:paraId="0EDEF9C8" w14:textId="79B8548B" w:rsidR="00F27CD5" w:rsidRDefault="00F27CD5" w:rsidP="00F27CD5">
      <w:pPr>
        <w:ind w:left="720"/>
        <w:rPr>
          <w:rFonts w:ascii="Arial Black" w:hAnsi="Arial Black"/>
          <w:b/>
          <w:sz w:val="24"/>
          <w:szCs w:val="24"/>
        </w:rPr>
      </w:pPr>
      <w:r w:rsidRPr="001F5FAA">
        <w:rPr>
          <w:rFonts w:ascii="Times New Roman" w:hAnsi="Times New Roman"/>
          <w:sz w:val="24"/>
          <w:szCs w:val="24"/>
        </w:rPr>
        <w:t xml:space="preserve">April 22, 2019: TV </w:t>
      </w:r>
      <w:r>
        <w:rPr>
          <w:rFonts w:ascii="Times New Roman" w:hAnsi="Times New Roman"/>
          <w:sz w:val="24"/>
          <w:szCs w:val="24"/>
        </w:rPr>
        <w:t>v</w:t>
      </w:r>
      <w:r w:rsidRPr="001F5FAA">
        <w:rPr>
          <w:rFonts w:ascii="Times New Roman" w:hAnsi="Times New Roman"/>
          <w:sz w:val="24"/>
          <w:szCs w:val="24"/>
        </w:rPr>
        <w:t>ideo</w:t>
      </w:r>
      <w:r>
        <w:rPr>
          <w:rFonts w:ascii="Times New Roman" w:hAnsi="Times New Roman"/>
          <w:sz w:val="24"/>
          <w:szCs w:val="24"/>
        </w:rPr>
        <w:t xml:space="preserve"> interview current Mayor</w:t>
      </w:r>
      <w:r w:rsidRPr="001F5FAA">
        <w:rPr>
          <w:rFonts w:ascii="Times New Roman" w:hAnsi="Times New Roman"/>
          <w:sz w:val="24"/>
          <w:szCs w:val="24"/>
        </w:rPr>
        <w:t xml:space="preserve">, “Bastrop firefighters fighting for their pay, the mayor says they deserve it.” : </w:t>
      </w:r>
      <w:hyperlink r:id="rId1228" w:history="1">
        <w:r w:rsidRPr="001F5FAA">
          <w:rPr>
            <w:rStyle w:val="Hyperlink"/>
            <w:sz w:val="24"/>
            <w:szCs w:val="24"/>
          </w:rPr>
          <w:t>https://www.myarklamiss.com/news/local-news/bastrop-firefighters-fighting-for-their-pay-the-mayor-says-they-deserve-it/</w:t>
        </w:r>
      </w:hyperlink>
    </w:p>
    <w:p w14:paraId="1311D0E7" w14:textId="77777777" w:rsidR="00F27CD5" w:rsidRDefault="00F27CD5" w:rsidP="00EF1133">
      <w:pPr>
        <w:rPr>
          <w:rFonts w:ascii="Arial Black" w:hAnsi="Arial Black"/>
          <w:b/>
          <w:sz w:val="24"/>
          <w:szCs w:val="24"/>
        </w:rPr>
      </w:pPr>
    </w:p>
    <w:p w14:paraId="6B591346" w14:textId="7C30A5CE" w:rsidR="00BD263B" w:rsidRDefault="00BD263B"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2</w:t>
      </w:r>
    </w:p>
    <w:p w14:paraId="3E678A48" w14:textId="77777777" w:rsidR="00BD263B" w:rsidRPr="007A4A18" w:rsidRDefault="00BD263B" w:rsidP="00BD263B">
      <w:pPr>
        <w:pStyle w:val="Heading1"/>
        <w:rPr>
          <w:rFonts w:ascii="Arial Black" w:hAnsi="Arial Black"/>
          <w:b w:val="0"/>
          <w:bCs w:val="0"/>
          <w:sz w:val="28"/>
          <w:szCs w:val="28"/>
        </w:rPr>
      </w:pPr>
      <w:bookmarkStart w:id="232" w:name="_Hlk81842110"/>
      <w:r>
        <w:rPr>
          <w:rFonts w:ascii="Arial Black" w:hAnsi="Arial Black"/>
          <w:b w:val="0"/>
          <w:bCs w:val="0"/>
          <w:sz w:val="28"/>
          <w:szCs w:val="28"/>
        </w:rPr>
        <w:t>MD: BALTIMORE – PENSION 20 YEARS TO 25 YEARS – COLA – BUT CITY MUST PAY $31 MILLION PRIOR RETIREES</w:t>
      </w:r>
    </w:p>
    <w:bookmarkEnd w:id="232"/>
    <w:p w14:paraId="2530D116" w14:textId="77777777" w:rsidR="00BD263B" w:rsidRPr="000A6C3C" w:rsidRDefault="00BD263B" w:rsidP="00BD263B">
      <w:pPr>
        <w:pStyle w:val="Heading1"/>
        <w:rPr>
          <w:rStyle w:val="markedcontent"/>
          <w:b w:val="0"/>
          <w:bCs w:val="0"/>
          <w:sz w:val="24"/>
          <w:szCs w:val="24"/>
        </w:rPr>
      </w:pPr>
      <w:r>
        <w:rPr>
          <w:b w:val="0"/>
          <w:bCs w:val="0"/>
          <w:sz w:val="24"/>
          <w:szCs w:val="24"/>
        </w:rPr>
        <w:t xml:space="preserve">On Aug. 16, 2021, in </w:t>
      </w:r>
      <w:r w:rsidRPr="001A7E4B">
        <w:rPr>
          <w:b w:val="0"/>
          <w:bCs w:val="0"/>
          <w:sz w:val="24"/>
          <w:szCs w:val="24"/>
          <w:u w:val="single"/>
        </w:rPr>
        <w:t>Robert F. Cherry, Jr. et al. v. Mayor and City Council of Baltimore City</w:t>
      </w:r>
      <w:r>
        <w:rPr>
          <w:b w:val="0"/>
          <w:bCs w:val="0"/>
          <w:sz w:val="24"/>
          <w:szCs w:val="24"/>
        </w:rPr>
        <w:t>, the Court of Appeals of Maryland, held (7 to 0) in a class action that the city made “</w:t>
      </w:r>
      <w:r w:rsidRPr="001A7E4B">
        <w:rPr>
          <w:rStyle w:val="markedcontent"/>
          <w:b w:val="0"/>
          <w:bCs w:val="0"/>
          <w:sz w:val="24"/>
          <w:szCs w:val="24"/>
        </w:rPr>
        <w:t>reasonable and necessary prospective change</w:t>
      </w:r>
      <w:r>
        <w:rPr>
          <w:rStyle w:val="markedcontent"/>
          <w:b w:val="0"/>
          <w:bCs w:val="0"/>
          <w:sz w:val="24"/>
          <w:szCs w:val="24"/>
        </w:rPr>
        <w:t xml:space="preserve">s” to protect the retirement plan for current firefighters and police officers.  </w:t>
      </w:r>
      <w:r w:rsidRPr="001A7E4B">
        <w:rPr>
          <w:rStyle w:val="markedcontent"/>
          <w:b w:val="0"/>
          <w:bCs w:val="0"/>
          <w:sz w:val="24"/>
          <w:szCs w:val="24"/>
        </w:rPr>
        <w:t>“Most notably, it replaced a variable post-retirement cost-of-living adjustment that was based entirely on the investment performance of Plan assets with a guaranteed, tiered cost-of-living adjustment that is not market-driven.</w:t>
      </w:r>
      <w:r>
        <w:rPr>
          <w:rStyle w:val="markedcontent"/>
          <w:b w:val="0"/>
          <w:bCs w:val="0"/>
          <w:sz w:val="24"/>
          <w:szCs w:val="24"/>
        </w:rPr>
        <w:t xml:space="preserve">”  Service time was also expanded. </w:t>
      </w:r>
    </w:p>
    <w:p w14:paraId="5CD2062B" w14:textId="77777777" w:rsidR="00BD263B" w:rsidRDefault="00BD263B" w:rsidP="00BD263B">
      <w:pPr>
        <w:pStyle w:val="Heading1"/>
        <w:ind w:left="720"/>
        <w:rPr>
          <w:rStyle w:val="markedcontent"/>
          <w:b w:val="0"/>
          <w:bCs w:val="0"/>
          <w:sz w:val="24"/>
          <w:szCs w:val="24"/>
        </w:rPr>
      </w:pPr>
      <w:r>
        <w:rPr>
          <w:rStyle w:val="markedcontent"/>
          <w:b w:val="0"/>
          <w:bCs w:val="0"/>
          <w:sz w:val="24"/>
          <w:szCs w:val="24"/>
        </w:rPr>
        <w:t>“</w:t>
      </w:r>
      <w:r w:rsidRPr="001A7E4B">
        <w:rPr>
          <w:rStyle w:val="markedcontent"/>
          <w:b w:val="0"/>
          <w:bCs w:val="0"/>
          <w:sz w:val="24"/>
          <w:szCs w:val="24"/>
        </w:rPr>
        <w:t xml:space="preserve">Over the course of time, governing bodies of large cities face many challenges. One </w:t>
      </w:r>
      <w:r w:rsidRPr="001A7E4B">
        <w:rPr>
          <w:b w:val="0"/>
          <w:bCs w:val="0"/>
          <w:sz w:val="24"/>
          <w:szCs w:val="24"/>
        </w:rPr>
        <w:br/>
      </w:r>
      <w:r w:rsidRPr="001A7E4B">
        <w:rPr>
          <w:rStyle w:val="markedcontent"/>
          <w:b w:val="0"/>
          <w:bCs w:val="0"/>
          <w:sz w:val="24"/>
          <w:szCs w:val="24"/>
        </w:rPr>
        <w:t>such challenge that some cities and other local governments may confront is how to change a public pension plan that is actuarially unsound. Often, the public employees who participate in these plans are represented by unions that register legitimate objections to proposed modifications. Taking such action in the face of opposition by public employees can be difficult politically. The challenge is magnified when the city is in dire financial straits. In such a situation, the city may have to choose between the lesser of two evils: change the plan without the consent, and to the consternation, of employees who have devoted their careers to public service; or keep the plan as is and put the city deeper into debt, perhaps even risking financial ruin. In 2010, Baltimore City faced this choice.</w:t>
      </w:r>
    </w:p>
    <w:p w14:paraId="00437CE9" w14:textId="77777777" w:rsidR="00BD263B" w:rsidRDefault="00BD263B" w:rsidP="00BD263B">
      <w:pPr>
        <w:rPr>
          <w:rFonts w:ascii="Arial Black" w:hAnsi="Arial Black"/>
          <w:b/>
          <w:sz w:val="24"/>
          <w:szCs w:val="24"/>
        </w:rPr>
      </w:pPr>
      <w:r w:rsidRPr="001A7E4B">
        <w:rPr>
          <w:rStyle w:val="markedcontent"/>
          <w:sz w:val="24"/>
          <w:szCs w:val="24"/>
        </w:rPr>
        <w:t xml:space="preserve">The record makes clear that the </w:t>
      </w:r>
      <w:proofErr w:type="gramStart"/>
      <w:r w:rsidRPr="001A7E4B">
        <w:rPr>
          <w:rStyle w:val="markedcontent"/>
          <w:sz w:val="24"/>
          <w:szCs w:val="24"/>
        </w:rPr>
        <w:t>City</w:t>
      </w:r>
      <w:proofErr w:type="gramEnd"/>
      <w:r w:rsidRPr="001A7E4B">
        <w:rPr>
          <w:rStyle w:val="markedcontent"/>
          <w:sz w:val="24"/>
          <w:szCs w:val="24"/>
        </w:rPr>
        <w:t xml:space="preserve"> took no pleasure in modifying the Plan with </w:t>
      </w:r>
      <w:r w:rsidRPr="001A7E4B">
        <w:rPr>
          <w:sz w:val="24"/>
          <w:szCs w:val="24"/>
        </w:rPr>
        <w:br/>
      </w:r>
      <w:r w:rsidRPr="001A7E4B">
        <w:rPr>
          <w:rStyle w:val="markedcontent"/>
          <w:sz w:val="24"/>
          <w:szCs w:val="24"/>
        </w:rPr>
        <w:t xml:space="preserve">the enactment of Ordinance 10-306. The City was faced with a lose-lose proposition: either change the terms of the Plan and incur the wrath of its </w:t>
      </w:r>
      <w:proofErr w:type="gramStart"/>
      <w:r w:rsidRPr="001A7E4B">
        <w:rPr>
          <w:rStyle w:val="markedcontent"/>
          <w:sz w:val="24"/>
          <w:szCs w:val="24"/>
        </w:rPr>
        <w:t>members, or</w:t>
      </w:r>
      <w:proofErr w:type="gramEnd"/>
      <w:r w:rsidRPr="001A7E4B">
        <w:rPr>
          <w:rStyle w:val="markedcontent"/>
          <w:sz w:val="24"/>
          <w:szCs w:val="24"/>
        </w:rPr>
        <w:t xml:space="preserve"> allow the unsustainable Plan eventually to consume itself from within, harming the Plan members and all City residents. The </w:t>
      </w:r>
      <w:proofErr w:type="gramStart"/>
      <w:r w:rsidRPr="001A7E4B">
        <w:rPr>
          <w:rStyle w:val="markedcontent"/>
          <w:sz w:val="24"/>
          <w:szCs w:val="24"/>
        </w:rPr>
        <w:t>City</w:t>
      </w:r>
      <w:proofErr w:type="gramEnd"/>
      <w:r w:rsidRPr="001A7E4B">
        <w:rPr>
          <w:rStyle w:val="markedcontent"/>
          <w:sz w:val="24"/>
          <w:szCs w:val="24"/>
        </w:rPr>
        <w:t xml:space="preserve"> opted for the former approach. As to the Active Sub-class, Ordinance 10-306’s changes made reasonable and necessary prospective changes. Thus, the City did not breach its contract with the Active Sub-class. However, the Ordinance retrospectively divested Retired and Retirement-Eligible members of the benefits they had earned by reaching Service Retirement eligibility. The City breached its contract with those Sub-classes and is liable for damages to the members as calculated and ordered by the circuit </w:t>
      </w:r>
      <w:proofErr w:type="gramStart"/>
      <w:r w:rsidRPr="001A7E4B">
        <w:rPr>
          <w:rStyle w:val="markedcontent"/>
          <w:sz w:val="24"/>
          <w:szCs w:val="24"/>
        </w:rPr>
        <w:t>court.</w:t>
      </w:r>
      <w:r>
        <w:rPr>
          <w:rStyle w:val="markedcontent"/>
          <w:sz w:val="24"/>
          <w:szCs w:val="24"/>
        </w:rPr>
        <w:t>”</w:t>
      </w:r>
      <w:proofErr w:type="gramEnd"/>
      <w:r>
        <w:rPr>
          <w:rStyle w:val="markedcontent"/>
          <w:sz w:val="24"/>
          <w:szCs w:val="24"/>
        </w:rPr>
        <w:t xml:space="preserve"> </w:t>
      </w:r>
      <w:hyperlink r:id="rId1229" w:history="1">
        <w:r w:rsidRPr="00EE73D5">
          <w:rPr>
            <w:rStyle w:val="Hyperlink"/>
            <w:sz w:val="24"/>
            <w:szCs w:val="24"/>
          </w:rPr>
          <w:t>https://www.courts.state.md.us/data/opinions/coa/2021/36a20.pdf</w:t>
        </w:r>
      </w:hyperlink>
    </w:p>
    <w:p w14:paraId="2A178C2E" w14:textId="77777777" w:rsidR="00BD263B" w:rsidRPr="007B0E98" w:rsidRDefault="00BD263B" w:rsidP="00BD263B">
      <w:pPr>
        <w:pStyle w:val="NormalWeb"/>
        <w:tabs>
          <w:tab w:val="left" w:pos="2890"/>
        </w:tabs>
        <w:rPr>
          <w:b/>
          <w:bCs/>
        </w:rPr>
      </w:pPr>
      <w:r w:rsidRPr="007B0E98">
        <w:rPr>
          <w:rStyle w:val="markedcontent"/>
          <w:b/>
          <w:bCs/>
        </w:rPr>
        <w:t>Legal Lesson Learned</w:t>
      </w:r>
      <w:r>
        <w:rPr>
          <w:rStyle w:val="markedcontent"/>
          <w:b/>
          <w:bCs/>
        </w:rPr>
        <w:t xml:space="preserve">: Changing retirement plans can be painful and impact morale of current </w:t>
      </w:r>
      <w:proofErr w:type="gramStart"/>
      <w:r>
        <w:rPr>
          <w:rStyle w:val="markedcontent"/>
          <w:b/>
          <w:bCs/>
        </w:rPr>
        <w:t>employees, but</w:t>
      </w:r>
      <w:proofErr w:type="gramEnd"/>
      <w:r>
        <w:rPr>
          <w:rStyle w:val="markedcontent"/>
          <w:b/>
          <w:bCs/>
        </w:rPr>
        <w:t xml:space="preserve"> may be lawful under state laws. </w:t>
      </w:r>
    </w:p>
    <w:p w14:paraId="64697FF3" w14:textId="77777777" w:rsidR="00BD263B" w:rsidRPr="007B0E98" w:rsidRDefault="00BD263B" w:rsidP="00BD263B">
      <w:pPr>
        <w:pStyle w:val="Heading1"/>
        <w:ind w:left="720"/>
        <w:rPr>
          <w:b w:val="0"/>
          <w:sz w:val="24"/>
          <w:szCs w:val="24"/>
        </w:rPr>
      </w:pPr>
      <w:r w:rsidRPr="007B0E98">
        <w:rPr>
          <w:b w:val="0"/>
          <w:sz w:val="24"/>
          <w:szCs w:val="24"/>
        </w:rPr>
        <w:t xml:space="preserve">Note: See Aug. 16, </w:t>
      </w:r>
      <w:proofErr w:type="gramStart"/>
      <w:r w:rsidRPr="007B0E98">
        <w:rPr>
          <w:b w:val="0"/>
          <w:sz w:val="24"/>
          <w:szCs w:val="24"/>
        </w:rPr>
        <w:t>2021</w:t>
      </w:r>
      <w:proofErr w:type="gramEnd"/>
      <w:r w:rsidRPr="007B0E98">
        <w:rPr>
          <w:b w:val="0"/>
          <w:sz w:val="24"/>
          <w:szCs w:val="24"/>
        </w:rPr>
        <w:t xml:space="preserve"> article, “Baltimore police and fire unions frustrated by appeals court ruling upholding city’s right to raise retirement age.” </w:t>
      </w:r>
      <w:hyperlink r:id="rId1230" w:history="1">
        <w:r w:rsidRPr="007B0E98">
          <w:rPr>
            <w:rStyle w:val="Hyperlink"/>
            <w:sz w:val="24"/>
            <w:szCs w:val="24"/>
          </w:rPr>
          <w:t>https://www.baltimoresun.com/maryland/baltimore-city/bs-md-ci-lawsuit-opinion-20210817-vlhba6nhe5dnfayycibxat2sli-story.html</w:t>
        </w:r>
      </w:hyperlink>
      <w:r w:rsidRPr="007B0E98">
        <w:rPr>
          <w:b w:val="0"/>
          <w:sz w:val="24"/>
          <w:szCs w:val="24"/>
        </w:rPr>
        <w:t xml:space="preserve">  </w:t>
      </w:r>
    </w:p>
    <w:p w14:paraId="3E5E72CE" w14:textId="77777777" w:rsidR="00BD263B" w:rsidRPr="007B0E98" w:rsidRDefault="00BD263B" w:rsidP="00BD263B">
      <w:pPr>
        <w:pStyle w:val="NormalWeb"/>
        <w:ind w:left="720"/>
        <w:rPr>
          <w:bCs/>
        </w:rPr>
      </w:pPr>
      <w:r>
        <w:t xml:space="preserve">“The Court of Appeals ruling affirmed the lower court’s computation of $31 million in damages to retirees who had already earned their pensions…. The lawsuit came after the city, facing a staggering budget shortfall following the 2008 financial crises, changed its pension plan to require police and firefighters to serve 25 years instead of 20 </w:t>
      </w:r>
      <w:proofErr w:type="gramStart"/>
      <w:r>
        <w:t>in order to</w:t>
      </w:r>
      <w:proofErr w:type="gramEnd"/>
      <w:r>
        <w:t xml:space="preserve"> retire and get benefits.”</w:t>
      </w:r>
    </w:p>
    <w:p w14:paraId="2388490F" w14:textId="77777777" w:rsidR="00BD263B" w:rsidRDefault="00BD263B" w:rsidP="00EF1133">
      <w:pPr>
        <w:rPr>
          <w:rFonts w:ascii="Arial Black" w:hAnsi="Arial Black"/>
          <w:b/>
          <w:sz w:val="24"/>
          <w:szCs w:val="24"/>
        </w:rPr>
      </w:pPr>
    </w:p>
    <w:p w14:paraId="01930713" w14:textId="0CE5ADAE" w:rsidR="0077274E" w:rsidRDefault="0077274E"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1</w:t>
      </w:r>
    </w:p>
    <w:p w14:paraId="771AB435" w14:textId="77777777" w:rsidR="0077274E" w:rsidRPr="000A707F" w:rsidRDefault="0077274E" w:rsidP="0077274E">
      <w:pPr>
        <w:rPr>
          <w:rFonts w:ascii="Arial Black" w:hAnsi="Arial Black"/>
          <w:sz w:val="28"/>
          <w:szCs w:val="28"/>
        </w:rPr>
      </w:pPr>
      <w:r>
        <w:rPr>
          <w:rFonts w:ascii="Arial Black" w:hAnsi="Arial Black"/>
          <w:sz w:val="28"/>
          <w:szCs w:val="28"/>
        </w:rPr>
        <w:t>OH: PROMOTION EXAM CAPTAIN – “DISTRACTED, BORED, SLEEPING” EVALUATORS – BUT NO RIGHT TO PROMOTION</w:t>
      </w:r>
    </w:p>
    <w:p w14:paraId="56805AA0" w14:textId="77777777" w:rsidR="0077274E" w:rsidRDefault="0077274E" w:rsidP="0077274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April 14, 2021, in </w:t>
      </w:r>
      <w:r w:rsidRPr="000A707F">
        <w:rPr>
          <w:rFonts w:ascii="Times New Roman" w:hAnsi="Times New Roman"/>
          <w:sz w:val="24"/>
          <w:szCs w:val="24"/>
          <w:u w:val="single"/>
        </w:rPr>
        <w:t>State of Ohio, Ex Rel. Jeffrey Neal v. City of Cincinnati</w:t>
      </w:r>
      <w:r>
        <w:rPr>
          <w:rFonts w:ascii="Times New Roman" w:hAnsi="Times New Roman"/>
          <w:sz w:val="24"/>
          <w:szCs w:val="24"/>
        </w:rPr>
        <w:t xml:space="preserve">, the Ohio Court of Appeals, First Appellate District (Hamilton County) held (3 to 0) that the trial court improperly ordered the City to promote Lt. Neal, Cincinnati Fire Department.   Even if the testing process was flawed in the oral portions (tactical and interview portions} by distracted evaluators, he failed to show a “clear legal right” to the promotion.  In addition, he scored </w:t>
      </w:r>
      <w:r w:rsidRPr="006A44A9">
        <w:rPr>
          <w:rFonts w:ascii="Times New Roman" w:hAnsi="Times New Roman"/>
          <w:sz w:val="24"/>
          <w:szCs w:val="24"/>
        </w:rPr>
        <w:t>42</w:t>
      </w:r>
      <w:r w:rsidRPr="006A44A9">
        <w:rPr>
          <w:rFonts w:ascii="Times New Roman" w:hAnsi="Times New Roman"/>
          <w:sz w:val="24"/>
          <w:szCs w:val="24"/>
          <w:vertAlign w:val="superscript"/>
        </w:rPr>
        <w:t>nd</w:t>
      </w:r>
      <w:r>
        <w:rPr>
          <w:rFonts w:ascii="Times New Roman" w:hAnsi="Times New Roman"/>
          <w:sz w:val="24"/>
          <w:szCs w:val="24"/>
        </w:rPr>
        <w:t xml:space="preserve"> </w:t>
      </w:r>
      <w:r w:rsidRPr="006A44A9">
        <w:rPr>
          <w:rFonts w:ascii="Times New Roman" w:hAnsi="Times New Roman"/>
          <w:sz w:val="24"/>
          <w:szCs w:val="24"/>
        </w:rPr>
        <w:t>out of 54</w:t>
      </w:r>
      <w:r>
        <w:rPr>
          <w:rFonts w:ascii="Times New Roman" w:hAnsi="Times New Roman"/>
          <w:sz w:val="24"/>
          <w:szCs w:val="24"/>
        </w:rPr>
        <w:t xml:space="preserve"> </w:t>
      </w:r>
      <w:r w:rsidRPr="006A44A9">
        <w:rPr>
          <w:rFonts w:ascii="Times New Roman" w:hAnsi="Times New Roman"/>
          <w:sz w:val="24"/>
          <w:szCs w:val="24"/>
        </w:rPr>
        <w:t xml:space="preserve">applicants, with only the top 25 qualifying for promotion. </w:t>
      </w:r>
    </w:p>
    <w:p w14:paraId="15219241"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76A19">
        <w:rPr>
          <w:rFonts w:ascii="Times New Roman" w:hAnsi="Times New Roman"/>
          <w:sz w:val="24"/>
          <w:szCs w:val="24"/>
        </w:rPr>
        <w:t>Lt.</w:t>
      </w:r>
      <w:r>
        <w:rPr>
          <w:rFonts w:ascii="Times New Roman" w:hAnsi="Times New Roman"/>
          <w:sz w:val="24"/>
          <w:szCs w:val="24"/>
        </w:rPr>
        <w:t xml:space="preserve"> </w:t>
      </w:r>
      <w:r w:rsidRPr="00C76A19">
        <w:rPr>
          <w:rFonts w:ascii="Times New Roman" w:hAnsi="Times New Roman"/>
          <w:sz w:val="24"/>
          <w:szCs w:val="24"/>
        </w:rPr>
        <w:t>Neal disputed</w:t>
      </w:r>
      <w:r>
        <w:rPr>
          <w:rFonts w:ascii="Times New Roman" w:hAnsi="Times New Roman"/>
          <w:sz w:val="24"/>
          <w:szCs w:val="24"/>
        </w:rPr>
        <w:t xml:space="preserve"> </w:t>
      </w:r>
      <w:r w:rsidRPr="00C76A19">
        <w:rPr>
          <w:rFonts w:ascii="Times New Roman" w:hAnsi="Times New Roman"/>
          <w:sz w:val="24"/>
          <w:szCs w:val="24"/>
        </w:rPr>
        <w:t>his exam results, specifically challenging the administration of the tactical and interview portions. These portions of the exam involved, among other things, Lt.</w:t>
      </w:r>
      <w:r>
        <w:rPr>
          <w:rFonts w:ascii="Times New Roman" w:hAnsi="Times New Roman"/>
          <w:sz w:val="24"/>
          <w:szCs w:val="24"/>
        </w:rPr>
        <w:t xml:space="preserve"> </w:t>
      </w:r>
      <w:r w:rsidRPr="00C76A19">
        <w:rPr>
          <w:rFonts w:ascii="Times New Roman" w:hAnsi="Times New Roman"/>
          <w:sz w:val="24"/>
          <w:szCs w:val="24"/>
        </w:rPr>
        <w:t>Neal orally responding to questions posed by assessors. He alleged that the interruptions</w:t>
      </w:r>
      <w:r>
        <w:rPr>
          <w:rFonts w:ascii="Times New Roman" w:hAnsi="Times New Roman"/>
          <w:sz w:val="24"/>
          <w:szCs w:val="24"/>
        </w:rPr>
        <w:t xml:space="preserve"> </w:t>
      </w:r>
      <w:r w:rsidRPr="00C76A19">
        <w:rPr>
          <w:rFonts w:ascii="Times New Roman" w:hAnsi="Times New Roman"/>
          <w:sz w:val="24"/>
          <w:szCs w:val="24"/>
        </w:rPr>
        <w:t>began during the tactical portion, after an</w:t>
      </w:r>
      <w:r>
        <w:rPr>
          <w:rFonts w:ascii="Times New Roman" w:hAnsi="Times New Roman"/>
          <w:sz w:val="24"/>
          <w:szCs w:val="24"/>
        </w:rPr>
        <w:t xml:space="preserve"> </w:t>
      </w:r>
      <w:r w:rsidRPr="00C76A19">
        <w:rPr>
          <w:rFonts w:ascii="Times New Roman" w:hAnsi="Times New Roman"/>
          <w:sz w:val="24"/>
          <w:szCs w:val="24"/>
        </w:rPr>
        <w:t>assessor’s phone went off. Because the phone</w:t>
      </w:r>
      <w:r>
        <w:rPr>
          <w:rFonts w:ascii="Times New Roman" w:hAnsi="Times New Roman"/>
          <w:sz w:val="24"/>
          <w:szCs w:val="24"/>
        </w:rPr>
        <w:t xml:space="preserve"> </w:t>
      </w:r>
      <w:r w:rsidRPr="00C76A19">
        <w:rPr>
          <w:rFonts w:ascii="Times New Roman" w:hAnsi="Times New Roman"/>
          <w:sz w:val="24"/>
          <w:szCs w:val="24"/>
        </w:rPr>
        <w:t>was located across the room in a backpack, the assessor waltzed</w:t>
      </w:r>
      <w:r>
        <w:rPr>
          <w:rFonts w:ascii="Times New Roman" w:hAnsi="Times New Roman"/>
          <w:sz w:val="24"/>
          <w:szCs w:val="24"/>
        </w:rPr>
        <w:t xml:space="preserve"> </w:t>
      </w:r>
      <w:r w:rsidRPr="00C76A19">
        <w:rPr>
          <w:rFonts w:ascii="Times New Roman" w:hAnsi="Times New Roman"/>
          <w:sz w:val="24"/>
          <w:szCs w:val="24"/>
        </w:rPr>
        <w:t>over</w:t>
      </w:r>
      <w:r>
        <w:rPr>
          <w:rFonts w:ascii="Times New Roman" w:hAnsi="Times New Roman"/>
          <w:sz w:val="24"/>
          <w:szCs w:val="24"/>
        </w:rPr>
        <w:t xml:space="preserve"> </w:t>
      </w:r>
      <w:r w:rsidRPr="00C76A19">
        <w:rPr>
          <w:rFonts w:ascii="Times New Roman" w:hAnsi="Times New Roman"/>
          <w:sz w:val="24"/>
          <w:szCs w:val="24"/>
        </w:rPr>
        <w:t>to the backpack, rummaging around before locating the phone to silence it.</w:t>
      </w:r>
      <w:r>
        <w:rPr>
          <w:rFonts w:ascii="Times New Roman" w:hAnsi="Times New Roman"/>
          <w:sz w:val="24"/>
          <w:szCs w:val="24"/>
        </w:rPr>
        <w:t xml:space="preserve"> </w:t>
      </w:r>
      <w:r w:rsidRPr="00C76A19">
        <w:rPr>
          <w:rFonts w:ascii="Times New Roman" w:hAnsi="Times New Roman"/>
          <w:sz w:val="24"/>
          <w:szCs w:val="24"/>
        </w:rPr>
        <w:t>Incredibly, the assessor allegedly spent considerable time reading texts from the phone</w:t>
      </w:r>
      <w:r>
        <w:rPr>
          <w:rFonts w:ascii="Times New Roman" w:hAnsi="Times New Roman"/>
          <w:sz w:val="24"/>
          <w:szCs w:val="24"/>
        </w:rPr>
        <w:t xml:space="preserve"> </w:t>
      </w:r>
      <w:r w:rsidRPr="00C76A19">
        <w:rPr>
          <w:rFonts w:ascii="Times New Roman" w:hAnsi="Times New Roman"/>
          <w:sz w:val="24"/>
          <w:szCs w:val="24"/>
        </w:rPr>
        <w:t>before wandering</w:t>
      </w:r>
      <w:r>
        <w:rPr>
          <w:rFonts w:ascii="Times New Roman" w:hAnsi="Times New Roman"/>
          <w:sz w:val="24"/>
          <w:szCs w:val="24"/>
        </w:rPr>
        <w:t xml:space="preserve"> </w:t>
      </w:r>
      <w:r w:rsidRPr="00C76A19">
        <w:rPr>
          <w:rFonts w:ascii="Times New Roman" w:hAnsi="Times New Roman"/>
          <w:sz w:val="24"/>
          <w:szCs w:val="24"/>
        </w:rPr>
        <w:t>back to the table. And once there, the phone</w:t>
      </w:r>
      <w:r>
        <w:rPr>
          <w:rFonts w:ascii="Times New Roman" w:hAnsi="Times New Roman"/>
          <w:sz w:val="24"/>
          <w:szCs w:val="24"/>
        </w:rPr>
        <w:t xml:space="preserve"> </w:t>
      </w:r>
      <w:r w:rsidRPr="00C76A19">
        <w:rPr>
          <w:rFonts w:ascii="Times New Roman" w:hAnsi="Times New Roman"/>
          <w:sz w:val="24"/>
          <w:szCs w:val="24"/>
        </w:rPr>
        <w:t>repeatedly vibrated, prompting the distracted assessor to engage with the phone and respond to messages, while presumably ignoring Lt. Neal. All of this occurred during an exam where phones were not permitted</w:t>
      </w:r>
      <w:r>
        <w:rPr>
          <w:rFonts w:ascii="Times New Roman" w:hAnsi="Times New Roman"/>
          <w:sz w:val="24"/>
          <w:szCs w:val="24"/>
        </w:rPr>
        <w:t xml:space="preserve"> </w:t>
      </w:r>
      <w:r w:rsidRPr="00C76A19">
        <w:rPr>
          <w:rFonts w:ascii="Times New Roman" w:hAnsi="Times New Roman"/>
          <w:sz w:val="24"/>
          <w:szCs w:val="24"/>
        </w:rPr>
        <w:t>(for obvious reasons, as this episode illustrates).</w:t>
      </w:r>
    </w:p>
    <w:p w14:paraId="43F49131" w14:textId="77777777" w:rsidR="0077274E" w:rsidRDefault="0077274E" w:rsidP="0077274E">
      <w:pPr>
        <w:ind w:left="720"/>
        <w:rPr>
          <w:rFonts w:ascii="Times New Roman" w:hAnsi="Times New Roman"/>
          <w:sz w:val="24"/>
          <w:szCs w:val="24"/>
        </w:rPr>
      </w:pPr>
      <w:r w:rsidRPr="00C76A19">
        <w:rPr>
          <w:rFonts w:ascii="Times New Roman" w:hAnsi="Times New Roman"/>
          <w:sz w:val="24"/>
          <w:szCs w:val="24"/>
        </w:rPr>
        <w:t>These distractions allegedly spilled over to</w:t>
      </w:r>
      <w:r>
        <w:rPr>
          <w:rFonts w:ascii="Times New Roman" w:hAnsi="Times New Roman"/>
          <w:sz w:val="24"/>
          <w:szCs w:val="24"/>
        </w:rPr>
        <w:t xml:space="preserve"> </w:t>
      </w:r>
      <w:r w:rsidRPr="00C76A19">
        <w:rPr>
          <w:rFonts w:ascii="Times New Roman" w:hAnsi="Times New Roman"/>
          <w:sz w:val="24"/>
          <w:szCs w:val="24"/>
        </w:rPr>
        <w:t>the interview portion as well. At one point, an</w:t>
      </w:r>
      <w:r>
        <w:rPr>
          <w:rFonts w:ascii="Times New Roman" w:hAnsi="Times New Roman"/>
          <w:sz w:val="24"/>
          <w:szCs w:val="24"/>
        </w:rPr>
        <w:t xml:space="preserve"> </w:t>
      </w:r>
      <w:r w:rsidRPr="00C76A19">
        <w:rPr>
          <w:rFonts w:ascii="Times New Roman" w:hAnsi="Times New Roman"/>
          <w:sz w:val="24"/>
          <w:szCs w:val="24"/>
        </w:rPr>
        <w:t>assessor was responding to a text message during the entirety of</w:t>
      </w:r>
      <w:r>
        <w:rPr>
          <w:rFonts w:ascii="Times New Roman" w:hAnsi="Times New Roman"/>
          <w:sz w:val="24"/>
          <w:szCs w:val="24"/>
        </w:rPr>
        <w:t xml:space="preserve"> </w:t>
      </w:r>
      <w:r w:rsidRPr="00C76A19">
        <w:rPr>
          <w:rFonts w:ascii="Times New Roman" w:hAnsi="Times New Roman"/>
          <w:sz w:val="24"/>
          <w:szCs w:val="24"/>
        </w:rPr>
        <w:t>Lt.</w:t>
      </w:r>
      <w:r>
        <w:rPr>
          <w:rFonts w:ascii="Times New Roman" w:hAnsi="Times New Roman"/>
          <w:sz w:val="24"/>
          <w:szCs w:val="24"/>
        </w:rPr>
        <w:t xml:space="preserve"> </w:t>
      </w:r>
      <w:r w:rsidRPr="00C76A19">
        <w:rPr>
          <w:rFonts w:ascii="Times New Roman" w:hAnsi="Times New Roman"/>
          <w:sz w:val="24"/>
          <w:szCs w:val="24"/>
        </w:rPr>
        <w:t>Neal’s</w:t>
      </w:r>
      <w:r>
        <w:rPr>
          <w:rFonts w:ascii="Times New Roman" w:hAnsi="Times New Roman"/>
          <w:sz w:val="24"/>
          <w:szCs w:val="24"/>
        </w:rPr>
        <w:t xml:space="preserve"> </w:t>
      </w:r>
      <w:r w:rsidRPr="00C76A19">
        <w:rPr>
          <w:rFonts w:ascii="Times New Roman" w:hAnsi="Times New Roman"/>
          <w:sz w:val="24"/>
          <w:szCs w:val="24"/>
        </w:rPr>
        <w:t>answer to a question. To make matters worse, another assessor allegedly dozed off</w:t>
      </w:r>
      <w:r>
        <w:rPr>
          <w:rFonts w:ascii="Times New Roman" w:hAnsi="Times New Roman"/>
          <w:sz w:val="24"/>
          <w:szCs w:val="24"/>
        </w:rPr>
        <w:t xml:space="preserve"> </w:t>
      </w:r>
      <w:r w:rsidRPr="00C76A19">
        <w:rPr>
          <w:rFonts w:ascii="Times New Roman" w:hAnsi="Times New Roman"/>
          <w:sz w:val="24"/>
          <w:szCs w:val="24"/>
        </w:rPr>
        <w:t>for some</w:t>
      </w:r>
      <w:r>
        <w:rPr>
          <w:rFonts w:ascii="Times New Roman" w:hAnsi="Times New Roman"/>
          <w:sz w:val="24"/>
          <w:szCs w:val="24"/>
        </w:rPr>
        <w:t xml:space="preserve"> </w:t>
      </w:r>
      <w:proofErr w:type="gramStart"/>
      <w:r w:rsidRPr="00C76A19">
        <w:rPr>
          <w:rFonts w:ascii="Times New Roman" w:hAnsi="Times New Roman"/>
          <w:sz w:val="24"/>
          <w:szCs w:val="24"/>
        </w:rPr>
        <w:t>period of</w:t>
      </w:r>
      <w:r>
        <w:rPr>
          <w:rFonts w:ascii="Times New Roman" w:hAnsi="Times New Roman"/>
          <w:sz w:val="24"/>
          <w:szCs w:val="24"/>
        </w:rPr>
        <w:t xml:space="preserve"> </w:t>
      </w:r>
      <w:r w:rsidRPr="00C76A19">
        <w:rPr>
          <w:rFonts w:ascii="Times New Roman" w:hAnsi="Times New Roman"/>
          <w:sz w:val="24"/>
          <w:szCs w:val="24"/>
        </w:rPr>
        <w:t>time</w:t>
      </w:r>
      <w:proofErr w:type="gramEnd"/>
      <w:r w:rsidRPr="00C76A19">
        <w:rPr>
          <w:rFonts w:ascii="Times New Roman" w:hAnsi="Times New Roman"/>
          <w:sz w:val="24"/>
          <w:szCs w:val="24"/>
        </w:rPr>
        <w:t>. In sum,</w:t>
      </w:r>
      <w:r>
        <w:rPr>
          <w:rFonts w:ascii="Times New Roman" w:hAnsi="Times New Roman"/>
          <w:sz w:val="24"/>
          <w:szCs w:val="24"/>
        </w:rPr>
        <w:t xml:space="preserve"> </w:t>
      </w:r>
      <w:proofErr w:type="spellStart"/>
      <w:r w:rsidRPr="00C76A19">
        <w:rPr>
          <w:rFonts w:ascii="Times New Roman" w:hAnsi="Times New Roman"/>
          <w:sz w:val="24"/>
          <w:szCs w:val="24"/>
        </w:rPr>
        <w:t>Lt.Neal</w:t>
      </w:r>
      <w:proofErr w:type="spellEnd"/>
      <w:r>
        <w:rPr>
          <w:rFonts w:ascii="Times New Roman" w:hAnsi="Times New Roman"/>
          <w:sz w:val="24"/>
          <w:szCs w:val="24"/>
        </w:rPr>
        <w:t xml:space="preserve"> </w:t>
      </w:r>
      <w:r w:rsidRPr="00C76A19">
        <w:rPr>
          <w:rFonts w:ascii="Times New Roman" w:hAnsi="Times New Roman"/>
          <w:sz w:val="24"/>
          <w:szCs w:val="24"/>
        </w:rPr>
        <w:t>concludes</w:t>
      </w:r>
      <w:r>
        <w:rPr>
          <w:rFonts w:ascii="Times New Roman" w:hAnsi="Times New Roman"/>
          <w:sz w:val="24"/>
          <w:szCs w:val="24"/>
        </w:rPr>
        <w:t xml:space="preserve"> </w:t>
      </w:r>
      <w:r w:rsidRPr="00C76A19">
        <w:rPr>
          <w:rFonts w:ascii="Times New Roman" w:hAnsi="Times New Roman"/>
          <w:sz w:val="24"/>
          <w:szCs w:val="24"/>
        </w:rPr>
        <w:t>that these repeated distractions placed</w:t>
      </w:r>
      <w:r>
        <w:rPr>
          <w:rFonts w:ascii="Times New Roman" w:hAnsi="Times New Roman"/>
          <w:sz w:val="24"/>
          <w:szCs w:val="24"/>
        </w:rPr>
        <w:t xml:space="preserve"> </w:t>
      </w:r>
      <w:r w:rsidRPr="00C76A19">
        <w:rPr>
          <w:rFonts w:ascii="Times New Roman" w:hAnsi="Times New Roman"/>
          <w:sz w:val="24"/>
          <w:szCs w:val="24"/>
        </w:rPr>
        <w:t>him at a considerable disadvantage for the tactical and interview portions of the exam</w:t>
      </w:r>
      <w:r>
        <w:rPr>
          <w:rFonts w:ascii="Times New Roman" w:hAnsi="Times New Roman"/>
          <w:sz w:val="24"/>
          <w:szCs w:val="24"/>
        </w:rPr>
        <w:t xml:space="preserve"> </w:t>
      </w:r>
      <w:r w:rsidRPr="00C76A19">
        <w:rPr>
          <w:rFonts w:ascii="Times New Roman" w:hAnsi="Times New Roman"/>
          <w:sz w:val="24"/>
          <w:szCs w:val="24"/>
        </w:rPr>
        <w:t>because, so far as he is aware and the record discloses, other applicants did not encounter similar distractions. As a result, he challenges the legitimacy of the testing process.</w:t>
      </w:r>
    </w:p>
    <w:p w14:paraId="1872ECE1" w14:textId="77777777" w:rsidR="0077274E" w:rsidRDefault="0077274E" w:rsidP="0077274E">
      <w:pPr>
        <w:ind w:left="720"/>
        <w:rPr>
          <w:rFonts w:ascii="Times New Roman" w:hAnsi="Times New Roman"/>
          <w:sz w:val="24"/>
          <w:szCs w:val="24"/>
        </w:rPr>
      </w:pPr>
      <w:r>
        <w:rPr>
          <w:rFonts w:ascii="Times New Roman" w:hAnsi="Times New Roman"/>
          <w:sz w:val="24"/>
          <w:szCs w:val="24"/>
        </w:rPr>
        <w:t>***</w:t>
      </w:r>
    </w:p>
    <w:p w14:paraId="0BF632AE" w14:textId="77777777" w:rsidR="0077274E" w:rsidRPr="006A44A9" w:rsidRDefault="0077274E" w:rsidP="0077274E">
      <w:pPr>
        <w:ind w:left="720"/>
        <w:rPr>
          <w:rFonts w:ascii="Times New Roman" w:hAnsi="Times New Roman"/>
          <w:sz w:val="24"/>
          <w:szCs w:val="24"/>
        </w:rPr>
      </w:pPr>
      <w:r w:rsidRPr="006A44A9">
        <w:rPr>
          <w:rFonts w:ascii="Times New Roman" w:hAnsi="Times New Roman"/>
          <w:sz w:val="24"/>
          <w:szCs w:val="24"/>
        </w:rPr>
        <w:t xml:space="preserve">But therein lies the problem: Lt. Neal did not request a new exam. Nor is that the relief the trial court granted. Instead, Lt. Neal requested—and the trial court ordered—that he be promoted to captain. R.C. 124.45 thus fails to support the relief ordered by the trial court, which explains Lt. Neal’s avoidance of that provision. </w:t>
      </w:r>
    </w:p>
    <w:p w14:paraId="7F0306DD" w14:textId="77777777" w:rsidR="0077274E" w:rsidRDefault="0077274E" w:rsidP="0077274E">
      <w:pPr>
        <w:ind w:left="720"/>
        <w:rPr>
          <w:rFonts w:ascii="Times New Roman" w:hAnsi="Times New Roman"/>
          <w:sz w:val="24"/>
          <w:szCs w:val="24"/>
        </w:rPr>
      </w:pPr>
      <w:r w:rsidRPr="006A44A9">
        <w:rPr>
          <w:rFonts w:ascii="Times New Roman" w:hAnsi="Times New Roman"/>
          <w:sz w:val="24"/>
          <w:szCs w:val="24"/>
        </w:rPr>
        <w:t>It also is worth pausing for a moment to further illustrate the disconnect between a</w:t>
      </w:r>
      <w:r>
        <w:rPr>
          <w:rFonts w:ascii="Times New Roman" w:hAnsi="Times New Roman"/>
          <w:sz w:val="24"/>
          <w:szCs w:val="24"/>
        </w:rPr>
        <w:t xml:space="preserve"> </w:t>
      </w:r>
      <w:r w:rsidRPr="006A44A9">
        <w:rPr>
          <w:rFonts w:ascii="Times New Roman" w:hAnsi="Times New Roman"/>
          <w:sz w:val="24"/>
          <w:szCs w:val="24"/>
        </w:rPr>
        <w:t>flawed testing environment and awarding Lt.</w:t>
      </w:r>
      <w:r>
        <w:rPr>
          <w:rFonts w:ascii="Times New Roman" w:hAnsi="Times New Roman"/>
          <w:sz w:val="24"/>
          <w:szCs w:val="24"/>
        </w:rPr>
        <w:t xml:space="preserve"> </w:t>
      </w:r>
      <w:r w:rsidRPr="006A44A9">
        <w:rPr>
          <w:rFonts w:ascii="Times New Roman" w:hAnsi="Times New Roman"/>
          <w:sz w:val="24"/>
          <w:szCs w:val="24"/>
        </w:rPr>
        <w:t>Neal the promotion. Given Lt. Neal’s</w:t>
      </w:r>
      <w:r>
        <w:rPr>
          <w:rFonts w:ascii="Times New Roman" w:hAnsi="Times New Roman"/>
          <w:sz w:val="24"/>
          <w:szCs w:val="24"/>
        </w:rPr>
        <w:t xml:space="preserve"> </w:t>
      </w:r>
      <w:r w:rsidRPr="006A44A9">
        <w:rPr>
          <w:rFonts w:ascii="Times New Roman" w:hAnsi="Times New Roman"/>
          <w:sz w:val="24"/>
          <w:szCs w:val="24"/>
        </w:rPr>
        <w:t>scores during the untainted portions</w:t>
      </w:r>
      <w:r>
        <w:rPr>
          <w:rFonts w:ascii="Times New Roman" w:hAnsi="Times New Roman"/>
          <w:sz w:val="24"/>
          <w:szCs w:val="24"/>
        </w:rPr>
        <w:t xml:space="preserve"> </w:t>
      </w:r>
      <w:r w:rsidRPr="006A44A9">
        <w:rPr>
          <w:rFonts w:ascii="Times New Roman" w:hAnsi="Times New Roman"/>
          <w:sz w:val="24"/>
          <w:szCs w:val="24"/>
        </w:rPr>
        <w:t>of the test, they suggest that he would not have qualified for promotion even under an ideal testing environment.</w:t>
      </w:r>
      <w:r>
        <w:rPr>
          <w:rFonts w:ascii="Times New Roman" w:hAnsi="Times New Roman"/>
          <w:sz w:val="24"/>
          <w:szCs w:val="24"/>
        </w:rPr>
        <w:t xml:space="preserve">” </w:t>
      </w:r>
      <w:hyperlink r:id="rId1231" w:history="1">
        <w:r w:rsidRPr="0041276B">
          <w:rPr>
            <w:rStyle w:val="Hyperlink"/>
            <w:rFonts w:ascii="Times New Roman" w:hAnsi="Times New Roman"/>
            <w:sz w:val="24"/>
            <w:szCs w:val="24"/>
          </w:rPr>
          <w:t>https://www.hamiltoncountyohio.gov/UserFiles/Servers/Server_3788196/File/releases/2021/C-200202_04142021.pdf</w:t>
        </w:r>
      </w:hyperlink>
    </w:p>
    <w:p w14:paraId="07465937" w14:textId="77777777" w:rsidR="0077274E" w:rsidRDefault="0077274E" w:rsidP="0077274E">
      <w:pPr>
        <w:rPr>
          <w:rFonts w:ascii="Times New Roman" w:hAnsi="Times New Roman"/>
          <w:b/>
          <w:bCs/>
          <w:sz w:val="24"/>
          <w:szCs w:val="24"/>
        </w:rPr>
      </w:pPr>
      <w:r w:rsidRPr="00E15ABE">
        <w:rPr>
          <w:rFonts w:ascii="Times New Roman" w:hAnsi="Times New Roman"/>
          <w:b/>
          <w:bCs/>
          <w:sz w:val="24"/>
          <w:szCs w:val="24"/>
        </w:rPr>
        <w:t>Legal Lesson Learned:</w:t>
      </w:r>
      <w:r>
        <w:rPr>
          <w:rFonts w:ascii="Times New Roman" w:hAnsi="Times New Roman"/>
          <w:b/>
          <w:bCs/>
          <w:sz w:val="24"/>
          <w:szCs w:val="24"/>
        </w:rPr>
        <w:t xml:space="preserve"> These examiners should be reprimanded and removed from further promotion boards. </w:t>
      </w:r>
    </w:p>
    <w:p w14:paraId="30D94316" w14:textId="77777777" w:rsidR="0077274E" w:rsidRDefault="0077274E" w:rsidP="0077274E">
      <w:pPr>
        <w:ind w:left="720"/>
        <w:rPr>
          <w:rFonts w:ascii="Times New Roman" w:hAnsi="Times New Roman"/>
          <w:sz w:val="24"/>
          <w:szCs w:val="24"/>
        </w:rPr>
      </w:pPr>
      <w:r w:rsidRPr="00E15ABE">
        <w:rPr>
          <w:rFonts w:ascii="Times New Roman" w:hAnsi="Times New Roman"/>
          <w:sz w:val="24"/>
          <w:szCs w:val="24"/>
        </w:rPr>
        <w:t>Note:</w:t>
      </w:r>
      <w:r>
        <w:rPr>
          <w:rFonts w:ascii="Times New Roman" w:hAnsi="Times New Roman"/>
          <w:b/>
          <w:bCs/>
          <w:sz w:val="24"/>
          <w:szCs w:val="24"/>
        </w:rPr>
        <w:t xml:space="preserve"> </w:t>
      </w:r>
      <w:r>
        <w:rPr>
          <w:rFonts w:ascii="Times New Roman" w:hAnsi="Times New Roman"/>
          <w:sz w:val="24"/>
          <w:szCs w:val="24"/>
        </w:rPr>
        <w:t xml:space="preserve">In the </w:t>
      </w:r>
      <w:r w:rsidRPr="00DD3AC9">
        <w:rPr>
          <w:rFonts w:ascii="Times New Roman" w:hAnsi="Times New Roman"/>
          <w:sz w:val="24"/>
          <w:szCs w:val="24"/>
          <w:u w:val="single"/>
        </w:rPr>
        <w:t>Lanter</w:t>
      </w:r>
      <w:r>
        <w:rPr>
          <w:rFonts w:ascii="Times New Roman" w:hAnsi="Times New Roman"/>
          <w:sz w:val="24"/>
          <w:szCs w:val="24"/>
        </w:rPr>
        <w:t xml:space="preserve"> case referenced by the Court, </w:t>
      </w:r>
      <w:r w:rsidRPr="00DD3AC9">
        <w:rPr>
          <w:rFonts w:ascii="Times New Roman" w:hAnsi="Times New Roman"/>
          <w:sz w:val="24"/>
          <w:szCs w:val="24"/>
          <w:u w:val="single"/>
        </w:rPr>
        <w:t>State of Ohio, Ex Re. Timothy Lanter v. City of Cincinnati</w:t>
      </w:r>
      <w:r>
        <w:rPr>
          <w:rFonts w:ascii="Times New Roman" w:hAnsi="Times New Roman"/>
          <w:sz w:val="24"/>
          <w:szCs w:val="24"/>
        </w:rPr>
        <w:t xml:space="preserve"> (Oct. 21, 2020) concerned a mandamus action filed by Cincinnati Police Sergeant Timothy Lanter; where the Ohio Court of Appeals reversed a trial judge who had granted relief to the Sergeant. </w:t>
      </w:r>
    </w:p>
    <w:p w14:paraId="19EF6E00"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r w:rsidRPr="00DD3AC9">
        <w:rPr>
          <w:rFonts w:ascii="Times New Roman" w:hAnsi="Times New Roman"/>
          <w:sz w:val="24"/>
          <w:szCs w:val="24"/>
        </w:rPr>
        <w:t xml:space="preserve">This dispute arises over an episode allegedly colored by racist overtones. Daryl Spivey, an </w:t>
      </w:r>
      <w:proofErr w:type="gramStart"/>
      <w:r w:rsidRPr="00DD3AC9">
        <w:rPr>
          <w:rFonts w:ascii="Times New Roman" w:hAnsi="Times New Roman"/>
          <w:sz w:val="24"/>
          <w:szCs w:val="24"/>
        </w:rPr>
        <w:t>African-American</w:t>
      </w:r>
      <w:proofErr w:type="gramEnd"/>
      <w:r w:rsidRPr="00DD3AC9">
        <w:rPr>
          <w:rFonts w:ascii="Times New Roman" w:hAnsi="Times New Roman"/>
          <w:sz w:val="24"/>
          <w:szCs w:val="24"/>
        </w:rPr>
        <w:t xml:space="preserve">, worked as a security guard at a building where the elevators cannot be accessed without entering a security code. Needing to use those elevators, Sergeant Lanter approached Mr. Spivey and asked him to enter the security code. Mr. Spivey complied, but he alleges that Sergeant Lanter responded with: </w:t>
      </w:r>
      <w:r>
        <w:rPr>
          <w:rFonts w:ascii="Times New Roman" w:hAnsi="Times New Roman"/>
          <w:sz w:val="24"/>
          <w:szCs w:val="24"/>
        </w:rPr>
        <w:t>‘</w:t>
      </w:r>
      <w:r w:rsidRPr="00DD3AC9">
        <w:rPr>
          <w:rFonts w:ascii="Times New Roman" w:hAnsi="Times New Roman"/>
          <w:sz w:val="24"/>
          <w:szCs w:val="24"/>
        </w:rPr>
        <w:t>Thanks, boy, I appreciate it.</w:t>
      </w:r>
      <w:r>
        <w:rPr>
          <w:rFonts w:ascii="Times New Roman" w:hAnsi="Times New Roman"/>
          <w:sz w:val="24"/>
          <w:szCs w:val="24"/>
        </w:rPr>
        <w:t>’</w:t>
      </w:r>
      <w:r w:rsidRPr="00DD3AC9">
        <w:rPr>
          <w:rFonts w:ascii="Times New Roman" w:hAnsi="Times New Roman"/>
          <w:sz w:val="24"/>
          <w:szCs w:val="24"/>
        </w:rPr>
        <w:t xml:space="preserve"> Mr. Spivey immediately complained to his supervisor and filed a discrimination complaint with the CCA</w:t>
      </w:r>
      <w:r>
        <w:rPr>
          <w:rFonts w:ascii="Times New Roman" w:hAnsi="Times New Roman"/>
          <w:sz w:val="24"/>
          <w:szCs w:val="24"/>
        </w:rPr>
        <w:t>.</w:t>
      </w:r>
    </w:p>
    <w:p w14:paraId="115BA2A9"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p>
    <w:p w14:paraId="037BEAC4" w14:textId="77777777" w:rsidR="0077274E" w:rsidRPr="00B61592" w:rsidRDefault="0077274E" w:rsidP="0077274E">
      <w:pPr>
        <w:ind w:left="1440"/>
        <w:rPr>
          <w:rFonts w:ascii="Times New Roman" w:hAnsi="Times New Roman"/>
          <w:sz w:val="24"/>
          <w:szCs w:val="24"/>
        </w:rPr>
      </w:pPr>
      <w:r w:rsidRPr="00B61592">
        <w:rPr>
          <w:rFonts w:ascii="Times New Roman" w:hAnsi="Times New Roman"/>
          <w:sz w:val="24"/>
          <w:szCs w:val="24"/>
        </w:rPr>
        <w:t>The</w:t>
      </w:r>
      <w:r>
        <w:rPr>
          <w:rFonts w:ascii="Times New Roman" w:hAnsi="Times New Roman"/>
          <w:sz w:val="24"/>
          <w:szCs w:val="24"/>
        </w:rPr>
        <w:t xml:space="preserve"> [trial judge in the Hamilton County Court of Common Pleas]</w:t>
      </w:r>
      <w:r w:rsidRPr="00B61592">
        <w:rPr>
          <w:rFonts w:ascii="Times New Roman" w:hAnsi="Times New Roman"/>
          <w:sz w:val="24"/>
          <w:szCs w:val="24"/>
        </w:rPr>
        <w:t xml:space="preserve"> overturned the CCA’s report in the administrative review, determining that the CCA’s findings were not supported by a preponderance of substantial evidence, in part pointing to the conflicting stories of Mr. </w:t>
      </w:r>
      <w:proofErr w:type="spellStart"/>
      <w:r w:rsidRPr="00B61592">
        <w:rPr>
          <w:rFonts w:ascii="Times New Roman" w:hAnsi="Times New Roman"/>
          <w:sz w:val="24"/>
          <w:szCs w:val="24"/>
        </w:rPr>
        <w:t>Vandehatert</w:t>
      </w:r>
      <w:proofErr w:type="spellEnd"/>
      <w:r w:rsidRPr="00B61592">
        <w:rPr>
          <w:rFonts w:ascii="Times New Roman" w:hAnsi="Times New Roman"/>
          <w:sz w:val="24"/>
          <w:szCs w:val="24"/>
        </w:rPr>
        <w:t xml:space="preserve">. But the court dismissed Sergeant Lanter’s mandamus petition because the administrative appeal provided an adequate remedy at law. The City </w:t>
      </w:r>
      <w:proofErr w:type="gramStart"/>
      <w:r w:rsidRPr="00B61592">
        <w:rPr>
          <w:rFonts w:ascii="Times New Roman" w:hAnsi="Times New Roman"/>
          <w:sz w:val="24"/>
          <w:szCs w:val="24"/>
        </w:rPr>
        <w:t>appealed</w:t>
      </w:r>
      <w:proofErr w:type="gramEnd"/>
      <w:r w:rsidRPr="00B61592">
        <w:rPr>
          <w:rFonts w:ascii="Times New Roman" w:hAnsi="Times New Roman"/>
          <w:sz w:val="24"/>
          <w:szCs w:val="24"/>
        </w:rPr>
        <w:t xml:space="preserve"> the trial court’s review of the CCA’s report, prompting Sergeant Lanter to cross-appeal the dismissal of the mandamus petition.</w:t>
      </w:r>
    </w:p>
    <w:p w14:paraId="43EA0B9D"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p>
    <w:p w14:paraId="04CC5889" w14:textId="77777777" w:rsidR="0077274E" w:rsidRDefault="0077274E" w:rsidP="0077274E">
      <w:pPr>
        <w:ind w:left="1440"/>
        <w:rPr>
          <w:rFonts w:ascii="Times New Roman" w:hAnsi="Times New Roman"/>
          <w:sz w:val="24"/>
          <w:szCs w:val="24"/>
        </w:rPr>
      </w:pPr>
      <w:r>
        <w:rPr>
          <w:rFonts w:ascii="Times New Roman" w:hAnsi="Times New Roman"/>
          <w:sz w:val="24"/>
          <w:szCs w:val="24"/>
        </w:rPr>
        <w:t xml:space="preserve">[The Ohio Court of Appeals] ruled: </w:t>
      </w:r>
    </w:p>
    <w:p w14:paraId="2E6D32B9" w14:textId="77777777" w:rsidR="0077274E" w:rsidRPr="00E15ABE" w:rsidRDefault="0077274E" w:rsidP="0077274E">
      <w:pPr>
        <w:ind w:left="1440"/>
        <w:rPr>
          <w:rFonts w:ascii="Times New Roman" w:hAnsi="Times New Roman"/>
          <w:b/>
          <w:bCs/>
          <w:sz w:val="24"/>
          <w:szCs w:val="24"/>
        </w:rPr>
      </w:pPr>
      <w:r w:rsidRPr="00E15ABE">
        <w:rPr>
          <w:rFonts w:ascii="Times New Roman" w:hAnsi="Times New Roman"/>
          <w:sz w:val="24"/>
          <w:szCs w:val="24"/>
        </w:rPr>
        <w:t xml:space="preserve">The city of Cincinnati created the Citizen Complaint Authority (CCA) as part of a settlement agreement to a federal lawsuit alleging racial discrimination within the Cincinnati Police Department. The purpose of the CCA is to provide independent review, reporting, and recommendations concerning citizen complaints about police conduct. After the CCA sustained a charge of discrimination against Cincinnati police sergeant Timothy Lanter, the police department investigated the matter anew and rejected the CCA’s conclusions, which meant that Sergeant Lanter suffered no adverse employment consequences. Nevertheless, he initiated this litigation seeking to overturn the CCA’s recommendation, and the trial court obliged. We conclude, however, that the trial court lacked subject matter jurisdiction because the matter before the CCA cannot qualify as a </w:t>
      </w:r>
      <w:r>
        <w:rPr>
          <w:rFonts w:ascii="Times New Roman" w:hAnsi="Times New Roman"/>
          <w:sz w:val="24"/>
          <w:szCs w:val="24"/>
        </w:rPr>
        <w:t>‘</w:t>
      </w:r>
      <w:r w:rsidRPr="00E15ABE">
        <w:rPr>
          <w:rFonts w:ascii="Times New Roman" w:hAnsi="Times New Roman"/>
          <w:sz w:val="24"/>
          <w:szCs w:val="24"/>
        </w:rPr>
        <w:t>quasi-judicial</w:t>
      </w:r>
      <w:r>
        <w:rPr>
          <w:rFonts w:ascii="Times New Roman" w:hAnsi="Times New Roman"/>
          <w:sz w:val="24"/>
          <w:szCs w:val="24"/>
        </w:rPr>
        <w:t>’</w:t>
      </w:r>
      <w:r w:rsidRPr="00E15ABE">
        <w:rPr>
          <w:rFonts w:ascii="Times New Roman" w:hAnsi="Times New Roman"/>
          <w:sz w:val="24"/>
          <w:szCs w:val="24"/>
        </w:rPr>
        <w:t xml:space="preserve"> proceeding capable of review by a common pleas court.</w:t>
      </w:r>
      <w:r>
        <w:rPr>
          <w:rFonts w:ascii="Times New Roman" w:hAnsi="Times New Roman"/>
          <w:sz w:val="24"/>
          <w:szCs w:val="24"/>
        </w:rPr>
        <w:t xml:space="preserve">” </w:t>
      </w:r>
      <w:hyperlink r:id="rId1232" w:history="1">
        <w:r w:rsidRPr="0041276B">
          <w:rPr>
            <w:rStyle w:val="Hyperlink"/>
            <w:rFonts w:ascii="Times New Roman" w:hAnsi="Times New Roman"/>
            <w:sz w:val="24"/>
            <w:szCs w:val="24"/>
          </w:rPr>
          <w:t>https://law.justia.com/cases/ohio/first-district-court-of-appeals/2020/c-190708.html</w:t>
        </w:r>
      </w:hyperlink>
      <w:r>
        <w:rPr>
          <w:sz w:val="21"/>
          <w:szCs w:val="21"/>
        </w:rPr>
        <w:t xml:space="preserve"> </w:t>
      </w:r>
      <w:r>
        <w:rPr>
          <w:rFonts w:ascii="Times New Roman" w:hAnsi="Times New Roman"/>
          <w:b/>
          <w:bCs/>
          <w:sz w:val="24"/>
          <w:szCs w:val="24"/>
        </w:rPr>
        <w:t xml:space="preserve"> </w:t>
      </w:r>
    </w:p>
    <w:p w14:paraId="2A749BB0" w14:textId="77777777" w:rsidR="0077274E" w:rsidRDefault="0077274E" w:rsidP="00EF1133">
      <w:pPr>
        <w:rPr>
          <w:rFonts w:ascii="Arial Black" w:hAnsi="Arial Black"/>
          <w:b/>
          <w:sz w:val="24"/>
          <w:szCs w:val="24"/>
        </w:rPr>
      </w:pPr>
    </w:p>
    <w:p w14:paraId="7F50840F" w14:textId="77777777" w:rsidR="0077274E" w:rsidRDefault="0077274E" w:rsidP="00EF1133">
      <w:pPr>
        <w:rPr>
          <w:rFonts w:ascii="Arial Black" w:hAnsi="Arial Black"/>
          <w:b/>
          <w:sz w:val="24"/>
          <w:szCs w:val="24"/>
        </w:rPr>
      </w:pPr>
    </w:p>
    <w:p w14:paraId="14CF9559" w14:textId="77777777" w:rsidR="0077274E" w:rsidRDefault="0077274E" w:rsidP="00EF1133">
      <w:pPr>
        <w:rPr>
          <w:rFonts w:ascii="Arial Black" w:hAnsi="Arial Black"/>
          <w:b/>
          <w:sz w:val="24"/>
          <w:szCs w:val="24"/>
        </w:rPr>
      </w:pPr>
    </w:p>
    <w:p w14:paraId="41248A67" w14:textId="768BB41E" w:rsidR="0077274E" w:rsidRDefault="0077274E"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0</w:t>
      </w:r>
    </w:p>
    <w:p w14:paraId="5BC67768" w14:textId="77777777" w:rsidR="0077274E" w:rsidRPr="00FB1BAB" w:rsidRDefault="0077274E" w:rsidP="0077274E">
      <w:pPr>
        <w:pStyle w:val="Heading1"/>
        <w:rPr>
          <w:rFonts w:ascii="Arial Black" w:hAnsi="Arial Black"/>
          <w:sz w:val="28"/>
          <w:szCs w:val="28"/>
        </w:rPr>
      </w:pPr>
      <w:r>
        <w:rPr>
          <w:rFonts w:ascii="Arial Black" w:hAnsi="Arial Black"/>
          <w:sz w:val="28"/>
          <w:szCs w:val="28"/>
        </w:rPr>
        <w:t xml:space="preserve">MO: CARDIAC ARREST AT FORD MOTOR – COMPANY EMER. RESP. TEAM INADEQUATE - WORK COMP. ONLY REMEDY </w:t>
      </w:r>
    </w:p>
    <w:p w14:paraId="67DFADEA" w14:textId="77777777" w:rsidR="0077274E" w:rsidRDefault="0077274E" w:rsidP="0077274E">
      <w:pPr>
        <w:spacing w:before="100" w:beforeAutospacing="1" w:after="100" w:afterAutospacing="1" w:line="240" w:lineRule="auto"/>
        <w:rPr>
          <w:rFonts w:ascii="Times New Roman" w:hAnsi="Times New Roman"/>
          <w:sz w:val="24"/>
          <w:szCs w:val="24"/>
        </w:rPr>
      </w:pPr>
      <w:r w:rsidRPr="00FB1BAB">
        <w:rPr>
          <w:rFonts w:ascii="Times New Roman" w:hAnsi="Times New Roman"/>
          <w:sz w:val="24"/>
          <w:szCs w:val="24"/>
        </w:rPr>
        <w:t xml:space="preserve">On April 13, 2021, in </w:t>
      </w:r>
      <w:r w:rsidRPr="00FB1BAB">
        <w:rPr>
          <w:rFonts w:ascii="Times New Roman" w:hAnsi="Times New Roman"/>
          <w:sz w:val="24"/>
          <w:szCs w:val="24"/>
          <w:u w:val="single"/>
        </w:rPr>
        <w:t xml:space="preserve">Nancy J. </w:t>
      </w:r>
      <w:proofErr w:type="spellStart"/>
      <w:r w:rsidRPr="00FB1BAB">
        <w:rPr>
          <w:rFonts w:ascii="Times New Roman" w:hAnsi="Times New Roman"/>
          <w:sz w:val="24"/>
          <w:szCs w:val="24"/>
          <w:u w:val="single"/>
        </w:rPr>
        <w:t>Ducoulombier</w:t>
      </w:r>
      <w:proofErr w:type="spellEnd"/>
      <w:r w:rsidRPr="00FB1BAB">
        <w:rPr>
          <w:rFonts w:ascii="Times New Roman" w:hAnsi="Times New Roman"/>
          <w:sz w:val="24"/>
          <w:szCs w:val="24"/>
          <w:u w:val="single"/>
        </w:rPr>
        <w:t xml:space="preserve"> v. Ford Motor Company</w:t>
      </w:r>
      <w:r w:rsidRPr="00FB1BAB">
        <w:rPr>
          <w:rFonts w:ascii="Times New Roman" w:hAnsi="Times New Roman"/>
          <w:sz w:val="24"/>
          <w:szCs w:val="24"/>
        </w:rPr>
        <w:t xml:space="preserve">, </w:t>
      </w:r>
      <w:r>
        <w:rPr>
          <w:rFonts w:ascii="Times New Roman" w:hAnsi="Times New Roman"/>
          <w:sz w:val="24"/>
          <w:szCs w:val="24"/>
        </w:rPr>
        <w:t xml:space="preserve">the Missouri Court of Appeal (Western District) held (3 to 0) that the trial court properly granted Ford Motor Company’s motion for summary judgment.  The wife’s sole remedy is Worker’s Compensation, not a jury trial seeking damages, even if the Ford Company’s Emergency Response Team members were slow in calling 911, or slow in moving the patient to a location where responding EMS could </w:t>
      </w:r>
      <w:proofErr w:type="gramStart"/>
      <w:r>
        <w:rPr>
          <w:rFonts w:ascii="Times New Roman" w:hAnsi="Times New Roman"/>
          <w:sz w:val="24"/>
          <w:szCs w:val="24"/>
        </w:rPr>
        <w:t>being</w:t>
      </w:r>
      <w:proofErr w:type="gramEnd"/>
      <w:r>
        <w:rPr>
          <w:rFonts w:ascii="Times New Roman" w:hAnsi="Times New Roman"/>
          <w:sz w:val="24"/>
          <w:szCs w:val="24"/>
        </w:rPr>
        <w:t xml:space="preserve"> treatment.  </w:t>
      </w:r>
    </w:p>
    <w:p w14:paraId="0B1FE1BF"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23691">
        <w:rPr>
          <w:rFonts w:ascii="Times New Roman" w:hAnsi="Times New Roman"/>
          <w:sz w:val="24"/>
          <w:szCs w:val="24"/>
        </w:rPr>
        <w:t xml:space="preserve">Appellant's petition alleges that Ford's negligence caused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death. More specifically, it alleges that Ford failed to have properly trained responders for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on-site medical emergency, failed to ensure that the employees who administered CPR to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were properly trained, failed to equip its employees and Emergency Response Team members with proper equipment and devices to be used in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cardiac life support, and failed to plan for interfacing with community EMS responders for on-site emergencies thereby hindering EMS responders in reaching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w:t>
      </w:r>
      <w:proofErr w:type="gramStart"/>
      <w:r w:rsidRPr="00123691">
        <w:rPr>
          <w:rFonts w:ascii="Times New Roman" w:hAnsi="Times New Roman"/>
          <w:sz w:val="24"/>
          <w:szCs w:val="24"/>
        </w:rPr>
        <w:t>Further, that</w:t>
      </w:r>
      <w:proofErr w:type="gramEnd"/>
      <w:r w:rsidRPr="00123691">
        <w:rPr>
          <w:rFonts w:ascii="Times New Roman" w:hAnsi="Times New Roman"/>
          <w:sz w:val="24"/>
          <w:szCs w:val="24"/>
        </w:rPr>
        <w:t xml:space="preserve"> Ford did not provide enough Emergency Response Team members within various areas of the plant </w:t>
      </w:r>
      <w:proofErr w:type="gramStart"/>
      <w:r w:rsidRPr="00123691">
        <w:rPr>
          <w:rFonts w:ascii="Times New Roman" w:hAnsi="Times New Roman"/>
          <w:sz w:val="24"/>
          <w:szCs w:val="24"/>
        </w:rPr>
        <w:t>so as to</w:t>
      </w:r>
      <w:proofErr w:type="gramEnd"/>
      <w:r w:rsidRPr="00123691">
        <w:rPr>
          <w:rFonts w:ascii="Times New Roman" w:hAnsi="Times New Roman"/>
          <w:sz w:val="24"/>
          <w:szCs w:val="24"/>
        </w:rPr>
        <w:t xml:space="preserve"> properly respond to </w:t>
      </w:r>
      <w:proofErr w:type="gramStart"/>
      <w:r w:rsidRPr="00123691">
        <w:rPr>
          <w:rFonts w:ascii="Times New Roman" w:hAnsi="Times New Roman"/>
          <w:sz w:val="24"/>
          <w:szCs w:val="24"/>
        </w:rPr>
        <w:t xml:space="preserve">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and</w:t>
      </w:r>
      <w:proofErr w:type="gramEnd"/>
      <w:r w:rsidRPr="00123691">
        <w:rPr>
          <w:rFonts w:ascii="Times New Roman" w:hAnsi="Times New Roman"/>
          <w:sz w:val="24"/>
          <w:szCs w:val="24"/>
        </w:rPr>
        <w:t xml:space="preserve"> did not provide the Emergency Response Team members it had with appropriate vehicles to transport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to a rendezvous point. </w:t>
      </w:r>
      <w:proofErr w:type="gramStart"/>
      <w:r w:rsidRPr="00123691">
        <w:rPr>
          <w:rFonts w:ascii="Times New Roman" w:hAnsi="Times New Roman"/>
          <w:sz w:val="24"/>
          <w:szCs w:val="24"/>
        </w:rPr>
        <w:t>Finally, that</w:t>
      </w:r>
      <w:proofErr w:type="gramEnd"/>
      <w:r w:rsidRPr="00123691">
        <w:rPr>
          <w:rFonts w:ascii="Times New Roman" w:hAnsi="Times New Roman"/>
          <w:sz w:val="24"/>
          <w:szCs w:val="24"/>
        </w:rPr>
        <w:t xml:space="preserve"> Ford failed to timely notify community EMS responders of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medical emergency and request their assistance in rendering care.</w:t>
      </w:r>
    </w:p>
    <w:p w14:paraId="612419E7" w14:textId="77777777" w:rsidR="0077274E" w:rsidRPr="00123691"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10291A1" w14:textId="77777777" w:rsidR="0077274E" w:rsidRPr="00FB1BAB"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B</w:t>
      </w:r>
      <w:r w:rsidRPr="00FB1BAB">
        <w:rPr>
          <w:rFonts w:ascii="Times New Roman" w:hAnsi="Times New Roman"/>
          <w:sz w:val="24"/>
          <w:szCs w:val="24"/>
        </w:rPr>
        <w:t xml:space="preserve">ased on the factual allegations set forth in Appellant's pleadings, the same is true here. Mr. </w:t>
      </w:r>
      <w:proofErr w:type="spellStart"/>
      <w:r w:rsidRPr="00FB1BAB">
        <w:rPr>
          <w:rFonts w:ascii="Times New Roman" w:hAnsi="Times New Roman"/>
          <w:sz w:val="24"/>
          <w:szCs w:val="24"/>
        </w:rPr>
        <w:t>Ducoulombier's</w:t>
      </w:r>
      <w:proofErr w:type="spellEnd"/>
      <w:r w:rsidRPr="00FB1BAB">
        <w:rPr>
          <w:rFonts w:ascii="Times New Roman" w:hAnsi="Times New Roman"/>
          <w:sz w:val="24"/>
          <w:szCs w:val="24"/>
        </w:rPr>
        <w:t xml:space="preserve"> presence and purpose for being on Ford's premises on February 25, 2016, was solely due to his employment. As such, exclusive statutory authority to consider the cause and extent of alleged injuries arising from Mr. </w:t>
      </w:r>
      <w:proofErr w:type="spellStart"/>
      <w:r w:rsidRPr="00FB1BAB">
        <w:rPr>
          <w:rFonts w:ascii="Times New Roman" w:hAnsi="Times New Roman"/>
          <w:sz w:val="24"/>
          <w:szCs w:val="24"/>
        </w:rPr>
        <w:t>Ducoulombier's</w:t>
      </w:r>
      <w:proofErr w:type="spellEnd"/>
      <w:r w:rsidRPr="00FB1BAB">
        <w:rPr>
          <w:rFonts w:ascii="Times New Roman" w:hAnsi="Times New Roman"/>
          <w:sz w:val="24"/>
          <w:szCs w:val="24"/>
        </w:rPr>
        <w:t xml:space="preserve"> presence at his workplace lies with the Labor and Industrial Relations Commission.</w:t>
      </w:r>
      <w:r>
        <w:rPr>
          <w:rFonts w:ascii="Times New Roman" w:hAnsi="Times New Roman"/>
          <w:sz w:val="24"/>
          <w:szCs w:val="24"/>
        </w:rPr>
        <w:t xml:space="preserve">” </w:t>
      </w:r>
      <w:hyperlink r:id="rId1233" w:history="1">
        <w:r w:rsidRPr="0041276B">
          <w:rPr>
            <w:rStyle w:val="Hyperlink"/>
            <w:rFonts w:ascii="Times New Roman" w:hAnsi="Times New Roman"/>
            <w:sz w:val="24"/>
            <w:szCs w:val="24"/>
          </w:rPr>
          <w:t>https://law.justia.com/cases/missouri/court-of-appeals/2021/wd83430.html</w:t>
        </w:r>
      </w:hyperlink>
      <w:r>
        <w:rPr>
          <w:rFonts w:ascii="Times New Roman" w:hAnsi="Times New Roman"/>
          <w:sz w:val="24"/>
          <w:szCs w:val="24"/>
        </w:rPr>
        <w:t xml:space="preserve"> </w:t>
      </w:r>
    </w:p>
    <w:p w14:paraId="16488130" w14:textId="77777777" w:rsidR="0077274E" w:rsidRDefault="0077274E" w:rsidP="0077274E">
      <w:pPr>
        <w:spacing w:before="100" w:beforeAutospacing="1" w:after="100" w:afterAutospacing="1" w:line="240" w:lineRule="auto"/>
        <w:rPr>
          <w:rFonts w:ascii="Times New Roman" w:hAnsi="Times New Roman"/>
          <w:b/>
          <w:bCs/>
          <w:sz w:val="24"/>
          <w:szCs w:val="24"/>
        </w:rPr>
      </w:pPr>
      <w:r w:rsidRPr="003B387C">
        <w:rPr>
          <w:rFonts w:ascii="Times New Roman" w:hAnsi="Times New Roman"/>
          <w:b/>
          <w:bCs/>
          <w:sz w:val="24"/>
          <w:szCs w:val="24"/>
        </w:rPr>
        <w:t>Legal Lesson Learned:</w:t>
      </w:r>
      <w:r>
        <w:rPr>
          <w:rFonts w:ascii="Times New Roman" w:hAnsi="Times New Roman"/>
          <w:b/>
          <w:bCs/>
          <w:sz w:val="24"/>
          <w:szCs w:val="24"/>
        </w:rPr>
        <w:t xml:space="preserve">  For workplace injuries and death, workers comp. is normally the exclusive remedy. </w:t>
      </w:r>
    </w:p>
    <w:p w14:paraId="7690D01C" w14:textId="77777777" w:rsidR="0077274E" w:rsidRPr="00F97B96" w:rsidRDefault="0077274E" w:rsidP="0077274E">
      <w:pPr>
        <w:pStyle w:val="Heading1"/>
        <w:ind w:left="720"/>
        <w:rPr>
          <w:b w:val="0"/>
          <w:bCs w:val="0"/>
          <w:sz w:val="24"/>
          <w:szCs w:val="24"/>
        </w:rPr>
      </w:pPr>
      <w:r w:rsidRPr="00F97B96">
        <w:rPr>
          <w:b w:val="0"/>
          <w:bCs w:val="0"/>
          <w:sz w:val="24"/>
          <w:szCs w:val="24"/>
        </w:rPr>
        <w:t xml:space="preserve">Note:  Some states allow lawsuits against employers for “intentional torts.”  Ohio has a very limited statute. Ohio Revised Code 2745.01, “Liability of employer for intentional tort - intent to injure required - exceptions.” </w:t>
      </w:r>
      <w:hyperlink r:id="rId1234" w:history="1">
        <w:r w:rsidRPr="00F97B96">
          <w:rPr>
            <w:rStyle w:val="Hyperlink"/>
            <w:sz w:val="24"/>
            <w:szCs w:val="24"/>
          </w:rPr>
          <w:t>https://codes.ohio.gov/ohio-revised-code/section-2745.01</w:t>
        </w:r>
      </w:hyperlink>
      <w:r w:rsidRPr="00F97B96">
        <w:rPr>
          <w:b w:val="0"/>
          <w:bCs w:val="0"/>
          <w:sz w:val="24"/>
          <w:szCs w:val="24"/>
        </w:rPr>
        <w:t xml:space="preserve"> </w:t>
      </w:r>
    </w:p>
    <w:p w14:paraId="2C8CB72D"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(A) In an action brought against an employer by an employee, or by the dependent survivors of a deceased employee, for damages resulting from an intentional tort committed by the employer during the course of employment, the employer shall not be liable unless the plaintiff proves that the employer committed the tortious act with the intent to injure another or with the belief that the injury was substantially certain to occur.</w:t>
      </w:r>
    </w:p>
    <w:p w14:paraId="2D5BF1EC"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(B) As used in this section, "substantially certain" means that an employer acts with deliberate intent to cause an employee to suffer an injury, a disease, a condition, or death.</w:t>
      </w:r>
    </w:p>
    <w:p w14:paraId="3B5CA388"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(C) Deliberate removal by an employer of an equipment safety guard or deliberate misrepresentation of a toxic or hazardous substance creates a rebuttable presumption that the removal or misrepresentation was committed with intent to injure another if an injury or an occupational disease or condition occurs as a direct result.</w:t>
      </w:r>
    </w:p>
    <w:p w14:paraId="6BFA661B"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 xml:space="preserve">(D) This section does not apply to claims arising </w:t>
      </w:r>
      <w:proofErr w:type="gramStart"/>
      <w:r w:rsidRPr="003B387C">
        <w:rPr>
          <w:rFonts w:ascii="Times New Roman" w:eastAsia="Times New Roman" w:hAnsi="Times New Roman"/>
          <w:sz w:val="24"/>
          <w:szCs w:val="24"/>
        </w:rPr>
        <w:t>during the course of</w:t>
      </w:r>
      <w:proofErr w:type="gramEnd"/>
      <w:r w:rsidRPr="003B387C">
        <w:rPr>
          <w:rFonts w:ascii="Times New Roman" w:eastAsia="Times New Roman" w:hAnsi="Times New Roman"/>
          <w:sz w:val="24"/>
          <w:szCs w:val="24"/>
        </w:rPr>
        <w:t xml:space="preserve"> employment involving discrimination, civil rights, retaliation, harassment in violation of Chapter 4112. of the Revised Code, intentional infliction of emotional distress not compensable under Chapters 4121. and 4123. of the Revised Code, contract, promissory estoppel, or defamation.</w:t>
      </w:r>
    </w:p>
    <w:p w14:paraId="322BF799" w14:textId="69FA7D36" w:rsidR="0077274E" w:rsidRDefault="00F27CD5"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69</w:t>
      </w:r>
    </w:p>
    <w:p w14:paraId="7EA85C1B" w14:textId="77777777" w:rsidR="00F27CD5" w:rsidRPr="00AC6430" w:rsidRDefault="00F27CD5" w:rsidP="00F27CD5">
      <w:pPr>
        <w:pStyle w:val="NoSpacing"/>
        <w:rPr>
          <w:rFonts w:ascii="Arial Black" w:hAnsi="Arial Black"/>
          <w:sz w:val="28"/>
          <w:szCs w:val="28"/>
        </w:rPr>
      </w:pPr>
      <w:r>
        <w:rPr>
          <w:rFonts w:ascii="Arial Black" w:hAnsi="Arial Black"/>
          <w:sz w:val="28"/>
          <w:szCs w:val="28"/>
        </w:rPr>
        <w:t>LA: HEARING LOSS – GRADUAL LOSS OVER CAREER - MED. COVERAGE, BUT NOT PERMANENT PARTIAL DIABILITY</w:t>
      </w:r>
    </w:p>
    <w:p w14:paraId="1BE2649B" w14:textId="77777777" w:rsidR="00F27CD5" w:rsidRDefault="00F27CD5" w:rsidP="00F27CD5">
      <w:pPr>
        <w:pStyle w:val="NoSpacing"/>
        <w:rPr>
          <w:rFonts w:ascii="Times New Roman" w:hAnsi="Times New Roman"/>
          <w:sz w:val="24"/>
          <w:szCs w:val="24"/>
        </w:rPr>
      </w:pPr>
    </w:p>
    <w:p w14:paraId="573A5E42" w14:textId="77777777" w:rsidR="00F27CD5" w:rsidRPr="00AC6430" w:rsidRDefault="00F27CD5" w:rsidP="00F27CD5">
      <w:pPr>
        <w:pStyle w:val="NoSpacing"/>
        <w:rPr>
          <w:rFonts w:ascii="Times New Roman" w:hAnsi="Times New Roman"/>
          <w:sz w:val="24"/>
          <w:szCs w:val="24"/>
        </w:rPr>
      </w:pPr>
      <w:r w:rsidRPr="00AC6430">
        <w:rPr>
          <w:rFonts w:ascii="Times New Roman" w:hAnsi="Times New Roman"/>
          <w:sz w:val="24"/>
          <w:szCs w:val="24"/>
        </w:rPr>
        <w:t xml:space="preserve">On March 24, 2021, in </w:t>
      </w:r>
      <w:r w:rsidRPr="00AC6430">
        <w:rPr>
          <w:rFonts w:ascii="Times New Roman" w:hAnsi="Times New Roman"/>
          <w:sz w:val="24"/>
          <w:szCs w:val="24"/>
          <w:u w:val="single"/>
        </w:rPr>
        <w:t>James J. Hartman, Jr. vs. Bernard Parish Fire Department &amp; FARA</w:t>
      </w:r>
      <w:r w:rsidRPr="00AC6430">
        <w:rPr>
          <w:rFonts w:ascii="Times New Roman" w:hAnsi="Times New Roman"/>
          <w:sz w:val="24"/>
          <w:szCs w:val="24"/>
        </w:rPr>
        <w:t xml:space="preserve">, the Louisiana Supreme Court held (7 to 0) that a gradual loss of hearing by a District Chief does not meet the state’s statute requiring an explosion or other permanent hearing loss “solely due to a single traumatic accident.”  </w:t>
      </w:r>
      <w:r>
        <w:rPr>
          <w:rFonts w:ascii="Times New Roman" w:hAnsi="Times New Roman"/>
          <w:sz w:val="24"/>
          <w:szCs w:val="24"/>
        </w:rPr>
        <w:t xml:space="preserve">He is entitled to </w:t>
      </w:r>
      <w:proofErr w:type="gramStart"/>
      <w:r>
        <w:rPr>
          <w:rFonts w:ascii="Times New Roman" w:hAnsi="Times New Roman"/>
          <w:sz w:val="24"/>
          <w:szCs w:val="24"/>
        </w:rPr>
        <w:t>continuing</w:t>
      </w:r>
      <w:proofErr w:type="gramEnd"/>
      <w:r>
        <w:rPr>
          <w:rFonts w:ascii="Times New Roman" w:hAnsi="Times New Roman"/>
          <w:sz w:val="24"/>
          <w:szCs w:val="24"/>
        </w:rPr>
        <w:t xml:space="preserve"> medical coverage. </w:t>
      </w:r>
    </w:p>
    <w:p w14:paraId="753EDC8B" w14:textId="77777777" w:rsidR="00F27CD5" w:rsidRDefault="00F27CD5" w:rsidP="00F27CD5">
      <w:pPr>
        <w:pStyle w:val="NoSpacing"/>
        <w:rPr>
          <w:rFonts w:ascii="Times New Roman" w:hAnsi="Times New Roman"/>
          <w:sz w:val="24"/>
          <w:szCs w:val="24"/>
        </w:rPr>
      </w:pPr>
    </w:p>
    <w:p w14:paraId="079FC725" w14:textId="77777777" w:rsidR="00F27CD5" w:rsidRPr="00C14B60" w:rsidRDefault="00F27CD5" w:rsidP="00F27CD5">
      <w:pPr>
        <w:pStyle w:val="NoSpacing"/>
        <w:ind w:left="720"/>
        <w:rPr>
          <w:rFonts w:ascii="Times New Roman" w:hAnsi="Times New Roman"/>
          <w:color w:val="303030"/>
          <w:sz w:val="24"/>
          <w:szCs w:val="24"/>
        </w:rPr>
      </w:pPr>
      <w:r w:rsidRPr="00C14B60">
        <w:rPr>
          <w:rFonts w:ascii="Times New Roman" w:hAnsi="Times New Roman"/>
          <w:sz w:val="24"/>
          <w:szCs w:val="24"/>
        </w:rPr>
        <w:t xml:space="preserve">“Applying instead the clear and unambiguous words of the statute, we find that the medical evidence in this case establishes that Mr. Hartman’s hearing loss did not result solely from a single traumatic accident and, thus, he is not entitled to permanent partial disability benefits pursuant to La. R.S. 23:1221(4)(p).” </w:t>
      </w:r>
      <w:hyperlink r:id="rId1235" w:history="1">
        <w:r w:rsidRPr="00C14B60">
          <w:rPr>
            <w:rStyle w:val="Hyperlink"/>
            <w:sz w:val="24"/>
            <w:szCs w:val="24"/>
          </w:rPr>
          <w:t>https://www.lasc.org/Opinions/2021/20-0693.C.OPN.pdf</w:t>
        </w:r>
      </w:hyperlink>
      <w:r w:rsidRPr="00C14B60">
        <w:rPr>
          <w:rFonts w:ascii="Times New Roman" w:hAnsi="Times New Roman"/>
          <w:color w:val="303030"/>
          <w:sz w:val="24"/>
          <w:szCs w:val="24"/>
        </w:rPr>
        <w:t xml:space="preserve"> </w:t>
      </w:r>
    </w:p>
    <w:p w14:paraId="4BE49C89" w14:textId="77777777" w:rsidR="00F27CD5" w:rsidRPr="00AD1A4D" w:rsidRDefault="00F27CD5" w:rsidP="00F27CD5">
      <w:pPr>
        <w:pStyle w:val="NoSpacing"/>
        <w:rPr>
          <w:rFonts w:ascii="Times New Roman" w:hAnsi="Times New Roman"/>
          <w:b/>
          <w:bCs/>
          <w:sz w:val="24"/>
          <w:szCs w:val="24"/>
        </w:rPr>
      </w:pPr>
      <w:r w:rsidRPr="00AD1A4D">
        <w:rPr>
          <w:rFonts w:ascii="Times New Roman" w:hAnsi="Times New Roman"/>
          <w:b/>
          <w:bCs/>
          <w:sz w:val="24"/>
          <w:szCs w:val="24"/>
        </w:rPr>
        <w:t>Legal Lesson Learned:</w:t>
      </w:r>
      <w:r>
        <w:rPr>
          <w:rFonts w:ascii="Times New Roman" w:hAnsi="Times New Roman"/>
          <w:b/>
          <w:bCs/>
          <w:sz w:val="24"/>
          <w:szCs w:val="24"/>
        </w:rPr>
        <w:t xml:space="preserve"> The state statute limits partial disability compensation only if caused by a single traumatic accident. Time to “lobby” the legislature to broaden the statute. </w:t>
      </w:r>
    </w:p>
    <w:p w14:paraId="1C560811" w14:textId="77777777" w:rsidR="00F27CD5" w:rsidRDefault="00F27CD5" w:rsidP="00F27CD5">
      <w:pPr>
        <w:pStyle w:val="NormalWeb"/>
      </w:pPr>
      <w:r>
        <w:rPr>
          <w:sz w:val="38"/>
          <w:szCs w:val="38"/>
        </w:rPr>
        <w:tab/>
      </w:r>
      <w:r>
        <w:t xml:space="preserve">Note: </w:t>
      </w:r>
    </w:p>
    <w:p w14:paraId="2B8034EA" w14:textId="77777777" w:rsidR="00F27CD5" w:rsidRPr="00CC6D9B" w:rsidRDefault="00F27CD5" w:rsidP="00F27CD5">
      <w:pPr>
        <w:pStyle w:val="Heading1"/>
        <w:ind w:left="720"/>
        <w:rPr>
          <w:sz w:val="24"/>
          <w:szCs w:val="24"/>
        </w:rPr>
      </w:pPr>
      <w:r w:rsidRPr="00CB33A6">
        <w:rPr>
          <w:sz w:val="24"/>
          <w:szCs w:val="24"/>
        </w:rPr>
        <w:t xml:space="preserve">Ohio Revised Code: Section 4123.57 </w:t>
      </w:r>
      <w:r w:rsidRPr="00CB33A6">
        <w:rPr>
          <w:rStyle w:val="codes-separator"/>
          <w:sz w:val="24"/>
          <w:szCs w:val="24"/>
        </w:rPr>
        <w:t>|</w:t>
      </w:r>
      <w:r w:rsidRPr="00CB33A6">
        <w:rPr>
          <w:sz w:val="24"/>
          <w:szCs w:val="24"/>
        </w:rPr>
        <w:t xml:space="preserve"> Partial disability compensation</w:t>
      </w:r>
      <w:r w:rsidRPr="00CC6D9B">
        <w:rPr>
          <w:sz w:val="24"/>
          <w:szCs w:val="24"/>
        </w:rPr>
        <w:t>.</w:t>
      </w:r>
      <w:r>
        <w:rPr>
          <w:sz w:val="24"/>
          <w:szCs w:val="24"/>
        </w:rPr>
        <w:t xml:space="preserve"> </w:t>
      </w:r>
      <w:hyperlink r:id="rId1236" w:history="1">
        <w:r w:rsidRPr="00C724D5">
          <w:rPr>
            <w:rStyle w:val="Hyperlink"/>
            <w:sz w:val="24"/>
            <w:szCs w:val="24"/>
          </w:rPr>
          <w:t>https://codes.ohio.gov/ohio-revised-code/section-4123.57</w:t>
        </w:r>
      </w:hyperlink>
      <w:r>
        <w:rPr>
          <w:sz w:val="24"/>
          <w:szCs w:val="24"/>
        </w:rPr>
        <w:t xml:space="preserve"> </w:t>
      </w:r>
    </w:p>
    <w:p w14:paraId="707ACC72" w14:textId="77777777" w:rsidR="00F27CD5" w:rsidRDefault="00F27CD5" w:rsidP="00F27CD5">
      <w:pPr>
        <w:pStyle w:val="NormalWeb"/>
        <w:ind w:left="1440" w:firstLine="720"/>
      </w:pPr>
      <w:r>
        <w:t>“</w:t>
      </w:r>
      <w:r w:rsidRPr="00CC6D9B">
        <w:t>For the permanent and total loss of hearing, one hundred twenty-five weeks; but, except pursuant to the next preceding paragraph, in no case shall an award of compensation be made for less than permanent and total loss of hearing.</w:t>
      </w:r>
      <w:r>
        <w:t>”</w:t>
      </w:r>
    </w:p>
    <w:p w14:paraId="320230A5" w14:textId="77777777" w:rsidR="00F27CD5" w:rsidRPr="00AD1A4D" w:rsidRDefault="00F27CD5" w:rsidP="00F27CD5">
      <w:pPr>
        <w:pStyle w:val="NormalWeb"/>
        <w:ind w:left="720"/>
      </w:pPr>
      <w:r>
        <w:t xml:space="preserve">See also: </w:t>
      </w:r>
      <w:hyperlink r:id="rId1237" w:history="1">
        <w:r w:rsidRPr="00C724D5">
          <w:rPr>
            <w:rStyle w:val="Hyperlink"/>
          </w:rPr>
          <w:t>https://www.monastlaw.com/blog/ohio-workers-compensation-for-hearing-loss.cfm</w:t>
        </w:r>
      </w:hyperlink>
      <w:r>
        <w:t xml:space="preserve"> </w:t>
      </w:r>
    </w:p>
    <w:p w14:paraId="1910EDE7" w14:textId="77777777" w:rsidR="00F27CD5" w:rsidRPr="00AD1A4D" w:rsidRDefault="00F27CD5" w:rsidP="00F27CD5">
      <w:pPr>
        <w:pStyle w:val="NormalWeb"/>
        <w:ind w:left="1170"/>
      </w:pPr>
      <w:r>
        <w:t>“</w:t>
      </w:r>
      <w:r w:rsidRPr="00AD1A4D">
        <w:t xml:space="preserve">Under workers’ compensation law in Ohio, hearing loss is a </w:t>
      </w:r>
      <w:hyperlink r:id="rId1238" w:history="1">
        <w:r w:rsidRPr="00AD1A4D">
          <w:rPr>
            <w:rStyle w:val="Hyperlink"/>
          </w:rPr>
          <w:t>scheduled loss</w:t>
        </w:r>
      </w:hyperlink>
      <w:r w:rsidRPr="00AD1A4D">
        <w:t>, meaning compensation is awarded based on a set schedule. Depending on the extent of your hearing loss, you may obtain benefits for a specific number of weeks:</w:t>
      </w:r>
    </w:p>
    <w:p w14:paraId="39838718" w14:textId="77777777" w:rsidR="00F27CD5" w:rsidRPr="00AD1A4D" w:rsidRDefault="00F27CD5" w:rsidP="00F27CD5">
      <w:pPr>
        <w:numPr>
          <w:ilvl w:val="0"/>
          <w:numId w:val="10"/>
        </w:numPr>
        <w:tabs>
          <w:tab w:val="clear" w:pos="720"/>
          <w:tab w:val="num" w:pos="900"/>
        </w:tabs>
        <w:spacing w:before="100" w:beforeAutospacing="1" w:after="100" w:afterAutospacing="1" w:line="240" w:lineRule="auto"/>
        <w:ind w:firstLine="450"/>
        <w:rPr>
          <w:rFonts w:ascii="Times New Roman" w:hAnsi="Times New Roman"/>
          <w:sz w:val="24"/>
          <w:szCs w:val="24"/>
        </w:rPr>
      </w:pPr>
      <w:r w:rsidRPr="00AD1A4D">
        <w:rPr>
          <w:rFonts w:ascii="Times New Roman" w:hAnsi="Times New Roman"/>
          <w:sz w:val="24"/>
          <w:szCs w:val="24"/>
        </w:rPr>
        <w:t>25 weeks for permanent and total loss of hearing in one ear</w:t>
      </w:r>
    </w:p>
    <w:p w14:paraId="05E264D6" w14:textId="77777777" w:rsidR="00F27CD5" w:rsidRPr="00AD1A4D" w:rsidRDefault="00F27CD5" w:rsidP="00F27CD5">
      <w:pPr>
        <w:numPr>
          <w:ilvl w:val="0"/>
          <w:numId w:val="10"/>
        </w:numPr>
        <w:tabs>
          <w:tab w:val="clear" w:pos="720"/>
          <w:tab w:val="num" w:pos="900"/>
        </w:tabs>
        <w:spacing w:before="100" w:beforeAutospacing="1" w:after="100" w:afterAutospacing="1" w:line="240" w:lineRule="auto"/>
        <w:ind w:firstLine="450"/>
        <w:rPr>
          <w:rFonts w:ascii="Times New Roman" w:hAnsi="Times New Roman"/>
          <w:sz w:val="24"/>
          <w:szCs w:val="24"/>
        </w:rPr>
      </w:pPr>
      <w:r w:rsidRPr="00AD1A4D">
        <w:rPr>
          <w:rFonts w:ascii="Times New Roman" w:hAnsi="Times New Roman"/>
          <w:sz w:val="24"/>
          <w:szCs w:val="24"/>
        </w:rPr>
        <w:t>125 weeks for complete loss of hearing in both ears</w:t>
      </w:r>
    </w:p>
    <w:p w14:paraId="5943134C" w14:textId="77777777" w:rsidR="00F27CD5" w:rsidRDefault="00F27CD5" w:rsidP="00F27CD5">
      <w:pPr>
        <w:pStyle w:val="NormalWeb"/>
        <w:ind w:left="1170"/>
      </w:pPr>
      <w:r w:rsidRPr="00AD1A4D">
        <w:t xml:space="preserve">No award is </w:t>
      </w:r>
      <w:proofErr w:type="gramStart"/>
      <w:r w:rsidRPr="00AD1A4D">
        <w:t>made</w:t>
      </w:r>
      <w:proofErr w:type="gramEnd"/>
      <w:r w:rsidRPr="00AD1A4D">
        <w:t xml:space="preserve"> for anything less than permanent and total loss of hearing in at least one ear. Your benefits can include compensation for up to 100% of the statewide average weekly wage. This amount is determined annually</w:t>
      </w:r>
      <w:r>
        <w:t xml:space="preserve">.” </w:t>
      </w:r>
    </w:p>
    <w:p w14:paraId="5689C71C" w14:textId="77777777" w:rsidR="00F27CD5" w:rsidRDefault="00F27CD5" w:rsidP="00EF1133">
      <w:pPr>
        <w:rPr>
          <w:rFonts w:ascii="Arial Black" w:hAnsi="Arial Black"/>
          <w:b/>
          <w:sz w:val="24"/>
          <w:szCs w:val="24"/>
        </w:rPr>
      </w:pPr>
    </w:p>
    <w:p w14:paraId="3B347FB9" w14:textId="77777777" w:rsidR="0077274E" w:rsidRDefault="0077274E" w:rsidP="00EF1133">
      <w:pPr>
        <w:rPr>
          <w:rFonts w:ascii="Arial Black" w:hAnsi="Arial Black"/>
          <w:b/>
          <w:sz w:val="24"/>
          <w:szCs w:val="24"/>
        </w:rPr>
      </w:pPr>
    </w:p>
    <w:p w14:paraId="1FA1E0E7" w14:textId="4984267B" w:rsidR="00831847" w:rsidRDefault="00831847"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8</w:t>
      </w:r>
    </w:p>
    <w:p w14:paraId="6DD3BEA7" w14:textId="77777777" w:rsidR="00831847" w:rsidRPr="00E0778E" w:rsidRDefault="00831847" w:rsidP="00831847">
      <w:pPr>
        <w:pStyle w:val="NoSpacing"/>
        <w:rPr>
          <w:rFonts w:ascii="Arial Black" w:hAnsi="Arial Black"/>
          <w:sz w:val="28"/>
          <w:szCs w:val="28"/>
        </w:rPr>
      </w:pPr>
      <w:r>
        <w:rPr>
          <w:rFonts w:ascii="Arial Black" w:hAnsi="Arial Black"/>
          <w:sz w:val="28"/>
          <w:szCs w:val="28"/>
        </w:rPr>
        <w:t>IL: FF RETIRED AT MANADATORY AGE OF 65 – PENSION - CANNOT THEN ALSO RECEIVE UNEMPLOYMENT COMP</w:t>
      </w:r>
    </w:p>
    <w:p w14:paraId="6F45EBAD" w14:textId="77777777" w:rsidR="00831847" w:rsidRDefault="00831847" w:rsidP="0083184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16, 2021, in </w:t>
      </w:r>
      <w:r w:rsidRPr="00E0778E">
        <w:rPr>
          <w:rFonts w:ascii="Times New Roman" w:eastAsia="Times New Roman" w:hAnsi="Times New Roman"/>
          <w:sz w:val="24"/>
          <w:szCs w:val="24"/>
          <w:u w:val="single"/>
        </w:rPr>
        <w:t>Prospect Heights Fire Protection District v. The Department of Employment Security</w:t>
      </w:r>
      <w:r>
        <w:rPr>
          <w:rFonts w:ascii="Times New Roman" w:eastAsia="Times New Roman" w:hAnsi="Times New Roman"/>
          <w:sz w:val="24"/>
          <w:szCs w:val="24"/>
          <w:u w:val="single"/>
        </w:rPr>
        <w:t xml:space="preserve"> (Robert J. </w:t>
      </w:r>
      <w:proofErr w:type="spellStart"/>
      <w:r>
        <w:rPr>
          <w:rFonts w:ascii="Times New Roman" w:eastAsia="Times New Roman" w:hAnsi="Times New Roman"/>
          <w:sz w:val="24"/>
          <w:szCs w:val="24"/>
          <w:u w:val="single"/>
        </w:rPr>
        <w:t>Pyzyna</w:t>
      </w:r>
      <w:proofErr w:type="spellEnd"/>
      <w:r>
        <w:rPr>
          <w:rFonts w:ascii="Times New Roman" w:eastAsia="Times New Roman" w:hAnsi="Times New Roman"/>
          <w:sz w:val="24"/>
          <w:szCs w:val="24"/>
          <w:u w:val="single"/>
        </w:rPr>
        <w:t>)</w:t>
      </w:r>
      <w:r w:rsidRPr="00E0778E">
        <w:rPr>
          <w:rFonts w:ascii="Times New Roman" w:eastAsia="Times New Roman" w:hAnsi="Times New Roman"/>
          <w:sz w:val="24"/>
          <w:szCs w:val="24"/>
          <w:u w:val="single"/>
        </w:rPr>
        <w:t>, et al</w:t>
      </w:r>
      <w:r>
        <w:rPr>
          <w:rFonts w:ascii="Times New Roman" w:eastAsia="Times New Roman" w:hAnsi="Times New Roman"/>
          <w:sz w:val="24"/>
          <w:szCs w:val="24"/>
        </w:rPr>
        <w:t xml:space="preserve">., the Appellate Court of Illinois, First Judicial District (Second Division) held (3 to 0), </w:t>
      </w:r>
      <w:r w:rsidRPr="00F50861">
        <w:rPr>
          <w:rFonts w:ascii="Times New Roman" w:hAnsi="Times New Roman"/>
          <w:sz w:val="24"/>
          <w:szCs w:val="24"/>
        </w:rPr>
        <w:t>2021 IL App (1st) 182525</w:t>
      </w:r>
      <w:r>
        <w:rPr>
          <w:rFonts w:ascii="Times New Roman" w:eastAsia="Times New Roman" w:hAnsi="Times New Roman"/>
          <w:sz w:val="24"/>
          <w:szCs w:val="24"/>
        </w:rPr>
        <w:t xml:space="preserve">, that career firefighter Robert Pyzyna, who retired in Nov. 2017 when he reached mandatory retirement age 65, and began drawing a pension, should have not receive unemployment benefits since he was never “laid off.”  This is an important decision for Illinois fire service since it resolves an issue of “first impression.”  Note: </w:t>
      </w:r>
      <w:proofErr w:type="gramStart"/>
      <w:r>
        <w:rPr>
          <w:rFonts w:ascii="Times New Roman" w:eastAsia="Times New Roman" w:hAnsi="Times New Roman"/>
          <w:sz w:val="24"/>
          <w:szCs w:val="24"/>
        </w:rPr>
        <w:t>His is</w:t>
      </w:r>
      <w:proofErr w:type="gramEnd"/>
      <w:r>
        <w:rPr>
          <w:rFonts w:ascii="Times New Roman" w:eastAsia="Times New Roman" w:hAnsi="Times New Roman"/>
          <w:sz w:val="24"/>
          <w:szCs w:val="24"/>
        </w:rPr>
        <w:t xml:space="preserve"> current weekly income is $1,467.27; the unemployment benefit would have been $449.  While an Illinois statute would normally prevent applicants </w:t>
      </w:r>
      <w:proofErr w:type="gramStart"/>
      <w:r>
        <w:rPr>
          <w:rFonts w:ascii="Times New Roman" w:eastAsia="Times New Roman" w:hAnsi="Times New Roman"/>
          <w:sz w:val="24"/>
          <w:szCs w:val="24"/>
        </w:rPr>
        <w:t>to receive</w:t>
      </w:r>
      <w:proofErr w:type="gramEnd"/>
      <w:r>
        <w:rPr>
          <w:rFonts w:ascii="Times New Roman" w:eastAsia="Times New Roman" w:hAnsi="Times New Roman"/>
          <w:sz w:val="24"/>
          <w:szCs w:val="24"/>
        </w:rPr>
        <w:t xml:space="preserve"> unemployment comp if they are already making is excess of that amount, the Court decision was issued so other FF will not pursue such claims. </w:t>
      </w:r>
    </w:p>
    <w:p w14:paraId="686F31F9" w14:textId="77777777" w:rsidR="00831847" w:rsidRDefault="00831847" w:rsidP="00831847">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D82A44">
        <w:rPr>
          <w:rFonts w:ascii="Times New Roman" w:eastAsia="Times New Roman" w:hAnsi="Times New Roman"/>
          <w:sz w:val="24"/>
          <w:szCs w:val="24"/>
        </w:rPr>
        <w:t>Here, the issue raised in this appeal is one of first impression, and we find that resolving the issue would aid IDES officials in performing their duties and in properly applying the law. As such, we find that the</w:t>
      </w:r>
      <w:r>
        <w:rPr>
          <w:rFonts w:ascii="Times New Roman" w:eastAsia="Times New Roman" w:hAnsi="Times New Roman"/>
          <w:sz w:val="24"/>
          <w:szCs w:val="24"/>
        </w:rPr>
        <w:t xml:space="preserve"> </w:t>
      </w:r>
      <w:r w:rsidRPr="00D82A44">
        <w:rPr>
          <w:rFonts w:ascii="Times New Roman" w:eastAsia="Times New Roman" w:hAnsi="Times New Roman"/>
          <w:sz w:val="24"/>
          <w:szCs w:val="24"/>
        </w:rPr>
        <w:t xml:space="preserve">second prong of the public interest exception is also satisfied. </w:t>
      </w:r>
      <w:r w:rsidRPr="007A0047">
        <w:rPr>
          <w:rFonts w:ascii="Times New Roman" w:hAnsi="Times New Roman"/>
          <w:sz w:val="24"/>
          <w:szCs w:val="24"/>
        </w:rPr>
        <w:t xml:space="preserve">Finally, with respect to the third factor, given the large number of firefighters employed in this state, we believe that absent a ruling on this issue, questions about the interplay between the Fire Protection Act's mandatory retirement provision and the Unemployment Act are likely to </w:t>
      </w:r>
      <w:proofErr w:type="gramStart"/>
      <w:r w:rsidRPr="007A0047">
        <w:rPr>
          <w:rFonts w:ascii="Times New Roman" w:hAnsi="Times New Roman"/>
          <w:sz w:val="24"/>
          <w:szCs w:val="24"/>
        </w:rPr>
        <w:t>reoccur</w:t>
      </w:r>
      <w:proofErr w:type="gramEnd"/>
      <w:r w:rsidRPr="007A0047">
        <w:rPr>
          <w:rFonts w:ascii="Times New Roman" w:hAnsi="Times New Roman"/>
          <w:sz w:val="24"/>
          <w:szCs w:val="24"/>
        </w:rPr>
        <w:t>.</w:t>
      </w:r>
    </w:p>
    <w:p w14:paraId="0CDD0D7A" w14:textId="77777777" w:rsidR="00831847" w:rsidRDefault="00831847" w:rsidP="0083184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175ACA01" w14:textId="77777777" w:rsidR="00831847" w:rsidRPr="00F50861" w:rsidRDefault="00831847" w:rsidP="00831847">
      <w:pPr>
        <w:spacing w:before="100" w:beforeAutospacing="1" w:after="100" w:afterAutospacing="1" w:line="240" w:lineRule="auto"/>
        <w:ind w:left="720"/>
        <w:rPr>
          <w:rFonts w:ascii="Times New Roman" w:hAnsi="Times New Roman"/>
          <w:sz w:val="24"/>
          <w:szCs w:val="24"/>
        </w:rPr>
      </w:pPr>
      <w:r w:rsidRPr="00F50861">
        <w:rPr>
          <w:rFonts w:ascii="Times New Roman" w:hAnsi="Times New Roman"/>
          <w:sz w:val="24"/>
          <w:szCs w:val="24"/>
        </w:rPr>
        <w:t>We conclude that an Illinois firefighter who leaves his or her place of employment upon reaching the mandatory retirement age of 65 does so voluntarily absent good cause attributable to the employer and is not eligible to seek unemployment benefits pursuant to the Unemployment Act. Accordingly, we affirm the circuit court judgment reversing the contrary conclusion reached by the Board in this case.</w:t>
      </w:r>
      <w:r>
        <w:rPr>
          <w:rFonts w:ascii="Times New Roman" w:hAnsi="Times New Roman"/>
          <w:sz w:val="24"/>
          <w:szCs w:val="24"/>
        </w:rPr>
        <w:t xml:space="preserve">” </w:t>
      </w:r>
      <w:hyperlink r:id="rId1239" w:history="1">
        <w:r w:rsidRPr="00AB20E4">
          <w:rPr>
            <w:rStyle w:val="Hyperlink"/>
            <w:sz w:val="24"/>
            <w:szCs w:val="24"/>
          </w:rPr>
          <w:t>https://casetext.com/case/prospect-heights-fire-prot-dist-v-dept-of-empt-sec</w:t>
        </w:r>
      </w:hyperlink>
      <w:r>
        <w:rPr>
          <w:rFonts w:ascii="Times New Roman" w:hAnsi="Times New Roman"/>
          <w:sz w:val="24"/>
          <w:szCs w:val="24"/>
        </w:rPr>
        <w:t xml:space="preserve"> </w:t>
      </w:r>
    </w:p>
    <w:p w14:paraId="040E9525" w14:textId="77777777" w:rsidR="00831847" w:rsidRPr="00D82A44" w:rsidRDefault="00831847" w:rsidP="00831847">
      <w:pPr>
        <w:spacing w:before="100" w:beforeAutospacing="1" w:after="100" w:afterAutospacing="1" w:line="240" w:lineRule="auto"/>
        <w:rPr>
          <w:rFonts w:ascii="Times New Roman" w:eastAsia="Times New Roman" w:hAnsi="Times New Roman"/>
          <w:b/>
          <w:bCs/>
          <w:sz w:val="24"/>
          <w:szCs w:val="24"/>
        </w:rPr>
      </w:pPr>
      <w:r w:rsidRPr="0087635A">
        <w:rPr>
          <w:rFonts w:ascii="Times New Roman" w:hAnsi="Times New Roman"/>
          <w:b/>
          <w:bCs/>
          <w:sz w:val="24"/>
          <w:szCs w:val="24"/>
        </w:rPr>
        <w:t>Legal Lesson Learned:</w:t>
      </w:r>
      <w:r>
        <w:rPr>
          <w:rFonts w:ascii="Times New Roman" w:hAnsi="Times New Roman"/>
          <w:b/>
          <w:bCs/>
          <w:sz w:val="24"/>
          <w:szCs w:val="24"/>
        </w:rPr>
        <w:t xml:space="preserve">  Excellent court decision that hopefully will prevent other Illinois firefighters from pursuing unemployment claims after their retirement at age 65. </w:t>
      </w:r>
    </w:p>
    <w:p w14:paraId="3E7C7067"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 xml:space="preserve">Note – Mandatory Retirement: </w:t>
      </w:r>
    </w:p>
    <w:p w14:paraId="46F0EF97" w14:textId="77777777" w:rsidR="00831847" w:rsidRDefault="00831847" w:rsidP="00831847">
      <w:pPr>
        <w:pStyle w:val="NoSpacing"/>
        <w:ind w:left="720"/>
        <w:rPr>
          <w:rFonts w:ascii="Times New Roman" w:hAnsi="Times New Roman"/>
          <w:sz w:val="24"/>
          <w:szCs w:val="24"/>
        </w:rPr>
      </w:pPr>
    </w:p>
    <w:p w14:paraId="24245B55" w14:textId="77777777" w:rsidR="00831847"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r w:rsidRPr="0087635A">
        <w:rPr>
          <w:rFonts w:ascii="Times New Roman" w:hAnsi="Times New Roman"/>
          <w:color w:val="000000"/>
          <w:sz w:val="24"/>
          <w:szCs w:val="24"/>
        </w:rPr>
        <w:t xml:space="preserve">After Congress in 1996 permitted age caps for police and fire personnel, Chicago restored its mandatory retirement age of 63 for firefighters. Having lost on their ADEA claim, they asserted that their forced retirements violated due process. The appellate panel held that </w:t>
      </w:r>
      <w:proofErr w:type="gramStart"/>
      <w:r w:rsidRPr="0087635A">
        <w:rPr>
          <w:rFonts w:ascii="Times New Roman" w:hAnsi="Times New Roman"/>
          <w:color w:val="000000"/>
          <w:sz w:val="24"/>
          <w:szCs w:val="24"/>
        </w:rPr>
        <w:t>an involuntary</w:t>
      </w:r>
      <w:proofErr w:type="gramEnd"/>
      <w:r w:rsidRPr="0087635A">
        <w:rPr>
          <w:rFonts w:ascii="Times New Roman" w:hAnsi="Times New Roman"/>
          <w:color w:val="000000"/>
          <w:sz w:val="24"/>
          <w:szCs w:val="24"/>
        </w:rPr>
        <w:t xml:space="preserve"> retirement is not a discharge and the bargaining agreement did not give firefighters a protected property interest in continued employment regardless of their age. Minch v. City of Chicago, #05-2702, 2007 U.S. App. Lexis 11260, 181 LRRM (BNA) 3089 (7th Cir.).</w:t>
      </w:r>
      <w:r>
        <w:rPr>
          <w:rFonts w:ascii="Times New Roman" w:hAnsi="Times New Roman"/>
          <w:color w:val="000000"/>
          <w:sz w:val="24"/>
          <w:szCs w:val="24"/>
        </w:rPr>
        <w:t xml:space="preserve">” </w:t>
      </w:r>
      <w:hyperlink r:id="rId1240" w:history="1">
        <w:r w:rsidRPr="00AB20E4">
          <w:rPr>
            <w:rStyle w:val="Hyperlink"/>
            <w:sz w:val="24"/>
            <w:szCs w:val="24"/>
          </w:rPr>
          <w:t>http://www.aele.org/law/Digests/empl6.html</w:t>
        </w:r>
      </w:hyperlink>
      <w:r>
        <w:rPr>
          <w:rFonts w:ascii="Times New Roman" w:hAnsi="Times New Roman"/>
          <w:color w:val="000000"/>
          <w:sz w:val="24"/>
          <w:szCs w:val="24"/>
        </w:rPr>
        <w:t xml:space="preserve"> </w:t>
      </w:r>
    </w:p>
    <w:p w14:paraId="21D09FCD" w14:textId="77777777" w:rsidR="00831847" w:rsidRDefault="00831847" w:rsidP="00831847">
      <w:pPr>
        <w:pStyle w:val="NoSpacing"/>
        <w:ind w:left="720"/>
        <w:rPr>
          <w:rFonts w:ascii="Times New Roman" w:hAnsi="Times New Roman"/>
          <w:color w:val="000000"/>
          <w:sz w:val="24"/>
          <w:szCs w:val="24"/>
        </w:rPr>
      </w:pPr>
    </w:p>
    <w:p w14:paraId="5B8F3FBB" w14:textId="77777777" w:rsidR="00831847"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p>
    <w:p w14:paraId="218CD4FB" w14:textId="77777777" w:rsidR="00831847" w:rsidRDefault="00831847" w:rsidP="00831847">
      <w:pPr>
        <w:pStyle w:val="NoSpacing"/>
        <w:ind w:left="720"/>
        <w:rPr>
          <w:rFonts w:ascii="Times New Roman" w:hAnsi="Times New Roman"/>
          <w:color w:val="000000"/>
          <w:sz w:val="24"/>
          <w:szCs w:val="24"/>
        </w:rPr>
      </w:pPr>
    </w:p>
    <w:p w14:paraId="32D3782D" w14:textId="77777777" w:rsidR="00831847" w:rsidRDefault="00831847" w:rsidP="00831847">
      <w:pPr>
        <w:pStyle w:val="NoSpacing"/>
        <w:ind w:left="720"/>
        <w:rPr>
          <w:rFonts w:ascii="Times New Roman" w:hAnsi="Times New Roman"/>
          <w:sz w:val="24"/>
          <w:szCs w:val="24"/>
        </w:rPr>
      </w:pPr>
      <w:r w:rsidRPr="00990608">
        <w:rPr>
          <w:rFonts w:ascii="Times New Roman" w:hAnsi="Times New Roman"/>
          <w:color w:val="000000"/>
          <w:sz w:val="24"/>
          <w:szCs w:val="24"/>
        </w:rPr>
        <w:t xml:space="preserve">U.S. Department of Interior firefighters: </w:t>
      </w:r>
      <w:r>
        <w:rPr>
          <w:rFonts w:ascii="Times New Roman" w:hAnsi="Times New Roman"/>
          <w:color w:val="000000"/>
          <w:sz w:val="24"/>
          <w:szCs w:val="24"/>
        </w:rPr>
        <w:t>“</w:t>
      </w:r>
      <w:r>
        <w:rPr>
          <w:rFonts w:ascii="Times New Roman" w:hAnsi="Times New Roman"/>
          <w:sz w:val="24"/>
          <w:szCs w:val="24"/>
        </w:rPr>
        <w:t xml:space="preserve">The </w:t>
      </w:r>
      <w:r w:rsidRPr="00990608">
        <w:rPr>
          <w:rFonts w:ascii="Times New Roman" w:hAnsi="Times New Roman"/>
          <w:sz w:val="24"/>
          <w:szCs w:val="24"/>
        </w:rPr>
        <w:t>mandatory retirement age, with</w:t>
      </w:r>
      <w:r>
        <w:rPr>
          <w:rFonts w:ascii="Times New Roman" w:hAnsi="Times New Roman"/>
          <w:sz w:val="24"/>
          <w:szCs w:val="24"/>
        </w:rPr>
        <w:t xml:space="preserve"> </w:t>
      </w:r>
      <w:r w:rsidRPr="00990608">
        <w:rPr>
          <w:rFonts w:ascii="Times New Roman" w:hAnsi="Times New Roman"/>
          <w:sz w:val="24"/>
          <w:szCs w:val="24"/>
        </w:rPr>
        <w:t>20 years covered service</w:t>
      </w:r>
      <w:r>
        <w:rPr>
          <w:rFonts w:ascii="Times New Roman" w:hAnsi="Times New Roman"/>
          <w:sz w:val="24"/>
          <w:szCs w:val="24"/>
        </w:rPr>
        <w:t xml:space="preserve"> </w:t>
      </w:r>
      <w:r w:rsidRPr="00990608">
        <w:rPr>
          <w:rFonts w:ascii="Times New Roman" w:hAnsi="Times New Roman"/>
          <w:sz w:val="24"/>
          <w:szCs w:val="24"/>
        </w:rPr>
        <w:t>is:</w:t>
      </w:r>
      <w:r>
        <w:rPr>
          <w:rFonts w:ascii="Times New Roman" w:hAnsi="Times New Roman"/>
          <w:sz w:val="24"/>
          <w:szCs w:val="24"/>
        </w:rPr>
        <w:t xml:space="preserve"> </w:t>
      </w:r>
      <w:r w:rsidRPr="00990608">
        <w:rPr>
          <w:rFonts w:ascii="Times New Roman" w:hAnsi="Times New Roman"/>
          <w:sz w:val="24"/>
          <w:szCs w:val="24"/>
        </w:rPr>
        <w:t>Firefighters and Law Enforcement Officers - age 57, or any</w:t>
      </w:r>
      <w:r>
        <w:rPr>
          <w:rFonts w:ascii="Times New Roman" w:hAnsi="Times New Roman"/>
          <w:sz w:val="24"/>
          <w:szCs w:val="24"/>
        </w:rPr>
        <w:t xml:space="preserve"> </w:t>
      </w:r>
      <w:r w:rsidRPr="00990608">
        <w:rPr>
          <w:rFonts w:ascii="Times New Roman" w:hAnsi="Times New Roman"/>
          <w:sz w:val="24"/>
          <w:szCs w:val="24"/>
        </w:rPr>
        <w:t>time after age 57, upon reaching 20 years</w:t>
      </w:r>
      <w:r>
        <w:rPr>
          <w:rFonts w:ascii="Times New Roman" w:hAnsi="Times New Roman"/>
          <w:sz w:val="24"/>
          <w:szCs w:val="24"/>
        </w:rPr>
        <w:t xml:space="preserve"> </w:t>
      </w:r>
      <w:r w:rsidRPr="00990608">
        <w:rPr>
          <w:rFonts w:ascii="Times New Roman" w:hAnsi="Times New Roman"/>
          <w:sz w:val="24"/>
          <w:szCs w:val="24"/>
        </w:rPr>
        <w:t>covered service.</w:t>
      </w:r>
      <w:r>
        <w:rPr>
          <w:rFonts w:ascii="Times New Roman" w:hAnsi="Times New Roman"/>
          <w:sz w:val="24"/>
          <w:szCs w:val="24"/>
        </w:rPr>
        <w:t xml:space="preserve">” </w:t>
      </w:r>
      <w:hyperlink r:id="rId1241" w:history="1">
        <w:r w:rsidRPr="00AB20E4">
          <w:rPr>
            <w:rStyle w:val="Hyperlink"/>
            <w:sz w:val="24"/>
            <w:szCs w:val="24"/>
          </w:rPr>
          <w:t>https://www.doi.gov/sites/doi.gov/files/migrated/flert/training/upload/General-FF-LEO-Retirement-Information-Pamphlet.pdf</w:t>
        </w:r>
      </w:hyperlink>
      <w:r>
        <w:rPr>
          <w:rFonts w:ascii="Times New Roman" w:hAnsi="Times New Roman"/>
          <w:sz w:val="24"/>
          <w:szCs w:val="24"/>
        </w:rPr>
        <w:t xml:space="preserve"> </w:t>
      </w:r>
    </w:p>
    <w:p w14:paraId="75B62BC3" w14:textId="77777777" w:rsidR="00831847" w:rsidRDefault="00831847" w:rsidP="00831847">
      <w:pPr>
        <w:pStyle w:val="NoSpacing"/>
        <w:ind w:left="720"/>
        <w:rPr>
          <w:rFonts w:ascii="Times New Roman" w:hAnsi="Times New Roman"/>
          <w:color w:val="000000"/>
          <w:sz w:val="24"/>
          <w:szCs w:val="24"/>
        </w:rPr>
      </w:pPr>
    </w:p>
    <w:p w14:paraId="68B9DABD" w14:textId="77777777" w:rsidR="00831847" w:rsidRPr="00990608"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p>
    <w:p w14:paraId="3D096B16" w14:textId="77777777" w:rsidR="00831847" w:rsidRPr="00990608" w:rsidRDefault="00831847" w:rsidP="00831847">
      <w:pPr>
        <w:pStyle w:val="NoSpacing"/>
        <w:rPr>
          <w:rFonts w:ascii="Times New Roman" w:hAnsi="Times New Roman"/>
          <w:sz w:val="24"/>
          <w:szCs w:val="24"/>
        </w:rPr>
      </w:pPr>
    </w:p>
    <w:p w14:paraId="2D5E1072"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March 6, 2012: “</w:t>
      </w:r>
      <w:r w:rsidRPr="00990608">
        <w:rPr>
          <w:rFonts w:ascii="Times New Roman" w:hAnsi="Times New Roman"/>
          <w:sz w:val="24"/>
          <w:szCs w:val="24"/>
        </w:rPr>
        <w:t xml:space="preserve">Many states made changes to retirement benefits for uniformed personnel in the wake of the recession. Table 2 shows changes made in 12 states from 2010 to 2011. Some moved to 25 and out plans; new uniformed hires in various classes of employment in Arizona, Connecticut, Hawaii, Maryland, New Jersey, and Rhode Island were placed in 25 and out plans. In 2010 new hazardous duty personnel in Louisiana began in a 25 and out plan, as well. Six other states set higher retirement ages and/or service requirements for some uniformed personnel. Florida, for example, adopted a 60/30 plan for its new special risk class employees and Massachusetts increased retirement ages for three out of four types of law enforcement employees to 50 and 55. In Illinois new uniformed employees of Downstate and Chicago will be required to reach the age of 55 and have at least 10 </w:t>
      </w:r>
      <w:proofErr w:type="spellStart"/>
      <w:r w:rsidRPr="00990608">
        <w:rPr>
          <w:rFonts w:ascii="Times New Roman" w:hAnsi="Times New Roman"/>
          <w:sz w:val="24"/>
          <w:szCs w:val="24"/>
        </w:rPr>
        <w:t>years service</w:t>
      </w:r>
      <w:proofErr w:type="spellEnd"/>
      <w:r w:rsidRPr="00990608">
        <w:rPr>
          <w:rFonts w:ascii="Times New Roman" w:hAnsi="Times New Roman"/>
          <w:sz w:val="24"/>
          <w:szCs w:val="24"/>
        </w:rPr>
        <w:t xml:space="preserve"> to claim a pension.</w:t>
      </w:r>
      <w:r>
        <w:rPr>
          <w:rFonts w:ascii="Times New Roman" w:hAnsi="Times New Roman"/>
          <w:sz w:val="24"/>
          <w:szCs w:val="24"/>
        </w:rPr>
        <w:t xml:space="preserve">” </w:t>
      </w:r>
      <w:hyperlink r:id="rId1242" w:history="1">
        <w:r w:rsidRPr="00AB20E4">
          <w:rPr>
            <w:rStyle w:val="Hyperlink"/>
            <w:sz w:val="24"/>
            <w:szCs w:val="24"/>
          </w:rPr>
          <w:t>https://cbcny.org/research/pension-reform-firefighters-will-not-be-running-burning-buildings-age-65</w:t>
        </w:r>
      </w:hyperlink>
      <w:r>
        <w:rPr>
          <w:rFonts w:ascii="Times New Roman" w:hAnsi="Times New Roman"/>
          <w:sz w:val="24"/>
          <w:szCs w:val="24"/>
        </w:rPr>
        <w:t xml:space="preserve"> </w:t>
      </w:r>
    </w:p>
    <w:p w14:paraId="0CA9BD02" w14:textId="77777777" w:rsidR="00831847" w:rsidRDefault="00831847" w:rsidP="00831847">
      <w:pPr>
        <w:pStyle w:val="NoSpacing"/>
        <w:ind w:left="720"/>
        <w:rPr>
          <w:rFonts w:ascii="Times New Roman" w:hAnsi="Times New Roman"/>
          <w:sz w:val="24"/>
          <w:szCs w:val="24"/>
        </w:rPr>
      </w:pPr>
    </w:p>
    <w:p w14:paraId="66C4B62A" w14:textId="77777777" w:rsidR="00831847" w:rsidRPr="00990608" w:rsidRDefault="00831847" w:rsidP="00831847">
      <w:pPr>
        <w:pStyle w:val="NoSpacing"/>
        <w:ind w:left="720"/>
        <w:rPr>
          <w:rFonts w:ascii="Times New Roman" w:hAnsi="Times New Roman"/>
          <w:sz w:val="24"/>
          <w:szCs w:val="24"/>
        </w:rPr>
      </w:pPr>
      <w:r>
        <w:rPr>
          <w:rFonts w:ascii="Times New Roman" w:hAnsi="Times New Roman"/>
          <w:sz w:val="24"/>
          <w:szCs w:val="24"/>
        </w:rPr>
        <w:t>***</w:t>
      </w:r>
    </w:p>
    <w:p w14:paraId="238D4B31" w14:textId="77777777" w:rsidR="00831847" w:rsidRPr="00990608" w:rsidRDefault="00831847" w:rsidP="00831847">
      <w:pPr>
        <w:pStyle w:val="NoSpacing"/>
        <w:ind w:left="720"/>
        <w:rPr>
          <w:rFonts w:ascii="Times New Roman" w:hAnsi="Times New Roman"/>
          <w:sz w:val="24"/>
          <w:szCs w:val="24"/>
        </w:rPr>
      </w:pPr>
    </w:p>
    <w:p w14:paraId="7E8A59C8"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 xml:space="preserve">March 2, 2002:  </w:t>
      </w:r>
      <w:r w:rsidRPr="0087635A">
        <w:rPr>
          <w:rFonts w:ascii="Times New Roman" w:hAnsi="Times New Roman"/>
          <w:sz w:val="24"/>
          <w:szCs w:val="24"/>
        </w:rPr>
        <w:t>Federal firefighters have a mandatory retirement age of 57. In California the age is 60 and in Chicago, it's 63. Connecticut state law puts the issue under local control.</w:t>
      </w:r>
      <w:r>
        <w:rPr>
          <w:rFonts w:ascii="Times New Roman" w:hAnsi="Times New Roman"/>
          <w:sz w:val="24"/>
          <w:szCs w:val="24"/>
        </w:rPr>
        <w:t xml:space="preserve"> </w:t>
      </w:r>
      <w:hyperlink r:id="rId1243" w:history="1">
        <w:r w:rsidRPr="00AB20E4">
          <w:rPr>
            <w:rStyle w:val="Hyperlink"/>
            <w:sz w:val="24"/>
            <w:szCs w:val="24"/>
          </w:rPr>
          <w:t>https://www.courant.com/news/connecticut/hc-xpm-2002-03-02-0203020027-story.html</w:t>
        </w:r>
      </w:hyperlink>
      <w:r>
        <w:rPr>
          <w:rFonts w:ascii="Times New Roman" w:hAnsi="Times New Roman"/>
          <w:sz w:val="24"/>
          <w:szCs w:val="24"/>
        </w:rPr>
        <w:t xml:space="preserve"> </w:t>
      </w:r>
    </w:p>
    <w:p w14:paraId="1CA35CB2" w14:textId="77777777" w:rsidR="00831847" w:rsidRDefault="00831847" w:rsidP="00831847">
      <w:pPr>
        <w:pStyle w:val="NoSpacing"/>
        <w:ind w:left="720"/>
        <w:rPr>
          <w:rFonts w:ascii="Times New Roman" w:hAnsi="Times New Roman"/>
          <w:sz w:val="24"/>
          <w:szCs w:val="24"/>
        </w:rPr>
      </w:pPr>
    </w:p>
    <w:p w14:paraId="4227E910"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w:t>
      </w:r>
    </w:p>
    <w:p w14:paraId="1024E0D5" w14:textId="77777777" w:rsidR="00831847" w:rsidRDefault="00831847" w:rsidP="00831847">
      <w:pPr>
        <w:pStyle w:val="NoSpacing"/>
        <w:rPr>
          <w:rFonts w:ascii="Times New Roman" w:hAnsi="Times New Roman"/>
          <w:sz w:val="24"/>
          <w:szCs w:val="24"/>
        </w:rPr>
      </w:pPr>
    </w:p>
    <w:p w14:paraId="71D212EF" w14:textId="77777777" w:rsidR="00831847" w:rsidRPr="006E0916" w:rsidRDefault="00831847" w:rsidP="00831847">
      <w:pPr>
        <w:pStyle w:val="NoSpacing"/>
        <w:ind w:left="720"/>
        <w:rPr>
          <w:rFonts w:ascii="Times New Roman" w:hAnsi="Times New Roman"/>
          <w:sz w:val="24"/>
          <w:szCs w:val="24"/>
        </w:rPr>
      </w:pPr>
      <w:r>
        <w:rPr>
          <w:rFonts w:ascii="Times New Roman" w:hAnsi="Times New Roman"/>
          <w:sz w:val="24"/>
          <w:szCs w:val="24"/>
        </w:rPr>
        <w:t>Aug. 3, 2001: “</w:t>
      </w:r>
      <w:r w:rsidRPr="006E0916">
        <w:rPr>
          <w:rFonts w:ascii="Times New Roman" w:hAnsi="Times New Roman"/>
          <w:sz w:val="24"/>
          <w:szCs w:val="24"/>
        </w:rPr>
        <w:t xml:space="preserve">Federal firefighters will be able to stay on the job until they are 57, under a law President Bush signed on Monday. Under </w:t>
      </w:r>
      <w:proofErr w:type="gramStart"/>
      <w:r w:rsidRPr="006E0916">
        <w:rPr>
          <w:rFonts w:ascii="Times New Roman" w:hAnsi="Times New Roman"/>
          <w:sz w:val="24"/>
          <w:szCs w:val="24"/>
        </w:rPr>
        <w:t>a previous</w:t>
      </w:r>
      <w:proofErr w:type="gramEnd"/>
      <w:r w:rsidRPr="006E0916">
        <w:rPr>
          <w:rFonts w:ascii="Times New Roman" w:hAnsi="Times New Roman"/>
          <w:sz w:val="24"/>
          <w:szCs w:val="24"/>
        </w:rPr>
        <w:t xml:space="preserve"> law, the mandatory retirement age for firefighters was 55. Firefighters must serve for 20 years to receive full retirement benefits.</w:t>
      </w:r>
      <w:r>
        <w:rPr>
          <w:rFonts w:ascii="Times New Roman" w:hAnsi="Times New Roman"/>
          <w:sz w:val="24"/>
          <w:szCs w:val="24"/>
        </w:rPr>
        <w:t xml:space="preserve">” </w:t>
      </w:r>
      <w:hyperlink r:id="rId1244" w:history="1">
        <w:r w:rsidRPr="00AB20E4">
          <w:rPr>
            <w:rStyle w:val="Hyperlink"/>
            <w:sz w:val="24"/>
            <w:szCs w:val="24"/>
          </w:rPr>
          <w:t>https://www.govexec.com/pay-benefits/2001/08/firefighter-retirement-age-rises-to-57/9846/</w:t>
        </w:r>
      </w:hyperlink>
      <w:r>
        <w:rPr>
          <w:rFonts w:ascii="Times New Roman" w:hAnsi="Times New Roman"/>
          <w:sz w:val="24"/>
          <w:szCs w:val="24"/>
        </w:rPr>
        <w:t xml:space="preserve"> </w:t>
      </w:r>
    </w:p>
    <w:p w14:paraId="02649629" w14:textId="67E15864" w:rsidR="00831847" w:rsidRDefault="00831847" w:rsidP="00EF1133">
      <w:pPr>
        <w:rPr>
          <w:rFonts w:ascii="Arial Black" w:hAnsi="Arial Black"/>
          <w:b/>
          <w:sz w:val="24"/>
          <w:szCs w:val="24"/>
        </w:rPr>
      </w:pPr>
    </w:p>
    <w:p w14:paraId="4B08E8B2" w14:textId="2FD3C284" w:rsidR="00831847" w:rsidRDefault="00831847" w:rsidP="00EF1133">
      <w:pPr>
        <w:rPr>
          <w:rFonts w:ascii="Arial Black" w:hAnsi="Arial Black"/>
          <w:b/>
          <w:sz w:val="24"/>
          <w:szCs w:val="24"/>
        </w:rPr>
      </w:pPr>
    </w:p>
    <w:p w14:paraId="69DA113A" w14:textId="77777777" w:rsidR="00831847" w:rsidRDefault="00831847" w:rsidP="00EF1133">
      <w:pPr>
        <w:rPr>
          <w:rFonts w:ascii="Arial Black" w:hAnsi="Arial Black"/>
          <w:b/>
          <w:sz w:val="24"/>
          <w:szCs w:val="24"/>
        </w:rPr>
      </w:pPr>
    </w:p>
    <w:p w14:paraId="7CBC5F7A" w14:textId="0A65C499" w:rsidR="00831847" w:rsidRDefault="00831847"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7</w:t>
      </w:r>
    </w:p>
    <w:p w14:paraId="26B5369C" w14:textId="77777777" w:rsidR="00831847" w:rsidRPr="00BC1F41" w:rsidRDefault="00831847" w:rsidP="00831847">
      <w:pPr>
        <w:pStyle w:val="NoSpacing"/>
        <w:rPr>
          <w:rFonts w:ascii="Arial Black" w:hAnsi="Arial Black"/>
          <w:sz w:val="28"/>
          <w:szCs w:val="28"/>
        </w:rPr>
      </w:pPr>
      <w:r>
        <w:rPr>
          <w:rFonts w:ascii="Arial Black" w:hAnsi="Arial Black"/>
          <w:sz w:val="28"/>
          <w:szCs w:val="28"/>
        </w:rPr>
        <w:t xml:space="preserve">PA:  INDEMNIFICATION DENIED – OFF DUTY PD CHASED &amp; PUNCHED 16-YR-OLD SMASHED PUMPKINS AT PD HOME </w:t>
      </w:r>
    </w:p>
    <w:p w14:paraId="10FCC555" w14:textId="77777777" w:rsidR="00831847" w:rsidRPr="00D91F44" w:rsidRDefault="00831847" w:rsidP="00831847">
      <w:pPr>
        <w:pStyle w:val="Heading1"/>
        <w:rPr>
          <w:b w:val="0"/>
          <w:bCs w:val="0"/>
          <w:sz w:val="24"/>
          <w:szCs w:val="24"/>
        </w:rPr>
      </w:pPr>
      <w:r>
        <w:rPr>
          <w:b w:val="0"/>
          <w:bCs w:val="0"/>
          <w:sz w:val="24"/>
          <w:szCs w:val="24"/>
        </w:rPr>
        <w:t xml:space="preserve">On March 10, 2021, in </w:t>
      </w:r>
      <w:r w:rsidRPr="00BC1F41">
        <w:rPr>
          <w:b w:val="0"/>
          <w:bCs w:val="0"/>
          <w:sz w:val="24"/>
          <w:szCs w:val="24"/>
          <w:u w:val="single"/>
        </w:rPr>
        <w:t>Shane McGuire, on behalf of Colby Neidig v. City of Pittsburg</w:t>
      </w:r>
      <w:r>
        <w:rPr>
          <w:b w:val="0"/>
          <w:bCs w:val="0"/>
          <w:sz w:val="24"/>
          <w:szCs w:val="24"/>
        </w:rPr>
        <w:t>, the Commonwealth Court of Pennsylvania, held (3 to 0) that an off-duty police officer (Neidig) was not entitled to indemnification by the City since he was not acting “within the score of his office or duties when he chased a 16-year-old juvenile (McGuire) who had smashed pumpkins on the officer’s front porch, punched the juvenile in the face, and held him until police arrived.    The lawsuit proceeded in Federal court for violation of juvenile’s federal constitutional rights under 42 U.S.C. 1983 and the jury “</w:t>
      </w:r>
      <w:r w:rsidRPr="00396E8F">
        <w:rPr>
          <w:b w:val="0"/>
          <w:bCs w:val="0"/>
          <w:sz w:val="24"/>
          <w:szCs w:val="24"/>
        </w:rPr>
        <w:t>specifically concluded that Neidig acted under color of state law</w:t>
      </w:r>
      <w:r>
        <w:rPr>
          <w:b w:val="0"/>
          <w:bCs w:val="0"/>
          <w:sz w:val="24"/>
          <w:szCs w:val="24"/>
        </w:rPr>
        <w:t>.” The juvenile then sued City of Pittsburg (with officer’s permission) in state court to pay the judgment, but after a 4-day jury trial, the jury found City had no obligation to indemnify the officer, “</w:t>
      </w:r>
      <w:r w:rsidRPr="00D91F44">
        <w:rPr>
          <w:b w:val="0"/>
          <w:bCs w:val="0"/>
          <w:sz w:val="24"/>
          <w:szCs w:val="24"/>
        </w:rPr>
        <w:t>concluding that Neidig had not acted within the scope of his duties when he struck McGuire.</w:t>
      </w:r>
      <w:r>
        <w:rPr>
          <w:b w:val="0"/>
          <w:bCs w:val="0"/>
          <w:sz w:val="24"/>
          <w:szCs w:val="24"/>
        </w:rPr>
        <w:t>”</w:t>
      </w:r>
    </w:p>
    <w:p w14:paraId="4C2B0C5E" w14:textId="77777777" w:rsidR="00831847" w:rsidRPr="001A09F3" w:rsidRDefault="00831847" w:rsidP="00831847">
      <w:pPr>
        <w:pStyle w:val="Heading1"/>
        <w:ind w:left="720"/>
        <w:rPr>
          <w:b w:val="0"/>
          <w:bCs w:val="0"/>
          <w:sz w:val="24"/>
          <w:szCs w:val="24"/>
        </w:rPr>
      </w:pPr>
      <w:r>
        <w:rPr>
          <w:b w:val="0"/>
          <w:bCs w:val="0"/>
          <w:sz w:val="24"/>
          <w:szCs w:val="24"/>
        </w:rPr>
        <w:t>“</w:t>
      </w:r>
      <w:r w:rsidRPr="00DF22C9">
        <w:rPr>
          <w:b w:val="0"/>
          <w:bCs w:val="0"/>
          <w:sz w:val="24"/>
          <w:szCs w:val="24"/>
        </w:rPr>
        <w:t>This Court emphasizes</w:t>
      </w:r>
      <w:r>
        <w:rPr>
          <w:b w:val="0"/>
          <w:bCs w:val="0"/>
          <w:sz w:val="24"/>
          <w:szCs w:val="24"/>
        </w:rPr>
        <w:t xml:space="preserve"> </w:t>
      </w:r>
      <w:r w:rsidRPr="00DF22C9">
        <w:rPr>
          <w:b w:val="0"/>
          <w:bCs w:val="0"/>
          <w:sz w:val="24"/>
          <w:szCs w:val="24"/>
        </w:rPr>
        <w:t>that</w:t>
      </w:r>
      <w:r>
        <w:rPr>
          <w:b w:val="0"/>
          <w:bCs w:val="0"/>
          <w:sz w:val="24"/>
          <w:szCs w:val="24"/>
        </w:rPr>
        <w:t xml:space="preserve"> </w:t>
      </w:r>
      <w:r w:rsidRPr="00DF22C9">
        <w:rPr>
          <w:b w:val="0"/>
          <w:bCs w:val="0"/>
          <w:sz w:val="24"/>
          <w:szCs w:val="24"/>
        </w:rPr>
        <w:t xml:space="preserve">under Section 8548(a) of the </w:t>
      </w:r>
      <w:r>
        <w:rPr>
          <w:b w:val="0"/>
          <w:bCs w:val="0"/>
          <w:sz w:val="24"/>
          <w:szCs w:val="24"/>
        </w:rPr>
        <w:t xml:space="preserve">[PA] </w:t>
      </w:r>
      <w:r w:rsidRPr="00DF22C9">
        <w:rPr>
          <w:b w:val="0"/>
          <w:bCs w:val="0"/>
          <w:sz w:val="24"/>
          <w:szCs w:val="24"/>
        </w:rPr>
        <w:t>Tort Claims Act, a municipality need only indemnify an employee if that employee was acting within the scope of his office or duties</w:t>
      </w:r>
      <w:r>
        <w:rPr>
          <w:b w:val="0"/>
          <w:bCs w:val="0"/>
          <w:sz w:val="24"/>
          <w:szCs w:val="24"/>
        </w:rPr>
        <w:t xml:space="preserve"> </w:t>
      </w:r>
      <w:r w:rsidRPr="00DF22C9">
        <w:rPr>
          <w:b w:val="0"/>
          <w:bCs w:val="0"/>
          <w:sz w:val="24"/>
          <w:szCs w:val="24"/>
        </w:rPr>
        <w:t>at the time the employee caused the injury.</w:t>
      </w:r>
      <w:r>
        <w:rPr>
          <w:b w:val="0"/>
          <w:bCs w:val="0"/>
          <w:sz w:val="24"/>
          <w:szCs w:val="24"/>
        </w:rPr>
        <w:t xml:space="preserve"> </w:t>
      </w:r>
      <w:r w:rsidRPr="00DF22C9">
        <w:rPr>
          <w:b w:val="0"/>
          <w:bCs w:val="0"/>
          <w:sz w:val="24"/>
          <w:szCs w:val="24"/>
        </w:rPr>
        <w:t>Because the jury properly</w:t>
      </w:r>
      <w:r>
        <w:rPr>
          <w:b w:val="0"/>
          <w:bCs w:val="0"/>
          <w:sz w:val="24"/>
          <w:szCs w:val="24"/>
        </w:rPr>
        <w:t xml:space="preserve"> </w:t>
      </w:r>
      <w:r w:rsidRPr="00DF22C9">
        <w:rPr>
          <w:b w:val="0"/>
          <w:bCs w:val="0"/>
          <w:sz w:val="24"/>
          <w:szCs w:val="24"/>
        </w:rPr>
        <w:t>determined that Neidig acted beyond the scope of his employment, and the jury did not reach the willful misconduct issue, this Court need not address McGuire’s willful misconduct arguments</w:t>
      </w:r>
      <w:r>
        <w:rPr>
          <w:b w:val="0"/>
          <w:bCs w:val="0"/>
          <w:sz w:val="24"/>
          <w:szCs w:val="24"/>
        </w:rPr>
        <w:t xml:space="preserve">…. </w:t>
      </w:r>
      <w:r w:rsidRPr="00DF22C9">
        <w:rPr>
          <w:b w:val="0"/>
          <w:bCs w:val="0"/>
          <w:sz w:val="24"/>
          <w:szCs w:val="24"/>
        </w:rPr>
        <w:t xml:space="preserve">For </w:t>
      </w:r>
      <w:proofErr w:type="gramStart"/>
      <w:r w:rsidRPr="00DF22C9">
        <w:rPr>
          <w:b w:val="0"/>
          <w:bCs w:val="0"/>
          <w:sz w:val="24"/>
          <w:szCs w:val="24"/>
        </w:rPr>
        <w:t>all of</w:t>
      </w:r>
      <w:proofErr w:type="gramEnd"/>
      <w:r w:rsidRPr="00DF22C9">
        <w:rPr>
          <w:b w:val="0"/>
          <w:bCs w:val="0"/>
          <w:sz w:val="24"/>
          <w:szCs w:val="24"/>
        </w:rPr>
        <w:t xml:space="preserve"> the above reasons, the trial court’s order is </w:t>
      </w:r>
      <w:proofErr w:type="gramStart"/>
      <w:r w:rsidRPr="00DF22C9">
        <w:rPr>
          <w:b w:val="0"/>
          <w:bCs w:val="0"/>
          <w:sz w:val="24"/>
          <w:szCs w:val="24"/>
        </w:rPr>
        <w:t>affirmed.</w:t>
      </w:r>
      <w:r>
        <w:rPr>
          <w:b w:val="0"/>
          <w:bCs w:val="0"/>
          <w:sz w:val="24"/>
          <w:szCs w:val="24"/>
        </w:rPr>
        <w:t>”</w:t>
      </w:r>
      <w:proofErr w:type="gramEnd"/>
      <w:r>
        <w:rPr>
          <w:b w:val="0"/>
          <w:bCs w:val="0"/>
          <w:sz w:val="24"/>
          <w:szCs w:val="24"/>
        </w:rPr>
        <w:t xml:space="preserve"> </w:t>
      </w:r>
      <w:hyperlink r:id="rId1245" w:history="1">
        <w:r w:rsidRPr="001A09F3">
          <w:rPr>
            <w:rStyle w:val="Hyperlink"/>
            <w:b w:val="0"/>
            <w:bCs w:val="0"/>
            <w:sz w:val="24"/>
            <w:szCs w:val="24"/>
          </w:rPr>
          <w:t>http://www.pacourts.us/assets/opinions/Commonwealth/out/141CD20_3-10-21.pdf?cb=1</w:t>
        </w:r>
      </w:hyperlink>
      <w:r w:rsidRPr="001A09F3">
        <w:rPr>
          <w:b w:val="0"/>
          <w:bCs w:val="0"/>
          <w:sz w:val="24"/>
          <w:szCs w:val="24"/>
        </w:rPr>
        <w:t xml:space="preserve"> </w:t>
      </w:r>
    </w:p>
    <w:p w14:paraId="29F1601F" w14:textId="77777777" w:rsidR="00831847" w:rsidRDefault="00831847" w:rsidP="00831847">
      <w:pPr>
        <w:rPr>
          <w:rFonts w:ascii="Times New Roman" w:hAnsi="Times New Roman"/>
          <w:b/>
          <w:bCs/>
          <w:sz w:val="24"/>
          <w:szCs w:val="24"/>
        </w:rPr>
      </w:pPr>
      <w:r w:rsidRPr="00BA4149">
        <w:rPr>
          <w:rFonts w:ascii="Times New Roman" w:hAnsi="Times New Roman"/>
          <w:b/>
          <w:bCs/>
          <w:sz w:val="24"/>
          <w:szCs w:val="24"/>
        </w:rPr>
        <w:t>Legal Lesson Learned:</w:t>
      </w:r>
      <w:r>
        <w:rPr>
          <w:rFonts w:ascii="Times New Roman" w:hAnsi="Times New Roman"/>
          <w:b/>
          <w:bCs/>
          <w:sz w:val="24"/>
          <w:szCs w:val="24"/>
        </w:rPr>
        <w:t xml:space="preserve">  Indemnification is important for emergency responders, including Fire &amp; EMS.   This decision was reportedly a matter of “</w:t>
      </w:r>
      <w:proofErr w:type="gramStart"/>
      <w:r>
        <w:rPr>
          <w:rFonts w:ascii="Times New Roman" w:hAnsi="Times New Roman"/>
          <w:b/>
          <w:bCs/>
          <w:sz w:val="24"/>
          <w:szCs w:val="24"/>
        </w:rPr>
        <w:t>first-impression</w:t>
      </w:r>
      <w:proofErr w:type="gramEnd"/>
      <w:r>
        <w:rPr>
          <w:rFonts w:ascii="Times New Roman" w:hAnsi="Times New Roman"/>
          <w:b/>
          <w:bCs/>
          <w:sz w:val="24"/>
          <w:szCs w:val="24"/>
        </w:rPr>
        <w:t xml:space="preserve">” in PA; in Ohio, the Ohio Supreme Court held that individuals who successfully sue police officers may not then sue the officer’s city to collect the judgment, only the officers may sue. </w:t>
      </w:r>
      <w:r w:rsidRPr="00E3717D">
        <w:rPr>
          <w:rFonts w:ascii="Times New Roman" w:hAnsi="Times New Roman"/>
          <w:b/>
          <w:bCs/>
          <w:sz w:val="24"/>
          <w:szCs w:val="24"/>
          <w:u w:val="single"/>
        </w:rPr>
        <w:t>Ayers v. Cleveland</w:t>
      </w:r>
      <w:r w:rsidRPr="00E3717D">
        <w:rPr>
          <w:rFonts w:ascii="Times New Roman" w:hAnsi="Times New Roman"/>
          <w:b/>
          <w:bCs/>
          <w:sz w:val="24"/>
          <w:szCs w:val="24"/>
        </w:rPr>
        <w:t>, 160 Ohio St.3d 288, 2020-Ohio-1047 (March 25, 2020),</w:t>
      </w:r>
      <w:r w:rsidRPr="00E3717D">
        <w:t xml:space="preserve"> </w:t>
      </w:r>
      <w:hyperlink r:id="rId1246" w:history="1">
        <w:r w:rsidRPr="007A690F">
          <w:rPr>
            <w:rStyle w:val="Hyperlink"/>
            <w:rFonts w:ascii="Times New Roman" w:hAnsi="Times New Roman"/>
            <w:sz w:val="24"/>
            <w:szCs w:val="24"/>
          </w:rPr>
          <w:t>https://www.supremecourt.ohio.gov/rod/docs/pdf/0/2020/2020-Ohio-1047.pdf</w:t>
        </w:r>
      </w:hyperlink>
      <w:r>
        <w:rPr>
          <w:rStyle w:val="Hyperlink"/>
          <w:sz w:val="24"/>
          <w:szCs w:val="24"/>
        </w:rPr>
        <w:t xml:space="preserve"> </w:t>
      </w:r>
    </w:p>
    <w:p w14:paraId="2C015357" w14:textId="77777777" w:rsidR="00831847" w:rsidRDefault="00831847" w:rsidP="00831847">
      <w:pPr>
        <w:pStyle w:val="Heading1"/>
        <w:ind w:left="720"/>
        <w:rPr>
          <w:b w:val="0"/>
          <w:bCs w:val="0"/>
          <w:sz w:val="24"/>
          <w:szCs w:val="24"/>
        </w:rPr>
      </w:pPr>
      <w:r w:rsidRPr="00E3717D">
        <w:rPr>
          <w:b w:val="0"/>
          <w:bCs w:val="0"/>
          <w:sz w:val="24"/>
          <w:szCs w:val="24"/>
        </w:rPr>
        <w:t xml:space="preserve">Note: </w:t>
      </w:r>
    </w:p>
    <w:p w14:paraId="49E6EE6C" w14:textId="77777777" w:rsidR="00831847" w:rsidRPr="00E3717D" w:rsidRDefault="00831847" w:rsidP="00831847">
      <w:pPr>
        <w:pStyle w:val="Heading1"/>
        <w:ind w:left="720"/>
        <w:rPr>
          <w:b w:val="0"/>
          <w:bCs w:val="0"/>
          <w:sz w:val="24"/>
          <w:szCs w:val="24"/>
        </w:rPr>
      </w:pPr>
      <w:r>
        <w:rPr>
          <w:b w:val="0"/>
          <w:bCs w:val="0"/>
          <w:sz w:val="24"/>
          <w:szCs w:val="24"/>
        </w:rPr>
        <w:t xml:space="preserve">On Dec. 16, 2020, the </w:t>
      </w:r>
      <w:r w:rsidRPr="00E3717D">
        <w:rPr>
          <w:b w:val="0"/>
          <w:bCs w:val="0"/>
          <w:sz w:val="24"/>
          <w:szCs w:val="24"/>
        </w:rPr>
        <w:t xml:space="preserve">City of Cincinnati confirmed it will indemnify Dispatchers and Police sued in death of high school students who called 911 when back seat of </w:t>
      </w:r>
      <w:proofErr w:type="spellStart"/>
      <w:r w:rsidRPr="00E3717D">
        <w:rPr>
          <w:b w:val="0"/>
          <w:bCs w:val="0"/>
          <w:sz w:val="24"/>
          <w:szCs w:val="24"/>
        </w:rPr>
        <w:t>mini van</w:t>
      </w:r>
      <w:proofErr w:type="spellEnd"/>
      <w:r w:rsidRPr="00E3717D">
        <w:rPr>
          <w:b w:val="0"/>
          <w:bCs w:val="0"/>
          <w:sz w:val="24"/>
          <w:szCs w:val="24"/>
        </w:rPr>
        <w:t xml:space="preserve"> trapped him.  </w:t>
      </w:r>
      <w:r>
        <w:rPr>
          <w:b w:val="0"/>
          <w:bCs w:val="0"/>
          <w:sz w:val="24"/>
          <w:szCs w:val="24"/>
        </w:rPr>
        <w:t>“</w:t>
      </w:r>
      <w:r w:rsidRPr="00E3717D">
        <w:rPr>
          <w:b w:val="0"/>
          <w:bCs w:val="0"/>
          <w:sz w:val="24"/>
          <w:szCs w:val="24"/>
        </w:rPr>
        <w:t>Kyle Plush wrongful death lawsuit can proceed against 5 Cincinnati employees, appeals court says.</w:t>
      </w:r>
      <w:r>
        <w:rPr>
          <w:b w:val="0"/>
          <w:bCs w:val="0"/>
          <w:sz w:val="24"/>
          <w:szCs w:val="24"/>
        </w:rPr>
        <w:t xml:space="preserve">” </w:t>
      </w:r>
      <w:hyperlink r:id="rId1247" w:history="1">
        <w:r w:rsidRPr="00C72D50">
          <w:rPr>
            <w:rStyle w:val="Hyperlink"/>
            <w:b w:val="0"/>
            <w:bCs w:val="0"/>
            <w:sz w:val="24"/>
            <w:szCs w:val="24"/>
          </w:rPr>
          <w:t>https://www.fox19.com/2020/12/16/kyle-plush-wrongful-death-lawsuit-can-proceed-against-cincinnati-employees-appeals-court-says/</w:t>
        </w:r>
      </w:hyperlink>
      <w:r w:rsidRPr="00E3717D">
        <w:rPr>
          <w:b w:val="0"/>
          <w:bCs w:val="0"/>
          <w:sz w:val="24"/>
          <w:szCs w:val="24"/>
        </w:rPr>
        <w:t xml:space="preserve"> “The city indemnifies employees in their official capacities, meaning the city would be liable for any judgment or settlement involving the employees in their official capacities.” </w:t>
      </w:r>
    </w:p>
    <w:p w14:paraId="3B557974" w14:textId="77777777" w:rsidR="00831847" w:rsidRDefault="00831847" w:rsidP="00831847">
      <w:pPr>
        <w:pStyle w:val="NoSpacing"/>
        <w:ind w:left="720"/>
        <w:rPr>
          <w:rFonts w:ascii="Times New Roman" w:hAnsi="Times New Roman"/>
          <w:sz w:val="24"/>
          <w:szCs w:val="24"/>
        </w:rPr>
      </w:pPr>
      <w:r w:rsidRPr="003F7A4F">
        <w:rPr>
          <w:rFonts w:ascii="Times New Roman" w:hAnsi="Times New Roman"/>
          <w:sz w:val="24"/>
          <w:szCs w:val="24"/>
        </w:rPr>
        <w:t xml:space="preserve">See </w:t>
      </w:r>
      <w:r w:rsidRPr="005C57DC">
        <w:rPr>
          <w:rFonts w:ascii="Times New Roman" w:hAnsi="Times New Roman"/>
          <w:sz w:val="24"/>
          <w:szCs w:val="24"/>
        </w:rPr>
        <w:t xml:space="preserve">Ohio Supreme Court decision in </w:t>
      </w:r>
      <w:r w:rsidRPr="005C57DC">
        <w:rPr>
          <w:rFonts w:ascii="Times New Roman" w:hAnsi="Times New Roman"/>
          <w:sz w:val="24"/>
          <w:szCs w:val="24"/>
          <w:u w:val="single"/>
        </w:rPr>
        <w:t>Ayers v. Cleveland</w:t>
      </w:r>
      <w:r w:rsidRPr="003F7A4F">
        <w:rPr>
          <w:rFonts w:ascii="Times New Roman" w:hAnsi="Times New Roman"/>
          <w:sz w:val="24"/>
          <w:szCs w:val="24"/>
        </w:rPr>
        <w:t xml:space="preserve">, 160 Ohio St.3d 288, 2020-Ohio-1047 (March 25, 2020), </w:t>
      </w:r>
      <w:r>
        <w:rPr>
          <w:rFonts w:ascii="Times New Roman" w:hAnsi="Times New Roman"/>
          <w:sz w:val="24"/>
          <w:szCs w:val="24"/>
        </w:rPr>
        <w:t xml:space="preserve">holding that only employees can sue for indemnification; they cannot assign that right to the person who won a judgment against the employee [in this case, David Ayers, who after a decade in prison was released on a federal habeas corpus claim in 2011]. </w:t>
      </w:r>
    </w:p>
    <w:p w14:paraId="59213746" w14:textId="77777777" w:rsidR="00831847" w:rsidRDefault="00831847" w:rsidP="00831847">
      <w:pPr>
        <w:pStyle w:val="NoSpacing"/>
        <w:ind w:firstLine="720"/>
        <w:rPr>
          <w:rFonts w:ascii="Times New Roman" w:hAnsi="Times New Roman"/>
          <w:sz w:val="24"/>
          <w:szCs w:val="24"/>
        </w:rPr>
      </w:pPr>
      <w:hyperlink r:id="rId1248" w:history="1">
        <w:r w:rsidRPr="006A29A3">
          <w:rPr>
            <w:rStyle w:val="Hyperlink"/>
            <w:sz w:val="24"/>
            <w:szCs w:val="24"/>
          </w:rPr>
          <w:t>https://www.supremecourt.ohio.gov/rod/docs/pdf/0/2020/2020-Ohio-1047.pdf</w:t>
        </w:r>
      </w:hyperlink>
      <w:r w:rsidRPr="003F7A4F">
        <w:rPr>
          <w:rFonts w:ascii="Times New Roman" w:hAnsi="Times New Roman"/>
          <w:sz w:val="24"/>
          <w:szCs w:val="24"/>
        </w:rPr>
        <w:t xml:space="preserve"> </w:t>
      </w:r>
    </w:p>
    <w:p w14:paraId="6A5253FD" w14:textId="77777777" w:rsidR="00831847" w:rsidRPr="003F7A4F" w:rsidRDefault="00831847" w:rsidP="00831847">
      <w:pPr>
        <w:pStyle w:val="NoSpacing"/>
        <w:ind w:firstLine="720"/>
        <w:rPr>
          <w:rFonts w:ascii="Times New Roman" w:hAnsi="Times New Roman"/>
          <w:sz w:val="24"/>
          <w:szCs w:val="24"/>
        </w:rPr>
      </w:pPr>
    </w:p>
    <w:p w14:paraId="736D0FC3" w14:textId="77777777" w:rsidR="00831847" w:rsidRPr="00263A1A" w:rsidRDefault="00831847" w:rsidP="00831847">
      <w:pPr>
        <w:ind w:left="1440"/>
        <w:rPr>
          <w:rFonts w:ascii="Times New Roman" w:hAnsi="Times New Roman"/>
          <w:sz w:val="24"/>
          <w:szCs w:val="24"/>
        </w:rPr>
      </w:pPr>
      <w:r>
        <w:rPr>
          <w:rFonts w:ascii="Times New Roman" w:hAnsi="Times New Roman"/>
          <w:sz w:val="24"/>
          <w:szCs w:val="24"/>
        </w:rPr>
        <w:t>“</w:t>
      </w:r>
      <w:r w:rsidRPr="003F7A4F">
        <w:rPr>
          <w:rFonts w:ascii="Times New Roman" w:hAnsi="Times New Roman"/>
          <w:sz w:val="24"/>
          <w:szCs w:val="24"/>
        </w:rPr>
        <w:t xml:space="preserve">After a trial that involved only claims against </w:t>
      </w:r>
      <w:r>
        <w:rPr>
          <w:rFonts w:ascii="Times New Roman" w:hAnsi="Times New Roman"/>
          <w:sz w:val="24"/>
          <w:szCs w:val="24"/>
        </w:rPr>
        <w:t xml:space="preserve">[Detectives] </w:t>
      </w:r>
      <w:proofErr w:type="spellStart"/>
      <w:r w:rsidRPr="003F7A4F">
        <w:rPr>
          <w:rFonts w:ascii="Times New Roman" w:hAnsi="Times New Roman"/>
          <w:sz w:val="24"/>
          <w:szCs w:val="24"/>
        </w:rPr>
        <w:t>Cipo</w:t>
      </w:r>
      <w:proofErr w:type="spellEnd"/>
      <w:r w:rsidRPr="003F7A4F">
        <w:rPr>
          <w:rFonts w:ascii="Times New Roman" w:hAnsi="Times New Roman"/>
          <w:sz w:val="24"/>
          <w:szCs w:val="24"/>
        </w:rPr>
        <w:t xml:space="preserve"> and Kovach, the jury returned a verdict in Ayers’s favor finding that </w:t>
      </w:r>
      <w:proofErr w:type="spellStart"/>
      <w:r w:rsidRPr="003F7A4F">
        <w:rPr>
          <w:rFonts w:ascii="Times New Roman" w:hAnsi="Times New Roman"/>
          <w:sz w:val="24"/>
          <w:szCs w:val="24"/>
        </w:rPr>
        <w:t>Cipo</w:t>
      </w:r>
      <w:proofErr w:type="spellEnd"/>
      <w:r w:rsidRPr="003F7A4F">
        <w:rPr>
          <w:rFonts w:ascii="Times New Roman" w:hAnsi="Times New Roman"/>
          <w:sz w:val="24"/>
          <w:szCs w:val="24"/>
        </w:rPr>
        <w:t xml:space="preserve"> and Kovach had violated Ayers’s federal constitutional rights. The district court entered a judgment against the detectives in the amount of $13,210,000 and later increased the amount by awarding costs and attorney fees. The detectives twice offered to assign to Ayers any indemnification claims that they might have against the city in exchange for an agreement by Ayers to forgo collection efforts against the detectives personally. Ayers rejected each offer.</w:t>
      </w:r>
      <w:r>
        <w:rPr>
          <w:rFonts w:ascii="Times New Roman" w:hAnsi="Times New Roman"/>
          <w:sz w:val="24"/>
          <w:szCs w:val="24"/>
        </w:rPr>
        <w:t xml:space="preserve"> *** [Ayers filed lawsuit in Ohio. </w:t>
      </w:r>
      <w:r w:rsidRPr="003F7A4F">
        <w:rPr>
          <w:rFonts w:ascii="Times New Roman" w:hAnsi="Times New Roman"/>
          <w:sz w:val="24"/>
          <w:szCs w:val="24"/>
        </w:rPr>
        <w:t>The common pleas court granted Ayers’s motion for summary judgment after concluding that R.C. 2744.07(A)(2) requires Cleveland to indemnify the officers and pay the judgment.</w:t>
      </w:r>
      <w:r>
        <w:rPr>
          <w:rFonts w:ascii="Times New Roman" w:hAnsi="Times New Roman"/>
          <w:sz w:val="24"/>
          <w:szCs w:val="24"/>
        </w:rPr>
        <w:t xml:space="preserve"> *** </w:t>
      </w:r>
      <w:r w:rsidRPr="00263A1A">
        <w:rPr>
          <w:rFonts w:ascii="Times New Roman" w:hAnsi="Times New Roman"/>
          <w:sz w:val="24"/>
          <w:szCs w:val="24"/>
        </w:rPr>
        <w:t>The Eighth District Court of Appeals reversed in a two-to-one decision. 2017-Ohio-8571, 99 N.E.3d 1269, ¶ 50. The majority concluded that Ayers, as a judgment creditor, does not have standing to bring a private cause of action against the city to enforce the city’s obligations to its employees.</w:t>
      </w:r>
      <w:r>
        <w:rPr>
          <w:rFonts w:ascii="Times New Roman" w:hAnsi="Times New Roman"/>
          <w:sz w:val="24"/>
          <w:szCs w:val="24"/>
        </w:rPr>
        <w:t xml:space="preserve"> *** [Ohio Supreme Court held]</w:t>
      </w:r>
      <w:r w:rsidRPr="00263A1A">
        <w:rPr>
          <w:rFonts w:ascii="Times New Roman" w:hAnsi="Times New Roman"/>
          <w:sz w:val="24"/>
          <w:szCs w:val="24"/>
        </w:rPr>
        <w:t>Based on the unambiguous language of the statute, which serves only to indemnify an employee</w:t>
      </w:r>
      <w:r>
        <w:rPr>
          <w:rFonts w:ascii="Times New Roman" w:hAnsi="Times New Roman"/>
          <w:sz w:val="24"/>
          <w:szCs w:val="24"/>
        </w:rPr>
        <w:t xml:space="preserve"> </w:t>
      </w:r>
      <w:r w:rsidRPr="00263A1A">
        <w:rPr>
          <w:rFonts w:ascii="Times New Roman" w:hAnsi="Times New Roman"/>
          <w:sz w:val="24"/>
          <w:szCs w:val="24"/>
        </w:rPr>
        <w:t>and does not vest any rights in third parties connected to the employee, we conclude that R.C. 2744.07(A)(2) does not permit a judgment creditor to proceed directly against an indemnitor.</w:t>
      </w:r>
      <w:r>
        <w:rPr>
          <w:rFonts w:ascii="Times New Roman" w:hAnsi="Times New Roman"/>
          <w:sz w:val="24"/>
          <w:szCs w:val="24"/>
        </w:rPr>
        <w:t>”</w:t>
      </w:r>
    </w:p>
    <w:p w14:paraId="3A029989" w14:textId="77777777" w:rsidR="00831847" w:rsidRDefault="00831847" w:rsidP="00831847">
      <w:pPr>
        <w:ind w:left="720"/>
        <w:rPr>
          <w:rFonts w:ascii="Times New Roman" w:hAnsi="Times New Roman"/>
          <w:sz w:val="24"/>
          <w:szCs w:val="24"/>
        </w:rPr>
      </w:pPr>
    </w:p>
    <w:p w14:paraId="10C8F39D" w14:textId="77777777" w:rsidR="00831847" w:rsidRDefault="00831847" w:rsidP="00831847">
      <w:pPr>
        <w:ind w:left="720"/>
        <w:rPr>
          <w:rFonts w:ascii="Times New Roman" w:eastAsia="Times New Roman" w:hAnsi="Times New Roman"/>
          <w:sz w:val="24"/>
          <w:szCs w:val="24"/>
        </w:rPr>
      </w:pPr>
      <w:r w:rsidRPr="007A690F">
        <w:rPr>
          <w:rFonts w:ascii="Times New Roman" w:eastAsia="Times New Roman" w:hAnsi="Times New Roman"/>
          <w:sz w:val="24"/>
          <w:szCs w:val="24"/>
        </w:rPr>
        <w:t xml:space="preserve">See also Ohio Revised Code 2744.07(A)(2) - Defending and indemnifying employees: </w:t>
      </w:r>
      <w:hyperlink r:id="rId1249" w:history="1">
        <w:r w:rsidRPr="006A29A3">
          <w:rPr>
            <w:rStyle w:val="Hyperlink"/>
            <w:sz w:val="24"/>
            <w:szCs w:val="24"/>
          </w:rPr>
          <w:t>http://codes.ohio.gov/orc/2744.07</w:t>
        </w:r>
      </w:hyperlink>
      <w:r>
        <w:rPr>
          <w:rFonts w:ascii="Times New Roman" w:eastAsia="Times New Roman" w:hAnsi="Times New Roman"/>
          <w:sz w:val="24"/>
          <w:szCs w:val="24"/>
        </w:rPr>
        <w:t xml:space="preserve"> </w:t>
      </w:r>
    </w:p>
    <w:p w14:paraId="08369585" w14:textId="77777777" w:rsidR="00831847" w:rsidRPr="003F7A4F" w:rsidRDefault="00831847" w:rsidP="00831847">
      <w:pPr>
        <w:spacing w:before="100" w:beforeAutospacing="1" w:after="100" w:afterAutospacing="1" w:line="240" w:lineRule="auto"/>
        <w:ind w:firstLine="720"/>
        <w:rPr>
          <w:rFonts w:ascii="Times New Roman" w:eastAsia="Times New Roman" w:hAnsi="Times New Roman"/>
          <w:sz w:val="24"/>
          <w:szCs w:val="24"/>
        </w:rPr>
      </w:pPr>
      <w:r w:rsidRPr="003F7A4F">
        <w:rPr>
          <w:rFonts w:ascii="Times New Roman" w:eastAsia="Times New Roman" w:hAnsi="Times New Roman"/>
          <w:sz w:val="24"/>
          <w:szCs w:val="24"/>
        </w:rPr>
        <w:t xml:space="preserve">(A) </w:t>
      </w:r>
    </w:p>
    <w:p w14:paraId="3112CDBC"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sidRPr="003F7A4F">
        <w:rPr>
          <w:rFonts w:ascii="Times New Roman" w:eastAsia="Times New Roman" w:hAnsi="Times New Roman"/>
          <w:sz w:val="24"/>
          <w:szCs w:val="24"/>
        </w:rPr>
        <w:t xml:space="preserve">(1) Except as otherwise provided in division (A)(2) of this section, a political subdivision shall provide for the defense of an employee, in any state or federal court, in any civil action or proceeding which contains an allegation for damages for injury, death, or loss to person or property caused by an act or omission of the employee in connection with a governmental or proprietary function. Amounts expended by a political subdivision in the defense of its employees shall be from funds appropriated for this purpose or from proceeds of insurance. </w:t>
      </w:r>
    </w:p>
    <w:p w14:paraId="396B6489"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3F7A4F">
        <w:rPr>
          <w:rFonts w:ascii="Times New Roman" w:eastAsia="Times New Roman" w:hAnsi="Times New Roman"/>
          <w:sz w:val="24"/>
          <w:szCs w:val="24"/>
        </w:rPr>
        <w:t xml:space="preserve">2) A political subdivision does not have the duty to provide for the defense of an employee under division (A)(1) of this section if any of the following </w:t>
      </w:r>
      <w:proofErr w:type="gramStart"/>
      <w:r w:rsidRPr="003F7A4F">
        <w:rPr>
          <w:rFonts w:ascii="Times New Roman" w:eastAsia="Times New Roman" w:hAnsi="Times New Roman"/>
          <w:sz w:val="24"/>
          <w:szCs w:val="24"/>
        </w:rPr>
        <w:t>apply</w:t>
      </w:r>
      <w:proofErr w:type="gramEnd"/>
      <w:r w:rsidRPr="003F7A4F">
        <w:rPr>
          <w:rFonts w:ascii="Times New Roman" w:eastAsia="Times New Roman" w:hAnsi="Times New Roman"/>
          <w:sz w:val="24"/>
          <w:szCs w:val="24"/>
        </w:rPr>
        <w:t xml:space="preserve">: </w:t>
      </w:r>
    </w:p>
    <w:p w14:paraId="67FCC14C" w14:textId="77777777" w:rsidR="00831847" w:rsidRPr="003F7A4F" w:rsidRDefault="00831847" w:rsidP="00831847">
      <w:pPr>
        <w:spacing w:before="100" w:beforeAutospacing="1" w:after="100" w:afterAutospacing="1" w:line="240" w:lineRule="auto"/>
        <w:ind w:firstLine="720"/>
        <w:rPr>
          <w:rFonts w:ascii="Times New Roman" w:eastAsia="Times New Roman" w:hAnsi="Times New Roman"/>
          <w:sz w:val="24"/>
          <w:szCs w:val="24"/>
        </w:rPr>
      </w:pPr>
      <w:r w:rsidRPr="003F7A4F">
        <w:rPr>
          <w:rFonts w:ascii="Times New Roman" w:eastAsia="Times New Roman" w:hAnsi="Times New Roman"/>
          <w:sz w:val="24"/>
          <w:szCs w:val="24"/>
        </w:rPr>
        <w:t xml:space="preserve">(a) The act or omission occurred while the employee was not acting in good faith. </w:t>
      </w:r>
    </w:p>
    <w:p w14:paraId="66905F2B"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sidRPr="003F7A4F">
        <w:rPr>
          <w:rFonts w:ascii="Times New Roman" w:eastAsia="Times New Roman" w:hAnsi="Times New Roman"/>
          <w:sz w:val="24"/>
          <w:szCs w:val="24"/>
        </w:rPr>
        <w:t xml:space="preserve">(b) The act or omission occurred while the employee was acting manifestly outside the scope of the employee's employment or official responsibilities. </w:t>
      </w:r>
    </w:p>
    <w:p w14:paraId="4B9FD74D" w14:textId="77777777" w:rsidR="00831847" w:rsidRDefault="00831847" w:rsidP="00831847">
      <w:pPr>
        <w:pStyle w:val="NoSpacing"/>
        <w:rPr>
          <w:rFonts w:ascii="Times New Roman" w:hAnsi="Times New Roman"/>
          <w:sz w:val="24"/>
          <w:szCs w:val="24"/>
        </w:rPr>
      </w:pPr>
    </w:p>
    <w:p w14:paraId="4E138747" w14:textId="77777777" w:rsidR="00831847" w:rsidRPr="00831847" w:rsidRDefault="00831847" w:rsidP="00831847">
      <w:pPr>
        <w:pStyle w:val="Heading2"/>
        <w:ind w:left="720"/>
        <w:rPr>
          <w:rFonts w:ascii="Times New Roman" w:hAnsi="Times New Roman"/>
          <w:b w:val="0"/>
          <w:bCs w:val="0"/>
          <w:i w:val="0"/>
          <w:iCs w:val="0"/>
          <w:sz w:val="24"/>
          <w:szCs w:val="24"/>
        </w:rPr>
      </w:pPr>
      <w:r w:rsidRPr="00831847">
        <w:rPr>
          <w:rFonts w:ascii="Times New Roman" w:hAnsi="Times New Roman"/>
          <w:b w:val="0"/>
          <w:bCs w:val="0"/>
          <w:i w:val="0"/>
          <w:iCs w:val="0"/>
          <w:sz w:val="24"/>
          <w:szCs w:val="24"/>
        </w:rPr>
        <w:t>See also:  Ohio Revised Code 9.87 - Indemnification of public officers and employees.</w:t>
      </w:r>
    </w:p>
    <w:p w14:paraId="5E39949E" w14:textId="77777777" w:rsidR="00831847" w:rsidRPr="00831847" w:rsidRDefault="00831847" w:rsidP="00831847">
      <w:pPr>
        <w:ind w:left="720"/>
        <w:rPr>
          <w:rFonts w:ascii="Times New Roman" w:hAnsi="Times New Roman"/>
          <w:sz w:val="24"/>
          <w:szCs w:val="24"/>
        </w:rPr>
      </w:pPr>
      <w:hyperlink r:id="rId1250" w:history="1">
        <w:r w:rsidRPr="00831847">
          <w:rPr>
            <w:rStyle w:val="Hyperlink"/>
            <w:rFonts w:ascii="Times New Roman" w:hAnsi="Times New Roman"/>
            <w:sz w:val="24"/>
            <w:szCs w:val="24"/>
          </w:rPr>
          <w:t>https://codes.ohio.gov/orc/gp9.87</w:t>
        </w:r>
      </w:hyperlink>
      <w:r w:rsidRPr="00831847">
        <w:rPr>
          <w:rFonts w:ascii="Times New Roman" w:hAnsi="Times New Roman"/>
          <w:sz w:val="24"/>
          <w:szCs w:val="24"/>
        </w:rPr>
        <w:t xml:space="preserve"> </w:t>
      </w:r>
    </w:p>
    <w:p w14:paraId="62076BD4" w14:textId="77777777" w:rsidR="00831847" w:rsidRPr="00A30466" w:rsidRDefault="00831847" w:rsidP="00831847">
      <w:pPr>
        <w:spacing w:before="100" w:beforeAutospacing="1" w:after="100" w:afterAutospacing="1" w:line="240" w:lineRule="auto"/>
        <w:ind w:left="1440"/>
        <w:rPr>
          <w:rFonts w:ascii="Times New Roman" w:eastAsia="Times New Roman" w:hAnsi="Times New Roman"/>
          <w:sz w:val="24"/>
          <w:szCs w:val="24"/>
        </w:rPr>
      </w:pPr>
      <w:proofErr w:type="gramStart"/>
      <w:r>
        <w:rPr>
          <w:rFonts w:ascii="Times New Roman" w:eastAsia="Times New Roman" w:hAnsi="Times New Roman"/>
          <w:sz w:val="24"/>
          <w:szCs w:val="24"/>
        </w:rPr>
        <w:t>“</w:t>
      </w:r>
      <w:r w:rsidRPr="00A30466">
        <w:rPr>
          <w:rFonts w:ascii="Times New Roman" w:eastAsia="Times New Roman" w:hAnsi="Times New Roman"/>
          <w:sz w:val="24"/>
          <w:szCs w:val="24"/>
        </w:rPr>
        <w:t>(B) The</w:t>
      </w:r>
      <w:proofErr w:type="gramEnd"/>
      <w:r w:rsidRPr="00A30466">
        <w:rPr>
          <w:rFonts w:ascii="Times New Roman" w:eastAsia="Times New Roman" w:hAnsi="Times New Roman"/>
          <w:sz w:val="24"/>
          <w:szCs w:val="24"/>
        </w:rPr>
        <w:t xml:space="preserve"> state shall not indemnify an officer or employee under any of the following circumstances: </w:t>
      </w:r>
    </w:p>
    <w:p w14:paraId="51C09C93" w14:textId="77777777" w:rsidR="00831847" w:rsidRDefault="00831847" w:rsidP="00831847">
      <w:pPr>
        <w:spacing w:before="100" w:beforeAutospacing="1" w:after="100" w:afterAutospacing="1" w:line="240" w:lineRule="auto"/>
        <w:ind w:left="1440"/>
        <w:rPr>
          <w:rFonts w:ascii="Times New Roman" w:eastAsia="Times New Roman" w:hAnsi="Times New Roman"/>
          <w:sz w:val="24"/>
          <w:szCs w:val="24"/>
        </w:rPr>
      </w:pPr>
      <w:r w:rsidRPr="00A30466">
        <w:rPr>
          <w:rFonts w:ascii="Times New Roman" w:eastAsia="Times New Roman" w:hAnsi="Times New Roman"/>
          <w:sz w:val="24"/>
          <w:szCs w:val="24"/>
        </w:rPr>
        <w:t xml:space="preserve">(2) When the officer or employee acts manifestly outside the scope of the officer's or employee's employment or official responsibilities, with malicious purpose, in bad faith, or in a wanton or reckless manner, as determined by the employer of the officer or employee or by the attorney </w:t>
      </w:r>
      <w:proofErr w:type="gramStart"/>
      <w:r w:rsidRPr="00A30466">
        <w:rPr>
          <w:rFonts w:ascii="Times New Roman" w:eastAsia="Times New Roman" w:hAnsi="Times New Roman"/>
          <w:sz w:val="24"/>
          <w:szCs w:val="24"/>
        </w:rPr>
        <w:t>general.</w:t>
      </w:r>
      <w:r>
        <w:rPr>
          <w:rFonts w:ascii="Times New Roman" w:eastAsia="Times New Roman" w:hAnsi="Times New Roman"/>
          <w:sz w:val="24"/>
          <w:szCs w:val="24"/>
        </w:rPr>
        <w:t>”</w:t>
      </w:r>
      <w:proofErr w:type="gramEnd"/>
    </w:p>
    <w:p w14:paraId="4E0B7E19" w14:textId="77777777" w:rsidR="00831847" w:rsidRDefault="00831847" w:rsidP="00EF1133">
      <w:pPr>
        <w:rPr>
          <w:rFonts w:ascii="Arial Black" w:hAnsi="Arial Black"/>
          <w:b/>
          <w:sz w:val="24"/>
          <w:szCs w:val="24"/>
        </w:rPr>
      </w:pPr>
    </w:p>
    <w:p w14:paraId="7C51AFC5" w14:textId="77777777" w:rsidR="00831847" w:rsidRDefault="00831847" w:rsidP="00EF1133">
      <w:pPr>
        <w:rPr>
          <w:rFonts w:ascii="Arial Black" w:hAnsi="Arial Black"/>
          <w:b/>
          <w:sz w:val="24"/>
          <w:szCs w:val="24"/>
        </w:rPr>
      </w:pPr>
    </w:p>
    <w:p w14:paraId="6A2B6C76" w14:textId="77777777" w:rsidR="00B03268" w:rsidRDefault="00B03268" w:rsidP="00EF1133">
      <w:pPr>
        <w:rPr>
          <w:rFonts w:ascii="Arial Black" w:hAnsi="Arial Black"/>
          <w:b/>
          <w:sz w:val="24"/>
          <w:szCs w:val="24"/>
        </w:rPr>
      </w:pPr>
    </w:p>
    <w:p w14:paraId="7F7F002D" w14:textId="77777777" w:rsidR="00B03268" w:rsidRDefault="00B03268" w:rsidP="00EF1133">
      <w:pPr>
        <w:rPr>
          <w:rFonts w:ascii="Arial Black" w:hAnsi="Arial Black"/>
          <w:b/>
          <w:sz w:val="24"/>
          <w:szCs w:val="24"/>
        </w:rPr>
      </w:pPr>
    </w:p>
    <w:p w14:paraId="5F6646DF" w14:textId="3FF75820"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6</w:t>
      </w:r>
    </w:p>
    <w:p w14:paraId="3BC4ABE8" w14:textId="77777777" w:rsidR="00CD5950" w:rsidRPr="00E6324D" w:rsidRDefault="00CD5950" w:rsidP="00CD5950">
      <w:pPr>
        <w:spacing w:before="100" w:beforeAutospacing="1" w:after="100" w:afterAutospacing="1" w:line="240" w:lineRule="auto"/>
        <w:rPr>
          <w:rFonts w:ascii="Arial Black" w:hAnsi="Arial Black"/>
          <w:sz w:val="28"/>
          <w:szCs w:val="28"/>
        </w:rPr>
      </w:pPr>
      <w:bookmarkStart w:id="233" w:name="_Hlk66946865"/>
      <w:r>
        <w:rPr>
          <w:rFonts w:ascii="Arial Black" w:hAnsi="Arial Black"/>
          <w:sz w:val="28"/>
          <w:szCs w:val="28"/>
        </w:rPr>
        <w:t>WA: FF HEART ATTACK - STATUTORY PRESUMPTION – LATER MORE STENTS - ALSO COVERED, ATTORNEY FEES</w:t>
      </w:r>
    </w:p>
    <w:p w14:paraId="0303AC44" w14:textId="77777777" w:rsidR="00CD5950" w:rsidRDefault="00CD5950" w:rsidP="00CD5950">
      <w:pPr>
        <w:spacing w:before="100" w:beforeAutospacing="1" w:after="100" w:afterAutospacing="1" w:line="240" w:lineRule="auto"/>
        <w:rPr>
          <w:rFonts w:ascii="Times New Roman" w:hAnsi="Times New Roman"/>
          <w:sz w:val="24"/>
          <w:szCs w:val="24"/>
        </w:rPr>
      </w:pPr>
      <w:r w:rsidRPr="00750087">
        <w:rPr>
          <w:rFonts w:ascii="Times New Roman" w:hAnsi="Times New Roman"/>
          <w:sz w:val="24"/>
          <w:szCs w:val="24"/>
        </w:rPr>
        <w:t xml:space="preserve">On Feb. 9, 2021, in </w:t>
      </w:r>
      <w:r w:rsidRPr="00750087">
        <w:rPr>
          <w:rFonts w:ascii="Times New Roman" w:hAnsi="Times New Roman"/>
          <w:sz w:val="24"/>
          <w:szCs w:val="24"/>
          <w:u w:val="single"/>
        </w:rPr>
        <w:t xml:space="preserve">Calvin Johnson v. Department </w:t>
      </w:r>
      <w:r>
        <w:rPr>
          <w:rFonts w:ascii="Times New Roman" w:hAnsi="Times New Roman"/>
          <w:sz w:val="24"/>
          <w:szCs w:val="24"/>
          <w:u w:val="single"/>
        </w:rPr>
        <w:t>o</w:t>
      </w:r>
      <w:r w:rsidRPr="00750087">
        <w:rPr>
          <w:rFonts w:ascii="Times New Roman" w:hAnsi="Times New Roman"/>
          <w:sz w:val="24"/>
          <w:szCs w:val="24"/>
          <w:u w:val="single"/>
        </w:rPr>
        <w:t xml:space="preserve">f Labor </w:t>
      </w:r>
      <w:r>
        <w:rPr>
          <w:rFonts w:ascii="Times New Roman" w:hAnsi="Times New Roman"/>
          <w:sz w:val="24"/>
          <w:szCs w:val="24"/>
          <w:u w:val="single"/>
        </w:rPr>
        <w:t>A</w:t>
      </w:r>
      <w:r w:rsidRPr="00750087">
        <w:rPr>
          <w:rFonts w:ascii="Times New Roman" w:hAnsi="Times New Roman"/>
          <w:sz w:val="24"/>
          <w:szCs w:val="24"/>
          <w:u w:val="single"/>
        </w:rPr>
        <w:t>nd Industries</w:t>
      </w:r>
      <w:r>
        <w:rPr>
          <w:rFonts w:ascii="Times New Roman" w:hAnsi="Times New Roman"/>
          <w:sz w:val="24"/>
          <w:szCs w:val="24"/>
        </w:rPr>
        <w:t xml:space="preserve">, the Court of Appeals of the State of Washington (Division II) ruled (3 to 0) that the State’s statutory presumption of firefighter heart attacks covers workers comp. not only for the first heart attack in 2015, but also for subsequent need in 2016 for further stents; he is also entitled to reimbursement of attorney fees for his successful appeal of the denial of coverage on the second event. The statutory presumption applies to “any </w:t>
      </w:r>
      <w:r w:rsidRPr="006178BF">
        <w:rPr>
          <w:rFonts w:ascii="Times New Roman" w:hAnsi="Times New Roman"/>
          <w:sz w:val="24"/>
          <w:szCs w:val="24"/>
        </w:rPr>
        <w:t>heart problems</w:t>
      </w:r>
      <w:r>
        <w:rPr>
          <w:rFonts w:ascii="Times New Roman" w:hAnsi="Times New Roman"/>
          <w:sz w:val="24"/>
          <w:szCs w:val="24"/>
        </w:rPr>
        <w:t xml:space="preserve">, </w:t>
      </w:r>
      <w:r w:rsidRPr="006178BF">
        <w:rPr>
          <w:rFonts w:ascii="Times New Roman" w:hAnsi="Times New Roman"/>
          <w:sz w:val="24"/>
          <w:szCs w:val="24"/>
        </w:rPr>
        <w:t>experienced within seventy-two hours of exposure to smoke, fumes, or toxic substances, or experienced within twenty-four hours of strenuous physical exertion due to firefighting activities</w:t>
      </w:r>
      <w:r>
        <w:rPr>
          <w:rFonts w:ascii="Times New Roman" w:hAnsi="Times New Roman"/>
          <w:sz w:val="24"/>
          <w:szCs w:val="24"/>
        </w:rPr>
        <w:t>.”</w:t>
      </w:r>
    </w:p>
    <w:bookmarkEnd w:id="233"/>
    <w:p w14:paraId="3EF45D08"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t>“</w:t>
      </w:r>
      <w:r w:rsidRPr="00880D79">
        <w:rPr>
          <w:rFonts w:ascii="Times New Roman" w:hAnsi="Times New Roman"/>
          <w:sz w:val="24"/>
          <w:szCs w:val="24"/>
        </w:rPr>
        <w:t>On April 15, 2015, Johnson had a myocardial infarction, commonly referred to as a heart attack. He had experienced physical exertion and exposure to diesel fumes before the heart attack. After Johnson filed an accident report to open a claim, the Department applied to Johnson's claim the presumption that heart problems arising 72 hours from exposure to fumes or 24 hours from exertion are occupational diseases. It then allowed Johnson's claim under RCW 51.32.185. The Department provided treatment and other benefits to Johnson. The Department then closed Johnson's claim on January 21, 2016, with no permanent or partial disability.</w:t>
      </w:r>
    </w:p>
    <w:p w14:paraId="3FA1DBD1" w14:textId="77777777" w:rsidR="00CD5950" w:rsidRDefault="00CD5950" w:rsidP="00CD5950">
      <w:pPr>
        <w:pStyle w:val="NoSpacing"/>
        <w:ind w:left="720"/>
        <w:rPr>
          <w:rFonts w:ascii="Times New Roman" w:hAnsi="Times New Roman"/>
          <w:sz w:val="24"/>
          <w:szCs w:val="24"/>
        </w:rPr>
      </w:pPr>
    </w:p>
    <w:p w14:paraId="3F7ABE96"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t>***</w:t>
      </w:r>
    </w:p>
    <w:p w14:paraId="62EE5C47" w14:textId="77777777" w:rsidR="00CD5950" w:rsidRPr="00880D79" w:rsidRDefault="00CD5950" w:rsidP="00CD5950">
      <w:pPr>
        <w:spacing w:before="100" w:beforeAutospacing="1" w:after="100" w:afterAutospacing="1" w:line="240" w:lineRule="auto"/>
        <w:ind w:left="720"/>
        <w:rPr>
          <w:rFonts w:ascii="Times New Roman" w:hAnsi="Times New Roman"/>
          <w:sz w:val="24"/>
          <w:szCs w:val="24"/>
        </w:rPr>
      </w:pPr>
      <w:r w:rsidRPr="00880D79">
        <w:rPr>
          <w:rFonts w:ascii="Times New Roman" w:hAnsi="Times New Roman"/>
          <w:sz w:val="24"/>
          <w:szCs w:val="24"/>
        </w:rPr>
        <w:t>We hold that under the facts presented and the plain language of RCW 51.32.185(9)(a), Johnson's claim to reopen was a claim for benefits entitling him to an award of attorney fees and costs incurred before the Board. Because Johnson is entitled to a fee award, we affirm the superior court's order requiring the Department to pay Johnson reasonable attorney fees and costs incurred before the Board. We also award Johnson reasonable appellate fees and costs as the prevailing party in this appeal.</w:t>
      </w:r>
      <w:r>
        <w:rPr>
          <w:rFonts w:ascii="Times New Roman" w:hAnsi="Times New Roman"/>
          <w:sz w:val="24"/>
          <w:szCs w:val="24"/>
        </w:rPr>
        <w:t xml:space="preserve">” </w:t>
      </w:r>
      <w:bookmarkStart w:id="234" w:name="_Hlk66946891"/>
      <w:r w:rsidR="00F00958">
        <w:fldChar w:fldCharType="begin"/>
      </w:r>
      <w:r w:rsidR="00F00958">
        <w:instrText xml:space="preserve"> HYPERLINK "https://law.justia.com/cases/washington/court-of-appeals-division-ii/2021/53761-3.html" </w:instrText>
      </w:r>
      <w:r w:rsidR="00F00958">
        <w:fldChar w:fldCharType="separate"/>
      </w:r>
      <w:r w:rsidRPr="00FE7279">
        <w:rPr>
          <w:rStyle w:val="Hyperlink"/>
          <w:rFonts w:ascii="Times New Roman" w:hAnsi="Times New Roman"/>
          <w:sz w:val="24"/>
          <w:szCs w:val="24"/>
        </w:rPr>
        <w:t>https://law.justia.com/cases/washington/court-of-appeals-division-ii/2021/53761-3.html</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2C0FBEC4" w14:textId="77777777" w:rsidR="00CD5950" w:rsidRPr="00880D79" w:rsidRDefault="00CD5950" w:rsidP="00CD5950">
      <w:pPr>
        <w:spacing w:before="100" w:beforeAutospacing="1" w:after="100" w:afterAutospacing="1" w:line="240" w:lineRule="auto"/>
        <w:rPr>
          <w:rFonts w:ascii="Times New Roman" w:eastAsia="Times New Roman" w:hAnsi="Times New Roman"/>
          <w:b/>
          <w:bCs/>
          <w:sz w:val="24"/>
          <w:szCs w:val="24"/>
        </w:rPr>
      </w:pPr>
      <w:r w:rsidRPr="00880D79">
        <w:rPr>
          <w:rFonts w:ascii="Times New Roman" w:hAnsi="Times New Roman"/>
          <w:b/>
          <w:bCs/>
          <w:sz w:val="24"/>
          <w:szCs w:val="24"/>
        </w:rPr>
        <w:t>Legal Lesson Learned:</w:t>
      </w:r>
      <w:r>
        <w:rPr>
          <w:rFonts w:ascii="Times New Roman" w:hAnsi="Times New Roman"/>
          <w:b/>
          <w:bCs/>
          <w:sz w:val="24"/>
          <w:szCs w:val="24"/>
        </w:rPr>
        <w:t xml:space="preserve">  The State of Washington’s statutory presumption applies to heart attacks, and subsequent heart problems. </w:t>
      </w:r>
    </w:p>
    <w:p w14:paraId="731638BF" w14:textId="77777777" w:rsidR="00CD5950" w:rsidRDefault="00CD5950" w:rsidP="00CD595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See State of Washington statute: RCW 51.32.185, “Occupational diseases – presumption of occupational disease for firefighters and fire investigators.” </w:t>
      </w:r>
      <w:hyperlink r:id="rId1251" w:history="1">
        <w:r w:rsidRPr="00FE7279">
          <w:rPr>
            <w:rStyle w:val="Hyperlink"/>
            <w:rFonts w:ascii="Times New Roman" w:hAnsi="Times New Roman"/>
            <w:sz w:val="24"/>
            <w:szCs w:val="24"/>
          </w:rPr>
          <w:t>https://apps.leg.wa.gov/rcw/default.aspx?cite=51.32.185</w:t>
        </w:r>
      </w:hyperlink>
      <w:r>
        <w:rPr>
          <w:rFonts w:ascii="Times New Roman" w:hAnsi="Times New Roman"/>
          <w:sz w:val="24"/>
          <w:szCs w:val="24"/>
        </w:rPr>
        <w:t xml:space="preserve"> </w:t>
      </w:r>
    </w:p>
    <w:p w14:paraId="368BE588" w14:textId="77777777" w:rsidR="00CD5950" w:rsidRPr="006178BF" w:rsidRDefault="00CD5950" w:rsidP="00CD5950">
      <w:pPr>
        <w:spacing w:before="100" w:beforeAutospacing="1" w:after="100" w:afterAutospacing="1" w:line="240" w:lineRule="auto"/>
        <w:ind w:left="720"/>
        <w:rPr>
          <w:rFonts w:ascii="Times New Roman" w:hAnsi="Times New Roman"/>
          <w:sz w:val="24"/>
          <w:szCs w:val="24"/>
        </w:rPr>
      </w:pPr>
      <w:r w:rsidRPr="006178BF">
        <w:rPr>
          <w:rFonts w:ascii="Times New Roman" w:hAnsi="Times New Roman"/>
          <w:sz w:val="24"/>
          <w:szCs w:val="24"/>
        </w:rPr>
        <w:t xml:space="preserve">(1)(a) In the case of firefighters as defined in RCW </w:t>
      </w:r>
      <w:hyperlink r:id="rId1252" w:history="1">
        <w:r w:rsidRPr="006178BF">
          <w:rPr>
            <w:rStyle w:val="Hyperlink"/>
            <w:rFonts w:ascii="Times New Roman" w:hAnsi="Times New Roman"/>
            <w:sz w:val="24"/>
            <w:szCs w:val="24"/>
          </w:rPr>
          <w:t>41.26.030</w:t>
        </w:r>
      </w:hyperlink>
      <w:r w:rsidRPr="006178BF">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sidRPr="006178BF">
        <w:rPr>
          <w:rFonts w:ascii="Times New Roman" w:hAnsi="Times New Roman"/>
          <w:sz w:val="24"/>
          <w:szCs w:val="24"/>
        </w:rPr>
        <w:t>i</w:t>
      </w:r>
      <w:proofErr w:type="spellEnd"/>
      <w:r w:rsidRPr="006178BF">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253" w:history="1">
        <w:r w:rsidRPr="006178BF">
          <w:rPr>
            <w:rStyle w:val="Hyperlink"/>
            <w:rFonts w:ascii="Times New Roman" w:hAnsi="Times New Roman"/>
            <w:sz w:val="24"/>
            <w:szCs w:val="24"/>
          </w:rPr>
          <w:t>51.08.140</w:t>
        </w:r>
      </w:hyperlink>
      <w:r w:rsidRPr="006178BF">
        <w:rPr>
          <w:rFonts w:ascii="Times New Roman" w:hAnsi="Times New Roman"/>
          <w:sz w:val="24"/>
          <w:szCs w:val="24"/>
        </w:rPr>
        <w:t xml:space="preserve">.  </w:t>
      </w:r>
    </w:p>
    <w:bookmarkEnd w:id="234"/>
    <w:p w14:paraId="35348AFC" w14:textId="285F4DF1"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5</w:t>
      </w:r>
    </w:p>
    <w:p w14:paraId="3C7D2126" w14:textId="77777777" w:rsidR="00CD5950" w:rsidRPr="00F05C54" w:rsidRDefault="00CD5950" w:rsidP="00CD5950">
      <w:pPr>
        <w:pStyle w:val="NormalWeb"/>
        <w:rPr>
          <w:rFonts w:ascii="Arial Black" w:hAnsi="Arial Black"/>
          <w:sz w:val="28"/>
          <w:szCs w:val="28"/>
        </w:rPr>
      </w:pPr>
      <w:bookmarkStart w:id="235" w:name="_Hlk66947419"/>
      <w:r>
        <w:rPr>
          <w:rFonts w:ascii="Arial Black" w:hAnsi="Arial Black"/>
          <w:sz w:val="28"/>
          <w:szCs w:val="28"/>
        </w:rPr>
        <w:t>NV: LIGHT DUTY - CAPTAIN SHOULDER INJURY - REFUSED LIGHT DUTY AFTER SURGERY – TTD PAYMENTS STOPPED</w:t>
      </w:r>
    </w:p>
    <w:p w14:paraId="276D8919" w14:textId="77777777" w:rsidR="00CD5950" w:rsidRDefault="00CD5950" w:rsidP="00CD5950">
      <w:pPr>
        <w:pStyle w:val="NormalWeb"/>
      </w:pPr>
      <w:r>
        <w:t xml:space="preserve">On Feb. 4, 2021, in </w:t>
      </w:r>
      <w:r w:rsidRPr="00E77AA2">
        <w:rPr>
          <w:u w:val="single"/>
        </w:rPr>
        <w:t>Vance Taylor v. Truckee Meadows Fire Protection District</w:t>
      </w:r>
      <w:r>
        <w:t xml:space="preserve">, the Supreme Court of the State of Nevada, held (3 to 0) that the FD’s offer of temporary, light-duty employment (40-hour work week; secretarial duties) was reasonable and in compliance with Nevada law. even if the new schedule required they get a babysitter, and even if he found the secretarial work to “demeaning or humiliating to him.” The Court held that the workers comp administrator was justified in terminating the firefighter’s temporary total disability benefits. </w:t>
      </w:r>
    </w:p>
    <w:bookmarkEnd w:id="235"/>
    <w:p w14:paraId="303149D7" w14:textId="77777777" w:rsidR="00CD5950" w:rsidRDefault="00CD5950" w:rsidP="00CD5950">
      <w:pPr>
        <w:pStyle w:val="NormalWeb"/>
        <w:ind w:left="720"/>
      </w:pPr>
      <w:r>
        <w:t>“Taylor contends that the temporary, light-duty employment offer of secretarial work was not ‘substantially similar’ to his preinjury position in location, hours, or benefits and was thus not a reasonable offer in accordance with NRS 616C.475. He further argues that the offer was not reasonable because it involved different job duties and a different chain of command than his preinjury position and because it was humiliating work. We disagree.</w:t>
      </w:r>
    </w:p>
    <w:p w14:paraId="6DEA9B10" w14:textId="77777777" w:rsidR="00CD5950" w:rsidRDefault="00CD5950" w:rsidP="00CD5950">
      <w:pPr>
        <w:pStyle w:val="NormalWeb"/>
        <w:ind w:firstLine="720"/>
      </w:pPr>
      <w:r>
        <w:t>***</w:t>
      </w:r>
    </w:p>
    <w:p w14:paraId="388D595A" w14:textId="393DEFD9"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sidRPr="00F05C54">
        <w:rPr>
          <w:rFonts w:ascii="Times New Roman" w:eastAsia="Times New Roman" w:hAnsi="Times New Roman"/>
          <w:sz w:val="24"/>
          <w:szCs w:val="24"/>
        </w:rPr>
        <w:t>Notwithstanding the requirement to consider a light-duty employment offer's schedule, we conclude that the light-duty job offered to Taylor was substantially similar to his preinjury firefighter job in terms of hours. Taylor's preinjury employment required that he work 48 hours on and 96 hours off. The offered light-duty job required Taylor to work a typical administrative schedule, from 8 a.m. to 5 p.m. Monday through</w:t>
      </w:r>
      <w:r>
        <w:rPr>
          <w:rFonts w:ascii="Times New Roman" w:eastAsia="Times New Roman" w:hAnsi="Times New Roman"/>
          <w:sz w:val="24"/>
          <w:szCs w:val="24"/>
        </w:rPr>
        <w:t xml:space="preserve"> </w:t>
      </w:r>
      <w:r w:rsidRPr="00F05C54">
        <w:rPr>
          <w:rFonts w:ascii="Times New Roman" w:eastAsia="Times New Roman" w:hAnsi="Times New Roman"/>
          <w:sz w:val="24"/>
          <w:szCs w:val="24"/>
        </w:rPr>
        <w:t>Friday, totaling 40 hours a week. Although the administrative schedule was not identical to Taylor's firefighter schedule, it also did not require him to work unusual hours or an atypical timetable.</w:t>
      </w:r>
    </w:p>
    <w:p w14:paraId="21A99775" w14:textId="77777777" w:rsidR="00CD5950" w:rsidRDefault="00CD5950" w:rsidP="00CD5950">
      <w:pPr>
        <w:pStyle w:val="NormalWeb"/>
      </w:pPr>
      <w:r>
        <w:tab/>
        <w:t>***</w:t>
      </w:r>
    </w:p>
    <w:p w14:paraId="02241B1B" w14:textId="77777777" w:rsidR="00CD5950" w:rsidRDefault="00CD5950" w:rsidP="00CD5950">
      <w:pPr>
        <w:pStyle w:val="NormalWeb"/>
        <w:ind w:left="720"/>
      </w:pPr>
      <w:r>
        <w:t xml:space="preserve">We further reject Taylor's contention that the administrative position was demeaning or humiliating to him. Secretaries and their assistants perform the necessary everyday tasks that are required to run organizations and businesses. The mere fact that an employee feels that a position is beneath him or her does not make the offer unreasonable or invalid.”  </w:t>
      </w:r>
      <w:bookmarkStart w:id="236" w:name="_Hlk66947486"/>
      <w:r w:rsidR="00F00958">
        <w:fldChar w:fldCharType="begin"/>
      </w:r>
      <w:r w:rsidR="00F00958">
        <w:instrText xml:space="preserve"> HYPERLINK "https://law.justia.com/cases/nevada/supreme-court/2021/78971.html" </w:instrText>
      </w:r>
      <w:r w:rsidR="00F00958">
        <w:fldChar w:fldCharType="separate"/>
      </w:r>
      <w:r w:rsidRPr="00B07E35">
        <w:rPr>
          <w:rStyle w:val="Hyperlink"/>
        </w:rPr>
        <w:t>https://law.justia.com/cases/nevada/supreme-court/2021/78971.html</w:t>
      </w:r>
      <w:r w:rsidR="00F00958">
        <w:rPr>
          <w:rStyle w:val="Hyperlink"/>
        </w:rPr>
        <w:fldChar w:fldCharType="end"/>
      </w:r>
    </w:p>
    <w:p w14:paraId="0E688D60" w14:textId="77777777" w:rsidR="00CD5950" w:rsidRPr="00015E59" w:rsidRDefault="00CD5950" w:rsidP="00CD5950">
      <w:pPr>
        <w:pStyle w:val="NormalWeb"/>
        <w:rPr>
          <w:b/>
          <w:bCs/>
        </w:rPr>
      </w:pPr>
      <w:bookmarkStart w:id="237" w:name="_Hlk66947464"/>
      <w:bookmarkEnd w:id="236"/>
      <w:r w:rsidRPr="00015E59">
        <w:rPr>
          <w:b/>
          <w:bCs/>
        </w:rPr>
        <w:t>Legal Lesson Learned:</w:t>
      </w:r>
      <w:r>
        <w:rPr>
          <w:b/>
          <w:bCs/>
        </w:rPr>
        <w:t xml:space="preserve">  The Nevada statute is designed to ‘encourage” employees to accept light duty and get back to full duty as soon as possible. </w:t>
      </w:r>
    </w:p>
    <w:p w14:paraId="5C045BF0" w14:textId="77777777" w:rsidR="00CD5950" w:rsidRDefault="00CD5950" w:rsidP="00CD5950">
      <w:pPr>
        <w:pStyle w:val="NormalWeb"/>
        <w:ind w:left="720"/>
      </w:pPr>
      <w:r>
        <w:t>Note: The FD offered him same gross wages during light duty.</w:t>
      </w:r>
    </w:p>
    <w:p w14:paraId="2E47EBA4" w14:textId="77777777" w:rsidR="00CD5950" w:rsidRPr="00F05C54" w:rsidRDefault="00CD5950" w:rsidP="00CD5950">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F05C54">
        <w:rPr>
          <w:rFonts w:ascii="Times New Roman" w:eastAsia="Times New Roman" w:hAnsi="Times New Roman"/>
          <w:sz w:val="24"/>
          <w:szCs w:val="24"/>
        </w:rPr>
        <w:t>The gross wage that Taylor would have received if he had accepted the temporary, light-duty employment offer was an average of his past 12-week wage history and amounted to $10,115 a month. Taylor argues that the light-duty employment offer was invalid because it did not include overtime pay and did not provide an ability to bank holiday compensatory time. The record shows, however, that the 12-week period used to calculate the offered wage included two holidays, as well as a significant amount of overtime pay—189 hours to be exact. We conclude that because holiday time and overtime pay were included in this gross</w:t>
      </w:r>
      <w:r>
        <w:rPr>
          <w:rFonts w:ascii="Times New Roman" w:eastAsia="Times New Roman" w:hAnsi="Times New Roman"/>
          <w:sz w:val="24"/>
          <w:szCs w:val="24"/>
        </w:rPr>
        <w:t xml:space="preserve"> </w:t>
      </w:r>
      <w:r w:rsidRPr="00F05C54">
        <w:rPr>
          <w:rFonts w:ascii="Times New Roman" w:eastAsia="Times New Roman" w:hAnsi="Times New Roman"/>
          <w:sz w:val="24"/>
          <w:szCs w:val="24"/>
        </w:rPr>
        <w:t xml:space="preserve">wage, the light-duty position provided a substantially similar wage and the same employment benefits as the preinjury </w:t>
      </w:r>
      <w:proofErr w:type="gramStart"/>
      <w:r w:rsidRPr="00F05C54">
        <w:rPr>
          <w:rFonts w:ascii="Times New Roman" w:eastAsia="Times New Roman" w:hAnsi="Times New Roman"/>
          <w:sz w:val="24"/>
          <w:szCs w:val="24"/>
        </w:rPr>
        <w:t>position.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
    <w:bookmarkEnd w:id="237"/>
    <w:p w14:paraId="5822E6F5" w14:textId="2DA066DE"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4</w:t>
      </w:r>
    </w:p>
    <w:p w14:paraId="11C9155F" w14:textId="77777777" w:rsidR="00CD5950" w:rsidRDefault="00CD5950" w:rsidP="00CD5950">
      <w:pPr>
        <w:rPr>
          <w:rFonts w:ascii="Arial Black" w:hAnsi="Arial Black"/>
          <w:sz w:val="28"/>
          <w:szCs w:val="28"/>
        </w:rPr>
      </w:pPr>
      <w:r>
        <w:rPr>
          <w:rFonts w:ascii="Arial Black" w:hAnsi="Arial Black"/>
          <w:sz w:val="28"/>
          <w:szCs w:val="28"/>
        </w:rPr>
        <w:t>IL: “CATASTROPHIC INJURY” – LIFETIME HEALTH INSURANCE UNDER STATE LAW – CITY CAN’T RE-DEFINE QUALIFICATIONS</w:t>
      </w:r>
    </w:p>
    <w:p w14:paraId="6A45872B" w14:textId="77777777" w:rsidR="00CD5950" w:rsidRDefault="00CD5950" w:rsidP="00CD5950">
      <w:pPr>
        <w:rPr>
          <w:rFonts w:ascii="Times New Roman" w:hAnsi="Times New Roman"/>
          <w:sz w:val="24"/>
          <w:szCs w:val="24"/>
        </w:rPr>
      </w:pPr>
      <w:r>
        <w:rPr>
          <w:rFonts w:ascii="Times New Roman" w:hAnsi="Times New Roman"/>
          <w:sz w:val="24"/>
          <w:szCs w:val="24"/>
        </w:rPr>
        <w:t xml:space="preserve">On Feb. 1, 2021, in </w:t>
      </w:r>
      <w:r w:rsidRPr="009836FC">
        <w:rPr>
          <w:rFonts w:ascii="Times New Roman" w:hAnsi="Times New Roman"/>
          <w:sz w:val="24"/>
          <w:szCs w:val="24"/>
          <w:u w:val="single"/>
        </w:rPr>
        <w:t>IAFF Local 50 v. The City of Peoria</w:t>
      </w:r>
      <w:r>
        <w:rPr>
          <w:rFonts w:ascii="Times New Roman" w:hAnsi="Times New Roman"/>
          <w:sz w:val="24"/>
          <w:szCs w:val="24"/>
        </w:rPr>
        <w:t xml:space="preserve">, the Appellate Court of Illinois (Third District) held (3 to 0) that the Circuit Court of Peoria County properly awarded summary judgment to the IAFF, holding that the City cannot enact an ordinance that seeks to define (and therefore limit) the state’s </w:t>
      </w:r>
      <w:r w:rsidRPr="009836FC">
        <w:rPr>
          <w:rFonts w:ascii="Times New Roman" w:hAnsi="Times New Roman"/>
          <w:sz w:val="24"/>
          <w:szCs w:val="24"/>
        </w:rPr>
        <w:t>Public Safety Employee Benefits Act (Act)</w:t>
      </w:r>
      <w:r>
        <w:rPr>
          <w:rFonts w:ascii="Times New Roman" w:hAnsi="Times New Roman"/>
          <w:sz w:val="24"/>
          <w:szCs w:val="24"/>
        </w:rPr>
        <w:t xml:space="preserve">, particularly after Illinois Supreme Court has already reviewed the state law and its legislative history.  </w:t>
      </w:r>
    </w:p>
    <w:p w14:paraId="085F7C87" w14:textId="77777777"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331B7">
        <w:rPr>
          <w:rFonts w:ascii="Times New Roman" w:eastAsia="Times New Roman" w:hAnsi="Times New Roman"/>
          <w:sz w:val="24"/>
          <w:szCs w:val="24"/>
        </w:rPr>
        <w:t xml:space="preserve">Peoria City Code § 2-350(b) (amended June 12, 2018). </w:t>
      </w:r>
      <w:r>
        <w:rPr>
          <w:rFonts w:ascii="Times New Roman" w:eastAsia="Times New Roman" w:hAnsi="Times New Roman"/>
          <w:sz w:val="24"/>
          <w:szCs w:val="24"/>
        </w:rPr>
        <w:t>‘</w:t>
      </w:r>
      <w:r w:rsidRPr="000331B7">
        <w:rPr>
          <w:rFonts w:ascii="Times New Roman" w:eastAsia="Times New Roman" w:hAnsi="Times New Roman"/>
          <w:sz w:val="24"/>
          <w:szCs w:val="24"/>
        </w:rPr>
        <w:t>Catastrophic injury</w:t>
      </w:r>
      <w:r>
        <w:rPr>
          <w:rFonts w:ascii="Times New Roman" w:eastAsia="Times New Roman" w:hAnsi="Times New Roman"/>
          <w:sz w:val="24"/>
          <w:szCs w:val="24"/>
        </w:rPr>
        <w:t>’</w:t>
      </w:r>
      <w:r w:rsidRPr="000331B7">
        <w:rPr>
          <w:rFonts w:ascii="Times New Roman" w:eastAsia="Times New Roman" w:hAnsi="Times New Roman"/>
          <w:sz w:val="24"/>
          <w:szCs w:val="24"/>
        </w:rPr>
        <w:t xml:space="preserve"> is defined as </w:t>
      </w:r>
      <w:r>
        <w:rPr>
          <w:rFonts w:ascii="Times New Roman" w:eastAsia="Times New Roman" w:hAnsi="Times New Roman"/>
          <w:sz w:val="24"/>
          <w:szCs w:val="24"/>
        </w:rPr>
        <w:t>‘</w:t>
      </w:r>
      <w:r w:rsidRPr="000331B7">
        <w:rPr>
          <w:rFonts w:ascii="Times New Roman" w:eastAsia="Times New Roman" w:hAnsi="Times New Roman"/>
          <w:sz w:val="24"/>
          <w:szCs w:val="24"/>
        </w:rPr>
        <w:t>[a]n injury, the direct and proximate consequences of which permanently prevent an individual from performing any gainful work.</w:t>
      </w:r>
      <w:r>
        <w:rPr>
          <w:rFonts w:ascii="Times New Roman" w:eastAsia="Times New Roman" w:hAnsi="Times New Roman"/>
          <w:sz w:val="24"/>
          <w:szCs w:val="24"/>
        </w:rPr>
        <w:t>’</w:t>
      </w:r>
      <w:r w:rsidRPr="000331B7">
        <w:rPr>
          <w:rFonts w:ascii="Times New Roman" w:eastAsia="Times New Roman" w:hAnsi="Times New Roman"/>
          <w:sz w:val="24"/>
          <w:szCs w:val="24"/>
        </w:rPr>
        <w:t xml:space="preserve"> </w:t>
      </w:r>
      <w:r w:rsidRPr="000331B7">
        <w:rPr>
          <w:rFonts w:ascii="Times New Roman" w:eastAsia="Times New Roman" w:hAnsi="Times New Roman"/>
          <w:i/>
          <w:iCs/>
          <w:sz w:val="24"/>
          <w:szCs w:val="24"/>
        </w:rPr>
        <w:t>Id</w:t>
      </w:r>
      <w:r w:rsidRPr="000331B7">
        <w:rPr>
          <w:rFonts w:ascii="Times New Roman" w:eastAsia="Times New Roman" w:hAnsi="Times New Roman"/>
          <w:sz w:val="24"/>
          <w:szCs w:val="24"/>
        </w:rPr>
        <w:t xml:space="preserve">. </w:t>
      </w:r>
      <w:r>
        <w:rPr>
          <w:rFonts w:ascii="Times New Roman" w:eastAsia="Times New Roman" w:hAnsi="Times New Roman"/>
          <w:sz w:val="24"/>
          <w:szCs w:val="24"/>
        </w:rPr>
        <w:t>‘</w:t>
      </w:r>
      <w:r w:rsidRPr="000331B7">
        <w:rPr>
          <w:rFonts w:ascii="Times New Roman" w:eastAsia="Times New Roman" w:hAnsi="Times New Roman"/>
          <w:sz w:val="24"/>
          <w:szCs w:val="24"/>
        </w:rPr>
        <w:t>Gainful work</w:t>
      </w:r>
      <w:r>
        <w:rPr>
          <w:rFonts w:ascii="Times New Roman" w:eastAsia="Times New Roman" w:hAnsi="Times New Roman"/>
          <w:sz w:val="24"/>
          <w:szCs w:val="24"/>
        </w:rPr>
        <w:t>’</w:t>
      </w:r>
      <w:r w:rsidRPr="000331B7">
        <w:rPr>
          <w:rFonts w:ascii="Times New Roman" w:eastAsia="Times New Roman" w:hAnsi="Times New Roman"/>
          <w:sz w:val="24"/>
          <w:szCs w:val="24"/>
        </w:rPr>
        <w:t xml:space="preserve"> is defined as </w:t>
      </w:r>
      <w:r>
        <w:rPr>
          <w:rFonts w:ascii="Times New Roman" w:eastAsia="Times New Roman" w:hAnsi="Times New Roman"/>
          <w:sz w:val="24"/>
          <w:szCs w:val="24"/>
        </w:rPr>
        <w:t>‘</w:t>
      </w:r>
      <w:r w:rsidRPr="000331B7">
        <w:rPr>
          <w:rFonts w:ascii="Times New Roman" w:eastAsia="Times New Roman" w:hAnsi="Times New Roman"/>
          <w:sz w:val="24"/>
          <w:szCs w:val="24"/>
        </w:rPr>
        <w:t>[f]</w:t>
      </w:r>
      <w:proofErr w:type="spellStart"/>
      <w:r w:rsidRPr="000331B7">
        <w:rPr>
          <w:rFonts w:ascii="Times New Roman" w:eastAsia="Times New Roman" w:hAnsi="Times New Roman"/>
          <w:sz w:val="24"/>
          <w:szCs w:val="24"/>
        </w:rPr>
        <w:t>ull</w:t>
      </w:r>
      <w:proofErr w:type="spellEnd"/>
      <w:r w:rsidRPr="000331B7">
        <w:rPr>
          <w:rFonts w:ascii="Times New Roman" w:eastAsia="Times New Roman" w:hAnsi="Times New Roman"/>
          <w:sz w:val="24"/>
          <w:szCs w:val="24"/>
        </w:rPr>
        <w:t xml:space="preserve">- or part-time </w:t>
      </w:r>
      <w:proofErr w:type="gramStart"/>
      <w:r w:rsidRPr="000331B7">
        <w:rPr>
          <w:rFonts w:ascii="Times New Roman" w:eastAsia="Times New Roman" w:hAnsi="Times New Roman"/>
          <w:sz w:val="24"/>
          <w:szCs w:val="24"/>
        </w:rPr>
        <w:t>activity</w:t>
      </w:r>
      <w:proofErr w:type="gramEnd"/>
      <w:r w:rsidRPr="000331B7">
        <w:rPr>
          <w:rFonts w:ascii="Times New Roman" w:eastAsia="Times New Roman" w:hAnsi="Times New Roman"/>
          <w:sz w:val="24"/>
          <w:szCs w:val="24"/>
        </w:rPr>
        <w:t xml:space="preserve"> that actually is compensated or commonly is compensated.</w:t>
      </w:r>
      <w:r>
        <w:rPr>
          <w:rFonts w:ascii="Times New Roman" w:eastAsia="Times New Roman" w:hAnsi="Times New Roman"/>
          <w:sz w:val="24"/>
          <w:szCs w:val="24"/>
        </w:rPr>
        <w:t>’</w:t>
      </w:r>
      <w:r w:rsidRPr="000331B7">
        <w:rPr>
          <w:rFonts w:ascii="Times New Roman" w:eastAsia="Times New Roman" w:hAnsi="Times New Roman"/>
          <w:sz w:val="24"/>
          <w:szCs w:val="24"/>
        </w:rPr>
        <w:t xml:space="preserve"> </w:t>
      </w:r>
      <w:r w:rsidRPr="000331B7">
        <w:rPr>
          <w:rFonts w:ascii="Times New Roman" w:eastAsia="Times New Roman" w:hAnsi="Times New Roman"/>
          <w:i/>
          <w:iCs/>
          <w:sz w:val="24"/>
          <w:szCs w:val="24"/>
        </w:rPr>
        <w:t>Id</w:t>
      </w:r>
      <w:r w:rsidRPr="000331B7">
        <w:rPr>
          <w:rFonts w:ascii="Times New Roman" w:eastAsia="Times New Roman" w:hAnsi="Times New Roman"/>
          <w:sz w:val="24"/>
          <w:szCs w:val="24"/>
        </w:rPr>
        <w:t xml:space="preserve">. "Injury" is defined </w:t>
      </w:r>
      <w:proofErr w:type="gramStart"/>
      <w:r w:rsidRPr="000331B7">
        <w:rPr>
          <w:rFonts w:ascii="Times New Roman" w:eastAsia="Times New Roman" w:hAnsi="Times New Roman"/>
          <w:sz w:val="24"/>
          <w:szCs w:val="24"/>
        </w:rPr>
        <w:t>as:</w:t>
      </w:r>
      <w:r>
        <w:rPr>
          <w:rFonts w:ascii="Times New Roman" w:eastAsia="Times New Roman" w:hAnsi="Times New Roman"/>
          <w:sz w:val="24"/>
          <w:szCs w:val="24"/>
        </w:rPr>
        <w:t xml:space="preserve"> ‘</w:t>
      </w:r>
      <w:proofErr w:type="gramEnd"/>
      <w:r w:rsidRPr="000331B7">
        <w:rPr>
          <w:rFonts w:ascii="Times New Roman" w:eastAsia="Times New Roman" w:hAnsi="Times New Roman"/>
          <w:sz w:val="24"/>
          <w:szCs w:val="24"/>
        </w:rPr>
        <w:t>A traumatic physical wound *** directly and proximately caused by external force ***, chemicals, electricity, climatic conditions, infectious disease, radiation, virus, or bacteria, but does not include:</w:t>
      </w:r>
      <w:r>
        <w:rPr>
          <w:rFonts w:ascii="Times New Roman" w:eastAsia="Times New Roman" w:hAnsi="Times New Roman"/>
          <w:sz w:val="24"/>
          <w:szCs w:val="24"/>
        </w:rPr>
        <w:t xml:space="preserve"> </w:t>
      </w:r>
    </w:p>
    <w:p w14:paraId="5238FCD7" w14:textId="77777777" w:rsidR="00CD5950" w:rsidRDefault="00CD5950" w:rsidP="00CD5950">
      <w:pPr>
        <w:spacing w:before="100" w:beforeAutospacing="1" w:after="100" w:afterAutospacing="1" w:line="240" w:lineRule="auto"/>
        <w:ind w:left="1440"/>
        <w:rPr>
          <w:rFonts w:ascii="Times New Roman" w:eastAsia="Times New Roman" w:hAnsi="Times New Roman"/>
          <w:sz w:val="24"/>
          <w:szCs w:val="24"/>
        </w:rPr>
      </w:pPr>
      <w:r w:rsidRPr="000331B7">
        <w:rPr>
          <w:rFonts w:ascii="Times New Roman" w:eastAsia="Times New Roman" w:hAnsi="Times New Roman"/>
          <w:sz w:val="24"/>
          <w:szCs w:val="24"/>
        </w:rPr>
        <w:t>(1) Any occupational disease; or</w:t>
      </w:r>
      <w:r w:rsidRPr="000331B7">
        <w:rPr>
          <w:rFonts w:ascii="Times New Roman" w:eastAsia="Times New Roman" w:hAnsi="Times New Roman"/>
          <w:sz w:val="24"/>
          <w:szCs w:val="24"/>
        </w:rPr>
        <w:br/>
      </w:r>
      <w:r w:rsidRPr="000331B7">
        <w:rPr>
          <w:rFonts w:ascii="Times New Roman" w:eastAsia="Times New Roman" w:hAnsi="Times New Roman"/>
          <w:sz w:val="24"/>
          <w:szCs w:val="24"/>
        </w:rPr>
        <w:br/>
        <w:t>(2) Any condition of the body caused or occasioned by stress or strain.</w:t>
      </w:r>
    </w:p>
    <w:p w14:paraId="6F48ADFA" w14:textId="77777777"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63E6CB9" w14:textId="5DBD5DCD" w:rsidR="00CD5950" w:rsidRPr="000331B7" w:rsidRDefault="00CD5950" w:rsidP="00CD5950">
      <w:pPr>
        <w:spacing w:before="100" w:beforeAutospacing="1" w:after="100" w:afterAutospacing="1" w:line="240" w:lineRule="auto"/>
        <w:ind w:left="720"/>
        <w:rPr>
          <w:rFonts w:ascii="Times New Roman" w:eastAsia="Times New Roman" w:hAnsi="Times New Roman"/>
          <w:sz w:val="24"/>
          <w:szCs w:val="24"/>
        </w:rPr>
      </w:pPr>
      <w:r w:rsidRPr="000331B7">
        <w:rPr>
          <w:rFonts w:ascii="Times New Roman" w:hAnsi="Times New Roman"/>
          <w:sz w:val="24"/>
          <w:szCs w:val="24"/>
        </w:rPr>
        <w:t xml:space="preserve">We conclude that the City's definitions of </w:t>
      </w:r>
      <w:r>
        <w:rPr>
          <w:rFonts w:ascii="Times New Roman" w:hAnsi="Times New Roman"/>
          <w:sz w:val="24"/>
          <w:szCs w:val="24"/>
        </w:rPr>
        <w:t>‘</w:t>
      </w:r>
      <w:r w:rsidRPr="000331B7">
        <w:rPr>
          <w:rFonts w:ascii="Times New Roman" w:hAnsi="Times New Roman"/>
          <w:sz w:val="24"/>
          <w:szCs w:val="24"/>
        </w:rPr>
        <w:t>catastrophic injury,</w:t>
      </w:r>
      <w:r>
        <w:rPr>
          <w:rFonts w:ascii="Times New Roman" w:hAnsi="Times New Roman"/>
          <w:sz w:val="24"/>
          <w:szCs w:val="24"/>
        </w:rPr>
        <w:t>’</w:t>
      </w:r>
      <w:r w:rsidRPr="000331B7">
        <w:rPr>
          <w:rFonts w:ascii="Times New Roman" w:hAnsi="Times New Roman"/>
          <w:sz w:val="24"/>
          <w:szCs w:val="24"/>
        </w:rPr>
        <w:t xml:space="preserve"> </w:t>
      </w:r>
      <w:r>
        <w:rPr>
          <w:rFonts w:ascii="Times New Roman" w:hAnsi="Times New Roman"/>
          <w:sz w:val="24"/>
          <w:szCs w:val="24"/>
        </w:rPr>
        <w:t>‘</w:t>
      </w:r>
      <w:r w:rsidRPr="000331B7">
        <w:rPr>
          <w:rFonts w:ascii="Times New Roman" w:hAnsi="Times New Roman"/>
          <w:sz w:val="24"/>
          <w:szCs w:val="24"/>
        </w:rPr>
        <w:t>injury,</w:t>
      </w:r>
      <w:r>
        <w:rPr>
          <w:rFonts w:ascii="Times New Roman" w:hAnsi="Times New Roman"/>
          <w:sz w:val="24"/>
          <w:szCs w:val="24"/>
        </w:rPr>
        <w:t>’</w:t>
      </w:r>
      <w:r w:rsidRPr="000331B7">
        <w:rPr>
          <w:rFonts w:ascii="Times New Roman" w:hAnsi="Times New Roman"/>
          <w:sz w:val="24"/>
          <w:szCs w:val="24"/>
        </w:rPr>
        <w:t xml:space="preserve"> and </w:t>
      </w:r>
      <w:r>
        <w:rPr>
          <w:rFonts w:ascii="Times New Roman" w:hAnsi="Times New Roman"/>
          <w:sz w:val="24"/>
          <w:szCs w:val="24"/>
        </w:rPr>
        <w:t>‘</w:t>
      </w:r>
      <w:r w:rsidRPr="000331B7">
        <w:rPr>
          <w:rFonts w:ascii="Times New Roman" w:hAnsi="Times New Roman"/>
          <w:sz w:val="24"/>
          <w:szCs w:val="24"/>
        </w:rPr>
        <w:t>gainful work</w:t>
      </w:r>
      <w:r>
        <w:rPr>
          <w:rFonts w:ascii="Times New Roman" w:hAnsi="Times New Roman"/>
          <w:sz w:val="24"/>
          <w:szCs w:val="24"/>
        </w:rPr>
        <w:t>’</w:t>
      </w:r>
      <w:r w:rsidRPr="000331B7">
        <w:rPr>
          <w:rFonts w:ascii="Times New Roman" w:hAnsi="Times New Roman"/>
          <w:sz w:val="24"/>
          <w:szCs w:val="24"/>
        </w:rPr>
        <w:t xml:space="preserve"> were inconsistent with the substantive requirements of the Act, and the ordinance was not a valid exercise of home rule authority.</w:t>
      </w:r>
      <w:r>
        <w:rPr>
          <w:rFonts w:ascii="Times New Roman" w:hAnsi="Times New Roman"/>
          <w:sz w:val="24"/>
          <w:szCs w:val="24"/>
        </w:rPr>
        <w:t xml:space="preserve">” </w:t>
      </w:r>
      <w:hyperlink r:id="rId1254" w:history="1">
        <w:r w:rsidRPr="002013DF">
          <w:rPr>
            <w:rStyle w:val="Hyperlink"/>
            <w:rFonts w:ascii="Times New Roman" w:hAnsi="Times New Roman"/>
            <w:sz w:val="24"/>
            <w:szCs w:val="24"/>
          </w:rPr>
          <w:t>https://public.fastcase.com/Wl%2B2t%2BeVuI35%2FN70vAMFZhBwSznuAn%2FrUV3euz1vpuZ8G42r7l80quvA5s5OcZyT</w:t>
        </w:r>
      </w:hyperlink>
      <w:r>
        <w:rPr>
          <w:rFonts w:ascii="Times New Roman" w:hAnsi="Times New Roman"/>
          <w:sz w:val="24"/>
          <w:szCs w:val="24"/>
        </w:rPr>
        <w:t xml:space="preserve"> </w:t>
      </w:r>
    </w:p>
    <w:p w14:paraId="3CFE1194" w14:textId="77777777" w:rsidR="00CD5950" w:rsidRPr="00AB7084" w:rsidRDefault="00CD5950" w:rsidP="00CD5950">
      <w:pPr>
        <w:spacing w:before="100" w:beforeAutospacing="1" w:after="100" w:afterAutospacing="1" w:line="240" w:lineRule="auto"/>
        <w:ind w:left="720"/>
        <w:rPr>
          <w:rFonts w:ascii="Times New Roman" w:eastAsia="Times New Roman" w:hAnsi="Times New Roman"/>
          <w:sz w:val="24"/>
          <w:szCs w:val="24"/>
        </w:rPr>
      </w:pPr>
      <w:r w:rsidRPr="00EC6D3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Cities under their “home rule” authority cannot enact an ordinance limiting or defining health benefits provided under state statute.  </w:t>
      </w:r>
    </w:p>
    <w:p w14:paraId="005095DB" w14:textId="77777777" w:rsidR="00CD5950" w:rsidRDefault="00CD5950" w:rsidP="00EF1133">
      <w:pPr>
        <w:rPr>
          <w:rFonts w:ascii="Arial Black" w:hAnsi="Arial Black"/>
          <w:b/>
          <w:sz w:val="24"/>
          <w:szCs w:val="24"/>
        </w:rPr>
      </w:pPr>
    </w:p>
    <w:p w14:paraId="6D58EE4E" w14:textId="377283A5"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3</w:t>
      </w:r>
    </w:p>
    <w:p w14:paraId="37ECCA80" w14:textId="77777777" w:rsidR="007F3C7D" w:rsidRPr="003F7EAE" w:rsidRDefault="007F3C7D" w:rsidP="007F3C7D">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ME: TOWN’S CHARTER REQUIRES EMPLOYEES &amp; VOL. FF TO RESIGN IN ORDER TO RUN FOR ELECTION – FED. JUDGE UPHOLDS</w:t>
      </w:r>
    </w:p>
    <w:p w14:paraId="122156B6" w14:textId="77777777" w:rsidR="007F3C7D" w:rsidRDefault="007F3C7D" w:rsidP="007F3C7D">
      <w:pPr>
        <w:rPr>
          <w:rFonts w:ascii="Times New Roman" w:hAnsi="Times New Roman"/>
          <w:sz w:val="24"/>
          <w:szCs w:val="24"/>
        </w:rPr>
      </w:pPr>
      <w:r>
        <w:rPr>
          <w:rFonts w:ascii="Times New Roman" w:hAnsi="Times New Roman"/>
          <w:sz w:val="24"/>
          <w:szCs w:val="24"/>
        </w:rPr>
        <w:t xml:space="preserve">On Jan. 21, 2021, in </w:t>
      </w:r>
      <w:r w:rsidRPr="00DC7AB1">
        <w:rPr>
          <w:rFonts w:ascii="Times New Roman" w:hAnsi="Times New Roman"/>
          <w:sz w:val="24"/>
          <w:szCs w:val="24"/>
          <w:u w:val="single"/>
        </w:rPr>
        <w:t>Megan Casey</w:t>
      </w:r>
      <w:r>
        <w:rPr>
          <w:rFonts w:ascii="Times New Roman" w:hAnsi="Times New Roman"/>
          <w:sz w:val="24"/>
          <w:szCs w:val="24"/>
          <w:u w:val="single"/>
        </w:rPr>
        <w:t xml:space="preserve">, </w:t>
      </w:r>
      <w:r w:rsidRPr="00DC7AB1">
        <w:rPr>
          <w:rFonts w:ascii="Times New Roman" w:hAnsi="Times New Roman"/>
          <w:sz w:val="24"/>
          <w:szCs w:val="24"/>
          <w:u w:val="single"/>
        </w:rPr>
        <w:t>et al. v. Town of Yarmouth</w:t>
      </w:r>
      <w:r>
        <w:rPr>
          <w:rFonts w:ascii="Times New Roman" w:hAnsi="Times New Roman"/>
          <w:sz w:val="24"/>
          <w:szCs w:val="24"/>
        </w:rPr>
        <w:t xml:space="preserve">, U.S. District Court Judge George Z. Singal, U.S. District Court, District of Maine held that the Town’s Charter Amendment is constitutional based on the “balancing” test in U.S. Supreme Court’s decision in Pickering v. Board of Education, 391 U.S. 563 (1968).  The Charter Amendment was passed by referendum of voters in Nov. 2018, supported by a group calling itself </w:t>
      </w:r>
      <w:r w:rsidRPr="003575D4">
        <w:rPr>
          <w:rFonts w:ascii="Times New Roman" w:hAnsi="Times New Roman"/>
          <w:sz w:val="24"/>
          <w:szCs w:val="24"/>
        </w:rPr>
        <w:t>"Yarmouth Citizens for Responsible Government</w:t>
      </w:r>
      <w:r>
        <w:rPr>
          <w:rFonts w:ascii="Times New Roman" w:hAnsi="Times New Roman"/>
          <w:sz w:val="24"/>
          <w:szCs w:val="24"/>
        </w:rPr>
        <w:t>.,</w:t>
      </w:r>
      <w:r w:rsidRPr="003575D4">
        <w:rPr>
          <w:rFonts w:ascii="Times New Roman" w:hAnsi="Times New Roman"/>
          <w:sz w:val="24"/>
          <w:szCs w:val="24"/>
        </w:rPr>
        <w:t>"</w:t>
      </w:r>
      <w:r>
        <w:rPr>
          <w:rFonts w:ascii="Times New Roman" w:hAnsi="Times New Roman"/>
          <w:sz w:val="24"/>
          <w:szCs w:val="24"/>
        </w:rPr>
        <w:t xml:space="preserve"> seeking to avoid any conflict of interest by prohibiting any Town employee [apparently this includes volunteer firefighters], current teachers from serving on Council.  Judge also held that the volunteer firefighter Mark </w:t>
      </w:r>
      <w:proofErr w:type="spellStart"/>
      <w:r>
        <w:rPr>
          <w:rFonts w:ascii="Times New Roman" w:hAnsi="Times New Roman"/>
          <w:sz w:val="24"/>
          <w:szCs w:val="24"/>
        </w:rPr>
        <w:t>Reinsborough</w:t>
      </w:r>
      <w:proofErr w:type="spellEnd"/>
      <w:r>
        <w:rPr>
          <w:rFonts w:ascii="Times New Roman" w:hAnsi="Times New Roman"/>
          <w:sz w:val="24"/>
          <w:szCs w:val="24"/>
        </w:rPr>
        <w:t xml:space="preserve"> [as well as his wife, and his father, a former volunteer firefighter] lacked “standing” since none expressed a current intent to run for Council. </w:t>
      </w:r>
    </w:p>
    <w:p w14:paraId="24083F2A" w14:textId="77777777" w:rsidR="007F3C7D" w:rsidRPr="00933346" w:rsidRDefault="007F3C7D" w:rsidP="007F3C7D">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“[T]</w:t>
      </w:r>
      <w:r w:rsidRPr="00865711">
        <w:rPr>
          <w:rFonts w:ascii="Times New Roman" w:hAnsi="Times New Roman"/>
          <w:sz w:val="24"/>
          <w:szCs w:val="24"/>
        </w:rPr>
        <w:t xml:space="preserve">he Supreme Court </w:t>
      </w:r>
      <w:r>
        <w:rPr>
          <w:rFonts w:ascii="Times New Roman" w:hAnsi="Times New Roman"/>
          <w:sz w:val="24"/>
          <w:szCs w:val="24"/>
        </w:rPr>
        <w:t xml:space="preserve">in </w:t>
      </w:r>
      <w:r w:rsidRPr="00924AEC">
        <w:rPr>
          <w:rFonts w:ascii="Times New Roman" w:hAnsi="Times New Roman"/>
          <w:sz w:val="24"/>
          <w:szCs w:val="24"/>
          <w:u w:val="single"/>
        </w:rPr>
        <w:t>Pickering</w:t>
      </w:r>
      <w:r>
        <w:rPr>
          <w:rFonts w:ascii="Times New Roman" w:hAnsi="Times New Roman"/>
          <w:sz w:val="24"/>
          <w:szCs w:val="24"/>
        </w:rPr>
        <w:t xml:space="preserve"> ‘</w:t>
      </w:r>
      <w:r w:rsidRPr="00865711">
        <w:rPr>
          <w:rFonts w:ascii="Times New Roman" w:hAnsi="Times New Roman"/>
          <w:sz w:val="24"/>
          <w:szCs w:val="24"/>
        </w:rPr>
        <w:t>declared that citizens do not surrender their First Amendment rights by accepting public employment.</w:t>
      </w:r>
      <w:r>
        <w:rPr>
          <w:rFonts w:ascii="Times New Roman" w:hAnsi="Times New Roman"/>
          <w:sz w:val="24"/>
          <w:szCs w:val="24"/>
        </w:rPr>
        <w:t>’</w:t>
      </w:r>
      <w:r w:rsidRPr="00865711">
        <w:rPr>
          <w:rFonts w:ascii="Times New Roman" w:hAnsi="Times New Roman"/>
          <w:sz w:val="24"/>
          <w:szCs w:val="24"/>
        </w:rPr>
        <w:t xml:space="preserve"> </w:t>
      </w:r>
      <w:r w:rsidRPr="00865711">
        <w:rPr>
          <w:rFonts w:ascii="Times New Roman" w:hAnsi="Times New Roman"/>
          <w:sz w:val="24"/>
          <w:szCs w:val="24"/>
          <w:u w:val="single"/>
        </w:rPr>
        <w:t>Lane v. Franks</w:t>
      </w:r>
      <w:r w:rsidRPr="00865711">
        <w:rPr>
          <w:rFonts w:ascii="Times New Roman" w:hAnsi="Times New Roman"/>
          <w:sz w:val="24"/>
          <w:szCs w:val="24"/>
        </w:rPr>
        <w:t xml:space="preserve">, 573 U.S. 228, 231 (2014) (describing </w:t>
      </w:r>
      <w:r w:rsidRPr="00865711">
        <w:rPr>
          <w:rFonts w:ascii="Times New Roman" w:hAnsi="Times New Roman"/>
          <w:sz w:val="24"/>
          <w:szCs w:val="24"/>
          <w:u w:val="single"/>
        </w:rPr>
        <w:t>Pickering</w:t>
      </w:r>
      <w:r w:rsidRPr="00865711">
        <w:rPr>
          <w:rFonts w:ascii="Times New Roman" w:hAnsi="Times New Roman"/>
          <w:sz w:val="24"/>
          <w:szCs w:val="24"/>
        </w:rPr>
        <w:t>). However, the Court found that it was necessary "</w:t>
      </w:r>
      <w:r>
        <w:rPr>
          <w:rFonts w:ascii="Times New Roman" w:hAnsi="Times New Roman"/>
          <w:sz w:val="24"/>
          <w:szCs w:val="24"/>
        </w:rPr>
        <w:t>t</w:t>
      </w:r>
      <w:r w:rsidRPr="00865711">
        <w:rPr>
          <w:rFonts w:ascii="Times New Roman" w:hAnsi="Times New Roman"/>
          <w:sz w:val="24"/>
          <w:szCs w:val="24"/>
        </w:rPr>
        <w:t>o . . . balance between the interests of the [employee], as a citizen, in commenting upon matters of public concern and the interest of the [government], as an employer, in promoting the efficiency of the public services it performs through its employees.</w:t>
      </w:r>
      <w:r>
        <w:rPr>
          <w:rFonts w:ascii="Times New Roman" w:hAnsi="Times New Roman"/>
          <w:sz w:val="24"/>
          <w:szCs w:val="24"/>
        </w:rPr>
        <w:t>’</w:t>
      </w:r>
      <w:r w:rsidRPr="00865711">
        <w:rPr>
          <w:rFonts w:ascii="Times New Roman" w:hAnsi="Times New Roman"/>
          <w:sz w:val="24"/>
          <w:szCs w:val="24"/>
        </w:rPr>
        <w:t xml:space="preserve"> </w:t>
      </w:r>
      <w:r w:rsidRPr="00865711">
        <w:rPr>
          <w:rFonts w:ascii="Times New Roman" w:hAnsi="Times New Roman"/>
          <w:sz w:val="24"/>
          <w:szCs w:val="24"/>
          <w:u w:val="single"/>
        </w:rPr>
        <w:t>Pickering</w:t>
      </w:r>
      <w:r w:rsidRPr="00865711">
        <w:rPr>
          <w:rFonts w:ascii="Times New Roman" w:hAnsi="Times New Roman"/>
          <w:sz w:val="24"/>
          <w:szCs w:val="24"/>
        </w:rPr>
        <w:t>, 391 U.S. at 568.</w:t>
      </w:r>
      <w:r>
        <w:rPr>
          <w:rFonts w:ascii="Times New Roman" w:hAnsi="Times New Roman"/>
          <w:sz w:val="24"/>
          <w:szCs w:val="24"/>
        </w:rPr>
        <w:t xml:space="preserve"> </w:t>
      </w:r>
      <w:hyperlink r:id="rId1255" w:history="1">
        <w:r w:rsidRPr="00563FF7">
          <w:rPr>
            <w:rStyle w:val="Hyperlink"/>
            <w:rFonts w:ascii="Times New Roman" w:eastAsia="Times New Roman" w:hAnsi="Times New Roman"/>
            <w:sz w:val="24"/>
            <w:szCs w:val="24"/>
          </w:rPr>
          <w:t>https://public.fastcase.com/Wl%2B2t%2BeVuI35%2FN70vAMFZiwHTxExttVvxvtro3%2Fx3JKRataF5Ade5ddShAB2khcY</w:t>
        </w:r>
      </w:hyperlink>
      <w:r>
        <w:rPr>
          <w:rFonts w:ascii="Times New Roman" w:eastAsia="Times New Roman" w:hAnsi="Times New Roman"/>
          <w:sz w:val="24"/>
          <w:szCs w:val="24"/>
        </w:rPr>
        <w:t xml:space="preserve"> </w:t>
      </w:r>
    </w:p>
    <w:p w14:paraId="26386CB8" w14:textId="77777777" w:rsidR="007F3C7D" w:rsidRDefault="007F3C7D" w:rsidP="007F3C7D">
      <w:pPr>
        <w:rPr>
          <w:rFonts w:ascii="Times New Roman" w:hAnsi="Times New Roman"/>
          <w:b/>
          <w:bCs/>
          <w:sz w:val="24"/>
          <w:szCs w:val="24"/>
        </w:rPr>
      </w:pPr>
      <w:r w:rsidRPr="00590EE6">
        <w:rPr>
          <w:rFonts w:ascii="Times New Roman" w:hAnsi="Times New Roman"/>
          <w:b/>
          <w:bCs/>
          <w:sz w:val="24"/>
          <w:szCs w:val="24"/>
        </w:rPr>
        <w:t>Legal Lesson Learned:</w:t>
      </w:r>
      <w:r>
        <w:rPr>
          <w:rFonts w:ascii="Times New Roman" w:hAnsi="Times New Roman"/>
          <w:b/>
          <w:bCs/>
          <w:sz w:val="24"/>
          <w:szCs w:val="24"/>
        </w:rPr>
        <w:t xml:space="preserve">  In many states, there are statutes prohibiting elected officials from voting on matters that could be a “conflict of interest.”  It is rather unusual to see a Charter that prohibits public employees from also serving on Council. </w:t>
      </w:r>
    </w:p>
    <w:p w14:paraId="5DAF944D" w14:textId="77777777" w:rsidR="007F3C7D" w:rsidRPr="00C745B6" w:rsidRDefault="007F3C7D" w:rsidP="007F3C7D">
      <w:pPr>
        <w:ind w:left="720"/>
        <w:rPr>
          <w:rFonts w:ascii="Times New Roman" w:hAnsi="Times New Roman"/>
          <w:sz w:val="24"/>
          <w:szCs w:val="24"/>
        </w:rPr>
      </w:pPr>
      <w:r w:rsidRPr="008B3CA3">
        <w:rPr>
          <w:rFonts w:ascii="Times New Roman" w:hAnsi="Times New Roman"/>
          <w:sz w:val="24"/>
          <w:szCs w:val="24"/>
        </w:rPr>
        <w:t xml:space="preserve">Note:  </w:t>
      </w:r>
      <w:r w:rsidRPr="00C745B6">
        <w:rPr>
          <w:rFonts w:ascii="Times New Roman" w:hAnsi="Times New Roman"/>
          <w:sz w:val="24"/>
          <w:szCs w:val="24"/>
        </w:rPr>
        <w:t xml:space="preserve">The ACLU of Maine brought this lawsuit, and in their </w:t>
      </w:r>
      <w:r>
        <w:rPr>
          <w:rFonts w:ascii="Times New Roman" w:hAnsi="Times New Roman"/>
          <w:sz w:val="24"/>
          <w:szCs w:val="24"/>
        </w:rPr>
        <w:t xml:space="preserve">Aug. 27, </w:t>
      </w:r>
      <w:proofErr w:type="gramStart"/>
      <w:r>
        <w:rPr>
          <w:rFonts w:ascii="Times New Roman" w:hAnsi="Times New Roman"/>
          <w:sz w:val="24"/>
          <w:szCs w:val="24"/>
        </w:rPr>
        <w:t>2019</w:t>
      </w:r>
      <w:proofErr w:type="gramEnd"/>
      <w:r>
        <w:rPr>
          <w:rFonts w:ascii="Times New Roman" w:hAnsi="Times New Roman"/>
          <w:sz w:val="24"/>
          <w:szCs w:val="24"/>
        </w:rPr>
        <w:t xml:space="preserve"> </w:t>
      </w:r>
      <w:r w:rsidRPr="00C745B6">
        <w:rPr>
          <w:rFonts w:ascii="Times New Roman" w:hAnsi="Times New Roman"/>
          <w:sz w:val="24"/>
          <w:szCs w:val="24"/>
        </w:rPr>
        <w:t xml:space="preserve">Press Release stated: </w:t>
      </w:r>
      <w:r>
        <w:rPr>
          <w:rFonts w:ascii="Times New Roman" w:hAnsi="Times New Roman"/>
          <w:sz w:val="24"/>
          <w:szCs w:val="24"/>
        </w:rPr>
        <w:t>“</w:t>
      </w:r>
      <w:r w:rsidRPr="00C745B6">
        <w:rPr>
          <w:rFonts w:ascii="Times New Roman" w:hAnsi="Times New Roman"/>
          <w:sz w:val="24"/>
          <w:szCs w:val="24"/>
        </w:rPr>
        <w:t xml:space="preserve">Courts have consistently held that restrictions like the one adopted by Yarmouth must serve a substantial public interest, and Maine law even specifically anticipates that </w:t>
      </w:r>
      <w:proofErr w:type="gramStart"/>
      <w:r w:rsidRPr="00C745B6">
        <w:rPr>
          <w:rFonts w:ascii="Times New Roman" w:hAnsi="Times New Roman"/>
          <w:sz w:val="24"/>
          <w:szCs w:val="24"/>
        </w:rPr>
        <w:t>school</w:t>
      </w:r>
      <w:r>
        <w:rPr>
          <w:rFonts w:ascii="Times New Roman" w:hAnsi="Times New Roman"/>
          <w:sz w:val="24"/>
          <w:szCs w:val="24"/>
        </w:rPr>
        <w:t xml:space="preserve"> </w:t>
      </w:r>
      <w:r w:rsidRPr="00C745B6">
        <w:rPr>
          <w:rFonts w:ascii="Times New Roman" w:hAnsi="Times New Roman"/>
          <w:sz w:val="24"/>
          <w:szCs w:val="24"/>
        </w:rPr>
        <w:t>teachers</w:t>
      </w:r>
      <w:proofErr w:type="gramEnd"/>
      <w:r w:rsidRPr="00C745B6">
        <w:rPr>
          <w:rFonts w:ascii="Times New Roman" w:hAnsi="Times New Roman"/>
          <w:sz w:val="24"/>
          <w:szCs w:val="24"/>
        </w:rPr>
        <w:t xml:space="preserve"> can and will serve as municipal officers. In August 2017, the town’s own legal counsel concluded that prohibiting town or school employees from serving on the town council could violate their First Amendment rights.</w:t>
      </w:r>
      <w:r>
        <w:rPr>
          <w:rFonts w:ascii="Times New Roman" w:hAnsi="Times New Roman"/>
          <w:sz w:val="24"/>
          <w:szCs w:val="24"/>
        </w:rPr>
        <w:t xml:space="preserve">” </w:t>
      </w:r>
      <w:hyperlink r:id="rId1256" w:history="1">
        <w:r w:rsidRPr="00563FF7">
          <w:rPr>
            <w:rStyle w:val="Hyperlink"/>
            <w:rFonts w:ascii="Times New Roman" w:hAnsi="Times New Roman"/>
            <w:sz w:val="24"/>
            <w:szCs w:val="24"/>
          </w:rPr>
          <w:t>https://www.aclumaine.org/en/press-releases/yarmouth-residents-aclu-challenge-new-restrictions-who-can-run-town-council</w:t>
        </w:r>
      </w:hyperlink>
      <w:r>
        <w:rPr>
          <w:rFonts w:ascii="Times New Roman" w:hAnsi="Times New Roman"/>
          <w:sz w:val="24"/>
          <w:szCs w:val="24"/>
        </w:rPr>
        <w:t xml:space="preserve"> </w:t>
      </w:r>
    </w:p>
    <w:p w14:paraId="33D9366C" w14:textId="77777777" w:rsidR="007F3C7D" w:rsidRPr="008B3CA3" w:rsidRDefault="007F3C7D" w:rsidP="007F3C7D">
      <w:pPr>
        <w:ind w:firstLine="720"/>
        <w:rPr>
          <w:rFonts w:ascii="Times New Roman" w:hAnsi="Times New Roman"/>
          <w:sz w:val="24"/>
          <w:szCs w:val="24"/>
        </w:rPr>
      </w:pPr>
      <w:r>
        <w:rPr>
          <w:rFonts w:ascii="Times New Roman" w:hAnsi="Times New Roman"/>
          <w:sz w:val="24"/>
          <w:szCs w:val="24"/>
        </w:rPr>
        <w:t xml:space="preserve">See:  </w:t>
      </w:r>
      <w:r w:rsidRPr="008B3CA3">
        <w:rPr>
          <w:rFonts w:ascii="Times New Roman" w:hAnsi="Times New Roman"/>
          <w:sz w:val="24"/>
          <w:szCs w:val="24"/>
        </w:rPr>
        <w:t>Ohio Ethics Commission Opinion 91-002 (Aug. 21, 1991)</w:t>
      </w:r>
    </w:p>
    <w:p w14:paraId="2F09AF04" w14:textId="77777777" w:rsidR="007F3C7D" w:rsidRPr="008B3CA3" w:rsidRDefault="007F3C7D" w:rsidP="007F3C7D">
      <w:pPr>
        <w:ind w:left="720"/>
        <w:rPr>
          <w:rFonts w:ascii="Times New Roman" w:hAnsi="Times New Roman"/>
          <w:b/>
          <w:bCs/>
          <w:sz w:val="24"/>
          <w:szCs w:val="24"/>
        </w:rPr>
      </w:pPr>
      <w:r>
        <w:rPr>
          <w:rFonts w:ascii="Times New Roman" w:hAnsi="Times New Roman"/>
          <w:sz w:val="24"/>
          <w:szCs w:val="24"/>
        </w:rPr>
        <w:t>“[T]</w:t>
      </w:r>
      <w:r w:rsidRPr="008B3CA3">
        <w:rPr>
          <w:rFonts w:ascii="Times New Roman" w:hAnsi="Times New Roman"/>
          <w:sz w:val="24"/>
          <w:szCs w:val="24"/>
        </w:rPr>
        <w:t>he Revised Code do not prohibit a city council member from serving as an unpaid volunteer paramedic with the fire department of the city, provided he receives no definite and direct personal pecuniary benefit from such service; and, (3) Division (D) of Section 102.03 of the Revised Code prohibits a city council member who serves as an unpaid volunteer paramedic with the fire department of the city from voting, deliberating, participating in discussions, or otherwise using the authority or influence of his office, either formally or informally, with regard to matters affecting the fire department and its personnel.</w:t>
      </w:r>
      <w:r>
        <w:rPr>
          <w:rFonts w:ascii="Times New Roman" w:hAnsi="Times New Roman"/>
          <w:sz w:val="24"/>
          <w:szCs w:val="24"/>
        </w:rPr>
        <w:t xml:space="preserve">” </w:t>
      </w:r>
      <w:hyperlink r:id="rId1257" w:history="1">
        <w:r w:rsidRPr="00563FF7">
          <w:rPr>
            <w:rStyle w:val="Hyperlink"/>
            <w:rFonts w:ascii="Times New Roman" w:hAnsi="Times New Roman"/>
            <w:sz w:val="24"/>
            <w:szCs w:val="24"/>
          </w:rPr>
          <w:t>https://www.ethics.ohio.gov/advice/opinions/91-002.pdf</w:t>
        </w:r>
      </w:hyperlink>
      <w:r>
        <w:rPr>
          <w:rFonts w:ascii="Times New Roman" w:hAnsi="Times New Roman"/>
          <w:sz w:val="24"/>
          <w:szCs w:val="24"/>
        </w:rPr>
        <w:t xml:space="preserve"> </w:t>
      </w:r>
    </w:p>
    <w:p w14:paraId="24E9A620" w14:textId="3296DFFC" w:rsidR="007F3C7D" w:rsidRDefault="007F3C7D" w:rsidP="00EF1133">
      <w:pPr>
        <w:rPr>
          <w:rFonts w:ascii="Arial Black" w:hAnsi="Arial Black"/>
          <w:b/>
          <w:sz w:val="24"/>
          <w:szCs w:val="24"/>
        </w:rPr>
      </w:pPr>
    </w:p>
    <w:p w14:paraId="611B8F86" w14:textId="77777777" w:rsidR="007F3C7D" w:rsidRDefault="007F3C7D" w:rsidP="00EF1133">
      <w:pPr>
        <w:rPr>
          <w:rFonts w:ascii="Arial Black" w:hAnsi="Arial Black"/>
          <w:b/>
          <w:sz w:val="24"/>
          <w:szCs w:val="24"/>
        </w:rPr>
      </w:pPr>
    </w:p>
    <w:p w14:paraId="2E7813D9" w14:textId="4AC5F615"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2</w:t>
      </w:r>
    </w:p>
    <w:p w14:paraId="137733F0" w14:textId="77777777" w:rsidR="007F3C7D" w:rsidRPr="00507F4B" w:rsidRDefault="007F3C7D" w:rsidP="007F3C7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PA: PROSTATE CANCER – FF DENIED WORKERS COMP – CANCER IS MORE FROM AGE - NOT GROUP I CARCINOGENS</w:t>
      </w:r>
    </w:p>
    <w:p w14:paraId="5F10369B" w14:textId="77777777" w:rsidR="007F3C7D" w:rsidRDefault="007F3C7D" w:rsidP="007F3C7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Jan. 6, 2021, in </w:t>
      </w:r>
      <w:r w:rsidRPr="003A1FC5">
        <w:rPr>
          <w:rFonts w:ascii="Times New Roman" w:eastAsia="Times New Roman" w:hAnsi="Times New Roman"/>
          <w:sz w:val="24"/>
          <w:szCs w:val="24"/>
          <w:u w:val="single"/>
        </w:rPr>
        <w:t>Michael Malone v. Workers’ Compensation Appeal Board (City of Philadelphia)</w:t>
      </w:r>
      <w:r>
        <w:rPr>
          <w:rFonts w:ascii="Times New Roman" w:eastAsia="Times New Roman" w:hAnsi="Times New Roman"/>
          <w:sz w:val="24"/>
          <w:szCs w:val="24"/>
        </w:rPr>
        <w:t xml:space="preserve">, the Commonwealth Court of Pennsylvania held (3 to 0; unreported decision) that the finding by the Workers Compensation Judge that the firefighters’ expert witness failed to show that </w:t>
      </w:r>
      <w:r w:rsidRPr="00D5248C">
        <w:rPr>
          <w:rFonts w:ascii="Times New Roman" w:eastAsia="Times New Roman" w:hAnsi="Times New Roman"/>
          <w:sz w:val="24"/>
          <w:szCs w:val="24"/>
        </w:rPr>
        <w:t>prostate cancer is caused by Group 1 carcinogens.</w:t>
      </w:r>
      <w:r>
        <w:rPr>
          <w:rFonts w:ascii="Times New Roman" w:eastAsia="Times New Roman" w:hAnsi="Times New Roman"/>
          <w:sz w:val="24"/>
          <w:szCs w:val="24"/>
        </w:rPr>
        <w:t xml:space="preserve"> In 2011, the State enacted a statutory presumption for firefighter cancer, but firefighters must still introduce evidence that the firefighter’s particular cancer [prostate cancer] is caused by the job.  </w:t>
      </w:r>
    </w:p>
    <w:p w14:paraId="3C335A22" w14:textId="77777777" w:rsidR="007F3C7D" w:rsidRDefault="007F3C7D" w:rsidP="007F3C7D">
      <w:pPr>
        <w:spacing w:before="100" w:beforeAutospacing="1" w:after="100" w:afterAutospacing="1" w:line="240" w:lineRule="auto"/>
        <w:ind w:left="720"/>
        <w:rPr>
          <w:rFonts w:ascii="Times New Roman" w:hAnsi="Times New Roman"/>
          <w:sz w:val="24"/>
          <w:szCs w:val="24"/>
        </w:rPr>
      </w:pPr>
      <w:r w:rsidRPr="008E2249">
        <w:rPr>
          <w:rFonts w:ascii="Times New Roman" w:eastAsia="Times New Roman" w:hAnsi="Times New Roman"/>
          <w:sz w:val="24"/>
          <w:szCs w:val="24"/>
        </w:rPr>
        <w:t>“</w:t>
      </w:r>
      <w:r w:rsidRPr="008E2249">
        <w:rPr>
          <w:rFonts w:ascii="Times New Roman" w:hAnsi="Times New Roman"/>
          <w:sz w:val="24"/>
          <w:szCs w:val="24"/>
        </w:rPr>
        <w:t xml:space="preserve">In the March 2, </w:t>
      </w:r>
      <w:proofErr w:type="gramStart"/>
      <w:r w:rsidRPr="008E2249">
        <w:rPr>
          <w:rFonts w:ascii="Times New Roman" w:hAnsi="Times New Roman"/>
          <w:sz w:val="24"/>
          <w:szCs w:val="24"/>
        </w:rPr>
        <w:t>2018</w:t>
      </w:r>
      <w:proofErr w:type="gramEnd"/>
      <w:r w:rsidRPr="008E2249">
        <w:rPr>
          <w:rFonts w:ascii="Times New Roman" w:hAnsi="Times New Roman"/>
          <w:sz w:val="24"/>
          <w:szCs w:val="24"/>
        </w:rPr>
        <w:t xml:space="preserve"> Decision, the WCJ found that Claimant did not establish that his prostate cancer was caused by his work as a firefighter and denied the Claim Petition. In doing so, the WCJ found Claimant's testimony wholly credible, noting that Employer did not dispute Claimant's description of his firefighting duties and experiences, presumably including the exposure to smoke and diesel exhaust of which Claimant testified. (Mar. 2, </w:t>
      </w:r>
      <w:proofErr w:type="gramStart"/>
      <w:r w:rsidRPr="008E2249">
        <w:rPr>
          <w:rFonts w:ascii="Times New Roman" w:hAnsi="Times New Roman"/>
          <w:sz w:val="24"/>
          <w:szCs w:val="24"/>
        </w:rPr>
        <w:t>2018</w:t>
      </w:r>
      <w:proofErr w:type="gramEnd"/>
      <w:r w:rsidRPr="008E2249">
        <w:rPr>
          <w:rFonts w:ascii="Times New Roman" w:hAnsi="Times New Roman"/>
          <w:sz w:val="24"/>
          <w:szCs w:val="24"/>
        </w:rPr>
        <w:t xml:space="preserve"> WCJ Decision, FOF ¶ 8.) Concerning the medical testimony, the WCJ found that Claimant's evidence did not establish that any IARC Group 1 carcinogens are known to cause prostate cancer.</w:t>
      </w:r>
    </w:p>
    <w:p w14:paraId="1915B14E" w14:textId="77777777" w:rsidR="007F3C7D" w:rsidRPr="008E2249" w:rsidRDefault="007F3C7D" w:rsidP="007F3C7D">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703FC6D7" w14:textId="77777777" w:rsidR="007F3C7D" w:rsidRPr="003A1FC5" w:rsidRDefault="007F3C7D" w:rsidP="007F3C7D">
      <w:pPr>
        <w:spacing w:before="100" w:beforeAutospacing="1" w:after="100" w:afterAutospacing="1" w:line="240" w:lineRule="auto"/>
        <w:ind w:left="720"/>
        <w:rPr>
          <w:rFonts w:ascii="Times New Roman" w:hAnsi="Times New Roman"/>
          <w:sz w:val="24"/>
          <w:szCs w:val="24"/>
        </w:rPr>
      </w:pPr>
      <w:r w:rsidRPr="003A1FC5">
        <w:rPr>
          <w:rFonts w:ascii="Times New Roman" w:hAnsi="Times New Roman"/>
          <w:sz w:val="24"/>
          <w:szCs w:val="24"/>
        </w:rPr>
        <w:t xml:space="preserve">As we have discussed, </w:t>
      </w:r>
      <w:proofErr w:type="gramStart"/>
      <w:r w:rsidRPr="003A1FC5">
        <w:rPr>
          <w:rFonts w:ascii="Times New Roman" w:hAnsi="Times New Roman"/>
          <w:sz w:val="24"/>
          <w:szCs w:val="24"/>
        </w:rPr>
        <w:t>the WCJ's</w:t>
      </w:r>
      <w:proofErr w:type="gramEnd"/>
      <w:r w:rsidRPr="003A1FC5">
        <w:rPr>
          <w:rFonts w:ascii="Times New Roman" w:hAnsi="Times New Roman"/>
          <w:sz w:val="24"/>
          <w:szCs w:val="24"/>
        </w:rPr>
        <w:t xml:space="preserve"> decision not to credit Dr. Singer's testimony was an exercise of discretion accompanied by a reasoned explanation, and it must, therefore, stand. We conclude that Claimant has not met his initial burden of demonstrating general causation under Section 108(r) of the Act, and he has not established that his cancer is an occupational disease under that </w:t>
      </w:r>
      <w:proofErr w:type="gramStart"/>
      <w:r w:rsidRPr="003A1FC5">
        <w:rPr>
          <w:rFonts w:ascii="Times New Roman" w:hAnsi="Times New Roman"/>
          <w:sz w:val="24"/>
          <w:szCs w:val="24"/>
        </w:rPr>
        <w:t>section.</w:t>
      </w:r>
      <w:r>
        <w:rPr>
          <w:rFonts w:ascii="Times New Roman" w:hAnsi="Times New Roman"/>
          <w:sz w:val="24"/>
          <w:szCs w:val="24"/>
        </w:rPr>
        <w:t>”</w:t>
      </w:r>
      <w:proofErr w:type="gramEnd"/>
      <w:r>
        <w:rPr>
          <w:rFonts w:ascii="Times New Roman" w:hAnsi="Times New Roman"/>
          <w:sz w:val="24"/>
          <w:szCs w:val="24"/>
        </w:rPr>
        <w:t xml:space="preserve"> </w:t>
      </w:r>
      <w:hyperlink r:id="rId1258" w:history="1">
        <w:r w:rsidRPr="00FA40FF">
          <w:rPr>
            <w:rStyle w:val="Hyperlink"/>
            <w:rFonts w:ascii="Times New Roman" w:hAnsi="Times New Roman"/>
            <w:sz w:val="24"/>
            <w:szCs w:val="24"/>
          </w:rPr>
          <w:t>https://casetext.com/case/malone-v-workers-comp-appeal-bd</w:t>
        </w:r>
      </w:hyperlink>
      <w:r>
        <w:rPr>
          <w:rFonts w:ascii="Times New Roman" w:hAnsi="Times New Roman"/>
          <w:sz w:val="24"/>
          <w:szCs w:val="24"/>
        </w:rPr>
        <w:t xml:space="preserve"> </w:t>
      </w:r>
    </w:p>
    <w:p w14:paraId="69BAD818" w14:textId="77777777" w:rsidR="007F3C7D" w:rsidRDefault="007F3C7D" w:rsidP="007F3C7D">
      <w:pPr>
        <w:rPr>
          <w:rFonts w:ascii="Times New Roman" w:hAnsi="Times New Roman"/>
          <w:b/>
          <w:bCs/>
          <w:sz w:val="24"/>
          <w:szCs w:val="24"/>
        </w:rPr>
      </w:pPr>
      <w:r w:rsidRPr="008E2249">
        <w:rPr>
          <w:rFonts w:ascii="Times New Roman" w:hAnsi="Times New Roman"/>
          <w:b/>
          <w:bCs/>
          <w:sz w:val="24"/>
          <w:szCs w:val="24"/>
        </w:rPr>
        <w:t>Legal Lesson Learned:</w:t>
      </w:r>
      <w:r>
        <w:rPr>
          <w:rFonts w:ascii="Times New Roman" w:hAnsi="Times New Roman"/>
          <w:b/>
          <w:bCs/>
          <w:sz w:val="24"/>
          <w:szCs w:val="24"/>
        </w:rPr>
        <w:t xml:space="preserve"> Even though PA has a statutory presumption, the firefighter must still present expert testimony connecting his </w:t>
      </w:r>
      <w:proofErr w:type="gramStart"/>
      <w:r>
        <w:rPr>
          <w:rFonts w:ascii="Times New Roman" w:hAnsi="Times New Roman"/>
          <w:b/>
          <w:bCs/>
          <w:sz w:val="24"/>
          <w:szCs w:val="24"/>
        </w:rPr>
        <w:t>particular cancer</w:t>
      </w:r>
      <w:proofErr w:type="gramEnd"/>
      <w:r>
        <w:rPr>
          <w:rFonts w:ascii="Times New Roman" w:hAnsi="Times New Roman"/>
          <w:b/>
          <w:bCs/>
          <w:sz w:val="24"/>
          <w:szCs w:val="24"/>
        </w:rPr>
        <w:t xml:space="preserve"> with occupational exposures.  </w:t>
      </w:r>
    </w:p>
    <w:p w14:paraId="4000FA71" w14:textId="77777777" w:rsidR="007F3C7D" w:rsidRPr="008E2249" w:rsidRDefault="007F3C7D" w:rsidP="007F3C7D">
      <w:pPr>
        <w:ind w:left="720"/>
        <w:rPr>
          <w:rFonts w:ascii="Times New Roman" w:hAnsi="Times New Roman"/>
          <w:sz w:val="24"/>
          <w:szCs w:val="24"/>
        </w:rPr>
      </w:pPr>
      <w:r w:rsidRPr="005344DB">
        <w:rPr>
          <w:rFonts w:ascii="Times New Roman" w:hAnsi="Times New Roman"/>
          <w:sz w:val="24"/>
          <w:szCs w:val="24"/>
        </w:rPr>
        <w:t>Note:</w:t>
      </w:r>
      <w:r>
        <w:rPr>
          <w:rFonts w:ascii="Times New Roman" w:hAnsi="Times New Roman"/>
          <w:b/>
          <w:bCs/>
          <w:sz w:val="24"/>
          <w:szCs w:val="24"/>
        </w:rPr>
        <w:t xml:space="preserve"> </w:t>
      </w:r>
      <w:r w:rsidRPr="008E2249">
        <w:rPr>
          <w:rFonts w:ascii="Times New Roman" w:hAnsi="Times New Roman"/>
          <w:sz w:val="24"/>
          <w:szCs w:val="24"/>
        </w:rPr>
        <w:t>PA Supreme Court explained in another case involving malignant melanoma</w:t>
      </w:r>
      <w:r>
        <w:rPr>
          <w:rFonts w:ascii="Times New Roman" w:hAnsi="Times New Roman"/>
          <w:sz w:val="24"/>
          <w:szCs w:val="24"/>
        </w:rPr>
        <w:t xml:space="preserve"> where workers comp was granted. </w:t>
      </w:r>
      <w:r w:rsidRPr="008E2249">
        <w:rPr>
          <w:rFonts w:ascii="Times New Roman" w:hAnsi="Times New Roman"/>
          <w:sz w:val="24"/>
          <w:szCs w:val="24"/>
        </w:rPr>
        <w:t xml:space="preserve">"In other words, the claimant must produce evidence that it is </w:t>
      </w:r>
      <w:r w:rsidRPr="008E2249">
        <w:rPr>
          <w:rFonts w:ascii="Times New Roman" w:hAnsi="Times New Roman"/>
          <w:b/>
          <w:bCs/>
          <w:sz w:val="24"/>
          <w:szCs w:val="24"/>
        </w:rPr>
        <w:t>possible</w:t>
      </w:r>
      <w:r w:rsidRPr="008E2249">
        <w:rPr>
          <w:rFonts w:ascii="Times New Roman" w:hAnsi="Times New Roman"/>
          <w:sz w:val="24"/>
          <w:szCs w:val="24"/>
        </w:rPr>
        <w:t xml:space="preserve"> that the carcinogen in question caused the type of cancer with which the claimant is afflicted."</w:t>
      </w:r>
      <w:r>
        <w:rPr>
          <w:rFonts w:ascii="Times New Roman" w:hAnsi="Times New Roman"/>
          <w:sz w:val="24"/>
          <w:szCs w:val="24"/>
        </w:rPr>
        <w:t xml:space="preserve"> </w:t>
      </w:r>
      <w:r w:rsidRPr="008E2249">
        <w:rPr>
          <w:rFonts w:ascii="Times New Roman" w:hAnsi="Times New Roman"/>
          <w:sz w:val="24"/>
          <w:szCs w:val="24"/>
        </w:rPr>
        <w:t xml:space="preserve">See City of Phila. Fire </w:t>
      </w:r>
      <w:proofErr w:type="spellStart"/>
      <w:r w:rsidRPr="008E2249">
        <w:rPr>
          <w:rFonts w:ascii="Times New Roman" w:hAnsi="Times New Roman"/>
          <w:sz w:val="24"/>
          <w:szCs w:val="24"/>
        </w:rPr>
        <w:t>Dep't</w:t>
      </w:r>
      <w:proofErr w:type="spellEnd"/>
      <w:r w:rsidRPr="008E2249">
        <w:rPr>
          <w:rFonts w:ascii="Times New Roman" w:hAnsi="Times New Roman"/>
          <w:sz w:val="24"/>
          <w:szCs w:val="24"/>
        </w:rPr>
        <w:t xml:space="preserve"> v. Workers' Comp. Appeal Bd. (Sladek), 195 A.3d 197 (Pa. 2018) (Sladek II).</w:t>
      </w:r>
    </w:p>
    <w:p w14:paraId="0094A635" w14:textId="77777777" w:rsidR="007F3C7D" w:rsidRDefault="007F3C7D" w:rsidP="007F3C7D">
      <w:pPr>
        <w:ind w:left="720"/>
        <w:rPr>
          <w:rFonts w:ascii="Times New Roman" w:hAnsi="Times New Roman"/>
          <w:sz w:val="24"/>
          <w:szCs w:val="24"/>
        </w:rPr>
      </w:pPr>
      <w:r>
        <w:rPr>
          <w:rFonts w:ascii="Times New Roman" w:hAnsi="Times New Roman"/>
          <w:sz w:val="24"/>
          <w:szCs w:val="24"/>
        </w:rPr>
        <w:t>See PA Statutory Presumption:</w:t>
      </w:r>
    </w:p>
    <w:p w14:paraId="61B8FAF8" w14:textId="77777777" w:rsidR="007F3C7D" w:rsidRPr="00507F4B" w:rsidRDefault="007F3C7D" w:rsidP="007F3C7D">
      <w:pPr>
        <w:ind w:left="1440" w:firstLine="60"/>
        <w:rPr>
          <w:rFonts w:ascii="Times New Roman" w:eastAsia="Times New Roman" w:hAnsi="Times New Roman"/>
          <w:sz w:val="24"/>
          <w:szCs w:val="24"/>
        </w:rPr>
      </w:pPr>
      <w:r w:rsidRPr="00507F4B">
        <w:rPr>
          <w:rFonts w:ascii="Times New Roman" w:eastAsia="Times New Roman" w:hAnsi="Times New Roman"/>
          <w:sz w:val="24"/>
          <w:szCs w:val="24"/>
        </w:rPr>
        <w:t>Section 301(f) was added to the Act by Section 2 of the Act of July 7, 2011, P.L. 251, and provides, in pertinent part, as follows:</w:t>
      </w:r>
    </w:p>
    <w:p w14:paraId="1080F362" w14:textId="77777777" w:rsidR="007F3C7D" w:rsidRPr="00507F4B" w:rsidRDefault="007F3C7D" w:rsidP="007F3C7D">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507F4B">
        <w:rPr>
          <w:rFonts w:ascii="Times New Roman" w:eastAsia="Times New Roman" w:hAnsi="Times New Roman"/>
          <w:sz w:val="24"/>
          <w:szCs w:val="24"/>
        </w:rPr>
        <w:t>Compensation pursuant to cancer suffered by a firefighter shall only be to those firefighters who have served four or more years in continuous firefighting duties, who can establish direct exposure to a carcinogen referred to in section 108(r) relating to cancer by a firefighter and have successfully passed a physical examination prior to asserting a claim under this subsection or prior to engaging in firefighting duties and the examination failed to reveal any evidence of the condition of cancer. The presumption of this subsection may be rebutted by substantial competent evidence that shows that the firefighter's cancer was not caused by the occupation of firefighting. . . .</w:t>
      </w:r>
      <w:r>
        <w:rPr>
          <w:rFonts w:ascii="Times New Roman" w:eastAsia="Times New Roman" w:hAnsi="Times New Roman"/>
          <w:sz w:val="24"/>
          <w:szCs w:val="24"/>
        </w:rPr>
        <w:t xml:space="preserve"> </w:t>
      </w:r>
      <w:r w:rsidRPr="00507F4B">
        <w:rPr>
          <w:rFonts w:ascii="Times New Roman" w:eastAsia="Times New Roman" w:hAnsi="Times New Roman"/>
          <w:sz w:val="24"/>
          <w:szCs w:val="24"/>
        </w:rPr>
        <w:t>The presumption provided for under this subsection shall only apply to claims made within the first three hundred weeks [after the last date of employment in an occupation or industry to which a claimant was exposed to the hazards of disease].</w:t>
      </w:r>
      <w:r>
        <w:rPr>
          <w:rFonts w:ascii="Times New Roman" w:eastAsia="Times New Roman" w:hAnsi="Times New Roman"/>
          <w:sz w:val="24"/>
          <w:szCs w:val="24"/>
        </w:rPr>
        <w:t>”</w:t>
      </w:r>
    </w:p>
    <w:p w14:paraId="04E3D4AC" w14:textId="77777777" w:rsidR="007F3C7D" w:rsidRDefault="007F3C7D" w:rsidP="00EF1133">
      <w:pPr>
        <w:rPr>
          <w:rFonts w:ascii="Arial Black" w:hAnsi="Arial Black"/>
          <w:b/>
          <w:sz w:val="24"/>
          <w:szCs w:val="24"/>
        </w:rPr>
      </w:pPr>
    </w:p>
    <w:p w14:paraId="40B27EAF" w14:textId="31BFCF26"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1</w:t>
      </w:r>
    </w:p>
    <w:p w14:paraId="676DF236" w14:textId="77777777" w:rsidR="007F3C7D" w:rsidRPr="00A8166B" w:rsidRDefault="007F3C7D" w:rsidP="007F3C7D">
      <w:pPr>
        <w:spacing w:before="100" w:beforeAutospacing="1" w:after="100" w:afterAutospacing="1" w:line="240" w:lineRule="auto"/>
        <w:rPr>
          <w:rFonts w:ascii="Arial Black" w:hAnsi="Arial Black"/>
          <w:sz w:val="28"/>
          <w:szCs w:val="28"/>
        </w:rPr>
      </w:pPr>
      <w:r>
        <w:rPr>
          <w:rFonts w:ascii="Arial Black" w:hAnsi="Arial Black"/>
          <w:sz w:val="28"/>
          <w:szCs w:val="28"/>
        </w:rPr>
        <w:t>NY: APPLICANT TO FDNY – 5 POINTS “RESIDENCY CREDITS” – AMENDED TAX RETURN INSUFFICIENT PROOF RESIDENCY</w:t>
      </w:r>
    </w:p>
    <w:p w14:paraId="3F269E95" w14:textId="5AEB727F" w:rsidR="007F3C7D" w:rsidRDefault="007F3C7D" w:rsidP="007F3C7D">
      <w:pPr>
        <w:spacing w:before="100" w:beforeAutospacing="1" w:after="100" w:afterAutospacing="1" w:line="240" w:lineRule="auto"/>
        <w:rPr>
          <w:rFonts w:ascii="Times New Roman" w:hAnsi="Times New Roman"/>
          <w:sz w:val="24"/>
          <w:szCs w:val="24"/>
        </w:rPr>
      </w:pPr>
      <w:r w:rsidRPr="00A8166B">
        <w:rPr>
          <w:rFonts w:ascii="Times New Roman" w:hAnsi="Times New Roman"/>
          <w:sz w:val="24"/>
          <w:szCs w:val="24"/>
        </w:rPr>
        <w:t xml:space="preserve">On </w:t>
      </w:r>
      <w:r>
        <w:rPr>
          <w:rFonts w:ascii="Times New Roman" w:hAnsi="Times New Roman"/>
          <w:sz w:val="24"/>
          <w:szCs w:val="24"/>
        </w:rPr>
        <w:t xml:space="preserve">Dec. 28, 2020, </w:t>
      </w:r>
      <w:r w:rsidRPr="00A8166B">
        <w:rPr>
          <w:rFonts w:ascii="Times New Roman" w:hAnsi="Times New Roman"/>
          <w:sz w:val="24"/>
          <w:szCs w:val="24"/>
        </w:rPr>
        <w:t xml:space="preserve">in </w:t>
      </w:r>
      <w:r w:rsidRPr="00A8166B">
        <w:rPr>
          <w:rFonts w:ascii="Times New Roman" w:hAnsi="Times New Roman"/>
          <w:sz w:val="24"/>
          <w:szCs w:val="24"/>
          <w:u w:val="single"/>
        </w:rPr>
        <w:t>John P. Atwell v. New Your City Fire Department, et al</w:t>
      </w:r>
      <w:r>
        <w:rPr>
          <w:rFonts w:ascii="Times New Roman" w:hAnsi="Times New Roman"/>
          <w:sz w:val="24"/>
          <w:szCs w:val="24"/>
        </w:rPr>
        <w:t xml:space="preserve">., Justice Carol E. Edmead, Supreme Court of the State of New York (New York County), </w:t>
      </w:r>
      <w:r w:rsidRPr="001B0200">
        <w:rPr>
          <w:rFonts w:ascii="Times New Roman" w:hAnsi="Times New Roman"/>
          <w:sz w:val="24"/>
          <w:szCs w:val="24"/>
        </w:rPr>
        <w:t>2020 NY Slip Op 34353(U)</w:t>
      </w:r>
      <w:r>
        <w:rPr>
          <w:rFonts w:ascii="Times New Roman" w:hAnsi="Times New Roman"/>
          <w:sz w:val="24"/>
          <w:szCs w:val="24"/>
        </w:rPr>
        <w:t xml:space="preserve">, dismissed the applicant’s petition to overturn the decision of the FD’s Candidate Investigation Division (CID); the Notice Of Examination Notice advised applicants that amended tax returns are not sufficient proof of residency in the city.  His score on the </w:t>
      </w:r>
      <w:proofErr w:type="gramStart"/>
      <w:r>
        <w:rPr>
          <w:rFonts w:ascii="Times New Roman" w:hAnsi="Times New Roman"/>
          <w:sz w:val="24"/>
          <w:szCs w:val="24"/>
        </w:rPr>
        <w:t>Computer</w:t>
      </w:r>
      <w:proofErr w:type="gramEnd"/>
      <w:r>
        <w:rPr>
          <w:rFonts w:ascii="Times New Roman" w:hAnsi="Times New Roman"/>
          <w:sz w:val="24"/>
          <w:szCs w:val="24"/>
        </w:rPr>
        <w:t xml:space="preserve">-Based Test of 99, without the 5 extra residency points, moved him on the hiring list from 552 to 5594.  </w:t>
      </w:r>
    </w:p>
    <w:p w14:paraId="479E9611" w14:textId="77777777" w:rsidR="007F3C7D" w:rsidRPr="001B0200" w:rsidRDefault="007F3C7D" w:rsidP="007F3C7D">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1B0200">
        <w:rPr>
          <w:rFonts w:ascii="Times New Roman" w:hAnsi="Times New Roman"/>
          <w:sz w:val="24"/>
          <w:szCs w:val="24"/>
        </w:rPr>
        <w:t xml:space="preserve">Here, there was plainly a </w:t>
      </w:r>
      <w:r>
        <w:rPr>
          <w:rFonts w:ascii="Times New Roman" w:hAnsi="Times New Roman"/>
          <w:sz w:val="24"/>
          <w:szCs w:val="24"/>
        </w:rPr>
        <w:t>‘</w:t>
      </w:r>
      <w:r w:rsidRPr="001B0200">
        <w:rPr>
          <w:rFonts w:ascii="Times New Roman" w:hAnsi="Times New Roman"/>
          <w:sz w:val="24"/>
          <w:szCs w:val="24"/>
        </w:rPr>
        <w:t xml:space="preserve">rational </w:t>
      </w:r>
      <w:proofErr w:type="spellStart"/>
      <w:r w:rsidRPr="001B0200">
        <w:rPr>
          <w:rFonts w:ascii="Times New Roman" w:hAnsi="Times New Roman"/>
          <w:sz w:val="24"/>
          <w:szCs w:val="24"/>
        </w:rPr>
        <w:t>basis</w:t>
      </w:r>
      <w:r>
        <w:rPr>
          <w:rFonts w:ascii="Times New Roman" w:hAnsi="Times New Roman"/>
          <w:sz w:val="24"/>
          <w:szCs w:val="24"/>
        </w:rPr>
        <w:t>’</w:t>
      </w:r>
      <w:proofErr w:type="spellEnd"/>
      <w:r>
        <w:rPr>
          <w:rFonts w:ascii="Times New Roman" w:hAnsi="Times New Roman"/>
          <w:sz w:val="24"/>
          <w:szCs w:val="24"/>
        </w:rPr>
        <w:t xml:space="preserve"> </w:t>
      </w:r>
      <w:r w:rsidRPr="001B0200">
        <w:rPr>
          <w:rFonts w:ascii="Times New Roman" w:hAnsi="Times New Roman"/>
          <w:sz w:val="24"/>
          <w:szCs w:val="24"/>
        </w:rPr>
        <w:t xml:space="preserve">for the CID's decision to deny Atwell's application for a residency credit, since the evidence in the administrative record regarding Atwell's alleged NYC residency only included his amended tax return. As noted earlier, the rules set forth in the NOA </w:t>
      </w:r>
      <w:r>
        <w:rPr>
          <w:rFonts w:ascii="Times New Roman" w:hAnsi="Times New Roman"/>
          <w:sz w:val="24"/>
          <w:szCs w:val="24"/>
        </w:rPr>
        <w:t xml:space="preserve">[Notice </w:t>
      </w:r>
      <w:proofErr w:type="gramStart"/>
      <w:r>
        <w:rPr>
          <w:rFonts w:ascii="Times New Roman" w:hAnsi="Times New Roman"/>
          <w:sz w:val="24"/>
          <w:szCs w:val="24"/>
        </w:rPr>
        <w:t>Of</w:t>
      </w:r>
      <w:proofErr w:type="gramEnd"/>
      <w:r>
        <w:rPr>
          <w:rFonts w:ascii="Times New Roman" w:hAnsi="Times New Roman"/>
          <w:sz w:val="24"/>
          <w:szCs w:val="24"/>
        </w:rPr>
        <w:t xml:space="preserve"> Examination] </w:t>
      </w:r>
      <w:r w:rsidRPr="001B0200">
        <w:rPr>
          <w:rFonts w:ascii="Times New Roman" w:hAnsi="Times New Roman"/>
          <w:sz w:val="24"/>
          <w:szCs w:val="24"/>
        </w:rPr>
        <w:t xml:space="preserve">plainly provided that the FDNY would not consider amended tax returns as proof of residency. </w:t>
      </w:r>
      <w:r w:rsidRPr="001B0200">
        <w:rPr>
          <w:rFonts w:ascii="Times New Roman" w:hAnsi="Times New Roman"/>
          <w:i/>
          <w:iCs/>
          <w:sz w:val="24"/>
          <w:szCs w:val="24"/>
        </w:rPr>
        <w:t>See</w:t>
      </w:r>
      <w:r w:rsidRPr="001B0200">
        <w:rPr>
          <w:rFonts w:ascii="Times New Roman" w:hAnsi="Times New Roman"/>
          <w:sz w:val="24"/>
          <w:szCs w:val="24"/>
        </w:rPr>
        <w:t xml:space="preserve"> verified answer, exhibit 1. Therefore, the court concludes that the CID's decision to deny Atwell's application for </w:t>
      </w:r>
      <w:proofErr w:type="gramStart"/>
      <w:r w:rsidRPr="001B0200">
        <w:rPr>
          <w:rFonts w:ascii="Times New Roman" w:hAnsi="Times New Roman"/>
          <w:sz w:val="24"/>
          <w:szCs w:val="24"/>
        </w:rPr>
        <w:t>a residency</w:t>
      </w:r>
      <w:proofErr w:type="gramEnd"/>
      <w:r w:rsidRPr="001B0200">
        <w:rPr>
          <w:rFonts w:ascii="Times New Roman" w:hAnsi="Times New Roman"/>
          <w:sz w:val="24"/>
          <w:szCs w:val="24"/>
        </w:rPr>
        <w:t xml:space="preserve"> credit on his FDNY examination was not arbitrary and capricious. For </w:t>
      </w:r>
      <w:proofErr w:type="gramStart"/>
      <w:r w:rsidRPr="001B0200">
        <w:rPr>
          <w:rFonts w:ascii="Times New Roman" w:hAnsi="Times New Roman"/>
          <w:sz w:val="24"/>
          <w:szCs w:val="24"/>
        </w:rPr>
        <w:t>all of</w:t>
      </w:r>
      <w:proofErr w:type="gramEnd"/>
      <w:r w:rsidRPr="001B0200">
        <w:rPr>
          <w:rFonts w:ascii="Times New Roman" w:hAnsi="Times New Roman"/>
          <w:sz w:val="24"/>
          <w:szCs w:val="24"/>
        </w:rPr>
        <w:t xml:space="preserve"> the foregoing reasons, the court denies so much of Atwell's Article 78 petition as pertained to the FDNY's denial decision.</w:t>
      </w:r>
      <w:r>
        <w:rPr>
          <w:rFonts w:ascii="Times New Roman" w:hAnsi="Times New Roman"/>
          <w:sz w:val="24"/>
          <w:szCs w:val="24"/>
        </w:rPr>
        <w:t xml:space="preserve">” </w:t>
      </w:r>
      <w:hyperlink r:id="rId1259" w:history="1">
        <w:r w:rsidRPr="002F4AC3">
          <w:rPr>
            <w:rStyle w:val="Hyperlink"/>
            <w:rFonts w:ascii="Times New Roman" w:hAnsi="Times New Roman"/>
            <w:sz w:val="24"/>
            <w:szCs w:val="24"/>
          </w:rPr>
          <w:t>https://law.justia.com/cases/new-york/other-courts/2020/2020-ny-slip-op-34353-u.html</w:t>
        </w:r>
      </w:hyperlink>
      <w:r>
        <w:rPr>
          <w:rFonts w:ascii="Times New Roman" w:hAnsi="Times New Roman"/>
          <w:sz w:val="24"/>
          <w:szCs w:val="24"/>
        </w:rPr>
        <w:t xml:space="preserve"> </w:t>
      </w:r>
    </w:p>
    <w:p w14:paraId="78A5FFC9" w14:textId="77777777" w:rsidR="007F3C7D" w:rsidRPr="00B34D05" w:rsidRDefault="007F3C7D" w:rsidP="007F3C7D">
      <w:pPr>
        <w:spacing w:before="100" w:beforeAutospacing="1" w:after="100" w:afterAutospacing="1" w:line="240" w:lineRule="auto"/>
        <w:rPr>
          <w:rFonts w:ascii="Times New Roman" w:eastAsia="Times New Roman" w:hAnsi="Times New Roman"/>
          <w:b/>
          <w:bCs/>
          <w:sz w:val="24"/>
          <w:szCs w:val="24"/>
        </w:rPr>
      </w:pPr>
      <w:r w:rsidRPr="00B34D05">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Applicants need to read and follow the Notice of Examination; if he had “alternate proof of residency” he should have submitted it at the time of the exam. </w:t>
      </w:r>
    </w:p>
    <w:p w14:paraId="30001FBB" w14:textId="77777777" w:rsidR="007F3C7D" w:rsidRDefault="007F3C7D" w:rsidP="00EF1133">
      <w:pPr>
        <w:rPr>
          <w:rFonts w:ascii="Arial Black" w:hAnsi="Arial Black"/>
          <w:b/>
          <w:sz w:val="24"/>
          <w:szCs w:val="24"/>
        </w:rPr>
      </w:pPr>
    </w:p>
    <w:p w14:paraId="6A24C010" w14:textId="5F03AD6D" w:rsidR="005E132A" w:rsidRDefault="005E132A"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0</w:t>
      </w:r>
    </w:p>
    <w:p w14:paraId="1BECE2AA" w14:textId="77777777" w:rsidR="005E132A" w:rsidRPr="00A5637B" w:rsidRDefault="005E132A" w:rsidP="005E13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BC’s RETALIATION CASE NOT REINSTATED – CLAIMED CITY INVEST. TRAINING DIV. – PRESS “LEAK” FIRE CHIEF LACKED CE </w:t>
      </w:r>
    </w:p>
    <w:p w14:paraId="69C04D00" w14:textId="77777777" w:rsidR="005E132A" w:rsidRDefault="005E132A" w:rsidP="005E132A">
      <w:pPr>
        <w:spacing w:after="100"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23, 2020, in </w:t>
      </w:r>
      <w:r w:rsidRPr="00872791">
        <w:rPr>
          <w:rFonts w:ascii="Times New Roman" w:eastAsia="Times New Roman" w:hAnsi="Times New Roman"/>
          <w:sz w:val="24"/>
          <w:szCs w:val="24"/>
          <w:u w:val="single"/>
        </w:rPr>
        <w:t>Sean DeCrane v. Edward J. Eckart, et al.</w:t>
      </w:r>
      <w:r>
        <w:rPr>
          <w:rFonts w:ascii="Times New Roman" w:eastAsia="Times New Roman" w:hAnsi="Times New Roman"/>
          <w:sz w:val="24"/>
          <w:szCs w:val="24"/>
        </w:rPr>
        <w:t xml:space="preserve">, U.S. Senior District Court Judge Christopher A. Boyko, U.S. District Court, Northern District of Ohio (Eastern Division), has denied his motion for reconsideration of the May 13, </w:t>
      </w:r>
      <w:proofErr w:type="gramStart"/>
      <w:r>
        <w:rPr>
          <w:rFonts w:ascii="Times New Roman" w:eastAsia="Times New Roman" w:hAnsi="Times New Roman"/>
          <w:sz w:val="24"/>
          <w:szCs w:val="24"/>
        </w:rPr>
        <w:t>2020</w:t>
      </w:r>
      <w:proofErr w:type="gramEnd"/>
      <w:r>
        <w:rPr>
          <w:rFonts w:ascii="Times New Roman" w:eastAsia="Times New Roman" w:hAnsi="Times New Roman"/>
          <w:sz w:val="24"/>
          <w:szCs w:val="24"/>
        </w:rPr>
        <w:t xml:space="preserve"> dismissal of his law</w:t>
      </w:r>
      <w:r>
        <w:rPr>
          <w:rFonts w:ascii="Times New Roman" w:eastAsia="Times New Roman" w:hAnsi="Times New Roman"/>
          <w:sz w:val="24"/>
          <w:szCs w:val="24"/>
        </w:rPr>
        <w:softHyphen/>
        <w:t xml:space="preserve">suit claiming retaliation.  He claimed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thought he was the Press leaker and in retaliation started a City “Office of Integrity Control” investigation of the Training Division which he then managed.  </w:t>
      </w:r>
    </w:p>
    <w:p w14:paraId="1156F084" w14:textId="77777777" w:rsidR="005E132A" w:rsidRPr="0047468C" w:rsidRDefault="005E132A" w:rsidP="005E132A">
      <w:pPr>
        <w:spacing w:after="100" w:line="240" w:lineRule="auto"/>
        <w:ind w:left="720"/>
        <w:rPr>
          <w:rFonts w:ascii="Times New Roman" w:eastAsia="Times New Roman" w:hAnsi="Times New Roman"/>
          <w:sz w:val="24"/>
          <w:szCs w:val="24"/>
        </w:rPr>
      </w:pPr>
      <w:r>
        <w:t>“</w:t>
      </w:r>
      <w:r w:rsidRPr="0047468C">
        <w:rPr>
          <w:rFonts w:ascii="Times New Roman" w:hAnsi="Times New Roman"/>
          <w:sz w:val="24"/>
          <w:szCs w:val="24"/>
        </w:rPr>
        <w:t>Plaintiff argued as follows</w:t>
      </w:r>
      <w:r>
        <w:rPr>
          <w:rFonts w:ascii="Times New Roman" w:hAnsi="Times New Roman"/>
          <w:sz w:val="24"/>
          <w:szCs w:val="24"/>
        </w:rPr>
        <w:t>:</w:t>
      </w:r>
    </w:p>
    <w:p w14:paraId="4F55A090" w14:textId="77777777" w:rsidR="005E132A" w:rsidRPr="00A5637B" w:rsidRDefault="005E132A" w:rsidP="005E132A">
      <w:pPr>
        <w:spacing w:after="100" w:line="240" w:lineRule="auto"/>
        <w:ind w:left="1440"/>
        <w:rPr>
          <w:rFonts w:ascii="Times New Roman" w:eastAsia="Times New Roman" w:hAnsi="Times New Roman"/>
          <w:sz w:val="24"/>
          <w:szCs w:val="24"/>
        </w:rPr>
      </w:pPr>
      <w:r w:rsidRPr="00A5637B">
        <w:rPr>
          <w:rFonts w:ascii="Times New Roman" w:eastAsia="Times New Roman" w:hAnsi="Times New Roman"/>
          <w:sz w:val="24"/>
          <w:szCs w:val="24"/>
        </w:rPr>
        <w:t xml:space="preserve">The </w:t>
      </w:r>
      <w:proofErr w:type="gramStart"/>
      <w:r w:rsidRPr="00A5637B">
        <w:rPr>
          <w:rFonts w:ascii="Times New Roman" w:eastAsia="Times New Roman" w:hAnsi="Times New Roman"/>
          <w:sz w:val="24"/>
          <w:szCs w:val="24"/>
        </w:rPr>
        <w:t>City</w:t>
      </w:r>
      <w:proofErr w:type="gramEnd"/>
      <w:r w:rsidRPr="00A5637B">
        <w:rPr>
          <w:rFonts w:ascii="Times New Roman" w:eastAsia="Times New Roman" w:hAnsi="Times New Roman"/>
          <w:sz w:val="24"/>
          <w:szCs w:val="24"/>
        </w:rPr>
        <w:t xml:space="preserve"> engaged in a </w:t>
      </w:r>
      <w:proofErr w:type="gramStart"/>
      <w:r w:rsidRPr="00A5637B">
        <w:rPr>
          <w:rFonts w:ascii="Times New Roman" w:eastAsia="Times New Roman" w:hAnsi="Times New Roman"/>
          <w:sz w:val="24"/>
          <w:szCs w:val="24"/>
        </w:rPr>
        <w:t>years</w:t>
      </w:r>
      <w:proofErr w:type="gramEnd"/>
      <w:r w:rsidRPr="00A5637B">
        <w:rPr>
          <w:rFonts w:ascii="Times New Roman" w:eastAsia="Times New Roman" w:hAnsi="Times New Roman"/>
          <w:sz w:val="24"/>
          <w:szCs w:val="24"/>
        </w:rPr>
        <w:t xml:space="preserve">-long pattern of retaliation against DeCrane, fueled by </w:t>
      </w:r>
      <w:r>
        <w:rPr>
          <w:rFonts w:ascii="Times New Roman" w:eastAsia="Times New Roman" w:hAnsi="Times New Roman"/>
          <w:sz w:val="24"/>
          <w:szCs w:val="24"/>
        </w:rPr>
        <w:t xml:space="preserve">[Assistant Safety Director] </w:t>
      </w:r>
      <w:r w:rsidRPr="00A5637B">
        <w:rPr>
          <w:rFonts w:ascii="Times New Roman" w:eastAsia="Times New Roman" w:hAnsi="Times New Roman"/>
          <w:sz w:val="24"/>
          <w:szCs w:val="24"/>
        </w:rPr>
        <w:t>Eckart</w:t>
      </w:r>
      <w:r>
        <w:rPr>
          <w:rFonts w:ascii="Times New Roman" w:eastAsia="Times New Roman" w:hAnsi="Times New Roman"/>
          <w:sz w:val="24"/>
          <w:szCs w:val="24"/>
        </w:rPr>
        <w:t>’</w:t>
      </w:r>
      <w:r w:rsidRPr="00A5637B">
        <w:rPr>
          <w:rFonts w:ascii="Times New Roman" w:eastAsia="Times New Roman" w:hAnsi="Times New Roman"/>
          <w:sz w:val="24"/>
          <w:szCs w:val="24"/>
        </w:rPr>
        <w:t>s and Mayor Jackson</w:t>
      </w:r>
      <w:r>
        <w:rPr>
          <w:rFonts w:ascii="Times New Roman" w:eastAsia="Times New Roman" w:hAnsi="Times New Roman"/>
          <w:sz w:val="24"/>
          <w:szCs w:val="24"/>
        </w:rPr>
        <w:t>’</w:t>
      </w:r>
      <w:r w:rsidRPr="00A5637B">
        <w:rPr>
          <w:rFonts w:ascii="Times New Roman" w:eastAsia="Times New Roman" w:hAnsi="Times New Roman"/>
          <w:sz w:val="24"/>
          <w:szCs w:val="24"/>
        </w:rPr>
        <w:t>s irritation with DeCrane</w:t>
      </w:r>
      <w:r>
        <w:rPr>
          <w:rFonts w:ascii="Times New Roman" w:eastAsia="Times New Roman" w:hAnsi="Times New Roman"/>
          <w:sz w:val="24"/>
          <w:szCs w:val="24"/>
        </w:rPr>
        <w:t>’</w:t>
      </w:r>
      <w:r w:rsidRPr="00A5637B">
        <w:rPr>
          <w:rFonts w:ascii="Times New Roman" w:eastAsia="Times New Roman" w:hAnsi="Times New Roman"/>
          <w:sz w:val="24"/>
          <w:szCs w:val="24"/>
        </w:rPr>
        <w:t>s protected activity, both real and suspected. Jackson made clear his feelings about the McGinnis leak, leading Defendants to then act against DeCrane with impunity. The City</w:t>
      </w:r>
      <w:r>
        <w:rPr>
          <w:rFonts w:ascii="Times New Roman" w:eastAsia="Times New Roman" w:hAnsi="Times New Roman"/>
          <w:sz w:val="24"/>
          <w:szCs w:val="24"/>
        </w:rPr>
        <w:t>’</w:t>
      </w:r>
      <w:r w:rsidRPr="00A5637B">
        <w:rPr>
          <w:rFonts w:ascii="Times New Roman" w:eastAsia="Times New Roman" w:hAnsi="Times New Roman"/>
          <w:sz w:val="24"/>
          <w:szCs w:val="24"/>
        </w:rPr>
        <w:t>s failure to train most officials on employees</w:t>
      </w:r>
      <w:r>
        <w:rPr>
          <w:rFonts w:ascii="Times New Roman" w:eastAsia="Times New Roman" w:hAnsi="Times New Roman"/>
          <w:sz w:val="24"/>
          <w:szCs w:val="24"/>
        </w:rPr>
        <w:t>’</w:t>
      </w:r>
      <w:r w:rsidRPr="00A5637B">
        <w:rPr>
          <w:rFonts w:ascii="Times New Roman" w:eastAsia="Times New Roman" w:hAnsi="Times New Roman"/>
          <w:sz w:val="24"/>
          <w:szCs w:val="24"/>
        </w:rPr>
        <w:t xml:space="preserve"> First Amendment rights contributed to the retaliatory activity as well. And the retaliation</w:t>
      </w:r>
      <w:r>
        <w:rPr>
          <w:rFonts w:ascii="Times New Roman" w:eastAsia="Times New Roman" w:hAnsi="Times New Roman"/>
          <w:sz w:val="24"/>
          <w:szCs w:val="24"/>
        </w:rPr>
        <w:t>’</w:t>
      </w:r>
      <w:r w:rsidRPr="00A5637B">
        <w:rPr>
          <w:rFonts w:ascii="Times New Roman" w:eastAsia="Times New Roman" w:hAnsi="Times New Roman"/>
          <w:sz w:val="24"/>
          <w:szCs w:val="24"/>
        </w:rPr>
        <w:t xml:space="preserve">s length </w:t>
      </w:r>
      <w:r>
        <w:rPr>
          <w:rFonts w:ascii="Times New Roman" w:eastAsia="Times New Roman" w:hAnsi="Times New Roman"/>
          <w:sz w:val="24"/>
          <w:szCs w:val="24"/>
        </w:rPr>
        <w:t>–</w:t>
      </w:r>
      <w:r w:rsidRPr="00A5637B">
        <w:rPr>
          <w:rFonts w:ascii="Times New Roman" w:eastAsia="Times New Roman" w:hAnsi="Times New Roman"/>
          <w:sz w:val="24"/>
          <w:szCs w:val="24"/>
        </w:rPr>
        <w:t xml:space="preserve"> in terms of time and the measures taken </w:t>
      </w:r>
      <w:r>
        <w:rPr>
          <w:rFonts w:ascii="Times New Roman" w:eastAsia="Times New Roman" w:hAnsi="Times New Roman"/>
          <w:sz w:val="24"/>
          <w:szCs w:val="24"/>
        </w:rPr>
        <w:t>–</w:t>
      </w:r>
      <w:r w:rsidRPr="00A5637B">
        <w:rPr>
          <w:rFonts w:ascii="Times New Roman" w:eastAsia="Times New Roman" w:hAnsi="Times New Roman"/>
          <w:sz w:val="24"/>
          <w:szCs w:val="24"/>
        </w:rPr>
        <w:t xml:space="preserve"> demonstrates the City</w:t>
      </w:r>
      <w:r>
        <w:rPr>
          <w:rFonts w:ascii="Times New Roman" w:eastAsia="Times New Roman" w:hAnsi="Times New Roman"/>
          <w:sz w:val="24"/>
          <w:szCs w:val="24"/>
        </w:rPr>
        <w:t>’</w:t>
      </w:r>
      <w:r w:rsidRPr="00A5637B">
        <w:rPr>
          <w:rFonts w:ascii="Times New Roman" w:eastAsia="Times New Roman" w:hAnsi="Times New Roman"/>
          <w:sz w:val="24"/>
          <w:szCs w:val="24"/>
        </w:rPr>
        <w:t>s deliberate indifference to DeCrane</w:t>
      </w:r>
      <w:r>
        <w:rPr>
          <w:rFonts w:ascii="Times New Roman" w:eastAsia="Times New Roman" w:hAnsi="Times New Roman"/>
          <w:sz w:val="24"/>
          <w:szCs w:val="24"/>
        </w:rPr>
        <w:t>’</w:t>
      </w:r>
      <w:r w:rsidRPr="00A5637B">
        <w:rPr>
          <w:rFonts w:ascii="Times New Roman" w:eastAsia="Times New Roman" w:hAnsi="Times New Roman"/>
          <w:sz w:val="24"/>
          <w:szCs w:val="24"/>
        </w:rPr>
        <w:t>s rights. (ECF DKT #151, p.27).</w:t>
      </w:r>
    </w:p>
    <w:p w14:paraId="22FD9F63"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sidRPr="00A5637B">
        <w:rPr>
          <w:rFonts w:ascii="Times New Roman" w:eastAsia="Times New Roman" w:hAnsi="Times New Roman"/>
          <w:sz w:val="24"/>
          <w:szCs w:val="24"/>
        </w:rPr>
        <w:t xml:space="preserve">Aside from these declarations, Plaintiff offered no citations (not even in a footnote) to any </w:t>
      </w:r>
      <w:proofErr w:type="gramStart"/>
      <w:r w:rsidRPr="00A5637B">
        <w:rPr>
          <w:rFonts w:ascii="Times New Roman" w:eastAsia="Times New Roman" w:hAnsi="Times New Roman"/>
          <w:sz w:val="24"/>
          <w:szCs w:val="24"/>
        </w:rPr>
        <w:t>previously-detailed</w:t>
      </w:r>
      <w:proofErr w:type="gramEnd"/>
      <w:r w:rsidRPr="00A5637B">
        <w:rPr>
          <w:rFonts w:ascii="Times New Roman" w:eastAsia="Times New Roman" w:hAnsi="Times New Roman"/>
          <w:sz w:val="24"/>
          <w:szCs w:val="24"/>
        </w:rPr>
        <w:t xml:space="preserve"> facts to illustrate a policy, a final </w:t>
      </w:r>
      <w:proofErr w:type="gramStart"/>
      <w:r w:rsidRPr="00A5637B">
        <w:rPr>
          <w:rFonts w:ascii="Times New Roman" w:eastAsia="Times New Roman" w:hAnsi="Times New Roman"/>
          <w:sz w:val="24"/>
          <w:szCs w:val="24"/>
        </w:rPr>
        <w:t>policy-maker</w:t>
      </w:r>
      <w:proofErr w:type="gramEnd"/>
      <w:r w:rsidRPr="00A5637B">
        <w:rPr>
          <w:rFonts w:ascii="Times New Roman" w:eastAsia="Times New Roman" w:hAnsi="Times New Roman"/>
          <w:sz w:val="24"/>
          <w:szCs w:val="24"/>
        </w:rPr>
        <w:t xml:space="preserve"> (particularly as </w:t>
      </w:r>
      <w:proofErr w:type="gramStart"/>
      <w:r w:rsidRPr="00A5637B">
        <w:rPr>
          <w:rFonts w:ascii="Times New Roman" w:eastAsia="Times New Roman" w:hAnsi="Times New Roman"/>
          <w:sz w:val="24"/>
          <w:szCs w:val="24"/>
        </w:rPr>
        <w:t>relates</w:t>
      </w:r>
      <w:proofErr w:type="gramEnd"/>
      <w:r w:rsidRPr="00A5637B">
        <w:rPr>
          <w:rFonts w:ascii="Times New Roman" w:eastAsia="Times New Roman" w:hAnsi="Times New Roman"/>
          <w:sz w:val="24"/>
          <w:szCs w:val="24"/>
        </w:rPr>
        <w:t xml:space="preserve"> to Defendant Eckart), deficient training, nor tolerance of, or indifference to, constitutional violations.</w:t>
      </w:r>
      <w:r>
        <w:rPr>
          <w:rFonts w:ascii="Times New Roman" w:eastAsia="Times New Roman" w:hAnsi="Times New Roman"/>
          <w:sz w:val="24"/>
          <w:szCs w:val="24"/>
        </w:rPr>
        <w:t xml:space="preserve">  </w:t>
      </w:r>
      <w:hyperlink r:id="rId1260" w:history="1">
        <w:r w:rsidRPr="008505F4">
          <w:rPr>
            <w:rStyle w:val="Hyperlink"/>
          </w:rPr>
          <w:t>https://www.leagle.com/decision/infdco20201228943</w:t>
        </w:r>
      </w:hyperlink>
      <w:r>
        <w:rPr>
          <w:rFonts w:ascii="Times New Roman" w:eastAsia="Times New Roman" w:hAnsi="Times New Roman"/>
          <w:sz w:val="24"/>
          <w:szCs w:val="24"/>
        </w:rPr>
        <w:t xml:space="preserve"> </w:t>
      </w:r>
    </w:p>
    <w:p w14:paraId="5411E2FE" w14:textId="77777777" w:rsidR="005E132A" w:rsidRDefault="005E132A" w:rsidP="005E132A">
      <w:pPr>
        <w:pStyle w:val="Heading1"/>
        <w:rPr>
          <w:sz w:val="24"/>
          <w:szCs w:val="24"/>
        </w:rPr>
      </w:pPr>
      <w:r w:rsidRPr="00DD2400">
        <w:rPr>
          <w:sz w:val="24"/>
          <w:szCs w:val="24"/>
        </w:rPr>
        <w:t xml:space="preserve">Legal Lesson Learned: </w:t>
      </w:r>
      <w:r>
        <w:rPr>
          <w:sz w:val="24"/>
          <w:szCs w:val="24"/>
        </w:rPr>
        <w:t xml:space="preserve">The U.S. Supreme Court has placed a heavy burden on plaintiffs suing cities and other municipalities for </w:t>
      </w:r>
      <w:r w:rsidRPr="00DD2400">
        <w:rPr>
          <w:sz w:val="24"/>
          <w:szCs w:val="24"/>
        </w:rPr>
        <w:t xml:space="preserve">deprivation of </w:t>
      </w:r>
      <w:r>
        <w:rPr>
          <w:sz w:val="24"/>
          <w:szCs w:val="24"/>
        </w:rPr>
        <w:t>f</w:t>
      </w:r>
      <w:r w:rsidRPr="00DD2400">
        <w:rPr>
          <w:sz w:val="24"/>
          <w:szCs w:val="24"/>
        </w:rPr>
        <w:t>ederal Constitutional rights under 42 USC 1983</w:t>
      </w:r>
      <w:r>
        <w:rPr>
          <w:sz w:val="24"/>
          <w:szCs w:val="24"/>
        </w:rPr>
        <w:t xml:space="preserve">.   Need to prove that a city policy or a city “final policy maker” is indifferent to constitutional violations. </w:t>
      </w:r>
    </w:p>
    <w:p w14:paraId="4D3E17D1" w14:textId="77777777" w:rsidR="005E132A" w:rsidRDefault="005E132A" w:rsidP="005E132A">
      <w:pPr>
        <w:pStyle w:val="Heading1"/>
        <w:ind w:firstLine="720"/>
        <w:rPr>
          <w:b w:val="0"/>
          <w:bCs w:val="0"/>
          <w:sz w:val="24"/>
          <w:szCs w:val="24"/>
        </w:rPr>
      </w:pPr>
      <w:r>
        <w:rPr>
          <w:b w:val="0"/>
          <w:bCs w:val="0"/>
          <w:sz w:val="24"/>
          <w:szCs w:val="24"/>
        </w:rPr>
        <w:t xml:space="preserve">Note: See these Press articles about the Cleveland FD. </w:t>
      </w:r>
    </w:p>
    <w:p w14:paraId="62249C31" w14:textId="77777777" w:rsidR="005E132A" w:rsidRPr="00721AFF" w:rsidRDefault="005E132A" w:rsidP="005E132A">
      <w:pPr>
        <w:pStyle w:val="Heading1"/>
        <w:ind w:left="720"/>
        <w:rPr>
          <w:b w:val="0"/>
          <w:bCs w:val="0"/>
          <w:sz w:val="24"/>
          <w:szCs w:val="24"/>
        </w:rPr>
      </w:pPr>
      <w:r w:rsidRPr="00691C9E">
        <w:rPr>
          <w:b w:val="0"/>
          <w:bCs w:val="0"/>
          <w:sz w:val="24"/>
          <w:szCs w:val="24"/>
        </w:rPr>
        <w:t>Aug. 14, 2013: “Cleveland Fire Chief to Retire Friday.</w:t>
      </w:r>
      <w:r>
        <w:rPr>
          <w:b w:val="0"/>
          <w:bCs w:val="0"/>
          <w:sz w:val="24"/>
          <w:szCs w:val="24"/>
        </w:rPr>
        <w:t xml:space="preserve">” </w:t>
      </w:r>
      <w:hyperlink r:id="rId1261" w:history="1">
        <w:r w:rsidRPr="00721AFF">
          <w:rPr>
            <w:rStyle w:val="Hyperlink"/>
            <w:b w:val="0"/>
            <w:bCs w:val="0"/>
            <w:sz w:val="24"/>
            <w:szCs w:val="24"/>
          </w:rPr>
          <w:t>https://fox8.com/news/cleveland-fire-chief-to-retire-friday/</w:t>
        </w:r>
      </w:hyperlink>
      <w:r w:rsidRPr="00721AFF">
        <w:rPr>
          <w:b w:val="0"/>
          <w:bCs w:val="0"/>
          <w:sz w:val="24"/>
          <w:szCs w:val="24"/>
        </w:rPr>
        <w:t xml:space="preserve"> </w:t>
      </w:r>
    </w:p>
    <w:p w14:paraId="3188F9E4" w14:textId="77777777" w:rsidR="005E132A" w:rsidRPr="00721AFF" w:rsidRDefault="005E132A" w:rsidP="005E132A">
      <w:pPr>
        <w:pStyle w:val="Heading1"/>
        <w:ind w:left="720"/>
        <w:rPr>
          <w:b w:val="0"/>
          <w:bCs w:val="0"/>
          <w:sz w:val="24"/>
          <w:szCs w:val="24"/>
        </w:rPr>
      </w:pPr>
      <w:r>
        <w:rPr>
          <w:b w:val="0"/>
          <w:bCs w:val="0"/>
          <w:sz w:val="24"/>
          <w:szCs w:val="24"/>
        </w:rPr>
        <w:t xml:space="preserve">Oct. 31, 2016: </w:t>
      </w:r>
      <w:r w:rsidRPr="00691C9E">
        <w:rPr>
          <w:b w:val="0"/>
          <w:bCs w:val="0"/>
          <w:sz w:val="24"/>
          <w:szCs w:val="24"/>
        </w:rPr>
        <w:t>“Retired Cleveland Fire Division battalion chief files First Amendment-retaliation suit against City &amp; senior public-safety officials.</w:t>
      </w:r>
      <w:r>
        <w:rPr>
          <w:b w:val="0"/>
          <w:bCs w:val="0"/>
          <w:sz w:val="24"/>
          <w:szCs w:val="24"/>
        </w:rPr>
        <w:t>”</w:t>
      </w:r>
      <w:r w:rsidRPr="00691C9E">
        <w:rPr>
          <w:b w:val="0"/>
          <w:bCs w:val="0"/>
          <w:sz w:val="24"/>
          <w:szCs w:val="24"/>
        </w:rPr>
        <w:t xml:space="preserve"> </w:t>
      </w:r>
      <w:hyperlink r:id="rId1262" w:history="1">
        <w:r w:rsidRPr="00721AFF">
          <w:rPr>
            <w:rStyle w:val="Hyperlink"/>
            <w:b w:val="0"/>
            <w:bCs w:val="0"/>
            <w:sz w:val="24"/>
            <w:szCs w:val="24"/>
          </w:rPr>
          <w:t>https://www.chandralaw.com/blog/retired-cleveland-fire-division-battalion-chief-files-first-amendment-retaliation-suit-against-city-senior-public-safety-officials</w:t>
        </w:r>
      </w:hyperlink>
      <w:r w:rsidRPr="00721AFF">
        <w:rPr>
          <w:b w:val="0"/>
          <w:bCs w:val="0"/>
          <w:sz w:val="24"/>
          <w:szCs w:val="24"/>
        </w:rPr>
        <w:t xml:space="preserve"> </w:t>
      </w:r>
    </w:p>
    <w:p w14:paraId="2110C89D" w14:textId="77777777" w:rsidR="005E132A" w:rsidRDefault="005E132A" w:rsidP="00EF1133">
      <w:pPr>
        <w:rPr>
          <w:rFonts w:ascii="Arial Black" w:hAnsi="Arial Black"/>
          <w:b/>
          <w:sz w:val="24"/>
          <w:szCs w:val="24"/>
        </w:rPr>
      </w:pPr>
    </w:p>
    <w:p w14:paraId="711C5C5B" w14:textId="755259BB" w:rsidR="005E132A" w:rsidRDefault="005E132A" w:rsidP="00EF1133">
      <w:pPr>
        <w:rPr>
          <w:rFonts w:ascii="Arial Black" w:hAnsi="Arial Black"/>
          <w:b/>
          <w:sz w:val="24"/>
          <w:szCs w:val="24"/>
        </w:rPr>
      </w:pPr>
      <w:r>
        <w:rPr>
          <w:rFonts w:ascii="Arial Black" w:hAnsi="Arial Black"/>
          <w:b/>
          <w:sz w:val="24"/>
          <w:szCs w:val="24"/>
        </w:rPr>
        <w:t>6-</w:t>
      </w:r>
      <w:r w:rsidR="008F02C3">
        <w:rPr>
          <w:rFonts w:ascii="Arial Black" w:hAnsi="Arial Black"/>
          <w:b/>
          <w:sz w:val="24"/>
          <w:szCs w:val="24"/>
        </w:rPr>
        <w:t>59</w:t>
      </w:r>
    </w:p>
    <w:p w14:paraId="3B72369B" w14:textId="77777777" w:rsidR="00737B49" w:rsidRDefault="00737B49" w:rsidP="00737B49">
      <w:pPr>
        <w:tabs>
          <w:tab w:val="left" w:pos="667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14, 2020, in </w:t>
      </w:r>
      <w:r>
        <w:rPr>
          <w:rFonts w:ascii="Times New Roman" w:hAnsi="Times New Roman"/>
          <w:sz w:val="24"/>
          <w:szCs w:val="24"/>
          <w:u w:val="single"/>
        </w:rPr>
        <w:t>Sean T. Heneghan v. City of Evanston</w:t>
      </w:r>
      <w:r>
        <w:rPr>
          <w:rFonts w:ascii="Times New Roman" w:hAnsi="Times New Roman"/>
          <w:sz w:val="24"/>
          <w:szCs w:val="24"/>
        </w:rPr>
        <w:t>, the Appellate Court of Illinois, First District (First Division), held (3 to 0; unpublished decision) that the City properly denied the firefighter life-time health benefits since he was not responding to an emergency when he and his partner were performing ventilation, the saw malfunctioned, he retrieved an ax from the ground, lost his balance when peeling off roof cover with the ax and severely injured both feet when he fell off the roof.  The Illinois statute provides for life-time insurance or firefighters and family who are killed or suffer catastrophic injury responding to “what is reasonably believed to be an emergency.”</w:t>
      </w:r>
    </w:p>
    <w:p w14:paraId="27A59A2C" w14:textId="77777777" w:rsidR="00737B49" w:rsidRDefault="00737B49" w:rsidP="00737B49">
      <w:pPr>
        <w:tabs>
          <w:tab w:val="left" w:pos="6670"/>
        </w:tabs>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t>“Plaintiff argues that he was responding to what he reasonably believed to be an emergency when the saw failed during the exercise. We are not persuaded by this argument.</w:t>
      </w:r>
    </w:p>
    <w:p w14:paraId="171856DD" w14:textId="77777777" w:rsidR="00737B49" w:rsidRDefault="00737B49" w:rsidP="00737B49">
      <w:pPr>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t xml:space="preserve">The failure of the </w:t>
      </w:r>
      <w:proofErr w:type="gramStart"/>
      <w:r>
        <w:rPr>
          <w:rFonts w:ascii="Times New Roman" w:hAnsi="Times New Roman"/>
          <w:sz w:val="24"/>
          <w:szCs w:val="24"/>
        </w:rPr>
        <w:t>saw</w:t>
      </w:r>
      <w:proofErr w:type="gramEnd"/>
      <w:r>
        <w:rPr>
          <w:rFonts w:ascii="Times New Roman" w:hAnsi="Times New Roman"/>
          <w:sz w:val="24"/>
          <w:szCs w:val="24"/>
        </w:rPr>
        <w:t xml:space="preserve"> was certainly an unforeseen development and could reasonably be regarded as an emergency. If the vent covers were not removed, then the firefighters inside the structure would be in imminent danger from fire and explosions. However, plaintiff was able to climb from the roof, retrieve his axe, return to the roof, and pry open the first vent cover. The emergency that plaintiff describes was the failure of the saw and his belief that the vent covers could not be opened. That emergency ended once plaintiff was able to successfully pry open this first cover with his axe.</w:t>
      </w:r>
    </w:p>
    <w:p w14:paraId="1BC91DB3" w14:textId="77777777" w:rsidR="00737B49" w:rsidRDefault="00737B49" w:rsidP="00737B49">
      <w:pPr>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t>***</w:t>
      </w:r>
    </w:p>
    <w:p w14:paraId="0D852576" w14:textId="77777777" w:rsidR="00737B49" w:rsidRDefault="00737B49" w:rsidP="00737B49">
      <w:pPr>
        <w:spacing w:before="100" w:beforeAutospacing="1" w:after="100" w:afterAutospacing="1" w:line="240" w:lineRule="auto"/>
        <w:ind w:left="630"/>
        <w:rPr>
          <w:rFonts w:ascii="Times New Roman" w:eastAsia="Times New Roman" w:hAnsi="Times New Roman"/>
          <w:sz w:val="24"/>
          <w:szCs w:val="24"/>
        </w:rPr>
      </w:pPr>
      <w:r>
        <w:rPr>
          <w:rFonts w:ascii="Times New Roman" w:eastAsia="Times New Roman" w:hAnsi="Times New Roman"/>
          <w:sz w:val="24"/>
          <w:szCs w:val="24"/>
        </w:rPr>
        <w:t xml:space="preserve">Once he had a suitable replacement for the saw, he was able to continue with the rest of the exercise. He could not reasonably believe that his fellow firefighters were still in imminent danger after finding a replacement tool. He also would have known that it was possible </w:t>
      </w:r>
      <w:proofErr w:type="gramStart"/>
      <w:r>
        <w:rPr>
          <w:rFonts w:ascii="Times New Roman" w:eastAsia="Times New Roman" w:hAnsi="Times New Roman"/>
          <w:sz w:val="24"/>
          <w:szCs w:val="24"/>
        </w:rPr>
        <w:t>the open</w:t>
      </w:r>
      <w:proofErr w:type="gramEnd"/>
      <w:r>
        <w:rPr>
          <w:rFonts w:ascii="Times New Roman" w:eastAsia="Times New Roman" w:hAnsi="Times New Roman"/>
          <w:sz w:val="24"/>
          <w:szCs w:val="24"/>
        </w:rPr>
        <w:t xml:space="preserve"> the remaining vent with his axe. More importantly, he was not injured because of his actions addressing the saw's </w:t>
      </w:r>
      <w:proofErr w:type="gramStart"/>
      <w:r>
        <w:rPr>
          <w:rFonts w:ascii="Times New Roman" w:eastAsia="Times New Roman" w:hAnsi="Times New Roman"/>
          <w:sz w:val="24"/>
          <w:szCs w:val="24"/>
        </w:rPr>
        <w:t>failure.”</w:t>
      </w:r>
      <w:proofErr w:type="gramEnd"/>
      <w:r>
        <w:rPr>
          <w:rFonts w:ascii="Times New Roman" w:eastAsia="Times New Roman" w:hAnsi="Times New Roman"/>
          <w:sz w:val="24"/>
          <w:szCs w:val="24"/>
        </w:rPr>
        <w:t xml:space="preserve"> </w:t>
      </w:r>
      <w:hyperlink r:id="rId1263" w:history="1">
        <w:r>
          <w:rPr>
            <w:rStyle w:val="Hyperlink"/>
          </w:rPr>
          <w:t>https://casetext.com/case/heneghan-v-city-of-evanston</w:t>
        </w:r>
      </w:hyperlink>
      <w:r>
        <w:rPr>
          <w:rFonts w:ascii="Times New Roman" w:eastAsia="Times New Roman" w:hAnsi="Times New Roman"/>
          <w:sz w:val="24"/>
          <w:szCs w:val="24"/>
        </w:rPr>
        <w:t xml:space="preserve"> </w:t>
      </w:r>
    </w:p>
    <w:p w14:paraId="4B99668C" w14:textId="77777777" w:rsidR="00737B49" w:rsidRDefault="00737B49" w:rsidP="00737B49">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Terrible injury, but facts clearly show did not occur during an “emergency.”</w:t>
      </w:r>
    </w:p>
    <w:p w14:paraId="56FFDA15" w14:textId="77777777" w:rsidR="00737B49" w:rsidRDefault="00737B49" w:rsidP="00737B49">
      <w:pPr>
        <w:spacing w:before="100" w:beforeAutospacing="1" w:after="100" w:afterAutospacing="1" w:line="240" w:lineRule="auto"/>
        <w:ind w:left="720"/>
        <w:rPr>
          <w:rFonts w:asciiTheme="minorHAnsi" w:hAnsiTheme="minorHAnsi" w:cstheme="minorBidi"/>
        </w:rPr>
      </w:pPr>
      <w:r>
        <w:rPr>
          <w:rFonts w:ascii="Times New Roman" w:hAnsi="Times New Roman"/>
          <w:sz w:val="24"/>
          <w:szCs w:val="24"/>
        </w:rPr>
        <w:t xml:space="preserve">Note:  The Court referenced that Illinois case law does support life-time medical coverage during a training exercise if there is a true emergency. </w:t>
      </w:r>
      <w:r>
        <w:rPr>
          <w:rFonts w:ascii="Times New Roman" w:hAnsi="Times New Roman"/>
          <w:sz w:val="24"/>
          <w:szCs w:val="24"/>
          <w:u w:val="single"/>
        </w:rPr>
        <w:t>Gaffney v. Board of Trustees of Orland Fire Protection District</w:t>
      </w:r>
      <w:r>
        <w:rPr>
          <w:rFonts w:ascii="Times New Roman" w:hAnsi="Times New Roman"/>
          <w:sz w:val="24"/>
          <w:szCs w:val="24"/>
        </w:rPr>
        <w:t xml:space="preserve">, 2012 IL 110012, May 29, 2012, Illinois Supreme Court: </w:t>
      </w:r>
      <w:hyperlink r:id="rId1264" w:history="1">
        <w:r>
          <w:rPr>
            <w:rStyle w:val="Hyperlink"/>
          </w:rPr>
          <w:t>https://courts.illinois.gov/opinions/SupremeCourt/2012/110012.pdf</w:t>
        </w:r>
      </w:hyperlink>
      <w:r>
        <w:t xml:space="preserve"> </w:t>
      </w:r>
    </w:p>
    <w:p w14:paraId="779F75AC" w14:textId="11A9219B" w:rsidR="00737B49" w:rsidRDefault="00737B49" w:rsidP="00737B49">
      <w:pPr>
        <w:rPr>
          <w:rStyle w:val="Hyperlink"/>
        </w:rPr>
      </w:pPr>
      <w:r>
        <w:rPr>
          <w:rFonts w:ascii="Times New Roman" w:hAnsi="Times New Roman"/>
          <w:sz w:val="24"/>
          <w:szCs w:val="24"/>
        </w:rPr>
        <w:t xml:space="preserve">“Gaffney was injured during a live fire training exercise on the third floor of a building. Gaffney wore full fire gear for the exercise, and his battalion chief instructed him to treat the exercise as an actual emergency. As the crew was moving the fire hose from the second floor to the third floor, it became entangled. The smoke from the fire left no visibility. Gaffney followed the hose back down to the second floor and discovered that it was hooked around a loveseat. When Gaffney flipped the loveseat backward, he injured his shoulder. The court held that Gaffney's training exercise became an emergency when the hose became entangled. </w:t>
      </w:r>
      <w:r>
        <w:rPr>
          <w:rFonts w:ascii="Times New Roman" w:hAnsi="Times New Roman"/>
          <w:i/>
          <w:iCs/>
          <w:sz w:val="24"/>
          <w:szCs w:val="24"/>
        </w:rPr>
        <w:t>Id</w:t>
      </w:r>
      <w:r>
        <w:rPr>
          <w:rFonts w:ascii="Times New Roman" w:hAnsi="Times New Roman"/>
          <w:sz w:val="24"/>
          <w:szCs w:val="24"/>
        </w:rPr>
        <w:t xml:space="preserve">. ¶ 66. This unforeseen development involved imminent danger and required an urgent response because it left the crew ‘stranded on the stairwell to the third floor </w:t>
      </w:r>
      <w:r>
        <w:rPr>
          <w:rFonts w:ascii="Times New Roman" w:eastAsia="Times New Roman" w:hAnsi="Times New Roman"/>
          <w:sz w:val="24"/>
          <w:szCs w:val="24"/>
        </w:rPr>
        <w:t>of the burning building with no visibility and no water to put out the fire.</w:t>
      </w:r>
      <w:r>
        <w:rPr>
          <w:rFonts w:ascii="Times New Roman" w:hAnsi="Times New Roman"/>
          <w:sz w:val="24"/>
          <w:szCs w:val="24"/>
        </w:rPr>
        <w:t>’”</w:t>
      </w:r>
      <w:r>
        <w:t xml:space="preserve"> </w:t>
      </w:r>
      <w:hyperlink r:id="rId1265" w:history="1">
        <w:r>
          <w:rPr>
            <w:rStyle w:val="Hyperlink"/>
          </w:rPr>
          <w:t>https://casetext.com/case/heneghan-v-city-of-evanston</w:t>
        </w:r>
      </w:hyperlink>
    </w:p>
    <w:p w14:paraId="207AFA86" w14:textId="28E99789" w:rsidR="00737B49" w:rsidRDefault="00737B49" w:rsidP="00737B49">
      <w:pPr>
        <w:rPr>
          <w:rStyle w:val="Hyperlink"/>
        </w:rPr>
      </w:pPr>
    </w:p>
    <w:p w14:paraId="138B301C" w14:textId="77777777" w:rsidR="00737B49" w:rsidRDefault="00737B49" w:rsidP="00737B49">
      <w:pPr>
        <w:spacing w:before="100" w:beforeAutospacing="1" w:after="100" w:afterAutospacing="1" w:line="240" w:lineRule="auto"/>
        <w:rPr>
          <w:rFonts w:ascii="Arial Black" w:hAnsi="Arial Black"/>
          <w:sz w:val="28"/>
          <w:szCs w:val="28"/>
        </w:rPr>
      </w:pPr>
    </w:p>
    <w:p w14:paraId="5C3EFBA4" w14:textId="77777777" w:rsidR="00737B49" w:rsidRDefault="00737B49" w:rsidP="00737B49">
      <w:pPr>
        <w:spacing w:before="100" w:beforeAutospacing="1" w:after="100" w:afterAutospacing="1" w:line="240" w:lineRule="auto"/>
        <w:rPr>
          <w:rFonts w:ascii="Arial Black" w:hAnsi="Arial Black"/>
          <w:sz w:val="28"/>
          <w:szCs w:val="28"/>
        </w:rPr>
      </w:pPr>
    </w:p>
    <w:p w14:paraId="38B69A42" w14:textId="5A7C67F8" w:rsidR="00737B49" w:rsidRDefault="00737B49" w:rsidP="00737B49">
      <w:pPr>
        <w:spacing w:before="100" w:beforeAutospacing="1" w:after="100" w:afterAutospacing="1" w:line="240" w:lineRule="auto"/>
        <w:rPr>
          <w:rFonts w:ascii="Arial Black" w:hAnsi="Arial Black"/>
          <w:sz w:val="28"/>
          <w:szCs w:val="28"/>
        </w:rPr>
      </w:pPr>
      <w:r>
        <w:rPr>
          <w:rFonts w:ascii="Arial Black" w:hAnsi="Arial Black"/>
          <w:sz w:val="28"/>
          <w:szCs w:val="28"/>
        </w:rPr>
        <w:t>6-5</w:t>
      </w:r>
      <w:r w:rsidR="008F02C3">
        <w:rPr>
          <w:rFonts w:ascii="Arial Black" w:hAnsi="Arial Black"/>
          <w:sz w:val="28"/>
          <w:szCs w:val="28"/>
        </w:rPr>
        <w:t>8</w:t>
      </w:r>
    </w:p>
    <w:p w14:paraId="25825208" w14:textId="7748A388" w:rsidR="00737B49" w:rsidRPr="00950C0A" w:rsidRDefault="00737B49" w:rsidP="00737B49">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MA: INTERNAL INVESTIGATION – EMPLOYEES PROVIDE INFO – CONDITIONALLY PROTECTED FROM DEFAMATION </w:t>
      </w:r>
    </w:p>
    <w:p w14:paraId="1391B508" w14:textId="77777777" w:rsidR="00737B49" w:rsidRDefault="00737B49" w:rsidP="00737B49">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10, 2020, in </w:t>
      </w:r>
      <w:r w:rsidRPr="005202DF">
        <w:rPr>
          <w:rFonts w:ascii="Times New Roman" w:hAnsi="Times New Roman"/>
          <w:sz w:val="24"/>
          <w:szCs w:val="24"/>
          <w:u w:val="single"/>
        </w:rPr>
        <w:t>Diane Lawless v, Cheryl Estrella</w:t>
      </w:r>
      <w:r>
        <w:rPr>
          <w:rFonts w:ascii="Times New Roman" w:hAnsi="Times New Roman"/>
          <w:sz w:val="24"/>
          <w:szCs w:val="24"/>
        </w:rPr>
        <w:t xml:space="preserve">, the Massachusetts Court of Appeals held (3 to 0) that the trial court properly granted summary judgment and dismissed the lawsuit filed by the former Town Treasurer against a Senior Clerk who provided investigators with a 6-page e-mail documenting misconduct by the Treasurer. </w:t>
      </w:r>
    </w:p>
    <w:p w14:paraId="57DAA941" w14:textId="77777777" w:rsidR="00737B49" w:rsidRPr="005202DF"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5202DF">
        <w:rPr>
          <w:rFonts w:ascii="Times New Roman" w:hAnsi="Times New Roman"/>
          <w:sz w:val="24"/>
          <w:szCs w:val="24"/>
        </w:rPr>
        <w:t xml:space="preserve">We conclude that an opinion based on disclosed, nondefamatory facts </w:t>
      </w:r>
      <w:proofErr w:type="gramStart"/>
      <w:r w:rsidRPr="005202DF">
        <w:rPr>
          <w:rFonts w:ascii="Times New Roman" w:hAnsi="Times New Roman"/>
          <w:sz w:val="24"/>
          <w:szCs w:val="24"/>
        </w:rPr>
        <w:t>is</w:t>
      </w:r>
      <w:proofErr w:type="gramEnd"/>
      <w:r w:rsidRPr="005202DF">
        <w:rPr>
          <w:rFonts w:ascii="Times New Roman" w:hAnsi="Times New Roman"/>
          <w:sz w:val="24"/>
          <w:szCs w:val="24"/>
        </w:rPr>
        <w:t xml:space="preserve"> not defamatory and that many of the allegedly defamatory statements constitute such opinions.</w:t>
      </w:r>
      <w:r>
        <w:rPr>
          <w:rFonts w:ascii="Times New Roman" w:hAnsi="Times New Roman"/>
          <w:sz w:val="24"/>
          <w:szCs w:val="24"/>
        </w:rPr>
        <w:t xml:space="preserve"> </w:t>
      </w:r>
      <w:r w:rsidRPr="005202DF">
        <w:rPr>
          <w:rFonts w:ascii="Times New Roman" w:hAnsi="Times New Roman"/>
          <w:sz w:val="24"/>
          <w:szCs w:val="24"/>
        </w:rPr>
        <w:t>Further concluding that an employee has a conditional privilege to provide information concerning another employee upon the request of a supervisor and that the plaintiff failed to raise a genuine issue of material fact that would allow a jury to find that this privilege was abused regarding the other statements, we affirm</w:t>
      </w:r>
      <w:r>
        <w:rPr>
          <w:rFonts w:ascii="Times New Roman" w:hAnsi="Times New Roman"/>
          <w:sz w:val="24"/>
          <w:szCs w:val="24"/>
        </w:rPr>
        <w:t xml:space="preserve">.” </w:t>
      </w:r>
      <w:hyperlink r:id="rId1266" w:history="1">
        <w:r w:rsidRPr="007F3E99">
          <w:rPr>
            <w:rStyle w:val="Hyperlink"/>
            <w:rFonts w:ascii="Times New Roman" w:hAnsi="Times New Roman"/>
            <w:sz w:val="24"/>
            <w:szCs w:val="24"/>
          </w:rPr>
          <w:t>https://www.massmunilaw.org/wp-content/uploads/2020/12/DIANE-LAWLESS-v.-CHERYL-ESTRELLA.pdf</w:t>
        </w:r>
      </w:hyperlink>
      <w:r>
        <w:rPr>
          <w:rFonts w:ascii="Times New Roman" w:hAnsi="Times New Roman"/>
          <w:sz w:val="24"/>
          <w:szCs w:val="24"/>
        </w:rPr>
        <w:t xml:space="preserve"> </w:t>
      </w:r>
    </w:p>
    <w:p w14:paraId="1273528A" w14:textId="77777777" w:rsidR="00737B49" w:rsidRDefault="00737B49" w:rsidP="00737B49">
      <w:pPr>
        <w:spacing w:before="100" w:beforeAutospacing="1" w:after="100" w:afterAutospacing="1" w:line="240" w:lineRule="auto"/>
        <w:rPr>
          <w:rFonts w:ascii="Times New Roman" w:hAnsi="Times New Roman"/>
          <w:b/>
          <w:bCs/>
          <w:sz w:val="24"/>
          <w:szCs w:val="24"/>
        </w:rPr>
      </w:pPr>
      <w:r w:rsidRPr="005202DF">
        <w:rPr>
          <w:rFonts w:ascii="Times New Roman" w:hAnsi="Times New Roman"/>
          <w:b/>
          <w:bCs/>
          <w:sz w:val="24"/>
          <w:szCs w:val="24"/>
        </w:rPr>
        <w:t>Legal Lesson Learned:</w:t>
      </w:r>
      <w:r>
        <w:rPr>
          <w:rFonts w:ascii="Times New Roman" w:hAnsi="Times New Roman"/>
          <w:b/>
          <w:bCs/>
          <w:sz w:val="24"/>
          <w:szCs w:val="24"/>
        </w:rPr>
        <w:t xml:space="preserve"> Internal investigations of a public official will often involve co-workers providing statements.  The “conditional privilege” is an important protection of these co-workers.</w:t>
      </w:r>
    </w:p>
    <w:p w14:paraId="6D3234E6" w14:textId="77777777" w:rsidR="00737B49" w:rsidRPr="005D50F1"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Court of Appeals referenced a Fire Department case where a co-worker also enjoyed protection from defamation lawsuit under the “conditional privilege.”  Kevin Barrows v. Wareham Fire District (Mass Court of Appeals; Oct. 12, 2012). </w:t>
      </w:r>
      <w:hyperlink r:id="rId1267" w:history="1">
        <w:r w:rsidRPr="007F3E99">
          <w:rPr>
            <w:rStyle w:val="Hyperlink"/>
          </w:rPr>
          <w:t>http://masscases.com/cases/app/82/82massappct623.html</w:t>
        </w:r>
      </w:hyperlink>
      <w:r>
        <w:t xml:space="preserve"> </w:t>
      </w:r>
    </w:p>
    <w:p w14:paraId="4946449C" w14:textId="77777777" w:rsidR="005E132A" w:rsidRDefault="005E132A" w:rsidP="00EF1133">
      <w:pPr>
        <w:rPr>
          <w:rFonts w:ascii="Arial Black" w:hAnsi="Arial Black"/>
          <w:b/>
          <w:sz w:val="24"/>
          <w:szCs w:val="24"/>
        </w:rPr>
      </w:pPr>
    </w:p>
    <w:p w14:paraId="2FEF57CE" w14:textId="77777777" w:rsidR="00737B49" w:rsidRDefault="00737B49" w:rsidP="00EF1133">
      <w:pPr>
        <w:rPr>
          <w:rFonts w:ascii="Arial Black" w:hAnsi="Arial Black"/>
          <w:b/>
          <w:sz w:val="24"/>
          <w:szCs w:val="24"/>
        </w:rPr>
      </w:pPr>
    </w:p>
    <w:p w14:paraId="259B3C9D" w14:textId="7679324B" w:rsidR="005E132A" w:rsidRDefault="005E132A"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7</w:t>
      </w:r>
    </w:p>
    <w:p w14:paraId="61010149" w14:textId="77777777" w:rsidR="00737B49" w:rsidRDefault="00737B49" w:rsidP="00737B49">
      <w:pPr>
        <w:pStyle w:val="NoSpacing"/>
        <w:rPr>
          <w:rFonts w:ascii="Arial Black" w:eastAsiaTheme="minorHAnsi" w:hAnsi="Arial Black" w:cstheme="minorBidi"/>
          <w:sz w:val="28"/>
          <w:szCs w:val="28"/>
        </w:rPr>
      </w:pPr>
      <w:r>
        <w:rPr>
          <w:rFonts w:ascii="Arial Black" w:hAnsi="Arial Black"/>
          <w:sz w:val="28"/>
          <w:szCs w:val="28"/>
        </w:rPr>
        <w:t>WV: EMT INJURED SHOULDER - FIRED 16 MO. LATER FOR FALSIFICATION DOC. – JURY DECIDED NO RETALIATION</w:t>
      </w:r>
    </w:p>
    <w:p w14:paraId="7E9B45ED" w14:textId="77777777" w:rsidR="00737B49" w:rsidRDefault="00737B49" w:rsidP="00737B49">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Dec. 7, 2020, in </w:t>
      </w:r>
      <w:r>
        <w:rPr>
          <w:rFonts w:ascii="Times New Roman" w:eastAsia="Times New Roman" w:hAnsi="Times New Roman"/>
          <w:sz w:val="24"/>
          <w:szCs w:val="24"/>
          <w:u w:val="single"/>
        </w:rPr>
        <w:t>Terri Smith v. Kanawha County Emergency Ambulance Authority</w:t>
      </w:r>
      <w:r>
        <w:rPr>
          <w:rFonts w:ascii="Times New Roman" w:eastAsia="Times New Roman" w:hAnsi="Times New Roman"/>
          <w:sz w:val="24"/>
          <w:szCs w:val="24"/>
        </w:rPr>
        <w:t xml:space="preserve">, the State of West Virginia Supreme Court of Appeals, held (3 to 2) that after a four-day jury trial the jury held for the employer, and the Court of Appeals held there were no errors in the jury instructions.  The Court also held there was no need to schedule oral argument by counsel (2 Justices disagreed).  The Court did not describe the document that was allegedly falsified.  </w:t>
      </w:r>
    </w:p>
    <w:p w14:paraId="25D69155" w14:textId="77777777" w:rsidR="00737B49" w:rsidRDefault="00737B49" w:rsidP="00737B49">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“There is no dispute that petitioner sustained an on-the-job injury or that she instituted proceedings under the Workers' Compensation Act. However, the jury was asked to determine whether the filing of that workers' compensation claim was a ‘significant factor in the employer's decision to discharge’ and found that it was not.</w:t>
      </w:r>
    </w:p>
    <w:p w14:paraId="339223A6" w14:textId="77777777" w:rsidR="00737B49"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jury had the opportunity to observe the witnesses during their testimony and examine </w:t>
      </w:r>
      <w:proofErr w:type="gramStart"/>
      <w:r>
        <w:rPr>
          <w:rFonts w:ascii="Times New Roman" w:hAnsi="Times New Roman"/>
          <w:sz w:val="24"/>
          <w:szCs w:val="24"/>
        </w:rPr>
        <w:t>all of</w:t>
      </w:r>
      <w:proofErr w:type="gramEnd"/>
      <w:r>
        <w:rPr>
          <w:rFonts w:ascii="Times New Roman" w:hAnsi="Times New Roman"/>
          <w:sz w:val="24"/>
          <w:szCs w:val="24"/>
        </w:rPr>
        <w:t xml:space="preserve"> the evidence presented. The jury's finding that petitioner's filing of a workers' compensation claim was not a significant factor in her termination satisfies this Court's previously established standard, as petitioner was required to show that it was a significant factor </w:t>
      </w:r>
      <w:proofErr w:type="gramStart"/>
      <w:r>
        <w:rPr>
          <w:rFonts w:ascii="Times New Roman" w:hAnsi="Times New Roman"/>
          <w:sz w:val="24"/>
          <w:szCs w:val="24"/>
        </w:rPr>
        <w:t>in order to</w:t>
      </w:r>
      <w:proofErr w:type="gramEnd"/>
      <w:r>
        <w:rPr>
          <w:rFonts w:ascii="Times New Roman" w:hAnsi="Times New Roman"/>
          <w:sz w:val="24"/>
          <w:szCs w:val="24"/>
        </w:rPr>
        <w:t xml:space="preserve"> establish a prima facie case of discrimination. Syl. Pt. 1, </w:t>
      </w:r>
      <w:r>
        <w:rPr>
          <w:rFonts w:ascii="Times New Roman" w:hAnsi="Times New Roman"/>
          <w:i/>
          <w:iCs/>
          <w:sz w:val="24"/>
          <w:szCs w:val="24"/>
        </w:rPr>
        <w:t>Powell</w:t>
      </w:r>
      <w:r>
        <w:rPr>
          <w:rFonts w:ascii="Times New Roman" w:hAnsi="Times New Roman"/>
          <w:sz w:val="24"/>
          <w:szCs w:val="24"/>
        </w:rPr>
        <w:t xml:space="preserve">, 184 W.Va. at 701, 403 S.E.2d at 718. Therefore, we will not overturn the jury's verdict in favor of respondent on this </w:t>
      </w:r>
      <w:proofErr w:type="gramStart"/>
      <w:r>
        <w:rPr>
          <w:rFonts w:ascii="Times New Roman" w:hAnsi="Times New Roman"/>
          <w:sz w:val="24"/>
          <w:szCs w:val="24"/>
        </w:rPr>
        <w:t>ground.”</w:t>
      </w:r>
      <w:proofErr w:type="gramEnd"/>
      <w:r>
        <w:rPr>
          <w:rFonts w:ascii="Times New Roman" w:hAnsi="Times New Roman"/>
          <w:sz w:val="24"/>
          <w:szCs w:val="24"/>
        </w:rPr>
        <w:t xml:space="preserve"> </w:t>
      </w:r>
      <w:hyperlink r:id="rId1268" w:history="1">
        <w:r>
          <w:rPr>
            <w:rStyle w:val="Hyperlink"/>
          </w:rPr>
          <w:t>https://www.courtlistener.com/opinion/4836452/terri-smith-v-kanawha-county-emergency-ambulance-authority/</w:t>
        </w:r>
      </w:hyperlink>
      <w:r>
        <w:rPr>
          <w:rFonts w:ascii="Times New Roman" w:hAnsi="Times New Roman"/>
          <w:sz w:val="24"/>
          <w:szCs w:val="24"/>
        </w:rPr>
        <w:t xml:space="preserve">? </w:t>
      </w:r>
    </w:p>
    <w:p w14:paraId="5D7D330A" w14:textId="77777777" w:rsidR="00737B49" w:rsidRDefault="00737B49" w:rsidP="00737B49">
      <w:pPr>
        <w:pStyle w:val="NormalWeb"/>
        <w:rPr>
          <w:b/>
          <w:bCs/>
        </w:rPr>
      </w:pPr>
      <w:r>
        <w:rPr>
          <w:b/>
          <w:bCs/>
        </w:rPr>
        <w:t xml:space="preserve">Legal Lesson Learned: Under West Virginia statute, the employee must prove that the workers’ compensation claim was a “significant factor in the employer’s decision to discharge” the employee.  </w:t>
      </w:r>
    </w:p>
    <w:p w14:paraId="35F4EBBA" w14:textId="271BF514" w:rsidR="00737B49" w:rsidRDefault="00737B49" w:rsidP="00737B49">
      <w:pPr>
        <w:ind w:left="720"/>
        <w:rPr>
          <w:rFonts w:ascii="Arial Black" w:hAnsi="Arial Black"/>
          <w:b/>
          <w:sz w:val="24"/>
          <w:szCs w:val="24"/>
        </w:rPr>
      </w:pPr>
      <w:r>
        <w:rPr>
          <w:rFonts w:ascii="Times New Roman" w:hAnsi="Times New Roman"/>
          <w:sz w:val="24"/>
          <w:szCs w:val="24"/>
        </w:rPr>
        <w:t xml:space="preserve">Note: See Jan. 25, </w:t>
      </w:r>
      <w:proofErr w:type="gramStart"/>
      <w:r>
        <w:rPr>
          <w:rFonts w:ascii="Times New Roman" w:hAnsi="Times New Roman"/>
          <w:sz w:val="24"/>
          <w:szCs w:val="24"/>
        </w:rPr>
        <w:t>2017</w:t>
      </w:r>
      <w:proofErr w:type="gramEnd"/>
      <w:r>
        <w:rPr>
          <w:rFonts w:ascii="Times New Roman" w:hAnsi="Times New Roman"/>
          <w:sz w:val="24"/>
          <w:szCs w:val="24"/>
        </w:rPr>
        <w:t xml:space="preserve"> article: “Ambulance service worker blames multiple defendants for injuries.”  *** “According to the complaint, on Dec. 31, 2014, </w:t>
      </w:r>
      <w:proofErr w:type="gramStart"/>
      <w:r>
        <w:rPr>
          <w:rFonts w:ascii="Times New Roman" w:hAnsi="Times New Roman"/>
          <w:sz w:val="24"/>
          <w:szCs w:val="24"/>
        </w:rPr>
        <w:t>as a result of</w:t>
      </w:r>
      <w:proofErr w:type="gramEnd"/>
      <w:r>
        <w:rPr>
          <w:rFonts w:ascii="Times New Roman" w:hAnsi="Times New Roman"/>
          <w:sz w:val="24"/>
          <w:szCs w:val="24"/>
        </w:rPr>
        <w:t xml:space="preserve"> the defendants' negligence, Smith was seriously injured while lifting an obese patient she was required to transport from the Charleston Area Medical Center. The plaintiff alleges the defendants failed to provide sufficient staff and other resources to safely lift the obese patient.” </w:t>
      </w:r>
      <w:hyperlink r:id="rId1269" w:history="1">
        <w:r>
          <w:rPr>
            <w:rStyle w:val="Hyperlink"/>
          </w:rPr>
          <w:t>https://wvrecord.com/stories/511075521-ambulance-service-worker-blames-multiple-defendants-for-injuries</w:t>
        </w:r>
      </w:hyperlink>
    </w:p>
    <w:p w14:paraId="61538E8B" w14:textId="77777777" w:rsidR="005E132A" w:rsidRDefault="005E132A" w:rsidP="00EF1133">
      <w:pPr>
        <w:rPr>
          <w:rFonts w:ascii="Arial Black" w:hAnsi="Arial Black"/>
          <w:b/>
          <w:sz w:val="24"/>
          <w:szCs w:val="24"/>
        </w:rPr>
      </w:pPr>
    </w:p>
    <w:p w14:paraId="1E960E05" w14:textId="3C9006D4"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6</w:t>
      </w:r>
    </w:p>
    <w:p w14:paraId="61C2B7D2" w14:textId="77777777" w:rsidR="009E093C" w:rsidRPr="00E24ECF" w:rsidRDefault="009E093C" w:rsidP="009E093C">
      <w:pPr>
        <w:pStyle w:val="NoSpacing"/>
        <w:rPr>
          <w:rFonts w:ascii="Arial Black" w:hAnsi="Arial Black"/>
          <w:sz w:val="28"/>
          <w:szCs w:val="28"/>
        </w:rPr>
      </w:pPr>
      <w:r>
        <w:rPr>
          <w:rFonts w:ascii="Arial Black" w:hAnsi="Arial Black"/>
          <w:sz w:val="28"/>
          <w:szCs w:val="28"/>
        </w:rPr>
        <w:t>MO: MANDATORY AGE 65 RETIREMENT – CITY POLICE DEPT - LAWFUL UNDER FEDERAL ADEA FOR POLICE / FIRE</w:t>
      </w:r>
    </w:p>
    <w:p w14:paraId="0612D3BA" w14:textId="77777777" w:rsidR="009E093C" w:rsidRDefault="009E093C" w:rsidP="009E093C">
      <w:pPr>
        <w:pStyle w:val="NormalWeb"/>
      </w:pPr>
      <w:r>
        <w:t xml:space="preserve">On Nov. 16, 2020, in </w:t>
      </w:r>
      <w:r w:rsidRPr="003C0A09">
        <w:rPr>
          <w:u w:val="single"/>
        </w:rPr>
        <w:t>Michael Caruso v. St. Louis, Missouri</w:t>
      </w:r>
      <w:r>
        <w:t xml:space="preserve">, U.S. Magistrate Judge Shirley P. Mensah, U.S. District Court, Eastern District of Missouri (Eastern Division), granted the City’s motion to dismiss; the </w:t>
      </w:r>
      <w:proofErr w:type="gramStart"/>
      <w:r>
        <w:t>City</w:t>
      </w:r>
      <w:proofErr w:type="gramEnd"/>
      <w:r>
        <w:t xml:space="preserve"> has a mandatory age 65 for its police officers, and while occasionally they will grant a one-year extension, there is no requirement to do so.  This is authorized under the federal ADEA, Age Discrimination in Employment Act amendments in 1986; see also EEOC guidance: </w:t>
      </w:r>
      <w:hyperlink r:id="rId1270" w:history="1">
        <w:r w:rsidRPr="00D74D0C">
          <w:rPr>
            <w:rStyle w:val="Hyperlink"/>
          </w:rPr>
          <w:t>https://www.eeoc.gov/statutes/age-discrimination-employment-act-1967</w:t>
        </w:r>
      </w:hyperlink>
      <w:r>
        <w:t xml:space="preserve">  </w:t>
      </w:r>
    </w:p>
    <w:p w14:paraId="1B513148" w14:textId="77777777" w:rsidR="009E093C" w:rsidRPr="003C0A09" w:rsidRDefault="009E093C" w:rsidP="009E093C">
      <w:pPr>
        <w:pStyle w:val="NormalWeb"/>
        <w:ind w:left="720"/>
      </w:pPr>
      <w:r>
        <w:t xml:space="preserve">“Defendant concedes Plaintiff was terminated because of his age but argues Plaintiff's discharge fell within an exemption in the ADEA that allows state and local governments to set a mandatory retirement age for police officers provided certain requirements are met. Specifically, under 29 U.S.C.§ 623(j), state and local governments are allowed to set mandatory retirement ages for firefighters and law enforcement officers if the following two requirements are met: First, the discharge must have been pursuant to a state or local law requiring mandatory retirement by a certain age; </w:t>
      </w:r>
      <w:proofErr w:type="gramStart"/>
      <w:r>
        <w:t>and,</w:t>
      </w:r>
      <w:proofErr w:type="gramEnd"/>
      <w:r>
        <w:t xml:space="preserve"> second, the discharge must be pursuant to a bona fide retirement plan that is not a subterfuge for impermissible age discrimination. 29 U.S.C. § 623(j)(1)-(2). </w:t>
      </w:r>
      <w:r w:rsidRPr="00E24ECF">
        <w:t xml:space="preserve"> To satisfy the first</w:t>
      </w:r>
      <w:r>
        <w:t xml:space="preserve"> </w:t>
      </w:r>
      <w:r w:rsidRPr="00E24ECF">
        <w:t xml:space="preserve">requirement, the mandatory retirement law must </w:t>
      </w:r>
      <w:r w:rsidRPr="00E24ECF">
        <w:rPr>
          <w:i/>
          <w:iCs/>
        </w:rPr>
        <w:t>either</w:t>
      </w:r>
      <w:r w:rsidRPr="00E24ECF">
        <w:t xml:space="preserve"> have been in effect on March 3, </w:t>
      </w:r>
      <w:proofErr w:type="gramStart"/>
      <w:r w:rsidRPr="00E24ECF">
        <w:t>1983</w:t>
      </w:r>
      <w:proofErr w:type="gramEnd"/>
      <w:r w:rsidRPr="00E24ECF">
        <w:t xml:space="preserve"> </w:t>
      </w:r>
      <w:r w:rsidRPr="00E24ECF">
        <w:rPr>
          <w:i/>
          <w:iCs/>
        </w:rPr>
        <w:t>or</w:t>
      </w:r>
      <w:r w:rsidRPr="00E24ECF">
        <w:t xml:space="preserve"> must have been enacted after September 30, 1996; and, if the latter, the discharge must occur no earlier than age fifty-five. </w:t>
      </w:r>
      <w:r w:rsidRPr="00E24ECF">
        <w:rPr>
          <w:i/>
          <w:iCs/>
        </w:rPr>
        <w:t>See Correa-Ruiz v</w:t>
      </w:r>
      <w:r w:rsidRPr="00E24ECF">
        <w:t xml:space="preserve">. </w:t>
      </w:r>
      <w:r w:rsidRPr="00E24ECF">
        <w:rPr>
          <w:i/>
          <w:iCs/>
        </w:rPr>
        <w:t>Fortuno</w:t>
      </w:r>
      <w:r w:rsidRPr="00E24ECF">
        <w:t>, 572 F.3d 1, 9 (1st Cir. 2009) (construing 29 U.S.C.</w:t>
      </w:r>
      <w:r>
        <w:t xml:space="preserve"> </w:t>
      </w:r>
      <w:r w:rsidRPr="00E24ECF">
        <w:t xml:space="preserve">§623(j)(1)(A) and (B)(ii) to mean the discharge must have been </w:t>
      </w:r>
      <w:r>
        <w:t>‘</w:t>
      </w:r>
      <w:r w:rsidRPr="00E24ECF">
        <w:t xml:space="preserve">pursuant to a mandatory retirement plan that </w:t>
      </w:r>
      <w:r w:rsidRPr="00E24ECF">
        <w:rPr>
          <w:i/>
          <w:iCs/>
        </w:rPr>
        <w:t>either</w:t>
      </w:r>
      <w:r w:rsidRPr="00E24ECF">
        <w:t xml:space="preserve"> was in effect on March 3, </w:t>
      </w:r>
      <w:proofErr w:type="gramStart"/>
      <w:r w:rsidRPr="00E24ECF">
        <w:t>1983</w:t>
      </w:r>
      <w:proofErr w:type="gramEnd"/>
      <w:r w:rsidRPr="00E24ECF">
        <w:t xml:space="preserve"> </w:t>
      </w:r>
      <w:r w:rsidRPr="00E24ECF">
        <w:rPr>
          <w:i/>
          <w:iCs/>
        </w:rPr>
        <w:t>or</w:t>
      </w:r>
      <w:r w:rsidRPr="00E24ECF">
        <w:t xml:space="preserve"> was enacted after September 30, 1996. The only-age related limitation on the latter option is that the discharge occurs no earlier than age fifty-five.</w:t>
      </w:r>
      <w:r>
        <w:t>’</w:t>
      </w:r>
      <w:r w:rsidRPr="00E24ECF">
        <w:t>).</w:t>
      </w:r>
      <w:r>
        <w:t xml:space="preserve"> </w:t>
      </w:r>
      <w:hyperlink r:id="rId1271" w:history="1">
        <w:r w:rsidRPr="003C0A09">
          <w:rPr>
            <w:rStyle w:val="Hyperlink"/>
          </w:rPr>
          <w:t>https://public.fastcase.com/Wl%2B2t%2BeVuI35%2FN70vAMFZjoMXHbjadZDEq7kSjk%2BwtWPLJ9YZycRPzxEYilorv6v</w:t>
        </w:r>
      </w:hyperlink>
      <w:r w:rsidRPr="003C0A09">
        <w:t xml:space="preserve"> </w:t>
      </w:r>
    </w:p>
    <w:p w14:paraId="22DBC5E7" w14:textId="77777777" w:rsidR="009E093C" w:rsidRDefault="009E093C" w:rsidP="009E093C">
      <w:pPr>
        <w:spacing w:before="100" w:beforeAutospacing="1" w:after="100" w:afterAutospacing="1" w:line="240" w:lineRule="auto"/>
        <w:rPr>
          <w:rFonts w:ascii="Times New Roman" w:eastAsia="Times New Roman" w:hAnsi="Times New Roman"/>
          <w:b/>
          <w:bCs/>
          <w:sz w:val="24"/>
          <w:szCs w:val="24"/>
        </w:rPr>
      </w:pPr>
      <w:r w:rsidRPr="00D53EBE">
        <w:rPr>
          <w:rFonts w:ascii="Times New Roman" w:hAnsi="Times New Roman"/>
          <w:b/>
          <w:bCs/>
          <w:sz w:val="24"/>
          <w:szCs w:val="24"/>
        </w:rPr>
        <w:t>Legal Lesson Learned:</w:t>
      </w:r>
      <w:r w:rsidRPr="00D53EBE">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Federal ADEA statute, amended 1986, authorizes mandatory retirement ages for police and fire. </w:t>
      </w:r>
    </w:p>
    <w:p w14:paraId="6443F067" w14:textId="77777777" w:rsidR="009E093C" w:rsidRPr="003C0A09" w:rsidRDefault="009E093C" w:rsidP="009E093C">
      <w:pPr>
        <w:spacing w:before="100" w:beforeAutospacing="1" w:after="100" w:afterAutospacing="1" w:line="240" w:lineRule="auto"/>
        <w:ind w:left="1440"/>
        <w:rPr>
          <w:rFonts w:ascii="Times New Roman" w:eastAsia="Times New Roman" w:hAnsi="Times New Roman"/>
          <w:sz w:val="24"/>
          <w:szCs w:val="24"/>
        </w:rPr>
      </w:pPr>
      <w:r w:rsidRPr="00D53EBE">
        <w:rPr>
          <w:rFonts w:ascii="Times New Roman" w:eastAsia="Times New Roman" w:hAnsi="Times New Roman"/>
          <w:sz w:val="24"/>
          <w:szCs w:val="24"/>
        </w:rPr>
        <w:t>Note: See Congressional testimony</w:t>
      </w:r>
      <w:r>
        <w:rPr>
          <w:rFonts w:ascii="Times New Roman" w:eastAsia="Times New Roman" w:hAnsi="Times New Roman"/>
          <w:sz w:val="24"/>
          <w:szCs w:val="24"/>
        </w:rPr>
        <w:t>, March 12,</w:t>
      </w:r>
      <w:r w:rsidRPr="00D53EBE">
        <w:rPr>
          <w:rFonts w:ascii="Times New Roman" w:eastAsia="Times New Roman" w:hAnsi="Times New Roman"/>
          <w:sz w:val="24"/>
          <w:szCs w:val="24"/>
        </w:rPr>
        <w:t xml:space="preserve"> 1986</w:t>
      </w:r>
      <w:r>
        <w:rPr>
          <w:rFonts w:ascii="Times New Roman" w:eastAsia="Times New Roman" w:hAnsi="Times New Roman"/>
          <w:sz w:val="24"/>
          <w:szCs w:val="24"/>
        </w:rPr>
        <w:t>, on the proposed exemptions to the ADEA for police and fire.  “</w:t>
      </w:r>
      <w:r w:rsidRPr="00D53EBE">
        <w:rPr>
          <w:rFonts w:ascii="Times New Roman" w:hAnsi="Times New Roman"/>
          <w:sz w:val="24"/>
          <w:szCs w:val="24"/>
        </w:rPr>
        <w:t xml:space="preserve">Air traffic controllers, for instance, must retire at age 56, foreign service officers at age 65, and Federal firefighters and law enforcement officers, including employees of the FBI, Secret Service, and Federal Prison System, must retire at the age of 55. </w:t>
      </w:r>
      <w:hyperlink r:id="rId1272" w:history="1">
        <w:r w:rsidRPr="002F20C3">
          <w:rPr>
            <w:rStyle w:val="Hyperlink"/>
            <w:rFonts w:ascii="Times New Roman" w:hAnsi="Times New Roman"/>
            <w:sz w:val="24"/>
            <w:szCs w:val="24"/>
          </w:rPr>
          <w:t>https://www.ncjrs.gov/pdffiles1/Digitization/103277NCJRS.pdf</w:t>
        </w:r>
      </w:hyperlink>
      <w:r>
        <w:rPr>
          <w:rFonts w:ascii="Times New Roman" w:hAnsi="Times New Roman"/>
          <w:sz w:val="24"/>
          <w:szCs w:val="24"/>
        </w:rPr>
        <w:t xml:space="preserve"> </w:t>
      </w:r>
    </w:p>
    <w:p w14:paraId="2BCB2F69" w14:textId="77777777" w:rsidR="009E093C" w:rsidRDefault="009E093C" w:rsidP="00EF1133">
      <w:pPr>
        <w:rPr>
          <w:rFonts w:ascii="Arial Black" w:hAnsi="Arial Black"/>
          <w:b/>
          <w:sz w:val="24"/>
          <w:szCs w:val="24"/>
        </w:rPr>
      </w:pPr>
    </w:p>
    <w:p w14:paraId="2D648636" w14:textId="77777777" w:rsidR="009E093C" w:rsidRDefault="009E093C" w:rsidP="00EF1133">
      <w:pPr>
        <w:rPr>
          <w:rFonts w:ascii="Arial Black" w:hAnsi="Arial Black"/>
          <w:b/>
          <w:sz w:val="24"/>
          <w:szCs w:val="24"/>
        </w:rPr>
      </w:pPr>
    </w:p>
    <w:p w14:paraId="61699EB5" w14:textId="3CFB7D1A"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5</w:t>
      </w:r>
    </w:p>
    <w:p w14:paraId="7445A0E6" w14:textId="77777777" w:rsidR="009E093C" w:rsidRPr="00DF42AC" w:rsidRDefault="009E093C" w:rsidP="009E093C">
      <w:pPr>
        <w:pStyle w:val="NoSpacing"/>
        <w:rPr>
          <w:rFonts w:ascii="Arial Black" w:hAnsi="Arial Black"/>
          <w:sz w:val="28"/>
          <w:szCs w:val="28"/>
        </w:rPr>
      </w:pPr>
      <w:r>
        <w:rPr>
          <w:rFonts w:ascii="Arial Black" w:hAnsi="Arial Black"/>
          <w:sz w:val="28"/>
          <w:szCs w:val="28"/>
        </w:rPr>
        <w:t xml:space="preserve">NJ: PENSION SURVIVOR BENEFITS – ONLY IF FEMALE WAS MARRIED TO MALE FF OR “SAME SEX DOMESTIC PARTNER” </w:t>
      </w:r>
    </w:p>
    <w:p w14:paraId="2E3A87CC" w14:textId="77777777" w:rsidR="009E093C" w:rsidRDefault="009E093C" w:rsidP="009E093C">
      <w:pPr>
        <w:pStyle w:val="NoSpacing"/>
      </w:pPr>
    </w:p>
    <w:p w14:paraId="16787AD9" w14:textId="77777777" w:rsidR="009E093C" w:rsidRDefault="009E093C" w:rsidP="009E093C">
      <w:pPr>
        <w:rPr>
          <w:rFonts w:ascii="Times New Roman" w:hAnsi="Times New Roman"/>
          <w:sz w:val="24"/>
          <w:szCs w:val="24"/>
        </w:rPr>
      </w:pPr>
      <w:r w:rsidRPr="00D60D8C">
        <w:rPr>
          <w:rFonts w:ascii="Times New Roman" w:hAnsi="Times New Roman"/>
          <w:sz w:val="24"/>
          <w:szCs w:val="24"/>
        </w:rPr>
        <w:t xml:space="preserve">On Nov. 5, 2020, </w:t>
      </w:r>
      <w:r>
        <w:rPr>
          <w:rFonts w:ascii="Times New Roman" w:hAnsi="Times New Roman"/>
          <w:sz w:val="24"/>
          <w:szCs w:val="24"/>
        </w:rPr>
        <w:t xml:space="preserve">in </w:t>
      </w:r>
      <w:r w:rsidRPr="00D60D8C">
        <w:rPr>
          <w:rFonts w:ascii="Times New Roman" w:hAnsi="Times New Roman"/>
          <w:sz w:val="24"/>
          <w:szCs w:val="24"/>
          <w:u w:val="single"/>
        </w:rPr>
        <w:t xml:space="preserve">The Matter </w:t>
      </w:r>
      <w:proofErr w:type="gramStart"/>
      <w:r w:rsidRPr="00D60D8C">
        <w:rPr>
          <w:rFonts w:ascii="Times New Roman" w:hAnsi="Times New Roman"/>
          <w:sz w:val="24"/>
          <w:szCs w:val="24"/>
          <w:u w:val="single"/>
        </w:rPr>
        <w:t>Of</w:t>
      </w:r>
      <w:proofErr w:type="gramEnd"/>
      <w:r w:rsidRPr="00D60D8C">
        <w:rPr>
          <w:rFonts w:ascii="Times New Roman" w:hAnsi="Times New Roman"/>
          <w:sz w:val="24"/>
          <w:szCs w:val="24"/>
          <w:u w:val="single"/>
        </w:rPr>
        <w:t xml:space="preserve"> Board </w:t>
      </w:r>
      <w:proofErr w:type="gramStart"/>
      <w:r w:rsidRPr="00D60D8C">
        <w:rPr>
          <w:rFonts w:ascii="Times New Roman" w:hAnsi="Times New Roman"/>
          <w:sz w:val="24"/>
          <w:szCs w:val="24"/>
          <w:u w:val="single"/>
        </w:rPr>
        <w:t>Of</w:t>
      </w:r>
      <w:proofErr w:type="gramEnd"/>
      <w:r w:rsidRPr="00D60D8C">
        <w:rPr>
          <w:rFonts w:ascii="Times New Roman" w:hAnsi="Times New Roman"/>
          <w:sz w:val="24"/>
          <w:szCs w:val="24"/>
          <w:u w:val="single"/>
        </w:rPr>
        <w:t xml:space="preserve"> Trustees </w:t>
      </w:r>
      <w:proofErr w:type="gramStart"/>
      <w:r w:rsidRPr="00D60D8C">
        <w:rPr>
          <w:rFonts w:ascii="Times New Roman" w:hAnsi="Times New Roman"/>
          <w:sz w:val="24"/>
          <w:szCs w:val="24"/>
          <w:u w:val="single"/>
        </w:rPr>
        <w:t>Of</w:t>
      </w:r>
      <w:proofErr w:type="gramEnd"/>
      <w:r w:rsidRPr="00D60D8C">
        <w:rPr>
          <w:rFonts w:ascii="Times New Roman" w:hAnsi="Times New Roman"/>
          <w:sz w:val="24"/>
          <w:szCs w:val="24"/>
          <w:u w:val="single"/>
        </w:rPr>
        <w:t xml:space="preserve"> </w:t>
      </w:r>
      <w:proofErr w:type="gramStart"/>
      <w:r w:rsidRPr="00D60D8C">
        <w:rPr>
          <w:rFonts w:ascii="Times New Roman" w:hAnsi="Times New Roman"/>
          <w:sz w:val="24"/>
          <w:szCs w:val="24"/>
          <w:u w:val="single"/>
        </w:rPr>
        <w:t>The</w:t>
      </w:r>
      <w:proofErr w:type="gramEnd"/>
      <w:r w:rsidRPr="00D60D8C">
        <w:rPr>
          <w:rFonts w:ascii="Times New Roman" w:hAnsi="Times New Roman"/>
          <w:sz w:val="24"/>
          <w:szCs w:val="24"/>
          <w:u w:val="single"/>
        </w:rPr>
        <w:t xml:space="preserve"> Police </w:t>
      </w:r>
      <w:proofErr w:type="gramStart"/>
      <w:r w:rsidRPr="00D60D8C">
        <w:rPr>
          <w:rFonts w:ascii="Times New Roman" w:hAnsi="Times New Roman"/>
          <w:sz w:val="24"/>
          <w:szCs w:val="24"/>
          <w:u w:val="single"/>
        </w:rPr>
        <w:t>And</w:t>
      </w:r>
      <w:proofErr w:type="gramEnd"/>
      <w:r w:rsidRPr="00D60D8C">
        <w:rPr>
          <w:rFonts w:ascii="Times New Roman" w:hAnsi="Times New Roman"/>
          <w:sz w:val="24"/>
          <w:szCs w:val="24"/>
          <w:u w:val="single"/>
        </w:rPr>
        <w:t xml:space="preserve"> Firemen’s Retirement System </w:t>
      </w:r>
      <w:proofErr w:type="gramStart"/>
      <w:r w:rsidRPr="00D60D8C">
        <w:rPr>
          <w:rFonts w:ascii="Times New Roman" w:hAnsi="Times New Roman"/>
          <w:sz w:val="24"/>
          <w:szCs w:val="24"/>
          <w:u w:val="single"/>
        </w:rPr>
        <w:t>Of</w:t>
      </w:r>
      <w:proofErr w:type="gramEnd"/>
      <w:r w:rsidRPr="00D60D8C">
        <w:rPr>
          <w:rFonts w:ascii="Times New Roman" w:hAnsi="Times New Roman"/>
          <w:sz w:val="24"/>
          <w:szCs w:val="24"/>
          <w:u w:val="single"/>
        </w:rPr>
        <w:t xml:space="preserve"> New Jersey – Denial </w:t>
      </w:r>
      <w:proofErr w:type="gramStart"/>
      <w:r w:rsidRPr="00D60D8C">
        <w:rPr>
          <w:rFonts w:ascii="Times New Roman" w:hAnsi="Times New Roman"/>
          <w:sz w:val="24"/>
          <w:szCs w:val="24"/>
          <w:u w:val="single"/>
        </w:rPr>
        <w:t>Of</w:t>
      </w:r>
      <w:proofErr w:type="gramEnd"/>
      <w:r w:rsidRPr="00D60D8C">
        <w:rPr>
          <w:rFonts w:ascii="Times New Roman" w:hAnsi="Times New Roman"/>
          <w:sz w:val="24"/>
          <w:szCs w:val="24"/>
          <w:u w:val="single"/>
        </w:rPr>
        <w:t xml:space="preserve"> Dolores Ortega’s Right </w:t>
      </w:r>
      <w:proofErr w:type="gramStart"/>
      <w:r w:rsidRPr="00D60D8C">
        <w:rPr>
          <w:rFonts w:ascii="Times New Roman" w:hAnsi="Times New Roman"/>
          <w:sz w:val="24"/>
          <w:szCs w:val="24"/>
          <w:u w:val="single"/>
        </w:rPr>
        <w:t>To</w:t>
      </w:r>
      <w:proofErr w:type="gramEnd"/>
      <w:r w:rsidRPr="00D60D8C">
        <w:rPr>
          <w:rFonts w:ascii="Times New Roman" w:hAnsi="Times New Roman"/>
          <w:sz w:val="24"/>
          <w:szCs w:val="24"/>
          <w:u w:val="single"/>
        </w:rPr>
        <w:t xml:space="preserve"> Receive Survivor Benefits</w:t>
      </w:r>
      <w:r>
        <w:rPr>
          <w:rFonts w:ascii="Times New Roman" w:hAnsi="Times New Roman"/>
          <w:sz w:val="24"/>
          <w:szCs w:val="24"/>
        </w:rPr>
        <w:t xml:space="preserve">, the Superior Court of New Jersey Appellate Division, held (3 to 0; unpublished decision) that Ms. Ortega did not qualify for survivor benefits because she was not the member’s widow. </w:t>
      </w:r>
    </w:p>
    <w:p w14:paraId="270D933A" w14:textId="77777777" w:rsidR="009E093C" w:rsidRDefault="009E093C" w:rsidP="009E093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B3AF5">
        <w:rPr>
          <w:rFonts w:ascii="Times New Roman" w:hAnsi="Times New Roman"/>
          <w:sz w:val="24"/>
          <w:szCs w:val="24"/>
        </w:rPr>
        <w:t xml:space="preserve">Contrary to appellant's contention, the statutory and regulatory scheme did not discriminate against her </w:t>
      </w:r>
      <w:proofErr w:type="gramStart"/>
      <w:r w:rsidRPr="00CB3AF5">
        <w:rPr>
          <w:rFonts w:ascii="Times New Roman" w:hAnsi="Times New Roman"/>
          <w:sz w:val="24"/>
          <w:szCs w:val="24"/>
        </w:rPr>
        <w:t>on the basis of</w:t>
      </w:r>
      <w:proofErr w:type="gramEnd"/>
      <w:r w:rsidRPr="00CB3AF5">
        <w:rPr>
          <w:rFonts w:ascii="Times New Roman" w:hAnsi="Times New Roman"/>
          <w:sz w:val="24"/>
          <w:szCs w:val="24"/>
        </w:rPr>
        <w:t xml:space="preserve"> her gender. Because she and Koncsol were of opposite sexes, they were free to marry, which would have enabled her to qualify for the </w:t>
      </w:r>
      <w:proofErr w:type="gramStart"/>
      <w:r w:rsidRPr="00CB3AF5">
        <w:rPr>
          <w:rFonts w:ascii="Times New Roman" w:hAnsi="Times New Roman"/>
          <w:sz w:val="24"/>
          <w:szCs w:val="24"/>
        </w:rPr>
        <w:t>survivor</w:t>
      </w:r>
      <w:proofErr w:type="gramEnd"/>
      <w:r w:rsidRPr="00CB3AF5">
        <w:rPr>
          <w:rFonts w:ascii="Times New Roman" w:hAnsi="Times New Roman"/>
          <w:sz w:val="24"/>
          <w:szCs w:val="24"/>
        </w:rPr>
        <w:t xml:space="preserve"> benefit. On the other hand, same-sex couples could not marry when the Act went into effect and, therefore, the Legislature wanted to provide a mechanism limited to them in the Act to ensure that these individuals would have the same right to this benefit as an opposite-sex couple. Thus, there was </w:t>
      </w:r>
      <w:r>
        <w:rPr>
          <w:rFonts w:ascii="Times New Roman" w:hAnsi="Times New Roman"/>
          <w:sz w:val="24"/>
          <w:szCs w:val="24"/>
        </w:rPr>
        <w:t>‘</w:t>
      </w:r>
      <w:r w:rsidRPr="00CB3AF5">
        <w:rPr>
          <w:rFonts w:ascii="Times New Roman" w:hAnsi="Times New Roman"/>
          <w:sz w:val="24"/>
          <w:szCs w:val="24"/>
        </w:rPr>
        <w:t xml:space="preserve">a clear and rational </w:t>
      </w:r>
      <w:proofErr w:type="spellStart"/>
      <w:r w:rsidRPr="00CB3AF5">
        <w:rPr>
          <w:rFonts w:ascii="Times New Roman" w:hAnsi="Times New Roman"/>
          <w:sz w:val="24"/>
          <w:szCs w:val="24"/>
        </w:rPr>
        <w:t>basis</w:t>
      </w:r>
      <w:r>
        <w:rPr>
          <w:rFonts w:ascii="Times New Roman" w:hAnsi="Times New Roman"/>
          <w:sz w:val="24"/>
          <w:szCs w:val="24"/>
        </w:rPr>
        <w:t>’</w:t>
      </w:r>
      <w:proofErr w:type="spellEnd"/>
      <w:r w:rsidRPr="00CB3AF5">
        <w:rPr>
          <w:rFonts w:ascii="Times New Roman" w:hAnsi="Times New Roman"/>
          <w:sz w:val="24"/>
          <w:szCs w:val="24"/>
        </w:rPr>
        <w:t xml:space="preserve"> underlying the Legislature's decision to </w:t>
      </w:r>
      <w:r>
        <w:rPr>
          <w:rFonts w:ascii="Times New Roman" w:hAnsi="Times New Roman"/>
          <w:sz w:val="24"/>
          <w:szCs w:val="24"/>
        </w:rPr>
        <w:t>‘</w:t>
      </w:r>
      <w:proofErr w:type="spellStart"/>
      <w:r w:rsidRPr="00CB3AF5">
        <w:rPr>
          <w:rFonts w:ascii="Times New Roman" w:hAnsi="Times New Roman"/>
          <w:sz w:val="24"/>
          <w:szCs w:val="24"/>
        </w:rPr>
        <w:t>mak</w:t>
      </w:r>
      <w:proofErr w:type="spellEnd"/>
      <w:r w:rsidRPr="00CB3AF5">
        <w:rPr>
          <w:rFonts w:ascii="Times New Roman" w:hAnsi="Times New Roman"/>
          <w:sz w:val="24"/>
          <w:szCs w:val="24"/>
        </w:rPr>
        <w:t>[e] certain health and pension benefits available to dependent domestic partners only in the case of domestic partnerships in which both persons are of the same sex . . . .</w:t>
      </w:r>
      <w:r>
        <w:rPr>
          <w:rFonts w:ascii="Times New Roman" w:hAnsi="Times New Roman"/>
          <w:sz w:val="24"/>
          <w:szCs w:val="24"/>
        </w:rPr>
        <w:t>’</w:t>
      </w:r>
      <w:r w:rsidRPr="00CB3AF5">
        <w:rPr>
          <w:rFonts w:ascii="Times New Roman" w:hAnsi="Times New Roman"/>
          <w:sz w:val="24"/>
          <w:szCs w:val="24"/>
        </w:rPr>
        <w:t xml:space="preserve"> N.J.S.A. 26:8A-2(e).</w:t>
      </w:r>
      <w:r>
        <w:rPr>
          <w:rFonts w:ascii="Times New Roman" w:hAnsi="Times New Roman"/>
          <w:sz w:val="24"/>
          <w:szCs w:val="24"/>
        </w:rPr>
        <w:t xml:space="preserve">” </w:t>
      </w:r>
      <w:hyperlink r:id="rId1273" w:history="1">
        <w:r w:rsidRPr="00D35A04">
          <w:rPr>
            <w:rStyle w:val="Hyperlink"/>
            <w:rFonts w:ascii="Times New Roman" w:hAnsi="Times New Roman"/>
            <w:sz w:val="24"/>
            <w:szCs w:val="24"/>
          </w:rPr>
          <w:t>https://public.fastcase.com/Wl%2B2t%2BeVuI35%2FN70vAMFZvIVF%2BSpwi61gSoehD%2F89NWJSNvj394DBr50iS5GXrLH</w:t>
        </w:r>
      </w:hyperlink>
      <w:r>
        <w:rPr>
          <w:rFonts w:ascii="Times New Roman" w:hAnsi="Times New Roman"/>
          <w:sz w:val="24"/>
          <w:szCs w:val="24"/>
        </w:rPr>
        <w:t xml:space="preserve"> </w:t>
      </w:r>
    </w:p>
    <w:p w14:paraId="5D24A226" w14:textId="77777777" w:rsidR="009E093C" w:rsidRPr="00DF42AC" w:rsidRDefault="009E093C" w:rsidP="009E093C">
      <w:pPr>
        <w:spacing w:before="100" w:beforeAutospacing="1" w:after="100" w:afterAutospacing="1" w:line="240" w:lineRule="auto"/>
        <w:rPr>
          <w:rFonts w:ascii="Times New Roman" w:eastAsia="Times New Roman" w:hAnsi="Times New Roman"/>
          <w:b/>
          <w:bCs/>
          <w:sz w:val="24"/>
          <w:szCs w:val="24"/>
        </w:rPr>
      </w:pPr>
      <w:r w:rsidRPr="00CB3AF5">
        <w:rPr>
          <w:rFonts w:ascii="Times New Roman" w:hAnsi="Times New Roman"/>
          <w:b/>
          <w:bCs/>
          <w:sz w:val="24"/>
          <w:szCs w:val="24"/>
        </w:rPr>
        <w:t>Legal Lesson Learned:</w:t>
      </w:r>
      <w:r>
        <w:rPr>
          <w:rFonts w:ascii="Times New Roman" w:hAnsi="Times New Roman"/>
          <w:b/>
          <w:bCs/>
          <w:sz w:val="24"/>
          <w:szCs w:val="24"/>
        </w:rPr>
        <w:t xml:space="preserve">  It would have been helpful if the state retirement Board had promptly notified the </w:t>
      </w:r>
      <w:proofErr w:type="gramStart"/>
      <w:r>
        <w:rPr>
          <w:rFonts w:ascii="Times New Roman" w:hAnsi="Times New Roman"/>
          <w:b/>
          <w:bCs/>
          <w:sz w:val="24"/>
          <w:szCs w:val="24"/>
        </w:rPr>
        <w:t>firefighter,</w:t>
      </w:r>
      <w:proofErr w:type="gramEnd"/>
      <w:r>
        <w:rPr>
          <w:rFonts w:ascii="Times New Roman" w:hAnsi="Times New Roman"/>
          <w:b/>
          <w:bCs/>
          <w:sz w:val="24"/>
          <w:szCs w:val="24"/>
        </w:rPr>
        <w:t xml:space="preserve"> when he submitted his change of beneficiary, that he had to marry Dolores Ortega. </w:t>
      </w:r>
    </w:p>
    <w:p w14:paraId="3EED1EFF" w14:textId="77777777" w:rsidR="009E093C" w:rsidRDefault="009E093C" w:rsidP="00EF1133">
      <w:pPr>
        <w:rPr>
          <w:rFonts w:ascii="Arial Black" w:hAnsi="Arial Black"/>
          <w:b/>
          <w:sz w:val="24"/>
          <w:szCs w:val="24"/>
        </w:rPr>
      </w:pPr>
    </w:p>
    <w:p w14:paraId="67E054B3" w14:textId="77777777" w:rsidR="009E093C" w:rsidRDefault="009E093C" w:rsidP="00EF1133">
      <w:pPr>
        <w:rPr>
          <w:rFonts w:ascii="Arial Black" w:hAnsi="Arial Black"/>
          <w:b/>
          <w:sz w:val="24"/>
          <w:szCs w:val="24"/>
        </w:rPr>
      </w:pPr>
    </w:p>
    <w:p w14:paraId="7B22431A" w14:textId="77777777" w:rsidR="00B03268" w:rsidRDefault="00B03268" w:rsidP="00EF1133">
      <w:pPr>
        <w:rPr>
          <w:rFonts w:ascii="Arial Black" w:hAnsi="Arial Black"/>
          <w:b/>
          <w:sz w:val="24"/>
          <w:szCs w:val="24"/>
        </w:rPr>
      </w:pPr>
    </w:p>
    <w:p w14:paraId="56ABCC56" w14:textId="61240802"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4</w:t>
      </w:r>
    </w:p>
    <w:p w14:paraId="0EA378CC" w14:textId="77777777" w:rsidR="009E093C" w:rsidRDefault="009E093C" w:rsidP="009E093C">
      <w:pPr>
        <w:pStyle w:val="NoSpacing"/>
        <w:rPr>
          <w:rFonts w:ascii="Arial Black" w:hAnsi="Arial Black"/>
          <w:sz w:val="28"/>
          <w:szCs w:val="28"/>
        </w:rPr>
      </w:pPr>
      <w:r>
        <w:rPr>
          <w:rFonts w:ascii="Arial Black" w:hAnsi="Arial Black"/>
          <w:sz w:val="28"/>
          <w:szCs w:val="28"/>
        </w:rPr>
        <w:t xml:space="preserve">DE:  WHISTLEBLOWER CASE DISMISSED – FIRE CHIEF CONVICTED, TO PRISON, BUT MONEY STOLEN NOT CITY FUNDS </w:t>
      </w:r>
    </w:p>
    <w:p w14:paraId="305DF530" w14:textId="77777777" w:rsidR="009E093C" w:rsidRDefault="009E093C" w:rsidP="009E093C">
      <w:pPr>
        <w:pStyle w:val="NoSpacing"/>
        <w:rPr>
          <w:rFonts w:ascii="Times New Roman" w:hAnsi="Times New Roman"/>
          <w:sz w:val="24"/>
          <w:szCs w:val="24"/>
        </w:rPr>
      </w:pPr>
    </w:p>
    <w:p w14:paraId="1F940C6E" w14:textId="77777777" w:rsidR="009E093C" w:rsidRPr="00BF6BAF" w:rsidRDefault="009E093C" w:rsidP="009E093C">
      <w:pPr>
        <w:pStyle w:val="NoSpacing"/>
        <w:rPr>
          <w:rFonts w:ascii="Times New Roman" w:hAnsi="Times New Roman"/>
          <w:sz w:val="24"/>
          <w:szCs w:val="24"/>
        </w:rPr>
      </w:pPr>
      <w:r w:rsidRPr="00BF6BAF">
        <w:rPr>
          <w:rFonts w:ascii="Times New Roman" w:hAnsi="Times New Roman"/>
          <w:sz w:val="24"/>
          <w:szCs w:val="24"/>
        </w:rPr>
        <w:t xml:space="preserve">On Oct. 29, 2020, in </w:t>
      </w:r>
      <w:r w:rsidRPr="00BF6BAF">
        <w:rPr>
          <w:rFonts w:ascii="Times New Roman" w:hAnsi="Times New Roman"/>
          <w:sz w:val="24"/>
          <w:szCs w:val="24"/>
          <w:u w:val="single"/>
        </w:rPr>
        <w:t>Thomas Hayman, Jr. v. City of Willington, et al</w:t>
      </w:r>
      <w:r w:rsidRPr="00BF6BAF">
        <w:rPr>
          <w:rFonts w:ascii="Times New Roman" w:hAnsi="Times New Roman"/>
          <w:sz w:val="24"/>
          <w:szCs w:val="24"/>
        </w:rPr>
        <w:t>., U.S. District Court Judge Vivian L. Medinilla granted the City’s motion to dismiss</w:t>
      </w:r>
      <w:r>
        <w:rPr>
          <w:rFonts w:ascii="Times New Roman" w:hAnsi="Times New Roman"/>
          <w:sz w:val="24"/>
          <w:szCs w:val="24"/>
        </w:rPr>
        <w:t xml:space="preserve"> federal Whistleblower lawsuit for his termination for alleged retaliation</w:t>
      </w:r>
      <w:r w:rsidRPr="00BF6BAF">
        <w:rPr>
          <w:rFonts w:ascii="Times New Roman" w:hAnsi="Times New Roman"/>
          <w:sz w:val="24"/>
          <w:szCs w:val="24"/>
        </w:rPr>
        <w:t xml:space="preserve">, since the theft of money by the Fire Chief was not from the </w:t>
      </w:r>
      <w:proofErr w:type="gramStart"/>
      <w:r w:rsidRPr="00BF6BAF">
        <w:rPr>
          <w:rFonts w:ascii="Times New Roman" w:hAnsi="Times New Roman"/>
          <w:sz w:val="24"/>
          <w:szCs w:val="24"/>
        </w:rPr>
        <w:t>City</w:t>
      </w:r>
      <w:proofErr w:type="gramEnd"/>
      <w:r>
        <w:rPr>
          <w:rFonts w:ascii="Times New Roman" w:hAnsi="Times New Roman"/>
          <w:sz w:val="24"/>
          <w:szCs w:val="24"/>
        </w:rPr>
        <w:t xml:space="preserve">.  The money </w:t>
      </w:r>
      <w:r w:rsidRPr="00BF6BAF">
        <w:rPr>
          <w:rFonts w:ascii="Times New Roman" w:hAnsi="Times New Roman"/>
          <w:sz w:val="24"/>
          <w:szCs w:val="24"/>
        </w:rPr>
        <w:t xml:space="preserve">was from “Gallant Blazers Organization,” where </w:t>
      </w:r>
      <w:r>
        <w:rPr>
          <w:rFonts w:ascii="Times New Roman" w:hAnsi="Times New Roman"/>
          <w:sz w:val="24"/>
          <w:szCs w:val="24"/>
        </w:rPr>
        <w:t xml:space="preserve">Fire Chief </w:t>
      </w:r>
      <w:r w:rsidRPr="00BF6BAF">
        <w:rPr>
          <w:rFonts w:ascii="Times New Roman" w:hAnsi="Times New Roman"/>
          <w:sz w:val="24"/>
          <w:szCs w:val="24"/>
        </w:rPr>
        <w:t xml:space="preserve">was President of this professional development group that helped minority firefighters in Wilmington.  See April 26, </w:t>
      </w:r>
      <w:proofErr w:type="gramStart"/>
      <w:r w:rsidRPr="00BF6BAF">
        <w:rPr>
          <w:rFonts w:ascii="Times New Roman" w:hAnsi="Times New Roman"/>
          <w:sz w:val="24"/>
          <w:szCs w:val="24"/>
        </w:rPr>
        <w:t>2019</w:t>
      </w:r>
      <w:proofErr w:type="gramEnd"/>
      <w:r w:rsidRPr="00BF6BAF">
        <w:rPr>
          <w:rFonts w:ascii="Times New Roman" w:hAnsi="Times New Roman"/>
          <w:sz w:val="24"/>
          <w:szCs w:val="24"/>
        </w:rPr>
        <w:t xml:space="preserve"> article: “Former Wilmington fire Chief Anthony Goode gets prison time for theft.” </w:t>
      </w:r>
      <w:hyperlink r:id="rId1274" w:history="1">
        <w:r w:rsidRPr="00BF6BAF">
          <w:rPr>
            <w:rStyle w:val="Hyperlink"/>
            <w:rFonts w:ascii="Times New Roman" w:hAnsi="Times New Roman"/>
            <w:sz w:val="24"/>
            <w:szCs w:val="24"/>
          </w:rPr>
          <w:t>https://www.delawareonline.com/story/news/2019/04/26/former-wilmington-fire-chief-gets-prison-time-theft/3588123002/</w:t>
        </w:r>
      </w:hyperlink>
      <w:r w:rsidRPr="00BF6BAF">
        <w:rPr>
          <w:rFonts w:ascii="Times New Roman" w:hAnsi="Times New Roman"/>
          <w:sz w:val="24"/>
          <w:szCs w:val="24"/>
        </w:rPr>
        <w:t xml:space="preserve"> </w:t>
      </w:r>
    </w:p>
    <w:p w14:paraId="0DAD9136" w14:textId="77777777" w:rsidR="009E093C" w:rsidRDefault="009E093C" w:rsidP="009E093C">
      <w:pPr>
        <w:pStyle w:val="NoSpacing"/>
        <w:rPr>
          <w:rFonts w:ascii="Times New Roman" w:hAnsi="Times New Roman"/>
          <w:sz w:val="24"/>
          <w:szCs w:val="24"/>
        </w:rPr>
      </w:pPr>
    </w:p>
    <w:p w14:paraId="56A86F66" w14:textId="77777777" w:rsidR="009E093C" w:rsidRDefault="009E093C" w:rsidP="009E093C">
      <w:pPr>
        <w:ind w:left="720"/>
        <w:rPr>
          <w:rFonts w:ascii="Times New Roman" w:hAnsi="Times New Roman"/>
          <w:sz w:val="24"/>
          <w:szCs w:val="24"/>
        </w:rPr>
      </w:pPr>
      <w:r>
        <w:rPr>
          <w:rFonts w:ascii="Times New Roman" w:hAnsi="Times New Roman"/>
          <w:sz w:val="24"/>
          <w:szCs w:val="24"/>
        </w:rPr>
        <w:t>“</w:t>
      </w:r>
      <w:r w:rsidRPr="001A3F57">
        <w:rPr>
          <w:rFonts w:ascii="Times New Roman" w:hAnsi="Times New Roman"/>
          <w:sz w:val="24"/>
          <w:szCs w:val="24"/>
        </w:rPr>
        <w:t xml:space="preserve">Accordingly, to state a claim under the Whistleblower Protection Act, Plaintiff must show that any alleged retaliation was for reporting: (1) a violation of financial management or accounting standards; (2) that the violation was related to funds or assets under the control of his </w:t>
      </w:r>
      <w:proofErr w:type="spellStart"/>
      <w:r w:rsidRPr="001A3F57">
        <w:rPr>
          <w:rFonts w:ascii="Times New Roman" w:hAnsi="Times New Roman"/>
          <w:sz w:val="24"/>
          <w:szCs w:val="24"/>
        </w:rPr>
        <w:t>employer;</w:t>
      </w:r>
      <w:bookmarkStart w:id="238" w:name="fn19"/>
      <w:r w:rsidRPr="001A3F57">
        <w:rPr>
          <w:rFonts w:ascii="Times New Roman" w:hAnsi="Times New Roman"/>
          <w:sz w:val="24"/>
          <w:szCs w:val="24"/>
          <w:vertAlign w:val="superscript"/>
        </w:rPr>
        <w:fldChar w:fldCharType="begin"/>
      </w:r>
      <w:r w:rsidRPr="001A3F57">
        <w:rPr>
          <w:rFonts w:ascii="Times New Roman" w:hAnsi="Times New Roman"/>
          <w:sz w:val="24"/>
          <w:szCs w:val="24"/>
          <w:vertAlign w:val="superscript"/>
        </w:rPr>
        <w:instrText xml:space="preserve"> HYPERLINK "https://public.fastcase.com/" \l "fr19" </w:instrText>
      </w:r>
      <w:r w:rsidRPr="001A3F57">
        <w:rPr>
          <w:rFonts w:ascii="Times New Roman" w:hAnsi="Times New Roman"/>
          <w:sz w:val="24"/>
          <w:szCs w:val="24"/>
          <w:vertAlign w:val="superscript"/>
        </w:rPr>
      </w:r>
      <w:r w:rsidRPr="001A3F57">
        <w:rPr>
          <w:rFonts w:ascii="Times New Roman" w:hAnsi="Times New Roman"/>
          <w:sz w:val="24"/>
          <w:szCs w:val="24"/>
          <w:vertAlign w:val="superscript"/>
        </w:rPr>
        <w:fldChar w:fldCharType="separate"/>
      </w:r>
      <w:r w:rsidR="00814FB6">
        <w:rPr>
          <w:rStyle w:val="Hyperlink"/>
        </w:rPr>
        <w:t>https</w:t>
      </w:r>
      <w:proofErr w:type="spellEnd"/>
      <w:r w:rsidR="00814FB6">
        <w:rPr>
          <w:rStyle w:val="Hyperlink"/>
        </w:rPr>
        <w:t>://public.fastcase.com/ - fr19</w:t>
      </w:r>
      <w:r w:rsidRPr="001A3F57">
        <w:rPr>
          <w:rFonts w:ascii="Times New Roman" w:hAnsi="Times New Roman"/>
          <w:sz w:val="24"/>
          <w:szCs w:val="24"/>
          <w:vertAlign w:val="superscript"/>
        </w:rPr>
        <w:fldChar w:fldCharType="end"/>
      </w:r>
      <w:bookmarkEnd w:id="238"/>
      <w:r>
        <w:rPr>
          <w:rFonts w:ascii="Times New Roman" w:hAnsi="Times New Roman"/>
          <w:sz w:val="24"/>
          <w:szCs w:val="24"/>
          <w:vertAlign w:val="superscript"/>
        </w:rPr>
        <w:t xml:space="preserve"> </w:t>
      </w:r>
      <w:r w:rsidRPr="001A3F57">
        <w:rPr>
          <w:rFonts w:ascii="Times New Roman" w:hAnsi="Times New Roman"/>
          <w:sz w:val="24"/>
          <w:szCs w:val="24"/>
        </w:rPr>
        <w:t xml:space="preserve">and (3) that the violation was due to an act or omission of his employer or an agent </w:t>
      </w:r>
      <w:proofErr w:type="spellStart"/>
      <w:r w:rsidRPr="001A3F57">
        <w:rPr>
          <w:rFonts w:ascii="Times New Roman" w:hAnsi="Times New Roman"/>
          <w:sz w:val="24"/>
          <w:szCs w:val="24"/>
        </w:rPr>
        <w:t>thereof.</w:t>
      </w:r>
      <w:bookmarkStart w:id="239" w:name="fn20"/>
      <w:r w:rsidRPr="001A3F57">
        <w:rPr>
          <w:rFonts w:ascii="Times New Roman" w:hAnsi="Times New Roman"/>
          <w:sz w:val="24"/>
          <w:szCs w:val="24"/>
          <w:vertAlign w:val="superscript"/>
        </w:rPr>
        <w:fldChar w:fldCharType="begin"/>
      </w:r>
      <w:r w:rsidRPr="001A3F57">
        <w:rPr>
          <w:rFonts w:ascii="Times New Roman" w:hAnsi="Times New Roman"/>
          <w:sz w:val="24"/>
          <w:szCs w:val="24"/>
          <w:vertAlign w:val="superscript"/>
        </w:rPr>
        <w:instrText xml:space="preserve"> HYPERLINK "https://public.fastcase.com/" \l "fr20" </w:instrText>
      </w:r>
      <w:r w:rsidRPr="001A3F57">
        <w:rPr>
          <w:rFonts w:ascii="Times New Roman" w:hAnsi="Times New Roman"/>
          <w:sz w:val="24"/>
          <w:szCs w:val="24"/>
          <w:vertAlign w:val="superscript"/>
        </w:rPr>
      </w:r>
      <w:r w:rsidRPr="001A3F57">
        <w:rPr>
          <w:rFonts w:ascii="Times New Roman" w:hAnsi="Times New Roman"/>
          <w:sz w:val="24"/>
          <w:szCs w:val="24"/>
          <w:vertAlign w:val="superscript"/>
        </w:rPr>
        <w:fldChar w:fldCharType="separate"/>
      </w:r>
      <w:r w:rsidR="00814FB6">
        <w:rPr>
          <w:rStyle w:val="Hyperlink"/>
        </w:rPr>
        <w:t>https</w:t>
      </w:r>
      <w:proofErr w:type="spellEnd"/>
      <w:r w:rsidR="00814FB6">
        <w:rPr>
          <w:rStyle w:val="Hyperlink"/>
        </w:rPr>
        <w:t>://public.fastcase.com/ - fr20</w:t>
      </w:r>
      <w:r w:rsidRPr="001A3F57">
        <w:rPr>
          <w:rFonts w:ascii="Times New Roman" w:hAnsi="Times New Roman"/>
          <w:sz w:val="24"/>
          <w:szCs w:val="24"/>
          <w:vertAlign w:val="superscript"/>
        </w:rPr>
        <w:fldChar w:fldCharType="end"/>
      </w:r>
      <w:bookmarkEnd w:id="239"/>
      <w:r>
        <w:rPr>
          <w:rFonts w:ascii="Times New Roman" w:hAnsi="Times New Roman"/>
          <w:sz w:val="24"/>
          <w:szCs w:val="24"/>
          <w:vertAlign w:val="superscript"/>
        </w:rPr>
        <w:t xml:space="preserve"> </w:t>
      </w:r>
      <w:r w:rsidRPr="001A3F57">
        <w:rPr>
          <w:rFonts w:ascii="Times New Roman" w:hAnsi="Times New Roman"/>
          <w:sz w:val="24"/>
          <w:szCs w:val="24"/>
        </w:rPr>
        <w:t>Plaintiff fails to satisfy prongs two and three.</w:t>
      </w:r>
    </w:p>
    <w:p w14:paraId="16C69165" w14:textId="77777777" w:rsidR="009E093C" w:rsidRDefault="009E093C" w:rsidP="009E093C">
      <w:pPr>
        <w:ind w:left="720"/>
        <w:rPr>
          <w:rFonts w:ascii="Times New Roman" w:hAnsi="Times New Roman"/>
          <w:sz w:val="24"/>
          <w:szCs w:val="24"/>
        </w:rPr>
      </w:pPr>
      <w:r>
        <w:rPr>
          <w:rFonts w:ascii="Times New Roman" w:hAnsi="Times New Roman"/>
          <w:sz w:val="24"/>
          <w:szCs w:val="24"/>
        </w:rPr>
        <w:t>***</w:t>
      </w:r>
    </w:p>
    <w:p w14:paraId="5AC49466" w14:textId="77777777" w:rsidR="009E093C" w:rsidRDefault="009E093C" w:rsidP="009E093C">
      <w:pPr>
        <w:pStyle w:val="NoSpacing"/>
        <w:ind w:left="720"/>
        <w:rPr>
          <w:rFonts w:ascii="Times New Roman" w:hAnsi="Times New Roman"/>
          <w:sz w:val="24"/>
          <w:szCs w:val="24"/>
        </w:rPr>
      </w:pPr>
      <w:r w:rsidRPr="001A3F57">
        <w:rPr>
          <w:rFonts w:ascii="Times New Roman" w:hAnsi="Times New Roman"/>
          <w:sz w:val="24"/>
          <w:szCs w:val="24"/>
        </w:rPr>
        <w:t xml:space="preserve">Following an investigation, public records </w:t>
      </w:r>
      <w:proofErr w:type="gramStart"/>
      <w:r w:rsidRPr="001A3F57">
        <w:rPr>
          <w:rFonts w:ascii="Times New Roman" w:hAnsi="Times New Roman"/>
          <w:sz w:val="24"/>
          <w:szCs w:val="24"/>
        </w:rPr>
        <w:t>reflect</w:t>
      </w:r>
      <w:proofErr w:type="gramEnd"/>
      <w:r w:rsidRPr="001A3F57">
        <w:rPr>
          <w:rFonts w:ascii="Times New Roman" w:hAnsi="Times New Roman"/>
          <w:sz w:val="24"/>
          <w:szCs w:val="24"/>
        </w:rPr>
        <w:t xml:space="preserve"> that the DOJ brought criminal charges including criminal racketeering and theft against Goode, who subsequently pled guilty to theft of $50,000 or more and unlawful use of a payment card. In 2019, he was sentenced to one year in prison followed by a period of probation</w:t>
      </w:r>
      <w:r>
        <w:rPr>
          <w:rFonts w:ascii="Times New Roman" w:hAnsi="Times New Roman"/>
          <w:sz w:val="24"/>
          <w:szCs w:val="24"/>
        </w:rPr>
        <w:t xml:space="preserve"> </w:t>
      </w:r>
      <w:r w:rsidRPr="001A3F57">
        <w:rPr>
          <w:rFonts w:ascii="Times New Roman" w:hAnsi="Times New Roman"/>
          <w:sz w:val="24"/>
          <w:szCs w:val="24"/>
        </w:rPr>
        <w:t xml:space="preserve">and </w:t>
      </w:r>
      <w:proofErr w:type="gramStart"/>
      <w:r w:rsidRPr="001A3F57">
        <w:rPr>
          <w:rFonts w:ascii="Times New Roman" w:hAnsi="Times New Roman"/>
          <w:sz w:val="24"/>
          <w:szCs w:val="24"/>
        </w:rPr>
        <w:t>repay</w:t>
      </w:r>
      <w:proofErr w:type="gramEnd"/>
      <w:r w:rsidRPr="001A3F57">
        <w:rPr>
          <w:rFonts w:ascii="Times New Roman" w:hAnsi="Times New Roman"/>
          <w:sz w:val="24"/>
          <w:szCs w:val="24"/>
        </w:rPr>
        <w:t xml:space="preserve"> the Gallant Blazers more than $</w:t>
      </w:r>
      <w:proofErr w:type="gramStart"/>
      <w:r w:rsidRPr="001A3F57">
        <w:rPr>
          <w:rFonts w:ascii="Times New Roman" w:hAnsi="Times New Roman"/>
          <w:sz w:val="24"/>
          <w:szCs w:val="24"/>
        </w:rPr>
        <w:t>62,000.</w:t>
      </w:r>
      <w:r>
        <w:rPr>
          <w:rFonts w:ascii="Times New Roman" w:hAnsi="Times New Roman"/>
          <w:sz w:val="24"/>
          <w:szCs w:val="24"/>
        </w:rPr>
        <w:t>”</w:t>
      </w:r>
      <w:proofErr w:type="gramEnd"/>
      <w:r>
        <w:rPr>
          <w:rFonts w:ascii="Times New Roman" w:hAnsi="Times New Roman"/>
          <w:sz w:val="24"/>
          <w:szCs w:val="24"/>
        </w:rPr>
        <w:t xml:space="preserve">  [Footnote 3.]</w:t>
      </w:r>
    </w:p>
    <w:p w14:paraId="427DFC8C" w14:textId="77777777" w:rsidR="009E093C" w:rsidRPr="001A3F57" w:rsidRDefault="009E093C" w:rsidP="009E093C">
      <w:pPr>
        <w:pStyle w:val="NoSpacing"/>
        <w:ind w:left="720"/>
        <w:rPr>
          <w:rFonts w:ascii="Times New Roman" w:hAnsi="Times New Roman"/>
          <w:sz w:val="24"/>
          <w:szCs w:val="24"/>
        </w:rPr>
      </w:pPr>
      <w:hyperlink r:id="rId1275" w:history="1">
        <w:r w:rsidRPr="00BA14DC">
          <w:rPr>
            <w:rStyle w:val="Hyperlink"/>
            <w:rFonts w:ascii="Times New Roman" w:hAnsi="Times New Roman"/>
            <w:sz w:val="24"/>
            <w:szCs w:val="24"/>
          </w:rPr>
          <w:t>https://casetext.com/case/hayman-v-city-of-wilmington</w:t>
        </w:r>
      </w:hyperlink>
      <w:r>
        <w:rPr>
          <w:rFonts w:ascii="Times New Roman" w:hAnsi="Times New Roman"/>
          <w:sz w:val="24"/>
          <w:szCs w:val="24"/>
        </w:rPr>
        <w:t xml:space="preserve"> </w:t>
      </w:r>
    </w:p>
    <w:p w14:paraId="764E6B7C" w14:textId="77777777" w:rsidR="009E093C" w:rsidRPr="00500FB1" w:rsidRDefault="009E093C" w:rsidP="009E093C">
      <w:pPr>
        <w:pStyle w:val="NoSpacing"/>
        <w:tabs>
          <w:tab w:val="left" w:pos="7640"/>
        </w:tabs>
        <w:rPr>
          <w:rFonts w:ascii="Times New Roman" w:hAnsi="Times New Roman"/>
          <w:sz w:val="24"/>
          <w:szCs w:val="24"/>
        </w:rPr>
      </w:pPr>
    </w:p>
    <w:p w14:paraId="55985BD9" w14:textId="77777777" w:rsidR="009E093C" w:rsidRDefault="009E093C" w:rsidP="009E093C">
      <w:pPr>
        <w:pStyle w:val="Heading1"/>
        <w:rPr>
          <w:b w:val="0"/>
          <w:bCs w:val="0"/>
          <w:sz w:val="24"/>
          <w:szCs w:val="24"/>
        </w:rPr>
      </w:pPr>
      <w:r w:rsidRPr="00885D66">
        <w:rPr>
          <w:sz w:val="24"/>
          <w:szCs w:val="24"/>
        </w:rPr>
        <w:t>Legal Lesson Learned: It is unfortunate that the firefighter did not retain legal counsel.</w:t>
      </w:r>
      <w:r w:rsidRPr="00885D66">
        <w:rPr>
          <w:b w:val="0"/>
          <w:bCs w:val="0"/>
          <w:sz w:val="24"/>
          <w:szCs w:val="24"/>
        </w:rPr>
        <w:t xml:space="preserve">  </w:t>
      </w:r>
    </w:p>
    <w:p w14:paraId="51088426" w14:textId="77777777" w:rsidR="009E093C" w:rsidRPr="007668F4" w:rsidRDefault="009E093C" w:rsidP="009E093C">
      <w:pPr>
        <w:pStyle w:val="Heading1"/>
        <w:ind w:left="720"/>
        <w:rPr>
          <w:b w:val="0"/>
          <w:bCs w:val="0"/>
          <w:sz w:val="24"/>
          <w:szCs w:val="24"/>
        </w:rPr>
      </w:pPr>
      <w:r>
        <w:rPr>
          <w:b w:val="0"/>
          <w:bCs w:val="0"/>
          <w:sz w:val="24"/>
          <w:szCs w:val="24"/>
        </w:rPr>
        <w:t xml:space="preserve">Note: </w:t>
      </w:r>
      <w:r w:rsidRPr="00885D66">
        <w:rPr>
          <w:b w:val="0"/>
          <w:bCs w:val="0"/>
          <w:sz w:val="24"/>
          <w:szCs w:val="24"/>
        </w:rPr>
        <w:t xml:space="preserve">If there were any federal funds involved in the theft, </w:t>
      </w:r>
      <w:r>
        <w:rPr>
          <w:b w:val="0"/>
          <w:bCs w:val="0"/>
          <w:sz w:val="24"/>
          <w:szCs w:val="24"/>
        </w:rPr>
        <w:t xml:space="preserve">plaintiff </w:t>
      </w:r>
      <w:r w:rsidRPr="00885D66">
        <w:rPr>
          <w:b w:val="0"/>
          <w:bCs w:val="0"/>
          <w:sz w:val="24"/>
          <w:szCs w:val="24"/>
        </w:rPr>
        <w:t>could have filed a civil whistleblower claim under seal</w:t>
      </w:r>
      <w:r>
        <w:rPr>
          <w:b w:val="0"/>
          <w:bCs w:val="0"/>
          <w:sz w:val="24"/>
          <w:szCs w:val="24"/>
        </w:rPr>
        <w:t xml:space="preserve">, and then </w:t>
      </w:r>
      <w:r w:rsidRPr="00885D66">
        <w:rPr>
          <w:b w:val="0"/>
          <w:bCs w:val="0"/>
          <w:sz w:val="24"/>
          <w:szCs w:val="24"/>
        </w:rPr>
        <w:t>U.S. Attorney’s Office in Delaware</w:t>
      </w:r>
      <w:r>
        <w:rPr>
          <w:b w:val="0"/>
          <w:bCs w:val="0"/>
          <w:sz w:val="24"/>
          <w:szCs w:val="24"/>
        </w:rPr>
        <w:t xml:space="preserve"> and FBI could help  pursue his civil action. </w:t>
      </w:r>
      <w:r w:rsidRPr="00885D66">
        <w:rPr>
          <w:b w:val="0"/>
          <w:bCs w:val="0"/>
          <w:sz w:val="24"/>
          <w:szCs w:val="24"/>
        </w:rPr>
        <w:t xml:space="preserve"> </w:t>
      </w:r>
      <w:r>
        <w:rPr>
          <w:b w:val="0"/>
          <w:bCs w:val="0"/>
          <w:sz w:val="24"/>
          <w:szCs w:val="24"/>
        </w:rPr>
        <w:t>“</w:t>
      </w:r>
      <w:r w:rsidRPr="00C03B09">
        <w:rPr>
          <w:b w:val="0"/>
          <w:bCs w:val="0"/>
          <w:sz w:val="24"/>
          <w:szCs w:val="24"/>
        </w:rPr>
        <w:t>In FY2019, qui tam whistleblowers received $272 million in rewards</w:t>
      </w:r>
      <w:r>
        <w:rPr>
          <w:b w:val="0"/>
          <w:bCs w:val="0"/>
          <w:sz w:val="24"/>
          <w:szCs w:val="24"/>
        </w:rPr>
        <w:t>.”</w:t>
      </w:r>
      <w:r w:rsidRPr="00C03B09">
        <w:t xml:space="preserve"> </w:t>
      </w:r>
      <w:r w:rsidRPr="00C03B09">
        <w:rPr>
          <w:i/>
          <w:iCs/>
          <w:sz w:val="24"/>
          <w:szCs w:val="24"/>
        </w:rPr>
        <w:t>Department of Justice Report Shows Whistleblowers Consistently Rewarded through Qui Tam Lawsuits</w:t>
      </w:r>
      <w:r>
        <w:rPr>
          <w:i/>
          <w:iCs/>
          <w:sz w:val="24"/>
          <w:szCs w:val="24"/>
        </w:rPr>
        <w:t xml:space="preserve">. </w:t>
      </w:r>
      <w:hyperlink r:id="rId1276" w:history="1">
        <w:r w:rsidRPr="007668F4">
          <w:rPr>
            <w:rStyle w:val="Hyperlink"/>
            <w:b w:val="0"/>
            <w:bCs w:val="0"/>
            <w:sz w:val="24"/>
            <w:szCs w:val="24"/>
          </w:rPr>
          <w:t>https://www.natlawreview.com/article/department-justice-report-shows-whistleblowers-consistently-rewarded-through-qui-tam</w:t>
        </w:r>
      </w:hyperlink>
      <w:r w:rsidRPr="007668F4">
        <w:rPr>
          <w:b w:val="0"/>
          <w:bCs w:val="0"/>
          <w:sz w:val="24"/>
          <w:szCs w:val="24"/>
        </w:rPr>
        <w:t xml:space="preserve"> </w:t>
      </w:r>
    </w:p>
    <w:p w14:paraId="4EC28A5C" w14:textId="77777777" w:rsidR="009E093C" w:rsidRDefault="009E093C" w:rsidP="009E093C">
      <w:pPr>
        <w:pStyle w:val="Heading1"/>
        <w:ind w:left="1440" w:hanging="720"/>
        <w:rPr>
          <w:b w:val="0"/>
          <w:bCs w:val="0"/>
          <w:sz w:val="24"/>
          <w:szCs w:val="24"/>
        </w:rPr>
      </w:pPr>
      <w:r>
        <w:rPr>
          <w:b w:val="0"/>
          <w:bCs w:val="0"/>
          <w:sz w:val="24"/>
          <w:szCs w:val="24"/>
        </w:rPr>
        <w:t xml:space="preserve">The State of Delaware also has a whistleblower protection statute. It provides, in part:  </w:t>
      </w:r>
    </w:p>
    <w:p w14:paraId="1842BC1F" w14:textId="77777777" w:rsidR="009E093C" w:rsidRPr="007668F4" w:rsidRDefault="009E093C" w:rsidP="009E093C">
      <w:pPr>
        <w:pStyle w:val="Heading1"/>
        <w:ind w:left="1440"/>
        <w:rPr>
          <w:b w:val="0"/>
          <w:bCs w:val="0"/>
          <w:sz w:val="24"/>
          <w:szCs w:val="24"/>
        </w:rPr>
      </w:pPr>
      <w:r>
        <w:rPr>
          <w:b w:val="0"/>
          <w:bCs w:val="0"/>
          <w:sz w:val="24"/>
          <w:szCs w:val="24"/>
        </w:rPr>
        <w:t>“</w:t>
      </w:r>
      <w:r w:rsidRPr="00C03B09">
        <w:rPr>
          <w:b w:val="0"/>
          <w:bCs w:val="0"/>
          <w:sz w:val="24"/>
          <w:szCs w:val="24"/>
        </w:rPr>
        <w:t>A court, in rendering a judgment in an action brought under this chapter, shall order, as the court considers appropriate, reinstatement of the employee, the payment of back wages, full reinstatement of fringe benefits and seniority rights, expungement of records relating to the disciplinary action or discharge, actual damages, or any combination of these remedies. A court may also award, as part of a judgment in an action brought under this chapter, all or a portion of the costs of litigation, including attorneys’ fees, if the court determines that such an award is appropriate.</w:t>
      </w:r>
      <w:r>
        <w:rPr>
          <w:b w:val="0"/>
          <w:bCs w:val="0"/>
          <w:sz w:val="24"/>
          <w:szCs w:val="24"/>
        </w:rPr>
        <w:t xml:space="preserve">” </w:t>
      </w:r>
      <w:hyperlink r:id="rId1277" w:history="1">
        <w:r w:rsidRPr="007668F4">
          <w:rPr>
            <w:rStyle w:val="Hyperlink"/>
            <w:b w:val="0"/>
            <w:bCs w:val="0"/>
            <w:sz w:val="24"/>
            <w:szCs w:val="24"/>
          </w:rPr>
          <w:t>https://delcode.delaware.gov/title19/c017/index.shtml</w:t>
        </w:r>
      </w:hyperlink>
      <w:r w:rsidRPr="007668F4">
        <w:rPr>
          <w:b w:val="0"/>
          <w:bCs w:val="0"/>
          <w:sz w:val="24"/>
          <w:szCs w:val="24"/>
        </w:rPr>
        <w:t xml:space="preserve"> </w:t>
      </w:r>
    </w:p>
    <w:p w14:paraId="5337BCCA" w14:textId="77777777" w:rsidR="009E093C" w:rsidRDefault="009E093C" w:rsidP="009E093C">
      <w:pPr>
        <w:rPr>
          <w:rFonts w:ascii="Times New Roman" w:hAnsi="Times New Roman"/>
          <w:sz w:val="24"/>
          <w:szCs w:val="24"/>
        </w:rPr>
      </w:pPr>
    </w:p>
    <w:p w14:paraId="3449CF53" w14:textId="77777777" w:rsidR="009E093C" w:rsidRDefault="009E093C" w:rsidP="00EF1133">
      <w:pPr>
        <w:rPr>
          <w:rFonts w:ascii="Arial Black" w:hAnsi="Arial Black"/>
          <w:b/>
          <w:sz w:val="24"/>
          <w:szCs w:val="24"/>
        </w:rPr>
      </w:pPr>
    </w:p>
    <w:p w14:paraId="5BB4AF46" w14:textId="77777777" w:rsidR="009E093C" w:rsidRDefault="009E093C" w:rsidP="00EF1133">
      <w:pPr>
        <w:rPr>
          <w:rFonts w:ascii="Arial Black" w:hAnsi="Arial Black"/>
          <w:b/>
          <w:sz w:val="24"/>
          <w:szCs w:val="24"/>
        </w:rPr>
      </w:pPr>
    </w:p>
    <w:p w14:paraId="7330DF42" w14:textId="41CE56AD"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3</w:t>
      </w:r>
    </w:p>
    <w:p w14:paraId="3862857D" w14:textId="77777777" w:rsidR="009E093C" w:rsidRDefault="009E093C" w:rsidP="009E093C">
      <w:pPr>
        <w:pStyle w:val="NoSpacing"/>
        <w:rPr>
          <w:rFonts w:ascii="Arial Black" w:hAnsi="Arial Black"/>
          <w:sz w:val="28"/>
          <w:szCs w:val="28"/>
        </w:rPr>
      </w:pPr>
      <w:r>
        <w:rPr>
          <w:rFonts w:ascii="Arial Black" w:hAnsi="Arial Black"/>
          <w:sz w:val="28"/>
          <w:szCs w:val="28"/>
        </w:rPr>
        <w:t>MI: DEPUTY SHERIFF REPORTED MISUSE DRUG FORFEITURE FUNDS – 1</w:t>
      </w:r>
      <w:r w:rsidRPr="00EB4193">
        <w:rPr>
          <w:rFonts w:ascii="Arial Black" w:hAnsi="Arial Black"/>
          <w:sz w:val="28"/>
          <w:szCs w:val="28"/>
          <w:vertAlign w:val="superscript"/>
        </w:rPr>
        <w:t>st</w:t>
      </w:r>
      <w:r>
        <w:rPr>
          <w:rFonts w:ascii="Arial Black" w:hAnsi="Arial Black"/>
          <w:sz w:val="28"/>
          <w:szCs w:val="28"/>
        </w:rPr>
        <w:t xml:space="preserve"> AMEND. ONLY IF SPEAKING AS “PRIVATE CITIZEN” </w:t>
      </w:r>
    </w:p>
    <w:p w14:paraId="36A7E55A" w14:textId="77777777" w:rsidR="009E093C" w:rsidRDefault="009E093C" w:rsidP="009E093C">
      <w:pPr>
        <w:pStyle w:val="NoSpacing"/>
        <w:rPr>
          <w:rFonts w:ascii="Arial Black" w:hAnsi="Arial Black"/>
          <w:sz w:val="28"/>
          <w:szCs w:val="28"/>
        </w:rPr>
      </w:pPr>
    </w:p>
    <w:p w14:paraId="62167879" w14:textId="77777777" w:rsidR="009E093C" w:rsidRDefault="009E093C" w:rsidP="009E093C">
      <w:pPr>
        <w:pStyle w:val="NoSpacing"/>
        <w:rPr>
          <w:rFonts w:ascii="Times New Roman" w:hAnsi="Times New Roman"/>
          <w:sz w:val="24"/>
          <w:szCs w:val="24"/>
        </w:rPr>
      </w:pPr>
      <w:r>
        <w:rPr>
          <w:rFonts w:ascii="Times New Roman" w:hAnsi="Times New Roman"/>
          <w:sz w:val="24"/>
          <w:szCs w:val="24"/>
        </w:rPr>
        <w:t xml:space="preserve">On Oct. 9, 2020, in </w:t>
      </w:r>
      <w:r w:rsidRPr="00FE06D1">
        <w:rPr>
          <w:rFonts w:ascii="Times New Roman" w:hAnsi="Times New Roman"/>
          <w:sz w:val="24"/>
          <w:szCs w:val="24"/>
          <w:u w:val="single"/>
        </w:rPr>
        <w:t>Garrett De</w:t>
      </w:r>
      <w:r>
        <w:rPr>
          <w:rFonts w:ascii="Times New Roman" w:hAnsi="Times New Roman"/>
          <w:sz w:val="24"/>
          <w:szCs w:val="24"/>
          <w:u w:val="single"/>
        </w:rPr>
        <w:t>W</w:t>
      </w:r>
      <w:r w:rsidRPr="00FE06D1">
        <w:rPr>
          <w:rFonts w:ascii="Times New Roman" w:hAnsi="Times New Roman"/>
          <w:sz w:val="24"/>
          <w:szCs w:val="24"/>
          <w:u w:val="single"/>
        </w:rPr>
        <w:t xml:space="preserve">yse v. </w:t>
      </w:r>
      <w:r>
        <w:rPr>
          <w:rFonts w:ascii="Times New Roman" w:hAnsi="Times New Roman"/>
          <w:sz w:val="24"/>
          <w:szCs w:val="24"/>
          <w:u w:val="single"/>
        </w:rPr>
        <w:t xml:space="preserve">William L. Federspiel, Heather Beyerlein, and </w:t>
      </w:r>
      <w:r w:rsidRPr="00FE06D1">
        <w:rPr>
          <w:rFonts w:ascii="Times New Roman" w:hAnsi="Times New Roman"/>
          <w:sz w:val="24"/>
          <w:szCs w:val="24"/>
          <w:u w:val="single"/>
        </w:rPr>
        <w:t>County of Saginaw, et al</w:t>
      </w:r>
      <w:r>
        <w:rPr>
          <w:rFonts w:ascii="Times New Roman" w:hAnsi="Times New Roman"/>
          <w:sz w:val="24"/>
          <w:szCs w:val="24"/>
        </w:rPr>
        <w:t>., the U.S. Court of Appeals for 6</w:t>
      </w:r>
      <w:r w:rsidRPr="00FE06D1">
        <w:rPr>
          <w:rFonts w:ascii="Times New Roman" w:hAnsi="Times New Roman"/>
          <w:sz w:val="24"/>
          <w:szCs w:val="24"/>
          <w:vertAlign w:val="superscript"/>
        </w:rPr>
        <w:t>th</w:t>
      </w:r>
      <w:r>
        <w:rPr>
          <w:rFonts w:ascii="Times New Roman" w:hAnsi="Times New Roman"/>
          <w:sz w:val="24"/>
          <w:szCs w:val="24"/>
        </w:rPr>
        <w:t xml:space="preserve"> Circuit (Cincinnati), held (3 to 0; unreported decision) the trial court judge properly dismissed the First Amendment retaliation lawsuit by Deputy who reported to County Finance Director possible misuse of drug forfeiture funds.  The Deputy </w:t>
      </w:r>
      <w:proofErr w:type="gramStart"/>
      <w:r>
        <w:rPr>
          <w:rFonts w:ascii="Times New Roman" w:hAnsi="Times New Roman"/>
          <w:sz w:val="24"/>
          <w:szCs w:val="24"/>
        </w:rPr>
        <w:t>was in charge of</w:t>
      </w:r>
      <w:proofErr w:type="gramEnd"/>
      <w:r>
        <w:rPr>
          <w:rFonts w:ascii="Times New Roman" w:hAnsi="Times New Roman"/>
          <w:sz w:val="24"/>
          <w:szCs w:val="24"/>
        </w:rPr>
        <w:t xml:space="preserve"> Property &amp; Evidence Room and was reporting on an item related to his official duties; he was not “speaking” as a private citizen reporting on an item of great public concern.   </w:t>
      </w:r>
    </w:p>
    <w:p w14:paraId="13189E70" w14:textId="77777777" w:rsidR="009E093C" w:rsidRDefault="009E093C" w:rsidP="009E093C">
      <w:pPr>
        <w:pStyle w:val="NoSpacing"/>
        <w:rPr>
          <w:rFonts w:ascii="Times New Roman" w:hAnsi="Times New Roman"/>
          <w:sz w:val="24"/>
          <w:szCs w:val="24"/>
        </w:rPr>
      </w:pPr>
    </w:p>
    <w:p w14:paraId="3282F86B" w14:textId="77777777" w:rsidR="009E093C" w:rsidRDefault="009E093C" w:rsidP="009E093C">
      <w:pPr>
        <w:pStyle w:val="NoSpacing"/>
        <w:ind w:left="720"/>
        <w:rPr>
          <w:rFonts w:ascii="Times New Roman" w:hAnsi="Times New Roman"/>
          <w:sz w:val="24"/>
          <w:szCs w:val="24"/>
        </w:rPr>
      </w:pPr>
      <w:r>
        <w:rPr>
          <w:rFonts w:ascii="Times New Roman" w:hAnsi="Times New Roman"/>
          <w:sz w:val="24"/>
          <w:szCs w:val="24"/>
        </w:rPr>
        <w:t>“</w:t>
      </w:r>
      <w:r w:rsidRPr="002D5EC1">
        <w:rPr>
          <w:rFonts w:ascii="Times New Roman" w:hAnsi="Times New Roman"/>
          <w:sz w:val="24"/>
          <w:szCs w:val="24"/>
        </w:rPr>
        <w:t>In reaching this</w:t>
      </w:r>
      <w:r>
        <w:rPr>
          <w:rFonts w:ascii="Times New Roman" w:hAnsi="Times New Roman"/>
          <w:sz w:val="24"/>
          <w:szCs w:val="24"/>
        </w:rPr>
        <w:t xml:space="preserve"> </w:t>
      </w:r>
      <w:r w:rsidRPr="002D5EC1">
        <w:rPr>
          <w:rFonts w:ascii="Times New Roman" w:hAnsi="Times New Roman"/>
          <w:sz w:val="24"/>
          <w:szCs w:val="24"/>
        </w:rPr>
        <w:t>outcome, we do not question DeWyse’s motivation, nor</w:t>
      </w:r>
      <w:r>
        <w:rPr>
          <w:rFonts w:ascii="Times New Roman" w:hAnsi="Times New Roman"/>
          <w:sz w:val="24"/>
          <w:szCs w:val="24"/>
        </w:rPr>
        <w:t xml:space="preserve"> </w:t>
      </w:r>
      <w:r w:rsidRPr="002D5EC1">
        <w:rPr>
          <w:rFonts w:ascii="Times New Roman" w:hAnsi="Times New Roman"/>
          <w:sz w:val="24"/>
          <w:szCs w:val="24"/>
        </w:rPr>
        <w:t>do we</w:t>
      </w:r>
      <w:r>
        <w:rPr>
          <w:rFonts w:ascii="Times New Roman" w:hAnsi="Times New Roman"/>
          <w:sz w:val="24"/>
          <w:szCs w:val="24"/>
        </w:rPr>
        <w:t xml:space="preserve"> </w:t>
      </w:r>
      <w:r w:rsidRPr="002D5EC1">
        <w:rPr>
          <w:rFonts w:ascii="Times New Roman" w:hAnsi="Times New Roman"/>
          <w:sz w:val="24"/>
          <w:szCs w:val="24"/>
        </w:rPr>
        <w:t>condone</w:t>
      </w:r>
      <w:r>
        <w:rPr>
          <w:rFonts w:ascii="Times New Roman" w:hAnsi="Times New Roman"/>
          <w:sz w:val="24"/>
          <w:szCs w:val="24"/>
        </w:rPr>
        <w:t xml:space="preserve"> </w:t>
      </w:r>
      <w:r w:rsidRPr="002D5EC1">
        <w:rPr>
          <w:rFonts w:ascii="Times New Roman" w:hAnsi="Times New Roman"/>
          <w:sz w:val="24"/>
          <w:szCs w:val="24"/>
        </w:rPr>
        <w:t>disciplining</w:t>
      </w:r>
      <w:r>
        <w:rPr>
          <w:rFonts w:ascii="Times New Roman" w:hAnsi="Times New Roman"/>
          <w:sz w:val="24"/>
          <w:szCs w:val="24"/>
        </w:rPr>
        <w:t xml:space="preserve"> </w:t>
      </w:r>
      <w:r w:rsidRPr="002D5EC1">
        <w:rPr>
          <w:rFonts w:ascii="Times New Roman" w:hAnsi="Times New Roman"/>
          <w:sz w:val="24"/>
          <w:szCs w:val="24"/>
        </w:rPr>
        <w:t>public employees</w:t>
      </w:r>
      <w:r>
        <w:rPr>
          <w:rFonts w:ascii="Times New Roman" w:hAnsi="Times New Roman"/>
          <w:sz w:val="24"/>
          <w:szCs w:val="24"/>
        </w:rPr>
        <w:t xml:space="preserve"> </w:t>
      </w:r>
      <w:r w:rsidRPr="002D5EC1">
        <w:rPr>
          <w:rFonts w:ascii="Times New Roman" w:hAnsi="Times New Roman"/>
          <w:sz w:val="24"/>
          <w:szCs w:val="24"/>
        </w:rPr>
        <w:t>for raising concerns about government mismanagement or</w:t>
      </w:r>
      <w:r>
        <w:rPr>
          <w:rFonts w:ascii="Times New Roman" w:hAnsi="Times New Roman"/>
          <w:sz w:val="24"/>
          <w:szCs w:val="24"/>
        </w:rPr>
        <w:t xml:space="preserve"> </w:t>
      </w:r>
      <w:r w:rsidRPr="002D5EC1">
        <w:rPr>
          <w:rFonts w:ascii="Times New Roman" w:hAnsi="Times New Roman"/>
          <w:sz w:val="24"/>
          <w:szCs w:val="24"/>
        </w:rPr>
        <w:t>corruption.</w:t>
      </w:r>
      <w:r>
        <w:rPr>
          <w:rFonts w:ascii="Times New Roman" w:hAnsi="Times New Roman"/>
          <w:sz w:val="24"/>
          <w:szCs w:val="24"/>
        </w:rPr>
        <w:t xml:space="preserve"> </w:t>
      </w:r>
      <w:r w:rsidRPr="002D5EC1">
        <w:rPr>
          <w:rFonts w:ascii="Times New Roman" w:hAnsi="Times New Roman"/>
          <w:sz w:val="24"/>
          <w:szCs w:val="24"/>
        </w:rPr>
        <w:t>See Mayhew, 859 F.3d at 466.</w:t>
      </w:r>
      <w:r>
        <w:rPr>
          <w:rFonts w:ascii="Times New Roman" w:hAnsi="Times New Roman"/>
          <w:sz w:val="24"/>
          <w:szCs w:val="24"/>
        </w:rPr>
        <w:t xml:space="preserve"> </w:t>
      </w:r>
      <w:r w:rsidRPr="002D5EC1">
        <w:rPr>
          <w:rFonts w:ascii="Times New Roman" w:hAnsi="Times New Roman"/>
          <w:sz w:val="24"/>
          <w:szCs w:val="24"/>
        </w:rPr>
        <w:t>But</w:t>
      </w:r>
      <w:r>
        <w:rPr>
          <w:rFonts w:ascii="Times New Roman" w:hAnsi="Times New Roman"/>
          <w:sz w:val="24"/>
          <w:szCs w:val="24"/>
        </w:rPr>
        <w:t xml:space="preserve"> </w:t>
      </w:r>
      <w:r w:rsidRPr="002D5EC1">
        <w:rPr>
          <w:rFonts w:ascii="Times New Roman" w:hAnsi="Times New Roman"/>
          <w:sz w:val="24"/>
          <w:szCs w:val="24"/>
        </w:rPr>
        <w:t>in this public employment setting, laudable intent</w:t>
      </w:r>
      <w:r>
        <w:rPr>
          <w:rFonts w:ascii="Times New Roman" w:hAnsi="Times New Roman"/>
          <w:sz w:val="24"/>
          <w:szCs w:val="24"/>
        </w:rPr>
        <w:t xml:space="preserve"> </w:t>
      </w:r>
      <w:r w:rsidRPr="002D5EC1">
        <w:rPr>
          <w:rFonts w:ascii="Times New Roman" w:hAnsi="Times New Roman"/>
          <w:sz w:val="24"/>
          <w:szCs w:val="24"/>
        </w:rPr>
        <w:t>alone</w:t>
      </w:r>
      <w:r>
        <w:rPr>
          <w:rFonts w:ascii="Times New Roman" w:hAnsi="Times New Roman"/>
          <w:sz w:val="24"/>
          <w:szCs w:val="24"/>
        </w:rPr>
        <w:t xml:space="preserve"> </w:t>
      </w:r>
      <w:r w:rsidRPr="002D5EC1">
        <w:rPr>
          <w:rFonts w:ascii="Times New Roman" w:hAnsi="Times New Roman"/>
          <w:sz w:val="24"/>
          <w:szCs w:val="24"/>
        </w:rPr>
        <w:t>is not enough to secure First Amendment protection. See Haddad, 910 F.3d at 249–50. As</w:t>
      </w:r>
      <w:r>
        <w:rPr>
          <w:rFonts w:ascii="Times New Roman" w:hAnsi="Times New Roman"/>
          <w:sz w:val="24"/>
          <w:szCs w:val="24"/>
        </w:rPr>
        <w:t xml:space="preserve"> </w:t>
      </w:r>
      <w:r w:rsidRPr="002D5EC1">
        <w:rPr>
          <w:rFonts w:ascii="Times New Roman" w:hAnsi="Times New Roman"/>
          <w:sz w:val="24"/>
          <w:szCs w:val="24"/>
        </w:rPr>
        <w:t>DeWyse’s communications</w:t>
      </w:r>
      <w:r>
        <w:rPr>
          <w:rFonts w:ascii="Times New Roman" w:hAnsi="Times New Roman"/>
          <w:sz w:val="24"/>
          <w:szCs w:val="24"/>
        </w:rPr>
        <w:t xml:space="preserve"> </w:t>
      </w:r>
      <w:r w:rsidRPr="002D5EC1">
        <w:rPr>
          <w:rFonts w:ascii="Times New Roman" w:hAnsi="Times New Roman"/>
          <w:sz w:val="24"/>
          <w:szCs w:val="24"/>
        </w:rPr>
        <w:t>fell within the scope of his employment and were</w:t>
      </w:r>
      <w:r>
        <w:rPr>
          <w:rFonts w:ascii="Times New Roman" w:hAnsi="Times New Roman"/>
          <w:sz w:val="24"/>
          <w:szCs w:val="24"/>
        </w:rPr>
        <w:t xml:space="preserve"> </w:t>
      </w:r>
      <w:r w:rsidRPr="002D5EC1">
        <w:rPr>
          <w:rFonts w:ascii="Times New Roman" w:hAnsi="Times New Roman"/>
          <w:sz w:val="24"/>
          <w:szCs w:val="24"/>
        </w:rPr>
        <w:t>made pursuant to his assigned duties, he</w:t>
      </w:r>
      <w:r>
        <w:rPr>
          <w:rFonts w:ascii="Times New Roman" w:hAnsi="Times New Roman"/>
          <w:sz w:val="24"/>
          <w:szCs w:val="24"/>
        </w:rPr>
        <w:t xml:space="preserve"> </w:t>
      </w:r>
      <w:r w:rsidRPr="002D5EC1">
        <w:rPr>
          <w:rFonts w:ascii="Times New Roman" w:hAnsi="Times New Roman"/>
          <w:sz w:val="24"/>
          <w:szCs w:val="24"/>
        </w:rPr>
        <w:t>spoke as a public employee, meaning</w:t>
      </w:r>
      <w:r>
        <w:rPr>
          <w:rFonts w:ascii="Times New Roman" w:hAnsi="Times New Roman"/>
          <w:sz w:val="24"/>
          <w:szCs w:val="24"/>
        </w:rPr>
        <w:t xml:space="preserve"> </w:t>
      </w:r>
      <w:r w:rsidRPr="002D5EC1">
        <w:rPr>
          <w:rFonts w:ascii="Times New Roman" w:hAnsi="Times New Roman"/>
          <w:sz w:val="24"/>
          <w:szCs w:val="24"/>
        </w:rPr>
        <w:t>his speech is unprotected.</w:t>
      </w:r>
      <w:r>
        <w:rPr>
          <w:rFonts w:ascii="Times New Roman" w:hAnsi="Times New Roman"/>
          <w:sz w:val="24"/>
          <w:szCs w:val="24"/>
        </w:rPr>
        <w:t xml:space="preserve">” </w:t>
      </w:r>
      <w:hyperlink r:id="rId1278" w:history="1">
        <w:r w:rsidRPr="00AA126E">
          <w:rPr>
            <w:rStyle w:val="Hyperlink"/>
            <w:rFonts w:ascii="Times New Roman" w:hAnsi="Times New Roman"/>
            <w:sz w:val="24"/>
            <w:szCs w:val="24"/>
          </w:rPr>
          <w:t>https://www.opn.ca6.uscourts.gov/opinions.pdf/20a0579n-06.pdf</w:t>
        </w:r>
      </w:hyperlink>
      <w:r>
        <w:rPr>
          <w:rFonts w:ascii="Times New Roman" w:hAnsi="Times New Roman"/>
          <w:sz w:val="24"/>
          <w:szCs w:val="24"/>
        </w:rPr>
        <w:t xml:space="preserve"> </w:t>
      </w:r>
    </w:p>
    <w:p w14:paraId="09F5DE6C" w14:textId="538036CD" w:rsidR="009E093C" w:rsidRDefault="009E093C" w:rsidP="00EF1133">
      <w:pPr>
        <w:rPr>
          <w:rFonts w:ascii="Arial Black" w:hAnsi="Arial Black"/>
          <w:b/>
          <w:sz w:val="24"/>
          <w:szCs w:val="24"/>
        </w:rPr>
      </w:pPr>
    </w:p>
    <w:p w14:paraId="75AAE181" w14:textId="77777777" w:rsidR="009E093C" w:rsidRDefault="009E093C" w:rsidP="009E093C">
      <w:pPr>
        <w:pStyle w:val="NoSpacing"/>
        <w:rPr>
          <w:rFonts w:ascii="Times New Roman" w:hAnsi="Times New Roman"/>
          <w:b/>
          <w:bCs/>
          <w:sz w:val="24"/>
          <w:szCs w:val="24"/>
        </w:rPr>
      </w:pPr>
      <w:r w:rsidRPr="00323F41">
        <w:rPr>
          <w:rFonts w:ascii="Times New Roman" w:hAnsi="Times New Roman"/>
          <w:b/>
          <w:bCs/>
          <w:sz w:val="24"/>
          <w:szCs w:val="24"/>
        </w:rPr>
        <w:t>Legal Lesson Learned:</w:t>
      </w:r>
      <w:r>
        <w:rPr>
          <w:rFonts w:ascii="Times New Roman" w:hAnsi="Times New Roman"/>
          <w:b/>
          <w:bCs/>
          <w:sz w:val="24"/>
          <w:szCs w:val="24"/>
        </w:rPr>
        <w:t xml:space="preserve"> If the Deputy Sheriff had gone to his union, County Prosecutor, FBI or County Commissioners, then his “speech” may have been protected.</w:t>
      </w:r>
    </w:p>
    <w:p w14:paraId="379A06FA" w14:textId="77777777" w:rsidR="009E093C" w:rsidRDefault="009E093C" w:rsidP="009E093C">
      <w:pPr>
        <w:pStyle w:val="NoSpacing"/>
        <w:rPr>
          <w:rFonts w:ascii="Times New Roman" w:hAnsi="Times New Roman"/>
          <w:b/>
          <w:bCs/>
          <w:sz w:val="24"/>
          <w:szCs w:val="24"/>
        </w:rPr>
      </w:pPr>
    </w:p>
    <w:p w14:paraId="2B0A7B10" w14:textId="77777777" w:rsidR="009E093C" w:rsidRPr="00EA56DC" w:rsidRDefault="009E093C" w:rsidP="009E093C">
      <w:pPr>
        <w:pStyle w:val="NoSpacing"/>
        <w:ind w:left="720"/>
        <w:rPr>
          <w:rFonts w:ascii="Times New Roman" w:hAnsi="Times New Roman"/>
          <w:sz w:val="24"/>
          <w:szCs w:val="24"/>
        </w:rPr>
      </w:pPr>
      <w:r w:rsidRPr="00EA56DC">
        <w:rPr>
          <w:rFonts w:ascii="Times New Roman" w:hAnsi="Times New Roman"/>
          <w:sz w:val="24"/>
          <w:szCs w:val="24"/>
        </w:rPr>
        <w:t>Note: The 6</w:t>
      </w:r>
      <w:r w:rsidRPr="00EA56DC">
        <w:rPr>
          <w:rFonts w:ascii="Times New Roman" w:hAnsi="Times New Roman"/>
          <w:sz w:val="24"/>
          <w:szCs w:val="24"/>
          <w:vertAlign w:val="superscript"/>
        </w:rPr>
        <w:t>th</w:t>
      </w:r>
      <w:r w:rsidRPr="00EA56DC">
        <w:rPr>
          <w:rFonts w:ascii="Times New Roman" w:hAnsi="Times New Roman"/>
          <w:sz w:val="24"/>
          <w:szCs w:val="24"/>
        </w:rPr>
        <w:t xml:space="preserve"> Circuit </w:t>
      </w:r>
      <w:r>
        <w:rPr>
          <w:rFonts w:ascii="Times New Roman" w:hAnsi="Times New Roman"/>
          <w:sz w:val="24"/>
          <w:szCs w:val="24"/>
        </w:rPr>
        <w:t xml:space="preserve">judges in this case </w:t>
      </w:r>
      <w:r w:rsidRPr="00EA56DC">
        <w:rPr>
          <w:rFonts w:ascii="Times New Roman" w:hAnsi="Times New Roman"/>
          <w:sz w:val="24"/>
          <w:szCs w:val="24"/>
        </w:rPr>
        <w:t xml:space="preserve">described </w:t>
      </w:r>
      <w:r>
        <w:rPr>
          <w:rFonts w:ascii="Times New Roman" w:hAnsi="Times New Roman"/>
          <w:sz w:val="24"/>
          <w:szCs w:val="24"/>
        </w:rPr>
        <w:t xml:space="preserve">a </w:t>
      </w:r>
      <w:r w:rsidRPr="00EA56DC">
        <w:rPr>
          <w:rFonts w:ascii="Times New Roman" w:hAnsi="Times New Roman"/>
          <w:sz w:val="24"/>
          <w:szCs w:val="24"/>
        </w:rPr>
        <w:t>recent decision where public employee was protected by 1</w:t>
      </w:r>
      <w:r w:rsidRPr="00EA56DC">
        <w:rPr>
          <w:rFonts w:ascii="Times New Roman" w:hAnsi="Times New Roman"/>
          <w:sz w:val="24"/>
          <w:szCs w:val="24"/>
          <w:vertAlign w:val="superscript"/>
        </w:rPr>
        <w:t>st</w:t>
      </w:r>
      <w:r w:rsidRPr="00EA56DC">
        <w:rPr>
          <w:rFonts w:ascii="Times New Roman" w:hAnsi="Times New Roman"/>
          <w:sz w:val="24"/>
          <w:szCs w:val="24"/>
        </w:rPr>
        <w:t xml:space="preserve"> Amendment. </w:t>
      </w:r>
    </w:p>
    <w:p w14:paraId="4C1FF146" w14:textId="77777777" w:rsidR="009E093C" w:rsidRDefault="009E093C" w:rsidP="009E093C">
      <w:pPr>
        <w:pStyle w:val="NoSpacing"/>
        <w:ind w:left="720"/>
        <w:rPr>
          <w:rFonts w:ascii="Times New Roman" w:hAnsi="Times New Roman"/>
          <w:sz w:val="24"/>
          <w:szCs w:val="24"/>
        </w:rPr>
      </w:pPr>
    </w:p>
    <w:p w14:paraId="0077E9D1" w14:textId="77777777" w:rsidR="009E093C" w:rsidRPr="00323F41" w:rsidRDefault="009E093C" w:rsidP="009E093C">
      <w:pPr>
        <w:pStyle w:val="NoSpacing"/>
        <w:ind w:left="1440"/>
        <w:rPr>
          <w:rFonts w:ascii="Times New Roman" w:hAnsi="Times New Roman"/>
          <w:sz w:val="24"/>
          <w:szCs w:val="24"/>
        </w:rPr>
      </w:pPr>
      <w:r>
        <w:rPr>
          <w:rFonts w:ascii="Times New Roman" w:hAnsi="Times New Roman"/>
          <w:sz w:val="24"/>
          <w:szCs w:val="24"/>
        </w:rPr>
        <w:t>“</w:t>
      </w:r>
      <w:r w:rsidRPr="00323F41">
        <w:rPr>
          <w:rFonts w:ascii="Times New Roman" w:hAnsi="Times New Roman"/>
          <w:sz w:val="24"/>
          <w:szCs w:val="24"/>
        </w:rPr>
        <w:t>Our recent decision,</w:t>
      </w:r>
      <w:r>
        <w:rPr>
          <w:rFonts w:ascii="Times New Roman" w:hAnsi="Times New Roman"/>
          <w:sz w:val="24"/>
          <w:szCs w:val="24"/>
        </w:rPr>
        <w:t xml:space="preserve"> </w:t>
      </w:r>
      <w:r w:rsidRPr="00323F41">
        <w:rPr>
          <w:rFonts w:ascii="Times New Roman" w:hAnsi="Times New Roman"/>
          <w:sz w:val="24"/>
          <w:szCs w:val="24"/>
        </w:rPr>
        <w:t xml:space="preserve">Mertins v. City of Mount Clemens, 817 F. </w:t>
      </w:r>
      <w:proofErr w:type="spellStart"/>
      <w:r w:rsidRPr="00323F41">
        <w:rPr>
          <w:rFonts w:ascii="Times New Roman" w:hAnsi="Times New Roman"/>
          <w:sz w:val="24"/>
          <w:szCs w:val="24"/>
        </w:rPr>
        <w:t>App’x</w:t>
      </w:r>
      <w:proofErr w:type="spellEnd"/>
      <w:r w:rsidRPr="00323F41">
        <w:rPr>
          <w:rFonts w:ascii="Times New Roman" w:hAnsi="Times New Roman"/>
          <w:sz w:val="24"/>
          <w:szCs w:val="24"/>
        </w:rPr>
        <w:t xml:space="preserve"> 126 (6</w:t>
      </w:r>
      <w:r w:rsidRPr="00753DA9">
        <w:rPr>
          <w:rFonts w:ascii="Times New Roman" w:hAnsi="Times New Roman"/>
          <w:sz w:val="24"/>
          <w:szCs w:val="24"/>
          <w:vertAlign w:val="superscript"/>
        </w:rPr>
        <w:t>th</w:t>
      </w:r>
      <w:r w:rsidRPr="00323F41">
        <w:rPr>
          <w:rFonts w:ascii="Times New Roman" w:hAnsi="Times New Roman"/>
          <w:sz w:val="24"/>
          <w:szCs w:val="24"/>
        </w:rPr>
        <w:t xml:space="preserve"> Cir. 2020),</w:t>
      </w:r>
      <w:r>
        <w:rPr>
          <w:rFonts w:ascii="Times New Roman" w:hAnsi="Times New Roman"/>
          <w:sz w:val="24"/>
          <w:szCs w:val="24"/>
        </w:rPr>
        <w:t xml:space="preserve"> </w:t>
      </w:r>
      <w:r w:rsidRPr="00323F41">
        <w:rPr>
          <w:rFonts w:ascii="Times New Roman" w:hAnsi="Times New Roman"/>
          <w:sz w:val="24"/>
          <w:szCs w:val="24"/>
        </w:rPr>
        <w:t>does not counsel otherwise. There, a city finance department employee discovered the city was overbilling residents for utilities</w:t>
      </w:r>
      <w:r>
        <w:rPr>
          <w:rFonts w:ascii="Times New Roman" w:hAnsi="Times New Roman"/>
          <w:sz w:val="24"/>
          <w:szCs w:val="24"/>
        </w:rPr>
        <w:t>….</w:t>
      </w:r>
      <w:r w:rsidRPr="00323F41">
        <w:rPr>
          <w:rFonts w:ascii="Times New Roman" w:hAnsi="Times New Roman"/>
          <w:sz w:val="24"/>
          <w:szCs w:val="24"/>
        </w:rPr>
        <w:t>Yet when the employee raised the issue with her supervisors, she was subjected to reprimands and harassment</w:t>
      </w:r>
      <w:r>
        <w:rPr>
          <w:rFonts w:ascii="Times New Roman" w:hAnsi="Times New Roman"/>
          <w:sz w:val="24"/>
          <w:szCs w:val="24"/>
        </w:rPr>
        <w:t>…</w:t>
      </w:r>
      <w:r w:rsidRPr="00323F41">
        <w:rPr>
          <w:rFonts w:ascii="Times New Roman" w:hAnsi="Times New Roman"/>
          <w:sz w:val="24"/>
          <w:szCs w:val="24"/>
        </w:rPr>
        <w:t xml:space="preserve"> The employee then raised these same concerns with her union, local prosecutors, the FBI, and city commissioners. Id.</w:t>
      </w:r>
      <w:r>
        <w:rPr>
          <w:rFonts w:ascii="Times New Roman" w:hAnsi="Times New Roman"/>
          <w:sz w:val="24"/>
          <w:szCs w:val="24"/>
        </w:rPr>
        <w:t xml:space="preserve"> </w:t>
      </w:r>
      <w:r w:rsidRPr="00323F41">
        <w:rPr>
          <w:rFonts w:ascii="Times New Roman" w:hAnsi="Times New Roman"/>
          <w:sz w:val="24"/>
          <w:szCs w:val="24"/>
        </w:rPr>
        <w:t>At the same time, she continued to face discipline from her supervisors. Id.</w:t>
      </w:r>
      <w:r>
        <w:rPr>
          <w:rFonts w:ascii="Times New Roman" w:hAnsi="Times New Roman"/>
          <w:sz w:val="24"/>
          <w:szCs w:val="24"/>
        </w:rPr>
        <w:t xml:space="preserve"> </w:t>
      </w:r>
      <w:r w:rsidRPr="00323F41">
        <w:rPr>
          <w:rFonts w:ascii="Times New Roman" w:hAnsi="Times New Roman"/>
          <w:sz w:val="24"/>
          <w:szCs w:val="24"/>
        </w:rPr>
        <w:t xml:space="preserve">The employee eventually filed a First Amendment retaliation claim against her supervisors, and we later reversed the district court’s grant of summary judgment for the </w:t>
      </w:r>
      <w:proofErr w:type="gramStart"/>
      <w:r w:rsidRPr="00323F41">
        <w:rPr>
          <w:rFonts w:ascii="Times New Roman" w:hAnsi="Times New Roman"/>
          <w:sz w:val="24"/>
          <w:szCs w:val="24"/>
        </w:rPr>
        <w:t>defendants.</w:t>
      </w:r>
      <w:r>
        <w:rPr>
          <w:rFonts w:ascii="Times New Roman" w:hAnsi="Times New Roman"/>
          <w:sz w:val="24"/>
          <w:szCs w:val="24"/>
        </w:rPr>
        <w:t>”</w:t>
      </w:r>
      <w:proofErr w:type="gramEnd"/>
      <w:r>
        <w:rPr>
          <w:rFonts w:ascii="Times New Roman" w:hAnsi="Times New Roman"/>
          <w:sz w:val="24"/>
          <w:szCs w:val="24"/>
        </w:rPr>
        <w:t xml:space="preserve">   [June 5, </w:t>
      </w:r>
      <w:proofErr w:type="gramStart"/>
      <w:r>
        <w:rPr>
          <w:rFonts w:ascii="Times New Roman" w:hAnsi="Times New Roman"/>
          <w:sz w:val="24"/>
          <w:szCs w:val="24"/>
        </w:rPr>
        <w:t>2020</w:t>
      </w:r>
      <w:proofErr w:type="gramEnd"/>
      <w:r>
        <w:rPr>
          <w:rFonts w:ascii="Times New Roman" w:hAnsi="Times New Roman"/>
          <w:sz w:val="24"/>
          <w:szCs w:val="24"/>
        </w:rPr>
        <w:t xml:space="preserve"> decision of 6</w:t>
      </w:r>
      <w:r w:rsidRPr="000C02CA">
        <w:rPr>
          <w:rFonts w:ascii="Times New Roman" w:hAnsi="Times New Roman"/>
          <w:sz w:val="24"/>
          <w:szCs w:val="24"/>
          <w:vertAlign w:val="superscript"/>
        </w:rPr>
        <w:t>th</w:t>
      </w:r>
      <w:r>
        <w:rPr>
          <w:rFonts w:ascii="Times New Roman" w:hAnsi="Times New Roman"/>
          <w:sz w:val="24"/>
          <w:szCs w:val="24"/>
        </w:rPr>
        <w:t xml:space="preserve"> Circuit: </w:t>
      </w:r>
      <w:hyperlink r:id="rId1279" w:history="1">
        <w:r w:rsidRPr="00AA126E">
          <w:rPr>
            <w:rStyle w:val="Hyperlink"/>
            <w:rFonts w:ascii="Times New Roman" w:hAnsi="Times New Roman"/>
            <w:sz w:val="24"/>
            <w:szCs w:val="24"/>
          </w:rPr>
          <w:t>https://law.justia.com/cases/federal/appellate-courts/ca6/19-1416/19-1416-2020-06-05.html</w:t>
        </w:r>
      </w:hyperlink>
      <w:r>
        <w:rPr>
          <w:rFonts w:ascii="Times New Roman" w:hAnsi="Times New Roman"/>
          <w:sz w:val="24"/>
          <w:szCs w:val="24"/>
        </w:rPr>
        <w:t xml:space="preserve">] </w:t>
      </w:r>
    </w:p>
    <w:p w14:paraId="1351B32C" w14:textId="77777777" w:rsidR="009E093C" w:rsidRDefault="009E093C" w:rsidP="009E093C">
      <w:pPr>
        <w:pStyle w:val="NoSpacing"/>
        <w:rPr>
          <w:rFonts w:ascii="Times New Roman" w:hAnsi="Times New Roman"/>
          <w:b/>
          <w:bCs/>
          <w:sz w:val="24"/>
          <w:szCs w:val="24"/>
        </w:rPr>
      </w:pPr>
    </w:p>
    <w:p w14:paraId="405353F6" w14:textId="77777777" w:rsidR="009E093C" w:rsidRDefault="009E093C" w:rsidP="009E093C">
      <w:pPr>
        <w:pStyle w:val="NoSpacing"/>
        <w:ind w:left="1440"/>
      </w:pPr>
      <w:r w:rsidRPr="000C02CA">
        <w:rPr>
          <w:rFonts w:ascii="Times New Roman" w:hAnsi="Times New Roman"/>
          <w:sz w:val="24"/>
          <w:szCs w:val="24"/>
        </w:rPr>
        <w:t xml:space="preserve">Many states have enacted whistleblower protection statutes. </w:t>
      </w:r>
      <w:r w:rsidRPr="00323F41">
        <w:rPr>
          <w:rFonts w:ascii="Times New Roman" w:hAnsi="Times New Roman"/>
          <w:sz w:val="24"/>
          <w:szCs w:val="24"/>
        </w:rPr>
        <w:t xml:space="preserve">For example: </w:t>
      </w:r>
      <w:r>
        <w:rPr>
          <w:rFonts w:ascii="Times New Roman" w:hAnsi="Times New Roman"/>
          <w:sz w:val="24"/>
          <w:szCs w:val="24"/>
        </w:rPr>
        <w:t>Ohio Revised Code</w:t>
      </w:r>
      <w:r w:rsidRPr="00323F41">
        <w:rPr>
          <w:rFonts w:ascii="Times New Roman" w:hAnsi="Times New Roman"/>
          <w:sz w:val="24"/>
          <w:szCs w:val="24"/>
        </w:rPr>
        <w:t xml:space="preserve"> 4113.52</w:t>
      </w:r>
      <w:r>
        <w:rPr>
          <w:rFonts w:ascii="Times New Roman" w:hAnsi="Times New Roman"/>
          <w:sz w:val="24"/>
          <w:szCs w:val="24"/>
        </w:rPr>
        <w:t>, ”</w:t>
      </w:r>
      <w:r w:rsidRPr="00323F41">
        <w:rPr>
          <w:rFonts w:ascii="Times New Roman" w:hAnsi="Times New Roman"/>
          <w:sz w:val="24"/>
          <w:szCs w:val="24"/>
        </w:rPr>
        <w:t>Reporting violation of law by employer or fellow employee</w:t>
      </w:r>
      <w:r>
        <w:t>.”</w:t>
      </w:r>
    </w:p>
    <w:p w14:paraId="57C8D374" w14:textId="77777777" w:rsidR="009E093C" w:rsidRDefault="009E093C" w:rsidP="009E093C">
      <w:pPr>
        <w:pStyle w:val="NormalWeb"/>
        <w:ind w:left="1830"/>
      </w:pPr>
      <w:r>
        <w:t xml:space="preserve">“(1)  (a) If an employee becomes aware in the course of the employee’s employment of a violation of any state or federal statute or any ordinance or regulation of a political subdivision that the employee’s employer has authority to correct, and the employee reasonably believes that the violation is a criminal offense that is likely to cause an imminent risk of physical harm to persons or a hazard to public health or safety , a felony, or an improper solicitation for a contribution, the employee orally shall notify the employee’s supervisor or other responsible officer of the employee’s employer of the violation and subsequently shall file with that supervisor or officer a written report that provides sufficient detail to identify and describe the violation. If the employer does not correct the violation or make a reasonable and good faith effort to correct the violation within twenty-four hours after the oral notification or the receipt of the report, whichever is earlier, the employee may file a written report that provides sufficient detail to identify and describe the violation with the prosecuting authority of the county or municipal corporation where the violation occurred, with a peace officer, with the inspector general if the violation is within the inspector general’s jurisdiction, or with any other appropriate public official or agency that has regulatory authority over the employer and the industry, trade, or business in which the employer is engaged.”  </w:t>
      </w:r>
      <w:hyperlink r:id="rId1280" w:history="1">
        <w:r w:rsidRPr="00AA126E">
          <w:rPr>
            <w:rStyle w:val="Hyperlink"/>
          </w:rPr>
          <w:t>http://codes.ohio.gov/orc/4113.52</w:t>
        </w:r>
      </w:hyperlink>
      <w:r>
        <w:t xml:space="preserve"> </w:t>
      </w:r>
    </w:p>
    <w:p w14:paraId="4E64EB72" w14:textId="77777777" w:rsidR="009E093C" w:rsidRDefault="009E093C" w:rsidP="009E093C">
      <w:pPr>
        <w:pStyle w:val="NoSpacing"/>
        <w:ind w:left="720" w:firstLine="720"/>
        <w:rPr>
          <w:rFonts w:ascii="Times New Roman" w:hAnsi="Times New Roman"/>
          <w:sz w:val="24"/>
          <w:szCs w:val="24"/>
        </w:rPr>
      </w:pPr>
      <w:r>
        <w:rPr>
          <w:rFonts w:ascii="Times New Roman" w:hAnsi="Times New Roman"/>
          <w:sz w:val="24"/>
          <w:szCs w:val="24"/>
        </w:rPr>
        <w:t xml:space="preserve">See also other Ohio statutes:  </w:t>
      </w:r>
    </w:p>
    <w:p w14:paraId="10A95A3F" w14:textId="77777777" w:rsidR="009E093C" w:rsidRDefault="009E093C" w:rsidP="009E093C">
      <w:pPr>
        <w:pStyle w:val="NoSpacing"/>
        <w:ind w:left="720" w:firstLine="720"/>
        <w:rPr>
          <w:rFonts w:ascii="Times New Roman" w:hAnsi="Times New Roman"/>
          <w:sz w:val="24"/>
          <w:szCs w:val="24"/>
        </w:rPr>
      </w:pPr>
    </w:p>
    <w:p w14:paraId="4BF7D098" w14:textId="77777777" w:rsidR="009E093C" w:rsidRPr="00323F41" w:rsidRDefault="009E093C" w:rsidP="009E093C">
      <w:pPr>
        <w:pStyle w:val="NoSpacing"/>
        <w:ind w:left="1440"/>
        <w:rPr>
          <w:rFonts w:ascii="Times New Roman" w:hAnsi="Times New Roman"/>
          <w:b/>
          <w:bCs/>
          <w:sz w:val="24"/>
          <w:szCs w:val="24"/>
        </w:rPr>
      </w:pPr>
      <w:r>
        <w:rPr>
          <w:rFonts w:ascii="Times New Roman" w:hAnsi="Times New Roman"/>
          <w:sz w:val="24"/>
          <w:szCs w:val="24"/>
        </w:rPr>
        <w:t>“</w:t>
      </w:r>
      <w:r w:rsidRPr="00323F41">
        <w:rPr>
          <w:rFonts w:ascii="Times New Roman" w:hAnsi="Times New Roman"/>
          <w:sz w:val="24"/>
          <w:szCs w:val="24"/>
        </w:rPr>
        <w:t>Ohio has a general whistleblower protection statute that protects whistleblowers who report suspected felonies, crimes that may cause physical harm, and crimes that may produce a hazard to the public health or safety. Also, several other Ohio statutes contain anti-retaliation provisions. Employees who engage in protected activities under laws in the following subject areas are protected from retaliation: abuse or neglect of residents at health-care facility, discrimination, minimum wage, wage discrimination, and workers</w:t>
      </w:r>
      <w:r>
        <w:rPr>
          <w:rFonts w:ascii="Times New Roman" w:hAnsi="Times New Roman"/>
          <w:sz w:val="24"/>
          <w:szCs w:val="24"/>
        </w:rPr>
        <w:t>’</w:t>
      </w:r>
      <w:r w:rsidRPr="00323F41">
        <w:rPr>
          <w:rFonts w:ascii="Times New Roman" w:hAnsi="Times New Roman"/>
          <w:sz w:val="24"/>
          <w:szCs w:val="24"/>
        </w:rPr>
        <w:t xml:space="preserve"> compensation.” </w:t>
      </w:r>
      <w:hyperlink r:id="rId1281" w:history="1">
        <w:r w:rsidRPr="00323F41">
          <w:rPr>
            <w:rStyle w:val="Hyperlink"/>
            <w:rFonts w:ascii="Times New Roman" w:hAnsi="Times New Roman"/>
            <w:sz w:val="24"/>
            <w:szCs w:val="24"/>
          </w:rPr>
          <w:t>https://www.workplacefairness.org/whistleblower-retaliation-claim-OH</w:t>
        </w:r>
      </w:hyperlink>
      <w:r w:rsidRPr="00323F41">
        <w:rPr>
          <w:rFonts w:ascii="Times New Roman" w:hAnsi="Times New Roman"/>
          <w:sz w:val="24"/>
          <w:szCs w:val="24"/>
        </w:rPr>
        <w:t xml:space="preserve"> </w:t>
      </w:r>
    </w:p>
    <w:p w14:paraId="78C3413E" w14:textId="77777777" w:rsidR="009E093C" w:rsidRDefault="009E093C" w:rsidP="00EF1133">
      <w:pPr>
        <w:rPr>
          <w:rFonts w:ascii="Arial Black" w:hAnsi="Arial Black"/>
          <w:b/>
          <w:sz w:val="24"/>
          <w:szCs w:val="24"/>
        </w:rPr>
      </w:pPr>
    </w:p>
    <w:p w14:paraId="3ED44651" w14:textId="77777777" w:rsidR="009E093C" w:rsidRDefault="009E093C" w:rsidP="00EF1133">
      <w:pPr>
        <w:rPr>
          <w:rFonts w:ascii="Arial Black" w:hAnsi="Arial Black"/>
          <w:b/>
          <w:sz w:val="24"/>
          <w:szCs w:val="24"/>
        </w:rPr>
      </w:pPr>
    </w:p>
    <w:p w14:paraId="70F1EBC6" w14:textId="77777777" w:rsidR="009E093C" w:rsidRDefault="009E093C" w:rsidP="00EF1133">
      <w:pPr>
        <w:rPr>
          <w:rFonts w:ascii="Arial Black" w:hAnsi="Arial Black"/>
          <w:b/>
          <w:sz w:val="24"/>
          <w:szCs w:val="24"/>
        </w:rPr>
      </w:pPr>
    </w:p>
    <w:p w14:paraId="330431A7" w14:textId="15C107A1" w:rsidR="00DD03E3" w:rsidRDefault="00DD03E3"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2</w:t>
      </w:r>
    </w:p>
    <w:p w14:paraId="11CDA428" w14:textId="77777777" w:rsidR="00DD03E3" w:rsidRPr="001A1A8E" w:rsidRDefault="00DD03E3" w:rsidP="00DD03E3">
      <w:pPr>
        <w:pStyle w:val="NormalWeb"/>
        <w:rPr>
          <w:rFonts w:ascii="Arial Black" w:hAnsi="Arial Black"/>
          <w:sz w:val="28"/>
          <w:szCs w:val="28"/>
        </w:rPr>
      </w:pPr>
      <w:r w:rsidRPr="001A1A8E">
        <w:rPr>
          <w:rFonts w:ascii="Arial Black" w:hAnsi="Arial Black"/>
          <w:sz w:val="28"/>
          <w:szCs w:val="28"/>
        </w:rPr>
        <w:t>NJ:</w:t>
      </w:r>
      <w:r>
        <w:rPr>
          <w:rFonts w:ascii="Arial Black" w:hAnsi="Arial Black"/>
          <w:sz w:val="28"/>
          <w:szCs w:val="28"/>
        </w:rPr>
        <w:t xml:space="preserve"> RECRUIT FIRED AFTER GRADUATION – PRIOR TO ACADEMY HAD ALTERED INSURANCE CARD TO SHOW ADDRESS IN CITY - REINSTATED</w:t>
      </w:r>
    </w:p>
    <w:p w14:paraId="191F5C43" w14:textId="77777777" w:rsidR="00DD03E3" w:rsidRDefault="00DD03E3" w:rsidP="00DD03E3">
      <w:pPr>
        <w:spacing w:before="100" w:beforeAutospacing="1" w:after="100" w:afterAutospacing="1" w:line="240" w:lineRule="auto"/>
        <w:rPr>
          <w:rFonts w:ascii="Times New Roman" w:eastAsia="Times New Roman" w:hAnsi="Times New Roman"/>
          <w:sz w:val="24"/>
          <w:szCs w:val="24"/>
        </w:rPr>
      </w:pPr>
      <w:r w:rsidRPr="001A48DE">
        <w:rPr>
          <w:rFonts w:ascii="Times New Roman" w:eastAsia="Times New Roman" w:hAnsi="Times New Roman"/>
          <w:sz w:val="24"/>
          <w:szCs w:val="24"/>
        </w:rPr>
        <w:t xml:space="preserve">On Oct. 19, 2020, </w:t>
      </w:r>
      <w:r w:rsidRPr="001A48DE">
        <w:rPr>
          <w:rFonts w:ascii="Times New Roman" w:eastAsia="Times New Roman" w:hAnsi="Times New Roman"/>
          <w:sz w:val="24"/>
          <w:szCs w:val="24"/>
          <w:u w:val="single"/>
        </w:rPr>
        <w:t xml:space="preserve">In </w:t>
      </w:r>
      <w:proofErr w:type="gramStart"/>
      <w:r w:rsidRPr="001A48DE">
        <w:rPr>
          <w:rFonts w:ascii="Times New Roman" w:eastAsia="Times New Roman" w:hAnsi="Times New Roman"/>
          <w:sz w:val="24"/>
          <w:szCs w:val="24"/>
          <w:u w:val="single"/>
        </w:rPr>
        <w:t>The</w:t>
      </w:r>
      <w:proofErr w:type="gramEnd"/>
      <w:r w:rsidRPr="001A48DE">
        <w:rPr>
          <w:rFonts w:ascii="Times New Roman" w:eastAsia="Times New Roman" w:hAnsi="Times New Roman"/>
          <w:sz w:val="24"/>
          <w:szCs w:val="24"/>
          <w:u w:val="single"/>
        </w:rPr>
        <w:t xml:space="preserve"> Matter of Christopher D’Amico, City of Plainfield, Fire Department</w:t>
      </w:r>
      <w:r>
        <w:rPr>
          <w:rFonts w:ascii="Times New Roman" w:eastAsia="Times New Roman" w:hAnsi="Times New Roman"/>
          <w:sz w:val="24"/>
          <w:szCs w:val="24"/>
          <w:u w:val="single"/>
        </w:rPr>
        <w:t xml:space="preserve">, </w:t>
      </w:r>
      <w:r>
        <w:rPr>
          <w:rFonts w:ascii="Times New Roman" w:eastAsia="Times New Roman" w:hAnsi="Times New Roman"/>
          <w:sz w:val="24"/>
          <w:szCs w:val="24"/>
        </w:rPr>
        <w:t>the Superior Court of New Jersey, Appellate Division, held (2 to 0) in unpublished decision, that  the New Jersey Civil Service Commission, based on the findings of their Administrative Law Judge, properly ordered the City to rehire the firefighter, with back and seniority rights. The Fire Chief also supported the re-hire decision.</w:t>
      </w:r>
    </w:p>
    <w:p w14:paraId="632345FD" w14:textId="77777777" w:rsidR="00DD03E3" w:rsidRPr="001A48DE" w:rsidRDefault="00DD03E3" w:rsidP="00DD03E3">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1A48DE">
        <w:rPr>
          <w:rFonts w:ascii="Times New Roman" w:hAnsi="Times New Roman"/>
          <w:sz w:val="24"/>
          <w:szCs w:val="24"/>
        </w:rPr>
        <w:t xml:space="preserve">After reviewing the City's exceptions, the Commission agreed with the ALJ. It held D'Amico provided his true address on the card and the addition of correct information on the document did not indicate a lack of character or morals to be a firefighter. Even if it were, the Commission concluded the </w:t>
      </w:r>
      <w:proofErr w:type="gramStart"/>
      <w:r w:rsidRPr="001A48DE">
        <w:rPr>
          <w:rFonts w:ascii="Times New Roman" w:hAnsi="Times New Roman"/>
          <w:sz w:val="24"/>
          <w:szCs w:val="24"/>
        </w:rPr>
        <w:t>City</w:t>
      </w:r>
      <w:proofErr w:type="gramEnd"/>
      <w:r w:rsidRPr="001A48DE">
        <w:rPr>
          <w:rFonts w:ascii="Times New Roman" w:hAnsi="Times New Roman"/>
          <w:sz w:val="24"/>
          <w:szCs w:val="24"/>
        </w:rPr>
        <w:t xml:space="preserve"> was aware of the altered document in May 2017, before D'Amico was hired and attended the fire academy. In addition, because D'Amico was on the job for only three or four hours at the time he was terminated, the Commission concluded the </w:t>
      </w:r>
      <w:proofErr w:type="gramStart"/>
      <w:r w:rsidRPr="001A48DE">
        <w:rPr>
          <w:rFonts w:ascii="Times New Roman" w:hAnsi="Times New Roman"/>
          <w:sz w:val="24"/>
          <w:szCs w:val="24"/>
        </w:rPr>
        <w:t>City</w:t>
      </w:r>
      <w:proofErr w:type="gramEnd"/>
      <w:r w:rsidRPr="001A48DE">
        <w:rPr>
          <w:rFonts w:ascii="Times New Roman" w:hAnsi="Times New Roman"/>
          <w:sz w:val="24"/>
          <w:szCs w:val="24"/>
        </w:rPr>
        <w:t xml:space="preserve"> had the burden of proving D'Amico was guilty of the charges. Based on its findings, the Commission reinstated D'Amico, and awarded him back pay, benefits, and seniority status.</w:t>
      </w:r>
      <w:r>
        <w:rPr>
          <w:rFonts w:ascii="Times New Roman" w:hAnsi="Times New Roman"/>
          <w:sz w:val="24"/>
          <w:szCs w:val="24"/>
        </w:rPr>
        <w:t xml:space="preserve">” </w:t>
      </w:r>
      <w:hyperlink r:id="rId1282" w:history="1">
        <w:r w:rsidRPr="003B2E68">
          <w:rPr>
            <w:rStyle w:val="Hyperlink"/>
            <w:rFonts w:ascii="Times New Roman" w:hAnsi="Times New Roman"/>
            <w:sz w:val="24"/>
            <w:szCs w:val="24"/>
          </w:rPr>
          <w:t>https://public.fastcase.com/Wl%2B2t%2BeVuI35%2FN70vAMFZt8kW6J16QTt9TZ%2FuwcLGfAQlmvmDCIs7SYJL9UeqqRt</w:t>
        </w:r>
      </w:hyperlink>
      <w:r>
        <w:rPr>
          <w:rFonts w:ascii="Times New Roman" w:hAnsi="Times New Roman"/>
          <w:sz w:val="24"/>
          <w:szCs w:val="24"/>
        </w:rPr>
        <w:t xml:space="preserve"> </w:t>
      </w:r>
    </w:p>
    <w:p w14:paraId="764015A2"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r w:rsidRPr="006D1272">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Civil Service Commissions can perform valuable service; Courts will normally uphold unless “arbitrary, capricious, unreasonable, or lacked sufficient credible evidence in the record. </w:t>
      </w:r>
    </w:p>
    <w:p w14:paraId="138AECDA" w14:textId="77777777" w:rsidR="00DD03E3" w:rsidRDefault="00DD03E3" w:rsidP="00DD03E3">
      <w:pPr>
        <w:spacing w:before="100" w:beforeAutospacing="1" w:after="100" w:afterAutospacing="1" w:line="240" w:lineRule="auto"/>
        <w:ind w:left="720"/>
        <w:rPr>
          <w:rFonts w:ascii="Times New Roman" w:hAnsi="Times New Roman"/>
          <w:sz w:val="24"/>
          <w:szCs w:val="24"/>
        </w:rPr>
      </w:pPr>
      <w:r w:rsidRPr="006F79CC">
        <w:rPr>
          <w:rFonts w:ascii="Times New Roman" w:eastAsia="Times New Roman" w:hAnsi="Times New Roman"/>
          <w:sz w:val="24"/>
          <w:szCs w:val="24"/>
        </w:rPr>
        <w:t>Note:</w:t>
      </w:r>
      <w:r>
        <w:rPr>
          <w:rFonts w:ascii="Times New Roman" w:eastAsia="Times New Roman" w:hAnsi="Times New Roman"/>
          <w:b/>
          <w:bCs/>
          <w:sz w:val="24"/>
          <w:szCs w:val="24"/>
        </w:rPr>
        <w:t xml:space="preserve"> </w:t>
      </w:r>
      <w:r w:rsidRPr="006D1272">
        <w:rPr>
          <w:rFonts w:ascii="Times New Roman" w:hAnsi="Times New Roman"/>
          <w:sz w:val="24"/>
          <w:szCs w:val="24"/>
        </w:rPr>
        <w:t>The Ohio Supreme Court, in Lima v State,</w:t>
      </w:r>
      <w:r>
        <w:rPr>
          <w:rFonts w:ascii="Times New Roman" w:hAnsi="Times New Roman"/>
          <w:sz w:val="24"/>
          <w:szCs w:val="24"/>
        </w:rPr>
        <w:t xml:space="preserve"> on June 10, 2009, </w:t>
      </w:r>
      <w:r w:rsidRPr="006D1272">
        <w:rPr>
          <w:rFonts w:ascii="Times New Roman" w:hAnsi="Times New Roman"/>
          <w:sz w:val="24"/>
          <w:szCs w:val="24"/>
        </w:rPr>
        <w:t>2009-Ohio-2597, held 5-2 that a state law</w:t>
      </w:r>
      <w:r>
        <w:rPr>
          <w:rFonts w:ascii="Times New Roman" w:hAnsi="Times New Roman"/>
          <w:sz w:val="24"/>
          <w:szCs w:val="24"/>
        </w:rPr>
        <w:t xml:space="preserve"> </w:t>
      </w:r>
      <w:r w:rsidRPr="006D1272">
        <w:rPr>
          <w:rFonts w:ascii="Times New Roman" w:hAnsi="Times New Roman"/>
          <w:sz w:val="24"/>
          <w:szCs w:val="24"/>
        </w:rPr>
        <w:t>prohibiting general residency requirements for public</w:t>
      </w:r>
      <w:r>
        <w:rPr>
          <w:rFonts w:ascii="Times New Roman" w:hAnsi="Times New Roman"/>
          <w:sz w:val="24"/>
          <w:szCs w:val="24"/>
        </w:rPr>
        <w:t xml:space="preserve"> </w:t>
      </w:r>
      <w:r w:rsidRPr="006D1272">
        <w:rPr>
          <w:rFonts w:ascii="Times New Roman" w:hAnsi="Times New Roman"/>
          <w:sz w:val="24"/>
          <w:szCs w:val="24"/>
        </w:rPr>
        <w:t>employees is valid and supersedes local laws</w:t>
      </w:r>
      <w:r>
        <w:rPr>
          <w:rFonts w:ascii="Times New Roman" w:hAnsi="Times New Roman"/>
          <w:sz w:val="24"/>
          <w:szCs w:val="24"/>
        </w:rPr>
        <w:t xml:space="preserve"> that might require residency.  </w:t>
      </w:r>
      <w:hyperlink r:id="rId1283" w:history="1">
        <w:r w:rsidRPr="003B2E68">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w:t>
      </w:r>
    </w:p>
    <w:p w14:paraId="53AD2A8E" w14:textId="77777777" w:rsidR="00DD03E3" w:rsidRPr="00B5449A" w:rsidRDefault="00DD03E3" w:rsidP="00DD03E3">
      <w:pPr>
        <w:spacing w:before="100" w:beforeAutospacing="1" w:after="100" w:afterAutospacing="1" w:line="240" w:lineRule="auto"/>
        <w:ind w:left="720"/>
        <w:rPr>
          <w:rFonts w:ascii="Times New Roman" w:eastAsia="Times New Roman" w:hAnsi="Times New Roman"/>
          <w:sz w:val="24"/>
          <w:szCs w:val="24"/>
        </w:rPr>
      </w:pPr>
      <w:r w:rsidRPr="00B5449A">
        <w:rPr>
          <w:rFonts w:ascii="Times New Roman" w:eastAsia="Times New Roman" w:hAnsi="Times New Roman"/>
          <w:sz w:val="24"/>
          <w:szCs w:val="24"/>
        </w:rPr>
        <w:t>For Ohio firefighters</w:t>
      </w:r>
      <w:r>
        <w:rPr>
          <w:rFonts w:ascii="Times New Roman" w:eastAsia="Times New Roman" w:hAnsi="Times New Roman"/>
          <w:sz w:val="24"/>
          <w:szCs w:val="24"/>
        </w:rPr>
        <w:t xml:space="preserve"> and other emergency responders</w:t>
      </w:r>
      <w:r w:rsidRPr="00B5449A">
        <w:rPr>
          <w:rFonts w:ascii="Times New Roman" w:eastAsia="Times New Roman" w:hAnsi="Times New Roman"/>
          <w:sz w:val="24"/>
          <w:szCs w:val="24"/>
        </w:rPr>
        <w:t xml:space="preserve">, </w:t>
      </w:r>
      <w:r>
        <w:rPr>
          <w:rFonts w:ascii="Times New Roman" w:eastAsia="Times New Roman" w:hAnsi="Times New Roman"/>
          <w:sz w:val="24"/>
          <w:szCs w:val="24"/>
        </w:rPr>
        <w:t xml:space="preserve">a </w:t>
      </w:r>
      <w:r w:rsidRPr="00B5449A">
        <w:rPr>
          <w:rFonts w:ascii="Times New Roman" w:eastAsia="Times New Roman" w:hAnsi="Times New Roman"/>
          <w:sz w:val="24"/>
          <w:szCs w:val="24"/>
        </w:rPr>
        <w:t xml:space="preserve">political subdivision may require </w:t>
      </w:r>
      <w:r>
        <w:rPr>
          <w:rFonts w:ascii="Times New Roman" w:eastAsia="Times New Roman" w:hAnsi="Times New Roman"/>
          <w:sz w:val="24"/>
          <w:szCs w:val="24"/>
        </w:rPr>
        <w:t xml:space="preserve">that they </w:t>
      </w:r>
      <w:r w:rsidRPr="00B5449A">
        <w:rPr>
          <w:rFonts w:ascii="Times New Roman" w:eastAsia="Times New Roman" w:hAnsi="Times New Roman"/>
          <w:sz w:val="24"/>
          <w:szCs w:val="24"/>
        </w:rPr>
        <w:t>live in the county or adjacent county</w:t>
      </w:r>
      <w:r>
        <w:rPr>
          <w:rFonts w:ascii="Times New Roman" w:eastAsia="Times New Roman" w:hAnsi="Times New Roman"/>
          <w:sz w:val="24"/>
          <w:szCs w:val="24"/>
        </w:rPr>
        <w:t xml:space="preserve">. </w:t>
      </w:r>
      <w:r w:rsidRPr="00B5449A">
        <w:rPr>
          <w:rFonts w:ascii="Times New Roman" w:eastAsia="Times New Roman" w:hAnsi="Times New Roman"/>
          <w:sz w:val="24"/>
          <w:szCs w:val="24"/>
        </w:rPr>
        <w:t xml:space="preserve"> ORC 9.481: </w:t>
      </w:r>
      <w:hyperlink r:id="rId1284" w:history="1">
        <w:r w:rsidRPr="00B5449A">
          <w:rPr>
            <w:rStyle w:val="Hyperlink"/>
            <w:rFonts w:ascii="Times New Roman" w:eastAsia="Times New Roman" w:hAnsi="Times New Roman"/>
            <w:sz w:val="24"/>
            <w:szCs w:val="24"/>
          </w:rPr>
          <w:t>http://codes.ohio.gov/orc/gp9.481</w:t>
        </w:r>
      </w:hyperlink>
      <w:r w:rsidRPr="00B5449A">
        <w:rPr>
          <w:rFonts w:ascii="Times New Roman" w:eastAsia="Times New Roman" w:hAnsi="Times New Roman"/>
          <w:sz w:val="24"/>
          <w:szCs w:val="24"/>
        </w:rPr>
        <w:t xml:space="preserve"> </w:t>
      </w:r>
    </w:p>
    <w:p w14:paraId="35466EBD" w14:textId="77777777" w:rsidR="00DD03E3" w:rsidRPr="006D1272" w:rsidRDefault="00DD03E3" w:rsidP="00DD03E3">
      <w:pPr>
        <w:spacing w:before="100" w:beforeAutospacing="1" w:after="100" w:afterAutospacing="1" w:line="240" w:lineRule="auto"/>
        <w:ind w:left="1440"/>
        <w:rPr>
          <w:rFonts w:ascii="Times New Roman" w:eastAsia="Times New Roman" w:hAnsi="Times New Roman"/>
          <w:b/>
          <w:bCs/>
          <w:sz w:val="24"/>
          <w:szCs w:val="24"/>
        </w:rPr>
      </w:pPr>
      <w:r>
        <w:rPr>
          <w:rFonts w:ascii="Times New Roman" w:hAnsi="Times New Roman"/>
          <w:sz w:val="24"/>
          <w:szCs w:val="24"/>
        </w:rPr>
        <w:t>“</w:t>
      </w:r>
      <w:r w:rsidRPr="00B5449A">
        <w:rPr>
          <w:rFonts w:ascii="Times New Roman" w:hAnsi="Times New Roman"/>
          <w:sz w:val="24"/>
          <w:szCs w:val="24"/>
        </w:rPr>
        <w:t xml:space="preserve">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 </w:t>
      </w:r>
      <w:r>
        <w:rPr>
          <w:rFonts w:ascii="Times New Roman" w:hAnsi="Times New Roman"/>
          <w:sz w:val="24"/>
          <w:szCs w:val="24"/>
        </w:rPr>
        <w:t>“</w:t>
      </w:r>
    </w:p>
    <w:p w14:paraId="6CEB703A" w14:textId="77777777" w:rsidR="00F824FE" w:rsidRPr="00033598" w:rsidRDefault="00F824FE" w:rsidP="00F824FE">
      <w:pPr>
        <w:spacing w:before="100" w:beforeAutospacing="1" w:after="100" w:afterAutospacing="1" w:line="240" w:lineRule="auto"/>
        <w:rPr>
          <w:rFonts w:ascii="Times New Roman" w:eastAsia="Times New Roman" w:hAnsi="Times New Roman"/>
          <w:b/>
          <w:bCs/>
          <w:sz w:val="24"/>
          <w:szCs w:val="24"/>
        </w:rPr>
      </w:pPr>
      <w:r w:rsidRPr="00033598">
        <w:rPr>
          <w:rFonts w:ascii="Times New Roman" w:hAnsi="Times New Roman"/>
          <w:b/>
          <w:bCs/>
          <w:sz w:val="24"/>
          <w:szCs w:val="24"/>
        </w:rPr>
        <w:t>Legal Lessons Learned</w:t>
      </w:r>
      <w:r>
        <w:rPr>
          <w:rFonts w:ascii="Times New Roman" w:hAnsi="Times New Roman"/>
          <w:b/>
          <w:bCs/>
          <w:sz w:val="24"/>
          <w:szCs w:val="24"/>
        </w:rPr>
        <w:t xml:space="preserve">:  If unclear about records being requested, City had obligation to request clarification. </w:t>
      </w:r>
    </w:p>
    <w:p w14:paraId="1F3D3F8F" w14:textId="77777777" w:rsidR="00F824FE" w:rsidRDefault="00F824FE" w:rsidP="00F824FE">
      <w:pPr>
        <w:spacing w:before="100" w:beforeAutospacing="1" w:after="100" w:afterAutospacing="1" w:line="240" w:lineRule="auto"/>
        <w:ind w:firstLine="720"/>
        <w:rPr>
          <w:rFonts w:ascii="Times New Roman" w:hAnsi="Times New Roman"/>
          <w:sz w:val="24"/>
          <w:szCs w:val="24"/>
        </w:rPr>
      </w:pPr>
      <w:r>
        <w:rPr>
          <w:rFonts w:ascii="Times New Roman" w:hAnsi="Times New Roman"/>
          <w:sz w:val="24"/>
          <w:szCs w:val="24"/>
        </w:rPr>
        <w:t xml:space="preserve">Note: </w:t>
      </w:r>
    </w:p>
    <w:p w14:paraId="0BBC0660" w14:textId="77777777" w:rsidR="00F824FE"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RECOVER ONLY FILING FEE: Ohio Rev. Code Section 2743.75(F)(3)(b): </w:t>
      </w:r>
      <w:hyperlink r:id="rId1285" w:history="1">
        <w:r w:rsidRPr="005E64DB">
          <w:rPr>
            <w:rStyle w:val="Hyperlink"/>
            <w:rFonts w:ascii="Times New Roman" w:hAnsi="Times New Roman"/>
            <w:sz w:val="24"/>
            <w:szCs w:val="24"/>
          </w:rPr>
          <w:t>http://codes.ohio.gov/orc/2743.75</w:t>
        </w:r>
      </w:hyperlink>
    </w:p>
    <w:p w14:paraId="474D57E8"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3801C1">
        <w:rPr>
          <w:rFonts w:ascii="Times New Roman" w:hAnsi="Times New Roman"/>
          <w:sz w:val="24"/>
          <w:szCs w:val="24"/>
        </w:rPr>
        <w:t xml:space="preserve">(b) The aggrieved person shall be entitled to recover from the public office or person responsible for the public records the amount of the filing fee of twenty-five dollars and any other costs associated with the action that are incurred by the aggrieved person, but shall not be entitled to recover attorney's fees, except that division (G)(2) of this section applies if an appeal is taken under division (G)(1) of this section. </w:t>
      </w:r>
    </w:p>
    <w:p w14:paraId="7D32409C" w14:textId="77777777" w:rsidR="00F824FE" w:rsidRDefault="00F824FE" w:rsidP="00F824FE">
      <w:pPr>
        <w:spacing w:before="100" w:beforeAutospacing="1" w:after="100" w:afterAutospacing="1" w:line="240" w:lineRule="auto"/>
        <w:ind w:left="720"/>
        <w:rPr>
          <w:rFonts w:ascii="Times New Roman" w:hAnsi="Times New Roman"/>
          <w:sz w:val="24"/>
          <w:szCs w:val="24"/>
        </w:rPr>
      </w:pPr>
    </w:p>
    <w:p w14:paraId="0BE59F01" w14:textId="77777777" w:rsidR="00F824FE" w:rsidRPr="00D2685F"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RECOVER ATTORNEY FEES:  Section </w:t>
      </w:r>
      <w:r w:rsidRPr="00D2685F">
        <w:rPr>
          <w:rFonts w:ascii="Times New Roman" w:hAnsi="Times New Roman"/>
          <w:sz w:val="24"/>
          <w:szCs w:val="24"/>
        </w:rPr>
        <w:t xml:space="preserve">149.43: </w:t>
      </w:r>
      <w:hyperlink r:id="rId1286" w:history="1">
        <w:r w:rsidRPr="005E64DB">
          <w:rPr>
            <w:rStyle w:val="Hyperlink"/>
            <w:rFonts w:ascii="Times New Roman" w:hAnsi="Times New Roman"/>
            <w:sz w:val="24"/>
            <w:szCs w:val="24"/>
          </w:rPr>
          <w:t>https://law.justia.com/codes/ohio/2006/orc/jd_14943-4d7.html</w:t>
        </w:r>
      </w:hyperlink>
      <w:r w:rsidRPr="00D2685F">
        <w:rPr>
          <w:rFonts w:ascii="Times New Roman" w:hAnsi="Times New Roman"/>
          <w:sz w:val="24"/>
          <w:szCs w:val="24"/>
        </w:rPr>
        <w:t xml:space="preserve"> </w:t>
      </w:r>
    </w:p>
    <w:p w14:paraId="0311A66F" w14:textId="77777777" w:rsidR="00F824FE" w:rsidRPr="00033598" w:rsidRDefault="00F824FE" w:rsidP="00F824FE">
      <w:pPr>
        <w:spacing w:before="100" w:beforeAutospacing="1" w:after="100" w:afterAutospacing="1" w:line="240" w:lineRule="auto"/>
        <w:ind w:left="720"/>
        <w:rPr>
          <w:rFonts w:ascii="Times New Roman" w:hAnsi="Times New Roman"/>
          <w:sz w:val="24"/>
          <w:szCs w:val="24"/>
        </w:rPr>
      </w:pPr>
      <w:r w:rsidRPr="00033598">
        <w:rPr>
          <w:rFonts w:ascii="Times New Roman" w:hAnsi="Times New Roman"/>
          <w:sz w:val="24"/>
          <w:szCs w:val="24"/>
        </w:rPr>
        <w:t>(C)  If a person allegedly is aggrieved by the failure of a public office to promptly prepare a public record and to make it available to the person for inspection in accordance with division (B) of this section, or if a person who has requested a copy of a public record allegedly is aggrieved by the failure of a public office or the person responsible for the public record to make a copy available to the person allegedly aggrieved in accordance with division (B) of this section, the person allegedly aggrieved may commence a mandamus action to obtain a judgment that orders the public office or the person responsible for the public record to comply with division (B) of this section and that awards reasonable attorney's fees to the person that instituted the mandamus action. The mandamus action may be commenced in the court of common pleas of the county in which division (B) of this section allegedly was not complied with, in the supreme court pursuant to its original jurisdiction under Section 2 of Article IV, Ohio Constitution, or in the court of appeals for the appellate district in which division (B) of this section allegedly was not complied with pursuant to its original jurisdiction under Section 3 of Article IV, Ohio Constitution. </w:t>
      </w:r>
    </w:p>
    <w:p w14:paraId="44E05360" w14:textId="77777777" w:rsidR="00F824FE" w:rsidRDefault="00F824FE" w:rsidP="00EF1133">
      <w:pPr>
        <w:rPr>
          <w:rFonts w:ascii="Arial Black" w:hAnsi="Arial Black"/>
          <w:b/>
          <w:sz w:val="24"/>
          <w:szCs w:val="24"/>
        </w:rPr>
      </w:pPr>
    </w:p>
    <w:p w14:paraId="0CF2D171" w14:textId="77777777" w:rsidR="00F824FE" w:rsidRDefault="00F824FE" w:rsidP="00EF1133">
      <w:pPr>
        <w:rPr>
          <w:rFonts w:ascii="Arial Black" w:hAnsi="Arial Black"/>
          <w:b/>
          <w:sz w:val="24"/>
          <w:szCs w:val="24"/>
        </w:rPr>
      </w:pPr>
    </w:p>
    <w:p w14:paraId="4457B992" w14:textId="5F38466E" w:rsidR="00F824FE" w:rsidRDefault="00F824FE" w:rsidP="00EF1133">
      <w:pPr>
        <w:rPr>
          <w:rFonts w:ascii="Arial Black" w:hAnsi="Arial Black"/>
          <w:b/>
          <w:sz w:val="24"/>
          <w:szCs w:val="24"/>
        </w:rPr>
      </w:pPr>
      <w:r>
        <w:rPr>
          <w:rFonts w:ascii="Arial Black" w:hAnsi="Arial Black"/>
          <w:b/>
          <w:sz w:val="24"/>
          <w:szCs w:val="24"/>
        </w:rPr>
        <w:t>6-51</w:t>
      </w:r>
    </w:p>
    <w:p w14:paraId="2813E3F4" w14:textId="77777777" w:rsidR="00F824FE" w:rsidRDefault="00F824FE" w:rsidP="00F824FE">
      <w:pPr>
        <w:spacing w:before="100" w:beforeAutospacing="1" w:after="100" w:afterAutospacing="1" w:line="240" w:lineRule="auto"/>
        <w:rPr>
          <w:rFonts w:ascii="Arial Black" w:hAnsi="Arial Black"/>
          <w:sz w:val="28"/>
          <w:szCs w:val="28"/>
        </w:rPr>
      </w:pPr>
      <w:r>
        <w:rPr>
          <w:rFonts w:ascii="Arial Black" w:hAnsi="Arial Black"/>
          <w:sz w:val="28"/>
          <w:szCs w:val="28"/>
        </w:rPr>
        <w:t>OH:  CLEVELAND LOCAL 93 – PUBLIC RECORDS REQUEST FOR FD’s 2019 EXPENSE REPORTS – CITY RESPONSE WAS INADEQUATE</w:t>
      </w:r>
    </w:p>
    <w:p w14:paraId="1E1CC502" w14:textId="77777777" w:rsidR="00F824FE" w:rsidRDefault="00F824FE" w:rsidP="00F824FE">
      <w:pPr>
        <w:spacing w:before="100" w:beforeAutospacing="1" w:after="100" w:afterAutospacing="1" w:line="240" w:lineRule="auto"/>
        <w:rPr>
          <w:rFonts w:ascii="Times New Roman" w:hAnsi="Times New Roman"/>
          <w:sz w:val="24"/>
          <w:szCs w:val="24"/>
        </w:rPr>
      </w:pPr>
      <w:r w:rsidRPr="005713F8">
        <w:rPr>
          <w:rFonts w:ascii="Times New Roman" w:hAnsi="Times New Roman"/>
          <w:sz w:val="24"/>
          <w:szCs w:val="24"/>
        </w:rPr>
        <w:t xml:space="preserve">On Sept. 22, 2020, in </w:t>
      </w:r>
      <w:r w:rsidRPr="005713F8">
        <w:rPr>
          <w:rFonts w:ascii="Times New Roman" w:hAnsi="Times New Roman"/>
          <w:sz w:val="24"/>
          <w:szCs w:val="24"/>
          <w:u w:val="single"/>
        </w:rPr>
        <w:t>Association of Cleveland Fire Fighters IAFF Local 93 v. City of Cleveland,</w:t>
      </w:r>
      <w:r>
        <w:rPr>
          <w:rFonts w:ascii="Times New Roman" w:hAnsi="Times New Roman"/>
          <w:sz w:val="24"/>
          <w:szCs w:val="24"/>
        </w:rPr>
        <w:t xml:space="preserve"> Court of Claims of Ohio, Special Master Jeff Clark, after mediation, published his Report and Recommendations to the Court of Claim, findings that City failed to promptly produce Excel records showing 2019 expense records [Dec. 31, </w:t>
      </w:r>
      <w:proofErr w:type="gramStart"/>
      <w:r>
        <w:rPr>
          <w:rFonts w:ascii="Times New Roman" w:hAnsi="Times New Roman"/>
          <w:sz w:val="24"/>
          <w:szCs w:val="24"/>
        </w:rPr>
        <w:t>2019</w:t>
      </w:r>
      <w:proofErr w:type="gramEnd"/>
      <w:r>
        <w:rPr>
          <w:rFonts w:ascii="Times New Roman" w:hAnsi="Times New Roman"/>
          <w:sz w:val="24"/>
          <w:szCs w:val="24"/>
        </w:rPr>
        <w:t xml:space="preserve"> request; City produced some financial records Feb. 12, 2020, but FD expense records not produced until May 20, 2020].  If the City was unclear about the records being </w:t>
      </w:r>
      <w:proofErr w:type="gramStart"/>
      <w:r>
        <w:rPr>
          <w:rFonts w:ascii="Times New Roman" w:hAnsi="Times New Roman"/>
          <w:sz w:val="24"/>
          <w:szCs w:val="24"/>
        </w:rPr>
        <w:t>requested</w:t>
      </w:r>
      <w:proofErr w:type="gramEnd"/>
      <w:r>
        <w:rPr>
          <w:rFonts w:ascii="Times New Roman" w:hAnsi="Times New Roman"/>
          <w:sz w:val="24"/>
          <w:szCs w:val="24"/>
        </w:rPr>
        <w:t xml:space="preserve"> it had obligation under Ohio code to ask Local 93 to clarify.  The only remedy, however, is $25 filing fee under Ohio Revised Code </w:t>
      </w:r>
      <w:r w:rsidRPr="003801C1">
        <w:rPr>
          <w:rFonts w:ascii="Times New Roman" w:hAnsi="Times New Roman"/>
          <w:sz w:val="24"/>
          <w:szCs w:val="24"/>
        </w:rPr>
        <w:t>2743.75(F)(3)(b).</w:t>
      </w:r>
      <w:r>
        <w:rPr>
          <w:rFonts w:ascii="Times New Roman" w:hAnsi="Times New Roman"/>
          <w:sz w:val="24"/>
          <w:szCs w:val="24"/>
        </w:rPr>
        <w:t xml:space="preserve"> </w:t>
      </w:r>
      <w:proofErr w:type="gramStart"/>
      <w:r>
        <w:rPr>
          <w:rFonts w:ascii="Times New Roman" w:hAnsi="Times New Roman"/>
          <w:sz w:val="24"/>
          <w:szCs w:val="24"/>
        </w:rPr>
        <w:t>In order to</w:t>
      </w:r>
      <w:proofErr w:type="gramEnd"/>
      <w:r>
        <w:rPr>
          <w:rFonts w:ascii="Times New Roman" w:hAnsi="Times New Roman"/>
          <w:sz w:val="24"/>
          <w:szCs w:val="24"/>
        </w:rPr>
        <w:t xml:space="preserve"> recover </w:t>
      </w:r>
      <w:proofErr w:type="spellStart"/>
      <w:proofErr w:type="gramStart"/>
      <w:r>
        <w:rPr>
          <w:rFonts w:ascii="Times New Roman" w:hAnsi="Times New Roman"/>
          <w:sz w:val="24"/>
          <w:szCs w:val="24"/>
        </w:rPr>
        <w:t>attorneys</w:t>
      </w:r>
      <w:proofErr w:type="spellEnd"/>
      <w:proofErr w:type="gramEnd"/>
      <w:r>
        <w:rPr>
          <w:rFonts w:ascii="Times New Roman" w:hAnsi="Times New Roman"/>
          <w:sz w:val="24"/>
          <w:szCs w:val="24"/>
        </w:rPr>
        <w:t xml:space="preserve"> fees, Local 93 </w:t>
      </w:r>
      <w:proofErr w:type="gramStart"/>
      <w:r>
        <w:rPr>
          <w:rFonts w:ascii="Times New Roman" w:hAnsi="Times New Roman"/>
          <w:sz w:val="24"/>
          <w:szCs w:val="24"/>
        </w:rPr>
        <w:t>would have had</w:t>
      </w:r>
      <w:proofErr w:type="gramEnd"/>
      <w:r>
        <w:rPr>
          <w:rFonts w:ascii="Times New Roman" w:hAnsi="Times New Roman"/>
          <w:sz w:val="24"/>
          <w:szCs w:val="24"/>
        </w:rPr>
        <w:t xml:space="preserve"> to file a mandamus action in Court of Common Pleas under Section 149.43.  </w:t>
      </w:r>
    </w:p>
    <w:p w14:paraId="50BEAE80" w14:textId="77777777" w:rsidR="00F824FE" w:rsidRPr="00D2685F"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685F">
        <w:rPr>
          <w:rFonts w:ascii="Times New Roman" w:hAnsi="Times New Roman"/>
          <w:sz w:val="24"/>
          <w:szCs w:val="24"/>
        </w:rPr>
        <w:t xml:space="preserve">Presented with a request that it considered ambiguous, Cleveland had an obligation to </w:t>
      </w:r>
      <w:r>
        <w:rPr>
          <w:rFonts w:ascii="Times New Roman" w:hAnsi="Times New Roman"/>
          <w:sz w:val="24"/>
          <w:szCs w:val="24"/>
        </w:rPr>
        <w:t>‘</w:t>
      </w:r>
      <w:r w:rsidRPr="00D2685F">
        <w:rPr>
          <w:rFonts w:ascii="Times New Roman" w:hAnsi="Times New Roman"/>
          <w:sz w:val="24"/>
          <w:szCs w:val="24"/>
        </w:rPr>
        <w:t>provide the requester with an opportunity to revise the request by informing the requester of the manner in which records are maintained by the public office and accessed in the ordinary course of the public office's or person's duties.</w:t>
      </w:r>
      <w:r>
        <w:rPr>
          <w:rFonts w:ascii="Times New Roman" w:hAnsi="Times New Roman"/>
          <w:sz w:val="24"/>
          <w:szCs w:val="24"/>
        </w:rPr>
        <w:t>’</w:t>
      </w:r>
      <w:r w:rsidRPr="00D2685F">
        <w:rPr>
          <w:rFonts w:ascii="Times New Roman" w:hAnsi="Times New Roman"/>
          <w:sz w:val="24"/>
          <w:szCs w:val="24"/>
        </w:rPr>
        <w:t xml:space="preserve"> R.C. 149.43(B)(2). When Local 93 contacted Cleveland on February 12, </w:t>
      </w:r>
      <w:proofErr w:type="gramStart"/>
      <w:r w:rsidRPr="00D2685F">
        <w:rPr>
          <w:rFonts w:ascii="Times New Roman" w:hAnsi="Times New Roman"/>
          <w:sz w:val="24"/>
          <w:szCs w:val="24"/>
        </w:rPr>
        <w:t>2020</w:t>
      </w:r>
      <w:proofErr w:type="gramEnd"/>
      <w:r w:rsidRPr="00D2685F">
        <w:rPr>
          <w:rFonts w:ascii="Times New Roman" w:hAnsi="Times New Roman"/>
          <w:sz w:val="24"/>
          <w:szCs w:val="24"/>
        </w:rPr>
        <w:t xml:space="preserve"> and objected that the record provided was not the record that it sought, Cleveland's proper response was not to offer that Local 93 could send another email (Response at 4), but instead to affirmatively </w:t>
      </w:r>
      <w:r w:rsidRPr="00D2685F">
        <w:rPr>
          <w:rFonts w:ascii="Times New Roman" w:hAnsi="Times New Roman"/>
          <w:i/>
          <w:iCs/>
          <w:sz w:val="24"/>
          <w:szCs w:val="24"/>
        </w:rPr>
        <w:t>inform</w:t>
      </w:r>
      <w:r w:rsidRPr="00D2685F">
        <w:rPr>
          <w:rFonts w:ascii="Times New Roman" w:hAnsi="Times New Roman"/>
          <w:sz w:val="24"/>
          <w:szCs w:val="24"/>
        </w:rPr>
        <w:t xml:space="preserve"> Local 93 of the manner in which itemized expense reports for the Cleveland Division of Fire were maintained and accessed in the ordinary course of duty. As demonstrated in the record, Cleveland kept and used more than one such report.</w:t>
      </w:r>
      <w:r>
        <w:rPr>
          <w:rFonts w:ascii="Times New Roman" w:hAnsi="Times New Roman"/>
          <w:sz w:val="24"/>
          <w:szCs w:val="24"/>
        </w:rPr>
        <w:t xml:space="preserve">” </w:t>
      </w:r>
      <w:hyperlink r:id="rId1287" w:history="1">
        <w:r w:rsidRPr="005E64DB">
          <w:rPr>
            <w:rStyle w:val="Hyperlink"/>
            <w:rFonts w:ascii="Times New Roman" w:hAnsi="Times New Roman"/>
            <w:sz w:val="24"/>
            <w:szCs w:val="24"/>
          </w:rPr>
          <w:t>https://scholar.google.com/scholar_case?case=5871380462060471996&amp;q=Association+of+Cleveland+Fire+Fighters+IAFF+Local+93+v.+City+of+Cleveland,&amp;hl=en&amp;as_sdt=6,36&amp;as_vis=1</w:t>
        </w:r>
      </w:hyperlink>
      <w:r>
        <w:rPr>
          <w:rFonts w:ascii="Times New Roman" w:hAnsi="Times New Roman"/>
          <w:sz w:val="24"/>
          <w:szCs w:val="24"/>
        </w:rPr>
        <w:t xml:space="preserve"> </w:t>
      </w:r>
    </w:p>
    <w:p w14:paraId="7964B8D6" w14:textId="77777777" w:rsidR="00F824FE" w:rsidRDefault="00F824FE" w:rsidP="00EF1133">
      <w:pPr>
        <w:rPr>
          <w:rFonts w:ascii="Arial Black" w:hAnsi="Arial Black"/>
          <w:b/>
          <w:sz w:val="24"/>
          <w:szCs w:val="24"/>
        </w:rPr>
      </w:pPr>
    </w:p>
    <w:p w14:paraId="11EBBBC4" w14:textId="77777777" w:rsidR="00F824FE" w:rsidRDefault="00F824FE" w:rsidP="00EF1133">
      <w:pPr>
        <w:rPr>
          <w:rFonts w:ascii="Arial Black" w:hAnsi="Arial Black"/>
          <w:b/>
          <w:sz w:val="24"/>
          <w:szCs w:val="24"/>
        </w:rPr>
      </w:pPr>
    </w:p>
    <w:p w14:paraId="5ADB23E1" w14:textId="77777777" w:rsidR="00F824FE" w:rsidRDefault="00F824FE" w:rsidP="00EF1133">
      <w:pPr>
        <w:rPr>
          <w:rFonts w:ascii="Arial Black" w:hAnsi="Arial Black"/>
          <w:b/>
          <w:sz w:val="24"/>
          <w:szCs w:val="24"/>
        </w:rPr>
      </w:pPr>
    </w:p>
    <w:p w14:paraId="259B3B12" w14:textId="1B8F1311" w:rsidR="00557CA2" w:rsidRDefault="00557CA2" w:rsidP="00EF1133">
      <w:pPr>
        <w:rPr>
          <w:rFonts w:ascii="Arial Black" w:hAnsi="Arial Black"/>
          <w:b/>
          <w:sz w:val="24"/>
          <w:szCs w:val="24"/>
        </w:rPr>
      </w:pPr>
      <w:r>
        <w:rPr>
          <w:rFonts w:ascii="Arial Black" w:hAnsi="Arial Black"/>
          <w:b/>
          <w:sz w:val="24"/>
          <w:szCs w:val="24"/>
        </w:rPr>
        <w:t>6-50</w:t>
      </w:r>
    </w:p>
    <w:p w14:paraId="22465E70"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MD: EMT NECK INJURY – STATE STATUTE INCLUDED PARAMEDICS, FF BUT NOT “EMTs” – SHE IS COVERED</w:t>
      </w:r>
    </w:p>
    <w:p w14:paraId="00A1BD24" w14:textId="77777777" w:rsidR="00557CA2" w:rsidRDefault="00557CA2" w:rsidP="00557CA2">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26, 2020, in </w:t>
      </w:r>
      <w:r>
        <w:rPr>
          <w:rFonts w:ascii="Times New Roman" w:eastAsia="Times New Roman" w:hAnsi="Times New Roman"/>
          <w:sz w:val="24"/>
          <w:szCs w:val="24"/>
          <w:u w:val="single"/>
        </w:rPr>
        <w:t>Ashley N. Downer v. Baltimore County, Maryland</w:t>
      </w:r>
      <w:r>
        <w:rPr>
          <w:rFonts w:ascii="Times New Roman" w:eastAsia="Times New Roman" w:hAnsi="Times New Roman"/>
          <w:sz w:val="24"/>
          <w:szCs w:val="24"/>
        </w:rPr>
        <w:t xml:space="preserve">, the Court of Special Appeals of Maryland, held (3 to 0) that EMTs are covered by the 1987 statute that awards increased compensation to a “public safety employee” injured on the job, even though the statute did not specifically include EMTs in its definitions [receives two-thirds of her average weekly wage, instead of one-third].  The Court reversed the Circuit Court trial judge and held: </w:t>
      </w:r>
    </w:p>
    <w:p w14:paraId="57E1C85F"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Pr>
          <w:rFonts w:ascii="Times New Roman" w:hAnsi="Times New Roman"/>
          <w:sz w:val="24"/>
          <w:szCs w:val="24"/>
        </w:rPr>
        <w:t xml:space="preserve">The Court concludes that the term "paramedic" was used by the legislature in accordance with its commonly understood </w:t>
      </w:r>
      <w:proofErr w:type="gramStart"/>
      <w:r>
        <w:rPr>
          <w:rFonts w:ascii="Times New Roman" w:hAnsi="Times New Roman"/>
          <w:sz w:val="24"/>
          <w:szCs w:val="24"/>
        </w:rPr>
        <w:t>meaning,  and</w:t>
      </w:r>
      <w:proofErr w:type="gramEnd"/>
      <w:r>
        <w:rPr>
          <w:rFonts w:ascii="Times New Roman" w:hAnsi="Times New Roman"/>
          <w:sz w:val="24"/>
          <w:szCs w:val="24"/>
        </w:rPr>
        <w:t xml:space="preserve"> includes persons who are also known as emergency medical technicians.</w:t>
      </w:r>
      <w:r>
        <w:rPr>
          <w:rFonts w:ascii="Times New Roman" w:eastAsia="Times New Roman" w:hAnsi="Times New Roman"/>
          <w:sz w:val="24"/>
          <w:szCs w:val="24"/>
        </w:rPr>
        <w:t xml:space="preserve"> *** </w:t>
      </w:r>
      <w:r>
        <w:rPr>
          <w:rFonts w:ascii="Times New Roman" w:hAnsi="Times New Roman"/>
          <w:sz w:val="24"/>
          <w:szCs w:val="24"/>
        </w:rPr>
        <w:t>We conclude that Ms. Downer should have been considered a public safety employee within the definition of LE § 9-628(a)(1).”</w:t>
      </w:r>
      <w:r>
        <w:rPr>
          <w:rFonts w:ascii="Times New Roman" w:eastAsia="Times New Roman" w:hAnsi="Times New Roman"/>
          <w:sz w:val="24"/>
          <w:szCs w:val="24"/>
        </w:rPr>
        <w:t xml:space="preserve"> </w:t>
      </w:r>
      <w:hyperlink r:id="rId1288" w:history="1">
        <w:r>
          <w:rPr>
            <w:rStyle w:val="Hyperlink"/>
            <w:sz w:val="24"/>
            <w:szCs w:val="24"/>
          </w:rPr>
          <w:t>https://law.justia.com/cases/maryland/court-of-special-appeals/2020/2498-17.html</w:t>
        </w:r>
      </w:hyperlink>
      <w:r>
        <w:rPr>
          <w:rFonts w:ascii="Times New Roman" w:eastAsia="Times New Roman" w:hAnsi="Times New Roman"/>
          <w:sz w:val="24"/>
          <w:szCs w:val="24"/>
        </w:rPr>
        <w:t xml:space="preserve"> </w:t>
      </w:r>
    </w:p>
    <w:p w14:paraId="7721E80A" w14:textId="77777777" w:rsidR="00557CA2" w:rsidRDefault="00557CA2" w:rsidP="00557CA2">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Nice to see Court broadly interpreting a workers compensation statute broadly. </w:t>
      </w:r>
    </w:p>
    <w:p w14:paraId="62CEC2DE" w14:textId="77777777" w:rsidR="00557CA2" w:rsidRDefault="00557CA2" w:rsidP="00EF1133">
      <w:pPr>
        <w:rPr>
          <w:rFonts w:ascii="Arial Black" w:hAnsi="Arial Black"/>
          <w:b/>
          <w:sz w:val="24"/>
          <w:szCs w:val="24"/>
        </w:rPr>
      </w:pPr>
    </w:p>
    <w:p w14:paraId="2701FB75" w14:textId="4F35ECEB" w:rsidR="00557CA2" w:rsidRDefault="00557CA2" w:rsidP="00EF1133">
      <w:pPr>
        <w:rPr>
          <w:rFonts w:ascii="Arial Black" w:hAnsi="Arial Black"/>
          <w:b/>
          <w:sz w:val="24"/>
          <w:szCs w:val="24"/>
        </w:rPr>
      </w:pPr>
      <w:r>
        <w:rPr>
          <w:rFonts w:ascii="Arial Black" w:hAnsi="Arial Black"/>
          <w:b/>
          <w:sz w:val="24"/>
          <w:szCs w:val="24"/>
        </w:rPr>
        <w:t>6-49</w:t>
      </w:r>
    </w:p>
    <w:p w14:paraId="08E1822B" w14:textId="77777777" w:rsidR="00557CA2" w:rsidRDefault="00557CA2" w:rsidP="00557CA2">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WA: FF HEART ATTACK – FAMILY HISTORY - JURY FOUND CAUSED BY PLAQUE – STAT. PRESUMPTION OVERCOME</w:t>
      </w:r>
    </w:p>
    <w:p w14:paraId="4E4B7234"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18, 2020, in </w:t>
      </w:r>
      <w:r>
        <w:rPr>
          <w:rFonts w:ascii="Times New Roman" w:hAnsi="Times New Roman"/>
          <w:sz w:val="24"/>
          <w:szCs w:val="24"/>
          <w:u w:val="single"/>
        </w:rPr>
        <w:t xml:space="preserve">Andrew P. Leitner v. City of Tacoma and Department of Labor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Industries</w:t>
      </w:r>
      <w:r>
        <w:rPr>
          <w:rFonts w:ascii="Times New Roman" w:hAnsi="Times New Roman"/>
          <w:sz w:val="24"/>
          <w:szCs w:val="24"/>
        </w:rPr>
        <w:t xml:space="preserve">, the Court of Appeals of the State of Washington, Division II, held (3 to 0; unpublished decision) that the trial court gave a proper instruction to the jury, and the jury’s verdict will not be reversed. </w:t>
      </w:r>
    </w:p>
    <w:p w14:paraId="3F6912C7" w14:textId="77777777" w:rsidR="00557CA2" w:rsidRDefault="00557CA2" w:rsidP="00557CA2">
      <w:pPr>
        <w:pStyle w:val="NormalWeb"/>
        <w:ind w:left="720"/>
      </w:pPr>
      <w:r>
        <w:t xml:space="preserve">“Ultimately, the question of whether Leitner's other heart problems qualified for application of the statutory presumption was a factual question for the jury. The question of whether the Board incorrectly applied the presumption by failing to address Leitner's other heart problems was also a question for the jury. Therefore, we conclude that Leitner's argument that the superior court erred by failing to reverse or modify the Board's findings and decision lacks merit.”   </w:t>
      </w:r>
      <w:hyperlink r:id="rId1289" w:history="1">
        <w:r>
          <w:rPr>
            <w:rStyle w:val="Hyperlink"/>
            <w:rFonts w:eastAsiaTheme="majorEastAsia"/>
          </w:rPr>
          <w:t>https://law.justia.com/cases/washington/court-of-appeals-division-ii/2020/52908-4.html</w:t>
        </w:r>
      </w:hyperlink>
    </w:p>
    <w:p w14:paraId="3F5314E1" w14:textId="77777777" w:rsidR="00557CA2" w:rsidRDefault="00557CA2" w:rsidP="00557CA2">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Lessons Learned: Under the State of Washington statute, the employer can seek a jury trial on the issue of the cause of a firefighter’s heart attack. </w:t>
      </w:r>
    </w:p>
    <w:p w14:paraId="7154E4B6" w14:textId="77777777" w:rsidR="00557CA2" w:rsidRDefault="00557CA2" w:rsidP="00557CA2">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 xml:space="preserve">Note: The State of Washington statutory presumption, RCW 51.32.185: </w:t>
      </w:r>
      <w:hyperlink r:id="rId1290" w:history="1">
        <w:r>
          <w:rPr>
            <w:rStyle w:val="Hyperlink"/>
            <w:sz w:val="24"/>
            <w:szCs w:val="24"/>
          </w:rPr>
          <w:t>https://app.leg.wa.gov/rcw/default.aspx?cite=51.32.185</w:t>
        </w:r>
      </w:hyperlink>
      <w:r>
        <w:rPr>
          <w:rFonts w:ascii="Times New Roman" w:hAnsi="Times New Roman"/>
          <w:sz w:val="24"/>
          <w:szCs w:val="24"/>
        </w:rPr>
        <w:t xml:space="preserve"> </w:t>
      </w:r>
    </w:p>
    <w:p w14:paraId="66E45073" w14:textId="0D87694C" w:rsidR="00557CA2" w:rsidRDefault="00557CA2" w:rsidP="00557CA2">
      <w:pPr>
        <w:ind w:left="1440"/>
        <w:rPr>
          <w:rFonts w:ascii="Times New Roman" w:hAnsi="Times New Roman"/>
          <w:sz w:val="24"/>
          <w:szCs w:val="24"/>
        </w:rPr>
      </w:pPr>
      <w:r>
        <w:rPr>
          <w:rFonts w:ascii="Times New Roman" w:hAnsi="Times New Roman"/>
          <w:sz w:val="24"/>
          <w:szCs w:val="24"/>
        </w:rPr>
        <w:t xml:space="preserve">(1)(a) In the case of firefighters as defined in RCW </w:t>
      </w:r>
      <w:hyperlink r:id="rId1291" w:history="1">
        <w:r>
          <w:rPr>
            <w:rStyle w:val="Hyperlink"/>
            <w:sz w:val="24"/>
            <w:szCs w:val="24"/>
          </w:rPr>
          <w:t>41.26.030</w:t>
        </w:r>
      </w:hyperlink>
      <w:r>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Pr>
          <w:rFonts w:ascii="Times New Roman" w:hAnsi="Times New Roman"/>
          <w:sz w:val="24"/>
          <w:szCs w:val="24"/>
        </w:rPr>
        <w:t>i</w:t>
      </w:r>
      <w:proofErr w:type="spellEnd"/>
      <w:r>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292" w:history="1">
        <w:r>
          <w:rPr>
            <w:rStyle w:val="Hyperlink"/>
            <w:sz w:val="24"/>
            <w:szCs w:val="24"/>
          </w:rPr>
          <w:t>51.08.140</w:t>
        </w:r>
      </w:hyperlink>
      <w:r>
        <w:rPr>
          <w:rFonts w:ascii="Times New Roman" w:hAnsi="Times New Roman"/>
          <w:sz w:val="24"/>
          <w:szCs w:val="24"/>
        </w:rPr>
        <w:t>.</w:t>
      </w:r>
    </w:p>
    <w:p w14:paraId="5FEF2910" w14:textId="77777777" w:rsidR="00557CA2" w:rsidRDefault="00557CA2" w:rsidP="00557CA2">
      <w:pPr>
        <w:pStyle w:val="NormalWeb"/>
        <w:ind w:left="720"/>
      </w:pPr>
      <w:r>
        <w:t>On April 24, 2019, the Governor signed an amendment to the statute, including additional cancers covered by the statutory presumption:</w:t>
      </w:r>
    </w:p>
    <w:p w14:paraId="0B6A523C" w14:textId="75072A1E" w:rsidR="00557CA2" w:rsidRDefault="00557CA2" w:rsidP="00557CA2">
      <w:pPr>
        <w:rPr>
          <w:rFonts w:ascii="Arial Black" w:hAnsi="Arial Black"/>
          <w:b/>
          <w:sz w:val="24"/>
          <w:szCs w:val="24"/>
        </w:rPr>
      </w:pPr>
      <w:r>
        <w:t xml:space="preserve">(10)(a)The director must create an advisory committee on occupational disease presumptions. The purposes of the advisory30committee are to review scientific evidence and to make recommendations to the legislature on additional diseases or disorders for inclusion under this section. </w:t>
      </w:r>
      <w:hyperlink r:id="rId1293" w:history="1">
        <w:r>
          <w:rPr>
            <w:rStyle w:val="Hyperlink"/>
            <w:rFonts w:eastAsiaTheme="majorEastAsia"/>
          </w:rPr>
          <w:t>http://lawfilesext.leg.wa.gov/biennium/2019-20/Pdf/Bills/Session%20Laws/House/1913.SL.pdf?cite=2019%20c%20133%20%C2%A7%201</w:t>
        </w:r>
      </w:hyperlink>
    </w:p>
    <w:p w14:paraId="4FCF79B5" w14:textId="77777777" w:rsidR="00557CA2" w:rsidRDefault="00557CA2" w:rsidP="00EF1133">
      <w:pPr>
        <w:rPr>
          <w:rFonts w:ascii="Arial Black" w:hAnsi="Arial Black"/>
          <w:b/>
          <w:sz w:val="24"/>
          <w:szCs w:val="24"/>
        </w:rPr>
      </w:pPr>
    </w:p>
    <w:p w14:paraId="1EFB8E91" w14:textId="12187865" w:rsidR="006B2083" w:rsidRDefault="006B2083" w:rsidP="00EF1133">
      <w:pPr>
        <w:rPr>
          <w:rFonts w:ascii="Arial Black" w:hAnsi="Arial Black"/>
          <w:b/>
          <w:sz w:val="24"/>
          <w:szCs w:val="24"/>
        </w:rPr>
      </w:pPr>
      <w:r>
        <w:rPr>
          <w:rFonts w:ascii="Arial Black" w:hAnsi="Arial Black"/>
          <w:b/>
          <w:sz w:val="24"/>
          <w:szCs w:val="24"/>
        </w:rPr>
        <w:t>6-48</w:t>
      </w:r>
    </w:p>
    <w:p w14:paraId="741951BD" w14:textId="77777777" w:rsidR="006B2083" w:rsidRPr="00683FEB" w:rsidRDefault="006B2083" w:rsidP="006B2083">
      <w:pPr>
        <w:pStyle w:val="NoSpacing"/>
        <w:rPr>
          <w:rFonts w:ascii="Arial Black" w:hAnsi="Arial Black"/>
          <w:sz w:val="28"/>
          <w:szCs w:val="28"/>
        </w:rPr>
      </w:pPr>
      <w:r w:rsidRPr="00683FEB">
        <w:rPr>
          <w:rFonts w:ascii="Arial Black" w:hAnsi="Arial Black"/>
          <w:sz w:val="28"/>
          <w:szCs w:val="28"/>
        </w:rPr>
        <w:t>NY:</w:t>
      </w:r>
      <w:r>
        <w:rPr>
          <w:rFonts w:ascii="Arial Black" w:hAnsi="Arial Black"/>
          <w:sz w:val="28"/>
          <w:szCs w:val="28"/>
        </w:rPr>
        <w:t xml:space="preserve"> FF WITH BAD HIP -– CLAIMED ON DUTY INJURY CAUSED – DEGENTIVE HISTORY - GETS ONLY “ORDINARY” PENSION</w:t>
      </w:r>
    </w:p>
    <w:p w14:paraId="0A61C137" w14:textId="77777777" w:rsidR="006B2083" w:rsidRDefault="006B2083" w:rsidP="006B2083">
      <w:pPr>
        <w:pStyle w:val="NoSpacing"/>
        <w:rPr>
          <w:rFonts w:ascii="Times New Roman" w:hAnsi="Times New Roman"/>
          <w:sz w:val="24"/>
          <w:szCs w:val="24"/>
        </w:rPr>
      </w:pPr>
    </w:p>
    <w:p w14:paraId="633E10B4" w14:textId="77777777" w:rsidR="006B2083" w:rsidRDefault="006B2083" w:rsidP="006B2083">
      <w:pPr>
        <w:pStyle w:val="NoSpacing"/>
        <w:rPr>
          <w:rFonts w:ascii="Times New Roman" w:hAnsi="Times New Roman"/>
          <w:sz w:val="24"/>
          <w:szCs w:val="24"/>
        </w:rPr>
      </w:pPr>
      <w:r w:rsidRPr="00D32613">
        <w:rPr>
          <w:rFonts w:ascii="Times New Roman" w:hAnsi="Times New Roman"/>
          <w:sz w:val="24"/>
          <w:szCs w:val="24"/>
        </w:rPr>
        <w:t xml:space="preserve">On July 15, 2020, in the case of </w:t>
      </w:r>
      <w:r w:rsidRPr="00D32613">
        <w:rPr>
          <w:rFonts w:ascii="Times New Roman" w:hAnsi="Times New Roman"/>
          <w:sz w:val="24"/>
          <w:szCs w:val="24"/>
          <w:u w:val="single"/>
        </w:rPr>
        <w:t>In the Matter of Robert Giuliano v. New York Fire Department Pension Fund, et al</w:t>
      </w:r>
      <w:r w:rsidRPr="00D32613">
        <w:rPr>
          <w:rFonts w:ascii="Times New Roman" w:hAnsi="Times New Roman"/>
          <w:sz w:val="24"/>
          <w:szCs w:val="24"/>
        </w:rPr>
        <w:t xml:space="preserve">., </w:t>
      </w:r>
      <w:r w:rsidRPr="00D32613">
        <w:rPr>
          <w:rFonts w:ascii="Times New Roman" w:eastAsia="Times New Roman" w:hAnsi="Times New Roman"/>
          <w:sz w:val="24"/>
          <w:szCs w:val="24"/>
        </w:rPr>
        <w:t>the Supreme Court of the State of New York, Appellate Division, Second</w:t>
      </w:r>
      <w:r>
        <w:rPr>
          <w:rFonts w:ascii="Times New Roman" w:eastAsia="Times New Roman" w:hAnsi="Times New Roman"/>
          <w:sz w:val="24"/>
          <w:szCs w:val="24"/>
        </w:rPr>
        <w:t xml:space="preserve"> </w:t>
      </w:r>
      <w:r w:rsidRPr="00D32613">
        <w:rPr>
          <w:rFonts w:ascii="Times New Roman" w:eastAsia="Times New Roman" w:hAnsi="Times New Roman"/>
          <w:sz w:val="24"/>
          <w:szCs w:val="24"/>
        </w:rPr>
        <w:t xml:space="preserve">Judicial Department, upheld (5 to 0) the trial court’s decision denying the firefighter’s </w:t>
      </w:r>
      <w:r w:rsidRPr="00D32613">
        <w:rPr>
          <w:rFonts w:ascii="Times New Roman" w:hAnsi="Times New Roman"/>
          <w:sz w:val="24"/>
          <w:szCs w:val="24"/>
        </w:rPr>
        <w:t>application for accidental disability retirement benefits; while he and his surgeon claimed likely caused by on the job injury, MRI showed degenerative history.</w:t>
      </w:r>
      <w:r>
        <w:rPr>
          <w:rFonts w:ascii="Times New Roman" w:hAnsi="Times New Roman"/>
          <w:sz w:val="24"/>
          <w:szCs w:val="24"/>
        </w:rPr>
        <w:t xml:space="preserve"> Court wrote: “</w:t>
      </w:r>
      <w:r w:rsidRPr="00FB2CC3">
        <w:rPr>
          <w:rFonts w:ascii="Times New Roman" w:hAnsi="Times New Roman"/>
          <w:sz w:val="24"/>
          <w:szCs w:val="24"/>
        </w:rPr>
        <w:t>The Medical Board’s findings differ from</w:t>
      </w:r>
      <w:r>
        <w:rPr>
          <w:rFonts w:ascii="Times New Roman" w:hAnsi="Times New Roman"/>
          <w:sz w:val="24"/>
          <w:szCs w:val="24"/>
        </w:rPr>
        <w:t xml:space="preserve"> </w:t>
      </w:r>
      <w:r w:rsidRPr="00FB2CC3">
        <w:rPr>
          <w:rFonts w:ascii="Times New Roman" w:hAnsi="Times New Roman"/>
          <w:sz w:val="24"/>
          <w:szCs w:val="24"/>
        </w:rPr>
        <w:t>those of</w:t>
      </w:r>
      <w:r>
        <w:rPr>
          <w:rFonts w:ascii="Times New Roman" w:hAnsi="Times New Roman"/>
          <w:sz w:val="24"/>
          <w:szCs w:val="24"/>
        </w:rPr>
        <w:t xml:space="preserve"> </w:t>
      </w:r>
      <w:r w:rsidRPr="00FB2CC3">
        <w:rPr>
          <w:rFonts w:ascii="Times New Roman" w:hAnsi="Times New Roman"/>
          <w:sz w:val="24"/>
          <w:szCs w:val="24"/>
        </w:rPr>
        <w:t>the petitioner’s</w:t>
      </w:r>
      <w:r>
        <w:rPr>
          <w:rFonts w:ascii="Times New Roman" w:hAnsi="Times New Roman"/>
          <w:sz w:val="24"/>
          <w:szCs w:val="24"/>
        </w:rPr>
        <w:t xml:space="preserve"> </w:t>
      </w:r>
      <w:r w:rsidRPr="00FB2CC3">
        <w:rPr>
          <w:rFonts w:ascii="Times New Roman" w:hAnsi="Times New Roman"/>
          <w:sz w:val="24"/>
          <w:szCs w:val="24"/>
        </w:rPr>
        <w:t>surgeon,</w:t>
      </w:r>
      <w:r>
        <w:rPr>
          <w:rFonts w:ascii="Times New Roman" w:hAnsi="Times New Roman"/>
          <w:sz w:val="24"/>
          <w:szCs w:val="24"/>
        </w:rPr>
        <w:t xml:space="preserve"> </w:t>
      </w:r>
      <w:r w:rsidRPr="00FB2CC3">
        <w:rPr>
          <w:rFonts w:ascii="Times New Roman" w:hAnsi="Times New Roman"/>
          <w:sz w:val="24"/>
          <w:szCs w:val="24"/>
        </w:rPr>
        <w:t>who found that it was likely that the petitioner’s condition was causally</w:t>
      </w:r>
      <w:r>
        <w:rPr>
          <w:rFonts w:ascii="Times New Roman" w:hAnsi="Times New Roman"/>
          <w:sz w:val="24"/>
          <w:szCs w:val="24"/>
        </w:rPr>
        <w:t xml:space="preserve"> </w:t>
      </w:r>
      <w:r w:rsidRPr="00FB2CC3">
        <w:rPr>
          <w:rFonts w:ascii="Times New Roman" w:hAnsi="Times New Roman"/>
          <w:sz w:val="24"/>
          <w:szCs w:val="24"/>
        </w:rPr>
        <w:t xml:space="preserve">related to work injuries and that the petitioner may have exacerbated a pre-existing condition. However, </w:t>
      </w:r>
      <w:r>
        <w:rPr>
          <w:rFonts w:ascii="Times New Roman" w:hAnsi="Times New Roman"/>
          <w:sz w:val="24"/>
          <w:szCs w:val="24"/>
        </w:rPr>
        <w:t>‘</w:t>
      </w:r>
      <w:r w:rsidRPr="00FB2CC3">
        <w:rPr>
          <w:rFonts w:ascii="Times New Roman" w:hAnsi="Times New Roman"/>
          <w:sz w:val="24"/>
          <w:szCs w:val="24"/>
        </w:rPr>
        <w:t>[w]here conflicting medical evidence and medical reports are presented to the Medical</w:t>
      </w:r>
      <w:r>
        <w:rPr>
          <w:rFonts w:ascii="Times New Roman" w:hAnsi="Times New Roman"/>
          <w:sz w:val="24"/>
          <w:szCs w:val="24"/>
        </w:rPr>
        <w:t xml:space="preserve"> </w:t>
      </w:r>
      <w:r w:rsidRPr="00FB2CC3">
        <w:rPr>
          <w:rFonts w:ascii="Times New Roman" w:hAnsi="Times New Roman"/>
          <w:sz w:val="24"/>
          <w:szCs w:val="24"/>
        </w:rPr>
        <w:t>Board, it is solely within the province of the Medical Board to resolve such conflicts</w:t>
      </w:r>
      <w:r>
        <w:rPr>
          <w:rFonts w:ascii="Times New Roman" w:hAnsi="Times New Roman"/>
          <w:sz w:val="24"/>
          <w:szCs w:val="24"/>
        </w:rPr>
        <w:t xml:space="preserve">.’” </w:t>
      </w:r>
    </w:p>
    <w:p w14:paraId="5F13AC4B" w14:textId="77777777" w:rsidR="006B2083" w:rsidRDefault="006B2083" w:rsidP="006B2083">
      <w:pPr>
        <w:pStyle w:val="NoSpacing"/>
        <w:rPr>
          <w:rFonts w:ascii="Times New Roman" w:hAnsi="Times New Roman"/>
          <w:sz w:val="24"/>
          <w:szCs w:val="24"/>
        </w:rPr>
      </w:pPr>
      <w:hyperlink r:id="rId1294" w:history="1">
        <w:r w:rsidRPr="000603D4">
          <w:rPr>
            <w:rStyle w:val="Hyperlink"/>
            <w:rFonts w:ascii="Times New Roman" w:hAnsi="Times New Roman"/>
            <w:sz w:val="24"/>
            <w:szCs w:val="24"/>
          </w:rPr>
          <w:t>http://www.nycourts.gov/courts/AD2/Handdowns/2020/Decisions/D63333.pdf</w:t>
        </w:r>
      </w:hyperlink>
      <w:r>
        <w:rPr>
          <w:rFonts w:ascii="Times New Roman" w:hAnsi="Times New Roman"/>
          <w:sz w:val="24"/>
          <w:szCs w:val="24"/>
        </w:rPr>
        <w:t xml:space="preserve"> </w:t>
      </w:r>
    </w:p>
    <w:p w14:paraId="0A2161B7" w14:textId="77777777" w:rsidR="006B2083" w:rsidRDefault="006B2083" w:rsidP="006B2083">
      <w:pPr>
        <w:pStyle w:val="NoSpacing"/>
        <w:rPr>
          <w:rFonts w:ascii="Times New Roman" w:hAnsi="Times New Roman"/>
          <w:b/>
          <w:bCs/>
          <w:sz w:val="24"/>
          <w:szCs w:val="24"/>
        </w:rPr>
      </w:pPr>
    </w:p>
    <w:p w14:paraId="338F91CF" w14:textId="6B3C7A01" w:rsidR="006B2083" w:rsidRPr="00D32613" w:rsidRDefault="006B2083" w:rsidP="006B2083">
      <w:pPr>
        <w:pStyle w:val="NoSpacing"/>
        <w:rPr>
          <w:rFonts w:ascii="Times New Roman" w:hAnsi="Times New Roman"/>
          <w:b/>
          <w:bCs/>
          <w:sz w:val="24"/>
          <w:szCs w:val="24"/>
        </w:rPr>
      </w:pPr>
      <w:r w:rsidRPr="00D32613">
        <w:rPr>
          <w:rFonts w:ascii="Times New Roman" w:hAnsi="Times New Roman"/>
          <w:b/>
          <w:bCs/>
          <w:sz w:val="24"/>
          <w:szCs w:val="24"/>
        </w:rPr>
        <w:t xml:space="preserve">Legal Lesson Learned: </w:t>
      </w:r>
      <w:r>
        <w:rPr>
          <w:rFonts w:ascii="Times New Roman" w:hAnsi="Times New Roman"/>
          <w:b/>
          <w:bCs/>
          <w:sz w:val="24"/>
          <w:szCs w:val="24"/>
        </w:rPr>
        <w:t>Appellate courts will generally follow the findings of a Medical Board, supported by medical documentation.</w:t>
      </w:r>
    </w:p>
    <w:p w14:paraId="40D48217" w14:textId="77777777" w:rsidR="006B2083" w:rsidRDefault="006B2083" w:rsidP="00EF1133">
      <w:pPr>
        <w:rPr>
          <w:rFonts w:ascii="Arial Black" w:hAnsi="Arial Black"/>
          <w:b/>
          <w:sz w:val="24"/>
          <w:szCs w:val="24"/>
        </w:rPr>
      </w:pPr>
    </w:p>
    <w:p w14:paraId="13FB72E8" w14:textId="77777777" w:rsidR="006B2083" w:rsidRDefault="006B2083" w:rsidP="00EF1133">
      <w:pPr>
        <w:rPr>
          <w:rFonts w:ascii="Arial Black" w:hAnsi="Arial Black"/>
          <w:b/>
          <w:sz w:val="24"/>
          <w:szCs w:val="24"/>
        </w:rPr>
      </w:pPr>
    </w:p>
    <w:p w14:paraId="6A85CBAE" w14:textId="77777777" w:rsidR="006B2083" w:rsidRDefault="006B2083" w:rsidP="00EF1133">
      <w:pPr>
        <w:rPr>
          <w:rFonts w:ascii="Arial Black" w:hAnsi="Arial Black"/>
          <w:b/>
          <w:sz w:val="24"/>
          <w:szCs w:val="24"/>
        </w:rPr>
      </w:pPr>
    </w:p>
    <w:p w14:paraId="27B9AF9A" w14:textId="3073EE32" w:rsidR="006B2083" w:rsidRDefault="006B2083" w:rsidP="00EF1133">
      <w:pPr>
        <w:rPr>
          <w:rFonts w:ascii="Arial Black" w:hAnsi="Arial Black"/>
          <w:b/>
          <w:sz w:val="24"/>
          <w:szCs w:val="24"/>
        </w:rPr>
      </w:pPr>
      <w:r>
        <w:rPr>
          <w:rFonts w:ascii="Arial Black" w:hAnsi="Arial Black"/>
          <w:b/>
          <w:sz w:val="24"/>
          <w:szCs w:val="24"/>
        </w:rPr>
        <w:t>6-47</w:t>
      </w:r>
    </w:p>
    <w:p w14:paraId="38923EA9" w14:textId="77777777" w:rsidR="006B2083" w:rsidRDefault="006B2083" w:rsidP="006B2083">
      <w:pPr>
        <w:pStyle w:val="NoSpacing"/>
        <w:rPr>
          <w:rFonts w:ascii="Arial" w:hAnsi="Arial" w:cs="Arial"/>
          <w:sz w:val="30"/>
          <w:szCs w:val="30"/>
        </w:rPr>
      </w:pPr>
      <w:r w:rsidRPr="00244752">
        <w:rPr>
          <w:rFonts w:ascii="Arial Black" w:hAnsi="Arial Black"/>
          <w:sz w:val="28"/>
          <w:szCs w:val="28"/>
        </w:rPr>
        <w:t>R</w:t>
      </w:r>
      <w:r>
        <w:rPr>
          <w:rFonts w:ascii="Arial Black" w:hAnsi="Arial Black"/>
          <w:sz w:val="28"/>
          <w:szCs w:val="28"/>
        </w:rPr>
        <w:t>I: FISCAL EMERGENCY – FIRE &amp; POLICE RETIREES MUST NOW ENROLL IN MEDICARE - CITY MUST PAY GAP COVERAGE</w:t>
      </w:r>
    </w:p>
    <w:p w14:paraId="5D7ABA6D" w14:textId="77777777" w:rsidR="006B2083" w:rsidRDefault="006B2083" w:rsidP="006B2083">
      <w:pPr>
        <w:pStyle w:val="NoSpacing"/>
        <w:rPr>
          <w:rFonts w:ascii="Times New Roman" w:hAnsi="Times New Roman"/>
          <w:sz w:val="24"/>
          <w:szCs w:val="24"/>
        </w:rPr>
      </w:pPr>
    </w:p>
    <w:p w14:paraId="484ECA0E" w14:textId="77777777" w:rsidR="006B2083" w:rsidRPr="004473E9" w:rsidRDefault="006B2083" w:rsidP="006B2083">
      <w:pPr>
        <w:pStyle w:val="NoSpacing"/>
        <w:rPr>
          <w:rFonts w:ascii="Times New Roman" w:hAnsi="Times New Roman"/>
          <w:sz w:val="24"/>
          <w:szCs w:val="24"/>
        </w:rPr>
      </w:pPr>
      <w:r w:rsidRPr="004473E9">
        <w:rPr>
          <w:rFonts w:ascii="Times New Roman" w:hAnsi="Times New Roman"/>
          <w:sz w:val="24"/>
          <w:szCs w:val="24"/>
        </w:rPr>
        <w:t xml:space="preserve">On June 30, 2020, in </w:t>
      </w:r>
      <w:r w:rsidRPr="004473E9">
        <w:rPr>
          <w:rFonts w:ascii="Times New Roman" w:hAnsi="Times New Roman"/>
          <w:sz w:val="24"/>
          <w:szCs w:val="24"/>
          <w:u w:val="single"/>
        </w:rPr>
        <w:t>Manuel Andrews, Jr. et al. v. James Lombardi, Treasurer of the City of Providence, Rhode Island</w:t>
      </w:r>
      <w:r w:rsidRPr="004473E9">
        <w:rPr>
          <w:rFonts w:ascii="Times New Roman" w:hAnsi="Times New Roman"/>
          <w:sz w:val="24"/>
          <w:szCs w:val="24"/>
        </w:rPr>
        <w:t xml:space="preserve">, the Supreme Court of Rhode Island held (5 to 0) that the 2011 state statute authorizing municipalities to require retirees at age 65 to go on Medicare Part A was lawful, but the City of Providence must also pay for retiree supplemental benefits under Medicare Parts B &amp; D, as the City had agreed in a settlement with some of the retirees. The Court wrote: </w:t>
      </w:r>
      <w:r>
        <w:rPr>
          <w:rFonts w:ascii="Times New Roman" w:hAnsi="Times New Roman"/>
          <w:sz w:val="24"/>
          <w:szCs w:val="24"/>
        </w:rPr>
        <w:t>“</w:t>
      </w:r>
      <w:r w:rsidRPr="004473E9">
        <w:rPr>
          <w:rFonts w:ascii="Times New Roman" w:hAnsi="Times New Roman"/>
          <w:sz w:val="24"/>
          <w:szCs w:val="24"/>
        </w:rPr>
        <w:t>We are convinced nevertheless that the controversy ought to be resolved by awarding the plaintiffs the same remedies for health care</w:t>
      </w:r>
      <w:r>
        <w:rPr>
          <w:rFonts w:ascii="Times New Roman" w:hAnsi="Times New Roman"/>
          <w:sz w:val="24"/>
          <w:szCs w:val="24"/>
        </w:rPr>
        <w:t xml:space="preserve"> </w:t>
      </w:r>
      <w:r w:rsidRPr="004473E9">
        <w:rPr>
          <w:rFonts w:ascii="Times New Roman" w:hAnsi="Times New Roman"/>
          <w:sz w:val="24"/>
          <w:szCs w:val="24"/>
        </w:rPr>
        <w:t>as provided in the 2011 lawsuit’s settlement agreement</w:t>
      </w:r>
      <w:r>
        <w:rPr>
          <w:rFonts w:ascii="Times New Roman" w:hAnsi="Times New Roman"/>
          <w:sz w:val="24"/>
          <w:szCs w:val="24"/>
        </w:rPr>
        <w:t xml:space="preserve"> </w:t>
      </w:r>
      <w:r w:rsidRPr="004473E9">
        <w:rPr>
          <w:rFonts w:ascii="Times New Roman" w:hAnsi="Times New Roman"/>
          <w:sz w:val="24"/>
          <w:szCs w:val="24"/>
        </w:rPr>
        <w:t>approved in the 2013 Final and Consent Judgment. It is nothing more than what the City has agreed to provide for the opt-in retirees and indeed</w:t>
      </w:r>
      <w:r>
        <w:rPr>
          <w:rFonts w:ascii="Times New Roman" w:hAnsi="Times New Roman"/>
          <w:sz w:val="24"/>
          <w:szCs w:val="24"/>
        </w:rPr>
        <w:t xml:space="preserve"> </w:t>
      </w:r>
      <w:r w:rsidRPr="004473E9">
        <w:rPr>
          <w:rFonts w:ascii="Times New Roman" w:hAnsi="Times New Roman"/>
          <w:sz w:val="24"/>
          <w:szCs w:val="24"/>
        </w:rPr>
        <w:t>is contemplated in the 2011 Medicare Ordinance,</w:t>
      </w:r>
      <w:r>
        <w:rPr>
          <w:rFonts w:ascii="Times New Roman" w:hAnsi="Times New Roman"/>
          <w:sz w:val="24"/>
          <w:szCs w:val="24"/>
        </w:rPr>
        <w:t xml:space="preserve"> </w:t>
      </w:r>
      <w:r w:rsidRPr="004473E9">
        <w:rPr>
          <w:rFonts w:ascii="Times New Roman" w:hAnsi="Times New Roman"/>
          <w:sz w:val="24"/>
          <w:szCs w:val="24"/>
        </w:rPr>
        <w:t xml:space="preserve">which allows for the City’s payment of </w:t>
      </w:r>
      <w:r>
        <w:rPr>
          <w:rFonts w:ascii="Times New Roman" w:hAnsi="Times New Roman"/>
          <w:sz w:val="24"/>
          <w:szCs w:val="24"/>
        </w:rPr>
        <w:t>‘</w:t>
      </w:r>
      <w:r w:rsidRPr="004473E9">
        <w:rPr>
          <w:rFonts w:ascii="Times New Roman" w:hAnsi="Times New Roman"/>
          <w:sz w:val="24"/>
          <w:szCs w:val="24"/>
        </w:rPr>
        <w:t>Medicare supplement or gap coverage</w:t>
      </w:r>
      <w:r>
        <w:rPr>
          <w:rFonts w:ascii="Times New Roman" w:hAnsi="Times New Roman"/>
          <w:sz w:val="24"/>
          <w:szCs w:val="24"/>
        </w:rPr>
        <w:t>’</w:t>
      </w:r>
      <w:r w:rsidRPr="004473E9">
        <w:rPr>
          <w:rFonts w:ascii="Times New Roman" w:hAnsi="Times New Roman"/>
          <w:sz w:val="24"/>
          <w:szCs w:val="24"/>
        </w:rPr>
        <w:t xml:space="preserve"> when </w:t>
      </w:r>
      <w:r>
        <w:rPr>
          <w:rFonts w:ascii="Times New Roman" w:hAnsi="Times New Roman"/>
          <w:sz w:val="24"/>
          <w:szCs w:val="24"/>
        </w:rPr>
        <w:t>‘</w:t>
      </w:r>
      <w:r w:rsidRPr="004473E9">
        <w:rPr>
          <w:rFonts w:ascii="Times New Roman" w:hAnsi="Times New Roman"/>
          <w:sz w:val="24"/>
          <w:szCs w:val="24"/>
        </w:rPr>
        <w:t>otherwise provided by ordinance or contract.</w:t>
      </w:r>
      <w:r>
        <w:rPr>
          <w:rFonts w:ascii="Times New Roman" w:hAnsi="Times New Roman"/>
          <w:sz w:val="24"/>
          <w:szCs w:val="24"/>
        </w:rPr>
        <w:t>’”</w:t>
      </w:r>
      <w:r w:rsidRPr="004473E9">
        <w:t xml:space="preserve"> </w:t>
      </w:r>
      <w:hyperlink r:id="rId1295" w:anchor="search=Manuel%20Andrews%2C%20Jr" w:history="1">
        <w:r w:rsidRPr="00BC34AA">
          <w:rPr>
            <w:rStyle w:val="Hyperlink"/>
            <w:rFonts w:ascii="Times New Roman" w:hAnsi="Times New Roman"/>
            <w:sz w:val="24"/>
            <w:szCs w:val="24"/>
          </w:rPr>
          <w:t>https://www.courts.ri.gov/Courts/SupremeCourt/SupremeOpinions/17-255,256,257,260.pdf#search=Manuel%20Andrews%2C%20Jr</w:t>
        </w:r>
      </w:hyperlink>
      <w:r>
        <w:rPr>
          <w:rFonts w:ascii="Times New Roman" w:hAnsi="Times New Roman"/>
          <w:sz w:val="24"/>
          <w:szCs w:val="24"/>
        </w:rPr>
        <w:t xml:space="preserve"> </w:t>
      </w:r>
    </w:p>
    <w:p w14:paraId="5DEB734B" w14:textId="77777777" w:rsidR="006B2083" w:rsidRDefault="006B2083" w:rsidP="006B2083">
      <w:pPr>
        <w:pStyle w:val="NoSpacing"/>
        <w:rPr>
          <w:rFonts w:ascii="Times New Roman" w:hAnsi="Times New Roman"/>
          <w:b/>
          <w:bCs/>
          <w:sz w:val="24"/>
          <w:szCs w:val="24"/>
        </w:rPr>
      </w:pPr>
    </w:p>
    <w:p w14:paraId="4236FDB0" w14:textId="3C3BD1C6" w:rsidR="006B2083" w:rsidRPr="0002321F" w:rsidRDefault="006B2083" w:rsidP="006B2083">
      <w:pPr>
        <w:pStyle w:val="NoSpacing"/>
        <w:rPr>
          <w:rFonts w:ascii="Times New Roman" w:hAnsi="Times New Roman"/>
          <w:b/>
          <w:bCs/>
          <w:sz w:val="24"/>
          <w:szCs w:val="24"/>
        </w:rPr>
      </w:pPr>
      <w:r w:rsidRPr="0002321F">
        <w:rPr>
          <w:rFonts w:ascii="Times New Roman" w:hAnsi="Times New Roman"/>
          <w:b/>
          <w:bCs/>
          <w:sz w:val="24"/>
          <w:szCs w:val="24"/>
        </w:rPr>
        <w:t>Legal Lesson Learned:</w:t>
      </w:r>
      <w:r>
        <w:rPr>
          <w:rFonts w:ascii="Times New Roman" w:hAnsi="Times New Roman"/>
          <w:b/>
          <w:bCs/>
          <w:sz w:val="24"/>
          <w:szCs w:val="24"/>
        </w:rPr>
        <w:t xml:space="preserve"> State can enact a statute authorizing municipalities to require retirees to switch to Medicare coverage, but litigation may lead to settlements and Court decisions requiring the “gap” insurance is also paid by the municipality. </w:t>
      </w:r>
    </w:p>
    <w:p w14:paraId="14635816" w14:textId="77777777" w:rsidR="006B2083" w:rsidRDefault="006B2083" w:rsidP="00EF1133">
      <w:pPr>
        <w:rPr>
          <w:rFonts w:ascii="Arial Black" w:hAnsi="Arial Black"/>
          <w:b/>
          <w:sz w:val="24"/>
          <w:szCs w:val="24"/>
        </w:rPr>
      </w:pPr>
    </w:p>
    <w:p w14:paraId="248BAEE2" w14:textId="77777777" w:rsidR="006B2083" w:rsidRDefault="006B2083" w:rsidP="00EF1133">
      <w:pPr>
        <w:rPr>
          <w:rFonts w:ascii="Arial Black" w:hAnsi="Arial Black"/>
          <w:b/>
          <w:sz w:val="24"/>
          <w:szCs w:val="24"/>
        </w:rPr>
      </w:pPr>
    </w:p>
    <w:p w14:paraId="0A7E2A5E" w14:textId="77777777" w:rsidR="006B2083" w:rsidRDefault="006B2083" w:rsidP="00EF1133">
      <w:pPr>
        <w:rPr>
          <w:rFonts w:ascii="Arial Black" w:hAnsi="Arial Black"/>
          <w:b/>
          <w:sz w:val="24"/>
          <w:szCs w:val="24"/>
        </w:rPr>
      </w:pPr>
    </w:p>
    <w:p w14:paraId="716809E7" w14:textId="1DC0DA29" w:rsidR="007105B3" w:rsidRDefault="007105B3" w:rsidP="00EF1133">
      <w:pPr>
        <w:rPr>
          <w:rFonts w:ascii="Arial Black" w:hAnsi="Arial Black"/>
          <w:b/>
          <w:sz w:val="24"/>
          <w:szCs w:val="24"/>
        </w:rPr>
      </w:pPr>
      <w:r>
        <w:rPr>
          <w:rFonts w:ascii="Arial Black" w:hAnsi="Arial Black"/>
          <w:b/>
          <w:sz w:val="24"/>
          <w:szCs w:val="24"/>
        </w:rPr>
        <w:t>6-46</w:t>
      </w:r>
    </w:p>
    <w:p w14:paraId="46930089" w14:textId="77777777" w:rsidR="007105B3" w:rsidRPr="004F5401" w:rsidRDefault="007105B3" w:rsidP="007105B3">
      <w:pPr>
        <w:pStyle w:val="NoSpacing"/>
        <w:rPr>
          <w:rFonts w:ascii="Arial Black" w:hAnsi="Arial Black"/>
          <w:sz w:val="28"/>
          <w:szCs w:val="28"/>
        </w:rPr>
      </w:pPr>
      <w:r w:rsidRPr="004F5401">
        <w:rPr>
          <w:rFonts w:ascii="Arial Black" w:hAnsi="Arial Black"/>
          <w:sz w:val="28"/>
          <w:szCs w:val="28"/>
        </w:rPr>
        <w:t xml:space="preserve">OH: </w:t>
      </w:r>
      <w:r>
        <w:rPr>
          <w:rFonts w:ascii="Arial Black" w:hAnsi="Arial Black"/>
          <w:sz w:val="28"/>
          <w:szCs w:val="28"/>
        </w:rPr>
        <w:t xml:space="preserve">FF SUES MAYOR – FIRST AMEND. RIGHT POST YARD SIGNS – UPSET CITY INSPECTOR DIDN’T FIND DEFECTS NEW HOME </w:t>
      </w:r>
    </w:p>
    <w:p w14:paraId="108853C0" w14:textId="77777777" w:rsidR="007105B3" w:rsidRDefault="007105B3" w:rsidP="007105B3">
      <w:pPr>
        <w:pStyle w:val="NoSpacing"/>
        <w:rPr>
          <w:rFonts w:ascii="Times New Roman" w:hAnsi="Times New Roman"/>
          <w:sz w:val="24"/>
          <w:szCs w:val="24"/>
        </w:rPr>
      </w:pPr>
    </w:p>
    <w:p w14:paraId="1BAD5EE1" w14:textId="04906921" w:rsidR="007105B3" w:rsidRDefault="007105B3" w:rsidP="007105B3">
      <w:pPr>
        <w:rPr>
          <w:rStyle w:val="Hyperlink"/>
          <w:rFonts w:ascii="Times New Roman" w:hAnsi="Times New Roman"/>
          <w:sz w:val="24"/>
          <w:szCs w:val="24"/>
        </w:rPr>
      </w:pPr>
      <w:r w:rsidRPr="008263A3">
        <w:rPr>
          <w:rFonts w:ascii="Times New Roman" w:hAnsi="Times New Roman"/>
          <w:sz w:val="24"/>
          <w:szCs w:val="24"/>
        </w:rPr>
        <w:t xml:space="preserve">On </w:t>
      </w:r>
      <w:r>
        <w:rPr>
          <w:rFonts w:ascii="Times New Roman" w:hAnsi="Times New Roman"/>
          <w:sz w:val="24"/>
          <w:szCs w:val="24"/>
        </w:rPr>
        <w:t xml:space="preserve">June 22, 2020, in </w:t>
      </w:r>
      <w:r w:rsidRPr="008263A3">
        <w:rPr>
          <w:rFonts w:ascii="Times New Roman" w:hAnsi="Times New Roman"/>
          <w:sz w:val="24"/>
          <w:szCs w:val="24"/>
          <w:u w:val="single"/>
        </w:rPr>
        <w:t>Scott Solarz v. James Gaven &amp; City of Olmstead Falls</w:t>
      </w:r>
      <w:r>
        <w:rPr>
          <w:rFonts w:ascii="Times New Roman" w:hAnsi="Times New Roman"/>
          <w:sz w:val="24"/>
          <w:szCs w:val="24"/>
        </w:rPr>
        <w:t xml:space="preserve">, U.S. District Court Judge Christopher A Boyko, U.S. District Court for Northern District of Ohio (Eastern Division), denied the </w:t>
      </w:r>
      <w:proofErr w:type="gramStart"/>
      <w:r>
        <w:rPr>
          <w:rFonts w:ascii="Times New Roman" w:hAnsi="Times New Roman"/>
          <w:sz w:val="24"/>
          <w:szCs w:val="24"/>
        </w:rPr>
        <w:t>Mayor’s</w:t>
      </w:r>
      <w:proofErr w:type="gramEnd"/>
      <w:r>
        <w:rPr>
          <w:rFonts w:ascii="Times New Roman" w:hAnsi="Times New Roman"/>
          <w:sz w:val="24"/>
          <w:szCs w:val="24"/>
        </w:rPr>
        <w:t xml:space="preserve"> motion to dismiss based on qualified immunity, but did dismiss the </w:t>
      </w:r>
      <w:proofErr w:type="gramStart"/>
      <w:r>
        <w:rPr>
          <w:rFonts w:ascii="Times New Roman" w:hAnsi="Times New Roman"/>
          <w:sz w:val="24"/>
          <w:szCs w:val="24"/>
        </w:rPr>
        <w:t>City</w:t>
      </w:r>
      <w:proofErr w:type="gramEnd"/>
      <w:r>
        <w:rPr>
          <w:rFonts w:ascii="Times New Roman" w:hAnsi="Times New Roman"/>
          <w:sz w:val="24"/>
          <w:szCs w:val="24"/>
        </w:rPr>
        <w:t xml:space="preserve"> on basis of governmental immunity. as a defendant. Court wrote: “</w:t>
      </w:r>
      <w:r w:rsidRPr="004F5401">
        <w:rPr>
          <w:rFonts w:ascii="Times New Roman" w:eastAsia="Times New Roman" w:hAnsi="Times New Roman"/>
          <w:sz w:val="24"/>
          <w:szCs w:val="24"/>
        </w:rPr>
        <w:t>On May 14, 2019, Plaintiff attended a City Council meeting</w:t>
      </w:r>
      <w:r>
        <w:rPr>
          <w:rFonts w:ascii="Times New Roman" w:eastAsia="Times New Roman" w:hAnsi="Times New Roman"/>
          <w:sz w:val="24"/>
          <w:szCs w:val="24"/>
        </w:rPr>
        <w:t xml:space="preserve"> [he lives in City of Olmstead </w:t>
      </w:r>
      <w:proofErr w:type="gramStart"/>
      <w:r>
        <w:rPr>
          <w:rFonts w:ascii="Times New Roman" w:eastAsia="Times New Roman" w:hAnsi="Times New Roman"/>
          <w:sz w:val="24"/>
          <w:szCs w:val="24"/>
        </w:rPr>
        <w:t>Falls, and</w:t>
      </w:r>
      <w:proofErr w:type="gramEnd"/>
      <w:r>
        <w:rPr>
          <w:rFonts w:ascii="Times New Roman" w:eastAsia="Times New Roman" w:hAnsi="Times New Roman"/>
          <w:sz w:val="24"/>
          <w:szCs w:val="24"/>
        </w:rPr>
        <w:t xml:space="preserve"> is a firefighter with City of Rocky River]</w:t>
      </w:r>
      <w:r w:rsidRPr="004F5401">
        <w:rPr>
          <w:rFonts w:ascii="Times New Roman" w:eastAsia="Times New Roman" w:hAnsi="Times New Roman"/>
          <w:sz w:val="24"/>
          <w:szCs w:val="24"/>
        </w:rPr>
        <w:t xml:space="preserve">. Allegedly, Plaintiff and Defendant Graven had a heated exchange over the improper inspection </w:t>
      </w:r>
      <w:r>
        <w:rPr>
          <w:rFonts w:ascii="Times New Roman" w:eastAsia="Times New Roman" w:hAnsi="Times New Roman"/>
          <w:sz w:val="24"/>
          <w:szCs w:val="24"/>
        </w:rPr>
        <w:t xml:space="preserve">[of his home in 2016] </w:t>
      </w:r>
      <w:r w:rsidRPr="004F5401">
        <w:rPr>
          <w:rFonts w:ascii="Times New Roman" w:eastAsia="Times New Roman" w:hAnsi="Times New Roman"/>
          <w:sz w:val="24"/>
          <w:szCs w:val="24"/>
        </w:rPr>
        <w:t>and the refusal to provide Plaintiff with reimbursement</w:t>
      </w:r>
      <w:r>
        <w:rPr>
          <w:rFonts w:ascii="Times New Roman" w:eastAsia="Times New Roman" w:hAnsi="Times New Roman"/>
          <w:sz w:val="24"/>
          <w:szCs w:val="24"/>
        </w:rPr>
        <w:t xml:space="preserve"> [for cost of arbitration with builder]</w:t>
      </w:r>
      <w:r w:rsidRPr="004F5401">
        <w:rPr>
          <w:rFonts w:ascii="Times New Roman" w:eastAsia="Times New Roman" w:hAnsi="Times New Roman"/>
          <w:sz w:val="24"/>
          <w:szCs w:val="24"/>
        </w:rPr>
        <w:t xml:space="preserve">. Plaintiff felt the </w:t>
      </w:r>
      <w:proofErr w:type="gramStart"/>
      <w:r w:rsidRPr="004F5401">
        <w:rPr>
          <w:rFonts w:ascii="Times New Roman" w:eastAsia="Times New Roman" w:hAnsi="Times New Roman"/>
          <w:sz w:val="24"/>
          <w:szCs w:val="24"/>
        </w:rPr>
        <w:t>Mayor</w:t>
      </w:r>
      <w:proofErr w:type="gramEnd"/>
      <w:r w:rsidRPr="004F5401">
        <w:rPr>
          <w:rFonts w:ascii="Times New Roman" w:eastAsia="Times New Roman" w:hAnsi="Times New Roman"/>
          <w:sz w:val="24"/>
          <w:szCs w:val="24"/>
        </w:rPr>
        <w:t xml:space="preserve"> treated him disrespectfully and caused him to suffer public humiliation.</w:t>
      </w:r>
      <w:r>
        <w:rPr>
          <w:rFonts w:ascii="Times New Roman" w:eastAsia="Times New Roman" w:hAnsi="Times New Roman"/>
          <w:sz w:val="24"/>
          <w:szCs w:val="24"/>
        </w:rPr>
        <w:t xml:space="preserve"> </w:t>
      </w:r>
      <w:r w:rsidRPr="004F5401">
        <w:rPr>
          <w:rFonts w:ascii="Times New Roman" w:eastAsia="Times New Roman" w:hAnsi="Times New Roman"/>
          <w:sz w:val="24"/>
          <w:szCs w:val="24"/>
        </w:rPr>
        <w:t xml:space="preserve"> In June of 2019, Plaintiff created </w:t>
      </w:r>
      <w:proofErr w:type="gramStart"/>
      <w:r w:rsidRPr="004F5401">
        <w:rPr>
          <w:rFonts w:ascii="Times New Roman" w:eastAsia="Times New Roman" w:hAnsi="Times New Roman"/>
          <w:sz w:val="24"/>
          <w:szCs w:val="24"/>
        </w:rPr>
        <w:t>three</w:t>
      </w:r>
      <w:r>
        <w:rPr>
          <w:rFonts w:ascii="Times New Roman" w:eastAsia="Times New Roman" w:hAnsi="Times New Roman"/>
          <w:sz w:val="24"/>
          <w:szCs w:val="24"/>
        </w:rPr>
        <w:t xml:space="preserve"> </w:t>
      </w:r>
      <w:r w:rsidRPr="004F5401">
        <w:rPr>
          <w:rFonts w:ascii="Times New Roman" w:eastAsia="Times New Roman" w:hAnsi="Times New Roman"/>
          <w:sz w:val="24"/>
          <w:szCs w:val="24"/>
        </w:rPr>
        <w:t>yard</w:t>
      </w:r>
      <w:proofErr w:type="gramEnd"/>
      <w:r w:rsidRPr="004F5401">
        <w:rPr>
          <w:rFonts w:ascii="Times New Roman" w:eastAsia="Times New Roman" w:hAnsi="Times New Roman"/>
          <w:sz w:val="24"/>
          <w:szCs w:val="24"/>
        </w:rPr>
        <w:t xml:space="preserve"> signs - one was placed in his yard and the others in his two friends' yards. The signs </w:t>
      </w:r>
      <w:proofErr w:type="gramStart"/>
      <w:r w:rsidRPr="004F5401">
        <w:rPr>
          <w:rFonts w:ascii="Times New Roman" w:eastAsia="Times New Roman" w:hAnsi="Times New Roman"/>
          <w:sz w:val="24"/>
          <w:szCs w:val="24"/>
        </w:rPr>
        <w:t xml:space="preserve">read: </w:t>
      </w:r>
      <w:r>
        <w:rPr>
          <w:rFonts w:ascii="Times New Roman" w:eastAsia="Times New Roman" w:hAnsi="Times New Roman"/>
          <w:sz w:val="24"/>
          <w:szCs w:val="24"/>
        </w:rPr>
        <w:t>‘</w:t>
      </w:r>
      <w:proofErr w:type="gramEnd"/>
      <w:r w:rsidRPr="004F5401">
        <w:rPr>
          <w:rFonts w:ascii="Times New Roman" w:eastAsia="Times New Roman" w:hAnsi="Times New Roman"/>
          <w:sz w:val="24"/>
          <w:szCs w:val="24"/>
        </w:rPr>
        <w:t>VETERANS AND FIRE FIGHTERS AGAINST NO HONOR MAYOR GRAVEN.</w:t>
      </w:r>
      <w:r>
        <w:rPr>
          <w:rFonts w:ascii="Times New Roman" w:eastAsia="Times New Roman" w:hAnsi="Times New Roman"/>
          <w:sz w:val="24"/>
          <w:szCs w:val="24"/>
        </w:rPr>
        <w:t xml:space="preserve">’ *** </w:t>
      </w:r>
      <w:r w:rsidRPr="004F5401">
        <w:rPr>
          <w:rFonts w:ascii="Times New Roman" w:eastAsia="Times New Roman" w:hAnsi="Times New Roman"/>
          <w:sz w:val="24"/>
          <w:szCs w:val="24"/>
        </w:rPr>
        <w:t xml:space="preserve">According to the Complaint, </w:t>
      </w:r>
      <w:proofErr w:type="gramStart"/>
      <w:r w:rsidRPr="004F5401">
        <w:rPr>
          <w:rFonts w:ascii="Times New Roman" w:eastAsia="Times New Roman" w:hAnsi="Times New Roman"/>
          <w:sz w:val="24"/>
          <w:szCs w:val="24"/>
        </w:rPr>
        <w:t>in an effort to</w:t>
      </w:r>
      <w:proofErr w:type="gramEnd"/>
      <w:r w:rsidRPr="004F5401">
        <w:rPr>
          <w:rFonts w:ascii="Times New Roman" w:eastAsia="Times New Roman" w:hAnsi="Times New Roman"/>
          <w:sz w:val="24"/>
          <w:szCs w:val="24"/>
        </w:rPr>
        <w:t xml:space="preserve"> punish Plaintiff and to force him to remove</w:t>
      </w:r>
      <w:r>
        <w:rPr>
          <w:rFonts w:ascii="Times New Roman" w:eastAsia="Times New Roman" w:hAnsi="Times New Roman"/>
          <w:sz w:val="24"/>
          <w:szCs w:val="24"/>
        </w:rPr>
        <w:t xml:space="preserve"> </w:t>
      </w:r>
      <w:r w:rsidRPr="004F5401">
        <w:rPr>
          <w:rFonts w:ascii="Times New Roman" w:eastAsia="Times New Roman" w:hAnsi="Times New Roman"/>
          <w:sz w:val="24"/>
          <w:szCs w:val="24"/>
        </w:rPr>
        <w:t>the signs, Defendant Graven</w:t>
      </w:r>
      <w:r>
        <w:rPr>
          <w:rFonts w:ascii="Times New Roman" w:eastAsia="Times New Roman" w:hAnsi="Times New Roman"/>
          <w:sz w:val="24"/>
          <w:szCs w:val="24"/>
        </w:rPr>
        <w:t xml:space="preserve"> … </w:t>
      </w:r>
      <w:r w:rsidRPr="004F5401">
        <w:rPr>
          <w:rFonts w:ascii="Times New Roman" w:eastAsia="Times New Roman" w:hAnsi="Times New Roman"/>
          <w:sz w:val="24"/>
          <w:szCs w:val="24"/>
        </w:rPr>
        <w:t>contacted the Mayor of the City of Rocky River, the Fire Chief for the City of Rocky River, and Plaintiff's union president on or about June 29, 2019.</w:t>
      </w:r>
      <w:r>
        <w:rPr>
          <w:rFonts w:ascii="Times New Roman" w:eastAsia="Times New Roman" w:hAnsi="Times New Roman"/>
          <w:sz w:val="24"/>
          <w:szCs w:val="24"/>
        </w:rPr>
        <w:t xml:space="preserve"> *** </w:t>
      </w:r>
      <w:r w:rsidRPr="00897312">
        <w:rPr>
          <w:rFonts w:ascii="Times New Roman" w:hAnsi="Times New Roman"/>
          <w:sz w:val="24"/>
          <w:szCs w:val="24"/>
        </w:rPr>
        <w:t>Throughout the Complaint, Plaintiff alleges that Graven acted in his official capacity and/or under color of state law</w:t>
      </w:r>
      <w:r>
        <w:rPr>
          <w:rFonts w:ascii="Times New Roman" w:hAnsi="Times New Roman"/>
          <w:sz w:val="24"/>
          <w:szCs w:val="24"/>
        </w:rPr>
        <w:t>…</w:t>
      </w:r>
      <w:r w:rsidRPr="00897312">
        <w:rPr>
          <w:rFonts w:ascii="Times New Roman" w:hAnsi="Times New Roman"/>
          <w:sz w:val="24"/>
          <w:szCs w:val="24"/>
        </w:rPr>
        <w:t xml:space="preserve">. A mayor is a "person" who is constitutionally subject to liability under § 1983. </w:t>
      </w:r>
      <w:r w:rsidRPr="00897312">
        <w:rPr>
          <w:rFonts w:ascii="Times New Roman" w:hAnsi="Times New Roman"/>
          <w:i/>
          <w:iCs/>
          <w:sz w:val="24"/>
          <w:szCs w:val="24"/>
        </w:rPr>
        <w:t>Monell v</w:t>
      </w:r>
      <w:r w:rsidRPr="00897312">
        <w:rPr>
          <w:rFonts w:ascii="Times New Roman" w:hAnsi="Times New Roman"/>
          <w:sz w:val="24"/>
          <w:szCs w:val="24"/>
        </w:rPr>
        <w:t xml:space="preserve">. </w:t>
      </w:r>
      <w:r w:rsidRPr="00897312">
        <w:rPr>
          <w:rFonts w:ascii="Times New Roman" w:hAnsi="Times New Roman"/>
          <w:i/>
          <w:iCs/>
          <w:sz w:val="24"/>
          <w:szCs w:val="24"/>
        </w:rPr>
        <w:t>Department of Social Services</w:t>
      </w:r>
      <w:r w:rsidRPr="00897312">
        <w:rPr>
          <w:rFonts w:ascii="Times New Roman" w:hAnsi="Times New Roman"/>
          <w:sz w:val="24"/>
          <w:szCs w:val="24"/>
        </w:rPr>
        <w:t>, 436 U.S. 658 (1978).</w:t>
      </w:r>
      <w:r>
        <w:rPr>
          <w:rFonts w:ascii="Times New Roman" w:hAnsi="Times New Roman"/>
          <w:sz w:val="24"/>
          <w:szCs w:val="24"/>
        </w:rPr>
        <w:t xml:space="preserve"> *** T</w:t>
      </w:r>
      <w:r w:rsidRPr="00897312">
        <w:rPr>
          <w:rFonts w:ascii="Times New Roman" w:hAnsi="Times New Roman"/>
          <w:sz w:val="24"/>
          <w:szCs w:val="24"/>
        </w:rPr>
        <w:t>he Court concludes that, without some factual elucidation, it cannot find that Defendant Graven is entitled to qualified immunity.</w:t>
      </w:r>
      <w:r>
        <w:rPr>
          <w:rFonts w:ascii="Times New Roman" w:hAnsi="Times New Roman"/>
          <w:sz w:val="24"/>
          <w:szCs w:val="24"/>
        </w:rPr>
        <w:t xml:space="preserve">” </w:t>
      </w:r>
      <w:hyperlink r:id="rId1296" w:history="1">
        <w:r w:rsidRPr="0037669D">
          <w:rPr>
            <w:rStyle w:val="Hyperlink"/>
            <w:rFonts w:ascii="Times New Roman" w:hAnsi="Times New Roman"/>
            <w:sz w:val="24"/>
            <w:szCs w:val="24"/>
          </w:rPr>
          <w:t>https://public.fastcase.com/Wl%2B2t%2BeVuI35%2FN70vAMFZp5steAbFsjz8D5zs28wLVD2J2xhMYzUEH8PyP%2BVbQO%2B</w:t>
        </w:r>
      </w:hyperlink>
    </w:p>
    <w:p w14:paraId="6F2BF62F" w14:textId="77777777" w:rsidR="007105B3" w:rsidRDefault="007105B3" w:rsidP="007105B3">
      <w:pPr>
        <w:pStyle w:val="NoSpacing"/>
        <w:rPr>
          <w:rFonts w:ascii="Times New Roman" w:hAnsi="Times New Roman"/>
          <w:b/>
          <w:bCs/>
          <w:sz w:val="24"/>
          <w:szCs w:val="24"/>
        </w:rPr>
      </w:pPr>
    </w:p>
    <w:p w14:paraId="221CF47D" w14:textId="54FFAA0F" w:rsidR="007105B3" w:rsidRDefault="007105B3" w:rsidP="007105B3">
      <w:pPr>
        <w:pStyle w:val="NoSpacing"/>
        <w:rPr>
          <w:rFonts w:ascii="Times New Roman" w:hAnsi="Times New Roman"/>
          <w:b/>
          <w:bCs/>
          <w:sz w:val="24"/>
          <w:szCs w:val="24"/>
        </w:rPr>
      </w:pPr>
      <w:r w:rsidRPr="00C254E9">
        <w:rPr>
          <w:rFonts w:ascii="Times New Roman" w:hAnsi="Times New Roman"/>
          <w:b/>
          <w:bCs/>
          <w:sz w:val="24"/>
          <w:szCs w:val="24"/>
        </w:rPr>
        <w:t>Legal Lessons Learned:</w:t>
      </w:r>
      <w:r>
        <w:rPr>
          <w:rFonts w:ascii="Times New Roman" w:hAnsi="Times New Roman"/>
          <w:b/>
          <w:bCs/>
          <w:sz w:val="24"/>
          <w:szCs w:val="24"/>
        </w:rPr>
        <w:t xml:space="preserve"> Firefighters enjoy First Amendment rights to post yard signs involving personal matters; only limited rights concerning fire department matters.  </w:t>
      </w:r>
    </w:p>
    <w:p w14:paraId="4BDC1EE0" w14:textId="77777777" w:rsidR="007105B3" w:rsidRDefault="007105B3" w:rsidP="007105B3">
      <w:pPr>
        <w:pStyle w:val="NoSpacing"/>
        <w:rPr>
          <w:rFonts w:ascii="Times New Roman" w:hAnsi="Times New Roman"/>
          <w:b/>
          <w:bCs/>
          <w:sz w:val="24"/>
          <w:szCs w:val="24"/>
        </w:rPr>
      </w:pPr>
    </w:p>
    <w:p w14:paraId="56994B72" w14:textId="77777777" w:rsidR="007105B3" w:rsidRPr="00F65042" w:rsidRDefault="007105B3" w:rsidP="007105B3">
      <w:pPr>
        <w:pStyle w:val="NoSpacing"/>
        <w:ind w:left="720"/>
        <w:rPr>
          <w:rFonts w:ascii="Times New Roman" w:hAnsi="Times New Roman"/>
          <w:b/>
          <w:bCs/>
          <w:sz w:val="24"/>
          <w:szCs w:val="24"/>
        </w:rPr>
      </w:pPr>
      <w:r w:rsidRPr="00572796">
        <w:rPr>
          <w:rFonts w:ascii="Times New Roman" w:hAnsi="Times New Roman"/>
          <w:sz w:val="24"/>
          <w:szCs w:val="24"/>
        </w:rPr>
        <w:t xml:space="preserve">Note: City of Olmstead Falls was dismissed from </w:t>
      </w:r>
      <w:r>
        <w:rPr>
          <w:rFonts w:ascii="Times New Roman" w:hAnsi="Times New Roman"/>
          <w:sz w:val="24"/>
          <w:szCs w:val="24"/>
        </w:rPr>
        <w:t xml:space="preserve">lawsuit since this case did not involve any City policy or ordinances, based on the </w:t>
      </w:r>
      <w:r w:rsidRPr="00572796">
        <w:rPr>
          <w:rFonts w:ascii="Times New Roman" w:hAnsi="Times New Roman"/>
          <w:sz w:val="24"/>
          <w:szCs w:val="24"/>
        </w:rPr>
        <w:t xml:space="preserve">U.S. Supreme Court decision in </w:t>
      </w:r>
      <w:r w:rsidRPr="00F65042">
        <w:rPr>
          <w:rStyle w:val="Strong"/>
          <w:rFonts w:ascii="Times New Roman" w:hAnsi="Times New Roman"/>
          <w:b w:val="0"/>
          <w:bCs w:val="0"/>
          <w:sz w:val="24"/>
          <w:szCs w:val="24"/>
          <w:u w:val="single"/>
        </w:rPr>
        <w:t xml:space="preserve">Monell v. Department of Soc. </w:t>
      </w:r>
      <w:proofErr w:type="spellStart"/>
      <w:r w:rsidRPr="00F65042">
        <w:rPr>
          <w:rStyle w:val="Strong"/>
          <w:rFonts w:ascii="Times New Roman" w:hAnsi="Times New Roman"/>
          <w:b w:val="0"/>
          <w:bCs w:val="0"/>
          <w:sz w:val="24"/>
          <w:szCs w:val="24"/>
          <w:u w:val="single"/>
        </w:rPr>
        <w:t>Svcs</w:t>
      </w:r>
      <w:proofErr w:type="spellEnd"/>
      <w:r w:rsidRPr="00F65042">
        <w:rPr>
          <w:rStyle w:val="Strong"/>
          <w:rFonts w:ascii="Times New Roman" w:hAnsi="Times New Roman"/>
          <w:b w:val="0"/>
          <w:bCs w:val="0"/>
          <w:sz w:val="24"/>
          <w:szCs w:val="24"/>
        </w:rPr>
        <w:t xml:space="preserve">., 436 U.S. 658 (1978), where the New York City Board of Education forced pregnant teachers to take medical leave before such leave was required for medical reasons.  The U.S. Supreme Court held that NYC can be sued for damages for their unconstitutional policy, which the city wisely dropped. </w:t>
      </w:r>
      <w:hyperlink r:id="rId1297" w:history="1">
        <w:r w:rsidRPr="00F65042">
          <w:rPr>
            <w:rStyle w:val="Hyperlink"/>
            <w:rFonts w:ascii="Times New Roman" w:hAnsi="Times New Roman"/>
            <w:b/>
            <w:bCs/>
            <w:sz w:val="24"/>
            <w:szCs w:val="24"/>
          </w:rPr>
          <w:t>https://supreme.justia.com/cases/federal/us/436/658/</w:t>
        </w:r>
      </w:hyperlink>
      <w:r w:rsidRPr="00F65042">
        <w:rPr>
          <w:rStyle w:val="Strong"/>
          <w:rFonts w:ascii="Times New Roman" w:hAnsi="Times New Roman"/>
          <w:b w:val="0"/>
          <w:bCs w:val="0"/>
          <w:sz w:val="24"/>
          <w:szCs w:val="24"/>
        </w:rPr>
        <w:t xml:space="preserve"> </w:t>
      </w:r>
      <w:r w:rsidRPr="00F65042">
        <w:rPr>
          <w:rFonts w:ascii="Times New Roman" w:hAnsi="Times New Roman"/>
          <w:b/>
          <w:bCs/>
          <w:sz w:val="24"/>
          <w:szCs w:val="24"/>
        </w:rPr>
        <w:t xml:space="preserve">  </w:t>
      </w:r>
    </w:p>
    <w:p w14:paraId="756E88BB" w14:textId="2C8073E8" w:rsidR="007105B3" w:rsidRDefault="007105B3" w:rsidP="007105B3">
      <w:pPr>
        <w:rPr>
          <w:rStyle w:val="Hyperlink"/>
          <w:rFonts w:ascii="Times New Roman" w:hAnsi="Times New Roman"/>
          <w:sz w:val="24"/>
          <w:szCs w:val="24"/>
        </w:rPr>
      </w:pPr>
    </w:p>
    <w:p w14:paraId="56EB5C6D" w14:textId="77777777" w:rsidR="007105B3" w:rsidRDefault="007105B3" w:rsidP="007105B3">
      <w:pPr>
        <w:rPr>
          <w:rFonts w:ascii="Arial Black" w:hAnsi="Arial Black"/>
          <w:b/>
          <w:sz w:val="24"/>
          <w:szCs w:val="24"/>
        </w:rPr>
      </w:pPr>
    </w:p>
    <w:p w14:paraId="41FE17E2" w14:textId="3F50D94E" w:rsidR="006744D3" w:rsidRDefault="006744D3" w:rsidP="00EF1133">
      <w:pPr>
        <w:rPr>
          <w:rFonts w:ascii="Arial Black" w:hAnsi="Arial Black"/>
          <w:b/>
          <w:sz w:val="24"/>
          <w:szCs w:val="24"/>
        </w:rPr>
      </w:pPr>
      <w:r>
        <w:rPr>
          <w:rFonts w:ascii="Arial Black" w:hAnsi="Arial Black"/>
          <w:b/>
          <w:sz w:val="24"/>
          <w:szCs w:val="24"/>
        </w:rPr>
        <w:t>6-45</w:t>
      </w:r>
    </w:p>
    <w:p w14:paraId="404F3775" w14:textId="77777777" w:rsidR="006744D3" w:rsidRPr="00575185" w:rsidRDefault="006744D3" w:rsidP="006744D3">
      <w:pPr>
        <w:spacing w:after="0" w:line="240" w:lineRule="auto"/>
        <w:jc w:val="both"/>
        <w:rPr>
          <w:rFonts w:ascii="Arial Black" w:eastAsia="Times New Roman" w:hAnsi="Arial Black"/>
          <w:b/>
          <w:bCs/>
          <w:sz w:val="28"/>
          <w:szCs w:val="28"/>
        </w:rPr>
      </w:pPr>
      <w:r w:rsidRPr="00575185">
        <w:rPr>
          <w:rFonts w:ascii="Arial Black" w:eastAsia="Times New Roman" w:hAnsi="Arial Black"/>
          <w:b/>
          <w:bCs/>
          <w:sz w:val="28"/>
          <w:szCs w:val="28"/>
        </w:rPr>
        <w:t xml:space="preserve">MD:  FF </w:t>
      </w:r>
      <w:r>
        <w:rPr>
          <w:rFonts w:ascii="Arial Black" w:eastAsia="Times New Roman" w:hAnsi="Arial Black"/>
          <w:b/>
          <w:bCs/>
          <w:sz w:val="28"/>
          <w:szCs w:val="28"/>
        </w:rPr>
        <w:t xml:space="preserve">WITH </w:t>
      </w:r>
      <w:r w:rsidRPr="00575185">
        <w:rPr>
          <w:rFonts w:ascii="Arial Black" w:eastAsia="Times New Roman" w:hAnsi="Arial Black"/>
          <w:b/>
          <w:bCs/>
          <w:sz w:val="28"/>
          <w:szCs w:val="28"/>
        </w:rPr>
        <w:t>HERNIA</w:t>
      </w:r>
      <w:r>
        <w:rPr>
          <w:rFonts w:ascii="Arial Black" w:eastAsia="Times New Roman" w:hAnsi="Arial Black"/>
          <w:b/>
          <w:bCs/>
          <w:sz w:val="28"/>
          <w:szCs w:val="28"/>
        </w:rPr>
        <w:t xml:space="preserve"> – DENIED WORKERS COMP – IN MARYLAND JUST “SPRAIN” – NOT OCCPATIONAL DISEASE UNLESS CAUSED BY “ACCIDENTAL PERSONAL INJURY” </w:t>
      </w:r>
    </w:p>
    <w:p w14:paraId="3A0F5194" w14:textId="77777777" w:rsidR="006744D3" w:rsidRPr="00025F21" w:rsidRDefault="006744D3" w:rsidP="006744D3">
      <w:pPr>
        <w:spacing w:after="0" w:line="240" w:lineRule="auto"/>
        <w:ind w:left="720"/>
        <w:jc w:val="both"/>
        <w:rPr>
          <w:rFonts w:ascii="Times New Roman" w:eastAsia="Times New Roman" w:hAnsi="Times New Roman"/>
          <w:sz w:val="27"/>
          <w:szCs w:val="27"/>
        </w:rPr>
      </w:pPr>
    </w:p>
    <w:p w14:paraId="78B97EF1" w14:textId="77777777" w:rsidR="006744D3" w:rsidRDefault="006744D3" w:rsidP="006744D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28, 2020, in </w:t>
      </w:r>
      <w:r w:rsidRPr="00575185">
        <w:rPr>
          <w:rFonts w:ascii="Times New Roman" w:eastAsia="Times New Roman" w:hAnsi="Times New Roman"/>
          <w:sz w:val="24"/>
          <w:szCs w:val="24"/>
          <w:u w:val="single"/>
        </w:rPr>
        <w:t>Justin Greer v. Montgomery County, Maryland</w:t>
      </w:r>
      <w:r>
        <w:rPr>
          <w:rFonts w:ascii="Times New Roman" w:eastAsia="Times New Roman" w:hAnsi="Times New Roman"/>
          <w:sz w:val="24"/>
          <w:szCs w:val="24"/>
        </w:rPr>
        <w:t xml:space="preserve">, the Court of Special Appeals of Maryland held (3 to 0) that the Workers Compensation Commission, and the trial court properly denied the firefighter’s workers comp claim for inguinal (groin area) hernia. </w:t>
      </w:r>
      <w:hyperlink r:id="rId1298" w:history="1">
        <w:r w:rsidRPr="003F3822">
          <w:rPr>
            <w:rStyle w:val="Hyperlink"/>
            <w:sz w:val="24"/>
            <w:szCs w:val="24"/>
          </w:rPr>
          <w:t>https://mdcourts.gov/data/opinions/cosa/2020/3381s18.pdf</w:t>
        </w:r>
      </w:hyperlink>
      <w:r>
        <w:rPr>
          <w:rFonts w:ascii="Times New Roman" w:eastAsia="Times New Roman" w:hAnsi="Times New Roman"/>
          <w:sz w:val="24"/>
          <w:szCs w:val="24"/>
        </w:rPr>
        <w:t xml:space="preserve"> </w:t>
      </w:r>
    </w:p>
    <w:p w14:paraId="74ED129D" w14:textId="77777777" w:rsidR="006744D3" w:rsidRDefault="006744D3" w:rsidP="006744D3">
      <w:pPr>
        <w:spacing w:after="0" w:line="240" w:lineRule="auto"/>
        <w:jc w:val="both"/>
        <w:rPr>
          <w:rFonts w:ascii="Times New Roman" w:hAnsi="Times New Roman"/>
          <w:b/>
          <w:bCs/>
          <w:sz w:val="24"/>
          <w:szCs w:val="24"/>
        </w:rPr>
      </w:pPr>
    </w:p>
    <w:p w14:paraId="493DD709" w14:textId="361C40C2" w:rsidR="006744D3" w:rsidRDefault="006744D3" w:rsidP="006744D3">
      <w:pPr>
        <w:spacing w:after="0" w:line="240" w:lineRule="auto"/>
        <w:jc w:val="both"/>
        <w:rPr>
          <w:rFonts w:ascii="Times New Roman" w:hAnsi="Times New Roman"/>
          <w:b/>
          <w:bCs/>
          <w:sz w:val="24"/>
          <w:szCs w:val="24"/>
        </w:rPr>
      </w:pPr>
      <w:r w:rsidRPr="001759E2">
        <w:rPr>
          <w:rFonts w:ascii="Times New Roman" w:hAnsi="Times New Roman"/>
          <w:b/>
          <w:bCs/>
          <w:sz w:val="24"/>
          <w:szCs w:val="24"/>
        </w:rPr>
        <w:t>Legal Lessons Learned:</w:t>
      </w:r>
      <w:r>
        <w:rPr>
          <w:rFonts w:ascii="Times New Roman" w:hAnsi="Times New Roman"/>
          <w:b/>
          <w:bCs/>
          <w:sz w:val="24"/>
          <w:szCs w:val="24"/>
        </w:rPr>
        <w:t xml:space="preserve"> Courts when reviewing administrative agency decisions will generally give deference to the agency’s interpretation of a statute enforced by that agency.  </w:t>
      </w:r>
    </w:p>
    <w:p w14:paraId="01273A2A" w14:textId="77777777" w:rsidR="006744D3" w:rsidRDefault="006744D3" w:rsidP="00EF1133">
      <w:pPr>
        <w:rPr>
          <w:rFonts w:ascii="Arial Black" w:hAnsi="Arial Black"/>
          <w:b/>
          <w:sz w:val="24"/>
          <w:szCs w:val="24"/>
        </w:rPr>
      </w:pPr>
    </w:p>
    <w:p w14:paraId="7B97B02B" w14:textId="77777777" w:rsidR="006744D3" w:rsidRDefault="006744D3" w:rsidP="00EF1133">
      <w:pPr>
        <w:rPr>
          <w:rFonts w:ascii="Arial Black" w:hAnsi="Arial Black"/>
          <w:b/>
          <w:sz w:val="24"/>
          <w:szCs w:val="24"/>
        </w:rPr>
      </w:pPr>
    </w:p>
    <w:p w14:paraId="0D5E6818" w14:textId="4BE7182F" w:rsidR="004E22C3" w:rsidRDefault="004E22C3" w:rsidP="00EF1133">
      <w:pPr>
        <w:rPr>
          <w:rFonts w:ascii="Arial Black" w:hAnsi="Arial Black"/>
          <w:b/>
          <w:sz w:val="24"/>
          <w:szCs w:val="24"/>
        </w:rPr>
      </w:pPr>
      <w:r>
        <w:rPr>
          <w:rFonts w:ascii="Arial Black" w:hAnsi="Arial Black"/>
          <w:b/>
          <w:sz w:val="24"/>
          <w:szCs w:val="24"/>
        </w:rPr>
        <w:t>6-44</w:t>
      </w:r>
    </w:p>
    <w:p w14:paraId="72871779" w14:textId="77777777" w:rsidR="004E22C3" w:rsidRPr="00970612" w:rsidRDefault="004E22C3" w:rsidP="004E22C3">
      <w:pPr>
        <w:spacing w:before="100" w:beforeAutospacing="1" w:after="100" w:afterAutospacing="1" w:line="240" w:lineRule="auto"/>
        <w:jc w:val="both"/>
        <w:rPr>
          <w:rFonts w:ascii="Arial Black" w:eastAsia="Times New Roman" w:hAnsi="Arial Black"/>
          <w:b/>
          <w:bCs/>
          <w:sz w:val="28"/>
          <w:szCs w:val="28"/>
        </w:rPr>
      </w:pPr>
      <w:r w:rsidRPr="00970612">
        <w:rPr>
          <w:rFonts w:ascii="Arial Black" w:eastAsia="Times New Roman" w:hAnsi="Arial Black"/>
          <w:b/>
          <w:bCs/>
          <w:sz w:val="28"/>
          <w:szCs w:val="28"/>
        </w:rPr>
        <w:t>OR:</w:t>
      </w:r>
      <w:r>
        <w:rPr>
          <w:rFonts w:ascii="Arial Black" w:eastAsia="Times New Roman" w:hAnsi="Arial Black"/>
          <w:b/>
          <w:bCs/>
          <w:sz w:val="28"/>
          <w:szCs w:val="28"/>
        </w:rPr>
        <w:t xml:space="preserve"> WORKERS COMP DENIED – FF WITH NON-HODGKIN’S LYMPHOMA – MEDICAL EXPERT DID NOT ESTABLISH THAT SMOKE EXPOSURE WAS MAJOR CONTRIBUTING CAUSE</w:t>
      </w:r>
    </w:p>
    <w:p w14:paraId="439C6C4D" w14:textId="077BE0DE" w:rsidR="004E22C3" w:rsidRDefault="004E22C3" w:rsidP="004E22C3">
      <w:pPr>
        <w:spacing w:before="100" w:beforeAutospacing="1" w:after="100" w:afterAutospacing="1" w:line="240" w:lineRule="auto"/>
        <w:jc w:val="both"/>
        <w:rPr>
          <w:rFonts w:ascii="Times New Roman" w:hAnsi="Times New Roman"/>
          <w:sz w:val="24"/>
          <w:szCs w:val="24"/>
        </w:rPr>
      </w:pPr>
      <w:r w:rsidRPr="00970612">
        <w:rPr>
          <w:rFonts w:ascii="Times New Roman" w:eastAsia="Times New Roman" w:hAnsi="Times New Roman"/>
          <w:sz w:val="24"/>
          <w:szCs w:val="24"/>
        </w:rPr>
        <w:t xml:space="preserve">On May 21, 2020, </w:t>
      </w:r>
      <w:r w:rsidRPr="00970612">
        <w:rPr>
          <w:rFonts w:ascii="Times New Roman" w:hAnsi="Times New Roman"/>
          <w:sz w:val="24"/>
          <w:szCs w:val="24"/>
          <w:u w:val="single"/>
        </w:rPr>
        <w:t xml:space="preserve">In </w:t>
      </w:r>
      <w:proofErr w:type="gramStart"/>
      <w:r w:rsidRPr="00970612">
        <w:rPr>
          <w:rFonts w:ascii="Times New Roman" w:hAnsi="Times New Roman"/>
          <w:sz w:val="24"/>
          <w:szCs w:val="24"/>
          <w:u w:val="single"/>
        </w:rPr>
        <w:t>The</w:t>
      </w:r>
      <w:proofErr w:type="gramEnd"/>
      <w:r w:rsidRPr="00970612">
        <w:rPr>
          <w:rFonts w:ascii="Times New Roman" w:hAnsi="Times New Roman"/>
          <w:sz w:val="24"/>
          <w:szCs w:val="24"/>
          <w:u w:val="single"/>
        </w:rPr>
        <w:t xml:space="preserve"> Matter </w:t>
      </w:r>
      <w:proofErr w:type="gramStart"/>
      <w:r w:rsidRPr="00970612">
        <w:rPr>
          <w:rFonts w:ascii="Times New Roman" w:hAnsi="Times New Roman"/>
          <w:sz w:val="24"/>
          <w:szCs w:val="24"/>
          <w:u w:val="single"/>
        </w:rPr>
        <w:t>Of</w:t>
      </w:r>
      <w:proofErr w:type="gramEnd"/>
      <w:r w:rsidRPr="00970612">
        <w:rPr>
          <w:rFonts w:ascii="Times New Roman" w:hAnsi="Times New Roman"/>
          <w:sz w:val="24"/>
          <w:szCs w:val="24"/>
          <w:u w:val="single"/>
        </w:rPr>
        <w:t xml:space="preserve"> </w:t>
      </w:r>
      <w:proofErr w:type="gramStart"/>
      <w:r w:rsidRPr="00970612">
        <w:rPr>
          <w:rFonts w:ascii="Times New Roman" w:hAnsi="Times New Roman"/>
          <w:sz w:val="24"/>
          <w:szCs w:val="24"/>
          <w:u w:val="single"/>
        </w:rPr>
        <w:t>The</w:t>
      </w:r>
      <w:proofErr w:type="gramEnd"/>
      <w:r w:rsidRPr="00970612">
        <w:rPr>
          <w:rFonts w:ascii="Times New Roman" w:hAnsi="Times New Roman"/>
          <w:sz w:val="24"/>
          <w:szCs w:val="24"/>
          <w:u w:val="single"/>
        </w:rPr>
        <w:t xml:space="preserve"> Compensation </w:t>
      </w:r>
      <w:proofErr w:type="gramStart"/>
      <w:r w:rsidRPr="00970612">
        <w:rPr>
          <w:rFonts w:ascii="Times New Roman" w:hAnsi="Times New Roman"/>
          <w:sz w:val="24"/>
          <w:szCs w:val="24"/>
          <w:u w:val="single"/>
        </w:rPr>
        <w:t>Of</w:t>
      </w:r>
      <w:proofErr w:type="gramEnd"/>
      <w:r w:rsidRPr="00970612">
        <w:rPr>
          <w:rFonts w:ascii="Times New Roman" w:hAnsi="Times New Roman"/>
          <w:sz w:val="24"/>
          <w:szCs w:val="24"/>
          <w:u w:val="single"/>
        </w:rPr>
        <w:t xml:space="preserve"> Alvin D. Rohrscheib, Claimant</w:t>
      </w:r>
      <w:r>
        <w:rPr>
          <w:b/>
          <w:bCs/>
        </w:rPr>
        <w:t xml:space="preserve">,  </w:t>
      </w:r>
      <w:r w:rsidRPr="00685BD9">
        <w:rPr>
          <w:rFonts w:ascii="Times New Roman" w:eastAsia="Times New Roman" w:hAnsi="Times New Roman"/>
          <w:sz w:val="24"/>
          <w:szCs w:val="24"/>
        </w:rPr>
        <w:t xml:space="preserve">72 </w:t>
      </w:r>
      <w:r w:rsidRPr="002F309C">
        <w:rPr>
          <w:rFonts w:ascii="Times New Roman" w:eastAsia="Times New Roman" w:hAnsi="Times New Roman"/>
          <w:sz w:val="24"/>
          <w:szCs w:val="24"/>
        </w:rPr>
        <w:t>Van Natta 421, WCB Case No. 18-02473</w:t>
      </w:r>
      <w:r>
        <w:rPr>
          <w:rFonts w:ascii="Times New Roman" w:eastAsia="Times New Roman" w:hAnsi="Times New Roman"/>
          <w:sz w:val="24"/>
          <w:szCs w:val="24"/>
        </w:rPr>
        <w:t xml:space="preserve">, </w:t>
      </w:r>
      <w:r>
        <w:rPr>
          <w:b/>
          <w:bCs/>
        </w:rPr>
        <w:t xml:space="preserve"> </w:t>
      </w:r>
      <w:r w:rsidRPr="00970612">
        <w:rPr>
          <w:rFonts w:ascii="Times New Roman" w:hAnsi="Times New Roman"/>
          <w:sz w:val="24"/>
          <w:szCs w:val="24"/>
        </w:rPr>
        <w:t>the Oregon Workers' Compensation Division</w:t>
      </w:r>
      <w:r>
        <w:rPr>
          <w:rFonts w:ascii="Times New Roman" w:hAnsi="Times New Roman"/>
          <w:sz w:val="24"/>
          <w:szCs w:val="24"/>
        </w:rPr>
        <w:t xml:space="preserve">, Reviewing Panel upheld (2 to 0) the Administrative Law Judge </w:t>
      </w:r>
      <w:r w:rsidRPr="00970612">
        <w:rPr>
          <w:rFonts w:ascii="Times New Roman" w:hAnsi="Times New Roman"/>
          <w:sz w:val="24"/>
          <w:szCs w:val="24"/>
        </w:rPr>
        <w:t>order that upheld the self-insured employer's denials of his occupational disease claim for non-Hodgkin's lymphoma</w:t>
      </w:r>
      <w:r>
        <w:rPr>
          <w:rFonts w:ascii="Times New Roman" w:hAnsi="Times New Roman"/>
          <w:sz w:val="24"/>
          <w:szCs w:val="24"/>
        </w:rPr>
        <w:t xml:space="preserve">.  </w:t>
      </w:r>
      <w:hyperlink r:id="rId1299" w:history="1">
        <w:r w:rsidR="006744D3" w:rsidRPr="00E74BA3">
          <w:rPr>
            <w:rStyle w:val="Hyperlink"/>
            <w:rFonts w:ascii="Times New Roman" w:hAnsi="Times New Roman"/>
            <w:sz w:val="24"/>
            <w:szCs w:val="24"/>
          </w:rPr>
          <w:t>https://public.fastcase.com/Wl%2B2t%2BeVuI35%2FN70vAMFZmh5C6Al26quhK4NpqFpqP3dNIvTBMbQP47YmW18oezY</w:t>
        </w:r>
      </w:hyperlink>
      <w:r w:rsidR="006744D3">
        <w:rPr>
          <w:rFonts w:ascii="Times New Roman" w:hAnsi="Times New Roman"/>
          <w:sz w:val="24"/>
          <w:szCs w:val="24"/>
        </w:rPr>
        <w:t xml:space="preserve"> </w:t>
      </w:r>
    </w:p>
    <w:p w14:paraId="088DFF40" w14:textId="77777777" w:rsidR="006744D3" w:rsidRDefault="006744D3" w:rsidP="006744D3">
      <w:pPr>
        <w:spacing w:before="100" w:beforeAutospacing="1" w:after="100" w:afterAutospacing="1" w:line="240" w:lineRule="auto"/>
        <w:rPr>
          <w:rFonts w:ascii="Times New Roman" w:eastAsia="Times New Roman" w:hAnsi="Times New Roman"/>
          <w:b/>
          <w:bCs/>
          <w:sz w:val="24"/>
          <w:szCs w:val="24"/>
        </w:rPr>
      </w:pPr>
      <w:r w:rsidRPr="00970612">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Many states have now enacted statutory presumption laws, including Oregon.  </w:t>
      </w:r>
      <w:hyperlink r:id="rId1300" w:history="1">
        <w:r w:rsidRPr="00E26203">
          <w:rPr>
            <w:rStyle w:val="Hyperlink"/>
            <w:sz w:val="24"/>
            <w:szCs w:val="24"/>
          </w:rPr>
          <w:t>https://www.firstrespondercenter.org/cancer/toolsresources/presumptive-legislation-firefighter-cancer-state/</w:t>
        </w:r>
      </w:hyperlink>
      <w:r>
        <w:rPr>
          <w:rFonts w:ascii="Times New Roman" w:eastAsia="Times New Roman" w:hAnsi="Times New Roman"/>
          <w:b/>
          <w:bCs/>
          <w:sz w:val="24"/>
          <w:szCs w:val="24"/>
        </w:rPr>
        <w:t xml:space="preserve">  </w:t>
      </w:r>
    </w:p>
    <w:p w14:paraId="4A85E050" w14:textId="77777777" w:rsidR="006744D3" w:rsidRDefault="006744D3" w:rsidP="006744D3">
      <w:pPr>
        <w:pStyle w:val="Heading3"/>
        <w:ind w:left="1440"/>
        <w:jc w:val="both"/>
        <w:rPr>
          <w:rFonts w:ascii="Times New Roman" w:hAnsi="Times New Roman" w:cs="Times New Roman"/>
          <w:color w:val="auto"/>
        </w:rPr>
      </w:pPr>
      <w:r w:rsidRPr="002F309C">
        <w:rPr>
          <w:rFonts w:ascii="Times New Roman" w:eastAsia="Times New Roman" w:hAnsi="Times New Roman" w:cs="Times New Roman"/>
          <w:color w:val="auto"/>
        </w:rPr>
        <w:t>Note: See article, Jan. 4, 2010,</w:t>
      </w:r>
      <w:r w:rsidRPr="002F309C">
        <w:rPr>
          <w:rFonts w:ascii="Times New Roman" w:eastAsia="Times New Roman" w:hAnsi="Times New Roman" w:cs="Times New Roman"/>
          <w:b/>
          <w:bCs/>
          <w:color w:val="auto"/>
        </w:rPr>
        <w:t xml:space="preserve"> “</w:t>
      </w:r>
      <w:r w:rsidRPr="002F309C">
        <w:rPr>
          <w:rFonts w:ascii="Times New Roman" w:hAnsi="Times New Roman" w:cs="Times New Roman"/>
          <w:color w:val="auto"/>
        </w:rPr>
        <w:t>Oregon's Expanded Cancer Presumption Law Takes Effect,</w:t>
      </w:r>
      <w:r>
        <w:rPr>
          <w:rFonts w:ascii="Times New Roman" w:hAnsi="Times New Roman" w:cs="Times New Roman"/>
          <w:color w:val="auto"/>
        </w:rPr>
        <w:t xml:space="preserve"> s</w:t>
      </w:r>
      <w:r w:rsidRPr="002F309C">
        <w:rPr>
          <w:rFonts w:ascii="Times New Roman" w:hAnsi="Times New Roman" w:cs="Times New Roman"/>
          <w:color w:val="auto"/>
        </w:rPr>
        <w:t>igned by Gov. Ted Kulongoski last March, the law added 12 types of cancer to existing firefighter presumptions for employment-caused occupational diseases under workers' comp.</w:t>
      </w:r>
      <w:r>
        <w:rPr>
          <w:rFonts w:ascii="Times New Roman" w:hAnsi="Times New Roman" w:cs="Times New Roman"/>
          <w:color w:val="auto"/>
        </w:rPr>
        <w:t>”</w:t>
      </w:r>
      <w:r w:rsidRPr="002F309C">
        <w:t xml:space="preserve"> </w:t>
      </w:r>
      <w:r w:rsidRPr="002F309C">
        <w:rPr>
          <w:rFonts w:ascii="Times New Roman" w:hAnsi="Times New Roman" w:cs="Times New Roman"/>
          <w:color w:val="auto"/>
        </w:rPr>
        <w:t>[including non-Hodgkin's lymphoma]</w:t>
      </w:r>
      <w:r>
        <w:rPr>
          <w:rFonts w:ascii="Times New Roman" w:hAnsi="Times New Roman" w:cs="Times New Roman"/>
          <w:color w:val="auto"/>
        </w:rPr>
        <w:t>.</w:t>
      </w:r>
    </w:p>
    <w:p w14:paraId="0CFB4165" w14:textId="77777777" w:rsidR="006744D3" w:rsidRPr="006744D3" w:rsidRDefault="006744D3" w:rsidP="006744D3">
      <w:pPr>
        <w:pStyle w:val="Heading3"/>
        <w:ind w:left="1440"/>
        <w:jc w:val="both"/>
        <w:rPr>
          <w:rFonts w:ascii="Times New Roman" w:eastAsia="Times New Roman" w:hAnsi="Times New Roman" w:cs="Times New Roman"/>
          <w:b/>
          <w:bCs/>
        </w:rPr>
      </w:pPr>
      <w:hyperlink r:id="rId1301" w:history="1">
        <w:r w:rsidRPr="006744D3">
          <w:rPr>
            <w:rStyle w:val="Hyperlink"/>
            <w:rFonts w:ascii="Times New Roman" w:hAnsi="Times New Roman" w:cs="Times New Roman"/>
          </w:rPr>
          <w:t>https://ohsonline.com/articles/2010/01/04/expanded-cancer-presumption-law.aspx</w:t>
        </w:r>
      </w:hyperlink>
    </w:p>
    <w:p w14:paraId="557487B5" w14:textId="77777777" w:rsidR="004E22C3" w:rsidRDefault="004E22C3" w:rsidP="00EF1133">
      <w:pPr>
        <w:rPr>
          <w:rFonts w:ascii="Arial Black" w:hAnsi="Arial Black"/>
          <w:b/>
          <w:sz w:val="24"/>
          <w:szCs w:val="24"/>
        </w:rPr>
      </w:pPr>
    </w:p>
    <w:p w14:paraId="232FEADC" w14:textId="77777777" w:rsidR="004E22C3" w:rsidRDefault="004E22C3" w:rsidP="00EF1133">
      <w:pPr>
        <w:rPr>
          <w:rFonts w:ascii="Arial Black" w:hAnsi="Arial Black"/>
          <w:b/>
          <w:sz w:val="24"/>
          <w:szCs w:val="24"/>
        </w:rPr>
      </w:pPr>
    </w:p>
    <w:p w14:paraId="5E1B444F" w14:textId="77777777" w:rsidR="00B03268" w:rsidRDefault="00B03268" w:rsidP="00EF1133">
      <w:pPr>
        <w:rPr>
          <w:rFonts w:ascii="Arial Black" w:hAnsi="Arial Black"/>
          <w:b/>
          <w:sz w:val="24"/>
          <w:szCs w:val="24"/>
        </w:rPr>
      </w:pPr>
    </w:p>
    <w:p w14:paraId="5DE15349" w14:textId="77777777" w:rsidR="00B03268" w:rsidRDefault="00B03268" w:rsidP="00EF1133">
      <w:pPr>
        <w:rPr>
          <w:rFonts w:ascii="Arial Black" w:hAnsi="Arial Black"/>
          <w:b/>
          <w:sz w:val="24"/>
          <w:szCs w:val="24"/>
        </w:rPr>
      </w:pPr>
    </w:p>
    <w:p w14:paraId="73C7402E" w14:textId="571864D6" w:rsidR="004E22C3" w:rsidRDefault="004E22C3" w:rsidP="00EF1133">
      <w:pPr>
        <w:rPr>
          <w:rFonts w:ascii="Arial Black" w:hAnsi="Arial Black"/>
          <w:b/>
          <w:sz w:val="24"/>
          <w:szCs w:val="24"/>
        </w:rPr>
      </w:pPr>
      <w:r>
        <w:rPr>
          <w:rFonts w:ascii="Arial Black" w:hAnsi="Arial Black"/>
          <w:b/>
          <w:sz w:val="24"/>
          <w:szCs w:val="24"/>
        </w:rPr>
        <w:t>6-43</w:t>
      </w:r>
    </w:p>
    <w:p w14:paraId="7525322D" w14:textId="77777777" w:rsidR="004E22C3" w:rsidRPr="003A738E" w:rsidRDefault="004E22C3" w:rsidP="004E22C3">
      <w:pPr>
        <w:spacing w:before="100" w:beforeAutospacing="1" w:after="100" w:afterAutospacing="1" w:line="240" w:lineRule="auto"/>
        <w:jc w:val="both"/>
        <w:rPr>
          <w:rFonts w:ascii="Arial Black" w:eastAsia="Times New Roman" w:hAnsi="Arial Black"/>
          <w:b/>
          <w:bCs/>
          <w:sz w:val="28"/>
          <w:szCs w:val="28"/>
        </w:rPr>
      </w:pPr>
      <w:r w:rsidRPr="003A738E">
        <w:rPr>
          <w:rFonts w:ascii="Arial Black" w:eastAsia="Times New Roman" w:hAnsi="Arial Black"/>
          <w:b/>
          <w:bCs/>
          <w:sz w:val="28"/>
          <w:szCs w:val="28"/>
        </w:rPr>
        <w:t xml:space="preserve">LA: </w:t>
      </w:r>
      <w:r>
        <w:rPr>
          <w:rFonts w:ascii="Arial Black" w:eastAsia="Times New Roman" w:hAnsi="Arial Black"/>
          <w:b/>
          <w:bCs/>
          <w:sz w:val="28"/>
          <w:szCs w:val="28"/>
        </w:rPr>
        <w:t>HEARING LOSS – WORKERS COMP DENIED – UNDER LOUISIANA LAW ONLY IF LOSS FROM A SINGLE TRAUMATIC ACCIDENT</w:t>
      </w:r>
    </w:p>
    <w:p w14:paraId="2F02E46F" w14:textId="77777777" w:rsidR="004E22C3" w:rsidRPr="00685BD9" w:rsidRDefault="004E22C3" w:rsidP="004E22C3">
      <w:pPr>
        <w:pStyle w:val="NoSpacing"/>
        <w:rPr>
          <w:rFonts w:ascii="Times New Roman" w:hAnsi="Times New Roman"/>
          <w:sz w:val="24"/>
          <w:szCs w:val="24"/>
        </w:rPr>
      </w:pPr>
      <w:r w:rsidRPr="00685BD9">
        <w:rPr>
          <w:rFonts w:ascii="Times New Roman" w:hAnsi="Times New Roman"/>
          <w:sz w:val="24"/>
          <w:szCs w:val="24"/>
        </w:rPr>
        <w:t xml:space="preserve">On May 20, 2020, in </w:t>
      </w:r>
      <w:r w:rsidRPr="00685BD9">
        <w:rPr>
          <w:rFonts w:ascii="Times New Roman" w:hAnsi="Times New Roman"/>
          <w:sz w:val="24"/>
          <w:szCs w:val="24"/>
          <w:u w:val="single"/>
        </w:rPr>
        <w:t>James L. Hartman, Jr. v. St. Bernard Parish Fire Department, et al</w:t>
      </w:r>
      <w:r w:rsidRPr="00685BD9">
        <w:rPr>
          <w:rFonts w:ascii="Times New Roman" w:hAnsi="Times New Roman"/>
          <w:sz w:val="24"/>
          <w:szCs w:val="24"/>
        </w:rPr>
        <w:t>., the Court of Appeals, Fourth Circuit, State of Louisiana, affirmed the Office of Workers’ Compensation judge, deny benefits to District Chief Hartman.</w:t>
      </w:r>
    </w:p>
    <w:p w14:paraId="1D023916" w14:textId="77777777" w:rsidR="004E22C3" w:rsidRPr="003A738E" w:rsidRDefault="004E22C3" w:rsidP="004E22C3">
      <w:pPr>
        <w:pStyle w:val="NoSpacing"/>
      </w:pPr>
      <w:hyperlink r:id="rId1302" w:history="1">
        <w:r w:rsidRPr="00685BD9">
          <w:rPr>
            <w:rStyle w:val="Hyperlink"/>
            <w:rFonts w:ascii="Times New Roman" w:eastAsia="Times New Roman" w:hAnsi="Times New Roman"/>
            <w:sz w:val="24"/>
            <w:szCs w:val="24"/>
          </w:rPr>
          <w:t>http://41af3k34gprx4f6bg12df75i.wpengine.netdna-cdn.com/wp-content/uploads/sites/19/2020/05/Hartman-v.-St.-Bernard-Parish-Fire-Dep_t_-2020-La.-App.pdf</w:t>
        </w:r>
      </w:hyperlink>
      <w:r>
        <w:t xml:space="preserve"> </w:t>
      </w:r>
    </w:p>
    <w:p w14:paraId="4E386935" w14:textId="77777777" w:rsidR="004E22C3" w:rsidRPr="00EF0D90" w:rsidRDefault="004E22C3" w:rsidP="004E22C3">
      <w:pPr>
        <w:spacing w:before="100" w:beforeAutospacing="1" w:after="100" w:afterAutospacing="1" w:line="240" w:lineRule="auto"/>
        <w:jc w:val="both"/>
        <w:rPr>
          <w:rFonts w:ascii="Times New Roman" w:hAnsi="Times New Roman"/>
          <w:b/>
          <w:bCs/>
          <w:sz w:val="24"/>
          <w:szCs w:val="24"/>
        </w:rPr>
      </w:pPr>
      <w:r w:rsidRPr="00EF0D90">
        <w:rPr>
          <w:rFonts w:ascii="Times New Roman" w:hAnsi="Times New Roman"/>
          <w:b/>
          <w:bCs/>
          <w:sz w:val="24"/>
          <w:szCs w:val="24"/>
        </w:rPr>
        <w:t>Legal Lessons Learned: Where hearing protection when on apparatus using siren, or near equipment with load noises.</w:t>
      </w:r>
    </w:p>
    <w:p w14:paraId="2737F3A7" w14:textId="77777777" w:rsidR="004E22C3" w:rsidRDefault="004E22C3" w:rsidP="00EF1133">
      <w:pPr>
        <w:rPr>
          <w:rFonts w:ascii="Arial Black" w:hAnsi="Arial Black"/>
          <w:b/>
          <w:sz w:val="24"/>
          <w:szCs w:val="24"/>
        </w:rPr>
      </w:pPr>
    </w:p>
    <w:p w14:paraId="7B1EB2ED" w14:textId="77777777" w:rsidR="004E22C3" w:rsidRDefault="004E22C3" w:rsidP="00EF1133">
      <w:pPr>
        <w:rPr>
          <w:rFonts w:ascii="Arial Black" w:hAnsi="Arial Black"/>
          <w:b/>
          <w:sz w:val="24"/>
          <w:szCs w:val="24"/>
        </w:rPr>
      </w:pPr>
    </w:p>
    <w:p w14:paraId="2490850D" w14:textId="288B17D9" w:rsidR="004E22C3" w:rsidRDefault="004E22C3" w:rsidP="00EF1133">
      <w:pPr>
        <w:rPr>
          <w:rFonts w:ascii="Arial Black" w:hAnsi="Arial Black"/>
          <w:b/>
          <w:sz w:val="24"/>
          <w:szCs w:val="24"/>
        </w:rPr>
      </w:pPr>
      <w:r>
        <w:rPr>
          <w:rFonts w:ascii="Arial Black" w:hAnsi="Arial Black"/>
          <w:b/>
          <w:sz w:val="24"/>
          <w:szCs w:val="24"/>
        </w:rPr>
        <w:t>6-42</w:t>
      </w:r>
    </w:p>
    <w:p w14:paraId="3F9CEED3" w14:textId="77777777" w:rsidR="004E22C3" w:rsidRPr="00450CB3" w:rsidRDefault="004E22C3" w:rsidP="004E22C3">
      <w:pPr>
        <w:spacing w:before="100" w:beforeAutospacing="1" w:after="100" w:afterAutospacing="1" w:line="240" w:lineRule="auto"/>
        <w:rPr>
          <w:rFonts w:ascii="Arial Black" w:hAnsi="Arial Black" w:cs="Arial"/>
          <w:sz w:val="28"/>
          <w:szCs w:val="28"/>
        </w:rPr>
      </w:pPr>
      <w:r w:rsidRPr="00450CB3">
        <w:rPr>
          <w:rFonts w:ascii="Arial Black" w:hAnsi="Arial Black" w:cs="Arial"/>
          <w:sz w:val="28"/>
          <w:szCs w:val="28"/>
        </w:rPr>
        <w:t xml:space="preserve">PA: </w:t>
      </w:r>
      <w:r>
        <w:rPr>
          <w:rFonts w:ascii="Arial Black" w:hAnsi="Arial Black" w:cs="Arial"/>
          <w:sz w:val="28"/>
          <w:szCs w:val="28"/>
        </w:rPr>
        <w:t xml:space="preserve">KIDNEY CANCER – FF RETIRED 2006, KIDNEY CANCER / SURGERY IN 2015 – PA 2011 STATUTORY PRESUMPTION LAW ALLOWS COVERAGE BACK TO 600 WEEKS  </w:t>
      </w:r>
    </w:p>
    <w:p w14:paraId="1BB9BD39" w14:textId="0282FA8F" w:rsidR="004E22C3" w:rsidRDefault="004E22C3" w:rsidP="004E22C3">
      <w:pPr>
        <w:rPr>
          <w:rFonts w:ascii="Arial Black" w:hAnsi="Arial Black"/>
          <w:b/>
          <w:sz w:val="24"/>
          <w:szCs w:val="24"/>
        </w:rPr>
      </w:pPr>
      <w:r w:rsidRPr="00450CB3">
        <w:rPr>
          <w:rFonts w:ascii="Times New Roman" w:hAnsi="Times New Roman"/>
          <w:sz w:val="24"/>
          <w:szCs w:val="24"/>
        </w:rPr>
        <w:t xml:space="preserve">On May 6, 2020, in </w:t>
      </w:r>
      <w:r w:rsidRPr="00450CB3">
        <w:rPr>
          <w:rFonts w:ascii="Times New Roman" w:hAnsi="Times New Roman"/>
          <w:sz w:val="24"/>
          <w:szCs w:val="24"/>
          <w:u w:val="single"/>
        </w:rPr>
        <w:t>City of Johnstown v. Workers’ Compensation Appeals Board</w:t>
      </w:r>
      <w:r>
        <w:rPr>
          <w:rFonts w:ascii="Times New Roman" w:hAnsi="Times New Roman"/>
          <w:sz w:val="24"/>
          <w:szCs w:val="24"/>
        </w:rPr>
        <w:t xml:space="preserve"> (Michael Sevanick), the Commonwealth Court of Pennsylvania held (3 to 0) in unreported decision that </w:t>
      </w:r>
      <w:r w:rsidRPr="00BD099B">
        <w:rPr>
          <w:rFonts w:ascii="Times New Roman" w:hAnsi="Times New Roman"/>
          <w:sz w:val="24"/>
          <w:szCs w:val="24"/>
        </w:rPr>
        <w:t>“Claimant timely filed his Petition, and it was supported by the substantial, competent evidence of record. The WCJ and the Board correctly applied the standards set out in the Act</w:t>
      </w:r>
      <w:r>
        <w:rPr>
          <w:rFonts w:ascii="Times New Roman" w:hAnsi="Times New Roman"/>
          <w:sz w:val="24"/>
          <w:szCs w:val="24"/>
        </w:rPr>
        <w:t xml:space="preserve"> </w:t>
      </w:r>
      <w:r w:rsidRPr="00BD099B">
        <w:rPr>
          <w:rFonts w:ascii="Times New Roman" w:hAnsi="Times New Roman"/>
          <w:sz w:val="24"/>
          <w:szCs w:val="24"/>
        </w:rPr>
        <w:t>and in the pertinent case law.”</w:t>
      </w:r>
      <w:r>
        <w:rPr>
          <w:rFonts w:ascii="Times New Roman" w:hAnsi="Times New Roman"/>
          <w:sz w:val="24"/>
          <w:szCs w:val="24"/>
        </w:rPr>
        <w:t xml:space="preserve"> </w:t>
      </w:r>
      <w:hyperlink r:id="rId1303" w:anchor="search=%22Sevanick%22" w:history="1">
        <w:r w:rsidRPr="008C168C">
          <w:rPr>
            <w:rStyle w:val="Hyperlink"/>
            <w:sz w:val="24"/>
            <w:szCs w:val="24"/>
          </w:rPr>
          <w:t>http://www.pacourts.us/assets/opinions/Commonwealth/out/1156cd19_5-6-20.pdf#search=%22Sevanick%22</w:t>
        </w:r>
      </w:hyperlink>
    </w:p>
    <w:p w14:paraId="2462C1EB" w14:textId="77777777" w:rsidR="004E22C3" w:rsidRPr="00F200DE" w:rsidRDefault="004E22C3" w:rsidP="004E22C3">
      <w:pPr>
        <w:spacing w:before="100" w:beforeAutospacing="1" w:after="100" w:afterAutospacing="1" w:line="240" w:lineRule="auto"/>
        <w:rPr>
          <w:rFonts w:ascii="Times New Roman" w:hAnsi="Times New Roman"/>
          <w:b/>
          <w:bCs/>
          <w:sz w:val="24"/>
          <w:szCs w:val="24"/>
        </w:rPr>
      </w:pPr>
      <w:r w:rsidRPr="00F200DE">
        <w:rPr>
          <w:rFonts w:ascii="Times New Roman" w:hAnsi="Times New Roman"/>
          <w:b/>
          <w:bCs/>
          <w:sz w:val="24"/>
          <w:szCs w:val="24"/>
        </w:rPr>
        <w:t>Legal Lessons Learned:</w:t>
      </w:r>
      <w:r>
        <w:rPr>
          <w:rFonts w:ascii="Times New Roman" w:hAnsi="Times New Roman"/>
          <w:b/>
          <w:bCs/>
          <w:sz w:val="24"/>
          <w:szCs w:val="24"/>
        </w:rPr>
        <w:t xml:space="preserve"> Fortunately, PA has enacted a statutory presumption statute that includes firefighters who retired within 600 weeks prior to enactment of the statute. </w:t>
      </w:r>
    </w:p>
    <w:p w14:paraId="61AA1F94" w14:textId="77777777" w:rsidR="004E22C3" w:rsidRDefault="004E22C3" w:rsidP="00EF1133">
      <w:pPr>
        <w:rPr>
          <w:rFonts w:ascii="Arial Black" w:hAnsi="Arial Black"/>
          <w:b/>
          <w:sz w:val="24"/>
          <w:szCs w:val="24"/>
        </w:rPr>
      </w:pPr>
    </w:p>
    <w:p w14:paraId="6DB5995D" w14:textId="0D75221B" w:rsidR="002147DA" w:rsidRDefault="002147DA" w:rsidP="00EF1133">
      <w:pPr>
        <w:rPr>
          <w:rFonts w:ascii="Arial Black" w:hAnsi="Arial Black"/>
          <w:b/>
          <w:sz w:val="24"/>
          <w:szCs w:val="24"/>
        </w:rPr>
      </w:pPr>
      <w:r>
        <w:rPr>
          <w:rFonts w:ascii="Arial Black" w:hAnsi="Arial Black"/>
          <w:b/>
          <w:sz w:val="24"/>
          <w:szCs w:val="24"/>
        </w:rPr>
        <w:t>6-41</w:t>
      </w:r>
    </w:p>
    <w:p w14:paraId="6F7E75C0" w14:textId="77777777" w:rsidR="002147DA" w:rsidRDefault="002147DA" w:rsidP="002147DA">
      <w:pPr>
        <w:pStyle w:val="NoSpacing"/>
        <w:rPr>
          <w:b/>
          <w:bCs/>
          <w:sz w:val="24"/>
          <w:szCs w:val="24"/>
        </w:rPr>
      </w:pPr>
      <w:bookmarkStart w:id="240" w:name="_Hlk39764354"/>
      <w:r w:rsidRPr="00FF2F39">
        <w:rPr>
          <w:rFonts w:ascii="Arial Black" w:hAnsi="Arial Black"/>
          <w:sz w:val="28"/>
          <w:szCs w:val="28"/>
        </w:rPr>
        <w:t>KY:</w:t>
      </w:r>
      <w:r>
        <w:rPr>
          <w:rFonts w:ascii="Arial Black" w:hAnsi="Arial Black"/>
          <w:sz w:val="28"/>
          <w:szCs w:val="28"/>
        </w:rPr>
        <w:t xml:space="preserve">  HARASSMENT OF ATHEIST FF – SUPERVISOR TOOK NO ACTION, URGED RESIGN - RETALIATION CASE REINSTATED</w:t>
      </w:r>
    </w:p>
    <w:p w14:paraId="6178327F" w14:textId="77777777" w:rsidR="002147DA" w:rsidRDefault="002147DA" w:rsidP="002147DA">
      <w:pPr>
        <w:pStyle w:val="NoSpacing"/>
        <w:rPr>
          <w:b/>
          <w:bCs/>
          <w:sz w:val="24"/>
          <w:szCs w:val="24"/>
        </w:rPr>
      </w:pPr>
    </w:p>
    <w:p w14:paraId="5B3613C4" w14:textId="77777777" w:rsidR="002147DA" w:rsidRPr="000A5D76" w:rsidRDefault="002147DA" w:rsidP="002147DA">
      <w:pPr>
        <w:pStyle w:val="NoSpacing"/>
        <w:tabs>
          <w:tab w:val="left" w:pos="7070"/>
        </w:tabs>
        <w:rPr>
          <w:rFonts w:ascii="Times New Roman" w:hAnsi="Times New Roman"/>
          <w:b/>
          <w:bCs/>
          <w:sz w:val="24"/>
          <w:szCs w:val="24"/>
        </w:rPr>
      </w:pPr>
      <w:r w:rsidRPr="000A5D76">
        <w:rPr>
          <w:rFonts w:ascii="Times New Roman" w:hAnsi="Times New Roman"/>
          <w:bCs/>
          <w:sz w:val="24"/>
          <w:szCs w:val="24"/>
        </w:rPr>
        <w:t xml:space="preserve">On April 22, 2020, in </w:t>
      </w:r>
      <w:r w:rsidRPr="000A5D76">
        <w:rPr>
          <w:rFonts w:ascii="Times New Roman" w:hAnsi="Times New Roman"/>
          <w:bCs/>
          <w:sz w:val="24"/>
          <w:szCs w:val="24"/>
          <w:u w:val="single"/>
        </w:rPr>
        <w:t>Jeffery Queen v. City of Bowling Green, KY</w:t>
      </w:r>
      <w:r w:rsidRPr="000A5D76">
        <w:rPr>
          <w:rFonts w:ascii="Times New Roman" w:hAnsi="Times New Roman"/>
          <w:bCs/>
          <w:sz w:val="24"/>
          <w:szCs w:val="24"/>
        </w:rPr>
        <w:t>, the U.S. Court of Appeals for the 6</w:t>
      </w:r>
      <w:r w:rsidRPr="000A5D76">
        <w:rPr>
          <w:rFonts w:ascii="Times New Roman" w:hAnsi="Times New Roman"/>
          <w:bCs/>
          <w:sz w:val="24"/>
          <w:szCs w:val="24"/>
          <w:vertAlign w:val="superscript"/>
        </w:rPr>
        <w:t>th</w:t>
      </w:r>
      <w:r w:rsidRPr="000A5D76">
        <w:rPr>
          <w:rFonts w:ascii="Times New Roman" w:hAnsi="Times New Roman"/>
          <w:bCs/>
          <w:sz w:val="24"/>
          <w:szCs w:val="24"/>
        </w:rPr>
        <w:t xml:space="preserve"> Circuit (Cincinnati) held (3 to 0) that the U.S. District Court judge in Bowling Green improperly dismissed the retaliation lawsuit against the plaintiff’s supervisor.  The firefighter worked at Bowling Green FD for five years, and after one year he complained to his </w:t>
      </w:r>
      <w:proofErr w:type="gramStart"/>
      <w:r w:rsidRPr="000A5D76">
        <w:rPr>
          <w:rFonts w:ascii="Times New Roman" w:hAnsi="Times New Roman"/>
          <w:bCs/>
          <w:sz w:val="24"/>
          <w:szCs w:val="24"/>
        </w:rPr>
        <w:t>Supervisor</w:t>
      </w:r>
      <w:proofErr w:type="gramEnd"/>
      <w:r w:rsidRPr="000A5D76">
        <w:rPr>
          <w:rFonts w:ascii="Times New Roman" w:hAnsi="Times New Roman"/>
          <w:bCs/>
          <w:sz w:val="24"/>
          <w:szCs w:val="24"/>
        </w:rPr>
        <w:t xml:space="preserve">.  He was urged to quit, and no corrective action was taken; he finally resigned in </w:t>
      </w:r>
      <w:proofErr w:type="gramStart"/>
      <w:r w:rsidRPr="000A5D76">
        <w:rPr>
          <w:rFonts w:ascii="Times New Roman" w:hAnsi="Times New Roman"/>
          <w:bCs/>
          <w:sz w:val="24"/>
          <w:szCs w:val="24"/>
        </w:rPr>
        <w:t>May,</w:t>
      </w:r>
      <w:proofErr w:type="gramEnd"/>
      <w:r w:rsidRPr="000A5D76">
        <w:rPr>
          <w:rFonts w:ascii="Times New Roman" w:hAnsi="Times New Roman"/>
          <w:bCs/>
          <w:sz w:val="24"/>
          <w:szCs w:val="24"/>
        </w:rPr>
        <w:t xml:space="preserve"> 2016. </w:t>
      </w:r>
    </w:p>
    <w:p w14:paraId="44A13A0B" w14:textId="77777777" w:rsidR="002147DA" w:rsidRPr="000A5D76" w:rsidRDefault="002147DA" w:rsidP="002147DA">
      <w:pPr>
        <w:pStyle w:val="NoSpacing"/>
        <w:ind w:left="720"/>
        <w:rPr>
          <w:rFonts w:ascii="Times New Roman" w:hAnsi="Times New Roman"/>
          <w:b/>
          <w:bCs/>
          <w:sz w:val="24"/>
          <w:szCs w:val="24"/>
        </w:rPr>
      </w:pPr>
    </w:p>
    <w:p w14:paraId="783C8ACA"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 xml:space="preserve">“A reasonable jury could conclude that [the Supervisor] Rockrohr’s subsequent conduct after receiving Queen’s complaint about the harassment he faced at the Bowling Green Fire Department (which conduct included Rockrohr’s suggestion that Queen ‘should get employment elsewhere’  because ‘things [were] not working out’) went far enough to amount to a materially adverse action. Indeed, Rockrohr’s specific admonition made directly to Queen that he ‘should get employment elsewhere’ could be interpreted by reasonable jurors to convey the message that Queen was no longer welcome at the Fire Department, thus amounting to a constructive termination of Queen’s </w:t>
      </w:r>
      <w:proofErr w:type="gramStart"/>
      <w:r w:rsidRPr="000A5D76">
        <w:rPr>
          <w:rFonts w:ascii="Times New Roman" w:hAnsi="Times New Roman"/>
          <w:bCs/>
          <w:sz w:val="24"/>
          <w:szCs w:val="24"/>
        </w:rPr>
        <w:t>employment.”</w:t>
      </w:r>
      <w:proofErr w:type="gramEnd"/>
    </w:p>
    <w:p w14:paraId="45A55C92" w14:textId="77777777" w:rsidR="002147DA" w:rsidRPr="000A5D76" w:rsidRDefault="002147DA" w:rsidP="002147DA">
      <w:pPr>
        <w:pStyle w:val="NoSpacing"/>
        <w:ind w:left="720"/>
        <w:rPr>
          <w:rFonts w:ascii="Times New Roman" w:hAnsi="Times New Roman"/>
          <w:b/>
          <w:bCs/>
          <w:sz w:val="24"/>
          <w:szCs w:val="24"/>
        </w:rPr>
      </w:pPr>
      <w:hyperlink r:id="rId1304" w:history="1">
        <w:r w:rsidRPr="000A5D76">
          <w:rPr>
            <w:rStyle w:val="Hyperlink"/>
            <w:rFonts w:ascii="Times New Roman" w:hAnsi="Times New Roman"/>
            <w:b/>
            <w:sz w:val="24"/>
            <w:szCs w:val="24"/>
          </w:rPr>
          <w:t>https://www.opn.ca6.uscourts.gov/opinions.pdf/20a0123p-06.pdf</w:t>
        </w:r>
      </w:hyperlink>
      <w:r w:rsidRPr="000A5D76">
        <w:rPr>
          <w:rFonts w:ascii="Times New Roman" w:hAnsi="Times New Roman"/>
          <w:bCs/>
          <w:sz w:val="24"/>
          <w:szCs w:val="24"/>
        </w:rPr>
        <w:t xml:space="preserve"> </w:t>
      </w:r>
    </w:p>
    <w:bookmarkEnd w:id="240"/>
    <w:p w14:paraId="0FC60F57" w14:textId="77777777" w:rsidR="002147DA" w:rsidRDefault="002147DA" w:rsidP="002147DA">
      <w:pPr>
        <w:pStyle w:val="NoSpacing"/>
        <w:rPr>
          <w:rFonts w:ascii="Times New Roman" w:hAnsi="Times New Roman"/>
          <w:b/>
          <w:bCs/>
          <w:sz w:val="24"/>
          <w:szCs w:val="24"/>
        </w:rPr>
      </w:pPr>
    </w:p>
    <w:p w14:paraId="08754EA9" w14:textId="73D4EBCB" w:rsidR="002147DA" w:rsidRPr="000A5D76" w:rsidRDefault="002147DA" w:rsidP="002147DA">
      <w:pPr>
        <w:pStyle w:val="NoSpacing"/>
        <w:rPr>
          <w:rFonts w:ascii="Times New Roman" w:hAnsi="Times New Roman"/>
          <w:b/>
          <w:bCs/>
          <w:sz w:val="24"/>
          <w:szCs w:val="24"/>
        </w:rPr>
      </w:pPr>
      <w:bookmarkStart w:id="241" w:name="_Hlk40510447"/>
      <w:r w:rsidRPr="000A5D76">
        <w:rPr>
          <w:rFonts w:ascii="Times New Roman" w:hAnsi="Times New Roman"/>
          <w:b/>
          <w:bCs/>
          <w:sz w:val="24"/>
          <w:szCs w:val="24"/>
        </w:rPr>
        <w:t xml:space="preserve">Legal Lessons Learned: When a firefighter complains of harassment, the </w:t>
      </w:r>
      <w:r w:rsidR="00C4249D">
        <w:rPr>
          <w:rFonts w:ascii="Times New Roman" w:hAnsi="Times New Roman"/>
          <w:b/>
          <w:bCs/>
          <w:sz w:val="24"/>
          <w:szCs w:val="24"/>
        </w:rPr>
        <w:t xml:space="preserve">FD Officer should promptly advise the Fire </w:t>
      </w:r>
      <w:proofErr w:type="gramStart"/>
      <w:r w:rsidR="00C4249D">
        <w:rPr>
          <w:rFonts w:ascii="Times New Roman" w:hAnsi="Times New Roman"/>
          <w:b/>
          <w:bCs/>
          <w:sz w:val="24"/>
          <w:szCs w:val="24"/>
        </w:rPr>
        <w:t xml:space="preserve">Chief, </w:t>
      </w:r>
      <w:r w:rsidRPr="000A5D76">
        <w:rPr>
          <w:rFonts w:ascii="Times New Roman" w:hAnsi="Times New Roman"/>
          <w:b/>
          <w:bCs/>
          <w:sz w:val="24"/>
          <w:szCs w:val="24"/>
        </w:rPr>
        <w:t>and</w:t>
      </w:r>
      <w:proofErr w:type="gramEnd"/>
      <w:r w:rsidRPr="000A5D76">
        <w:rPr>
          <w:rFonts w:ascii="Times New Roman" w:hAnsi="Times New Roman"/>
          <w:b/>
          <w:bCs/>
          <w:sz w:val="24"/>
          <w:szCs w:val="24"/>
        </w:rPr>
        <w:t xml:space="preserve"> promptly investigate and stop any harassment behavior. </w:t>
      </w:r>
    </w:p>
    <w:bookmarkEnd w:id="241"/>
    <w:p w14:paraId="6F2563DF" w14:textId="77777777" w:rsidR="002147DA" w:rsidRDefault="002147DA" w:rsidP="00EF1133">
      <w:pPr>
        <w:rPr>
          <w:rFonts w:ascii="Arial Black" w:hAnsi="Arial Black"/>
          <w:b/>
          <w:sz w:val="24"/>
          <w:szCs w:val="24"/>
        </w:rPr>
      </w:pPr>
    </w:p>
    <w:p w14:paraId="4C39DB1C" w14:textId="77777777" w:rsidR="002147DA" w:rsidRDefault="002147DA" w:rsidP="00EF1133">
      <w:pPr>
        <w:rPr>
          <w:rFonts w:ascii="Arial Black" w:hAnsi="Arial Black"/>
          <w:b/>
          <w:sz w:val="24"/>
          <w:szCs w:val="24"/>
        </w:rPr>
      </w:pPr>
    </w:p>
    <w:p w14:paraId="697CCD76" w14:textId="6AC96BCF" w:rsidR="002147DA" w:rsidRDefault="002147DA" w:rsidP="00EF1133">
      <w:pPr>
        <w:rPr>
          <w:rFonts w:ascii="Arial Black" w:hAnsi="Arial Black"/>
          <w:b/>
          <w:sz w:val="24"/>
          <w:szCs w:val="24"/>
        </w:rPr>
      </w:pPr>
      <w:r>
        <w:rPr>
          <w:rFonts w:ascii="Arial Black" w:hAnsi="Arial Black"/>
          <w:b/>
          <w:sz w:val="24"/>
          <w:szCs w:val="24"/>
        </w:rPr>
        <w:t>6-40</w:t>
      </w:r>
    </w:p>
    <w:p w14:paraId="780420E9" w14:textId="77777777" w:rsidR="002147DA" w:rsidRDefault="002147DA" w:rsidP="002147DA">
      <w:pPr>
        <w:pStyle w:val="NoSpacing"/>
        <w:rPr>
          <w:rFonts w:ascii="Arial Black" w:hAnsi="Arial Black"/>
          <w:sz w:val="28"/>
          <w:szCs w:val="28"/>
        </w:rPr>
      </w:pPr>
      <w:bookmarkStart w:id="242" w:name="_Hlk39764432"/>
      <w:r>
        <w:rPr>
          <w:rFonts w:ascii="Arial Black" w:hAnsi="Arial Black"/>
          <w:sz w:val="28"/>
          <w:szCs w:val="28"/>
        </w:rPr>
        <w:t xml:space="preserve">AR: WORKER’S COMP DENIED - TESTICULAR CANCER – HAD AS YOUTH – NOT COVERED BY PRESUMPTION STATUTE </w:t>
      </w:r>
    </w:p>
    <w:p w14:paraId="516F8082" w14:textId="77777777" w:rsidR="002147DA" w:rsidRDefault="002147DA" w:rsidP="002147DA">
      <w:pPr>
        <w:pStyle w:val="NoSpacing"/>
        <w:ind w:left="720"/>
        <w:rPr>
          <w:b/>
          <w:bCs/>
          <w:sz w:val="24"/>
          <w:szCs w:val="24"/>
        </w:rPr>
      </w:pPr>
    </w:p>
    <w:p w14:paraId="3DA1CA6D" w14:textId="77777777" w:rsidR="002147DA" w:rsidRPr="000A5D76" w:rsidRDefault="002147DA" w:rsidP="002147DA">
      <w:pPr>
        <w:pStyle w:val="NoSpacing"/>
        <w:rPr>
          <w:rFonts w:ascii="Times New Roman" w:hAnsi="Times New Roman"/>
          <w:b/>
          <w:bCs/>
          <w:sz w:val="24"/>
          <w:szCs w:val="24"/>
        </w:rPr>
      </w:pPr>
      <w:r w:rsidRPr="000A5D76">
        <w:rPr>
          <w:rFonts w:ascii="Times New Roman" w:hAnsi="Times New Roman"/>
          <w:bCs/>
          <w:sz w:val="24"/>
          <w:szCs w:val="24"/>
        </w:rPr>
        <w:t xml:space="preserve">On April 21, 2020, </w:t>
      </w:r>
      <w:r w:rsidRPr="000A5D76">
        <w:rPr>
          <w:rFonts w:ascii="Times New Roman" w:hAnsi="Times New Roman"/>
          <w:bCs/>
          <w:sz w:val="24"/>
          <w:szCs w:val="24"/>
          <w:u w:val="single"/>
        </w:rPr>
        <w:t>Wesley Forbach v. The Industrial Commission of Arizona &amp; City of Flagstaff</w:t>
      </w:r>
      <w:r w:rsidRPr="000A5D76">
        <w:rPr>
          <w:rFonts w:ascii="Times New Roman" w:hAnsi="Times New Roman"/>
          <w:bCs/>
          <w:sz w:val="24"/>
          <w:szCs w:val="24"/>
        </w:rPr>
        <w:t xml:space="preserve">, the Arizona Court of Appeal (Division One), held in unpublished opinion (3 to 0) that his surgery for removal of left testicle was not covered by worker’s comp.  The Arizona statutory presumption statute requires proof that the “carcinogen is reasonably related to the cancer.” The proof was particularly difficult in this case since the firefighter as a </w:t>
      </w:r>
      <w:proofErr w:type="gramStart"/>
      <w:r w:rsidRPr="000A5D76">
        <w:rPr>
          <w:rFonts w:ascii="Times New Roman" w:hAnsi="Times New Roman"/>
          <w:bCs/>
          <w:sz w:val="24"/>
          <w:szCs w:val="24"/>
        </w:rPr>
        <w:t>teenage</w:t>
      </w:r>
      <w:proofErr w:type="gramEnd"/>
      <w:r w:rsidRPr="000A5D76">
        <w:rPr>
          <w:rFonts w:ascii="Times New Roman" w:hAnsi="Times New Roman"/>
          <w:bCs/>
          <w:sz w:val="24"/>
          <w:szCs w:val="24"/>
        </w:rPr>
        <w:t xml:space="preserve"> had testicular cancer and his right testicle was removed.</w:t>
      </w:r>
    </w:p>
    <w:p w14:paraId="02DF9137" w14:textId="77777777" w:rsidR="002147DA" w:rsidRPr="000A5D76" w:rsidRDefault="002147DA" w:rsidP="002147DA">
      <w:pPr>
        <w:pStyle w:val="NoSpacing"/>
        <w:ind w:left="720"/>
        <w:rPr>
          <w:rFonts w:ascii="Times New Roman" w:hAnsi="Times New Roman"/>
          <w:b/>
          <w:bCs/>
          <w:sz w:val="24"/>
          <w:szCs w:val="24"/>
        </w:rPr>
      </w:pPr>
    </w:p>
    <w:p w14:paraId="55D2A7BF"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“The Administrative Law Judge (‘ALJ’) determined that Forbach was not entitled to a statutory presumption in his favor and, therefore, had not established a causal connection between his disease and his employment. We affirm.”</w:t>
      </w:r>
    </w:p>
    <w:p w14:paraId="0D7A3025" w14:textId="77777777" w:rsidR="002147DA" w:rsidRPr="000A5D76" w:rsidRDefault="002147DA" w:rsidP="002147DA">
      <w:pPr>
        <w:pStyle w:val="NoSpacing"/>
        <w:ind w:left="720"/>
        <w:rPr>
          <w:rFonts w:ascii="Times New Roman" w:hAnsi="Times New Roman"/>
          <w:b/>
          <w:bCs/>
          <w:sz w:val="24"/>
          <w:szCs w:val="24"/>
        </w:rPr>
      </w:pPr>
      <w:hyperlink r:id="rId1305" w:history="1">
        <w:r w:rsidRPr="000A5D76">
          <w:rPr>
            <w:rStyle w:val="Hyperlink"/>
            <w:rFonts w:ascii="Times New Roman" w:hAnsi="Times New Roman"/>
            <w:b/>
            <w:sz w:val="24"/>
            <w:szCs w:val="24"/>
          </w:rPr>
          <w:t>https://www.azcourts.gov/Portals/0/OpinionFiles/Div1/2020/1%20CA-IC%2019-0036%20-%20Forbach.pdf</w:t>
        </w:r>
      </w:hyperlink>
      <w:r w:rsidRPr="000A5D76">
        <w:rPr>
          <w:rFonts w:ascii="Times New Roman" w:hAnsi="Times New Roman"/>
          <w:bCs/>
          <w:sz w:val="24"/>
          <w:szCs w:val="24"/>
        </w:rPr>
        <w:t xml:space="preserve"> </w:t>
      </w:r>
    </w:p>
    <w:bookmarkEnd w:id="242"/>
    <w:p w14:paraId="394C0AF5" w14:textId="77777777" w:rsidR="002147DA" w:rsidRDefault="002147DA" w:rsidP="002147DA">
      <w:pPr>
        <w:pStyle w:val="NoSpacing"/>
        <w:rPr>
          <w:rFonts w:ascii="Times New Roman" w:hAnsi="Times New Roman"/>
          <w:b/>
          <w:bCs/>
          <w:sz w:val="24"/>
          <w:szCs w:val="24"/>
        </w:rPr>
      </w:pPr>
    </w:p>
    <w:p w14:paraId="21A9C70B" w14:textId="2B50B759" w:rsidR="002147DA" w:rsidRPr="000A5D76" w:rsidRDefault="002147DA" w:rsidP="002147DA">
      <w:pPr>
        <w:pStyle w:val="NoSpacing"/>
        <w:rPr>
          <w:rFonts w:ascii="Times New Roman" w:hAnsi="Times New Roman"/>
          <w:b/>
          <w:bCs/>
          <w:sz w:val="24"/>
          <w:szCs w:val="24"/>
        </w:rPr>
      </w:pPr>
      <w:bookmarkStart w:id="243" w:name="_Hlk40510494"/>
      <w:r w:rsidRPr="000A5D76">
        <w:rPr>
          <w:rFonts w:ascii="Times New Roman" w:hAnsi="Times New Roman"/>
          <w:b/>
          <w:bCs/>
          <w:sz w:val="24"/>
          <w:szCs w:val="24"/>
        </w:rPr>
        <w:t xml:space="preserve">Legal Lessons Learned:  Firefighters should keep a list of runs where they have been exposed to smoke or </w:t>
      </w:r>
      <w:r w:rsidR="00C4249D">
        <w:rPr>
          <w:rFonts w:ascii="Times New Roman" w:hAnsi="Times New Roman"/>
          <w:b/>
          <w:bCs/>
          <w:sz w:val="24"/>
          <w:szCs w:val="24"/>
        </w:rPr>
        <w:t xml:space="preserve">other </w:t>
      </w:r>
      <w:r w:rsidRPr="000A5D76">
        <w:rPr>
          <w:rFonts w:ascii="Times New Roman" w:hAnsi="Times New Roman"/>
          <w:b/>
          <w:bCs/>
          <w:sz w:val="24"/>
          <w:szCs w:val="24"/>
        </w:rPr>
        <w:t xml:space="preserve">chemicals, but even with such a list, without a State statutory presumption statute that specifically includes testicular cancer, it is very difficult to prove what caused this particular cancer. </w:t>
      </w:r>
    </w:p>
    <w:bookmarkEnd w:id="243"/>
    <w:p w14:paraId="0945C119" w14:textId="77777777" w:rsidR="002147DA" w:rsidRPr="000A5D76" w:rsidRDefault="002147DA" w:rsidP="002147DA">
      <w:pPr>
        <w:pStyle w:val="NoSpacing"/>
        <w:rPr>
          <w:rFonts w:ascii="Times New Roman" w:hAnsi="Times New Roman"/>
          <w:sz w:val="24"/>
          <w:szCs w:val="24"/>
        </w:rPr>
      </w:pPr>
    </w:p>
    <w:p w14:paraId="540D963A"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 xml:space="preserve">Note: Court described the Arizona statutory presumption.  </w:t>
      </w:r>
    </w:p>
    <w:p w14:paraId="2849071D" w14:textId="77777777" w:rsidR="002147DA" w:rsidRPr="000A5D76" w:rsidRDefault="002147DA" w:rsidP="002147DA">
      <w:pPr>
        <w:pStyle w:val="NoSpacing"/>
        <w:ind w:left="720"/>
        <w:rPr>
          <w:rFonts w:ascii="Times New Roman" w:hAnsi="Times New Roman"/>
          <w:b/>
          <w:bCs/>
          <w:sz w:val="24"/>
          <w:szCs w:val="24"/>
        </w:rPr>
      </w:pPr>
    </w:p>
    <w:p w14:paraId="14A2A76C" w14:textId="77777777" w:rsidR="002147DA" w:rsidRPr="000A5D76" w:rsidRDefault="002147DA" w:rsidP="002147DA">
      <w:pPr>
        <w:pStyle w:val="NoSpacing"/>
        <w:ind w:left="1440"/>
        <w:rPr>
          <w:rFonts w:ascii="Times New Roman" w:hAnsi="Times New Roman"/>
          <w:b/>
          <w:bCs/>
          <w:sz w:val="24"/>
          <w:szCs w:val="24"/>
        </w:rPr>
      </w:pPr>
      <w:r w:rsidRPr="000A5D76">
        <w:rPr>
          <w:rFonts w:ascii="Times New Roman" w:hAnsi="Times New Roman"/>
          <w:bCs/>
          <w:sz w:val="24"/>
          <w:szCs w:val="24"/>
        </w:rPr>
        <w:t>“Starting in 2001, with a significant amendment in 2017, the Legislature created a statutory presumption of industrial causation for firefighters and police officers who contract certain diseases under certain conditions. *** Arizona Revised Statutes section 23-901.01(B) lists diseases that, if contracted by firefighters or police officers, will be presumed to be occupational diseases that arose out of employment if the four requirements in subsection (C) of the statute are met….</w:t>
      </w:r>
    </w:p>
    <w:p w14:paraId="3EFDA371" w14:textId="77777777" w:rsidR="002147DA" w:rsidRPr="000A5D76" w:rsidRDefault="002147DA" w:rsidP="002147DA">
      <w:pPr>
        <w:pStyle w:val="NoSpacing"/>
        <w:rPr>
          <w:rFonts w:ascii="Times New Roman" w:hAnsi="Times New Roman"/>
          <w:b/>
          <w:bCs/>
          <w:sz w:val="24"/>
          <w:szCs w:val="24"/>
        </w:rPr>
      </w:pPr>
    </w:p>
    <w:p w14:paraId="2373EB49" w14:textId="77777777" w:rsidR="002147DA" w:rsidRPr="000A5D76" w:rsidRDefault="002147DA" w:rsidP="002147DA">
      <w:pPr>
        <w:pStyle w:val="NoSpacing"/>
        <w:ind w:left="2160"/>
        <w:rPr>
          <w:rFonts w:ascii="Times New Roman" w:hAnsi="Times New Roman"/>
          <w:b/>
          <w:bCs/>
          <w:sz w:val="24"/>
          <w:szCs w:val="24"/>
        </w:rPr>
      </w:pPr>
      <w:r>
        <w:rPr>
          <w:rFonts w:ascii="Times New Roman" w:hAnsi="Times New Roman"/>
          <w:bCs/>
          <w:sz w:val="24"/>
          <w:szCs w:val="24"/>
        </w:rPr>
        <w:t>“</w:t>
      </w:r>
      <w:r w:rsidRPr="000A5D76">
        <w:rPr>
          <w:rFonts w:ascii="Times New Roman" w:hAnsi="Times New Roman"/>
          <w:bCs/>
          <w:sz w:val="24"/>
          <w:szCs w:val="24"/>
        </w:rPr>
        <w:t>3. The firefighter or peace officer was [</w:t>
      </w:r>
      <w:proofErr w:type="spellStart"/>
      <w:r w:rsidRPr="000A5D76">
        <w:rPr>
          <w:rFonts w:ascii="Times New Roman" w:hAnsi="Times New Roman"/>
          <w:bCs/>
          <w:sz w:val="24"/>
          <w:szCs w:val="24"/>
        </w:rPr>
        <w:t>i</w:t>
      </w:r>
      <w:proofErr w:type="spellEnd"/>
      <w:r w:rsidRPr="000A5D76">
        <w:rPr>
          <w:rFonts w:ascii="Times New Roman" w:hAnsi="Times New Roman"/>
          <w:bCs/>
          <w:sz w:val="24"/>
          <w:szCs w:val="24"/>
        </w:rPr>
        <w:t>]exposed to a known carcinogen as defined by the international agency for research on cancer and [ii] informed the department of this exposure, and [iii] the carcinogen is reasonably related to the cancer.”</w:t>
      </w:r>
    </w:p>
    <w:p w14:paraId="6C23509B" w14:textId="5D13BC10" w:rsidR="002147DA" w:rsidRDefault="002147DA" w:rsidP="00EF1133">
      <w:pPr>
        <w:rPr>
          <w:rFonts w:ascii="Arial Black" w:hAnsi="Arial Black"/>
          <w:b/>
          <w:sz w:val="24"/>
          <w:szCs w:val="24"/>
        </w:rPr>
      </w:pPr>
    </w:p>
    <w:p w14:paraId="5922A0C8" w14:textId="207EF2DF" w:rsidR="002147DA" w:rsidRDefault="002147DA" w:rsidP="00EF1133">
      <w:pPr>
        <w:rPr>
          <w:rFonts w:ascii="Arial Black" w:hAnsi="Arial Black"/>
          <w:b/>
          <w:sz w:val="24"/>
          <w:szCs w:val="24"/>
        </w:rPr>
      </w:pPr>
    </w:p>
    <w:p w14:paraId="4138232A" w14:textId="77777777" w:rsidR="002147DA" w:rsidRDefault="002147DA" w:rsidP="00EF1133">
      <w:pPr>
        <w:rPr>
          <w:rFonts w:ascii="Arial Black" w:hAnsi="Arial Black"/>
          <w:b/>
          <w:sz w:val="24"/>
          <w:szCs w:val="24"/>
        </w:rPr>
      </w:pPr>
    </w:p>
    <w:p w14:paraId="1EB2C408" w14:textId="73E32585" w:rsidR="002147DA" w:rsidRDefault="002147DA" w:rsidP="00EF1133">
      <w:pPr>
        <w:rPr>
          <w:rFonts w:ascii="Arial Black" w:hAnsi="Arial Black"/>
          <w:b/>
          <w:sz w:val="24"/>
          <w:szCs w:val="24"/>
        </w:rPr>
      </w:pPr>
      <w:r>
        <w:rPr>
          <w:rFonts w:ascii="Arial Black" w:hAnsi="Arial Black"/>
          <w:b/>
          <w:sz w:val="24"/>
          <w:szCs w:val="24"/>
        </w:rPr>
        <w:t>6-39</w:t>
      </w:r>
    </w:p>
    <w:p w14:paraId="37FF7DA4" w14:textId="3B071FAC" w:rsidR="002147DA" w:rsidRPr="00AC4AF3" w:rsidRDefault="002147DA" w:rsidP="002147DA">
      <w:pPr>
        <w:pStyle w:val="NoSpacing"/>
        <w:rPr>
          <w:rFonts w:ascii="Arial Black" w:hAnsi="Arial Black"/>
          <w:sz w:val="28"/>
          <w:szCs w:val="28"/>
        </w:rPr>
      </w:pPr>
      <w:bookmarkStart w:id="244" w:name="_Hlk39764496"/>
      <w:r w:rsidRPr="00AC4AF3">
        <w:rPr>
          <w:rFonts w:ascii="Arial Black" w:hAnsi="Arial Black"/>
          <w:sz w:val="28"/>
          <w:szCs w:val="28"/>
        </w:rPr>
        <w:t xml:space="preserve">NC: </w:t>
      </w:r>
      <w:r>
        <w:rPr>
          <w:rFonts w:ascii="Arial Black" w:hAnsi="Arial Black"/>
          <w:sz w:val="28"/>
          <w:szCs w:val="28"/>
        </w:rPr>
        <w:t>WORKER’S COMP - DENIED FOR HEARING LOSS – MINOR MVA AMBULANCE - BACK INJURY WAS COVERED</w:t>
      </w:r>
    </w:p>
    <w:p w14:paraId="5F83D9B6" w14:textId="77777777" w:rsidR="002147DA" w:rsidRDefault="002147DA" w:rsidP="002147DA">
      <w:pPr>
        <w:pStyle w:val="NoSpacing"/>
        <w:rPr>
          <w:b/>
          <w:bCs/>
          <w:sz w:val="24"/>
          <w:szCs w:val="24"/>
        </w:rPr>
      </w:pPr>
    </w:p>
    <w:p w14:paraId="604412DA" w14:textId="77777777" w:rsidR="002147DA" w:rsidRPr="000A5D76" w:rsidRDefault="002147DA" w:rsidP="002147DA">
      <w:pPr>
        <w:pStyle w:val="NoSpacing"/>
        <w:rPr>
          <w:rFonts w:ascii="Times New Roman" w:hAnsi="Times New Roman"/>
          <w:b/>
          <w:bCs/>
          <w:sz w:val="24"/>
          <w:szCs w:val="24"/>
        </w:rPr>
      </w:pPr>
      <w:r w:rsidRPr="000A5D76">
        <w:rPr>
          <w:rFonts w:ascii="Times New Roman" w:hAnsi="Times New Roman"/>
          <w:bCs/>
          <w:sz w:val="24"/>
          <w:szCs w:val="24"/>
        </w:rPr>
        <w:t xml:space="preserve">On April 7, 2020, in </w:t>
      </w:r>
      <w:r w:rsidRPr="000A5D76">
        <w:rPr>
          <w:rFonts w:ascii="Times New Roman" w:hAnsi="Times New Roman"/>
          <w:bCs/>
          <w:sz w:val="24"/>
          <w:szCs w:val="24"/>
          <w:u w:val="single"/>
        </w:rPr>
        <w:t xml:space="preserve">Travis Martin v. WakeMed &amp; Key Risk Management Services, </w:t>
      </w:r>
      <w:r w:rsidRPr="000A5D76">
        <w:rPr>
          <w:rFonts w:ascii="Times New Roman" w:hAnsi="Times New Roman"/>
          <w:bCs/>
          <w:sz w:val="24"/>
          <w:szCs w:val="24"/>
        </w:rPr>
        <w:t xml:space="preserve">the Court of Appeals of North Carolina held (3 to 0) in an unpublished opinion that the North Carolina Industrial Compensation properly denied the EMT’s claim for loss of hearing in both ears. </w:t>
      </w:r>
    </w:p>
    <w:p w14:paraId="2E941913" w14:textId="77777777" w:rsidR="002147DA" w:rsidRPr="000A5D76" w:rsidRDefault="002147DA" w:rsidP="002147DA">
      <w:pPr>
        <w:pStyle w:val="NoSpacing"/>
        <w:rPr>
          <w:rFonts w:ascii="Times New Roman" w:hAnsi="Times New Roman"/>
          <w:b/>
          <w:bCs/>
          <w:sz w:val="24"/>
          <w:szCs w:val="24"/>
        </w:rPr>
      </w:pPr>
    </w:p>
    <w:p w14:paraId="0292CC9E"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“The Commission found that the record evidence, including plaintiff’s testimony, did not reveal plaintiff ever discussing a loud noise or a certain degree of noise during the motor vehicle accident sufficient to cause plaintiff to sustain asymmetric bilateral hearing loss. Moreover, the motor vehicle collision on 13 April 2016 “’resulted in only minimal damage to [the vehicle plaintiff was driving].’ Based on the preponderance of evidence in view of the entire record, the Commission found that ‘insufficient evidence exists to establish a causal connection between the 13 April 2016 motor vehicle accident and [p]</w:t>
      </w:r>
      <w:proofErr w:type="spellStart"/>
      <w:r w:rsidRPr="000A5D76">
        <w:rPr>
          <w:rFonts w:ascii="Times New Roman" w:hAnsi="Times New Roman"/>
          <w:bCs/>
          <w:sz w:val="24"/>
          <w:szCs w:val="24"/>
        </w:rPr>
        <w:t>laintiff’s</w:t>
      </w:r>
      <w:proofErr w:type="spellEnd"/>
      <w:r w:rsidRPr="000A5D76">
        <w:rPr>
          <w:rFonts w:ascii="Times New Roman" w:hAnsi="Times New Roman"/>
          <w:bCs/>
          <w:sz w:val="24"/>
          <w:szCs w:val="24"/>
        </w:rPr>
        <w:t xml:space="preserve"> alleged injury to his ears, including bilateral hearing loss.” </w:t>
      </w:r>
      <w:hyperlink r:id="rId1306" w:history="1">
        <w:r w:rsidRPr="000A5D76">
          <w:rPr>
            <w:rStyle w:val="Hyperlink"/>
            <w:rFonts w:ascii="Times New Roman" w:hAnsi="Times New Roman"/>
            <w:b/>
            <w:sz w:val="24"/>
            <w:szCs w:val="24"/>
          </w:rPr>
          <w:t>https://appellate.nccourts.org/opinions/?c=2&amp;pdf=38946</w:t>
        </w:r>
      </w:hyperlink>
      <w:r w:rsidRPr="000A5D76">
        <w:rPr>
          <w:rFonts w:ascii="Times New Roman" w:hAnsi="Times New Roman"/>
          <w:bCs/>
          <w:sz w:val="24"/>
          <w:szCs w:val="24"/>
        </w:rPr>
        <w:t xml:space="preserve"> </w:t>
      </w:r>
    </w:p>
    <w:bookmarkEnd w:id="244"/>
    <w:p w14:paraId="5D759841" w14:textId="77777777" w:rsidR="002147DA" w:rsidRDefault="002147DA" w:rsidP="002147DA">
      <w:pPr>
        <w:pStyle w:val="NoSpacing"/>
        <w:rPr>
          <w:rFonts w:ascii="Times New Roman" w:hAnsi="Times New Roman"/>
          <w:b/>
          <w:bCs/>
          <w:sz w:val="24"/>
          <w:szCs w:val="24"/>
        </w:rPr>
      </w:pPr>
    </w:p>
    <w:p w14:paraId="6F12067E" w14:textId="18C1CA2B" w:rsidR="002147DA" w:rsidRPr="000A5D76" w:rsidRDefault="002147DA" w:rsidP="002147DA">
      <w:pPr>
        <w:pStyle w:val="NoSpacing"/>
        <w:rPr>
          <w:rFonts w:ascii="Times New Roman" w:hAnsi="Times New Roman"/>
          <w:b/>
          <w:bCs/>
          <w:sz w:val="24"/>
          <w:szCs w:val="24"/>
        </w:rPr>
      </w:pPr>
      <w:bookmarkStart w:id="245" w:name="_Hlk40510594"/>
      <w:r w:rsidRPr="000A5D76">
        <w:rPr>
          <w:rFonts w:ascii="Times New Roman" w:hAnsi="Times New Roman"/>
          <w:b/>
          <w:bCs/>
          <w:sz w:val="24"/>
          <w:szCs w:val="24"/>
        </w:rPr>
        <w:t xml:space="preserve">Legal Lessons Learned:  With a minor MVA, it is difficult to understand the EMT’s claim that he lost hearing in both ears. </w:t>
      </w:r>
    </w:p>
    <w:bookmarkEnd w:id="245"/>
    <w:p w14:paraId="218FFA19" w14:textId="77777777" w:rsidR="002147DA" w:rsidRPr="000A5D76" w:rsidRDefault="002147DA" w:rsidP="002147DA">
      <w:pPr>
        <w:pStyle w:val="NoSpacing"/>
        <w:rPr>
          <w:rFonts w:ascii="Times New Roman" w:hAnsi="Times New Roman"/>
          <w:b/>
          <w:bCs/>
          <w:sz w:val="24"/>
          <w:szCs w:val="24"/>
        </w:rPr>
      </w:pPr>
    </w:p>
    <w:p w14:paraId="52DCF66F" w14:textId="77777777" w:rsidR="002147DA" w:rsidRDefault="002147DA" w:rsidP="00EF1133">
      <w:pPr>
        <w:rPr>
          <w:rFonts w:ascii="Arial Black" w:hAnsi="Arial Black"/>
          <w:b/>
          <w:sz w:val="24"/>
          <w:szCs w:val="24"/>
        </w:rPr>
      </w:pPr>
    </w:p>
    <w:p w14:paraId="107D2CBC" w14:textId="77777777" w:rsidR="002147DA" w:rsidRDefault="002147DA" w:rsidP="00EF1133">
      <w:pPr>
        <w:rPr>
          <w:rFonts w:ascii="Arial Black" w:hAnsi="Arial Black"/>
          <w:b/>
          <w:sz w:val="24"/>
          <w:szCs w:val="24"/>
        </w:rPr>
      </w:pPr>
    </w:p>
    <w:p w14:paraId="31257DA4" w14:textId="01E6DB71" w:rsidR="002147DA" w:rsidRDefault="002147DA" w:rsidP="00EF1133">
      <w:pPr>
        <w:rPr>
          <w:rFonts w:ascii="Arial Black" w:hAnsi="Arial Black"/>
          <w:b/>
          <w:sz w:val="24"/>
          <w:szCs w:val="24"/>
        </w:rPr>
      </w:pPr>
      <w:r>
        <w:rPr>
          <w:rFonts w:ascii="Arial Black" w:hAnsi="Arial Black"/>
          <w:b/>
          <w:sz w:val="24"/>
          <w:szCs w:val="24"/>
        </w:rPr>
        <w:t>6-38</w:t>
      </w:r>
    </w:p>
    <w:p w14:paraId="0A0CEA28" w14:textId="77777777" w:rsidR="002147DA" w:rsidRPr="00B71D71" w:rsidRDefault="002147DA" w:rsidP="002147DA">
      <w:pPr>
        <w:pStyle w:val="NoSpacing"/>
        <w:rPr>
          <w:rFonts w:ascii="Arial Black" w:hAnsi="Arial Black"/>
          <w:sz w:val="28"/>
          <w:szCs w:val="28"/>
        </w:rPr>
      </w:pPr>
      <w:r w:rsidRPr="00B71D71">
        <w:rPr>
          <w:rFonts w:ascii="Arial Black" w:hAnsi="Arial Black"/>
          <w:sz w:val="28"/>
          <w:szCs w:val="28"/>
        </w:rPr>
        <w:t xml:space="preserve">MD: </w:t>
      </w:r>
      <w:r>
        <w:rPr>
          <w:rFonts w:ascii="Arial Black" w:hAnsi="Arial Black"/>
          <w:sz w:val="28"/>
          <w:szCs w:val="28"/>
        </w:rPr>
        <w:t xml:space="preserve"> WORKER’S COMP – GRANTED FOR ANKLE INJURY – AFTER SHIFT SPENT NIGHT AT STATION – AUTHORIZED</w:t>
      </w:r>
    </w:p>
    <w:p w14:paraId="3AD8DA83" w14:textId="38226C02" w:rsidR="002147DA" w:rsidRDefault="002147DA" w:rsidP="002147D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7, 2020, in </w:t>
      </w:r>
      <w:r w:rsidRPr="00EC156E">
        <w:rPr>
          <w:rFonts w:ascii="Times New Roman" w:eastAsia="Times New Roman" w:hAnsi="Times New Roman"/>
          <w:sz w:val="24"/>
          <w:szCs w:val="24"/>
          <w:u w:val="single"/>
        </w:rPr>
        <w:t>Montgomery County, Maryland v. John T. Maloney</w:t>
      </w:r>
      <w:r>
        <w:rPr>
          <w:rFonts w:ascii="Times New Roman" w:eastAsia="Times New Roman" w:hAnsi="Times New Roman"/>
          <w:sz w:val="24"/>
          <w:szCs w:val="24"/>
        </w:rPr>
        <w:t xml:space="preserve">, the Court of Special Appeals of Maryland, held (3 to 0) that the FF, even though he was off duty, was entitled to workers comp, confirming the holdings of both the Workers Compensation Commission, and Circuit Court judge who held evidentiary hearing.    </w:t>
      </w:r>
    </w:p>
    <w:p w14:paraId="2C4397C7" w14:textId="77777777" w:rsidR="002147DA" w:rsidRDefault="002147DA" w:rsidP="002147D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B71D71">
        <w:rPr>
          <w:rFonts w:ascii="Times New Roman" w:eastAsia="Times New Roman" w:hAnsi="Times New Roman"/>
          <w:sz w:val="24"/>
          <w:szCs w:val="24"/>
        </w:rPr>
        <w:t xml:space="preserve">In Maryland, employers must compensate </w:t>
      </w:r>
      <w:r>
        <w:rPr>
          <w:rFonts w:ascii="Times New Roman" w:eastAsia="Times New Roman" w:hAnsi="Times New Roman"/>
          <w:sz w:val="24"/>
          <w:szCs w:val="24"/>
        </w:rPr>
        <w:t>‘</w:t>
      </w:r>
      <w:r w:rsidRPr="00B71D71">
        <w:rPr>
          <w:rFonts w:ascii="Times New Roman" w:eastAsia="Times New Roman" w:hAnsi="Times New Roman"/>
          <w:sz w:val="24"/>
          <w:szCs w:val="24"/>
        </w:rPr>
        <w:t>covered employee[s]</w:t>
      </w:r>
      <w:r>
        <w:rPr>
          <w:rFonts w:ascii="Times New Roman" w:eastAsia="Times New Roman" w:hAnsi="Times New Roman"/>
          <w:sz w:val="24"/>
          <w:szCs w:val="24"/>
        </w:rPr>
        <w:t>’</w:t>
      </w:r>
      <w:r w:rsidRPr="00B71D71">
        <w:rPr>
          <w:rFonts w:ascii="Times New Roman" w:eastAsia="Times New Roman" w:hAnsi="Times New Roman"/>
          <w:sz w:val="24"/>
          <w:szCs w:val="24"/>
        </w:rPr>
        <w:t xml:space="preserve"> for certain accidental personal injuries. Lab. &amp; </w:t>
      </w:r>
      <w:proofErr w:type="spellStart"/>
      <w:r w:rsidRPr="00B71D71">
        <w:rPr>
          <w:rFonts w:ascii="Times New Roman" w:eastAsia="Times New Roman" w:hAnsi="Times New Roman"/>
          <w:sz w:val="24"/>
          <w:szCs w:val="24"/>
        </w:rPr>
        <w:t>Empl</w:t>
      </w:r>
      <w:proofErr w:type="spellEnd"/>
      <w:r w:rsidRPr="00B71D71">
        <w:rPr>
          <w:rFonts w:ascii="Times New Roman" w:eastAsia="Times New Roman" w:hAnsi="Times New Roman"/>
          <w:sz w:val="24"/>
          <w:szCs w:val="24"/>
        </w:rPr>
        <w:t xml:space="preserve">. § 9-501. A compensable </w:t>
      </w:r>
      <w:r>
        <w:rPr>
          <w:rFonts w:ascii="Times New Roman" w:eastAsia="Times New Roman" w:hAnsi="Times New Roman"/>
          <w:sz w:val="24"/>
          <w:szCs w:val="24"/>
        </w:rPr>
        <w:t>‘</w:t>
      </w:r>
      <w:r w:rsidRPr="00B71D71">
        <w:rPr>
          <w:rFonts w:ascii="Times New Roman" w:eastAsia="Times New Roman" w:hAnsi="Times New Roman"/>
          <w:sz w:val="24"/>
          <w:szCs w:val="24"/>
        </w:rPr>
        <w:t>accidental personal injury</w:t>
      </w:r>
      <w:r>
        <w:rPr>
          <w:rFonts w:ascii="Times New Roman" w:eastAsia="Times New Roman" w:hAnsi="Times New Roman"/>
          <w:sz w:val="24"/>
          <w:szCs w:val="24"/>
        </w:rPr>
        <w:t>’</w:t>
      </w:r>
      <w:r w:rsidRPr="00B71D71">
        <w:rPr>
          <w:rFonts w:ascii="Times New Roman" w:eastAsia="Times New Roman" w:hAnsi="Times New Roman"/>
          <w:sz w:val="24"/>
          <w:szCs w:val="24"/>
        </w:rPr>
        <w:t xml:space="preserve"> is one that </w:t>
      </w:r>
      <w:r>
        <w:rPr>
          <w:rFonts w:ascii="Times New Roman" w:eastAsia="Times New Roman" w:hAnsi="Times New Roman"/>
          <w:sz w:val="24"/>
          <w:szCs w:val="24"/>
        </w:rPr>
        <w:t>‘</w:t>
      </w:r>
      <w:r w:rsidRPr="00B71D71">
        <w:rPr>
          <w:rFonts w:ascii="Times New Roman" w:eastAsia="Times New Roman" w:hAnsi="Times New Roman"/>
          <w:sz w:val="24"/>
          <w:szCs w:val="24"/>
        </w:rPr>
        <w:t>arises out of and in the course of employment.</w:t>
      </w:r>
      <w:r>
        <w:rPr>
          <w:rFonts w:ascii="Times New Roman" w:eastAsia="Times New Roman" w:hAnsi="Times New Roman"/>
          <w:sz w:val="24"/>
          <w:szCs w:val="24"/>
        </w:rPr>
        <w:t>’</w:t>
      </w:r>
      <w:r w:rsidRPr="00B71D71">
        <w:rPr>
          <w:rFonts w:ascii="Times New Roman" w:eastAsia="Times New Roman" w:hAnsi="Times New Roman"/>
          <w:sz w:val="24"/>
          <w:szCs w:val="24"/>
        </w:rPr>
        <w:t xml:space="preserve"> Lab. &amp; </w:t>
      </w:r>
      <w:proofErr w:type="spellStart"/>
      <w:r w:rsidRPr="00B71D71">
        <w:rPr>
          <w:rFonts w:ascii="Times New Roman" w:eastAsia="Times New Roman" w:hAnsi="Times New Roman"/>
          <w:sz w:val="24"/>
          <w:szCs w:val="24"/>
        </w:rPr>
        <w:t>Empl</w:t>
      </w:r>
      <w:proofErr w:type="spellEnd"/>
      <w:r w:rsidRPr="00B71D71">
        <w:rPr>
          <w:rFonts w:ascii="Times New Roman" w:eastAsia="Times New Roman" w:hAnsi="Times New Roman"/>
          <w:sz w:val="24"/>
          <w:szCs w:val="24"/>
        </w:rPr>
        <w:t xml:space="preserve">. § 9-101(b). At the end of the </w:t>
      </w:r>
      <w:r w:rsidRPr="00B71D71">
        <w:rPr>
          <w:rFonts w:ascii="Times New Roman" w:eastAsia="Times New Roman" w:hAnsi="Times New Roman"/>
          <w:i/>
          <w:iCs/>
          <w:sz w:val="24"/>
          <w:szCs w:val="24"/>
        </w:rPr>
        <w:t>de novo</w:t>
      </w:r>
      <w:r w:rsidRPr="00B71D71">
        <w:rPr>
          <w:rFonts w:ascii="Times New Roman" w:eastAsia="Times New Roman" w:hAnsi="Times New Roman"/>
          <w:sz w:val="24"/>
          <w:szCs w:val="24"/>
        </w:rPr>
        <w:t xml:space="preserve"> evidentiary hearing, the circuit court concluded that Maloney's firehouse injury met these criteria—that it arose out of and in the course of his employment. The County's second appellate contention is that this conclusion by the circuit court was in error. To support its position, the County focuses mainly on the </w:t>
      </w:r>
      <w:proofErr w:type="gramStart"/>
      <w:r w:rsidRPr="00B71D71">
        <w:rPr>
          <w:rFonts w:ascii="Times New Roman" w:eastAsia="Times New Roman" w:hAnsi="Times New Roman"/>
          <w:sz w:val="24"/>
          <w:szCs w:val="24"/>
        </w:rPr>
        <w:t>facts</w:t>
      </w:r>
      <w:proofErr w:type="gramEnd"/>
      <w:r>
        <w:rPr>
          <w:rFonts w:ascii="Times New Roman" w:eastAsia="Times New Roman" w:hAnsi="Times New Roman"/>
          <w:sz w:val="24"/>
          <w:szCs w:val="24"/>
        </w:rPr>
        <w:t xml:space="preserve"> </w:t>
      </w:r>
      <w:r w:rsidRPr="00B71D71">
        <w:rPr>
          <w:rFonts w:ascii="Times New Roman" w:eastAsia="Times New Roman" w:hAnsi="Times New Roman"/>
          <w:sz w:val="24"/>
          <w:szCs w:val="24"/>
        </w:rPr>
        <w:t>that Maloney was not on duty when he was injured, that he was not required to stay at Station 33 that night, and that he chose to stay there for his own convenience.</w:t>
      </w:r>
      <w:r>
        <w:rPr>
          <w:rFonts w:ascii="Times New Roman" w:eastAsia="Times New Roman" w:hAnsi="Times New Roman"/>
          <w:sz w:val="24"/>
          <w:szCs w:val="24"/>
        </w:rPr>
        <w:t xml:space="preserve"> </w:t>
      </w:r>
      <w:r w:rsidRPr="00B71D71">
        <w:rPr>
          <w:rFonts w:ascii="Times New Roman" w:eastAsia="Times New Roman" w:hAnsi="Times New Roman"/>
          <w:sz w:val="24"/>
          <w:szCs w:val="24"/>
        </w:rPr>
        <w:t>  These arguments are not persuasive.</w:t>
      </w:r>
      <w:r>
        <w:rPr>
          <w:rFonts w:ascii="Times New Roman" w:eastAsia="Times New Roman" w:hAnsi="Times New Roman"/>
          <w:sz w:val="24"/>
          <w:szCs w:val="24"/>
        </w:rPr>
        <w:t xml:space="preserve">” </w:t>
      </w:r>
      <w:hyperlink r:id="rId1307" w:history="1">
        <w:r w:rsidRPr="000B08B8">
          <w:rPr>
            <w:rStyle w:val="Hyperlink"/>
            <w:rFonts w:ascii="Times New Roman" w:hAnsi="Times New Roman"/>
            <w:sz w:val="24"/>
            <w:szCs w:val="24"/>
          </w:rPr>
          <w:t>https://public.fastcase.com/Wl%2B2t%2BeVuI35%2FN70vAMFZv4uc1sCbMG5dFxJ8lan7QREifr4yKlj8U3C7mB5N4Yr</w:t>
        </w:r>
      </w:hyperlink>
      <w:r>
        <w:rPr>
          <w:rFonts w:ascii="Times New Roman" w:eastAsia="Times New Roman" w:hAnsi="Times New Roman"/>
          <w:sz w:val="24"/>
          <w:szCs w:val="24"/>
        </w:rPr>
        <w:t xml:space="preserve"> </w:t>
      </w:r>
    </w:p>
    <w:p w14:paraId="73810425" w14:textId="77777777" w:rsidR="002147DA" w:rsidRPr="000A5D76" w:rsidRDefault="002147DA" w:rsidP="002147DA">
      <w:pPr>
        <w:pStyle w:val="NoSpacing"/>
        <w:rPr>
          <w:rFonts w:ascii="Times New Roman" w:eastAsia="Times New Roman" w:hAnsi="Times New Roman"/>
          <w:b/>
          <w:bCs/>
          <w:sz w:val="24"/>
          <w:szCs w:val="24"/>
        </w:rPr>
      </w:pPr>
      <w:r w:rsidRPr="000A5D76">
        <w:rPr>
          <w:rFonts w:ascii="Times New Roman" w:hAnsi="Times New Roman"/>
          <w:b/>
          <w:bCs/>
          <w:sz w:val="24"/>
          <w:szCs w:val="24"/>
        </w:rPr>
        <w:t xml:space="preserve">Legal Lessons Learned: Given the fact that off duty firefighters are routinely allowed to spend the night at a station, it is hard to understand why the County fought this claim. </w:t>
      </w:r>
    </w:p>
    <w:p w14:paraId="092C001F" w14:textId="77777777" w:rsidR="002147DA" w:rsidRDefault="002147DA" w:rsidP="00EF1133">
      <w:pPr>
        <w:rPr>
          <w:rFonts w:ascii="Arial Black" w:hAnsi="Arial Black"/>
          <w:b/>
          <w:sz w:val="24"/>
          <w:szCs w:val="24"/>
        </w:rPr>
      </w:pPr>
    </w:p>
    <w:p w14:paraId="6D5B2668" w14:textId="0651BF7E" w:rsidR="005F0E6D" w:rsidRDefault="005F0E6D" w:rsidP="00EF1133">
      <w:pPr>
        <w:rPr>
          <w:rFonts w:ascii="Arial Black" w:hAnsi="Arial Black"/>
          <w:b/>
          <w:sz w:val="24"/>
          <w:szCs w:val="24"/>
        </w:rPr>
      </w:pPr>
      <w:r>
        <w:rPr>
          <w:rFonts w:ascii="Arial Black" w:hAnsi="Arial Black"/>
          <w:b/>
          <w:sz w:val="24"/>
          <w:szCs w:val="24"/>
        </w:rPr>
        <w:t>6-37</w:t>
      </w:r>
    </w:p>
    <w:p w14:paraId="7CDDC22B" w14:textId="77777777" w:rsidR="002147DA" w:rsidRPr="00B21DE4" w:rsidRDefault="002147DA" w:rsidP="002147DA">
      <w:pPr>
        <w:pStyle w:val="NoSpacing"/>
        <w:rPr>
          <w:rFonts w:ascii="Arial Black" w:hAnsi="Arial Black"/>
          <w:sz w:val="28"/>
          <w:szCs w:val="28"/>
        </w:rPr>
      </w:pPr>
      <w:r w:rsidRPr="00B21DE4">
        <w:rPr>
          <w:rFonts w:ascii="Arial Black" w:hAnsi="Arial Black"/>
          <w:sz w:val="28"/>
          <w:szCs w:val="28"/>
        </w:rPr>
        <w:t>IL</w:t>
      </w:r>
      <w:r>
        <w:rPr>
          <w:rFonts w:ascii="Arial Black" w:hAnsi="Arial Black"/>
          <w:sz w:val="28"/>
          <w:szCs w:val="28"/>
        </w:rPr>
        <w:t xml:space="preserve">:  VILLAGE RESIDENCY REQ. – FIRED – MARRIED CHICAGO TEACHER, PRIMARY RESIDENCE NOT MOTHER’S HOUSE </w:t>
      </w:r>
    </w:p>
    <w:p w14:paraId="7569A9FB" w14:textId="536481C6" w:rsidR="002147DA" w:rsidRDefault="002147DA" w:rsidP="002147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31, 2020, in </w:t>
      </w:r>
      <w:r w:rsidRPr="00B21DE4">
        <w:rPr>
          <w:rFonts w:ascii="Times New Roman" w:hAnsi="Times New Roman"/>
          <w:sz w:val="24"/>
          <w:szCs w:val="24"/>
          <w:u w:val="single"/>
        </w:rPr>
        <w:t xml:space="preserve">Anthony Figueroa v. The Board of Fire </w:t>
      </w:r>
      <w:proofErr w:type="gramStart"/>
      <w:r w:rsidRPr="00B21DE4">
        <w:rPr>
          <w:rFonts w:ascii="Times New Roman" w:hAnsi="Times New Roman"/>
          <w:sz w:val="24"/>
          <w:szCs w:val="24"/>
          <w:u w:val="single"/>
        </w:rPr>
        <w:t>And</w:t>
      </w:r>
      <w:proofErr w:type="gramEnd"/>
      <w:r w:rsidRPr="00B21DE4">
        <w:rPr>
          <w:rFonts w:ascii="Times New Roman" w:hAnsi="Times New Roman"/>
          <w:sz w:val="24"/>
          <w:szCs w:val="24"/>
          <w:u w:val="single"/>
        </w:rPr>
        <w:t xml:space="preserve"> Police Commissioners </w:t>
      </w:r>
      <w:proofErr w:type="gramStart"/>
      <w:r w:rsidRPr="00B21DE4">
        <w:rPr>
          <w:rFonts w:ascii="Times New Roman" w:hAnsi="Times New Roman"/>
          <w:sz w:val="24"/>
          <w:szCs w:val="24"/>
          <w:u w:val="single"/>
        </w:rPr>
        <w:t>Of</w:t>
      </w:r>
      <w:proofErr w:type="gramEnd"/>
      <w:r w:rsidRPr="00B21DE4">
        <w:rPr>
          <w:rFonts w:ascii="Times New Roman" w:hAnsi="Times New Roman"/>
          <w:sz w:val="24"/>
          <w:szCs w:val="24"/>
          <w:u w:val="single"/>
        </w:rPr>
        <w:t xml:space="preserve"> </w:t>
      </w:r>
      <w:proofErr w:type="gramStart"/>
      <w:r w:rsidRPr="00B21DE4">
        <w:rPr>
          <w:rFonts w:ascii="Times New Roman" w:hAnsi="Times New Roman"/>
          <w:sz w:val="24"/>
          <w:szCs w:val="24"/>
          <w:u w:val="single"/>
        </w:rPr>
        <w:t>The</w:t>
      </w:r>
      <w:proofErr w:type="gramEnd"/>
      <w:r w:rsidRPr="00B21DE4">
        <w:rPr>
          <w:rFonts w:ascii="Times New Roman" w:hAnsi="Times New Roman"/>
          <w:sz w:val="24"/>
          <w:szCs w:val="24"/>
          <w:u w:val="single"/>
        </w:rPr>
        <w:t xml:space="preserve"> Village of Melrose Park, Illinois</w:t>
      </w:r>
      <w:r>
        <w:rPr>
          <w:rFonts w:ascii="Times New Roman" w:hAnsi="Times New Roman"/>
          <w:sz w:val="24"/>
          <w:szCs w:val="24"/>
        </w:rPr>
        <w:t xml:space="preserve">, the Appellate Court of Illinois (First District) held (3 to 0) in unpublished decision, held that the trial judge in Circuit Court properly refused to overturn the Board’s decision to terminate the firefighter’s employment, even though he showed he had part-time residency in his mother’s home in the Village.  The room he used in his mother’s house was also used by his mother. </w:t>
      </w:r>
    </w:p>
    <w:p w14:paraId="35F115CA" w14:textId="71AB0BD3" w:rsidR="002147DA" w:rsidRDefault="002147DA" w:rsidP="002147DA">
      <w:pPr>
        <w:ind w:left="720"/>
        <w:rPr>
          <w:rFonts w:ascii="Arial Black" w:hAnsi="Arial Black"/>
          <w:b/>
          <w:sz w:val="24"/>
          <w:szCs w:val="24"/>
        </w:rPr>
      </w:pPr>
      <w:r>
        <w:rPr>
          <w:rFonts w:ascii="Times New Roman" w:hAnsi="Times New Roman"/>
          <w:sz w:val="24"/>
          <w:szCs w:val="24"/>
        </w:rPr>
        <w:t>“</w:t>
      </w:r>
      <w:r w:rsidRPr="00B21DE4">
        <w:rPr>
          <w:rFonts w:ascii="Times New Roman" w:hAnsi="Times New Roman"/>
          <w:sz w:val="24"/>
          <w:szCs w:val="24"/>
        </w:rPr>
        <w:t xml:space="preserve">Giving the statutory language its plain and ordinary meaning, the Village’s residency requirement clearly and unambiguously </w:t>
      </w:r>
      <w:proofErr w:type="gramStart"/>
      <w:r w:rsidRPr="00B21DE4">
        <w:rPr>
          <w:rFonts w:ascii="Times New Roman" w:hAnsi="Times New Roman"/>
          <w:sz w:val="24"/>
          <w:szCs w:val="24"/>
        </w:rPr>
        <w:t>provided that</w:t>
      </w:r>
      <w:proofErr w:type="gramEnd"/>
      <w:r w:rsidRPr="00B21DE4">
        <w:rPr>
          <w:rFonts w:ascii="Times New Roman" w:hAnsi="Times New Roman"/>
          <w:sz w:val="24"/>
          <w:szCs w:val="24"/>
        </w:rPr>
        <w:t xml:space="preserve"> Figueroa had to live within the boundaries of the Village in a home that was his primary or most important residence throughout his period of employment. Contrary to Figueroa’s argument on appeal, the record establishes that the Board did not erroneously construe the ordinance to mean that he could not have more than one residence.</w:t>
      </w:r>
      <w:r>
        <w:rPr>
          <w:rFonts w:ascii="Times New Roman" w:hAnsi="Times New Roman"/>
          <w:sz w:val="24"/>
          <w:szCs w:val="24"/>
        </w:rPr>
        <w:t xml:space="preserve">”  </w:t>
      </w:r>
      <w:hyperlink r:id="rId1308" w:history="1">
        <w:r w:rsidRPr="00656322">
          <w:rPr>
            <w:rStyle w:val="Hyperlink"/>
            <w:rFonts w:ascii="Times New Roman" w:hAnsi="Times New Roman"/>
            <w:sz w:val="24"/>
            <w:szCs w:val="24"/>
          </w:rPr>
          <w:t>https://courts.illinois.gov/R23_Orders/AppellateCourt/2020/1stDistrict/1181708_R23.pdf</w:t>
        </w:r>
      </w:hyperlink>
    </w:p>
    <w:p w14:paraId="3C2361A7" w14:textId="77777777" w:rsidR="002147DA" w:rsidRPr="00AE3A49" w:rsidRDefault="002147DA" w:rsidP="002147DA">
      <w:pPr>
        <w:tabs>
          <w:tab w:val="left" w:pos="2930"/>
        </w:tabs>
        <w:spacing w:before="100" w:beforeAutospacing="1" w:after="100" w:afterAutospacing="1" w:line="240" w:lineRule="auto"/>
        <w:rPr>
          <w:rFonts w:ascii="Times New Roman" w:hAnsi="Times New Roman"/>
          <w:b/>
          <w:bCs/>
          <w:sz w:val="24"/>
          <w:szCs w:val="24"/>
        </w:rPr>
      </w:pPr>
      <w:r w:rsidRPr="00AE3A49">
        <w:rPr>
          <w:rFonts w:ascii="Times New Roman" w:hAnsi="Times New Roman"/>
          <w:b/>
          <w:bCs/>
          <w:sz w:val="24"/>
          <w:szCs w:val="24"/>
        </w:rPr>
        <w:t xml:space="preserve">Legal Lessons Learned: If the FF had purchased a home, or leased an apartment in the Village, took all his mail there, and kept Fire Chief informed, there may have never been charges brought. </w:t>
      </w:r>
    </w:p>
    <w:p w14:paraId="34660BE6" w14:textId="77777777" w:rsidR="002147DA" w:rsidRPr="00AE3A49" w:rsidRDefault="002147DA" w:rsidP="002147DA">
      <w:pPr>
        <w:pStyle w:val="NoSpacing"/>
        <w:ind w:left="720"/>
        <w:rPr>
          <w:rFonts w:ascii="Times New Roman" w:hAnsi="Times New Roman"/>
          <w:b/>
          <w:bCs/>
          <w:sz w:val="24"/>
          <w:szCs w:val="24"/>
        </w:rPr>
      </w:pPr>
      <w:r w:rsidRPr="00AE3A49">
        <w:rPr>
          <w:rFonts w:ascii="Times New Roman" w:hAnsi="Times New Roman"/>
          <w:bCs/>
          <w:sz w:val="24"/>
          <w:szCs w:val="24"/>
        </w:rPr>
        <w:t xml:space="preserve">Note: Some states, including Ohio, have abolished local residency requirements for emergency responders.  See Ohio Revised Code 9.481, “reside either in the county where the political subdivision is located or in any adjacent county in this state.” </w:t>
      </w:r>
      <w:hyperlink r:id="rId1309" w:history="1">
        <w:r w:rsidRPr="00AE3A49">
          <w:rPr>
            <w:rStyle w:val="Hyperlink"/>
            <w:rFonts w:ascii="Times New Roman" w:hAnsi="Times New Roman"/>
            <w:b/>
            <w:sz w:val="24"/>
            <w:szCs w:val="24"/>
          </w:rPr>
          <w:t>http://codes.ohio.gov/orc/gp9.481</w:t>
        </w:r>
      </w:hyperlink>
      <w:r w:rsidRPr="00AE3A49">
        <w:rPr>
          <w:rFonts w:ascii="Times New Roman" w:hAnsi="Times New Roman"/>
          <w:bCs/>
          <w:sz w:val="24"/>
          <w:szCs w:val="24"/>
        </w:rPr>
        <w:t xml:space="preserve"> </w:t>
      </w:r>
    </w:p>
    <w:p w14:paraId="3263228A" w14:textId="77777777" w:rsidR="005F0E6D" w:rsidRDefault="005F0E6D" w:rsidP="00EF1133">
      <w:pPr>
        <w:rPr>
          <w:rFonts w:ascii="Arial Black" w:hAnsi="Arial Black"/>
          <w:b/>
          <w:sz w:val="24"/>
          <w:szCs w:val="24"/>
        </w:rPr>
      </w:pPr>
    </w:p>
    <w:p w14:paraId="0FECC280" w14:textId="5CDD5718" w:rsidR="007540BD" w:rsidRDefault="007540BD" w:rsidP="00EF1133">
      <w:pPr>
        <w:rPr>
          <w:rFonts w:ascii="Arial Black" w:hAnsi="Arial Black"/>
          <w:b/>
          <w:sz w:val="24"/>
          <w:szCs w:val="24"/>
        </w:rPr>
      </w:pPr>
      <w:r>
        <w:rPr>
          <w:rFonts w:ascii="Arial Black" w:hAnsi="Arial Black"/>
          <w:b/>
          <w:sz w:val="24"/>
          <w:szCs w:val="24"/>
        </w:rPr>
        <w:t>6-36</w:t>
      </w:r>
    </w:p>
    <w:p w14:paraId="5B00557E" w14:textId="77777777" w:rsidR="007540BD" w:rsidRPr="00E81CA1" w:rsidRDefault="007540BD" w:rsidP="007540BD">
      <w:pPr>
        <w:spacing w:before="100" w:beforeAutospacing="1" w:after="100" w:afterAutospacing="1" w:line="240" w:lineRule="auto"/>
        <w:rPr>
          <w:rFonts w:ascii="Arial Black" w:eastAsia="Times New Roman" w:hAnsi="Arial Black"/>
          <w:b/>
          <w:bCs/>
          <w:sz w:val="28"/>
          <w:szCs w:val="28"/>
        </w:rPr>
      </w:pPr>
      <w:r w:rsidRPr="00E81CA1">
        <w:rPr>
          <w:rFonts w:ascii="Arial Black" w:eastAsia="Times New Roman" w:hAnsi="Arial Black"/>
          <w:b/>
          <w:bCs/>
          <w:sz w:val="28"/>
          <w:szCs w:val="28"/>
        </w:rPr>
        <w:t xml:space="preserve">TX: </w:t>
      </w:r>
      <w:r>
        <w:rPr>
          <w:rFonts w:ascii="Arial Black" w:eastAsia="Times New Roman" w:hAnsi="Arial Black"/>
          <w:b/>
          <w:bCs/>
          <w:sz w:val="28"/>
          <w:szCs w:val="28"/>
        </w:rPr>
        <w:t xml:space="preserve"> TESTICULAR CANCER – FF WORKERS COMP – CITY FAILED TO RAISE DEFENSE THAT FF DIDN’T FILE CLAIM WITHIN 1-YEAR </w:t>
      </w:r>
    </w:p>
    <w:p w14:paraId="36DCB9FC" w14:textId="77777777" w:rsidR="007540BD" w:rsidRDefault="007540BD" w:rsidP="007540BD">
      <w:pPr>
        <w:spacing w:before="100" w:beforeAutospacing="1" w:after="100" w:afterAutospacing="1" w:line="240" w:lineRule="auto"/>
        <w:rPr>
          <w:rFonts w:ascii="Times New Roman" w:eastAsia="Times New Roman" w:hAnsi="Times New Roman"/>
          <w:sz w:val="24"/>
          <w:szCs w:val="24"/>
        </w:rPr>
      </w:pPr>
      <w:r w:rsidRPr="009A62F9">
        <w:rPr>
          <w:rFonts w:ascii="Times New Roman" w:eastAsia="Times New Roman" w:hAnsi="Times New Roman"/>
          <w:sz w:val="24"/>
          <w:szCs w:val="24"/>
        </w:rPr>
        <w:t xml:space="preserve">On March 25, 2020, in </w:t>
      </w:r>
      <w:r w:rsidRPr="009A62F9">
        <w:rPr>
          <w:rFonts w:ascii="Times New Roman" w:eastAsia="Times New Roman" w:hAnsi="Times New Roman"/>
          <w:sz w:val="24"/>
          <w:szCs w:val="24"/>
          <w:u w:val="single"/>
        </w:rPr>
        <w:t>City of Dallas v. Gregory D. Thompson</w:t>
      </w:r>
      <w:r>
        <w:rPr>
          <w:rFonts w:ascii="Times New Roman" w:eastAsia="Times New Roman" w:hAnsi="Times New Roman"/>
          <w:sz w:val="24"/>
          <w:szCs w:val="24"/>
        </w:rPr>
        <w:t xml:space="preserve">, the Court of Appeals, Twelfth Court of Appeals District, Tyler, Texas held (3 to 0) that the firefighter is entitled to workers compensation coverage for his cancer. </w:t>
      </w:r>
    </w:p>
    <w:p w14:paraId="4CD7D203"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“The record supports the ALJ’s determination that Dallas did not raise its defense regarding Thompson’s failure to file a claim within one year of his injury within a reasonable amount of time after it became </w:t>
      </w:r>
    </w:p>
    <w:p w14:paraId="0EA09249" w14:textId="77777777" w:rsidR="007540BD" w:rsidRDefault="007540BD" w:rsidP="007540BD">
      <w:pPr>
        <w:pStyle w:val="NoSpacing"/>
        <w:rPr>
          <w:rFonts w:ascii="Times New Roman" w:hAnsi="Times New Roman"/>
          <w:bCs/>
          <w:sz w:val="24"/>
          <w:szCs w:val="24"/>
        </w:rPr>
      </w:pPr>
    </w:p>
    <w:p w14:paraId="4118C227" w14:textId="77777777" w:rsidR="007540BD" w:rsidRDefault="007540BD" w:rsidP="007540BD">
      <w:pPr>
        <w:pStyle w:val="NoSpacing"/>
        <w:rPr>
          <w:rFonts w:ascii="Times New Roman" w:hAnsi="Times New Roman"/>
          <w:bCs/>
          <w:sz w:val="24"/>
          <w:szCs w:val="24"/>
        </w:rPr>
      </w:pPr>
    </w:p>
    <w:p w14:paraId="6DDD1E84"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available. Therefore, Thompson showed as a matter of law that Dallas waived its one-year defense. Accordingly, the trial court did not err in denying Dallas’s motion for summary judgment and granting </w:t>
      </w:r>
    </w:p>
    <w:p w14:paraId="56E8B1AD" w14:textId="77777777" w:rsidR="007540BD" w:rsidRPr="007C7258" w:rsidRDefault="007540BD" w:rsidP="007540BD">
      <w:pPr>
        <w:pStyle w:val="NoSpacing"/>
        <w:ind w:left="720"/>
        <w:rPr>
          <w:rFonts w:ascii="Times New Roman" w:eastAsia="Times New Roman" w:hAnsi="Times New Roman"/>
          <w:b/>
          <w:bCs/>
          <w:sz w:val="24"/>
          <w:szCs w:val="24"/>
        </w:rPr>
      </w:pPr>
      <w:r w:rsidRPr="007C7258">
        <w:rPr>
          <w:rFonts w:ascii="Times New Roman" w:hAnsi="Times New Roman"/>
          <w:bCs/>
          <w:sz w:val="24"/>
          <w:szCs w:val="24"/>
        </w:rPr>
        <w:t xml:space="preserve">Thompson’s cross-motion for summary judgment.” </w:t>
      </w:r>
      <w:hyperlink r:id="rId1310" w:history="1">
        <w:r w:rsidRPr="007C7258">
          <w:rPr>
            <w:rStyle w:val="Hyperlink"/>
            <w:rFonts w:ascii="Times New Roman" w:hAnsi="Times New Roman"/>
            <w:b/>
            <w:sz w:val="24"/>
            <w:szCs w:val="24"/>
          </w:rPr>
          <w:t>http://www.search.txcourts.gov/SearchMedia.aspx?MediaVersionID=0d5f8f8d-dca0-42cf-9f3d-0b9f0ec4a868&amp;coa=coa12&amp;DT=Opinion&amp;MediaID=3cca35a6-dea2-4898-8844-a6d0a0f59f70</w:t>
        </w:r>
      </w:hyperlink>
    </w:p>
    <w:p w14:paraId="37F52047" w14:textId="77777777" w:rsidR="007540BD" w:rsidRPr="007C7258" w:rsidRDefault="007540BD" w:rsidP="007540BD">
      <w:pPr>
        <w:pStyle w:val="NoSpacing"/>
        <w:rPr>
          <w:rFonts w:ascii="Times New Roman" w:hAnsi="Times New Roman"/>
          <w:b/>
          <w:bCs/>
          <w:sz w:val="24"/>
          <w:szCs w:val="24"/>
        </w:rPr>
      </w:pPr>
    </w:p>
    <w:p w14:paraId="218A7C68" w14:textId="334F6FB2" w:rsidR="007540BD" w:rsidRDefault="007540BD" w:rsidP="00EF1133">
      <w:pPr>
        <w:rPr>
          <w:rFonts w:ascii="Arial Black" w:hAnsi="Arial Black"/>
          <w:b/>
          <w:sz w:val="24"/>
          <w:szCs w:val="24"/>
        </w:rPr>
      </w:pPr>
      <w:r w:rsidRPr="007C7258">
        <w:rPr>
          <w:rFonts w:ascii="Times New Roman" w:hAnsi="Times New Roman"/>
          <w:b/>
          <w:bCs/>
          <w:sz w:val="24"/>
          <w:szCs w:val="24"/>
        </w:rPr>
        <w:t>Legal Lessons Learned:  Many states have now enacted a “statutory presumption” regarding firefighter cancer</w:t>
      </w:r>
      <w:r w:rsidRPr="007C7258">
        <w:rPr>
          <w:rFonts w:ascii="Times New Roman" w:hAnsi="Times New Roman"/>
          <w:sz w:val="24"/>
          <w:szCs w:val="24"/>
        </w:rPr>
        <w:t xml:space="preserve">.  </w:t>
      </w:r>
      <w:r w:rsidRPr="007C7258">
        <w:rPr>
          <w:rFonts w:ascii="Times New Roman" w:hAnsi="Times New Roman"/>
          <w:bCs/>
          <w:sz w:val="24"/>
          <w:szCs w:val="24"/>
        </w:rPr>
        <w:t xml:space="preserve">See list of 33 states with statutory presumption statutes: </w:t>
      </w:r>
      <w:hyperlink r:id="rId1311" w:history="1">
        <w:r w:rsidRPr="007C7258">
          <w:rPr>
            <w:rStyle w:val="Hyperlink"/>
            <w:rFonts w:ascii="Times New Roman" w:hAnsi="Times New Roman"/>
            <w:b/>
            <w:sz w:val="24"/>
            <w:szCs w:val="24"/>
          </w:rPr>
          <w:t>https://www.firstrespondercenter.org/cancer/toolsresources/presumptive-legislation-firefighter-cancer-state/</w:t>
        </w:r>
      </w:hyperlink>
    </w:p>
    <w:p w14:paraId="3645B285" w14:textId="77777777" w:rsidR="007540BD" w:rsidRDefault="007540BD" w:rsidP="00A06387">
      <w:pPr>
        <w:pStyle w:val="NoSpacing"/>
        <w:rPr>
          <w:rFonts w:ascii="Arial Black" w:hAnsi="Arial Black"/>
          <w:sz w:val="28"/>
          <w:szCs w:val="28"/>
        </w:rPr>
      </w:pPr>
    </w:p>
    <w:p w14:paraId="39FFD0B3" w14:textId="0880F60A" w:rsidR="007540BD" w:rsidRDefault="007540BD" w:rsidP="00A06387">
      <w:pPr>
        <w:pStyle w:val="NoSpacing"/>
        <w:rPr>
          <w:rFonts w:ascii="Arial Black" w:hAnsi="Arial Black"/>
          <w:sz w:val="28"/>
          <w:szCs w:val="28"/>
        </w:rPr>
      </w:pPr>
      <w:r>
        <w:rPr>
          <w:rFonts w:ascii="Arial Black" w:hAnsi="Arial Black"/>
          <w:sz w:val="28"/>
          <w:szCs w:val="28"/>
        </w:rPr>
        <w:t>6-35</w:t>
      </w:r>
    </w:p>
    <w:p w14:paraId="566B8DA9" w14:textId="772676CA" w:rsidR="007540BD" w:rsidRDefault="007540BD" w:rsidP="00A06387">
      <w:pPr>
        <w:pStyle w:val="NoSpacing"/>
        <w:rPr>
          <w:rFonts w:ascii="Arial Black" w:hAnsi="Arial Black"/>
          <w:sz w:val="28"/>
          <w:szCs w:val="28"/>
        </w:rPr>
      </w:pPr>
    </w:p>
    <w:p w14:paraId="2ABB613A" w14:textId="77777777" w:rsidR="007540BD" w:rsidRPr="001456AA" w:rsidRDefault="007540BD" w:rsidP="007540BD">
      <w:pPr>
        <w:pStyle w:val="NoSpacing"/>
        <w:rPr>
          <w:rFonts w:ascii="Arial Black" w:hAnsi="Arial Black"/>
          <w:sz w:val="28"/>
          <w:szCs w:val="28"/>
        </w:rPr>
      </w:pPr>
      <w:r w:rsidRPr="001456AA">
        <w:rPr>
          <w:rFonts w:ascii="Arial Black" w:hAnsi="Arial Black"/>
          <w:sz w:val="28"/>
          <w:szCs w:val="28"/>
        </w:rPr>
        <w:t xml:space="preserve">IL: </w:t>
      </w:r>
      <w:r>
        <w:rPr>
          <w:rFonts w:ascii="Arial Black" w:hAnsi="Arial Black"/>
          <w:sz w:val="28"/>
          <w:szCs w:val="28"/>
        </w:rPr>
        <w:t>MANDATORY RETIREMENT FOR CHICAGO FF – AGE 63 – FF’S AGE DISCRIMINATION CASE DISMISSED</w:t>
      </w:r>
    </w:p>
    <w:p w14:paraId="718DBCBE" w14:textId="77777777" w:rsidR="007540BD" w:rsidRDefault="007540BD" w:rsidP="007540BD">
      <w:pPr>
        <w:pStyle w:val="NoSpacing"/>
      </w:pPr>
    </w:p>
    <w:p w14:paraId="658EBA95" w14:textId="77777777" w:rsidR="007540BD" w:rsidRPr="00E32D40" w:rsidRDefault="007540BD" w:rsidP="007540BD">
      <w:pPr>
        <w:pStyle w:val="NoSpacing"/>
        <w:rPr>
          <w:rFonts w:ascii="Times New Roman" w:hAnsi="Times New Roman"/>
          <w:b/>
          <w:bCs/>
          <w:sz w:val="24"/>
          <w:szCs w:val="24"/>
        </w:rPr>
      </w:pPr>
      <w:r w:rsidRPr="00E32D40">
        <w:rPr>
          <w:rFonts w:ascii="Times New Roman" w:hAnsi="Times New Roman"/>
          <w:bCs/>
          <w:sz w:val="24"/>
          <w:szCs w:val="24"/>
        </w:rPr>
        <w:t xml:space="preserve">On March 25, 2020, in </w:t>
      </w:r>
      <w:r w:rsidRPr="00E32D40">
        <w:rPr>
          <w:rFonts w:ascii="Times New Roman" w:hAnsi="Times New Roman"/>
          <w:bCs/>
          <w:sz w:val="24"/>
          <w:szCs w:val="24"/>
          <w:u w:val="single"/>
        </w:rPr>
        <w:t>Gerald Barry v. City of Chicago</w:t>
      </w:r>
      <w:r w:rsidRPr="00E32D40">
        <w:rPr>
          <w:rFonts w:ascii="Times New Roman" w:hAnsi="Times New Roman"/>
          <w:bCs/>
          <w:sz w:val="24"/>
          <w:szCs w:val="24"/>
        </w:rPr>
        <w:t xml:space="preserve">, U.S. District Court Judge John Robert Blakey, U.S. District Court for the Northern District of Illinois, Eastern Division, granted the City’s motion to dismiss.  This is his fourth amended complaint; the first three were dismissed because he failed to file an EEOC complaint within 300 days of the alleged discriminatory events.   </w:t>
      </w:r>
    </w:p>
    <w:p w14:paraId="2F98E62F" w14:textId="77777777" w:rsidR="007540BD" w:rsidRDefault="007540BD" w:rsidP="007540BD">
      <w:pPr>
        <w:pStyle w:val="NoSpacing"/>
        <w:rPr>
          <w:b/>
          <w:bCs/>
          <w:sz w:val="24"/>
          <w:szCs w:val="24"/>
        </w:rPr>
      </w:pPr>
    </w:p>
    <w:p w14:paraId="17C35CD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“Consistent with this new allegation, the operative complaint alleges that, on April 1, 2018, Plaintiff ‘lost the health care coverage that he had from the City of Chicago, resulting in a significant diminishment of his benefits.’ [39] at 5. He alleges that the loss of health care benefits is ‘consequential to the misapplication of the Mandatory Retirement Ordinance’ and that the City's decision to take away his health care coverage violates his rights under the ‘Lilly Ledbetter amendment to the Equal Pay Act.’</w:t>
      </w:r>
    </w:p>
    <w:p w14:paraId="3CCC52D5" w14:textId="77777777" w:rsidR="007540BD" w:rsidRPr="007C7258" w:rsidRDefault="007540BD" w:rsidP="007540BD">
      <w:pPr>
        <w:pStyle w:val="NoSpacing"/>
        <w:ind w:left="720"/>
        <w:rPr>
          <w:rFonts w:ascii="Times New Roman" w:hAnsi="Times New Roman"/>
          <w:b/>
          <w:bCs/>
          <w:sz w:val="24"/>
          <w:szCs w:val="24"/>
        </w:rPr>
      </w:pPr>
    </w:p>
    <w:p w14:paraId="059282DC"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60B2DE5A" w14:textId="77777777" w:rsidR="007540BD" w:rsidRPr="007C7258" w:rsidRDefault="007540BD" w:rsidP="007540BD">
      <w:pPr>
        <w:pStyle w:val="NoSpacing"/>
        <w:ind w:left="720"/>
        <w:rPr>
          <w:rFonts w:ascii="Times New Roman" w:hAnsi="Times New Roman"/>
          <w:b/>
          <w:bCs/>
          <w:sz w:val="24"/>
          <w:szCs w:val="24"/>
        </w:rPr>
      </w:pPr>
    </w:p>
    <w:p w14:paraId="490917E2"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Thus, to state a claim under the ADEA, Plaintiff must at least allege that age was the reason for the challenged adverse employment action. </w:t>
      </w:r>
      <w:r w:rsidRPr="007C7258">
        <w:rPr>
          <w:rFonts w:ascii="Times New Roman" w:hAnsi="Times New Roman"/>
          <w:bCs/>
          <w:i/>
          <w:iCs/>
          <w:sz w:val="24"/>
          <w:szCs w:val="24"/>
        </w:rPr>
        <w:t>E</w:t>
      </w:r>
      <w:r w:rsidRPr="007C7258">
        <w:rPr>
          <w:rFonts w:ascii="Times New Roman" w:hAnsi="Times New Roman"/>
          <w:bCs/>
          <w:sz w:val="24"/>
          <w:szCs w:val="24"/>
        </w:rPr>
        <w:t>.</w:t>
      </w:r>
      <w:r w:rsidRPr="007C7258">
        <w:rPr>
          <w:rFonts w:ascii="Times New Roman" w:hAnsi="Times New Roman"/>
          <w:bCs/>
          <w:i/>
          <w:iCs/>
          <w:sz w:val="24"/>
          <w:szCs w:val="24"/>
        </w:rPr>
        <w:t>g</w:t>
      </w:r>
      <w:r w:rsidRPr="007C7258">
        <w:rPr>
          <w:rFonts w:ascii="Times New Roman" w:hAnsi="Times New Roman"/>
          <w:bCs/>
          <w:sz w:val="24"/>
          <w:szCs w:val="24"/>
        </w:rPr>
        <w:t xml:space="preserve">., </w:t>
      </w:r>
      <w:r w:rsidRPr="007C7258">
        <w:rPr>
          <w:rFonts w:ascii="Times New Roman" w:hAnsi="Times New Roman"/>
          <w:bCs/>
          <w:i/>
          <w:iCs/>
          <w:sz w:val="24"/>
          <w:szCs w:val="24"/>
        </w:rPr>
        <w:t>Gross v</w:t>
      </w:r>
      <w:r w:rsidRPr="007C7258">
        <w:rPr>
          <w:rFonts w:ascii="Times New Roman" w:hAnsi="Times New Roman"/>
          <w:bCs/>
          <w:sz w:val="24"/>
          <w:szCs w:val="24"/>
        </w:rPr>
        <w:t xml:space="preserve">. </w:t>
      </w:r>
      <w:r w:rsidRPr="007C7258">
        <w:rPr>
          <w:rFonts w:ascii="Times New Roman" w:hAnsi="Times New Roman"/>
          <w:bCs/>
          <w:i/>
          <w:iCs/>
          <w:sz w:val="24"/>
          <w:szCs w:val="24"/>
        </w:rPr>
        <w:t>FBL Fin</w:t>
      </w:r>
      <w:r w:rsidRPr="007C7258">
        <w:rPr>
          <w:rFonts w:ascii="Times New Roman" w:hAnsi="Times New Roman"/>
          <w:bCs/>
          <w:sz w:val="24"/>
          <w:szCs w:val="24"/>
        </w:rPr>
        <w:t xml:space="preserve">. </w:t>
      </w:r>
      <w:r w:rsidRPr="007C7258">
        <w:rPr>
          <w:rFonts w:ascii="Times New Roman" w:hAnsi="Times New Roman"/>
          <w:bCs/>
          <w:i/>
          <w:iCs/>
          <w:sz w:val="24"/>
          <w:szCs w:val="24"/>
        </w:rPr>
        <w:t>Servs</w:t>
      </w:r>
      <w:r w:rsidRPr="007C7258">
        <w:rPr>
          <w:rFonts w:ascii="Times New Roman" w:hAnsi="Times New Roman"/>
          <w:bCs/>
          <w:sz w:val="24"/>
          <w:szCs w:val="24"/>
        </w:rPr>
        <w:t xml:space="preserve">., </w:t>
      </w:r>
      <w:r w:rsidRPr="007C7258">
        <w:rPr>
          <w:rFonts w:ascii="Times New Roman" w:hAnsi="Times New Roman"/>
          <w:bCs/>
          <w:i/>
          <w:iCs/>
          <w:sz w:val="24"/>
          <w:szCs w:val="24"/>
        </w:rPr>
        <w:t>Inc</w:t>
      </w:r>
      <w:r w:rsidRPr="007C7258">
        <w:rPr>
          <w:rFonts w:ascii="Times New Roman" w:hAnsi="Times New Roman"/>
          <w:bCs/>
          <w:sz w:val="24"/>
          <w:szCs w:val="24"/>
        </w:rPr>
        <w:t xml:space="preserve">., 557 U.S. 167, 180 (2009). And such an allegation is wholly absent here. Plaintiff checked the box marked ‘age’ on the Court's form employment discrimination complaint, </w:t>
      </w:r>
      <w:r w:rsidRPr="007C7258">
        <w:rPr>
          <w:rFonts w:ascii="Times New Roman" w:hAnsi="Times New Roman"/>
          <w:bCs/>
          <w:i/>
          <w:iCs/>
          <w:sz w:val="24"/>
          <w:szCs w:val="24"/>
        </w:rPr>
        <w:t>see</w:t>
      </w:r>
      <w:r w:rsidRPr="007C7258">
        <w:rPr>
          <w:rFonts w:ascii="Times New Roman" w:hAnsi="Times New Roman"/>
          <w:bCs/>
          <w:sz w:val="24"/>
          <w:szCs w:val="24"/>
        </w:rPr>
        <w:t xml:space="preserve"> [39] at 3; Case No. 19 C 2275, [1] at 3, but he fails to allege any facts to support an age discrimination claim. He alleges that the loss of health care coverage ‘was a violation of his rights under the Lilly Ledbetter amendment to the Equal Pay Act,’ [39] at 5; [1] at 5, but he does not say why or how. He alleges that the loss of health care: resulted ‘from the discriminatory mandatory retirement on April 16, 2016’; was ‘consequential to the misapplication of the Mandatory Retirement Ordinance’; and was part of a "continual effort of discrimination." [39] at 5; [1] at 5. But he never explains why the forced retirement constituted </w:t>
      </w:r>
      <w:proofErr w:type="gramStart"/>
      <w:r w:rsidRPr="007C7258">
        <w:rPr>
          <w:rFonts w:ascii="Times New Roman" w:hAnsi="Times New Roman"/>
          <w:bCs/>
          <w:sz w:val="24"/>
          <w:szCs w:val="24"/>
        </w:rPr>
        <w:t>a discriminatory</w:t>
      </w:r>
      <w:proofErr w:type="gramEnd"/>
      <w:r w:rsidRPr="007C7258">
        <w:rPr>
          <w:rFonts w:ascii="Times New Roman" w:hAnsi="Times New Roman"/>
          <w:bCs/>
          <w:sz w:val="24"/>
          <w:szCs w:val="24"/>
        </w:rPr>
        <w:t xml:space="preserve"> action or how the </w:t>
      </w:r>
      <w:proofErr w:type="gramStart"/>
      <w:r w:rsidRPr="007C7258">
        <w:rPr>
          <w:rFonts w:ascii="Times New Roman" w:hAnsi="Times New Roman"/>
          <w:bCs/>
          <w:sz w:val="24"/>
          <w:szCs w:val="24"/>
        </w:rPr>
        <w:t>City</w:t>
      </w:r>
      <w:proofErr w:type="gramEnd"/>
      <w:r w:rsidRPr="007C7258">
        <w:rPr>
          <w:rFonts w:ascii="Times New Roman" w:hAnsi="Times New Roman"/>
          <w:bCs/>
          <w:sz w:val="24"/>
          <w:szCs w:val="24"/>
        </w:rPr>
        <w:t xml:space="preserve"> misapplied the MRO.</w:t>
      </w:r>
    </w:p>
    <w:p w14:paraId="7CE6163C" w14:textId="77777777" w:rsidR="007540BD" w:rsidRPr="007C7258" w:rsidRDefault="007540BD" w:rsidP="007540BD">
      <w:pPr>
        <w:pStyle w:val="NoSpacing"/>
        <w:ind w:left="720"/>
        <w:rPr>
          <w:rFonts w:ascii="Times New Roman" w:hAnsi="Times New Roman"/>
          <w:b/>
          <w:bCs/>
          <w:sz w:val="24"/>
          <w:szCs w:val="24"/>
        </w:rPr>
      </w:pPr>
      <w:hyperlink r:id="rId1312" w:history="1">
        <w:r w:rsidRPr="007C7258">
          <w:rPr>
            <w:rStyle w:val="Hyperlink"/>
            <w:rFonts w:ascii="Times New Roman" w:hAnsi="Times New Roman"/>
            <w:b/>
            <w:sz w:val="24"/>
            <w:szCs w:val="24"/>
          </w:rPr>
          <w:t>https://public.fastcase.com/Wl%2B2t%2BeVuI35%2FN70vAMFZqIZGQiBixrRs%2FhIZFdJSEICCexWSoup5Rgc2fSfyUDA</w:t>
        </w:r>
      </w:hyperlink>
      <w:r w:rsidRPr="007C7258">
        <w:rPr>
          <w:rFonts w:ascii="Times New Roman" w:hAnsi="Times New Roman"/>
          <w:bCs/>
          <w:sz w:val="24"/>
          <w:szCs w:val="24"/>
        </w:rPr>
        <w:t xml:space="preserve"> </w:t>
      </w:r>
    </w:p>
    <w:p w14:paraId="21EFF389" w14:textId="77777777" w:rsidR="007540BD" w:rsidRPr="007C7258" w:rsidRDefault="007540BD" w:rsidP="007540BD">
      <w:pPr>
        <w:pStyle w:val="NoSpacing"/>
        <w:ind w:left="720"/>
        <w:rPr>
          <w:rFonts w:ascii="Times New Roman" w:hAnsi="Times New Roman"/>
          <w:b/>
          <w:bCs/>
          <w:sz w:val="24"/>
          <w:szCs w:val="24"/>
        </w:rPr>
      </w:pPr>
    </w:p>
    <w:p w14:paraId="0D5E8C7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Note: “As of December 31, 2000, the CFD’s compulsory retirement age is 63 for firefighters. There is no current compulsory retirement age for paramedics.” </w:t>
      </w:r>
      <w:hyperlink r:id="rId1313" w:history="1">
        <w:r w:rsidRPr="007C7258">
          <w:rPr>
            <w:rStyle w:val="Hyperlink"/>
            <w:rFonts w:ascii="Times New Roman" w:hAnsi="Times New Roman"/>
            <w:b/>
            <w:sz w:val="24"/>
            <w:szCs w:val="24"/>
          </w:rPr>
          <w:t>https://www.fabf.org/PDF/SummaryOfBenefits.pdf</w:t>
        </w:r>
      </w:hyperlink>
    </w:p>
    <w:p w14:paraId="7F3E6AF7" w14:textId="77777777" w:rsidR="007540BD" w:rsidRPr="007C7258" w:rsidRDefault="007540BD" w:rsidP="007540BD">
      <w:pPr>
        <w:pStyle w:val="NoSpacing"/>
        <w:ind w:left="720"/>
        <w:rPr>
          <w:rFonts w:ascii="Times New Roman" w:hAnsi="Times New Roman"/>
          <w:b/>
          <w:bCs/>
          <w:sz w:val="24"/>
          <w:szCs w:val="24"/>
        </w:rPr>
      </w:pPr>
    </w:p>
    <w:p w14:paraId="7D3E9A7A"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 xml:space="preserve">Legal Lessons Learned: </w:t>
      </w:r>
      <w:r>
        <w:rPr>
          <w:rFonts w:ascii="Times New Roman" w:hAnsi="Times New Roman"/>
          <w:b/>
          <w:bCs/>
          <w:sz w:val="24"/>
          <w:szCs w:val="24"/>
        </w:rPr>
        <w:t xml:space="preserve">A city ordinance mandating a </w:t>
      </w:r>
      <w:r w:rsidRPr="007C7258">
        <w:rPr>
          <w:rFonts w:ascii="Times New Roman" w:hAnsi="Times New Roman"/>
          <w:b/>
          <w:bCs/>
          <w:sz w:val="24"/>
          <w:szCs w:val="24"/>
        </w:rPr>
        <w:t xml:space="preserve">retirement age for firefighters does not violate the Age Discrimination in Employment Act of 1967, or the </w:t>
      </w:r>
      <w:r w:rsidRPr="007C7258">
        <w:rPr>
          <w:rFonts w:ascii="Times New Roman" w:eastAsia="Times New Roman" w:hAnsi="Times New Roman"/>
          <w:b/>
          <w:bCs/>
          <w:sz w:val="24"/>
          <w:szCs w:val="24"/>
        </w:rPr>
        <w:t>Lilly Ledbetter Fair Pay Act of 2009.</w:t>
      </w:r>
    </w:p>
    <w:p w14:paraId="19A820E4" w14:textId="77777777" w:rsidR="007540BD" w:rsidRDefault="007540BD" w:rsidP="00A06387">
      <w:pPr>
        <w:pStyle w:val="NoSpacing"/>
        <w:rPr>
          <w:rFonts w:ascii="Arial Black" w:hAnsi="Arial Black"/>
          <w:sz w:val="28"/>
          <w:szCs w:val="28"/>
        </w:rPr>
      </w:pPr>
    </w:p>
    <w:p w14:paraId="72A3C127" w14:textId="77777777" w:rsidR="007540BD" w:rsidRDefault="007540BD" w:rsidP="00A06387">
      <w:pPr>
        <w:pStyle w:val="NoSpacing"/>
        <w:rPr>
          <w:rFonts w:ascii="Arial Black" w:hAnsi="Arial Black"/>
          <w:sz w:val="28"/>
          <w:szCs w:val="28"/>
        </w:rPr>
      </w:pPr>
    </w:p>
    <w:p w14:paraId="2432ADEA" w14:textId="77777777" w:rsidR="007540BD" w:rsidRDefault="007540BD" w:rsidP="00A06387">
      <w:pPr>
        <w:pStyle w:val="NoSpacing"/>
        <w:rPr>
          <w:rFonts w:ascii="Arial Black" w:hAnsi="Arial Black"/>
          <w:sz w:val="28"/>
          <w:szCs w:val="28"/>
        </w:rPr>
      </w:pPr>
    </w:p>
    <w:p w14:paraId="33A2F0A2" w14:textId="0F35F633" w:rsidR="007540BD" w:rsidRDefault="007540BD" w:rsidP="00A06387">
      <w:pPr>
        <w:pStyle w:val="NoSpacing"/>
        <w:rPr>
          <w:rFonts w:ascii="Arial Black" w:hAnsi="Arial Black"/>
          <w:sz w:val="28"/>
          <w:szCs w:val="28"/>
        </w:rPr>
      </w:pPr>
      <w:r>
        <w:rPr>
          <w:rFonts w:ascii="Arial Black" w:hAnsi="Arial Black"/>
          <w:sz w:val="28"/>
          <w:szCs w:val="28"/>
        </w:rPr>
        <w:t>6-34</w:t>
      </w:r>
    </w:p>
    <w:p w14:paraId="7BC4ED62" w14:textId="4CD3CFB2" w:rsidR="007540BD" w:rsidRDefault="007540BD" w:rsidP="00A06387">
      <w:pPr>
        <w:pStyle w:val="NoSpacing"/>
        <w:rPr>
          <w:rFonts w:ascii="Arial Black" w:hAnsi="Arial Black"/>
          <w:sz w:val="28"/>
          <w:szCs w:val="28"/>
        </w:rPr>
      </w:pPr>
    </w:p>
    <w:p w14:paraId="7C603A6D" w14:textId="77777777" w:rsidR="007540BD" w:rsidRPr="00651DAF" w:rsidRDefault="007540BD" w:rsidP="007540BD">
      <w:pPr>
        <w:pStyle w:val="NoSpacing"/>
        <w:rPr>
          <w:rFonts w:ascii="Arial Black" w:hAnsi="Arial Black"/>
          <w:b/>
          <w:bCs/>
          <w:sz w:val="28"/>
          <w:szCs w:val="28"/>
        </w:rPr>
      </w:pPr>
      <w:r w:rsidRPr="00651DAF">
        <w:rPr>
          <w:rFonts w:ascii="Arial Black" w:hAnsi="Arial Black"/>
          <w:bCs/>
          <w:sz w:val="28"/>
          <w:szCs w:val="28"/>
        </w:rPr>
        <w:t xml:space="preserve">CT: </w:t>
      </w:r>
      <w:r>
        <w:rPr>
          <w:rFonts w:ascii="Arial Black" w:hAnsi="Arial Black"/>
          <w:bCs/>
          <w:sz w:val="28"/>
          <w:szCs w:val="28"/>
        </w:rPr>
        <w:t xml:space="preserve">RETIRED FF – WORKER’S COMP FOR HYPERTENSION – NOW CORONARY ARTERY DISEASE IS ALSO COVERED </w:t>
      </w:r>
    </w:p>
    <w:p w14:paraId="12AE5452" w14:textId="77777777" w:rsidR="007540BD" w:rsidRDefault="007540BD" w:rsidP="007540BD">
      <w:pPr>
        <w:pStyle w:val="NoSpacing"/>
        <w:rPr>
          <w:b/>
          <w:bCs/>
          <w:sz w:val="24"/>
          <w:szCs w:val="24"/>
        </w:rPr>
      </w:pPr>
    </w:p>
    <w:p w14:paraId="44E596D8" w14:textId="77777777" w:rsidR="007540BD" w:rsidRPr="00E0273B" w:rsidRDefault="007540BD" w:rsidP="007540BD">
      <w:pPr>
        <w:pStyle w:val="NoSpacing"/>
        <w:rPr>
          <w:rFonts w:ascii="Times New Roman" w:hAnsi="Times New Roman"/>
          <w:b/>
          <w:bCs/>
          <w:sz w:val="24"/>
          <w:szCs w:val="24"/>
        </w:rPr>
      </w:pPr>
      <w:r w:rsidRPr="00E0273B">
        <w:rPr>
          <w:rFonts w:ascii="Times New Roman" w:hAnsi="Times New Roman"/>
          <w:bCs/>
          <w:sz w:val="24"/>
          <w:szCs w:val="24"/>
        </w:rPr>
        <w:t xml:space="preserve">On March 10, 2020, in </w:t>
      </w:r>
      <w:r w:rsidRPr="00E0273B">
        <w:rPr>
          <w:rFonts w:ascii="Times New Roman" w:hAnsi="Times New Roman"/>
          <w:bCs/>
          <w:sz w:val="24"/>
          <w:szCs w:val="24"/>
          <w:u w:val="single"/>
        </w:rPr>
        <w:t>John Coughlin v. Stamford Fire Department, et al</w:t>
      </w:r>
      <w:r w:rsidRPr="00E0273B">
        <w:rPr>
          <w:rFonts w:ascii="Times New Roman" w:hAnsi="Times New Roman"/>
          <w:bCs/>
          <w:sz w:val="24"/>
          <w:szCs w:val="24"/>
        </w:rPr>
        <w:t xml:space="preserve">., the Supreme Court of Connecticut held (7 to 0) that a firefighter who had a compensable </w:t>
      </w:r>
      <w:proofErr w:type="gramStart"/>
      <w:r w:rsidRPr="00E0273B">
        <w:rPr>
          <w:rFonts w:ascii="Times New Roman" w:hAnsi="Times New Roman"/>
          <w:bCs/>
          <w:sz w:val="24"/>
          <w:szCs w:val="24"/>
        </w:rPr>
        <w:t>workers</w:t>
      </w:r>
      <w:proofErr w:type="gramEnd"/>
      <w:r w:rsidRPr="00E0273B">
        <w:rPr>
          <w:rFonts w:ascii="Times New Roman" w:hAnsi="Times New Roman"/>
          <w:bCs/>
          <w:sz w:val="24"/>
          <w:szCs w:val="24"/>
        </w:rPr>
        <w:t xml:space="preserve"> comp claim approved in 2011, and retired in 2013, is also covered for heart disease detected after his retirement. </w:t>
      </w:r>
    </w:p>
    <w:p w14:paraId="36D8BA21" w14:textId="77777777" w:rsidR="007540BD" w:rsidRDefault="007540BD" w:rsidP="007540BD">
      <w:pPr>
        <w:pStyle w:val="NoSpacing"/>
        <w:rPr>
          <w:b/>
          <w:bCs/>
          <w:sz w:val="24"/>
          <w:szCs w:val="24"/>
        </w:rPr>
      </w:pPr>
    </w:p>
    <w:p w14:paraId="56277D7C" w14:textId="43100AFC"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“The plaintiff responds that his heart disease claim was timely because it flowed from his compensable claim for hypertension, and neither a plain reading of § 7-433c nor this court’s interpretation of that statute requires</w:t>
      </w:r>
    </w:p>
    <w:p w14:paraId="4405D616"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hypertension and heart disease to be treated as separate diseases when they are causally related. We agree with the plaintiff and, accordingly, affirm the decision of the board. </w:t>
      </w:r>
    </w:p>
    <w:p w14:paraId="2EF2F43E" w14:textId="77777777" w:rsidR="007540BD" w:rsidRDefault="007540BD" w:rsidP="007540BD">
      <w:pPr>
        <w:pStyle w:val="NoSpacing"/>
        <w:ind w:firstLine="720"/>
        <w:rPr>
          <w:rFonts w:ascii="Times New Roman" w:hAnsi="Times New Roman"/>
          <w:bCs/>
          <w:sz w:val="24"/>
          <w:szCs w:val="24"/>
        </w:rPr>
      </w:pPr>
    </w:p>
    <w:p w14:paraId="3990B7BB" w14:textId="77777777" w:rsidR="007540BD" w:rsidRPr="007C7258" w:rsidRDefault="007540BD" w:rsidP="007540BD">
      <w:pPr>
        <w:pStyle w:val="NoSpacing"/>
        <w:ind w:firstLine="720"/>
        <w:rPr>
          <w:rFonts w:ascii="Times New Roman" w:hAnsi="Times New Roman"/>
          <w:b/>
          <w:bCs/>
          <w:sz w:val="24"/>
          <w:szCs w:val="24"/>
        </w:rPr>
      </w:pPr>
      <w:r w:rsidRPr="007C7258">
        <w:rPr>
          <w:rFonts w:ascii="Times New Roman" w:hAnsi="Times New Roman"/>
          <w:bCs/>
          <w:sz w:val="24"/>
          <w:szCs w:val="24"/>
        </w:rPr>
        <w:t>***</w:t>
      </w:r>
    </w:p>
    <w:p w14:paraId="7FE5462A" w14:textId="77777777" w:rsidR="007540BD" w:rsidRPr="007C7258" w:rsidRDefault="007540BD" w:rsidP="007540BD">
      <w:pPr>
        <w:pStyle w:val="NoSpacing"/>
        <w:rPr>
          <w:rFonts w:ascii="Times New Roman" w:hAnsi="Times New Roman"/>
          <w:b/>
          <w:bCs/>
          <w:sz w:val="24"/>
          <w:szCs w:val="24"/>
        </w:rPr>
      </w:pPr>
    </w:p>
    <w:p w14:paraId="19C1B32B"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It follows that a claim for a heart disease that occurred after an initial compensable claim for hypertension pursuant to § 7-433c may qualify for benefits without the need to file a new notice of claim, as long as there is a causal connection between the two injuries, as required by the act.</w:t>
      </w:r>
    </w:p>
    <w:p w14:paraId="3703407A" w14:textId="77777777" w:rsidR="007540BD" w:rsidRPr="007C7258" w:rsidRDefault="007540BD" w:rsidP="007540BD">
      <w:pPr>
        <w:pStyle w:val="NoSpacing"/>
        <w:ind w:firstLine="720"/>
        <w:rPr>
          <w:rFonts w:ascii="Times New Roman" w:hAnsi="Times New Roman"/>
          <w:b/>
          <w:bCs/>
          <w:sz w:val="24"/>
          <w:szCs w:val="24"/>
        </w:rPr>
      </w:pPr>
      <w:hyperlink r:id="rId1314" w:history="1">
        <w:r w:rsidRPr="007C7258">
          <w:rPr>
            <w:rStyle w:val="Hyperlink"/>
            <w:rFonts w:ascii="Times New Roman" w:hAnsi="Times New Roman"/>
            <w:b/>
            <w:sz w:val="24"/>
            <w:szCs w:val="24"/>
          </w:rPr>
          <w:t>https://www.jud.ct.gov/external/supapp/Cases/AROcr/CR334/334CR12.pdf</w:t>
        </w:r>
      </w:hyperlink>
      <w:r w:rsidRPr="007C7258">
        <w:rPr>
          <w:rFonts w:ascii="Times New Roman" w:hAnsi="Times New Roman"/>
          <w:bCs/>
          <w:sz w:val="24"/>
          <w:szCs w:val="24"/>
        </w:rPr>
        <w:t xml:space="preserve"> </w:t>
      </w:r>
    </w:p>
    <w:p w14:paraId="74D3CCAF" w14:textId="6D5823C3" w:rsidR="007540BD" w:rsidRDefault="007540BD" w:rsidP="00A06387">
      <w:pPr>
        <w:pStyle w:val="NoSpacing"/>
        <w:rPr>
          <w:rFonts w:ascii="Arial Black" w:hAnsi="Arial Black"/>
          <w:sz w:val="28"/>
          <w:szCs w:val="28"/>
        </w:rPr>
      </w:pPr>
    </w:p>
    <w:p w14:paraId="432E327A" w14:textId="77777777" w:rsidR="007540BD" w:rsidRPr="007C7258" w:rsidRDefault="007540BD" w:rsidP="007540BD">
      <w:pPr>
        <w:spacing w:before="100" w:beforeAutospacing="1" w:after="100" w:afterAutospacing="1" w:line="240" w:lineRule="auto"/>
        <w:rPr>
          <w:rFonts w:ascii="Times New Roman" w:eastAsia="Times New Roman" w:hAnsi="Times New Roman"/>
          <w:b/>
          <w:bCs/>
          <w:sz w:val="24"/>
          <w:szCs w:val="24"/>
        </w:rPr>
      </w:pPr>
      <w:r w:rsidRPr="007C7258">
        <w:rPr>
          <w:rFonts w:ascii="Times New Roman" w:eastAsia="Times New Roman" w:hAnsi="Times New Roman"/>
          <w:b/>
          <w:bCs/>
          <w:sz w:val="24"/>
          <w:szCs w:val="24"/>
        </w:rPr>
        <w:t xml:space="preserve">Legal Lessons Learned:  A helpful decision that makes lots of sense; clear relationship between hypertension and </w:t>
      </w:r>
      <w:r>
        <w:rPr>
          <w:rFonts w:ascii="Times New Roman" w:eastAsia="Times New Roman" w:hAnsi="Times New Roman"/>
          <w:b/>
          <w:bCs/>
          <w:sz w:val="24"/>
          <w:szCs w:val="24"/>
        </w:rPr>
        <w:t xml:space="preserve">later having </w:t>
      </w:r>
      <w:r w:rsidRPr="007C7258">
        <w:rPr>
          <w:rFonts w:ascii="Times New Roman" w:eastAsia="Times New Roman" w:hAnsi="Times New Roman"/>
          <w:b/>
          <w:bCs/>
          <w:sz w:val="24"/>
          <w:szCs w:val="24"/>
        </w:rPr>
        <w:t>coronary heart disease.</w:t>
      </w:r>
    </w:p>
    <w:p w14:paraId="6960D73D" w14:textId="77777777" w:rsidR="007540BD" w:rsidRDefault="007540BD" w:rsidP="00A06387">
      <w:pPr>
        <w:pStyle w:val="NoSpacing"/>
        <w:rPr>
          <w:rFonts w:ascii="Arial Black" w:hAnsi="Arial Black"/>
          <w:sz w:val="28"/>
          <w:szCs w:val="28"/>
        </w:rPr>
      </w:pPr>
    </w:p>
    <w:p w14:paraId="60BBE562" w14:textId="77777777" w:rsidR="007540BD" w:rsidRDefault="007540BD" w:rsidP="00A06387">
      <w:pPr>
        <w:pStyle w:val="NoSpacing"/>
        <w:rPr>
          <w:rFonts w:ascii="Arial Black" w:hAnsi="Arial Black"/>
          <w:sz w:val="28"/>
          <w:szCs w:val="28"/>
        </w:rPr>
      </w:pPr>
    </w:p>
    <w:p w14:paraId="0313E65B" w14:textId="0CF65231" w:rsidR="00663160" w:rsidRDefault="00997329" w:rsidP="00A06387">
      <w:pPr>
        <w:pStyle w:val="NoSpacing"/>
        <w:rPr>
          <w:rFonts w:ascii="Arial Black" w:hAnsi="Arial Black"/>
          <w:sz w:val="28"/>
          <w:szCs w:val="28"/>
        </w:rPr>
      </w:pPr>
      <w:r>
        <w:rPr>
          <w:rFonts w:ascii="Arial Black" w:hAnsi="Arial Black"/>
          <w:sz w:val="28"/>
          <w:szCs w:val="28"/>
        </w:rPr>
        <w:t>6-33</w:t>
      </w:r>
    </w:p>
    <w:p w14:paraId="5561702C" w14:textId="16193B9A" w:rsidR="00997329" w:rsidRDefault="00997329" w:rsidP="00A06387">
      <w:pPr>
        <w:pStyle w:val="NoSpacing"/>
        <w:rPr>
          <w:rFonts w:ascii="Arial Black" w:hAnsi="Arial Black"/>
          <w:sz w:val="28"/>
          <w:szCs w:val="28"/>
        </w:rPr>
      </w:pPr>
    </w:p>
    <w:p w14:paraId="214B212A" w14:textId="77777777" w:rsidR="00997329" w:rsidRPr="00455FEE" w:rsidRDefault="00997329" w:rsidP="00997329">
      <w:pPr>
        <w:pStyle w:val="NoSpacing"/>
        <w:rPr>
          <w:rFonts w:ascii="Arial Black" w:hAnsi="Arial Black"/>
          <w:sz w:val="28"/>
          <w:szCs w:val="28"/>
        </w:rPr>
      </w:pPr>
      <w:r w:rsidRPr="00455FEE">
        <w:rPr>
          <w:rFonts w:ascii="Arial Black" w:hAnsi="Arial Black"/>
          <w:sz w:val="28"/>
          <w:szCs w:val="28"/>
        </w:rPr>
        <w:t xml:space="preserve">LA: </w:t>
      </w:r>
      <w:r>
        <w:rPr>
          <w:rFonts w:ascii="Arial Black" w:hAnsi="Arial Black"/>
          <w:sz w:val="28"/>
          <w:szCs w:val="28"/>
        </w:rPr>
        <w:t xml:space="preserve">RIDING OUT-OF-RANK – INJUNCTION UPHELD - FD MAY NOT THREATEN FF WITH DISCIPLINE FOR REFUSING </w:t>
      </w:r>
    </w:p>
    <w:p w14:paraId="5A43FAFC" w14:textId="77777777" w:rsidR="00997329" w:rsidRPr="00465FB3" w:rsidRDefault="00997329" w:rsidP="00997329">
      <w:pPr>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March 4, 2020, in </w:t>
      </w:r>
      <w:r w:rsidRPr="00465FB3">
        <w:rPr>
          <w:rFonts w:ascii="Times New Roman" w:eastAsia="Times New Roman" w:hAnsi="Times New Roman"/>
          <w:sz w:val="24"/>
          <w:szCs w:val="24"/>
          <w:u w:val="single"/>
        </w:rPr>
        <w:t>Brian Drumm, et al. v. City of Kenner</w:t>
      </w:r>
      <w:r w:rsidRPr="00465FB3">
        <w:rPr>
          <w:rFonts w:ascii="Times New Roman" w:eastAsia="Times New Roman" w:hAnsi="Times New Roman"/>
          <w:sz w:val="24"/>
          <w:szCs w:val="24"/>
        </w:rPr>
        <w:t>, the Fifth Circuit Court of Appeals of Louisiana upheld (2 to 1) the trial court’s injunction.</w:t>
      </w:r>
    </w:p>
    <w:p w14:paraId="611040D6" w14:textId="4B39DEE1" w:rsidR="00997329" w:rsidRDefault="00997329" w:rsidP="00997329">
      <w:pPr>
        <w:pStyle w:val="NoSpacing"/>
        <w:ind w:left="720"/>
        <w:rPr>
          <w:rStyle w:val="Hyperlink"/>
          <w:rFonts w:ascii="Times New Roman" w:hAnsi="Times New Roman"/>
          <w:bCs/>
          <w:sz w:val="24"/>
          <w:szCs w:val="24"/>
        </w:rPr>
      </w:pPr>
      <w:r w:rsidRPr="00465FB3">
        <w:rPr>
          <w:rFonts w:ascii="Times New Roman" w:hAnsi="Times New Roman"/>
          <w:bCs/>
          <w:sz w:val="24"/>
          <w:szCs w:val="24"/>
        </w:rPr>
        <w:t xml:space="preserve">“Kenner’s position, that the Fire Chief may force persons to work jobs outside their class against their will under threat of disciplinary action denies the existence of a voluntary, contractual agreement of employment in which both parties may freely negotiate their duties and responsibilities. Recognizing that plaintiffs’ employment with Kenner is a voluntary, contractual agreement, we conclude that the ‘appointment’ referenced in La. R.S. 33:2496 is </w:t>
      </w:r>
      <w:proofErr w:type="gramStart"/>
      <w:r w:rsidRPr="00465FB3">
        <w:rPr>
          <w:rFonts w:ascii="Times New Roman" w:hAnsi="Times New Roman"/>
          <w:bCs/>
          <w:sz w:val="24"/>
          <w:szCs w:val="24"/>
        </w:rPr>
        <w:t>in the nature of an</w:t>
      </w:r>
      <w:proofErr w:type="gramEnd"/>
      <w:r w:rsidRPr="00465FB3">
        <w:rPr>
          <w:rFonts w:ascii="Times New Roman" w:hAnsi="Times New Roman"/>
          <w:bCs/>
          <w:sz w:val="24"/>
          <w:szCs w:val="24"/>
        </w:rPr>
        <w:t xml:space="preserve"> offer and acceptance of employment. Forcing an employee to work out of class against his will under threat of discipline or other employment action is an unlawful act, and therefore plaintiffs were not required to show irreparable harm. Accordingly, we find Kenner’s argument that the district court legally erred in granting the preliminary injunction is without merit. </w:t>
      </w:r>
      <w:hyperlink r:id="rId1315" w:history="1">
        <w:r w:rsidRPr="00465FB3">
          <w:rPr>
            <w:rStyle w:val="Hyperlink"/>
            <w:rFonts w:ascii="Times New Roman" w:hAnsi="Times New Roman"/>
            <w:bCs/>
            <w:sz w:val="24"/>
            <w:szCs w:val="24"/>
          </w:rPr>
          <w:t>http://www.fifthcircuit.org/dmzdocs/OI/PO/2020/54FCDF86-AA62-4720-B56D-B5FDC85663B0.pdf</w:t>
        </w:r>
      </w:hyperlink>
    </w:p>
    <w:p w14:paraId="092731D0" w14:textId="77777777" w:rsidR="00997329" w:rsidRDefault="00997329" w:rsidP="00997329">
      <w:pPr>
        <w:pStyle w:val="NoSpacing"/>
        <w:rPr>
          <w:rFonts w:ascii="Times New Roman" w:hAnsi="Times New Roman"/>
          <w:b/>
          <w:bCs/>
          <w:sz w:val="24"/>
          <w:szCs w:val="24"/>
        </w:rPr>
      </w:pPr>
    </w:p>
    <w:p w14:paraId="4E36EDF7" w14:textId="2D5AA2E0"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Legal Lessons Learned:  Riding-out-rank is quite common in career FDs and is obviously a method to reduce overtime costs. The Court noted this testimony:  “The interim Fire Chief testified that when he needed a captain for a shift, he did not ask already qualified captains to step in temporarily because paying them overtime is more expensive than paying lower ranked employees an extra $1.16/hour to work out of class.”</w:t>
      </w:r>
    </w:p>
    <w:p w14:paraId="2C53FE97" w14:textId="77777777" w:rsidR="00997329" w:rsidRPr="00465FB3" w:rsidRDefault="00997329" w:rsidP="00997329">
      <w:pPr>
        <w:pStyle w:val="NoSpacing"/>
        <w:ind w:left="720"/>
        <w:rPr>
          <w:rFonts w:ascii="Times New Roman" w:hAnsi="Times New Roman"/>
          <w:sz w:val="24"/>
          <w:szCs w:val="24"/>
        </w:rPr>
      </w:pPr>
    </w:p>
    <w:p w14:paraId="06282C44" w14:textId="77777777" w:rsidR="00997329" w:rsidRDefault="00997329" w:rsidP="00997329">
      <w:pPr>
        <w:pStyle w:val="NoSpacing"/>
        <w:rPr>
          <w:rFonts w:ascii="Arial Black" w:hAnsi="Arial Black"/>
          <w:sz w:val="28"/>
          <w:szCs w:val="28"/>
        </w:rPr>
      </w:pPr>
    </w:p>
    <w:p w14:paraId="03EADC05" w14:textId="77777777" w:rsidR="00997329" w:rsidRDefault="00997329" w:rsidP="00A06387">
      <w:pPr>
        <w:pStyle w:val="NoSpacing"/>
        <w:rPr>
          <w:rFonts w:ascii="Arial Black" w:hAnsi="Arial Black"/>
          <w:sz w:val="28"/>
          <w:szCs w:val="28"/>
        </w:rPr>
      </w:pPr>
    </w:p>
    <w:p w14:paraId="0365AE14" w14:textId="19F5C09C" w:rsidR="00663160" w:rsidRDefault="00663160" w:rsidP="00A06387">
      <w:pPr>
        <w:pStyle w:val="NoSpacing"/>
        <w:rPr>
          <w:rFonts w:ascii="Arial Black" w:hAnsi="Arial Black"/>
          <w:sz w:val="28"/>
          <w:szCs w:val="28"/>
        </w:rPr>
      </w:pPr>
      <w:r>
        <w:rPr>
          <w:rFonts w:ascii="Arial Black" w:hAnsi="Arial Black"/>
          <w:sz w:val="28"/>
          <w:szCs w:val="28"/>
        </w:rPr>
        <w:t>6-32</w:t>
      </w:r>
    </w:p>
    <w:p w14:paraId="53A88647" w14:textId="77777777" w:rsidR="00663160" w:rsidRDefault="00663160" w:rsidP="00A06387">
      <w:pPr>
        <w:pStyle w:val="NoSpacing"/>
        <w:rPr>
          <w:rFonts w:ascii="Arial Black" w:hAnsi="Arial Black"/>
          <w:sz w:val="28"/>
          <w:szCs w:val="28"/>
        </w:rPr>
      </w:pPr>
    </w:p>
    <w:p w14:paraId="47E311C1" w14:textId="77777777" w:rsidR="00997329" w:rsidRPr="00D7391F" w:rsidRDefault="00997329" w:rsidP="00997329">
      <w:pPr>
        <w:pStyle w:val="NoSpacing"/>
        <w:rPr>
          <w:rFonts w:ascii="Arial Black" w:hAnsi="Arial Black"/>
          <w:sz w:val="28"/>
          <w:szCs w:val="28"/>
        </w:rPr>
      </w:pPr>
      <w:r w:rsidRPr="00D7391F">
        <w:rPr>
          <w:rFonts w:ascii="Arial Black" w:hAnsi="Arial Black"/>
          <w:sz w:val="28"/>
          <w:szCs w:val="28"/>
        </w:rPr>
        <w:t>NC</w:t>
      </w:r>
      <w:r>
        <w:rPr>
          <w:rFonts w:ascii="Arial Black" w:hAnsi="Arial Black"/>
          <w:sz w:val="28"/>
          <w:szCs w:val="28"/>
        </w:rPr>
        <w:t xml:space="preserve">:  FIREFIGHTER / ALSO FD BOARD MEMBER – OPPOSED NEW AERIAL - FIRED – </w:t>
      </w:r>
      <w:proofErr w:type="gramStart"/>
      <w:r>
        <w:rPr>
          <w:rFonts w:ascii="Arial Black" w:hAnsi="Arial Black"/>
          <w:sz w:val="28"/>
          <w:szCs w:val="28"/>
        </w:rPr>
        <w:t>FREE SPEECH</w:t>
      </w:r>
      <w:proofErr w:type="gramEnd"/>
      <w:r>
        <w:rPr>
          <w:rFonts w:ascii="Arial Black" w:hAnsi="Arial Black"/>
          <w:sz w:val="28"/>
          <w:szCs w:val="28"/>
        </w:rPr>
        <w:t xml:space="preserve"> LAWSUIT TO PROCEED</w:t>
      </w:r>
    </w:p>
    <w:p w14:paraId="6D2CFDBD" w14:textId="77777777" w:rsidR="00997329" w:rsidRPr="00465FB3" w:rsidRDefault="00997329" w:rsidP="00997329">
      <w:pPr>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March 2, 2020, in </w:t>
      </w:r>
      <w:r w:rsidRPr="00465FB3">
        <w:rPr>
          <w:rFonts w:ascii="Times New Roman" w:eastAsia="Times New Roman" w:hAnsi="Times New Roman"/>
          <w:sz w:val="24"/>
          <w:szCs w:val="24"/>
          <w:u w:val="single"/>
        </w:rPr>
        <w:t xml:space="preserve">Michael Cole v. Andrew Weatherman &amp; Lake Norman Volunteer Fire </w:t>
      </w:r>
      <w:proofErr w:type="gramStart"/>
      <w:r w:rsidRPr="00465FB3">
        <w:rPr>
          <w:rFonts w:ascii="Times New Roman" w:eastAsia="Times New Roman" w:hAnsi="Times New Roman"/>
          <w:sz w:val="24"/>
          <w:szCs w:val="24"/>
          <w:u w:val="single"/>
        </w:rPr>
        <w:t>And</w:t>
      </w:r>
      <w:proofErr w:type="gramEnd"/>
      <w:r w:rsidRPr="00465FB3">
        <w:rPr>
          <w:rFonts w:ascii="Times New Roman" w:eastAsia="Times New Roman" w:hAnsi="Times New Roman"/>
          <w:sz w:val="24"/>
          <w:szCs w:val="24"/>
          <w:u w:val="single"/>
        </w:rPr>
        <w:t xml:space="preserve"> Rescue Department</w:t>
      </w:r>
      <w:r w:rsidRPr="00465FB3">
        <w:rPr>
          <w:rFonts w:ascii="Times New Roman" w:eastAsia="Times New Roman" w:hAnsi="Times New Roman"/>
          <w:sz w:val="24"/>
          <w:szCs w:val="24"/>
        </w:rPr>
        <w:t xml:space="preserve">, et al., U.S. District Court Judge Kenneth D. Ball, Western District of North Carolina (Statesville Division) held that the lawsuit may proceed; plaintiff was one of 20 paid firefighters on this “volunteer” fire department. </w:t>
      </w:r>
    </w:p>
    <w:p w14:paraId="1FEB7762" w14:textId="36A0BDB8"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“Defendants contend that Plaintiff's </w:t>
      </w:r>
      <w:proofErr w:type="gramStart"/>
      <w:r w:rsidRPr="00465FB3">
        <w:rPr>
          <w:rFonts w:ascii="Times New Roman" w:eastAsia="Times New Roman" w:hAnsi="Times New Roman"/>
          <w:sz w:val="24"/>
          <w:szCs w:val="24"/>
        </w:rPr>
        <w:t>free speech</w:t>
      </w:r>
      <w:proofErr w:type="gramEnd"/>
      <w:r w:rsidRPr="00465FB3">
        <w:rPr>
          <w:rFonts w:ascii="Times New Roman" w:eastAsia="Times New Roman" w:hAnsi="Times New Roman"/>
          <w:sz w:val="24"/>
          <w:szCs w:val="24"/>
        </w:rPr>
        <w:t xml:space="preserve"> claim fails because he was speaking as an employee on an internal LKNVFD[Lake Norman Volunteer Fire &amp; Rescue Department] matter. The Court disagrees. Plaintiff's Amended Complaint alleges that he was a member of ‘the statutorily authorized commission of the fire protection district, which administered the taxes levied for and appropriated to it by the County.’ (Doc. No. 13, at ¶ 11). This Board is comprised of employees and volunteers of the LKNVFD as well as members of the community at large. </w:t>
      </w:r>
      <w:r w:rsidRPr="00465FB3">
        <w:rPr>
          <w:rFonts w:ascii="Times New Roman" w:eastAsia="Times New Roman" w:hAnsi="Times New Roman"/>
          <w:i/>
          <w:iCs/>
          <w:sz w:val="24"/>
          <w:szCs w:val="24"/>
        </w:rPr>
        <w:t>Id</w:t>
      </w:r>
      <w:r w:rsidRPr="00465FB3">
        <w:rPr>
          <w:rFonts w:ascii="Times New Roman" w:eastAsia="Times New Roman" w:hAnsi="Times New Roman"/>
          <w:sz w:val="24"/>
          <w:szCs w:val="24"/>
        </w:rPr>
        <w:t xml:space="preserve">. Even though Plaintiff was an employee of LKNVFD, Plaintiff alleges that his statements opposing the purchase of the new truck were made as a citizen duly elected to the board and not as a firefighter exercising his job duties as an employee of LKNVFD. His comments on the wasteful expenditure of public money appropriated from a special tax levy on property in the fire protection district are adequately alleged to be a public matter, not purely an internal employment issue. </w:t>
      </w:r>
      <w:r w:rsidRPr="00465FB3">
        <w:rPr>
          <w:rFonts w:ascii="Times New Roman" w:eastAsia="Times New Roman" w:hAnsi="Times New Roman"/>
          <w:i/>
          <w:iCs/>
          <w:sz w:val="24"/>
          <w:szCs w:val="24"/>
        </w:rPr>
        <w:t>See Pickering v</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Bd</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of Educ</w:t>
      </w:r>
      <w:r w:rsidRPr="00465FB3">
        <w:rPr>
          <w:rFonts w:ascii="Times New Roman" w:eastAsia="Times New Roman" w:hAnsi="Times New Roman"/>
          <w:sz w:val="24"/>
          <w:szCs w:val="24"/>
        </w:rPr>
        <w:t xml:space="preserve">., 391 U.S. 563, (1968) (holding that a teacher's concerns about a school board's use of tax dollars was a matter of public concern); </w:t>
      </w:r>
      <w:proofErr w:type="spellStart"/>
      <w:r w:rsidRPr="00465FB3">
        <w:rPr>
          <w:rFonts w:ascii="Times New Roman" w:eastAsia="Times New Roman" w:hAnsi="Times New Roman"/>
          <w:i/>
          <w:iCs/>
          <w:sz w:val="24"/>
          <w:szCs w:val="24"/>
        </w:rPr>
        <w:t>Urofsky</w:t>
      </w:r>
      <w:proofErr w:type="spellEnd"/>
      <w:r w:rsidRPr="00465FB3">
        <w:rPr>
          <w:rFonts w:ascii="Times New Roman" w:eastAsia="Times New Roman" w:hAnsi="Times New Roman"/>
          <w:i/>
          <w:iCs/>
          <w:sz w:val="24"/>
          <w:szCs w:val="24"/>
        </w:rPr>
        <w:t xml:space="preserve"> v</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Gilmore</w:t>
      </w:r>
      <w:r w:rsidRPr="00465FB3">
        <w:rPr>
          <w:rFonts w:ascii="Times New Roman" w:eastAsia="Times New Roman" w:hAnsi="Times New Roman"/>
          <w:sz w:val="24"/>
          <w:szCs w:val="24"/>
        </w:rPr>
        <w:t>, 216 F.3d 401, 406-07 (4th Cir. 2000) (</w:t>
      </w:r>
      <w:proofErr w:type="spellStart"/>
      <w:r w:rsidRPr="00465FB3">
        <w:rPr>
          <w:rFonts w:ascii="Times New Roman" w:eastAsia="Times New Roman" w:hAnsi="Times New Roman"/>
          <w:sz w:val="24"/>
          <w:szCs w:val="24"/>
        </w:rPr>
        <w:t>en</w:t>
      </w:r>
      <w:proofErr w:type="spellEnd"/>
      <w:r w:rsidRPr="00465FB3">
        <w:rPr>
          <w:rFonts w:ascii="Times New Roman" w:eastAsia="Times New Roman" w:hAnsi="Times New Roman"/>
          <w:sz w:val="24"/>
          <w:szCs w:val="24"/>
        </w:rPr>
        <w:t xml:space="preserve"> banc) (noting speech upon matters of ‘social, political, or other interest to a community’ is protected under the First Amendment). </w:t>
      </w:r>
      <w:hyperlink r:id="rId1316" w:history="1">
        <w:r w:rsidRPr="00465FB3">
          <w:rPr>
            <w:rStyle w:val="Hyperlink"/>
            <w:rFonts w:ascii="Times New Roman" w:eastAsia="Times New Roman" w:hAnsi="Times New Roman"/>
            <w:sz w:val="24"/>
            <w:szCs w:val="24"/>
          </w:rPr>
          <w:t>https://public.fastcase.com/Wl%2B2t%2BeVuI35%2FN70vAMFZnbY8dI3hkArUDoxTqO4WI%2Fa6TeM7CmZuz1%2Ftkv0oKJ0</w:t>
        </w:r>
      </w:hyperlink>
      <w:r w:rsidRPr="00465FB3">
        <w:rPr>
          <w:rFonts w:ascii="Times New Roman" w:eastAsia="Times New Roman" w:hAnsi="Times New Roman"/>
          <w:sz w:val="24"/>
          <w:szCs w:val="24"/>
        </w:rPr>
        <w:t xml:space="preserve"> </w:t>
      </w:r>
    </w:p>
    <w:p w14:paraId="79F275FA"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 xml:space="preserve">Legal Lessons Learned: Another decision reviewing the U.S. Supreme Court’s “balancing test.”  FD </w:t>
      </w:r>
      <w:proofErr w:type="gramStart"/>
      <w:r w:rsidRPr="00465FB3">
        <w:rPr>
          <w:rFonts w:ascii="Times New Roman" w:hAnsi="Times New Roman"/>
          <w:b/>
          <w:bCs/>
          <w:sz w:val="24"/>
          <w:szCs w:val="24"/>
        </w:rPr>
        <w:t>need</w:t>
      </w:r>
      <w:proofErr w:type="gramEnd"/>
      <w:r w:rsidRPr="00465FB3">
        <w:rPr>
          <w:rFonts w:ascii="Times New Roman" w:hAnsi="Times New Roman"/>
          <w:b/>
          <w:bCs/>
          <w:sz w:val="24"/>
          <w:szCs w:val="24"/>
        </w:rPr>
        <w:t xml:space="preserve"> to use extreme caution in terminating a firefighter for speaking on matters of public concern, particularly if they also serve on the FD’s Board. </w:t>
      </w:r>
    </w:p>
    <w:p w14:paraId="65A4F446"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p>
    <w:p w14:paraId="07630A86" w14:textId="77777777" w:rsidR="00663160" w:rsidRDefault="00663160" w:rsidP="00A06387">
      <w:pPr>
        <w:pStyle w:val="NoSpacing"/>
        <w:rPr>
          <w:rFonts w:ascii="Arial Black" w:hAnsi="Arial Black"/>
          <w:sz w:val="28"/>
          <w:szCs w:val="28"/>
        </w:rPr>
      </w:pPr>
    </w:p>
    <w:p w14:paraId="328BC352" w14:textId="77777777" w:rsidR="00663160" w:rsidRDefault="00663160" w:rsidP="00A06387">
      <w:pPr>
        <w:pStyle w:val="NoSpacing"/>
        <w:rPr>
          <w:rFonts w:ascii="Arial Black" w:hAnsi="Arial Black"/>
          <w:sz w:val="28"/>
          <w:szCs w:val="28"/>
        </w:rPr>
      </w:pPr>
    </w:p>
    <w:p w14:paraId="6F146580" w14:textId="77777777" w:rsidR="00B03268" w:rsidRDefault="00B03268" w:rsidP="00A06387">
      <w:pPr>
        <w:pStyle w:val="NoSpacing"/>
        <w:rPr>
          <w:rFonts w:ascii="Arial Black" w:hAnsi="Arial Black"/>
          <w:sz w:val="28"/>
          <w:szCs w:val="28"/>
        </w:rPr>
      </w:pPr>
    </w:p>
    <w:p w14:paraId="0FC4E5E4" w14:textId="702FA686" w:rsidR="00663160" w:rsidRDefault="00663160" w:rsidP="00A06387">
      <w:pPr>
        <w:pStyle w:val="NoSpacing"/>
        <w:rPr>
          <w:rFonts w:ascii="Arial Black" w:hAnsi="Arial Black"/>
          <w:sz w:val="28"/>
          <w:szCs w:val="28"/>
        </w:rPr>
      </w:pPr>
      <w:r>
        <w:rPr>
          <w:rFonts w:ascii="Arial Black" w:hAnsi="Arial Black"/>
          <w:sz w:val="28"/>
          <w:szCs w:val="28"/>
        </w:rPr>
        <w:t>6-31</w:t>
      </w:r>
    </w:p>
    <w:p w14:paraId="6C9E9F66" w14:textId="1C55F183" w:rsidR="00663160" w:rsidRDefault="00663160" w:rsidP="00A06387">
      <w:pPr>
        <w:pStyle w:val="NoSpacing"/>
        <w:rPr>
          <w:rFonts w:ascii="Arial Black" w:hAnsi="Arial Black"/>
          <w:sz w:val="28"/>
          <w:szCs w:val="28"/>
        </w:rPr>
      </w:pPr>
    </w:p>
    <w:p w14:paraId="7788273E" w14:textId="77777777" w:rsidR="00663160" w:rsidRPr="00504D9F" w:rsidRDefault="00663160" w:rsidP="00663160">
      <w:pPr>
        <w:pStyle w:val="NoSpacing"/>
        <w:rPr>
          <w:rFonts w:ascii="Arial Black" w:hAnsi="Arial Black"/>
          <w:b/>
          <w:bCs/>
          <w:sz w:val="28"/>
          <w:szCs w:val="28"/>
        </w:rPr>
      </w:pPr>
      <w:r>
        <w:rPr>
          <w:rFonts w:ascii="Arial Black" w:hAnsi="Arial Black"/>
          <w:bCs/>
          <w:sz w:val="28"/>
          <w:szCs w:val="28"/>
        </w:rPr>
        <w:t>OH: CAPTAIN PROMOTION – SENIORITY POINTS ONLY FOR THOSE SCORED AT LEAST 70 – NEW SELECTION</w:t>
      </w:r>
    </w:p>
    <w:p w14:paraId="3D56695E" w14:textId="77777777" w:rsidR="00663160" w:rsidRPr="00465FB3" w:rsidRDefault="00663160" w:rsidP="00663160">
      <w:pPr>
        <w:pStyle w:val="Heading1"/>
        <w:rPr>
          <w:b w:val="0"/>
          <w:bCs w:val="0"/>
          <w:sz w:val="24"/>
          <w:szCs w:val="24"/>
        </w:rPr>
      </w:pPr>
      <w:r w:rsidRPr="00465FB3">
        <w:rPr>
          <w:b w:val="0"/>
          <w:bCs w:val="0"/>
          <w:sz w:val="24"/>
          <w:szCs w:val="24"/>
        </w:rPr>
        <w:t xml:space="preserve">On Feb. 5, 2020, in </w:t>
      </w:r>
      <w:r w:rsidRPr="00465FB3">
        <w:rPr>
          <w:b w:val="0"/>
          <w:bCs w:val="0"/>
          <w:sz w:val="24"/>
          <w:szCs w:val="24"/>
          <w:u w:val="single"/>
        </w:rPr>
        <w:t xml:space="preserve">State ex rel. Michael A. </w:t>
      </w:r>
      <w:proofErr w:type="spellStart"/>
      <w:r w:rsidRPr="00465FB3">
        <w:rPr>
          <w:b w:val="0"/>
          <w:bCs w:val="0"/>
          <w:sz w:val="24"/>
          <w:szCs w:val="24"/>
          <w:u w:val="single"/>
        </w:rPr>
        <w:t>Rimroth</w:t>
      </w:r>
      <w:proofErr w:type="spellEnd"/>
      <w:r w:rsidRPr="00465FB3">
        <w:rPr>
          <w:b w:val="0"/>
          <w:bCs w:val="0"/>
          <w:sz w:val="24"/>
          <w:szCs w:val="24"/>
          <w:u w:val="single"/>
        </w:rPr>
        <w:t xml:space="preserve"> v. City of Harrison</w:t>
      </w:r>
      <w:r w:rsidRPr="00465FB3">
        <w:rPr>
          <w:b w:val="0"/>
          <w:bCs w:val="0"/>
          <w:sz w:val="24"/>
          <w:szCs w:val="24"/>
        </w:rPr>
        <w:t xml:space="preserve">, the Ohio Court of Appeals for the First District (Hamilton County), held (3 to 0) that the promotion of the candidate who only scored 65 was inappropriate, since only the two candidates (plaintiff and one other) who scored 70 or higher were entitled to added points for seniority.  The Court reversed the trial judge’s order for a new written test, since the test was fair.  Case sent back to the city’s Civil Service Commission, and Mayor can now make a new promotion decision between plaintiff (scored 74) and the other candidate (scored 75).  </w:t>
      </w:r>
    </w:p>
    <w:p w14:paraId="3714FEA9" w14:textId="77777777" w:rsidR="00663160" w:rsidRPr="00465FB3" w:rsidRDefault="00663160" w:rsidP="00663160">
      <w:pPr>
        <w:pStyle w:val="NoSpacing"/>
        <w:ind w:left="720"/>
        <w:rPr>
          <w:rFonts w:ascii="Times New Roman" w:hAnsi="Times New Roman"/>
          <w:b/>
          <w:bCs/>
          <w:sz w:val="24"/>
          <w:szCs w:val="24"/>
        </w:rPr>
      </w:pPr>
      <w:r w:rsidRPr="00465FB3">
        <w:rPr>
          <w:rFonts w:ascii="Times New Roman" w:hAnsi="Times New Roman"/>
          <w:bCs/>
          <w:sz w:val="24"/>
          <w:szCs w:val="24"/>
        </w:rPr>
        <w:t xml:space="preserve">“[Michael]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was a firefighter employed by the city of Harrison. On April 4, 2015, he took the written promotional examination for the position of fire captain, along with firefighters Dennis Helcher and Cameron Kugler. Kugler received a score of 75,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received a 74, and </w:t>
      </w:r>
      <w:proofErr w:type="spellStart"/>
      <w:r w:rsidRPr="00465FB3">
        <w:rPr>
          <w:rFonts w:ascii="Times New Roman" w:hAnsi="Times New Roman"/>
          <w:bCs/>
          <w:sz w:val="24"/>
          <w:szCs w:val="24"/>
        </w:rPr>
        <w:t>Helcher</w:t>
      </w:r>
      <w:proofErr w:type="spellEnd"/>
      <w:r w:rsidRPr="00465FB3">
        <w:rPr>
          <w:rFonts w:ascii="Times New Roman" w:hAnsi="Times New Roman"/>
          <w:bCs/>
          <w:sz w:val="24"/>
          <w:szCs w:val="24"/>
        </w:rPr>
        <w:t xml:space="preserve"> received a 65. </w:t>
      </w:r>
      <w:proofErr w:type="gramStart"/>
      <w:r w:rsidRPr="00465FB3">
        <w:rPr>
          <w:rFonts w:ascii="Times New Roman" w:hAnsi="Times New Roman"/>
          <w:bCs/>
          <w:sz w:val="24"/>
          <w:szCs w:val="24"/>
        </w:rPr>
        <w:t>A passing</w:t>
      </w:r>
      <w:proofErr w:type="gramEnd"/>
      <w:r w:rsidRPr="00465FB3">
        <w:rPr>
          <w:rFonts w:ascii="Times New Roman" w:hAnsi="Times New Roman"/>
          <w:bCs/>
          <w:sz w:val="24"/>
          <w:szCs w:val="24"/>
        </w:rPr>
        <w:t xml:space="preserve"> score for the examination was 70. As a result, only Kugler and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were listed as having passed the examination. ***  In this case, both sides agree that it was inappropriate for the commission to include the service credit before determining if the candidates received a passing score. We agree with this consensus. The issue that remains is determining if the trial court's remedy was proper and, if not, what remedy lies for the violation of the statute. *** The proper remedy, therefore, is to remand the cause to the civil service commission for the appropriate award of credit to only those individuals who had received a passing score on the written examination: Kugler and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Once those scores are calculated, the commission should forward the resulting list for further </w:t>
      </w:r>
      <w:proofErr w:type="gramStart"/>
      <w:r w:rsidRPr="00465FB3">
        <w:rPr>
          <w:rFonts w:ascii="Times New Roman" w:hAnsi="Times New Roman"/>
          <w:bCs/>
          <w:sz w:val="24"/>
          <w:szCs w:val="24"/>
        </w:rPr>
        <w:t>consideration.”</w:t>
      </w:r>
      <w:proofErr w:type="gramEnd"/>
      <w:r w:rsidRPr="00465FB3">
        <w:rPr>
          <w:rFonts w:ascii="Times New Roman" w:hAnsi="Times New Roman"/>
          <w:bCs/>
          <w:sz w:val="24"/>
          <w:szCs w:val="24"/>
        </w:rPr>
        <w:t xml:space="preserve"> </w:t>
      </w:r>
      <w:hyperlink r:id="rId1317" w:history="1">
        <w:r w:rsidRPr="00465FB3">
          <w:rPr>
            <w:rStyle w:val="Hyperlink"/>
            <w:rFonts w:ascii="Times New Roman" w:hAnsi="Times New Roman"/>
            <w:bCs/>
            <w:sz w:val="24"/>
            <w:szCs w:val="24"/>
          </w:rPr>
          <w:t>https://www.leagle.com/decision/inohco20200205714</w:t>
        </w:r>
      </w:hyperlink>
      <w:r w:rsidRPr="00465FB3">
        <w:rPr>
          <w:rFonts w:ascii="Times New Roman" w:hAnsi="Times New Roman"/>
          <w:bCs/>
          <w:sz w:val="24"/>
          <w:szCs w:val="24"/>
        </w:rPr>
        <w:t xml:space="preserve"> </w:t>
      </w:r>
    </w:p>
    <w:p w14:paraId="281EDFF8" w14:textId="61AC8D19" w:rsidR="00663160" w:rsidRDefault="00663160" w:rsidP="00A06387">
      <w:pPr>
        <w:pStyle w:val="NoSpacing"/>
        <w:rPr>
          <w:rFonts w:ascii="Arial Black" w:hAnsi="Arial Black"/>
          <w:sz w:val="28"/>
          <w:szCs w:val="28"/>
        </w:rPr>
      </w:pPr>
    </w:p>
    <w:p w14:paraId="32E1884A" w14:textId="77777777" w:rsidR="00663160" w:rsidRPr="00465FB3" w:rsidRDefault="00663160" w:rsidP="00663160">
      <w:pPr>
        <w:pStyle w:val="NoSpacing"/>
        <w:tabs>
          <w:tab w:val="left" w:pos="2880"/>
        </w:tabs>
        <w:rPr>
          <w:rFonts w:ascii="Times New Roman" w:eastAsia="Times New Roman" w:hAnsi="Times New Roman"/>
          <w:b/>
          <w:bCs/>
          <w:sz w:val="24"/>
          <w:szCs w:val="24"/>
        </w:rPr>
      </w:pPr>
      <w:r w:rsidRPr="00465FB3">
        <w:rPr>
          <w:rFonts w:ascii="Times New Roman" w:hAnsi="Times New Roman"/>
          <w:b/>
          <w:bCs/>
          <w:sz w:val="24"/>
          <w:szCs w:val="24"/>
        </w:rPr>
        <w:t xml:space="preserve">Legal Lessons Learned: Promotion processes should clearly specify when seniority and military credits can be added to test scores. </w:t>
      </w:r>
    </w:p>
    <w:p w14:paraId="33ADF01E" w14:textId="11364D1C" w:rsidR="00663160" w:rsidRDefault="00663160" w:rsidP="00A06387">
      <w:pPr>
        <w:pStyle w:val="NoSpacing"/>
        <w:rPr>
          <w:rFonts w:ascii="Arial Black" w:hAnsi="Arial Black"/>
          <w:sz w:val="28"/>
          <w:szCs w:val="28"/>
        </w:rPr>
      </w:pPr>
      <w:r>
        <w:rPr>
          <w:rFonts w:ascii="Arial Black" w:hAnsi="Arial Black"/>
          <w:sz w:val="28"/>
          <w:szCs w:val="28"/>
        </w:rPr>
        <w:t xml:space="preserve"> </w:t>
      </w:r>
    </w:p>
    <w:p w14:paraId="091AFC41" w14:textId="77777777" w:rsidR="00663160" w:rsidRDefault="00663160" w:rsidP="00A06387">
      <w:pPr>
        <w:pStyle w:val="NoSpacing"/>
        <w:rPr>
          <w:rFonts w:ascii="Arial Black" w:hAnsi="Arial Black"/>
          <w:sz w:val="28"/>
          <w:szCs w:val="28"/>
        </w:rPr>
      </w:pPr>
    </w:p>
    <w:p w14:paraId="5D3EECC4" w14:textId="77777777" w:rsidR="00663160" w:rsidRDefault="00663160" w:rsidP="00A06387">
      <w:pPr>
        <w:pStyle w:val="NoSpacing"/>
        <w:rPr>
          <w:rFonts w:ascii="Arial Black" w:hAnsi="Arial Black"/>
          <w:sz w:val="28"/>
          <w:szCs w:val="28"/>
        </w:rPr>
      </w:pPr>
    </w:p>
    <w:p w14:paraId="72A34ECB" w14:textId="6B4BFD3D" w:rsidR="00C9355B" w:rsidRDefault="00C9355B" w:rsidP="00A06387">
      <w:pPr>
        <w:pStyle w:val="NoSpacing"/>
        <w:rPr>
          <w:rFonts w:ascii="Arial Black" w:hAnsi="Arial Black"/>
          <w:sz w:val="28"/>
          <w:szCs w:val="28"/>
        </w:rPr>
      </w:pPr>
      <w:r>
        <w:rPr>
          <w:rFonts w:ascii="Arial Black" w:hAnsi="Arial Black"/>
          <w:sz w:val="28"/>
          <w:szCs w:val="28"/>
        </w:rPr>
        <w:t>6-</w:t>
      </w:r>
      <w:r w:rsidR="00177094">
        <w:rPr>
          <w:rFonts w:ascii="Arial Black" w:hAnsi="Arial Black"/>
          <w:sz w:val="28"/>
          <w:szCs w:val="28"/>
        </w:rPr>
        <w:t>30</w:t>
      </w:r>
    </w:p>
    <w:p w14:paraId="6D154D02" w14:textId="65382B1A" w:rsidR="00C9355B" w:rsidRDefault="00C9355B" w:rsidP="00A06387">
      <w:pPr>
        <w:pStyle w:val="NoSpacing"/>
        <w:rPr>
          <w:rFonts w:ascii="Arial Black" w:hAnsi="Arial Black"/>
          <w:sz w:val="28"/>
          <w:szCs w:val="28"/>
        </w:rPr>
      </w:pPr>
    </w:p>
    <w:p w14:paraId="76C0F5C0" w14:textId="77777777" w:rsidR="00C9355B" w:rsidRDefault="00C9355B" w:rsidP="00C9355B">
      <w:pPr>
        <w:pStyle w:val="NoSpacing"/>
        <w:rPr>
          <w:rFonts w:ascii="Arial Black" w:hAnsi="Arial Black"/>
          <w:b/>
          <w:bCs/>
          <w:sz w:val="28"/>
          <w:szCs w:val="28"/>
        </w:rPr>
      </w:pPr>
      <w:r>
        <w:rPr>
          <w:rFonts w:ascii="Arial Black" w:hAnsi="Arial Black"/>
          <w:bCs/>
          <w:sz w:val="28"/>
          <w:szCs w:val="28"/>
        </w:rPr>
        <w:t xml:space="preserve">IL: HOUSE FIRE - FF FELL BACKWARDS, INJURED HER BACK – AWARDED LINE-OF-DUTY PENSION – CITY APPEAL DENIED </w:t>
      </w:r>
    </w:p>
    <w:p w14:paraId="63A0CA8C" w14:textId="77777777" w:rsidR="00C9355B" w:rsidRDefault="00C9355B" w:rsidP="00C9355B">
      <w:pPr>
        <w:pStyle w:val="NoSpacing"/>
        <w:rPr>
          <w:b/>
          <w:bCs/>
          <w:sz w:val="24"/>
          <w:szCs w:val="24"/>
        </w:rPr>
      </w:pPr>
    </w:p>
    <w:p w14:paraId="2A874A2E" w14:textId="77777777"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27, 2020, in </w:t>
      </w:r>
      <w:r w:rsidRPr="00695030">
        <w:rPr>
          <w:rFonts w:ascii="Times New Roman" w:hAnsi="Times New Roman"/>
          <w:bCs/>
          <w:sz w:val="24"/>
          <w:szCs w:val="24"/>
          <w:u w:val="single"/>
        </w:rPr>
        <w:t>City of Peoria v. The Firefighters Pension Fund of the City of Peoria and Angela Allen</w:t>
      </w:r>
      <w:r w:rsidRPr="00695030">
        <w:rPr>
          <w:rFonts w:ascii="Times New Roman" w:hAnsi="Times New Roman"/>
          <w:bCs/>
          <w:sz w:val="24"/>
          <w:szCs w:val="24"/>
        </w:rPr>
        <w:t xml:space="preserve">, the Appellate Court of Illinois, Third District, held (3 to 0) upheld the decision of the Board of Trustees of the pension fund to award line-of-duty death benefits. The city sought to reverse the Trustees, arguing the firefighter had a psychological disorder not caused by her fall. </w:t>
      </w:r>
    </w:p>
    <w:p w14:paraId="2335A114" w14:textId="77777777" w:rsidR="00C9355B" w:rsidRPr="00695030" w:rsidRDefault="00C9355B" w:rsidP="00C9355B">
      <w:pPr>
        <w:pStyle w:val="NoSpacing"/>
        <w:rPr>
          <w:rFonts w:ascii="Times New Roman" w:hAnsi="Times New Roman"/>
          <w:b/>
          <w:bCs/>
          <w:sz w:val="24"/>
          <w:szCs w:val="24"/>
        </w:rPr>
      </w:pPr>
    </w:p>
    <w:p w14:paraId="5B7131FD"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 xml:space="preserve">“In reaching that conclusion, we reject the City's assertion that the Pension Board somehow erred by finding that Allen was disabled due to her psychological conditions when Allen's specific allegation in her disability pension application was that she was disabled due to a vestibular/ocular motor disorder. Although Allen listed her condition in the application as a vestibular/ocular motor disorder, many of the symptoms that Allen also listed in the application as being from a vestibular disorder were the same symptoms that Allen was found to be suffering from </w:t>
      </w:r>
      <w:proofErr w:type="gramStart"/>
      <w:r w:rsidRPr="00695030">
        <w:rPr>
          <w:rFonts w:ascii="Times New Roman" w:hAnsi="Times New Roman"/>
          <w:bCs/>
          <w:sz w:val="24"/>
          <w:szCs w:val="24"/>
        </w:rPr>
        <w:t>as a result of</w:t>
      </w:r>
      <w:proofErr w:type="gramEnd"/>
      <w:r w:rsidRPr="00695030">
        <w:rPr>
          <w:rFonts w:ascii="Times New Roman" w:hAnsi="Times New Roman"/>
          <w:bCs/>
          <w:sz w:val="24"/>
          <w:szCs w:val="24"/>
        </w:rPr>
        <w:t xml:space="preserve"> her psychological disorders. Thus, we believe that Allen sufficiently alleged the nature of her disability in her disability pension application. Indeed, the City has made no argument on appeal that it was surprised by the evidence presented or that the </w:t>
      </w:r>
      <w:proofErr w:type="gramStart"/>
      <w:r w:rsidRPr="00695030">
        <w:rPr>
          <w:rFonts w:ascii="Times New Roman" w:hAnsi="Times New Roman"/>
          <w:bCs/>
          <w:sz w:val="24"/>
          <w:szCs w:val="24"/>
        </w:rPr>
        <w:t>manner in which</w:t>
      </w:r>
      <w:proofErr w:type="gramEnd"/>
      <w:r w:rsidRPr="00695030">
        <w:rPr>
          <w:rFonts w:ascii="Times New Roman" w:hAnsi="Times New Roman"/>
          <w:bCs/>
          <w:sz w:val="24"/>
          <w:szCs w:val="24"/>
        </w:rPr>
        <w:t xml:space="preserve"> Allen's condition was described in the application somehow deprived the City of a fair opportunity to prepare for the hearing before the Pension Board.” </w:t>
      </w:r>
      <w:hyperlink r:id="rId1318" w:history="1">
        <w:r w:rsidRPr="00695030">
          <w:rPr>
            <w:rStyle w:val="Hyperlink"/>
            <w:rFonts w:ascii="Times New Roman" w:hAnsi="Times New Roman"/>
            <w:b/>
            <w:sz w:val="24"/>
            <w:szCs w:val="24"/>
          </w:rPr>
          <w:t>https://courts.illinois.gov/R23_Orders/AppellateCourt/2020/3rdDistrict/3190055_R23.pdf</w:t>
        </w:r>
      </w:hyperlink>
      <w:r w:rsidRPr="00695030">
        <w:rPr>
          <w:rFonts w:ascii="Times New Roman" w:hAnsi="Times New Roman"/>
          <w:bCs/>
          <w:sz w:val="24"/>
          <w:szCs w:val="24"/>
        </w:rPr>
        <w:t xml:space="preserve"> </w:t>
      </w:r>
    </w:p>
    <w:p w14:paraId="3F8AF809" w14:textId="77777777" w:rsidR="00C9355B" w:rsidRDefault="00C9355B" w:rsidP="00C9355B">
      <w:pPr>
        <w:pStyle w:val="NoSpacing"/>
        <w:rPr>
          <w:rFonts w:ascii="Times New Roman" w:hAnsi="Times New Roman"/>
          <w:b/>
          <w:bCs/>
          <w:sz w:val="24"/>
          <w:szCs w:val="24"/>
        </w:rPr>
      </w:pPr>
    </w:p>
    <w:p w14:paraId="72F4B7C5" w14:textId="313B0065"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w:t>
      </w:r>
      <w:r>
        <w:rPr>
          <w:rFonts w:ascii="Times New Roman" w:hAnsi="Times New Roman"/>
          <w:b/>
          <w:bCs/>
          <w:sz w:val="24"/>
          <w:szCs w:val="24"/>
        </w:rPr>
        <w:t xml:space="preserve">Under </w:t>
      </w:r>
      <w:r w:rsidRPr="00695030">
        <w:rPr>
          <w:rFonts w:ascii="Times New Roman" w:hAnsi="Times New Roman"/>
          <w:b/>
          <w:bCs/>
          <w:sz w:val="24"/>
          <w:szCs w:val="24"/>
        </w:rPr>
        <w:t>Illinois statute and court precedents</w:t>
      </w:r>
      <w:r>
        <w:rPr>
          <w:rFonts w:ascii="Times New Roman" w:hAnsi="Times New Roman"/>
          <w:b/>
          <w:bCs/>
          <w:sz w:val="24"/>
          <w:szCs w:val="24"/>
        </w:rPr>
        <w:t xml:space="preserve">, </w:t>
      </w:r>
      <w:r w:rsidRPr="00695030">
        <w:rPr>
          <w:rFonts w:ascii="Times New Roman" w:hAnsi="Times New Roman"/>
          <w:b/>
          <w:bCs/>
          <w:sz w:val="24"/>
          <w:szCs w:val="24"/>
        </w:rPr>
        <w:t xml:space="preserve">pension applications by firefighters must be “liberally construed” in favor of the firefighter. </w:t>
      </w:r>
    </w:p>
    <w:p w14:paraId="36DA7B82" w14:textId="77777777" w:rsidR="00C9355B" w:rsidRDefault="00C9355B" w:rsidP="00A06387">
      <w:pPr>
        <w:pStyle w:val="NoSpacing"/>
        <w:rPr>
          <w:rFonts w:ascii="Arial Black" w:hAnsi="Arial Black"/>
          <w:sz w:val="28"/>
          <w:szCs w:val="28"/>
        </w:rPr>
      </w:pPr>
    </w:p>
    <w:p w14:paraId="43495ADD" w14:textId="77777777" w:rsidR="00B03268" w:rsidRDefault="00B03268" w:rsidP="00A06387">
      <w:pPr>
        <w:pStyle w:val="NoSpacing"/>
        <w:rPr>
          <w:rFonts w:ascii="Arial Black" w:hAnsi="Arial Black"/>
          <w:sz w:val="28"/>
          <w:szCs w:val="28"/>
        </w:rPr>
      </w:pPr>
    </w:p>
    <w:p w14:paraId="2E0F56D3" w14:textId="768E11AF" w:rsidR="00C9355B" w:rsidRDefault="00C9355B" w:rsidP="00A06387">
      <w:pPr>
        <w:pStyle w:val="NoSpacing"/>
        <w:rPr>
          <w:rFonts w:ascii="Arial Black" w:hAnsi="Arial Black"/>
          <w:sz w:val="28"/>
          <w:szCs w:val="28"/>
        </w:rPr>
      </w:pPr>
      <w:r>
        <w:rPr>
          <w:rFonts w:ascii="Arial Black" w:hAnsi="Arial Black"/>
          <w:sz w:val="28"/>
          <w:szCs w:val="28"/>
        </w:rPr>
        <w:t>6-29</w:t>
      </w:r>
    </w:p>
    <w:p w14:paraId="2F4A87B0" w14:textId="77777777" w:rsidR="00C9355B" w:rsidRDefault="00C9355B" w:rsidP="00C9355B">
      <w:pPr>
        <w:spacing w:before="100" w:beforeAutospacing="1" w:after="100" w:afterAutospacing="1"/>
        <w:rPr>
          <w:rFonts w:ascii="Arial Black" w:eastAsia="Times New Roman" w:hAnsi="Arial Black"/>
          <w:bCs/>
          <w:sz w:val="28"/>
          <w:szCs w:val="28"/>
        </w:rPr>
      </w:pPr>
      <w:r w:rsidRPr="005463FA">
        <w:rPr>
          <w:rFonts w:ascii="Arial Black" w:eastAsia="Times New Roman" w:hAnsi="Arial Black"/>
          <w:bCs/>
          <w:sz w:val="28"/>
          <w:szCs w:val="28"/>
        </w:rPr>
        <w:t xml:space="preserve">IL: </w:t>
      </w:r>
      <w:r>
        <w:rPr>
          <w:rFonts w:ascii="Arial Black" w:eastAsia="Times New Roman" w:hAnsi="Arial Black"/>
          <w:bCs/>
          <w:sz w:val="28"/>
          <w:szCs w:val="28"/>
        </w:rPr>
        <w:t>PARAMEDIC LIFTING WEIGHTS – CLAIMED RIGHT FOOT INJURY – LATER VIDEOTAPED WORKING OUT, WALKING OK – CLAIM DENIED</w:t>
      </w:r>
    </w:p>
    <w:p w14:paraId="5793B94E" w14:textId="71B5CDF1" w:rsidR="00C9355B" w:rsidRDefault="00C9355B" w:rsidP="00E40E39">
      <w:pPr>
        <w:spacing w:before="100" w:beforeAutospacing="1" w:after="100" w:afterAutospacing="1"/>
        <w:rPr>
          <w:rFonts w:ascii="Times New Roman" w:hAnsi="Times New Roman"/>
          <w:bCs/>
          <w:sz w:val="24"/>
          <w:szCs w:val="24"/>
        </w:rPr>
      </w:pPr>
      <w:r w:rsidRPr="004236BE">
        <w:rPr>
          <w:rFonts w:ascii="Times New Roman" w:eastAsia="Times New Roman" w:hAnsi="Times New Roman"/>
          <w:sz w:val="24"/>
          <w:szCs w:val="24"/>
        </w:rPr>
        <w:t xml:space="preserve">On Dec. 27, 2019, in </w:t>
      </w:r>
      <w:r w:rsidRPr="004236BE">
        <w:rPr>
          <w:rFonts w:ascii="Times New Roman" w:eastAsia="Times New Roman" w:hAnsi="Times New Roman"/>
          <w:sz w:val="24"/>
          <w:szCs w:val="24"/>
          <w:u w:val="single"/>
        </w:rPr>
        <w:t>Brian Isenhardt v. Illinois Workers’ Compensation Commission</w:t>
      </w:r>
      <w:r w:rsidRPr="004236BE">
        <w:rPr>
          <w:rFonts w:ascii="Times New Roman" w:eastAsia="Times New Roman" w:hAnsi="Times New Roman"/>
          <w:sz w:val="24"/>
          <w:szCs w:val="24"/>
        </w:rPr>
        <w:t xml:space="preserve">, the Appellate Court of Illinois, First District / Workers’ Compensation Commission Division, held (5 to 0) that the Commission had properly denied the firefighter’s claim.  </w:t>
      </w:r>
    </w:p>
    <w:p w14:paraId="5938BA74" w14:textId="77777777" w:rsidR="00C9355B" w:rsidRPr="004236BE" w:rsidRDefault="00C9355B" w:rsidP="00C9355B">
      <w:pPr>
        <w:spacing w:before="100" w:beforeAutospacing="1" w:after="100" w:afterAutospacing="1"/>
        <w:ind w:left="720"/>
        <w:rPr>
          <w:rFonts w:ascii="Times New Roman" w:hAnsi="Times New Roman"/>
          <w:b/>
          <w:bCs/>
          <w:sz w:val="24"/>
          <w:szCs w:val="24"/>
        </w:rPr>
      </w:pPr>
      <w:r w:rsidRPr="004236BE">
        <w:rPr>
          <w:rFonts w:ascii="Times New Roman" w:hAnsi="Times New Roman"/>
          <w:bCs/>
          <w:sz w:val="24"/>
          <w:szCs w:val="24"/>
        </w:rPr>
        <w:t xml:space="preserve">“The Village also called Erik Ekstrom, a private investigator hired to investigate the claimant. Ekstrom testified that, during his surveillance on January 13, 2015, he observed the claimant walking with a normal gait, taking out the trash, and performing chest exercises at the gym. According to Ekstrom, on January 15, 2015, he observed the claimant walking with a usual gait without the assistance of crutches on his entrance and exit from the gym. He also observed the claimant on the treadmill, lifting </w:t>
      </w:r>
      <w:proofErr w:type="gramStart"/>
      <w:r w:rsidRPr="004236BE">
        <w:rPr>
          <w:rFonts w:ascii="Times New Roman" w:hAnsi="Times New Roman"/>
          <w:bCs/>
          <w:sz w:val="24"/>
          <w:szCs w:val="24"/>
        </w:rPr>
        <w:t>50 to 70 pound</w:t>
      </w:r>
      <w:proofErr w:type="gramEnd"/>
      <w:r w:rsidRPr="004236BE">
        <w:rPr>
          <w:rFonts w:ascii="Times New Roman" w:hAnsi="Times New Roman"/>
          <w:bCs/>
          <w:sz w:val="24"/>
          <w:szCs w:val="24"/>
        </w:rPr>
        <w:t xml:space="preserve"> weights above his head, while simultaneously </w:t>
      </w:r>
      <w:proofErr w:type="spellStart"/>
      <w:r w:rsidRPr="004236BE">
        <w:rPr>
          <w:rFonts w:ascii="Times New Roman" w:hAnsi="Times New Roman"/>
          <w:bCs/>
          <w:sz w:val="24"/>
          <w:szCs w:val="24"/>
        </w:rPr>
        <w:t>lexing</w:t>
      </w:r>
      <w:proofErr w:type="spellEnd"/>
      <w:r w:rsidRPr="004236BE">
        <w:rPr>
          <w:rFonts w:ascii="Times New Roman" w:hAnsi="Times New Roman"/>
          <w:bCs/>
          <w:sz w:val="24"/>
          <w:szCs w:val="24"/>
        </w:rPr>
        <w:t xml:space="preserve"> both ankles and standing on his “tippy toes,” without appearing to be in pain. Ekstrom recorded video during his surveillance, and a DVD of that video was admitted into evidence. </w:t>
      </w:r>
    </w:p>
    <w:p w14:paraId="7055DB2A" w14:textId="77777777" w:rsidR="00C9355B" w:rsidRPr="004236BE" w:rsidRDefault="00C9355B" w:rsidP="00C9355B">
      <w:pPr>
        <w:spacing w:before="100" w:beforeAutospacing="1" w:after="100" w:afterAutospacing="1"/>
        <w:ind w:left="720"/>
        <w:rPr>
          <w:rFonts w:ascii="Times New Roman" w:eastAsia="Times New Roman" w:hAnsi="Times New Roman"/>
          <w:b/>
          <w:bCs/>
          <w:sz w:val="24"/>
          <w:szCs w:val="24"/>
        </w:rPr>
      </w:pPr>
      <w:r w:rsidRPr="004236BE">
        <w:rPr>
          <w:rFonts w:ascii="Times New Roman" w:hAnsi="Times New Roman"/>
          <w:bCs/>
          <w:sz w:val="24"/>
          <w:szCs w:val="24"/>
        </w:rPr>
        <w:t>***</w:t>
      </w:r>
    </w:p>
    <w:p w14:paraId="28C5D119" w14:textId="77777777" w:rsidR="00C9355B" w:rsidRPr="004236BE" w:rsidRDefault="00C9355B" w:rsidP="00C9355B">
      <w:pPr>
        <w:pStyle w:val="NoSpacing"/>
        <w:ind w:left="720"/>
        <w:rPr>
          <w:rFonts w:ascii="Times New Roman" w:hAnsi="Times New Roman"/>
          <w:b/>
          <w:bCs/>
          <w:sz w:val="24"/>
          <w:szCs w:val="24"/>
        </w:rPr>
      </w:pPr>
      <w:r w:rsidRPr="004236BE">
        <w:rPr>
          <w:rFonts w:ascii="Times New Roman" w:hAnsi="Times New Roman"/>
          <w:bCs/>
          <w:sz w:val="24"/>
          <w:szCs w:val="24"/>
        </w:rPr>
        <w:t xml:space="preserve">The Commission found the claimant’s testimony not credible and found his ‘subjective complaints’ of pain ‘questionable’ based on his ankle and foot MRIs, which did not reveal any acute pathology, as well as the testimonies of both [HR employee] Majda and Eriksom, who observed the claimant, subsequent to November 8, 2014, weightlifting and walking normally without assistance or apparent pain.” </w:t>
      </w:r>
      <w:hyperlink r:id="rId1319" w:history="1">
        <w:r w:rsidRPr="004236BE">
          <w:rPr>
            <w:rStyle w:val="Hyperlink"/>
            <w:rFonts w:ascii="Times New Roman" w:hAnsi="Times New Roman"/>
            <w:b/>
            <w:sz w:val="24"/>
            <w:szCs w:val="24"/>
          </w:rPr>
          <w:t>https://courts.illinois.gov/R23_Orders/WorkersComp/2020/1190373WC_R23.pdf</w:t>
        </w:r>
      </w:hyperlink>
      <w:r w:rsidRPr="004236BE">
        <w:rPr>
          <w:rFonts w:ascii="Times New Roman" w:hAnsi="Times New Roman"/>
          <w:bCs/>
          <w:sz w:val="24"/>
          <w:szCs w:val="24"/>
        </w:rPr>
        <w:t xml:space="preserve"> </w:t>
      </w:r>
    </w:p>
    <w:p w14:paraId="68909A50" w14:textId="77777777" w:rsidR="00C9355B" w:rsidRDefault="00C9355B" w:rsidP="00C9355B">
      <w:pPr>
        <w:pStyle w:val="NoSpacing"/>
        <w:tabs>
          <w:tab w:val="left" w:pos="3210"/>
        </w:tabs>
        <w:rPr>
          <w:rFonts w:ascii="Times New Roman" w:hAnsi="Times New Roman"/>
          <w:b/>
          <w:bCs/>
          <w:sz w:val="24"/>
          <w:szCs w:val="24"/>
        </w:rPr>
      </w:pPr>
    </w:p>
    <w:p w14:paraId="5F243CEE" w14:textId="0C425A58" w:rsidR="00C9355B" w:rsidRPr="004236BE" w:rsidRDefault="00C9355B" w:rsidP="00C9355B">
      <w:pPr>
        <w:pStyle w:val="NoSpacing"/>
        <w:tabs>
          <w:tab w:val="left" w:pos="3210"/>
        </w:tabs>
        <w:rPr>
          <w:rFonts w:ascii="Times New Roman" w:hAnsi="Times New Roman"/>
          <w:b/>
          <w:bCs/>
          <w:sz w:val="24"/>
          <w:szCs w:val="24"/>
        </w:rPr>
      </w:pPr>
      <w:r w:rsidRPr="004236BE">
        <w:rPr>
          <w:rFonts w:ascii="Times New Roman" w:hAnsi="Times New Roman"/>
          <w:b/>
          <w:bCs/>
          <w:sz w:val="24"/>
          <w:szCs w:val="24"/>
        </w:rPr>
        <w:t>Legal Lessons Learned:  The private investigator’s video, and the report of the independent medical examiner</w:t>
      </w:r>
      <w:r>
        <w:rPr>
          <w:rFonts w:ascii="Times New Roman" w:hAnsi="Times New Roman"/>
          <w:b/>
          <w:bCs/>
          <w:sz w:val="24"/>
          <w:szCs w:val="24"/>
        </w:rPr>
        <w:t>, and testimony by HR employee, all</w:t>
      </w:r>
      <w:r w:rsidRPr="004236BE">
        <w:rPr>
          <w:rFonts w:ascii="Times New Roman" w:hAnsi="Times New Roman"/>
          <w:b/>
          <w:bCs/>
          <w:sz w:val="24"/>
          <w:szCs w:val="24"/>
        </w:rPr>
        <w:t xml:space="preserve"> led to denial of the claim. </w:t>
      </w:r>
    </w:p>
    <w:p w14:paraId="6D995B25" w14:textId="77777777" w:rsidR="00C9355B" w:rsidRDefault="00C9355B" w:rsidP="00A06387">
      <w:pPr>
        <w:pStyle w:val="NoSpacing"/>
        <w:rPr>
          <w:rFonts w:ascii="Arial Black" w:hAnsi="Arial Black"/>
          <w:sz w:val="28"/>
          <w:szCs w:val="28"/>
        </w:rPr>
      </w:pPr>
    </w:p>
    <w:p w14:paraId="27D8882C" w14:textId="38ECBFAD" w:rsidR="00C9355B" w:rsidRDefault="00C9355B" w:rsidP="00A06387">
      <w:pPr>
        <w:pStyle w:val="NoSpacing"/>
        <w:rPr>
          <w:rFonts w:ascii="Arial Black" w:hAnsi="Arial Black"/>
          <w:sz w:val="28"/>
          <w:szCs w:val="28"/>
        </w:rPr>
      </w:pPr>
    </w:p>
    <w:p w14:paraId="6D821275" w14:textId="320AFEB4" w:rsidR="00C9355B" w:rsidRDefault="00C9355B" w:rsidP="00A06387">
      <w:pPr>
        <w:pStyle w:val="NoSpacing"/>
        <w:rPr>
          <w:rFonts w:ascii="Arial Black" w:hAnsi="Arial Black"/>
          <w:sz w:val="28"/>
          <w:szCs w:val="28"/>
        </w:rPr>
      </w:pPr>
    </w:p>
    <w:p w14:paraId="6AD9FDF4" w14:textId="77777777" w:rsidR="00C9355B" w:rsidRDefault="00C9355B" w:rsidP="00A06387">
      <w:pPr>
        <w:pStyle w:val="NoSpacing"/>
        <w:rPr>
          <w:rFonts w:ascii="Arial Black" w:hAnsi="Arial Black"/>
          <w:sz w:val="28"/>
          <w:szCs w:val="28"/>
        </w:rPr>
      </w:pPr>
    </w:p>
    <w:p w14:paraId="1BB8B635" w14:textId="77777777" w:rsidR="00F27CD5" w:rsidRDefault="00F27CD5" w:rsidP="00A06387">
      <w:pPr>
        <w:pStyle w:val="NoSpacing"/>
        <w:rPr>
          <w:rFonts w:ascii="Arial Black" w:hAnsi="Arial Black"/>
          <w:sz w:val="28"/>
          <w:szCs w:val="28"/>
        </w:rPr>
      </w:pPr>
    </w:p>
    <w:p w14:paraId="35303F2E" w14:textId="4AB1A2A0" w:rsidR="007C6FEF" w:rsidRDefault="007C6FEF" w:rsidP="00A06387">
      <w:pPr>
        <w:pStyle w:val="NoSpacing"/>
        <w:rPr>
          <w:rFonts w:ascii="Arial Black" w:hAnsi="Arial Black"/>
          <w:sz w:val="28"/>
          <w:szCs w:val="28"/>
        </w:rPr>
      </w:pPr>
      <w:r>
        <w:rPr>
          <w:rFonts w:ascii="Arial Black" w:hAnsi="Arial Black"/>
          <w:sz w:val="28"/>
          <w:szCs w:val="28"/>
        </w:rPr>
        <w:t>6-28</w:t>
      </w:r>
    </w:p>
    <w:p w14:paraId="526835EF" w14:textId="5C60C775" w:rsidR="007C6FEF" w:rsidRDefault="007C6FEF" w:rsidP="00A06387">
      <w:pPr>
        <w:pStyle w:val="NoSpacing"/>
        <w:rPr>
          <w:rFonts w:ascii="Arial Black" w:hAnsi="Arial Black"/>
          <w:sz w:val="28"/>
          <w:szCs w:val="28"/>
        </w:rPr>
      </w:pPr>
    </w:p>
    <w:p w14:paraId="6B8E3B07" w14:textId="77777777" w:rsidR="007C6FEF" w:rsidRPr="00B01F90" w:rsidRDefault="007C6FEF" w:rsidP="007C6FEF">
      <w:pPr>
        <w:rPr>
          <w:rFonts w:ascii="Arial Black" w:hAnsi="Arial Black"/>
          <w:sz w:val="28"/>
          <w:szCs w:val="28"/>
        </w:rPr>
      </w:pPr>
      <w:r w:rsidRPr="00B01F90">
        <w:rPr>
          <w:rFonts w:ascii="Arial Black" w:hAnsi="Arial Black"/>
          <w:sz w:val="28"/>
          <w:szCs w:val="28"/>
        </w:rPr>
        <w:t>PA</w:t>
      </w:r>
      <w:r>
        <w:rPr>
          <w:rFonts w:ascii="Arial Black" w:hAnsi="Arial Black"/>
          <w:sz w:val="28"/>
          <w:szCs w:val="28"/>
        </w:rPr>
        <w:t xml:space="preserve">: </w:t>
      </w:r>
      <w:r w:rsidRPr="00B01F90">
        <w:rPr>
          <w:rFonts w:ascii="Arial Black" w:hAnsi="Arial Black"/>
          <w:sz w:val="28"/>
          <w:szCs w:val="28"/>
        </w:rPr>
        <w:t>PHIL</w:t>
      </w:r>
      <w:r>
        <w:rPr>
          <w:rFonts w:ascii="Arial Black" w:hAnsi="Arial Black"/>
          <w:sz w:val="28"/>
          <w:szCs w:val="28"/>
        </w:rPr>
        <w:t xml:space="preserve">ADEPHIA </w:t>
      </w:r>
      <w:r w:rsidRPr="00B01F90">
        <w:rPr>
          <w:rFonts w:ascii="Arial Black" w:hAnsi="Arial Black"/>
          <w:sz w:val="28"/>
          <w:szCs w:val="28"/>
        </w:rPr>
        <w:t xml:space="preserve">FF WITH LUNG CANCER – SMOKER </w:t>
      </w:r>
      <w:r>
        <w:rPr>
          <w:rFonts w:ascii="Arial Black" w:hAnsi="Arial Black"/>
          <w:sz w:val="28"/>
          <w:szCs w:val="28"/>
        </w:rPr>
        <w:t>–</w:t>
      </w:r>
      <w:r w:rsidRPr="00B01F90">
        <w:rPr>
          <w:rFonts w:ascii="Arial Black" w:hAnsi="Arial Black"/>
          <w:sz w:val="28"/>
          <w:szCs w:val="28"/>
        </w:rPr>
        <w:t xml:space="preserve"> </w:t>
      </w:r>
      <w:r>
        <w:rPr>
          <w:rFonts w:ascii="Arial Black" w:hAnsi="Arial Black"/>
          <w:sz w:val="28"/>
          <w:szCs w:val="28"/>
        </w:rPr>
        <w:t xml:space="preserve">WILL RECEIVE WORKERS COMP BENEFITS – 2011 </w:t>
      </w:r>
      <w:r w:rsidRPr="00B01F90">
        <w:rPr>
          <w:rFonts w:ascii="Arial Black" w:hAnsi="Arial Black"/>
          <w:sz w:val="28"/>
          <w:szCs w:val="28"/>
        </w:rPr>
        <w:t>STATUTORY PRESUMPTION</w:t>
      </w:r>
      <w:r>
        <w:rPr>
          <w:rFonts w:ascii="Arial Black" w:hAnsi="Arial Black"/>
          <w:sz w:val="28"/>
          <w:szCs w:val="28"/>
        </w:rPr>
        <w:t xml:space="preserve"> LAW</w:t>
      </w:r>
    </w:p>
    <w:p w14:paraId="4A7B614C" w14:textId="77777777" w:rsidR="007C6FEF" w:rsidRDefault="007C6FEF" w:rsidP="007C6FEF">
      <w:pPr>
        <w:rPr>
          <w:rFonts w:ascii="Times New Roman" w:hAnsi="Times New Roman"/>
          <w:sz w:val="24"/>
          <w:szCs w:val="24"/>
        </w:rPr>
      </w:pPr>
      <w:r w:rsidRPr="00B01F90">
        <w:rPr>
          <w:rFonts w:ascii="Times New Roman" w:hAnsi="Times New Roman"/>
          <w:sz w:val="24"/>
          <w:szCs w:val="24"/>
        </w:rPr>
        <w:t xml:space="preserve">On Jan. 3, 2020, in </w:t>
      </w:r>
      <w:r w:rsidRPr="00B01F90">
        <w:rPr>
          <w:rFonts w:ascii="Times New Roman" w:hAnsi="Times New Roman"/>
          <w:sz w:val="24"/>
          <w:szCs w:val="24"/>
          <w:u w:val="single"/>
        </w:rPr>
        <w:t>Wayne Deloatch v. Workers’ Compensation Appeal Board (City of Philadelphia)</w:t>
      </w:r>
      <w:r>
        <w:rPr>
          <w:rFonts w:ascii="Times New Roman" w:hAnsi="Times New Roman"/>
          <w:sz w:val="24"/>
          <w:szCs w:val="24"/>
        </w:rPr>
        <w:t xml:space="preserve">, the Commonwealth Court of Pennsylvania held (3 to 0) that the firefighter is entitled to benefits.  </w:t>
      </w:r>
    </w:p>
    <w:p w14:paraId="7A506DDB" w14:textId="77777777" w:rsidR="007C6FEF" w:rsidRPr="00F56F6D" w:rsidRDefault="007C6FEF" w:rsidP="007C6FEF">
      <w:pPr>
        <w:spacing w:before="100" w:beforeAutospacing="1" w:after="100" w:afterAutospacing="1" w:line="240" w:lineRule="auto"/>
        <w:ind w:left="720"/>
        <w:rPr>
          <w:rFonts w:ascii="Times New Roman" w:eastAsia="Times New Roman" w:hAnsi="Times New Roman"/>
          <w:sz w:val="24"/>
          <w:szCs w:val="24"/>
        </w:rPr>
      </w:pPr>
      <w:r w:rsidRPr="00B01F90">
        <w:rPr>
          <w:rFonts w:ascii="Times New Roman" w:eastAsia="Times New Roman" w:hAnsi="Times New Roman"/>
          <w:sz w:val="24"/>
          <w:szCs w:val="24"/>
        </w:rPr>
        <w:t>“</w:t>
      </w:r>
      <w:r w:rsidRPr="00B01F90">
        <w:rPr>
          <w:rFonts w:ascii="Times New Roman" w:hAnsi="Times New Roman"/>
          <w:sz w:val="24"/>
          <w:szCs w:val="24"/>
        </w:rPr>
        <w:t>During Claimant's firefighting career (20 years), he fought approximately 200-300 fires, including building, house, car, dumpster, trash, grass, and field fires, which exposed him to smoke.</w:t>
      </w:r>
      <w:r>
        <w:rPr>
          <w:rFonts w:ascii="Times New Roman" w:hAnsi="Times New Roman"/>
          <w:sz w:val="24"/>
          <w:szCs w:val="24"/>
        </w:rPr>
        <w:t xml:space="preserve"> *** </w:t>
      </w:r>
      <w:r w:rsidRPr="00B01F90">
        <w:rPr>
          <w:rFonts w:ascii="Times New Roman" w:eastAsia="Times New Roman" w:hAnsi="Times New Roman"/>
          <w:sz w:val="24"/>
          <w:szCs w:val="24"/>
        </w:rPr>
        <w:t>Claimant did not use the SCBA during exterior firefighting—</w:t>
      </w:r>
      <w:r w:rsidRPr="00B01F90">
        <w:rPr>
          <w:rFonts w:ascii="Times New Roman" w:eastAsia="Times New Roman" w:hAnsi="Times New Roman"/>
          <w:i/>
          <w:iCs/>
          <w:sz w:val="24"/>
          <w:szCs w:val="24"/>
        </w:rPr>
        <w:t>i</w:t>
      </w:r>
      <w:r w:rsidRPr="00B01F90">
        <w:rPr>
          <w:rFonts w:ascii="Times New Roman" w:eastAsia="Times New Roman" w:hAnsi="Times New Roman"/>
          <w:sz w:val="24"/>
          <w:szCs w:val="24"/>
        </w:rPr>
        <w:t>.</w:t>
      </w:r>
      <w:r w:rsidRPr="00B01F90">
        <w:rPr>
          <w:rFonts w:ascii="Times New Roman" w:eastAsia="Times New Roman" w:hAnsi="Times New Roman"/>
          <w:i/>
          <w:iCs/>
          <w:sz w:val="24"/>
          <w:szCs w:val="24"/>
        </w:rPr>
        <w:t>e</w:t>
      </w:r>
      <w:r w:rsidRPr="00B01F90">
        <w:rPr>
          <w:rFonts w:ascii="Times New Roman" w:eastAsia="Times New Roman" w:hAnsi="Times New Roman"/>
          <w:sz w:val="24"/>
          <w:szCs w:val="24"/>
        </w:rPr>
        <w:t xml:space="preserve">., outdoor firefighting—or overhaul, which entailed </w:t>
      </w:r>
      <w:r>
        <w:rPr>
          <w:rFonts w:ascii="Times New Roman" w:eastAsia="Times New Roman" w:hAnsi="Times New Roman"/>
          <w:sz w:val="24"/>
          <w:szCs w:val="24"/>
        </w:rPr>
        <w:t>‘</w:t>
      </w:r>
      <w:r w:rsidRPr="00B01F90">
        <w:rPr>
          <w:rFonts w:ascii="Times New Roman" w:eastAsia="Times New Roman" w:hAnsi="Times New Roman"/>
          <w:sz w:val="24"/>
          <w:szCs w:val="24"/>
        </w:rPr>
        <w:t>ripping of walls, ceilings, searching for any hidden fire and extinguishing that if it's visible.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After exposure to each fire incident, Claimant's body would be coated in soot, and Claimant would often find soot in his nasal secretions up to a week after exposure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Claimant further testified that he stopped smoking cigarettes in 2011, but had a 30 to 35-year-long smoking history</w:t>
      </w:r>
      <w:r>
        <w:rPr>
          <w:rFonts w:ascii="Times New Roman" w:eastAsia="Times New Roman" w:hAnsi="Times New Roman"/>
          <w:sz w:val="24"/>
          <w:szCs w:val="24"/>
        </w:rPr>
        <w:t xml:space="preserve">… </w:t>
      </w:r>
      <w:r w:rsidRPr="00B01F90">
        <w:rPr>
          <w:rFonts w:ascii="Times New Roman" w:eastAsia="Times New Roman" w:hAnsi="Times New Roman"/>
          <w:sz w:val="24"/>
          <w:szCs w:val="24"/>
        </w:rPr>
        <w:t>During that period, Claimant recalled smoking only one pack of cigarettes per week</w:t>
      </w:r>
      <w:r>
        <w:rPr>
          <w:rFonts w:ascii="Times New Roman" w:eastAsia="Times New Roman" w:hAnsi="Times New Roman"/>
          <w:sz w:val="24"/>
          <w:szCs w:val="24"/>
        </w:rPr>
        <w:t xml:space="preserve">…. </w:t>
      </w:r>
      <w:r w:rsidRPr="00B01F90">
        <w:rPr>
          <w:rFonts w:ascii="Times New Roman" w:eastAsia="Times New Roman" w:hAnsi="Times New Roman"/>
          <w:sz w:val="24"/>
          <w:szCs w:val="24"/>
        </w:rPr>
        <w:t xml:space="preserve">Firefighters were permitted to smoke in the fire stations, and Claimant worked with smokers during his career as a firefighter. </w:t>
      </w:r>
      <w:r>
        <w:rPr>
          <w:rFonts w:ascii="Times New Roman" w:eastAsia="Times New Roman" w:hAnsi="Times New Roman"/>
          <w:sz w:val="24"/>
          <w:szCs w:val="24"/>
        </w:rPr>
        <w:t xml:space="preserve">*** </w:t>
      </w:r>
      <w:r w:rsidRPr="00F56F6D">
        <w:rPr>
          <w:rFonts w:ascii="Times New Roman" w:eastAsia="Times New Roman" w:hAnsi="Times New Roman"/>
          <w:sz w:val="24"/>
          <w:szCs w:val="24"/>
        </w:rPr>
        <w:t>For the reasons set forth above, Claimant established that he was entitled to the statutory presumption under Section 301(f) of the Act, being that his lung cancer was caused by the occupation of firefighting. Employer failed to rebut the statutory presumption with substantial competent evidence that Claimant's</w:t>
      </w:r>
      <w:r>
        <w:rPr>
          <w:rFonts w:ascii="Times New Roman" w:eastAsia="Times New Roman" w:hAnsi="Times New Roman"/>
          <w:sz w:val="24"/>
          <w:szCs w:val="24"/>
        </w:rPr>
        <w:t xml:space="preserve"> </w:t>
      </w:r>
      <w:r w:rsidRPr="00F56F6D">
        <w:rPr>
          <w:rFonts w:ascii="Times New Roman" w:eastAsia="Times New Roman" w:hAnsi="Times New Roman"/>
          <w:sz w:val="24"/>
          <w:szCs w:val="24"/>
        </w:rPr>
        <w:t xml:space="preserve">cancer was caused by something other than his workplace exposure to IARC Group 1 carcinogens linked to lung cancer. </w:t>
      </w:r>
      <w:hyperlink r:id="rId1320" w:history="1">
        <w:r w:rsidRPr="00B01F90">
          <w:rPr>
            <w:rStyle w:val="Hyperlink"/>
            <w:rFonts w:ascii="Times New Roman" w:eastAsia="Times New Roman" w:hAnsi="Times New Roman"/>
            <w:sz w:val="24"/>
            <w:szCs w:val="24"/>
          </w:rPr>
          <w:t>https://public.fastcase.com/Wl%2B2t%2BeVuI35%2FN70vAMFZi2NtCwkTvdiKyrWKXTmtjwARSxGp50rXf7QoqUpwr%2BO</w:t>
        </w:r>
      </w:hyperlink>
      <w:r w:rsidRPr="00B01F90">
        <w:rPr>
          <w:rFonts w:ascii="Times New Roman" w:eastAsia="Times New Roman" w:hAnsi="Times New Roman"/>
          <w:sz w:val="24"/>
          <w:szCs w:val="24"/>
        </w:rPr>
        <w:t xml:space="preserve"> </w:t>
      </w:r>
    </w:p>
    <w:p w14:paraId="07D0AD1F" w14:textId="77777777" w:rsidR="007C6FEF" w:rsidRDefault="007C6FEF" w:rsidP="00A06387">
      <w:pPr>
        <w:pStyle w:val="NoSpacing"/>
        <w:rPr>
          <w:rFonts w:ascii="Arial Black" w:hAnsi="Arial Black"/>
          <w:sz w:val="28"/>
          <w:szCs w:val="28"/>
        </w:rPr>
      </w:pPr>
    </w:p>
    <w:p w14:paraId="3F6E0C59" w14:textId="77777777" w:rsidR="007C6FEF" w:rsidRDefault="007C6FEF" w:rsidP="00A06387">
      <w:pPr>
        <w:pStyle w:val="NoSpacing"/>
        <w:rPr>
          <w:rFonts w:ascii="Arial Black" w:hAnsi="Arial Black"/>
          <w:sz w:val="28"/>
          <w:szCs w:val="28"/>
        </w:rPr>
      </w:pPr>
    </w:p>
    <w:p w14:paraId="54CC9EBF" w14:textId="77777777" w:rsidR="007C6FEF" w:rsidRDefault="007C6FEF" w:rsidP="00A06387">
      <w:pPr>
        <w:pStyle w:val="NoSpacing"/>
        <w:rPr>
          <w:rFonts w:ascii="Arial Black" w:hAnsi="Arial Black"/>
          <w:sz w:val="28"/>
          <w:szCs w:val="28"/>
        </w:rPr>
      </w:pPr>
    </w:p>
    <w:p w14:paraId="1BF140C3" w14:textId="7BDC7DA2" w:rsidR="007C6FEF" w:rsidRDefault="007C6FEF" w:rsidP="00A06387">
      <w:pPr>
        <w:pStyle w:val="NoSpacing"/>
        <w:rPr>
          <w:rFonts w:ascii="Arial Black" w:hAnsi="Arial Black"/>
          <w:sz w:val="28"/>
          <w:szCs w:val="28"/>
        </w:rPr>
      </w:pPr>
      <w:r>
        <w:rPr>
          <w:rFonts w:ascii="Arial Black" w:hAnsi="Arial Black"/>
          <w:sz w:val="28"/>
          <w:szCs w:val="28"/>
        </w:rPr>
        <w:t>6-27</w:t>
      </w:r>
    </w:p>
    <w:p w14:paraId="2FD1BD7D" w14:textId="3EF71137" w:rsidR="007C6FEF" w:rsidRDefault="007C6FEF" w:rsidP="007C6FEF">
      <w:pPr>
        <w:rPr>
          <w:rFonts w:ascii="Arial Black" w:hAnsi="Arial Black"/>
          <w:sz w:val="28"/>
          <w:szCs w:val="28"/>
        </w:rPr>
      </w:pPr>
      <w:r w:rsidRPr="00407E0E">
        <w:rPr>
          <w:rFonts w:ascii="Arial Black" w:hAnsi="Arial Black"/>
          <w:sz w:val="28"/>
          <w:szCs w:val="28"/>
        </w:rPr>
        <w:t>RI:</w:t>
      </w:r>
      <w:r>
        <w:rPr>
          <w:rFonts w:ascii="Arial Black" w:hAnsi="Arial Black"/>
          <w:sz w:val="28"/>
          <w:szCs w:val="28"/>
        </w:rPr>
        <w:t xml:space="preserve"> CRANSTON FF – 20 YRS ON FD - DIED COLON CANCER 2017 – RI SUPREME COURT DENIES WIDOW ACCIDENTAL DISABILITY PENSION</w:t>
      </w:r>
    </w:p>
    <w:p w14:paraId="1C5F38B5" w14:textId="77777777" w:rsidR="007C6FEF" w:rsidRDefault="007C6FEF" w:rsidP="007C6FEF">
      <w:pPr>
        <w:rPr>
          <w:b/>
          <w:bCs/>
        </w:rPr>
      </w:pPr>
      <w:r w:rsidRPr="00212873">
        <w:rPr>
          <w:rFonts w:ascii="Times New Roman" w:hAnsi="Times New Roman"/>
          <w:sz w:val="24"/>
          <w:szCs w:val="24"/>
        </w:rPr>
        <w:t xml:space="preserve">On Dec. 18, </w:t>
      </w:r>
      <w:proofErr w:type="gramStart"/>
      <w:r w:rsidRPr="00212873">
        <w:rPr>
          <w:rFonts w:ascii="Times New Roman" w:hAnsi="Times New Roman"/>
          <w:sz w:val="24"/>
          <w:szCs w:val="24"/>
        </w:rPr>
        <w:t>2019</w:t>
      </w:r>
      <w:proofErr w:type="gramEnd"/>
      <w:r w:rsidRPr="00212873">
        <w:rPr>
          <w:rFonts w:ascii="Times New Roman" w:hAnsi="Times New Roman"/>
          <w:sz w:val="24"/>
          <w:szCs w:val="24"/>
        </w:rPr>
        <w:t xml:space="preserve"> in </w:t>
      </w:r>
      <w:r w:rsidRPr="00212873">
        <w:rPr>
          <w:rFonts w:ascii="Times New Roman" w:hAnsi="Times New Roman"/>
          <w:sz w:val="24"/>
          <w:szCs w:val="24"/>
          <w:u w:val="single"/>
        </w:rPr>
        <w:t>Corrine A. Lang as Executrix of Estate of Kevin Land v. Municipal Employees’ Retirement System of Rhode Island</w:t>
      </w:r>
      <w:r w:rsidRPr="00212873">
        <w:rPr>
          <w:rFonts w:ascii="Times New Roman" w:hAnsi="Times New Roman"/>
          <w:sz w:val="24"/>
          <w:szCs w:val="24"/>
        </w:rPr>
        <w:t xml:space="preserve">, the Supreme Court of Rode Island </w:t>
      </w:r>
      <w:r>
        <w:rPr>
          <w:rFonts w:ascii="Times New Roman" w:hAnsi="Times New Roman"/>
          <w:sz w:val="24"/>
          <w:szCs w:val="24"/>
        </w:rPr>
        <w:t xml:space="preserve">ruled </w:t>
      </w:r>
      <w:r w:rsidRPr="00212873">
        <w:rPr>
          <w:rFonts w:ascii="Times New Roman" w:hAnsi="Times New Roman"/>
          <w:sz w:val="24"/>
          <w:szCs w:val="24"/>
        </w:rPr>
        <w:t>(4 to 1)</w:t>
      </w:r>
      <w:r>
        <w:rPr>
          <w:rFonts w:ascii="Times New Roman" w:hAnsi="Times New Roman"/>
          <w:sz w:val="24"/>
          <w:szCs w:val="24"/>
        </w:rPr>
        <w:t xml:space="preserve"> that the widow was not entitled to an award of accidental disability benefits, reversing the </w:t>
      </w:r>
      <w:r w:rsidRPr="00212873">
        <w:rPr>
          <w:rFonts w:ascii="Times New Roman" w:hAnsi="Times New Roman"/>
          <w:sz w:val="24"/>
          <w:szCs w:val="24"/>
        </w:rPr>
        <w:t>Appellate Division of the Workers’ Compensation Court</w:t>
      </w:r>
      <w:r>
        <w:rPr>
          <w:rFonts w:ascii="Times New Roman" w:hAnsi="Times New Roman"/>
          <w:sz w:val="24"/>
          <w:szCs w:val="24"/>
        </w:rPr>
        <w:t>.</w:t>
      </w:r>
    </w:p>
    <w:p w14:paraId="0E961C8B" w14:textId="0C0F387F" w:rsidR="007C6FEF" w:rsidRDefault="007C6FEF" w:rsidP="009F1927">
      <w:pPr>
        <w:pStyle w:val="NoSpacing"/>
        <w:ind w:left="720"/>
        <w:rPr>
          <w:rFonts w:ascii="Arial Black" w:hAnsi="Arial Black"/>
          <w:sz w:val="28"/>
          <w:szCs w:val="28"/>
        </w:rPr>
      </w:pPr>
      <w:r>
        <w:rPr>
          <w:rFonts w:ascii="Times New Roman" w:hAnsi="Times New Roman"/>
          <w:sz w:val="24"/>
          <w:szCs w:val="24"/>
        </w:rPr>
        <w:t>“</w:t>
      </w:r>
      <w:r w:rsidRPr="00212873">
        <w:rPr>
          <w:rFonts w:ascii="Times New Roman" w:hAnsi="Times New Roman"/>
          <w:sz w:val="24"/>
          <w:szCs w:val="24"/>
        </w:rPr>
        <w:t>To conclude that the language in § 45-19.1-1 creates a conclusive presumption would not only render the statutory definition of occupational cancer in § 45-19.1-2(d) meaningless</w:t>
      </w:r>
      <w:r>
        <w:rPr>
          <w:rFonts w:ascii="Times New Roman" w:hAnsi="Times New Roman"/>
          <w:sz w:val="24"/>
          <w:szCs w:val="24"/>
        </w:rPr>
        <w:t xml:space="preserve"> </w:t>
      </w:r>
      <w:r w:rsidRPr="00212873">
        <w:rPr>
          <w:rFonts w:ascii="Times New Roman" w:hAnsi="Times New Roman"/>
          <w:sz w:val="24"/>
          <w:szCs w:val="24"/>
        </w:rPr>
        <w:t xml:space="preserve">and create a right not found within the </w:t>
      </w:r>
      <w:proofErr w:type="gramStart"/>
      <w:r w:rsidRPr="00212873">
        <w:rPr>
          <w:rFonts w:ascii="Times New Roman" w:hAnsi="Times New Roman"/>
          <w:sz w:val="24"/>
          <w:szCs w:val="24"/>
        </w:rPr>
        <w:t>statute,</w:t>
      </w:r>
      <w:r>
        <w:rPr>
          <w:rFonts w:ascii="Times New Roman" w:hAnsi="Times New Roman"/>
          <w:sz w:val="24"/>
          <w:szCs w:val="24"/>
        </w:rPr>
        <w:t xml:space="preserve"> </w:t>
      </w:r>
      <w:r w:rsidRPr="00212873">
        <w:rPr>
          <w:rFonts w:ascii="Times New Roman" w:hAnsi="Times New Roman"/>
          <w:sz w:val="24"/>
          <w:szCs w:val="24"/>
        </w:rPr>
        <w:t>but</w:t>
      </w:r>
      <w:proofErr w:type="gramEnd"/>
      <w:r w:rsidRPr="00212873">
        <w:rPr>
          <w:rFonts w:ascii="Times New Roman" w:hAnsi="Times New Roman"/>
          <w:sz w:val="24"/>
          <w:szCs w:val="24"/>
        </w:rPr>
        <w:t xml:space="preserve"> would also construe the statute to reach an absurd result. For example, a conclusive presumption that all cancers in firefighters are occupational cancers would mean that a firefighter who</w:t>
      </w:r>
      <w:r>
        <w:rPr>
          <w:rFonts w:ascii="Times New Roman" w:hAnsi="Times New Roman"/>
          <w:sz w:val="24"/>
          <w:szCs w:val="24"/>
        </w:rPr>
        <w:t xml:space="preserve"> </w:t>
      </w:r>
      <w:r w:rsidRPr="00212873">
        <w:rPr>
          <w:rFonts w:ascii="Times New Roman" w:hAnsi="Times New Roman"/>
          <w:sz w:val="24"/>
          <w:szCs w:val="24"/>
        </w:rPr>
        <w:t>smoked four packs</w:t>
      </w:r>
      <w:r>
        <w:rPr>
          <w:rFonts w:ascii="Times New Roman" w:hAnsi="Times New Roman"/>
          <w:sz w:val="24"/>
          <w:szCs w:val="24"/>
        </w:rPr>
        <w:t xml:space="preserve"> </w:t>
      </w:r>
      <w:r w:rsidRPr="00212873">
        <w:rPr>
          <w:rFonts w:ascii="Times New Roman" w:hAnsi="Times New Roman"/>
          <w:sz w:val="24"/>
          <w:szCs w:val="24"/>
        </w:rPr>
        <w:t>of cigarettes a day</w:t>
      </w:r>
      <w:r>
        <w:rPr>
          <w:rFonts w:ascii="Times New Roman" w:hAnsi="Times New Roman"/>
          <w:sz w:val="24"/>
          <w:szCs w:val="24"/>
        </w:rPr>
        <w:t xml:space="preserve"> </w:t>
      </w:r>
      <w:r w:rsidRPr="00212873">
        <w:rPr>
          <w:rFonts w:ascii="Times New Roman" w:hAnsi="Times New Roman"/>
          <w:sz w:val="24"/>
          <w:szCs w:val="24"/>
        </w:rPr>
        <w:t>for decades</w:t>
      </w:r>
      <w:r>
        <w:rPr>
          <w:rFonts w:ascii="Times New Roman" w:hAnsi="Times New Roman"/>
          <w:sz w:val="24"/>
          <w:szCs w:val="24"/>
        </w:rPr>
        <w:t xml:space="preserve"> </w:t>
      </w:r>
      <w:r w:rsidRPr="00212873">
        <w:rPr>
          <w:rFonts w:ascii="Times New Roman" w:hAnsi="Times New Roman"/>
          <w:sz w:val="24"/>
          <w:szCs w:val="24"/>
        </w:rPr>
        <w:t>would receive an occupational cancer disability benefit despite not having proved</w:t>
      </w:r>
      <w:r>
        <w:rPr>
          <w:rFonts w:ascii="Times New Roman" w:hAnsi="Times New Roman"/>
          <w:sz w:val="24"/>
          <w:szCs w:val="24"/>
        </w:rPr>
        <w:t xml:space="preserve"> </w:t>
      </w:r>
      <w:r w:rsidRPr="00212873">
        <w:rPr>
          <w:rFonts w:ascii="Times New Roman" w:hAnsi="Times New Roman"/>
          <w:sz w:val="24"/>
          <w:szCs w:val="24"/>
        </w:rPr>
        <w:t>that his cancer was related</w:t>
      </w:r>
      <w:r>
        <w:rPr>
          <w:rFonts w:ascii="Times New Roman" w:hAnsi="Times New Roman"/>
          <w:sz w:val="24"/>
          <w:szCs w:val="24"/>
        </w:rPr>
        <w:t xml:space="preserve"> </w:t>
      </w:r>
      <w:r w:rsidRPr="00212873">
        <w:rPr>
          <w:rFonts w:ascii="Times New Roman" w:hAnsi="Times New Roman"/>
          <w:sz w:val="24"/>
          <w:szCs w:val="24"/>
        </w:rPr>
        <w:t>to exposure on the job.</w:t>
      </w:r>
      <w:r>
        <w:rPr>
          <w:rFonts w:ascii="Times New Roman" w:hAnsi="Times New Roman"/>
          <w:sz w:val="24"/>
          <w:szCs w:val="24"/>
        </w:rPr>
        <w:t xml:space="preserve"> </w:t>
      </w:r>
      <w:r w:rsidRPr="00212873">
        <w:rPr>
          <w:rFonts w:ascii="Times New Roman" w:hAnsi="Times New Roman"/>
          <w:sz w:val="24"/>
          <w:szCs w:val="24"/>
        </w:rPr>
        <w:t xml:space="preserve">Similarly, a conclusive presumption would provide occupational cancer benefits to a firefighter who contracted cancer </w:t>
      </w:r>
      <w:proofErr w:type="gramStart"/>
      <w:r w:rsidRPr="00212873">
        <w:rPr>
          <w:rFonts w:ascii="Times New Roman" w:hAnsi="Times New Roman"/>
          <w:sz w:val="24"/>
          <w:szCs w:val="24"/>
        </w:rPr>
        <w:t>as a result of</w:t>
      </w:r>
      <w:proofErr w:type="gramEnd"/>
      <w:r w:rsidRPr="00212873">
        <w:rPr>
          <w:rFonts w:ascii="Times New Roman" w:hAnsi="Times New Roman"/>
          <w:sz w:val="24"/>
          <w:szCs w:val="24"/>
        </w:rPr>
        <w:t xml:space="preserve"> exposure to</w:t>
      </w:r>
      <w:r>
        <w:rPr>
          <w:rFonts w:ascii="Times New Roman" w:hAnsi="Times New Roman"/>
          <w:sz w:val="24"/>
          <w:szCs w:val="24"/>
        </w:rPr>
        <w:t xml:space="preserve"> </w:t>
      </w:r>
      <w:r w:rsidRPr="00212873">
        <w:rPr>
          <w:rFonts w:ascii="Times New Roman" w:hAnsi="Times New Roman"/>
          <w:sz w:val="24"/>
          <w:szCs w:val="24"/>
        </w:rPr>
        <w:t>pesticides while landscaping in his</w:t>
      </w:r>
      <w:r>
        <w:rPr>
          <w:rFonts w:ascii="Times New Roman" w:hAnsi="Times New Roman"/>
          <w:sz w:val="24"/>
          <w:szCs w:val="24"/>
        </w:rPr>
        <w:t xml:space="preserve"> </w:t>
      </w:r>
      <w:r w:rsidRPr="00212873">
        <w:rPr>
          <w:rFonts w:ascii="Times New Roman" w:hAnsi="Times New Roman"/>
          <w:sz w:val="24"/>
          <w:szCs w:val="24"/>
        </w:rPr>
        <w:t>or her</w:t>
      </w:r>
      <w:r>
        <w:rPr>
          <w:rFonts w:ascii="Times New Roman" w:hAnsi="Times New Roman"/>
          <w:sz w:val="24"/>
          <w:szCs w:val="24"/>
        </w:rPr>
        <w:t xml:space="preserve"> </w:t>
      </w:r>
      <w:r w:rsidRPr="00212873">
        <w:rPr>
          <w:rFonts w:ascii="Times New Roman" w:hAnsi="Times New Roman"/>
          <w:sz w:val="24"/>
          <w:szCs w:val="24"/>
        </w:rPr>
        <w:t>yard.</w:t>
      </w:r>
      <w:r>
        <w:rPr>
          <w:rFonts w:ascii="Times New Roman" w:hAnsi="Times New Roman"/>
          <w:sz w:val="24"/>
          <w:szCs w:val="24"/>
        </w:rPr>
        <w:t xml:space="preserve"> </w:t>
      </w:r>
      <w:r w:rsidRPr="00212873">
        <w:rPr>
          <w:rFonts w:ascii="Times New Roman" w:hAnsi="Times New Roman"/>
          <w:sz w:val="24"/>
          <w:szCs w:val="24"/>
        </w:rPr>
        <w:t>We do not believe the General Assembly would have extended such broad</w:t>
      </w:r>
      <w:r>
        <w:rPr>
          <w:rFonts w:ascii="Times New Roman" w:hAnsi="Times New Roman"/>
          <w:sz w:val="24"/>
          <w:szCs w:val="24"/>
        </w:rPr>
        <w:t xml:space="preserve"> </w:t>
      </w:r>
      <w:r w:rsidRPr="00212873">
        <w:rPr>
          <w:rFonts w:ascii="Times New Roman" w:hAnsi="Times New Roman"/>
          <w:sz w:val="24"/>
          <w:szCs w:val="24"/>
        </w:rPr>
        <w:t>benefits to all firefighters without expressly providing for</w:t>
      </w:r>
      <w:r>
        <w:rPr>
          <w:rFonts w:ascii="Times New Roman" w:hAnsi="Times New Roman"/>
          <w:sz w:val="24"/>
          <w:szCs w:val="24"/>
        </w:rPr>
        <w:t xml:space="preserve"> </w:t>
      </w:r>
      <w:r w:rsidRPr="00212873">
        <w:rPr>
          <w:rFonts w:ascii="Times New Roman" w:hAnsi="Times New Roman"/>
          <w:sz w:val="24"/>
          <w:szCs w:val="24"/>
        </w:rPr>
        <w:t>such</w:t>
      </w:r>
      <w:r>
        <w:rPr>
          <w:rFonts w:ascii="Times New Roman" w:hAnsi="Times New Roman"/>
          <w:sz w:val="24"/>
          <w:szCs w:val="24"/>
        </w:rPr>
        <w:t xml:space="preserve"> </w:t>
      </w:r>
      <w:r w:rsidRPr="00212873">
        <w:rPr>
          <w:rFonts w:ascii="Times New Roman" w:hAnsi="Times New Roman"/>
          <w:sz w:val="24"/>
          <w:szCs w:val="24"/>
        </w:rPr>
        <w:t>in clear and unambiguous language.</w:t>
      </w:r>
      <w:r>
        <w:rPr>
          <w:rFonts w:ascii="Times New Roman" w:hAnsi="Times New Roman"/>
          <w:sz w:val="24"/>
          <w:szCs w:val="24"/>
        </w:rPr>
        <w:t xml:space="preserve">” </w:t>
      </w:r>
      <w:hyperlink r:id="rId1321" w:history="1">
        <w:r w:rsidRPr="005F7F38">
          <w:rPr>
            <w:rStyle w:val="Hyperlink"/>
            <w:rFonts w:ascii="Times New Roman" w:hAnsi="Times New Roman"/>
            <w:sz w:val="24"/>
            <w:szCs w:val="24"/>
          </w:rPr>
          <w:t>https://www.courts.ri.gov/Courts/SupremeCourt/SupremeOpinions/17-295.pdf</w:t>
        </w:r>
      </w:hyperlink>
    </w:p>
    <w:p w14:paraId="078BFD58" w14:textId="38B0BF00" w:rsidR="007C6FEF" w:rsidRDefault="007C6FEF" w:rsidP="00A06387">
      <w:pPr>
        <w:pStyle w:val="NoSpacing"/>
        <w:rPr>
          <w:rFonts w:ascii="Arial Black" w:hAnsi="Arial Black"/>
          <w:sz w:val="28"/>
          <w:szCs w:val="28"/>
        </w:rPr>
      </w:pPr>
    </w:p>
    <w:p w14:paraId="6F9C3319" w14:textId="14D33386" w:rsidR="009F1927" w:rsidRPr="009F1927" w:rsidRDefault="009F1927" w:rsidP="00A06387">
      <w:pPr>
        <w:pStyle w:val="NoSpacing"/>
        <w:rPr>
          <w:rFonts w:ascii="Times New Roman" w:hAnsi="Times New Roman"/>
          <w:b/>
          <w:bCs/>
          <w:sz w:val="24"/>
          <w:szCs w:val="24"/>
        </w:rPr>
      </w:pPr>
      <w:r w:rsidRPr="009F1927">
        <w:rPr>
          <w:rFonts w:ascii="Times New Roman" w:hAnsi="Times New Roman"/>
          <w:b/>
          <w:bCs/>
          <w:sz w:val="24"/>
          <w:szCs w:val="24"/>
        </w:rPr>
        <w:t>Legal Lessons Learned:</w:t>
      </w:r>
      <w:r>
        <w:rPr>
          <w:rFonts w:ascii="Times New Roman" w:hAnsi="Times New Roman"/>
          <w:b/>
          <w:bCs/>
          <w:sz w:val="24"/>
          <w:szCs w:val="24"/>
        </w:rPr>
        <w:t xml:space="preserve"> </w:t>
      </w:r>
      <w:r w:rsidRPr="009F1927">
        <w:rPr>
          <w:rFonts w:ascii="Times New Roman" w:hAnsi="Times New Roman"/>
          <w:b/>
          <w:bCs/>
          <w:sz w:val="24"/>
          <w:szCs w:val="24"/>
        </w:rPr>
        <w:t>Hopefully the Rhode Island legislature will promptly amend the statutory presumption statute</w:t>
      </w:r>
      <w:r>
        <w:rPr>
          <w:rFonts w:ascii="Times New Roman" w:hAnsi="Times New Roman"/>
          <w:b/>
          <w:bCs/>
          <w:sz w:val="24"/>
          <w:szCs w:val="24"/>
        </w:rPr>
        <w:t xml:space="preserve"> t</w:t>
      </w:r>
      <w:r w:rsidRPr="009F1927">
        <w:rPr>
          <w:rFonts w:ascii="Times New Roman" w:hAnsi="Times New Roman"/>
          <w:b/>
          <w:bCs/>
          <w:sz w:val="24"/>
          <w:szCs w:val="24"/>
        </w:rPr>
        <w:t xml:space="preserve">o clarify the burden of proof when firefighters have can </w:t>
      </w:r>
      <w:r>
        <w:rPr>
          <w:rFonts w:ascii="Times New Roman" w:hAnsi="Times New Roman"/>
          <w:b/>
          <w:bCs/>
          <w:sz w:val="24"/>
          <w:szCs w:val="24"/>
        </w:rPr>
        <w:t>be entitled to coverage.</w:t>
      </w:r>
    </w:p>
    <w:p w14:paraId="2C46F1A3" w14:textId="77777777" w:rsidR="009F1927" w:rsidRDefault="009F1927" w:rsidP="003464C5">
      <w:pPr>
        <w:rPr>
          <w:rFonts w:ascii="Times New Roman" w:hAnsi="Times New Roman"/>
          <w:bCs/>
          <w:sz w:val="24"/>
          <w:szCs w:val="24"/>
        </w:rPr>
      </w:pPr>
    </w:p>
    <w:p w14:paraId="557F7C5C" w14:textId="77777777" w:rsidR="007C6FEF" w:rsidRDefault="007C6FEF" w:rsidP="00A06387">
      <w:pPr>
        <w:pStyle w:val="NoSpacing"/>
        <w:rPr>
          <w:rFonts w:ascii="Arial Black" w:hAnsi="Arial Black"/>
          <w:sz w:val="28"/>
          <w:szCs w:val="28"/>
        </w:rPr>
      </w:pPr>
    </w:p>
    <w:p w14:paraId="29B521B5" w14:textId="2082D058" w:rsidR="00A52325" w:rsidRDefault="00A52325" w:rsidP="00A06387">
      <w:pPr>
        <w:pStyle w:val="NoSpacing"/>
        <w:rPr>
          <w:rFonts w:ascii="Arial Black" w:hAnsi="Arial Black"/>
          <w:sz w:val="28"/>
          <w:szCs w:val="28"/>
        </w:rPr>
      </w:pPr>
      <w:r>
        <w:rPr>
          <w:rFonts w:ascii="Arial Black" w:hAnsi="Arial Black"/>
          <w:sz w:val="28"/>
          <w:szCs w:val="28"/>
        </w:rPr>
        <w:t>6-26</w:t>
      </w:r>
    </w:p>
    <w:p w14:paraId="704048D5" w14:textId="6D3719CC" w:rsidR="00A52325" w:rsidRDefault="00A52325" w:rsidP="00A06387">
      <w:pPr>
        <w:pStyle w:val="NoSpacing"/>
        <w:rPr>
          <w:rFonts w:ascii="Arial Black" w:hAnsi="Arial Black"/>
          <w:sz w:val="28"/>
          <w:szCs w:val="28"/>
        </w:rPr>
      </w:pPr>
    </w:p>
    <w:p w14:paraId="00F9FC01" w14:textId="77777777" w:rsidR="00A52325" w:rsidRDefault="00A52325" w:rsidP="00A52325">
      <w:pPr>
        <w:pStyle w:val="NoSpacing"/>
        <w:rPr>
          <w:rFonts w:ascii="Arial Black" w:hAnsi="Arial Black" w:cstheme="minorBidi"/>
          <w:sz w:val="28"/>
          <w:szCs w:val="28"/>
        </w:rPr>
      </w:pPr>
      <w:r>
        <w:rPr>
          <w:rFonts w:ascii="Arial Black" w:hAnsi="Arial Black"/>
          <w:sz w:val="28"/>
          <w:szCs w:val="28"/>
        </w:rPr>
        <w:t xml:space="preserve">NY:  FDNY FF RESIGNED – PLED GUILTY TO FELONY - LYING TO FBI &amp; DOJ – NO RIGHT TO REINSTATEMENT </w:t>
      </w:r>
    </w:p>
    <w:p w14:paraId="11456ED5" w14:textId="77777777" w:rsidR="00A52325" w:rsidRDefault="00A52325" w:rsidP="00A5232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8, 2019, in </w:t>
      </w:r>
      <w:r>
        <w:rPr>
          <w:rFonts w:ascii="Times New Roman" w:hAnsi="Times New Roman"/>
          <w:sz w:val="24"/>
          <w:szCs w:val="24"/>
          <w:u w:val="single"/>
        </w:rPr>
        <w:t xml:space="preserve">Stephen </w:t>
      </w:r>
      <w:proofErr w:type="spellStart"/>
      <w:r>
        <w:rPr>
          <w:rFonts w:ascii="Times New Roman" w:hAnsi="Times New Roman"/>
          <w:sz w:val="24"/>
          <w:szCs w:val="24"/>
          <w:u w:val="single"/>
        </w:rPr>
        <w:t>Mcanulty</w:t>
      </w:r>
      <w:proofErr w:type="spellEnd"/>
      <w:r>
        <w:rPr>
          <w:rFonts w:ascii="Times New Roman" w:hAnsi="Times New Roman"/>
          <w:sz w:val="24"/>
          <w:szCs w:val="24"/>
          <w:u w:val="single"/>
        </w:rPr>
        <w:t xml:space="preserve"> v. Fire Department of City of New York</w:t>
      </w:r>
      <w:r>
        <w:rPr>
          <w:rFonts w:ascii="Times New Roman" w:hAnsi="Times New Roman"/>
          <w:sz w:val="24"/>
          <w:szCs w:val="24"/>
        </w:rPr>
        <w:t>, NY Supreme Court / Kings County (Judge Katherine A. Levine), the judge held the FDNY had no obligation to rehire the firefighter eight years after he resigned.</w:t>
      </w:r>
    </w:p>
    <w:p w14:paraId="2FB9AB43" w14:textId="77777777" w:rsidR="00A52325" w:rsidRDefault="00A52325" w:rsidP="00A5232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“In sum, petitioner has not shown that the FDNY in any way violated lawful </w:t>
      </w:r>
      <w:proofErr w:type="gramStart"/>
      <w:r>
        <w:rPr>
          <w:rFonts w:ascii="Times New Roman" w:hAnsi="Times New Roman"/>
          <w:sz w:val="24"/>
          <w:szCs w:val="24"/>
        </w:rPr>
        <w:t>procedure, or</w:t>
      </w:r>
      <w:proofErr w:type="gramEnd"/>
      <w:r>
        <w:rPr>
          <w:rFonts w:ascii="Times New Roman" w:hAnsi="Times New Roman"/>
          <w:sz w:val="24"/>
          <w:szCs w:val="24"/>
        </w:rPr>
        <w:t xml:space="preserve"> deviated from the standards set forth in the PRR (55 RCNY Appendix A) § 6.2.1(a) and (b), and POL § 30(1)(e). The court finds that </w:t>
      </w:r>
      <w:proofErr w:type="gramStart"/>
      <w:r>
        <w:rPr>
          <w:rFonts w:ascii="Times New Roman" w:hAnsi="Times New Roman"/>
          <w:sz w:val="24"/>
          <w:szCs w:val="24"/>
        </w:rPr>
        <w:t>respondent's</w:t>
      </w:r>
      <w:proofErr w:type="gramEnd"/>
      <w:r>
        <w:rPr>
          <w:rFonts w:ascii="Times New Roman" w:hAnsi="Times New Roman"/>
          <w:sz w:val="24"/>
          <w:szCs w:val="24"/>
        </w:rPr>
        <w:t xml:space="preserve"> determination was reasonably based on the facts and </w:t>
      </w:r>
      <w:proofErr w:type="gramStart"/>
      <w:r>
        <w:rPr>
          <w:rFonts w:ascii="Times New Roman" w:hAnsi="Times New Roman"/>
          <w:sz w:val="24"/>
          <w:szCs w:val="24"/>
        </w:rPr>
        <w:t>law, and</w:t>
      </w:r>
      <w:proofErr w:type="gramEnd"/>
      <w:r>
        <w:rPr>
          <w:rFonts w:ascii="Times New Roman" w:hAnsi="Times New Roman"/>
          <w:sz w:val="24"/>
          <w:szCs w:val="24"/>
        </w:rPr>
        <w:t xml:space="preserve"> was not arbitrary and capricious or an abuse of discretion. Therefore, the petition is denied. This constitutes the decision and order of the court.” </w:t>
      </w:r>
      <w:hyperlink r:id="rId1322" w:history="1">
        <w:r>
          <w:rPr>
            <w:rStyle w:val="Hyperlink"/>
            <w:rFonts w:ascii="Times New Roman" w:hAnsi="Times New Roman"/>
            <w:sz w:val="24"/>
            <w:szCs w:val="24"/>
          </w:rPr>
          <w:t>https://law.justia.com/cases/new-york/other-courts/2019/2019-ny-slip-op-29363.html</w:t>
        </w:r>
      </w:hyperlink>
      <w:r>
        <w:rPr>
          <w:rFonts w:ascii="Times New Roman" w:hAnsi="Times New Roman"/>
          <w:sz w:val="24"/>
          <w:szCs w:val="24"/>
        </w:rPr>
        <w:t xml:space="preserve"> </w:t>
      </w:r>
    </w:p>
    <w:p w14:paraId="75CC0547" w14:textId="77777777" w:rsidR="00A52325" w:rsidRDefault="00A52325" w:rsidP="00A52325">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FDNY was legally barred from reinstating a convicted felon whose conviction had never been vacated.  </w:t>
      </w:r>
    </w:p>
    <w:p w14:paraId="7E21E32C" w14:textId="77777777" w:rsidR="00A52325" w:rsidRDefault="00A52325" w:rsidP="00A06387">
      <w:pPr>
        <w:pStyle w:val="NoSpacing"/>
        <w:rPr>
          <w:rFonts w:ascii="Arial Black" w:hAnsi="Arial Black"/>
          <w:sz w:val="28"/>
          <w:szCs w:val="28"/>
        </w:rPr>
      </w:pPr>
    </w:p>
    <w:p w14:paraId="45110975" w14:textId="77777777" w:rsidR="00A52325" w:rsidRDefault="00A52325" w:rsidP="00A06387">
      <w:pPr>
        <w:pStyle w:val="NoSpacing"/>
        <w:rPr>
          <w:rFonts w:ascii="Arial Black" w:hAnsi="Arial Black"/>
          <w:sz w:val="28"/>
          <w:szCs w:val="28"/>
        </w:rPr>
      </w:pPr>
    </w:p>
    <w:p w14:paraId="0694928F" w14:textId="7515169A" w:rsidR="00A06387" w:rsidRDefault="00A06387" w:rsidP="00A06387">
      <w:pPr>
        <w:pStyle w:val="NoSpacing"/>
        <w:rPr>
          <w:rFonts w:ascii="Arial Black" w:hAnsi="Arial Black"/>
          <w:sz w:val="28"/>
          <w:szCs w:val="28"/>
        </w:rPr>
      </w:pPr>
      <w:r>
        <w:rPr>
          <w:rFonts w:ascii="Arial Black" w:hAnsi="Arial Black"/>
          <w:sz w:val="28"/>
          <w:szCs w:val="28"/>
        </w:rPr>
        <w:t>6-25</w:t>
      </w:r>
    </w:p>
    <w:p w14:paraId="2C6180D5" w14:textId="77777777" w:rsidR="00A06387" w:rsidRDefault="00A06387" w:rsidP="00A06387">
      <w:pPr>
        <w:pStyle w:val="NoSpacing"/>
        <w:rPr>
          <w:rFonts w:ascii="Arial Black" w:hAnsi="Arial Black"/>
          <w:sz w:val="28"/>
          <w:szCs w:val="28"/>
        </w:rPr>
      </w:pPr>
    </w:p>
    <w:p w14:paraId="2FD2CAC0" w14:textId="2AAE94F0" w:rsidR="00A06387" w:rsidRDefault="00A06387" w:rsidP="00A06387">
      <w:pPr>
        <w:pStyle w:val="NoSpacing"/>
        <w:rPr>
          <w:rFonts w:ascii="Arial Black" w:hAnsi="Arial Black"/>
          <w:sz w:val="28"/>
          <w:szCs w:val="28"/>
        </w:rPr>
      </w:pPr>
      <w:r>
        <w:rPr>
          <w:rFonts w:ascii="Arial Black" w:hAnsi="Arial Black"/>
          <w:sz w:val="28"/>
          <w:szCs w:val="28"/>
        </w:rPr>
        <w:t xml:space="preserve">WA: FF BRAIN MELANOMA - WINS PERMANENT DISABILITY – PREV. DENIED TEMPORARY DISAB, MELANOMA ON BACK </w:t>
      </w:r>
      <w:r>
        <w:rPr>
          <w:rFonts w:ascii="Arial Black" w:hAnsi="Arial Black"/>
          <w:sz w:val="28"/>
          <w:szCs w:val="28"/>
        </w:rPr>
        <w:br/>
      </w:r>
    </w:p>
    <w:p w14:paraId="44B8FB12" w14:textId="77777777" w:rsidR="00A06387" w:rsidRPr="009F1927" w:rsidRDefault="00A06387" w:rsidP="00A06387">
      <w:pPr>
        <w:pStyle w:val="NoSpacing"/>
        <w:rPr>
          <w:rFonts w:ascii="Times New Roman" w:hAnsi="Times New Roman"/>
          <w:sz w:val="24"/>
          <w:szCs w:val="24"/>
        </w:rPr>
      </w:pPr>
      <w:r w:rsidRPr="009F1927">
        <w:rPr>
          <w:rFonts w:ascii="Times New Roman" w:hAnsi="Times New Roman"/>
          <w:bCs/>
          <w:sz w:val="24"/>
          <w:szCs w:val="24"/>
        </w:rPr>
        <w:t xml:space="preserve">On Oct. 17, 2019, in </w:t>
      </w:r>
      <w:r w:rsidRPr="009F1927">
        <w:rPr>
          <w:rFonts w:ascii="Times New Roman" w:hAnsi="Times New Roman"/>
          <w:bCs/>
          <w:sz w:val="24"/>
          <w:szCs w:val="24"/>
          <w:u w:val="single"/>
        </w:rPr>
        <w:t>Michael Weaver v. City of Everett and State of Washington, Department of Labor &amp; Industries</w:t>
      </w:r>
      <w:r w:rsidRPr="009F1927">
        <w:rPr>
          <w:rFonts w:ascii="Times New Roman" w:hAnsi="Times New Roman"/>
          <w:bCs/>
          <w:sz w:val="24"/>
          <w:szCs w:val="24"/>
        </w:rPr>
        <w:t xml:space="preserve">, the Supreme Court of State of Washington, held (9 to 0) that the firefighter’s melanoma was an occupational disease entitling his to permanent disability benefits, even though the State had previously denied him temporary disability. </w:t>
      </w:r>
    </w:p>
    <w:p w14:paraId="0784BAC8" w14:textId="77777777" w:rsidR="00A06387" w:rsidRPr="009F1927" w:rsidRDefault="00A06387" w:rsidP="00A06387">
      <w:pPr>
        <w:pStyle w:val="NoSpacing"/>
        <w:rPr>
          <w:rFonts w:ascii="Times New Roman" w:hAnsi="Times New Roman"/>
          <w:b/>
          <w:bCs/>
          <w:sz w:val="24"/>
          <w:szCs w:val="24"/>
        </w:rPr>
      </w:pPr>
    </w:p>
    <w:p w14:paraId="09FE4AF3" w14:textId="77777777" w:rsidR="00A06387" w:rsidRPr="009F1927" w:rsidRDefault="00A06387" w:rsidP="00A06387">
      <w:pPr>
        <w:pStyle w:val="NoSpacing"/>
        <w:ind w:left="720"/>
        <w:rPr>
          <w:rFonts w:ascii="Times New Roman" w:hAnsi="Times New Roman"/>
          <w:b/>
          <w:bCs/>
          <w:sz w:val="24"/>
          <w:szCs w:val="24"/>
        </w:rPr>
      </w:pPr>
      <w:r w:rsidRPr="009F1927">
        <w:rPr>
          <w:rFonts w:ascii="Times New Roman" w:hAnsi="Times New Roman"/>
          <w:bCs/>
          <w:sz w:val="24"/>
          <w:szCs w:val="24"/>
        </w:rPr>
        <w:t xml:space="preserve">“We conclude that the substantial disparity of relief between Weaver's temporary and permanent disability claims kept Weaver from fully and vigorously litigating the issue at the temporary disability claim stage. Therefore, because applying the doctrine in this instance would work an injustice and contravene public policy, we hold that collateral estoppel does not </w:t>
      </w:r>
      <w:proofErr w:type="gramStart"/>
      <w:r w:rsidRPr="009F1927">
        <w:rPr>
          <w:rFonts w:ascii="Times New Roman" w:hAnsi="Times New Roman"/>
          <w:bCs/>
          <w:sz w:val="24"/>
          <w:szCs w:val="24"/>
        </w:rPr>
        <w:t>apply.”</w:t>
      </w:r>
      <w:proofErr w:type="gramEnd"/>
    </w:p>
    <w:p w14:paraId="7B8DF9E8" w14:textId="77777777" w:rsidR="00A06387" w:rsidRPr="009F1927" w:rsidRDefault="00A06387" w:rsidP="00A06387">
      <w:pPr>
        <w:pStyle w:val="NoSpacing"/>
        <w:ind w:left="720"/>
        <w:rPr>
          <w:rFonts w:ascii="Times New Roman" w:hAnsi="Times New Roman"/>
          <w:b/>
          <w:bCs/>
          <w:sz w:val="24"/>
          <w:szCs w:val="24"/>
        </w:rPr>
      </w:pPr>
      <w:hyperlink r:id="rId1323" w:history="1">
        <w:r w:rsidRPr="009F1927">
          <w:rPr>
            <w:rStyle w:val="Hyperlink"/>
            <w:rFonts w:ascii="Times New Roman" w:hAnsi="Times New Roman"/>
            <w:bCs/>
            <w:sz w:val="24"/>
            <w:szCs w:val="24"/>
          </w:rPr>
          <w:t>https://cases.justia.com/washington/supreme-court/2019-96189-1.pdf?ts=1571325618</w:t>
        </w:r>
      </w:hyperlink>
      <w:r w:rsidRPr="009F1927">
        <w:rPr>
          <w:rFonts w:ascii="Times New Roman" w:hAnsi="Times New Roman"/>
          <w:bCs/>
          <w:sz w:val="24"/>
          <w:szCs w:val="24"/>
        </w:rPr>
        <w:t xml:space="preserve"> </w:t>
      </w:r>
    </w:p>
    <w:p w14:paraId="6D0105BF" w14:textId="77777777" w:rsidR="009F1927" w:rsidRPr="009F1927" w:rsidRDefault="009F1927" w:rsidP="00A06387">
      <w:pPr>
        <w:pStyle w:val="NoSpacing"/>
        <w:rPr>
          <w:rFonts w:ascii="Times New Roman" w:hAnsi="Times New Roman"/>
          <w:b/>
          <w:bCs/>
          <w:sz w:val="24"/>
          <w:szCs w:val="24"/>
        </w:rPr>
      </w:pPr>
    </w:p>
    <w:p w14:paraId="395EE568" w14:textId="274DC165" w:rsidR="00A06387" w:rsidRPr="009F1927" w:rsidRDefault="00A06387" w:rsidP="00A06387">
      <w:pPr>
        <w:pStyle w:val="NoSpacing"/>
        <w:rPr>
          <w:rFonts w:ascii="Times New Roman" w:hAnsi="Times New Roman"/>
          <w:b/>
          <w:bCs/>
          <w:sz w:val="24"/>
          <w:szCs w:val="24"/>
        </w:rPr>
      </w:pPr>
      <w:r w:rsidRPr="009F1927">
        <w:rPr>
          <w:rFonts w:ascii="Times New Roman" w:hAnsi="Times New Roman"/>
          <w:b/>
          <w:bCs/>
          <w:sz w:val="24"/>
          <w:szCs w:val="24"/>
        </w:rPr>
        <w:t>Legal Lessons Learned: Nice to see Court supporting a firefighter’s cancer claim, to avoid an “injustice.”</w:t>
      </w:r>
    </w:p>
    <w:p w14:paraId="08939695" w14:textId="77777777" w:rsidR="00A06387" w:rsidRPr="009F1927" w:rsidRDefault="00A06387" w:rsidP="00A06387">
      <w:pPr>
        <w:pStyle w:val="NoSpacing"/>
        <w:ind w:left="720"/>
        <w:rPr>
          <w:rFonts w:ascii="Times New Roman" w:hAnsi="Times New Roman"/>
          <w:b/>
          <w:bCs/>
          <w:sz w:val="24"/>
          <w:szCs w:val="24"/>
        </w:rPr>
      </w:pPr>
    </w:p>
    <w:p w14:paraId="10B92AE0" w14:textId="77777777" w:rsidR="00A06387" w:rsidRDefault="00A06387" w:rsidP="00A06387">
      <w:pPr>
        <w:pStyle w:val="NoSpacing"/>
        <w:rPr>
          <w:b/>
          <w:bCs/>
          <w:sz w:val="24"/>
          <w:szCs w:val="24"/>
        </w:rPr>
      </w:pPr>
    </w:p>
    <w:p w14:paraId="4F08270A" w14:textId="056C5035" w:rsidR="00A06387" w:rsidRPr="0005503D" w:rsidRDefault="00A06387" w:rsidP="0005503D">
      <w:pPr>
        <w:pStyle w:val="NoSpacing"/>
        <w:rPr>
          <w:rFonts w:ascii="Times New Roman" w:hAnsi="Times New Roman"/>
          <w:sz w:val="24"/>
          <w:szCs w:val="24"/>
        </w:rPr>
      </w:pPr>
    </w:p>
    <w:p w14:paraId="3AC5B2C0" w14:textId="77777777" w:rsidR="00A06387" w:rsidRDefault="00A06387" w:rsidP="00EF1133">
      <w:pPr>
        <w:rPr>
          <w:rFonts w:ascii="Arial Black" w:hAnsi="Arial Black"/>
          <w:b/>
          <w:sz w:val="24"/>
          <w:szCs w:val="24"/>
        </w:rPr>
      </w:pPr>
    </w:p>
    <w:p w14:paraId="0FCC6887" w14:textId="77777777" w:rsidR="00A06387" w:rsidRDefault="00A06387" w:rsidP="00EF1133">
      <w:pPr>
        <w:rPr>
          <w:rFonts w:ascii="Arial Black" w:hAnsi="Arial Black"/>
          <w:b/>
          <w:sz w:val="24"/>
          <w:szCs w:val="24"/>
        </w:rPr>
      </w:pPr>
    </w:p>
    <w:p w14:paraId="1003FB7E" w14:textId="4D675248" w:rsidR="00853142" w:rsidRDefault="00853142" w:rsidP="00EF1133">
      <w:pPr>
        <w:rPr>
          <w:rFonts w:ascii="Arial Black" w:hAnsi="Arial Black"/>
          <w:b/>
          <w:sz w:val="24"/>
          <w:szCs w:val="24"/>
        </w:rPr>
      </w:pPr>
      <w:r>
        <w:rPr>
          <w:rFonts w:ascii="Arial Black" w:hAnsi="Arial Black"/>
          <w:b/>
          <w:sz w:val="24"/>
          <w:szCs w:val="24"/>
        </w:rPr>
        <w:t>6-2</w:t>
      </w:r>
      <w:r w:rsidR="005B0774">
        <w:rPr>
          <w:rFonts w:ascii="Arial Black" w:hAnsi="Arial Black"/>
          <w:b/>
          <w:sz w:val="24"/>
          <w:szCs w:val="24"/>
        </w:rPr>
        <w:t>4</w:t>
      </w:r>
    </w:p>
    <w:p w14:paraId="142BC532" w14:textId="77777777" w:rsidR="00853142" w:rsidRPr="00866BD5" w:rsidRDefault="00853142" w:rsidP="00853142">
      <w:pPr>
        <w:pStyle w:val="NoSpacing"/>
        <w:rPr>
          <w:rFonts w:ascii="Arial Black" w:hAnsi="Arial Black"/>
          <w:b/>
          <w:bCs/>
          <w:sz w:val="28"/>
          <w:szCs w:val="28"/>
        </w:rPr>
      </w:pPr>
      <w:r w:rsidRPr="00866BD5">
        <w:rPr>
          <w:rFonts w:ascii="Arial Black" w:hAnsi="Arial Black"/>
          <w:b/>
          <w:bCs/>
          <w:sz w:val="28"/>
          <w:szCs w:val="28"/>
        </w:rPr>
        <w:t xml:space="preserve">OH: </w:t>
      </w:r>
      <w:r>
        <w:rPr>
          <w:rFonts w:ascii="Arial Black" w:hAnsi="Arial Black"/>
          <w:b/>
          <w:bCs/>
          <w:sz w:val="28"/>
          <w:szCs w:val="28"/>
        </w:rPr>
        <w:t>FD LT. DEMOTED WITHIN 1-YR OF PROMOTION – NOT “PROBATIONARY EMPLOYEE” – MAY FILE GRIEVANCE / ARBITRATION</w:t>
      </w:r>
    </w:p>
    <w:p w14:paraId="6E38D84B" w14:textId="77777777" w:rsidR="00853142" w:rsidRDefault="00853142" w:rsidP="00853142">
      <w:pPr>
        <w:pStyle w:val="NoSpacing"/>
      </w:pPr>
    </w:p>
    <w:p w14:paraId="15CE99E1" w14:textId="77777777" w:rsidR="00853142" w:rsidRPr="00866BD5" w:rsidRDefault="00853142" w:rsidP="00853142">
      <w:pPr>
        <w:pStyle w:val="NoSpacing"/>
        <w:rPr>
          <w:rFonts w:ascii="Times New Roman" w:hAnsi="Times New Roman"/>
          <w:sz w:val="24"/>
          <w:szCs w:val="24"/>
        </w:rPr>
      </w:pPr>
      <w:r w:rsidRPr="00866BD5">
        <w:rPr>
          <w:rFonts w:ascii="Times New Roman" w:hAnsi="Times New Roman"/>
          <w:sz w:val="24"/>
          <w:szCs w:val="24"/>
        </w:rPr>
        <w:t xml:space="preserve">On Sept. 18, 2019, in </w:t>
      </w:r>
      <w:r w:rsidRPr="00866BD5">
        <w:rPr>
          <w:rFonts w:ascii="Times New Roman" w:hAnsi="Times New Roman"/>
          <w:sz w:val="24"/>
          <w:szCs w:val="24"/>
          <w:u w:val="single"/>
        </w:rPr>
        <w:t>Steve Conti v. Mayfield Village</w:t>
      </w:r>
      <w:r>
        <w:rPr>
          <w:rFonts w:ascii="Times New Roman" w:hAnsi="Times New Roman"/>
          <w:sz w:val="24"/>
          <w:szCs w:val="24"/>
        </w:rPr>
        <w:t>,  U.S. District Court Judge James S. Gwin, U.S. District Court for the Northern District of Ohio, denied the City’s motion for summary judgement, and rejected the City’s claim that the Lieutenant “</w:t>
      </w:r>
      <w:r w:rsidRPr="00866BD5">
        <w:rPr>
          <w:rFonts w:ascii="Times New Roman" w:hAnsi="Times New Roman"/>
          <w:sz w:val="24"/>
          <w:szCs w:val="24"/>
        </w:rPr>
        <w:t>did not have a property interest in his probationary lieutenant position</w:t>
      </w:r>
      <w:r>
        <w:rPr>
          <w:rFonts w:ascii="Times New Roman" w:hAnsi="Times New Roman"/>
          <w:sz w:val="24"/>
          <w:szCs w:val="24"/>
        </w:rPr>
        <w:t xml:space="preserve">.” </w:t>
      </w:r>
      <w:hyperlink r:id="rId1324" w:history="1">
        <w:r w:rsidRPr="00BA29A7">
          <w:rPr>
            <w:rStyle w:val="Hyperlink"/>
            <w:rFonts w:ascii="Times New Roman" w:hAnsi="Times New Roman"/>
            <w:sz w:val="24"/>
            <w:szCs w:val="24"/>
          </w:rPr>
          <w:t>https://www.courtlistener.com/recap/gov.uscourts.ohnd.252466/gov.uscourts.ohnd.252466.26.0.pdf</w:t>
        </w:r>
      </w:hyperlink>
      <w:r>
        <w:rPr>
          <w:rFonts w:ascii="Times New Roman" w:hAnsi="Times New Roman"/>
          <w:sz w:val="24"/>
          <w:szCs w:val="24"/>
        </w:rPr>
        <w:t xml:space="preserve"> </w:t>
      </w:r>
    </w:p>
    <w:p w14:paraId="31F1FE1E" w14:textId="77777777" w:rsidR="00853142" w:rsidRPr="00866BD5" w:rsidRDefault="00853142" w:rsidP="00853142">
      <w:pPr>
        <w:pStyle w:val="NoSpacing"/>
        <w:rPr>
          <w:rFonts w:ascii="Times New Roman" w:hAnsi="Times New Roman"/>
          <w:sz w:val="24"/>
          <w:szCs w:val="24"/>
        </w:rPr>
      </w:pPr>
    </w:p>
    <w:p w14:paraId="2BAE9346" w14:textId="77777777" w:rsidR="00853142" w:rsidRDefault="00853142" w:rsidP="00853142">
      <w:pPr>
        <w:pStyle w:val="NoSpacing"/>
        <w:ind w:firstLine="720"/>
        <w:rPr>
          <w:rFonts w:ascii="Times New Roman" w:hAnsi="Times New Roman"/>
          <w:sz w:val="24"/>
          <w:szCs w:val="24"/>
        </w:rPr>
      </w:pPr>
      <w:r>
        <w:rPr>
          <w:rFonts w:ascii="Times New Roman" w:hAnsi="Times New Roman"/>
          <w:sz w:val="24"/>
          <w:szCs w:val="24"/>
        </w:rPr>
        <w:t>Judge Gwin wrote:</w:t>
      </w:r>
    </w:p>
    <w:p w14:paraId="6354BE1E" w14:textId="77777777" w:rsidR="00853142" w:rsidRDefault="00853142" w:rsidP="00853142">
      <w:pPr>
        <w:pStyle w:val="NoSpacing"/>
        <w:ind w:firstLine="720"/>
        <w:rPr>
          <w:rFonts w:ascii="Times New Roman" w:hAnsi="Times New Roman"/>
          <w:sz w:val="24"/>
          <w:szCs w:val="24"/>
        </w:rPr>
      </w:pPr>
    </w:p>
    <w:p w14:paraId="450E6EFF" w14:textId="77777777" w:rsidR="00853142" w:rsidRPr="00866BD5"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66BD5">
        <w:rPr>
          <w:rFonts w:ascii="Times New Roman" w:hAnsi="Times New Roman"/>
          <w:sz w:val="24"/>
          <w:szCs w:val="24"/>
        </w:rPr>
        <w:t xml:space="preserve">Defendant points to the </w:t>
      </w:r>
      <w:r>
        <w:rPr>
          <w:rFonts w:ascii="Times New Roman" w:hAnsi="Times New Roman"/>
          <w:sz w:val="24"/>
          <w:szCs w:val="24"/>
        </w:rPr>
        <w:t>‘</w:t>
      </w:r>
      <w:r w:rsidRPr="00866BD5">
        <w:rPr>
          <w:rFonts w:ascii="Times New Roman" w:hAnsi="Times New Roman"/>
          <w:sz w:val="24"/>
          <w:szCs w:val="24"/>
        </w:rPr>
        <w:t>Fire Lieutenant, Class B – Probationary</w:t>
      </w:r>
      <w:r>
        <w:rPr>
          <w:rFonts w:ascii="Times New Roman" w:hAnsi="Times New Roman"/>
          <w:sz w:val="24"/>
          <w:szCs w:val="24"/>
        </w:rPr>
        <w:t>’</w:t>
      </w:r>
      <w:r w:rsidRPr="00866BD5">
        <w:rPr>
          <w:rFonts w:ascii="Times New Roman" w:hAnsi="Times New Roman"/>
          <w:sz w:val="24"/>
          <w:szCs w:val="24"/>
        </w:rPr>
        <w:t xml:space="preserve"> position in Section 21.1’s salary schedule as support its reading that Plaintiff was a probationary employee. However, the placement of the undefined term </w:t>
      </w:r>
      <w:r>
        <w:rPr>
          <w:rFonts w:ascii="Times New Roman" w:hAnsi="Times New Roman"/>
          <w:sz w:val="24"/>
          <w:szCs w:val="24"/>
        </w:rPr>
        <w:t>‘</w:t>
      </w:r>
      <w:r w:rsidRPr="00866BD5">
        <w:rPr>
          <w:rFonts w:ascii="Times New Roman" w:hAnsi="Times New Roman"/>
          <w:sz w:val="24"/>
          <w:szCs w:val="24"/>
        </w:rPr>
        <w:t>Probationary</w:t>
      </w:r>
      <w:r>
        <w:rPr>
          <w:rFonts w:ascii="Times New Roman" w:hAnsi="Times New Roman"/>
          <w:sz w:val="24"/>
          <w:szCs w:val="24"/>
        </w:rPr>
        <w:t xml:space="preserve">’ </w:t>
      </w:r>
      <w:r w:rsidRPr="00866BD5">
        <w:rPr>
          <w:rFonts w:ascii="Times New Roman" w:hAnsi="Times New Roman"/>
          <w:sz w:val="24"/>
          <w:szCs w:val="24"/>
        </w:rPr>
        <w:t>after a promotional position without further explanation is hardly dispositive of this matter. Defendant’s argument ignores the other CBA references to probationary employees that distinguishes between probationary employees and promoted employees.</w:t>
      </w:r>
    </w:p>
    <w:p w14:paraId="55C50E44" w14:textId="77777777" w:rsidR="00853142" w:rsidRDefault="00853142" w:rsidP="00853142">
      <w:pPr>
        <w:pStyle w:val="NoSpacing"/>
      </w:pPr>
    </w:p>
    <w:p w14:paraId="1B226892" w14:textId="77777777" w:rsidR="00853142" w:rsidRPr="007438B9" w:rsidRDefault="00853142" w:rsidP="00853142">
      <w:pPr>
        <w:pStyle w:val="NoSpacing"/>
        <w:rPr>
          <w:rFonts w:ascii="Times New Roman" w:hAnsi="Times New Roman"/>
          <w:b/>
          <w:bCs/>
          <w:sz w:val="24"/>
          <w:szCs w:val="24"/>
        </w:rPr>
      </w:pPr>
      <w:r w:rsidRPr="007438B9">
        <w:rPr>
          <w:rFonts w:ascii="Times New Roman" w:hAnsi="Times New Roman"/>
          <w:b/>
          <w:bCs/>
          <w:sz w:val="24"/>
          <w:szCs w:val="24"/>
        </w:rPr>
        <w:t xml:space="preserve">Legal Lessons Learned: </w:t>
      </w:r>
      <w:r>
        <w:rPr>
          <w:rFonts w:ascii="Times New Roman" w:hAnsi="Times New Roman"/>
          <w:b/>
          <w:bCs/>
          <w:sz w:val="24"/>
          <w:szCs w:val="24"/>
        </w:rPr>
        <w:t xml:space="preserve">If promoted personnel are to be treated as “probationary” for the first year after probation, clearly state this in the CBA or Employee Handbook.   See Sept. 18, </w:t>
      </w:r>
      <w:proofErr w:type="gramStart"/>
      <w:r>
        <w:rPr>
          <w:rFonts w:ascii="Times New Roman" w:hAnsi="Times New Roman"/>
          <w:b/>
          <w:bCs/>
          <w:sz w:val="24"/>
          <w:szCs w:val="24"/>
        </w:rPr>
        <w:t>2013</w:t>
      </w:r>
      <w:proofErr w:type="gramEnd"/>
      <w:r>
        <w:rPr>
          <w:rFonts w:ascii="Times New Roman" w:hAnsi="Times New Roman"/>
          <w:b/>
          <w:bCs/>
          <w:sz w:val="24"/>
          <w:szCs w:val="24"/>
        </w:rPr>
        <w:t xml:space="preserve"> article and photo – hiring Steve Conti and two other firefighters: </w:t>
      </w:r>
      <w:hyperlink r:id="rId1325" w:history="1">
        <w:r w:rsidRPr="00BA29A7">
          <w:rPr>
            <w:rStyle w:val="Hyperlink"/>
            <w:rFonts w:ascii="Times New Roman" w:hAnsi="Times New Roman"/>
            <w:b/>
            <w:bCs/>
            <w:sz w:val="24"/>
            <w:szCs w:val="24"/>
          </w:rPr>
          <w:t>https://patch.com/ohio/mayfield-hillcrest/mayfield-village-introduces-three-new-firefighters</w:t>
        </w:r>
      </w:hyperlink>
      <w:r>
        <w:rPr>
          <w:rFonts w:ascii="Times New Roman" w:hAnsi="Times New Roman"/>
          <w:b/>
          <w:bCs/>
          <w:sz w:val="24"/>
          <w:szCs w:val="24"/>
        </w:rPr>
        <w:t xml:space="preserve"> </w:t>
      </w:r>
    </w:p>
    <w:p w14:paraId="12125F24" w14:textId="77777777" w:rsidR="00853142" w:rsidRPr="001C6D4E" w:rsidRDefault="00853142" w:rsidP="00853142">
      <w:pPr>
        <w:pStyle w:val="NoSpacing"/>
        <w:rPr>
          <w:rFonts w:ascii="Times New Roman" w:hAnsi="Times New Roman"/>
          <w:sz w:val="24"/>
          <w:szCs w:val="24"/>
        </w:rPr>
      </w:pPr>
    </w:p>
    <w:p w14:paraId="17D20D29" w14:textId="77777777" w:rsidR="00A67C57" w:rsidRPr="001C6D4E" w:rsidRDefault="00A67C57" w:rsidP="00853142">
      <w:pPr>
        <w:pStyle w:val="NoSpacing"/>
        <w:rPr>
          <w:rFonts w:ascii="Times New Roman" w:hAnsi="Times New Roman"/>
          <w:sz w:val="24"/>
          <w:szCs w:val="24"/>
        </w:rPr>
      </w:pPr>
    </w:p>
    <w:p w14:paraId="42A91EB0" w14:textId="77777777" w:rsidR="00853142" w:rsidRDefault="00853142" w:rsidP="00853142">
      <w:pPr>
        <w:pStyle w:val="NoSpacing"/>
        <w:rPr>
          <w:rFonts w:ascii="Times New Roman" w:hAnsi="Times New Roman"/>
          <w:sz w:val="24"/>
          <w:szCs w:val="24"/>
        </w:rPr>
      </w:pPr>
    </w:p>
    <w:p w14:paraId="6B7190DE" w14:textId="099DB33C" w:rsidR="009F0F05" w:rsidRDefault="009F0F05" w:rsidP="00EF1133">
      <w:pPr>
        <w:rPr>
          <w:rFonts w:ascii="Arial Black" w:hAnsi="Arial Black"/>
          <w:b/>
          <w:sz w:val="24"/>
          <w:szCs w:val="24"/>
        </w:rPr>
      </w:pPr>
      <w:r>
        <w:rPr>
          <w:rFonts w:ascii="Arial Black" w:hAnsi="Arial Black"/>
          <w:b/>
          <w:sz w:val="24"/>
          <w:szCs w:val="24"/>
        </w:rPr>
        <w:t>6-2</w:t>
      </w:r>
      <w:r w:rsidR="005B0774">
        <w:rPr>
          <w:rFonts w:ascii="Arial Black" w:hAnsi="Arial Black"/>
          <w:b/>
          <w:sz w:val="24"/>
          <w:szCs w:val="24"/>
        </w:rPr>
        <w:t>3</w:t>
      </w:r>
    </w:p>
    <w:p w14:paraId="69342D9A" w14:textId="77777777" w:rsidR="009F0F05" w:rsidRDefault="009F0F05" w:rsidP="009F0F05">
      <w:pPr>
        <w:rPr>
          <w:rFonts w:ascii="Arial Black" w:hAnsi="Arial Black"/>
          <w:sz w:val="28"/>
          <w:szCs w:val="28"/>
        </w:rPr>
      </w:pPr>
      <w:r w:rsidRPr="00F03F21">
        <w:rPr>
          <w:rFonts w:ascii="Arial Black" w:hAnsi="Arial Black"/>
          <w:sz w:val="28"/>
          <w:szCs w:val="28"/>
        </w:rPr>
        <w:t xml:space="preserve">IL: </w:t>
      </w:r>
      <w:r>
        <w:rPr>
          <w:rFonts w:ascii="Arial Black" w:hAnsi="Arial Black"/>
          <w:sz w:val="28"/>
          <w:szCs w:val="28"/>
        </w:rPr>
        <w:t xml:space="preserve"> BACK INJURIES - COURT AWARDS “ON DUTY” DISABILITY - CUMULATIVE EFFECT OF FIREFIGHTING </w:t>
      </w:r>
    </w:p>
    <w:p w14:paraId="11C65BB1" w14:textId="77777777" w:rsidR="009F0F05" w:rsidRPr="00076FC1" w:rsidRDefault="009F0F05" w:rsidP="009F0F05">
      <w:pPr>
        <w:rPr>
          <w:rFonts w:ascii="Times New Roman" w:hAnsi="Times New Roman"/>
          <w:sz w:val="24"/>
          <w:szCs w:val="24"/>
        </w:rPr>
      </w:pPr>
      <w:r w:rsidRPr="00FD63A6">
        <w:rPr>
          <w:rFonts w:ascii="Times New Roman" w:hAnsi="Times New Roman"/>
          <w:sz w:val="24"/>
          <w:szCs w:val="24"/>
        </w:rPr>
        <w:t xml:space="preserve">On Sept. 6, 2019, in </w:t>
      </w:r>
      <w:r w:rsidRPr="003D1DE7">
        <w:rPr>
          <w:rFonts w:ascii="Times New Roman" w:hAnsi="Times New Roman"/>
          <w:sz w:val="24"/>
          <w:szCs w:val="24"/>
          <w:u w:val="single"/>
        </w:rPr>
        <w:t>Jerry Valadez v. Harvey Firefighter’s Pension Fund, et al.</w:t>
      </w:r>
      <w:r>
        <w:rPr>
          <w:rFonts w:ascii="Times New Roman" w:hAnsi="Times New Roman"/>
          <w:sz w:val="24"/>
          <w:szCs w:val="24"/>
        </w:rPr>
        <w:t>, the Appellate Court of Illinois, First Judicial District / 6</w:t>
      </w:r>
      <w:r w:rsidRPr="00F67974">
        <w:rPr>
          <w:rFonts w:ascii="Times New Roman" w:hAnsi="Times New Roman"/>
          <w:sz w:val="24"/>
          <w:szCs w:val="24"/>
          <w:vertAlign w:val="superscript"/>
        </w:rPr>
        <w:t>th</w:t>
      </w:r>
      <w:r>
        <w:rPr>
          <w:rFonts w:ascii="Times New Roman" w:hAnsi="Times New Roman"/>
          <w:sz w:val="24"/>
          <w:szCs w:val="24"/>
        </w:rPr>
        <w:t xml:space="preserve"> Division, held (3 to 0) that the firefighter is entitled to a “on duty” disability.  </w:t>
      </w:r>
      <w:r w:rsidRPr="00F67974">
        <w:rPr>
          <w:rFonts w:ascii="Times New Roman" w:hAnsi="Times New Roman"/>
          <w:sz w:val="24"/>
          <w:szCs w:val="24"/>
        </w:rPr>
        <w:t>2019 IL App (1st) 181900-U (Ill. App., 2019)</w:t>
      </w:r>
      <w:r>
        <w:rPr>
          <w:rFonts w:ascii="Times New Roman" w:hAnsi="Times New Roman"/>
          <w:sz w:val="24"/>
          <w:szCs w:val="24"/>
        </w:rPr>
        <w:t xml:space="preserve">.  </w:t>
      </w:r>
      <w:hyperlink r:id="rId1326" w:history="1">
        <w:r w:rsidRPr="00076FC1">
          <w:rPr>
            <w:rStyle w:val="Hyperlink"/>
            <w:rFonts w:ascii="Times New Roman" w:hAnsi="Times New Roman"/>
            <w:sz w:val="24"/>
            <w:szCs w:val="24"/>
          </w:rPr>
          <w:t>https://courts.illinois.gov/R23_Orders/AppellateCourt/2019/1stDistrict/1181900_R23.pdf</w:t>
        </w:r>
      </w:hyperlink>
    </w:p>
    <w:p w14:paraId="01B85A9D" w14:textId="77777777" w:rsidR="009F0F05" w:rsidRDefault="009F0F05" w:rsidP="009F0F05">
      <w:pPr>
        <w:rPr>
          <w:rFonts w:ascii="Times New Roman" w:hAnsi="Times New Roman"/>
          <w:sz w:val="24"/>
          <w:szCs w:val="24"/>
        </w:rPr>
      </w:pPr>
      <w:r>
        <w:rPr>
          <w:rFonts w:ascii="Times New Roman" w:hAnsi="Times New Roman"/>
          <w:sz w:val="24"/>
          <w:szCs w:val="24"/>
        </w:rPr>
        <w:t xml:space="preserve">Justice Harris wrote opinion, overturning the Administrative Board:  </w:t>
      </w:r>
    </w:p>
    <w:p w14:paraId="3899C6C0" w14:textId="70C74AF2" w:rsidR="009F0F05" w:rsidRDefault="009F0F05" w:rsidP="009F1927">
      <w:pPr>
        <w:ind w:left="720"/>
        <w:rPr>
          <w:rFonts w:ascii="Times New Roman" w:hAnsi="Times New Roman"/>
          <w:sz w:val="24"/>
          <w:szCs w:val="24"/>
        </w:rPr>
      </w:pPr>
      <w:r>
        <w:rPr>
          <w:rFonts w:ascii="Times New Roman" w:hAnsi="Times New Roman"/>
          <w:sz w:val="24"/>
          <w:szCs w:val="24"/>
        </w:rPr>
        <w:t>“</w:t>
      </w:r>
      <w:r w:rsidRPr="006C49C9">
        <w:rPr>
          <w:rFonts w:ascii="Times New Roman" w:hAnsi="Times New Roman"/>
          <w:sz w:val="24"/>
          <w:szCs w:val="24"/>
        </w:rPr>
        <w:t xml:space="preserve">Although the Board agreed with Dr. </w:t>
      </w:r>
      <w:proofErr w:type="spellStart"/>
      <w:r w:rsidRPr="006C49C9">
        <w:rPr>
          <w:rFonts w:ascii="Times New Roman" w:hAnsi="Times New Roman"/>
          <w:sz w:val="24"/>
          <w:szCs w:val="24"/>
        </w:rPr>
        <w:t>Pelinkovic</w:t>
      </w:r>
      <w:proofErr w:type="spellEnd"/>
      <w:r w:rsidRPr="006C49C9">
        <w:rPr>
          <w:rFonts w:ascii="Times New Roman" w:hAnsi="Times New Roman"/>
          <w:sz w:val="24"/>
          <w:szCs w:val="24"/>
        </w:rPr>
        <w:t xml:space="preserve"> and Dr. Gleason that plaintiff was permanently disabled, it disagreed with their determination that the October 21, 2015, incident, or the cumulative effects of acts of </w:t>
      </w:r>
      <w:proofErr w:type="spellStart"/>
      <w:r w:rsidRPr="006C49C9">
        <w:rPr>
          <w:rFonts w:ascii="Times New Roman" w:hAnsi="Times New Roman"/>
          <w:sz w:val="24"/>
          <w:szCs w:val="24"/>
        </w:rPr>
        <w:t>fire fighting</w:t>
      </w:r>
      <w:proofErr w:type="spellEnd"/>
      <w:r w:rsidRPr="006C49C9">
        <w:rPr>
          <w:rFonts w:ascii="Times New Roman" w:hAnsi="Times New Roman"/>
          <w:sz w:val="24"/>
          <w:szCs w:val="24"/>
        </w:rPr>
        <w:t>, contributed to his disability. Instead, they credited Dr. Graf’s opinion that plaintiff’s condition is solely the result of his preexisting lower back issues.</w:t>
      </w:r>
      <w:r>
        <w:rPr>
          <w:rFonts w:ascii="Times New Roman" w:hAnsi="Times New Roman"/>
          <w:sz w:val="24"/>
          <w:szCs w:val="24"/>
        </w:rPr>
        <w:t xml:space="preserve">  ***</w:t>
      </w:r>
      <w:r w:rsidR="009F1927">
        <w:rPr>
          <w:rFonts w:ascii="Times New Roman" w:hAnsi="Times New Roman"/>
          <w:sz w:val="24"/>
          <w:szCs w:val="24"/>
        </w:rPr>
        <w:t xml:space="preserve"> </w:t>
      </w:r>
      <w:r w:rsidRPr="004A2CCB">
        <w:rPr>
          <w:rFonts w:ascii="Times New Roman" w:hAnsi="Times New Roman"/>
          <w:sz w:val="24"/>
          <w:szCs w:val="24"/>
        </w:rPr>
        <w:t>Dr. Graf’s decision to place great weight on plaintiff’s MRIs, with no consideration of whether plaintiff’s extrication of a victim weighing over 300 pounds and another over 200 pounds could have aggravated his preexisting condition, renders his opinion unreliable.</w:t>
      </w:r>
      <w:r>
        <w:rPr>
          <w:rFonts w:ascii="Times New Roman" w:hAnsi="Times New Roman"/>
          <w:sz w:val="24"/>
          <w:szCs w:val="24"/>
        </w:rPr>
        <w:t>”</w:t>
      </w:r>
    </w:p>
    <w:p w14:paraId="56318945" w14:textId="77777777" w:rsidR="009F0F05" w:rsidRPr="00AD64CA" w:rsidRDefault="009F0F05" w:rsidP="009F0F05">
      <w:pPr>
        <w:pStyle w:val="NoSpacing"/>
        <w:rPr>
          <w:b/>
          <w:bCs/>
        </w:rPr>
      </w:pPr>
      <w:r w:rsidRPr="00AD64CA">
        <w:rPr>
          <w:rFonts w:ascii="Times New Roman" w:hAnsi="Times New Roman"/>
          <w:b/>
          <w:bCs/>
          <w:sz w:val="24"/>
          <w:szCs w:val="24"/>
        </w:rPr>
        <w:t xml:space="preserve">Legal Lessons Learned: </w:t>
      </w:r>
      <w:r>
        <w:rPr>
          <w:rFonts w:ascii="Times New Roman" w:hAnsi="Times New Roman"/>
          <w:b/>
          <w:bCs/>
          <w:sz w:val="24"/>
          <w:szCs w:val="24"/>
        </w:rPr>
        <w:t xml:space="preserve"> Overturning Administrative Board decision is rare; the firefighter made an excellent record with testimony of two treating physicians. </w:t>
      </w:r>
    </w:p>
    <w:p w14:paraId="6D256988" w14:textId="77777777" w:rsidR="00715CF2" w:rsidRDefault="00715CF2" w:rsidP="00715CF2">
      <w:pPr>
        <w:rPr>
          <w:rFonts w:ascii="Times New Roman" w:hAnsi="Times New Roman"/>
          <w:bCs/>
          <w:sz w:val="24"/>
          <w:szCs w:val="24"/>
        </w:rPr>
      </w:pPr>
    </w:p>
    <w:p w14:paraId="3A27B6C1" w14:textId="25E5382A"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2</w:t>
      </w:r>
      <w:r w:rsidR="005B0774">
        <w:rPr>
          <w:rFonts w:ascii="Arial Black" w:hAnsi="Arial Black"/>
          <w:b/>
          <w:sz w:val="24"/>
          <w:szCs w:val="24"/>
        </w:rPr>
        <w:t>2</w:t>
      </w:r>
    </w:p>
    <w:p w14:paraId="506BFCEA" w14:textId="7263A9C4" w:rsidR="00F326E5" w:rsidRDefault="00F326E5" w:rsidP="00F326E5">
      <w:pPr>
        <w:pStyle w:val="NoSpacing"/>
        <w:rPr>
          <w:rFonts w:ascii="Arial Black" w:hAnsi="Arial Black"/>
          <w:b/>
          <w:sz w:val="28"/>
          <w:szCs w:val="28"/>
        </w:rPr>
      </w:pPr>
      <w:bookmarkStart w:id="246" w:name="_Hlk7343020"/>
      <w:r w:rsidRPr="00680B03">
        <w:rPr>
          <w:rFonts w:ascii="Arial Black" w:hAnsi="Arial Black"/>
          <w:sz w:val="28"/>
          <w:szCs w:val="28"/>
        </w:rPr>
        <w:t xml:space="preserve">PA: </w:t>
      </w:r>
      <w:r>
        <w:rPr>
          <w:rFonts w:ascii="Arial Black" w:hAnsi="Arial Black"/>
          <w:sz w:val="28"/>
          <w:szCs w:val="28"/>
        </w:rPr>
        <w:t xml:space="preserve"> CAN’T RETIRE AT AGE 50 –CITY AND UNION IN CBA ESTABLISHED MINIMUM AGE AT 55 </w:t>
      </w:r>
    </w:p>
    <w:p w14:paraId="0F32058C"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March 25, 2019, in </w:t>
      </w:r>
      <w:r w:rsidRPr="009F1927">
        <w:rPr>
          <w:rFonts w:ascii="Times New Roman" w:hAnsi="Times New Roman"/>
          <w:sz w:val="24"/>
          <w:szCs w:val="24"/>
          <w:u w:val="single"/>
        </w:rPr>
        <w:t>Joseph C. Bongivengo v. City of New Castle Pension Plan Board and The City of New Castle</w:t>
      </w:r>
      <w:r w:rsidRPr="009F1927">
        <w:rPr>
          <w:rFonts w:ascii="Times New Roman" w:hAnsi="Times New Roman"/>
          <w:sz w:val="24"/>
          <w:szCs w:val="24"/>
        </w:rPr>
        <w:t xml:space="preserve">, the Commonwealth Court of Pennsylvania held (3 to 0): </w:t>
      </w:r>
    </w:p>
    <w:p w14:paraId="0BB6A836" w14:textId="77777777" w:rsidR="009F1927" w:rsidRDefault="009F1927" w:rsidP="00F326E5">
      <w:pPr>
        <w:pStyle w:val="NoSpacing"/>
        <w:rPr>
          <w:rFonts w:ascii="Times New Roman" w:hAnsi="Times New Roman"/>
          <w:sz w:val="24"/>
          <w:szCs w:val="24"/>
        </w:rPr>
      </w:pPr>
    </w:p>
    <w:p w14:paraId="59D28EF9" w14:textId="795FE72C" w:rsidR="00F326E5" w:rsidRPr="009F1927" w:rsidRDefault="00F326E5" w:rsidP="009F1927">
      <w:pPr>
        <w:pStyle w:val="NoSpacing"/>
        <w:ind w:left="720" w:firstLine="60"/>
        <w:rPr>
          <w:rFonts w:ascii="Times New Roman" w:hAnsi="Times New Roman"/>
          <w:sz w:val="24"/>
          <w:szCs w:val="24"/>
        </w:rPr>
      </w:pPr>
      <w:r w:rsidRPr="009F1927">
        <w:rPr>
          <w:rFonts w:ascii="Times New Roman" w:hAnsi="Times New Roman"/>
          <w:sz w:val="24"/>
          <w:szCs w:val="24"/>
        </w:rPr>
        <w:t xml:space="preserve">“This ruling also disposes of Bongivengo’s argument that the </w:t>
      </w:r>
      <w:proofErr w:type="gramStart"/>
      <w:r w:rsidRPr="009F1927">
        <w:rPr>
          <w:rFonts w:ascii="Times New Roman" w:hAnsi="Times New Roman"/>
          <w:sz w:val="24"/>
          <w:szCs w:val="24"/>
        </w:rPr>
        <w:t>City</w:t>
      </w:r>
      <w:proofErr w:type="gramEnd"/>
      <w:r w:rsidRPr="009F1927">
        <w:rPr>
          <w:rFonts w:ascii="Times New Roman" w:hAnsi="Times New Roman"/>
          <w:sz w:val="24"/>
          <w:szCs w:val="24"/>
        </w:rPr>
        <w:t xml:space="preserve"> violated Section 607(e) of Act 205 because it did not engage in collective bargaining before it implemented the new age and years of service requirements. As noted above, the </w:t>
      </w:r>
      <w:proofErr w:type="gramStart"/>
      <w:r w:rsidRPr="009F1927">
        <w:rPr>
          <w:rFonts w:ascii="Times New Roman" w:hAnsi="Times New Roman"/>
          <w:sz w:val="24"/>
          <w:szCs w:val="24"/>
        </w:rPr>
        <w:t>City</w:t>
      </w:r>
      <w:proofErr w:type="gramEnd"/>
      <w:r w:rsidRPr="009F1927">
        <w:rPr>
          <w:rFonts w:ascii="Times New Roman" w:hAnsi="Times New Roman"/>
          <w:sz w:val="24"/>
          <w:szCs w:val="24"/>
        </w:rPr>
        <w:t xml:space="preserve"> and the Union did collectively bargain for the age and years of service requirement, as first reflected in the 1992 CBA and subsequently in every CBA </w:t>
      </w:r>
      <w:proofErr w:type="gramStart"/>
      <w:r w:rsidRPr="009F1927">
        <w:rPr>
          <w:rFonts w:ascii="Times New Roman" w:hAnsi="Times New Roman"/>
          <w:sz w:val="24"/>
          <w:szCs w:val="24"/>
        </w:rPr>
        <w:t>thereafter.”</w:t>
      </w:r>
      <w:proofErr w:type="gramEnd"/>
      <w:r w:rsidRPr="009F1927">
        <w:rPr>
          <w:rFonts w:ascii="Times New Roman" w:hAnsi="Times New Roman"/>
          <w:sz w:val="24"/>
          <w:szCs w:val="24"/>
        </w:rPr>
        <w:t xml:space="preserve"> </w:t>
      </w:r>
      <w:hyperlink r:id="rId1327" w:history="1">
        <w:r w:rsidRPr="009F1927">
          <w:rPr>
            <w:rStyle w:val="Hyperlink"/>
            <w:rFonts w:ascii="Times New Roman" w:hAnsi="Times New Roman"/>
            <w:sz w:val="24"/>
            <w:szCs w:val="24"/>
          </w:rPr>
          <w:t>http://www.pacourts.us/assets/opinions/Commonwealth/out/877CD18_3-25-19.pdf?cb=1</w:t>
        </w:r>
      </w:hyperlink>
      <w:r w:rsidRPr="009F1927">
        <w:rPr>
          <w:rFonts w:ascii="Times New Roman" w:hAnsi="Times New Roman"/>
          <w:sz w:val="24"/>
          <w:szCs w:val="24"/>
        </w:rPr>
        <w:t xml:space="preserve"> </w:t>
      </w:r>
    </w:p>
    <w:p w14:paraId="4CC2526E" w14:textId="77777777" w:rsidR="00E40E39" w:rsidRDefault="00E40E39" w:rsidP="00F326E5">
      <w:pPr>
        <w:pStyle w:val="NoSpacing"/>
        <w:rPr>
          <w:rFonts w:ascii="Times New Roman" w:hAnsi="Times New Roman"/>
          <w:b/>
          <w:sz w:val="24"/>
          <w:szCs w:val="24"/>
        </w:rPr>
      </w:pPr>
      <w:bookmarkStart w:id="247" w:name="_Hlk6755053"/>
    </w:p>
    <w:p w14:paraId="7DC3CADC" w14:textId="181084C6"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Legal Lessons Learned: City and Union agreement controls minimum retirement age. </w:t>
      </w:r>
      <w:bookmarkEnd w:id="247"/>
    </w:p>
    <w:bookmarkEnd w:id="246"/>
    <w:p w14:paraId="217F3DDB" w14:textId="6F346EBB" w:rsidR="00527EDF" w:rsidRDefault="00527EDF" w:rsidP="00F326E5">
      <w:pPr>
        <w:pStyle w:val="NoSpacing"/>
        <w:rPr>
          <w:b/>
          <w:sz w:val="24"/>
          <w:szCs w:val="24"/>
        </w:rPr>
      </w:pPr>
    </w:p>
    <w:p w14:paraId="4988DD91" w14:textId="22A8D13B" w:rsidR="009F1927" w:rsidRDefault="009F1927" w:rsidP="00F326E5">
      <w:pPr>
        <w:pStyle w:val="NoSpacing"/>
        <w:rPr>
          <w:b/>
          <w:sz w:val="24"/>
          <w:szCs w:val="24"/>
        </w:rPr>
      </w:pPr>
    </w:p>
    <w:p w14:paraId="416F77D6" w14:textId="77777777" w:rsidR="009F1927" w:rsidRDefault="009F1927" w:rsidP="00F326E5">
      <w:pPr>
        <w:pStyle w:val="NoSpacing"/>
        <w:rPr>
          <w:sz w:val="24"/>
          <w:szCs w:val="24"/>
        </w:rPr>
      </w:pPr>
    </w:p>
    <w:p w14:paraId="6E8B5245" w14:textId="7DCE07A4"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sidR="005F7D6B">
        <w:rPr>
          <w:rFonts w:ascii="Arial Black" w:hAnsi="Arial Black"/>
          <w:b/>
          <w:sz w:val="24"/>
          <w:szCs w:val="24"/>
        </w:rPr>
        <w:t>2</w:t>
      </w:r>
      <w:r w:rsidR="005B0774">
        <w:rPr>
          <w:rFonts w:ascii="Arial Black" w:hAnsi="Arial Black"/>
          <w:b/>
          <w:sz w:val="24"/>
          <w:szCs w:val="24"/>
        </w:rPr>
        <w:t>1</w:t>
      </w:r>
    </w:p>
    <w:p w14:paraId="5724CFAB" w14:textId="7474B963" w:rsidR="00527EDF" w:rsidRDefault="00527EDF" w:rsidP="00527EDF">
      <w:pPr>
        <w:pStyle w:val="NoSpacing"/>
        <w:rPr>
          <w:rFonts w:ascii="Arial Black" w:hAnsi="Arial Black"/>
          <w:sz w:val="28"/>
          <w:szCs w:val="28"/>
        </w:rPr>
      </w:pPr>
      <w:bookmarkStart w:id="248" w:name="_Hlk10126961"/>
      <w:r>
        <w:rPr>
          <w:rFonts w:ascii="Arial Black" w:hAnsi="Arial Black"/>
          <w:sz w:val="28"/>
          <w:szCs w:val="28"/>
        </w:rPr>
        <w:t xml:space="preserve">OH: FF CANCER - LUMBAR SPINE LYMPHOMA – CITY CONTESTED – FF FILED FOR COSTS / ATTY FEES, CITY LATE IN RESPONDING, MUST PAY </w:t>
      </w:r>
    </w:p>
    <w:p w14:paraId="3A3FAB1F" w14:textId="77777777" w:rsidR="00527EDF" w:rsidRDefault="00527EDF" w:rsidP="00527EDF">
      <w:pPr>
        <w:pStyle w:val="NoSpacing"/>
        <w:rPr>
          <w:rFonts w:ascii="Arial Black" w:hAnsi="Arial Black"/>
          <w:sz w:val="28"/>
          <w:szCs w:val="28"/>
        </w:rPr>
      </w:pPr>
    </w:p>
    <w:p w14:paraId="3794A73E" w14:textId="77777777" w:rsidR="00527EDF" w:rsidRPr="002F51DD" w:rsidRDefault="00527EDF" w:rsidP="00527EDF">
      <w:pPr>
        <w:pStyle w:val="NoSpacing"/>
        <w:rPr>
          <w:rFonts w:ascii="Times New Roman" w:hAnsi="Times New Roman"/>
          <w:sz w:val="24"/>
          <w:szCs w:val="24"/>
        </w:rPr>
      </w:pPr>
      <w:r w:rsidRPr="002F51DD">
        <w:rPr>
          <w:rFonts w:ascii="Times New Roman" w:hAnsi="Times New Roman"/>
          <w:sz w:val="24"/>
          <w:szCs w:val="24"/>
        </w:rPr>
        <w:t xml:space="preserve">On May 23, 2019, in </w:t>
      </w:r>
      <w:r w:rsidRPr="002F51DD">
        <w:rPr>
          <w:rFonts w:ascii="Times New Roman" w:hAnsi="Times New Roman"/>
          <w:sz w:val="24"/>
          <w:szCs w:val="24"/>
          <w:u w:val="single"/>
        </w:rPr>
        <w:t>Robert T. Rodgers v. City of Rocky River, et al</w:t>
      </w:r>
      <w:r>
        <w:rPr>
          <w:rFonts w:ascii="Times New Roman" w:hAnsi="Times New Roman"/>
          <w:sz w:val="24"/>
          <w:szCs w:val="24"/>
        </w:rPr>
        <w:t xml:space="preserve">., 2010 Ohio 2006 (Ohio App, 2019), the Ohio Court of Appeals for Cuyahoga County (3 to 0), upheld the trial court’s order that City reimburse the firefighter for his costs and attorney fees of $3,734.45. </w:t>
      </w:r>
    </w:p>
    <w:p w14:paraId="5CE0CD57" w14:textId="77777777" w:rsidR="00527EDF" w:rsidRDefault="00527EDF" w:rsidP="00527EDF">
      <w:pPr>
        <w:pStyle w:val="NoSpacing"/>
        <w:rPr>
          <w:rFonts w:ascii="Arial Black" w:hAnsi="Arial Black"/>
          <w:sz w:val="28"/>
          <w:szCs w:val="28"/>
        </w:rPr>
      </w:pPr>
    </w:p>
    <w:p w14:paraId="373257F3" w14:textId="77777777" w:rsidR="00527EDF" w:rsidRDefault="00527EDF" w:rsidP="00527EDF">
      <w:pPr>
        <w:pStyle w:val="NoSpacing"/>
        <w:ind w:left="720"/>
      </w:pPr>
      <w:r>
        <w:rPr>
          <w:rFonts w:ascii="Times New Roman" w:hAnsi="Times New Roman"/>
          <w:sz w:val="24"/>
          <w:szCs w:val="24"/>
        </w:rPr>
        <w:t>“[W]e</w:t>
      </w:r>
      <w:r w:rsidRPr="00D82AA5">
        <w:rPr>
          <w:rFonts w:ascii="Times New Roman" w:hAnsi="Times New Roman"/>
          <w:sz w:val="24"/>
          <w:szCs w:val="24"/>
        </w:rPr>
        <w:t xml:space="preserve"> note that the plain language of R.C. 4123.512(F) authorizes the award of attorney fees and costs against </w:t>
      </w:r>
      <w:r>
        <w:rPr>
          <w:rFonts w:ascii="Times New Roman" w:hAnsi="Times New Roman"/>
          <w:sz w:val="24"/>
          <w:szCs w:val="24"/>
        </w:rPr>
        <w:t>‘</w:t>
      </w:r>
      <w:r w:rsidRPr="00D82AA5">
        <w:rPr>
          <w:rFonts w:ascii="Times New Roman" w:hAnsi="Times New Roman"/>
          <w:sz w:val="24"/>
          <w:szCs w:val="24"/>
        </w:rPr>
        <w:t>the employer</w:t>
      </w:r>
      <w:r>
        <w:rPr>
          <w:rFonts w:ascii="Times New Roman" w:hAnsi="Times New Roman"/>
          <w:sz w:val="24"/>
          <w:szCs w:val="24"/>
        </w:rPr>
        <w:t xml:space="preserve">’ </w:t>
      </w:r>
      <w:r w:rsidRPr="00D82AA5">
        <w:rPr>
          <w:rFonts w:ascii="Times New Roman" w:hAnsi="Times New Roman"/>
          <w:sz w:val="24"/>
          <w:szCs w:val="24"/>
        </w:rPr>
        <w:t xml:space="preserve">who contests an injured worker’s right to participate in the workers’ compensation system after an injured worker’s right to participate is established. The statute does not differentiate between public and private employers, unlike in R.C. 4123.01(B) where the legislature provided different definitions of “employers” — public (political subdivisions) and private. This demonstrates that the legislature had the ability to establish immunity for political subdivisions or public employers from an award of attorney fees and </w:t>
      </w:r>
      <w:proofErr w:type="gramStart"/>
      <w:r w:rsidRPr="00D82AA5">
        <w:rPr>
          <w:rFonts w:ascii="Times New Roman" w:hAnsi="Times New Roman"/>
          <w:sz w:val="24"/>
          <w:szCs w:val="24"/>
        </w:rPr>
        <w:t>costs,</w:t>
      </w:r>
      <w:r>
        <w:rPr>
          <w:rFonts w:ascii="Times New Roman" w:hAnsi="Times New Roman"/>
          <w:sz w:val="24"/>
          <w:szCs w:val="24"/>
        </w:rPr>
        <w:t xml:space="preserve"> </w:t>
      </w:r>
      <w:r w:rsidRPr="00D82AA5">
        <w:rPr>
          <w:rFonts w:ascii="Times New Roman" w:hAnsi="Times New Roman"/>
          <w:sz w:val="24"/>
          <w:szCs w:val="24"/>
        </w:rPr>
        <w:t>but</w:t>
      </w:r>
      <w:proofErr w:type="gramEnd"/>
      <w:r w:rsidRPr="00D82AA5">
        <w:rPr>
          <w:rFonts w:ascii="Times New Roman" w:hAnsi="Times New Roman"/>
          <w:sz w:val="24"/>
          <w:szCs w:val="24"/>
        </w:rPr>
        <w:t xml:space="preserve"> elected not to do so. </w:t>
      </w:r>
    </w:p>
    <w:p w14:paraId="2164DAD9" w14:textId="77777777" w:rsidR="00527EDF" w:rsidRDefault="00527EDF" w:rsidP="00527EDF">
      <w:pPr>
        <w:pStyle w:val="NoSpacing"/>
        <w:ind w:firstLine="720"/>
      </w:pPr>
      <w:hyperlink r:id="rId1328" w:history="1">
        <w:r w:rsidRPr="00BA6FF6">
          <w:rPr>
            <w:rStyle w:val="Hyperlink"/>
          </w:rPr>
          <w:t>https://cases.justia.com/ohio/eighth-district-court-of-appeals/2019-108059.pdf?ts=1558624525</w:t>
        </w:r>
      </w:hyperlink>
      <w:r>
        <w:t xml:space="preserve"> </w:t>
      </w:r>
    </w:p>
    <w:p w14:paraId="42639428" w14:textId="77777777" w:rsidR="00527EDF" w:rsidRDefault="00527EDF" w:rsidP="00527EDF">
      <w:pPr>
        <w:pStyle w:val="NoSpacing"/>
        <w:rPr>
          <w:rFonts w:ascii="Times New Roman" w:hAnsi="Times New Roman"/>
          <w:b/>
          <w:sz w:val="24"/>
          <w:szCs w:val="24"/>
        </w:rPr>
      </w:pPr>
      <w:bookmarkStart w:id="249" w:name="_Hlk10127002"/>
      <w:bookmarkEnd w:id="248"/>
    </w:p>
    <w:p w14:paraId="06754DAA" w14:textId="5D312BA0" w:rsidR="00527EDF" w:rsidRPr="00135A21" w:rsidRDefault="00527EDF" w:rsidP="00527EDF">
      <w:pPr>
        <w:pStyle w:val="NoSpacing"/>
        <w:rPr>
          <w:rFonts w:ascii="Times New Roman" w:hAnsi="Times New Roman"/>
          <w:b/>
          <w:sz w:val="24"/>
          <w:szCs w:val="24"/>
        </w:rPr>
      </w:pPr>
      <w:r w:rsidRPr="00135A21">
        <w:rPr>
          <w:rFonts w:ascii="Times New Roman" w:hAnsi="Times New Roman"/>
          <w:b/>
          <w:sz w:val="24"/>
          <w:szCs w:val="24"/>
        </w:rPr>
        <w:t xml:space="preserve">Legal Lessons Learned: </w:t>
      </w:r>
      <w:r>
        <w:rPr>
          <w:rFonts w:ascii="Times New Roman" w:hAnsi="Times New Roman"/>
          <w:b/>
          <w:sz w:val="24"/>
          <w:szCs w:val="24"/>
        </w:rPr>
        <w:t xml:space="preserve"> City failed to timely appeal award of costs and attorney fees; no statute protects city from liability for court cost and attorney fees. </w:t>
      </w:r>
    </w:p>
    <w:bookmarkEnd w:id="249"/>
    <w:p w14:paraId="00B1EDFE" w14:textId="032C577C" w:rsidR="00527EDF" w:rsidRPr="00254438" w:rsidRDefault="00527EDF" w:rsidP="00F326E5">
      <w:pPr>
        <w:pStyle w:val="NoSpacing"/>
        <w:rPr>
          <w:sz w:val="24"/>
          <w:szCs w:val="24"/>
        </w:rPr>
      </w:pPr>
    </w:p>
    <w:p w14:paraId="4AFAF734" w14:textId="77777777" w:rsidR="00F326E5" w:rsidRDefault="00F326E5" w:rsidP="00F326E5">
      <w:pPr>
        <w:pStyle w:val="NoSpacing"/>
        <w:rPr>
          <w:b/>
          <w:sz w:val="24"/>
          <w:szCs w:val="24"/>
        </w:rPr>
      </w:pPr>
    </w:p>
    <w:p w14:paraId="5653F92F" w14:textId="77777777" w:rsidR="00EF1133" w:rsidRDefault="00EF1133" w:rsidP="00EF1133">
      <w:pPr>
        <w:rPr>
          <w:rFonts w:ascii="Arial Black" w:hAnsi="Arial Black"/>
          <w:b/>
          <w:sz w:val="24"/>
          <w:szCs w:val="24"/>
        </w:rPr>
      </w:pPr>
      <w:bookmarkStart w:id="250" w:name="_Hlk7343060"/>
    </w:p>
    <w:p w14:paraId="44FFF05F" w14:textId="71A89486"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sidR="005B0774">
        <w:rPr>
          <w:rFonts w:ascii="Arial Black" w:hAnsi="Arial Black"/>
          <w:b/>
          <w:sz w:val="24"/>
          <w:szCs w:val="24"/>
        </w:rPr>
        <w:t>20</w:t>
      </w:r>
    </w:p>
    <w:p w14:paraId="7C5CCD6C" w14:textId="675932CE" w:rsidR="00527EDF" w:rsidRDefault="00527EDF" w:rsidP="00527EDF">
      <w:pPr>
        <w:pStyle w:val="NoSpacing"/>
        <w:rPr>
          <w:rFonts w:ascii="Arial Black" w:hAnsi="Arial Black"/>
          <w:sz w:val="28"/>
          <w:szCs w:val="28"/>
        </w:rPr>
      </w:pPr>
      <w:r w:rsidRPr="008C7754">
        <w:rPr>
          <w:rFonts w:ascii="Arial Black" w:hAnsi="Arial Black"/>
          <w:sz w:val="28"/>
          <w:szCs w:val="28"/>
        </w:rPr>
        <w:t xml:space="preserve">IL: </w:t>
      </w:r>
      <w:r>
        <w:rPr>
          <w:rFonts w:ascii="Arial Black" w:hAnsi="Arial Black"/>
          <w:sz w:val="28"/>
          <w:szCs w:val="28"/>
        </w:rPr>
        <w:t xml:space="preserve">FF KIDNEY CANCER – WORK. COMP. GRANTED – EXPERT WITNESS CAUSED BY JOB, NOT OBESITY &amp; HYPERTENSION </w:t>
      </w:r>
    </w:p>
    <w:p w14:paraId="637A92C8" w14:textId="44A1892E" w:rsidR="00527EDF" w:rsidRPr="00114E9B" w:rsidRDefault="00527EDF" w:rsidP="00527EDF">
      <w:pPr>
        <w:rPr>
          <w:rFonts w:ascii="Times New Roman" w:hAnsi="Times New Roman"/>
          <w:sz w:val="24"/>
          <w:szCs w:val="24"/>
        </w:rPr>
      </w:pPr>
      <w:r w:rsidRPr="00114E9B">
        <w:rPr>
          <w:rFonts w:ascii="Times New Roman" w:hAnsi="Times New Roman"/>
          <w:sz w:val="24"/>
          <w:szCs w:val="24"/>
        </w:rPr>
        <w:t xml:space="preserve">On May 10, 2019, in </w:t>
      </w:r>
      <w:r w:rsidRPr="00114E9B">
        <w:rPr>
          <w:rFonts w:ascii="Times New Roman" w:hAnsi="Times New Roman"/>
          <w:sz w:val="24"/>
          <w:szCs w:val="24"/>
          <w:u w:val="single"/>
        </w:rPr>
        <w:t>City of Peoria v. Illinois Workers’ Compensation Commission (Bryan Grant</w:t>
      </w:r>
      <w:r w:rsidRPr="00114E9B">
        <w:rPr>
          <w:rFonts w:ascii="Times New Roman" w:hAnsi="Times New Roman"/>
          <w:sz w:val="24"/>
          <w:szCs w:val="24"/>
        </w:rPr>
        <w:t>), the Appellate Court of Illinois, Third District, Workers Comp Division, held (5 to 0) that the firefighter’s cancer was caused by the job.</w:t>
      </w:r>
    </w:p>
    <w:p w14:paraId="093AD023" w14:textId="77777777" w:rsidR="00527EDF" w:rsidRDefault="00527EDF" w:rsidP="00527EDF">
      <w:pPr>
        <w:pStyle w:val="NoSpacing"/>
        <w:ind w:left="720"/>
        <w:rPr>
          <w:rFonts w:ascii="Times New Roman" w:hAnsi="Times New Roman"/>
          <w:sz w:val="24"/>
          <w:szCs w:val="24"/>
        </w:rPr>
      </w:pPr>
      <w:r w:rsidRPr="00114E9B">
        <w:rPr>
          <w:rFonts w:ascii="Times New Roman" w:hAnsi="Times New Roman"/>
          <w:sz w:val="24"/>
          <w:szCs w:val="24"/>
        </w:rPr>
        <w:t>“By finding that the petitioner’s workplace exposures to carcinogenic gases caused his kidney cancer, the Illinois Workers’ Compensation Commission did not make a finding that was against the manifest weight of the evidence.”</w:t>
      </w:r>
    </w:p>
    <w:p w14:paraId="1F32BC66" w14:textId="304F7E4C" w:rsidR="00527EDF" w:rsidRDefault="00527EDF" w:rsidP="00527EDF">
      <w:pPr>
        <w:pStyle w:val="NoSpacing"/>
        <w:ind w:left="720"/>
        <w:rPr>
          <w:rStyle w:val="Hyperlink"/>
          <w:rFonts w:ascii="Times New Roman" w:hAnsi="Times New Roman"/>
          <w:sz w:val="24"/>
          <w:szCs w:val="24"/>
        </w:rPr>
      </w:pPr>
      <w:hyperlink r:id="rId1329" w:history="1">
        <w:r w:rsidRPr="00114E9B">
          <w:rPr>
            <w:rStyle w:val="Hyperlink"/>
            <w:rFonts w:ascii="Times New Roman" w:hAnsi="Times New Roman"/>
            <w:sz w:val="24"/>
            <w:szCs w:val="24"/>
          </w:rPr>
          <w:t>http://www.illinoiscourts.gov/R23_Orders/WorkersComp/2019/3180397WC_R23.pdf</w:t>
        </w:r>
      </w:hyperlink>
    </w:p>
    <w:p w14:paraId="23429176" w14:textId="4BD31590" w:rsidR="00527EDF" w:rsidRDefault="00527EDF" w:rsidP="00527EDF">
      <w:pPr>
        <w:pStyle w:val="NoSpacing"/>
        <w:rPr>
          <w:rStyle w:val="Hyperlink"/>
          <w:rFonts w:ascii="Times New Roman" w:hAnsi="Times New Roman"/>
          <w:sz w:val="24"/>
          <w:szCs w:val="24"/>
        </w:rPr>
      </w:pPr>
    </w:p>
    <w:p w14:paraId="6BA0AE4E" w14:textId="77777777" w:rsidR="00527EDF" w:rsidRDefault="00527EDF" w:rsidP="00527EDF">
      <w:pPr>
        <w:pStyle w:val="NoSpacing"/>
        <w:rPr>
          <w:rFonts w:ascii="Times New Roman" w:hAnsi="Times New Roman"/>
          <w:b/>
          <w:sz w:val="24"/>
          <w:szCs w:val="24"/>
        </w:rPr>
      </w:pPr>
      <w:bookmarkStart w:id="251" w:name="_Hlk10127098"/>
      <w:r w:rsidRPr="00A0664F">
        <w:rPr>
          <w:rFonts w:ascii="Times New Roman" w:hAnsi="Times New Roman"/>
          <w:b/>
          <w:sz w:val="24"/>
          <w:szCs w:val="24"/>
        </w:rPr>
        <w:t xml:space="preserve">Legal Lessons Learned: </w:t>
      </w:r>
      <w:r>
        <w:rPr>
          <w:rFonts w:ascii="Times New Roman" w:hAnsi="Times New Roman"/>
          <w:b/>
          <w:sz w:val="24"/>
          <w:szCs w:val="24"/>
        </w:rPr>
        <w:t xml:space="preserve"> Many states, including Illinois, have now enacted a statutory presumption on FF cancer.  But some employers are contesting claims, particularly if FF has poor health history.   </w:t>
      </w:r>
    </w:p>
    <w:p w14:paraId="0E4BD0D0" w14:textId="77777777" w:rsidR="00527EDF" w:rsidRDefault="00527EDF" w:rsidP="00527EDF">
      <w:pPr>
        <w:pStyle w:val="NoSpacing"/>
        <w:ind w:left="720"/>
        <w:rPr>
          <w:rFonts w:ascii="Times New Roman" w:hAnsi="Times New Roman"/>
          <w:sz w:val="24"/>
          <w:szCs w:val="24"/>
        </w:rPr>
      </w:pPr>
    </w:p>
    <w:p w14:paraId="0D967363" w14:textId="77777777" w:rsidR="00527EDF" w:rsidRPr="001922D5" w:rsidRDefault="00527EDF" w:rsidP="00527EDF">
      <w:pPr>
        <w:pStyle w:val="NoSpacing"/>
        <w:ind w:left="720"/>
        <w:rPr>
          <w:rFonts w:ascii="Times New Roman" w:hAnsi="Times New Roman"/>
          <w:sz w:val="24"/>
          <w:szCs w:val="24"/>
        </w:rPr>
      </w:pPr>
      <w:r>
        <w:rPr>
          <w:rFonts w:ascii="Times New Roman" w:hAnsi="Times New Roman"/>
          <w:sz w:val="24"/>
          <w:szCs w:val="24"/>
        </w:rPr>
        <w:t>S</w:t>
      </w:r>
      <w:r w:rsidRPr="00A0664F">
        <w:rPr>
          <w:rFonts w:ascii="Times New Roman" w:hAnsi="Times New Roman"/>
          <w:sz w:val="24"/>
          <w:szCs w:val="24"/>
        </w:rPr>
        <w:t xml:space="preserve">ee </w:t>
      </w:r>
      <w:r>
        <w:rPr>
          <w:rFonts w:ascii="Times New Roman" w:hAnsi="Times New Roman"/>
          <w:sz w:val="24"/>
          <w:szCs w:val="24"/>
        </w:rPr>
        <w:t xml:space="preserve">also </w:t>
      </w:r>
      <w:r w:rsidRPr="00A0664F">
        <w:rPr>
          <w:rFonts w:ascii="Times New Roman" w:hAnsi="Times New Roman"/>
          <w:sz w:val="24"/>
          <w:szCs w:val="24"/>
        </w:rPr>
        <w:t xml:space="preserve">this article on </w:t>
      </w:r>
      <w:r>
        <w:rPr>
          <w:rFonts w:ascii="Times New Roman" w:hAnsi="Times New Roman"/>
          <w:sz w:val="24"/>
          <w:szCs w:val="24"/>
        </w:rPr>
        <w:t xml:space="preserve">2017 </w:t>
      </w:r>
      <w:r w:rsidRPr="00A0664F">
        <w:rPr>
          <w:rFonts w:ascii="Times New Roman" w:hAnsi="Times New Roman"/>
          <w:sz w:val="24"/>
          <w:szCs w:val="24"/>
        </w:rPr>
        <w:t>case involving Illinois firefighter who suffered a heart attack</w:t>
      </w:r>
      <w:r>
        <w:rPr>
          <w:rFonts w:ascii="Times New Roman" w:hAnsi="Times New Roman"/>
          <w:sz w:val="24"/>
          <w:szCs w:val="24"/>
        </w:rPr>
        <w:t>. “</w:t>
      </w:r>
      <w:r w:rsidRPr="001922D5">
        <w:rPr>
          <w:rFonts w:ascii="Times New Roman" w:hAnsi="Times New Roman"/>
          <w:sz w:val="24"/>
          <w:szCs w:val="24"/>
        </w:rPr>
        <w:t>In this case, the petitioner was an obese smoker, mildly diabetic, and with a family history of heart disease.</w:t>
      </w:r>
      <w:r>
        <w:rPr>
          <w:rFonts w:ascii="Times New Roman" w:hAnsi="Times New Roman"/>
          <w:sz w:val="24"/>
          <w:szCs w:val="24"/>
        </w:rPr>
        <w:t>”</w:t>
      </w:r>
      <w:r w:rsidRPr="001922D5">
        <w:rPr>
          <w:rFonts w:ascii="Times New Roman" w:hAnsi="Times New Roman"/>
          <w:sz w:val="24"/>
          <w:szCs w:val="24"/>
        </w:rPr>
        <w:t xml:space="preserve"> </w:t>
      </w:r>
      <w:hyperlink r:id="rId1330" w:history="1">
        <w:r w:rsidRPr="001922D5">
          <w:rPr>
            <w:rStyle w:val="Hyperlink"/>
            <w:rFonts w:ascii="Times New Roman" w:hAnsi="Times New Roman"/>
            <w:sz w:val="24"/>
            <w:szCs w:val="24"/>
          </w:rPr>
          <w:t>http://inmanfitzgibbons.com/illinois-wc-alert-rebutting-the-6f-presumption/</w:t>
        </w:r>
      </w:hyperlink>
      <w:r w:rsidRPr="001922D5">
        <w:rPr>
          <w:rFonts w:ascii="Times New Roman" w:hAnsi="Times New Roman"/>
          <w:sz w:val="24"/>
          <w:szCs w:val="24"/>
        </w:rPr>
        <w:t xml:space="preserve"> </w:t>
      </w:r>
    </w:p>
    <w:p w14:paraId="5FD55CCD" w14:textId="77777777" w:rsidR="00527EDF" w:rsidRPr="006E0B93" w:rsidRDefault="00527EDF" w:rsidP="00527EDF">
      <w:pPr>
        <w:pStyle w:val="NoSpacing"/>
        <w:ind w:left="720"/>
        <w:rPr>
          <w:rFonts w:ascii="Times New Roman" w:hAnsi="Times New Roman"/>
          <w:sz w:val="24"/>
          <w:szCs w:val="24"/>
        </w:rPr>
      </w:pPr>
      <w:r w:rsidRPr="00A0664F">
        <w:rPr>
          <w:rFonts w:ascii="Times New Roman" w:hAnsi="Times New Roman"/>
          <w:sz w:val="24"/>
          <w:szCs w:val="24"/>
        </w:rPr>
        <w:t>The Court further quoted the bill sponsor as saying, “[s]o don’t think it’s conclusive that simply because you have lung cancer, you’re going to get compensation of the Worker’s Compensation Act. What we’re saying is, we’ll get you to the hearing. Then the other side can bring in evidence that you smoked for thirty (30) years and therefore, it wasn’t a result of the actions taken at work.” </w:t>
      </w:r>
      <w:r w:rsidRPr="00A0664F">
        <w:rPr>
          <w:rStyle w:val="Emphasis"/>
          <w:rFonts w:ascii="Times New Roman" w:hAnsi="Times New Roman"/>
          <w:sz w:val="24"/>
          <w:szCs w:val="24"/>
        </w:rPr>
        <w:t>Id.</w:t>
      </w:r>
      <w:r w:rsidRPr="00A0664F">
        <w:rPr>
          <w:rFonts w:ascii="Times New Roman" w:hAnsi="Times New Roman"/>
          <w:sz w:val="24"/>
          <w:szCs w:val="24"/>
        </w:rPr>
        <w:t> at 82.</w:t>
      </w:r>
      <w:r>
        <w:rPr>
          <w:rFonts w:ascii="Times New Roman" w:hAnsi="Times New Roman"/>
          <w:sz w:val="24"/>
          <w:szCs w:val="24"/>
        </w:rPr>
        <w:t xml:space="preserve"> </w:t>
      </w:r>
      <w:r w:rsidRPr="006E0B93">
        <w:rPr>
          <w:rStyle w:val="Emphasis"/>
          <w:rFonts w:ascii="Times New Roman" w:hAnsi="Times New Roman"/>
          <w:sz w:val="24"/>
          <w:szCs w:val="24"/>
        </w:rPr>
        <w:t>Johnston v. Illinois Workers’ Comp. Comm’n</w:t>
      </w:r>
      <w:r w:rsidRPr="006E0B93">
        <w:rPr>
          <w:rFonts w:ascii="Times New Roman" w:hAnsi="Times New Roman"/>
          <w:sz w:val="24"/>
          <w:szCs w:val="24"/>
        </w:rPr>
        <w:t>, 2017 IL App (2d) 160010WC.</w:t>
      </w:r>
    </w:p>
    <w:bookmarkEnd w:id="251"/>
    <w:p w14:paraId="7BEF09E7" w14:textId="1C5BE5E5" w:rsidR="00527EDF" w:rsidRDefault="00527EDF" w:rsidP="00527EDF">
      <w:pPr>
        <w:pStyle w:val="NoSpacing"/>
        <w:rPr>
          <w:rStyle w:val="Hyperlink"/>
          <w:rFonts w:ascii="Times New Roman" w:hAnsi="Times New Roman"/>
          <w:sz w:val="24"/>
          <w:szCs w:val="24"/>
        </w:rPr>
      </w:pPr>
    </w:p>
    <w:p w14:paraId="770C6CAF" w14:textId="77777777" w:rsidR="00EF1133" w:rsidRDefault="00EF1133" w:rsidP="00527EDF">
      <w:pPr>
        <w:pStyle w:val="NoSpacing"/>
        <w:rPr>
          <w:rFonts w:ascii="Arial Black" w:hAnsi="Arial Black"/>
          <w:sz w:val="28"/>
          <w:szCs w:val="28"/>
        </w:rPr>
      </w:pPr>
      <w:bookmarkStart w:id="252" w:name="_Hlk10127150"/>
    </w:p>
    <w:p w14:paraId="0057E7E8" w14:textId="3613A613" w:rsidR="00EF1133" w:rsidRDefault="00EF1133" w:rsidP="00EF1133">
      <w:pPr>
        <w:rPr>
          <w:rFonts w:ascii="Arial Black" w:hAnsi="Arial Black"/>
          <w:sz w:val="28"/>
          <w:szCs w:val="28"/>
        </w:rPr>
      </w:pPr>
      <w:r>
        <w:rPr>
          <w:rFonts w:ascii="Arial Black" w:hAnsi="Arial Black"/>
          <w:b/>
          <w:sz w:val="24"/>
          <w:szCs w:val="24"/>
        </w:rPr>
        <w:t>6</w:t>
      </w:r>
      <w:r w:rsidRPr="00EF1133">
        <w:rPr>
          <w:rFonts w:ascii="Arial Black" w:hAnsi="Arial Black"/>
          <w:b/>
          <w:sz w:val="24"/>
          <w:szCs w:val="24"/>
        </w:rPr>
        <w:t>-1</w:t>
      </w:r>
      <w:r w:rsidR="005B0774">
        <w:rPr>
          <w:rFonts w:ascii="Arial Black" w:hAnsi="Arial Black"/>
          <w:b/>
          <w:sz w:val="24"/>
          <w:szCs w:val="24"/>
        </w:rPr>
        <w:t>9</w:t>
      </w:r>
    </w:p>
    <w:p w14:paraId="0292BE1A" w14:textId="32B2619F" w:rsidR="00527EDF" w:rsidRDefault="00527EDF" w:rsidP="00527EDF">
      <w:pPr>
        <w:pStyle w:val="NoSpacing"/>
        <w:rPr>
          <w:rFonts w:ascii="Arial Black" w:hAnsi="Arial Black"/>
          <w:sz w:val="28"/>
          <w:szCs w:val="28"/>
        </w:rPr>
      </w:pPr>
      <w:r w:rsidRPr="005F044F">
        <w:rPr>
          <w:rFonts w:ascii="Arial Black" w:hAnsi="Arial Black"/>
          <w:sz w:val="28"/>
          <w:szCs w:val="28"/>
        </w:rPr>
        <w:t xml:space="preserve">NJ: </w:t>
      </w:r>
      <w:r>
        <w:rPr>
          <w:rFonts w:ascii="Arial Black" w:hAnsi="Arial Black"/>
          <w:sz w:val="28"/>
          <w:szCs w:val="28"/>
        </w:rPr>
        <w:t>FF’s BACK INJURY - PLASTIC CHAIR COLLAPSED - PRIOR BACK ISSUES – NOT “ACCIDENTAL” DISABILITY, ONLY “ORDINARY” DISAB.</w:t>
      </w:r>
    </w:p>
    <w:p w14:paraId="5293A597" w14:textId="77777777" w:rsidR="00527EDF" w:rsidRDefault="00527EDF" w:rsidP="00527EDF">
      <w:pPr>
        <w:pStyle w:val="NoSpacing"/>
        <w:rPr>
          <w:rFonts w:ascii="Arial Black" w:hAnsi="Arial Black"/>
          <w:sz w:val="28"/>
          <w:szCs w:val="28"/>
        </w:rPr>
      </w:pPr>
    </w:p>
    <w:p w14:paraId="054469E7" w14:textId="77777777" w:rsidR="00527EDF" w:rsidRPr="00BE460E" w:rsidRDefault="00527EDF" w:rsidP="00527EDF">
      <w:pPr>
        <w:pStyle w:val="NoSpacing"/>
        <w:rPr>
          <w:rFonts w:ascii="Times New Roman" w:hAnsi="Times New Roman"/>
          <w:sz w:val="24"/>
          <w:szCs w:val="24"/>
        </w:rPr>
      </w:pPr>
      <w:r>
        <w:rPr>
          <w:rFonts w:ascii="Times New Roman" w:hAnsi="Times New Roman"/>
          <w:sz w:val="24"/>
          <w:szCs w:val="24"/>
        </w:rPr>
        <w:t xml:space="preserve">On </w:t>
      </w:r>
      <w:bookmarkStart w:id="253" w:name="_Hlk39831259"/>
      <w:r>
        <w:rPr>
          <w:rFonts w:ascii="Times New Roman" w:hAnsi="Times New Roman"/>
          <w:sz w:val="24"/>
          <w:szCs w:val="24"/>
        </w:rPr>
        <w:t xml:space="preserve">May 10, 2019, in </w:t>
      </w:r>
      <w:r w:rsidRPr="00BE460E">
        <w:rPr>
          <w:rFonts w:ascii="Times New Roman" w:hAnsi="Times New Roman"/>
          <w:sz w:val="24"/>
          <w:szCs w:val="24"/>
          <w:u w:val="single"/>
        </w:rPr>
        <w:t>Terrence Crowder v. Board of Trustees, Police &amp; Firemen’s Retirement System</w:t>
      </w:r>
      <w:bookmarkEnd w:id="253"/>
      <w:r w:rsidRPr="00BE460E">
        <w:rPr>
          <w:rFonts w:ascii="Times New Roman" w:hAnsi="Times New Roman"/>
          <w:sz w:val="24"/>
          <w:szCs w:val="24"/>
        </w:rPr>
        <w:t>, the Superior Court of New Jersey, Appellate Division,</w:t>
      </w:r>
      <w:r>
        <w:rPr>
          <w:rFonts w:ascii="Times New Roman" w:hAnsi="Times New Roman"/>
          <w:sz w:val="24"/>
          <w:szCs w:val="24"/>
          <w:u w:val="single"/>
        </w:rPr>
        <w:t xml:space="preserve"> </w:t>
      </w:r>
      <w:r>
        <w:rPr>
          <w:rFonts w:ascii="Times New Roman" w:hAnsi="Times New Roman"/>
          <w:sz w:val="24"/>
          <w:szCs w:val="24"/>
        </w:rPr>
        <w:t>held (2 to 0) that Deputy Chief was not entitled to 72.7% accidental disability retirement, only “ordinary” disability retirement (43.6%).</w:t>
      </w:r>
    </w:p>
    <w:p w14:paraId="2C9F7772" w14:textId="77777777" w:rsidR="00527EDF" w:rsidRDefault="00527EDF" w:rsidP="00527EDF">
      <w:pPr>
        <w:pStyle w:val="NoSpacing"/>
        <w:rPr>
          <w:rFonts w:ascii="Times New Roman" w:hAnsi="Times New Roman"/>
          <w:sz w:val="24"/>
          <w:szCs w:val="24"/>
        </w:rPr>
      </w:pPr>
    </w:p>
    <w:p w14:paraId="7CB6108D"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CA7133">
        <w:rPr>
          <w:rFonts w:ascii="Times New Roman" w:hAnsi="Times New Roman"/>
          <w:sz w:val="24"/>
          <w:szCs w:val="24"/>
        </w:rPr>
        <w:t>The 2008 incident was not the direct cause of</w:t>
      </w:r>
      <w:r>
        <w:rPr>
          <w:rFonts w:ascii="Times New Roman" w:hAnsi="Times New Roman"/>
          <w:sz w:val="24"/>
          <w:szCs w:val="24"/>
        </w:rPr>
        <w:t xml:space="preserve"> </w:t>
      </w:r>
      <w:r w:rsidRPr="00CA7133">
        <w:rPr>
          <w:rFonts w:ascii="Times New Roman" w:hAnsi="Times New Roman"/>
          <w:sz w:val="24"/>
          <w:szCs w:val="24"/>
        </w:rPr>
        <w:t>Crowder's disability. Rather,</w:t>
      </w:r>
      <w:r>
        <w:rPr>
          <w:rFonts w:ascii="Times New Roman" w:hAnsi="Times New Roman"/>
          <w:sz w:val="24"/>
          <w:szCs w:val="24"/>
        </w:rPr>
        <w:t xml:space="preserve"> </w:t>
      </w:r>
      <w:r w:rsidRPr="00CA7133">
        <w:rPr>
          <w:rFonts w:ascii="Times New Roman" w:hAnsi="Times New Roman"/>
          <w:sz w:val="24"/>
          <w:szCs w:val="24"/>
        </w:rPr>
        <w:t>as the ALJ correctly found, Crowder's</w:t>
      </w:r>
      <w:r>
        <w:rPr>
          <w:rFonts w:ascii="Times New Roman" w:hAnsi="Times New Roman"/>
          <w:sz w:val="24"/>
          <w:szCs w:val="24"/>
        </w:rPr>
        <w:t xml:space="preserve"> </w:t>
      </w:r>
      <w:r w:rsidRPr="00CA7133">
        <w:rPr>
          <w:rFonts w:ascii="Times New Roman" w:hAnsi="Times New Roman"/>
          <w:sz w:val="24"/>
          <w:szCs w:val="24"/>
        </w:rPr>
        <w:t xml:space="preserve">preexisting degenerative condition, which was aggravated by the 2008 incident, was the essential significant or the substantial contributing cause of his </w:t>
      </w:r>
      <w:proofErr w:type="gramStart"/>
      <w:r w:rsidRPr="00CA7133">
        <w:rPr>
          <w:rFonts w:ascii="Times New Roman" w:hAnsi="Times New Roman"/>
          <w:sz w:val="24"/>
          <w:szCs w:val="24"/>
        </w:rPr>
        <w:t>disability.</w:t>
      </w:r>
      <w:r>
        <w:rPr>
          <w:rFonts w:ascii="Times New Roman" w:hAnsi="Times New Roman"/>
          <w:sz w:val="24"/>
          <w:szCs w:val="24"/>
        </w:rPr>
        <w:t>”</w:t>
      </w:r>
      <w:proofErr w:type="gramEnd"/>
    </w:p>
    <w:bookmarkStart w:id="254" w:name="_Hlk39831287"/>
    <w:p w14:paraId="6FA5DDA4" w14:textId="77777777" w:rsidR="00527EDF" w:rsidRPr="00CA7133" w:rsidRDefault="00374417" w:rsidP="00527EDF">
      <w:pPr>
        <w:pStyle w:val="NoSpacing"/>
        <w:ind w:left="720"/>
        <w:rPr>
          <w:rFonts w:ascii="Times New Roman" w:hAnsi="Times New Roman"/>
          <w:sz w:val="24"/>
          <w:szCs w:val="24"/>
        </w:rPr>
      </w:pPr>
      <w:r>
        <w:fldChar w:fldCharType="begin"/>
      </w:r>
      <w:r>
        <w:instrText xml:space="preserve"> HYPERLINK "https://njcourts.gov/attorneys/assets/opinions/appellate/unpublished/a0094-17.pdf" </w:instrText>
      </w:r>
      <w:r>
        <w:fldChar w:fldCharType="separate"/>
      </w:r>
      <w:r w:rsidR="00527EDF" w:rsidRPr="002620E3">
        <w:rPr>
          <w:rStyle w:val="Hyperlink"/>
          <w:rFonts w:ascii="Times New Roman" w:hAnsi="Times New Roman"/>
          <w:sz w:val="24"/>
          <w:szCs w:val="24"/>
        </w:rPr>
        <w:t>https://njcourts.gov/attorneys/assets/opinions/appellate/unpublished/a0094-17.pdf</w:t>
      </w:r>
      <w:r>
        <w:rPr>
          <w:rStyle w:val="Hyperlink"/>
          <w:rFonts w:ascii="Times New Roman" w:hAnsi="Times New Roman"/>
          <w:sz w:val="24"/>
          <w:szCs w:val="24"/>
        </w:rPr>
        <w:fldChar w:fldCharType="end"/>
      </w:r>
      <w:r w:rsidR="00527EDF">
        <w:rPr>
          <w:rFonts w:ascii="Times New Roman" w:hAnsi="Times New Roman"/>
          <w:sz w:val="24"/>
          <w:szCs w:val="24"/>
        </w:rPr>
        <w:t xml:space="preserve"> </w:t>
      </w:r>
    </w:p>
    <w:p w14:paraId="3EDAB032" w14:textId="77777777" w:rsidR="00527EDF" w:rsidRDefault="00527EDF" w:rsidP="00527EDF">
      <w:pPr>
        <w:pStyle w:val="NoSpacing"/>
        <w:rPr>
          <w:rFonts w:ascii="Times New Roman" w:hAnsi="Times New Roman"/>
          <w:b/>
          <w:sz w:val="24"/>
          <w:szCs w:val="24"/>
        </w:rPr>
      </w:pPr>
      <w:bookmarkStart w:id="255" w:name="_Hlk10127233"/>
      <w:bookmarkEnd w:id="252"/>
      <w:bookmarkEnd w:id="254"/>
    </w:p>
    <w:p w14:paraId="3CD6AB30" w14:textId="58AEA41C" w:rsidR="00527EDF" w:rsidRPr="00C8192B" w:rsidRDefault="00527EDF" w:rsidP="00527EDF">
      <w:pPr>
        <w:pStyle w:val="NoSpacing"/>
        <w:rPr>
          <w:rFonts w:ascii="Times New Roman" w:hAnsi="Times New Roman"/>
          <w:b/>
          <w:sz w:val="24"/>
          <w:szCs w:val="24"/>
        </w:rPr>
      </w:pPr>
      <w:r w:rsidRPr="00C8192B">
        <w:rPr>
          <w:rFonts w:ascii="Times New Roman" w:hAnsi="Times New Roman"/>
          <w:b/>
          <w:sz w:val="24"/>
          <w:szCs w:val="24"/>
        </w:rPr>
        <w:t xml:space="preserve">Legal Lessons Learned: </w:t>
      </w:r>
      <w:r>
        <w:rPr>
          <w:rFonts w:ascii="Times New Roman" w:hAnsi="Times New Roman"/>
          <w:b/>
          <w:sz w:val="24"/>
          <w:szCs w:val="24"/>
        </w:rPr>
        <w:t xml:space="preserve">Aggravating a pre-existing degenerative condition does not meet the requirements of the state statute. Suggestion - get rid of plastic chairs in the station. </w:t>
      </w:r>
    </w:p>
    <w:p w14:paraId="12721D64" w14:textId="77777777" w:rsidR="00527EDF" w:rsidRDefault="00527EDF" w:rsidP="00527EDF">
      <w:pPr>
        <w:pStyle w:val="NoSpacing"/>
        <w:ind w:firstLine="720"/>
        <w:rPr>
          <w:rFonts w:ascii="Times New Roman" w:hAnsi="Times New Roman"/>
          <w:sz w:val="24"/>
          <w:szCs w:val="24"/>
        </w:rPr>
      </w:pPr>
    </w:p>
    <w:p w14:paraId="3EDE4DB6" w14:textId="77777777" w:rsidR="00527EDF" w:rsidRPr="00DE64B9" w:rsidRDefault="00527EDF" w:rsidP="00527EDF">
      <w:pPr>
        <w:pStyle w:val="NoSpacing"/>
        <w:ind w:left="720"/>
        <w:rPr>
          <w:rFonts w:ascii="Times New Roman" w:hAnsi="Times New Roman"/>
          <w:b/>
          <w:sz w:val="24"/>
          <w:szCs w:val="24"/>
        </w:rPr>
      </w:pPr>
      <w:r w:rsidRPr="00DE64B9">
        <w:rPr>
          <w:rFonts w:ascii="Times New Roman" w:hAnsi="Times New Roman"/>
          <w:sz w:val="24"/>
          <w:szCs w:val="24"/>
        </w:rPr>
        <w:t xml:space="preserve">See this article on the case, </w:t>
      </w:r>
      <w:bookmarkStart w:id="256" w:name="_Hlk39831133"/>
      <w:r w:rsidRPr="00DE64B9">
        <w:rPr>
          <w:rFonts w:ascii="Times New Roman" w:hAnsi="Times New Roman"/>
          <w:sz w:val="24"/>
          <w:szCs w:val="24"/>
        </w:rPr>
        <w:t xml:space="preserve">“Former Camden firefighter loses court fight over disability retirement benefits.” (May 14, 2019). </w:t>
      </w:r>
      <w:hyperlink r:id="rId1331" w:history="1">
        <w:r w:rsidRPr="00DE64B9">
          <w:rPr>
            <w:rStyle w:val="Hyperlink"/>
            <w:rFonts w:ascii="Times New Roman" w:hAnsi="Times New Roman"/>
            <w:sz w:val="24"/>
            <w:szCs w:val="24"/>
          </w:rPr>
          <w:t>https://www.courierpostonline.com/story/news/2019/05/14/terremce-crowder-camden-fire-department-deputy-chief-loses-disability-benefits-dispute/1194598001/</w:t>
        </w:r>
      </w:hyperlink>
      <w:bookmarkEnd w:id="256"/>
      <w:r w:rsidRPr="00DE64B9">
        <w:rPr>
          <w:rFonts w:ascii="Times New Roman" w:hAnsi="Times New Roman"/>
          <w:sz w:val="24"/>
          <w:szCs w:val="24"/>
        </w:rPr>
        <w:t xml:space="preserve"> </w:t>
      </w:r>
    </w:p>
    <w:p w14:paraId="7158046C"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“According to the state Treasury’s website, an ordinary disability retirement pays 43.6 percent of an employee’s salary averaged over his or her last three years of service. In contrast, an accidental disability retirement pays 72.7 percent of the base salary at the time of the ‘traumatic event.’”</w:t>
      </w:r>
    </w:p>
    <w:bookmarkEnd w:id="255"/>
    <w:p w14:paraId="0CD1D77B" w14:textId="77777777" w:rsidR="0097592D" w:rsidRDefault="0097592D" w:rsidP="0097592D">
      <w:pPr>
        <w:pStyle w:val="NoSpacing"/>
        <w:rPr>
          <w:rFonts w:ascii="Times New Roman" w:hAnsi="Times New Roman"/>
          <w:sz w:val="24"/>
          <w:szCs w:val="24"/>
        </w:rPr>
      </w:pPr>
    </w:p>
    <w:p w14:paraId="0B140BCA" w14:textId="28931B8E" w:rsidR="0097592D" w:rsidRDefault="0097592D" w:rsidP="0097592D">
      <w:pPr>
        <w:pStyle w:val="NoSpacing"/>
        <w:rPr>
          <w:rFonts w:ascii="Times New Roman" w:hAnsi="Times New Roman"/>
          <w:sz w:val="24"/>
          <w:szCs w:val="24"/>
        </w:rPr>
      </w:pPr>
    </w:p>
    <w:p w14:paraId="1F5AEF7C" w14:textId="77777777" w:rsidR="005F7D6B" w:rsidRDefault="005F7D6B" w:rsidP="00EF1133">
      <w:pPr>
        <w:rPr>
          <w:rFonts w:ascii="Arial Black" w:hAnsi="Arial Black"/>
          <w:b/>
          <w:sz w:val="24"/>
          <w:szCs w:val="24"/>
        </w:rPr>
      </w:pPr>
    </w:p>
    <w:p w14:paraId="083A518F" w14:textId="6768BE79" w:rsidR="00660046" w:rsidRDefault="00660046" w:rsidP="00EF1133">
      <w:pPr>
        <w:rPr>
          <w:rFonts w:ascii="Arial Black" w:hAnsi="Arial Black"/>
          <w:b/>
          <w:sz w:val="24"/>
          <w:szCs w:val="24"/>
        </w:rPr>
      </w:pPr>
      <w:r>
        <w:rPr>
          <w:rFonts w:ascii="Arial Black" w:hAnsi="Arial Black"/>
          <w:b/>
          <w:sz w:val="24"/>
          <w:szCs w:val="24"/>
        </w:rPr>
        <w:t>6-18</w:t>
      </w:r>
    </w:p>
    <w:p w14:paraId="5779DE15" w14:textId="77777777" w:rsidR="00660046" w:rsidRPr="00660046" w:rsidRDefault="00660046" w:rsidP="00EF1133">
      <w:pPr>
        <w:rPr>
          <w:rFonts w:ascii="Arial Black" w:hAnsi="Arial Black" w:cs="Arial"/>
          <w:sz w:val="28"/>
          <w:szCs w:val="28"/>
        </w:rPr>
      </w:pPr>
      <w:r w:rsidRPr="00660046">
        <w:rPr>
          <w:rFonts w:ascii="Arial Black" w:hAnsi="Arial Black" w:cs="Arial"/>
          <w:sz w:val="28"/>
          <w:szCs w:val="28"/>
        </w:rPr>
        <w:t>NY: FDNY APPLICANT - PLED GUILTY MJ – CIVIL SERVICE COMM. PUT HIM BACK ON ELIGIBILITY LIST – LIST NOW EXPIRED - NOT HIRED</w:t>
      </w:r>
    </w:p>
    <w:p w14:paraId="386005B1" w14:textId="21EF063F" w:rsidR="00660046" w:rsidRPr="0036327D" w:rsidRDefault="00660046" w:rsidP="00EF1133">
      <w:pPr>
        <w:rPr>
          <w:rFonts w:ascii="Times New Roman" w:hAnsi="Times New Roman"/>
          <w:sz w:val="24"/>
          <w:szCs w:val="24"/>
        </w:rPr>
      </w:pPr>
      <w:r w:rsidRPr="0036327D">
        <w:rPr>
          <w:rFonts w:ascii="Times New Roman" w:hAnsi="Times New Roman"/>
          <w:sz w:val="24"/>
          <w:szCs w:val="24"/>
        </w:rPr>
        <w:t xml:space="preserve">On April 18, 2019, In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Matter </w:t>
      </w:r>
      <w:proofErr w:type="gramStart"/>
      <w:r w:rsidRPr="0036327D">
        <w:rPr>
          <w:rFonts w:ascii="Times New Roman" w:hAnsi="Times New Roman"/>
          <w:sz w:val="24"/>
          <w:szCs w:val="24"/>
        </w:rPr>
        <w:t>Of</w:t>
      </w:r>
      <w:proofErr w:type="gramEnd"/>
      <w:r w:rsidRPr="0036327D">
        <w:rPr>
          <w:rFonts w:ascii="Times New Roman" w:hAnsi="Times New Roman"/>
          <w:sz w:val="24"/>
          <w:szCs w:val="24"/>
        </w:rPr>
        <w:t xml:space="preserve">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Application </w:t>
      </w:r>
      <w:proofErr w:type="gramStart"/>
      <w:r w:rsidRPr="0036327D">
        <w:rPr>
          <w:rFonts w:ascii="Times New Roman" w:hAnsi="Times New Roman"/>
          <w:sz w:val="24"/>
          <w:szCs w:val="24"/>
        </w:rPr>
        <w:t>Of</w:t>
      </w:r>
      <w:proofErr w:type="gramEnd"/>
      <w:r w:rsidRPr="0036327D">
        <w:rPr>
          <w:rFonts w:ascii="Times New Roman" w:hAnsi="Times New Roman"/>
          <w:sz w:val="24"/>
          <w:szCs w:val="24"/>
        </w:rPr>
        <w:t xml:space="preserve"> Christopher Redden v. The City of New York, a judge on NY Supreme Court, Kings County, denied the applicant’s request to be placed on a “special eligible list.” Redden v. City of N.Y., 2019 NY Slip Op 50647(U) (N.Y. Sup. Ct., 2019). “Being named on an eligible list does not create any vested right to be appointed; at most it conveys the right to be considered and the possibility of an appointment. *** Thus, the FDNY, as a civil service department, has the discretion to disqualify a candidate on the eligible list who has been found guilty of a crime. </w:t>
      </w:r>
      <w:hyperlink r:id="rId1332" w:history="1">
        <w:r w:rsidRPr="0036327D">
          <w:rPr>
            <w:rStyle w:val="Hyperlink"/>
            <w:rFonts w:ascii="Times New Roman" w:hAnsi="Times New Roman"/>
            <w:sz w:val="24"/>
            <w:szCs w:val="24"/>
          </w:rPr>
          <w:t>https://law.justia.com/cases/new-york/other-courts/2019/2019-ny-slip-op-50647-u.html</w:t>
        </w:r>
      </w:hyperlink>
      <w:r w:rsidRPr="0036327D">
        <w:rPr>
          <w:rFonts w:ascii="Times New Roman" w:hAnsi="Times New Roman"/>
          <w:sz w:val="24"/>
          <w:szCs w:val="24"/>
        </w:rPr>
        <w:t xml:space="preserve"> </w:t>
      </w:r>
    </w:p>
    <w:p w14:paraId="69CF6E62" w14:textId="5FBD5542" w:rsidR="00660046" w:rsidRPr="0036327D" w:rsidRDefault="00660046" w:rsidP="00EF1133">
      <w:pPr>
        <w:rPr>
          <w:rFonts w:ascii="Times New Roman" w:hAnsi="Times New Roman"/>
          <w:b/>
          <w:bCs/>
          <w:sz w:val="24"/>
          <w:szCs w:val="24"/>
        </w:rPr>
      </w:pPr>
      <w:r w:rsidRPr="0036327D">
        <w:rPr>
          <w:rFonts w:ascii="Times New Roman" w:hAnsi="Times New Roman"/>
          <w:b/>
          <w:bCs/>
          <w:sz w:val="24"/>
          <w:szCs w:val="24"/>
        </w:rPr>
        <w:t xml:space="preserve">Legal Lessons Learned: After eligibility list expires, applicant must wait for next exam. If he </w:t>
      </w:r>
      <w:proofErr w:type="gramStart"/>
      <w:r w:rsidRPr="0036327D">
        <w:rPr>
          <w:rFonts w:ascii="Times New Roman" w:hAnsi="Times New Roman"/>
          <w:b/>
          <w:bCs/>
          <w:sz w:val="24"/>
          <w:szCs w:val="24"/>
        </w:rPr>
        <w:t>is then</w:t>
      </w:r>
      <w:proofErr w:type="gramEnd"/>
      <w:r w:rsidRPr="0036327D">
        <w:rPr>
          <w:rFonts w:ascii="Times New Roman" w:hAnsi="Times New Roman"/>
          <w:b/>
          <w:bCs/>
          <w:sz w:val="24"/>
          <w:szCs w:val="24"/>
        </w:rPr>
        <w:t xml:space="preserve"> too old to apply, then he is without a remedy. </w:t>
      </w:r>
    </w:p>
    <w:p w14:paraId="7B13B0DA" w14:textId="2E94D0F5" w:rsidR="00660046" w:rsidRPr="0036327D" w:rsidRDefault="00660046" w:rsidP="00EF1133">
      <w:pPr>
        <w:rPr>
          <w:rFonts w:ascii="Times New Roman" w:hAnsi="Times New Roman"/>
          <w:sz w:val="24"/>
          <w:szCs w:val="24"/>
        </w:rPr>
      </w:pPr>
    </w:p>
    <w:p w14:paraId="3B9D3F45" w14:textId="77777777" w:rsidR="00660046" w:rsidRPr="00660046" w:rsidRDefault="00660046" w:rsidP="00EF1133">
      <w:pPr>
        <w:rPr>
          <w:rFonts w:ascii="Arial Black" w:hAnsi="Arial Black"/>
          <w:b/>
          <w:bCs/>
          <w:sz w:val="24"/>
          <w:szCs w:val="24"/>
        </w:rPr>
      </w:pPr>
    </w:p>
    <w:p w14:paraId="2BE436E8" w14:textId="3D748EF6" w:rsidR="005F7D6B" w:rsidRDefault="005F7D6B" w:rsidP="00EF1133">
      <w:pPr>
        <w:rPr>
          <w:rFonts w:ascii="Arial Black" w:hAnsi="Arial Black"/>
          <w:b/>
          <w:sz w:val="24"/>
          <w:szCs w:val="24"/>
        </w:rPr>
      </w:pPr>
      <w:r>
        <w:rPr>
          <w:rFonts w:ascii="Arial Black" w:hAnsi="Arial Black"/>
          <w:b/>
          <w:sz w:val="24"/>
          <w:szCs w:val="24"/>
        </w:rPr>
        <w:t>6-17</w:t>
      </w:r>
    </w:p>
    <w:p w14:paraId="7817ECAB" w14:textId="77777777" w:rsidR="005F7D6B" w:rsidRDefault="005F7D6B" w:rsidP="00EF1133">
      <w:pPr>
        <w:rPr>
          <w:rFonts w:ascii="Arial Black" w:hAnsi="Arial Black" w:cs="Arial"/>
          <w:sz w:val="28"/>
          <w:szCs w:val="28"/>
        </w:rPr>
      </w:pPr>
      <w:r w:rsidRPr="005F7D6B">
        <w:rPr>
          <w:rFonts w:ascii="Arial Black" w:hAnsi="Arial Black" w:cs="Arial"/>
          <w:sz w:val="28"/>
          <w:szCs w:val="28"/>
        </w:rPr>
        <w:t>PA: FIREFIGHTER TRIED TO RETIRE AT AGE 50 – BUT CITY AND UNION IN CBA SET THE MINIMUM AGE AT 55 – STATE MIN. OF 50 NOT APPLY</w:t>
      </w:r>
    </w:p>
    <w:p w14:paraId="21EC1437" w14:textId="2788C3EC" w:rsidR="005F7D6B" w:rsidRPr="0036327D" w:rsidRDefault="005F7D6B" w:rsidP="00EF1133">
      <w:pPr>
        <w:rPr>
          <w:rFonts w:ascii="Times New Roman" w:hAnsi="Times New Roman"/>
          <w:b/>
          <w:sz w:val="24"/>
          <w:szCs w:val="24"/>
        </w:rPr>
      </w:pPr>
      <w:r w:rsidRPr="0036327D">
        <w:rPr>
          <w:rFonts w:ascii="Times New Roman" w:hAnsi="Times New Roman"/>
          <w:sz w:val="24"/>
          <w:szCs w:val="24"/>
        </w:rPr>
        <w:t xml:space="preserve">On March 25, 2019, in Joseph C. Bongivengo v. City of New Castle Pension Plan Board and The City of New Castle, the Commonwealth Court of Pennsylvania held (3 to 0): “This ruling also disposes of Bongivengo’s argument that the </w:t>
      </w:r>
      <w:proofErr w:type="gramStart"/>
      <w:r w:rsidRPr="0036327D">
        <w:rPr>
          <w:rFonts w:ascii="Times New Roman" w:hAnsi="Times New Roman"/>
          <w:sz w:val="24"/>
          <w:szCs w:val="24"/>
        </w:rPr>
        <w:t>City</w:t>
      </w:r>
      <w:proofErr w:type="gramEnd"/>
      <w:r w:rsidRPr="0036327D">
        <w:rPr>
          <w:rFonts w:ascii="Times New Roman" w:hAnsi="Times New Roman"/>
          <w:sz w:val="24"/>
          <w:szCs w:val="24"/>
        </w:rPr>
        <w:t xml:space="preserve"> violated Section 607(e) of Act 205 because it did not engage in collective bargaining before it implemented the new age and years of service requirements. As noted above, the </w:t>
      </w:r>
      <w:proofErr w:type="gramStart"/>
      <w:r w:rsidRPr="0036327D">
        <w:rPr>
          <w:rFonts w:ascii="Times New Roman" w:hAnsi="Times New Roman"/>
          <w:sz w:val="24"/>
          <w:szCs w:val="24"/>
        </w:rPr>
        <w:t>City</w:t>
      </w:r>
      <w:proofErr w:type="gramEnd"/>
      <w:r w:rsidRPr="0036327D">
        <w:rPr>
          <w:rFonts w:ascii="Times New Roman" w:hAnsi="Times New Roman"/>
          <w:sz w:val="24"/>
          <w:szCs w:val="24"/>
        </w:rPr>
        <w:t xml:space="preserve"> and the Union did collectively bargain for the age and years of service requirement, as first reflected in the 1992 CBA and subsequently in every CBA </w:t>
      </w:r>
      <w:proofErr w:type="gramStart"/>
      <w:r w:rsidRPr="0036327D">
        <w:rPr>
          <w:rFonts w:ascii="Times New Roman" w:hAnsi="Times New Roman"/>
          <w:sz w:val="24"/>
          <w:szCs w:val="24"/>
        </w:rPr>
        <w:t>thereafter.”</w:t>
      </w:r>
      <w:proofErr w:type="gramEnd"/>
      <w:r w:rsidRPr="0036327D">
        <w:rPr>
          <w:rFonts w:ascii="Times New Roman" w:hAnsi="Times New Roman"/>
          <w:sz w:val="24"/>
          <w:szCs w:val="24"/>
        </w:rPr>
        <w:t xml:space="preserve"> </w:t>
      </w:r>
      <w:hyperlink r:id="rId1333" w:history="1">
        <w:r w:rsidRPr="0036327D">
          <w:rPr>
            <w:rStyle w:val="Hyperlink"/>
            <w:rFonts w:ascii="Times New Roman" w:hAnsi="Times New Roman"/>
            <w:sz w:val="24"/>
            <w:szCs w:val="24"/>
          </w:rPr>
          <w:t>http://www.pacourts.us/assets/opinions/Commonwealth/out/877CD18_3-25-19.pdf?cb=1</w:t>
        </w:r>
      </w:hyperlink>
      <w:r w:rsidRPr="0036327D">
        <w:rPr>
          <w:rFonts w:ascii="Times New Roman" w:hAnsi="Times New Roman"/>
          <w:sz w:val="24"/>
          <w:szCs w:val="24"/>
        </w:rPr>
        <w:t xml:space="preserve"> </w:t>
      </w:r>
    </w:p>
    <w:p w14:paraId="44BC7287" w14:textId="5990DA7C" w:rsidR="005F7D6B" w:rsidRPr="0036327D" w:rsidRDefault="005F7D6B" w:rsidP="00EF1133">
      <w:pPr>
        <w:rPr>
          <w:rFonts w:ascii="Times New Roman" w:hAnsi="Times New Roman"/>
          <w:b/>
          <w:bCs/>
          <w:sz w:val="24"/>
          <w:szCs w:val="24"/>
        </w:rPr>
      </w:pPr>
      <w:r w:rsidRPr="0036327D">
        <w:rPr>
          <w:rFonts w:ascii="Times New Roman" w:hAnsi="Times New Roman"/>
          <w:b/>
          <w:bCs/>
          <w:sz w:val="24"/>
          <w:szCs w:val="24"/>
        </w:rPr>
        <w:t xml:space="preserve">Legal Lessons Learned: Firefighters represented by a union are bound to the terms of the CBA, including minimum age until eligible to retire. </w:t>
      </w:r>
    </w:p>
    <w:p w14:paraId="0F63D48B" w14:textId="1E210D97" w:rsidR="005F7D6B" w:rsidRPr="0036327D" w:rsidRDefault="005F7D6B" w:rsidP="00EF1133">
      <w:pPr>
        <w:rPr>
          <w:rFonts w:ascii="Times New Roman" w:hAnsi="Times New Roman"/>
          <w:bCs/>
          <w:sz w:val="24"/>
          <w:szCs w:val="24"/>
        </w:rPr>
      </w:pPr>
    </w:p>
    <w:p w14:paraId="77177B4A" w14:textId="77777777" w:rsidR="005F7D6B" w:rsidRDefault="005F7D6B" w:rsidP="00EF1133">
      <w:pPr>
        <w:rPr>
          <w:rFonts w:ascii="Arial Black" w:hAnsi="Arial Black"/>
          <w:b/>
          <w:sz w:val="24"/>
          <w:szCs w:val="24"/>
        </w:rPr>
      </w:pPr>
    </w:p>
    <w:p w14:paraId="6D7592A8" w14:textId="797818FF" w:rsidR="00527EDF" w:rsidRDefault="00EF1133" w:rsidP="00EF1133">
      <w:pPr>
        <w:rPr>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6</w:t>
      </w:r>
    </w:p>
    <w:p w14:paraId="73DFE9A9" w14:textId="71E0331B" w:rsidR="00F326E5" w:rsidRDefault="00F326E5" w:rsidP="00F326E5">
      <w:pPr>
        <w:pStyle w:val="NoSpacing"/>
        <w:rPr>
          <w:rFonts w:ascii="Arial Black" w:hAnsi="Arial Black"/>
          <w:sz w:val="28"/>
          <w:szCs w:val="28"/>
        </w:rPr>
      </w:pPr>
      <w:r w:rsidRPr="009120E5">
        <w:rPr>
          <w:rFonts w:ascii="Arial Black" w:hAnsi="Arial Black"/>
          <w:sz w:val="28"/>
          <w:szCs w:val="28"/>
        </w:rPr>
        <w:t>MI</w:t>
      </w:r>
      <w:r>
        <w:rPr>
          <w:rFonts w:ascii="Arial Black" w:hAnsi="Arial Black"/>
          <w:sz w:val="28"/>
          <w:szCs w:val="28"/>
        </w:rPr>
        <w:t>:  FIRE CHIEF RESIGNED, TOWNSHIP ISSUED PRESS RELEASE - NOT DEFAMATION OR “FALSE LIGHT”</w:t>
      </w:r>
    </w:p>
    <w:p w14:paraId="7C49A7E3"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Feb. 26, 2019, in </w:t>
      </w:r>
      <w:r w:rsidRPr="009F1927">
        <w:rPr>
          <w:rStyle w:val="highlight"/>
          <w:rFonts w:ascii="Times New Roman" w:hAnsi="Times New Roman"/>
          <w:sz w:val="24"/>
          <w:szCs w:val="24"/>
          <w:u w:val="single"/>
        </w:rPr>
        <w:t>Richard</w:t>
      </w:r>
      <w:r w:rsidRPr="009F1927">
        <w:rPr>
          <w:rFonts w:ascii="Times New Roman" w:hAnsi="Times New Roman"/>
          <w:sz w:val="24"/>
          <w:szCs w:val="24"/>
          <w:u w:val="single"/>
        </w:rPr>
        <w:t xml:space="preserve"> </w:t>
      </w:r>
      <w:r w:rsidRPr="009F1927">
        <w:rPr>
          <w:rStyle w:val="highlight"/>
          <w:rFonts w:ascii="Times New Roman" w:hAnsi="Times New Roman"/>
          <w:sz w:val="24"/>
          <w:szCs w:val="24"/>
          <w:u w:val="single"/>
        </w:rPr>
        <w:t>Marinucci</w:t>
      </w:r>
      <w:r w:rsidRPr="009F1927">
        <w:rPr>
          <w:rFonts w:ascii="Times New Roman" w:hAnsi="Times New Roman"/>
          <w:sz w:val="24"/>
          <w:szCs w:val="24"/>
          <w:u w:val="single"/>
        </w:rPr>
        <w:t xml:space="preserve"> v. Charter Township of Northville, et al.</w:t>
      </w:r>
      <w:r w:rsidRPr="009F1927">
        <w:rPr>
          <w:rFonts w:ascii="Times New Roman" w:hAnsi="Times New Roman"/>
          <w:sz w:val="24"/>
          <w:szCs w:val="24"/>
        </w:rPr>
        <w:t xml:space="preserve">, State of Michigan Court of Appeals, held (3 to 0) in an unpublished decision, </w:t>
      </w:r>
    </w:p>
    <w:p w14:paraId="02658227" w14:textId="77777777" w:rsidR="009F1927" w:rsidRDefault="009F1927" w:rsidP="00F326E5">
      <w:pPr>
        <w:pStyle w:val="NoSpacing"/>
        <w:rPr>
          <w:rFonts w:ascii="Times New Roman" w:hAnsi="Times New Roman"/>
          <w:sz w:val="24"/>
          <w:szCs w:val="24"/>
        </w:rPr>
      </w:pPr>
    </w:p>
    <w:p w14:paraId="7013F55F" w14:textId="30BA9EA9" w:rsidR="00F326E5" w:rsidRPr="009F1927" w:rsidRDefault="00F326E5" w:rsidP="009F1927">
      <w:pPr>
        <w:pStyle w:val="NoSpacing"/>
        <w:ind w:left="720"/>
        <w:rPr>
          <w:rFonts w:ascii="Times New Roman" w:hAnsi="Times New Roman"/>
          <w:sz w:val="24"/>
          <w:szCs w:val="24"/>
        </w:rPr>
      </w:pPr>
      <w:r w:rsidRPr="009F1927">
        <w:rPr>
          <w:rFonts w:ascii="Times New Roman" w:hAnsi="Times New Roman"/>
          <w:sz w:val="24"/>
          <w:szCs w:val="24"/>
        </w:rPr>
        <w:t xml:space="preserve">“Further, plaintiff offers no evidence to show that informing the public that he had resigned was unreasonable or highly objectionable. Although plaintiff contends that the statements made to the media placed him in a false light, plaintiff does not explain how the statements negatively affected him.” </w:t>
      </w:r>
      <w:hyperlink r:id="rId1334" w:anchor="search=%22RICHARD%20A.%20MARINUCCI%22" w:history="1">
        <w:r w:rsidRPr="009F1927">
          <w:rPr>
            <w:rStyle w:val="Hyperlink"/>
            <w:rFonts w:ascii="Times New Roman" w:hAnsi="Times New Roman"/>
            <w:sz w:val="24"/>
            <w:szCs w:val="24"/>
          </w:rPr>
          <w:t>http://publicdocs.courts.mi.gov/opinions/final/coa/20190226_c340579_35_340579.opn.pdf#search=%22RICHARD%20A.%20MARINUCCI%22</w:t>
        </w:r>
      </w:hyperlink>
    </w:p>
    <w:p w14:paraId="045623EB" w14:textId="77777777" w:rsidR="009F1927" w:rsidRDefault="009F1927" w:rsidP="00F326E5">
      <w:pPr>
        <w:pStyle w:val="NoSpacing"/>
        <w:rPr>
          <w:rFonts w:ascii="Times New Roman" w:hAnsi="Times New Roman"/>
          <w:b/>
          <w:sz w:val="24"/>
          <w:szCs w:val="24"/>
        </w:rPr>
      </w:pPr>
    </w:p>
    <w:p w14:paraId="48B93CD1" w14:textId="0B3ED3F5"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Lessons Learned:  When a Fire Chief resigns, the employer may report this fact to the press.  Avoid financial situations where there may be an “appearance of impropriety.”</w:t>
      </w:r>
    </w:p>
    <w:p w14:paraId="4A1ED720" w14:textId="77777777" w:rsidR="00C17A9D" w:rsidRDefault="00C17A9D" w:rsidP="00F326E5">
      <w:pPr>
        <w:rPr>
          <w:bCs/>
          <w:sz w:val="24"/>
          <w:szCs w:val="24"/>
        </w:rPr>
      </w:pPr>
    </w:p>
    <w:bookmarkEnd w:id="250"/>
    <w:p w14:paraId="251505BE" w14:textId="77ACA488" w:rsidR="00F326E5" w:rsidRDefault="00F326E5" w:rsidP="00F326E5">
      <w:pPr>
        <w:pStyle w:val="NoSpacing"/>
        <w:rPr>
          <w:b/>
          <w:sz w:val="24"/>
          <w:szCs w:val="24"/>
        </w:rPr>
      </w:pPr>
    </w:p>
    <w:p w14:paraId="3530F2DE" w14:textId="52DC2559" w:rsidR="009F1927" w:rsidRDefault="009F1927" w:rsidP="00F326E5">
      <w:pPr>
        <w:pStyle w:val="NoSpacing"/>
        <w:rPr>
          <w:b/>
          <w:sz w:val="24"/>
          <w:szCs w:val="24"/>
        </w:rPr>
      </w:pPr>
    </w:p>
    <w:p w14:paraId="6291A165" w14:textId="77777777" w:rsidR="009F1927" w:rsidRDefault="009F1927" w:rsidP="00F326E5">
      <w:pPr>
        <w:pStyle w:val="NoSpacing"/>
        <w:rPr>
          <w:b/>
          <w:sz w:val="24"/>
          <w:szCs w:val="24"/>
        </w:rPr>
      </w:pPr>
    </w:p>
    <w:p w14:paraId="0B9D5D54" w14:textId="3F0AC817" w:rsidR="00EF1133" w:rsidRDefault="00EF1133" w:rsidP="00EF1133">
      <w:pPr>
        <w:rPr>
          <w:rFonts w:ascii="Arial Black" w:hAnsi="Arial Black"/>
          <w:bCs/>
          <w:sz w:val="28"/>
          <w:szCs w:val="28"/>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5</w:t>
      </w:r>
      <w:bookmarkStart w:id="257" w:name="_Hlk7343098"/>
    </w:p>
    <w:p w14:paraId="758689DF" w14:textId="5ECD78BA" w:rsidR="00F326E5" w:rsidRDefault="00F326E5" w:rsidP="00F326E5">
      <w:pPr>
        <w:pStyle w:val="NoSpacing"/>
        <w:rPr>
          <w:rFonts w:ascii="Arial Black" w:hAnsi="Arial Black"/>
          <w:b/>
          <w:bCs/>
          <w:sz w:val="28"/>
          <w:szCs w:val="28"/>
        </w:rPr>
      </w:pPr>
      <w:r w:rsidRPr="00B555E0">
        <w:rPr>
          <w:rFonts w:ascii="Arial Black" w:hAnsi="Arial Black"/>
          <w:bCs/>
          <w:sz w:val="28"/>
          <w:szCs w:val="28"/>
        </w:rPr>
        <w:t>KS: WORKERS COMP –</w:t>
      </w:r>
      <w:r>
        <w:rPr>
          <w:rFonts w:ascii="Arial Black" w:hAnsi="Arial Black"/>
          <w:bCs/>
          <w:sz w:val="28"/>
          <w:szCs w:val="28"/>
        </w:rPr>
        <w:t xml:space="preserve"> 2008 &amp; 2010 BACK INJURIES –COVERED SINCE FILED CLAIM 2 YEARS OF LAST PAYMENT </w:t>
      </w:r>
    </w:p>
    <w:p w14:paraId="13719D2B" w14:textId="77777777" w:rsidR="009F1927" w:rsidRDefault="009F1927" w:rsidP="00F326E5">
      <w:pPr>
        <w:pStyle w:val="NoSpacing"/>
        <w:rPr>
          <w:rFonts w:ascii="Times New Roman" w:hAnsi="Times New Roman"/>
          <w:sz w:val="24"/>
          <w:szCs w:val="24"/>
        </w:rPr>
      </w:pPr>
    </w:p>
    <w:p w14:paraId="0FF6AE63"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Feb. 8, 2019, in </w:t>
      </w:r>
      <w:r w:rsidRPr="009F1927">
        <w:rPr>
          <w:rFonts w:ascii="Times New Roman" w:hAnsi="Times New Roman"/>
          <w:sz w:val="24"/>
          <w:szCs w:val="24"/>
          <w:u w:val="single"/>
        </w:rPr>
        <w:t>Paul H. Schneider v. City of Lawrence</w:t>
      </w:r>
      <w:r w:rsidRPr="009F1927">
        <w:rPr>
          <w:rFonts w:ascii="Times New Roman" w:hAnsi="Times New Roman"/>
          <w:sz w:val="24"/>
          <w:szCs w:val="24"/>
        </w:rPr>
        <w:t xml:space="preserve">, the Court of Appeals of State of Kansas (3 to 0), overturned the Workers Compensation Board, and granted the firefighter’s claim for coverage of two on-duty back injuries (2008; 2010). Kansas statute requires workers comp request for a hearing be filed within 3 years of the injury, or “within two years of the date of the last payment of compensation.” The Court held, </w:t>
      </w:r>
    </w:p>
    <w:p w14:paraId="05792E21" w14:textId="77777777" w:rsidR="009F1927" w:rsidRDefault="009F1927" w:rsidP="00F326E5">
      <w:pPr>
        <w:pStyle w:val="NoSpacing"/>
        <w:rPr>
          <w:rFonts w:ascii="Times New Roman" w:hAnsi="Times New Roman"/>
          <w:sz w:val="24"/>
          <w:szCs w:val="24"/>
        </w:rPr>
      </w:pPr>
    </w:p>
    <w:p w14:paraId="45642FEA" w14:textId="058CCBF5" w:rsidR="00F326E5" w:rsidRPr="009F1927" w:rsidRDefault="00F326E5" w:rsidP="009F1927">
      <w:pPr>
        <w:pStyle w:val="NoSpacing"/>
        <w:ind w:left="720"/>
        <w:rPr>
          <w:rFonts w:ascii="Times New Roman" w:hAnsi="Times New Roman"/>
          <w:sz w:val="24"/>
          <w:szCs w:val="24"/>
        </w:rPr>
      </w:pPr>
      <w:r w:rsidRPr="009F1927">
        <w:rPr>
          <w:rFonts w:ascii="Times New Roman" w:hAnsi="Times New Roman"/>
          <w:sz w:val="24"/>
          <w:szCs w:val="24"/>
        </w:rPr>
        <w:t xml:space="preserve">“Here, because Schneider received compensation from the City in December 2015 and in January 2016 and because he filed his applications for hearings in January 2016, his applications under the revived two-year statute of limitations were timely.” </w:t>
      </w:r>
      <w:hyperlink r:id="rId1335" w:history="1">
        <w:r w:rsidRPr="009F1927">
          <w:rPr>
            <w:rStyle w:val="Hyperlink"/>
            <w:rFonts w:ascii="Times New Roman" w:hAnsi="Times New Roman"/>
            <w:sz w:val="24"/>
            <w:szCs w:val="24"/>
          </w:rPr>
          <w:t>https://www.courtlistener.com/pdf/2019/02/08/schneider_v._city_of_lawrence.pdf</w:t>
        </w:r>
      </w:hyperlink>
      <w:r w:rsidRPr="009F1927">
        <w:rPr>
          <w:rFonts w:ascii="Times New Roman" w:hAnsi="Times New Roman"/>
          <w:sz w:val="24"/>
          <w:szCs w:val="24"/>
        </w:rPr>
        <w:t xml:space="preserve"> </w:t>
      </w:r>
    </w:p>
    <w:p w14:paraId="246892AC" w14:textId="77777777" w:rsidR="009F1927" w:rsidRDefault="009F1927" w:rsidP="00F326E5">
      <w:pPr>
        <w:pStyle w:val="NoSpacing"/>
        <w:rPr>
          <w:rFonts w:ascii="Times New Roman" w:hAnsi="Times New Roman"/>
          <w:b/>
          <w:sz w:val="24"/>
          <w:szCs w:val="24"/>
        </w:rPr>
      </w:pPr>
    </w:p>
    <w:p w14:paraId="2F8F003F" w14:textId="14EB5D5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 Learned:  Workers comp statutes of limitation are designed to require prompt disclosure of workplace injuries.  The City may decide to appeal this decision to the Kansas Supreme Court.</w:t>
      </w:r>
    </w:p>
    <w:p w14:paraId="29374DC1" w14:textId="77777777" w:rsidR="00F326E5" w:rsidRPr="00BB2214" w:rsidRDefault="00F326E5" w:rsidP="00F326E5">
      <w:pPr>
        <w:pStyle w:val="NoSpacing"/>
        <w:rPr>
          <w:b/>
          <w:sz w:val="24"/>
          <w:szCs w:val="24"/>
        </w:rPr>
      </w:pPr>
    </w:p>
    <w:p w14:paraId="49AEBF54" w14:textId="77777777" w:rsidR="00F326E5" w:rsidRPr="009F1927" w:rsidRDefault="00F326E5" w:rsidP="00F326E5">
      <w:pPr>
        <w:pStyle w:val="NoSpacing"/>
        <w:ind w:left="720"/>
        <w:rPr>
          <w:rFonts w:ascii="Times New Roman" w:hAnsi="Times New Roman"/>
          <w:sz w:val="24"/>
          <w:szCs w:val="24"/>
        </w:rPr>
      </w:pPr>
      <w:r w:rsidRPr="009F1927">
        <w:rPr>
          <w:rFonts w:ascii="Times New Roman" w:hAnsi="Times New Roman"/>
          <w:sz w:val="24"/>
          <w:szCs w:val="24"/>
        </w:rPr>
        <w:t xml:space="preserve">Note:  See Aug. 4, </w:t>
      </w:r>
      <w:proofErr w:type="gramStart"/>
      <w:r w:rsidRPr="009F1927">
        <w:rPr>
          <w:rFonts w:ascii="Times New Roman" w:hAnsi="Times New Roman"/>
          <w:sz w:val="24"/>
          <w:szCs w:val="24"/>
        </w:rPr>
        <w:t>2017</w:t>
      </w:r>
      <w:proofErr w:type="gramEnd"/>
      <w:r w:rsidRPr="009F1927">
        <w:rPr>
          <w:rFonts w:ascii="Times New Roman" w:hAnsi="Times New Roman"/>
          <w:sz w:val="24"/>
          <w:szCs w:val="24"/>
        </w:rPr>
        <w:t xml:space="preserve"> article: “Ohio General Assembly Alters Statute of Limitation for Workers' Compensation Claims”</w:t>
      </w:r>
    </w:p>
    <w:p w14:paraId="4FEEC7AA" w14:textId="77777777" w:rsidR="00F326E5" w:rsidRPr="009F1927" w:rsidRDefault="00F326E5" w:rsidP="00F326E5">
      <w:pPr>
        <w:ind w:left="720"/>
        <w:rPr>
          <w:rFonts w:ascii="Times New Roman" w:hAnsi="Times New Roman"/>
          <w:sz w:val="24"/>
          <w:szCs w:val="24"/>
        </w:rPr>
      </w:pPr>
      <w:hyperlink r:id="rId1336" w:history="1">
        <w:r w:rsidRPr="009F1927">
          <w:rPr>
            <w:rStyle w:val="Hyperlink"/>
            <w:rFonts w:ascii="Times New Roman" w:hAnsi="Times New Roman"/>
            <w:sz w:val="24"/>
            <w:szCs w:val="24"/>
          </w:rPr>
          <w:t>http://www.kwgd.com/ohio-general-assembly-alters-statute-of-limitation-for-workers-compensation-claims</w:t>
        </w:r>
      </w:hyperlink>
      <w:r w:rsidRPr="009F1927">
        <w:rPr>
          <w:rStyle w:val="access"/>
          <w:rFonts w:ascii="Times New Roman" w:hAnsi="Times New Roman"/>
          <w:sz w:val="24"/>
          <w:szCs w:val="24"/>
        </w:rPr>
        <w:t xml:space="preserve"> </w:t>
      </w:r>
      <w:r w:rsidRPr="009F1927">
        <w:rPr>
          <w:rFonts w:ascii="Times New Roman" w:hAnsi="Times New Roman"/>
          <w:sz w:val="24"/>
          <w:szCs w:val="24"/>
        </w:rPr>
        <w:t xml:space="preserve"> </w:t>
      </w:r>
    </w:p>
    <w:p w14:paraId="166EAFE8" w14:textId="77777777" w:rsidR="00F326E5" w:rsidRPr="009F2867" w:rsidRDefault="00F326E5" w:rsidP="00F326E5">
      <w:pPr>
        <w:pStyle w:val="NormalWeb"/>
        <w:ind w:left="720"/>
      </w:pPr>
      <w:r w:rsidRPr="009F2867">
        <w:t xml:space="preserve">“As part of the biennial budget process the Ohio General Assembly passed House Bill 27 to create the workers compensation budget for 2018-2019. In addition to establishing the budget the bill also amended sections of the Ohio Revised Code that </w:t>
      </w:r>
      <w:proofErr w:type="gramStart"/>
      <w:r w:rsidRPr="009F2867">
        <w:t>relate</w:t>
      </w:r>
      <w:proofErr w:type="gramEnd"/>
      <w:r w:rsidRPr="009F2867">
        <w:t xml:space="preserve"> to workers compensation law. Mainly among the changes, the bill shortens the statute of limitations for an employee to file a workers compensation claim against Ohio Employers.</w:t>
      </w:r>
      <w:r w:rsidRPr="009F2867">
        <w:br/>
      </w:r>
      <w:r w:rsidRPr="009F2867">
        <w:br/>
        <w:t xml:space="preserve">Current law requires an employee to bring a workers’ compensation claim within two years from the date of injury or death.  Effective September 29, 2017, all workers compensation claims must be filed within one year from the date of injury or death. After that date, if new claims are not brought within the </w:t>
      </w:r>
      <w:proofErr w:type="gramStart"/>
      <w:r w:rsidRPr="009F2867">
        <w:t>one year</w:t>
      </w:r>
      <w:proofErr w:type="gramEnd"/>
      <w:r w:rsidRPr="009F2867">
        <w:t xml:space="preserve"> limitation the claim will be forever barred and there can be no recovery.  All claims with a date of injury after September 29, </w:t>
      </w:r>
      <w:proofErr w:type="gramStart"/>
      <w:r w:rsidRPr="009F2867">
        <w:t>2017</w:t>
      </w:r>
      <w:proofErr w:type="gramEnd"/>
      <w:r w:rsidRPr="009F2867">
        <w:t xml:space="preserve"> are subject to the new limitation.  The amendment attempts to strike a balance between allowing a sufficient time for a claim to be brought while not prejudicing employers by allowing claims to be filed long after any contemporaneous evidence has since vanished.”  </w:t>
      </w:r>
    </w:p>
    <w:bookmarkEnd w:id="257"/>
    <w:p w14:paraId="10353B6E" w14:textId="77777777" w:rsidR="00F326E5" w:rsidRDefault="00F326E5" w:rsidP="00F326E5">
      <w:pPr>
        <w:rPr>
          <w:sz w:val="24"/>
          <w:szCs w:val="24"/>
        </w:rPr>
      </w:pPr>
    </w:p>
    <w:p w14:paraId="1D407CE4" w14:textId="2EED406E" w:rsidR="00EF1133" w:rsidRDefault="00EF1133" w:rsidP="00F326E5">
      <w:pPr>
        <w:rPr>
          <w:rFonts w:ascii="Arial Black" w:hAnsi="Arial Black"/>
          <w:sz w:val="28"/>
          <w:szCs w:val="28"/>
        </w:rPr>
      </w:pPr>
      <w:bookmarkStart w:id="258" w:name="_Hlk7343175"/>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4</w:t>
      </w:r>
    </w:p>
    <w:p w14:paraId="6535AEEB" w14:textId="360C9F1A" w:rsidR="00F326E5" w:rsidRDefault="00F326E5" w:rsidP="00F326E5">
      <w:pPr>
        <w:rPr>
          <w:rFonts w:ascii="Arial Black" w:hAnsi="Arial Black"/>
          <w:sz w:val="28"/>
          <w:szCs w:val="28"/>
        </w:rPr>
      </w:pPr>
      <w:r w:rsidRPr="00C34523">
        <w:rPr>
          <w:rFonts w:ascii="Arial Black" w:hAnsi="Arial Black"/>
          <w:sz w:val="28"/>
          <w:szCs w:val="28"/>
        </w:rPr>
        <w:t xml:space="preserve">OH: </w:t>
      </w:r>
      <w:r>
        <w:rPr>
          <w:rFonts w:ascii="Arial Black" w:hAnsi="Arial Black"/>
          <w:sz w:val="28"/>
          <w:szCs w:val="28"/>
        </w:rPr>
        <w:t xml:space="preserve">FIRE CHIEF’S AGE / ADA LAWSUIT DISMISSED – DIDN’T FILE WITH EEOC – </w:t>
      </w:r>
      <w:r w:rsidR="005353F2">
        <w:rPr>
          <w:rFonts w:ascii="Arial Black" w:hAnsi="Arial Black"/>
          <w:sz w:val="28"/>
          <w:szCs w:val="28"/>
        </w:rPr>
        <w:t xml:space="preserve">MUST </w:t>
      </w:r>
      <w:r>
        <w:rPr>
          <w:rFonts w:ascii="Arial Black" w:hAnsi="Arial Black"/>
          <w:sz w:val="28"/>
          <w:szCs w:val="28"/>
        </w:rPr>
        <w:t>EXHAUST ADMIN</w:t>
      </w:r>
      <w:r w:rsidR="005353F2">
        <w:rPr>
          <w:rFonts w:ascii="Arial Black" w:hAnsi="Arial Black"/>
          <w:sz w:val="28"/>
          <w:szCs w:val="28"/>
        </w:rPr>
        <w:t xml:space="preserve">ISTRATIVE </w:t>
      </w:r>
      <w:r>
        <w:rPr>
          <w:rFonts w:ascii="Arial Black" w:hAnsi="Arial Black"/>
          <w:sz w:val="28"/>
          <w:szCs w:val="28"/>
        </w:rPr>
        <w:t>REMEDIES</w:t>
      </w:r>
    </w:p>
    <w:p w14:paraId="1E9F24DE" w14:textId="77777777" w:rsidR="009F1927" w:rsidRDefault="00F326E5" w:rsidP="00F326E5">
      <w:pPr>
        <w:rPr>
          <w:rFonts w:ascii="Times New Roman" w:hAnsi="Times New Roman"/>
          <w:bCs/>
          <w:sz w:val="24"/>
          <w:szCs w:val="24"/>
        </w:rPr>
      </w:pPr>
      <w:r w:rsidRPr="009F1927">
        <w:rPr>
          <w:rFonts w:ascii="Times New Roman" w:hAnsi="Times New Roman"/>
          <w:bCs/>
          <w:sz w:val="24"/>
          <w:szCs w:val="24"/>
        </w:rPr>
        <w:t xml:space="preserve">On Dec. 6, 2018, in </w:t>
      </w:r>
      <w:bookmarkStart w:id="259" w:name="_Hlk7178252"/>
      <w:r w:rsidRPr="009F1927">
        <w:rPr>
          <w:rFonts w:ascii="Times New Roman" w:hAnsi="Times New Roman"/>
          <w:bCs/>
          <w:sz w:val="24"/>
          <w:szCs w:val="24"/>
          <w:u w:val="single"/>
        </w:rPr>
        <w:t>Jay W. Keller v. City of Bucyrus</w:t>
      </w:r>
      <w:r w:rsidRPr="009F1927">
        <w:rPr>
          <w:rFonts w:ascii="Times New Roman" w:hAnsi="Times New Roman"/>
          <w:bCs/>
          <w:sz w:val="24"/>
          <w:szCs w:val="24"/>
        </w:rPr>
        <w:t>,</w:t>
      </w:r>
      <w:bookmarkEnd w:id="259"/>
      <w:r w:rsidRPr="009F1927">
        <w:rPr>
          <w:rFonts w:ascii="Times New Roman" w:hAnsi="Times New Roman"/>
          <w:bCs/>
          <w:sz w:val="24"/>
          <w:szCs w:val="24"/>
        </w:rPr>
        <w:t xml:space="preserve"> U.S. District Court Judge James S. Gwin, granted the City’s motion to dismiss. </w:t>
      </w:r>
    </w:p>
    <w:p w14:paraId="578463E8" w14:textId="5A560A06"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t xml:space="preserve">“Plaintiff Keller claims that Defendants discriminated against him because of his age and his disability in violation of federal law by requiring him to complete a physical examination. However, Plaintiff needed to file his age and disability discrimination claims with the Equal Employment Opportunity </w:t>
      </w:r>
      <w:proofErr w:type="gramStart"/>
      <w:r w:rsidRPr="009F1927">
        <w:rPr>
          <w:rFonts w:ascii="Times New Roman" w:hAnsi="Times New Roman"/>
          <w:sz w:val="24"/>
          <w:szCs w:val="24"/>
        </w:rPr>
        <w:t>Commission (‘</w:t>
      </w:r>
      <w:proofErr w:type="gramEnd"/>
      <w:r w:rsidRPr="009F1927">
        <w:rPr>
          <w:rFonts w:ascii="Times New Roman" w:hAnsi="Times New Roman"/>
          <w:sz w:val="24"/>
          <w:szCs w:val="24"/>
        </w:rPr>
        <w:t xml:space="preserve">EEOC’) before bringing this lawsuit. Because Plaintiff has not exhausted his administrative remedies, the Court dismisses his federal discrimination claims without prejudice.”  </w:t>
      </w:r>
      <w:hyperlink r:id="rId1337" w:history="1">
        <w:r w:rsidRPr="009F1927">
          <w:rPr>
            <w:rStyle w:val="Hyperlink"/>
            <w:rFonts w:ascii="Times New Roman" w:hAnsi="Times New Roman"/>
            <w:sz w:val="24"/>
            <w:szCs w:val="24"/>
          </w:rPr>
          <w:t>https://cases.justia.com/federal/district-courts/ohio/ohndce/1:2018cv02242/247535/15/0.pdf?ts=1544190248</w:t>
        </w:r>
      </w:hyperlink>
      <w:r w:rsidRPr="009F1927">
        <w:rPr>
          <w:rFonts w:ascii="Times New Roman" w:hAnsi="Times New Roman"/>
          <w:sz w:val="24"/>
          <w:szCs w:val="24"/>
        </w:rPr>
        <w:t xml:space="preserve"> </w:t>
      </w:r>
    </w:p>
    <w:p w14:paraId="0CF9A2C3" w14:textId="7777777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Lessons Learned: (1) FDs should have written policy regarding when personnel on leave will be required to pass medical or physical fitness for duty testing, and any retraining of job skills; and (2) must timely file EEOC charge to pursue federal ADA case.</w:t>
      </w:r>
    </w:p>
    <w:p w14:paraId="66841D0F" w14:textId="77777777" w:rsid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 </w:t>
      </w:r>
      <w:r w:rsidRPr="009F1927">
        <w:rPr>
          <w:rFonts w:ascii="Times New Roman" w:hAnsi="Times New Roman"/>
          <w:b/>
          <w:sz w:val="24"/>
          <w:szCs w:val="24"/>
        </w:rPr>
        <w:tab/>
      </w:r>
    </w:p>
    <w:p w14:paraId="0C12CD51" w14:textId="31CB7CEB" w:rsidR="00F326E5" w:rsidRPr="009F1927" w:rsidRDefault="00F326E5" w:rsidP="009F1927">
      <w:pPr>
        <w:pStyle w:val="NoSpacing"/>
        <w:ind w:firstLine="720"/>
        <w:rPr>
          <w:rFonts w:ascii="Times New Roman" w:hAnsi="Times New Roman"/>
          <w:sz w:val="24"/>
          <w:szCs w:val="24"/>
        </w:rPr>
      </w:pPr>
      <w:r w:rsidRPr="009F1927">
        <w:rPr>
          <w:rFonts w:ascii="Times New Roman" w:hAnsi="Times New Roman"/>
          <w:sz w:val="24"/>
          <w:szCs w:val="24"/>
        </w:rPr>
        <w:t xml:space="preserve">See U.S. Department of Justice web: </w:t>
      </w:r>
    </w:p>
    <w:p w14:paraId="485B621C" w14:textId="77777777" w:rsidR="00F326E5" w:rsidRPr="009F1927" w:rsidRDefault="00F326E5" w:rsidP="00F326E5">
      <w:pPr>
        <w:pStyle w:val="NoSpacing"/>
        <w:ind w:firstLine="720"/>
        <w:rPr>
          <w:rFonts w:ascii="Times New Roman" w:eastAsia="Times New Roman" w:hAnsi="Times New Roman"/>
          <w:sz w:val="24"/>
          <w:szCs w:val="24"/>
        </w:rPr>
      </w:pPr>
      <w:r w:rsidRPr="009F1927">
        <w:rPr>
          <w:rFonts w:ascii="Times New Roman" w:hAnsi="Times New Roman"/>
          <w:sz w:val="24"/>
          <w:szCs w:val="24"/>
        </w:rPr>
        <w:t xml:space="preserve">“Filing a Complaint with the Equal Employment Opportunity Commission.  </w:t>
      </w:r>
    </w:p>
    <w:p w14:paraId="74CFA329" w14:textId="77777777" w:rsidR="00F326E5" w:rsidRPr="009F1927" w:rsidRDefault="00F326E5" w:rsidP="00F326E5">
      <w:pPr>
        <w:pStyle w:val="NoSpacing"/>
        <w:ind w:left="720"/>
        <w:rPr>
          <w:rFonts w:ascii="Times New Roman" w:eastAsia="Times New Roman" w:hAnsi="Times New Roman"/>
          <w:sz w:val="24"/>
          <w:szCs w:val="24"/>
        </w:rPr>
      </w:pPr>
      <w:r w:rsidRPr="009F1927">
        <w:rPr>
          <w:rFonts w:ascii="Times New Roman" w:eastAsia="Times New Roman" w:hAnsi="Times New Roman"/>
          <w:sz w:val="24"/>
          <w:szCs w:val="24"/>
        </w:rPr>
        <w:t xml:space="preserve">If you think you have been discriminated against in employment </w:t>
      </w:r>
      <w:proofErr w:type="gramStart"/>
      <w:r w:rsidRPr="009F1927">
        <w:rPr>
          <w:rFonts w:ascii="Times New Roman" w:eastAsia="Times New Roman" w:hAnsi="Times New Roman"/>
          <w:sz w:val="24"/>
          <w:szCs w:val="24"/>
        </w:rPr>
        <w:t>on the basis of</w:t>
      </w:r>
      <w:proofErr w:type="gramEnd"/>
      <w:r w:rsidRPr="009F1927">
        <w:rPr>
          <w:rFonts w:ascii="Times New Roman" w:eastAsia="Times New Roman" w:hAnsi="Times New Roman"/>
          <w:sz w:val="24"/>
          <w:szCs w:val="24"/>
        </w:rPr>
        <w:t xml:space="preserve"> disability, you should contact the </w:t>
      </w:r>
      <w:hyperlink r:id="rId1338" w:history="1">
        <w:r w:rsidRPr="009F1927">
          <w:rPr>
            <w:rFonts w:ascii="Times New Roman" w:eastAsia="Times New Roman" w:hAnsi="Times New Roman"/>
            <w:bCs/>
            <w:color w:val="0000FF"/>
            <w:sz w:val="24"/>
            <w:szCs w:val="24"/>
            <w:u w:val="single"/>
          </w:rPr>
          <w:t>U.S. Equal Employment Opportunity Commission</w:t>
        </w:r>
      </w:hyperlink>
      <w:r w:rsidRPr="009F1927">
        <w:rPr>
          <w:rFonts w:ascii="Times New Roman" w:eastAsia="Times New Roman" w:hAnsi="Times New Roman"/>
          <w:sz w:val="24"/>
          <w:szCs w:val="24"/>
        </w:rPr>
        <w:t xml:space="preserve"> (EEOC).  A charge of discrimination generally must be filed within 180 days of the alleged discrimination. You may have up to 300 days to file a charge if there is a State or local law that provides relief for discrimination </w:t>
      </w:r>
      <w:proofErr w:type="gramStart"/>
      <w:r w:rsidRPr="009F1927">
        <w:rPr>
          <w:rFonts w:ascii="Times New Roman" w:eastAsia="Times New Roman" w:hAnsi="Times New Roman"/>
          <w:sz w:val="24"/>
          <w:szCs w:val="24"/>
        </w:rPr>
        <w:t>on the basis of</w:t>
      </w:r>
      <w:proofErr w:type="gramEnd"/>
      <w:r w:rsidRPr="009F1927">
        <w:rPr>
          <w:rFonts w:ascii="Times New Roman" w:eastAsia="Times New Roman" w:hAnsi="Times New Roman"/>
          <w:sz w:val="24"/>
          <w:szCs w:val="24"/>
        </w:rPr>
        <w:t xml:space="preserve"> disability.  However, to protect your rights, it is best to </w:t>
      </w:r>
      <w:hyperlink r:id="rId1339" w:history="1">
        <w:r w:rsidRPr="009F1927">
          <w:rPr>
            <w:rFonts w:ascii="Times New Roman" w:eastAsia="Times New Roman" w:hAnsi="Times New Roman"/>
            <w:bCs/>
            <w:color w:val="0000FF"/>
            <w:sz w:val="24"/>
            <w:szCs w:val="24"/>
            <w:u w:val="single"/>
          </w:rPr>
          <w:t>contact the EEOC</w:t>
        </w:r>
      </w:hyperlink>
      <w:r w:rsidRPr="009F1927">
        <w:rPr>
          <w:rFonts w:ascii="Times New Roman" w:eastAsia="Times New Roman" w:hAnsi="Times New Roman"/>
          <w:sz w:val="24"/>
          <w:szCs w:val="24"/>
        </w:rPr>
        <w:t xml:space="preserve"> promptly if discrimination is suspected. After your complaint is filed with the EEOC, the EEOC investigates the charge.  If the EEOC determines that there is reasonable cause to believe that the charge is true, the EEOC attempts to conciliate or settle the charge.  If conciliation is unsuccessful, the EEOC refers charges against state and local government </w:t>
      </w:r>
      <w:proofErr w:type="gramStart"/>
      <w:r w:rsidRPr="009F1927">
        <w:rPr>
          <w:rFonts w:ascii="Times New Roman" w:eastAsia="Times New Roman" w:hAnsi="Times New Roman"/>
          <w:sz w:val="24"/>
          <w:szCs w:val="24"/>
        </w:rPr>
        <w:t>employers</w:t>
      </w:r>
      <w:proofErr w:type="gramEnd"/>
      <w:r w:rsidRPr="009F1927">
        <w:rPr>
          <w:rFonts w:ascii="Times New Roman" w:eastAsia="Times New Roman" w:hAnsi="Times New Roman"/>
          <w:sz w:val="24"/>
          <w:szCs w:val="24"/>
        </w:rPr>
        <w:t xml:space="preserve"> to the Department of Justice.  The Department of Justice </w:t>
      </w:r>
      <w:proofErr w:type="gramStart"/>
      <w:r w:rsidRPr="009F1927">
        <w:rPr>
          <w:rFonts w:ascii="Times New Roman" w:eastAsia="Times New Roman" w:hAnsi="Times New Roman"/>
          <w:sz w:val="24"/>
          <w:szCs w:val="24"/>
        </w:rPr>
        <w:t>makes a determination</w:t>
      </w:r>
      <w:proofErr w:type="gramEnd"/>
      <w:r w:rsidRPr="009F1927">
        <w:rPr>
          <w:rFonts w:ascii="Times New Roman" w:eastAsia="Times New Roman" w:hAnsi="Times New Roman"/>
          <w:sz w:val="24"/>
          <w:szCs w:val="24"/>
        </w:rPr>
        <w:t xml:space="preserve"> whether to bring a lawsuit based on the charge.  If it decides not to bring a lawsuit, the Department </w:t>
      </w:r>
      <w:proofErr w:type="gramStart"/>
      <w:r w:rsidRPr="009F1927">
        <w:rPr>
          <w:rFonts w:ascii="Times New Roman" w:eastAsia="Times New Roman" w:hAnsi="Times New Roman"/>
          <w:sz w:val="24"/>
          <w:szCs w:val="24"/>
        </w:rPr>
        <w:t>issues</w:t>
      </w:r>
      <w:proofErr w:type="gramEnd"/>
      <w:r w:rsidRPr="009F1927">
        <w:rPr>
          <w:rFonts w:ascii="Times New Roman" w:eastAsia="Times New Roman" w:hAnsi="Times New Roman"/>
          <w:sz w:val="24"/>
          <w:szCs w:val="24"/>
        </w:rPr>
        <w:t xml:space="preserve"> </w:t>
      </w:r>
      <w:proofErr w:type="gramStart"/>
      <w:r w:rsidRPr="009F1927">
        <w:rPr>
          <w:rFonts w:ascii="Times New Roman" w:eastAsia="Times New Roman" w:hAnsi="Times New Roman"/>
          <w:sz w:val="24"/>
          <w:szCs w:val="24"/>
        </w:rPr>
        <w:t>to the</w:t>
      </w:r>
      <w:proofErr w:type="gramEnd"/>
      <w:r w:rsidRPr="009F1927">
        <w:rPr>
          <w:rFonts w:ascii="Times New Roman" w:eastAsia="Times New Roman" w:hAnsi="Times New Roman"/>
          <w:sz w:val="24"/>
          <w:szCs w:val="24"/>
        </w:rPr>
        <w:t xml:space="preserve"> charging </w:t>
      </w:r>
      <w:proofErr w:type="gramStart"/>
      <w:r w:rsidRPr="009F1927">
        <w:rPr>
          <w:rFonts w:ascii="Times New Roman" w:eastAsia="Times New Roman" w:hAnsi="Times New Roman"/>
          <w:sz w:val="24"/>
          <w:szCs w:val="24"/>
        </w:rPr>
        <w:t>party</w:t>
      </w:r>
      <w:proofErr w:type="gramEnd"/>
      <w:r w:rsidRPr="009F1927">
        <w:rPr>
          <w:rFonts w:ascii="Times New Roman" w:eastAsia="Times New Roman" w:hAnsi="Times New Roman"/>
          <w:sz w:val="24"/>
          <w:szCs w:val="24"/>
        </w:rPr>
        <w:t xml:space="preserve"> </w:t>
      </w:r>
      <w:proofErr w:type="gramStart"/>
      <w:r w:rsidRPr="009F1927">
        <w:rPr>
          <w:rFonts w:ascii="Times New Roman" w:eastAsia="Times New Roman" w:hAnsi="Times New Roman"/>
          <w:sz w:val="24"/>
          <w:szCs w:val="24"/>
        </w:rPr>
        <w:t>a notice</w:t>
      </w:r>
      <w:proofErr w:type="gramEnd"/>
      <w:r w:rsidRPr="009F1927">
        <w:rPr>
          <w:rFonts w:ascii="Times New Roman" w:eastAsia="Times New Roman" w:hAnsi="Times New Roman"/>
          <w:sz w:val="24"/>
          <w:szCs w:val="24"/>
        </w:rPr>
        <w:t xml:space="preserve"> of right to sue.  Charges against private employers are retained by the EEOC for a determination of whether to bring a lawsuit based on the charge or issue a notice of right to sue.” </w:t>
      </w:r>
      <w:hyperlink r:id="rId1340" w:history="1">
        <w:r w:rsidRPr="009F1927">
          <w:rPr>
            <w:rStyle w:val="Hyperlink"/>
            <w:rFonts w:ascii="Times New Roman" w:hAnsi="Times New Roman"/>
            <w:sz w:val="24"/>
            <w:szCs w:val="24"/>
          </w:rPr>
          <w:t>https://www.ada.gov/filing_eeoc_complaint.htm</w:t>
        </w:r>
      </w:hyperlink>
      <w:r w:rsidRPr="009F1927">
        <w:rPr>
          <w:rFonts w:ascii="Times New Roman" w:eastAsia="Times New Roman" w:hAnsi="Times New Roman"/>
          <w:sz w:val="24"/>
          <w:szCs w:val="24"/>
        </w:rPr>
        <w:t xml:space="preserve"> </w:t>
      </w:r>
    </w:p>
    <w:bookmarkEnd w:id="258"/>
    <w:p w14:paraId="3D694FAE" w14:textId="77777777" w:rsidR="00FB71EA" w:rsidRPr="009F1927" w:rsidRDefault="00FB71EA" w:rsidP="00F326E5">
      <w:pPr>
        <w:rPr>
          <w:rFonts w:ascii="Times New Roman" w:hAnsi="Times New Roman"/>
          <w:sz w:val="24"/>
          <w:szCs w:val="24"/>
        </w:rPr>
      </w:pPr>
    </w:p>
    <w:p w14:paraId="67376462" w14:textId="77777777" w:rsidR="00F326E5" w:rsidRDefault="00F326E5" w:rsidP="00F326E5">
      <w:pPr>
        <w:pStyle w:val="NoSpacing"/>
        <w:rPr>
          <w:rStyle w:val="dfm-title"/>
          <w:sz w:val="24"/>
          <w:szCs w:val="24"/>
        </w:rPr>
      </w:pPr>
    </w:p>
    <w:p w14:paraId="5312E9F4" w14:textId="77777777" w:rsidR="00F326E5" w:rsidRDefault="00F326E5" w:rsidP="00F326E5">
      <w:pPr>
        <w:pStyle w:val="NoSpacing"/>
        <w:rPr>
          <w:rStyle w:val="dfm-title"/>
          <w:sz w:val="24"/>
          <w:szCs w:val="24"/>
        </w:rPr>
      </w:pPr>
    </w:p>
    <w:p w14:paraId="446BEABA" w14:textId="520572A9" w:rsidR="00EF1133" w:rsidRDefault="00EF1133" w:rsidP="00EF1133">
      <w:pPr>
        <w:rPr>
          <w:rStyle w:val="dfm-title"/>
          <w:rFonts w:ascii="Arial Black" w:hAnsi="Arial Black"/>
          <w:b/>
          <w:sz w:val="28"/>
          <w:szCs w:val="28"/>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3</w:t>
      </w:r>
      <w:bookmarkStart w:id="260" w:name="_Hlk7343200"/>
    </w:p>
    <w:p w14:paraId="595EEB56" w14:textId="57E69841" w:rsidR="00F326E5" w:rsidRPr="00CA3D6F" w:rsidRDefault="00F326E5" w:rsidP="00F326E5">
      <w:pPr>
        <w:pStyle w:val="NoSpacing"/>
        <w:rPr>
          <w:rStyle w:val="dfm-title"/>
          <w:b/>
          <w:sz w:val="24"/>
          <w:szCs w:val="24"/>
        </w:rPr>
      </w:pPr>
      <w:r w:rsidRPr="00732C84">
        <w:rPr>
          <w:rStyle w:val="dfm-title"/>
          <w:rFonts w:ascii="Arial Black" w:hAnsi="Arial Black"/>
          <w:b/>
          <w:sz w:val="28"/>
          <w:szCs w:val="28"/>
        </w:rPr>
        <w:t>PA: HOSPITAL EMPLOYEE RECORDS HACKED; EMPLOYEES MAY SUE HOSPITAL</w:t>
      </w:r>
      <w:r>
        <w:rPr>
          <w:rStyle w:val="dfm-title"/>
          <w:rFonts w:ascii="Arial Black" w:hAnsi="Arial Black"/>
          <w:b/>
          <w:sz w:val="24"/>
          <w:szCs w:val="24"/>
        </w:rPr>
        <w:t xml:space="preserve"> </w:t>
      </w:r>
      <w:r w:rsidRPr="00CA3D6F">
        <w:rPr>
          <w:rStyle w:val="dfm-title"/>
          <w:b/>
          <w:sz w:val="24"/>
          <w:szCs w:val="24"/>
        </w:rPr>
        <w:t>[also filed, Chap. 13]</w:t>
      </w:r>
    </w:p>
    <w:p w14:paraId="37C0205F" w14:textId="77777777" w:rsidR="009F1927" w:rsidRDefault="00F326E5" w:rsidP="00F326E5">
      <w:pPr>
        <w:rPr>
          <w:rFonts w:ascii="Times New Roman" w:eastAsia="Times New Roman" w:hAnsi="Times New Roman"/>
          <w:sz w:val="24"/>
          <w:szCs w:val="24"/>
        </w:rPr>
      </w:pPr>
      <w:r w:rsidRPr="009F1927">
        <w:rPr>
          <w:rFonts w:ascii="Times New Roman" w:hAnsi="Times New Roman"/>
          <w:sz w:val="24"/>
          <w:szCs w:val="24"/>
        </w:rPr>
        <w:t xml:space="preserve">On Nov. 21, 2018, in </w:t>
      </w:r>
      <w:r w:rsidRPr="009F1927">
        <w:rPr>
          <w:rFonts w:ascii="Times New Roman" w:hAnsi="Times New Roman"/>
          <w:sz w:val="24"/>
          <w:szCs w:val="24"/>
          <w:u w:val="single"/>
        </w:rPr>
        <w:t>Barbara A. Dittman, et al. v.</w:t>
      </w:r>
      <w:r w:rsidRPr="009F1927">
        <w:rPr>
          <w:rFonts w:ascii="Times New Roman" w:hAnsi="Times New Roman"/>
          <w:sz w:val="24"/>
          <w:szCs w:val="24"/>
        </w:rPr>
        <w:t xml:space="preserve"> </w:t>
      </w:r>
      <w:r w:rsidRPr="009F1927">
        <w:rPr>
          <w:rFonts w:ascii="Times New Roman" w:eastAsia="Times New Roman" w:hAnsi="Times New Roman"/>
          <w:sz w:val="24"/>
          <w:szCs w:val="24"/>
          <w:u w:val="single"/>
        </w:rPr>
        <w:t>UPMC d/b/a The University of Pittsburgh Medical Center, et al.</w:t>
      </w:r>
      <w:r w:rsidRPr="009F1927">
        <w:rPr>
          <w:rFonts w:ascii="Times New Roman" w:eastAsia="Times New Roman" w:hAnsi="Times New Roman"/>
          <w:sz w:val="24"/>
          <w:szCs w:val="24"/>
        </w:rPr>
        <w:t xml:space="preserve">, the PA Supreme Court ruled (4 to 3), the lawsuit was reinstated against the hospital. </w:t>
      </w:r>
    </w:p>
    <w:p w14:paraId="297728AC" w14:textId="0F187152" w:rsidR="00F326E5" w:rsidRPr="009F1927" w:rsidRDefault="00F326E5" w:rsidP="009F1927">
      <w:pPr>
        <w:ind w:left="720"/>
        <w:rPr>
          <w:rFonts w:ascii="Times New Roman" w:hAnsi="Times New Roman"/>
          <w:sz w:val="24"/>
          <w:szCs w:val="24"/>
        </w:rPr>
      </w:pPr>
      <w:r w:rsidRPr="009F1927">
        <w:rPr>
          <w:rFonts w:ascii="Times New Roman" w:eastAsia="Times New Roman" w:hAnsi="Times New Roman"/>
          <w:sz w:val="24"/>
          <w:szCs w:val="24"/>
        </w:rPr>
        <w:t>“We hold that an employer has a legal duty to exercise reasonable care to safeguard its employees’ sensitive personal information stored by the employer on an internet-</w:t>
      </w:r>
      <w:r w:rsidRPr="009F1927">
        <w:rPr>
          <w:rFonts w:ascii="Times New Roman" w:hAnsi="Times New Roman"/>
          <w:sz w:val="24"/>
          <w:szCs w:val="24"/>
        </w:rPr>
        <w:t xml:space="preserve">accessible computer system.” </w:t>
      </w:r>
      <w:bookmarkStart w:id="261" w:name="_Hlk39831698"/>
      <w:r w:rsidR="00374417">
        <w:fldChar w:fldCharType="begin"/>
      </w:r>
      <w:r w:rsidR="00374417">
        <w:instrText xml:space="preserve"> HYPERLINK "http://www.pacourts.us/assets/opinions/Supreme/out/Majority%20Opinion%20%20VacatedRemanded%20%2010378165044604409.pdf?cb=1" </w:instrText>
      </w:r>
      <w:r w:rsidR="00374417">
        <w:fldChar w:fldCharType="separate"/>
      </w:r>
      <w:r w:rsidRPr="009F1927">
        <w:rPr>
          <w:rStyle w:val="Hyperlink"/>
          <w:rFonts w:ascii="Times New Roman" w:hAnsi="Times New Roman"/>
          <w:sz w:val="24"/>
          <w:szCs w:val="24"/>
        </w:rPr>
        <w:t>http://www.pacourts.us/assets/opinions/Supreme/out/Majority%20Opinion%20%20VacatedRemanded%20%2010378165044604409.pdf?cb=1</w:t>
      </w:r>
      <w:r w:rsidR="00374417">
        <w:rPr>
          <w:rStyle w:val="Hyperlink"/>
          <w:rFonts w:ascii="Times New Roman" w:hAnsi="Times New Roman"/>
          <w:sz w:val="24"/>
          <w:szCs w:val="24"/>
        </w:rPr>
        <w:fldChar w:fldCharType="end"/>
      </w:r>
      <w:r w:rsidRPr="009F1927">
        <w:rPr>
          <w:rFonts w:ascii="Times New Roman" w:hAnsi="Times New Roman"/>
          <w:sz w:val="24"/>
          <w:szCs w:val="24"/>
        </w:rPr>
        <w:t xml:space="preserve"> </w:t>
      </w:r>
    </w:p>
    <w:bookmarkEnd w:id="261"/>
    <w:p w14:paraId="5B600D93" w14:textId="77777777" w:rsidR="00F326E5" w:rsidRPr="009F1927" w:rsidRDefault="00F326E5" w:rsidP="00F326E5">
      <w:pPr>
        <w:pStyle w:val="Heading1"/>
        <w:rPr>
          <w:b w:val="0"/>
          <w:sz w:val="24"/>
          <w:szCs w:val="24"/>
        </w:rPr>
      </w:pPr>
      <w:r w:rsidRPr="009F1927">
        <w:rPr>
          <w:sz w:val="24"/>
          <w:szCs w:val="24"/>
        </w:rPr>
        <w:t xml:space="preserve">Legal Lessons Learned:  This is an important decision that will now proceed to trial or settlement. Hopefully this decision will prompt employers in PA, and other states, including Fire &amp; EMS agencies, to review their electronic data safeguards with IT experts.  </w:t>
      </w:r>
    </w:p>
    <w:bookmarkEnd w:id="260"/>
    <w:p w14:paraId="676CE6FE" w14:textId="77777777" w:rsidR="00EF1133" w:rsidRDefault="00EF1133" w:rsidP="00EF1133">
      <w:pPr>
        <w:rPr>
          <w:rFonts w:ascii="Arial Black" w:hAnsi="Arial Black"/>
          <w:b/>
          <w:sz w:val="24"/>
          <w:szCs w:val="24"/>
        </w:rPr>
      </w:pPr>
    </w:p>
    <w:p w14:paraId="068610BE" w14:textId="1DB2978E"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2</w:t>
      </w:r>
    </w:p>
    <w:p w14:paraId="458C04D5" w14:textId="3E7F0DA6" w:rsidR="00F326E5" w:rsidRPr="00732C84" w:rsidRDefault="00F326E5" w:rsidP="00F326E5">
      <w:pPr>
        <w:pStyle w:val="NoSpacing"/>
        <w:rPr>
          <w:rStyle w:val="dfm-title"/>
          <w:rFonts w:ascii="Arial Black" w:hAnsi="Arial Black"/>
          <w:b/>
          <w:sz w:val="28"/>
          <w:szCs w:val="28"/>
        </w:rPr>
      </w:pPr>
      <w:bookmarkStart w:id="262" w:name="_Hlk7343236"/>
      <w:r>
        <w:rPr>
          <w:rStyle w:val="dfm-title"/>
          <w:rFonts w:ascii="Arial Black" w:hAnsi="Arial Black"/>
          <w:b/>
          <w:sz w:val="28"/>
          <w:szCs w:val="28"/>
        </w:rPr>
        <w:t xml:space="preserve">U.S. </w:t>
      </w:r>
      <w:r w:rsidRPr="00732C84">
        <w:rPr>
          <w:rStyle w:val="dfm-title"/>
          <w:rFonts w:ascii="Arial Black" w:hAnsi="Arial Black"/>
          <w:b/>
          <w:sz w:val="28"/>
          <w:szCs w:val="28"/>
        </w:rPr>
        <w:t>SUPREME COURT: AGE DISCRIMINATION ACT APPLIES PUBLIC AGENCIES</w:t>
      </w:r>
      <w:r>
        <w:rPr>
          <w:rStyle w:val="dfm-title"/>
          <w:rFonts w:ascii="Arial Black" w:hAnsi="Arial Black"/>
          <w:b/>
          <w:sz w:val="28"/>
          <w:szCs w:val="28"/>
        </w:rPr>
        <w:t xml:space="preserve"> – EVEN LESS 20 EMPLOYEES</w:t>
      </w:r>
    </w:p>
    <w:p w14:paraId="17BC8F00" w14:textId="77777777" w:rsid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t xml:space="preserve">On </w:t>
      </w:r>
      <w:bookmarkStart w:id="263" w:name="_Hlk39831926"/>
      <w:r w:rsidRPr="009F1927">
        <w:rPr>
          <w:rFonts w:ascii="Times New Roman" w:eastAsia="Times New Roman" w:hAnsi="Times New Roman"/>
          <w:sz w:val="24"/>
          <w:szCs w:val="24"/>
        </w:rPr>
        <w:t xml:space="preserve">Nov. 6, 2018, in </w:t>
      </w:r>
      <w:r w:rsidRPr="009F1927">
        <w:rPr>
          <w:rFonts w:ascii="Times New Roman" w:eastAsia="Times New Roman" w:hAnsi="Times New Roman"/>
          <w:sz w:val="24"/>
          <w:szCs w:val="24"/>
          <w:u w:val="single"/>
        </w:rPr>
        <w:t>Mount Lemmon Fire District v. Guido, et al.</w:t>
      </w:r>
      <w:r w:rsidRPr="009F1927">
        <w:rPr>
          <w:rFonts w:ascii="Times New Roman" w:eastAsia="Times New Roman" w:hAnsi="Times New Roman"/>
          <w:sz w:val="24"/>
          <w:szCs w:val="24"/>
        </w:rPr>
        <w:t xml:space="preserve">, </w:t>
      </w:r>
      <w:bookmarkEnd w:id="263"/>
      <w:r w:rsidRPr="009F1927">
        <w:rPr>
          <w:rFonts w:ascii="Times New Roman" w:eastAsia="Times New Roman" w:hAnsi="Times New Roman"/>
          <w:sz w:val="24"/>
          <w:szCs w:val="24"/>
        </w:rPr>
        <w:t xml:space="preserve">the U.S. Supreme Court (8 to 0) held: </w:t>
      </w:r>
    </w:p>
    <w:p w14:paraId="27A248CE" w14:textId="053D323A" w:rsidR="00F326E5" w:rsidRPr="009F1927" w:rsidRDefault="00F326E5" w:rsidP="009F1927">
      <w:pPr>
        <w:ind w:left="720"/>
        <w:rPr>
          <w:rFonts w:ascii="Times New Roman" w:eastAsia="Times New Roman" w:hAnsi="Times New Roman"/>
          <w:sz w:val="24"/>
          <w:szCs w:val="24"/>
        </w:rPr>
      </w:pPr>
      <w:r w:rsidRPr="009F1927">
        <w:rPr>
          <w:rFonts w:ascii="Times New Roman" w:eastAsia="Times New Roman" w:hAnsi="Times New Roman"/>
          <w:sz w:val="24"/>
          <w:szCs w:val="24"/>
        </w:rPr>
        <w:t>“</w:t>
      </w:r>
      <w:proofErr w:type="gramStart"/>
      <w:r w:rsidRPr="009F1927">
        <w:rPr>
          <w:rFonts w:ascii="Times New Roman" w:eastAsia="Times New Roman" w:hAnsi="Times New Roman"/>
          <w:sz w:val="24"/>
          <w:szCs w:val="24"/>
        </w:rPr>
        <w:t>that</w:t>
      </w:r>
      <w:proofErr w:type="gramEnd"/>
      <w:r w:rsidRPr="009F1927">
        <w:rPr>
          <w:rFonts w:ascii="Times New Roman" w:eastAsia="Times New Roman" w:hAnsi="Times New Roman"/>
          <w:sz w:val="24"/>
          <w:szCs w:val="24"/>
        </w:rPr>
        <w:t xml:space="preserve"> state and local governments are ‘employer[s]’ covered by the ADEA regardless of their size” [while private employers are only covered if have 20 or more employees]. </w:t>
      </w:r>
      <w:bookmarkStart w:id="264" w:name="_Hlk39831949"/>
      <w:r w:rsidR="00374417">
        <w:fldChar w:fldCharType="begin"/>
      </w:r>
      <w:r w:rsidR="00374417">
        <w:instrText xml:space="preserve"> HYPERLINK "https://www.supremecourt.gov/opinions/18pdf/17-587_n7ip.pdf" </w:instrText>
      </w:r>
      <w:r w:rsidR="00374417">
        <w:fldChar w:fldCharType="separate"/>
      </w:r>
      <w:r w:rsidRPr="009F1927">
        <w:rPr>
          <w:rStyle w:val="Hyperlink"/>
          <w:rFonts w:ascii="Times New Roman" w:hAnsi="Times New Roman"/>
          <w:sz w:val="24"/>
          <w:szCs w:val="24"/>
        </w:rPr>
        <w:t>https://www.supremecourt.gov/opinions/18pdf/17-587_n7ip.pdf</w:t>
      </w:r>
      <w:r w:rsidR="00374417">
        <w:rPr>
          <w:rStyle w:val="Hyperlink"/>
          <w:rFonts w:ascii="Times New Roman" w:hAnsi="Times New Roman"/>
          <w:sz w:val="24"/>
          <w:szCs w:val="24"/>
        </w:rPr>
        <w:fldChar w:fldCharType="end"/>
      </w:r>
      <w:r w:rsidRPr="009F1927">
        <w:rPr>
          <w:rFonts w:ascii="Times New Roman" w:eastAsia="Times New Roman" w:hAnsi="Times New Roman"/>
          <w:sz w:val="24"/>
          <w:szCs w:val="24"/>
        </w:rPr>
        <w:t xml:space="preserve"> </w:t>
      </w:r>
    </w:p>
    <w:bookmarkEnd w:id="264"/>
    <w:p w14:paraId="17CFD01E"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The two former Captains may now proceed with their lawsuit.  Fire &amp; EMS departments, when conducting layoffs, should carefully document their rational for any layoffs not involving the “last hired.”</w:t>
      </w:r>
    </w:p>
    <w:p w14:paraId="503543DE" w14:textId="37C6A1C2" w:rsidR="00F326E5" w:rsidRPr="009F1927" w:rsidRDefault="00F326E5" w:rsidP="009F1927">
      <w:pPr>
        <w:rPr>
          <w:rFonts w:ascii="Times New Roman" w:eastAsia="Times New Roman" w:hAnsi="Times New Roman"/>
          <w:sz w:val="24"/>
          <w:szCs w:val="24"/>
        </w:rPr>
      </w:pPr>
      <w:r w:rsidRPr="009F1927">
        <w:rPr>
          <w:rFonts w:ascii="Times New Roman" w:eastAsia="Times New Roman" w:hAnsi="Times New Roman"/>
          <w:sz w:val="24"/>
          <w:szCs w:val="24"/>
        </w:rPr>
        <w:t xml:space="preserve">   See 9</w:t>
      </w:r>
      <w:r w:rsidRPr="009F1927">
        <w:rPr>
          <w:rFonts w:ascii="Times New Roman" w:eastAsia="Times New Roman" w:hAnsi="Times New Roman"/>
          <w:sz w:val="24"/>
          <w:szCs w:val="24"/>
          <w:vertAlign w:val="superscript"/>
        </w:rPr>
        <w:t>th</w:t>
      </w:r>
      <w:r w:rsidRPr="009F1927">
        <w:rPr>
          <w:rFonts w:ascii="Times New Roman" w:eastAsia="Times New Roman" w:hAnsi="Times New Roman"/>
          <w:sz w:val="24"/>
          <w:szCs w:val="24"/>
        </w:rPr>
        <w:t xml:space="preserve"> Circuit decision:</w:t>
      </w:r>
    </w:p>
    <w:p w14:paraId="26798A2B" w14:textId="77777777" w:rsidR="00F326E5" w:rsidRPr="009F1927" w:rsidRDefault="00F326E5" w:rsidP="00F326E5">
      <w:pPr>
        <w:ind w:left="720"/>
        <w:rPr>
          <w:rFonts w:ascii="Times New Roman" w:eastAsia="Times New Roman" w:hAnsi="Times New Roman"/>
          <w:sz w:val="24"/>
          <w:szCs w:val="24"/>
        </w:rPr>
      </w:pPr>
      <w:r w:rsidRPr="009F1927">
        <w:rPr>
          <w:rFonts w:ascii="Times New Roman" w:hAnsi="Times New Roman"/>
          <w:sz w:val="24"/>
          <w:szCs w:val="24"/>
        </w:rPr>
        <w:t xml:space="preserve">“John Guido and Dennis Rankin were both hired in 2000 by Mount Lemmon Fire District, a political subdivision of the State of Arizona. Guido and Rankin served as full-time firefighter Captains. They were the two oldest full-time employees at the Fire District when they were terminated on June 15, 2009, Guido at forty-six years of age and Rankin at fifty-four.” </w:t>
      </w:r>
      <w:hyperlink r:id="rId1341" w:history="1">
        <w:r w:rsidRPr="009F1927">
          <w:rPr>
            <w:rStyle w:val="Hyperlink"/>
            <w:rFonts w:ascii="Times New Roman" w:hAnsi="Times New Roman"/>
            <w:sz w:val="24"/>
            <w:szCs w:val="24"/>
          </w:rPr>
          <w:t>https://caselaw.findlaw.com/us-9th-circuit/1864754.html</w:t>
        </w:r>
      </w:hyperlink>
      <w:r w:rsidRPr="009F1927">
        <w:rPr>
          <w:rFonts w:ascii="Times New Roman" w:hAnsi="Times New Roman"/>
          <w:sz w:val="24"/>
          <w:szCs w:val="24"/>
        </w:rPr>
        <w:t xml:space="preserve"> </w:t>
      </w:r>
    </w:p>
    <w:p w14:paraId="1FB66A64" w14:textId="77777777" w:rsidR="00F326E5" w:rsidRPr="009F1927" w:rsidRDefault="00F326E5" w:rsidP="00F326E5">
      <w:pPr>
        <w:pStyle w:val="NoSpacing"/>
        <w:ind w:left="720"/>
        <w:rPr>
          <w:rFonts w:ascii="Times New Roman" w:hAnsi="Times New Roman"/>
          <w:sz w:val="24"/>
          <w:szCs w:val="24"/>
        </w:rPr>
      </w:pPr>
      <w:r w:rsidRPr="009F1927">
        <w:rPr>
          <w:rFonts w:ascii="Times New Roman" w:hAnsi="Times New Roman"/>
          <w:sz w:val="24"/>
          <w:szCs w:val="24"/>
        </w:rPr>
        <w:t xml:space="preserve">Note:  Ohio has enacted the Ohio Data Protection Act, effective Nov. 2, 2018 (to be in Ohio Revised Code 1354.01-05), which provides companies with an affirmative defense to lawsuits involving release of personal information, if the company has a written cybersecurity program that conforms to the NIST Cybersecurity Framework. </w:t>
      </w:r>
      <w:hyperlink r:id="rId1342" w:history="1">
        <w:r w:rsidRPr="009F1927">
          <w:rPr>
            <w:rStyle w:val="Hyperlink"/>
            <w:rFonts w:ascii="Times New Roman" w:hAnsi="Times New Roman"/>
            <w:sz w:val="24"/>
            <w:szCs w:val="24"/>
          </w:rPr>
          <w:t>https://www.legislature.ohio.gov/legislation/legislation-summary?id=GA132-SB-220</w:t>
        </w:r>
      </w:hyperlink>
      <w:r w:rsidRPr="009F1927">
        <w:rPr>
          <w:rFonts w:ascii="Times New Roman" w:hAnsi="Times New Roman"/>
          <w:sz w:val="24"/>
          <w:szCs w:val="24"/>
        </w:rPr>
        <w:t xml:space="preserve">.  See Sept. 20, </w:t>
      </w:r>
      <w:proofErr w:type="gramStart"/>
      <w:r w:rsidRPr="009F1927">
        <w:rPr>
          <w:rFonts w:ascii="Times New Roman" w:hAnsi="Times New Roman"/>
          <w:sz w:val="24"/>
          <w:szCs w:val="24"/>
        </w:rPr>
        <w:t>2018</w:t>
      </w:r>
      <w:proofErr w:type="gramEnd"/>
      <w:r w:rsidRPr="009F1927">
        <w:rPr>
          <w:rFonts w:ascii="Times New Roman" w:hAnsi="Times New Roman"/>
          <w:sz w:val="24"/>
          <w:szCs w:val="24"/>
        </w:rPr>
        <w:t xml:space="preserve"> article, “New Ohio law incentivizes businesses that comply with cybersecurity programs,” </w:t>
      </w:r>
      <w:hyperlink r:id="rId1343" w:history="1">
        <w:r w:rsidRPr="009F1927">
          <w:rPr>
            <w:rStyle w:val="Hyperlink"/>
            <w:rFonts w:ascii="Times New Roman" w:hAnsi="Times New Roman"/>
            <w:sz w:val="24"/>
            <w:szCs w:val="24"/>
          </w:rPr>
          <w:t>https://www.bizjournals.com/columbus/news/2018/09/20/new-ohio-law-incentivizes-businesses-that-comply.html</w:t>
        </w:r>
      </w:hyperlink>
    </w:p>
    <w:p w14:paraId="341C3ED8" w14:textId="77777777" w:rsidR="00F326E5" w:rsidRPr="009F1927" w:rsidRDefault="00F326E5" w:rsidP="00F326E5">
      <w:pPr>
        <w:pStyle w:val="NoSpacing"/>
        <w:rPr>
          <w:rStyle w:val="dfm-title"/>
          <w:rFonts w:ascii="Times New Roman" w:hAnsi="Times New Roman"/>
          <w:sz w:val="24"/>
          <w:szCs w:val="24"/>
        </w:rPr>
      </w:pPr>
    </w:p>
    <w:bookmarkEnd w:id="262"/>
    <w:p w14:paraId="14C842DA" w14:textId="6DA8F9DA" w:rsidR="00EF1133" w:rsidRDefault="00EF1133" w:rsidP="00EF1133">
      <w:pPr>
        <w:rPr>
          <w:rFonts w:ascii="Arial Black" w:hAnsi="Arial Black"/>
          <w:sz w:val="28"/>
          <w:szCs w:val="28"/>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1</w:t>
      </w:r>
      <w:bookmarkStart w:id="265" w:name="_Hlk7343286"/>
    </w:p>
    <w:p w14:paraId="334AB698" w14:textId="12093068" w:rsidR="00F326E5" w:rsidRDefault="00F326E5" w:rsidP="00F326E5">
      <w:pPr>
        <w:pStyle w:val="NoSpacing"/>
        <w:rPr>
          <w:rFonts w:ascii="Arial Black" w:hAnsi="Arial Black"/>
          <w:sz w:val="28"/>
          <w:szCs w:val="28"/>
        </w:rPr>
      </w:pPr>
      <w:r w:rsidRPr="002C2C77">
        <w:rPr>
          <w:rFonts w:ascii="Arial Black" w:hAnsi="Arial Black"/>
          <w:sz w:val="28"/>
          <w:szCs w:val="28"/>
        </w:rPr>
        <w:t>TN</w:t>
      </w:r>
      <w:r>
        <w:rPr>
          <w:rFonts w:ascii="Arial Black" w:hAnsi="Arial Black"/>
          <w:sz w:val="28"/>
          <w:szCs w:val="28"/>
        </w:rPr>
        <w:t>:  FIRE CHIEF FIRED – AT-WILL EMPLOYEE –</w:t>
      </w:r>
      <w:r w:rsidR="009F1927">
        <w:rPr>
          <w:rFonts w:ascii="Arial Black" w:hAnsi="Arial Black"/>
          <w:sz w:val="28"/>
          <w:szCs w:val="28"/>
        </w:rPr>
        <w:t xml:space="preserve"> </w:t>
      </w:r>
      <w:r>
        <w:rPr>
          <w:rFonts w:ascii="Arial Black" w:hAnsi="Arial Black"/>
          <w:sz w:val="28"/>
          <w:szCs w:val="28"/>
        </w:rPr>
        <w:t>COUNTY CAN</w:t>
      </w:r>
      <w:r w:rsidR="005353F2">
        <w:rPr>
          <w:rFonts w:ascii="Arial Black" w:hAnsi="Arial Black"/>
          <w:sz w:val="28"/>
          <w:szCs w:val="28"/>
        </w:rPr>
        <w:t>’T</w:t>
      </w:r>
      <w:r>
        <w:rPr>
          <w:rFonts w:ascii="Arial Black" w:hAnsi="Arial Black"/>
          <w:sz w:val="28"/>
          <w:szCs w:val="28"/>
        </w:rPr>
        <w:t xml:space="preserve"> GRANT CIVIL SERVICE PROTECTION</w:t>
      </w:r>
    </w:p>
    <w:p w14:paraId="544BA7E7" w14:textId="77777777" w:rsidR="00F326E5" w:rsidRPr="009F1927" w:rsidRDefault="00F326E5" w:rsidP="00F326E5">
      <w:pPr>
        <w:rPr>
          <w:rFonts w:ascii="Times New Roman" w:eastAsia="Times New Roman" w:hAnsi="Times New Roman"/>
          <w:sz w:val="24"/>
          <w:szCs w:val="24"/>
        </w:rPr>
      </w:pPr>
      <w:r w:rsidRPr="009F1927">
        <w:rPr>
          <w:rFonts w:ascii="Times New Roman" w:hAnsi="Times New Roman"/>
          <w:sz w:val="24"/>
          <w:szCs w:val="24"/>
        </w:rPr>
        <w:t xml:space="preserve">On Oct. 19, 2018, in </w:t>
      </w:r>
      <w:r w:rsidRPr="009F1927">
        <w:rPr>
          <w:rFonts w:ascii="Times New Roman" w:hAnsi="Times New Roman"/>
          <w:sz w:val="24"/>
          <w:szCs w:val="24"/>
          <w:u w:val="single"/>
        </w:rPr>
        <w:t>William Smallwood v. Cocke County Government</w:t>
      </w:r>
      <w:r w:rsidRPr="009F1927">
        <w:rPr>
          <w:rFonts w:ascii="Times New Roman" w:hAnsi="Times New Roman"/>
          <w:sz w:val="24"/>
          <w:szCs w:val="24"/>
        </w:rPr>
        <w:t>, the U.S. Court of Appeals for 6</w:t>
      </w:r>
      <w:r w:rsidRPr="009F1927">
        <w:rPr>
          <w:rFonts w:ascii="Times New Roman" w:hAnsi="Times New Roman"/>
          <w:sz w:val="24"/>
          <w:szCs w:val="24"/>
          <w:vertAlign w:val="superscript"/>
        </w:rPr>
        <w:t>th</w:t>
      </w:r>
      <w:r w:rsidRPr="009F1927">
        <w:rPr>
          <w:rFonts w:ascii="Times New Roman" w:hAnsi="Times New Roman"/>
          <w:sz w:val="24"/>
          <w:szCs w:val="24"/>
        </w:rPr>
        <w:t xml:space="preserve"> Circuit (Cincinnati, OH), held (3 to 0) in an unpublished opinion, that the District Court properly granted summary judgment to the County. “</w:t>
      </w:r>
      <w:r w:rsidRPr="009F1927">
        <w:rPr>
          <w:rFonts w:ascii="Times New Roman" w:eastAsia="Times New Roman" w:hAnsi="Times New Roman"/>
          <w:sz w:val="24"/>
          <w:szCs w:val="24"/>
        </w:rPr>
        <w:t>Regardless of whether Smallwood’s termination was politically motivated, as Fire Chief, he could be terminated for political reasons.”</w:t>
      </w:r>
      <w:r w:rsidRPr="009F1927">
        <w:rPr>
          <w:rFonts w:ascii="Times New Roman" w:hAnsi="Times New Roman"/>
          <w:sz w:val="24"/>
          <w:szCs w:val="24"/>
        </w:rPr>
        <w:t xml:space="preserve"> </w:t>
      </w:r>
      <w:hyperlink r:id="rId1344" w:history="1">
        <w:r w:rsidRPr="009F1927">
          <w:rPr>
            <w:rStyle w:val="Hyperlink"/>
            <w:rFonts w:ascii="Times New Roman" w:hAnsi="Times New Roman"/>
            <w:sz w:val="24"/>
            <w:szCs w:val="24"/>
          </w:rPr>
          <w:t>http://www.opn.ca6.uscourts.gov/opinions.pdf/18a0522n-06.pdf</w:t>
        </w:r>
      </w:hyperlink>
      <w:r w:rsidRPr="009F1927">
        <w:rPr>
          <w:rFonts w:ascii="Times New Roman" w:eastAsia="Times New Roman" w:hAnsi="Times New Roman"/>
          <w:sz w:val="24"/>
          <w:szCs w:val="24"/>
        </w:rPr>
        <w:t xml:space="preserve"> </w:t>
      </w:r>
    </w:p>
    <w:p w14:paraId="75753C14" w14:textId="7777777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Legal Lessons Learned:  At-will employees may be terminated without </w:t>
      </w:r>
      <w:proofErr w:type="gramStart"/>
      <w:r w:rsidRPr="009F1927">
        <w:rPr>
          <w:rFonts w:ascii="Times New Roman" w:hAnsi="Times New Roman"/>
          <w:b/>
          <w:sz w:val="24"/>
          <w:szCs w:val="24"/>
        </w:rPr>
        <w:t>a hearing</w:t>
      </w:r>
      <w:proofErr w:type="gramEnd"/>
      <w:r w:rsidRPr="009F1927">
        <w:rPr>
          <w:rFonts w:ascii="Times New Roman" w:hAnsi="Times New Roman"/>
          <w:b/>
          <w:sz w:val="24"/>
          <w:szCs w:val="24"/>
        </w:rPr>
        <w:t xml:space="preserve">.  </w:t>
      </w:r>
    </w:p>
    <w:bookmarkEnd w:id="265"/>
    <w:p w14:paraId="2D8ED270" w14:textId="77777777" w:rsidR="00F326E5" w:rsidRPr="009F1927" w:rsidRDefault="00F326E5" w:rsidP="00F326E5">
      <w:pPr>
        <w:ind w:left="720"/>
        <w:rPr>
          <w:rFonts w:ascii="Times New Roman" w:eastAsia="Times New Roman" w:hAnsi="Times New Roman"/>
          <w:sz w:val="24"/>
          <w:szCs w:val="24"/>
        </w:rPr>
      </w:pPr>
    </w:p>
    <w:p w14:paraId="6B119D7E" w14:textId="77777777" w:rsidR="009F1927" w:rsidRDefault="009F1927" w:rsidP="00EF1133">
      <w:pPr>
        <w:rPr>
          <w:rFonts w:ascii="Arial Black" w:hAnsi="Arial Black"/>
          <w:b/>
          <w:sz w:val="24"/>
          <w:szCs w:val="24"/>
        </w:rPr>
      </w:pPr>
    </w:p>
    <w:p w14:paraId="02A7C8E7" w14:textId="3C9995B9"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0</w:t>
      </w:r>
    </w:p>
    <w:p w14:paraId="3D465DED" w14:textId="20086348" w:rsidR="00F326E5" w:rsidRPr="00732C84" w:rsidRDefault="00F326E5" w:rsidP="00F326E5">
      <w:pPr>
        <w:rPr>
          <w:rFonts w:ascii="Times New Roman" w:hAnsi="Times New Roman"/>
          <w:sz w:val="24"/>
          <w:szCs w:val="24"/>
        </w:rPr>
      </w:pPr>
      <w:bookmarkStart w:id="266" w:name="_Hlk7343322"/>
      <w:r w:rsidRPr="00732C84">
        <w:rPr>
          <w:rFonts w:ascii="Arial Black" w:hAnsi="Arial Black"/>
          <w:sz w:val="28"/>
          <w:szCs w:val="28"/>
        </w:rPr>
        <w:t xml:space="preserve">NY: </w:t>
      </w:r>
      <w:r>
        <w:rPr>
          <w:rFonts w:ascii="Arial Black" w:hAnsi="Arial Black"/>
          <w:sz w:val="28"/>
          <w:szCs w:val="28"/>
        </w:rPr>
        <w:t xml:space="preserve">AMBULANCE BACK STEP NOT LOWERED - </w:t>
      </w:r>
      <w:r w:rsidRPr="00732C84">
        <w:rPr>
          <w:rFonts w:ascii="Arial Black" w:hAnsi="Arial Black"/>
          <w:sz w:val="28"/>
          <w:szCs w:val="28"/>
        </w:rPr>
        <w:t xml:space="preserve">FF </w:t>
      </w:r>
      <w:r>
        <w:rPr>
          <w:rFonts w:ascii="Arial Black" w:hAnsi="Arial Black"/>
          <w:sz w:val="28"/>
          <w:szCs w:val="28"/>
        </w:rPr>
        <w:t xml:space="preserve">ENTITLED TO ACCIDENTAL RETIREMENT BENEFITS </w:t>
      </w:r>
      <w:r w:rsidRPr="00732C84">
        <w:rPr>
          <w:rFonts w:ascii="Times New Roman" w:hAnsi="Times New Roman"/>
          <w:sz w:val="24"/>
          <w:szCs w:val="24"/>
        </w:rPr>
        <w:t xml:space="preserve">[also filed, Chap. 13] </w:t>
      </w:r>
    </w:p>
    <w:p w14:paraId="4F8E17CD" w14:textId="77777777" w:rsidR="00F326E5" w:rsidRP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t xml:space="preserve">On Sept. 6, 2018, </w:t>
      </w:r>
      <w:r w:rsidRPr="009F1927">
        <w:rPr>
          <w:rFonts w:ascii="Times New Roman" w:eastAsia="Times New Roman" w:hAnsi="Times New Roman"/>
          <w:sz w:val="24"/>
          <w:szCs w:val="24"/>
          <w:u w:val="single"/>
        </w:rPr>
        <w:t>In The Matter Of Gregg A. Loia v. Thomas P. Di Napoli, State Comptroller</w:t>
      </w:r>
      <w:r w:rsidRPr="009F1927">
        <w:rPr>
          <w:rFonts w:ascii="Times New Roman" w:eastAsia="Times New Roman" w:hAnsi="Times New Roman"/>
          <w:sz w:val="24"/>
          <w:szCs w:val="24"/>
        </w:rPr>
        <w:t xml:space="preserve">,  the NY Supreme Court, Appellate Division (Third Judicial Department) held (3 to 0) the injured firefighter is entitled to accidental retirement benefits since the back step of the ambulance had not been lowered by EMS personnel, and he suffered an “accident” on the “malfunctioning piece of equipment that was designed, under normal circumstances, to promote safety.” </w:t>
      </w:r>
      <w:hyperlink r:id="rId1345" w:history="1">
        <w:r w:rsidRPr="009F1927">
          <w:rPr>
            <w:rStyle w:val="Hyperlink"/>
            <w:rFonts w:ascii="Times New Roman" w:hAnsi="Times New Roman"/>
            <w:sz w:val="24"/>
            <w:szCs w:val="24"/>
          </w:rPr>
          <w:t>http://decisions.courts.state.ny.us/ad3/Decisions/2018/526165.pdf</w:t>
        </w:r>
      </w:hyperlink>
      <w:r w:rsidRPr="009F1927">
        <w:rPr>
          <w:rFonts w:ascii="Times New Roman" w:eastAsia="Times New Roman" w:hAnsi="Times New Roman"/>
          <w:sz w:val="24"/>
          <w:szCs w:val="24"/>
        </w:rPr>
        <w:t xml:space="preserve"> </w:t>
      </w:r>
    </w:p>
    <w:p w14:paraId="1933F0FC"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 xml:space="preserve">Legal Lessons Learned:  Fire &amp; EMS personnel should document any on the job injury (including, in this case, photos of the ambulance step) and obtain statements from others on the scene.  It is unfortunate that a dispute over disability retirement benefits has been in litigation since 2012.  </w:t>
      </w:r>
    </w:p>
    <w:bookmarkEnd w:id="266"/>
    <w:p w14:paraId="78B0C165" w14:textId="77777777" w:rsidR="00F326E5" w:rsidRDefault="00F326E5" w:rsidP="00F326E5">
      <w:pPr>
        <w:pStyle w:val="NoSpacing"/>
        <w:rPr>
          <w:rStyle w:val="dfm-title"/>
          <w:b/>
          <w:sz w:val="24"/>
          <w:szCs w:val="24"/>
        </w:rPr>
      </w:pPr>
    </w:p>
    <w:p w14:paraId="149F5F5A" w14:textId="77777777" w:rsidR="00F27CD5" w:rsidRDefault="00F27CD5" w:rsidP="00F326E5">
      <w:pPr>
        <w:rPr>
          <w:rFonts w:ascii="Arial Black" w:hAnsi="Arial Black"/>
          <w:b/>
          <w:sz w:val="24"/>
          <w:szCs w:val="24"/>
        </w:rPr>
      </w:pPr>
    </w:p>
    <w:p w14:paraId="1293C9CE" w14:textId="77777777" w:rsidR="00F27CD5" w:rsidRDefault="00F27CD5" w:rsidP="00F326E5">
      <w:pPr>
        <w:rPr>
          <w:rFonts w:ascii="Arial Black" w:hAnsi="Arial Black"/>
          <w:b/>
          <w:sz w:val="24"/>
          <w:szCs w:val="24"/>
        </w:rPr>
      </w:pPr>
    </w:p>
    <w:p w14:paraId="2FF83555" w14:textId="4119B724" w:rsidR="00F326E5" w:rsidRPr="009F2867" w:rsidRDefault="00EF1133" w:rsidP="00F326E5">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9</w:t>
      </w:r>
    </w:p>
    <w:p w14:paraId="29350A44" w14:textId="7CD59645" w:rsidR="00F326E5" w:rsidRPr="00732C84" w:rsidRDefault="00F326E5" w:rsidP="00F326E5">
      <w:pPr>
        <w:rPr>
          <w:rFonts w:ascii="Arial Black" w:hAnsi="Arial Black"/>
          <w:sz w:val="28"/>
          <w:szCs w:val="28"/>
        </w:rPr>
      </w:pPr>
      <w:bookmarkStart w:id="267" w:name="_Hlk7343376"/>
      <w:r w:rsidRPr="00732C84">
        <w:rPr>
          <w:rFonts w:ascii="Arial Black" w:hAnsi="Arial Black"/>
          <w:sz w:val="28"/>
          <w:szCs w:val="28"/>
        </w:rPr>
        <w:t>MD: P</w:t>
      </w:r>
      <w:r>
        <w:rPr>
          <w:rFonts w:ascii="Arial Black" w:hAnsi="Arial Black"/>
          <w:sz w:val="28"/>
          <w:szCs w:val="28"/>
        </w:rPr>
        <w:t xml:space="preserve">ARAMEDIC WTH DEGENERATIVE KNEE TEARS – JURY FOUND WORK RELATED – COURT UPHOLDS </w:t>
      </w:r>
    </w:p>
    <w:p w14:paraId="54012B00"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Aug. 30, 2018, in </w:t>
      </w:r>
      <w:r w:rsidRPr="009F1927">
        <w:rPr>
          <w:rFonts w:ascii="Times New Roman" w:hAnsi="Times New Roman"/>
          <w:sz w:val="24"/>
          <w:szCs w:val="24"/>
          <w:u w:val="single"/>
        </w:rPr>
        <w:t>Baltimore County v. Michael Quinlan</w:t>
      </w:r>
      <w:r w:rsidRPr="009F1927">
        <w:rPr>
          <w:rFonts w:ascii="Times New Roman" w:hAnsi="Times New Roman"/>
          <w:sz w:val="24"/>
          <w:szCs w:val="24"/>
        </w:rPr>
        <w:t xml:space="preserve">, the Court </w:t>
      </w:r>
      <w:proofErr w:type="gramStart"/>
      <w:r w:rsidRPr="009F1927">
        <w:rPr>
          <w:rFonts w:ascii="Times New Roman" w:hAnsi="Times New Roman"/>
          <w:sz w:val="24"/>
          <w:szCs w:val="24"/>
        </w:rPr>
        <w:t>Of</w:t>
      </w:r>
      <w:proofErr w:type="gramEnd"/>
      <w:r w:rsidRPr="009F1927">
        <w:rPr>
          <w:rFonts w:ascii="Times New Roman" w:hAnsi="Times New Roman"/>
          <w:sz w:val="24"/>
          <w:szCs w:val="24"/>
        </w:rPr>
        <w:t xml:space="preserve"> Special Appeals </w:t>
      </w:r>
      <w:proofErr w:type="gramStart"/>
      <w:r w:rsidRPr="009F1927">
        <w:rPr>
          <w:rFonts w:ascii="Times New Roman" w:hAnsi="Times New Roman"/>
          <w:sz w:val="24"/>
          <w:szCs w:val="24"/>
        </w:rPr>
        <w:t>Of</w:t>
      </w:r>
      <w:proofErr w:type="gramEnd"/>
      <w:r w:rsidRPr="009F1927">
        <w:rPr>
          <w:rFonts w:ascii="Times New Roman" w:hAnsi="Times New Roman"/>
          <w:sz w:val="24"/>
          <w:szCs w:val="24"/>
        </w:rPr>
        <w:t xml:space="preserve"> Maryland, held (3 to 0) that his menisci tears are work related.  The Court wrote:  </w:t>
      </w:r>
    </w:p>
    <w:p w14:paraId="54B01CF0" w14:textId="7D7386A4" w:rsidR="00F326E5" w:rsidRPr="009F1927" w:rsidRDefault="00F326E5" w:rsidP="009F1927">
      <w:pPr>
        <w:ind w:left="720"/>
        <w:rPr>
          <w:rFonts w:ascii="Times New Roman" w:eastAsia="Times New Roman" w:hAnsi="Times New Roman"/>
          <w:b/>
          <w:sz w:val="24"/>
          <w:szCs w:val="24"/>
        </w:rPr>
      </w:pPr>
      <w:r w:rsidRPr="009F1927">
        <w:rPr>
          <w:rFonts w:ascii="Times New Roman" w:hAnsi="Times New Roman"/>
          <w:sz w:val="24"/>
          <w:szCs w:val="24"/>
        </w:rPr>
        <w:t>“</w:t>
      </w:r>
      <w:r w:rsidRPr="009F1927">
        <w:rPr>
          <w:rFonts w:ascii="Times New Roman" w:eastAsia="Times New Roman" w:hAnsi="Times New Roman"/>
          <w:sz w:val="24"/>
          <w:szCs w:val="24"/>
        </w:rPr>
        <w:t>In sum, Mr. Quinlan met the statutory requirements of LE § 9-502(d)(1) by establishing at trial that the degenerative menisci tears were an occupational disease through testimony that showed That repetitive kneeling and squatting is (1) a regular part of a paramedic’s job and (2) a risk factor for developing menisci tears, which Dr. Cochran explained are ‘part of the continuum of osteoarthritis. ‘…. This was sufficient evidence for the jury to determine that, ‘but for the work-related activities[,]’ his condition would not have developed…. We will not second guess the jury’s fact finding on appeal.”</w:t>
      </w:r>
      <w:r w:rsidR="009F1927">
        <w:rPr>
          <w:rFonts w:ascii="Times New Roman" w:eastAsia="Times New Roman" w:hAnsi="Times New Roman"/>
          <w:sz w:val="24"/>
          <w:szCs w:val="24"/>
        </w:rPr>
        <w:t xml:space="preserve"> </w:t>
      </w:r>
      <w:hyperlink r:id="rId1346" w:history="1">
        <w:r w:rsidRPr="009F1927">
          <w:rPr>
            <w:rStyle w:val="Hyperlink"/>
            <w:rFonts w:ascii="Times New Roman" w:hAnsi="Times New Roman"/>
            <w:sz w:val="24"/>
            <w:szCs w:val="24"/>
          </w:rPr>
          <w:t>https://www.courts.state.md.us/data/opinions/cosa/2018/0319s17.pdf</w:t>
        </w:r>
      </w:hyperlink>
      <w:r w:rsidRPr="009F1927">
        <w:rPr>
          <w:rFonts w:ascii="Times New Roman" w:eastAsia="Times New Roman" w:hAnsi="Times New Roman"/>
          <w:b/>
          <w:sz w:val="24"/>
          <w:szCs w:val="24"/>
        </w:rPr>
        <w:t xml:space="preserve"> </w:t>
      </w:r>
    </w:p>
    <w:p w14:paraId="035305B9"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Expert testimony particularly critical for claims involving degenerative knee or other similar conditions.</w:t>
      </w:r>
    </w:p>
    <w:bookmarkEnd w:id="267"/>
    <w:p w14:paraId="230F3837" w14:textId="77777777" w:rsidR="00F326E5" w:rsidRPr="00FE294E" w:rsidRDefault="00F326E5" w:rsidP="00F326E5">
      <w:pPr>
        <w:rPr>
          <w:rFonts w:eastAsia="Times New Roman"/>
          <w:sz w:val="24"/>
          <w:szCs w:val="24"/>
        </w:rPr>
      </w:pPr>
    </w:p>
    <w:p w14:paraId="275477DC" w14:textId="62C07030" w:rsidR="005353F2" w:rsidRDefault="00EF1133" w:rsidP="00EF1133">
      <w:pPr>
        <w:rPr>
          <w:sz w:val="24"/>
          <w:szCs w:val="24"/>
        </w:rPr>
      </w:pPr>
      <w:bookmarkStart w:id="268" w:name="_Hlk7343415"/>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8</w:t>
      </w:r>
    </w:p>
    <w:p w14:paraId="19EC5DB1" w14:textId="28F2E275" w:rsidR="00F326E5" w:rsidRPr="008A5B80" w:rsidRDefault="00F326E5" w:rsidP="00F326E5">
      <w:pPr>
        <w:pStyle w:val="NoSpacing"/>
        <w:rPr>
          <w:rFonts w:ascii="Arial Black" w:hAnsi="Arial Black"/>
          <w:sz w:val="24"/>
          <w:szCs w:val="24"/>
        </w:rPr>
      </w:pPr>
      <w:r w:rsidRPr="00732C84">
        <w:rPr>
          <w:rFonts w:ascii="Arial Black" w:hAnsi="Arial Black"/>
          <w:b/>
          <w:sz w:val="28"/>
          <w:szCs w:val="28"/>
        </w:rPr>
        <w:t xml:space="preserve">LA: </w:t>
      </w:r>
      <w:proofErr w:type="gramStart"/>
      <w:r>
        <w:rPr>
          <w:rFonts w:ascii="Arial Black" w:hAnsi="Arial Black"/>
          <w:b/>
          <w:sz w:val="28"/>
          <w:szCs w:val="28"/>
        </w:rPr>
        <w:t>FREE SPEECH</w:t>
      </w:r>
      <w:proofErr w:type="gramEnd"/>
      <w:r>
        <w:rPr>
          <w:rFonts w:ascii="Arial Black" w:hAnsi="Arial Black"/>
          <w:b/>
          <w:sz w:val="28"/>
          <w:szCs w:val="28"/>
        </w:rPr>
        <w:t xml:space="preserve"> CASE </w:t>
      </w:r>
      <w:r w:rsidR="005353F2">
        <w:rPr>
          <w:rFonts w:ascii="Arial Black" w:hAnsi="Arial Black"/>
          <w:b/>
          <w:sz w:val="28"/>
          <w:szCs w:val="28"/>
        </w:rPr>
        <w:t xml:space="preserve">NOT DISMISSED </w:t>
      </w:r>
      <w:r>
        <w:rPr>
          <w:rFonts w:ascii="Arial Black" w:hAnsi="Arial Black"/>
          <w:b/>
          <w:sz w:val="28"/>
          <w:szCs w:val="28"/>
        </w:rPr>
        <w:t xml:space="preserve">- TWO PARAMEDICS FIRED AFTER LETTER TO BOARD ABOUT MGT </w:t>
      </w:r>
      <w:r w:rsidRPr="008A5B80">
        <w:rPr>
          <w:sz w:val="24"/>
          <w:szCs w:val="24"/>
        </w:rPr>
        <w:t>[also filed, Chap. 13]</w:t>
      </w:r>
    </w:p>
    <w:p w14:paraId="23B2BDC5"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July 18, 2018, in </w:t>
      </w:r>
      <w:r w:rsidRPr="009F1927">
        <w:rPr>
          <w:rFonts w:ascii="Times New Roman" w:hAnsi="Times New Roman"/>
          <w:sz w:val="24"/>
          <w:szCs w:val="24"/>
          <w:u w:val="single"/>
        </w:rPr>
        <w:t>Patrick Alan Benfield &amp; Brian Warren v. Joe Magee, et al</w:t>
      </w:r>
      <w:r w:rsidRPr="009F1927">
        <w:rPr>
          <w:rFonts w:ascii="Times New Roman" w:hAnsi="Times New Roman"/>
          <w:sz w:val="24"/>
          <w:szCs w:val="24"/>
        </w:rPr>
        <w:t xml:space="preserve">., U.S. District Court Judge Elizabeth Foote, Western District of Louisiana, held that a lawsuit by two paramedics fired by Desoto Parish EMS may proceed to trial.  They were fired after Warren wrote a letter to a member of the Desoto Parish Police Jury (they </w:t>
      </w:r>
      <w:proofErr w:type="gramStart"/>
      <w:r w:rsidRPr="009F1927">
        <w:rPr>
          <w:rFonts w:ascii="Times New Roman" w:hAnsi="Times New Roman"/>
          <w:sz w:val="24"/>
          <w:szCs w:val="24"/>
        </w:rPr>
        <w:t>appoint</w:t>
      </w:r>
      <w:proofErr w:type="gramEnd"/>
      <w:r w:rsidRPr="009F1927">
        <w:rPr>
          <w:rFonts w:ascii="Times New Roman" w:hAnsi="Times New Roman"/>
          <w:sz w:val="24"/>
          <w:szCs w:val="24"/>
        </w:rPr>
        <w:t xml:space="preserve"> the Board of Commissioners of the Desoto Parish EMS).   The Judge ruled:</w:t>
      </w:r>
    </w:p>
    <w:p w14:paraId="0B96C184" w14:textId="1B270064"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t xml:space="preserve">“The motion [to dismiss] is DENIED as to Warren’s </w:t>
      </w:r>
      <w:proofErr w:type="gramStart"/>
      <w:r w:rsidRPr="009F1927">
        <w:rPr>
          <w:rFonts w:ascii="Times New Roman" w:hAnsi="Times New Roman"/>
          <w:sz w:val="24"/>
          <w:szCs w:val="24"/>
        </w:rPr>
        <w:t>free speech</w:t>
      </w:r>
      <w:proofErr w:type="gramEnd"/>
      <w:r w:rsidRPr="009F1927">
        <w:rPr>
          <w:rFonts w:ascii="Times New Roman" w:hAnsi="Times New Roman"/>
          <w:sz w:val="24"/>
          <w:szCs w:val="24"/>
        </w:rPr>
        <w:t xml:space="preserve"> claim because the facts alleged establish that his letter was protected speech.”  </w:t>
      </w:r>
      <w:hyperlink r:id="rId1347" w:history="1">
        <w:r w:rsidRPr="009F1927">
          <w:rPr>
            <w:rStyle w:val="Hyperlink"/>
            <w:rFonts w:ascii="Times New Roman" w:hAnsi="Times New Roman"/>
            <w:sz w:val="24"/>
            <w:szCs w:val="24"/>
          </w:rPr>
          <w:t>https://cases.justia.com/federal/district-courts/louisiana/lawdce/5:2018cv00034/160852/18/0.pdf?ts=1532079100</w:t>
        </w:r>
      </w:hyperlink>
    </w:p>
    <w:p w14:paraId="318AA611"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 xml:space="preserve">Legal Lessons Learned: First Amendment </w:t>
      </w:r>
      <w:proofErr w:type="gramStart"/>
      <w:r w:rsidRPr="009F1927">
        <w:rPr>
          <w:rFonts w:ascii="Times New Roman" w:hAnsi="Times New Roman"/>
          <w:b/>
          <w:sz w:val="24"/>
          <w:szCs w:val="24"/>
        </w:rPr>
        <w:t>free speech</w:t>
      </w:r>
      <w:proofErr w:type="gramEnd"/>
      <w:r w:rsidRPr="009F1927">
        <w:rPr>
          <w:rFonts w:ascii="Times New Roman" w:hAnsi="Times New Roman"/>
          <w:b/>
          <w:sz w:val="24"/>
          <w:szCs w:val="24"/>
        </w:rPr>
        <w:t xml:space="preserve"> cases are </w:t>
      </w:r>
      <w:proofErr w:type="gramStart"/>
      <w:r w:rsidRPr="009F1927">
        <w:rPr>
          <w:rFonts w:ascii="Times New Roman" w:hAnsi="Times New Roman"/>
          <w:b/>
          <w:sz w:val="24"/>
          <w:szCs w:val="24"/>
        </w:rPr>
        <w:t>increasing</w:t>
      </w:r>
      <w:proofErr w:type="gramEnd"/>
      <w:r w:rsidRPr="009F1927">
        <w:rPr>
          <w:rFonts w:ascii="Times New Roman" w:hAnsi="Times New Roman"/>
          <w:b/>
          <w:sz w:val="24"/>
          <w:szCs w:val="24"/>
        </w:rPr>
        <w:t xml:space="preserve"> </w:t>
      </w:r>
      <w:proofErr w:type="gramStart"/>
      <w:r w:rsidRPr="009F1927">
        <w:rPr>
          <w:rFonts w:ascii="Times New Roman" w:hAnsi="Times New Roman"/>
          <w:b/>
          <w:sz w:val="24"/>
          <w:szCs w:val="24"/>
        </w:rPr>
        <w:t>being permitted</w:t>
      </w:r>
      <w:proofErr w:type="gramEnd"/>
      <w:r w:rsidRPr="009F1927">
        <w:rPr>
          <w:rFonts w:ascii="Times New Roman" w:hAnsi="Times New Roman"/>
          <w:b/>
          <w:sz w:val="24"/>
          <w:szCs w:val="24"/>
        </w:rPr>
        <w:t xml:space="preserve"> to go to the jury.  Fire &amp; EMS Departments should thoroughly document reasons for termination, including employees who serve “at will.”</w:t>
      </w:r>
    </w:p>
    <w:bookmarkEnd w:id="268"/>
    <w:p w14:paraId="2F11AE19" w14:textId="77777777" w:rsidR="00F326E5" w:rsidRPr="0002048B" w:rsidRDefault="00F326E5" w:rsidP="00F326E5">
      <w:pPr>
        <w:pStyle w:val="NoSpacing"/>
        <w:rPr>
          <w:b/>
          <w:sz w:val="24"/>
          <w:szCs w:val="24"/>
        </w:rPr>
      </w:pPr>
      <w:r>
        <w:rPr>
          <w:b/>
          <w:sz w:val="24"/>
          <w:szCs w:val="24"/>
        </w:rPr>
        <w:t xml:space="preserve"> </w:t>
      </w:r>
    </w:p>
    <w:p w14:paraId="27F63C96" w14:textId="5DB5F1BD" w:rsidR="00EF1133" w:rsidRDefault="00EF1133" w:rsidP="00EF1133">
      <w:pPr>
        <w:rPr>
          <w:rFonts w:ascii="Arial Black" w:hAnsi="Arial Black"/>
          <w:b/>
          <w:sz w:val="24"/>
          <w:szCs w:val="24"/>
        </w:rPr>
      </w:pPr>
      <w:r>
        <w:rPr>
          <w:rFonts w:ascii="Arial Black" w:hAnsi="Arial Black"/>
          <w:b/>
          <w:sz w:val="24"/>
          <w:szCs w:val="24"/>
        </w:rPr>
        <w:t>6-7</w:t>
      </w:r>
    </w:p>
    <w:p w14:paraId="37E32AA7" w14:textId="08E6730E" w:rsidR="00F326E5" w:rsidRPr="009F1927" w:rsidRDefault="00F326E5" w:rsidP="00F326E5">
      <w:pPr>
        <w:pStyle w:val="NoSpacing"/>
        <w:rPr>
          <w:rFonts w:ascii="Times New Roman" w:hAnsi="Times New Roman"/>
          <w:sz w:val="24"/>
          <w:szCs w:val="24"/>
        </w:rPr>
      </w:pPr>
      <w:bookmarkStart w:id="269" w:name="_Hlk7343500"/>
      <w:r w:rsidRPr="008A5B80">
        <w:rPr>
          <w:rFonts w:ascii="Arial Black" w:hAnsi="Arial Black"/>
          <w:b/>
          <w:sz w:val="28"/>
          <w:szCs w:val="28"/>
        </w:rPr>
        <w:t xml:space="preserve">WY:  </w:t>
      </w:r>
      <w:r>
        <w:rPr>
          <w:rFonts w:ascii="Arial Black" w:hAnsi="Arial Black"/>
          <w:b/>
          <w:sz w:val="28"/>
          <w:szCs w:val="28"/>
        </w:rPr>
        <w:t xml:space="preserve">VOLUNTEER FIREFIGHTERS MAY BE IN UNION – STATE STATUTE </w:t>
      </w:r>
      <w:r w:rsidRPr="009F1927">
        <w:rPr>
          <w:rFonts w:ascii="Times New Roman" w:hAnsi="Times New Roman"/>
          <w:sz w:val="24"/>
          <w:szCs w:val="24"/>
        </w:rPr>
        <w:t>[also filed, Chap. 18]</w:t>
      </w:r>
    </w:p>
    <w:p w14:paraId="20E81FA9" w14:textId="4876AB86" w:rsidR="00F326E5" w:rsidRDefault="00F326E5" w:rsidP="00F326E5">
      <w:pPr>
        <w:pStyle w:val="NoSpacing"/>
        <w:rPr>
          <w:rFonts w:ascii="Times New Roman" w:hAnsi="Times New Roman"/>
          <w:bCs/>
          <w:sz w:val="24"/>
          <w:szCs w:val="24"/>
        </w:rPr>
      </w:pPr>
      <w:r w:rsidRPr="009F1927">
        <w:rPr>
          <w:rFonts w:ascii="Times New Roman" w:hAnsi="Times New Roman"/>
          <w:bCs/>
          <w:sz w:val="24"/>
          <w:szCs w:val="24"/>
        </w:rPr>
        <w:t xml:space="preserve">On July 6, 2018, in </w:t>
      </w:r>
      <w:r w:rsidRPr="009F1927">
        <w:rPr>
          <w:rFonts w:ascii="Times New Roman" w:hAnsi="Times New Roman"/>
          <w:bCs/>
          <w:sz w:val="24"/>
          <w:szCs w:val="24"/>
          <w:u w:val="single"/>
        </w:rPr>
        <w:t>IAFF Local 5058 v. Gillette / Wright / Campbell County Fire Protection Joint Powers Board, and IAFF Local 5067 v. Teton County and Town of Jackson</w:t>
      </w:r>
      <w:r w:rsidRPr="009F1927">
        <w:rPr>
          <w:rFonts w:ascii="Times New Roman" w:hAnsi="Times New Roman"/>
          <w:bCs/>
          <w:sz w:val="24"/>
          <w:szCs w:val="24"/>
        </w:rPr>
        <w:t xml:space="preserve">, the Wyoming Supreme Court held (5 to 0) that the two new unions were not properly elected, and the Fire Districts did not need to negotiate collective bargaining agreements, because the “volunteer” and “pool” firefighters all receive pay for making runs.  </w:t>
      </w:r>
    </w:p>
    <w:p w14:paraId="0B9F17DD" w14:textId="77777777" w:rsidR="009F1927" w:rsidRPr="009F1927" w:rsidRDefault="009F1927" w:rsidP="00F326E5">
      <w:pPr>
        <w:pStyle w:val="NoSpacing"/>
        <w:rPr>
          <w:rFonts w:ascii="Times New Roman" w:hAnsi="Times New Roman"/>
          <w:bCs/>
          <w:sz w:val="24"/>
          <w:szCs w:val="24"/>
        </w:rPr>
      </w:pPr>
    </w:p>
    <w:p w14:paraId="04136BD1" w14:textId="77777777" w:rsidR="00F326E5" w:rsidRPr="009F1927" w:rsidRDefault="00F326E5" w:rsidP="00F326E5">
      <w:pPr>
        <w:ind w:left="720"/>
        <w:rPr>
          <w:rFonts w:ascii="Times New Roman" w:hAnsi="Times New Roman"/>
          <w:bCs/>
          <w:sz w:val="24"/>
          <w:szCs w:val="24"/>
        </w:rPr>
      </w:pPr>
      <w:r w:rsidRPr="009F1927">
        <w:rPr>
          <w:rFonts w:ascii="Times New Roman" w:eastAsia="Times New Roman" w:hAnsi="Times New Roman"/>
          <w:sz w:val="24"/>
          <w:szCs w:val="24"/>
        </w:rPr>
        <w:t xml:space="preserve">“The district courts in both cases held that the Wyoming Collective Bargaining for Fire Fighters Act’s definition of ‘fire fighters’ includes volunteers because they are ‘paid members of . . . regularly constituted fire department[s].’ Consequently, the district courts concluded that IAFF Local 5058 and IAFF Local 5067, which were formed by and consist of only full-time, career fire fighters, were not properly constituted bargaining units under the Act. We affirm. </w:t>
      </w:r>
      <w:hyperlink r:id="rId1348" w:history="1">
        <w:r w:rsidRPr="009F1927">
          <w:rPr>
            <w:rStyle w:val="Hyperlink"/>
            <w:rFonts w:ascii="Times New Roman" w:hAnsi="Times New Roman"/>
            <w:sz w:val="24"/>
            <w:szCs w:val="24"/>
          </w:rPr>
          <w:t>https://services.courts.state.wy.us/Documents/Opinions/2018WY75.pdf</w:t>
        </w:r>
      </w:hyperlink>
      <w:r w:rsidRPr="009F1927">
        <w:rPr>
          <w:rFonts w:ascii="Times New Roman" w:hAnsi="Times New Roman"/>
          <w:bCs/>
          <w:sz w:val="24"/>
          <w:szCs w:val="24"/>
        </w:rPr>
        <w:t xml:space="preserve"> </w:t>
      </w:r>
    </w:p>
    <w:p w14:paraId="781BE719"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Legal Lessons Learned:  Drafting of legislative language is very important, along with creating a clear “legislative history” to avoid any question about whether volunteer and part-time firefighters can be covered in a collective bargaining agreement.</w:t>
      </w:r>
    </w:p>
    <w:bookmarkEnd w:id="269"/>
    <w:p w14:paraId="617D906F" w14:textId="77777777" w:rsidR="00F326E5" w:rsidRDefault="00F326E5" w:rsidP="00F326E5">
      <w:pPr>
        <w:pStyle w:val="NoSpacing"/>
        <w:rPr>
          <w:rFonts w:eastAsia="Times New Roman"/>
          <w:sz w:val="24"/>
          <w:szCs w:val="24"/>
        </w:rPr>
      </w:pPr>
    </w:p>
    <w:p w14:paraId="291AD0F6" w14:textId="77777777" w:rsidR="00F326E5" w:rsidRDefault="00F326E5" w:rsidP="00F326E5">
      <w:pPr>
        <w:pStyle w:val="NoSpacing"/>
        <w:rPr>
          <w:rFonts w:eastAsia="Times New Roman"/>
          <w:sz w:val="24"/>
          <w:szCs w:val="24"/>
        </w:rPr>
      </w:pPr>
    </w:p>
    <w:p w14:paraId="75A9B025" w14:textId="77777777" w:rsidR="00EF1133" w:rsidRDefault="00EF1133" w:rsidP="00F326E5">
      <w:pPr>
        <w:pStyle w:val="NoSpacing"/>
        <w:rPr>
          <w:rFonts w:ascii="Arial Black" w:eastAsia="Times New Roman" w:hAnsi="Arial Black"/>
          <w:sz w:val="28"/>
          <w:szCs w:val="28"/>
        </w:rPr>
      </w:pPr>
      <w:bookmarkStart w:id="270" w:name="_Hlk7343549"/>
    </w:p>
    <w:p w14:paraId="50DA2D35" w14:textId="47C692B0" w:rsidR="00EF1133" w:rsidRDefault="00EF1133" w:rsidP="00EF1133">
      <w:pPr>
        <w:rPr>
          <w:rFonts w:ascii="Arial Black" w:eastAsia="Times New Roman" w:hAnsi="Arial Black"/>
          <w:sz w:val="28"/>
          <w:szCs w:val="28"/>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6</w:t>
      </w:r>
    </w:p>
    <w:p w14:paraId="04CF30A8" w14:textId="48932AB5" w:rsidR="00F326E5" w:rsidRPr="008A5B80" w:rsidRDefault="00F326E5" w:rsidP="00F326E5">
      <w:pPr>
        <w:pStyle w:val="NoSpacing"/>
        <w:rPr>
          <w:rFonts w:ascii="Arial Black" w:eastAsia="Times New Roman" w:hAnsi="Arial Black"/>
          <w:sz w:val="28"/>
          <w:szCs w:val="28"/>
        </w:rPr>
      </w:pPr>
      <w:r w:rsidRPr="008A5B80">
        <w:rPr>
          <w:rFonts w:ascii="Arial Black" w:eastAsia="Times New Roman" w:hAnsi="Arial Black"/>
          <w:sz w:val="28"/>
          <w:szCs w:val="28"/>
        </w:rPr>
        <w:t>NJ: BOROUGH CANNOT ENFORCE $5,000 PENALTY – PROB</w:t>
      </w:r>
      <w:r>
        <w:rPr>
          <w:rFonts w:ascii="Arial Black" w:eastAsia="Times New Roman" w:hAnsi="Arial Black"/>
          <w:sz w:val="28"/>
          <w:szCs w:val="28"/>
        </w:rPr>
        <w:t xml:space="preserve">. POLICE OFFICER </w:t>
      </w:r>
      <w:r w:rsidRPr="008A5B80">
        <w:rPr>
          <w:rFonts w:ascii="Arial Black" w:eastAsia="Times New Roman" w:hAnsi="Arial Black"/>
          <w:sz w:val="28"/>
          <w:szCs w:val="28"/>
        </w:rPr>
        <w:t xml:space="preserve">JOINS ANOTHER PD </w:t>
      </w:r>
    </w:p>
    <w:p w14:paraId="445E9BAE" w14:textId="77777777" w:rsidR="009F1927" w:rsidRDefault="00F326E5" w:rsidP="00F326E5">
      <w:pPr>
        <w:pStyle w:val="NoSpacing"/>
        <w:rPr>
          <w:rFonts w:ascii="Times New Roman" w:eastAsia="Times New Roman" w:hAnsi="Times New Roman"/>
          <w:sz w:val="24"/>
          <w:szCs w:val="24"/>
        </w:rPr>
      </w:pPr>
      <w:r w:rsidRPr="009F1927">
        <w:rPr>
          <w:rFonts w:ascii="Times New Roman" w:eastAsia="Times New Roman" w:hAnsi="Times New Roman"/>
          <w:sz w:val="24"/>
          <w:szCs w:val="24"/>
        </w:rPr>
        <w:t xml:space="preserve">On June 21, 2018, in </w:t>
      </w:r>
      <w:r w:rsidRPr="009F1927">
        <w:rPr>
          <w:rFonts w:ascii="Times New Roman" w:eastAsia="Times New Roman" w:hAnsi="Times New Roman"/>
          <w:sz w:val="24"/>
          <w:szCs w:val="24"/>
          <w:u w:val="single"/>
        </w:rPr>
        <w:t>Borough of Madison v. Kevin Marhefka</w:t>
      </w:r>
      <w:r w:rsidRPr="009F1927">
        <w:rPr>
          <w:rFonts w:ascii="Times New Roman" w:eastAsia="Times New Roman" w:hAnsi="Times New Roman"/>
          <w:sz w:val="24"/>
          <w:szCs w:val="24"/>
        </w:rPr>
        <w:t xml:space="preserve">, the Superior Court of New Jersey / Appellate Division (2 to 0) held </w:t>
      </w:r>
    </w:p>
    <w:p w14:paraId="1B8A54DB" w14:textId="545B0F16" w:rsidR="00F326E5" w:rsidRPr="009F1927" w:rsidRDefault="00F326E5" w:rsidP="009F1927">
      <w:pPr>
        <w:pStyle w:val="NoSpacing"/>
        <w:ind w:left="720"/>
        <w:rPr>
          <w:rFonts w:ascii="Times New Roman" w:eastAsia="Times New Roman" w:hAnsi="Times New Roman"/>
          <w:sz w:val="24"/>
          <w:szCs w:val="24"/>
        </w:rPr>
      </w:pPr>
      <w:r w:rsidRPr="009F1927">
        <w:rPr>
          <w:rFonts w:ascii="Times New Roman" w:eastAsia="Times New Roman" w:hAnsi="Times New Roman"/>
          <w:sz w:val="24"/>
          <w:szCs w:val="24"/>
        </w:rPr>
        <w:t xml:space="preserve">“As the Borough's complaint sought only to collect that unenforceable $5000 penalty, the complaint was properly dismissed with prejudice regardless of whether the penalty was negotiated with the PBA.” </w:t>
      </w:r>
      <w:hyperlink r:id="rId1349" w:history="1">
        <w:r w:rsidRPr="009F1927">
          <w:rPr>
            <w:rStyle w:val="Hyperlink"/>
            <w:rFonts w:ascii="Times New Roman" w:hAnsi="Times New Roman"/>
            <w:sz w:val="24"/>
            <w:szCs w:val="24"/>
          </w:rPr>
          <w:t>https://www.njcourts.gov/attorneys/assets/opinions/appellate/unpublished/a5206-15.pdf?cacheID=tO9Al6f</w:t>
        </w:r>
      </w:hyperlink>
      <w:r w:rsidRPr="009F1927">
        <w:rPr>
          <w:rFonts w:ascii="Times New Roman" w:eastAsia="Times New Roman" w:hAnsi="Times New Roman"/>
          <w:sz w:val="24"/>
          <w:szCs w:val="24"/>
        </w:rPr>
        <w:t xml:space="preserve"> </w:t>
      </w:r>
    </w:p>
    <w:p w14:paraId="4644B185" w14:textId="77777777" w:rsidR="009F1927" w:rsidRDefault="009F1927" w:rsidP="00F326E5">
      <w:pPr>
        <w:rPr>
          <w:rFonts w:ascii="Times New Roman" w:eastAsia="Times New Roman" w:hAnsi="Times New Roman"/>
          <w:b/>
          <w:sz w:val="24"/>
          <w:szCs w:val="24"/>
        </w:rPr>
      </w:pPr>
    </w:p>
    <w:p w14:paraId="24E61566" w14:textId="6426F9A9"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Penalties for resigning to take a new job are often challenged, and difficult to enforce, as compared to reimbursement for training costs and equipment. Some states impose training costs on the new public employer, such as NJ (2013 statute).</w:t>
      </w:r>
    </w:p>
    <w:p w14:paraId="29CFBA9B" w14:textId="77777777" w:rsidR="00F326E5" w:rsidRPr="00776A71" w:rsidRDefault="00F326E5" w:rsidP="00F326E5">
      <w:pPr>
        <w:pStyle w:val="NormalWeb"/>
        <w:ind w:firstLine="720"/>
        <w:rPr>
          <w:bCs/>
        </w:rPr>
      </w:pPr>
      <w:hyperlink r:id="rId1350" w:history="1">
        <w:r w:rsidRPr="00776A71">
          <w:rPr>
            <w:rStyle w:val="Hyperlink"/>
          </w:rPr>
          <w:t>https://law.justia.com/codes/new-jersey/2013/title-40a/section-40a-14-178/</w:t>
        </w:r>
      </w:hyperlink>
      <w:r w:rsidRPr="00776A71">
        <w:rPr>
          <w:bCs/>
        </w:rPr>
        <w:t xml:space="preserve"> </w:t>
      </w:r>
    </w:p>
    <w:p w14:paraId="213689E7" w14:textId="77777777" w:rsidR="00F326E5" w:rsidRPr="00776A71" w:rsidRDefault="00F326E5" w:rsidP="00F326E5">
      <w:pPr>
        <w:pStyle w:val="NormalWeb"/>
        <w:ind w:left="720"/>
        <w:rPr>
          <w:bCs/>
        </w:rPr>
      </w:pPr>
      <w:r w:rsidRPr="00776A71">
        <w:rPr>
          <w:bCs/>
        </w:rPr>
        <w:t>40A:14-178 Liability for training costs; terms defined.</w:t>
      </w:r>
      <w:r w:rsidRPr="00776A71">
        <w:br/>
      </w:r>
      <w:r w:rsidRPr="00776A71">
        <w:br/>
        <w:t>1. a. Whenever a person who resigned as a member of a county or municipal law enforcement agency is appointed to another county or municipal law enforcement agency, the police department of an educational institution pursuant to P.L.1970, c.211 (C.18A:6-4.2 et seq.), a State law enforcement agency or the New Jersey Transit Police Department pursuant to section 2 of P.L.1989, c.291 (C.27:25-15.1) within 120 days of resignation, and that person held a probationary appointment at the time of resignation or held a permanent appointment for 30 days or less prior to resignation, the county or municipal law enforcement agency, educational institution or State law enforcement agency appointing the person, or the New Jersey Transit Corporation, is liable to the former county or municipal employer, as appropriate, for the total certified costs incurred by the former employer in the examination, hiring, and training of the person.</w:t>
      </w:r>
    </w:p>
    <w:bookmarkEnd w:id="270"/>
    <w:p w14:paraId="00832108" w14:textId="77777777" w:rsidR="005353F2" w:rsidRDefault="005353F2" w:rsidP="00F326E5">
      <w:pPr>
        <w:pStyle w:val="NoSpacing"/>
        <w:rPr>
          <w:sz w:val="24"/>
          <w:szCs w:val="24"/>
        </w:rPr>
      </w:pPr>
    </w:p>
    <w:p w14:paraId="587B0A56" w14:textId="77777777" w:rsidR="00F27CD5" w:rsidRDefault="00F27CD5" w:rsidP="00EF1133">
      <w:pPr>
        <w:rPr>
          <w:rFonts w:ascii="Arial Black" w:hAnsi="Arial Black"/>
          <w:b/>
          <w:sz w:val="24"/>
          <w:szCs w:val="24"/>
        </w:rPr>
      </w:pPr>
    </w:p>
    <w:p w14:paraId="54B7D71C" w14:textId="36AAFB64" w:rsidR="005353F2" w:rsidRDefault="00EF1133" w:rsidP="00EF1133">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5</w:t>
      </w:r>
    </w:p>
    <w:p w14:paraId="20F0DA8E" w14:textId="77777777" w:rsidR="005353F2" w:rsidRDefault="005353F2" w:rsidP="00F326E5">
      <w:pPr>
        <w:pStyle w:val="NoSpacing"/>
        <w:rPr>
          <w:sz w:val="24"/>
          <w:szCs w:val="24"/>
        </w:rPr>
      </w:pPr>
    </w:p>
    <w:p w14:paraId="4455223C" w14:textId="1025DB87" w:rsidR="00F326E5" w:rsidRDefault="00F326E5" w:rsidP="00F326E5">
      <w:pPr>
        <w:pStyle w:val="NoSpacing"/>
        <w:rPr>
          <w:rFonts w:ascii="Arial Black" w:hAnsi="Arial Black"/>
          <w:b/>
          <w:sz w:val="28"/>
          <w:szCs w:val="28"/>
        </w:rPr>
      </w:pPr>
      <w:bookmarkStart w:id="271" w:name="_Hlk7343575"/>
      <w:r w:rsidRPr="009C2749">
        <w:rPr>
          <w:rFonts w:ascii="Arial Black" w:hAnsi="Arial Black"/>
          <w:b/>
          <w:sz w:val="28"/>
          <w:szCs w:val="28"/>
        </w:rPr>
        <w:t>VA</w:t>
      </w:r>
      <w:r>
        <w:rPr>
          <w:rFonts w:ascii="Arial Black" w:hAnsi="Arial Black"/>
          <w:b/>
          <w:sz w:val="28"/>
          <w:szCs w:val="28"/>
        </w:rPr>
        <w:t xml:space="preserve">: THROAT CANCER – RETIRED FF GETS WORKERS COMP – BUT NOT HEALTH INSURANCE </w:t>
      </w:r>
    </w:p>
    <w:p w14:paraId="0BFC0DE7" w14:textId="757E1C74" w:rsidR="00F326E5" w:rsidRPr="009F1927" w:rsidRDefault="00F326E5" w:rsidP="00F326E5">
      <w:pPr>
        <w:rPr>
          <w:rStyle w:val="Hyperlink"/>
          <w:rFonts w:ascii="Times New Roman" w:hAnsi="Times New Roman"/>
          <w:sz w:val="24"/>
          <w:szCs w:val="24"/>
        </w:rPr>
      </w:pPr>
      <w:r w:rsidRPr="009F1927">
        <w:rPr>
          <w:rFonts w:ascii="Times New Roman" w:eastAsia="Times New Roman" w:hAnsi="Times New Roman"/>
          <w:sz w:val="24"/>
          <w:szCs w:val="24"/>
        </w:rPr>
        <w:t xml:space="preserve">On June 7, 2018, in </w:t>
      </w:r>
      <w:r w:rsidRPr="009F1927">
        <w:rPr>
          <w:rFonts w:ascii="Times New Roman" w:eastAsia="Times New Roman" w:hAnsi="Times New Roman"/>
          <w:sz w:val="24"/>
          <w:szCs w:val="24"/>
          <w:u w:val="single"/>
        </w:rPr>
        <w:t>Eddie R. Jones, Sr. v. Commonwealth of Virginia</w:t>
      </w:r>
      <w:r w:rsidRPr="009F1927">
        <w:rPr>
          <w:rFonts w:ascii="Times New Roman" w:eastAsia="Times New Roman" w:hAnsi="Times New Roman"/>
          <w:sz w:val="24"/>
          <w:szCs w:val="24"/>
        </w:rPr>
        <w:t xml:space="preserve">, the VA Supreme Court (7 to 0) held: “Throat cancer is properly considered an occupational disease which arose out of Jones’s employment. He is entitled to and has been awarded benefits under the Workers’ Compensation Act. However, the occupational disease did not result in a disability while Jones was still carrying out his duties as a firefighter. Therefore, he is not entitled to insurance benefits under Code § 9.1-401(B), because he does not meet the definition of a ‘disabled person’ under the Act.”   </w:t>
      </w:r>
      <w:r w:rsidRPr="009F1927">
        <w:rPr>
          <w:rStyle w:val="Hyperlink"/>
          <w:rFonts w:ascii="Times New Roman" w:hAnsi="Times New Roman"/>
          <w:sz w:val="24"/>
          <w:szCs w:val="24"/>
        </w:rPr>
        <w:t>http://www.courts.state.va.us/opinions/opnscvwp/1170639.pdf</w:t>
      </w:r>
    </w:p>
    <w:p w14:paraId="5FAE139C"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 xml:space="preserve">Legal Lessons Learned: At least 34 states have now enacted statutory presumptions, with wide variety of coverages.  This case illustrates the importance of clear statutory language about disability benefits when cancer is detected after retirement. </w:t>
      </w:r>
    </w:p>
    <w:p w14:paraId="34332675" w14:textId="77777777" w:rsidR="00F326E5" w:rsidRPr="009F1927" w:rsidRDefault="00F326E5" w:rsidP="00F326E5">
      <w:pPr>
        <w:ind w:firstLine="720"/>
        <w:rPr>
          <w:rFonts w:ascii="Times New Roman" w:eastAsia="Times New Roman" w:hAnsi="Times New Roman"/>
          <w:sz w:val="24"/>
          <w:szCs w:val="24"/>
        </w:rPr>
      </w:pPr>
      <w:r w:rsidRPr="009F1927">
        <w:rPr>
          <w:rFonts w:ascii="Times New Roman" w:eastAsia="Times New Roman" w:hAnsi="Times New Roman"/>
          <w:sz w:val="24"/>
          <w:szCs w:val="24"/>
        </w:rPr>
        <w:t xml:space="preserve">See these resources: </w:t>
      </w:r>
    </w:p>
    <w:p w14:paraId="295727BA" w14:textId="77777777" w:rsidR="00F326E5" w:rsidRPr="009F1927" w:rsidRDefault="00F326E5" w:rsidP="00F326E5">
      <w:pPr>
        <w:ind w:firstLine="720"/>
        <w:rPr>
          <w:rStyle w:val="Hyperlink"/>
          <w:rFonts w:ascii="Times New Roman" w:hAnsi="Times New Roman"/>
          <w:sz w:val="24"/>
          <w:szCs w:val="24"/>
        </w:rPr>
      </w:pPr>
      <w:hyperlink r:id="rId1351" w:anchor="contentid=48598" w:history="1">
        <w:r w:rsidRPr="009F1927">
          <w:rPr>
            <w:rStyle w:val="Hyperlink"/>
            <w:rFonts w:ascii="Times New Roman" w:hAnsi="Times New Roman"/>
            <w:sz w:val="24"/>
            <w:szCs w:val="24"/>
          </w:rPr>
          <w:t>http://client.prod.iaff.org/#contentid=48598</w:t>
        </w:r>
      </w:hyperlink>
      <w:r w:rsidRPr="009F1927">
        <w:rPr>
          <w:rStyle w:val="Hyperlink"/>
          <w:rFonts w:ascii="Times New Roman" w:hAnsi="Times New Roman"/>
          <w:sz w:val="24"/>
          <w:szCs w:val="24"/>
        </w:rPr>
        <w:t>;</w:t>
      </w:r>
    </w:p>
    <w:p w14:paraId="0F9BE084" w14:textId="77777777" w:rsidR="00F326E5" w:rsidRPr="009F1927" w:rsidRDefault="00F326E5" w:rsidP="00F326E5">
      <w:pPr>
        <w:ind w:left="720"/>
        <w:rPr>
          <w:rFonts w:ascii="Times New Roman" w:eastAsia="Times New Roman" w:hAnsi="Times New Roman"/>
          <w:sz w:val="24"/>
          <w:szCs w:val="24"/>
        </w:rPr>
      </w:pPr>
      <w:hyperlink r:id="rId1352" w:history="1">
        <w:r w:rsidRPr="009F1927">
          <w:rPr>
            <w:rStyle w:val="Hyperlink"/>
            <w:rFonts w:ascii="Times New Roman" w:hAnsi="Times New Roman"/>
            <w:sz w:val="24"/>
            <w:szCs w:val="24"/>
          </w:rPr>
          <w:t>https://legislature.vermont.gov/assets/Documents/2018/WorkGroups/House%20Commerce/Bills/H.197/H.197~Laura%20Backus%20Hall~NCCI%20White%20Paper%20on%20Firefighter%20Presumptive%20Coverage~3-16-2017.pdf</w:t>
        </w:r>
      </w:hyperlink>
      <w:r w:rsidRPr="009F1927">
        <w:rPr>
          <w:rFonts w:ascii="Times New Roman" w:eastAsia="Times New Roman" w:hAnsi="Times New Roman"/>
          <w:sz w:val="24"/>
          <w:szCs w:val="24"/>
        </w:rPr>
        <w:t xml:space="preserve"> </w:t>
      </w:r>
    </w:p>
    <w:p w14:paraId="6A00E88A" w14:textId="77777777" w:rsidR="00F326E5" w:rsidRPr="009F1927" w:rsidRDefault="00F326E5" w:rsidP="00F326E5">
      <w:pPr>
        <w:ind w:firstLine="720"/>
        <w:rPr>
          <w:rFonts w:ascii="Times New Roman" w:eastAsia="Times New Roman" w:hAnsi="Times New Roman"/>
          <w:sz w:val="24"/>
          <w:szCs w:val="24"/>
        </w:rPr>
      </w:pPr>
      <w:hyperlink r:id="rId1353" w:history="1">
        <w:r w:rsidRPr="009F1927">
          <w:rPr>
            <w:rStyle w:val="Hyperlink"/>
            <w:rFonts w:ascii="Times New Roman" w:hAnsi="Times New Roman"/>
            <w:sz w:val="24"/>
            <w:szCs w:val="24"/>
          </w:rPr>
          <w:t>http://tkolb.net/firereports/presumptionreport2009.pdf</w:t>
        </w:r>
      </w:hyperlink>
      <w:r w:rsidRPr="009F1927">
        <w:rPr>
          <w:rFonts w:ascii="Times New Roman" w:eastAsia="Times New Roman" w:hAnsi="Times New Roman"/>
          <w:sz w:val="24"/>
          <w:szCs w:val="24"/>
        </w:rPr>
        <w:t xml:space="preserve"> </w:t>
      </w:r>
    </w:p>
    <w:p w14:paraId="3FE5E600" w14:textId="77777777" w:rsidR="00F326E5" w:rsidRPr="009F2867" w:rsidRDefault="00F326E5" w:rsidP="00F326E5">
      <w:pPr>
        <w:ind w:left="720"/>
        <w:rPr>
          <w:rFonts w:eastAsia="Times New Roman"/>
          <w:sz w:val="24"/>
          <w:szCs w:val="24"/>
        </w:rPr>
      </w:pPr>
      <w:hyperlink r:id="rId1354" w:history="1">
        <w:r w:rsidRPr="009F2867">
          <w:rPr>
            <w:rStyle w:val="Hyperlink"/>
            <w:sz w:val="24"/>
            <w:szCs w:val="24"/>
          </w:rPr>
          <w:t>https://www.firstrespondercenter.org/cancer/toolsresources/presumptive-legislation-firefighter-cancer-state/</w:t>
        </w:r>
      </w:hyperlink>
      <w:r w:rsidRPr="009F2867">
        <w:rPr>
          <w:rFonts w:eastAsia="Times New Roman"/>
          <w:sz w:val="24"/>
          <w:szCs w:val="24"/>
        </w:rPr>
        <w:t xml:space="preserve"> </w:t>
      </w:r>
    </w:p>
    <w:bookmarkEnd w:id="271"/>
    <w:p w14:paraId="5B39C82D" w14:textId="77777777" w:rsidR="00EF1133" w:rsidRDefault="00EF1133" w:rsidP="00F326E5">
      <w:pPr>
        <w:rPr>
          <w:rFonts w:ascii="Arial Black" w:hAnsi="Arial Black"/>
          <w:b/>
          <w:sz w:val="24"/>
          <w:szCs w:val="24"/>
        </w:rPr>
      </w:pPr>
    </w:p>
    <w:p w14:paraId="71B56F1B" w14:textId="2833831D" w:rsidR="00F326E5" w:rsidRPr="00145CFB" w:rsidRDefault="00EF1133" w:rsidP="00F326E5">
      <w:pPr>
        <w:rPr>
          <w:rFonts w:eastAsia="Times New Roman"/>
          <w:b/>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4</w:t>
      </w:r>
    </w:p>
    <w:p w14:paraId="5874483B" w14:textId="1763902E" w:rsidR="00F326E5" w:rsidRPr="00512C93" w:rsidRDefault="00F326E5" w:rsidP="00F326E5">
      <w:pPr>
        <w:pStyle w:val="NoSpacing"/>
        <w:rPr>
          <w:rFonts w:ascii="Arial Black" w:hAnsi="Arial Black"/>
          <w:b/>
          <w:sz w:val="28"/>
          <w:szCs w:val="28"/>
        </w:rPr>
      </w:pPr>
      <w:bookmarkStart w:id="272" w:name="_Hlk7343609"/>
      <w:r w:rsidRPr="00512C93">
        <w:rPr>
          <w:rFonts w:ascii="Arial Black" w:hAnsi="Arial Black"/>
          <w:b/>
          <w:sz w:val="28"/>
          <w:szCs w:val="28"/>
        </w:rPr>
        <w:t>PA</w:t>
      </w:r>
      <w:r>
        <w:rPr>
          <w:rFonts w:ascii="Arial Black" w:hAnsi="Arial Black"/>
          <w:b/>
          <w:sz w:val="28"/>
          <w:szCs w:val="28"/>
        </w:rPr>
        <w:t xml:space="preserve">: </w:t>
      </w:r>
      <w:r w:rsidR="005353F2">
        <w:rPr>
          <w:rFonts w:ascii="Arial Black" w:hAnsi="Arial Black"/>
          <w:b/>
          <w:sz w:val="28"/>
          <w:szCs w:val="28"/>
        </w:rPr>
        <w:t xml:space="preserve">BREAST </w:t>
      </w:r>
      <w:r w:rsidRPr="00512C93">
        <w:rPr>
          <w:rFonts w:ascii="Arial Black" w:hAnsi="Arial Black"/>
          <w:b/>
          <w:sz w:val="28"/>
          <w:szCs w:val="28"/>
        </w:rPr>
        <w:t>C</w:t>
      </w:r>
      <w:r>
        <w:rPr>
          <w:rFonts w:ascii="Arial Black" w:hAnsi="Arial Black"/>
          <w:b/>
          <w:sz w:val="28"/>
          <w:szCs w:val="28"/>
        </w:rPr>
        <w:t>ANCER – RETIRED FF GETS MEDICAL COVERAGE BACK TO DATE OF RETIREMENT</w:t>
      </w:r>
    </w:p>
    <w:p w14:paraId="48A8ED2A" w14:textId="77777777" w:rsid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t xml:space="preserve">On June 1, 2018, in </w:t>
      </w:r>
      <w:r w:rsidRPr="009F1927">
        <w:rPr>
          <w:rFonts w:ascii="Times New Roman" w:eastAsia="Times New Roman" w:hAnsi="Times New Roman"/>
          <w:sz w:val="24"/>
          <w:szCs w:val="24"/>
          <w:u w:val="single"/>
        </w:rPr>
        <w:t>City of Pittsburg and UPMC Benefit Management Systems, Inv. v. Workers Compensation Appeal Board (Flaherty</w:t>
      </w:r>
      <w:r w:rsidRPr="009F1927">
        <w:rPr>
          <w:rFonts w:ascii="Times New Roman" w:eastAsia="Times New Roman" w:hAnsi="Times New Roman"/>
          <w:sz w:val="24"/>
          <w:szCs w:val="24"/>
        </w:rPr>
        <w:t xml:space="preserve">), the Commonwealth Court of Pennsylvania upheld (3 to 0) the Board, </w:t>
      </w:r>
    </w:p>
    <w:p w14:paraId="0003EF28" w14:textId="6F23BA24" w:rsidR="00F326E5" w:rsidRPr="009F1927" w:rsidRDefault="00F326E5" w:rsidP="009F1927">
      <w:pPr>
        <w:ind w:left="720"/>
        <w:rPr>
          <w:rFonts w:ascii="Times New Roman" w:hAnsi="Times New Roman"/>
          <w:sz w:val="24"/>
          <w:szCs w:val="24"/>
        </w:rPr>
      </w:pPr>
      <w:r w:rsidRPr="009F1927">
        <w:rPr>
          <w:rFonts w:ascii="Times New Roman" w:eastAsia="Times New Roman" w:hAnsi="Times New Roman"/>
          <w:sz w:val="24"/>
          <w:szCs w:val="24"/>
        </w:rPr>
        <w:t>“</w:t>
      </w:r>
      <w:proofErr w:type="gramStart"/>
      <w:r w:rsidRPr="009F1927">
        <w:rPr>
          <w:rFonts w:ascii="Times New Roman" w:hAnsi="Times New Roman"/>
          <w:sz w:val="24"/>
          <w:szCs w:val="24"/>
        </w:rPr>
        <w:t>holding</w:t>
      </w:r>
      <w:proofErr w:type="gramEnd"/>
      <w:r w:rsidRPr="009F1927">
        <w:rPr>
          <w:rFonts w:ascii="Times New Roman" w:hAnsi="Times New Roman"/>
          <w:sz w:val="24"/>
          <w:szCs w:val="24"/>
        </w:rPr>
        <w:t xml:space="preserve"> that Anne Marie Flaherty (Claimant) gave notice to Employer within 21 days of when she knew or should have known that her cancer was work-related. Because Claimant gave notice within 21 days, she was entitled to benefits from September 10, 2004, the date she left </w:t>
      </w:r>
      <w:proofErr w:type="gramStart"/>
      <w:r w:rsidRPr="009F1927">
        <w:rPr>
          <w:rFonts w:ascii="Times New Roman" w:hAnsi="Times New Roman"/>
          <w:sz w:val="24"/>
          <w:szCs w:val="24"/>
        </w:rPr>
        <w:t>work</w:t>
      </w:r>
      <w:proofErr w:type="gramEnd"/>
      <w:r w:rsidRPr="009F1927">
        <w:rPr>
          <w:rFonts w:ascii="Times New Roman" w:hAnsi="Times New Roman"/>
          <w:sz w:val="24"/>
          <w:szCs w:val="24"/>
        </w:rPr>
        <w:t xml:space="preserve"> due to her injury, as opposed to September 23, 2011, the date she filed her claim petition.” </w:t>
      </w:r>
      <w:hyperlink r:id="rId1355" w:history="1">
        <w:r w:rsidRPr="009F1927">
          <w:rPr>
            <w:rStyle w:val="Hyperlink"/>
            <w:rFonts w:ascii="Times New Roman" w:hAnsi="Times New Roman"/>
            <w:sz w:val="24"/>
            <w:szCs w:val="24"/>
          </w:rPr>
          <w:t>https://caselaw.findlaw.com/pa-commonwealth-court/1897108.html</w:t>
        </w:r>
      </w:hyperlink>
      <w:r w:rsidRPr="009F1927">
        <w:rPr>
          <w:rFonts w:ascii="Times New Roman" w:hAnsi="Times New Roman"/>
          <w:sz w:val="24"/>
          <w:szCs w:val="24"/>
        </w:rPr>
        <w:t xml:space="preserve"> </w:t>
      </w:r>
    </w:p>
    <w:p w14:paraId="31FA7E57"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Timely notice of claim is important, even with statutory presumption.</w:t>
      </w:r>
    </w:p>
    <w:bookmarkEnd w:id="272"/>
    <w:p w14:paraId="71CD9AE8" w14:textId="77777777" w:rsidR="00F326E5" w:rsidRPr="009F2867" w:rsidRDefault="00F326E5" w:rsidP="00F326E5">
      <w:pPr>
        <w:pStyle w:val="NoSpacing"/>
        <w:rPr>
          <w:rFonts w:ascii="Arial Black" w:hAnsi="Arial Black"/>
          <w:b/>
          <w:sz w:val="24"/>
          <w:szCs w:val="24"/>
        </w:rPr>
      </w:pPr>
    </w:p>
    <w:p w14:paraId="77BCB2FF" w14:textId="77777777" w:rsidR="00F326E5" w:rsidRPr="009F2867" w:rsidRDefault="00F326E5" w:rsidP="00F326E5">
      <w:pPr>
        <w:pStyle w:val="NoSpacing"/>
        <w:rPr>
          <w:b/>
          <w:sz w:val="24"/>
          <w:szCs w:val="24"/>
        </w:rPr>
      </w:pPr>
    </w:p>
    <w:p w14:paraId="18635B1C" w14:textId="77777777" w:rsidR="00F27CD5" w:rsidRDefault="00F27CD5" w:rsidP="00F326E5">
      <w:pPr>
        <w:rPr>
          <w:rFonts w:ascii="Arial Black" w:hAnsi="Arial Black"/>
          <w:b/>
          <w:sz w:val="24"/>
          <w:szCs w:val="24"/>
        </w:rPr>
      </w:pPr>
    </w:p>
    <w:p w14:paraId="1D2BDAD9" w14:textId="7C95C2E9" w:rsidR="00F326E5" w:rsidRDefault="00EF1133" w:rsidP="00F326E5">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3</w:t>
      </w:r>
    </w:p>
    <w:p w14:paraId="36777433" w14:textId="619EE8C9" w:rsidR="00F326E5" w:rsidRPr="009F2867" w:rsidRDefault="00F326E5" w:rsidP="00F326E5">
      <w:pPr>
        <w:rPr>
          <w:sz w:val="24"/>
          <w:szCs w:val="24"/>
        </w:rPr>
      </w:pPr>
      <w:bookmarkStart w:id="273" w:name="_Hlk7343690"/>
      <w:r w:rsidRPr="00512C93">
        <w:rPr>
          <w:rFonts w:ascii="Arial Black" w:hAnsi="Arial Black"/>
          <w:b/>
          <w:sz w:val="28"/>
          <w:szCs w:val="28"/>
        </w:rPr>
        <w:t>U.S. S</w:t>
      </w:r>
      <w:r>
        <w:rPr>
          <w:rFonts w:ascii="Arial Black" w:hAnsi="Arial Black"/>
          <w:b/>
          <w:sz w:val="28"/>
          <w:szCs w:val="28"/>
        </w:rPr>
        <w:t xml:space="preserve">UP. COURT – ENFORCES ARBITRATION AGREEMENTS – EMPLOYEE CAN’T SUE </w:t>
      </w:r>
      <w:r w:rsidRPr="009F2867">
        <w:rPr>
          <w:sz w:val="24"/>
          <w:szCs w:val="24"/>
        </w:rPr>
        <w:t>[also filed, Chap. 17]</w:t>
      </w:r>
    </w:p>
    <w:p w14:paraId="1FB1994D" w14:textId="77777777" w:rsidR="00F326E5" w:rsidRP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May 21, 2018, in </w:t>
      </w:r>
      <w:r w:rsidRPr="009F1927">
        <w:rPr>
          <w:rFonts w:ascii="Times New Roman" w:hAnsi="Times New Roman"/>
          <w:sz w:val="24"/>
          <w:szCs w:val="24"/>
          <w:u w:val="single"/>
        </w:rPr>
        <w:t>Epic Systems Corp. v. Lewis</w:t>
      </w:r>
      <w:r w:rsidRPr="009F1927">
        <w:rPr>
          <w:rFonts w:ascii="Times New Roman" w:hAnsi="Times New Roman"/>
          <w:sz w:val="24"/>
          <w:szCs w:val="24"/>
        </w:rPr>
        <w:t>, the U.S. Supreme Court (5 to 4), 584 U.S. ___ (2018), in a decision written by newly appointed Justice Gorsuch, held:</w:t>
      </w:r>
    </w:p>
    <w:p w14:paraId="4405A5B4" w14:textId="77777777" w:rsidR="009F1927" w:rsidRDefault="009F1927" w:rsidP="00F326E5">
      <w:pPr>
        <w:pStyle w:val="NoSpacing"/>
        <w:ind w:left="720"/>
        <w:rPr>
          <w:rFonts w:ascii="Times New Roman" w:eastAsia="Times New Roman" w:hAnsi="Times New Roman"/>
          <w:sz w:val="24"/>
          <w:szCs w:val="24"/>
        </w:rPr>
      </w:pPr>
    </w:p>
    <w:p w14:paraId="7B52F177" w14:textId="2AEC3DA5" w:rsidR="00F326E5" w:rsidRPr="009F1927" w:rsidRDefault="00F326E5" w:rsidP="00F326E5">
      <w:pPr>
        <w:pStyle w:val="NoSpacing"/>
        <w:ind w:left="720"/>
        <w:rPr>
          <w:rFonts w:ascii="Times New Roman" w:hAnsi="Times New Roman"/>
          <w:sz w:val="24"/>
          <w:szCs w:val="24"/>
        </w:rPr>
      </w:pPr>
      <w:r w:rsidRPr="009F1927">
        <w:rPr>
          <w:rFonts w:ascii="Times New Roman" w:eastAsia="Times New Roman" w:hAnsi="Times New Roman"/>
          <w:sz w:val="24"/>
          <w:szCs w:val="24"/>
        </w:rPr>
        <w:t xml:space="preserve">“Should employees and employers be allowed to agree that any disputes between them will be resolved through one-on-one arbitration? Or should employees always be permitted to bring their claims in class or collective actions, no matter what they agreed with their employers?  As a matter of policy these questions are surely debatable. But as a matter of law the answer is clear. In the Federal Arbitration Act, Congress has instructed federal courts to enforce arbitration agreements according to their terms—including terms providing for individualized proceedings.” </w:t>
      </w:r>
      <w:hyperlink r:id="rId1356" w:history="1">
        <w:r w:rsidRPr="009F1927">
          <w:rPr>
            <w:rStyle w:val="Hyperlink"/>
            <w:rFonts w:ascii="Times New Roman" w:hAnsi="Times New Roman"/>
            <w:sz w:val="24"/>
            <w:szCs w:val="24"/>
          </w:rPr>
          <w:t>https://www.supremecourt.gov/opinions/17pdf/16-285_q8l1.pdf</w:t>
        </w:r>
      </w:hyperlink>
    </w:p>
    <w:p w14:paraId="380661E9" w14:textId="77777777" w:rsidR="00F326E5" w:rsidRPr="009F1927" w:rsidRDefault="00F326E5" w:rsidP="00F326E5">
      <w:pPr>
        <w:pStyle w:val="statutory-body-3em"/>
        <w:rPr>
          <w:b/>
        </w:rPr>
      </w:pPr>
      <w:r w:rsidRPr="009F1927">
        <w:rPr>
          <w:b/>
        </w:rPr>
        <w:t xml:space="preserve">Legal Lessons Learned:  This decision is one of the most important businesses cases before the Court.  Many employers, including private ambulance companies, will now be encouraged to have new hires sign an arbitration document.  </w:t>
      </w:r>
    </w:p>
    <w:p w14:paraId="67E6EEE6" w14:textId="77777777" w:rsidR="00F326E5" w:rsidRPr="00776A71" w:rsidRDefault="00F326E5" w:rsidP="00F326E5">
      <w:pPr>
        <w:pStyle w:val="statutory-body-3em"/>
        <w:ind w:left="720"/>
      </w:pPr>
      <w:r w:rsidRPr="00776A71">
        <w:t xml:space="preserve">AFL-CIO President Richard Trauma was quoted, “Five justices on the Supreme Court decided that it is acceptable for working people to have their legal rights taken away by corporations in order to keep their jobs.” </w:t>
      </w:r>
      <w:hyperlink r:id="rId1357" w:history="1">
        <w:r w:rsidRPr="00776A71">
          <w:rPr>
            <w:rStyle w:val="Hyperlink"/>
          </w:rPr>
          <w:t>https://www.sfgate.com/news/article/Supreme-Court-rules-that-companies-can-require-12931130.php</w:t>
        </w:r>
      </w:hyperlink>
      <w:r w:rsidRPr="00776A71">
        <w:t xml:space="preserve"> </w:t>
      </w:r>
    </w:p>
    <w:p w14:paraId="2167E3CB" w14:textId="77777777" w:rsidR="00F326E5" w:rsidRPr="009F2867" w:rsidRDefault="00F326E5" w:rsidP="00F326E5">
      <w:pPr>
        <w:pStyle w:val="NormalWeb"/>
        <w:ind w:left="720"/>
      </w:pPr>
      <w:r w:rsidRPr="009F1927">
        <w:t xml:space="preserve">Note:  see Jan. 15, </w:t>
      </w:r>
      <w:proofErr w:type="gramStart"/>
      <w:r w:rsidRPr="009F1927">
        <w:t>2019</w:t>
      </w:r>
      <w:proofErr w:type="gramEnd"/>
      <w:r w:rsidRPr="009F1927">
        <w:t xml:space="preserve"> U.S. Supreme Court decision in New Prime, Inc. v. Oliveira, </w:t>
      </w:r>
      <w:r w:rsidRPr="009F1927">
        <w:rPr>
          <w:rStyle w:val="Strong"/>
        </w:rPr>
        <w:t>Holding</w:t>
      </w:r>
      <w:r w:rsidRPr="009F1927">
        <w:t xml:space="preserve">: A court should determine whether the Federal Arbitration Act’s Section 1 exclusion for disputes involving the “contracts of employment” of certain transportation workers applies before ordering arbitration; here, truck driver Dominic Oliveira’s independent contractor operating agreement with New Prime Inc. falls within that exception. </w:t>
      </w:r>
      <w:r w:rsidRPr="009F1927">
        <w:rPr>
          <w:rStyle w:val="Strong"/>
        </w:rPr>
        <w:t>Judgment</w:t>
      </w:r>
      <w:r w:rsidRPr="009F1927">
        <w:t xml:space="preserve">: </w:t>
      </w:r>
      <w:hyperlink r:id="rId1358" w:tgtFrame="_blank" w:history="1">
        <w:r w:rsidRPr="009F1927">
          <w:rPr>
            <w:rStyle w:val="Hyperlink"/>
          </w:rPr>
          <w:t>Affirmed</w:t>
        </w:r>
      </w:hyperlink>
      <w:r w:rsidRPr="009F1927">
        <w:t>, 8-0, in an opinion by Justice Gorsuch on January 15, 2019. Justice</w:t>
      </w:r>
      <w:r w:rsidRPr="009F2867">
        <w:t xml:space="preserve"> Ginsburg filed a concurring opinion. Justice Kavanaugh took no part in the consideration or decision of the case. </w:t>
      </w:r>
      <w:hyperlink r:id="rId1359" w:history="1">
        <w:r w:rsidRPr="009F2867">
          <w:rPr>
            <w:rStyle w:val="Hyperlink"/>
          </w:rPr>
          <w:t>https://www.scotusblog.com/case-files/cases/new-prime-inc-v-oliveira/</w:t>
        </w:r>
      </w:hyperlink>
      <w:r w:rsidRPr="009F2867">
        <w:t xml:space="preserve"> </w:t>
      </w:r>
    </w:p>
    <w:p w14:paraId="2CAA8189" w14:textId="77777777" w:rsidR="00EF1133" w:rsidRDefault="00EF1133" w:rsidP="00EF1133">
      <w:pPr>
        <w:rPr>
          <w:rFonts w:ascii="Arial Black" w:hAnsi="Arial Black"/>
          <w:b/>
          <w:sz w:val="24"/>
          <w:szCs w:val="24"/>
        </w:rPr>
      </w:pPr>
      <w:bookmarkStart w:id="274" w:name="_Hlk515004207"/>
      <w:bookmarkEnd w:id="273"/>
    </w:p>
    <w:p w14:paraId="2E1F70BD" w14:textId="3822DDFA" w:rsidR="00F326E5" w:rsidRDefault="00EF1133" w:rsidP="00EF1133">
      <w:pPr>
        <w:rPr>
          <w:b/>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2</w:t>
      </w:r>
    </w:p>
    <w:p w14:paraId="0734C56D" w14:textId="28554A14" w:rsidR="00F326E5" w:rsidRDefault="00F326E5" w:rsidP="00F326E5">
      <w:pPr>
        <w:pStyle w:val="NoSpacing"/>
        <w:rPr>
          <w:rFonts w:ascii="Arial Black" w:hAnsi="Arial Black"/>
          <w:sz w:val="28"/>
          <w:szCs w:val="28"/>
        </w:rPr>
      </w:pPr>
      <w:bookmarkStart w:id="275" w:name="_Hlk7343724"/>
      <w:r>
        <w:rPr>
          <w:rFonts w:ascii="Arial Black" w:hAnsi="Arial Black"/>
          <w:sz w:val="28"/>
          <w:szCs w:val="28"/>
        </w:rPr>
        <w:t>MD: COLLECTIVE BARGAINING – COUNTY MUST BARGAIN OVER CHANGE IN HEALTH INSURANCE BENEFITS</w:t>
      </w:r>
    </w:p>
    <w:bookmarkEnd w:id="274"/>
    <w:p w14:paraId="6588E62D"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March 28, 2018, in </w:t>
      </w:r>
      <w:r w:rsidRPr="009F1927">
        <w:rPr>
          <w:rFonts w:ascii="Times New Roman" w:hAnsi="Times New Roman"/>
          <w:sz w:val="24"/>
          <w:szCs w:val="24"/>
          <w:u w:val="single"/>
        </w:rPr>
        <w:t>O’Brien Atkinson, et al. v. Anne Arundel County</w:t>
      </w:r>
      <w:r w:rsidRPr="009F1927">
        <w:rPr>
          <w:rFonts w:ascii="Times New Roman" w:hAnsi="Times New Roman"/>
          <w:sz w:val="24"/>
          <w:szCs w:val="24"/>
        </w:rPr>
        <w:t xml:space="preserve">, the Court of Appeals of Maryland, held (3 to 0) that the County cannot unilaterally change health benefits; case is remanded to trial court. </w:t>
      </w:r>
    </w:p>
    <w:p w14:paraId="0E869402" w14:textId="1E029E8A"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t xml:space="preserve">“We leave it to the parties and trial court, applying the balancing test on remand, to ascertain the scope of collective bargaining rights over health insurance benefits as mandated under §§ 811 and 812 of the Charter.” </w:t>
      </w:r>
      <w:hyperlink r:id="rId1360" w:history="1">
        <w:r w:rsidRPr="009F1927">
          <w:rPr>
            <w:rStyle w:val="Hyperlink"/>
            <w:rFonts w:ascii="Times New Roman" w:hAnsi="Times New Roman"/>
            <w:sz w:val="24"/>
            <w:szCs w:val="24"/>
          </w:rPr>
          <w:t>file:///C:/Users/lawre/AppData/Local/Microsoft/Windows/INetCache/IE/CTCRXJ99/0788s16.pdf</w:t>
        </w:r>
      </w:hyperlink>
      <w:r w:rsidRPr="009F1927">
        <w:rPr>
          <w:rFonts w:ascii="Times New Roman" w:hAnsi="Times New Roman"/>
          <w:sz w:val="24"/>
          <w:szCs w:val="24"/>
        </w:rPr>
        <w:t xml:space="preserve"> </w:t>
      </w:r>
    </w:p>
    <w:p w14:paraId="5BE8C70C"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 xml:space="preserve">LEGAL LESSONS LEARNED: The County Charter mandated collective bargaining and arbitration. </w:t>
      </w:r>
    </w:p>
    <w:bookmarkEnd w:id="275"/>
    <w:p w14:paraId="0DFA70BF" w14:textId="77777777" w:rsidR="00EF1133" w:rsidRDefault="00EF1133" w:rsidP="00EF1133">
      <w:pPr>
        <w:rPr>
          <w:rFonts w:ascii="Arial Black" w:hAnsi="Arial Black"/>
          <w:b/>
          <w:sz w:val="24"/>
          <w:szCs w:val="24"/>
        </w:rPr>
      </w:pPr>
    </w:p>
    <w:p w14:paraId="297EB295" w14:textId="77777777" w:rsidR="00F27CD5" w:rsidRDefault="00F27CD5" w:rsidP="00EF1133">
      <w:pPr>
        <w:rPr>
          <w:rFonts w:ascii="Arial Black" w:hAnsi="Arial Black"/>
          <w:b/>
          <w:sz w:val="24"/>
          <w:szCs w:val="24"/>
        </w:rPr>
      </w:pPr>
    </w:p>
    <w:p w14:paraId="5A4F467D" w14:textId="13E09346"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p>
    <w:p w14:paraId="6C6185C1" w14:textId="48D52178" w:rsidR="00255E41" w:rsidRPr="00255E41" w:rsidRDefault="00F326E5" w:rsidP="00255E41">
      <w:pPr>
        <w:pStyle w:val="NoSpacing"/>
        <w:rPr>
          <w:rFonts w:ascii="Times New Roman" w:hAnsi="Times New Roman"/>
          <w:b/>
          <w:sz w:val="24"/>
          <w:szCs w:val="24"/>
        </w:rPr>
      </w:pPr>
      <w:bookmarkStart w:id="276" w:name="_Hlk515004318"/>
      <w:bookmarkStart w:id="277" w:name="_Hlk7343765"/>
      <w:r>
        <w:rPr>
          <w:rFonts w:ascii="Arial Black" w:hAnsi="Arial Black"/>
          <w:sz w:val="28"/>
          <w:szCs w:val="28"/>
        </w:rPr>
        <w:t>RI: “DISABLED” FF IS VIDEOTAPED WEIGHTLIFTING – DISABILITY PENSION BENEFITS TERMINATED</w:t>
      </w:r>
      <w:r w:rsidR="00255E41">
        <w:rPr>
          <w:rFonts w:ascii="Arial Black" w:hAnsi="Arial Black"/>
          <w:sz w:val="28"/>
          <w:szCs w:val="28"/>
        </w:rPr>
        <w:t xml:space="preserve"> </w:t>
      </w:r>
      <w:r w:rsidR="00255E41" w:rsidRPr="00255E41">
        <w:rPr>
          <w:rFonts w:ascii="Times New Roman" w:hAnsi="Times New Roman"/>
          <w:sz w:val="24"/>
          <w:szCs w:val="24"/>
        </w:rPr>
        <w:t>[also filed, Chap. 16]</w:t>
      </w:r>
    </w:p>
    <w:p w14:paraId="1DB0B58D" w14:textId="299FA3F4" w:rsidR="00F326E5" w:rsidRDefault="00F326E5" w:rsidP="00F326E5">
      <w:pPr>
        <w:pStyle w:val="NoSpacing"/>
        <w:rPr>
          <w:b/>
          <w:sz w:val="24"/>
          <w:szCs w:val="24"/>
        </w:rPr>
      </w:pPr>
    </w:p>
    <w:bookmarkEnd w:id="276"/>
    <w:p w14:paraId="3A4BE366" w14:textId="1AB834EE" w:rsidR="009F1927" w:rsidRDefault="00F326E5" w:rsidP="00F326E5">
      <w:pPr>
        <w:pStyle w:val="NoSpacing"/>
        <w:rPr>
          <w:rFonts w:ascii="Times New Roman" w:hAnsi="Times New Roman"/>
          <w:color w:val="4A4A4A"/>
          <w:sz w:val="24"/>
          <w:szCs w:val="24"/>
          <w:lang w:val="en"/>
        </w:rPr>
      </w:pPr>
      <w:r w:rsidRPr="009F1927">
        <w:rPr>
          <w:rFonts w:ascii="Times New Roman" w:hAnsi="Times New Roman"/>
          <w:color w:val="4A4A4A"/>
          <w:sz w:val="24"/>
          <w:szCs w:val="24"/>
          <w:lang w:val="en"/>
        </w:rPr>
        <w:t xml:space="preserve">On </w:t>
      </w:r>
      <w:bookmarkStart w:id="278" w:name="_Hlk39832586"/>
      <w:r w:rsidRPr="009F1927">
        <w:rPr>
          <w:rFonts w:ascii="Times New Roman" w:hAnsi="Times New Roman"/>
          <w:color w:val="4A4A4A"/>
          <w:sz w:val="24"/>
          <w:szCs w:val="24"/>
          <w:lang w:val="en"/>
        </w:rPr>
        <w:t>Feb. 2</w:t>
      </w:r>
      <w:r w:rsidR="007E6FE3">
        <w:rPr>
          <w:rFonts w:ascii="Times New Roman" w:hAnsi="Times New Roman"/>
          <w:color w:val="4A4A4A"/>
          <w:sz w:val="24"/>
          <w:szCs w:val="24"/>
          <w:lang w:val="en"/>
        </w:rPr>
        <w:t>0</w:t>
      </w:r>
      <w:r w:rsidRPr="009F1927">
        <w:rPr>
          <w:rFonts w:ascii="Times New Roman" w:hAnsi="Times New Roman"/>
          <w:color w:val="4A4A4A"/>
          <w:sz w:val="24"/>
          <w:szCs w:val="24"/>
          <w:lang w:val="en"/>
        </w:rPr>
        <w:t xml:space="preserve">, 2018, in </w:t>
      </w:r>
      <w:r w:rsidRPr="009F1927">
        <w:rPr>
          <w:rFonts w:ascii="Times New Roman" w:hAnsi="Times New Roman"/>
          <w:color w:val="4A4A4A"/>
          <w:sz w:val="24"/>
          <w:szCs w:val="24"/>
          <w:u w:val="single"/>
          <w:lang w:val="en"/>
        </w:rPr>
        <w:t>John Sauro v. James Lombardi, in his capacity as Treasurer of the City of Providence, et al</w:t>
      </w:r>
      <w:bookmarkEnd w:id="278"/>
      <w:r w:rsidRPr="009F1927">
        <w:rPr>
          <w:rFonts w:ascii="Times New Roman" w:hAnsi="Times New Roman"/>
          <w:color w:val="4A4A4A"/>
          <w:sz w:val="24"/>
          <w:szCs w:val="24"/>
          <w:u w:val="single"/>
          <w:lang w:val="en"/>
        </w:rPr>
        <w:t>.</w:t>
      </w:r>
      <w:r w:rsidRPr="009F1927">
        <w:rPr>
          <w:rFonts w:ascii="Times New Roman" w:hAnsi="Times New Roman"/>
          <w:color w:val="4A4A4A"/>
          <w:sz w:val="24"/>
          <w:szCs w:val="24"/>
          <w:lang w:val="en"/>
        </w:rPr>
        <w:t>, the State Supreme Court held,</w:t>
      </w:r>
    </w:p>
    <w:p w14:paraId="49B40278" w14:textId="77777777" w:rsidR="009F1927" w:rsidRDefault="009F1927" w:rsidP="00F326E5">
      <w:pPr>
        <w:pStyle w:val="NoSpacing"/>
        <w:rPr>
          <w:rFonts w:ascii="Times New Roman" w:hAnsi="Times New Roman"/>
          <w:color w:val="4A4A4A"/>
          <w:sz w:val="24"/>
          <w:szCs w:val="24"/>
          <w:lang w:val="en"/>
        </w:rPr>
      </w:pPr>
    </w:p>
    <w:p w14:paraId="1F319853" w14:textId="09BAA657" w:rsidR="00F326E5" w:rsidRPr="009F1927" w:rsidRDefault="00F326E5" w:rsidP="009F1927">
      <w:pPr>
        <w:pStyle w:val="NoSpacing"/>
        <w:ind w:left="720" w:firstLine="60"/>
        <w:rPr>
          <w:rFonts w:ascii="Times New Roman" w:hAnsi="Times New Roman"/>
          <w:sz w:val="24"/>
          <w:szCs w:val="24"/>
        </w:rPr>
      </w:pPr>
      <w:r w:rsidRPr="009F1927">
        <w:rPr>
          <w:rFonts w:ascii="Times New Roman" w:hAnsi="Times New Roman"/>
          <w:color w:val="4A4A4A"/>
          <w:sz w:val="24"/>
          <w:szCs w:val="24"/>
          <w:lang w:val="en"/>
        </w:rPr>
        <w:t>“</w:t>
      </w:r>
      <w:proofErr w:type="gramStart"/>
      <w:r w:rsidRPr="009F1927">
        <w:rPr>
          <w:rFonts w:ascii="Times New Roman" w:hAnsi="Times New Roman"/>
          <w:color w:val="4A4A4A"/>
          <w:sz w:val="24"/>
          <w:szCs w:val="24"/>
          <w:lang w:val="en"/>
        </w:rPr>
        <w:t>we</w:t>
      </w:r>
      <w:proofErr w:type="gramEnd"/>
      <w:r w:rsidRPr="009F1927">
        <w:rPr>
          <w:rFonts w:ascii="Times New Roman" w:hAnsi="Times New Roman"/>
          <w:color w:val="4A4A4A"/>
          <w:sz w:val="24"/>
          <w:szCs w:val="24"/>
          <w:lang w:val="en"/>
        </w:rPr>
        <w:t xml:space="preserve"> conclude that the decision of the trial justice declaring that the plaintiff’s pension benefits should be reinstated and he should be placed on a waiting list to resume active service was erroneous, overlooked material evidence, and was clearly wrong</w:t>
      </w:r>
      <w:hyperlink r:id="rId1361" w:history="1">
        <w:r w:rsidR="007E6FE3" w:rsidRPr="00C200DE">
          <w:rPr>
            <w:rStyle w:val="Hyperlink"/>
            <w:rFonts w:ascii="Times New Roman" w:hAnsi="Times New Roman"/>
            <w:sz w:val="24"/>
            <w:szCs w:val="24"/>
            <w:lang w:val="en"/>
          </w:rPr>
          <w:t>https://www.courts.ri.gov/Courts/SupremeCourt/SupremeOpinions/16-170.pdf</w:t>
        </w:r>
      </w:hyperlink>
      <w:r w:rsidR="007E6FE3">
        <w:rPr>
          <w:rFonts w:ascii="Times New Roman" w:hAnsi="Times New Roman"/>
          <w:color w:val="4A4A4A"/>
          <w:sz w:val="24"/>
          <w:szCs w:val="24"/>
          <w:u w:val="single"/>
          <w:lang w:val="en"/>
        </w:rPr>
        <w:t xml:space="preserve"> </w:t>
      </w:r>
      <w:r w:rsidR="007E6FE3">
        <w:rPr>
          <w:rFonts w:ascii="Times New Roman" w:hAnsi="Times New Roman"/>
          <w:color w:val="4A4A4A"/>
          <w:sz w:val="24"/>
          <w:szCs w:val="24"/>
          <w:lang w:val="en"/>
        </w:rPr>
        <w:t xml:space="preserve"> </w:t>
      </w:r>
    </w:p>
    <w:p w14:paraId="682AC40C" w14:textId="77777777" w:rsidR="009F1927" w:rsidRDefault="009F1927" w:rsidP="00F326E5">
      <w:pPr>
        <w:rPr>
          <w:rFonts w:ascii="Times New Roman" w:hAnsi="Times New Roman"/>
          <w:b/>
          <w:color w:val="4A4A4A"/>
          <w:sz w:val="24"/>
          <w:szCs w:val="24"/>
          <w:lang w:val="en"/>
        </w:rPr>
      </w:pPr>
    </w:p>
    <w:p w14:paraId="4CAD612C" w14:textId="346A2C1A" w:rsidR="00F326E5" w:rsidRPr="009F1927" w:rsidRDefault="00F326E5" w:rsidP="00F326E5">
      <w:pPr>
        <w:rPr>
          <w:rFonts w:ascii="Times New Roman" w:hAnsi="Times New Roman"/>
          <w:b/>
          <w:color w:val="4A4A4A"/>
          <w:sz w:val="24"/>
          <w:szCs w:val="24"/>
          <w:lang w:val="en"/>
        </w:rPr>
      </w:pPr>
      <w:r w:rsidRPr="009F1927">
        <w:rPr>
          <w:rFonts w:ascii="Times New Roman" w:hAnsi="Times New Roman"/>
          <w:b/>
          <w:color w:val="4A4A4A"/>
          <w:sz w:val="24"/>
          <w:szCs w:val="24"/>
          <w:lang w:val="en"/>
        </w:rPr>
        <w:t>LEGAL LESSONS LEARNED:  Accidental disability pension benefits are for those with a continuing work-place injury; cases like this can lead to public perception of pension fraud.</w:t>
      </w:r>
    </w:p>
    <w:bookmarkEnd w:id="277"/>
    <w:p w14:paraId="40D82572" w14:textId="77777777" w:rsidR="00F326E5" w:rsidRPr="009F2867" w:rsidRDefault="00F326E5" w:rsidP="00F326E5">
      <w:pPr>
        <w:rPr>
          <w:rFonts w:ascii="Arial Black" w:hAnsi="Arial Black"/>
          <w:b/>
          <w:sz w:val="40"/>
          <w:szCs w:val="40"/>
        </w:rPr>
      </w:pPr>
    </w:p>
    <w:p w14:paraId="6C2FBDF2" w14:textId="77777777" w:rsidR="007C4C98" w:rsidRDefault="00F326E5" w:rsidP="009F1927">
      <w:pPr>
        <w:rPr>
          <w:rFonts w:ascii="Arial Black" w:hAnsi="Arial Black"/>
          <w:sz w:val="40"/>
          <w:szCs w:val="40"/>
        </w:rPr>
      </w:pPr>
      <w:r>
        <w:rPr>
          <w:rFonts w:ascii="Arial Black" w:hAnsi="Arial Black"/>
          <w:sz w:val="40"/>
          <w:szCs w:val="40"/>
        </w:rPr>
        <w:br w:type="page"/>
      </w:r>
    </w:p>
    <w:p w14:paraId="6B0FDAAC" w14:textId="3D9604EC" w:rsidR="0097062D" w:rsidRDefault="0097062D">
      <w:pPr>
        <w:spacing w:after="0" w:line="240" w:lineRule="auto"/>
        <w:rPr>
          <w:rFonts w:ascii="Arial Black" w:hAnsi="Arial Black"/>
          <w:sz w:val="40"/>
          <w:szCs w:val="40"/>
        </w:rPr>
      </w:pPr>
      <w:r>
        <w:rPr>
          <w:rFonts w:ascii="Arial Black" w:hAnsi="Arial Black"/>
          <w:sz w:val="40"/>
          <w:szCs w:val="40"/>
        </w:rPr>
        <w:br w:type="page"/>
      </w:r>
    </w:p>
    <w:p w14:paraId="6F775CEC" w14:textId="2A8A7ED3" w:rsidR="00F326E5" w:rsidRDefault="0097062D" w:rsidP="009F1927">
      <w:pPr>
        <w:rPr>
          <w:rFonts w:ascii="Arial Black" w:hAnsi="Arial Black"/>
          <w:sz w:val="40"/>
          <w:szCs w:val="40"/>
        </w:rPr>
      </w:pPr>
      <w:r>
        <w:rPr>
          <w:rFonts w:ascii="Arial Black" w:hAnsi="Arial Black"/>
          <w:sz w:val="40"/>
          <w:szCs w:val="40"/>
        </w:rPr>
        <w:t>C</w:t>
      </w:r>
      <w:r w:rsidR="00F326E5" w:rsidRPr="007732FA">
        <w:rPr>
          <w:rFonts w:ascii="Arial Black" w:hAnsi="Arial Black"/>
          <w:sz w:val="40"/>
          <w:szCs w:val="40"/>
        </w:rPr>
        <w:t>hap. 7</w:t>
      </w:r>
      <w:r w:rsidR="002B1283">
        <w:rPr>
          <w:rFonts w:ascii="Arial Black" w:hAnsi="Arial Black"/>
          <w:sz w:val="40"/>
          <w:szCs w:val="40"/>
        </w:rPr>
        <w:t xml:space="preserve">   </w:t>
      </w:r>
      <w:r w:rsidR="00F326E5" w:rsidRPr="007732FA">
        <w:rPr>
          <w:rFonts w:ascii="Arial Black" w:hAnsi="Arial Black"/>
          <w:sz w:val="40"/>
          <w:szCs w:val="40"/>
        </w:rPr>
        <w:t>Sexual Harassment</w:t>
      </w:r>
      <w:r w:rsidR="002147DA">
        <w:rPr>
          <w:rFonts w:ascii="Arial Black" w:hAnsi="Arial Black"/>
          <w:sz w:val="40"/>
          <w:szCs w:val="40"/>
        </w:rPr>
        <w:t>,</w:t>
      </w:r>
      <w:r w:rsidR="003F660F">
        <w:rPr>
          <w:rFonts w:ascii="Arial Black" w:hAnsi="Arial Black"/>
          <w:sz w:val="40"/>
          <w:szCs w:val="40"/>
        </w:rPr>
        <w:t xml:space="preserve"> including </w:t>
      </w:r>
      <w:r w:rsidR="00F326E5" w:rsidRPr="007732FA">
        <w:rPr>
          <w:rFonts w:ascii="Arial Black" w:hAnsi="Arial Black"/>
          <w:sz w:val="40"/>
          <w:szCs w:val="40"/>
        </w:rPr>
        <w:t>Pregnancy Discrimination</w:t>
      </w:r>
    </w:p>
    <w:p w14:paraId="74B746BC" w14:textId="77777777" w:rsidR="00F1502B" w:rsidRDefault="00F1502B" w:rsidP="00B52DF4">
      <w:pPr>
        <w:pStyle w:val="NoSpacing"/>
        <w:rPr>
          <w:rFonts w:ascii="Arial Black" w:hAnsi="Arial Black"/>
          <w:sz w:val="28"/>
          <w:szCs w:val="28"/>
        </w:rPr>
      </w:pPr>
    </w:p>
    <w:p w14:paraId="0B058BC8" w14:textId="12650BAA" w:rsidR="00B01FB0" w:rsidRDefault="00B01FB0" w:rsidP="00B01FB0">
      <w:pPr>
        <w:pStyle w:val="NoSpacing"/>
        <w:rPr>
          <w:rFonts w:ascii="Arial Black" w:hAnsi="Arial Black"/>
          <w:sz w:val="28"/>
          <w:szCs w:val="28"/>
        </w:rPr>
      </w:pPr>
      <w:r>
        <w:rPr>
          <w:rFonts w:ascii="Arial Black" w:hAnsi="Arial Black"/>
          <w:sz w:val="28"/>
          <w:szCs w:val="28"/>
        </w:rPr>
        <w:t>7-9</w:t>
      </w:r>
      <w:r>
        <w:rPr>
          <w:rFonts w:ascii="Arial Black" w:hAnsi="Arial Black"/>
          <w:sz w:val="28"/>
          <w:szCs w:val="28"/>
        </w:rPr>
        <w:t>6</w:t>
      </w:r>
    </w:p>
    <w:p w14:paraId="2E03D843" w14:textId="77777777" w:rsidR="00B01FB0" w:rsidRDefault="00B01FB0" w:rsidP="00B52DF4">
      <w:pPr>
        <w:pStyle w:val="NoSpacing"/>
        <w:rPr>
          <w:rFonts w:ascii="Arial Black" w:hAnsi="Arial Black"/>
          <w:sz w:val="28"/>
          <w:szCs w:val="28"/>
        </w:rPr>
      </w:pPr>
    </w:p>
    <w:p w14:paraId="53EC01E5" w14:textId="77777777" w:rsidR="00F1502B" w:rsidRDefault="00F1502B" w:rsidP="00F1502B">
      <w:pPr>
        <w:pStyle w:val="NoSpacing"/>
        <w:rPr>
          <w:rFonts w:ascii="Arial Black" w:hAnsi="Arial Black"/>
          <w:sz w:val="28"/>
          <w:szCs w:val="28"/>
        </w:rPr>
      </w:pPr>
      <w:r>
        <w:rPr>
          <w:rFonts w:ascii="Arial Black" w:hAnsi="Arial Black"/>
          <w:sz w:val="28"/>
          <w:szCs w:val="28"/>
        </w:rPr>
        <w:t xml:space="preserve">WI: “DUMB BLONDE BIMBO” – NO INVEST VILAGE / CASE GO </w:t>
      </w:r>
    </w:p>
    <w:p w14:paraId="201185EF" w14:textId="77777777" w:rsidR="00F1502B" w:rsidRDefault="00F1502B" w:rsidP="00F1502B">
      <w:pPr>
        <w:pStyle w:val="NoSpacing"/>
      </w:pPr>
    </w:p>
    <w:p w14:paraId="5B4BF033" w14:textId="77777777" w:rsidR="00F1502B" w:rsidRDefault="00F1502B" w:rsidP="00F1502B">
      <w:pPr>
        <w:pStyle w:val="NoSpacing"/>
      </w:pPr>
      <w:r>
        <w:t xml:space="preserve">On September 4, 2026, in </w:t>
      </w:r>
      <w:r w:rsidRPr="00AF5D6B">
        <w:rPr>
          <w:u w:val="single"/>
        </w:rPr>
        <w:t>Samantha Reher v, The Village of Palmyra and Scott Pavlock</w:t>
      </w:r>
      <w:r>
        <w:t xml:space="preserve">, U.S. Magistrate Judge Anita Marie Boor, United States District Court for the Western District of Wisconsin, denied the Village’s motion to dismiss the lawsuit.  The part-time EMT informed the Village about comments from the Fire Chief, and when she was not hired for full-time </w:t>
      </w:r>
      <w:proofErr w:type="gramStart"/>
      <w:r>
        <w:t>position</w:t>
      </w:r>
      <w:proofErr w:type="gramEnd"/>
      <w:r>
        <w:t xml:space="preserve"> she resigned in April 2-24.  “</w:t>
      </w:r>
      <w:r w:rsidRPr="00150B3A">
        <w:t xml:space="preserve">Plaintiff cleared this hurdle in her complaint. She claims that Chief Pavlock discriminated against her based on her female sex in denying her a full-time EMT position in January and February 2024. And she supported this claim with detailed allegations-e.g., Chief Pavlock's alleged statement likening her to a </w:t>
      </w:r>
      <w:r>
        <w:t>‘</w:t>
      </w:r>
      <w:r w:rsidRPr="00150B3A">
        <w:t>dumb blonde bimbo</w:t>
      </w:r>
      <w:r>
        <w:t xml:space="preserve">’ </w:t>
      </w:r>
      <w:r w:rsidRPr="00150B3A">
        <w:t>-from which the court can draw plausible inferences. This is sufficient to survive a Rule 12(b)(6) motion to dismiss.</w:t>
      </w:r>
      <w:r>
        <w:t xml:space="preserve"> *** </w:t>
      </w:r>
      <w:r w:rsidRPr="00FE7B84">
        <w:t>Plaintiff named the Village Board of Palmyra as a defendant and alleges that its repeated failure to properly act on her complaints lodged against co-defendant Pavlock enabled the circumstances that resulted in her resigning without securing a full-time position</w:t>
      </w:r>
      <w:r>
        <w:t xml:space="preserve">…. </w:t>
      </w:r>
      <w:r w:rsidRPr="00FE7B84">
        <w:t>And, as detailed above, she offers sufficient narrative detail to make those claims plausible on their face. As has been the case in other courts in this circuit, that is sufficient to survive a motion to dismiss.</w:t>
      </w:r>
      <w:r>
        <w:t xml:space="preserve">”  </w:t>
      </w:r>
      <w:hyperlink r:id="rId1362" w:history="1">
        <w:r w:rsidRPr="00782F3B">
          <w:rPr>
            <w:rStyle w:val="Hyperlink"/>
          </w:rPr>
          <w:t>https://cases.justia.com/federal/district-courts/wisconsin/wiwdc/3:2026cv00320/56406/17/0.pdf?ts=1788807312</w:t>
        </w:r>
      </w:hyperlink>
      <w:r>
        <w:t xml:space="preserve"> </w:t>
      </w:r>
    </w:p>
    <w:p w14:paraId="0B4AAE38" w14:textId="77777777" w:rsidR="00F1502B" w:rsidRDefault="00F1502B" w:rsidP="00F1502B">
      <w:pPr>
        <w:pStyle w:val="NoSpacing"/>
      </w:pPr>
    </w:p>
    <w:p w14:paraId="4B0A5E14" w14:textId="77777777" w:rsidR="00F1502B" w:rsidRDefault="00F1502B" w:rsidP="00F1502B">
      <w:pPr>
        <w:pStyle w:val="NoSpacing"/>
      </w:pPr>
      <w:r>
        <w:t>THE COURT WROTE:</w:t>
      </w:r>
    </w:p>
    <w:p w14:paraId="67C806E5" w14:textId="77777777" w:rsidR="00F1502B" w:rsidRDefault="00F1502B" w:rsidP="00F1502B">
      <w:pPr>
        <w:pStyle w:val="NoSpacing"/>
      </w:pPr>
    </w:p>
    <w:p w14:paraId="7FBD7307" w14:textId="77777777" w:rsidR="00F1502B" w:rsidRDefault="00F1502B" w:rsidP="00F1502B">
      <w:pPr>
        <w:pStyle w:val="NoSpacing"/>
        <w:ind w:left="720"/>
      </w:pPr>
      <w:r>
        <w:t>“</w:t>
      </w:r>
      <w:r w:rsidRPr="00A32ACB">
        <w:t>Plaintiff applied for the position and, in January 2024,</w:t>
      </w:r>
      <w:r w:rsidRPr="00A32ACB">
        <w:rPr>
          <w:vertAlign w:val="superscript"/>
        </w:rPr>
        <w:t>[</w:t>
      </w:r>
      <w:hyperlink r:id="rId1363" w:anchor="ftn.FN2" w:history="1">
        <w:r w:rsidRPr="00A32ACB">
          <w:rPr>
            <w:rStyle w:val="Hyperlink"/>
            <w:vertAlign w:val="superscript"/>
          </w:rPr>
          <w:t>2</w:t>
        </w:r>
      </w:hyperlink>
      <w:r w:rsidRPr="00A32ACB">
        <w:rPr>
          <w:vertAlign w:val="superscript"/>
        </w:rPr>
        <w:t>]</w:t>
      </w:r>
      <w:r w:rsidRPr="00A32ACB">
        <w:t xml:space="preserve"> was notified that she had been selected to move forward in the hiring process, which included a background check</w:t>
      </w:r>
      <w:r>
        <w:t xml:space="preserve">…. </w:t>
      </w:r>
      <w:r w:rsidRPr="00A32ACB">
        <w:t xml:space="preserve">At that time, plaintiff was notified that defendant Police Chief Scott Pavlock intended to interview selected applicants </w:t>
      </w:r>
      <w:r>
        <w:t>‘</w:t>
      </w:r>
      <w:r w:rsidRPr="00A32ACB">
        <w:t>to perform a secondary background check and ‘honesty exam,'</w:t>
      </w:r>
      <w:r>
        <w:t xml:space="preserve"> </w:t>
      </w:r>
      <w:r w:rsidRPr="00A32ACB">
        <w:t>at least in part because the Public Safety Department shared a space with the Police Department</w:t>
      </w:r>
      <w:r>
        <w:t xml:space="preserve">…. </w:t>
      </w:r>
      <w:r w:rsidRPr="00A32ACB">
        <w:t>Plaintiff alleges that, despite the representation that Chief Pavlock would interview all applicants that had reached this stage, she was never interviewed, though the other two candidates were</w:t>
      </w:r>
      <w:r>
        <w:t xml:space="preserve">…. </w:t>
      </w:r>
      <w:r w:rsidRPr="00A32ACB">
        <w:t>At some point in January 2024, Chief Pavlock requested that Fire and Emergency Medical Services Chief Hurley hire only people that were cross trained in firefighting, despite not being a requirement on the job announcement or application.</w:t>
      </w:r>
    </w:p>
    <w:p w14:paraId="21F2CCB4" w14:textId="77777777" w:rsidR="00F1502B" w:rsidRDefault="00F1502B" w:rsidP="00F1502B">
      <w:pPr>
        <w:pStyle w:val="NoSpacing"/>
        <w:ind w:left="720"/>
      </w:pPr>
    </w:p>
    <w:p w14:paraId="7AA3E449" w14:textId="77777777" w:rsidR="00F1502B" w:rsidRDefault="00F1502B" w:rsidP="00F1502B">
      <w:pPr>
        <w:pStyle w:val="NoSpacing"/>
        <w:ind w:left="720"/>
      </w:pPr>
      <w:r>
        <w:t>***</w:t>
      </w:r>
    </w:p>
    <w:p w14:paraId="7C79CEFC" w14:textId="77777777" w:rsidR="00F1502B" w:rsidRDefault="00F1502B" w:rsidP="00F1502B">
      <w:pPr>
        <w:pStyle w:val="NoSpacing"/>
        <w:ind w:left="720"/>
      </w:pPr>
      <w:r w:rsidRPr="00231FD0">
        <w:t>Plaintiff and Chief Pavlock had their first relevant interaction on January 18, 2024. At that time, Chief Pavlock also served as the Public Safety Director of the entire Public Safety Department. Chief Pavlock entered a shared workroom while plaintiff was present</w:t>
      </w:r>
      <w:r>
        <w:t xml:space="preserve">…. </w:t>
      </w:r>
      <w:r w:rsidRPr="00231FD0">
        <w:t xml:space="preserve">He informed plaintiff that she would not be getting a full-time position, adding that he </w:t>
      </w:r>
      <w:r>
        <w:t>‘</w:t>
      </w:r>
      <w:r w:rsidRPr="00231FD0">
        <w:t>heard from someone that she had interviewed poorly.</w:t>
      </w:r>
      <w:r>
        <w:t xml:space="preserve">’ … </w:t>
      </w:r>
      <w:r w:rsidRPr="00231FD0">
        <w:t xml:space="preserve">Shortly thereafter, Chief Pavlock volunteered that plaintiff reminded him of a former dispatcher, using the words </w:t>
      </w:r>
      <w:r>
        <w:t>‘</w:t>
      </w:r>
      <w:r w:rsidRPr="00231FD0">
        <w:t>twin</w:t>
      </w:r>
      <w:r>
        <w:t>’</w:t>
      </w:r>
      <w:r w:rsidRPr="00231FD0">
        <w:t xml:space="preserve"> and </w:t>
      </w:r>
      <w:r>
        <w:t>‘</w:t>
      </w:r>
      <w:r w:rsidRPr="00231FD0">
        <w:t>doppelganger.</w:t>
      </w:r>
      <w:r>
        <w:t xml:space="preserve">’ … </w:t>
      </w:r>
      <w:r w:rsidRPr="00231FD0">
        <w:t xml:space="preserve">He then stated that the dispatcher </w:t>
      </w:r>
      <w:r>
        <w:t>‘</w:t>
      </w:r>
      <w:r w:rsidRPr="00231FD0">
        <w:t>often acted like a ‘Dumb Blonde Bimbo' type.</w:t>
      </w:r>
      <w:r>
        <w:t>’ … C</w:t>
      </w:r>
      <w:r w:rsidRPr="00231FD0">
        <w:t xml:space="preserve">hief Pavlock continued to recount a story about the dispatcher acting like an </w:t>
      </w:r>
      <w:r>
        <w:t>‘</w:t>
      </w:r>
      <w:r w:rsidRPr="00231FD0">
        <w:t>airhead</w:t>
      </w:r>
      <w:r>
        <w:t>’</w:t>
      </w:r>
      <w:r w:rsidRPr="00231FD0">
        <w:t xml:space="preserve"> at work, after which he left the room.</w:t>
      </w:r>
    </w:p>
    <w:p w14:paraId="68068D29" w14:textId="77777777" w:rsidR="00F1502B" w:rsidRDefault="00F1502B" w:rsidP="00F1502B">
      <w:pPr>
        <w:pStyle w:val="NoSpacing"/>
        <w:ind w:left="720"/>
      </w:pPr>
    </w:p>
    <w:p w14:paraId="5E624239" w14:textId="77777777" w:rsidR="00F1502B" w:rsidRDefault="00F1502B" w:rsidP="00F1502B">
      <w:pPr>
        <w:pStyle w:val="NoSpacing"/>
        <w:ind w:left="720"/>
      </w:pPr>
      <w:r>
        <w:t>***</w:t>
      </w:r>
    </w:p>
    <w:p w14:paraId="7A9366DC" w14:textId="77777777" w:rsidR="00F1502B" w:rsidRDefault="00F1502B" w:rsidP="00F1502B">
      <w:pPr>
        <w:pStyle w:val="NoSpacing"/>
        <w:ind w:left="720"/>
      </w:pPr>
      <w:r w:rsidRPr="00571463">
        <w:t xml:space="preserve">Meanwhile, on February 19, 2024, Captain Gonzalez met with Village Trustee Petruska to discuss the incident between Chief Pavlock and plaintiff. Trustee Petruska told Captain Gonzalez that she would report the incident to the police and fire Commissioner Chairperson </w:t>
      </w:r>
      <w:proofErr w:type="spellStart"/>
      <w:r w:rsidRPr="00571463">
        <w:t>Lubus</w:t>
      </w:r>
      <w:proofErr w:type="spellEnd"/>
      <w:r w:rsidRPr="00571463">
        <w:t xml:space="preserve"> for review</w:t>
      </w:r>
      <w:r>
        <w:t xml:space="preserve">…. </w:t>
      </w:r>
      <w:r w:rsidRPr="00571463">
        <w:t xml:space="preserve">The next day, </w:t>
      </w:r>
      <w:proofErr w:type="spellStart"/>
      <w:r w:rsidRPr="00571463">
        <w:t>Lubus</w:t>
      </w:r>
      <w:proofErr w:type="spellEnd"/>
      <w:r w:rsidRPr="00571463">
        <w:t xml:space="preserve"> emailed Captain Gonzalez saying she had forwarded the incident report to the Village Board President Weiss for review</w:t>
      </w:r>
      <w:r>
        <w:t>.</w:t>
      </w:r>
    </w:p>
    <w:p w14:paraId="03DE042E" w14:textId="77777777" w:rsidR="00F1502B" w:rsidRDefault="00F1502B" w:rsidP="00F1502B">
      <w:pPr>
        <w:pStyle w:val="NoSpacing"/>
        <w:ind w:left="720"/>
      </w:pPr>
    </w:p>
    <w:p w14:paraId="77530EBB" w14:textId="77777777" w:rsidR="00F1502B" w:rsidRDefault="00F1502B" w:rsidP="00F1502B">
      <w:pPr>
        <w:pStyle w:val="NoSpacing"/>
        <w:ind w:left="720"/>
      </w:pPr>
      <w:r>
        <w:t>***</w:t>
      </w:r>
    </w:p>
    <w:p w14:paraId="48691AB6" w14:textId="77777777" w:rsidR="00F1502B" w:rsidRPr="008337DB" w:rsidRDefault="00F1502B" w:rsidP="00F1502B">
      <w:pPr>
        <w:pStyle w:val="NoSpacing"/>
        <w:ind w:left="720"/>
      </w:pPr>
      <w:r w:rsidRPr="008337DB">
        <w:t xml:space="preserve">On April 5, another new hire told plaintiff that he had overheard Chief Pavlock discussing the </w:t>
      </w:r>
      <w:r>
        <w:t>‘</w:t>
      </w:r>
      <w:r w:rsidRPr="008337DB">
        <w:t>Bimbo/Kimbo</w:t>
      </w:r>
      <w:r>
        <w:t>’</w:t>
      </w:r>
      <w:r w:rsidRPr="008337DB">
        <w:t xml:space="preserve"> situation with </w:t>
      </w:r>
      <w:r>
        <w:t>‘</w:t>
      </w:r>
      <w:r w:rsidRPr="008337DB">
        <w:t>many of his peers.</w:t>
      </w:r>
      <w:r>
        <w:t xml:space="preserve">’ … </w:t>
      </w:r>
      <w:r w:rsidRPr="008337DB">
        <w:t xml:space="preserve">Soon thereafter, plaintiff again emailed the Village Board asking what they planned to do about the </w:t>
      </w:r>
      <w:r>
        <w:t>‘</w:t>
      </w:r>
      <w:r w:rsidRPr="008337DB">
        <w:t>harassing behavior,</w:t>
      </w:r>
      <w:r>
        <w:t>’</w:t>
      </w:r>
      <w:r w:rsidRPr="008337DB">
        <w:t xml:space="preserve"> which again went unanswered</w:t>
      </w:r>
      <w:r>
        <w:t>.”</w:t>
      </w:r>
    </w:p>
    <w:p w14:paraId="03329ED9" w14:textId="77777777" w:rsidR="00F1502B" w:rsidRDefault="00F1502B" w:rsidP="00F1502B">
      <w:pPr>
        <w:pStyle w:val="NoSpacing"/>
        <w:ind w:left="720"/>
      </w:pPr>
    </w:p>
    <w:p w14:paraId="48049F6E" w14:textId="77777777" w:rsidR="00F1502B" w:rsidRPr="00071BE4" w:rsidRDefault="00F1502B" w:rsidP="00F1502B">
      <w:pPr>
        <w:rPr>
          <w:b/>
          <w:bCs/>
        </w:rPr>
      </w:pPr>
      <w:r>
        <w:rPr>
          <w:b/>
        </w:rPr>
        <w:t xml:space="preserve">Legal lesson learned: When Village learned of her complaint, they should have promptly investigated. </w:t>
      </w:r>
    </w:p>
    <w:p w14:paraId="74652C6E" w14:textId="77777777" w:rsidR="00F1502B" w:rsidRDefault="00F1502B" w:rsidP="00F1502B">
      <w:pPr>
        <w:pStyle w:val="NoSpacing"/>
        <w:ind w:left="720"/>
      </w:pPr>
    </w:p>
    <w:p w14:paraId="68667743" w14:textId="77777777" w:rsidR="00F1502B" w:rsidRDefault="00F1502B" w:rsidP="00F1502B">
      <w:pPr>
        <w:pStyle w:val="NoSpacing"/>
        <w:ind w:left="720"/>
      </w:pPr>
    </w:p>
    <w:p w14:paraId="4375C38F" w14:textId="77777777" w:rsidR="00F1502B" w:rsidRDefault="00F1502B" w:rsidP="00B52DF4">
      <w:pPr>
        <w:pStyle w:val="NoSpacing"/>
        <w:rPr>
          <w:rFonts w:ascii="Arial Black" w:hAnsi="Arial Black"/>
          <w:sz w:val="28"/>
          <w:szCs w:val="28"/>
        </w:rPr>
      </w:pPr>
    </w:p>
    <w:p w14:paraId="71B8A703" w14:textId="77777777" w:rsidR="00F1502B" w:rsidRDefault="00F1502B" w:rsidP="00B52DF4">
      <w:pPr>
        <w:pStyle w:val="NoSpacing"/>
        <w:rPr>
          <w:rFonts w:ascii="Arial Black" w:hAnsi="Arial Black"/>
          <w:sz w:val="28"/>
          <w:szCs w:val="28"/>
        </w:rPr>
      </w:pPr>
    </w:p>
    <w:p w14:paraId="07D875E2" w14:textId="17DC1906" w:rsidR="00B52DF4" w:rsidRDefault="00B52DF4" w:rsidP="00B52DF4">
      <w:pPr>
        <w:pStyle w:val="NoSpacing"/>
        <w:rPr>
          <w:rFonts w:ascii="Arial Black" w:hAnsi="Arial Black"/>
          <w:sz w:val="28"/>
          <w:szCs w:val="28"/>
        </w:rPr>
      </w:pPr>
      <w:r>
        <w:rPr>
          <w:rFonts w:ascii="Arial Black" w:hAnsi="Arial Black"/>
          <w:sz w:val="28"/>
          <w:szCs w:val="28"/>
        </w:rPr>
        <w:t>7-9</w:t>
      </w:r>
      <w:r w:rsidR="002B205A">
        <w:rPr>
          <w:rFonts w:ascii="Arial Black" w:hAnsi="Arial Black"/>
          <w:sz w:val="28"/>
          <w:szCs w:val="28"/>
        </w:rPr>
        <w:t>5</w:t>
      </w:r>
    </w:p>
    <w:p w14:paraId="64EA33F7" w14:textId="77777777" w:rsidR="00B52DF4" w:rsidRDefault="00B52DF4" w:rsidP="00BC3D44">
      <w:pPr>
        <w:pStyle w:val="NoSpacing"/>
        <w:rPr>
          <w:rFonts w:ascii="Arial Black" w:hAnsi="Arial Black"/>
          <w:sz w:val="28"/>
          <w:szCs w:val="28"/>
        </w:rPr>
      </w:pPr>
    </w:p>
    <w:p w14:paraId="0BEC6784" w14:textId="2B0C9512" w:rsidR="00B52DF4" w:rsidRPr="00103CA1" w:rsidRDefault="00B52DF4" w:rsidP="00B52DF4">
      <w:pPr>
        <w:rPr>
          <w:rFonts w:ascii="Arial Black" w:hAnsi="Arial Black"/>
          <w:b/>
          <w:sz w:val="28"/>
          <w:szCs w:val="28"/>
        </w:rPr>
      </w:pPr>
      <w:r>
        <w:rPr>
          <w:rFonts w:ascii="Arial Black" w:hAnsi="Arial Black"/>
          <w:b/>
          <w:sz w:val="28"/>
          <w:szCs w:val="28"/>
        </w:rPr>
        <w:t xml:space="preserve">CA: </w:t>
      </w:r>
      <w:r w:rsidR="006B071F">
        <w:rPr>
          <w:rFonts w:ascii="Arial Black" w:hAnsi="Arial Black"/>
          <w:b/>
          <w:sz w:val="28"/>
          <w:szCs w:val="28"/>
        </w:rPr>
        <w:t xml:space="preserve">INTERNAL AFFAIRS </w:t>
      </w:r>
      <w:r w:rsidR="002E38BF">
        <w:rPr>
          <w:rFonts w:ascii="Arial Black" w:hAnsi="Arial Black"/>
          <w:b/>
          <w:sz w:val="28"/>
          <w:szCs w:val="28"/>
        </w:rPr>
        <w:t>–</w:t>
      </w:r>
      <w:r w:rsidR="00962CFF">
        <w:rPr>
          <w:rFonts w:ascii="Arial Black" w:hAnsi="Arial Black"/>
          <w:b/>
          <w:sz w:val="28"/>
          <w:szCs w:val="28"/>
        </w:rPr>
        <w:t xml:space="preserve"> </w:t>
      </w:r>
      <w:r w:rsidR="002E38BF">
        <w:rPr>
          <w:rFonts w:ascii="Arial Black" w:hAnsi="Arial Black"/>
          <w:b/>
          <w:sz w:val="28"/>
          <w:szCs w:val="28"/>
        </w:rPr>
        <w:t xml:space="preserve">FOCUS 2 </w:t>
      </w:r>
      <w:r w:rsidR="00FB0696">
        <w:rPr>
          <w:rFonts w:ascii="Arial Black" w:hAnsi="Arial Black"/>
          <w:b/>
          <w:sz w:val="28"/>
          <w:szCs w:val="28"/>
        </w:rPr>
        <w:t>MALE</w:t>
      </w:r>
      <w:r w:rsidR="006B071F">
        <w:rPr>
          <w:rFonts w:ascii="Arial Black" w:hAnsi="Arial Black"/>
          <w:b/>
          <w:sz w:val="28"/>
          <w:szCs w:val="28"/>
        </w:rPr>
        <w:t xml:space="preserve"> PD</w:t>
      </w:r>
      <w:r w:rsidR="002E38BF">
        <w:rPr>
          <w:rFonts w:ascii="Arial Black" w:hAnsi="Arial Black"/>
          <w:b/>
          <w:sz w:val="28"/>
          <w:szCs w:val="28"/>
        </w:rPr>
        <w:t xml:space="preserve"> - JURY </w:t>
      </w:r>
      <w:r>
        <w:rPr>
          <w:rFonts w:ascii="Arial Black" w:hAnsi="Arial Black"/>
          <w:b/>
          <w:sz w:val="28"/>
          <w:szCs w:val="28"/>
        </w:rPr>
        <w:t xml:space="preserve">$8M / $4M </w:t>
      </w:r>
    </w:p>
    <w:p w14:paraId="074BEBD4" w14:textId="77777777" w:rsidR="00B52DF4" w:rsidRDefault="00B52DF4" w:rsidP="00B52DF4">
      <w:pPr>
        <w:pStyle w:val="NoSpacing"/>
        <w:rPr>
          <w:bCs/>
        </w:rPr>
      </w:pPr>
      <w:r>
        <w:t xml:space="preserve">On July 30, 2026, in </w:t>
      </w:r>
      <w:r w:rsidRPr="00814D5F">
        <w:rPr>
          <w:u w:val="single"/>
        </w:rPr>
        <w:t>Stephen Glick and Alfred Garcia v. City of Los Angeles</w:t>
      </w:r>
      <w:r>
        <w:t xml:space="preserve">, the California </w:t>
      </w:r>
      <w:r w:rsidRPr="00814D5F">
        <w:t>Court of Appeal, Second District, Division 2,</w:t>
      </w:r>
      <w:r>
        <w:t xml:space="preserve"> held (3 to 0) that the trial court improperly granted the City a new trial, and reinstated jury’s September 2023 gender discrimination verdict for Officer </w:t>
      </w:r>
      <w:r w:rsidRPr="00281F18">
        <w:t xml:space="preserve">Glick </w:t>
      </w:r>
      <w:r>
        <w:t>(</w:t>
      </w:r>
      <w:r w:rsidRPr="00281F18">
        <w:t>$8,621,358</w:t>
      </w:r>
      <w:r>
        <w:t xml:space="preserve">, including emotional stress </w:t>
      </w:r>
      <w:r w:rsidRPr="00281F18">
        <w:t>damages</w:t>
      </w:r>
      <w:r>
        <w:t>)</w:t>
      </w:r>
      <w:r w:rsidRPr="00281F18">
        <w:t xml:space="preserve"> and</w:t>
      </w:r>
      <w:r>
        <w:t xml:space="preserve"> Officer </w:t>
      </w:r>
      <w:r w:rsidRPr="00281F18">
        <w:t xml:space="preserve">Garcia </w:t>
      </w:r>
      <w:r>
        <w:t>(</w:t>
      </w:r>
      <w:r w:rsidRPr="00281F18">
        <w:t>$4.5 million</w:t>
      </w:r>
      <w:r>
        <w:t xml:space="preserve">, including emotional stress).  The prisoner (Raul C.) was arrested on Jan. 26, </w:t>
      </w:r>
      <w:proofErr w:type="gramStart"/>
      <w:r>
        <w:t>2017</w:t>
      </w:r>
      <w:proofErr w:type="gramEnd"/>
      <w:r>
        <w:t xml:space="preserve"> for DUI after he struck a child with his car.  While in the holding cell Officer Alfred </w:t>
      </w:r>
      <w:r w:rsidRPr="00460004">
        <w:t xml:space="preserve">Garcia </w:t>
      </w:r>
      <w:r>
        <w:t>“</w:t>
      </w:r>
      <w:r w:rsidRPr="00460004">
        <w:t>used</w:t>
      </w:r>
      <w:r>
        <w:t xml:space="preserve"> </w:t>
      </w:r>
      <w:r w:rsidRPr="00460004">
        <w:t>his personal cell phone to take a picture of Raul lying on the</w:t>
      </w:r>
      <w:r>
        <w:t xml:space="preserve"> </w:t>
      </w:r>
      <w:r w:rsidRPr="00460004">
        <w:t>floor in his own vomit. At some point it was determined that</w:t>
      </w:r>
      <w:r>
        <w:t xml:space="preserve"> </w:t>
      </w:r>
      <w:r w:rsidRPr="00460004">
        <w:t>Raul needed medical attention. Paramedics took Raul to the</w:t>
      </w:r>
      <w:r>
        <w:t xml:space="preserve"> </w:t>
      </w:r>
      <w:r w:rsidRPr="00460004">
        <w:t>hospital, where he was intubated and treated for acute alcohol</w:t>
      </w:r>
      <w:r>
        <w:t xml:space="preserve">  </w:t>
      </w:r>
      <w:r w:rsidRPr="00460004">
        <w:t>poisoning.</w:t>
      </w:r>
      <w:r>
        <w:t xml:space="preserve">” The prisoner filed a complaint that an </w:t>
      </w:r>
      <w:r w:rsidRPr="00C0635C">
        <w:t>unknown officer</w:t>
      </w:r>
      <w:r>
        <w:t xml:space="preserve"> </w:t>
      </w:r>
      <w:r w:rsidRPr="00C0635C">
        <w:t>shaved off his eyebrows, shaved his mustache to look like Adolf</w:t>
      </w:r>
      <w:r>
        <w:t xml:space="preserve"> </w:t>
      </w:r>
      <w:r w:rsidRPr="00C0635C">
        <w:t>Hitler’s, and drew a penis and wrote the word “puto” on his</w:t>
      </w:r>
      <w:r>
        <w:t xml:space="preserve"> </w:t>
      </w:r>
      <w:r w:rsidRPr="00C0635C">
        <w:t>abdomen with a marker</w:t>
      </w:r>
      <w:r>
        <w:t>. LA PD Internal Affairs launched a “major” investigation concerning “battery” of the prisoner; subpoenas were obtained on cell phones of two male PD, their two female PD partners, and two medics who transported the prisoner from police station to hospital.  Only the male officers were ordered to desk duty and then to their homes pending possible termination.  Internal Affairs failed to identify who shaved the prisoner.  The police chief eventually officially reprimanded only Officer Garcia for failing to get Raul prompt medical treatment.  The jury heard testimony that “</w:t>
      </w:r>
      <w:r w:rsidRPr="00FC7EA7">
        <w:t>When a police union representative complained to a high-ranking LAPD official about the disparate treatment between</w:t>
      </w:r>
      <w:r>
        <w:t xml:space="preserve"> </w:t>
      </w:r>
      <w:r w:rsidRPr="00FC7EA7">
        <w:t>plaintiffs, who are male, and their partners, who are female, he</w:t>
      </w:r>
      <w:r>
        <w:t xml:space="preserve"> </w:t>
      </w:r>
      <w:r w:rsidRPr="00FC7EA7">
        <w:t>was told that</w:t>
      </w:r>
      <w:r>
        <w:t xml:space="preserve"> ‘</w:t>
      </w:r>
      <w:r w:rsidRPr="00FC7EA7">
        <w:t>this is something guys would do, not females</w:t>
      </w:r>
      <w:r>
        <w:t xml:space="preserve">.’”  </w:t>
      </w:r>
      <w:hyperlink r:id="rId1364" w:history="1">
        <w:r w:rsidRPr="00AF2250">
          <w:rPr>
            <w:rStyle w:val="Hyperlink"/>
          </w:rPr>
          <w:t>https://www4.courts.ca.gov/opinions/documents/B334953.PDF</w:t>
        </w:r>
      </w:hyperlink>
      <w:r>
        <w:t xml:space="preserve"> </w:t>
      </w:r>
    </w:p>
    <w:p w14:paraId="06A2D253" w14:textId="77777777" w:rsidR="00B52DF4" w:rsidRDefault="00B52DF4" w:rsidP="00B52DF4">
      <w:pPr>
        <w:pStyle w:val="NoSpacing"/>
        <w:rPr>
          <w:bCs/>
        </w:rPr>
      </w:pPr>
    </w:p>
    <w:p w14:paraId="2F6B775F" w14:textId="77777777" w:rsidR="00B52DF4" w:rsidRDefault="00B52DF4" w:rsidP="00B52DF4">
      <w:pPr>
        <w:pStyle w:val="NoSpacing"/>
        <w:rPr>
          <w:bCs/>
        </w:rPr>
      </w:pPr>
      <w:r>
        <w:t xml:space="preserve">THE COURT WROTE: </w:t>
      </w:r>
    </w:p>
    <w:p w14:paraId="48CF3A59" w14:textId="77777777" w:rsidR="00B52DF4" w:rsidRDefault="00B52DF4" w:rsidP="00B52DF4">
      <w:pPr>
        <w:pStyle w:val="NoSpacing"/>
        <w:rPr>
          <w:bCs/>
        </w:rPr>
      </w:pPr>
    </w:p>
    <w:p w14:paraId="50FE4312" w14:textId="77777777" w:rsidR="00B52DF4" w:rsidRPr="009F3D64" w:rsidRDefault="00B52DF4" w:rsidP="00B52DF4">
      <w:pPr>
        <w:pStyle w:val="NoSpacing"/>
        <w:ind w:left="720" w:firstLine="60"/>
        <w:rPr>
          <w:bCs/>
        </w:rPr>
      </w:pPr>
      <w:r>
        <w:t>“</w:t>
      </w:r>
      <w:r w:rsidRPr="009F3D64">
        <w:t>A jury found in favor of Stephen Glick (Glick) and Alfred</w:t>
      </w:r>
      <w:r>
        <w:t xml:space="preserve"> </w:t>
      </w:r>
      <w:r w:rsidRPr="009F3D64">
        <w:t>Garcia (Garcia) (collectively, plaintiffs) on their claims for gender</w:t>
      </w:r>
      <w:r>
        <w:t xml:space="preserve"> </w:t>
      </w:r>
      <w:r w:rsidRPr="009F3D64">
        <w:t>discrimination and retaliation against the City of Los Angeles</w:t>
      </w:r>
      <w:r>
        <w:t xml:space="preserve">  </w:t>
      </w:r>
      <w:r w:rsidRPr="009F3D64">
        <w:t>(City). The jury awarded Glick $8,621,358 in damages and</w:t>
      </w:r>
      <w:r>
        <w:t xml:space="preserve"> </w:t>
      </w:r>
      <w:r w:rsidRPr="009F3D64">
        <w:t>Garcia $4.5 million, and the trial court entered judgment in that</w:t>
      </w:r>
      <w:r>
        <w:t xml:space="preserve"> </w:t>
      </w:r>
      <w:r w:rsidRPr="009F3D64">
        <w:t>amount. The court later conditionally granted the City’s new</w:t>
      </w:r>
      <w:r>
        <w:t xml:space="preserve"> </w:t>
      </w:r>
      <w:r w:rsidRPr="009F3D64">
        <w:t>trial motion unless Glick agreed to a remittitur reducing his</w:t>
      </w:r>
      <w:r>
        <w:t xml:space="preserve"> </w:t>
      </w:r>
      <w:r w:rsidRPr="009F3D64">
        <w:t>damages to $250,000 and Garcia agreed to reduce his damages to</w:t>
      </w:r>
      <w:r>
        <w:t xml:space="preserve"> </w:t>
      </w:r>
      <w:r w:rsidRPr="009F3D64">
        <w:t>$125,000. Plaintiffs rejected the reduced awards. Plaintiffs and</w:t>
      </w:r>
      <w:r>
        <w:t xml:space="preserve"> </w:t>
      </w:r>
      <w:r w:rsidRPr="009F3D64">
        <w:t>the City both appealed.</w:t>
      </w:r>
      <w:r>
        <w:t xml:space="preserve"> </w:t>
      </w:r>
      <w:r w:rsidRPr="009F3D64">
        <w:t>We reverse the order granting a new trial on damages. The</w:t>
      </w:r>
      <w:r>
        <w:t xml:space="preserve"> </w:t>
      </w:r>
      <w:r w:rsidRPr="009F3D64">
        <w:t>trial court abused its discretion by capping the amount of</w:t>
      </w:r>
    </w:p>
    <w:p w14:paraId="455FE21B" w14:textId="77777777" w:rsidR="00B52DF4" w:rsidRPr="009F3D64" w:rsidRDefault="00B52DF4" w:rsidP="00B52DF4">
      <w:pPr>
        <w:pStyle w:val="NoSpacing"/>
        <w:ind w:left="720" w:firstLine="60"/>
        <w:rPr>
          <w:bCs/>
        </w:rPr>
      </w:pPr>
      <w:r w:rsidRPr="009F3D64">
        <w:t>damages a jury can award for so-called “garden-variety emotional</w:t>
      </w:r>
      <w:r>
        <w:t xml:space="preserve"> </w:t>
      </w:r>
      <w:r w:rsidRPr="009F3D64">
        <w:t>distress.” The court also abused its discretion by erroneously</w:t>
      </w:r>
      <w:r>
        <w:t xml:space="preserve"> </w:t>
      </w:r>
      <w:r w:rsidRPr="009F3D64">
        <w:t>rejecting as inadmissible Glick’s own testimony about his future</w:t>
      </w:r>
      <w:r>
        <w:t xml:space="preserve"> </w:t>
      </w:r>
      <w:r w:rsidRPr="009F3D64">
        <w:t>economic damages. Because the jury’s damages awards were not</w:t>
      </w:r>
    </w:p>
    <w:p w14:paraId="0A71F41D" w14:textId="77777777" w:rsidR="00B52DF4" w:rsidRDefault="00B52DF4" w:rsidP="00B52DF4">
      <w:pPr>
        <w:pStyle w:val="NoSpacing"/>
        <w:ind w:left="720" w:firstLine="60"/>
        <w:rPr>
          <w:bCs/>
        </w:rPr>
      </w:pPr>
      <w:r w:rsidRPr="009F3D64">
        <w:t>excessive as a matter of law or unsupported by the evidence, we</w:t>
      </w:r>
      <w:r>
        <w:t xml:space="preserve"> </w:t>
      </w:r>
      <w:r w:rsidRPr="009F3D64">
        <w:t>reinstate the judgment and affirm it.</w:t>
      </w:r>
    </w:p>
    <w:p w14:paraId="50AEA8E4" w14:textId="77777777" w:rsidR="00B52DF4" w:rsidRDefault="00B52DF4" w:rsidP="00B52DF4">
      <w:pPr>
        <w:pStyle w:val="NoSpacing"/>
        <w:ind w:left="720" w:firstLine="60"/>
        <w:rPr>
          <w:bCs/>
        </w:rPr>
      </w:pPr>
    </w:p>
    <w:p w14:paraId="5792210C" w14:textId="77777777" w:rsidR="00B52DF4" w:rsidRDefault="00B52DF4" w:rsidP="00B52DF4">
      <w:pPr>
        <w:pStyle w:val="NoSpacing"/>
        <w:ind w:left="720" w:firstLine="60"/>
        <w:rPr>
          <w:bCs/>
        </w:rPr>
      </w:pPr>
      <w:r>
        <w:t>***</w:t>
      </w:r>
    </w:p>
    <w:p w14:paraId="1C0AAA9E" w14:textId="77777777" w:rsidR="00B52DF4" w:rsidRDefault="00B52DF4" w:rsidP="00B52DF4">
      <w:pPr>
        <w:pStyle w:val="NoSpacing"/>
        <w:ind w:left="720" w:firstLine="60"/>
        <w:rPr>
          <w:bCs/>
        </w:rPr>
      </w:pPr>
    </w:p>
    <w:p w14:paraId="60404065" w14:textId="77777777" w:rsidR="00B52DF4" w:rsidRDefault="00B52DF4" w:rsidP="00B52DF4">
      <w:pPr>
        <w:pStyle w:val="NoSpacing"/>
        <w:ind w:left="720"/>
        <w:rPr>
          <w:bCs/>
        </w:rPr>
      </w:pPr>
      <w:r w:rsidRPr="00371851">
        <w:t>LAPD’s Internal Affairs department (Internal Affairs)</w:t>
      </w:r>
      <w:r>
        <w:t xml:space="preserve"> </w:t>
      </w:r>
      <w:r w:rsidRPr="00371851">
        <w:t xml:space="preserve">conducted a </w:t>
      </w:r>
      <w:r>
        <w:t>‘</w:t>
      </w:r>
      <w:r w:rsidRPr="00371851">
        <w:t>major investigation</w:t>
      </w:r>
      <w:r>
        <w:t>’</w:t>
      </w:r>
      <w:r w:rsidRPr="00371851">
        <w:t xml:space="preserve"> into Raul’s allegations.</w:t>
      </w:r>
      <w:r>
        <w:t xml:space="preserve"> </w:t>
      </w:r>
      <w:r w:rsidRPr="00371851">
        <w:t>Internal Affairs obtained a search warrant for the cellular</w:t>
      </w:r>
      <w:r>
        <w:t xml:space="preserve"> </w:t>
      </w:r>
      <w:r w:rsidRPr="00371851">
        <w:t>telephone records of plaintiffs, their partners, and two</w:t>
      </w:r>
      <w:r>
        <w:t xml:space="preserve"> </w:t>
      </w:r>
      <w:r w:rsidRPr="00371851">
        <w:t>paramedics. A second search warrant was obtained to seize</w:t>
      </w:r>
      <w:r>
        <w:t xml:space="preserve"> </w:t>
      </w:r>
      <w:r w:rsidRPr="00371851">
        <w:t>plaintiffs’ cellular telephones but not those belonging to their</w:t>
      </w:r>
      <w:r>
        <w:t xml:space="preserve"> </w:t>
      </w:r>
      <w:r w:rsidRPr="00371851">
        <w:t>partners. Internal Affairs also searched plaintiffs’ lockers and</w:t>
      </w:r>
      <w:r>
        <w:t xml:space="preserve"> </w:t>
      </w:r>
      <w:r w:rsidRPr="00371851">
        <w:t>police and personal vehicles. Internal Affairs later served search</w:t>
      </w:r>
      <w:r>
        <w:t xml:space="preserve"> </w:t>
      </w:r>
      <w:r w:rsidRPr="00371851">
        <w:t>warrants on plaintiffs’ partners to seize their cellular telephones</w:t>
      </w:r>
      <w:r>
        <w:t xml:space="preserve"> </w:t>
      </w:r>
      <w:r w:rsidRPr="00371851">
        <w:t>but did not search their lockers or cars.</w:t>
      </w:r>
    </w:p>
    <w:p w14:paraId="1BF34A18" w14:textId="77777777" w:rsidR="00B52DF4" w:rsidRDefault="00B52DF4" w:rsidP="00B52DF4">
      <w:pPr>
        <w:pStyle w:val="NoSpacing"/>
        <w:rPr>
          <w:bCs/>
        </w:rPr>
      </w:pPr>
    </w:p>
    <w:p w14:paraId="5F6E47AB" w14:textId="77777777" w:rsidR="00B52DF4" w:rsidRDefault="00B52DF4" w:rsidP="00B52DF4">
      <w:pPr>
        <w:pStyle w:val="NoSpacing"/>
        <w:ind w:left="720"/>
        <w:rPr>
          <w:bCs/>
        </w:rPr>
      </w:pPr>
      <w:r w:rsidRPr="00494A10">
        <w:t xml:space="preserve">Plaintiffs were </w:t>
      </w:r>
      <w:r>
        <w:t>‘</w:t>
      </w:r>
      <w:r w:rsidRPr="00494A10">
        <w:t>benched,</w:t>
      </w:r>
      <w:r>
        <w:t>’</w:t>
      </w:r>
      <w:r w:rsidRPr="00494A10">
        <w:t xml:space="preserve"> meaning that they were removed</w:t>
      </w:r>
      <w:r>
        <w:t xml:space="preserve"> </w:t>
      </w:r>
      <w:r w:rsidRPr="00494A10">
        <w:t>from field duties and assigned to work at the front desk of the</w:t>
      </w:r>
      <w:r>
        <w:t xml:space="preserve"> </w:t>
      </w:r>
      <w:r w:rsidRPr="007E253B">
        <w:t>station. Their partners, Orefice and Spitaleri, remained in the</w:t>
      </w:r>
      <w:r>
        <w:t xml:space="preserve"> </w:t>
      </w:r>
      <w:r w:rsidRPr="007E253B">
        <w:t>field.</w:t>
      </w:r>
      <w:r>
        <w:t xml:space="preserve"> </w:t>
      </w:r>
      <w:r w:rsidRPr="007E253B">
        <w:t>Because Internal Affairs was unable to identify who</w:t>
      </w:r>
      <w:r>
        <w:t xml:space="preserve"> </w:t>
      </w:r>
      <w:r w:rsidRPr="007E253B">
        <w:t>committed the battery on Raul, the commanding officer</w:t>
      </w:r>
      <w:r>
        <w:t xml:space="preserve"> </w:t>
      </w:r>
      <w:r w:rsidRPr="007E253B">
        <w:t xml:space="preserve">recommended that those allegations be adjudicated as </w:t>
      </w:r>
      <w:r>
        <w:t>‘</w:t>
      </w:r>
      <w:r w:rsidRPr="007E253B">
        <w:t>not</w:t>
      </w:r>
      <w:r>
        <w:t xml:space="preserve"> </w:t>
      </w:r>
      <w:r w:rsidRPr="007E253B">
        <w:t>resolved.</w:t>
      </w:r>
      <w:r>
        <w:t>’</w:t>
      </w:r>
      <w:r w:rsidRPr="007E253B">
        <w:t xml:space="preserve"> As for the failure to request medical attention for Raul</w:t>
      </w:r>
      <w:r>
        <w:t xml:space="preserve"> </w:t>
      </w:r>
      <w:r w:rsidRPr="007E253B">
        <w:t>in a timely matter, the commanding officer recommended that</w:t>
      </w:r>
      <w:r>
        <w:t xml:space="preserve"> </w:t>
      </w:r>
      <w:r w:rsidRPr="007E253B">
        <w:t>Garcia be suspended for three days and that Glick, Spitaleri, and</w:t>
      </w:r>
      <w:r>
        <w:t xml:space="preserve"> </w:t>
      </w:r>
      <w:r w:rsidRPr="007E253B">
        <w:t>Orefice receive official reprimands. LAPD’s deputy chief later</w:t>
      </w:r>
      <w:r>
        <w:t xml:space="preserve"> </w:t>
      </w:r>
      <w:r w:rsidRPr="007E253B">
        <w:t>recommended increasing Garcia’s suspension to 10 days.</w:t>
      </w:r>
      <w:r>
        <w:t xml:space="preserve"> </w:t>
      </w:r>
      <w:r w:rsidRPr="007E253B">
        <w:t>The chief of police, however, rejected the disciplinary</w:t>
      </w:r>
      <w:r>
        <w:t xml:space="preserve"> </w:t>
      </w:r>
      <w:r w:rsidRPr="007E253B">
        <w:t>recommendations. Instead, the chief relieved plaintiffs from duty</w:t>
      </w:r>
      <w:r>
        <w:t xml:space="preserve"> </w:t>
      </w:r>
      <w:r w:rsidRPr="007E253B">
        <w:t>pending a hearing before the Board of Rights to terminate their</w:t>
      </w:r>
      <w:r>
        <w:t xml:space="preserve"> </w:t>
      </w:r>
      <w:r w:rsidRPr="007E253B">
        <w:t>employment. While awaiting the hearing, plaintiffs were</w:t>
      </w:r>
      <w:r>
        <w:t xml:space="preserve"> </w:t>
      </w:r>
      <w:r w:rsidRPr="007E253B">
        <w:t>required to stay at their homes unless they received approval to</w:t>
      </w:r>
      <w:r>
        <w:t xml:space="preserve"> </w:t>
      </w:r>
      <w:r w:rsidRPr="007E253B">
        <w:t>leave.</w:t>
      </w:r>
      <w:r>
        <w:t xml:space="preserve"> </w:t>
      </w:r>
      <w:r w:rsidRPr="007E253B">
        <w:t>The chief of police later canceled the Board of Rights</w:t>
      </w:r>
      <w:r>
        <w:t xml:space="preserve"> </w:t>
      </w:r>
      <w:r w:rsidRPr="007E253B">
        <w:t>hearing and adjudicated the battery counts against plaintiffs as</w:t>
      </w:r>
      <w:r>
        <w:t xml:space="preserve"> ‘</w:t>
      </w:r>
      <w:r w:rsidRPr="007E253B">
        <w:t>not resolved.</w:t>
      </w:r>
      <w:r>
        <w:t>’</w:t>
      </w:r>
      <w:r w:rsidRPr="007E253B">
        <w:t xml:space="preserve"> The chief officially reprimanded plaintiffs for</w:t>
      </w:r>
      <w:r>
        <w:t xml:space="preserve"> </w:t>
      </w:r>
      <w:r w:rsidRPr="007E253B">
        <w:t>failing to get Raul medical treatment.</w:t>
      </w:r>
      <w:r>
        <w:t>”</w:t>
      </w:r>
    </w:p>
    <w:p w14:paraId="24C059DE" w14:textId="77777777" w:rsidR="00B52DF4" w:rsidRDefault="00B52DF4" w:rsidP="00B52DF4">
      <w:pPr>
        <w:pStyle w:val="NoSpacing"/>
        <w:rPr>
          <w:bCs/>
        </w:rPr>
      </w:pPr>
    </w:p>
    <w:p w14:paraId="02445EF6" w14:textId="77777777" w:rsidR="00B52DF4" w:rsidRPr="009D5F6D" w:rsidRDefault="00B52DF4" w:rsidP="00B52DF4">
      <w:pPr>
        <w:pStyle w:val="NoSpacing"/>
        <w:rPr>
          <w:b/>
          <w:bCs/>
        </w:rPr>
      </w:pPr>
      <w:r>
        <w:rPr>
          <w:b/>
        </w:rPr>
        <w:t>Legal lesson learned: Internal Affairs investigations and discipline must be thorough involving both male and female officers.  Jury obviously found gender discrimination.</w:t>
      </w:r>
    </w:p>
    <w:p w14:paraId="13FBB785" w14:textId="77777777" w:rsidR="00B52DF4" w:rsidRDefault="00B52DF4" w:rsidP="00B52DF4">
      <w:pPr>
        <w:rPr>
          <w:b/>
        </w:rPr>
      </w:pPr>
    </w:p>
    <w:p w14:paraId="3880C740" w14:textId="77777777" w:rsidR="00B52DF4" w:rsidRDefault="00B52DF4" w:rsidP="00BC3D44">
      <w:pPr>
        <w:pStyle w:val="NoSpacing"/>
        <w:rPr>
          <w:rFonts w:ascii="Arial Black" w:hAnsi="Arial Black"/>
          <w:sz w:val="28"/>
          <w:szCs w:val="28"/>
        </w:rPr>
      </w:pPr>
    </w:p>
    <w:p w14:paraId="2FB6F385" w14:textId="77777777" w:rsidR="00B52DF4" w:rsidRDefault="00B52DF4" w:rsidP="00BC3D44">
      <w:pPr>
        <w:pStyle w:val="NoSpacing"/>
        <w:rPr>
          <w:rFonts w:ascii="Arial Black" w:hAnsi="Arial Black"/>
          <w:sz w:val="28"/>
          <w:szCs w:val="28"/>
        </w:rPr>
      </w:pPr>
    </w:p>
    <w:p w14:paraId="28136A94" w14:textId="77777777" w:rsidR="00B52DF4" w:rsidRDefault="00B52DF4" w:rsidP="00BC3D44">
      <w:pPr>
        <w:pStyle w:val="NoSpacing"/>
        <w:rPr>
          <w:rFonts w:ascii="Arial Black" w:hAnsi="Arial Black"/>
          <w:sz w:val="28"/>
          <w:szCs w:val="28"/>
        </w:rPr>
      </w:pPr>
    </w:p>
    <w:p w14:paraId="6B8B0762" w14:textId="18A90AE3" w:rsidR="00BC3D44" w:rsidRDefault="00BC3D44" w:rsidP="00BC3D44">
      <w:pPr>
        <w:pStyle w:val="NoSpacing"/>
        <w:rPr>
          <w:rFonts w:ascii="Arial Black" w:hAnsi="Arial Black"/>
          <w:sz w:val="28"/>
          <w:szCs w:val="28"/>
        </w:rPr>
      </w:pPr>
      <w:r>
        <w:rPr>
          <w:rFonts w:ascii="Arial Black" w:hAnsi="Arial Black"/>
          <w:sz w:val="28"/>
          <w:szCs w:val="28"/>
        </w:rPr>
        <w:t>7-94</w:t>
      </w:r>
    </w:p>
    <w:p w14:paraId="59B66E8D" w14:textId="77777777" w:rsidR="00BC3D44" w:rsidRDefault="00BC3D44" w:rsidP="00BC3D44">
      <w:pPr>
        <w:pStyle w:val="NoSpacing"/>
        <w:rPr>
          <w:rFonts w:ascii="Arial Black" w:hAnsi="Arial Black"/>
          <w:sz w:val="28"/>
          <w:szCs w:val="28"/>
        </w:rPr>
      </w:pPr>
    </w:p>
    <w:p w14:paraId="2323249A" w14:textId="4FA72154" w:rsidR="00BC3D44" w:rsidRPr="00C26E83" w:rsidRDefault="00BC3D44" w:rsidP="00BC3D44">
      <w:pPr>
        <w:pStyle w:val="NoSpacing"/>
        <w:rPr>
          <w:rFonts w:ascii="Arial Black" w:hAnsi="Arial Black"/>
          <w:sz w:val="28"/>
          <w:szCs w:val="28"/>
        </w:rPr>
      </w:pPr>
      <w:r w:rsidRPr="00C26E83">
        <w:rPr>
          <w:rFonts w:ascii="Arial Black" w:hAnsi="Arial Black"/>
          <w:sz w:val="28"/>
          <w:szCs w:val="28"/>
        </w:rPr>
        <w:t xml:space="preserve">OH: </w:t>
      </w:r>
      <w:r>
        <w:rPr>
          <w:rFonts w:ascii="Arial Black" w:hAnsi="Arial Black"/>
          <w:sz w:val="28"/>
          <w:szCs w:val="28"/>
        </w:rPr>
        <w:t xml:space="preserve">FEMALE </w:t>
      </w:r>
      <w:r>
        <w:rPr>
          <w:rFonts w:ascii="Arial Black" w:hAnsi="Arial Black"/>
          <w:b/>
          <w:sz w:val="28"/>
          <w:szCs w:val="28"/>
        </w:rPr>
        <w:t xml:space="preserve">EMT FIRED – PORN PHOTOS MALE EMT / WIFE </w:t>
      </w:r>
    </w:p>
    <w:p w14:paraId="163FE5C4" w14:textId="77777777" w:rsidR="00BC3D44" w:rsidRPr="00C26E83" w:rsidRDefault="00BC3D44" w:rsidP="00BC3D44">
      <w:pPr>
        <w:pStyle w:val="NoSpacing"/>
      </w:pPr>
    </w:p>
    <w:p w14:paraId="2C5E3E10" w14:textId="77777777" w:rsidR="00BC3D44" w:rsidRPr="00C26E83" w:rsidRDefault="00BC3D44" w:rsidP="00BC3D44">
      <w:pPr>
        <w:pStyle w:val="NoSpacing"/>
      </w:pPr>
      <w:r w:rsidRPr="00C26E83">
        <w:t xml:space="preserve">On July 17, 2026, in </w:t>
      </w:r>
      <w:r w:rsidRPr="00C26E83">
        <w:rPr>
          <w:u w:val="single"/>
        </w:rPr>
        <w:t>Gertrude Crisp v. Scioto Ambulance District</w:t>
      </w:r>
      <w:r w:rsidRPr="00C26E83">
        <w:t xml:space="preserve">, the United States Court of Appeals for the Sixth Circuit (Cincinnati) held (3 to 0) that U.S. District Court judge properly granted summary judgment to the Ambulance District in Portsmouth, Ohio; the court discussed the “craziness” conduct of a male EMT trying to put plaintiff in a trash can, and also the plaintiff’s conduct several years later sharing online pornographic images of the male EMT and his wife.  </w:t>
      </w:r>
      <w:hyperlink r:id="rId1365" w:history="1">
        <w:r w:rsidRPr="00C26E83">
          <w:rPr>
            <w:rStyle w:val="Hyperlink"/>
          </w:rPr>
          <w:t>https://cases.justia.com/federal/appellate-courts/ca6/25-3885/25-3885-2026-07-17.pdf?ts=1784323840</w:t>
        </w:r>
      </w:hyperlink>
      <w:r w:rsidRPr="00C26E83">
        <w:t xml:space="preserve"> </w:t>
      </w:r>
    </w:p>
    <w:p w14:paraId="367FA595" w14:textId="77777777" w:rsidR="00BC3D44" w:rsidRDefault="00BC3D44" w:rsidP="00BC3D44">
      <w:pPr>
        <w:pStyle w:val="NoSpacing"/>
      </w:pPr>
    </w:p>
    <w:p w14:paraId="5A0020B1" w14:textId="77777777" w:rsidR="00BC3D44" w:rsidRDefault="00BC3D44" w:rsidP="00BC3D44">
      <w:pPr>
        <w:pStyle w:val="NoSpacing"/>
      </w:pPr>
    </w:p>
    <w:p w14:paraId="51F2FECA" w14:textId="77777777" w:rsidR="00BC3D44" w:rsidRDefault="00BC3D44" w:rsidP="00BC3D44">
      <w:pPr>
        <w:pStyle w:val="NoSpacing"/>
      </w:pPr>
      <w:r w:rsidRPr="00C26E83">
        <w:t>THE COURT WROTE: “According to Gertrude Crisp, an emergency medical technician, ‘the inmates run[] the insane asylum’ at her former workplace, the Scioto Ambulance District…. Part of the craziness, Crisp claims, is a time when another EMT at Scioto (Joshua Gullett) groped her and tried to stuff her into a trash can while on the job. When Crisp complained, a supervisor separated them and required that they never work the same shift, but Gullett faced no other repercussions. Crisp pursued no legal redress against Gullett or Scioto at that time. Instead, Crisp waited several years to respond, and when she did, it was in her own way crazy. One day, she recalled that there were allegedly pornographic images of Gullett and his wife online. While at work, she showed those images to several EMTs. Scioto fired Crisp for doing that, and Crisp sued, asserting that the firing was retaliatory under state and federal anti-discrimination law. The district court disagreed, and so do we.</w:t>
      </w:r>
    </w:p>
    <w:p w14:paraId="72257913" w14:textId="77777777" w:rsidR="00BC3D44" w:rsidRDefault="00BC3D44" w:rsidP="00BC3D44">
      <w:pPr>
        <w:pStyle w:val="NoSpacing"/>
      </w:pPr>
    </w:p>
    <w:p w14:paraId="22A2CB1C" w14:textId="77777777" w:rsidR="00BC3D44" w:rsidRDefault="00BC3D44" w:rsidP="00BC3D44">
      <w:pPr>
        <w:pStyle w:val="NoSpacing"/>
      </w:pPr>
      <w:r w:rsidRPr="00C26E83">
        <w:t xml:space="preserve"> *** </w:t>
      </w:r>
    </w:p>
    <w:p w14:paraId="5A56B8BA" w14:textId="77777777" w:rsidR="00BC3D44" w:rsidRPr="00C26E83" w:rsidRDefault="00BC3D44" w:rsidP="00BC3D44">
      <w:pPr>
        <w:pStyle w:val="NoSpacing"/>
      </w:pPr>
      <w:r w:rsidRPr="00C26E83">
        <w:t xml:space="preserve">Thus, to win relief from our court, Crisp is essentially left to persuade us that a jury could find her employer violated Title VII when it fired her for sharing nude images of a co-worker while on the clock. That she has not done. The district court’s judgment is AFFIRMED.” </w:t>
      </w:r>
    </w:p>
    <w:p w14:paraId="4BF9A351" w14:textId="77777777" w:rsidR="00BC3D44" w:rsidRDefault="00BC3D44" w:rsidP="00BC3D44">
      <w:pPr>
        <w:pStyle w:val="NoSpacing"/>
      </w:pPr>
    </w:p>
    <w:p w14:paraId="42FB3BE8" w14:textId="77777777" w:rsidR="00BC3D44" w:rsidRPr="00C53A3F" w:rsidRDefault="00BC3D44" w:rsidP="00BC3D44">
      <w:pPr>
        <w:pStyle w:val="NoSpacing"/>
        <w:rPr>
          <w:b/>
          <w:bCs/>
        </w:rPr>
      </w:pPr>
      <w:r w:rsidRPr="00C53A3F">
        <w:rPr>
          <w:b/>
        </w:rPr>
        <w:t xml:space="preserve">Legal lesson learned: If employer had formally disciplined the male EMT, then perhaps the “craziness” would have stopped. </w:t>
      </w:r>
    </w:p>
    <w:p w14:paraId="35A84683" w14:textId="77777777" w:rsidR="00C26E25" w:rsidRDefault="00C26E25" w:rsidP="00851CFA">
      <w:pPr>
        <w:pStyle w:val="NoSpacing"/>
        <w:rPr>
          <w:rFonts w:ascii="Arial Black" w:hAnsi="Arial Black"/>
          <w:sz w:val="28"/>
          <w:szCs w:val="28"/>
        </w:rPr>
      </w:pPr>
    </w:p>
    <w:p w14:paraId="6E21BF92" w14:textId="77777777" w:rsidR="00BC3D44" w:rsidRDefault="00BC3D44" w:rsidP="00851CFA">
      <w:pPr>
        <w:pStyle w:val="NoSpacing"/>
        <w:rPr>
          <w:rFonts w:ascii="Arial Black" w:hAnsi="Arial Black"/>
          <w:sz w:val="28"/>
          <w:szCs w:val="28"/>
        </w:rPr>
      </w:pPr>
    </w:p>
    <w:p w14:paraId="03D87C3F" w14:textId="77777777" w:rsidR="00BC3D44" w:rsidRDefault="00BC3D44" w:rsidP="00851CFA">
      <w:pPr>
        <w:pStyle w:val="NoSpacing"/>
        <w:rPr>
          <w:rFonts w:ascii="Arial Black" w:hAnsi="Arial Black"/>
          <w:sz w:val="28"/>
          <w:szCs w:val="28"/>
        </w:rPr>
      </w:pPr>
    </w:p>
    <w:p w14:paraId="7921A524" w14:textId="1FBF2AC5" w:rsidR="00851CFA" w:rsidRDefault="00851CFA" w:rsidP="00851CFA">
      <w:pPr>
        <w:pStyle w:val="NoSpacing"/>
        <w:rPr>
          <w:rFonts w:ascii="Arial Black" w:hAnsi="Arial Black"/>
          <w:sz w:val="28"/>
          <w:szCs w:val="28"/>
        </w:rPr>
      </w:pPr>
      <w:r>
        <w:rPr>
          <w:rFonts w:ascii="Arial Black" w:hAnsi="Arial Black"/>
          <w:sz w:val="28"/>
          <w:szCs w:val="28"/>
        </w:rPr>
        <w:t>7-93</w:t>
      </w:r>
    </w:p>
    <w:p w14:paraId="73FAD747" w14:textId="77777777" w:rsidR="00851CFA" w:rsidRDefault="00851CFA" w:rsidP="00C235E8">
      <w:pPr>
        <w:pStyle w:val="NoSpacing"/>
        <w:rPr>
          <w:rFonts w:ascii="Arial Black" w:hAnsi="Arial Black"/>
          <w:sz w:val="28"/>
          <w:szCs w:val="28"/>
        </w:rPr>
      </w:pPr>
    </w:p>
    <w:p w14:paraId="1FA2CC72" w14:textId="77777777" w:rsidR="00BC4C9B" w:rsidRPr="008129D1" w:rsidRDefault="00BC4C9B" w:rsidP="00BC4C9B">
      <w:pPr>
        <w:pStyle w:val="NoSpacing"/>
        <w:rPr>
          <w:rFonts w:ascii="Arial Black" w:hAnsi="Arial Black"/>
          <w:b/>
          <w:sz w:val="28"/>
          <w:szCs w:val="28"/>
        </w:rPr>
      </w:pPr>
      <w:r>
        <w:rPr>
          <w:rFonts w:ascii="Arial Black" w:hAnsi="Arial Black"/>
          <w:b/>
          <w:sz w:val="28"/>
          <w:szCs w:val="28"/>
        </w:rPr>
        <w:t xml:space="preserve">IL: ONLY FEM - PORN MAG – SEX TALK - “SHEENA BUCKS”  </w:t>
      </w:r>
    </w:p>
    <w:p w14:paraId="438A0209" w14:textId="77777777" w:rsidR="00BC4C9B" w:rsidRDefault="00BC4C9B" w:rsidP="00BC4C9B">
      <w:pPr>
        <w:pStyle w:val="NoSpacing"/>
        <w:rPr>
          <w:b/>
        </w:rPr>
      </w:pPr>
    </w:p>
    <w:p w14:paraId="207CFE32" w14:textId="77777777" w:rsidR="00BC4C9B" w:rsidRDefault="00BC4C9B" w:rsidP="00BC4C9B">
      <w:pPr>
        <w:pStyle w:val="NoSpacing"/>
      </w:pPr>
      <w:r w:rsidRPr="005024CF">
        <w:t xml:space="preserve">On June 26, 2026, in </w:t>
      </w:r>
      <w:r w:rsidRPr="00EE302B">
        <w:rPr>
          <w:u w:val="single"/>
        </w:rPr>
        <w:t>Sheena Amble v. City of Rockford Fire Department</w:t>
      </w:r>
      <w:r>
        <w:t>, U.S. District Court Judge Iain D. Johnston, United States District Court for Northern District of Illinois, Western Division, held that her sexual harassment claim may proceed. However, conditions were not so severe that jury will not be asked if she was constructively forced to retire. The Court wrote: “</w:t>
      </w:r>
      <w:r w:rsidRPr="0080289D">
        <w:t>Within a few months</w:t>
      </w:r>
      <w:r>
        <w:t xml:space="preserve"> [of being </w:t>
      </w:r>
      <w:r w:rsidRPr="00A51A98">
        <w:t>transferred to Fire Station #4 in January 2019</w:t>
      </w:r>
      <w:r>
        <w:t>; only female at that station]</w:t>
      </w:r>
      <w:r w:rsidRPr="0080289D">
        <w:t>, pornographic magazines depicting nude females were left in a restroom, at least one crude conversation regarding oral sex occurred in Amble's presence, and play money depicting Amble's image was left on at least two occasions on a fire station bulletin board. This is sufficiently related to Amble's sex to survive summary judgment.</w:t>
      </w:r>
      <w:r>
        <w:t xml:space="preserve">” </w:t>
      </w:r>
      <w:hyperlink r:id="rId1366" w:history="1">
        <w:r w:rsidRPr="00E96FE1">
          <w:rPr>
            <w:rStyle w:val="Hyperlink"/>
          </w:rPr>
          <w:t>https://public.fastcase.com/Jhe1Qn%2BmJndQYQU6z%2FeNm4EknQ9bna34cDUqwi843otGfsnh4A%2FeYA9Hr6KrteFypi4%2BJsSKfbktA3m%2FwjVXVmU7hL2EQjK1ikmyt15wjVE%3D?utm_medium=email&amp;_hsenc=p2ANqtz--0s-Gqa1uWmBF4bwmJiG-zFePE1DiZBvElWG9MDL4AExGpxO5pGHEbiE5NOgiOIpfGRDMDibK3WS6s5HJa2qaBlry6oQ&amp;_hsmi=226712652&amp;utm_content=226712652&amp;utm_source=hs_email</w:t>
        </w:r>
      </w:hyperlink>
      <w:r>
        <w:t xml:space="preserve"> </w:t>
      </w:r>
    </w:p>
    <w:p w14:paraId="76307F5B" w14:textId="77777777" w:rsidR="00BC4C9B" w:rsidRDefault="00BC4C9B" w:rsidP="00BC4C9B">
      <w:pPr>
        <w:pStyle w:val="NoSpacing"/>
      </w:pPr>
    </w:p>
    <w:p w14:paraId="3D92B2EE" w14:textId="77777777" w:rsidR="00BC4C9B" w:rsidRDefault="00BC4C9B" w:rsidP="00BC4C9B">
      <w:pPr>
        <w:pStyle w:val="NoSpacing"/>
        <w:rPr>
          <w:bCs/>
        </w:rPr>
      </w:pPr>
    </w:p>
    <w:p w14:paraId="3FE72B74" w14:textId="77777777" w:rsidR="00BC4C9B" w:rsidRDefault="00BC4C9B" w:rsidP="00BC4C9B">
      <w:pPr>
        <w:pStyle w:val="NoSpacing"/>
        <w:rPr>
          <w:b/>
        </w:rPr>
      </w:pPr>
      <w:r w:rsidRPr="00613EDA">
        <w:rPr>
          <w:b/>
        </w:rPr>
        <w:t>FACTS:</w:t>
      </w:r>
    </w:p>
    <w:p w14:paraId="227AD690" w14:textId="77777777" w:rsidR="00BC4C9B" w:rsidRDefault="00BC4C9B" w:rsidP="00BC4C9B">
      <w:pPr>
        <w:pStyle w:val="NoSpacing"/>
        <w:rPr>
          <w:b/>
        </w:rPr>
      </w:pPr>
    </w:p>
    <w:p w14:paraId="5D86087C" w14:textId="77777777" w:rsidR="00BC4C9B" w:rsidRDefault="00BC4C9B" w:rsidP="00BC4C9B">
      <w:pPr>
        <w:pStyle w:val="NoSpacing"/>
      </w:pPr>
      <w:r>
        <w:t>“</w:t>
      </w:r>
      <w:r w:rsidRPr="00EB4692">
        <w:t>Amble was hired by RFD on March 29, 2004</w:t>
      </w:r>
      <w:r>
        <w:t xml:space="preserve">. </w:t>
      </w:r>
      <w:r w:rsidRPr="00EB4692">
        <w:t xml:space="preserve">Other than a short stint of employment with the Madison, Wisconsin Fire Department in 2006-2007, Amble remained employed by RFD until her resignation in May 2019. </w:t>
      </w:r>
    </w:p>
    <w:p w14:paraId="7A006365" w14:textId="77777777" w:rsidR="00BC4C9B" w:rsidRDefault="00BC4C9B" w:rsidP="00BC4C9B">
      <w:pPr>
        <w:pStyle w:val="NoSpacing"/>
      </w:pPr>
    </w:p>
    <w:p w14:paraId="7BF21E89" w14:textId="77777777" w:rsidR="00BC4C9B" w:rsidRDefault="00BC4C9B" w:rsidP="00BC4C9B">
      <w:pPr>
        <w:pStyle w:val="NoSpacing"/>
      </w:pPr>
      <w:r>
        <w:t>***</w:t>
      </w:r>
    </w:p>
    <w:p w14:paraId="128A6FEC" w14:textId="77777777" w:rsidR="00BC4C9B" w:rsidRDefault="00BC4C9B" w:rsidP="00BC4C9B">
      <w:pPr>
        <w:pStyle w:val="NoSpacing"/>
      </w:pPr>
      <w:r w:rsidRPr="00A51A98">
        <w:t>Notwithstanding the denied station transfer in 2011, Amble was transferred to Fire Station #4 in January 2019</w:t>
      </w:r>
      <w:r>
        <w:t xml:space="preserve">…. </w:t>
      </w:r>
      <w:r w:rsidRPr="00A51A98">
        <w:t xml:space="preserve">While at Fire Station #4, Amble was present or subject to at least one conversation of a sexual nature, including two male firefighters crudely conversing in Amble's presence, questioning how vegans would </w:t>
      </w:r>
      <w:r>
        <w:t>‘</w:t>
      </w:r>
      <w:r w:rsidRPr="00A51A98">
        <w:t>suck dick,</w:t>
      </w:r>
      <w:r>
        <w:t>’</w:t>
      </w:r>
      <w:r w:rsidRPr="00A51A98">
        <w:t xml:space="preserve"> with one of them also stating that he would </w:t>
      </w:r>
      <w:r>
        <w:t>‘</w:t>
      </w:r>
      <w:r w:rsidRPr="00A51A98">
        <w:t>suck your dick so good.</w:t>
      </w:r>
      <w:r>
        <w:t xml:space="preserve">’ </w:t>
      </w:r>
    </w:p>
    <w:p w14:paraId="63F477D7" w14:textId="77777777" w:rsidR="00BC4C9B" w:rsidRDefault="00BC4C9B" w:rsidP="00BC4C9B">
      <w:pPr>
        <w:pStyle w:val="NoSpacing"/>
      </w:pPr>
    </w:p>
    <w:p w14:paraId="34A65B68" w14:textId="77777777" w:rsidR="00BC4C9B" w:rsidRDefault="00BC4C9B" w:rsidP="00BC4C9B">
      <w:pPr>
        <w:pStyle w:val="NoSpacing"/>
      </w:pPr>
      <w:r>
        <w:t>***</w:t>
      </w:r>
    </w:p>
    <w:p w14:paraId="6D0D78A0" w14:textId="77777777" w:rsidR="00BC4C9B" w:rsidRDefault="00BC4C9B" w:rsidP="00BC4C9B">
      <w:pPr>
        <w:pStyle w:val="NoSpacing"/>
      </w:pPr>
    </w:p>
    <w:p w14:paraId="38D975C8" w14:textId="77777777" w:rsidR="00BC4C9B" w:rsidRDefault="00BC4C9B" w:rsidP="00BC4C9B">
      <w:pPr>
        <w:pStyle w:val="NoSpacing"/>
      </w:pPr>
      <w:r w:rsidRPr="00686CD2">
        <w:t>Next, Amble found pornographic magazines in the restroom of another station</w:t>
      </w:r>
      <w:r>
        <w:t xml:space="preserve">…. </w:t>
      </w:r>
      <w:r w:rsidRPr="00686CD2">
        <w:t xml:space="preserve"> And Amble reported finding play money photoshopped with her image on it- apparently dubbed </w:t>
      </w:r>
      <w:r>
        <w:t>‘</w:t>
      </w:r>
      <w:r w:rsidRPr="00686CD2">
        <w:t>Sheena Bucks</w:t>
      </w:r>
      <w:r>
        <w:t>’</w:t>
      </w:r>
      <w:r w:rsidRPr="00686CD2">
        <w:t>-</w:t>
      </w:r>
      <w:r>
        <w:t xml:space="preserve"> </w:t>
      </w:r>
      <w:r w:rsidRPr="00686CD2">
        <w:t xml:space="preserve">on two separate occasions. Amble was the only female assigned to Fire Station #4. </w:t>
      </w:r>
    </w:p>
    <w:p w14:paraId="0988439D" w14:textId="77777777" w:rsidR="00BC4C9B" w:rsidRDefault="00BC4C9B" w:rsidP="00BC4C9B">
      <w:pPr>
        <w:pStyle w:val="NoSpacing"/>
      </w:pPr>
    </w:p>
    <w:p w14:paraId="4B969C3A" w14:textId="77777777" w:rsidR="00BC4C9B" w:rsidRDefault="00BC4C9B" w:rsidP="00BC4C9B">
      <w:pPr>
        <w:pStyle w:val="NoSpacing"/>
      </w:pPr>
      <w:r>
        <w:t xml:space="preserve">Paragraph 6: </w:t>
      </w:r>
      <w:r w:rsidRPr="001C7B3D">
        <w:t xml:space="preserve">As to this last point, a disputed fact remains </w:t>
      </w:r>
      <w:r w:rsidRPr="001C7B3D">
        <w:rPr>
          <w:i/>
          <w:iCs/>
        </w:rPr>
        <w:t>why</w:t>
      </w:r>
      <w:r w:rsidRPr="001C7B3D">
        <w:t xml:space="preserve"> another RFD employee made and published this image. Amble uses it as evidence of further sexual harassment, describing it as a “humiliating display[]... contributing] to a hostile environment.” </w:t>
      </w:r>
      <w:r>
        <w:t>…</w:t>
      </w:r>
      <w:r w:rsidRPr="001C7B3D">
        <w:t xml:space="preserve">RFD argues that the money was </w:t>
      </w:r>
      <w:proofErr w:type="gramStart"/>
      <w:r w:rsidRPr="001C7B3D">
        <w:t>actually posted</w:t>
      </w:r>
      <w:proofErr w:type="gramEnd"/>
      <w:r w:rsidRPr="001C7B3D">
        <w:t xml:space="preserve"> in response to Amble's reputation for paying other RFD employees to take shifts for her</w:t>
      </w:r>
      <w:r>
        <w:t xml:space="preserve">…. </w:t>
      </w:r>
      <w:r w:rsidRPr="001C7B3D">
        <w:t xml:space="preserve"> To the extent RFD uses an unproduced document detailing time trades that was sprung on Amble mid-deposition, Amble's objection is sustained for the purpose of summary judgment. In any event, there being an imbalance in time trades doesn't foreclose the possibility that the play money still constituted sexual harassment. That's a question for a jury.</w:t>
      </w:r>
    </w:p>
    <w:p w14:paraId="6BF42DC4" w14:textId="77777777" w:rsidR="00BC4C9B" w:rsidRPr="00EB4692" w:rsidRDefault="00BC4C9B" w:rsidP="00BC4C9B">
      <w:pPr>
        <w:pStyle w:val="NoSpacing"/>
      </w:pPr>
    </w:p>
    <w:p w14:paraId="118CAA19" w14:textId="77777777" w:rsidR="00BC4C9B" w:rsidRDefault="00BC4C9B" w:rsidP="00BC4C9B">
      <w:pPr>
        <w:pStyle w:val="NoSpacing"/>
      </w:pPr>
      <w:r>
        <w:t>***</w:t>
      </w:r>
    </w:p>
    <w:p w14:paraId="5C663827" w14:textId="77777777" w:rsidR="00BC4C9B" w:rsidRDefault="00BC4C9B" w:rsidP="00BC4C9B">
      <w:pPr>
        <w:pStyle w:val="NoSpacing"/>
      </w:pPr>
      <w:r w:rsidRPr="00875D03">
        <w:t>Amble complained to Captain Willie Brown and Human Resources Director Shaurice Hunter about this conduct and an investigation was conducted</w:t>
      </w:r>
      <w:r>
        <w:t xml:space="preserve">…. </w:t>
      </w:r>
      <w:r w:rsidRPr="00875D03">
        <w:t xml:space="preserve">This wasn't a formal disciplinary investigation, but rather an </w:t>
      </w:r>
      <w:r>
        <w:t>‘</w:t>
      </w:r>
      <w:r w:rsidRPr="00875D03">
        <w:t>informal fact-finding process.</w:t>
      </w:r>
      <w:r>
        <w:t>’ …</w:t>
      </w:r>
      <w:r w:rsidRPr="00875D03">
        <w:t xml:space="preserve"> Hunter found violations of rules and regulations but recommended only additional training be provided in sexual harassment, diversity, and business etiquette and professionalism</w:t>
      </w:r>
      <w:r>
        <w:t>…</w:t>
      </w:r>
      <w:r>
        <w:rPr>
          <w:vertAlign w:val="superscript"/>
        </w:rPr>
        <w:t xml:space="preserve">. </w:t>
      </w:r>
      <w:r w:rsidRPr="00875D03">
        <w:t xml:space="preserve"> Brown held meetings to try to resolve the conflict, but after these were unsuccessful, Amble insisted on escalating the </w:t>
      </w:r>
      <w:proofErr w:type="gramStart"/>
      <w:r w:rsidRPr="00875D03">
        <w:t>issues</w:t>
      </w:r>
      <w:r>
        <w:t>.”</w:t>
      </w:r>
      <w:proofErr w:type="gramEnd"/>
    </w:p>
    <w:p w14:paraId="58851D6A" w14:textId="77777777" w:rsidR="00BC4C9B" w:rsidRDefault="00BC4C9B" w:rsidP="00BC4C9B">
      <w:pPr>
        <w:pStyle w:val="NoSpacing"/>
      </w:pPr>
    </w:p>
    <w:p w14:paraId="05C63EE8" w14:textId="77777777" w:rsidR="00BC4C9B" w:rsidRPr="00875D03" w:rsidRDefault="00BC4C9B" w:rsidP="00BC4C9B">
      <w:pPr>
        <w:pStyle w:val="NoSpacing"/>
        <w:rPr>
          <w:b/>
          <w:bCs/>
        </w:rPr>
      </w:pPr>
      <w:r w:rsidRPr="00875D03">
        <w:rPr>
          <w:b/>
        </w:rPr>
        <w:t>COURT HELD:</w:t>
      </w:r>
    </w:p>
    <w:p w14:paraId="21680421" w14:textId="77777777" w:rsidR="00BC4C9B" w:rsidRDefault="00BC4C9B" w:rsidP="00BC4C9B">
      <w:pPr>
        <w:pStyle w:val="NoSpacing"/>
      </w:pPr>
    </w:p>
    <w:p w14:paraId="2E732228" w14:textId="77777777" w:rsidR="00BC4C9B" w:rsidRDefault="00BC4C9B" w:rsidP="00BC4C9B">
      <w:pPr>
        <w:pStyle w:val="NoSpacing"/>
      </w:pPr>
      <w:r>
        <w:t>“</w:t>
      </w:r>
      <w:r w:rsidRPr="00613EDA">
        <w:t xml:space="preserve">In a single paragraph, RFD claims that the harassment suffered by Amble was not sexual harassment, in that it was not “based on” her sex. RFD Memorandum [64] at 15. Amble responds by pointing toward the record indicating sexually inappropriate conversations in the workplace and the presence of pornography- specifically </w:t>
      </w:r>
      <w:proofErr w:type="spellStart"/>
      <w:r w:rsidRPr="00613EDA">
        <w:t>PlayBoy</w:t>
      </w:r>
      <w:proofErr w:type="spellEnd"/>
      <w:r w:rsidRPr="00613EDA">
        <w:t xml:space="preserve"> and </w:t>
      </w:r>
      <w:proofErr w:type="spellStart"/>
      <w:r w:rsidRPr="00613EDA">
        <w:t>PentHouse</w:t>
      </w:r>
      <w:proofErr w:type="spellEnd"/>
      <w:r w:rsidRPr="00613EDA">
        <w:t xml:space="preserve"> magazines-in a setting where she was the only female employee. Amble Response Brief [73] at 4-5</w:t>
      </w:r>
      <w:r>
        <w:t xml:space="preserve">…. </w:t>
      </w:r>
      <w:r w:rsidRPr="00FF490D">
        <w:t xml:space="preserve">Looking specifically to the conduct occurring at RFD though, a reasonable jury </w:t>
      </w:r>
      <w:r>
        <w:t xml:space="preserve"> </w:t>
      </w:r>
      <w:r w:rsidRPr="00FF490D">
        <w:t>could find that the harassment was related to Amble's sex sufficient to constitute sexual harassment</w:t>
      </w:r>
      <w:r>
        <w:t>.”</w:t>
      </w:r>
    </w:p>
    <w:p w14:paraId="11F22CE7" w14:textId="77777777" w:rsidR="00BC4C9B" w:rsidRDefault="00BC4C9B" w:rsidP="00BC4C9B">
      <w:pPr>
        <w:pStyle w:val="NoSpacing"/>
      </w:pPr>
    </w:p>
    <w:p w14:paraId="12B161A1" w14:textId="77777777" w:rsidR="00BC4C9B" w:rsidRDefault="00BC4C9B" w:rsidP="00BC4C9B">
      <w:pPr>
        <w:pStyle w:val="NoSpacing"/>
      </w:pPr>
      <w:r>
        <w:rPr>
          <w:b/>
        </w:rPr>
        <w:t xml:space="preserve">Legal lesson learned: Captain tried to informally handle; best to promptly inform Chief and conduct formal investigation. </w:t>
      </w:r>
      <w:r>
        <w:t xml:space="preserve"> </w:t>
      </w:r>
    </w:p>
    <w:p w14:paraId="39FB0A72" w14:textId="77777777" w:rsidR="00BC4C9B" w:rsidRDefault="00BC4C9B" w:rsidP="00BC4C9B">
      <w:pPr>
        <w:pStyle w:val="NoSpacing"/>
      </w:pPr>
    </w:p>
    <w:p w14:paraId="3658B674" w14:textId="77777777" w:rsidR="00BC4C9B" w:rsidRDefault="00BC4C9B" w:rsidP="00C235E8">
      <w:pPr>
        <w:pStyle w:val="NoSpacing"/>
        <w:rPr>
          <w:rFonts w:ascii="Arial Black" w:hAnsi="Arial Black"/>
          <w:sz w:val="28"/>
          <w:szCs w:val="28"/>
        </w:rPr>
      </w:pPr>
    </w:p>
    <w:p w14:paraId="64E0D045" w14:textId="77777777" w:rsidR="00BC4C9B" w:rsidRDefault="00BC4C9B" w:rsidP="00C235E8">
      <w:pPr>
        <w:pStyle w:val="NoSpacing"/>
        <w:rPr>
          <w:rFonts w:ascii="Arial Black" w:hAnsi="Arial Black"/>
          <w:sz w:val="28"/>
          <w:szCs w:val="28"/>
        </w:rPr>
      </w:pPr>
    </w:p>
    <w:p w14:paraId="615A3AC4" w14:textId="045C52CA" w:rsidR="008E1A23" w:rsidRDefault="00174D48" w:rsidP="00C235E8">
      <w:pPr>
        <w:pStyle w:val="NoSpacing"/>
        <w:rPr>
          <w:rFonts w:ascii="Arial Black" w:hAnsi="Arial Black"/>
          <w:sz w:val="28"/>
          <w:szCs w:val="28"/>
        </w:rPr>
      </w:pPr>
      <w:r>
        <w:rPr>
          <w:rFonts w:ascii="Arial Black" w:hAnsi="Arial Black"/>
          <w:sz w:val="28"/>
          <w:szCs w:val="28"/>
        </w:rPr>
        <w:t>7-92</w:t>
      </w:r>
    </w:p>
    <w:p w14:paraId="627D7365" w14:textId="77777777" w:rsidR="008E1A23" w:rsidRPr="00C028F5" w:rsidRDefault="008E1A23" w:rsidP="008E1A23">
      <w:pPr>
        <w:pStyle w:val="NoSpacing"/>
        <w:rPr>
          <w:bCs/>
        </w:rPr>
      </w:pPr>
    </w:p>
    <w:p w14:paraId="01C0C8DB" w14:textId="77777777" w:rsidR="008E1A23" w:rsidRPr="00387B27" w:rsidRDefault="008E1A23" w:rsidP="008E1A23">
      <w:pPr>
        <w:rPr>
          <w:rFonts w:ascii="Arial Black" w:hAnsi="Arial Black"/>
          <w:b/>
          <w:sz w:val="28"/>
          <w:szCs w:val="28"/>
        </w:rPr>
      </w:pPr>
      <w:r>
        <w:rPr>
          <w:rFonts w:ascii="Arial Black" w:hAnsi="Arial Black"/>
          <w:b/>
          <w:sz w:val="28"/>
          <w:szCs w:val="28"/>
        </w:rPr>
        <w:t>MA: FORMER CHIEF – $1.5M – PROTESTED NIECE DISCRIM</w:t>
      </w:r>
    </w:p>
    <w:p w14:paraId="5BE620E5" w14:textId="77777777" w:rsidR="008E1A23" w:rsidRDefault="008E1A23" w:rsidP="008E1A23">
      <w:pPr>
        <w:pStyle w:val="NoSpacing"/>
        <w:rPr>
          <w:bCs/>
        </w:rPr>
      </w:pPr>
      <w:r>
        <w:t xml:space="preserve">On May 15, 2026, in </w:t>
      </w:r>
      <w:r w:rsidRPr="00EC782D">
        <w:rPr>
          <w:u w:val="single"/>
        </w:rPr>
        <w:t>Kevin C. Robinson v. Town of Mansfield</w:t>
      </w:r>
      <w:r>
        <w:t xml:space="preserve">, the </w:t>
      </w:r>
      <w:r w:rsidRPr="00467B0D">
        <w:t>Supreme Judicial Court of Massachusetts, Plymouth</w:t>
      </w:r>
      <w:r>
        <w:t xml:space="preserve"> held (6 to 0) that the jury award of compensatory and punitive damages is affirmed, and the former Fire Chief can also apply for reimbursement of attorney fees for the appeal.  </w:t>
      </w:r>
      <w:r w:rsidRPr="00E31486">
        <w:t>Robinson began working as a</w:t>
      </w:r>
      <w:r>
        <w:t xml:space="preserve"> </w:t>
      </w:r>
      <w:r w:rsidRPr="00E31486">
        <w:t>firefighter for the town in 1978. In 2003, Robinson was</w:t>
      </w:r>
      <w:r>
        <w:t xml:space="preserve"> </w:t>
      </w:r>
      <w:r w:rsidRPr="00E31486">
        <w:t>appointed fire chief by the town's board of selectmen</w:t>
      </w:r>
      <w:r>
        <w:t>. THE COURT WROTE: “</w:t>
      </w:r>
      <w:r w:rsidRPr="00FA570B">
        <w:t>Both Robinson's brother, Shaun, and Robinson's son, Craig,</w:t>
      </w:r>
      <w:r>
        <w:t xml:space="preserve"> </w:t>
      </w:r>
      <w:r w:rsidRPr="00FA570B">
        <w:t>were firefighters in the department and worked under Robinson's</w:t>
      </w:r>
      <w:r>
        <w:t xml:space="preserve"> </w:t>
      </w:r>
      <w:r w:rsidRPr="00FA570B">
        <w:t>supervision for several years.</w:t>
      </w:r>
      <w:r>
        <w:t xml:space="preserve"> </w:t>
      </w:r>
      <w:r w:rsidRPr="00081490">
        <w:t>In February 2013,</w:t>
      </w:r>
      <w:r>
        <w:t xml:space="preserve"> </w:t>
      </w:r>
      <w:r w:rsidRPr="00081490">
        <w:t>the department had two vacancies. The top two candidates on the</w:t>
      </w:r>
      <w:r>
        <w:t xml:space="preserve"> </w:t>
      </w:r>
      <w:r w:rsidRPr="00081490">
        <w:t>civil service examination, both women, were Jodi Corrigan and</w:t>
      </w:r>
      <w:r>
        <w:t xml:space="preserve"> </w:t>
      </w:r>
      <w:r w:rsidRPr="00081490">
        <w:t>Robinson's niece, Shauna, who was a paramedic. Before Shauna</w:t>
      </w:r>
      <w:r>
        <w:t xml:space="preserve"> </w:t>
      </w:r>
      <w:r w:rsidRPr="00081490">
        <w:t>was hired, Robinson met with the board to discuss potential</w:t>
      </w:r>
      <w:r>
        <w:t xml:space="preserve"> </w:t>
      </w:r>
      <w:r w:rsidRPr="00081490">
        <w:t>conflicts of interest in connection with her employment.</w:t>
      </w:r>
      <w:r>
        <w:t xml:space="preserve"> </w:t>
      </w:r>
      <w:r w:rsidRPr="00081490">
        <w:t>Although nieces are not immediate family members under G. L.</w:t>
      </w:r>
      <w:r>
        <w:t xml:space="preserve"> </w:t>
      </w:r>
      <w:r w:rsidRPr="00081490">
        <w:t>c. 268A, Robinson nevertheless submitted the forms disclosing</w:t>
      </w:r>
      <w:r>
        <w:t xml:space="preserve"> </w:t>
      </w:r>
      <w:r w:rsidRPr="00081490">
        <w:t>his financial interest and the appearance of a conflict of</w:t>
      </w:r>
      <w:r>
        <w:t xml:space="preserve"> </w:t>
      </w:r>
      <w:r w:rsidRPr="00081490">
        <w:t>interest, under § 19 (b) and § 23 (b) (3), as he had done when</w:t>
      </w:r>
      <w:r>
        <w:t xml:space="preserve"> </w:t>
      </w:r>
      <w:r w:rsidRPr="00081490">
        <w:t>Shaun and Craig were hired.</w:t>
      </w:r>
      <w:r>
        <w:t xml:space="preserve"> </w:t>
      </w:r>
      <w:r w:rsidRPr="009B2829">
        <w:t>Robinson also recused himself from</w:t>
      </w:r>
      <w:r>
        <w:t xml:space="preserve"> </w:t>
      </w:r>
      <w:r w:rsidRPr="009B2829">
        <w:t>the hiring process.</w:t>
      </w:r>
      <w:r>
        <w:t xml:space="preserve"> </w:t>
      </w:r>
      <w:r w:rsidRPr="00714E6C">
        <w:t>In October 2013, the board approved Shauna's selection and</w:t>
      </w:r>
      <w:r>
        <w:t xml:space="preserve"> </w:t>
      </w:r>
      <w:r w:rsidRPr="00714E6C">
        <w:t>Robinson's disclosure forms but set several conditions with</w:t>
      </w:r>
      <w:r>
        <w:t xml:space="preserve"> </w:t>
      </w:r>
      <w:r w:rsidRPr="00714E6C">
        <w:t>respect to Robinson's involvement in Shauna, Craig, or Shaun's</w:t>
      </w:r>
      <w:r>
        <w:t xml:space="preserve"> </w:t>
      </w:r>
      <w:r w:rsidRPr="00714E6C">
        <w:t>work. Specifically, as to these family members, Robinson was</w:t>
      </w:r>
      <w:r>
        <w:t xml:space="preserve"> </w:t>
      </w:r>
      <w:r w:rsidRPr="00714E6C">
        <w:t>required to recuse himself from decisions relating to</w:t>
      </w:r>
      <w:r>
        <w:t xml:space="preserve"> </w:t>
      </w:r>
      <w:r w:rsidRPr="00714E6C">
        <w:t>appointments or promotions; prohibited from making any</w:t>
      </w:r>
      <w:r>
        <w:t xml:space="preserve"> </w:t>
      </w:r>
      <w:r w:rsidRPr="00714E6C">
        <w:t>discretionary assignments resulting in additional wages or</w:t>
      </w:r>
      <w:r>
        <w:t xml:space="preserve"> </w:t>
      </w:r>
      <w:r w:rsidRPr="00714E6C">
        <w:t>overtime; and required to refer any disciplinary matters to the</w:t>
      </w:r>
      <w:r>
        <w:t xml:space="preserve"> </w:t>
      </w:r>
      <w:r w:rsidRPr="00A33750">
        <w:t>town administrator, Rocco Longo, who would be responsible for</w:t>
      </w:r>
      <w:r>
        <w:t xml:space="preserve"> </w:t>
      </w:r>
      <w:r w:rsidRPr="00A33750">
        <w:t>investigating the matter and making a recommendation to</w:t>
      </w:r>
      <w:r>
        <w:t xml:space="preserve"> </w:t>
      </w:r>
      <w:r w:rsidRPr="00A33750">
        <w:t>Robinson.</w:t>
      </w:r>
      <w:r>
        <w:t xml:space="preserve"> *** </w:t>
      </w:r>
      <w:r w:rsidRPr="00154D65">
        <w:t xml:space="preserve">Robinson </w:t>
      </w:r>
      <w:r>
        <w:t xml:space="preserve"> </w:t>
      </w:r>
      <w:r w:rsidRPr="00154D65">
        <w:t>alleged that the</w:t>
      </w:r>
      <w:r>
        <w:t xml:space="preserve"> </w:t>
      </w:r>
      <w:r w:rsidRPr="00154D65">
        <w:t>town retaliated against him for complaining that his niece</w:t>
      </w:r>
      <w:r>
        <w:t xml:space="preserve"> … </w:t>
      </w:r>
      <w:r w:rsidRPr="00154D65">
        <w:t>was being</w:t>
      </w:r>
      <w:r>
        <w:t xml:space="preserve"> </w:t>
      </w:r>
      <w:r w:rsidRPr="00154D65">
        <w:t>discriminated against because of her gender. After trial, a</w:t>
      </w:r>
      <w:r>
        <w:t xml:space="preserve"> </w:t>
      </w:r>
      <w:r w:rsidRPr="00154D65">
        <w:t>jury found the town liable for retaliation and awarded Robinson</w:t>
      </w:r>
      <w:r>
        <w:t xml:space="preserve"> </w:t>
      </w:r>
      <w:r w:rsidRPr="00154D65">
        <w:t>compensatory and punitive damages</w:t>
      </w:r>
      <w:r>
        <w:t xml:space="preserve">… </w:t>
      </w:r>
      <w:r w:rsidRPr="00663491">
        <w:t>We conclude that there was sufficient evidence for the jury</w:t>
      </w:r>
      <w:r>
        <w:t xml:space="preserve"> </w:t>
      </w:r>
      <w:r w:rsidRPr="00663491">
        <w:t>to find that the town retaliated against Robinson because he</w:t>
      </w:r>
      <w:r>
        <w:t xml:space="preserve"> </w:t>
      </w:r>
      <w:r w:rsidRPr="00663491">
        <w:t xml:space="preserve">complained of gender </w:t>
      </w:r>
      <w:proofErr w:type="gramStart"/>
      <w:r w:rsidRPr="00663491">
        <w:t>discrimination</w:t>
      </w:r>
      <w:r>
        <w:t>.”</w:t>
      </w:r>
      <w:proofErr w:type="gramEnd"/>
      <w:r>
        <w:t xml:space="preserve"> </w:t>
      </w:r>
      <w:hyperlink r:id="rId1367" w:history="1">
        <w:r w:rsidRPr="008966A9">
          <w:rPr>
            <w:rStyle w:val="Hyperlink"/>
          </w:rPr>
          <w:t>https://www.mass.gov/doc/robinson-v-marshfield-sjc-f13825/download</w:t>
        </w:r>
      </w:hyperlink>
      <w:r>
        <w:t xml:space="preserve"> </w:t>
      </w:r>
    </w:p>
    <w:p w14:paraId="2688D8E5" w14:textId="77777777" w:rsidR="008E1A23" w:rsidRDefault="008E1A23" w:rsidP="008E1A23">
      <w:pPr>
        <w:pStyle w:val="NoSpacing"/>
        <w:rPr>
          <w:bCs/>
        </w:rPr>
      </w:pPr>
    </w:p>
    <w:p w14:paraId="6AF5A2A7" w14:textId="77777777" w:rsidR="008E1A23" w:rsidRDefault="008E1A23" w:rsidP="008E1A23">
      <w:pPr>
        <w:pStyle w:val="NoSpacing"/>
        <w:rPr>
          <w:bCs/>
        </w:rPr>
      </w:pPr>
      <w:r>
        <w:t xml:space="preserve">THE COURT HELD: </w:t>
      </w:r>
      <w:r w:rsidRPr="00154D65">
        <w:t xml:space="preserve"> </w:t>
      </w:r>
      <w:r>
        <w:t xml:space="preserve"> </w:t>
      </w:r>
    </w:p>
    <w:p w14:paraId="6C6DDC39" w14:textId="77777777" w:rsidR="008E1A23" w:rsidRDefault="008E1A23" w:rsidP="008E1A23">
      <w:pPr>
        <w:pStyle w:val="NoSpacing"/>
        <w:rPr>
          <w:bCs/>
        </w:rPr>
      </w:pPr>
    </w:p>
    <w:p w14:paraId="4DA664C7" w14:textId="77777777" w:rsidR="008E1A23" w:rsidRDefault="008E1A23" w:rsidP="008E1A23">
      <w:pPr>
        <w:pStyle w:val="NoSpacing"/>
        <w:ind w:left="720"/>
        <w:rPr>
          <w:bCs/>
        </w:rPr>
      </w:pPr>
      <w:r>
        <w:t xml:space="preserve">“In November 2023, the Town authorized the hiring of the Fire Chief’s niece, Shauna, and another female firefighter, Jodi Corrigan.  While Jodi successfully completed her one-year probationary training, by </w:t>
      </w:r>
      <w:r w:rsidRPr="00E144F8">
        <w:t>early January 2014, multiple supervisors had expressed concerns</w:t>
      </w:r>
      <w:r>
        <w:t xml:space="preserve"> </w:t>
      </w:r>
      <w:r w:rsidRPr="00E144F8">
        <w:t>that Shauna was struggling with her training</w:t>
      </w:r>
      <w:r>
        <w:t xml:space="preserve">. </w:t>
      </w:r>
      <w:r w:rsidRPr="00E75635">
        <w:t>Shauna was evaluated by two outside fire chiefs and a paramedic, none of whom recommended that she be fired. However,</w:t>
      </w:r>
      <w:r>
        <w:t xml:space="preserve"> </w:t>
      </w:r>
      <w:r w:rsidRPr="00E75635">
        <w:t>Town Administrator Rocco Longo</w:t>
      </w:r>
      <w:r>
        <w:t xml:space="preserve"> </w:t>
      </w:r>
      <w:r w:rsidRPr="00E75635">
        <w:t xml:space="preserve">recommended that she be fired. </w:t>
      </w:r>
      <w:r>
        <w:t xml:space="preserve">Chief </w:t>
      </w:r>
      <w:r w:rsidRPr="00E75635">
        <w:t>Robinson spoke up for his niece.</w:t>
      </w:r>
      <w:r>
        <w:t xml:space="preserve">  </w:t>
      </w:r>
      <w:r w:rsidRPr="008B6C87">
        <w:t>Shauna ultimately suffered a shoulder</w:t>
      </w:r>
      <w:r>
        <w:t xml:space="preserve"> </w:t>
      </w:r>
      <w:r w:rsidRPr="008B6C87">
        <w:t>injury that prevented her from reporting to the fire academy,</w:t>
      </w:r>
      <w:r>
        <w:t xml:space="preserve"> </w:t>
      </w:r>
      <w:r w:rsidRPr="008B6C87">
        <w:t>and she resigned on April 13, 2014</w:t>
      </w:r>
      <w:r>
        <w:t xml:space="preserve">…. </w:t>
      </w:r>
      <w:r w:rsidRPr="00C8736C">
        <w:t>Corrigan likewise</w:t>
      </w:r>
      <w:r>
        <w:t xml:space="preserve"> </w:t>
      </w:r>
      <w:r w:rsidRPr="00C8736C">
        <w:t>resigned before the end of her first year and accepted</w:t>
      </w:r>
      <w:r>
        <w:t xml:space="preserve"> </w:t>
      </w:r>
      <w:r w:rsidRPr="00455DC7">
        <w:t>employment with a different fire department because morale at</w:t>
      </w:r>
      <w:r>
        <w:t xml:space="preserve"> </w:t>
      </w:r>
      <w:r w:rsidRPr="00455DC7">
        <w:t>the department was low and there was conflict among the union,</w:t>
      </w:r>
      <w:r>
        <w:t xml:space="preserve"> </w:t>
      </w:r>
      <w:r w:rsidRPr="00455DC7">
        <w:t>Robinson, and other employees</w:t>
      </w:r>
      <w:r>
        <w:t xml:space="preserve">.  </w:t>
      </w:r>
      <w:r w:rsidRPr="00A5359B">
        <w:t xml:space="preserve">On March 12, 2015, Robinson </w:t>
      </w:r>
      <w:r>
        <w:t xml:space="preserve">facing termination </w:t>
      </w:r>
      <w:r w:rsidRPr="00A5359B">
        <w:t>resigned.</w:t>
      </w:r>
      <w:r>
        <w:t xml:space="preserve">  The jury awarded him </w:t>
      </w:r>
      <w:r w:rsidRPr="000A5539">
        <w:t>$1,532,652.80. </w:t>
      </w:r>
      <w:r>
        <w:t xml:space="preserve">THE COURT WROTE: </w:t>
      </w:r>
      <w:r w:rsidRPr="00663491">
        <w:t>We conclude that there was sufficient evidence for the jury</w:t>
      </w:r>
      <w:r>
        <w:t xml:space="preserve"> </w:t>
      </w:r>
      <w:r w:rsidRPr="00663491">
        <w:t>to find that the town retaliated against Robinson because he</w:t>
      </w:r>
      <w:r>
        <w:t xml:space="preserve"> </w:t>
      </w:r>
      <w:r w:rsidRPr="00663491">
        <w:t>complained of gender discrimination.</w:t>
      </w:r>
    </w:p>
    <w:p w14:paraId="0374F9B1" w14:textId="77777777" w:rsidR="008E1A23" w:rsidRDefault="008E1A23" w:rsidP="008E1A23">
      <w:pPr>
        <w:pStyle w:val="NoSpacing"/>
        <w:ind w:left="720"/>
        <w:rPr>
          <w:bCs/>
        </w:rPr>
      </w:pPr>
    </w:p>
    <w:p w14:paraId="399BB525" w14:textId="77777777" w:rsidR="008E1A23" w:rsidRDefault="008E1A23" w:rsidP="008E1A23">
      <w:pPr>
        <w:pStyle w:val="NoSpacing"/>
        <w:ind w:left="720"/>
        <w:rPr>
          <w:bCs/>
        </w:rPr>
      </w:pPr>
      <w:r>
        <w:t>***</w:t>
      </w:r>
    </w:p>
    <w:p w14:paraId="25812EF9" w14:textId="77777777" w:rsidR="008E1A23" w:rsidRDefault="008E1A23" w:rsidP="008E1A23">
      <w:pPr>
        <w:ind w:left="720"/>
        <w:rPr>
          <w:bCs/>
        </w:rPr>
      </w:pPr>
      <w:r w:rsidRPr="00CC2969">
        <w:t>Finally, the evidence was also sufficient for the jury to</w:t>
      </w:r>
      <w:r>
        <w:t xml:space="preserve"> </w:t>
      </w:r>
      <w:r w:rsidRPr="00CC2969">
        <w:t>infer causation, that is, that the town retaliated against</w:t>
      </w:r>
      <w:r>
        <w:t xml:space="preserve"> </w:t>
      </w:r>
      <w:r w:rsidRPr="00CC2969">
        <w:t>Robinson because he complained of gender discrimination</w:t>
      </w:r>
      <w:r>
        <w:t xml:space="preserve">…. </w:t>
      </w:r>
      <w:r w:rsidRPr="002E25C3">
        <w:t>When Robinson began to complain about the unfair</w:t>
      </w:r>
      <w:r>
        <w:t xml:space="preserve"> </w:t>
      </w:r>
      <w:r w:rsidRPr="002E25C3">
        <w:t>treatment of Shauna</w:t>
      </w:r>
      <w:r>
        <w:t xml:space="preserve"> [his niece]</w:t>
      </w:r>
      <w:r w:rsidRPr="002E25C3">
        <w:t>, he had been successfully employed in the</w:t>
      </w:r>
      <w:r>
        <w:t xml:space="preserve"> </w:t>
      </w:r>
      <w:r w:rsidRPr="002E25C3">
        <w:t>department for more than three decades and had been the chief</w:t>
      </w:r>
      <w:r>
        <w:t xml:space="preserve"> </w:t>
      </w:r>
      <w:r w:rsidRPr="002E25C3">
        <w:t>for over one decade. After his complaint, a series of</w:t>
      </w:r>
      <w:r>
        <w:t xml:space="preserve"> </w:t>
      </w:r>
      <w:r w:rsidRPr="002E25C3">
        <w:t>interrelated actions occurred in relatively short order in a way</w:t>
      </w:r>
      <w:r>
        <w:t xml:space="preserve"> </w:t>
      </w:r>
      <w:r w:rsidRPr="002E25C3">
        <w:t>that could be reasonably interpreted as retaliatory</w:t>
      </w:r>
      <w:r>
        <w:t xml:space="preserve">…. </w:t>
      </w:r>
      <w:r w:rsidRPr="00E002D3">
        <w:t>Within ten days of Robinson's reporting of Shaun's</w:t>
      </w:r>
      <w:r>
        <w:t xml:space="preserve"> </w:t>
      </w:r>
      <w:r w:rsidRPr="00E002D3">
        <w:t>complaint that she had not been treated the same as similarly</w:t>
      </w:r>
      <w:r>
        <w:t xml:space="preserve"> </w:t>
      </w:r>
      <w:r w:rsidRPr="00E002D3">
        <w:t xml:space="preserve">situated male employees, Longo </w:t>
      </w:r>
      <w:r>
        <w:t>[</w:t>
      </w:r>
      <w:r w:rsidRPr="00A25082">
        <w:t>Town Administrator Rocco</w:t>
      </w:r>
      <w:r>
        <w:t xml:space="preserve">] </w:t>
      </w:r>
      <w:r w:rsidRPr="00E002D3">
        <w:t xml:space="preserve">and Clifford </w:t>
      </w:r>
      <w:r>
        <w:t>[</w:t>
      </w:r>
      <w:r w:rsidRPr="009640D4">
        <w:t>John Clifford</w:t>
      </w:r>
      <w:r>
        <w:t xml:space="preserve">, the </w:t>
      </w:r>
      <w:r w:rsidRPr="00F23D88">
        <w:t>town's labor</w:t>
      </w:r>
      <w:r>
        <w:t xml:space="preserve"> c</w:t>
      </w:r>
      <w:r w:rsidRPr="00F23D88">
        <w:t>ounsel</w:t>
      </w:r>
      <w:r>
        <w:t xml:space="preserve">] </w:t>
      </w:r>
      <w:r w:rsidRPr="00E002D3">
        <w:t>met with Robinson to</w:t>
      </w:r>
      <w:r>
        <w:t xml:space="preserve"> </w:t>
      </w:r>
      <w:r w:rsidRPr="00E002D3">
        <w:t>discuss a possible conflict of interest in violation of G. L.</w:t>
      </w:r>
      <w:r>
        <w:t xml:space="preserve"> </w:t>
      </w:r>
      <w:r w:rsidRPr="00E002D3">
        <w:t>c. 268A. Approximately three months after Robinson complained</w:t>
      </w:r>
      <w:r>
        <w:t xml:space="preserve"> </w:t>
      </w:r>
      <w:r w:rsidRPr="00E002D3">
        <w:t>to the board that Shauna was being treated unfairly, the board</w:t>
      </w:r>
      <w:r>
        <w:t xml:space="preserve"> </w:t>
      </w:r>
      <w:r w:rsidRPr="00E002D3">
        <w:t>voted not to renew his employment contract and not to increase</w:t>
      </w:r>
      <w:r>
        <w:t xml:space="preserve"> </w:t>
      </w:r>
      <w:r w:rsidRPr="00E002D3">
        <w:t>his salary. Then, almost two months after he refused to retire,</w:t>
      </w:r>
      <w:r>
        <w:t xml:space="preserve"> </w:t>
      </w:r>
      <w:r w:rsidRPr="00E002D3">
        <w:t>the Smith investigation began. Finally, about one month after</w:t>
      </w:r>
      <w:r>
        <w:t xml:space="preserve"> </w:t>
      </w:r>
      <w:r w:rsidRPr="00E002D3">
        <w:t>Galvin notified Smith</w:t>
      </w:r>
      <w:r>
        <w:t xml:space="preserve"> [outside legal counsel conducting Town’s investigation] </w:t>
      </w:r>
      <w:r w:rsidRPr="00E002D3">
        <w:t>about Robinson's apparent assistance in</w:t>
      </w:r>
      <w:r>
        <w:t xml:space="preserve"> </w:t>
      </w:r>
      <w:r w:rsidRPr="00E002D3">
        <w:t xml:space="preserve">Shauna's MCAD </w:t>
      </w:r>
      <w:r>
        <w:t>[</w:t>
      </w:r>
      <w:r w:rsidRPr="006A6DBE">
        <w:t>Massachusetts Commission Against Discrimination</w:t>
      </w:r>
      <w:r>
        <w:t xml:space="preserve">] </w:t>
      </w:r>
      <w:r w:rsidRPr="00E002D3">
        <w:t>complaint, Robinson was escorted from the</w:t>
      </w:r>
      <w:r>
        <w:t xml:space="preserve"> </w:t>
      </w:r>
      <w:r w:rsidRPr="00F065E1">
        <w:t>influence offenses. The timing of these events, demonstrating</w:t>
      </w:r>
      <w:r>
        <w:t xml:space="preserve"> </w:t>
      </w:r>
      <w:r w:rsidRPr="00F065E1">
        <w:t>temporal connections between complaints of discrimination and</w:t>
      </w:r>
      <w:r>
        <w:t xml:space="preserve"> </w:t>
      </w:r>
      <w:r w:rsidRPr="00F065E1">
        <w:t>the town's reaction, is sufficient evidence to support the</w:t>
      </w:r>
      <w:r>
        <w:t xml:space="preserve"> </w:t>
      </w:r>
      <w:r w:rsidRPr="00F065E1">
        <w:t>jury's determination that the town retaliated against Robinson</w:t>
      </w:r>
      <w:r>
        <w:t xml:space="preserve"> </w:t>
      </w:r>
      <w:r w:rsidRPr="00F065E1">
        <w:t>because of his protected activity.</w:t>
      </w:r>
      <w:r>
        <w:t>”</w:t>
      </w:r>
    </w:p>
    <w:p w14:paraId="67F3DAD3" w14:textId="77777777" w:rsidR="008E1A23" w:rsidRDefault="008E1A23" w:rsidP="008E1A23">
      <w:pPr>
        <w:rPr>
          <w:b/>
        </w:rPr>
      </w:pPr>
      <w:r>
        <w:rPr>
          <w:b/>
        </w:rPr>
        <w:t xml:space="preserve">Legal lesson learned:  A Fire Chief was required to recuse himself from discipline concerning his brother, his son and his niece; but had legal right to express concern to Town about gender discrimination to wars his niece. </w:t>
      </w:r>
    </w:p>
    <w:p w14:paraId="111EBEBA" w14:textId="77777777" w:rsidR="008E1A23" w:rsidRDefault="008E1A23" w:rsidP="008E1A23">
      <w:pPr>
        <w:ind w:left="720"/>
        <w:rPr>
          <w:bCs/>
        </w:rPr>
      </w:pPr>
      <w:r>
        <w:t>Note: The niece may have had some training issues.</w:t>
      </w:r>
    </w:p>
    <w:p w14:paraId="63879287" w14:textId="77777777" w:rsidR="008E1A23" w:rsidRDefault="008E1A23" w:rsidP="008E1A23">
      <w:pPr>
        <w:ind w:left="720"/>
        <w:rPr>
          <w:bCs/>
        </w:rPr>
      </w:pPr>
      <w:r>
        <w:t xml:space="preserve">Footnote 4: </w:t>
      </w:r>
    </w:p>
    <w:p w14:paraId="630D1E48" w14:textId="77777777" w:rsidR="008E1A23" w:rsidRDefault="008E1A23" w:rsidP="008E1A23">
      <w:pPr>
        <w:ind w:left="720"/>
        <w:rPr>
          <w:bCs/>
        </w:rPr>
      </w:pPr>
      <w:r>
        <w:t>“</w:t>
      </w:r>
      <w:r w:rsidRPr="00D82CF8">
        <w:t xml:space="preserve">For example, Cipullo </w:t>
      </w:r>
      <w:r>
        <w:t>[</w:t>
      </w:r>
      <w:r w:rsidRPr="00AB76E2">
        <w:t>Captain Louis</w:t>
      </w:r>
      <w:r>
        <w:t xml:space="preserve">] </w:t>
      </w:r>
      <w:r w:rsidRPr="00D82CF8">
        <w:t xml:space="preserve">was concerned that Shauna was too short for the job and that she </w:t>
      </w:r>
      <w:proofErr w:type="gramStart"/>
      <w:r w:rsidRPr="00D82CF8">
        <w:t>was not able to</w:t>
      </w:r>
      <w:proofErr w:type="gramEnd"/>
      <w:r w:rsidRPr="00D82CF8">
        <w:t xml:space="preserve"> reach the trucks’ side ladders, physically throw ground ladders, or raise a twenty-four-foot ladder. Morgan expressed concerns about Shauna's decision-making during emergency calls and indicated on most of her evaluation forms that Shauna needed retraining and her performance fell below expectations. The </w:t>
      </w:r>
      <w:proofErr w:type="gramStart"/>
      <w:r w:rsidRPr="00D82CF8">
        <w:t>firefighters</w:t>
      </w:r>
      <w:proofErr w:type="gramEnd"/>
      <w:r w:rsidRPr="00D82CF8">
        <w:t xml:space="preserve"> union president, Matthew Cohen, observed that Shauna was unable to complete </w:t>
      </w:r>
      <w:r>
        <w:t>‘</w:t>
      </w:r>
      <w:r w:rsidRPr="00D82CF8">
        <w:t>the stair chair of a patient down a few steps</w:t>
      </w:r>
      <w:r>
        <w:t>’</w:t>
      </w:r>
      <w:r w:rsidRPr="00D82CF8">
        <w:t xml:space="preserve"> or interpret </w:t>
      </w:r>
      <w:r>
        <w:t>‘</w:t>
      </w:r>
      <w:r w:rsidRPr="00D82CF8">
        <w:t>a 12-lead [electrocardiogram]</w:t>
      </w:r>
      <w:r>
        <w:t>’</w:t>
      </w:r>
      <w:r w:rsidRPr="00D82CF8">
        <w:t>; she failed to report a gastrointestinal bleed to hospital staff; and she did not know that all patients who accidentally received epinephrine injections had to be transported to the hospital. On January 1, 2014, two months into her one-year probationary period, Cipullo told Shauna that she was running out of time to improve her skills.</w:t>
      </w:r>
      <w:r>
        <w:t xml:space="preserve">” </w:t>
      </w:r>
    </w:p>
    <w:p w14:paraId="094F96D0" w14:textId="77777777" w:rsidR="008E1A23" w:rsidRDefault="008E1A23" w:rsidP="008E1A23">
      <w:pPr>
        <w:ind w:left="720"/>
      </w:pPr>
      <w:r>
        <w:t>See this article: “</w:t>
      </w:r>
      <w:r w:rsidRPr="00707FE8">
        <w:t>Former Marshfield fire chief won more than $1.5 million in retaliation lawsuit against town.</w:t>
      </w:r>
      <w:r>
        <w:t xml:space="preserve">” </w:t>
      </w:r>
      <w:r>
        <w:rPr>
          <w:b/>
        </w:rPr>
        <w:t xml:space="preserve"> </w:t>
      </w:r>
      <w:r w:rsidRPr="0072612F">
        <w:t>Kevin Robinson, chief of the fire department from 2003, was allegedly forced to retire from the department in 2015 when he spoke up for a female family member in the department facing discrimination.</w:t>
      </w:r>
      <w:r>
        <w:t xml:space="preserve"> </w:t>
      </w:r>
      <w:hyperlink r:id="rId1368" w:history="1">
        <w:r w:rsidRPr="006B0B97">
          <w:rPr>
            <w:rStyle w:val="Hyperlink"/>
          </w:rPr>
          <w:t>https://www.boston.com/news/local-news/2024/05/15/former-marshfield-fire-chief-won-more-than-1-5-million-in-retaliation-lawsuit-against-town/</w:t>
        </w:r>
      </w:hyperlink>
    </w:p>
    <w:p w14:paraId="4D595731" w14:textId="77777777" w:rsidR="008E1A23" w:rsidRDefault="008E1A23" w:rsidP="008E1A23">
      <w:pPr>
        <w:pStyle w:val="NoSpacing"/>
        <w:rPr>
          <w:bCs/>
        </w:rPr>
      </w:pPr>
    </w:p>
    <w:p w14:paraId="7772E464" w14:textId="77777777" w:rsidR="008E1A23" w:rsidRDefault="008E1A23" w:rsidP="008E1A23">
      <w:pPr>
        <w:pStyle w:val="NoSpacing"/>
        <w:rPr>
          <w:bCs/>
        </w:rPr>
      </w:pPr>
    </w:p>
    <w:p w14:paraId="0DB0B842" w14:textId="77777777" w:rsidR="008E1A23" w:rsidRDefault="008E1A23" w:rsidP="008E1A23">
      <w:pPr>
        <w:pStyle w:val="NoSpacing"/>
        <w:rPr>
          <w:bCs/>
        </w:rPr>
      </w:pPr>
    </w:p>
    <w:p w14:paraId="4BF98AF3" w14:textId="3A115AE1" w:rsidR="008E1A23" w:rsidRPr="00174D48" w:rsidRDefault="00174D48" w:rsidP="008E1A23">
      <w:pPr>
        <w:pStyle w:val="NoSpacing"/>
        <w:rPr>
          <w:rFonts w:ascii="Arial Black" w:hAnsi="Arial Black"/>
          <w:bCs/>
          <w:sz w:val="24"/>
          <w:szCs w:val="24"/>
        </w:rPr>
      </w:pPr>
      <w:r w:rsidRPr="00174D48">
        <w:rPr>
          <w:rFonts w:ascii="Arial Black" w:hAnsi="Arial Black"/>
          <w:bCs/>
          <w:sz w:val="24"/>
          <w:szCs w:val="24"/>
        </w:rPr>
        <w:t>7-91</w:t>
      </w:r>
    </w:p>
    <w:p w14:paraId="72CA893E" w14:textId="77777777" w:rsidR="00174D48" w:rsidRPr="006C3CFB" w:rsidRDefault="00174D48" w:rsidP="008E1A23">
      <w:pPr>
        <w:pStyle w:val="NoSpacing"/>
        <w:rPr>
          <w:bCs/>
        </w:rPr>
      </w:pPr>
    </w:p>
    <w:p w14:paraId="3F547673" w14:textId="77777777" w:rsidR="008E1A23" w:rsidRDefault="008E1A23" w:rsidP="008E1A23">
      <w:pPr>
        <w:pStyle w:val="NoSpacing"/>
        <w:rPr>
          <w:rFonts w:ascii="Arial Black" w:hAnsi="Arial Black"/>
          <w:sz w:val="28"/>
          <w:szCs w:val="28"/>
        </w:rPr>
      </w:pPr>
      <w:r>
        <w:rPr>
          <w:rFonts w:ascii="Arial Black" w:hAnsi="Arial Black"/>
          <w:sz w:val="28"/>
          <w:szCs w:val="28"/>
        </w:rPr>
        <w:t>VA: FEMALE BC – OUTSIDE FIRM INTERVIEWS - FIRE CHIEF</w:t>
      </w:r>
    </w:p>
    <w:p w14:paraId="26510261" w14:textId="77777777" w:rsidR="008E1A23" w:rsidRDefault="008E1A23" w:rsidP="008E1A23">
      <w:pPr>
        <w:pStyle w:val="NoSpacing"/>
        <w:rPr>
          <w:rFonts w:ascii="Arial Black" w:hAnsi="Arial Black"/>
          <w:sz w:val="28"/>
          <w:szCs w:val="28"/>
        </w:rPr>
      </w:pPr>
    </w:p>
    <w:p w14:paraId="0CD50C99" w14:textId="77777777" w:rsidR="008E1A23" w:rsidRPr="008E7970" w:rsidRDefault="008E1A23" w:rsidP="008E1A23">
      <w:pPr>
        <w:pStyle w:val="NoSpacing"/>
      </w:pPr>
      <w:r>
        <w:t xml:space="preserve">On May 14, 2026, in </w:t>
      </w:r>
      <w:r w:rsidRPr="006C7B0D">
        <w:rPr>
          <w:u w:val="single"/>
        </w:rPr>
        <w:t>Kathleen Stanley McCaffery v. Fairfax County</w:t>
      </w:r>
      <w:r>
        <w:t xml:space="preserve">, U.S. District Court Judge Rossie D. Alston, Jr., </w:t>
      </w:r>
      <w:r w:rsidRPr="00C93EE3">
        <w:t>United States District Court, E</w:t>
      </w:r>
      <w:r>
        <w:t xml:space="preserve">astern District of </w:t>
      </w:r>
      <w:r w:rsidRPr="00C93EE3">
        <w:t>Virginia</w:t>
      </w:r>
      <w:r>
        <w:t xml:space="preserve">, Alexandia Division, held that the Battalion Chief </w:t>
      </w:r>
      <w:r w:rsidRPr="008E7970">
        <w:t>failed to meet her burden as to pretext, and summary judgment will be granted to Defendant on her denial of promotion claims.</w:t>
      </w:r>
      <w:r>
        <w:t xml:space="preserve">  O</w:t>
      </w:r>
      <w:r w:rsidRPr="00181FCF">
        <w:t xml:space="preserve">n June 20, 2018, Plaintiff was interviewed by William Howland from </w:t>
      </w:r>
      <w:proofErr w:type="spellStart"/>
      <w:r w:rsidRPr="00181FCF">
        <w:t>PoliHire</w:t>
      </w:r>
      <w:proofErr w:type="spellEnd"/>
      <w:r w:rsidRPr="00181FCF">
        <w:t>, LLC, a third-party executive recruitment firm that was retained by the County to lead the recruitment and selection process for the Fire Chief vacancy</w:t>
      </w:r>
      <w:r>
        <w:t xml:space="preserve">; she was not selected as one of the three </w:t>
      </w:r>
      <w:proofErr w:type="gramStart"/>
      <w:r>
        <w:t>finalist</w:t>
      </w:r>
      <w:proofErr w:type="gramEnd"/>
      <w:r>
        <w:t>. THE COURT WROTE:</w:t>
      </w:r>
    </w:p>
    <w:p w14:paraId="6450F663" w14:textId="77777777" w:rsidR="008E1A23" w:rsidRDefault="008E1A23" w:rsidP="008E1A23">
      <w:pPr>
        <w:pStyle w:val="NoSpacing"/>
      </w:pPr>
      <w:r>
        <w:t>“</w:t>
      </w:r>
      <w:r w:rsidRPr="00714A3B">
        <w:t>Here, Plaintiff has presented no evidence, beyond her own conclusory opinion, that she was more qualified than Butler</w:t>
      </w:r>
      <w:r>
        <w:t xml:space="preserve"> [</w:t>
      </w:r>
      <w:r w:rsidRPr="009E1E48">
        <w:t>John Butler</w:t>
      </w:r>
      <w:r>
        <w:t xml:space="preserve">, </w:t>
      </w:r>
      <w:r w:rsidRPr="009E1E48">
        <w:t>Fire Chief, Howard County, Maryland, Fire and Rescue Department</w:t>
      </w:r>
      <w:r>
        <w:t xml:space="preserve">]…. </w:t>
      </w:r>
      <w:r w:rsidRPr="00714A3B">
        <w:t xml:space="preserve"> Additionally, even considering Plaintiff's inability to compete theory, based on the record before the Court, any inference of sex discrimination is undermined by: (</w:t>
      </w:r>
      <w:proofErr w:type="spellStart"/>
      <w:r w:rsidRPr="00714A3B">
        <w:t>i</w:t>
      </w:r>
      <w:proofErr w:type="spellEnd"/>
      <w:r w:rsidRPr="00714A3B">
        <w:t>) the fact that Plaintiff fails to allege any sex-based bias on behalf of the third-party selection firm; and (ii) the fact that the third-party selection firm did refer Merrell</w:t>
      </w:r>
      <w:r>
        <w:t xml:space="preserve"> [</w:t>
      </w:r>
      <w:r w:rsidRPr="009E1E48">
        <w:t>Moore Merrell</w:t>
      </w:r>
      <w:r>
        <w:t xml:space="preserve">, </w:t>
      </w:r>
      <w:r w:rsidRPr="009E1E48">
        <w:t>Senior Executive, IAFF</w:t>
      </w:r>
      <w:r>
        <w:t>]</w:t>
      </w:r>
      <w:r w:rsidRPr="00714A3B">
        <w:t>—a woman—for an interview.</w:t>
      </w:r>
      <w:r>
        <w:t xml:space="preserve">” </w:t>
      </w:r>
      <w:r w:rsidRPr="00714A3B">
        <w:t xml:space="preserve"> </w:t>
      </w:r>
      <w:hyperlink r:id="rId1369" w:history="1">
        <w:r w:rsidRPr="003823BB">
          <w:rPr>
            <w:rStyle w:val="Hyperlink"/>
          </w:rPr>
          <w:t>https://www.casemine.com/judgement/us/6a0be85df21cf013d419bfe6</w:t>
        </w:r>
      </w:hyperlink>
      <w:r>
        <w:t xml:space="preserve"> </w:t>
      </w:r>
    </w:p>
    <w:p w14:paraId="110925A2" w14:textId="77777777" w:rsidR="008E1A23" w:rsidRDefault="008E1A23" w:rsidP="008E1A23">
      <w:pPr>
        <w:pStyle w:val="NoSpacing"/>
      </w:pPr>
    </w:p>
    <w:p w14:paraId="26F58062" w14:textId="77777777" w:rsidR="008E1A23" w:rsidRDefault="008E1A23" w:rsidP="008E1A23">
      <w:pPr>
        <w:pStyle w:val="NoSpacing"/>
      </w:pPr>
    </w:p>
    <w:p w14:paraId="334B02D9" w14:textId="77777777" w:rsidR="008E1A23" w:rsidRDefault="008E1A23" w:rsidP="008E1A23">
      <w:pPr>
        <w:pStyle w:val="NoSpacing"/>
      </w:pPr>
      <w:r>
        <w:t>THE COURT HELD:</w:t>
      </w:r>
    </w:p>
    <w:p w14:paraId="5FB9111A" w14:textId="77777777" w:rsidR="008E1A23" w:rsidRDefault="008E1A23" w:rsidP="008E1A23">
      <w:pPr>
        <w:pStyle w:val="NoSpacing"/>
      </w:pPr>
    </w:p>
    <w:p w14:paraId="59D1FD38" w14:textId="77777777" w:rsidR="008E1A23" w:rsidRPr="00D41E9D" w:rsidRDefault="008E1A23" w:rsidP="008E1A23">
      <w:pPr>
        <w:pStyle w:val="NoSpacing"/>
        <w:ind w:firstLine="720"/>
      </w:pPr>
      <w:r>
        <w:t>“</w:t>
      </w:r>
      <w:r w:rsidRPr="00D41E9D">
        <w:t>The undisputed facts are as follows:</w:t>
      </w:r>
    </w:p>
    <w:p w14:paraId="67EC20F6" w14:textId="77777777" w:rsidR="008E1A23" w:rsidRDefault="008E1A23" w:rsidP="008E1A23">
      <w:pPr>
        <w:pStyle w:val="NoSpacing"/>
        <w:ind w:firstLine="720"/>
      </w:pPr>
    </w:p>
    <w:p w14:paraId="68B9727A" w14:textId="77777777" w:rsidR="008E1A23" w:rsidRDefault="008E1A23" w:rsidP="008E1A23">
      <w:pPr>
        <w:pStyle w:val="NoSpacing"/>
        <w:numPr>
          <w:ilvl w:val="0"/>
          <w:numId w:val="43"/>
        </w:numPr>
      </w:pPr>
      <w:r w:rsidRPr="00D41E9D">
        <w:t>Plaintiff was hired by the Fairfax County Fire and Rescue Department ("FRD") in January 1995 and promoted through the ranks throughout her career. Ultimately, Plaintiff was promoted to Battalion Chief in June 2011.</w:t>
      </w:r>
    </w:p>
    <w:p w14:paraId="2D69AEDA" w14:textId="77777777" w:rsidR="008E1A23" w:rsidRDefault="008E1A23" w:rsidP="008E1A23">
      <w:pPr>
        <w:pStyle w:val="NoSpacing"/>
      </w:pPr>
    </w:p>
    <w:p w14:paraId="4A65B6B0" w14:textId="77777777" w:rsidR="008E1A23" w:rsidRPr="00D41E9D" w:rsidRDefault="008E1A23" w:rsidP="008E1A23">
      <w:pPr>
        <w:pStyle w:val="NoSpacing"/>
        <w:ind w:left="720"/>
      </w:pPr>
      <w:r>
        <w:t>***</w:t>
      </w:r>
    </w:p>
    <w:p w14:paraId="3B1E6171" w14:textId="77777777" w:rsidR="008E1A23" w:rsidRDefault="008E1A23" w:rsidP="008E1A23">
      <w:pPr>
        <w:pStyle w:val="NoSpacing"/>
      </w:pPr>
    </w:p>
    <w:p w14:paraId="178D0E49" w14:textId="77777777" w:rsidR="008E1A23" w:rsidRDefault="008E1A23" w:rsidP="008E1A23">
      <w:pPr>
        <w:pStyle w:val="NoSpacing"/>
        <w:ind w:left="720"/>
      </w:pPr>
      <w:r w:rsidRPr="009E1E48">
        <w:t xml:space="preserve">106. </w:t>
      </w:r>
      <w:proofErr w:type="spellStart"/>
      <w:r w:rsidRPr="009E1E48">
        <w:t>PoliHire</w:t>
      </w:r>
      <w:proofErr w:type="spellEnd"/>
      <w:r w:rsidRPr="009E1E48">
        <w:t xml:space="preserve"> independently reviewed and interviewed numerous applicants for the FRD Fire Chief position. Of the applicants initially reviewed and interviewed, Derek Baker (Division Chief of Training and Interim Training and Operations Chief, Virginia Department of Fire Programs); John Butler (Fire Chief, Howard County, Maryland, Fire and Rescue Department); Manuel Fonseca (Assistant Chief (ret.), Nashville, Tennessee, Fire and Rescue Department); Lori Moore Merrell (Senior Executive, IAFF); and Charles Ryan (Assistant Chief, FRD) were selected and referred by </w:t>
      </w:r>
      <w:proofErr w:type="spellStart"/>
      <w:r w:rsidRPr="009E1E48">
        <w:t>PoliHire</w:t>
      </w:r>
      <w:proofErr w:type="spellEnd"/>
      <w:r w:rsidRPr="009E1E48">
        <w:t xml:space="preserve"> to advance to a panel interview for further consideration.</w:t>
      </w:r>
    </w:p>
    <w:p w14:paraId="1969BF05" w14:textId="77777777" w:rsidR="008E1A23" w:rsidRDefault="008E1A23" w:rsidP="008E1A23">
      <w:pPr>
        <w:pStyle w:val="NoSpacing"/>
        <w:ind w:left="720"/>
      </w:pPr>
    </w:p>
    <w:p w14:paraId="08D1D4A6" w14:textId="77777777" w:rsidR="008E1A23" w:rsidRDefault="008E1A23" w:rsidP="008E1A23">
      <w:pPr>
        <w:pStyle w:val="NoSpacing"/>
        <w:ind w:left="720"/>
      </w:pPr>
      <w:r>
        <w:t>***</w:t>
      </w:r>
    </w:p>
    <w:p w14:paraId="74D78FC3" w14:textId="77777777" w:rsidR="008E1A23" w:rsidRPr="009E1E48" w:rsidRDefault="008E1A23" w:rsidP="008E1A23">
      <w:pPr>
        <w:pStyle w:val="NoSpacing"/>
        <w:ind w:left="720"/>
      </w:pPr>
    </w:p>
    <w:p w14:paraId="0CB3132B" w14:textId="77777777" w:rsidR="008E1A23" w:rsidRDefault="008E1A23" w:rsidP="008E1A23">
      <w:pPr>
        <w:pStyle w:val="NoSpacing"/>
        <w:ind w:left="720"/>
      </w:pPr>
      <w:r w:rsidRPr="00A7465B">
        <w:t>108. Of the applicants who advanced to a panel interview, Butler, Merrell, and Ryan were selected and referred by the panel to advance to a final interview with Hill and the Fairfax County Board of Supervisors (the "Board").</w:t>
      </w:r>
    </w:p>
    <w:p w14:paraId="4CF31EAE" w14:textId="77777777" w:rsidR="008E1A23" w:rsidRDefault="008E1A23" w:rsidP="008E1A23">
      <w:pPr>
        <w:pStyle w:val="NoSpacing"/>
        <w:ind w:left="720"/>
      </w:pPr>
    </w:p>
    <w:p w14:paraId="25ECCCAF" w14:textId="77777777" w:rsidR="008E1A23" w:rsidRDefault="008E1A23" w:rsidP="008E1A23">
      <w:pPr>
        <w:pStyle w:val="NoSpacing"/>
        <w:ind w:left="720"/>
      </w:pPr>
      <w:r w:rsidRPr="00A7465B">
        <w:t>109. On July 10, 2018, the Board appointed Butler to serve as the Fire Chief, effective September 1, 2018.</w:t>
      </w:r>
    </w:p>
    <w:p w14:paraId="08751664" w14:textId="77777777" w:rsidR="008E1A23" w:rsidRDefault="008E1A23" w:rsidP="008E1A23">
      <w:pPr>
        <w:pStyle w:val="NoSpacing"/>
      </w:pPr>
    </w:p>
    <w:p w14:paraId="0EE8B261" w14:textId="77777777" w:rsidR="008E1A23" w:rsidRDefault="008E1A23" w:rsidP="008E1A23">
      <w:pPr>
        <w:pStyle w:val="NoSpacing"/>
        <w:ind w:firstLine="720"/>
        <w:rPr>
          <w:vertAlign w:val="superscript"/>
        </w:rPr>
      </w:pPr>
      <w:r w:rsidRPr="00E8660A">
        <w:t xml:space="preserve">110. Plaintiff does not contend that she was more qualified than </w:t>
      </w:r>
      <w:proofErr w:type="gramStart"/>
      <w:r w:rsidRPr="00E8660A">
        <w:t>Butler.</w:t>
      </w:r>
      <w:r>
        <w:rPr>
          <w:vertAlign w:val="superscript"/>
        </w:rPr>
        <w:t>”</w:t>
      </w:r>
      <w:proofErr w:type="gramEnd"/>
    </w:p>
    <w:p w14:paraId="100FE19F" w14:textId="77777777" w:rsidR="008E1A23" w:rsidRDefault="008E1A23" w:rsidP="008E1A23">
      <w:pPr>
        <w:pStyle w:val="NoSpacing"/>
        <w:ind w:firstLine="720"/>
        <w:rPr>
          <w:vertAlign w:val="superscript"/>
        </w:rPr>
      </w:pPr>
    </w:p>
    <w:p w14:paraId="4C4F54F2" w14:textId="77777777" w:rsidR="008E1A23" w:rsidRPr="009E16C5" w:rsidRDefault="008E1A23" w:rsidP="008E1A23">
      <w:pPr>
        <w:rPr>
          <w:b/>
          <w:bCs/>
        </w:rPr>
      </w:pPr>
      <w:r>
        <w:rPr>
          <w:b/>
        </w:rPr>
        <w:t xml:space="preserve">Legal lesson learned: </w:t>
      </w:r>
      <w:r w:rsidRPr="009E16C5">
        <w:rPr>
          <w:b/>
        </w:rPr>
        <w:t>Outside firm independently selected three lead candidates for Fire Chief position</w:t>
      </w:r>
      <w:r>
        <w:rPr>
          <w:b/>
        </w:rPr>
        <w:t>, and plaintiff did not make the cut</w:t>
      </w:r>
      <w:r w:rsidRPr="009E16C5">
        <w:rPr>
          <w:b/>
        </w:rPr>
        <w:t xml:space="preserve">. </w:t>
      </w:r>
    </w:p>
    <w:p w14:paraId="29C03DEA" w14:textId="77777777" w:rsidR="008E1A23" w:rsidRDefault="008E1A23" w:rsidP="00C235E8">
      <w:pPr>
        <w:pStyle w:val="NoSpacing"/>
        <w:rPr>
          <w:rFonts w:ascii="Arial Black" w:hAnsi="Arial Black"/>
          <w:sz w:val="28"/>
          <w:szCs w:val="28"/>
        </w:rPr>
      </w:pPr>
    </w:p>
    <w:p w14:paraId="4D6A5E9C" w14:textId="77777777" w:rsidR="008E1A23" w:rsidRDefault="008E1A23" w:rsidP="00C235E8">
      <w:pPr>
        <w:pStyle w:val="NoSpacing"/>
        <w:rPr>
          <w:rFonts w:ascii="Arial Black" w:hAnsi="Arial Black"/>
          <w:sz w:val="28"/>
          <w:szCs w:val="28"/>
        </w:rPr>
      </w:pPr>
    </w:p>
    <w:p w14:paraId="4C9DF2EE" w14:textId="77777777" w:rsidR="008E1A23" w:rsidRDefault="008E1A23" w:rsidP="00C235E8">
      <w:pPr>
        <w:pStyle w:val="NoSpacing"/>
        <w:rPr>
          <w:rFonts w:ascii="Arial Black" w:hAnsi="Arial Black"/>
          <w:sz w:val="28"/>
          <w:szCs w:val="28"/>
        </w:rPr>
      </w:pPr>
    </w:p>
    <w:p w14:paraId="67202560" w14:textId="04BC733F" w:rsidR="002D45B5" w:rsidRDefault="002D45B5" w:rsidP="00C235E8">
      <w:pPr>
        <w:pStyle w:val="NoSpacing"/>
        <w:rPr>
          <w:rFonts w:ascii="Arial Black" w:hAnsi="Arial Black"/>
          <w:sz w:val="28"/>
          <w:szCs w:val="28"/>
        </w:rPr>
      </w:pPr>
      <w:r>
        <w:rPr>
          <w:rFonts w:ascii="Arial Black" w:hAnsi="Arial Black"/>
          <w:sz w:val="28"/>
          <w:szCs w:val="28"/>
        </w:rPr>
        <w:t>7-90</w:t>
      </w:r>
    </w:p>
    <w:p w14:paraId="4F82C022" w14:textId="77777777" w:rsidR="002D45B5" w:rsidRDefault="002D45B5" w:rsidP="00C235E8">
      <w:pPr>
        <w:pStyle w:val="NoSpacing"/>
        <w:rPr>
          <w:rFonts w:ascii="Arial Black" w:hAnsi="Arial Black"/>
          <w:sz w:val="28"/>
          <w:szCs w:val="28"/>
        </w:rPr>
      </w:pPr>
    </w:p>
    <w:p w14:paraId="2D3A39BE" w14:textId="5746BB0D" w:rsidR="00C235E8" w:rsidRPr="006D598E" w:rsidRDefault="00C235E8" w:rsidP="00C235E8">
      <w:pPr>
        <w:pStyle w:val="NoSpacing"/>
        <w:rPr>
          <w:rFonts w:ascii="Arial Black" w:hAnsi="Arial Black"/>
          <w:sz w:val="28"/>
          <w:szCs w:val="28"/>
        </w:rPr>
      </w:pPr>
      <w:r>
        <w:rPr>
          <w:rFonts w:ascii="Arial Black" w:hAnsi="Arial Black"/>
          <w:sz w:val="28"/>
          <w:szCs w:val="28"/>
        </w:rPr>
        <w:t>IL: CHICAGO - LACK FEMALE BATHROOMS – NO CASE</w:t>
      </w:r>
    </w:p>
    <w:p w14:paraId="2DC5FCC6" w14:textId="77777777" w:rsidR="00C235E8" w:rsidRDefault="00C235E8" w:rsidP="00C235E8">
      <w:pPr>
        <w:pStyle w:val="NoSpacing"/>
      </w:pPr>
    </w:p>
    <w:p w14:paraId="1F7F0E19" w14:textId="77777777" w:rsidR="00C235E8" w:rsidRPr="0005481A" w:rsidRDefault="00C235E8" w:rsidP="00C235E8">
      <w:pPr>
        <w:pStyle w:val="NoSpacing"/>
        <w:rPr>
          <w:bCs/>
        </w:rPr>
      </w:pPr>
      <w:r>
        <w:t xml:space="preserve">On April 23, 2026, in </w:t>
      </w:r>
      <w:r w:rsidRPr="00372C97">
        <w:rPr>
          <w:u w:val="single"/>
        </w:rPr>
        <w:t>Lee Ann McKay v. City of Chicago</w:t>
      </w:r>
      <w:r>
        <w:t xml:space="preserve">, U.S. District Court Judge Rebecca R. </w:t>
      </w:r>
      <w:proofErr w:type="spellStart"/>
      <w:r>
        <w:t>Pallmeyer</w:t>
      </w:r>
      <w:proofErr w:type="spellEnd"/>
      <w:r>
        <w:t xml:space="preserve">, United States District Court for Northern District, </w:t>
      </w:r>
      <w:r w:rsidRPr="0005481A">
        <w:t>Eastern Division</w:t>
      </w:r>
      <w:r>
        <w:t xml:space="preserve"> granted the City’s motion for summary judgment. The plaintiff Fire Engineer-EMT filed a lawsuit pro se [no attorney] referencing that </w:t>
      </w:r>
      <w:r w:rsidRPr="00FA5BCB">
        <w:t>only 32 out of 96 total firehouses in Chicago have dedicated women's facilities</w:t>
      </w:r>
      <w:r>
        <w:t>.  However, “</w:t>
      </w:r>
      <w:r w:rsidRPr="00FA5BCB">
        <w:t>McKay identifies no evidence of that, or anything else that could support a jury finding that her use of a bathroom that was also used by male firefighters created a hostile work environment.</w:t>
      </w:r>
      <w:r>
        <w:t xml:space="preserve">”  </w:t>
      </w:r>
      <w:hyperlink r:id="rId1370" w:history="1">
        <w:r w:rsidRPr="003C3573">
          <w:rPr>
            <w:rStyle w:val="Hyperlink"/>
          </w:rPr>
          <w:t>https://public.fastcase.com/Jhe1Qn%2BmJndQYQU6z%2FeNm28hiR351dlql3mVrX%2BsW%2FImhVx6LSAbrfZ7R6LP8TbVpSsTp59uwiaa1M%2BxYMu%2FQBeMVJpWoOyQUcFN4LagzoA%3D?utm_medium=email&amp;_hsenc=p2ANqtz-_AWahbnWxhCpMGQYhqfNcYdYivaiXkQGNq4hyWsJQjqDO6KUeS-ltttGyoOKYk2fjuNkb2NzSqvCRrJD1Iyf-ei7DoTw&amp;_hsmi=226712652&amp;utm_content=226712652&amp;utm_source=hs_email</w:t>
        </w:r>
      </w:hyperlink>
      <w:r>
        <w:t xml:space="preserve"> </w:t>
      </w:r>
    </w:p>
    <w:p w14:paraId="684CAA93" w14:textId="77777777" w:rsidR="00C235E8" w:rsidRDefault="00C235E8" w:rsidP="00C235E8">
      <w:pPr>
        <w:pStyle w:val="NoSpacing"/>
      </w:pPr>
    </w:p>
    <w:p w14:paraId="6038ACE8" w14:textId="77777777" w:rsidR="00C235E8" w:rsidRDefault="00C235E8" w:rsidP="00C235E8">
      <w:pPr>
        <w:pStyle w:val="NoSpacing"/>
      </w:pPr>
      <w:r w:rsidRPr="00CA2CA0">
        <w:t xml:space="preserve">  </w:t>
      </w:r>
      <w:r>
        <w:t>THE COURT HELD:</w:t>
      </w:r>
    </w:p>
    <w:p w14:paraId="794E2282" w14:textId="77777777" w:rsidR="00C235E8" w:rsidRDefault="00C235E8" w:rsidP="00C235E8">
      <w:pPr>
        <w:pStyle w:val="NoSpacing"/>
      </w:pPr>
    </w:p>
    <w:p w14:paraId="458EDA73" w14:textId="77777777" w:rsidR="00C235E8" w:rsidRDefault="00C235E8" w:rsidP="00C235E8">
      <w:pPr>
        <w:pStyle w:val="NoSpacing"/>
        <w:ind w:left="720"/>
      </w:pPr>
      <w:r>
        <w:t>“</w:t>
      </w:r>
      <w:r w:rsidRPr="00FA5BCB">
        <w:t>She first cites to an affidavit submitted by Marek Wisniewski, Deputy Commissioner of the City's Department of Fleet and Facility Management, who states as of January 9, 2026, only 32 out of 96 total firehouses in Chicago have dedicated women's facilities</w:t>
      </w:r>
      <w:r>
        <w:t>….</w:t>
      </w:r>
      <w:r w:rsidRPr="00FA5BCB">
        <w:t xml:space="preserve"> The court presumes Plaintiff contends that the lack of a bathroom available only to women is a violation of Title VII. But the lack of a gendered bathroom, without more, is not discriminatory. There is no indication that women were not allowed to use </w:t>
      </w:r>
      <w:r w:rsidRPr="00FA5BCB">
        <w:rPr>
          <w:i/>
          <w:iCs/>
        </w:rPr>
        <w:t>any</w:t>
      </w:r>
      <w:r w:rsidRPr="00FA5BCB">
        <w:t xml:space="preserve"> restroom, only that the firehouse did not have a women-only restroom on site. Ms. McKay was not being treated differently because of her sex simply because she was asked to share a gender-neutral restroom with her male colleagues. McKay might be able to proceed to trial on a hostile work environment theory if she could show that she was regularly forced to use the toilet or shower in view of her male colleagues, for example, or if the situation in the restrooms led to sexual harassment by coworkers. But McKay identifies no evidence of that, or anything else that could support a jury finding that her use of a bathroom that was also used by male firefighters created a hostile work environment. </w:t>
      </w:r>
      <w:r w:rsidRPr="00FA5BCB">
        <w:rPr>
          <w:i/>
          <w:iCs/>
        </w:rPr>
        <w:t xml:space="preserve">See </w:t>
      </w:r>
      <w:proofErr w:type="spellStart"/>
      <w:r w:rsidRPr="00FA5BCB">
        <w:rPr>
          <w:i/>
          <w:iCs/>
        </w:rPr>
        <w:t>Swyear</w:t>
      </w:r>
      <w:proofErr w:type="spellEnd"/>
      <w:r w:rsidRPr="00FA5BCB">
        <w:rPr>
          <w:i/>
          <w:iCs/>
        </w:rPr>
        <w:t xml:space="preserve"> v. Fare Foods Corp</w:t>
      </w:r>
      <w:r w:rsidRPr="00FA5BCB">
        <w:t xml:space="preserve">., 911 F.3d 874, 880 (7th Cir. 2018) (observing that a plaintiff asserting a hostile work environment claim must show the </w:t>
      </w:r>
      <w:r>
        <w:t>‘</w:t>
      </w:r>
      <w:r w:rsidRPr="00FA5BCB">
        <w:t xml:space="preserve">conduct was so severe or pervasive as to alter the conditions of employment and create a hostile or abusive working environment). </w:t>
      </w:r>
    </w:p>
    <w:p w14:paraId="145F461F" w14:textId="77777777" w:rsidR="00C235E8" w:rsidRDefault="00C235E8" w:rsidP="00C235E8">
      <w:pPr>
        <w:pStyle w:val="NoSpacing"/>
        <w:ind w:left="720"/>
      </w:pPr>
    </w:p>
    <w:p w14:paraId="2611CCA9" w14:textId="77777777" w:rsidR="00C235E8" w:rsidRDefault="00C235E8" w:rsidP="00C235E8">
      <w:pPr>
        <w:pStyle w:val="NoSpacing"/>
        <w:ind w:left="720"/>
      </w:pPr>
      <w:r>
        <w:t>***</w:t>
      </w:r>
    </w:p>
    <w:p w14:paraId="13E5281E" w14:textId="77777777" w:rsidR="00C235E8" w:rsidRDefault="00C235E8" w:rsidP="00C235E8">
      <w:pPr>
        <w:pStyle w:val="NoSpacing"/>
        <w:ind w:left="720"/>
      </w:pPr>
    </w:p>
    <w:p w14:paraId="5940CDA1" w14:textId="77777777" w:rsidR="00C235E8" w:rsidRDefault="00C235E8" w:rsidP="00C235E8">
      <w:pPr>
        <w:pStyle w:val="NoSpacing"/>
        <w:ind w:left="720"/>
      </w:pPr>
      <w:r>
        <w:t>M</w:t>
      </w:r>
      <w:r w:rsidRPr="00457FA7">
        <w:t xml:space="preserve">cKay appears to argue that the City's policy of advantaging members of minority races in making promotion decisions constitutes discrimination </w:t>
      </w:r>
      <w:proofErr w:type="gramStart"/>
      <w:r w:rsidRPr="00457FA7">
        <w:t>on the basis of</w:t>
      </w:r>
      <w:proofErr w:type="gramEnd"/>
      <w:r w:rsidRPr="00457FA7">
        <w:t xml:space="preserve"> race</w:t>
      </w:r>
      <w:r>
        <w:t>….</w:t>
      </w:r>
      <w:r w:rsidRPr="00457FA7">
        <w:t xml:space="preserve"> </w:t>
      </w:r>
    </w:p>
    <w:p w14:paraId="261D8550" w14:textId="77777777" w:rsidR="00C235E8" w:rsidRDefault="00C235E8" w:rsidP="00C235E8">
      <w:pPr>
        <w:pStyle w:val="NoSpacing"/>
        <w:ind w:left="720"/>
      </w:pPr>
    </w:p>
    <w:p w14:paraId="55901026" w14:textId="77777777" w:rsidR="00C235E8" w:rsidRDefault="00C235E8" w:rsidP="00C235E8">
      <w:pPr>
        <w:pStyle w:val="NoSpacing"/>
        <w:ind w:left="1440"/>
      </w:pPr>
      <w:r>
        <w:t xml:space="preserve">Footnote 8: </w:t>
      </w:r>
      <w:r w:rsidRPr="002A757E">
        <w:t xml:space="preserve">The court observes that McKay was eventually offered the promotion more than once, but the offers down out of fear of retaliation. </w:t>
      </w:r>
      <w:r>
        <w:t xml:space="preserve"> </w:t>
      </w:r>
    </w:p>
    <w:p w14:paraId="12C86397" w14:textId="77777777" w:rsidR="00C235E8" w:rsidRDefault="00C235E8" w:rsidP="00C235E8">
      <w:pPr>
        <w:pStyle w:val="NoSpacing"/>
        <w:ind w:left="720"/>
      </w:pPr>
    </w:p>
    <w:p w14:paraId="2CA14CE8" w14:textId="77777777" w:rsidR="00C235E8" w:rsidRDefault="00C235E8" w:rsidP="00C235E8">
      <w:pPr>
        <w:pStyle w:val="NoSpacing"/>
        <w:ind w:left="720"/>
      </w:pPr>
      <w:r w:rsidRPr="00457FA7">
        <w:t xml:space="preserve">The problem with this claim is that the city has offered a lawful justification for its actions: the </w:t>
      </w:r>
      <w:r w:rsidRPr="00457FA7">
        <w:rPr>
          <w:i/>
          <w:iCs/>
        </w:rPr>
        <w:t>Albrecht</w:t>
      </w:r>
      <w:r w:rsidRPr="00457FA7">
        <w:t xml:space="preserve"> consent decree. As the City explains, a consent decree </w:t>
      </w:r>
      <w:proofErr w:type="gramStart"/>
      <w:r w:rsidRPr="00457FA7">
        <w:t>entered into</w:t>
      </w:r>
      <w:proofErr w:type="gramEnd"/>
      <w:r w:rsidRPr="00457FA7">
        <w:t xml:space="preserve"> between the United States and the City of Chicago in the case </w:t>
      </w:r>
      <w:r w:rsidRPr="00457FA7">
        <w:rPr>
          <w:i/>
          <w:iCs/>
        </w:rPr>
        <w:t>United States v. Albrecht</w:t>
      </w:r>
      <w:r w:rsidRPr="00457FA7">
        <w:t>, 80 C 1590 (N.D. Ill. March 31, 1980), required the use of limited racial preferences in promotion decisions at the Chicago Fire Department. McKay does not dispute that the consent decree was in place at the time the promotion decisions at issue were made, or that those individuals promoted before her were promoted due to the consent decree</w:t>
      </w:r>
      <w:r>
        <w:t xml:space="preserve">…. </w:t>
      </w:r>
      <w:r w:rsidRPr="00457FA7">
        <w:t xml:space="preserve">Since she has offered no alternative basis to hold the </w:t>
      </w:r>
      <w:proofErr w:type="gramStart"/>
      <w:r w:rsidRPr="00457FA7">
        <w:t>City</w:t>
      </w:r>
      <w:proofErr w:type="gramEnd"/>
      <w:r w:rsidRPr="00457FA7">
        <w:t xml:space="preserve"> liable under Title VII for its compliance with </w:t>
      </w:r>
      <w:r w:rsidRPr="00457FA7">
        <w:rPr>
          <w:i/>
          <w:iCs/>
        </w:rPr>
        <w:t>Albrecht</w:t>
      </w:r>
      <w:r w:rsidRPr="00457FA7">
        <w:t>, summary judgment is warranted on her race discrimination claim</w:t>
      </w:r>
      <w:r>
        <w:t xml:space="preserve">…. </w:t>
      </w:r>
    </w:p>
    <w:p w14:paraId="43102AD6" w14:textId="77777777" w:rsidR="00C235E8" w:rsidRDefault="00C235E8" w:rsidP="00C235E8">
      <w:pPr>
        <w:pStyle w:val="NoSpacing"/>
        <w:ind w:left="720"/>
      </w:pPr>
    </w:p>
    <w:p w14:paraId="5E482351" w14:textId="77777777" w:rsidR="00C235E8" w:rsidRDefault="00C235E8" w:rsidP="00C235E8">
      <w:pPr>
        <w:pStyle w:val="NoSpacing"/>
        <w:ind w:left="1440"/>
      </w:pPr>
      <w:r>
        <w:t xml:space="preserve">Footnote 5: </w:t>
      </w:r>
      <w:r w:rsidRPr="00C05B5C">
        <w:t xml:space="preserve">The United States and the City of Chicago later jointly moved to terminate the </w:t>
      </w:r>
      <w:r w:rsidRPr="00C05B5C">
        <w:rPr>
          <w:i/>
          <w:iCs/>
        </w:rPr>
        <w:t>Albrecht</w:t>
      </w:r>
      <w:r w:rsidRPr="00C05B5C">
        <w:t xml:space="preserve"> consent decree. On June 16, 2022, this court granted that motion in a separate case. (</w:t>
      </w:r>
      <w:r w:rsidRPr="00C05B5C">
        <w:rPr>
          <w:i/>
          <w:iCs/>
        </w:rPr>
        <w:t>See</w:t>
      </w:r>
      <w:r w:rsidRPr="00C05B5C">
        <w:t xml:space="preserve"> Order Granting Joint Motion to Dissolve in </w:t>
      </w:r>
      <w:r w:rsidRPr="00C05B5C">
        <w:rPr>
          <w:i/>
          <w:iCs/>
        </w:rPr>
        <w:t>Albrecht</w:t>
      </w:r>
      <w:r w:rsidRPr="00C05B5C">
        <w:t>, 80 C 01590 (</w:t>
      </w:r>
      <w:proofErr w:type="spellStart"/>
      <w:r w:rsidRPr="00C05B5C">
        <w:t>Pallmeyer</w:t>
      </w:r>
      <w:proofErr w:type="spellEnd"/>
      <w:r w:rsidRPr="00C05B5C">
        <w:t>, C.J.).)</w:t>
      </w:r>
    </w:p>
    <w:p w14:paraId="107FB086" w14:textId="77777777" w:rsidR="00C235E8" w:rsidRDefault="00C235E8" w:rsidP="00C235E8">
      <w:pPr>
        <w:pStyle w:val="NoSpacing"/>
        <w:ind w:left="720"/>
      </w:pPr>
    </w:p>
    <w:p w14:paraId="0DA3ACD8" w14:textId="77777777" w:rsidR="00C235E8" w:rsidRPr="00A92326" w:rsidRDefault="00C235E8" w:rsidP="00C235E8">
      <w:pPr>
        <w:pStyle w:val="NoSpacing"/>
        <w:rPr>
          <w:b/>
          <w:bCs/>
        </w:rPr>
      </w:pPr>
      <w:r>
        <w:rPr>
          <w:b/>
        </w:rPr>
        <w:t xml:space="preserve">Legal lesson learned: The lack of a “gendered bathroom” without more is not discriminatory. </w:t>
      </w:r>
    </w:p>
    <w:p w14:paraId="5B2A9BBB" w14:textId="77777777" w:rsidR="00C235E8" w:rsidRDefault="00C235E8" w:rsidP="00C235E8">
      <w:pPr>
        <w:pStyle w:val="NoSpacing"/>
      </w:pPr>
    </w:p>
    <w:p w14:paraId="0CA536CB" w14:textId="77777777" w:rsidR="00C235E8" w:rsidRDefault="00C235E8" w:rsidP="00C235E8">
      <w:pPr>
        <w:pStyle w:val="NoSpacing"/>
        <w:rPr>
          <w:bCs/>
        </w:rPr>
      </w:pPr>
    </w:p>
    <w:p w14:paraId="4772163E" w14:textId="13D0174D" w:rsidR="002D45B5" w:rsidRDefault="002D45B5" w:rsidP="002D45B5">
      <w:pPr>
        <w:pStyle w:val="NoSpacing"/>
        <w:rPr>
          <w:rFonts w:ascii="Arial Black" w:hAnsi="Arial Black"/>
          <w:sz w:val="28"/>
          <w:szCs w:val="28"/>
        </w:rPr>
      </w:pPr>
      <w:r>
        <w:rPr>
          <w:rFonts w:ascii="Arial Black" w:hAnsi="Arial Black"/>
          <w:sz w:val="28"/>
          <w:szCs w:val="28"/>
        </w:rPr>
        <w:t>7-89</w:t>
      </w:r>
    </w:p>
    <w:p w14:paraId="3E4E7E33" w14:textId="77777777" w:rsidR="00C6586C" w:rsidRDefault="00C6586C" w:rsidP="00292E1C">
      <w:pPr>
        <w:pStyle w:val="NoSpacing"/>
        <w:rPr>
          <w:rFonts w:ascii="Arial Black" w:hAnsi="Arial Black"/>
          <w:sz w:val="28"/>
          <w:szCs w:val="28"/>
        </w:rPr>
      </w:pPr>
    </w:p>
    <w:p w14:paraId="46415F72" w14:textId="77777777" w:rsidR="002D45B5" w:rsidRDefault="002D45B5" w:rsidP="002D45B5">
      <w:pPr>
        <w:pStyle w:val="NoSpacing"/>
        <w:rPr>
          <w:rFonts w:ascii="Arial Black" w:hAnsi="Arial Black"/>
          <w:b/>
          <w:sz w:val="28"/>
          <w:szCs w:val="28"/>
        </w:rPr>
      </w:pPr>
      <w:r>
        <w:rPr>
          <w:rFonts w:ascii="Arial Black" w:hAnsi="Arial Black"/>
          <w:b/>
          <w:sz w:val="28"/>
          <w:szCs w:val="28"/>
        </w:rPr>
        <w:t>OH: FEMALE EMT – SHOWED PHOTOS NAKED MALE - FIRED</w:t>
      </w:r>
    </w:p>
    <w:p w14:paraId="54F76E95" w14:textId="77777777" w:rsidR="002D45B5" w:rsidRDefault="002D45B5" w:rsidP="002D45B5">
      <w:pPr>
        <w:pStyle w:val="NoSpacing"/>
        <w:rPr>
          <w:rFonts w:ascii="Arial Black" w:hAnsi="Arial Black"/>
          <w:b/>
          <w:sz w:val="28"/>
          <w:szCs w:val="28"/>
        </w:rPr>
      </w:pPr>
    </w:p>
    <w:p w14:paraId="335A1FA0" w14:textId="77777777" w:rsidR="002D45B5" w:rsidRDefault="002D45B5" w:rsidP="002D45B5">
      <w:pPr>
        <w:pStyle w:val="NoSpacing"/>
      </w:pPr>
      <w:r w:rsidRPr="004B4E00">
        <w:t xml:space="preserve">On September 30, 2026, in </w:t>
      </w:r>
      <w:r w:rsidRPr="00F74F59">
        <w:rPr>
          <w:u w:val="single"/>
        </w:rPr>
        <w:t>Gertrude Crisp v. Scioto Ambulance District</w:t>
      </w:r>
      <w:r>
        <w:t>, U.S. District Court Judge J</w:t>
      </w:r>
      <w:r w:rsidRPr="005C66FA">
        <w:t>effery P. Hopkins</w:t>
      </w:r>
      <w:r>
        <w:t xml:space="preserve">, United States District Court for Southern District of Ohio, Western Division, granted summary judgment to the Ambulance District.  The female paramedic, who has been harassed by </w:t>
      </w:r>
      <w:r w:rsidRPr="00367F97">
        <w:t>Joshua Gullett,</w:t>
      </w:r>
      <w:r>
        <w:t xml:space="preserve"> complained to management in Fall 2018, and the Board </w:t>
      </w:r>
      <w:r w:rsidRPr="001E1E28">
        <w:t>responded by directing that Crisp and Gullett would no longer be scheduled together</w:t>
      </w:r>
      <w:r>
        <w:t>.  Thereafter they had limited contact with one another.  But “o</w:t>
      </w:r>
      <w:r w:rsidRPr="00924D3B">
        <w:t>n</w:t>
      </w:r>
      <w:r>
        <w:t xml:space="preserve"> </w:t>
      </w:r>
      <w:r w:rsidRPr="00924D3B">
        <w:t>June 9, 2022, Crisp showed two new Scioto Ambulance District employees—Marissa</w:t>
      </w:r>
      <w:r>
        <w:t xml:space="preserve"> </w:t>
      </w:r>
      <w:r w:rsidRPr="00924D3B">
        <w:t>Campbell and Sandra Thacker—a profile that Gullet maintained on the website Fetlife.com,</w:t>
      </w:r>
      <w:r>
        <w:t xml:space="preserve"> </w:t>
      </w:r>
      <w:r w:rsidRPr="00924D3B">
        <w:t>a sex-solicitation site that Gullet and his wife, Crystal Gullet, used to seek sexual partners.</w:t>
      </w:r>
      <w:r>
        <w:t xml:space="preserve"> </w:t>
      </w:r>
      <w:r w:rsidRPr="00323558">
        <w:t>The profile included several pictures of himself, as well</w:t>
      </w:r>
      <w:r>
        <w:t xml:space="preserve"> </w:t>
      </w:r>
      <w:r w:rsidRPr="0093640C">
        <w:t>as pictures of his wife, and pictures of his erect penis.</w:t>
      </w:r>
      <w:r>
        <w:t xml:space="preserve">”  Gullett learned of this a complained to management. Eric Lutz, a Scioto Ambulance District board member, </w:t>
      </w:r>
      <w:proofErr w:type="gramStart"/>
      <w:r>
        <w:t>conducted an investigation</w:t>
      </w:r>
      <w:proofErr w:type="gramEnd"/>
      <w:r>
        <w:t xml:space="preserve"> that </w:t>
      </w:r>
      <w:proofErr w:type="gramStart"/>
      <w:r>
        <w:t>lead</w:t>
      </w:r>
      <w:proofErr w:type="gramEnd"/>
      <w:r>
        <w:t xml:space="preserve"> to her termination on July 3, 2022.   </w:t>
      </w:r>
    </w:p>
    <w:p w14:paraId="237BFA45" w14:textId="77777777" w:rsidR="002D45B5" w:rsidRDefault="002D45B5" w:rsidP="002D45B5">
      <w:pPr>
        <w:pStyle w:val="NoSpacing"/>
      </w:pPr>
      <w:hyperlink r:id="rId1371" w:history="1">
        <w:r w:rsidRPr="003A6F30">
          <w:rPr>
            <w:rStyle w:val="Hyperlink"/>
          </w:rPr>
          <w:t>https://cases.justia.com/federal/district-courts/ohio/ohsdce/1:2023cv00273/279746/32/0.pdf?ts=1759344788</w:t>
        </w:r>
      </w:hyperlink>
      <w:r>
        <w:t xml:space="preserve"> </w:t>
      </w:r>
    </w:p>
    <w:p w14:paraId="663CE4EF" w14:textId="77777777" w:rsidR="002D45B5" w:rsidRDefault="002D45B5" w:rsidP="002D45B5">
      <w:pPr>
        <w:pStyle w:val="NoSpacing"/>
      </w:pPr>
    </w:p>
    <w:p w14:paraId="492783AF" w14:textId="77777777" w:rsidR="002D45B5" w:rsidRDefault="002D45B5" w:rsidP="002D45B5">
      <w:pPr>
        <w:pStyle w:val="NoSpacing"/>
        <w:rPr>
          <w:bCs/>
        </w:rPr>
      </w:pPr>
      <w:r>
        <w:t xml:space="preserve">THE COURT HELD: </w:t>
      </w:r>
    </w:p>
    <w:p w14:paraId="0BF3A8C5" w14:textId="77777777" w:rsidR="002D45B5" w:rsidRDefault="002D45B5" w:rsidP="002D45B5">
      <w:pPr>
        <w:pStyle w:val="NoSpacing"/>
        <w:rPr>
          <w:bCs/>
        </w:rPr>
      </w:pPr>
    </w:p>
    <w:p w14:paraId="1D9E3907" w14:textId="77777777" w:rsidR="002D45B5" w:rsidRPr="00AA05E2" w:rsidRDefault="002D45B5" w:rsidP="002D45B5">
      <w:pPr>
        <w:pStyle w:val="NoSpacing"/>
        <w:ind w:firstLine="720"/>
        <w:rPr>
          <w:bCs/>
        </w:rPr>
      </w:pPr>
      <w:r>
        <w:t>“</w:t>
      </w:r>
      <w:r w:rsidRPr="00AA05E2">
        <w:t>The details—including that the photos were from Fetlife.com—came out in Lutz’s</w:t>
      </w:r>
    </w:p>
    <w:p w14:paraId="59FE8281" w14:textId="77777777" w:rsidR="002D45B5" w:rsidRPr="00AA05E2" w:rsidRDefault="002D45B5" w:rsidP="002D45B5">
      <w:pPr>
        <w:pStyle w:val="NoSpacing"/>
        <w:ind w:firstLine="720"/>
        <w:rPr>
          <w:bCs/>
        </w:rPr>
      </w:pPr>
      <w:r w:rsidRPr="00AA05E2">
        <w:t>investigation, which he undertook shortly after receiving the report. In his report, Lutz</w:t>
      </w:r>
    </w:p>
    <w:p w14:paraId="13E17B36" w14:textId="77777777" w:rsidR="002D45B5" w:rsidRPr="00AA05E2" w:rsidRDefault="002D45B5" w:rsidP="002D45B5">
      <w:pPr>
        <w:pStyle w:val="NoSpacing"/>
        <w:ind w:firstLine="720"/>
        <w:rPr>
          <w:bCs/>
        </w:rPr>
      </w:pPr>
      <w:r w:rsidRPr="00AA05E2">
        <w:t>summarized his interview with Crisp as follows:</w:t>
      </w:r>
    </w:p>
    <w:p w14:paraId="4C40931E" w14:textId="77777777" w:rsidR="002D45B5" w:rsidRDefault="002D45B5" w:rsidP="002D45B5">
      <w:pPr>
        <w:pStyle w:val="NoSpacing"/>
        <w:rPr>
          <w:bCs/>
        </w:rPr>
      </w:pPr>
    </w:p>
    <w:p w14:paraId="6458D132" w14:textId="77777777" w:rsidR="002D45B5" w:rsidRDefault="002D45B5" w:rsidP="002D45B5">
      <w:pPr>
        <w:pStyle w:val="NoSpacing"/>
        <w:ind w:left="1440"/>
        <w:rPr>
          <w:bCs/>
        </w:rPr>
      </w:pPr>
      <w:r w:rsidRPr="00AA05E2">
        <w:t>She [Crisp] stated without reservation and without apology that she had shown nude</w:t>
      </w:r>
      <w:r>
        <w:t xml:space="preserve"> </w:t>
      </w:r>
      <w:r w:rsidRPr="00AA05E2">
        <w:t>photos of co-worker Josh Gullett to other employees while on duty and while on</w:t>
      </w:r>
      <w:r>
        <w:t xml:space="preserve"> </w:t>
      </w:r>
      <w:r w:rsidRPr="00AA05E2">
        <w:t>premises. Her reported reason for doing so was that (paraphrased) She (Ms. Crisp) did</w:t>
      </w:r>
      <w:r>
        <w:t xml:space="preserve"> </w:t>
      </w:r>
      <w:r w:rsidRPr="00AA05E2">
        <w:t>show the nude photos of Mr. Gullett to the other employees to “warn” them about</w:t>
      </w:r>
      <w:r>
        <w:t xml:space="preserve"> </w:t>
      </w:r>
      <w:r w:rsidRPr="00AA05E2">
        <w:t>“perverted and predatory” men in EMS, that there is a “list” of males in EMS who act</w:t>
      </w:r>
      <w:r>
        <w:t xml:space="preserve"> </w:t>
      </w:r>
      <w:r w:rsidRPr="00166533">
        <w:t>inappropriately toward other women in EMS, that those men may make professionally</w:t>
      </w:r>
      <w:r>
        <w:t xml:space="preserve"> </w:t>
      </w:r>
      <w:r w:rsidRPr="00166533">
        <w:t>inappropriate statements or make inappropriate requests of them . . . . In short, it is</w:t>
      </w:r>
      <w:r>
        <w:t xml:space="preserve"> </w:t>
      </w:r>
      <w:r w:rsidRPr="00166533">
        <w:t>Ms. Crisp’s contention that she showed the photos with the legitimate intention of</w:t>
      </w:r>
      <w:r>
        <w:t xml:space="preserve"> </w:t>
      </w:r>
      <w:r w:rsidRPr="00166533">
        <w:t>“warning” the other employees about alleged and potential male behavior, and that</w:t>
      </w:r>
      <w:r>
        <w:t xml:space="preserve"> </w:t>
      </w:r>
      <w:r w:rsidRPr="00166533">
        <w:t>this nude photo somehow “showed a pattern of behavior,” justified, and verified her</w:t>
      </w:r>
      <w:r>
        <w:t xml:space="preserve"> </w:t>
      </w:r>
      <w:r w:rsidRPr="00166533">
        <w:t>allegations about the other employees.</w:t>
      </w:r>
    </w:p>
    <w:p w14:paraId="3E5E4933" w14:textId="77777777" w:rsidR="002D45B5" w:rsidRDefault="002D45B5" w:rsidP="002D45B5">
      <w:pPr>
        <w:pStyle w:val="NoSpacing"/>
        <w:ind w:left="1440"/>
        <w:rPr>
          <w:bCs/>
        </w:rPr>
      </w:pPr>
    </w:p>
    <w:p w14:paraId="422B01CB" w14:textId="77777777" w:rsidR="002D45B5" w:rsidRPr="001A795C" w:rsidRDefault="002D45B5" w:rsidP="002D45B5">
      <w:pPr>
        <w:pStyle w:val="NoSpacing"/>
        <w:rPr>
          <w:bCs/>
        </w:rPr>
      </w:pPr>
      <w:r>
        <w:tab/>
      </w:r>
      <w:r w:rsidRPr="001A795C">
        <w:t>Lutz concluded the report by</w:t>
      </w:r>
      <w:r>
        <w:t xml:space="preserve"> </w:t>
      </w:r>
      <w:r w:rsidRPr="001A795C">
        <w:t>stating:</w:t>
      </w:r>
    </w:p>
    <w:p w14:paraId="06F0A18A" w14:textId="77777777" w:rsidR="002D45B5" w:rsidRDefault="002D45B5" w:rsidP="002D45B5">
      <w:pPr>
        <w:pStyle w:val="NoSpacing"/>
        <w:rPr>
          <w:bCs/>
        </w:rPr>
      </w:pPr>
    </w:p>
    <w:p w14:paraId="5871E7F9" w14:textId="77777777" w:rsidR="002D45B5" w:rsidRPr="001A795C" w:rsidRDefault="002D45B5" w:rsidP="002D45B5">
      <w:pPr>
        <w:pStyle w:val="NoSpacing"/>
        <w:ind w:left="1440"/>
        <w:rPr>
          <w:bCs/>
        </w:rPr>
      </w:pPr>
      <w:r w:rsidRPr="001A795C">
        <w:t>Showing these photos while on duty, regardless of justification, is inappropriate and</w:t>
      </w:r>
      <w:r>
        <w:t xml:space="preserve"> </w:t>
      </w:r>
      <w:r w:rsidRPr="001A795C">
        <w:t>unprofessional. . . Her actions increase the potential for undesirable work</w:t>
      </w:r>
    </w:p>
    <w:p w14:paraId="24DD282E" w14:textId="77777777" w:rsidR="002D45B5" w:rsidRPr="001A795C" w:rsidRDefault="002D45B5" w:rsidP="002D45B5">
      <w:pPr>
        <w:pStyle w:val="NoSpacing"/>
        <w:ind w:left="720" w:firstLine="720"/>
        <w:rPr>
          <w:bCs/>
        </w:rPr>
      </w:pPr>
      <w:r w:rsidRPr="001A795C">
        <w:t>environments and disagreeable work relationships at [Scioto Ambulance District].</w:t>
      </w:r>
    </w:p>
    <w:p w14:paraId="535B35B1" w14:textId="77777777" w:rsidR="002D45B5" w:rsidRPr="001A795C" w:rsidRDefault="002D45B5" w:rsidP="002D45B5">
      <w:pPr>
        <w:pStyle w:val="NoSpacing"/>
        <w:ind w:left="720" w:firstLine="720"/>
        <w:rPr>
          <w:bCs/>
        </w:rPr>
      </w:pPr>
      <w:r w:rsidRPr="001A795C">
        <w:t>Further, spreading rumors among employees about another staff member being</w:t>
      </w:r>
    </w:p>
    <w:p w14:paraId="6D279DFE" w14:textId="77777777" w:rsidR="002D45B5" w:rsidRDefault="002D45B5" w:rsidP="002D45B5">
      <w:pPr>
        <w:pStyle w:val="NoSpacing"/>
        <w:ind w:left="1440"/>
        <w:rPr>
          <w:bCs/>
        </w:rPr>
      </w:pPr>
      <w:r w:rsidRPr="001A795C">
        <w:t>“perverted” or “being a predator” are inflammatory and unprofessional. Furthermore,</w:t>
      </w:r>
      <w:r>
        <w:t xml:space="preserve"> </w:t>
      </w:r>
      <w:r w:rsidRPr="001A795C">
        <w:t xml:space="preserve">there have been no reports or accusations of any employee </w:t>
      </w:r>
      <w:r w:rsidRPr="00392CE9">
        <w:t>engaging in this type of</w:t>
      </w:r>
      <w:r>
        <w:t xml:space="preserve"> </w:t>
      </w:r>
      <w:r w:rsidRPr="00392CE9">
        <w:t>behavior while on duty or with other employees at any time.</w:t>
      </w:r>
    </w:p>
    <w:p w14:paraId="23E4F92F" w14:textId="77777777" w:rsidR="002D45B5" w:rsidRDefault="002D45B5" w:rsidP="002D45B5">
      <w:pPr>
        <w:pStyle w:val="NoSpacing"/>
        <w:rPr>
          <w:bCs/>
        </w:rPr>
      </w:pPr>
    </w:p>
    <w:p w14:paraId="223846BC" w14:textId="77777777" w:rsidR="002D45B5" w:rsidRDefault="002D45B5" w:rsidP="002D45B5">
      <w:pPr>
        <w:pStyle w:val="NoSpacing"/>
        <w:rPr>
          <w:bCs/>
        </w:rPr>
      </w:pPr>
      <w:r>
        <w:tab/>
        <w:t>***</w:t>
      </w:r>
    </w:p>
    <w:p w14:paraId="63FE58C9" w14:textId="77777777" w:rsidR="002D45B5" w:rsidRDefault="002D45B5" w:rsidP="002D45B5">
      <w:pPr>
        <w:pStyle w:val="NoSpacing"/>
        <w:rPr>
          <w:bCs/>
        </w:rPr>
      </w:pPr>
    </w:p>
    <w:p w14:paraId="2FA10398" w14:textId="77777777" w:rsidR="002D45B5" w:rsidRDefault="002D45B5" w:rsidP="002D45B5">
      <w:pPr>
        <w:pStyle w:val="NoSpacing"/>
        <w:ind w:left="720"/>
        <w:rPr>
          <w:bCs/>
        </w:rPr>
      </w:pPr>
      <w:r w:rsidRPr="00DC4776">
        <w:t>Crisp’s statements to</w:t>
      </w:r>
      <w:r>
        <w:t xml:space="preserve"> </w:t>
      </w:r>
      <w:r w:rsidRPr="00DC4776">
        <w:t>Campbell and Thacker about Mr. Gullett did not, however, amount to reporting sexual</w:t>
      </w:r>
      <w:r>
        <w:t xml:space="preserve"> </w:t>
      </w:r>
      <w:r w:rsidRPr="00DC4776">
        <w:t>misconduct, as they were made to co-workers and did not advocate for any particular action</w:t>
      </w:r>
      <w:r>
        <w:t xml:space="preserve"> </w:t>
      </w:r>
      <w:r w:rsidRPr="00DC4776">
        <w:t>by Scioto Ambulance District. Instead, her reporting was intended to encourage her</w:t>
      </w:r>
      <w:r>
        <w:t xml:space="preserve"> </w:t>
      </w:r>
      <w:r w:rsidRPr="00DC4776">
        <w:t>coworkers—not Scioto Ambulance—to take particular action, such as avoiding Gullett and</w:t>
      </w:r>
      <w:r>
        <w:t xml:space="preserve"> </w:t>
      </w:r>
      <w:r w:rsidRPr="00DC4776">
        <w:t>being on-guard against his advances.</w:t>
      </w:r>
    </w:p>
    <w:p w14:paraId="4F139943" w14:textId="77777777" w:rsidR="002D45B5" w:rsidRDefault="002D45B5" w:rsidP="002D45B5">
      <w:pPr>
        <w:pStyle w:val="NoSpacing"/>
        <w:ind w:firstLine="720"/>
        <w:rPr>
          <w:bCs/>
        </w:rPr>
      </w:pPr>
      <w:r>
        <w:t>***</w:t>
      </w:r>
    </w:p>
    <w:p w14:paraId="3DEB7E46" w14:textId="77777777" w:rsidR="002D45B5" w:rsidRPr="00DF000D" w:rsidRDefault="002D45B5" w:rsidP="002D45B5">
      <w:pPr>
        <w:pStyle w:val="NoSpacing"/>
        <w:ind w:firstLine="720"/>
        <w:rPr>
          <w:bCs/>
        </w:rPr>
      </w:pPr>
      <w:r w:rsidRPr="00DF000D">
        <w:t>The Court further notes that while the category of protected activity for purposes of</w:t>
      </w:r>
    </w:p>
    <w:p w14:paraId="0E582298" w14:textId="77777777" w:rsidR="002D45B5" w:rsidRDefault="002D45B5" w:rsidP="002D45B5">
      <w:pPr>
        <w:pStyle w:val="NoSpacing"/>
        <w:ind w:left="720"/>
        <w:rPr>
          <w:bCs/>
        </w:rPr>
      </w:pPr>
      <w:r w:rsidRPr="00DF000D">
        <w:t xml:space="preserve">Title VII is not tightly </w:t>
      </w:r>
      <w:proofErr w:type="gramStart"/>
      <w:r w:rsidRPr="00DF000D">
        <w:t>constrained,</w:t>
      </w:r>
      <w:proofErr w:type="gramEnd"/>
      <w:r w:rsidRPr="00DF000D">
        <w:t xml:space="preserve"> it also is not unlimited</w:t>
      </w:r>
      <w:r>
        <w:t xml:space="preserve">…. </w:t>
      </w:r>
      <w:r w:rsidRPr="00F6713F">
        <w:t>To summarize, it would stretch the facts of this case too far to conclude that by</w:t>
      </w:r>
      <w:r>
        <w:t xml:space="preserve"> </w:t>
      </w:r>
      <w:r w:rsidRPr="00F6713F">
        <w:t>showing other employees Gullett’s Fetlife.com profile in the course of warning them about</w:t>
      </w:r>
      <w:r>
        <w:t xml:space="preserve"> </w:t>
      </w:r>
      <w:r w:rsidRPr="00AB4407">
        <w:t>possible sexual harassment by him,9 she was “opposing a[] practice,” 42 U.S.C. § 2000e-3(a),</w:t>
      </w:r>
      <w:r>
        <w:t xml:space="preserve"> </w:t>
      </w:r>
      <w:r w:rsidRPr="00AB4407">
        <w:t>of the Scioto County Ambulance District. Further, nothing in the record before the Court</w:t>
      </w:r>
      <w:r>
        <w:t xml:space="preserve"> </w:t>
      </w:r>
      <w:r w:rsidRPr="00AB4407">
        <w:t>suggests that Scioto Ambulance District ignored Crisp’s complaints about Gullet at the</w:t>
      </w:r>
      <w:r>
        <w:t xml:space="preserve"> </w:t>
      </w:r>
      <w:r w:rsidRPr="00AB4407">
        <w:t xml:space="preserve">relevant </w:t>
      </w:r>
      <w:proofErr w:type="gramStart"/>
      <w:r w:rsidRPr="00AB4407">
        <w:t>time period</w:t>
      </w:r>
      <w:proofErr w:type="gramEnd"/>
      <w:r w:rsidRPr="00AB4407">
        <w:t>, given that Crisp chose to make those complaints to coworkers, not to</w:t>
      </w:r>
      <w:r>
        <w:t xml:space="preserve"> </w:t>
      </w:r>
      <w:r w:rsidRPr="00AB4407">
        <w:t>their employer. For these reasons, Defendant is entitled to summary judgment on Crisp’s</w:t>
      </w:r>
      <w:r>
        <w:t xml:space="preserve"> </w:t>
      </w:r>
      <w:r w:rsidRPr="00AB4407">
        <w:t>retaliation claims (Counts II and IV).</w:t>
      </w:r>
      <w:r>
        <w:t>”</w:t>
      </w:r>
    </w:p>
    <w:p w14:paraId="6633C88E" w14:textId="77777777" w:rsidR="002D45B5" w:rsidRDefault="002D45B5" w:rsidP="002D45B5">
      <w:pPr>
        <w:pStyle w:val="NoSpacing"/>
        <w:ind w:left="720"/>
        <w:rPr>
          <w:bCs/>
        </w:rPr>
      </w:pPr>
    </w:p>
    <w:p w14:paraId="6BA1D749" w14:textId="77777777" w:rsidR="002D45B5" w:rsidRDefault="002D45B5" w:rsidP="002D45B5">
      <w:pPr>
        <w:pStyle w:val="NoSpacing"/>
        <w:rPr>
          <w:bCs/>
        </w:rPr>
      </w:pPr>
      <w:r>
        <w:rPr>
          <w:b/>
        </w:rPr>
        <w:t>Legal lesson learned:  The plaintiff may have been motivated to “warn” co-workers, but it was not a “protected activity” to show a web profile and nude photo of the male.</w:t>
      </w:r>
    </w:p>
    <w:p w14:paraId="1CAA245A" w14:textId="77777777" w:rsidR="002D45B5" w:rsidRDefault="002D45B5" w:rsidP="00292E1C">
      <w:pPr>
        <w:pStyle w:val="NoSpacing"/>
        <w:rPr>
          <w:rFonts w:ascii="Arial Black" w:hAnsi="Arial Black"/>
          <w:sz w:val="28"/>
          <w:szCs w:val="28"/>
        </w:rPr>
      </w:pPr>
    </w:p>
    <w:p w14:paraId="55F84FA4" w14:textId="77777777" w:rsidR="00C235E8" w:rsidRDefault="00C235E8" w:rsidP="00292E1C">
      <w:pPr>
        <w:pStyle w:val="NoSpacing"/>
        <w:rPr>
          <w:rFonts w:ascii="Arial Black" w:hAnsi="Arial Black"/>
          <w:sz w:val="28"/>
          <w:szCs w:val="28"/>
        </w:rPr>
      </w:pPr>
    </w:p>
    <w:p w14:paraId="4C543634" w14:textId="77777777" w:rsidR="00C235E8" w:rsidRDefault="00C235E8" w:rsidP="00292E1C">
      <w:pPr>
        <w:pStyle w:val="NoSpacing"/>
        <w:rPr>
          <w:rFonts w:ascii="Arial Black" w:hAnsi="Arial Black"/>
          <w:sz w:val="28"/>
          <w:szCs w:val="28"/>
        </w:rPr>
      </w:pPr>
    </w:p>
    <w:p w14:paraId="64DA7EAA" w14:textId="77777777" w:rsidR="00C235E8" w:rsidRDefault="00C235E8" w:rsidP="00292E1C">
      <w:pPr>
        <w:pStyle w:val="NoSpacing"/>
        <w:rPr>
          <w:rFonts w:ascii="Arial Black" w:hAnsi="Arial Black"/>
          <w:sz w:val="28"/>
          <w:szCs w:val="28"/>
        </w:rPr>
      </w:pPr>
    </w:p>
    <w:p w14:paraId="393A4E8B" w14:textId="55B03B29" w:rsidR="007B6232" w:rsidRDefault="007B6232" w:rsidP="00292E1C">
      <w:pPr>
        <w:pStyle w:val="NoSpacing"/>
        <w:rPr>
          <w:rFonts w:ascii="Arial Black" w:hAnsi="Arial Black"/>
          <w:sz w:val="28"/>
          <w:szCs w:val="28"/>
        </w:rPr>
      </w:pPr>
      <w:r>
        <w:rPr>
          <w:rFonts w:ascii="Arial Black" w:hAnsi="Arial Black"/>
          <w:sz w:val="28"/>
          <w:szCs w:val="28"/>
        </w:rPr>
        <w:t>7-88</w:t>
      </w:r>
    </w:p>
    <w:p w14:paraId="6033FD87" w14:textId="77777777" w:rsidR="007B6232" w:rsidRDefault="007B6232" w:rsidP="00292E1C">
      <w:pPr>
        <w:pStyle w:val="NoSpacing"/>
        <w:rPr>
          <w:rFonts w:ascii="Arial Black" w:hAnsi="Arial Black"/>
          <w:sz w:val="28"/>
          <w:szCs w:val="28"/>
        </w:rPr>
      </w:pPr>
    </w:p>
    <w:p w14:paraId="1A27B3E5" w14:textId="77777777" w:rsidR="00487B33" w:rsidRPr="00E50243" w:rsidRDefault="00487B33" w:rsidP="00487B33">
      <w:pPr>
        <w:pStyle w:val="NoSpacing"/>
        <w:rPr>
          <w:rFonts w:ascii="Arial Black" w:hAnsi="Arial Black"/>
          <w:b/>
          <w:sz w:val="28"/>
          <w:szCs w:val="28"/>
        </w:rPr>
      </w:pPr>
      <w:r>
        <w:rPr>
          <w:rFonts w:ascii="Arial Black" w:hAnsi="Arial Black"/>
          <w:b/>
          <w:sz w:val="28"/>
          <w:szCs w:val="28"/>
        </w:rPr>
        <w:t>CT: FEMALE CAPT – ORDER PORN REMOVED – RETALIATION</w:t>
      </w:r>
    </w:p>
    <w:p w14:paraId="002D0C45" w14:textId="77777777" w:rsidR="00487B33" w:rsidRDefault="00487B33" w:rsidP="00487B33">
      <w:pPr>
        <w:pStyle w:val="NoSpacing"/>
      </w:pPr>
    </w:p>
    <w:p w14:paraId="5B3C6FC2" w14:textId="77777777" w:rsidR="00487B33" w:rsidRDefault="00487B33" w:rsidP="00487B33">
      <w:pPr>
        <w:pStyle w:val="NoSpacing"/>
      </w:pPr>
      <w:r>
        <w:t xml:space="preserve">On March 10, 2026, in </w:t>
      </w:r>
      <w:r w:rsidRPr="00726ABA">
        <w:rPr>
          <w:u w:val="single"/>
        </w:rPr>
        <w:t>Melanie Depamphilis v. Town of Newington</w:t>
      </w:r>
      <w:r w:rsidRPr="00AC20D2">
        <w:t>, et al.,</w:t>
      </w:r>
      <w:r>
        <w:t xml:space="preserve"> U.S. District Court Judge Sarala v. </w:t>
      </w:r>
      <w:proofErr w:type="spellStart"/>
      <w:r>
        <w:t>Nagala</w:t>
      </w:r>
      <w:proofErr w:type="spellEnd"/>
      <w:r>
        <w:t xml:space="preserve">, United States District Court for the District of Connecticut, denied the municipal defendant’s motion to dismiss the hostile work environment claims, which will now proceed to pre-trial discovery.  Claims alleging a Town official policy or custom that led to the hostile work environment were dismissed.  The plaintiff was the </w:t>
      </w:r>
      <w:proofErr w:type="gramStart"/>
      <w:r>
        <w:t>Captain</w:t>
      </w:r>
      <w:proofErr w:type="gramEnd"/>
      <w:r>
        <w:t xml:space="preserve"> in charge of the Town’s Fire Company No. 2 (and a 2018 retired lieutenant from Hartford Fire Department). On July 10, </w:t>
      </w:r>
      <w:proofErr w:type="gramStart"/>
      <w:r>
        <w:t>2023</w:t>
      </w:r>
      <w:proofErr w:type="gramEnd"/>
      <w:r>
        <w:t xml:space="preserve"> she learned of a firefighter having pornography in his locker, and she ordered it removed; the firefighter did so but demanded to know who told her about the materials.  Based on other allegations, on August 17, </w:t>
      </w:r>
      <w:proofErr w:type="gramStart"/>
      <w:r>
        <w:t>2023</w:t>
      </w:r>
      <w:proofErr w:type="gramEnd"/>
      <w:r>
        <w:t xml:space="preserve"> she was placed on administrative leave; and restored to her position as Captain on November 6, </w:t>
      </w:r>
      <w:proofErr w:type="gramStart"/>
      <w:r>
        <w:t>2023</w:t>
      </w:r>
      <w:proofErr w:type="gramEnd"/>
      <w:r>
        <w:t xml:space="preserve"> </w:t>
      </w:r>
      <w:r w:rsidRPr="002A7501">
        <w:t>but also that she would be placed on a one-year probation based on her “actions and behaviors” and “issues related to the morale at Company 2</w:t>
      </w:r>
      <w:r>
        <w:t>.</w:t>
      </w:r>
      <w:r w:rsidRPr="002A7501">
        <w:t>”</w:t>
      </w:r>
      <w:r>
        <w:t xml:space="preserve"> </w:t>
      </w:r>
      <w:hyperlink r:id="rId1372" w:history="1">
        <w:r w:rsidRPr="00502BCE">
          <w:rPr>
            <w:rStyle w:val="Hyperlink"/>
          </w:rPr>
          <w:t>https://cases.justia.com/federal/district-courts/connecticut/ctdce/3:2025cv00524/164327/45/0.pdf?ts=1773222843</w:t>
        </w:r>
      </w:hyperlink>
      <w:r>
        <w:t xml:space="preserve"> </w:t>
      </w:r>
    </w:p>
    <w:p w14:paraId="38984443" w14:textId="77777777" w:rsidR="00487B33" w:rsidRDefault="00487B33" w:rsidP="00487B33">
      <w:pPr>
        <w:pStyle w:val="NoSpacing"/>
      </w:pPr>
    </w:p>
    <w:p w14:paraId="447F9DF3" w14:textId="77777777" w:rsidR="00487B33" w:rsidRDefault="00487B33" w:rsidP="00487B33">
      <w:pPr>
        <w:pStyle w:val="NoSpacing"/>
      </w:pPr>
      <w:r>
        <w:t>THE COURT HELD:  “</w:t>
      </w:r>
      <w:r w:rsidRPr="006764CD">
        <w:t>The Court concludes that Plaintiff has plausibly stated a claim that she was subjected to a hostile work environment under both Title VII and the CFEPA</w:t>
      </w:r>
      <w:r>
        <w:t xml:space="preserve">…. </w:t>
      </w:r>
      <w:r w:rsidRPr="00F562F1">
        <w:t>Examining the totality of the circumstances, Plaintiff's complaint alleges facts supporting a reasonable inference that the Municipal Defendants subjected Plaintiff to negative treatment because of her sex.</w:t>
      </w:r>
    </w:p>
    <w:p w14:paraId="6EDB446C" w14:textId="77777777" w:rsidR="00487B33" w:rsidRDefault="00487B33" w:rsidP="00487B33">
      <w:pPr>
        <w:pStyle w:val="NoSpacing"/>
      </w:pPr>
    </w:p>
    <w:p w14:paraId="6CDCD892" w14:textId="77777777" w:rsidR="00487B33" w:rsidRDefault="00487B33" w:rsidP="00487B33">
      <w:pPr>
        <w:pStyle w:val="NoSpacing"/>
      </w:pPr>
      <w:r>
        <w:t>***</w:t>
      </w:r>
    </w:p>
    <w:p w14:paraId="6F6D4442" w14:textId="77777777" w:rsidR="00487B33" w:rsidRDefault="00487B33" w:rsidP="00487B33">
      <w:pPr>
        <w:pStyle w:val="NoSpacing"/>
      </w:pPr>
    </w:p>
    <w:p w14:paraId="4DE0957B" w14:textId="77777777" w:rsidR="00487B33" w:rsidRPr="008655CD" w:rsidRDefault="00487B33" w:rsidP="00487B33">
      <w:pPr>
        <w:pStyle w:val="NoSpacing"/>
      </w:pPr>
      <w:r w:rsidRPr="008655CD">
        <w:t xml:space="preserve">First, the Second Circuit has noted that the mere presence of pornography in a workplace can alter a female plaintiff's </w:t>
      </w:r>
      <w:r>
        <w:t>‘</w:t>
      </w:r>
      <w:r w:rsidRPr="008655CD">
        <w:t xml:space="preserve">status in </w:t>
      </w:r>
      <w:proofErr w:type="spellStart"/>
      <w:r w:rsidRPr="008655CD">
        <w:t>th</w:t>
      </w:r>
      <w:proofErr w:type="spellEnd"/>
      <w:r w:rsidRPr="008655CD">
        <w:t>[at] workplace.</w:t>
      </w:r>
      <w:r>
        <w:t>’</w:t>
      </w:r>
      <w:r w:rsidRPr="008655CD">
        <w:t xml:space="preserve"> </w:t>
      </w:r>
      <w:r w:rsidRPr="008655CD">
        <w:rPr>
          <w:i/>
          <w:iCs/>
        </w:rPr>
        <w:t>Wolak v. Spucci</w:t>
      </w:r>
      <w:r w:rsidRPr="008655CD">
        <w:t xml:space="preserve">, 217 F.3d 157, 161 (2d Cir. 2000); </w:t>
      </w:r>
      <w:proofErr w:type="gramStart"/>
      <w:r w:rsidRPr="008655CD">
        <w:rPr>
          <w:i/>
          <w:iCs/>
        </w:rPr>
        <w:t>see also</w:t>
      </w:r>
      <w:proofErr w:type="gramEnd"/>
      <w:r w:rsidRPr="008655CD">
        <w:rPr>
          <w:i/>
          <w:iCs/>
        </w:rPr>
        <w:t xml:space="preserve"> Patane</w:t>
      </w:r>
      <w:r w:rsidRPr="008655CD">
        <w:t xml:space="preserve">, 508 F.3d at 114. Although Plaintiff does not allege she was directly exposed to these materials like the plaintiffs in </w:t>
      </w:r>
      <w:r w:rsidRPr="008655CD">
        <w:rPr>
          <w:i/>
          <w:iCs/>
        </w:rPr>
        <w:t>Wolak</w:t>
      </w:r>
      <w:r w:rsidRPr="008655CD">
        <w:t xml:space="preserve"> and </w:t>
      </w:r>
      <w:r w:rsidRPr="008655CD">
        <w:rPr>
          <w:i/>
          <w:iCs/>
        </w:rPr>
        <w:t>Patane</w:t>
      </w:r>
      <w:r w:rsidRPr="008655CD">
        <w:t xml:space="preserve">, the presence of </w:t>
      </w:r>
    </w:p>
    <w:p w14:paraId="3BD3731D" w14:textId="77777777" w:rsidR="00487B33" w:rsidRDefault="00487B33" w:rsidP="00487B33">
      <w:pPr>
        <w:pStyle w:val="NoSpacing"/>
      </w:pPr>
      <w:r w:rsidRPr="008655CD">
        <w:t xml:space="preserve">pornography in a male firefighter's locker can be considered </w:t>
      </w:r>
      <w:r>
        <w:t>‘</w:t>
      </w:r>
      <w:r w:rsidRPr="008655CD">
        <w:t>particularly offensive to women and intended to provoke Plaintiff's reaction as a woman,</w:t>
      </w:r>
      <w:r>
        <w:t>’</w:t>
      </w:r>
      <w:r w:rsidRPr="008655CD">
        <w:t xml:space="preserve"> for purposes of stating a plausible claim of a hostile work environment</w:t>
      </w:r>
      <w:r>
        <w:t xml:space="preserve">…. </w:t>
      </w:r>
    </w:p>
    <w:p w14:paraId="39F3FACC" w14:textId="77777777" w:rsidR="00487B33" w:rsidRDefault="00487B33" w:rsidP="00487B33">
      <w:pPr>
        <w:pStyle w:val="NoSpacing"/>
      </w:pPr>
    </w:p>
    <w:p w14:paraId="5FE94717" w14:textId="77777777" w:rsidR="00487B33" w:rsidRDefault="00487B33" w:rsidP="00487B33">
      <w:pPr>
        <w:pStyle w:val="NoSpacing"/>
      </w:pPr>
      <w:r w:rsidRPr="007478EC">
        <w:t>When considered in combination with the pornography incident, these allegations, taken as true, show that both the Individual and Municipal Defendants undermined, denigrated, and affirmatively sidelined Plaintiff—a decorated female leader in the NVPD. Thus, they state a plausible claim that the Municipal Defendants created hostile work environment for Plaintiff because of her sex.</w:t>
      </w:r>
      <w:r>
        <w:t>”</w:t>
      </w:r>
    </w:p>
    <w:p w14:paraId="1359152D" w14:textId="77777777" w:rsidR="00487B33" w:rsidRDefault="00487B33" w:rsidP="00487B33">
      <w:pPr>
        <w:pStyle w:val="NoSpacing"/>
      </w:pPr>
    </w:p>
    <w:p w14:paraId="5B8E0E54" w14:textId="77777777" w:rsidR="00487B33" w:rsidRPr="006A39CE" w:rsidRDefault="00487B33" w:rsidP="00487B33">
      <w:pPr>
        <w:pStyle w:val="NoSpacing"/>
        <w:rPr>
          <w:b/>
          <w:bCs/>
        </w:rPr>
      </w:pPr>
      <w:r w:rsidRPr="006A39CE">
        <w:rPr>
          <w:b/>
        </w:rPr>
        <w:t xml:space="preserve">Legal lesson learned: </w:t>
      </w:r>
      <w:r>
        <w:rPr>
          <w:b/>
        </w:rPr>
        <w:t xml:space="preserve">The presence of pornography can “alter a female’s status in the workplace. </w:t>
      </w:r>
    </w:p>
    <w:p w14:paraId="73C88215" w14:textId="77777777" w:rsidR="00487B33" w:rsidRDefault="00487B33" w:rsidP="00487B33">
      <w:pPr>
        <w:pStyle w:val="NoSpacing"/>
      </w:pPr>
    </w:p>
    <w:p w14:paraId="10F8A869" w14:textId="77777777" w:rsidR="007B6232" w:rsidRDefault="007B6232" w:rsidP="00292E1C">
      <w:pPr>
        <w:pStyle w:val="NoSpacing"/>
        <w:rPr>
          <w:rFonts w:ascii="Arial Black" w:hAnsi="Arial Black"/>
          <w:sz w:val="28"/>
          <w:szCs w:val="28"/>
        </w:rPr>
      </w:pPr>
    </w:p>
    <w:p w14:paraId="1F738C5A" w14:textId="77777777" w:rsidR="007B6232" w:rsidRDefault="007B6232" w:rsidP="00292E1C">
      <w:pPr>
        <w:pStyle w:val="NoSpacing"/>
        <w:rPr>
          <w:rFonts w:ascii="Arial Black" w:hAnsi="Arial Black"/>
          <w:sz w:val="28"/>
          <w:szCs w:val="28"/>
        </w:rPr>
      </w:pPr>
    </w:p>
    <w:p w14:paraId="55E7E88D" w14:textId="0CE3EFCF" w:rsidR="004578CE" w:rsidRDefault="00027641" w:rsidP="00292E1C">
      <w:pPr>
        <w:pStyle w:val="NoSpacing"/>
        <w:rPr>
          <w:rFonts w:ascii="Arial Black" w:hAnsi="Arial Black"/>
          <w:sz w:val="28"/>
          <w:szCs w:val="28"/>
        </w:rPr>
      </w:pPr>
      <w:r>
        <w:rPr>
          <w:rFonts w:ascii="Arial Black" w:hAnsi="Arial Black"/>
          <w:sz w:val="28"/>
          <w:szCs w:val="28"/>
        </w:rPr>
        <w:t>7-</w:t>
      </w:r>
      <w:r w:rsidR="001C06FF">
        <w:rPr>
          <w:rFonts w:ascii="Arial Black" w:hAnsi="Arial Black"/>
          <w:sz w:val="28"/>
          <w:szCs w:val="28"/>
        </w:rPr>
        <w:t>87</w:t>
      </w:r>
    </w:p>
    <w:p w14:paraId="78524C4A" w14:textId="77777777" w:rsidR="001C06FF" w:rsidRDefault="001C06FF" w:rsidP="00292E1C">
      <w:pPr>
        <w:pStyle w:val="NoSpacing"/>
        <w:rPr>
          <w:rFonts w:ascii="Arial Black" w:hAnsi="Arial Black"/>
          <w:sz w:val="28"/>
          <w:szCs w:val="28"/>
        </w:rPr>
      </w:pPr>
    </w:p>
    <w:p w14:paraId="12FE208E" w14:textId="77777777" w:rsidR="003F5F35" w:rsidRPr="00D6142A" w:rsidRDefault="003F5F35" w:rsidP="003F5F35">
      <w:pPr>
        <w:pStyle w:val="NoSpacing"/>
        <w:rPr>
          <w:rFonts w:ascii="Arial Black" w:hAnsi="Arial Black"/>
          <w:bCs/>
          <w:sz w:val="28"/>
          <w:szCs w:val="28"/>
        </w:rPr>
      </w:pPr>
      <w:r>
        <w:rPr>
          <w:rFonts w:ascii="Arial Black" w:hAnsi="Arial Black"/>
          <w:sz w:val="28"/>
          <w:szCs w:val="28"/>
        </w:rPr>
        <w:t>DC: HOSTILE WORK ENVIRON – BY SGT – CASE PROCEED</w:t>
      </w:r>
    </w:p>
    <w:p w14:paraId="3A33B01E" w14:textId="77777777" w:rsidR="003F5F35" w:rsidRDefault="003F5F35" w:rsidP="003F5F35">
      <w:pPr>
        <w:pStyle w:val="NoSpacing"/>
        <w:rPr>
          <w:bCs/>
        </w:rPr>
      </w:pPr>
    </w:p>
    <w:p w14:paraId="6BF84224" w14:textId="77777777" w:rsidR="003F5F35" w:rsidRDefault="003F5F35" w:rsidP="003F5F35">
      <w:pPr>
        <w:pStyle w:val="NoSpacing"/>
        <w:rPr>
          <w:bCs/>
        </w:rPr>
      </w:pPr>
      <w:r>
        <w:t xml:space="preserve">On February 12, 2026, in </w:t>
      </w:r>
      <w:r w:rsidRPr="00DD44A7">
        <w:rPr>
          <w:u w:val="single"/>
        </w:rPr>
        <w:t>Whitney Ward v. District of Columbia</w:t>
      </w:r>
      <w:r>
        <w:t xml:space="preserve">, U.S. District Court Judge Reggie B. Walton, </w:t>
      </w:r>
      <w:r w:rsidRPr="00A610BD">
        <w:t>United States District Court, District of Columbia</w:t>
      </w:r>
      <w:r>
        <w:t xml:space="preserve">, held that the hostile work atmosphere case may proceed based on her allegation [black female in Fire Investigations Unit] of conduct by her direct supervisor, but there was no evidence of retaliation by the fire department after filing an EEOC complaint (she was promoted to Sergeant in October 2024 and transferred to an Engine company).  THE COURT HELD: </w:t>
      </w:r>
      <w:r w:rsidRPr="003358D2">
        <w:t>The plaintiff alleges that Sgt. F</w:t>
      </w:r>
      <w:r>
        <w:t>ord  ‘</w:t>
      </w:r>
      <w:r w:rsidRPr="003358D2">
        <w:t>inappropriate and overly sexual conduct</w:t>
      </w:r>
      <w:r>
        <w:t>’</w:t>
      </w:r>
      <w:r w:rsidRPr="003358D2">
        <w:t xml:space="preserve"> continued </w:t>
      </w:r>
      <w:r>
        <w:t>‘</w:t>
      </w:r>
      <w:r w:rsidRPr="003358D2">
        <w:t>over the course of years,</w:t>
      </w:r>
      <w:r>
        <w:t xml:space="preserve">’ … </w:t>
      </w:r>
      <w:r w:rsidRPr="003358D2">
        <w:t xml:space="preserve">and that </w:t>
      </w:r>
      <w:r>
        <w:t>‘</w:t>
      </w:r>
      <w:r w:rsidRPr="003358D2">
        <w:t>Sgt. F</w:t>
      </w:r>
      <w:r>
        <w:t>ord</w:t>
      </w:r>
      <w:r w:rsidRPr="003358D2">
        <w:t xml:space="preserve"> </w:t>
      </w:r>
      <w:r>
        <w:t xml:space="preserve"> </w:t>
      </w:r>
      <w:r w:rsidRPr="003358D2">
        <w:t>comments were accompanied by lewd and suggestive non-verbal traits, such as tone of voice and facial expressions</w:t>
      </w:r>
      <w:r>
        <w:t xml:space="preserve">’ </w:t>
      </w:r>
      <w:r w:rsidRPr="003358D2">
        <w:t xml:space="preserve"> that the plaintiff represents </w:t>
      </w:r>
      <w:r>
        <w:t>‘</w:t>
      </w:r>
      <w:r w:rsidRPr="003358D2">
        <w:t>made clear that his comments were of a flirtatious or solicitous nature, which made [her] extremely uncomfortable[,]</w:t>
      </w:r>
      <w:r>
        <w:t xml:space="preserve">’ … </w:t>
      </w:r>
      <w:r w:rsidRPr="003358D2">
        <w:t xml:space="preserve">The plaintiff states that she was the only woman on her shift and </w:t>
      </w:r>
      <w:r>
        <w:t>‘</w:t>
      </w:r>
      <w:r w:rsidRPr="003358D2">
        <w:t>[Sgt.]</w:t>
      </w:r>
      <w:r>
        <w:t xml:space="preserve"> </w:t>
      </w:r>
      <w:r w:rsidRPr="003358D2">
        <w:t>F</w:t>
      </w:r>
      <w:r>
        <w:t xml:space="preserve">ord </w:t>
      </w:r>
      <w:r w:rsidRPr="003358D2">
        <w:t>repeated objectification and sexualization</w:t>
      </w:r>
      <w:r>
        <w:t>’</w:t>
      </w:r>
      <w:r w:rsidRPr="003358D2">
        <w:t xml:space="preserve"> made her </w:t>
      </w:r>
      <w:r>
        <w:t>‘</w:t>
      </w:r>
      <w:r w:rsidRPr="003358D2">
        <w:t>go [through] extra lengths and efforts to be taken seriously by her male colleagues.</w:t>
      </w:r>
      <w:r>
        <w:t xml:space="preserve">’ … </w:t>
      </w:r>
      <w:r w:rsidRPr="003358D2">
        <w:t xml:space="preserve"> </w:t>
      </w:r>
      <w:r w:rsidRPr="00AB090B">
        <w:t>Then, during a shift change on or about June 21, 2023, while the plaintiff was speaking with a friend and colleague about a new tattoo on her leg</w:t>
      </w:r>
      <w:r>
        <w:t xml:space="preserve"> … </w:t>
      </w:r>
      <w:r w:rsidRPr="00AB090B">
        <w:t>Sgt</w:t>
      </w:r>
      <w:r>
        <w:t xml:space="preserve">, </w:t>
      </w:r>
      <w:r w:rsidRPr="003358D2">
        <w:t>F</w:t>
      </w:r>
      <w:r>
        <w:t xml:space="preserve">ord </w:t>
      </w:r>
      <w:r w:rsidRPr="00AB090B">
        <w:t xml:space="preserve">approached the plaintiff </w:t>
      </w:r>
      <w:r>
        <w:t>‘</w:t>
      </w:r>
      <w:r w:rsidRPr="00AB090B">
        <w:t>in an aggressive manner and stated, ‘Is that flavored ink they used? What flavor is that?</w:t>
      </w:r>
      <w:r>
        <w:t xml:space="preserve">’ … </w:t>
      </w:r>
      <w:r w:rsidRPr="00AB090B">
        <w:t xml:space="preserve">with </w:t>
      </w:r>
      <w:r>
        <w:t>‘</w:t>
      </w:r>
      <w:r w:rsidRPr="00AB090B">
        <w:t>an expression on his face like he was salivating or hungry to taste something[,]</w:t>
      </w:r>
      <w:r>
        <w:t xml:space="preserve">’ …  </w:t>
      </w:r>
      <w:r w:rsidRPr="00AB090B">
        <w:t>Another colleague intervened, telling Sgt. F</w:t>
      </w:r>
      <w:r>
        <w:t xml:space="preserve"> </w:t>
      </w:r>
      <w:r w:rsidRPr="00AB090B">
        <w:t xml:space="preserve">that he </w:t>
      </w:r>
      <w:r>
        <w:t>‘</w:t>
      </w:r>
      <w:r w:rsidRPr="00AB090B">
        <w:t>better back up and leave her alone[.]</w:t>
      </w:r>
      <w:r>
        <w:t xml:space="preserve"> … </w:t>
      </w:r>
      <w:r w:rsidRPr="000215FD">
        <w:t>The plaintiff reported Sgt.</w:t>
      </w:r>
      <w:r>
        <w:t xml:space="preserve"> </w:t>
      </w:r>
      <w:r w:rsidRPr="003358D2">
        <w:t>F</w:t>
      </w:r>
      <w:r>
        <w:t xml:space="preserve">ord </w:t>
      </w:r>
      <w:r w:rsidRPr="000215FD">
        <w:t>to Capt. Brian Phillips</w:t>
      </w:r>
      <w:r>
        <w:t xml:space="preserve"> … </w:t>
      </w:r>
      <w:r w:rsidRPr="000215FD">
        <w:t xml:space="preserve">who </w:t>
      </w:r>
      <w:r>
        <w:t>‘</w:t>
      </w:r>
      <w:r w:rsidRPr="000215FD">
        <w:t>called Sgt. Ford into his office and told [him] that his conduct was unacceptable, especially given that Sgt. Ford was ostensibly an [Equal Employment Opportunity (‘EEO')] counselor for the department</w:t>
      </w:r>
      <w:r>
        <w:t xml:space="preserve">.’… </w:t>
      </w:r>
      <w:r w:rsidRPr="004A28FA">
        <w:t>In response to what had occurred, the plaintiff filed an EEO complaint on January 8, 2024</w:t>
      </w:r>
      <w:r>
        <w:t xml:space="preserve">. *** </w:t>
      </w:r>
      <w:r w:rsidRPr="00A07375">
        <w:t>As the Court has already concluded, the plaintiff alleges that Sgt.</w:t>
      </w:r>
      <w:r>
        <w:t xml:space="preserve"> </w:t>
      </w:r>
      <w:r w:rsidRPr="003358D2">
        <w:t>F</w:t>
      </w:r>
      <w:r>
        <w:t xml:space="preserve">ord </w:t>
      </w:r>
      <w:r w:rsidRPr="00A07375">
        <w:t>conduct was both frequent and lasted over the course of years, and that Sgt.</w:t>
      </w:r>
      <w:r w:rsidRPr="00FB3525">
        <w:t xml:space="preserve"> </w:t>
      </w:r>
      <w:r w:rsidRPr="003358D2">
        <w:t>F</w:t>
      </w:r>
      <w:r>
        <w:t>ord.</w:t>
      </w:r>
      <w:r w:rsidRPr="00A07375">
        <w:t xml:space="preserve"> comments and actions were sufficiently humiliating or degrading to support her Title VII hostile work environment claim at this stage of the case.</w:t>
      </w:r>
      <w:r>
        <w:t>”</w:t>
      </w:r>
    </w:p>
    <w:p w14:paraId="2E0E57B7" w14:textId="77777777" w:rsidR="003F5F35" w:rsidRDefault="003F5F35" w:rsidP="003F5F35">
      <w:pPr>
        <w:pStyle w:val="NoSpacing"/>
        <w:rPr>
          <w:bCs/>
        </w:rPr>
      </w:pPr>
    </w:p>
    <w:p w14:paraId="7747CC09" w14:textId="77777777" w:rsidR="003F5F35" w:rsidRPr="00704126" w:rsidRDefault="003F5F35" w:rsidP="003F5F35">
      <w:pPr>
        <w:pStyle w:val="NoSpacing"/>
        <w:rPr>
          <w:b/>
          <w:bCs/>
        </w:rPr>
      </w:pPr>
      <w:r>
        <w:rPr>
          <w:b/>
        </w:rPr>
        <w:t xml:space="preserve">Legal lesson learned: Comments by a Supervisor can lead to a hostile work environment lawsuit against the employer. </w:t>
      </w:r>
    </w:p>
    <w:p w14:paraId="186B7D31" w14:textId="77777777" w:rsidR="003F5F35" w:rsidRDefault="003F5F35" w:rsidP="003F5F35">
      <w:pPr>
        <w:pStyle w:val="NoSpacing"/>
      </w:pPr>
    </w:p>
    <w:p w14:paraId="721A1120" w14:textId="77777777" w:rsidR="001C06FF" w:rsidRDefault="001C06FF" w:rsidP="00292E1C">
      <w:pPr>
        <w:pStyle w:val="NoSpacing"/>
        <w:rPr>
          <w:rFonts w:ascii="Arial Black" w:hAnsi="Arial Black"/>
          <w:sz w:val="28"/>
          <w:szCs w:val="28"/>
        </w:rPr>
      </w:pPr>
    </w:p>
    <w:p w14:paraId="42B6121B" w14:textId="77777777" w:rsidR="004578CE" w:rsidRDefault="004578CE" w:rsidP="00292E1C">
      <w:pPr>
        <w:pStyle w:val="NoSpacing"/>
        <w:rPr>
          <w:rFonts w:ascii="Arial Black" w:hAnsi="Arial Black"/>
          <w:sz w:val="28"/>
          <w:szCs w:val="28"/>
        </w:rPr>
      </w:pPr>
    </w:p>
    <w:p w14:paraId="2C7F453D" w14:textId="77777777" w:rsidR="004578CE" w:rsidRDefault="004578CE" w:rsidP="00292E1C">
      <w:pPr>
        <w:pStyle w:val="NoSpacing"/>
        <w:rPr>
          <w:rFonts w:ascii="Arial Black" w:hAnsi="Arial Black"/>
          <w:sz w:val="28"/>
          <w:szCs w:val="28"/>
        </w:rPr>
      </w:pPr>
    </w:p>
    <w:p w14:paraId="59780365" w14:textId="5DE16F7F" w:rsidR="00C6586C" w:rsidRDefault="00C6586C" w:rsidP="00292E1C">
      <w:pPr>
        <w:pStyle w:val="NoSpacing"/>
        <w:rPr>
          <w:rFonts w:ascii="Arial Black" w:hAnsi="Arial Black"/>
          <w:sz w:val="28"/>
          <w:szCs w:val="28"/>
        </w:rPr>
      </w:pPr>
      <w:r>
        <w:rPr>
          <w:rFonts w:ascii="Arial Black" w:hAnsi="Arial Black"/>
          <w:sz w:val="28"/>
          <w:szCs w:val="28"/>
        </w:rPr>
        <w:t>7-86</w:t>
      </w:r>
    </w:p>
    <w:p w14:paraId="488FA2E9" w14:textId="77777777" w:rsidR="00C6586C" w:rsidRDefault="00C6586C" w:rsidP="00292E1C">
      <w:pPr>
        <w:pStyle w:val="NoSpacing"/>
        <w:rPr>
          <w:rFonts w:ascii="Arial Black" w:hAnsi="Arial Black"/>
          <w:sz w:val="28"/>
          <w:szCs w:val="28"/>
        </w:rPr>
      </w:pPr>
    </w:p>
    <w:p w14:paraId="27C9FC8E" w14:textId="345E2555" w:rsidR="00C6586C" w:rsidRPr="00111FFC" w:rsidRDefault="00C6586C" w:rsidP="00C6586C">
      <w:pPr>
        <w:rPr>
          <w:rFonts w:ascii="Arial Black" w:hAnsi="Arial Black"/>
          <w:b/>
          <w:sz w:val="28"/>
          <w:szCs w:val="28"/>
        </w:rPr>
      </w:pPr>
      <w:r>
        <w:rPr>
          <w:rFonts w:ascii="Arial Black" w:hAnsi="Arial Black"/>
          <w:b/>
          <w:sz w:val="28"/>
          <w:szCs w:val="28"/>
        </w:rPr>
        <w:t xml:space="preserve">VA: FEMALE EMT - FIRED WRONG DATE </w:t>
      </w:r>
      <w:r w:rsidR="007E7FBC">
        <w:rPr>
          <w:rFonts w:ascii="Arial Black" w:hAnsi="Arial Black"/>
          <w:b/>
          <w:sz w:val="28"/>
          <w:szCs w:val="28"/>
        </w:rPr>
        <w:t xml:space="preserve">ON </w:t>
      </w:r>
      <w:r>
        <w:rPr>
          <w:rFonts w:ascii="Arial Black" w:hAnsi="Arial Black"/>
          <w:b/>
          <w:sz w:val="28"/>
          <w:szCs w:val="28"/>
        </w:rPr>
        <w:t xml:space="preserve">RPT – </w:t>
      </w:r>
      <w:r w:rsidR="004035C1">
        <w:rPr>
          <w:rFonts w:ascii="Arial Black" w:hAnsi="Arial Black"/>
          <w:b/>
          <w:sz w:val="28"/>
          <w:szCs w:val="28"/>
        </w:rPr>
        <w:t xml:space="preserve">CASE </w:t>
      </w:r>
      <w:r>
        <w:rPr>
          <w:rFonts w:ascii="Arial Black" w:hAnsi="Arial Black"/>
          <w:b/>
          <w:sz w:val="28"/>
          <w:szCs w:val="28"/>
        </w:rPr>
        <w:t xml:space="preserve">PROCEED  </w:t>
      </w:r>
    </w:p>
    <w:p w14:paraId="0AEA9899" w14:textId="77777777" w:rsidR="00C6586C" w:rsidRPr="00A47355" w:rsidRDefault="00C6586C" w:rsidP="00C6586C">
      <w:pPr>
        <w:pStyle w:val="NoSpacing"/>
      </w:pPr>
      <w:r>
        <w:t xml:space="preserve">On January 22, 2026, in </w:t>
      </w:r>
      <w:r w:rsidRPr="00F05AFE">
        <w:rPr>
          <w:u w:val="single"/>
        </w:rPr>
        <w:t>Jada Marshall v. Accomack County Department of Public Safety</w:t>
      </w:r>
      <w:r>
        <w:t>, U.S. District Court Judge Raymond A. Jackson, United States District Court for Eastern District of Virginia,  Norfolk, denied defense motion to dismiss the lawsuit. “</w:t>
      </w:r>
      <w:r w:rsidRPr="000F0BD1">
        <w:t>When reviewed in totality, Plaintiffs workplace circumstances establish conditions sufficient for a sex-based hostile workplace claim to survive at this stage.</w:t>
      </w:r>
      <w:r>
        <w:t xml:space="preserve">” </w:t>
      </w:r>
      <w:hyperlink r:id="rId1373" w:history="1">
        <w:r w:rsidRPr="003F4532">
          <w:rPr>
            <w:rStyle w:val="Hyperlink"/>
          </w:rPr>
          <w:t>https://cases.justia.com/federal/district-courts/virginia/vaedce/2:2025cv00255/573201/8/0.pdf?ts=1769187301</w:t>
        </w:r>
      </w:hyperlink>
      <w:r>
        <w:t xml:space="preserve"> </w:t>
      </w:r>
    </w:p>
    <w:p w14:paraId="64ECE438" w14:textId="77777777" w:rsidR="00C6586C" w:rsidRDefault="00C6586C" w:rsidP="00C6586C">
      <w:pPr>
        <w:pStyle w:val="NoSpacing"/>
      </w:pPr>
    </w:p>
    <w:p w14:paraId="6EFC32D9" w14:textId="77777777" w:rsidR="00C6586C" w:rsidRDefault="00C6586C" w:rsidP="00C6586C">
      <w:pPr>
        <w:pStyle w:val="NoSpacing"/>
      </w:pPr>
      <w:r>
        <w:t xml:space="preserve">THE COURT HELD: </w:t>
      </w:r>
    </w:p>
    <w:p w14:paraId="5C37AE5C" w14:textId="77777777" w:rsidR="00C6586C" w:rsidRDefault="00C6586C" w:rsidP="00C6586C">
      <w:pPr>
        <w:pStyle w:val="NoSpacing"/>
      </w:pPr>
    </w:p>
    <w:p w14:paraId="5F28DF41" w14:textId="77777777" w:rsidR="00C6586C" w:rsidRDefault="00C6586C" w:rsidP="00C6586C">
      <w:pPr>
        <w:pStyle w:val="NoSpacing"/>
        <w:ind w:left="720"/>
      </w:pPr>
      <w:r>
        <w:t>“</w:t>
      </w:r>
      <w:r w:rsidRPr="00FD2B4B">
        <w:t>Plaintiff began employment on September 5, 2023</w:t>
      </w:r>
      <w:r>
        <w:t xml:space="preserve">…. </w:t>
      </w:r>
      <w:r w:rsidRPr="00FD2B4B">
        <w:t xml:space="preserve"> As a condition of her employment, Plaintiff was required to complete Advanced EMT and Firefighter training at the Fire Academy within 12 months of her date of hire</w:t>
      </w:r>
      <w:r>
        <w:t xml:space="preserve">… </w:t>
      </w:r>
      <w:r w:rsidRPr="00FD2B4B">
        <w:t xml:space="preserve"> On October 12, 2023, Plaintiffs Fire Academy instructor, Phillip </w:t>
      </w:r>
      <w:proofErr w:type="gramStart"/>
      <w:r w:rsidRPr="00FD2B4B">
        <w:t>Kelly (</w:t>
      </w:r>
      <w:r>
        <w:t>‘</w:t>
      </w:r>
      <w:proofErr w:type="gramEnd"/>
      <w:r w:rsidRPr="00FD2B4B">
        <w:t xml:space="preserve">Instructor </w:t>
      </w:r>
      <w:proofErr w:type="gramStart"/>
      <w:r w:rsidRPr="00FD2B4B">
        <w:t>Kelly</w:t>
      </w:r>
      <w:r>
        <w:t>’</w:t>
      </w:r>
      <w:r w:rsidRPr="00FD2B4B">
        <w:t>)</w:t>
      </w:r>
      <w:proofErr w:type="gramEnd"/>
      <w:r w:rsidRPr="00FD2B4B">
        <w:t xml:space="preserve">, sent Plaintiff a text message stating, </w:t>
      </w:r>
      <w:r>
        <w:t>‘</w:t>
      </w:r>
      <w:r w:rsidRPr="00FD2B4B">
        <w:t>I would ask you out if I was not married.</w:t>
      </w:r>
      <w:r>
        <w:t xml:space="preserve">’ … </w:t>
      </w:r>
      <w:r w:rsidRPr="006B05C1">
        <w:t>Plaintiff reported the perceived harassment to her supervisor, Captain Shawn Malone (</w:t>
      </w:r>
      <w:r>
        <w:t>‘</w:t>
      </w:r>
      <w:r w:rsidRPr="006B05C1">
        <w:t>Cpt. Malone</w:t>
      </w:r>
      <w:r>
        <w:t>’</w:t>
      </w:r>
      <w:r w:rsidRPr="006B05C1">
        <w:t>)</w:t>
      </w:r>
      <w:r>
        <w:t>…. P</w:t>
      </w:r>
      <w:r w:rsidRPr="006B05C1">
        <w:t xml:space="preserve">laintiff alleges that, following this report, Cpt. Malone </w:t>
      </w:r>
      <w:r>
        <w:t>‘</w:t>
      </w:r>
      <w:r w:rsidRPr="006B05C1">
        <w:t>blamed</w:t>
      </w:r>
      <w:r>
        <w:t>’</w:t>
      </w:r>
      <w:r w:rsidRPr="006B05C1">
        <w:t xml:space="preserve"> and </w:t>
      </w:r>
      <w:r>
        <w:t>‘</w:t>
      </w:r>
      <w:r w:rsidRPr="006B05C1">
        <w:t>belittled</w:t>
      </w:r>
      <w:r>
        <w:t>’</w:t>
      </w:r>
      <w:r w:rsidRPr="006B05C1">
        <w:t xml:space="preserve"> her, rather than disciplining Instructor Kelly or reporting her complaint to the County Administrator as required by DPS policy</w:t>
      </w:r>
      <w:r>
        <w:t xml:space="preserve">…. </w:t>
      </w:r>
      <w:r w:rsidRPr="006B05C1">
        <w:t xml:space="preserve">Cpt. Malone also told Plaintiff that </w:t>
      </w:r>
      <w:r>
        <w:t>‘</w:t>
      </w:r>
      <w:r w:rsidRPr="006B05C1">
        <w:t>she was not mature or mentally fit enough to work for DPS,</w:t>
      </w:r>
      <w:r>
        <w:t>’</w:t>
      </w:r>
      <w:r w:rsidRPr="006B05C1">
        <w:t xml:space="preserve"> </w:t>
      </w:r>
      <w:r>
        <w:t>‘</w:t>
      </w:r>
      <w:r w:rsidRPr="006B05C1">
        <w:t>she needed therapy</w:t>
      </w:r>
      <w:r>
        <w:t>’</w:t>
      </w:r>
      <w:r w:rsidRPr="006B05C1">
        <w:t xml:space="preserve"> and </w:t>
      </w:r>
      <w:r>
        <w:t>‘</w:t>
      </w:r>
      <w:r w:rsidRPr="006B05C1">
        <w:t>she should get her home life straight.</w:t>
      </w:r>
      <w:r>
        <w:t xml:space="preserve">’ … </w:t>
      </w:r>
      <w:r w:rsidRPr="006B05C1">
        <w:t xml:space="preserve">Cpt. Malone also spoke to coworkers about Plaintiff, allegedly saying Plaintiff had engaged in sexual relationships with other co-workers and that Plaintiff should </w:t>
      </w:r>
      <w:r>
        <w:t>‘</w:t>
      </w:r>
      <w:r w:rsidRPr="006B05C1">
        <w:t>close her legs and do her job.</w:t>
      </w:r>
      <w:r>
        <w:t xml:space="preserve">’ … </w:t>
      </w:r>
      <w:r w:rsidRPr="00A47355">
        <w:t>On March 1, 2024, HR sent Plaintiff a letter granting her thirty additional days to complete the required training shifts</w:t>
      </w:r>
      <w:r>
        <w:t xml:space="preserve">…. </w:t>
      </w:r>
      <w:r w:rsidRPr="00A47355">
        <w:t>Plaintiff subsequently completed all required clinical shifts during the granted extension and submitted documentation to Defendant to verify the completed shifts</w:t>
      </w:r>
      <w:r>
        <w:t xml:space="preserve">…. </w:t>
      </w:r>
      <w:r w:rsidRPr="00A47355">
        <w:t>However, Plaintiff realized she incorrectly entered a date on the paperwork</w:t>
      </w:r>
      <w:r>
        <w:t xml:space="preserve">…. </w:t>
      </w:r>
      <w:r w:rsidRPr="00A47355">
        <w:t>Plaintiff attempted to correct the documents, but Defendant did not accept her correction</w:t>
      </w:r>
      <w:r>
        <w:t xml:space="preserve">…. </w:t>
      </w:r>
      <w:r w:rsidRPr="00A47355">
        <w:t>Instead, Defendant informed Plaintiff that she was being terminated, and cited the filing error as the sole reason for her termination</w:t>
      </w:r>
      <w:r>
        <w:t xml:space="preserve">…. </w:t>
      </w:r>
      <w:r w:rsidRPr="00A47355">
        <w:t>On March 26, 2024, Plaintiff received a letter from Defendant formalizing her termination.</w:t>
      </w:r>
    </w:p>
    <w:p w14:paraId="3E09A6AB" w14:textId="77777777" w:rsidR="00C6586C" w:rsidRDefault="00C6586C" w:rsidP="00C6586C">
      <w:pPr>
        <w:pStyle w:val="NoSpacing"/>
        <w:ind w:left="720"/>
      </w:pPr>
    </w:p>
    <w:p w14:paraId="134BB0BC" w14:textId="77777777" w:rsidR="00C6586C" w:rsidRPr="00A47355" w:rsidRDefault="00C6586C" w:rsidP="00C6586C">
      <w:pPr>
        <w:pStyle w:val="NoSpacing"/>
        <w:ind w:left="720"/>
      </w:pPr>
      <w:r>
        <w:t xml:space="preserve">*** </w:t>
      </w:r>
      <w:r w:rsidRPr="00A47355">
        <w:t xml:space="preserve"> </w:t>
      </w:r>
    </w:p>
    <w:p w14:paraId="59C7E221" w14:textId="77777777" w:rsidR="00C6586C" w:rsidRDefault="00C6586C" w:rsidP="00C6586C">
      <w:pPr>
        <w:pStyle w:val="NoSpacing"/>
        <w:ind w:left="720"/>
        <w:rPr>
          <w:b/>
          <w:bCs/>
        </w:rPr>
      </w:pPr>
      <w:r w:rsidRPr="00962B39">
        <w:t xml:space="preserve">Instructor Kelly's implicit proposition, in addition to Cpt. Malone's disparaging comments about Plaintiff </w:t>
      </w:r>
      <w:r>
        <w:t>‘</w:t>
      </w:r>
      <w:r w:rsidRPr="00962B39">
        <w:t>keeping her legs closed,</w:t>
      </w:r>
      <w:r>
        <w:t>’</w:t>
      </w:r>
      <w:r w:rsidRPr="00962B39">
        <w:t xml:space="preserve"> indicate inappropriate sexual discussion by Plaintiffs superiors in her workplace. And, although a hostile workplace claim must meet a demanding standard, courts in this district have found that sexual harassment by one's supervisor is more likely to meet that standard because of the influence the supervisor may have on the workplace and </w:t>
      </w:r>
      <w:proofErr w:type="gramStart"/>
      <w:r w:rsidRPr="00962B39">
        <w:t>in light of</w:t>
      </w:r>
      <w:proofErr w:type="gramEnd"/>
      <w:r w:rsidRPr="00962B39">
        <w:t xml:space="preserve"> the inherent power imbalance</w:t>
      </w:r>
      <w:r>
        <w:t xml:space="preserve">.” </w:t>
      </w:r>
    </w:p>
    <w:p w14:paraId="643AF0EA" w14:textId="77777777" w:rsidR="00C6586C" w:rsidRDefault="00C6586C" w:rsidP="00C6586C">
      <w:pPr>
        <w:pStyle w:val="NoSpacing"/>
        <w:rPr>
          <w:b/>
          <w:bCs/>
        </w:rPr>
      </w:pPr>
    </w:p>
    <w:p w14:paraId="4439348C" w14:textId="77777777" w:rsidR="00C6586C" w:rsidRDefault="00C6586C" w:rsidP="00C6586C">
      <w:pPr>
        <w:pStyle w:val="NoSpacing"/>
        <w:rPr>
          <w:b/>
          <w:bCs/>
        </w:rPr>
      </w:pPr>
      <w:r>
        <w:rPr>
          <w:b/>
        </w:rPr>
        <w:t xml:space="preserve">Legal lesson learned: If an officer believes FF / EMT is not mentally “not fit for the job” then work with HR to get employee professionally evaluated. </w:t>
      </w:r>
    </w:p>
    <w:p w14:paraId="61A1BC25" w14:textId="77777777" w:rsidR="00C6586C" w:rsidRDefault="00C6586C" w:rsidP="00C6586C">
      <w:pPr>
        <w:pStyle w:val="NoSpacing"/>
        <w:rPr>
          <w:b/>
          <w:bCs/>
        </w:rPr>
      </w:pPr>
    </w:p>
    <w:p w14:paraId="75F73570" w14:textId="77777777" w:rsidR="00C6586C" w:rsidRDefault="00C6586C" w:rsidP="00292E1C">
      <w:pPr>
        <w:pStyle w:val="NoSpacing"/>
        <w:rPr>
          <w:rFonts w:ascii="Arial Black" w:hAnsi="Arial Black"/>
          <w:sz w:val="28"/>
          <w:szCs w:val="28"/>
        </w:rPr>
      </w:pPr>
    </w:p>
    <w:p w14:paraId="31562364" w14:textId="77777777" w:rsidR="00C6586C" w:rsidRDefault="00C6586C" w:rsidP="00292E1C">
      <w:pPr>
        <w:pStyle w:val="NoSpacing"/>
        <w:rPr>
          <w:rFonts w:ascii="Arial Black" w:hAnsi="Arial Black"/>
          <w:sz w:val="28"/>
          <w:szCs w:val="28"/>
        </w:rPr>
      </w:pPr>
    </w:p>
    <w:p w14:paraId="7E211B60" w14:textId="6C270E22" w:rsidR="007774D2" w:rsidRDefault="00215605" w:rsidP="00292E1C">
      <w:pPr>
        <w:pStyle w:val="NoSpacing"/>
        <w:rPr>
          <w:rFonts w:ascii="Arial Black" w:hAnsi="Arial Black"/>
          <w:sz w:val="28"/>
          <w:szCs w:val="28"/>
        </w:rPr>
      </w:pPr>
      <w:r>
        <w:rPr>
          <w:rFonts w:ascii="Arial Black" w:hAnsi="Arial Black"/>
          <w:sz w:val="28"/>
          <w:szCs w:val="28"/>
        </w:rPr>
        <w:t>7-85</w:t>
      </w:r>
    </w:p>
    <w:p w14:paraId="57612908" w14:textId="77777777" w:rsidR="00215605" w:rsidRDefault="00215605" w:rsidP="00292E1C">
      <w:pPr>
        <w:pStyle w:val="NoSpacing"/>
        <w:rPr>
          <w:rFonts w:ascii="Arial Black" w:hAnsi="Arial Black"/>
          <w:sz w:val="28"/>
          <w:szCs w:val="28"/>
        </w:rPr>
      </w:pPr>
    </w:p>
    <w:p w14:paraId="4365C3FE" w14:textId="77777777" w:rsidR="00215605" w:rsidRPr="00475917" w:rsidRDefault="00215605" w:rsidP="00215605">
      <w:pPr>
        <w:rPr>
          <w:rFonts w:ascii="Arial Black" w:hAnsi="Arial Black"/>
          <w:sz w:val="28"/>
          <w:szCs w:val="28"/>
        </w:rPr>
      </w:pPr>
      <w:r>
        <w:rPr>
          <w:rFonts w:ascii="Arial Black" w:hAnsi="Arial Black"/>
          <w:sz w:val="28"/>
          <w:szCs w:val="28"/>
        </w:rPr>
        <w:t xml:space="preserve">DE: EMT / VOL. FD – “OFFENSIVE JOKES” – FIRING UPHELD </w:t>
      </w:r>
    </w:p>
    <w:p w14:paraId="321CC0D0" w14:textId="77777777" w:rsidR="00215605" w:rsidRPr="00CC347E" w:rsidRDefault="00215605" w:rsidP="00215605">
      <w:r>
        <w:t xml:space="preserve">On November 25, 2025, in </w:t>
      </w:r>
      <w:r w:rsidRPr="00161B10">
        <w:rPr>
          <w:u w:val="single"/>
        </w:rPr>
        <w:t xml:space="preserve">Steven Germain v. Cara Viera, </w:t>
      </w:r>
      <w:r>
        <w:rPr>
          <w:u w:val="single"/>
        </w:rPr>
        <w:t xml:space="preserve">et al., </w:t>
      </w:r>
      <w:r w:rsidRPr="00161B10">
        <w:rPr>
          <w:u w:val="single"/>
        </w:rPr>
        <w:t xml:space="preserve">Mill Creek Board of Directors, </w:t>
      </w:r>
      <w:r>
        <w:t xml:space="preserve">Judge </w:t>
      </w:r>
      <w:r w:rsidRPr="00FE1B2D">
        <w:t>Sonia Augusthy</w:t>
      </w:r>
      <w:r>
        <w:t xml:space="preserve">, </w:t>
      </w:r>
      <w:r w:rsidRPr="00FE1B2D">
        <w:t>Superior Court of Delaware</w:t>
      </w:r>
      <w:r>
        <w:t>, granted the defendants’ motion to dismiss.  The Fire Department is a non-profit, non-governmental entity.  The plaintiff claimed [pro se – not represented by an attorney] was not granted due process; fired by the Board of Directors without a hearing five days after sending an e-mail to female that he claimed was merely an “offensive joke.” THE COURT WROTE: “</w:t>
      </w:r>
      <w:r w:rsidRPr="00706508">
        <w:t xml:space="preserve">Steven Germain, a longtime volunteer of a non-profit private entity, admittedly sent a text message to a female associate, indicating he </w:t>
      </w:r>
      <w:r>
        <w:t>‘</w:t>
      </w:r>
      <w:r w:rsidRPr="00706508">
        <w:t>had a mental thought of slapping her on the butt.</w:t>
      </w:r>
      <w:r>
        <w:t xml:space="preserve"> </w:t>
      </w:r>
      <w:r w:rsidRPr="00AD6501">
        <w:t>She responded that would be inappropriate. He acknowledged she was correct and apologized. This incident was reported.</w:t>
      </w:r>
      <w:r>
        <w:t xml:space="preserve">*** </w:t>
      </w:r>
      <w:r w:rsidRPr="006115E8">
        <w:t xml:space="preserve">Plaintiff was notified of the issue and given an opportunity to respond. In a written response he admitted to </w:t>
      </w:r>
      <w:r>
        <w:t>‘</w:t>
      </w:r>
      <w:r w:rsidRPr="006115E8">
        <w:t>offensive jokes,</w:t>
      </w:r>
      <w:r>
        <w:t>’</w:t>
      </w:r>
      <w:r w:rsidRPr="006115E8">
        <w:t xml:space="preserve"> which expressly violates the policy he cites. The </w:t>
      </w:r>
      <w:r>
        <w:t>‘</w:t>
      </w:r>
      <w:r w:rsidRPr="006115E8">
        <w:t>government</w:t>
      </w:r>
      <w:r>
        <w:t>’</w:t>
      </w:r>
      <w:r w:rsidRPr="006115E8">
        <w:t xml:space="preserve"> interest of Mill Creek is to ensure a safe and respectful environment for members and the community they serve. Even under the facts as alleged by Plaintiff, he received sufficient due process</w:t>
      </w:r>
      <w:r>
        <w:t xml:space="preserve">…. </w:t>
      </w:r>
      <w:r w:rsidRPr="002724DC">
        <w:t>As for defamation, Defendants argue Plaintiff failed to identify a defamatory statement within the Complaint. Further, they argue because Plaintiff admitted making the comment, and acknowledged it as an offensive joke</w:t>
      </w:r>
      <w:r>
        <w:t xml:space="preserve">.” </w:t>
      </w:r>
      <w:hyperlink r:id="rId1374" w:history="1">
        <w:r w:rsidRPr="00CC347E">
          <w:rPr>
            <w:rStyle w:val="Hyperlink"/>
          </w:rPr>
          <w:t>https://cases.justia.com/delaware/superior-court/2025-n25c-08-098-ssa.pdf?ts=1764099129</w:t>
        </w:r>
      </w:hyperlink>
      <w:r w:rsidRPr="00CC347E">
        <w:t xml:space="preserve"> </w:t>
      </w:r>
    </w:p>
    <w:p w14:paraId="141DC7BA" w14:textId="77777777" w:rsidR="00215605" w:rsidRDefault="00215605" w:rsidP="00215605">
      <w:r>
        <w:t>THE COURT HELD:</w:t>
      </w:r>
    </w:p>
    <w:p w14:paraId="5583EE14" w14:textId="77777777" w:rsidR="00215605" w:rsidRDefault="00215605" w:rsidP="00215605">
      <w:pPr>
        <w:ind w:firstLine="720"/>
      </w:pPr>
      <w:r>
        <w:t>“</w:t>
      </w:r>
      <w:r w:rsidRPr="00B8450A">
        <w:t>Plaintiff was a volunteer with the Fire Department for over 14 years.</w:t>
      </w:r>
    </w:p>
    <w:p w14:paraId="4151685B" w14:textId="77777777" w:rsidR="00215605" w:rsidRDefault="00215605" w:rsidP="00215605">
      <w:pPr>
        <w:ind w:firstLine="720"/>
      </w:pPr>
      <w:r>
        <w:t>***</w:t>
      </w:r>
    </w:p>
    <w:p w14:paraId="6B1D44E5" w14:textId="77777777" w:rsidR="00215605" w:rsidRPr="00B73F86" w:rsidRDefault="00215605" w:rsidP="00215605">
      <w:pPr>
        <w:ind w:left="720"/>
      </w:pPr>
      <w:r w:rsidRPr="00B73F86">
        <w:t xml:space="preserve">After the text exchange outlined above, Plaintiff was notified by letter that Fire Department leadership received a formal complaint, alleging a violation of the sexual harassment and conduct policies. The letter notified </w:t>
      </w:r>
      <w:proofErr w:type="gramStart"/>
      <w:r w:rsidRPr="00B73F86">
        <w:t>Plaintiff</w:t>
      </w:r>
      <w:proofErr w:type="gramEnd"/>
      <w:r w:rsidRPr="00B73F86">
        <w:t xml:space="preserve"> an investigation had been initiated. He was suspended. He was instructed not to have contact with the Fire Department while the investigation was pending. The letter from leadership did not specify the conduct at issue. </w:t>
      </w:r>
    </w:p>
    <w:p w14:paraId="5CE8FD3A" w14:textId="77777777" w:rsidR="00215605" w:rsidRDefault="00215605" w:rsidP="00215605">
      <w:pPr>
        <w:ind w:left="720"/>
      </w:pPr>
      <w:r w:rsidRPr="00B73F86">
        <w:t xml:space="preserve">The same day, Plaintiff replied via email. Within, he provided the factual background for the incident outlined above and attached to the Complaint. Specifically, the email advised Plaintiff engaged a female colleague in a text exchange wherein he stated he had </w:t>
      </w:r>
      <w:r>
        <w:t>‘</w:t>
      </w:r>
      <w:r w:rsidRPr="00B73F86">
        <w:t>a funny thing to share, but don't get mad or something like that.</w:t>
      </w:r>
      <w:r>
        <w:t>’</w:t>
      </w:r>
      <w:r w:rsidRPr="00B73F86">
        <w:t xml:space="preserve"> This responsive email from Plaintiff went on to describe his next text to his female colleague as, </w:t>
      </w:r>
      <w:r>
        <w:t>‘</w:t>
      </w:r>
      <w:r w:rsidRPr="00B73F86">
        <w:t>I said it was funny when I was coming into the meeting hall, and everyone was there she was reaching over the table to Andrew, and I said it was funny because I had a mental thought of slapping her on the butt.</w:t>
      </w:r>
      <w:r>
        <w:t>’</w:t>
      </w:r>
      <w:r w:rsidRPr="00B73F86">
        <w:t xml:space="preserve"> This email from Plaintiff described the exchange as </w:t>
      </w:r>
      <w:r>
        <w:t>‘</w:t>
      </w:r>
      <w:r w:rsidRPr="00B73F86">
        <w:t>common silly banter.</w:t>
      </w:r>
      <w:r>
        <w:t>’</w:t>
      </w:r>
      <w:r w:rsidRPr="00B73F86">
        <w:t xml:space="preserve"> Plaintiff stated he </w:t>
      </w:r>
      <w:r>
        <w:t>‘</w:t>
      </w:r>
      <w:r w:rsidRPr="00B73F86">
        <w:t>will take 100% responsibility for my comment</w:t>
      </w:r>
      <w:r>
        <w:t>.’”</w:t>
      </w:r>
    </w:p>
    <w:p w14:paraId="7147739B" w14:textId="77777777" w:rsidR="00215605" w:rsidRDefault="00215605" w:rsidP="00215605">
      <w:pPr>
        <w:rPr>
          <w:b/>
          <w:bCs/>
        </w:rPr>
      </w:pPr>
      <w:r>
        <w:rPr>
          <w:b/>
        </w:rPr>
        <w:t xml:space="preserve">Legal lesson learned: Sexual comments are not “common silly banter.”  </w:t>
      </w:r>
    </w:p>
    <w:p w14:paraId="7662B279" w14:textId="77777777" w:rsidR="00215605" w:rsidRDefault="00215605" w:rsidP="00292E1C">
      <w:pPr>
        <w:pStyle w:val="NoSpacing"/>
        <w:rPr>
          <w:rFonts w:ascii="Arial Black" w:hAnsi="Arial Black"/>
          <w:sz w:val="28"/>
          <w:szCs w:val="28"/>
        </w:rPr>
      </w:pPr>
    </w:p>
    <w:p w14:paraId="5176852C" w14:textId="77777777" w:rsidR="00215605" w:rsidRDefault="00215605" w:rsidP="00292E1C">
      <w:pPr>
        <w:pStyle w:val="NoSpacing"/>
        <w:rPr>
          <w:rFonts w:ascii="Arial Black" w:hAnsi="Arial Black"/>
          <w:sz w:val="28"/>
          <w:szCs w:val="28"/>
        </w:rPr>
      </w:pPr>
    </w:p>
    <w:p w14:paraId="059B0652" w14:textId="335D0A1D" w:rsidR="00215605" w:rsidRDefault="00215605" w:rsidP="00292E1C">
      <w:pPr>
        <w:pStyle w:val="NoSpacing"/>
        <w:rPr>
          <w:rFonts w:ascii="Arial Black" w:hAnsi="Arial Black"/>
          <w:sz w:val="28"/>
          <w:szCs w:val="28"/>
        </w:rPr>
      </w:pPr>
      <w:r>
        <w:rPr>
          <w:rFonts w:ascii="Arial Black" w:hAnsi="Arial Black"/>
          <w:sz w:val="28"/>
          <w:szCs w:val="28"/>
        </w:rPr>
        <w:t>7-84</w:t>
      </w:r>
    </w:p>
    <w:p w14:paraId="318D1917" w14:textId="77777777" w:rsidR="00BC64C2" w:rsidRDefault="00BC64C2" w:rsidP="00292E1C">
      <w:pPr>
        <w:pStyle w:val="NoSpacing"/>
        <w:rPr>
          <w:rFonts w:ascii="Arial Black" w:hAnsi="Arial Black"/>
          <w:sz w:val="28"/>
          <w:szCs w:val="28"/>
        </w:rPr>
      </w:pPr>
    </w:p>
    <w:p w14:paraId="53B4D2D7" w14:textId="6AAD6556" w:rsidR="00BC64C2" w:rsidRPr="00D2161F" w:rsidRDefault="00BC64C2" w:rsidP="00BC64C2">
      <w:pPr>
        <w:pStyle w:val="NoSpacing"/>
        <w:rPr>
          <w:rFonts w:ascii="Arial Black" w:hAnsi="Arial Black"/>
          <w:sz w:val="28"/>
          <w:szCs w:val="28"/>
        </w:rPr>
      </w:pPr>
      <w:r>
        <w:rPr>
          <w:rFonts w:ascii="Arial Black" w:hAnsi="Arial Black"/>
          <w:sz w:val="28"/>
          <w:szCs w:val="28"/>
        </w:rPr>
        <w:t xml:space="preserve">TX: CHIEF 30 DAY SUSP – FEMALE B/C &amp; CAPT FIRED </w:t>
      </w:r>
    </w:p>
    <w:p w14:paraId="5B0956C6" w14:textId="77777777" w:rsidR="00BC64C2" w:rsidRDefault="00BC64C2" w:rsidP="00BC64C2">
      <w:pPr>
        <w:pStyle w:val="NoSpacing"/>
      </w:pPr>
    </w:p>
    <w:p w14:paraId="1052CD83" w14:textId="77777777" w:rsidR="00BC64C2" w:rsidRDefault="00BC64C2" w:rsidP="00BC64C2">
      <w:pPr>
        <w:pStyle w:val="NoSpacing"/>
      </w:pPr>
      <w:r>
        <w:t xml:space="preserve">On October 29, 2025, in </w:t>
      </w:r>
      <w:r w:rsidRPr="000D00D9">
        <w:rPr>
          <w:u w:val="single"/>
        </w:rPr>
        <w:t>Brittany Garner and David Daigle v. Travis County Emergency Services District No</w:t>
      </w:r>
      <w:r>
        <w:rPr>
          <w:u w:val="single"/>
        </w:rPr>
        <w:t>.</w:t>
      </w:r>
      <w:r w:rsidRPr="000D00D9">
        <w:rPr>
          <w:u w:val="single"/>
        </w:rPr>
        <w:t xml:space="preserve"> 1</w:t>
      </w:r>
      <w:r>
        <w:t xml:space="preserve">, U.S. District Court Judge Robert Pitman, </w:t>
      </w:r>
      <w:r w:rsidRPr="00234FD9">
        <w:t xml:space="preserve">United States District Court, </w:t>
      </w:r>
      <w:r>
        <w:t xml:space="preserve">Western District, </w:t>
      </w:r>
      <w:r w:rsidRPr="00234FD9">
        <w:t>Austin Division</w:t>
      </w:r>
      <w:r>
        <w:t xml:space="preserve">, held that Battalion Chief Brittany Garner (fired Dec. 23, 2023), and Captain David Daigle (fired Dec. 15, 2023) may proceed together in a joint trial for alleged retaliation.  The Fire Chief was suspended for one month in May 2023 after Brittany Garner made allegations sexual harassment by the Chief. She </w:t>
      </w:r>
      <w:r w:rsidRPr="00BE05C9">
        <w:t>is the only woman in upper management within TCESD1, and her EEOC charge alleges that Chief Norman criticized her for “mothering” her crew.</w:t>
      </w:r>
      <w:r>
        <w:t xml:space="preserve"> David made other complaints about the Fire Chief.  THE COURT WROTE: “</w:t>
      </w:r>
      <w:r w:rsidRPr="00B73C81">
        <w:t>Plaintiffs plead that they worked for the same entity at the same location, worked under the same chief, both reported th</w:t>
      </w:r>
      <w:r>
        <w:t>e</w:t>
      </w:r>
      <w:r w:rsidRPr="00B73C81">
        <w:t xml:space="preserve"> chief for sexual harassment, were both terminated within one week of each other in December 2023, and were terminated based upon fabricated allegations without the opportunity to meaningfully defend themselves</w:t>
      </w:r>
      <w:r>
        <w:t xml:space="preserve">. </w:t>
      </w:r>
      <w:r w:rsidRPr="005E3A18">
        <w:t xml:space="preserve">Their retaliation claims are therefore logically related and do arise out of the same series of transactions or </w:t>
      </w:r>
      <w:proofErr w:type="gramStart"/>
      <w:r w:rsidRPr="005E3A18">
        <w:t>occurrences</w:t>
      </w:r>
      <w:r>
        <w:t>.”</w:t>
      </w:r>
      <w:proofErr w:type="gramEnd"/>
      <w:r>
        <w:t xml:space="preserve"> </w:t>
      </w:r>
    </w:p>
    <w:p w14:paraId="53A2DD6D" w14:textId="77777777" w:rsidR="00BC64C2" w:rsidRDefault="00BC64C2" w:rsidP="00BC64C2">
      <w:pPr>
        <w:pStyle w:val="NoSpacing"/>
      </w:pPr>
    </w:p>
    <w:p w14:paraId="2A157956" w14:textId="77777777" w:rsidR="00BC64C2" w:rsidRDefault="00BC64C2" w:rsidP="00BC64C2">
      <w:pPr>
        <w:pStyle w:val="NoSpacing"/>
      </w:pPr>
      <w:r>
        <w:t>THE COURT HELD:</w:t>
      </w:r>
    </w:p>
    <w:p w14:paraId="14DCB0CF" w14:textId="77777777" w:rsidR="00BC64C2" w:rsidRDefault="00BC64C2" w:rsidP="00BC64C2">
      <w:pPr>
        <w:pStyle w:val="NoSpacing"/>
        <w:ind w:left="720"/>
      </w:pPr>
    </w:p>
    <w:p w14:paraId="7177C37F" w14:textId="77777777" w:rsidR="00BC64C2" w:rsidRDefault="00BC64C2" w:rsidP="00BC64C2">
      <w:pPr>
        <w:pStyle w:val="NoSpacing"/>
        <w:ind w:left="720"/>
      </w:pPr>
      <w:r>
        <w:t>“</w:t>
      </w:r>
      <w:r w:rsidRPr="00D55493">
        <w:t>Garner was employed as a Battalion Chief; she alleges that she was the highest-ranking woman within TCESD1 and the only woman in upper management</w:t>
      </w:r>
      <w:r>
        <w:t xml:space="preserve">…. </w:t>
      </w:r>
      <w:r w:rsidRPr="00D55493">
        <w:t>Daigle was employed as a Captain</w:t>
      </w:r>
      <w:r>
        <w:t xml:space="preserve">…. </w:t>
      </w:r>
      <w:r w:rsidRPr="00D55493">
        <w:t>Both had worked at TCESD1 since 2008.</w:t>
      </w:r>
    </w:p>
    <w:p w14:paraId="1A93D839" w14:textId="77777777" w:rsidR="00BC64C2" w:rsidRDefault="00BC64C2" w:rsidP="00BC64C2">
      <w:pPr>
        <w:pStyle w:val="NoSpacing"/>
        <w:ind w:left="720"/>
      </w:pPr>
    </w:p>
    <w:p w14:paraId="34DACA90" w14:textId="77777777" w:rsidR="00BC64C2" w:rsidRDefault="00BC64C2" w:rsidP="00BC64C2">
      <w:pPr>
        <w:pStyle w:val="NoSpacing"/>
        <w:ind w:left="720"/>
      </w:pPr>
      <w:r>
        <w:t>***</w:t>
      </w:r>
    </w:p>
    <w:p w14:paraId="4899D792" w14:textId="77777777" w:rsidR="00BC64C2" w:rsidRDefault="00BC64C2" w:rsidP="00BC64C2">
      <w:pPr>
        <w:pStyle w:val="NoSpacing"/>
        <w:ind w:left="720"/>
      </w:pPr>
      <w:r w:rsidRPr="00CD35A3">
        <w:t xml:space="preserve">The timeline of Garner's protected activities and the alleged adverse actions taken against  harassment and gender discrimination in February 2023; (2) she subsequently repeated these complaints to Borchardt, who was </w:t>
      </w:r>
      <w:r>
        <w:t>‘</w:t>
      </w:r>
      <w:r w:rsidRPr="00CD35A3">
        <w:t>a friend</w:t>
      </w:r>
      <w:r>
        <w:t>’</w:t>
      </w:r>
      <w:r w:rsidRPr="00CD35A3">
        <w:t xml:space="preserve"> of Chief Norman's and </w:t>
      </w:r>
      <w:r>
        <w:t>‘</w:t>
      </w:r>
      <w:r w:rsidRPr="00CD35A3">
        <w:t>re-surveyed</w:t>
      </w:r>
      <w:r>
        <w:t>’</w:t>
      </w:r>
      <w:r w:rsidRPr="00CD35A3">
        <w:t xml:space="preserve"> the TCESD1 employees in approximately April 2023; (3) in May 2023, which was approximately one month after she made complaints to Borchardt, Chief Norman </w:t>
      </w:r>
      <w:r>
        <w:t>‘</w:t>
      </w:r>
      <w:r w:rsidRPr="00CD35A3">
        <w:t>blamed</w:t>
      </w:r>
      <w:r>
        <w:t>’</w:t>
      </w:r>
      <w:r w:rsidRPr="00CD35A3">
        <w:t xml:space="preserve"> schedule changes on Garner, such that she was </w:t>
      </w:r>
      <w:r>
        <w:t>‘</w:t>
      </w:r>
      <w:r w:rsidRPr="00CD35A3">
        <w:t>ostracized . . . by the other male officers and firefighters,</w:t>
      </w:r>
      <w:r>
        <w:t>’</w:t>
      </w:r>
      <w:r w:rsidRPr="00CD35A3">
        <w:t xml:space="preserve"> and Chief Norman allegedly asked one of Garner's subordinates to report to him any information he could use to justify terminating Garner; (4) on October 4, 2023, Garner was placed on leave pending an investigation into her conversation with FF Colunga; (5) on October 26, 2023, Garner filed a written complaint of retaliation against ESD1 and Chief Norman; and (6) on December 23, 2023, Garner was terminated.</w:t>
      </w:r>
    </w:p>
    <w:p w14:paraId="50EFCD09" w14:textId="77777777" w:rsidR="00BC64C2" w:rsidRDefault="00BC64C2" w:rsidP="00BC64C2">
      <w:pPr>
        <w:pStyle w:val="NoSpacing"/>
        <w:ind w:left="720"/>
      </w:pPr>
    </w:p>
    <w:p w14:paraId="1A99B9AC" w14:textId="77777777" w:rsidR="00BC64C2" w:rsidRDefault="00BC64C2" w:rsidP="00BC64C2">
      <w:pPr>
        <w:pStyle w:val="NoSpacing"/>
        <w:ind w:left="720"/>
      </w:pPr>
      <w:r>
        <w:t>***</w:t>
      </w:r>
      <w:r w:rsidRPr="00CD35A3">
        <w:t xml:space="preserve"> </w:t>
      </w:r>
    </w:p>
    <w:p w14:paraId="1674C870" w14:textId="77777777" w:rsidR="00BC64C2" w:rsidRDefault="00BC64C2" w:rsidP="00BC64C2">
      <w:pPr>
        <w:pStyle w:val="NoSpacing"/>
      </w:pPr>
    </w:p>
    <w:p w14:paraId="193A3912" w14:textId="77777777" w:rsidR="00BC64C2" w:rsidRDefault="00BC64C2" w:rsidP="00BC64C2">
      <w:pPr>
        <w:pStyle w:val="NoSpacing"/>
        <w:ind w:left="720"/>
      </w:pPr>
      <w:r w:rsidRPr="00D73FD2">
        <w:t>Finally, many of the same witnesses would be expected to testify regarding each Plaintiffs' claims, and it would be burdensome for those witnesses to be required to testify on a similar issue- retaliation at TCESD1 for reporting sexual harassment-twice. This factor therefore weighs against severance. For the reasons stated above, the Court finds that Plaintiffs' claims should not be severed.</w:t>
      </w:r>
      <w:r>
        <w:t>”</w:t>
      </w:r>
    </w:p>
    <w:p w14:paraId="69AC2CD8" w14:textId="77777777" w:rsidR="00BC64C2" w:rsidRDefault="00BC64C2" w:rsidP="00BC64C2">
      <w:pPr>
        <w:pStyle w:val="NoSpacing"/>
        <w:ind w:left="720"/>
      </w:pPr>
    </w:p>
    <w:p w14:paraId="0D415B59" w14:textId="77777777" w:rsidR="00BC64C2" w:rsidRPr="00CD35A3" w:rsidRDefault="00BC64C2" w:rsidP="00BC64C2">
      <w:pPr>
        <w:pStyle w:val="NoSpacing"/>
        <w:rPr>
          <w:b/>
          <w:bCs/>
        </w:rPr>
      </w:pPr>
      <w:r>
        <w:rPr>
          <w:b/>
        </w:rPr>
        <w:t xml:space="preserve">Legal lesson learned: Case will now proceed to trial with both plaintiffs. </w:t>
      </w:r>
    </w:p>
    <w:p w14:paraId="1243F258" w14:textId="77777777" w:rsidR="00BC64C2" w:rsidRDefault="00BC64C2" w:rsidP="00292E1C">
      <w:pPr>
        <w:pStyle w:val="NoSpacing"/>
        <w:rPr>
          <w:rFonts w:ascii="Arial Black" w:hAnsi="Arial Black"/>
          <w:sz w:val="28"/>
          <w:szCs w:val="28"/>
        </w:rPr>
      </w:pPr>
    </w:p>
    <w:p w14:paraId="7AE79801" w14:textId="77777777" w:rsidR="00215605" w:rsidRDefault="00215605" w:rsidP="00292E1C">
      <w:pPr>
        <w:pStyle w:val="NoSpacing"/>
        <w:rPr>
          <w:rFonts w:ascii="Arial Black" w:hAnsi="Arial Black"/>
          <w:sz w:val="28"/>
          <w:szCs w:val="28"/>
        </w:rPr>
      </w:pPr>
    </w:p>
    <w:p w14:paraId="22FB1715" w14:textId="274E1E27" w:rsidR="007774D2" w:rsidRDefault="007774D2" w:rsidP="00292E1C">
      <w:pPr>
        <w:pStyle w:val="NoSpacing"/>
        <w:rPr>
          <w:rFonts w:ascii="Arial Black" w:hAnsi="Arial Black"/>
          <w:sz w:val="28"/>
          <w:szCs w:val="28"/>
        </w:rPr>
      </w:pPr>
      <w:r>
        <w:rPr>
          <w:rFonts w:ascii="Arial Black" w:hAnsi="Arial Black"/>
          <w:sz w:val="28"/>
          <w:szCs w:val="28"/>
        </w:rPr>
        <w:t>7-83</w:t>
      </w:r>
    </w:p>
    <w:p w14:paraId="4C0B4FCA" w14:textId="77777777" w:rsidR="009D5C36" w:rsidRDefault="009D5C36" w:rsidP="00292E1C">
      <w:pPr>
        <w:pStyle w:val="NoSpacing"/>
        <w:rPr>
          <w:rFonts w:ascii="Arial Black" w:hAnsi="Arial Black"/>
          <w:sz w:val="28"/>
          <w:szCs w:val="28"/>
        </w:rPr>
      </w:pPr>
    </w:p>
    <w:p w14:paraId="0FA5AE58" w14:textId="3B2221E3" w:rsidR="009D5C36" w:rsidRDefault="009D5C36" w:rsidP="009D5C36">
      <w:pPr>
        <w:pStyle w:val="NoSpacing"/>
        <w:rPr>
          <w:rFonts w:ascii="Arial Black" w:hAnsi="Arial Black"/>
          <w:sz w:val="28"/>
          <w:szCs w:val="28"/>
        </w:rPr>
      </w:pPr>
      <w:r w:rsidRPr="00ED6A85">
        <w:rPr>
          <w:rFonts w:ascii="Arial Black" w:hAnsi="Arial Black"/>
          <w:sz w:val="28"/>
          <w:szCs w:val="28"/>
        </w:rPr>
        <w:t xml:space="preserve">MT: </w:t>
      </w:r>
      <w:r>
        <w:rPr>
          <w:rFonts w:ascii="Arial Black" w:hAnsi="Arial Black"/>
          <w:sz w:val="28"/>
          <w:szCs w:val="28"/>
        </w:rPr>
        <w:t xml:space="preserve">EMT - NO RETALIATION </w:t>
      </w:r>
      <w:r w:rsidR="00CD4C27">
        <w:rPr>
          <w:rFonts w:ascii="Arial Black" w:hAnsi="Arial Black"/>
          <w:sz w:val="28"/>
          <w:szCs w:val="28"/>
        </w:rPr>
        <w:t>–</w:t>
      </w:r>
      <w:r>
        <w:rPr>
          <w:rFonts w:ascii="Arial Black" w:hAnsi="Arial Black"/>
          <w:sz w:val="28"/>
          <w:szCs w:val="28"/>
        </w:rPr>
        <w:t xml:space="preserve"> </w:t>
      </w:r>
      <w:r w:rsidR="00CD4C27">
        <w:rPr>
          <w:rFonts w:ascii="Arial Black" w:hAnsi="Arial Black"/>
          <w:sz w:val="28"/>
          <w:szCs w:val="28"/>
        </w:rPr>
        <w:t xml:space="preserve">DEPT. </w:t>
      </w:r>
      <w:r>
        <w:rPr>
          <w:rFonts w:ascii="Arial Black" w:hAnsi="Arial Black"/>
          <w:sz w:val="28"/>
          <w:szCs w:val="28"/>
        </w:rPr>
        <w:t>NARCAN TRAINING BY MD</w:t>
      </w:r>
    </w:p>
    <w:p w14:paraId="1CEC0E7B" w14:textId="77777777" w:rsidR="00AF2FA3" w:rsidRDefault="00AF2FA3" w:rsidP="009D5C36">
      <w:pPr>
        <w:pStyle w:val="NoSpacing"/>
      </w:pPr>
    </w:p>
    <w:p w14:paraId="386C9475" w14:textId="69C09A4B" w:rsidR="009D5C36" w:rsidRDefault="009D5C36" w:rsidP="009D5C36">
      <w:pPr>
        <w:pStyle w:val="NoSpacing"/>
        <w:rPr>
          <w:b/>
        </w:rPr>
      </w:pPr>
      <w:r>
        <w:t xml:space="preserve">On Oct. 7, 2025, in </w:t>
      </w:r>
      <w:r w:rsidRPr="00A50E57">
        <w:rPr>
          <w:u w:val="single"/>
        </w:rPr>
        <w:t>Daniela Vaccaro v. Three Forks Area Ambulance Service</w:t>
      </w:r>
      <w:r>
        <w:t xml:space="preserve">, the Supreme Court of Montana held (5 to 0; unpublished opinion) that District Court judge properly affirmed the Human Rights Commission investigators findings of no retaliation with her two complaints of retaliation.   The Plaintiff became a volunteer EMT in Feb. 2021, but was terminated in </w:t>
      </w:r>
      <w:proofErr w:type="gramStart"/>
      <w:r>
        <w:t>June,</w:t>
      </w:r>
      <w:proofErr w:type="gramEnd"/>
      <w:r>
        <w:t xml:space="preserve"> 2021 (court did not describe reason).  She filed a claim of “</w:t>
      </w:r>
      <w:r w:rsidRPr="00853552">
        <w:t>marital status discriminatio</w:t>
      </w:r>
      <w:r>
        <w:t xml:space="preserve">n” (her husband is on 5-member Board) with the Human Rights Commission and the Ambulance Service agreed to a “no fault” settlement and returned her to duty.  In the first Board meeting upon her return, she offered to teach a Narcan class, but instead the Board retained services of a well-known physician.  She filed a complaint of retaliation with the Commission.  When she returned from vacation, she was asked to pass a skills test on Narcan and filed another complaint with the Commission. </w:t>
      </w:r>
      <w:hyperlink r:id="rId1375" w:history="1">
        <w:r w:rsidRPr="006D5F93">
          <w:rPr>
            <w:rStyle w:val="Hyperlink"/>
            <w:b/>
          </w:rPr>
          <w:t>https://cases.justia.com/montana/supreme-court/2025-da-24-0672.pdf?ts=1759872027</w:t>
        </w:r>
      </w:hyperlink>
      <w:r>
        <w:rPr>
          <w:b/>
        </w:rPr>
        <w:t xml:space="preserve"> </w:t>
      </w:r>
    </w:p>
    <w:p w14:paraId="388818EE" w14:textId="77777777" w:rsidR="009D5C36" w:rsidRDefault="009D5C36" w:rsidP="009D5C36">
      <w:pPr>
        <w:pStyle w:val="NoSpacing"/>
        <w:rPr>
          <w:bCs/>
        </w:rPr>
      </w:pPr>
    </w:p>
    <w:p w14:paraId="583146CA" w14:textId="77777777" w:rsidR="009D5C36" w:rsidRDefault="009D5C36" w:rsidP="009D5C36">
      <w:pPr>
        <w:pStyle w:val="NoSpacing"/>
        <w:rPr>
          <w:bCs/>
        </w:rPr>
      </w:pPr>
      <w:r>
        <w:t>THE COURT HELD:</w:t>
      </w:r>
    </w:p>
    <w:p w14:paraId="75759589" w14:textId="77777777" w:rsidR="009D5C36" w:rsidRDefault="009D5C36" w:rsidP="009D5C36">
      <w:pPr>
        <w:pStyle w:val="NoSpacing"/>
        <w:rPr>
          <w:bCs/>
        </w:rPr>
      </w:pPr>
    </w:p>
    <w:p w14:paraId="3AF6A706" w14:textId="77777777" w:rsidR="009D5C36" w:rsidRPr="0044125F" w:rsidRDefault="009D5C36" w:rsidP="009D5C36">
      <w:pPr>
        <w:pStyle w:val="NoSpacing"/>
        <w:rPr>
          <w:bCs/>
        </w:rPr>
      </w:pPr>
      <w:r>
        <w:tab/>
        <w:t>“</w:t>
      </w:r>
      <w:r w:rsidRPr="0044125F">
        <w:t>Upon review of the administrative record, we agree with the District Court that the</w:t>
      </w:r>
    </w:p>
    <w:p w14:paraId="23726D91" w14:textId="77777777" w:rsidR="009D5C36" w:rsidRPr="0044125F" w:rsidRDefault="009D5C36" w:rsidP="009D5C36">
      <w:pPr>
        <w:pStyle w:val="NoSpacing"/>
        <w:ind w:firstLine="720"/>
        <w:rPr>
          <w:bCs/>
        </w:rPr>
      </w:pPr>
      <w:r w:rsidRPr="0044125F">
        <w:t>investigations into Vaccaro’s complaints were comprehensively conducted, an apparent</w:t>
      </w:r>
    </w:p>
    <w:p w14:paraId="77E22C17" w14:textId="77777777" w:rsidR="009D5C36" w:rsidRDefault="009D5C36" w:rsidP="009D5C36">
      <w:pPr>
        <w:pStyle w:val="NoSpacing"/>
        <w:ind w:firstLine="720"/>
        <w:rPr>
          <w:bCs/>
        </w:rPr>
      </w:pPr>
      <w:r w:rsidRPr="0044125F">
        <w:t>effort to leave no stone unturned to review her allegations.</w:t>
      </w:r>
    </w:p>
    <w:p w14:paraId="3AC25515" w14:textId="77777777" w:rsidR="009D5C36" w:rsidRDefault="009D5C36" w:rsidP="009D5C36">
      <w:pPr>
        <w:pStyle w:val="NoSpacing"/>
        <w:ind w:firstLine="720"/>
        <w:rPr>
          <w:bCs/>
        </w:rPr>
      </w:pPr>
    </w:p>
    <w:p w14:paraId="4C46E1AB" w14:textId="77777777" w:rsidR="009D5C36" w:rsidRDefault="009D5C36" w:rsidP="009D5C36">
      <w:pPr>
        <w:pStyle w:val="NoSpacing"/>
        <w:ind w:firstLine="720"/>
        <w:rPr>
          <w:bCs/>
        </w:rPr>
      </w:pPr>
      <w:r>
        <w:t>***</w:t>
      </w:r>
    </w:p>
    <w:p w14:paraId="564C2B32" w14:textId="77777777" w:rsidR="009D5C36" w:rsidRDefault="009D5C36" w:rsidP="009D5C36">
      <w:pPr>
        <w:pStyle w:val="NoSpacing"/>
        <w:ind w:firstLine="720"/>
        <w:rPr>
          <w:bCs/>
        </w:rPr>
      </w:pPr>
    </w:p>
    <w:p w14:paraId="43220158" w14:textId="77777777" w:rsidR="009D5C36" w:rsidRDefault="009D5C36" w:rsidP="009D5C36">
      <w:pPr>
        <w:pStyle w:val="NoSpacing"/>
        <w:ind w:left="720"/>
        <w:rPr>
          <w:bCs/>
        </w:rPr>
      </w:pPr>
      <w:r>
        <w:t>T</w:t>
      </w:r>
      <w:r w:rsidRPr="00915E7C">
        <w:t>urning to the evidence, the</w:t>
      </w:r>
      <w:r>
        <w:t xml:space="preserve"> </w:t>
      </w:r>
      <w:r w:rsidRPr="00915E7C">
        <w:t>investigator found that, although a formal process was not conducted for selection of a</w:t>
      </w:r>
      <w:r>
        <w:t xml:space="preserve"> </w:t>
      </w:r>
      <w:r w:rsidRPr="001B63BA">
        <w:t xml:space="preserve">trainer, the evidence showed that </w:t>
      </w:r>
      <w:r>
        <w:t>‘</w:t>
      </w:r>
      <w:r w:rsidRPr="001B63BA">
        <w:t>Dr. Andrews, a trainer well known to TFAAS, offered</w:t>
      </w:r>
      <w:r>
        <w:t xml:space="preserve"> </w:t>
      </w:r>
      <w:r w:rsidRPr="001B63BA">
        <w:t>extensive medical experience and hands on administration of Narcan in emergencies. In</w:t>
      </w:r>
      <w:r>
        <w:t xml:space="preserve"> </w:t>
      </w:r>
      <w:r w:rsidRPr="001B63BA">
        <w:t>contrast, Vaccaro offered limited EMT experience and no experience administering Narcan</w:t>
      </w:r>
      <w:r>
        <w:t xml:space="preserve"> </w:t>
      </w:r>
      <w:r w:rsidRPr="001B63BA">
        <w:t>outside of a classroom setting.</w:t>
      </w:r>
      <w:r>
        <w:t>’</w:t>
      </w:r>
    </w:p>
    <w:p w14:paraId="0A9A6131" w14:textId="77777777" w:rsidR="009D5C36" w:rsidRDefault="009D5C36" w:rsidP="009D5C36">
      <w:pPr>
        <w:pStyle w:val="NoSpacing"/>
        <w:ind w:left="720"/>
        <w:rPr>
          <w:bCs/>
        </w:rPr>
      </w:pPr>
    </w:p>
    <w:p w14:paraId="5F8F4E92" w14:textId="77777777" w:rsidR="009D5C36" w:rsidRDefault="009D5C36" w:rsidP="009D5C36">
      <w:pPr>
        <w:pStyle w:val="NoSpacing"/>
        <w:ind w:left="720"/>
        <w:rPr>
          <w:bCs/>
        </w:rPr>
      </w:pPr>
      <w:r>
        <w:t>***</w:t>
      </w:r>
    </w:p>
    <w:p w14:paraId="17C6129B" w14:textId="77777777" w:rsidR="009D5C36" w:rsidRDefault="009D5C36" w:rsidP="009D5C36">
      <w:pPr>
        <w:pStyle w:val="NoSpacing"/>
        <w:ind w:left="720"/>
        <w:rPr>
          <w:bCs/>
        </w:rPr>
      </w:pPr>
      <w:r w:rsidRPr="005363C9">
        <w:t>Shortly thereafter, Vaccaro filed the second discrimination by retaliation claim</w:t>
      </w:r>
      <w:r>
        <w:t xml:space="preserve"> [</w:t>
      </w:r>
      <w:proofErr w:type="gramStart"/>
      <w:r>
        <w:t>July,</w:t>
      </w:r>
      <w:proofErr w:type="gramEnd"/>
      <w:r>
        <w:t xml:space="preserve"> 2022]</w:t>
      </w:r>
      <w:r w:rsidRPr="005363C9">
        <w:t>,</w:t>
      </w:r>
      <w:r>
        <w:t xml:space="preserve"> </w:t>
      </w:r>
      <w:r w:rsidRPr="005363C9">
        <w:t>which was given claim number HRB Case No. 0230107 and assigned to a different</w:t>
      </w:r>
      <w:r>
        <w:t xml:space="preserve"> </w:t>
      </w:r>
      <w:r w:rsidRPr="005363C9">
        <w:t>investigator. Vaccaro alleged that the Board had required her to complete a skills test</w:t>
      </w:r>
      <w:r>
        <w:t xml:space="preserve"> [August 2022]… </w:t>
      </w:r>
      <w:r w:rsidRPr="007E487B">
        <w:t>Assessing the evidence,</w:t>
      </w:r>
      <w:r>
        <w:t xml:space="preserve"> </w:t>
      </w:r>
      <w:r w:rsidRPr="007E487B">
        <w:t>the investigator found that Vaccaro was not the only EMT who was asked to perform a</w:t>
      </w:r>
      <w:r>
        <w:t xml:space="preserve"> </w:t>
      </w:r>
      <w:r w:rsidRPr="007E487B">
        <w:t>skills test for administration of Narcan, and that other EMTs had completed the test.</w:t>
      </w:r>
      <w:r>
        <w:t>”</w:t>
      </w:r>
    </w:p>
    <w:p w14:paraId="24C47670" w14:textId="77777777" w:rsidR="009D5C36" w:rsidRDefault="009D5C36" w:rsidP="009D5C36">
      <w:pPr>
        <w:pStyle w:val="NoSpacing"/>
        <w:ind w:left="720"/>
        <w:rPr>
          <w:bCs/>
        </w:rPr>
      </w:pPr>
    </w:p>
    <w:p w14:paraId="20006E06" w14:textId="74E0775E" w:rsidR="009D5C36" w:rsidRPr="007E487B" w:rsidRDefault="009D5C36" w:rsidP="009D5C36">
      <w:pPr>
        <w:pStyle w:val="NoSpacing"/>
        <w:rPr>
          <w:b/>
        </w:rPr>
      </w:pPr>
      <w:r>
        <w:rPr>
          <w:b/>
        </w:rPr>
        <w:t xml:space="preserve">Lesson learned:  The Ambulance company provided HR Commission investigators with legitimate business reasons for its decisions. </w:t>
      </w:r>
    </w:p>
    <w:p w14:paraId="4B898CA8" w14:textId="77777777" w:rsidR="009D5C36" w:rsidRDefault="009D5C36" w:rsidP="009D5C36">
      <w:pPr>
        <w:pStyle w:val="NoSpacing"/>
        <w:rPr>
          <w:bCs/>
        </w:rPr>
      </w:pPr>
    </w:p>
    <w:p w14:paraId="5DBBFB54" w14:textId="77777777" w:rsidR="009D5C36" w:rsidRDefault="009D5C36" w:rsidP="00292E1C">
      <w:pPr>
        <w:pStyle w:val="NoSpacing"/>
        <w:rPr>
          <w:rFonts w:ascii="Arial Black" w:hAnsi="Arial Black"/>
          <w:sz w:val="28"/>
          <w:szCs w:val="28"/>
        </w:rPr>
      </w:pPr>
    </w:p>
    <w:p w14:paraId="4A48600F" w14:textId="77777777" w:rsidR="007774D2" w:rsidRDefault="007774D2" w:rsidP="00292E1C">
      <w:pPr>
        <w:pStyle w:val="NoSpacing"/>
        <w:rPr>
          <w:rFonts w:ascii="Arial Black" w:hAnsi="Arial Black"/>
          <w:sz w:val="28"/>
          <w:szCs w:val="28"/>
        </w:rPr>
      </w:pPr>
    </w:p>
    <w:p w14:paraId="0DE0CA5C" w14:textId="77777777" w:rsidR="007774D2" w:rsidRDefault="007774D2" w:rsidP="00292E1C">
      <w:pPr>
        <w:pStyle w:val="NoSpacing"/>
        <w:rPr>
          <w:rFonts w:ascii="Arial Black" w:hAnsi="Arial Black"/>
          <w:sz w:val="28"/>
          <w:szCs w:val="28"/>
        </w:rPr>
      </w:pPr>
    </w:p>
    <w:p w14:paraId="77AAB3B3" w14:textId="5599F1DF" w:rsidR="001567BB" w:rsidRDefault="001567BB" w:rsidP="00292E1C">
      <w:pPr>
        <w:pStyle w:val="NoSpacing"/>
        <w:rPr>
          <w:rFonts w:ascii="Arial Black" w:hAnsi="Arial Black"/>
          <w:sz w:val="28"/>
          <w:szCs w:val="28"/>
        </w:rPr>
      </w:pPr>
      <w:r>
        <w:rPr>
          <w:rFonts w:ascii="Arial Black" w:hAnsi="Arial Black"/>
          <w:sz w:val="28"/>
          <w:szCs w:val="28"/>
        </w:rPr>
        <w:t>7</w:t>
      </w:r>
      <w:r w:rsidR="00283EDF">
        <w:rPr>
          <w:rFonts w:ascii="Arial Black" w:hAnsi="Arial Black"/>
          <w:sz w:val="28"/>
          <w:szCs w:val="28"/>
        </w:rPr>
        <w:t>-</w:t>
      </w:r>
      <w:r>
        <w:rPr>
          <w:rFonts w:ascii="Arial Black" w:hAnsi="Arial Black"/>
          <w:sz w:val="28"/>
          <w:szCs w:val="28"/>
        </w:rPr>
        <w:t>82</w:t>
      </w:r>
    </w:p>
    <w:p w14:paraId="695D8324" w14:textId="77777777" w:rsidR="001567BB" w:rsidRDefault="001567BB" w:rsidP="00292E1C">
      <w:pPr>
        <w:pStyle w:val="NoSpacing"/>
        <w:rPr>
          <w:rFonts w:ascii="Arial Black" w:hAnsi="Arial Black"/>
          <w:sz w:val="28"/>
          <w:szCs w:val="28"/>
        </w:rPr>
      </w:pPr>
    </w:p>
    <w:p w14:paraId="3C8CB1D8" w14:textId="6ABCD5A8" w:rsidR="00292E1C" w:rsidRDefault="00292E1C" w:rsidP="00292E1C">
      <w:pPr>
        <w:pStyle w:val="NoSpacing"/>
        <w:rPr>
          <w:rFonts w:ascii="Arial Black" w:hAnsi="Arial Black"/>
          <w:bCs/>
          <w:sz w:val="28"/>
          <w:szCs w:val="28"/>
        </w:rPr>
      </w:pPr>
      <w:r>
        <w:rPr>
          <w:rFonts w:ascii="Arial Black" w:hAnsi="Arial Black"/>
          <w:sz w:val="28"/>
          <w:szCs w:val="28"/>
        </w:rPr>
        <w:t xml:space="preserve">NY: FD 20 YRS – NO FEMALE FF – CONSENT DECREE / CPAT </w:t>
      </w:r>
    </w:p>
    <w:p w14:paraId="7C8F7917" w14:textId="77777777" w:rsidR="00292E1C" w:rsidRDefault="00292E1C" w:rsidP="00292E1C">
      <w:pPr>
        <w:pStyle w:val="NoSpacing"/>
        <w:rPr>
          <w:bCs/>
        </w:rPr>
      </w:pPr>
    </w:p>
    <w:p w14:paraId="27256E74" w14:textId="3EABC648" w:rsidR="00292E1C" w:rsidRDefault="00292E1C" w:rsidP="00292E1C">
      <w:pPr>
        <w:pStyle w:val="NoSpacing"/>
      </w:pPr>
      <w:r>
        <w:t xml:space="preserve">On September 26, 2025, in </w:t>
      </w:r>
      <w:r w:rsidRPr="00D65A20">
        <w:rPr>
          <w:u w:val="single"/>
        </w:rPr>
        <w:t>Brittany Montana v. City of Mount Vernon</w:t>
      </w:r>
      <w:r>
        <w:t xml:space="preserve">, U.S. District Court Judge Kenneth M. Karas, United States District Court for Southern District of New York, denied Ms. Montana’s motion for summary judgment; must prove discrimination at trial using statistical evidence.  She took written exam on March 8, </w:t>
      </w:r>
      <w:proofErr w:type="gramStart"/>
      <w:r>
        <w:t>2014</w:t>
      </w:r>
      <w:proofErr w:type="gramEnd"/>
      <w:r>
        <w:t xml:space="preserve"> and scored the highest, but her times on physical fitness agility ranked her 119 on eligibility list (never hired during 2015 – 2019 list period).  After pre-trial discovery in this case, plaintiff sought summary judgment based on fact that Mount Vernon Fire Department has not hired any female firefighters in 25 years.  The Court “</w:t>
      </w:r>
      <w:r w:rsidRPr="00D675AA">
        <w:t>is certainly troubled by the lack of women hired by MVFD, this fact, alone, demonstrates nothing more than a “bottom line [gender] imbalance</w:t>
      </w:r>
      <w:r>
        <w:t>.</w:t>
      </w:r>
      <w:r w:rsidRPr="00D675AA">
        <w:t>”</w:t>
      </w:r>
      <w:r>
        <w:t xml:space="preserve">  On </w:t>
      </w:r>
      <w:proofErr w:type="gramStart"/>
      <w:r>
        <w:t>Dec,</w:t>
      </w:r>
      <w:proofErr w:type="gramEnd"/>
      <w:r>
        <w:t xml:space="preserve"> 23, 2024, the United States filed a motion to amend its two consent decrees (entered 1981) with the fire department, and on June 3, 2025, with concurrence of Vulcan Society of Westchester County, the consent decree now requires use of </w:t>
      </w:r>
      <w:r w:rsidRPr="0072608B">
        <w:t>Candidate Physical Ability Test (CPAT)</w:t>
      </w:r>
      <w:r>
        <w:t xml:space="preserve"> in future testing. </w:t>
      </w:r>
      <w:r w:rsidR="00416BB6">
        <w:t xml:space="preserve"> </w:t>
      </w:r>
      <w:hyperlink r:id="rId1376" w:history="1">
        <w:r w:rsidR="00416BB6" w:rsidRPr="00824C83">
          <w:rPr>
            <w:rStyle w:val="Hyperlink"/>
          </w:rPr>
          <w:t>https://cases.justia.com/federal/district-courts/new-york/nysdce/7:2021cv00260/552036/95/0.pdf?ts=1758978240</w:t>
        </w:r>
      </w:hyperlink>
    </w:p>
    <w:p w14:paraId="0510406D" w14:textId="77777777" w:rsidR="00416BB6" w:rsidRDefault="00416BB6" w:rsidP="00292E1C">
      <w:pPr>
        <w:pStyle w:val="NoSpacing"/>
      </w:pPr>
    </w:p>
    <w:p w14:paraId="620B1ECC" w14:textId="77777777" w:rsidR="00292E1C" w:rsidRDefault="00292E1C" w:rsidP="00292E1C">
      <w:pPr>
        <w:pStyle w:val="NoSpacing"/>
      </w:pPr>
    </w:p>
    <w:p w14:paraId="5FA95CF6" w14:textId="77777777" w:rsidR="00292E1C" w:rsidRPr="002F708D" w:rsidRDefault="00292E1C" w:rsidP="00292E1C">
      <w:pPr>
        <w:pStyle w:val="NoSpacing"/>
        <w:rPr>
          <w:b/>
          <w:bCs/>
        </w:rPr>
      </w:pPr>
      <w:r w:rsidRPr="002F708D">
        <w:rPr>
          <w:b/>
        </w:rPr>
        <w:t xml:space="preserve">THE COURT HELD: </w:t>
      </w:r>
    </w:p>
    <w:p w14:paraId="7F6035EF" w14:textId="77777777" w:rsidR="00292E1C" w:rsidRPr="002F708D" w:rsidRDefault="00292E1C" w:rsidP="00292E1C">
      <w:pPr>
        <w:pStyle w:val="NoSpacing"/>
        <w:rPr>
          <w:b/>
          <w:bCs/>
        </w:rPr>
      </w:pPr>
    </w:p>
    <w:p w14:paraId="29021999" w14:textId="77777777" w:rsidR="00292E1C" w:rsidRDefault="00292E1C" w:rsidP="00292E1C">
      <w:pPr>
        <w:pStyle w:val="NoSpacing"/>
        <w:ind w:left="720"/>
      </w:pPr>
      <w:r>
        <w:t>“</w:t>
      </w:r>
      <w:r w:rsidRPr="001A5D64">
        <w:t>Plaintiff, who is a woman</w:t>
      </w:r>
      <w:r>
        <w:t xml:space="preserve"> … </w:t>
      </w:r>
      <w:r w:rsidRPr="001A5D64">
        <w:t>took the written exam on or about March 8, 2014</w:t>
      </w:r>
      <w:r>
        <w:t xml:space="preserve">…. </w:t>
      </w:r>
      <w:r w:rsidRPr="001A5D64">
        <w:t xml:space="preserve"> She passed the written examination and then took the physical agility test</w:t>
      </w:r>
      <w:r>
        <w:t xml:space="preserve">…. </w:t>
      </w:r>
      <w:r w:rsidRPr="003876D4">
        <w:t>The physical agility test was composed of several tasks, some of which were pass/fail and some of which were timed</w:t>
      </w:r>
      <w:r>
        <w:t>….</w:t>
      </w:r>
      <w:r w:rsidRPr="003876D4">
        <w:t xml:space="preserve">Those with the highest scores (i.e., those who had the fastest times) on the agility test were ranked highest on an </w:t>
      </w:r>
      <w:r>
        <w:t>‘</w:t>
      </w:r>
      <w:r w:rsidRPr="003876D4">
        <w:t>eligibility list.</w:t>
      </w:r>
      <w:proofErr w:type="gramStart"/>
      <w:r>
        <w:t>’,,,</w:t>
      </w:r>
      <w:proofErr w:type="gramEnd"/>
      <w:r>
        <w:t xml:space="preserve"> </w:t>
      </w:r>
      <w:r w:rsidRPr="001A5D64">
        <w:t>Based on her performance in the agility test, Plaintiff ranked 119th on the “eligibility list</w:t>
      </w:r>
      <w:r>
        <w:t xml:space="preserve">….’ </w:t>
      </w:r>
      <w:r w:rsidRPr="001A5D64">
        <w:t>That performance made her the highest scoring female on the examination</w:t>
      </w:r>
      <w:r>
        <w:t xml:space="preserve"> ….</w:t>
      </w:r>
      <w:r w:rsidRPr="001A5D64">
        <w:t>, but because she was not a top ranked candidate on the eligibility list, she was not interviewed for a position at MVFD</w:t>
      </w:r>
      <w:r>
        <w:t xml:space="preserve">… </w:t>
      </w:r>
      <w:r w:rsidRPr="001A5D64">
        <w:t xml:space="preserve"> The eligibility list remained in use from 2015 to 2019</w:t>
      </w:r>
      <w:r>
        <w:t xml:space="preserve"> ….</w:t>
      </w:r>
      <w:r w:rsidRPr="001A5D64">
        <w:t>and no female firefighters were hired from that list</w:t>
      </w:r>
      <w:r>
        <w:t xml:space="preserve"> …. </w:t>
      </w:r>
      <w:r w:rsidRPr="001A5D64">
        <w:t xml:space="preserve">In fact, MVFD has not hired a female firefighter in 25 years. </w:t>
      </w:r>
    </w:p>
    <w:p w14:paraId="509CBB27" w14:textId="77777777" w:rsidR="00292E1C" w:rsidRDefault="00292E1C" w:rsidP="00292E1C">
      <w:pPr>
        <w:pStyle w:val="NoSpacing"/>
        <w:ind w:left="720"/>
      </w:pPr>
    </w:p>
    <w:p w14:paraId="27C4A654" w14:textId="77777777" w:rsidR="00292E1C" w:rsidRDefault="00292E1C" w:rsidP="00292E1C">
      <w:pPr>
        <w:pStyle w:val="NoSpacing"/>
        <w:ind w:left="720"/>
      </w:pPr>
      <w:r>
        <w:t>***</w:t>
      </w:r>
    </w:p>
    <w:p w14:paraId="3E2DB237" w14:textId="77777777" w:rsidR="00292E1C" w:rsidRDefault="00292E1C" w:rsidP="00292E1C">
      <w:pPr>
        <w:pStyle w:val="NoSpacing"/>
        <w:ind w:left="720"/>
      </w:pPr>
      <w:r w:rsidRPr="000A483E">
        <w:t xml:space="preserve">In the instant case, Plaintiff </w:t>
      </w:r>
      <w:r>
        <w:t>‘</w:t>
      </w:r>
      <w:r w:rsidRPr="000A483E">
        <w:t>has not come forward with a statistical analysis of any kind.</w:t>
      </w:r>
      <w:r>
        <w:t>’</w:t>
      </w:r>
      <w:r w:rsidRPr="000A483E">
        <w:t xml:space="preserve"> </w:t>
      </w:r>
      <w:r>
        <w:rPr>
          <w:i/>
          <w:iCs/>
        </w:rPr>
        <w:t xml:space="preserve">… </w:t>
      </w:r>
      <w:r w:rsidRPr="000A483E">
        <w:t>She has not demonstrated a statistically significant disparity in the hiring of women versus men based on the testing regime at issue.</w:t>
      </w:r>
      <w:r>
        <w:t xml:space="preserve"> </w:t>
      </w:r>
      <w:r w:rsidRPr="002F708D">
        <w:t xml:space="preserve">Instead, she contends that the fact that MVFD has not hired a single woman in nearly 25 years is </w:t>
      </w:r>
      <w:r>
        <w:t>‘</w:t>
      </w:r>
      <w:r w:rsidRPr="002F708D">
        <w:t>a fact that by itself is sufficient to support an inference of discrimination.</w:t>
      </w:r>
      <w:r>
        <w:t xml:space="preserve">’ … </w:t>
      </w:r>
      <w:r w:rsidRPr="002F708D">
        <w:t xml:space="preserve">Although the Court is certainly troubled by the lack of women hired by MVFD, this fact, alone, demonstrates nothing more than a </w:t>
      </w:r>
      <w:r>
        <w:t>‘</w:t>
      </w:r>
      <w:r w:rsidRPr="002F708D">
        <w:t>bottom line [gender] imbalance,</w:t>
      </w:r>
      <w:r>
        <w:t>’</w:t>
      </w:r>
      <w:r w:rsidRPr="002F708D">
        <w:t xml:space="preserve"> </w:t>
      </w:r>
      <w:r w:rsidRPr="002F708D">
        <w:rPr>
          <w:i/>
          <w:iCs/>
        </w:rPr>
        <w:t xml:space="preserve">United Prob. Officers </w:t>
      </w:r>
      <w:proofErr w:type="spellStart"/>
      <w:r w:rsidRPr="002F708D">
        <w:rPr>
          <w:i/>
          <w:iCs/>
        </w:rPr>
        <w:t>Ass'n</w:t>
      </w:r>
      <w:proofErr w:type="spellEnd"/>
      <w:r w:rsidRPr="002F708D">
        <w:t xml:space="preserve">, 2022 WL 875864, at *6, and is therefore insufficient to allow the Court to conclude that Defendants' testing practices violate Title VII and the NYSHRL as a matter of law, </w:t>
      </w:r>
      <w:r w:rsidRPr="002F708D">
        <w:rPr>
          <w:i/>
          <w:iCs/>
        </w:rPr>
        <w:t>see Hopkins v. Bridgeport Bd. of Educ</w:t>
      </w:r>
      <w:r w:rsidRPr="002F708D">
        <w:t>., 834 F.Supp.2d 58, 69 (D. Conn. 2011) (</w:t>
      </w:r>
      <w:r>
        <w:t>‘</w:t>
      </w:r>
      <w:r w:rsidRPr="002F708D">
        <w:t>[The p]</w:t>
      </w:r>
      <w:proofErr w:type="spellStart"/>
      <w:r w:rsidRPr="002F708D">
        <w:t>laintiff</w:t>
      </w:r>
      <w:proofErr w:type="spellEnd"/>
      <w:r w:rsidRPr="002F708D">
        <w:t xml:space="preserve"> has only demonstrated that at the bottom line there is a [gender] imbalance in the workforce which could be the result of any number of factors. Plaintiff has failed to provide evidence that links this </w:t>
      </w:r>
      <w:proofErr w:type="gramStart"/>
      <w:r w:rsidRPr="002F708D">
        <w:t>bottom line</w:t>
      </w:r>
      <w:proofErr w:type="gramEnd"/>
      <w:r w:rsidRPr="002F708D">
        <w:t xml:space="preserve"> imbalance to Defendant's purported practice or policy ....</w:t>
      </w:r>
      <w:r>
        <w:t>’</w:t>
      </w:r>
      <w:r w:rsidRPr="002F708D">
        <w:t>).</w:t>
      </w:r>
      <w:r>
        <w:t>”</w:t>
      </w:r>
      <w:r w:rsidRPr="005A40A8">
        <w:t xml:space="preserve"> </w:t>
      </w:r>
      <w:hyperlink r:id="rId1377" w:history="1">
        <w:r w:rsidRPr="00586BA9">
          <w:rPr>
            <w:rStyle w:val="Hyperlink"/>
          </w:rPr>
          <w:t>https://public.fastcase.com/jaEE2PXzRXmZ99jOLMt1Iuq7qc0gfVcydq4UksJKYaPvhnQoV2Tur9kW43Sd%2BCHWkw1LFd5eYMpsqupxEAJwLBiVNyDEOcfOyFpt494LsV4%3D?utm_medium=email&amp;_hsenc=p2ANqtz-9JDPujkqcb7TpRksmi2p_USQgVGerxf-hzLRNOYIOWKeqjT-lj5XLhttLuYWUDIXmtoE1M_nS89zbeKXXmbJi1pvu4VQ&amp;_hsmi=226712652&amp;utm_content=226712652&amp;utm_source=hs_email</w:t>
        </w:r>
      </w:hyperlink>
      <w:r>
        <w:t xml:space="preserve"> </w:t>
      </w:r>
    </w:p>
    <w:p w14:paraId="7A1ACFAE" w14:textId="77777777" w:rsidR="00292E1C" w:rsidRDefault="00292E1C" w:rsidP="00292E1C">
      <w:pPr>
        <w:pStyle w:val="NoSpacing"/>
        <w:ind w:left="720"/>
      </w:pPr>
    </w:p>
    <w:p w14:paraId="719E2F08" w14:textId="77777777" w:rsidR="00292E1C" w:rsidRDefault="00292E1C" w:rsidP="00292E1C">
      <w:pPr>
        <w:pStyle w:val="NoSpacing"/>
      </w:pPr>
    </w:p>
    <w:p w14:paraId="5C7F4A9A" w14:textId="77777777" w:rsidR="00292E1C" w:rsidRDefault="00292E1C" w:rsidP="00292E1C">
      <w:pPr>
        <w:pStyle w:val="NoSpacing"/>
        <w:rPr>
          <w:b/>
          <w:bCs/>
        </w:rPr>
      </w:pPr>
      <w:r>
        <w:rPr>
          <w:b/>
        </w:rPr>
        <w:t>KEY FACTS:</w:t>
      </w:r>
    </w:p>
    <w:p w14:paraId="1A5DEA29" w14:textId="77777777" w:rsidR="00292E1C" w:rsidRDefault="00292E1C" w:rsidP="00292E1C">
      <w:pPr>
        <w:pStyle w:val="NoSpacing"/>
        <w:ind w:left="720"/>
      </w:pPr>
    </w:p>
    <w:p w14:paraId="1FECF62C" w14:textId="77777777" w:rsidR="00292E1C" w:rsidRDefault="00292E1C" w:rsidP="00292E1C">
      <w:pPr>
        <w:pStyle w:val="NoSpacing"/>
        <w:ind w:left="720"/>
      </w:pPr>
      <w:r>
        <w:t>“</w:t>
      </w:r>
      <w:r w:rsidRPr="00974082">
        <w:t>At the time of Plaintiff's application, applicants to MVFD were required to pass a written exam and a physical agility test before they could be considered for employment</w:t>
      </w:r>
      <w:r>
        <w:t xml:space="preserve">…. </w:t>
      </w:r>
      <w:r w:rsidRPr="00974082">
        <w:t>The written test was pass/fail</w:t>
      </w:r>
      <w:r>
        <w:t>….</w:t>
      </w:r>
      <w:r w:rsidRPr="00974082">
        <w:t>If an applicant passed the written test, they were permitted to take the physical agility test</w:t>
      </w:r>
      <w:r>
        <w:t>….</w:t>
      </w:r>
      <w:r w:rsidRPr="00974082">
        <w:t>The physical agility test was composed of several tasks, some of which were pass/fail and some of which were timed</w:t>
      </w:r>
      <w:r>
        <w:t>….</w:t>
      </w:r>
      <w:r w:rsidRPr="00974082">
        <w:t xml:space="preserve">Those with the highest scores (i.e., those who had the fastest times) on the agility test were ranked highest on an </w:t>
      </w:r>
      <w:r>
        <w:t>‘</w:t>
      </w:r>
      <w:r w:rsidRPr="00974082">
        <w:t>eligibility list</w:t>
      </w:r>
      <w:r>
        <w:t>….’</w:t>
      </w:r>
    </w:p>
    <w:p w14:paraId="60ACB034" w14:textId="77777777" w:rsidR="00292E1C" w:rsidRDefault="00292E1C" w:rsidP="00292E1C">
      <w:pPr>
        <w:pStyle w:val="NoSpacing"/>
        <w:ind w:left="720"/>
      </w:pPr>
    </w:p>
    <w:p w14:paraId="5BF099E6" w14:textId="77777777" w:rsidR="00292E1C" w:rsidRPr="00974082" w:rsidRDefault="00292E1C" w:rsidP="00292E1C">
      <w:pPr>
        <w:pStyle w:val="NoSpacing"/>
        <w:ind w:left="720"/>
      </w:pPr>
      <w:r w:rsidRPr="00974082">
        <w:t>The Civil Service Commission pulled its applicants to interview for open positions from the eligibility list in rank order</w:t>
      </w:r>
      <w:r>
        <w:t xml:space="preserve">…. </w:t>
      </w:r>
      <w:r w:rsidRPr="00974082">
        <w:t xml:space="preserve">Thus, the applicants who performed best on the agility test were most likely to be asked to interview for an open position. This testing structure was mandated by two consent decrees </w:t>
      </w:r>
      <w:proofErr w:type="gramStart"/>
      <w:r w:rsidRPr="00974082">
        <w:t>entered</w:t>
      </w:r>
      <w:r>
        <w:t xml:space="preserve"> </w:t>
      </w:r>
      <w:r w:rsidRPr="00974082">
        <w:t>into</w:t>
      </w:r>
      <w:proofErr w:type="gramEnd"/>
      <w:r w:rsidRPr="00974082">
        <w:t xml:space="preserve"> by Defendants with the Department of Justice in 1981. See generally Vulcan Soc. of Westchester </w:t>
      </w:r>
      <w:proofErr w:type="spellStart"/>
      <w:r w:rsidRPr="00974082">
        <w:t>Cnty</w:t>
      </w:r>
      <w:proofErr w:type="spellEnd"/>
      <w:r w:rsidRPr="00974082">
        <w:t xml:space="preserve">., Inc. v. Fire </w:t>
      </w:r>
      <w:proofErr w:type="spellStart"/>
      <w:r w:rsidRPr="00974082">
        <w:t>Dep't</w:t>
      </w:r>
      <w:proofErr w:type="spellEnd"/>
      <w:r w:rsidRPr="00974082">
        <w:t xml:space="preserve"> of City of White Plains, 505 </w:t>
      </w:r>
      <w:proofErr w:type="spellStart"/>
      <w:r w:rsidRPr="00974082">
        <w:t>F.Supp</w:t>
      </w:r>
      <w:proofErr w:type="spellEnd"/>
      <w:r w:rsidRPr="00974082">
        <w:t>. 955 (S.D.N.Y. 1981).</w:t>
      </w:r>
      <w:r>
        <w:t>”</w:t>
      </w:r>
      <w:r w:rsidRPr="00974082">
        <w:t xml:space="preserve"> </w:t>
      </w:r>
      <w:r>
        <w:t xml:space="preserve"> </w:t>
      </w:r>
      <w:r w:rsidRPr="00974082">
        <w:t>         </w:t>
      </w:r>
    </w:p>
    <w:p w14:paraId="384CF2AF" w14:textId="77777777" w:rsidR="00292E1C" w:rsidRPr="002F708D" w:rsidRDefault="00292E1C" w:rsidP="00292E1C">
      <w:pPr>
        <w:pStyle w:val="NoSpacing"/>
        <w:rPr>
          <w:b/>
          <w:bCs/>
        </w:rPr>
      </w:pPr>
    </w:p>
    <w:p w14:paraId="7B06ED27" w14:textId="77777777" w:rsidR="00292E1C" w:rsidRPr="00D4601C" w:rsidRDefault="00292E1C" w:rsidP="00292E1C">
      <w:pPr>
        <w:pStyle w:val="NoSpacing"/>
        <w:rPr>
          <w:b/>
          <w:bCs/>
        </w:rPr>
      </w:pPr>
      <w:r>
        <w:rPr>
          <w:b/>
        </w:rPr>
        <w:t xml:space="preserve">Legal lesson learned: The CPAT has been approved in numerous cases. </w:t>
      </w:r>
    </w:p>
    <w:p w14:paraId="53C4D93E" w14:textId="77777777" w:rsidR="00292E1C" w:rsidRDefault="00292E1C" w:rsidP="00292E1C">
      <w:pPr>
        <w:pStyle w:val="NoSpacing"/>
      </w:pPr>
    </w:p>
    <w:p w14:paraId="41CF04E7" w14:textId="77777777" w:rsidR="00292E1C" w:rsidRDefault="00292E1C" w:rsidP="00292E1C">
      <w:pPr>
        <w:pStyle w:val="NoSpacing"/>
        <w:ind w:left="720"/>
      </w:pPr>
      <w:r>
        <w:t>Note: “</w:t>
      </w:r>
      <w:r w:rsidRPr="00793F18">
        <w:t xml:space="preserve">The IAFF/IAFC Fire Service Joint Labor-Management Wellness-Fitness Task Force was established in 1997 to address the need for a holistic, non-punitive approach to wellness and fitness in the fire service. </w:t>
      </w:r>
      <w:r>
        <w:t xml:space="preserve"> </w:t>
      </w:r>
      <w:r w:rsidRPr="00793F18">
        <w:t>Recognizing that some municipalities were hiring candidates who lacked the physical capacity for a successful career, the Task Force unanimously agreed to create a standardized pre-employment test. This effort led to the development and validation of the Candidate Physical Ability Test (CPAT), now the industry standard for hiring fire fighters.</w:t>
      </w:r>
      <w:r>
        <w:t xml:space="preserve">” </w:t>
      </w:r>
      <w:hyperlink r:id="rId1378" w:history="1">
        <w:r w:rsidRPr="00586BA9">
          <w:rPr>
            <w:rStyle w:val="Hyperlink"/>
          </w:rPr>
          <w:t>https://www.iaff.org/cpat/</w:t>
        </w:r>
      </w:hyperlink>
    </w:p>
    <w:p w14:paraId="7210320E" w14:textId="77777777" w:rsidR="00292E1C" w:rsidRDefault="00292E1C" w:rsidP="00F326E5">
      <w:pPr>
        <w:pStyle w:val="NoSpacing"/>
        <w:rPr>
          <w:rFonts w:ascii="Arial Black" w:hAnsi="Arial Black"/>
          <w:b/>
          <w:bCs/>
          <w:sz w:val="24"/>
          <w:szCs w:val="24"/>
        </w:rPr>
      </w:pPr>
    </w:p>
    <w:p w14:paraId="7D810FEC" w14:textId="77777777" w:rsidR="00292E1C" w:rsidRDefault="00292E1C" w:rsidP="00F326E5">
      <w:pPr>
        <w:pStyle w:val="NoSpacing"/>
        <w:rPr>
          <w:rFonts w:ascii="Arial Black" w:hAnsi="Arial Black"/>
          <w:b/>
          <w:bCs/>
          <w:sz w:val="24"/>
          <w:szCs w:val="24"/>
        </w:rPr>
      </w:pPr>
    </w:p>
    <w:p w14:paraId="2B492C56" w14:textId="77777777" w:rsidR="00292E1C" w:rsidRDefault="00292E1C" w:rsidP="00F326E5">
      <w:pPr>
        <w:pStyle w:val="NoSpacing"/>
        <w:rPr>
          <w:rFonts w:ascii="Arial Black" w:hAnsi="Arial Black"/>
          <w:b/>
          <w:bCs/>
          <w:sz w:val="24"/>
          <w:szCs w:val="24"/>
        </w:rPr>
      </w:pPr>
    </w:p>
    <w:p w14:paraId="1294D04C" w14:textId="77777777" w:rsidR="00292E1C" w:rsidRDefault="00292E1C" w:rsidP="00F326E5">
      <w:pPr>
        <w:pStyle w:val="NoSpacing"/>
        <w:rPr>
          <w:rFonts w:ascii="Arial Black" w:hAnsi="Arial Black"/>
          <w:b/>
          <w:bCs/>
          <w:sz w:val="24"/>
          <w:szCs w:val="24"/>
        </w:rPr>
      </w:pPr>
    </w:p>
    <w:p w14:paraId="2DDAC38D" w14:textId="77777777" w:rsidR="00292E1C" w:rsidRDefault="00292E1C" w:rsidP="00F326E5">
      <w:pPr>
        <w:pStyle w:val="NoSpacing"/>
        <w:rPr>
          <w:rFonts w:ascii="Arial Black" w:hAnsi="Arial Black"/>
          <w:b/>
          <w:bCs/>
          <w:sz w:val="24"/>
          <w:szCs w:val="24"/>
        </w:rPr>
      </w:pPr>
    </w:p>
    <w:p w14:paraId="13C1DAF6" w14:textId="7207BC96" w:rsidR="00571037" w:rsidRDefault="000624FD" w:rsidP="00F326E5">
      <w:pPr>
        <w:pStyle w:val="NoSpacing"/>
        <w:rPr>
          <w:rFonts w:ascii="Arial Black" w:hAnsi="Arial Black"/>
          <w:b/>
          <w:bCs/>
          <w:sz w:val="24"/>
          <w:szCs w:val="24"/>
        </w:rPr>
      </w:pPr>
      <w:r>
        <w:rPr>
          <w:rFonts w:ascii="Arial Black" w:hAnsi="Arial Black"/>
          <w:b/>
          <w:bCs/>
          <w:sz w:val="24"/>
          <w:szCs w:val="24"/>
        </w:rPr>
        <w:t>7-81</w:t>
      </w:r>
    </w:p>
    <w:p w14:paraId="0B203811" w14:textId="77777777" w:rsidR="000624FD" w:rsidRDefault="000624FD" w:rsidP="00F326E5">
      <w:pPr>
        <w:pStyle w:val="NoSpacing"/>
        <w:rPr>
          <w:rFonts w:ascii="Arial Black" w:hAnsi="Arial Black"/>
          <w:b/>
          <w:bCs/>
          <w:sz w:val="24"/>
          <w:szCs w:val="24"/>
        </w:rPr>
      </w:pPr>
    </w:p>
    <w:p w14:paraId="7A93A472" w14:textId="0ADBE1E4" w:rsidR="001567BB" w:rsidRDefault="001567BB" w:rsidP="001567BB">
      <w:pPr>
        <w:rPr>
          <w:rFonts w:ascii="Arial Black" w:hAnsi="Arial Black"/>
          <w:b/>
          <w:sz w:val="28"/>
          <w:szCs w:val="28"/>
        </w:rPr>
      </w:pPr>
      <w:r>
        <w:rPr>
          <w:rFonts w:ascii="Arial Black" w:hAnsi="Arial Black"/>
          <w:b/>
          <w:sz w:val="28"/>
          <w:szCs w:val="28"/>
        </w:rPr>
        <w:t>NY: FEMALE COMPLAINT - B/C TRANSFER - NO</w:t>
      </w:r>
      <w:r w:rsidR="00830C38">
        <w:rPr>
          <w:rFonts w:ascii="Arial Black" w:hAnsi="Arial Black"/>
          <w:b/>
          <w:sz w:val="28"/>
          <w:szCs w:val="28"/>
        </w:rPr>
        <w:t>T</w:t>
      </w:r>
      <w:r>
        <w:rPr>
          <w:rFonts w:ascii="Arial Black" w:hAnsi="Arial Black"/>
          <w:b/>
          <w:sz w:val="28"/>
          <w:szCs w:val="28"/>
        </w:rPr>
        <w:t xml:space="preserve"> RETALIATION</w:t>
      </w:r>
    </w:p>
    <w:p w14:paraId="0D18AAE5" w14:textId="77777777" w:rsidR="001567BB" w:rsidRDefault="001567BB" w:rsidP="001567BB">
      <w:pPr>
        <w:rPr>
          <w:bCs/>
        </w:rPr>
      </w:pPr>
      <w:r w:rsidRPr="00242546">
        <w:t xml:space="preserve">On September 22, 2025, in </w:t>
      </w:r>
      <w:r w:rsidRPr="00242546">
        <w:rPr>
          <w:u w:val="single"/>
        </w:rPr>
        <w:t>Michael McGraff v. Fire Department of City of New York and the City of New York</w:t>
      </w:r>
      <w:r>
        <w:t xml:space="preserve">, U.S. District Court Judge Nicholas G. </w:t>
      </w:r>
      <w:proofErr w:type="spellStart"/>
      <w:r>
        <w:t>Garaufis</w:t>
      </w:r>
      <w:proofErr w:type="spellEnd"/>
      <w:r>
        <w:t xml:space="preserve">, United States District Court for Eastern District of New York, granted the City’s motion for summary judgment. Female medic filed complaint on April 3, </w:t>
      </w:r>
      <w:proofErr w:type="gramStart"/>
      <w:r>
        <w:t>2015</w:t>
      </w:r>
      <w:proofErr w:type="gramEnd"/>
      <w:r>
        <w:t xml:space="preserve"> with </w:t>
      </w:r>
      <w:r w:rsidRPr="00823799">
        <w:t>FDNY EEO</w:t>
      </w:r>
      <w:r>
        <w:t xml:space="preserve">.   Battalion Chief </w:t>
      </w:r>
      <w:r w:rsidRPr="00146805">
        <w:t xml:space="preserve">McGrath's </w:t>
      </w:r>
      <w:r>
        <w:t xml:space="preserve">was transferred from </w:t>
      </w:r>
      <w:r w:rsidRPr="0004737E">
        <w:t>Battalion 47 in Far Rockaway, Queens</w:t>
      </w:r>
      <w:r>
        <w:t xml:space="preserve"> to </w:t>
      </w:r>
      <w:r w:rsidRPr="00BB6518">
        <w:t>Queens Borough Command</w:t>
      </w:r>
      <w:r>
        <w:t xml:space="preserve">. </w:t>
      </w:r>
      <w:r w:rsidRPr="00823799">
        <w:t>On May 16, 2016, McGrath filed his own complaints with the FDNY EEO</w:t>
      </w:r>
      <w:r>
        <w:t xml:space="preserve">, </w:t>
      </w:r>
      <w:r w:rsidRPr="00146805">
        <w:t xml:space="preserve">alleged </w:t>
      </w:r>
      <w:r>
        <w:t>he</w:t>
      </w:r>
      <w:r w:rsidRPr="00146805">
        <w:t xml:space="preserve"> “was transferred and demoted due to his race (Caucasian) and gender (male), and that Arroyo received differential treatment because she is female and Hispanic.” </w:t>
      </w:r>
      <w:r>
        <w:t xml:space="preserve"> On</w:t>
      </w:r>
      <w:r w:rsidRPr="00002337">
        <w:t xml:space="preserve"> August 15, 2016, the FDNY EEO Office issued a memorandum to the Fire Commissioner Daniel A. Nigro substantiating Arroyo's sexual harassment complaint against McGrath</w:t>
      </w:r>
      <w:r>
        <w:t xml:space="preserve">.  November 10, 2016, McGrath’s complaint was dismissed with a </w:t>
      </w:r>
      <w:r w:rsidRPr="00B67D5B">
        <w:t>“no probable cause” determination</w:t>
      </w:r>
      <w:r>
        <w:t xml:space="preserve">.  He filed this lawsuit on March 15, 2017, against the female medic and the FD,  </w:t>
      </w:r>
      <w:r w:rsidRPr="00CC3044">
        <w:t xml:space="preserve">alleging </w:t>
      </w:r>
      <w:r>
        <w:t>“</w:t>
      </w:r>
      <w:r w:rsidRPr="00CC3044">
        <w:t xml:space="preserve">racial discrimination and retaliation under federal, state, and local laws, violation of his </w:t>
      </w:r>
      <w:proofErr w:type="gramStart"/>
      <w:r w:rsidRPr="00CC3044">
        <w:t>free speech</w:t>
      </w:r>
      <w:proofErr w:type="gramEnd"/>
      <w:r w:rsidRPr="00CC3044">
        <w:t xml:space="preserve"> rights, and several tort and contract claims</w:t>
      </w:r>
      <w:r>
        <w:t>.”</w:t>
      </w:r>
    </w:p>
    <w:p w14:paraId="0660C1E0" w14:textId="77777777" w:rsidR="001567BB" w:rsidRPr="004554EA" w:rsidRDefault="001567BB" w:rsidP="001567BB">
      <w:pPr>
        <w:rPr>
          <w:bCs/>
        </w:rPr>
      </w:pPr>
      <w:r w:rsidRPr="00EF6273">
        <w:rPr>
          <w:b/>
        </w:rPr>
        <w:t>THE COURT HELD</w:t>
      </w:r>
      <w:r>
        <w:t>: “</w:t>
      </w:r>
      <w:r w:rsidRPr="004554EA">
        <w:t xml:space="preserve">Based on this extensive investigation, the FDNY EEO Office determined as follows: </w:t>
      </w:r>
    </w:p>
    <w:p w14:paraId="48FA6812" w14:textId="77777777" w:rsidR="001567BB" w:rsidRPr="004554EA" w:rsidRDefault="001567BB" w:rsidP="001567BB">
      <w:pPr>
        <w:ind w:left="720"/>
        <w:rPr>
          <w:bCs/>
        </w:rPr>
      </w:pPr>
      <w:r w:rsidRPr="004554EA">
        <w:t xml:space="preserve">[T]he evidence shows that it is more likely than not that: McGrath and Arroyo spent time together after work hours in a non-platonic manner; Arroyo advised McGrath that she did not wish to purse a relationship; McGrath confronted Arroyo about unsubstantiated rumors of sexual misconduct in the workplace without addressing such alleged misconduct within his, and Arroyo's, chain of command; suggested and/or threatened Arroyo with a transfer to a different station; and recommended to Arroyo's supervisors that she be transferred to a different station. Viewing the totality of circumstances, such conduct constitutes sexual harassment in violation of the EEO Policy. </w:t>
      </w:r>
    </w:p>
    <w:p w14:paraId="49774F22" w14:textId="77777777" w:rsidR="001567BB" w:rsidRDefault="001567BB" w:rsidP="001567BB">
      <w:pPr>
        <w:rPr>
          <w:bCs/>
        </w:rPr>
      </w:pPr>
      <w:r>
        <w:t>***</w:t>
      </w:r>
    </w:p>
    <w:p w14:paraId="0123A7F8" w14:textId="77777777" w:rsidR="001567BB" w:rsidRPr="00705FAD" w:rsidRDefault="001567BB" w:rsidP="001567BB">
      <w:r w:rsidRPr="00284816">
        <w:t>The evidence shows that the FDNY</w:t>
      </w:r>
      <w:r>
        <w:t xml:space="preserve"> </w:t>
      </w:r>
      <w:r w:rsidRPr="00284816">
        <w:t xml:space="preserve">EEO Office substantiated Arroyo's complaint against McGrath and brought disciplinary charges against McGrath not </w:t>
      </w:r>
      <w:proofErr w:type="gramStart"/>
      <w:r w:rsidRPr="00284816">
        <w:t>as a result of</w:t>
      </w:r>
      <w:proofErr w:type="gramEnd"/>
      <w:r w:rsidRPr="00284816">
        <w:t xml:space="preserve"> McGrath's Agency Complaints, but because of the FDNY EEO Office's extensive fact-finding that validated Arroyo's sexual harassment allegations. McGrath's scant evidence showing a causal link between his protected activity and the alleged retaliatory actions is insufficient to defeat Defendants' motion for summary judgment.</w:t>
      </w:r>
      <w:r>
        <w:t xml:space="preserve">” </w:t>
      </w:r>
      <w:hyperlink r:id="rId1379" w:history="1">
        <w:r w:rsidRPr="00705FAD">
          <w:rPr>
            <w:rStyle w:val="Hyperlink"/>
          </w:rPr>
          <w:t>https://public.fastcase.com/jaEE2PXzRXmZ99jOLMt1Ith2qIaSeggCoLDpY1bED9tguFhWPV6Zo6qPtk3o63Z4?utm_medium=email&amp;_hsenc=p2ANqtz-_k3-Q52FXjJQN9NeOgWdHNDXhdU7FtsE1Qhtjng3_RTOztkpkvOWiDZxLNU-kndNaS-F1RaBe3KZirW8vwSyzK6BF9eQ&amp;_hsmi=226712652&amp;utm_content=226712652&amp;utm_source=hs_email</w:t>
        </w:r>
      </w:hyperlink>
    </w:p>
    <w:p w14:paraId="4FEF75B0" w14:textId="77777777" w:rsidR="001567BB" w:rsidRDefault="001567BB" w:rsidP="001567BB">
      <w:r w:rsidRPr="00EF6273">
        <w:rPr>
          <w:b/>
        </w:rPr>
        <w:t>KEY FACTS</w:t>
      </w:r>
      <w:r>
        <w:t xml:space="preserve">: </w:t>
      </w:r>
    </w:p>
    <w:p w14:paraId="3082BB4E" w14:textId="77777777" w:rsidR="001567BB" w:rsidRDefault="001567BB" w:rsidP="001567BB">
      <w:pPr>
        <w:ind w:left="720"/>
      </w:pPr>
      <w:r>
        <w:t>“</w:t>
      </w:r>
      <w:r w:rsidRPr="00A841D8">
        <w:t>Michael McGrath is a white, male, retired FDNY officer</w:t>
      </w:r>
      <w:r>
        <w:t xml:space="preserve">…. </w:t>
      </w:r>
      <w:r w:rsidRPr="00A841D8">
        <w:t>McGrath began his career as a fireman at the FDNY in 1979 and was employed by the FDNY until he retired on February 15, 2018</w:t>
      </w:r>
      <w:r>
        <w:t xml:space="preserve">…. </w:t>
      </w:r>
      <w:r w:rsidRPr="00A841D8">
        <w:t>Throughout his career at the FDNY, he was promoted several times, eventually becoming Battalion Commander for FDNY Battalion 47 in Far Rockaway, Queens in 2003</w:t>
      </w:r>
      <w:r>
        <w:t xml:space="preserve">…. </w:t>
      </w:r>
      <w:r w:rsidRPr="00A841D8">
        <w:t xml:space="preserve">Two years into his command of FNDY Battalion 47, Battalion 47 became a </w:t>
      </w:r>
      <w:r>
        <w:t>‘</w:t>
      </w:r>
      <w:r w:rsidRPr="00A841D8">
        <w:t xml:space="preserve">joint </w:t>
      </w:r>
      <w:proofErr w:type="spellStart"/>
      <w:r w:rsidRPr="00A841D8">
        <w:t>facilit</w:t>
      </w:r>
      <w:proofErr w:type="spellEnd"/>
      <w:r w:rsidRPr="00A841D8">
        <w:t>[y]</w:t>
      </w:r>
      <w:r>
        <w:t xml:space="preserve">’ </w:t>
      </w:r>
      <w:r w:rsidRPr="00A841D8">
        <w:t>housing both Fire Operations and EMS Operations</w:t>
      </w:r>
      <w:r>
        <w:t xml:space="preserve">…. </w:t>
      </w:r>
      <w:r w:rsidRPr="00A841D8">
        <w:t xml:space="preserve">The court refers to the joint facility where McGrath worked as the </w:t>
      </w:r>
      <w:r>
        <w:t>‘</w:t>
      </w:r>
      <w:r w:rsidRPr="00A841D8">
        <w:t>Firehouse.</w:t>
      </w:r>
      <w:r>
        <w:t>’</w:t>
      </w:r>
      <w:r w:rsidRPr="00A841D8">
        <w:t xml:space="preserve"> Both Fire Operations and EMS Operations housed in the Firehouse share common areas, including a gym, terrace, locker rooms, and bathrooms</w:t>
      </w:r>
      <w:r>
        <w:t xml:space="preserve">…. </w:t>
      </w:r>
    </w:p>
    <w:p w14:paraId="22586087" w14:textId="77777777" w:rsidR="001567BB" w:rsidRDefault="001567BB" w:rsidP="001567BB">
      <w:pPr>
        <w:ind w:left="720"/>
      </w:pPr>
      <w:r w:rsidRPr="00BC781F">
        <w:t>In January 2014, McGrath met Marilyn Arroyo, an EMS Paramedic, when Arroyo was involved in a motor vehicle accident to which McGrath responded</w:t>
      </w:r>
      <w:r>
        <w:t xml:space="preserve">…. </w:t>
      </w:r>
      <w:r w:rsidRPr="00BC781F">
        <w:t>It is undisputed that McGrath and Arroyo met several times after they first met</w:t>
      </w:r>
      <w:r>
        <w:t xml:space="preserve"> … </w:t>
      </w:r>
      <w:r w:rsidRPr="00BC781F">
        <w:t xml:space="preserve">but the parties dispute whether these meetings were dates or </w:t>
      </w:r>
      <w:r>
        <w:t>‘</w:t>
      </w:r>
      <w:r w:rsidRPr="00BC781F">
        <w:t>merely two co-workers getting together because Arroyo asked for job-related advice due to having family members interested in applying to the FDNY,</w:t>
      </w:r>
      <w:r>
        <w:t xml:space="preserve">’ …. </w:t>
      </w:r>
      <w:r w:rsidRPr="00BC781F">
        <w:t>McGrath claims that shortly after meeting Arroyo, he began hearing rumors that Arroyo was having sex with a firefighter inside of the Firehouse</w:t>
      </w:r>
      <w:r>
        <w:t xml:space="preserve">…. </w:t>
      </w:r>
      <w:r w:rsidRPr="00BC781F">
        <w:t>McGrath first approached Arroyo's supervisor Chief Steven Russo with the allegations; Russo told McGrath that he would speak with Arroyo and get back to McGrath by the end of the day</w:t>
      </w:r>
      <w:r>
        <w:t>….</w:t>
      </w:r>
      <w:r w:rsidRPr="00BC781F">
        <w:t xml:space="preserve"> Russo did not get back to McGrath that day</w:t>
      </w:r>
      <w:r>
        <w:t xml:space="preserve">…. </w:t>
      </w:r>
      <w:r w:rsidRPr="00BC781F">
        <w:t>On March 15, 2015, McGrath approached Arroyo and discussed the allegations with her</w:t>
      </w:r>
      <w:r>
        <w:t xml:space="preserve">…. </w:t>
      </w:r>
      <w:r w:rsidRPr="00BC781F">
        <w:t>McGrath then brought the allegations to Assistant Chief Edward Baggott and Division Commander James DiDomencio</w:t>
      </w:r>
      <w:r>
        <w:t xml:space="preserve">…. </w:t>
      </w:r>
      <w:r w:rsidRPr="00BC781F">
        <w:t>DiDomenico told McGrath that while the FDNY Bureau of Investigations and Trials (</w:t>
      </w:r>
      <w:r>
        <w:t>‘</w:t>
      </w:r>
      <w:proofErr w:type="spellStart"/>
      <w:r w:rsidRPr="00BC781F">
        <w:t>BITs</w:t>
      </w:r>
      <w:r>
        <w:t>’</w:t>
      </w:r>
      <w:proofErr w:type="spellEnd"/>
      <w:r w:rsidRPr="00BC781F">
        <w:t>) was not going to investigate the allegations, Arroyo's EMS supervisor would speak with her</w:t>
      </w:r>
      <w:r>
        <w:t xml:space="preserve">…. </w:t>
      </w:r>
      <w:r w:rsidRPr="00BC781F">
        <w:t xml:space="preserve">Shortly thereafter, DiDomenico instructed all Battalion Commanders (including McGrath) to give </w:t>
      </w:r>
      <w:r>
        <w:t>‘</w:t>
      </w:r>
      <w:r w:rsidRPr="00BC781F">
        <w:t>drills on inappropriate behavior.</w:t>
      </w:r>
      <w:r>
        <w:t>’</w:t>
      </w:r>
      <w:r w:rsidRPr="00BC781F">
        <w:t xml:space="preserve"> </w:t>
      </w:r>
    </w:p>
    <w:p w14:paraId="337BCF92" w14:textId="77777777" w:rsidR="001567BB" w:rsidRDefault="001567BB" w:rsidP="001567BB">
      <w:pPr>
        <w:ind w:left="720"/>
      </w:pPr>
      <w:r>
        <w:t>***</w:t>
      </w:r>
    </w:p>
    <w:p w14:paraId="2FD6D42E" w14:textId="77777777" w:rsidR="001567BB" w:rsidRPr="002C11C5" w:rsidRDefault="001567BB" w:rsidP="001567BB">
      <w:pPr>
        <w:ind w:left="720"/>
      </w:pPr>
      <w:r w:rsidRPr="002C11C5">
        <w:t xml:space="preserve"> 1. Arroyo FDNY EEO Complaint </w:t>
      </w:r>
    </w:p>
    <w:p w14:paraId="5F96AEC4" w14:textId="77777777" w:rsidR="001567BB" w:rsidRDefault="001567BB" w:rsidP="001567BB">
      <w:pPr>
        <w:ind w:left="720"/>
      </w:pPr>
      <w:r w:rsidRPr="002C11C5">
        <w:t> On April 3, 2015, Arroyo submitted a complaint to the FDNYs Equal Opportunity Employment (</w:t>
      </w:r>
      <w:r>
        <w:t>‘</w:t>
      </w:r>
      <w:r w:rsidRPr="002C11C5">
        <w:t>EEO</w:t>
      </w:r>
      <w:r>
        <w:t>’</w:t>
      </w:r>
      <w:r w:rsidRPr="002C11C5">
        <w:t>) Office alleging that McGrath sexually harassed her</w:t>
      </w:r>
      <w:r>
        <w:t xml:space="preserve">…. </w:t>
      </w:r>
      <w:r w:rsidRPr="002C11C5">
        <w:t xml:space="preserve">The Arroyo FDNY EEO Complaint alleged that on March 15, 2015, McGrath asked Arroyo to meet him in the Firehouse's mechanical room, where McGrath </w:t>
      </w:r>
      <w:r>
        <w:t>‘</w:t>
      </w:r>
      <w:r w:rsidRPr="002C11C5">
        <w:t>informed [Arroyo] that firemen's wives were making complaints about [Arroyo] with regard to rumors of inappropriate behavior with numerous firefighters from Battalion 47 as well as police officers from the local precincts.</w:t>
      </w:r>
      <w:r>
        <w:t>’ …</w:t>
      </w:r>
      <w:r w:rsidRPr="002C11C5">
        <w:t xml:space="preserve">Arroyo alleged further that McGrath </w:t>
      </w:r>
      <w:r>
        <w:t>‘</w:t>
      </w:r>
      <w:r w:rsidRPr="002C11C5">
        <w:t xml:space="preserve">claimed that the wives were unhappy with [Arroyo] having a personal relationship with a </w:t>
      </w:r>
      <w:proofErr w:type="gramStart"/>
      <w:r w:rsidRPr="002C11C5">
        <w:t>35 year old</w:t>
      </w:r>
      <w:proofErr w:type="gramEnd"/>
      <w:r w:rsidRPr="002C11C5">
        <w:t xml:space="preserve"> fireman from E268.” </w:t>
      </w:r>
      <w:r>
        <w:t xml:space="preserve">… </w:t>
      </w:r>
      <w:r w:rsidRPr="002C11C5">
        <w:t xml:space="preserve"> Arroyo claimed that McGrath said he could </w:t>
      </w:r>
      <w:r>
        <w:t>‘</w:t>
      </w:r>
      <w:r w:rsidRPr="002C11C5">
        <w:t>make this all go away</w:t>
      </w:r>
      <w:r>
        <w:t>’</w:t>
      </w:r>
      <w:r w:rsidRPr="002C11C5">
        <w:t xml:space="preserve"> if she agreed to transfer to another EMS Station and gave her until the following day to let him know her decision.</w:t>
      </w:r>
    </w:p>
    <w:p w14:paraId="32BB8F0A" w14:textId="77777777" w:rsidR="001567BB" w:rsidRPr="002C11C5" w:rsidRDefault="001567BB" w:rsidP="001567BB">
      <w:pPr>
        <w:ind w:left="720"/>
      </w:pPr>
      <w:r>
        <w:t>***</w:t>
      </w:r>
    </w:p>
    <w:p w14:paraId="606B3372" w14:textId="77777777" w:rsidR="001567BB" w:rsidRDefault="001567BB" w:rsidP="001567BB">
      <w:pPr>
        <w:ind w:left="720"/>
      </w:pPr>
      <w:r w:rsidRPr="00AC185E">
        <w:t> In March or April 2015, the FDNY reassigned McGrath to Queens Borough Command</w:t>
      </w:r>
      <w:proofErr w:type="gramStart"/>
      <w:r>
        <w:t>…..</w:t>
      </w:r>
      <w:proofErr w:type="gramEnd"/>
      <w:r>
        <w:t xml:space="preserve"> </w:t>
      </w:r>
      <w:r w:rsidRPr="00AC185E">
        <w:t xml:space="preserve">McGrath alleges that he was reassigned </w:t>
      </w:r>
      <w:r>
        <w:t>‘</w:t>
      </w:r>
      <w:r w:rsidRPr="00AC185E">
        <w:t>without warning</w:t>
      </w:r>
      <w:r>
        <w:t>’</w:t>
      </w:r>
      <w:r w:rsidRPr="00AC185E">
        <w:t xml:space="preserve"> and </w:t>
      </w:r>
      <w:r>
        <w:t>‘</w:t>
      </w:r>
      <w:r w:rsidRPr="00AC185E">
        <w:t xml:space="preserve">stripped </w:t>
      </w:r>
      <w:proofErr w:type="gramStart"/>
      <w:r w:rsidRPr="00AC185E">
        <w:t>of</w:t>
      </w:r>
      <w:proofErr w:type="gramEnd"/>
      <w:r w:rsidRPr="00AC185E">
        <w:t xml:space="preserve"> his duties.</w:t>
      </w:r>
      <w:r>
        <w:t>’</w:t>
      </w:r>
    </w:p>
    <w:p w14:paraId="0BA17AD4" w14:textId="77777777" w:rsidR="001567BB" w:rsidRDefault="001567BB" w:rsidP="001567BB">
      <w:pPr>
        <w:ind w:left="720"/>
      </w:pPr>
      <w:r>
        <w:t>***</w:t>
      </w:r>
    </w:p>
    <w:p w14:paraId="4CF1C565" w14:textId="77777777" w:rsidR="001567BB" w:rsidRDefault="001567BB" w:rsidP="001567BB">
      <w:pPr>
        <w:ind w:left="720"/>
      </w:pPr>
      <w:r w:rsidRPr="00B13F8B">
        <w:t>2. McGrath Agency Complaints</w:t>
      </w:r>
    </w:p>
    <w:p w14:paraId="722E9E3D" w14:textId="77777777" w:rsidR="001567BB" w:rsidRDefault="001567BB" w:rsidP="001567BB">
      <w:pPr>
        <w:ind w:left="720"/>
      </w:pPr>
      <w:r w:rsidRPr="0064124C">
        <w:t>On May 16, 2016, McGrath filed his own complaints with the FDNY EEO Office, the New York State Department of Human Rights (</w:t>
      </w:r>
      <w:r>
        <w:t>‘</w:t>
      </w:r>
      <w:r w:rsidRPr="0064124C">
        <w:t>NYSDHR</w:t>
      </w:r>
      <w:r>
        <w:t>’</w:t>
      </w:r>
      <w:r w:rsidRPr="0064124C">
        <w:t>), and the United States Equal Employment Opportunity Commission (</w:t>
      </w:r>
      <w:r>
        <w:t>‘</w:t>
      </w:r>
      <w:r w:rsidRPr="0064124C">
        <w:t>US EEOC</w:t>
      </w:r>
      <w:r>
        <w:t>’</w:t>
      </w:r>
      <w:r w:rsidRPr="0064124C">
        <w:t xml:space="preserve">) (collectively, </w:t>
      </w:r>
      <w:r>
        <w:t>‘</w:t>
      </w:r>
      <w:r w:rsidRPr="0064124C">
        <w:t>Agency Complaints</w:t>
      </w:r>
      <w:r>
        <w:t>’</w:t>
      </w:r>
      <w:r w:rsidRPr="0064124C">
        <w:t>)</w:t>
      </w:r>
      <w:r>
        <w:t xml:space="preserve">…. </w:t>
      </w:r>
      <w:r w:rsidRPr="0064124C">
        <w:t xml:space="preserve">According to an internal FDNY memorandum, McGrath's FDNY EEO complaint alleged that McGrath </w:t>
      </w:r>
      <w:r>
        <w:t>‘</w:t>
      </w:r>
      <w:r w:rsidRPr="0064124C">
        <w:t>was transferred and demoted due to his race (Caucasian) and gender (male), and that Arroyo received differential treatment because she is female and Hispanic.</w:t>
      </w:r>
      <w:r>
        <w:t>’</w:t>
      </w:r>
      <w:r w:rsidRPr="0064124C">
        <w:t xml:space="preserve"> (Nguyen Mem.)</w:t>
      </w:r>
    </w:p>
    <w:p w14:paraId="01796F3E" w14:textId="77777777" w:rsidR="001567BB" w:rsidRDefault="001567BB" w:rsidP="001567BB">
      <w:pPr>
        <w:ind w:left="720"/>
      </w:pPr>
      <w:r>
        <w:t>***</w:t>
      </w:r>
    </w:p>
    <w:p w14:paraId="2AAD5259" w14:textId="77777777" w:rsidR="001567BB" w:rsidRDefault="001567BB" w:rsidP="001567BB">
      <w:pPr>
        <w:ind w:left="720"/>
      </w:pPr>
      <w:r w:rsidRPr="00A8314F">
        <w:t>On September 9, 2016, BIT served McGrath with four charges under the FDNYs internal rules and regulations relating to sexual harassment, making false statements, and general conduct</w:t>
      </w:r>
      <w:r>
        <w:t>.”</w:t>
      </w:r>
    </w:p>
    <w:p w14:paraId="563CFC58" w14:textId="77777777" w:rsidR="001567BB" w:rsidRPr="00284816" w:rsidRDefault="001567BB" w:rsidP="001567BB">
      <w:pPr>
        <w:rPr>
          <w:b/>
          <w:bCs/>
        </w:rPr>
      </w:pPr>
      <w:r>
        <w:rPr>
          <w:b/>
        </w:rPr>
        <w:t>Legal lesson learned: FD conducted thorough investigation.</w:t>
      </w:r>
    </w:p>
    <w:p w14:paraId="7CA9A367" w14:textId="77777777" w:rsidR="001567BB" w:rsidRPr="00F05C98" w:rsidRDefault="001567BB" w:rsidP="001567BB">
      <w:pPr>
        <w:ind w:left="720"/>
      </w:pPr>
    </w:p>
    <w:p w14:paraId="6F1D9EFD" w14:textId="77777777" w:rsidR="000624FD" w:rsidRDefault="000624FD" w:rsidP="004C2EC5">
      <w:pPr>
        <w:pStyle w:val="NoSpacing"/>
        <w:rPr>
          <w:rFonts w:ascii="Arial Black" w:hAnsi="Arial Black"/>
          <w:b/>
          <w:bCs/>
          <w:sz w:val="24"/>
          <w:szCs w:val="24"/>
        </w:rPr>
      </w:pPr>
    </w:p>
    <w:p w14:paraId="4BF9CE48" w14:textId="19E4870C" w:rsidR="002F205D" w:rsidRDefault="002F205D" w:rsidP="004C2EC5">
      <w:pPr>
        <w:pStyle w:val="NoSpacing"/>
        <w:rPr>
          <w:rFonts w:ascii="Arial Black" w:hAnsi="Arial Black"/>
          <w:b/>
          <w:bCs/>
          <w:sz w:val="24"/>
          <w:szCs w:val="24"/>
        </w:rPr>
      </w:pPr>
      <w:r>
        <w:rPr>
          <w:rFonts w:ascii="Arial Black" w:hAnsi="Arial Black"/>
          <w:b/>
          <w:bCs/>
          <w:sz w:val="24"/>
          <w:szCs w:val="24"/>
        </w:rPr>
        <w:t>7-80</w:t>
      </w:r>
    </w:p>
    <w:p w14:paraId="2D439DEF" w14:textId="77777777" w:rsidR="002F205D" w:rsidRDefault="002F205D" w:rsidP="002F205D">
      <w:pPr>
        <w:pStyle w:val="NoSpacing"/>
        <w:rPr>
          <w:rFonts w:ascii="Arial Black" w:hAnsi="Arial Black"/>
          <w:sz w:val="28"/>
          <w:szCs w:val="28"/>
        </w:rPr>
      </w:pPr>
      <w:r>
        <w:rPr>
          <w:rFonts w:ascii="Arial Black" w:hAnsi="Arial Black"/>
          <w:sz w:val="28"/>
          <w:szCs w:val="28"/>
        </w:rPr>
        <w:t xml:space="preserve">IL: GENITALIA / HOMO / RACIST - TEXT MESSAGE GROUP </w:t>
      </w:r>
    </w:p>
    <w:p w14:paraId="160E9399" w14:textId="77777777" w:rsidR="002F205D" w:rsidRPr="006959F8" w:rsidRDefault="002F205D" w:rsidP="002F205D">
      <w:pPr>
        <w:pStyle w:val="NoSpacing"/>
        <w:rPr>
          <w:rFonts w:ascii="Times New Roman" w:hAnsi="Times New Roman"/>
          <w:sz w:val="24"/>
          <w:szCs w:val="24"/>
        </w:rPr>
      </w:pPr>
      <w:r w:rsidRPr="006959F8">
        <w:rPr>
          <w:rFonts w:ascii="Times New Roman" w:hAnsi="Times New Roman"/>
          <w:sz w:val="24"/>
          <w:szCs w:val="24"/>
        </w:rPr>
        <w:t xml:space="preserve"> </w:t>
      </w:r>
    </w:p>
    <w:p w14:paraId="0587292F" w14:textId="484109C8" w:rsidR="002F205D" w:rsidRPr="006959F8" w:rsidRDefault="002F205D" w:rsidP="002F205D">
      <w:pPr>
        <w:pStyle w:val="NoSpacing"/>
        <w:rPr>
          <w:rFonts w:ascii="Times New Roman" w:hAnsi="Times New Roman"/>
          <w:sz w:val="24"/>
          <w:szCs w:val="24"/>
        </w:rPr>
      </w:pPr>
      <w:r w:rsidRPr="006959F8">
        <w:rPr>
          <w:rFonts w:ascii="Times New Roman" w:hAnsi="Times New Roman"/>
          <w:sz w:val="24"/>
          <w:szCs w:val="24"/>
        </w:rPr>
        <w:t xml:space="preserve">On July 23, 2025, in </w:t>
      </w:r>
      <w:r w:rsidRPr="006959F8">
        <w:rPr>
          <w:rFonts w:ascii="Times New Roman" w:hAnsi="Times New Roman"/>
          <w:sz w:val="24"/>
          <w:szCs w:val="24"/>
          <w:u w:val="single"/>
        </w:rPr>
        <w:t>David Stieglitz v. City of Chicago, et al</w:t>
      </w:r>
      <w:r w:rsidRPr="006959F8">
        <w:rPr>
          <w:rFonts w:ascii="Times New Roman" w:hAnsi="Times New Roman"/>
          <w:sz w:val="24"/>
          <w:szCs w:val="24"/>
        </w:rPr>
        <w:t xml:space="preserve">., U.S. District Court Judge Franklin U. Valderrama, United States District Court for Northern District of Illinois (Eastern Division) denied the City’s motion to dismiss retaliation lawsuit; pre-trial discovery will now proceed for plaintiff (who is white).  The plaintiff has been a Chicago firefighter since 2005; in July 2000 he was added to a text message group from his firehouse; the chat excluded female firefighters, and included pictures of genitalia, homophobic and racist texts and inappropriate gifs.  He also complained about inappropriate conduct directed at his minor son during a visit to the firehouse, during which he was asked about his sexual orientation. He asked his Lieutenant and his Battalion Chief to be removed from the text message group and stop the conduct, but they took no action. In 2021 and 2022 he filed complaints with City EEOC and OIG, and retaliation started. His lawsuit claims: “he was ostracized by his coworkers, threatened with discipline for reporting illegal behavior, brought up on false internal review charges, the station cook spit on his plate at dinner, he had doors slammed in his face, and he was transferred from his assigned house.”  THE COURT HELD: “The Supreme Court recently clarified that to establish an adverse employment action under Title VII, a plaintiff need only show ‘some harm’ respecting an identifiable term or condition of employment, rather than a ‘significant’ disadvantage. </w:t>
      </w:r>
      <w:r w:rsidRPr="006959F8">
        <w:rPr>
          <w:rFonts w:ascii="Times New Roman" w:hAnsi="Times New Roman"/>
          <w:i/>
          <w:iCs/>
          <w:sz w:val="24"/>
          <w:szCs w:val="24"/>
        </w:rPr>
        <w:t>Muldrow v. City of St. Louis</w:t>
      </w:r>
      <w:r w:rsidRPr="006959F8">
        <w:rPr>
          <w:rFonts w:ascii="Times New Roman" w:hAnsi="Times New Roman"/>
          <w:sz w:val="24"/>
          <w:szCs w:val="24"/>
        </w:rPr>
        <w:t xml:space="preserve">, Mo., 601 U.S. 346, 355 (2024). </w:t>
      </w:r>
      <w:hyperlink r:id="rId1380" w:history="1">
        <w:r w:rsidRPr="006959F8">
          <w:rPr>
            <w:rStyle w:val="Hyperlink"/>
            <w:rFonts w:ascii="Times New Roman" w:hAnsi="Times New Roman"/>
            <w:sz w:val="24"/>
            <w:szCs w:val="24"/>
          </w:rPr>
          <w:t>https://www.courthousenews.com/wp-content/uploads/2025/07/illinois-court-allows-firefighter-emt-to-sue-over-sexually-hostile-environment.pdf</w:t>
        </w:r>
      </w:hyperlink>
    </w:p>
    <w:p w14:paraId="68862B53" w14:textId="77777777" w:rsidR="00E73444" w:rsidRPr="006959F8" w:rsidRDefault="00E73444" w:rsidP="002F205D">
      <w:pPr>
        <w:pStyle w:val="NoSpacing"/>
        <w:rPr>
          <w:rFonts w:ascii="Times New Roman" w:hAnsi="Times New Roman"/>
          <w:b/>
          <w:bCs/>
          <w:sz w:val="24"/>
          <w:szCs w:val="24"/>
        </w:rPr>
      </w:pPr>
    </w:p>
    <w:p w14:paraId="2281D8AD" w14:textId="77777777" w:rsidR="0069598C" w:rsidRPr="006959F8" w:rsidRDefault="0069598C" w:rsidP="0069598C">
      <w:pPr>
        <w:pStyle w:val="NoSpacing"/>
        <w:rPr>
          <w:rFonts w:ascii="Times New Roman" w:hAnsi="Times New Roman"/>
          <w:b/>
          <w:bCs/>
          <w:sz w:val="24"/>
          <w:szCs w:val="24"/>
        </w:rPr>
      </w:pPr>
      <w:r w:rsidRPr="006959F8">
        <w:rPr>
          <w:rFonts w:ascii="Times New Roman" w:hAnsi="Times New Roman"/>
          <w:b/>
          <w:sz w:val="24"/>
          <w:szCs w:val="24"/>
        </w:rPr>
        <w:t xml:space="preserve">Legal lesson learned:   Fire Station text message groups, like other forms of communication, can lead to litigation.  Under the U.S. Supreme Court’s April 17, </w:t>
      </w:r>
      <w:proofErr w:type="gramStart"/>
      <w:r w:rsidRPr="006959F8">
        <w:rPr>
          <w:rFonts w:ascii="Times New Roman" w:hAnsi="Times New Roman"/>
          <w:b/>
          <w:sz w:val="24"/>
          <w:szCs w:val="24"/>
        </w:rPr>
        <w:t>2024</w:t>
      </w:r>
      <w:proofErr w:type="gramEnd"/>
      <w:r w:rsidRPr="006959F8">
        <w:rPr>
          <w:rFonts w:ascii="Times New Roman" w:hAnsi="Times New Roman"/>
          <w:b/>
          <w:sz w:val="24"/>
          <w:szCs w:val="24"/>
        </w:rPr>
        <w:t xml:space="preserve"> decision in </w:t>
      </w:r>
      <w:r w:rsidRPr="006959F8">
        <w:rPr>
          <w:rFonts w:ascii="Times New Roman" w:hAnsi="Times New Roman"/>
          <w:b/>
          <w:i/>
          <w:iCs/>
          <w:sz w:val="24"/>
          <w:szCs w:val="24"/>
        </w:rPr>
        <w:t xml:space="preserve">Muldrow v. City of St. Louis, </w:t>
      </w:r>
      <w:r w:rsidRPr="006959F8">
        <w:rPr>
          <w:rFonts w:ascii="Times New Roman" w:hAnsi="Times New Roman"/>
          <w:b/>
          <w:sz w:val="24"/>
          <w:szCs w:val="24"/>
        </w:rPr>
        <w:t xml:space="preserve">lawsuits claiming retaliation need only allege “some harms” to proceed with pre-trial discovery. </w:t>
      </w:r>
      <w:hyperlink r:id="rId1381" w:history="1">
        <w:r w:rsidRPr="006959F8">
          <w:rPr>
            <w:rStyle w:val="Hyperlink"/>
            <w:rFonts w:ascii="Times New Roman" w:hAnsi="Times New Roman"/>
            <w:b/>
            <w:sz w:val="24"/>
            <w:szCs w:val="24"/>
          </w:rPr>
          <w:t>https://www.supremecourt.gov/opinions/23pdf/22-193_q86b.pdf</w:t>
        </w:r>
      </w:hyperlink>
      <w:r w:rsidRPr="006959F8">
        <w:rPr>
          <w:rFonts w:ascii="Times New Roman" w:hAnsi="Times New Roman"/>
          <w:b/>
          <w:sz w:val="24"/>
          <w:szCs w:val="24"/>
        </w:rPr>
        <w:t xml:space="preserve"> </w:t>
      </w:r>
    </w:p>
    <w:p w14:paraId="6A62170C" w14:textId="77777777" w:rsidR="0069598C" w:rsidRPr="006959F8" w:rsidRDefault="0069598C" w:rsidP="0069598C">
      <w:pPr>
        <w:pStyle w:val="NoSpacing"/>
        <w:rPr>
          <w:rFonts w:ascii="Times New Roman" w:hAnsi="Times New Roman"/>
          <w:b/>
          <w:bCs/>
          <w:sz w:val="24"/>
          <w:szCs w:val="24"/>
        </w:rPr>
      </w:pPr>
    </w:p>
    <w:p w14:paraId="501B1C06" w14:textId="77777777" w:rsidR="0069598C" w:rsidRPr="006959F8" w:rsidRDefault="0069598C" w:rsidP="0069598C">
      <w:pPr>
        <w:pStyle w:val="NoSpacing"/>
        <w:ind w:left="720"/>
        <w:rPr>
          <w:rFonts w:ascii="Times New Roman" w:hAnsi="Times New Roman"/>
          <w:sz w:val="24"/>
          <w:szCs w:val="24"/>
        </w:rPr>
      </w:pPr>
      <w:r w:rsidRPr="006959F8">
        <w:rPr>
          <w:rFonts w:ascii="Times New Roman" w:hAnsi="Times New Roman"/>
          <w:sz w:val="24"/>
          <w:szCs w:val="24"/>
        </w:rPr>
        <w:t xml:space="preserve">Note:  Plaintiff in 2017 filed an EEOC complaint and then sued the </w:t>
      </w:r>
      <w:proofErr w:type="gramStart"/>
      <w:r w:rsidRPr="006959F8">
        <w:rPr>
          <w:rFonts w:ascii="Times New Roman" w:hAnsi="Times New Roman"/>
          <w:sz w:val="24"/>
          <w:szCs w:val="24"/>
        </w:rPr>
        <w:t>City</w:t>
      </w:r>
      <w:proofErr w:type="gramEnd"/>
      <w:r w:rsidRPr="006959F8">
        <w:rPr>
          <w:rFonts w:ascii="Times New Roman" w:hAnsi="Times New Roman"/>
          <w:sz w:val="24"/>
          <w:szCs w:val="24"/>
        </w:rPr>
        <w:t xml:space="preserve">, claiming racial discrimination (he is white) about his Black Captain assigning two additional firefighters to drive Truck 19. The trial court judge after pre-trial discovery granted summary judgement to the </w:t>
      </w:r>
      <w:proofErr w:type="gramStart"/>
      <w:r w:rsidRPr="006959F8">
        <w:rPr>
          <w:rFonts w:ascii="Times New Roman" w:hAnsi="Times New Roman"/>
          <w:sz w:val="24"/>
          <w:szCs w:val="24"/>
        </w:rPr>
        <w:t>City</w:t>
      </w:r>
      <w:proofErr w:type="gramEnd"/>
      <w:r w:rsidRPr="006959F8">
        <w:rPr>
          <w:rFonts w:ascii="Times New Roman" w:hAnsi="Times New Roman"/>
          <w:sz w:val="24"/>
          <w:szCs w:val="24"/>
        </w:rPr>
        <w:t>.  On July 12, 2022, the U.S. Court of Appeals for 7</w:t>
      </w:r>
      <w:r w:rsidRPr="006959F8">
        <w:rPr>
          <w:rFonts w:ascii="Times New Roman" w:hAnsi="Times New Roman"/>
          <w:sz w:val="24"/>
          <w:szCs w:val="24"/>
          <w:vertAlign w:val="superscript"/>
        </w:rPr>
        <w:t>th</w:t>
      </w:r>
      <w:r w:rsidRPr="006959F8">
        <w:rPr>
          <w:rFonts w:ascii="Times New Roman" w:hAnsi="Times New Roman"/>
          <w:sz w:val="24"/>
          <w:szCs w:val="24"/>
        </w:rPr>
        <w:t xml:space="preserve"> Circuit (Chicago) held that his race discrimination case was properly dismissed. </w:t>
      </w:r>
      <w:hyperlink r:id="rId1382" w:history="1">
        <w:r w:rsidRPr="006959F8">
          <w:rPr>
            <w:rStyle w:val="Hyperlink"/>
            <w:rFonts w:ascii="Times New Roman" w:hAnsi="Times New Roman"/>
            <w:sz w:val="24"/>
            <w:szCs w:val="24"/>
          </w:rPr>
          <w:t>https://media.ca7.uscourts.gov/cgi-bin/rssExec.pl?Submit=Display&amp;Path=Y2022/D07-12/C:21-2784:J:PerCuriam:aut:T:npDp:N:2902357:S:0</w:t>
        </w:r>
      </w:hyperlink>
      <w:r w:rsidRPr="006959F8">
        <w:rPr>
          <w:rFonts w:ascii="Times New Roman" w:hAnsi="Times New Roman"/>
          <w:sz w:val="24"/>
          <w:szCs w:val="24"/>
        </w:rPr>
        <w:t xml:space="preserve"> </w:t>
      </w:r>
    </w:p>
    <w:p w14:paraId="3B0EE4E7" w14:textId="77777777" w:rsidR="0069598C" w:rsidRPr="006959F8" w:rsidRDefault="0069598C" w:rsidP="0069598C">
      <w:pPr>
        <w:pStyle w:val="NoSpacing"/>
        <w:ind w:left="720"/>
        <w:rPr>
          <w:rFonts w:ascii="Times New Roman" w:hAnsi="Times New Roman"/>
          <w:sz w:val="24"/>
          <w:szCs w:val="24"/>
        </w:rPr>
      </w:pPr>
    </w:p>
    <w:p w14:paraId="457039C6" w14:textId="77777777" w:rsidR="0069598C" w:rsidRPr="006959F8" w:rsidRDefault="0069598C" w:rsidP="0069598C">
      <w:pPr>
        <w:pStyle w:val="NoSpacing"/>
        <w:ind w:left="1440"/>
        <w:rPr>
          <w:rFonts w:ascii="Times New Roman" w:hAnsi="Times New Roman"/>
          <w:sz w:val="24"/>
          <w:szCs w:val="24"/>
        </w:rPr>
      </w:pPr>
      <w:r w:rsidRPr="006959F8">
        <w:rPr>
          <w:rFonts w:ascii="Times New Roman" w:hAnsi="Times New Roman"/>
          <w:sz w:val="24"/>
          <w:szCs w:val="24"/>
        </w:rPr>
        <w:t>“David Stieglitz, a Chicago firefighter, sued the City of Chicago under Title VII of the Civil Rights Act of 1964 for race discrimination and retaliation. He alleged that his captain deprived him of lucrative opportunities to drive a fire truck because of his race (White) and that, after he protested, the Chicago Fire Department retaliated against him by briefly suspending him from driving. The district court granted the City’s motion for summary judgment, concluding that Stieglitz lacked evidence to dispute the City’s non-discriminatory reasons for scheduling multiple drivers and for the suspension. Because a jury could not reasonably infer from the evidence any intent to discriminate or retaliate, we affirm”</w:t>
      </w:r>
    </w:p>
    <w:p w14:paraId="4E3D58BB" w14:textId="77777777" w:rsidR="0069598C" w:rsidRDefault="0069598C" w:rsidP="002F205D">
      <w:pPr>
        <w:pStyle w:val="NoSpacing"/>
        <w:rPr>
          <w:rFonts w:ascii="Arial Black" w:hAnsi="Arial Black"/>
          <w:b/>
          <w:bCs/>
          <w:sz w:val="24"/>
          <w:szCs w:val="24"/>
        </w:rPr>
      </w:pPr>
    </w:p>
    <w:p w14:paraId="3CAC8C5E" w14:textId="77777777" w:rsidR="002F205D" w:rsidRDefault="002F205D" w:rsidP="004C2EC5">
      <w:pPr>
        <w:pStyle w:val="NoSpacing"/>
        <w:rPr>
          <w:rFonts w:ascii="Arial Black" w:hAnsi="Arial Black"/>
          <w:b/>
          <w:bCs/>
          <w:sz w:val="24"/>
          <w:szCs w:val="24"/>
        </w:rPr>
      </w:pPr>
    </w:p>
    <w:p w14:paraId="6DCFE024" w14:textId="77777777" w:rsidR="002F205D" w:rsidRDefault="002F205D" w:rsidP="004C2EC5">
      <w:pPr>
        <w:pStyle w:val="NoSpacing"/>
        <w:rPr>
          <w:rFonts w:ascii="Arial Black" w:hAnsi="Arial Black"/>
          <w:b/>
          <w:bCs/>
          <w:sz w:val="24"/>
          <w:szCs w:val="24"/>
        </w:rPr>
      </w:pPr>
    </w:p>
    <w:p w14:paraId="7A1966F8" w14:textId="77777777" w:rsidR="002F205D" w:rsidRDefault="002F205D" w:rsidP="004C2EC5">
      <w:pPr>
        <w:pStyle w:val="NoSpacing"/>
        <w:rPr>
          <w:rFonts w:ascii="Arial Black" w:hAnsi="Arial Black"/>
          <w:b/>
          <w:bCs/>
          <w:sz w:val="24"/>
          <w:szCs w:val="24"/>
        </w:rPr>
      </w:pPr>
    </w:p>
    <w:p w14:paraId="2679312F" w14:textId="77777777" w:rsidR="002F205D" w:rsidRDefault="002F205D" w:rsidP="004C2EC5">
      <w:pPr>
        <w:pStyle w:val="NoSpacing"/>
        <w:rPr>
          <w:rFonts w:ascii="Arial Black" w:hAnsi="Arial Black"/>
          <w:b/>
          <w:bCs/>
          <w:sz w:val="24"/>
          <w:szCs w:val="24"/>
        </w:rPr>
      </w:pPr>
    </w:p>
    <w:p w14:paraId="6F5FED96" w14:textId="3B903620" w:rsidR="004C2EC5" w:rsidRDefault="004C2EC5" w:rsidP="004C2EC5">
      <w:pPr>
        <w:pStyle w:val="NoSpacing"/>
        <w:rPr>
          <w:rFonts w:ascii="Arial Black" w:hAnsi="Arial Black"/>
          <w:b/>
          <w:bCs/>
          <w:sz w:val="24"/>
          <w:szCs w:val="24"/>
        </w:rPr>
      </w:pPr>
      <w:r>
        <w:rPr>
          <w:rFonts w:ascii="Arial Black" w:hAnsi="Arial Black"/>
          <w:b/>
          <w:bCs/>
          <w:sz w:val="24"/>
          <w:szCs w:val="24"/>
        </w:rPr>
        <w:t>7-7</w:t>
      </w:r>
      <w:r w:rsidR="00092DAC">
        <w:rPr>
          <w:rFonts w:ascii="Arial Black" w:hAnsi="Arial Black"/>
          <w:b/>
          <w:bCs/>
          <w:sz w:val="24"/>
          <w:szCs w:val="24"/>
        </w:rPr>
        <w:t>9</w:t>
      </w:r>
    </w:p>
    <w:p w14:paraId="6BAFD43F" w14:textId="77777777" w:rsidR="002F205D" w:rsidRDefault="002F205D" w:rsidP="00FB15FE">
      <w:pPr>
        <w:rPr>
          <w:rFonts w:ascii="Arial Black" w:hAnsi="Arial Black"/>
          <w:b/>
          <w:sz w:val="28"/>
          <w:szCs w:val="28"/>
        </w:rPr>
      </w:pPr>
    </w:p>
    <w:p w14:paraId="1F9489F4" w14:textId="65ECB607" w:rsidR="00FB15FE" w:rsidRPr="00221AA5" w:rsidRDefault="00FB15FE" w:rsidP="00FB15FE">
      <w:pPr>
        <w:rPr>
          <w:rFonts w:ascii="Arial Black" w:hAnsi="Arial Black"/>
          <w:b/>
          <w:sz w:val="28"/>
          <w:szCs w:val="28"/>
        </w:rPr>
      </w:pPr>
      <w:r>
        <w:rPr>
          <w:rFonts w:ascii="Arial Black" w:hAnsi="Arial Black"/>
          <w:b/>
          <w:sz w:val="28"/>
          <w:szCs w:val="28"/>
        </w:rPr>
        <w:t>U.S. SUP. CT: “STRAIGHT” FEMALE</w:t>
      </w:r>
      <w:r w:rsidR="00E6658C">
        <w:rPr>
          <w:rFonts w:ascii="Arial Black" w:hAnsi="Arial Black"/>
          <w:b/>
          <w:sz w:val="28"/>
          <w:szCs w:val="28"/>
        </w:rPr>
        <w:t xml:space="preserve"> RIGHTS</w:t>
      </w:r>
      <w:r>
        <w:rPr>
          <w:rFonts w:ascii="Arial Black" w:hAnsi="Arial Black"/>
          <w:b/>
          <w:sz w:val="28"/>
          <w:szCs w:val="28"/>
        </w:rPr>
        <w:t xml:space="preserve"> – MGT FAVORED GAYS</w:t>
      </w:r>
    </w:p>
    <w:p w14:paraId="207D15DB" w14:textId="77777777" w:rsidR="00FB15FE" w:rsidRPr="002A313D" w:rsidRDefault="00FB15FE" w:rsidP="00FB15FE">
      <w:pPr>
        <w:pStyle w:val="NoSpacing"/>
        <w:rPr>
          <w:rFonts w:ascii="Times New Roman" w:hAnsi="Times New Roman"/>
          <w:bCs/>
          <w:sz w:val="24"/>
          <w:szCs w:val="24"/>
        </w:rPr>
      </w:pPr>
      <w:r w:rsidRPr="002A313D">
        <w:rPr>
          <w:rFonts w:ascii="Times New Roman" w:hAnsi="Times New Roman"/>
          <w:sz w:val="24"/>
          <w:szCs w:val="24"/>
        </w:rPr>
        <w:t xml:space="preserve">On June 5, 2025, in </w:t>
      </w:r>
      <w:r w:rsidRPr="002A313D">
        <w:rPr>
          <w:rFonts w:ascii="Times New Roman" w:hAnsi="Times New Roman"/>
          <w:sz w:val="24"/>
          <w:szCs w:val="24"/>
          <w:u w:val="single"/>
        </w:rPr>
        <w:t>Marlean Ames v. Ohio Department of Youth Services</w:t>
      </w:r>
      <w:r w:rsidRPr="002A313D">
        <w:rPr>
          <w:rFonts w:ascii="Times New Roman" w:hAnsi="Times New Roman"/>
          <w:sz w:val="24"/>
          <w:szCs w:val="24"/>
        </w:rPr>
        <w:t>, the United States Supreme Court held (9 to 0) that heterosexual and other majority group employees may sue employers who they allege made promotion or other job assignments in favor of gay employees.  The Court rejected the requirement of the 6</w:t>
      </w:r>
      <w:r w:rsidRPr="002A313D">
        <w:rPr>
          <w:rFonts w:ascii="Times New Roman" w:hAnsi="Times New Roman"/>
          <w:sz w:val="24"/>
          <w:szCs w:val="24"/>
          <w:vertAlign w:val="superscript"/>
        </w:rPr>
        <w:t>th</w:t>
      </w:r>
      <w:r w:rsidRPr="002A313D">
        <w:rPr>
          <w:rFonts w:ascii="Times New Roman" w:hAnsi="Times New Roman"/>
          <w:sz w:val="24"/>
          <w:szCs w:val="24"/>
        </w:rPr>
        <w:t xml:space="preserve"> Circuit (Cincinnati) and some other Circuits that for lawsuit by majority employee making claim of discrimination to survive summary judgment, the majority plaintiff must include detailed facts showing the “background circumstances” of the workplace “rare” discriminatory practices.  THE COURT HELD: “Congress left no room for courts to impose special requirements on majority-group plaintiffs alone.”</w:t>
      </w:r>
    </w:p>
    <w:p w14:paraId="79BC3F95" w14:textId="77777777" w:rsidR="00FB15FE" w:rsidRPr="002A313D" w:rsidRDefault="00FB15FE" w:rsidP="00FB15FE">
      <w:pPr>
        <w:rPr>
          <w:rFonts w:ascii="Times New Roman" w:hAnsi="Times New Roman"/>
          <w:bCs/>
          <w:sz w:val="24"/>
          <w:szCs w:val="24"/>
        </w:rPr>
      </w:pPr>
      <w:hyperlink r:id="rId1383" w:history="1">
        <w:r w:rsidRPr="002A313D">
          <w:rPr>
            <w:rStyle w:val="Hyperlink"/>
            <w:rFonts w:ascii="Times New Roman" w:hAnsi="Times New Roman"/>
            <w:sz w:val="24"/>
            <w:szCs w:val="24"/>
          </w:rPr>
          <w:t>https://www.supremecourt.gov/opinions/24pdf/23-1039_c0n2.pdf</w:t>
        </w:r>
      </w:hyperlink>
      <w:r w:rsidRPr="002A313D">
        <w:rPr>
          <w:rFonts w:ascii="Times New Roman" w:hAnsi="Times New Roman"/>
          <w:sz w:val="24"/>
          <w:szCs w:val="24"/>
        </w:rPr>
        <w:t xml:space="preserve"> </w:t>
      </w:r>
    </w:p>
    <w:p w14:paraId="70F9452D" w14:textId="77777777" w:rsidR="002A313D" w:rsidRPr="002A313D" w:rsidRDefault="002A313D" w:rsidP="002A313D">
      <w:pPr>
        <w:pStyle w:val="NoSpacing"/>
        <w:rPr>
          <w:rFonts w:ascii="Times New Roman" w:hAnsi="Times New Roman"/>
          <w:b/>
          <w:sz w:val="24"/>
          <w:szCs w:val="24"/>
        </w:rPr>
      </w:pPr>
      <w:r w:rsidRPr="002A313D">
        <w:rPr>
          <w:rFonts w:ascii="Times New Roman" w:hAnsi="Times New Roman"/>
          <w:b/>
          <w:sz w:val="24"/>
          <w:szCs w:val="24"/>
        </w:rPr>
        <w:t xml:space="preserve">Legal lesson learned: Unanimous Court opinion – Title VII of the Civil Rights Act of 1964 does not impose a high standard of proof for majority-group plaintiffs. </w:t>
      </w:r>
    </w:p>
    <w:p w14:paraId="5A2822D8" w14:textId="77777777" w:rsidR="00F40B03" w:rsidRPr="002A313D" w:rsidRDefault="00F40B03" w:rsidP="00F326E5">
      <w:pPr>
        <w:pStyle w:val="NoSpacing"/>
        <w:rPr>
          <w:rFonts w:ascii="Times New Roman" w:hAnsi="Times New Roman"/>
          <w:b/>
          <w:bCs/>
          <w:sz w:val="24"/>
          <w:szCs w:val="24"/>
        </w:rPr>
      </w:pPr>
    </w:p>
    <w:p w14:paraId="7C5E10BE" w14:textId="77777777" w:rsidR="00F40B03" w:rsidRDefault="00F40B03" w:rsidP="00F326E5">
      <w:pPr>
        <w:pStyle w:val="NoSpacing"/>
        <w:rPr>
          <w:rFonts w:ascii="Arial Black" w:hAnsi="Arial Black"/>
          <w:b/>
          <w:bCs/>
          <w:sz w:val="24"/>
          <w:szCs w:val="24"/>
        </w:rPr>
      </w:pPr>
    </w:p>
    <w:p w14:paraId="12E4BEF7" w14:textId="77777777" w:rsidR="004C2EC5" w:rsidRDefault="004C2EC5" w:rsidP="00BD31D3">
      <w:pPr>
        <w:rPr>
          <w:rFonts w:ascii="Arial Black" w:hAnsi="Arial Black"/>
          <w:sz w:val="28"/>
          <w:szCs w:val="28"/>
        </w:rPr>
      </w:pPr>
    </w:p>
    <w:p w14:paraId="23FFF287" w14:textId="7C8074F8" w:rsidR="004C2EC5" w:rsidRDefault="004C2EC5" w:rsidP="004C2EC5">
      <w:pPr>
        <w:pStyle w:val="NoSpacing"/>
        <w:rPr>
          <w:rFonts w:ascii="Arial Black" w:hAnsi="Arial Black"/>
          <w:b/>
          <w:bCs/>
          <w:sz w:val="24"/>
          <w:szCs w:val="24"/>
        </w:rPr>
      </w:pPr>
      <w:r>
        <w:rPr>
          <w:rFonts w:ascii="Arial Black" w:hAnsi="Arial Black"/>
          <w:b/>
          <w:bCs/>
          <w:sz w:val="24"/>
          <w:szCs w:val="24"/>
        </w:rPr>
        <w:t>7-78</w:t>
      </w:r>
    </w:p>
    <w:p w14:paraId="26D823E5" w14:textId="77777777" w:rsidR="004C2EC5" w:rsidRDefault="004C2EC5" w:rsidP="00BD31D3">
      <w:pPr>
        <w:rPr>
          <w:rFonts w:ascii="Arial Black" w:hAnsi="Arial Black"/>
          <w:sz w:val="28"/>
          <w:szCs w:val="28"/>
        </w:rPr>
      </w:pPr>
    </w:p>
    <w:p w14:paraId="04FDF0FB" w14:textId="2F4C8D5E" w:rsidR="00BD31D3" w:rsidRPr="00427BC4" w:rsidRDefault="00BD31D3" w:rsidP="00BD31D3">
      <w:pPr>
        <w:rPr>
          <w:rFonts w:ascii="Arial Black" w:hAnsi="Arial Black"/>
          <w:sz w:val="28"/>
          <w:szCs w:val="28"/>
        </w:rPr>
      </w:pPr>
      <w:r>
        <w:rPr>
          <w:rFonts w:ascii="Arial Black" w:hAnsi="Arial Black"/>
          <w:sz w:val="28"/>
          <w:szCs w:val="28"/>
        </w:rPr>
        <w:t xml:space="preserve">OK: 2 FEMALES NOT PROMOTED – NO OUTSIDE PANEL USED </w:t>
      </w:r>
    </w:p>
    <w:p w14:paraId="1D128C33" w14:textId="77777777" w:rsidR="00BD31D3" w:rsidRPr="00DB7CAF" w:rsidRDefault="00BD31D3" w:rsidP="00BD31D3">
      <w:pPr>
        <w:pStyle w:val="NoSpacing"/>
        <w:rPr>
          <w:rFonts w:ascii="Times New Roman" w:hAnsi="Times New Roman"/>
          <w:sz w:val="24"/>
          <w:szCs w:val="24"/>
        </w:rPr>
      </w:pPr>
      <w:r w:rsidRPr="00DB7CAF">
        <w:rPr>
          <w:rFonts w:ascii="Times New Roman" w:hAnsi="Times New Roman"/>
          <w:sz w:val="24"/>
          <w:szCs w:val="24"/>
        </w:rPr>
        <w:t xml:space="preserve">On June 2, 2025, in </w:t>
      </w:r>
      <w:r w:rsidRPr="00DB7CAF">
        <w:rPr>
          <w:rFonts w:ascii="Times New Roman" w:hAnsi="Times New Roman"/>
          <w:sz w:val="24"/>
          <w:szCs w:val="24"/>
          <w:u w:val="single"/>
        </w:rPr>
        <w:t>Greta J. Hurt; Julie D, Lynn v. City of Tulsa, Oklahoma</w:t>
      </w:r>
      <w:r w:rsidRPr="00DB7CAF">
        <w:rPr>
          <w:rFonts w:ascii="Times New Roman" w:hAnsi="Times New Roman"/>
          <w:sz w:val="24"/>
          <w:szCs w:val="24"/>
        </w:rPr>
        <w:t xml:space="preserve">, U.S. District Court Judge John D. Russell, United States District Court for the Northern District of Oklahoma, denied the City’s motion for summary judgment on the “failure-to-promote” claim, after two male District Chiefs were selected by 3-person Panel (including Fire Chief and Deputy Chief, and a retired Fire Chief from Georgia), because “the evidence of record could permit a jury to find that the Department's stated reasons for promoting the [two males] are pretextual.”  Plaintiffs’ claims of retaliation after filing EEOC charge and hostile work atmosphere were dismissed.  In 2021, the Department announced two openings for Assistant Fire Chief – four applicants were all qualified.  In </w:t>
      </w:r>
      <w:proofErr w:type="gramStart"/>
      <w:r w:rsidRPr="00DB7CAF">
        <w:rPr>
          <w:rFonts w:ascii="Times New Roman" w:hAnsi="Times New Roman"/>
          <w:sz w:val="24"/>
          <w:szCs w:val="24"/>
        </w:rPr>
        <w:t>July,</w:t>
      </w:r>
      <w:proofErr w:type="gramEnd"/>
      <w:r w:rsidRPr="00DB7CAF">
        <w:rPr>
          <w:rFonts w:ascii="Times New Roman" w:hAnsi="Times New Roman"/>
          <w:sz w:val="24"/>
          <w:szCs w:val="24"/>
        </w:rPr>
        <w:t xml:space="preserve"> 2021 the Fire Chief changed process, with union permission – instead of an outside assessment panel, with rank order of best candidates, he established the internal panel.   THE COURT HELD: “Could a jury find that the Department's decision to forgo the established procedure was the product of a desire to save the city and the candidates the cost and burden of an assessment? The answer to that question is yes. Could a jury also find, based on Mr. Lay's testimony, that Chief Baker and Deputy Chief Goins departed from the AOP process because they wanted to pick their preferred candidates, regardless of how well they performed on an impartial assessment? The answer to that question is also yes.” </w:t>
      </w:r>
    </w:p>
    <w:p w14:paraId="1F497530" w14:textId="6B995126" w:rsidR="007426EF" w:rsidRPr="00DB7CAF" w:rsidRDefault="00BD31D3" w:rsidP="00BD31D3">
      <w:pPr>
        <w:pStyle w:val="NoSpacing"/>
        <w:rPr>
          <w:rFonts w:ascii="Times New Roman" w:hAnsi="Times New Roman"/>
          <w:sz w:val="24"/>
          <w:szCs w:val="24"/>
        </w:rPr>
      </w:pPr>
      <w:hyperlink r:id="rId1384" w:history="1">
        <w:r w:rsidRPr="00DB7CAF">
          <w:rPr>
            <w:rStyle w:val="Hyperlink"/>
            <w:rFonts w:ascii="Times New Roman" w:hAnsi="Times New Roman"/>
            <w:sz w:val="24"/>
            <w:szCs w:val="24"/>
          </w:rPr>
          <w:t>https://ktul.com/resources/pdf/dc103f10-071a-4876-bf70-774bb3ddb220-HurtLynnv.COTSummaryJudgmentDecision.pdf</w:t>
        </w:r>
      </w:hyperlink>
    </w:p>
    <w:p w14:paraId="4E2717BE" w14:textId="77777777" w:rsidR="00DB7CAF" w:rsidRPr="00DB7CAF" w:rsidRDefault="00DB7CAF" w:rsidP="00BD31D3">
      <w:pPr>
        <w:pStyle w:val="NoSpacing"/>
        <w:rPr>
          <w:rFonts w:ascii="Times New Roman" w:hAnsi="Times New Roman"/>
          <w:sz w:val="24"/>
          <w:szCs w:val="24"/>
        </w:rPr>
      </w:pPr>
    </w:p>
    <w:p w14:paraId="332898EB" w14:textId="77777777" w:rsidR="00DB7CAF" w:rsidRPr="00DB7CAF" w:rsidRDefault="00DB7CAF" w:rsidP="00DB7CAF">
      <w:pPr>
        <w:rPr>
          <w:rFonts w:ascii="Times New Roman" w:hAnsi="Times New Roman"/>
          <w:b/>
          <w:bCs/>
          <w:sz w:val="24"/>
          <w:szCs w:val="24"/>
        </w:rPr>
      </w:pPr>
      <w:r w:rsidRPr="00DB7CAF">
        <w:rPr>
          <w:rFonts w:ascii="Times New Roman" w:hAnsi="Times New Roman"/>
          <w:b/>
          <w:sz w:val="24"/>
          <w:szCs w:val="24"/>
        </w:rPr>
        <w:t xml:space="preserve">Legal lesson learned: Follow the </w:t>
      </w:r>
      <w:r w:rsidRPr="00DB7CAF">
        <w:rPr>
          <w:rFonts w:ascii="Times New Roman" w:hAnsi="Times New Roman"/>
          <w:b/>
          <w:bCs/>
          <w:sz w:val="24"/>
          <w:szCs w:val="24"/>
        </w:rPr>
        <w:t xml:space="preserve">normal </w:t>
      </w:r>
      <w:r w:rsidRPr="00DB7CAF">
        <w:rPr>
          <w:rFonts w:ascii="Times New Roman" w:hAnsi="Times New Roman"/>
          <w:b/>
          <w:sz w:val="24"/>
          <w:szCs w:val="24"/>
        </w:rPr>
        <w:t xml:space="preserve">promotion process, including </w:t>
      </w:r>
      <w:r w:rsidRPr="00DB7CAF">
        <w:rPr>
          <w:rFonts w:ascii="Times New Roman" w:hAnsi="Times New Roman"/>
          <w:b/>
          <w:bCs/>
          <w:sz w:val="24"/>
          <w:szCs w:val="24"/>
        </w:rPr>
        <w:t>use of an</w:t>
      </w:r>
      <w:r w:rsidRPr="00DB7CAF">
        <w:rPr>
          <w:rFonts w:ascii="Times New Roman" w:hAnsi="Times New Roman"/>
          <w:b/>
          <w:sz w:val="24"/>
          <w:szCs w:val="24"/>
        </w:rPr>
        <w:t xml:space="preserve"> outside Assessment Panel doing ranking order. unless all applicants </w:t>
      </w:r>
      <w:r w:rsidRPr="00DB7CAF">
        <w:rPr>
          <w:rFonts w:ascii="Times New Roman" w:hAnsi="Times New Roman"/>
          <w:b/>
          <w:bCs/>
          <w:sz w:val="24"/>
          <w:szCs w:val="24"/>
        </w:rPr>
        <w:t xml:space="preserve">voluntarily </w:t>
      </w:r>
      <w:r w:rsidRPr="00DB7CAF">
        <w:rPr>
          <w:rFonts w:ascii="Times New Roman" w:hAnsi="Times New Roman"/>
          <w:b/>
          <w:sz w:val="24"/>
          <w:szCs w:val="24"/>
        </w:rPr>
        <w:t xml:space="preserve">agree </w:t>
      </w:r>
      <w:r w:rsidRPr="00DB7CAF">
        <w:rPr>
          <w:rFonts w:ascii="Times New Roman" w:hAnsi="Times New Roman"/>
          <w:b/>
          <w:bCs/>
          <w:sz w:val="24"/>
          <w:szCs w:val="24"/>
        </w:rPr>
        <w:t xml:space="preserve">in writing </w:t>
      </w:r>
      <w:r w:rsidRPr="00DB7CAF">
        <w:rPr>
          <w:rFonts w:ascii="Times New Roman" w:hAnsi="Times New Roman"/>
          <w:b/>
          <w:sz w:val="24"/>
          <w:szCs w:val="24"/>
        </w:rPr>
        <w:t xml:space="preserve">to the change. </w:t>
      </w:r>
    </w:p>
    <w:p w14:paraId="1BCC75B2" w14:textId="77777777" w:rsidR="004C2EC5" w:rsidRDefault="004C2EC5" w:rsidP="004C2EC5">
      <w:pPr>
        <w:pStyle w:val="NoSpacing"/>
        <w:rPr>
          <w:rFonts w:ascii="Arial Black" w:hAnsi="Arial Black"/>
          <w:b/>
          <w:bCs/>
          <w:sz w:val="24"/>
          <w:szCs w:val="24"/>
        </w:rPr>
      </w:pPr>
    </w:p>
    <w:p w14:paraId="65D5E237" w14:textId="77777777" w:rsidR="004C2EC5" w:rsidRDefault="004C2EC5" w:rsidP="004C2EC5">
      <w:pPr>
        <w:pStyle w:val="NoSpacing"/>
        <w:rPr>
          <w:rFonts w:ascii="Arial Black" w:hAnsi="Arial Black"/>
          <w:b/>
          <w:bCs/>
          <w:sz w:val="24"/>
          <w:szCs w:val="24"/>
        </w:rPr>
      </w:pPr>
    </w:p>
    <w:p w14:paraId="090D1872" w14:textId="0DCBFDD7" w:rsidR="004C2EC5" w:rsidRDefault="004C2EC5" w:rsidP="004C2EC5">
      <w:pPr>
        <w:pStyle w:val="NoSpacing"/>
        <w:rPr>
          <w:rFonts w:ascii="Arial Black" w:hAnsi="Arial Black"/>
          <w:b/>
          <w:bCs/>
          <w:sz w:val="24"/>
          <w:szCs w:val="24"/>
        </w:rPr>
      </w:pPr>
      <w:r>
        <w:rPr>
          <w:rFonts w:ascii="Arial Black" w:hAnsi="Arial Black"/>
          <w:b/>
          <w:bCs/>
          <w:sz w:val="24"/>
          <w:szCs w:val="24"/>
        </w:rPr>
        <w:t>7-77</w:t>
      </w:r>
    </w:p>
    <w:p w14:paraId="7FA68AD2" w14:textId="77777777" w:rsidR="00DB7CAF" w:rsidRDefault="00DB7CAF" w:rsidP="00BD31D3">
      <w:pPr>
        <w:pStyle w:val="NoSpacing"/>
        <w:rPr>
          <w:rFonts w:ascii="Arial Black" w:hAnsi="Arial Black"/>
          <w:b/>
          <w:bCs/>
          <w:sz w:val="24"/>
          <w:szCs w:val="24"/>
        </w:rPr>
      </w:pPr>
    </w:p>
    <w:p w14:paraId="346B078A" w14:textId="77777777" w:rsidR="004C2EC5" w:rsidRDefault="004C2EC5" w:rsidP="00BD31D3">
      <w:pPr>
        <w:pStyle w:val="NoSpacing"/>
        <w:rPr>
          <w:rFonts w:ascii="Arial Black" w:hAnsi="Arial Black"/>
          <w:b/>
          <w:bCs/>
          <w:sz w:val="24"/>
          <w:szCs w:val="24"/>
        </w:rPr>
      </w:pPr>
    </w:p>
    <w:p w14:paraId="1C3EEDAA" w14:textId="77777777" w:rsidR="00A307BA" w:rsidRPr="00EB6137" w:rsidRDefault="00A307BA" w:rsidP="00A307BA">
      <w:pPr>
        <w:rPr>
          <w:rFonts w:ascii="Arial Black" w:hAnsi="Arial Black"/>
          <w:sz w:val="28"/>
          <w:szCs w:val="28"/>
        </w:rPr>
      </w:pPr>
      <w:r>
        <w:rPr>
          <w:rFonts w:ascii="Arial Black" w:hAnsi="Arial Black"/>
          <w:sz w:val="28"/>
          <w:szCs w:val="28"/>
        </w:rPr>
        <w:t>KS: FEMALE NOT PROMOTED - HR DIDN’T REVIEW SCORES</w:t>
      </w:r>
    </w:p>
    <w:p w14:paraId="291D43F0" w14:textId="35304A21" w:rsidR="00F40B03" w:rsidRPr="005A38AE" w:rsidRDefault="00A307BA" w:rsidP="00A307BA">
      <w:pPr>
        <w:pStyle w:val="NoSpacing"/>
        <w:rPr>
          <w:rFonts w:ascii="Times New Roman" w:hAnsi="Times New Roman"/>
          <w:b/>
          <w:bCs/>
          <w:sz w:val="24"/>
          <w:szCs w:val="24"/>
        </w:rPr>
      </w:pPr>
      <w:r w:rsidRPr="005A38AE">
        <w:rPr>
          <w:rFonts w:ascii="Times New Roman" w:hAnsi="Times New Roman"/>
          <w:sz w:val="24"/>
          <w:szCs w:val="24"/>
        </w:rPr>
        <w:t xml:space="preserve">On May 30, 2025, in </w:t>
      </w:r>
      <w:r w:rsidRPr="005A38AE">
        <w:rPr>
          <w:rFonts w:ascii="Times New Roman" w:hAnsi="Times New Roman"/>
          <w:sz w:val="24"/>
          <w:szCs w:val="24"/>
          <w:u w:val="single"/>
        </w:rPr>
        <w:t>Barbara Hack v. City of Topeka, Kansas</w:t>
      </w:r>
      <w:r w:rsidRPr="005A38AE">
        <w:rPr>
          <w:rFonts w:ascii="Times New Roman" w:hAnsi="Times New Roman"/>
          <w:sz w:val="24"/>
          <w:szCs w:val="24"/>
        </w:rPr>
        <w:t xml:space="preserve">, U.S. District Court Judge Julie A. Robinson, United States District Court for the District of Kansas, denied the City’s motion for summary judgment; retired Captain Hack can now proceed to jury trial.  “In sum, the Court finds that the City’s failure to utilize H.R. during the promotion process is the type of procedural irregularity that calls into question whether the City’s stated reason for failing to promote Plaintiff is a pretext for discrimination.”  In 2022, the Fire Department had several senior management positions open, including four District Chief positions.  </w:t>
      </w:r>
      <w:proofErr w:type="gramStart"/>
      <w:r w:rsidRPr="005A38AE">
        <w:rPr>
          <w:rFonts w:ascii="Times New Roman" w:hAnsi="Times New Roman"/>
          <w:sz w:val="24"/>
          <w:szCs w:val="24"/>
        </w:rPr>
        <w:t>So</w:t>
      </w:r>
      <w:proofErr w:type="gramEnd"/>
      <w:r w:rsidRPr="005A38AE">
        <w:rPr>
          <w:rFonts w:ascii="Times New Roman" w:hAnsi="Times New Roman"/>
          <w:sz w:val="24"/>
          <w:szCs w:val="24"/>
        </w:rPr>
        <w:t xml:space="preserve"> Fire Chief decided to “streamline” the process, where one Panel would consider all seven applicants for the four positions, instead holding four separate promotion Panel interviews. The Panel included one internal member (Deputy Fire Chief Antony Standifer) and three external member (an attorney / former counsel for union; retired Kansas City Fire Chief; Deputy Fire Chief of Olathe Fire Department) and they rated Plaintiff 6</w:t>
      </w:r>
      <w:r w:rsidRPr="005A38AE">
        <w:rPr>
          <w:rFonts w:ascii="Times New Roman" w:hAnsi="Times New Roman"/>
          <w:sz w:val="24"/>
          <w:szCs w:val="24"/>
          <w:vertAlign w:val="superscript"/>
        </w:rPr>
        <w:t>th</w:t>
      </w:r>
      <w:r w:rsidRPr="005A38AE">
        <w:rPr>
          <w:rFonts w:ascii="Times New Roman" w:hAnsi="Times New Roman"/>
          <w:sz w:val="24"/>
          <w:szCs w:val="24"/>
        </w:rPr>
        <w:t xml:space="preserve"> of the 7 candidates (score of 131; top four were 171, 168, 164, 161).  The Director of HR testified that scores by Deputy Fire Chief Standifer would be “outliers” had H.R. reviewed them before the offers were made; he scored plaintiff only 23, compared to her ratings by others of 41, 34. 34]. THE COURT HELD: “However, when the totality of the evidence is reviewed, including the minimal role played by the City’s H.R. department, a reasonable jury could determine that the City’s stated reason for not promoting Plaintiff is pretext for gender discrimination…. H.R. was not used to </w:t>
      </w:r>
      <w:proofErr w:type="gramStart"/>
      <w:r w:rsidRPr="005A38AE">
        <w:rPr>
          <w:rFonts w:ascii="Times New Roman" w:hAnsi="Times New Roman"/>
          <w:sz w:val="24"/>
          <w:szCs w:val="24"/>
        </w:rPr>
        <w:t>review</w:t>
      </w:r>
      <w:proofErr w:type="gramEnd"/>
      <w:r w:rsidRPr="005A38AE">
        <w:rPr>
          <w:rFonts w:ascii="Times New Roman" w:hAnsi="Times New Roman"/>
          <w:sz w:val="24"/>
          <w:szCs w:val="24"/>
        </w:rPr>
        <w:t xml:space="preserve"> the interview questions or interview packets. H.R. was not used to review or provide Phillips with the applicants’ disciplinary histories. H.R. was not used to review the selections before job offers were made.”  </w:t>
      </w:r>
      <w:hyperlink r:id="rId1385" w:history="1">
        <w:r w:rsidRPr="005A38AE">
          <w:rPr>
            <w:rStyle w:val="Hyperlink"/>
            <w:rFonts w:ascii="Times New Roman" w:hAnsi="Times New Roman"/>
            <w:sz w:val="24"/>
            <w:szCs w:val="24"/>
          </w:rPr>
          <w:t>https://cases.justia.com/federal/district-courts/kansas/ksdce/2:2023cv02410/149154/93/0.pdf?ts=1748685326</w:t>
        </w:r>
      </w:hyperlink>
    </w:p>
    <w:p w14:paraId="00B463A5" w14:textId="77777777" w:rsidR="00A307BA" w:rsidRPr="005A38AE" w:rsidRDefault="00A307BA" w:rsidP="00F326E5">
      <w:pPr>
        <w:pStyle w:val="NoSpacing"/>
        <w:rPr>
          <w:rFonts w:ascii="Times New Roman" w:hAnsi="Times New Roman"/>
          <w:b/>
          <w:bCs/>
          <w:sz w:val="24"/>
          <w:szCs w:val="24"/>
        </w:rPr>
      </w:pPr>
    </w:p>
    <w:p w14:paraId="6593B960" w14:textId="77777777" w:rsidR="005A38AE" w:rsidRPr="005A38AE" w:rsidRDefault="005A38AE" w:rsidP="005A38AE">
      <w:pPr>
        <w:pStyle w:val="NoSpacing"/>
        <w:rPr>
          <w:rFonts w:ascii="Times New Roman" w:hAnsi="Times New Roman"/>
          <w:b/>
          <w:bCs/>
          <w:sz w:val="24"/>
          <w:szCs w:val="24"/>
        </w:rPr>
      </w:pPr>
      <w:r w:rsidRPr="005A38AE">
        <w:rPr>
          <w:rFonts w:ascii="Times New Roman" w:hAnsi="Times New Roman"/>
          <w:b/>
          <w:sz w:val="24"/>
          <w:szCs w:val="24"/>
        </w:rPr>
        <w:t xml:space="preserve">Legal Lesson learned: </w:t>
      </w:r>
      <w:r w:rsidRPr="005A38AE">
        <w:rPr>
          <w:rFonts w:ascii="Times New Roman" w:hAnsi="Times New Roman"/>
          <w:b/>
          <w:bCs/>
          <w:sz w:val="24"/>
          <w:szCs w:val="24"/>
        </w:rPr>
        <w:t xml:space="preserve">Follow normal promotion process, including </w:t>
      </w:r>
      <w:r w:rsidRPr="005A38AE">
        <w:rPr>
          <w:rFonts w:ascii="Times New Roman" w:hAnsi="Times New Roman"/>
          <w:b/>
          <w:sz w:val="24"/>
          <w:szCs w:val="24"/>
        </w:rPr>
        <w:t xml:space="preserve">HR reviewing Panel scores and providing Fire Chief with disciplinary history of candidates prior to promotion decisions. </w:t>
      </w:r>
    </w:p>
    <w:p w14:paraId="1DBEACFF" w14:textId="77777777" w:rsidR="00A307BA" w:rsidRPr="005A38AE" w:rsidRDefault="00A307BA" w:rsidP="00F326E5">
      <w:pPr>
        <w:pStyle w:val="NoSpacing"/>
        <w:rPr>
          <w:rFonts w:ascii="Times New Roman" w:hAnsi="Times New Roman"/>
          <w:b/>
          <w:bCs/>
          <w:sz w:val="24"/>
          <w:szCs w:val="24"/>
        </w:rPr>
      </w:pPr>
    </w:p>
    <w:p w14:paraId="7EFBC845" w14:textId="77777777" w:rsidR="00A307BA" w:rsidRDefault="00A307BA" w:rsidP="00F326E5">
      <w:pPr>
        <w:pStyle w:val="NoSpacing"/>
        <w:rPr>
          <w:rFonts w:ascii="Arial Black" w:hAnsi="Arial Black"/>
          <w:b/>
          <w:bCs/>
          <w:sz w:val="24"/>
          <w:szCs w:val="24"/>
        </w:rPr>
      </w:pPr>
    </w:p>
    <w:p w14:paraId="19F2C9B6" w14:textId="77777777" w:rsidR="00F40B03" w:rsidRDefault="00F40B03" w:rsidP="00F326E5">
      <w:pPr>
        <w:pStyle w:val="NoSpacing"/>
        <w:rPr>
          <w:rFonts w:ascii="Arial Black" w:hAnsi="Arial Black"/>
          <w:b/>
          <w:bCs/>
          <w:sz w:val="24"/>
          <w:szCs w:val="24"/>
        </w:rPr>
      </w:pPr>
    </w:p>
    <w:p w14:paraId="21104EFC" w14:textId="62C42600" w:rsidR="00571037" w:rsidRDefault="00571037" w:rsidP="00F326E5">
      <w:pPr>
        <w:pStyle w:val="NoSpacing"/>
        <w:rPr>
          <w:rFonts w:ascii="Arial Black" w:hAnsi="Arial Black"/>
          <w:b/>
          <w:bCs/>
          <w:sz w:val="24"/>
          <w:szCs w:val="24"/>
        </w:rPr>
      </w:pPr>
      <w:r>
        <w:rPr>
          <w:rFonts w:ascii="Arial Black" w:hAnsi="Arial Black"/>
          <w:b/>
          <w:bCs/>
          <w:sz w:val="24"/>
          <w:szCs w:val="24"/>
        </w:rPr>
        <w:t>7-76</w:t>
      </w:r>
    </w:p>
    <w:p w14:paraId="4ECDB932" w14:textId="77777777" w:rsidR="00571037" w:rsidRDefault="00571037" w:rsidP="00F326E5">
      <w:pPr>
        <w:pStyle w:val="NoSpacing"/>
        <w:rPr>
          <w:rFonts w:ascii="Arial Black" w:hAnsi="Arial Black"/>
          <w:b/>
          <w:bCs/>
          <w:sz w:val="24"/>
          <w:szCs w:val="24"/>
        </w:rPr>
      </w:pPr>
    </w:p>
    <w:p w14:paraId="3240C7D4" w14:textId="5D0AD8CE" w:rsidR="00F366B5" w:rsidRDefault="00F366B5" w:rsidP="00F366B5">
      <w:pPr>
        <w:pStyle w:val="NoSpacing"/>
        <w:rPr>
          <w:rFonts w:ascii="Arial Black" w:hAnsi="Arial Black"/>
          <w:b/>
          <w:sz w:val="28"/>
          <w:szCs w:val="28"/>
        </w:rPr>
      </w:pPr>
      <w:r w:rsidRPr="006F2B87">
        <w:rPr>
          <w:rFonts w:ascii="Arial Black" w:hAnsi="Arial Black"/>
          <w:b/>
          <w:sz w:val="28"/>
          <w:szCs w:val="28"/>
        </w:rPr>
        <w:t xml:space="preserve">CA: TOPLESS PHOTO – </w:t>
      </w:r>
      <w:r w:rsidR="00D90945">
        <w:rPr>
          <w:rFonts w:ascii="Arial Black" w:hAnsi="Arial Black"/>
          <w:b/>
          <w:sz w:val="28"/>
          <w:szCs w:val="28"/>
        </w:rPr>
        <w:t xml:space="preserve">WAS </w:t>
      </w:r>
      <w:r w:rsidRPr="006F2B87">
        <w:rPr>
          <w:rFonts w:ascii="Arial Black" w:hAnsi="Arial Black"/>
          <w:b/>
          <w:sz w:val="28"/>
          <w:szCs w:val="28"/>
        </w:rPr>
        <w:t xml:space="preserve">NOT </w:t>
      </w:r>
      <w:r w:rsidR="00D90945">
        <w:rPr>
          <w:rFonts w:ascii="Arial Black" w:hAnsi="Arial Black"/>
          <w:b/>
          <w:sz w:val="28"/>
          <w:szCs w:val="28"/>
        </w:rPr>
        <w:t xml:space="preserve">FEMALE </w:t>
      </w:r>
      <w:r w:rsidRPr="006F2B87">
        <w:rPr>
          <w:rFonts w:ascii="Arial Black" w:hAnsi="Arial Black"/>
          <w:b/>
          <w:sz w:val="28"/>
          <w:szCs w:val="28"/>
        </w:rPr>
        <w:t>PD CAPT</w:t>
      </w:r>
      <w:r>
        <w:rPr>
          <w:rFonts w:ascii="Arial Black" w:hAnsi="Arial Black"/>
          <w:b/>
          <w:bCs/>
          <w:sz w:val="28"/>
          <w:szCs w:val="28"/>
        </w:rPr>
        <w:t xml:space="preserve"> – MGT. INACTION </w:t>
      </w:r>
      <w:r w:rsidR="00D90945">
        <w:rPr>
          <w:rFonts w:ascii="Arial Black" w:hAnsi="Arial Black"/>
          <w:b/>
          <w:bCs/>
          <w:sz w:val="28"/>
          <w:szCs w:val="28"/>
        </w:rPr>
        <w:t>–</w:t>
      </w:r>
      <w:r>
        <w:rPr>
          <w:rFonts w:ascii="Arial Black" w:hAnsi="Arial Black"/>
          <w:b/>
          <w:bCs/>
          <w:sz w:val="28"/>
          <w:szCs w:val="28"/>
        </w:rPr>
        <w:t xml:space="preserve"> </w:t>
      </w:r>
      <w:r w:rsidR="00D90945">
        <w:rPr>
          <w:rFonts w:ascii="Arial Black" w:hAnsi="Arial Black"/>
          <w:b/>
          <w:bCs/>
          <w:sz w:val="28"/>
          <w:szCs w:val="28"/>
        </w:rPr>
        <w:t xml:space="preserve">JURY </w:t>
      </w:r>
      <w:r w:rsidRPr="006F2B87">
        <w:rPr>
          <w:rFonts w:ascii="Arial Black" w:hAnsi="Arial Black"/>
          <w:b/>
          <w:sz w:val="28"/>
          <w:szCs w:val="28"/>
        </w:rPr>
        <w:t xml:space="preserve">$4M </w:t>
      </w:r>
    </w:p>
    <w:p w14:paraId="718305C4" w14:textId="77777777" w:rsidR="00300DA5" w:rsidRDefault="00300DA5" w:rsidP="00F366B5">
      <w:pPr>
        <w:pStyle w:val="NoSpacing"/>
        <w:rPr>
          <w:rFonts w:ascii="Times New Roman" w:hAnsi="Times New Roman"/>
          <w:sz w:val="24"/>
          <w:szCs w:val="24"/>
        </w:rPr>
      </w:pPr>
    </w:p>
    <w:p w14:paraId="5AEEC49C" w14:textId="403FFABD" w:rsidR="00F366B5" w:rsidRPr="00F366B5" w:rsidRDefault="00F366B5" w:rsidP="00F366B5">
      <w:pPr>
        <w:pStyle w:val="NoSpacing"/>
        <w:rPr>
          <w:rFonts w:ascii="Times New Roman" w:hAnsi="Times New Roman"/>
          <w:bCs/>
          <w:sz w:val="24"/>
          <w:szCs w:val="24"/>
        </w:rPr>
      </w:pPr>
      <w:r w:rsidRPr="00F366B5">
        <w:rPr>
          <w:rFonts w:ascii="Times New Roman" w:hAnsi="Times New Roman"/>
          <w:sz w:val="24"/>
          <w:szCs w:val="24"/>
        </w:rPr>
        <w:t xml:space="preserve">On May 23, 2025, in </w:t>
      </w:r>
      <w:r w:rsidRPr="00F366B5">
        <w:rPr>
          <w:rFonts w:ascii="Times New Roman" w:hAnsi="Times New Roman"/>
          <w:sz w:val="24"/>
          <w:szCs w:val="24"/>
          <w:u w:val="single"/>
        </w:rPr>
        <w:t>Lillian Carranza v. City of Los Angeles</w:t>
      </w:r>
      <w:r w:rsidRPr="00F366B5">
        <w:rPr>
          <w:rFonts w:ascii="Times New Roman" w:hAnsi="Times New Roman"/>
          <w:sz w:val="24"/>
          <w:szCs w:val="24"/>
        </w:rPr>
        <w:t xml:space="preserve">, the Court of Appeal of California, Second Appellate District (Division Seven) held (3 to 0) that jury properly awarded the LA PD Captain $4 million, plus attorney fees of $610,050.  While the photo was </w:t>
      </w:r>
      <w:proofErr w:type="gramStart"/>
      <w:r w:rsidRPr="00F366B5">
        <w:rPr>
          <w:rFonts w:ascii="Times New Roman" w:hAnsi="Times New Roman"/>
          <w:sz w:val="24"/>
          <w:szCs w:val="24"/>
        </w:rPr>
        <w:t>actually not</w:t>
      </w:r>
      <w:proofErr w:type="gramEnd"/>
      <w:r w:rsidRPr="00F366B5">
        <w:rPr>
          <w:rFonts w:ascii="Times New Roman" w:hAnsi="Times New Roman"/>
          <w:sz w:val="24"/>
          <w:szCs w:val="24"/>
        </w:rPr>
        <w:t xml:space="preserve"> of Captain Carranza, many officers shared the photo and believed it was her.  </w:t>
      </w:r>
    </w:p>
    <w:p w14:paraId="14F96DEA" w14:textId="77777777" w:rsidR="00F366B5" w:rsidRPr="00F366B5" w:rsidRDefault="00F366B5" w:rsidP="00F366B5">
      <w:pPr>
        <w:pStyle w:val="NoSpacing"/>
        <w:rPr>
          <w:rFonts w:ascii="Times New Roman" w:hAnsi="Times New Roman"/>
          <w:bCs/>
          <w:sz w:val="24"/>
          <w:szCs w:val="24"/>
        </w:rPr>
      </w:pPr>
    </w:p>
    <w:p w14:paraId="3FFA6A4C" w14:textId="77777777" w:rsidR="00F366B5" w:rsidRPr="00F366B5" w:rsidRDefault="00F366B5" w:rsidP="00F366B5">
      <w:pPr>
        <w:pStyle w:val="NoSpacing"/>
        <w:rPr>
          <w:rFonts w:ascii="Times New Roman" w:hAnsi="Times New Roman"/>
          <w:bCs/>
          <w:sz w:val="24"/>
          <w:szCs w:val="24"/>
        </w:rPr>
      </w:pPr>
      <w:r w:rsidRPr="00F366B5">
        <w:rPr>
          <w:rFonts w:ascii="Times New Roman" w:hAnsi="Times New Roman"/>
          <w:sz w:val="24"/>
          <w:szCs w:val="24"/>
        </w:rPr>
        <w:t xml:space="preserve">The Court wrote: “On appeal, the City does not challenge the jury’s findings that the challenged conduct was unwelcome, that it occurred because of Carranza’s sex, and that the City failed to take immediate corrective action after learning that on-duty LAPD officers were viewing, electronically sharing, and joking with colleagues about the degrading photo of Carranza. Instead, the City contends only that there was insubstantial evidence that the harassment was sufficiently severe or pervasive to alter the conditions of Carranza’s employment and create an abusive work environment. *** We conclude substantial evidence supported the jury’s determination that Carranza endured severe or pervasive harassment that altered the conditions of her workplace, based on her secondhand knowledge that the photo was widely circulating around the Department.” </w:t>
      </w:r>
    </w:p>
    <w:p w14:paraId="04CCB99C" w14:textId="77777777" w:rsidR="00F366B5" w:rsidRDefault="00F366B5" w:rsidP="00F366B5">
      <w:pPr>
        <w:pStyle w:val="NoSpacing"/>
        <w:rPr>
          <w:rFonts w:ascii="Times New Roman" w:hAnsi="Times New Roman"/>
          <w:sz w:val="24"/>
          <w:szCs w:val="24"/>
        </w:rPr>
      </w:pPr>
      <w:hyperlink r:id="rId1386" w:history="1">
        <w:r w:rsidRPr="00F366B5">
          <w:rPr>
            <w:rStyle w:val="Hyperlink"/>
            <w:rFonts w:ascii="Times New Roman" w:hAnsi="Times New Roman"/>
            <w:sz w:val="24"/>
            <w:szCs w:val="24"/>
          </w:rPr>
          <w:t>https://cases.justia.com/california/court-of-appeal/2025-b327196.pdf?ts=1748039442</w:t>
        </w:r>
      </w:hyperlink>
      <w:r w:rsidRPr="00F366B5">
        <w:rPr>
          <w:rFonts w:ascii="Times New Roman" w:hAnsi="Times New Roman"/>
          <w:sz w:val="24"/>
          <w:szCs w:val="24"/>
        </w:rPr>
        <w:t xml:space="preserve"> </w:t>
      </w:r>
    </w:p>
    <w:p w14:paraId="13E63EFE" w14:textId="77777777" w:rsidR="00F366B5" w:rsidRDefault="00F366B5" w:rsidP="00F366B5">
      <w:pPr>
        <w:pStyle w:val="NoSpacing"/>
        <w:rPr>
          <w:rFonts w:ascii="Times New Roman" w:hAnsi="Times New Roman"/>
          <w:sz w:val="24"/>
          <w:szCs w:val="24"/>
        </w:rPr>
      </w:pPr>
    </w:p>
    <w:p w14:paraId="4D06125C" w14:textId="77777777" w:rsidR="004B09B1" w:rsidRPr="004B09B1" w:rsidRDefault="004B09B1" w:rsidP="004B09B1">
      <w:pPr>
        <w:pStyle w:val="NoSpacing"/>
        <w:rPr>
          <w:rFonts w:ascii="Times New Roman" w:hAnsi="Times New Roman"/>
          <w:b/>
          <w:bCs/>
          <w:sz w:val="24"/>
          <w:szCs w:val="24"/>
        </w:rPr>
      </w:pPr>
      <w:r w:rsidRPr="004B09B1">
        <w:rPr>
          <w:rFonts w:ascii="Times New Roman" w:hAnsi="Times New Roman"/>
          <w:b/>
          <w:sz w:val="24"/>
          <w:szCs w:val="24"/>
        </w:rPr>
        <w:t xml:space="preserve">Legal Lesson Learned: Given the widespread sharing of the photo, LAPD management needed to take prompt corrective action. </w:t>
      </w:r>
    </w:p>
    <w:p w14:paraId="7CFB2B3C" w14:textId="77777777" w:rsidR="004B09B1" w:rsidRPr="006F2B87" w:rsidRDefault="004B09B1" w:rsidP="004B09B1">
      <w:pPr>
        <w:pStyle w:val="NoSpacing"/>
      </w:pPr>
    </w:p>
    <w:p w14:paraId="662F98DB" w14:textId="77777777" w:rsidR="00F366B5" w:rsidRPr="00F366B5" w:rsidRDefault="00F366B5" w:rsidP="00F366B5">
      <w:pPr>
        <w:pStyle w:val="NoSpacing"/>
        <w:rPr>
          <w:rFonts w:ascii="Times New Roman" w:hAnsi="Times New Roman"/>
          <w:sz w:val="24"/>
          <w:szCs w:val="24"/>
        </w:rPr>
      </w:pPr>
    </w:p>
    <w:p w14:paraId="505ED953" w14:textId="77777777" w:rsidR="00571037" w:rsidRDefault="00571037" w:rsidP="00F326E5">
      <w:pPr>
        <w:pStyle w:val="NoSpacing"/>
        <w:rPr>
          <w:rFonts w:ascii="Arial Black" w:hAnsi="Arial Black"/>
          <w:b/>
          <w:bCs/>
          <w:sz w:val="24"/>
          <w:szCs w:val="24"/>
        </w:rPr>
      </w:pPr>
    </w:p>
    <w:p w14:paraId="212EF325" w14:textId="4E91F488" w:rsidR="006D679A" w:rsidRDefault="001E56C7" w:rsidP="00F326E5">
      <w:pPr>
        <w:pStyle w:val="NoSpacing"/>
        <w:rPr>
          <w:rFonts w:ascii="Arial Black" w:hAnsi="Arial Black"/>
          <w:b/>
          <w:bCs/>
          <w:sz w:val="24"/>
          <w:szCs w:val="24"/>
        </w:rPr>
      </w:pPr>
      <w:r>
        <w:rPr>
          <w:rFonts w:ascii="Arial Black" w:hAnsi="Arial Black"/>
          <w:b/>
          <w:bCs/>
          <w:sz w:val="24"/>
          <w:szCs w:val="24"/>
        </w:rPr>
        <w:t>7-7</w:t>
      </w:r>
      <w:r w:rsidR="006A6ED6">
        <w:rPr>
          <w:rFonts w:ascii="Arial Black" w:hAnsi="Arial Black"/>
          <w:b/>
          <w:bCs/>
          <w:sz w:val="24"/>
          <w:szCs w:val="24"/>
        </w:rPr>
        <w:t>5</w:t>
      </w:r>
    </w:p>
    <w:p w14:paraId="3EBABEE4" w14:textId="77777777" w:rsidR="001E56C7" w:rsidRDefault="001E56C7" w:rsidP="00F326E5">
      <w:pPr>
        <w:pStyle w:val="NoSpacing"/>
        <w:rPr>
          <w:rFonts w:ascii="Arial Black" w:hAnsi="Arial Black"/>
          <w:b/>
          <w:bCs/>
          <w:sz w:val="24"/>
          <w:szCs w:val="24"/>
        </w:rPr>
      </w:pPr>
    </w:p>
    <w:p w14:paraId="457FA534" w14:textId="77777777" w:rsidR="00A25870" w:rsidRPr="002D3594" w:rsidRDefault="00A25870" w:rsidP="00A25870">
      <w:pPr>
        <w:pStyle w:val="NoSpacing"/>
        <w:rPr>
          <w:rFonts w:ascii="Arial Black" w:hAnsi="Arial Black"/>
          <w:sz w:val="28"/>
          <w:szCs w:val="28"/>
        </w:rPr>
      </w:pPr>
      <w:r>
        <w:rPr>
          <w:rFonts w:ascii="Arial Black" w:hAnsi="Arial Black"/>
          <w:sz w:val="28"/>
          <w:szCs w:val="28"/>
        </w:rPr>
        <w:t xml:space="preserve">OH: FD APPLICANT – ALLEGEDLY RAPED BY RECRUITING LT. </w:t>
      </w:r>
    </w:p>
    <w:p w14:paraId="4CF192BB" w14:textId="77777777" w:rsidR="00A25870" w:rsidRDefault="00A25870" w:rsidP="00A25870">
      <w:pPr>
        <w:pStyle w:val="NoSpacing"/>
      </w:pPr>
    </w:p>
    <w:p w14:paraId="744CE87B" w14:textId="6A96FDC7" w:rsidR="00A25870" w:rsidRPr="001E56C7" w:rsidRDefault="00A25870" w:rsidP="00A25870">
      <w:pPr>
        <w:pStyle w:val="NoSpacing"/>
        <w:rPr>
          <w:rFonts w:ascii="Times New Roman" w:hAnsi="Times New Roman"/>
          <w:b/>
          <w:bCs/>
          <w:sz w:val="24"/>
          <w:szCs w:val="24"/>
        </w:rPr>
      </w:pPr>
      <w:r w:rsidRPr="001E56C7">
        <w:rPr>
          <w:rFonts w:ascii="Times New Roman" w:hAnsi="Times New Roman"/>
          <w:sz w:val="24"/>
          <w:szCs w:val="24"/>
        </w:rPr>
        <w:t xml:space="preserve">On March 19, 2025, in </w:t>
      </w:r>
      <w:r w:rsidRPr="001E56C7">
        <w:rPr>
          <w:rFonts w:ascii="Times New Roman" w:hAnsi="Times New Roman"/>
          <w:sz w:val="24"/>
          <w:szCs w:val="24"/>
          <w:u w:val="single"/>
        </w:rPr>
        <w:t>Rebecca Bryant v. City of Cincinnati, et al</w:t>
      </w:r>
      <w:r w:rsidRPr="001E56C7">
        <w:rPr>
          <w:rFonts w:ascii="Times New Roman" w:hAnsi="Times New Roman"/>
          <w:sz w:val="24"/>
          <w:szCs w:val="24"/>
        </w:rPr>
        <w:t xml:space="preserve">., U.S. District Court Judge Douglas R. Cole. U.S. District Court for Southern District of Ohio, Western Division, denied the city’s motion to dismiss claims of hostile work atmosphere, based on her allegation that she was raped by a Lieutenant – FD recruiting officer. The Court rejected the city’s argument that the alleged rape occurred before she was hired, and therefore as a non-employee she cannot claim hostile work atmosphere.  “The </w:t>
      </w:r>
      <w:proofErr w:type="gramStart"/>
      <w:r w:rsidRPr="001E56C7">
        <w:rPr>
          <w:rFonts w:ascii="Times New Roman" w:hAnsi="Times New Roman"/>
          <w:sz w:val="24"/>
          <w:szCs w:val="24"/>
        </w:rPr>
        <w:t>City</w:t>
      </w:r>
      <w:proofErr w:type="gramEnd"/>
      <w:r w:rsidRPr="001E56C7">
        <w:rPr>
          <w:rFonts w:ascii="Times New Roman" w:hAnsi="Times New Roman"/>
          <w:sz w:val="24"/>
          <w:szCs w:val="24"/>
        </w:rPr>
        <w:t xml:space="preserve"> next argues that the Court should dismiss Bryant's hostile-work-environment claims because the principal conduct of which she complains occurred while she was an applicant, not an employee…. True, Title VII applies only to employers. And a hostile work environment refers to conditions that an employee experienced during his or her employment…. But here, Bryant </w:t>
      </w:r>
      <w:r w:rsidRPr="001E56C7">
        <w:rPr>
          <w:rFonts w:ascii="Times New Roman" w:hAnsi="Times New Roman"/>
          <w:i/>
          <w:iCs/>
          <w:sz w:val="24"/>
          <w:szCs w:val="24"/>
        </w:rPr>
        <w:t>is</w:t>
      </w:r>
      <w:r w:rsidRPr="001E56C7">
        <w:rPr>
          <w:rFonts w:ascii="Times New Roman" w:hAnsi="Times New Roman"/>
          <w:sz w:val="24"/>
          <w:szCs w:val="24"/>
        </w:rPr>
        <w:t xml:space="preserve"> complaining about her experience as an employee. As noted above, in her Amended Complaint, she points to a host of alleged wrongs that happened to her while she was employed at CFD. True, she also points to the rape, and that occurred while she was an applicant, but that is, at least in part, to provide context for why working with [the Lieutenant] (while she was employed) might constitute a hostile work environment.”  </w:t>
      </w:r>
      <w:hyperlink r:id="rId1387" w:history="1">
        <w:r w:rsidRPr="001E56C7">
          <w:rPr>
            <w:rStyle w:val="Hyperlink"/>
            <w:rFonts w:ascii="Times New Roman" w:hAnsi="Times New Roman"/>
            <w:sz w:val="24"/>
            <w:szCs w:val="24"/>
          </w:rPr>
          <w:t>https://public.fastcase.com/jaEE2PXzRXmZ99jOLMt1IsID3yHeWup657c7MnfFCGnetXQu%2F2QtQOpoVmwfdEc%2F?utm_medium=email&amp;_hsenc=p2ANqtz-_zTSxdS0F5WCwBxFxJfAdL2TYRGfHTDF8aVNcZ9gK5T6kDk6rrKhGST-fn4w1vDtBgvaoCFHlAWmUNSPCbepcJBy8zVw&amp;_hsmi=226712652&amp;utm_content=226712652&amp;utm_source=hs_email</w:t>
        </w:r>
      </w:hyperlink>
    </w:p>
    <w:p w14:paraId="00B8E806" w14:textId="77777777" w:rsidR="0052426F" w:rsidRPr="001E56C7" w:rsidRDefault="0052426F" w:rsidP="00F326E5">
      <w:pPr>
        <w:pStyle w:val="NoSpacing"/>
        <w:rPr>
          <w:rFonts w:ascii="Times New Roman" w:hAnsi="Times New Roman"/>
          <w:b/>
          <w:bCs/>
          <w:sz w:val="24"/>
          <w:szCs w:val="24"/>
        </w:rPr>
      </w:pPr>
    </w:p>
    <w:p w14:paraId="13EED63C" w14:textId="77777777" w:rsidR="006E0FA5" w:rsidRPr="002729C0" w:rsidRDefault="006E0FA5" w:rsidP="006E0FA5">
      <w:pPr>
        <w:pStyle w:val="NoSpacing"/>
        <w:rPr>
          <w:rFonts w:ascii="Times New Roman" w:hAnsi="Times New Roman"/>
          <w:b/>
          <w:bCs/>
          <w:sz w:val="24"/>
          <w:szCs w:val="24"/>
        </w:rPr>
      </w:pPr>
      <w:r w:rsidRPr="002729C0">
        <w:rPr>
          <w:rFonts w:ascii="Times New Roman" w:hAnsi="Times New Roman"/>
          <w:b/>
          <w:sz w:val="24"/>
          <w:szCs w:val="24"/>
        </w:rPr>
        <w:t xml:space="preserve">Legal Lesson Learned: The City promptly </w:t>
      </w:r>
      <w:proofErr w:type="gramStart"/>
      <w:r w:rsidRPr="002729C0">
        <w:rPr>
          <w:rFonts w:ascii="Times New Roman" w:hAnsi="Times New Roman"/>
          <w:b/>
          <w:sz w:val="24"/>
          <w:szCs w:val="24"/>
        </w:rPr>
        <w:t>conducted an investigation</w:t>
      </w:r>
      <w:proofErr w:type="gramEnd"/>
      <w:r w:rsidRPr="002729C0">
        <w:rPr>
          <w:rFonts w:ascii="Times New Roman" w:hAnsi="Times New Roman"/>
          <w:b/>
          <w:sz w:val="24"/>
          <w:szCs w:val="24"/>
        </w:rPr>
        <w:t xml:space="preserve">; the case will now proceed with pre-trial discovery, including a review of the adequacy of the investigation. </w:t>
      </w:r>
    </w:p>
    <w:p w14:paraId="1E65912D" w14:textId="77777777" w:rsidR="0052426F" w:rsidRDefault="0052426F" w:rsidP="00F326E5">
      <w:pPr>
        <w:pStyle w:val="NoSpacing"/>
        <w:rPr>
          <w:rFonts w:ascii="Arial Black" w:hAnsi="Arial Black"/>
          <w:b/>
          <w:bCs/>
          <w:sz w:val="24"/>
          <w:szCs w:val="24"/>
        </w:rPr>
      </w:pPr>
    </w:p>
    <w:p w14:paraId="50F5BC4A" w14:textId="77777777" w:rsidR="00320105" w:rsidRDefault="00320105" w:rsidP="00F326E5">
      <w:pPr>
        <w:pStyle w:val="NoSpacing"/>
        <w:rPr>
          <w:rFonts w:ascii="Arial Black" w:hAnsi="Arial Black"/>
          <w:b/>
          <w:bCs/>
          <w:sz w:val="24"/>
          <w:szCs w:val="24"/>
        </w:rPr>
      </w:pPr>
    </w:p>
    <w:p w14:paraId="5D7DAE6F" w14:textId="0CC08688" w:rsidR="0052426F" w:rsidRDefault="00642CE9" w:rsidP="00F326E5">
      <w:pPr>
        <w:pStyle w:val="NoSpacing"/>
        <w:rPr>
          <w:rFonts w:ascii="Arial Black" w:hAnsi="Arial Black"/>
          <w:b/>
          <w:bCs/>
          <w:sz w:val="24"/>
          <w:szCs w:val="24"/>
        </w:rPr>
      </w:pPr>
      <w:r>
        <w:rPr>
          <w:rFonts w:ascii="Arial Black" w:hAnsi="Arial Black"/>
          <w:b/>
          <w:bCs/>
          <w:sz w:val="24"/>
          <w:szCs w:val="24"/>
        </w:rPr>
        <w:t>7-74</w:t>
      </w:r>
    </w:p>
    <w:p w14:paraId="2628F80B" w14:textId="77777777" w:rsidR="00320105" w:rsidRDefault="00320105" w:rsidP="00642CE9">
      <w:pPr>
        <w:rPr>
          <w:rFonts w:ascii="Arial Black" w:hAnsi="Arial Black"/>
          <w:sz w:val="28"/>
          <w:szCs w:val="28"/>
        </w:rPr>
      </w:pPr>
    </w:p>
    <w:p w14:paraId="0E4714DF" w14:textId="0DB2F9E1" w:rsidR="00642CE9" w:rsidRPr="00D13FB9" w:rsidRDefault="00642CE9" w:rsidP="00642CE9">
      <w:r>
        <w:rPr>
          <w:rFonts w:ascii="Arial Black" w:hAnsi="Arial Black"/>
          <w:sz w:val="28"/>
          <w:szCs w:val="28"/>
        </w:rPr>
        <w:t xml:space="preserve">DE: D/C RAPED CADET – 35 YRS PRISON - FIRE CHIEF SUED </w:t>
      </w:r>
    </w:p>
    <w:p w14:paraId="57F86795" w14:textId="77777777" w:rsidR="00642CE9" w:rsidRPr="000B584F" w:rsidRDefault="00642CE9" w:rsidP="00642CE9">
      <w:pPr>
        <w:pStyle w:val="NoSpacing"/>
        <w:rPr>
          <w:rFonts w:ascii="Times New Roman" w:hAnsi="Times New Roman"/>
          <w:sz w:val="24"/>
          <w:szCs w:val="24"/>
        </w:rPr>
      </w:pPr>
      <w:r w:rsidRPr="000B584F">
        <w:rPr>
          <w:rFonts w:ascii="Times New Roman" w:hAnsi="Times New Roman"/>
          <w:sz w:val="24"/>
          <w:szCs w:val="24"/>
        </w:rPr>
        <w:t xml:space="preserve">On March 5, 2025, in </w:t>
      </w:r>
      <w:r w:rsidRPr="000B584F">
        <w:rPr>
          <w:rFonts w:ascii="Times New Roman" w:hAnsi="Times New Roman"/>
          <w:sz w:val="24"/>
          <w:szCs w:val="24"/>
          <w:u w:val="single"/>
        </w:rPr>
        <w:t>Laura Liebal, as next friend and guardian of M.M., a minor v. Belvedere Fire Company, et al.</w:t>
      </w:r>
      <w:r w:rsidRPr="000B584F">
        <w:rPr>
          <w:rFonts w:ascii="Times New Roman" w:hAnsi="Times New Roman"/>
          <w:sz w:val="24"/>
          <w:szCs w:val="24"/>
        </w:rPr>
        <w:t xml:space="preserve">, Judge Charkes Butler, Superior Court of Delaware, denied the motion to dismiss the Fire Chief and Board members from this lawsuit. “The Amended Complaint alleges that in 2022, M.M., a 15-year-old minor girl, (‘Plaintiff’), volunteered with the Mill Creek Fire Company. During a joint training exercise between the Mill Creek Fire Company and Defendant Belvedere Volunteer Fire </w:t>
      </w:r>
      <w:proofErr w:type="gramStart"/>
      <w:r w:rsidRPr="000B584F">
        <w:rPr>
          <w:rFonts w:ascii="Times New Roman" w:hAnsi="Times New Roman"/>
          <w:sz w:val="24"/>
          <w:szCs w:val="24"/>
        </w:rPr>
        <w:t>Company (‘</w:t>
      </w:r>
      <w:proofErr w:type="gramEnd"/>
      <w:r w:rsidRPr="000B584F">
        <w:rPr>
          <w:rFonts w:ascii="Times New Roman" w:hAnsi="Times New Roman"/>
          <w:sz w:val="24"/>
          <w:szCs w:val="24"/>
        </w:rPr>
        <w:t xml:space="preserve">Belvedere’), the Deputy Fire Chief for Belvedere Dwayne </w:t>
      </w:r>
      <w:proofErr w:type="gramStart"/>
      <w:r w:rsidRPr="000B584F">
        <w:rPr>
          <w:rFonts w:ascii="Times New Roman" w:hAnsi="Times New Roman"/>
          <w:sz w:val="24"/>
          <w:szCs w:val="24"/>
        </w:rPr>
        <w:t>Pearson (‘</w:t>
      </w:r>
      <w:proofErr w:type="gramEnd"/>
      <w:r w:rsidRPr="000B584F">
        <w:rPr>
          <w:rFonts w:ascii="Times New Roman" w:hAnsi="Times New Roman"/>
          <w:sz w:val="24"/>
          <w:szCs w:val="24"/>
        </w:rPr>
        <w:t xml:space="preserve">Pearson’), began ‘flirting’ with Plaintiff. The Belvedere Fire Chief, Robert </w:t>
      </w:r>
      <w:proofErr w:type="gramStart"/>
      <w:r w:rsidRPr="000B584F">
        <w:rPr>
          <w:rFonts w:ascii="Times New Roman" w:hAnsi="Times New Roman"/>
          <w:sz w:val="24"/>
          <w:szCs w:val="24"/>
        </w:rPr>
        <w:t>Johnson (‘</w:t>
      </w:r>
      <w:proofErr w:type="gramEnd"/>
      <w:r w:rsidRPr="000B584F">
        <w:rPr>
          <w:rFonts w:ascii="Times New Roman" w:hAnsi="Times New Roman"/>
          <w:sz w:val="24"/>
          <w:szCs w:val="24"/>
        </w:rPr>
        <w:t xml:space="preserve">Johnson’), observed Pearson’s behavior. Johnson contacted the Mill Creek Fire Company and learned that Plaintiff was 15 years old. Johnson warned Pearson to ‘stay away’ from Plaintiff. But Pearson did not. The Amended Complaint says that Pearson used one of Belvedere’s vehicles to pick up Plaintiff and commit sex crimes on two separate days in August 2022.”  The Court held that while volunteer fire departments and Board members  have immunity, the Fire Chief can be sued personally if they acted with “wanton negligence.” </w:t>
      </w:r>
      <w:hyperlink r:id="rId1388" w:history="1">
        <w:r w:rsidRPr="000B584F">
          <w:rPr>
            <w:rStyle w:val="Hyperlink"/>
            <w:rFonts w:ascii="Times New Roman" w:hAnsi="Times New Roman"/>
            <w:sz w:val="24"/>
            <w:szCs w:val="24"/>
          </w:rPr>
          <w:t>https://cases.justia.com/delaware/superior-court/2025-n24c-08-154-ceb.pdf?ts=1741208566</w:t>
        </w:r>
      </w:hyperlink>
      <w:r w:rsidRPr="000B584F">
        <w:rPr>
          <w:rFonts w:ascii="Times New Roman" w:hAnsi="Times New Roman"/>
          <w:sz w:val="24"/>
          <w:szCs w:val="24"/>
        </w:rPr>
        <w:t xml:space="preserve"> </w:t>
      </w:r>
    </w:p>
    <w:p w14:paraId="01D61DEF" w14:textId="77777777" w:rsidR="00642CE9" w:rsidRPr="000B584F" w:rsidRDefault="00642CE9" w:rsidP="00F326E5">
      <w:pPr>
        <w:pStyle w:val="NoSpacing"/>
        <w:rPr>
          <w:rFonts w:ascii="Times New Roman" w:hAnsi="Times New Roman"/>
          <w:b/>
          <w:bCs/>
          <w:sz w:val="24"/>
          <w:szCs w:val="24"/>
        </w:rPr>
      </w:pPr>
    </w:p>
    <w:p w14:paraId="1F2B39E9" w14:textId="77777777" w:rsidR="000B584F" w:rsidRPr="000B584F" w:rsidRDefault="000B584F" w:rsidP="000B584F">
      <w:pPr>
        <w:pStyle w:val="NoSpacing"/>
        <w:rPr>
          <w:rFonts w:ascii="Times New Roman" w:hAnsi="Times New Roman"/>
          <w:b/>
          <w:sz w:val="24"/>
          <w:szCs w:val="24"/>
        </w:rPr>
      </w:pPr>
      <w:r w:rsidRPr="000B584F">
        <w:rPr>
          <w:rFonts w:ascii="Times New Roman" w:hAnsi="Times New Roman"/>
          <w:b/>
          <w:sz w:val="24"/>
          <w:szCs w:val="24"/>
        </w:rPr>
        <w:t xml:space="preserve">Legal Lesson Learned: Fire Chiefs must be very aggressive in investigating allegations of sexual and other forms of misconduct, particularly involving minors. </w:t>
      </w:r>
    </w:p>
    <w:p w14:paraId="58596986" w14:textId="77777777" w:rsidR="000B584F" w:rsidRPr="000B584F" w:rsidRDefault="000B584F" w:rsidP="000B584F">
      <w:pPr>
        <w:pStyle w:val="NoSpacing"/>
        <w:rPr>
          <w:rFonts w:ascii="Times New Roman" w:hAnsi="Times New Roman"/>
          <w:bCs/>
          <w:sz w:val="24"/>
          <w:szCs w:val="24"/>
        </w:rPr>
      </w:pPr>
    </w:p>
    <w:p w14:paraId="79321743" w14:textId="77777777" w:rsidR="000B584F" w:rsidRPr="000B584F" w:rsidRDefault="000B584F" w:rsidP="000B584F">
      <w:pPr>
        <w:pStyle w:val="NoSpacing"/>
        <w:ind w:left="720"/>
        <w:rPr>
          <w:rFonts w:ascii="Times New Roman" w:hAnsi="Times New Roman"/>
          <w:bCs/>
          <w:sz w:val="24"/>
          <w:szCs w:val="24"/>
        </w:rPr>
      </w:pPr>
      <w:r w:rsidRPr="000B584F">
        <w:rPr>
          <w:rFonts w:ascii="Times New Roman" w:hAnsi="Times New Roman"/>
          <w:sz w:val="24"/>
          <w:szCs w:val="24"/>
        </w:rPr>
        <w:t xml:space="preserve">Note: See June 14, </w:t>
      </w:r>
      <w:proofErr w:type="gramStart"/>
      <w:r w:rsidRPr="000B584F">
        <w:rPr>
          <w:rFonts w:ascii="Times New Roman" w:hAnsi="Times New Roman"/>
          <w:sz w:val="24"/>
          <w:szCs w:val="24"/>
        </w:rPr>
        <w:t>2024</w:t>
      </w:r>
      <w:proofErr w:type="gramEnd"/>
      <w:r w:rsidRPr="000B584F">
        <w:rPr>
          <w:rFonts w:ascii="Times New Roman" w:hAnsi="Times New Roman"/>
          <w:sz w:val="24"/>
          <w:szCs w:val="24"/>
        </w:rPr>
        <w:t xml:space="preserve"> article, “'Tell the truth now': Girl addresses rapist, former deputy fire chief at sentencing.”</w:t>
      </w:r>
    </w:p>
    <w:p w14:paraId="11B36086" w14:textId="77777777" w:rsidR="000B584F" w:rsidRPr="000B584F" w:rsidRDefault="000B584F" w:rsidP="000B584F">
      <w:pPr>
        <w:pStyle w:val="NoSpacing"/>
        <w:ind w:left="720"/>
        <w:rPr>
          <w:rFonts w:ascii="Times New Roman" w:hAnsi="Times New Roman"/>
          <w:bCs/>
          <w:sz w:val="24"/>
          <w:szCs w:val="24"/>
        </w:rPr>
      </w:pPr>
    </w:p>
    <w:p w14:paraId="298ABFD6" w14:textId="77777777" w:rsidR="000B584F" w:rsidRPr="000B584F" w:rsidRDefault="000B584F" w:rsidP="000B584F">
      <w:pPr>
        <w:pStyle w:val="NoSpacing"/>
        <w:ind w:left="1440"/>
        <w:rPr>
          <w:rFonts w:ascii="Times New Roman" w:hAnsi="Times New Roman"/>
          <w:bCs/>
          <w:sz w:val="24"/>
          <w:szCs w:val="24"/>
        </w:rPr>
      </w:pPr>
      <w:r w:rsidRPr="000B584F">
        <w:rPr>
          <w:rFonts w:ascii="Times New Roman" w:hAnsi="Times New Roman"/>
          <w:sz w:val="24"/>
          <w:szCs w:val="24"/>
        </w:rPr>
        <w:t xml:space="preserve">A girl raped by a former Belvedere deputy fire chief asked him in a courtroom Friday to admit what he had done. Her request was made shortly before Dwayne L. Pearson Jr. was sentenced to 35 years in prison for raping the girl he met through his job in 2022. She was 15 at the time of the </w:t>
      </w:r>
      <w:proofErr w:type="gramStart"/>
      <w:r w:rsidRPr="000B584F">
        <w:rPr>
          <w:rFonts w:ascii="Times New Roman" w:hAnsi="Times New Roman"/>
          <w:sz w:val="24"/>
          <w:szCs w:val="24"/>
        </w:rPr>
        <w:t>incidents</w:t>
      </w:r>
      <w:proofErr w:type="gramEnd"/>
      <w:r w:rsidRPr="000B584F">
        <w:rPr>
          <w:rFonts w:ascii="Times New Roman" w:hAnsi="Times New Roman"/>
          <w:sz w:val="24"/>
          <w:szCs w:val="24"/>
        </w:rPr>
        <w:t xml:space="preserve">. ‘Tell the truth now,’ she told the 41-year-old man who did not look at her, "... so I can find peace in my heart.’” </w:t>
      </w:r>
      <w:hyperlink r:id="rId1389" w:history="1">
        <w:r w:rsidRPr="000B584F">
          <w:rPr>
            <w:rStyle w:val="Hyperlink"/>
            <w:rFonts w:ascii="Times New Roman" w:hAnsi="Times New Roman"/>
            <w:sz w:val="24"/>
            <w:szCs w:val="24"/>
          </w:rPr>
          <w:t>https://www.yahoo.com/news/tell-truth-now-girl-addresses-164857744.html</w:t>
        </w:r>
      </w:hyperlink>
      <w:r w:rsidRPr="000B584F">
        <w:rPr>
          <w:rFonts w:ascii="Times New Roman" w:hAnsi="Times New Roman"/>
          <w:sz w:val="24"/>
          <w:szCs w:val="24"/>
        </w:rPr>
        <w:t xml:space="preserve"> </w:t>
      </w:r>
    </w:p>
    <w:p w14:paraId="3996A09C" w14:textId="77777777" w:rsidR="00642CE9" w:rsidRPr="000B584F" w:rsidRDefault="00642CE9" w:rsidP="00F326E5">
      <w:pPr>
        <w:pStyle w:val="NoSpacing"/>
        <w:rPr>
          <w:rFonts w:ascii="Times New Roman" w:hAnsi="Times New Roman"/>
          <w:b/>
          <w:bCs/>
          <w:sz w:val="24"/>
          <w:szCs w:val="24"/>
        </w:rPr>
      </w:pPr>
    </w:p>
    <w:p w14:paraId="24997622" w14:textId="77777777" w:rsidR="00642CE9" w:rsidRDefault="00642CE9" w:rsidP="00F326E5">
      <w:pPr>
        <w:pStyle w:val="NoSpacing"/>
        <w:rPr>
          <w:rFonts w:ascii="Arial Black" w:hAnsi="Arial Black"/>
          <w:b/>
          <w:bCs/>
          <w:sz w:val="24"/>
          <w:szCs w:val="24"/>
        </w:rPr>
      </w:pPr>
    </w:p>
    <w:p w14:paraId="29CAFFE2" w14:textId="77777777" w:rsidR="00642CE9" w:rsidRDefault="00642CE9" w:rsidP="00F326E5">
      <w:pPr>
        <w:pStyle w:val="NoSpacing"/>
        <w:rPr>
          <w:rFonts w:ascii="Arial Black" w:hAnsi="Arial Black"/>
          <w:b/>
          <w:bCs/>
          <w:sz w:val="24"/>
          <w:szCs w:val="24"/>
        </w:rPr>
      </w:pPr>
    </w:p>
    <w:p w14:paraId="4F98C50D" w14:textId="2E55B9F0" w:rsidR="0089221B" w:rsidRDefault="0086464C" w:rsidP="00F326E5">
      <w:pPr>
        <w:pStyle w:val="NoSpacing"/>
        <w:rPr>
          <w:rFonts w:ascii="Arial Black" w:hAnsi="Arial Black"/>
          <w:b/>
          <w:bCs/>
          <w:sz w:val="24"/>
          <w:szCs w:val="24"/>
        </w:rPr>
      </w:pPr>
      <w:r>
        <w:rPr>
          <w:rFonts w:ascii="Arial Black" w:hAnsi="Arial Black"/>
          <w:b/>
          <w:bCs/>
          <w:sz w:val="24"/>
          <w:szCs w:val="24"/>
        </w:rPr>
        <w:t>7-73</w:t>
      </w:r>
    </w:p>
    <w:p w14:paraId="7B4C1105" w14:textId="77777777" w:rsidR="0086464C" w:rsidRDefault="0086464C" w:rsidP="00F326E5">
      <w:pPr>
        <w:pStyle w:val="NoSpacing"/>
        <w:rPr>
          <w:rFonts w:ascii="Arial Black" w:hAnsi="Arial Black"/>
          <w:b/>
          <w:bCs/>
          <w:sz w:val="24"/>
          <w:szCs w:val="24"/>
        </w:rPr>
      </w:pPr>
    </w:p>
    <w:p w14:paraId="3FB93016" w14:textId="77777777" w:rsidR="00785AA7" w:rsidRDefault="007C5936" w:rsidP="007C5936">
      <w:pPr>
        <w:rPr>
          <w:rFonts w:ascii="Arial Black" w:hAnsi="Arial Black"/>
          <w:sz w:val="28"/>
          <w:szCs w:val="28"/>
        </w:rPr>
      </w:pPr>
      <w:r w:rsidRPr="000B7F2C">
        <w:rPr>
          <w:rFonts w:ascii="Arial Black" w:hAnsi="Arial Black"/>
          <w:sz w:val="28"/>
          <w:szCs w:val="28"/>
        </w:rPr>
        <w:t>TX: FEM</w:t>
      </w:r>
      <w:r w:rsidR="00FD5150">
        <w:rPr>
          <w:rFonts w:ascii="Arial Black" w:hAnsi="Arial Black"/>
          <w:sz w:val="28"/>
          <w:szCs w:val="28"/>
        </w:rPr>
        <w:t xml:space="preserve">. </w:t>
      </w:r>
      <w:r w:rsidRPr="000B7F2C">
        <w:rPr>
          <w:rFonts w:ascii="Arial Black" w:hAnsi="Arial Black"/>
          <w:sz w:val="28"/>
          <w:szCs w:val="28"/>
        </w:rPr>
        <w:t>DIR. EMS FIRED</w:t>
      </w:r>
      <w:r w:rsidR="00785AA7">
        <w:rPr>
          <w:rFonts w:ascii="Arial Black" w:hAnsi="Arial Black"/>
          <w:sz w:val="28"/>
          <w:szCs w:val="28"/>
        </w:rPr>
        <w:t xml:space="preserve"> (60s)</w:t>
      </w:r>
      <w:r w:rsidRPr="000B7F2C">
        <w:rPr>
          <w:rFonts w:ascii="Arial Black" w:hAnsi="Arial Black"/>
          <w:sz w:val="28"/>
          <w:szCs w:val="28"/>
        </w:rPr>
        <w:t xml:space="preserve"> – MALE</w:t>
      </w:r>
      <w:r w:rsidR="00785AA7">
        <w:rPr>
          <w:rFonts w:ascii="Arial Black" w:hAnsi="Arial Black"/>
          <w:sz w:val="28"/>
          <w:szCs w:val="28"/>
        </w:rPr>
        <w:t xml:space="preserve"> (35) HIRED</w:t>
      </w:r>
      <w:r w:rsidRPr="000B7F2C">
        <w:rPr>
          <w:rFonts w:ascii="Arial Black" w:hAnsi="Arial Black"/>
          <w:sz w:val="28"/>
          <w:szCs w:val="28"/>
        </w:rPr>
        <w:t xml:space="preserve"> – </w:t>
      </w:r>
      <w:r w:rsidR="00FD5150">
        <w:rPr>
          <w:rFonts w:ascii="Arial Black" w:hAnsi="Arial Black"/>
          <w:sz w:val="28"/>
          <w:szCs w:val="28"/>
        </w:rPr>
        <w:t>CASE PROCEED</w:t>
      </w:r>
    </w:p>
    <w:p w14:paraId="6153AD38" w14:textId="7AC32483" w:rsidR="00785AA7" w:rsidRPr="000B7F2C" w:rsidRDefault="00785AA7" w:rsidP="007C5936">
      <w:pPr>
        <w:rPr>
          <w:rFonts w:ascii="Arial Black" w:hAnsi="Arial Black"/>
          <w:sz w:val="28"/>
          <w:szCs w:val="28"/>
        </w:rPr>
      </w:pPr>
      <w:hyperlink r:id="rId1390" w:history="1">
        <w:r w:rsidRPr="00004FA3">
          <w:rPr>
            <w:rStyle w:val="Hyperlink"/>
            <w:rFonts w:ascii="Times New Roman" w:hAnsi="Times New Roman"/>
            <w:bCs/>
            <w:sz w:val="24"/>
            <w:szCs w:val="24"/>
          </w:rPr>
          <w:t>https://cases.justia.com/federal/district-courts/texas/txsdce/6:2022cv00002/1858056/21/0.pdf?ts=1664555743</w:t>
        </w:r>
      </w:hyperlink>
    </w:p>
    <w:p w14:paraId="11BD5B26" w14:textId="63E583D3" w:rsidR="004C28EA" w:rsidRPr="004C28EA" w:rsidRDefault="007C5936" w:rsidP="007C5936">
      <w:pPr>
        <w:rPr>
          <w:rFonts w:ascii="Times New Roman" w:hAnsi="Times New Roman"/>
          <w:bCs/>
          <w:sz w:val="24"/>
          <w:szCs w:val="24"/>
        </w:rPr>
      </w:pPr>
      <w:r w:rsidRPr="007C5936">
        <w:rPr>
          <w:rFonts w:ascii="Times New Roman" w:hAnsi="Times New Roman"/>
          <w:sz w:val="24"/>
          <w:szCs w:val="24"/>
        </w:rPr>
        <w:t xml:space="preserve">On Feb. 28, 2025, in </w:t>
      </w:r>
      <w:r w:rsidRPr="007C5936">
        <w:rPr>
          <w:rFonts w:ascii="Times New Roman" w:hAnsi="Times New Roman"/>
          <w:sz w:val="24"/>
          <w:szCs w:val="24"/>
          <w:u w:val="single"/>
        </w:rPr>
        <w:t>Debra Fishbeck v. Lavaca County, Texas, et al</w:t>
      </w:r>
      <w:r w:rsidRPr="007C5936">
        <w:rPr>
          <w:rFonts w:ascii="Times New Roman" w:hAnsi="Times New Roman"/>
          <w:sz w:val="24"/>
          <w:szCs w:val="24"/>
        </w:rPr>
        <w:t xml:space="preserve">., United States District Court Judge Drew B. Tipton, U.S. District Court for Southern District of Texas,  Victoria Division, held that the sexual discrimination and age discrimination claims may proceed to trial.  She is in her 60s; her replacement, Michael Furrh, 35-year-old male, was given large salary increase </w:t>
      </w:r>
      <w:proofErr w:type="gramStart"/>
      <w:r w:rsidRPr="007C5936">
        <w:rPr>
          <w:rFonts w:ascii="Times New Roman" w:hAnsi="Times New Roman"/>
          <w:sz w:val="24"/>
          <w:szCs w:val="24"/>
        </w:rPr>
        <w:t>and also</w:t>
      </w:r>
      <w:proofErr w:type="gramEnd"/>
      <w:r w:rsidRPr="007C5936">
        <w:rPr>
          <w:rFonts w:ascii="Times New Roman" w:hAnsi="Times New Roman"/>
          <w:sz w:val="24"/>
          <w:szCs w:val="24"/>
        </w:rPr>
        <w:t xml:space="preserve"> was allowed to hire a Deputy Director with increased budge.  She, however, cannot sue Furrh for libel or slander; he told local newspaper (without naming her) and Board about missing DEA drug license and a problem with bed bugs at station; no proof false or malice on his part.  </w:t>
      </w:r>
      <w:hyperlink r:id="rId1391" w:history="1">
        <w:r w:rsidR="004C28EA" w:rsidRPr="004C28EA">
          <w:rPr>
            <w:rStyle w:val="Hyperlink"/>
            <w:rFonts w:ascii="Times New Roman" w:hAnsi="Times New Roman"/>
            <w:bCs/>
            <w:sz w:val="24"/>
            <w:szCs w:val="24"/>
          </w:rPr>
          <w:t>https://cases.justia.com/federal/district-courts/texas/txsdce/6:2022cv00002/1858056/21/0.pdf?ts=1664555743</w:t>
        </w:r>
      </w:hyperlink>
      <w:r w:rsidR="004C28EA" w:rsidRPr="004C28EA">
        <w:rPr>
          <w:rFonts w:ascii="Times New Roman" w:hAnsi="Times New Roman"/>
          <w:bCs/>
          <w:sz w:val="24"/>
          <w:szCs w:val="24"/>
        </w:rPr>
        <w:t xml:space="preserve"> </w:t>
      </w:r>
    </w:p>
    <w:p w14:paraId="38A41D60" w14:textId="77777777" w:rsidR="007C5936" w:rsidRPr="007C5936" w:rsidRDefault="007C5936" w:rsidP="007C5936">
      <w:pPr>
        <w:pStyle w:val="NoSpacing"/>
        <w:rPr>
          <w:rFonts w:ascii="Times New Roman" w:hAnsi="Times New Roman"/>
          <w:sz w:val="24"/>
          <w:szCs w:val="24"/>
        </w:rPr>
      </w:pPr>
      <w:r w:rsidRPr="007C5936">
        <w:rPr>
          <w:rFonts w:ascii="Times New Roman" w:hAnsi="Times New Roman"/>
          <w:sz w:val="24"/>
          <w:szCs w:val="24"/>
        </w:rPr>
        <w:t xml:space="preserve">The Court wrote: </w:t>
      </w:r>
    </w:p>
    <w:p w14:paraId="0B07BBFA" w14:textId="77777777" w:rsidR="007C5936" w:rsidRPr="007C5936" w:rsidRDefault="007C5936" w:rsidP="007C5936">
      <w:pPr>
        <w:pStyle w:val="NoSpacing"/>
        <w:rPr>
          <w:rFonts w:ascii="Times New Roman" w:hAnsi="Times New Roman"/>
          <w:sz w:val="24"/>
          <w:szCs w:val="24"/>
        </w:rPr>
      </w:pPr>
    </w:p>
    <w:p w14:paraId="42C31FF7"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 xml:space="preserve">“Defendants offer the following reasons for Fishbeck's termination, which they allege are legitimate and nondiscriminatory: (1) LCRS's operational revenue declined significantly for three years in a row; (2) LCRS received an unsatisfactory third-party audit of its bookkeeping; (3) an EMT resigned shortly after accepting a job with LCRS because of concerns with the department; (4) Fishbeck did not attend Lavaca County Medical Center meetings for several years; and (5) a lack of cleanliness at LCRS facilities. </w:t>
      </w:r>
    </w:p>
    <w:p w14:paraId="52AE1EC5" w14:textId="77777777" w:rsidR="007C5936" w:rsidRPr="007C5936" w:rsidRDefault="007C5936" w:rsidP="007C5936">
      <w:pPr>
        <w:pStyle w:val="NoSpacing"/>
        <w:rPr>
          <w:rFonts w:ascii="Times New Roman" w:hAnsi="Times New Roman"/>
          <w:sz w:val="24"/>
          <w:szCs w:val="24"/>
        </w:rPr>
      </w:pPr>
    </w:p>
    <w:p w14:paraId="7CDF55D0"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1EEBFC22" w14:textId="77777777" w:rsidR="007C5936" w:rsidRPr="007C5936" w:rsidRDefault="007C5936" w:rsidP="007C5936">
      <w:pPr>
        <w:pStyle w:val="NoSpacing"/>
        <w:rPr>
          <w:rFonts w:ascii="Times New Roman" w:hAnsi="Times New Roman"/>
          <w:sz w:val="24"/>
          <w:szCs w:val="24"/>
        </w:rPr>
      </w:pPr>
    </w:p>
    <w:p w14:paraId="5E3469A9"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Yet after they hired Furrh, he was given every resource (and more) that Fishbeck requested to fix those very deficiencies in the department. (</w:t>
      </w:r>
      <w:r w:rsidRPr="007C5936">
        <w:rPr>
          <w:rFonts w:ascii="Times New Roman" w:hAnsi="Times New Roman"/>
          <w:i/>
          <w:iCs/>
          <w:sz w:val="24"/>
          <w:szCs w:val="24"/>
        </w:rPr>
        <w:t>Id.</w:t>
      </w:r>
      <w:r w:rsidRPr="007C5936">
        <w:rPr>
          <w:rFonts w:ascii="Times New Roman" w:hAnsi="Times New Roman"/>
          <w:sz w:val="24"/>
          <w:szCs w:val="24"/>
        </w:rPr>
        <w:t xml:space="preserve"> at 4-5). In other words, Defendants knew about LCRS's problems, did not give Fishbeck the tools to succeed, and only considered the problems a terminable offense because they wanted to replace her with a man-one whom they equipped with the same resources they withheld from her…. Fishbeck's evidence, when viewed in the light most favorable to her, shows a genuine dispute about whether Defendants' proffered reasons are a pretext.</w:t>
      </w:r>
    </w:p>
    <w:p w14:paraId="1BC652E9" w14:textId="77777777" w:rsidR="007C5936" w:rsidRPr="007C5936" w:rsidRDefault="007C5936" w:rsidP="007C5936">
      <w:pPr>
        <w:pStyle w:val="NoSpacing"/>
        <w:rPr>
          <w:rFonts w:ascii="Times New Roman" w:hAnsi="Times New Roman"/>
          <w:sz w:val="24"/>
          <w:szCs w:val="24"/>
        </w:rPr>
      </w:pPr>
    </w:p>
    <w:p w14:paraId="2267784F"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767F22FF" w14:textId="77777777" w:rsidR="007C5936" w:rsidRPr="007C5936" w:rsidRDefault="007C5936" w:rsidP="007C5936">
      <w:pPr>
        <w:pStyle w:val="NoSpacing"/>
        <w:rPr>
          <w:rFonts w:ascii="Times New Roman" w:hAnsi="Times New Roman"/>
          <w:sz w:val="24"/>
          <w:szCs w:val="24"/>
        </w:rPr>
      </w:pPr>
    </w:p>
    <w:p w14:paraId="066E889A"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Fishbeck also offers the Lavaca County 2021 Fiscal Year Budget as evidence of disparate treatment between her and Furrh…. Among other things, the budget shows that the salary for the LCRS Director increased 27.73% after Fishbeck was fired. (</w:t>
      </w:r>
      <w:r w:rsidRPr="007C5936">
        <w:rPr>
          <w:rFonts w:ascii="Times New Roman" w:hAnsi="Times New Roman"/>
          <w:i/>
          <w:iCs/>
          <w:sz w:val="24"/>
          <w:szCs w:val="24"/>
        </w:rPr>
        <w:t>Id.</w:t>
      </w:r>
      <w:r w:rsidRPr="007C5936">
        <w:rPr>
          <w:rFonts w:ascii="Times New Roman" w:hAnsi="Times New Roman"/>
          <w:sz w:val="24"/>
          <w:szCs w:val="24"/>
        </w:rPr>
        <w:t xml:space="preserve"> at 3</w:t>
      </w:r>
      <w:proofErr w:type="gramStart"/>
      <w:r w:rsidRPr="007C5936">
        <w:rPr>
          <w:rFonts w:ascii="Times New Roman" w:hAnsi="Times New Roman"/>
          <w:sz w:val="24"/>
          <w:szCs w:val="24"/>
        </w:rPr>
        <w:t>);…</w:t>
      </w:r>
      <w:proofErr w:type="gramEnd"/>
      <w:r w:rsidRPr="007C5936">
        <w:rPr>
          <w:rFonts w:ascii="Times New Roman" w:hAnsi="Times New Roman"/>
          <w:sz w:val="24"/>
          <w:szCs w:val="24"/>
        </w:rPr>
        <w:t xml:space="preserve"> Fishbeck was paid $58,718 annually, while Furrh was paid $75,000….Fishbeck was not allotted a budget for an assistant; but in FY 2021, the Commissioners Court approved an allocation of $64,500 to hire an LCRS Assistant Director</w:t>
      </w:r>
      <w:proofErr w:type="gramStart"/>
      <w:r w:rsidRPr="007C5936">
        <w:rPr>
          <w:rFonts w:ascii="Times New Roman" w:hAnsi="Times New Roman"/>
          <w:sz w:val="24"/>
          <w:szCs w:val="24"/>
        </w:rPr>
        <w:t>…..</w:t>
      </w:r>
      <w:proofErr w:type="gramEnd"/>
      <w:r w:rsidRPr="007C5936">
        <w:rPr>
          <w:rFonts w:ascii="Times New Roman" w:hAnsi="Times New Roman"/>
          <w:sz w:val="24"/>
          <w:szCs w:val="24"/>
        </w:rPr>
        <w:t xml:space="preserve"> Fishbeck received no financial support from the County's General Fund to supplement LCRS's operations; but in 2021, the Commissioners Court approved a $1,000,000 transfer to supplement LCRS's revenue for Furrh.</w:t>
      </w:r>
    </w:p>
    <w:p w14:paraId="597B2814" w14:textId="77777777" w:rsidR="007C5936" w:rsidRPr="007C5936" w:rsidRDefault="007C5936" w:rsidP="007C5936">
      <w:pPr>
        <w:pStyle w:val="NoSpacing"/>
        <w:rPr>
          <w:rFonts w:ascii="Times New Roman" w:hAnsi="Times New Roman"/>
          <w:sz w:val="24"/>
          <w:szCs w:val="24"/>
        </w:rPr>
      </w:pPr>
    </w:p>
    <w:p w14:paraId="64BD6094"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502EFB63" w14:textId="77777777" w:rsidR="007C5936" w:rsidRPr="007C5936" w:rsidRDefault="007C5936" w:rsidP="007C5936">
      <w:pPr>
        <w:pStyle w:val="NoSpacing"/>
        <w:rPr>
          <w:rFonts w:ascii="Times New Roman" w:hAnsi="Times New Roman"/>
          <w:sz w:val="24"/>
          <w:szCs w:val="24"/>
        </w:rPr>
      </w:pPr>
    </w:p>
    <w:p w14:paraId="356ED4D7"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As discussed above, Fishbeck has made out her prima facie case of intentional sex discrimination under Title VII and satisfied her burden of disputing Defendants' reasons for firing her.”</w:t>
      </w:r>
    </w:p>
    <w:p w14:paraId="77E807B4" w14:textId="77777777" w:rsidR="007C5936" w:rsidRPr="007C5936" w:rsidRDefault="007C5936" w:rsidP="007C5936">
      <w:pPr>
        <w:pStyle w:val="NoSpacing"/>
        <w:rPr>
          <w:rFonts w:ascii="Times New Roman" w:hAnsi="Times New Roman"/>
          <w:sz w:val="24"/>
          <w:szCs w:val="24"/>
        </w:rPr>
      </w:pPr>
    </w:p>
    <w:p w14:paraId="1B7C8F29" w14:textId="77777777" w:rsidR="007C5936" w:rsidRPr="007C5936" w:rsidRDefault="007C5936" w:rsidP="007C5936">
      <w:pPr>
        <w:pStyle w:val="NoSpacing"/>
        <w:rPr>
          <w:rFonts w:ascii="Times New Roman" w:hAnsi="Times New Roman"/>
          <w:b/>
          <w:bCs/>
          <w:sz w:val="24"/>
          <w:szCs w:val="24"/>
        </w:rPr>
      </w:pPr>
      <w:r w:rsidRPr="007C5936">
        <w:rPr>
          <w:rFonts w:ascii="Times New Roman" w:hAnsi="Times New Roman"/>
          <w:b/>
          <w:sz w:val="24"/>
          <w:szCs w:val="24"/>
        </w:rPr>
        <w:t>Legal Lesson Learned:  Giving 27% increase in salary to younger new hire ($75,000 v. $58,718) is certainly a “red flag” for a jury.  The case will now proceed to trial</w:t>
      </w:r>
      <w:r w:rsidRPr="007C5936">
        <w:rPr>
          <w:rFonts w:ascii="Times New Roman" w:hAnsi="Times New Roman"/>
          <w:b/>
          <w:bCs/>
          <w:sz w:val="24"/>
          <w:szCs w:val="24"/>
        </w:rPr>
        <w:t>.</w:t>
      </w:r>
    </w:p>
    <w:p w14:paraId="1D3208D4" w14:textId="77777777" w:rsidR="0086464C" w:rsidRPr="007C5936" w:rsidRDefault="0086464C" w:rsidP="00F326E5">
      <w:pPr>
        <w:pStyle w:val="NoSpacing"/>
        <w:rPr>
          <w:rFonts w:ascii="Times New Roman" w:hAnsi="Times New Roman"/>
          <w:b/>
          <w:bCs/>
          <w:sz w:val="24"/>
          <w:szCs w:val="24"/>
        </w:rPr>
      </w:pPr>
    </w:p>
    <w:p w14:paraId="6533EEB9" w14:textId="77777777" w:rsidR="0089221B" w:rsidRPr="007C5936" w:rsidRDefault="0089221B" w:rsidP="00F326E5">
      <w:pPr>
        <w:pStyle w:val="NoSpacing"/>
        <w:rPr>
          <w:rFonts w:ascii="Times New Roman" w:hAnsi="Times New Roman"/>
          <w:b/>
          <w:bCs/>
          <w:sz w:val="24"/>
          <w:szCs w:val="24"/>
        </w:rPr>
      </w:pPr>
    </w:p>
    <w:p w14:paraId="618C2FD1" w14:textId="77777777" w:rsidR="0089221B" w:rsidRDefault="0089221B" w:rsidP="00F326E5">
      <w:pPr>
        <w:pStyle w:val="NoSpacing"/>
        <w:rPr>
          <w:rFonts w:ascii="Arial Black" w:hAnsi="Arial Black"/>
          <w:b/>
          <w:bCs/>
          <w:sz w:val="24"/>
          <w:szCs w:val="24"/>
        </w:rPr>
      </w:pPr>
    </w:p>
    <w:p w14:paraId="68FB15DE" w14:textId="145A26B8" w:rsidR="00A84216" w:rsidRDefault="00A84216" w:rsidP="00F326E5">
      <w:pPr>
        <w:pStyle w:val="NoSpacing"/>
        <w:rPr>
          <w:rFonts w:ascii="Arial Black" w:hAnsi="Arial Black"/>
          <w:b/>
          <w:bCs/>
          <w:sz w:val="24"/>
          <w:szCs w:val="24"/>
        </w:rPr>
      </w:pPr>
      <w:r>
        <w:rPr>
          <w:rFonts w:ascii="Arial Black" w:hAnsi="Arial Black"/>
          <w:b/>
          <w:bCs/>
          <w:sz w:val="24"/>
          <w:szCs w:val="24"/>
        </w:rPr>
        <w:t>7-72</w:t>
      </w:r>
    </w:p>
    <w:p w14:paraId="51D6BECF" w14:textId="77777777" w:rsidR="00A84216" w:rsidRDefault="00A84216" w:rsidP="00F326E5">
      <w:pPr>
        <w:pStyle w:val="NoSpacing"/>
        <w:rPr>
          <w:rFonts w:ascii="Arial Black" w:hAnsi="Arial Black"/>
          <w:b/>
          <w:bCs/>
          <w:sz w:val="24"/>
          <w:szCs w:val="24"/>
        </w:rPr>
      </w:pPr>
    </w:p>
    <w:p w14:paraId="522704EB" w14:textId="77777777" w:rsidR="0089221B" w:rsidRPr="000B7F2C" w:rsidRDefault="0089221B" w:rsidP="0089221B">
      <w:pPr>
        <w:rPr>
          <w:rFonts w:ascii="Arial Black" w:hAnsi="Arial Black"/>
          <w:sz w:val="28"/>
          <w:szCs w:val="28"/>
        </w:rPr>
      </w:pPr>
      <w:r w:rsidRPr="000B7F2C">
        <w:rPr>
          <w:rFonts w:ascii="Arial Black" w:hAnsi="Arial Black"/>
          <w:sz w:val="28"/>
          <w:szCs w:val="28"/>
        </w:rPr>
        <w:t>NY: FIRED</w:t>
      </w:r>
      <w:r>
        <w:rPr>
          <w:rFonts w:ascii="Arial Black" w:hAnsi="Arial Black"/>
          <w:sz w:val="28"/>
          <w:szCs w:val="28"/>
        </w:rPr>
        <w:t xml:space="preserve"> - </w:t>
      </w:r>
      <w:r w:rsidRPr="000B7F2C">
        <w:rPr>
          <w:rFonts w:ascii="Arial Black" w:hAnsi="Arial Black"/>
          <w:sz w:val="28"/>
          <w:szCs w:val="28"/>
        </w:rPr>
        <w:t>PROTOCOL C</w:t>
      </w:r>
      <w:r>
        <w:rPr>
          <w:rFonts w:ascii="Arial Black" w:hAnsi="Arial Black"/>
          <w:sz w:val="28"/>
          <w:szCs w:val="28"/>
        </w:rPr>
        <w:t xml:space="preserve">OURSE </w:t>
      </w:r>
      <w:r w:rsidRPr="000B7F2C">
        <w:rPr>
          <w:rFonts w:ascii="Arial Black" w:hAnsi="Arial Black"/>
          <w:sz w:val="28"/>
          <w:szCs w:val="28"/>
        </w:rPr>
        <w:t xml:space="preserve"> - </w:t>
      </w:r>
      <w:r>
        <w:rPr>
          <w:rFonts w:ascii="Arial Black" w:hAnsi="Arial Black"/>
          <w:sz w:val="28"/>
          <w:szCs w:val="28"/>
        </w:rPr>
        <w:t>NOT HOSTILE WORK</w:t>
      </w:r>
    </w:p>
    <w:p w14:paraId="3DF47C12" w14:textId="77777777" w:rsidR="0089221B" w:rsidRPr="0089221B" w:rsidRDefault="0089221B" w:rsidP="0089221B">
      <w:pPr>
        <w:rPr>
          <w:rFonts w:ascii="Times New Roman" w:hAnsi="Times New Roman"/>
          <w:sz w:val="24"/>
          <w:szCs w:val="24"/>
        </w:rPr>
      </w:pPr>
      <w:r w:rsidRPr="0089221B">
        <w:rPr>
          <w:rFonts w:ascii="Times New Roman" w:hAnsi="Times New Roman"/>
          <w:sz w:val="24"/>
          <w:szCs w:val="24"/>
        </w:rPr>
        <w:t xml:space="preserve">On Feb. 17, 2025, in </w:t>
      </w:r>
      <w:r w:rsidRPr="0089221B">
        <w:rPr>
          <w:rFonts w:ascii="Times New Roman" w:hAnsi="Times New Roman"/>
          <w:sz w:val="24"/>
          <w:szCs w:val="24"/>
          <w:u w:val="single"/>
        </w:rPr>
        <w:t>Marcia Parke v. Assist Ambulance</w:t>
      </w:r>
      <w:r w:rsidRPr="0089221B">
        <w:rPr>
          <w:rFonts w:ascii="Times New Roman" w:hAnsi="Times New Roman"/>
          <w:sz w:val="24"/>
          <w:szCs w:val="24"/>
        </w:rPr>
        <w:t xml:space="preserve">, United States District Court Judge Orelia E. Merchant, U.S. District Court for Eastern District of New York, granted the defense motion to dismiss; she was fired for not completing protocol updated course by Dec. 29, 2020.  Her claims of gender and racial discrimination, retaliation, and hostile work environment dismissed – including  claim that there was a hostile workplace when her Supervisor on December 23, </w:t>
      </w:r>
      <w:proofErr w:type="gramStart"/>
      <w:r w:rsidRPr="0089221B">
        <w:rPr>
          <w:rFonts w:ascii="Times New Roman" w:hAnsi="Times New Roman"/>
          <w:sz w:val="24"/>
          <w:szCs w:val="24"/>
        </w:rPr>
        <w:t>2020</w:t>
      </w:r>
      <w:proofErr w:type="gramEnd"/>
      <w:r w:rsidRPr="0089221B">
        <w:rPr>
          <w:rFonts w:ascii="Times New Roman" w:hAnsi="Times New Roman"/>
          <w:sz w:val="24"/>
          <w:szCs w:val="24"/>
        </w:rPr>
        <w:t xml:space="preserve"> ordered to take off her work jacket to confirm she was not wearing uniform shirt.  She had on “low cut” tee shirt.  </w:t>
      </w:r>
      <w:hyperlink r:id="rId1392" w:history="1">
        <w:r w:rsidRPr="0089221B">
          <w:rPr>
            <w:rStyle w:val="Hyperlink"/>
            <w:rFonts w:ascii="Times New Roman" w:hAnsi="Times New Roman"/>
            <w:sz w:val="24"/>
            <w:szCs w:val="24"/>
          </w:rPr>
          <w:t>https://cases.justia.com/federal/district-courts/new-york/nyedce/1:2023cv09066/507538/25/0.pdf?ts=1739862975%20https://media.cadc.uscourts.gov/orders/docs/2025/02/25-5028LDSD.pdf</w:t>
        </w:r>
      </w:hyperlink>
      <w:r w:rsidRPr="0089221B">
        <w:rPr>
          <w:rFonts w:ascii="Times New Roman" w:hAnsi="Times New Roman"/>
          <w:sz w:val="24"/>
          <w:szCs w:val="24"/>
        </w:rPr>
        <w:t xml:space="preserve"> </w:t>
      </w:r>
    </w:p>
    <w:p w14:paraId="67488A11" w14:textId="77777777" w:rsidR="0089221B" w:rsidRPr="0089221B" w:rsidRDefault="0089221B" w:rsidP="0089221B">
      <w:pPr>
        <w:rPr>
          <w:rFonts w:ascii="Times New Roman" w:hAnsi="Times New Roman"/>
          <w:sz w:val="24"/>
          <w:szCs w:val="24"/>
        </w:rPr>
      </w:pPr>
      <w:r w:rsidRPr="0089221B">
        <w:rPr>
          <w:rFonts w:ascii="Times New Roman" w:hAnsi="Times New Roman"/>
          <w:sz w:val="24"/>
          <w:szCs w:val="24"/>
        </w:rPr>
        <w:t>The Court wrote:</w:t>
      </w:r>
    </w:p>
    <w:p w14:paraId="64E58B9C" w14:textId="77777777" w:rsidR="0089221B" w:rsidRPr="0089221B" w:rsidRDefault="0089221B" w:rsidP="0089221B">
      <w:pPr>
        <w:pStyle w:val="NoSpacing"/>
        <w:ind w:firstLine="720"/>
        <w:rPr>
          <w:rFonts w:ascii="Times New Roman" w:hAnsi="Times New Roman"/>
          <w:sz w:val="24"/>
          <w:szCs w:val="24"/>
        </w:rPr>
      </w:pPr>
      <w:r w:rsidRPr="0089221B">
        <w:rPr>
          <w:rFonts w:ascii="Times New Roman" w:hAnsi="Times New Roman"/>
          <w:sz w:val="24"/>
          <w:szCs w:val="24"/>
        </w:rPr>
        <w:t>“Plaintiff alleges that, on or about December 23, 2020, she had spilled coffee on her shirt</w:t>
      </w:r>
    </w:p>
    <w:p w14:paraId="5529CCEB"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on her way to work and that because the shirt was soaked, she removed it…. While Plaintiff was at work, her supervisor Jason Cohen (“Cohen”) asked her whether she was wearing a work uniform shirt under her jacket….Plaintiff was wearing a ‘low-cut’ t-shirt under her jacket, and she responded that she was not wearing a uniform shirt…. She states that Cohen could have seen that she was not wearing her work uniform, but Cohen nonetheless asked that she unzip her jacket so that he could confirm Plaintiff was not wearing a work uniform shirt and ‘insisted [that] she unzip her jacket more so he could see more.… Plaintiff alleges that Cohen asked her to unzip her jacket a ‘third time’ thereby ‘exposing part of her [upper] breast.’ … Later that day, Plaintiff met with Cohen, Assistant Ambulance employees Carey Peguese [and another]…where she was informed that she would be suspended.</w:t>
      </w:r>
    </w:p>
    <w:p w14:paraId="3FA726C4" w14:textId="77777777" w:rsidR="0089221B" w:rsidRPr="0089221B" w:rsidRDefault="0089221B" w:rsidP="0089221B">
      <w:pPr>
        <w:pStyle w:val="NoSpacing"/>
        <w:rPr>
          <w:rFonts w:ascii="Times New Roman" w:hAnsi="Times New Roman"/>
          <w:sz w:val="24"/>
          <w:szCs w:val="24"/>
        </w:rPr>
      </w:pPr>
    </w:p>
    <w:p w14:paraId="0A870D6A" w14:textId="77777777" w:rsidR="0089221B" w:rsidRPr="0089221B" w:rsidRDefault="0089221B" w:rsidP="0089221B">
      <w:pPr>
        <w:pStyle w:val="NoSpacing"/>
        <w:ind w:firstLine="720"/>
        <w:rPr>
          <w:rFonts w:ascii="Times New Roman" w:hAnsi="Times New Roman"/>
          <w:sz w:val="24"/>
          <w:szCs w:val="24"/>
        </w:rPr>
      </w:pPr>
      <w:r w:rsidRPr="0089221B">
        <w:rPr>
          <w:rFonts w:ascii="Times New Roman" w:hAnsi="Times New Roman"/>
          <w:sz w:val="24"/>
          <w:szCs w:val="24"/>
        </w:rPr>
        <w:t>***</w:t>
      </w:r>
    </w:p>
    <w:p w14:paraId="7A1A57AC" w14:textId="77777777" w:rsidR="0089221B" w:rsidRPr="0089221B" w:rsidRDefault="0089221B" w:rsidP="0089221B">
      <w:pPr>
        <w:pStyle w:val="NoSpacing"/>
        <w:rPr>
          <w:rFonts w:ascii="Times New Roman" w:hAnsi="Times New Roman"/>
          <w:sz w:val="24"/>
          <w:szCs w:val="24"/>
        </w:rPr>
      </w:pPr>
    </w:p>
    <w:p w14:paraId="5FA25C37"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 xml:space="preserve">Plaintiff asserts a Title VII sex discrimination claim for harassment on numerous occasions, including the December 23, </w:t>
      </w:r>
      <w:proofErr w:type="gramStart"/>
      <w:r w:rsidRPr="0089221B">
        <w:rPr>
          <w:rFonts w:ascii="Times New Roman" w:hAnsi="Times New Roman"/>
          <w:sz w:val="24"/>
          <w:szCs w:val="24"/>
        </w:rPr>
        <w:t>2020</w:t>
      </w:r>
      <w:proofErr w:type="gramEnd"/>
      <w:r w:rsidRPr="0089221B">
        <w:rPr>
          <w:rFonts w:ascii="Times New Roman" w:hAnsi="Times New Roman"/>
          <w:sz w:val="24"/>
          <w:szCs w:val="24"/>
        </w:rPr>
        <w:t xml:space="preserve"> incident involving Cohen….to state a claim for hostile work environment, a plaintiff must plead facts that would tend to show the complained of conduct: (1) “is objectively severe or pervasive—that it creates an environment that a reasonable person would find hostile or abusive”; (2) creates an</w:t>
      </w:r>
    </w:p>
    <w:p w14:paraId="72B89832"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environment “that the plaintiff subjectively perceives as hostile or abusive”; and (3) ‘creates such an environment because of the plaintiff’s sex.’ Patane v. Clark, 508 F.3d 106, 113 (2d Cir. 2007) (citing Gregory v. Daly, 243 F.3d 687, 691–92 (2d Cir. 2001)) (cleaned up).”</w:t>
      </w:r>
    </w:p>
    <w:p w14:paraId="2EB3BDC9" w14:textId="77777777" w:rsidR="0089221B" w:rsidRPr="0089221B" w:rsidRDefault="0089221B" w:rsidP="0089221B">
      <w:pPr>
        <w:pStyle w:val="NoSpacing"/>
        <w:rPr>
          <w:rFonts w:ascii="Times New Roman" w:hAnsi="Times New Roman"/>
          <w:sz w:val="24"/>
          <w:szCs w:val="24"/>
        </w:rPr>
      </w:pPr>
    </w:p>
    <w:p w14:paraId="4084992B" w14:textId="77777777" w:rsidR="0089221B" w:rsidRPr="0089221B" w:rsidRDefault="0089221B" w:rsidP="0089221B">
      <w:pPr>
        <w:pStyle w:val="NoSpacing"/>
        <w:rPr>
          <w:rFonts w:ascii="Times New Roman" w:hAnsi="Times New Roman"/>
          <w:b/>
          <w:bCs/>
          <w:sz w:val="24"/>
          <w:szCs w:val="24"/>
        </w:rPr>
      </w:pPr>
      <w:r w:rsidRPr="0089221B">
        <w:rPr>
          <w:rFonts w:ascii="Times New Roman" w:hAnsi="Times New Roman"/>
          <w:b/>
          <w:sz w:val="24"/>
          <w:szCs w:val="24"/>
        </w:rPr>
        <w:t xml:space="preserve">Legal Lesson Learned: Hostile work environment claim based on her wearing tee shirt in place of her work shirt properly dismissed. </w:t>
      </w:r>
    </w:p>
    <w:p w14:paraId="39F4D599" w14:textId="77777777" w:rsidR="0089221B" w:rsidRPr="0089221B" w:rsidRDefault="0089221B" w:rsidP="0089221B">
      <w:pPr>
        <w:pStyle w:val="NoSpacing"/>
        <w:rPr>
          <w:rFonts w:ascii="Times New Roman" w:hAnsi="Times New Roman"/>
          <w:sz w:val="24"/>
          <w:szCs w:val="24"/>
        </w:rPr>
      </w:pPr>
    </w:p>
    <w:p w14:paraId="0C413F07" w14:textId="77777777" w:rsidR="00A84216" w:rsidRPr="0089221B" w:rsidRDefault="00A84216" w:rsidP="00F326E5">
      <w:pPr>
        <w:pStyle w:val="NoSpacing"/>
        <w:rPr>
          <w:rFonts w:ascii="Times New Roman" w:hAnsi="Times New Roman"/>
          <w:b/>
          <w:bCs/>
          <w:sz w:val="24"/>
          <w:szCs w:val="24"/>
        </w:rPr>
      </w:pPr>
    </w:p>
    <w:p w14:paraId="4CAAD10B" w14:textId="77777777" w:rsidR="00A84216" w:rsidRPr="0089221B" w:rsidRDefault="00A84216" w:rsidP="00F326E5">
      <w:pPr>
        <w:pStyle w:val="NoSpacing"/>
        <w:rPr>
          <w:rFonts w:ascii="Times New Roman" w:hAnsi="Times New Roman"/>
          <w:b/>
          <w:bCs/>
          <w:sz w:val="24"/>
          <w:szCs w:val="24"/>
        </w:rPr>
      </w:pPr>
    </w:p>
    <w:p w14:paraId="54E6D1B4" w14:textId="77777777" w:rsidR="00A84216" w:rsidRDefault="00A84216" w:rsidP="00F326E5">
      <w:pPr>
        <w:pStyle w:val="NoSpacing"/>
        <w:rPr>
          <w:rFonts w:ascii="Arial Black" w:hAnsi="Arial Black"/>
          <w:b/>
          <w:bCs/>
          <w:sz w:val="24"/>
          <w:szCs w:val="24"/>
        </w:rPr>
      </w:pPr>
    </w:p>
    <w:p w14:paraId="6455727A" w14:textId="502274C7" w:rsidR="000A5F54" w:rsidRDefault="000A5F54" w:rsidP="00F326E5">
      <w:pPr>
        <w:pStyle w:val="NoSpacing"/>
        <w:rPr>
          <w:rFonts w:ascii="Arial Black" w:hAnsi="Arial Black"/>
          <w:b/>
          <w:bCs/>
          <w:sz w:val="24"/>
          <w:szCs w:val="24"/>
        </w:rPr>
      </w:pPr>
      <w:r>
        <w:rPr>
          <w:rFonts w:ascii="Arial Black" w:hAnsi="Arial Black"/>
          <w:b/>
          <w:bCs/>
          <w:sz w:val="24"/>
          <w:szCs w:val="24"/>
        </w:rPr>
        <w:t>7-71</w:t>
      </w:r>
    </w:p>
    <w:p w14:paraId="697340CA" w14:textId="77777777" w:rsidR="00A84216" w:rsidRDefault="00A84216" w:rsidP="00F326E5">
      <w:pPr>
        <w:pStyle w:val="NoSpacing"/>
        <w:rPr>
          <w:rFonts w:ascii="Arial Black" w:hAnsi="Arial Black"/>
          <w:b/>
          <w:bCs/>
          <w:sz w:val="24"/>
          <w:szCs w:val="24"/>
        </w:rPr>
      </w:pPr>
    </w:p>
    <w:p w14:paraId="0B51A222" w14:textId="77777777" w:rsidR="00A84216" w:rsidRPr="000B7F2C" w:rsidRDefault="00A84216" w:rsidP="00A84216">
      <w:pPr>
        <w:rPr>
          <w:rFonts w:ascii="Arial Black" w:hAnsi="Arial Black"/>
          <w:b/>
          <w:sz w:val="28"/>
          <w:szCs w:val="28"/>
        </w:rPr>
      </w:pPr>
      <w:r w:rsidRPr="000B7F2C">
        <w:rPr>
          <w:rFonts w:ascii="Arial Black" w:hAnsi="Arial Black"/>
          <w:b/>
          <w:sz w:val="28"/>
          <w:szCs w:val="28"/>
        </w:rPr>
        <w:t>VA: NEG JOB REFERENCES – SHE “SWINGER” - NO CASE</w:t>
      </w:r>
    </w:p>
    <w:p w14:paraId="55C5A634"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 xml:space="preserve">On Jan. 31, 2025, in </w:t>
      </w:r>
      <w:r w:rsidRPr="00A84216">
        <w:rPr>
          <w:rFonts w:ascii="Times New Roman" w:hAnsi="Times New Roman"/>
          <w:sz w:val="24"/>
          <w:szCs w:val="24"/>
          <w:u w:val="single"/>
        </w:rPr>
        <w:t>Natalie Lundberg v. Delta Response Team, LLC and Thomas Walton</w:t>
      </w:r>
      <w:r w:rsidRPr="00A84216">
        <w:rPr>
          <w:rFonts w:ascii="Times New Roman" w:hAnsi="Times New Roman"/>
          <w:sz w:val="24"/>
          <w:szCs w:val="24"/>
        </w:rPr>
        <w:t xml:space="preserve">, United States District Court Judge Jasmine H. Yoon, U.S. District Court for Western District of Virginia, Charlottesville Division, granted defense motion for summary judgment.  The plaintiff applied to two different municipal fire departments; DRT Vice President Tom Walton told the prospective employers she was a “swinger.” He claimed Lundberg had “a very different view on her private life” and that “her and her fiancé are open swingers and partiers and so forth.” </w:t>
      </w:r>
      <w:hyperlink r:id="rId1393" w:history="1">
        <w:r w:rsidRPr="00A84216">
          <w:rPr>
            <w:rStyle w:val="Hyperlink"/>
            <w:rFonts w:ascii="Times New Roman" w:hAnsi="Times New Roman"/>
            <w:sz w:val="24"/>
            <w:szCs w:val="24"/>
          </w:rPr>
          <w:t>https://casetext.com/case/lundberg-v-delta-response-team-llc-1</w:t>
        </w:r>
      </w:hyperlink>
      <w:r w:rsidRPr="00A84216">
        <w:rPr>
          <w:rFonts w:ascii="Times New Roman" w:hAnsi="Times New Roman"/>
          <w:sz w:val="24"/>
          <w:szCs w:val="24"/>
        </w:rPr>
        <w:t xml:space="preserve"> </w:t>
      </w:r>
    </w:p>
    <w:p w14:paraId="1A85FE09"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The Court wrote:</w:t>
      </w:r>
    </w:p>
    <w:p w14:paraId="216F7211"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“Lundberg applied to two positions with municipal fire departments in late 2021 and early 2022. In November 2021, she applied to work as a firefighter for the City of Lynchburg Fire Department (‘City of Lynchburg’)…. Following the background check, the City of Lynchburg informed Lundberg that she had not been selected for the position. </w:t>
      </w:r>
    </w:p>
    <w:p w14:paraId="4B77C500" w14:textId="77777777" w:rsidR="00A84216" w:rsidRPr="00A84216" w:rsidRDefault="00A84216" w:rsidP="00A84216">
      <w:pPr>
        <w:ind w:firstLine="720"/>
        <w:rPr>
          <w:rFonts w:ascii="Times New Roman" w:hAnsi="Times New Roman"/>
          <w:sz w:val="24"/>
          <w:szCs w:val="24"/>
        </w:rPr>
      </w:pPr>
      <w:r w:rsidRPr="00A84216">
        <w:rPr>
          <w:rFonts w:ascii="Times New Roman" w:hAnsi="Times New Roman"/>
          <w:sz w:val="24"/>
          <w:szCs w:val="24"/>
        </w:rPr>
        <w:t>***</w:t>
      </w:r>
    </w:p>
    <w:p w14:paraId="4CCD6E23"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Lundberg next applied for a position with Bedford County Fire and Rescue (“Bedford County”)…. On February 16, 2022, she received and accepted a conditional offer of employment, which was contingent on a background investigation and physical and psychological examinations…. Bedford County's background investigator spoke to Lundberg, Walton, and a couple personal references…. On March 7, 2022, Bedford County informed Lundberg that it was rescinding her conditional offer of employment…. The official who made the decision, Bedford County Fire and Rescue Chief Janet Blankenship, affirmatively states that it was not based on the background investigation report or the information Walton provided to the investigator….Instead, Blankenship explains that her decision was based on the results of Lundberg's psychological health evaluation.</w:t>
      </w:r>
    </w:p>
    <w:p w14:paraId="00070617"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ab/>
        <w:t>***</w:t>
      </w:r>
    </w:p>
    <w:p w14:paraId="28815DE0"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With four independent references outright recommending against hiring Lundberg for the position, and one (Millner) sharing even more detailed allegations about her sex life, the record does not support a finding that Walton's comments made the City of Lynchburg less likely to hire her. While Lundberg suggests that Walton is well-known in the first-responder community, that fact does not create a jury question on this issue, particularly when all four references who </w:t>
      </w:r>
      <w:proofErr w:type="gramStart"/>
      <w:r w:rsidRPr="00A84216">
        <w:rPr>
          <w:rFonts w:ascii="Times New Roman" w:hAnsi="Times New Roman"/>
          <w:sz w:val="24"/>
          <w:szCs w:val="24"/>
        </w:rPr>
        <w:t>recommended against</w:t>
      </w:r>
      <w:proofErr w:type="gramEnd"/>
      <w:r w:rsidRPr="00A84216">
        <w:rPr>
          <w:rFonts w:ascii="Times New Roman" w:hAnsi="Times New Roman"/>
          <w:sz w:val="24"/>
          <w:szCs w:val="24"/>
        </w:rPr>
        <w:t xml:space="preserve"> hiring her worked as firefighters for the City of Lynchburg at the time she applied.</w:t>
      </w:r>
    </w:p>
    <w:p w14:paraId="05FB12BA" w14:textId="77777777" w:rsidR="00A84216" w:rsidRPr="00A84216" w:rsidRDefault="00A84216" w:rsidP="00A84216">
      <w:pPr>
        <w:ind w:firstLine="720"/>
        <w:rPr>
          <w:rFonts w:ascii="Times New Roman" w:hAnsi="Times New Roman"/>
          <w:sz w:val="24"/>
          <w:szCs w:val="24"/>
        </w:rPr>
      </w:pPr>
      <w:r w:rsidRPr="00A84216">
        <w:rPr>
          <w:rFonts w:ascii="Times New Roman" w:hAnsi="Times New Roman"/>
          <w:sz w:val="24"/>
          <w:szCs w:val="24"/>
        </w:rPr>
        <w:t>***</w:t>
      </w:r>
    </w:p>
    <w:p w14:paraId="0C0A1B1A"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In sum, even if an employment reference can support a Title VII discrimination claim when it negatively impacts a job application, there is insufficient evidence that Walton's references had such an impact here. For that reason, the court concludes that Lundberg's disparate-</w:t>
      </w:r>
      <w:proofErr w:type="gramStart"/>
      <w:r w:rsidRPr="00A84216">
        <w:rPr>
          <w:rFonts w:ascii="Times New Roman" w:hAnsi="Times New Roman"/>
          <w:sz w:val="24"/>
          <w:szCs w:val="24"/>
        </w:rPr>
        <w:t>treatment discrimination</w:t>
      </w:r>
      <w:proofErr w:type="gramEnd"/>
      <w:r w:rsidRPr="00A84216">
        <w:rPr>
          <w:rFonts w:ascii="Times New Roman" w:hAnsi="Times New Roman"/>
          <w:sz w:val="24"/>
          <w:szCs w:val="24"/>
        </w:rPr>
        <w:t xml:space="preserve"> claims fail as a matter of </w:t>
      </w:r>
      <w:proofErr w:type="gramStart"/>
      <w:r w:rsidRPr="00A84216">
        <w:rPr>
          <w:rFonts w:ascii="Times New Roman" w:hAnsi="Times New Roman"/>
          <w:sz w:val="24"/>
          <w:szCs w:val="24"/>
        </w:rPr>
        <w:t>law.”</w:t>
      </w:r>
      <w:proofErr w:type="gramEnd"/>
    </w:p>
    <w:p w14:paraId="7ABE6A64" w14:textId="77777777" w:rsidR="00A84216" w:rsidRPr="00A84216" w:rsidRDefault="00A84216" w:rsidP="00A84216">
      <w:pPr>
        <w:rPr>
          <w:rFonts w:ascii="Times New Roman" w:hAnsi="Times New Roman"/>
          <w:b/>
          <w:bCs/>
          <w:sz w:val="24"/>
          <w:szCs w:val="24"/>
        </w:rPr>
      </w:pPr>
      <w:r w:rsidRPr="00A84216">
        <w:rPr>
          <w:rFonts w:ascii="Times New Roman" w:hAnsi="Times New Roman"/>
          <w:b/>
          <w:sz w:val="24"/>
          <w:szCs w:val="24"/>
        </w:rPr>
        <w:t>Legal Lesson Learned: Negative job references were from several individuals.</w:t>
      </w:r>
    </w:p>
    <w:p w14:paraId="76047623"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Note: See Ohio Revised Code: “Section 4113.71 | Immunity of employer as to job performance information disclosures. (B) An employer who is requested by an employee or a prospective employer of an employee to disclose to a prospective employer of that employee information pertaining to the job performance of that employee for the employer and who discloses the requested information to the prospective employer is not liable in damages in a civil action to that employee, the prospective employer, or any other person for any harm sustained as a proximate result of making the disclosure or of any information disclosed, unless the plaintiff in a civil action establishes, either or both of the following:</w:t>
      </w:r>
    </w:p>
    <w:p w14:paraId="243507A4"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(1) By a preponderance of the evidence that the employer disclosed </w:t>
      </w:r>
      <w:proofErr w:type="gramStart"/>
      <w:r w:rsidRPr="00A84216">
        <w:rPr>
          <w:rFonts w:ascii="Times New Roman" w:hAnsi="Times New Roman"/>
          <w:sz w:val="24"/>
          <w:szCs w:val="24"/>
        </w:rPr>
        <w:t>particular information</w:t>
      </w:r>
      <w:proofErr w:type="gramEnd"/>
      <w:r w:rsidRPr="00A84216">
        <w:rPr>
          <w:rFonts w:ascii="Times New Roman" w:hAnsi="Times New Roman"/>
          <w:sz w:val="24"/>
          <w:szCs w:val="24"/>
        </w:rPr>
        <w:t xml:space="preserve"> with the knowledge that it was false, with the deliberate intent to mislead the prospective employer or another person, in bad faith, or with malicious purpose;</w:t>
      </w:r>
    </w:p>
    <w:p w14:paraId="2172D9D9"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(2) By a preponderance of the evidence that the disclosure of particular information by the employer constitutes an unlawful discriminatory practice described in section </w:t>
      </w:r>
      <w:hyperlink r:id="rId1394" w:history="1">
        <w:r w:rsidRPr="00A84216">
          <w:rPr>
            <w:rStyle w:val="Hyperlink"/>
            <w:rFonts w:ascii="Times New Roman" w:hAnsi="Times New Roman"/>
            <w:sz w:val="24"/>
            <w:szCs w:val="24"/>
          </w:rPr>
          <w:t>4112.02</w:t>
        </w:r>
      </w:hyperlink>
      <w:r w:rsidRPr="00A84216">
        <w:rPr>
          <w:rFonts w:ascii="Times New Roman" w:hAnsi="Times New Roman"/>
          <w:sz w:val="24"/>
          <w:szCs w:val="24"/>
        </w:rPr>
        <w:t xml:space="preserve">, </w:t>
      </w:r>
      <w:hyperlink r:id="rId1395" w:history="1">
        <w:r w:rsidRPr="00A84216">
          <w:rPr>
            <w:rStyle w:val="Hyperlink"/>
            <w:rFonts w:ascii="Times New Roman" w:hAnsi="Times New Roman"/>
            <w:sz w:val="24"/>
            <w:szCs w:val="24"/>
          </w:rPr>
          <w:t>4112.021</w:t>
        </w:r>
      </w:hyperlink>
      <w:r w:rsidRPr="00A84216">
        <w:rPr>
          <w:rFonts w:ascii="Times New Roman" w:hAnsi="Times New Roman"/>
          <w:sz w:val="24"/>
          <w:szCs w:val="24"/>
        </w:rPr>
        <w:t xml:space="preserve">, or </w:t>
      </w:r>
      <w:hyperlink r:id="rId1396" w:history="1">
        <w:r w:rsidRPr="00A84216">
          <w:rPr>
            <w:rStyle w:val="Hyperlink"/>
            <w:rFonts w:ascii="Times New Roman" w:hAnsi="Times New Roman"/>
            <w:sz w:val="24"/>
            <w:szCs w:val="24"/>
          </w:rPr>
          <w:t>4112.022</w:t>
        </w:r>
      </w:hyperlink>
      <w:r w:rsidRPr="00A84216">
        <w:rPr>
          <w:rFonts w:ascii="Times New Roman" w:hAnsi="Times New Roman"/>
          <w:sz w:val="24"/>
          <w:szCs w:val="24"/>
        </w:rPr>
        <w:t xml:space="preserve"> of the Revised Code.” </w:t>
      </w:r>
      <w:hyperlink r:id="rId1397" w:history="1">
        <w:r w:rsidRPr="00A84216">
          <w:rPr>
            <w:rStyle w:val="Hyperlink"/>
            <w:rFonts w:ascii="Times New Roman" w:hAnsi="Times New Roman"/>
            <w:sz w:val="24"/>
            <w:szCs w:val="24"/>
          </w:rPr>
          <w:t>https://codes.ohio.gov/ohio-revised-code/section-4113.71</w:t>
        </w:r>
      </w:hyperlink>
      <w:r w:rsidRPr="00A84216">
        <w:rPr>
          <w:rFonts w:ascii="Times New Roman" w:hAnsi="Times New Roman"/>
          <w:sz w:val="24"/>
          <w:szCs w:val="24"/>
        </w:rPr>
        <w:t xml:space="preserve"> </w:t>
      </w:r>
    </w:p>
    <w:p w14:paraId="0272DB3F" w14:textId="77777777" w:rsidR="00A84216" w:rsidRPr="00A84216" w:rsidRDefault="00A84216" w:rsidP="00F326E5">
      <w:pPr>
        <w:pStyle w:val="NoSpacing"/>
        <w:rPr>
          <w:rFonts w:ascii="Times New Roman" w:hAnsi="Times New Roman"/>
          <w:b/>
          <w:bCs/>
          <w:sz w:val="24"/>
          <w:szCs w:val="24"/>
        </w:rPr>
      </w:pPr>
    </w:p>
    <w:p w14:paraId="01D0CE7D" w14:textId="77777777" w:rsidR="000A5F54" w:rsidRDefault="000A5F54" w:rsidP="00F326E5">
      <w:pPr>
        <w:pStyle w:val="NoSpacing"/>
        <w:rPr>
          <w:rFonts w:ascii="Arial Black" w:hAnsi="Arial Black"/>
          <w:b/>
          <w:bCs/>
          <w:sz w:val="24"/>
          <w:szCs w:val="24"/>
        </w:rPr>
      </w:pPr>
    </w:p>
    <w:p w14:paraId="670F68F9" w14:textId="77777777" w:rsidR="000A5F54" w:rsidRDefault="000A5F54" w:rsidP="00F326E5">
      <w:pPr>
        <w:pStyle w:val="NoSpacing"/>
        <w:rPr>
          <w:rFonts w:ascii="Arial Black" w:hAnsi="Arial Black"/>
          <w:b/>
          <w:bCs/>
          <w:sz w:val="24"/>
          <w:szCs w:val="24"/>
        </w:rPr>
      </w:pPr>
    </w:p>
    <w:p w14:paraId="1B3A9AC6" w14:textId="428E458F" w:rsidR="00B83DEF" w:rsidRDefault="006905F6" w:rsidP="00F326E5">
      <w:pPr>
        <w:pStyle w:val="NoSpacing"/>
        <w:rPr>
          <w:rFonts w:ascii="Arial Black" w:hAnsi="Arial Black"/>
          <w:b/>
          <w:bCs/>
          <w:sz w:val="24"/>
          <w:szCs w:val="24"/>
        </w:rPr>
      </w:pPr>
      <w:r>
        <w:rPr>
          <w:rFonts w:ascii="Arial Black" w:hAnsi="Arial Black"/>
          <w:b/>
          <w:bCs/>
          <w:sz w:val="24"/>
          <w:szCs w:val="24"/>
        </w:rPr>
        <w:t>7-70</w:t>
      </w:r>
    </w:p>
    <w:p w14:paraId="7D7EBA32" w14:textId="77777777" w:rsidR="006905F6" w:rsidRDefault="006905F6" w:rsidP="00F326E5">
      <w:pPr>
        <w:pStyle w:val="NoSpacing"/>
        <w:rPr>
          <w:rFonts w:ascii="Arial Black" w:hAnsi="Arial Black"/>
          <w:b/>
          <w:bCs/>
          <w:sz w:val="24"/>
          <w:szCs w:val="24"/>
        </w:rPr>
      </w:pPr>
    </w:p>
    <w:p w14:paraId="782EF4C2" w14:textId="77777777" w:rsidR="006905F6" w:rsidRPr="00A55556" w:rsidRDefault="006905F6" w:rsidP="006905F6">
      <w:pPr>
        <w:pStyle w:val="NoSpacing"/>
        <w:rPr>
          <w:rFonts w:ascii="Arial Black" w:hAnsi="Arial Black"/>
          <w:sz w:val="28"/>
          <w:szCs w:val="28"/>
        </w:rPr>
      </w:pPr>
      <w:r>
        <w:rPr>
          <w:rFonts w:ascii="Arial Black" w:hAnsi="Arial Black"/>
          <w:sz w:val="28"/>
          <w:szCs w:val="28"/>
        </w:rPr>
        <w:t>DC: GENDER IDENTITY – TRUMP EXEC ORDER – US SUP CT</w:t>
      </w:r>
    </w:p>
    <w:p w14:paraId="3C70AA04" w14:textId="77777777" w:rsidR="006905F6" w:rsidRDefault="006905F6" w:rsidP="006905F6">
      <w:pPr>
        <w:pStyle w:val="NoSpacing"/>
      </w:pPr>
    </w:p>
    <w:p w14:paraId="493738E3"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Jan. 20, 2025: President Trump’s Executive Order - DEFENDING WOMEN FROM GENDER IDEOLOGY EXTREMISM AND RESTORING BIOLOGICAL TRUTH TO THE FEDERAL GOVERNMENT – can modify federal advice to schools and employers on “single-sex spaces” such as bathrooms.   However,  employers must still follow U.S. Supreme Court’s 2020 decision “making it illegal for an employer to rely on an employee’s sex [gay; trans] when deciding to fire that employee.” </w:t>
      </w:r>
      <w:hyperlink r:id="rId1398" w:history="1">
        <w:r w:rsidRPr="006905F6">
          <w:rPr>
            <w:rStyle w:val="Hyperlink"/>
            <w:rFonts w:ascii="Times New Roman" w:hAnsi="Times New Roman"/>
            <w:sz w:val="24"/>
            <w:szCs w:val="24"/>
          </w:rPr>
          <w:t>uch https://www.whitehouse.gov/presidential-actions/2025/01/defending-women-from-gender-ideology-extremism-and-restoring-biological-truth-to-the-federal-government/?utm_medium=email&amp;utm_source=web_app&amp;utm_campaign=digest</w:t>
        </w:r>
      </w:hyperlink>
    </w:p>
    <w:p w14:paraId="668E49B5" w14:textId="77777777" w:rsidR="006905F6" w:rsidRPr="006905F6" w:rsidRDefault="006905F6" w:rsidP="006905F6">
      <w:pPr>
        <w:pStyle w:val="NoSpacing"/>
        <w:rPr>
          <w:rFonts w:ascii="Times New Roman" w:hAnsi="Times New Roman"/>
          <w:sz w:val="24"/>
          <w:szCs w:val="24"/>
        </w:rPr>
      </w:pPr>
    </w:p>
    <w:p w14:paraId="7BAE9E82"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Executive Order includes the following: </w:t>
      </w:r>
    </w:p>
    <w:p w14:paraId="7503E7CB" w14:textId="77777777" w:rsidR="006905F6" w:rsidRPr="006905F6" w:rsidRDefault="006905F6" w:rsidP="006905F6">
      <w:pPr>
        <w:pStyle w:val="NoSpacing"/>
        <w:rPr>
          <w:rFonts w:ascii="Times New Roman" w:hAnsi="Times New Roman"/>
          <w:sz w:val="24"/>
          <w:szCs w:val="24"/>
        </w:rPr>
      </w:pPr>
    </w:p>
    <w:p w14:paraId="31E05FA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“The prior Administration argued that the Supreme Court’s decision in </w:t>
      </w:r>
      <w:r w:rsidRPr="006905F6">
        <w:rPr>
          <w:rFonts w:ascii="Times New Roman" w:hAnsi="Times New Roman"/>
          <w:i/>
          <w:iCs/>
          <w:sz w:val="24"/>
          <w:szCs w:val="24"/>
        </w:rPr>
        <w:t>Bostock v. Clayton County</w:t>
      </w:r>
      <w:r w:rsidRPr="006905F6">
        <w:rPr>
          <w:rFonts w:ascii="Times New Roman" w:hAnsi="Times New Roman"/>
          <w:sz w:val="24"/>
          <w:szCs w:val="24"/>
        </w:rPr>
        <w:t> (2020), which addressed Title VII of the Civil Rights Act of 1964, requires gender identity-based access to single-sex spaces under, for example, Title IX of the Educational Amendments Act.  This position is legally untenable and has harmed women.  The Attorney General shall therefore immediately issue guidance to agencies to correct the misapplication of the Supreme Court’s decision in </w:t>
      </w:r>
      <w:r w:rsidRPr="006905F6">
        <w:rPr>
          <w:rFonts w:ascii="Times New Roman" w:hAnsi="Times New Roman"/>
          <w:i/>
          <w:iCs/>
          <w:sz w:val="24"/>
          <w:szCs w:val="24"/>
        </w:rPr>
        <w:t>Bostock v. Clayton County</w:t>
      </w:r>
      <w:r w:rsidRPr="006905F6">
        <w:rPr>
          <w:rFonts w:ascii="Times New Roman" w:hAnsi="Times New Roman"/>
          <w:sz w:val="24"/>
          <w:szCs w:val="24"/>
        </w:rPr>
        <w:t xml:space="preserve"> (2020) to sex-based distinctions in agency activities.  In addition, the Attorney General shall issue guidance and assist agencies in protecting sex-based distinctions, which are explicitly permitted under Constitutional and statutory precedent. </w:t>
      </w:r>
    </w:p>
    <w:p w14:paraId="07C1EB07" w14:textId="77777777" w:rsidR="006905F6" w:rsidRPr="006905F6" w:rsidRDefault="006905F6" w:rsidP="006905F6">
      <w:pPr>
        <w:pStyle w:val="NoSpacing"/>
        <w:rPr>
          <w:rFonts w:ascii="Times New Roman" w:hAnsi="Times New Roman"/>
          <w:sz w:val="24"/>
          <w:szCs w:val="24"/>
        </w:rPr>
      </w:pPr>
    </w:p>
    <w:p w14:paraId="356213DB"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The U.S. Supreme Court in </w:t>
      </w:r>
      <w:r w:rsidRPr="006905F6">
        <w:rPr>
          <w:rFonts w:ascii="Times New Roman" w:hAnsi="Times New Roman"/>
          <w:sz w:val="24"/>
          <w:szCs w:val="24"/>
          <w:u w:val="single"/>
        </w:rPr>
        <w:t>Bostock v. Clayton County</w:t>
      </w:r>
      <w:r w:rsidRPr="006905F6">
        <w:rPr>
          <w:rFonts w:ascii="Times New Roman" w:hAnsi="Times New Roman"/>
          <w:sz w:val="24"/>
          <w:szCs w:val="24"/>
        </w:rPr>
        <w:t xml:space="preserve">, on June 15, </w:t>
      </w:r>
      <w:proofErr w:type="gramStart"/>
      <w:r w:rsidRPr="006905F6">
        <w:rPr>
          <w:rFonts w:ascii="Times New Roman" w:hAnsi="Times New Roman"/>
          <w:sz w:val="24"/>
          <w:szCs w:val="24"/>
        </w:rPr>
        <w:t>2020</w:t>
      </w:r>
      <w:proofErr w:type="gramEnd"/>
      <w:r w:rsidRPr="006905F6">
        <w:rPr>
          <w:rFonts w:ascii="Times New Roman" w:hAnsi="Times New Roman"/>
          <w:sz w:val="24"/>
          <w:szCs w:val="24"/>
        </w:rPr>
        <w:t xml:space="preserve"> held (6 to 3; majority opinion by Justice Neil Gorsuch):  </w:t>
      </w:r>
    </w:p>
    <w:p w14:paraId="0EA087C3" w14:textId="77777777" w:rsidR="006905F6" w:rsidRPr="006905F6" w:rsidRDefault="006905F6" w:rsidP="006905F6">
      <w:pPr>
        <w:pStyle w:val="NoSpacing"/>
        <w:rPr>
          <w:rFonts w:ascii="Times New Roman" w:hAnsi="Times New Roman"/>
          <w:sz w:val="24"/>
          <w:szCs w:val="24"/>
        </w:rPr>
      </w:pPr>
    </w:p>
    <w:p w14:paraId="3F84F717"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“Today, we must decide whether an employer can fire someone simply for being homosexual or transgender. The answer is clear. An employer who fires an individual for being homosexual or transgender fires that person for traits or actions it would not have questioned in members of a different sex. Sex plays a necessary and undisguisable role in the decision, exactly what Title VII forbids.” </w:t>
      </w:r>
      <w:hyperlink r:id="rId1399" w:history="1">
        <w:r w:rsidRPr="006905F6">
          <w:rPr>
            <w:rStyle w:val="Hyperlink"/>
            <w:rFonts w:ascii="Times New Roman" w:hAnsi="Times New Roman"/>
            <w:sz w:val="24"/>
            <w:szCs w:val="24"/>
          </w:rPr>
          <w:t>https://www.supremecourt.gov/opinions/19pdf/17-1618_hfci.pdf</w:t>
        </w:r>
      </w:hyperlink>
      <w:r w:rsidRPr="006905F6">
        <w:rPr>
          <w:rFonts w:ascii="Times New Roman" w:hAnsi="Times New Roman"/>
          <w:sz w:val="24"/>
          <w:szCs w:val="24"/>
        </w:rPr>
        <w:t xml:space="preserve"> </w:t>
      </w:r>
    </w:p>
    <w:p w14:paraId="6B08107C" w14:textId="77777777" w:rsidR="006905F6" w:rsidRPr="006905F6" w:rsidRDefault="006905F6" w:rsidP="006905F6">
      <w:pPr>
        <w:pStyle w:val="NoSpacing"/>
        <w:rPr>
          <w:rFonts w:ascii="Times New Roman" w:hAnsi="Times New Roman"/>
          <w:sz w:val="24"/>
          <w:szCs w:val="24"/>
        </w:rPr>
      </w:pPr>
    </w:p>
    <w:p w14:paraId="2F6D4ACD"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Justice Gorsuch reviewed three cases where employees were fired: </w:t>
      </w:r>
    </w:p>
    <w:p w14:paraId="0EDB67BA" w14:textId="77777777" w:rsidR="006905F6" w:rsidRPr="006905F6" w:rsidRDefault="006905F6" w:rsidP="006905F6">
      <w:pPr>
        <w:pStyle w:val="NoSpacing"/>
        <w:rPr>
          <w:rFonts w:ascii="Times New Roman" w:hAnsi="Times New Roman"/>
          <w:sz w:val="24"/>
          <w:szCs w:val="24"/>
        </w:rPr>
      </w:pPr>
    </w:p>
    <w:p w14:paraId="12270877"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“Few facts are needed to appreciate the legal question we face. Each of the three cases before us started the same way: An employer fired a long-time employee shortly after</w:t>
      </w:r>
    </w:p>
    <w:p w14:paraId="7E7C720D"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the employee revealed that he or she is homosexual or transgender—and allegedly for no reason other than the employee’s homosexuality or transgender status.</w:t>
      </w:r>
    </w:p>
    <w:p w14:paraId="07305F1A" w14:textId="77777777" w:rsidR="006905F6" w:rsidRPr="006905F6" w:rsidRDefault="006905F6" w:rsidP="006905F6">
      <w:pPr>
        <w:pStyle w:val="NoSpacing"/>
        <w:ind w:left="720"/>
        <w:rPr>
          <w:rFonts w:ascii="Times New Roman" w:hAnsi="Times New Roman"/>
          <w:sz w:val="24"/>
          <w:szCs w:val="24"/>
        </w:rPr>
      </w:pPr>
    </w:p>
    <w:p w14:paraId="65BD1E0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[1] Gerald Bostock worked for Clayton County, Georgia, as a child welfare advocate. Under his leadership, the county won national awards for its work. After a decade with the county, Mr. Bostock began participating in a gay recreational softball league. Not long after that, influential members of the community allegedly made disparaging comments about Mr. Bostock’s sexual orientation and participation in the league. Soon, he was fired for conduct ‘unbecoming’ a county employee.</w:t>
      </w:r>
    </w:p>
    <w:p w14:paraId="23357ACA" w14:textId="77777777" w:rsidR="006905F6" w:rsidRPr="006905F6" w:rsidRDefault="006905F6" w:rsidP="006905F6">
      <w:pPr>
        <w:pStyle w:val="NoSpacing"/>
        <w:ind w:left="720"/>
        <w:rPr>
          <w:rFonts w:ascii="Times New Roman" w:hAnsi="Times New Roman"/>
          <w:sz w:val="24"/>
          <w:szCs w:val="24"/>
        </w:rPr>
      </w:pPr>
    </w:p>
    <w:p w14:paraId="55B44A1C"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[2] Donald Zarda worked as a skydiving instructor at Altitude Express in New York. After several seasons with the company, Mr. Zarda mentioned that he was gay and, days later, was fired.</w:t>
      </w:r>
    </w:p>
    <w:p w14:paraId="008BECE4" w14:textId="77777777" w:rsidR="006905F6" w:rsidRPr="006905F6" w:rsidRDefault="006905F6" w:rsidP="006905F6">
      <w:pPr>
        <w:pStyle w:val="NoSpacing"/>
        <w:ind w:left="720"/>
        <w:rPr>
          <w:rFonts w:ascii="Times New Roman" w:hAnsi="Times New Roman"/>
          <w:sz w:val="24"/>
          <w:szCs w:val="24"/>
        </w:rPr>
      </w:pPr>
    </w:p>
    <w:p w14:paraId="130B9CB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[3] Aimee Stephens worked at R. G. &amp; G. R. Harris Funeral Homes in Garden City, Michigan. When she got the job, Ms. Stephens presented as a male. </w:t>
      </w:r>
      <w:proofErr w:type="gramStart"/>
      <w:r w:rsidRPr="006905F6">
        <w:rPr>
          <w:rFonts w:ascii="Times New Roman" w:hAnsi="Times New Roman"/>
          <w:sz w:val="24"/>
          <w:szCs w:val="24"/>
        </w:rPr>
        <w:t>But</w:t>
      </w:r>
      <w:proofErr w:type="gramEnd"/>
      <w:r w:rsidRPr="006905F6">
        <w:rPr>
          <w:rFonts w:ascii="Times New Roman" w:hAnsi="Times New Roman"/>
          <w:sz w:val="24"/>
          <w:szCs w:val="24"/>
        </w:rPr>
        <w:t xml:space="preserve"> two years </w:t>
      </w:r>
      <w:proofErr w:type="gramStart"/>
      <w:r w:rsidRPr="006905F6">
        <w:rPr>
          <w:rFonts w:ascii="Times New Roman" w:hAnsi="Times New Roman"/>
          <w:sz w:val="24"/>
          <w:szCs w:val="24"/>
        </w:rPr>
        <w:t>into</w:t>
      </w:r>
      <w:proofErr w:type="gramEnd"/>
      <w:r w:rsidRPr="006905F6">
        <w:rPr>
          <w:rFonts w:ascii="Times New Roman" w:hAnsi="Times New Roman"/>
          <w:sz w:val="24"/>
          <w:szCs w:val="24"/>
        </w:rPr>
        <w:t xml:space="preserve"> her service with the company, she began treatment for despair and loneliness. Ultimately, clinicians diagnosed her with gender dysphoria and recommended that she begin living</w:t>
      </w:r>
    </w:p>
    <w:p w14:paraId="3F876FDF"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as a woman. In her sixth year with the company, Ms. Stephens wrote a letter to her employer explaining that she planned to ‘live and work full-time as a woman’ after she</w:t>
      </w:r>
    </w:p>
    <w:p w14:paraId="49DB921E"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returned from an upcoming vacation. The funeral home fired her before she left, telling </w:t>
      </w:r>
      <w:proofErr w:type="gramStart"/>
      <w:r w:rsidRPr="006905F6">
        <w:rPr>
          <w:rFonts w:ascii="Times New Roman" w:hAnsi="Times New Roman"/>
          <w:sz w:val="24"/>
          <w:szCs w:val="24"/>
        </w:rPr>
        <w:t>her</w:t>
      </w:r>
      <w:proofErr w:type="gramEnd"/>
      <w:r w:rsidRPr="006905F6">
        <w:rPr>
          <w:rFonts w:ascii="Times New Roman" w:hAnsi="Times New Roman"/>
          <w:sz w:val="24"/>
          <w:szCs w:val="24"/>
        </w:rPr>
        <w:t xml:space="preserve"> ‘this is not going to work out.’”</w:t>
      </w:r>
    </w:p>
    <w:p w14:paraId="078171CD" w14:textId="77777777" w:rsidR="006905F6" w:rsidRPr="006905F6" w:rsidRDefault="006905F6" w:rsidP="006905F6">
      <w:pPr>
        <w:pStyle w:val="NoSpacing"/>
        <w:ind w:left="720"/>
        <w:rPr>
          <w:rFonts w:ascii="Times New Roman" w:hAnsi="Times New Roman"/>
          <w:sz w:val="24"/>
          <w:szCs w:val="24"/>
        </w:rPr>
      </w:pPr>
    </w:p>
    <w:p w14:paraId="0BF78457" w14:textId="77777777" w:rsidR="006905F6" w:rsidRPr="006905F6" w:rsidRDefault="006905F6" w:rsidP="006905F6">
      <w:pPr>
        <w:pStyle w:val="NoSpacing"/>
        <w:rPr>
          <w:rFonts w:ascii="Times New Roman" w:hAnsi="Times New Roman"/>
          <w:b/>
          <w:bCs/>
          <w:sz w:val="24"/>
          <w:szCs w:val="24"/>
        </w:rPr>
      </w:pPr>
      <w:r w:rsidRPr="006905F6">
        <w:rPr>
          <w:rFonts w:ascii="Times New Roman" w:hAnsi="Times New Roman"/>
          <w:b/>
          <w:sz w:val="24"/>
          <w:szCs w:val="24"/>
        </w:rPr>
        <w:t xml:space="preserve">Legal Lesson Learned:  The U.S. Supreme Court decision in </w:t>
      </w:r>
      <w:r w:rsidRPr="006905F6">
        <w:rPr>
          <w:rFonts w:ascii="Times New Roman" w:hAnsi="Times New Roman"/>
          <w:b/>
          <w:sz w:val="24"/>
          <w:szCs w:val="24"/>
          <w:u w:val="single"/>
        </w:rPr>
        <w:t>Bostock</w:t>
      </w:r>
      <w:r w:rsidRPr="006905F6">
        <w:rPr>
          <w:rFonts w:ascii="Times New Roman" w:hAnsi="Times New Roman"/>
          <w:b/>
          <w:sz w:val="24"/>
          <w:szCs w:val="24"/>
        </w:rPr>
        <w:t xml:space="preserve"> still applies to all employers, including Fire &amp; EMS.  As the Court wrote: “An employer who fires an individual merely for being gay or transgender defies the law.”</w:t>
      </w:r>
    </w:p>
    <w:p w14:paraId="572D1943" w14:textId="77777777" w:rsidR="006905F6" w:rsidRPr="006905F6" w:rsidRDefault="006905F6" w:rsidP="00F326E5">
      <w:pPr>
        <w:pStyle w:val="NoSpacing"/>
        <w:rPr>
          <w:rFonts w:ascii="Times New Roman" w:hAnsi="Times New Roman"/>
          <w:b/>
          <w:bCs/>
          <w:sz w:val="24"/>
          <w:szCs w:val="24"/>
        </w:rPr>
      </w:pPr>
    </w:p>
    <w:p w14:paraId="5074DBC0" w14:textId="77777777" w:rsidR="00B83DEF" w:rsidRDefault="00B83DEF" w:rsidP="00F326E5">
      <w:pPr>
        <w:pStyle w:val="NoSpacing"/>
        <w:rPr>
          <w:rFonts w:ascii="Arial Black" w:hAnsi="Arial Black"/>
          <w:b/>
          <w:bCs/>
          <w:sz w:val="24"/>
          <w:szCs w:val="24"/>
        </w:rPr>
      </w:pPr>
    </w:p>
    <w:p w14:paraId="7FFFE95B" w14:textId="77777777" w:rsidR="00B83DEF" w:rsidRDefault="00B83DEF" w:rsidP="00F326E5">
      <w:pPr>
        <w:pStyle w:val="NoSpacing"/>
        <w:rPr>
          <w:rFonts w:ascii="Arial Black" w:hAnsi="Arial Black"/>
          <w:b/>
          <w:bCs/>
          <w:sz w:val="24"/>
          <w:szCs w:val="24"/>
        </w:rPr>
      </w:pPr>
    </w:p>
    <w:p w14:paraId="477961CE" w14:textId="2E1F40A6" w:rsidR="00AE2F67" w:rsidRDefault="00AB6ADC" w:rsidP="00F326E5">
      <w:pPr>
        <w:pStyle w:val="NoSpacing"/>
        <w:rPr>
          <w:rFonts w:ascii="Arial Black" w:hAnsi="Arial Black"/>
          <w:b/>
          <w:bCs/>
          <w:sz w:val="24"/>
          <w:szCs w:val="24"/>
        </w:rPr>
      </w:pPr>
      <w:r>
        <w:rPr>
          <w:rFonts w:ascii="Arial Black" w:hAnsi="Arial Black"/>
          <w:b/>
          <w:bCs/>
          <w:sz w:val="24"/>
          <w:szCs w:val="24"/>
        </w:rPr>
        <w:t>7-69</w:t>
      </w:r>
    </w:p>
    <w:p w14:paraId="3FA53D05" w14:textId="77777777" w:rsidR="00AB6ADC" w:rsidRDefault="00AB6ADC" w:rsidP="00F326E5">
      <w:pPr>
        <w:pStyle w:val="NoSpacing"/>
        <w:rPr>
          <w:rFonts w:ascii="Arial Black" w:hAnsi="Arial Black"/>
          <w:b/>
          <w:bCs/>
          <w:sz w:val="24"/>
          <w:szCs w:val="24"/>
        </w:rPr>
      </w:pPr>
    </w:p>
    <w:p w14:paraId="67065B1E" w14:textId="77777777" w:rsidR="00562ACD" w:rsidRDefault="00562ACD" w:rsidP="00562ACD">
      <w:pPr>
        <w:pStyle w:val="NoSpacing"/>
        <w:rPr>
          <w:rFonts w:ascii="Arial Black" w:hAnsi="Arial Black"/>
          <w:bCs/>
          <w:sz w:val="28"/>
          <w:szCs w:val="28"/>
        </w:rPr>
      </w:pPr>
      <w:r>
        <w:rPr>
          <w:rFonts w:ascii="Arial Black" w:hAnsi="Arial Black"/>
          <w:sz w:val="28"/>
          <w:szCs w:val="28"/>
        </w:rPr>
        <w:t xml:space="preserve">MD: FIRED – </w:t>
      </w:r>
      <w:r>
        <w:rPr>
          <w:rFonts w:ascii="Arial Black" w:hAnsi="Arial Black"/>
          <w:bCs/>
          <w:sz w:val="28"/>
          <w:szCs w:val="28"/>
        </w:rPr>
        <w:t xml:space="preserve">VOTE </w:t>
      </w:r>
      <w:r>
        <w:rPr>
          <w:rFonts w:ascii="Arial Black" w:hAnsi="Arial Black"/>
          <w:sz w:val="28"/>
          <w:szCs w:val="28"/>
        </w:rPr>
        <w:t>2</w:t>
      </w:r>
      <w:r>
        <w:rPr>
          <w:rFonts w:ascii="Arial Black" w:hAnsi="Arial Black"/>
          <w:bCs/>
          <w:sz w:val="28"/>
          <w:szCs w:val="28"/>
        </w:rPr>
        <w:t xml:space="preserve">-2, NEW HEARING – NO PENSION </w:t>
      </w:r>
    </w:p>
    <w:p w14:paraId="5E94E49A" w14:textId="77777777" w:rsidR="002C54F5" w:rsidRDefault="002C54F5" w:rsidP="002C54F5">
      <w:pPr>
        <w:pStyle w:val="NoSpacing"/>
        <w:rPr>
          <w:bCs/>
        </w:rPr>
      </w:pPr>
    </w:p>
    <w:p w14:paraId="1C191A39" w14:textId="453AC8AE" w:rsidR="002C54F5" w:rsidRPr="008E38FF" w:rsidRDefault="008E38FF" w:rsidP="002C54F5">
      <w:pPr>
        <w:pStyle w:val="NoSpacing"/>
        <w:rPr>
          <w:rFonts w:ascii="Times New Roman" w:hAnsi="Times New Roman"/>
          <w:bCs/>
          <w:sz w:val="24"/>
          <w:szCs w:val="24"/>
        </w:rPr>
      </w:pPr>
      <w:r w:rsidRPr="008E38FF">
        <w:rPr>
          <w:rFonts w:ascii="Times New Roman" w:hAnsi="Times New Roman"/>
          <w:sz w:val="24"/>
          <w:szCs w:val="24"/>
        </w:rPr>
        <w:t xml:space="preserve">On Dec. 17, 2024, in </w:t>
      </w:r>
      <w:r w:rsidRPr="008E38FF">
        <w:rPr>
          <w:rFonts w:ascii="Times New Roman" w:hAnsi="Times New Roman"/>
          <w:sz w:val="24"/>
          <w:szCs w:val="24"/>
          <w:u w:val="single"/>
        </w:rPr>
        <w:t>Baltimore County, Maryland v. Theodore C. Priester, Jr.</w:t>
      </w:r>
      <w:r w:rsidRPr="008E38FF">
        <w:rPr>
          <w:rFonts w:ascii="Times New Roman" w:hAnsi="Times New Roman"/>
          <w:sz w:val="24"/>
          <w:szCs w:val="24"/>
        </w:rPr>
        <w:t xml:space="preserve">, the Appellate Court of Maryland held (3 to 0; unreported decision) that the now retired Captain is entitled to a new decision (instead of a tie vote of 2 to 2) before the Baltimore County Personnel and Salary Advisory Board  (“PSAB”).  While he is no longer entitled to reinstatement, the Board could decide to award him back pay for time from his termination (May 16, 2013) until he applied for retirement (July 31, 2014).  The case has been through numerous appeals and </w:t>
      </w:r>
      <w:proofErr w:type="gramStart"/>
      <w:r w:rsidRPr="008E38FF">
        <w:rPr>
          <w:rFonts w:ascii="Times New Roman" w:hAnsi="Times New Roman"/>
          <w:sz w:val="24"/>
          <w:szCs w:val="24"/>
        </w:rPr>
        <w:t>remands</w:t>
      </w:r>
      <w:proofErr w:type="gramEnd"/>
      <w:r w:rsidRPr="008E38FF">
        <w:rPr>
          <w:rFonts w:ascii="Times New Roman" w:hAnsi="Times New Roman"/>
          <w:sz w:val="24"/>
          <w:szCs w:val="24"/>
        </w:rPr>
        <w:t xml:space="preserve">, including prior decision </w:t>
      </w:r>
      <w:proofErr w:type="gramStart"/>
      <w:r w:rsidRPr="008E38FF">
        <w:rPr>
          <w:rFonts w:ascii="Times New Roman" w:hAnsi="Times New Roman"/>
          <w:sz w:val="24"/>
          <w:szCs w:val="24"/>
        </w:rPr>
        <w:t>denying</w:t>
      </w:r>
      <w:proofErr w:type="gramEnd"/>
      <w:r w:rsidRPr="008E38FF">
        <w:rPr>
          <w:rFonts w:ascii="Times New Roman" w:hAnsi="Times New Roman"/>
          <w:sz w:val="24"/>
          <w:szCs w:val="24"/>
        </w:rPr>
        <w:t xml:space="preserve"> him a pension.  </w:t>
      </w:r>
      <w:hyperlink r:id="rId1400" w:history="1">
        <w:r w:rsidRPr="008E38FF">
          <w:rPr>
            <w:rStyle w:val="Hyperlink"/>
            <w:rFonts w:ascii="Times New Roman" w:hAnsi="Times New Roman"/>
            <w:sz w:val="24"/>
            <w:szCs w:val="24"/>
          </w:rPr>
          <w:t>https://www.mdcourts.gov/sites/default/files/unreported-opinions/1316s22.pdf</w:t>
        </w:r>
      </w:hyperlink>
    </w:p>
    <w:p w14:paraId="4CDCB126" w14:textId="77777777" w:rsidR="008E38FF" w:rsidRPr="008E38FF" w:rsidRDefault="008E38FF" w:rsidP="002C54F5">
      <w:pPr>
        <w:pStyle w:val="NoSpacing"/>
        <w:rPr>
          <w:rFonts w:ascii="Times New Roman" w:hAnsi="Times New Roman"/>
          <w:sz w:val="24"/>
          <w:szCs w:val="24"/>
        </w:rPr>
      </w:pPr>
    </w:p>
    <w:p w14:paraId="0A0FB92E" w14:textId="4BF9E540" w:rsidR="002C54F5" w:rsidRPr="000A21C0" w:rsidRDefault="002C54F5" w:rsidP="002C54F5">
      <w:pPr>
        <w:pStyle w:val="NoSpacing"/>
        <w:rPr>
          <w:rFonts w:ascii="Times New Roman" w:hAnsi="Times New Roman"/>
          <w:bCs/>
          <w:sz w:val="24"/>
          <w:szCs w:val="24"/>
        </w:rPr>
      </w:pPr>
      <w:r w:rsidRPr="000A21C0">
        <w:rPr>
          <w:rFonts w:ascii="Times New Roman" w:hAnsi="Times New Roman"/>
          <w:sz w:val="24"/>
          <w:szCs w:val="24"/>
        </w:rPr>
        <w:t>The Court wrote:</w:t>
      </w:r>
    </w:p>
    <w:p w14:paraId="183FBD3B" w14:textId="77777777" w:rsidR="002C54F5" w:rsidRPr="000A21C0" w:rsidRDefault="002C54F5" w:rsidP="002C54F5">
      <w:pPr>
        <w:pStyle w:val="NoSpacing"/>
        <w:rPr>
          <w:rFonts w:ascii="Times New Roman" w:hAnsi="Times New Roman"/>
          <w:bCs/>
          <w:sz w:val="24"/>
          <w:szCs w:val="24"/>
        </w:rPr>
      </w:pPr>
    </w:p>
    <w:p w14:paraId="604B37A7"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“Returning to the appeal before us, we conclude that the circuit court correctly</w:t>
      </w:r>
    </w:p>
    <w:p w14:paraId="40A2FCDA"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determined that the PSAB erred in denying Priester’s grievance appeal as moot. Priester’s</w:t>
      </w:r>
    </w:p>
    <w:p w14:paraId="47CB0259"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resignation from employment does not preclude him from pursuing a grievance that was</w:t>
      </w:r>
    </w:p>
    <w:p w14:paraId="5225F14A" w14:textId="77777777" w:rsidR="002C54F5" w:rsidRPr="000A21C0" w:rsidRDefault="002C54F5" w:rsidP="002C54F5">
      <w:pPr>
        <w:pStyle w:val="NoSpacing"/>
        <w:ind w:left="720"/>
        <w:rPr>
          <w:rFonts w:ascii="Times New Roman" w:hAnsi="Times New Roman"/>
          <w:bCs/>
          <w:sz w:val="24"/>
          <w:szCs w:val="24"/>
        </w:rPr>
      </w:pPr>
      <w:r w:rsidRPr="000A21C0">
        <w:rPr>
          <w:rFonts w:ascii="Times New Roman" w:hAnsi="Times New Roman"/>
          <w:sz w:val="24"/>
          <w:szCs w:val="24"/>
        </w:rPr>
        <w:t xml:space="preserve">properly filed while he was still employed. Neither the plain language of the County Code nor the MOU supports the County’s claim that an employee’s resignation automatically terminates an ongoing grievance process. *** Therefore, even if PSAB could no longer “reinstate” Priester back to his original position under the MOU should it determine that the termination was not justified, it could still award Priester backpay for the period of time between May 16, 2013 (the date of his effective termination) and July 31, 2014 (when Priester filed for retirement)…. On remand, the PSAB may give the parties an opportunity to submit additional evidence for its consideration. Whether this requires </w:t>
      </w:r>
      <w:proofErr w:type="gramStart"/>
      <w:r w:rsidRPr="000A21C0">
        <w:rPr>
          <w:rFonts w:ascii="Times New Roman" w:hAnsi="Times New Roman"/>
          <w:sz w:val="24"/>
          <w:szCs w:val="24"/>
        </w:rPr>
        <w:t>a full</w:t>
      </w:r>
      <w:proofErr w:type="gramEnd"/>
      <w:r w:rsidRPr="000A21C0">
        <w:rPr>
          <w:rFonts w:ascii="Times New Roman" w:hAnsi="Times New Roman"/>
          <w:sz w:val="24"/>
          <w:szCs w:val="24"/>
        </w:rPr>
        <w:t xml:space="preserve"> evidentiary rehearing is left to the PSAB’s discretion.</w:t>
      </w:r>
    </w:p>
    <w:p w14:paraId="14A67F60" w14:textId="77777777" w:rsidR="002C54F5" w:rsidRPr="000A21C0" w:rsidRDefault="002C54F5" w:rsidP="002C54F5">
      <w:pPr>
        <w:pStyle w:val="NoSpacing"/>
        <w:ind w:left="720"/>
        <w:rPr>
          <w:rFonts w:ascii="Times New Roman" w:hAnsi="Times New Roman"/>
          <w:bCs/>
          <w:sz w:val="24"/>
          <w:szCs w:val="24"/>
        </w:rPr>
      </w:pPr>
    </w:p>
    <w:p w14:paraId="52713108" w14:textId="77777777" w:rsidR="002C54F5" w:rsidRPr="000A21C0" w:rsidRDefault="002C54F5" w:rsidP="002C54F5">
      <w:pPr>
        <w:pStyle w:val="NoSpacing"/>
        <w:ind w:left="720"/>
        <w:rPr>
          <w:rFonts w:ascii="Times New Roman" w:hAnsi="Times New Roman"/>
          <w:bCs/>
          <w:sz w:val="24"/>
          <w:szCs w:val="24"/>
        </w:rPr>
      </w:pPr>
      <w:r w:rsidRPr="000A21C0">
        <w:rPr>
          <w:rFonts w:ascii="Times New Roman" w:hAnsi="Times New Roman"/>
          <w:sz w:val="24"/>
          <w:szCs w:val="24"/>
        </w:rPr>
        <w:t>***</w:t>
      </w:r>
    </w:p>
    <w:p w14:paraId="472122B6" w14:textId="21CC2032" w:rsidR="002C54F5" w:rsidRDefault="002C54F5" w:rsidP="002C54F5">
      <w:pPr>
        <w:pStyle w:val="NoSpacing"/>
        <w:ind w:left="720"/>
        <w:rPr>
          <w:rFonts w:ascii="Times New Roman" w:hAnsi="Times New Roman"/>
          <w:sz w:val="24"/>
          <w:szCs w:val="24"/>
        </w:rPr>
      </w:pPr>
      <w:r w:rsidRPr="000A21C0">
        <w:rPr>
          <w:rFonts w:ascii="Times New Roman" w:hAnsi="Times New Roman"/>
          <w:sz w:val="24"/>
          <w:szCs w:val="24"/>
        </w:rPr>
        <w:t>In Priester II, we reviewed and affirmed the Board’s decision to deny Priester’s</w:t>
      </w:r>
      <w:r w:rsidR="000A21C0">
        <w:rPr>
          <w:rFonts w:ascii="Times New Roman" w:hAnsi="Times New Roman"/>
          <w:sz w:val="24"/>
          <w:szCs w:val="24"/>
        </w:rPr>
        <w:t xml:space="preserve"> </w:t>
      </w:r>
      <w:r w:rsidRPr="000A21C0">
        <w:rPr>
          <w:rFonts w:ascii="Times New Roman" w:hAnsi="Times New Roman"/>
          <w:sz w:val="24"/>
          <w:szCs w:val="24"/>
        </w:rPr>
        <w:t>entire claim for pension benefits. In reaching that conclusion, we recounted the extensive</w:t>
      </w:r>
      <w:r w:rsidR="000A21C0">
        <w:rPr>
          <w:rFonts w:ascii="Times New Roman" w:hAnsi="Times New Roman"/>
          <w:sz w:val="24"/>
          <w:szCs w:val="24"/>
        </w:rPr>
        <w:t xml:space="preserve"> </w:t>
      </w:r>
      <w:r w:rsidRPr="000A21C0">
        <w:rPr>
          <w:rFonts w:ascii="Times New Roman" w:hAnsi="Times New Roman"/>
          <w:sz w:val="24"/>
          <w:szCs w:val="24"/>
        </w:rPr>
        <w:t>testimony offered by Priester’s former colleagues and subordinates regarding his pattern</w:t>
      </w:r>
      <w:r w:rsidR="000A21C0">
        <w:rPr>
          <w:rFonts w:ascii="Times New Roman" w:hAnsi="Times New Roman"/>
          <w:sz w:val="24"/>
          <w:szCs w:val="24"/>
        </w:rPr>
        <w:t xml:space="preserve"> </w:t>
      </w:r>
      <w:r w:rsidRPr="000A21C0">
        <w:rPr>
          <w:rFonts w:ascii="Times New Roman" w:hAnsi="Times New Roman"/>
          <w:sz w:val="24"/>
          <w:szCs w:val="24"/>
        </w:rPr>
        <w:t>of sexually harassing behaviors. Rather, we agreed with the Board that any ‘average adult citizen’ would have known the potential sanctions that might follow from Priester’s behavior, noting that Captain Priester abused his status as a captain by creating a hostile and predatory environment, in which he exhibited a pattern of sexually harassing</w:t>
      </w:r>
      <w:r w:rsidR="000A21C0">
        <w:rPr>
          <w:rFonts w:ascii="Times New Roman" w:hAnsi="Times New Roman"/>
          <w:sz w:val="24"/>
          <w:szCs w:val="24"/>
        </w:rPr>
        <w:t xml:space="preserve"> </w:t>
      </w:r>
      <w:r w:rsidRPr="000A21C0">
        <w:rPr>
          <w:rFonts w:ascii="Times New Roman" w:hAnsi="Times New Roman"/>
          <w:sz w:val="24"/>
          <w:szCs w:val="24"/>
        </w:rPr>
        <w:t>women for his amusement and the amusement of his minions. . . . He was responsible, as captain, for enforcing the very rules that he flagrantly violated.”</w:t>
      </w:r>
    </w:p>
    <w:p w14:paraId="6F8A0645" w14:textId="77777777" w:rsidR="000630E9" w:rsidRDefault="000630E9" w:rsidP="002C54F5">
      <w:pPr>
        <w:pStyle w:val="NoSpacing"/>
        <w:ind w:left="720"/>
        <w:rPr>
          <w:rFonts w:ascii="Times New Roman" w:hAnsi="Times New Roman"/>
          <w:sz w:val="24"/>
          <w:szCs w:val="24"/>
        </w:rPr>
      </w:pPr>
    </w:p>
    <w:p w14:paraId="5A48FC44" w14:textId="77777777" w:rsidR="000630E9" w:rsidRDefault="000630E9" w:rsidP="002C54F5">
      <w:pPr>
        <w:pStyle w:val="NoSpacing"/>
        <w:ind w:left="720"/>
        <w:rPr>
          <w:rFonts w:ascii="Times New Roman" w:hAnsi="Times New Roman"/>
          <w:sz w:val="24"/>
          <w:szCs w:val="24"/>
        </w:rPr>
      </w:pPr>
    </w:p>
    <w:p w14:paraId="6F0E3F81" w14:textId="77777777" w:rsidR="000630E9" w:rsidRPr="000630E9" w:rsidRDefault="000630E9" w:rsidP="000630E9">
      <w:pPr>
        <w:pStyle w:val="NoSpacing"/>
        <w:rPr>
          <w:rFonts w:ascii="Times New Roman" w:hAnsi="Times New Roman"/>
          <w:bCs/>
          <w:sz w:val="24"/>
          <w:szCs w:val="24"/>
        </w:rPr>
      </w:pPr>
      <w:r w:rsidRPr="000630E9">
        <w:rPr>
          <w:rFonts w:ascii="Times New Roman" w:hAnsi="Times New Roman"/>
          <w:sz w:val="24"/>
          <w:szCs w:val="24"/>
        </w:rPr>
        <w:t>HOLDING:</w:t>
      </w:r>
    </w:p>
    <w:p w14:paraId="10A739DE" w14:textId="77777777" w:rsidR="000630E9" w:rsidRPr="000630E9" w:rsidRDefault="000630E9" w:rsidP="000630E9">
      <w:pPr>
        <w:pStyle w:val="NoSpacing"/>
        <w:rPr>
          <w:rFonts w:ascii="Times New Roman" w:hAnsi="Times New Roman"/>
          <w:bCs/>
          <w:sz w:val="24"/>
          <w:szCs w:val="24"/>
        </w:rPr>
      </w:pPr>
    </w:p>
    <w:p w14:paraId="7A63B2D1" w14:textId="77777777" w:rsidR="000630E9" w:rsidRPr="000630E9" w:rsidRDefault="000630E9" w:rsidP="000630E9">
      <w:pPr>
        <w:pStyle w:val="NoSpacing"/>
        <w:ind w:left="720"/>
        <w:rPr>
          <w:rFonts w:ascii="Times New Roman" w:hAnsi="Times New Roman"/>
          <w:bCs/>
          <w:sz w:val="24"/>
          <w:szCs w:val="24"/>
        </w:rPr>
      </w:pPr>
      <w:r w:rsidRPr="000630E9">
        <w:rPr>
          <w:rFonts w:ascii="Times New Roman" w:hAnsi="Times New Roman"/>
          <w:sz w:val="24"/>
          <w:szCs w:val="24"/>
        </w:rPr>
        <w:t>“Without articulating the relevant findings, the PSAB properly apply the relevant law to decide on Priester’s termination. This deficiency—compounded by the reliance on a ‘prior decision’ that does not exist— warrants a remand for the PSAB to make additional factual findings that would enable meaningful judicial review.”</w:t>
      </w:r>
    </w:p>
    <w:p w14:paraId="5DCFEC77" w14:textId="77777777" w:rsidR="000630E9" w:rsidRPr="000630E9" w:rsidRDefault="000630E9" w:rsidP="000630E9">
      <w:pPr>
        <w:pStyle w:val="NoSpacing"/>
        <w:ind w:left="720"/>
        <w:rPr>
          <w:rFonts w:ascii="Times New Roman" w:hAnsi="Times New Roman"/>
          <w:bCs/>
          <w:sz w:val="24"/>
          <w:szCs w:val="24"/>
        </w:rPr>
      </w:pPr>
    </w:p>
    <w:p w14:paraId="0CAF8AD8" w14:textId="77777777" w:rsidR="000630E9" w:rsidRPr="000630E9" w:rsidRDefault="000630E9" w:rsidP="000630E9">
      <w:pPr>
        <w:pStyle w:val="NoSpacing"/>
        <w:rPr>
          <w:rFonts w:ascii="Times New Roman" w:hAnsi="Times New Roman"/>
          <w:b/>
          <w:sz w:val="24"/>
          <w:szCs w:val="24"/>
        </w:rPr>
      </w:pPr>
      <w:r w:rsidRPr="000630E9">
        <w:rPr>
          <w:rFonts w:ascii="Times New Roman" w:hAnsi="Times New Roman"/>
          <w:b/>
          <w:sz w:val="24"/>
          <w:szCs w:val="24"/>
        </w:rPr>
        <w:t>Legal Lesson Learned: This case illustrates the importance of Civil Service Boards making final decisions, supported by findings of fact.   In the event of a tie vote, rehear the case.</w:t>
      </w:r>
    </w:p>
    <w:p w14:paraId="456E2C60" w14:textId="77777777" w:rsidR="000630E9" w:rsidRPr="000630E9" w:rsidRDefault="000630E9" w:rsidP="000630E9">
      <w:pPr>
        <w:pStyle w:val="NoSpacing"/>
        <w:rPr>
          <w:rFonts w:ascii="Times New Roman" w:hAnsi="Times New Roman"/>
          <w:b/>
          <w:sz w:val="24"/>
          <w:szCs w:val="24"/>
        </w:rPr>
      </w:pPr>
    </w:p>
    <w:p w14:paraId="2EA949A6" w14:textId="77777777" w:rsidR="000630E9" w:rsidRDefault="000630E9" w:rsidP="000630E9">
      <w:pPr>
        <w:rPr>
          <w:bCs/>
        </w:rPr>
      </w:pPr>
    </w:p>
    <w:p w14:paraId="2B3017D0" w14:textId="77777777" w:rsidR="000630E9" w:rsidRPr="000A21C0" w:rsidRDefault="000630E9" w:rsidP="002C54F5">
      <w:pPr>
        <w:pStyle w:val="NoSpacing"/>
        <w:ind w:left="720"/>
        <w:rPr>
          <w:rFonts w:ascii="Times New Roman" w:hAnsi="Times New Roman"/>
          <w:bCs/>
          <w:sz w:val="24"/>
          <w:szCs w:val="24"/>
        </w:rPr>
      </w:pPr>
    </w:p>
    <w:p w14:paraId="11238DFE" w14:textId="77777777" w:rsidR="00AE2F67" w:rsidRDefault="00AE2F67" w:rsidP="00F326E5">
      <w:pPr>
        <w:pStyle w:val="NoSpacing"/>
        <w:rPr>
          <w:rFonts w:ascii="Arial Black" w:hAnsi="Arial Black"/>
          <w:b/>
          <w:bCs/>
          <w:sz w:val="24"/>
          <w:szCs w:val="24"/>
        </w:rPr>
      </w:pPr>
    </w:p>
    <w:p w14:paraId="6DFFD68C" w14:textId="096F6287" w:rsidR="00922A0A" w:rsidRDefault="00922A0A" w:rsidP="00F326E5">
      <w:pPr>
        <w:pStyle w:val="NoSpacing"/>
        <w:rPr>
          <w:rFonts w:ascii="Arial Black" w:hAnsi="Arial Black"/>
          <w:b/>
          <w:bCs/>
          <w:sz w:val="24"/>
          <w:szCs w:val="24"/>
        </w:rPr>
      </w:pPr>
      <w:r>
        <w:rPr>
          <w:rFonts w:ascii="Arial Black" w:hAnsi="Arial Black"/>
          <w:b/>
          <w:bCs/>
          <w:sz w:val="24"/>
          <w:szCs w:val="24"/>
        </w:rPr>
        <w:t>7-</w:t>
      </w:r>
      <w:r w:rsidR="00534272">
        <w:rPr>
          <w:rFonts w:ascii="Arial Black" w:hAnsi="Arial Black"/>
          <w:b/>
          <w:bCs/>
          <w:sz w:val="24"/>
          <w:szCs w:val="24"/>
        </w:rPr>
        <w:t>68</w:t>
      </w:r>
    </w:p>
    <w:p w14:paraId="007E59A2" w14:textId="77777777" w:rsidR="00087209" w:rsidRDefault="00087209" w:rsidP="00F326E5">
      <w:pPr>
        <w:pStyle w:val="NoSpacing"/>
        <w:rPr>
          <w:rFonts w:ascii="Arial Black" w:hAnsi="Arial Black"/>
          <w:b/>
          <w:bCs/>
          <w:sz w:val="24"/>
          <w:szCs w:val="24"/>
        </w:rPr>
      </w:pPr>
    </w:p>
    <w:p w14:paraId="21608962" w14:textId="77777777" w:rsidR="00087209" w:rsidRPr="00A54508" w:rsidRDefault="00087209" w:rsidP="00087209">
      <w:pPr>
        <w:rPr>
          <w:rFonts w:ascii="Arial Black" w:hAnsi="Arial Black"/>
          <w:b/>
          <w:sz w:val="28"/>
          <w:szCs w:val="28"/>
        </w:rPr>
      </w:pPr>
      <w:r w:rsidRPr="00A54508">
        <w:rPr>
          <w:rFonts w:ascii="Arial Black" w:hAnsi="Arial Black"/>
          <w:b/>
          <w:sz w:val="28"/>
          <w:szCs w:val="28"/>
        </w:rPr>
        <w:t>US S</w:t>
      </w:r>
      <w:r>
        <w:rPr>
          <w:rFonts w:ascii="Arial Black" w:hAnsi="Arial Black"/>
          <w:b/>
          <w:sz w:val="28"/>
          <w:szCs w:val="28"/>
        </w:rPr>
        <w:t xml:space="preserve">UP CT: “STRAIGHT” CLAIMS DISC BY GAY MGR </w:t>
      </w:r>
    </w:p>
    <w:p w14:paraId="4DFE54B9" w14:textId="77777777" w:rsidR="007F5FF3" w:rsidRPr="007F5FF3" w:rsidRDefault="007F5FF3" w:rsidP="007F5FF3">
      <w:pPr>
        <w:rPr>
          <w:rStyle w:val="Hyperlink"/>
          <w:rFonts w:ascii="Times New Roman" w:hAnsi="Times New Roman"/>
          <w:sz w:val="24"/>
          <w:szCs w:val="24"/>
        </w:rPr>
      </w:pPr>
      <w:r w:rsidRPr="007F5FF3">
        <w:rPr>
          <w:rFonts w:ascii="Times New Roman" w:hAnsi="Times New Roman"/>
          <w:sz w:val="24"/>
          <w:szCs w:val="24"/>
        </w:rPr>
        <w:t xml:space="preserve">On Dec. 16, 2024, in </w:t>
      </w:r>
      <w:r w:rsidRPr="007F5FF3">
        <w:rPr>
          <w:rFonts w:ascii="Times New Roman" w:hAnsi="Times New Roman"/>
          <w:sz w:val="24"/>
          <w:szCs w:val="24"/>
          <w:u w:val="single"/>
        </w:rPr>
        <w:t>Marlean A. Ames, Petitioner v. Ohio Department of Youth Services</w:t>
      </w:r>
      <w:r w:rsidRPr="007F5FF3">
        <w:rPr>
          <w:rFonts w:ascii="Times New Roman" w:hAnsi="Times New Roman"/>
          <w:sz w:val="24"/>
          <w:szCs w:val="24"/>
        </w:rPr>
        <w:t>, the U.S. Department of Justice, Solicitor General, filed an amicus brief with the U.S. Supreme Court that Title VII prohibits racial discrimination against both minorities and those who are in majority (including white and heterosexual plaintiffs), with same standards of proof.  The  6</w:t>
      </w:r>
      <w:r w:rsidRPr="007F5FF3">
        <w:rPr>
          <w:rFonts w:ascii="Times New Roman" w:hAnsi="Times New Roman"/>
          <w:sz w:val="24"/>
          <w:szCs w:val="24"/>
          <w:vertAlign w:val="superscript"/>
        </w:rPr>
        <w:t>th</w:t>
      </w:r>
      <w:r w:rsidRPr="007F5FF3">
        <w:rPr>
          <w:rFonts w:ascii="Times New Roman" w:hAnsi="Times New Roman"/>
          <w:sz w:val="24"/>
          <w:szCs w:val="24"/>
        </w:rPr>
        <w:t xml:space="preserve"> Circuit had upheld the dismissal of the lawsuit by Ms. Ames (heterosexual) since she did show “background circumstances” to support her claim; such as statistical evidence showing a pattern of discrimination at her workplace in favor of gays.  The U.S. Supreme Court on Oct. 4, </w:t>
      </w:r>
      <w:proofErr w:type="gramStart"/>
      <w:r w:rsidRPr="007F5FF3">
        <w:rPr>
          <w:rFonts w:ascii="Times New Roman" w:hAnsi="Times New Roman"/>
          <w:sz w:val="24"/>
          <w:szCs w:val="24"/>
        </w:rPr>
        <w:t>2024</w:t>
      </w:r>
      <w:proofErr w:type="gramEnd"/>
      <w:r w:rsidRPr="007F5FF3">
        <w:rPr>
          <w:rFonts w:ascii="Times New Roman" w:hAnsi="Times New Roman"/>
          <w:sz w:val="24"/>
          <w:szCs w:val="24"/>
        </w:rPr>
        <w:t xml:space="preserve"> agreed to hear Ms. Ames’ appeal; a decision in this case could have significant impact on “reverse discrimination” cases, including fire &amp; EMS. </w:t>
      </w:r>
      <w:hyperlink r:id="rId1401" w:history="1">
        <w:r w:rsidRPr="007F5FF3">
          <w:rPr>
            <w:rStyle w:val="Hyperlink"/>
            <w:rFonts w:ascii="Times New Roman" w:hAnsi="Times New Roman"/>
            <w:sz w:val="24"/>
            <w:szCs w:val="24"/>
          </w:rPr>
          <w:t>https://www.supremecourt.gov/DocketPDF/23/23-1039/335322/20241216192608136_23-1039_Ames_Amicus_Brief_iso_Vacatur.pdf</w:t>
        </w:r>
      </w:hyperlink>
    </w:p>
    <w:p w14:paraId="3575EB13" w14:textId="77777777" w:rsidR="00087209" w:rsidRPr="00087209" w:rsidRDefault="00087209" w:rsidP="00087209">
      <w:pPr>
        <w:pStyle w:val="NoSpacing"/>
        <w:rPr>
          <w:rFonts w:ascii="Times New Roman" w:hAnsi="Times New Roman"/>
          <w:sz w:val="24"/>
          <w:szCs w:val="24"/>
        </w:rPr>
      </w:pPr>
    </w:p>
    <w:p w14:paraId="07C7F563" w14:textId="77777777" w:rsidR="00087209" w:rsidRPr="00087209" w:rsidRDefault="00087209" w:rsidP="00087209">
      <w:pPr>
        <w:pStyle w:val="NoSpacing"/>
        <w:rPr>
          <w:rFonts w:ascii="Times New Roman" w:hAnsi="Times New Roman"/>
          <w:sz w:val="24"/>
          <w:szCs w:val="24"/>
        </w:rPr>
      </w:pPr>
      <w:r w:rsidRPr="00087209">
        <w:rPr>
          <w:rFonts w:ascii="Times New Roman" w:hAnsi="Times New Roman"/>
          <w:sz w:val="24"/>
          <w:szCs w:val="24"/>
        </w:rPr>
        <w:t>The Solicitor General brief included:</w:t>
      </w:r>
    </w:p>
    <w:p w14:paraId="1D1D78AF" w14:textId="77777777" w:rsidR="00087209" w:rsidRPr="00087209" w:rsidRDefault="00087209" w:rsidP="00087209">
      <w:pPr>
        <w:pStyle w:val="NoSpacing"/>
        <w:rPr>
          <w:rFonts w:ascii="Times New Roman" w:hAnsi="Times New Roman"/>
          <w:sz w:val="24"/>
          <w:szCs w:val="24"/>
        </w:rPr>
      </w:pPr>
    </w:p>
    <w:p w14:paraId="0EABA16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“She [Ms. Ames] alleged, as relevant here, that the denial of a promotion</w:t>
      </w:r>
    </w:p>
    <w:p w14:paraId="695AA482"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to Bureau Chief in favor of Frierson, a gay woman, was discrimination based </w:t>
      </w:r>
    </w:p>
    <w:p w14:paraId="5565F7C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on sexual orientation and that her demotion in favor of Stojsavljevic, a gay man, </w:t>
      </w:r>
    </w:p>
    <w:p w14:paraId="43DE698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was discrimination based on sexual orientation and sex. *** The requirements of a </w:t>
      </w:r>
    </w:p>
    <w:p w14:paraId="0AB078AE" w14:textId="6895CCDF" w:rsidR="00087209" w:rsidRDefault="00087209" w:rsidP="005A5089">
      <w:pPr>
        <w:pStyle w:val="NoSpacing"/>
        <w:ind w:left="720"/>
      </w:pPr>
      <w:proofErr w:type="gramStart"/>
      <w:r w:rsidRPr="00087209">
        <w:rPr>
          <w:rFonts w:ascii="Times New Roman" w:hAnsi="Times New Roman"/>
          <w:sz w:val="24"/>
          <w:szCs w:val="24"/>
        </w:rPr>
        <w:t>prima</w:t>
      </w:r>
      <w:proofErr w:type="gramEnd"/>
      <w:r w:rsidRPr="00087209">
        <w:rPr>
          <w:rFonts w:ascii="Times New Roman" w:hAnsi="Times New Roman"/>
          <w:sz w:val="24"/>
          <w:szCs w:val="24"/>
        </w:rPr>
        <w:t xml:space="preserve"> facie case </w:t>
      </w:r>
      <w:proofErr w:type="gramStart"/>
      <w:r w:rsidRPr="00087209">
        <w:rPr>
          <w:rFonts w:ascii="Times New Roman" w:hAnsi="Times New Roman"/>
          <w:sz w:val="24"/>
          <w:szCs w:val="24"/>
        </w:rPr>
        <w:t>do</w:t>
      </w:r>
      <w:proofErr w:type="gramEnd"/>
      <w:r w:rsidRPr="00087209">
        <w:rPr>
          <w:rFonts w:ascii="Times New Roman" w:hAnsi="Times New Roman"/>
          <w:sz w:val="24"/>
          <w:szCs w:val="24"/>
        </w:rPr>
        <w:t xml:space="preserve"> not vary depending on the plaintiff ’s protected characteristics. To the contrary, this Court has squarely held that Title VII ‘prohibits racial discrimination against * * * white [plaintiffs] upon the same standards as would be applicable’ if they were Black. </w:t>
      </w:r>
      <w:r w:rsidRPr="00087209">
        <w:rPr>
          <w:rFonts w:ascii="Times New Roman" w:hAnsi="Times New Roman"/>
          <w:sz w:val="24"/>
          <w:szCs w:val="24"/>
          <w:u w:val="single"/>
        </w:rPr>
        <w:t>McDonald</w:t>
      </w:r>
      <w:r w:rsidRPr="00087209">
        <w:rPr>
          <w:rFonts w:ascii="Times New Roman" w:hAnsi="Times New Roman"/>
          <w:sz w:val="24"/>
          <w:szCs w:val="24"/>
        </w:rPr>
        <w:t xml:space="preserve">, 427 U.S. at 280. The EEOC, too, has long understood Title VII to require that the claims of minority- and majority-group plaintiffs be assessed in the same fashion.”   </w:t>
      </w:r>
    </w:p>
    <w:p w14:paraId="0792AF6C" w14:textId="77777777" w:rsidR="00087209" w:rsidRDefault="00087209" w:rsidP="00F326E5">
      <w:pPr>
        <w:pStyle w:val="NoSpacing"/>
        <w:rPr>
          <w:rFonts w:ascii="Arial Black" w:hAnsi="Arial Black"/>
          <w:b/>
          <w:bCs/>
          <w:sz w:val="24"/>
          <w:szCs w:val="24"/>
        </w:rPr>
      </w:pPr>
    </w:p>
    <w:p w14:paraId="37B649D1" w14:textId="77777777" w:rsidR="00AE2F67" w:rsidRPr="00AE2F67" w:rsidRDefault="00AE2F67" w:rsidP="00AE2F67">
      <w:pPr>
        <w:pStyle w:val="NoSpacing"/>
        <w:rPr>
          <w:rFonts w:ascii="Times New Roman" w:hAnsi="Times New Roman"/>
          <w:sz w:val="24"/>
          <w:szCs w:val="24"/>
        </w:rPr>
      </w:pPr>
      <w:r w:rsidRPr="00AE2F67">
        <w:rPr>
          <w:rFonts w:ascii="Times New Roman" w:hAnsi="Times New Roman"/>
          <w:sz w:val="24"/>
          <w:szCs w:val="24"/>
        </w:rPr>
        <w:t>HOLDING: [Note: We must now wait for the U.S. Supreme Court to hear oral argument, and decide the appeal, or remand it to the 6</w:t>
      </w:r>
      <w:r w:rsidRPr="00AE2F67">
        <w:rPr>
          <w:rFonts w:ascii="Times New Roman" w:hAnsi="Times New Roman"/>
          <w:sz w:val="24"/>
          <w:szCs w:val="24"/>
          <w:vertAlign w:val="superscript"/>
        </w:rPr>
        <w:t>th</w:t>
      </w:r>
      <w:r w:rsidRPr="00AE2F67">
        <w:rPr>
          <w:rFonts w:ascii="Times New Roman" w:hAnsi="Times New Roman"/>
          <w:sz w:val="24"/>
          <w:szCs w:val="24"/>
        </w:rPr>
        <w:t xml:space="preserve"> Circuit.]</w:t>
      </w:r>
    </w:p>
    <w:p w14:paraId="673AAD3E" w14:textId="77777777" w:rsidR="00AE2F67" w:rsidRPr="00AE2F67" w:rsidRDefault="00AE2F67" w:rsidP="00AE2F67">
      <w:pPr>
        <w:pStyle w:val="NoSpacing"/>
        <w:rPr>
          <w:rFonts w:ascii="Times New Roman" w:hAnsi="Times New Roman"/>
          <w:sz w:val="24"/>
          <w:szCs w:val="24"/>
        </w:rPr>
      </w:pPr>
    </w:p>
    <w:p w14:paraId="511506F4" w14:textId="77777777" w:rsidR="00AE2F67" w:rsidRPr="00AE2F67" w:rsidRDefault="00AE2F67" w:rsidP="00AE2F67">
      <w:pPr>
        <w:pStyle w:val="NoSpacing"/>
        <w:rPr>
          <w:rFonts w:ascii="Times New Roman" w:hAnsi="Times New Roman"/>
          <w:sz w:val="24"/>
          <w:szCs w:val="24"/>
        </w:rPr>
      </w:pPr>
      <w:r w:rsidRPr="00AE2F67">
        <w:rPr>
          <w:rFonts w:ascii="Times New Roman" w:hAnsi="Times New Roman"/>
          <w:sz w:val="24"/>
          <w:szCs w:val="24"/>
        </w:rPr>
        <w:t>See the 6</w:t>
      </w:r>
      <w:r w:rsidRPr="00AE2F67">
        <w:rPr>
          <w:rFonts w:ascii="Times New Roman" w:hAnsi="Times New Roman"/>
          <w:sz w:val="24"/>
          <w:szCs w:val="24"/>
          <w:vertAlign w:val="superscript"/>
        </w:rPr>
        <w:t>th</w:t>
      </w:r>
      <w:r w:rsidRPr="00AE2F67">
        <w:rPr>
          <w:rFonts w:ascii="Times New Roman" w:hAnsi="Times New Roman"/>
          <w:sz w:val="24"/>
          <w:szCs w:val="24"/>
        </w:rPr>
        <w:t xml:space="preserve"> Circuit decision, Dec. 4, 2023:</w:t>
      </w:r>
    </w:p>
    <w:p w14:paraId="2EB899E8" w14:textId="77777777" w:rsidR="00AE2F67" w:rsidRPr="00AE2F67" w:rsidRDefault="00AE2F67" w:rsidP="00AE2F67">
      <w:pPr>
        <w:pStyle w:val="NoSpacing"/>
        <w:rPr>
          <w:rFonts w:ascii="Times New Roman" w:hAnsi="Times New Roman"/>
          <w:sz w:val="24"/>
          <w:szCs w:val="24"/>
        </w:rPr>
      </w:pPr>
    </w:p>
    <w:p w14:paraId="7AF515E5" w14:textId="77777777" w:rsidR="00AE2F67" w:rsidRPr="00AE2F67" w:rsidRDefault="00AE2F67" w:rsidP="00AE2F67">
      <w:pPr>
        <w:pStyle w:val="NoSpacing"/>
        <w:ind w:left="720"/>
        <w:rPr>
          <w:rFonts w:ascii="Times New Roman" w:hAnsi="Times New Roman"/>
          <w:sz w:val="24"/>
          <w:szCs w:val="24"/>
        </w:rPr>
      </w:pPr>
      <w:r w:rsidRPr="00AE2F67">
        <w:rPr>
          <w:rFonts w:ascii="Times New Roman" w:hAnsi="Times New Roman"/>
          <w:sz w:val="24"/>
          <w:szCs w:val="24"/>
        </w:rPr>
        <w:t xml:space="preserve">“In January 2019, Ohio’s governor appointed Ryan Gies to be the Department’s Director. Walburn [Assistant Director Julie Walburn] and Gies are both heterosexual. *** First, Ames was terminated as PREA Administrator by Walburn and Gies, who are both heterosexual. *** Second, Ames’s only evidence of a pattern of discrimination against heterosexuals is her own demotion and the denial of the Bureau Chief position. Under our caselaw, however, a plaintiff cannot point to her own experience to establish a pattern of discrimination. *** Ames therefore has not made the necessary showing of “background circumstances.” For that </w:t>
      </w:r>
      <w:proofErr w:type="gramStart"/>
      <w:r w:rsidRPr="00AE2F67">
        <w:rPr>
          <w:rFonts w:ascii="Times New Roman" w:hAnsi="Times New Roman"/>
          <w:sz w:val="24"/>
          <w:szCs w:val="24"/>
        </w:rPr>
        <w:t>reason</w:t>
      </w:r>
      <w:proofErr w:type="gramEnd"/>
      <w:r w:rsidRPr="00AE2F67">
        <w:rPr>
          <w:rFonts w:ascii="Times New Roman" w:hAnsi="Times New Roman"/>
          <w:sz w:val="24"/>
          <w:szCs w:val="24"/>
        </w:rPr>
        <w:t xml:space="preserve"> her claim of sexual-orientation discrimination fails.”  </w:t>
      </w:r>
      <w:hyperlink r:id="rId1402" w:history="1">
        <w:r w:rsidRPr="00AE2F67">
          <w:rPr>
            <w:rStyle w:val="Hyperlink"/>
            <w:rFonts w:ascii="Times New Roman" w:hAnsi="Times New Roman"/>
            <w:sz w:val="24"/>
            <w:szCs w:val="24"/>
          </w:rPr>
          <w:t>https://www.opn.ca6.uscourts.gov/opinions.pdf/23a0264p-06.pdf</w:t>
        </w:r>
      </w:hyperlink>
      <w:r w:rsidRPr="00AE2F67">
        <w:rPr>
          <w:rFonts w:ascii="Times New Roman" w:hAnsi="Times New Roman"/>
          <w:sz w:val="24"/>
          <w:szCs w:val="24"/>
        </w:rPr>
        <w:t xml:space="preserve"> </w:t>
      </w:r>
    </w:p>
    <w:p w14:paraId="2755F05F" w14:textId="77777777" w:rsidR="00AE2F67" w:rsidRPr="00AE2F67" w:rsidRDefault="00AE2F67" w:rsidP="00AE2F67">
      <w:pPr>
        <w:pStyle w:val="NoSpacing"/>
        <w:ind w:left="720"/>
        <w:rPr>
          <w:rFonts w:ascii="Times New Roman" w:hAnsi="Times New Roman"/>
          <w:sz w:val="24"/>
          <w:szCs w:val="24"/>
        </w:rPr>
      </w:pPr>
    </w:p>
    <w:p w14:paraId="26F341DB" w14:textId="77777777" w:rsidR="00AE2F67" w:rsidRPr="00AE2F67" w:rsidRDefault="00AE2F67" w:rsidP="00AE2F67">
      <w:pPr>
        <w:pStyle w:val="NoSpacing"/>
        <w:rPr>
          <w:rFonts w:ascii="Times New Roman" w:hAnsi="Times New Roman"/>
          <w:b/>
          <w:bCs/>
          <w:sz w:val="24"/>
          <w:szCs w:val="24"/>
        </w:rPr>
      </w:pPr>
      <w:r w:rsidRPr="00AE2F67">
        <w:rPr>
          <w:rFonts w:ascii="Times New Roman" w:hAnsi="Times New Roman"/>
          <w:b/>
          <w:sz w:val="24"/>
          <w:szCs w:val="24"/>
        </w:rPr>
        <w:t xml:space="preserve">Legal Lesson Learned:  Important case to clarify that Title VII rights are not just for minority employees. </w:t>
      </w:r>
    </w:p>
    <w:p w14:paraId="5D324420" w14:textId="77777777" w:rsidR="00AE2F67" w:rsidRPr="00AE2F67" w:rsidRDefault="00AE2F67" w:rsidP="00AE2F67">
      <w:pPr>
        <w:pStyle w:val="NoSpacing"/>
        <w:rPr>
          <w:rFonts w:ascii="Times New Roman" w:hAnsi="Times New Roman"/>
          <w:sz w:val="24"/>
          <w:szCs w:val="24"/>
        </w:rPr>
      </w:pPr>
    </w:p>
    <w:p w14:paraId="6B1BE5D5" w14:textId="77777777" w:rsidR="00922A0A" w:rsidRDefault="00922A0A" w:rsidP="00F326E5">
      <w:pPr>
        <w:pStyle w:val="NoSpacing"/>
        <w:rPr>
          <w:rFonts w:ascii="Arial Black" w:hAnsi="Arial Black"/>
          <w:b/>
          <w:bCs/>
          <w:sz w:val="24"/>
          <w:szCs w:val="24"/>
        </w:rPr>
      </w:pPr>
    </w:p>
    <w:p w14:paraId="2EEA0D80" w14:textId="77777777" w:rsidR="00922A0A" w:rsidRDefault="00922A0A" w:rsidP="00F326E5">
      <w:pPr>
        <w:pStyle w:val="NoSpacing"/>
        <w:rPr>
          <w:rFonts w:ascii="Arial Black" w:hAnsi="Arial Black"/>
          <w:b/>
          <w:bCs/>
          <w:sz w:val="24"/>
          <w:szCs w:val="24"/>
        </w:rPr>
      </w:pPr>
    </w:p>
    <w:p w14:paraId="2D5636DE" w14:textId="284D0CA0" w:rsidR="006D679A" w:rsidRDefault="006D679A" w:rsidP="00F326E5">
      <w:pPr>
        <w:pStyle w:val="NoSpacing"/>
        <w:rPr>
          <w:rFonts w:ascii="Arial Black" w:hAnsi="Arial Black"/>
          <w:b/>
          <w:bCs/>
          <w:sz w:val="24"/>
          <w:szCs w:val="24"/>
        </w:rPr>
      </w:pPr>
      <w:r>
        <w:rPr>
          <w:rFonts w:ascii="Arial Black" w:hAnsi="Arial Black"/>
          <w:b/>
          <w:bCs/>
          <w:sz w:val="24"/>
          <w:szCs w:val="24"/>
        </w:rPr>
        <w:t>7-67</w:t>
      </w:r>
    </w:p>
    <w:p w14:paraId="012F81BD" w14:textId="77777777" w:rsidR="006D679A" w:rsidRDefault="006D679A" w:rsidP="00F326E5">
      <w:pPr>
        <w:pStyle w:val="NoSpacing"/>
        <w:rPr>
          <w:rFonts w:ascii="Arial Black" w:hAnsi="Arial Black"/>
          <w:b/>
          <w:bCs/>
          <w:sz w:val="24"/>
          <w:szCs w:val="24"/>
        </w:rPr>
      </w:pPr>
    </w:p>
    <w:p w14:paraId="1E9B3EBF" w14:textId="77777777" w:rsidR="005904B5" w:rsidRPr="00D0761D" w:rsidRDefault="005904B5" w:rsidP="005904B5">
      <w:pPr>
        <w:pStyle w:val="NoSpacing"/>
        <w:rPr>
          <w:rFonts w:ascii="Arial Black" w:hAnsi="Arial Black"/>
          <w:sz w:val="28"/>
        </w:rPr>
      </w:pPr>
      <w:r>
        <w:rPr>
          <w:rFonts w:ascii="Arial Black" w:hAnsi="Arial Black"/>
          <w:sz w:val="28"/>
        </w:rPr>
        <w:t>NM: DEPUTY CHIEF FIRED – OFFENSIVE COMMENTS FEMALE CADET: “BEAUTIFUL WOMAN IN HER UNDERWEAR”</w:t>
      </w:r>
    </w:p>
    <w:p w14:paraId="44C2D604" w14:textId="77777777" w:rsidR="005904B5" w:rsidRPr="005904B5" w:rsidRDefault="005904B5" w:rsidP="005904B5">
      <w:pPr>
        <w:pStyle w:val="NoSpacing"/>
        <w:rPr>
          <w:rFonts w:ascii="Times New Roman" w:hAnsi="Times New Roman"/>
          <w:sz w:val="24"/>
          <w:szCs w:val="24"/>
        </w:rPr>
      </w:pPr>
    </w:p>
    <w:p w14:paraId="01992CE0" w14:textId="77777777" w:rsidR="005904B5" w:rsidRPr="005904B5" w:rsidRDefault="005904B5" w:rsidP="005904B5">
      <w:pPr>
        <w:pStyle w:val="NoSpacing"/>
        <w:rPr>
          <w:rFonts w:ascii="Times New Roman" w:hAnsi="Times New Roman"/>
          <w:sz w:val="24"/>
          <w:szCs w:val="24"/>
        </w:rPr>
      </w:pPr>
      <w:r w:rsidRPr="005904B5">
        <w:rPr>
          <w:rFonts w:ascii="Times New Roman" w:hAnsi="Times New Roman"/>
          <w:sz w:val="24"/>
          <w:szCs w:val="24"/>
        </w:rPr>
        <w:t xml:space="preserve">On September 30, 2024, in </w:t>
      </w:r>
      <w:r w:rsidRPr="005904B5">
        <w:rPr>
          <w:rFonts w:ascii="Times New Roman" w:hAnsi="Times New Roman"/>
          <w:sz w:val="24"/>
          <w:szCs w:val="24"/>
          <w:u w:val="single"/>
        </w:rPr>
        <w:t xml:space="preserve">Eric Tafoya v. City of </w:t>
      </w:r>
      <w:proofErr w:type="spellStart"/>
      <w:r w:rsidRPr="005904B5">
        <w:rPr>
          <w:rFonts w:ascii="Times New Roman" w:hAnsi="Times New Roman"/>
          <w:sz w:val="24"/>
          <w:szCs w:val="24"/>
          <w:u w:val="single"/>
        </w:rPr>
        <w:t>Espaaola</w:t>
      </w:r>
      <w:proofErr w:type="spellEnd"/>
      <w:r w:rsidRPr="005904B5">
        <w:rPr>
          <w:rFonts w:ascii="Times New Roman" w:hAnsi="Times New Roman"/>
          <w:sz w:val="24"/>
          <w:szCs w:val="24"/>
        </w:rPr>
        <w:t xml:space="preserve">, the Court of Appeals of New Mexico (3 to 0; unpublished decision) upheld the City’s termination of the Deputy Fire Chief; he made comments to female Cadet who needed smaller fire boots (in front of her female Lieutenant), about his liking her small feet and male firefighters will not complain about working with her -  “I don’t know why they’d complain about seeing a beautiful woman in her underwear.” The City’s Civil Service Commission hearing officer reversed the termination because the inappropriate comments did not create a “hostile work environment.”   The City appealed to state District Court judge, who upheld the termination; the Court of Appeals agreed.  The Court wrote: “[T]he hearing officer appears to have relied on cases involving claims of sexual harassment under the New Mexico Human Rights Act, NMSA 1978, §§ 28-1-1 to -14 (1969, as amended through 2024), when reaching its decision that Tafoya did not violate the City’s sexual harassment policy. Using those cases, Tafoya argued that New Mexico only recognizes ‘hostile work environment’ and ‘quid pro quo’ sexual harassment claims. *** In that regard, we note that the City’s policy is much broader than Tafoya argues. It provides discipline for sexually harassing conduct that had ‘the effect of creating an offensive, intimidating, degrading or hostile work environment.’ Personnel Policy § 1.4.1(B) at 5 (emphasis added).” </w:t>
      </w:r>
      <w:hyperlink r:id="rId1403" w:history="1">
        <w:r w:rsidRPr="005904B5">
          <w:rPr>
            <w:rStyle w:val="Hyperlink"/>
            <w:rFonts w:ascii="Times New Roman" w:hAnsi="Times New Roman"/>
            <w:sz w:val="24"/>
            <w:szCs w:val="24"/>
          </w:rPr>
          <w:t>https://coa.nmcourts.gov/wp-content/uploads/sites/43/2024/09/September-30-2024-Eric-Tafoya-v.-City-of-Espanola-No.-A-1-CA-40276.pdf</w:t>
        </w:r>
      </w:hyperlink>
      <w:r w:rsidRPr="005904B5">
        <w:rPr>
          <w:rFonts w:ascii="Times New Roman" w:hAnsi="Times New Roman"/>
          <w:sz w:val="24"/>
          <w:szCs w:val="24"/>
        </w:rPr>
        <w:t xml:space="preserve"> </w:t>
      </w:r>
    </w:p>
    <w:p w14:paraId="6C5B438C" w14:textId="77777777" w:rsidR="005904B5" w:rsidRPr="005904B5" w:rsidRDefault="005904B5" w:rsidP="005904B5">
      <w:pPr>
        <w:pStyle w:val="NoSpacing"/>
        <w:rPr>
          <w:rFonts w:ascii="Times New Roman" w:hAnsi="Times New Roman"/>
          <w:sz w:val="24"/>
          <w:szCs w:val="24"/>
        </w:rPr>
      </w:pPr>
    </w:p>
    <w:p w14:paraId="043B3837" w14:textId="77777777" w:rsidR="005904B5" w:rsidRPr="005904B5" w:rsidRDefault="005904B5" w:rsidP="005904B5">
      <w:pPr>
        <w:pStyle w:val="NoSpacing"/>
        <w:rPr>
          <w:rFonts w:ascii="Times New Roman" w:hAnsi="Times New Roman"/>
          <w:sz w:val="24"/>
          <w:szCs w:val="24"/>
        </w:rPr>
      </w:pPr>
    </w:p>
    <w:p w14:paraId="6EE859A3" w14:textId="77777777" w:rsidR="005904B5" w:rsidRPr="005904B5" w:rsidRDefault="005904B5" w:rsidP="005904B5">
      <w:pPr>
        <w:pStyle w:val="NoSpacing"/>
        <w:rPr>
          <w:rFonts w:ascii="Times New Roman" w:hAnsi="Times New Roman"/>
          <w:sz w:val="24"/>
          <w:szCs w:val="24"/>
        </w:rPr>
      </w:pPr>
      <w:r w:rsidRPr="005904B5">
        <w:rPr>
          <w:rFonts w:ascii="Times New Roman" w:hAnsi="Times New Roman"/>
          <w:sz w:val="24"/>
          <w:szCs w:val="24"/>
        </w:rPr>
        <w:t>THE COURT HELD:</w:t>
      </w:r>
    </w:p>
    <w:p w14:paraId="62C3C33D" w14:textId="77777777" w:rsidR="005904B5" w:rsidRPr="005904B5" w:rsidRDefault="005904B5" w:rsidP="005904B5">
      <w:pPr>
        <w:pStyle w:val="NoSpacing"/>
        <w:rPr>
          <w:rFonts w:ascii="Times New Roman" w:hAnsi="Times New Roman"/>
          <w:sz w:val="24"/>
          <w:szCs w:val="24"/>
        </w:rPr>
      </w:pPr>
    </w:p>
    <w:p w14:paraId="0B25F346"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“The record supports the district court’s determination that Tafoya’s comments, detailed above, constitute sexual flirtation, verbal comments of a sexual nature, or suggestive comments about Cadet Hart’s body, in violation of the City’s sexual harassment policy.</w:t>
      </w:r>
    </w:p>
    <w:p w14:paraId="49F27E6D" w14:textId="77777777" w:rsidR="005904B5" w:rsidRPr="005904B5" w:rsidRDefault="005904B5" w:rsidP="005904B5">
      <w:pPr>
        <w:pStyle w:val="NoSpacing"/>
        <w:ind w:left="720"/>
        <w:rPr>
          <w:rFonts w:ascii="Times New Roman" w:hAnsi="Times New Roman"/>
          <w:sz w:val="24"/>
          <w:szCs w:val="24"/>
        </w:rPr>
      </w:pPr>
    </w:p>
    <w:p w14:paraId="76E8E5B3"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w:t>
      </w:r>
    </w:p>
    <w:p w14:paraId="5FC0F684" w14:textId="77777777" w:rsidR="005904B5" w:rsidRPr="005904B5" w:rsidRDefault="005904B5" w:rsidP="005904B5">
      <w:pPr>
        <w:pStyle w:val="NoSpacing"/>
        <w:rPr>
          <w:rFonts w:ascii="Times New Roman" w:hAnsi="Times New Roman"/>
          <w:sz w:val="24"/>
          <w:szCs w:val="24"/>
        </w:rPr>
      </w:pPr>
    </w:p>
    <w:p w14:paraId="08BE14C7"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The hearing officer made the following findings, which were adopted by the district court: (1) in response to Lieutenant Martinez’s statement that Tafoya’s boots would not fit Cadet Hart because she has ‘tiny feet,’ Tafoya stated that he ‘loves tiny feet’; (2) in response to Cadet Hart’s statement that ‘my feet are tiny because I have high arches,’ Tafoya stated that he ‘loves high arches and flat feet were ugly’; (3) Tafoya instructed Cadet Hart to try on his turnout gear, and Lieutenant Martinez stated it was okay to do so; (4) Tafoya stated, ‘Oh, good, now we get to see her feet’; and (5) when male firefighters were questioning sharing space with a female and seeing her in her underwear, Tafoya interjected, ‘I don’t know why they’d complain about seeing a beautiful woman in her underwear,’ which Cadet Hart perceived as having sexual connotations and made her feel uncomfortable. These findings are supported by the affidavits of both Lieutenant Martinez and Cadet Hart.”</w:t>
      </w:r>
    </w:p>
    <w:p w14:paraId="7F2FBC34" w14:textId="77777777" w:rsidR="005904B5" w:rsidRPr="005904B5" w:rsidRDefault="005904B5" w:rsidP="005904B5">
      <w:pPr>
        <w:pStyle w:val="NoSpacing"/>
        <w:ind w:left="720"/>
        <w:rPr>
          <w:rFonts w:ascii="Times New Roman" w:hAnsi="Times New Roman"/>
          <w:sz w:val="24"/>
          <w:szCs w:val="24"/>
        </w:rPr>
      </w:pPr>
    </w:p>
    <w:p w14:paraId="30AB6E86" w14:textId="77777777" w:rsidR="005904B5" w:rsidRPr="005904B5" w:rsidRDefault="005904B5" w:rsidP="005904B5">
      <w:pPr>
        <w:pStyle w:val="NoSpacing"/>
        <w:rPr>
          <w:rFonts w:ascii="Times New Roman" w:hAnsi="Times New Roman"/>
          <w:b/>
          <w:bCs/>
          <w:sz w:val="24"/>
          <w:szCs w:val="24"/>
        </w:rPr>
      </w:pPr>
      <w:r w:rsidRPr="005904B5">
        <w:rPr>
          <w:rFonts w:ascii="Times New Roman" w:hAnsi="Times New Roman"/>
          <w:b/>
          <w:bCs/>
          <w:sz w:val="24"/>
          <w:szCs w:val="24"/>
        </w:rPr>
        <w:t xml:space="preserve">Legal Lesson Learned: Avoid offensive or degrading comments. </w:t>
      </w:r>
    </w:p>
    <w:p w14:paraId="4E2A559D" w14:textId="77777777" w:rsidR="006D679A" w:rsidRDefault="006D679A" w:rsidP="00F326E5">
      <w:pPr>
        <w:pStyle w:val="NoSpacing"/>
        <w:rPr>
          <w:rFonts w:ascii="Arial Black" w:hAnsi="Arial Black"/>
          <w:b/>
          <w:bCs/>
          <w:sz w:val="24"/>
          <w:szCs w:val="24"/>
        </w:rPr>
      </w:pPr>
    </w:p>
    <w:p w14:paraId="5A8FA857" w14:textId="77777777" w:rsidR="006D679A" w:rsidRDefault="006D679A" w:rsidP="00F326E5">
      <w:pPr>
        <w:pStyle w:val="NoSpacing"/>
        <w:rPr>
          <w:rFonts w:ascii="Arial Black" w:hAnsi="Arial Black"/>
          <w:b/>
          <w:bCs/>
          <w:sz w:val="24"/>
          <w:szCs w:val="24"/>
        </w:rPr>
      </w:pPr>
    </w:p>
    <w:p w14:paraId="1C9CBF3E" w14:textId="5F83B3A5" w:rsidR="00E04891" w:rsidRDefault="00E04891" w:rsidP="00F326E5">
      <w:pPr>
        <w:pStyle w:val="NoSpacing"/>
        <w:rPr>
          <w:rFonts w:ascii="Arial Black" w:hAnsi="Arial Black"/>
          <w:b/>
          <w:bCs/>
          <w:sz w:val="24"/>
          <w:szCs w:val="24"/>
        </w:rPr>
      </w:pPr>
      <w:r>
        <w:rPr>
          <w:rFonts w:ascii="Arial Black" w:hAnsi="Arial Black"/>
          <w:b/>
          <w:bCs/>
          <w:sz w:val="24"/>
          <w:szCs w:val="24"/>
        </w:rPr>
        <w:t>7-66</w:t>
      </w:r>
    </w:p>
    <w:p w14:paraId="5FE19DEC" w14:textId="77777777" w:rsidR="00235836" w:rsidRDefault="00235836" w:rsidP="00F326E5">
      <w:pPr>
        <w:pStyle w:val="NoSpacing"/>
        <w:rPr>
          <w:rFonts w:ascii="Arial Black" w:hAnsi="Arial Black"/>
          <w:b/>
          <w:bCs/>
          <w:sz w:val="24"/>
          <w:szCs w:val="24"/>
        </w:rPr>
      </w:pPr>
    </w:p>
    <w:p w14:paraId="54F3F4A6" w14:textId="77777777" w:rsidR="00235836" w:rsidRDefault="00235836" w:rsidP="00235836">
      <w:pPr>
        <w:pStyle w:val="NoSpacing"/>
        <w:rPr>
          <w:rFonts w:ascii="Arial Black" w:hAnsi="Arial Black"/>
          <w:sz w:val="28"/>
        </w:rPr>
      </w:pPr>
      <w:r>
        <w:rPr>
          <w:rFonts w:ascii="Arial Black" w:hAnsi="Arial Black"/>
          <w:sz w:val="28"/>
        </w:rPr>
        <w:t xml:space="preserve">LA: OFFICE ROMANCE – ADMIN. AIDE FIRED – TROUBLE IN WORKPLACE - DIVORCED A/C, MARRIED FORMER D/C </w:t>
      </w:r>
    </w:p>
    <w:p w14:paraId="2DFD5946" w14:textId="77777777" w:rsidR="00235836" w:rsidRDefault="00235836" w:rsidP="00235836">
      <w:pPr>
        <w:pStyle w:val="NoSpacing"/>
        <w:rPr>
          <w:rFonts w:ascii="Arial Black" w:hAnsi="Arial Black"/>
          <w:sz w:val="28"/>
        </w:rPr>
      </w:pPr>
    </w:p>
    <w:p w14:paraId="6B56AB84" w14:textId="77777777" w:rsidR="00235836" w:rsidRPr="00235836" w:rsidRDefault="00235836" w:rsidP="00235836">
      <w:pPr>
        <w:pStyle w:val="NoSpacing"/>
        <w:rPr>
          <w:rFonts w:ascii="Times New Roman" w:hAnsi="Times New Roman"/>
          <w:sz w:val="24"/>
          <w:szCs w:val="24"/>
        </w:rPr>
      </w:pPr>
      <w:r w:rsidRPr="00235836">
        <w:rPr>
          <w:rFonts w:ascii="Times New Roman" w:hAnsi="Times New Roman"/>
          <w:sz w:val="24"/>
          <w:szCs w:val="24"/>
        </w:rPr>
        <w:t xml:space="preserve">On August 7, 2024, in Stacie </w:t>
      </w:r>
      <w:proofErr w:type="spellStart"/>
      <w:r w:rsidRPr="00235836">
        <w:rPr>
          <w:rFonts w:ascii="Times New Roman" w:hAnsi="Times New Roman"/>
          <w:sz w:val="24"/>
          <w:szCs w:val="24"/>
        </w:rPr>
        <w:t>Dellucky</w:t>
      </w:r>
      <w:proofErr w:type="spellEnd"/>
      <w:r w:rsidRPr="00235836">
        <w:rPr>
          <w:rFonts w:ascii="Times New Roman" w:hAnsi="Times New Roman"/>
          <w:sz w:val="24"/>
          <w:szCs w:val="24"/>
        </w:rPr>
        <w:t xml:space="preserve"> and Frank Dellucky v, St. George Fire Protection District, et al., U.S. Court of Appeals for 5</w:t>
      </w:r>
      <w:r w:rsidRPr="00235836">
        <w:rPr>
          <w:rFonts w:ascii="Times New Roman" w:hAnsi="Times New Roman"/>
          <w:sz w:val="24"/>
          <w:szCs w:val="24"/>
          <w:vertAlign w:val="superscript"/>
        </w:rPr>
        <w:t>th</w:t>
      </w:r>
      <w:r w:rsidRPr="00235836">
        <w:rPr>
          <w:rFonts w:ascii="Times New Roman" w:hAnsi="Times New Roman"/>
          <w:sz w:val="24"/>
          <w:szCs w:val="24"/>
        </w:rPr>
        <w:t xml:space="preserve"> Circuit (New Orleans) held (3 to 0) that trial court properly summary judgment to the FD and fire chief.   The Court wrote: “Here, the challenged government action-the Chief's termination of Stacie-did not prohibit whole classes of people from marrying. Appellants adduced no evidence of a St. George policy barring co-workers from marrying or banning marriages between members of management and their subordinates. The evidence shows that the Chief's decision was motivated by the fact that </w:t>
      </w:r>
      <w:r w:rsidRPr="00235836">
        <w:rPr>
          <w:rFonts w:ascii="Times New Roman" w:hAnsi="Times New Roman"/>
          <w:i/>
          <w:iCs/>
          <w:sz w:val="24"/>
          <w:szCs w:val="24"/>
        </w:rPr>
        <w:t>Stacie</w:t>
      </w:r>
      <w:r w:rsidRPr="00235836">
        <w:rPr>
          <w:rFonts w:ascii="Times New Roman" w:hAnsi="Times New Roman"/>
          <w:sz w:val="24"/>
          <w:szCs w:val="24"/>
        </w:rPr>
        <w:t xml:space="preserve"> [who divorced  Assistant Fire Chief Chad Roberson] married </w:t>
      </w:r>
      <w:r w:rsidRPr="00235836">
        <w:rPr>
          <w:rFonts w:ascii="Times New Roman" w:hAnsi="Times New Roman"/>
          <w:i/>
          <w:iCs/>
          <w:sz w:val="24"/>
          <w:szCs w:val="24"/>
        </w:rPr>
        <w:t xml:space="preserve">Frank </w:t>
      </w:r>
      <w:r w:rsidRPr="00235836">
        <w:rPr>
          <w:rFonts w:ascii="Times New Roman" w:hAnsi="Times New Roman"/>
          <w:sz w:val="24"/>
          <w:szCs w:val="24"/>
        </w:rPr>
        <w:t xml:space="preserve">[Dellucky, now former District Chief]; there is no evidence that the outcome would have been the same if the marriage had been between two other employees. Moreover, Stacie's termination clearly did not discourage or render practically impossible her marriage to Frank: the record indicates that they remain married today. The challenged government action did not directly and substantially interfere with Stacie's or Frank's right to marry. The district court correctly determined that the appropriate standard of review, therefore, is rational basis review. *** Here, the Chief justified terminating Stacie in their conversation in July 2020: Stacie's and Frank's relationship had caused trouble in the workplace in the past, and the Chief had warned them that if their relationship became permanent, they would not be able to work at St. George. Maintaining workplace order and morale and ensuring that the chain-of-command operates effectively is a legitimate objective.” </w:t>
      </w:r>
      <w:hyperlink r:id="rId1404" w:history="1">
        <w:r w:rsidRPr="00235836">
          <w:rPr>
            <w:rStyle w:val="Hyperlink"/>
            <w:rFonts w:ascii="Times New Roman" w:hAnsi="Times New Roman"/>
            <w:sz w:val="24"/>
            <w:szCs w:val="24"/>
          </w:rPr>
          <w:t>https://www.ca5.uscourts.gov/opinions/unpub/23/23-30810.0.pdf</w:t>
        </w:r>
      </w:hyperlink>
      <w:r w:rsidRPr="00235836">
        <w:rPr>
          <w:rFonts w:ascii="Times New Roman" w:hAnsi="Times New Roman"/>
          <w:sz w:val="24"/>
          <w:szCs w:val="24"/>
        </w:rPr>
        <w:t xml:space="preserve"> </w:t>
      </w:r>
    </w:p>
    <w:p w14:paraId="76FEE607" w14:textId="77777777" w:rsidR="00235836" w:rsidRPr="00235836" w:rsidRDefault="00235836" w:rsidP="00235836">
      <w:pPr>
        <w:pStyle w:val="NoSpacing"/>
        <w:rPr>
          <w:rFonts w:ascii="Times New Roman" w:hAnsi="Times New Roman"/>
          <w:sz w:val="24"/>
          <w:szCs w:val="24"/>
        </w:rPr>
      </w:pPr>
    </w:p>
    <w:p w14:paraId="2BCB9D25" w14:textId="77777777" w:rsidR="00235836" w:rsidRPr="00235836" w:rsidRDefault="00235836" w:rsidP="00235836">
      <w:pPr>
        <w:pStyle w:val="NoSpacing"/>
        <w:rPr>
          <w:rFonts w:ascii="Times New Roman" w:hAnsi="Times New Roman"/>
          <w:sz w:val="24"/>
          <w:szCs w:val="24"/>
        </w:rPr>
      </w:pPr>
      <w:r w:rsidRPr="00235836">
        <w:rPr>
          <w:rFonts w:ascii="Times New Roman" w:hAnsi="Times New Roman"/>
          <w:sz w:val="24"/>
          <w:szCs w:val="24"/>
        </w:rPr>
        <w:t>THE COURT HELD:</w:t>
      </w:r>
    </w:p>
    <w:p w14:paraId="3D585EFF" w14:textId="77777777" w:rsidR="00235836" w:rsidRPr="00235836" w:rsidRDefault="00235836" w:rsidP="00235836">
      <w:pPr>
        <w:pStyle w:val="NoSpacing"/>
        <w:ind w:left="720"/>
        <w:rPr>
          <w:rFonts w:ascii="Times New Roman" w:hAnsi="Times New Roman"/>
          <w:sz w:val="24"/>
          <w:szCs w:val="24"/>
        </w:rPr>
      </w:pPr>
    </w:p>
    <w:p w14:paraId="02412C37" w14:textId="77777777" w:rsidR="00235836" w:rsidRPr="00235836" w:rsidRDefault="00235836" w:rsidP="00235836">
      <w:pPr>
        <w:pStyle w:val="NoSpacing"/>
        <w:ind w:left="720"/>
        <w:rPr>
          <w:rFonts w:ascii="Times New Roman" w:hAnsi="Times New Roman"/>
          <w:sz w:val="24"/>
          <w:szCs w:val="24"/>
        </w:rPr>
      </w:pPr>
      <w:r w:rsidRPr="00235836">
        <w:rPr>
          <w:rFonts w:ascii="Times New Roman" w:hAnsi="Times New Roman"/>
          <w:sz w:val="24"/>
          <w:szCs w:val="24"/>
        </w:rPr>
        <w:t xml:space="preserve">”And Appellants' unsupported assertions notwithstanding, the summary judgment record suggests that Stacie's and Frank's relationship threatened the Chief's ability to accomplish that objective. Appellees have proffered summary judgment evidence showing that the Chief's decision to terminate Stacie bore a ‘rational relationship’ to a legitimate objective. </w:t>
      </w:r>
      <w:r w:rsidRPr="00235836">
        <w:rPr>
          <w:rFonts w:ascii="Times New Roman" w:hAnsi="Times New Roman"/>
          <w:i/>
          <w:iCs/>
          <w:sz w:val="24"/>
          <w:szCs w:val="24"/>
        </w:rPr>
        <w:t>Lewis</w:t>
      </w:r>
      <w:r w:rsidRPr="00235836">
        <w:rPr>
          <w:rFonts w:ascii="Times New Roman" w:hAnsi="Times New Roman"/>
          <w:sz w:val="24"/>
          <w:szCs w:val="24"/>
        </w:rPr>
        <w:t>, 2022 WL 10965839, at *3. Accordingly, the Chief's decision to terminate Stacie's employment passes the rational basis test.”</w:t>
      </w:r>
    </w:p>
    <w:p w14:paraId="1949E9B6" w14:textId="77777777" w:rsidR="00235836" w:rsidRPr="00235836" w:rsidRDefault="00235836" w:rsidP="00235836">
      <w:pPr>
        <w:pStyle w:val="NoSpacing"/>
        <w:ind w:left="720"/>
        <w:rPr>
          <w:rFonts w:ascii="Times New Roman" w:hAnsi="Times New Roman"/>
          <w:sz w:val="24"/>
          <w:szCs w:val="24"/>
        </w:rPr>
      </w:pPr>
    </w:p>
    <w:p w14:paraId="06D5F80A" w14:textId="77777777" w:rsidR="00235836" w:rsidRPr="00235836" w:rsidRDefault="00235836" w:rsidP="00235836">
      <w:pPr>
        <w:pStyle w:val="NoSpacing"/>
        <w:rPr>
          <w:rFonts w:ascii="Times New Roman" w:hAnsi="Times New Roman"/>
          <w:b/>
          <w:bCs/>
          <w:sz w:val="24"/>
          <w:szCs w:val="24"/>
        </w:rPr>
      </w:pPr>
      <w:r w:rsidRPr="00235836">
        <w:rPr>
          <w:rFonts w:ascii="Times New Roman" w:hAnsi="Times New Roman"/>
          <w:b/>
          <w:bCs/>
          <w:sz w:val="24"/>
          <w:szCs w:val="24"/>
        </w:rPr>
        <w:t>Legal Lesson Learned:  As the Court wrote: “Maintaining workplace order and morale and ensuring that the chain-of-command operates effectively is a legitimate objective.”</w:t>
      </w:r>
    </w:p>
    <w:p w14:paraId="59993FB8" w14:textId="77777777" w:rsidR="00235836" w:rsidRDefault="00235836" w:rsidP="00235836">
      <w:pPr>
        <w:pStyle w:val="NoSpacing"/>
        <w:jc w:val="center"/>
        <w:rPr>
          <w:szCs w:val="24"/>
        </w:rPr>
      </w:pPr>
    </w:p>
    <w:p w14:paraId="672E5680" w14:textId="77777777" w:rsidR="00235836" w:rsidRDefault="00235836" w:rsidP="00235836">
      <w:pPr>
        <w:pStyle w:val="NoSpacing"/>
        <w:rPr>
          <w:szCs w:val="24"/>
        </w:rPr>
      </w:pPr>
    </w:p>
    <w:p w14:paraId="07309D66" w14:textId="77777777" w:rsidR="00E04891" w:rsidRDefault="00E04891" w:rsidP="00F326E5">
      <w:pPr>
        <w:pStyle w:val="NoSpacing"/>
        <w:rPr>
          <w:rFonts w:ascii="Arial Black" w:hAnsi="Arial Black"/>
          <w:b/>
          <w:bCs/>
          <w:sz w:val="24"/>
          <w:szCs w:val="24"/>
        </w:rPr>
      </w:pPr>
    </w:p>
    <w:p w14:paraId="0395F36F" w14:textId="74F57258" w:rsidR="005D56E5" w:rsidRDefault="00DD6FAF" w:rsidP="00F326E5">
      <w:pPr>
        <w:pStyle w:val="NoSpacing"/>
        <w:rPr>
          <w:rFonts w:ascii="Arial Black" w:hAnsi="Arial Black"/>
          <w:b/>
          <w:bCs/>
          <w:sz w:val="24"/>
          <w:szCs w:val="24"/>
        </w:rPr>
      </w:pPr>
      <w:r>
        <w:rPr>
          <w:rFonts w:ascii="Arial Black" w:hAnsi="Arial Black"/>
          <w:b/>
          <w:bCs/>
          <w:sz w:val="24"/>
          <w:szCs w:val="24"/>
        </w:rPr>
        <w:t>7-65</w:t>
      </w:r>
    </w:p>
    <w:p w14:paraId="74C84B6B" w14:textId="77777777" w:rsidR="00D6205D" w:rsidRDefault="00D6205D" w:rsidP="00F326E5">
      <w:pPr>
        <w:pStyle w:val="NoSpacing"/>
        <w:rPr>
          <w:rFonts w:ascii="Arial Black" w:hAnsi="Arial Black"/>
          <w:b/>
          <w:bCs/>
          <w:sz w:val="24"/>
          <w:szCs w:val="24"/>
        </w:rPr>
      </w:pPr>
    </w:p>
    <w:p w14:paraId="41CF91FD" w14:textId="36FEA821" w:rsidR="00E04891" w:rsidRPr="003E239A" w:rsidRDefault="00E04891" w:rsidP="00E04891">
      <w:pPr>
        <w:pStyle w:val="NoSpacing"/>
        <w:rPr>
          <w:rFonts w:ascii="Arial Black" w:hAnsi="Arial Black"/>
          <w:sz w:val="28"/>
        </w:rPr>
      </w:pPr>
      <w:r>
        <w:rPr>
          <w:rFonts w:ascii="Arial Black" w:hAnsi="Arial Black"/>
          <w:sz w:val="28"/>
        </w:rPr>
        <w:t>VI: SHE WOKE UP FF “SUCKING ON HER BREAST” - CONT. VIOL. - PRIOR CLAIMS ALSO ADMISSIBLE</w:t>
      </w:r>
    </w:p>
    <w:p w14:paraId="28C50595" w14:textId="77777777" w:rsidR="00EA6854" w:rsidRPr="00EA6854" w:rsidRDefault="00EA6854" w:rsidP="00EA6854">
      <w:pPr>
        <w:pStyle w:val="NoSpacing"/>
        <w:rPr>
          <w:rFonts w:ascii="Times New Roman" w:hAnsi="Times New Roman"/>
          <w:sz w:val="24"/>
          <w:szCs w:val="24"/>
        </w:rPr>
      </w:pPr>
    </w:p>
    <w:p w14:paraId="2973F873"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 xml:space="preserve">On Aug. 6, 2024, </w:t>
      </w:r>
      <w:r w:rsidRPr="00EA6854">
        <w:rPr>
          <w:rFonts w:ascii="Times New Roman" w:hAnsi="Times New Roman"/>
          <w:sz w:val="24"/>
          <w:szCs w:val="24"/>
          <w:u w:val="single"/>
        </w:rPr>
        <w:t>in Syreeta Gumbs v. Government of the Virgin Island and Association of Firefighters Local 2125</w:t>
      </w:r>
      <w:r w:rsidRPr="00EA6854">
        <w:rPr>
          <w:rFonts w:ascii="Times New Roman" w:hAnsi="Times New Roman"/>
          <w:sz w:val="24"/>
          <w:szCs w:val="24"/>
        </w:rPr>
        <w:t xml:space="preserve">, Judge Denise M. Francois, Superior Court of the Virgin Island, denied the defense motion for summary judgment, finding that the FD failed to adequately investigate complaints of harassment. Her 2017 complaint about “breast sucking” was timely, however under the “continuing violation doctrine” prior incidents can also go to jury. The Court wrote: “It is reasonable to expect that when faced with a sexual harassment complaint, an employer is not relieved of its duty to ensure the work environment is free from sexual harassment once a complaint is made, regardless of whether the alleged victim cooperates or not. *** November 6, 2017, is the date of the last alleged injury…. by fellow firefighter Lionel Warrell while they were both stationed in St. John. After Hurricanes Irma and Maria destroyed the Cruz Bay fire stations' lodging quarters, firefighters working 24-hour shifts were housed at the St. John Westin, and Gumbs was given her own room within a suite. During the early morning on November 6, Gumbs was asleep in her suite when she was ‘woke up to her shirt lifted above her breast and Warrell sucking on her breast without her consent.’ Gumbs screamed and immediately told Worrell to get out of her room; she later confronted him about the incident. Warrell subsequently admitted to Gumbs' allegations.” </w:t>
      </w:r>
      <w:hyperlink r:id="rId1405" w:history="1">
        <w:r w:rsidRPr="00EA6854">
          <w:rPr>
            <w:rStyle w:val="Hyperlink"/>
            <w:rFonts w:ascii="Times New Roman" w:hAnsi="Times New Roman"/>
            <w:sz w:val="24"/>
            <w:szCs w:val="24"/>
          </w:rPr>
          <w:t>https://cdnsm5-hosted.civiclive.com/UserFiles/Servers/Server_12810747/File/Opinions/2024/st2020cv00154%2029U.pdf</w:t>
        </w:r>
      </w:hyperlink>
      <w:r w:rsidRPr="00EA6854">
        <w:rPr>
          <w:rFonts w:ascii="Times New Roman" w:hAnsi="Times New Roman"/>
          <w:sz w:val="24"/>
          <w:szCs w:val="24"/>
        </w:rPr>
        <w:t xml:space="preserve"> </w:t>
      </w:r>
    </w:p>
    <w:p w14:paraId="610F2D04" w14:textId="77777777" w:rsidR="00EA6854" w:rsidRPr="00EA6854" w:rsidRDefault="00EA6854" w:rsidP="00EA6854">
      <w:pPr>
        <w:pStyle w:val="NoSpacing"/>
        <w:rPr>
          <w:rFonts w:ascii="Times New Roman" w:hAnsi="Times New Roman"/>
          <w:sz w:val="24"/>
          <w:szCs w:val="24"/>
        </w:rPr>
      </w:pPr>
    </w:p>
    <w:p w14:paraId="1E3ED91B"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THE COURT HELD:</w:t>
      </w:r>
    </w:p>
    <w:p w14:paraId="6C1BB4CD" w14:textId="77777777" w:rsidR="00EA6854" w:rsidRPr="00EA6854" w:rsidRDefault="00EA6854" w:rsidP="00EA6854">
      <w:pPr>
        <w:pStyle w:val="NoSpacing"/>
        <w:rPr>
          <w:rFonts w:ascii="Times New Roman" w:hAnsi="Times New Roman"/>
          <w:sz w:val="24"/>
          <w:szCs w:val="24"/>
        </w:rPr>
      </w:pPr>
    </w:p>
    <w:p w14:paraId="7DF40E0F"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“Because Gumbs' most recent claimed injury occurred within the limitations period, the continuing violation doctrine renders Gumbs' 2009 and 2013 claims timely. The Court concludes that a reasonable jury could enter judgment in favor of Gumbs and consider the 2009, 2013, and 2017 incidents of alleged sexual harassment and the </w:t>
      </w:r>
      <w:proofErr w:type="gramStart"/>
      <w:r w:rsidRPr="00EA6854">
        <w:rPr>
          <w:rFonts w:ascii="Times New Roman" w:hAnsi="Times New Roman"/>
          <w:sz w:val="24"/>
          <w:szCs w:val="24"/>
        </w:rPr>
        <w:t>manner in which</w:t>
      </w:r>
      <w:proofErr w:type="gramEnd"/>
      <w:r w:rsidRPr="00EA6854">
        <w:rPr>
          <w:rFonts w:ascii="Times New Roman" w:hAnsi="Times New Roman"/>
          <w:sz w:val="24"/>
          <w:szCs w:val="24"/>
        </w:rPr>
        <w:t xml:space="preserve"> GVI handled those complaints as ongoing, discriminatory practice that created a hostile work environment. Accordingly, summary judgment is denied.</w:t>
      </w:r>
    </w:p>
    <w:p w14:paraId="16CC63BE" w14:textId="77777777" w:rsidR="00EA6854" w:rsidRPr="00EA6854" w:rsidRDefault="00EA6854" w:rsidP="00EA6854">
      <w:pPr>
        <w:pStyle w:val="NoSpacing"/>
        <w:ind w:left="720"/>
        <w:rPr>
          <w:rFonts w:ascii="Times New Roman" w:hAnsi="Times New Roman"/>
          <w:sz w:val="24"/>
          <w:szCs w:val="24"/>
        </w:rPr>
      </w:pPr>
    </w:p>
    <w:p w14:paraId="3A1B211A"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3DD1BB50" w14:textId="77777777" w:rsidR="00EA6854" w:rsidRPr="00EA6854" w:rsidRDefault="00EA6854" w:rsidP="00EA6854">
      <w:pPr>
        <w:pStyle w:val="NoSpacing"/>
        <w:ind w:left="720"/>
        <w:rPr>
          <w:rFonts w:ascii="Times New Roman" w:hAnsi="Times New Roman"/>
          <w:sz w:val="24"/>
          <w:szCs w:val="24"/>
        </w:rPr>
      </w:pPr>
    </w:p>
    <w:p w14:paraId="320BAFE0"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Drawing all reasonable inferences in favor of Gumbs as the nonmoving party, a trier of fact could find that the incidents reported were not discrete and unrelated but were part of an ongoing discriminatory pattern or practice of sexual based harassment. Although several years lapsed between the alleged conduct, Andre Smith was the same superior to whom Gumbs reported her harassment claims to in both 2009 and 2013. Furthermore, Chief Smith acknowledged that at the time of Gumbs' initial complaint, female fire fighters were relatively new to VIFS. In addition, the agency had not dealt with sexual harassment complaints before </w:t>
      </w:r>
      <w:proofErr w:type="gramStart"/>
      <w:r w:rsidRPr="00EA6854">
        <w:rPr>
          <w:rFonts w:ascii="Times New Roman" w:hAnsi="Times New Roman"/>
          <w:sz w:val="24"/>
          <w:szCs w:val="24"/>
        </w:rPr>
        <w:t>Gumbs</w:t>
      </w:r>
      <w:proofErr w:type="gramEnd"/>
      <w:r w:rsidRPr="00EA6854">
        <w:rPr>
          <w:rFonts w:ascii="Times New Roman" w:hAnsi="Times New Roman"/>
          <w:sz w:val="24"/>
          <w:szCs w:val="24"/>
        </w:rPr>
        <w:t xml:space="preserve"> and the record demonstrates a lack of consistency in the protocol followed in response to each of her complaints.”</w:t>
      </w:r>
    </w:p>
    <w:p w14:paraId="0566E69E" w14:textId="77777777" w:rsidR="00EA6854" w:rsidRPr="00EA6854" w:rsidRDefault="00EA6854" w:rsidP="00EA6854">
      <w:pPr>
        <w:pStyle w:val="NoSpacing"/>
        <w:ind w:left="720"/>
        <w:rPr>
          <w:rFonts w:ascii="Times New Roman" w:hAnsi="Times New Roman"/>
          <w:sz w:val="24"/>
          <w:szCs w:val="24"/>
        </w:rPr>
      </w:pPr>
    </w:p>
    <w:p w14:paraId="57A9DE64"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FACTS:</w:t>
      </w:r>
    </w:p>
    <w:p w14:paraId="2AC57580" w14:textId="77777777" w:rsidR="00EA6854" w:rsidRPr="00EA6854" w:rsidRDefault="00EA6854" w:rsidP="00EA6854">
      <w:pPr>
        <w:pStyle w:val="NoSpacing"/>
        <w:rPr>
          <w:rFonts w:ascii="Times New Roman" w:hAnsi="Times New Roman"/>
          <w:sz w:val="24"/>
          <w:szCs w:val="24"/>
        </w:rPr>
      </w:pPr>
    </w:p>
    <w:p w14:paraId="74397ACD"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“Gumbs began working as a firefighter with the Virgin Islands Fire Service ("VIFS") in 2007 and alleges that she encountered sexual harassment and sexual assault at the hands of her employer. Gumbs was also a member of VIFS' associated union, the Association of Firefighters Local </w:t>
      </w:r>
      <w:proofErr w:type="gramStart"/>
      <w:r w:rsidRPr="00EA6854">
        <w:rPr>
          <w:rFonts w:ascii="Times New Roman" w:hAnsi="Times New Roman"/>
          <w:sz w:val="24"/>
          <w:szCs w:val="24"/>
        </w:rPr>
        <w:t>2125 (‘</w:t>
      </w:r>
      <w:proofErr w:type="gramEnd"/>
      <w:r w:rsidRPr="00EA6854">
        <w:rPr>
          <w:rFonts w:ascii="Times New Roman" w:hAnsi="Times New Roman"/>
          <w:sz w:val="24"/>
          <w:szCs w:val="24"/>
        </w:rPr>
        <w:t>the Union’).</w:t>
      </w:r>
    </w:p>
    <w:p w14:paraId="5C28F95D" w14:textId="77777777" w:rsidR="00EA6854" w:rsidRPr="00EA6854" w:rsidRDefault="00EA6854" w:rsidP="00EA6854">
      <w:pPr>
        <w:pStyle w:val="NoSpacing"/>
        <w:ind w:left="720"/>
        <w:rPr>
          <w:rFonts w:ascii="Times New Roman" w:hAnsi="Times New Roman"/>
          <w:sz w:val="24"/>
          <w:szCs w:val="24"/>
        </w:rPr>
      </w:pPr>
    </w:p>
    <w:p w14:paraId="2AF35E65"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55791AF6"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First, in 2009, Gumbs alleges she was groped by her supervisor [Captain] that she asked to be moved to St. John as a result, and that it took a full month before action was taken on her behalf.</w:t>
      </w:r>
    </w:p>
    <w:p w14:paraId="220C3A24" w14:textId="77777777" w:rsidR="00EA6854" w:rsidRPr="00EA6854" w:rsidRDefault="00EA6854" w:rsidP="00EA6854">
      <w:pPr>
        <w:pStyle w:val="NoSpacing"/>
        <w:ind w:left="720"/>
        <w:rPr>
          <w:rFonts w:ascii="Times New Roman" w:hAnsi="Times New Roman"/>
          <w:sz w:val="24"/>
          <w:szCs w:val="24"/>
        </w:rPr>
      </w:pPr>
    </w:p>
    <w:p w14:paraId="4A1F4AB3"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2D8183C7"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Looking next to the 2013 complaint, all parties agree that Gumbs reported that Sargeant </w:t>
      </w:r>
      <w:proofErr w:type="spellStart"/>
      <w:r w:rsidRPr="00EA6854">
        <w:rPr>
          <w:rFonts w:ascii="Times New Roman" w:hAnsi="Times New Roman"/>
          <w:sz w:val="24"/>
          <w:szCs w:val="24"/>
        </w:rPr>
        <w:t>Chazmal</w:t>
      </w:r>
      <w:proofErr w:type="spellEnd"/>
      <w:r w:rsidRPr="00EA6854">
        <w:rPr>
          <w:rFonts w:ascii="Times New Roman" w:hAnsi="Times New Roman"/>
          <w:sz w:val="24"/>
          <w:szCs w:val="24"/>
        </w:rPr>
        <w:t xml:space="preserve"> Miller - a fellow firefighter who later became Gumbs' supervisor -showed her sex acts on his phone.”</w:t>
      </w:r>
    </w:p>
    <w:p w14:paraId="5CA93F76" w14:textId="77777777" w:rsidR="00EA6854" w:rsidRPr="00EA6854" w:rsidRDefault="00EA6854" w:rsidP="00EA6854">
      <w:pPr>
        <w:pStyle w:val="NoSpacing"/>
        <w:ind w:left="720"/>
        <w:rPr>
          <w:rFonts w:ascii="Times New Roman" w:hAnsi="Times New Roman"/>
          <w:sz w:val="24"/>
          <w:szCs w:val="24"/>
        </w:rPr>
      </w:pPr>
    </w:p>
    <w:p w14:paraId="63F4675C" w14:textId="77777777" w:rsidR="00EA6854" w:rsidRPr="00EA6854" w:rsidRDefault="00EA6854" w:rsidP="00EA6854">
      <w:pPr>
        <w:pStyle w:val="NoSpacing"/>
        <w:rPr>
          <w:rFonts w:ascii="Times New Roman" w:hAnsi="Times New Roman"/>
          <w:b/>
          <w:bCs/>
          <w:sz w:val="24"/>
          <w:szCs w:val="24"/>
        </w:rPr>
      </w:pPr>
      <w:r w:rsidRPr="00EA6854">
        <w:rPr>
          <w:rFonts w:ascii="Times New Roman" w:hAnsi="Times New Roman"/>
          <w:b/>
          <w:bCs/>
          <w:sz w:val="24"/>
          <w:szCs w:val="24"/>
        </w:rPr>
        <w:t>Legal Lesson Learned: Thoroughly investigate and document correct actions taken for each complaint received, including when complainant does not wish to further proceed.</w:t>
      </w:r>
    </w:p>
    <w:p w14:paraId="322E17EE" w14:textId="77777777" w:rsidR="00EA6854" w:rsidRDefault="00EA6854" w:rsidP="00EA6854">
      <w:pPr>
        <w:pStyle w:val="NoSpacing"/>
        <w:ind w:left="720"/>
        <w:rPr>
          <w:szCs w:val="24"/>
        </w:rPr>
      </w:pPr>
    </w:p>
    <w:p w14:paraId="2D58C155" w14:textId="77777777" w:rsidR="00EA6854" w:rsidRDefault="00EA6854" w:rsidP="00EA6854">
      <w:pPr>
        <w:jc w:val="center"/>
        <w:rPr>
          <w:b/>
          <w:bCs/>
          <w:szCs w:val="24"/>
        </w:rPr>
      </w:pPr>
    </w:p>
    <w:p w14:paraId="52C37CF5" w14:textId="77777777" w:rsidR="00EA6854" w:rsidRDefault="00EA6854" w:rsidP="00F326E5">
      <w:pPr>
        <w:pStyle w:val="NoSpacing"/>
        <w:rPr>
          <w:rFonts w:ascii="Arial Black" w:hAnsi="Arial Black"/>
          <w:b/>
          <w:bCs/>
          <w:sz w:val="24"/>
          <w:szCs w:val="24"/>
        </w:rPr>
      </w:pPr>
    </w:p>
    <w:p w14:paraId="02683A45" w14:textId="77777777" w:rsidR="00DD6FAF" w:rsidRDefault="00DD6FAF" w:rsidP="00F326E5">
      <w:pPr>
        <w:pStyle w:val="NoSpacing"/>
        <w:rPr>
          <w:rFonts w:ascii="Arial Black" w:hAnsi="Arial Black"/>
          <w:b/>
          <w:bCs/>
          <w:sz w:val="24"/>
          <w:szCs w:val="24"/>
        </w:rPr>
      </w:pPr>
    </w:p>
    <w:p w14:paraId="796A8043" w14:textId="77777777" w:rsidR="00DD6FAF" w:rsidRDefault="00DD6FAF" w:rsidP="00F326E5">
      <w:pPr>
        <w:pStyle w:val="NoSpacing"/>
        <w:rPr>
          <w:rFonts w:ascii="Arial Black" w:hAnsi="Arial Black"/>
          <w:b/>
          <w:bCs/>
          <w:sz w:val="24"/>
          <w:szCs w:val="24"/>
        </w:rPr>
      </w:pPr>
    </w:p>
    <w:p w14:paraId="21F311E1" w14:textId="7390145F" w:rsidR="005D56E5" w:rsidRDefault="005D56E5" w:rsidP="00F326E5">
      <w:pPr>
        <w:pStyle w:val="NoSpacing"/>
        <w:rPr>
          <w:rFonts w:ascii="Arial Black" w:hAnsi="Arial Black"/>
          <w:b/>
          <w:bCs/>
          <w:sz w:val="24"/>
          <w:szCs w:val="24"/>
        </w:rPr>
      </w:pPr>
      <w:r>
        <w:rPr>
          <w:rFonts w:ascii="Arial Black" w:hAnsi="Arial Black"/>
          <w:b/>
          <w:bCs/>
          <w:sz w:val="24"/>
          <w:szCs w:val="24"/>
        </w:rPr>
        <w:t>7-64</w:t>
      </w:r>
    </w:p>
    <w:p w14:paraId="3E499C97" w14:textId="77777777" w:rsidR="005D56E5" w:rsidRDefault="005D56E5" w:rsidP="00F326E5">
      <w:pPr>
        <w:pStyle w:val="NoSpacing"/>
        <w:rPr>
          <w:rFonts w:ascii="Arial Black" w:hAnsi="Arial Black"/>
          <w:b/>
          <w:bCs/>
          <w:sz w:val="24"/>
          <w:szCs w:val="24"/>
        </w:rPr>
      </w:pPr>
    </w:p>
    <w:p w14:paraId="6DCAEB3F" w14:textId="77777777" w:rsidR="00257D9A" w:rsidRDefault="00257D9A" w:rsidP="00257D9A">
      <w:pPr>
        <w:pStyle w:val="NormalWeb"/>
        <w:spacing w:before="0" w:beforeAutospacing="0"/>
      </w:pPr>
      <w:r>
        <w:rPr>
          <w:rFonts w:ascii="Arial Black" w:hAnsi="Arial Black"/>
          <w:sz w:val="28"/>
          <w:szCs w:val="28"/>
        </w:rPr>
        <w:t>NB: FEMALE FF FIRED – INVEST. CAPT.  WAREHOUSE FIRE – WON ARBITRATION - CITY SETTLES $650K / ATTY FEES</w:t>
      </w:r>
    </w:p>
    <w:p w14:paraId="1CAFC6BA" w14:textId="77777777" w:rsidR="00257D9A" w:rsidRDefault="00257D9A" w:rsidP="00257D9A">
      <w:pPr>
        <w:rPr>
          <w:rFonts w:ascii="Times New Roman" w:hAnsi="Times New Roman"/>
          <w:sz w:val="24"/>
          <w:szCs w:val="24"/>
        </w:rPr>
      </w:pPr>
      <w:r w:rsidRPr="00A73A7C">
        <w:rPr>
          <w:rFonts w:ascii="Times New Roman" w:hAnsi="Times New Roman"/>
          <w:sz w:val="24"/>
          <w:szCs w:val="24"/>
        </w:rPr>
        <w:t xml:space="preserve">On May 13, 2024, in </w:t>
      </w:r>
      <w:r w:rsidRPr="00A73A7C">
        <w:rPr>
          <w:rFonts w:ascii="Times New Roman" w:hAnsi="Times New Roman"/>
          <w:sz w:val="24"/>
          <w:szCs w:val="24"/>
          <w:u w:val="single"/>
        </w:rPr>
        <w:t>Amanda Benson v. City of Lincoln, et al</w:t>
      </w:r>
      <w:r w:rsidRPr="00A73A7C">
        <w:rPr>
          <w:rFonts w:ascii="Times New Roman" w:hAnsi="Times New Roman"/>
          <w:sz w:val="24"/>
          <w:szCs w:val="24"/>
        </w:rPr>
        <w:t>., United States District Court Judge Brian C. Buescher</w:t>
      </w:r>
      <w:r>
        <w:rPr>
          <w:rFonts w:ascii="Times New Roman" w:hAnsi="Times New Roman"/>
          <w:sz w:val="24"/>
          <w:szCs w:val="24"/>
        </w:rPr>
        <w:t xml:space="preserve"> greatly reduced attorney fees to be award to the plaintiff’s attorneys for “over litigation” of the case [claim. $1,666,600, but court awarded only $638,156].   The judge first described how litigation arose.</w:t>
      </w:r>
    </w:p>
    <w:p w14:paraId="1E678458" w14:textId="77777777" w:rsidR="00257D9A" w:rsidRDefault="00257D9A" w:rsidP="00257D9A">
      <w:pPr>
        <w:pStyle w:val="NormalWeb"/>
        <w:ind w:left="720"/>
      </w:pPr>
      <w:r>
        <w:t xml:space="preserve">“Matters between Benson and Mahler came to a head on April 26, 2021, when LFR was called to a cardboard fire within a warehouse. </w:t>
      </w:r>
      <w:r>
        <w:rPr>
          <w:rStyle w:val="Emphasis"/>
          <w:rFonts w:eastAsiaTheme="majorEastAsia"/>
        </w:rPr>
        <w:t>Filing 378 at 43</w:t>
      </w:r>
      <w:r>
        <w:t xml:space="preserve"> (¶ 224). Benson and T1 arrived at the scene before Mahler and T8. </w:t>
      </w:r>
      <w:r>
        <w:rPr>
          <w:rStyle w:val="Emphasis"/>
          <w:rFonts w:eastAsiaTheme="majorEastAsia"/>
        </w:rPr>
        <w:t>Filing 378 at 44</w:t>
      </w:r>
      <w:r>
        <w:t xml:space="preserve"> (¶ 233). Mahler and his crew were called to the warehouse fire mid-morning. </w:t>
      </w:r>
      <w:proofErr w:type="gramStart"/>
      <w:r>
        <w:rPr>
          <w:rStyle w:val="Emphasis"/>
          <w:rFonts w:eastAsiaTheme="majorEastAsia"/>
        </w:rPr>
        <w:t>Filing</w:t>
      </w:r>
      <w:proofErr w:type="gramEnd"/>
      <w:r>
        <w:rPr>
          <w:rStyle w:val="Emphasis"/>
          <w:rFonts w:eastAsiaTheme="majorEastAsia"/>
        </w:rPr>
        <w:t xml:space="preserve"> 378 at 44</w:t>
      </w:r>
      <w:r>
        <w:t xml:space="preserve"> (¶ 230). The parties disputed several circumstances about that fire and the interaction between Benson and Mahler during that fire. When Benson spoke to and submitted a complaint to her superiors at LFR on May 5, 2021, Benson alleged Mahler had abandoned her during the fire, and that she and her crew could have been killed or injured. </w:t>
      </w:r>
      <w:r>
        <w:rPr>
          <w:rStyle w:val="Emphasis"/>
          <w:rFonts w:eastAsiaTheme="majorEastAsia"/>
        </w:rPr>
        <w:t>Filing 397 at 59</w:t>
      </w:r>
      <w:r>
        <w:t xml:space="preserve"> (¶ 290) (admitting this much of ¶ 290). The LFR </w:t>
      </w:r>
      <w:proofErr w:type="gramStart"/>
      <w:r>
        <w:t>conducted an investigation</w:t>
      </w:r>
      <w:proofErr w:type="gramEnd"/>
      <w:r>
        <w:t xml:space="preserve"> that found no rules violations, although Benson disputed its adequacy. </w:t>
      </w:r>
      <w:proofErr w:type="gramStart"/>
      <w:r>
        <w:rPr>
          <w:rStyle w:val="Emphasis"/>
          <w:rFonts w:eastAsiaTheme="majorEastAsia"/>
        </w:rPr>
        <w:t>Filing</w:t>
      </w:r>
      <w:proofErr w:type="gramEnd"/>
      <w:r>
        <w:rPr>
          <w:rStyle w:val="Emphasis"/>
          <w:rFonts w:eastAsiaTheme="majorEastAsia"/>
        </w:rPr>
        <w:t xml:space="preserve"> 397 at</w:t>
      </w:r>
      <w:r>
        <w:t xml:space="preserve"> </w:t>
      </w:r>
      <w:r>
        <w:rPr>
          <w:rStyle w:val="Emphasis"/>
          <w:rFonts w:eastAsiaTheme="majorEastAsia"/>
        </w:rPr>
        <w:t>60</w:t>
      </w:r>
      <w:r>
        <w:t xml:space="preserve"> (¶ 292). </w:t>
      </w:r>
    </w:p>
    <w:p w14:paraId="044CF558" w14:textId="77777777" w:rsidR="00257D9A" w:rsidRDefault="00257D9A" w:rsidP="00257D9A">
      <w:pPr>
        <w:pStyle w:val="NormalWeb"/>
        <w:ind w:left="720"/>
      </w:pPr>
      <w:r>
        <w:t>***</w:t>
      </w:r>
    </w:p>
    <w:p w14:paraId="176CEE7D" w14:textId="77777777" w:rsidR="00257D9A" w:rsidRDefault="00257D9A" w:rsidP="00257D9A">
      <w:pPr>
        <w:pStyle w:val="NormalWeb"/>
        <w:ind w:left="720"/>
      </w:pPr>
      <w:r>
        <w:t xml:space="preserve">After pre-disciplinary investigations and proceedings, Benson was terminated effective November 2, 2021. </w:t>
      </w:r>
      <w:r>
        <w:rPr>
          <w:rStyle w:val="Emphasis"/>
          <w:rFonts w:eastAsiaTheme="majorEastAsia"/>
        </w:rPr>
        <w:t>Filing 394 at 1</w:t>
      </w:r>
      <w:r>
        <w:t xml:space="preserve"> (¶ 1); </w:t>
      </w:r>
      <w:r>
        <w:rPr>
          <w:rStyle w:val="Emphasis"/>
          <w:rFonts w:eastAsiaTheme="majorEastAsia"/>
        </w:rPr>
        <w:t>see also</w:t>
      </w:r>
      <w:r>
        <w:t xml:space="preserve"> </w:t>
      </w:r>
      <w:r>
        <w:rPr>
          <w:rStyle w:val="Emphasis"/>
          <w:rFonts w:eastAsiaTheme="majorEastAsia"/>
        </w:rPr>
        <w:t>Filing 380</w:t>
      </w:r>
      <w:r>
        <w:t xml:space="preserve">-83 at 4 (dismissal letter). Fire Chief David Engler, who is not a party to this litigation, determined that Benson had made false allegations against Mahler and that her actions were ‘a direct hindrance to the effective performance of LFR's functions and reflect[ed] undue discredit upon the department,’ establishing ‘good cause’ for dismissal. </w:t>
      </w:r>
      <w:r>
        <w:rPr>
          <w:rStyle w:val="Emphasis"/>
          <w:rFonts w:eastAsiaTheme="majorEastAsia"/>
        </w:rPr>
        <w:t>Filing 380 at 3</w:t>
      </w:r>
      <w:r>
        <w:t xml:space="preserve"> (dismissal letter). </w:t>
      </w:r>
    </w:p>
    <w:p w14:paraId="4905E9C2" w14:textId="77777777" w:rsidR="00257D9A" w:rsidRDefault="00257D9A" w:rsidP="00257D9A">
      <w:pPr>
        <w:pStyle w:val="NormalWeb"/>
        <w:ind w:left="720"/>
      </w:pPr>
      <w:r>
        <w:t>***</w:t>
      </w:r>
    </w:p>
    <w:p w14:paraId="02E581BC" w14:textId="77777777" w:rsidR="00257D9A" w:rsidRDefault="00257D9A" w:rsidP="00257D9A">
      <w:pPr>
        <w:pStyle w:val="NormalWeb"/>
        <w:ind w:left="720"/>
      </w:pPr>
      <w:r>
        <w:t xml:space="preserve">Plaintiff's Motion for Approval of Application for Attorney Fees, Expenses, and Costs, </w:t>
      </w:r>
      <w:proofErr w:type="gramStart"/>
      <w:r>
        <w:rPr>
          <w:rStyle w:val="Emphasis"/>
          <w:rFonts w:eastAsiaTheme="majorEastAsia"/>
        </w:rPr>
        <w:t>Filing</w:t>
      </w:r>
      <w:proofErr w:type="gramEnd"/>
      <w:r>
        <w:rPr>
          <w:rStyle w:val="Emphasis"/>
          <w:rFonts w:eastAsiaTheme="majorEastAsia"/>
        </w:rPr>
        <w:t xml:space="preserve"> 502,</w:t>
      </w:r>
      <w:r>
        <w:t xml:space="preserve"> and Plaintiff's Supplemental Motion for Approval of Supplemental Application for Attorney Fees, Expenses, and Costs, </w:t>
      </w:r>
      <w:proofErr w:type="gramStart"/>
      <w:r>
        <w:rPr>
          <w:rStyle w:val="Emphasis"/>
          <w:rFonts w:eastAsiaTheme="majorEastAsia"/>
        </w:rPr>
        <w:t>Filing</w:t>
      </w:r>
      <w:proofErr w:type="gramEnd"/>
      <w:r>
        <w:rPr>
          <w:rStyle w:val="Emphasis"/>
          <w:rFonts w:eastAsiaTheme="majorEastAsia"/>
        </w:rPr>
        <w:t xml:space="preserve"> 513,</w:t>
      </w:r>
      <w:r>
        <w:t xml:space="preserve"> are granted in part and denied in part as follows: </w:t>
      </w:r>
    </w:p>
    <w:p w14:paraId="39AEBD00" w14:textId="77777777" w:rsidR="00257D9A" w:rsidRPr="00F81F98" w:rsidRDefault="00257D9A" w:rsidP="00257D9A">
      <w:pPr>
        <w:ind w:left="720" w:firstLine="720"/>
        <w:rPr>
          <w:rFonts w:ascii="Times New Roman" w:hAnsi="Times New Roman"/>
          <w:sz w:val="24"/>
          <w:szCs w:val="24"/>
        </w:rPr>
      </w:pPr>
      <w:r w:rsidRPr="00F81F98">
        <w:rPr>
          <w:rFonts w:ascii="Times New Roman" w:hAnsi="Times New Roman"/>
          <w:sz w:val="24"/>
          <w:szCs w:val="24"/>
        </w:rPr>
        <w:t xml:space="preserve">a. Plaintiff is awarded $638,156.07 in attorney fees; and </w:t>
      </w:r>
    </w:p>
    <w:p w14:paraId="7F956936" w14:textId="77777777" w:rsidR="00257D9A" w:rsidRPr="00F81F98" w:rsidRDefault="00257D9A" w:rsidP="00257D9A">
      <w:pPr>
        <w:ind w:left="720" w:firstLine="720"/>
        <w:rPr>
          <w:rFonts w:ascii="Times New Roman" w:hAnsi="Times New Roman"/>
          <w:sz w:val="24"/>
          <w:szCs w:val="24"/>
        </w:rPr>
      </w:pPr>
      <w:r w:rsidRPr="00F81F98">
        <w:rPr>
          <w:rFonts w:ascii="Times New Roman" w:hAnsi="Times New Roman"/>
          <w:sz w:val="24"/>
          <w:szCs w:val="24"/>
        </w:rPr>
        <w:t xml:space="preserve">b. Plaintiff is awarded $88,719.97 in expenses and costs. </w:t>
      </w:r>
    </w:p>
    <w:p w14:paraId="6A983F8D" w14:textId="21F24703" w:rsidR="00257D9A" w:rsidRDefault="00257D9A" w:rsidP="00257D9A">
      <w:pPr>
        <w:pStyle w:val="NoSpacing"/>
        <w:rPr>
          <w:rStyle w:val="Hyperlink"/>
          <w:rFonts w:ascii="Times New Roman" w:hAnsi="Times New Roman"/>
          <w:sz w:val="24"/>
          <w:szCs w:val="24"/>
        </w:rPr>
      </w:pPr>
      <w:hyperlink r:id="rId1406" w:history="1">
        <w:r w:rsidRPr="008C767B">
          <w:rPr>
            <w:rStyle w:val="Hyperlink"/>
            <w:rFonts w:ascii="Times New Roman" w:hAnsi="Times New Roman"/>
            <w:sz w:val="24"/>
            <w:szCs w:val="24"/>
          </w:rPr>
          <w:t>https://public.fastcase.com/H1P9uiW3J20SFp%2BGCG%2BxLdAy%2Fo69TrR1K6MVQcVakXAVjkfoheCj%2FALYO7mhCcaM?utm_medium=email&amp;_hsenc=p2ANqtz-_QVKpYjRM7B2Q5-sqKd1q9ccEl8nSIxeJoGOvaUfjL9Y5LBcGC98GOiGM8SvSGdTXKNaMFLIGTEL-_cGBVPHnVUR_G4Q&amp;_hsmi=226712652&amp;utm_content=226712652&amp;utm_source=hs_email</w:t>
        </w:r>
      </w:hyperlink>
    </w:p>
    <w:p w14:paraId="275B6416" w14:textId="77777777" w:rsidR="00DD0039" w:rsidRPr="00F81F98" w:rsidRDefault="00DD0039" w:rsidP="00DD0039">
      <w:pPr>
        <w:rPr>
          <w:rFonts w:ascii="Times New Roman" w:hAnsi="Times New Roman"/>
          <w:b/>
          <w:bCs/>
          <w:sz w:val="24"/>
          <w:szCs w:val="24"/>
        </w:rPr>
      </w:pPr>
      <w:r w:rsidRPr="00F81F98">
        <w:rPr>
          <w:rFonts w:ascii="Times New Roman" w:hAnsi="Times New Roman"/>
          <w:b/>
          <w:bCs/>
          <w:sz w:val="24"/>
          <w:szCs w:val="24"/>
        </w:rPr>
        <w:t xml:space="preserve">Legal Lesson Learned: </w:t>
      </w:r>
      <w:r>
        <w:rPr>
          <w:rFonts w:ascii="Times New Roman" w:hAnsi="Times New Roman"/>
          <w:b/>
          <w:bCs/>
          <w:sz w:val="24"/>
          <w:szCs w:val="24"/>
        </w:rPr>
        <w:t xml:space="preserve">Case wisely settled; along with another case by female FF – see below.   </w:t>
      </w:r>
    </w:p>
    <w:p w14:paraId="781B5C9B" w14:textId="77777777" w:rsidR="00DD0039" w:rsidRPr="00C4461F" w:rsidRDefault="00DD0039" w:rsidP="00DD0039">
      <w:pPr>
        <w:ind w:left="720"/>
        <w:rPr>
          <w:rFonts w:ascii="Times New Roman" w:hAnsi="Times New Roman"/>
          <w:sz w:val="24"/>
          <w:szCs w:val="24"/>
        </w:rPr>
      </w:pPr>
      <w:r>
        <w:rPr>
          <w:rFonts w:ascii="Times New Roman" w:hAnsi="Times New Roman"/>
          <w:sz w:val="24"/>
          <w:szCs w:val="24"/>
        </w:rPr>
        <w:t xml:space="preserve">Note:  Feb. 5, </w:t>
      </w:r>
      <w:proofErr w:type="gramStart"/>
      <w:r>
        <w:rPr>
          <w:rFonts w:ascii="Times New Roman" w:hAnsi="Times New Roman"/>
          <w:sz w:val="24"/>
          <w:szCs w:val="24"/>
        </w:rPr>
        <w:t>2024</w:t>
      </w:r>
      <w:proofErr w:type="gramEnd"/>
      <w:r>
        <w:rPr>
          <w:rFonts w:ascii="Times New Roman" w:hAnsi="Times New Roman"/>
          <w:sz w:val="24"/>
          <w:szCs w:val="24"/>
        </w:rPr>
        <w:t xml:space="preserve"> article. “</w:t>
      </w:r>
      <w:r w:rsidRPr="00C4461F">
        <w:rPr>
          <w:rFonts w:ascii="Times New Roman" w:hAnsi="Times New Roman"/>
          <w:sz w:val="24"/>
          <w:szCs w:val="24"/>
        </w:rPr>
        <w:t>City of Lincoln settles LFR sexual discrimination lawsuits for $900,000</w:t>
      </w:r>
      <w:r>
        <w:rPr>
          <w:rFonts w:ascii="Times New Roman" w:hAnsi="Times New Roman"/>
          <w:sz w:val="24"/>
          <w:szCs w:val="24"/>
        </w:rPr>
        <w:t xml:space="preserve">.” </w:t>
      </w:r>
      <w:hyperlink r:id="rId1407" w:history="1">
        <w:r w:rsidRPr="008C767B">
          <w:rPr>
            <w:rStyle w:val="Hyperlink"/>
            <w:rFonts w:ascii="Times New Roman" w:hAnsi="Times New Roman"/>
            <w:sz w:val="24"/>
            <w:szCs w:val="24"/>
          </w:rPr>
          <w:t>https://www.1011now.com/2024/02/05/city-lincoln-settles-lfr-sexual-discrimination-lawsuits-900000/</w:t>
        </w:r>
      </w:hyperlink>
      <w:r>
        <w:rPr>
          <w:rFonts w:ascii="Times New Roman" w:hAnsi="Times New Roman"/>
          <w:sz w:val="24"/>
          <w:szCs w:val="24"/>
        </w:rPr>
        <w:t xml:space="preserve"> </w:t>
      </w:r>
    </w:p>
    <w:p w14:paraId="4CBCA47D" w14:textId="77777777" w:rsidR="00DD0039" w:rsidRDefault="00DD0039" w:rsidP="00DD0039">
      <w:pPr>
        <w:pStyle w:val="text"/>
        <w:ind w:left="1440"/>
      </w:pPr>
      <w:r>
        <w:t>“The city of Lincoln has settled two lawsuits which alleged sexual discrimination against two former firefighters. City officials released settlement agreements for Jessie Lundvall and Amanda Benson, both of whom had been fired following their lawsuits. Lundvall and Benson will be paid $250,000 and $650,000, respectively. The agreements also ensure city officials and the former firefighters won’t defame one another. In the settlement, the city denied any wrongdoing. Notably, Benson’s agreement allows her to continue pursuing a separate claim against the city as well as her disability pension. Lundvall’s agreement also acknowledges her good standing within Lincoln Fire and Rescue. Benson’s agreement, however, prevents her ability to be reemployed by the city at any time.”</w:t>
      </w:r>
    </w:p>
    <w:p w14:paraId="69D83AF9" w14:textId="77777777" w:rsidR="00DD0039" w:rsidRDefault="00DD0039" w:rsidP="00257D9A">
      <w:pPr>
        <w:pStyle w:val="NoSpacing"/>
        <w:rPr>
          <w:rFonts w:ascii="Arial Black" w:hAnsi="Arial Black"/>
          <w:b/>
          <w:bCs/>
          <w:sz w:val="24"/>
          <w:szCs w:val="24"/>
        </w:rPr>
      </w:pPr>
    </w:p>
    <w:p w14:paraId="2BC5CA4C" w14:textId="77777777" w:rsidR="005D56E5" w:rsidRDefault="005D56E5" w:rsidP="00F326E5">
      <w:pPr>
        <w:pStyle w:val="NoSpacing"/>
        <w:rPr>
          <w:rFonts w:ascii="Arial Black" w:hAnsi="Arial Black"/>
          <w:b/>
          <w:bCs/>
          <w:sz w:val="24"/>
          <w:szCs w:val="24"/>
        </w:rPr>
      </w:pPr>
    </w:p>
    <w:p w14:paraId="24204AB4" w14:textId="77777777" w:rsidR="005D56E5" w:rsidRDefault="005D56E5" w:rsidP="00F326E5">
      <w:pPr>
        <w:pStyle w:val="NoSpacing"/>
        <w:rPr>
          <w:rFonts w:ascii="Arial Black" w:hAnsi="Arial Black"/>
          <w:b/>
          <w:bCs/>
          <w:sz w:val="24"/>
          <w:szCs w:val="24"/>
        </w:rPr>
      </w:pPr>
    </w:p>
    <w:p w14:paraId="4AAD97AF" w14:textId="77777777" w:rsidR="005D56E5" w:rsidRDefault="005D56E5" w:rsidP="00F326E5">
      <w:pPr>
        <w:pStyle w:val="NoSpacing"/>
        <w:rPr>
          <w:rFonts w:ascii="Arial Black" w:hAnsi="Arial Black"/>
          <w:b/>
          <w:bCs/>
          <w:sz w:val="24"/>
          <w:szCs w:val="24"/>
        </w:rPr>
      </w:pPr>
    </w:p>
    <w:p w14:paraId="6741A460" w14:textId="05DEAD5E" w:rsidR="00B52921" w:rsidRDefault="009C6DC9" w:rsidP="00F326E5">
      <w:pPr>
        <w:pStyle w:val="NoSpacing"/>
        <w:rPr>
          <w:rFonts w:ascii="Arial Black" w:hAnsi="Arial Black"/>
          <w:b/>
          <w:bCs/>
          <w:sz w:val="24"/>
          <w:szCs w:val="24"/>
        </w:rPr>
      </w:pPr>
      <w:r>
        <w:rPr>
          <w:rFonts w:ascii="Arial Black" w:hAnsi="Arial Black"/>
          <w:b/>
          <w:bCs/>
          <w:sz w:val="24"/>
          <w:szCs w:val="24"/>
        </w:rPr>
        <w:t>7-63</w:t>
      </w:r>
    </w:p>
    <w:p w14:paraId="5CF10875" w14:textId="77777777" w:rsidR="009C6DC9" w:rsidRDefault="009C6DC9" w:rsidP="00F326E5">
      <w:pPr>
        <w:pStyle w:val="NoSpacing"/>
        <w:rPr>
          <w:rFonts w:ascii="Arial Black" w:hAnsi="Arial Black"/>
          <w:b/>
          <w:bCs/>
          <w:sz w:val="24"/>
          <w:szCs w:val="24"/>
        </w:rPr>
      </w:pPr>
    </w:p>
    <w:p w14:paraId="572EC960" w14:textId="77777777" w:rsidR="0038653D" w:rsidRDefault="0038653D" w:rsidP="0038653D">
      <w:pPr>
        <w:pStyle w:val="NoSpacing"/>
        <w:rPr>
          <w:rFonts w:ascii="Arial Black" w:hAnsi="Arial Black"/>
          <w:sz w:val="28"/>
          <w:szCs w:val="28"/>
          <w:shd w:val="clear" w:color="auto" w:fill="FFFFFF"/>
        </w:rPr>
      </w:pPr>
      <w:r>
        <w:rPr>
          <w:rFonts w:ascii="Arial Black" w:hAnsi="Arial Black"/>
          <w:sz w:val="28"/>
          <w:szCs w:val="28"/>
          <w:shd w:val="clear" w:color="auto" w:fill="FFFFFF"/>
        </w:rPr>
        <w:t>U.S. SUP. CT: FEMALE POLICE OFFICER - JOB TRANSFER WITH NO LOSS OF PAY – LAWSUIT PROCEED “SOME HARM”</w:t>
      </w:r>
    </w:p>
    <w:p w14:paraId="38F059B1" w14:textId="77777777" w:rsidR="0038653D" w:rsidRDefault="0038653D" w:rsidP="0038653D">
      <w:pPr>
        <w:pStyle w:val="NoSpacing"/>
        <w:rPr>
          <w:rFonts w:ascii="Arial Black" w:hAnsi="Arial Black"/>
          <w:sz w:val="28"/>
          <w:szCs w:val="28"/>
          <w:shd w:val="clear" w:color="auto" w:fill="FFFFFF"/>
        </w:rPr>
      </w:pPr>
    </w:p>
    <w:p w14:paraId="77ADB1C4" w14:textId="77777777" w:rsidR="0038653D" w:rsidRDefault="0038653D" w:rsidP="0038653D">
      <w:pPr>
        <w:pStyle w:val="NoSpacing"/>
        <w:rPr>
          <w:rFonts w:ascii="Times New Roman" w:hAnsi="Times New Roman"/>
          <w:sz w:val="24"/>
          <w:szCs w:val="24"/>
        </w:rPr>
      </w:pPr>
      <w:r>
        <w:rPr>
          <w:rFonts w:ascii="Times New Roman" w:hAnsi="Times New Roman"/>
          <w:sz w:val="24"/>
          <w:szCs w:val="24"/>
          <w:shd w:val="clear" w:color="auto" w:fill="FFFFFF"/>
        </w:rPr>
        <w:t xml:space="preserve">On April 17, 2024, in </w:t>
      </w:r>
      <w:r w:rsidRPr="00512F10">
        <w:rPr>
          <w:rFonts w:ascii="Times New Roman" w:hAnsi="Times New Roman"/>
          <w:sz w:val="24"/>
          <w:szCs w:val="24"/>
          <w:u w:val="single"/>
          <w:shd w:val="clear" w:color="auto" w:fill="FFFFFF"/>
        </w:rPr>
        <w:t>Jatonya Clayborn Muldrow v. City of St. Louis, Missouri, et al</w:t>
      </w:r>
      <w:r>
        <w:rPr>
          <w:rFonts w:ascii="Times New Roman" w:hAnsi="Times New Roman"/>
          <w:sz w:val="24"/>
          <w:szCs w:val="24"/>
          <w:shd w:val="clear" w:color="auto" w:fill="FFFFFF"/>
        </w:rPr>
        <w:t>., the United States Supreme Court held (9 to 0) that Police Sergeant Muldrow’s lawsuit may proceed with pre-trial discovery; the case had been dismissed by a U.S. District Court judge, and the dismissal upheld by three-judge panel of U.S. Court of Appeals for 8</w:t>
      </w:r>
      <w:r w:rsidRPr="003A2084">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T</w:t>
      </w:r>
      <w:r w:rsidRPr="00AD5F6F">
        <w:rPr>
          <w:rFonts w:ascii="Times New Roman" w:hAnsi="Times New Roman"/>
          <w:sz w:val="24"/>
          <w:szCs w:val="24"/>
          <w:shd w:val="clear" w:color="auto" w:fill="FFFFFF"/>
        </w:rPr>
        <w:t xml:space="preserve">he </w:t>
      </w:r>
      <w:r>
        <w:rPr>
          <w:rFonts w:ascii="Times New Roman" w:hAnsi="Times New Roman"/>
          <w:sz w:val="24"/>
          <w:szCs w:val="24"/>
          <w:shd w:val="clear" w:color="auto" w:fill="FFFFFF"/>
        </w:rPr>
        <w:t xml:space="preserve">U.S. Supreme </w:t>
      </w:r>
      <w:r w:rsidRPr="00AD5F6F">
        <w:rPr>
          <w:rFonts w:ascii="Times New Roman" w:hAnsi="Times New Roman"/>
          <w:sz w:val="24"/>
          <w:szCs w:val="24"/>
          <w:shd w:val="clear" w:color="auto" w:fill="FFFFFF"/>
        </w:rPr>
        <w:t xml:space="preserve">Court held (opinion by Justice </w:t>
      </w:r>
      <w:r w:rsidRPr="00AD5F6F">
        <w:rPr>
          <w:rFonts w:ascii="Times New Roman" w:hAnsi="Times New Roman"/>
          <w:sz w:val="24"/>
          <w:szCs w:val="24"/>
        </w:rPr>
        <w:t>Elena Kagan) held:</w:t>
      </w:r>
    </w:p>
    <w:p w14:paraId="5D899D91" w14:textId="77777777" w:rsidR="0038653D" w:rsidRDefault="0038653D" w:rsidP="0038653D">
      <w:pPr>
        <w:pStyle w:val="NoSpacing"/>
        <w:rPr>
          <w:rFonts w:ascii="Times New Roman" w:hAnsi="Times New Roman"/>
          <w:sz w:val="24"/>
          <w:szCs w:val="24"/>
        </w:rPr>
      </w:pPr>
    </w:p>
    <w:p w14:paraId="036EBD23" w14:textId="77777777" w:rsidR="0038653D" w:rsidRDefault="0038653D" w:rsidP="0038653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The courts below rejected the claim on the ground that the</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 xml:space="preserve">transfer did not cause Muldrow a </w:t>
      </w: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significant</w:t>
      </w: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 xml:space="preserve"> employment</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disadvantage. Other courts have used similar standards in</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addressing Title VII suits arising from job transfers.</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 xml:space="preserve">Today, we </w:t>
      </w:r>
      <w:proofErr w:type="gramStart"/>
      <w:r w:rsidRPr="001855A6">
        <w:rPr>
          <w:rFonts w:ascii="Times New Roman" w:hAnsi="Times New Roman"/>
          <w:sz w:val="24"/>
          <w:szCs w:val="24"/>
          <w:shd w:val="clear" w:color="auto" w:fill="FFFFFF"/>
        </w:rPr>
        <w:t>disapprove</w:t>
      </w:r>
      <w:proofErr w:type="gramEnd"/>
      <w:r w:rsidRPr="001855A6">
        <w:rPr>
          <w:rFonts w:ascii="Times New Roman" w:hAnsi="Times New Roman"/>
          <w:sz w:val="24"/>
          <w:szCs w:val="24"/>
          <w:shd w:val="clear" w:color="auto" w:fill="FFFFFF"/>
        </w:rPr>
        <w:t xml:space="preserve"> that approach. Although an employee must show some harm from a forced transfer to prevail in a Title VII suit, she need not show that the injury</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satisfies a significance test. Title VII’s text nowhere establishes that high bar.</w:t>
      </w:r>
      <w:r>
        <w:rPr>
          <w:rFonts w:ascii="Times New Roman" w:hAnsi="Times New Roman"/>
          <w:sz w:val="24"/>
          <w:szCs w:val="24"/>
          <w:shd w:val="clear" w:color="auto" w:fill="FFFFFF"/>
        </w:rPr>
        <w:t xml:space="preserve">”  </w:t>
      </w:r>
      <w:hyperlink r:id="rId1408" w:history="1">
        <w:r w:rsidRPr="0018507D">
          <w:rPr>
            <w:rStyle w:val="Hyperlink"/>
            <w:rFonts w:ascii="Times New Roman" w:hAnsi="Times New Roman"/>
            <w:sz w:val="24"/>
            <w:szCs w:val="24"/>
            <w:shd w:val="clear" w:color="auto" w:fill="FFFFFF"/>
          </w:rPr>
          <w:t>https://www.supremecourt.gov/opinions/23pdf/22-193_q86b.pdf</w:t>
        </w:r>
      </w:hyperlink>
      <w:r>
        <w:rPr>
          <w:rFonts w:ascii="Times New Roman" w:hAnsi="Times New Roman"/>
          <w:sz w:val="24"/>
          <w:szCs w:val="24"/>
          <w:shd w:val="clear" w:color="auto" w:fill="FFFFFF"/>
        </w:rPr>
        <w:t xml:space="preserve"> </w:t>
      </w:r>
    </w:p>
    <w:p w14:paraId="4A5AAC0D" w14:textId="77777777" w:rsidR="0038653D" w:rsidRDefault="0038653D" w:rsidP="0038653D">
      <w:pPr>
        <w:pStyle w:val="NoSpacing"/>
        <w:ind w:left="720"/>
        <w:rPr>
          <w:rFonts w:ascii="Times New Roman" w:hAnsi="Times New Roman"/>
          <w:sz w:val="24"/>
          <w:szCs w:val="24"/>
          <w:shd w:val="clear" w:color="auto" w:fill="FFFFFF"/>
        </w:rPr>
      </w:pPr>
    </w:p>
    <w:p w14:paraId="71F58FE7" w14:textId="77777777" w:rsidR="005D56E5" w:rsidRPr="00F0094C" w:rsidRDefault="005D56E5" w:rsidP="005D56E5">
      <w:pPr>
        <w:pStyle w:val="NoSpacing"/>
        <w:rPr>
          <w:rFonts w:ascii="Times New Roman" w:hAnsi="Times New Roman"/>
          <w:b/>
          <w:bCs/>
          <w:sz w:val="24"/>
          <w:szCs w:val="24"/>
          <w:shd w:val="clear" w:color="auto" w:fill="FFFFFF"/>
        </w:rPr>
      </w:pPr>
      <w:r w:rsidRPr="00F0094C">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This unanimous decision sends a clear message that job transfers can be basis of Title VII litigation. </w:t>
      </w:r>
    </w:p>
    <w:p w14:paraId="749E92FE" w14:textId="77777777" w:rsidR="005D56E5" w:rsidRDefault="005D56E5" w:rsidP="005D56E5">
      <w:pPr>
        <w:pStyle w:val="NoSpacing"/>
        <w:rPr>
          <w:shd w:val="clear" w:color="auto" w:fill="FFFFFF"/>
        </w:rPr>
      </w:pPr>
    </w:p>
    <w:p w14:paraId="5D04B60F" w14:textId="77777777" w:rsidR="009C6DC9" w:rsidRDefault="009C6DC9" w:rsidP="00F326E5">
      <w:pPr>
        <w:pStyle w:val="NoSpacing"/>
        <w:rPr>
          <w:rFonts w:ascii="Arial Black" w:hAnsi="Arial Black"/>
          <w:b/>
          <w:bCs/>
          <w:sz w:val="24"/>
          <w:szCs w:val="24"/>
        </w:rPr>
      </w:pPr>
    </w:p>
    <w:p w14:paraId="6764222E" w14:textId="77777777" w:rsidR="00B52921" w:rsidRDefault="00B52921" w:rsidP="00F326E5">
      <w:pPr>
        <w:pStyle w:val="NoSpacing"/>
        <w:rPr>
          <w:rFonts w:ascii="Arial Black" w:hAnsi="Arial Black"/>
          <w:b/>
          <w:bCs/>
          <w:sz w:val="24"/>
          <w:szCs w:val="24"/>
        </w:rPr>
      </w:pPr>
    </w:p>
    <w:p w14:paraId="78056E9C" w14:textId="73785EF4" w:rsidR="00B52921" w:rsidRDefault="00480F72" w:rsidP="00F326E5">
      <w:pPr>
        <w:pStyle w:val="NoSpacing"/>
        <w:rPr>
          <w:rFonts w:ascii="Arial Black" w:hAnsi="Arial Black"/>
          <w:b/>
          <w:bCs/>
          <w:sz w:val="24"/>
          <w:szCs w:val="24"/>
        </w:rPr>
      </w:pPr>
      <w:r>
        <w:rPr>
          <w:rFonts w:ascii="Arial Black" w:hAnsi="Arial Black"/>
          <w:b/>
          <w:bCs/>
          <w:sz w:val="24"/>
          <w:szCs w:val="24"/>
        </w:rPr>
        <w:t>7-62</w:t>
      </w:r>
    </w:p>
    <w:p w14:paraId="2B560460" w14:textId="77777777" w:rsidR="00B52921" w:rsidRDefault="00B52921" w:rsidP="00B52921">
      <w:pPr>
        <w:pStyle w:val="NormalWeb"/>
        <w:rPr>
          <w:rFonts w:ascii="Arial Black" w:hAnsi="Arial Black"/>
          <w:sz w:val="28"/>
          <w:szCs w:val="28"/>
        </w:rPr>
      </w:pPr>
      <w:r>
        <w:rPr>
          <w:rFonts w:ascii="Arial Black" w:hAnsi="Arial Black"/>
          <w:sz w:val="28"/>
          <w:szCs w:val="28"/>
        </w:rPr>
        <w:t>FL:  DELAY REINSTATING FEMALE RECRUIT - TRIAL COURT $150 / DAY FINE FD SET ASIDE - $750K JURY VERDICT 2021</w:t>
      </w:r>
    </w:p>
    <w:p w14:paraId="1DF29837" w14:textId="77777777" w:rsidR="00B52921" w:rsidRDefault="00B52921" w:rsidP="00B52921">
      <w:pPr>
        <w:pStyle w:val="NormalWeb"/>
      </w:pPr>
      <w:r>
        <w:t xml:space="preserve">On April 24, 2024, in </w:t>
      </w:r>
      <w:r w:rsidRPr="00E7263C">
        <w:rPr>
          <w:u w:val="single"/>
        </w:rPr>
        <w:t>Palm Beach County v. Sharon Wilson</w:t>
      </w:r>
      <w:r>
        <w:t xml:space="preserve">, the </w:t>
      </w:r>
      <w:r w:rsidRPr="004979C1">
        <w:t>District Court of Appeal of Florida, Fourth District</w:t>
      </w:r>
      <w:r>
        <w:t xml:space="preserve">, held that trial court improperly imposed a $150 / day fine on the FD for any delay in reinstating her to the next training academy.  Wilson was hired in April 2015 and fractured her wrist in recruit school; written up for violations and resigned.  In Dec. 2021 Jury awarded her $750,000 and Court ordered her reinstated.  The Court of Appeals held that trial court judge violated FD’s due process rights when the judge proposed sanctioning the County if the County failed to reinstate Wilson by the specified reinstatement date. The trial court stated, “if I just ordered [Wilson] to be reinstated, you know what, [the County] could just sit on [its] hands and wait years and years and years to reinstate her. So, there </w:t>
      </w:r>
      <w:proofErr w:type="gramStart"/>
      <w:r>
        <w:t>has to</w:t>
      </w:r>
      <w:proofErr w:type="gramEnd"/>
      <w:r>
        <w:t xml:space="preserve"> be a monetary sanction, so to speak, for [the County] to act in a timely manner on the Court's directives that [the County] hire[s] her.” </w:t>
      </w:r>
      <w:hyperlink r:id="rId1409" w:history="1">
        <w:r w:rsidRPr="00E2199F">
          <w:rPr>
            <w:rStyle w:val="Hyperlink"/>
          </w:rPr>
          <w:t>https://caselaw.findlaw.com/court/fl-district-court-of-appeal/116085347.html</w:t>
        </w:r>
      </w:hyperlink>
      <w:r>
        <w:t xml:space="preserve"> </w:t>
      </w:r>
    </w:p>
    <w:p w14:paraId="7EC63870" w14:textId="77777777" w:rsidR="00B52921" w:rsidRDefault="00B52921" w:rsidP="00B52921">
      <w:pPr>
        <w:pStyle w:val="NormalWeb"/>
      </w:pPr>
      <w:r>
        <w:t>COURT HELD:</w:t>
      </w:r>
    </w:p>
    <w:p w14:paraId="15702550" w14:textId="77777777" w:rsidR="00B52921" w:rsidRDefault="00B52921" w:rsidP="00B52921">
      <w:pPr>
        <w:pStyle w:val="NormalWeb"/>
        <w:ind w:left="720"/>
      </w:pPr>
      <w:r>
        <w:t xml:space="preserve">“As discussed below, we reverse the trial court's premature and speculative imposition of a daily fine…. The County argues that the trial court denied the County due process when, during the hearing on Wilson's motion, it </w:t>
      </w:r>
      <w:proofErr w:type="spellStart"/>
      <w:r>
        <w:t>sua</w:t>
      </w:r>
      <w:proofErr w:type="spellEnd"/>
      <w:r>
        <w:t xml:space="preserve"> sponte proposed a monetary sanction if the County failed to timely reinstate Wilson. We agree with the County.”</w:t>
      </w:r>
    </w:p>
    <w:p w14:paraId="0A1CF24E" w14:textId="77777777" w:rsidR="00B52921" w:rsidRPr="00B06CBE" w:rsidRDefault="00B52921" w:rsidP="00B52921">
      <w:pPr>
        <w:pStyle w:val="NormalWeb"/>
        <w:rPr>
          <w:b/>
          <w:bCs/>
        </w:rPr>
      </w:pPr>
      <w:r w:rsidRPr="00B06CBE">
        <w:rPr>
          <w:b/>
          <w:bCs/>
        </w:rPr>
        <w:t>Legal Lesson Learned:</w:t>
      </w:r>
      <w:r>
        <w:rPr>
          <w:b/>
          <w:bCs/>
        </w:rPr>
        <w:t xml:space="preserve"> Monetary sanction on employer cannot be imposed without evidence of breach of a court order.  </w:t>
      </w:r>
    </w:p>
    <w:p w14:paraId="62A99C01" w14:textId="77777777" w:rsidR="00480F72" w:rsidRDefault="00480F72" w:rsidP="00B52921">
      <w:pPr>
        <w:rPr>
          <w:rFonts w:ascii="Arial Black" w:hAnsi="Arial Black"/>
          <w:sz w:val="28"/>
          <w:szCs w:val="28"/>
        </w:rPr>
      </w:pPr>
    </w:p>
    <w:p w14:paraId="13884D71" w14:textId="72B9F2EE" w:rsidR="00B52921" w:rsidRDefault="00480F72" w:rsidP="00B52921">
      <w:pPr>
        <w:rPr>
          <w:rFonts w:ascii="Arial Black" w:hAnsi="Arial Black"/>
          <w:sz w:val="28"/>
          <w:szCs w:val="28"/>
        </w:rPr>
      </w:pPr>
      <w:r>
        <w:rPr>
          <w:rFonts w:ascii="Arial Black" w:hAnsi="Arial Black"/>
          <w:sz w:val="28"/>
          <w:szCs w:val="28"/>
        </w:rPr>
        <w:t>7-61</w:t>
      </w:r>
    </w:p>
    <w:p w14:paraId="441C23BC" w14:textId="77777777" w:rsidR="00B52921" w:rsidRPr="0041351C" w:rsidRDefault="00B52921" w:rsidP="00B52921">
      <w:pPr>
        <w:pStyle w:val="NormalWeb"/>
        <w:spacing w:before="0" w:beforeAutospacing="0"/>
        <w:rPr>
          <w:rFonts w:ascii="Arial Black" w:hAnsi="Arial Black"/>
          <w:sz w:val="28"/>
          <w:szCs w:val="28"/>
        </w:rPr>
      </w:pPr>
      <w:r>
        <w:rPr>
          <w:rFonts w:ascii="Arial Black" w:hAnsi="Arial Black"/>
          <w:sz w:val="28"/>
          <w:szCs w:val="28"/>
        </w:rPr>
        <w:t>VA: “OPENLY BISEXUAL” EMT – NEG. JOB REFERENCES - VP AMBUL. CO. TOLD OTHERS “ODD DUCK” – CASE PROCEED</w:t>
      </w:r>
    </w:p>
    <w:p w14:paraId="0693AFA7" w14:textId="77777777" w:rsidR="00B52921" w:rsidRDefault="00B52921" w:rsidP="00B52921">
      <w:pPr>
        <w:pStyle w:val="NormalWeb"/>
      </w:pPr>
      <w:r w:rsidRPr="00480F72">
        <w:rPr>
          <w:rStyle w:val="Strong"/>
          <w:rFonts w:eastAsiaTheme="majorEastAsia"/>
          <w:b w:val="0"/>
          <w:bCs w:val="0"/>
        </w:rPr>
        <w:t xml:space="preserve">On April 18, 2024, in </w:t>
      </w:r>
      <w:r w:rsidRPr="00480F72">
        <w:rPr>
          <w:rStyle w:val="Strong"/>
          <w:rFonts w:eastAsiaTheme="majorEastAsia"/>
          <w:b w:val="0"/>
          <w:bCs w:val="0"/>
          <w:u w:val="single"/>
        </w:rPr>
        <w:t>Natalie Lundberg v, Delta Response Team, LLC and Thomas Walton</w:t>
      </w:r>
      <w:r w:rsidRPr="00480F72">
        <w:rPr>
          <w:rStyle w:val="Strong"/>
          <w:rFonts w:eastAsiaTheme="majorEastAsia"/>
          <w:b w:val="0"/>
          <w:bCs w:val="0"/>
        </w:rPr>
        <w:t xml:space="preserve">, United States District Court Judge Robert S. Ballo, U.S. District Court for Western District of Virginia (Charlottesville Division) held that defense motion to dismiss claims is denied regarding her claim of “sexual orientation discrimination / disparate treatment theory.” </w:t>
      </w:r>
      <w:r>
        <w:t xml:space="preserve">Lundberg </w:t>
      </w:r>
      <w:proofErr w:type="gramStart"/>
      <w:r>
        <w:t>interviewed with</w:t>
      </w:r>
      <w:proofErr w:type="gramEnd"/>
      <w:r>
        <w:t xml:space="preserve"> both the City of Lynchburg Fire Department and Bedford County Fire and Rescue and accepted a conditional offer of employment from Bedford on February 16, 2022. Both FDs withdrew their interest after speaking with Walton. The Court dismissed other claims, including the claim for intentional infliction of emotional distress.  </w:t>
      </w:r>
      <w:hyperlink r:id="rId1410" w:history="1">
        <w:r w:rsidRPr="00E2199F">
          <w:rPr>
            <w:rStyle w:val="Hyperlink"/>
          </w:rPr>
          <w:t>https://casetext.com/case/lundberg-v-delta-response-team-llc</w:t>
        </w:r>
      </w:hyperlink>
      <w:r>
        <w:t xml:space="preserve"> </w:t>
      </w:r>
    </w:p>
    <w:p w14:paraId="6AC650AA" w14:textId="77777777" w:rsidR="00B52921" w:rsidRDefault="00B52921" w:rsidP="00B52921">
      <w:pPr>
        <w:pStyle w:val="NormalWeb"/>
      </w:pPr>
      <w:r>
        <w:t xml:space="preserve">COURT HELD: </w:t>
      </w:r>
    </w:p>
    <w:p w14:paraId="55117009" w14:textId="77777777" w:rsidR="00B52921" w:rsidRDefault="00B52921" w:rsidP="00B52921">
      <w:pPr>
        <w:pStyle w:val="NormalWeb"/>
        <w:ind w:left="720"/>
      </w:pPr>
      <w:r>
        <w:t>“Lundberg states a plausible claim for sexual orientation discrimination against Delta Response based on her allegations of disparate treatment in the workplace. Lundberg alleges discrimination based on her sexual orientation when Walton provided a negative job reference, which for purposes of the motion to dismiss, I consider an adverse employment action. Absent direct evidence</w:t>
      </w:r>
      <w:r>
        <w:rPr>
          <w:vertAlign w:val="superscript"/>
        </w:rPr>
        <w:t>[</w:t>
      </w:r>
      <w:bookmarkStart w:id="279" w:name="FN12"/>
      <w:r>
        <w:rPr>
          <w:vertAlign w:val="superscript"/>
        </w:rPr>
        <w:fldChar w:fldCharType="begin"/>
      </w:r>
      <w:r>
        <w:rPr>
          <w:vertAlign w:val="superscript"/>
        </w:rPr>
        <w:instrText>HYPERLINK "https://public.fastcase.com/" \l "ftn.FN12"</w:instrText>
      </w:r>
      <w:r>
        <w:rPr>
          <w:vertAlign w:val="superscript"/>
        </w:rPr>
      </w:r>
      <w:r>
        <w:rPr>
          <w:vertAlign w:val="superscript"/>
        </w:rPr>
        <w:fldChar w:fldCharType="separate"/>
      </w:r>
      <w:r>
        <w:rPr>
          <w:rStyle w:val="Hyperlink"/>
          <w:rFonts w:eastAsiaTheme="majorEastAsia"/>
          <w:vertAlign w:val="superscript"/>
        </w:rPr>
        <w:t>12</w:t>
      </w:r>
      <w:r>
        <w:rPr>
          <w:vertAlign w:val="superscript"/>
        </w:rPr>
        <w:fldChar w:fldCharType="end"/>
      </w:r>
      <w:bookmarkEnd w:id="279"/>
      <w:r>
        <w:rPr>
          <w:vertAlign w:val="superscript"/>
        </w:rPr>
        <w:t>]</w:t>
      </w:r>
      <w:r>
        <w:t xml:space="preserve">, the elements of a </w:t>
      </w:r>
      <w:r>
        <w:rPr>
          <w:rStyle w:val="Emphasis"/>
          <w:rFonts w:eastAsiaTheme="majorEastAsia"/>
        </w:rPr>
        <w:t>prima facie</w:t>
      </w:r>
      <w:r>
        <w:t xml:space="preserve"> case of disparate treatment under Title VII are (1) membership in a protected class; (2) satisfactory job performance; (3) an adverse employment action; and (4) similarly situated employees outside the protected class who received more favorable treatment. </w:t>
      </w:r>
      <w:r>
        <w:rPr>
          <w:rStyle w:val="Emphasis"/>
          <w:rFonts w:eastAsiaTheme="majorEastAsia"/>
        </w:rPr>
        <w:t xml:space="preserve">Tabb v. Bd. Of Educ. Of Durham Pub. </w:t>
      </w:r>
      <w:proofErr w:type="spellStart"/>
      <w:r>
        <w:rPr>
          <w:rStyle w:val="Emphasis"/>
          <w:rFonts w:eastAsiaTheme="majorEastAsia"/>
        </w:rPr>
        <w:t>Scs</w:t>
      </w:r>
      <w:proofErr w:type="spellEnd"/>
      <w:r>
        <w:t xml:space="preserve">. 29 F.4th 148, 157 (4th Cir. 2022); </w:t>
      </w:r>
      <w:r>
        <w:rPr>
          <w:rStyle w:val="Emphasis"/>
          <w:rFonts w:eastAsiaTheme="majorEastAsia"/>
        </w:rPr>
        <w:t>Coleman</w:t>
      </w:r>
      <w:r>
        <w:t xml:space="preserve">, 626 F.3d at 190. Disparate treatment requires proof of discriminatory motive ‘although [that motive] can in some situations be inferred from the mere fact of differences in treatment.’ </w:t>
      </w:r>
      <w:r>
        <w:rPr>
          <w:rStyle w:val="Emphasis"/>
          <w:rFonts w:eastAsiaTheme="majorEastAsia"/>
        </w:rPr>
        <w:t>Int'l Bhd. of Teamsters v. United States</w:t>
      </w:r>
      <w:r>
        <w:t>, 431 U.S. 324, 335 n.15 (1977).”</w:t>
      </w:r>
    </w:p>
    <w:p w14:paraId="5DC9EECF" w14:textId="77777777" w:rsidR="00B52921" w:rsidRPr="002C51E2" w:rsidRDefault="00B52921" w:rsidP="00B52921">
      <w:pPr>
        <w:pStyle w:val="NormalWeb"/>
        <w:rPr>
          <w:b/>
          <w:bCs/>
        </w:rPr>
      </w:pPr>
      <w:r w:rsidRPr="002C51E2">
        <w:rPr>
          <w:b/>
          <w:bCs/>
        </w:rPr>
        <w:t>Legal Lesson Learned:</w:t>
      </w:r>
      <w:r>
        <w:rPr>
          <w:b/>
          <w:bCs/>
        </w:rPr>
        <w:t xml:space="preserve"> If an employee requests a job reference, consider declining the request if this </w:t>
      </w:r>
      <w:proofErr w:type="gramStart"/>
      <w:r>
        <w:rPr>
          <w:b/>
          <w:bCs/>
        </w:rPr>
        <w:t>would not all be</w:t>
      </w:r>
      <w:proofErr w:type="gramEnd"/>
      <w:r>
        <w:rPr>
          <w:b/>
          <w:bCs/>
        </w:rPr>
        <w:t xml:space="preserve"> positive. Some employers direct Managers to not give job references, positive or negative. </w:t>
      </w:r>
    </w:p>
    <w:p w14:paraId="26DB5138" w14:textId="77777777" w:rsidR="00B52921" w:rsidRDefault="00B52921" w:rsidP="00B52921">
      <w:pPr>
        <w:pStyle w:val="Heading1"/>
        <w:ind w:left="720"/>
        <w:rPr>
          <w:color w:val="000000" w:themeColor="text1"/>
          <w:sz w:val="24"/>
          <w:szCs w:val="24"/>
        </w:rPr>
      </w:pPr>
      <w:r w:rsidRPr="001C276F">
        <w:rPr>
          <w:color w:val="000000" w:themeColor="text1"/>
          <w:sz w:val="24"/>
          <w:szCs w:val="24"/>
        </w:rPr>
        <w:t xml:space="preserve">Note: See Ohio Revised Code Section 4113.71 </w:t>
      </w:r>
      <w:r w:rsidRPr="001C276F">
        <w:rPr>
          <w:rStyle w:val="codes-separator"/>
          <w:color w:val="000000" w:themeColor="text1"/>
          <w:sz w:val="24"/>
          <w:szCs w:val="24"/>
        </w:rPr>
        <w:t>|</w:t>
      </w:r>
      <w:r w:rsidRPr="001C276F">
        <w:rPr>
          <w:color w:val="000000" w:themeColor="text1"/>
          <w:sz w:val="24"/>
          <w:szCs w:val="24"/>
        </w:rPr>
        <w:t xml:space="preserve"> Immunity of employer as to job performance information disclosures.</w:t>
      </w:r>
      <w:r>
        <w:rPr>
          <w:color w:val="000000" w:themeColor="text1"/>
          <w:sz w:val="24"/>
          <w:szCs w:val="24"/>
        </w:rPr>
        <w:t xml:space="preserve"> </w:t>
      </w:r>
      <w:hyperlink r:id="rId1411" w:history="1">
        <w:r w:rsidRPr="00E2199F">
          <w:rPr>
            <w:rStyle w:val="Hyperlink"/>
            <w:sz w:val="24"/>
            <w:szCs w:val="24"/>
          </w:rPr>
          <w:t>https://codes.ohio.gov/ohio-revised-code/section-4113.71</w:t>
        </w:r>
      </w:hyperlink>
      <w:r>
        <w:rPr>
          <w:color w:val="000000" w:themeColor="text1"/>
          <w:sz w:val="24"/>
          <w:szCs w:val="24"/>
        </w:rPr>
        <w:t xml:space="preserve"> </w:t>
      </w:r>
    </w:p>
    <w:p w14:paraId="46C798E6" w14:textId="77777777" w:rsidR="00B52921" w:rsidRDefault="00B52921" w:rsidP="00B52921">
      <w:pPr>
        <w:pStyle w:val="NormalWeb"/>
        <w:ind w:left="720"/>
      </w:pPr>
      <w:r>
        <w:t>(B) An employer who is requested by an employee or a prospective employer of an employee to disclose to a prospective employer of that employee information pertaining to the job performance of that employee for the employer and who discloses the requested information to the prospective employer is not liable in damages in a civil action to that employee, the prospective employer, or any other person for any harm sustained as a proximate result of making the disclosure or of any information disclosed, unless the plaintiff in a civil action establishes, either or both of the following:</w:t>
      </w:r>
    </w:p>
    <w:p w14:paraId="72419B4C" w14:textId="77777777" w:rsidR="00B52921" w:rsidRDefault="00B52921" w:rsidP="00B52921">
      <w:pPr>
        <w:pStyle w:val="NormalWeb"/>
        <w:ind w:left="720"/>
      </w:pPr>
      <w:r>
        <w:t xml:space="preserve">(1) By a preponderance of the evidence that the employer disclosed </w:t>
      </w:r>
      <w:proofErr w:type="gramStart"/>
      <w:r>
        <w:t>particular information</w:t>
      </w:r>
      <w:proofErr w:type="gramEnd"/>
      <w:r>
        <w:t xml:space="preserve"> with the knowledge that it was false, with the deliberate intent to mislead the prospective employer or another person, in bad faith, or with malicious purpose;</w:t>
      </w:r>
    </w:p>
    <w:p w14:paraId="59EFBA74" w14:textId="77777777" w:rsidR="00B52921" w:rsidRDefault="00B52921" w:rsidP="00B52921">
      <w:pPr>
        <w:pStyle w:val="NormalWeb"/>
        <w:ind w:left="720"/>
      </w:pPr>
      <w:r>
        <w:t xml:space="preserve">(2) By a preponderance of the evidence that the disclosure of </w:t>
      </w:r>
      <w:proofErr w:type="gramStart"/>
      <w:r>
        <w:t>particular information</w:t>
      </w:r>
      <w:proofErr w:type="gramEnd"/>
      <w:r>
        <w:t xml:space="preserve"> by the employer constitutes an unlawful discriminatory practice described in section </w:t>
      </w:r>
      <w:hyperlink r:id="rId1412" w:history="1">
        <w:r>
          <w:rPr>
            <w:rStyle w:val="Hyperlink"/>
            <w:rFonts w:eastAsiaTheme="majorEastAsia"/>
          </w:rPr>
          <w:t>4112.02</w:t>
        </w:r>
      </w:hyperlink>
      <w:r>
        <w:t xml:space="preserve">, </w:t>
      </w:r>
      <w:hyperlink r:id="rId1413" w:history="1">
        <w:r>
          <w:rPr>
            <w:rStyle w:val="Hyperlink"/>
            <w:rFonts w:eastAsiaTheme="majorEastAsia"/>
          </w:rPr>
          <w:t>4112.021</w:t>
        </w:r>
      </w:hyperlink>
      <w:r>
        <w:t xml:space="preserve">, or </w:t>
      </w:r>
      <w:hyperlink r:id="rId1414" w:history="1">
        <w:r>
          <w:rPr>
            <w:rStyle w:val="Hyperlink"/>
            <w:rFonts w:eastAsiaTheme="majorEastAsia"/>
          </w:rPr>
          <w:t>4112.022</w:t>
        </w:r>
      </w:hyperlink>
      <w:r>
        <w:t xml:space="preserve"> of the Revised Code.</w:t>
      </w:r>
    </w:p>
    <w:p w14:paraId="71517D17" w14:textId="77777777" w:rsidR="00B52921" w:rsidRDefault="00B52921" w:rsidP="00B52921">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7-60</w:t>
      </w:r>
    </w:p>
    <w:p w14:paraId="3BAC983C" w14:textId="2EC25C08" w:rsidR="00B52921" w:rsidRDefault="00B52921" w:rsidP="00B52921">
      <w:pPr>
        <w:pStyle w:val="NormalWeb"/>
        <w:spacing w:before="0" w:beforeAutospacing="0"/>
        <w:rPr>
          <w:b/>
          <w:bCs/>
          <w:color w:val="454545"/>
          <w:shd w:val="clear" w:color="auto" w:fill="FFFFFF"/>
        </w:rPr>
      </w:pPr>
      <w:r>
        <w:rPr>
          <w:rFonts w:ascii="Arial Black" w:hAnsi="Arial Black"/>
          <w:b/>
          <w:bCs/>
          <w:color w:val="454545"/>
          <w:sz w:val="28"/>
          <w:szCs w:val="28"/>
          <w:shd w:val="clear" w:color="auto" w:fill="FFFFFF"/>
        </w:rPr>
        <w:t xml:space="preserve">U.S. SUP. CT. – LANDMARK CASE: JOB TRANSFER / SEXUAL HAR. – FEMALE SGT. MUST ONLY SHOW “SOME HARM” </w:t>
      </w:r>
    </w:p>
    <w:p w14:paraId="67591A59" w14:textId="77777777" w:rsidR="00B52921" w:rsidRPr="00EB06FE" w:rsidRDefault="00B52921" w:rsidP="00B52921">
      <w:pPr>
        <w:pStyle w:val="NoSpacing"/>
        <w:rPr>
          <w:rFonts w:ascii="Times New Roman" w:hAnsi="Times New Roman"/>
          <w:color w:val="454545"/>
          <w:sz w:val="24"/>
          <w:szCs w:val="24"/>
          <w:shd w:val="clear" w:color="auto" w:fill="FFFFFF"/>
        </w:rPr>
      </w:pPr>
      <w:r w:rsidRPr="00EB06FE">
        <w:rPr>
          <w:rFonts w:ascii="Times New Roman" w:hAnsi="Times New Roman"/>
          <w:color w:val="454545"/>
          <w:sz w:val="24"/>
          <w:szCs w:val="24"/>
          <w:shd w:val="clear" w:color="auto" w:fill="FFFFFF"/>
        </w:rPr>
        <w:t xml:space="preserve">On April 17, 2024, in </w:t>
      </w:r>
      <w:r w:rsidRPr="00EB06FE">
        <w:rPr>
          <w:rFonts w:ascii="Times New Roman" w:hAnsi="Times New Roman"/>
          <w:color w:val="454545"/>
          <w:sz w:val="24"/>
          <w:szCs w:val="24"/>
          <w:u w:val="single"/>
          <w:shd w:val="clear" w:color="auto" w:fill="FFFFFF"/>
        </w:rPr>
        <w:t>Jatonya Clayborn Muldrow v. City of St. Louis, Missouri, et al.,</w:t>
      </w:r>
      <w:r w:rsidRPr="00EB06FE">
        <w:rPr>
          <w:rFonts w:ascii="Times New Roman" w:hAnsi="Times New Roman"/>
          <w:color w:val="454545"/>
          <w:sz w:val="24"/>
          <w:szCs w:val="24"/>
          <w:shd w:val="clear" w:color="auto" w:fill="FFFFFF"/>
        </w:rPr>
        <w:t xml:space="preserve"> the United States Supreme Court held (9 to 0) that trial court should not have granted summary judgment to the city, and 8</w:t>
      </w:r>
      <w:r w:rsidRPr="00EB06FE">
        <w:rPr>
          <w:rFonts w:ascii="Times New Roman" w:hAnsi="Times New Roman"/>
          <w:color w:val="454545"/>
          <w:sz w:val="24"/>
          <w:szCs w:val="24"/>
          <w:shd w:val="clear" w:color="auto" w:fill="FFFFFF"/>
          <w:vertAlign w:val="superscript"/>
        </w:rPr>
        <w:t>th</w:t>
      </w:r>
      <w:r w:rsidRPr="00EB06FE">
        <w:rPr>
          <w:rFonts w:ascii="Times New Roman" w:hAnsi="Times New Roman"/>
          <w:color w:val="454545"/>
          <w:sz w:val="24"/>
          <w:szCs w:val="24"/>
          <w:shd w:val="clear" w:color="auto" w:fill="FFFFFF"/>
        </w:rPr>
        <w:t xml:space="preserve"> Circuit Court of Appeals had applied too tough a standard for employees claiming job transfer was because of sexual harassment (“materially significant disadvantage”).  </w:t>
      </w:r>
      <w:r w:rsidRPr="00EB06FE">
        <w:rPr>
          <w:rFonts w:ascii="Times New Roman" w:hAnsi="Times New Roman"/>
          <w:sz w:val="24"/>
          <w:szCs w:val="24"/>
        </w:rPr>
        <w:t xml:space="preserve">Sergeant Jatonya Clayborn Muldrow maintains that her employer, the St. Louis Police Department, transferred her from one job to another because she is a woman. </w:t>
      </w:r>
      <w:r w:rsidRPr="00EB06FE">
        <w:rPr>
          <w:rFonts w:ascii="Times New Roman" w:hAnsi="Times New Roman"/>
          <w:color w:val="454545"/>
          <w:sz w:val="24"/>
          <w:szCs w:val="24"/>
          <w:shd w:val="clear" w:color="auto" w:fill="FFFFFF"/>
        </w:rPr>
        <w:t xml:space="preserve">Sergeant Muldrow was in Intelligence Division, worked M-F, vehicle, FBI cases, and her new male boss moved her out (back to street patrol) because wanted male sergeant.  Under new </w:t>
      </w:r>
      <w:proofErr w:type="gramStart"/>
      <w:r w:rsidRPr="00EB06FE">
        <w:rPr>
          <w:rFonts w:ascii="Times New Roman" w:hAnsi="Times New Roman"/>
          <w:color w:val="454545"/>
          <w:sz w:val="24"/>
          <w:szCs w:val="24"/>
          <w:shd w:val="clear" w:color="auto" w:fill="FFFFFF"/>
        </w:rPr>
        <w:t>standard</w:t>
      </w:r>
      <w:proofErr w:type="gramEnd"/>
      <w:r w:rsidRPr="00EB06FE">
        <w:rPr>
          <w:rFonts w:ascii="Times New Roman" w:hAnsi="Times New Roman"/>
          <w:color w:val="454545"/>
          <w:sz w:val="24"/>
          <w:szCs w:val="24"/>
          <w:shd w:val="clear" w:color="auto" w:fill="FFFFFF"/>
        </w:rPr>
        <w:t xml:space="preserve">, she must only that that the job transfer brought about some harm with respect to an identifiable term or condition of employment, but that harm need not be significant. </w:t>
      </w:r>
      <w:hyperlink r:id="rId1415" w:history="1">
        <w:r w:rsidRPr="00EB06FE">
          <w:rPr>
            <w:rStyle w:val="Hyperlink"/>
            <w:rFonts w:ascii="Times New Roman" w:hAnsi="Times New Roman"/>
            <w:sz w:val="24"/>
            <w:szCs w:val="24"/>
            <w:shd w:val="clear" w:color="auto" w:fill="FFFFFF"/>
          </w:rPr>
          <w:t>https://www.supremecourt.gov/opinions/23pdf/22-193_q86b.pdf</w:t>
        </w:r>
      </w:hyperlink>
      <w:r w:rsidRPr="00EB06FE">
        <w:rPr>
          <w:rFonts w:ascii="Times New Roman" w:hAnsi="Times New Roman"/>
          <w:color w:val="454545"/>
          <w:sz w:val="24"/>
          <w:szCs w:val="24"/>
          <w:shd w:val="clear" w:color="auto" w:fill="FFFFFF"/>
        </w:rPr>
        <w:t xml:space="preserve"> </w:t>
      </w:r>
    </w:p>
    <w:p w14:paraId="6054BF64" w14:textId="77777777" w:rsidR="00B52921" w:rsidRDefault="00B52921" w:rsidP="00B52921">
      <w:pPr>
        <w:pStyle w:val="NormalWeb"/>
        <w:spacing w:before="0" w:beforeAutospacing="0"/>
        <w:rPr>
          <w:color w:val="454545"/>
          <w:shd w:val="clear" w:color="auto" w:fill="FFFFFF"/>
        </w:rPr>
      </w:pPr>
    </w:p>
    <w:p w14:paraId="2E3F5138" w14:textId="77777777" w:rsidR="00B52921" w:rsidRPr="00A0436B" w:rsidRDefault="00B52921" w:rsidP="00B52921">
      <w:pPr>
        <w:pStyle w:val="NormalWeb"/>
        <w:spacing w:before="0" w:beforeAutospacing="0"/>
        <w:rPr>
          <w:color w:val="454545"/>
          <w:shd w:val="clear" w:color="auto" w:fill="FFFFFF"/>
        </w:rPr>
      </w:pPr>
      <w:r>
        <w:rPr>
          <w:color w:val="454545"/>
          <w:shd w:val="clear" w:color="auto" w:fill="FFFFFF"/>
        </w:rPr>
        <w:t xml:space="preserve">COURT HELD (opinion by Justice Elena Kagan): </w:t>
      </w:r>
    </w:p>
    <w:p w14:paraId="4E1BAEC7" w14:textId="77777777" w:rsidR="00B52921" w:rsidRDefault="00B52921" w:rsidP="00B52921">
      <w:pPr>
        <w:pStyle w:val="NoSpacing"/>
        <w:ind w:left="720"/>
        <w:rPr>
          <w:rFonts w:ascii="Times New Roman" w:hAnsi="Times New Roman"/>
          <w:sz w:val="24"/>
          <w:szCs w:val="24"/>
          <w:shd w:val="clear" w:color="auto" w:fill="FFFFFF"/>
        </w:rPr>
      </w:pPr>
      <w:r>
        <w:rPr>
          <w:shd w:val="clear" w:color="auto" w:fill="FFFFFF"/>
        </w:rPr>
        <w:t>“</w:t>
      </w:r>
      <w:r w:rsidRPr="00EB06FE">
        <w:rPr>
          <w:rFonts w:ascii="Times New Roman" w:hAnsi="Times New Roman"/>
          <w:sz w:val="24"/>
          <w:szCs w:val="24"/>
          <w:shd w:val="clear" w:color="auto" w:fill="FFFFFF"/>
        </w:rPr>
        <w:t>The courts below rejected the claim on the ground that the</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 xml:space="preserve">transfer did not cause Muldrow a </w:t>
      </w:r>
      <w:r>
        <w:rPr>
          <w:rFonts w:ascii="Times New Roman" w:hAnsi="Times New Roman"/>
          <w:sz w:val="24"/>
          <w:szCs w:val="24"/>
          <w:shd w:val="clear" w:color="auto" w:fill="FFFFFF"/>
        </w:rPr>
        <w:t>‘</w:t>
      </w:r>
      <w:r w:rsidRPr="00EB06FE">
        <w:rPr>
          <w:rFonts w:ascii="Times New Roman" w:hAnsi="Times New Roman"/>
          <w:sz w:val="24"/>
          <w:szCs w:val="24"/>
          <w:shd w:val="clear" w:color="auto" w:fill="FFFFFF"/>
        </w:rPr>
        <w:t>significant</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employment</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disadvantage. Other courts have used similar standards in</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addressing Title VII suits arising from job transfers.</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 xml:space="preserve">Today, we </w:t>
      </w:r>
      <w:proofErr w:type="gramStart"/>
      <w:r w:rsidRPr="00EB06FE">
        <w:rPr>
          <w:rFonts w:ascii="Times New Roman" w:hAnsi="Times New Roman"/>
          <w:sz w:val="24"/>
          <w:szCs w:val="24"/>
          <w:shd w:val="clear" w:color="auto" w:fill="FFFFFF"/>
        </w:rPr>
        <w:t>disapprove</w:t>
      </w:r>
      <w:proofErr w:type="gramEnd"/>
      <w:r w:rsidRPr="00EB06FE">
        <w:rPr>
          <w:rFonts w:ascii="Times New Roman" w:hAnsi="Times New Roman"/>
          <w:sz w:val="24"/>
          <w:szCs w:val="24"/>
          <w:shd w:val="clear" w:color="auto" w:fill="FFFFFF"/>
        </w:rPr>
        <w:t xml:space="preserve"> that approach. Although an employee must show some harm from a forced transfer to prevail in a Title VII suit, she need not show that the injury</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satisfies a significance test. Title VII’s text nowhere establishes that high bar.</w:t>
      </w:r>
    </w:p>
    <w:p w14:paraId="170CF58B" w14:textId="77777777" w:rsidR="00B52921" w:rsidRPr="00EB06FE" w:rsidRDefault="00B52921" w:rsidP="00B52921">
      <w:pPr>
        <w:pStyle w:val="NoSpacing"/>
        <w:ind w:left="720"/>
        <w:rPr>
          <w:rFonts w:ascii="Times New Roman" w:hAnsi="Times New Roman"/>
          <w:sz w:val="24"/>
          <w:szCs w:val="24"/>
          <w:shd w:val="clear" w:color="auto" w:fill="FFFFFF"/>
        </w:rPr>
      </w:pPr>
    </w:p>
    <w:p w14:paraId="67348287" w14:textId="77777777" w:rsidR="00B52921" w:rsidRDefault="00B52921" w:rsidP="00B52921">
      <w:pPr>
        <w:pStyle w:val="NoSpacing"/>
        <w:ind w:left="720"/>
        <w:rPr>
          <w:rFonts w:ascii="Times New Roman" w:hAnsi="Times New Roman"/>
          <w:sz w:val="24"/>
          <w:szCs w:val="24"/>
        </w:rPr>
      </w:pPr>
      <w:r w:rsidRPr="00EB06FE">
        <w:rPr>
          <w:rFonts w:ascii="Times New Roman" w:hAnsi="Times New Roman"/>
          <w:sz w:val="24"/>
          <w:szCs w:val="24"/>
        </w:rPr>
        <w:t xml:space="preserve">The District Court, viewing the matter differently, granted the </w:t>
      </w:r>
      <w:proofErr w:type="gramStart"/>
      <w:r w:rsidRPr="00EB06FE">
        <w:rPr>
          <w:rFonts w:ascii="Times New Roman" w:hAnsi="Times New Roman"/>
          <w:sz w:val="24"/>
          <w:szCs w:val="24"/>
        </w:rPr>
        <w:t>City</w:t>
      </w:r>
      <w:proofErr w:type="gramEnd"/>
      <w:r w:rsidRPr="00EB06FE">
        <w:rPr>
          <w:rFonts w:ascii="Times New Roman" w:hAnsi="Times New Roman"/>
          <w:sz w:val="24"/>
          <w:szCs w:val="24"/>
        </w:rPr>
        <w:t xml:space="preserve"> summary judgment. Under Circuit precedent, the court explained, Muldrow needed to show that her transfer effected a ‘significant’ change in working</w:t>
      </w:r>
      <w:r w:rsidRPr="00356E5C">
        <w:rPr>
          <w:rFonts w:ascii="Times New Roman" w:hAnsi="Times New Roman"/>
          <w:sz w:val="24"/>
          <w:szCs w:val="24"/>
        </w:rPr>
        <w:t xml:space="preserve"> conditions producing </w:t>
      </w:r>
      <w:r>
        <w:rPr>
          <w:rFonts w:ascii="Times New Roman" w:hAnsi="Times New Roman"/>
          <w:sz w:val="24"/>
          <w:szCs w:val="24"/>
        </w:rPr>
        <w:t>‘</w:t>
      </w:r>
      <w:r w:rsidRPr="00356E5C">
        <w:rPr>
          <w:rFonts w:ascii="Times New Roman" w:hAnsi="Times New Roman"/>
          <w:sz w:val="24"/>
          <w:szCs w:val="24"/>
        </w:rPr>
        <w:t>material employment disadvantage.</w:t>
      </w:r>
      <w:r>
        <w:rPr>
          <w:rFonts w:ascii="Times New Roman" w:hAnsi="Times New Roman"/>
          <w:sz w:val="24"/>
          <w:szCs w:val="24"/>
        </w:rPr>
        <w:t xml:space="preserve">’ </w:t>
      </w:r>
      <w:r w:rsidRPr="00356E5C">
        <w:rPr>
          <w:rFonts w:ascii="Times New Roman" w:hAnsi="Times New Roman"/>
          <w:sz w:val="24"/>
          <w:szCs w:val="24"/>
        </w:rPr>
        <w:t>2020 WL 5505113, *8–*9. And Muldrow, the court held,</w:t>
      </w:r>
      <w:r>
        <w:rPr>
          <w:rFonts w:ascii="Times New Roman" w:hAnsi="Times New Roman"/>
          <w:sz w:val="24"/>
          <w:szCs w:val="24"/>
        </w:rPr>
        <w:t xml:space="preserve"> </w:t>
      </w:r>
      <w:r w:rsidRPr="00356E5C">
        <w:rPr>
          <w:rFonts w:ascii="Times New Roman" w:hAnsi="Times New Roman"/>
          <w:sz w:val="24"/>
          <w:szCs w:val="24"/>
        </w:rPr>
        <w:t xml:space="preserve">could not meet that </w:t>
      </w:r>
      <w:proofErr w:type="gramStart"/>
      <w:r w:rsidRPr="00356E5C">
        <w:rPr>
          <w:rFonts w:ascii="Times New Roman" w:hAnsi="Times New Roman"/>
          <w:sz w:val="24"/>
          <w:szCs w:val="24"/>
        </w:rPr>
        <w:t>heightened-injury</w:t>
      </w:r>
      <w:proofErr w:type="gramEnd"/>
      <w:r w:rsidRPr="00356E5C">
        <w:rPr>
          <w:rFonts w:ascii="Times New Roman" w:hAnsi="Times New Roman"/>
          <w:sz w:val="24"/>
          <w:szCs w:val="24"/>
        </w:rPr>
        <w:t xml:space="preserve"> standard. </w:t>
      </w:r>
      <w:r>
        <w:rPr>
          <w:rFonts w:ascii="Times New Roman" w:hAnsi="Times New Roman"/>
          <w:sz w:val="24"/>
          <w:szCs w:val="24"/>
        </w:rPr>
        <w:t>‘</w:t>
      </w:r>
      <w:r w:rsidRPr="00356E5C">
        <w:rPr>
          <w:rFonts w:ascii="Times New Roman" w:hAnsi="Times New Roman"/>
          <w:sz w:val="24"/>
          <w:szCs w:val="24"/>
        </w:rPr>
        <w:t>[S]he experienced no change in salary or rank.</w:t>
      </w:r>
      <w:r>
        <w:rPr>
          <w:rFonts w:ascii="Times New Roman" w:hAnsi="Times New Roman"/>
          <w:sz w:val="24"/>
          <w:szCs w:val="24"/>
        </w:rPr>
        <w:t xml:space="preserve">’ </w:t>
      </w:r>
      <w:r w:rsidRPr="00356E5C">
        <w:rPr>
          <w:rFonts w:ascii="Times New Roman" w:hAnsi="Times New Roman"/>
          <w:sz w:val="24"/>
          <w:szCs w:val="24"/>
        </w:rPr>
        <w:t>Id., at *9. Her loss</w:t>
      </w:r>
      <w:r>
        <w:rPr>
          <w:rFonts w:ascii="Times New Roman" w:hAnsi="Times New Roman"/>
          <w:sz w:val="24"/>
          <w:szCs w:val="24"/>
        </w:rPr>
        <w:t xml:space="preserve"> </w:t>
      </w:r>
      <w:r w:rsidRPr="00356E5C">
        <w:rPr>
          <w:rFonts w:ascii="Times New Roman" w:hAnsi="Times New Roman"/>
          <w:sz w:val="24"/>
          <w:szCs w:val="24"/>
        </w:rPr>
        <w:t xml:space="preserve">of </w:t>
      </w:r>
      <w:r>
        <w:rPr>
          <w:rFonts w:ascii="Times New Roman" w:hAnsi="Times New Roman"/>
          <w:sz w:val="24"/>
          <w:szCs w:val="24"/>
        </w:rPr>
        <w:t>‘</w:t>
      </w:r>
      <w:r w:rsidRPr="00356E5C">
        <w:rPr>
          <w:rFonts w:ascii="Times New Roman" w:hAnsi="Times New Roman"/>
          <w:sz w:val="24"/>
          <w:szCs w:val="24"/>
        </w:rPr>
        <w:t>the networking [opportunities] available in Intelligence</w:t>
      </w:r>
      <w:r>
        <w:rPr>
          <w:rFonts w:ascii="Times New Roman" w:hAnsi="Times New Roman"/>
          <w:sz w:val="24"/>
          <w:szCs w:val="24"/>
        </w:rPr>
        <w:t xml:space="preserve"> </w:t>
      </w:r>
      <w:r w:rsidRPr="00356E5C">
        <w:rPr>
          <w:rFonts w:ascii="Times New Roman" w:hAnsi="Times New Roman"/>
          <w:sz w:val="24"/>
          <w:szCs w:val="24"/>
        </w:rPr>
        <w:t>was immaterial because she had not provided evidence that</w:t>
      </w:r>
      <w:r>
        <w:rPr>
          <w:rFonts w:ascii="Times New Roman" w:hAnsi="Times New Roman"/>
          <w:sz w:val="24"/>
          <w:szCs w:val="24"/>
        </w:rPr>
        <w:t xml:space="preserve"> </w:t>
      </w:r>
      <w:r w:rsidRPr="00356E5C">
        <w:rPr>
          <w:rFonts w:ascii="Times New Roman" w:hAnsi="Times New Roman"/>
          <w:sz w:val="24"/>
          <w:szCs w:val="24"/>
        </w:rPr>
        <w:t xml:space="preserve">it had harmed her </w:t>
      </w:r>
      <w:r>
        <w:rPr>
          <w:rFonts w:ascii="Times New Roman" w:hAnsi="Times New Roman"/>
          <w:sz w:val="24"/>
          <w:szCs w:val="24"/>
        </w:rPr>
        <w:t>‘</w:t>
      </w:r>
      <w:r w:rsidRPr="00356E5C">
        <w:rPr>
          <w:rFonts w:ascii="Times New Roman" w:hAnsi="Times New Roman"/>
          <w:sz w:val="24"/>
          <w:szCs w:val="24"/>
        </w:rPr>
        <w:t>career prospects.</w:t>
      </w:r>
      <w:r>
        <w:rPr>
          <w:rFonts w:ascii="Times New Roman" w:hAnsi="Times New Roman"/>
          <w:sz w:val="24"/>
          <w:szCs w:val="24"/>
        </w:rPr>
        <w:t>’</w:t>
      </w:r>
      <w:r w:rsidRPr="00356E5C">
        <w:rPr>
          <w:rFonts w:ascii="Times New Roman" w:hAnsi="Times New Roman"/>
          <w:sz w:val="24"/>
          <w:szCs w:val="24"/>
        </w:rPr>
        <w:t xml:space="preserve"> Id., at *8. And given</w:t>
      </w:r>
      <w:r>
        <w:rPr>
          <w:rFonts w:ascii="Times New Roman" w:hAnsi="Times New Roman"/>
          <w:sz w:val="24"/>
          <w:szCs w:val="24"/>
        </w:rPr>
        <w:t xml:space="preserve"> </w:t>
      </w:r>
      <w:r w:rsidRPr="00356E5C">
        <w:rPr>
          <w:rFonts w:ascii="Times New Roman" w:hAnsi="Times New Roman"/>
          <w:sz w:val="24"/>
          <w:szCs w:val="24"/>
        </w:rPr>
        <w:t xml:space="preserve">her continued </w:t>
      </w:r>
      <w:r>
        <w:rPr>
          <w:rFonts w:ascii="Times New Roman" w:hAnsi="Times New Roman"/>
          <w:sz w:val="24"/>
          <w:szCs w:val="24"/>
        </w:rPr>
        <w:t>‘</w:t>
      </w:r>
      <w:r w:rsidRPr="00356E5C">
        <w:rPr>
          <w:rFonts w:ascii="Times New Roman" w:hAnsi="Times New Roman"/>
          <w:sz w:val="24"/>
          <w:szCs w:val="24"/>
        </w:rPr>
        <w:t>supervisory role,</w:t>
      </w:r>
      <w:r>
        <w:rPr>
          <w:rFonts w:ascii="Times New Roman" w:hAnsi="Times New Roman"/>
          <w:sz w:val="24"/>
          <w:szCs w:val="24"/>
        </w:rPr>
        <w:t>’</w:t>
      </w:r>
      <w:r w:rsidRPr="00356E5C">
        <w:rPr>
          <w:rFonts w:ascii="Times New Roman" w:hAnsi="Times New Roman"/>
          <w:sz w:val="24"/>
          <w:szCs w:val="24"/>
        </w:rPr>
        <w:t xml:space="preserve"> she had not </w:t>
      </w:r>
      <w:r>
        <w:rPr>
          <w:rFonts w:ascii="Times New Roman" w:hAnsi="Times New Roman"/>
          <w:sz w:val="24"/>
          <w:szCs w:val="24"/>
        </w:rPr>
        <w:t>‘</w:t>
      </w:r>
      <w:r w:rsidRPr="00356E5C">
        <w:rPr>
          <w:rFonts w:ascii="Times New Roman" w:hAnsi="Times New Roman"/>
          <w:sz w:val="24"/>
          <w:szCs w:val="24"/>
        </w:rPr>
        <w:t>suffered a</w:t>
      </w:r>
      <w:r>
        <w:rPr>
          <w:rFonts w:ascii="Times New Roman" w:hAnsi="Times New Roman"/>
          <w:sz w:val="24"/>
          <w:szCs w:val="24"/>
        </w:rPr>
        <w:t xml:space="preserve"> </w:t>
      </w:r>
      <w:r w:rsidRPr="00356E5C">
        <w:rPr>
          <w:rFonts w:ascii="Times New Roman" w:hAnsi="Times New Roman"/>
          <w:sz w:val="24"/>
          <w:szCs w:val="24"/>
        </w:rPr>
        <w:t xml:space="preserve">significant alteration to her work </w:t>
      </w:r>
      <w:proofErr w:type="gramStart"/>
      <w:r w:rsidRPr="00356E5C">
        <w:rPr>
          <w:rFonts w:ascii="Times New Roman" w:hAnsi="Times New Roman"/>
          <w:sz w:val="24"/>
          <w:szCs w:val="24"/>
        </w:rPr>
        <w:t>responsibilities.”</w:t>
      </w:r>
      <w:proofErr w:type="gramEnd"/>
    </w:p>
    <w:p w14:paraId="64805540" w14:textId="77777777" w:rsidR="00B52921" w:rsidRDefault="00B52921" w:rsidP="00B52921">
      <w:pPr>
        <w:pStyle w:val="NoSpacing"/>
        <w:ind w:left="720"/>
        <w:rPr>
          <w:rFonts w:ascii="Times New Roman" w:hAnsi="Times New Roman"/>
          <w:sz w:val="24"/>
          <w:szCs w:val="24"/>
        </w:rPr>
      </w:pPr>
    </w:p>
    <w:p w14:paraId="3A183DA4" w14:textId="77777777" w:rsidR="00B52921" w:rsidRDefault="00B52921" w:rsidP="00B52921">
      <w:pPr>
        <w:pStyle w:val="NoSpacing"/>
        <w:ind w:left="720"/>
        <w:rPr>
          <w:rFonts w:ascii="Times New Roman" w:hAnsi="Times New Roman"/>
          <w:sz w:val="24"/>
          <w:szCs w:val="24"/>
        </w:rPr>
      </w:pPr>
    </w:p>
    <w:p w14:paraId="4F01906C" w14:textId="77777777" w:rsidR="00B52921" w:rsidRPr="002E281A" w:rsidRDefault="00B52921" w:rsidP="00B52921">
      <w:pPr>
        <w:pStyle w:val="NoSpacing"/>
        <w:rPr>
          <w:rFonts w:ascii="Times New Roman" w:hAnsi="Times New Roman"/>
          <w:b/>
          <w:bCs/>
          <w:sz w:val="24"/>
          <w:szCs w:val="24"/>
        </w:rPr>
      </w:pPr>
      <w:r w:rsidRPr="002E281A">
        <w:rPr>
          <w:rFonts w:ascii="Times New Roman" w:hAnsi="Times New Roman"/>
          <w:b/>
          <w:bCs/>
          <w:sz w:val="24"/>
          <w:szCs w:val="24"/>
        </w:rPr>
        <w:t>Legal Lesson Learned:</w:t>
      </w:r>
      <w:r>
        <w:rPr>
          <w:rFonts w:ascii="Times New Roman" w:hAnsi="Times New Roman"/>
          <w:b/>
          <w:bCs/>
          <w:sz w:val="24"/>
          <w:szCs w:val="24"/>
        </w:rPr>
        <w:t xml:space="preserve"> This is a “landmark” decision; the new “some harm” standard will be widely applied not only in job transfer cases but also a wide variety of other employment decisions. </w:t>
      </w:r>
    </w:p>
    <w:p w14:paraId="0A0E62E5" w14:textId="77777777" w:rsidR="00B52921" w:rsidRDefault="00B52921" w:rsidP="00B52921">
      <w:pPr>
        <w:pStyle w:val="NoSpacing"/>
        <w:rPr>
          <w:rFonts w:ascii="Times New Roman" w:hAnsi="Times New Roman"/>
          <w:sz w:val="24"/>
          <w:szCs w:val="24"/>
        </w:rPr>
      </w:pPr>
    </w:p>
    <w:p w14:paraId="64F48EA1"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Note: Justice</w:t>
      </w:r>
      <w:r>
        <w:rPr>
          <w:rFonts w:ascii="Times New Roman" w:hAnsi="Times New Roman"/>
          <w:sz w:val="24"/>
          <w:szCs w:val="24"/>
        </w:rPr>
        <w:t xml:space="preserve"> Michael</w:t>
      </w:r>
      <w:r w:rsidRPr="00CD1C63">
        <w:rPr>
          <w:rFonts w:ascii="Times New Roman" w:hAnsi="Times New Roman"/>
          <w:sz w:val="24"/>
          <w:szCs w:val="24"/>
        </w:rPr>
        <w:t xml:space="preserve"> Kavanaugh in his concurring decision focused on impact of this decision</w:t>
      </w:r>
    </w:p>
    <w:p w14:paraId="1510B379" w14:textId="77777777" w:rsidR="00B52921" w:rsidRDefault="00B52921" w:rsidP="00B52921">
      <w:pPr>
        <w:pStyle w:val="NoSpacing"/>
        <w:ind w:left="720"/>
        <w:rPr>
          <w:rFonts w:ascii="Times New Roman" w:hAnsi="Times New Roman"/>
          <w:sz w:val="24"/>
          <w:szCs w:val="24"/>
        </w:rPr>
      </w:pPr>
    </w:p>
    <w:p w14:paraId="3CC1DB89" w14:textId="77777777" w:rsidR="00B52921" w:rsidRPr="00CD1C63" w:rsidRDefault="00B52921" w:rsidP="00B52921">
      <w:pPr>
        <w:pStyle w:val="NoSpacing"/>
        <w:ind w:left="720"/>
        <w:rPr>
          <w:rFonts w:ascii="Times New Roman" w:hAnsi="Times New Roman"/>
          <w:sz w:val="24"/>
          <w:szCs w:val="24"/>
        </w:rPr>
      </w:pPr>
      <w:r>
        <w:rPr>
          <w:rFonts w:ascii="Times New Roman" w:hAnsi="Times New Roman"/>
          <w:sz w:val="24"/>
          <w:szCs w:val="24"/>
        </w:rPr>
        <w:t>“</w:t>
      </w:r>
      <w:r w:rsidRPr="00CD1C63">
        <w:rPr>
          <w:rFonts w:ascii="Times New Roman" w:hAnsi="Times New Roman"/>
          <w:sz w:val="24"/>
          <w:szCs w:val="24"/>
        </w:rPr>
        <w:t>All of that said, the Court’s new some-harm requirement</w:t>
      </w:r>
      <w:r>
        <w:rPr>
          <w:rFonts w:ascii="Times New Roman" w:hAnsi="Times New Roman"/>
          <w:sz w:val="24"/>
          <w:szCs w:val="24"/>
        </w:rPr>
        <w:t xml:space="preserve"> </w:t>
      </w:r>
      <w:r w:rsidRPr="00CD1C63">
        <w:rPr>
          <w:rFonts w:ascii="Times New Roman" w:hAnsi="Times New Roman"/>
          <w:sz w:val="24"/>
          <w:szCs w:val="24"/>
        </w:rPr>
        <w:t>appears to be a relatively low bar. Importantly, the Court</w:t>
      </w:r>
      <w:r>
        <w:rPr>
          <w:rFonts w:ascii="Times New Roman" w:hAnsi="Times New Roman"/>
          <w:sz w:val="24"/>
          <w:szCs w:val="24"/>
        </w:rPr>
        <w:t xml:space="preserve"> </w:t>
      </w:r>
      <w:r w:rsidRPr="00CD1C63">
        <w:rPr>
          <w:rFonts w:ascii="Times New Roman" w:hAnsi="Times New Roman"/>
          <w:sz w:val="24"/>
          <w:szCs w:val="24"/>
        </w:rPr>
        <w:t xml:space="preserve">emphasizes that </w:t>
      </w:r>
      <w:r>
        <w:rPr>
          <w:rFonts w:ascii="Times New Roman" w:hAnsi="Times New Roman"/>
          <w:sz w:val="24"/>
          <w:szCs w:val="24"/>
        </w:rPr>
        <w:t>‘</w:t>
      </w:r>
      <w:r w:rsidRPr="00CD1C63">
        <w:rPr>
          <w:rFonts w:ascii="Times New Roman" w:hAnsi="Times New Roman"/>
          <w:sz w:val="24"/>
          <w:szCs w:val="24"/>
        </w:rPr>
        <w:t>some harm</w:t>
      </w:r>
      <w:r>
        <w:rPr>
          <w:rFonts w:ascii="Times New Roman" w:hAnsi="Times New Roman"/>
          <w:sz w:val="24"/>
          <w:szCs w:val="24"/>
        </w:rPr>
        <w:t>’</w:t>
      </w:r>
      <w:r w:rsidRPr="00CD1C63">
        <w:rPr>
          <w:rFonts w:ascii="Times New Roman" w:hAnsi="Times New Roman"/>
          <w:sz w:val="24"/>
          <w:szCs w:val="24"/>
        </w:rPr>
        <w:t xml:space="preserve"> is less than significant harm,</w:t>
      </w:r>
    </w:p>
    <w:p w14:paraId="740FE18C"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serious harm, or substantial harm. Ante, at 6. Therefore,</w:t>
      </w:r>
      <w:r>
        <w:rPr>
          <w:rFonts w:ascii="Times New Roman" w:hAnsi="Times New Roman"/>
          <w:sz w:val="24"/>
          <w:szCs w:val="24"/>
        </w:rPr>
        <w:t xml:space="preserve"> </w:t>
      </w:r>
      <w:r w:rsidRPr="00CD1C63">
        <w:rPr>
          <w:rFonts w:ascii="Times New Roman" w:hAnsi="Times New Roman"/>
          <w:sz w:val="24"/>
          <w:szCs w:val="24"/>
        </w:rPr>
        <w:t>anyone who has been transferred because of race, color,</w:t>
      </w:r>
      <w:r>
        <w:rPr>
          <w:rFonts w:ascii="Times New Roman" w:hAnsi="Times New Roman"/>
          <w:sz w:val="24"/>
          <w:szCs w:val="24"/>
        </w:rPr>
        <w:t xml:space="preserve"> </w:t>
      </w:r>
      <w:r w:rsidRPr="00CD1C63">
        <w:rPr>
          <w:rFonts w:ascii="Times New Roman" w:hAnsi="Times New Roman"/>
          <w:sz w:val="24"/>
          <w:szCs w:val="24"/>
        </w:rPr>
        <w:t>religion, sex, or national origin should easily be able to show</w:t>
      </w:r>
    </w:p>
    <w:p w14:paraId="204C9C57"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some additional harm—whether in money, time,</w:t>
      </w:r>
      <w:r>
        <w:rPr>
          <w:rFonts w:ascii="Times New Roman" w:hAnsi="Times New Roman"/>
          <w:sz w:val="24"/>
          <w:szCs w:val="24"/>
        </w:rPr>
        <w:t xml:space="preserve"> </w:t>
      </w:r>
      <w:r w:rsidRPr="00CD1C63">
        <w:rPr>
          <w:rFonts w:ascii="Times New Roman" w:hAnsi="Times New Roman"/>
          <w:sz w:val="24"/>
          <w:szCs w:val="24"/>
        </w:rPr>
        <w:t>satisfaction, schedule, convenience, commuting costs or</w:t>
      </w:r>
      <w:r>
        <w:rPr>
          <w:rFonts w:ascii="Times New Roman" w:hAnsi="Times New Roman"/>
          <w:sz w:val="24"/>
          <w:szCs w:val="24"/>
        </w:rPr>
        <w:t xml:space="preserve"> </w:t>
      </w:r>
      <w:r w:rsidRPr="00CD1C63">
        <w:rPr>
          <w:rFonts w:ascii="Times New Roman" w:hAnsi="Times New Roman"/>
          <w:sz w:val="24"/>
          <w:szCs w:val="24"/>
        </w:rPr>
        <w:t>time, prestige, status, career prospects, interest level,</w:t>
      </w:r>
      <w:r>
        <w:rPr>
          <w:rFonts w:ascii="Times New Roman" w:hAnsi="Times New Roman"/>
          <w:sz w:val="24"/>
          <w:szCs w:val="24"/>
        </w:rPr>
        <w:t xml:space="preserve"> </w:t>
      </w:r>
      <w:r w:rsidRPr="00CD1C63">
        <w:rPr>
          <w:rFonts w:ascii="Times New Roman" w:hAnsi="Times New Roman"/>
          <w:sz w:val="24"/>
          <w:szCs w:val="24"/>
        </w:rPr>
        <w:t>perks, professional relationships, networking</w:t>
      </w:r>
      <w:r>
        <w:rPr>
          <w:rFonts w:ascii="Times New Roman" w:hAnsi="Times New Roman"/>
          <w:sz w:val="24"/>
          <w:szCs w:val="24"/>
        </w:rPr>
        <w:t xml:space="preserve"> </w:t>
      </w:r>
      <w:r w:rsidRPr="00CD1C63">
        <w:rPr>
          <w:rFonts w:ascii="Times New Roman" w:hAnsi="Times New Roman"/>
          <w:sz w:val="24"/>
          <w:szCs w:val="24"/>
        </w:rPr>
        <w:t>opportunities, effects on family obligations, or the like.</w:t>
      </w:r>
      <w:r>
        <w:rPr>
          <w:rFonts w:ascii="Times New Roman" w:hAnsi="Times New Roman"/>
          <w:sz w:val="24"/>
          <w:szCs w:val="24"/>
        </w:rPr>
        <w:t>”</w:t>
      </w:r>
    </w:p>
    <w:p w14:paraId="36167F69" w14:textId="77777777" w:rsidR="00B52921" w:rsidRDefault="00B52921" w:rsidP="00B52921">
      <w:pPr>
        <w:rPr>
          <w:rFonts w:ascii="Arial Black" w:hAnsi="Arial Black"/>
          <w:sz w:val="28"/>
          <w:szCs w:val="28"/>
        </w:rPr>
      </w:pPr>
    </w:p>
    <w:p w14:paraId="2CE26F59" w14:textId="77777777" w:rsidR="00B52921" w:rsidRDefault="00B52921" w:rsidP="00F326E5">
      <w:pPr>
        <w:pStyle w:val="NoSpacing"/>
        <w:rPr>
          <w:rFonts w:ascii="Arial Black" w:hAnsi="Arial Black"/>
          <w:b/>
          <w:bCs/>
          <w:sz w:val="24"/>
          <w:szCs w:val="24"/>
        </w:rPr>
      </w:pPr>
    </w:p>
    <w:p w14:paraId="115EE191" w14:textId="77777777" w:rsidR="00B52921" w:rsidRDefault="00B52921" w:rsidP="00F326E5">
      <w:pPr>
        <w:pStyle w:val="NoSpacing"/>
        <w:rPr>
          <w:rFonts w:ascii="Arial Black" w:hAnsi="Arial Black"/>
          <w:b/>
          <w:bCs/>
          <w:sz w:val="24"/>
          <w:szCs w:val="24"/>
        </w:rPr>
      </w:pPr>
    </w:p>
    <w:p w14:paraId="2005FA0B" w14:textId="77777777" w:rsidR="00B52921" w:rsidRDefault="00B52921" w:rsidP="00F326E5">
      <w:pPr>
        <w:pStyle w:val="NoSpacing"/>
        <w:rPr>
          <w:rFonts w:ascii="Arial Black" w:hAnsi="Arial Black"/>
          <w:b/>
          <w:bCs/>
          <w:sz w:val="24"/>
          <w:szCs w:val="24"/>
        </w:rPr>
      </w:pPr>
    </w:p>
    <w:p w14:paraId="2663EE2F" w14:textId="77777777" w:rsidR="00B52921" w:rsidRDefault="00B52921" w:rsidP="00F326E5">
      <w:pPr>
        <w:pStyle w:val="NoSpacing"/>
        <w:rPr>
          <w:rFonts w:ascii="Arial Black" w:hAnsi="Arial Black"/>
          <w:b/>
          <w:bCs/>
          <w:sz w:val="24"/>
          <w:szCs w:val="24"/>
        </w:rPr>
      </w:pPr>
    </w:p>
    <w:p w14:paraId="5E31E56F" w14:textId="77777777" w:rsidR="00B52921" w:rsidRDefault="00B52921" w:rsidP="00F326E5">
      <w:pPr>
        <w:pStyle w:val="NoSpacing"/>
        <w:rPr>
          <w:rFonts w:ascii="Arial Black" w:hAnsi="Arial Black"/>
          <w:b/>
          <w:bCs/>
          <w:sz w:val="24"/>
          <w:szCs w:val="24"/>
        </w:rPr>
      </w:pPr>
    </w:p>
    <w:p w14:paraId="7E3AB5B9" w14:textId="77777777" w:rsidR="00B52921" w:rsidRDefault="00B52921" w:rsidP="00F326E5">
      <w:pPr>
        <w:pStyle w:val="NoSpacing"/>
        <w:rPr>
          <w:rFonts w:ascii="Arial Black" w:hAnsi="Arial Black"/>
          <w:b/>
          <w:bCs/>
          <w:sz w:val="24"/>
          <w:szCs w:val="24"/>
        </w:rPr>
      </w:pPr>
    </w:p>
    <w:p w14:paraId="04787010" w14:textId="77777777" w:rsidR="00B52921" w:rsidRDefault="00B52921" w:rsidP="00F326E5">
      <w:pPr>
        <w:pStyle w:val="NoSpacing"/>
        <w:rPr>
          <w:rFonts w:ascii="Arial Black" w:hAnsi="Arial Black"/>
          <w:b/>
          <w:bCs/>
          <w:sz w:val="24"/>
          <w:szCs w:val="24"/>
        </w:rPr>
      </w:pPr>
    </w:p>
    <w:p w14:paraId="2D864645" w14:textId="2D5A83A1" w:rsidR="00820998" w:rsidRDefault="00772D62" w:rsidP="00F326E5">
      <w:pPr>
        <w:pStyle w:val="NoSpacing"/>
        <w:rPr>
          <w:rFonts w:ascii="Arial Black" w:hAnsi="Arial Black"/>
          <w:b/>
          <w:bCs/>
          <w:sz w:val="24"/>
          <w:szCs w:val="24"/>
        </w:rPr>
      </w:pPr>
      <w:r>
        <w:rPr>
          <w:rFonts w:ascii="Arial Black" w:hAnsi="Arial Black"/>
          <w:b/>
          <w:bCs/>
          <w:sz w:val="24"/>
          <w:szCs w:val="24"/>
        </w:rPr>
        <w:t>7-59</w:t>
      </w:r>
    </w:p>
    <w:p w14:paraId="5F3343AD" w14:textId="77777777" w:rsidR="005251B2" w:rsidRPr="001E7114" w:rsidRDefault="005251B2" w:rsidP="005251B2">
      <w:pPr>
        <w:pStyle w:val="NormalWeb"/>
        <w:rPr>
          <w:rFonts w:ascii="Arial Black" w:hAnsi="Arial Black"/>
          <w:b/>
          <w:bCs/>
          <w:sz w:val="28"/>
          <w:szCs w:val="28"/>
        </w:rPr>
      </w:pPr>
      <w:r w:rsidRPr="001E7114">
        <w:rPr>
          <w:rFonts w:ascii="Arial Black" w:hAnsi="Arial Black"/>
          <w:b/>
          <w:bCs/>
          <w:sz w:val="28"/>
          <w:szCs w:val="28"/>
        </w:rPr>
        <w:t xml:space="preserve">NV: FD VISITOR – KISSING </w:t>
      </w:r>
      <w:r>
        <w:rPr>
          <w:rFonts w:ascii="Arial Black" w:hAnsi="Arial Black"/>
          <w:b/>
          <w:bCs/>
          <w:sz w:val="28"/>
          <w:szCs w:val="28"/>
        </w:rPr>
        <w:t xml:space="preserve">IN </w:t>
      </w:r>
      <w:r w:rsidRPr="001E7114">
        <w:rPr>
          <w:rFonts w:ascii="Arial Black" w:hAnsi="Arial Black"/>
          <w:b/>
          <w:bCs/>
          <w:sz w:val="28"/>
          <w:szCs w:val="28"/>
        </w:rPr>
        <w:t xml:space="preserve">BUNK ROOM - FF REPORTED </w:t>
      </w:r>
      <w:r>
        <w:rPr>
          <w:rFonts w:ascii="Arial Black" w:hAnsi="Arial Black"/>
          <w:b/>
          <w:bCs/>
          <w:sz w:val="28"/>
          <w:szCs w:val="28"/>
        </w:rPr>
        <w:t>TO MGT</w:t>
      </w:r>
      <w:r w:rsidRPr="001E7114">
        <w:rPr>
          <w:rFonts w:ascii="Arial Black" w:hAnsi="Arial Black"/>
          <w:b/>
          <w:bCs/>
          <w:sz w:val="28"/>
          <w:szCs w:val="28"/>
        </w:rPr>
        <w:t>, NEWSPAPER</w:t>
      </w:r>
      <w:r>
        <w:rPr>
          <w:rFonts w:ascii="Arial Black" w:hAnsi="Arial Black"/>
          <w:b/>
          <w:bCs/>
          <w:sz w:val="28"/>
          <w:szCs w:val="28"/>
        </w:rPr>
        <w:t xml:space="preserve"> ARTICLE</w:t>
      </w:r>
      <w:r w:rsidRPr="001E7114">
        <w:rPr>
          <w:rFonts w:ascii="Arial Black" w:hAnsi="Arial Black"/>
          <w:b/>
          <w:bCs/>
          <w:sz w:val="28"/>
          <w:szCs w:val="28"/>
        </w:rPr>
        <w:t xml:space="preserve"> – CASE DISMISSED</w:t>
      </w:r>
    </w:p>
    <w:p w14:paraId="4CB827A7" w14:textId="77777777" w:rsidR="005251B2" w:rsidRPr="005535D1" w:rsidRDefault="005251B2" w:rsidP="005251B2">
      <w:pPr>
        <w:pStyle w:val="NoSpacing"/>
        <w:rPr>
          <w:rFonts w:ascii="Times New Roman" w:hAnsi="Times New Roman"/>
          <w:sz w:val="24"/>
          <w:szCs w:val="24"/>
        </w:rPr>
      </w:pPr>
      <w:r w:rsidRPr="005535D1">
        <w:rPr>
          <w:rFonts w:ascii="Times New Roman" w:hAnsi="Times New Roman"/>
          <w:sz w:val="24"/>
          <w:szCs w:val="24"/>
        </w:rPr>
        <w:t xml:space="preserve">On Feb. 29, </w:t>
      </w:r>
      <w:proofErr w:type="gramStart"/>
      <w:r w:rsidRPr="005535D1">
        <w:rPr>
          <w:rFonts w:ascii="Times New Roman" w:hAnsi="Times New Roman"/>
          <w:sz w:val="24"/>
          <w:szCs w:val="24"/>
        </w:rPr>
        <w:t>2024</w:t>
      </w:r>
      <w:proofErr w:type="gramEnd"/>
      <w:r w:rsidRPr="005535D1">
        <w:rPr>
          <w:rFonts w:ascii="Times New Roman" w:hAnsi="Times New Roman"/>
          <w:sz w:val="24"/>
          <w:szCs w:val="24"/>
        </w:rPr>
        <w:t xml:space="preserve"> in </w:t>
      </w:r>
      <w:r w:rsidRPr="005535D1">
        <w:rPr>
          <w:rFonts w:ascii="Times New Roman" w:hAnsi="Times New Roman"/>
          <w:sz w:val="24"/>
          <w:szCs w:val="24"/>
          <w:u w:val="single"/>
        </w:rPr>
        <w:t>Eric Scheumann v. City of Las Vegas, Las Vegas Fire &amp; Rescue</w:t>
      </w:r>
      <w:r w:rsidRPr="005535D1">
        <w:rPr>
          <w:rFonts w:ascii="Times New Roman" w:hAnsi="Times New Roman"/>
          <w:sz w:val="24"/>
          <w:szCs w:val="24"/>
        </w:rPr>
        <w:t>, U.S. District Court Judge Jennifer A. Dorsey granted the defense motion for summary judgment. “Eric Scheumann brings this employment action against City of Las Vegas Fire &amp; Rescue for events arising from an August 2017 visit to his fire station by guests of a coworker. Scheumann claims that he overheard kissing noises coming from his coworker’s dorm, the same coworker showed him and the visiting guests a 15-second pornographic video of ‘a man’s genitalia eclipsing the sun’ later that same day, and Scheumann suffered retaliation because he reported the incidents and his superiors’ inadequate handling of them.”</w:t>
      </w:r>
    </w:p>
    <w:p w14:paraId="4FD60969" w14:textId="77777777" w:rsidR="005251B2" w:rsidRDefault="005251B2" w:rsidP="005251B2">
      <w:pPr>
        <w:pStyle w:val="NormalWeb"/>
      </w:pPr>
      <w:r>
        <w:t>Court held:</w:t>
      </w:r>
    </w:p>
    <w:p w14:paraId="6133CF85" w14:textId="77777777" w:rsidR="005251B2" w:rsidRPr="00C676FC" w:rsidRDefault="005251B2" w:rsidP="005251B2">
      <w:pPr>
        <w:pStyle w:val="NoSpacing"/>
        <w:ind w:firstLine="720"/>
        <w:rPr>
          <w:rFonts w:ascii="Times New Roman" w:hAnsi="Times New Roman"/>
          <w:sz w:val="24"/>
          <w:szCs w:val="24"/>
        </w:rPr>
      </w:pPr>
      <w:r>
        <w:rPr>
          <w:rFonts w:ascii="Times New Roman" w:hAnsi="Times New Roman"/>
          <w:sz w:val="24"/>
          <w:szCs w:val="24"/>
        </w:rPr>
        <w:t>“</w:t>
      </w:r>
      <w:proofErr w:type="gramStart"/>
      <w:r w:rsidRPr="00C676FC">
        <w:rPr>
          <w:rFonts w:ascii="Times New Roman" w:hAnsi="Times New Roman"/>
          <w:sz w:val="24"/>
          <w:szCs w:val="24"/>
        </w:rPr>
        <w:t>So</w:t>
      </w:r>
      <w:proofErr w:type="gramEnd"/>
      <w:r w:rsidRPr="00C676FC">
        <w:rPr>
          <w:rFonts w:ascii="Times New Roman" w:hAnsi="Times New Roman"/>
          <w:sz w:val="24"/>
          <w:szCs w:val="24"/>
        </w:rPr>
        <w:t xml:space="preserve"> there is no evidence to support Scheumann’s negligent-retention theory, and his</w:t>
      </w:r>
    </w:p>
    <w:p w14:paraId="1BACFB02" w14:textId="77777777" w:rsidR="005251B2" w:rsidRDefault="005251B2" w:rsidP="005251B2">
      <w:pPr>
        <w:pStyle w:val="NoSpacing"/>
        <w:ind w:left="720"/>
      </w:pPr>
      <w:r w:rsidRPr="00C676FC">
        <w:rPr>
          <w:rFonts w:ascii="Times New Roman" w:hAnsi="Times New Roman"/>
          <w:sz w:val="24"/>
          <w:szCs w:val="24"/>
        </w:rPr>
        <w:t>negligent-training and negligent-supervision theories suffer from breach and causation voids.</w:t>
      </w:r>
      <w:r>
        <w:rPr>
          <w:rFonts w:ascii="Times New Roman" w:hAnsi="Times New Roman"/>
          <w:sz w:val="24"/>
          <w:szCs w:val="24"/>
        </w:rPr>
        <w:t xml:space="preserve"> </w:t>
      </w:r>
      <w:r w:rsidRPr="00C676FC">
        <w:rPr>
          <w:rFonts w:ascii="Times New Roman" w:hAnsi="Times New Roman"/>
          <w:sz w:val="24"/>
          <w:szCs w:val="24"/>
        </w:rPr>
        <w:t>This leaves no genuine disputes of fact as to Scheumann’s negligent training, supervision, and</w:t>
      </w:r>
      <w:r>
        <w:rPr>
          <w:rFonts w:ascii="Times New Roman" w:hAnsi="Times New Roman"/>
          <w:sz w:val="24"/>
          <w:szCs w:val="24"/>
        </w:rPr>
        <w:t xml:space="preserve"> </w:t>
      </w:r>
      <w:r w:rsidRPr="00C676FC">
        <w:rPr>
          <w:rFonts w:ascii="Times New Roman" w:hAnsi="Times New Roman"/>
          <w:sz w:val="24"/>
          <w:szCs w:val="24"/>
        </w:rPr>
        <w:t xml:space="preserve">retention claim because he hasn’t shown that Fire &amp; Rescue </w:t>
      </w:r>
      <w:r>
        <w:rPr>
          <w:rFonts w:ascii="Times New Roman" w:hAnsi="Times New Roman"/>
          <w:sz w:val="24"/>
          <w:szCs w:val="24"/>
        </w:rPr>
        <w:t>‘</w:t>
      </w:r>
      <w:r w:rsidRPr="00C676FC">
        <w:rPr>
          <w:rFonts w:ascii="Times New Roman" w:hAnsi="Times New Roman"/>
          <w:sz w:val="24"/>
          <w:szCs w:val="24"/>
        </w:rPr>
        <w:t>failed to use reasonable care in the</w:t>
      </w:r>
      <w:r>
        <w:rPr>
          <w:rFonts w:ascii="Times New Roman" w:hAnsi="Times New Roman"/>
          <w:sz w:val="24"/>
          <w:szCs w:val="24"/>
        </w:rPr>
        <w:t xml:space="preserve"> </w:t>
      </w:r>
      <w:r w:rsidRPr="00C676FC">
        <w:rPr>
          <w:rFonts w:ascii="Times New Roman" w:hAnsi="Times New Roman"/>
          <w:sz w:val="24"/>
          <w:szCs w:val="24"/>
        </w:rPr>
        <w:t>training, supervision, and retention of its employees to ensure their fitness for their respective</w:t>
      </w:r>
      <w:r>
        <w:rPr>
          <w:rFonts w:ascii="Times New Roman" w:hAnsi="Times New Roman"/>
          <w:sz w:val="24"/>
          <w:szCs w:val="24"/>
        </w:rPr>
        <w:t xml:space="preserve"> </w:t>
      </w:r>
      <w:r w:rsidRPr="00C676FC">
        <w:rPr>
          <w:rFonts w:ascii="Times New Roman" w:hAnsi="Times New Roman"/>
          <w:sz w:val="24"/>
          <w:szCs w:val="24"/>
        </w:rPr>
        <w:t>positions.”145 So I grant summary judgment in Fire &amp; Rescue’s favor on these remaining</w:t>
      </w:r>
      <w:r>
        <w:rPr>
          <w:rFonts w:ascii="Times New Roman" w:hAnsi="Times New Roman"/>
          <w:sz w:val="24"/>
          <w:szCs w:val="24"/>
        </w:rPr>
        <w:t xml:space="preserve"> </w:t>
      </w:r>
      <w:r w:rsidRPr="00C676FC">
        <w:rPr>
          <w:rFonts w:ascii="Times New Roman" w:hAnsi="Times New Roman"/>
          <w:sz w:val="24"/>
          <w:szCs w:val="24"/>
        </w:rPr>
        <w:t>negligence-based claims, too</w:t>
      </w:r>
      <w:r>
        <w:rPr>
          <w:rFonts w:ascii="Times New Roman" w:hAnsi="Times New Roman"/>
          <w:sz w:val="24"/>
          <w:szCs w:val="24"/>
        </w:rPr>
        <w:t xml:space="preserve">.” </w:t>
      </w:r>
      <w:hyperlink r:id="rId1416" w:history="1">
        <w:r w:rsidRPr="00644350">
          <w:rPr>
            <w:rStyle w:val="Hyperlink"/>
          </w:rPr>
          <w:t>https://cases.justia.com/federal/district-courts/nevada/nvdce/2:2021cv01405/151510/46/0.pdf</w:t>
        </w:r>
      </w:hyperlink>
      <w:r>
        <w:t xml:space="preserve"> </w:t>
      </w:r>
    </w:p>
    <w:p w14:paraId="6024C2F9" w14:textId="77777777" w:rsidR="005251B2" w:rsidRPr="00A932F2" w:rsidRDefault="005251B2" w:rsidP="005251B2">
      <w:pPr>
        <w:pStyle w:val="NormalWeb"/>
        <w:rPr>
          <w:b/>
          <w:bCs/>
        </w:rPr>
      </w:pPr>
      <w:r w:rsidRPr="00A932F2">
        <w:rPr>
          <w:b/>
          <w:bCs/>
        </w:rPr>
        <w:t xml:space="preserve">Legal Lesson Learned: Have a clear visitor policy that </w:t>
      </w:r>
      <w:r>
        <w:rPr>
          <w:b/>
          <w:bCs/>
        </w:rPr>
        <w:t xml:space="preserve">prohibits </w:t>
      </w:r>
      <w:r w:rsidRPr="00A932F2">
        <w:rPr>
          <w:b/>
          <w:bCs/>
        </w:rPr>
        <w:t xml:space="preserve">visitors </w:t>
      </w:r>
      <w:r>
        <w:rPr>
          <w:b/>
          <w:bCs/>
        </w:rPr>
        <w:t xml:space="preserve">in bunk </w:t>
      </w:r>
      <w:proofErr w:type="gramStart"/>
      <w:r>
        <w:rPr>
          <w:b/>
          <w:bCs/>
        </w:rPr>
        <w:t>room</w:t>
      </w:r>
      <w:proofErr w:type="gramEnd"/>
      <w:r>
        <w:rPr>
          <w:b/>
          <w:bCs/>
        </w:rPr>
        <w:t xml:space="preserve">. </w:t>
      </w:r>
    </w:p>
    <w:p w14:paraId="7D58C39D" w14:textId="77777777" w:rsidR="005251B2" w:rsidRDefault="005251B2" w:rsidP="005251B2">
      <w:pPr>
        <w:pStyle w:val="Heading1"/>
        <w:ind w:left="720"/>
        <w:rPr>
          <w:b w:val="0"/>
          <w:bCs w:val="0"/>
          <w:sz w:val="24"/>
          <w:szCs w:val="24"/>
        </w:rPr>
      </w:pPr>
      <w:r w:rsidRPr="000542CC">
        <w:rPr>
          <w:b w:val="0"/>
          <w:bCs w:val="0"/>
          <w:sz w:val="24"/>
          <w:szCs w:val="24"/>
        </w:rPr>
        <w:t xml:space="preserve">Note: See Sept. 21, </w:t>
      </w:r>
      <w:proofErr w:type="gramStart"/>
      <w:r w:rsidRPr="000542CC">
        <w:rPr>
          <w:b w:val="0"/>
          <w:bCs w:val="0"/>
          <w:sz w:val="24"/>
          <w:szCs w:val="24"/>
        </w:rPr>
        <w:t>2017</w:t>
      </w:r>
      <w:proofErr w:type="gramEnd"/>
      <w:r w:rsidRPr="000542CC">
        <w:rPr>
          <w:b w:val="0"/>
          <w:bCs w:val="0"/>
          <w:sz w:val="24"/>
          <w:szCs w:val="24"/>
        </w:rPr>
        <w:t xml:space="preserve"> article: “Sex, cover-up at Las Vegas fire station alleged in document.” </w:t>
      </w:r>
      <w:hyperlink r:id="rId1417" w:history="1">
        <w:r w:rsidRPr="000542CC">
          <w:rPr>
            <w:rStyle w:val="Hyperlink"/>
            <w:b w:val="0"/>
            <w:bCs w:val="0"/>
            <w:sz w:val="24"/>
            <w:szCs w:val="24"/>
          </w:rPr>
          <w:t>https://www.reviewjournal.com/local/sex-cover-up-at-las-vegas-fire-station-alleged-in-document/</w:t>
        </w:r>
      </w:hyperlink>
      <w:r w:rsidRPr="000542CC">
        <w:rPr>
          <w:b w:val="0"/>
          <w:bCs w:val="0"/>
          <w:sz w:val="24"/>
          <w:szCs w:val="24"/>
        </w:rPr>
        <w:t xml:space="preserve"> </w:t>
      </w:r>
    </w:p>
    <w:p w14:paraId="51555339" w14:textId="77777777" w:rsidR="005251B2" w:rsidRDefault="005251B2" w:rsidP="005251B2">
      <w:pPr>
        <w:pStyle w:val="NormalWeb"/>
      </w:pPr>
    </w:p>
    <w:p w14:paraId="06DCC9B8" w14:textId="77777777" w:rsidR="005251B2" w:rsidRDefault="005251B2" w:rsidP="00F326E5">
      <w:pPr>
        <w:pStyle w:val="NoSpacing"/>
        <w:rPr>
          <w:rFonts w:ascii="Arial Black" w:hAnsi="Arial Black"/>
          <w:b/>
          <w:bCs/>
          <w:sz w:val="24"/>
          <w:szCs w:val="24"/>
        </w:rPr>
      </w:pPr>
    </w:p>
    <w:p w14:paraId="23B63846" w14:textId="77777777" w:rsidR="00772D62" w:rsidRDefault="00772D62" w:rsidP="00F326E5">
      <w:pPr>
        <w:pStyle w:val="NoSpacing"/>
        <w:rPr>
          <w:rFonts w:ascii="Arial Black" w:hAnsi="Arial Black"/>
          <w:b/>
          <w:bCs/>
          <w:sz w:val="24"/>
          <w:szCs w:val="24"/>
        </w:rPr>
      </w:pPr>
    </w:p>
    <w:p w14:paraId="40F1923E" w14:textId="77777777" w:rsidR="00772D62" w:rsidRDefault="00772D62" w:rsidP="00F326E5">
      <w:pPr>
        <w:pStyle w:val="NoSpacing"/>
        <w:rPr>
          <w:rFonts w:ascii="Arial Black" w:hAnsi="Arial Black"/>
          <w:b/>
          <w:bCs/>
          <w:sz w:val="24"/>
          <w:szCs w:val="24"/>
        </w:rPr>
      </w:pPr>
    </w:p>
    <w:p w14:paraId="1CFEF835" w14:textId="2099A23C" w:rsidR="0061488E" w:rsidRDefault="0061488E" w:rsidP="00F326E5">
      <w:pPr>
        <w:pStyle w:val="NoSpacing"/>
        <w:rPr>
          <w:rFonts w:ascii="Arial Black" w:hAnsi="Arial Black"/>
          <w:b/>
          <w:bCs/>
          <w:sz w:val="24"/>
          <w:szCs w:val="24"/>
        </w:rPr>
      </w:pPr>
      <w:r>
        <w:rPr>
          <w:rFonts w:ascii="Arial Black" w:hAnsi="Arial Black"/>
          <w:b/>
          <w:bCs/>
          <w:sz w:val="24"/>
          <w:szCs w:val="24"/>
        </w:rPr>
        <w:t>7-58</w:t>
      </w:r>
    </w:p>
    <w:p w14:paraId="605B9E92" w14:textId="77777777" w:rsidR="00451608" w:rsidRPr="004A5B4B" w:rsidRDefault="00451608" w:rsidP="00451608">
      <w:pPr>
        <w:pStyle w:val="NormalWeb"/>
        <w:rPr>
          <w:rFonts w:ascii="Arial Black" w:hAnsi="Arial Black"/>
          <w:b/>
          <w:bCs/>
          <w:sz w:val="28"/>
          <w:szCs w:val="28"/>
        </w:rPr>
      </w:pPr>
      <w:r>
        <w:rPr>
          <w:rFonts w:ascii="Arial Black" w:hAnsi="Arial Black"/>
          <w:b/>
          <w:bCs/>
          <w:sz w:val="28"/>
          <w:szCs w:val="28"/>
        </w:rPr>
        <w:t>DC: LT. ON DUTY GRABBED BREASTS FEMALE FF – CONV. –HOSTILE WORKPLACE CASE PROCEED - NOT RETALIATION</w:t>
      </w:r>
    </w:p>
    <w:p w14:paraId="35DF2F57" w14:textId="77777777" w:rsidR="00451608" w:rsidRPr="005235E2" w:rsidRDefault="00451608" w:rsidP="00451608">
      <w:pPr>
        <w:pStyle w:val="NormalWeb"/>
      </w:pPr>
      <w:r w:rsidRPr="005235E2">
        <w:t xml:space="preserve">On Jan. 29, 2024, in </w:t>
      </w:r>
      <w:r w:rsidRPr="005235E2">
        <w:rPr>
          <w:u w:val="single"/>
        </w:rPr>
        <w:t>Anaje Boyd v. District of Columbia</w:t>
      </w:r>
      <w:r w:rsidRPr="005235E2">
        <w:t>, U.S. District Court Judge Rudolph Contreras, U.S. District Court for District of Columbia, held that the plaintiffs claim for hostile work environment may proceed with pre-trial discovery, but the claim of retaliation for FD delay in conducting are internal investigation is dismissed.  When she filed a complaint with the Police Department, the FD’s EEO officer (Amy Mauro) and Internal Affairs Captain Melonie Barnes told her to hold off filing EEOC charge while criminal case was proceeding.</w:t>
      </w:r>
    </w:p>
    <w:p w14:paraId="169C4CE5" w14:textId="4E27F073" w:rsidR="0061488E" w:rsidRPr="005235E2" w:rsidRDefault="00451608" w:rsidP="00451608">
      <w:pPr>
        <w:pStyle w:val="NoSpacing"/>
        <w:rPr>
          <w:rStyle w:val="Hyperlink"/>
          <w:rFonts w:ascii="Times New Roman" w:hAnsi="Times New Roman"/>
          <w:sz w:val="24"/>
          <w:szCs w:val="24"/>
        </w:rPr>
      </w:pPr>
      <w:r w:rsidRPr="005235E2">
        <w:rPr>
          <w:rFonts w:ascii="Times New Roman" w:hAnsi="Times New Roman"/>
          <w:sz w:val="24"/>
          <w:szCs w:val="24"/>
        </w:rPr>
        <w:t xml:space="preserve">“Although Boyd's written narrative does mention that Mauro and Cpt. Barnes instructed her that she could not file an EEO complaint until the criminal proceedings against Lt. Jordan had concluded, </w:t>
      </w:r>
      <w:r w:rsidRPr="005235E2">
        <w:rPr>
          <w:rStyle w:val="Emphasis"/>
          <w:rFonts w:ascii="Times New Roman" w:hAnsi="Times New Roman"/>
          <w:sz w:val="24"/>
          <w:szCs w:val="24"/>
        </w:rPr>
        <w:t>see</w:t>
      </w:r>
      <w:r w:rsidRPr="005235E2">
        <w:rPr>
          <w:rFonts w:ascii="Times New Roman" w:hAnsi="Times New Roman"/>
          <w:sz w:val="24"/>
          <w:szCs w:val="24"/>
        </w:rPr>
        <w:t xml:space="preserve"> EEOC Charge at 5; </w:t>
      </w:r>
      <w:r w:rsidRPr="005235E2">
        <w:rPr>
          <w:rStyle w:val="Emphasis"/>
          <w:rFonts w:ascii="Times New Roman" w:hAnsi="Times New Roman"/>
          <w:sz w:val="24"/>
          <w:szCs w:val="24"/>
        </w:rPr>
        <w:t>see also</w:t>
      </w:r>
      <w:r w:rsidRPr="005235E2">
        <w:rPr>
          <w:rFonts w:ascii="Times New Roman" w:hAnsi="Times New Roman"/>
          <w:sz w:val="24"/>
          <w:szCs w:val="24"/>
        </w:rPr>
        <w:t xml:space="preserve"> Pl.'s </w:t>
      </w:r>
      <w:proofErr w:type="spellStart"/>
      <w:r w:rsidRPr="005235E2">
        <w:rPr>
          <w:rFonts w:ascii="Times New Roman" w:hAnsi="Times New Roman"/>
          <w:sz w:val="24"/>
          <w:szCs w:val="24"/>
        </w:rPr>
        <w:t>Opp'n</w:t>
      </w:r>
      <w:proofErr w:type="spellEnd"/>
      <w:r w:rsidRPr="005235E2">
        <w:rPr>
          <w:rFonts w:ascii="Times New Roman" w:hAnsi="Times New Roman"/>
          <w:sz w:val="24"/>
          <w:szCs w:val="24"/>
        </w:rPr>
        <w:t xml:space="preserve"> at 9 (arguing that the inclusion of these facts satisfies the exhaustion requirement), there is nothing in that narrative that suggests-in any way-that Boyd viewed Mauro's or Cpt. Barnes's instructions to be retaliatory…. Rather, Boyd's description of Mauro's and Cpt. Barnes's acts is best (and most reasonably) understood as providing support for why she delayed in filing her formal discrimination complaint. That being so-and given the absence of any other factual allegations that suggest Boyd was describing a retaliation claim-the Court cannot conclude that Boyd's complaint would have ‘reasonably give[n] rise to an investigation’ into retaliation (as opposed to an investigation solely focused on sex discrimination and sexual harassment).” </w:t>
      </w:r>
      <w:hyperlink r:id="rId1418" w:history="1">
        <w:r w:rsidRPr="005235E2">
          <w:rPr>
            <w:rStyle w:val="Hyperlink"/>
            <w:rFonts w:ascii="Times New Roman" w:hAnsi="Times New Roman"/>
            <w:sz w:val="24"/>
            <w:szCs w:val="24"/>
          </w:rPr>
          <w:t>https://public.fastcase.com/ZZhmr5v9wN%2FXOe5IsQ%2FqD6jMQR25voU2zetCo1HgS1zBk8tCI%2FmKZ0pb%2BYQBY4PYbj2YxbwIVSZ2pGprXwG4UQ35c6nwrJlu7u4tvaka%2BGk%3D?utm_medium=email&amp;_hsmi=226712652&amp;_hsenc=p2ANqtz-8k0z7Ow52c-ClX2b2IdaHNx0isoBG6vg98c6p6ibbt9CVV8mr3zs9YYXJjoYif24S7rYOdhr1XcCDTZ_K6Y2uCJJR3PQ&amp;utm_content=226712652&amp;utm_source=hs_email</w:t>
        </w:r>
      </w:hyperlink>
    </w:p>
    <w:p w14:paraId="51C14711" w14:textId="77777777" w:rsidR="005235E2" w:rsidRPr="005235E2" w:rsidRDefault="005235E2" w:rsidP="00451608">
      <w:pPr>
        <w:pStyle w:val="NoSpacing"/>
        <w:rPr>
          <w:rStyle w:val="Hyperlink"/>
          <w:rFonts w:ascii="Times New Roman" w:hAnsi="Times New Roman"/>
          <w:sz w:val="24"/>
          <w:szCs w:val="24"/>
        </w:rPr>
      </w:pPr>
    </w:p>
    <w:p w14:paraId="1FAC7ACC" w14:textId="77777777" w:rsidR="005235E2" w:rsidRPr="005235E2" w:rsidRDefault="005235E2" w:rsidP="005235E2">
      <w:pPr>
        <w:rPr>
          <w:rFonts w:ascii="Times New Roman" w:hAnsi="Times New Roman"/>
          <w:b/>
          <w:bCs/>
          <w:sz w:val="24"/>
          <w:szCs w:val="24"/>
        </w:rPr>
      </w:pPr>
      <w:r w:rsidRPr="005235E2">
        <w:rPr>
          <w:rFonts w:ascii="Times New Roman" w:hAnsi="Times New Roman"/>
          <w:b/>
          <w:bCs/>
          <w:sz w:val="24"/>
          <w:szCs w:val="24"/>
        </w:rPr>
        <w:t xml:space="preserve">Legal Lesson Learned:  An on-duty assault is shocking. The court opinion does not mention whether the Lt. Antwan Jordan was fired, or whether he received jail time.  </w:t>
      </w:r>
    </w:p>
    <w:p w14:paraId="36EFB27C" w14:textId="77777777" w:rsidR="005235E2" w:rsidRPr="005235E2" w:rsidRDefault="005235E2" w:rsidP="005235E2">
      <w:pPr>
        <w:pStyle w:val="Heading1"/>
        <w:ind w:left="720"/>
        <w:rPr>
          <w:b w:val="0"/>
          <w:bCs w:val="0"/>
          <w:sz w:val="24"/>
          <w:szCs w:val="24"/>
        </w:rPr>
      </w:pPr>
      <w:r w:rsidRPr="005235E2">
        <w:rPr>
          <w:b w:val="0"/>
          <w:bCs w:val="0"/>
          <w:sz w:val="24"/>
          <w:szCs w:val="24"/>
        </w:rPr>
        <w:t xml:space="preserve">Note:  A Google search reveals a prior incident on March 7, </w:t>
      </w:r>
      <w:proofErr w:type="gramStart"/>
      <w:r w:rsidRPr="005235E2">
        <w:rPr>
          <w:b w:val="0"/>
          <w:bCs w:val="0"/>
          <w:sz w:val="24"/>
          <w:szCs w:val="24"/>
        </w:rPr>
        <w:t>2014</w:t>
      </w:r>
      <w:proofErr w:type="gramEnd"/>
      <w:r w:rsidRPr="005235E2">
        <w:rPr>
          <w:b w:val="0"/>
          <w:bCs w:val="0"/>
          <w:sz w:val="24"/>
          <w:szCs w:val="24"/>
        </w:rPr>
        <w:t xml:space="preserve"> that appears to be same individual. “Wednesday, firefighter Antwan Jordon was arrested outside of firehouse Engine 15 and charged with misdemeanor sex abuse. Surveillance video shows Jordan, in uniform, slapping a woman’s buttocks at a Southeast D.C. elementary school, according to Fox 5.  A fire department spokesman says … Jordan [has] been placed on administrative leave.” </w:t>
      </w:r>
      <w:hyperlink r:id="rId1419" w:history="1">
        <w:r w:rsidRPr="005235E2">
          <w:rPr>
            <w:rStyle w:val="Hyperlink"/>
            <w:b w:val="0"/>
            <w:bCs w:val="0"/>
            <w:sz w:val="24"/>
            <w:szCs w:val="24"/>
          </w:rPr>
          <w:t>https://wtop.com/news/2014/03/dc-firefighter-charged-with-filling-fake-prescriptions/</w:t>
        </w:r>
      </w:hyperlink>
    </w:p>
    <w:p w14:paraId="15D82267" w14:textId="77777777" w:rsidR="005235E2" w:rsidRDefault="005235E2" w:rsidP="00451608">
      <w:pPr>
        <w:pStyle w:val="NoSpacing"/>
        <w:rPr>
          <w:rFonts w:ascii="Arial Black" w:hAnsi="Arial Black"/>
          <w:b/>
          <w:bCs/>
          <w:sz w:val="24"/>
          <w:szCs w:val="24"/>
        </w:rPr>
      </w:pPr>
    </w:p>
    <w:p w14:paraId="4FB4C5A3" w14:textId="77777777" w:rsidR="0061488E" w:rsidRDefault="0061488E" w:rsidP="00F326E5">
      <w:pPr>
        <w:pStyle w:val="NoSpacing"/>
        <w:rPr>
          <w:rFonts w:ascii="Arial Black" w:hAnsi="Arial Black"/>
          <w:b/>
          <w:bCs/>
          <w:sz w:val="24"/>
          <w:szCs w:val="24"/>
        </w:rPr>
      </w:pPr>
    </w:p>
    <w:p w14:paraId="0FA1918F" w14:textId="77777777" w:rsidR="0061488E" w:rsidRDefault="0061488E" w:rsidP="00F326E5">
      <w:pPr>
        <w:pStyle w:val="NoSpacing"/>
        <w:rPr>
          <w:rFonts w:ascii="Arial Black" w:hAnsi="Arial Black"/>
          <w:b/>
          <w:bCs/>
          <w:sz w:val="24"/>
          <w:szCs w:val="24"/>
        </w:rPr>
      </w:pPr>
    </w:p>
    <w:p w14:paraId="471C94E6" w14:textId="7C84D9B9" w:rsidR="002C6181" w:rsidRDefault="002C6181" w:rsidP="00F326E5">
      <w:pPr>
        <w:pStyle w:val="NoSpacing"/>
        <w:rPr>
          <w:rFonts w:ascii="Arial Black" w:hAnsi="Arial Black"/>
          <w:b/>
          <w:bCs/>
          <w:sz w:val="24"/>
          <w:szCs w:val="24"/>
        </w:rPr>
      </w:pPr>
      <w:r>
        <w:rPr>
          <w:rFonts w:ascii="Arial Black" w:hAnsi="Arial Black"/>
          <w:b/>
          <w:bCs/>
          <w:sz w:val="24"/>
          <w:szCs w:val="24"/>
        </w:rPr>
        <w:t>7-</w:t>
      </w:r>
      <w:r w:rsidR="006164CF">
        <w:rPr>
          <w:rFonts w:ascii="Arial Black" w:hAnsi="Arial Black"/>
          <w:b/>
          <w:bCs/>
          <w:sz w:val="24"/>
          <w:szCs w:val="24"/>
        </w:rPr>
        <w:t>57</w:t>
      </w:r>
    </w:p>
    <w:p w14:paraId="59C00EAC" w14:textId="77777777" w:rsidR="006164CF" w:rsidRDefault="006164CF" w:rsidP="00F326E5">
      <w:pPr>
        <w:pStyle w:val="NoSpacing"/>
        <w:rPr>
          <w:rFonts w:ascii="Arial Black" w:hAnsi="Arial Black"/>
          <w:b/>
          <w:bCs/>
          <w:sz w:val="24"/>
          <w:szCs w:val="24"/>
        </w:rPr>
      </w:pPr>
    </w:p>
    <w:p w14:paraId="69E1F1F5" w14:textId="77777777" w:rsidR="00B1569B" w:rsidRDefault="00B1569B" w:rsidP="00B1569B">
      <w:pPr>
        <w:pStyle w:val="NoSpacing"/>
        <w:rPr>
          <w:rFonts w:ascii="Arial Black" w:hAnsi="Arial Black"/>
          <w:sz w:val="28"/>
          <w:szCs w:val="28"/>
        </w:rPr>
      </w:pPr>
      <w:r>
        <w:rPr>
          <w:rFonts w:ascii="Arial Black" w:hAnsi="Arial Black"/>
          <w:sz w:val="28"/>
          <w:szCs w:val="28"/>
        </w:rPr>
        <w:t>IL: CHICAGO FD – FEMALES FAILED PHYSICAL FITNESS – SETTLEMENT / REHIRED – CAN NOW SEEK DAMAGES</w:t>
      </w:r>
    </w:p>
    <w:p w14:paraId="1C0C342D" w14:textId="77777777" w:rsidR="00B1569B" w:rsidRDefault="00B1569B" w:rsidP="00B1569B">
      <w:pPr>
        <w:pStyle w:val="NoSpacing"/>
        <w:rPr>
          <w:rFonts w:ascii="Times New Roman" w:hAnsi="Times New Roman"/>
          <w:sz w:val="24"/>
          <w:szCs w:val="24"/>
        </w:rPr>
      </w:pPr>
    </w:p>
    <w:p w14:paraId="1B3A529B" w14:textId="77777777" w:rsidR="00B1569B" w:rsidRDefault="00B1569B" w:rsidP="00B1569B">
      <w:pPr>
        <w:pStyle w:val="NoSpacing"/>
        <w:rPr>
          <w:rFonts w:ascii="Times New Roman" w:hAnsi="Times New Roman"/>
          <w:sz w:val="24"/>
          <w:szCs w:val="24"/>
        </w:rPr>
      </w:pPr>
      <w:r>
        <w:rPr>
          <w:rFonts w:ascii="Times New Roman" w:hAnsi="Times New Roman"/>
          <w:sz w:val="24"/>
          <w:szCs w:val="24"/>
        </w:rPr>
        <w:t xml:space="preserve">On Jan. 7, 2024, in </w:t>
      </w:r>
      <w:r w:rsidRPr="00D351A0">
        <w:rPr>
          <w:rFonts w:ascii="Times New Roman" w:hAnsi="Times New Roman"/>
          <w:sz w:val="24"/>
          <w:szCs w:val="24"/>
          <w:u w:val="single"/>
        </w:rPr>
        <w:t>Jennifer Livingston, et al. v. City of Chicago</w:t>
      </w:r>
      <w:r>
        <w:rPr>
          <w:rFonts w:ascii="Times New Roman" w:hAnsi="Times New Roman"/>
          <w:sz w:val="24"/>
          <w:szCs w:val="24"/>
        </w:rPr>
        <w:t xml:space="preserve">, U.S. District Court Judge Sara L. Ellis, U.S. District Court for Northern District of Illinois (Eastern Division) held that while most of the five female paramedics (fired 2014 – 2016) have been re-hired under a 2019 settlement agreement, an amended complaint may now be filed to seek uncapped damages. One of the </w:t>
      </w:r>
      <w:proofErr w:type="gramStart"/>
      <w:r>
        <w:rPr>
          <w:rFonts w:ascii="Times New Roman" w:hAnsi="Times New Roman"/>
          <w:sz w:val="24"/>
          <w:szCs w:val="24"/>
        </w:rPr>
        <w:t>medic</w:t>
      </w:r>
      <w:proofErr w:type="gramEnd"/>
      <w:r>
        <w:rPr>
          <w:rFonts w:ascii="Times New Roman" w:hAnsi="Times New Roman"/>
          <w:sz w:val="24"/>
          <w:szCs w:val="24"/>
        </w:rPr>
        <w:t xml:space="preserve"> failed her medical - i</w:t>
      </w:r>
      <w:r w:rsidRPr="00C405EC">
        <w:rPr>
          <w:rFonts w:ascii="Times New Roman" w:hAnsi="Times New Roman"/>
          <w:sz w:val="24"/>
          <w:szCs w:val="24"/>
        </w:rPr>
        <w:t>n March 2019, Dr. William Wong, CFD’s medical director, indicated that he would not</w:t>
      </w:r>
      <w:r>
        <w:rPr>
          <w:rFonts w:ascii="Times New Roman" w:hAnsi="Times New Roman"/>
          <w:sz w:val="24"/>
          <w:szCs w:val="24"/>
        </w:rPr>
        <w:t xml:space="preserve"> c</w:t>
      </w:r>
      <w:r w:rsidRPr="00C405EC">
        <w:rPr>
          <w:rFonts w:ascii="Times New Roman" w:hAnsi="Times New Roman"/>
          <w:sz w:val="24"/>
          <w:szCs w:val="24"/>
        </w:rPr>
        <w:t>lear</w:t>
      </w:r>
      <w:r>
        <w:rPr>
          <w:rFonts w:ascii="Times New Roman" w:hAnsi="Times New Roman"/>
          <w:sz w:val="24"/>
          <w:szCs w:val="24"/>
        </w:rPr>
        <w:t xml:space="preserve"> Donna</w:t>
      </w:r>
      <w:r w:rsidRPr="00C405EC">
        <w:rPr>
          <w:rFonts w:ascii="Times New Roman" w:hAnsi="Times New Roman"/>
          <w:sz w:val="24"/>
          <w:szCs w:val="24"/>
        </w:rPr>
        <w:t xml:space="preserve"> Griffin for reinstatement because she used </w:t>
      </w:r>
      <w:r>
        <w:rPr>
          <w:rFonts w:ascii="Times New Roman" w:hAnsi="Times New Roman"/>
          <w:sz w:val="24"/>
          <w:szCs w:val="24"/>
        </w:rPr>
        <w:t xml:space="preserve">prescription </w:t>
      </w:r>
      <w:r w:rsidRPr="00C405EC">
        <w:rPr>
          <w:rFonts w:ascii="Times New Roman" w:hAnsi="Times New Roman"/>
          <w:sz w:val="24"/>
          <w:szCs w:val="24"/>
        </w:rPr>
        <w:t>alprazolam and trazadone</w:t>
      </w:r>
      <w:r>
        <w:rPr>
          <w:rFonts w:ascii="Times New Roman" w:hAnsi="Times New Roman"/>
          <w:sz w:val="24"/>
          <w:szCs w:val="24"/>
        </w:rPr>
        <w:t xml:space="preserve"> for “</w:t>
      </w:r>
      <w:r w:rsidRPr="0010197C">
        <w:rPr>
          <w:rFonts w:ascii="Times New Roman" w:hAnsi="Times New Roman"/>
          <w:sz w:val="24"/>
          <w:szCs w:val="24"/>
        </w:rPr>
        <w:t xml:space="preserve">adjustment disorder with anxious mood and secondary insomnia.”  </w:t>
      </w:r>
      <w:r>
        <w:rPr>
          <w:rFonts w:ascii="Times New Roman" w:hAnsi="Times New Roman"/>
          <w:sz w:val="24"/>
          <w:szCs w:val="24"/>
        </w:rPr>
        <w:t xml:space="preserve">Ms. Griffin has filed a separate lawsuit, and Judge Ellis declined to combine it with this case.  [See note below for information in </w:t>
      </w:r>
      <w:r w:rsidRPr="00E96729">
        <w:rPr>
          <w:rFonts w:ascii="Times New Roman" w:hAnsi="Times New Roman"/>
          <w:sz w:val="24"/>
          <w:szCs w:val="24"/>
          <w:u w:val="single"/>
        </w:rPr>
        <w:t>Griffin v. City of Chicago</w:t>
      </w:r>
      <w:r>
        <w:rPr>
          <w:rFonts w:ascii="Times New Roman" w:hAnsi="Times New Roman"/>
          <w:sz w:val="24"/>
          <w:szCs w:val="24"/>
        </w:rPr>
        <w:t xml:space="preserve"> case.] </w:t>
      </w:r>
    </w:p>
    <w:p w14:paraId="277FB6E3" w14:textId="77777777" w:rsidR="00B1569B" w:rsidRDefault="00B1569B" w:rsidP="00B1569B">
      <w:pPr>
        <w:pStyle w:val="NoSpacing"/>
        <w:rPr>
          <w:rFonts w:ascii="Times New Roman" w:hAnsi="Times New Roman"/>
          <w:sz w:val="24"/>
          <w:szCs w:val="24"/>
        </w:rPr>
      </w:pPr>
    </w:p>
    <w:p w14:paraId="6997ED3E"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“T</w:t>
      </w:r>
      <w:r w:rsidRPr="00D32039">
        <w:rPr>
          <w:rFonts w:ascii="Times New Roman" w:hAnsi="Times New Roman"/>
          <w:sz w:val="24"/>
          <w:szCs w:val="24"/>
        </w:rPr>
        <w:t xml:space="preserve">he </w:t>
      </w:r>
      <w:r>
        <w:rPr>
          <w:rFonts w:ascii="Times New Roman" w:hAnsi="Times New Roman"/>
          <w:sz w:val="24"/>
          <w:szCs w:val="24"/>
        </w:rPr>
        <w:t xml:space="preserve">(Oct. 2016) </w:t>
      </w:r>
      <w:r w:rsidRPr="00D32039">
        <w:rPr>
          <w:rFonts w:ascii="Times New Roman" w:hAnsi="Times New Roman"/>
          <w:sz w:val="24"/>
          <w:szCs w:val="24"/>
        </w:rPr>
        <w:t>complaint alleges that this hostility manifests itself in a</w:t>
      </w:r>
      <w:r>
        <w:rPr>
          <w:rFonts w:ascii="Times New Roman" w:hAnsi="Times New Roman"/>
          <w:sz w:val="24"/>
          <w:szCs w:val="24"/>
        </w:rPr>
        <w:t xml:space="preserve"> </w:t>
      </w:r>
      <w:r w:rsidRPr="00D32039">
        <w:rPr>
          <w:rFonts w:ascii="Times New Roman" w:hAnsi="Times New Roman"/>
          <w:sz w:val="24"/>
          <w:szCs w:val="24"/>
        </w:rPr>
        <w:t>number of other contexts,</w:t>
      </w:r>
      <w:r>
        <w:rPr>
          <w:rFonts w:ascii="Times New Roman" w:hAnsi="Times New Roman"/>
          <w:sz w:val="24"/>
          <w:szCs w:val="24"/>
        </w:rPr>
        <w:t xml:space="preserve"> </w:t>
      </w:r>
      <w:r w:rsidRPr="00D32039">
        <w:rPr>
          <w:rFonts w:ascii="Times New Roman" w:hAnsi="Times New Roman"/>
          <w:sz w:val="24"/>
          <w:szCs w:val="24"/>
        </w:rPr>
        <w:t>including: 1) the City’s failure to properly accommodate nursing mothers; 2) the City’s failure to</w:t>
      </w:r>
      <w:r>
        <w:rPr>
          <w:rFonts w:ascii="Times New Roman" w:hAnsi="Times New Roman"/>
          <w:sz w:val="24"/>
          <w:szCs w:val="24"/>
        </w:rPr>
        <w:t xml:space="preserve"> </w:t>
      </w:r>
      <w:r w:rsidRPr="00D32039">
        <w:rPr>
          <w:rFonts w:ascii="Times New Roman" w:hAnsi="Times New Roman"/>
          <w:sz w:val="24"/>
          <w:szCs w:val="24"/>
        </w:rPr>
        <w:t>provide adequate bathrooms, locker facilities, and sleeping quarters; 3) episodes of verbal and</w:t>
      </w:r>
      <w:r>
        <w:rPr>
          <w:rFonts w:ascii="Times New Roman" w:hAnsi="Times New Roman"/>
          <w:sz w:val="24"/>
          <w:szCs w:val="24"/>
        </w:rPr>
        <w:t xml:space="preserve"> </w:t>
      </w:r>
      <w:r w:rsidRPr="00D32039">
        <w:rPr>
          <w:rFonts w:ascii="Times New Roman" w:hAnsi="Times New Roman"/>
          <w:sz w:val="24"/>
          <w:szCs w:val="24"/>
        </w:rPr>
        <w:t>physical harassment and intimidation; and 4) sexually discriminatory treatment by the CFD’s</w:t>
      </w:r>
      <w:r>
        <w:rPr>
          <w:rFonts w:ascii="Times New Roman" w:hAnsi="Times New Roman"/>
          <w:sz w:val="24"/>
          <w:szCs w:val="24"/>
        </w:rPr>
        <w:t xml:space="preserve"> </w:t>
      </w:r>
      <w:r w:rsidRPr="00D32039">
        <w:rPr>
          <w:rFonts w:ascii="Times New Roman" w:hAnsi="Times New Roman"/>
          <w:sz w:val="24"/>
          <w:szCs w:val="24"/>
        </w:rPr>
        <w:t>Medical Division.</w:t>
      </w:r>
      <w:r>
        <w:rPr>
          <w:rFonts w:ascii="Times New Roman" w:hAnsi="Times New Roman"/>
          <w:sz w:val="24"/>
          <w:szCs w:val="24"/>
        </w:rPr>
        <w:t xml:space="preserve">  </w:t>
      </w:r>
    </w:p>
    <w:p w14:paraId="04754802" w14:textId="77777777" w:rsidR="00B1569B" w:rsidRDefault="00B1569B" w:rsidP="00B1569B">
      <w:pPr>
        <w:pStyle w:val="NoSpacing"/>
        <w:ind w:left="720"/>
        <w:rPr>
          <w:rFonts w:ascii="Times New Roman" w:hAnsi="Times New Roman"/>
          <w:sz w:val="24"/>
          <w:szCs w:val="24"/>
        </w:rPr>
      </w:pPr>
    </w:p>
    <w:p w14:paraId="22581818"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w:t>
      </w:r>
    </w:p>
    <w:p w14:paraId="28A1205F" w14:textId="77777777" w:rsidR="00B1569B" w:rsidRDefault="00B1569B" w:rsidP="00B1569B">
      <w:pPr>
        <w:pStyle w:val="NoSpacing"/>
        <w:rPr>
          <w:rFonts w:ascii="Times New Roman" w:hAnsi="Times New Roman"/>
          <w:sz w:val="24"/>
          <w:szCs w:val="24"/>
        </w:rPr>
      </w:pPr>
    </w:p>
    <w:p w14:paraId="48639336" w14:textId="77777777" w:rsidR="00B1569B" w:rsidRDefault="00B1569B" w:rsidP="00B1569B">
      <w:pPr>
        <w:pStyle w:val="NoSpacing"/>
        <w:ind w:left="720"/>
        <w:rPr>
          <w:rFonts w:ascii="Times New Roman" w:hAnsi="Times New Roman"/>
          <w:sz w:val="24"/>
          <w:szCs w:val="24"/>
        </w:rPr>
      </w:pPr>
      <w:r w:rsidRPr="00F6220F">
        <w:rPr>
          <w:rFonts w:ascii="Times New Roman" w:hAnsi="Times New Roman"/>
          <w:sz w:val="24"/>
          <w:szCs w:val="24"/>
        </w:rPr>
        <w:t xml:space="preserve">Plaintiffs seek to add new theories of recovery under § 1983 </w:t>
      </w:r>
      <w:r>
        <w:rPr>
          <w:rFonts w:ascii="Times New Roman" w:hAnsi="Times New Roman"/>
          <w:sz w:val="24"/>
          <w:szCs w:val="24"/>
        </w:rPr>
        <w:t xml:space="preserve">[violation of Constitutional rights under 42 USC 1983] </w:t>
      </w:r>
      <w:r w:rsidRPr="00F6220F">
        <w:rPr>
          <w:rFonts w:ascii="Times New Roman" w:hAnsi="Times New Roman"/>
          <w:sz w:val="24"/>
          <w:szCs w:val="24"/>
        </w:rPr>
        <w:t xml:space="preserve">and ICRA </w:t>
      </w:r>
      <w:r>
        <w:rPr>
          <w:rFonts w:ascii="Times New Roman" w:hAnsi="Times New Roman"/>
          <w:sz w:val="24"/>
          <w:szCs w:val="24"/>
        </w:rPr>
        <w:t>[</w:t>
      </w:r>
      <w:r w:rsidRPr="004167DE">
        <w:rPr>
          <w:rFonts w:ascii="Times New Roman" w:hAnsi="Times New Roman"/>
          <w:sz w:val="24"/>
          <w:szCs w:val="24"/>
        </w:rPr>
        <w:t>Illinois Civil</w:t>
      </w:r>
      <w:r>
        <w:rPr>
          <w:rFonts w:ascii="Times New Roman" w:hAnsi="Times New Roman"/>
          <w:sz w:val="24"/>
          <w:szCs w:val="24"/>
        </w:rPr>
        <w:t xml:space="preserve"> </w:t>
      </w:r>
      <w:r w:rsidRPr="004167DE">
        <w:rPr>
          <w:rFonts w:ascii="Times New Roman" w:hAnsi="Times New Roman"/>
          <w:sz w:val="24"/>
          <w:szCs w:val="24"/>
        </w:rPr>
        <w:t>Rights Act of 200</w:t>
      </w:r>
      <w:r>
        <w:rPr>
          <w:rFonts w:ascii="Times New Roman" w:hAnsi="Times New Roman"/>
          <w:sz w:val="24"/>
          <w:szCs w:val="24"/>
        </w:rPr>
        <w:t xml:space="preserve">3] </w:t>
      </w:r>
      <w:r w:rsidRPr="00F6220F">
        <w:rPr>
          <w:rFonts w:ascii="Times New Roman" w:hAnsi="Times New Roman"/>
          <w:sz w:val="24"/>
          <w:szCs w:val="24"/>
        </w:rPr>
        <w:t>based on the same</w:t>
      </w:r>
      <w:r>
        <w:rPr>
          <w:rFonts w:ascii="Times New Roman" w:hAnsi="Times New Roman"/>
          <w:sz w:val="24"/>
          <w:szCs w:val="24"/>
        </w:rPr>
        <w:t xml:space="preserve"> </w:t>
      </w:r>
      <w:r w:rsidRPr="00F6220F">
        <w:rPr>
          <w:rFonts w:ascii="Times New Roman" w:hAnsi="Times New Roman"/>
          <w:sz w:val="24"/>
          <w:szCs w:val="24"/>
        </w:rPr>
        <w:t>factual allegations laid out in the original complaint. Plaintiffs argue this is because § 1983 and</w:t>
      </w:r>
      <w:r>
        <w:rPr>
          <w:rFonts w:ascii="Times New Roman" w:hAnsi="Times New Roman"/>
          <w:sz w:val="24"/>
          <w:szCs w:val="24"/>
        </w:rPr>
        <w:t xml:space="preserve"> </w:t>
      </w:r>
      <w:r w:rsidRPr="00F6220F">
        <w:rPr>
          <w:rFonts w:ascii="Times New Roman" w:hAnsi="Times New Roman"/>
          <w:sz w:val="24"/>
          <w:szCs w:val="24"/>
        </w:rPr>
        <w:t>ICRA do not carry a statutory cap on economic damages as Title VII does</w:t>
      </w:r>
      <w:r>
        <w:rPr>
          <w:rFonts w:ascii="Times New Roman" w:hAnsi="Times New Roman"/>
          <w:sz w:val="24"/>
          <w:szCs w:val="24"/>
        </w:rPr>
        <w:t xml:space="preserve">…. </w:t>
      </w:r>
      <w:r w:rsidRPr="0041110B">
        <w:rPr>
          <w:rFonts w:ascii="Times New Roman" w:hAnsi="Times New Roman"/>
          <w:sz w:val="24"/>
          <w:szCs w:val="24"/>
        </w:rPr>
        <w:t>As such, Plaintiffs</w:t>
      </w:r>
      <w:r>
        <w:rPr>
          <w:rFonts w:ascii="Times New Roman" w:hAnsi="Times New Roman"/>
          <w:sz w:val="24"/>
          <w:szCs w:val="24"/>
        </w:rPr>
        <w:t xml:space="preserve"> </w:t>
      </w:r>
      <w:r w:rsidRPr="0041110B">
        <w:rPr>
          <w:rFonts w:ascii="Times New Roman" w:hAnsi="Times New Roman"/>
          <w:sz w:val="24"/>
          <w:szCs w:val="24"/>
        </w:rPr>
        <w:t>may amend their complaint to include their proposed § 1983 and ICRA claims.</w:t>
      </w:r>
    </w:p>
    <w:p w14:paraId="2F134906" w14:textId="77777777" w:rsidR="00B1569B" w:rsidRDefault="00B1569B" w:rsidP="00B1569B">
      <w:pPr>
        <w:pStyle w:val="NoSpacing"/>
        <w:ind w:left="720"/>
        <w:rPr>
          <w:rFonts w:ascii="Times New Roman" w:hAnsi="Times New Roman"/>
          <w:sz w:val="24"/>
          <w:szCs w:val="24"/>
        </w:rPr>
      </w:pPr>
    </w:p>
    <w:p w14:paraId="11E52CD2"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w:t>
      </w:r>
    </w:p>
    <w:p w14:paraId="1FF52C43" w14:textId="77777777" w:rsidR="00B1569B" w:rsidRDefault="00B1569B" w:rsidP="00B1569B">
      <w:pPr>
        <w:pStyle w:val="NoSpacing"/>
        <w:ind w:left="720"/>
        <w:rPr>
          <w:rFonts w:ascii="Times New Roman" w:hAnsi="Times New Roman"/>
          <w:sz w:val="24"/>
          <w:szCs w:val="24"/>
        </w:rPr>
      </w:pPr>
    </w:p>
    <w:p w14:paraId="1BAFD41E" w14:textId="77777777" w:rsidR="00B1569B" w:rsidRDefault="00B1569B" w:rsidP="00B1569B">
      <w:pPr>
        <w:pStyle w:val="NoSpacing"/>
        <w:ind w:left="720"/>
        <w:rPr>
          <w:rFonts w:ascii="Times New Roman" w:hAnsi="Times New Roman"/>
          <w:sz w:val="24"/>
          <w:szCs w:val="24"/>
        </w:rPr>
      </w:pPr>
      <w:r w:rsidRPr="009B574D">
        <w:rPr>
          <w:rFonts w:ascii="Times New Roman" w:hAnsi="Times New Roman"/>
          <w:sz w:val="24"/>
          <w:szCs w:val="24"/>
        </w:rPr>
        <w:t xml:space="preserve">Plaintiffs may file a first amended complaint to add these theories of liability. </w:t>
      </w:r>
    </w:p>
    <w:p w14:paraId="43694B34" w14:textId="77777777" w:rsidR="00B1569B" w:rsidRDefault="00B1569B" w:rsidP="00B1569B">
      <w:pPr>
        <w:pStyle w:val="NoSpacing"/>
        <w:ind w:left="720"/>
        <w:rPr>
          <w:rFonts w:ascii="Times New Roman" w:hAnsi="Times New Roman"/>
          <w:sz w:val="24"/>
          <w:szCs w:val="24"/>
        </w:rPr>
      </w:pPr>
      <w:r w:rsidRPr="009B574D">
        <w:rPr>
          <w:rFonts w:ascii="Times New Roman" w:hAnsi="Times New Roman"/>
          <w:sz w:val="24"/>
          <w:szCs w:val="24"/>
        </w:rPr>
        <w:t>But because</w:t>
      </w:r>
      <w:r>
        <w:rPr>
          <w:rFonts w:ascii="Times New Roman" w:hAnsi="Times New Roman"/>
          <w:sz w:val="24"/>
          <w:szCs w:val="24"/>
        </w:rPr>
        <w:t xml:space="preserve"> </w:t>
      </w:r>
      <w:r w:rsidRPr="009B574D">
        <w:rPr>
          <w:rFonts w:ascii="Times New Roman" w:hAnsi="Times New Roman"/>
          <w:sz w:val="24"/>
          <w:szCs w:val="24"/>
        </w:rPr>
        <w:t>Griffin’s additional claims</w:t>
      </w:r>
      <w:r>
        <w:rPr>
          <w:rFonts w:ascii="Times New Roman" w:hAnsi="Times New Roman"/>
          <w:sz w:val="24"/>
          <w:szCs w:val="24"/>
        </w:rPr>
        <w:t xml:space="preserve"> </w:t>
      </w:r>
      <w:r w:rsidRPr="009B574D">
        <w:rPr>
          <w:rFonts w:ascii="Times New Roman" w:hAnsi="Times New Roman"/>
          <w:sz w:val="24"/>
          <w:szCs w:val="24"/>
        </w:rPr>
        <w:t>and the allegations regarding the veteran’s preference are either</w:t>
      </w:r>
      <w:r>
        <w:rPr>
          <w:rFonts w:ascii="Times New Roman" w:hAnsi="Times New Roman"/>
          <w:sz w:val="24"/>
          <w:szCs w:val="24"/>
        </w:rPr>
        <w:t xml:space="preserve"> </w:t>
      </w:r>
      <w:r w:rsidRPr="009B574D">
        <w:rPr>
          <w:rFonts w:ascii="Times New Roman" w:hAnsi="Times New Roman"/>
          <w:sz w:val="24"/>
          <w:szCs w:val="24"/>
        </w:rPr>
        <w:t>unnecessary or depend on new factual allegations, Plaintiffs may not include these claims or</w:t>
      </w:r>
      <w:r>
        <w:rPr>
          <w:rFonts w:ascii="Times New Roman" w:hAnsi="Times New Roman"/>
          <w:sz w:val="24"/>
          <w:szCs w:val="24"/>
        </w:rPr>
        <w:t xml:space="preserve"> </w:t>
      </w:r>
      <w:r w:rsidRPr="009B574D">
        <w:rPr>
          <w:rFonts w:ascii="Times New Roman" w:hAnsi="Times New Roman"/>
          <w:sz w:val="24"/>
          <w:szCs w:val="24"/>
        </w:rPr>
        <w:t xml:space="preserve">allegations in their first amended </w:t>
      </w:r>
      <w:proofErr w:type="gramStart"/>
      <w:r w:rsidRPr="009B574D">
        <w:rPr>
          <w:rFonts w:ascii="Times New Roman" w:hAnsi="Times New Roman"/>
          <w:sz w:val="24"/>
          <w:szCs w:val="24"/>
        </w:rPr>
        <w:t>complaint.</w:t>
      </w:r>
      <w:r>
        <w:rPr>
          <w:rFonts w:ascii="Times New Roman" w:hAnsi="Times New Roman"/>
          <w:sz w:val="24"/>
          <w:szCs w:val="24"/>
        </w:rPr>
        <w:t>”</w:t>
      </w:r>
      <w:proofErr w:type="gramEnd"/>
      <w:r>
        <w:rPr>
          <w:rFonts w:ascii="Times New Roman" w:hAnsi="Times New Roman"/>
          <w:sz w:val="24"/>
          <w:szCs w:val="24"/>
        </w:rPr>
        <w:t xml:space="preserve">  </w:t>
      </w:r>
      <w:hyperlink r:id="rId1420" w:history="1">
        <w:r w:rsidRPr="008E4998">
          <w:rPr>
            <w:rStyle w:val="Hyperlink"/>
            <w:rFonts w:ascii="Times New Roman" w:hAnsi="Times New Roman"/>
            <w:sz w:val="24"/>
            <w:szCs w:val="24"/>
          </w:rPr>
          <w:t>https://cases.justia.com/federal/district-courts/illinois/ilndce/1:2016cv10156/332956/258/0.pdf?ts=1582820345</w:t>
        </w:r>
      </w:hyperlink>
      <w:r>
        <w:rPr>
          <w:rFonts w:ascii="Times New Roman" w:hAnsi="Times New Roman"/>
          <w:sz w:val="24"/>
          <w:szCs w:val="24"/>
        </w:rPr>
        <w:t xml:space="preserve"> </w:t>
      </w:r>
    </w:p>
    <w:p w14:paraId="3976EE98" w14:textId="77777777" w:rsidR="00B1569B" w:rsidRDefault="00B1569B" w:rsidP="00B1569B">
      <w:pPr>
        <w:pStyle w:val="NoSpacing"/>
        <w:rPr>
          <w:rFonts w:ascii="Times New Roman" w:hAnsi="Times New Roman"/>
          <w:sz w:val="24"/>
          <w:szCs w:val="24"/>
        </w:rPr>
      </w:pPr>
    </w:p>
    <w:p w14:paraId="3C4E74F6" w14:textId="77777777" w:rsidR="0061488E" w:rsidRPr="007F42F0" w:rsidRDefault="0061488E" w:rsidP="0061488E">
      <w:pPr>
        <w:pStyle w:val="NoSpacing"/>
        <w:rPr>
          <w:rFonts w:ascii="Times New Roman" w:hAnsi="Times New Roman"/>
          <w:b/>
          <w:bCs/>
          <w:sz w:val="24"/>
          <w:szCs w:val="24"/>
        </w:rPr>
      </w:pPr>
      <w:r w:rsidRPr="007F42F0">
        <w:rPr>
          <w:rFonts w:ascii="Times New Roman" w:hAnsi="Times New Roman"/>
          <w:b/>
          <w:bCs/>
          <w:sz w:val="24"/>
          <w:szCs w:val="24"/>
        </w:rPr>
        <w:t xml:space="preserve">Legal Lesson Learned: </w:t>
      </w:r>
      <w:r>
        <w:rPr>
          <w:rFonts w:ascii="Times New Roman" w:hAnsi="Times New Roman"/>
          <w:b/>
          <w:bCs/>
          <w:sz w:val="24"/>
          <w:szCs w:val="24"/>
        </w:rPr>
        <w:t xml:space="preserve">The pre-trial discovery may now proceed in this case seeking uncapped damages.  </w:t>
      </w:r>
    </w:p>
    <w:p w14:paraId="28E9CB40" w14:textId="77777777" w:rsidR="0061488E" w:rsidRDefault="0061488E" w:rsidP="0061488E">
      <w:pPr>
        <w:spacing w:before="100" w:beforeAutospacing="1" w:after="100" w:afterAutospacing="1" w:line="240" w:lineRule="auto"/>
        <w:ind w:left="360"/>
        <w:rPr>
          <w:rFonts w:ascii="Times New Roman" w:eastAsia="Times New Roman" w:hAnsi="Times New Roman"/>
          <w:sz w:val="24"/>
          <w:szCs w:val="24"/>
        </w:rPr>
      </w:pPr>
      <w:r>
        <w:rPr>
          <w:rFonts w:ascii="Times New Roman" w:eastAsia="Times New Roman" w:hAnsi="Times New Roman"/>
          <w:sz w:val="24"/>
          <w:szCs w:val="24"/>
        </w:rPr>
        <w:t>Note: Title VII of the Civil Right Act i</w:t>
      </w:r>
      <w:r w:rsidRPr="00253890">
        <w:rPr>
          <w:rFonts w:ascii="Times New Roman" w:eastAsia="Times New Roman" w:hAnsi="Times New Roman"/>
          <w:sz w:val="24"/>
          <w:szCs w:val="24"/>
        </w:rPr>
        <w:t xml:space="preserve">s subject to the following </w:t>
      </w:r>
      <w:r>
        <w:rPr>
          <w:rFonts w:ascii="Times New Roman" w:eastAsia="Times New Roman" w:hAnsi="Times New Roman"/>
          <w:sz w:val="24"/>
          <w:szCs w:val="24"/>
        </w:rPr>
        <w:t xml:space="preserve">statutory </w:t>
      </w:r>
      <w:r w:rsidRPr="00253890">
        <w:rPr>
          <w:rFonts w:ascii="Times New Roman" w:eastAsia="Times New Roman" w:hAnsi="Times New Roman"/>
          <w:sz w:val="24"/>
          <w:szCs w:val="24"/>
        </w:rPr>
        <w:t>caps</w:t>
      </w:r>
      <w:r>
        <w:rPr>
          <w:rFonts w:ascii="Times New Roman" w:eastAsia="Times New Roman" w:hAnsi="Times New Roman"/>
          <w:sz w:val="24"/>
          <w:szCs w:val="24"/>
        </w:rPr>
        <w:t>.</w:t>
      </w:r>
    </w:p>
    <w:p w14:paraId="2C270D79" w14:textId="77777777" w:rsidR="0061488E" w:rsidRDefault="0061488E" w:rsidP="0061488E">
      <w:pPr>
        <w:pStyle w:val="NormalWeb"/>
        <w:ind w:left="360"/>
      </w:pPr>
      <w:r>
        <w:rPr>
          <w:b/>
          <w:bCs/>
        </w:rPr>
        <w:t>“</w:t>
      </w:r>
      <w:r>
        <w:t xml:space="preserve">Statutory caps limits exists for combined awards of front pay, punitive damages, and compensatory damages. The </w:t>
      </w:r>
      <w:hyperlink r:id="rId1421" w:tgtFrame="_blank" w:tooltip="Title VII Damage Caps: Calculating Your Maximum Exposure" w:history="1">
        <w:r>
          <w:rPr>
            <w:rStyle w:val="Hyperlink"/>
          </w:rPr>
          <w:t>caps</w:t>
        </w:r>
      </w:hyperlink>
      <w:r>
        <w:t xml:space="preserve"> are based upon the number of employees employed by the employer against whom the charge of discrimination has been made. The caps are as follows:</w:t>
      </w:r>
    </w:p>
    <w:p w14:paraId="713CAFC6"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fourteen (14) and less than one hundred and one (101) employees in each of twenty (20) or more calendar weeks in the current or preceding year the cap is $50,000;</w:t>
      </w:r>
    </w:p>
    <w:p w14:paraId="40303072"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one hundred (100) but fewer than two hundred and one (201) employees, the cap is $100,000;</w:t>
      </w:r>
    </w:p>
    <w:p w14:paraId="13BF6673"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two hundred (200) employees but fewer than five hundred and one (501) employees, the cap is $200,000; and</w:t>
      </w:r>
    </w:p>
    <w:p w14:paraId="30CA05DF" w14:textId="77777777" w:rsidR="0061488E"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an employer with more than five hundred (500) employees, the cap is $300,000.</w:t>
      </w:r>
      <w:r>
        <w:rPr>
          <w:rFonts w:ascii="Times New Roman" w:hAnsi="Times New Roman"/>
          <w:sz w:val="24"/>
          <w:szCs w:val="24"/>
        </w:rPr>
        <w:t>”</w:t>
      </w:r>
    </w:p>
    <w:p w14:paraId="51500969" w14:textId="77777777" w:rsidR="0061488E" w:rsidRDefault="0061488E" w:rsidP="0061488E">
      <w:pPr>
        <w:spacing w:before="100" w:beforeAutospacing="1" w:after="100" w:afterAutospacing="1" w:line="240" w:lineRule="auto"/>
        <w:ind w:left="360"/>
        <w:rPr>
          <w:rFonts w:ascii="Times New Roman" w:eastAsia="Times New Roman" w:hAnsi="Times New Roman"/>
          <w:sz w:val="24"/>
          <w:szCs w:val="24"/>
        </w:rPr>
      </w:pPr>
      <w:r>
        <w:rPr>
          <w:rFonts w:ascii="Times New Roman" w:eastAsia="Times New Roman" w:hAnsi="Times New Roman"/>
          <w:sz w:val="24"/>
          <w:szCs w:val="24"/>
        </w:rPr>
        <w:t xml:space="preserve">Note:  Judge Ellis is also assigned to the separate lawsuit by Donna Griffin.  On Jan. 22, 2024, the Judge ruled: </w:t>
      </w:r>
    </w:p>
    <w:p w14:paraId="0685F357" w14:textId="77777777" w:rsidR="0061488E" w:rsidRDefault="0061488E" w:rsidP="0061488E">
      <w:pPr>
        <w:pStyle w:val="NormalWeb"/>
        <w:ind w:left="720"/>
        <w:rPr>
          <w:b/>
          <w:bCs/>
          <w:sz w:val="40"/>
          <w:szCs w:val="40"/>
        </w:rPr>
      </w:pPr>
      <w:r w:rsidRPr="000F0881">
        <w:t>“Because Griffin presents sufficient evidence to establish a dispute of fact as to whether she was a qualified individual and whether her disability caused her termination from the Academy, the Court denies the City's motion as to Griffin's discrimination claim under the ADA and IHRA. However, because Griffin cannot present admissible evidence that she made a request for accommodation, the Court grants the City's motion as to Griffin's reasonable accommodation claim under the ADA and IHRA.”</w:t>
      </w:r>
      <w:r>
        <w:t xml:space="preserve"> </w:t>
      </w:r>
      <w:hyperlink r:id="rId1422" w:history="1">
        <w:r w:rsidRPr="00663E4B">
          <w:rPr>
            <w:rStyle w:val="Hyperlink"/>
          </w:rPr>
          <w:t>https://public.fastcase.com/ZZhmr5v9wN%2FXOe5IsQ%2FqD6X8aBICmIyWVJScKPpCyRhR7mDWsTx8EU8Grq%2B%2B4ZtL7A%2BZetNPKoBujU7we%2BcNkmURNKpv4aGWRHQtd1T1moA%3D?utm_medium=email&amp;_hsmi=226712652&amp;_hsenc=p2ANqtz-9OBKIBZDi8r8oE28UFobupYGxopyoQah8HvX1c9zj34g5f00t_mZAGDNIEFbeFR3R6TbvecwhsL2yyD5Q92lFJJe2-2g&amp;utm_content=226712652&amp;utm_source=hs_email</w:t>
        </w:r>
      </w:hyperlink>
    </w:p>
    <w:p w14:paraId="3BCE06A6" w14:textId="77777777" w:rsidR="00B1569B" w:rsidRDefault="00B1569B" w:rsidP="00F326E5">
      <w:pPr>
        <w:pStyle w:val="NoSpacing"/>
        <w:rPr>
          <w:rFonts w:ascii="Arial Black" w:hAnsi="Arial Black"/>
          <w:b/>
          <w:bCs/>
          <w:sz w:val="24"/>
          <w:szCs w:val="24"/>
        </w:rPr>
      </w:pPr>
    </w:p>
    <w:p w14:paraId="5E091E36" w14:textId="77777777" w:rsidR="002C6181" w:rsidRDefault="002C6181" w:rsidP="00F326E5">
      <w:pPr>
        <w:pStyle w:val="NoSpacing"/>
        <w:rPr>
          <w:rFonts w:ascii="Arial Black" w:hAnsi="Arial Black"/>
          <w:b/>
          <w:bCs/>
          <w:sz w:val="24"/>
          <w:szCs w:val="24"/>
        </w:rPr>
      </w:pPr>
    </w:p>
    <w:p w14:paraId="042CA2DF" w14:textId="77777777" w:rsidR="002C6181" w:rsidRDefault="002C6181" w:rsidP="00F326E5">
      <w:pPr>
        <w:pStyle w:val="NoSpacing"/>
        <w:rPr>
          <w:rFonts w:ascii="Arial Black" w:hAnsi="Arial Black"/>
          <w:b/>
          <w:bCs/>
          <w:sz w:val="24"/>
          <w:szCs w:val="24"/>
        </w:rPr>
      </w:pPr>
    </w:p>
    <w:p w14:paraId="7D2D6394" w14:textId="1ED8F49B" w:rsidR="00820998" w:rsidRDefault="00820998" w:rsidP="00F326E5">
      <w:pPr>
        <w:pStyle w:val="NoSpacing"/>
        <w:rPr>
          <w:rFonts w:ascii="Arial Black" w:hAnsi="Arial Black"/>
          <w:b/>
          <w:bCs/>
          <w:sz w:val="24"/>
          <w:szCs w:val="24"/>
        </w:rPr>
      </w:pPr>
      <w:r>
        <w:rPr>
          <w:rFonts w:ascii="Arial Black" w:hAnsi="Arial Black"/>
          <w:b/>
          <w:bCs/>
          <w:sz w:val="24"/>
          <w:szCs w:val="24"/>
        </w:rPr>
        <w:t>7-56</w:t>
      </w:r>
    </w:p>
    <w:p w14:paraId="354578E4" w14:textId="77777777" w:rsidR="00C37775" w:rsidRDefault="00C37775" w:rsidP="00C37775">
      <w:pPr>
        <w:pStyle w:val="NormalWeb"/>
        <w:rPr>
          <w:rFonts w:ascii="Arial Black" w:hAnsi="Arial Black"/>
          <w:b/>
          <w:bCs/>
          <w:sz w:val="28"/>
          <w:szCs w:val="28"/>
        </w:rPr>
      </w:pPr>
      <w:r>
        <w:rPr>
          <w:rFonts w:ascii="Arial Black" w:hAnsi="Arial Black"/>
          <w:b/>
          <w:bCs/>
          <w:sz w:val="28"/>
          <w:szCs w:val="28"/>
        </w:rPr>
        <w:t>OH: TRANSGENDER WOMAN / EMT – FIRED FOR SOCIAL MEDIA POSTS / OUTBURST HOSP - CASE DISMISSED</w:t>
      </w:r>
    </w:p>
    <w:p w14:paraId="453B8271" w14:textId="77777777" w:rsidR="00C37775" w:rsidRDefault="00C37775" w:rsidP="00C37775">
      <w:pPr>
        <w:pStyle w:val="NormalWeb"/>
      </w:pPr>
      <w:r w:rsidRPr="00DA2452">
        <w:t>On Dec. 28, 2023</w:t>
      </w:r>
      <w:r>
        <w:t xml:space="preserve">, </w:t>
      </w:r>
      <w:r w:rsidRPr="00DA2452">
        <w:t xml:space="preserve">in </w:t>
      </w:r>
      <w:r w:rsidRPr="00DA2452">
        <w:rPr>
          <w:u w:val="single"/>
        </w:rPr>
        <w:t>Rayne Fedder v. Ohio Medical Transportation, Inc</w:t>
      </w:r>
      <w:r>
        <w:t xml:space="preserve">., U.S. District Court Judge Sarah D. Morrison, U.S. District Court for Southern District of Ohio, Eastern Division, granted the employer’s motion to dismiss; judge overturned recommendation by U.S. Magistrate judge that her ADA claim that she “appeared” as disabled.   </w:t>
      </w:r>
      <w:hyperlink r:id="rId1423" w:history="1">
        <w:r w:rsidRPr="003C00DD">
          <w:rPr>
            <w:rStyle w:val="Hyperlink"/>
          </w:rPr>
          <w:t>https://public.fastcase.com/ZZhmr5v9wN%2FXOe5IsQ%2FqD9BUVBv1kUZp9ZGh4udwVOZOikyKuqCQ4FBlGwYEPhOQ?utm_medium=email&amp;_hsmi=226712652&amp;_hsenc=p2ANqtz-8T0ew8oNT-12TbgKrs2ORAj7WbRAGASG77xIYUvebbTcAbFOuK4r9xkTZLpSPqAw77_8KgP47FqlehaZADxsQlpR3k0g&amp;utm_content=226712652&amp;utm_source=hs_email</w:t>
        </w:r>
      </w:hyperlink>
      <w:r>
        <w:t xml:space="preserve"> </w:t>
      </w:r>
    </w:p>
    <w:p w14:paraId="689DA17C" w14:textId="77777777" w:rsidR="007F6B94" w:rsidRPr="00D6645E" w:rsidRDefault="007F6B94" w:rsidP="007F6B94">
      <w:pPr>
        <w:pStyle w:val="NormalWeb"/>
        <w:rPr>
          <w:b/>
          <w:bCs/>
        </w:rPr>
      </w:pPr>
      <w:r w:rsidRPr="00D6645E">
        <w:rPr>
          <w:b/>
          <w:bCs/>
        </w:rPr>
        <w:t xml:space="preserve">Legal Lesson Learned: </w:t>
      </w:r>
      <w:r>
        <w:rPr>
          <w:b/>
          <w:bCs/>
        </w:rPr>
        <w:t xml:space="preserve">The Supervisor wisely told co-workers to keep am “open mind.” </w:t>
      </w:r>
    </w:p>
    <w:p w14:paraId="606F9F77" w14:textId="77777777" w:rsidR="00C37775" w:rsidRDefault="00C37775" w:rsidP="00F326E5">
      <w:pPr>
        <w:pStyle w:val="NoSpacing"/>
        <w:rPr>
          <w:rFonts w:ascii="Arial Black" w:hAnsi="Arial Black"/>
          <w:b/>
          <w:bCs/>
          <w:sz w:val="24"/>
          <w:szCs w:val="24"/>
        </w:rPr>
      </w:pPr>
    </w:p>
    <w:p w14:paraId="59411A51" w14:textId="77777777" w:rsidR="00820998" w:rsidRDefault="00820998" w:rsidP="00F326E5">
      <w:pPr>
        <w:pStyle w:val="NoSpacing"/>
        <w:rPr>
          <w:rFonts w:ascii="Arial Black" w:hAnsi="Arial Black"/>
          <w:b/>
          <w:bCs/>
          <w:sz w:val="24"/>
          <w:szCs w:val="24"/>
        </w:rPr>
      </w:pPr>
    </w:p>
    <w:p w14:paraId="4467A0D5" w14:textId="5152317B" w:rsidR="00AC3E10" w:rsidRDefault="00AC3E10" w:rsidP="00F326E5">
      <w:pPr>
        <w:pStyle w:val="NoSpacing"/>
        <w:rPr>
          <w:rFonts w:ascii="Arial Black" w:hAnsi="Arial Black"/>
          <w:b/>
          <w:bCs/>
          <w:sz w:val="24"/>
          <w:szCs w:val="24"/>
        </w:rPr>
      </w:pPr>
      <w:r>
        <w:rPr>
          <w:rFonts w:ascii="Arial Black" w:hAnsi="Arial Black"/>
          <w:b/>
          <w:bCs/>
          <w:sz w:val="24"/>
          <w:szCs w:val="24"/>
        </w:rPr>
        <w:t>7-55</w:t>
      </w:r>
    </w:p>
    <w:p w14:paraId="03CF5697" w14:textId="77777777" w:rsidR="00AC3E10" w:rsidRPr="00A151D3" w:rsidRDefault="00AC3E10" w:rsidP="00AC3E10">
      <w:pPr>
        <w:pStyle w:val="NormalWeb"/>
        <w:rPr>
          <w:rFonts w:ascii="Arial Black" w:hAnsi="Arial Black"/>
          <w:sz w:val="28"/>
          <w:szCs w:val="28"/>
        </w:rPr>
      </w:pPr>
      <w:r>
        <w:rPr>
          <w:rFonts w:ascii="Arial Black" w:hAnsi="Arial Black"/>
          <w:sz w:val="28"/>
          <w:szCs w:val="28"/>
        </w:rPr>
        <w:t>CT: FEMALE BAT. CHIEF NOT PROMOTED A/C – JOB DESC. CHANGED - WRITTEN EXAM DROPPED – CASE PROCEED</w:t>
      </w:r>
    </w:p>
    <w:p w14:paraId="443983CC" w14:textId="77777777" w:rsidR="00AC3E10" w:rsidRDefault="00AC3E10" w:rsidP="00AC3E10">
      <w:pPr>
        <w:pStyle w:val="NormalWeb"/>
      </w:pPr>
      <w:r>
        <w:rPr>
          <w:rFonts w:eastAsiaTheme="minorHAnsi"/>
          <w:kern w:val="2"/>
          <w14:ligatures w14:val="standardContextual"/>
        </w:rPr>
        <w:t xml:space="preserve">On Aug. 14, 2023, in </w:t>
      </w:r>
      <w:r w:rsidRPr="00C14243">
        <w:rPr>
          <w:rFonts w:eastAsiaTheme="minorHAnsi"/>
          <w:kern w:val="2"/>
          <w:u w:val="single"/>
          <w14:ligatures w14:val="standardContextual"/>
        </w:rPr>
        <w:t>Eileen Parlato v. Town of East Haven and East Haven Fire Department</w:t>
      </w:r>
      <w:r>
        <w:rPr>
          <w:rFonts w:eastAsiaTheme="minorHAnsi"/>
          <w:kern w:val="2"/>
          <w14:ligatures w14:val="standardContextual"/>
        </w:rPr>
        <w:t xml:space="preserve">, U.S. District Court Judge </w:t>
      </w:r>
      <w:r>
        <w:t xml:space="preserve">Sarala V. </w:t>
      </w:r>
      <w:proofErr w:type="spellStart"/>
      <w:r>
        <w:t>Nagala</w:t>
      </w:r>
      <w:proofErr w:type="spellEnd"/>
      <w:r>
        <w:t xml:space="preserve"> denied in part the Town’s motion to dismiss, holding that the now-retired Battalion Chief, with 29 years on the Fire Department, may proceed with her equal protection / gender discrimination claim that she was not promoted to Assistant Fire Chief in November 2021 because the Fire Chief changed promotion process (including no written exam), she was never presented to the Board of Fire Commissioners, which selected another Battalion Chief with much less experience. </w:t>
      </w:r>
    </w:p>
    <w:p w14:paraId="6D81F1A3" w14:textId="77777777" w:rsidR="00AC3E10" w:rsidRDefault="00AC3E10" w:rsidP="00AC3E10">
      <w:pPr>
        <w:pStyle w:val="NormalWeb"/>
      </w:pPr>
      <w:r>
        <w:tab/>
        <w:t>The Judge held that the complaint identifies specific changes made by the Fire Chief.</w:t>
      </w:r>
    </w:p>
    <w:p w14:paraId="2D1FF3D3" w14:textId="77777777" w:rsidR="00AC3E10" w:rsidRDefault="00AC3E10" w:rsidP="00AC3E10">
      <w:pPr>
        <w:pStyle w:val="NormalWeb"/>
        <w:ind w:left="720"/>
        <w:rPr>
          <w:rFonts w:eastAsiaTheme="minorHAnsi"/>
          <w:kern w:val="2"/>
          <w14:ligatures w14:val="standardContextual"/>
        </w:rPr>
      </w:pPr>
      <w:r>
        <w:rPr>
          <w:rFonts w:eastAsiaTheme="minorHAnsi"/>
          <w:kern w:val="2"/>
          <w14:ligatures w14:val="standardContextual"/>
        </w:rPr>
        <w:t>“</w:t>
      </w:r>
      <w:r w:rsidRPr="00353B08">
        <w:rPr>
          <w:rFonts w:eastAsiaTheme="minorHAnsi"/>
          <w:kern w:val="2"/>
          <w14:ligatures w14:val="standardContextual"/>
        </w:rPr>
        <w:t xml:space="preserve">The Court next concludes, however, that Plaintiff has plausibly alleged a </w:t>
      </w:r>
      <w:r w:rsidRPr="00353B08">
        <w:rPr>
          <w:rFonts w:eastAsiaTheme="minorHAnsi"/>
          <w:i/>
          <w:iCs/>
          <w:kern w:val="2"/>
          <w14:ligatures w14:val="standardContextual"/>
        </w:rPr>
        <w:t>Monell</w:t>
      </w:r>
      <w:r w:rsidRPr="00353B08">
        <w:rPr>
          <w:rFonts w:eastAsiaTheme="minorHAnsi"/>
          <w:kern w:val="2"/>
          <w14:ligatures w14:val="standardContextual"/>
        </w:rPr>
        <w:t xml:space="preserve"> claim for gender discrimination under the theory that Marcarelli was a final policymaker with respect to the decisions he made that prevented Plaintiff from being considered by the Board of Fire Commissioners for the Assistant Chief position. </w:t>
      </w:r>
      <w:proofErr w:type="spellStart"/>
      <w:r w:rsidRPr="00353B08">
        <w:rPr>
          <w:rFonts w:eastAsiaTheme="minorHAnsi"/>
          <w:kern w:val="2"/>
          <w14:ligatures w14:val="standardContextual"/>
        </w:rPr>
        <w:t>Compl</w:t>
      </w:r>
      <w:proofErr w:type="spellEnd"/>
      <w:r w:rsidRPr="00353B08">
        <w:rPr>
          <w:rFonts w:eastAsiaTheme="minorHAnsi"/>
          <w:kern w:val="2"/>
          <w14:ligatures w14:val="standardContextual"/>
        </w:rPr>
        <w:t>. ¶ 116.</w:t>
      </w:r>
    </w:p>
    <w:p w14:paraId="3DD9B800" w14:textId="77777777" w:rsidR="00AC3E10" w:rsidRDefault="00AC3E10" w:rsidP="00AC3E10">
      <w:pPr>
        <w:pStyle w:val="NormalWeb"/>
        <w:ind w:left="720"/>
      </w:pPr>
      <w:r>
        <w:rPr>
          <w:rFonts w:eastAsiaTheme="minorHAnsi"/>
          <w:kern w:val="2"/>
          <w14:ligatures w14:val="standardContextual"/>
        </w:rPr>
        <w:t>***</w:t>
      </w:r>
    </w:p>
    <w:p w14:paraId="6474A360" w14:textId="77777777" w:rsidR="00AC3E10" w:rsidRDefault="00AC3E10" w:rsidP="00AC3E10">
      <w:pPr>
        <w:spacing w:before="100" w:beforeAutospacing="1" w:after="100" w:afterAutospacing="1" w:line="240" w:lineRule="auto"/>
        <w:ind w:left="720"/>
        <w:rPr>
          <w:rFonts w:ascii="Times New Roman" w:hAnsi="Times New Roman"/>
          <w:sz w:val="24"/>
          <w:szCs w:val="24"/>
        </w:rPr>
      </w:pPr>
      <w:r w:rsidRPr="00C14243">
        <w:rPr>
          <w:rFonts w:ascii="Times New Roman" w:hAnsi="Times New Roman"/>
          <w:sz w:val="24"/>
          <w:szCs w:val="24"/>
        </w:rPr>
        <w:t xml:space="preserve">Specifically, the Assistant Chief job posting stated that an external candidate required ten years of supervisory experience, but that an internal candidate required only ten years with the EHFD, regardless of whether the candidate had any supervisory experience during that time. </w:t>
      </w:r>
      <w:r w:rsidRPr="00C14243">
        <w:rPr>
          <w:rFonts w:ascii="Times New Roman" w:hAnsi="Times New Roman"/>
          <w:i/>
          <w:iCs/>
          <w:sz w:val="24"/>
          <w:szCs w:val="24"/>
        </w:rPr>
        <w:t>Id.</w:t>
      </w:r>
      <w:r w:rsidRPr="00C14243">
        <w:rPr>
          <w:rFonts w:ascii="Times New Roman" w:hAnsi="Times New Roman"/>
          <w:sz w:val="24"/>
          <w:szCs w:val="24"/>
        </w:rPr>
        <w:t xml:space="preserve"> In addition, </w:t>
      </w:r>
      <w:r>
        <w:rPr>
          <w:rFonts w:ascii="Times New Roman" w:hAnsi="Times New Roman"/>
          <w:sz w:val="24"/>
          <w:szCs w:val="24"/>
        </w:rPr>
        <w:t xml:space="preserve">[Fire Chief] </w:t>
      </w:r>
      <w:r w:rsidRPr="00C14243">
        <w:rPr>
          <w:rFonts w:ascii="Times New Roman" w:hAnsi="Times New Roman"/>
          <w:sz w:val="24"/>
          <w:szCs w:val="24"/>
        </w:rPr>
        <w:t xml:space="preserve">Marcarelli changed the format of the Assistant Chief hiring process by setting only an oral exam and eliminating the typical written exam requirement, despite that Plaintiff had historically performed well on written exams. </w:t>
      </w:r>
      <w:r w:rsidRPr="00C14243">
        <w:rPr>
          <w:rFonts w:ascii="Times New Roman" w:hAnsi="Times New Roman"/>
          <w:i/>
          <w:iCs/>
          <w:sz w:val="24"/>
          <w:szCs w:val="24"/>
        </w:rPr>
        <w:t>Id.</w:t>
      </w:r>
      <w:r w:rsidRPr="00C14243">
        <w:rPr>
          <w:rFonts w:ascii="Times New Roman" w:hAnsi="Times New Roman"/>
          <w:sz w:val="24"/>
          <w:szCs w:val="24"/>
        </w:rPr>
        <w:t xml:space="preserve"> ¶ 53. Marcarelli also selected the individuals who would comprise the panel of interviewers for the oral exam. </w:t>
      </w:r>
      <w:r w:rsidRPr="00C14243">
        <w:rPr>
          <w:rFonts w:ascii="Times New Roman" w:hAnsi="Times New Roman"/>
          <w:i/>
          <w:iCs/>
          <w:sz w:val="24"/>
          <w:szCs w:val="24"/>
        </w:rPr>
        <w:t>Id.</w:t>
      </w:r>
      <w:r w:rsidRPr="00C14243">
        <w:rPr>
          <w:rFonts w:ascii="Times New Roman" w:hAnsi="Times New Roman"/>
          <w:sz w:val="24"/>
          <w:szCs w:val="24"/>
        </w:rPr>
        <w:t xml:space="preserve"> ¶ 54.</w:t>
      </w:r>
    </w:p>
    <w:p w14:paraId="69AC8FBC" w14:textId="77777777" w:rsidR="00AC3E10" w:rsidRDefault="00AC3E10" w:rsidP="00AC3E10">
      <w:pPr>
        <w:spacing w:before="100" w:beforeAutospacing="1" w:after="100" w:afterAutospacing="1" w:line="240" w:lineRule="auto"/>
        <w:ind w:left="720"/>
      </w:pPr>
      <w:r>
        <w:rPr>
          <w:rFonts w:ascii="Times New Roman" w:hAnsi="Times New Roman"/>
          <w:sz w:val="24"/>
          <w:szCs w:val="24"/>
        </w:rPr>
        <w:t>***</w:t>
      </w:r>
    </w:p>
    <w:p w14:paraId="0BC44673" w14:textId="1C1314C9" w:rsidR="00AC3E10" w:rsidRPr="00AC3E10" w:rsidRDefault="00AC3E10" w:rsidP="00AC3E10">
      <w:pPr>
        <w:pStyle w:val="NoSpacing"/>
        <w:ind w:left="720"/>
        <w:rPr>
          <w:rFonts w:ascii="Times New Roman" w:hAnsi="Times New Roman"/>
          <w:b/>
          <w:bCs/>
          <w:sz w:val="24"/>
          <w:szCs w:val="24"/>
        </w:rPr>
      </w:pPr>
      <w:r w:rsidRPr="00AC3E10">
        <w:rPr>
          <w:rFonts w:ascii="Times New Roman" w:hAnsi="Times New Roman"/>
          <w:sz w:val="24"/>
          <w:szCs w:val="24"/>
        </w:rPr>
        <w:t xml:space="preserve">Importantly, the complaint alleges that Marcarelli </w:t>
      </w:r>
      <w:r w:rsidRPr="00AC3E10">
        <w:rPr>
          <w:rStyle w:val="Emphasis"/>
          <w:rFonts w:ascii="Times New Roman" w:eastAsiaTheme="majorEastAsia" w:hAnsi="Times New Roman"/>
          <w:sz w:val="24"/>
          <w:szCs w:val="24"/>
        </w:rPr>
        <w:t>drafted</w:t>
      </w:r>
      <w:r w:rsidRPr="00AC3E10">
        <w:rPr>
          <w:rFonts w:ascii="Times New Roman" w:hAnsi="Times New Roman"/>
          <w:sz w:val="24"/>
          <w:szCs w:val="24"/>
        </w:rPr>
        <w:t xml:space="preserve"> the job description, </w:t>
      </w:r>
      <w:r w:rsidRPr="00AC3E10">
        <w:rPr>
          <w:rStyle w:val="Emphasis"/>
          <w:rFonts w:ascii="Times New Roman" w:eastAsiaTheme="majorEastAsia" w:hAnsi="Times New Roman"/>
          <w:sz w:val="24"/>
          <w:szCs w:val="24"/>
        </w:rPr>
        <w:t>eliminated</w:t>
      </w:r>
      <w:r w:rsidRPr="00AC3E10">
        <w:rPr>
          <w:rFonts w:ascii="Times New Roman" w:hAnsi="Times New Roman"/>
          <w:sz w:val="24"/>
          <w:szCs w:val="24"/>
        </w:rPr>
        <w:t xml:space="preserve"> the written exam requirement, and </w:t>
      </w:r>
      <w:r w:rsidRPr="00AC3E10">
        <w:rPr>
          <w:rStyle w:val="Emphasis"/>
          <w:rFonts w:ascii="Times New Roman" w:eastAsiaTheme="majorEastAsia" w:hAnsi="Times New Roman"/>
          <w:sz w:val="24"/>
          <w:szCs w:val="24"/>
        </w:rPr>
        <w:t>hand-picked</w:t>
      </w:r>
      <w:r w:rsidRPr="00AC3E10">
        <w:rPr>
          <w:rFonts w:ascii="Times New Roman" w:hAnsi="Times New Roman"/>
          <w:sz w:val="24"/>
          <w:szCs w:val="24"/>
        </w:rPr>
        <w:t xml:space="preserve"> the interviewers. </w:t>
      </w:r>
      <w:proofErr w:type="spellStart"/>
      <w:r w:rsidRPr="00AC3E10">
        <w:rPr>
          <w:rFonts w:ascii="Times New Roman" w:hAnsi="Times New Roman"/>
          <w:sz w:val="24"/>
          <w:szCs w:val="24"/>
        </w:rPr>
        <w:t>Compl</w:t>
      </w:r>
      <w:proofErr w:type="spellEnd"/>
      <w:r w:rsidRPr="00AC3E10">
        <w:rPr>
          <w:rFonts w:ascii="Times New Roman" w:hAnsi="Times New Roman"/>
          <w:sz w:val="24"/>
          <w:szCs w:val="24"/>
        </w:rPr>
        <w:t>. ¶¶ 48, 53-54.</w:t>
      </w:r>
      <w:r w:rsidRPr="00AC3E10">
        <w:rPr>
          <w:rFonts w:ascii="Times New Roman" w:hAnsi="Times New Roman"/>
          <w:sz w:val="24"/>
          <w:szCs w:val="24"/>
          <w:vertAlign w:val="superscript"/>
        </w:rPr>
        <w:t>[</w:t>
      </w:r>
      <w:hyperlink r:id="rId1424" w:anchor="ftn.FN8" w:history="1">
        <w:r w:rsidRPr="00AC3E10">
          <w:rPr>
            <w:rStyle w:val="Hyperlink"/>
            <w:rFonts w:ascii="Times New Roman" w:eastAsiaTheme="majorEastAsia" w:hAnsi="Times New Roman"/>
            <w:sz w:val="24"/>
            <w:szCs w:val="24"/>
            <w:vertAlign w:val="superscript"/>
          </w:rPr>
          <w:t>8</w:t>
        </w:r>
      </w:hyperlink>
      <w:r w:rsidRPr="00AC3E10">
        <w:rPr>
          <w:rFonts w:ascii="Times New Roman" w:hAnsi="Times New Roman"/>
          <w:sz w:val="24"/>
          <w:szCs w:val="24"/>
          <w:vertAlign w:val="superscript"/>
        </w:rPr>
        <w:t>]</w:t>
      </w:r>
      <w:r w:rsidRPr="00AC3E10">
        <w:rPr>
          <w:rFonts w:ascii="Times New Roman" w:hAnsi="Times New Roman"/>
          <w:sz w:val="24"/>
          <w:szCs w:val="24"/>
        </w:rPr>
        <w:t xml:space="preserve"> To the extent further discovery reveals that those decisions were reviewable by the Board of Fire Commissioners, or to the extent that further research demonstrates that the authority to make those decisions was vested in the Board or some other person or entity, Plaintiff may not ultimately prevail on this theory of her </w:t>
      </w:r>
      <w:r w:rsidRPr="00AC3E10">
        <w:rPr>
          <w:rStyle w:val="Emphasis"/>
          <w:rFonts w:ascii="Times New Roman" w:eastAsiaTheme="majorEastAsia" w:hAnsi="Times New Roman"/>
          <w:sz w:val="24"/>
          <w:szCs w:val="24"/>
        </w:rPr>
        <w:t>Monell</w:t>
      </w:r>
      <w:r w:rsidRPr="00AC3E10">
        <w:rPr>
          <w:rFonts w:ascii="Times New Roman" w:hAnsi="Times New Roman"/>
          <w:sz w:val="24"/>
          <w:szCs w:val="24"/>
        </w:rPr>
        <w:t xml:space="preserve"> claim.” </w:t>
      </w:r>
      <w:hyperlink r:id="rId1425" w:history="1">
        <w:r w:rsidRPr="00AC3E10">
          <w:rPr>
            <w:rStyle w:val="Hyperlink"/>
            <w:rFonts w:ascii="Times New Roman" w:eastAsiaTheme="majorEastAsia" w:hAnsi="Times New Roman"/>
            <w:sz w:val="24"/>
            <w:szCs w:val="24"/>
          </w:rPr>
          <w:t>https://public.fastcase.com/ZZhmr5v9wN%2FXOe5IsQ%2FqD%2FNGb7gFooJuC7EPCkPbb8zYGJ%2BdPMtTRazA4SgxbA0Hq%2Bqtj6iK5eurCbJj4Cn6ySK1qzuHHpkHA9cN2Vx6eWo%3D?utm_medium=email&amp;_hsmi=226712652&amp;_hsenc=p2ANqtz-_M4ZQ75NqvFrlpX3gz1MCu7xTgTM0sg-yZbWDDZft-2cApXVRPMU-C3jBD2GmP4Ff9YuyLw19xTYwQuDOoCvQcSGp93w&amp;utm_content=226712652&amp;utm_source=hs_email</w:t>
        </w:r>
      </w:hyperlink>
    </w:p>
    <w:p w14:paraId="36EDDD30" w14:textId="77777777" w:rsidR="00AC3E10" w:rsidRDefault="00AC3E10" w:rsidP="00F326E5">
      <w:pPr>
        <w:pStyle w:val="NoSpacing"/>
        <w:rPr>
          <w:rFonts w:ascii="Arial Black" w:hAnsi="Arial Black"/>
          <w:b/>
          <w:bCs/>
          <w:sz w:val="24"/>
          <w:szCs w:val="24"/>
        </w:rPr>
      </w:pPr>
    </w:p>
    <w:p w14:paraId="0F8D2805" w14:textId="77777777" w:rsidR="00AC3E10" w:rsidRPr="00353B08" w:rsidRDefault="00AC3E10" w:rsidP="00AC3E10">
      <w:pPr>
        <w:pStyle w:val="NormalWeb"/>
        <w:rPr>
          <w:b/>
          <w:bCs/>
        </w:rPr>
      </w:pPr>
      <w:r w:rsidRPr="00353B08">
        <w:rPr>
          <w:rFonts w:eastAsiaTheme="minorHAnsi"/>
          <w:b/>
          <w:bCs/>
          <w:kern w:val="2"/>
          <w14:ligatures w14:val="standardContextual"/>
        </w:rPr>
        <w:t xml:space="preserve">Legal Lesson Learned: </w:t>
      </w:r>
      <w:r>
        <w:rPr>
          <w:rFonts w:eastAsiaTheme="minorHAnsi"/>
          <w:b/>
          <w:bCs/>
          <w:kern w:val="2"/>
          <w14:ligatures w14:val="standardContextual"/>
        </w:rPr>
        <w:t xml:space="preserve">Lawsuit will now proceed with pre-trial discovery.  Be very cautious in changing the promotion process. </w:t>
      </w:r>
    </w:p>
    <w:p w14:paraId="09EA451C" w14:textId="77777777" w:rsidR="00AC3E10" w:rsidRDefault="00AC3E10" w:rsidP="00F326E5">
      <w:pPr>
        <w:pStyle w:val="NoSpacing"/>
        <w:rPr>
          <w:rFonts w:ascii="Arial Black" w:hAnsi="Arial Black"/>
          <w:b/>
          <w:bCs/>
          <w:sz w:val="24"/>
          <w:szCs w:val="24"/>
        </w:rPr>
      </w:pPr>
    </w:p>
    <w:p w14:paraId="1A2EC069" w14:textId="5E4B4D88" w:rsidR="00664ABE" w:rsidRPr="000644B6" w:rsidRDefault="00664ABE" w:rsidP="00F326E5">
      <w:pPr>
        <w:pStyle w:val="NoSpacing"/>
        <w:rPr>
          <w:rFonts w:ascii="Arial Black" w:hAnsi="Arial Black"/>
          <w:b/>
          <w:bCs/>
          <w:sz w:val="24"/>
          <w:szCs w:val="24"/>
        </w:rPr>
      </w:pPr>
      <w:r w:rsidRPr="000644B6">
        <w:rPr>
          <w:rFonts w:ascii="Arial Black" w:hAnsi="Arial Black"/>
          <w:b/>
          <w:bCs/>
          <w:sz w:val="24"/>
          <w:szCs w:val="24"/>
        </w:rPr>
        <w:t>7-54</w:t>
      </w:r>
    </w:p>
    <w:p w14:paraId="16C6CF28" w14:textId="77777777" w:rsidR="000644B6" w:rsidRPr="000644B6" w:rsidRDefault="000644B6" w:rsidP="000644B6">
      <w:pPr>
        <w:pStyle w:val="NormalWeb"/>
        <w:rPr>
          <w:rFonts w:ascii="Arial Black" w:hAnsi="Arial Black"/>
          <w:sz w:val="28"/>
          <w:szCs w:val="28"/>
        </w:rPr>
      </w:pPr>
      <w:r w:rsidRPr="000644B6">
        <w:rPr>
          <w:rFonts w:ascii="Arial Black" w:hAnsi="Arial Black"/>
          <w:sz w:val="28"/>
          <w:szCs w:val="28"/>
        </w:rPr>
        <w:t xml:space="preserve">KY: FF HAD SEX 17-YR-OLD – HE IS IN PRISON 35 YEARS – NO CASE AGAINST CITY / FD FOR “FAILURE TO SUPERVISE” </w:t>
      </w:r>
    </w:p>
    <w:p w14:paraId="6405F185" w14:textId="77777777" w:rsidR="000644B6" w:rsidRPr="000644B6" w:rsidRDefault="000644B6" w:rsidP="000644B6">
      <w:pPr>
        <w:pStyle w:val="NormalWeb"/>
      </w:pPr>
      <w:r w:rsidRPr="000644B6">
        <w:t xml:space="preserve">On July 25, 2023, in </w:t>
      </w:r>
      <w:r w:rsidRPr="000644B6">
        <w:rPr>
          <w:u w:val="single"/>
        </w:rPr>
        <w:t>Emmalee Young v. City of Paris, et al.</w:t>
      </w:r>
      <w:r w:rsidRPr="000644B6">
        <w:t xml:space="preserve">, U.S. District Court Judge Karen K. Caldwell, U.S. District Court for Eastern District of Kentucky, Central Division (Lexington), granted motion for summary judgment on behalf of the </w:t>
      </w:r>
      <w:proofErr w:type="gramStart"/>
      <w:r w:rsidRPr="000644B6">
        <w:t>City</w:t>
      </w:r>
      <w:proofErr w:type="gramEnd"/>
      <w:r w:rsidRPr="000644B6">
        <w:t xml:space="preserve">, Fire Chief, Battalion Chief and police officials. The only remaining defendant is former firefighter William Michael Fields, Jr., now serving 35 years in federal prison. A failure-to-supervise claim is a “rare” claim.  </w:t>
      </w:r>
    </w:p>
    <w:p w14:paraId="13BB30E2" w14:textId="530F59CD" w:rsidR="00664ABE" w:rsidRPr="000644B6" w:rsidRDefault="000644B6" w:rsidP="000644B6">
      <w:pPr>
        <w:pStyle w:val="NoSpacing"/>
        <w:rPr>
          <w:rFonts w:ascii="Times New Roman" w:hAnsi="Times New Roman"/>
          <w:sz w:val="24"/>
          <w:szCs w:val="24"/>
        </w:rPr>
      </w:pPr>
      <w:r w:rsidRPr="000644B6">
        <w:rPr>
          <w:rFonts w:ascii="Times New Roman" w:hAnsi="Times New Roman"/>
          <w:sz w:val="24"/>
          <w:szCs w:val="24"/>
        </w:rPr>
        <w:t xml:space="preserve">The Court held: “As to a failure-to-supervise claim, this is a ‘rare’ claim. *** Young could show the city was deliberately indifferent to the risk that its employees would have sexual intercourse with minors or other nonconsenting individuals with evidence of a pattern of similar constitutional violations, with a record of city employees ‘going unpunished’ for similar constitutional violations or other circumstances tending to show that the city was aware or could have been aware that Fields was prone to have sexual intercourse with minors or other nonconsenting individuals. </w:t>
      </w:r>
      <w:r w:rsidRPr="000644B6">
        <w:rPr>
          <w:rStyle w:val="Emphasis"/>
          <w:rFonts w:ascii="Times New Roman" w:hAnsi="Times New Roman"/>
          <w:sz w:val="24"/>
          <w:szCs w:val="24"/>
        </w:rPr>
        <w:t>Id</w:t>
      </w:r>
      <w:r w:rsidRPr="000644B6">
        <w:rPr>
          <w:rFonts w:ascii="Times New Roman" w:hAnsi="Times New Roman"/>
          <w:sz w:val="24"/>
          <w:szCs w:val="24"/>
        </w:rPr>
        <w:t xml:space="preserve">. Young presents no such evidence. Accordingly, the Court will enter summary judgment in favor of the city of Paris, Kentucky on Young's constitutional claims. *** The issue on this motion is whether Young has presented sufficient facts to lead a reasonable juror to find that the city of Paris, Fields' supervisors at the fire department, or Paris law enforcement officers Royse and Boyer should also be liable for Fields' wrongful conduct. *** Young does not allege, however, that any of the individual defendants other than Fields personally sexually harassed her or violated her bodily integrity. She does not allege that any of the other defendants even had substantial direct interactions with her. She asserts, however, that the other defendants should be held liable for Fields' actions. *** As to Chief Duffy and Battalion Chief Hensley, Young asserts that both are liable for Fields' conduct because they were his supervisors at the Paris Fire Department. *** Young has produced no evidence that Duffy or Hensley was aware that Fields had sexually harassed or violated the bodily integrity of Young or anyone else or that he intended to. Though the deposition testimony established that other members of the Fire Department were aware that Fields had engaged in multiple sexual encounters outside of his marriage, </w:t>
      </w:r>
      <w:proofErr w:type="gramStart"/>
      <w:r w:rsidRPr="000644B6">
        <w:rPr>
          <w:rFonts w:ascii="Times New Roman" w:hAnsi="Times New Roman"/>
          <w:sz w:val="24"/>
          <w:szCs w:val="24"/>
        </w:rPr>
        <w:t>Young</w:t>
      </w:r>
      <w:proofErr w:type="gramEnd"/>
      <w:r w:rsidRPr="000644B6">
        <w:rPr>
          <w:rFonts w:ascii="Times New Roman" w:hAnsi="Times New Roman"/>
          <w:sz w:val="24"/>
          <w:szCs w:val="24"/>
        </w:rPr>
        <w:t xml:space="preserve"> points to no evidence that any other employee was aware that any of Fields' sexual encounters involved nonconsenting women or minors or otherwise constituted sexual harassment or violations of bodily integrity. *** She presents evidence that fire department employees discussed sexual activities and shared nude images of females while on duty. She has also produced evidence that at least some fire department employees engaged in sexual activities with nonemployees at facilities used by the Paris Fire Department like Safety City. Young has pointed to no evidence, however, that any fire department employee other than Fields engaged in sexual behavior with an underage or otherwise nonconsenting individual, which is the kind of constitutional violation suffered by Young.” </w:t>
      </w:r>
      <w:hyperlink r:id="rId1426" w:history="1">
        <w:r w:rsidRPr="000644B6">
          <w:rPr>
            <w:rStyle w:val="Hyperlink"/>
            <w:rFonts w:ascii="Times New Roman" w:eastAsiaTheme="majorEastAsia" w:hAnsi="Times New Roman"/>
            <w:sz w:val="24"/>
            <w:szCs w:val="24"/>
          </w:rPr>
          <w:t>https://public.fastcase.com/ZZhmr5v9wN%2FXOe5IsQ%2FqD4teBhUqY7wvbGAswNzyBMaksiAAx9CoK%2F0glr7LeyIGy7%2BIvTMMfnsD4C1w01llLSbg%2FSmkDMg22UrZNbleClI%3D?utm_medium=email&amp;_hsmi=226712652&amp;_hsenc=p2ANqtz--0kKIYBqY11A1vHL3K3LnOM9OT3ZDxvHId5EPEJRai0C-xgNPiCQqUNedXVxiPbPjxDggmQ5V534mtY9qGSRF7_b-8gg&amp;utm_content=226712652&amp;utm_source=hs_email</w:t>
        </w:r>
      </w:hyperlink>
    </w:p>
    <w:p w14:paraId="7F031CF5" w14:textId="77777777" w:rsidR="00664ABE" w:rsidRDefault="00664ABE" w:rsidP="00F326E5">
      <w:pPr>
        <w:pStyle w:val="NoSpacing"/>
        <w:rPr>
          <w:rFonts w:ascii="Arial Black" w:hAnsi="Arial Black"/>
          <w:sz w:val="24"/>
          <w:szCs w:val="24"/>
        </w:rPr>
      </w:pPr>
    </w:p>
    <w:p w14:paraId="537B694A" w14:textId="77777777" w:rsidR="000644B6" w:rsidRPr="008B55B1" w:rsidRDefault="000644B6" w:rsidP="000644B6">
      <w:pPr>
        <w:pStyle w:val="NormalWeb"/>
        <w:rPr>
          <w:b/>
          <w:bCs/>
        </w:rPr>
      </w:pPr>
      <w:r w:rsidRPr="008B55B1">
        <w:rPr>
          <w:b/>
          <w:bCs/>
        </w:rPr>
        <w:t xml:space="preserve">Legal Lesson Learned: </w:t>
      </w:r>
      <w:r>
        <w:rPr>
          <w:b/>
          <w:bCs/>
        </w:rPr>
        <w:t xml:space="preserve">A “failure to supervise” claim must be backed up with facts showing management knowledge of improper conduct. </w:t>
      </w:r>
    </w:p>
    <w:p w14:paraId="1F89B981" w14:textId="77777777" w:rsidR="000644B6" w:rsidRDefault="000644B6" w:rsidP="00F326E5">
      <w:pPr>
        <w:pStyle w:val="NoSpacing"/>
        <w:rPr>
          <w:rFonts w:ascii="Arial Black" w:hAnsi="Arial Black"/>
          <w:sz w:val="24"/>
          <w:szCs w:val="24"/>
        </w:rPr>
      </w:pPr>
    </w:p>
    <w:p w14:paraId="32610B35" w14:textId="77777777" w:rsidR="000644B6" w:rsidRDefault="000644B6" w:rsidP="00F326E5">
      <w:pPr>
        <w:pStyle w:val="NoSpacing"/>
        <w:rPr>
          <w:rFonts w:ascii="Arial Black" w:hAnsi="Arial Black"/>
          <w:sz w:val="24"/>
          <w:szCs w:val="24"/>
        </w:rPr>
      </w:pPr>
    </w:p>
    <w:p w14:paraId="6E47CC74" w14:textId="77777777" w:rsidR="000644B6" w:rsidRDefault="000644B6" w:rsidP="00F326E5">
      <w:pPr>
        <w:pStyle w:val="NoSpacing"/>
        <w:rPr>
          <w:rFonts w:ascii="Arial Black" w:hAnsi="Arial Black"/>
          <w:sz w:val="24"/>
          <w:szCs w:val="24"/>
        </w:rPr>
      </w:pPr>
    </w:p>
    <w:p w14:paraId="0D4D71D9" w14:textId="4FF7BE2E" w:rsidR="00227BDE" w:rsidRDefault="00411936" w:rsidP="00F326E5">
      <w:pPr>
        <w:pStyle w:val="NoSpacing"/>
        <w:rPr>
          <w:rFonts w:ascii="Arial Black" w:hAnsi="Arial Black"/>
          <w:sz w:val="24"/>
          <w:szCs w:val="24"/>
        </w:rPr>
      </w:pPr>
      <w:r>
        <w:rPr>
          <w:rFonts w:ascii="Arial Black" w:hAnsi="Arial Black"/>
          <w:sz w:val="24"/>
          <w:szCs w:val="24"/>
        </w:rPr>
        <w:t>7-53</w:t>
      </w:r>
    </w:p>
    <w:p w14:paraId="0AD9E391" w14:textId="77777777" w:rsidR="00664ABE" w:rsidRPr="001C1F46" w:rsidRDefault="00664ABE" w:rsidP="00664ABE">
      <w:pPr>
        <w:pStyle w:val="NormalWeb"/>
        <w:rPr>
          <w:rFonts w:ascii="Arial Black" w:hAnsi="Arial Black"/>
          <w:sz w:val="28"/>
          <w:szCs w:val="28"/>
        </w:rPr>
      </w:pPr>
      <w:r>
        <w:rPr>
          <w:rFonts w:ascii="Arial Black" w:hAnsi="Arial Black"/>
          <w:sz w:val="28"/>
          <w:szCs w:val="28"/>
        </w:rPr>
        <w:t>CA: SAN FRAN. FF – HARASSMENT, NASTY COMMENTS BY SUPERVISOR TO FF HUSBAND – LACTATION NOT PRIVATE</w:t>
      </w:r>
    </w:p>
    <w:p w14:paraId="63FBDA5C" w14:textId="77777777" w:rsidR="00664ABE" w:rsidRDefault="00664ABE" w:rsidP="00664ABE">
      <w:pPr>
        <w:pStyle w:val="NormalWeb"/>
      </w:pPr>
      <w:r>
        <w:t xml:space="preserve">On July 13, 2023, in </w:t>
      </w:r>
      <w:r w:rsidRPr="001C1F46">
        <w:rPr>
          <w:u w:val="single"/>
        </w:rPr>
        <w:t>Sarah Perata v. City and County of San Francisco</w:t>
      </w:r>
      <w:r>
        <w:t xml:space="preserve">, U.S. Magistrate Judge Thomas S. Hixson, denied the City’s motion for summary judgment on claims of gender discrimination, including lack of location with a lock for lactation.  She was hired in 2018 as EMT and was a training instructor at Treasure Island.  In 2020 she received a promotion to Captain, subject to six-month probationary period and transferred to Station 49.  Unfortunately, on Dec. 7, 2020, Fire Chief Janine Nicholson sent Plaintiff a letter revoking the promotion based on two investigations - text message incident and training binder incident.  Text Message Incident – proposed 7-day suspension.  Plaintiff's new supervisor at Station 49, Chief Niels Tangherlini, received a message from what appeared to be Plaintiff's phone number stating, “I fucking hate this place.” Multiple other coworkers received texts from what appeared to be Plaintiff's phone number stating, “I hate you,” or “Fuck you.”   Training Binder Incident – proposed 3-day suspension. On February 13, 2020, she and her husband went to Tresure Island to gather her belongings for transfer to Station </w:t>
      </w:r>
      <w:proofErr w:type="gramStart"/>
      <w:r>
        <w:t>49, and</w:t>
      </w:r>
      <w:proofErr w:type="gramEnd"/>
      <w:r>
        <w:t xml:space="preserve"> apparently took training materials. That suspension was withdrawn when Plaintiff provided SFFD relevant materials. </w:t>
      </w:r>
    </w:p>
    <w:p w14:paraId="4FF4ED76" w14:textId="77777777" w:rsidR="00664ABE" w:rsidRDefault="00664ABE" w:rsidP="00664ABE">
      <w:pPr>
        <w:pStyle w:val="NormalWeb"/>
      </w:pPr>
      <w:r>
        <w:t>The Magistrate Judge held:</w:t>
      </w:r>
    </w:p>
    <w:p w14:paraId="0246B33E" w14:textId="77777777" w:rsidR="00664ABE" w:rsidRDefault="00664ABE" w:rsidP="00664ABE">
      <w:pPr>
        <w:pStyle w:val="NormalWeb"/>
      </w:pPr>
      <w:r>
        <w:t xml:space="preserve">HARASSMENT: “Although a close call, the Court finds Plaintiff has established material facts to preclude summary judgment on her harassment claims. Plaintiff testified that her supervisor, Payne [Nicholas Payne, Emergency Medical Services Training section chief for Treasure Island] and his supervisor, ‘constantly’ called Plaintiff and her fellow female coworkers ‘minions,’ and asked them to do the office administrative work. *** Defendant argues that many of the comments are not references to gender, but the Court finds there is sufficient evidence to infer gender bias. For example, Plaintiff's husband testified that Payne said Plaintiff “must give great head because I don't know why you are with </w:t>
      </w:r>
      <w:proofErr w:type="gramStart"/>
      <w:r>
        <w:t>her.”</w:t>
      </w:r>
      <w:proofErr w:type="gramEnd"/>
      <w:r>
        <w:t xml:space="preserve"> *** There is also evidence that Payne and Tibbits [Zachary Tibbits, co-worker] would put Plaintiff's desk figurines in sexual positions.”</w:t>
      </w:r>
    </w:p>
    <w:p w14:paraId="6D571029" w14:textId="77777777" w:rsidR="00664ABE" w:rsidRDefault="00664ABE" w:rsidP="00664ABE">
      <w:pPr>
        <w:pStyle w:val="NormalWeb"/>
      </w:pPr>
      <w:r>
        <w:t xml:space="preserve">LACTATION: “Plaintiff testified that after she was walked in on while using the captain's </w:t>
      </w:r>
      <w:proofErr w:type="gramStart"/>
      <w:r>
        <w:t>room</w:t>
      </w:r>
      <w:proofErr w:type="gramEnd"/>
      <w:r>
        <w:t xml:space="preserve"> she would occasionally go downstairs and ask to use another officer's room…. Drawing all inferences in Plaintiff's favor, it is reasonable to infer that if Plaintiff had access to a classroom that reasonably accommodated her lactation, she would not have sought out the officer's room and asked the officer to stand outside. In sum, the Court finds a sufficient factual dispute as to the reasonableness of the accommodations…. Cal. Code Regs. tit. 2, § 11035. ‘An employer shall provide an employee with the use of a room or other location for the employee to express milk in private.... A lactation room or location shall not be a bathroom and shall be . . . shielded from view, and free from intrusion while the employee is expressing milk.’ Cal. Lab. Code § 1031(a)-(b).”</w:t>
      </w:r>
    </w:p>
    <w:p w14:paraId="75B89A7E" w14:textId="4013EF68" w:rsidR="00411936" w:rsidRDefault="00664ABE" w:rsidP="00664ABE">
      <w:pPr>
        <w:pStyle w:val="NoSpacing"/>
        <w:rPr>
          <w:rStyle w:val="Hyperlink"/>
          <w:rFonts w:eastAsiaTheme="majorEastAsia"/>
        </w:rPr>
      </w:pPr>
      <w:hyperlink r:id="rId1427" w:history="1">
        <w:r w:rsidRPr="00AD70CC">
          <w:rPr>
            <w:rStyle w:val="Hyperlink"/>
            <w:rFonts w:eastAsiaTheme="majorEastAsia"/>
          </w:rPr>
          <w:t>https://public.fastcase.com/ZZhmr5v9wN%2FXOe5IsQ%2FqDyz5rhb%2FyBrIG8Au%2Ft3V919eqRG814zcJAmxY3jo6zPUS7MBeKfAuG868JSXjuCSoaubFv3fklmg5wPl%2B%2FhuGG8%3D?utm_medium=email&amp;_hsmi=226712652&amp;_hsenc=p2ANqtz-_V_ICNjbd2RZxHYCrc4la9bLeUstsyddFe2y3dzHQoT8LejGxKFn7KSEl6HhmqEbKKnasxkhMyKJsJTXSn_Oay7PK5pg&amp;utm_content=226712652&amp;utm_source=hs_email</w:t>
        </w:r>
      </w:hyperlink>
    </w:p>
    <w:p w14:paraId="1224AAC8" w14:textId="77777777" w:rsidR="00664ABE" w:rsidRPr="00F266A7" w:rsidRDefault="00664ABE" w:rsidP="00664ABE">
      <w:pPr>
        <w:pStyle w:val="NormalWeb"/>
        <w:rPr>
          <w:b/>
          <w:bCs/>
        </w:rPr>
      </w:pPr>
      <w:r w:rsidRPr="00F266A7">
        <w:rPr>
          <w:b/>
          <w:bCs/>
        </w:rPr>
        <w:t xml:space="preserve">Legal Lesson Learned: Inappropriate comments by a supervisor to </w:t>
      </w:r>
      <w:r>
        <w:rPr>
          <w:b/>
          <w:bCs/>
        </w:rPr>
        <w:t>an e</w:t>
      </w:r>
      <w:r w:rsidRPr="00F266A7">
        <w:rPr>
          <w:b/>
          <w:bCs/>
        </w:rPr>
        <w:t xml:space="preserve">mployee, or to the employee’s spouse, can be used as evidence in a harassment case. </w:t>
      </w:r>
      <w:r>
        <w:rPr>
          <w:b/>
          <w:bCs/>
        </w:rPr>
        <w:t xml:space="preserve"> For </w:t>
      </w:r>
      <w:proofErr w:type="gramStart"/>
      <w:r>
        <w:rPr>
          <w:b/>
          <w:bCs/>
        </w:rPr>
        <w:t>lactating</w:t>
      </w:r>
      <w:proofErr w:type="gramEnd"/>
      <w:r>
        <w:rPr>
          <w:b/>
          <w:bCs/>
        </w:rPr>
        <w:t xml:space="preserve"> employees, provide a location with a lock on the door. </w:t>
      </w:r>
    </w:p>
    <w:p w14:paraId="23B8660B" w14:textId="77777777" w:rsidR="00664ABE" w:rsidRPr="0073072D" w:rsidRDefault="00664ABE" w:rsidP="00664ABE">
      <w:pPr>
        <w:pStyle w:val="Heading1"/>
        <w:ind w:left="720"/>
        <w:rPr>
          <w:b w:val="0"/>
          <w:bCs w:val="0"/>
          <w:sz w:val="24"/>
          <w:szCs w:val="24"/>
        </w:rPr>
      </w:pPr>
      <w:r w:rsidRPr="0073072D">
        <w:rPr>
          <w:b w:val="0"/>
          <w:bCs w:val="0"/>
          <w:sz w:val="24"/>
          <w:szCs w:val="24"/>
        </w:rPr>
        <w:t xml:space="preserve">Note: See U.S. Department of Labor - Fact Sheet #73: FLSA Protections for Employees to Pump Breast Milk at Work, </w:t>
      </w:r>
      <w:hyperlink r:id="rId1428" w:history="1">
        <w:r w:rsidRPr="0073072D">
          <w:rPr>
            <w:rStyle w:val="Hyperlink"/>
            <w:b w:val="0"/>
            <w:bCs w:val="0"/>
            <w:sz w:val="24"/>
            <w:szCs w:val="24"/>
          </w:rPr>
          <w:t>https://www.dol.gov/agencies/whd/fact-sheets/73-flsa-break-time-nursing-mothers</w:t>
        </w:r>
      </w:hyperlink>
      <w:r>
        <w:rPr>
          <w:b w:val="0"/>
          <w:bCs w:val="0"/>
          <w:sz w:val="24"/>
          <w:szCs w:val="24"/>
        </w:rPr>
        <w:t xml:space="preserve">. </w:t>
      </w:r>
      <w:r w:rsidRPr="0073072D">
        <w:rPr>
          <w:b w:val="0"/>
          <w:bCs w:val="0"/>
          <w:sz w:val="24"/>
          <w:szCs w:val="24"/>
        </w:rPr>
        <w:t xml:space="preserve">As of December 29, 2022, nearly all FLSA-covered employees have the right to take needed time and to access an appropriate space to express breast milk for a nursing child for up to one year after the child’s birth. </w:t>
      </w:r>
    </w:p>
    <w:p w14:paraId="742F6DFD" w14:textId="77777777" w:rsidR="00664ABE" w:rsidRPr="0073072D" w:rsidRDefault="00664ABE" w:rsidP="00664ABE">
      <w:pPr>
        <w:pStyle w:val="NormalWeb"/>
        <w:ind w:left="720"/>
      </w:pPr>
      <w:r>
        <w:t xml:space="preserve">PUMP FOR NURSING MOTHERS ACT. </w:t>
      </w:r>
      <w:hyperlink r:id="rId1429" w:history="1">
        <w:r w:rsidRPr="00907E23">
          <w:rPr>
            <w:rStyle w:val="Hyperlink"/>
          </w:rPr>
          <w:t>https://www.dol.gov/sites/dolgov/files/WHD/flsa/PUMP-act_hr2617.pdf</w:t>
        </w:r>
      </w:hyperlink>
      <w:r>
        <w:t xml:space="preserve"> </w:t>
      </w:r>
      <w:r w:rsidRPr="0073072D">
        <w:t>‘(a) IN GENERAL .—An employer shall provide—‘‘(1) a reasonable break time for an employee to express</w:t>
      </w:r>
      <w:r>
        <w:t xml:space="preserve"> </w:t>
      </w:r>
      <w:r w:rsidRPr="0073072D">
        <w:t>breast milk for such employee’s nursing child for 1 year after</w:t>
      </w:r>
      <w:r>
        <w:t xml:space="preserve"> </w:t>
      </w:r>
      <w:r w:rsidRPr="0073072D">
        <w:t>the child’s birth each time such employee has need to express</w:t>
      </w:r>
      <w:r>
        <w:t xml:space="preserve"> </w:t>
      </w:r>
      <w:r w:rsidRPr="0073072D">
        <w:t>the milk; and</w:t>
      </w:r>
      <w:r>
        <w:t xml:space="preserve"> </w:t>
      </w:r>
      <w:r w:rsidRPr="0073072D">
        <w:t>‘‘(2) a place, other than a bathroom, that is shielded from</w:t>
      </w:r>
      <w:r>
        <w:t xml:space="preserve"> </w:t>
      </w:r>
      <w:r w:rsidRPr="0073072D">
        <w:t>view and free from intrusion from coworkers and the public,</w:t>
      </w:r>
      <w:r>
        <w:t xml:space="preserve"> </w:t>
      </w:r>
      <w:r w:rsidRPr="0073072D">
        <w:t>which may be used by an employee to express breast milk.</w:t>
      </w:r>
    </w:p>
    <w:p w14:paraId="7C1A25AF" w14:textId="77777777" w:rsidR="00664ABE" w:rsidRDefault="00664ABE" w:rsidP="00664ABE">
      <w:pPr>
        <w:pStyle w:val="NoSpacing"/>
        <w:rPr>
          <w:rFonts w:ascii="Arial Black" w:hAnsi="Arial Black"/>
          <w:sz w:val="24"/>
          <w:szCs w:val="24"/>
        </w:rPr>
      </w:pPr>
    </w:p>
    <w:p w14:paraId="41538E71" w14:textId="6BFAD39F" w:rsidR="00BC4628" w:rsidRDefault="00BC4628" w:rsidP="00F326E5">
      <w:pPr>
        <w:pStyle w:val="NoSpacing"/>
        <w:rPr>
          <w:rFonts w:ascii="Arial Black" w:hAnsi="Arial Black"/>
          <w:sz w:val="24"/>
          <w:szCs w:val="24"/>
        </w:rPr>
      </w:pPr>
      <w:r>
        <w:rPr>
          <w:rFonts w:ascii="Arial Black" w:hAnsi="Arial Black"/>
          <w:sz w:val="24"/>
          <w:szCs w:val="24"/>
        </w:rPr>
        <w:t>7-52</w:t>
      </w:r>
    </w:p>
    <w:p w14:paraId="365DCC1E" w14:textId="77777777" w:rsidR="00BC4628" w:rsidRPr="00913BD5" w:rsidRDefault="00BC4628" w:rsidP="00BC4628">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NY: FF STALKING – FEMALE FF STOPPED DATING HIM – U.S. DEPT. JUSTICE SUES – RETALIATION - CONSENT DECREE </w:t>
      </w:r>
    </w:p>
    <w:p w14:paraId="476C7723" w14:textId="77777777" w:rsidR="00BC4628" w:rsidRDefault="00BC4628" w:rsidP="00BC4628">
      <w:pPr>
        <w:rPr>
          <w:rFonts w:ascii="Times New Roman" w:hAnsi="Times New Roman"/>
          <w:sz w:val="24"/>
          <w:szCs w:val="24"/>
        </w:rPr>
      </w:pPr>
      <w:r>
        <w:rPr>
          <w:rFonts w:ascii="Times New Roman" w:hAnsi="Times New Roman"/>
          <w:sz w:val="24"/>
          <w:szCs w:val="24"/>
        </w:rPr>
        <w:t xml:space="preserve">On June 21, 2023, in </w:t>
      </w:r>
      <w:r w:rsidRPr="002549D5">
        <w:rPr>
          <w:rFonts w:ascii="Times New Roman" w:hAnsi="Times New Roman"/>
          <w:sz w:val="24"/>
          <w:szCs w:val="24"/>
          <w:u w:val="single"/>
        </w:rPr>
        <w:t>United States of America v. Town / Village of Harrison, New York; Fire District Two of Harrison, New York; Harrison Volunteer No. 1 of Harrison, New York</w:t>
      </w:r>
      <w:r>
        <w:rPr>
          <w:rFonts w:ascii="Times New Roman" w:hAnsi="Times New Roman"/>
          <w:sz w:val="24"/>
          <w:szCs w:val="24"/>
        </w:rPr>
        <w:t xml:space="preserve">,  U.S. District Court Judge Cathy Seibel, U.S. District Court for Southern District of New York, published the Consent Decree agreed to by all parties, including $425,000 up front payment, new Town policy, annual training.  Volunteer firefighter </w:t>
      </w:r>
      <w:r w:rsidRPr="002549D5">
        <w:rPr>
          <w:rFonts w:ascii="Times New Roman" w:hAnsi="Times New Roman"/>
          <w:sz w:val="24"/>
          <w:szCs w:val="24"/>
        </w:rPr>
        <w:t>Angela Bommarito</w:t>
      </w:r>
      <w:r>
        <w:rPr>
          <w:rFonts w:ascii="Times New Roman" w:hAnsi="Times New Roman"/>
          <w:sz w:val="24"/>
          <w:szCs w:val="24"/>
        </w:rPr>
        <w:t xml:space="preserve">, complained to FD after ending her dating relationship with </w:t>
      </w:r>
      <w:r w:rsidRPr="002549D5">
        <w:rPr>
          <w:rFonts w:ascii="Times New Roman" w:hAnsi="Times New Roman"/>
          <w:sz w:val="24"/>
          <w:szCs w:val="24"/>
        </w:rPr>
        <w:t>Henry Mohr, a senior firefighter</w:t>
      </w:r>
      <w:r>
        <w:rPr>
          <w:rFonts w:ascii="Times New Roman" w:hAnsi="Times New Roman"/>
          <w:sz w:val="24"/>
          <w:szCs w:val="24"/>
        </w:rPr>
        <w:t xml:space="preserve">.  When FD took no action, she filed a police report.  The Police Chief not only took no </w:t>
      </w:r>
      <w:proofErr w:type="gramStart"/>
      <w:r>
        <w:rPr>
          <w:rFonts w:ascii="Times New Roman" w:hAnsi="Times New Roman"/>
          <w:sz w:val="24"/>
          <w:szCs w:val="24"/>
        </w:rPr>
        <w:t>action, but</w:t>
      </w:r>
      <w:proofErr w:type="gramEnd"/>
      <w:r>
        <w:rPr>
          <w:rFonts w:ascii="Times New Roman" w:hAnsi="Times New Roman"/>
          <w:sz w:val="24"/>
          <w:szCs w:val="24"/>
        </w:rPr>
        <w:t xml:space="preserve"> threatened to charge her with filing a false report and prepared a resignation letter which she signed.  Mr. Mohr continued to stalk her even after her resignation, and was arrested May 3, </w:t>
      </w:r>
      <w:proofErr w:type="gramStart"/>
      <w:r>
        <w:rPr>
          <w:rFonts w:ascii="Times New Roman" w:hAnsi="Times New Roman"/>
          <w:sz w:val="24"/>
          <w:szCs w:val="24"/>
        </w:rPr>
        <w:t>2016</w:t>
      </w:r>
      <w:proofErr w:type="gramEnd"/>
      <w:r>
        <w:rPr>
          <w:rFonts w:ascii="Times New Roman" w:hAnsi="Times New Roman"/>
          <w:sz w:val="24"/>
          <w:szCs w:val="24"/>
        </w:rPr>
        <w:t xml:space="preserve"> and </w:t>
      </w:r>
      <w:proofErr w:type="gramStart"/>
      <w:r>
        <w:rPr>
          <w:rFonts w:ascii="Times New Roman" w:hAnsi="Times New Roman"/>
          <w:sz w:val="24"/>
          <w:szCs w:val="24"/>
        </w:rPr>
        <w:t>in</w:t>
      </w:r>
      <w:proofErr w:type="gramEnd"/>
      <w:r>
        <w:rPr>
          <w:rFonts w:ascii="Times New Roman" w:hAnsi="Times New Roman"/>
          <w:sz w:val="24"/>
          <w:szCs w:val="24"/>
        </w:rPr>
        <w:t xml:space="preserve"> July 19, </w:t>
      </w:r>
      <w:proofErr w:type="gramStart"/>
      <w:r>
        <w:rPr>
          <w:rFonts w:ascii="Times New Roman" w:hAnsi="Times New Roman"/>
          <w:sz w:val="24"/>
          <w:szCs w:val="24"/>
        </w:rPr>
        <w:t>2016</w:t>
      </w:r>
      <w:proofErr w:type="gramEnd"/>
      <w:r>
        <w:rPr>
          <w:rFonts w:ascii="Times New Roman" w:hAnsi="Times New Roman"/>
          <w:sz w:val="24"/>
          <w:szCs w:val="24"/>
        </w:rPr>
        <w:t xml:space="preserve"> pled guilty, with protective order.  </w:t>
      </w:r>
    </w:p>
    <w:p w14:paraId="27234432" w14:textId="77777777" w:rsidR="00BC4628" w:rsidRDefault="00BC4628" w:rsidP="00BC4628">
      <w:pPr>
        <w:rPr>
          <w:rFonts w:ascii="Times New Roman" w:hAnsi="Times New Roman"/>
          <w:sz w:val="24"/>
          <w:szCs w:val="24"/>
        </w:rPr>
      </w:pPr>
      <w:r>
        <w:rPr>
          <w:rFonts w:ascii="Times New Roman" w:hAnsi="Times New Roman"/>
          <w:sz w:val="24"/>
          <w:szCs w:val="24"/>
        </w:rPr>
        <w:t>The Consent Decree details the retaliation by Police Chief:</w:t>
      </w:r>
    </w:p>
    <w:p w14:paraId="0EFBFAC6" w14:textId="77777777" w:rsidR="00BC4628" w:rsidRDefault="00BC4628" w:rsidP="00BC4628">
      <w:pPr>
        <w:ind w:left="720"/>
        <w:rPr>
          <w:rFonts w:ascii="Times New Roman" w:hAnsi="Times New Roman"/>
          <w:sz w:val="24"/>
          <w:szCs w:val="24"/>
        </w:rPr>
      </w:pPr>
      <w:r>
        <w:rPr>
          <w:rFonts w:ascii="Times New Roman" w:hAnsi="Times New Roman"/>
          <w:sz w:val="24"/>
          <w:szCs w:val="24"/>
        </w:rPr>
        <w:t>“</w:t>
      </w:r>
      <w:r w:rsidRPr="00FB79A6">
        <w:rPr>
          <w:rFonts w:ascii="Times New Roman" w:hAnsi="Times New Roman"/>
          <w:sz w:val="24"/>
          <w:szCs w:val="24"/>
        </w:rPr>
        <w:t xml:space="preserve">On January 22, 2016, </w:t>
      </w:r>
      <w:r>
        <w:rPr>
          <w:rFonts w:ascii="Times New Roman" w:hAnsi="Times New Roman"/>
          <w:sz w:val="24"/>
          <w:szCs w:val="24"/>
        </w:rPr>
        <w:t xml:space="preserve">[Harrison Police Chief Anthony] </w:t>
      </w:r>
      <w:r w:rsidRPr="00FB79A6">
        <w:rPr>
          <w:rFonts w:ascii="Times New Roman" w:hAnsi="Times New Roman"/>
          <w:sz w:val="24"/>
          <w:szCs w:val="24"/>
        </w:rPr>
        <w:t>Marraccini met with Bommarito. During their meeting, Marraccini suggested that he could arrest Bommarito for her presentation of what Marraccini claimed was incomplete and false information to the Police Department regarding her relationship with Mohr. Marraccini also noted Bommarito's sexual relationships with other Harrison employees. Marraccini told Bommarito that he had to report this information to the Fire Commissioners unless Bommarito resigned. Marraccini prepared a resignation letter for Bommarito, which stated that she would resign from the Fire Department. Bommarito signed the resignation letter.</w:t>
      </w:r>
      <w:r>
        <w:rPr>
          <w:rFonts w:ascii="Times New Roman" w:hAnsi="Times New Roman"/>
          <w:sz w:val="24"/>
          <w:szCs w:val="24"/>
        </w:rPr>
        <w:t xml:space="preserve">” </w:t>
      </w:r>
      <w:hyperlink r:id="rId1430" w:history="1">
        <w:r w:rsidRPr="00812663">
          <w:rPr>
            <w:rStyle w:val="Hyperlink"/>
            <w:sz w:val="24"/>
            <w:szCs w:val="24"/>
          </w:rPr>
          <w:t>https://casetext.com/case/united-states-v-townvill-of-harrison</w:t>
        </w:r>
      </w:hyperlink>
      <w:r>
        <w:rPr>
          <w:rFonts w:ascii="Times New Roman" w:hAnsi="Times New Roman"/>
          <w:sz w:val="24"/>
          <w:szCs w:val="24"/>
        </w:rPr>
        <w:t xml:space="preserve"> </w:t>
      </w:r>
    </w:p>
    <w:p w14:paraId="73925511" w14:textId="77777777" w:rsidR="00BC4628" w:rsidRPr="00133A61" w:rsidRDefault="00BC4628" w:rsidP="00BC4628">
      <w:pPr>
        <w:spacing w:before="100" w:beforeAutospacing="1" w:after="100" w:afterAutospacing="1" w:line="240" w:lineRule="auto"/>
        <w:rPr>
          <w:rFonts w:ascii="Times New Roman" w:eastAsia="Times New Roman" w:hAnsi="Times New Roman"/>
          <w:b/>
          <w:bCs/>
          <w:sz w:val="24"/>
          <w:szCs w:val="24"/>
        </w:rPr>
      </w:pPr>
      <w:r w:rsidRPr="00133A61">
        <w:rPr>
          <w:rFonts w:ascii="Times New Roman" w:hAnsi="Times New Roman"/>
          <w:b/>
          <w:bCs/>
          <w:sz w:val="24"/>
          <w:szCs w:val="24"/>
        </w:rPr>
        <w:t>Legal Lesson Learned:</w:t>
      </w:r>
      <w:r>
        <w:rPr>
          <w:rFonts w:ascii="Times New Roman" w:hAnsi="Times New Roman"/>
          <w:b/>
          <w:bCs/>
          <w:sz w:val="24"/>
          <w:szCs w:val="24"/>
        </w:rPr>
        <w:t xml:space="preserve"> Complaints </w:t>
      </w:r>
      <w:proofErr w:type="gramStart"/>
      <w:r>
        <w:rPr>
          <w:rFonts w:ascii="Times New Roman" w:hAnsi="Times New Roman"/>
          <w:b/>
          <w:bCs/>
          <w:sz w:val="24"/>
          <w:szCs w:val="24"/>
        </w:rPr>
        <w:t>of</w:t>
      </w:r>
      <w:proofErr w:type="gramEnd"/>
      <w:r>
        <w:rPr>
          <w:rFonts w:ascii="Times New Roman" w:hAnsi="Times New Roman"/>
          <w:b/>
          <w:bCs/>
          <w:sz w:val="24"/>
          <w:szCs w:val="24"/>
        </w:rPr>
        <w:t xml:space="preserve"> stalking must be promptly investigated either by FD or the Police Department. </w:t>
      </w:r>
    </w:p>
    <w:p w14:paraId="591FDC93" w14:textId="4FD6509B" w:rsidR="00BC4628" w:rsidRDefault="00BC4628" w:rsidP="00BC4628">
      <w:pPr>
        <w:pStyle w:val="NoSpacing"/>
        <w:rPr>
          <w:rFonts w:ascii="Arial Black" w:hAnsi="Arial Black"/>
          <w:sz w:val="24"/>
          <w:szCs w:val="24"/>
        </w:rPr>
      </w:pPr>
      <w:r w:rsidRPr="0003518A">
        <w:rPr>
          <w:rFonts w:ascii="Times New Roman" w:eastAsia="Times New Roman" w:hAnsi="Times New Roman"/>
          <w:sz w:val="24"/>
          <w:szCs w:val="24"/>
        </w:rPr>
        <w:t xml:space="preserve">Note: See June 8, </w:t>
      </w:r>
      <w:proofErr w:type="gramStart"/>
      <w:r w:rsidRPr="0003518A">
        <w:rPr>
          <w:rFonts w:ascii="Times New Roman" w:eastAsia="Times New Roman" w:hAnsi="Times New Roman"/>
          <w:sz w:val="24"/>
          <w:szCs w:val="24"/>
        </w:rPr>
        <w:t>2023</w:t>
      </w:r>
      <w:proofErr w:type="gramEnd"/>
      <w:r w:rsidRPr="0003518A">
        <w:rPr>
          <w:rFonts w:ascii="Times New Roman" w:eastAsia="Times New Roman" w:hAnsi="Times New Roman"/>
          <w:sz w:val="24"/>
          <w:szCs w:val="24"/>
        </w:rPr>
        <w:t xml:space="preserve"> U.S. Department of Justice Press Release: </w:t>
      </w:r>
      <w:hyperlink r:id="rId1431" w:history="1">
        <w:r w:rsidRPr="00812663">
          <w:rPr>
            <w:rStyle w:val="Hyperlink"/>
            <w:sz w:val="24"/>
            <w:szCs w:val="24"/>
          </w:rPr>
          <w:t>https://www.justice.gov/usao-sdny/pr/united-states-sues-townvillage-harrison-new-york-and-its-fire-department-discrimination</w:t>
        </w:r>
      </w:hyperlink>
    </w:p>
    <w:p w14:paraId="4EAAF0C8" w14:textId="77777777" w:rsidR="00BC4628" w:rsidRDefault="00BC4628" w:rsidP="00F326E5">
      <w:pPr>
        <w:pStyle w:val="NoSpacing"/>
        <w:rPr>
          <w:rFonts w:ascii="Arial Black" w:hAnsi="Arial Black"/>
          <w:sz w:val="24"/>
          <w:szCs w:val="24"/>
        </w:rPr>
      </w:pPr>
    </w:p>
    <w:p w14:paraId="4D8F73B9" w14:textId="3D8C6928" w:rsidR="00477016" w:rsidRDefault="00477016" w:rsidP="00F326E5">
      <w:pPr>
        <w:pStyle w:val="NoSpacing"/>
        <w:rPr>
          <w:rFonts w:ascii="Arial Black" w:hAnsi="Arial Black"/>
          <w:sz w:val="24"/>
          <w:szCs w:val="24"/>
        </w:rPr>
      </w:pPr>
      <w:r>
        <w:rPr>
          <w:rFonts w:ascii="Arial Black" w:hAnsi="Arial Black"/>
          <w:sz w:val="24"/>
          <w:szCs w:val="24"/>
        </w:rPr>
        <w:t>7-51</w:t>
      </w:r>
    </w:p>
    <w:p w14:paraId="6D9DDA1C" w14:textId="77777777" w:rsidR="00477016" w:rsidRPr="00E836C6" w:rsidRDefault="00477016" w:rsidP="00477016">
      <w:pPr>
        <w:pStyle w:val="NormalWeb"/>
        <w:rPr>
          <w:rFonts w:ascii="Arial Black" w:hAnsi="Arial Black"/>
          <w:sz w:val="28"/>
          <w:szCs w:val="28"/>
        </w:rPr>
      </w:pPr>
      <w:bookmarkStart w:id="280" w:name="_Hlk136859646"/>
      <w:r>
        <w:rPr>
          <w:rFonts w:ascii="Arial Black" w:hAnsi="Arial Black"/>
          <w:sz w:val="28"/>
          <w:szCs w:val="28"/>
        </w:rPr>
        <w:t>NY: “CALENDAR GIRL” – FDNY CALENDAR - CASE PROCEED “DISPARATE TREAMENT” AGAINST HER FEMALE CAPTAIN</w:t>
      </w:r>
    </w:p>
    <w:bookmarkEnd w:id="280"/>
    <w:p w14:paraId="5BC54A73" w14:textId="77777777" w:rsidR="00477016" w:rsidRPr="00477016" w:rsidRDefault="00477016" w:rsidP="00477016">
      <w:pPr>
        <w:pStyle w:val="NormalWeb"/>
      </w:pPr>
      <w:r w:rsidRPr="00477016">
        <w:t xml:space="preserve">On May 15, 2023, in </w:t>
      </w:r>
      <w:r w:rsidRPr="00477016">
        <w:rPr>
          <w:u w:val="single"/>
        </w:rPr>
        <w:t>Margot Loth v. City of New York</w:t>
      </w:r>
      <w:r w:rsidRPr="00477016">
        <w:t xml:space="preserve">, Judge Nicholas W. Moyne, Superior Court, New York County, denied the City’s motion to dismiss the lawsuit (unpublished decision).  In this early stage of litigation, the specific allegations support a claim of disparate treatment by female Captain against females.  The Court described allegations. </w:t>
      </w:r>
    </w:p>
    <w:p w14:paraId="13B3A3C1" w14:textId="3AC5F55F" w:rsidR="00477016" w:rsidRPr="00477016" w:rsidRDefault="00477016" w:rsidP="00477016">
      <w:pPr>
        <w:pStyle w:val="NoSpacing"/>
        <w:ind w:left="720"/>
        <w:rPr>
          <w:rFonts w:ascii="Times New Roman" w:hAnsi="Times New Roman"/>
          <w:sz w:val="24"/>
          <w:szCs w:val="24"/>
        </w:rPr>
      </w:pPr>
      <w:r w:rsidRPr="00477016">
        <w:rPr>
          <w:rFonts w:ascii="Times New Roman" w:hAnsi="Times New Roman"/>
          <w:sz w:val="24"/>
          <w:szCs w:val="24"/>
        </w:rPr>
        <w:t xml:space="preserve">“Plaintiff began working for Defendant as a FDNY Haz-Tac Emergency Medical Technician on February 14, 2011. In July 2018, Plaintiff was featured in the FDNY's 2019 Calendar of Heroes. Thereafter, on multiple occasions, Captain Donna Lynn Hannon Tiberi (‘Tiberi’) allegedly referred to Complainant as a ‘calendar girl’ to other FDNY members in a disparaging manner. In November 2018, Plaintiff agreed to participate as a witness in connection with a gender discrimination complaint filed with the FDNY's Equal Employment Opportunity (‘EEO’) office by female Paramedic Carin Rosado (‘Rosado’) against Tiberi. Both Plaintiff and Rosado claimed that they regularly observed Tiberi subjecting female employees to disparate treatment as compared to similarly situated male employees. ***At this early stage of the litigation, dismissal would be inappropriate as the plaintiff has sufficiently pled claims for gender discrimination pursuant to the SHRL {New York State Human Rights Law] and CHR [New York City Human Rights Law]. </w:t>
      </w:r>
      <w:hyperlink r:id="rId1432" w:history="1">
        <w:r w:rsidRPr="00477016">
          <w:rPr>
            <w:rStyle w:val="Hyperlink"/>
            <w:rFonts w:ascii="Times New Roman" w:eastAsiaTheme="majorEastAsia" w:hAnsi="Times New Roman"/>
            <w:sz w:val="24"/>
            <w:szCs w:val="24"/>
          </w:rPr>
          <w:t>https://public.fastcase.com/ZZhmr5v9wN%2FXOe5IsQ%2FqD5GEiR8JSLFSN2NHQUjL%2BLjuVtwCOTZwj5nD2zQQ%2BwtpHt7pljoilZmodoPEUPL5r9NdmF5u2B1LY%2FXPhwSo6GU%3D?utm_medium=email&amp;_hsmi=226712652&amp;_hsenc=p2ANqtz-8SXYDP1HnWQE4kbMGe0V_9TllXrxMri8_HVcmLnhw39Rwsl622P5fZw6IGKcYm90xDZflJsj-2gnz1pneYjju0n1QAHw&amp;utm_content=226712652&amp;utm_source=hs_email</w:t>
        </w:r>
      </w:hyperlink>
    </w:p>
    <w:p w14:paraId="3E5AE0A8" w14:textId="77777777" w:rsidR="00477016" w:rsidRDefault="00477016" w:rsidP="00477016">
      <w:pPr>
        <w:pStyle w:val="NormalWeb"/>
        <w:rPr>
          <w:b/>
          <w:bCs/>
        </w:rPr>
      </w:pPr>
      <w:r>
        <w:rPr>
          <w:b/>
          <w:bCs/>
        </w:rPr>
        <w:t xml:space="preserve">Legal Lesson Learned: Supervisor’s negative comments such as “Calendar girl” can be basis of disparate treatment litigation. </w:t>
      </w:r>
    </w:p>
    <w:p w14:paraId="1AAD3E72" w14:textId="77777777" w:rsidR="00477016" w:rsidRPr="00477016" w:rsidRDefault="00477016" w:rsidP="00F326E5">
      <w:pPr>
        <w:pStyle w:val="NoSpacing"/>
        <w:rPr>
          <w:rFonts w:ascii="Arial Black" w:hAnsi="Arial Black"/>
          <w:b/>
          <w:bCs/>
          <w:sz w:val="24"/>
          <w:szCs w:val="24"/>
        </w:rPr>
      </w:pPr>
    </w:p>
    <w:p w14:paraId="7DA9F968" w14:textId="77777777" w:rsidR="00477016" w:rsidRDefault="00477016" w:rsidP="00F326E5">
      <w:pPr>
        <w:pStyle w:val="NoSpacing"/>
        <w:rPr>
          <w:rFonts w:ascii="Arial Black" w:hAnsi="Arial Black"/>
          <w:sz w:val="24"/>
          <w:szCs w:val="24"/>
        </w:rPr>
      </w:pPr>
    </w:p>
    <w:p w14:paraId="1DA93E07" w14:textId="03415D6E" w:rsidR="00227BDE" w:rsidRDefault="00227BDE" w:rsidP="00F326E5">
      <w:pPr>
        <w:pStyle w:val="NoSpacing"/>
        <w:rPr>
          <w:rFonts w:ascii="Arial Black" w:hAnsi="Arial Black"/>
          <w:sz w:val="24"/>
          <w:szCs w:val="24"/>
        </w:rPr>
      </w:pPr>
      <w:r>
        <w:rPr>
          <w:rFonts w:ascii="Arial Black" w:hAnsi="Arial Black"/>
          <w:sz w:val="24"/>
          <w:szCs w:val="24"/>
        </w:rPr>
        <w:t>7-50</w:t>
      </w:r>
    </w:p>
    <w:p w14:paraId="27E6132D" w14:textId="77777777" w:rsidR="00227BDE" w:rsidRDefault="00227BDE" w:rsidP="00F326E5">
      <w:pPr>
        <w:pStyle w:val="NoSpacing"/>
        <w:rPr>
          <w:rFonts w:ascii="Arial Black" w:hAnsi="Arial Black"/>
          <w:sz w:val="24"/>
          <w:szCs w:val="24"/>
        </w:rPr>
      </w:pPr>
    </w:p>
    <w:p w14:paraId="26CAF472" w14:textId="77777777" w:rsidR="00227BDE" w:rsidRPr="003D49D7" w:rsidRDefault="00227BDE" w:rsidP="00227BDE">
      <w:pPr>
        <w:pStyle w:val="NoSpacing"/>
        <w:rPr>
          <w:rFonts w:ascii="Arial Black" w:hAnsi="Arial Black"/>
          <w:sz w:val="28"/>
          <w:szCs w:val="28"/>
        </w:rPr>
      </w:pPr>
      <w:r w:rsidRPr="003D49D7">
        <w:rPr>
          <w:rFonts w:ascii="Arial Black" w:hAnsi="Arial Black"/>
          <w:sz w:val="28"/>
          <w:szCs w:val="28"/>
        </w:rPr>
        <w:t xml:space="preserve">OH (4/19/2023): EMT </w:t>
      </w:r>
      <w:r>
        <w:rPr>
          <w:rFonts w:ascii="Arial Black" w:hAnsi="Arial Black"/>
          <w:sz w:val="28"/>
          <w:szCs w:val="28"/>
        </w:rPr>
        <w:t xml:space="preserve">IS </w:t>
      </w:r>
      <w:r w:rsidRPr="003D49D7">
        <w:rPr>
          <w:rFonts w:ascii="Arial Black" w:hAnsi="Arial Black"/>
          <w:sz w:val="28"/>
          <w:szCs w:val="28"/>
        </w:rPr>
        <w:t xml:space="preserve">TRANSGENDER WOMAN – FIRED FOR </w:t>
      </w:r>
      <w:r>
        <w:rPr>
          <w:rFonts w:ascii="Arial Black" w:hAnsi="Arial Black"/>
          <w:sz w:val="28"/>
          <w:szCs w:val="28"/>
        </w:rPr>
        <w:t xml:space="preserve">NEG. </w:t>
      </w:r>
      <w:r w:rsidRPr="003D49D7">
        <w:rPr>
          <w:rFonts w:ascii="Arial Black" w:hAnsi="Arial Black"/>
          <w:sz w:val="28"/>
          <w:szCs w:val="28"/>
        </w:rPr>
        <w:t>COMMENTS HOSPITAL STAFF –</w:t>
      </w:r>
      <w:r>
        <w:rPr>
          <w:rFonts w:ascii="Arial Black" w:hAnsi="Arial Black"/>
          <w:sz w:val="28"/>
          <w:szCs w:val="28"/>
        </w:rPr>
        <w:t xml:space="preserve"> CASE BE </w:t>
      </w:r>
      <w:r w:rsidRPr="003D49D7">
        <w:rPr>
          <w:rFonts w:ascii="Arial Black" w:hAnsi="Arial Black"/>
          <w:sz w:val="28"/>
          <w:szCs w:val="28"/>
        </w:rPr>
        <w:t>DISMISSED</w:t>
      </w:r>
    </w:p>
    <w:p w14:paraId="531073EF" w14:textId="77777777" w:rsidR="00227BDE" w:rsidRDefault="00227BDE" w:rsidP="00227BDE">
      <w:pPr>
        <w:pStyle w:val="NoSpacing"/>
      </w:pPr>
    </w:p>
    <w:p w14:paraId="393C6C58"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Rayne S. Fedder v. Ohio Medical Transportation, Inc</w:t>
      </w:r>
      <w:r w:rsidRPr="003C1643">
        <w:rPr>
          <w:rFonts w:ascii="Times New Roman" w:hAnsi="Times New Roman"/>
          <w:sz w:val="24"/>
          <w:szCs w:val="24"/>
        </w:rPr>
        <w:t xml:space="preserve">., U. S. Magistrate Judge Chelsey M. </w:t>
      </w:r>
      <w:proofErr w:type="spellStart"/>
      <w:r w:rsidRPr="003C1643">
        <w:rPr>
          <w:rFonts w:ascii="Times New Roman" w:hAnsi="Times New Roman"/>
          <w:sz w:val="24"/>
          <w:szCs w:val="24"/>
        </w:rPr>
        <w:t>Vascura</w:t>
      </w:r>
      <w:proofErr w:type="spellEnd"/>
      <w:r w:rsidRPr="003C1643">
        <w:rPr>
          <w:rFonts w:ascii="Times New Roman" w:hAnsi="Times New Roman"/>
          <w:sz w:val="24"/>
          <w:szCs w:val="24"/>
        </w:rPr>
        <w:t xml:space="preserve">, U.S. District Court for Southern District of Ohio, Eastern Division. </w:t>
      </w:r>
    </w:p>
    <w:p w14:paraId="412D34B6" w14:textId="77777777" w:rsidR="00227BDE" w:rsidRPr="003C1643" w:rsidRDefault="00227BDE" w:rsidP="00227BDE">
      <w:pPr>
        <w:pStyle w:val="NoSpacing"/>
        <w:rPr>
          <w:rFonts w:ascii="Times New Roman" w:hAnsi="Times New Roman"/>
          <w:sz w:val="24"/>
          <w:szCs w:val="24"/>
        </w:rPr>
      </w:pPr>
      <w:hyperlink r:id="rId1433" w:history="1">
        <w:r w:rsidRPr="003C1643">
          <w:rPr>
            <w:rStyle w:val="Hyperlink"/>
            <w:rFonts w:ascii="Times New Roman" w:hAnsi="Times New Roman"/>
            <w:sz w:val="24"/>
            <w:szCs w:val="24"/>
          </w:rPr>
          <w:t>https://public.fastcase.com/ZZhmr5v9wN%2FXOe5IsQ%2FqD%2Bhqb5sNCIqd5RJe%2FxM2hjFRyaJ31hb16ZTOa0HcnlDHTYd64r6bH4XUHVSC8TORCsm2%2BcMn7uR9MfnM7VfyK9g%3D?utm_medium=email&amp;_hsmi=226712652&amp;_hsenc=p2ANqtz-9j81kRsw27tcbjTzGhgoW98dbte_kRv0VGtzskzMbh4aiP0Af373qngGXkbsJh41xl15DsBfvJ97QkgeVHOPx0003AwA&amp;utm_content=226712652&amp;utm_source=hs_email</w:t>
        </w:r>
      </w:hyperlink>
      <w:r w:rsidRPr="003C1643">
        <w:rPr>
          <w:rFonts w:ascii="Times New Roman" w:hAnsi="Times New Roman"/>
          <w:sz w:val="24"/>
          <w:szCs w:val="24"/>
        </w:rPr>
        <w:t xml:space="preserve"> </w:t>
      </w:r>
    </w:p>
    <w:p w14:paraId="7E4BEF92"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rPr>
        <w:t xml:space="preserve"> </w:t>
      </w:r>
    </w:p>
    <w:p w14:paraId="4232C2DA" w14:textId="77777777" w:rsidR="00227BDE" w:rsidRPr="00A5293B" w:rsidRDefault="00227BDE" w:rsidP="00227BDE">
      <w:pPr>
        <w:pStyle w:val="NoSpacing"/>
        <w:rPr>
          <w:b/>
          <w:bCs/>
        </w:rPr>
      </w:pPr>
      <w:r w:rsidRPr="003C1643">
        <w:rPr>
          <w:rFonts w:ascii="Times New Roman" w:hAnsi="Times New Roman"/>
          <w:b/>
          <w:bCs/>
          <w:sz w:val="24"/>
          <w:szCs w:val="24"/>
        </w:rPr>
        <w:t>Legal Lesson Learned: EMS must act professionally, not only with patients but also with hospital staff</w:t>
      </w:r>
      <w:r>
        <w:rPr>
          <w:b/>
          <w:bCs/>
        </w:rPr>
        <w:t xml:space="preserve">. </w:t>
      </w:r>
    </w:p>
    <w:p w14:paraId="0B8274E4" w14:textId="77777777" w:rsidR="00227BDE" w:rsidRDefault="00227BDE" w:rsidP="00F326E5">
      <w:pPr>
        <w:pStyle w:val="NoSpacing"/>
        <w:rPr>
          <w:rFonts w:ascii="Arial Black" w:hAnsi="Arial Black"/>
          <w:sz w:val="24"/>
          <w:szCs w:val="24"/>
        </w:rPr>
      </w:pPr>
    </w:p>
    <w:p w14:paraId="7D24C695" w14:textId="77777777" w:rsidR="00227BDE" w:rsidRDefault="00227BDE" w:rsidP="00F326E5">
      <w:pPr>
        <w:pStyle w:val="NoSpacing"/>
        <w:rPr>
          <w:rFonts w:ascii="Arial Black" w:hAnsi="Arial Black"/>
          <w:sz w:val="24"/>
          <w:szCs w:val="24"/>
        </w:rPr>
      </w:pPr>
    </w:p>
    <w:p w14:paraId="3CFF1B6C" w14:textId="00BD66FE" w:rsidR="00104A4C" w:rsidRDefault="003F788B" w:rsidP="00F326E5">
      <w:pPr>
        <w:pStyle w:val="NoSpacing"/>
        <w:rPr>
          <w:rFonts w:ascii="Arial Black" w:hAnsi="Arial Black"/>
          <w:sz w:val="24"/>
          <w:szCs w:val="24"/>
        </w:rPr>
      </w:pPr>
      <w:r>
        <w:rPr>
          <w:rFonts w:ascii="Arial Black" w:hAnsi="Arial Black"/>
          <w:sz w:val="24"/>
          <w:szCs w:val="24"/>
        </w:rPr>
        <w:t>7-49</w:t>
      </w:r>
    </w:p>
    <w:p w14:paraId="5EA3B7A5" w14:textId="49C91F1D" w:rsidR="003F788B" w:rsidRDefault="003F788B" w:rsidP="00F326E5">
      <w:pPr>
        <w:pStyle w:val="NoSpacing"/>
        <w:rPr>
          <w:rFonts w:ascii="Arial Black" w:hAnsi="Arial Black"/>
          <w:sz w:val="24"/>
          <w:szCs w:val="24"/>
        </w:rPr>
      </w:pPr>
    </w:p>
    <w:p w14:paraId="5FD56BF8" w14:textId="77777777" w:rsidR="003F788B" w:rsidRDefault="003F788B" w:rsidP="003F788B">
      <w:pPr>
        <w:pStyle w:val="NormalWeb"/>
        <w:rPr>
          <w:rFonts w:ascii="Arial Black" w:hAnsi="Arial Black"/>
          <w:b/>
          <w:bCs/>
          <w:sz w:val="28"/>
          <w:szCs w:val="28"/>
        </w:rPr>
      </w:pPr>
      <w:r>
        <w:rPr>
          <w:rFonts w:ascii="Arial Black" w:hAnsi="Arial Black"/>
          <w:b/>
          <w:bCs/>
          <w:sz w:val="28"/>
          <w:szCs w:val="28"/>
        </w:rPr>
        <w:t>PA: CRUDE COMMENTS BY MALE SENIOR EMS TO FEMALE EMT – ONE INCIDENT - NOT “HOSTILE WORKPLACE”</w:t>
      </w:r>
    </w:p>
    <w:p w14:paraId="199BFE36" w14:textId="77777777" w:rsidR="003F788B" w:rsidRDefault="003F788B" w:rsidP="003F788B">
      <w:pPr>
        <w:pStyle w:val="NormalWeb"/>
      </w:pPr>
      <w:r>
        <w:t xml:space="preserve">On March 22, 2023, in </w:t>
      </w:r>
      <w:r>
        <w:rPr>
          <w:u w:val="single"/>
        </w:rPr>
        <w:t>Tracy Szyper v. American Medical Response Mid-Atlantic, Inc., et al</w:t>
      </w:r>
      <w:r>
        <w:t>., the U.S. Court of Appeals for Third Circuit (Philadelphia), held (3 to 0; “</w:t>
      </w:r>
      <w:proofErr w:type="gramStart"/>
      <w:r>
        <w:t>Non Precedential</w:t>
      </w:r>
      <w:proofErr w:type="gramEnd"/>
      <w:r>
        <w:t xml:space="preserve">” decision) upheld the dismissal of the lawsuit by U.S. District Court judge Chad F. Kenney.  The plaintiff had only been on the job for one month, when a senior EMS person made crude remarks to her.  When the company did not fire the employee, she resigned and sued.  </w:t>
      </w:r>
    </w:p>
    <w:p w14:paraId="10740D6D" w14:textId="77777777" w:rsidR="003F788B" w:rsidRDefault="003F788B" w:rsidP="003F788B">
      <w:pPr>
        <w:pStyle w:val="NormalWeb"/>
        <w:ind w:left="720"/>
      </w:pPr>
      <w:r>
        <w:t>The 3</w:t>
      </w:r>
      <w:r>
        <w:rPr>
          <w:vertAlign w:val="superscript"/>
        </w:rPr>
        <w:t>rd</w:t>
      </w:r>
      <w:r>
        <w:t xml:space="preserve"> Circuit held: “District Court granted the Defendants' motions for summary judgment on all claims "because the record evidence, even when viewed in the light most favorable to Plaintiff, does not establish that the alleged harassment was sufficiently 'severe or pervasive' to rise to the level of a Title VII or PHRA violation. *** We agree with the District Court that Szyper did not show that Brock's conduct was sufficiently ‘severe or pervasive’ as to ‘alter the conditions of [her] employment and create an abusive working environment.’ </w:t>
      </w:r>
      <w:r>
        <w:rPr>
          <w:rStyle w:val="Emphasis"/>
        </w:rPr>
        <w:t>Meritor Sav. Bank, FSB</w:t>
      </w:r>
      <w:r>
        <w:t xml:space="preserve">, 477 U.S. at 67 (citation and quotation marks omitted). When assessing hostility or abusiveness, courts must look ‘at all the </w:t>
      </w:r>
      <w:proofErr w:type="gramStart"/>
      <w:r>
        <w:t>circumstances,’</w:t>
      </w:r>
      <w:proofErr w:type="gramEnd"/>
      <w:r>
        <w:t xml:space="preserve"> such as the ‘frequency of </w:t>
      </w:r>
      <w:proofErr w:type="gramStart"/>
      <w:r>
        <w:t>the discriminatory</w:t>
      </w:r>
      <w:proofErr w:type="gramEnd"/>
      <w:r>
        <w:t xml:space="preserve"> conduct; its severity; whether it is physically threatening or humiliating, or a mere offensive utterance; and whether it unreasonably interferes with an employee's work performance.’ </w:t>
      </w:r>
      <w:r>
        <w:rPr>
          <w:rStyle w:val="Emphasis"/>
        </w:rPr>
        <w:t>Faragher v. City of Boca Raton,</w:t>
      </w:r>
      <w:r>
        <w:t xml:space="preserve"> 524 U.S. 775, 787-88 (1998) (citation omitted). ‘[O]</w:t>
      </w:r>
      <w:proofErr w:type="spellStart"/>
      <w:r>
        <w:t>ffhand</w:t>
      </w:r>
      <w:proofErr w:type="spellEnd"/>
      <w:r>
        <w:t xml:space="preserve"> comments[ ] and isolated incidents (unless extremely serious) will not amount to discriminatory changes in the 'terms and conditions of employment.'’ </w:t>
      </w:r>
      <w:r>
        <w:rPr>
          <w:rStyle w:val="Emphasis"/>
        </w:rPr>
        <w:t>Id.</w:t>
      </w:r>
      <w:r>
        <w:t xml:space="preserve"> at 788.” </w:t>
      </w:r>
      <w:hyperlink r:id="rId1434" w:history="1">
        <w:r>
          <w:rPr>
            <w:rStyle w:val="Hyperlink"/>
          </w:rPr>
          <w:t>https://www2.ca3.uscourts.gov/opinarch/213272np.pdf</w:t>
        </w:r>
      </w:hyperlink>
      <w:r>
        <w:t xml:space="preserve"> </w:t>
      </w:r>
    </w:p>
    <w:p w14:paraId="4F33BDBA" w14:textId="77777777" w:rsidR="003F788B" w:rsidRDefault="003F788B" w:rsidP="003F788B">
      <w:pPr>
        <w:pStyle w:val="NormalWeb"/>
        <w:ind w:left="720" w:firstLine="60"/>
      </w:pPr>
      <w:r>
        <w:t>“AMR hired Szyper to work as an emergency medical technician…. About a month after Szyper started, [Mr.] Leslie Brock, a more senior employee, grabbed Szyper's wrist and made two crude and offensive sexual comments.</w:t>
      </w:r>
      <w:r>
        <w:rPr>
          <w:vertAlign w:val="superscript"/>
        </w:rPr>
        <w:t xml:space="preserve">  1 </w:t>
      </w:r>
      <w:r>
        <w:t xml:space="preserve"> </w:t>
      </w:r>
    </w:p>
    <w:p w14:paraId="0F026C14" w14:textId="77777777" w:rsidR="003F788B" w:rsidRDefault="003F788B" w:rsidP="003F788B">
      <w:pPr>
        <w:pStyle w:val="NormalWeb"/>
        <w:ind w:left="1440"/>
      </w:pPr>
      <w:r>
        <w:t xml:space="preserve">[Footnote 1] Szyper documented the incident in a report recounting that ‘Brock had told me to cover my ears. I looked at him &amp; said </w:t>
      </w:r>
      <w:proofErr w:type="gramStart"/>
      <w:r>
        <w:t>jokingly</w:t>
      </w:r>
      <w:proofErr w:type="gramEnd"/>
      <w:r>
        <w:t xml:space="preserve"> 'I'm not listening to you anyway.' He asked me again to cover my ears. I cupped my hands over my ears but could still hear what was said. Brock said to [two other employees], 'that made my dick hard.' I </w:t>
      </w:r>
      <w:proofErr w:type="spellStart"/>
      <w:r>
        <w:t>uncupped</w:t>
      </w:r>
      <w:proofErr w:type="spellEnd"/>
      <w:r>
        <w:t xml:space="preserve"> my hands and told him I heard what he said. Brock then proceeded to grab me </w:t>
      </w:r>
      <w:proofErr w:type="gramStart"/>
      <w:r>
        <w:t>by</w:t>
      </w:r>
      <w:proofErr w:type="gramEnd"/>
      <w:r>
        <w:t xml:space="preserve"> my wrist and say something along the lines of 'Help me fix my problem.' I told him to 'get the fuck off me.' I proceeded to put my cigarette out and go back inside. This incident made me feel extremely uncomfortable." </w:t>
      </w:r>
    </w:p>
    <w:p w14:paraId="6AF8F722" w14:textId="77777777" w:rsidR="003F788B" w:rsidRDefault="003F788B" w:rsidP="003F788B">
      <w:pPr>
        <w:pStyle w:val="NormalWeb"/>
        <w:ind w:left="720"/>
      </w:pPr>
      <w:r>
        <w:t xml:space="preserve">Szyper filed a complaint and was interviewed by Daniel Brown, AMR's operations manager in charge of AMR's Essington Avenue location, and </w:t>
      </w:r>
      <w:proofErr w:type="spellStart"/>
      <w:r>
        <w:t>Sonsaraye</w:t>
      </w:r>
      <w:proofErr w:type="spellEnd"/>
      <w:r>
        <w:t xml:space="preserve"> Byers, an AMR human resources generalist…. Szyper alleged no other incidents of harassment by Brock or any other AMR employees. Byers recommended Brock's termination…. Brown preferred sanctions short of firing, a conclusion shared by Edward Powers, the AMR regional director responsible for Brock's discipline…. AMR issued Brock a ‘Final Written Warning’ for inappropriate behavior, punishment just short of termination…. Szyper resigned from AMR as a result, stating she could not continue working with Brock.’”</w:t>
      </w:r>
    </w:p>
    <w:p w14:paraId="6C2DB235" w14:textId="77777777" w:rsidR="003F788B" w:rsidRDefault="003F788B" w:rsidP="003F788B">
      <w:pPr>
        <w:pStyle w:val="NormalWeb"/>
        <w:rPr>
          <w:b/>
          <w:bCs/>
        </w:rPr>
      </w:pPr>
      <w:r>
        <w:rPr>
          <w:b/>
          <w:bCs/>
        </w:rPr>
        <w:t>Legal Lesson Learned: Inappropriate comments, worthy of discipline; but hard to understand how this resulted in a lawsuit and an appeal to 3</w:t>
      </w:r>
      <w:r>
        <w:rPr>
          <w:b/>
          <w:bCs/>
          <w:vertAlign w:val="superscript"/>
        </w:rPr>
        <w:t>rd</w:t>
      </w:r>
      <w:r>
        <w:rPr>
          <w:b/>
          <w:bCs/>
        </w:rPr>
        <w:t xml:space="preserve"> Circuit. </w:t>
      </w:r>
    </w:p>
    <w:p w14:paraId="43BB8423" w14:textId="77777777" w:rsidR="003F788B" w:rsidRDefault="003F788B" w:rsidP="00F326E5">
      <w:pPr>
        <w:pStyle w:val="NoSpacing"/>
        <w:rPr>
          <w:rFonts w:ascii="Arial Black" w:hAnsi="Arial Black"/>
          <w:sz w:val="24"/>
          <w:szCs w:val="24"/>
        </w:rPr>
      </w:pPr>
    </w:p>
    <w:p w14:paraId="5725F227" w14:textId="77777777" w:rsidR="003F788B" w:rsidRDefault="003F788B" w:rsidP="00F326E5">
      <w:pPr>
        <w:pStyle w:val="NoSpacing"/>
        <w:rPr>
          <w:rFonts w:ascii="Arial Black" w:hAnsi="Arial Black"/>
          <w:sz w:val="24"/>
          <w:szCs w:val="24"/>
        </w:rPr>
      </w:pPr>
    </w:p>
    <w:p w14:paraId="364E43AD" w14:textId="77777777" w:rsidR="003F788B" w:rsidRDefault="003F788B" w:rsidP="00F326E5">
      <w:pPr>
        <w:pStyle w:val="NoSpacing"/>
        <w:rPr>
          <w:rFonts w:ascii="Arial Black" w:hAnsi="Arial Black"/>
          <w:sz w:val="24"/>
          <w:szCs w:val="24"/>
        </w:rPr>
      </w:pPr>
    </w:p>
    <w:p w14:paraId="2380AA56" w14:textId="65C79FE7" w:rsidR="00104A4C" w:rsidRDefault="00104A4C" w:rsidP="00F326E5">
      <w:pPr>
        <w:pStyle w:val="NoSpacing"/>
        <w:rPr>
          <w:rFonts w:ascii="Arial Black" w:hAnsi="Arial Black"/>
          <w:sz w:val="24"/>
          <w:szCs w:val="24"/>
        </w:rPr>
      </w:pPr>
      <w:r>
        <w:rPr>
          <w:rFonts w:ascii="Arial Black" w:hAnsi="Arial Black"/>
          <w:sz w:val="24"/>
          <w:szCs w:val="24"/>
        </w:rPr>
        <w:t>7-48</w:t>
      </w:r>
    </w:p>
    <w:p w14:paraId="2485684A" w14:textId="77777777" w:rsidR="00104A4C" w:rsidRPr="00DF5D1F" w:rsidRDefault="00104A4C" w:rsidP="00104A4C">
      <w:pPr>
        <w:pStyle w:val="Heading1"/>
        <w:rPr>
          <w:rFonts w:ascii="Arial Black" w:hAnsi="Arial Black"/>
          <w:sz w:val="28"/>
          <w:szCs w:val="28"/>
        </w:rPr>
      </w:pPr>
      <w:r>
        <w:rPr>
          <w:rFonts w:ascii="Arial Black" w:hAnsi="Arial Black"/>
          <w:sz w:val="28"/>
          <w:szCs w:val="28"/>
        </w:rPr>
        <w:t xml:space="preserve">DOL: NURSING MOTHERS – FEDERAL “PUMP ACT” – REQUIRES EMPLOYER PROVIDE PRIVATE PLACE TO PUMP </w:t>
      </w:r>
    </w:p>
    <w:p w14:paraId="2CFEA864" w14:textId="77777777" w:rsidR="00104A4C" w:rsidRPr="00DF5D1F" w:rsidRDefault="00104A4C" w:rsidP="00104A4C">
      <w:pPr>
        <w:pStyle w:val="Heading1"/>
        <w:rPr>
          <w:sz w:val="24"/>
          <w:szCs w:val="24"/>
        </w:rPr>
      </w:pPr>
      <w:r>
        <w:rPr>
          <w:b w:val="0"/>
          <w:bCs w:val="0"/>
          <w:sz w:val="24"/>
          <w:szCs w:val="24"/>
        </w:rPr>
        <w:t xml:space="preserve">The U.S. Department of Labor, Wage &amp; Hour Division, has published guidance that Fire &amp; EMS department may find helpful.  All </w:t>
      </w:r>
      <w:proofErr w:type="gramStart"/>
      <w:r>
        <w:rPr>
          <w:b w:val="0"/>
          <w:bCs w:val="0"/>
          <w:sz w:val="24"/>
          <w:szCs w:val="24"/>
        </w:rPr>
        <w:t>employers</w:t>
      </w:r>
      <w:proofErr w:type="gramEnd"/>
      <w:r>
        <w:rPr>
          <w:b w:val="0"/>
          <w:bCs w:val="0"/>
          <w:sz w:val="24"/>
          <w:szCs w:val="24"/>
        </w:rPr>
        <w:t xml:space="preserve"> covered by Fair Labor Standards Act, including Fire &amp; EMS departments, must comply with the new law.  </w:t>
      </w:r>
      <w:r w:rsidRPr="00DF5D1F">
        <w:rPr>
          <w:b w:val="0"/>
          <w:bCs w:val="0"/>
          <w:sz w:val="24"/>
          <w:szCs w:val="24"/>
        </w:rPr>
        <w:t xml:space="preserve">“Frequently Asked Questions – Break Time for Nursing Mothers.” </w:t>
      </w:r>
      <w:hyperlink r:id="rId1435" w:history="1">
        <w:r w:rsidRPr="00DF5D1F">
          <w:rPr>
            <w:rStyle w:val="Hyperlink"/>
            <w:rFonts w:eastAsiaTheme="majorEastAsia"/>
            <w:b w:val="0"/>
            <w:bCs w:val="0"/>
            <w:sz w:val="24"/>
            <w:szCs w:val="24"/>
          </w:rPr>
          <w:t>https://www.dol.gov/agencies/whd/nursing-mothers/faq</w:t>
        </w:r>
      </w:hyperlink>
      <w:r>
        <w:rPr>
          <w:sz w:val="24"/>
          <w:szCs w:val="24"/>
        </w:rPr>
        <w:t xml:space="preserve"> </w:t>
      </w:r>
    </w:p>
    <w:p w14:paraId="408EBF12" w14:textId="77777777" w:rsidR="00104A4C" w:rsidRDefault="00104A4C" w:rsidP="00104A4C">
      <w:pPr>
        <w:pStyle w:val="Heading1"/>
        <w:ind w:left="720"/>
        <w:rPr>
          <w:b w:val="0"/>
          <w:bCs w:val="0"/>
          <w:sz w:val="24"/>
          <w:szCs w:val="24"/>
        </w:rPr>
      </w:pPr>
      <w:r>
        <w:rPr>
          <w:b w:val="0"/>
          <w:bCs w:val="0"/>
          <w:sz w:val="24"/>
          <w:szCs w:val="24"/>
        </w:rPr>
        <w:t>“</w:t>
      </w:r>
      <w:r w:rsidRPr="00C83B69">
        <w:rPr>
          <w:b w:val="0"/>
          <w:bCs w:val="0"/>
          <w:sz w:val="24"/>
          <w:szCs w:val="24"/>
        </w:rPr>
        <w:t>On December 29, 2022, President Biden signed the Consolidated Appropriations Act, 2023, into law. The law includes the PUMP for Nursing Mothers Act (“PUMP Act”), which extends to more nursing employees the rights to receive break time to pump and a private place to pump at work and may impact some of the other information provided below. Under the PUMP Act, most nursing employees have the right to reasonable break time and a place, other than a bathroom, that is shielded from view to express breast milk while at work. This right is available for up to one year after the child’s birth.</w:t>
      </w:r>
    </w:p>
    <w:p w14:paraId="3F44FEF7" w14:textId="77777777" w:rsidR="00104A4C" w:rsidRDefault="00104A4C" w:rsidP="00104A4C">
      <w:pPr>
        <w:pStyle w:val="Heading1"/>
        <w:ind w:left="720"/>
        <w:rPr>
          <w:b w:val="0"/>
          <w:bCs w:val="0"/>
          <w:sz w:val="24"/>
          <w:szCs w:val="24"/>
        </w:rPr>
      </w:pPr>
      <w:r>
        <w:rPr>
          <w:b w:val="0"/>
          <w:bCs w:val="0"/>
          <w:sz w:val="24"/>
          <w:szCs w:val="24"/>
        </w:rPr>
        <w:t>***</w:t>
      </w:r>
    </w:p>
    <w:p w14:paraId="54F61302" w14:textId="77777777" w:rsidR="00104A4C" w:rsidRPr="00CA5605" w:rsidRDefault="00104A4C" w:rsidP="00104A4C">
      <w:pPr>
        <w:pStyle w:val="Heading3"/>
        <w:ind w:left="720"/>
        <w:rPr>
          <w:rFonts w:ascii="Times New Roman" w:hAnsi="Times New Roman" w:cs="Times New Roman"/>
          <w:color w:val="auto"/>
        </w:rPr>
      </w:pPr>
      <w:r w:rsidRPr="00CA5605">
        <w:rPr>
          <w:rFonts w:ascii="Times New Roman" w:hAnsi="Times New Roman" w:cs="Times New Roman"/>
          <w:color w:val="auto"/>
        </w:rPr>
        <w:t>What must an employer provide to workers who need to express breast milk in the workplace?</w:t>
      </w:r>
    </w:p>
    <w:p w14:paraId="7F44264A" w14:textId="77777777" w:rsidR="00104A4C" w:rsidRDefault="00104A4C" w:rsidP="00104A4C">
      <w:pPr>
        <w:pStyle w:val="NormalWeb"/>
        <w:ind w:left="720"/>
      </w:pPr>
      <w:r>
        <w:t>Employers are required to provide a reasonable amount of break time and a space to express milk as frequently as needed by the nursing mother, for up to one year following the birth of the employee’s child. The frequency of breaks needed to express breast milk as well as the duration of each break will likely vary. The space provided by the employer cannot be a bathroom and it must be shielded from view and free from intrusion by coworkers or the public.</w:t>
      </w:r>
    </w:p>
    <w:p w14:paraId="747DDAAB" w14:textId="77777777" w:rsidR="00104A4C" w:rsidRDefault="00104A4C" w:rsidP="00104A4C">
      <w:pPr>
        <w:pStyle w:val="NormalWeb"/>
        <w:ind w:left="720"/>
      </w:pPr>
      <w:r>
        <w:t>***</w:t>
      </w:r>
    </w:p>
    <w:p w14:paraId="1B3AC0A5" w14:textId="77777777" w:rsidR="00104A4C" w:rsidRPr="00CA5605" w:rsidRDefault="00104A4C" w:rsidP="00104A4C">
      <w:pPr>
        <w:pStyle w:val="Heading3"/>
        <w:ind w:left="720"/>
        <w:rPr>
          <w:rFonts w:ascii="Times New Roman" w:hAnsi="Times New Roman" w:cs="Times New Roman"/>
          <w:color w:val="auto"/>
        </w:rPr>
      </w:pPr>
      <w:r w:rsidRPr="00CA5605">
        <w:rPr>
          <w:rFonts w:ascii="Times New Roman" w:hAnsi="Times New Roman" w:cs="Times New Roman"/>
          <w:color w:val="auto"/>
        </w:rPr>
        <w:t>Do employers need to create a permanent, dedicated space for use by nursing mother employees?</w:t>
      </w:r>
    </w:p>
    <w:p w14:paraId="37FD2A6C" w14:textId="77777777" w:rsidR="00104A4C" w:rsidRDefault="00104A4C" w:rsidP="00104A4C">
      <w:pPr>
        <w:pStyle w:val="NormalWeb"/>
        <w:ind w:left="720"/>
      </w:pPr>
      <w:r>
        <w:t xml:space="preserve">No. A space temporarily created or converted into a space for expressing milk or made available when needed by the nursing mother is sufficient provided that the space is shielded from view, and free from any intrusion from co-workers and the public. The location provided must be functional as a space for expressing breast milk. If the space is not dedicated to </w:t>
      </w:r>
      <w:proofErr w:type="gramStart"/>
      <w:r>
        <w:t>the nursing</w:t>
      </w:r>
      <w:proofErr w:type="gramEnd"/>
      <w:r>
        <w:t xml:space="preserve"> mothers’ use, it must be available when needed </w:t>
      </w:r>
      <w:proofErr w:type="gramStart"/>
      <w:r>
        <w:t>in order to</w:t>
      </w:r>
      <w:proofErr w:type="gramEnd"/>
      <w:r>
        <w:t xml:space="preserve"> meet the statutory requirement. Of course, employers may choose to create permanent, dedicated space if they determine that is the best way to meet their obligations under the law.”</w:t>
      </w:r>
    </w:p>
    <w:p w14:paraId="065138B8" w14:textId="77777777" w:rsidR="00104A4C" w:rsidRPr="00CA5605" w:rsidRDefault="00104A4C" w:rsidP="00104A4C">
      <w:pPr>
        <w:pStyle w:val="NormalWeb"/>
        <w:rPr>
          <w:b/>
          <w:bCs/>
        </w:rPr>
      </w:pPr>
      <w:r w:rsidRPr="00CA5605">
        <w:rPr>
          <w:b/>
          <w:bCs/>
        </w:rPr>
        <w:t>Legal Lesson Learned:</w:t>
      </w:r>
      <w:r>
        <w:rPr>
          <w:b/>
          <w:bCs/>
        </w:rPr>
        <w:t xml:space="preserve"> Fire &amp; EMS departments must comply with this new federal law if they have nursing mothers. </w:t>
      </w:r>
    </w:p>
    <w:p w14:paraId="2691054F" w14:textId="77777777" w:rsidR="00104A4C" w:rsidRDefault="00104A4C" w:rsidP="00F326E5">
      <w:pPr>
        <w:pStyle w:val="NoSpacing"/>
        <w:rPr>
          <w:rFonts w:ascii="Arial Black" w:hAnsi="Arial Black"/>
          <w:sz w:val="24"/>
          <w:szCs w:val="24"/>
        </w:rPr>
      </w:pPr>
    </w:p>
    <w:p w14:paraId="75BD7FCD" w14:textId="77777777" w:rsidR="00104A4C" w:rsidRDefault="00104A4C" w:rsidP="00F326E5">
      <w:pPr>
        <w:pStyle w:val="NoSpacing"/>
        <w:rPr>
          <w:rFonts w:ascii="Arial Black" w:hAnsi="Arial Black"/>
          <w:sz w:val="24"/>
          <w:szCs w:val="24"/>
        </w:rPr>
      </w:pPr>
    </w:p>
    <w:p w14:paraId="0B227DBC" w14:textId="1A13695B" w:rsidR="00BA3CDE" w:rsidRDefault="00BA3CDE" w:rsidP="00F326E5">
      <w:pPr>
        <w:pStyle w:val="NoSpacing"/>
        <w:rPr>
          <w:rFonts w:ascii="Arial Black" w:hAnsi="Arial Black"/>
          <w:sz w:val="24"/>
          <w:szCs w:val="24"/>
        </w:rPr>
      </w:pPr>
      <w:r>
        <w:rPr>
          <w:rFonts w:ascii="Arial Black" w:hAnsi="Arial Black"/>
          <w:sz w:val="24"/>
          <w:szCs w:val="24"/>
        </w:rPr>
        <w:t>7-47</w:t>
      </w:r>
    </w:p>
    <w:p w14:paraId="410E1011" w14:textId="77777777" w:rsidR="00BA3CDE" w:rsidRPr="00EB0580" w:rsidRDefault="00BA3CDE" w:rsidP="00BA3CDE">
      <w:pPr>
        <w:rPr>
          <w:rFonts w:ascii="Arial Black" w:hAnsi="Arial Black"/>
          <w:sz w:val="28"/>
          <w:szCs w:val="28"/>
        </w:rPr>
      </w:pPr>
      <w:r>
        <w:rPr>
          <w:rFonts w:ascii="Arial Black" w:hAnsi="Arial Black"/>
          <w:sz w:val="28"/>
          <w:szCs w:val="28"/>
        </w:rPr>
        <w:t>NB: MEDIC 90 DAYS IN JAIL - PRECEPTOR KISSED STUDENT RIDE-ALONG 3 RUNS – WARNED HER NOT TELL - $1000 FINE</w:t>
      </w:r>
    </w:p>
    <w:p w14:paraId="538B3364" w14:textId="77777777" w:rsidR="00BA3CDE" w:rsidRDefault="00BA3CDE" w:rsidP="00BA3CDE">
      <w:pPr>
        <w:pStyle w:val="NormalWeb"/>
      </w:pPr>
      <w:r>
        <w:t xml:space="preserve">On Dec. 20, 2022, in </w:t>
      </w:r>
      <w:r w:rsidRPr="00FA60DB">
        <w:rPr>
          <w:u w:val="single"/>
        </w:rPr>
        <w:t>State of Nebraska v. Monty Betancur</w:t>
      </w:r>
      <w:r>
        <w:t xml:space="preserve">, the Court of Appeals of Nebraska, held (3 to 0; unpublished decision) affirmed the convictions by a jury of for two counts of </w:t>
      </w:r>
      <w:proofErr w:type="gramStart"/>
      <w:r>
        <w:t>third degree</w:t>
      </w:r>
      <w:proofErr w:type="gramEnd"/>
      <w:r>
        <w:t xml:space="preserve"> sexual assault, one count of </w:t>
      </w:r>
      <w:proofErr w:type="gramStart"/>
      <w:r>
        <w:t>first degree</w:t>
      </w:r>
      <w:proofErr w:type="gramEnd"/>
      <w:r>
        <w:t xml:space="preserve"> false imprisonment, and one count of tampering. On Oct. 11, 2020, </w:t>
      </w:r>
      <w:r>
        <w:rPr>
          <w:rStyle w:val="markedcontent"/>
        </w:rPr>
        <w:t xml:space="preserve">22-year-old Ashley M. _____an EMT (and volunteer FF for 3 years), enrolled in paramedic program at </w:t>
      </w:r>
      <w:r>
        <w:t xml:space="preserve">Western Nebraska Community College, did a ride-along shift from 7 am – 7 pm at Valley Ambulance.   </w:t>
      </w:r>
      <w:proofErr w:type="spellStart"/>
      <w:r>
        <w:t>Betanbcur</w:t>
      </w:r>
      <w:proofErr w:type="spellEnd"/>
      <w:r>
        <w:t xml:space="preserve"> was a preceptor for the paramedic program. The Court described the three runs where he kissed her without consent.</w:t>
      </w:r>
    </w:p>
    <w:p w14:paraId="1E3F6DA7" w14:textId="77777777" w:rsidR="00BA3CDE" w:rsidRDefault="00BA3CDE" w:rsidP="00BA3CDE">
      <w:pPr>
        <w:pStyle w:val="NormalWeb"/>
      </w:pPr>
      <w:r>
        <w:t xml:space="preserve">Run No. 1: </w:t>
      </w:r>
    </w:p>
    <w:p w14:paraId="025E6FD8" w14:textId="77777777" w:rsidR="00BA3CDE" w:rsidRDefault="00BA3CDE" w:rsidP="00BA3CDE">
      <w:pPr>
        <w:pStyle w:val="NormalWeb"/>
      </w:pPr>
      <w:r>
        <w:t xml:space="preserve">“After unloading the patient at the hospital, [EMT Taylor] Severyn reported to the ER nurses while Ashley and Betancur walked back to the ambulance bay to clean the ambulance. Ashley </w:t>
      </w:r>
      <w:proofErr w:type="gramStart"/>
      <w:r>
        <w:t>stated, ‘[</w:t>
      </w:r>
      <w:proofErr w:type="gramEnd"/>
      <w:r>
        <w:t xml:space="preserve">Betancur] pulled me to the backside of the ambulance and kind of [grabbed my arm and] pulled me into him, and then through our facemasks, kissed me on the </w:t>
      </w:r>
      <w:proofErr w:type="gramStart"/>
      <w:r>
        <w:t>lips.’”</w:t>
      </w:r>
      <w:proofErr w:type="gramEnd"/>
    </w:p>
    <w:p w14:paraId="7BF57294" w14:textId="77777777" w:rsidR="00BA3CDE" w:rsidRDefault="00BA3CDE" w:rsidP="00BA3CDE">
      <w:pPr>
        <w:pStyle w:val="NormalWeb"/>
      </w:pPr>
      <w:r>
        <w:t>Run No. 2:</w:t>
      </w:r>
    </w:p>
    <w:p w14:paraId="1239920E" w14:textId="77777777" w:rsidR="00BA3CDE" w:rsidRDefault="00BA3CDE" w:rsidP="00BA3CDE">
      <w:pPr>
        <w:pStyle w:val="NormalWeb"/>
      </w:pPr>
      <w:r>
        <w:t>“According to Ashley, when the signal for the second call went off later that morning, the crew was working on stretcher lifting techniques in the ambulance bay at the station. Ashley testified that Severyn went inside the living quarters ‘and at that time [Betancur] came back over to me and [grabbed my arm and] pulled me back in towards him and kissed me for the second time’ while both were wearing masks.”</w:t>
      </w:r>
    </w:p>
    <w:p w14:paraId="45A4D80F" w14:textId="77777777" w:rsidR="00BA3CDE" w:rsidRDefault="00BA3CDE" w:rsidP="00BA3CDE">
      <w:pPr>
        <w:pStyle w:val="NormalWeb"/>
      </w:pPr>
      <w:r>
        <w:t>Run No. 3:</w:t>
      </w:r>
    </w:p>
    <w:p w14:paraId="6001A165" w14:textId="77777777" w:rsidR="00BA3CDE" w:rsidRDefault="00BA3CDE" w:rsidP="00BA3CDE">
      <w:pPr>
        <w:pStyle w:val="NormalWeb"/>
      </w:pPr>
      <w:r>
        <w:t>“Ashley said she was inserting an IV into the patient's wrist and had the patient's wrist ‘on my right leg and was kind of stabilizing it to insert the IV,’ and ‘[Betancur] had one of his hands helping me stabilize it and the other hand was squeezing the inside of my left thigh the whole time.’</w:t>
      </w:r>
    </w:p>
    <w:p w14:paraId="399999C0" w14:textId="77777777" w:rsidR="00BA3CDE" w:rsidRDefault="00BA3CDE" w:rsidP="00BA3CDE">
      <w:pPr>
        <w:pStyle w:val="NormalWeb"/>
      </w:pPr>
      <w:r>
        <w:t>***</w:t>
      </w:r>
    </w:p>
    <w:p w14:paraId="54AC3078" w14:textId="77777777" w:rsidR="00BA3CDE" w:rsidRDefault="00BA3CDE" w:rsidP="00BA3CDE">
      <w:pPr>
        <w:pStyle w:val="NormalWeb"/>
      </w:pPr>
      <w:r>
        <w:t xml:space="preserve">Ashley stated that when the crew arrived back </w:t>
      </w:r>
      <w:proofErr w:type="gramStart"/>
      <w:r>
        <w:t>to</w:t>
      </w:r>
      <w:proofErr w:type="gramEnd"/>
      <w:r>
        <w:t xml:space="preserve"> the Valley Ambulance station, they got out of the ambulance. She </w:t>
      </w:r>
      <w:proofErr w:type="gramStart"/>
      <w:r>
        <w:t>said, ‘</w:t>
      </w:r>
      <w:proofErr w:type="gramEnd"/>
      <w:r>
        <w:t xml:space="preserve">as I got out of the side door, [Betancur] got </w:t>
      </w:r>
      <w:proofErr w:type="gramStart"/>
      <w:r>
        <w:t>of</w:t>
      </w:r>
      <w:proofErr w:type="gramEnd"/>
      <w:r>
        <w:t xml:space="preserve"> [sic] the passenger door and he, again, pulled me to him and kissed me for the third time’; both were still wearing masks. Neither one of them said anything, but Ashley pulled her body back away from him.”</w:t>
      </w:r>
    </w:p>
    <w:p w14:paraId="6CCC3DA3" w14:textId="77777777" w:rsidR="00BA3CDE" w:rsidRDefault="00BA3CDE" w:rsidP="00BA3CDE">
      <w:pPr>
        <w:pStyle w:val="NormalWeb"/>
      </w:pPr>
      <w:r>
        <w:t>End Of Shift Threat / Facebook Messenger</w:t>
      </w:r>
    </w:p>
    <w:p w14:paraId="72659271" w14:textId="77777777" w:rsidR="00BA3CDE" w:rsidRDefault="00BA3CDE" w:rsidP="00BA3CDE">
      <w:pPr>
        <w:pStyle w:val="NormalWeb"/>
      </w:pPr>
      <w:r>
        <w:t xml:space="preserve">“[At end of her shift at 7 pm] as Ashley was getting ready to leave Betancur said, ’If you say anything, I will make your life hell.’” </w:t>
      </w:r>
    </w:p>
    <w:p w14:paraId="3DAFFF8C" w14:textId="77777777" w:rsidR="00BA3CDE" w:rsidRDefault="00BA3CDE" w:rsidP="00BA3CDE">
      <w:pPr>
        <w:pStyle w:val="NormalWeb"/>
      </w:pPr>
      <w:r>
        <w:t>***</w:t>
      </w:r>
    </w:p>
    <w:p w14:paraId="23EB7980" w14:textId="77777777" w:rsidR="00BA3CDE" w:rsidRDefault="00BA3CDE" w:rsidP="00BA3CDE">
      <w:pPr>
        <w:pStyle w:val="NormalWeb"/>
        <w:rPr>
          <w:rStyle w:val="markedcontent"/>
        </w:rPr>
      </w:pPr>
      <w:r w:rsidRPr="009973A1">
        <w:rPr>
          <w:rStyle w:val="markedcontent"/>
        </w:rPr>
        <w:t>At 9:42 p.m. on October 11, 2020, Betancur reached out to Ashley via Facebook</w:t>
      </w:r>
      <w:r w:rsidRPr="009973A1">
        <w:br/>
      </w:r>
      <w:r w:rsidRPr="009973A1">
        <w:rPr>
          <w:rStyle w:val="markedcontent"/>
        </w:rPr>
        <w:t xml:space="preserve">Messenger. Ashley said that she did not open the message </w:t>
      </w:r>
      <w:r>
        <w:rPr>
          <w:rStyle w:val="markedcontent"/>
        </w:rPr>
        <w:t>‘</w:t>
      </w:r>
      <w:r w:rsidRPr="009973A1">
        <w:rPr>
          <w:rStyle w:val="markedcontent"/>
        </w:rPr>
        <w:t>because I didn’t want him to see that I</w:t>
      </w:r>
      <w:r>
        <w:rPr>
          <w:rStyle w:val="markedcontent"/>
        </w:rPr>
        <w:t xml:space="preserve"> </w:t>
      </w:r>
      <w:r w:rsidRPr="009973A1">
        <w:rPr>
          <w:rStyle w:val="markedcontent"/>
        </w:rPr>
        <w:t>had read the message, but I had seen the message</w:t>
      </w:r>
      <w:r>
        <w:rPr>
          <w:rStyle w:val="markedcontent"/>
        </w:rPr>
        <w:t>’</w:t>
      </w:r>
      <w:r w:rsidRPr="009973A1">
        <w:rPr>
          <w:rStyle w:val="markedcontent"/>
        </w:rPr>
        <w:t xml:space="preserve"> on the screen saver. The message, which was</w:t>
      </w:r>
      <w:r>
        <w:rPr>
          <w:rStyle w:val="markedcontent"/>
        </w:rPr>
        <w:t xml:space="preserve"> </w:t>
      </w:r>
      <w:r w:rsidRPr="009973A1">
        <w:rPr>
          <w:rStyle w:val="markedcontent"/>
        </w:rPr>
        <w:t xml:space="preserve">received into evidence, stated, </w:t>
      </w:r>
      <w:r>
        <w:rPr>
          <w:rStyle w:val="markedcontent"/>
        </w:rPr>
        <w:t>‘</w:t>
      </w:r>
      <w:r w:rsidRPr="009973A1">
        <w:rPr>
          <w:rStyle w:val="markedcontent"/>
        </w:rPr>
        <w:t>I want you to be completely honest</w:t>
      </w:r>
      <w:proofErr w:type="gramStart"/>
      <w:r w:rsidRPr="009973A1">
        <w:rPr>
          <w:rStyle w:val="markedcontent"/>
        </w:rPr>
        <w:t>.</w:t>
      </w:r>
      <w:proofErr w:type="gramEnd"/>
      <w:r w:rsidRPr="009973A1">
        <w:rPr>
          <w:rStyle w:val="markedcontent"/>
        </w:rPr>
        <w:t xml:space="preserve"> Were you </w:t>
      </w:r>
      <w:proofErr w:type="gramStart"/>
      <w:r w:rsidRPr="009973A1">
        <w:rPr>
          <w:rStyle w:val="markedcontent"/>
        </w:rPr>
        <w:t xml:space="preserve">at </w:t>
      </w:r>
      <w:proofErr w:type="spellStart"/>
      <w:r w:rsidRPr="009973A1">
        <w:rPr>
          <w:rStyle w:val="markedcontent"/>
        </w:rPr>
        <w:t>anytime</w:t>
      </w:r>
      <w:proofErr w:type="spellEnd"/>
      <w:r w:rsidRPr="009973A1">
        <w:rPr>
          <w:rStyle w:val="markedcontent"/>
        </w:rPr>
        <w:t xml:space="preserve"> today</w:t>
      </w:r>
      <w:r>
        <w:rPr>
          <w:rStyle w:val="markedcontent"/>
        </w:rPr>
        <w:t xml:space="preserve"> </w:t>
      </w:r>
      <w:r w:rsidRPr="009973A1">
        <w:rPr>
          <w:rStyle w:val="markedcontent"/>
        </w:rPr>
        <w:t>uncomfortable</w:t>
      </w:r>
      <w:proofErr w:type="gramEnd"/>
      <w:r w:rsidRPr="009973A1">
        <w:rPr>
          <w:rStyle w:val="markedcontent"/>
        </w:rPr>
        <w:t>??</w:t>
      </w:r>
      <w:r>
        <w:rPr>
          <w:rStyle w:val="markedcontent"/>
        </w:rPr>
        <w:t>’</w:t>
      </w:r>
      <w:r w:rsidRPr="009973A1">
        <w:rPr>
          <w:rStyle w:val="markedcontent"/>
        </w:rPr>
        <w:t xml:space="preserve"> Ashley did not respond to Betancur’s message.</w:t>
      </w:r>
      <w:r>
        <w:rPr>
          <w:rStyle w:val="markedcontent"/>
        </w:rPr>
        <w:t>”</w:t>
      </w:r>
    </w:p>
    <w:p w14:paraId="1BA0DC99" w14:textId="77777777" w:rsidR="00BA3CDE" w:rsidRDefault="00BA3CDE" w:rsidP="00BA3CDE">
      <w:pPr>
        <w:pStyle w:val="NormalWeb"/>
        <w:ind w:left="720"/>
      </w:pPr>
      <w:r>
        <w:rPr>
          <w:rStyle w:val="markedcontent"/>
        </w:rPr>
        <w:t>“</w:t>
      </w:r>
      <w:r w:rsidRPr="009973A1">
        <w:rPr>
          <w:rStyle w:val="markedcontent"/>
        </w:rPr>
        <w:t xml:space="preserve">We disagree with Betancur’s contention that </w:t>
      </w:r>
      <w:r>
        <w:rPr>
          <w:rStyle w:val="markedcontent"/>
        </w:rPr>
        <w:t>‘</w:t>
      </w:r>
      <w:r w:rsidRPr="009973A1">
        <w:rPr>
          <w:rStyle w:val="markedcontent"/>
        </w:rPr>
        <w:t>an unwanted kiss on the victim’s lips by an</w:t>
      </w:r>
      <w:r>
        <w:rPr>
          <w:rStyle w:val="markedcontent"/>
        </w:rPr>
        <w:t xml:space="preserve"> </w:t>
      </w:r>
      <w:r w:rsidRPr="009973A1">
        <w:rPr>
          <w:rStyle w:val="markedcontent"/>
        </w:rPr>
        <w:t>actor using his own lips</w:t>
      </w:r>
      <w:r>
        <w:rPr>
          <w:rStyle w:val="markedcontent"/>
        </w:rPr>
        <w:t>’</w:t>
      </w:r>
      <w:r w:rsidRPr="009973A1">
        <w:rPr>
          <w:rStyle w:val="markedcontent"/>
        </w:rPr>
        <w:t xml:space="preserve"> does not satisfy the requirements for third degree sexua</w:t>
      </w:r>
      <w:r>
        <w:rPr>
          <w:rStyle w:val="markedcontent"/>
        </w:rPr>
        <w:t>l</w:t>
      </w:r>
      <w:r w:rsidRPr="009973A1">
        <w:rPr>
          <w:rStyle w:val="markedcontent"/>
        </w:rPr>
        <w:t xml:space="preserve"> assault in</w:t>
      </w:r>
      <w:r>
        <w:rPr>
          <w:rStyle w:val="markedcontent"/>
        </w:rPr>
        <w:t xml:space="preserve"> </w:t>
      </w:r>
      <w:r w:rsidRPr="009973A1">
        <w:rPr>
          <w:rStyle w:val="markedcontent"/>
        </w:rPr>
        <w:t xml:space="preserve">§ 28-320(1) and (3) because it does not meet the definition of </w:t>
      </w:r>
      <w:r>
        <w:rPr>
          <w:rStyle w:val="markedcontent"/>
        </w:rPr>
        <w:t>‘</w:t>
      </w:r>
      <w:r w:rsidRPr="009973A1">
        <w:rPr>
          <w:rStyle w:val="markedcontent"/>
        </w:rPr>
        <w:t>sexual contact</w:t>
      </w:r>
      <w:r>
        <w:rPr>
          <w:rStyle w:val="markedcontent"/>
        </w:rPr>
        <w:t>’</w:t>
      </w:r>
      <w:r w:rsidRPr="009973A1">
        <w:rPr>
          <w:rStyle w:val="markedcontent"/>
        </w:rPr>
        <w:t xml:space="preserve"> set forth in</w:t>
      </w:r>
      <w:r>
        <w:rPr>
          <w:rStyle w:val="markedcontent"/>
        </w:rPr>
        <w:t xml:space="preserve"> </w:t>
      </w:r>
      <w:r w:rsidRPr="009973A1">
        <w:rPr>
          <w:rStyle w:val="markedcontent"/>
        </w:rPr>
        <w:t xml:space="preserve">§ 28-318(5). As noted by the State, </w:t>
      </w:r>
      <w:r>
        <w:rPr>
          <w:rStyle w:val="markedcontent"/>
        </w:rPr>
        <w:t>‘</w:t>
      </w:r>
      <w:r w:rsidRPr="009973A1">
        <w:rPr>
          <w:rStyle w:val="markedcontent"/>
        </w:rPr>
        <w:t>[§ 28-318(5)] defines sexual contact as the touching of the</w:t>
      </w:r>
      <w:r>
        <w:rPr>
          <w:rStyle w:val="markedcontent"/>
        </w:rPr>
        <w:t xml:space="preserve"> </w:t>
      </w:r>
      <w:r w:rsidRPr="009973A1">
        <w:rPr>
          <w:rStyle w:val="markedcontent"/>
        </w:rPr>
        <w:t xml:space="preserve">victim’s sexual or intimate </w:t>
      </w:r>
      <w:proofErr w:type="spellStart"/>
      <w:r w:rsidRPr="009973A1">
        <w:rPr>
          <w:rStyle w:val="markedcontent"/>
        </w:rPr>
        <w:t>parts”</w:t>
      </w:r>
      <w:r>
        <w:rPr>
          <w:rStyle w:val="markedcontent"/>
        </w:rPr>
        <w:t>’</w:t>
      </w:r>
      <w:r w:rsidRPr="009973A1">
        <w:rPr>
          <w:rStyle w:val="markedcontent"/>
        </w:rPr>
        <w:t>and</w:t>
      </w:r>
      <w:proofErr w:type="spellEnd"/>
      <w:r w:rsidRPr="009973A1">
        <w:rPr>
          <w:rStyle w:val="markedcontent"/>
        </w:rPr>
        <w:t xml:space="preserve"> </w:t>
      </w:r>
      <w:r>
        <w:rPr>
          <w:rStyle w:val="markedcontent"/>
        </w:rPr>
        <w:t>‘</w:t>
      </w:r>
      <w:r w:rsidRPr="009973A1">
        <w:rPr>
          <w:rStyle w:val="markedcontent"/>
        </w:rPr>
        <w:t>in order to give effect to all words of the statute, ‘sexual’</w:t>
      </w:r>
      <w:r>
        <w:rPr>
          <w:rStyle w:val="markedcontent"/>
        </w:rPr>
        <w:t xml:space="preserve"> </w:t>
      </w:r>
      <w:r w:rsidRPr="009973A1">
        <w:rPr>
          <w:rStyle w:val="markedcontent"/>
        </w:rPr>
        <w:t>parts must be something different from ‘intimate’ parts.</w:t>
      </w:r>
      <w:r>
        <w:rPr>
          <w:rStyle w:val="markedcontent"/>
        </w:rPr>
        <w:t>”</w:t>
      </w:r>
      <w:hyperlink r:id="rId1436" w:history="1">
        <w:r w:rsidRPr="007E32CA">
          <w:rPr>
            <w:rStyle w:val="Hyperlink"/>
            <w:rFonts w:eastAsiaTheme="majorEastAsia"/>
          </w:rPr>
          <w:t>https://supremecourt.nebraska.gov/sites/default/files/a21-954m.pdf</w:t>
        </w:r>
      </w:hyperlink>
      <w:r>
        <w:t xml:space="preserve"> </w:t>
      </w:r>
    </w:p>
    <w:p w14:paraId="053B9CCC" w14:textId="77777777" w:rsidR="00BA3CDE" w:rsidRPr="005376D6" w:rsidRDefault="00BA3CDE" w:rsidP="00BA3CDE">
      <w:pPr>
        <w:pStyle w:val="NormalWeb"/>
        <w:rPr>
          <w:b/>
          <w:bCs/>
        </w:rPr>
      </w:pPr>
      <w:r w:rsidRPr="005376D6">
        <w:rPr>
          <w:b/>
          <w:bCs/>
        </w:rPr>
        <w:t xml:space="preserve">Legal Lesson Learned:  The </w:t>
      </w:r>
      <w:r>
        <w:rPr>
          <w:b/>
          <w:bCs/>
        </w:rPr>
        <w:t xml:space="preserve">EMT </w:t>
      </w:r>
      <w:r w:rsidRPr="005376D6">
        <w:rPr>
          <w:b/>
          <w:bCs/>
        </w:rPr>
        <w:t>victim promptly reported the assaults to the Fire Chief, and to the Scottsbluff Police Department</w:t>
      </w:r>
    </w:p>
    <w:p w14:paraId="0C129C97" w14:textId="77777777" w:rsidR="00BA3CDE" w:rsidRDefault="00BA3CDE" w:rsidP="00F326E5">
      <w:pPr>
        <w:pStyle w:val="NoSpacing"/>
        <w:rPr>
          <w:rFonts w:ascii="Arial Black" w:hAnsi="Arial Black"/>
          <w:sz w:val="24"/>
          <w:szCs w:val="24"/>
        </w:rPr>
      </w:pPr>
    </w:p>
    <w:p w14:paraId="023E1CD0" w14:textId="77777777" w:rsidR="00BA3CDE" w:rsidRDefault="00BA3CDE" w:rsidP="00F326E5">
      <w:pPr>
        <w:pStyle w:val="NoSpacing"/>
        <w:rPr>
          <w:rFonts w:ascii="Arial Black" w:hAnsi="Arial Black"/>
          <w:sz w:val="24"/>
          <w:szCs w:val="24"/>
        </w:rPr>
      </w:pPr>
    </w:p>
    <w:p w14:paraId="7CB6A541" w14:textId="77777777" w:rsidR="00BA3CDE" w:rsidRDefault="00BA3CDE" w:rsidP="00F326E5">
      <w:pPr>
        <w:pStyle w:val="NoSpacing"/>
        <w:rPr>
          <w:rFonts w:ascii="Arial Black" w:hAnsi="Arial Black"/>
          <w:sz w:val="24"/>
          <w:szCs w:val="24"/>
        </w:rPr>
      </w:pPr>
    </w:p>
    <w:p w14:paraId="4E1B0688" w14:textId="23E3FEE7" w:rsidR="00727951" w:rsidRDefault="00E8117B" w:rsidP="00F326E5">
      <w:pPr>
        <w:pStyle w:val="NoSpacing"/>
        <w:rPr>
          <w:rFonts w:ascii="Arial Black" w:hAnsi="Arial Black"/>
          <w:sz w:val="24"/>
          <w:szCs w:val="24"/>
        </w:rPr>
      </w:pPr>
      <w:r>
        <w:rPr>
          <w:rFonts w:ascii="Arial Black" w:hAnsi="Arial Black"/>
          <w:sz w:val="24"/>
          <w:szCs w:val="24"/>
        </w:rPr>
        <w:t>7-46</w:t>
      </w:r>
    </w:p>
    <w:p w14:paraId="65415E1E" w14:textId="77777777" w:rsidR="00AC5FED" w:rsidRPr="00921E8A" w:rsidRDefault="00AC5FED" w:rsidP="00AC5FED">
      <w:pPr>
        <w:pStyle w:val="NormalWeb"/>
        <w:rPr>
          <w:rFonts w:ascii="Arial Black" w:hAnsi="Arial Black"/>
          <w:sz w:val="28"/>
          <w:szCs w:val="28"/>
        </w:rPr>
      </w:pPr>
      <w:r>
        <w:rPr>
          <w:rFonts w:ascii="Arial Black" w:hAnsi="Arial Black"/>
          <w:sz w:val="28"/>
          <w:szCs w:val="28"/>
        </w:rPr>
        <w:t xml:space="preserve">NY: EMT WITH ANXIETY – CLAIMED 98% MALES HOSTILE – RETALIATION PROCEED - FIRED 1 MO. SHE FILED EEOC </w:t>
      </w:r>
    </w:p>
    <w:p w14:paraId="17C48D20" w14:textId="77777777" w:rsidR="00AC5FED" w:rsidRDefault="00AC5FED" w:rsidP="00AC5FED">
      <w:pPr>
        <w:pStyle w:val="NormalWeb"/>
      </w:pPr>
      <w:r>
        <w:t xml:space="preserve">On Sept. 30, 2022, in </w:t>
      </w:r>
      <w:r w:rsidRPr="00921E8A">
        <w:rPr>
          <w:u w:val="single"/>
        </w:rPr>
        <w:t xml:space="preserve">Malva M. Freckleton v. </w:t>
      </w:r>
      <w:proofErr w:type="spellStart"/>
      <w:r w:rsidRPr="00921E8A">
        <w:rPr>
          <w:u w:val="single"/>
        </w:rPr>
        <w:t>Ambulnz</w:t>
      </w:r>
      <w:proofErr w:type="spellEnd"/>
      <w:r w:rsidRPr="00921E8A">
        <w:rPr>
          <w:u w:val="single"/>
        </w:rPr>
        <w:t xml:space="preserve"> LLC</w:t>
      </w:r>
      <w:r>
        <w:t xml:space="preserve">, U.S. District Court Judge Ann M. Donnelly, U.S. District Court for Eastern District of New York, granted defense motion to dismiss most of the EMT’s charges (race, age, disability)), but recognizing the plaintiff is proceeding pro se (no attorney), held that her “retaliation” claim may proceed to pre-trial discovery since she was fired within one month of her filing a complaint of discrimination with New York State Division of Human Rights and the federal EEOC.  </w:t>
      </w:r>
    </w:p>
    <w:p w14:paraId="6A66D180" w14:textId="77777777" w:rsidR="00AC5FED" w:rsidRDefault="00AC5FED" w:rsidP="00AC5FED">
      <w:pPr>
        <w:pStyle w:val="NormalWeb"/>
        <w:ind w:left="720"/>
      </w:pPr>
      <w:r>
        <w:t xml:space="preserve">“The plaintiff alleges that “98% [of] male employees harassed [her]…’and ‘there is a conduct of hostility towards a gender which demonstrate the plaintiff is a female’ and ‘male co-workers treated [her] differently by bullying, intimidating, and sabotaging’ her …  and the defendant's adverse actions against are ‘because of sex (male coworkers)….’ These allegations are conclusory and insufficient, even giving the plaintiff the special solicitude that is due </w:t>
      </w:r>
      <w:r>
        <w:rPr>
          <w:rStyle w:val="Emphasis"/>
          <w:rFonts w:eastAsiaTheme="majorEastAsia"/>
        </w:rPr>
        <w:t>pro se</w:t>
      </w:r>
      <w:r>
        <w:t xml:space="preserve"> litigants.</w:t>
      </w:r>
    </w:p>
    <w:p w14:paraId="05800348" w14:textId="77777777" w:rsidR="00AC5FED" w:rsidRDefault="00AC5FED" w:rsidP="00AC5FED">
      <w:pPr>
        <w:pStyle w:val="NormalWeb"/>
        <w:ind w:left="720"/>
      </w:pPr>
      <w:r>
        <w:t>***</w:t>
      </w:r>
    </w:p>
    <w:p w14:paraId="1C8B647A" w14:textId="1B0A843A" w:rsidR="00AC5FED" w:rsidRDefault="00AC5FED" w:rsidP="00AC5FED">
      <w:pPr>
        <w:pStyle w:val="NoSpacing"/>
        <w:rPr>
          <w:rFonts w:ascii="Arial Black" w:hAnsi="Arial Black"/>
          <w:sz w:val="24"/>
          <w:szCs w:val="24"/>
        </w:rPr>
      </w:pPr>
      <w:r>
        <w:t xml:space="preserve">The plaintiff filed her NYSDHR complaint on August 16, 2019, and was fired in September 2019. Recognizing that it is appropriate to take a ‘generous view of retaliatory acts at the motion to dismiss stage,’ </w:t>
      </w:r>
      <w:r>
        <w:rPr>
          <w:rStyle w:val="Emphasis"/>
          <w:rFonts w:eastAsiaTheme="majorEastAsia"/>
        </w:rPr>
        <w:t>Ingrassia</w:t>
      </w:r>
      <w:r>
        <w:t xml:space="preserve">, 130 F.Supp.3d at 723-24 (citing </w:t>
      </w:r>
      <w:r>
        <w:rPr>
          <w:rStyle w:val="Emphasis"/>
          <w:rFonts w:eastAsiaTheme="majorEastAsia"/>
        </w:rPr>
        <w:t>Kelly v. Howard I. Shapiro &amp; Assocs. Consulting Engineers, P.C.</w:t>
      </w:r>
      <w:r>
        <w:t xml:space="preserve">, 716 F.3d 10, 17 (2d Cir. 2013)), and drawing all reasonable inferences in the plaintiff's favor, I conclude that she has adequately alleged causation based on temporal proximity…. Accordingly, the plaintiff sufficiently alleges a retaliation claim based on the filing of her NYSDHR complaint and her subsequent termination.”  </w:t>
      </w:r>
      <w:hyperlink r:id="rId1437" w:history="1">
        <w:r w:rsidRPr="00E7591A">
          <w:rPr>
            <w:rStyle w:val="Hyperlink"/>
          </w:rPr>
          <w:t>https://public.fastcase.com/J%2FJP6pdidelsXxEE4k%2BLMhHGbq56VzoTk1JFKDMbyAsW64naZ9EKqTmGK9O1R3Wr9GeihMDs1Zh2VHQfJhn6l7jf8Y6MJiDUL4WQvVsRKlE%3D?utm_medium=email&amp;_hsmi=226712652&amp;_hsenc=p2ANqtz-8S41Im3p2bNEgWstI4h7IIgl63Egh37Z-OzcnjQev0mJue-BzqLfMZTGtGKB_KMNSyA32EmSFNwIWzkboUxTkEerO4Tg&amp;utm_content=226712652&amp;utm_source=hs_email</w:t>
        </w:r>
      </w:hyperlink>
    </w:p>
    <w:p w14:paraId="7C925B2D" w14:textId="15C0BFC4" w:rsidR="00AC5FED" w:rsidRDefault="00AC5FED" w:rsidP="00F326E5">
      <w:pPr>
        <w:pStyle w:val="NoSpacing"/>
        <w:rPr>
          <w:rFonts w:ascii="Arial Black" w:hAnsi="Arial Black"/>
          <w:sz w:val="24"/>
          <w:szCs w:val="24"/>
        </w:rPr>
      </w:pPr>
    </w:p>
    <w:p w14:paraId="196FCA53" w14:textId="77777777" w:rsidR="00AC5FED" w:rsidRPr="003E1C8A" w:rsidRDefault="00AC5FED" w:rsidP="00AC5FED">
      <w:pPr>
        <w:pStyle w:val="NormalWeb"/>
        <w:rPr>
          <w:b/>
          <w:bCs/>
        </w:rPr>
      </w:pPr>
      <w:r w:rsidRPr="003E1C8A">
        <w:rPr>
          <w:b/>
          <w:bCs/>
        </w:rPr>
        <w:t>Legal Lesson Learned:</w:t>
      </w:r>
      <w:r>
        <w:rPr>
          <w:b/>
          <w:bCs/>
        </w:rPr>
        <w:t xml:space="preserve"> Pro se [no attorney] plaintiff was given opportunity to try to prove retaliation in pre-trial discovery. </w:t>
      </w:r>
    </w:p>
    <w:p w14:paraId="1E8983C5" w14:textId="1C90CD92" w:rsidR="00AC5FED" w:rsidRDefault="00AC5FED" w:rsidP="00F326E5">
      <w:pPr>
        <w:pStyle w:val="NoSpacing"/>
        <w:rPr>
          <w:rFonts w:ascii="Arial Black" w:hAnsi="Arial Black"/>
          <w:sz w:val="24"/>
          <w:szCs w:val="24"/>
        </w:rPr>
      </w:pPr>
    </w:p>
    <w:p w14:paraId="7A2B2BEF" w14:textId="77777777" w:rsidR="00AC5FED" w:rsidRDefault="00AC5FED" w:rsidP="00F326E5">
      <w:pPr>
        <w:pStyle w:val="NoSpacing"/>
        <w:rPr>
          <w:rFonts w:ascii="Arial Black" w:hAnsi="Arial Black"/>
          <w:sz w:val="24"/>
          <w:szCs w:val="24"/>
        </w:rPr>
      </w:pPr>
    </w:p>
    <w:p w14:paraId="44D85E54" w14:textId="37E95864" w:rsidR="00D5141D" w:rsidRDefault="00D5141D" w:rsidP="00F326E5">
      <w:pPr>
        <w:pStyle w:val="NoSpacing"/>
        <w:rPr>
          <w:rFonts w:ascii="Arial Black" w:hAnsi="Arial Black"/>
          <w:sz w:val="24"/>
          <w:szCs w:val="24"/>
        </w:rPr>
      </w:pPr>
      <w:r>
        <w:rPr>
          <w:rFonts w:ascii="Arial Black" w:hAnsi="Arial Black"/>
          <w:sz w:val="24"/>
          <w:szCs w:val="24"/>
        </w:rPr>
        <w:t>7-45</w:t>
      </w:r>
    </w:p>
    <w:p w14:paraId="5AD43885" w14:textId="1A892C5F" w:rsidR="00D5141D" w:rsidRDefault="00D5141D" w:rsidP="00F326E5">
      <w:pPr>
        <w:pStyle w:val="NoSpacing"/>
        <w:rPr>
          <w:rFonts w:ascii="Arial Black" w:hAnsi="Arial Black"/>
          <w:sz w:val="24"/>
          <w:szCs w:val="24"/>
        </w:rPr>
      </w:pPr>
    </w:p>
    <w:p w14:paraId="64E9C075" w14:textId="77777777" w:rsidR="00D5141D" w:rsidRPr="00A81005" w:rsidRDefault="00D5141D" w:rsidP="00D5141D">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OR: FF TERMINATED SEXUAL HARASSMENT – TEXT MESSAGES, THEFT OF FEMALE UNDERWEAR, ON DUTY SEX </w:t>
      </w:r>
    </w:p>
    <w:p w14:paraId="76892D6E" w14:textId="77777777" w:rsidR="00D5141D" w:rsidRPr="009C2A06" w:rsidRDefault="00D5141D" w:rsidP="00D5141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19, 2022, in </w:t>
      </w:r>
      <w:r w:rsidRPr="00A81005">
        <w:rPr>
          <w:rFonts w:ascii="Times New Roman" w:eastAsia="Times New Roman" w:hAnsi="Times New Roman"/>
          <w:sz w:val="24"/>
          <w:szCs w:val="24"/>
          <w:u w:val="single"/>
        </w:rPr>
        <w:t>Larry W. Merrill v. Lane Fire Authority</w:t>
      </w:r>
      <w:r>
        <w:rPr>
          <w:rFonts w:ascii="Times New Roman" w:eastAsia="Times New Roman" w:hAnsi="Times New Roman"/>
          <w:sz w:val="24"/>
          <w:szCs w:val="24"/>
          <w:u w:val="single"/>
        </w:rPr>
        <w:t xml:space="preserve"> </w:t>
      </w:r>
      <w:r w:rsidRPr="001331F1">
        <w:rPr>
          <w:rFonts w:ascii="Times New Roman" w:eastAsia="Times New Roman" w:hAnsi="Times New Roman"/>
          <w:sz w:val="24"/>
          <w:szCs w:val="24"/>
          <w:u w:val="single"/>
        </w:rPr>
        <w:t xml:space="preserve">and </w:t>
      </w:r>
      <w:proofErr w:type="spellStart"/>
      <w:r w:rsidRPr="001331F1">
        <w:rPr>
          <w:rFonts w:ascii="Times New Roman" w:hAnsi="Times New Roman"/>
          <w:sz w:val="24"/>
          <w:szCs w:val="24"/>
          <w:u w:val="single"/>
        </w:rPr>
        <w:t>Stoelk</w:t>
      </w:r>
      <w:proofErr w:type="spellEnd"/>
      <w:r w:rsidRPr="001331F1">
        <w:rPr>
          <w:rFonts w:ascii="Times New Roman" w:hAnsi="Times New Roman"/>
          <w:sz w:val="24"/>
          <w:szCs w:val="24"/>
          <w:u w:val="single"/>
        </w:rPr>
        <w:t xml:space="preserve"> Investigation </w:t>
      </w:r>
      <w:proofErr w:type="gramStart"/>
      <w:r w:rsidRPr="001331F1">
        <w:rPr>
          <w:rFonts w:ascii="Times New Roman" w:hAnsi="Times New Roman"/>
          <w:sz w:val="24"/>
          <w:szCs w:val="24"/>
          <w:u w:val="single"/>
        </w:rPr>
        <w:t>And</w:t>
      </w:r>
      <w:proofErr w:type="gramEnd"/>
      <w:r w:rsidRPr="001331F1">
        <w:rPr>
          <w:rFonts w:ascii="Times New Roman" w:hAnsi="Times New Roman"/>
          <w:sz w:val="24"/>
          <w:szCs w:val="24"/>
          <w:u w:val="single"/>
        </w:rPr>
        <w:t xml:space="preserve"> Consultation, LLC</w:t>
      </w:r>
      <w:r>
        <w:rPr>
          <w:rFonts w:ascii="Times New Roman" w:hAnsi="Times New Roman"/>
          <w:sz w:val="24"/>
          <w:szCs w:val="24"/>
        </w:rPr>
        <w:t xml:space="preserve">, </w:t>
      </w:r>
      <w:r>
        <w:rPr>
          <w:rFonts w:ascii="Times New Roman" w:eastAsia="Times New Roman" w:hAnsi="Times New Roman"/>
          <w:sz w:val="24"/>
          <w:szCs w:val="24"/>
        </w:rPr>
        <w:t xml:space="preserve">U.S. Magistrate Judge Mustafa T. </w:t>
      </w:r>
      <w:proofErr w:type="spellStart"/>
      <w:r>
        <w:rPr>
          <w:rFonts w:ascii="Times New Roman" w:eastAsia="Times New Roman" w:hAnsi="Times New Roman"/>
          <w:sz w:val="24"/>
          <w:szCs w:val="24"/>
        </w:rPr>
        <w:t>Kasubhai</w:t>
      </w:r>
      <w:proofErr w:type="spellEnd"/>
      <w:r>
        <w:rPr>
          <w:rFonts w:ascii="Times New Roman" w:eastAsia="Times New Roman" w:hAnsi="Times New Roman"/>
          <w:sz w:val="24"/>
          <w:szCs w:val="24"/>
        </w:rPr>
        <w:t xml:space="preserve">, U.S. District Court of Oregon (Eugene Division) issued Findings </w:t>
      </w:r>
      <w:proofErr w:type="gramStart"/>
      <w:r>
        <w:rPr>
          <w:rFonts w:ascii="Times New Roman" w:eastAsia="Times New Roman" w:hAnsi="Times New Roman"/>
          <w:sz w:val="24"/>
          <w:szCs w:val="24"/>
        </w:rPr>
        <w:t>And</w:t>
      </w:r>
      <w:proofErr w:type="gramEnd"/>
      <w:r>
        <w:rPr>
          <w:rFonts w:ascii="Times New Roman" w:eastAsia="Times New Roman" w:hAnsi="Times New Roman"/>
          <w:sz w:val="24"/>
          <w:szCs w:val="24"/>
        </w:rPr>
        <w:t xml:space="preserve"> Recommendations that the defense motion for summary judgment be granted. </w:t>
      </w:r>
      <w:r w:rsidRPr="00AA6F0A">
        <w:rPr>
          <w:rFonts w:ascii="Times New Roman" w:eastAsia="Times New Roman" w:hAnsi="Times New Roman"/>
          <w:sz w:val="24"/>
          <w:szCs w:val="24"/>
        </w:rPr>
        <w:t>“</w:t>
      </w:r>
      <w:r w:rsidRPr="00AA6F0A">
        <w:rPr>
          <w:rFonts w:ascii="Times New Roman" w:hAnsi="Times New Roman"/>
          <w:sz w:val="24"/>
          <w:szCs w:val="24"/>
        </w:rPr>
        <w:t>At bottom, Ms. Hutcheson-Warren reported an inappropriate text message that resulted in an investigation into Plaintiff for sexual harassment. Plaintiff received notice of the investigation. The investigation found serious allegations of misconduct. Plaintiff received detailed notice of the allegations-including allegations unrelated to the text message that served as the investigation's genesis-well in advance of his pre-disciplinary hearing and Plaintiff had ample time to prepare written or verbal responses to those allegations. A hearing was held at which Plaintiff had the right to present his side of the story. At the conclusion of the hearing, Chief Ney determined that termination of Plaintiff was appropriate. On this record, the Court concludes Plaintiff received all the process he was due.</w:t>
      </w:r>
      <w:r>
        <w:rPr>
          <w:rFonts w:ascii="Times New Roman" w:hAnsi="Times New Roman"/>
          <w:sz w:val="24"/>
          <w:szCs w:val="24"/>
        </w:rPr>
        <w:t xml:space="preserve">” </w:t>
      </w:r>
      <w:hyperlink r:id="rId1438" w:history="1">
        <w:r w:rsidRPr="00696C47">
          <w:rPr>
            <w:rStyle w:val="Hyperlink"/>
            <w:rFonts w:ascii="Times New Roman" w:hAnsi="Times New Roman"/>
          </w:rPr>
          <w:t>https://casetext.com/case/merrill-v-lane-fire-auth-1</w:t>
        </w:r>
      </w:hyperlink>
      <w:r>
        <w:rPr>
          <w:rFonts w:ascii="Times New Roman" w:hAnsi="Times New Roman"/>
          <w:sz w:val="24"/>
          <w:szCs w:val="24"/>
        </w:rPr>
        <w:t xml:space="preserve"> </w:t>
      </w:r>
    </w:p>
    <w:p w14:paraId="35C7B1B4" w14:textId="77777777" w:rsidR="00D5141D" w:rsidRPr="00AA6F0A" w:rsidRDefault="00D5141D" w:rsidP="00D5141D">
      <w:pPr>
        <w:spacing w:before="100" w:beforeAutospacing="1" w:after="100" w:afterAutospacing="1" w:line="240" w:lineRule="auto"/>
        <w:rPr>
          <w:rFonts w:ascii="Times New Roman" w:eastAsia="Times New Roman" w:hAnsi="Times New Roman"/>
          <w:b/>
          <w:bCs/>
          <w:sz w:val="24"/>
          <w:szCs w:val="24"/>
        </w:rPr>
      </w:pPr>
      <w:r w:rsidRPr="00C358F9">
        <w:rPr>
          <w:rFonts w:ascii="Times New Roman" w:eastAsia="Times New Roman" w:hAnsi="Times New Roman"/>
          <w:b/>
          <w:bCs/>
          <w:sz w:val="24"/>
          <w:szCs w:val="24"/>
        </w:rPr>
        <w:t>Legal Lesson Learned:</w:t>
      </w:r>
      <w:r w:rsidRPr="00AA6F0A">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It was a wise move by the FD’s Legal Counsel to bring in an outside, professional investigator. </w:t>
      </w:r>
    </w:p>
    <w:p w14:paraId="1B77FB20" w14:textId="77777777" w:rsidR="00D5141D" w:rsidRDefault="00D5141D" w:rsidP="00F326E5">
      <w:pPr>
        <w:pStyle w:val="NoSpacing"/>
        <w:rPr>
          <w:rFonts w:ascii="Arial Black" w:hAnsi="Arial Black"/>
          <w:sz w:val="24"/>
          <w:szCs w:val="24"/>
        </w:rPr>
      </w:pPr>
    </w:p>
    <w:p w14:paraId="24B64FF6" w14:textId="77777777" w:rsidR="00D5141D" w:rsidRDefault="00D5141D" w:rsidP="00F326E5">
      <w:pPr>
        <w:pStyle w:val="NoSpacing"/>
        <w:rPr>
          <w:rFonts w:ascii="Arial Black" w:hAnsi="Arial Black"/>
          <w:sz w:val="24"/>
          <w:szCs w:val="24"/>
        </w:rPr>
      </w:pPr>
    </w:p>
    <w:p w14:paraId="402357A4" w14:textId="3BA7856C" w:rsidR="006C4BDE" w:rsidRDefault="006C4BDE" w:rsidP="00F326E5">
      <w:pPr>
        <w:pStyle w:val="NoSpacing"/>
        <w:rPr>
          <w:rFonts w:ascii="Arial Black" w:hAnsi="Arial Black"/>
          <w:sz w:val="24"/>
          <w:szCs w:val="24"/>
        </w:rPr>
      </w:pPr>
      <w:r>
        <w:rPr>
          <w:rFonts w:ascii="Arial Black" w:hAnsi="Arial Black"/>
          <w:sz w:val="24"/>
          <w:szCs w:val="24"/>
        </w:rPr>
        <w:t>7-44 [Also filed, Chap. 14]</w:t>
      </w:r>
    </w:p>
    <w:p w14:paraId="615B8934" w14:textId="77777777" w:rsidR="006C4BDE" w:rsidRPr="00F315B4"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WI: FEMALE FAILS APPLICANT PHYSICAL FITNESS TEST –NOT CPAT, BUT MEETS EEOC GUIDELINES – TEST UPHELD</w:t>
      </w:r>
    </w:p>
    <w:p w14:paraId="0FAB85C2" w14:textId="77777777" w:rsidR="006C4BDE" w:rsidRPr="005403E6" w:rsidRDefault="006C4BDE" w:rsidP="006C4BDE">
      <w:pPr>
        <w:spacing w:before="100" w:beforeAutospacing="1" w:after="100" w:afterAutospacing="1" w:line="240" w:lineRule="auto"/>
        <w:rPr>
          <w:rFonts w:ascii="Times New Roman" w:eastAsia="Times New Roman" w:hAnsi="Times New Roman"/>
          <w:sz w:val="24"/>
          <w:szCs w:val="24"/>
        </w:rPr>
      </w:pPr>
      <w:r w:rsidRPr="00A4532F">
        <w:rPr>
          <w:rFonts w:ascii="Times New Roman" w:hAnsi="Times New Roman"/>
          <w:sz w:val="24"/>
          <w:szCs w:val="24"/>
        </w:rPr>
        <w:t xml:space="preserve">On July 20, 2022, in </w:t>
      </w:r>
      <w:r w:rsidRPr="00A4532F">
        <w:rPr>
          <w:rFonts w:ascii="Times New Roman" w:hAnsi="Times New Roman"/>
          <w:sz w:val="24"/>
          <w:szCs w:val="24"/>
          <w:u w:val="single"/>
        </w:rPr>
        <w:t>Catherine Erdman v. City of Madison</w:t>
      </w:r>
      <w:r>
        <w:rPr>
          <w:rFonts w:ascii="Times New Roman" w:hAnsi="Times New Roman"/>
          <w:sz w:val="24"/>
          <w:szCs w:val="24"/>
        </w:rPr>
        <w:t xml:space="preserve">, U.S. District Court Judge William M. Conley dismissed the lawsuit, findings that the Madison Fire Department in their 2014 applicant testing did not violate Title VII of the Civil Rights Act of 1964, even if more female failed compared to fire departments using the CPAT, since the tests were developed by consultants to assess actual job duties and meet the EEOC’s </w:t>
      </w:r>
      <w:r w:rsidRPr="005403E6">
        <w:rPr>
          <w:rFonts w:ascii="Times New Roman" w:eastAsia="Times New Roman" w:hAnsi="Times New Roman"/>
          <w:sz w:val="24"/>
          <w:szCs w:val="24"/>
        </w:rPr>
        <w:t>Uniform Guidelines on Employee Selection Procedures</w:t>
      </w:r>
      <w:r>
        <w:rPr>
          <w:rFonts w:ascii="Times New Roman" w:eastAsia="Times New Roman" w:hAnsi="Times New Roman"/>
          <w:sz w:val="24"/>
          <w:szCs w:val="24"/>
        </w:rPr>
        <w:t xml:space="preserve">. Plaintiff’s lawsuit claimed that she would have passed CPAT [Madison FD’s pass rate for women was 14%; the pass rate for women taking CPAT at Austin, Teas FD was 48%].  </w:t>
      </w:r>
      <w:r>
        <w:rPr>
          <w:rFonts w:ascii="Times New Roman" w:hAnsi="Times New Roman"/>
          <w:sz w:val="24"/>
          <w:szCs w:val="24"/>
        </w:rPr>
        <w:t xml:space="preserve">Plaintiff failed the “pike pole” which required </w:t>
      </w:r>
      <w:r w:rsidRPr="005403E6">
        <w:rPr>
          <w:rFonts w:ascii="Times New Roman" w:eastAsia="Times New Roman" w:hAnsi="Times New Roman"/>
          <w:sz w:val="24"/>
          <w:szCs w:val="24"/>
        </w:rPr>
        <w:t>applicants to stand at least 18 inches back from the ceiling being pulled down with a pike pole to account for safety concerns with</w:t>
      </w:r>
      <w:r>
        <w:rPr>
          <w:rFonts w:ascii="Times New Roman" w:eastAsia="Times New Roman" w:hAnsi="Times New Roman"/>
          <w:sz w:val="24"/>
          <w:szCs w:val="24"/>
        </w:rPr>
        <w:t xml:space="preserve"> test takers </w:t>
      </w:r>
      <w:r w:rsidRPr="005403E6">
        <w:rPr>
          <w:rFonts w:ascii="Times New Roman" w:eastAsia="Times New Roman" w:hAnsi="Times New Roman"/>
          <w:sz w:val="24"/>
          <w:szCs w:val="24"/>
        </w:rPr>
        <w:t>standing directly under the ceiling</w:t>
      </w:r>
      <w:r>
        <w:rPr>
          <w:rFonts w:ascii="Times New Roman" w:eastAsia="Times New Roman" w:hAnsi="Times New Roman"/>
          <w:sz w:val="24"/>
          <w:szCs w:val="24"/>
        </w:rPr>
        <w:t xml:space="preserve">; </w:t>
      </w:r>
      <w:r w:rsidRPr="005403E6">
        <w:rPr>
          <w:rFonts w:ascii="Times New Roman" w:eastAsia="Times New Roman" w:hAnsi="Times New Roman"/>
          <w:sz w:val="24"/>
          <w:szCs w:val="24"/>
        </w:rPr>
        <w:t>the pole was long enough to allow applicants of different heights to adjust the hold to account for that differential.</w:t>
      </w:r>
      <w:r>
        <w:rPr>
          <w:rFonts w:ascii="Times New Roman" w:eastAsia="Times New Roman" w:hAnsi="Times New Roman"/>
          <w:sz w:val="24"/>
          <w:szCs w:val="24"/>
        </w:rPr>
        <w:t xml:space="preserve"> </w:t>
      </w:r>
      <w:hyperlink r:id="rId1439" w:history="1">
        <w:r w:rsidRPr="00355029">
          <w:rPr>
            <w:rStyle w:val="Hyperlink"/>
            <w:rFonts w:ascii="Times New Roman" w:hAnsi="Times New Roman"/>
            <w:sz w:val="24"/>
            <w:szCs w:val="24"/>
          </w:rPr>
          <w:t>https://public.fastcase.com/J%2FJP6pdidelsXxEE4k%2BLMiptlpkB0gZD0zq9ZoOKNJuhacmaRfGRvhQDw8Dzjp093sUgUkI4CwYYkhqoix%2B0P6g4YOgoDnx2kMnRYwj%2FWdA%3D</w:t>
        </w:r>
      </w:hyperlink>
      <w:r>
        <w:rPr>
          <w:rFonts w:ascii="Times New Roman" w:hAnsi="Times New Roman"/>
          <w:sz w:val="24"/>
          <w:szCs w:val="24"/>
        </w:rPr>
        <w:t xml:space="preserve"> </w:t>
      </w:r>
    </w:p>
    <w:p w14:paraId="6149F00D" w14:textId="77777777" w:rsidR="006C4BDE" w:rsidRPr="006E479D" w:rsidRDefault="006C4BDE" w:rsidP="006C4BDE">
      <w:pPr>
        <w:spacing w:before="100" w:beforeAutospacing="1" w:after="100" w:afterAutospacing="1" w:line="240" w:lineRule="auto"/>
        <w:rPr>
          <w:rFonts w:ascii="Times New Roman" w:hAnsi="Times New Roman"/>
          <w:b/>
          <w:bCs/>
          <w:sz w:val="24"/>
          <w:szCs w:val="24"/>
        </w:rPr>
      </w:pPr>
      <w:r w:rsidRPr="00604285">
        <w:rPr>
          <w:rFonts w:ascii="Times New Roman" w:hAnsi="Times New Roman"/>
          <w:b/>
          <w:bCs/>
          <w:sz w:val="24"/>
          <w:szCs w:val="24"/>
        </w:rPr>
        <w:t>Legal Lesson Learned:</w:t>
      </w:r>
      <w:r>
        <w:rPr>
          <w:rFonts w:ascii="Times New Roman" w:hAnsi="Times New Roman"/>
          <w:b/>
          <w:bCs/>
          <w:sz w:val="24"/>
          <w:szCs w:val="24"/>
        </w:rPr>
        <w:t xml:space="preserve"> </w:t>
      </w:r>
      <w:r w:rsidRPr="006E479D">
        <w:rPr>
          <w:rFonts w:ascii="Times New Roman" w:hAnsi="Times New Roman"/>
          <w:b/>
          <w:bCs/>
          <w:sz w:val="24"/>
          <w:szCs w:val="24"/>
        </w:rPr>
        <w:t xml:space="preserve">This alternative test passed EEOC “Uniform Guidelines </w:t>
      </w:r>
      <w:r w:rsidRPr="006E479D">
        <w:rPr>
          <w:rFonts w:ascii="Times New Roman" w:eastAsia="Times New Roman" w:hAnsi="Times New Roman"/>
          <w:b/>
          <w:bCs/>
          <w:sz w:val="24"/>
          <w:szCs w:val="24"/>
        </w:rPr>
        <w:t xml:space="preserve">on Employee Selection Procedures (1978), 29 C.F.R. § 1607, </w:t>
      </w:r>
      <w:r w:rsidRPr="006E479D">
        <w:rPr>
          <w:rFonts w:ascii="Times New Roman" w:eastAsia="Times New Roman" w:hAnsi="Times New Roman"/>
          <w:b/>
          <w:bCs/>
          <w:i/>
          <w:iCs/>
          <w:sz w:val="24"/>
          <w:szCs w:val="24"/>
        </w:rPr>
        <w:t xml:space="preserve">et seq.” </w:t>
      </w:r>
      <w:r w:rsidRPr="006E479D">
        <w:rPr>
          <w:rFonts w:ascii="Times New Roman" w:hAnsi="Times New Roman"/>
          <w:b/>
          <w:bCs/>
          <w:sz w:val="24"/>
          <w:szCs w:val="24"/>
        </w:rPr>
        <w:t xml:space="preserve">  </w:t>
      </w:r>
    </w:p>
    <w:p w14:paraId="568FAFE3" w14:textId="77777777" w:rsidR="006C4BDE" w:rsidRDefault="006C4BDE" w:rsidP="00F326E5">
      <w:pPr>
        <w:pStyle w:val="NoSpacing"/>
        <w:rPr>
          <w:rFonts w:ascii="Arial Black" w:hAnsi="Arial Black"/>
          <w:sz w:val="24"/>
          <w:szCs w:val="24"/>
        </w:rPr>
      </w:pPr>
    </w:p>
    <w:p w14:paraId="5D05D398" w14:textId="77777777" w:rsidR="006C4BDE" w:rsidRDefault="006C4BDE" w:rsidP="00F326E5">
      <w:pPr>
        <w:pStyle w:val="NoSpacing"/>
        <w:rPr>
          <w:rFonts w:ascii="Arial Black" w:hAnsi="Arial Black"/>
          <w:sz w:val="24"/>
          <w:szCs w:val="24"/>
        </w:rPr>
      </w:pPr>
    </w:p>
    <w:p w14:paraId="632853AB" w14:textId="77777777" w:rsidR="006C4BDE" w:rsidRDefault="006C4BDE" w:rsidP="00F326E5">
      <w:pPr>
        <w:pStyle w:val="NoSpacing"/>
        <w:rPr>
          <w:rFonts w:ascii="Arial Black" w:hAnsi="Arial Black"/>
          <w:sz w:val="24"/>
          <w:szCs w:val="24"/>
        </w:rPr>
      </w:pPr>
    </w:p>
    <w:p w14:paraId="19DCDD72" w14:textId="26E61109" w:rsidR="0002742E" w:rsidRDefault="0002742E" w:rsidP="00F326E5">
      <w:pPr>
        <w:pStyle w:val="NoSpacing"/>
        <w:rPr>
          <w:rFonts w:ascii="Arial Black" w:hAnsi="Arial Black"/>
          <w:sz w:val="24"/>
          <w:szCs w:val="24"/>
        </w:rPr>
      </w:pPr>
      <w:r>
        <w:rPr>
          <w:rFonts w:ascii="Arial Black" w:hAnsi="Arial Black"/>
          <w:sz w:val="24"/>
          <w:szCs w:val="24"/>
        </w:rPr>
        <w:t>7-43</w:t>
      </w:r>
    </w:p>
    <w:p w14:paraId="4574BFBB" w14:textId="0AEF07FA" w:rsidR="0002742E" w:rsidRPr="008D7229" w:rsidRDefault="0002742E" w:rsidP="0002742E">
      <w:pPr>
        <w:pStyle w:val="NormalWeb"/>
        <w:rPr>
          <w:rFonts w:ascii="Arial Black" w:hAnsi="Arial Black"/>
          <w:sz w:val="28"/>
          <w:szCs w:val="28"/>
        </w:rPr>
      </w:pPr>
      <w:r>
        <w:rPr>
          <w:rFonts w:ascii="Arial Black" w:hAnsi="Arial Black"/>
          <w:sz w:val="28"/>
          <w:szCs w:val="28"/>
        </w:rPr>
        <w:t xml:space="preserve">GA: TRANSGENDER FIRE CHIEF – FIRED 18 MONTHS AFTER CHANGE - “AT WILL” - NO PROPERTY INTEREST IN JOB </w:t>
      </w:r>
    </w:p>
    <w:p w14:paraId="2AEC4698" w14:textId="77777777" w:rsidR="0002742E" w:rsidRDefault="0002742E" w:rsidP="0002742E">
      <w:pPr>
        <w:pStyle w:val="NormalWeb"/>
      </w:pPr>
      <w:r>
        <w:t xml:space="preserve">On April 18, 2022, in </w:t>
      </w:r>
      <w:r w:rsidRPr="008D7229">
        <w:rPr>
          <w:u w:val="single"/>
        </w:rPr>
        <w:t>Rachel Mosby v. City of Bryson, Georgia</w:t>
      </w:r>
      <w:r>
        <w:t>, the U.S. Court of Appeals for the 11</w:t>
      </w:r>
      <w:r w:rsidRPr="008D7229">
        <w:rPr>
          <w:vertAlign w:val="superscript"/>
        </w:rPr>
        <w:t>th</w:t>
      </w:r>
      <w:r>
        <w:t xml:space="preserve"> Circuit (Atlanta) held (3 to 0; unpublished decision) that the U.S. District Court properly granted summary judgment to the City on her claim of violation of Title VII and ADA [she alleged the City fired her for be transgender; fired 18 months after coming to work dressed as a female].  Mosby was the City of Byron's fire chief for eleven years before being terminated in 2019.  Her initial complaint to EEOC on June 28, </w:t>
      </w:r>
      <w:proofErr w:type="gramStart"/>
      <w:r>
        <w:t>2019</w:t>
      </w:r>
      <w:proofErr w:type="gramEnd"/>
      <w:r>
        <w:t xml:space="preserve"> failed include a sworn statement or notarized affirmation, and U.S. District Court Judge Tilman E. Self III dismissed the lawsuit on that basis. On appeal the 11 Circuit also rejected her claim that Mosby had a property interest in continued employment as the City's fire chief based on a "long-standing personnel policy" allowing department heads to appeal adverse employment actions. </w:t>
      </w:r>
      <w:hyperlink r:id="rId1440" w:history="1">
        <w:r w:rsidRPr="00463170">
          <w:rPr>
            <w:rStyle w:val="Hyperlink"/>
          </w:rPr>
          <w:t>https://media.ca11.uscourts.gov/opinions/unpub/files/202110377.pdf</w:t>
        </w:r>
      </w:hyperlink>
      <w:r>
        <w:t xml:space="preserve"> </w:t>
      </w:r>
    </w:p>
    <w:p w14:paraId="396D1ECD" w14:textId="77777777" w:rsidR="0002742E" w:rsidRPr="0079197C" w:rsidRDefault="0002742E" w:rsidP="0002742E">
      <w:pPr>
        <w:spacing w:before="100" w:beforeAutospacing="1" w:after="100" w:afterAutospacing="1" w:line="240" w:lineRule="auto"/>
        <w:rPr>
          <w:rFonts w:ascii="Times New Roman" w:eastAsia="Times New Roman" w:hAnsi="Times New Roman"/>
          <w:b/>
          <w:bCs/>
          <w:sz w:val="24"/>
          <w:szCs w:val="24"/>
        </w:rPr>
      </w:pPr>
      <w:r w:rsidRPr="009D459E">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“At will” employee, unless protected by “whistleblower” or other statute. </w:t>
      </w:r>
    </w:p>
    <w:p w14:paraId="2A437E9B" w14:textId="77777777" w:rsidR="0002742E" w:rsidRPr="00810D4A" w:rsidRDefault="0002742E" w:rsidP="0002742E">
      <w:pPr>
        <w:spacing w:before="100" w:beforeAutospacing="1" w:after="100" w:afterAutospacing="1" w:line="240" w:lineRule="auto"/>
        <w:ind w:left="720"/>
        <w:rPr>
          <w:rFonts w:ascii="Times New Roman" w:eastAsia="Times New Roman" w:hAnsi="Times New Roman"/>
          <w:b/>
          <w:bCs/>
          <w:sz w:val="24"/>
          <w:szCs w:val="24"/>
        </w:rPr>
      </w:pPr>
      <w:r w:rsidRPr="00810D4A">
        <w:rPr>
          <w:rFonts w:ascii="Times New Roman" w:eastAsia="Times New Roman" w:hAnsi="Times New Roman"/>
          <w:sz w:val="24"/>
          <w:szCs w:val="24"/>
        </w:rPr>
        <w:t>Note: See this article:</w:t>
      </w:r>
      <w:r w:rsidRPr="00810D4A">
        <w:rPr>
          <w:rFonts w:ascii="Times New Roman" w:eastAsia="Times New Roman" w:hAnsi="Times New Roman"/>
          <w:b/>
          <w:bCs/>
          <w:sz w:val="24"/>
          <w:szCs w:val="24"/>
        </w:rPr>
        <w:t xml:space="preserve"> </w:t>
      </w:r>
      <w:r w:rsidRPr="00810D4A">
        <w:rPr>
          <w:rFonts w:ascii="Times New Roman" w:hAnsi="Times New Roman"/>
          <w:sz w:val="24"/>
          <w:szCs w:val="24"/>
        </w:rPr>
        <w:t xml:space="preserve">See this article (Feb. 18, 2021): “Judge dismisses Georgia lawsuit by transgender fire chief.” </w:t>
      </w:r>
      <w:hyperlink r:id="rId1441" w:history="1">
        <w:r w:rsidRPr="00C37F44">
          <w:rPr>
            <w:rStyle w:val="Hyperlink"/>
            <w:rFonts w:ascii="Times New Roman" w:hAnsi="Times New Roman"/>
            <w:sz w:val="24"/>
            <w:szCs w:val="24"/>
          </w:rPr>
          <w:t>https://apnews.com/article/savannah-discrimination-lawsuits-georgia-courts-181c735cb3d5f318ea6a76e14d237b4a</w:t>
        </w:r>
      </w:hyperlink>
      <w:r>
        <w:rPr>
          <w:rFonts w:ascii="Times New Roman" w:hAnsi="Times New Roman"/>
          <w:sz w:val="24"/>
          <w:szCs w:val="24"/>
        </w:rPr>
        <w:t xml:space="preserve"> </w:t>
      </w:r>
    </w:p>
    <w:p w14:paraId="571FC5CA" w14:textId="77777777" w:rsidR="0002742E" w:rsidRDefault="0002742E" w:rsidP="00F326E5">
      <w:pPr>
        <w:pStyle w:val="NoSpacing"/>
        <w:rPr>
          <w:rFonts w:ascii="Arial Black" w:hAnsi="Arial Black"/>
          <w:sz w:val="24"/>
          <w:szCs w:val="24"/>
        </w:rPr>
      </w:pPr>
    </w:p>
    <w:p w14:paraId="23A48E16" w14:textId="77777777" w:rsidR="0002742E" w:rsidRDefault="0002742E" w:rsidP="00F326E5">
      <w:pPr>
        <w:pStyle w:val="NoSpacing"/>
        <w:rPr>
          <w:rFonts w:ascii="Arial Black" w:hAnsi="Arial Black"/>
          <w:sz w:val="24"/>
          <w:szCs w:val="24"/>
        </w:rPr>
      </w:pPr>
    </w:p>
    <w:p w14:paraId="23ECBA71" w14:textId="492821C6" w:rsidR="00727951" w:rsidRDefault="00727951" w:rsidP="00F326E5">
      <w:pPr>
        <w:pStyle w:val="NoSpacing"/>
        <w:rPr>
          <w:rFonts w:ascii="Arial Black" w:hAnsi="Arial Black"/>
          <w:sz w:val="24"/>
          <w:szCs w:val="24"/>
        </w:rPr>
      </w:pPr>
      <w:r>
        <w:rPr>
          <w:rFonts w:ascii="Arial Black" w:hAnsi="Arial Black"/>
          <w:sz w:val="24"/>
          <w:szCs w:val="24"/>
        </w:rPr>
        <w:t>7-42</w:t>
      </w:r>
    </w:p>
    <w:p w14:paraId="4D05FF46" w14:textId="77777777" w:rsidR="00727951" w:rsidRDefault="00727951" w:rsidP="007279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VA: FEMALE FIRE INSPECTOR – MADE COMPLAINT PASSED OVER PROMOTIONS – RETALIATION – CASE TO PROCEED</w:t>
      </w:r>
    </w:p>
    <w:p w14:paraId="7A1EECA1" w14:textId="77777777" w:rsidR="00727951" w:rsidRDefault="00727951" w:rsidP="00727951">
      <w:pPr>
        <w:spacing w:before="100" w:beforeAutospacing="1" w:after="100" w:afterAutospacing="1" w:line="240" w:lineRule="auto"/>
        <w:rPr>
          <w:rStyle w:val="Hyperlink"/>
          <w:rFonts w:ascii="Times New Roman" w:hAnsi="Times New Roman"/>
          <w:sz w:val="24"/>
          <w:szCs w:val="24"/>
        </w:rPr>
      </w:pPr>
      <w:r w:rsidRPr="00447DAF">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11, 2022, in </w:t>
      </w:r>
      <w:r w:rsidRPr="00447DAF">
        <w:rPr>
          <w:rFonts w:ascii="Times New Roman" w:eastAsia="Times New Roman" w:hAnsi="Times New Roman"/>
          <w:sz w:val="24"/>
          <w:szCs w:val="24"/>
          <w:u w:val="single"/>
        </w:rPr>
        <w:t>Karen Baka v, City of Norfolk, Virginia</w:t>
      </w:r>
      <w:r>
        <w:rPr>
          <w:rFonts w:ascii="Times New Roman" w:eastAsia="Times New Roman" w:hAnsi="Times New Roman"/>
          <w:sz w:val="24"/>
          <w:szCs w:val="24"/>
        </w:rPr>
        <w:t xml:space="preserve">, U.S. District Court Judge Raymond A. Jackson, U.S. District Court for Eastern District of Virginia (Norfolk Division) denied the City’s motion to dismiss this lawsuit by the plaintiff, who is a Fire Investigator in the Norfolk Fire Marshal’s Office and complained about being passed over for several promotions in retaliation for filing internal complaints with the City.  Another female Fire Investigator, who retired after 30 years, has filed a similar lawsuit. The Court referenced in  Footnote 1 a TV story about the alleged hostile workplace experience by the two Investigators. </w:t>
      </w:r>
      <w:hyperlink r:id="rId1442" w:history="1">
        <w:r w:rsidRPr="000247F2">
          <w:rPr>
            <w:rStyle w:val="Hyperlink"/>
            <w:rFonts w:ascii="Times New Roman" w:hAnsi="Times New Roman"/>
            <w:sz w:val="24"/>
            <w:szCs w:val="24"/>
          </w:rPr>
          <w:t>https://public.fastcase.com/waZtJvSA54UAurM2rmIZzzCYJhAha3GGo3AEN0d5yD5AXzBU0GIzy8sJKIx0m%2BEEHwIyJuWgbxH4Xd2BL4DW9aTliyBT6bOFBbV5rp7%2BS3s%3D</w:t>
        </w:r>
      </w:hyperlink>
    </w:p>
    <w:p w14:paraId="0F68D247" w14:textId="77777777" w:rsidR="00727951" w:rsidRDefault="00727951" w:rsidP="00727951">
      <w:pPr>
        <w:spacing w:before="100" w:beforeAutospacing="1" w:after="100" w:afterAutospacing="1" w:line="240" w:lineRule="auto"/>
        <w:ind w:left="720"/>
        <w:rPr>
          <w:rFonts w:ascii="Times New Roman" w:hAnsi="Times New Roman"/>
          <w:sz w:val="24"/>
          <w:szCs w:val="24"/>
        </w:rPr>
      </w:pPr>
      <w:r>
        <w:t>“</w:t>
      </w:r>
      <w:r w:rsidRPr="006539C7">
        <w:rPr>
          <w:rFonts w:ascii="Times New Roman" w:hAnsi="Times New Roman"/>
          <w:sz w:val="24"/>
          <w:szCs w:val="24"/>
        </w:rPr>
        <w:t xml:space="preserve">Defendant also claims that it is "immune from tort liability for governmental functions, absent an express waiver of such immunity." </w:t>
      </w:r>
      <w:proofErr w:type="spellStart"/>
      <w:r w:rsidRPr="006539C7">
        <w:rPr>
          <w:rFonts w:ascii="Times New Roman" w:hAnsi="Times New Roman"/>
          <w:sz w:val="24"/>
          <w:szCs w:val="24"/>
        </w:rPr>
        <w:t>Def.'s</w:t>
      </w:r>
      <w:proofErr w:type="spellEnd"/>
      <w:r w:rsidRPr="006539C7">
        <w:rPr>
          <w:rFonts w:ascii="Times New Roman" w:hAnsi="Times New Roman"/>
          <w:sz w:val="24"/>
          <w:szCs w:val="24"/>
        </w:rPr>
        <w:t xml:space="preserve"> Mem. Supp. at 4. Yet, the Supreme Court of Virginia in </w:t>
      </w:r>
      <w:r w:rsidRPr="006539C7">
        <w:rPr>
          <w:rStyle w:val="Emphasis"/>
          <w:rFonts w:ascii="Times New Roman" w:hAnsi="Times New Roman"/>
          <w:sz w:val="24"/>
          <w:szCs w:val="24"/>
        </w:rPr>
        <w:t>Massenburg -</w:t>
      </w:r>
      <w:r w:rsidRPr="006539C7">
        <w:rPr>
          <w:rFonts w:ascii="Times New Roman" w:hAnsi="Times New Roman"/>
          <w:sz w:val="24"/>
          <w:szCs w:val="24"/>
        </w:rPr>
        <w:t xml:space="preserve"> a case upon which Defendant relies - explicitly stated: </w:t>
      </w:r>
      <w:r>
        <w:rPr>
          <w:rFonts w:ascii="Times New Roman" w:hAnsi="Times New Roman"/>
          <w:sz w:val="24"/>
          <w:szCs w:val="24"/>
        </w:rPr>
        <w:t>‘</w:t>
      </w:r>
      <w:r w:rsidRPr="006539C7">
        <w:rPr>
          <w:rFonts w:ascii="Times New Roman" w:hAnsi="Times New Roman"/>
          <w:sz w:val="24"/>
          <w:szCs w:val="24"/>
        </w:rPr>
        <w:t>Unlike counties, which share fully in the sovereign's immunity from tort, whether a municipal corporation is entitled to sovereign immunity protection depends on the type of function it exercises when liability arises.</w:t>
      </w:r>
      <w:r>
        <w:rPr>
          <w:rFonts w:ascii="Times New Roman" w:hAnsi="Times New Roman"/>
          <w:sz w:val="24"/>
          <w:szCs w:val="24"/>
        </w:rPr>
        <w:t>’</w:t>
      </w:r>
      <w:r w:rsidRPr="006539C7">
        <w:rPr>
          <w:rFonts w:ascii="Times New Roman" w:hAnsi="Times New Roman"/>
          <w:sz w:val="24"/>
          <w:szCs w:val="24"/>
        </w:rPr>
        <w:t xml:space="preserve"> 298 Va. at 218 (2019). Indeed, Defendant's reliance on </w:t>
      </w:r>
      <w:r w:rsidRPr="006539C7">
        <w:rPr>
          <w:rStyle w:val="Emphasis"/>
          <w:rFonts w:ascii="Times New Roman" w:hAnsi="Times New Roman"/>
          <w:sz w:val="24"/>
          <w:szCs w:val="24"/>
        </w:rPr>
        <w:t>Ligon</w:t>
      </w:r>
      <w:r w:rsidRPr="006539C7">
        <w:rPr>
          <w:rFonts w:ascii="Times New Roman" w:hAnsi="Times New Roman"/>
          <w:sz w:val="24"/>
          <w:szCs w:val="24"/>
        </w:rPr>
        <w:t xml:space="preserve"> is misplaced because that case dealt specifically with a county employee who </w:t>
      </w:r>
      <w:proofErr w:type="gramStart"/>
      <w:r w:rsidRPr="006539C7">
        <w:rPr>
          <w:rFonts w:ascii="Times New Roman" w:hAnsi="Times New Roman"/>
          <w:sz w:val="24"/>
          <w:szCs w:val="24"/>
        </w:rPr>
        <w:t>brought suit against</w:t>
      </w:r>
      <w:proofErr w:type="gramEnd"/>
      <w:r w:rsidRPr="006539C7">
        <w:rPr>
          <w:rFonts w:ascii="Times New Roman" w:hAnsi="Times New Roman"/>
          <w:sz w:val="24"/>
          <w:szCs w:val="24"/>
        </w:rPr>
        <w:t xml:space="preserve"> the county for which he worked. </w:t>
      </w:r>
      <w:r w:rsidRPr="006539C7">
        <w:rPr>
          <w:rStyle w:val="Emphasis"/>
          <w:rFonts w:ascii="Times New Roman" w:hAnsi="Times New Roman"/>
          <w:sz w:val="24"/>
          <w:szCs w:val="24"/>
        </w:rPr>
        <w:t xml:space="preserve">See Ligon v. </w:t>
      </w:r>
      <w:proofErr w:type="spellStart"/>
      <w:r w:rsidRPr="006539C7">
        <w:rPr>
          <w:rStyle w:val="Emphasis"/>
          <w:rFonts w:ascii="Times New Roman" w:hAnsi="Times New Roman"/>
          <w:sz w:val="24"/>
          <w:szCs w:val="24"/>
        </w:rPr>
        <w:t>Cnty</w:t>
      </w:r>
      <w:proofErr w:type="spellEnd"/>
      <w:r w:rsidRPr="006539C7">
        <w:rPr>
          <w:rStyle w:val="Emphasis"/>
          <w:rFonts w:ascii="Times New Roman" w:hAnsi="Times New Roman"/>
          <w:sz w:val="24"/>
          <w:szCs w:val="24"/>
        </w:rPr>
        <w:t>. of Goochland,</w:t>
      </w:r>
      <w:r w:rsidRPr="006539C7">
        <w:rPr>
          <w:rFonts w:ascii="Times New Roman" w:hAnsi="Times New Roman"/>
          <w:sz w:val="24"/>
          <w:szCs w:val="24"/>
        </w:rPr>
        <w:t xml:space="preserve"> 279 Va. 312, 314 (2010). The </w:t>
      </w:r>
      <w:r w:rsidRPr="006539C7">
        <w:rPr>
          <w:rStyle w:val="Emphasis"/>
          <w:rFonts w:ascii="Times New Roman" w:hAnsi="Times New Roman"/>
          <w:sz w:val="24"/>
          <w:szCs w:val="24"/>
        </w:rPr>
        <w:t>Massenburg</w:t>
      </w:r>
      <w:r w:rsidRPr="006539C7">
        <w:rPr>
          <w:rFonts w:ascii="Times New Roman" w:hAnsi="Times New Roman"/>
          <w:sz w:val="24"/>
          <w:szCs w:val="24"/>
        </w:rPr>
        <w:t xml:space="preserve"> court made clear that counties enjoy immunity protections distinct from those enjoyed by municipalities. Defendant is a municipality, not the Commonwealth or one of its counties.</w:t>
      </w:r>
      <w:r>
        <w:rPr>
          <w:rFonts w:ascii="Times New Roman" w:hAnsi="Times New Roman"/>
          <w:sz w:val="24"/>
          <w:szCs w:val="24"/>
        </w:rPr>
        <w:t xml:space="preserve">’ </w:t>
      </w:r>
      <w:hyperlink r:id="rId1443" w:history="1">
        <w:r w:rsidRPr="000247F2">
          <w:rPr>
            <w:rStyle w:val="Hyperlink"/>
            <w:rFonts w:ascii="Times New Roman" w:hAnsi="Times New Roman"/>
            <w:sz w:val="24"/>
            <w:szCs w:val="24"/>
          </w:rPr>
          <w:t>https://public.fastcase.com/waZtJvSA54UAurM2rmIZzzCYJhAha3GGo3AEN0d5yD5AXzBU0GIzy8sJKIx0m%2BEEHwIyJuWgbxH4Xd2BL4DW9aTliyBT6bOFBbV5rp7%2BS3s%3D</w:t>
        </w:r>
      </w:hyperlink>
    </w:p>
    <w:p w14:paraId="0CF40B0E" w14:textId="77777777" w:rsidR="00727951" w:rsidRDefault="00727951" w:rsidP="0072795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Footnote 1: </w:t>
      </w:r>
      <w:r w:rsidRPr="003342D2">
        <w:rPr>
          <w:rStyle w:val="Emphasis"/>
          <w:rFonts w:ascii="Times New Roman" w:hAnsi="Times New Roman"/>
          <w:sz w:val="24"/>
          <w:szCs w:val="24"/>
        </w:rPr>
        <w:t>See</w:t>
      </w:r>
      <w:r w:rsidRPr="003342D2">
        <w:rPr>
          <w:rFonts w:ascii="Times New Roman" w:hAnsi="Times New Roman"/>
          <w:sz w:val="24"/>
          <w:szCs w:val="24"/>
        </w:rPr>
        <w:t xml:space="preserve"> Jason Marks, </w:t>
      </w:r>
      <w:r w:rsidRPr="003342D2">
        <w:rPr>
          <w:rStyle w:val="Emphasis"/>
          <w:rFonts w:ascii="Times New Roman" w:hAnsi="Times New Roman"/>
          <w:sz w:val="24"/>
          <w:szCs w:val="24"/>
        </w:rPr>
        <w:t>Special Report: Norfolk Under Fire for Treatment of Female Employees, WAVY.com</w:t>
      </w:r>
      <w:r w:rsidRPr="003342D2">
        <w:rPr>
          <w:rFonts w:ascii="Times New Roman" w:hAnsi="Times New Roman"/>
          <w:sz w:val="24"/>
          <w:szCs w:val="24"/>
        </w:rPr>
        <w:t xml:space="preserve"> (Oct. 24, 2019, 4:11 PM)</w:t>
      </w:r>
      <w:r>
        <w:rPr>
          <w:rFonts w:ascii="Times New Roman" w:hAnsi="Times New Roman"/>
          <w:sz w:val="24"/>
          <w:szCs w:val="24"/>
        </w:rPr>
        <w:t>….</w:t>
      </w:r>
      <w:r w:rsidRPr="003342D2">
        <w:rPr>
          <w:rFonts w:ascii="Times New Roman" w:hAnsi="Times New Roman"/>
          <w:sz w:val="24"/>
          <w:szCs w:val="24"/>
        </w:rPr>
        <w:t xml:space="preserve"> </w:t>
      </w:r>
    </w:p>
    <w:p w14:paraId="0958D754" w14:textId="77777777" w:rsidR="00727951" w:rsidRDefault="00727951" w:rsidP="0072795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 xml:space="preserve">[Watch the video and read the article.] </w:t>
      </w:r>
      <w:hyperlink r:id="rId1444" w:history="1">
        <w:r w:rsidRPr="00BA2523">
          <w:rPr>
            <w:rStyle w:val="Hyperlink"/>
            <w:rFonts w:ascii="Times New Roman" w:eastAsia="Times New Roman" w:hAnsi="Times New Roman"/>
            <w:sz w:val="24"/>
            <w:szCs w:val="24"/>
          </w:rPr>
          <w:t>https://www.wavy.com/news/local-news/norfolk/special-report-norfolk-under-fire-for-treatment-of-female-employees/</w:t>
        </w:r>
      </w:hyperlink>
      <w:r w:rsidRPr="003342D2">
        <w:rPr>
          <w:rFonts w:ascii="Times New Roman" w:eastAsia="Times New Roman" w:hAnsi="Times New Roman"/>
          <w:sz w:val="24"/>
          <w:szCs w:val="24"/>
        </w:rPr>
        <w:t xml:space="preserve"> </w:t>
      </w:r>
    </w:p>
    <w:p w14:paraId="304970AE" w14:textId="77777777" w:rsidR="00727951" w:rsidRDefault="00727951" w:rsidP="00727951">
      <w:pPr>
        <w:spacing w:before="100" w:beforeAutospacing="1" w:after="100" w:afterAutospacing="1" w:line="240" w:lineRule="auto"/>
        <w:ind w:left="720"/>
        <w:rPr>
          <w:rFonts w:ascii="Times New Roman" w:hAnsi="Times New Roman"/>
          <w:sz w:val="24"/>
          <w:szCs w:val="24"/>
        </w:rPr>
      </w:pPr>
      <w:r w:rsidRPr="003342D2">
        <w:rPr>
          <w:rFonts w:ascii="Times New Roman" w:hAnsi="Times New Roman"/>
          <w:sz w:val="24"/>
          <w:szCs w:val="24"/>
        </w:rPr>
        <w:t>NORFOLK, Va. (WAVY) – Humiliation and hostility.  That’s what two women claim happened to them in the Norfolk Fire Marshal’s Office.  The women feel they are treated differently than their male co-workers and are taking the city to court.</w:t>
      </w:r>
    </w:p>
    <w:p w14:paraId="0C74A1C6" w14:textId="77777777" w:rsidR="00727951" w:rsidRPr="007D487F" w:rsidRDefault="00727951" w:rsidP="00727951">
      <w:pPr>
        <w:spacing w:before="100" w:beforeAutospacing="1" w:after="100" w:afterAutospacing="1" w:line="240" w:lineRule="auto"/>
        <w:ind w:left="720"/>
        <w:rPr>
          <w:rFonts w:ascii="Times New Roman" w:eastAsia="Times New Roman" w:hAnsi="Times New Roman"/>
          <w:sz w:val="24"/>
          <w:szCs w:val="24"/>
        </w:rPr>
      </w:pPr>
      <w:r w:rsidRPr="007D487F">
        <w:rPr>
          <w:rFonts w:ascii="Times New Roman" w:eastAsia="Times New Roman" w:hAnsi="Times New Roman"/>
          <w:sz w:val="24"/>
          <w:szCs w:val="24"/>
        </w:rPr>
        <w:t>“Changes tend to happen when people pay attention to the problems,” said attorney Barry Montgomery.</w:t>
      </w:r>
      <w:r>
        <w:rPr>
          <w:rFonts w:ascii="Times New Roman" w:eastAsia="Times New Roman" w:hAnsi="Times New Roman"/>
          <w:sz w:val="24"/>
          <w:szCs w:val="24"/>
        </w:rPr>
        <w:t xml:space="preserve"> </w:t>
      </w:r>
      <w:r w:rsidRPr="007D487F">
        <w:rPr>
          <w:rFonts w:ascii="Times New Roman" w:eastAsia="Times New Roman" w:hAnsi="Times New Roman"/>
          <w:sz w:val="24"/>
          <w:szCs w:val="24"/>
        </w:rPr>
        <w:t>Montgomery is the attorney for the two women: Karen Baka, a current Norfolk Fire Marshal, and Karen Barnes, who retired from the Fire Marshal’s Office after 30 years of service.</w:t>
      </w:r>
      <w:r>
        <w:rPr>
          <w:rFonts w:ascii="Times New Roman" w:eastAsia="Times New Roman" w:hAnsi="Times New Roman"/>
          <w:sz w:val="24"/>
          <w:szCs w:val="24"/>
        </w:rPr>
        <w:t xml:space="preserve"> </w:t>
      </w:r>
      <w:r w:rsidRPr="007D487F">
        <w:rPr>
          <w:rFonts w:ascii="Times New Roman" w:eastAsia="Times New Roman" w:hAnsi="Times New Roman"/>
          <w:sz w:val="24"/>
          <w:szCs w:val="24"/>
        </w:rPr>
        <w:t>Baka, who has been with Norfolk Fire since 1985, says she has been overlooked on purpose for promotions.</w:t>
      </w:r>
      <w:r>
        <w:rPr>
          <w:rFonts w:ascii="Times New Roman" w:eastAsia="Times New Roman" w:hAnsi="Times New Roman"/>
          <w:sz w:val="24"/>
          <w:szCs w:val="24"/>
        </w:rPr>
        <w:t xml:space="preserve"> ‘</w:t>
      </w:r>
      <w:r w:rsidRPr="007D487F">
        <w:rPr>
          <w:rFonts w:ascii="Times New Roman" w:eastAsia="Times New Roman" w:hAnsi="Times New Roman"/>
          <w:sz w:val="24"/>
          <w:szCs w:val="24"/>
        </w:rPr>
        <w:t>One of her major complaints is failure to not get promoted,</w:t>
      </w:r>
      <w:r>
        <w:rPr>
          <w:rFonts w:ascii="Times New Roman" w:eastAsia="Times New Roman" w:hAnsi="Times New Roman"/>
          <w:sz w:val="24"/>
          <w:szCs w:val="24"/>
        </w:rPr>
        <w:t>’</w:t>
      </w:r>
      <w:r w:rsidRPr="007D487F">
        <w:rPr>
          <w:rFonts w:ascii="Times New Roman" w:eastAsia="Times New Roman" w:hAnsi="Times New Roman"/>
          <w:sz w:val="24"/>
          <w:szCs w:val="24"/>
        </w:rPr>
        <w:t xml:space="preserve"> Montgomery said.  “She filed for promotion three separate times for lieutenant and was denied each time.  The job went to male firefighters who did not have as much experience as she did.  She noticed that happened after she made her complaints.”</w:t>
      </w:r>
      <w:r>
        <w:rPr>
          <w:rFonts w:ascii="Times New Roman" w:eastAsia="Times New Roman" w:hAnsi="Times New Roman"/>
          <w:sz w:val="24"/>
          <w:szCs w:val="24"/>
        </w:rPr>
        <w:t xml:space="preserve"> </w:t>
      </w:r>
      <w:r w:rsidRPr="007D487F">
        <w:rPr>
          <w:rFonts w:ascii="Times New Roman" w:eastAsia="Times New Roman" w:hAnsi="Times New Roman"/>
          <w:sz w:val="24"/>
          <w:szCs w:val="24"/>
        </w:rPr>
        <w:t xml:space="preserve">Barnes, who retired as a lieutenant, says she felt threatened, humiliated and picked on by her boss.  She was told at times that if she went behind his </w:t>
      </w:r>
      <w:proofErr w:type="gramStart"/>
      <w:r w:rsidRPr="007D487F">
        <w:rPr>
          <w:rFonts w:ascii="Times New Roman" w:eastAsia="Times New Roman" w:hAnsi="Times New Roman"/>
          <w:sz w:val="24"/>
          <w:szCs w:val="24"/>
        </w:rPr>
        <w:t>back</w:t>
      </w:r>
      <w:proofErr w:type="gramEnd"/>
      <w:r w:rsidRPr="007D487F">
        <w:rPr>
          <w:rFonts w:ascii="Times New Roman" w:eastAsia="Times New Roman" w:hAnsi="Times New Roman"/>
          <w:sz w:val="24"/>
          <w:szCs w:val="24"/>
        </w:rPr>
        <w:t xml:space="preserve"> she would feel his wrath.</w:t>
      </w:r>
      <w:r>
        <w:rPr>
          <w:rFonts w:ascii="Times New Roman" w:eastAsia="Times New Roman" w:hAnsi="Times New Roman"/>
          <w:sz w:val="24"/>
          <w:szCs w:val="24"/>
        </w:rPr>
        <w:t>”</w:t>
      </w:r>
    </w:p>
    <w:p w14:paraId="37C43A5F" w14:textId="77777777" w:rsidR="00727951" w:rsidRPr="006539C7" w:rsidRDefault="00727951" w:rsidP="00727951">
      <w:pPr>
        <w:spacing w:before="100" w:beforeAutospacing="1" w:after="100" w:afterAutospacing="1" w:line="240" w:lineRule="auto"/>
        <w:rPr>
          <w:rFonts w:ascii="Times New Roman" w:eastAsia="Times New Roman" w:hAnsi="Times New Roman"/>
          <w:b/>
          <w:bCs/>
          <w:sz w:val="24"/>
          <w:szCs w:val="24"/>
        </w:rPr>
      </w:pPr>
      <w:r w:rsidRPr="006539C7">
        <w:rPr>
          <w:rFonts w:ascii="Times New Roman" w:hAnsi="Times New Roman"/>
          <w:b/>
          <w:bCs/>
          <w:sz w:val="24"/>
          <w:szCs w:val="24"/>
        </w:rPr>
        <w:t>Legal Lesson Learned:</w:t>
      </w:r>
      <w:r>
        <w:rPr>
          <w:rFonts w:ascii="Times New Roman" w:hAnsi="Times New Roman"/>
          <w:b/>
          <w:bCs/>
          <w:sz w:val="24"/>
          <w:szCs w:val="24"/>
        </w:rPr>
        <w:t xml:space="preserve"> Claims of retaliation, particularly after an internal complaint of hostile workplace has been submitted to the employer, can be difficult to defend before a jury. </w:t>
      </w:r>
    </w:p>
    <w:p w14:paraId="7E001876" w14:textId="77777777" w:rsidR="00727951" w:rsidRDefault="00727951" w:rsidP="00727951">
      <w:pPr>
        <w:pStyle w:val="Heading1"/>
        <w:ind w:left="720"/>
        <w:rPr>
          <w:b w:val="0"/>
          <w:bCs w:val="0"/>
          <w:sz w:val="24"/>
          <w:szCs w:val="24"/>
        </w:rPr>
      </w:pPr>
      <w:r w:rsidRPr="00FF3DE1">
        <w:rPr>
          <w:b w:val="0"/>
          <w:bCs w:val="0"/>
          <w:sz w:val="24"/>
          <w:szCs w:val="24"/>
        </w:rPr>
        <w:t xml:space="preserve">Note: </w:t>
      </w:r>
      <w:r>
        <w:rPr>
          <w:b w:val="0"/>
          <w:bCs w:val="0"/>
          <w:sz w:val="24"/>
          <w:szCs w:val="24"/>
        </w:rPr>
        <w:t xml:space="preserve">Reportedly, plaintiff settled a prior lawsuit against the </w:t>
      </w:r>
      <w:proofErr w:type="gramStart"/>
      <w:r>
        <w:rPr>
          <w:b w:val="0"/>
          <w:bCs w:val="0"/>
          <w:sz w:val="24"/>
          <w:szCs w:val="24"/>
        </w:rPr>
        <w:t>City</w:t>
      </w:r>
      <w:proofErr w:type="gramEnd"/>
      <w:r>
        <w:rPr>
          <w:b w:val="0"/>
          <w:bCs w:val="0"/>
          <w:sz w:val="24"/>
          <w:szCs w:val="24"/>
        </w:rPr>
        <w:t xml:space="preserve"> for $87,000. </w:t>
      </w:r>
    </w:p>
    <w:p w14:paraId="64B771C8" w14:textId="77777777" w:rsidR="00727951" w:rsidRPr="00FF3DE1" w:rsidRDefault="00727951" w:rsidP="00727951">
      <w:pPr>
        <w:pStyle w:val="Heading1"/>
        <w:ind w:left="720"/>
        <w:rPr>
          <w:b w:val="0"/>
          <w:bCs w:val="0"/>
          <w:sz w:val="24"/>
          <w:szCs w:val="24"/>
        </w:rPr>
      </w:pPr>
      <w:r>
        <w:rPr>
          <w:b w:val="0"/>
          <w:bCs w:val="0"/>
          <w:sz w:val="24"/>
          <w:szCs w:val="24"/>
        </w:rPr>
        <w:t xml:space="preserve">See </w:t>
      </w:r>
      <w:r w:rsidRPr="00FF3DE1">
        <w:rPr>
          <w:b w:val="0"/>
          <w:bCs w:val="0"/>
          <w:sz w:val="24"/>
          <w:szCs w:val="24"/>
        </w:rPr>
        <w:t xml:space="preserve">March 13, </w:t>
      </w:r>
      <w:proofErr w:type="gramStart"/>
      <w:r w:rsidRPr="00FF3DE1">
        <w:rPr>
          <w:b w:val="0"/>
          <w:bCs w:val="0"/>
          <w:sz w:val="24"/>
          <w:szCs w:val="24"/>
        </w:rPr>
        <w:t>2022</w:t>
      </w:r>
      <w:proofErr w:type="gramEnd"/>
      <w:r>
        <w:rPr>
          <w:b w:val="0"/>
          <w:bCs w:val="0"/>
          <w:sz w:val="24"/>
          <w:szCs w:val="24"/>
        </w:rPr>
        <w:t xml:space="preserve"> article</w:t>
      </w:r>
      <w:r w:rsidRPr="00FF3DE1">
        <w:rPr>
          <w:b w:val="0"/>
          <w:bCs w:val="0"/>
          <w:sz w:val="24"/>
          <w:szCs w:val="24"/>
        </w:rPr>
        <w:t>.</w:t>
      </w:r>
      <w:r>
        <w:rPr>
          <w:sz w:val="24"/>
          <w:szCs w:val="24"/>
        </w:rPr>
        <w:t xml:space="preserve"> “</w:t>
      </w:r>
      <w:r w:rsidRPr="00FF3DE1">
        <w:rPr>
          <w:b w:val="0"/>
          <w:bCs w:val="0"/>
          <w:sz w:val="24"/>
          <w:szCs w:val="24"/>
        </w:rPr>
        <w:t xml:space="preserve">Court Refuses to Dismiss State Law Claims in Norfolk Retaliation Suit.” </w:t>
      </w:r>
      <w:hyperlink r:id="rId1445" w:history="1">
        <w:r w:rsidRPr="000247F2">
          <w:rPr>
            <w:rStyle w:val="Hyperlink"/>
            <w:rFonts w:eastAsiaTheme="majorEastAsia"/>
            <w:b w:val="0"/>
            <w:bCs w:val="0"/>
            <w:sz w:val="24"/>
            <w:szCs w:val="24"/>
          </w:rPr>
          <w:t>https://www.firelawblog.com/2022/03/13/court-refuses-to-dismiss-state-law-claims-in-norfolk-retaliation-suit/</w:t>
        </w:r>
      </w:hyperlink>
      <w:r>
        <w:rPr>
          <w:b w:val="0"/>
          <w:bCs w:val="0"/>
          <w:sz w:val="24"/>
          <w:szCs w:val="24"/>
        </w:rPr>
        <w:t xml:space="preserve"> </w:t>
      </w:r>
    </w:p>
    <w:p w14:paraId="6C94FCDD" w14:textId="77777777" w:rsidR="00727951" w:rsidRDefault="00727951" w:rsidP="00727951">
      <w:pPr>
        <w:pStyle w:val="NormalWeb"/>
        <w:ind w:left="1440"/>
      </w:pPr>
      <w:r>
        <w:t>The US District Court for the Eastern District of Virginia has refused to dismiss the state law claims of a fire investigator with Norfolk Fire-Rescue who alleges sexual harassment, discrimination, retaliation, and violation of Virginia’s Whistleblower Protection Act.</w:t>
      </w:r>
    </w:p>
    <w:p w14:paraId="2AB5AA1D" w14:textId="77777777" w:rsidR="00727951" w:rsidRDefault="00727951" w:rsidP="00727951">
      <w:pPr>
        <w:pStyle w:val="NormalWeb"/>
        <w:ind w:left="1440"/>
      </w:pPr>
      <w:r>
        <w:t xml:space="preserve">Karen Baka filed the suit last year. It was her second suit against the city. Baka had previously filed a gender discrimination suit in 2019. That suit ultimately settled for $87,000. </w:t>
      </w:r>
    </w:p>
    <w:p w14:paraId="68768599" w14:textId="77777777" w:rsidR="00E3473F" w:rsidRDefault="00E3473F" w:rsidP="00F326E5">
      <w:pPr>
        <w:pStyle w:val="NoSpacing"/>
        <w:rPr>
          <w:rFonts w:ascii="Arial Black" w:hAnsi="Arial Black"/>
          <w:sz w:val="24"/>
          <w:szCs w:val="24"/>
        </w:rPr>
      </w:pPr>
    </w:p>
    <w:p w14:paraId="24BCAEE5" w14:textId="4D704E3E" w:rsidR="00727951" w:rsidRDefault="00727951" w:rsidP="00F326E5">
      <w:pPr>
        <w:pStyle w:val="NoSpacing"/>
        <w:rPr>
          <w:rFonts w:ascii="Arial Black" w:hAnsi="Arial Black"/>
          <w:sz w:val="24"/>
          <w:szCs w:val="24"/>
        </w:rPr>
      </w:pPr>
      <w:r>
        <w:rPr>
          <w:rFonts w:ascii="Arial Black" w:hAnsi="Arial Black"/>
          <w:sz w:val="24"/>
          <w:szCs w:val="24"/>
        </w:rPr>
        <w:t xml:space="preserve">7-41 </w:t>
      </w:r>
      <w:r w:rsidRPr="00E3473F">
        <w:rPr>
          <w:rFonts w:ascii="Times New Roman" w:hAnsi="Times New Roman"/>
          <w:sz w:val="24"/>
          <w:szCs w:val="24"/>
        </w:rPr>
        <w:t>[also filed, Chap. 18]</w:t>
      </w:r>
    </w:p>
    <w:p w14:paraId="5155AF29" w14:textId="5F2DA151" w:rsidR="00727951" w:rsidRDefault="00727951" w:rsidP="00F326E5">
      <w:pPr>
        <w:pStyle w:val="NoSpacing"/>
        <w:rPr>
          <w:rFonts w:ascii="Arial Black" w:hAnsi="Arial Black"/>
          <w:sz w:val="24"/>
          <w:szCs w:val="24"/>
        </w:rPr>
      </w:pPr>
    </w:p>
    <w:p w14:paraId="35ADCEBE" w14:textId="77777777" w:rsidR="00727951" w:rsidRPr="00D61E07" w:rsidRDefault="00727951" w:rsidP="00727951">
      <w:pPr>
        <w:pStyle w:val="Heading1"/>
        <w:rPr>
          <w:rFonts w:ascii="Arial Black" w:hAnsi="Arial Black"/>
          <w:sz w:val="28"/>
          <w:szCs w:val="28"/>
        </w:rPr>
      </w:pPr>
      <w:r>
        <w:rPr>
          <w:rFonts w:ascii="Arial Black" w:hAnsi="Arial Black"/>
          <w:sz w:val="28"/>
          <w:szCs w:val="28"/>
        </w:rPr>
        <w:t>DC: SEXUAL HARASSMENT OR ASSAULT – NEW FEDERAL LAW - INVALID EMPLOYEE MANDATORY ARBITRATIONS</w:t>
      </w:r>
    </w:p>
    <w:p w14:paraId="67E11E85" w14:textId="77777777" w:rsidR="00727951" w:rsidRPr="00D61E0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On March 3, 2022, President Biden signed into law the “</w:t>
      </w:r>
      <w:r w:rsidRPr="00D61E07">
        <w:rPr>
          <w:rFonts w:ascii="Times New Roman" w:hAnsi="Times New Roman"/>
          <w:sz w:val="24"/>
          <w:szCs w:val="24"/>
        </w:rPr>
        <w:t>Ending Forced Arbitration of Sexual Assault and Sexual Harassment Act</w:t>
      </w:r>
      <w:r>
        <w:rPr>
          <w:rFonts w:ascii="Times New Roman" w:hAnsi="Times New Roman"/>
          <w:sz w:val="24"/>
          <w:szCs w:val="24"/>
        </w:rPr>
        <w:t xml:space="preserve">.”  The law amends the Federal Arbitration Act to prohibit mandatory arbitration of sexual harassment and sexual assault claims in arbitration agreements. </w:t>
      </w:r>
      <w:hyperlink r:id="rId1446" w:history="1">
        <w:r w:rsidRPr="005A2A16">
          <w:rPr>
            <w:rStyle w:val="Hyperlink"/>
            <w:rFonts w:ascii="Times New Roman" w:eastAsia="Times New Roman" w:hAnsi="Times New Roman"/>
            <w:sz w:val="24"/>
            <w:szCs w:val="24"/>
          </w:rPr>
          <w:t>https://www.congress.gov/bill/117th-congress/house-bill/4445/text</w:t>
        </w:r>
      </w:hyperlink>
    </w:p>
    <w:p w14:paraId="425CC9CE" w14:textId="77777777" w:rsidR="00727951" w:rsidRPr="00AD366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p w14:paraId="7CB6B67A" w14:textId="77777777" w:rsidR="00727951" w:rsidRPr="00BC5C71" w:rsidRDefault="00727951" w:rsidP="00727951">
      <w:pPr>
        <w:pStyle w:val="ListParagraph"/>
        <w:numPr>
          <w:ilvl w:val="0"/>
          <w:numId w:val="14"/>
        </w:numPr>
        <w:tabs>
          <w:tab w:val="left" w:pos="916"/>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C5C71">
        <w:rPr>
          <w:rFonts w:ascii="Times New Roman" w:eastAsia="Times New Roman" w:hAnsi="Times New Roman" w:cs="Times New Roman"/>
          <w:sz w:val="24"/>
          <w:szCs w:val="24"/>
        </w:rPr>
        <w:t xml:space="preserve">In General - Notwithstanding any other provision of this title, at the election of the person alleging conduct constituting a sexual harassment dispute or sexual assault dispute, or the named representative of a class or in a collective action alleging such conduct, no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arbitration agreement or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joint-action waiver shall be valid or enforceable with respect to a case which is filed under Federal, Tribal, or State law and relates to the sexual assault dispute or the sexual harassment dispute.</w:t>
      </w:r>
    </w:p>
    <w:p w14:paraId="088373F0" w14:textId="77777777" w:rsidR="00727951" w:rsidRDefault="00727951" w:rsidP="00727951">
      <w:pPr>
        <w:pStyle w:val="HTMLPreformatted"/>
        <w:jc w:val="both"/>
        <w:rPr>
          <w:rFonts w:ascii="Times New Roman" w:hAnsi="Times New Roman" w:cs="Times New Roman"/>
          <w:sz w:val="24"/>
          <w:szCs w:val="24"/>
        </w:rPr>
      </w:pPr>
    </w:p>
    <w:p w14:paraId="36037D5A" w14:textId="77777777" w:rsidR="00727951" w:rsidRPr="002D6970" w:rsidRDefault="00727951" w:rsidP="00727951">
      <w:pPr>
        <w:pStyle w:val="HTMLPreformatted"/>
        <w:numPr>
          <w:ilvl w:val="0"/>
          <w:numId w:val="14"/>
        </w:numPr>
        <w:jc w:val="both"/>
        <w:rPr>
          <w:rFonts w:ascii="Times New Roman" w:hAnsi="Times New Roman" w:cs="Times New Roman"/>
          <w:sz w:val="24"/>
          <w:szCs w:val="24"/>
        </w:rPr>
      </w:pPr>
      <w:r w:rsidRPr="002D6970">
        <w:rPr>
          <w:rFonts w:ascii="Times New Roman" w:hAnsi="Times New Roman" w:cs="Times New Roman"/>
          <w:sz w:val="24"/>
          <w:szCs w:val="24"/>
        </w:rPr>
        <w:t>Determination of Applicability. An issue as to whether this chapter applies with respect to a dispute shall be determined under Federal law. The applicability of this chapter to an agreement to arbitrate and the validity and enforceability of an agreement to which this chapter applies shall be determined by a court, rather than an arbitrator, irrespective of whether the party resisting arbitration challenges the arbitration agreement specifically or in conjunction with other terms of the contract containing such agreement, and irrespective of whether the agreement purports to delegate such determinations to an arbitrator.''</w:t>
      </w:r>
    </w:p>
    <w:p w14:paraId="3EECC441" w14:textId="77777777" w:rsidR="00727951" w:rsidRPr="00D61E0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sz w:val="24"/>
          <w:szCs w:val="24"/>
        </w:rPr>
      </w:pPr>
      <w:hyperlink r:id="rId1447" w:history="1">
        <w:r w:rsidRPr="005A2A16">
          <w:rPr>
            <w:rStyle w:val="Hyperlink"/>
            <w:rFonts w:ascii="Times New Roman" w:eastAsia="Times New Roman" w:hAnsi="Times New Roman"/>
            <w:sz w:val="24"/>
            <w:szCs w:val="24"/>
          </w:rPr>
          <w:t>https://www.congress.gov/bill/117th-congress/house-bill/4445/text</w:t>
        </w:r>
      </w:hyperlink>
    </w:p>
    <w:p w14:paraId="1C31D44C" w14:textId="77777777" w:rsidR="00727951" w:rsidRDefault="00727951" w:rsidP="00727951">
      <w:pPr>
        <w:pStyle w:val="Heading1"/>
        <w:rPr>
          <w:sz w:val="24"/>
          <w:szCs w:val="24"/>
        </w:rPr>
      </w:pPr>
      <w:r w:rsidRPr="002D6970">
        <w:rPr>
          <w:sz w:val="24"/>
          <w:szCs w:val="24"/>
        </w:rPr>
        <w:t xml:space="preserve">Legal Lesson Learned: </w:t>
      </w:r>
      <w:r>
        <w:rPr>
          <w:sz w:val="24"/>
          <w:szCs w:val="24"/>
        </w:rPr>
        <w:t xml:space="preserve">Fire &amp; EMS departments should review their Employee Handbooks and other documents and remove any provision requiring arbitration for claims of sexual harassment or sexual assault. </w:t>
      </w:r>
    </w:p>
    <w:p w14:paraId="3EAA238D" w14:textId="77777777" w:rsidR="00727951" w:rsidRDefault="00727951" w:rsidP="00727951">
      <w:pPr>
        <w:pStyle w:val="Heading1"/>
        <w:ind w:left="720"/>
        <w:rPr>
          <w:b w:val="0"/>
          <w:bCs w:val="0"/>
          <w:sz w:val="24"/>
          <w:szCs w:val="24"/>
        </w:rPr>
      </w:pPr>
      <w:r>
        <w:rPr>
          <w:b w:val="0"/>
          <w:bCs w:val="0"/>
          <w:sz w:val="24"/>
          <w:szCs w:val="24"/>
        </w:rPr>
        <w:t xml:space="preserve">Note:  </w:t>
      </w:r>
    </w:p>
    <w:p w14:paraId="2022BE0D" w14:textId="77777777" w:rsidR="00727951" w:rsidRPr="00AD3667" w:rsidRDefault="00727951" w:rsidP="00727951">
      <w:pPr>
        <w:pStyle w:val="Heading2"/>
        <w:ind w:left="720"/>
        <w:rPr>
          <w:rFonts w:ascii="Times New Roman" w:hAnsi="Times New Roman"/>
          <w:sz w:val="24"/>
          <w:szCs w:val="24"/>
        </w:rPr>
      </w:pPr>
      <w:r w:rsidRPr="00AD3667">
        <w:rPr>
          <w:rFonts w:ascii="Times New Roman" w:hAnsi="Times New Roman"/>
          <w:sz w:val="24"/>
          <w:szCs w:val="24"/>
        </w:rPr>
        <w:t xml:space="preserve">March 28, 2022: </w:t>
      </w:r>
      <w:r>
        <w:rPr>
          <w:rFonts w:ascii="Times New Roman" w:hAnsi="Times New Roman"/>
          <w:sz w:val="24"/>
          <w:szCs w:val="24"/>
        </w:rPr>
        <w:t>“</w:t>
      </w:r>
      <w:r w:rsidRPr="00AD3667">
        <w:rPr>
          <w:rFonts w:ascii="Times New Roman" w:hAnsi="Times New Roman"/>
          <w:sz w:val="24"/>
          <w:szCs w:val="24"/>
        </w:rPr>
        <w:t>Moving Away from Mandatory Arbitration Over Sexual Assault and Harassment Claims</w:t>
      </w:r>
      <w:r>
        <w:rPr>
          <w:rFonts w:ascii="Times New Roman" w:hAnsi="Times New Roman"/>
          <w:sz w:val="24"/>
          <w:szCs w:val="24"/>
        </w:rPr>
        <w:t xml:space="preserve">.” </w:t>
      </w:r>
      <w:hyperlink r:id="rId1448" w:history="1">
        <w:r w:rsidRPr="007C2998">
          <w:rPr>
            <w:rStyle w:val="Hyperlink"/>
            <w:rFonts w:ascii="Times New Roman" w:hAnsi="Times New Roman"/>
            <w:sz w:val="24"/>
            <w:szCs w:val="24"/>
          </w:rPr>
          <w:t>https://fisheldowney.com/moving-away-mandatory-arbitration-sexual-assault-harassment-claims/</w:t>
        </w:r>
      </w:hyperlink>
      <w:r>
        <w:rPr>
          <w:rFonts w:ascii="Times New Roman" w:hAnsi="Times New Roman"/>
          <w:sz w:val="24"/>
          <w:szCs w:val="24"/>
        </w:rPr>
        <w:t xml:space="preserve"> </w:t>
      </w:r>
    </w:p>
    <w:p w14:paraId="6FE1CCCA" w14:textId="77777777" w:rsidR="00727951" w:rsidRPr="00AD3667" w:rsidRDefault="00727951" w:rsidP="00727951">
      <w:pPr>
        <w:pStyle w:val="Heading1"/>
        <w:ind w:left="1440"/>
        <w:rPr>
          <w:b w:val="0"/>
          <w:bCs w:val="0"/>
          <w:sz w:val="24"/>
          <w:szCs w:val="24"/>
        </w:rPr>
      </w:pPr>
      <w:r>
        <w:rPr>
          <w:b w:val="0"/>
          <w:bCs w:val="0"/>
          <w:sz w:val="24"/>
          <w:szCs w:val="24"/>
        </w:rPr>
        <w:t>“</w:t>
      </w:r>
      <w:r w:rsidRPr="00AD3667">
        <w:rPr>
          <w:b w:val="0"/>
          <w:bCs w:val="0"/>
          <w:sz w:val="24"/>
          <w:szCs w:val="24"/>
        </w:rPr>
        <w:t xml:space="preserve">Given these changes to the FAA, it is critical for employers to review their arbitration agreements and remove any language indicating sexual assault or harassment claims must be arbitrated. The existence of such provisions could invalidate the agreement </w:t>
      </w:r>
      <w:proofErr w:type="gramStart"/>
      <w:r w:rsidRPr="00AD3667">
        <w:rPr>
          <w:b w:val="0"/>
          <w:bCs w:val="0"/>
          <w:sz w:val="24"/>
          <w:szCs w:val="24"/>
        </w:rPr>
        <w:t>in whole</w:t>
      </w:r>
      <w:proofErr w:type="gramEnd"/>
      <w:r w:rsidRPr="00AD3667">
        <w:rPr>
          <w:b w:val="0"/>
          <w:bCs w:val="0"/>
          <w:sz w:val="24"/>
          <w:szCs w:val="24"/>
        </w:rPr>
        <w:t xml:space="preserve"> or in part. In addition to revising the arbitration agreement provisions in the employee handbook or collective bargaining agreement, employers should also tighten their procedures and requirements for investigating and reporting sexual harassment and assault to avoid liability. In terms of reporting procedures, employers should have clearly defined persons of contact for reporting.</w:t>
      </w:r>
      <w:r>
        <w:rPr>
          <w:b w:val="0"/>
          <w:bCs w:val="0"/>
          <w:sz w:val="24"/>
          <w:szCs w:val="24"/>
        </w:rPr>
        <w:t>”</w:t>
      </w:r>
    </w:p>
    <w:p w14:paraId="447A59F1" w14:textId="77777777" w:rsidR="00727951" w:rsidRDefault="00727951" w:rsidP="00727951">
      <w:pPr>
        <w:pStyle w:val="Heading1"/>
        <w:ind w:left="720"/>
        <w:rPr>
          <w:b w:val="0"/>
          <w:bCs w:val="0"/>
          <w:sz w:val="24"/>
          <w:szCs w:val="24"/>
        </w:rPr>
      </w:pPr>
      <w:r w:rsidRPr="002D6970">
        <w:rPr>
          <w:b w:val="0"/>
          <w:bCs w:val="0"/>
          <w:sz w:val="24"/>
          <w:szCs w:val="24"/>
        </w:rPr>
        <w:t xml:space="preserve">March 3, 2022: “Biden signs bill to end forced arbitration in sexual harassment, assault cases.” </w:t>
      </w:r>
      <w:hyperlink r:id="rId1449" w:history="1">
        <w:r w:rsidRPr="005A2A16">
          <w:rPr>
            <w:rStyle w:val="Hyperlink"/>
            <w:rFonts w:eastAsiaTheme="majorEastAsia"/>
            <w:b w:val="0"/>
            <w:bCs w:val="0"/>
            <w:sz w:val="24"/>
            <w:szCs w:val="24"/>
          </w:rPr>
          <w:t>https://www.kktv.com/2022/03/03/biden-sign-bill-ending-forced-arbitration-sexual-harassment-assault-cases/</w:t>
        </w:r>
      </w:hyperlink>
    </w:p>
    <w:p w14:paraId="24D9566F" w14:textId="77777777" w:rsidR="00727951" w:rsidRPr="002D6970" w:rsidRDefault="00727951" w:rsidP="00727951">
      <w:pPr>
        <w:pStyle w:val="Heading1"/>
        <w:ind w:left="1440"/>
        <w:rPr>
          <w:b w:val="0"/>
          <w:bCs w:val="0"/>
          <w:sz w:val="24"/>
          <w:szCs w:val="24"/>
        </w:rPr>
      </w:pPr>
      <w:r w:rsidRPr="00E42A32">
        <w:rPr>
          <w:b w:val="0"/>
          <w:bCs w:val="0"/>
          <w:sz w:val="24"/>
          <w:szCs w:val="24"/>
        </w:rPr>
        <w:t xml:space="preserve">The law is retroactive, freeing individuals who have been bound by </w:t>
      </w:r>
      <w:proofErr w:type="gramStart"/>
      <w:r w:rsidRPr="00E42A32">
        <w:rPr>
          <w:b w:val="0"/>
          <w:bCs w:val="0"/>
          <w:sz w:val="24"/>
          <w:szCs w:val="24"/>
        </w:rPr>
        <w:t>arbitration language</w:t>
      </w:r>
      <w:proofErr w:type="gramEnd"/>
      <w:r w:rsidRPr="00E42A32">
        <w:rPr>
          <w:b w:val="0"/>
          <w:bCs w:val="0"/>
          <w:sz w:val="24"/>
          <w:szCs w:val="24"/>
        </w:rPr>
        <w:t xml:space="preserve"> to pursue legal action against their harassers.</w:t>
      </w:r>
      <w:r>
        <w:rPr>
          <w:b w:val="0"/>
          <w:bCs w:val="0"/>
          <w:sz w:val="24"/>
          <w:szCs w:val="24"/>
        </w:rPr>
        <w:t xml:space="preserve"> </w:t>
      </w:r>
    </w:p>
    <w:p w14:paraId="40D598AC" w14:textId="77777777" w:rsidR="00727951" w:rsidRPr="00E42A32" w:rsidRDefault="00727951" w:rsidP="00727951">
      <w:pPr>
        <w:pStyle w:val="Heading1"/>
        <w:ind w:left="720"/>
        <w:rPr>
          <w:b w:val="0"/>
          <w:bCs w:val="0"/>
          <w:sz w:val="24"/>
          <w:szCs w:val="24"/>
        </w:rPr>
      </w:pPr>
      <w:r>
        <w:rPr>
          <w:b w:val="0"/>
          <w:bCs w:val="0"/>
          <w:sz w:val="24"/>
          <w:szCs w:val="24"/>
        </w:rPr>
        <w:t>March 1, 2022: “</w:t>
      </w:r>
      <w:r w:rsidRPr="00E42A32">
        <w:rPr>
          <w:b w:val="0"/>
          <w:bCs w:val="0"/>
          <w:sz w:val="24"/>
          <w:szCs w:val="24"/>
        </w:rPr>
        <w:t xml:space="preserve">Congress Votes </w:t>
      </w:r>
      <w:proofErr w:type="gramStart"/>
      <w:r w:rsidRPr="00E42A32">
        <w:rPr>
          <w:b w:val="0"/>
          <w:bCs w:val="0"/>
          <w:sz w:val="24"/>
          <w:szCs w:val="24"/>
        </w:rPr>
        <w:t>To</w:t>
      </w:r>
      <w:proofErr w:type="gramEnd"/>
      <w:r w:rsidRPr="00E42A32">
        <w:rPr>
          <w:b w:val="0"/>
          <w:bCs w:val="0"/>
          <w:sz w:val="24"/>
          <w:szCs w:val="24"/>
        </w:rPr>
        <w:t xml:space="preserve"> End Mandatory Arbitration </w:t>
      </w:r>
      <w:proofErr w:type="gramStart"/>
      <w:r w:rsidRPr="00E42A32">
        <w:rPr>
          <w:b w:val="0"/>
          <w:bCs w:val="0"/>
          <w:sz w:val="24"/>
          <w:szCs w:val="24"/>
        </w:rPr>
        <w:t>Of</w:t>
      </w:r>
      <w:proofErr w:type="gramEnd"/>
      <w:r w:rsidRPr="00E42A32">
        <w:rPr>
          <w:b w:val="0"/>
          <w:bCs w:val="0"/>
          <w:sz w:val="24"/>
          <w:szCs w:val="24"/>
        </w:rPr>
        <w:t xml:space="preserve"> Sexual Assault </w:t>
      </w:r>
      <w:proofErr w:type="gramStart"/>
      <w:r w:rsidRPr="00E42A32">
        <w:rPr>
          <w:b w:val="0"/>
          <w:bCs w:val="0"/>
          <w:sz w:val="24"/>
          <w:szCs w:val="24"/>
        </w:rPr>
        <w:t>And</w:t>
      </w:r>
      <w:proofErr w:type="gramEnd"/>
      <w:r w:rsidRPr="00E42A32">
        <w:rPr>
          <w:b w:val="0"/>
          <w:bCs w:val="0"/>
          <w:sz w:val="24"/>
          <w:szCs w:val="24"/>
        </w:rPr>
        <w:t xml:space="preserve"> Sexual Harassment Claims</w:t>
      </w:r>
      <w:r>
        <w:rPr>
          <w:b w:val="0"/>
          <w:bCs w:val="0"/>
          <w:sz w:val="24"/>
          <w:szCs w:val="24"/>
        </w:rPr>
        <w:t xml:space="preserve">.: </w:t>
      </w:r>
      <w:hyperlink r:id="rId1450" w:history="1">
        <w:r w:rsidRPr="005A2A16">
          <w:rPr>
            <w:rStyle w:val="Hyperlink"/>
            <w:rFonts w:eastAsiaTheme="majorEastAsia"/>
            <w:b w:val="0"/>
            <w:bCs w:val="0"/>
            <w:sz w:val="24"/>
            <w:szCs w:val="24"/>
          </w:rPr>
          <w:t>https://www.natlawreview.com/article/congress-votes-to-end-mandatory-arbitration-sexual-assault-and-sexual-harassment</w:t>
        </w:r>
      </w:hyperlink>
      <w:r>
        <w:rPr>
          <w:b w:val="0"/>
          <w:bCs w:val="0"/>
          <w:sz w:val="24"/>
          <w:szCs w:val="24"/>
        </w:rPr>
        <w:t xml:space="preserve"> </w:t>
      </w:r>
    </w:p>
    <w:p w14:paraId="74929011" w14:textId="77777777" w:rsidR="00727951" w:rsidRDefault="00727951" w:rsidP="00F326E5">
      <w:pPr>
        <w:pStyle w:val="NoSpacing"/>
        <w:rPr>
          <w:rFonts w:ascii="Arial Black" w:hAnsi="Arial Black"/>
          <w:sz w:val="24"/>
          <w:szCs w:val="24"/>
        </w:rPr>
      </w:pPr>
    </w:p>
    <w:p w14:paraId="1EFDC43B" w14:textId="77777777" w:rsidR="00727951" w:rsidRDefault="00727951" w:rsidP="00F326E5">
      <w:pPr>
        <w:pStyle w:val="NoSpacing"/>
        <w:rPr>
          <w:rFonts w:ascii="Arial Black" w:hAnsi="Arial Black"/>
          <w:sz w:val="24"/>
          <w:szCs w:val="24"/>
        </w:rPr>
      </w:pPr>
    </w:p>
    <w:p w14:paraId="2037CC9C" w14:textId="4BB94E4D" w:rsidR="00255E41" w:rsidRPr="005644A4" w:rsidRDefault="005644A4" w:rsidP="00F326E5">
      <w:pPr>
        <w:pStyle w:val="NoSpacing"/>
        <w:rPr>
          <w:rFonts w:ascii="Arial Black" w:hAnsi="Arial Black"/>
          <w:sz w:val="24"/>
          <w:szCs w:val="24"/>
        </w:rPr>
      </w:pPr>
      <w:r w:rsidRPr="005644A4">
        <w:rPr>
          <w:rFonts w:ascii="Arial Black" w:hAnsi="Arial Black"/>
          <w:sz w:val="24"/>
          <w:szCs w:val="24"/>
        </w:rPr>
        <w:t>7-40</w:t>
      </w:r>
    </w:p>
    <w:p w14:paraId="20065990" w14:textId="77777777" w:rsidR="00727951" w:rsidRDefault="00727951" w:rsidP="005644A4">
      <w:pPr>
        <w:rPr>
          <w:rFonts w:ascii="Arial Black" w:hAnsi="Arial Black" w:cs="Arial"/>
          <w:sz w:val="28"/>
          <w:szCs w:val="28"/>
        </w:rPr>
      </w:pPr>
      <w:bookmarkStart w:id="281" w:name="_Hlk92114256"/>
      <w:bookmarkStart w:id="282" w:name="_Hlk7344031"/>
    </w:p>
    <w:p w14:paraId="3D8D325B" w14:textId="50491DBA" w:rsidR="005644A4" w:rsidRPr="00DB2B5C" w:rsidRDefault="005644A4" w:rsidP="005644A4">
      <w:pPr>
        <w:rPr>
          <w:rFonts w:ascii="Arial Black" w:hAnsi="Arial Black" w:cs="Arial"/>
          <w:sz w:val="28"/>
          <w:szCs w:val="28"/>
        </w:rPr>
      </w:pPr>
      <w:r>
        <w:rPr>
          <w:rFonts w:ascii="Arial Black" w:hAnsi="Arial Black" w:cs="Arial"/>
          <w:sz w:val="28"/>
          <w:szCs w:val="28"/>
        </w:rPr>
        <w:t>DE: FEMALE FF LAWSUIT TO PROCEED – “ME TOO” EVIDENCE BY OTHER FF OF HOSTILE WORKPLACE</w:t>
      </w:r>
    </w:p>
    <w:p w14:paraId="6CD1B0C9" w14:textId="77777777" w:rsidR="005644A4" w:rsidRDefault="005644A4" w:rsidP="005644A4">
      <w:pPr>
        <w:rPr>
          <w:rFonts w:ascii="Times New Roman" w:eastAsia="Times New Roman" w:hAnsi="Times New Roman"/>
          <w:sz w:val="24"/>
          <w:szCs w:val="24"/>
        </w:rPr>
      </w:pPr>
      <w:r w:rsidRPr="00835368">
        <w:rPr>
          <w:rFonts w:ascii="Times New Roman" w:hAnsi="Times New Roman"/>
          <w:sz w:val="24"/>
          <w:szCs w:val="24"/>
        </w:rPr>
        <w:t xml:space="preserve">On </w:t>
      </w:r>
      <w:r>
        <w:rPr>
          <w:rFonts w:ascii="Times New Roman" w:hAnsi="Times New Roman"/>
          <w:sz w:val="24"/>
          <w:szCs w:val="24"/>
        </w:rPr>
        <w:t xml:space="preserve">Dec. 3, 2021, in </w:t>
      </w:r>
      <w:r w:rsidRPr="00835368">
        <w:rPr>
          <w:rFonts w:ascii="Times New Roman" w:hAnsi="Times New Roman"/>
          <w:sz w:val="24"/>
          <w:szCs w:val="24"/>
          <w:u w:val="single"/>
        </w:rPr>
        <w:t>April D. Molchan v. Delmar Fire Department, Inc.</w:t>
      </w:r>
      <w:r>
        <w:rPr>
          <w:rFonts w:ascii="Times New Roman" w:hAnsi="Times New Roman"/>
          <w:sz w:val="24"/>
          <w:szCs w:val="24"/>
        </w:rPr>
        <w:t>, U.S. District Court Judge Maryellen Noreika, U.S. District Court for District of Delaware, denied in part the FD’s motion for summary judgment.  The Judge ruled there is sufficient evidence misconduct by former Fire Chief “</w:t>
      </w:r>
      <w:r w:rsidRPr="0082464F">
        <w:rPr>
          <w:rFonts w:ascii="Times New Roman" w:eastAsia="Times New Roman" w:hAnsi="Times New Roman"/>
          <w:sz w:val="24"/>
          <w:szCs w:val="24"/>
        </w:rPr>
        <w:t>because several declarants appear to have experienced or witnessed</w:t>
      </w:r>
      <w:r>
        <w:rPr>
          <w:rFonts w:ascii="Times New Roman" w:eastAsia="Times New Roman" w:hAnsi="Times New Roman"/>
          <w:sz w:val="24"/>
          <w:szCs w:val="24"/>
        </w:rPr>
        <w:t xml:space="preserve">” conduct.”  The Judge dismissed the plaintiff’s retaliation claim; she was removed from paid position, along with two other paid firefighters, based on bylaw changing requiring all personnel to either be paid or volunteer members.  </w:t>
      </w:r>
    </w:p>
    <w:p w14:paraId="43780628" w14:textId="77777777" w:rsidR="005644A4" w:rsidRPr="0082464F" w:rsidRDefault="005644A4" w:rsidP="005644A4">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r w:rsidRPr="00F02628">
        <w:rPr>
          <w:rFonts w:ascii="Times New Roman" w:eastAsia="Times New Roman" w:hAnsi="Times New Roman"/>
          <w:sz w:val="24"/>
          <w:szCs w:val="24"/>
        </w:rPr>
        <w:t xml:space="preserve">According to the Supreme Court,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w:t>
      </w:r>
      <w:r w:rsidRPr="00F02628">
        <w:rPr>
          <w:rFonts w:ascii="Times New Roman" w:eastAsia="Times New Roman" w:hAnsi="Times New Roman"/>
          <w:sz w:val="24"/>
          <w:szCs w:val="24"/>
        </w:rPr>
        <w:t xml:space="preserve"> evidence is neither </w:t>
      </w:r>
      <w:r>
        <w:rPr>
          <w:rFonts w:ascii="Times New Roman" w:eastAsia="Times New Roman" w:hAnsi="Times New Roman"/>
          <w:sz w:val="24"/>
          <w:szCs w:val="24"/>
        </w:rPr>
        <w:t>‘</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admissible or </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inadmissible.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Sprint/United Mgmt. Co. v. Mendelsohn</w:t>
      </w:r>
      <w:r w:rsidRPr="00F02628">
        <w:rPr>
          <w:rFonts w:ascii="Times New Roman" w:eastAsia="Times New Roman" w:hAnsi="Times New Roman"/>
          <w:sz w:val="24"/>
          <w:szCs w:val="24"/>
        </w:rPr>
        <w:t xml:space="preserve">, 552 U.S. 379, 388 (2008). The determination of the relevance of this evidence </w:t>
      </w:r>
      <w:r>
        <w:rPr>
          <w:rFonts w:ascii="Times New Roman" w:eastAsia="Times New Roman" w:hAnsi="Times New Roman"/>
          <w:sz w:val="24"/>
          <w:szCs w:val="24"/>
        </w:rPr>
        <w:t>‘</w:t>
      </w:r>
      <w:r w:rsidRPr="00F02628">
        <w:rPr>
          <w:rFonts w:ascii="Times New Roman" w:eastAsia="Times New Roman" w:hAnsi="Times New Roman"/>
          <w:sz w:val="24"/>
          <w:szCs w:val="24"/>
        </w:rPr>
        <w:t>is fact based and depends on several factors, including how closely related the evidence is to the plaintiff's circumstances and theory of the case.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Mandel</w:t>
      </w:r>
      <w:r w:rsidRPr="00F02628">
        <w:rPr>
          <w:rFonts w:ascii="Times New Roman" w:eastAsia="Times New Roman" w:hAnsi="Times New Roman"/>
          <w:sz w:val="24"/>
          <w:szCs w:val="24"/>
        </w:rPr>
        <w:t xml:space="preserve">, 706 F.3d at 167. Here, the Court is persuaded that at least some of the offered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 xml:space="preserve">’ </w:t>
      </w:r>
      <w:r w:rsidRPr="00F02628">
        <w:rPr>
          <w:rFonts w:ascii="Times New Roman" w:eastAsia="Times New Roman" w:hAnsi="Times New Roman"/>
          <w:sz w:val="24"/>
          <w:szCs w:val="24"/>
        </w:rPr>
        <w:t xml:space="preserve">evidence is relevant, at least because several declarants appear to have experienced or witnessed Rementer's harassment and suggest that Delmar FD was aware of repeated instances of it. Some of the evidence also suggests that </w:t>
      </w:r>
      <w:r>
        <w:rPr>
          <w:rFonts w:ascii="Times New Roman" w:eastAsia="Times New Roman" w:hAnsi="Times New Roman"/>
          <w:sz w:val="24"/>
          <w:szCs w:val="24"/>
        </w:rPr>
        <w:t xml:space="preserve">[former Fire Chief Andrew] </w:t>
      </w:r>
      <w:r w:rsidRPr="00F02628">
        <w:rPr>
          <w:rFonts w:ascii="Times New Roman" w:eastAsia="Times New Roman" w:hAnsi="Times New Roman"/>
          <w:sz w:val="24"/>
          <w:szCs w:val="24"/>
        </w:rPr>
        <w:t xml:space="preserve">Rementer's conduct was well-known within the fire department and thus may bear on whether Plaintiff subjectively perceived the environment to be abusive. And finding that, the Court is persuaded that genuine issues of material fact exist that preclude summary judgment of Plaintiff's hostile work environment </w:t>
      </w:r>
      <w:proofErr w:type="gramStart"/>
      <w:r w:rsidRPr="00F02628">
        <w:rPr>
          <w:rFonts w:ascii="Times New Roman" w:eastAsia="Times New Roman" w:hAnsi="Times New Roman"/>
          <w:sz w:val="24"/>
          <w:szCs w:val="24"/>
        </w:rPr>
        <w:t>claim.</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1451" w:history="1">
        <w:r w:rsidRPr="004065C6">
          <w:rPr>
            <w:rStyle w:val="Hyperlink"/>
            <w:rFonts w:ascii="Times New Roman" w:eastAsia="Times New Roman" w:hAnsi="Times New Roman"/>
            <w:sz w:val="24"/>
            <w:szCs w:val="24"/>
          </w:rPr>
          <w:t>https://casetext.com/case/molchan-v-delmar-fire-dept-1</w:t>
        </w:r>
      </w:hyperlink>
      <w:r>
        <w:rPr>
          <w:rFonts w:ascii="Times New Roman" w:eastAsia="Times New Roman" w:hAnsi="Times New Roman"/>
          <w:sz w:val="24"/>
          <w:szCs w:val="24"/>
        </w:rPr>
        <w:t xml:space="preserve"> </w:t>
      </w:r>
    </w:p>
    <w:p w14:paraId="43B13FBB" w14:textId="77777777" w:rsidR="005644A4" w:rsidRPr="00FA336A" w:rsidRDefault="005644A4" w:rsidP="005644A4">
      <w:pPr>
        <w:spacing w:before="100" w:beforeAutospacing="1" w:after="100" w:afterAutospacing="1" w:line="240" w:lineRule="auto"/>
        <w:rPr>
          <w:rFonts w:ascii="Times New Roman" w:eastAsia="Times New Roman" w:hAnsi="Times New Roman"/>
          <w:b/>
          <w:bCs/>
          <w:sz w:val="24"/>
          <w:szCs w:val="24"/>
        </w:rPr>
      </w:pPr>
      <w:bookmarkStart w:id="283" w:name="_Hlk92114275"/>
      <w:bookmarkEnd w:id="281"/>
      <w:r w:rsidRPr="00F02628">
        <w:rPr>
          <w:rFonts w:ascii="Times New Roman" w:hAnsi="Times New Roman"/>
          <w:b/>
          <w:bCs/>
          <w:sz w:val="24"/>
          <w:szCs w:val="24"/>
        </w:rPr>
        <w:t>Legal Lesson Learned:</w:t>
      </w:r>
      <w:r>
        <w:rPr>
          <w:rFonts w:ascii="Times New Roman" w:hAnsi="Times New Roman"/>
          <w:b/>
          <w:bCs/>
          <w:sz w:val="24"/>
          <w:szCs w:val="24"/>
        </w:rPr>
        <w:t xml:space="preserve"> “Me too” evidence can be very damaging when presented by numerous witnesses to the jury.  </w:t>
      </w:r>
    </w:p>
    <w:bookmarkEnd w:id="283"/>
    <w:p w14:paraId="003EDB04" w14:textId="77777777" w:rsidR="005644A4" w:rsidRDefault="005644A4" w:rsidP="002B1283">
      <w:pPr>
        <w:rPr>
          <w:rFonts w:ascii="Arial Black" w:hAnsi="Arial Black"/>
          <w:b/>
          <w:sz w:val="24"/>
          <w:szCs w:val="24"/>
        </w:rPr>
      </w:pPr>
    </w:p>
    <w:p w14:paraId="09F88003" w14:textId="77777777" w:rsidR="005644A4" w:rsidRDefault="005644A4" w:rsidP="002B1283">
      <w:pPr>
        <w:rPr>
          <w:rFonts w:ascii="Arial Black" w:hAnsi="Arial Black"/>
          <w:b/>
          <w:sz w:val="24"/>
          <w:szCs w:val="24"/>
        </w:rPr>
      </w:pPr>
    </w:p>
    <w:p w14:paraId="6BC7995B" w14:textId="751D8EB4" w:rsidR="00433119" w:rsidRDefault="00433119" w:rsidP="002B1283">
      <w:pPr>
        <w:rPr>
          <w:rFonts w:ascii="Arial Black" w:hAnsi="Arial Black"/>
          <w:b/>
          <w:sz w:val="24"/>
          <w:szCs w:val="24"/>
        </w:rPr>
      </w:pPr>
      <w:r>
        <w:rPr>
          <w:rFonts w:ascii="Arial Black" w:hAnsi="Arial Black"/>
          <w:b/>
          <w:sz w:val="24"/>
          <w:szCs w:val="24"/>
        </w:rPr>
        <w:t>7-39</w:t>
      </w:r>
    </w:p>
    <w:p w14:paraId="144195DC" w14:textId="77777777" w:rsidR="005644A4" w:rsidRPr="00DB2B5C" w:rsidRDefault="005644A4" w:rsidP="005644A4">
      <w:pPr>
        <w:rPr>
          <w:rFonts w:ascii="Arial Black" w:hAnsi="Arial Black" w:cs="Arial"/>
          <w:sz w:val="28"/>
          <w:szCs w:val="28"/>
        </w:rPr>
      </w:pPr>
      <w:r>
        <w:rPr>
          <w:rFonts w:ascii="Arial Black" w:hAnsi="Arial Black" w:cs="Arial"/>
          <w:sz w:val="28"/>
          <w:szCs w:val="28"/>
        </w:rPr>
        <w:t>DE: FEMALE FF LAWSUIT TO PROCEED – “ME TOO” EVIDENCE BY OTHER FF OF HOSTILE WORKPLACE</w:t>
      </w:r>
    </w:p>
    <w:p w14:paraId="331EC595" w14:textId="77777777" w:rsidR="005644A4" w:rsidRDefault="005644A4" w:rsidP="005644A4">
      <w:pPr>
        <w:rPr>
          <w:rFonts w:ascii="Times New Roman" w:eastAsia="Times New Roman" w:hAnsi="Times New Roman"/>
          <w:sz w:val="24"/>
          <w:szCs w:val="24"/>
        </w:rPr>
      </w:pPr>
      <w:r w:rsidRPr="00835368">
        <w:rPr>
          <w:rFonts w:ascii="Times New Roman" w:hAnsi="Times New Roman"/>
          <w:sz w:val="24"/>
          <w:szCs w:val="24"/>
        </w:rPr>
        <w:t xml:space="preserve">On </w:t>
      </w:r>
      <w:r>
        <w:rPr>
          <w:rFonts w:ascii="Times New Roman" w:hAnsi="Times New Roman"/>
          <w:sz w:val="24"/>
          <w:szCs w:val="24"/>
        </w:rPr>
        <w:t xml:space="preserve">Dec. 3, 2021, in </w:t>
      </w:r>
      <w:r w:rsidRPr="00835368">
        <w:rPr>
          <w:rFonts w:ascii="Times New Roman" w:hAnsi="Times New Roman"/>
          <w:sz w:val="24"/>
          <w:szCs w:val="24"/>
          <w:u w:val="single"/>
        </w:rPr>
        <w:t>April D. Molchan v. Delmar Fire Department, Inc.</w:t>
      </w:r>
      <w:r>
        <w:rPr>
          <w:rFonts w:ascii="Times New Roman" w:hAnsi="Times New Roman"/>
          <w:sz w:val="24"/>
          <w:szCs w:val="24"/>
        </w:rPr>
        <w:t>, U.S. District Court Judge Maryellen Noreika, U.S. District Court for District of Delaware, denied in part the FD’s motion for summary judgment.  The Judge ruled there is sufficient evidence misconduct by former Fire Chief “</w:t>
      </w:r>
      <w:r w:rsidRPr="0082464F">
        <w:rPr>
          <w:rFonts w:ascii="Times New Roman" w:eastAsia="Times New Roman" w:hAnsi="Times New Roman"/>
          <w:sz w:val="24"/>
          <w:szCs w:val="24"/>
        </w:rPr>
        <w:t>because several declarants appear to have experienced or witnessed</w:t>
      </w:r>
      <w:r>
        <w:rPr>
          <w:rFonts w:ascii="Times New Roman" w:eastAsia="Times New Roman" w:hAnsi="Times New Roman"/>
          <w:sz w:val="24"/>
          <w:szCs w:val="24"/>
        </w:rPr>
        <w:t xml:space="preserve">” conduct.”  The Judge dismissed the plaintiff’s retaliation claim; she was removed from paid position, along with two other paid firefighters, based on bylaw changing requiring all personnel to either be paid or volunteer members.  </w:t>
      </w:r>
    </w:p>
    <w:p w14:paraId="3E8EA27F" w14:textId="77777777" w:rsidR="005644A4" w:rsidRPr="0082464F" w:rsidRDefault="005644A4" w:rsidP="005644A4">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r w:rsidRPr="00F02628">
        <w:rPr>
          <w:rFonts w:ascii="Times New Roman" w:eastAsia="Times New Roman" w:hAnsi="Times New Roman"/>
          <w:sz w:val="24"/>
          <w:szCs w:val="24"/>
        </w:rPr>
        <w:t xml:space="preserve">According to the Supreme Court,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w:t>
      </w:r>
      <w:r w:rsidRPr="00F02628">
        <w:rPr>
          <w:rFonts w:ascii="Times New Roman" w:eastAsia="Times New Roman" w:hAnsi="Times New Roman"/>
          <w:sz w:val="24"/>
          <w:szCs w:val="24"/>
        </w:rPr>
        <w:t xml:space="preserve"> evidence is neither </w:t>
      </w:r>
      <w:r>
        <w:rPr>
          <w:rFonts w:ascii="Times New Roman" w:eastAsia="Times New Roman" w:hAnsi="Times New Roman"/>
          <w:sz w:val="24"/>
          <w:szCs w:val="24"/>
        </w:rPr>
        <w:t>‘</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admissible or </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inadmissible.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Sprint/United Mgmt. Co. v. Mendelsohn</w:t>
      </w:r>
      <w:r w:rsidRPr="00F02628">
        <w:rPr>
          <w:rFonts w:ascii="Times New Roman" w:eastAsia="Times New Roman" w:hAnsi="Times New Roman"/>
          <w:sz w:val="24"/>
          <w:szCs w:val="24"/>
        </w:rPr>
        <w:t xml:space="preserve">, 552 U.S. 379, 388 (2008). The determination of the relevance of this evidence </w:t>
      </w:r>
      <w:r>
        <w:rPr>
          <w:rFonts w:ascii="Times New Roman" w:eastAsia="Times New Roman" w:hAnsi="Times New Roman"/>
          <w:sz w:val="24"/>
          <w:szCs w:val="24"/>
        </w:rPr>
        <w:t>‘</w:t>
      </w:r>
      <w:r w:rsidRPr="00F02628">
        <w:rPr>
          <w:rFonts w:ascii="Times New Roman" w:eastAsia="Times New Roman" w:hAnsi="Times New Roman"/>
          <w:sz w:val="24"/>
          <w:szCs w:val="24"/>
        </w:rPr>
        <w:t>is fact based and depends on several factors, including how closely related the evidence is to the plaintiff's circumstances and theory of the case.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Mandel</w:t>
      </w:r>
      <w:r w:rsidRPr="00F02628">
        <w:rPr>
          <w:rFonts w:ascii="Times New Roman" w:eastAsia="Times New Roman" w:hAnsi="Times New Roman"/>
          <w:sz w:val="24"/>
          <w:szCs w:val="24"/>
        </w:rPr>
        <w:t xml:space="preserve">, 706 F.3d at 167. Here, the Court is persuaded that at least some of the offered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 xml:space="preserve">’ </w:t>
      </w:r>
      <w:r w:rsidRPr="00F02628">
        <w:rPr>
          <w:rFonts w:ascii="Times New Roman" w:eastAsia="Times New Roman" w:hAnsi="Times New Roman"/>
          <w:sz w:val="24"/>
          <w:szCs w:val="24"/>
        </w:rPr>
        <w:t xml:space="preserve">evidence is relevant, at least because several declarants appear to have experienced or witnessed Rementer's harassment and suggest that Delmar FD was aware of repeated instances of it. Some of the evidence also suggests that </w:t>
      </w:r>
      <w:r>
        <w:rPr>
          <w:rFonts w:ascii="Times New Roman" w:eastAsia="Times New Roman" w:hAnsi="Times New Roman"/>
          <w:sz w:val="24"/>
          <w:szCs w:val="24"/>
        </w:rPr>
        <w:t xml:space="preserve">[former Fire Chief Andrew] </w:t>
      </w:r>
      <w:r w:rsidRPr="00F02628">
        <w:rPr>
          <w:rFonts w:ascii="Times New Roman" w:eastAsia="Times New Roman" w:hAnsi="Times New Roman"/>
          <w:sz w:val="24"/>
          <w:szCs w:val="24"/>
        </w:rPr>
        <w:t xml:space="preserve">Rementer's conduct was well-known within the fire department and thus may bear on whether Plaintiff subjectively perceived the environment to be abusive. And finding that, the Court is persuaded that genuine issues of material fact exist that preclude summary judgment of Plaintiff's hostile work environment </w:t>
      </w:r>
      <w:proofErr w:type="gramStart"/>
      <w:r w:rsidRPr="00F02628">
        <w:rPr>
          <w:rFonts w:ascii="Times New Roman" w:eastAsia="Times New Roman" w:hAnsi="Times New Roman"/>
          <w:sz w:val="24"/>
          <w:szCs w:val="24"/>
        </w:rPr>
        <w:t>claim.</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1452" w:history="1">
        <w:r w:rsidRPr="004065C6">
          <w:rPr>
            <w:rStyle w:val="Hyperlink"/>
            <w:rFonts w:ascii="Times New Roman" w:eastAsia="Times New Roman" w:hAnsi="Times New Roman"/>
            <w:sz w:val="24"/>
            <w:szCs w:val="24"/>
          </w:rPr>
          <w:t>https://casetext.com/case/molchan-v-delmar-fire-dept-1</w:t>
        </w:r>
      </w:hyperlink>
      <w:r>
        <w:rPr>
          <w:rFonts w:ascii="Times New Roman" w:eastAsia="Times New Roman" w:hAnsi="Times New Roman"/>
          <w:sz w:val="24"/>
          <w:szCs w:val="24"/>
        </w:rPr>
        <w:t xml:space="preserve"> </w:t>
      </w:r>
    </w:p>
    <w:p w14:paraId="65F45A7C" w14:textId="77777777" w:rsidR="005644A4" w:rsidRPr="00FA336A" w:rsidRDefault="005644A4" w:rsidP="005644A4">
      <w:pPr>
        <w:spacing w:before="100" w:beforeAutospacing="1" w:after="100" w:afterAutospacing="1" w:line="240" w:lineRule="auto"/>
        <w:rPr>
          <w:rFonts w:ascii="Times New Roman" w:eastAsia="Times New Roman" w:hAnsi="Times New Roman"/>
          <w:b/>
          <w:bCs/>
          <w:sz w:val="24"/>
          <w:szCs w:val="24"/>
        </w:rPr>
      </w:pPr>
      <w:r w:rsidRPr="00F02628">
        <w:rPr>
          <w:rFonts w:ascii="Times New Roman" w:hAnsi="Times New Roman"/>
          <w:b/>
          <w:bCs/>
          <w:sz w:val="24"/>
          <w:szCs w:val="24"/>
        </w:rPr>
        <w:t>Legal Lesson Learned:</w:t>
      </w:r>
      <w:r>
        <w:rPr>
          <w:rFonts w:ascii="Times New Roman" w:hAnsi="Times New Roman"/>
          <w:b/>
          <w:bCs/>
          <w:sz w:val="24"/>
          <w:szCs w:val="24"/>
        </w:rPr>
        <w:t xml:space="preserve"> “Me too” evidence can be very damaging when presented by numerous witnesses to the jury.  </w:t>
      </w:r>
    </w:p>
    <w:p w14:paraId="1822C4D3" w14:textId="77777777" w:rsidR="00433119" w:rsidRDefault="00433119" w:rsidP="002B1283">
      <w:pPr>
        <w:rPr>
          <w:rFonts w:ascii="Arial Black" w:hAnsi="Arial Black"/>
          <w:b/>
          <w:sz w:val="24"/>
          <w:szCs w:val="24"/>
        </w:rPr>
      </w:pPr>
    </w:p>
    <w:p w14:paraId="08E4A810" w14:textId="77777777" w:rsidR="00433119" w:rsidRDefault="00433119" w:rsidP="002B1283">
      <w:pPr>
        <w:rPr>
          <w:rFonts w:ascii="Arial Black" w:hAnsi="Arial Black"/>
          <w:b/>
          <w:sz w:val="24"/>
          <w:szCs w:val="24"/>
        </w:rPr>
      </w:pPr>
    </w:p>
    <w:p w14:paraId="3D21A657" w14:textId="63532CA5" w:rsidR="00D43015" w:rsidRDefault="00D43015" w:rsidP="002B1283">
      <w:pPr>
        <w:rPr>
          <w:rFonts w:ascii="Arial Black" w:hAnsi="Arial Black"/>
          <w:b/>
          <w:sz w:val="24"/>
          <w:szCs w:val="24"/>
        </w:rPr>
      </w:pPr>
      <w:r>
        <w:rPr>
          <w:rFonts w:ascii="Arial Black" w:hAnsi="Arial Black"/>
          <w:b/>
          <w:sz w:val="24"/>
          <w:szCs w:val="24"/>
        </w:rPr>
        <w:t>7-38</w:t>
      </w:r>
    </w:p>
    <w:p w14:paraId="7A877E36" w14:textId="77777777" w:rsidR="00D43015" w:rsidRDefault="00D43015" w:rsidP="00D43015">
      <w:pPr>
        <w:spacing w:before="100" w:beforeAutospacing="1" w:after="100" w:afterAutospacing="1" w:line="240" w:lineRule="auto"/>
        <w:rPr>
          <w:rStyle w:val="markedcontent"/>
          <w:rFonts w:ascii="Arial" w:hAnsi="Arial" w:cs="Arial"/>
          <w:sz w:val="30"/>
          <w:szCs w:val="30"/>
        </w:rPr>
      </w:pPr>
      <w:r>
        <w:rPr>
          <w:rStyle w:val="markedcontent"/>
          <w:rFonts w:ascii="Arial Black" w:hAnsi="Arial Black" w:cs="Arial"/>
          <w:sz w:val="28"/>
          <w:szCs w:val="28"/>
        </w:rPr>
        <w:t>MA: FEMALE PROMOTED TO CAPT – NO. 2 ASSESSMENT CENTER – THEN “DEEPLY FLAWED” INTERVIEW FIRE CHIEF / CITY OFFICIALS</w:t>
      </w:r>
    </w:p>
    <w:p w14:paraId="3B01E3F7" w14:textId="77777777" w:rsidR="00D43015" w:rsidRDefault="00D43015" w:rsidP="00D4301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Nov. 18, 2021, in </w:t>
      </w:r>
      <w:r w:rsidRPr="009658E4">
        <w:rPr>
          <w:rStyle w:val="markedcontent"/>
          <w:rFonts w:ascii="Times New Roman" w:hAnsi="Times New Roman"/>
          <w:sz w:val="24"/>
          <w:szCs w:val="24"/>
          <w:u w:val="single"/>
        </w:rPr>
        <w:t>Tracy Blanchette v. City of Methuen</w:t>
      </w:r>
      <w:r>
        <w:rPr>
          <w:rStyle w:val="markedcontent"/>
          <w:rFonts w:ascii="Times New Roman" w:hAnsi="Times New Roman"/>
          <w:sz w:val="24"/>
          <w:szCs w:val="24"/>
          <w:u w:val="single"/>
        </w:rPr>
        <w:t xml:space="preserve"> and Matthew Tulley, </w:t>
      </w:r>
      <w:r>
        <w:rPr>
          <w:rStyle w:val="markedcontent"/>
          <w:rFonts w:ascii="Times New Roman" w:hAnsi="Times New Roman"/>
          <w:sz w:val="24"/>
          <w:szCs w:val="24"/>
        </w:rPr>
        <w:t xml:space="preserve">the Commonwealth of Massachusetts Civil Service Commission held (5 to 0) that firefighter Tracy Blanchette should have been promoted when a second Captain position came open, instead of firefighter Matthew Tulley, and rejected the City’s argument that she was not promoted because of a poor interview 14 months earlier during first Captain opening.  During that first promotion opportunity, a comprehensive Assessment Center ranked </w:t>
      </w:r>
      <w:proofErr w:type="spellStart"/>
      <w:r>
        <w:rPr>
          <w:rStyle w:val="markedcontent"/>
          <w:rFonts w:ascii="Times New Roman" w:hAnsi="Times New Roman"/>
          <w:sz w:val="24"/>
          <w:szCs w:val="24"/>
        </w:rPr>
        <w:t>Blanchtte</w:t>
      </w:r>
      <w:proofErr w:type="spellEnd"/>
      <w:r>
        <w:rPr>
          <w:rStyle w:val="markedcontent"/>
          <w:rFonts w:ascii="Times New Roman" w:hAnsi="Times New Roman"/>
          <w:sz w:val="24"/>
          <w:szCs w:val="24"/>
        </w:rPr>
        <w:t xml:space="preserve"> No. 2, but during the post-Assessment interviews of the four finalists by Fire Chief, Assistant Fire Chief, HR and Mayor’s Chief of Staff, she was ranked No. 4.  Civil Service Commissioner Cynthia A. </w:t>
      </w:r>
      <w:proofErr w:type="spellStart"/>
      <w:r>
        <w:rPr>
          <w:rStyle w:val="markedcontent"/>
          <w:rFonts w:ascii="Times New Roman" w:hAnsi="Times New Roman"/>
          <w:sz w:val="24"/>
          <w:szCs w:val="24"/>
        </w:rPr>
        <w:t>Ittleman</w:t>
      </w:r>
      <w:proofErr w:type="spellEnd"/>
      <w:r>
        <w:rPr>
          <w:rStyle w:val="markedcontent"/>
          <w:rFonts w:ascii="Times New Roman" w:hAnsi="Times New Roman"/>
          <w:sz w:val="24"/>
          <w:szCs w:val="24"/>
        </w:rPr>
        <w:t xml:space="preserve"> wrote a lengthy scathing decision, focusing on (1) Fire Chiefs prior friendship and 8-10 years working </w:t>
      </w:r>
      <w:proofErr w:type="gramStart"/>
      <w:r>
        <w:rPr>
          <w:rStyle w:val="markedcontent"/>
          <w:rFonts w:ascii="Times New Roman" w:hAnsi="Times New Roman"/>
          <w:sz w:val="24"/>
          <w:szCs w:val="24"/>
        </w:rPr>
        <w:t>off-duty</w:t>
      </w:r>
      <w:proofErr w:type="gramEnd"/>
      <w:r>
        <w:rPr>
          <w:rStyle w:val="markedcontent"/>
          <w:rFonts w:ascii="Times New Roman" w:hAnsi="Times New Roman"/>
          <w:sz w:val="24"/>
          <w:szCs w:val="24"/>
        </w:rPr>
        <w:t xml:space="preserve"> in Matthew Tully’s electrical business, and (2) the post-Assessment Center interviews were never recorded by video or audio (at HR’s recommendation). </w:t>
      </w:r>
    </w:p>
    <w:p w14:paraId="5293486E" w14:textId="77777777" w:rsidR="00D43015" w:rsidRPr="00356803" w:rsidRDefault="00D43015" w:rsidP="00D43015">
      <w:pPr>
        <w:spacing w:after="0" w:line="240" w:lineRule="auto"/>
        <w:ind w:left="720"/>
        <w:rPr>
          <w:rStyle w:val="markedcontent"/>
          <w:rFonts w:ascii="Times New Roman" w:hAnsi="Times New Roman"/>
          <w:sz w:val="24"/>
          <w:szCs w:val="24"/>
        </w:rPr>
      </w:pPr>
      <w:r>
        <w:rPr>
          <w:rFonts w:ascii="Times New Roman" w:eastAsia="Times New Roman" w:hAnsi="Times New Roman"/>
          <w:sz w:val="24"/>
          <w:szCs w:val="24"/>
        </w:rPr>
        <w:t xml:space="preserve">“[The City of] </w:t>
      </w:r>
      <w:r w:rsidRPr="001A7900">
        <w:rPr>
          <w:rFonts w:ascii="Times New Roman" w:eastAsia="Times New Roman" w:hAnsi="Times New Roman"/>
          <w:sz w:val="24"/>
          <w:szCs w:val="24"/>
        </w:rPr>
        <w:t>Methuen has failed to establish by a preponderance of credible evidence that it had reasonable justification to promote a male MFD firefighter to Fire Captain from an eligible list created after a comprehensive Assessment Center in which he ranked below the Appellant, a female firefighter with greater experience. Rather, the evidence shows that Methuen’s decision</w:t>
      </w:r>
      <w:r>
        <w:rPr>
          <w:rFonts w:ascii="Times New Roman" w:eastAsia="Times New Roman" w:hAnsi="Times New Roman"/>
          <w:sz w:val="24"/>
          <w:szCs w:val="24"/>
        </w:rPr>
        <w:t xml:space="preserve"> </w:t>
      </w:r>
      <w:r w:rsidRPr="001A7900">
        <w:rPr>
          <w:rFonts w:ascii="Times New Roman" w:eastAsia="Times New Roman" w:hAnsi="Times New Roman"/>
          <w:sz w:val="24"/>
          <w:szCs w:val="24"/>
        </w:rPr>
        <w:t>was based on the use of a highly subjective and flawed interview process intended to nullify the results of the Assessment Center in order to effectuate a predetermined decision to select a candidate favored by the Fire Chief as a matter of personal, not professional, preference, as well as to not disturb the MFD’s male-dominated culture. This selection process was not conducted on a level playing field and violates basic merit principles of civil service law.</w:t>
      </w:r>
      <w:r>
        <w:rPr>
          <w:rFonts w:ascii="Times New Roman" w:eastAsia="Times New Roman" w:hAnsi="Times New Roman"/>
          <w:sz w:val="24"/>
          <w:szCs w:val="24"/>
        </w:rPr>
        <w:t>”</w:t>
      </w:r>
      <w:r w:rsidRPr="00034238">
        <w:t xml:space="preserve"> </w:t>
      </w:r>
      <w:hyperlink r:id="rId1453" w:history="1">
        <w:r w:rsidRPr="0085682C">
          <w:rPr>
            <w:rStyle w:val="Hyperlink"/>
            <w:rFonts w:ascii="Times New Roman" w:hAnsi="Times New Roman"/>
            <w:sz w:val="24"/>
            <w:szCs w:val="24"/>
          </w:rPr>
          <w:t>https://www.mass.gov/doc/blanchette-tracy-v-city-of-methuen-111821/download</w:t>
        </w:r>
      </w:hyperlink>
      <w:r>
        <w:rPr>
          <w:rStyle w:val="markedcontent"/>
          <w:rFonts w:ascii="Times New Roman" w:hAnsi="Times New Roman"/>
          <w:sz w:val="24"/>
          <w:szCs w:val="24"/>
        </w:rPr>
        <w:t xml:space="preserve"> </w:t>
      </w:r>
    </w:p>
    <w:p w14:paraId="1329700B" w14:textId="383CB01A" w:rsidR="00D43015" w:rsidRDefault="00D43015" w:rsidP="002B1283">
      <w:pPr>
        <w:rPr>
          <w:rFonts w:ascii="Arial Black" w:hAnsi="Arial Black"/>
          <w:b/>
          <w:sz w:val="24"/>
          <w:szCs w:val="24"/>
        </w:rPr>
      </w:pPr>
    </w:p>
    <w:p w14:paraId="3062A91C" w14:textId="77777777" w:rsidR="00D43015" w:rsidRPr="007E2D4F" w:rsidRDefault="00D43015" w:rsidP="00D43015">
      <w:pPr>
        <w:spacing w:before="100" w:beforeAutospacing="1" w:after="100" w:afterAutospacing="1" w:line="240" w:lineRule="auto"/>
        <w:rPr>
          <w:rStyle w:val="markedcontent"/>
          <w:rFonts w:ascii="Times New Roman" w:hAnsi="Times New Roman"/>
          <w:b/>
          <w:bCs/>
          <w:sz w:val="24"/>
          <w:szCs w:val="24"/>
        </w:rPr>
      </w:pPr>
      <w:r w:rsidRPr="007E2D4F">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Video or audio record the post Assessment Center interviews.  The City may now appeal this decision to a court of law. </w:t>
      </w:r>
    </w:p>
    <w:p w14:paraId="53FE5F07" w14:textId="77777777" w:rsidR="00D43015" w:rsidRPr="005450F9" w:rsidRDefault="00D43015" w:rsidP="00D43015">
      <w:pPr>
        <w:spacing w:before="100" w:beforeAutospacing="1" w:after="100" w:afterAutospacing="1" w:line="240" w:lineRule="auto"/>
        <w:ind w:left="720"/>
        <w:rPr>
          <w:rFonts w:ascii="Times New Roman" w:eastAsia="Times New Roman" w:hAnsi="Times New Roman"/>
          <w:sz w:val="24"/>
          <w:szCs w:val="24"/>
        </w:rPr>
      </w:pPr>
      <w:r w:rsidRPr="005450F9">
        <w:rPr>
          <w:rStyle w:val="markedcontent"/>
          <w:rFonts w:ascii="Times New Roman" w:hAnsi="Times New Roman"/>
          <w:sz w:val="24"/>
          <w:szCs w:val="24"/>
        </w:rPr>
        <w:t>Note: See article on the decision:</w:t>
      </w:r>
      <w:r>
        <w:rPr>
          <w:rStyle w:val="markedcontent"/>
          <w:rFonts w:ascii="Times New Roman" w:hAnsi="Times New Roman"/>
          <w:sz w:val="24"/>
          <w:szCs w:val="24"/>
        </w:rPr>
        <w:t xml:space="preserve"> Nov. 24, 2021: </w:t>
      </w:r>
      <w:r w:rsidRPr="005450F9">
        <w:rPr>
          <w:rStyle w:val="markedcontent"/>
          <w:rFonts w:ascii="Times New Roman" w:hAnsi="Times New Roman"/>
          <w:sz w:val="24"/>
          <w:szCs w:val="24"/>
        </w:rPr>
        <w:t>“</w:t>
      </w:r>
      <w:r w:rsidRPr="005450F9">
        <w:rPr>
          <w:rFonts w:ascii="Times New Roman" w:hAnsi="Times New Roman"/>
          <w:sz w:val="24"/>
          <w:szCs w:val="24"/>
        </w:rPr>
        <w:t xml:space="preserve">Civil Service Commission sides with Mass. female FF-EMT passed over for promotion.” </w:t>
      </w:r>
      <w:hyperlink r:id="rId1454" w:history="1">
        <w:r w:rsidRPr="005450F9">
          <w:rPr>
            <w:rStyle w:val="Hyperlink"/>
            <w:rFonts w:ascii="Times New Roman" w:eastAsia="Times New Roman" w:hAnsi="Times New Roman"/>
            <w:sz w:val="24"/>
            <w:szCs w:val="24"/>
          </w:rPr>
          <w:t>https://www.firerescue1.com/discrimination/articles/civil-service-commission-sides-with-mass-female-ff-emt-passed-over-for-promotion-OvMbsXKeZfDYHswZ/?utm_source=twitter&amp;utm_medium=social&amp;utm_campaign=dlvrit</w:t>
        </w:r>
      </w:hyperlink>
      <w:r w:rsidRPr="005450F9">
        <w:rPr>
          <w:rFonts w:ascii="Times New Roman" w:eastAsia="Times New Roman" w:hAnsi="Times New Roman"/>
          <w:sz w:val="24"/>
          <w:szCs w:val="24"/>
        </w:rPr>
        <w:t xml:space="preserve"> </w:t>
      </w:r>
    </w:p>
    <w:p w14:paraId="0B3CA3C0" w14:textId="609070CC" w:rsidR="00D43015" w:rsidRPr="00D43015" w:rsidRDefault="00D43015" w:rsidP="00D43015">
      <w:pPr>
        <w:ind w:left="720"/>
        <w:rPr>
          <w:rFonts w:ascii="Times New Roman" w:hAnsi="Times New Roman"/>
          <w:b/>
          <w:sz w:val="24"/>
          <w:szCs w:val="24"/>
        </w:rPr>
      </w:pPr>
      <w:r w:rsidRPr="00D43015">
        <w:rPr>
          <w:rFonts w:ascii="Times New Roman" w:hAnsi="Times New Roman"/>
          <w:sz w:val="24"/>
          <w:szCs w:val="24"/>
        </w:rPr>
        <w:t xml:space="preserve">See also lawsuit: Nov. 11, 2020: “Mass. FF-EMT files gender discrimination lawsuit, says she was passed over for promotion.”  </w:t>
      </w:r>
      <w:hyperlink r:id="rId1455" w:history="1">
        <w:r w:rsidRPr="00D43015">
          <w:rPr>
            <w:rStyle w:val="Hyperlink"/>
            <w:rFonts w:ascii="Times New Roman" w:hAnsi="Times New Roman"/>
            <w:sz w:val="24"/>
            <w:szCs w:val="24"/>
          </w:rPr>
          <w:t>https://www.firerescue1.com/lawsuit/articles/mass-ff-emt-files-gender-discrimination-lawsuit-says-she-was-passed-over-for-promotion-k1Q0mMWcivLWcHoy/</w:t>
        </w:r>
      </w:hyperlink>
    </w:p>
    <w:p w14:paraId="797353A3" w14:textId="77777777" w:rsidR="00D43015" w:rsidRDefault="00D43015" w:rsidP="002B1283">
      <w:pPr>
        <w:rPr>
          <w:rFonts w:ascii="Arial Black" w:hAnsi="Arial Black"/>
          <w:b/>
          <w:sz w:val="24"/>
          <w:szCs w:val="24"/>
        </w:rPr>
      </w:pPr>
    </w:p>
    <w:p w14:paraId="6884500F" w14:textId="4EF71F29" w:rsidR="00C67B2A" w:rsidRDefault="00C67B2A" w:rsidP="002B1283">
      <w:pPr>
        <w:rPr>
          <w:rFonts w:ascii="Arial Black" w:hAnsi="Arial Black"/>
          <w:b/>
          <w:sz w:val="24"/>
          <w:szCs w:val="24"/>
        </w:rPr>
      </w:pPr>
      <w:r>
        <w:rPr>
          <w:rFonts w:ascii="Arial Black" w:hAnsi="Arial Black"/>
          <w:b/>
          <w:sz w:val="24"/>
          <w:szCs w:val="24"/>
        </w:rPr>
        <w:t>7-37</w:t>
      </w:r>
    </w:p>
    <w:p w14:paraId="176EE1F8" w14:textId="77777777" w:rsidR="00C67B2A" w:rsidRPr="00212250" w:rsidRDefault="00C67B2A" w:rsidP="00C67B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LA: FIRE CHIEF (Ret) – “AT WILL” JOB – CONFRONTED BY FEMALE HE HAD DISCIPLINED - HE’S FIRED, NO CASE </w:t>
      </w:r>
    </w:p>
    <w:p w14:paraId="13DFA49D" w14:textId="77777777" w:rsidR="00C67B2A" w:rsidRDefault="00C67B2A" w:rsidP="00C67B2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28, 2021, in </w:t>
      </w:r>
      <w:r w:rsidRPr="00212250">
        <w:rPr>
          <w:rFonts w:ascii="Times New Roman" w:eastAsia="Times New Roman" w:hAnsi="Times New Roman"/>
          <w:sz w:val="24"/>
          <w:szCs w:val="24"/>
          <w:u w:val="single"/>
        </w:rPr>
        <w:t>Paul Smith v. City of Alexandria</w:t>
      </w:r>
      <w:r>
        <w:rPr>
          <w:rFonts w:ascii="Times New Roman" w:eastAsia="Times New Roman" w:hAnsi="Times New Roman"/>
          <w:sz w:val="24"/>
          <w:szCs w:val="24"/>
        </w:rPr>
        <w:t>, U.S. District Court Judge David C. Joseph, U.S. District Court for Western District of Louisiana (Alexandria Division) granted the City’s motion for summary judgment.  The retired Fire Chief was hired as an “at will” city employee to install smoke detectors in the community and was confronted at a retirement reception for Assistant Chief. The woman who then worked for current Fire Chief confronted him about being at the reception. City said he was fired on the basis that his report to HR falsely stated he had been invited to the retirement reception.</w:t>
      </w:r>
    </w:p>
    <w:p w14:paraId="05BAD363" w14:textId="77777777" w:rsidR="00C67B2A" w:rsidRDefault="00C67B2A" w:rsidP="00C67B2A">
      <w:pPr>
        <w:pStyle w:val="NormalWeb"/>
        <w:ind w:left="720"/>
      </w:pPr>
      <w:r>
        <w:t>“</w:t>
      </w:r>
      <w:r w:rsidRPr="00C522AD">
        <w:t>On May 22, 2019, Plaintiff attended a retirement reception for an Assistant Fire Chief</w:t>
      </w:r>
      <w:r>
        <w:t>….</w:t>
      </w:r>
      <w:r w:rsidRPr="00C522AD">
        <w:t xml:space="preserve"> While at the reception, Fire Department employee Debbye Johnson (</w:t>
      </w:r>
      <w:r>
        <w:t>‘</w:t>
      </w:r>
      <w:r w:rsidRPr="00C522AD">
        <w:t>Johnson</w:t>
      </w:r>
      <w:r>
        <w:t>’</w:t>
      </w:r>
      <w:r w:rsidRPr="00C522AD">
        <w:t xml:space="preserve">) allegedly approached Plaintiff, stuck her finger in his face </w:t>
      </w:r>
      <w:r>
        <w:t>‘</w:t>
      </w:r>
      <w:r w:rsidRPr="00C522AD">
        <w:t>in a hostile manner,</w:t>
      </w:r>
      <w:r>
        <w:t>’</w:t>
      </w:r>
      <w:r w:rsidRPr="00C522AD">
        <w:t xml:space="preserve"> and </w:t>
      </w:r>
      <w:r>
        <w:t>‘</w:t>
      </w:r>
      <w:r w:rsidRPr="00C522AD">
        <w:t>loudly shouted</w:t>
      </w:r>
      <w:r>
        <w:t>’</w:t>
      </w:r>
      <w:r w:rsidRPr="00C522AD">
        <w:t xml:space="preserve"> at Plaintiff, stating, </w:t>
      </w:r>
      <w:r>
        <w:t>‘</w:t>
      </w:r>
      <w:r w:rsidRPr="00C522AD">
        <w:t>your balls must be as big as they ever were for you to come up in here you mother fucker</w:t>
      </w:r>
      <w:r>
        <w:t>….</w:t>
      </w:r>
      <w:r w:rsidRPr="00C522AD">
        <w:t xml:space="preserve">” </w:t>
      </w:r>
    </w:p>
    <w:p w14:paraId="6B4C20DA" w14:textId="77777777" w:rsidR="00C67B2A" w:rsidRDefault="00C67B2A" w:rsidP="00C67B2A">
      <w:pPr>
        <w:pStyle w:val="NormalWeb"/>
        <w:ind w:left="720"/>
      </w:pPr>
      <w:r>
        <w:t xml:space="preserve">As one might expect given the nature of this interaction, Plaintiff and Johnson knew each other and, in fact, had a personal history encompassing several decades. Debbye Johnson was hired by the City in August of 1983 as a Secretary or a ‘Fire Records Clerk…’ On August 18, 1997, Plaintiff, who was then Chief of the Alexandria Fire Department, terminated Johnson's employment for allegedly requesting additional time off after exhausting </w:t>
      </w:r>
      <w:proofErr w:type="gramStart"/>
      <w:r>
        <w:t>all of</w:t>
      </w:r>
      <w:proofErr w:type="gramEnd"/>
      <w:r>
        <w:t xml:space="preserve"> her sick leave, annual leave, and vacation days…. Johnson was then re-hired as a Fire Records Clerk for the City after Plaintiff left the Fire Department and remained in that position from September of 2007 until May of 2014, at which time she became the Fire Chief's Secretary…. Although she was still serving as the Fire Chief's Secretary when she interacted with Plaintiff at the May 22</w:t>
      </w:r>
      <w:r>
        <w:rPr>
          <w:vertAlign w:val="superscript"/>
        </w:rPr>
        <w:t>nd</w:t>
      </w:r>
      <w:r>
        <w:t xml:space="preserve"> reception, she was then suffering from Stage IV cancer. She died approximately four and a half months later. </w:t>
      </w:r>
    </w:p>
    <w:p w14:paraId="62954B9F" w14:textId="77777777" w:rsidR="00C67B2A" w:rsidRDefault="00C67B2A" w:rsidP="00C67B2A">
      <w:pPr>
        <w:pStyle w:val="NormalWeb"/>
        <w:ind w:left="720"/>
      </w:pPr>
      <w:r>
        <w:t>***</w:t>
      </w:r>
    </w:p>
    <w:p w14:paraId="1482F97E" w14:textId="77777777" w:rsidR="00C67B2A" w:rsidRPr="00C522AD" w:rsidRDefault="00C67B2A" w:rsidP="00C67B2A">
      <w:pPr>
        <w:pStyle w:val="NormalWeb"/>
        <w:ind w:left="720"/>
      </w:pPr>
      <w:r>
        <w:t>Plaintiff was, in fact, terminated two weeks after his protected activity. Importantly, however, his June 6, 2019, termination date was also two weeks after: (</w:t>
      </w:r>
      <w:proofErr w:type="spellStart"/>
      <w:r>
        <w:t>i</w:t>
      </w:r>
      <w:proofErr w:type="spellEnd"/>
      <w:r>
        <w:t>) Plaintiff's involvement in a public altercation with another City employee at an official retirement reception; and (ii) his alleged untruthfulness about having been invited to the retirement reception, which was the reason proffered by the City as its legitimate non-retaliatory reason for Plaintiff's termination. Plaintiff has not provided evidence to show that his complaint of sexual harassment, as opposed to his involvement in the events at the May 22</w:t>
      </w:r>
      <w:r>
        <w:rPr>
          <w:vertAlign w:val="superscript"/>
        </w:rPr>
        <w:t>nd</w:t>
      </w:r>
      <w:r>
        <w:t xml:space="preserve"> retirement reception or his supervisor's belief that he had lied, was the but-for </w:t>
      </w:r>
      <w:proofErr w:type="gramStart"/>
      <w:r>
        <w:t>cause</w:t>
      </w:r>
      <w:proofErr w:type="gramEnd"/>
      <w:r>
        <w:t xml:space="preserve"> of his termination.” </w:t>
      </w:r>
      <w:hyperlink r:id="rId1456" w:history="1">
        <w:r w:rsidRPr="00410682">
          <w:rPr>
            <w:rStyle w:val="Hyperlink"/>
          </w:rPr>
          <w:t>https://public.fastcase.com/9SKwsfNqTc6OieYDhNMyM7EtuTmvkEcI7U0T89k%2BFJTh0eKfnpK7LfgjErs00V3IPt4y6nTMDAAfexS5sEGnBSDT8xghzv1Bl3HZnDYTQZc%3D</w:t>
        </w:r>
      </w:hyperlink>
      <w:r>
        <w:t xml:space="preserve"> </w:t>
      </w:r>
    </w:p>
    <w:p w14:paraId="50BD01C3" w14:textId="77777777" w:rsidR="00C67B2A" w:rsidRPr="008120B4" w:rsidRDefault="00C67B2A" w:rsidP="00C67B2A">
      <w:pPr>
        <w:spacing w:before="100" w:beforeAutospacing="1" w:after="100" w:afterAutospacing="1" w:line="240" w:lineRule="auto"/>
        <w:rPr>
          <w:rFonts w:ascii="Times New Roman" w:eastAsia="Times New Roman" w:hAnsi="Times New Roman"/>
          <w:b/>
          <w:bCs/>
          <w:sz w:val="24"/>
          <w:szCs w:val="24"/>
        </w:rPr>
      </w:pPr>
      <w:r w:rsidRPr="008120B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“At will” employees can be fired “with or without notice or cause.”</w:t>
      </w:r>
    </w:p>
    <w:p w14:paraId="20337FE8" w14:textId="77777777" w:rsidR="00C67B2A" w:rsidRDefault="00C67B2A" w:rsidP="002B1283">
      <w:pPr>
        <w:rPr>
          <w:rFonts w:ascii="Arial Black" w:hAnsi="Arial Black"/>
          <w:b/>
          <w:sz w:val="24"/>
          <w:szCs w:val="24"/>
        </w:rPr>
      </w:pPr>
    </w:p>
    <w:p w14:paraId="0332904E" w14:textId="370043BD" w:rsidR="00BD1702" w:rsidRDefault="00BD1702" w:rsidP="002B1283">
      <w:pPr>
        <w:rPr>
          <w:rFonts w:ascii="Arial Black" w:hAnsi="Arial Black"/>
          <w:b/>
          <w:sz w:val="24"/>
          <w:szCs w:val="24"/>
        </w:rPr>
      </w:pPr>
      <w:r>
        <w:rPr>
          <w:rFonts w:ascii="Arial Black" w:hAnsi="Arial Black"/>
          <w:b/>
          <w:sz w:val="24"/>
          <w:szCs w:val="24"/>
        </w:rPr>
        <w:t>7-36</w:t>
      </w:r>
    </w:p>
    <w:p w14:paraId="02EF9286" w14:textId="77777777" w:rsidR="00BD1702" w:rsidRDefault="00BD1702" w:rsidP="00BD1702">
      <w:pPr>
        <w:pStyle w:val="Heading1"/>
        <w:rPr>
          <w:rFonts w:ascii="Arial Black" w:hAnsi="Arial Black"/>
          <w:b w:val="0"/>
          <w:bCs w:val="0"/>
          <w:sz w:val="28"/>
          <w:szCs w:val="28"/>
        </w:rPr>
      </w:pPr>
      <w:r>
        <w:rPr>
          <w:rFonts w:ascii="Arial Black" w:hAnsi="Arial Black"/>
          <w:b w:val="0"/>
          <w:bCs w:val="0"/>
          <w:sz w:val="28"/>
          <w:szCs w:val="28"/>
        </w:rPr>
        <w:t>NY: FDNY “CALENDAR GIRL” – LAWSUIT DISMISSED – NO PROOF OF DISCRIMINATION BY HER FEMALE SUPERVISOR</w:t>
      </w:r>
    </w:p>
    <w:p w14:paraId="3BD4D860" w14:textId="77777777" w:rsidR="00BD1702" w:rsidRDefault="00BD1702" w:rsidP="00BD1702">
      <w:pPr>
        <w:pStyle w:val="Heading1"/>
        <w:rPr>
          <w:noProof/>
          <w:sz w:val="22"/>
          <w:szCs w:val="22"/>
        </w:rPr>
      </w:pPr>
      <w:r>
        <w:rPr>
          <w:b w:val="0"/>
          <w:bCs w:val="0"/>
          <w:sz w:val="22"/>
          <w:szCs w:val="22"/>
        </w:rPr>
        <w:t xml:space="preserve">On September 21, 2021, in </w:t>
      </w:r>
      <w:r>
        <w:rPr>
          <w:b w:val="0"/>
          <w:bCs w:val="0"/>
          <w:sz w:val="22"/>
          <w:szCs w:val="22"/>
          <w:u w:val="single"/>
        </w:rPr>
        <w:t>Margot Loth v. City of New York,</w:t>
      </w:r>
      <w:r>
        <w:rPr>
          <w:b w:val="0"/>
          <w:bCs w:val="0"/>
          <w:sz w:val="22"/>
          <w:szCs w:val="22"/>
        </w:rPr>
        <w:t xml:space="preserve"> U.S. District Court Judge George B. Daniels granted the City’s motion for summary judgment.  In 2019, plaintiff was featured in the NYFD’s “Calendar of Heroes.”   </w:t>
      </w:r>
    </w:p>
    <w:p w14:paraId="6F7DAF78" w14:textId="77777777" w:rsidR="00BD1702" w:rsidRDefault="00BD1702" w:rsidP="00BD1702">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“With regards to the ‘calendar girl’ moniker, Plaintiff [EMT] argues that Tiberi's [Captain Donna Lynn Hannon Tiberi] ‘inherent reference to [</w:t>
      </w:r>
      <w:proofErr w:type="gramStart"/>
      <w:r>
        <w:rPr>
          <w:rFonts w:ascii="Times New Roman" w:hAnsi="Times New Roman"/>
          <w:sz w:val="24"/>
          <w:szCs w:val="24"/>
        </w:rPr>
        <w:t>Plaintiffs</w:t>
      </w:r>
      <w:proofErr w:type="gramEnd"/>
      <w:r>
        <w:rPr>
          <w:rFonts w:ascii="Times New Roman" w:hAnsi="Times New Roman"/>
          <w:sz w:val="24"/>
          <w:szCs w:val="24"/>
        </w:rPr>
        <w:t xml:space="preserve">] gender’ and the fact that the comment was used in a ‘disparaging’ manner, is sufficient to give rise to an inference of discrimination. (Pl.'s Opp. 19.) However, the mere fact that Plaintiffs gender was mentioned is insufficient to establish an inference of discrimination…. Therefore, Plaintiff has failed to plausibly allege that Tiberi's reference to Plaintiff as ‘calendar girl’ supports an inference of discriminatory animus.” </w:t>
      </w:r>
      <w:hyperlink r:id="rId1457" w:history="1">
        <w:r>
          <w:rPr>
            <w:rStyle w:val="Hyperlink"/>
            <w:sz w:val="24"/>
            <w:szCs w:val="24"/>
          </w:rPr>
          <w:t>https://www.leagle.com/decision/infdco20210924575</w:t>
        </w:r>
      </w:hyperlink>
      <w:r>
        <w:rPr>
          <w:rFonts w:ascii="Times New Roman" w:hAnsi="Times New Roman"/>
          <w:sz w:val="24"/>
          <w:szCs w:val="24"/>
        </w:rPr>
        <w:t xml:space="preserve"> </w:t>
      </w:r>
    </w:p>
    <w:p w14:paraId="5B12B132" w14:textId="77777777" w:rsidR="00BD1702" w:rsidRDefault="00BD1702" w:rsidP="00BD1702">
      <w:pPr>
        <w:pStyle w:val="Heading1"/>
        <w:rPr>
          <w:sz w:val="24"/>
          <w:szCs w:val="24"/>
        </w:rPr>
      </w:pPr>
      <w:r>
        <w:rPr>
          <w:sz w:val="24"/>
          <w:szCs w:val="24"/>
        </w:rPr>
        <w:t xml:space="preserve">Legal Lesson Learned: Plaintiff failed to prove her employment was “materially </w:t>
      </w:r>
      <w:proofErr w:type="gramStart"/>
      <w:r>
        <w:rPr>
          <w:sz w:val="24"/>
          <w:szCs w:val="24"/>
        </w:rPr>
        <w:t>change:</w:t>
      </w:r>
      <w:proofErr w:type="gramEnd"/>
      <w:r>
        <w:rPr>
          <w:sz w:val="24"/>
          <w:szCs w:val="24"/>
        </w:rPr>
        <w:t xml:space="preserve"> based on discipline imposed by her Supervisor. </w:t>
      </w:r>
    </w:p>
    <w:p w14:paraId="3FCBA7C2" w14:textId="7724BABB" w:rsidR="00BD1702" w:rsidRPr="00D43015" w:rsidRDefault="00BD1702" w:rsidP="00D43015">
      <w:pPr>
        <w:ind w:left="720"/>
        <w:rPr>
          <w:rFonts w:ascii="Times New Roman" w:hAnsi="Times New Roman"/>
          <w:b/>
          <w:sz w:val="24"/>
          <w:szCs w:val="24"/>
        </w:rPr>
      </w:pPr>
      <w:r w:rsidRPr="00D43015">
        <w:rPr>
          <w:rFonts w:ascii="Times New Roman" w:hAnsi="Times New Roman"/>
          <w:sz w:val="24"/>
          <w:szCs w:val="24"/>
        </w:rPr>
        <w:t xml:space="preserve">Note: See the Oct. 4, </w:t>
      </w:r>
      <w:proofErr w:type="gramStart"/>
      <w:r w:rsidRPr="00D43015">
        <w:rPr>
          <w:rFonts w:ascii="Times New Roman" w:hAnsi="Times New Roman"/>
          <w:sz w:val="24"/>
          <w:szCs w:val="24"/>
        </w:rPr>
        <w:t>2021</w:t>
      </w:r>
      <w:proofErr w:type="gramEnd"/>
      <w:r w:rsidRPr="00D43015">
        <w:rPr>
          <w:rFonts w:ascii="Times New Roman" w:hAnsi="Times New Roman"/>
          <w:sz w:val="24"/>
          <w:szCs w:val="24"/>
        </w:rPr>
        <w:t xml:space="preserve"> article, “Judge dismisses federal gender discrimination suit of FDNY EMT who posed for calendar.”</w:t>
      </w:r>
      <w:r w:rsidRPr="00D43015">
        <w:rPr>
          <w:rFonts w:ascii="Times New Roman" w:hAnsi="Times New Roman"/>
          <w:b/>
          <w:bCs/>
          <w:sz w:val="24"/>
          <w:szCs w:val="24"/>
        </w:rPr>
        <w:t xml:space="preserve">  </w:t>
      </w:r>
      <w:r w:rsidRPr="00D43015">
        <w:rPr>
          <w:rFonts w:ascii="Times New Roman" w:hAnsi="Times New Roman"/>
          <w:sz w:val="24"/>
          <w:szCs w:val="24"/>
        </w:rPr>
        <w:t xml:space="preserve">In a prior posting on the FDNY Foundation's Facebook page, Loth spoke about her reasons for posing for the calendar. ‘I know some very strong and beautiful women from the previous calendars, and they were such an inspiration to me,’ she said. ‘We are a force to be reckoned with in this department. We are comfortable with our skills, strong, confident, and we look out for each other. We are opening doors and breaking glass ceilings, and I am proud to be a part of it.’ </w:t>
      </w:r>
      <w:hyperlink r:id="rId1458" w:history="1">
        <w:r w:rsidRPr="00D43015">
          <w:rPr>
            <w:rStyle w:val="Hyperlink"/>
            <w:rFonts w:ascii="Times New Roman" w:hAnsi="Times New Roman"/>
            <w:sz w:val="24"/>
            <w:szCs w:val="24"/>
          </w:rPr>
          <w:t>https://www.firerescue1.com/lawsuit/articles/judge-dismisses-federal-gender-discrimination-suit-of-fdny-emt-who-posed-for-calendar-v4FDLqPObm3t3BSV/?utm_source=FireRescue1&amp;utm_campaign=dfa53e36a0-EMAIL_CAMPAIGN_2021_10_08_06_27&amp;utm_medium=email&amp;utm_term=0_1d76c7ca1b-dfa53e36a0-91025172</w:t>
        </w:r>
      </w:hyperlink>
    </w:p>
    <w:p w14:paraId="5A71F094" w14:textId="77777777" w:rsidR="00BD1702" w:rsidRDefault="00BD1702" w:rsidP="002B1283">
      <w:pPr>
        <w:rPr>
          <w:rFonts w:ascii="Arial Black" w:hAnsi="Arial Black"/>
          <w:b/>
          <w:sz w:val="24"/>
          <w:szCs w:val="24"/>
        </w:rPr>
      </w:pPr>
    </w:p>
    <w:p w14:paraId="62DC0B26" w14:textId="45D6BF33" w:rsidR="00BD263B" w:rsidRDefault="00BD263B" w:rsidP="002B1283">
      <w:pPr>
        <w:rPr>
          <w:rFonts w:ascii="Arial Black" w:hAnsi="Arial Black"/>
          <w:b/>
          <w:sz w:val="24"/>
          <w:szCs w:val="24"/>
        </w:rPr>
      </w:pPr>
      <w:r>
        <w:rPr>
          <w:rFonts w:ascii="Arial Black" w:hAnsi="Arial Black"/>
          <w:b/>
          <w:sz w:val="24"/>
          <w:szCs w:val="24"/>
        </w:rPr>
        <w:t>7-35</w:t>
      </w:r>
    </w:p>
    <w:p w14:paraId="5C49381F" w14:textId="77777777" w:rsidR="00BD263B" w:rsidRDefault="00BD263B" w:rsidP="00BD263B">
      <w:pPr>
        <w:pStyle w:val="Heading1"/>
        <w:rPr>
          <w:b w:val="0"/>
          <w:bCs w:val="0"/>
          <w:sz w:val="24"/>
          <w:szCs w:val="24"/>
        </w:rPr>
      </w:pPr>
      <w:bookmarkStart w:id="284" w:name="_Hlk81842187"/>
      <w:r>
        <w:rPr>
          <w:rFonts w:ascii="Arial Black" w:hAnsi="Arial Black"/>
          <w:sz w:val="28"/>
          <w:szCs w:val="28"/>
        </w:rPr>
        <w:t xml:space="preserve">NB: FEMALE FF - DENIED “OUTSIDE” INVESTIGATION BY COURT - CAPTAIN NEVER ABANDONED CREW </w:t>
      </w:r>
    </w:p>
    <w:bookmarkEnd w:id="284"/>
    <w:p w14:paraId="7FFAEE1A" w14:textId="77777777" w:rsidR="00BD263B" w:rsidRPr="002F0EFC" w:rsidRDefault="00BD263B" w:rsidP="00BD263B">
      <w:pPr>
        <w:pStyle w:val="Heading1"/>
        <w:rPr>
          <w:b w:val="0"/>
          <w:bCs w:val="0"/>
          <w:sz w:val="24"/>
          <w:szCs w:val="24"/>
        </w:rPr>
      </w:pPr>
      <w:r>
        <w:rPr>
          <w:b w:val="0"/>
          <w:bCs w:val="0"/>
          <w:sz w:val="24"/>
          <w:szCs w:val="24"/>
        </w:rPr>
        <w:t xml:space="preserve">On Aug. 16, 2021, in </w:t>
      </w:r>
      <w:r w:rsidRPr="002F0EFC">
        <w:rPr>
          <w:b w:val="0"/>
          <w:bCs w:val="0"/>
          <w:sz w:val="24"/>
          <w:szCs w:val="24"/>
          <w:u w:val="single"/>
        </w:rPr>
        <w:t>Amanda Benson v. City of Lincoln, Shawn Mahler, et al</w:t>
      </w:r>
      <w:r>
        <w:rPr>
          <w:b w:val="0"/>
          <w:bCs w:val="0"/>
          <w:sz w:val="24"/>
          <w:szCs w:val="24"/>
        </w:rPr>
        <w:t>., Senior District Judge Richard G. Kopf, U.S. District Court for District of Nebraska, who is presiding over plaintiff’s pending lawsuit claiming sexual harassment over the years by Captain Shawn Mahler denied the plaintiff’s request for a preliminary injunction and hearing.  The judge denied her three requests: “(</w:t>
      </w:r>
      <w:r w:rsidRPr="002F0EFC">
        <w:rPr>
          <w:b w:val="0"/>
          <w:bCs w:val="0"/>
          <w:sz w:val="24"/>
          <w:szCs w:val="24"/>
        </w:rPr>
        <w:t xml:space="preserve">1) order the City of Lincoln to immediately initiate disciplinary proceedings against Mahler; </w:t>
      </w:r>
      <w:r>
        <w:rPr>
          <w:b w:val="0"/>
          <w:bCs w:val="0"/>
          <w:sz w:val="24"/>
          <w:szCs w:val="24"/>
        </w:rPr>
        <w:t>(</w:t>
      </w:r>
      <w:r w:rsidRPr="002F0EFC">
        <w:rPr>
          <w:b w:val="0"/>
          <w:bCs w:val="0"/>
          <w:sz w:val="24"/>
          <w:szCs w:val="24"/>
        </w:rPr>
        <w:t xml:space="preserve">2) enjoin Mahler from assignment/dispatch to any fire scene during the pendency of disciplinary proceedings; and </w:t>
      </w:r>
      <w:r>
        <w:rPr>
          <w:b w:val="0"/>
          <w:bCs w:val="0"/>
          <w:sz w:val="24"/>
          <w:szCs w:val="24"/>
        </w:rPr>
        <w:t>(</w:t>
      </w:r>
      <w:r w:rsidRPr="002F0EFC">
        <w:rPr>
          <w:b w:val="0"/>
          <w:bCs w:val="0"/>
          <w:sz w:val="24"/>
          <w:szCs w:val="24"/>
        </w:rPr>
        <w:t>3) appoint an independent, third-party investigator to investigate Plaintiff's complaint about Mahler's actions at the recent warehouse fire."</w:t>
      </w:r>
      <w:r>
        <w:rPr>
          <w:b w:val="0"/>
          <w:bCs w:val="0"/>
          <w:sz w:val="24"/>
          <w:szCs w:val="24"/>
        </w:rPr>
        <w:t xml:space="preserve">  The judge found that no firefighter or officer at that scene of the warehouse fire confirmed her allegation that Captain Mahler had “abandoned” her and no one reported any safety concerns to the Safety Officer.  Federal courts are not “super-personnel departments.” </w:t>
      </w:r>
    </w:p>
    <w:p w14:paraId="588D4A6A" w14:textId="77777777" w:rsidR="00BD263B" w:rsidRDefault="00BD263B" w:rsidP="00BD263B">
      <w:pPr>
        <w:pStyle w:val="Heading1"/>
        <w:ind w:left="720"/>
        <w:rPr>
          <w:b w:val="0"/>
          <w:bCs w:val="0"/>
          <w:sz w:val="24"/>
          <w:szCs w:val="24"/>
        </w:rPr>
      </w:pPr>
      <w:r>
        <w:rPr>
          <w:b w:val="0"/>
          <w:bCs w:val="0"/>
          <w:sz w:val="24"/>
          <w:szCs w:val="24"/>
        </w:rPr>
        <w:t>“</w:t>
      </w:r>
      <w:r w:rsidRPr="00EA597C">
        <w:rPr>
          <w:b w:val="0"/>
          <w:bCs w:val="0"/>
          <w:sz w:val="24"/>
          <w:szCs w:val="24"/>
        </w:rPr>
        <w:t>The relief requested in Plaintiff's Motion is not to remedy discriminatory employment practices, but to impose directives upon LFR regarding whom it should discipline, whom it should send to fire scenes, and whom to investigate—issues in which federal courts should not be involved</w:t>
      </w:r>
      <w:r>
        <w:rPr>
          <w:b w:val="0"/>
          <w:bCs w:val="0"/>
          <w:sz w:val="24"/>
          <w:szCs w:val="24"/>
        </w:rPr>
        <w:t xml:space="preserve">….  </w:t>
      </w:r>
      <w:r w:rsidRPr="002F0EFC">
        <w:rPr>
          <w:b w:val="0"/>
          <w:bCs w:val="0"/>
          <w:i/>
          <w:iCs/>
          <w:sz w:val="24"/>
          <w:szCs w:val="24"/>
        </w:rPr>
        <w:t>See Gardner v. Wal-Mart Stores, Inc.,</w:t>
      </w:r>
      <w:r w:rsidRPr="002F0EFC">
        <w:rPr>
          <w:b w:val="0"/>
          <w:bCs w:val="0"/>
          <w:sz w:val="24"/>
          <w:szCs w:val="24"/>
        </w:rPr>
        <w:t xml:space="preserve"> 2 F.4th 745, 748-49 (8th Cir. 2021) (federal courts are not super-personnel departments who reexamine an employer's business decisions)</w:t>
      </w:r>
      <w:r>
        <w:rPr>
          <w:b w:val="0"/>
          <w:bCs w:val="0"/>
          <w:sz w:val="24"/>
          <w:szCs w:val="24"/>
        </w:rPr>
        <w:t xml:space="preserve">. </w:t>
      </w:r>
    </w:p>
    <w:p w14:paraId="3F6C9ECC" w14:textId="77777777" w:rsidR="00BD263B" w:rsidRDefault="00BD263B" w:rsidP="00BD263B">
      <w:pPr>
        <w:pStyle w:val="Heading1"/>
        <w:ind w:firstLine="720"/>
        <w:rPr>
          <w:b w:val="0"/>
          <w:bCs w:val="0"/>
          <w:sz w:val="24"/>
          <w:szCs w:val="24"/>
        </w:rPr>
      </w:pPr>
      <w:r>
        <w:rPr>
          <w:b w:val="0"/>
          <w:bCs w:val="0"/>
          <w:sz w:val="24"/>
          <w:szCs w:val="24"/>
        </w:rPr>
        <w:t>***</w:t>
      </w:r>
    </w:p>
    <w:p w14:paraId="4514CD3A" w14:textId="77777777" w:rsidR="00BD263B" w:rsidRDefault="00BD263B" w:rsidP="00BD263B">
      <w:pPr>
        <w:pStyle w:val="Heading1"/>
        <w:ind w:left="720"/>
        <w:rPr>
          <w:b w:val="0"/>
          <w:bCs w:val="0"/>
          <w:sz w:val="24"/>
          <w:szCs w:val="24"/>
          <w:vertAlign w:val="superscript"/>
        </w:rPr>
      </w:pPr>
      <w:r w:rsidRPr="002F0EFC">
        <w:rPr>
          <w:b w:val="0"/>
          <w:bCs w:val="0"/>
          <w:sz w:val="24"/>
          <w:szCs w:val="24"/>
        </w:rPr>
        <w:t xml:space="preserve">The evidence shows that, with the exception of Plaintiff, no person on Mahler's and Plaintiff's crew, nor the Incident Commander or the Safety Officer, believed that Mahler was a Ventilation Group Supervisor, that Mahler abandoned Plaintiff and her crew in a dangerous situation, or that Mahler was duty-bound to direct or supervise Plaintiff and her crew. In short, there is no evidence that Plaintiff and Mahler were anything more than peers in the incident at issue. The court declines to grant an injunction against Mahler for failing to direct, supervise, and protect when he was under no duty to do so. The equities of this situation simply do not warrant preliminary injunctive </w:t>
      </w:r>
      <w:proofErr w:type="gramStart"/>
      <w:r w:rsidRPr="002F0EFC">
        <w:rPr>
          <w:b w:val="0"/>
          <w:bCs w:val="0"/>
          <w:sz w:val="24"/>
          <w:szCs w:val="24"/>
        </w:rPr>
        <w:t>relief</w:t>
      </w:r>
      <w:r>
        <w:rPr>
          <w:b w:val="0"/>
          <w:bCs w:val="0"/>
          <w:sz w:val="24"/>
          <w:szCs w:val="24"/>
        </w:rPr>
        <w:t>.”</w:t>
      </w:r>
      <w:proofErr w:type="gramEnd"/>
      <w:r>
        <w:rPr>
          <w:b w:val="0"/>
          <w:bCs w:val="0"/>
          <w:sz w:val="24"/>
          <w:szCs w:val="24"/>
        </w:rPr>
        <w:t xml:space="preserve"> </w:t>
      </w:r>
      <w:hyperlink r:id="rId1459" w:history="1">
        <w:r w:rsidRPr="00EE73D5">
          <w:rPr>
            <w:rStyle w:val="Hyperlink"/>
            <w:sz w:val="24"/>
            <w:szCs w:val="24"/>
          </w:rPr>
          <w:t>https://scholar.google.com/scholar_case?case=18355840808386135290&amp;hl=en&amp;as_sdt=6&amp;as_vis=1&amp;oi=scholarr</w:t>
        </w:r>
      </w:hyperlink>
      <w:r>
        <w:rPr>
          <w:b w:val="0"/>
          <w:bCs w:val="0"/>
          <w:sz w:val="24"/>
          <w:szCs w:val="24"/>
        </w:rPr>
        <w:t xml:space="preserve"> </w:t>
      </w:r>
    </w:p>
    <w:p w14:paraId="311505C4" w14:textId="77777777" w:rsidR="00BD263B" w:rsidRPr="007C2273" w:rsidRDefault="00BD263B" w:rsidP="00BD263B">
      <w:pPr>
        <w:tabs>
          <w:tab w:val="left" w:pos="3090"/>
        </w:tabs>
        <w:spacing w:after="100" w:line="240" w:lineRule="auto"/>
        <w:rPr>
          <w:rFonts w:ascii="Times New Roman" w:eastAsia="Times New Roman" w:hAnsi="Times New Roman"/>
          <w:b/>
          <w:bCs/>
          <w:sz w:val="24"/>
          <w:szCs w:val="24"/>
        </w:rPr>
      </w:pPr>
      <w:r w:rsidRPr="007C2273">
        <w:rPr>
          <w:rFonts w:ascii="Times New Roman" w:hAnsi="Times New Roman"/>
          <w:b/>
          <w:bCs/>
          <w:sz w:val="24"/>
          <w:szCs w:val="24"/>
        </w:rPr>
        <w:t>Legal Lesson Learned</w:t>
      </w:r>
      <w:r>
        <w:rPr>
          <w:rFonts w:ascii="Times New Roman" w:hAnsi="Times New Roman"/>
          <w:b/>
          <w:bCs/>
          <w:sz w:val="24"/>
          <w:szCs w:val="24"/>
        </w:rPr>
        <w:t xml:space="preserve">:  Federal courts will issue injunctions only when there is a threat of “irreparable harm.” </w:t>
      </w:r>
    </w:p>
    <w:p w14:paraId="0E8AF3B8" w14:textId="77777777" w:rsidR="00BD263B" w:rsidRPr="007A4A18" w:rsidRDefault="00BD263B" w:rsidP="00BD263B">
      <w:pPr>
        <w:pStyle w:val="Heading1"/>
        <w:ind w:left="720"/>
        <w:rPr>
          <w:b w:val="0"/>
          <w:bCs w:val="0"/>
          <w:sz w:val="24"/>
          <w:szCs w:val="24"/>
        </w:rPr>
      </w:pPr>
      <w:r w:rsidRPr="007A4A18">
        <w:rPr>
          <w:b w:val="0"/>
          <w:bCs w:val="0"/>
          <w:sz w:val="24"/>
          <w:szCs w:val="24"/>
        </w:rPr>
        <w:t xml:space="preserve">Note: See Aug. 20, </w:t>
      </w:r>
      <w:proofErr w:type="gramStart"/>
      <w:r w:rsidRPr="007A4A18">
        <w:rPr>
          <w:b w:val="0"/>
          <w:bCs w:val="0"/>
          <w:sz w:val="24"/>
          <w:szCs w:val="24"/>
        </w:rPr>
        <w:t>2021</w:t>
      </w:r>
      <w:proofErr w:type="gramEnd"/>
      <w:r w:rsidRPr="007A4A18">
        <w:rPr>
          <w:b w:val="0"/>
          <w:bCs w:val="0"/>
          <w:sz w:val="24"/>
          <w:szCs w:val="24"/>
        </w:rPr>
        <w:t xml:space="preserve"> article:</w:t>
      </w:r>
      <w:r>
        <w:rPr>
          <w:sz w:val="24"/>
          <w:szCs w:val="24"/>
        </w:rPr>
        <w:t xml:space="preserve"> </w:t>
      </w:r>
      <w:r w:rsidRPr="007A4A18">
        <w:rPr>
          <w:b w:val="0"/>
          <w:bCs w:val="0"/>
          <w:sz w:val="24"/>
          <w:szCs w:val="24"/>
        </w:rPr>
        <w:t xml:space="preserve">“Federal judge denies request for injunction, independent review in firefighter's lawsuit.” </w:t>
      </w:r>
      <w:hyperlink r:id="rId1460" w:history="1">
        <w:r w:rsidRPr="00EE73D5">
          <w:rPr>
            <w:rStyle w:val="Hyperlink"/>
            <w:sz w:val="24"/>
            <w:szCs w:val="24"/>
          </w:rPr>
          <w:t>https://journalstar.com/news/local/crime-and-courts/federal-judge-denies-request-for-injunction-independent-review-in-firefights-lawsuit/article_57be96fb-75f1-5b57-90b3-87e7c60cfb50.html</w:t>
        </w:r>
      </w:hyperlink>
      <w:r>
        <w:rPr>
          <w:b w:val="0"/>
          <w:bCs w:val="0"/>
          <w:sz w:val="24"/>
          <w:szCs w:val="24"/>
        </w:rPr>
        <w:t xml:space="preserve"> </w:t>
      </w:r>
    </w:p>
    <w:p w14:paraId="03B48036" w14:textId="77777777" w:rsidR="00BD263B" w:rsidRPr="007A4A18" w:rsidRDefault="00BD263B" w:rsidP="00BD263B">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7A4A18">
        <w:rPr>
          <w:rFonts w:ascii="Times New Roman" w:eastAsia="Times New Roman" w:hAnsi="Times New Roman"/>
          <w:sz w:val="24"/>
          <w:szCs w:val="24"/>
        </w:rPr>
        <w:t>In 2018, Benson sued, alleging that the city turned a blind eye to complaints about a hostile work environment, exonerated employees who contributed to it and failed to take steps to fix it.</w:t>
      </w:r>
      <w:r>
        <w:rPr>
          <w:rFonts w:ascii="Times New Roman" w:eastAsia="Times New Roman" w:hAnsi="Times New Roman"/>
          <w:sz w:val="24"/>
          <w:szCs w:val="24"/>
        </w:rPr>
        <w:t xml:space="preserve"> </w:t>
      </w:r>
      <w:r w:rsidRPr="007A4A18">
        <w:rPr>
          <w:rFonts w:ascii="Times New Roman" w:eastAsia="Times New Roman" w:hAnsi="Times New Roman"/>
          <w:sz w:val="24"/>
          <w:szCs w:val="24"/>
        </w:rPr>
        <w:t>The lawsuit followed two others by then-</w:t>
      </w:r>
      <w:proofErr w:type="spellStart"/>
      <w:r w:rsidRPr="007A4A18">
        <w:rPr>
          <w:rFonts w:ascii="Times New Roman" w:eastAsia="Times New Roman" w:hAnsi="Times New Roman"/>
          <w:sz w:val="24"/>
          <w:szCs w:val="24"/>
        </w:rPr>
        <w:t>Capts</w:t>
      </w:r>
      <w:proofErr w:type="spellEnd"/>
      <w:r w:rsidRPr="007A4A18">
        <w:rPr>
          <w:rFonts w:ascii="Times New Roman" w:eastAsia="Times New Roman" w:hAnsi="Times New Roman"/>
          <w:sz w:val="24"/>
          <w:szCs w:val="24"/>
        </w:rPr>
        <w:t>. Brian Giles and Troy Hurd, alleging they faced retaliation for reporting harassment of female firefighters.</w:t>
      </w:r>
      <w:r>
        <w:rPr>
          <w:rFonts w:ascii="Times New Roman" w:eastAsia="Times New Roman" w:hAnsi="Times New Roman"/>
          <w:sz w:val="24"/>
          <w:szCs w:val="24"/>
        </w:rPr>
        <w:t xml:space="preserve"> </w:t>
      </w:r>
      <w:r w:rsidRPr="007A4A18">
        <w:rPr>
          <w:rFonts w:ascii="Times New Roman" w:eastAsia="Times New Roman" w:hAnsi="Times New Roman"/>
          <w:sz w:val="24"/>
          <w:szCs w:val="24"/>
        </w:rPr>
        <w:t>In 2019, a federal jury awarded Hurd $1.1 million. The judgment later was reduced by a judge, and the city agreed to pay Hurd $600,000 to avoid a second trial.</w:t>
      </w:r>
      <w:r>
        <w:rPr>
          <w:rFonts w:ascii="Times New Roman" w:eastAsia="Times New Roman" w:hAnsi="Times New Roman"/>
          <w:sz w:val="24"/>
          <w:szCs w:val="24"/>
        </w:rPr>
        <w:t>”</w:t>
      </w:r>
    </w:p>
    <w:p w14:paraId="6E35847B" w14:textId="77777777" w:rsidR="00BD263B" w:rsidRDefault="00BD263B" w:rsidP="002B1283">
      <w:pPr>
        <w:rPr>
          <w:rFonts w:ascii="Arial Black" w:hAnsi="Arial Black"/>
          <w:b/>
          <w:sz w:val="24"/>
          <w:szCs w:val="24"/>
        </w:rPr>
      </w:pPr>
    </w:p>
    <w:p w14:paraId="7B4A97E2" w14:textId="77777777" w:rsidR="00BD263B" w:rsidRDefault="00BD263B" w:rsidP="002B1283">
      <w:pPr>
        <w:rPr>
          <w:rFonts w:ascii="Arial Black" w:hAnsi="Arial Black"/>
          <w:b/>
          <w:sz w:val="24"/>
          <w:szCs w:val="24"/>
        </w:rPr>
      </w:pPr>
    </w:p>
    <w:p w14:paraId="2D7B7107" w14:textId="2EA4973C" w:rsidR="00BD263B" w:rsidRDefault="00BD263B" w:rsidP="002B1283">
      <w:pPr>
        <w:rPr>
          <w:rFonts w:ascii="Arial Black" w:hAnsi="Arial Black"/>
          <w:b/>
          <w:sz w:val="24"/>
          <w:szCs w:val="24"/>
        </w:rPr>
      </w:pPr>
      <w:r>
        <w:rPr>
          <w:rFonts w:ascii="Arial Black" w:hAnsi="Arial Black"/>
          <w:b/>
          <w:sz w:val="24"/>
          <w:szCs w:val="24"/>
        </w:rPr>
        <w:t>7-34</w:t>
      </w:r>
    </w:p>
    <w:p w14:paraId="3DBF6150" w14:textId="77777777" w:rsidR="00BD263B" w:rsidRPr="0013564B" w:rsidRDefault="00BD263B" w:rsidP="00BD263B">
      <w:pPr>
        <w:pStyle w:val="NormalWeb"/>
        <w:rPr>
          <w:rFonts w:ascii="Arial Black" w:hAnsi="Arial Black"/>
          <w:sz w:val="28"/>
          <w:szCs w:val="28"/>
        </w:rPr>
      </w:pPr>
      <w:bookmarkStart w:id="285" w:name="_Hlk81842244"/>
      <w:r>
        <w:rPr>
          <w:rFonts w:ascii="Arial Black" w:hAnsi="Arial Black"/>
          <w:sz w:val="28"/>
          <w:szCs w:val="28"/>
        </w:rPr>
        <w:t xml:space="preserve">UT: FEMALE BATTALION CHIEF – DEMOTED, TERMINATED –SEXIST COMMENTS SUPERIORS - LAWSUIT MAY PROCEED </w:t>
      </w:r>
    </w:p>
    <w:bookmarkEnd w:id="285"/>
    <w:p w14:paraId="7205176C" w14:textId="77777777" w:rsidR="00BD263B" w:rsidRDefault="00BD263B" w:rsidP="00BD263B">
      <w:pPr>
        <w:pStyle w:val="NormalWeb"/>
        <w:tabs>
          <w:tab w:val="left" w:pos="6730"/>
        </w:tabs>
      </w:pPr>
      <w:r>
        <w:t xml:space="preserve">On Aug. 10, 2021, in </w:t>
      </w:r>
      <w:r w:rsidRPr="0013564B">
        <w:rPr>
          <w:u w:val="single"/>
        </w:rPr>
        <w:t>Martha Ellis v. Salt Lake City Corp, et al</w:t>
      </w:r>
      <w:r>
        <w:t>., U.S. District Court judge Jill N. Parrish granted plaintiff’s motion to reinstate her Equal Protection claim based on her 2016 demotion from Battalion Chief / Fire Marshal to Captain, and termination on March 17, 2017.  The judge referenced her 22-year career with Salt Lake City Fire Department, the first and only female to hold rank of chief officer, and cited numerous offensive comments, including her immediate Supervisor [Deputy Chief] who allegedly “suggested that Ellis ‘throw tampons’ at her employees if they got ‘whiney’ and referred to other women in the Fire Department as ‘bitches’ and called them ‘bitchy.’”</w:t>
      </w:r>
    </w:p>
    <w:p w14:paraId="48607083" w14:textId="77777777" w:rsidR="00BD263B" w:rsidRDefault="00BD263B" w:rsidP="00BD263B">
      <w:pPr>
        <w:pStyle w:val="NormalWeb"/>
        <w:ind w:left="720"/>
      </w:pPr>
      <w:r>
        <w:t xml:space="preserve">“Here, Ellis has included sufficient factual allegations in her Complaint to state a plausible prima facie case of discriminatory demotion. First, she is a woman and is therefore within a protected group. Second, she alleges that she was adversely affected by the demotion because she lost rank and her pay was reduced. </w:t>
      </w:r>
      <w:r>
        <w:rPr>
          <w:rStyle w:val="Emphasis"/>
        </w:rPr>
        <w:t>See</w:t>
      </w:r>
      <w:r>
        <w:t xml:space="preserve"> ECF No. 54 at ¶131. Third, she alleges that she was qualified for the position from which she was demoted because she had held the position for seven years, had obtained postgraduate education, and had an exemplary employment record, including having won various awards. </w:t>
      </w:r>
      <w:r>
        <w:rPr>
          <w:rStyle w:val="Emphasis"/>
        </w:rPr>
        <w:t>See id.</w:t>
      </w:r>
      <w:r>
        <w:t xml:space="preserve"> </w:t>
      </w:r>
      <w:proofErr w:type="gramStart"/>
      <w:r>
        <w:t>at ¶¶</w:t>
      </w:r>
      <w:proofErr w:type="gramEnd"/>
      <w:r>
        <w:t xml:space="preserve"> 20-26. Finally, it can be reasonably inferred from the Complaint that the </w:t>
      </w:r>
      <w:proofErr w:type="gramStart"/>
      <w:r>
        <w:t>City</w:t>
      </w:r>
      <w:proofErr w:type="gramEnd"/>
      <w:r>
        <w:t xml:space="preserve"> did not eliminate the position after Ellis was demoted from it. This is because Ellis alleges that the city improperly failed to reinstate her to her former position even after the Civil Service Commission overturned her demotion. </w:t>
      </w:r>
      <w:r>
        <w:rPr>
          <w:rStyle w:val="Emphasis"/>
        </w:rPr>
        <w:t>See id.</w:t>
      </w:r>
      <w:r>
        <w:t xml:space="preserve"> at ¶¶ 176-178. Accordingly, the court reinstates Ellis's Section 1983 claim for discriminatory </w:t>
      </w:r>
      <w:proofErr w:type="gramStart"/>
      <w:r>
        <w:t>demotion.”</w:t>
      </w:r>
      <w:proofErr w:type="gramEnd"/>
      <w:r>
        <w:t xml:space="preserve"> </w:t>
      </w:r>
      <w:hyperlink r:id="rId1461" w:history="1">
        <w:r w:rsidRPr="00472D9E">
          <w:rPr>
            <w:rStyle w:val="Hyperlink"/>
          </w:rPr>
          <w:t>https://www.leagle.com/decision/infdco20210812991</w:t>
        </w:r>
      </w:hyperlink>
      <w:r>
        <w:t xml:space="preserve"> </w:t>
      </w:r>
    </w:p>
    <w:p w14:paraId="07A6BCD5" w14:textId="77777777" w:rsidR="00BD263B" w:rsidRPr="008729DF" w:rsidRDefault="00BD263B" w:rsidP="00BD263B">
      <w:pPr>
        <w:pStyle w:val="NormalWeb"/>
        <w:rPr>
          <w:b/>
          <w:bCs/>
        </w:rPr>
      </w:pPr>
      <w:r w:rsidRPr="008729DF">
        <w:rPr>
          <w:b/>
          <w:bCs/>
        </w:rPr>
        <w:t>Legal Lesson Learned:</w:t>
      </w:r>
      <w:r>
        <w:rPr>
          <w:b/>
          <w:bCs/>
        </w:rPr>
        <w:t xml:space="preserve"> Inappropriate, sexist comments can lead to EEOC charges and litigation. </w:t>
      </w:r>
    </w:p>
    <w:p w14:paraId="0DB6ED6F" w14:textId="77777777" w:rsidR="00BD263B" w:rsidRDefault="00BD263B" w:rsidP="002B1283">
      <w:pPr>
        <w:rPr>
          <w:rFonts w:ascii="Arial Black" w:hAnsi="Arial Black"/>
          <w:b/>
          <w:sz w:val="24"/>
          <w:szCs w:val="24"/>
        </w:rPr>
      </w:pPr>
    </w:p>
    <w:p w14:paraId="232280B1" w14:textId="77777777" w:rsidR="00BD263B" w:rsidRDefault="00BD263B" w:rsidP="002B1283">
      <w:pPr>
        <w:rPr>
          <w:rFonts w:ascii="Arial Black" w:hAnsi="Arial Black"/>
          <w:b/>
          <w:sz w:val="24"/>
          <w:szCs w:val="24"/>
        </w:rPr>
      </w:pPr>
    </w:p>
    <w:p w14:paraId="3130A682" w14:textId="73ABDBF7" w:rsidR="005217D5" w:rsidRDefault="005217D5" w:rsidP="002B1283">
      <w:pPr>
        <w:rPr>
          <w:rFonts w:ascii="Arial Black" w:hAnsi="Arial Black"/>
          <w:b/>
          <w:sz w:val="24"/>
          <w:szCs w:val="24"/>
        </w:rPr>
      </w:pPr>
      <w:r>
        <w:rPr>
          <w:rFonts w:ascii="Arial Black" w:hAnsi="Arial Black"/>
          <w:b/>
          <w:sz w:val="24"/>
          <w:szCs w:val="24"/>
        </w:rPr>
        <w:t>7-33</w:t>
      </w:r>
    </w:p>
    <w:p w14:paraId="112BE40C" w14:textId="77777777" w:rsidR="005217D5" w:rsidRPr="00827F2A" w:rsidRDefault="005217D5" w:rsidP="005217D5">
      <w:pPr>
        <w:rPr>
          <w:rStyle w:val="markedcontent"/>
          <w:rFonts w:ascii="Arial Black" w:hAnsi="Arial Black"/>
          <w:sz w:val="28"/>
          <w:szCs w:val="28"/>
        </w:rPr>
      </w:pPr>
      <w:r w:rsidRPr="00827F2A">
        <w:rPr>
          <w:rStyle w:val="markedcontent"/>
          <w:rFonts w:ascii="Arial Black" w:hAnsi="Arial Black"/>
          <w:sz w:val="28"/>
          <w:szCs w:val="28"/>
        </w:rPr>
        <w:t>MA:</w:t>
      </w:r>
      <w:r>
        <w:rPr>
          <w:rStyle w:val="markedcontent"/>
          <w:rFonts w:ascii="Arial Black" w:hAnsi="Arial Black"/>
          <w:sz w:val="28"/>
          <w:szCs w:val="28"/>
        </w:rPr>
        <w:t xml:space="preserve">  STATE CIVIL SERVICE COMMISSION ORDERS 3 FF REHIRED – FIRE CHIEF TO BE DISCIPLINED 2016 INCIDENT</w:t>
      </w:r>
    </w:p>
    <w:p w14:paraId="5BD85CAD" w14:textId="77777777" w:rsidR="005217D5" w:rsidRDefault="005217D5" w:rsidP="005217D5">
      <w:pPr>
        <w:rPr>
          <w:rStyle w:val="markedcontent"/>
          <w:rFonts w:ascii="Times New Roman" w:hAnsi="Times New Roman"/>
          <w:sz w:val="24"/>
          <w:szCs w:val="24"/>
        </w:rPr>
      </w:pPr>
      <w:r>
        <w:rPr>
          <w:rStyle w:val="markedcontent"/>
          <w:rFonts w:ascii="Times New Roman" w:hAnsi="Times New Roman"/>
          <w:sz w:val="24"/>
          <w:szCs w:val="24"/>
        </w:rPr>
        <w:t xml:space="preserve">On May 21, 2021, in </w:t>
      </w:r>
      <w:r w:rsidRPr="00827F2A">
        <w:rPr>
          <w:rStyle w:val="markedcontent"/>
          <w:rFonts w:ascii="Times New Roman" w:hAnsi="Times New Roman"/>
          <w:sz w:val="24"/>
          <w:szCs w:val="24"/>
          <w:u w:val="single"/>
        </w:rPr>
        <w:t>Kyle Miltimore, Rebecca Boutin, David Kennedy v. Westfield Fire Commission,</w:t>
      </w:r>
      <w:r>
        <w:rPr>
          <w:rStyle w:val="markedcontent"/>
          <w:rFonts w:ascii="Times New Roman" w:hAnsi="Times New Roman"/>
          <w:sz w:val="24"/>
          <w:szCs w:val="24"/>
        </w:rPr>
        <w:t xml:space="preserve"> the state Civil Service Commission held (5 to 0) that “</w:t>
      </w:r>
      <w:r w:rsidRPr="00827F2A">
        <w:rPr>
          <w:rStyle w:val="markedcontent"/>
          <w:rFonts w:ascii="Times New Roman" w:hAnsi="Times New Roman"/>
          <w:sz w:val="24"/>
          <w:szCs w:val="24"/>
        </w:rPr>
        <w:t>Westfield Fire Commission has not shown, by a preponderance of the evidence, that there was just cause for terminating the Appellants from their employment</w:t>
      </w:r>
      <w:r>
        <w:rPr>
          <w:rStyle w:val="markedcontent"/>
          <w:rFonts w:ascii="Times New Roman" w:hAnsi="Times New Roman"/>
          <w:sz w:val="24"/>
          <w:szCs w:val="24"/>
        </w:rPr>
        <w:t xml:space="preserve">.”  The two male firefighters and female Captain Rebecca Boutin were terminated in December 2019 upon recommendation of outside lawyer hired by the City. Female Captain to serve 30-day suspension, however, for incorrectly telling others that the then-Deputy Chief (now Fire Chief) was going to be arrested for rape.  All to be put back on </w:t>
      </w:r>
      <w:proofErr w:type="gramStart"/>
      <w:r>
        <w:rPr>
          <w:rStyle w:val="markedcontent"/>
          <w:rFonts w:ascii="Times New Roman" w:hAnsi="Times New Roman"/>
          <w:sz w:val="24"/>
          <w:szCs w:val="24"/>
        </w:rPr>
        <w:t>payroll, but</w:t>
      </w:r>
      <w:proofErr w:type="gramEnd"/>
      <w:r>
        <w:rPr>
          <w:rStyle w:val="markedcontent"/>
          <w:rFonts w:ascii="Times New Roman" w:hAnsi="Times New Roman"/>
          <w:sz w:val="24"/>
          <w:szCs w:val="24"/>
        </w:rPr>
        <w:t xml:space="preserve"> not return to work until Fire Chief is disciplined for admittedly grouping a female nurse off duty after a 2016 St. Patrick’s Day parade and the Commission’s other requirements for a “safe work environment” are in place. </w:t>
      </w:r>
    </w:p>
    <w:p w14:paraId="16683B28"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r w:rsidRPr="00E004CD">
        <w:rPr>
          <w:rStyle w:val="markedcontent"/>
          <w:rFonts w:ascii="Times New Roman" w:hAnsi="Times New Roman"/>
          <w:sz w:val="24"/>
          <w:szCs w:val="24"/>
        </w:rPr>
        <w:t xml:space="preserve">McDonald’s </w:t>
      </w:r>
      <w:r>
        <w:rPr>
          <w:rStyle w:val="markedcontent"/>
          <w:rFonts w:ascii="Times New Roman" w:hAnsi="Times New Roman"/>
          <w:sz w:val="24"/>
          <w:szCs w:val="24"/>
        </w:rPr>
        <w:t xml:space="preserve">[Investigating attorney Dawn McDonald, Esq.] </w:t>
      </w:r>
      <w:r w:rsidRPr="00E004CD">
        <w:rPr>
          <w:rStyle w:val="markedcontent"/>
          <w:rFonts w:ascii="Times New Roman" w:hAnsi="Times New Roman"/>
          <w:sz w:val="24"/>
          <w:szCs w:val="24"/>
        </w:rPr>
        <w:t>conclusion that the Appellants damaged the morale of the Westfield Fire Department is without merit and can be addressed summarily. As discussed in more detail below regarding disparate treatment, any purported poor morale in the Department cannot be traced back exclusively to the Appellants, but, rather, was attributable to many factors, including, in substantial part, the conduct of the individual who the Westfield Fire Commission has now chosen to lead the Department – Patrick Egloff.</w:t>
      </w:r>
    </w:p>
    <w:p w14:paraId="37B22CFF"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p>
    <w:p w14:paraId="497506B5" w14:textId="77777777" w:rsidR="005217D5" w:rsidRPr="005309C0" w:rsidRDefault="005217D5" w:rsidP="005217D5">
      <w:pPr>
        <w:ind w:left="720"/>
        <w:rPr>
          <w:rStyle w:val="markedcontent"/>
          <w:rFonts w:ascii="Times New Roman" w:hAnsi="Times New Roman"/>
          <w:sz w:val="24"/>
          <w:szCs w:val="24"/>
        </w:rPr>
      </w:pPr>
      <w:r w:rsidRPr="005309C0">
        <w:rPr>
          <w:rStyle w:val="markedcontent"/>
          <w:rFonts w:ascii="Times New Roman" w:hAnsi="Times New Roman"/>
          <w:sz w:val="24"/>
          <w:szCs w:val="24"/>
        </w:rPr>
        <w:t>McDonald reports that Egloff admitted to the assault on Ms. N (</w:t>
      </w:r>
      <w:r>
        <w:rPr>
          <w:rStyle w:val="markedcontent"/>
          <w:rFonts w:ascii="Times New Roman" w:hAnsi="Times New Roman"/>
          <w:sz w:val="24"/>
          <w:szCs w:val="24"/>
        </w:rPr>
        <w:t>‘</w:t>
      </w:r>
      <w:r w:rsidRPr="005309C0">
        <w:rPr>
          <w:rStyle w:val="markedcontent"/>
          <w:rFonts w:ascii="Times New Roman" w:hAnsi="Times New Roman"/>
          <w:sz w:val="24"/>
          <w:szCs w:val="24"/>
        </w:rPr>
        <w:t>grabbed her by the vagina</w:t>
      </w:r>
      <w:r>
        <w:rPr>
          <w:rStyle w:val="markedcontent"/>
          <w:rFonts w:ascii="Times New Roman" w:hAnsi="Times New Roman"/>
          <w:sz w:val="24"/>
          <w:szCs w:val="24"/>
        </w:rPr>
        <w:t>’</w:t>
      </w:r>
      <w:r w:rsidRPr="005309C0">
        <w:rPr>
          <w:rStyle w:val="markedcontent"/>
          <w:rFonts w:ascii="Times New Roman" w:hAnsi="Times New Roman"/>
          <w:sz w:val="24"/>
          <w:szCs w:val="24"/>
        </w:rPr>
        <w:t xml:space="preserve">). Specifically, McDonald’s report states: </w:t>
      </w:r>
      <w:r w:rsidRPr="005309C0">
        <w:rPr>
          <w:rFonts w:ascii="Times New Roman" w:hAnsi="Times New Roman"/>
          <w:sz w:val="24"/>
          <w:szCs w:val="24"/>
        </w:rPr>
        <w:br/>
      </w:r>
      <w:r w:rsidRPr="005309C0">
        <w:rPr>
          <w:rFonts w:ascii="Times New Roman" w:hAnsi="Times New Roman"/>
          <w:sz w:val="24"/>
          <w:szCs w:val="24"/>
        </w:rPr>
        <w:br/>
      </w:r>
      <w:r w:rsidRPr="005309C0">
        <w:rPr>
          <w:rStyle w:val="markedcontent"/>
          <w:rFonts w:ascii="Times New Roman" w:hAnsi="Times New Roman"/>
          <w:sz w:val="24"/>
          <w:szCs w:val="24"/>
        </w:rPr>
        <w:t>“At some point during the day</w:t>
      </w:r>
      <w:r>
        <w:rPr>
          <w:rStyle w:val="markedcontent"/>
          <w:rFonts w:ascii="Times New Roman" w:hAnsi="Times New Roman"/>
          <w:sz w:val="24"/>
          <w:szCs w:val="24"/>
        </w:rPr>
        <w:t xml:space="preserve"> [out drinking after </w:t>
      </w:r>
      <w:r w:rsidRPr="006A5F67">
        <w:rPr>
          <w:rStyle w:val="markedcontent"/>
          <w:rFonts w:ascii="Times New Roman" w:hAnsi="Times New Roman"/>
          <w:sz w:val="24"/>
          <w:szCs w:val="24"/>
        </w:rPr>
        <w:t>2016 St. Patrick’s Day Parade</w:t>
      </w:r>
      <w:r>
        <w:rPr>
          <w:rStyle w:val="markedcontent"/>
          <w:rFonts w:ascii="Times New Roman" w:hAnsi="Times New Roman"/>
          <w:sz w:val="24"/>
          <w:szCs w:val="24"/>
        </w:rPr>
        <w:t>]</w:t>
      </w:r>
      <w:r w:rsidRPr="005309C0">
        <w:rPr>
          <w:rStyle w:val="markedcontent"/>
          <w:rFonts w:ascii="Times New Roman" w:hAnsi="Times New Roman"/>
          <w:sz w:val="24"/>
          <w:szCs w:val="24"/>
        </w:rPr>
        <w:t xml:space="preserve"> Deputy Egloff went up to [Ms. N] and grabbed her by the vagina. [Ms. N] immediately shoved him off and yelled at him, words to the effect that if he ever laid hands on her again, she would knock him out. He apologized, [Ms. N] accepted his </w:t>
      </w:r>
      <w:proofErr w:type="gramStart"/>
      <w:r w:rsidRPr="005309C0">
        <w:rPr>
          <w:rStyle w:val="markedcontent"/>
          <w:rFonts w:ascii="Times New Roman" w:hAnsi="Times New Roman"/>
          <w:sz w:val="24"/>
          <w:szCs w:val="24"/>
        </w:rPr>
        <w:t>apology</w:t>
      </w:r>
      <w:proofErr w:type="gramEnd"/>
      <w:r w:rsidRPr="005309C0">
        <w:rPr>
          <w:rStyle w:val="markedcontent"/>
          <w:rFonts w:ascii="Times New Roman" w:hAnsi="Times New Roman"/>
          <w:sz w:val="24"/>
          <w:szCs w:val="24"/>
        </w:rPr>
        <w:t xml:space="preserve"> and everyone continued with the festivities and </w:t>
      </w:r>
      <w:proofErr w:type="gramStart"/>
      <w:r w:rsidRPr="005309C0">
        <w:rPr>
          <w:rStyle w:val="markedcontent"/>
          <w:rFonts w:ascii="Times New Roman" w:hAnsi="Times New Roman"/>
          <w:sz w:val="24"/>
          <w:szCs w:val="24"/>
        </w:rPr>
        <w:t>having</w:t>
      </w:r>
      <w:proofErr w:type="gramEnd"/>
      <w:r w:rsidRPr="005309C0">
        <w:rPr>
          <w:rStyle w:val="markedcontent"/>
          <w:rFonts w:ascii="Times New Roman" w:hAnsi="Times New Roman"/>
          <w:sz w:val="24"/>
          <w:szCs w:val="24"/>
        </w:rPr>
        <w:t xml:space="preserve"> a good time. Egloff admits to this incident and further states that a few days later he again called [Ms. N] to profusely apologize for his conduct. He is embarrassed, ashamed and full of remorse at his behavior. [Ms. N] verifies this account and states that as far as she was concerned, it was one drunken incident, it was dealt with and over that day, and there was nothing further to apologize for.” </w:t>
      </w:r>
      <w:r>
        <w:rPr>
          <w:rStyle w:val="markedcontent"/>
          <w:rFonts w:ascii="Times New Roman" w:hAnsi="Times New Roman"/>
          <w:sz w:val="24"/>
          <w:szCs w:val="24"/>
        </w:rPr>
        <w:t>[See page 30 of the opinion.]</w:t>
      </w:r>
    </w:p>
    <w:p w14:paraId="298F1FF4" w14:textId="77777777" w:rsidR="005217D5" w:rsidRPr="00E004CD" w:rsidRDefault="005217D5" w:rsidP="005217D5">
      <w:pPr>
        <w:ind w:left="720"/>
        <w:rPr>
          <w:rStyle w:val="markedcontent"/>
          <w:rFonts w:ascii="Times New Roman" w:hAnsi="Times New Roman"/>
          <w:sz w:val="24"/>
          <w:szCs w:val="24"/>
        </w:rPr>
      </w:pPr>
      <w:hyperlink r:id="rId1462" w:history="1">
        <w:r w:rsidRPr="004A379F">
          <w:rPr>
            <w:rStyle w:val="Hyperlink"/>
            <w:sz w:val="24"/>
            <w:szCs w:val="24"/>
          </w:rPr>
          <w:t>https://www.mass.gov/doc/miltimore-boutin-and-kennedy-v-westfield-fire-commission-52121/download</w:t>
        </w:r>
      </w:hyperlink>
      <w:r>
        <w:rPr>
          <w:rStyle w:val="markedcontent"/>
          <w:rFonts w:ascii="Times New Roman" w:hAnsi="Times New Roman"/>
          <w:sz w:val="24"/>
          <w:szCs w:val="24"/>
        </w:rPr>
        <w:t xml:space="preserve"> </w:t>
      </w:r>
    </w:p>
    <w:p w14:paraId="23C0B740" w14:textId="77777777" w:rsidR="005217D5" w:rsidRPr="00474F9A" w:rsidRDefault="005217D5" w:rsidP="005217D5">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w:t>
      </w:r>
      <w:r w:rsidRPr="00474F9A">
        <w:rPr>
          <w:rFonts w:ascii="Times New Roman" w:hAnsi="Times New Roman"/>
          <w:b/>
          <w:bCs/>
          <w:sz w:val="24"/>
          <w:szCs w:val="24"/>
        </w:rPr>
        <w:t xml:space="preserve">egal Lesson Learned: </w:t>
      </w:r>
      <w:r>
        <w:rPr>
          <w:rFonts w:ascii="Times New Roman" w:hAnsi="Times New Roman"/>
          <w:b/>
          <w:bCs/>
          <w:sz w:val="24"/>
          <w:szCs w:val="24"/>
        </w:rPr>
        <w:t>Admitted s</w:t>
      </w:r>
      <w:r w:rsidRPr="00474F9A">
        <w:rPr>
          <w:rFonts w:ascii="Times New Roman" w:hAnsi="Times New Roman"/>
          <w:b/>
          <w:bCs/>
          <w:sz w:val="24"/>
          <w:szCs w:val="24"/>
        </w:rPr>
        <w:t xml:space="preserve">exual misconduct by </w:t>
      </w:r>
      <w:r>
        <w:rPr>
          <w:rFonts w:ascii="Times New Roman" w:hAnsi="Times New Roman"/>
          <w:b/>
          <w:bCs/>
          <w:sz w:val="24"/>
          <w:szCs w:val="24"/>
        </w:rPr>
        <w:t>a senior fire officer is particularly shocking, and discipline must now be imposed.</w:t>
      </w:r>
    </w:p>
    <w:p w14:paraId="3342DCBB" w14:textId="77777777" w:rsidR="005217D5" w:rsidRPr="00474F9A" w:rsidRDefault="005217D5" w:rsidP="005217D5">
      <w:pPr>
        <w:pStyle w:val="NormalWeb"/>
        <w:ind w:left="720"/>
      </w:pPr>
      <w:r w:rsidRPr="00474F9A">
        <w:t xml:space="preserve">Note: See May 24, </w:t>
      </w:r>
      <w:proofErr w:type="gramStart"/>
      <w:r w:rsidRPr="00474F9A">
        <w:t>2021</w:t>
      </w:r>
      <w:proofErr w:type="gramEnd"/>
      <w:r w:rsidRPr="00474F9A">
        <w:t xml:space="preserve"> article, “Termination of 3 Westfield firefighters vacated, commission orders investigation of chief.” </w:t>
      </w:r>
    </w:p>
    <w:p w14:paraId="59684BAC" w14:textId="271ABA8A" w:rsidR="005217D5" w:rsidRPr="005217D5" w:rsidRDefault="005217D5" w:rsidP="005217D5">
      <w:pPr>
        <w:ind w:left="720"/>
        <w:rPr>
          <w:rFonts w:ascii="Times New Roman" w:hAnsi="Times New Roman"/>
          <w:b/>
          <w:sz w:val="24"/>
          <w:szCs w:val="24"/>
        </w:rPr>
      </w:pPr>
      <w:r w:rsidRPr="005217D5">
        <w:rPr>
          <w:rFonts w:ascii="Times New Roman" w:hAnsi="Times New Roman"/>
          <w:sz w:val="24"/>
          <w:szCs w:val="24"/>
        </w:rPr>
        <w:t xml:space="preserve">“The three firefighters were fired back in December 2019 by the Westfield Fire Commission, following an independent report conducted by Attorney Dawn McDonald into the sexual harassment allegations. McDonald’s report also recommended that Egloff should not be promoted to the chief for other reasons.” </w:t>
      </w:r>
      <w:hyperlink r:id="rId1463" w:history="1">
        <w:r w:rsidRPr="005217D5">
          <w:rPr>
            <w:rStyle w:val="Hyperlink"/>
            <w:rFonts w:ascii="Times New Roman" w:hAnsi="Times New Roman"/>
            <w:sz w:val="24"/>
            <w:szCs w:val="24"/>
          </w:rPr>
          <w:t>https://www.wwlp.com/news/local-news/hampden-county/termination-of-3-westfield-firefighters-vacated-commission-orders-investigation-of-chief/</w:t>
        </w:r>
      </w:hyperlink>
    </w:p>
    <w:p w14:paraId="23583571" w14:textId="77777777" w:rsidR="005217D5" w:rsidRDefault="005217D5" w:rsidP="002B1283">
      <w:pPr>
        <w:rPr>
          <w:rFonts w:ascii="Arial Black" w:hAnsi="Arial Black"/>
          <w:b/>
          <w:sz w:val="24"/>
          <w:szCs w:val="24"/>
        </w:rPr>
      </w:pPr>
    </w:p>
    <w:p w14:paraId="45A9BFD6" w14:textId="77777777" w:rsidR="005217D5" w:rsidRDefault="005217D5" w:rsidP="002B1283">
      <w:pPr>
        <w:rPr>
          <w:rFonts w:ascii="Arial Black" w:hAnsi="Arial Black"/>
          <w:b/>
          <w:sz w:val="24"/>
          <w:szCs w:val="24"/>
        </w:rPr>
      </w:pPr>
    </w:p>
    <w:p w14:paraId="2778C74D" w14:textId="0A06E5C7" w:rsidR="00B03268" w:rsidRDefault="00B03268" w:rsidP="002B1283">
      <w:pPr>
        <w:rPr>
          <w:rFonts w:ascii="Arial Black" w:hAnsi="Arial Black"/>
          <w:b/>
          <w:sz w:val="24"/>
          <w:szCs w:val="24"/>
        </w:rPr>
      </w:pPr>
      <w:r>
        <w:rPr>
          <w:rFonts w:ascii="Arial Black" w:hAnsi="Arial Black"/>
          <w:b/>
          <w:sz w:val="24"/>
          <w:szCs w:val="24"/>
        </w:rPr>
        <w:t>7-32</w:t>
      </w:r>
    </w:p>
    <w:p w14:paraId="0879EBB3" w14:textId="77777777" w:rsidR="00B03268" w:rsidRDefault="00B03268" w:rsidP="00B03268">
      <w:pPr>
        <w:pStyle w:val="NoSpacing"/>
        <w:rPr>
          <w:rFonts w:ascii="Arial Black" w:hAnsi="Arial Black"/>
          <w:sz w:val="28"/>
          <w:szCs w:val="28"/>
        </w:rPr>
      </w:pPr>
      <w:r>
        <w:rPr>
          <w:rFonts w:ascii="Arial Black" w:hAnsi="Arial Black"/>
          <w:sz w:val="28"/>
          <w:szCs w:val="28"/>
        </w:rPr>
        <w:t>PA: FEMALE FF TERMINATED BY VOLUNTEER FD – FED. CASE DISMISSED – VOL. FD NOT SEC. 1983 “STATE ACTOR”</w:t>
      </w:r>
    </w:p>
    <w:p w14:paraId="4853E4E7" w14:textId="77777777" w:rsidR="00B03268" w:rsidRDefault="00B03268" w:rsidP="00B03268">
      <w:pPr>
        <w:pStyle w:val="NoSpacing"/>
        <w:rPr>
          <w:rFonts w:ascii="Arial Black" w:hAnsi="Arial Black"/>
          <w:sz w:val="28"/>
          <w:szCs w:val="28"/>
        </w:rPr>
      </w:pPr>
    </w:p>
    <w:p w14:paraId="55815892" w14:textId="77777777" w:rsidR="00B03268" w:rsidRDefault="00B03268" w:rsidP="00B03268">
      <w:pPr>
        <w:pStyle w:val="NoSpacing"/>
        <w:rPr>
          <w:rFonts w:ascii="Times New Roman" w:hAnsi="Times New Roman"/>
          <w:sz w:val="24"/>
          <w:szCs w:val="24"/>
        </w:rPr>
      </w:pPr>
      <w:r>
        <w:rPr>
          <w:rFonts w:ascii="Times New Roman" w:hAnsi="Times New Roman"/>
          <w:sz w:val="24"/>
          <w:szCs w:val="24"/>
        </w:rPr>
        <w:t xml:space="preserve">On May 18, 2021, in </w:t>
      </w:r>
      <w:r w:rsidRPr="00151CAC">
        <w:rPr>
          <w:rFonts w:ascii="Times New Roman" w:hAnsi="Times New Roman"/>
          <w:sz w:val="24"/>
          <w:szCs w:val="24"/>
          <w:u w:val="single"/>
        </w:rPr>
        <w:t>Annie M. Papa v. Neshannock VFD, et al</w:t>
      </w:r>
      <w:r>
        <w:rPr>
          <w:rFonts w:ascii="Times New Roman" w:hAnsi="Times New Roman"/>
          <w:sz w:val="24"/>
          <w:szCs w:val="24"/>
        </w:rPr>
        <w:t xml:space="preserve">., U.S. Senior District Court Judge </w:t>
      </w:r>
    </w:p>
    <w:p w14:paraId="5E2FAD08" w14:textId="77777777" w:rsidR="00B03268" w:rsidRDefault="00B03268" w:rsidP="00B03268">
      <w:pPr>
        <w:pStyle w:val="NoSpacing"/>
        <w:rPr>
          <w:rFonts w:ascii="Times New Roman" w:hAnsi="Times New Roman"/>
          <w:sz w:val="24"/>
          <w:szCs w:val="24"/>
        </w:rPr>
      </w:pPr>
      <w:r w:rsidRPr="00151CAC">
        <w:rPr>
          <w:rFonts w:ascii="Times New Roman" w:hAnsi="Times New Roman"/>
          <w:sz w:val="24"/>
          <w:szCs w:val="24"/>
        </w:rPr>
        <w:t>Joy Flowers Conti</w:t>
      </w:r>
      <w:r>
        <w:rPr>
          <w:rFonts w:ascii="Times New Roman" w:hAnsi="Times New Roman"/>
          <w:sz w:val="24"/>
          <w:szCs w:val="24"/>
        </w:rPr>
        <w:t xml:space="preserve">, U.S. District Court for Western District of Pennsylvania, granted the Volunteer Fire Department’s motion to dismiss the federal lawsuit, since this is a private fire company and not involved in “state action” when terminating a volunteer firefighter; her claims are remanded to state court. </w:t>
      </w:r>
    </w:p>
    <w:p w14:paraId="73D333DF" w14:textId="660DFD7F" w:rsidR="00B03268" w:rsidRDefault="00B03268" w:rsidP="00B03268">
      <w:pPr>
        <w:rPr>
          <w:rFonts w:ascii="Arial Black" w:hAnsi="Arial Black"/>
          <w:b/>
          <w:sz w:val="24"/>
          <w:szCs w:val="24"/>
        </w:rPr>
      </w:pPr>
      <w:r>
        <w:t>“</w:t>
      </w:r>
      <w:r w:rsidRPr="00151CAC">
        <w:t xml:space="preserve">In this case, Papa failed to allege any plausible basis for </w:t>
      </w:r>
      <w:r>
        <w:t>‘</w:t>
      </w:r>
      <w:r w:rsidRPr="00151CAC">
        <w:t>state action</w:t>
      </w:r>
      <w:r>
        <w:t>’</w:t>
      </w:r>
      <w:r w:rsidRPr="00151CAC">
        <w:t xml:space="preserve"> with respect to the conduct at issue in the amended complaint. The actions of which she complains occurred within the scope of her membership obligations in the Neshannock VFD. The crux of her § 1983 claims </w:t>
      </w:r>
      <w:proofErr w:type="gramStart"/>
      <w:r w:rsidRPr="00151CAC">
        <w:t>is</w:t>
      </w:r>
      <w:proofErr w:type="gramEnd"/>
      <w:r w:rsidRPr="00151CAC">
        <w:t xml:space="preserve"> that </w:t>
      </w:r>
      <w:proofErr w:type="gramStart"/>
      <w:r w:rsidRPr="00151CAC">
        <w:t>the Neshannock</w:t>
      </w:r>
      <w:proofErr w:type="gramEnd"/>
      <w:r w:rsidRPr="00151CAC">
        <w:t xml:space="preserve"> VFD's internal disciplinary procedures were improper. As the Supreme Court made clear in </w:t>
      </w:r>
      <w:r w:rsidRPr="00151CAC">
        <w:rPr>
          <w:i/>
          <w:iCs/>
        </w:rPr>
        <w:t>Rendell-Baker</w:t>
      </w:r>
      <w:r w:rsidRPr="00151CAC">
        <w:t>, internal disciplinary decisions of a private volunteer organization do not become state action -- even if the organization itself is heavily involved in a state function.</w:t>
      </w:r>
      <w:r>
        <w:t xml:space="preserve"> </w:t>
      </w:r>
      <w:r w:rsidRPr="00151CAC">
        <w:t>The court concludes that the § 1983 claims are subject to dismissal at this stage of the case.</w:t>
      </w:r>
      <w:r>
        <w:t xml:space="preserve">” </w:t>
      </w:r>
      <w:hyperlink r:id="rId1464" w:history="1">
        <w:r w:rsidRPr="007344F4">
          <w:rPr>
            <w:rStyle w:val="Hyperlink"/>
          </w:rPr>
          <w:t>https://public.fastcase.com/9SKwsfNqTc6OieYDhNMyMx8HeCj7%2FDJBNdWBqE3NyzJHPN6vSl1mv%2F8RhqlJqRKR</w:t>
        </w:r>
      </w:hyperlink>
    </w:p>
    <w:p w14:paraId="41D98BB6" w14:textId="77777777" w:rsidR="00B03268" w:rsidRPr="00C35A71" w:rsidRDefault="00B03268" w:rsidP="00B03268">
      <w:pPr>
        <w:pStyle w:val="NormalWeb"/>
        <w:rPr>
          <w:b/>
          <w:bCs/>
        </w:rPr>
      </w:pPr>
      <w:r w:rsidRPr="00C35A71">
        <w:rPr>
          <w:b/>
          <w:bCs/>
        </w:rPr>
        <w:t>Legal Lesson Learned:</w:t>
      </w:r>
      <w:r>
        <w:rPr>
          <w:b/>
          <w:bCs/>
        </w:rPr>
        <w:t xml:space="preserve"> Vol. fire departments are not generally considered “state actors” under 42 U.S.C. 1983 in federal lawsuits; they may be sued in State courts.</w:t>
      </w:r>
    </w:p>
    <w:p w14:paraId="32EC5993" w14:textId="77777777" w:rsidR="00B03268" w:rsidRDefault="00B03268" w:rsidP="002B1283">
      <w:pPr>
        <w:rPr>
          <w:rFonts w:ascii="Arial Black" w:hAnsi="Arial Black"/>
          <w:b/>
          <w:sz w:val="24"/>
          <w:szCs w:val="24"/>
        </w:rPr>
      </w:pPr>
    </w:p>
    <w:p w14:paraId="0021CBBB" w14:textId="77777777" w:rsidR="00B03268" w:rsidRDefault="00B03268" w:rsidP="002B1283">
      <w:pPr>
        <w:rPr>
          <w:rFonts w:ascii="Arial Black" w:hAnsi="Arial Black"/>
          <w:b/>
          <w:sz w:val="24"/>
          <w:szCs w:val="24"/>
        </w:rPr>
      </w:pPr>
    </w:p>
    <w:p w14:paraId="5C1BD0E8" w14:textId="3035198C" w:rsidR="00274525" w:rsidRDefault="00274525" w:rsidP="002B1283">
      <w:pPr>
        <w:rPr>
          <w:rFonts w:ascii="Arial Black" w:hAnsi="Arial Black"/>
          <w:b/>
          <w:sz w:val="24"/>
          <w:szCs w:val="24"/>
        </w:rPr>
      </w:pPr>
      <w:r>
        <w:rPr>
          <w:rFonts w:ascii="Arial Black" w:hAnsi="Arial Black"/>
          <w:b/>
          <w:sz w:val="24"/>
          <w:szCs w:val="24"/>
        </w:rPr>
        <w:t>7-31</w:t>
      </w:r>
    </w:p>
    <w:p w14:paraId="73A4A721" w14:textId="77777777" w:rsidR="00274525" w:rsidRPr="00421215" w:rsidRDefault="00274525" w:rsidP="00274525">
      <w:pPr>
        <w:pStyle w:val="NormalWeb"/>
        <w:rPr>
          <w:rFonts w:ascii="Arial Black" w:hAnsi="Arial Black"/>
          <w:sz w:val="28"/>
          <w:szCs w:val="28"/>
        </w:rPr>
      </w:pPr>
      <w:bookmarkStart w:id="286" w:name="_Hlk68351408"/>
      <w:r>
        <w:rPr>
          <w:rFonts w:ascii="Arial Black" w:hAnsi="Arial Black"/>
          <w:sz w:val="28"/>
          <w:szCs w:val="28"/>
        </w:rPr>
        <w:t>NJ: FEMALE FF ALLEGED ACADEMY INSTRUCTOR “RAPED AND TORTURED” HER – ACADEMY DISMISSED FROM CASE</w:t>
      </w:r>
    </w:p>
    <w:p w14:paraId="0EAC7F99" w14:textId="77777777" w:rsidR="00274525" w:rsidRDefault="00274525" w:rsidP="00274525">
      <w:pPr>
        <w:pStyle w:val="NormalWeb"/>
      </w:pPr>
      <w:r>
        <w:t xml:space="preserve">On March 26, 2021, in </w:t>
      </w:r>
      <w:r w:rsidRPr="00045581">
        <w:rPr>
          <w:u w:val="single"/>
        </w:rPr>
        <w:t>A.S. v. Ocean County Fire Academy, et al</w:t>
      </w:r>
      <w:r>
        <w:t xml:space="preserve">., U.S. District Court Judge Michael A. Shipp, U.S. District Court of New Jersey (decision Not </w:t>
      </w:r>
      <w:proofErr w:type="gramStart"/>
      <w:r>
        <w:t>For</w:t>
      </w:r>
      <w:proofErr w:type="gramEnd"/>
      <w:r>
        <w:t xml:space="preserve"> Publication) granted the Fire Academy’s motion to </w:t>
      </w:r>
      <w:proofErr w:type="gramStart"/>
      <w:r>
        <w:t>dismiss, and</w:t>
      </w:r>
      <w:proofErr w:type="gramEnd"/>
      <w:r>
        <w:t xml:space="preserve"> declined to keep jurisdiction over state law claims (lawsuit against Instructor can proceed in state court). Plaintiff completed her required hours at the Training Center in April 2018 and became an active firefighter with the Seaside Heights Fire Department. According to the Plaintiff, she and the </w:t>
      </w:r>
      <w:proofErr w:type="gramStart"/>
      <w:r>
        <w:t>Instructor</w:t>
      </w:r>
      <w:proofErr w:type="gramEnd"/>
      <w:r>
        <w:t xml:space="preserve"> [John Syers] had a “brief romantic encounter” in April, "had on again/off again conversations" until September 26, 2018, when she alleges that she was "rape[d], torture[d,] and sexually abuse[d].”  </w:t>
      </w:r>
    </w:p>
    <w:p w14:paraId="0AA7C58F" w14:textId="77777777" w:rsidR="00274525" w:rsidRDefault="00274525" w:rsidP="00274525">
      <w:pPr>
        <w:pStyle w:val="NormalWeb"/>
        <w:ind w:left="720"/>
      </w:pPr>
      <w:r>
        <w:t>“As the Ocean County Defendants correctly observe, however, the Complaint fails to allege any facts that would support Plaintiff's assertions that a custom or policy deprived her of a constitutional right. (</w:t>
      </w:r>
      <w:proofErr w:type="spellStart"/>
      <w:r>
        <w:t>Defs</w:t>
      </w:r>
      <w:proofErr w:type="spellEnd"/>
      <w:r>
        <w:t>.' Moving Br. 11.) Aside from one conclusory allegation that Fire Academy and Training Center employees ‘</w:t>
      </w:r>
      <w:proofErr w:type="spellStart"/>
      <w:r>
        <w:t>refus</w:t>
      </w:r>
      <w:proofErr w:type="spellEnd"/>
      <w:r>
        <w:t>[ed] to respond to Plaintiff's sexual assault on academy premises[,]’ (</w:t>
      </w:r>
      <w:proofErr w:type="spellStart"/>
      <w:r>
        <w:t>Compl</w:t>
      </w:r>
      <w:proofErr w:type="spellEnd"/>
      <w:r>
        <w:t>. 32, ¶ 47), Plaintiff fails to provide any facts demonstrating that the Ocean County Defendants were aware of the rape, (</w:t>
      </w:r>
      <w:r>
        <w:rPr>
          <w:i/>
          <w:iCs/>
        </w:rPr>
        <w:t>see generally id</w:t>
      </w:r>
      <w:r>
        <w:t xml:space="preserve">.; </w:t>
      </w:r>
      <w:r>
        <w:rPr>
          <w:i/>
          <w:iCs/>
        </w:rPr>
        <w:t>see also</w:t>
      </w:r>
      <w:r>
        <w:t xml:space="preserve"> </w:t>
      </w:r>
      <w:proofErr w:type="spellStart"/>
      <w:r>
        <w:t>Defs</w:t>
      </w:r>
      <w:proofErr w:type="spellEnd"/>
      <w:r>
        <w:t>.' Moving Br. 11 (‘The [C]</w:t>
      </w:r>
      <w:proofErr w:type="spellStart"/>
      <w:r>
        <w:t>omplaint</w:t>
      </w:r>
      <w:proofErr w:type="spellEnd"/>
      <w:r>
        <w:t xml:space="preserve"> does not assert that Plaintiff filed any type of grievance or report of alleged harassment, discrimination[,] or 'hostile work environment' during her tenure . . . . Moreover, the voluminous [C]</w:t>
      </w:r>
      <w:proofErr w:type="spellStart"/>
      <w:r>
        <w:t>omplaint</w:t>
      </w:r>
      <w:proofErr w:type="spellEnd"/>
      <w:r>
        <w:t xml:space="preserve"> is devoid of any allegations stating that Plaintiff provided notification . . . </w:t>
      </w:r>
      <w:proofErr w:type="gramStart"/>
      <w:r>
        <w:t>with regard to</w:t>
      </w:r>
      <w:proofErr w:type="gramEnd"/>
      <w:r>
        <w:t xml:space="preserve"> any issues concerning . . . employees or volunteer instructors[.]")). Without such factual allegations, the Court cannot find that Plaintiff has a plausible claim for relief stemming from the Ocean County Defendants' alleged failure to investigate and respond to Sayer’s conduct or train its employees to respond to sexual discrimination, harassment, or violence.</w:t>
      </w:r>
    </w:p>
    <w:p w14:paraId="6152C288" w14:textId="77777777" w:rsidR="00274525" w:rsidRDefault="00274525" w:rsidP="00274525">
      <w:pPr>
        <w:pStyle w:val="NormalWeb"/>
        <w:ind w:left="720"/>
      </w:pPr>
      <w:r>
        <w:t>***</w:t>
      </w:r>
    </w:p>
    <w:p w14:paraId="3EFDD577" w14:textId="77777777" w:rsidR="00274525" w:rsidRDefault="00274525" w:rsidP="00274525">
      <w:pPr>
        <w:pStyle w:val="NormalWeb"/>
        <w:ind w:left="720"/>
      </w:pPr>
      <w:r>
        <w:t xml:space="preserve">The Court, therefore, will decline to exercise supplemental jurisdiction over the state law claims of the Complaint.”  </w:t>
      </w:r>
      <w:hyperlink r:id="rId1465" w:history="1">
        <w:r w:rsidRPr="00B568EC">
          <w:rPr>
            <w:rStyle w:val="Hyperlink"/>
          </w:rPr>
          <w:t>https://casetext.com/case/as-v-ocean-cnty-fire-acad-2</w:t>
        </w:r>
      </w:hyperlink>
      <w:r>
        <w:t xml:space="preserve"> </w:t>
      </w:r>
    </w:p>
    <w:bookmarkEnd w:id="286"/>
    <w:p w14:paraId="2BAB00AB" w14:textId="77777777" w:rsidR="00274525" w:rsidRPr="00101EB6" w:rsidRDefault="00274525" w:rsidP="00274525">
      <w:pPr>
        <w:pStyle w:val="NormalWeb"/>
        <w:rPr>
          <w:b/>
          <w:bCs/>
        </w:rPr>
      </w:pPr>
      <w:r w:rsidRPr="00101EB6">
        <w:rPr>
          <w:b/>
          <w:bCs/>
        </w:rPr>
        <w:t>Legal Lesson Learned:</w:t>
      </w:r>
      <w:r>
        <w:rPr>
          <w:b/>
          <w:bCs/>
        </w:rPr>
        <w:t xml:space="preserve">  Plaintiff failed to provide any proof she informed the Training Academy of being raped.  It is a “best practice” for Training Academies and Fire &amp; EMS Departments to provide all recruits with written procedure on how to file a complaint.  </w:t>
      </w:r>
    </w:p>
    <w:p w14:paraId="0945F8CC" w14:textId="77777777" w:rsidR="00274525" w:rsidRDefault="00274525" w:rsidP="002B1283">
      <w:pPr>
        <w:rPr>
          <w:rFonts w:ascii="Arial Black" w:hAnsi="Arial Black"/>
          <w:b/>
          <w:sz w:val="24"/>
          <w:szCs w:val="24"/>
        </w:rPr>
      </w:pPr>
    </w:p>
    <w:p w14:paraId="16831515" w14:textId="77777777" w:rsidR="00274525" w:rsidRDefault="00274525" w:rsidP="002B1283">
      <w:pPr>
        <w:rPr>
          <w:rFonts w:ascii="Arial Black" w:hAnsi="Arial Black"/>
          <w:b/>
          <w:sz w:val="24"/>
          <w:szCs w:val="24"/>
        </w:rPr>
      </w:pPr>
    </w:p>
    <w:p w14:paraId="18C69C60" w14:textId="322A2967" w:rsidR="00831847" w:rsidRDefault="00831847" w:rsidP="002B1283">
      <w:pPr>
        <w:rPr>
          <w:rFonts w:ascii="Arial Black" w:hAnsi="Arial Black"/>
          <w:b/>
          <w:sz w:val="24"/>
          <w:szCs w:val="24"/>
        </w:rPr>
      </w:pPr>
      <w:r>
        <w:rPr>
          <w:rFonts w:ascii="Arial Black" w:hAnsi="Arial Black"/>
          <w:b/>
          <w:sz w:val="24"/>
          <w:szCs w:val="24"/>
        </w:rPr>
        <w:t>7-30</w:t>
      </w:r>
    </w:p>
    <w:p w14:paraId="6DBCD745" w14:textId="77777777" w:rsidR="00274525" w:rsidRPr="00BD5B0D" w:rsidRDefault="00274525" w:rsidP="00274525">
      <w:pPr>
        <w:pStyle w:val="NoSpacing"/>
        <w:rPr>
          <w:rFonts w:ascii="Arial Black" w:hAnsi="Arial Black"/>
          <w:sz w:val="28"/>
          <w:szCs w:val="28"/>
        </w:rPr>
      </w:pPr>
      <w:bookmarkStart w:id="287" w:name="_Hlk68350680"/>
      <w:r>
        <w:rPr>
          <w:rFonts w:ascii="Arial Black" w:hAnsi="Arial Black"/>
          <w:sz w:val="28"/>
          <w:szCs w:val="28"/>
        </w:rPr>
        <w:t>AR: FEMALE FF ALLEGEDLY RAPED TWICE BY BATTALION CHIEF - MALE HIT ANTENNA – CASE PROCEED FD &amp; CHIEF</w:t>
      </w:r>
    </w:p>
    <w:p w14:paraId="009B71F9" w14:textId="77777777" w:rsidR="00274525" w:rsidRPr="001707D0" w:rsidRDefault="00274525" w:rsidP="00274525">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17, 2021, in </w:t>
      </w:r>
      <w:r w:rsidRPr="00055F09">
        <w:rPr>
          <w:rFonts w:ascii="Times New Roman" w:eastAsia="Times New Roman" w:hAnsi="Times New Roman"/>
          <w:sz w:val="24"/>
          <w:szCs w:val="24"/>
          <w:u w:val="single"/>
        </w:rPr>
        <w:t xml:space="preserve">Rene Mendoza &amp; </w:t>
      </w:r>
      <w:r w:rsidRPr="00055F09">
        <w:rPr>
          <w:rFonts w:ascii="Times New Roman" w:hAnsi="Times New Roman"/>
          <w:sz w:val="24"/>
          <w:szCs w:val="24"/>
          <w:u w:val="single"/>
        </w:rPr>
        <w:t xml:space="preserve">Lani Salazar, </w:t>
      </w:r>
      <w:r w:rsidRPr="00055F09">
        <w:rPr>
          <w:rFonts w:ascii="Times New Roman" w:eastAsia="Times New Roman" w:hAnsi="Times New Roman"/>
          <w:sz w:val="24"/>
          <w:szCs w:val="24"/>
          <w:u w:val="single"/>
        </w:rPr>
        <w:t>et al. v. Rio</w:t>
      </w:r>
      <w:r w:rsidRPr="00BD5B0D">
        <w:rPr>
          <w:rFonts w:ascii="Times New Roman" w:eastAsia="Times New Roman" w:hAnsi="Times New Roman"/>
          <w:sz w:val="24"/>
          <w:szCs w:val="24"/>
          <w:u w:val="single"/>
        </w:rPr>
        <w:t xml:space="preserve"> Rico Medical &amp; Fire District, et al</w:t>
      </w:r>
      <w:r>
        <w:rPr>
          <w:rFonts w:ascii="Times New Roman" w:eastAsia="Times New Roman" w:hAnsi="Times New Roman"/>
          <w:sz w:val="24"/>
          <w:szCs w:val="24"/>
        </w:rPr>
        <w:t xml:space="preserve">., U.S. District Court Judge Cindy K. Jorgenson, U.S. District Court for the District of Arizona, issued a pre-trial order; lawsuit against FD and the Battalion Chief will proceed to trial. The trial judge issued her order with this understatement. </w:t>
      </w:r>
      <w:r>
        <w:rPr>
          <w:rFonts w:ascii="Times New Roman" w:hAnsi="Times New Roman"/>
          <w:sz w:val="24"/>
          <w:szCs w:val="24"/>
        </w:rPr>
        <w:t>“</w:t>
      </w:r>
      <w:r w:rsidRPr="001F0A7D">
        <w:rPr>
          <w:rFonts w:ascii="Times New Roman" w:hAnsi="Times New Roman"/>
          <w:sz w:val="24"/>
          <w:szCs w:val="24"/>
        </w:rPr>
        <w:t>In 2016 and 2017, there was a fair amount of questionable activity unrelated to firefighting happening at the Rio Rico Medical &amp; Fire District (</w:t>
      </w:r>
      <w:r>
        <w:rPr>
          <w:rFonts w:ascii="Times New Roman" w:hAnsi="Times New Roman"/>
          <w:sz w:val="24"/>
          <w:szCs w:val="24"/>
        </w:rPr>
        <w:t>‘</w:t>
      </w:r>
      <w:r w:rsidRPr="001F0A7D">
        <w:rPr>
          <w:rFonts w:ascii="Times New Roman" w:hAnsi="Times New Roman"/>
          <w:sz w:val="24"/>
          <w:szCs w:val="24"/>
        </w:rPr>
        <w:t>District</w:t>
      </w:r>
      <w:r>
        <w:rPr>
          <w:rFonts w:ascii="Times New Roman" w:hAnsi="Times New Roman"/>
          <w:sz w:val="24"/>
          <w:szCs w:val="24"/>
        </w:rPr>
        <w:t>’</w:t>
      </w:r>
      <w:r w:rsidRPr="001F0A7D">
        <w:rPr>
          <w:rFonts w:ascii="Times New Roman" w:hAnsi="Times New Roman"/>
          <w:sz w:val="24"/>
          <w:szCs w:val="24"/>
        </w:rPr>
        <w:t>).</w:t>
      </w:r>
      <w:r>
        <w:rPr>
          <w:rFonts w:ascii="Times New Roman" w:hAnsi="Times New Roman"/>
          <w:sz w:val="24"/>
          <w:szCs w:val="24"/>
        </w:rPr>
        <w:t>”</w:t>
      </w:r>
    </w:p>
    <w:p w14:paraId="66701354" w14:textId="77777777" w:rsidR="00274525" w:rsidRDefault="00274525" w:rsidP="00274525">
      <w:pPr>
        <w:pStyle w:val="NoSpacing"/>
        <w:ind w:left="480"/>
        <w:rPr>
          <w:rFonts w:ascii="Times New Roman" w:hAnsi="Times New Roman"/>
          <w:sz w:val="24"/>
          <w:szCs w:val="24"/>
        </w:rPr>
      </w:pPr>
      <w:r>
        <w:rPr>
          <w:rFonts w:ascii="Times New Roman" w:hAnsi="Times New Roman"/>
          <w:sz w:val="24"/>
          <w:szCs w:val="24"/>
        </w:rPr>
        <w:t>“</w:t>
      </w:r>
      <w:r w:rsidRPr="00D46F33">
        <w:rPr>
          <w:rFonts w:ascii="Times New Roman" w:hAnsi="Times New Roman"/>
          <w:sz w:val="24"/>
          <w:szCs w:val="24"/>
        </w:rPr>
        <w:t xml:space="preserve">Beginning in July 2016, Flores began sexually harassing </w:t>
      </w:r>
      <w:r>
        <w:rPr>
          <w:rFonts w:ascii="Times New Roman" w:hAnsi="Times New Roman"/>
          <w:sz w:val="24"/>
          <w:szCs w:val="24"/>
        </w:rPr>
        <w:t xml:space="preserve">[Mrs. Lani] </w:t>
      </w:r>
      <w:r w:rsidRPr="00D46F33">
        <w:rPr>
          <w:rFonts w:ascii="Times New Roman" w:hAnsi="Times New Roman"/>
          <w:sz w:val="24"/>
          <w:szCs w:val="24"/>
        </w:rPr>
        <w:t xml:space="preserve">Salazar, whose promotion he had recently recommended. What started out as unwelcomed sexual advances soon escalated to alleged incidents of rape, the last of which occurred around the 2017 holiday season. A month earlier, Ibarra had struck rookie firefighter </w:t>
      </w:r>
      <w:r>
        <w:rPr>
          <w:rFonts w:ascii="Times New Roman" w:hAnsi="Times New Roman"/>
          <w:sz w:val="24"/>
          <w:szCs w:val="24"/>
        </w:rPr>
        <w:t xml:space="preserve">[Mr. Rene] </w:t>
      </w:r>
      <w:r w:rsidRPr="00D46F33">
        <w:rPr>
          <w:rFonts w:ascii="Times New Roman" w:hAnsi="Times New Roman"/>
          <w:sz w:val="24"/>
          <w:szCs w:val="24"/>
        </w:rPr>
        <w:t xml:space="preserve">Mendoza in the testicles with a radio antenna, laughed, and ran away. Mendoza was also inundated with countless sexually suggestive images sent to him by a fellow firefighter, who frequently referred to Mendoza using sexually offensive slang terms. Two other firefighters exposed themselves to Mendoza, and when he complained of </w:t>
      </w:r>
      <w:proofErr w:type="gramStart"/>
      <w:r w:rsidRPr="00D46F33">
        <w:rPr>
          <w:rFonts w:ascii="Times New Roman" w:hAnsi="Times New Roman"/>
          <w:sz w:val="24"/>
          <w:szCs w:val="24"/>
        </w:rPr>
        <w:t>the harassing</w:t>
      </w:r>
      <w:proofErr w:type="gramEnd"/>
      <w:r w:rsidRPr="00D46F33">
        <w:rPr>
          <w:rFonts w:ascii="Times New Roman" w:hAnsi="Times New Roman"/>
          <w:sz w:val="24"/>
          <w:szCs w:val="24"/>
        </w:rPr>
        <w:t xml:space="preserve"> behavior to a superior, he was half-heartedly instructed to </w:t>
      </w:r>
      <w:r>
        <w:rPr>
          <w:rFonts w:ascii="Times New Roman" w:hAnsi="Times New Roman"/>
          <w:sz w:val="24"/>
          <w:szCs w:val="24"/>
        </w:rPr>
        <w:t>‘</w:t>
      </w:r>
      <w:r w:rsidRPr="00D46F33">
        <w:rPr>
          <w:rFonts w:ascii="Times New Roman" w:hAnsi="Times New Roman"/>
          <w:sz w:val="24"/>
          <w:szCs w:val="24"/>
        </w:rPr>
        <w:t>write an email about it.</w:t>
      </w:r>
      <w:r>
        <w:rPr>
          <w:rFonts w:ascii="Times New Roman" w:hAnsi="Times New Roman"/>
          <w:sz w:val="24"/>
          <w:szCs w:val="24"/>
        </w:rPr>
        <w:t>’</w:t>
      </w:r>
    </w:p>
    <w:p w14:paraId="74A26E5B" w14:textId="77777777" w:rsidR="00274525" w:rsidRDefault="00274525" w:rsidP="00274525">
      <w:pPr>
        <w:pStyle w:val="NoSpacing"/>
        <w:ind w:left="480"/>
        <w:rPr>
          <w:rFonts w:ascii="Times New Roman" w:hAnsi="Times New Roman"/>
          <w:sz w:val="24"/>
          <w:szCs w:val="24"/>
        </w:rPr>
      </w:pPr>
    </w:p>
    <w:p w14:paraId="1670937F" w14:textId="77777777" w:rsidR="00274525" w:rsidRDefault="00274525" w:rsidP="00274525">
      <w:pPr>
        <w:pStyle w:val="NoSpacing"/>
        <w:ind w:left="480"/>
        <w:rPr>
          <w:rFonts w:ascii="Times New Roman" w:hAnsi="Times New Roman"/>
          <w:sz w:val="24"/>
          <w:szCs w:val="24"/>
        </w:rPr>
      </w:pPr>
      <w:r>
        <w:rPr>
          <w:rFonts w:ascii="Times New Roman" w:hAnsi="Times New Roman"/>
          <w:sz w:val="24"/>
          <w:szCs w:val="24"/>
        </w:rPr>
        <w:t>***</w:t>
      </w:r>
    </w:p>
    <w:p w14:paraId="77D71B1E" w14:textId="77777777" w:rsidR="00274525" w:rsidRDefault="00274525" w:rsidP="00274525">
      <w:pPr>
        <w:pStyle w:val="NoSpacing"/>
        <w:ind w:left="480"/>
        <w:rPr>
          <w:rFonts w:ascii="Times New Roman" w:hAnsi="Times New Roman"/>
          <w:sz w:val="24"/>
          <w:szCs w:val="24"/>
        </w:rPr>
      </w:pPr>
    </w:p>
    <w:p w14:paraId="12383FA5" w14:textId="77777777" w:rsidR="00274525" w:rsidRPr="00D46F33" w:rsidRDefault="00274525" w:rsidP="00274525">
      <w:pPr>
        <w:pStyle w:val="NoSpacing"/>
        <w:ind w:left="480"/>
        <w:rPr>
          <w:rFonts w:ascii="Times New Roman" w:hAnsi="Times New Roman"/>
          <w:sz w:val="24"/>
          <w:szCs w:val="24"/>
        </w:rPr>
      </w:pPr>
      <w:r w:rsidRPr="00072BE7">
        <w:rPr>
          <w:rFonts w:ascii="Times New Roman" w:hAnsi="Times New Roman"/>
          <w:sz w:val="24"/>
          <w:szCs w:val="24"/>
        </w:rPr>
        <w:t>Mendoza's Title VII hostile work environment claim against the District, Salazar's Title VII hostile work environment claim against the District, Salazar's Title VII retaliation claim against the District, Mendoza's common law battery claim against Ibarra and the District, Salazar's common law battery claim against Flores and the District, Mendoza's common law assault claim against Ibarra and the District, Salazar's common law assault claim against Flores and the District, Salazar's IIED claim against Flores and the District, and Mr. Salazar's loss of consortium claim against Flores and the District will proceed to trial.</w:t>
      </w:r>
      <w:r>
        <w:rPr>
          <w:rFonts w:ascii="Times New Roman" w:hAnsi="Times New Roman"/>
          <w:sz w:val="24"/>
          <w:szCs w:val="24"/>
        </w:rPr>
        <w:t xml:space="preserve">” </w:t>
      </w:r>
      <w:hyperlink r:id="rId1466" w:history="1">
        <w:r w:rsidRPr="008F3FAE">
          <w:rPr>
            <w:rStyle w:val="Hyperlink"/>
            <w:sz w:val="24"/>
            <w:szCs w:val="24"/>
          </w:rPr>
          <w:t>https://casetext.com/case/mendoza-v-rio-rico-med-1</w:t>
        </w:r>
      </w:hyperlink>
    </w:p>
    <w:p w14:paraId="6BD36D56" w14:textId="77777777" w:rsidR="00274525" w:rsidRDefault="00274525" w:rsidP="00274525">
      <w:pPr>
        <w:pStyle w:val="NoSpacing"/>
        <w:rPr>
          <w:rFonts w:ascii="Times New Roman" w:hAnsi="Times New Roman"/>
          <w:b/>
          <w:bCs/>
          <w:sz w:val="24"/>
          <w:szCs w:val="24"/>
        </w:rPr>
      </w:pPr>
      <w:bookmarkStart w:id="288" w:name="_Hlk68350713"/>
      <w:bookmarkEnd w:id="287"/>
    </w:p>
    <w:p w14:paraId="452E7DF1" w14:textId="400DC88C" w:rsidR="00274525" w:rsidRPr="007D401D" w:rsidRDefault="00274525" w:rsidP="00274525">
      <w:pPr>
        <w:pStyle w:val="NoSpacing"/>
        <w:rPr>
          <w:rFonts w:ascii="Times New Roman" w:hAnsi="Times New Roman"/>
          <w:b/>
          <w:bCs/>
          <w:sz w:val="24"/>
          <w:szCs w:val="24"/>
        </w:rPr>
      </w:pPr>
      <w:r w:rsidRPr="007D401D">
        <w:rPr>
          <w:rFonts w:ascii="Times New Roman" w:hAnsi="Times New Roman"/>
          <w:b/>
          <w:bCs/>
          <w:sz w:val="24"/>
          <w:szCs w:val="24"/>
        </w:rPr>
        <w:t xml:space="preserve">Legal Lessons Learned: </w:t>
      </w:r>
      <w:r>
        <w:rPr>
          <w:rFonts w:ascii="Times New Roman" w:hAnsi="Times New Roman"/>
          <w:b/>
          <w:bCs/>
          <w:sz w:val="24"/>
          <w:szCs w:val="24"/>
        </w:rPr>
        <w:t xml:space="preserve">Judge’s comment about FD’s “questionable activity” is an understatement; </w:t>
      </w:r>
      <w:proofErr w:type="gramStart"/>
      <w:r>
        <w:rPr>
          <w:rFonts w:ascii="Times New Roman" w:hAnsi="Times New Roman"/>
          <w:b/>
          <w:bCs/>
          <w:sz w:val="24"/>
          <w:szCs w:val="24"/>
        </w:rPr>
        <w:t>t</w:t>
      </w:r>
      <w:r w:rsidRPr="007D401D">
        <w:rPr>
          <w:rFonts w:ascii="Times New Roman" w:hAnsi="Times New Roman"/>
          <w:b/>
          <w:bCs/>
          <w:sz w:val="24"/>
          <w:szCs w:val="24"/>
        </w:rPr>
        <w:t>errible alleged</w:t>
      </w:r>
      <w:proofErr w:type="gramEnd"/>
      <w:r w:rsidRPr="007D401D">
        <w:rPr>
          <w:rFonts w:ascii="Times New Roman" w:hAnsi="Times New Roman"/>
          <w:b/>
          <w:bCs/>
          <w:sz w:val="24"/>
          <w:szCs w:val="24"/>
        </w:rPr>
        <w:t xml:space="preserve"> facts will now go before a jury; FDs must promptly investigate claims of workplace harassment. </w:t>
      </w:r>
    </w:p>
    <w:bookmarkEnd w:id="288"/>
    <w:p w14:paraId="6A3E1FE8" w14:textId="77777777" w:rsidR="00274525" w:rsidRDefault="00274525" w:rsidP="002B1283">
      <w:pPr>
        <w:rPr>
          <w:rFonts w:ascii="Arial Black" w:hAnsi="Arial Black"/>
          <w:b/>
          <w:sz w:val="24"/>
          <w:szCs w:val="24"/>
        </w:rPr>
      </w:pPr>
    </w:p>
    <w:p w14:paraId="7265E776" w14:textId="77777777" w:rsidR="00831847" w:rsidRDefault="00831847" w:rsidP="002B1283">
      <w:pPr>
        <w:rPr>
          <w:rFonts w:ascii="Arial Black" w:hAnsi="Arial Black"/>
          <w:b/>
          <w:sz w:val="24"/>
          <w:szCs w:val="24"/>
        </w:rPr>
      </w:pPr>
    </w:p>
    <w:p w14:paraId="3FD0FFCC" w14:textId="1669C2E1" w:rsidR="00831847" w:rsidRDefault="00831847" w:rsidP="002B1283">
      <w:pPr>
        <w:rPr>
          <w:rFonts w:ascii="Arial Black" w:hAnsi="Arial Black"/>
          <w:b/>
          <w:sz w:val="24"/>
          <w:szCs w:val="24"/>
        </w:rPr>
      </w:pPr>
      <w:r>
        <w:rPr>
          <w:rFonts w:ascii="Arial Black" w:hAnsi="Arial Black"/>
          <w:b/>
          <w:sz w:val="24"/>
          <w:szCs w:val="24"/>
        </w:rPr>
        <w:t>7-29</w:t>
      </w:r>
    </w:p>
    <w:p w14:paraId="08085F32" w14:textId="77777777" w:rsidR="00831847" w:rsidRPr="00BD5B0D" w:rsidRDefault="00831847" w:rsidP="00831847">
      <w:pPr>
        <w:pStyle w:val="NoSpacing"/>
        <w:rPr>
          <w:rFonts w:ascii="Arial Black" w:hAnsi="Arial Black"/>
          <w:sz w:val="28"/>
          <w:szCs w:val="28"/>
        </w:rPr>
      </w:pPr>
      <w:r>
        <w:rPr>
          <w:rFonts w:ascii="Arial Black" w:hAnsi="Arial Black"/>
          <w:sz w:val="28"/>
          <w:szCs w:val="28"/>
        </w:rPr>
        <w:t>AR: FEMALE FF ALLEGEDLY RAPED TWICE BY BATTALION CHIEF - MALE HIT ANTENNA – CASE PROCEED FD &amp; CHIEF</w:t>
      </w:r>
    </w:p>
    <w:p w14:paraId="4438B637" w14:textId="77777777" w:rsidR="00831847" w:rsidRPr="001707D0" w:rsidRDefault="00831847" w:rsidP="00831847">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17, 2021, in </w:t>
      </w:r>
      <w:r w:rsidRPr="00055F09">
        <w:rPr>
          <w:rFonts w:ascii="Times New Roman" w:eastAsia="Times New Roman" w:hAnsi="Times New Roman"/>
          <w:sz w:val="24"/>
          <w:szCs w:val="24"/>
          <w:u w:val="single"/>
        </w:rPr>
        <w:t xml:space="preserve">Rene Mendoza &amp; </w:t>
      </w:r>
      <w:r w:rsidRPr="00055F09">
        <w:rPr>
          <w:rFonts w:ascii="Times New Roman" w:hAnsi="Times New Roman"/>
          <w:sz w:val="24"/>
          <w:szCs w:val="24"/>
          <w:u w:val="single"/>
        </w:rPr>
        <w:t xml:space="preserve">Lani Salazar, </w:t>
      </w:r>
      <w:r w:rsidRPr="00055F09">
        <w:rPr>
          <w:rFonts w:ascii="Times New Roman" w:eastAsia="Times New Roman" w:hAnsi="Times New Roman"/>
          <w:sz w:val="24"/>
          <w:szCs w:val="24"/>
          <w:u w:val="single"/>
        </w:rPr>
        <w:t>et al. v. Rio</w:t>
      </w:r>
      <w:r w:rsidRPr="00BD5B0D">
        <w:rPr>
          <w:rFonts w:ascii="Times New Roman" w:eastAsia="Times New Roman" w:hAnsi="Times New Roman"/>
          <w:sz w:val="24"/>
          <w:szCs w:val="24"/>
          <w:u w:val="single"/>
        </w:rPr>
        <w:t xml:space="preserve"> Rico Medical &amp; Fire District, et al</w:t>
      </w:r>
      <w:r>
        <w:rPr>
          <w:rFonts w:ascii="Times New Roman" w:eastAsia="Times New Roman" w:hAnsi="Times New Roman"/>
          <w:sz w:val="24"/>
          <w:szCs w:val="24"/>
        </w:rPr>
        <w:t xml:space="preserve">., U.S. District Court Judge Cindy K. Jorgenson, U.S. District Court for the District of Arizona, issued a pre-trial order; lawsuit against FD and the Battalion Chief will proceed to trial. The trial judge issued her order with this understatement. </w:t>
      </w:r>
      <w:r>
        <w:rPr>
          <w:rFonts w:ascii="Times New Roman" w:hAnsi="Times New Roman"/>
          <w:sz w:val="24"/>
          <w:szCs w:val="24"/>
        </w:rPr>
        <w:t>“</w:t>
      </w:r>
      <w:r w:rsidRPr="001F0A7D">
        <w:rPr>
          <w:rFonts w:ascii="Times New Roman" w:hAnsi="Times New Roman"/>
          <w:sz w:val="24"/>
          <w:szCs w:val="24"/>
        </w:rPr>
        <w:t>In 2016 and 2017, there was a fair amount of questionable activity unrelated to firefighting happening at the Rio Rico Medical &amp; Fire District (</w:t>
      </w:r>
      <w:r>
        <w:rPr>
          <w:rFonts w:ascii="Times New Roman" w:hAnsi="Times New Roman"/>
          <w:sz w:val="24"/>
          <w:szCs w:val="24"/>
        </w:rPr>
        <w:t>‘</w:t>
      </w:r>
      <w:r w:rsidRPr="001F0A7D">
        <w:rPr>
          <w:rFonts w:ascii="Times New Roman" w:hAnsi="Times New Roman"/>
          <w:sz w:val="24"/>
          <w:szCs w:val="24"/>
        </w:rPr>
        <w:t>District</w:t>
      </w:r>
      <w:r>
        <w:rPr>
          <w:rFonts w:ascii="Times New Roman" w:hAnsi="Times New Roman"/>
          <w:sz w:val="24"/>
          <w:szCs w:val="24"/>
        </w:rPr>
        <w:t>’</w:t>
      </w:r>
      <w:r w:rsidRPr="001F0A7D">
        <w:rPr>
          <w:rFonts w:ascii="Times New Roman" w:hAnsi="Times New Roman"/>
          <w:sz w:val="24"/>
          <w:szCs w:val="24"/>
        </w:rPr>
        <w:t>).</w:t>
      </w:r>
      <w:r>
        <w:rPr>
          <w:rFonts w:ascii="Times New Roman" w:hAnsi="Times New Roman"/>
          <w:sz w:val="24"/>
          <w:szCs w:val="24"/>
        </w:rPr>
        <w:t>”</w:t>
      </w:r>
    </w:p>
    <w:p w14:paraId="4EB32689" w14:textId="77777777" w:rsidR="00831847" w:rsidRDefault="00831847" w:rsidP="00831847">
      <w:pPr>
        <w:pStyle w:val="NoSpacing"/>
        <w:ind w:left="480"/>
        <w:rPr>
          <w:rFonts w:ascii="Times New Roman" w:hAnsi="Times New Roman"/>
          <w:sz w:val="24"/>
          <w:szCs w:val="24"/>
        </w:rPr>
      </w:pPr>
      <w:r>
        <w:rPr>
          <w:rFonts w:ascii="Times New Roman" w:hAnsi="Times New Roman"/>
          <w:sz w:val="24"/>
          <w:szCs w:val="24"/>
        </w:rPr>
        <w:t>“</w:t>
      </w:r>
      <w:r w:rsidRPr="00D46F33">
        <w:rPr>
          <w:rFonts w:ascii="Times New Roman" w:hAnsi="Times New Roman"/>
          <w:sz w:val="24"/>
          <w:szCs w:val="24"/>
        </w:rPr>
        <w:t xml:space="preserve">Beginning in July 2016, Flores began sexually harassing </w:t>
      </w:r>
      <w:r>
        <w:rPr>
          <w:rFonts w:ascii="Times New Roman" w:hAnsi="Times New Roman"/>
          <w:sz w:val="24"/>
          <w:szCs w:val="24"/>
        </w:rPr>
        <w:t xml:space="preserve">[Mrs. Lani] </w:t>
      </w:r>
      <w:r w:rsidRPr="00D46F33">
        <w:rPr>
          <w:rFonts w:ascii="Times New Roman" w:hAnsi="Times New Roman"/>
          <w:sz w:val="24"/>
          <w:szCs w:val="24"/>
        </w:rPr>
        <w:t xml:space="preserve">Salazar, whose promotion he had recently recommended. What started out as unwelcomed sexual advances soon escalated to alleged incidents of rape, the last of which occurred around the 2017 holiday season. A month earlier, Ibarra had struck rookie firefighter </w:t>
      </w:r>
      <w:r>
        <w:rPr>
          <w:rFonts w:ascii="Times New Roman" w:hAnsi="Times New Roman"/>
          <w:sz w:val="24"/>
          <w:szCs w:val="24"/>
        </w:rPr>
        <w:t xml:space="preserve">[Mr. Rene] </w:t>
      </w:r>
      <w:r w:rsidRPr="00D46F33">
        <w:rPr>
          <w:rFonts w:ascii="Times New Roman" w:hAnsi="Times New Roman"/>
          <w:sz w:val="24"/>
          <w:szCs w:val="24"/>
        </w:rPr>
        <w:t xml:space="preserve">Mendoza in the testicles with a radio antenna, laughed, and ran away. Mendoza was also inundated with countless sexually suggestive images sent to him by a fellow firefighter, who frequently referred to Mendoza using sexually offensive slang terms. Two other firefighters exposed themselves to Mendoza, and when he complained of </w:t>
      </w:r>
      <w:proofErr w:type="gramStart"/>
      <w:r w:rsidRPr="00D46F33">
        <w:rPr>
          <w:rFonts w:ascii="Times New Roman" w:hAnsi="Times New Roman"/>
          <w:sz w:val="24"/>
          <w:szCs w:val="24"/>
        </w:rPr>
        <w:t>the harassing</w:t>
      </w:r>
      <w:proofErr w:type="gramEnd"/>
      <w:r w:rsidRPr="00D46F33">
        <w:rPr>
          <w:rFonts w:ascii="Times New Roman" w:hAnsi="Times New Roman"/>
          <w:sz w:val="24"/>
          <w:szCs w:val="24"/>
        </w:rPr>
        <w:t xml:space="preserve"> behavior to a superior, he was half-heartedly instructed to </w:t>
      </w:r>
      <w:r>
        <w:rPr>
          <w:rFonts w:ascii="Times New Roman" w:hAnsi="Times New Roman"/>
          <w:sz w:val="24"/>
          <w:szCs w:val="24"/>
        </w:rPr>
        <w:t>‘</w:t>
      </w:r>
      <w:r w:rsidRPr="00D46F33">
        <w:rPr>
          <w:rFonts w:ascii="Times New Roman" w:hAnsi="Times New Roman"/>
          <w:sz w:val="24"/>
          <w:szCs w:val="24"/>
        </w:rPr>
        <w:t>write an email about it.</w:t>
      </w:r>
      <w:r>
        <w:rPr>
          <w:rFonts w:ascii="Times New Roman" w:hAnsi="Times New Roman"/>
          <w:sz w:val="24"/>
          <w:szCs w:val="24"/>
        </w:rPr>
        <w:t>’</w:t>
      </w:r>
    </w:p>
    <w:p w14:paraId="49DA2558" w14:textId="77777777" w:rsidR="00831847" w:rsidRDefault="00831847" w:rsidP="00831847">
      <w:pPr>
        <w:pStyle w:val="NoSpacing"/>
        <w:ind w:left="480"/>
        <w:rPr>
          <w:rFonts w:ascii="Times New Roman" w:hAnsi="Times New Roman"/>
          <w:sz w:val="24"/>
          <w:szCs w:val="24"/>
        </w:rPr>
      </w:pPr>
    </w:p>
    <w:p w14:paraId="50D77710" w14:textId="77777777" w:rsidR="00831847" w:rsidRDefault="00831847" w:rsidP="00831847">
      <w:pPr>
        <w:pStyle w:val="NoSpacing"/>
        <w:ind w:left="480"/>
        <w:rPr>
          <w:rFonts w:ascii="Times New Roman" w:hAnsi="Times New Roman"/>
          <w:sz w:val="24"/>
          <w:szCs w:val="24"/>
        </w:rPr>
      </w:pPr>
      <w:r>
        <w:rPr>
          <w:rFonts w:ascii="Times New Roman" w:hAnsi="Times New Roman"/>
          <w:sz w:val="24"/>
          <w:szCs w:val="24"/>
        </w:rPr>
        <w:t>***</w:t>
      </w:r>
    </w:p>
    <w:p w14:paraId="74FF6F56" w14:textId="77777777" w:rsidR="00831847" w:rsidRDefault="00831847" w:rsidP="00831847">
      <w:pPr>
        <w:pStyle w:val="NoSpacing"/>
        <w:ind w:left="480"/>
        <w:rPr>
          <w:rFonts w:ascii="Times New Roman" w:hAnsi="Times New Roman"/>
          <w:sz w:val="24"/>
          <w:szCs w:val="24"/>
        </w:rPr>
      </w:pPr>
    </w:p>
    <w:p w14:paraId="065F1DDF" w14:textId="77777777" w:rsidR="00831847" w:rsidRPr="00D46F33" w:rsidRDefault="00831847" w:rsidP="00831847">
      <w:pPr>
        <w:pStyle w:val="NoSpacing"/>
        <w:ind w:left="480"/>
        <w:rPr>
          <w:rFonts w:ascii="Times New Roman" w:hAnsi="Times New Roman"/>
          <w:sz w:val="24"/>
          <w:szCs w:val="24"/>
        </w:rPr>
      </w:pPr>
      <w:r w:rsidRPr="00072BE7">
        <w:rPr>
          <w:rFonts w:ascii="Times New Roman" w:hAnsi="Times New Roman"/>
          <w:sz w:val="24"/>
          <w:szCs w:val="24"/>
        </w:rPr>
        <w:t>Mendoza's Title VII hostile work environment claim against the District, Salazar's Title VII hostile work environment claim against the District, Salazar's Title VII retaliation claim against the District, Mendoza's common law battery claim against Ibarra and the District, Salazar's common law battery claim against Flores and the District, Mendoza's common law assault claim against Ibarra and the District, Salazar's common law assault claim against Flores and the District, Salazar's IIED claim against Flores and the District, and Mr. Salazar's loss of consortium claim against Flores and the District will proceed to trial.</w:t>
      </w:r>
      <w:r>
        <w:rPr>
          <w:rFonts w:ascii="Times New Roman" w:hAnsi="Times New Roman"/>
          <w:sz w:val="24"/>
          <w:szCs w:val="24"/>
        </w:rPr>
        <w:t xml:space="preserve">” </w:t>
      </w:r>
      <w:hyperlink r:id="rId1467" w:history="1">
        <w:r w:rsidRPr="008F3FAE">
          <w:rPr>
            <w:rStyle w:val="Hyperlink"/>
            <w:sz w:val="24"/>
            <w:szCs w:val="24"/>
          </w:rPr>
          <w:t>https://casetext.com/case/mendoza-v-rio-rico-med-1</w:t>
        </w:r>
      </w:hyperlink>
    </w:p>
    <w:p w14:paraId="2C3BAA7E" w14:textId="59DA664B" w:rsidR="00831847" w:rsidRDefault="00831847" w:rsidP="002B1283">
      <w:pPr>
        <w:rPr>
          <w:rFonts w:ascii="Arial Black" w:hAnsi="Arial Black"/>
          <w:b/>
          <w:sz w:val="24"/>
          <w:szCs w:val="24"/>
        </w:rPr>
      </w:pPr>
    </w:p>
    <w:p w14:paraId="6B897D13" w14:textId="77777777" w:rsidR="00831847" w:rsidRPr="007D401D" w:rsidRDefault="00831847" w:rsidP="00831847">
      <w:pPr>
        <w:pStyle w:val="NoSpacing"/>
        <w:rPr>
          <w:rFonts w:ascii="Times New Roman" w:hAnsi="Times New Roman"/>
          <w:b/>
          <w:bCs/>
          <w:sz w:val="24"/>
          <w:szCs w:val="24"/>
        </w:rPr>
      </w:pPr>
      <w:r w:rsidRPr="007D401D">
        <w:rPr>
          <w:rFonts w:ascii="Times New Roman" w:hAnsi="Times New Roman"/>
          <w:b/>
          <w:bCs/>
          <w:sz w:val="24"/>
          <w:szCs w:val="24"/>
        </w:rPr>
        <w:t xml:space="preserve">Legal Lessons Learned: </w:t>
      </w:r>
      <w:r>
        <w:rPr>
          <w:rFonts w:ascii="Times New Roman" w:hAnsi="Times New Roman"/>
          <w:b/>
          <w:bCs/>
          <w:sz w:val="24"/>
          <w:szCs w:val="24"/>
        </w:rPr>
        <w:t xml:space="preserve">Judge’s comment about FD’s “questionable activity” is an understatement; </w:t>
      </w:r>
      <w:proofErr w:type="gramStart"/>
      <w:r>
        <w:rPr>
          <w:rFonts w:ascii="Times New Roman" w:hAnsi="Times New Roman"/>
          <w:b/>
          <w:bCs/>
          <w:sz w:val="24"/>
          <w:szCs w:val="24"/>
        </w:rPr>
        <w:t>t</w:t>
      </w:r>
      <w:r w:rsidRPr="007D401D">
        <w:rPr>
          <w:rFonts w:ascii="Times New Roman" w:hAnsi="Times New Roman"/>
          <w:b/>
          <w:bCs/>
          <w:sz w:val="24"/>
          <w:szCs w:val="24"/>
        </w:rPr>
        <w:t>errible alleged</w:t>
      </w:r>
      <w:proofErr w:type="gramEnd"/>
      <w:r w:rsidRPr="007D401D">
        <w:rPr>
          <w:rFonts w:ascii="Times New Roman" w:hAnsi="Times New Roman"/>
          <w:b/>
          <w:bCs/>
          <w:sz w:val="24"/>
          <w:szCs w:val="24"/>
        </w:rPr>
        <w:t xml:space="preserve"> facts will now go before a jury; FDs must promptly investigate claims of workplace harassment. </w:t>
      </w:r>
    </w:p>
    <w:p w14:paraId="2A932F47" w14:textId="77777777" w:rsidR="00831847" w:rsidRDefault="00831847" w:rsidP="002B1283">
      <w:pPr>
        <w:rPr>
          <w:rFonts w:ascii="Arial Black" w:hAnsi="Arial Black"/>
          <w:b/>
          <w:sz w:val="24"/>
          <w:szCs w:val="24"/>
        </w:rPr>
      </w:pPr>
    </w:p>
    <w:p w14:paraId="126E2663" w14:textId="77777777" w:rsidR="00831847" w:rsidRDefault="00831847" w:rsidP="002B1283">
      <w:pPr>
        <w:rPr>
          <w:rFonts w:ascii="Arial Black" w:hAnsi="Arial Black"/>
          <w:b/>
          <w:sz w:val="24"/>
          <w:szCs w:val="24"/>
        </w:rPr>
      </w:pPr>
    </w:p>
    <w:p w14:paraId="33181834" w14:textId="4FF2031C" w:rsidR="00EB2493" w:rsidRDefault="00EB2493" w:rsidP="002B1283">
      <w:pPr>
        <w:rPr>
          <w:rFonts w:ascii="Arial Black" w:hAnsi="Arial Black"/>
          <w:b/>
          <w:sz w:val="24"/>
          <w:szCs w:val="24"/>
        </w:rPr>
      </w:pPr>
      <w:r>
        <w:rPr>
          <w:rFonts w:ascii="Arial Black" w:hAnsi="Arial Black"/>
          <w:b/>
          <w:sz w:val="24"/>
          <w:szCs w:val="24"/>
        </w:rPr>
        <w:t>7-28</w:t>
      </w:r>
    </w:p>
    <w:p w14:paraId="3EA7A1E0" w14:textId="77777777" w:rsidR="00EB2493" w:rsidRPr="001074C7" w:rsidRDefault="00EB2493" w:rsidP="00EB2493">
      <w:pPr>
        <w:pStyle w:val="NoSpacing"/>
        <w:rPr>
          <w:rFonts w:ascii="Arial Black" w:hAnsi="Arial Black"/>
          <w:sz w:val="28"/>
          <w:szCs w:val="28"/>
        </w:rPr>
      </w:pPr>
      <w:r>
        <w:rPr>
          <w:rFonts w:ascii="Arial Black" w:hAnsi="Arial Black"/>
          <w:sz w:val="28"/>
          <w:szCs w:val="28"/>
        </w:rPr>
        <w:t>GA: TRANSGENDER FIRE CHIEF – LAWSUIT DISMISSED – EEOC CHARGE NOT SUBMITTED UNDER OATH – “AT WILL” EMPLOYEE</w:t>
      </w:r>
    </w:p>
    <w:p w14:paraId="3FF9DBA0" w14:textId="77777777" w:rsidR="00EB2493" w:rsidRDefault="00EB2493" w:rsidP="00EB2493">
      <w:pPr>
        <w:pStyle w:val="NoSpacing"/>
      </w:pPr>
    </w:p>
    <w:p w14:paraId="6F6B6D60" w14:textId="77777777" w:rsidR="00EB2493" w:rsidRDefault="00EB2493" w:rsidP="00EB2493">
      <w:pPr>
        <w:pStyle w:val="NoSpacing"/>
        <w:rPr>
          <w:rFonts w:ascii="Times New Roman" w:hAnsi="Times New Roman"/>
          <w:sz w:val="24"/>
          <w:szCs w:val="24"/>
        </w:rPr>
      </w:pPr>
      <w:r>
        <w:rPr>
          <w:rFonts w:ascii="Times New Roman" w:hAnsi="Times New Roman"/>
          <w:sz w:val="24"/>
          <w:szCs w:val="24"/>
        </w:rPr>
        <w:t xml:space="preserve">On Jan. 28, </w:t>
      </w:r>
      <w:proofErr w:type="gramStart"/>
      <w:r>
        <w:rPr>
          <w:rFonts w:ascii="Times New Roman" w:hAnsi="Times New Roman"/>
          <w:sz w:val="24"/>
          <w:szCs w:val="24"/>
        </w:rPr>
        <w:t>2021</w:t>
      </w:r>
      <w:proofErr w:type="gramEnd"/>
      <w:r>
        <w:rPr>
          <w:rFonts w:ascii="Times New Roman" w:hAnsi="Times New Roman"/>
          <w:sz w:val="24"/>
          <w:szCs w:val="24"/>
        </w:rPr>
        <w:t xml:space="preserve"> in </w:t>
      </w:r>
      <w:r w:rsidRPr="001074C7">
        <w:rPr>
          <w:rFonts w:ascii="Times New Roman" w:hAnsi="Times New Roman"/>
          <w:sz w:val="24"/>
          <w:szCs w:val="24"/>
          <w:u w:val="single"/>
        </w:rPr>
        <w:t>Rachel Mosby v. City of Byron, Georgia</w:t>
      </w:r>
      <w:r>
        <w:rPr>
          <w:rFonts w:ascii="Times New Roman" w:hAnsi="Times New Roman"/>
          <w:sz w:val="24"/>
          <w:szCs w:val="24"/>
        </w:rPr>
        <w:t xml:space="preserve">, U.S. District Court Judge Clay D. Land granted the City’s motion to dismiss; plaintiff’s EEOC Charge was never signed under oath (not “Verified” as required by federal law); </w:t>
      </w:r>
      <w:proofErr w:type="gramStart"/>
      <w:r>
        <w:rPr>
          <w:rFonts w:ascii="Times New Roman" w:hAnsi="Times New Roman"/>
          <w:sz w:val="24"/>
          <w:szCs w:val="24"/>
        </w:rPr>
        <w:t>also</w:t>
      </w:r>
      <w:proofErr w:type="gramEnd"/>
      <w:r>
        <w:rPr>
          <w:rFonts w:ascii="Times New Roman" w:hAnsi="Times New Roman"/>
          <w:sz w:val="24"/>
          <w:szCs w:val="24"/>
        </w:rPr>
        <w:t xml:space="preserve"> Judge held that the plaintiff is an “at will” employee not protected by a civil service commission.  Chief Mosby was fired 18 months after first coming to work for her rural fire department as a woman. </w:t>
      </w:r>
    </w:p>
    <w:p w14:paraId="074FFD6E" w14:textId="77777777" w:rsidR="00EB2493" w:rsidRDefault="00EB2493" w:rsidP="00EB2493">
      <w:pPr>
        <w:pStyle w:val="NoSpacing"/>
        <w:rPr>
          <w:rFonts w:ascii="Times New Roman" w:hAnsi="Times New Roman"/>
          <w:sz w:val="24"/>
          <w:szCs w:val="24"/>
        </w:rPr>
      </w:pPr>
    </w:p>
    <w:p w14:paraId="22BA1AB0"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4254B6">
        <w:rPr>
          <w:rFonts w:ascii="Times New Roman" w:hAnsi="Times New Roman"/>
          <w:sz w:val="24"/>
          <w:szCs w:val="24"/>
        </w:rPr>
        <w:t xml:space="preserve">This record, as it stands today, does not contain a verified charge, and </w:t>
      </w:r>
      <w:r>
        <w:rPr>
          <w:rFonts w:ascii="Times New Roman" w:hAnsi="Times New Roman"/>
          <w:sz w:val="24"/>
          <w:szCs w:val="24"/>
        </w:rPr>
        <w:t>‘</w:t>
      </w:r>
      <w:r w:rsidRPr="004254B6">
        <w:rPr>
          <w:rFonts w:ascii="Times New Roman" w:hAnsi="Times New Roman"/>
          <w:sz w:val="24"/>
          <w:szCs w:val="24"/>
        </w:rPr>
        <w:t>the statute mandates that charges be made under oath or affirmation.</w:t>
      </w:r>
      <w:r>
        <w:rPr>
          <w:rFonts w:ascii="Times New Roman" w:hAnsi="Times New Roman"/>
          <w:sz w:val="24"/>
          <w:szCs w:val="24"/>
        </w:rPr>
        <w:t xml:space="preserve">’ </w:t>
      </w:r>
      <w:hyperlink r:id="rId1468" w:history="1">
        <w:r w:rsidRPr="004254B6">
          <w:rPr>
            <w:rStyle w:val="Hyperlink"/>
            <w:rFonts w:ascii="Times New Roman" w:hAnsi="Times New Roman"/>
            <w:i/>
            <w:iCs/>
            <w:sz w:val="24"/>
            <w:szCs w:val="24"/>
          </w:rPr>
          <w:t>Vason,</w:t>
        </w:r>
        <w:r w:rsidRPr="004254B6">
          <w:rPr>
            <w:rStyle w:val="Hyperlink"/>
            <w:rFonts w:ascii="Times New Roman" w:hAnsi="Times New Roman"/>
            <w:sz w:val="24"/>
            <w:szCs w:val="24"/>
          </w:rPr>
          <w:t xml:space="preserve"> 240 F.3d at 907</w:t>
        </w:r>
      </w:hyperlink>
      <w:r w:rsidRPr="004254B6">
        <w:rPr>
          <w:rFonts w:ascii="Times New Roman" w:hAnsi="Times New Roman"/>
          <w:sz w:val="24"/>
          <w:szCs w:val="24"/>
        </w:rPr>
        <w:t xml:space="preserve">. Since </w:t>
      </w:r>
      <w:r>
        <w:rPr>
          <w:rFonts w:ascii="Times New Roman" w:hAnsi="Times New Roman"/>
          <w:sz w:val="24"/>
          <w:szCs w:val="24"/>
        </w:rPr>
        <w:t>‘</w:t>
      </w:r>
      <w:r w:rsidRPr="004254B6">
        <w:rPr>
          <w:rFonts w:ascii="Times New Roman" w:hAnsi="Times New Roman"/>
          <w:sz w:val="24"/>
          <w:szCs w:val="24"/>
        </w:rPr>
        <w:t>verification is an absolute condition precedent to suit</w:t>
      </w:r>
      <w:r>
        <w:rPr>
          <w:rFonts w:ascii="Times New Roman" w:hAnsi="Times New Roman"/>
          <w:sz w:val="24"/>
          <w:szCs w:val="24"/>
        </w:rPr>
        <w:t>’</w:t>
      </w:r>
      <w:r w:rsidRPr="004254B6">
        <w:rPr>
          <w:rFonts w:ascii="Times New Roman" w:hAnsi="Times New Roman"/>
          <w:sz w:val="24"/>
          <w:szCs w:val="24"/>
        </w:rPr>
        <w:t xml:space="preserve"> under Title VII (and the ADA) in this circuit, Mosby's lack of verification demands one simple ruling—she did not satisfy an absolute condition precedent before filing her lawsuit. </w:t>
      </w:r>
      <w:r w:rsidRPr="004254B6">
        <w:rPr>
          <w:rFonts w:ascii="Times New Roman" w:hAnsi="Times New Roman"/>
          <w:i/>
          <w:iCs/>
          <w:sz w:val="24"/>
          <w:szCs w:val="24"/>
        </w:rPr>
        <w:t xml:space="preserve">See </w:t>
      </w:r>
      <w:hyperlink r:id="rId1469" w:history="1">
        <w:r w:rsidRPr="004254B6">
          <w:rPr>
            <w:rStyle w:val="Hyperlink"/>
            <w:rFonts w:ascii="Times New Roman" w:hAnsi="Times New Roman"/>
            <w:i/>
            <w:iCs/>
            <w:sz w:val="24"/>
            <w:szCs w:val="24"/>
          </w:rPr>
          <w:t>Vason v. City of Montgomery,</w:t>
        </w:r>
        <w:r w:rsidRPr="004254B6">
          <w:rPr>
            <w:rStyle w:val="Hyperlink"/>
            <w:rFonts w:ascii="Times New Roman" w:hAnsi="Times New Roman"/>
            <w:sz w:val="24"/>
            <w:szCs w:val="24"/>
          </w:rPr>
          <w:t xml:space="preserve"> 86 F. Supp. 2d 1130, 1133 (M.D. Ala. 2000),</w:t>
        </w:r>
      </w:hyperlink>
      <w:r w:rsidRPr="004254B6">
        <w:rPr>
          <w:rFonts w:ascii="Times New Roman" w:hAnsi="Times New Roman"/>
          <w:sz w:val="24"/>
          <w:szCs w:val="24"/>
        </w:rPr>
        <w:t xml:space="preserve"> </w:t>
      </w:r>
      <w:r w:rsidRPr="004254B6">
        <w:rPr>
          <w:rFonts w:ascii="Times New Roman" w:hAnsi="Times New Roman"/>
          <w:i/>
          <w:iCs/>
          <w:sz w:val="24"/>
          <w:szCs w:val="24"/>
        </w:rPr>
        <w:t>aff'd,</w:t>
      </w:r>
      <w:r w:rsidRPr="004254B6">
        <w:rPr>
          <w:rFonts w:ascii="Times New Roman" w:hAnsi="Times New Roman"/>
          <w:sz w:val="24"/>
          <w:szCs w:val="24"/>
        </w:rPr>
        <w:t xml:space="preserve"> </w:t>
      </w:r>
      <w:hyperlink r:id="rId1470" w:history="1">
        <w:r w:rsidRPr="004254B6">
          <w:rPr>
            <w:rStyle w:val="Hyperlink"/>
            <w:rFonts w:ascii="Times New Roman" w:hAnsi="Times New Roman"/>
            <w:sz w:val="24"/>
            <w:szCs w:val="24"/>
          </w:rPr>
          <w:t>240 F.3d 905</w:t>
        </w:r>
      </w:hyperlink>
      <w:r w:rsidRPr="004254B6">
        <w:rPr>
          <w:rFonts w:ascii="Times New Roman" w:hAnsi="Times New Roman"/>
          <w:sz w:val="24"/>
          <w:szCs w:val="24"/>
        </w:rPr>
        <w:t xml:space="preserve"> (alteration adopted). Consequently, Mosby's Title VII and ADA claims are barred as a matter of law.</w:t>
      </w:r>
      <w:r>
        <w:rPr>
          <w:rFonts w:ascii="Times New Roman" w:hAnsi="Times New Roman"/>
          <w:sz w:val="24"/>
          <w:szCs w:val="24"/>
        </w:rPr>
        <w:t>”</w:t>
      </w:r>
    </w:p>
    <w:p w14:paraId="520FAE89" w14:textId="589E8E7A" w:rsidR="00EB2493" w:rsidRDefault="00EB2493" w:rsidP="00EB2493">
      <w:pPr>
        <w:rPr>
          <w:rFonts w:ascii="Arial Black" w:hAnsi="Arial Black"/>
          <w:b/>
          <w:sz w:val="24"/>
          <w:szCs w:val="24"/>
        </w:rPr>
      </w:pPr>
      <w:hyperlink r:id="rId1471" w:history="1">
        <w:r w:rsidRPr="002013DF">
          <w:rPr>
            <w:rStyle w:val="Hyperlink"/>
            <w:rFonts w:ascii="Times New Roman" w:hAnsi="Times New Roman"/>
            <w:sz w:val="24"/>
            <w:szCs w:val="24"/>
          </w:rPr>
          <w:t>https://scholar.google.com/scholar_case?case=1979118509333189928&amp;q=Rachel+MOSBY+v.+CITY+OF+BYRON,+GEORGIA,&amp;hl=en&amp;as_sdt=6,36</w:t>
        </w:r>
      </w:hyperlink>
    </w:p>
    <w:p w14:paraId="338590CC" w14:textId="6C2767B5" w:rsidR="00EB2493" w:rsidRPr="00321109" w:rsidRDefault="00EB2493" w:rsidP="00EB2493">
      <w:pPr>
        <w:tabs>
          <w:tab w:val="left" w:pos="2830"/>
        </w:tabs>
        <w:rPr>
          <w:rFonts w:ascii="Times New Roman" w:hAnsi="Times New Roman"/>
          <w:b/>
          <w:bCs/>
          <w:sz w:val="24"/>
          <w:szCs w:val="24"/>
        </w:rPr>
      </w:pPr>
      <w:r w:rsidRPr="00321109">
        <w:rPr>
          <w:rFonts w:ascii="Times New Roman" w:hAnsi="Times New Roman"/>
          <w:b/>
          <w:bCs/>
          <w:sz w:val="24"/>
          <w:szCs w:val="24"/>
        </w:rPr>
        <w:t>Legal Lesson Learned</w:t>
      </w:r>
      <w:r>
        <w:rPr>
          <w:rFonts w:ascii="Times New Roman" w:hAnsi="Times New Roman"/>
          <w:b/>
          <w:bCs/>
          <w:sz w:val="24"/>
          <w:szCs w:val="24"/>
        </w:rPr>
        <w:t xml:space="preserve">:  EEOC charges must be “verified” (signed under oath); “at will” employees may be terminated without cause; public officials cannot sue for defamation without proof of “malice.”  </w:t>
      </w:r>
      <w:bookmarkStart w:id="289" w:name="_Hlk65911361"/>
      <w:r>
        <w:rPr>
          <w:rFonts w:ascii="Times New Roman" w:hAnsi="Times New Roman"/>
          <w:b/>
          <w:bCs/>
          <w:sz w:val="24"/>
          <w:szCs w:val="24"/>
        </w:rPr>
        <w:t xml:space="preserve">If this case had gone to trial, the jury might have seriously questioned the actions of the employer. </w:t>
      </w:r>
    </w:p>
    <w:bookmarkEnd w:id="289"/>
    <w:p w14:paraId="2610B9A1" w14:textId="77777777" w:rsidR="00EB2493" w:rsidRPr="00321109" w:rsidRDefault="00EB2493" w:rsidP="00EB2493">
      <w:pPr>
        <w:pStyle w:val="Heading1"/>
        <w:ind w:left="720"/>
        <w:rPr>
          <w:b w:val="0"/>
          <w:bCs w:val="0"/>
          <w:sz w:val="24"/>
          <w:szCs w:val="24"/>
        </w:rPr>
      </w:pPr>
      <w:r w:rsidRPr="00321109">
        <w:rPr>
          <w:b w:val="0"/>
          <w:bCs w:val="0"/>
          <w:sz w:val="24"/>
          <w:szCs w:val="24"/>
        </w:rPr>
        <w:t xml:space="preserve">Note:  </w:t>
      </w:r>
      <w:r>
        <w:rPr>
          <w:b w:val="0"/>
          <w:bCs w:val="0"/>
          <w:sz w:val="24"/>
          <w:szCs w:val="24"/>
        </w:rPr>
        <w:t>See:  Feb. 19, 2021: “</w:t>
      </w:r>
      <w:r w:rsidRPr="004254B6">
        <w:rPr>
          <w:b w:val="0"/>
          <w:bCs w:val="0"/>
          <w:sz w:val="24"/>
          <w:szCs w:val="24"/>
        </w:rPr>
        <w:t>Judge dismisses discrimination lawsuit by transgender fire chief</w:t>
      </w:r>
      <w:r>
        <w:rPr>
          <w:b w:val="0"/>
          <w:bCs w:val="0"/>
          <w:sz w:val="24"/>
          <w:szCs w:val="24"/>
        </w:rPr>
        <w:t xml:space="preserve">.” </w:t>
      </w:r>
      <w:r w:rsidRPr="004254B6">
        <w:rPr>
          <w:b w:val="0"/>
          <w:bCs w:val="0"/>
          <w:sz w:val="24"/>
          <w:szCs w:val="24"/>
        </w:rPr>
        <w:t>SAVANNAH, Ga. — A federal judge has dismissed a discrimination lawsuit by a transgender fire chief who led a rural Georgia city's fire department for more than a decade, then got fired 18 months after first coming to work as a woman</w:t>
      </w:r>
      <w:r>
        <w:rPr>
          <w:b w:val="0"/>
          <w:bCs w:val="0"/>
          <w:sz w:val="24"/>
          <w:szCs w:val="24"/>
        </w:rPr>
        <w:t xml:space="preserve">.” </w:t>
      </w:r>
      <w:hyperlink r:id="rId1472" w:history="1">
        <w:r w:rsidRPr="00D403AF">
          <w:rPr>
            <w:rStyle w:val="Hyperlink"/>
            <w:b w:val="0"/>
            <w:bCs w:val="0"/>
            <w:sz w:val="24"/>
            <w:szCs w:val="24"/>
          </w:rPr>
          <w:t>https://www.firerescue1.com/discrimination/articles/judge-dismisses-discrimination-lawsuit-by-transgender-fire-chief-c9ZJzz1mhPH97dsL/?utm_source=FireRescue1+Daily&amp;utm_campaign=34323ded4f-EMAIL_CAMPAIGN_2021_02_19_07_52&amp;utm_medium=email&amp;utm_term=0_758bdbeffe-34323ded4f-41607823</w:t>
        </w:r>
      </w:hyperlink>
      <w:r>
        <w:rPr>
          <w:b w:val="0"/>
          <w:bCs w:val="0"/>
          <w:sz w:val="24"/>
          <w:szCs w:val="24"/>
        </w:rPr>
        <w:t xml:space="preserve"> </w:t>
      </w:r>
    </w:p>
    <w:p w14:paraId="6AAE0EF5" w14:textId="77777777" w:rsidR="00EB2493" w:rsidRPr="004254B6" w:rsidRDefault="00EB2493" w:rsidP="00EB2493">
      <w:pPr>
        <w:pStyle w:val="NoSpacing"/>
        <w:ind w:left="720"/>
        <w:rPr>
          <w:rFonts w:ascii="Times New Roman" w:hAnsi="Times New Roman"/>
          <w:sz w:val="24"/>
          <w:szCs w:val="24"/>
        </w:rPr>
      </w:pPr>
      <w:r w:rsidRPr="004254B6">
        <w:rPr>
          <w:rFonts w:ascii="Times New Roman" w:hAnsi="Times New Roman"/>
          <w:sz w:val="24"/>
          <w:szCs w:val="24"/>
        </w:rPr>
        <w:t xml:space="preserve">See also: “Federal judge dismisses discrimination lawsuit by transgender fire chief in Georgia.” </w:t>
      </w:r>
      <w:hyperlink r:id="rId1473" w:history="1">
        <w:r w:rsidRPr="004254B6">
          <w:rPr>
            <w:rStyle w:val="Hyperlink"/>
            <w:rFonts w:ascii="Times New Roman" w:hAnsi="Times New Roman"/>
            <w:sz w:val="24"/>
            <w:szCs w:val="24"/>
          </w:rPr>
          <w:t>https://www.nbcnews.com/news/us-news/federal-judge-dismisses-discrimination-lawsuit-transgender-fire-chief-georgia-n1258452</w:t>
        </w:r>
      </w:hyperlink>
    </w:p>
    <w:p w14:paraId="5183A507" w14:textId="77777777" w:rsidR="00EB2493" w:rsidRDefault="00EB2493" w:rsidP="002B1283">
      <w:pPr>
        <w:rPr>
          <w:rFonts w:ascii="Arial Black" w:hAnsi="Arial Black"/>
          <w:b/>
          <w:sz w:val="24"/>
          <w:szCs w:val="24"/>
        </w:rPr>
      </w:pPr>
    </w:p>
    <w:p w14:paraId="4C73B106" w14:textId="77777777" w:rsidR="00EB2493" w:rsidRDefault="00EB2493" w:rsidP="002B1283">
      <w:pPr>
        <w:rPr>
          <w:rFonts w:ascii="Arial Black" w:hAnsi="Arial Black"/>
          <w:b/>
          <w:sz w:val="24"/>
          <w:szCs w:val="24"/>
        </w:rPr>
      </w:pPr>
    </w:p>
    <w:p w14:paraId="1E51D146" w14:textId="425EDDE7" w:rsidR="00737B49" w:rsidRDefault="00737B49" w:rsidP="002B1283">
      <w:pPr>
        <w:rPr>
          <w:rFonts w:ascii="Arial Black" w:hAnsi="Arial Black"/>
          <w:b/>
          <w:sz w:val="24"/>
          <w:szCs w:val="24"/>
        </w:rPr>
      </w:pPr>
      <w:r>
        <w:rPr>
          <w:rFonts w:ascii="Arial Black" w:hAnsi="Arial Black"/>
          <w:b/>
          <w:sz w:val="24"/>
          <w:szCs w:val="24"/>
        </w:rPr>
        <w:t>7-27</w:t>
      </w:r>
    </w:p>
    <w:p w14:paraId="7CD45694" w14:textId="2EF41928" w:rsidR="00863F9E" w:rsidRDefault="00863F9E" w:rsidP="00863F9E">
      <w:pPr>
        <w:spacing w:before="100" w:beforeAutospacing="1" w:after="100" w:afterAutospacing="1" w:line="240" w:lineRule="auto"/>
        <w:rPr>
          <w:rFonts w:ascii="Arial Black" w:hAnsi="Arial Black" w:cstheme="minorBidi"/>
          <w:sz w:val="28"/>
          <w:szCs w:val="28"/>
        </w:rPr>
      </w:pPr>
      <w:bookmarkStart w:id="290" w:name="_Hlk66947567"/>
      <w:r>
        <w:rPr>
          <w:rFonts w:ascii="Arial Black" w:hAnsi="Arial Black"/>
          <w:sz w:val="28"/>
          <w:szCs w:val="28"/>
        </w:rPr>
        <w:t xml:space="preserve">MI: JURY FINDS NO SEX HARASSMENT, NO RETALIATION – FF 29-DAY SUSP - POSTED CELL PHONE PHOTO OF HOUSE FIRE </w:t>
      </w:r>
    </w:p>
    <w:p w14:paraId="790A66CB" w14:textId="77777777" w:rsidR="00863F9E" w:rsidRDefault="00863F9E" w:rsidP="00863F9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29, 2020, in </w:t>
      </w:r>
      <w:r>
        <w:rPr>
          <w:rFonts w:ascii="Times New Roman" w:hAnsi="Times New Roman"/>
          <w:sz w:val="24"/>
          <w:szCs w:val="24"/>
          <w:u w:val="single"/>
        </w:rPr>
        <w:t>Amy Rygwelski v. City of Flint, et al</w:t>
      </w:r>
      <w:r>
        <w:rPr>
          <w:rFonts w:ascii="Times New Roman" w:hAnsi="Times New Roman"/>
          <w:sz w:val="24"/>
          <w:szCs w:val="24"/>
        </w:rPr>
        <w:t xml:space="preserve">., the State of Michigan Court of Appeals, held (3 to 0) that the trial court properly upheld the jury decision of no harassment or retaliation.  She filed complaint of sexual harassment after one minor incident with fellow firefighter; was reassigned to another </w:t>
      </w:r>
      <w:proofErr w:type="gramStart"/>
      <w:r>
        <w:rPr>
          <w:rFonts w:ascii="Times New Roman" w:hAnsi="Times New Roman"/>
          <w:sz w:val="24"/>
          <w:szCs w:val="24"/>
        </w:rPr>
        <w:t>station, and</w:t>
      </w:r>
      <w:proofErr w:type="gramEnd"/>
      <w:r>
        <w:rPr>
          <w:rFonts w:ascii="Times New Roman" w:hAnsi="Times New Roman"/>
          <w:sz w:val="24"/>
          <w:szCs w:val="24"/>
        </w:rPr>
        <w:t xml:space="preserve"> later received a 29-day suspension after the department learned that, while on a fire run, she used her cell phone to take a picture of the rising sun while a house burned in the foreground, posted on social media.</w:t>
      </w:r>
    </w:p>
    <w:bookmarkEnd w:id="290"/>
    <w:p w14:paraId="1F1683D7" w14:textId="77777777" w:rsidR="00863F9E" w:rsidRDefault="00863F9E" w:rsidP="00863F9E">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 xml:space="preserve">“If the jury were to believe that plaintiff fabricated her claim of sexual harassment, then plaintiff was not engaged in a protected activity. Reporting a fabricated account of harassment would not be an activity protected by the act, because a plaintiff could not possibly be acting upon </w:t>
      </w:r>
      <w:proofErr w:type="gramStart"/>
      <w:r>
        <w:rPr>
          <w:rFonts w:ascii="Times New Roman" w:hAnsi="Times New Roman"/>
          <w:sz w:val="24"/>
          <w:szCs w:val="24"/>
        </w:rPr>
        <w:t>a good</w:t>
      </w:r>
      <w:proofErr w:type="gramEnd"/>
      <w:r>
        <w:rPr>
          <w:rFonts w:ascii="Times New Roman" w:hAnsi="Times New Roman"/>
          <w:sz w:val="24"/>
          <w:szCs w:val="24"/>
        </w:rPr>
        <w:t xml:space="preserve">-faith or reasonable belief of unlawful activity. And because a question of fact existed with respect to whether the sexual harassment </w:t>
      </w:r>
      <w:proofErr w:type="gramStart"/>
      <w:r>
        <w:rPr>
          <w:rFonts w:ascii="Times New Roman" w:hAnsi="Times New Roman"/>
          <w:sz w:val="24"/>
          <w:szCs w:val="24"/>
        </w:rPr>
        <w:t>actually occurred</w:t>
      </w:r>
      <w:proofErr w:type="gramEnd"/>
      <w:r>
        <w:rPr>
          <w:rFonts w:ascii="Times New Roman" w:hAnsi="Times New Roman"/>
          <w:sz w:val="24"/>
          <w:szCs w:val="24"/>
        </w:rPr>
        <w:t xml:space="preserve">, reasonable jurors could have differed with respect to whether plaintiff engaged in protected activity. Accordingly, the trial court did not err when it denied plaintiff’s motion for a directed verdict.” </w:t>
      </w:r>
      <w:bookmarkStart w:id="291" w:name="_Hlk66947588"/>
      <w:r w:rsidR="00F00958">
        <w:fldChar w:fldCharType="begin"/>
      </w:r>
      <w:r w:rsidR="00F00958">
        <w:instrText xml:space="preserve"> HYPERLINK "https://public.fastcase.com/Wl%2B2t%2BeVuI35%2FN70vAMFZhNKndYLJrOSR04H32IgTwa9kDAt3i1qzZBjDxGzNoxz" </w:instrText>
      </w:r>
      <w:r w:rsidR="00F00958">
        <w:fldChar w:fldCharType="separate"/>
      </w:r>
      <w:r>
        <w:rPr>
          <w:rStyle w:val="Hyperlink"/>
        </w:rPr>
        <w:t>https://public.fastcase.com/Wl%2B2t%2BeVuI35%2FN70vAMFZhNKndYLJrOSR04H32IgTwa9kDAt3i1qzZBjDxGzNoxz</w:t>
      </w:r>
      <w:r w:rsidR="00F00958">
        <w:rPr>
          <w:rStyle w:val="Hyperlink"/>
        </w:rPr>
        <w:fldChar w:fldCharType="end"/>
      </w:r>
      <w:r>
        <w:rPr>
          <w:rFonts w:ascii="Times New Roman" w:hAnsi="Times New Roman"/>
          <w:sz w:val="24"/>
          <w:szCs w:val="24"/>
        </w:rPr>
        <w:t xml:space="preserve">  </w:t>
      </w:r>
    </w:p>
    <w:p w14:paraId="42CE8AC4" w14:textId="77777777" w:rsidR="00863F9E" w:rsidRDefault="00863F9E" w:rsidP="00863F9E">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Plaintiff failed to prove her allegations to the jury.</w:t>
      </w:r>
    </w:p>
    <w:bookmarkEnd w:id="291"/>
    <w:p w14:paraId="06260D2E" w14:textId="77777777" w:rsidR="00863F9E" w:rsidRDefault="00863F9E" w:rsidP="002B1283">
      <w:pPr>
        <w:rPr>
          <w:rFonts w:ascii="Arial Black" w:hAnsi="Arial Black"/>
          <w:b/>
          <w:sz w:val="24"/>
          <w:szCs w:val="24"/>
        </w:rPr>
      </w:pPr>
    </w:p>
    <w:p w14:paraId="330F4090" w14:textId="6B2CA801" w:rsidR="00737B49" w:rsidRDefault="00737B49" w:rsidP="002B1283">
      <w:pPr>
        <w:rPr>
          <w:rFonts w:ascii="Arial Black" w:hAnsi="Arial Black"/>
          <w:b/>
          <w:sz w:val="24"/>
          <w:szCs w:val="24"/>
        </w:rPr>
      </w:pPr>
    </w:p>
    <w:p w14:paraId="25CE69BD" w14:textId="35D31BFD" w:rsidR="00737B49" w:rsidRDefault="00737B49" w:rsidP="002B1283">
      <w:pPr>
        <w:rPr>
          <w:rFonts w:ascii="Arial Black" w:hAnsi="Arial Black"/>
          <w:b/>
          <w:sz w:val="24"/>
          <w:szCs w:val="24"/>
        </w:rPr>
      </w:pPr>
      <w:r>
        <w:rPr>
          <w:rFonts w:ascii="Arial Black" w:hAnsi="Arial Black"/>
          <w:b/>
          <w:sz w:val="24"/>
          <w:szCs w:val="24"/>
        </w:rPr>
        <w:t>7-26</w:t>
      </w:r>
    </w:p>
    <w:p w14:paraId="136021BB" w14:textId="77777777" w:rsidR="00863F9E" w:rsidRDefault="00863F9E" w:rsidP="00863F9E">
      <w:pPr>
        <w:rPr>
          <w:rFonts w:ascii="Arial Black" w:eastAsiaTheme="minorHAnsi" w:hAnsi="Arial Black" w:cstheme="minorBidi"/>
          <w:sz w:val="28"/>
          <w:szCs w:val="28"/>
        </w:rPr>
      </w:pPr>
      <w:bookmarkStart w:id="292" w:name="_Hlk66947667"/>
      <w:r>
        <w:rPr>
          <w:rFonts w:ascii="Arial Black" w:hAnsi="Arial Black"/>
          <w:sz w:val="28"/>
          <w:szCs w:val="28"/>
        </w:rPr>
        <w:t>NY: FF FIRED – SEMEN INSIDE PANTS BELONGING TO FEMALE FF – ARBITRATOR, COURTS UPHOLD FIRING</w:t>
      </w:r>
    </w:p>
    <w:p w14:paraId="69FAAE9D" w14:textId="1B9BAC19" w:rsidR="00863F9E" w:rsidRDefault="00863F9E" w:rsidP="00863F9E">
      <w:pPr>
        <w:rPr>
          <w:rFonts w:ascii="Times New Roman" w:hAnsi="Times New Roman"/>
          <w:sz w:val="24"/>
          <w:szCs w:val="24"/>
        </w:rPr>
      </w:pPr>
      <w:r>
        <w:rPr>
          <w:rFonts w:ascii="Times New Roman" w:hAnsi="Times New Roman"/>
          <w:sz w:val="24"/>
          <w:szCs w:val="24"/>
        </w:rPr>
        <w:t xml:space="preserve">On Dec. 23, 2020, </w:t>
      </w:r>
      <w:r>
        <w:rPr>
          <w:rFonts w:ascii="Times New Roman" w:hAnsi="Times New Roman"/>
          <w:sz w:val="24"/>
          <w:szCs w:val="24"/>
          <w:u w:val="single"/>
        </w:rPr>
        <w:t xml:space="preserve">In </w:t>
      </w:r>
      <w:proofErr w:type="gramStart"/>
      <w:r>
        <w:rPr>
          <w:rFonts w:ascii="Times New Roman" w:hAnsi="Times New Roman"/>
          <w:sz w:val="24"/>
          <w:szCs w:val="24"/>
          <w:u w:val="single"/>
        </w:rPr>
        <w:t>The</w:t>
      </w:r>
      <w:proofErr w:type="gramEnd"/>
      <w:r>
        <w:rPr>
          <w:rFonts w:ascii="Times New Roman" w:hAnsi="Times New Roman"/>
          <w:sz w:val="24"/>
          <w:szCs w:val="24"/>
          <w:u w:val="single"/>
        </w:rPr>
        <w:t xml:space="preserve"> Matter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Arbitration Between City of Utica, and Local 32, IAFF (on Behalf of Richard J. Forte)</w:t>
      </w:r>
      <w:r>
        <w:rPr>
          <w:rFonts w:ascii="Times New Roman" w:hAnsi="Times New Roman"/>
          <w:sz w:val="24"/>
          <w:szCs w:val="24"/>
        </w:rPr>
        <w:t xml:space="preserve">, the Supreme Court of the State of New York, Appellate Division (Fourth Judicial District), 2020 NY Slip Op 07783, held (5 to 0) that trial court properly denied his motion to vacate arbitration award in favor of the </w:t>
      </w:r>
      <w:proofErr w:type="gramStart"/>
      <w:r>
        <w:rPr>
          <w:rFonts w:ascii="Times New Roman" w:hAnsi="Times New Roman"/>
          <w:sz w:val="24"/>
          <w:szCs w:val="24"/>
        </w:rPr>
        <w:t>City</w:t>
      </w:r>
      <w:proofErr w:type="gramEnd"/>
      <w:r>
        <w:rPr>
          <w:rFonts w:ascii="Times New Roman" w:hAnsi="Times New Roman"/>
          <w:sz w:val="24"/>
          <w:szCs w:val="24"/>
        </w:rPr>
        <w:t xml:space="preserve">. </w:t>
      </w:r>
    </w:p>
    <w:bookmarkEnd w:id="292"/>
    <w:p w14:paraId="5109B944" w14:textId="77777777" w:rsidR="00863F9E" w:rsidRDefault="00863F9E" w:rsidP="00863F9E">
      <w:pPr>
        <w:ind w:left="720"/>
        <w:rPr>
          <w:rFonts w:asciiTheme="minorHAnsi" w:hAnsiTheme="minorHAnsi" w:cstheme="minorBidi"/>
        </w:rPr>
      </w:pPr>
      <w:r>
        <w:rPr>
          <w:rFonts w:ascii="Times New Roman" w:hAnsi="Times New Roman"/>
          <w:sz w:val="24"/>
          <w:szCs w:val="24"/>
        </w:rPr>
        <w:t>“Respondent contends that the arbitrator improperly found him guilty of committing uncharged conduct, i.e., sexual harassment, and determined that termination was the appropriate penalty for that uncharged conduct. We reject that contention.</w:t>
      </w:r>
    </w:p>
    <w:p w14:paraId="7D1545AF" w14:textId="77777777" w:rsidR="00863F9E" w:rsidRDefault="00863F9E" w:rsidP="00863F9E">
      <w:pPr>
        <w:ind w:left="720"/>
        <w:rPr>
          <w:rFonts w:ascii="Times New Roman" w:hAnsi="Times New Roman"/>
          <w:sz w:val="24"/>
          <w:szCs w:val="24"/>
        </w:rPr>
      </w:pPr>
      <w:r>
        <w:rPr>
          <w:rFonts w:ascii="Times New Roman" w:hAnsi="Times New Roman"/>
          <w:sz w:val="24"/>
          <w:szCs w:val="24"/>
        </w:rPr>
        <w:t>Respondent was charged in the notice of disciplinary charges with, inter alia, conduct unbecoming a member of the Utica Fire Department ‘insofar as [he] knowingly and intentionally damage[d] property belonging to a fellow firefighter’ by ‘intentionally, knowingly, and unlawfully, with the intent to damage property, deposit[</w:t>
      </w:r>
      <w:proofErr w:type="spellStart"/>
      <w:r>
        <w:rPr>
          <w:rFonts w:ascii="Times New Roman" w:hAnsi="Times New Roman"/>
          <w:sz w:val="24"/>
          <w:szCs w:val="24"/>
        </w:rPr>
        <w:t>ing</w:t>
      </w:r>
      <w:proofErr w:type="spellEnd"/>
      <w:r>
        <w:rPr>
          <w:rFonts w:ascii="Times New Roman" w:hAnsi="Times New Roman"/>
          <w:sz w:val="24"/>
          <w:szCs w:val="24"/>
        </w:rPr>
        <w:t xml:space="preserve">] [his] semen onto the inside crotch area of a pair of pants belonging to’ a fellow firefighter.” </w:t>
      </w:r>
      <w:bookmarkStart w:id="293" w:name="_Hlk66947690"/>
      <w:r w:rsidR="00F00958">
        <w:fldChar w:fldCharType="begin"/>
      </w:r>
      <w:r w:rsidR="00F00958">
        <w:instrText xml:space="preserve"> HYPERLINK "https://public.fastcase.com/Wl%2B2t%2BeVuI35%2FN70vAMFZp6hsxXEFbDsO880xeA992QVSgi2XCJKDe%2BRTn9MNoHg" </w:instrText>
      </w:r>
      <w:r w:rsidR="00F00958">
        <w:fldChar w:fldCharType="separate"/>
      </w:r>
      <w:r>
        <w:rPr>
          <w:rStyle w:val="Hyperlink"/>
        </w:rPr>
        <w:t>https://public.fastcase.com/Wl%2B2t%2BeVuI35%2FN70vAMFZp6hsxXEFbDsO880xeA992QVSgi2XCJKDe%2BRTn9MNoHg</w:t>
      </w:r>
      <w:r w:rsidR="00F00958">
        <w:rPr>
          <w:rStyle w:val="Hyperlink"/>
        </w:rPr>
        <w:fldChar w:fldCharType="end"/>
      </w:r>
      <w:r>
        <w:rPr>
          <w:rFonts w:ascii="Times New Roman" w:hAnsi="Times New Roman"/>
          <w:sz w:val="24"/>
          <w:szCs w:val="24"/>
        </w:rPr>
        <w:t xml:space="preserve"> </w:t>
      </w:r>
    </w:p>
    <w:p w14:paraId="0F67507F" w14:textId="77777777" w:rsidR="00863F9E" w:rsidRDefault="00863F9E" w:rsidP="00863F9E">
      <w:pPr>
        <w:spacing w:before="100" w:beforeAutospacing="1" w:after="100" w:afterAutospacing="1" w:line="240" w:lineRule="auto"/>
        <w:rPr>
          <w:rFonts w:ascii="Times New Roman" w:eastAsia="Times New Roman" w:hAnsi="Times New Roman"/>
          <w:b/>
          <w:bCs/>
          <w:sz w:val="24"/>
          <w:szCs w:val="24"/>
        </w:rPr>
      </w:pPr>
      <w:r w:rsidRPr="004D6DF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Terrible set of facts.</w:t>
      </w:r>
    </w:p>
    <w:p w14:paraId="0987C420" w14:textId="77777777" w:rsidR="00863F9E" w:rsidRPr="004D6DF3" w:rsidRDefault="00863F9E" w:rsidP="00863F9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b/>
          <w:bCs/>
          <w:sz w:val="24"/>
          <w:szCs w:val="24"/>
        </w:rPr>
        <w:tab/>
      </w:r>
      <w:r>
        <w:rPr>
          <w:rFonts w:ascii="Times New Roman" w:eastAsia="Times New Roman" w:hAnsi="Times New Roman"/>
          <w:sz w:val="24"/>
          <w:szCs w:val="24"/>
        </w:rPr>
        <w:t xml:space="preserve">Note: This case has been subject of lots of negative Press. </w:t>
      </w:r>
    </w:p>
    <w:bookmarkEnd w:id="293"/>
    <w:p w14:paraId="387BA4A4" w14:textId="77777777" w:rsidR="00863F9E" w:rsidRPr="004D6DF3" w:rsidRDefault="00863F9E" w:rsidP="00863F9E">
      <w:pPr>
        <w:ind w:left="720"/>
        <w:rPr>
          <w:sz w:val="24"/>
          <w:szCs w:val="24"/>
        </w:rPr>
      </w:pPr>
      <w:r>
        <w:rPr>
          <w:rFonts w:ascii="Times New Roman" w:hAnsi="Times New Roman"/>
          <w:sz w:val="24"/>
          <w:szCs w:val="24"/>
        </w:rPr>
        <w:t xml:space="preserve">July 21, 2020: </w:t>
      </w:r>
      <w:r w:rsidRPr="004D6DF3">
        <w:rPr>
          <w:rFonts w:ascii="Times New Roman" w:hAnsi="Times New Roman"/>
          <w:sz w:val="24"/>
          <w:szCs w:val="24"/>
        </w:rPr>
        <w:t>“Court: Former Utica firefighter not entitled to payment.”</w:t>
      </w:r>
      <w:r>
        <w:rPr>
          <w:rFonts w:ascii="Times New Roman" w:hAnsi="Times New Roman"/>
          <w:sz w:val="24"/>
          <w:szCs w:val="24"/>
        </w:rPr>
        <w:t xml:space="preserve"> “</w:t>
      </w:r>
      <w:r w:rsidRPr="004D6DF3">
        <w:rPr>
          <w:rFonts w:ascii="Times New Roman" w:hAnsi="Times New Roman"/>
          <w:sz w:val="24"/>
          <w:szCs w:val="24"/>
        </w:rPr>
        <w:t>Richard Forte was found guilty last September of charges related to a January 2018 incident, during which he ejaculated on a pair of pants owned by a female firefighter. He was sentenced last December to 60 days in the county jail.</w:t>
      </w:r>
      <w:r>
        <w:rPr>
          <w:rFonts w:ascii="Times New Roman" w:hAnsi="Times New Roman"/>
          <w:sz w:val="24"/>
          <w:szCs w:val="24"/>
        </w:rPr>
        <w:t xml:space="preserve">” </w:t>
      </w:r>
      <w:hyperlink r:id="rId1474" w:history="1">
        <w:r w:rsidRPr="008335C2">
          <w:rPr>
            <w:rStyle w:val="Hyperlink"/>
            <w:sz w:val="24"/>
            <w:szCs w:val="24"/>
          </w:rPr>
          <w:t>https://www.uticaod.com/story/news/2020/07/21/court-former-utica-firefighter-not-entitled-to-payment/42260661/</w:t>
        </w:r>
      </w:hyperlink>
      <w:r w:rsidRPr="004D6DF3">
        <w:rPr>
          <w:sz w:val="24"/>
          <w:szCs w:val="24"/>
        </w:rPr>
        <w:t xml:space="preserve"> </w:t>
      </w:r>
    </w:p>
    <w:p w14:paraId="7A67F713" w14:textId="77777777" w:rsidR="00863F9E" w:rsidRPr="004D6DF3" w:rsidRDefault="00863F9E" w:rsidP="00863F9E">
      <w:pPr>
        <w:pStyle w:val="Heading1"/>
        <w:ind w:left="720"/>
        <w:rPr>
          <w:b w:val="0"/>
          <w:bCs w:val="0"/>
          <w:sz w:val="24"/>
          <w:szCs w:val="24"/>
        </w:rPr>
      </w:pPr>
      <w:r w:rsidRPr="004D6DF3">
        <w:rPr>
          <w:b w:val="0"/>
          <w:bCs w:val="0"/>
          <w:sz w:val="24"/>
          <w:szCs w:val="24"/>
        </w:rPr>
        <w:t xml:space="preserve">Sept. 25, 2019: “Ex-Utica firefighter found guilty on all charges.” </w:t>
      </w:r>
      <w:hyperlink r:id="rId1475" w:history="1">
        <w:r w:rsidRPr="008335C2">
          <w:rPr>
            <w:rStyle w:val="Hyperlink"/>
            <w:b w:val="0"/>
            <w:bCs w:val="0"/>
            <w:sz w:val="24"/>
            <w:szCs w:val="24"/>
          </w:rPr>
          <w:t>https://www.uticaod.com/news/20190925/ex-utica-firefighter-found-guilty-on-all-charges</w:t>
        </w:r>
      </w:hyperlink>
      <w:r w:rsidRPr="004D6DF3">
        <w:rPr>
          <w:b w:val="0"/>
          <w:bCs w:val="0"/>
          <w:sz w:val="24"/>
          <w:szCs w:val="24"/>
        </w:rPr>
        <w:t xml:space="preserve"> </w:t>
      </w:r>
    </w:p>
    <w:p w14:paraId="017E8965" w14:textId="77777777" w:rsidR="00863F9E" w:rsidRPr="004D6DF3" w:rsidRDefault="00863F9E" w:rsidP="00863F9E">
      <w:pPr>
        <w:ind w:left="720"/>
        <w:rPr>
          <w:rFonts w:ascii="Times New Roman" w:hAnsi="Times New Roman"/>
          <w:sz w:val="24"/>
          <w:szCs w:val="24"/>
        </w:rPr>
      </w:pPr>
      <w:r>
        <w:rPr>
          <w:rFonts w:ascii="Times New Roman" w:hAnsi="Times New Roman"/>
          <w:sz w:val="24"/>
          <w:szCs w:val="24"/>
        </w:rPr>
        <w:t xml:space="preserve">April 4, 2019: “Utica firefighter fired after sexual harassment claim.” </w:t>
      </w:r>
      <w:hyperlink r:id="rId1476" w:history="1">
        <w:r w:rsidRPr="008335C2">
          <w:rPr>
            <w:rStyle w:val="Hyperlink"/>
            <w:rFonts w:ascii="Times New Roman" w:hAnsi="Times New Roman"/>
            <w:sz w:val="24"/>
            <w:szCs w:val="24"/>
          </w:rPr>
          <w:t>https://www.uticaod.com/news/20190404/utica-firefighter-fired-after-sexual-harassment-claim</w:t>
        </w:r>
      </w:hyperlink>
      <w:r>
        <w:rPr>
          <w:rFonts w:ascii="Times New Roman" w:hAnsi="Times New Roman"/>
          <w:sz w:val="24"/>
          <w:szCs w:val="24"/>
        </w:rPr>
        <w:t xml:space="preserve"> </w:t>
      </w:r>
    </w:p>
    <w:p w14:paraId="07C7A4A6" w14:textId="77777777" w:rsidR="00737B49" w:rsidRDefault="00737B49" w:rsidP="002B1283">
      <w:pPr>
        <w:rPr>
          <w:rFonts w:ascii="Arial Black" w:hAnsi="Arial Black"/>
          <w:b/>
          <w:sz w:val="24"/>
          <w:szCs w:val="24"/>
        </w:rPr>
      </w:pPr>
    </w:p>
    <w:p w14:paraId="08007798" w14:textId="43D61A9C" w:rsidR="00DD03E3" w:rsidRDefault="00DD03E3" w:rsidP="002B1283">
      <w:pPr>
        <w:rPr>
          <w:rFonts w:ascii="Arial Black" w:hAnsi="Arial Black"/>
          <w:b/>
          <w:sz w:val="24"/>
          <w:szCs w:val="24"/>
        </w:rPr>
      </w:pPr>
      <w:r>
        <w:rPr>
          <w:rFonts w:ascii="Arial Black" w:hAnsi="Arial Black"/>
          <w:b/>
          <w:sz w:val="24"/>
          <w:szCs w:val="24"/>
        </w:rPr>
        <w:t>7-25</w:t>
      </w:r>
    </w:p>
    <w:p w14:paraId="2DCB1B6C" w14:textId="77777777" w:rsidR="00DD03E3" w:rsidRPr="00CB26F0" w:rsidRDefault="00DD03E3" w:rsidP="00DD03E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FEMALE IN CHICAGO FD’s PARAMEDIC ACADEMY – INJURED “LIFTING &amp; MOVING SEQUENCE” – REFUSED RE-HIRE - CASE PROCEED</w:t>
      </w:r>
    </w:p>
    <w:p w14:paraId="63E7D3F3" w14:textId="77777777" w:rsidR="00DD03E3" w:rsidRDefault="00DD03E3" w:rsidP="00DD03E3">
      <w:pPr>
        <w:spacing w:before="100" w:beforeAutospacing="1" w:after="100" w:afterAutospacing="1" w:line="240" w:lineRule="auto"/>
        <w:rPr>
          <w:rFonts w:ascii="Times New Roman" w:hAnsi="Times New Roman"/>
          <w:sz w:val="24"/>
          <w:szCs w:val="24"/>
        </w:rPr>
      </w:pPr>
      <w:r w:rsidRPr="009A19BE">
        <w:rPr>
          <w:rFonts w:ascii="Times New Roman" w:eastAsia="Times New Roman" w:hAnsi="Times New Roman"/>
          <w:sz w:val="24"/>
          <w:szCs w:val="24"/>
        </w:rPr>
        <w:t>On Act. 27, 2020, in</w:t>
      </w:r>
      <w:r>
        <w:rPr>
          <w:rFonts w:ascii="Times New Roman" w:eastAsia="Times New Roman" w:hAnsi="Times New Roman"/>
          <w:sz w:val="24"/>
          <w:szCs w:val="24"/>
        </w:rPr>
        <w:t xml:space="preserve"> </w:t>
      </w:r>
      <w:r w:rsidRPr="009A19BE">
        <w:rPr>
          <w:rFonts w:ascii="Times New Roman" w:eastAsia="Times New Roman" w:hAnsi="Times New Roman"/>
          <w:sz w:val="24"/>
          <w:szCs w:val="24"/>
          <w:u w:val="single"/>
        </w:rPr>
        <w:t>Donna Griffin v. City of Chicago</w:t>
      </w:r>
      <w:r>
        <w:rPr>
          <w:rFonts w:ascii="Times New Roman" w:eastAsia="Times New Roman" w:hAnsi="Times New Roman"/>
          <w:sz w:val="24"/>
          <w:szCs w:val="24"/>
        </w:rPr>
        <w:t xml:space="preserve">, U.S. District Court Judge Sara L. Ellis, Northern District of Illinois, denied City’s motion to dismiss the lawsuit; plaintiff may pursue claim that the CFD administered physical fitness tests solely to eliminate women from the Academy, leading to her injury and termination April 11, 2019, and the City’s refusal to allow her to re-apply after she failed a return-to-work Independent Medical Exam in June 2019 (she was prescribed medications for </w:t>
      </w:r>
      <w:r w:rsidRPr="00D272C9">
        <w:rPr>
          <w:rFonts w:ascii="Times New Roman" w:hAnsi="Times New Roman"/>
          <w:sz w:val="24"/>
          <w:szCs w:val="24"/>
        </w:rPr>
        <w:t>insomnia and adjustment disorder</w:t>
      </w:r>
      <w:r>
        <w:rPr>
          <w:rFonts w:ascii="Times New Roman" w:hAnsi="Times New Roman"/>
          <w:sz w:val="24"/>
          <w:szCs w:val="24"/>
        </w:rPr>
        <w:t>).</w:t>
      </w:r>
    </w:p>
    <w:p w14:paraId="4FBB09B0"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72C9">
        <w:rPr>
          <w:rFonts w:ascii="Times New Roman" w:hAnsi="Times New Roman"/>
          <w:sz w:val="24"/>
          <w:szCs w:val="24"/>
        </w:rPr>
        <w:t>In October 2016, Griffin (who was known as Donna Ruch at the time</w:t>
      </w:r>
      <w:proofErr w:type="gramStart"/>
      <w:r w:rsidRPr="00D272C9">
        <w:rPr>
          <w:rFonts w:ascii="Times New Roman" w:hAnsi="Times New Roman"/>
          <w:sz w:val="24"/>
          <w:szCs w:val="24"/>
        </w:rPr>
        <w:t>)</w:t>
      </w:r>
      <w:proofErr w:type="gramEnd"/>
      <w:r w:rsidRPr="00D272C9">
        <w:rPr>
          <w:rFonts w:ascii="Times New Roman" w:hAnsi="Times New Roman"/>
          <w:sz w:val="24"/>
          <w:szCs w:val="24"/>
        </w:rPr>
        <w:t xml:space="preserve"> and several other female paramedics filed the </w:t>
      </w:r>
      <w:r w:rsidRPr="00D272C9">
        <w:rPr>
          <w:rFonts w:ascii="Times New Roman" w:hAnsi="Times New Roman"/>
          <w:i/>
          <w:iCs/>
          <w:sz w:val="24"/>
          <w:szCs w:val="24"/>
        </w:rPr>
        <w:t>Livingston</w:t>
      </w:r>
      <w:r w:rsidRPr="00D272C9">
        <w:rPr>
          <w:rFonts w:ascii="Times New Roman" w:hAnsi="Times New Roman"/>
          <w:sz w:val="24"/>
          <w:szCs w:val="24"/>
        </w:rPr>
        <w:t xml:space="preserve"> lawsuit, alleging that the </w:t>
      </w:r>
      <w:proofErr w:type="gramStart"/>
      <w:r w:rsidRPr="00D272C9">
        <w:rPr>
          <w:rFonts w:ascii="Times New Roman" w:hAnsi="Times New Roman"/>
          <w:sz w:val="24"/>
          <w:szCs w:val="24"/>
        </w:rPr>
        <w:t>City</w:t>
      </w:r>
      <w:proofErr w:type="gramEnd"/>
      <w:r w:rsidRPr="00D272C9">
        <w:rPr>
          <w:rFonts w:ascii="Times New Roman" w:hAnsi="Times New Roman"/>
          <w:sz w:val="24"/>
          <w:szCs w:val="24"/>
        </w:rPr>
        <w:t xml:space="preserve"> discriminated against them based on their sex. In connection with the parties' attempts to make progress in settling </w:t>
      </w:r>
      <w:r w:rsidRPr="00D272C9">
        <w:rPr>
          <w:rFonts w:ascii="Times New Roman" w:hAnsi="Times New Roman"/>
          <w:i/>
          <w:iCs/>
          <w:sz w:val="24"/>
          <w:szCs w:val="24"/>
        </w:rPr>
        <w:t>Livingston</w:t>
      </w:r>
      <w:r w:rsidRPr="00D272C9">
        <w:rPr>
          <w:rFonts w:ascii="Times New Roman" w:hAnsi="Times New Roman"/>
          <w:sz w:val="24"/>
          <w:szCs w:val="24"/>
        </w:rPr>
        <w:t>, the City agreed to conditionally hire Griffin as a CFD Fire Paramedic candidate pending medical processing.</w:t>
      </w:r>
    </w:p>
    <w:p w14:paraId="556F7ACE"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0C710D2" w14:textId="77777777" w:rsidR="00DD03E3" w:rsidRPr="00D272C9" w:rsidRDefault="00DD03E3" w:rsidP="00DD03E3">
      <w:pPr>
        <w:spacing w:before="100" w:beforeAutospacing="1" w:after="100" w:afterAutospacing="1" w:line="240" w:lineRule="auto"/>
        <w:ind w:left="720"/>
        <w:rPr>
          <w:rFonts w:ascii="Times New Roman" w:eastAsia="Times New Roman" w:hAnsi="Times New Roman"/>
          <w:sz w:val="24"/>
          <w:szCs w:val="24"/>
        </w:rPr>
      </w:pPr>
      <w:r w:rsidRPr="00375B7C">
        <w:rPr>
          <w:rFonts w:ascii="Times New Roman" w:hAnsi="Times New Roman"/>
          <w:sz w:val="24"/>
          <w:szCs w:val="24"/>
        </w:rPr>
        <w:t xml:space="preserve">The relevant question is whether Griffin has plausibly alleged that discriminatory and retaliatory motives were the bases underlying the City's June 2019 denial of her application. She has. Griffin alleges that the </w:t>
      </w:r>
      <w:proofErr w:type="gramStart"/>
      <w:r w:rsidRPr="00375B7C">
        <w:rPr>
          <w:rFonts w:ascii="Times New Roman" w:hAnsi="Times New Roman"/>
          <w:sz w:val="24"/>
          <w:szCs w:val="24"/>
        </w:rPr>
        <w:t>City</w:t>
      </w:r>
      <w:proofErr w:type="gramEnd"/>
      <w:r w:rsidRPr="00375B7C">
        <w:rPr>
          <w:rFonts w:ascii="Times New Roman" w:hAnsi="Times New Roman"/>
          <w:sz w:val="24"/>
          <w:szCs w:val="24"/>
        </w:rPr>
        <w:t xml:space="preserve"> </w:t>
      </w:r>
      <w:r>
        <w:rPr>
          <w:rFonts w:ascii="Times New Roman" w:hAnsi="Times New Roman"/>
          <w:sz w:val="24"/>
          <w:szCs w:val="24"/>
        </w:rPr>
        <w:t>‘</w:t>
      </w:r>
      <w:r w:rsidRPr="00375B7C">
        <w:rPr>
          <w:rFonts w:ascii="Times New Roman" w:hAnsi="Times New Roman"/>
          <w:sz w:val="24"/>
          <w:szCs w:val="24"/>
        </w:rPr>
        <w:t>refused to allow her to enter a subsequent training academy</w:t>
      </w:r>
      <w:r>
        <w:rPr>
          <w:rFonts w:ascii="Times New Roman" w:hAnsi="Times New Roman"/>
          <w:sz w:val="24"/>
          <w:szCs w:val="24"/>
        </w:rPr>
        <w:t>’</w:t>
      </w:r>
      <w:r w:rsidRPr="00375B7C">
        <w:rPr>
          <w:rFonts w:ascii="Times New Roman" w:hAnsi="Times New Roman"/>
          <w:sz w:val="24"/>
          <w:szCs w:val="24"/>
        </w:rPr>
        <w:t xml:space="preserve"> class because of her gender, her complaints about illegal sex discrimination, and her disability. </w:t>
      </w:r>
      <w:r w:rsidRPr="00375B7C">
        <w:rPr>
          <w:rFonts w:ascii="Times New Roman" w:hAnsi="Times New Roman"/>
          <w:i/>
          <w:iCs/>
          <w:sz w:val="24"/>
          <w:szCs w:val="24"/>
        </w:rPr>
        <w:t>Griffin</w:t>
      </w:r>
      <w:r w:rsidRPr="00375B7C">
        <w:rPr>
          <w:rFonts w:ascii="Times New Roman" w:hAnsi="Times New Roman"/>
          <w:sz w:val="24"/>
          <w:szCs w:val="24"/>
        </w:rPr>
        <w:t xml:space="preserve">, Doc. 1 ¶¶ 17, 18, 21, 24-26. She further alleges that the </w:t>
      </w:r>
      <w:proofErr w:type="gramStart"/>
      <w:r w:rsidRPr="00375B7C">
        <w:rPr>
          <w:rFonts w:ascii="Times New Roman" w:hAnsi="Times New Roman"/>
          <w:sz w:val="24"/>
          <w:szCs w:val="24"/>
        </w:rPr>
        <w:t>City</w:t>
      </w:r>
      <w:proofErr w:type="gramEnd"/>
      <w:r w:rsidRPr="00375B7C">
        <w:rPr>
          <w:rFonts w:ascii="Times New Roman" w:hAnsi="Times New Roman"/>
          <w:sz w:val="24"/>
          <w:szCs w:val="24"/>
        </w:rPr>
        <w:t xml:space="preserve"> has allowed men who use alprazolam or trazodone—the medications that Griffin had taken or was taking when she went through the medical evaluation process in March and April 2019—to train and work as Fire Paramedics and that the </w:t>
      </w:r>
      <w:proofErr w:type="gramStart"/>
      <w:r w:rsidRPr="00375B7C">
        <w:rPr>
          <w:rFonts w:ascii="Times New Roman" w:hAnsi="Times New Roman"/>
          <w:sz w:val="24"/>
          <w:szCs w:val="24"/>
        </w:rPr>
        <w:t>City</w:t>
      </w:r>
      <w:proofErr w:type="gramEnd"/>
      <w:r w:rsidRPr="00375B7C">
        <w:rPr>
          <w:rFonts w:ascii="Times New Roman" w:hAnsi="Times New Roman"/>
          <w:sz w:val="24"/>
          <w:szCs w:val="24"/>
        </w:rPr>
        <w:t xml:space="preserve"> has also allowed individuals who have not complained of discrimination to use these medications while training or working as Fire Paramedics. These allegations plausibly state claims for relief based upon the City's June 2019 denial of Griffin's application.</w:t>
      </w:r>
      <w:r>
        <w:rPr>
          <w:rFonts w:ascii="Times New Roman" w:hAnsi="Times New Roman"/>
          <w:sz w:val="24"/>
          <w:szCs w:val="24"/>
        </w:rPr>
        <w:t xml:space="preserve">”  </w:t>
      </w:r>
      <w:hyperlink r:id="rId1477" w:history="1">
        <w:r w:rsidRPr="00EF3739">
          <w:rPr>
            <w:rStyle w:val="Hyperlink"/>
            <w:rFonts w:ascii="Times New Roman" w:hAnsi="Times New Roman"/>
            <w:sz w:val="24"/>
            <w:szCs w:val="24"/>
          </w:rPr>
          <w:t>https://public.fastcase.com/Wl%2B2t%2BeVuI35%2FN70vAMFZs1o8oz3pWgS38oNkfNQDzkHmIv0WM8cJL2w%2BtvmrMCm</w:t>
        </w:r>
      </w:hyperlink>
      <w:r>
        <w:rPr>
          <w:rFonts w:ascii="Times New Roman" w:hAnsi="Times New Roman"/>
          <w:sz w:val="24"/>
          <w:szCs w:val="24"/>
        </w:rPr>
        <w:t xml:space="preserve"> </w:t>
      </w:r>
    </w:p>
    <w:p w14:paraId="0BC49D32" w14:textId="77777777" w:rsidR="00DD03E3" w:rsidRPr="009A19BE" w:rsidRDefault="00DD03E3" w:rsidP="00DD03E3">
      <w:pPr>
        <w:spacing w:before="100" w:beforeAutospacing="1" w:after="100" w:afterAutospacing="1" w:line="240" w:lineRule="auto"/>
        <w:rPr>
          <w:rFonts w:ascii="Times New Roman" w:eastAsia="Times New Roman" w:hAnsi="Times New Roman"/>
          <w:b/>
          <w:bCs/>
          <w:sz w:val="24"/>
          <w:szCs w:val="24"/>
        </w:rPr>
      </w:pPr>
      <w:r w:rsidRPr="00375B7C">
        <w:rPr>
          <w:rFonts w:ascii="Times New Roman" w:hAnsi="Times New Roman"/>
          <w:b/>
          <w:bCs/>
          <w:sz w:val="24"/>
          <w:szCs w:val="24"/>
        </w:rPr>
        <w:t>Legal Lesson Learned:</w:t>
      </w:r>
      <w:r>
        <w:rPr>
          <w:rFonts w:ascii="Times New Roman" w:hAnsi="Times New Roman"/>
          <w:b/>
          <w:bCs/>
          <w:sz w:val="24"/>
          <w:szCs w:val="24"/>
        </w:rPr>
        <w:t xml:space="preserve">  Plaintiff may now proceed with pre-trial discovery, including how the FD has medically dealt with male firefighters using the same medications. </w:t>
      </w:r>
    </w:p>
    <w:p w14:paraId="0C803703" w14:textId="77777777" w:rsidR="00DD03E3" w:rsidRDefault="00DD03E3" w:rsidP="002B1283">
      <w:pPr>
        <w:rPr>
          <w:rFonts w:ascii="Arial Black" w:hAnsi="Arial Black"/>
          <w:b/>
          <w:sz w:val="24"/>
          <w:szCs w:val="24"/>
        </w:rPr>
      </w:pPr>
    </w:p>
    <w:p w14:paraId="27619CAE" w14:textId="77777777" w:rsidR="00DD03E3" w:rsidRDefault="00DD03E3" w:rsidP="002B1283">
      <w:pPr>
        <w:rPr>
          <w:rFonts w:ascii="Arial Black" w:hAnsi="Arial Black"/>
          <w:b/>
          <w:sz w:val="24"/>
          <w:szCs w:val="24"/>
        </w:rPr>
      </w:pPr>
    </w:p>
    <w:p w14:paraId="1A95CE6C" w14:textId="77777777" w:rsidR="00DD03E3" w:rsidRDefault="00DD03E3" w:rsidP="002B1283">
      <w:pPr>
        <w:rPr>
          <w:rFonts w:ascii="Arial Black" w:hAnsi="Arial Black"/>
          <w:b/>
          <w:sz w:val="24"/>
          <w:szCs w:val="24"/>
        </w:rPr>
      </w:pPr>
    </w:p>
    <w:p w14:paraId="008056E8" w14:textId="66C47A54" w:rsidR="006B2083" w:rsidRDefault="006B2083" w:rsidP="002B1283">
      <w:pPr>
        <w:rPr>
          <w:rFonts w:ascii="Arial Black" w:hAnsi="Arial Black"/>
          <w:b/>
          <w:sz w:val="24"/>
          <w:szCs w:val="24"/>
        </w:rPr>
      </w:pPr>
      <w:r>
        <w:rPr>
          <w:rFonts w:ascii="Arial Black" w:hAnsi="Arial Black"/>
          <w:b/>
          <w:sz w:val="24"/>
          <w:szCs w:val="24"/>
        </w:rPr>
        <w:t>7-2</w:t>
      </w:r>
      <w:r w:rsidR="001A653A">
        <w:rPr>
          <w:rFonts w:ascii="Arial Black" w:hAnsi="Arial Black"/>
          <w:b/>
          <w:sz w:val="24"/>
          <w:szCs w:val="24"/>
        </w:rPr>
        <w:t>4</w:t>
      </w:r>
    </w:p>
    <w:p w14:paraId="4D84FD34" w14:textId="77777777" w:rsidR="006B2083" w:rsidRDefault="006B2083" w:rsidP="006B2083">
      <w:pPr>
        <w:pStyle w:val="NoSpacing"/>
        <w:rPr>
          <w:rFonts w:ascii="Arial Black" w:hAnsi="Arial Black"/>
          <w:sz w:val="28"/>
          <w:szCs w:val="28"/>
        </w:rPr>
      </w:pPr>
      <w:r w:rsidRPr="00A5652A">
        <w:rPr>
          <w:rFonts w:ascii="Arial Black" w:hAnsi="Arial Black"/>
          <w:sz w:val="28"/>
          <w:szCs w:val="28"/>
        </w:rPr>
        <w:t xml:space="preserve">NY: </w:t>
      </w:r>
      <w:r>
        <w:rPr>
          <w:rFonts w:ascii="Arial Black" w:hAnsi="Arial Black"/>
          <w:sz w:val="28"/>
          <w:szCs w:val="28"/>
        </w:rPr>
        <w:t xml:space="preserve"> FEMALE FF ON RUN – MALE FF MASTERBATED INTO PANTS SHE HAD LEFT AT STATION – NO PAY AWAITING ARBITRATION</w:t>
      </w:r>
    </w:p>
    <w:p w14:paraId="01F287BD" w14:textId="77777777" w:rsidR="006B2083" w:rsidRDefault="006B2083" w:rsidP="006B2083">
      <w:pPr>
        <w:pStyle w:val="NoSpacing"/>
        <w:ind w:left="720"/>
        <w:rPr>
          <w:rFonts w:ascii="Arial Black" w:hAnsi="Arial Black"/>
          <w:sz w:val="28"/>
          <w:szCs w:val="28"/>
        </w:rPr>
      </w:pPr>
    </w:p>
    <w:p w14:paraId="504E1AF3" w14:textId="77777777" w:rsidR="006B2083" w:rsidRPr="00E16775" w:rsidRDefault="006B2083" w:rsidP="006B2083">
      <w:pPr>
        <w:pStyle w:val="NoSpacing"/>
        <w:rPr>
          <w:rFonts w:ascii="Times New Roman" w:hAnsi="Times New Roman"/>
          <w:sz w:val="24"/>
          <w:szCs w:val="24"/>
        </w:rPr>
      </w:pPr>
      <w:r w:rsidRPr="00BE7A38">
        <w:rPr>
          <w:rFonts w:ascii="Times New Roman" w:hAnsi="Times New Roman"/>
          <w:sz w:val="24"/>
          <w:szCs w:val="24"/>
        </w:rPr>
        <w:t xml:space="preserve">On July 17, 2020, in the case </w:t>
      </w:r>
      <w:r w:rsidRPr="00BE7A38">
        <w:rPr>
          <w:rFonts w:ascii="Times New Roman" w:hAnsi="Times New Roman"/>
          <w:sz w:val="24"/>
          <w:szCs w:val="24"/>
          <w:u w:val="single"/>
        </w:rPr>
        <w:t xml:space="preserve">In </w:t>
      </w:r>
      <w:proofErr w:type="gramStart"/>
      <w:r w:rsidRPr="00BE7A38">
        <w:rPr>
          <w:rFonts w:ascii="Times New Roman" w:hAnsi="Times New Roman"/>
          <w:sz w:val="24"/>
          <w:szCs w:val="24"/>
          <w:u w:val="single"/>
        </w:rPr>
        <w:t>The</w:t>
      </w:r>
      <w:proofErr w:type="gramEnd"/>
      <w:r w:rsidRPr="00BE7A38">
        <w:rPr>
          <w:rFonts w:ascii="Times New Roman" w:hAnsi="Times New Roman"/>
          <w:sz w:val="24"/>
          <w:szCs w:val="24"/>
          <w:u w:val="single"/>
        </w:rPr>
        <w:t xml:space="preserve"> Matter </w:t>
      </w:r>
      <w:proofErr w:type="gramStart"/>
      <w:r w:rsidRPr="00BE7A38">
        <w:rPr>
          <w:rFonts w:ascii="Times New Roman" w:hAnsi="Times New Roman"/>
          <w:sz w:val="24"/>
          <w:szCs w:val="24"/>
          <w:u w:val="single"/>
        </w:rPr>
        <w:t>Of</w:t>
      </w:r>
      <w:proofErr w:type="gramEnd"/>
      <w:r w:rsidRPr="00BE7A38">
        <w:rPr>
          <w:rFonts w:ascii="Times New Roman" w:hAnsi="Times New Roman"/>
          <w:sz w:val="24"/>
          <w:szCs w:val="24"/>
          <w:u w:val="single"/>
        </w:rPr>
        <w:t xml:space="preserve"> Thomas Cacone v. City of Utica</w:t>
      </w:r>
      <w:r w:rsidRPr="00BE7A38">
        <w:rPr>
          <w:rFonts w:ascii="Times New Roman" w:hAnsi="Times New Roman"/>
          <w:sz w:val="24"/>
          <w:szCs w:val="24"/>
        </w:rPr>
        <w:t xml:space="preserve">, </w:t>
      </w:r>
      <w:r>
        <w:rPr>
          <w:rFonts w:ascii="Times New Roman" w:hAnsi="Times New Roman"/>
          <w:sz w:val="24"/>
          <w:szCs w:val="24"/>
        </w:rPr>
        <w:t xml:space="preserve">the Supreme Court of State of New York, Appellate Division, Judicial Department, held  (5 to 0) that trial court improperly ordered the FD to put the firefighter on paid leave awaiting the arbitration more than 30 days; the arbitration was delayed because the firefighter sought disciplinary records of another firefighter who apparently did similar misconduct. Court wrote: </w:t>
      </w:r>
      <w:r w:rsidRPr="00B67C49">
        <w:rPr>
          <w:rFonts w:ascii="Times New Roman" w:hAnsi="Times New Roman"/>
          <w:sz w:val="24"/>
          <w:szCs w:val="24"/>
        </w:rPr>
        <w:t xml:space="preserve">We agree with respondents that petitioner is not entitled to reinstatement or back pay because petitioner was solely responsible for the </w:t>
      </w:r>
      <w:proofErr w:type="gramStart"/>
      <w:r w:rsidRPr="00B67C49">
        <w:rPr>
          <w:rFonts w:ascii="Times New Roman" w:hAnsi="Times New Roman"/>
          <w:sz w:val="24"/>
          <w:szCs w:val="24"/>
        </w:rPr>
        <w:t>delay.</w:t>
      </w:r>
      <w:r>
        <w:rPr>
          <w:rFonts w:ascii="Times New Roman" w:hAnsi="Times New Roman"/>
          <w:sz w:val="24"/>
          <w:szCs w:val="24"/>
        </w:rPr>
        <w:t>”</w:t>
      </w:r>
      <w:proofErr w:type="gramEnd"/>
      <w:r>
        <w:rPr>
          <w:rFonts w:ascii="Times New Roman" w:hAnsi="Times New Roman"/>
          <w:sz w:val="24"/>
          <w:szCs w:val="24"/>
        </w:rPr>
        <w:t xml:space="preserve"> </w:t>
      </w:r>
      <w:hyperlink r:id="rId1478" w:history="1">
        <w:r w:rsidRPr="00E16775">
          <w:rPr>
            <w:rStyle w:val="Hyperlink"/>
            <w:rFonts w:ascii="Times New Roman" w:hAnsi="Times New Roman"/>
            <w:sz w:val="24"/>
            <w:szCs w:val="24"/>
          </w:rPr>
          <w:t>https://public.fastcase.com/Wl%2B2t%2BeVuI35%2FN70vAMFZvXmXpQwu2GjLh16DzgzKzYNu%2FX9mokAK5AXod7BJ9cF</w:t>
        </w:r>
      </w:hyperlink>
      <w:r w:rsidRPr="00E16775">
        <w:rPr>
          <w:rFonts w:ascii="Times New Roman" w:hAnsi="Times New Roman"/>
          <w:sz w:val="24"/>
          <w:szCs w:val="24"/>
        </w:rPr>
        <w:t xml:space="preserve"> </w:t>
      </w:r>
    </w:p>
    <w:p w14:paraId="558F0B1C" w14:textId="77777777" w:rsidR="006B2083" w:rsidRDefault="006B2083" w:rsidP="006B2083">
      <w:pPr>
        <w:pStyle w:val="NoSpacing"/>
        <w:rPr>
          <w:rFonts w:ascii="Times New Roman" w:hAnsi="Times New Roman"/>
          <w:b/>
          <w:bCs/>
          <w:sz w:val="24"/>
          <w:szCs w:val="24"/>
        </w:rPr>
      </w:pPr>
    </w:p>
    <w:p w14:paraId="079B92F7" w14:textId="0E3D0254" w:rsidR="006B2083" w:rsidRDefault="006B2083" w:rsidP="006B2083">
      <w:pPr>
        <w:pStyle w:val="NoSpacing"/>
        <w:rPr>
          <w:rFonts w:ascii="Times New Roman" w:hAnsi="Times New Roman"/>
          <w:b/>
          <w:bCs/>
          <w:sz w:val="24"/>
          <w:szCs w:val="24"/>
        </w:rPr>
      </w:pPr>
      <w:r w:rsidRPr="00BE7A38">
        <w:rPr>
          <w:rFonts w:ascii="Times New Roman" w:hAnsi="Times New Roman"/>
          <w:b/>
          <w:bCs/>
          <w:sz w:val="24"/>
          <w:szCs w:val="24"/>
        </w:rPr>
        <w:t xml:space="preserve">Legal Lessons Learned: </w:t>
      </w:r>
      <w:r>
        <w:rPr>
          <w:rFonts w:ascii="Times New Roman" w:hAnsi="Times New Roman"/>
          <w:b/>
          <w:bCs/>
          <w:sz w:val="24"/>
          <w:szCs w:val="24"/>
        </w:rPr>
        <w:t>The conduct described is totally unacceptable.</w:t>
      </w:r>
    </w:p>
    <w:p w14:paraId="13DFB125" w14:textId="77777777" w:rsidR="006B2083" w:rsidRDefault="006B2083" w:rsidP="002B1283">
      <w:pPr>
        <w:rPr>
          <w:rFonts w:ascii="Arial Black" w:hAnsi="Arial Black"/>
          <w:b/>
          <w:sz w:val="24"/>
          <w:szCs w:val="24"/>
        </w:rPr>
      </w:pPr>
    </w:p>
    <w:p w14:paraId="528AC539" w14:textId="72825A95" w:rsidR="006B2083" w:rsidRPr="001A653A" w:rsidRDefault="001A653A" w:rsidP="002B1283">
      <w:pPr>
        <w:rPr>
          <w:rFonts w:ascii="Times New Roman" w:hAnsi="Times New Roman"/>
          <w:bCs/>
          <w:sz w:val="24"/>
          <w:szCs w:val="24"/>
        </w:rPr>
      </w:pPr>
      <w:r>
        <w:rPr>
          <w:rFonts w:ascii="Arial Black" w:hAnsi="Arial Black"/>
          <w:b/>
          <w:sz w:val="24"/>
          <w:szCs w:val="24"/>
        </w:rPr>
        <w:t xml:space="preserve">7-23 </w:t>
      </w:r>
      <w:r w:rsidRPr="001A653A">
        <w:rPr>
          <w:rFonts w:ascii="Times New Roman" w:hAnsi="Times New Roman"/>
          <w:bCs/>
          <w:sz w:val="24"/>
          <w:szCs w:val="24"/>
        </w:rPr>
        <w:t xml:space="preserve">[also filed, Chap. 16] </w:t>
      </w:r>
    </w:p>
    <w:p w14:paraId="089C12D3" w14:textId="77777777" w:rsidR="001A653A" w:rsidRDefault="001A653A" w:rsidP="001A653A">
      <w:pPr>
        <w:pStyle w:val="NoSpacing"/>
        <w:rPr>
          <w:rFonts w:ascii="Arial Black" w:hAnsi="Arial Black"/>
          <w:sz w:val="28"/>
          <w:szCs w:val="28"/>
        </w:rPr>
      </w:pPr>
      <w:r w:rsidRPr="007B1E77">
        <w:rPr>
          <w:rFonts w:ascii="Arial Black" w:hAnsi="Arial Black"/>
          <w:sz w:val="28"/>
          <w:szCs w:val="28"/>
        </w:rPr>
        <w:t xml:space="preserve">KY: </w:t>
      </w:r>
      <w:r>
        <w:rPr>
          <w:rFonts w:ascii="Arial Black" w:hAnsi="Arial Black"/>
          <w:sz w:val="28"/>
          <w:szCs w:val="28"/>
        </w:rPr>
        <w:t>FF MET 17-YEAR-OLD AT FIRE STATION – CONVICTED HAVING SEX WITH MINOR - TOOK VIDEOS AND PHOTOS</w:t>
      </w:r>
    </w:p>
    <w:p w14:paraId="668AD7EE"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 xml:space="preserve">On July 7, 2020, in </w:t>
      </w:r>
      <w:r w:rsidRPr="007B1E77">
        <w:rPr>
          <w:rFonts w:ascii="Times New Roman" w:hAnsi="Times New Roman"/>
          <w:sz w:val="24"/>
          <w:szCs w:val="24"/>
          <w:u w:val="single"/>
        </w:rPr>
        <w:t>United States of America v. William Michael Fields</w:t>
      </w:r>
      <w:r w:rsidRPr="007B1E77">
        <w:rPr>
          <w:rFonts w:ascii="Times New Roman" w:hAnsi="Times New Roman"/>
          <w:sz w:val="24"/>
          <w:szCs w:val="24"/>
        </w:rPr>
        <w:t xml:space="preserve">, </w:t>
      </w:r>
      <w:r>
        <w:rPr>
          <w:rFonts w:ascii="Times New Roman" w:hAnsi="Times New Roman"/>
          <w:sz w:val="24"/>
          <w:szCs w:val="24"/>
        </w:rPr>
        <w:t xml:space="preserve">U.S. District Court Chief Judge Danny C. Reeves, Eastern District of Kentucky, denied the defendant’s motion for judgment of acquittal, or a new trial. The Court wrote: </w:t>
      </w:r>
      <w:r w:rsidRPr="007B1E77">
        <w:rPr>
          <w:rFonts w:ascii="Times New Roman" w:hAnsi="Times New Roman"/>
          <w:sz w:val="24"/>
          <w:szCs w:val="24"/>
        </w:rPr>
        <w:t xml:space="preserve">“Based on the foregoing, there was ample evidence from which the jury could have concluded that, on March 17 and 23, 2019, Fields employed, used, persuaded, induced, or coerced the minor victim to engage in </w:t>
      </w:r>
    </w:p>
    <w:p w14:paraId="778AB6E6" w14:textId="77777777" w:rsidR="001A653A" w:rsidRDefault="001A653A" w:rsidP="001A653A">
      <w:pPr>
        <w:pStyle w:val="NoSpacing"/>
        <w:rPr>
          <w:rFonts w:ascii="Times New Roman" w:hAnsi="Times New Roman"/>
          <w:sz w:val="24"/>
          <w:szCs w:val="24"/>
        </w:rPr>
      </w:pPr>
    </w:p>
    <w:p w14:paraId="1F9795E9"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sexually explicit conduct for the purpose of producing a visual depiction of that conduct and that the visual depiction was produced or transmitted using materials that were mailed, shipped, or transported in or affecting interstate commerce by any means, including computer.</w:t>
      </w:r>
      <w:r>
        <w:rPr>
          <w:rFonts w:ascii="Times New Roman" w:hAnsi="Times New Roman"/>
          <w:sz w:val="24"/>
          <w:szCs w:val="24"/>
        </w:rPr>
        <w:t xml:space="preserve">” </w:t>
      </w:r>
      <w:hyperlink r:id="rId1479" w:history="1">
        <w:r w:rsidRPr="00FE7BCF">
          <w:rPr>
            <w:rStyle w:val="Hyperlink"/>
            <w:rFonts w:ascii="Times New Roman" w:hAnsi="Times New Roman"/>
            <w:sz w:val="24"/>
            <w:szCs w:val="24"/>
          </w:rPr>
          <w:t>https://casetext.com/case/united-states-v-fields-198</w:t>
        </w:r>
      </w:hyperlink>
      <w:r>
        <w:rPr>
          <w:rFonts w:ascii="Times New Roman" w:hAnsi="Times New Roman"/>
          <w:sz w:val="24"/>
          <w:szCs w:val="24"/>
        </w:rPr>
        <w:t xml:space="preserve"> </w:t>
      </w:r>
    </w:p>
    <w:p w14:paraId="155EC4F8" w14:textId="77777777" w:rsidR="001A653A" w:rsidRDefault="001A653A" w:rsidP="001A653A">
      <w:pPr>
        <w:pStyle w:val="NoSpacing"/>
        <w:rPr>
          <w:rFonts w:ascii="Arial Black" w:hAnsi="Arial Black"/>
          <w:sz w:val="24"/>
          <w:szCs w:val="24"/>
        </w:rPr>
      </w:pPr>
    </w:p>
    <w:p w14:paraId="6FB70FD8" w14:textId="77777777" w:rsidR="001A653A" w:rsidRDefault="001A653A" w:rsidP="001A653A">
      <w:pPr>
        <w:pStyle w:val="NoSpacing"/>
        <w:tabs>
          <w:tab w:val="left" w:pos="2780"/>
        </w:tabs>
        <w:rPr>
          <w:rFonts w:ascii="Times New Roman" w:hAnsi="Times New Roman"/>
          <w:b/>
          <w:bCs/>
          <w:sz w:val="24"/>
          <w:szCs w:val="24"/>
        </w:rPr>
      </w:pPr>
      <w:r w:rsidRPr="00602C23">
        <w:rPr>
          <w:rFonts w:ascii="Times New Roman" w:hAnsi="Times New Roman"/>
          <w:b/>
          <w:bCs/>
          <w:sz w:val="24"/>
          <w:szCs w:val="24"/>
        </w:rPr>
        <w:t>Legal Lesson Learned</w:t>
      </w:r>
      <w:r>
        <w:rPr>
          <w:rFonts w:ascii="Times New Roman" w:hAnsi="Times New Roman"/>
          <w:b/>
          <w:bCs/>
          <w:sz w:val="24"/>
          <w:szCs w:val="24"/>
        </w:rPr>
        <w:t xml:space="preserve">: A firefighter having sex with a minor can be convicted of a federal offense if a video or photos is posted on Internet. </w:t>
      </w:r>
    </w:p>
    <w:p w14:paraId="753836D2" w14:textId="77777777" w:rsidR="001A653A" w:rsidRDefault="001A653A" w:rsidP="002B1283">
      <w:pPr>
        <w:rPr>
          <w:rFonts w:ascii="Arial Black" w:hAnsi="Arial Black"/>
          <w:b/>
          <w:sz w:val="24"/>
          <w:szCs w:val="24"/>
        </w:rPr>
      </w:pPr>
    </w:p>
    <w:p w14:paraId="1B5FACB6" w14:textId="5692A32C" w:rsidR="007105B3" w:rsidRDefault="007105B3" w:rsidP="002B1283">
      <w:pPr>
        <w:rPr>
          <w:rFonts w:ascii="Arial Black" w:hAnsi="Arial Black"/>
          <w:b/>
          <w:sz w:val="24"/>
          <w:szCs w:val="24"/>
        </w:rPr>
      </w:pPr>
      <w:r>
        <w:rPr>
          <w:rFonts w:ascii="Arial Black" w:hAnsi="Arial Black"/>
          <w:b/>
          <w:sz w:val="24"/>
          <w:szCs w:val="24"/>
        </w:rPr>
        <w:t>7-22</w:t>
      </w:r>
    </w:p>
    <w:p w14:paraId="6539743E" w14:textId="77777777" w:rsidR="007105B3" w:rsidRPr="00A71A05" w:rsidRDefault="007105B3" w:rsidP="007105B3">
      <w:pPr>
        <w:spacing w:before="100" w:beforeAutospacing="1" w:after="100" w:afterAutospacing="1" w:line="240" w:lineRule="auto"/>
        <w:rPr>
          <w:rFonts w:ascii="Arial Black" w:hAnsi="Arial Black"/>
          <w:sz w:val="28"/>
          <w:szCs w:val="28"/>
        </w:rPr>
      </w:pPr>
      <w:r w:rsidRPr="00A71A05">
        <w:rPr>
          <w:rFonts w:ascii="Arial Black" w:hAnsi="Arial Black"/>
          <w:sz w:val="28"/>
          <w:szCs w:val="28"/>
        </w:rPr>
        <w:t xml:space="preserve">U.S. SUPREME COURT: </w:t>
      </w:r>
      <w:r>
        <w:rPr>
          <w:rFonts w:ascii="Arial Black" w:hAnsi="Arial Black"/>
          <w:sz w:val="28"/>
          <w:szCs w:val="28"/>
        </w:rPr>
        <w:t xml:space="preserve">HOMESEXUAL AND TRANSGENDER EMPLOYEES COVERED BY TITLE VII </w:t>
      </w:r>
    </w:p>
    <w:p w14:paraId="682D6D86" w14:textId="77777777" w:rsidR="007105B3" w:rsidRDefault="007105B3" w:rsidP="007105B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15, 2020, in </w:t>
      </w:r>
      <w:r w:rsidRPr="00A71A05">
        <w:rPr>
          <w:rFonts w:ascii="Times New Roman" w:hAnsi="Times New Roman"/>
          <w:sz w:val="24"/>
          <w:szCs w:val="24"/>
          <w:u w:val="single"/>
        </w:rPr>
        <w:t>Gerald Lynn Bostoc v. Clayton County, Georgia</w:t>
      </w:r>
      <w:r>
        <w:rPr>
          <w:rFonts w:ascii="Times New Roman" w:hAnsi="Times New Roman"/>
          <w:sz w:val="24"/>
          <w:szCs w:val="24"/>
        </w:rPr>
        <w:t>, (plus two other combined cases), held (6 to 3) that an employer cannot fire or otherwise discriminate against someone simply for being a homosexual or transgender.  Justice Neil Gorsuch wrote: “</w:t>
      </w:r>
      <w:r w:rsidRPr="00572796">
        <w:rPr>
          <w:rFonts w:ascii="Times New Roman" w:hAnsi="Times New Roman"/>
          <w:sz w:val="24"/>
          <w:szCs w:val="24"/>
        </w:rPr>
        <w:t xml:space="preserve">Sometimes small gestures can have unexpected consequences. Major initiatives practically guarantee them. In our time, few pieces of federal legislation rank in significance with the Civil Rights Act of 1964. There, in Title VII, Congress outlawed discrimination in the workplace </w:t>
      </w:r>
      <w:proofErr w:type="gramStart"/>
      <w:r w:rsidRPr="00572796">
        <w:rPr>
          <w:rFonts w:ascii="Times New Roman" w:hAnsi="Times New Roman"/>
          <w:sz w:val="24"/>
          <w:szCs w:val="24"/>
        </w:rPr>
        <w:t>on the</w:t>
      </w:r>
      <w:r>
        <w:rPr>
          <w:rFonts w:ascii="Times New Roman" w:hAnsi="Times New Roman"/>
          <w:sz w:val="24"/>
          <w:szCs w:val="24"/>
        </w:rPr>
        <w:t xml:space="preserve"> </w:t>
      </w:r>
      <w:r w:rsidRPr="00572796">
        <w:rPr>
          <w:rFonts w:ascii="Times New Roman" w:hAnsi="Times New Roman"/>
          <w:sz w:val="24"/>
          <w:szCs w:val="24"/>
        </w:rPr>
        <w:t>basis of</w:t>
      </w:r>
      <w:proofErr w:type="gramEnd"/>
      <w:r w:rsidRPr="00572796">
        <w:rPr>
          <w:rFonts w:ascii="Times New Roman" w:hAnsi="Times New Roman"/>
          <w:sz w:val="24"/>
          <w:szCs w:val="24"/>
        </w:rPr>
        <w:t xml:space="preserve"> race, color, religion, sex, or national origin. Today,</w:t>
      </w:r>
      <w:r>
        <w:rPr>
          <w:rFonts w:ascii="Times New Roman" w:hAnsi="Times New Roman"/>
          <w:sz w:val="24"/>
          <w:szCs w:val="24"/>
        </w:rPr>
        <w:t xml:space="preserve"> </w:t>
      </w:r>
      <w:r w:rsidRPr="00572796">
        <w:rPr>
          <w:rFonts w:ascii="Times New Roman" w:hAnsi="Times New Roman"/>
          <w:sz w:val="24"/>
          <w:szCs w:val="24"/>
        </w:rPr>
        <w:t>we must decide whether an employer can fire someone</w:t>
      </w:r>
      <w:r>
        <w:rPr>
          <w:rFonts w:ascii="Times New Roman" w:hAnsi="Times New Roman"/>
          <w:sz w:val="24"/>
          <w:szCs w:val="24"/>
        </w:rPr>
        <w:t xml:space="preserve"> </w:t>
      </w:r>
      <w:r w:rsidRPr="00572796">
        <w:rPr>
          <w:rFonts w:ascii="Times New Roman" w:hAnsi="Times New Roman"/>
          <w:sz w:val="24"/>
          <w:szCs w:val="24"/>
        </w:rPr>
        <w:t>simply for being homosexual or transgender. The answer is clear. An employer who fires an individual for being homosexual or transgender fires that person for traits or actions it would not have questioned in members of a different sex. Sex plays a necessary and undisguisable role in the decision, exactly what Title VII forbids.</w:t>
      </w:r>
      <w:r>
        <w:rPr>
          <w:rFonts w:ascii="Times New Roman" w:hAnsi="Times New Roman"/>
          <w:sz w:val="24"/>
          <w:szCs w:val="24"/>
        </w:rPr>
        <w:t xml:space="preserve">” </w:t>
      </w:r>
      <w:hyperlink r:id="rId1480" w:history="1">
        <w:r w:rsidRPr="0037669D">
          <w:rPr>
            <w:rStyle w:val="Hyperlink"/>
            <w:rFonts w:ascii="Times New Roman" w:hAnsi="Times New Roman"/>
            <w:sz w:val="24"/>
            <w:szCs w:val="24"/>
          </w:rPr>
          <w:t>https://www.supremecourt.gov/opinions/19pdf/17-1618_hfci.pdf</w:t>
        </w:r>
      </w:hyperlink>
      <w:r>
        <w:rPr>
          <w:rFonts w:ascii="Times New Roman" w:hAnsi="Times New Roman"/>
          <w:sz w:val="24"/>
          <w:szCs w:val="24"/>
        </w:rPr>
        <w:t xml:space="preserve"> </w:t>
      </w:r>
    </w:p>
    <w:p w14:paraId="22C3E0B3" w14:textId="77777777" w:rsidR="007105B3" w:rsidRDefault="007105B3" w:rsidP="007105B3">
      <w:pPr>
        <w:pStyle w:val="NoSpacing"/>
        <w:rPr>
          <w:rFonts w:ascii="Times New Roman" w:hAnsi="Times New Roman"/>
          <w:b/>
          <w:bCs/>
          <w:sz w:val="24"/>
          <w:szCs w:val="24"/>
        </w:rPr>
      </w:pPr>
      <w:r w:rsidRPr="002A3AF8">
        <w:rPr>
          <w:rFonts w:ascii="Times New Roman" w:hAnsi="Times New Roman"/>
          <w:b/>
          <w:bCs/>
          <w:sz w:val="24"/>
          <w:szCs w:val="24"/>
        </w:rPr>
        <w:t>Legal Lessons Learned:</w:t>
      </w:r>
      <w:r>
        <w:rPr>
          <w:rFonts w:ascii="Times New Roman" w:hAnsi="Times New Roman"/>
          <w:b/>
          <w:bCs/>
          <w:sz w:val="24"/>
          <w:szCs w:val="24"/>
        </w:rPr>
        <w:t xml:space="preserve"> This is a “landmark” decision.  Fire &amp; EMS Departments should review their non-discrimination policies to include sexual orientation and gender identity. </w:t>
      </w:r>
    </w:p>
    <w:p w14:paraId="4F8FF5F0" w14:textId="77777777" w:rsidR="007105B3" w:rsidRDefault="007105B3" w:rsidP="007105B3">
      <w:pPr>
        <w:rPr>
          <w:rFonts w:ascii="Arial Black" w:hAnsi="Arial Black"/>
          <w:sz w:val="27"/>
          <w:szCs w:val="27"/>
        </w:rPr>
      </w:pPr>
    </w:p>
    <w:p w14:paraId="063CD165" w14:textId="2F73E14B" w:rsidR="006744D3" w:rsidRDefault="006744D3" w:rsidP="002B1283">
      <w:pPr>
        <w:rPr>
          <w:rFonts w:ascii="Arial Black" w:hAnsi="Arial Black"/>
          <w:b/>
          <w:sz w:val="24"/>
          <w:szCs w:val="24"/>
        </w:rPr>
      </w:pPr>
      <w:r>
        <w:rPr>
          <w:rFonts w:ascii="Arial Black" w:hAnsi="Arial Black"/>
          <w:b/>
          <w:sz w:val="24"/>
          <w:szCs w:val="24"/>
        </w:rPr>
        <w:t>7-21</w:t>
      </w:r>
    </w:p>
    <w:p w14:paraId="48277EC7" w14:textId="77777777" w:rsidR="006744D3" w:rsidRDefault="006744D3" w:rsidP="006744D3">
      <w:pPr>
        <w:spacing w:before="100" w:beforeAutospacing="1" w:after="100" w:afterAutospacing="1" w:line="240" w:lineRule="auto"/>
        <w:rPr>
          <w:rFonts w:ascii="Arial Black" w:eastAsia="Times New Roman" w:hAnsi="Arial Black"/>
          <w:sz w:val="28"/>
          <w:szCs w:val="28"/>
        </w:rPr>
      </w:pPr>
      <w:r w:rsidRPr="00DC60E5">
        <w:rPr>
          <w:rFonts w:ascii="Arial Black" w:eastAsia="Times New Roman" w:hAnsi="Arial Black"/>
          <w:sz w:val="28"/>
          <w:szCs w:val="28"/>
        </w:rPr>
        <w:t xml:space="preserve">TX: </w:t>
      </w:r>
      <w:r>
        <w:rPr>
          <w:rFonts w:ascii="Arial Black" w:eastAsia="Times New Roman" w:hAnsi="Arial Black"/>
          <w:sz w:val="28"/>
          <w:szCs w:val="28"/>
        </w:rPr>
        <w:t>HOUSTON FD – U.S. DEPT. JUSTICE LAWSUIT – MALES URINATING WALLS, FLOORS, SINKS WOMENS’ BATHROOM – COLD WATER SHOWERS DISCONNECTED / SPEAKERS</w:t>
      </w:r>
    </w:p>
    <w:p w14:paraId="2E377475" w14:textId="77777777" w:rsidR="006744D3" w:rsidRDefault="006744D3" w:rsidP="006744D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15, 2020, </w:t>
      </w:r>
      <w:r w:rsidRPr="00626E79">
        <w:rPr>
          <w:rFonts w:ascii="Times New Roman" w:eastAsia="Times New Roman" w:hAnsi="Times New Roman"/>
          <w:sz w:val="24"/>
          <w:szCs w:val="24"/>
          <w:u w:val="single"/>
        </w:rPr>
        <w:t xml:space="preserve">in United States of America, Jane </w:t>
      </w:r>
      <w:proofErr w:type="spellStart"/>
      <w:r w:rsidRPr="00626E79">
        <w:rPr>
          <w:rFonts w:ascii="Times New Roman" w:eastAsia="Times New Roman" w:hAnsi="Times New Roman"/>
          <w:sz w:val="24"/>
          <w:szCs w:val="24"/>
          <w:u w:val="single"/>
        </w:rPr>
        <w:t>Draycott</w:t>
      </w:r>
      <w:proofErr w:type="spellEnd"/>
      <w:r w:rsidRPr="00626E79">
        <w:rPr>
          <w:rFonts w:ascii="Times New Roman" w:eastAsia="Times New Roman" w:hAnsi="Times New Roman"/>
          <w:sz w:val="24"/>
          <w:szCs w:val="24"/>
          <w:u w:val="single"/>
        </w:rPr>
        <w:t xml:space="preserve"> and Paula Keyes v. The City of Houston, Texas</w:t>
      </w:r>
      <w:r>
        <w:rPr>
          <w:rFonts w:ascii="Times New Roman" w:eastAsia="Times New Roman" w:hAnsi="Times New Roman"/>
          <w:sz w:val="24"/>
          <w:szCs w:val="24"/>
        </w:rPr>
        <w:t xml:space="preserve">, Senior U.S. District Judge Sim Lake, Southern District of Texas (Houston Division) issued a lengthy opinion denying the City’s motion to dismiss case.  U.S. Department of Justice Press Release of Feb. 28, </w:t>
      </w:r>
      <w:proofErr w:type="gramStart"/>
      <w:r>
        <w:rPr>
          <w:rFonts w:ascii="Times New Roman" w:eastAsia="Times New Roman" w:hAnsi="Times New Roman"/>
          <w:sz w:val="24"/>
          <w:szCs w:val="24"/>
        </w:rPr>
        <w:t>2018</w:t>
      </w:r>
      <w:proofErr w:type="gramEnd"/>
      <w:r>
        <w:rPr>
          <w:rFonts w:ascii="Times New Roman" w:eastAsia="Times New Roman" w:hAnsi="Times New Roman"/>
          <w:sz w:val="24"/>
          <w:szCs w:val="24"/>
        </w:rPr>
        <w:t xml:space="preserve"> is eye opening. “</w:t>
      </w:r>
      <w:r w:rsidRPr="009C6CB0">
        <w:rPr>
          <w:rFonts w:ascii="Times New Roman" w:hAnsi="Times New Roman"/>
          <w:sz w:val="24"/>
          <w:szCs w:val="24"/>
        </w:rPr>
        <w:t xml:space="preserve">The lawsuit, filed in the Southern District of Texas, alleges that Jane </w:t>
      </w:r>
      <w:proofErr w:type="spellStart"/>
      <w:r w:rsidRPr="009C6CB0">
        <w:rPr>
          <w:rFonts w:ascii="Times New Roman" w:hAnsi="Times New Roman"/>
          <w:sz w:val="24"/>
          <w:szCs w:val="24"/>
        </w:rPr>
        <w:t>Draycott</w:t>
      </w:r>
      <w:proofErr w:type="spellEnd"/>
      <w:r w:rsidRPr="009C6CB0">
        <w:rPr>
          <w:rFonts w:ascii="Times New Roman" w:hAnsi="Times New Roman"/>
          <w:sz w:val="24"/>
          <w:szCs w:val="24"/>
        </w:rPr>
        <w:t xml:space="preserve"> and Paula Keyes were subjected to a hostile work environment based on sex when they were employed as firefighters at HFD’s Station 54.  According to the complaint, HFD’s hostile work environment included males urinating on the walls, floors and sinks of the women’s bathroom and dormitory, disconnecting the cold water to scald the women while they were showering, and deactivating the female dormitory’s announcement speakers so the women could not respond to emergency calls.  The complaint further alleges that the conduct culminated in death threats and vulgar slurs written on the walls of their work and living spaces at Station 54 and on their personal possessions.  This conduct continued despite at least nine complaints made to management, according to the allegations.”</w:t>
      </w:r>
      <w:r>
        <w:rPr>
          <w:rFonts w:ascii="Times New Roman" w:hAnsi="Times New Roman"/>
          <w:sz w:val="24"/>
          <w:szCs w:val="24"/>
        </w:rPr>
        <w:t xml:space="preserve"> </w:t>
      </w:r>
      <w:hyperlink r:id="rId1481" w:history="1">
        <w:r w:rsidRPr="00931365">
          <w:rPr>
            <w:rStyle w:val="Hyperlink"/>
            <w:sz w:val="24"/>
            <w:szCs w:val="24"/>
          </w:rPr>
          <w:t>https://www.justice.gov/opa/pr/justice-department-files-lawsuit-against-city-houston-sex-discrimination-and-retaliation</w:t>
        </w:r>
      </w:hyperlink>
      <w:r>
        <w:rPr>
          <w:rFonts w:ascii="Times New Roman" w:hAnsi="Times New Roman"/>
          <w:sz w:val="24"/>
          <w:szCs w:val="24"/>
        </w:rPr>
        <w:t xml:space="preserve"> </w:t>
      </w:r>
      <w:r>
        <w:rPr>
          <w:rFonts w:ascii="Times New Roman" w:eastAsia="Times New Roman" w:hAnsi="Times New Roman"/>
          <w:sz w:val="24"/>
          <w:szCs w:val="24"/>
        </w:rPr>
        <w:t xml:space="preserve"> [Jane </w:t>
      </w:r>
      <w:proofErr w:type="spellStart"/>
      <w:r>
        <w:rPr>
          <w:rFonts w:ascii="Times New Roman" w:eastAsia="Times New Roman" w:hAnsi="Times New Roman"/>
          <w:sz w:val="24"/>
          <w:szCs w:val="24"/>
        </w:rPr>
        <w:t>Draycott</w:t>
      </w:r>
      <w:proofErr w:type="spellEnd"/>
      <w:r>
        <w:rPr>
          <w:rFonts w:ascii="Times New Roman" w:eastAsia="Times New Roman" w:hAnsi="Times New Roman"/>
          <w:sz w:val="24"/>
          <w:szCs w:val="24"/>
        </w:rPr>
        <w:t xml:space="preserve"> later resigned from FD; Paula Keyes is now a Captain.] </w:t>
      </w:r>
      <w:hyperlink r:id="rId1482" w:history="1">
        <w:r w:rsidRPr="00931365">
          <w:rPr>
            <w:rStyle w:val="Hyperlink"/>
            <w:sz w:val="24"/>
            <w:szCs w:val="24"/>
          </w:rPr>
          <w:t>https://public.fastcase.com/Wl%2B2t%2BeVuI35%2FN70vAMFZkY2nPlYZ3wtvIBy3YjdhH4Hysc14LIFQvAQrJXSfUWa</w:t>
        </w:r>
      </w:hyperlink>
      <w:r>
        <w:rPr>
          <w:rFonts w:ascii="Times New Roman" w:eastAsia="Times New Roman" w:hAnsi="Times New Roman"/>
          <w:sz w:val="24"/>
          <w:szCs w:val="24"/>
        </w:rPr>
        <w:t xml:space="preserve"> </w:t>
      </w:r>
    </w:p>
    <w:p w14:paraId="11170939" w14:textId="77777777" w:rsidR="00FA7B26" w:rsidRPr="00542658" w:rsidRDefault="00FA7B26" w:rsidP="00FA7B26">
      <w:pPr>
        <w:rPr>
          <w:rFonts w:ascii="Times New Roman" w:hAnsi="Times New Roman"/>
          <w:b/>
          <w:bCs/>
          <w:sz w:val="24"/>
          <w:szCs w:val="24"/>
        </w:rPr>
      </w:pPr>
      <w:r w:rsidRPr="00542658">
        <w:rPr>
          <w:rFonts w:ascii="Times New Roman" w:hAnsi="Times New Roman"/>
          <w:b/>
          <w:bCs/>
          <w:sz w:val="24"/>
          <w:szCs w:val="24"/>
        </w:rPr>
        <w:t>Legal Lessons Learned:</w:t>
      </w:r>
      <w:r>
        <w:rPr>
          <w:rFonts w:ascii="Times New Roman" w:hAnsi="Times New Roman"/>
          <w:b/>
          <w:bCs/>
          <w:sz w:val="24"/>
          <w:szCs w:val="24"/>
        </w:rPr>
        <w:t xml:space="preserve"> Case is now scheduled for trial; serious allegations. </w:t>
      </w:r>
    </w:p>
    <w:p w14:paraId="7FD84642" w14:textId="77777777" w:rsidR="006744D3" w:rsidRDefault="006744D3" w:rsidP="002B1283">
      <w:pPr>
        <w:rPr>
          <w:rFonts w:ascii="Arial Black" w:hAnsi="Arial Black"/>
          <w:b/>
          <w:sz w:val="24"/>
          <w:szCs w:val="24"/>
        </w:rPr>
      </w:pPr>
    </w:p>
    <w:p w14:paraId="6AE2549F" w14:textId="3279A5BE" w:rsidR="002147DA" w:rsidRDefault="002147DA" w:rsidP="002B1283">
      <w:pPr>
        <w:rPr>
          <w:rFonts w:ascii="Arial Black" w:hAnsi="Arial Black"/>
          <w:b/>
          <w:sz w:val="24"/>
          <w:szCs w:val="24"/>
        </w:rPr>
      </w:pPr>
      <w:r>
        <w:rPr>
          <w:rFonts w:ascii="Arial Black" w:hAnsi="Arial Black"/>
          <w:b/>
          <w:sz w:val="24"/>
          <w:szCs w:val="24"/>
        </w:rPr>
        <w:t>7-20 [Also posted, Chap. 14]</w:t>
      </w:r>
    </w:p>
    <w:p w14:paraId="6CCFE8A7" w14:textId="77777777" w:rsidR="002147DA" w:rsidRDefault="002147DA" w:rsidP="002147DA">
      <w:pPr>
        <w:pStyle w:val="NoSpacing"/>
        <w:rPr>
          <w:rFonts w:ascii="Arial Black" w:hAnsi="Arial Black"/>
          <w:sz w:val="28"/>
          <w:szCs w:val="28"/>
        </w:rPr>
      </w:pPr>
      <w:bookmarkStart w:id="294" w:name="_Hlk39764591"/>
      <w:bookmarkStart w:id="295" w:name="_Hlk41155392"/>
      <w:r>
        <w:rPr>
          <w:rFonts w:ascii="Arial Black" w:hAnsi="Arial Black"/>
          <w:sz w:val="28"/>
          <w:szCs w:val="28"/>
        </w:rPr>
        <w:t xml:space="preserve">AL:  PREGNANT EMT – DENIED LIGHT DUTY – AMR CO. PROVIDES ONLY INJURED ON JOB - LAWSUIT REINSTATED </w:t>
      </w:r>
    </w:p>
    <w:p w14:paraId="7F1D3B63" w14:textId="77777777" w:rsidR="002147DA" w:rsidRDefault="002147DA" w:rsidP="002147DA">
      <w:pPr>
        <w:pStyle w:val="NoSpacing"/>
        <w:rPr>
          <w:b/>
          <w:bCs/>
          <w:sz w:val="24"/>
          <w:szCs w:val="24"/>
        </w:rPr>
      </w:pPr>
    </w:p>
    <w:p w14:paraId="1F7C3463"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Kimberlie Michelle Durham v. Rural/Metro Corporation</w:t>
      </w:r>
      <w:r w:rsidRPr="00AE3A49">
        <w:rPr>
          <w:rFonts w:ascii="Times New Roman" w:hAnsi="Times New Roman"/>
          <w:bCs/>
          <w:sz w:val="24"/>
          <w:szCs w:val="24"/>
        </w:rPr>
        <w:t>, 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Circuit (Atlanta) held (3 to 0) that the U.S. District Court judge had improperly granted summary judgment to AMR.  </w:t>
      </w:r>
    </w:p>
    <w:p w14:paraId="41F2D2FF" w14:textId="77777777" w:rsidR="002147DA" w:rsidRDefault="002147DA" w:rsidP="002147DA">
      <w:pPr>
        <w:pStyle w:val="NoSpacing"/>
        <w:ind w:left="720"/>
        <w:rPr>
          <w:rFonts w:ascii="Times New Roman" w:hAnsi="Times New Roman"/>
          <w:bCs/>
          <w:sz w:val="24"/>
          <w:szCs w:val="24"/>
        </w:rPr>
      </w:pPr>
    </w:p>
    <w:p w14:paraId="1B956A10" w14:textId="77777777" w:rsidR="002147DA" w:rsidRPr="00AE3A49" w:rsidRDefault="002147DA" w:rsidP="002147DA">
      <w:pPr>
        <w:pStyle w:val="NoSpacing"/>
        <w:ind w:left="720"/>
        <w:rPr>
          <w:rFonts w:ascii="Times New Roman" w:hAnsi="Times New Roman"/>
          <w:sz w:val="24"/>
          <w:szCs w:val="24"/>
        </w:rPr>
      </w:pPr>
      <w:r w:rsidRPr="00AE3A49">
        <w:rPr>
          <w:rFonts w:ascii="Times New Roman" w:hAnsi="Times New Roman"/>
          <w:bCs/>
          <w:sz w:val="24"/>
          <w:szCs w:val="24"/>
        </w:rPr>
        <w:t>“We therefore vacate the grant of summary judgment. Neither a non-pregnant EMT who is limited to lifting 10 or 20 pounds nor a pregnant EMT who is restricted to lifting 50 pounds or less can lift the required 100 pounds to serve as an EMT. Since neither can meet the lifting requirement, they are the same in their ‘inability to work’ as an EMT. And that satisfies the plaintiff’s prima facie requirement to establish that she was ‘similar [to other employees] in their ability or inability to work.’</w:t>
      </w:r>
      <w:r w:rsidRPr="00AE3A49">
        <w:rPr>
          <w:rFonts w:ascii="Times New Roman" w:hAnsi="Times New Roman"/>
          <w:sz w:val="24"/>
          <w:szCs w:val="24"/>
        </w:rPr>
        <w:t xml:space="preserve">” </w:t>
      </w:r>
      <w:hyperlink r:id="rId1483" w:history="1">
        <w:r w:rsidRPr="00AE3A49">
          <w:rPr>
            <w:rStyle w:val="Hyperlink"/>
            <w:rFonts w:ascii="Times New Roman" w:hAnsi="Times New Roman"/>
            <w:b/>
            <w:sz w:val="24"/>
            <w:szCs w:val="24"/>
          </w:rPr>
          <w:t>http://media.ca11.uscourts.gov/opinions/pub/files/201814687.pdf</w:t>
        </w:r>
      </w:hyperlink>
      <w:r w:rsidRPr="00AE3A49">
        <w:rPr>
          <w:rFonts w:ascii="Times New Roman" w:hAnsi="Times New Roman"/>
          <w:sz w:val="24"/>
          <w:szCs w:val="24"/>
        </w:rPr>
        <w:t xml:space="preserve"> </w:t>
      </w:r>
    </w:p>
    <w:bookmarkEnd w:id="294"/>
    <w:p w14:paraId="1B993F0E" w14:textId="77777777" w:rsidR="002147DA" w:rsidRDefault="002147DA" w:rsidP="002147DA">
      <w:pPr>
        <w:pStyle w:val="NoSpacing"/>
        <w:rPr>
          <w:rFonts w:ascii="Times New Roman" w:hAnsi="Times New Roman"/>
          <w:b/>
          <w:bCs/>
          <w:sz w:val="24"/>
          <w:szCs w:val="24"/>
        </w:rPr>
      </w:pPr>
    </w:p>
    <w:p w14:paraId="3E20B1EC" w14:textId="2E5E36CD" w:rsidR="002147DA" w:rsidRPr="00AE3A49" w:rsidRDefault="002147DA" w:rsidP="002147DA">
      <w:pPr>
        <w:pStyle w:val="NoSpacing"/>
        <w:rPr>
          <w:rFonts w:ascii="Times New Roman" w:hAnsi="Times New Roman"/>
          <w:b/>
          <w:bCs/>
          <w:sz w:val="24"/>
          <w:szCs w:val="24"/>
        </w:rPr>
      </w:pPr>
      <w:bookmarkStart w:id="296" w:name="_Hlk40510709"/>
      <w:r w:rsidRPr="00AE3A49">
        <w:rPr>
          <w:rFonts w:ascii="Times New Roman" w:hAnsi="Times New Roman"/>
          <w:b/>
          <w:bCs/>
          <w:sz w:val="24"/>
          <w:szCs w:val="24"/>
        </w:rPr>
        <w:t>Legal Lessons Learned: Congress in enacting the Pregnancy Discrimination Act did not specifically address the issue of light-duty; hopefully</w:t>
      </w:r>
      <w:r w:rsidR="00C4249D">
        <w:rPr>
          <w:rFonts w:ascii="Times New Roman" w:hAnsi="Times New Roman"/>
          <w:b/>
          <w:bCs/>
          <w:sz w:val="24"/>
          <w:szCs w:val="24"/>
        </w:rPr>
        <w:t xml:space="preserve"> </w:t>
      </w:r>
      <w:r w:rsidRPr="00AE3A49">
        <w:rPr>
          <w:rFonts w:ascii="Times New Roman" w:hAnsi="Times New Roman"/>
          <w:b/>
          <w:bCs/>
          <w:sz w:val="24"/>
          <w:szCs w:val="24"/>
        </w:rPr>
        <w:t xml:space="preserve">the U.S. Supreme Court </w:t>
      </w:r>
      <w:r w:rsidR="00C4249D">
        <w:rPr>
          <w:rFonts w:ascii="Times New Roman" w:hAnsi="Times New Roman"/>
          <w:b/>
          <w:bCs/>
          <w:sz w:val="24"/>
          <w:szCs w:val="24"/>
        </w:rPr>
        <w:t xml:space="preserve">in a future case </w:t>
      </w:r>
      <w:r w:rsidRPr="00AE3A49">
        <w:rPr>
          <w:rFonts w:ascii="Times New Roman" w:hAnsi="Times New Roman"/>
          <w:b/>
          <w:bCs/>
          <w:sz w:val="24"/>
          <w:szCs w:val="24"/>
        </w:rPr>
        <w:t xml:space="preserve">will give clear direction on this issue.  </w:t>
      </w:r>
    </w:p>
    <w:bookmarkEnd w:id="296"/>
    <w:p w14:paraId="3B9D1BF8" w14:textId="77777777" w:rsidR="002147DA" w:rsidRDefault="002147DA" w:rsidP="002B1283">
      <w:pPr>
        <w:rPr>
          <w:rFonts w:ascii="Arial Black" w:hAnsi="Arial Black"/>
          <w:b/>
          <w:sz w:val="24"/>
          <w:szCs w:val="24"/>
        </w:rPr>
      </w:pPr>
    </w:p>
    <w:bookmarkEnd w:id="295"/>
    <w:p w14:paraId="1CB0E685" w14:textId="77777777" w:rsidR="002147DA" w:rsidRDefault="002147DA" w:rsidP="002B1283">
      <w:pPr>
        <w:rPr>
          <w:rFonts w:ascii="Arial Black" w:hAnsi="Arial Black"/>
          <w:b/>
          <w:sz w:val="24"/>
          <w:szCs w:val="24"/>
        </w:rPr>
      </w:pPr>
    </w:p>
    <w:p w14:paraId="5B89BE14" w14:textId="07D54B28" w:rsidR="002147DA" w:rsidRDefault="002147DA" w:rsidP="002B1283">
      <w:pPr>
        <w:rPr>
          <w:rFonts w:ascii="Arial Black" w:hAnsi="Arial Black"/>
          <w:b/>
          <w:sz w:val="24"/>
          <w:szCs w:val="24"/>
        </w:rPr>
      </w:pPr>
      <w:r>
        <w:rPr>
          <w:rFonts w:ascii="Arial Black" w:hAnsi="Arial Black"/>
          <w:b/>
          <w:sz w:val="24"/>
          <w:szCs w:val="24"/>
        </w:rPr>
        <w:t>7-19</w:t>
      </w:r>
    </w:p>
    <w:p w14:paraId="693A7B14" w14:textId="77777777" w:rsidR="002147DA" w:rsidRPr="005F2F43" w:rsidRDefault="002147DA" w:rsidP="002147DA">
      <w:pPr>
        <w:pStyle w:val="NoSpacing"/>
        <w:rPr>
          <w:rFonts w:ascii="Arial Black" w:hAnsi="Arial Black"/>
          <w:sz w:val="28"/>
          <w:szCs w:val="28"/>
        </w:rPr>
      </w:pPr>
      <w:bookmarkStart w:id="297" w:name="_Hlk39764654"/>
      <w:r w:rsidRPr="005F2F43">
        <w:rPr>
          <w:rFonts w:ascii="Arial Black" w:hAnsi="Arial Black"/>
          <w:sz w:val="28"/>
          <w:szCs w:val="28"/>
        </w:rPr>
        <w:t>FL:</w:t>
      </w:r>
      <w:r>
        <w:rPr>
          <w:rFonts w:ascii="Arial Black" w:hAnsi="Arial Black"/>
          <w:sz w:val="28"/>
          <w:szCs w:val="28"/>
        </w:rPr>
        <w:t xml:space="preserve"> FEMALE FF RESIGNS, 20 YRS ON FD – CLAIMS HOSTILE WORK ATMOSPHERE, FEW SPECIFICS – CASE DISMISSED</w:t>
      </w:r>
      <w:r w:rsidRPr="005F2F43">
        <w:rPr>
          <w:rFonts w:ascii="Arial Black" w:hAnsi="Arial Black"/>
          <w:sz w:val="28"/>
          <w:szCs w:val="28"/>
        </w:rPr>
        <w:t xml:space="preserve"> </w:t>
      </w:r>
    </w:p>
    <w:p w14:paraId="03909706" w14:textId="77777777" w:rsidR="002147DA" w:rsidRDefault="002147DA" w:rsidP="002147DA">
      <w:pPr>
        <w:pStyle w:val="NoSpacing"/>
        <w:rPr>
          <w:b/>
          <w:bCs/>
          <w:sz w:val="24"/>
          <w:szCs w:val="24"/>
        </w:rPr>
      </w:pPr>
    </w:p>
    <w:p w14:paraId="5CFE62BF"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w:t>
      </w:r>
      <w:bookmarkStart w:id="298" w:name="_Hlk39833074"/>
      <w:r w:rsidRPr="00AE3A49">
        <w:rPr>
          <w:rFonts w:ascii="Times New Roman" w:hAnsi="Times New Roman"/>
          <w:bCs/>
          <w:sz w:val="24"/>
          <w:szCs w:val="24"/>
        </w:rPr>
        <w:t xml:space="preserve">April 1, 2020, in </w:t>
      </w:r>
      <w:r w:rsidRPr="00AE3A49">
        <w:rPr>
          <w:rFonts w:ascii="Times New Roman" w:hAnsi="Times New Roman"/>
          <w:bCs/>
          <w:sz w:val="24"/>
          <w:szCs w:val="24"/>
          <w:u w:val="single"/>
        </w:rPr>
        <w:t>Colleen Moore v. San Carlos Park Fire Protection &amp; Rescue</w:t>
      </w:r>
      <w:r w:rsidRPr="00AE3A49">
        <w:rPr>
          <w:rFonts w:ascii="Times New Roman" w:hAnsi="Times New Roman"/>
          <w:bCs/>
          <w:sz w:val="24"/>
          <w:szCs w:val="24"/>
        </w:rPr>
        <w:t xml:space="preserve">, </w:t>
      </w:r>
      <w:bookmarkEnd w:id="298"/>
      <w:r w:rsidRPr="00AE3A49">
        <w:rPr>
          <w:rFonts w:ascii="Times New Roman" w:hAnsi="Times New Roman"/>
          <w:bCs/>
          <w:sz w:val="24"/>
          <w:szCs w:val="24"/>
        </w:rPr>
        <w:t>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District (Atlanta) held (3 to 0) in unpublished opinion that the trial court properly granted the FD’s motion to dismiss.  Moore resigned on November 5, 2013, after more than 20 years of service. </w:t>
      </w:r>
    </w:p>
    <w:p w14:paraId="261F219D" w14:textId="77777777" w:rsidR="002147DA" w:rsidRPr="00AE3A49" w:rsidRDefault="002147DA" w:rsidP="002147DA">
      <w:pPr>
        <w:pStyle w:val="NoSpacing"/>
        <w:rPr>
          <w:rFonts w:ascii="Times New Roman" w:hAnsi="Times New Roman"/>
          <w:b/>
          <w:bCs/>
          <w:sz w:val="24"/>
          <w:szCs w:val="24"/>
        </w:rPr>
      </w:pPr>
    </w:p>
    <w:p w14:paraId="135950EA" w14:textId="77777777" w:rsidR="002147DA" w:rsidRPr="00AE3A49" w:rsidRDefault="002147DA" w:rsidP="002147DA">
      <w:pPr>
        <w:pStyle w:val="NoSpacing"/>
        <w:ind w:left="720"/>
        <w:rPr>
          <w:rFonts w:ascii="Times New Roman" w:eastAsia="Times New Roman" w:hAnsi="Times New Roman"/>
          <w:b/>
          <w:bCs/>
          <w:sz w:val="24"/>
          <w:szCs w:val="24"/>
        </w:rPr>
      </w:pPr>
      <w:r w:rsidRPr="00AE3A49">
        <w:rPr>
          <w:rFonts w:ascii="Times New Roman" w:hAnsi="Times New Roman"/>
          <w:bCs/>
          <w:sz w:val="24"/>
          <w:szCs w:val="24"/>
        </w:rPr>
        <w:t xml:space="preserve">“While the complaint lists a series of discrete acts, it does not provide the dates of those acts or mention the supervisor responsible for any alleged acts. Similarly, her EEOC charge alleges Moore was harassed, called ‘the girl,’ and disciplined more severely than men, but does not provide any details supporting those allegations. Without connecting names or dates to each incident, we cannot determine who committed the acts or when they were committed. See Morgan, 536 U.S. at 120. Thus, Moore has not established that the three timely adverse acts are sufficiently related to any of the other </w:t>
      </w:r>
      <w:proofErr w:type="gramStart"/>
      <w:r w:rsidRPr="00AE3A49">
        <w:rPr>
          <w:rFonts w:ascii="Times New Roman" w:hAnsi="Times New Roman"/>
          <w:bCs/>
          <w:sz w:val="24"/>
          <w:szCs w:val="24"/>
        </w:rPr>
        <w:t>complained</w:t>
      </w:r>
      <w:proofErr w:type="gramEnd"/>
      <w:r w:rsidRPr="00AE3A49">
        <w:rPr>
          <w:rFonts w:ascii="Times New Roman" w:hAnsi="Times New Roman"/>
          <w:bCs/>
          <w:sz w:val="24"/>
          <w:szCs w:val="24"/>
        </w:rPr>
        <w:t xml:space="preserve"> of acts, such that they support the same hostile work environment claim. </w:t>
      </w:r>
      <w:bookmarkStart w:id="299" w:name="_Hlk39833092"/>
      <w:r w:rsidR="00374417">
        <w:fldChar w:fldCharType="begin"/>
      </w:r>
      <w:r w:rsidR="00374417">
        <w:instrText xml:space="preserve"> HYPERLINK "http://media.ca11.uscourts.gov/opinions/unpub/files/201910263.pdf" </w:instrText>
      </w:r>
      <w:r w:rsidR="00374417">
        <w:fldChar w:fldCharType="separate"/>
      </w:r>
      <w:r w:rsidRPr="00AE3A49">
        <w:rPr>
          <w:rStyle w:val="Hyperlink"/>
          <w:rFonts w:ascii="Times New Roman" w:hAnsi="Times New Roman"/>
          <w:b/>
          <w:sz w:val="24"/>
          <w:szCs w:val="24"/>
        </w:rPr>
        <w:t>http://media.ca11.uscourts.gov/opinions/unpub/files/201910263.pdf</w:t>
      </w:r>
      <w:r w:rsidR="00374417">
        <w:rPr>
          <w:rStyle w:val="Hyperlink"/>
          <w:rFonts w:ascii="Times New Roman" w:hAnsi="Times New Roman"/>
          <w:b/>
          <w:sz w:val="24"/>
          <w:szCs w:val="24"/>
        </w:rPr>
        <w:fldChar w:fldCharType="end"/>
      </w:r>
      <w:bookmarkEnd w:id="297"/>
      <w:r w:rsidRPr="00AE3A49">
        <w:rPr>
          <w:rFonts w:ascii="Times New Roman" w:hAnsi="Times New Roman"/>
          <w:bCs/>
          <w:sz w:val="24"/>
          <w:szCs w:val="24"/>
        </w:rPr>
        <w:t xml:space="preserve"> </w:t>
      </w:r>
    </w:p>
    <w:bookmarkEnd w:id="299"/>
    <w:p w14:paraId="2AEF925C" w14:textId="77777777" w:rsidR="002147DA" w:rsidRDefault="002147DA" w:rsidP="002147DA">
      <w:pPr>
        <w:pStyle w:val="NoSpacing"/>
        <w:rPr>
          <w:rFonts w:ascii="Times New Roman" w:hAnsi="Times New Roman"/>
          <w:b/>
          <w:bCs/>
          <w:sz w:val="24"/>
          <w:szCs w:val="24"/>
        </w:rPr>
      </w:pPr>
    </w:p>
    <w:p w14:paraId="1AA52516" w14:textId="1B83D0D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Fire &amp; EMS departments should have Employee Handbooks requiring employees to promptly file complaints in writing. </w:t>
      </w:r>
    </w:p>
    <w:p w14:paraId="4C8C8346" w14:textId="77777777" w:rsidR="002147DA" w:rsidRPr="00AE3A49" w:rsidRDefault="002147DA" w:rsidP="002147DA">
      <w:pPr>
        <w:pStyle w:val="NoSpacing"/>
        <w:rPr>
          <w:rFonts w:ascii="Times New Roman" w:hAnsi="Times New Roman"/>
          <w:b/>
          <w:bCs/>
          <w:sz w:val="24"/>
          <w:szCs w:val="24"/>
        </w:rPr>
      </w:pPr>
    </w:p>
    <w:p w14:paraId="4594FCCE" w14:textId="77777777" w:rsidR="002147DA" w:rsidRDefault="002147DA" w:rsidP="002147DA">
      <w:pPr>
        <w:pStyle w:val="NoSpacing"/>
        <w:rPr>
          <w:b/>
          <w:bCs/>
          <w:sz w:val="24"/>
          <w:szCs w:val="24"/>
        </w:rPr>
      </w:pPr>
    </w:p>
    <w:p w14:paraId="7FB345A5" w14:textId="77777777" w:rsidR="002147DA" w:rsidRDefault="002147DA" w:rsidP="002147DA">
      <w:pPr>
        <w:pStyle w:val="NoSpacing"/>
        <w:rPr>
          <w:b/>
          <w:bCs/>
          <w:sz w:val="24"/>
          <w:szCs w:val="24"/>
        </w:rPr>
      </w:pPr>
    </w:p>
    <w:p w14:paraId="442D5866" w14:textId="77777777" w:rsidR="002147DA" w:rsidRDefault="002147DA" w:rsidP="002B1283">
      <w:pPr>
        <w:rPr>
          <w:rFonts w:ascii="Arial Black" w:hAnsi="Arial Black"/>
          <w:b/>
          <w:sz w:val="24"/>
          <w:szCs w:val="24"/>
        </w:rPr>
      </w:pPr>
    </w:p>
    <w:p w14:paraId="1E8E684D" w14:textId="77777777" w:rsidR="002147DA" w:rsidRDefault="002147DA" w:rsidP="002B1283">
      <w:pPr>
        <w:rPr>
          <w:rFonts w:ascii="Arial Black" w:hAnsi="Arial Black"/>
          <w:b/>
          <w:sz w:val="24"/>
          <w:szCs w:val="24"/>
        </w:rPr>
      </w:pPr>
    </w:p>
    <w:p w14:paraId="775FA55D" w14:textId="4E4DED1E" w:rsidR="007540BD" w:rsidRDefault="007540BD" w:rsidP="002B1283">
      <w:pPr>
        <w:rPr>
          <w:rFonts w:ascii="Arial Black" w:hAnsi="Arial Black"/>
          <w:b/>
          <w:sz w:val="24"/>
          <w:szCs w:val="24"/>
        </w:rPr>
      </w:pPr>
      <w:r>
        <w:rPr>
          <w:rFonts w:ascii="Arial Black" w:hAnsi="Arial Black"/>
          <w:b/>
          <w:sz w:val="24"/>
          <w:szCs w:val="24"/>
        </w:rPr>
        <w:t>7-18</w:t>
      </w:r>
    </w:p>
    <w:p w14:paraId="1D8E021C" w14:textId="77777777" w:rsidR="007540BD" w:rsidRDefault="007540BD" w:rsidP="007540BD">
      <w:pPr>
        <w:pStyle w:val="NoSpacing"/>
        <w:rPr>
          <w:rFonts w:ascii="Arial Black" w:hAnsi="Arial Black"/>
          <w:sz w:val="28"/>
          <w:szCs w:val="28"/>
        </w:rPr>
      </w:pPr>
      <w:bookmarkStart w:id="300" w:name="_Hlk40510796"/>
      <w:r>
        <w:rPr>
          <w:rFonts w:ascii="Arial Black" w:hAnsi="Arial Black"/>
          <w:sz w:val="28"/>
          <w:szCs w:val="28"/>
        </w:rPr>
        <w:t>TX: “JANE DOE” LAWSUIT DISMISSED - FEMALE FF MUST IDENTIFY HERSELF IN NEW LAWSUIT – CITY, SEVERAL FF DROPPED FROM CASE</w:t>
      </w:r>
    </w:p>
    <w:p w14:paraId="6BF39C46" w14:textId="77777777" w:rsidR="007540BD" w:rsidRPr="00934109" w:rsidRDefault="007540BD" w:rsidP="007540BD">
      <w:pPr>
        <w:pStyle w:val="NoSpacing"/>
        <w:rPr>
          <w:rFonts w:ascii="Arial Black" w:hAnsi="Arial Black"/>
          <w:b/>
          <w:bCs/>
          <w:sz w:val="28"/>
          <w:szCs w:val="28"/>
        </w:rPr>
      </w:pPr>
    </w:p>
    <w:p w14:paraId="7BBF1ACB"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March 10, 2020, in </w:t>
      </w:r>
      <w:r w:rsidRPr="007C7258">
        <w:rPr>
          <w:rFonts w:ascii="Times New Roman" w:hAnsi="Times New Roman"/>
          <w:bCs/>
          <w:sz w:val="24"/>
          <w:szCs w:val="24"/>
          <w:u w:val="single"/>
        </w:rPr>
        <w:t>Female Firefighter Jane Doe v. Fort Worth, Texas, et al.</w:t>
      </w:r>
      <w:r w:rsidRPr="007C7258">
        <w:rPr>
          <w:rFonts w:ascii="Times New Roman" w:hAnsi="Times New Roman"/>
          <w:bCs/>
          <w:sz w:val="24"/>
          <w:szCs w:val="24"/>
        </w:rPr>
        <w:t xml:space="preserve">, U.S. District Court Judge John McBryde, U.S. District Court for Northern District of Texas, Fort Worth Division, ordered that Plaintiff re-file her lawsuit and identify herself.  Only one firefighter remains in the case, since 2-year statute of limitations has run on all her other claims.  The </w:t>
      </w:r>
      <w:proofErr w:type="gramStart"/>
      <w:r w:rsidRPr="007C7258">
        <w:rPr>
          <w:rFonts w:ascii="Times New Roman" w:hAnsi="Times New Roman"/>
          <w:bCs/>
          <w:sz w:val="24"/>
          <w:szCs w:val="24"/>
        </w:rPr>
        <w:t>City</w:t>
      </w:r>
      <w:proofErr w:type="gramEnd"/>
      <w:r w:rsidRPr="007C7258">
        <w:rPr>
          <w:rFonts w:ascii="Times New Roman" w:hAnsi="Times New Roman"/>
          <w:bCs/>
          <w:sz w:val="24"/>
          <w:szCs w:val="24"/>
        </w:rPr>
        <w:t xml:space="preserve"> is also dismissed from the case. </w:t>
      </w:r>
    </w:p>
    <w:bookmarkEnd w:id="300"/>
    <w:p w14:paraId="6D73D734" w14:textId="77777777" w:rsidR="007540BD" w:rsidRPr="007C7258" w:rsidRDefault="007540BD" w:rsidP="007540BD">
      <w:pPr>
        <w:pStyle w:val="NoSpacing"/>
        <w:rPr>
          <w:rFonts w:ascii="Times New Roman" w:hAnsi="Times New Roman"/>
          <w:b/>
          <w:bCs/>
          <w:sz w:val="24"/>
          <w:szCs w:val="24"/>
        </w:rPr>
      </w:pPr>
    </w:p>
    <w:p w14:paraId="1013D0AB"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“The law is clear that a plaintiff should only be allowed to proceed anonymously in rare and exceptional cases. Doe v. Stegall, </w:t>
      </w:r>
      <w:hyperlink r:id="rId1484" w:history="1">
        <w:r w:rsidRPr="007C7258">
          <w:rPr>
            <w:rStyle w:val="Hyperlink"/>
            <w:rFonts w:ascii="Times New Roman" w:hAnsi="Times New Roman"/>
            <w:b/>
            <w:sz w:val="24"/>
            <w:szCs w:val="24"/>
          </w:rPr>
          <w:t>653 F.2d 180</w:t>
        </w:r>
      </w:hyperlink>
      <w:r w:rsidRPr="007C7258">
        <w:rPr>
          <w:rFonts w:ascii="Times New Roman" w:hAnsi="Times New Roman"/>
          <w:bCs/>
          <w:sz w:val="24"/>
          <w:szCs w:val="24"/>
        </w:rPr>
        <w:t xml:space="preserve"> (5th Cir. Unit A 1981); Southern Methodist Univ. v. Wynn &amp; Jaffe, </w:t>
      </w:r>
      <w:hyperlink r:id="rId1485" w:history="1">
        <w:r w:rsidRPr="007C7258">
          <w:rPr>
            <w:rStyle w:val="Hyperlink"/>
            <w:rFonts w:ascii="Times New Roman" w:hAnsi="Times New Roman"/>
            <w:b/>
            <w:sz w:val="24"/>
            <w:szCs w:val="24"/>
          </w:rPr>
          <w:t>599 F.2d 707</w:t>
        </w:r>
      </w:hyperlink>
      <w:r w:rsidRPr="007C7258">
        <w:rPr>
          <w:rFonts w:ascii="Times New Roman" w:hAnsi="Times New Roman"/>
          <w:bCs/>
          <w:sz w:val="24"/>
          <w:szCs w:val="24"/>
        </w:rPr>
        <w:t xml:space="preserve"> (5th Cir. 1979). Plaintiff has made no attempt to show that this is such a case, probably because she cannot make the required showing. That plaintiff might suffer personal embarrassment is not enough. Doe v. Frank, </w:t>
      </w:r>
      <w:hyperlink r:id="rId1486" w:history="1">
        <w:r w:rsidRPr="007C7258">
          <w:rPr>
            <w:rStyle w:val="Hyperlink"/>
            <w:rFonts w:ascii="Times New Roman" w:hAnsi="Times New Roman"/>
            <w:b/>
            <w:sz w:val="24"/>
            <w:szCs w:val="24"/>
          </w:rPr>
          <w:t>951 F.2d 320</w:t>
        </w:r>
      </w:hyperlink>
      <w:r w:rsidRPr="007C7258">
        <w:rPr>
          <w:rFonts w:ascii="Times New Roman" w:hAnsi="Times New Roman"/>
          <w:bCs/>
          <w:sz w:val="24"/>
          <w:szCs w:val="24"/>
        </w:rPr>
        <w:t>, 324 (11th Cir. 1992). "Indeed, many courts faced with a request by a victim of sexual assault or harassment seeking to pursue a civil action for monetary damages under a pseudonym have concluded that the plaintiff was not entitled to proceed anonymously." Doe ex rel. Doe v. Harris, No. 14-0802, 2014 WL 4207599, at *2 W.D. La. Aug. 25, 2014) (citing cases). Accordingly, the court will require plaintiff to identify herself. Fed. R. Civ. P. 10(a).</w:t>
      </w:r>
    </w:p>
    <w:p w14:paraId="6338DD73" w14:textId="77777777" w:rsidR="007540BD" w:rsidRPr="007C7258" w:rsidRDefault="007540BD" w:rsidP="007540BD">
      <w:pPr>
        <w:pStyle w:val="NoSpacing"/>
        <w:ind w:left="720"/>
        <w:rPr>
          <w:rFonts w:ascii="Times New Roman" w:hAnsi="Times New Roman"/>
          <w:b/>
          <w:bCs/>
          <w:sz w:val="24"/>
          <w:szCs w:val="24"/>
        </w:rPr>
      </w:pPr>
    </w:p>
    <w:p w14:paraId="179480DD"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372049F8" w14:textId="77777777" w:rsidR="007540BD" w:rsidRPr="007C7258" w:rsidRDefault="007540BD" w:rsidP="007540BD">
      <w:pPr>
        <w:ind w:left="720"/>
        <w:rPr>
          <w:rFonts w:ascii="Times New Roman" w:hAnsi="Times New Roman"/>
          <w:b/>
          <w:bCs/>
          <w:sz w:val="24"/>
          <w:szCs w:val="24"/>
        </w:rPr>
      </w:pPr>
      <w:r w:rsidRPr="007C7258">
        <w:rPr>
          <w:rFonts w:ascii="Times New Roman" w:hAnsi="Times New Roman"/>
          <w:bCs/>
          <w:sz w:val="24"/>
          <w:szCs w:val="24"/>
        </w:rPr>
        <w:t xml:space="preserve">If, as plaintiff contends, she was raped by her co-workers, that was not the result of an intentional choice of City not to provide proper training, especially where plaintiff does not allege that City was ever informed that lack of training was causing its male firefighters to engage in criminal conduct.” </w:t>
      </w:r>
      <w:bookmarkStart w:id="301" w:name="_Hlk40510857"/>
      <w:r w:rsidR="009B50E8">
        <w:fldChar w:fldCharType="begin"/>
      </w:r>
      <w:r w:rsidR="009B50E8">
        <w:instrText xml:space="preserve"> HYPERLINK "https://www.leagle.com/decision/infdco20200316488" </w:instrText>
      </w:r>
      <w:r w:rsidR="009B50E8">
        <w:fldChar w:fldCharType="separate"/>
      </w:r>
      <w:r w:rsidRPr="007C7258">
        <w:rPr>
          <w:rStyle w:val="Hyperlink"/>
          <w:rFonts w:ascii="Times New Roman" w:hAnsi="Times New Roman"/>
          <w:sz w:val="24"/>
          <w:szCs w:val="24"/>
        </w:rPr>
        <w:t>https://www.leagle.com/decision/infdco20200316488</w:t>
      </w:r>
      <w:r w:rsidR="009B50E8">
        <w:rPr>
          <w:rStyle w:val="Hyperlink"/>
          <w:rFonts w:ascii="Times New Roman" w:hAnsi="Times New Roman"/>
          <w:sz w:val="24"/>
          <w:szCs w:val="24"/>
        </w:rPr>
        <w:fldChar w:fldCharType="end"/>
      </w:r>
      <w:r w:rsidRPr="007C7258">
        <w:rPr>
          <w:rFonts w:ascii="Times New Roman" w:hAnsi="Times New Roman"/>
          <w:bCs/>
          <w:sz w:val="24"/>
          <w:szCs w:val="24"/>
        </w:rPr>
        <w:t xml:space="preserve"> </w:t>
      </w:r>
    </w:p>
    <w:p w14:paraId="7D73B159" w14:textId="77777777" w:rsidR="007540BD" w:rsidRPr="007C7258" w:rsidRDefault="007540BD" w:rsidP="007540BD">
      <w:pPr>
        <w:spacing w:before="100" w:beforeAutospacing="1" w:after="100" w:afterAutospacing="1" w:line="240" w:lineRule="auto"/>
        <w:rPr>
          <w:rFonts w:ascii="Times New Roman" w:hAnsi="Times New Roman"/>
          <w:b/>
          <w:bCs/>
          <w:sz w:val="24"/>
          <w:szCs w:val="24"/>
        </w:rPr>
      </w:pPr>
      <w:bookmarkStart w:id="302" w:name="_Hlk40510884"/>
      <w:bookmarkEnd w:id="301"/>
      <w:r w:rsidRPr="007C7258">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A </w:t>
      </w:r>
      <w:r w:rsidRPr="007C7258">
        <w:rPr>
          <w:rFonts w:ascii="Times New Roman" w:hAnsi="Times New Roman"/>
          <w:b/>
          <w:bCs/>
          <w:sz w:val="24"/>
          <w:szCs w:val="24"/>
        </w:rPr>
        <w:t xml:space="preserve">plaintiff should only be allowed to proceed anonymously in rare and exceptional cases.  </w:t>
      </w:r>
      <w:bookmarkEnd w:id="302"/>
      <w:r w:rsidRPr="007C7258">
        <w:rPr>
          <w:rFonts w:ascii="Times New Roman" w:hAnsi="Times New Roman"/>
          <w:b/>
          <w:bCs/>
          <w:sz w:val="24"/>
          <w:szCs w:val="24"/>
        </w:rPr>
        <w:t>[I have deleted names of the defendants in this case, since Plaintiff hasn’t identified herself.]</w:t>
      </w:r>
    </w:p>
    <w:p w14:paraId="1F9E78D3" w14:textId="204C1D1C" w:rsidR="007540BD" w:rsidRDefault="007540BD" w:rsidP="002B1283">
      <w:pPr>
        <w:rPr>
          <w:rFonts w:ascii="Arial Black" w:hAnsi="Arial Black"/>
          <w:b/>
          <w:sz w:val="24"/>
          <w:szCs w:val="24"/>
        </w:rPr>
      </w:pPr>
    </w:p>
    <w:p w14:paraId="23058EB8" w14:textId="2C71341B" w:rsidR="007540BD" w:rsidRDefault="007540BD" w:rsidP="002B1283">
      <w:pPr>
        <w:rPr>
          <w:rFonts w:ascii="Arial Black" w:hAnsi="Arial Black"/>
          <w:b/>
          <w:sz w:val="24"/>
          <w:szCs w:val="24"/>
        </w:rPr>
      </w:pPr>
      <w:r>
        <w:rPr>
          <w:rFonts w:ascii="Arial Black" w:hAnsi="Arial Black"/>
          <w:b/>
          <w:sz w:val="24"/>
          <w:szCs w:val="24"/>
        </w:rPr>
        <w:t>7-17</w:t>
      </w:r>
    </w:p>
    <w:p w14:paraId="35D1DF62" w14:textId="77777777" w:rsidR="007540BD" w:rsidRPr="00BA763B" w:rsidRDefault="007540BD" w:rsidP="007540BD">
      <w:pPr>
        <w:pStyle w:val="NoSpacing"/>
        <w:rPr>
          <w:rFonts w:ascii="Arial Black" w:hAnsi="Arial Black"/>
          <w:sz w:val="28"/>
          <w:szCs w:val="28"/>
        </w:rPr>
      </w:pPr>
      <w:r>
        <w:rPr>
          <w:rFonts w:ascii="Arial Black" w:hAnsi="Arial Black"/>
          <w:sz w:val="28"/>
          <w:szCs w:val="28"/>
        </w:rPr>
        <w:t xml:space="preserve">IL:  JOKES ABOUT FF BEING “GAY” [HE IS NOT] – CASE DISMISSED – 3 OCCASIONS - NOT AN “OBJECTIVELY” HOSTILE WORK ENVIRONMENT </w:t>
      </w:r>
    </w:p>
    <w:p w14:paraId="4F738B51" w14:textId="77777777" w:rsidR="007540BD" w:rsidRDefault="007540BD" w:rsidP="007540BD">
      <w:pPr>
        <w:pStyle w:val="NoSpacing"/>
      </w:pPr>
    </w:p>
    <w:p w14:paraId="1EB47EAA"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March 9, 2020, in </w:t>
      </w:r>
      <w:r w:rsidRPr="007C7258">
        <w:rPr>
          <w:rFonts w:ascii="Times New Roman" w:hAnsi="Times New Roman"/>
          <w:bCs/>
          <w:sz w:val="24"/>
          <w:szCs w:val="24"/>
          <w:u w:val="single"/>
        </w:rPr>
        <w:t>Justine Bakker v. Mokena Fire Protection District</w:t>
      </w:r>
      <w:r w:rsidRPr="007C7258">
        <w:rPr>
          <w:rFonts w:ascii="Times New Roman" w:hAnsi="Times New Roman"/>
          <w:bCs/>
          <w:sz w:val="24"/>
          <w:szCs w:val="24"/>
        </w:rPr>
        <w:t xml:space="preserve">, U.S. District Court Judge Harry D. </w:t>
      </w:r>
      <w:proofErr w:type="spellStart"/>
      <w:r w:rsidRPr="007C7258">
        <w:rPr>
          <w:rFonts w:ascii="Times New Roman" w:hAnsi="Times New Roman"/>
          <w:bCs/>
          <w:sz w:val="24"/>
          <w:szCs w:val="24"/>
        </w:rPr>
        <w:t>Leinenweber</w:t>
      </w:r>
      <w:proofErr w:type="spellEnd"/>
      <w:r w:rsidRPr="007C7258">
        <w:rPr>
          <w:rFonts w:ascii="Times New Roman" w:hAnsi="Times New Roman"/>
          <w:bCs/>
          <w:sz w:val="24"/>
          <w:szCs w:val="24"/>
        </w:rPr>
        <w:t xml:space="preserve">, U.S. District Court for Northern District of Illinois, Eastern Division, granted the FD’s motion to dismiss. </w:t>
      </w:r>
    </w:p>
    <w:p w14:paraId="0D6C0A3D" w14:textId="77777777" w:rsidR="007540BD" w:rsidRPr="007C7258" w:rsidRDefault="007540BD" w:rsidP="007540BD">
      <w:pPr>
        <w:pStyle w:val="NoSpacing"/>
        <w:rPr>
          <w:rFonts w:ascii="Times New Roman" w:hAnsi="Times New Roman"/>
          <w:b/>
          <w:bCs/>
          <w:sz w:val="24"/>
          <w:szCs w:val="24"/>
        </w:rPr>
      </w:pPr>
    </w:p>
    <w:p w14:paraId="765ECF6A" w14:textId="082D58B0"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The Seventh Circuit set a high bar to establish an objectively hostile work environment. Courts ‘assume employees are generally mature individuals with the thick skin that comes from living in the modern world.’ </w:t>
      </w:r>
    </w:p>
    <w:p w14:paraId="2E480A06" w14:textId="77777777" w:rsidR="007540BD" w:rsidRPr="007C7258" w:rsidRDefault="007540BD" w:rsidP="007540BD">
      <w:pPr>
        <w:pStyle w:val="NoSpacing"/>
        <w:ind w:left="720"/>
        <w:rPr>
          <w:rFonts w:ascii="Times New Roman" w:hAnsi="Times New Roman"/>
          <w:b/>
          <w:bCs/>
          <w:i/>
          <w:iCs/>
          <w:sz w:val="24"/>
          <w:szCs w:val="24"/>
        </w:rPr>
      </w:pPr>
      <w:proofErr w:type="spellStart"/>
      <w:proofErr w:type="gramStart"/>
      <w:r w:rsidRPr="007C7258">
        <w:rPr>
          <w:rFonts w:ascii="Times New Roman" w:hAnsi="Times New Roman"/>
          <w:bCs/>
          <w:i/>
          <w:iCs/>
          <w:sz w:val="24"/>
          <w:szCs w:val="24"/>
        </w:rPr>
        <w:t>Swyear</w:t>
      </w:r>
      <w:proofErr w:type="spellEnd"/>
      <w:proofErr w:type="gramEnd"/>
      <w:r w:rsidRPr="007C7258">
        <w:rPr>
          <w:rFonts w:ascii="Times New Roman" w:hAnsi="Times New Roman"/>
          <w:bCs/>
          <w:sz w:val="24"/>
          <w:szCs w:val="24"/>
        </w:rPr>
        <w:t xml:space="preserve">, 911 F.3d at 881. Employers ‘generally do not face liability for off-color comments, isolated incidents, teasing, and other unpleasantries that are, unfortunately, not uncommon in the workplace.’ </w:t>
      </w:r>
      <w:r w:rsidRPr="007C7258">
        <w:rPr>
          <w:rFonts w:ascii="Times New Roman" w:hAnsi="Times New Roman"/>
          <w:bCs/>
          <w:i/>
          <w:iCs/>
          <w:sz w:val="24"/>
          <w:szCs w:val="24"/>
        </w:rPr>
        <w:t>Id</w:t>
      </w:r>
      <w:r w:rsidRPr="007C7258">
        <w:rPr>
          <w:rFonts w:ascii="Times New Roman" w:hAnsi="Times New Roman"/>
          <w:bCs/>
          <w:sz w:val="24"/>
          <w:szCs w:val="24"/>
        </w:rPr>
        <w:t xml:space="preserve">. Jokes that are ‘crude’ and ‘immature’ do not create employer liability, even though the jokes are ‘boorish,’ inappropriate, and in poor taste. </w:t>
      </w:r>
    </w:p>
    <w:p w14:paraId="1CB54D0B" w14:textId="77777777" w:rsidR="007540BD" w:rsidRPr="007C7258" w:rsidRDefault="007540BD" w:rsidP="007540BD">
      <w:pPr>
        <w:pStyle w:val="NoSpacing"/>
        <w:ind w:left="720"/>
        <w:rPr>
          <w:rFonts w:ascii="Times New Roman" w:hAnsi="Times New Roman"/>
          <w:b/>
          <w:bCs/>
          <w:sz w:val="24"/>
          <w:szCs w:val="24"/>
        </w:rPr>
      </w:pPr>
    </w:p>
    <w:p w14:paraId="72594FB2" w14:textId="77777777" w:rsidR="007540BD" w:rsidRPr="007C7258" w:rsidRDefault="007540BD" w:rsidP="007540BD">
      <w:pPr>
        <w:pStyle w:val="NoSpacing"/>
        <w:ind w:firstLine="720"/>
        <w:rPr>
          <w:rFonts w:ascii="Times New Roman" w:hAnsi="Times New Roman"/>
          <w:b/>
          <w:bCs/>
          <w:sz w:val="24"/>
          <w:szCs w:val="24"/>
        </w:rPr>
      </w:pPr>
      <w:r w:rsidRPr="007C7258">
        <w:rPr>
          <w:rFonts w:ascii="Times New Roman" w:hAnsi="Times New Roman"/>
          <w:bCs/>
          <w:sz w:val="24"/>
          <w:szCs w:val="24"/>
        </w:rPr>
        <w:t>***</w:t>
      </w:r>
    </w:p>
    <w:p w14:paraId="67536269"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The set of facts stated in Bakker's Complaint provides no possible path to employer liability. Accordingly, </w:t>
      </w:r>
      <w:proofErr w:type="gramStart"/>
      <w:r w:rsidRPr="007C7258">
        <w:rPr>
          <w:rFonts w:ascii="Times New Roman" w:hAnsi="Times New Roman"/>
          <w:bCs/>
          <w:sz w:val="24"/>
          <w:szCs w:val="24"/>
        </w:rPr>
        <w:t>the Title</w:t>
      </w:r>
      <w:proofErr w:type="gramEnd"/>
      <w:r w:rsidRPr="007C7258">
        <w:rPr>
          <w:rFonts w:ascii="Times New Roman" w:hAnsi="Times New Roman"/>
          <w:bCs/>
          <w:sz w:val="24"/>
          <w:szCs w:val="24"/>
        </w:rPr>
        <w:t xml:space="preserve"> VII claim must fail. Further, because the December 2015 and July 2018 incidents are time-barred and because the August 2018 incident alone cannot establish liability, the Title VII claims must be dismissed with prejudice.”</w:t>
      </w:r>
    </w:p>
    <w:p w14:paraId="04F35501" w14:textId="77777777" w:rsidR="007540BD" w:rsidRPr="007C7258" w:rsidRDefault="007540BD" w:rsidP="007540BD">
      <w:pPr>
        <w:pStyle w:val="NoSpacing"/>
        <w:ind w:left="720"/>
        <w:rPr>
          <w:rFonts w:ascii="Times New Roman" w:hAnsi="Times New Roman"/>
          <w:b/>
          <w:bCs/>
          <w:sz w:val="24"/>
          <w:szCs w:val="24"/>
        </w:rPr>
      </w:pPr>
      <w:hyperlink r:id="rId1487" w:history="1">
        <w:r w:rsidRPr="007C7258">
          <w:rPr>
            <w:rStyle w:val="Hyperlink"/>
            <w:rFonts w:ascii="Times New Roman" w:hAnsi="Times New Roman"/>
            <w:b/>
            <w:sz w:val="24"/>
            <w:szCs w:val="24"/>
          </w:rPr>
          <w:t>https://public.fastcase.com/Wl%2B2t%2BeVuI35%2FN70vAMFZpwObr9UCo7RpBGKfgPOWwVQBI%2BjVLV%2FylH6ScWLGBY%2F</w:t>
        </w:r>
      </w:hyperlink>
      <w:r w:rsidRPr="007C7258">
        <w:rPr>
          <w:rFonts w:ascii="Times New Roman" w:hAnsi="Times New Roman"/>
          <w:bCs/>
          <w:sz w:val="24"/>
          <w:szCs w:val="24"/>
        </w:rPr>
        <w:t xml:space="preserve"> </w:t>
      </w:r>
    </w:p>
    <w:p w14:paraId="0610A856" w14:textId="77777777" w:rsidR="007540BD" w:rsidRPr="007C7258" w:rsidRDefault="007540BD" w:rsidP="007540BD">
      <w:pPr>
        <w:pStyle w:val="NoSpacing"/>
        <w:ind w:left="720"/>
        <w:rPr>
          <w:rFonts w:ascii="Times New Roman" w:hAnsi="Times New Roman"/>
          <w:b/>
          <w:bCs/>
          <w:sz w:val="24"/>
          <w:szCs w:val="24"/>
        </w:rPr>
      </w:pPr>
    </w:p>
    <w:p w14:paraId="6B0C77B7" w14:textId="77777777" w:rsidR="007540BD" w:rsidRPr="007C7258" w:rsidRDefault="007540BD" w:rsidP="007540BD">
      <w:pPr>
        <w:pStyle w:val="NoSpacing"/>
        <w:tabs>
          <w:tab w:val="left" w:pos="3010"/>
        </w:tabs>
        <w:rPr>
          <w:rFonts w:ascii="Times New Roman" w:eastAsia="Times New Roman" w:hAnsi="Times New Roman"/>
          <w:b/>
          <w:bCs/>
          <w:sz w:val="24"/>
          <w:szCs w:val="24"/>
        </w:rPr>
      </w:pPr>
      <w:r w:rsidRPr="007C7258">
        <w:rPr>
          <w:rFonts w:ascii="Times New Roman" w:hAnsi="Times New Roman"/>
          <w:b/>
          <w:bCs/>
          <w:sz w:val="24"/>
          <w:szCs w:val="24"/>
        </w:rPr>
        <w:t xml:space="preserve">Legal Lessons Learned: It’s great to have fun on duty; </w:t>
      </w:r>
      <w:r>
        <w:rPr>
          <w:rFonts w:ascii="Times New Roman" w:hAnsi="Times New Roman"/>
          <w:b/>
          <w:bCs/>
          <w:sz w:val="24"/>
          <w:szCs w:val="24"/>
        </w:rPr>
        <w:t xml:space="preserve">but jokes about sexual orientation are not appropriate. </w:t>
      </w:r>
      <w:r w:rsidRPr="007C7258">
        <w:rPr>
          <w:rFonts w:ascii="Times New Roman" w:hAnsi="Times New Roman"/>
          <w:b/>
          <w:bCs/>
          <w:sz w:val="24"/>
          <w:szCs w:val="24"/>
        </w:rPr>
        <w:t xml:space="preserve">  </w:t>
      </w:r>
    </w:p>
    <w:p w14:paraId="58598D15" w14:textId="77777777" w:rsidR="007540BD" w:rsidRPr="007C7258" w:rsidRDefault="007540BD" w:rsidP="007540BD">
      <w:pPr>
        <w:spacing w:before="100" w:beforeAutospacing="1" w:after="100" w:afterAutospacing="1" w:line="240" w:lineRule="auto"/>
        <w:ind w:left="720"/>
        <w:rPr>
          <w:rFonts w:ascii="Times New Roman" w:eastAsia="Times New Roman" w:hAnsi="Times New Roman"/>
          <w:sz w:val="24"/>
          <w:szCs w:val="24"/>
        </w:rPr>
      </w:pPr>
    </w:p>
    <w:p w14:paraId="0DE8C4C8" w14:textId="77777777" w:rsidR="007540BD" w:rsidRDefault="007540BD" w:rsidP="002B1283">
      <w:pPr>
        <w:rPr>
          <w:rFonts w:ascii="Arial Black" w:hAnsi="Arial Black"/>
          <w:b/>
          <w:sz w:val="24"/>
          <w:szCs w:val="24"/>
        </w:rPr>
      </w:pPr>
    </w:p>
    <w:p w14:paraId="63C40E13" w14:textId="77777777" w:rsidR="007540BD" w:rsidRDefault="007540BD" w:rsidP="002B1283">
      <w:pPr>
        <w:rPr>
          <w:rFonts w:ascii="Arial Black" w:hAnsi="Arial Black"/>
          <w:b/>
          <w:sz w:val="24"/>
          <w:szCs w:val="24"/>
        </w:rPr>
      </w:pPr>
    </w:p>
    <w:p w14:paraId="298F5E61" w14:textId="2B57D646" w:rsidR="00997329" w:rsidRDefault="00997329" w:rsidP="002B1283">
      <w:pPr>
        <w:rPr>
          <w:rFonts w:ascii="Arial Black" w:hAnsi="Arial Black"/>
          <w:b/>
          <w:sz w:val="24"/>
          <w:szCs w:val="24"/>
        </w:rPr>
      </w:pPr>
      <w:r>
        <w:rPr>
          <w:rFonts w:ascii="Arial Black" w:hAnsi="Arial Black"/>
          <w:b/>
          <w:sz w:val="24"/>
          <w:szCs w:val="24"/>
        </w:rPr>
        <w:t>7-16</w:t>
      </w:r>
    </w:p>
    <w:p w14:paraId="0329E2ED" w14:textId="77777777" w:rsidR="00997329" w:rsidRDefault="00997329" w:rsidP="00997329">
      <w:pPr>
        <w:pStyle w:val="NoSpacing"/>
        <w:rPr>
          <w:rFonts w:ascii="Arial Black" w:hAnsi="Arial Black"/>
          <w:sz w:val="28"/>
          <w:szCs w:val="28"/>
        </w:rPr>
      </w:pPr>
      <w:r w:rsidRPr="00855FB3">
        <w:rPr>
          <w:rFonts w:ascii="Arial Black" w:hAnsi="Arial Black"/>
          <w:sz w:val="28"/>
          <w:szCs w:val="28"/>
        </w:rPr>
        <w:t xml:space="preserve">PA: </w:t>
      </w:r>
      <w:r>
        <w:rPr>
          <w:rFonts w:ascii="Arial Black" w:hAnsi="Arial Black"/>
          <w:sz w:val="28"/>
          <w:szCs w:val="28"/>
        </w:rPr>
        <w:t xml:space="preserve">PREGNANT MEDIC – SUPERVISOR COMMENTS – MAY SOON “HATCH” - NOT HOSTILE WORKPLACE – SHE WAS SUSPENDED FOR CAUSE </w:t>
      </w:r>
    </w:p>
    <w:p w14:paraId="33762621" w14:textId="77777777" w:rsidR="00BF4DDE" w:rsidRDefault="00BF4DDE" w:rsidP="00997329">
      <w:pPr>
        <w:pStyle w:val="NoSpacing"/>
        <w:rPr>
          <w:rFonts w:ascii="Arial Black" w:hAnsi="Arial Black"/>
          <w:sz w:val="28"/>
          <w:szCs w:val="28"/>
        </w:rPr>
      </w:pPr>
    </w:p>
    <w:p w14:paraId="267F6941" w14:textId="055BF296" w:rsidR="00997329" w:rsidRPr="00465FB3" w:rsidRDefault="00997329" w:rsidP="00997329">
      <w:pPr>
        <w:pStyle w:val="NoSpacing"/>
        <w:rPr>
          <w:rFonts w:ascii="Times New Roman" w:hAnsi="Times New Roman"/>
          <w:b/>
          <w:bCs/>
          <w:sz w:val="24"/>
          <w:szCs w:val="24"/>
        </w:rPr>
      </w:pPr>
      <w:r w:rsidRPr="00465FB3">
        <w:rPr>
          <w:rFonts w:ascii="Times New Roman" w:hAnsi="Times New Roman"/>
          <w:bCs/>
          <w:sz w:val="24"/>
          <w:szCs w:val="24"/>
        </w:rPr>
        <w:t xml:space="preserve">On March 4, 2020, in </w:t>
      </w:r>
      <w:r w:rsidRPr="00465FB3">
        <w:rPr>
          <w:rFonts w:ascii="Times New Roman" w:hAnsi="Times New Roman"/>
          <w:bCs/>
          <w:sz w:val="24"/>
          <w:szCs w:val="24"/>
          <w:u w:val="single"/>
        </w:rPr>
        <w:t xml:space="preserve">Janel Fritz v. </w:t>
      </w:r>
      <w:proofErr w:type="spellStart"/>
      <w:r w:rsidRPr="00465FB3">
        <w:rPr>
          <w:rFonts w:ascii="Times New Roman" w:hAnsi="Times New Roman"/>
          <w:bCs/>
          <w:sz w:val="24"/>
          <w:szCs w:val="24"/>
          <w:u w:val="single"/>
        </w:rPr>
        <w:t>Uwchlan</w:t>
      </w:r>
      <w:proofErr w:type="spellEnd"/>
      <w:r w:rsidRPr="00465FB3">
        <w:rPr>
          <w:rFonts w:ascii="Times New Roman" w:hAnsi="Times New Roman"/>
          <w:bCs/>
          <w:sz w:val="24"/>
          <w:szCs w:val="24"/>
          <w:u w:val="single"/>
        </w:rPr>
        <w:t xml:space="preserve"> Ambulance Corps, Inc</w:t>
      </w:r>
      <w:r w:rsidRPr="00465FB3">
        <w:rPr>
          <w:rFonts w:ascii="Times New Roman" w:hAnsi="Times New Roman"/>
          <w:bCs/>
          <w:sz w:val="24"/>
          <w:szCs w:val="24"/>
        </w:rPr>
        <w:t xml:space="preserve">., U.S. District Court Judge Nitza I. Alejandro, Eastern District of Pennsylvania, granted defense motion for summary judgment, finding no pregnancy or gender discrimination. </w:t>
      </w:r>
    </w:p>
    <w:p w14:paraId="00F5B51D" w14:textId="77777777" w:rsidR="00997329" w:rsidRPr="00465FB3" w:rsidRDefault="00997329" w:rsidP="00997329">
      <w:pPr>
        <w:pStyle w:val="NoSpacing"/>
        <w:rPr>
          <w:rFonts w:ascii="Times New Roman" w:hAnsi="Times New Roman"/>
          <w:b/>
          <w:bCs/>
          <w:sz w:val="24"/>
          <w:szCs w:val="24"/>
        </w:rPr>
      </w:pPr>
    </w:p>
    <w:p w14:paraId="6D31CC7C" w14:textId="77777777" w:rsidR="00997329" w:rsidRPr="00465FB3" w:rsidRDefault="00997329" w:rsidP="00997329">
      <w:pPr>
        <w:pStyle w:val="NoSpacing"/>
        <w:ind w:left="720"/>
        <w:rPr>
          <w:rFonts w:ascii="Times New Roman" w:hAnsi="Times New Roman"/>
          <w:b/>
          <w:bCs/>
          <w:sz w:val="24"/>
          <w:szCs w:val="24"/>
        </w:rPr>
      </w:pPr>
      <w:r w:rsidRPr="00465FB3">
        <w:rPr>
          <w:rFonts w:ascii="Times New Roman" w:hAnsi="Times New Roman"/>
          <w:bCs/>
          <w:sz w:val="24"/>
          <w:szCs w:val="24"/>
        </w:rPr>
        <w:t xml:space="preserve">“Plaintiff also contends that Defendant's employees repeatedly urged her to begin maternity leave prior to the birth of her child, and prior to the date required and directed by her doctor. When Supervisor John </w:t>
      </w:r>
      <w:proofErr w:type="gramStart"/>
      <w:r w:rsidRPr="00465FB3">
        <w:rPr>
          <w:rFonts w:ascii="Times New Roman" w:hAnsi="Times New Roman"/>
          <w:bCs/>
          <w:sz w:val="24"/>
          <w:szCs w:val="24"/>
        </w:rPr>
        <w:t>Applegate (‘</w:t>
      </w:r>
      <w:proofErr w:type="gramEnd"/>
      <w:r w:rsidRPr="00465FB3">
        <w:rPr>
          <w:rFonts w:ascii="Times New Roman" w:hAnsi="Times New Roman"/>
          <w:bCs/>
          <w:sz w:val="24"/>
          <w:szCs w:val="24"/>
        </w:rPr>
        <w:t xml:space="preserve">Supervisor Applegate’) encouraged Plaintiff to go out on leave earlier than Plaintiff had planned, he told her that he would ‘save her spot’ for twelve weeks. Supervisor Applegate made the following comments to Plaintiff while she was pregnant: 1) Plaintiff's shirt looked like ‘a tent,’ 2) Plaintiff looked like she was ‘ready to pop,’ 3) Plaintiff should not work too hard because she may ‘hatch,’ and 4) Plaintiff should let him know ‘if [she] hatch[es].’ *** “[T]his Court finds that the record does not contain any evidence to support a nexus between Plaintiff's pregnancy and her suspension. The record clearly reflects, and Plaintiff repeatedly acknowledges, that she was suspended for accusing a coworker of benefiting from nepotism. Although Plaintiff baldly contended in her complaint that the proffered reason for her suspension was pretextual and baseless, she continually acknowledges that she was suspended because of her statements about Matthew not being subject to discipline due to his familial relationship with a supervisor. Because there is no nexus between Plaintiff's pregnancy and her suspension, she cannot satisfy the fourth element of her pregnancy discrimination claim. Therefore, summary judgment is granted in favor of Defendant with respect to Plaintiff's pregnancy discrimination </w:t>
      </w:r>
      <w:proofErr w:type="gramStart"/>
      <w:r w:rsidRPr="00465FB3">
        <w:rPr>
          <w:rFonts w:ascii="Times New Roman" w:hAnsi="Times New Roman"/>
          <w:bCs/>
          <w:sz w:val="24"/>
          <w:szCs w:val="24"/>
        </w:rPr>
        <w:t>claim.”</w:t>
      </w:r>
      <w:proofErr w:type="gramEnd"/>
      <w:r w:rsidRPr="00465FB3">
        <w:rPr>
          <w:rFonts w:ascii="Times New Roman" w:hAnsi="Times New Roman"/>
          <w:bCs/>
          <w:sz w:val="24"/>
          <w:szCs w:val="24"/>
        </w:rPr>
        <w:t xml:space="preserve"> </w:t>
      </w:r>
      <w:hyperlink r:id="rId1488" w:history="1">
        <w:r w:rsidRPr="00465FB3">
          <w:rPr>
            <w:rStyle w:val="Hyperlink"/>
            <w:rFonts w:ascii="Times New Roman" w:hAnsi="Times New Roman"/>
            <w:bCs/>
            <w:sz w:val="24"/>
            <w:szCs w:val="24"/>
          </w:rPr>
          <w:t>https://public.fastcase.com/Wl%2B2t%2BeVuI35%2FN70vAMFZsLQ8Zjgb2jk542DjlxpVQs5PCG3jEwwTTQV0VgsrBHY</w:t>
        </w:r>
      </w:hyperlink>
    </w:p>
    <w:p w14:paraId="2A7E9EAB" w14:textId="77777777" w:rsidR="00997329" w:rsidRPr="00465FB3" w:rsidRDefault="00997329" w:rsidP="00997329">
      <w:pPr>
        <w:pStyle w:val="NoSpacing"/>
        <w:ind w:left="720"/>
        <w:rPr>
          <w:rFonts w:ascii="Times New Roman" w:hAnsi="Times New Roman"/>
          <w:b/>
          <w:bCs/>
          <w:sz w:val="24"/>
          <w:szCs w:val="24"/>
        </w:rPr>
      </w:pPr>
    </w:p>
    <w:p w14:paraId="6870EF31"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Legal Lessons Learned:  Great quote by Court: “As the United States Supreme Court has continuously held, Title VII ‘does not set forth a general civility code for the American workplace.’ Burlington Northern &amp; Santa Fe Ry. v. White, 548 U.S. 53, 68 (2006).”</w:t>
      </w:r>
    </w:p>
    <w:p w14:paraId="1BB8AC47" w14:textId="77777777" w:rsidR="00997329" w:rsidRDefault="00997329" w:rsidP="002B1283">
      <w:pPr>
        <w:rPr>
          <w:rFonts w:ascii="Arial Black" w:hAnsi="Arial Black"/>
          <w:b/>
          <w:sz w:val="24"/>
          <w:szCs w:val="24"/>
        </w:rPr>
      </w:pPr>
    </w:p>
    <w:p w14:paraId="3F7AFB65" w14:textId="123F269A" w:rsidR="00997329" w:rsidRDefault="00997329" w:rsidP="002B1283">
      <w:pPr>
        <w:rPr>
          <w:rFonts w:ascii="Arial Black" w:hAnsi="Arial Black"/>
          <w:b/>
          <w:sz w:val="24"/>
          <w:szCs w:val="24"/>
        </w:rPr>
      </w:pPr>
      <w:r>
        <w:rPr>
          <w:rFonts w:ascii="Arial Black" w:hAnsi="Arial Black"/>
          <w:b/>
          <w:sz w:val="24"/>
          <w:szCs w:val="24"/>
        </w:rPr>
        <w:t>7-15</w:t>
      </w:r>
    </w:p>
    <w:p w14:paraId="50E4C7AE" w14:textId="77777777" w:rsidR="00997329" w:rsidRPr="00AD65BD" w:rsidRDefault="00997329" w:rsidP="00997329">
      <w:pPr>
        <w:pStyle w:val="NoSpacing"/>
        <w:rPr>
          <w:rFonts w:ascii="Arial Black" w:hAnsi="Arial Black"/>
          <w:sz w:val="28"/>
          <w:szCs w:val="28"/>
        </w:rPr>
      </w:pPr>
      <w:r w:rsidRPr="00AD65BD">
        <w:rPr>
          <w:rFonts w:ascii="Arial Black" w:hAnsi="Arial Black"/>
          <w:sz w:val="28"/>
          <w:szCs w:val="28"/>
        </w:rPr>
        <w:t xml:space="preserve">PA:  </w:t>
      </w:r>
      <w:r>
        <w:rPr>
          <w:rFonts w:ascii="Arial Black" w:hAnsi="Arial Black"/>
          <w:sz w:val="28"/>
          <w:szCs w:val="28"/>
        </w:rPr>
        <w:t xml:space="preserve">FEMALE </w:t>
      </w:r>
      <w:r w:rsidRPr="00AD65BD">
        <w:rPr>
          <w:rFonts w:ascii="Arial Black" w:hAnsi="Arial Black"/>
          <w:sz w:val="28"/>
          <w:szCs w:val="28"/>
        </w:rPr>
        <w:t xml:space="preserve">EMS INSTRUCTOR FIRED </w:t>
      </w:r>
      <w:r>
        <w:rPr>
          <w:rFonts w:ascii="Arial Black" w:hAnsi="Arial Black"/>
          <w:sz w:val="28"/>
          <w:szCs w:val="28"/>
        </w:rPr>
        <w:t xml:space="preserve">– RUDE TO </w:t>
      </w:r>
      <w:r w:rsidRPr="00AD65BD">
        <w:rPr>
          <w:rFonts w:ascii="Arial Black" w:hAnsi="Arial Black"/>
          <w:sz w:val="28"/>
          <w:szCs w:val="28"/>
        </w:rPr>
        <w:t>STUDENTS</w:t>
      </w:r>
      <w:r>
        <w:rPr>
          <w:rFonts w:ascii="Arial Black" w:hAnsi="Arial Black"/>
          <w:sz w:val="28"/>
          <w:szCs w:val="28"/>
        </w:rPr>
        <w:t xml:space="preserve"> &amp; STAFF – NOT GENDER DISCRIMINATION </w:t>
      </w:r>
    </w:p>
    <w:p w14:paraId="73CD2DDB" w14:textId="77777777" w:rsidR="00997329" w:rsidRDefault="00997329" w:rsidP="00997329">
      <w:pPr>
        <w:pStyle w:val="NoSpacing"/>
        <w:rPr>
          <w:rFonts w:ascii="EArial Black" w:hAnsi="EArial Black"/>
          <w:sz w:val="28"/>
          <w:szCs w:val="28"/>
        </w:rPr>
      </w:pPr>
    </w:p>
    <w:p w14:paraId="21652DFC" w14:textId="37ED45BA" w:rsidR="00997329" w:rsidRDefault="00997329" w:rsidP="00997329">
      <w:pPr>
        <w:pStyle w:val="NoSpacing"/>
        <w:rPr>
          <w:rFonts w:ascii="Times New Roman" w:hAnsi="Times New Roman"/>
          <w:bCs/>
          <w:sz w:val="24"/>
          <w:szCs w:val="24"/>
        </w:rPr>
      </w:pPr>
      <w:r w:rsidRPr="00465FB3">
        <w:rPr>
          <w:rFonts w:ascii="Times New Roman" w:hAnsi="Times New Roman"/>
          <w:bCs/>
          <w:sz w:val="24"/>
          <w:szCs w:val="24"/>
        </w:rPr>
        <w:t xml:space="preserve">On Feb. 26, 2020, in </w:t>
      </w:r>
      <w:r w:rsidRPr="00465FB3">
        <w:rPr>
          <w:rFonts w:ascii="Times New Roman" w:hAnsi="Times New Roman"/>
          <w:bCs/>
          <w:sz w:val="24"/>
          <w:szCs w:val="24"/>
          <w:u w:val="single"/>
        </w:rPr>
        <w:t>Kimberly Brandt v. Thomas Jefferson University Hospitals, Inc</w:t>
      </w:r>
      <w:r w:rsidRPr="00465FB3">
        <w:rPr>
          <w:rFonts w:ascii="Times New Roman" w:hAnsi="Times New Roman"/>
          <w:bCs/>
          <w:sz w:val="24"/>
          <w:szCs w:val="24"/>
        </w:rPr>
        <w:t xml:space="preserve">., U.S. District Court Judge Harvey Bartle, III, Eastern District of Pennsylvania, granted the Hospital’s motion for summary judgment.  </w:t>
      </w:r>
    </w:p>
    <w:p w14:paraId="2498BE33" w14:textId="77777777" w:rsidR="00997329" w:rsidRPr="00465FB3" w:rsidRDefault="00997329" w:rsidP="00997329">
      <w:pPr>
        <w:pStyle w:val="NoSpacing"/>
        <w:rPr>
          <w:rFonts w:ascii="Times New Roman" w:hAnsi="Times New Roman"/>
          <w:sz w:val="24"/>
          <w:szCs w:val="24"/>
        </w:rPr>
      </w:pPr>
    </w:p>
    <w:p w14:paraId="41A1E71A" w14:textId="77777777" w:rsidR="00997329" w:rsidRPr="00465FB3" w:rsidRDefault="00997329" w:rsidP="00997329">
      <w:pPr>
        <w:ind w:left="720"/>
        <w:rPr>
          <w:rFonts w:ascii="Times New Roman" w:hAnsi="Times New Roman"/>
          <w:sz w:val="24"/>
          <w:szCs w:val="24"/>
        </w:rPr>
      </w:pPr>
      <w:r w:rsidRPr="00465FB3">
        <w:rPr>
          <w:rFonts w:ascii="Times New Roman" w:eastAsia="Times New Roman" w:hAnsi="Times New Roman"/>
          <w:sz w:val="24"/>
          <w:szCs w:val="24"/>
        </w:rPr>
        <w:t xml:space="preserve">“Simply put, the undisputed facts do not suggest that Brandt's employment was terminated due to discrimination in which she was less favored than her male colleagues. By contrast, the record is filled with evidence that suggests her termination was due to her mistreatment of students and unprofessional behavior toward staff. Accordingly, the court will grant the motion of defendant for summary judgment as to Brandt's claims for gender discrimination under Title VII.” </w:t>
      </w:r>
      <w:hyperlink r:id="rId1489" w:history="1">
        <w:r w:rsidRPr="00465FB3">
          <w:rPr>
            <w:rStyle w:val="Hyperlink"/>
            <w:rFonts w:ascii="Times New Roman" w:eastAsia="Times New Roman" w:hAnsi="Times New Roman"/>
            <w:sz w:val="24"/>
            <w:szCs w:val="24"/>
          </w:rPr>
          <w:t>https://public.fastcase.com/Wl%2B2t%2BeVuI35%2FN70vAMFZlbQ%2BrzY3OsVa9hMy3HWGsXkXncgvfLlObTaYTDVckkj</w:t>
        </w:r>
      </w:hyperlink>
    </w:p>
    <w:p w14:paraId="609464D6"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Legal Lessons Learned: Prompt and thorough investigation by employer established breach of Code of Conduct.</w:t>
      </w:r>
    </w:p>
    <w:p w14:paraId="7983D08E" w14:textId="77777777" w:rsidR="00997329" w:rsidRDefault="00997329" w:rsidP="002B1283">
      <w:pPr>
        <w:rPr>
          <w:rFonts w:ascii="Arial Black" w:hAnsi="Arial Black"/>
          <w:b/>
          <w:sz w:val="24"/>
          <w:szCs w:val="24"/>
        </w:rPr>
      </w:pPr>
    </w:p>
    <w:p w14:paraId="1BE30D08" w14:textId="25E7A07E" w:rsidR="00997329" w:rsidRDefault="00997329" w:rsidP="002B1283">
      <w:pPr>
        <w:rPr>
          <w:rFonts w:ascii="Arial Black" w:hAnsi="Arial Black"/>
          <w:b/>
          <w:sz w:val="24"/>
          <w:szCs w:val="24"/>
        </w:rPr>
      </w:pPr>
      <w:r>
        <w:rPr>
          <w:rFonts w:ascii="Arial Black" w:hAnsi="Arial Black"/>
          <w:b/>
          <w:sz w:val="24"/>
          <w:szCs w:val="24"/>
        </w:rPr>
        <w:t>7-14</w:t>
      </w:r>
    </w:p>
    <w:p w14:paraId="32260AA4" w14:textId="77777777" w:rsidR="00997329" w:rsidRPr="009D2D96" w:rsidRDefault="00997329" w:rsidP="0099732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AR: PUMP BREAST MILK WHILE ON DUTY – FD SPACE “FREE FROM INTRUSION” – $3.8M JURY SET ASIDE / $250K TO SETTLE</w:t>
      </w:r>
    </w:p>
    <w:p w14:paraId="7872FDA8" w14:textId="77777777" w:rsidR="00997329" w:rsidRPr="00465FB3" w:rsidRDefault="00997329" w:rsidP="00997329">
      <w:pPr>
        <w:spacing w:before="100" w:beforeAutospacing="1" w:after="100" w:afterAutospacing="1" w:line="240" w:lineRule="auto"/>
        <w:rPr>
          <w:rFonts w:ascii="Times New Roman" w:hAnsi="Times New Roman"/>
          <w:sz w:val="24"/>
          <w:szCs w:val="24"/>
        </w:rPr>
      </w:pPr>
      <w:r w:rsidRPr="00465FB3">
        <w:rPr>
          <w:rFonts w:ascii="Times New Roman" w:eastAsia="Times New Roman" w:hAnsi="Times New Roman"/>
          <w:sz w:val="24"/>
          <w:szCs w:val="24"/>
        </w:rPr>
        <w:t xml:space="preserve">On </w:t>
      </w:r>
      <w:bookmarkStart w:id="303" w:name="_Hlk39833340"/>
      <w:r w:rsidRPr="00465FB3">
        <w:rPr>
          <w:rFonts w:ascii="Times New Roman" w:eastAsia="Times New Roman" w:hAnsi="Times New Roman"/>
          <w:sz w:val="24"/>
          <w:szCs w:val="24"/>
        </w:rPr>
        <w:t xml:space="preserve">Feb. 24, 2020, in </w:t>
      </w:r>
      <w:r w:rsidRPr="00465FB3">
        <w:rPr>
          <w:rFonts w:ascii="Times New Roman" w:eastAsia="Times New Roman" w:hAnsi="Times New Roman"/>
          <w:sz w:val="24"/>
          <w:szCs w:val="24"/>
          <w:u w:val="single"/>
        </w:rPr>
        <w:t>Carrie Ferrara Clark v. City of Tucson</w:t>
      </w:r>
      <w:bookmarkEnd w:id="303"/>
      <w:r w:rsidRPr="00465FB3">
        <w:rPr>
          <w:rFonts w:ascii="Times New Roman" w:eastAsia="Times New Roman" w:hAnsi="Times New Roman"/>
          <w:sz w:val="24"/>
          <w:szCs w:val="24"/>
        </w:rPr>
        <w:t xml:space="preserve">, U.S. District Court Judge </w:t>
      </w:r>
      <w:r w:rsidRPr="00465FB3">
        <w:rPr>
          <w:rFonts w:ascii="Times New Roman" w:hAnsi="Times New Roman"/>
          <w:sz w:val="24"/>
          <w:szCs w:val="24"/>
        </w:rPr>
        <w:t xml:space="preserve">Cindy K. Jorgenson, District Court for District of Arizona, has given plaintiff thirty days to accept $250,000, or the case must be retried to another jury. The first jury, after 10 days of trial, awarded her $3,800,000. </w:t>
      </w:r>
    </w:p>
    <w:p w14:paraId="6E7A0C31" w14:textId="77777777" w:rsidR="00997329" w:rsidRPr="00465FB3" w:rsidRDefault="00997329" w:rsidP="00997329">
      <w:pPr>
        <w:pStyle w:val="NoSpacing"/>
        <w:ind w:left="810"/>
        <w:rPr>
          <w:rFonts w:ascii="Times New Roman" w:eastAsia="Times New Roman" w:hAnsi="Times New Roman"/>
          <w:b/>
          <w:bCs/>
          <w:sz w:val="24"/>
          <w:szCs w:val="24"/>
        </w:rPr>
      </w:pPr>
      <w:r w:rsidRPr="00465FB3">
        <w:rPr>
          <w:rFonts w:ascii="Times New Roman" w:eastAsia="Times New Roman" w:hAnsi="Times New Roman"/>
          <w:bCs/>
          <w:sz w:val="24"/>
          <w:szCs w:val="24"/>
        </w:rPr>
        <w:t xml:space="preserve">“Plaintiff has been an employee of the City of Tucson Fire Department (‘TFD’) since 2007. In July 2012, Plaintiff gave birth to her first son, Austin Clark, and decided to breast feed while on maternity leave and to pump breast milk when she returned to work. Plaintiff breast fed Austin while on maternity leave and contacted her superiors at TFD to ensure she would have a proper place to pump and express breastmilk when she returned to work. Upon her return to work, Plaintiff believed that the lactation spaces she was being provided were not legally compliant and initiated the underlying lawsuit in 2014. *** </w:t>
      </w:r>
      <w:r w:rsidRPr="00465FB3">
        <w:rPr>
          <w:rFonts w:ascii="Times New Roman" w:hAnsi="Times New Roman"/>
          <w:bCs/>
          <w:sz w:val="24"/>
          <w:szCs w:val="24"/>
        </w:rPr>
        <w:t xml:space="preserve">“The Court finds Defendant's first issue regarding a grossly excessive jury verdict to be sufficient and will not address, in detail, the merits of the remaining issues…. </w:t>
      </w:r>
      <w:r w:rsidRPr="00465FB3">
        <w:rPr>
          <w:rFonts w:ascii="Times New Roman" w:eastAsia="Times New Roman" w:hAnsi="Times New Roman"/>
          <w:bCs/>
          <w:sz w:val="24"/>
          <w:szCs w:val="24"/>
        </w:rPr>
        <w:t xml:space="preserve">Defendant's Motion for Remittitur is granted in the amounts provided above [$250,000]. Plaintiff has thirty (30) days with which to accept or decline the Remittitur. </w:t>
      </w:r>
      <w:bookmarkStart w:id="304" w:name="_Hlk39833376"/>
      <w:r w:rsidR="00374417">
        <w:fldChar w:fldCharType="begin"/>
      </w:r>
      <w:r w:rsidR="00374417">
        <w:instrText xml:space="preserve"> HYPERLINK "https://public.fastcase.com/Wl%2B2t%2BeVuI35%2FN70vAMFZlyCVXNUkgR2hAftJ4kpomV7SzY2G5n3EuslwwvZyCdR" </w:instrText>
      </w:r>
      <w:r w:rsidR="00374417">
        <w:fldChar w:fldCharType="separate"/>
      </w:r>
      <w:r w:rsidRPr="00465FB3">
        <w:rPr>
          <w:rStyle w:val="Hyperlink"/>
          <w:rFonts w:ascii="Times New Roman" w:eastAsia="Times New Roman" w:hAnsi="Times New Roman"/>
          <w:bCs/>
          <w:sz w:val="24"/>
          <w:szCs w:val="24"/>
        </w:rPr>
        <w:t>https://public.fastcase.com/Wl%2B2t%2BeVuI35%2FN70vAMFZlyCVXNUkgR2hAftJ4kpomV7SzY2G5n3EuslwwvZyCdR</w:t>
      </w:r>
      <w:r w:rsidR="00374417">
        <w:rPr>
          <w:rStyle w:val="Hyperlink"/>
          <w:rFonts w:ascii="Times New Roman" w:eastAsia="Times New Roman" w:hAnsi="Times New Roman"/>
          <w:bCs/>
          <w:sz w:val="24"/>
          <w:szCs w:val="24"/>
        </w:rPr>
        <w:fldChar w:fldCharType="end"/>
      </w:r>
      <w:r w:rsidRPr="00465FB3">
        <w:rPr>
          <w:rFonts w:ascii="Times New Roman" w:eastAsia="Times New Roman" w:hAnsi="Times New Roman"/>
          <w:bCs/>
          <w:sz w:val="24"/>
          <w:szCs w:val="24"/>
        </w:rPr>
        <w:t xml:space="preserve"> </w:t>
      </w:r>
    </w:p>
    <w:bookmarkEnd w:id="304"/>
    <w:p w14:paraId="4A1CC36F" w14:textId="77777777" w:rsidR="00997329" w:rsidRDefault="00997329" w:rsidP="00997329">
      <w:pPr>
        <w:spacing w:after="100" w:line="240" w:lineRule="auto"/>
        <w:rPr>
          <w:rFonts w:ascii="Times New Roman" w:eastAsia="Times New Roman" w:hAnsi="Times New Roman"/>
          <w:b/>
          <w:bCs/>
          <w:sz w:val="24"/>
          <w:szCs w:val="24"/>
        </w:rPr>
      </w:pPr>
    </w:p>
    <w:p w14:paraId="6FD49854" w14:textId="672679D5" w:rsidR="00997329" w:rsidRPr="00465FB3" w:rsidRDefault="00997329" w:rsidP="00997329">
      <w:pPr>
        <w:spacing w:after="100"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Legal Lessons Learned: Plaintiff must now either accept the lower amount or have new trial.  Employers, including fire &amp; EMS departments must provide “a place, other than a bathroom, that is shielded from view and free from intrusion from coworkers and the public, which may be used by an employee to express breast milk.”</w:t>
      </w:r>
      <w:r w:rsidRPr="00465FB3">
        <w:rPr>
          <w:rFonts w:ascii="Times New Roman" w:eastAsia="Times New Roman" w:hAnsi="Times New Roman"/>
          <w:sz w:val="24"/>
          <w:szCs w:val="24"/>
        </w:rPr>
        <w:t xml:space="preserve"> </w:t>
      </w:r>
      <w:hyperlink r:id="rId1490" w:history="1">
        <w:r w:rsidRPr="00465FB3">
          <w:rPr>
            <w:rStyle w:val="Hyperlink"/>
            <w:rFonts w:ascii="Times New Roman" w:eastAsia="Times New Roman" w:hAnsi="Times New Roman"/>
            <w:b/>
            <w:bCs/>
            <w:sz w:val="24"/>
            <w:szCs w:val="24"/>
          </w:rPr>
          <w:t>https://www.law.cornell.edu/uscode/text/29/207</w:t>
        </w:r>
      </w:hyperlink>
      <w:r w:rsidRPr="00465FB3">
        <w:rPr>
          <w:rFonts w:ascii="Times New Roman" w:eastAsia="Times New Roman" w:hAnsi="Times New Roman"/>
          <w:b/>
          <w:bCs/>
          <w:sz w:val="24"/>
          <w:szCs w:val="24"/>
        </w:rPr>
        <w:t xml:space="preserve"> </w:t>
      </w:r>
    </w:p>
    <w:p w14:paraId="49E4BCA9" w14:textId="77777777" w:rsidR="00997329" w:rsidRDefault="00997329" w:rsidP="00997329">
      <w:pPr>
        <w:spacing w:before="100" w:beforeAutospacing="1" w:after="100" w:afterAutospacing="1" w:line="240" w:lineRule="auto"/>
        <w:rPr>
          <w:rFonts w:ascii="Times New Roman" w:eastAsia="Times New Roman" w:hAnsi="Times New Roman"/>
          <w:sz w:val="24"/>
          <w:szCs w:val="24"/>
        </w:rPr>
      </w:pPr>
      <w:r w:rsidRPr="009D2D96">
        <w:rPr>
          <w:rFonts w:ascii="Times New Roman" w:eastAsia="Times New Roman" w:hAnsi="Times New Roman"/>
          <w:sz w:val="24"/>
          <w:szCs w:val="24"/>
        </w:rPr>
        <w:t xml:space="preserve">         </w:t>
      </w:r>
    </w:p>
    <w:p w14:paraId="5B329EDF" w14:textId="77777777"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p>
    <w:p w14:paraId="093F66BC" w14:textId="77777777" w:rsidR="00997329" w:rsidRDefault="00997329" w:rsidP="002B1283">
      <w:pPr>
        <w:rPr>
          <w:rFonts w:ascii="Arial Black" w:hAnsi="Arial Black"/>
          <w:b/>
          <w:sz w:val="24"/>
          <w:szCs w:val="24"/>
        </w:rPr>
      </w:pPr>
    </w:p>
    <w:p w14:paraId="3C7A129D" w14:textId="77777777" w:rsidR="00997329" w:rsidRDefault="00997329" w:rsidP="002B1283">
      <w:pPr>
        <w:rPr>
          <w:rFonts w:ascii="Arial Black" w:hAnsi="Arial Black"/>
          <w:b/>
          <w:sz w:val="24"/>
          <w:szCs w:val="24"/>
        </w:rPr>
      </w:pPr>
    </w:p>
    <w:p w14:paraId="71AD3712" w14:textId="7077BC27" w:rsidR="00177094" w:rsidRDefault="00177094" w:rsidP="002B1283">
      <w:pPr>
        <w:rPr>
          <w:rFonts w:ascii="Arial Black" w:hAnsi="Arial Black"/>
          <w:b/>
          <w:sz w:val="24"/>
          <w:szCs w:val="24"/>
        </w:rPr>
      </w:pPr>
      <w:r>
        <w:rPr>
          <w:rFonts w:ascii="Arial Black" w:hAnsi="Arial Black"/>
          <w:b/>
          <w:sz w:val="24"/>
          <w:szCs w:val="24"/>
        </w:rPr>
        <w:t>7-13</w:t>
      </w:r>
    </w:p>
    <w:p w14:paraId="5D1D0499" w14:textId="77777777" w:rsidR="00177094" w:rsidRDefault="00177094" w:rsidP="00177094">
      <w:pPr>
        <w:pStyle w:val="NoSpacing"/>
        <w:rPr>
          <w:rFonts w:ascii="Arial Black" w:hAnsi="Arial Black"/>
          <w:b/>
          <w:bCs/>
          <w:sz w:val="28"/>
          <w:szCs w:val="28"/>
        </w:rPr>
      </w:pPr>
      <w:bookmarkStart w:id="305" w:name="_Hlk39764858"/>
      <w:r w:rsidRPr="00DE67AC">
        <w:rPr>
          <w:rFonts w:ascii="Arial Black" w:hAnsi="Arial Black"/>
          <w:bCs/>
          <w:sz w:val="28"/>
          <w:szCs w:val="28"/>
        </w:rPr>
        <w:t>GA:</w:t>
      </w:r>
      <w:r>
        <w:rPr>
          <w:rFonts w:ascii="Arial Black" w:hAnsi="Arial Black"/>
          <w:bCs/>
          <w:sz w:val="28"/>
          <w:szCs w:val="28"/>
        </w:rPr>
        <w:t xml:space="preserve"> PRIVATE AMBULANCE – MGR’S OCCASIONAL SEXUAL COMMENTS EMT - WORKED OUT TOGETHER – LAWSUIT DISMISSED</w:t>
      </w:r>
    </w:p>
    <w:p w14:paraId="3D46519A" w14:textId="77777777" w:rsidR="00177094" w:rsidRDefault="00177094" w:rsidP="00177094">
      <w:pPr>
        <w:pStyle w:val="NoSpacing"/>
        <w:rPr>
          <w:rFonts w:ascii="Arial Black" w:hAnsi="Arial Black"/>
          <w:b/>
          <w:bCs/>
          <w:sz w:val="28"/>
          <w:szCs w:val="28"/>
        </w:rPr>
      </w:pPr>
    </w:p>
    <w:p w14:paraId="4DB549A0" w14:textId="6267FF80"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Jan. 16, 2020, in </w:t>
      </w:r>
      <w:proofErr w:type="spellStart"/>
      <w:r w:rsidRPr="004236BE">
        <w:rPr>
          <w:rFonts w:ascii="Times New Roman" w:hAnsi="Times New Roman"/>
          <w:bCs/>
          <w:sz w:val="24"/>
          <w:szCs w:val="24"/>
          <w:u w:val="single"/>
        </w:rPr>
        <w:t>D’Marius</w:t>
      </w:r>
      <w:proofErr w:type="spellEnd"/>
      <w:r w:rsidRPr="004236BE">
        <w:rPr>
          <w:rFonts w:ascii="Times New Roman" w:hAnsi="Times New Roman"/>
          <w:bCs/>
          <w:sz w:val="24"/>
          <w:szCs w:val="24"/>
          <w:u w:val="single"/>
        </w:rPr>
        <w:t xml:space="preserve"> Allen v. </w:t>
      </w:r>
      <w:proofErr w:type="spellStart"/>
      <w:r w:rsidRPr="004236BE">
        <w:rPr>
          <w:rFonts w:ascii="Times New Roman" w:hAnsi="Times New Roman"/>
          <w:bCs/>
          <w:sz w:val="24"/>
          <w:szCs w:val="24"/>
          <w:u w:val="single"/>
        </w:rPr>
        <w:t>AmbuiStat</w:t>
      </w:r>
      <w:proofErr w:type="spellEnd"/>
      <w:r w:rsidRPr="004236BE">
        <w:rPr>
          <w:rFonts w:ascii="Times New Roman" w:hAnsi="Times New Roman"/>
          <w:bCs/>
          <w:sz w:val="24"/>
          <w:szCs w:val="24"/>
          <w:u w:val="single"/>
        </w:rPr>
        <w:t>, LLC</w:t>
      </w:r>
      <w:r w:rsidRPr="004236BE">
        <w:rPr>
          <w:rFonts w:ascii="Times New Roman" w:hAnsi="Times New Roman"/>
          <w:bCs/>
          <w:sz w:val="24"/>
          <w:szCs w:val="24"/>
        </w:rPr>
        <w:t>, the U.S. Court of Appeals for the 11</w:t>
      </w:r>
      <w:r w:rsidRPr="004236BE">
        <w:rPr>
          <w:rFonts w:ascii="Times New Roman" w:hAnsi="Times New Roman"/>
          <w:bCs/>
          <w:sz w:val="24"/>
          <w:szCs w:val="24"/>
          <w:vertAlign w:val="superscript"/>
        </w:rPr>
        <w:t>th</w:t>
      </w:r>
      <w:r w:rsidRPr="004236BE">
        <w:rPr>
          <w:rFonts w:ascii="Times New Roman" w:hAnsi="Times New Roman"/>
          <w:bCs/>
          <w:sz w:val="24"/>
          <w:szCs w:val="24"/>
        </w:rPr>
        <w:t xml:space="preserve"> Circuit (Atlanta)</w:t>
      </w:r>
      <w:r w:rsidR="00A84C9A">
        <w:rPr>
          <w:rFonts w:ascii="Times New Roman" w:hAnsi="Times New Roman"/>
          <w:bCs/>
          <w:sz w:val="24"/>
          <w:szCs w:val="24"/>
        </w:rPr>
        <w:t xml:space="preserve">, in unpublished decision, </w:t>
      </w:r>
      <w:r w:rsidRPr="004236BE">
        <w:rPr>
          <w:rFonts w:ascii="Times New Roman" w:hAnsi="Times New Roman"/>
          <w:bCs/>
          <w:sz w:val="24"/>
          <w:szCs w:val="24"/>
        </w:rPr>
        <w:t xml:space="preserve">upheld the U.S. District Court’s grant of summary judgment for the private ambulance company. </w:t>
      </w:r>
    </w:p>
    <w:p w14:paraId="3ED6604F" w14:textId="77777777" w:rsidR="00177094" w:rsidRPr="004236BE" w:rsidRDefault="00177094" w:rsidP="00177094">
      <w:pPr>
        <w:pStyle w:val="NoSpacing"/>
        <w:rPr>
          <w:rFonts w:ascii="Times New Roman" w:hAnsi="Times New Roman"/>
          <w:b/>
          <w:bCs/>
          <w:sz w:val="24"/>
          <w:szCs w:val="24"/>
        </w:rPr>
      </w:pPr>
    </w:p>
    <w:p w14:paraId="6D79E521" w14:textId="09BBAA13" w:rsidR="00177094" w:rsidRPr="004236BE" w:rsidRDefault="00177094" w:rsidP="00177094">
      <w:pPr>
        <w:pStyle w:val="NoSpacing"/>
        <w:ind w:left="720"/>
        <w:rPr>
          <w:rFonts w:ascii="Times New Roman" w:eastAsia="Times New Roman" w:hAnsi="Times New Roman"/>
          <w:b/>
          <w:bCs/>
          <w:sz w:val="24"/>
          <w:szCs w:val="24"/>
        </w:rPr>
      </w:pPr>
      <w:r w:rsidRPr="004236BE">
        <w:rPr>
          <w:rFonts w:ascii="Times New Roman" w:hAnsi="Times New Roman"/>
          <w:bCs/>
          <w:sz w:val="24"/>
          <w:szCs w:val="24"/>
        </w:rPr>
        <w:t xml:space="preserve">“At issue in this case is the fourth element -- whether the harassment was severe or pervasive. As we have </w:t>
      </w:r>
      <w:proofErr w:type="gramStart"/>
      <w:r w:rsidRPr="004236BE">
        <w:rPr>
          <w:rFonts w:ascii="Times New Roman" w:hAnsi="Times New Roman"/>
          <w:bCs/>
          <w:sz w:val="24"/>
          <w:szCs w:val="24"/>
        </w:rPr>
        <w:t>explained, ‘</w:t>
      </w:r>
      <w:proofErr w:type="gramEnd"/>
      <w:r w:rsidRPr="004236BE">
        <w:rPr>
          <w:rFonts w:ascii="Times New Roman" w:hAnsi="Times New Roman"/>
          <w:bCs/>
          <w:sz w:val="24"/>
          <w:szCs w:val="24"/>
        </w:rPr>
        <w:t xml:space="preserve">Title VII is not a civility code, and not all profane or sexual language or conduct will constitute discrimination in the terms and conditions of employment.’ *** Here, Allen points to five isolated comments. These sporadic comments, spread over four months, can hardly be described as </w:t>
      </w:r>
      <w:proofErr w:type="gramStart"/>
      <w:r w:rsidRPr="004236BE">
        <w:rPr>
          <w:rFonts w:ascii="Times New Roman" w:hAnsi="Times New Roman"/>
          <w:bCs/>
          <w:sz w:val="24"/>
          <w:szCs w:val="24"/>
        </w:rPr>
        <w:t>frequent</w:t>
      </w:r>
      <w:proofErr w:type="gramEnd"/>
      <w:r w:rsidRPr="004236BE">
        <w:rPr>
          <w:rFonts w:ascii="Times New Roman" w:hAnsi="Times New Roman"/>
          <w:bCs/>
          <w:sz w:val="24"/>
          <w:szCs w:val="24"/>
        </w:rPr>
        <w:t xml:space="preserve">. Further, the comments appear to have been said in a joking manner, and in the overarching context of Allen being friendly with Santos (or working out together in a gym). Indeed, Allen admitted she was ‘friends outside of work’ with Santos and Rita. </w:t>
      </w:r>
      <w:r w:rsidR="00DB482B">
        <w:rPr>
          <w:rFonts w:ascii="Times New Roman" w:hAnsi="Times New Roman"/>
          <w:bCs/>
          <w:sz w:val="24"/>
          <w:szCs w:val="24"/>
        </w:rPr>
        <w:t xml:space="preserve">*** </w:t>
      </w:r>
      <w:r>
        <w:rPr>
          <w:rFonts w:ascii="Times New Roman" w:hAnsi="Times New Roman"/>
          <w:bCs/>
          <w:sz w:val="24"/>
          <w:szCs w:val="24"/>
        </w:rPr>
        <w:t>I</w:t>
      </w:r>
      <w:r w:rsidRPr="004236BE">
        <w:rPr>
          <w:rFonts w:ascii="Times New Roman" w:hAnsi="Times New Roman"/>
          <w:bCs/>
          <w:sz w:val="24"/>
          <w:szCs w:val="24"/>
        </w:rPr>
        <w:t xml:space="preserve">n short, </w:t>
      </w:r>
      <w:proofErr w:type="gramStart"/>
      <w:r w:rsidRPr="004236BE">
        <w:rPr>
          <w:rFonts w:ascii="Times New Roman" w:hAnsi="Times New Roman"/>
          <w:bCs/>
          <w:sz w:val="24"/>
          <w:szCs w:val="24"/>
        </w:rPr>
        <w:t>Allen’s pervasiveness</w:t>
      </w:r>
      <w:proofErr w:type="gramEnd"/>
      <w:r w:rsidRPr="004236BE">
        <w:rPr>
          <w:rFonts w:ascii="Times New Roman" w:hAnsi="Times New Roman"/>
          <w:bCs/>
          <w:sz w:val="24"/>
          <w:szCs w:val="24"/>
        </w:rPr>
        <w:t xml:space="preserve"> argument fails to </w:t>
      </w:r>
      <w:proofErr w:type="gramStart"/>
      <w:r w:rsidRPr="004236BE">
        <w:rPr>
          <w:rFonts w:ascii="Times New Roman" w:hAnsi="Times New Roman"/>
          <w:bCs/>
          <w:sz w:val="24"/>
          <w:szCs w:val="24"/>
        </w:rPr>
        <w:t>pass</w:t>
      </w:r>
      <w:proofErr w:type="gramEnd"/>
      <w:r w:rsidRPr="004236BE">
        <w:rPr>
          <w:rFonts w:ascii="Times New Roman" w:hAnsi="Times New Roman"/>
          <w:bCs/>
          <w:sz w:val="24"/>
          <w:szCs w:val="24"/>
        </w:rPr>
        <w:t xml:space="preserve"> muster. Plainly, Santos engaged in unsavory and unpleasant conduct. However, as we have emphasized, this type of boorish behavior, with this kind of frequency, is insufficient to constitute pervasiveness for a sexual harassment action under Title VII. After reviewing Allen’s </w:t>
      </w:r>
      <w:proofErr w:type="gramStart"/>
      <w:r w:rsidRPr="004236BE">
        <w:rPr>
          <w:rFonts w:ascii="Times New Roman" w:hAnsi="Times New Roman"/>
          <w:bCs/>
          <w:sz w:val="24"/>
          <w:szCs w:val="24"/>
        </w:rPr>
        <w:t>claims, and</w:t>
      </w:r>
      <w:proofErr w:type="gramEnd"/>
      <w:r w:rsidRPr="004236BE">
        <w:rPr>
          <w:rFonts w:ascii="Times New Roman" w:hAnsi="Times New Roman"/>
          <w:bCs/>
          <w:sz w:val="24"/>
          <w:szCs w:val="24"/>
        </w:rPr>
        <w:t xml:space="preserve"> comparing them against those in which this Court has rejected claims of pervasive harassment, we are required to come to the same </w:t>
      </w:r>
      <w:proofErr w:type="gramStart"/>
      <w:r w:rsidRPr="004236BE">
        <w:rPr>
          <w:rFonts w:ascii="Times New Roman" w:hAnsi="Times New Roman"/>
          <w:bCs/>
          <w:sz w:val="24"/>
          <w:szCs w:val="24"/>
        </w:rPr>
        <w:t>conclusion.</w:t>
      </w:r>
      <w:r w:rsidRPr="004236BE">
        <w:rPr>
          <w:rFonts w:ascii="Times New Roman" w:eastAsia="Times New Roman" w:hAnsi="Times New Roman"/>
          <w:bCs/>
          <w:sz w:val="24"/>
          <w:szCs w:val="24"/>
        </w:rPr>
        <w:t>”</w:t>
      </w:r>
      <w:proofErr w:type="gramEnd"/>
      <w:r w:rsidR="00DB482B">
        <w:rPr>
          <w:rFonts w:ascii="Times New Roman" w:eastAsia="Times New Roman" w:hAnsi="Times New Roman"/>
          <w:bCs/>
          <w:sz w:val="24"/>
          <w:szCs w:val="24"/>
        </w:rPr>
        <w:t xml:space="preserve"> </w:t>
      </w:r>
      <w:hyperlink r:id="rId1491" w:history="1">
        <w:r w:rsidR="00DB482B" w:rsidRPr="007B75B7">
          <w:rPr>
            <w:rStyle w:val="Hyperlink"/>
            <w:rFonts w:ascii="Times New Roman" w:eastAsia="Times New Roman" w:hAnsi="Times New Roman"/>
            <w:bCs/>
            <w:sz w:val="24"/>
            <w:szCs w:val="24"/>
          </w:rPr>
          <w:t>http://media.ca11.uscourts.gov/opinions/unpub/files/201810640.pdf</w:t>
        </w:r>
      </w:hyperlink>
      <w:r w:rsidR="00DB482B">
        <w:rPr>
          <w:rFonts w:ascii="Times New Roman" w:eastAsia="Times New Roman" w:hAnsi="Times New Roman"/>
          <w:bCs/>
          <w:sz w:val="24"/>
          <w:szCs w:val="24"/>
        </w:rPr>
        <w:t xml:space="preserve"> </w:t>
      </w:r>
    </w:p>
    <w:bookmarkEnd w:id="305"/>
    <w:p w14:paraId="7B1C78F8" w14:textId="77777777" w:rsidR="00177094" w:rsidRDefault="00177094" w:rsidP="00177094">
      <w:pPr>
        <w:pStyle w:val="NoSpacing"/>
        <w:tabs>
          <w:tab w:val="left" w:pos="2860"/>
        </w:tabs>
        <w:rPr>
          <w:rFonts w:ascii="Times New Roman" w:hAnsi="Times New Roman"/>
          <w:b/>
          <w:bCs/>
          <w:sz w:val="24"/>
          <w:szCs w:val="24"/>
        </w:rPr>
      </w:pPr>
    </w:p>
    <w:p w14:paraId="669BB3F2" w14:textId="7C664971" w:rsidR="00177094" w:rsidRPr="004236BE" w:rsidRDefault="00177094" w:rsidP="00177094">
      <w:pPr>
        <w:pStyle w:val="NoSpacing"/>
        <w:tabs>
          <w:tab w:val="left" w:pos="2860"/>
        </w:tabs>
        <w:rPr>
          <w:rFonts w:ascii="Times New Roman" w:hAnsi="Times New Roman"/>
          <w:b/>
          <w:bCs/>
          <w:sz w:val="24"/>
          <w:szCs w:val="24"/>
        </w:rPr>
      </w:pPr>
      <w:bookmarkStart w:id="306" w:name="_Hlk40511078"/>
      <w:r w:rsidRPr="004236BE">
        <w:rPr>
          <w:rFonts w:ascii="Times New Roman" w:hAnsi="Times New Roman"/>
          <w:b/>
          <w:bCs/>
          <w:sz w:val="24"/>
          <w:szCs w:val="24"/>
        </w:rPr>
        <w:t xml:space="preserve">Legal Lessons Learned: The manager’s comments to the EMT were clearly inappropriate; if the EMT did not admit to being “friends” and working out together, this lawsuit might have proceeded to trial. </w:t>
      </w:r>
    </w:p>
    <w:bookmarkEnd w:id="306"/>
    <w:p w14:paraId="4A3E8FBC" w14:textId="77777777" w:rsidR="00177094" w:rsidRDefault="00177094" w:rsidP="002B1283">
      <w:pPr>
        <w:rPr>
          <w:rFonts w:ascii="Arial Black" w:hAnsi="Arial Black"/>
          <w:b/>
          <w:sz w:val="24"/>
          <w:szCs w:val="24"/>
        </w:rPr>
      </w:pPr>
    </w:p>
    <w:p w14:paraId="6CB0E8B3" w14:textId="3B86463F" w:rsidR="00177094" w:rsidRDefault="00177094" w:rsidP="002B1283">
      <w:pPr>
        <w:rPr>
          <w:rFonts w:ascii="Arial Black" w:hAnsi="Arial Black"/>
          <w:b/>
          <w:sz w:val="24"/>
          <w:szCs w:val="24"/>
        </w:rPr>
      </w:pPr>
      <w:r>
        <w:rPr>
          <w:rFonts w:ascii="Arial Black" w:hAnsi="Arial Black"/>
          <w:b/>
          <w:sz w:val="24"/>
          <w:szCs w:val="24"/>
        </w:rPr>
        <w:t>7-12</w:t>
      </w:r>
    </w:p>
    <w:p w14:paraId="47E5C330" w14:textId="77777777" w:rsidR="00177094" w:rsidRPr="0066064E" w:rsidRDefault="00177094" w:rsidP="00177094">
      <w:pPr>
        <w:pStyle w:val="NoSpacing"/>
        <w:rPr>
          <w:rFonts w:ascii="Arial Black" w:hAnsi="Arial Black" w:cs="Arial"/>
          <w:sz w:val="28"/>
          <w:szCs w:val="28"/>
        </w:rPr>
      </w:pPr>
      <w:r w:rsidRPr="0066064E">
        <w:rPr>
          <w:rFonts w:ascii="Arial Black" w:hAnsi="Arial Black" w:cs="Arial"/>
          <w:sz w:val="28"/>
          <w:szCs w:val="28"/>
        </w:rPr>
        <w:t xml:space="preserve">KS: </w:t>
      </w:r>
      <w:r>
        <w:rPr>
          <w:rFonts w:ascii="Arial Black" w:hAnsi="Arial Black" w:cs="Arial"/>
          <w:sz w:val="28"/>
          <w:szCs w:val="28"/>
        </w:rPr>
        <w:t xml:space="preserve">FEMALE </w:t>
      </w:r>
      <w:r w:rsidRPr="0066064E">
        <w:rPr>
          <w:rFonts w:ascii="Arial Black" w:hAnsi="Arial Black" w:cs="Arial"/>
          <w:sz w:val="28"/>
          <w:szCs w:val="28"/>
        </w:rPr>
        <w:t>FIRE INSPECTOR</w:t>
      </w:r>
      <w:r>
        <w:rPr>
          <w:rFonts w:ascii="Arial Black" w:hAnsi="Arial Black" w:cs="Arial"/>
          <w:sz w:val="28"/>
          <w:szCs w:val="28"/>
        </w:rPr>
        <w:t xml:space="preserve"> - NEW SCBAs / EXCUSED FROM SCBA TRAINING – RESIGNED - NOT HOSTILE WORKPLACE</w:t>
      </w:r>
    </w:p>
    <w:p w14:paraId="547DF083" w14:textId="77777777" w:rsidR="00177094" w:rsidRPr="0066064E" w:rsidRDefault="00177094" w:rsidP="00177094">
      <w:pPr>
        <w:pStyle w:val="NoSpacing"/>
        <w:rPr>
          <w:b/>
          <w:bCs/>
          <w:sz w:val="24"/>
          <w:szCs w:val="24"/>
        </w:rPr>
      </w:pPr>
    </w:p>
    <w:p w14:paraId="7E80B6E4"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w:t>
      </w:r>
      <w:bookmarkStart w:id="307" w:name="_Hlk39833617"/>
      <w:r w:rsidRPr="004236BE">
        <w:rPr>
          <w:rFonts w:ascii="Times New Roman" w:hAnsi="Times New Roman"/>
          <w:bCs/>
          <w:sz w:val="24"/>
          <w:szCs w:val="24"/>
        </w:rPr>
        <w:t xml:space="preserve">Jan. 14, 2020, in </w:t>
      </w:r>
      <w:r w:rsidRPr="004236BE">
        <w:rPr>
          <w:rFonts w:ascii="Times New Roman" w:hAnsi="Times New Roman"/>
          <w:bCs/>
          <w:sz w:val="24"/>
          <w:szCs w:val="24"/>
          <w:u w:val="single"/>
        </w:rPr>
        <w:t>Amy Bermudez v. City of Topeka, Kansas</w:t>
      </w:r>
      <w:bookmarkEnd w:id="307"/>
      <w:r w:rsidRPr="004236BE">
        <w:rPr>
          <w:rFonts w:ascii="Times New Roman" w:hAnsi="Times New Roman"/>
          <w:bCs/>
          <w:sz w:val="24"/>
          <w:szCs w:val="24"/>
        </w:rPr>
        <w:t xml:space="preserve">, U.S. District Court Judge Holly L. Teeter, U.S. District Court for the District of Kansas, granted the City’s motion for summary judgment and dismissed the lawsuit. </w:t>
      </w:r>
    </w:p>
    <w:p w14:paraId="2AF538D9" w14:textId="77777777" w:rsidR="00177094" w:rsidRPr="004236BE" w:rsidRDefault="00177094" w:rsidP="00177094">
      <w:pPr>
        <w:pStyle w:val="NoSpacing"/>
        <w:rPr>
          <w:rFonts w:ascii="Times New Roman" w:hAnsi="Times New Roman"/>
          <w:b/>
          <w:bCs/>
          <w:sz w:val="24"/>
          <w:szCs w:val="24"/>
        </w:rPr>
      </w:pPr>
    </w:p>
    <w:p w14:paraId="1C92A597"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“The Airpack training incident involved Bermudez asking to be excused from the confidence course, the training chief excusing her, and someone else then making some mild comments to Conway [another female Inspector who didn’t take curse].  Within a week or two, the TFD Twitter account posted a picture of Martin [Fire Marshal; plaintiff’s supervisor] with the caption, ‘No one is immune from training.’ But the tweet featured Martin and did not mention Bermudez. The Court finds that this conduct, even when considered collectively, is not sufficiently severe or pervasive that it would dissuade a reasonable worker from engaging in protected activity…. Both incidents were very </w:t>
      </w:r>
      <w:proofErr w:type="gramStart"/>
      <w:r w:rsidRPr="004236BE">
        <w:rPr>
          <w:rFonts w:ascii="Times New Roman" w:hAnsi="Times New Roman"/>
          <w:bCs/>
          <w:sz w:val="24"/>
          <w:szCs w:val="24"/>
        </w:rPr>
        <w:t>tame</w:t>
      </w:r>
      <w:proofErr w:type="gramEnd"/>
      <w:r w:rsidRPr="004236BE">
        <w:rPr>
          <w:rFonts w:ascii="Times New Roman" w:hAnsi="Times New Roman"/>
          <w:bCs/>
          <w:sz w:val="24"/>
          <w:szCs w:val="24"/>
        </w:rPr>
        <w:t xml:space="preserve"> and neither </w:t>
      </w:r>
      <w:proofErr w:type="gramStart"/>
      <w:r w:rsidRPr="004236BE">
        <w:rPr>
          <w:rFonts w:ascii="Times New Roman" w:hAnsi="Times New Roman"/>
          <w:bCs/>
          <w:sz w:val="24"/>
          <w:szCs w:val="24"/>
        </w:rPr>
        <w:t>was even</w:t>
      </w:r>
      <w:proofErr w:type="gramEnd"/>
      <w:r w:rsidRPr="004236BE">
        <w:rPr>
          <w:rFonts w:ascii="Times New Roman" w:hAnsi="Times New Roman"/>
          <w:bCs/>
          <w:sz w:val="24"/>
          <w:szCs w:val="24"/>
        </w:rPr>
        <w:t xml:space="preserve"> outwardly directed at Bermudez. A remark that someone should do firefighter training to consider themselves a fire inspector and then tweeting that no one is immune from training is, at worst, rude or mildly passive aggressive. But it does not objectively rise to the level of conduct that would dissuade a reasonable employee from engaging in protected conduct….   It is well established that Title VII is not ‘a general civility code for the American workplace.’ Burlington N. &amp; Santa Fe Ry. Co. v. White, 548 U.S. 53, 68 (2006) (quoting Oncale v. Sundowner Offshore Servs., Inc., 523 U.S. 75, 80 (1998)). Nor is it the Court’s role ‘to mandate </w:t>
      </w:r>
      <w:proofErr w:type="gramStart"/>
      <w:r w:rsidRPr="004236BE">
        <w:rPr>
          <w:rFonts w:ascii="Times New Roman" w:hAnsi="Times New Roman"/>
          <w:bCs/>
          <w:sz w:val="24"/>
          <w:szCs w:val="24"/>
        </w:rPr>
        <w:t>that certain</w:t>
      </w:r>
      <w:proofErr w:type="gramEnd"/>
      <w:r w:rsidRPr="004236BE">
        <w:rPr>
          <w:rFonts w:ascii="Times New Roman" w:hAnsi="Times New Roman"/>
          <w:bCs/>
          <w:sz w:val="24"/>
          <w:szCs w:val="24"/>
        </w:rPr>
        <w:t xml:space="preserve"> individuals work on their interpersonal skills and cease engaging in inter-departmental personality conflicts.’ Somoza v. Univ. of Denver, 513 F.3d 1206, 1218 (10th Cir. 2008). </w:t>
      </w:r>
      <w:bookmarkStart w:id="308" w:name="_Hlk39833594"/>
      <w:r w:rsidR="00374417">
        <w:fldChar w:fldCharType="begin"/>
      </w:r>
      <w:r w:rsidR="00374417">
        <w:instrText xml:space="preserve"> HYPERLINK "https://ecf.ksd.uscourts.gov/cgi-bin/show_public_doc?2018cv4141-61" </w:instrText>
      </w:r>
      <w:r w:rsidR="00374417">
        <w:fldChar w:fldCharType="separate"/>
      </w:r>
      <w:r w:rsidRPr="004236BE">
        <w:rPr>
          <w:rStyle w:val="Hyperlink"/>
          <w:rFonts w:ascii="Times New Roman" w:hAnsi="Times New Roman"/>
          <w:b/>
          <w:sz w:val="24"/>
          <w:szCs w:val="24"/>
        </w:rPr>
        <w:t>https://ecf.ksd.uscourts.gov/cgi-bin/show_public_doc?2018cv4141-61</w:t>
      </w:r>
      <w:r w:rsidR="00374417">
        <w:rPr>
          <w:rStyle w:val="Hyperlink"/>
          <w:rFonts w:ascii="Times New Roman" w:hAnsi="Times New Roman"/>
          <w:b/>
          <w:sz w:val="24"/>
          <w:szCs w:val="24"/>
        </w:rPr>
        <w:fldChar w:fldCharType="end"/>
      </w:r>
      <w:r w:rsidRPr="004236BE">
        <w:rPr>
          <w:rFonts w:ascii="Times New Roman" w:hAnsi="Times New Roman"/>
          <w:bCs/>
          <w:sz w:val="24"/>
          <w:szCs w:val="24"/>
        </w:rPr>
        <w:t xml:space="preserve"> </w:t>
      </w:r>
    </w:p>
    <w:bookmarkEnd w:id="308"/>
    <w:p w14:paraId="635CF095" w14:textId="00623B0D" w:rsidR="00177094" w:rsidRDefault="00177094" w:rsidP="002B1283">
      <w:pPr>
        <w:rPr>
          <w:rFonts w:ascii="Arial Black" w:hAnsi="Arial Black"/>
          <w:b/>
          <w:sz w:val="24"/>
          <w:szCs w:val="24"/>
        </w:rPr>
      </w:pPr>
    </w:p>
    <w:p w14:paraId="53801CB1" w14:textId="74D98A44" w:rsidR="00177094" w:rsidRDefault="00177094" w:rsidP="002B1283">
      <w:pPr>
        <w:rPr>
          <w:rFonts w:ascii="Arial Black" w:hAnsi="Arial Black"/>
          <w:b/>
          <w:sz w:val="24"/>
          <w:szCs w:val="24"/>
        </w:rPr>
      </w:pPr>
      <w:r w:rsidRPr="004236BE">
        <w:rPr>
          <w:rFonts w:ascii="Times New Roman" w:hAnsi="Times New Roman"/>
          <w:b/>
          <w:bCs/>
          <w:sz w:val="24"/>
          <w:szCs w:val="24"/>
        </w:rPr>
        <w:t>Legal Lessons Learned:  Plaintiff failed to prove that no “reasonable person” in her position would have felt compelled to resign.</w:t>
      </w:r>
      <w:r w:rsidRPr="004236BE">
        <w:rPr>
          <w:rFonts w:ascii="Times New Roman" w:hAnsi="Times New Roman"/>
          <w:sz w:val="24"/>
          <w:szCs w:val="24"/>
        </w:rPr>
        <w:t xml:space="preserve">  See article on this decision: </w:t>
      </w:r>
      <w:bookmarkStart w:id="309" w:name="_Hlk39833529"/>
      <w:r w:rsidRPr="004236BE">
        <w:rPr>
          <w:rFonts w:ascii="Times New Roman" w:hAnsi="Times New Roman"/>
          <w:sz w:val="24"/>
          <w:szCs w:val="24"/>
        </w:rPr>
        <w:t>“Former Kan. fire inspector loses discrimination lawsuit,” Jan. 21, 2020,</w:t>
      </w:r>
      <w:r w:rsidRPr="004236BE">
        <w:rPr>
          <w:rFonts w:ascii="Times New Roman" w:hAnsi="Times New Roman"/>
          <w:bCs/>
          <w:sz w:val="24"/>
          <w:szCs w:val="24"/>
        </w:rPr>
        <w:t xml:space="preserve"> </w:t>
      </w:r>
      <w:hyperlink r:id="rId1492" w:history="1">
        <w:r w:rsidRPr="004236BE">
          <w:rPr>
            <w:rStyle w:val="Hyperlink"/>
            <w:rFonts w:ascii="Times New Roman" w:hAnsi="Times New Roman"/>
            <w:sz w:val="24"/>
            <w:szCs w:val="24"/>
          </w:rPr>
          <w:t>https://www.firerescue1.com/lawsuit/articles/former-kan-fire-inspector-loses-discrimination-lawsuit-7znPnJr96hoozkWc/?utm_source=FireRescue1+Member+Newsletter&amp;utm_campaign=c8726896e1-EMAIL_CAMPAIGN_2020_01_21_07_39&amp;utm_medium=email&amp;utm_term=0_758bdbeffe-c8726896e1-41607823</w:t>
        </w:r>
      </w:hyperlink>
      <w:bookmarkEnd w:id="309"/>
    </w:p>
    <w:p w14:paraId="313DB91E" w14:textId="77777777" w:rsidR="00177094" w:rsidRDefault="00177094" w:rsidP="002B1283">
      <w:pPr>
        <w:rPr>
          <w:rFonts w:ascii="Arial Black" w:hAnsi="Arial Black"/>
          <w:b/>
          <w:sz w:val="24"/>
          <w:szCs w:val="24"/>
        </w:rPr>
      </w:pPr>
    </w:p>
    <w:p w14:paraId="459FBCAF" w14:textId="647681AC" w:rsidR="00177094" w:rsidRDefault="00177094" w:rsidP="002B1283">
      <w:pPr>
        <w:rPr>
          <w:rFonts w:ascii="Arial Black" w:hAnsi="Arial Black"/>
          <w:b/>
          <w:sz w:val="24"/>
          <w:szCs w:val="24"/>
        </w:rPr>
      </w:pPr>
      <w:r>
        <w:rPr>
          <w:rFonts w:ascii="Arial Black" w:hAnsi="Arial Black"/>
          <w:b/>
          <w:sz w:val="24"/>
          <w:szCs w:val="24"/>
        </w:rPr>
        <w:t>7-11</w:t>
      </w:r>
    </w:p>
    <w:p w14:paraId="4112A0BA" w14:textId="77777777" w:rsidR="00177094" w:rsidRPr="005E0291" w:rsidRDefault="00177094" w:rsidP="00177094">
      <w:pPr>
        <w:spacing w:before="100" w:beforeAutospacing="1" w:after="100" w:afterAutospacing="1"/>
        <w:rPr>
          <w:rFonts w:ascii="Arial Black" w:eastAsia="Times New Roman" w:hAnsi="Arial Black"/>
          <w:bCs/>
          <w:sz w:val="28"/>
          <w:szCs w:val="28"/>
        </w:rPr>
      </w:pPr>
      <w:r w:rsidRPr="005E0291">
        <w:rPr>
          <w:rFonts w:ascii="Arial Black" w:eastAsia="Times New Roman" w:hAnsi="Arial Black"/>
          <w:bCs/>
          <w:sz w:val="28"/>
          <w:szCs w:val="28"/>
        </w:rPr>
        <w:t xml:space="preserve">IL: </w:t>
      </w:r>
      <w:r>
        <w:rPr>
          <w:rFonts w:ascii="Arial Black" w:eastAsia="Times New Roman" w:hAnsi="Arial Black"/>
          <w:bCs/>
          <w:sz w:val="28"/>
          <w:szCs w:val="28"/>
        </w:rPr>
        <w:t>CHICAGO FD – PARAMEDIC PHYSICAL FITNESS TESTS – 100% MALES, ONLY 79% FEMALES – LAWSUIT TO PROCEED</w:t>
      </w:r>
    </w:p>
    <w:p w14:paraId="02ACDCA3" w14:textId="77777777" w:rsidR="00177094" w:rsidRPr="004236BE" w:rsidRDefault="00177094" w:rsidP="00177094">
      <w:pPr>
        <w:pStyle w:val="NormalWeb"/>
        <w:rPr>
          <w:b/>
          <w:bCs/>
        </w:rPr>
      </w:pPr>
      <w:r w:rsidRPr="004236BE">
        <w:rPr>
          <w:bCs/>
        </w:rPr>
        <w:t xml:space="preserve">On Jan. 14, 2020, in </w:t>
      </w:r>
      <w:r w:rsidRPr="004236BE">
        <w:rPr>
          <w:bCs/>
          <w:u w:val="single"/>
        </w:rPr>
        <w:t>Jennifer Livingston, et al. v. City of Chicago</w:t>
      </w:r>
      <w:r w:rsidRPr="004236BE">
        <w:rPr>
          <w:bCs/>
        </w:rPr>
        <w:t xml:space="preserve">, U.S. District Court Judge Sara L. Ellis, U.S. District Court, Northern District of Illinois, Eastern Division, denied the City’s motion to dismiss.  Twelve (12) female candidates for Firefighter Paramedic positions filed the lawsuit; 8 had timely filed EEOC charges within 300 days and received “Right </w:t>
      </w:r>
      <w:proofErr w:type="gramStart"/>
      <w:r w:rsidRPr="004236BE">
        <w:rPr>
          <w:bCs/>
        </w:rPr>
        <w:t>To</w:t>
      </w:r>
      <w:proofErr w:type="gramEnd"/>
      <w:r w:rsidRPr="004236BE">
        <w:rPr>
          <w:bCs/>
        </w:rPr>
        <w:t xml:space="preserve"> Sue” letters. </w:t>
      </w:r>
    </w:p>
    <w:p w14:paraId="3C98FD42" w14:textId="77777777" w:rsidR="00177094" w:rsidRPr="004236BE" w:rsidRDefault="00177094" w:rsidP="00177094">
      <w:pPr>
        <w:pStyle w:val="NormalWeb"/>
        <w:ind w:left="720"/>
        <w:rPr>
          <w:b/>
          <w:bCs/>
        </w:rPr>
      </w:pPr>
      <w:r w:rsidRPr="004236BE">
        <w:rPr>
          <w:bCs/>
        </w:rPr>
        <w:t xml:space="preserve">“The </w:t>
      </w:r>
      <w:proofErr w:type="gramStart"/>
      <w:r w:rsidRPr="004236BE">
        <w:rPr>
          <w:bCs/>
        </w:rPr>
        <w:t>City</w:t>
      </w:r>
      <w:proofErr w:type="gramEnd"/>
      <w:r w:rsidRPr="004236BE">
        <w:rPr>
          <w:bCs/>
        </w:rPr>
        <w:t xml:space="preserve"> moves to dismiss Bain, Ruch, Youngren, and Venegas (the ‘Non-Filing Plaintiffs’) because they have not exhausted their administrative remedies, as required by Title VII. Because the Non-Filing Plaintiffs can rely on the single-filing rule to bring their claims based on the charges filed by other plaintiffs in this case, the Court denies the City’s motion to dismiss.</w:t>
      </w:r>
    </w:p>
    <w:p w14:paraId="54388E9D" w14:textId="77777777" w:rsidR="00177094" w:rsidRPr="004236BE" w:rsidRDefault="00177094" w:rsidP="00177094">
      <w:pPr>
        <w:pStyle w:val="NormalWeb"/>
        <w:ind w:left="720"/>
        <w:rPr>
          <w:b/>
          <w:bCs/>
        </w:rPr>
      </w:pPr>
      <w:r w:rsidRPr="004236BE">
        <w:rPr>
          <w:bCs/>
        </w:rPr>
        <w:t>***</w:t>
      </w:r>
    </w:p>
    <w:p w14:paraId="18C41260"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To bring a Title VII suit, a plaintiff must have exhausted her administrative remedies by filing a timely EEOC charge and receiving a right to sue letter. Allen v. City of Chicago, 828 F. Supp. 543, 555 (N.D. Ill. 1993). Certain exceptions to this rule exist: under the single-filing rule or “piggybacking” doctrine, “an individual who has not exhausted his administrative options may join a lawsuit filed by another individual who has administratively exhausted.” Simpson v. Cook County Sheriff’s Office, No. 18-cv -553, 2018 WL 3753362, at *2 (N.D. Ill. Aug. 8, 2018); see also Anderson v. Montgomery Ward &amp; Co., 852 F.2d 1008, 1017–18 (7th Cir. 1988).” </w:t>
      </w:r>
      <w:hyperlink r:id="rId1493" w:history="1">
        <w:r w:rsidRPr="004236BE">
          <w:rPr>
            <w:rStyle w:val="Hyperlink"/>
            <w:rFonts w:ascii="Times New Roman" w:hAnsi="Times New Roman"/>
            <w:b/>
            <w:sz w:val="24"/>
            <w:szCs w:val="24"/>
          </w:rPr>
          <w:t>https://cases.justia.com/federal/district-courts/illinois/ilndce/1:2016cv10156/332956/114/0.pdf?ts=1547636381</w:t>
        </w:r>
      </w:hyperlink>
      <w:r w:rsidRPr="004236BE">
        <w:rPr>
          <w:rFonts w:ascii="Times New Roman" w:hAnsi="Times New Roman"/>
          <w:bCs/>
          <w:sz w:val="24"/>
          <w:szCs w:val="24"/>
        </w:rPr>
        <w:t xml:space="preserve"> </w:t>
      </w:r>
    </w:p>
    <w:p w14:paraId="0389B6BA" w14:textId="77777777" w:rsidR="00177094" w:rsidRDefault="00177094" w:rsidP="00177094">
      <w:pPr>
        <w:pStyle w:val="NoSpacing"/>
        <w:rPr>
          <w:rFonts w:ascii="Times New Roman" w:hAnsi="Times New Roman"/>
          <w:b/>
          <w:bCs/>
          <w:sz w:val="24"/>
          <w:szCs w:val="24"/>
        </w:rPr>
      </w:pPr>
    </w:p>
    <w:p w14:paraId="2F6952BB" w14:textId="40BBE695" w:rsidR="00177094" w:rsidRPr="004236BE" w:rsidRDefault="00177094" w:rsidP="00177094">
      <w:pPr>
        <w:pStyle w:val="NoSpacing"/>
        <w:rPr>
          <w:rFonts w:ascii="Times New Roman" w:hAnsi="Times New Roman"/>
          <w:sz w:val="24"/>
          <w:szCs w:val="24"/>
        </w:rPr>
      </w:pPr>
      <w:r w:rsidRPr="004236BE">
        <w:rPr>
          <w:rFonts w:ascii="Times New Roman" w:hAnsi="Times New Roman"/>
          <w:b/>
          <w:bCs/>
          <w:sz w:val="24"/>
          <w:szCs w:val="24"/>
        </w:rPr>
        <w:t>Legal Lessons Learned: Lawsuit may proceed; physical ability tests that have an “adverse impact” on female applicants have been subject of litigation, including U.S. Department of Justice cases.</w:t>
      </w:r>
      <w:r w:rsidRPr="004236BE">
        <w:rPr>
          <w:rFonts w:ascii="Times New Roman" w:hAnsi="Times New Roman"/>
          <w:sz w:val="24"/>
          <w:szCs w:val="24"/>
        </w:rPr>
        <w:t xml:space="preserve">  See EEOC review of litigation involving physical agility tests: “Recruitment &amp; Hiring Gender Disparities in Public Safety Occupations” (June 2018): </w:t>
      </w:r>
      <w:hyperlink r:id="rId1494" w:history="1">
        <w:r w:rsidRPr="004236BE">
          <w:rPr>
            <w:rStyle w:val="Hyperlink"/>
            <w:rFonts w:ascii="Times New Roman" w:hAnsi="Times New Roman"/>
            <w:sz w:val="24"/>
            <w:szCs w:val="24"/>
          </w:rPr>
          <w:t>https://www.eeoc.gov/federal/reports/upload/pspe.pdf</w:t>
        </w:r>
      </w:hyperlink>
      <w:r w:rsidRPr="004236BE">
        <w:rPr>
          <w:rFonts w:ascii="Times New Roman" w:hAnsi="Times New Roman"/>
          <w:sz w:val="24"/>
          <w:szCs w:val="24"/>
        </w:rPr>
        <w:t xml:space="preserve"> [pages 12-13].</w:t>
      </w:r>
    </w:p>
    <w:p w14:paraId="76979D55" w14:textId="77777777" w:rsidR="00177094" w:rsidRPr="004236BE" w:rsidRDefault="00177094" w:rsidP="00177094">
      <w:pPr>
        <w:pStyle w:val="NoSpacing"/>
        <w:ind w:left="720"/>
        <w:rPr>
          <w:rFonts w:ascii="Times New Roman" w:hAnsi="Times New Roman"/>
          <w:b/>
          <w:bCs/>
          <w:sz w:val="24"/>
          <w:szCs w:val="24"/>
        </w:rPr>
      </w:pPr>
    </w:p>
    <w:p w14:paraId="317BB812"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“Once employers could no longer segregate women into peripheral jobs, they began using screening tests for public safety occupations. Initially, height and weight restrictions were used in some public safety jobs to screen applicants, because it was thought that taller and heavier people were more able to perform the presumed physically demanding duties</w:t>
      </w:r>
      <w:r>
        <w:rPr>
          <w:rFonts w:ascii="Times New Roman" w:hAnsi="Times New Roman"/>
          <w:bCs/>
          <w:sz w:val="24"/>
          <w:szCs w:val="24"/>
        </w:rPr>
        <w:t xml:space="preserve"> </w:t>
      </w:r>
      <w:r w:rsidRPr="004236BE">
        <w:rPr>
          <w:rFonts w:ascii="Times New Roman" w:hAnsi="Times New Roman"/>
          <w:bCs/>
          <w:sz w:val="24"/>
          <w:szCs w:val="24"/>
        </w:rPr>
        <w:t>of these jobs. In 1977, the Supreme Court addressed this issue when it rejected an Alabama prison facility’s height and weight restriction because it led to an unjustified disproportionate exclusion, or a ‘disparate impact’, on women. [Dothard v. Rawlinson, 433 U.S.321(1977).]</w:t>
      </w:r>
      <w:r w:rsidRPr="004236BE">
        <w:rPr>
          <w:rFonts w:ascii="Times New Roman" w:hAnsi="Times New Roman"/>
          <w:sz w:val="24"/>
          <w:szCs w:val="24"/>
        </w:rPr>
        <w:t xml:space="preserve"> </w:t>
      </w:r>
      <w:r w:rsidRPr="004236BE">
        <w:rPr>
          <w:rFonts w:ascii="Times New Roman" w:hAnsi="Times New Roman"/>
          <w:bCs/>
          <w:sz w:val="24"/>
          <w:szCs w:val="24"/>
        </w:rPr>
        <w:t xml:space="preserve">When height and weight restrictions thus fell by the wayside, they were replaced by physical ability tests (PATs) to qualify applicants for public safety positions…. PATs were gender‐neutral, requiring the same performance for men and women. This still led to a disparate impact on women who had comparable physical fitness levels as qualified </w:t>
      </w:r>
      <w:proofErr w:type="gramStart"/>
      <w:r w:rsidRPr="004236BE">
        <w:rPr>
          <w:rFonts w:ascii="Times New Roman" w:hAnsi="Times New Roman"/>
          <w:bCs/>
          <w:sz w:val="24"/>
          <w:szCs w:val="24"/>
        </w:rPr>
        <w:t>men, but</w:t>
      </w:r>
      <w:proofErr w:type="gramEnd"/>
      <w:r w:rsidRPr="004236BE">
        <w:rPr>
          <w:rFonts w:ascii="Times New Roman" w:hAnsi="Times New Roman"/>
          <w:bCs/>
          <w:sz w:val="24"/>
          <w:szCs w:val="24"/>
        </w:rPr>
        <w:t xml:space="preserve"> could not reach the required threshold of agender‐neutral test. </w:t>
      </w:r>
    </w:p>
    <w:p w14:paraId="72515D7B" w14:textId="77777777" w:rsidR="00177094" w:rsidRPr="004236BE" w:rsidRDefault="00177094" w:rsidP="00177094">
      <w:pPr>
        <w:pStyle w:val="NoSpacing"/>
        <w:ind w:left="720"/>
        <w:rPr>
          <w:rFonts w:ascii="Times New Roman" w:hAnsi="Times New Roman"/>
          <w:b/>
          <w:bCs/>
          <w:sz w:val="24"/>
          <w:szCs w:val="24"/>
        </w:rPr>
      </w:pPr>
    </w:p>
    <w:p w14:paraId="367C3ACF"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[Footnote 17]: In cases involving a state or local government’s use of PATs to screen law enforcement applicants, the Department of Justice (DOJ), not the EEOC, has authority to bring any lawsuit on behalf of the government…. The DOJ has challenged PATs as discriminatory against women. See ,e.g., Lanning v. Southeastern Penn. Transp. Auth.,181 F.3d 478 (3dCir.1999); United States v. Massachusetts, 781 F.Supp.2d 1(D.Mass.2011) (challenging PAT that has disparate impact against women for prison guard jobs); United States v. City of Erie, 411F.Supp.2d 524 (W.D.Pa.2005)(finding for plaintiff DOJ that unitary PAT for police officers created a disparate impact and the defendant failed to prove that requiring a unitary test time was sufficiently job‐related.”</w:t>
      </w:r>
    </w:p>
    <w:p w14:paraId="56E8EC3E" w14:textId="77777777" w:rsidR="00177094" w:rsidRPr="004236BE" w:rsidRDefault="00177094" w:rsidP="00177094">
      <w:pPr>
        <w:pStyle w:val="NoSpacing"/>
        <w:rPr>
          <w:rFonts w:ascii="Times New Roman" w:hAnsi="Times New Roman"/>
          <w:b/>
          <w:bCs/>
          <w:sz w:val="24"/>
          <w:szCs w:val="24"/>
        </w:rPr>
      </w:pPr>
    </w:p>
    <w:p w14:paraId="28E9E0FF" w14:textId="77777777" w:rsidR="00177094" w:rsidRDefault="00177094" w:rsidP="002B1283">
      <w:pPr>
        <w:rPr>
          <w:rFonts w:ascii="Arial Black" w:hAnsi="Arial Black"/>
          <w:b/>
          <w:sz w:val="24"/>
          <w:szCs w:val="24"/>
        </w:rPr>
      </w:pPr>
    </w:p>
    <w:p w14:paraId="337AF670" w14:textId="1C1670B9" w:rsidR="00DE0F03" w:rsidRDefault="00DE0F03" w:rsidP="002B1283">
      <w:pPr>
        <w:rPr>
          <w:rFonts w:ascii="Arial Black" w:hAnsi="Arial Black"/>
          <w:sz w:val="32"/>
          <w:szCs w:val="32"/>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1</w:t>
      </w:r>
      <w:r w:rsidR="00AE0ACC">
        <w:rPr>
          <w:rFonts w:ascii="Arial Black" w:hAnsi="Arial Black"/>
          <w:b/>
          <w:sz w:val="24"/>
          <w:szCs w:val="24"/>
        </w:rPr>
        <w:t>0</w:t>
      </w:r>
    </w:p>
    <w:p w14:paraId="47EF7F9B" w14:textId="6029825C" w:rsidR="002B1283" w:rsidRPr="00DB1DCD" w:rsidRDefault="002B1283" w:rsidP="002B1283">
      <w:pPr>
        <w:rPr>
          <w:rFonts w:ascii="Arial Black" w:hAnsi="Arial Black"/>
          <w:sz w:val="32"/>
          <w:szCs w:val="32"/>
        </w:rPr>
      </w:pPr>
      <w:r>
        <w:rPr>
          <w:rFonts w:ascii="Arial Black" w:hAnsi="Arial Black"/>
          <w:sz w:val="32"/>
          <w:szCs w:val="32"/>
        </w:rPr>
        <w:t xml:space="preserve">TX:  DEP. FIRE CHIEF RESIGNED AFTER HE FACED TWO SEXUAL </w:t>
      </w:r>
      <w:proofErr w:type="gramStart"/>
      <w:r>
        <w:rPr>
          <w:rFonts w:ascii="Arial Black" w:hAnsi="Arial Black"/>
          <w:sz w:val="32"/>
          <w:szCs w:val="32"/>
        </w:rPr>
        <w:t>HARASSMENT</w:t>
      </w:r>
      <w:proofErr w:type="gramEnd"/>
      <w:r>
        <w:rPr>
          <w:rFonts w:ascii="Arial Black" w:hAnsi="Arial Black"/>
          <w:sz w:val="32"/>
          <w:szCs w:val="32"/>
        </w:rPr>
        <w:t xml:space="preserve"> INVEST – LAWSUIT DISMISSAL UPHELD </w:t>
      </w:r>
    </w:p>
    <w:p w14:paraId="49FF3114" w14:textId="4AF790DE" w:rsidR="002B1283" w:rsidRDefault="002B1283" w:rsidP="002B1283">
      <w:pPr>
        <w:rPr>
          <w:rFonts w:ascii="Times New Roman" w:hAnsi="Times New Roman"/>
          <w:sz w:val="24"/>
          <w:szCs w:val="24"/>
        </w:rPr>
      </w:pPr>
      <w:r w:rsidRPr="00DB1DCD">
        <w:rPr>
          <w:rFonts w:ascii="Times New Roman" w:hAnsi="Times New Roman"/>
          <w:sz w:val="24"/>
          <w:szCs w:val="24"/>
        </w:rPr>
        <w:t xml:space="preserve">On July 10, 2019, in </w:t>
      </w:r>
      <w:r w:rsidRPr="00DB1DCD">
        <w:rPr>
          <w:rFonts w:ascii="Times New Roman" w:hAnsi="Times New Roman"/>
          <w:sz w:val="24"/>
          <w:szCs w:val="24"/>
          <w:u w:val="single"/>
        </w:rPr>
        <w:t>Carlos Mandujano v. City of Pharr, Texas</w:t>
      </w:r>
      <w:r w:rsidRPr="00DB1DCD">
        <w:rPr>
          <w:rFonts w:ascii="Times New Roman" w:hAnsi="Times New Roman"/>
          <w:sz w:val="24"/>
          <w:szCs w:val="24"/>
        </w:rPr>
        <w:t xml:space="preserve">, </w:t>
      </w:r>
      <w:r>
        <w:rPr>
          <w:rFonts w:ascii="Times New Roman" w:hAnsi="Times New Roman"/>
          <w:sz w:val="24"/>
          <w:szCs w:val="24"/>
        </w:rPr>
        <w:t xml:space="preserve">the U.S. Court of Appeals for the Fifth Circuit held (3 to 0; unpublished opinion ) that the U.S. District Court judge had properly dismissed his lawsuit claiming the City’s investigations created a hostile work environment and resulted in his “constructive discharge.” </w:t>
      </w:r>
    </w:p>
    <w:p w14:paraId="5E0AA8F3"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AC2240">
        <w:rPr>
          <w:rFonts w:ascii="Times New Roman" w:hAnsi="Times New Roman"/>
          <w:sz w:val="24"/>
          <w:szCs w:val="24"/>
        </w:rPr>
        <w:t xml:space="preserve">Mandujano’s sex-discrimination claim rests on a theory that the City’s investigations into him created a hostile work environment and resulted in his constructive discharge. To state a claim of constructive discharge, a plaintiff must allege that working conditions became </w:t>
      </w:r>
      <w:r>
        <w:rPr>
          <w:rFonts w:ascii="Times New Roman" w:hAnsi="Times New Roman"/>
          <w:sz w:val="24"/>
          <w:szCs w:val="24"/>
        </w:rPr>
        <w:t>‘</w:t>
      </w:r>
      <w:r w:rsidRPr="00AC2240">
        <w:rPr>
          <w:rFonts w:ascii="Times New Roman" w:hAnsi="Times New Roman"/>
          <w:sz w:val="24"/>
          <w:szCs w:val="24"/>
        </w:rPr>
        <w:t>so intolerable that a reasonable person would have felt compelled to resign.</w:t>
      </w:r>
      <w:r>
        <w:rPr>
          <w:rFonts w:ascii="Times New Roman" w:hAnsi="Times New Roman"/>
          <w:sz w:val="24"/>
          <w:szCs w:val="24"/>
        </w:rPr>
        <w:t>’</w:t>
      </w:r>
      <w:r w:rsidRPr="00AC2240">
        <w:rPr>
          <w:rFonts w:ascii="Times New Roman" w:hAnsi="Times New Roman"/>
          <w:sz w:val="24"/>
          <w:szCs w:val="24"/>
        </w:rPr>
        <w:t xml:space="preserve"> Pa. State Police v. Suders, 542 U.S. 129, 147 (2004). Mandujano’s initial complaint did not plausibly allege that this occurred</w:t>
      </w:r>
      <w:r>
        <w:rPr>
          <w:rFonts w:ascii="Times New Roman" w:hAnsi="Times New Roman"/>
          <w:sz w:val="24"/>
          <w:szCs w:val="24"/>
        </w:rPr>
        <w:t>.”</w:t>
      </w:r>
    </w:p>
    <w:p w14:paraId="5A006691" w14:textId="77777777" w:rsidR="002B1283" w:rsidRDefault="002B1283" w:rsidP="002B1283">
      <w:pPr>
        <w:ind w:left="720"/>
        <w:rPr>
          <w:rFonts w:ascii="Times New Roman" w:hAnsi="Times New Roman"/>
          <w:sz w:val="24"/>
          <w:szCs w:val="24"/>
        </w:rPr>
      </w:pPr>
      <w:hyperlink r:id="rId1495" w:history="1">
        <w:r w:rsidRPr="00455844">
          <w:rPr>
            <w:rStyle w:val="Hyperlink"/>
            <w:rFonts w:ascii="Times New Roman" w:hAnsi="Times New Roman"/>
            <w:sz w:val="24"/>
            <w:szCs w:val="24"/>
          </w:rPr>
          <w:t>https://cases.justia.com/federal/appellate-courts/ca5/18-40561/18-40561-2019-07-10.pdf?ts=1562779857</w:t>
        </w:r>
      </w:hyperlink>
      <w:r>
        <w:rPr>
          <w:rFonts w:ascii="Times New Roman" w:hAnsi="Times New Roman"/>
          <w:sz w:val="24"/>
          <w:szCs w:val="24"/>
        </w:rPr>
        <w:t xml:space="preserve"> </w:t>
      </w:r>
    </w:p>
    <w:p w14:paraId="7DD8EB69" w14:textId="003E4D2B" w:rsidR="00AE0ACC" w:rsidRDefault="002B1283" w:rsidP="00AE0ACC">
      <w:pPr>
        <w:rPr>
          <w:rFonts w:ascii="Times New Roman" w:hAnsi="Times New Roman"/>
          <w:sz w:val="24"/>
          <w:szCs w:val="24"/>
        </w:rPr>
      </w:pPr>
      <w:r w:rsidRPr="002A20ED">
        <w:rPr>
          <w:rFonts w:ascii="Times New Roman" w:hAnsi="Times New Roman"/>
          <w:b/>
          <w:bCs/>
          <w:sz w:val="24"/>
          <w:szCs w:val="24"/>
        </w:rPr>
        <w:t xml:space="preserve">Legal Lessons Learned: </w:t>
      </w:r>
      <w:r>
        <w:rPr>
          <w:rFonts w:ascii="Times New Roman" w:hAnsi="Times New Roman"/>
          <w:b/>
          <w:bCs/>
          <w:sz w:val="24"/>
          <w:szCs w:val="24"/>
        </w:rPr>
        <w:t xml:space="preserve"> Fire &amp; EMS departments, like other employers, have an obligation to investigate claims of sexual harassment; individuals being investigated may obviously feel uncomfortable, but that does not support a claim of hostile workplace.</w:t>
      </w:r>
      <w:r w:rsidR="00AE0ACC">
        <w:rPr>
          <w:rFonts w:ascii="Times New Roman" w:hAnsi="Times New Roman"/>
          <w:b/>
          <w:bCs/>
          <w:sz w:val="24"/>
          <w:szCs w:val="24"/>
        </w:rPr>
        <w:t xml:space="preserve">  </w:t>
      </w:r>
      <w:r w:rsidR="00AE0ACC">
        <w:rPr>
          <w:rFonts w:ascii="Times New Roman" w:hAnsi="Times New Roman"/>
          <w:sz w:val="24"/>
          <w:szCs w:val="24"/>
        </w:rPr>
        <w:t xml:space="preserve">Note:  On Sept. 4, </w:t>
      </w:r>
      <w:proofErr w:type="gramStart"/>
      <w:r w:rsidR="00AE0ACC">
        <w:rPr>
          <w:rFonts w:ascii="Times New Roman" w:hAnsi="Times New Roman"/>
          <w:sz w:val="24"/>
          <w:szCs w:val="24"/>
        </w:rPr>
        <w:t>2019</w:t>
      </w:r>
      <w:proofErr w:type="gramEnd"/>
      <w:r w:rsidR="00AE0ACC">
        <w:rPr>
          <w:rFonts w:ascii="Times New Roman" w:hAnsi="Times New Roman"/>
          <w:sz w:val="24"/>
          <w:szCs w:val="24"/>
        </w:rPr>
        <w:t xml:space="preserve"> the 5</w:t>
      </w:r>
      <w:r w:rsidR="00AE0ACC" w:rsidRPr="00D773BE">
        <w:rPr>
          <w:rFonts w:ascii="Times New Roman" w:hAnsi="Times New Roman"/>
          <w:sz w:val="24"/>
          <w:szCs w:val="24"/>
          <w:vertAlign w:val="superscript"/>
        </w:rPr>
        <w:t>th</w:t>
      </w:r>
      <w:r w:rsidR="00AE0ACC">
        <w:rPr>
          <w:rFonts w:ascii="Times New Roman" w:hAnsi="Times New Roman"/>
          <w:sz w:val="24"/>
          <w:szCs w:val="24"/>
        </w:rPr>
        <w:t xml:space="preserve"> Circuit filed replacement opinion, but with same conclusion – lawsuit properly dismissed: </w:t>
      </w:r>
      <w:hyperlink r:id="rId1496" w:history="1">
        <w:r w:rsidR="00AE0ACC" w:rsidRPr="000D05D3">
          <w:rPr>
            <w:rStyle w:val="Hyperlink"/>
            <w:rFonts w:ascii="Times New Roman" w:hAnsi="Times New Roman"/>
            <w:sz w:val="24"/>
            <w:szCs w:val="24"/>
          </w:rPr>
          <w:t>http://www.ca5.uscourts.gov/opinions/unpub/18/18-40561.1.pdf</w:t>
        </w:r>
      </w:hyperlink>
    </w:p>
    <w:p w14:paraId="00F957E0" w14:textId="56A19E52" w:rsidR="00AE0ACC" w:rsidRDefault="00AE0ACC" w:rsidP="002B1283">
      <w:pPr>
        <w:pStyle w:val="NoSpacing"/>
        <w:rPr>
          <w:rFonts w:ascii="Times New Roman" w:hAnsi="Times New Roman"/>
          <w:sz w:val="24"/>
          <w:szCs w:val="24"/>
        </w:rPr>
      </w:pPr>
    </w:p>
    <w:p w14:paraId="1143A3EE" w14:textId="77777777" w:rsidR="00BF4DDE" w:rsidRPr="00AE0ACC" w:rsidRDefault="00BF4DDE" w:rsidP="002B1283">
      <w:pPr>
        <w:pStyle w:val="NoSpacing"/>
        <w:rPr>
          <w:rFonts w:ascii="Times New Roman" w:hAnsi="Times New Roman"/>
          <w:sz w:val="24"/>
          <w:szCs w:val="24"/>
        </w:rPr>
      </w:pPr>
    </w:p>
    <w:p w14:paraId="76CAA9EE" w14:textId="77777777" w:rsidR="00AE0ACC" w:rsidRDefault="00AE0ACC" w:rsidP="00DE0F03">
      <w:pPr>
        <w:rPr>
          <w:rFonts w:ascii="Arial Black" w:hAnsi="Arial Black"/>
          <w:b/>
          <w:sz w:val="24"/>
          <w:szCs w:val="24"/>
        </w:rPr>
      </w:pPr>
    </w:p>
    <w:p w14:paraId="33DD32B8" w14:textId="376347EA" w:rsidR="002B1283" w:rsidRDefault="00DE0F03" w:rsidP="00DE0F03">
      <w:pPr>
        <w:rPr>
          <w:rFonts w:ascii="Arial Black" w:hAnsi="Arial Black"/>
          <w:sz w:val="28"/>
          <w:szCs w:val="28"/>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9</w:t>
      </w:r>
    </w:p>
    <w:p w14:paraId="0D9A3912" w14:textId="57460290" w:rsidR="002B1283" w:rsidRPr="00E232C6" w:rsidRDefault="002B1283" w:rsidP="002B1283">
      <w:pPr>
        <w:pStyle w:val="NoSpacing"/>
        <w:rPr>
          <w:rFonts w:ascii="Arial Black" w:hAnsi="Arial Black"/>
          <w:sz w:val="28"/>
          <w:szCs w:val="28"/>
        </w:rPr>
      </w:pPr>
      <w:r w:rsidRPr="00E232C6">
        <w:rPr>
          <w:rFonts w:ascii="Arial Black" w:hAnsi="Arial Black"/>
          <w:sz w:val="28"/>
          <w:szCs w:val="28"/>
        </w:rPr>
        <w:t xml:space="preserve">PA: </w:t>
      </w:r>
      <w:r>
        <w:rPr>
          <w:rFonts w:ascii="Arial Black" w:hAnsi="Arial Black"/>
          <w:sz w:val="28"/>
          <w:szCs w:val="28"/>
        </w:rPr>
        <w:t>PHILADELPHIA FD – FIRST FEMALE DEPUTY COMM. – LAWSUIT FOR HOSTILE WORKPLACE DISMISSED</w:t>
      </w:r>
    </w:p>
    <w:p w14:paraId="708C26B3" w14:textId="77777777" w:rsidR="002B1283" w:rsidRDefault="002B1283" w:rsidP="002B1283">
      <w:pPr>
        <w:pStyle w:val="NoSpacing"/>
        <w:rPr>
          <w:rFonts w:ascii="Times New Roman" w:hAnsi="Times New Roman"/>
          <w:sz w:val="24"/>
          <w:szCs w:val="24"/>
        </w:rPr>
      </w:pPr>
    </w:p>
    <w:p w14:paraId="4BB5A5F3" w14:textId="77777777" w:rsidR="002B1283" w:rsidRDefault="002B1283" w:rsidP="002B1283">
      <w:pPr>
        <w:pStyle w:val="NoSpacing"/>
        <w:rPr>
          <w:rFonts w:ascii="Times New Roman" w:hAnsi="Times New Roman"/>
          <w:sz w:val="24"/>
          <w:szCs w:val="24"/>
        </w:rPr>
      </w:pPr>
      <w:r w:rsidRPr="008522B7">
        <w:rPr>
          <w:rFonts w:ascii="Times New Roman" w:hAnsi="Times New Roman"/>
          <w:sz w:val="24"/>
          <w:szCs w:val="24"/>
        </w:rPr>
        <w:t xml:space="preserve">On July 9, 2019, in </w:t>
      </w:r>
      <w:r w:rsidRPr="008522B7">
        <w:rPr>
          <w:rFonts w:ascii="Times New Roman" w:hAnsi="Times New Roman"/>
          <w:sz w:val="24"/>
          <w:szCs w:val="24"/>
          <w:u w:val="single"/>
        </w:rPr>
        <w:t>Diane M. Schweizer v. City of Philadelphia</w:t>
      </w:r>
      <w:r w:rsidRPr="008522B7">
        <w:rPr>
          <w:rFonts w:ascii="Times New Roman" w:hAnsi="Times New Roman"/>
          <w:sz w:val="24"/>
          <w:szCs w:val="24"/>
        </w:rPr>
        <w:t xml:space="preserve">, U.S. Magistrate Judge Jacob P. Hart granted the City’s motion for summary judgment. </w:t>
      </w:r>
    </w:p>
    <w:p w14:paraId="12AC3E1C" w14:textId="77777777" w:rsidR="002B1283" w:rsidRDefault="002B1283" w:rsidP="002B1283">
      <w:pPr>
        <w:pStyle w:val="NoSpacing"/>
        <w:rPr>
          <w:rFonts w:ascii="Times New Roman" w:hAnsi="Times New Roman"/>
          <w:sz w:val="24"/>
          <w:szCs w:val="24"/>
        </w:rPr>
      </w:pPr>
    </w:p>
    <w:p w14:paraId="74D7820C"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3660EC">
        <w:rPr>
          <w:rFonts w:ascii="Times New Roman" w:hAnsi="Times New Roman"/>
          <w:sz w:val="24"/>
          <w:szCs w:val="24"/>
        </w:rPr>
        <w:t>At her deposition, Schweizer admitted time and time again that she had no facts to support her belief that her gender underlay the treatment of which she complained. She may indeed have developed a hunch that she would have been treated better if she had been a man, but this is not enough to survive summary judgment</w:t>
      </w:r>
      <w:r>
        <w:rPr>
          <w:rFonts w:ascii="Times New Roman" w:hAnsi="Times New Roman"/>
          <w:sz w:val="24"/>
          <w:szCs w:val="24"/>
        </w:rPr>
        <w:t>.”</w:t>
      </w:r>
    </w:p>
    <w:p w14:paraId="0AA50A50" w14:textId="77777777" w:rsidR="002B1283" w:rsidRDefault="002B1283" w:rsidP="002B1283">
      <w:pPr>
        <w:pStyle w:val="NoSpacing"/>
        <w:ind w:left="720"/>
        <w:rPr>
          <w:rFonts w:ascii="Times New Roman" w:hAnsi="Times New Roman"/>
          <w:sz w:val="24"/>
          <w:szCs w:val="24"/>
        </w:rPr>
      </w:pPr>
      <w:hyperlink r:id="rId1497" w:history="1">
        <w:r w:rsidRPr="00455844">
          <w:rPr>
            <w:rStyle w:val="Hyperlink"/>
            <w:rFonts w:ascii="Times New Roman" w:hAnsi="Times New Roman"/>
            <w:sz w:val="24"/>
            <w:szCs w:val="24"/>
          </w:rPr>
          <w:t>https://cases.justia.com/federal/district-courts/pennsylvania/paedce/2:2017cv05388/537208/50/0.pdf?ts=1562761562</w:t>
        </w:r>
      </w:hyperlink>
      <w:r w:rsidRPr="008522B7">
        <w:rPr>
          <w:rFonts w:ascii="Times New Roman" w:hAnsi="Times New Roman"/>
          <w:sz w:val="24"/>
          <w:szCs w:val="24"/>
        </w:rPr>
        <w:t xml:space="preserve"> </w:t>
      </w:r>
    </w:p>
    <w:p w14:paraId="78894D97" w14:textId="77777777" w:rsidR="002B1283" w:rsidRDefault="002B1283" w:rsidP="002B1283">
      <w:pPr>
        <w:pStyle w:val="NoSpacing"/>
        <w:rPr>
          <w:rFonts w:ascii="Times New Roman" w:hAnsi="Times New Roman"/>
          <w:sz w:val="24"/>
          <w:szCs w:val="24"/>
        </w:rPr>
      </w:pPr>
    </w:p>
    <w:p w14:paraId="63EF3A89" w14:textId="77777777" w:rsidR="002B1283" w:rsidRPr="003660EC" w:rsidRDefault="002B1283" w:rsidP="002B1283">
      <w:pPr>
        <w:pStyle w:val="NoSpacing"/>
        <w:rPr>
          <w:rFonts w:ascii="Times New Roman" w:hAnsi="Times New Roman"/>
          <w:sz w:val="24"/>
          <w:szCs w:val="24"/>
        </w:rPr>
      </w:pPr>
    </w:p>
    <w:p w14:paraId="6BA57AE0" w14:textId="77777777" w:rsidR="002B1283" w:rsidRPr="00491621" w:rsidRDefault="002B1283" w:rsidP="002B1283">
      <w:pPr>
        <w:pStyle w:val="NoSpacing"/>
        <w:rPr>
          <w:rFonts w:ascii="Times New Roman" w:hAnsi="Times New Roman"/>
          <w:b/>
          <w:bCs/>
          <w:sz w:val="24"/>
          <w:szCs w:val="24"/>
        </w:rPr>
      </w:pPr>
      <w:r w:rsidRPr="00491621">
        <w:rPr>
          <w:rFonts w:ascii="Times New Roman" w:hAnsi="Times New Roman"/>
          <w:b/>
          <w:bCs/>
          <w:sz w:val="24"/>
          <w:szCs w:val="24"/>
        </w:rPr>
        <w:t xml:space="preserve">Legal Lessons Learned: The EEOC’s description of workplace harassment includes following: “Petty slights, annoyances, and isolated incidents (unless extremely serious) will not rise to the level of illegality. To be unlawful, the conduct must create a work environment that would be intimidating, hostile, or offensive to reasonable people.”  </w:t>
      </w:r>
      <w:hyperlink r:id="rId1498" w:history="1">
        <w:r w:rsidRPr="00491621">
          <w:rPr>
            <w:rStyle w:val="Hyperlink"/>
            <w:rFonts w:ascii="Times New Roman" w:hAnsi="Times New Roman"/>
            <w:b/>
            <w:bCs/>
            <w:sz w:val="24"/>
            <w:szCs w:val="24"/>
          </w:rPr>
          <w:t>https://www.eeoc.gov/laws/types/harassment.cfm</w:t>
        </w:r>
      </w:hyperlink>
      <w:r w:rsidRPr="00491621">
        <w:rPr>
          <w:rFonts w:ascii="Times New Roman" w:hAnsi="Times New Roman"/>
          <w:b/>
          <w:bCs/>
          <w:sz w:val="24"/>
          <w:szCs w:val="24"/>
        </w:rPr>
        <w:t xml:space="preserve"> </w:t>
      </w:r>
    </w:p>
    <w:p w14:paraId="4667CCCD" w14:textId="77777777" w:rsidR="002B1283" w:rsidRDefault="002B1283" w:rsidP="002B1283">
      <w:pPr>
        <w:pStyle w:val="NoSpacing"/>
        <w:ind w:left="1440"/>
        <w:rPr>
          <w:rFonts w:ascii="Times New Roman" w:hAnsi="Times New Roman"/>
          <w:sz w:val="24"/>
          <w:szCs w:val="24"/>
        </w:rPr>
      </w:pPr>
    </w:p>
    <w:p w14:paraId="4079436D" w14:textId="05677F3F" w:rsidR="002B1283" w:rsidRDefault="002B1283" w:rsidP="00F326E5">
      <w:pPr>
        <w:pStyle w:val="NoSpacing"/>
        <w:rPr>
          <w:sz w:val="24"/>
          <w:szCs w:val="24"/>
        </w:rPr>
      </w:pPr>
    </w:p>
    <w:p w14:paraId="6E927A73" w14:textId="5C6E2D04" w:rsidR="00DE0F03" w:rsidRDefault="00DE0F03" w:rsidP="002B1283">
      <w:pPr>
        <w:rPr>
          <w:rFonts w:ascii="Arial Black" w:hAnsi="Arial Black"/>
          <w:sz w:val="28"/>
          <w:szCs w:val="28"/>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8</w:t>
      </w:r>
    </w:p>
    <w:p w14:paraId="2504BB21" w14:textId="6C575CDD" w:rsidR="002B1283" w:rsidRDefault="002B1283" w:rsidP="002B1283">
      <w:pPr>
        <w:rPr>
          <w:rFonts w:ascii="Arial Black" w:hAnsi="Arial Black"/>
          <w:sz w:val="28"/>
          <w:szCs w:val="28"/>
        </w:rPr>
      </w:pPr>
      <w:r w:rsidRPr="00ED0F44">
        <w:rPr>
          <w:rFonts w:ascii="Arial Black" w:hAnsi="Arial Black"/>
          <w:sz w:val="28"/>
          <w:szCs w:val="28"/>
        </w:rPr>
        <w:t xml:space="preserve">IL: </w:t>
      </w:r>
      <w:r>
        <w:rPr>
          <w:rFonts w:ascii="Arial Black" w:hAnsi="Arial Black"/>
          <w:sz w:val="28"/>
          <w:szCs w:val="28"/>
        </w:rPr>
        <w:t xml:space="preserve">CHICAGO FEMALE MEDICS (5) SUE FOR INADEQUATE INVEST – MAY SEE COMPLAINT / INVESTIGATION FILE OF MALE RIDE-ALONG </w:t>
      </w:r>
    </w:p>
    <w:p w14:paraId="418BAB3E" w14:textId="77777777" w:rsidR="002B1283" w:rsidRDefault="002B1283" w:rsidP="002B1283">
      <w:pPr>
        <w:pStyle w:val="NoSpacing"/>
        <w:rPr>
          <w:rFonts w:ascii="Times New Roman" w:hAnsi="Times New Roman"/>
          <w:sz w:val="24"/>
          <w:szCs w:val="24"/>
        </w:rPr>
      </w:pPr>
      <w:r w:rsidRPr="000F4C26">
        <w:rPr>
          <w:rFonts w:ascii="Times New Roman" w:hAnsi="Times New Roman"/>
          <w:sz w:val="24"/>
          <w:szCs w:val="24"/>
        </w:rPr>
        <w:t xml:space="preserve">On July 9, 2019, in </w:t>
      </w:r>
      <w:r w:rsidRPr="000F4C26">
        <w:rPr>
          <w:rFonts w:ascii="Times New Roman" w:hAnsi="Times New Roman"/>
          <w:sz w:val="24"/>
          <w:szCs w:val="24"/>
          <w:u w:val="single"/>
        </w:rPr>
        <w:t>Jane Does 1-5 v. City of Chicago</w:t>
      </w:r>
      <w:r w:rsidRPr="000F4C26">
        <w:rPr>
          <w:rFonts w:ascii="Times New Roman" w:hAnsi="Times New Roman"/>
          <w:sz w:val="24"/>
          <w:szCs w:val="24"/>
        </w:rPr>
        <w:t xml:space="preserve">, U.S. District Court Magistrate Judge Sunil R. Harjani granted the plaintiffs’ motion to compel the </w:t>
      </w:r>
      <w:proofErr w:type="gramStart"/>
      <w:r w:rsidRPr="000F4C26">
        <w:rPr>
          <w:rFonts w:ascii="Times New Roman" w:hAnsi="Times New Roman"/>
          <w:sz w:val="24"/>
          <w:szCs w:val="24"/>
        </w:rPr>
        <w:t>City</w:t>
      </w:r>
      <w:proofErr w:type="gramEnd"/>
      <w:r w:rsidRPr="000F4C26">
        <w:rPr>
          <w:rFonts w:ascii="Times New Roman" w:hAnsi="Times New Roman"/>
          <w:sz w:val="24"/>
          <w:szCs w:val="24"/>
        </w:rPr>
        <w:t xml:space="preserve"> to produce a male student’s allegation that the City’s fire department’s employee sexual assaulted and harassed him during an observational ride-along.</w:t>
      </w:r>
      <w:r>
        <w:rPr>
          <w:rFonts w:ascii="Times New Roman" w:hAnsi="Times New Roman"/>
          <w:sz w:val="24"/>
          <w:szCs w:val="24"/>
        </w:rPr>
        <w:t xml:space="preserve"> </w:t>
      </w:r>
    </w:p>
    <w:p w14:paraId="26354397" w14:textId="77777777" w:rsidR="002B1283" w:rsidRDefault="002B1283" w:rsidP="002B1283">
      <w:pPr>
        <w:pStyle w:val="NoSpacing"/>
        <w:rPr>
          <w:rFonts w:ascii="Times New Roman" w:hAnsi="Times New Roman"/>
          <w:sz w:val="24"/>
          <w:szCs w:val="24"/>
        </w:rPr>
      </w:pPr>
    </w:p>
    <w:p w14:paraId="2345FE8B" w14:textId="2C3035EA" w:rsidR="00BF4DDE" w:rsidRPr="00BF4DDE" w:rsidRDefault="002B1283" w:rsidP="00BF4DDE">
      <w:pPr>
        <w:pStyle w:val="NoSpacing"/>
        <w:ind w:left="720"/>
        <w:rPr>
          <w:rFonts w:ascii="Times New Roman" w:hAnsi="Times New Roman"/>
          <w:sz w:val="24"/>
          <w:szCs w:val="24"/>
        </w:rPr>
      </w:pPr>
      <w:r>
        <w:rPr>
          <w:rFonts w:ascii="Times New Roman" w:hAnsi="Times New Roman"/>
          <w:sz w:val="24"/>
          <w:szCs w:val="24"/>
        </w:rPr>
        <w:t>“</w:t>
      </w:r>
      <w:r w:rsidRPr="000F4C26">
        <w:rPr>
          <w:rFonts w:ascii="Times New Roman" w:hAnsi="Times New Roman"/>
          <w:sz w:val="24"/>
          <w:szCs w:val="24"/>
        </w:rPr>
        <w:t xml:space="preserve">Differing treatment of one gender’s sexual misconduct allegations, compared to the other gender’s treatment, has been found to indicate </w:t>
      </w:r>
      <w:r>
        <w:rPr>
          <w:rFonts w:ascii="Times New Roman" w:hAnsi="Times New Roman"/>
          <w:sz w:val="24"/>
          <w:szCs w:val="24"/>
        </w:rPr>
        <w:t>‘</w:t>
      </w:r>
      <w:r w:rsidRPr="000F4C26">
        <w:rPr>
          <w:rFonts w:ascii="Times New Roman" w:hAnsi="Times New Roman"/>
          <w:sz w:val="24"/>
          <w:szCs w:val="24"/>
        </w:rPr>
        <w:t>an informal yet established custom or policy of discrimination</w:t>
      </w:r>
      <w:r>
        <w:rPr>
          <w:rFonts w:ascii="Times New Roman" w:hAnsi="Times New Roman"/>
          <w:sz w:val="24"/>
          <w:szCs w:val="24"/>
        </w:rPr>
        <w:t>’</w:t>
      </w:r>
      <w:r w:rsidRPr="000F4C26">
        <w:rPr>
          <w:rFonts w:ascii="Times New Roman" w:hAnsi="Times New Roman"/>
          <w:sz w:val="24"/>
          <w:szCs w:val="24"/>
        </w:rPr>
        <w:t xml:space="preserve"> against one gender while treating the other gender’s complaints more seriously. Hicks v. Sheahan, No. 03 C 0327, 2004 WL 3119016, at *18 (N.D. Ill. 2004).</w:t>
      </w:r>
      <w:r w:rsidR="00BF4DDE">
        <w:rPr>
          <w:rFonts w:ascii="Times New Roman" w:hAnsi="Times New Roman"/>
          <w:sz w:val="24"/>
          <w:szCs w:val="24"/>
        </w:rPr>
        <w:t xml:space="preserve"> *** </w:t>
      </w:r>
      <w:r w:rsidRPr="000F4C26">
        <w:rPr>
          <w:rFonts w:ascii="Times New Roman" w:hAnsi="Times New Roman"/>
          <w:sz w:val="24"/>
          <w:szCs w:val="24"/>
        </w:rPr>
        <w:t>Specifically, Plaintiffs’ motion seeks the student’s complaint, the OIG Report, witness statements, documents detailing the allegations, and documents that reflect the outcome of the investigation into the student’s allegation.</w:t>
      </w:r>
      <w:r w:rsidR="00BF4DDE">
        <w:rPr>
          <w:rFonts w:ascii="Times New Roman" w:hAnsi="Times New Roman"/>
          <w:sz w:val="24"/>
          <w:szCs w:val="24"/>
        </w:rPr>
        <w:t xml:space="preserve"> *** </w:t>
      </w:r>
      <w:r w:rsidRPr="000F4C26">
        <w:rPr>
          <w:rFonts w:ascii="Times New Roman" w:hAnsi="Times New Roman"/>
          <w:sz w:val="24"/>
          <w:szCs w:val="24"/>
        </w:rPr>
        <w:t xml:space="preserve">Plaintiffs argue that these documents are relevant to compare how Defendant treats male versus female sexual misconduct complainants. *** Here, the Complaint’s </w:t>
      </w:r>
      <w:r w:rsidRPr="000F4C26">
        <w:rPr>
          <w:rFonts w:ascii="Times New Roman" w:hAnsi="Times New Roman"/>
          <w:sz w:val="24"/>
          <w:szCs w:val="24"/>
          <w:u w:val="single"/>
        </w:rPr>
        <w:t xml:space="preserve">Monell [Monell v. </w:t>
      </w:r>
      <w:proofErr w:type="spellStart"/>
      <w:r w:rsidRPr="000F4C26">
        <w:rPr>
          <w:rFonts w:ascii="Times New Roman" w:hAnsi="Times New Roman"/>
          <w:sz w:val="24"/>
          <w:szCs w:val="24"/>
          <w:u w:val="single"/>
        </w:rPr>
        <w:t>Dep’t</w:t>
      </w:r>
      <w:proofErr w:type="spellEnd"/>
      <w:r w:rsidRPr="000F4C26">
        <w:rPr>
          <w:rFonts w:ascii="Times New Roman" w:hAnsi="Times New Roman"/>
          <w:sz w:val="24"/>
          <w:szCs w:val="24"/>
          <w:u w:val="single"/>
        </w:rPr>
        <w:t xml:space="preserve"> of Social Services</w:t>
      </w:r>
      <w:r w:rsidRPr="000F4C26">
        <w:rPr>
          <w:rFonts w:ascii="Times New Roman" w:hAnsi="Times New Roman"/>
          <w:sz w:val="24"/>
          <w:szCs w:val="24"/>
        </w:rPr>
        <w:t>, 436 U.S. 658 (1978)]</w:t>
      </w:r>
      <w:r>
        <w:rPr>
          <w:sz w:val="27"/>
          <w:szCs w:val="27"/>
        </w:rPr>
        <w:t xml:space="preserve"> </w:t>
      </w:r>
      <w:r w:rsidRPr="000F4C26">
        <w:rPr>
          <w:rFonts w:ascii="Times New Roman" w:hAnsi="Times New Roman"/>
          <w:sz w:val="24"/>
          <w:szCs w:val="24"/>
        </w:rPr>
        <w:t>claim alleges, in part, that Defendant had a discriminatory policy or practice of failing to adequately investigate and discipline its employees accused of sexual misconduct.</w:t>
      </w:r>
      <w:r w:rsidR="00BF4DDE">
        <w:rPr>
          <w:rFonts w:ascii="Times New Roman" w:hAnsi="Times New Roman"/>
          <w:sz w:val="24"/>
          <w:szCs w:val="24"/>
        </w:rPr>
        <w:t>”</w:t>
      </w:r>
      <w:hyperlink r:id="rId1499" w:history="1">
        <w:r w:rsidR="00BF4DDE" w:rsidRPr="002F304C">
          <w:rPr>
            <w:rStyle w:val="Hyperlink"/>
            <w:rFonts w:ascii="Times New Roman" w:hAnsi="Times New Roman"/>
            <w:sz w:val="24"/>
            <w:szCs w:val="24"/>
          </w:rPr>
          <w:t>https://law.justia.com/cases/federal/district-courts/illinois/ilndce/1:2018cv03054/351942/211/</w:t>
        </w:r>
      </w:hyperlink>
      <w:r w:rsidR="00BF4DDE" w:rsidRPr="00BF4DDE">
        <w:rPr>
          <w:rFonts w:ascii="Times New Roman" w:hAnsi="Times New Roman"/>
          <w:sz w:val="24"/>
          <w:szCs w:val="24"/>
        </w:rPr>
        <w:t xml:space="preserve"> </w:t>
      </w:r>
    </w:p>
    <w:p w14:paraId="073F3E01" w14:textId="4F42E546" w:rsidR="002B1283" w:rsidRDefault="002B1283" w:rsidP="002B1283">
      <w:pPr>
        <w:pStyle w:val="NoSpacing"/>
        <w:ind w:left="720"/>
        <w:rPr>
          <w:rFonts w:ascii="Times New Roman" w:hAnsi="Times New Roman"/>
          <w:sz w:val="24"/>
          <w:szCs w:val="24"/>
        </w:rPr>
      </w:pPr>
    </w:p>
    <w:p w14:paraId="79B82112" w14:textId="77777777" w:rsidR="002B1283" w:rsidRPr="00A217F1" w:rsidRDefault="002B1283" w:rsidP="002B1283">
      <w:pPr>
        <w:pStyle w:val="NoSpacing"/>
        <w:ind w:firstLine="720"/>
        <w:rPr>
          <w:rFonts w:ascii="Times New Roman" w:hAnsi="Times New Roman"/>
          <w:b/>
          <w:bCs/>
          <w:sz w:val="24"/>
          <w:szCs w:val="24"/>
        </w:rPr>
      </w:pPr>
    </w:p>
    <w:p w14:paraId="309B8F63" w14:textId="1B76C354" w:rsidR="002B1283" w:rsidRDefault="002B1283" w:rsidP="002B1283">
      <w:pPr>
        <w:pStyle w:val="NoSpacing"/>
        <w:rPr>
          <w:rFonts w:ascii="Times New Roman" w:hAnsi="Times New Roman"/>
          <w:b/>
          <w:bCs/>
          <w:sz w:val="24"/>
          <w:szCs w:val="24"/>
        </w:rPr>
      </w:pPr>
      <w:r w:rsidRPr="00A217F1">
        <w:rPr>
          <w:rFonts w:ascii="Times New Roman" w:hAnsi="Times New Roman"/>
          <w:b/>
          <w:bCs/>
          <w:sz w:val="24"/>
          <w:szCs w:val="24"/>
        </w:rPr>
        <w:t xml:space="preserve">Legal Lessons Learned:  Courts favor pre-trial discovery.  The U.S. Supreme Court in Monell held that municipalities can be liable under § 1983 for deprivations pursuant to official policy or entrenched practices. </w:t>
      </w:r>
    </w:p>
    <w:p w14:paraId="5AD8A041" w14:textId="77777777" w:rsidR="002B1283" w:rsidRPr="00A217F1" w:rsidRDefault="002B1283" w:rsidP="002B1283">
      <w:pPr>
        <w:pStyle w:val="NoSpacing"/>
        <w:rPr>
          <w:rFonts w:ascii="Times New Roman" w:hAnsi="Times New Roman"/>
          <w:b/>
          <w:bCs/>
          <w:sz w:val="24"/>
          <w:szCs w:val="24"/>
        </w:rPr>
      </w:pPr>
      <w:r w:rsidRPr="00A217F1">
        <w:rPr>
          <w:rFonts w:ascii="Times New Roman" w:hAnsi="Times New Roman"/>
          <w:b/>
          <w:bCs/>
          <w:sz w:val="24"/>
          <w:szCs w:val="24"/>
        </w:rPr>
        <w:t xml:space="preserve">Monell v. Department of Social Services, 436 U.S. 658 (1978). </w:t>
      </w:r>
      <w:hyperlink r:id="rId1500" w:history="1">
        <w:r w:rsidRPr="00455844">
          <w:rPr>
            <w:rStyle w:val="Hyperlink"/>
            <w:rFonts w:ascii="Times New Roman" w:hAnsi="Times New Roman"/>
            <w:b/>
            <w:bCs/>
            <w:sz w:val="24"/>
            <w:szCs w:val="24"/>
          </w:rPr>
          <w:t>https://caselaw.findlaw.com/us-supreme-court/436/658.html</w:t>
        </w:r>
      </w:hyperlink>
      <w:r>
        <w:rPr>
          <w:rFonts w:ascii="Times New Roman" w:hAnsi="Times New Roman"/>
          <w:b/>
          <w:bCs/>
          <w:sz w:val="24"/>
          <w:szCs w:val="24"/>
        </w:rPr>
        <w:t xml:space="preserve"> </w:t>
      </w:r>
    </w:p>
    <w:p w14:paraId="4388CEE8" w14:textId="77777777" w:rsidR="002B1283" w:rsidRDefault="002B1283" w:rsidP="002B1283">
      <w:pPr>
        <w:pStyle w:val="NoSpacing"/>
        <w:ind w:left="720"/>
        <w:rPr>
          <w:rFonts w:ascii="Times New Roman" w:hAnsi="Times New Roman"/>
          <w:sz w:val="24"/>
          <w:szCs w:val="24"/>
        </w:rPr>
      </w:pPr>
    </w:p>
    <w:p w14:paraId="72766655" w14:textId="77777777" w:rsidR="002B1283" w:rsidRPr="00E232C6"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E232C6">
        <w:rPr>
          <w:rFonts w:ascii="Times New Roman" w:hAnsi="Times New Roman"/>
          <w:sz w:val="24"/>
          <w:szCs w:val="24"/>
        </w:rPr>
        <w:t xml:space="preserve">To prevail on a Monell claim, a plaintiff must show that: </w:t>
      </w:r>
      <w:r>
        <w:rPr>
          <w:rFonts w:ascii="Times New Roman" w:hAnsi="Times New Roman"/>
          <w:sz w:val="24"/>
          <w:szCs w:val="24"/>
        </w:rPr>
        <w:t>‘</w:t>
      </w:r>
      <w:r w:rsidRPr="00E232C6">
        <w:rPr>
          <w:rFonts w:ascii="Times New Roman" w:hAnsi="Times New Roman"/>
          <w:sz w:val="24"/>
          <w:szCs w:val="24"/>
        </w:rPr>
        <w:t>(1) the City had an express policy that, when enforced, causes a constitutional deprivation; (2) the City had a widespread practice that, although not authorized by written law or express municipal policy, is so permanent and well settled as to constitute a custom or usage within the force of law; or (3) plaintiff's constitutional injury was caused by a person with final policymaking authority.</w:t>
      </w:r>
      <w:r>
        <w:rPr>
          <w:rFonts w:ascii="Times New Roman" w:hAnsi="Times New Roman"/>
          <w:sz w:val="24"/>
          <w:szCs w:val="24"/>
        </w:rPr>
        <w:t>’”</w:t>
      </w:r>
      <w:r w:rsidRPr="00E232C6">
        <w:t xml:space="preserve"> </w:t>
      </w:r>
      <w:hyperlink r:id="rId1501" w:history="1">
        <w:r w:rsidRPr="0028432B">
          <w:rPr>
            <w:rStyle w:val="Hyperlink"/>
            <w:rFonts w:ascii="Times New Roman" w:hAnsi="Times New Roman"/>
            <w:sz w:val="24"/>
            <w:szCs w:val="24"/>
          </w:rPr>
          <w:t>https://cases.justia.com/federal/district-courts/illinois/ilndce/1:2018cv03054/351942/211/0.pdf?ts=1558430418</w:t>
        </w:r>
      </w:hyperlink>
      <w:r>
        <w:rPr>
          <w:rFonts w:ascii="Times New Roman" w:hAnsi="Times New Roman"/>
          <w:sz w:val="24"/>
          <w:szCs w:val="24"/>
        </w:rPr>
        <w:t xml:space="preserve"> </w:t>
      </w:r>
    </w:p>
    <w:p w14:paraId="4340B2BB" w14:textId="77777777" w:rsidR="002B1283" w:rsidRDefault="002B1283" w:rsidP="002B1283">
      <w:pPr>
        <w:rPr>
          <w:rFonts w:ascii="Times New Roman" w:hAnsi="Times New Roman"/>
          <w:sz w:val="24"/>
          <w:szCs w:val="24"/>
        </w:rPr>
      </w:pPr>
    </w:p>
    <w:p w14:paraId="15D2623A" w14:textId="77777777" w:rsidR="0097592D" w:rsidRDefault="0097592D" w:rsidP="00F326E5">
      <w:pPr>
        <w:pStyle w:val="NoSpacing"/>
        <w:rPr>
          <w:rFonts w:ascii="Arial Black" w:hAnsi="Arial Black"/>
          <w:sz w:val="24"/>
          <w:szCs w:val="24"/>
        </w:rPr>
      </w:pPr>
    </w:p>
    <w:p w14:paraId="6E895166" w14:textId="1D425C0F" w:rsidR="002B1283" w:rsidRPr="005B0774" w:rsidRDefault="005B0774" w:rsidP="00F326E5">
      <w:pPr>
        <w:pStyle w:val="NoSpacing"/>
        <w:rPr>
          <w:rFonts w:ascii="Arial Black" w:hAnsi="Arial Black"/>
          <w:sz w:val="24"/>
          <w:szCs w:val="24"/>
        </w:rPr>
      </w:pPr>
      <w:r w:rsidRPr="005B0774">
        <w:rPr>
          <w:rFonts w:ascii="Arial Black" w:hAnsi="Arial Black"/>
          <w:sz w:val="24"/>
          <w:szCs w:val="24"/>
        </w:rPr>
        <w:t>7-7</w:t>
      </w:r>
    </w:p>
    <w:p w14:paraId="383E120A" w14:textId="0FE04715" w:rsidR="005B0774" w:rsidRDefault="005B0774" w:rsidP="00DE0F03">
      <w:pPr>
        <w:rPr>
          <w:rFonts w:ascii="Arial Black" w:hAnsi="Arial Black"/>
          <w:b/>
          <w:sz w:val="24"/>
          <w:szCs w:val="24"/>
        </w:rPr>
      </w:pPr>
    </w:p>
    <w:p w14:paraId="6AF499DB" w14:textId="77777777" w:rsidR="005B0774" w:rsidRPr="005B0774" w:rsidRDefault="005B0774" w:rsidP="00DE0F03">
      <w:pPr>
        <w:rPr>
          <w:rFonts w:ascii="Arial Black" w:hAnsi="Arial Black" w:cs="Arial"/>
          <w:sz w:val="28"/>
          <w:szCs w:val="28"/>
        </w:rPr>
      </w:pPr>
      <w:r w:rsidRPr="005B0774">
        <w:rPr>
          <w:rFonts w:ascii="Arial Black" w:hAnsi="Arial Black" w:cs="Arial"/>
          <w:sz w:val="28"/>
          <w:szCs w:val="28"/>
        </w:rPr>
        <w:t xml:space="preserve">NE: FEMALE FF “HOSTILE WORKPLACE” LAWSUIT MAY PROCEED – JUDGE REF. MALE CAPTAIN’S $1.1M JURY VERDICT AGAINST FD </w:t>
      </w:r>
    </w:p>
    <w:p w14:paraId="682D04F7" w14:textId="77777777" w:rsidR="00BF4DDE" w:rsidRDefault="005B0774" w:rsidP="00DE0F03">
      <w:pPr>
        <w:rPr>
          <w:rFonts w:ascii="Times New Roman" w:hAnsi="Times New Roman"/>
          <w:sz w:val="24"/>
          <w:szCs w:val="24"/>
        </w:rPr>
      </w:pPr>
      <w:r w:rsidRPr="0036327D">
        <w:rPr>
          <w:rFonts w:ascii="Times New Roman" w:hAnsi="Times New Roman"/>
          <w:sz w:val="24"/>
          <w:szCs w:val="24"/>
        </w:rPr>
        <w:t>On April 22, 2019, in Manda Benson v. City of Lincoln, Senior U.S. District Court judge Richard G. Kopf, denied the City’s motion to dismiss:</w:t>
      </w:r>
    </w:p>
    <w:p w14:paraId="2A13AB13" w14:textId="2E70E1EC" w:rsidR="005B0774" w:rsidRPr="0036327D" w:rsidRDefault="005B0774" w:rsidP="00BF4DDE">
      <w:pPr>
        <w:ind w:left="720"/>
        <w:rPr>
          <w:rFonts w:ascii="Times New Roman" w:hAnsi="Times New Roman"/>
          <w:sz w:val="24"/>
          <w:szCs w:val="24"/>
        </w:rPr>
      </w:pPr>
      <w:r w:rsidRPr="0036327D">
        <w:rPr>
          <w:rFonts w:ascii="Times New Roman" w:hAnsi="Times New Roman"/>
          <w:sz w:val="24"/>
          <w:szCs w:val="24"/>
        </w:rPr>
        <w:t xml:space="preserve">“In yet another lawsuit[Footnote 1] alleging that employees of the City of Lincoln and Lincoln Fire and Rescue ... discriminated against, retaliated against, and created a hostile work environment for female firefighters on the basis of sex and/or national origin, Plaintiff Amanda Benson asserts in her Second Amended Complaint (Filing No. 18) the following causes of action (‘COA’) against the City of Lincoln and eight other Defendants in their individual and official capacities... Footnote 1: See Hurd v. City of Lincoln (No. 4:16CV3029) (D. Neb. 2016) and Giles v. City of Lincoln (No. 4:17CV3050) (D. Neb. 2017). *** Footnote 9: The court takes judicial notice of the jury verdict in the amount of $1,177,815.43 in Hurd v. City of Lincoln, No. 4:16CV3029, Filing No. 250 (D. Neb. Feb. 26, 2019), in favor of Troy Hurd and against the City of Lincoln on Hurd's Title VII and NFEPA claim that he was retaliated against after complaining about sexual and national-origin discrimination of a fellow female LF&amp;R firefighter and the resulting hostile work environment. Hurd had complained about the discrimination and hostile work environment to LF&amp;R personnel, City management, and the NEOC/EEOC.” </w:t>
      </w:r>
      <w:r w:rsidR="00BF4DDE">
        <w:rPr>
          <w:rFonts w:ascii="Times New Roman" w:hAnsi="Times New Roman"/>
          <w:sz w:val="24"/>
          <w:szCs w:val="24"/>
        </w:rPr>
        <w:t xml:space="preserve"> </w:t>
      </w:r>
      <w:hyperlink r:id="rId1502" w:history="1">
        <w:r w:rsidR="00BF4DDE" w:rsidRPr="002F304C">
          <w:rPr>
            <w:rStyle w:val="Hyperlink"/>
            <w:rFonts w:ascii="Times New Roman" w:hAnsi="Times New Roman"/>
            <w:sz w:val="24"/>
            <w:szCs w:val="24"/>
          </w:rPr>
          <w:t>https://casetext.com/case/benson-v-city-of-lincoln</w:t>
        </w:r>
      </w:hyperlink>
      <w:r w:rsidR="00BF4DDE">
        <w:rPr>
          <w:rFonts w:ascii="Times New Roman" w:hAnsi="Times New Roman"/>
          <w:sz w:val="24"/>
          <w:szCs w:val="24"/>
        </w:rPr>
        <w:t xml:space="preserve"> </w:t>
      </w:r>
    </w:p>
    <w:p w14:paraId="7A0E731C" w14:textId="77777777" w:rsidR="00BF4DDE" w:rsidRDefault="005B0774" w:rsidP="00DE0F03">
      <w:pPr>
        <w:rPr>
          <w:rFonts w:ascii="Times New Roman" w:hAnsi="Times New Roman"/>
          <w:b/>
          <w:bCs/>
          <w:sz w:val="24"/>
          <w:szCs w:val="24"/>
        </w:rPr>
      </w:pPr>
      <w:r w:rsidRPr="0036327D">
        <w:rPr>
          <w:rFonts w:ascii="Times New Roman" w:hAnsi="Times New Roman"/>
          <w:b/>
          <w:bCs/>
          <w:sz w:val="24"/>
          <w:szCs w:val="24"/>
        </w:rPr>
        <w:t xml:space="preserve">Legal Lessons Learned: The lawsuit will now proceed to trial; Federal juries have returned some very large verdicts.  </w:t>
      </w:r>
    </w:p>
    <w:p w14:paraId="40092AA7" w14:textId="3AB62DF9" w:rsidR="00BF4DDE" w:rsidRDefault="005B0774" w:rsidP="00DE0F03">
      <w:pPr>
        <w:rPr>
          <w:rFonts w:ascii="Times New Roman" w:hAnsi="Times New Roman"/>
          <w:sz w:val="24"/>
          <w:szCs w:val="24"/>
        </w:rPr>
      </w:pPr>
      <w:r w:rsidRPr="00BF4DDE">
        <w:rPr>
          <w:rFonts w:ascii="Times New Roman" w:hAnsi="Times New Roman"/>
          <w:sz w:val="24"/>
          <w:szCs w:val="24"/>
        </w:rPr>
        <w:t xml:space="preserve">See complaint: </w:t>
      </w:r>
      <w:hyperlink r:id="rId1503" w:history="1">
        <w:r w:rsidRPr="00BF4DDE">
          <w:rPr>
            <w:rStyle w:val="Hyperlink"/>
            <w:rFonts w:ascii="Times New Roman" w:hAnsi="Times New Roman"/>
            <w:sz w:val="24"/>
            <w:szCs w:val="24"/>
          </w:rPr>
          <w:t>http://41af3k34gprx4f6bg12df75i.wpengine.netdna-cdn.com/wp-content/uploads/sites/19/2016/03/Hurd-v-Lincoln.pdf</w:t>
        </w:r>
      </w:hyperlink>
      <w:r w:rsidRPr="00BF4DDE">
        <w:rPr>
          <w:rFonts w:ascii="Times New Roman" w:hAnsi="Times New Roman"/>
          <w:sz w:val="24"/>
          <w:szCs w:val="24"/>
        </w:rPr>
        <w:t xml:space="preserve"> </w:t>
      </w:r>
    </w:p>
    <w:p w14:paraId="36463C6C" w14:textId="2AF97BA5" w:rsidR="005B0774" w:rsidRPr="00BF4DDE" w:rsidRDefault="005B0774" w:rsidP="00DE0F03">
      <w:pPr>
        <w:rPr>
          <w:rFonts w:ascii="Times New Roman" w:hAnsi="Times New Roman"/>
          <w:sz w:val="24"/>
          <w:szCs w:val="24"/>
        </w:rPr>
      </w:pPr>
      <w:r w:rsidRPr="00BF4DDE">
        <w:rPr>
          <w:rFonts w:ascii="Times New Roman" w:hAnsi="Times New Roman"/>
          <w:sz w:val="24"/>
          <w:szCs w:val="24"/>
        </w:rPr>
        <w:t xml:space="preserve">See article about the case: </w:t>
      </w:r>
      <w:hyperlink r:id="rId1504" w:history="1">
        <w:r w:rsidRPr="00BF4DDE">
          <w:rPr>
            <w:rStyle w:val="Hyperlink"/>
            <w:rFonts w:ascii="Times New Roman" w:hAnsi="Times New Roman"/>
            <w:sz w:val="24"/>
            <w:szCs w:val="24"/>
          </w:rPr>
          <w:t>https://journalstar.com/news/local/crime-and-courts/female-firefighter-s-discrimination-case-against-the-city-of-lincoln/article_97cf8ac8-bb20-5343-8e10-3faf315b0dd8.html</w:t>
        </w:r>
      </w:hyperlink>
      <w:r w:rsidRPr="00BF4DDE">
        <w:rPr>
          <w:rFonts w:ascii="Times New Roman" w:hAnsi="Times New Roman"/>
          <w:sz w:val="24"/>
          <w:szCs w:val="24"/>
        </w:rPr>
        <w:t xml:space="preserve"> </w:t>
      </w:r>
    </w:p>
    <w:p w14:paraId="7A3B2E81" w14:textId="22246162" w:rsidR="005B0774" w:rsidRPr="005B0774" w:rsidRDefault="005B0774" w:rsidP="00DE0F03">
      <w:pPr>
        <w:rPr>
          <w:rFonts w:ascii="Times New Roman" w:hAnsi="Times New Roman"/>
          <w:bCs/>
          <w:sz w:val="24"/>
          <w:szCs w:val="24"/>
        </w:rPr>
      </w:pPr>
    </w:p>
    <w:p w14:paraId="00169B06" w14:textId="77777777" w:rsidR="005B0774" w:rsidRDefault="005B0774" w:rsidP="00DE0F03">
      <w:pPr>
        <w:rPr>
          <w:rFonts w:ascii="Arial Black" w:hAnsi="Arial Black"/>
          <w:b/>
          <w:sz w:val="24"/>
          <w:szCs w:val="24"/>
        </w:rPr>
      </w:pPr>
    </w:p>
    <w:p w14:paraId="4B360F1F" w14:textId="77777777" w:rsidR="00BF4DDE" w:rsidRDefault="00BF4DDE" w:rsidP="00DE0F03">
      <w:pPr>
        <w:rPr>
          <w:rFonts w:ascii="Arial Black" w:hAnsi="Arial Black"/>
          <w:b/>
          <w:sz w:val="24"/>
          <w:szCs w:val="24"/>
        </w:rPr>
      </w:pPr>
    </w:p>
    <w:p w14:paraId="34039C00" w14:textId="77777777" w:rsidR="00BF4DDE" w:rsidRDefault="00BF4DDE" w:rsidP="00DE0F03">
      <w:pPr>
        <w:rPr>
          <w:rFonts w:ascii="Arial Black" w:hAnsi="Arial Black"/>
          <w:b/>
          <w:sz w:val="24"/>
          <w:szCs w:val="24"/>
        </w:rPr>
      </w:pPr>
    </w:p>
    <w:p w14:paraId="72D9EE62" w14:textId="73EF079A" w:rsidR="002B1283" w:rsidRDefault="00EF1133" w:rsidP="00DE0F03">
      <w:pPr>
        <w:rPr>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6</w:t>
      </w:r>
    </w:p>
    <w:p w14:paraId="6C658549" w14:textId="6FBBAAF4" w:rsidR="00F326E5" w:rsidRDefault="00F326E5" w:rsidP="00F326E5">
      <w:pPr>
        <w:pStyle w:val="NoSpacing"/>
        <w:rPr>
          <w:rFonts w:ascii="Arial Black" w:hAnsi="Arial Black"/>
          <w:sz w:val="28"/>
          <w:szCs w:val="28"/>
        </w:rPr>
      </w:pPr>
      <w:r w:rsidRPr="00284D6A">
        <w:rPr>
          <w:rFonts w:ascii="Arial Black" w:hAnsi="Arial Black"/>
          <w:sz w:val="28"/>
          <w:szCs w:val="28"/>
        </w:rPr>
        <w:t>AL:  PREGNANT EMT</w:t>
      </w:r>
      <w:r>
        <w:rPr>
          <w:rFonts w:ascii="Arial Black" w:hAnsi="Arial Black"/>
          <w:sz w:val="28"/>
          <w:szCs w:val="28"/>
        </w:rPr>
        <w:t>– SEEKS “LIGHT DUTY” - EEOC SUPPORTING HER APPEAL TO 11</w:t>
      </w:r>
      <w:r w:rsidRPr="00642DD2">
        <w:rPr>
          <w:rFonts w:ascii="Arial Black" w:hAnsi="Arial Black"/>
          <w:sz w:val="28"/>
          <w:szCs w:val="28"/>
          <w:vertAlign w:val="superscript"/>
        </w:rPr>
        <w:t>TH</w:t>
      </w:r>
      <w:r>
        <w:rPr>
          <w:rFonts w:ascii="Arial Black" w:hAnsi="Arial Black"/>
          <w:sz w:val="28"/>
          <w:szCs w:val="28"/>
        </w:rPr>
        <w:t xml:space="preserve"> CIRCUIT </w:t>
      </w:r>
    </w:p>
    <w:p w14:paraId="0DB720FB" w14:textId="77777777" w:rsidR="00F326E5" w:rsidRP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Feb. 11, 2019, in </w:t>
      </w:r>
      <w:r w:rsidRPr="00BF4DDE">
        <w:rPr>
          <w:rFonts w:ascii="Times New Roman" w:hAnsi="Times New Roman"/>
          <w:sz w:val="24"/>
          <w:szCs w:val="24"/>
          <w:u w:val="single"/>
        </w:rPr>
        <w:t>Kimberly Michell Durham v. Rural / Metro Corporation</w:t>
      </w:r>
      <w:r w:rsidRPr="00BF4DDE">
        <w:rPr>
          <w:rFonts w:ascii="Times New Roman" w:hAnsi="Times New Roman"/>
          <w:sz w:val="24"/>
          <w:szCs w:val="24"/>
        </w:rPr>
        <w:t>, the Equal Employment Opportunity Commission has filed an amicus brief with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(Atlanta), arguing: </w:t>
      </w:r>
    </w:p>
    <w:p w14:paraId="4579008B" w14:textId="77777777" w:rsidR="00F326E5" w:rsidRPr="00BF4DDE" w:rsidRDefault="00F326E5" w:rsidP="00F326E5">
      <w:pPr>
        <w:pStyle w:val="NormalWeb"/>
        <w:ind w:left="720"/>
      </w:pPr>
      <w:r w:rsidRPr="00BF4DDE">
        <w:t xml:space="preserve">“The PDA [Pregnancy Discrimination Act] does not categorically bar employers from maintaining a policy of accommodating only a subset of employees, including those employees with on-the-job injuries. See [U.S. Supreme Court’s 2015 decision in </w:t>
      </w:r>
      <w:proofErr w:type="gramStart"/>
      <w:r w:rsidRPr="00BF4DDE">
        <w:rPr>
          <w:i/>
        </w:rPr>
        <w:t>Young</w:t>
      </w:r>
      <w:proofErr w:type="gramEnd"/>
      <w:r w:rsidRPr="00BF4DDE">
        <w:rPr>
          <w:i/>
        </w:rPr>
        <w:t xml:space="preserve"> v. UPS</w:t>
      </w:r>
      <w:r w:rsidRPr="00BF4DDE">
        <w:t xml:space="preserve">] 135 S. Ct. at 1349-51. However, </w:t>
      </w:r>
      <w:r w:rsidRPr="00BF4DDE">
        <w:rPr>
          <w:i/>
        </w:rPr>
        <w:t>Young</w:t>
      </w:r>
      <w:r w:rsidRPr="00BF4DDE">
        <w:t xml:space="preserve"> allows that a jury may find that an employer’s policy of accommodating only some employees is a pretext for pregnancy </w:t>
      </w:r>
      <w:proofErr w:type="gramStart"/>
      <w:r w:rsidRPr="00BF4DDE">
        <w:t>discrimination.”</w:t>
      </w:r>
      <w:proofErr w:type="gramEnd"/>
      <w:r w:rsidRPr="00BF4DDE">
        <w:t xml:space="preserve"> </w:t>
      </w:r>
      <w:hyperlink r:id="rId1505" w:history="1">
        <w:r w:rsidRPr="00BF4DDE">
          <w:rPr>
            <w:rStyle w:val="Hyperlink"/>
          </w:rPr>
          <w:t>https://assets.documentcloud.org/documents/5745041/Eeoc.pdf</w:t>
        </w:r>
      </w:hyperlink>
      <w:r w:rsidRPr="00BF4DDE">
        <w:t xml:space="preserve"> [Page 31]</w:t>
      </w:r>
    </w:p>
    <w:p w14:paraId="4E16B9A6" w14:textId="5711C36B"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This is an important case for the fire </w:t>
      </w:r>
      <w:proofErr w:type="gramStart"/>
      <w:r w:rsidRPr="00BF4DDE">
        <w:rPr>
          <w:rFonts w:ascii="Times New Roman" w:hAnsi="Times New Roman"/>
          <w:b/>
          <w:sz w:val="24"/>
          <w:szCs w:val="24"/>
        </w:rPr>
        <w:t>service, and</w:t>
      </w:r>
      <w:proofErr w:type="gramEnd"/>
      <w:r w:rsidRPr="00BF4DDE">
        <w:rPr>
          <w:rFonts w:ascii="Times New Roman" w:hAnsi="Times New Roman"/>
          <w:b/>
          <w:sz w:val="24"/>
          <w:szCs w:val="24"/>
        </w:rPr>
        <w:t xml:space="preserve"> may eventually reach the U.S. Supreme Court.  </w:t>
      </w:r>
    </w:p>
    <w:p w14:paraId="5F82BB95" w14:textId="77777777" w:rsidR="005B0774" w:rsidRDefault="005B0774" w:rsidP="00F326E5">
      <w:pPr>
        <w:pStyle w:val="NoSpacing"/>
        <w:rPr>
          <w:b/>
          <w:sz w:val="24"/>
          <w:szCs w:val="24"/>
        </w:rPr>
      </w:pPr>
    </w:p>
    <w:p w14:paraId="3FB721E6" w14:textId="77777777" w:rsidR="00F326E5" w:rsidRPr="00BF4DDE" w:rsidRDefault="00F326E5" w:rsidP="00F326E5">
      <w:pPr>
        <w:pStyle w:val="NoSpacing"/>
        <w:ind w:left="720"/>
        <w:rPr>
          <w:rStyle w:val="Hyperlink"/>
          <w:rFonts w:ascii="Times New Roman" w:hAnsi="Times New Roman"/>
          <w:sz w:val="24"/>
          <w:szCs w:val="24"/>
        </w:rPr>
      </w:pPr>
      <w:r w:rsidRPr="00BF4DDE">
        <w:rPr>
          <w:rFonts w:ascii="Times New Roman" w:hAnsi="Times New Roman"/>
          <w:sz w:val="24"/>
          <w:szCs w:val="24"/>
        </w:rPr>
        <w:t>Note:  Numerous civil rights groups, including a Better Balance, The National Women’s Law Center and the National Employment Law Project, have filed amicus briefs urging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to reverse the Federal District court’s decision. </w:t>
      </w:r>
      <w:hyperlink r:id="rId1506" w:history="1">
        <w:r w:rsidRPr="00BF4DDE">
          <w:rPr>
            <w:rStyle w:val="Hyperlink"/>
            <w:rFonts w:ascii="Times New Roman" w:hAnsi="Times New Roman"/>
            <w:sz w:val="24"/>
            <w:szCs w:val="24"/>
          </w:rPr>
          <w:t>https://assets.documentcloud.org/documents/5745040/Better-Balance.pdf</w:t>
        </w:r>
      </w:hyperlink>
      <w:r w:rsidRPr="00BF4DDE">
        <w:rPr>
          <w:rFonts w:ascii="Times New Roman" w:hAnsi="Times New Roman"/>
          <w:sz w:val="24"/>
          <w:szCs w:val="24"/>
        </w:rPr>
        <w:t xml:space="preserve"> .</w:t>
      </w:r>
      <w:r w:rsidRPr="00BF4DDE">
        <w:rPr>
          <w:rFonts w:ascii="Times New Roman" w:hAnsi="Times New Roman"/>
          <w:bCs/>
          <w:kern w:val="36"/>
          <w:sz w:val="24"/>
          <w:szCs w:val="24"/>
        </w:rPr>
        <w:t xml:space="preserve"> See also Feb. 22, </w:t>
      </w:r>
      <w:proofErr w:type="gramStart"/>
      <w:r w:rsidRPr="00BF4DDE">
        <w:rPr>
          <w:rFonts w:ascii="Times New Roman" w:hAnsi="Times New Roman"/>
          <w:bCs/>
          <w:kern w:val="36"/>
          <w:sz w:val="24"/>
          <w:szCs w:val="24"/>
        </w:rPr>
        <w:t>2019</w:t>
      </w:r>
      <w:proofErr w:type="gramEnd"/>
      <w:r w:rsidRPr="00BF4DDE">
        <w:rPr>
          <w:rFonts w:ascii="Times New Roman" w:hAnsi="Times New Roman"/>
          <w:bCs/>
          <w:kern w:val="36"/>
          <w:sz w:val="24"/>
          <w:szCs w:val="24"/>
        </w:rPr>
        <w:t xml:space="preserve"> article, “11th Circuit Pregnancy Bias Case Tests 2015 Supreme Court Ruling,” </w:t>
      </w:r>
      <w:hyperlink r:id="rId1507" w:history="1">
        <w:r w:rsidRPr="00BF4DDE">
          <w:rPr>
            <w:rStyle w:val="Hyperlink"/>
            <w:rFonts w:ascii="Times New Roman" w:hAnsi="Times New Roman"/>
            <w:sz w:val="24"/>
            <w:szCs w:val="24"/>
          </w:rPr>
          <w:t>https://www.law.com/nationallawjournal/2019/02/22/11th-circuit-pregnancy-bias-case-tests-2015-supreme-court-ruling/</w:t>
        </w:r>
      </w:hyperlink>
      <w:r w:rsidRPr="00BF4DDE">
        <w:rPr>
          <w:rStyle w:val="Hyperlink"/>
          <w:rFonts w:ascii="Times New Roman" w:hAnsi="Times New Roman"/>
          <w:sz w:val="24"/>
          <w:szCs w:val="24"/>
        </w:rPr>
        <w:t xml:space="preserve">  </w:t>
      </w:r>
    </w:p>
    <w:p w14:paraId="3CE90402" w14:textId="77777777" w:rsidR="00EF1133" w:rsidRDefault="00EF1133" w:rsidP="00EF1133">
      <w:pPr>
        <w:rPr>
          <w:rFonts w:ascii="Arial Black" w:hAnsi="Arial Black"/>
          <w:b/>
          <w:sz w:val="24"/>
          <w:szCs w:val="24"/>
        </w:rPr>
      </w:pPr>
    </w:p>
    <w:p w14:paraId="64B17E0B" w14:textId="524B8A4E"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5</w:t>
      </w:r>
    </w:p>
    <w:p w14:paraId="6D9B460A" w14:textId="363DE123" w:rsidR="00F326E5" w:rsidRDefault="00F326E5" w:rsidP="00F326E5">
      <w:pPr>
        <w:pStyle w:val="NoSpacing"/>
        <w:rPr>
          <w:rFonts w:ascii="Arial Black" w:hAnsi="Arial Black"/>
          <w:b/>
          <w:sz w:val="28"/>
          <w:szCs w:val="28"/>
        </w:rPr>
      </w:pPr>
      <w:bookmarkStart w:id="310" w:name="_Hlk7344079"/>
      <w:bookmarkEnd w:id="282"/>
      <w:r>
        <w:rPr>
          <w:rFonts w:ascii="Arial Black" w:hAnsi="Arial Black"/>
          <w:b/>
          <w:sz w:val="28"/>
          <w:szCs w:val="28"/>
        </w:rPr>
        <w:t>IL</w:t>
      </w:r>
      <w:r w:rsidR="00BF4DDE">
        <w:rPr>
          <w:rFonts w:ascii="Arial Black" w:hAnsi="Arial Black"/>
          <w:b/>
          <w:sz w:val="28"/>
          <w:szCs w:val="28"/>
        </w:rPr>
        <w:t xml:space="preserve">: </w:t>
      </w:r>
      <w:r>
        <w:rPr>
          <w:rFonts w:ascii="Arial Black" w:hAnsi="Arial Black"/>
          <w:b/>
          <w:sz w:val="28"/>
          <w:szCs w:val="28"/>
        </w:rPr>
        <w:t>1</w:t>
      </w:r>
      <w:r w:rsidRPr="006A0855">
        <w:rPr>
          <w:rFonts w:ascii="Arial Black" w:hAnsi="Arial Black"/>
          <w:b/>
          <w:sz w:val="28"/>
          <w:szCs w:val="28"/>
        </w:rPr>
        <w:t xml:space="preserve">2 FEMALES FAILED FITNESS TESTING IN CHICAGO FD PARAMEDIC </w:t>
      </w:r>
      <w:r>
        <w:rPr>
          <w:rFonts w:ascii="Arial Black" w:hAnsi="Arial Black"/>
          <w:b/>
          <w:sz w:val="28"/>
          <w:szCs w:val="28"/>
        </w:rPr>
        <w:t xml:space="preserve">RECRUIT SCHOOL </w:t>
      </w:r>
      <w:r w:rsidRPr="006A0855">
        <w:rPr>
          <w:rFonts w:ascii="Arial Black" w:hAnsi="Arial Black"/>
          <w:b/>
          <w:sz w:val="28"/>
          <w:szCs w:val="28"/>
        </w:rPr>
        <w:t xml:space="preserve">MAY SUE  </w:t>
      </w:r>
    </w:p>
    <w:p w14:paraId="6126DD58" w14:textId="77777777" w:rsidR="00BF4DDE" w:rsidRDefault="00BF4DDE" w:rsidP="00F326E5">
      <w:pPr>
        <w:pStyle w:val="NoSpacing"/>
        <w:rPr>
          <w:rFonts w:ascii="Times New Roman" w:hAnsi="Times New Roman"/>
          <w:sz w:val="24"/>
          <w:szCs w:val="24"/>
        </w:rPr>
      </w:pPr>
    </w:p>
    <w:p w14:paraId="6A5ABC8D" w14:textId="6A6FE165"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Jan. 14, 2019, in </w:t>
      </w:r>
      <w:r w:rsidRPr="00BF4DDE">
        <w:rPr>
          <w:rFonts w:ascii="Times New Roman" w:hAnsi="Times New Roman"/>
          <w:sz w:val="24"/>
          <w:szCs w:val="24"/>
          <w:u w:val="single"/>
        </w:rPr>
        <w:t>Jennifer Livingston, et al. v. City of Chicago</w:t>
      </w:r>
      <w:r w:rsidRPr="00BF4DDE">
        <w:rPr>
          <w:rFonts w:ascii="Times New Roman" w:hAnsi="Times New Roman"/>
          <w:sz w:val="24"/>
          <w:szCs w:val="24"/>
        </w:rPr>
        <w:t xml:space="preserve">, U.S. District Court Judge Sara L. Ellis, held: </w:t>
      </w:r>
    </w:p>
    <w:p w14:paraId="78DAE3B7" w14:textId="539731B5"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“B</w:t>
      </w:r>
      <w:r w:rsidRPr="00BF4DDE">
        <w:rPr>
          <w:rFonts w:ascii="Times New Roman" w:eastAsia="Times New Roman" w:hAnsi="Times New Roman"/>
          <w:sz w:val="24"/>
          <w:szCs w:val="24"/>
        </w:rPr>
        <w:t>ecause the Non-Filing Plaintiffs can rely on the single-filing rule to bring their claims based on the charges filed by other plaintiffs in this case, the Court denies the City’s motion to dismiss.”</w:t>
      </w:r>
      <w:hyperlink r:id="rId1508" w:history="1">
        <w:r w:rsidRPr="00BF4DDE">
          <w:rPr>
            <w:rStyle w:val="Hyperlink"/>
            <w:rFonts w:ascii="Times New Roman" w:hAnsi="Times New Roman"/>
            <w:sz w:val="24"/>
            <w:szCs w:val="24"/>
          </w:rPr>
          <w:t>https://cases.justia.com/federal/district-courts/illinois/ilndce/1:2016cv10156/332956/114/0.pdf?ts=1547630986</w:t>
        </w:r>
      </w:hyperlink>
    </w:p>
    <w:p w14:paraId="464544DE" w14:textId="77777777" w:rsidR="00BF4DDE" w:rsidRDefault="00BF4DDE" w:rsidP="00F326E5">
      <w:pPr>
        <w:pStyle w:val="NoSpacing"/>
        <w:rPr>
          <w:rFonts w:ascii="Times New Roman" w:hAnsi="Times New Roman"/>
          <w:b/>
          <w:sz w:val="24"/>
          <w:szCs w:val="24"/>
        </w:rPr>
      </w:pPr>
    </w:p>
    <w:p w14:paraId="005EEDE1" w14:textId="36005839"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Physical fitness tests, whether during Recruit School or prior to hiring, that have an adverse impact on females, should be validated by an expert.   </w:t>
      </w:r>
    </w:p>
    <w:p w14:paraId="54D870BB" w14:textId="77777777" w:rsidR="00F326E5" w:rsidRPr="00BF4DDE" w:rsidRDefault="00F326E5" w:rsidP="00F326E5">
      <w:pPr>
        <w:pStyle w:val="NoSpacing"/>
        <w:ind w:left="720"/>
        <w:rPr>
          <w:rFonts w:ascii="Times New Roman" w:hAnsi="Times New Roman"/>
          <w:sz w:val="24"/>
          <w:szCs w:val="24"/>
        </w:rPr>
      </w:pPr>
      <w:r w:rsidRPr="00BF4DDE">
        <w:rPr>
          <w:rFonts w:ascii="Times New Roman" w:hAnsi="Times New Roman"/>
          <w:sz w:val="24"/>
          <w:szCs w:val="24"/>
        </w:rPr>
        <w:t xml:space="preserve">See EEOC guidance, “Use of tests and other selection procedures can also violate the federal anti-discrimination laws if they disproportionately exclude people in a particular group by race, sex, or another covered basis, unless the employer can justify the test or procedure under the law.” </w:t>
      </w:r>
      <w:hyperlink r:id="rId1509" w:history="1">
        <w:r w:rsidRPr="00BF4DDE">
          <w:rPr>
            <w:rStyle w:val="Hyperlink"/>
            <w:rFonts w:ascii="Times New Roman" w:hAnsi="Times New Roman"/>
            <w:sz w:val="24"/>
            <w:szCs w:val="24"/>
          </w:rPr>
          <w:t>https://www.eeoc.gov/policy/docs/factemployment_procedures.html</w:t>
        </w:r>
      </w:hyperlink>
      <w:r w:rsidRPr="00BF4DDE">
        <w:rPr>
          <w:rFonts w:ascii="Times New Roman" w:hAnsi="Times New Roman"/>
          <w:sz w:val="24"/>
          <w:szCs w:val="24"/>
        </w:rPr>
        <w:t xml:space="preserve">  </w:t>
      </w:r>
    </w:p>
    <w:p w14:paraId="0E69A548" w14:textId="77777777" w:rsidR="00F326E5" w:rsidRPr="00BF4DDE" w:rsidRDefault="00F326E5" w:rsidP="00F326E5">
      <w:pPr>
        <w:pStyle w:val="NoSpacing"/>
        <w:ind w:left="720"/>
        <w:rPr>
          <w:rFonts w:ascii="Times New Roman" w:hAnsi="Times New Roman"/>
          <w:sz w:val="24"/>
          <w:szCs w:val="24"/>
        </w:rPr>
      </w:pPr>
      <w:r w:rsidRPr="00BF4DDE">
        <w:rPr>
          <w:rFonts w:ascii="Times New Roman" w:hAnsi="Times New Roman"/>
          <w:sz w:val="24"/>
          <w:szCs w:val="24"/>
        </w:rPr>
        <w:t xml:space="preserve">See EEOC June 13, </w:t>
      </w:r>
      <w:proofErr w:type="gramStart"/>
      <w:r w:rsidRPr="00BF4DDE">
        <w:rPr>
          <w:rFonts w:ascii="Times New Roman" w:hAnsi="Times New Roman"/>
          <w:sz w:val="24"/>
          <w:szCs w:val="24"/>
        </w:rPr>
        <w:t>2018</w:t>
      </w:r>
      <w:proofErr w:type="gramEnd"/>
      <w:r w:rsidRPr="00BF4DDE">
        <w:rPr>
          <w:rFonts w:ascii="Times New Roman" w:hAnsi="Times New Roman"/>
          <w:sz w:val="24"/>
          <w:szCs w:val="24"/>
        </w:rPr>
        <w:t xml:space="preserve"> press release: “CSX Transportation to Pay $3.2 Million To Settle EEOC Disparate Impact Sex Discrimination Case… According to the EEOC's lawsuit, CSXT conducted isokinetic strength testing as a requirement for workers to be hired for various jobs. The EEOC said that the strength test used by CSXT, known as the ‘IPCS </w:t>
      </w:r>
      <w:proofErr w:type="spellStart"/>
      <w:r w:rsidRPr="00BF4DDE">
        <w:rPr>
          <w:rFonts w:ascii="Times New Roman" w:hAnsi="Times New Roman"/>
          <w:sz w:val="24"/>
          <w:szCs w:val="24"/>
        </w:rPr>
        <w:t>Biodex</w:t>
      </w:r>
      <w:proofErr w:type="spellEnd"/>
      <w:r w:rsidRPr="00BF4DDE">
        <w:rPr>
          <w:rFonts w:ascii="Times New Roman" w:hAnsi="Times New Roman"/>
          <w:sz w:val="24"/>
          <w:szCs w:val="24"/>
        </w:rPr>
        <w:t xml:space="preserve">’ test, caused an unlawful discriminatory impact on female workers seeking jobs as conductors, material handler/clerks, and </w:t>
      </w:r>
      <w:proofErr w:type="gramStart"/>
      <w:r w:rsidRPr="00BF4DDE">
        <w:rPr>
          <w:rFonts w:ascii="Times New Roman" w:hAnsi="Times New Roman"/>
          <w:sz w:val="24"/>
          <w:szCs w:val="24"/>
        </w:rPr>
        <w:t>a number of</w:t>
      </w:r>
      <w:proofErr w:type="gramEnd"/>
      <w:r w:rsidRPr="00BF4DDE">
        <w:rPr>
          <w:rFonts w:ascii="Times New Roman" w:hAnsi="Times New Roman"/>
          <w:sz w:val="24"/>
          <w:szCs w:val="24"/>
        </w:rPr>
        <w:t xml:space="preserve"> other job categories. The EEOC also charged that CSXT used two other employment tests, a three-minute step test seeking to measure aerobic capacity and a discontinued arm endurance test, as a requirement for selection into certain jobs, and that those tests also caused an unlawful discriminatory effect on female workers.” </w:t>
      </w:r>
      <w:hyperlink r:id="rId1510" w:history="1">
        <w:r w:rsidRPr="00BF4DDE">
          <w:rPr>
            <w:rStyle w:val="Hyperlink"/>
            <w:rFonts w:ascii="Times New Roman" w:hAnsi="Times New Roman"/>
            <w:sz w:val="24"/>
            <w:szCs w:val="24"/>
          </w:rPr>
          <w:t>https://www.eeoc.gov/eeoc/newsroom/release/6-13-18.cfm</w:t>
        </w:r>
      </w:hyperlink>
      <w:r w:rsidRPr="00BF4DDE">
        <w:rPr>
          <w:rFonts w:ascii="Times New Roman" w:hAnsi="Times New Roman"/>
          <w:sz w:val="24"/>
          <w:szCs w:val="24"/>
        </w:rPr>
        <w:t xml:space="preserve"> </w:t>
      </w:r>
    </w:p>
    <w:p w14:paraId="05F679E0" w14:textId="50CBF9F3" w:rsidR="00F326E5" w:rsidRPr="00BF4DDE" w:rsidRDefault="00F326E5" w:rsidP="00F326E5">
      <w:pPr>
        <w:pStyle w:val="NoSpacing"/>
        <w:ind w:left="720"/>
        <w:rPr>
          <w:rFonts w:ascii="Times New Roman" w:hAnsi="Times New Roman"/>
          <w:sz w:val="24"/>
          <w:szCs w:val="24"/>
        </w:rPr>
      </w:pPr>
    </w:p>
    <w:bookmarkEnd w:id="310"/>
    <w:p w14:paraId="4F5CAF60" w14:textId="77777777" w:rsidR="00BF4DDE" w:rsidRDefault="00BF4DDE" w:rsidP="00EF1133">
      <w:pPr>
        <w:rPr>
          <w:rFonts w:ascii="Arial Black" w:hAnsi="Arial Black"/>
          <w:b/>
          <w:sz w:val="24"/>
          <w:szCs w:val="24"/>
        </w:rPr>
      </w:pPr>
    </w:p>
    <w:p w14:paraId="4F46361F" w14:textId="77777777" w:rsidR="00BF4DDE" w:rsidRDefault="00BF4DDE" w:rsidP="00EF1133">
      <w:pPr>
        <w:rPr>
          <w:rFonts w:ascii="Arial Black" w:hAnsi="Arial Black"/>
          <w:b/>
          <w:sz w:val="24"/>
          <w:szCs w:val="24"/>
        </w:rPr>
      </w:pPr>
    </w:p>
    <w:p w14:paraId="6108A106" w14:textId="31C0DF60"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4</w:t>
      </w:r>
    </w:p>
    <w:p w14:paraId="461F0FAB" w14:textId="0A94B62C" w:rsidR="00F326E5" w:rsidRDefault="00F326E5" w:rsidP="00F326E5">
      <w:pPr>
        <w:pStyle w:val="NoSpacing"/>
        <w:rPr>
          <w:rFonts w:ascii="Arial Black" w:hAnsi="Arial Black"/>
          <w:sz w:val="28"/>
          <w:szCs w:val="28"/>
        </w:rPr>
      </w:pPr>
      <w:bookmarkStart w:id="311" w:name="_Hlk7344131"/>
      <w:r>
        <w:rPr>
          <w:rFonts w:ascii="Arial Black" w:hAnsi="Arial Black"/>
          <w:sz w:val="28"/>
          <w:szCs w:val="28"/>
        </w:rPr>
        <w:t xml:space="preserve">AL:  PREGNANT EMS – NOT ENTITLED TO LIGHT DUTY, COMPANY POLICY ONLY IF INJURED ON THE JOB </w:t>
      </w:r>
    </w:p>
    <w:p w14:paraId="1FE747EC" w14:textId="77777777" w:rsidR="00BF4DDE" w:rsidRDefault="00F326E5" w:rsidP="00F326E5">
      <w:pPr>
        <w:rPr>
          <w:rFonts w:ascii="Times New Roman" w:hAnsi="Times New Roman"/>
          <w:sz w:val="24"/>
          <w:szCs w:val="24"/>
        </w:rPr>
      </w:pPr>
      <w:r w:rsidRPr="00BF4DDE">
        <w:rPr>
          <w:rFonts w:ascii="Times New Roman" w:hAnsi="Times New Roman"/>
          <w:sz w:val="24"/>
          <w:szCs w:val="24"/>
        </w:rPr>
        <w:t xml:space="preserve">On Oct. 9, 2018, in </w:t>
      </w:r>
      <w:r w:rsidRPr="00BF4DDE">
        <w:rPr>
          <w:rFonts w:ascii="Times New Roman" w:hAnsi="Times New Roman"/>
          <w:sz w:val="24"/>
          <w:szCs w:val="24"/>
          <w:u w:val="single"/>
        </w:rPr>
        <w:t>Kimberly Michelle Durham v. Rural/Metro Corporation</w:t>
      </w:r>
      <w:r w:rsidRPr="00BF4DDE">
        <w:rPr>
          <w:rFonts w:ascii="Times New Roman" w:hAnsi="Times New Roman"/>
          <w:sz w:val="24"/>
          <w:szCs w:val="24"/>
        </w:rPr>
        <w:t xml:space="preserve">, Case No. 4:16-CV-01604-ACA, U.S. District Court Judge granted summary judgment to the employer. Three male EMTs had been granted light duty for injuries to their backs while lifting patients.  The court held, </w:t>
      </w:r>
    </w:p>
    <w:p w14:paraId="30A8F32E" w14:textId="566FF3C2" w:rsidR="00F326E5" w:rsidRPr="00BF4DDE" w:rsidRDefault="00F326E5" w:rsidP="00BF4DDE">
      <w:pPr>
        <w:ind w:left="720"/>
        <w:rPr>
          <w:rFonts w:ascii="Times New Roman" w:hAnsi="Times New Roman"/>
          <w:sz w:val="24"/>
          <w:szCs w:val="24"/>
        </w:rPr>
      </w:pPr>
      <w:r w:rsidRPr="00BF4DDE">
        <w:rPr>
          <w:rFonts w:ascii="Times New Roman" w:hAnsi="Times New Roman"/>
          <w:sz w:val="24"/>
          <w:szCs w:val="24"/>
        </w:rPr>
        <w:t>“</w:t>
      </w:r>
      <w:r w:rsidRPr="00BF4DDE">
        <w:rPr>
          <w:rFonts w:ascii="Times New Roman" w:eastAsia="Times New Roman" w:hAnsi="Times New Roman"/>
          <w:sz w:val="24"/>
          <w:szCs w:val="24"/>
        </w:rPr>
        <w:t xml:space="preserve">Rural/Metro contends that Ms. Durham must offer substantial evidence of employees placed on light duty assignment who were injured off the job </w:t>
      </w:r>
      <w:proofErr w:type="gramStart"/>
      <w:r w:rsidRPr="00BF4DDE">
        <w:rPr>
          <w:rFonts w:ascii="Times New Roman" w:eastAsia="Times New Roman" w:hAnsi="Times New Roman"/>
          <w:sz w:val="24"/>
          <w:szCs w:val="24"/>
        </w:rPr>
        <w:t>in order to</w:t>
      </w:r>
      <w:proofErr w:type="gramEnd"/>
      <w:r w:rsidRPr="00BF4DDE">
        <w:rPr>
          <w:rFonts w:ascii="Times New Roman" w:eastAsia="Times New Roman" w:hAnsi="Times New Roman"/>
          <w:sz w:val="24"/>
          <w:szCs w:val="24"/>
        </w:rPr>
        <w:t xml:space="preserve"> survive summary judgment. This court agrees.”  </w:t>
      </w:r>
      <w:hyperlink r:id="rId1511" w:history="1">
        <w:r w:rsidRPr="00BF4DDE">
          <w:rPr>
            <w:rStyle w:val="Hyperlink"/>
            <w:rFonts w:ascii="Times New Roman" w:hAnsi="Times New Roman"/>
            <w:sz w:val="24"/>
            <w:szCs w:val="24"/>
          </w:rPr>
          <w:t>https://law.justia.com/cases/federal/district-courts/alabama/alndce/4:2016cv01604/160190/55/</w:t>
        </w:r>
      </w:hyperlink>
      <w:r w:rsidRPr="00BF4DDE">
        <w:rPr>
          <w:rFonts w:ascii="Times New Roman" w:hAnsi="Times New Roman"/>
          <w:sz w:val="24"/>
          <w:szCs w:val="24"/>
        </w:rPr>
        <w:t xml:space="preserve"> </w:t>
      </w:r>
    </w:p>
    <w:p w14:paraId="5C86004E" w14:textId="77777777"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Some are urging Congress to broaden the Pregnancy Discrimination Act; see also EEOC Enforcement Guidance </w:t>
      </w:r>
      <w:proofErr w:type="gramStart"/>
      <w:r w:rsidRPr="00BF4DDE">
        <w:rPr>
          <w:rFonts w:ascii="Times New Roman" w:hAnsi="Times New Roman"/>
          <w:b/>
          <w:sz w:val="24"/>
          <w:szCs w:val="24"/>
        </w:rPr>
        <w:t>On</w:t>
      </w:r>
      <w:proofErr w:type="gramEnd"/>
      <w:r w:rsidRPr="00BF4DDE">
        <w:rPr>
          <w:rFonts w:ascii="Times New Roman" w:hAnsi="Times New Roman"/>
          <w:b/>
          <w:sz w:val="24"/>
          <w:szCs w:val="24"/>
        </w:rPr>
        <w:t xml:space="preserve"> Pregnancy Discrimination: </w:t>
      </w:r>
      <w:hyperlink r:id="rId1512" w:history="1">
        <w:r w:rsidRPr="00BF4DDE">
          <w:rPr>
            <w:rStyle w:val="Hyperlink"/>
            <w:rFonts w:ascii="Times New Roman" w:hAnsi="Times New Roman"/>
            <w:sz w:val="24"/>
            <w:szCs w:val="24"/>
          </w:rPr>
          <w:t>https://www.eeoc.gov/laws/guidance/pregnancy_guidance.cfm</w:t>
        </w:r>
      </w:hyperlink>
      <w:r w:rsidRPr="00BF4DDE">
        <w:rPr>
          <w:rFonts w:ascii="Times New Roman" w:hAnsi="Times New Roman"/>
          <w:b/>
          <w:sz w:val="24"/>
          <w:szCs w:val="24"/>
        </w:rPr>
        <w:t xml:space="preserve"> .</w:t>
      </w:r>
    </w:p>
    <w:bookmarkEnd w:id="311"/>
    <w:p w14:paraId="1BC68CF3" w14:textId="77777777" w:rsidR="00F326E5" w:rsidRPr="00BF4DDE" w:rsidRDefault="00F326E5" w:rsidP="00F326E5">
      <w:pPr>
        <w:pStyle w:val="NoSpacing"/>
        <w:rPr>
          <w:rFonts w:ascii="Times New Roman" w:hAnsi="Times New Roman"/>
          <w:b/>
          <w:sz w:val="24"/>
          <w:szCs w:val="24"/>
        </w:rPr>
      </w:pPr>
    </w:p>
    <w:p w14:paraId="2B1A0D3C" w14:textId="77777777" w:rsidR="00F326E5" w:rsidRDefault="00F326E5" w:rsidP="00F326E5">
      <w:pPr>
        <w:pStyle w:val="NoSpacing"/>
        <w:rPr>
          <w:b/>
          <w:sz w:val="24"/>
          <w:szCs w:val="24"/>
        </w:rPr>
      </w:pPr>
    </w:p>
    <w:p w14:paraId="67516467" w14:textId="77777777" w:rsidR="00BF4DDE" w:rsidRDefault="00BF4DDE" w:rsidP="00F326E5">
      <w:pPr>
        <w:rPr>
          <w:rFonts w:ascii="Arial Black" w:hAnsi="Arial Black"/>
          <w:b/>
          <w:sz w:val="24"/>
          <w:szCs w:val="24"/>
        </w:rPr>
      </w:pPr>
    </w:p>
    <w:p w14:paraId="217A912A" w14:textId="06BEF889" w:rsidR="00F326E5" w:rsidRDefault="00EF1133" w:rsidP="00F326E5">
      <w:pPr>
        <w:rPr>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3</w:t>
      </w:r>
    </w:p>
    <w:p w14:paraId="30009834" w14:textId="061D70BB" w:rsidR="00F326E5" w:rsidRPr="00746228" w:rsidRDefault="00F326E5" w:rsidP="00F326E5">
      <w:pPr>
        <w:rPr>
          <w:rFonts w:ascii="Arial Black" w:hAnsi="Arial Black"/>
          <w:sz w:val="28"/>
          <w:szCs w:val="28"/>
        </w:rPr>
      </w:pPr>
      <w:bookmarkStart w:id="312" w:name="_Hlk7344170"/>
      <w:r w:rsidRPr="00746228">
        <w:rPr>
          <w:rFonts w:ascii="Arial Black" w:hAnsi="Arial Black"/>
          <w:sz w:val="28"/>
          <w:szCs w:val="28"/>
        </w:rPr>
        <w:t>MI: F</w:t>
      </w:r>
      <w:r>
        <w:rPr>
          <w:rFonts w:ascii="Arial Black" w:hAnsi="Arial Black"/>
          <w:sz w:val="28"/>
          <w:szCs w:val="28"/>
        </w:rPr>
        <w:t>EMALE CAPTAIN NOT SELECTED AS FIRE CHIEF – LACK OF INCIDENT COMMAND</w:t>
      </w:r>
    </w:p>
    <w:p w14:paraId="079BE56B" w14:textId="77777777" w:rsidR="00BF4DDE" w:rsidRDefault="00F326E5" w:rsidP="00F326E5">
      <w:pPr>
        <w:rPr>
          <w:rFonts w:ascii="Times New Roman" w:hAnsi="Times New Roman"/>
          <w:bCs/>
          <w:sz w:val="24"/>
          <w:szCs w:val="24"/>
        </w:rPr>
      </w:pPr>
      <w:r w:rsidRPr="00BF4DDE">
        <w:rPr>
          <w:rFonts w:ascii="Times New Roman" w:hAnsi="Times New Roman"/>
          <w:bCs/>
          <w:sz w:val="24"/>
          <w:szCs w:val="24"/>
        </w:rPr>
        <w:t xml:space="preserve">On Aug. 30, 2018, in </w:t>
      </w:r>
      <w:r w:rsidRPr="00BF4DDE">
        <w:rPr>
          <w:rFonts w:ascii="Times New Roman" w:hAnsi="Times New Roman"/>
          <w:bCs/>
          <w:sz w:val="24"/>
          <w:szCs w:val="24"/>
          <w:u w:val="single"/>
        </w:rPr>
        <w:t>Ona Lee Aguilar v. City of Saginaw and IAFF Local 102</w:t>
      </w:r>
      <w:r w:rsidRPr="00BF4DDE">
        <w:rPr>
          <w:rFonts w:ascii="Times New Roman" w:hAnsi="Times New Roman"/>
          <w:bCs/>
          <w:sz w:val="24"/>
          <w:szCs w:val="24"/>
        </w:rPr>
        <w:t>, the State of Michigan Court of Appeals held 3 to 0 (in unpublished opinion) upheld the dismissal of her lawsuit by trial court.</w:t>
      </w:r>
    </w:p>
    <w:p w14:paraId="0AA16441" w14:textId="228BA869" w:rsidR="00F326E5" w:rsidRPr="00BF4DDE" w:rsidRDefault="00F326E5" w:rsidP="00BF4DDE">
      <w:pPr>
        <w:ind w:left="720"/>
        <w:rPr>
          <w:rFonts w:ascii="Times New Roman" w:hAnsi="Times New Roman"/>
          <w:b/>
          <w:sz w:val="24"/>
          <w:szCs w:val="24"/>
        </w:rPr>
      </w:pPr>
      <w:r w:rsidRPr="00BF4DDE">
        <w:rPr>
          <w:rFonts w:ascii="Times New Roman" w:hAnsi="Times New Roman"/>
          <w:bCs/>
          <w:sz w:val="24"/>
          <w:szCs w:val="24"/>
        </w:rPr>
        <w:t>“</w:t>
      </w:r>
      <w:r w:rsidRPr="00BF4DDE">
        <w:rPr>
          <w:rFonts w:ascii="Times New Roman" w:hAnsi="Times New Roman"/>
          <w:sz w:val="24"/>
          <w:szCs w:val="24"/>
        </w:rPr>
        <w:t>Aguilar is one of a small number of female employees of the Saginaw Fire Department (SFD) and has dealt with harassment and hostility over the years as she worked her way up the ranks in a male-dominated field. Aguilar’s suit, however, was based solely on the city’s 2013 failure to name her as acting or interim fire chief and its 2014 failure to hire her as the city’s permanent fire chief.  The evidence supports that Aguilar’s union discriminated against her and those parties reached a settlement. Although the evidence also supports that Aguilar continues to work in a hostile environment, Aguilar has not created a triable question of fact on her discrimination claims. Accordingly, we are bound to affirm.”</w:t>
      </w:r>
      <w:r w:rsidR="00BF4DDE">
        <w:rPr>
          <w:rFonts w:ascii="Times New Roman" w:hAnsi="Times New Roman"/>
          <w:sz w:val="24"/>
          <w:szCs w:val="24"/>
        </w:rPr>
        <w:t xml:space="preserve"> </w:t>
      </w:r>
      <w:hyperlink r:id="rId1513" w:history="1">
        <w:r w:rsidRPr="00BF4DDE">
          <w:rPr>
            <w:rStyle w:val="Hyperlink"/>
            <w:rFonts w:ascii="Times New Roman" w:hAnsi="Times New Roman"/>
            <w:sz w:val="24"/>
            <w:szCs w:val="24"/>
          </w:rPr>
          <w:t>https://cases.justia.com/michigan/court-of-appeals-unpublished/2018-339016.pdf?ts=1535720483</w:t>
        </w:r>
      </w:hyperlink>
      <w:r w:rsidRPr="00BF4DDE">
        <w:rPr>
          <w:rFonts w:ascii="Times New Roman" w:hAnsi="Times New Roman"/>
          <w:b/>
          <w:sz w:val="24"/>
          <w:szCs w:val="24"/>
        </w:rPr>
        <w:t xml:space="preserve"> </w:t>
      </w:r>
    </w:p>
    <w:p w14:paraId="6C8FD93E"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Lack of experience in Incident Command is a legitimate, nondiscriminatory reason for not selecting an applicant for Fire Chief. </w:t>
      </w:r>
    </w:p>
    <w:p w14:paraId="0E976592" w14:textId="77777777" w:rsidR="00EF1133" w:rsidRDefault="00EF1133" w:rsidP="00EF1133">
      <w:pPr>
        <w:rPr>
          <w:rFonts w:ascii="Arial Black" w:hAnsi="Arial Black"/>
          <w:b/>
          <w:sz w:val="24"/>
          <w:szCs w:val="24"/>
        </w:rPr>
      </w:pPr>
    </w:p>
    <w:p w14:paraId="108C7FF7" w14:textId="27875A13"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2</w:t>
      </w:r>
    </w:p>
    <w:p w14:paraId="165E8B99" w14:textId="327A78FF" w:rsidR="00F326E5" w:rsidRPr="00255E41" w:rsidRDefault="00F326E5" w:rsidP="00F326E5">
      <w:pPr>
        <w:pStyle w:val="NoSpacing"/>
        <w:rPr>
          <w:rFonts w:ascii="Arial Black" w:hAnsi="Arial Black"/>
          <w:b/>
          <w:sz w:val="28"/>
          <w:szCs w:val="28"/>
        </w:rPr>
      </w:pPr>
      <w:bookmarkStart w:id="313" w:name="_Hlk7344305"/>
      <w:bookmarkEnd w:id="312"/>
      <w:r w:rsidRPr="00255E41">
        <w:rPr>
          <w:rFonts w:ascii="Arial Black" w:hAnsi="Arial Black"/>
          <w:b/>
          <w:sz w:val="28"/>
          <w:szCs w:val="28"/>
        </w:rPr>
        <w:t>LA: S</w:t>
      </w:r>
      <w:r w:rsidR="00255E41">
        <w:rPr>
          <w:rFonts w:ascii="Arial Black" w:hAnsi="Arial Black"/>
          <w:b/>
          <w:sz w:val="28"/>
          <w:szCs w:val="28"/>
        </w:rPr>
        <w:t xml:space="preserve">EXUAL HARASSMENT COMLAINT PROMPTLY INVESTIGATED – OFFENDER WARNED </w:t>
      </w:r>
    </w:p>
    <w:p w14:paraId="441E3377" w14:textId="77777777" w:rsidR="00F326E5" w:rsidRPr="00BF4DDE" w:rsidRDefault="00F326E5" w:rsidP="00F326E5">
      <w:pPr>
        <w:rPr>
          <w:rFonts w:ascii="Times New Roman" w:hAnsi="Times New Roman"/>
          <w:sz w:val="24"/>
          <w:szCs w:val="24"/>
        </w:rPr>
      </w:pPr>
      <w:r w:rsidRPr="00BF4DDE">
        <w:rPr>
          <w:rFonts w:ascii="Times New Roman" w:hAnsi="Times New Roman"/>
          <w:sz w:val="24"/>
          <w:szCs w:val="24"/>
        </w:rPr>
        <w:t xml:space="preserve">On June 5, 2018, in </w:t>
      </w:r>
      <w:r w:rsidRPr="00BF4DDE">
        <w:rPr>
          <w:rFonts w:ascii="Times New Roman" w:hAnsi="Times New Roman"/>
          <w:sz w:val="24"/>
          <w:szCs w:val="24"/>
          <w:u w:val="single"/>
        </w:rPr>
        <w:t>Shelita Tucker v. United Parcel Service, Inc</w:t>
      </w:r>
      <w:r w:rsidRPr="00BF4DDE">
        <w:rPr>
          <w:rFonts w:ascii="Times New Roman" w:hAnsi="Times New Roman"/>
          <w:sz w:val="24"/>
          <w:szCs w:val="24"/>
        </w:rPr>
        <w:t>., the U.S. Court of Appeals for the 5</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held (3 to 0) in an unpublished opinion that the federal district judge properly granted summary judgment to UPS: </w:t>
      </w:r>
    </w:p>
    <w:p w14:paraId="5694ED55" w14:textId="2453BC40" w:rsidR="00F326E5" w:rsidRPr="00BF4DDE" w:rsidRDefault="00F326E5" w:rsidP="00F326E5">
      <w:pPr>
        <w:ind w:left="720"/>
        <w:rPr>
          <w:rFonts w:ascii="Times New Roman" w:eastAsia="Times New Roman" w:hAnsi="Times New Roman"/>
          <w:sz w:val="24"/>
          <w:szCs w:val="24"/>
        </w:rPr>
      </w:pPr>
      <w:r w:rsidRPr="00BF4DDE">
        <w:rPr>
          <w:rFonts w:ascii="Times New Roman" w:hAnsi="Times New Roman"/>
          <w:sz w:val="24"/>
          <w:szCs w:val="24"/>
        </w:rPr>
        <w:t>“We agree with the district court that Tucker failed to discharge her burden to raise a fact issue in this regard. UPS's remedial actions stopped the sexual harassment, and McCaleb neither spoke to nor touched Tucker again. Although McCaleb's presence at</w:t>
      </w:r>
      <w:r w:rsidRPr="00BF4DDE">
        <w:rPr>
          <w:rFonts w:ascii="Times New Roman" w:hAnsi="Times New Roman"/>
          <w:b/>
          <w:sz w:val="24"/>
          <w:szCs w:val="24"/>
        </w:rPr>
        <w:t xml:space="preserve"> </w:t>
      </w:r>
      <w:r w:rsidRPr="00BF4DDE">
        <w:rPr>
          <w:rFonts w:ascii="Times New Roman" w:hAnsi="Times New Roman"/>
          <w:sz w:val="24"/>
          <w:szCs w:val="24"/>
        </w:rPr>
        <w:t>work made her feel uncomfortable, Tucker said she was still able to perform her duties.”</w:t>
      </w:r>
      <w:hyperlink r:id="rId1514" w:history="1">
        <w:r w:rsidRPr="00BF4DDE">
          <w:rPr>
            <w:rStyle w:val="Hyperlink"/>
            <w:rFonts w:ascii="Times New Roman" w:hAnsi="Times New Roman"/>
            <w:sz w:val="24"/>
            <w:szCs w:val="24"/>
          </w:rPr>
          <w:t>http://www.ca5.uscourts.gov/opinions/unpub/17/17-30574.0.pdf</w:t>
        </w:r>
      </w:hyperlink>
      <w:r w:rsidRPr="00BF4DDE">
        <w:rPr>
          <w:rFonts w:ascii="Times New Roman" w:eastAsia="Times New Roman" w:hAnsi="Times New Roman"/>
          <w:sz w:val="24"/>
          <w:szCs w:val="24"/>
        </w:rPr>
        <w:t xml:space="preserve"> </w:t>
      </w:r>
    </w:p>
    <w:p w14:paraId="2A61B869"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Fire &amp; EMS employers should likewise get statements, investigate and take prompt corrective action. </w:t>
      </w:r>
    </w:p>
    <w:p w14:paraId="01EC6885" w14:textId="77777777" w:rsidR="00F326E5" w:rsidRDefault="00F326E5" w:rsidP="00F326E5">
      <w:pPr>
        <w:rPr>
          <w:rFonts w:eastAsia="Times New Roman"/>
          <w:b/>
          <w:sz w:val="24"/>
          <w:szCs w:val="24"/>
        </w:rPr>
      </w:pPr>
    </w:p>
    <w:p w14:paraId="00E7C3E1" w14:textId="77777777" w:rsidR="00EF1133" w:rsidRDefault="00EF1133" w:rsidP="00F326E5">
      <w:pPr>
        <w:pStyle w:val="NoSpacing"/>
        <w:rPr>
          <w:rFonts w:ascii="Arial Black" w:hAnsi="Arial Black"/>
          <w:sz w:val="28"/>
          <w:szCs w:val="28"/>
        </w:rPr>
      </w:pPr>
      <w:bookmarkStart w:id="314" w:name="_Hlk515006402"/>
      <w:bookmarkStart w:id="315" w:name="_Hlk7344381"/>
      <w:bookmarkEnd w:id="313"/>
    </w:p>
    <w:p w14:paraId="637BCB5E" w14:textId="699B10AD"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-1</w:t>
      </w:r>
    </w:p>
    <w:p w14:paraId="657257A8" w14:textId="5B743660" w:rsidR="00F326E5" w:rsidRDefault="00F326E5" w:rsidP="00F326E5">
      <w:pPr>
        <w:pStyle w:val="NoSpacing"/>
        <w:rPr>
          <w:rFonts w:ascii="Arial Black" w:hAnsi="Arial Black"/>
          <w:b/>
          <w:sz w:val="24"/>
          <w:szCs w:val="24"/>
        </w:rPr>
      </w:pPr>
      <w:r w:rsidRPr="004D7942">
        <w:rPr>
          <w:rFonts w:ascii="Arial Black" w:hAnsi="Arial Black"/>
          <w:sz w:val="28"/>
          <w:szCs w:val="28"/>
        </w:rPr>
        <w:t>FL</w:t>
      </w:r>
      <w:r>
        <w:rPr>
          <w:rFonts w:ascii="Arial Black" w:hAnsi="Arial Black"/>
          <w:sz w:val="28"/>
          <w:szCs w:val="28"/>
        </w:rPr>
        <w:t xml:space="preserve">: </w:t>
      </w:r>
      <w:r w:rsidRPr="004D7942">
        <w:rPr>
          <w:rFonts w:ascii="Arial Black" w:hAnsi="Arial Black"/>
          <w:sz w:val="28"/>
          <w:szCs w:val="28"/>
        </w:rPr>
        <w:t>FEMALE CANDIDATE FOR FIRE CHIEF NOT SELECTED – NOT GENDER DISCRIMINATION, BOTH CANDIDATES HIGHLY QUALIFIED</w:t>
      </w:r>
      <w:r>
        <w:rPr>
          <w:rFonts w:ascii="Arial Black" w:hAnsi="Arial Black"/>
          <w:sz w:val="28"/>
          <w:szCs w:val="28"/>
        </w:rPr>
        <w:t xml:space="preserve"> </w:t>
      </w:r>
      <w:bookmarkEnd w:id="314"/>
    </w:p>
    <w:p w14:paraId="293BC67A" w14:textId="77777777"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Jan. 19, 2018, in </w:t>
      </w:r>
      <w:r w:rsidRPr="00BF4DDE">
        <w:rPr>
          <w:rFonts w:ascii="Times New Roman" w:hAnsi="Times New Roman"/>
          <w:sz w:val="24"/>
          <w:szCs w:val="24"/>
          <w:u w:val="single"/>
        </w:rPr>
        <w:t>Shari Hall v. Marion County Board of County Commissioners</w:t>
      </w:r>
      <w:r w:rsidRPr="00BF4DDE">
        <w:rPr>
          <w:rFonts w:ascii="Times New Roman" w:hAnsi="Times New Roman"/>
          <w:sz w:val="24"/>
          <w:szCs w:val="24"/>
        </w:rPr>
        <w:t xml:space="preserve">, the District Court of Appeal of State of Florida, 5th District, held that: </w:t>
      </w:r>
    </w:p>
    <w:p w14:paraId="4F3A4A30" w14:textId="77777777" w:rsidR="00BF4DDE" w:rsidRDefault="00BF4DDE" w:rsidP="00F326E5">
      <w:pPr>
        <w:pStyle w:val="NoSpacing"/>
        <w:rPr>
          <w:rFonts w:ascii="Times New Roman" w:hAnsi="Times New Roman"/>
          <w:sz w:val="24"/>
          <w:szCs w:val="24"/>
        </w:rPr>
      </w:pPr>
    </w:p>
    <w:p w14:paraId="6E99C1B7" w14:textId="753A0E0F"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 xml:space="preserve">“Appellant failed in her burden of proving the county offered pretextual </w:t>
      </w:r>
      <w:proofErr w:type="gramStart"/>
      <w:r w:rsidRPr="00BF4DDE">
        <w:rPr>
          <w:rFonts w:ascii="Times New Roman" w:hAnsi="Times New Roman"/>
          <w:sz w:val="24"/>
          <w:szCs w:val="24"/>
        </w:rPr>
        <w:t>reasons, and</w:t>
      </w:r>
      <w:proofErr w:type="gramEnd"/>
      <w:r w:rsidRPr="00BF4DDE">
        <w:rPr>
          <w:rFonts w:ascii="Times New Roman" w:hAnsi="Times New Roman"/>
          <w:sz w:val="24"/>
          <w:szCs w:val="24"/>
        </w:rPr>
        <w:t xml:space="preserve"> thus failed to establish a case of gender discrimination using circumstantial evidence.” Case was remanded so Court can next dispose of retaliation claim. </w:t>
      </w:r>
      <w:hyperlink r:id="rId1515" w:history="1">
        <w:r w:rsidRPr="00BF4DDE">
          <w:rPr>
            <w:rStyle w:val="Hyperlink"/>
            <w:rFonts w:ascii="Times New Roman" w:hAnsi="Times New Roman"/>
            <w:sz w:val="24"/>
            <w:szCs w:val="24"/>
          </w:rPr>
          <w:t>http://www.5dca.org/Opinions/Opin2018/011518/5D17-1183.op.pdf</w:t>
        </w:r>
      </w:hyperlink>
    </w:p>
    <w:p w14:paraId="5E678E77" w14:textId="77777777" w:rsidR="00BF4DDE" w:rsidRDefault="00BF4DDE" w:rsidP="00F326E5">
      <w:pPr>
        <w:pStyle w:val="NoSpacing"/>
        <w:rPr>
          <w:rFonts w:ascii="Times New Roman" w:hAnsi="Times New Roman"/>
          <w:b/>
          <w:sz w:val="24"/>
          <w:szCs w:val="24"/>
        </w:rPr>
      </w:pPr>
    </w:p>
    <w:p w14:paraId="2158BC9D" w14:textId="78E20393" w:rsidR="00F326E5" w:rsidRDefault="00F326E5" w:rsidP="00F824FE">
      <w:pPr>
        <w:pStyle w:val="NoSpacing"/>
        <w:rPr>
          <w:rFonts w:ascii="Arial Black" w:hAnsi="Arial Black"/>
          <w:sz w:val="40"/>
          <w:szCs w:val="40"/>
        </w:rPr>
      </w:pPr>
      <w:r w:rsidRPr="00BF4DDE">
        <w:rPr>
          <w:rFonts w:ascii="Times New Roman" w:hAnsi="Times New Roman"/>
          <w:b/>
          <w:sz w:val="24"/>
          <w:szCs w:val="24"/>
        </w:rPr>
        <w:t xml:space="preserve">Legal Lessons Learned: Two well-qualified qualified candidates for Fire Chief; no proof of gender discrimination. Caution when current Chief tells </w:t>
      </w:r>
      <w:proofErr w:type="gramStart"/>
      <w:r w:rsidRPr="00BF4DDE">
        <w:rPr>
          <w:rFonts w:ascii="Times New Roman" w:hAnsi="Times New Roman"/>
          <w:b/>
          <w:sz w:val="24"/>
          <w:szCs w:val="24"/>
        </w:rPr>
        <w:t>subordinate</w:t>
      </w:r>
      <w:proofErr w:type="gramEnd"/>
      <w:r w:rsidRPr="00BF4DDE">
        <w:rPr>
          <w:rFonts w:ascii="Times New Roman" w:hAnsi="Times New Roman"/>
          <w:b/>
          <w:sz w:val="24"/>
          <w:szCs w:val="24"/>
        </w:rPr>
        <w:t xml:space="preserve"> that they are likely the next Chief.  </w:t>
      </w:r>
      <w:bookmarkEnd w:id="315"/>
    </w:p>
    <w:p w14:paraId="2B95FD70" w14:textId="77777777" w:rsidR="00F824FE" w:rsidRDefault="00F824FE" w:rsidP="00F326E5">
      <w:pPr>
        <w:pStyle w:val="NoSpacing"/>
        <w:rPr>
          <w:rFonts w:ascii="Arial Black" w:hAnsi="Arial Black"/>
          <w:sz w:val="40"/>
          <w:szCs w:val="40"/>
        </w:rPr>
      </w:pPr>
    </w:p>
    <w:p w14:paraId="1052C4AE" w14:textId="013AA8C9" w:rsidR="00DD03E3" w:rsidRDefault="00DD03E3">
      <w:pPr>
        <w:spacing w:after="0" w:line="240" w:lineRule="auto"/>
        <w:rPr>
          <w:rFonts w:ascii="Arial Black" w:hAnsi="Arial Black"/>
          <w:sz w:val="40"/>
          <w:szCs w:val="40"/>
        </w:rPr>
      </w:pPr>
      <w:r>
        <w:rPr>
          <w:rFonts w:ascii="Arial Black" w:hAnsi="Arial Black"/>
          <w:sz w:val="40"/>
          <w:szCs w:val="40"/>
        </w:rPr>
        <w:br w:type="page"/>
      </w:r>
    </w:p>
    <w:p w14:paraId="4269C571" w14:textId="77777777" w:rsidR="00F824FE" w:rsidRDefault="00F824FE" w:rsidP="00F326E5">
      <w:pPr>
        <w:pStyle w:val="NoSpacing"/>
        <w:rPr>
          <w:rFonts w:ascii="Arial Black" w:hAnsi="Arial Black"/>
          <w:sz w:val="40"/>
          <w:szCs w:val="40"/>
        </w:rPr>
      </w:pPr>
    </w:p>
    <w:p w14:paraId="132C1B48" w14:textId="77777777" w:rsidR="00092DAC" w:rsidRDefault="00092DAC" w:rsidP="00F326E5">
      <w:pPr>
        <w:pStyle w:val="NoSpacing"/>
        <w:rPr>
          <w:rFonts w:ascii="Arial Black" w:hAnsi="Arial Black"/>
          <w:sz w:val="40"/>
          <w:szCs w:val="40"/>
        </w:rPr>
      </w:pPr>
    </w:p>
    <w:p w14:paraId="3089C302" w14:textId="77777777" w:rsidR="00092DAC" w:rsidRDefault="00092DAC" w:rsidP="00F326E5">
      <w:pPr>
        <w:pStyle w:val="NoSpacing"/>
        <w:rPr>
          <w:rFonts w:ascii="Arial Black" w:hAnsi="Arial Black"/>
          <w:sz w:val="40"/>
          <w:szCs w:val="40"/>
        </w:rPr>
      </w:pPr>
    </w:p>
    <w:p w14:paraId="30CB340E" w14:textId="77777777" w:rsidR="00092DAC" w:rsidRDefault="00092DAC" w:rsidP="00F326E5">
      <w:pPr>
        <w:pStyle w:val="NoSpacing"/>
        <w:rPr>
          <w:rFonts w:ascii="Arial Black" w:hAnsi="Arial Black"/>
          <w:sz w:val="40"/>
          <w:szCs w:val="40"/>
        </w:rPr>
      </w:pPr>
    </w:p>
    <w:p w14:paraId="47FB9976" w14:textId="77777777" w:rsidR="00092DAC" w:rsidRDefault="00092DAC" w:rsidP="00F326E5">
      <w:pPr>
        <w:pStyle w:val="NoSpacing"/>
        <w:rPr>
          <w:rFonts w:ascii="Arial Black" w:hAnsi="Arial Black"/>
          <w:sz w:val="40"/>
          <w:szCs w:val="40"/>
        </w:rPr>
      </w:pPr>
    </w:p>
    <w:p w14:paraId="67518D0C" w14:textId="77777777" w:rsidR="00092DAC" w:rsidRDefault="00092DAC" w:rsidP="00F326E5">
      <w:pPr>
        <w:pStyle w:val="NoSpacing"/>
        <w:rPr>
          <w:rFonts w:ascii="Arial Black" w:hAnsi="Arial Black"/>
          <w:sz w:val="40"/>
          <w:szCs w:val="40"/>
        </w:rPr>
      </w:pPr>
    </w:p>
    <w:p w14:paraId="25CC1AF0" w14:textId="77777777" w:rsidR="00092DAC" w:rsidRDefault="00092DAC" w:rsidP="00F326E5">
      <w:pPr>
        <w:pStyle w:val="NoSpacing"/>
        <w:rPr>
          <w:rFonts w:ascii="Arial Black" w:hAnsi="Arial Black"/>
          <w:sz w:val="40"/>
          <w:szCs w:val="40"/>
        </w:rPr>
      </w:pPr>
    </w:p>
    <w:p w14:paraId="7C67BF0A" w14:textId="77777777" w:rsidR="00092DAC" w:rsidRDefault="00092DAC" w:rsidP="00F326E5">
      <w:pPr>
        <w:pStyle w:val="NoSpacing"/>
        <w:rPr>
          <w:rFonts w:ascii="Arial Black" w:hAnsi="Arial Black"/>
          <w:sz w:val="40"/>
          <w:szCs w:val="40"/>
        </w:rPr>
      </w:pPr>
    </w:p>
    <w:p w14:paraId="5DA33366" w14:textId="77777777" w:rsidR="00092DAC" w:rsidRDefault="00092DAC" w:rsidP="00F326E5">
      <w:pPr>
        <w:pStyle w:val="NoSpacing"/>
        <w:rPr>
          <w:rFonts w:ascii="Arial Black" w:hAnsi="Arial Black"/>
          <w:sz w:val="40"/>
          <w:szCs w:val="40"/>
        </w:rPr>
      </w:pPr>
    </w:p>
    <w:p w14:paraId="34C9B37D" w14:textId="77777777" w:rsidR="00092DAC" w:rsidRDefault="00092DAC" w:rsidP="00F326E5">
      <w:pPr>
        <w:pStyle w:val="NoSpacing"/>
        <w:rPr>
          <w:rFonts w:ascii="Arial Black" w:hAnsi="Arial Black"/>
          <w:sz w:val="40"/>
          <w:szCs w:val="40"/>
        </w:rPr>
      </w:pPr>
    </w:p>
    <w:p w14:paraId="0B385732" w14:textId="77777777" w:rsidR="00092DAC" w:rsidRDefault="00092DAC" w:rsidP="00F326E5">
      <w:pPr>
        <w:pStyle w:val="NoSpacing"/>
        <w:rPr>
          <w:rFonts w:ascii="Arial Black" w:hAnsi="Arial Black"/>
          <w:sz w:val="40"/>
          <w:szCs w:val="40"/>
        </w:rPr>
      </w:pPr>
    </w:p>
    <w:p w14:paraId="43D6431E" w14:textId="77777777" w:rsidR="00092DAC" w:rsidRDefault="00092DAC" w:rsidP="00F326E5">
      <w:pPr>
        <w:pStyle w:val="NoSpacing"/>
        <w:rPr>
          <w:rFonts w:ascii="Arial Black" w:hAnsi="Arial Black"/>
          <w:sz w:val="40"/>
          <w:szCs w:val="40"/>
        </w:rPr>
      </w:pPr>
    </w:p>
    <w:p w14:paraId="72FB5A0C" w14:textId="77777777" w:rsidR="00092DAC" w:rsidRDefault="00092DAC" w:rsidP="00F326E5">
      <w:pPr>
        <w:pStyle w:val="NoSpacing"/>
        <w:rPr>
          <w:rFonts w:ascii="Arial Black" w:hAnsi="Arial Black"/>
          <w:sz w:val="40"/>
          <w:szCs w:val="40"/>
        </w:rPr>
      </w:pPr>
    </w:p>
    <w:p w14:paraId="1C3DBE09" w14:textId="77777777" w:rsidR="00092DAC" w:rsidRDefault="00092DAC" w:rsidP="00F326E5">
      <w:pPr>
        <w:pStyle w:val="NoSpacing"/>
        <w:rPr>
          <w:rFonts w:ascii="Arial Black" w:hAnsi="Arial Black"/>
          <w:sz w:val="40"/>
          <w:szCs w:val="40"/>
        </w:rPr>
      </w:pPr>
    </w:p>
    <w:p w14:paraId="0C04F5F2" w14:textId="77777777" w:rsidR="00092DAC" w:rsidRDefault="00092DAC" w:rsidP="00F326E5">
      <w:pPr>
        <w:pStyle w:val="NoSpacing"/>
        <w:rPr>
          <w:rFonts w:ascii="Arial Black" w:hAnsi="Arial Black"/>
          <w:sz w:val="40"/>
          <w:szCs w:val="40"/>
        </w:rPr>
      </w:pPr>
    </w:p>
    <w:p w14:paraId="253DBB87" w14:textId="77777777" w:rsidR="00092DAC" w:rsidRDefault="00092DAC" w:rsidP="00F326E5">
      <w:pPr>
        <w:pStyle w:val="NoSpacing"/>
        <w:rPr>
          <w:rFonts w:ascii="Arial Black" w:hAnsi="Arial Black"/>
          <w:sz w:val="40"/>
          <w:szCs w:val="40"/>
        </w:rPr>
      </w:pPr>
    </w:p>
    <w:p w14:paraId="309895FB" w14:textId="77777777" w:rsidR="00092DAC" w:rsidRDefault="00092DAC" w:rsidP="00F326E5">
      <w:pPr>
        <w:pStyle w:val="NoSpacing"/>
        <w:rPr>
          <w:rFonts w:ascii="Arial Black" w:hAnsi="Arial Black"/>
          <w:sz w:val="40"/>
          <w:szCs w:val="40"/>
        </w:rPr>
      </w:pPr>
    </w:p>
    <w:p w14:paraId="6E3D8501" w14:textId="77777777" w:rsidR="00092DAC" w:rsidRDefault="00092DAC" w:rsidP="00F326E5">
      <w:pPr>
        <w:pStyle w:val="NoSpacing"/>
        <w:rPr>
          <w:rFonts w:ascii="Arial Black" w:hAnsi="Arial Black"/>
          <w:sz w:val="40"/>
          <w:szCs w:val="40"/>
        </w:rPr>
      </w:pPr>
    </w:p>
    <w:p w14:paraId="12182089" w14:textId="77777777" w:rsidR="00092DAC" w:rsidRDefault="00092DAC" w:rsidP="00F326E5">
      <w:pPr>
        <w:pStyle w:val="NoSpacing"/>
        <w:rPr>
          <w:rFonts w:ascii="Arial Black" w:hAnsi="Arial Black"/>
          <w:sz w:val="40"/>
          <w:szCs w:val="40"/>
        </w:rPr>
      </w:pPr>
    </w:p>
    <w:p w14:paraId="47E683CB" w14:textId="77777777" w:rsidR="00092DAC" w:rsidRDefault="00092DAC" w:rsidP="00F326E5">
      <w:pPr>
        <w:pStyle w:val="NoSpacing"/>
        <w:rPr>
          <w:rFonts w:ascii="Arial Black" w:hAnsi="Arial Black"/>
          <w:sz w:val="40"/>
          <w:szCs w:val="40"/>
        </w:rPr>
      </w:pPr>
    </w:p>
    <w:p w14:paraId="46938F3E" w14:textId="77777777" w:rsidR="00092DAC" w:rsidRDefault="00092DAC" w:rsidP="00F326E5">
      <w:pPr>
        <w:pStyle w:val="NoSpacing"/>
        <w:rPr>
          <w:rFonts w:ascii="Arial Black" w:hAnsi="Arial Black"/>
          <w:sz w:val="40"/>
          <w:szCs w:val="40"/>
        </w:rPr>
      </w:pPr>
    </w:p>
    <w:p w14:paraId="447F3864" w14:textId="77777777" w:rsidR="00092DAC" w:rsidRDefault="00092DAC" w:rsidP="00F326E5">
      <w:pPr>
        <w:pStyle w:val="NoSpacing"/>
        <w:rPr>
          <w:rFonts w:ascii="Arial Black" w:hAnsi="Arial Black"/>
          <w:sz w:val="40"/>
          <w:szCs w:val="40"/>
        </w:rPr>
      </w:pPr>
    </w:p>
    <w:p w14:paraId="1348AC9F" w14:textId="77777777" w:rsidR="00092DAC" w:rsidRDefault="00092DAC" w:rsidP="00F326E5">
      <w:pPr>
        <w:pStyle w:val="NoSpacing"/>
        <w:rPr>
          <w:rFonts w:ascii="Arial Black" w:hAnsi="Arial Black"/>
          <w:sz w:val="40"/>
          <w:szCs w:val="40"/>
        </w:rPr>
      </w:pPr>
    </w:p>
    <w:p w14:paraId="05166E51" w14:textId="77777777" w:rsidR="00092DAC" w:rsidRDefault="00092DAC" w:rsidP="00F326E5">
      <w:pPr>
        <w:pStyle w:val="NoSpacing"/>
        <w:rPr>
          <w:rFonts w:ascii="Arial Black" w:hAnsi="Arial Black"/>
          <w:sz w:val="40"/>
          <w:szCs w:val="40"/>
        </w:rPr>
      </w:pPr>
    </w:p>
    <w:p w14:paraId="40B4E3A5" w14:textId="77777777" w:rsidR="00092DAC" w:rsidRDefault="00092DAC" w:rsidP="00F326E5">
      <w:pPr>
        <w:pStyle w:val="NoSpacing"/>
        <w:rPr>
          <w:rFonts w:ascii="Arial Black" w:hAnsi="Arial Black"/>
          <w:sz w:val="40"/>
          <w:szCs w:val="40"/>
        </w:rPr>
      </w:pPr>
    </w:p>
    <w:p w14:paraId="64488E60" w14:textId="4892BEF7" w:rsidR="00F326E5" w:rsidRDefault="00F326E5" w:rsidP="00F326E5">
      <w:pPr>
        <w:pStyle w:val="NoSpacing"/>
        <w:rPr>
          <w:rFonts w:ascii="Arial Black" w:hAnsi="Arial Black"/>
          <w:sz w:val="40"/>
          <w:szCs w:val="40"/>
        </w:rPr>
      </w:pPr>
      <w:r w:rsidRPr="007732FA">
        <w:rPr>
          <w:rFonts w:ascii="Arial Black" w:hAnsi="Arial Black"/>
          <w:sz w:val="40"/>
          <w:szCs w:val="40"/>
        </w:rPr>
        <w:t>Chap. 8</w:t>
      </w:r>
      <w:r w:rsidR="002B1283">
        <w:rPr>
          <w:rFonts w:ascii="Arial Black" w:hAnsi="Arial Black"/>
          <w:sz w:val="40"/>
          <w:szCs w:val="40"/>
        </w:rPr>
        <w:t xml:space="preserve"> </w:t>
      </w:r>
      <w:r w:rsidRPr="007732FA">
        <w:rPr>
          <w:rFonts w:ascii="Arial Black" w:hAnsi="Arial Black"/>
          <w:sz w:val="40"/>
          <w:szCs w:val="40"/>
        </w:rPr>
        <w:t>Race Discrimination</w:t>
      </w:r>
    </w:p>
    <w:p w14:paraId="20B09CCF" w14:textId="77777777" w:rsidR="0002742E" w:rsidRDefault="0002742E" w:rsidP="00BC70A3">
      <w:pPr>
        <w:rPr>
          <w:rFonts w:ascii="Arial Black" w:hAnsi="Arial Black"/>
          <w:b/>
          <w:sz w:val="24"/>
          <w:szCs w:val="24"/>
        </w:rPr>
      </w:pPr>
    </w:p>
    <w:p w14:paraId="3FA52BAF" w14:textId="4E9DFAFB" w:rsidR="004E7EE9" w:rsidRDefault="004E7EE9" w:rsidP="004E7EE9">
      <w:pPr>
        <w:rPr>
          <w:rFonts w:ascii="Arial Black" w:hAnsi="Arial Black"/>
          <w:sz w:val="28"/>
          <w:szCs w:val="28"/>
        </w:rPr>
      </w:pPr>
      <w:r>
        <w:rPr>
          <w:rFonts w:ascii="Arial Black" w:hAnsi="Arial Black"/>
          <w:b/>
          <w:sz w:val="24"/>
          <w:szCs w:val="24"/>
        </w:rPr>
        <w:t>8-</w:t>
      </w:r>
      <w:r>
        <w:rPr>
          <w:rFonts w:ascii="Arial Black" w:hAnsi="Arial Black"/>
          <w:b/>
          <w:sz w:val="24"/>
          <w:szCs w:val="24"/>
        </w:rPr>
        <w:t>10</w:t>
      </w:r>
      <w:r w:rsidR="00BB1EF9">
        <w:rPr>
          <w:rFonts w:ascii="Arial Black" w:hAnsi="Arial Black"/>
          <w:b/>
          <w:sz w:val="24"/>
          <w:szCs w:val="24"/>
        </w:rPr>
        <w:t>6</w:t>
      </w:r>
    </w:p>
    <w:p w14:paraId="265165D4" w14:textId="41B108A3" w:rsidR="00680A62" w:rsidRDefault="00680A62" w:rsidP="00680A62">
      <w:pPr>
        <w:pStyle w:val="NoSpacing"/>
        <w:rPr>
          <w:rFonts w:ascii="Arial Black" w:hAnsi="Arial Black"/>
          <w:sz w:val="28"/>
          <w:szCs w:val="28"/>
        </w:rPr>
      </w:pPr>
      <w:r>
        <w:rPr>
          <w:rFonts w:ascii="Arial Black" w:hAnsi="Arial Black"/>
          <w:sz w:val="28"/>
          <w:szCs w:val="28"/>
        </w:rPr>
        <w:t xml:space="preserve">NY: CONSENT DECREE – NEW HIRES / STATE-WIDE TEST </w:t>
      </w:r>
    </w:p>
    <w:p w14:paraId="1BBC40A6" w14:textId="77777777" w:rsidR="00680A62" w:rsidRPr="00AE601A" w:rsidRDefault="00680A62" w:rsidP="00680A62">
      <w:pPr>
        <w:pStyle w:val="NoSpacing"/>
        <w:rPr>
          <w:rFonts w:ascii="Arial Black" w:hAnsi="Arial Black"/>
          <w:sz w:val="28"/>
          <w:szCs w:val="28"/>
        </w:rPr>
      </w:pPr>
    </w:p>
    <w:p w14:paraId="2008D07C" w14:textId="77777777" w:rsidR="00680A62" w:rsidRPr="00483E00" w:rsidRDefault="00680A62" w:rsidP="00680A62">
      <w:pPr>
        <w:pStyle w:val="NoSpacing"/>
      </w:pPr>
      <w:r>
        <w:t xml:space="preserve">On September 22, 2026, in </w:t>
      </w:r>
      <w:r w:rsidRPr="00052159">
        <w:rPr>
          <w:u w:val="single"/>
        </w:rPr>
        <w:t>Vulcan Society of Westchester County, et al. v. Fire Department of the City of White Plains, et al</w:t>
      </w:r>
      <w:r>
        <w:t xml:space="preserve">., U.S. District Court Judge Jessica G.L. Clarke, United States District Court for the Southern District of New York, issued a “Proposed Order” that requires the FD to </w:t>
      </w:r>
      <w:proofErr w:type="spellStart"/>
      <w:r>
        <w:t>hirer</w:t>
      </w:r>
      <w:proofErr w:type="spellEnd"/>
      <w:r>
        <w:t xml:space="preserve"> new personnel off of the statewide test to be given January 9, 2027 (and not extend the current list another two years until September 10, 2029).  “</w:t>
      </w:r>
      <w:r w:rsidRPr="008F6A98">
        <w:t>WHEREAS, the Yonkers defendants moved the Court for permission to extend said list of eligibles for two additional years or a total of four years duration to expire on September 10, 2029, ECF 247, and the Court denied said motion on September 15, 2026</w:t>
      </w:r>
      <w:r>
        <w:t xml:space="preserve">.” </w:t>
      </w:r>
      <w:hyperlink r:id="rId1516" w:history="1">
        <w:r w:rsidRPr="00FD1476">
          <w:rPr>
            <w:rStyle w:val="Hyperlink"/>
          </w:rPr>
          <w:t>https://public.fastcase.com/Jhe1Qn%2BmJndQYQU6z%2FeNm1cq6DF%2B0mwfQ%2B9GkxqArOmiI%2Br3pqLQcfUQ9AU87OOuD%2FJzrAudT8Uy0iaMJBoawKe1EX6WSg%2BOkxX3QRCMAFw%3D?utm_medium=email&amp;_hsenc=p2ANqtz-_ksvtFSH3F7V9OxMxwc5gVP-ZaslSWyxeZ9jEa2PoByYFN6k_LJXpxzSiAU3hVRDVxjynViSQXdw2zZ_BJSnGhoO29fA&amp;_hsmi=226712652&amp;utm_content=226712652&amp;utm_source=hs_email</w:t>
        </w:r>
      </w:hyperlink>
      <w:r>
        <w:t xml:space="preserve"> </w:t>
      </w:r>
    </w:p>
    <w:p w14:paraId="0D32F706" w14:textId="77777777" w:rsidR="00680A62" w:rsidRPr="00483E00" w:rsidRDefault="00680A62" w:rsidP="00680A62">
      <w:pPr>
        <w:pStyle w:val="NoSpacing"/>
      </w:pPr>
    </w:p>
    <w:p w14:paraId="773B49B6" w14:textId="77777777" w:rsidR="00680A62" w:rsidRDefault="00680A62" w:rsidP="00680A62">
      <w:pPr>
        <w:pStyle w:val="NoSpacing"/>
      </w:pPr>
      <w:r>
        <w:t xml:space="preserve">THE COURT WROTE: </w:t>
      </w:r>
    </w:p>
    <w:p w14:paraId="3887D596" w14:textId="77777777" w:rsidR="00680A62" w:rsidRDefault="00680A62" w:rsidP="00680A62">
      <w:pPr>
        <w:pStyle w:val="NoSpacing"/>
      </w:pPr>
    </w:p>
    <w:p w14:paraId="4E19A8BE" w14:textId="77777777" w:rsidR="00680A62" w:rsidRPr="008F6A98" w:rsidRDefault="00680A62" w:rsidP="00680A62">
      <w:pPr>
        <w:pStyle w:val="NoSpacing"/>
        <w:ind w:left="720"/>
      </w:pPr>
      <w:r>
        <w:t>“</w:t>
      </w:r>
      <w:proofErr w:type="gramStart"/>
      <w:r w:rsidRPr="008F6A98">
        <w:t>WHEREAS,</w:t>
      </w:r>
      <w:proofErr w:type="gramEnd"/>
      <w:r w:rsidRPr="008F6A98">
        <w:t xml:space="preserve"> the current list of eligibles to be hired as Firefighters by the City of Yonkers is scheduled to expire on September 10, 2027; and </w:t>
      </w:r>
    </w:p>
    <w:p w14:paraId="496B6547" w14:textId="77777777" w:rsidR="00680A62" w:rsidRDefault="00680A62" w:rsidP="00680A62">
      <w:pPr>
        <w:pStyle w:val="NoSpacing"/>
      </w:pPr>
      <w:r w:rsidRPr="008F6A98">
        <w:t>        </w:t>
      </w:r>
    </w:p>
    <w:p w14:paraId="38192FFB" w14:textId="77777777" w:rsidR="00680A62" w:rsidRPr="008F6A98" w:rsidRDefault="00680A62" w:rsidP="00680A62">
      <w:pPr>
        <w:pStyle w:val="NoSpacing"/>
        <w:ind w:left="720"/>
      </w:pPr>
      <w:proofErr w:type="gramStart"/>
      <w:r w:rsidRPr="008F6A98">
        <w:t>WHEREAS,</w:t>
      </w:r>
      <w:proofErr w:type="gramEnd"/>
      <w:r w:rsidRPr="008F6A98">
        <w:t xml:space="preserve"> the Yonkers defendants moved the Court for permission to extend said list of eligibles for two additional years or a total of four years duration to expire on September 10, 2029, ECF 247, and the Court denied said motion on September 15, 2026, ECF 262; and </w:t>
      </w:r>
    </w:p>
    <w:p w14:paraId="39528C32" w14:textId="77777777" w:rsidR="00680A62" w:rsidRDefault="00680A62" w:rsidP="00680A62">
      <w:pPr>
        <w:pStyle w:val="NoSpacing"/>
      </w:pPr>
      <w:r w:rsidRPr="008F6A98">
        <w:t>         </w:t>
      </w:r>
    </w:p>
    <w:p w14:paraId="2ED9361A" w14:textId="77777777" w:rsidR="00680A62" w:rsidRPr="008F6A98" w:rsidRDefault="00680A62" w:rsidP="00680A62">
      <w:pPr>
        <w:pStyle w:val="NoSpacing"/>
        <w:ind w:left="720"/>
      </w:pPr>
      <w:r w:rsidRPr="008F6A98">
        <w:t xml:space="preserve">WHEREAS, the New York State Dept. of Civil Service (“DCS”) has announced that the next Firefighter written examination will be administered on a statewide basis on January 9, 2027; and </w:t>
      </w:r>
    </w:p>
    <w:p w14:paraId="5DFD586A" w14:textId="77777777" w:rsidR="00680A62" w:rsidRDefault="00680A62" w:rsidP="00680A62">
      <w:pPr>
        <w:pStyle w:val="NoSpacing"/>
      </w:pPr>
      <w:r w:rsidRPr="008F6A98">
        <w:t>         </w:t>
      </w:r>
    </w:p>
    <w:p w14:paraId="5B35B399" w14:textId="77777777" w:rsidR="00680A62" w:rsidRPr="008F6A98" w:rsidRDefault="00680A62" w:rsidP="00680A62">
      <w:pPr>
        <w:pStyle w:val="NoSpacing"/>
        <w:ind w:left="720"/>
      </w:pPr>
      <w:r w:rsidRPr="008F6A98">
        <w:t xml:space="preserve">Whereas the obligations of DCS under the consent decree governing the Yonkers defendants were terminated on September 8, </w:t>
      </w:r>
      <w:proofErr w:type="gramStart"/>
      <w:r w:rsidRPr="008F6A98">
        <w:t>2026</w:t>
      </w:r>
      <w:proofErr w:type="gramEnd"/>
      <w:r w:rsidRPr="008F6A98">
        <w:t xml:space="preserve"> by Order entered as ECF 261; and </w:t>
      </w:r>
    </w:p>
    <w:p w14:paraId="3637CD4C" w14:textId="77777777" w:rsidR="00680A62" w:rsidRDefault="00680A62" w:rsidP="00680A62">
      <w:pPr>
        <w:pStyle w:val="NoSpacing"/>
      </w:pPr>
      <w:r w:rsidRPr="008F6A98">
        <w:t>         </w:t>
      </w:r>
    </w:p>
    <w:p w14:paraId="15CBB8D9" w14:textId="77777777" w:rsidR="00680A62" w:rsidRPr="008F6A98" w:rsidRDefault="00680A62" w:rsidP="00680A62">
      <w:pPr>
        <w:pStyle w:val="NoSpacing"/>
        <w:ind w:left="720"/>
      </w:pPr>
      <w:proofErr w:type="gramStart"/>
      <w:r w:rsidRPr="008F6A98">
        <w:t>WHEREAS,</w:t>
      </w:r>
      <w:proofErr w:type="gramEnd"/>
      <w:r w:rsidRPr="008F6A98">
        <w:t xml:space="preserve"> the process for scoring applicants to Yonkers was substantially revised for the last administration of the DCS Firefighter written examination; </w:t>
      </w:r>
    </w:p>
    <w:p w14:paraId="437F2750" w14:textId="77777777" w:rsidR="00680A62" w:rsidRDefault="00680A62" w:rsidP="00680A62">
      <w:pPr>
        <w:pStyle w:val="NoSpacing"/>
      </w:pPr>
      <w:r w:rsidRPr="008F6A98">
        <w:t>        </w:t>
      </w:r>
    </w:p>
    <w:p w14:paraId="0013F0AC" w14:textId="77777777" w:rsidR="00680A62" w:rsidRPr="008F6A98" w:rsidRDefault="00680A62" w:rsidP="00680A62">
      <w:pPr>
        <w:pStyle w:val="NoSpacing"/>
        <w:ind w:firstLine="720"/>
      </w:pPr>
      <w:r w:rsidRPr="008F6A98">
        <w:t xml:space="preserve"> IT IS HEREBY ORDERED that: </w:t>
      </w:r>
    </w:p>
    <w:p w14:paraId="1804AA56" w14:textId="77777777" w:rsidR="00680A62" w:rsidRDefault="00680A62" w:rsidP="00680A62">
      <w:pPr>
        <w:pStyle w:val="NoSpacing"/>
      </w:pPr>
      <w:r w:rsidRPr="008F6A98">
        <w:t>        </w:t>
      </w:r>
    </w:p>
    <w:p w14:paraId="06077366" w14:textId="77777777" w:rsidR="00680A62" w:rsidRPr="008F6A98" w:rsidRDefault="00680A62" w:rsidP="00680A62">
      <w:pPr>
        <w:pStyle w:val="NoSpacing"/>
        <w:ind w:left="720"/>
      </w:pPr>
      <w:r w:rsidRPr="008F6A98">
        <w:t xml:space="preserve"> 1. The Yonkers defendants and the Yonkers Civil Service Commission shall utilize banded scores provided by DCS and any applicable veterans points to adopt a list of eligibles from the test results of the January 9, </w:t>
      </w:r>
      <w:proofErr w:type="gramStart"/>
      <w:r w:rsidRPr="008F6A98">
        <w:t>2027</w:t>
      </w:r>
      <w:proofErr w:type="gramEnd"/>
      <w:r w:rsidRPr="008F6A98">
        <w:t xml:space="preserve"> Firefighter test. </w:t>
      </w:r>
    </w:p>
    <w:p w14:paraId="66E2BC21" w14:textId="77777777" w:rsidR="00680A62" w:rsidRPr="008F6A98" w:rsidRDefault="00680A62" w:rsidP="00680A62">
      <w:pPr>
        <w:pStyle w:val="NoSpacing"/>
      </w:pPr>
    </w:p>
    <w:p w14:paraId="23582EDA" w14:textId="77777777" w:rsidR="00680A62" w:rsidRDefault="00680A62" w:rsidP="00680A62">
      <w:pPr>
        <w:pStyle w:val="NoSpacing"/>
        <w:ind w:left="540" w:firstLine="180"/>
      </w:pPr>
      <w:r w:rsidRPr="008F6A98">
        <w:t xml:space="preserve">2. The physical agility procedures of the Consent Decree shall not be utilized to score </w:t>
      </w:r>
      <w:proofErr w:type="gramStart"/>
      <w:r w:rsidRPr="008F6A98">
        <w:t>or r</w:t>
      </w:r>
      <w:r>
        <w:tab/>
      </w:r>
      <w:proofErr w:type="gramEnd"/>
      <w:r>
        <w:tab/>
        <w:t>r</w:t>
      </w:r>
      <w:r w:rsidRPr="008F6A98">
        <w:t xml:space="preserve">ank applicants that pass the January 9, </w:t>
      </w:r>
      <w:proofErr w:type="gramStart"/>
      <w:r w:rsidRPr="008F6A98">
        <w:t>2027</w:t>
      </w:r>
      <w:proofErr w:type="gramEnd"/>
      <w:r w:rsidRPr="008F6A98">
        <w:t xml:space="preserve"> Firefighter test. </w:t>
      </w:r>
    </w:p>
    <w:p w14:paraId="090A21F0" w14:textId="77777777" w:rsidR="00680A62" w:rsidRPr="008F6A98" w:rsidRDefault="00680A62" w:rsidP="00680A62">
      <w:pPr>
        <w:pStyle w:val="NoSpacing"/>
        <w:ind w:left="540"/>
      </w:pPr>
    </w:p>
    <w:p w14:paraId="64C4A543" w14:textId="77777777" w:rsidR="00680A62" w:rsidRDefault="00680A62" w:rsidP="00680A62">
      <w:pPr>
        <w:pStyle w:val="NoSpacing"/>
        <w:ind w:left="720" w:firstLine="60"/>
      </w:pPr>
      <w:r w:rsidRPr="008F6A98">
        <w:t>3. The Yonkers defendants shall use the Candidate Physical Ability Test (</w:t>
      </w:r>
      <w:r>
        <w:t>“</w:t>
      </w:r>
      <w:r w:rsidRPr="008F6A98">
        <w:t>CPA</w:t>
      </w:r>
      <w:r>
        <w:t>”</w:t>
      </w:r>
      <w:r w:rsidRPr="008F6A98">
        <w:t xml:space="preserve">), in compliance with its licensing agreement, on a pass-fail basis in its evaluation of candidates on the list of eligibles from the January 9, </w:t>
      </w:r>
      <w:proofErr w:type="gramStart"/>
      <w:r w:rsidRPr="008F6A98">
        <w:t>2027</w:t>
      </w:r>
      <w:proofErr w:type="gramEnd"/>
      <w:r w:rsidRPr="008F6A98">
        <w:t xml:space="preserve"> Firefighter test. </w:t>
      </w:r>
    </w:p>
    <w:p w14:paraId="6704FA91" w14:textId="77777777" w:rsidR="00680A62" w:rsidRPr="008F6A98" w:rsidRDefault="00680A62" w:rsidP="00680A62">
      <w:pPr>
        <w:pStyle w:val="NoSpacing"/>
        <w:ind w:left="720" w:firstLine="60"/>
      </w:pPr>
    </w:p>
    <w:p w14:paraId="450D76D9" w14:textId="77777777" w:rsidR="00680A62" w:rsidRPr="008F6A98" w:rsidRDefault="00680A62" w:rsidP="00680A62">
      <w:pPr>
        <w:pStyle w:val="NoSpacing"/>
      </w:pPr>
      <w:r w:rsidRPr="008F6A98">
        <w:t xml:space="preserve">         4. The requirements for </w:t>
      </w:r>
      <w:proofErr w:type="gramStart"/>
      <w:r w:rsidRPr="008F6A98">
        <w:t>appointment</w:t>
      </w:r>
      <w:proofErr w:type="gramEnd"/>
      <w:r w:rsidRPr="008F6A98">
        <w:t xml:space="preserve"> as a firefighter as provided in the Consent </w:t>
      </w:r>
    </w:p>
    <w:p w14:paraId="30954B6F" w14:textId="77777777" w:rsidR="00680A62" w:rsidRPr="008F6A98" w:rsidRDefault="00680A62" w:rsidP="00680A62">
      <w:pPr>
        <w:pStyle w:val="NoSpacing"/>
        <w:ind w:left="720"/>
      </w:pPr>
      <w:r w:rsidRPr="008F6A98">
        <w:t xml:space="preserve">Decree shall be modified to provide that applicants must not have reached their thirty-second (32) birthday by the date of the written test. </w:t>
      </w:r>
    </w:p>
    <w:p w14:paraId="6A7BAAAD" w14:textId="77777777" w:rsidR="00680A62" w:rsidRDefault="00680A62" w:rsidP="00680A62">
      <w:pPr>
        <w:pStyle w:val="NoSpacing"/>
      </w:pPr>
      <w:r w:rsidRPr="008F6A98">
        <w:t>        </w:t>
      </w:r>
    </w:p>
    <w:p w14:paraId="254FA862" w14:textId="77777777" w:rsidR="00680A62" w:rsidRPr="008F6A98" w:rsidRDefault="00680A62" w:rsidP="00680A62">
      <w:pPr>
        <w:pStyle w:val="NoSpacing"/>
        <w:ind w:left="720"/>
      </w:pPr>
      <w:r w:rsidRPr="008F6A98">
        <w:t xml:space="preserve"> 5. The language below will </w:t>
      </w:r>
      <w:proofErr w:type="gramStart"/>
      <w:r w:rsidRPr="008F6A98">
        <w:t>substituted</w:t>
      </w:r>
      <w:proofErr w:type="gramEnd"/>
      <w:r w:rsidRPr="008F6A98">
        <w:t xml:space="preserve"> for the </w:t>
      </w:r>
      <w:r>
        <w:t>“</w:t>
      </w:r>
      <w:r w:rsidRPr="008F6A98">
        <w:t xml:space="preserve">Residence” provisions of the Consent Decree: </w:t>
      </w:r>
    </w:p>
    <w:p w14:paraId="7BFB82E7" w14:textId="77777777" w:rsidR="00680A62" w:rsidRDefault="00680A62" w:rsidP="00680A62">
      <w:pPr>
        <w:pStyle w:val="NoSpacing"/>
        <w:ind w:firstLine="720"/>
      </w:pPr>
    </w:p>
    <w:p w14:paraId="7AD9C6CF" w14:textId="77777777" w:rsidR="00680A62" w:rsidRPr="008F6A98" w:rsidRDefault="00680A62" w:rsidP="00680A62">
      <w:pPr>
        <w:pStyle w:val="NoSpacing"/>
        <w:ind w:left="720"/>
      </w:pPr>
      <w:r w:rsidRPr="008F6A98">
        <w:t xml:space="preserve">Residence. </w:t>
      </w:r>
      <w:proofErr w:type="gramStart"/>
      <w:r w:rsidRPr="008F6A98">
        <w:t>In order to</w:t>
      </w:r>
      <w:proofErr w:type="gramEnd"/>
      <w:r w:rsidRPr="008F6A98">
        <w:t xml:space="preserve"> be eligible to take the test and be appointed from the list, applicants must be legal residents of the City of Yonkers continuously for at least one year immediately preceding the date of the written test and must remain residents of the City up to and including the time of appointment. Only applicants </w:t>
      </w:r>
      <w:proofErr w:type="gramStart"/>
      <w:r w:rsidRPr="008F6A98">
        <w:t>who can</w:t>
      </w:r>
      <w:proofErr w:type="gramEnd"/>
      <w:r w:rsidRPr="008F6A98">
        <w:t xml:space="preserve"> demonstrate eligibility as described above will be considered for appointment. </w:t>
      </w:r>
    </w:p>
    <w:p w14:paraId="0FACECD0" w14:textId="77777777" w:rsidR="00680A62" w:rsidRDefault="00680A62" w:rsidP="00680A62">
      <w:pPr>
        <w:pStyle w:val="NoSpacing"/>
      </w:pPr>
      <w:r w:rsidRPr="008F6A98">
        <w:t>        </w:t>
      </w:r>
    </w:p>
    <w:p w14:paraId="7805938B" w14:textId="77777777" w:rsidR="00680A62" w:rsidRPr="008F6A98" w:rsidRDefault="00680A62" w:rsidP="00680A62">
      <w:pPr>
        <w:pStyle w:val="NoSpacing"/>
        <w:ind w:left="720"/>
      </w:pPr>
      <w:r w:rsidRPr="008F6A98">
        <w:t xml:space="preserve"> 6. The deadline for filing applications to take the January 9, </w:t>
      </w:r>
      <w:proofErr w:type="gramStart"/>
      <w:r w:rsidRPr="008F6A98">
        <w:t>2027</w:t>
      </w:r>
      <w:proofErr w:type="gramEnd"/>
      <w:r w:rsidRPr="008F6A98">
        <w:t xml:space="preserve"> Firefighter test shall be November 25, 2026. </w:t>
      </w:r>
    </w:p>
    <w:p w14:paraId="08FA2D3E" w14:textId="77777777" w:rsidR="00680A62" w:rsidRPr="008F6A98" w:rsidRDefault="00680A62" w:rsidP="00680A62">
      <w:pPr>
        <w:pStyle w:val="NoSpacing"/>
      </w:pPr>
    </w:p>
    <w:p w14:paraId="00A64CD0" w14:textId="77777777" w:rsidR="00680A62" w:rsidRDefault="00680A62" w:rsidP="00680A62">
      <w:pPr>
        <w:pStyle w:val="NoSpacing"/>
      </w:pPr>
      <w:r w:rsidRPr="008F6A98">
        <w:t>       </w:t>
      </w:r>
      <w:r>
        <w:tab/>
      </w:r>
      <w:r w:rsidRPr="008F6A98">
        <w:t>SO ORDERED.</w:t>
      </w:r>
      <w:r>
        <w:t>”</w:t>
      </w:r>
    </w:p>
    <w:p w14:paraId="06DD7E44" w14:textId="77777777" w:rsidR="00680A62" w:rsidRDefault="00680A62" w:rsidP="00680A62">
      <w:pPr>
        <w:pStyle w:val="NoSpacing"/>
      </w:pPr>
    </w:p>
    <w:p w14:paraId="7A419ABE" w14:textId="77777777" w:rsidR="00680A62" w:rsidRDefault="00680A62" w:rsidP="00680A62">
      <w:pPr>
        <w:pStyle w:val="NoSpacing"/>
        <w:rPr>
          <w:b/>
        </w:rPr>
      </w:pPr>
      <w:r>
        <w:rPr>
          <w:b/>
        </w:rPr>
        <w:t xml:space="preserve">Legal lesson learned: While the 1981 </w:t>
      </w:r>
      <w:proofErr w:type="gramStart"/>
      <w:r>
        <w:rPr>
          <w:b/>
        </w:rPr>
        <w:t>Consent</w:t>
      </w:r>
      <w:proofErr w:type="gramEnd"/>
      <w:r>
        <w:rPr>
          <w:b/>
        </w:rPr>
        <w:t xml:space="preserve"> Decree has been terminated </w:t>
      </w:r>
      <w:r w:rsidRPr="000309CA">
        <w:rPr>
          <w:b/>
        </w:rPr>
        <w:t>regarding the New York State Department of Civil Service following compliance with updated exam and reporting mandates</w:t>
      </w:r>
      <w:r>
        <w:rPr>
          <w:b/>
        </w:rPr>
        <w:t xml:space="preserve">, the Federal Court continues to oversee the City’s compliance. </w:t>
      </w:r>
    </w:p>
    <w:p w14:paraId="41DA5E87" w14:textId="77777777" w:rsidR="00680A62" w:rsidRDefault="00680A62" w:rsidP="00680A62">
      <w:pPr>
        <w:pStyle w:val="NoSpacing"/>
        <w:ind w:left="720"/>
      </w:pPr>
    </w:p>
    <w:p w14:paraId="716927B3" w14:textId="77777777" w:rsidR="00680A62" w:rsidRDefault="00680A62" w:rsidP="00680A62">
      <w:pPr>
        <w:pStyle w:val="NoSpacing"/>
        <w:ind w:left="720"/>
      </w:pPr>
      <w:r>
        <w:t xml:space="preserve">Note: See Younkers FD announcement of next exam on </w:t>
      </w:r>
      <w:r w:rsidRPr="0040581E">
        <w:t xml:space="preserve">January 9, </w:t>
      </w:r>
      <w:proofErr w:type="gramStart"/>
      <w:r w:rsidRPr="0040581E">
        <w:t>2027</w:t>
      </w:r>
      <w:proofErr w:type="gramEnd"/>
      <w:r w:rsidRPr="0040581E">
        <w:t xml:space="preserve"> at Yonkers Middle High School and Lincoln High School.</w:t>
      </w:r>
    </w:p>
    <w:p w14:paraId="6A24E2E1" w14:textId="77777777" w:rsidR="00680A62" w:rsidRPr="00410872" w:rsidRDefault="00680A62" w:rsidP="00680A62">
      <w:pPr>
        <w:pStyle w:val="NoSpacing"/>
        <w:ind w:left="720"/>
      </w:pPr>
      <w:hyperlink r:id="rId1517" w:history="1">
        <w:r w:rsidRPr="00827AD7">
          <w:rPr>
            <w:rStyle w:val="Hyperlink"/>
          </w:rPr>
          <w:t>https://www.yonkersny.gov/1138/Firefighter-Recruitment</w:t>
        </w:r>
      </w:hyperlink>
      <w:r>
        <w:t xml:space="preserve"> </w:t>
      </w:r>
    </w:p>
    <w:p w14:paraId="2420BE76" w14:textId="77777777" w:rsidR="00680A62" w:rsidRDefault="00680A62" w:rsidP="00680A62">
      <w:pPr>
        <w:pStyle w:val="NoSpacing"/>
        <w:rPr>
          <w:rFonts w:ascii="Arial Black" w:hAnsi="Arial Black"/>
          <w:sz w:val="28"/>
          <w:szCs w:val="28"/>
        </w:rPr>
      </w:pPr>
    </w:p>
    <w:p w14:paraId="24EC6AEB" w14:textId="5681F4B4" w:rsidR="004E7EE9" w:rsidRDefault="004E7EE9" w:rsidP="004E7EE9">
      <w:pPr>
        <w:rPr>
          <w:rFonts w:ascii="Arial Black" w:hAnsi="Arial Black"/>
          <w:b/>
          <w:sz w:val="24"/>
          <w:szCs w:val="24"/>
        </w:rPr>
      </w:pPr>
      <w:r>
        <w:rPr>
          <w:rFonts w:ascii="Arial Black" w:hAnsi="Arial Black"/>
          <w:b/>
          <w:sz w:val="24"/>
          <w:szCs w:val="24"/>
        </w:rPr>
        <w:t>8-</w:t>
      </w:r>
      <w:r>
        <w:rPr>
          <w:rFonts w:ascii="Arial Black" w:hAnsi="Arial Black"/>
          <w:b/>
          <w:sz w:val="24"/>
          <w:szCs w:val="24"/>
        </w:rPr>
        <w:t>10</w:t>
      </w:r>
      <w:r w:rsidR="00BB1EF9">
        <w:rPr>
          <w:rFonts w:ascii="Arial Black" w:hAnsi="Arial Black"/>
          <w:b/>
          <w:sz w:val="24"/>
          <w:szCs w:val="24"/>
        </w:rPr>
        <w:t>5</w:t>
      </w:r>
    </w:p>
    <w:p w14:paraId="2AF72897" w14:textId="77777777" w:rsidR="00680A62" w:rsidRPr="007C6166" w:rsidRDefault="00680A62" w:rsidP="00680A62">
      <w:pPr>
        <w:pStyle w:val="NoSpacing"/>
      </w:pPr>
      <w:r w:rsidRPr="007C6166">
        <w:tab/>
      </w:r>
    </w:p>
    <w:p w14:paraId="66DCEF83" w14:textId="77777777" w:rsidR="00680A62" w:rsidRPr="00C8066F" w:rsidRDefault="00680A62" w:rsidP="00680A62">
      <w:pPr>
        <w:rPr>
          <w:rFonts w:ascii="Arial Black" w:hAnsi="Arial Black"/>
          <w:b/>
          <w:sz w:val="28"/>
          <w:szCs w:val="28"/>
        </w:rPr>
      </w:pPr>
      <w:r>
        <w:rPr>
          <w:rFonts w:ascii="Arial Black" w:hAnsi="Arial Black"/>
          <w:b/>
          <w:sz w:val="28"/>
          <w:szCs w:val="28"/>
        </w:rPr>
        <w:t xml:space="preserve">MA: BLACK CAPT / LT – FF SOCIAL MEDIA - CITY WINS JURY </w:t>
      </w:r>
    </w:p>
    <w:p w14:paraId="44DD5971" w14:textId="77777777" w:rsidR="00680A62" w:rsidRDefault="00680A62" w:rsidP="00680A62">
      <w:pPr>
        <w:rPr>
          <w:b/>
        </w:rPr>
      </w:pPr>
      <w:r>
        <w:t xml:space="preserve">On September 16, 2026, in </w:t>
      </w:r>
      <w:r w:rsidRPr="00E65504">
        <w:rPr>
          <w:u w:val="single"/>
        </w:rPr>
        <w:t>Marc Savage and Randolph Blake v. City of Springfield, et al</w:t>
      </w:r>
      <w:r>
        <w:t xml:space="preserve">., the United States Court of Appeals for First Circuit (Boston) held (3 to 0) that jury’s verdict of no racial or religious discrimination is affirmed.  </w:t>
      </w:r>
      <w:r w:rsidRPr="00AB133A">
        <w:t xml:space="preserve">A nine-day jury trial was held in June </w:t>
      </w:r>
      <w:proofErr w:type="gramStart"/>
      <w:r w:rsidRPr="00AB133A">
        <w:t>2024</w:t>
      </w:r>
      <w:proofErr w:type="gramEnd"/>
      <w:r>
        <w:t xml:space="preserve"> included ugly social media posts by fellow firefighters. </w:t>
      </w:r>
      <w:r w:rsidRPr="00AB133A">
        <w:t xml:space="preserve"> </w:t>
      </w:r>
      <w:r>
        <w:t>“</w:t>
      </w:r>
      <w:r w:rsidRPr="00336A9F">
        <w:t>Captain Marc Savage</w:t>
      </w:r>
      <w:r>
        <w:t xml:space="preserve"> [who is Muslim] </w:t>
      </w:r>
      <w:r w:rsidRPr="00336A9F">
        <w:t xml:space="preserve"> and</w:t>
      </w:r>
      <w:r>
        <w:t xml:space="preserve"> </w:t>
      </w:r>
      <w:r w:rsidRPr="00336A9F">
        <w:t>Lieutenant Randolph Blake</w:t>
      </w:r>
      <w:r>
        <w:t xml:space="preserve"> [who is a Jehovah’s Witness] </w:t>
      </w:r>
      <w:r w:rsidRPr="00336A9F">
        <w:t xml:space="preserve"> are Black firefighters employed by the</w:t>
      </w:r>
      <w:r>
        <w:t xml:space="preserve"> </w:t>
      </w:r>
      <w:r w:rsidRPr="00336A9F">
        <w:t>Springfield Fire Department (</w:t>
      </w:r>
      <w:r>
        <w:t>‘</w:t>
      </w:r>
      <w:r w:rsidRPr="00336A9F">
        <w:t>SFD</w:t>
      </w:r>
      <w:r>
        <w:t>’</w:t>
      </w:r>
      <w:r w:rsidRPr="00336A9F">
        <w:t>) in Springfield, Massachusetts</w:t>
      </w:r>
      <w:r>
        <w:t xml:space="preserve"> </w:t>
      </w:r>
      <w:r w:rsidRPr="00336A9F">
        <w:t>(</w:t>
      </w:r>
      <w:r>
        <w:t>‘</w:t>
      </w:r>
      <w:r w:rsidRPr="00336A9F">
        <w:t xml:space="preserve">the </w:t>
      </w:r>
      <w:proofErr w:type="gramStart"/>
      <w:r w:rsidRPr="00336A9F">
        <w:t>City</w:t>
      </w:r>
      <w:proofErr w:type="gramEnd"/>
      <w:r>
        <w:t>’</w:t>
      </w:r>
      <w:r w:rsidRPr="00336A9F">
        <w:t>)</w:t>
      </w:r>
      <w:r>
        <w:t>…</w:t>
      </w:r>
      <w:r w:rsidRPr="00336A9F">
        <w:t>. After defendants</w:t>
      </w:r>
      <w:r>
        <w:t xml:space="preserve"> </w:t>
      </w:r>
      <w:r w:rsidRPr="00336A9F">
        <w:t>prevailed at trial, Savage and Blake brought this appeal, arguing</w:t>
      </w:r>
      <w:r>
        <w:t xml:space="preserve"> </w:t>
      </w:r>
      <w:r w:rsidRPr="00336A9F">
        <w:t>that the district court made multiple errors that misled and</w:t>
      </w:r>
      <w:r>
        <w:t xml:space="preserve"> </w:t>
      </w:r>
      <w:r w:rsidRPr="00336A9F">
        <w:t>misinformed the jury. Finding no such errors, we affirm the jury's</w:t>
      </w:r>
      <w:r>
        <w:t xml:space="preserve"> </w:t>
      </w:r>
      <w:r w:rsidRPr="00336A9F">
        <w:t>verdict.</w:t>
      </w:r>
      <w:r>
        <w:t xml:space="preserve">”  </w:t>
      </w:r>
      <w:hyperlink r:id="rId1518" w:history="1">
        <w:r w:rsidRPr="00EB279F">
          <w:rPr>
            <w:rStyle w:val="Hyperlink"/>
            <w:b/>
          </w:rPr>
          <w:t>https://www.ca1.uscourts.gov/sites/ca1/files/opnfiles/24-1720P-01A.pdf</w:t>
        </w:r>
      </w:hyperlink>
      <w:r>
        <w:rPr>
          <w:b/>
        </w:rPr>
        <w:t xml:space="preserve"> </w:t>
      </w:r>
    </w:p>
    <w:p w14:paraId="7ABD309E" w14:textId="77777777" w:rsidR="00680A62" w:rsidRDefault="00680A62" w:rsidP="00680A62">
      <w:pPr>
        <w:pStyle w:val="NoSpacing"/>
      </w:pPr>
      <w:r>
        <w:t>THE COURT WROTE:</w:t>
      </w:r>
    </w:p>
    <w:p w14:paraId="46FF252B" w14:textId="77777777" w:rsidR="00680A62" w:rsidRDefault="00680A62" w:rsidP="00680A62">
      <w:pPr>
        <w:pStyle w:val="NoSpacing"/>
      </w:pPr>
    </w:p>
    <w:p w14:paraId="4541C18E" w14:textId="77777777" w:rsidR="00680A62" w:rsidRDefault="00680A62" w:rsidP="00680A62">
      <w:pPr>
        <w:pStyle w:val="NoSpacing"/>
        <w:ind w:left="720"/>
      </w:pPr>
      <w:r>
        <w:t xml:space="preserve">“In March 2014, Savage sat for a promotional examination for the position of Deputy Fire Chief. </w:t>
      </w:r>
      <w:proofErr w:type="gramStart"/>
      <w:r>
        <w:t>Then-Fire</w:t>
      </w:r>
      <w:proofErr w:type="gramEnd"/>
      <w:r>
        <w:t xml:space="preserve"> Commissioner Joseph Conant was aware that Savage was one of only two employees taking this exam. The other employee, Glenn Guyer, was </w:t>
      </w:r>
      <w:proofErr w:type="gramStart"/>
      <w:r>
        <w:t>a white</w:t>
      </w:r>
      <w:proofErr w:type="gramEnd"/>
    </w:p>
    <w:p w14:paraId="06AB43C0" w14:textId="77777777" w:rsidR="00680A62" w:rsidRDefault="00680A62" w:rsidP="00680A62">
      <w:pPr>
        <w:pStyle w:val="NoSpacing"/>
        <w:ind w:left="720"/>
      </w:pPr>
      <w:r>
        <w:t>resident of a different city. A city ordinance requires the Deputy Fire Chief to live in Springfield, and that requirement can only be waived by the mayor. According to Blake and Savage, the mayor denied the white candidate's request for a waiver in this case,</w:t>
      </w:r>
    </w:p>
    <w:p w14:paraId="7352C416" w14:textId="77777777" w:rsidR="00680A62" w:rsidRDefault="00680A62" w:rsidP="00680A62">
      <w:pPr>
        <w:pStyle w:val="NoSpacing"/>
        <w:ind w:left="720"/>
      </w:pPr>
      <w:r>
        <w:t xml:space="preserve">leaving Savage as the only eligible applicant for the position. Approximately three months later, Conant requested that the results for that exam be </w:t>
      </w:r>
      <w:proofErr w:type="gramStart"/>
      <w:r>
        <w:t>invalidated</w:t>
      </w:r>
      <w:proofErr w:type="gramEnd"/>
      <w:r>
        <w:t xml:space="preserve"> because there were only two applicants.</w:t>
      </w:r>
    </w:p>
    <w:p w14:paraId="493967B1" w14:textId="77777777" w:rsidR="00680A62" w:rsidRDefault="00680A62" w:rsidP="00680A62">
      <w:pPr>
        <w:pStyle w:val="NoSpacing"/>
        <w:ind w:left="720"/>
      </w:pPr>
    </w:p>
    <w:p w14:paraId="3A4BDA20" w14:textId="77777777" w:rsidR="00680A62" w:rsidRDefault="00680A62" w:rsidP="00680A62">
      <w:pPr>
        <w:pStyle w:val="NoSpacing"/>
        <w:ind w:left="720"/>
      </w:pPr>
      <w:r>
        <w:t>***</w:t>
      </w:r>
    </w:p>
    <w:p w14:paraId="0AFBDBE3" w14:textId="77777777" w:rsidR="00680A62" w:rsidRDefault="00680A62" w:rsidP="00680A62">
      <w:pPr>
        <w:pStyle w:val="NoSpacing"/>
        <w:ind w:left="720"/>
      </w:pPr>
      <w:r>
        <w:t>Blake similarly alleges racial discrimination in hiring practices at the SFD. He claims that, in 2016, he was passed over for a promotion to Captain in favor of a white non-resident who was not required to fulfill certain Civil Service requirements for promotions, including interviews. Blake maintains that he was passed over again, in similar circumstances, when another position opened in 2017, and he claims that drug testing and written evaluations from superiors were not required as usual.</w:t>
      </w:r>
    </w:p>
    <w:p w14:paraId="7B2F5A45" w14:textId="77777777" w:rsidR="00680A62" w:rsidRDefault="00680A62" w:rsidP="00680A62">
      <w:pPr>
        <w:pStyle w:val="NoSpacing"/>
        <w:ind w:left="720"/>
      </w:pPr>
    </w:p>
    <w:p w14:paraId="62A6FBDB" w14:textId="77777777" w:rsidR="00680A62" w:rsidRDefault="00680A62" w:rsidP="00680A62">
      <w:pPr>
        <w:pStyle w:val="NoSpacing"/>
        <w:ind w:left="720"/>
      </w:pPr>
      <w:r>
        <w:t>***</w:t>
      </w:r>
    </w:p>
    <w:p w14:paraId="3B18E4E3" w14:textId="77777777" w:rsidR="00680A62" w:rsidRDefault="00680A62" w:rsidP="00680A62">
      <w:pPr>
        <w:pStyle w:val="NoSpacing"/>
        <w:ind w:left="720"/>
      </w:pPr>
      <w:r>
        <w:t>Savage and Blake also claim that the SFD had a hostile work environment where ‘racist and anti-Muslim rhetoric’ was common. They cite numerous ‘social media posts targeting Blake and Savage . . . contain[</w:t>
      </w:r>
      <w:proofErr w:type="spellStart"/>
      <w:r>
        <w:t>ing</w:t>
      </w:r>
      <w:proofErr w:type="spellEnd"/>
      <w:r>
        <w:t>] racist and anti-Muslim rhetoric and memes[,]’ as well as derogatory comments and threats of physical violence directed at one or both plaintiffs on Facebook. [Footnote 3: Some of the social media posts were posted in unofficial,</w:t>
      </w:r>
    </w:p>
    <w:p w14:paraId="4511BA9F" w14:textId="77777777" w:rsidR="00680A62" w:rsidRDefault="00680A62" w:rsidP="00680A62">
      <w:pPr>
        <w:pStyle w:val="NoSpacing"/>
        <w:ind w:left="720"/>
      </w:pPr>
      <w:r>
        <w:t xml:space="preserve">private SFD Facebook groups, while other social media messages were posted on individual SFD firefighters' personal pages.]  [Footnote 19: The [trial] judge </w:t>
      </w:r>
      <w:proofErr w:type="gramStart"/>
      <w:r>
        <w:t>remarked, ‘</w:t>
      </w:r>
      <w:proofErr w:type="gramEnd"/>
      <w:r>
        <w:t>I'm not going to tell the jury that these posts are protected, but I'm not going to preclude the [C]</w:t>
      </w:r>
      <w:proofErr w:type="spellStart"/>
      <w:r>
        <w:t>ity</w:t>
      </w:r>
      <w:proofErr w:type="spellEnd"/>
      <w:r>
        <w:t xml:space="preserve"> from saying we have these limits on our ability to . . . discipline, control.’</w:t>
      </w:r>
    </w:p>
    <w:p w14:paraId="54313DA7" w14:textId="77777777" w:rsidR="00680A62" w:rsidRDefault="00680A62" w:rsidP="00680A62">
      <w:pPr>
        <w:pStyle w:val="NoSpacing"/>
        <w:ind w:left="720"/>
      </w:pPr>
    </w:p>
    <w:p w14:paraId="00170BFC" w14:textId="77777777" w:rsidR="00680A62" w:rsidRDefault="00680A62" w:rsidP="00680A62">
      <w:pPr>
        <w:pStyle w:val="NoSpacing"/>
        <w:ind w:left="720"/>
      </w:pPr>
      <w:r>
        <w:t>***</w:t>
      </w:r>
    </w:p>
    <w:p w14:paraId="0F336DA2" w14:textId="77777777" w:rsidR="00680A62" w:rsidRDefault="00680A62" w:rsidP="00680A62">
      <w:pPr>
        <w:pStyle w:val="NoSpacing"/>
        <w:ind w:left="720"/>
      </w:pPr>
      <w:r>
        <w:t>The parties agree that no direct reference was made to the First Amendment until the defendants' closing argument, when counsel stated:</w:t>
      </w:r>
    </w:p>
    <w:p w14:paraId="4301A456" w14:textId="77777777" w:rsidR="00680A62" w:rsidRDefault="00680A62" w:rsidP="00680A62">
      <w:pPr>
        <w:pStyle w:val="NoSpacing"/>
      </w:pPr>
    </w:p>
    <w:p w14:paraId="310A5F7D" w14:textId="77777777" w:rsidR="00680A62" w:rsidRDefault="00680A62" w:rsidP="00680A62">
      <w:pPr>
        <w:pStyle w:val="NoSpacing"/>
        <w:ind w:left="1440"/>
      </w:pPr>
      <w:r>
        <w:t xml:space="preserve">[Fire Commissioner] Joseph Conant testified that when [the social media posts] were brought to his attention, he knew that this was a complex issue . . . . There's a lot of competing issues that come into play . . . . Things that I may find deeply, deeply offensive, someone else may say: That's my right to have political speech. That's my political belief. Things that I might find offensive, people might say: That's part of my religion and I have a right to believe those things . . . . </w:t>
      </w:r>
      <w:proofErr w:type="gramStart"/>
      <w:r>
        <w:t>So</w:t>
      </w:r>
      <w:proofErr w:type="gramEnd"/>
      <w:r>
        <w:t xml:space="preserve"> Joe Conant did the responsible thing. He reached out to the HR department and he said: I need some help . . . . </w:t>
      </w:r>
      <w:proofErr w:type="gramStart"/>
      <w:r>
        <w:t>There's</w:t>
      </w:r>
      <w:proofErr w:type="gramEnd"/>
      <w:r>
        <w:t xml:space="preserve"> no clearcut answers on how we deal with people's private speech in a public or semipublic forum. We're all living through the experiment with social media colliding with the First Amendment colliding with hate speech. It's an issue, perhaps the issue of our time. </w:t>
      </w:r>
    </w:p>
    <w:p w14:paraId="75FE036B" w14:textId="77777777" w:rsidR="00680A62" w:rsidRDefault="00680A62" w:rsidP="00680A62">
      <w:pPr>
        <w:pStyle w:val="NoSpacing"/>
        <w:ind w:left="720" w:firstLine="720"/>
      </w:pPr>
    </w:p>
    <w:p w14:paraId="2CD604E0" w14:textId="77777777" w:rsidR="00680A62" w:rsidRDefault="00680A62" w:rsidP="00680A62">
      <w:pPr>
        <w:ind w:firstLine="720"/>
      </w:pPr>
      <w:r>
        <w:t xml:space="preserve">Plaintiffs' counsel did not object to the defendants' closing </w:t>
      </w:r>
      <w:proofErr w:type="gramStart"/>
      <w:r>
        <w:t>argument.”</w:t>
      </w:r>
      <w:proofErr w:type="gramEnd"/>
    </w:p>
    <w:p w14:paraId="2985D985" w14:textId="77777777" w:rsidR="00680A62" w:rsidRDefault="00680A62" w:rsidP="00680A62">
      <w:pPr>
        <w:pStyle w:val="NoSpacing"/>
        <w:rPr>
          <w:b/>
          <w:bCs/>
        </w:rPr>
      </w:pPr>
      <w:r>
        <w:rPr>
          <w:b/>
        </w:rPr>
        <w:t xml:space="preserve">Legal lesson learned: Fire Commissioner properly reached out to HR concerning discipline for social media posts.  </w:t>
      </w:r>
    </w:p>
    <w:p w14:paraId="0EF69C7C" w14:textId="77777777" w:rsidR="00680A62" w:rsidRDefault="00680A62" w:rsidP="00680A62">
      <w:pPr>
        <w:pStyle w:val="NoSpacing"/>
        <w:rPr>
          <w:b/>
          <w:bCs/>
        </w:rPr>
      </w:pPr>
    </w:p>
    <w:p w14:paraId="25DDFA5E" w14:textId="77777777" w:rsidR="00680A62" w:rsidRDefault="00680A62" w:rsidP="00680A62">
      <w:pPr>
        <w:pStyle w:val="NoSpacing"/>
        <w:ind w:left="720"/>
      </w:pPr>
      <w:r>
        <w:t>Note:  The Court described some of the ugly social media comments.</w:t>
      </w:r>
    </w:p>
    <w:p w14:paraId="4FDAC043" w14:textId="77777777" w:rsidR="00680A62" w:rsidRDefault="00680A62" w:rsidP="00680A62">
      <w:pPr>
        <w:pStyle w:val="NoSpacing"/>
        <w:ind w:left="720"/>
      </w:pPr>
    </w:p>
    <w:p w14:paraId="160EBB8F" w14:textId="77777777" w:rsidR="00680A62" w:rsidRDefault="00680A62" w:rsidP="00680A62">
      <w:pPr>
        <w:pStyle w:val="NoSpacing"/>
        <w:ind w:left="1440"/>
      </w:pPr>
      <w:r>
        <w:t>“In one set of comments, fellow firefighters suggested that if Savage were Deputy Fire Chief, ‘everyone would have to pray five times a day,’ and called Muslims</w:t>
      </w:r>
    </w:p>
    <w:p w14:paraId="4E3E2208" w14:textId="77777777" w:rsidR="00680A62" w:rsidRDefault="00680A62" w:rsidP="00680A62">
      <w:pPr>
        <w:pStyle w:val="NoSpacing"/>
        <w:ind w:left="1440"/>
      </w:pPr>
      <w:r>
        <w:t>‘</w:t>
      </w:r>
      <w:proofErr w:type="gramStart"/>
      <w:r>
        <w:t>towel</w:t>
      </w:r>
      <w:proofErr w:type="gramEnd"/>
      <w:r>
        <w:t xml:space="preserve"> heads.’ </w:t>
      </w:r>
    </w:p>
    <w:p w14:paraId="40AC78E1" w14:textId="77777777" w:rsidR="00680A62" w:rsidRDefault="00680A62" w:rsidP="00680A62">
      <w:pPr>
        <w:pStyle w:val="NoSpacing"/>
        <w:ind w:left="1440"/>
      </w:pPr>
      <w:r>
        <w:t>Another such online post written by an anonymous Springfield firefighter referenced Savage and Blake's formal complaints, used various slurs in describing them, and called for violence against them, stating in pertinent part:</w:t>
      </w:r>
    </w:p>
    <w:p w14:paraId="33A61FC3" w14:textId="77777777" w:rsidR="00680A62" w:rsidRDefault="00680A62" w:rsidP="00680A62">
      <w:pPr>
        <w:pStyle w:val="NoSpacing"/>
        <w:ind w:left="1440"/>
      </w:pPr>
    </w:p>
    <w:p w14:paraId="071D5562" w14:textId="77777777" w:rsidR="00680A62" w:rsidRDefault="00680A62" w:rsidP="00680A62">
      <w:pPr>
        <w:pStyle w:val="NoSpacing"/>
        <w:ind w:left="2160" w:firstLine="720"/>
      </w:pPr>
      <w:r>
        <w:t>If I were you, I'd be worried if anyone is</w:t>
      </w:r>
    </w:p>
    <w:p w14:paraId="0B614667" w14:textId="77777777" w:rsidR="00680A62" w:rsidRDefault="00680A62" w:rsidP="00680A62">
      <w:pPr>
        <w:pStyle w:val="NoSpacing"/>
        <w:ind w:left="2160" w:firstLine="720"/>
      </w:pPr>
      <w:r>
        <w:t xml:space="preserve">going to have my back in a pinch. For </w:t>
      </w:r>
      <w:proofErr w:type="gramStart"/>
      <w:r>
        <w:t>example</w:t>
      </w:r>
      <w:proofErr w:type="gramEnd"/>
    </w:p>
    <w:p w14:paraId="2DD6A0EE" w14:textId="77777777" w:rsidR="00680A62" w:rsidRDefault="00680A62" w:rsidP="00680A62">
      <w:pPr>
        <w:pStyle w:val="NoSpacing"/>
        <w:ind w:left="2160" w:firstLine="720"/>
      </w:pPr>
      <w:proofErr w:type="gramStart"/>
      <w:r>
        <w:t>how</w:t>
      </w:r>
      <w:proofErr w:type="gramEnd"/>
      <w:r>
        <w:t xml:space="preserve"> hard are these guys going to search for me</w:t>
      </w:r>
    </w:p>
    <w:p w14:paraId="1DE89731" w14:textId="77777777" w:rsidR="00680A62" w:rsidRDefault="00680A62" w:rsidP="00680A62">
      <w:pPr>
        <w:pStyle w:val="NoSpacing"/>
        <w:ind w:left="2160" w:firstLine="720"/>
      </w:pPr>
      <w:r>
        <w:t>if I'm ever overcome by smoke or fire. ‘Have</w:t>
      </w:r>
    </w:p>
    <w:p w14:paraId="7EFCE646" w14:textId="77777777" w:rsidR="00680A62" w:rsidRDefault="00680A62" w:rsidP="00680A62">
      <w:pPr>
        <w:pStyle w:val="NoSpacing"/>
        <w:ind w:left="2880"/>
      </w:pPr>
      <w:r>
        <w:t xml:space="preserve">I alienated myself </w:t>
      </w:r>
      <w:proofErr w:type="gramStart"/>
      <w:r>
        <w:t>in</w:t>
      </w:r>
      <w:proofErr w:type="gramEnd"/>
      <w:r>
        <w:t xml:space="preserve"> the name of </w:t>
      </w:r>
      <w:proofErr w:type="gramStart"/>
      <w:r>
        <w:t>personal</w:t>
      </w:r>
      <w:proofErr w:type="gramEnd"/>
    </w:p>
    <w:p w14:paraId="471B0377" w14:textId="77777777" w:rsidR="00680A62" w:rsidRDefault="00680A62" w:rsidP="00680A62">
      <w:pPr>
        <w:pStyle w:val="NoSpacing"/>
        <w:ind w:left="2160" w:firstLine="720"/>
      </w:pPr>
      <w:r>
        <w:t xml:space="preserve">gain,’? Why </w:t>
      </w:r>
      <w:proofErr w:type="gramStart"/>
      <w:r>
        <w:t xml:space="preserve">we </w:t>
      </w:r>
      <w:proofErr w:type="spellStart"/>
      <w:r>
        <w:t>gotta</w:t>
      </w:r>
      <w:proofErr w:type="spellEnd"/>
      <w:proofErr w:type="gramEnd"/>
      <w:r>
        <w:t xml:space="preserve"> keep doing this just let</w:t>
      </w:r>
    </w:p>
    <w:p w14:paraId="7260C5C4" w14:textId="77777777" w:rsidR="00680A62" w:rsidRDefault="00680A62" w:rsidP="00680A62">
      <w:pPr>
        <w:pStyle w:val="NoSpacing"/>
        <w:ind w:left="2160" w:firstLine="720"/>
      </w:pPr>
      <w:r>
        <w:t xml:space="preserve">me put my hands on you so you can keep </w:t>
      </w:r>
      <w:proofErr w:type="gramStart"/>
      <w:r>
        <w:t>my</w:t>
      </w:r>
      <w:proofErr w:type="gramEnd"/>
    </w:p>
    <w:p w14:paraId="058FF2BB" w14:textId="77777777" w:rsidR="00680A62" w:rsidRDefault="00680A62" w:rsidP="00680A62">
      <w:pPr>
        <w:pStyle w:val="NoSpacing"/>
        <w:ind w:left="2160" w:firstLine="720"/>
      </w:pPr>
      <w:r>
        <w:t>fucking name out of your mouth.”</w:t>
      </w:r>
    </w:p>
    <w:p w14:paraId="7E5FB397" w14:textId="77777777" w:rsidR="00680A62" w:rsidRDefault="00680A62" w:rsidP="00680A62">
      <w:pPr>
        <w:pStyle w:val="NoSpacing"/>
        <w:ind w:left="1440"/>
      </w:pPr>
    </w:p>
    <w:p w14:paraId="3879A8E2" w14:textId="77777777" w:rsidR="00680A62" w:rsidRDefault="00680A62" w:rsidP="00680A62">
      <w:pPr>
        <w:pStyle w:val="NoSpacing"/>
        <w:ind w:left="1440"/>
      </w:pPr>
      <w:r>
        <w:t>Blake was allegedly assaulted by another SFD firefighter in 2019 after that individual posted threatening messages against Blake on Facebook. Notably, several of the SFD staff posting the social media material held supervisory positions within the department, though none were in the direct line of command for either plaintiff.”</w:t>
      </w:r>
    </w:p>
    <w:p w14:paraId="2E50B7DA" w14:textId="77777777" w:rsidR="00680A62" w:rsidRDefault="00680A62" w:rsidP="00680A62">
      <w:pPr>
        <w:pStyle w:val="NoSpacing"/>
      </w:pPr>
    </w:p>
    <w:p w14:paraId="69A9E030" w14:textId="77777777" w:rsidR="00680A62" w:rsidRDefault="00680A62" w:rsidP="00680A62">
      <w:pPr>
        <w:pStyle w:val="NoSpacing"/>
      </w:pPr>
    </w:p>
    <w:p w14:paraId="37C35620" w14:textId="77777777" w:rsidR="004E7EE9" w:rsidRDefault="004E7EE9" w:rsidP="00680A62">
      <w:pPr>
        <w:rPr>
          <w:rFonts w:ascii="Arial Black" w:hAnsi="Arial Black"/>
          <w:sz w:val="28"/>
          <w:szCs w:val="28"/>
        </w:rPr>
      </w:pPr>
    </w:p>
    <w:p w14:paraId="2ACB200F" w14:textId="01A65700" w:rsidR="004E7EE9" w:rsidRDefault="004E7EE9" w:rsidP="00680A62">
      <w:pPr>
        <w:rPr>
          <w:rFonts w:ascii="Arial Black" w:hAnsi="Arial Black"/>
          <w:sz w:val="28"/>
          <w:szCs w:val="28"/>
        </w:rPr>
      </w:pPr>
      <w:r>
        <w:rPr>
          <w:rFonts w:ascii="Arial Black" w:hAnsi="Arial Black"/>
          <w:b/>
          <w:sz w:val="24"/>
          <w:szCs w:val="24"/>
        </w:rPr>
        <w:t>8-</w:t>
      </w:r>
      <w:r w:rsidR="00BA1360">
        <w:rPr>
          <w:rFonts w:ascii="Arial Black" w:hAnsi="Arial Black"/>
          <w:b/>
          <w:sz w:val="24"/>
          <w:szCs w:val="24"/>
        </w:rPr>
        <w:t>10</w:t>
      </w:r>
      <w:r w:rsidR="00BB1EF9">
        <w:rPr>
          <w:rFonts w:ascii="Arial Black" w:hAnsi="Arial Black"/>
          <w:b/>
          <w:sz w:val="24"/>
          <w:szCs w:val="24"/>
        </w:rPr>
        <w:t>4</w:t>
      </w:r>
    </w:p>
    <w:p w14:paraId="6F266D68" w14:textId="220812EF" w:rsidR="00680A62" w:rsidRPr="00EC0A52" w:rsidRDefault="00680A62" w:rsidP="00680A62">
      <w:pPr>
        <w:rPr>
          <w:rFonts w:ascii="Arial Black" w:hAnsi="Arial Black"/>
          <w:sz w:val="28"/>
          <w:szCs w:val="28"/>
        </w:rPr>
      </w:pPr>
      <w:r>
        <w:rPr>
          <w:rFonts w:ascii="Arial Black" w:hAnsi="Arial Black"/>
          <w:sz w:val="28"/>
          <w:szCs w:val="28"/>
        </w:rPr>
        <w:t>IN: HISPANIC MEDIC FIRED – “COST CUTTING” - CASE GO</w:t>
      </w:r>
    </w:p>
    <w:p w14:paraId="30401D9A" w14:textId="77777777" w:rsidR="00680A62" w:rsidRPr="00593871" w:rsidRDefault="00680A62" w:rsidP="00680A62">
      <w:r>
        <w:t xml:space="preserve">On September 14, 2026, in </w:t>
      </w:r>
      <w:r w:rsidRPr="005C6131">
        <w:rPr>
          <w:u w:val="single"/>
        </w:rPr>
        <w:t>Raquel Lynch v. Elite Ambulance Company</w:t>
      </w:r>
      <w:r>
        <w:t xml:space="preserve">, U.S. District Court Judge Theresa L. Springmann, United States District Court for the Northern District of Indiana, Hammond Division, held that her claim that she was fired as a paramedic on </w:t>
      </w:r>
      <w:r w:rsidRPr="000F2A04">
        <w:t>March 28, 2024</w:t>
      </w:r>
      <w:r>
        <w:t xml:space="preserve"> (allegedly for failure to operate a Chase vehicle and “cost cutting”) because of her national (Hispanic) may proceed, but not her PTSD claim (mental stress from domestic violence). “</w:t>
      </w:r>
      <w:r w:rsidRPr="000419A0">
        <w:t>Drawing the inferences in her favor as the Court must on a motion to dismiss, there are sufficient factual allegations to infer that the Plaintiff was terminated because of her Hispanic ethnicity</w:t>
      </w:r>
      <w:r>
        <w:t xml:space="preserve">…. </w:t>
      </w:r>
      <w:r w:rsidRPr="00593871">
        <w:t xml:space="preserve">Here, although the Plaintiff argues that the Complaint alleges that she was terminated because she informed the Defendant of her medical condition of PTSD, informing an employer </w:t>
      </w:r>
      <w:r>
        <w:t xml:space="preserve"> </w:t>
      </w:r>
      <w:r w:rsidRPr="00593871">
        <w:t>of a medical condition is not an activity protected under Title VII.</w:t>
      </w:r>
      <w:r>
        <w:t xml:space="preserve">” </w:t>
      </w:r>
      <w:hyperlink r:id="rId1519" w:history="1">
        <w:r w:rsidRPr="00BE159C">
          <w:rPr>
            <w:rStyle w:val="Hyperlink"/>
          </w:rPr>
          <w:t>https://cases.justia.com/federal/district-courts/indiana/inndce/2:2025cv00427/124287/41/0.pdf?ts=1789497953</w:t>
        </w:r>
      </w:hyperlink>
      <w:r>
        <w:t xml:space="preserve"> </w:t>
      </w:r>
    </w:p>
    <w:p w14:paraId="26BC694D" w14:textId="77777777" w:rsidR="00680A62" w:rsidRDefault="00680A62" w:rsidP="00680A62">
      <w:r>
        <w:t>THE COURT WROTE:</w:t>
      </w:r>
    </w:p>
    <w:p w14:paraId="252065F9" w14:textId="77777777" w:rsidR="00680A62" w:rsidRDefault="00680A62" w:rsidP="00680A62">
      <w:pPr>
        <w:ind w:left="720"/>
        <w:rPr>
          <w:bCs/>
        </w:rPr>
      </w:pPr>
      <w:r>
        <w:t>“</w:t>
      </w:r>
      <w:r w:rsidRPr="00D03682">
        <w:t>The Plaintiff is a 34-year-old Hispanic female with disabilities</w:t>
      </w:r>
      <w:r>
        <w:t>….</w:t>
      </w:r>
      <w:r w:rsidRPr="00D03682">
        <w:t xml:space="preserve">She worked for the Defendant, Elite Ambulance, as a paramedic from July 23, </w:t>
      </w:r>
      <w:proofErr w:type="gramStart"/>
      <w:r w:rsidRPr="00D03682">
        <w:t>2020</w:t>
      </w:r>
      <w:proofErr w:type="gramEnd"/>
      <w:r w:rsidRPr="00D03682">
        <w:t xml:space="preserve"> through March 28, 2024</w:t>
      </w:r>
      <w:r>
        <w:t xml:space="preserve">…. </w:t>
      </w:r>
      <w:r w:rsidRPr="00D03682">
        <w:t xml:space="preserve"> She was separated from the Defendant by termination</w:t>
      </w:r>
      <w:r>
        <w:t>…</w:t>
      </w:r>
      <w:r w:rsidRPr="00D03682">
        <w:t xml:space="preserve">. Management gave her the reasons for termination of </w:t>
      </w:r>
      <w:r>
        <w:t>‘</w:t>
      </w:r>
      <w:r w:rsidRPr="00D03682">
        <w:t>inability to operate the Chase vehicle</w:t>
      </w:r>
      <w:r>
        <w:t>’</w:t>
      </w:r>
      <w:r w:rsidRPr="00D03682">
        <w:t xml:space="preserve"> and </w:t>
      </w:r>
      <w:r>
        <w:t>‘</w:t>
      </w:r>
      <w:r w:rsidRPr="00D03682">
        <w:t>cost-cutting.</w:t>
      </w:r>
      <w:r>
        <w:t>’”</w:t>
      </w:r>
    </w:p>
    <w:p w14:paraId="66F4C15E" w14:textId="77777777" w:rsidR="00680A62" w:rsidRDefault="00680A62" w:rsidP="00680A62">
      <w:pPr>
        <w:ind w:left="720"/>
        <w:rPr>
          <w:bCs/>
        </w:rPr>
      </w:pPr>
      <w:r>
        <w:t>***</w:t>
      </w:r>
    </w:p>
    <w:p w14:paraId="56AB3107" w14:textId="77777777" w:rsidR="00680A62" w:rsidRDefault="00680A62" w:rsidP="00680A62">
      <w:pPr>
        <w:ind w:left="720"/>
      </w:pPr>
      <w:r w:rsidRPr="008A0A17">
        <w:t xml:space="preserve">Here, the Defendant argues that the Complaint fails to state a viable claim under the ADA because it does not plead facts supporting a plausible inference that any adverse employment action was taken because of a disability, nor does it allege facts establishing a legally sufficient failure-to-accommodate claim. However, the Defendant does not set forth the pertinent legal standard for pleading a sufficient claim for </w:t>
      </w:r>
      <w:r>
        <w:t>‘</w:t>
      </w:r>
      <w:r w:rsidRPr="008A0A17">
        <w:t>disparate treatment</w:t>
      </w:r>
      <w:r>
        <w:t xml:space="preserve">’ </w:t>
      </w:r>
      <w:r w:rsidRPr="008A0A17">
        <w:t xml:space="preserve">or </w:t>
      </w:r>
      <w:r>
        <w:t>‘</w:t>
      </w:r>
      <w:r w:rsidRPr="008A0A17">
        <w:t>failure to accommodate</w:t>
      </w:r>
      <w:r>
        <w:t>’</w:t>
      </w:r>
      <w:r w:rsidRPr="008A0A17">
        <w:t xml:space="preserve"> under Title I of the ADA. Accordingly, the Defendant waives any such argument on the insufficiency of the Plaintiff's claim for discrimination under Title I of the ADA, and thus, the Court need not address any such argument.</w:t>
      </w:r>
      <w:r>
        <w:t>”</w:t>
      </w:r>
    </w:p>
    <w:p w14:paraId="0084B961" w14:textId="77777777" w:rsidR="00680A62" w:rsidRDefault="00680A62" w:rsidP="00680A62">
      <w:pPr>
        <w:rPr>
          <w:b/>
        </w:rPr>
      </w:pPr>
      <w:r>
        <w:rPr>
          <w:b/>
        </w:rPr>
        <w:t xml:space="preserve">Legal lesson learned: A paramedic informing management that she has PTSD from domestic violence is not a “protected activity” under Title VII; but if she had requested accommodation, then an ADA “failure-to accommodate” claim could have been made.   </w:t>
      </w:r>
    </w:p>
    <w:p w14:paraId="51003358" w14:textId="77777777" w:rsidR="00BB1EF9" w:rsidRDefault="00BB1EF9" w:rsidP="00BB1EF9">
      <w:pPr>
        <w:rPr>
          <w:rFonts w:ascii="Arial Black" w:hAnsi="Arial Black"/>
          <w:b/>
          <w:sz w:val="24"/>
          <w:szCs w:val="24"/>
        </w:rPr>
      </w:pPr>
    </w:p>
    <w:p w14:paraId="1AF75BB2" w14:textId="77777777" w:rsidR="00BB1EF9" w:rsidRDefault="00BB1EF9" w:rsidP="00BB1EF9">
      <w:pPr>
        <w:rPr>
          <w:rFonts w:ascii="Arial Black" w:hAnsi="Arial Black"/>
          <w:b/>
          <w:sz w:val="24"/>
          <w:szCs w:val="24"/>
        </w:rPr>
      </w:pPr>
    </w:p>
    <w:p w14:paraId="7137CD09" w14:textId="0FBE84BF" w:rsidR="00BB1EF9" w:rsidRDefault="00BB1EF9" w:rsidP="00BB1EF9">
      <w:pPr>
        <w:rPr>
          <w:rFonts w:ascii="Arial Black" w:hAnsi="Arial Black"/>
          <w:b/>
          <w:sz w:val="24"/>
          <w:szCs w:val="24"/>
        </w:rPr>
      </w:pPr>
      <w:r>
        <w:rPr>
          <w:rFonts w:ascii="Arial Black" w:hAnsi="Arial Black"/>
          <w:b/>
          <w:sz w:val="24"/>
          <w:szCs w:val="24"/>
        </w:rPr>
        <w:t>8-10</w:t>
      </w:r>
      <w:r>
        <w:rPr>
          <w:rFonts w:ascii="Arial Black" w:hAnsi="Arial Black"/>
          <w:b/>
          <w:sz w:val="24"/>
          <w:szCs w:val="24"/>
        </w:rPr>
        <w:t>3</w:t>
      </w:r>
    </w:p>
    <w:p w14:paraId="6CF40916" w14:textId="77777777" w:rsidR="00BB1EF9" w:rsidRDefault="00BB1EF9" w:rsidP="00680A62">
      <w:pPr>
        <w:pStyle w:val="NoSpacing"/>
      </w:pPr>
    </w:p>
    <w:p w14:paraId="460CB991" w14:textId="77777777" w:rsidR="00BB1EF9" w:rsidRDefault="00BB1EF9" w:rsidP="00680A62">
      <w:pPr>
        <w:pStyle w:val="NoSpacing"/>
      </w:pPr>
    </w:p>
    <w:p w14:paraId="703B64CD" w14:textId="77777777" w:rsidR="00D84B7A" w:rsidRPr="00B53CBB" w:rsidRDefault="00D84B7A" w:rsidP="00D84B7A">
      <w:pPr>
        <w:rPr>
          <w:rFonts w:ascii="Arial Black" w:hAnsi="Arial Black"/>
          <w:b/>
          <w:sz w:val="28"/>
          <w:szCs w:val="28"/>
        </w:rPr>
      </w:pPr>
      <w:r>
        <w:rPr>
          <w:rFonts w:ascii="Arial Black" w:hAnsi="Arial Black"/>
          <w:b/>
          <w:sz w:val="28"/>
          <w:szCs w:val="28"/>
        </w:rPr>
        <w:t>MO: MAYOR ST. LOUIS – CANCEL PROM PD COMM – 2 WHITE</w:t>
      </w:r>
    </w:p>
    <w:p w14:paraId="319702EF" w14:textId="77777777" w:rsidR="00D84B7A" w:rsidRDefault="00D84B7A" w:rsidP="00D84B7A">
      <w:pPr>
        <w:rPr>
          <w:b/>
        </w:rPr>
      </w:pPr>
      <w:r>
        <w:t xml:space="preserve">On September 4, 2026, in </w:t>
      </w:r>
      <w:r w:rsidRPr="00EB474F">
        <w:rPr>
          <w:u w:val="single"/>
        </w:rPr>
        <w:t xml:space="preserve">Michael Sack v. City of St; Louis, Mayor </w:t>
      </w:r>
      <w:proofErr w:type="spellStart"/>
      <w:r w:rsidRPr="00EB474F">
        <w:rPr>
          <w:u w:val="single"/>
        </w:rPr>
        <w:t>Tishaura</w:t>
      </w:r>
      <w:proofErr w:type="spellEnd"/>
      <w:r w:rsidRPr="00EB474F">
        <w:rPr>
          <w:u w:val="single"/>
        </w:rPr>
        <w:t xml:space="preserve"> O. Jones, and Daniel Isom</w:t>
      </w:r>
      <w:r>
        <w:t xml:space="preserve">, the United States Court of Appeals for the Eight Circuit (Saint Louis) held (3 to 0) that trial court judge properly denied qualified immunity to the Mayor and the Public Safety Director </w:t>
      </w:r>
      <w:r w:rsidRPr="005629AB">
        <w:t>Daniel Isom</w:t>
      </w:r>
      <w:r>
        <w:t>; Lt. Commander Sack score 100 on exam for Police Commissioner.  “J</w:t>
      </w:r>
      <w:r w:rsidRPr="00B02A68">
        <w:t xml:space="preserve">ones and Isom maintain that Sack suffered no adverse employment action because he remained under consideration in the City's reopened search after the mayor refused to allow the hiring of a white male finalist. Again, we believe the argument misunderstands </w:t>
      </w:r>
      <w:r>
        <w:t xml:space="preserve">[U.S. Supreme Court decision in </w:t>
      </w:r>
      <w:r w:rsidRPr="005629AB">
        <w:rPr>
          <w:i/>
          <w:iCs/>
        </w:rPr>
        <w:t>Ricci.</w:t>
      </w:r>
      <w:r w:rsidRPr="00B02A68">
        <w:t xml:space="preserve"> </w:t>
      </w:r>
      <w:r>
        <w:t>[</w:t>
      </w:r>
      <w:r w:rsidRPr="008B2DB7">
        <w:t>Ricci v. DeStefano, 557 U.S. 557 (2009)</w:t>
      </w:r>
      <w:r>
        <w:t xml:space="preserve">]. </w:t>
      </w:r>
      <w:r w:rsidRPr="00B02A68">
        <w:t>The firefighter positions in that case remained unfilled after the test scores were discarded, and the Court did not rest its decision on a conclusion that the eighteen plaintiff firefighters were ineligible for future consideration. The adverse action was the race-based refusal to certify test results under the established hiring process.</w:t>
      </w:r>
      <w:r>
        <w:t xml:space="preserve">”  </w:t>
      </w:r>
      <w:hyperlink r:id="rId1520" w:history="1">
        <w:r w:rsidRPr="00620F1F">
          <w:rPr>
            <w:rStyle w:val="Hyperlink"/>
            <w:b/>
          </w:rPr>
          <w:t>https://caselaw.findlaw.com/court/us-8th-circuit/378962.html</w:t>
        </w:r>
      </w:hyperlink>
      <w:r>
        <w:rPr>
          <w:b/>
        </w:rPr>
        <w:t xml:space="preserve"> </w:t>
      </w:r>
    </w:p>
    <w:p w14:paraId="09586B69" w14:textId="77777777" w:rsidR="00D84B7A" w:rsidRDefault="00D84B7A" w:rsidP="00D84B7A">
      <w:pPr>
        <w:pStyle w:val="NoSpacing"/>
      </w:pPr>
      <w:r>
        <w:t>THE COURT WROTE:</w:t>
      </w:r>
    </w:p>
    <w:p w14:paraId="201D53CB" w14:textId="77777777" w:rsidR="00D84B7A" w:rsidRDefault="00D84B7A" w:rsidP="00D84B7A">
      <w:pPr>
        <w:pStyle w:val="NoSpacing"/>
      </w:pPr>
    </w:p>
    <w:p w14:paraId="20245283" w14:textId="77777777" w:rsidR="00D84B7A" w:rsidRDefault="00D84B7A" w:rsidP="00D84B7A">
      <w:pPr>
        <w:pStyle w:val="NoSpacing"/>
        <w:ind w:left="720"/>
      </w:pPr>
      <w:r>
        <w:t>“</w:t>
      </w:r>
      <w:r w:rsidRPr="00B53CBB">
        <w:t xml:space="preserve">Michael Sack, a former applicant for the position of police commissioner, sued the former mayor of St. Louis and the former interim director of public safety, alleging discrimination </w:t>
      </w:r>
      <w:proofErr w:type="gramStart"/>
      <w:r w:rsidRPr="00B53CBB">
        <w:t>on the basis of</w:t>
      </w:r>
      <w:proofErr w:type="gramEnd"/>
      <w:r w:rsidRPr="00B53CBB">
        <w:t xml:space="preserve"> race. The defendants moved to dismiss the complaint for failure to state a claim and based on qualified immunity. The district court denied the motion. The former officials </w:t>
      </w:r>
      <w:proofErr w:type="gramStart"/>
      <w:r w:rsidRPr="00B53CBB">
        <w:t>appeal</w:t>
      </w:r>
      <w:proofErr w:type="gramEnd"/>
      <w:r w:rsidRPr="00B53CBB">
        <w:t xml:space="preserve"> the denial of qualified immunity, and we affirm.</w:t>
      </w:r>
    </w:p>
    <w:p w14:paraId="2C7E352C" w14:textId="77777777" w:rsidR="00D84B7A" w:rsidRDefault="00D84B7A" w:rsidP="00D84B7A">
      <w:pPr>
        <w:pStyle w:val="NoSpacing"/>
        <w:ind w:left="720"/>
      </w:pPr>
    </w:p>
    <w:p w14:paraId="00CA9AB3" w14:textId="77777777" w:rsidR="00D84B7A" w:rsidRDefault="00D84B7A" w:rsidP="00D84B7A">
      <w:pPr>
        <w:pStyle w:val="NoSpacing"/>
        <w:ind w:left="720"/>
      </w:pPr>
      <w:r>
        <w:t>***</w:t>
      </w:r>
    </w:p>
    <w:p w14:paraId="779D83F7" w14:textId="77777777" w:rsidR="00D84B7A" w:rsidRPr="00C667E9" w:rsidRDefault="00D84B7A" w:rsidP="00D84B7A">
      <w:pPr>
        <w:pStyle w:val="NoSpacing"/>
        <w:ind w:left="720"/>
      </w:pPr>
      <w:r w:rsidRPr="00C667E9">
        <w:t xml:space="preserve">The City's job posting advised that </w:t>
      </w:r>
      <w:r>
        <w:t>‘</w:t>
      </w:r>
      <w:r w:rsidRPr="00C667E9">
        <w:t>applications were to be accepted until a sufficient number were received to fill the anticipated vacancy.</w:t>
      </w:r>
      <w:r>
        <w:t>’</w:t>
      </w:r>
      <w:r w:rsidRPr="00C667E9">
        <w:t xml:space="preserve"> Sack and Lawrence O'Toole, both lieutenant colonels with the police department, were among twenty-nine who applied.</w:t>
      </w:r>
    </w:p>
    <w:p w14:paraId="70DC8ABF" w14:textId="77777777" w:rsidR="00D84B7A" w:rsidRDefault="00D84B7A" w:rsidP="00D84B7A">
      <w:pPr>
        <w:pStyle w:val="NoSpacing"/>
        <w:ind w:left="720"/>
      </w:pPr>
      <w:r w:rsidRPr="00C667E9">
        <w:t xml:space="preserve">The </w:t>
      </w:r>
      <w:proofErr w:type="gramStart"/>
      <w:r w:rsidRPr="00C667E9">
        <w:t>City</w:t>
      </w:r>
      <w:proofErr w:type="gramEnd"/>
      <w:r w:rsidRPr="00C667E9">
        <w:t xml:space="preserve"> invited six candidates to take an in-person exam, but four did not appear. Only Sack and O'Toole received test scores, and the two thereby </w:t>
      </w:r>
      <w:r>
        <w:t>‘</w:t>
      </w:r>
      <w:r w:rsidRPr="00C667E9">
        <w:t>completed the process to be considered for Commissioner.</w:t>
      </w:r>
      <w:r>
        <w:t>’</w:t>
      </w:r>
      <w:r w:rsidRPr="00C667E9">
        <w:t xml:space="preserve"> The personnel department certified both candidates. Sack was informed that he scored 100 on the promotion test, and that he was ranked first on the list of eligible candidates. Sack was directed to contact Isom to arrange an interview, and he did so, but Isom did not schedule the interview.</w:t>
      </w:r>
    </w:p>
    <w:p w14:paraId="57C3BC0B" w14:textId="77777777" w:rsidR="00D84B7A" w:rsidRPr="00C667E9" w:rsidRDefault="00D84B7A" w:rsidP="00D84B7A">
      <w:pPr>
        <w:pStyle w:val="NoSpacing"/>
        <w:ind w:left="720"/>
      </w:pPr>
    </w:p>
    <w:p w14:paraId="0B11D92D" w14:textId="77777777" w:rsidR="00D84B7A" w:rsidRDefault="00D84B7A" w:rsidP="00D84B7A">
      <w:pPr>
        <w:pStyle w:val="NoSpacing"/>
        <w:ind w:left="720"/>
      </w:pPr>
      <w:r w:rsidRPr="00C667E9">
        <w:t xml:space="preserve">In January 2022, Mayor </w:t>
      </w:r>
      <w:proofErr w:type="spellStart"/>
      <w:r w:rsidRPr="00C667E9">
        <w:t>Tishaura</w:t>
      </w:r>
      <w:proofErr w:type="spellEnd"/>
      <w:r w:rsidRPr="00C667E9">
        <w:t xml:space="preserve"> Jones stated that </w:t>
      </w:r>
      <w:r>
        <w:t>‘</w:t>
      </w:r>
      <w:r w:rsidRPr="00C667E9">
        <w:t>she was not going to pick</w:t>
      </w:r>
      <w:r>
        <w:t>’</w:t>
      </w:r>
      <w:r w:rsidRPr="00C667E9">
        <w:t xml:space="preserve"> either certified candidate. Jones said that she </w:t>
      </w:r>
      <w:r>
        <w:t>‘</w:t>
      </w:r>
      <w:r w:rsidRPr="00C667E9">
        <w:t>only had two white male candidates to choose from and St. Louis is more diverse than white males, our police department is more diverse.</w:t>
      </w:r>
      <w:r>
        <w:t xml:space="preserve">’ </w:t>
      </w:r>
      <w:r w:rsidRPr="00C667E9">
        <w:t xml:space="preserve"> In May, Jones </w:t>
      </w:r>
      <w:r>
        <w:t>‘</w:t>
      </w:r>
      <w:r w:rsidRPr="00C667E9">
        <w:t>informed Sack and the public that she was starting a new search</w:t>
      </w:r>
      <w:r>
        <w:t xml:space="preserve">’ </w:t>
      </w:r>
      <w:r w:rsidRPr="00C667E9">
        <w:t>for a police commissioner.</w:t>
      </w:r>
      <w:r>
        <w:t>”</w:t>
      </w:r>
    </w:p>
    <w:p w14:paraId="46C54B65" w14:textId="77777777" w:rsidR="00D84B7A" w:rsidRDefault="00D84B7A" w:rsidP="00D84B7A">
      <w:pPr>
        <w:pStyle w:val="NoSpacing"/>
        <w:ind w:left="720"/>
      </w:pPr>
    </w:p>
    <w:p w14:paraId="19EA3670" w14:textId="77777777" w:rsidR="00D84B7A" w:rsidRPr="00544D92" w:rsidRDefault="00D84B7A" w:rsidP="00D84B7A">
      <w:pPr>
        <w:rPr>
          <w:b/>
          <w:bCs/>
        </w:rPr>
      </w:pPr>
      <w:r>
        <w:rPr>
          <w:b/>
        </w:rPr>
        <w:t xml:space="preserve">Legal lesson learned: </w:t>
      </w:r>
      <w:r w:rsidRPr="00544D92">
        <w:rPr>
          <w:b/>
        </w:rPr>
        <w:t xml:space="preserve">The U.S. Supreme Court’s decision in the New Haven </w:t>
      </w:r>
      <w:proofErr w:type="gramStart"/>
      <w:r w:rsidRPr="00544D92">
        <w:rPr>
          <w:b/>
        </w:rPr>
        <w:t>firefighters</w:t>
      </w:r>
      <w:proofErr w:type="gramEnd"/>
      <w:r w:rsidRPr="00544D92">
        <w:rPr>
          <w:b/>
        </w:rPr>
        <w:t xml:space="preserve"> case in Ricci v. DeStefano, 557 U.S. 557 (2009) has established law that city’ s refusal to certify test results under the established hiring process</w:t>
      </w:r>
      <w:r>
        <w:rPr>
          <w:b/>
          <w:bCs/>
        </w:rPr>
        <w:t>.</w:t>
      </w:r>
      <w:r w:rsidRPr="00544D92">
        <w:rPr>
          <w:b/>
        </w:rPr>
        <w:t xml:space="preserve"> </w:t>
      </w:r>
    </w:p>
    <w:p w14:paraId="2BF4379F" w14:textId="77777777" w:rsidR="00680A62" w:rsidRDefault="00680A62" w:rsidP="00165BBD">
      <w:pPr>
        <w:rPr>
          <w:rFonts w:ascii="Arial Black" w:hAnsi="Arial Black"/>
          <w:b/>
          <w:sz w:val="24"/>
          <w:szCs w:val="24"/>
        </w:rPr>
      </w:pPr>
    </w:p>
    <w:p w14:paraId="3D519DBA" w14:textId="77777777" w:rsidR="00680A62" w:rsidRDefault="00680A62" w:rsidP="00165BBD">
      <w:pPr>
        <w:rPr>
          <w:rFonts w:ascii="Arial Black" w:hAnsi="Arial Black"/>
          <w:b/>
          <w:sz w:val="24"/>
          <w:szCs w:val="24"/>
        </w:rPr>
      </w:pPr>
    </w:p>
    <w:p w14:paraId="0D104B2F" w14:textId="77777777" w:rsidR="00680A62" w:rsidRDefault="00680A62" w:rsidP="00165BBD">
      <w:pPr>
        <w:rPr>
          <w:rFonts w:ascii="Arial Black" w:hAnsi="Arial Black"/>
          <w:b/>
          <w:sz w:val="24"/>
          <w:szCs w:val="24"/>
        </w:rPr>
      </w:pPr>
    </w:p>
    <w:p w14:paraId="1C69EA62" w14:textId="77777777" w:rsidR="00680A62" w:rsidRDefault="00680A62" w:rsidP="00165BBD">
      <w:pPr>
        <w:rPr>
          <w:rFonts w:ascii="Arial Black" w:hAnsi="Arial Black"/>
          <w:b/>
          <w:sz w:val="24"/>
          <w:szCs w:val="24"/>
        </w:rPr>
      </w:pPr>
    </w:p>
    <w:p w14:paraId="6A4AF60E" w14:textId="317EA773" w:rsidR="00165BBD" w:rsidRDefault="00165BBD" w:rsidP="00165BBD">
      <w:pPr>
        <w:rPr>
          <w:rFonts w:ascii="Arial Black" w:hAnsi="Arial Black"/>
          <w:b/>
          <w:sz w:val="24"/>
          <w:szCs w:val="24"/>
        </w:rPr>
      </w:pPr>
      <w:r>
        <w:rPr>
          <w:rFonts w:ascii="Arial Black" w:hAnsi="Arial Black"/>
          <w:b/>
          <w:sz w:val="24"/>
          <w:szCs w:val="24"/>
        </w:rPr>
        <w:t>8-</w:t>
      </w:r>
      <w:r w:rsidR="00BA1360">
        <w:rPr>
          <w:rFonts w:ascii="Arial Black" w:hAnsi="Arial Black"/>
          <w:b/>
          <w:sz w:val="24"/>
          <w:szCs w:val="24"/>
        </w:rPr>
        <w:t>102</w:t>
      </w:r>
    </w:p>
    <w:p w14:paraId="5965BA4C" w14:textId="11990D04" w:rsidR="00320F77" w:rsidRPr="00DB14FE" w:rsidRDefault="00320F77" w:rsidP="00320F77">
      <w:pPr>
        <w:rPr>
          <w:rFonts w:ascii="Arial Black" w:hAnsi="Arial Black"/>
          <w:b/>
          <w:sz w:val="28"/>
          <w:szCs w:val="28"/>
        </w:rPr>
      </w:pPr>
      <w:r>
        <w:rPr>
          <w:rFonts w:ascii="Arial Black" w:hAnsi="Arial Black"/>
          <w:b/>
          <w:sz w:val="28"/>
          <w:szCs w:val="28"/>
        </w:rPr>
        <w:t>IL: BLACK FEMALE BC – NOT PROM 3 TIMES – RANKED LOW</w:t>
      </w:r>
    </w:p>
    <w:p w14:paraId="2EA8DB10" w14:textId="77777777" w:rsidR="00320F77" w:rsidRDefault="00320F77" w:rsidP="00320F77">
      <w:pPr>
        <w:rPr>
          <w:bCs/>
        </w:rPr>
      </w:pPr>
      <w:r>
        <w:t xml:space="preserve">On August 18, 2026, in </w:t>
      </w:r>
      <w:r w:rsidRPr="00E5489A">
        <w:rPr>
          <w:u w:val="single"/>
        </w:rPr>
        <w:t>Rhonda Walker v. City of Chicago</w:t>
      </w:r>
      <w:r>
        <w:t xml:space="preserve">, U.S. District Court Judge Mary M. Rowland, United States District Court for the Northern District of Illinois, granted summary judgment to the </w:t>
      </w:r>
      <w:proofErr w:type="gramStart"/>
      <w:r>
        <w:t>City</w:t>
      </w:r>
      <w:proofErr w:type="gramEnd"/>
      <w:r>
        <w:t xml:space="preserve">; the </w:t>
      </w:r>
      <w:r w:rsidRPr="00DB14FE">
        <w:t>City's proffered non-discriminatory reason for not promoting Walker to Deputy District Chief</w:t>
      </w:r>
      <w:r>
        <w:t xml:space="preserve"> in September 2022. </w:t>
      </w:r>
      <w:proofErr w:type="gramStart"/>
      <w:r>
        <w:t>again</w:t>
      </w:r>
      <w:proofErr w:type="gramEnd"/>
      <w:r>
        <w:t xml:space="preserve"> in November 2022 and again </w:t>
      </w:r>
      <w:r w:rsidRPr="00DB14FE">
        <w:t>in February 2024</w:t>
      </w:r>
      <w:r>
        <w:t xml:space="preserve">. During first panel, </w:t>
      </w:r>
      <w:r w:rsidRPr="00805914">
        <w:t>Deputy Commissioner Ferman ultimately ranked Walker eighth or ninth out of the pool of candidates. Assistant Deputy Commissioner Walker similarly did not rank her highly compared to the other candidates.</w:t>
      </w:r>
      <w:r>
        <w:t xml:space="preserve"> The Court concluded:  “</w:t>
      </w:r>
      <w:r w:rsidRPr="00DB14FE">
        <w:t>Promoting individuals who an employer believes are better qualified for a position is legitimate, nondiscriminatory reason for an action.</w:t>
      </w:r>
      <w:r>
        <w:t xml:space="preserve">” </w:t>
      </w:r>
      <w:hyperlink r:id="rId1521" w:history="1">
        <w:r w:rsidRPr="00444613">
          <w:rPr>
            <w:rStyle w:val="Hyperlink"/>
          </w:rPr>
          <w:t>https://public.fastcase.com/Jhe1Qn%2BmJndQYQU6z%2FeNmwkNGC21ZfGHMzbRo4fP8cpz%2BCEZ70RU4N9i%2B957fR2H?utm_medium=email&amp;_hsenc=p2ANqtz-93BCHKeY8rFUHPxU20EYDUZBKoA8xfPL2gbvtqTb-KfZ-jSuPHcMWp2f3aURAUU2s5vJrKmBa580UVad7TZkqQmEMaRQ&amp;_hsmi=226712652&amp;utm_content=226712652&amp;utm_source=hs_email</w:t>
        </w:r>
      </w:hyperlink>
      <w:r>
        <w:t xml:space="preserve">  </w:t>
      </w:r>
    </w:p>
    <w:p w14:paraId="1EE8CC68" w14:textId="77777777" w:rsidR="00320F77" w:rsidRDefault="00320F77" w:rsidP="00320F77">
      <w:pPr>
        <w:rPr>
          <w:bCs/>
        </w:rPr>
      </w:pPr>
      <w:r>
        <w:t>THE COURT WROTE:</w:t>
      </w:r>
    </w:p>
    <w:p w14:paraId="63F67238" w14:textId="77777777" w:rsidR="00320F77" w:rsidRDefault="00320F77" w:rsidP="00320F77">
      <w:pPr>
        <w:pStyle w:val="NoSpacing"/>
        <w:ind w:left="720"/>
      </w:pPr>
      <w:r>
        <w:t>“</w:t>
      </w:r>
      <w:r w:rsidRPr="00DC1ACB">
        <w:t>Walker, a black female, worked for the Chicago Fire Department (</w:t>
      </w:r>
      <w:r>
        <w:t>‘</w:t>
      </w:r>
      <w:r w:rsidRPr="00DC1ACB">
        <w:t>CFD</w:t>
      </w:r>
      <w:r>
        <w:t>’</w:t>
      </w:r>
      <w:r w:rsidRPr="00DC1ACB">
        <w:t xml:space="preserve">) from October 1, </w:t>
      </w:r>
      <w:proofErr w:type="gramStart"/>
      <w:r w:rsidRPr="00DC1ACB">
        <w:t>1991</w:t>
      </w:r>
      <w:proofErr w:type="gramEnd"/>
      <w:r w:rsidRPr="00DC1ACB">
        <w:t xml:space="preserve"> until her retirement on August 16, 2024</w:t>
      </w:r>
      <w:r>
        <w:t xml:space="preserve">…. </w:t>
      </w:r>
      <w:r w:rsidRPr="00DC1ACB">
        <w:t>Over her tenure, Walker held many roles within CFD, including Firefighter EMT, Lieutenant, Captain, and Battalion Chief</w:t>
      </w:r>
      <w:r>
        <w:t xml:space="preserve">…. </w:t>
      </w:r>
      <w:r w:rsidRPr="00DC1ACB">
        <w:t xml:space="preserve">Of relevance here, from 2021 until her retirement, Walker was a Battalion Chief for CFD Battalion 21, located in Chicago's Beverly </w:t>
      </w:r>
      <w:proofErr w:type="gramStart"/>
      <w:r w:rsidRPr="00DC1ACB">
        <w:t>neighborhood</w:t>
      </w:r>
      <w:proofErr w:type="gramEnd"/>
      <w:r w:rsidRPr="00DC1ACB">
        <w:t>.</w:t>
      </w:r>
    </w:p>
    <w:p w14:paraId="0088B047" w14:textId="77777777" w:rsidR="00320F77" w:rsidRDefault="00320F77" w:rsidP="00320F77">
      <w:pPr>
        <w:pStyle w:val="NoSpacing"/>
        <w:ind w:left="720"/>
      </w:pPr>
    </w:p>
    <w:p w14:paraId="16DF56C8" w14:textId="77777777" w:rsidR="00320F77" w:rsidRPr="00DC1ACB" w:rsidRDefault="00320F77" w:rsidP="00320F77">
      <w:pPr>
        <w:pStyle w:val="NoSpacing"/>
        <w:ind w:left="720"/>
      </w:pPr>
      <w:r>
        <w:t>***</w:t>
      </w:r>
      <w:r w:rsidRPr="00DC1ACB">
        <w:t xml:space="preserve"> </w:t>
      </w:r>
    </w:p>
    <w:p w14:paraId="1110F8F9" w14:textId="77777777" w:rsidR="00320F77" w:rsidRDefault="00320F77" w:rsidP="00320F77">
      <w:pPr>
        <w:pStyle w:val="NoSpacing"/>
      </w:pPr>
      <w:r w:rsidRPr="00DC1ACB">
        <w:t>         </w:t>
      </w:r>
    </w:p>
    <w:p w14:paraId="532C1DEB" w14:textId="77777777" w:rsidR="00320F77" w:rsidRDefault="00320F77" w:rsidP="00320F77">
      <w:pPr>
        <w:pStyle w:val="NoSpacing"/>
        <w:ind w:left="720"/>
      </w:pPr>
      <w:r w:rsidRPr="001B4ACF">
        <w:t>In 2022, due to a shortage of Deputy District Chiefs, CFD determined that additional promotions from Battalion Chief to Deputy District Chief were necessary</w:t>
      </w:r>
      <w:r>
        <w:t xml:space="preserve">…. </w:t>
      </w:r>
      <w:r w:rsidRPr="001B4ACF">
        <w:t xml:space="preserve"> As such, on September 7, 2022, Commissioner Nance-Holt, through her Chief of Staff, sent an email to all Battalion Chiefs seeking applications from those interested in becoming Deputy District Chief</w:t>
      </w:r>
      <w:r>
        <w:t>…. [Nine]</w:t>
      </w:r>
      <w:r w:rsidRPr="001B4ACF">
        <w:t>Battalion Chiefs</w:t>
      </w:r>
      <w:r>
        <w:t xml:space="preserve"> </w:t>
      </w:r>
      <w:r w:rsidRPr="001B4ACF">
        <w:t>submitted applications</w:t>
      </w:r>
      <w:r>
        <w:t xml:space="preserve">…. </w:t>
      </w:r>
      <w:r w:rsidRPr="001B4ACF">
        <w:t>The Battalion Chiefs who submitted applications were later interviewed by a four member-panel</w:t>
      </w:r>
      <w:r>
        <w:t xml:space="preserve">… </w:t>
      </w:r>
      <w:r w:rsidRPr="00D973E2">
        <w:t>The panel eventually selected Haynes</w:t>
      </w:r>
      <w:r>
        <w:t xml:space="preserve"> [Black]</w:t>
      </w:r>
      <w:r w:rsidRPr="00D973E2">
        <w:t xml:space="preserve"> and Burns for promotion to Deputy District Chief.</w:t>
      </w:r>
    </w:p>
    <w:p w14:paraId="5E849E11" w14:textId="77777777" w:rsidR="00320F77" w:rsidRDefault="00320F77" w:rsidP="00320F77">
      <w:pPr>
        <w:pStyle w:val="NoSpacing"/>
      </w:pPr>
    </w:p>
    <w:p w14:paraId="20B0E4AB" w14:textId="77777777" w:rsidR="00320F77" w:rsidRDefault="00320F77" w:rsidP="00320F77">
      <w:pPr>
        <w:pStyle w:val="NoSpacing"/>
      </w:pPr>
    </w:p>
    <w:p w14:paraId="3D413C94" w14:textId="77777777" w:rsidR="00320F77" w:rsidRDefault="00320F77" w:rsidP="00320F77">
      <w:pPr>
        <w:pStyle w:val="NoSpacing"/>
        <w:ind w:left="720"/>
        <w:rPr>
          <w:i/>
          <w:iCs/>
        </w:rPr>
      </w:pPr>
      <w:r w:rsidRPr="00E16215">
        <w:t>Following the November 2022 promotions, a second round of Deputy District Chief promotions occurred in 2023</w:t>
      </w:r>
      <w:r>
        <w:t xml:space="preserve">…. </w:t>
      </w:r>
      <w:r w:rsidRPr="00E16215">
        <w:t>The panel did not conduct another round of interviews for the second round and instead relied on the same materials and interviews from November 2022 promotions</w:t>
      </w:r>
      <w:r>
        <w:t xml:space="preserve">…. </w:t>
      </w:r>
      <w:r w:rsidRPr="00E16215">
        <w:t>The panel eventually selected Brooks, Ochoa, Chris Serb, and Douglas Schick</w:t>
      </w:r>
      <w:r>
        <w:rPr>
          <w:vertAlign w:val="superscript"/>
        </w:rPr>
        <w:t xml:space="preserve"> </w:t>
      </w:r>
      <w:r w:rsidRPr="00E16215">
        <w:t xml:space="preserve">for promotion to Deputy District Chief. </w:t>
      </w:r>
      <w:r w:rsidRPr="00E16215">
        <w:rPr>
          <w:i/>
          <w:iCs/>
        </w:rPr>
        <w:t>Id</w:t>
      </w:r>
      <w:r w:rsidRPr="00E16215">
        <w:t xml:space="preserve">. The second round of promotions were effective on or about March 16, 2023. </w:t>
      </w:r>
    </w:p>
    <w:p w14:paraId="0ABDC60C" w14:textId="77777777" w:rsidR="00320F77" w:rsidRDefault="00320F77" w:rsidP="00320F77">
      <w:pPr>
        <w:pStyle w:val="NoSpacing"/>
        <w:ind w:left="720"/>
        <w:rPr>
          <w:i/>
          <w:iCs/>
        </w:rPr>
      </w:pPr>
    </w:p>
    <w:p w14:paraId="2D636A64" w14:textId="77777777" w:rsidR="00320F77" w:rsidRDefault="00320F77" w:rsidP="00320F77">
      <w:pPr>
        <w:pStyle w:val="NoSpacing"/>
        <w:ind w:left="720"/>
      </w:pPr>
      <w:r>
        <w:t>***</w:t>
      </w:r>
    </w:p>
    <w:p w14:paraId="59F5425D" w14:textId="77777777" w:rsidR="00320F77" w:rsidRDefault="00320F77" w:rsidP="00320F77">
      <w:pPr>
        <w:pStyle w:val="NoSpacing"/>
        <w:ind w:left="720"/>
      </w:pPr>
      <w:r w:rsidRPr="00B10215">
        <w:t>A third round of Deputy District Chief promotions occurred in 2024</w:t>
      </w:r>
      <w:r>
        <w:t xml:space="preserve">…. </w:t>
      </w:r>
      <w:r w:rsidRPr="00B10215">
        <w:t>Applicants who had previously interviewed and were still interested in the role were considered</w:t>
      </w:r>
      <w:proofErr w:type="gramStart"/>
      <w:r>
        <w:t>…..</w:t>
      </w:r>
      <w:proofErr w:type="gramEnd"/>
      <w:r>
        <w:t xml:space="preserve"> </w:t>
      </w:r>
      <w:r w:rsidRPr="00B10215">
        <w:t>Additionally, several new Battalion Chiefs who had expressed interest in the role were interviewed and considered</w:t>
      </w:r>
      <w:r>
        <w:t xml:space="preserve">…. </w:t>
      </w:r>
      <w:r w:rsidRPr="00B10215">
        <w:t xml:space="preserve">The new candidates were interviewed by a different panel consisting of Deputy Commissioner Ferman, Assistant Deputy Commissioner Walker, and Assistant Deputy Commissioner of Airport Operations John Geis. </w:t>
      </w:r>
    </w:p>
    <w:p w14:paraId="30FFC0EE" w14:textId="77777777" w:rsidR="00320F77" w:rsidRDefault="00320F77" w:rsidP="00320F77">
      <w:pPr>
        <w:pStyle w:val="NoSpacing"/>
        <w:ind w:left="720"/>
      </w:pPr>
    </w:p>
    <w:p w14:paraId="5E992773" w14:textId="77777777" w:rsidR="00320F77" w:rsidRDefault="00320F77" w:rsidP="00320F77">
      <w:pPr>
        <w:pStyle w:val="NoSpacing"/>
        <w:ind w:left="720"/>
      </w:pPr>
      <w:r>
        <w:t>***</w:t>
      </w:r>
    </w:p>
    <w:p w14:paraId="348B6170" w14:textId="77777777" w:rsidR="00320F77" w:rsidRDefault="00320F77" w:rsidP="00320F77">
      <w:pPr>
        <w:pStyle w:val="NoSpacing"/>
      </w:pPr>
    </w:p>
    <w:p w14:paraId="6225C66C" w14:textId="77777777" w:rsidR="00320F77" w:rsidRDefault="00320F77" w:rsidP="00320F77">
      <w:pPr>
        <w:pStyle w:val="NoSpacing"/>
        <w:ind w:left="720"/>
      </w:pPr>
      <w:r w:rsidRPr="002D1655">
        <w:t>The City's proffered non-discriminatory reason for not promoting Walker to Deputy District Chief in February 2024 is straightforward: Walker was not a top candidate. When making decisions on Deputy District Chief promotions in February 2024, Deputy Commissioner Ferman testified that the panel was looking to pick the best possible person available at the time, and specifically, those who had the best training, could best handle emergency incidents, and had the best communication skills</w:t>
      </w:r>
      <w:r>
        <w:t xml:space="preserve">…. </w:t>
      </w:r>
      <w:r w:rsidRPr="002D1655">
        <w:t xml:space="preserve">Based on interviews, resumes, and attention to each candidate's radio communications and day-to-day operations, the panel believed that Crowley, Mielnicki, Pinkston, and </w:t>
      </w:r>
      <w:proofErr w:type="spellStart"/>
      <w:r w:rsidRPr="002D1655">
        <w:t>Shawluck</w:t>
      </w:r>
      <w:proofErr w:type="spellEnd"/>
      <w:r w:rsidRPr="002D1655">
        <w:t xml:space="preserve"> each exhibited valuable attributes and skills, had stronger radio communication abilities compared to Walker, and were ultimately the best candidates</w:t>
      </w:r>
      <w:r>
        <w:t xml:space="preserve">…. </w:t>
      </w:r>
      <w:r w:rsidRPr="002D1655">
        <w:t xml:space="preserve">Promoting individuals who an employer believes are better qualified for a position is legitimate, nondiscriminatory reason for an action. </w:t>
      </w:r>
      <w:r w:rsidRPr="002D1655">
        <w:rPr>
          <w:i/>
          <w:iCs/>
        </w:rPr>
        <w:t>See Scruggs</w:t>
      </w:r>
      <w:r w:rsidRPr="002D1655">
        <w:t xml:space="preserve">, 587 F.3d at 838. </w:t>
      </w:r>
      <w:r>
        <w:t xml:space="preserve"> A</w:t>
      </w:r>
      <w:r w:rsidRPr="002D1655">
        <w:t>s the City has articulated a legitimate, nondiscriminatory reason for its promotion decision, Walker must present sufficient evidence to create a genuine issue of material fact as to pretext.</w:t>
      </w:r>
      <w:r>
        <w:t>”</w:t>
      </w:r>
    </w:p>
    <w:p w14:paraId="5E3A1B0A" w14:textId="77777777" w:rsidR="00320F77" w:rsidRDefault="00320F77" w:rsidP="00320F77">
      <w:pPr>
        <w:pStyle w:val="NoSpacing"/>
        <w:ind w:left="720"/>
      </w:pPr>
    </w:p>
    <w:p w14:paraId="762C277F" w14:textId="77777777" w:rsidR="00320F77" w:rsidRPr="003C26E4" w:rsidRDefault="00320F77" w:rsidP="00320F77">
      <w:pPr>
        <w:pStyle w:val="NoSpacing"/>
        <w:rPr>
          <w:b/>
          <w:bCs/>
        </w:rPr>
      </w:pPr>
      <w:r>
        <w:rPr>
          <w:b/>
        </w:rPr>
        <w:t xml:space="preserve">Legal lesson learned:  Promoting the best candidates is legitimate, and non-discriminatory. </w:t>
      </w:r>
    </w:p>
    <w:p w14:paraId="3B576A01" w14:textId="77777777" w:rsidR="00165BBD" w:rsidRDefault="00165BBD" w:rsidP="00165BBD">
      <w:pPr>
        <w:rPr>
          <w:rFonts w:ascii="Arial Black" w:hAnsi="Arial Black"/>
          <w:b/>
          <w:sz w:val="24"/>
          <w:szCs w:val="24"/>
        </w:rPr>
      </w:pPr>
    </w:p>
    <w:p w14:paraId="259B37BF" w14:textId="77777777" w:rsidR="00515C5E" w:rsidRDefault="00515C5E" w:rsidP="00165BBD">
      <w:pPr>
        <w:rPr>
          <w:rFonts w:ascii="Arial Black" w:hAnsi="Arial Black"/>
          <w:b/>
          <w:sz w:val="24"/>
          <w:szCs w:val="24"/>
        </w:rPr>
      </w:pPr>
    </w:p>
    <w:p w14:paraId="30DA5677" w14:textId="02A655D4" w:rsidR="00515C5E" w:rsidRDefault="00515C5E" w:rsidP="00515C5E">
      <w:pPr>
        <w:rPr>
          <w:rFonts w:ascii="Arial Black" w:hAnsi="Arial Black"/>
          <w:b/>
          <w:sz w:val="24"/>
          <w:szCs w:val="24"/>
        </w:rPr>
      </w:pPr>
      <w:r>
        <w:rPr>
          <w:rFonts w:ascii="Arial Black" w:hAnsi="Arial Black"/>
          <w:b/>
          <w:sz w:val="24"/>
          <w:szCs w:val="24"/>
        </w:rPr>
        <w:t>8-</w:t>
      </w:r>
      <w:r w:rsidR="00BA1360">
        <w:rPr>
          <w:rFonts w:ascii="Arial Black" w:hAnsi="Arial Black"/>
          <w:b/>
          <w:sz w:val="24"/>
          <w:szCs w:val="24"/>
        </w:rPr>
        <w:t>101</w:t>
      </w:r>
    </w:p>
    <w:p w14:paraId="66D631D6" w14:textId="77777777" w:rsidR="00515C5E" w:rsidRPr="00CB7BB6" w:rsidRDefault="00515C5E" w:rsidP="00515C5E">
      <w:pPr>
        <w:rPr>
          <w:rFonts w:ascii="Arial Black" w:hAnsi="Arial Black"/>
          <w:b/>
          <w:sz w:val="28"/>
          <w:szCs w:val="28"/>
        </w:rPr>
      </w:pPr>
      <w:r>
        <w:rPr>
          <w:rFonts w:ascii="Arial Black" w:hAnsi="Arial Black"/>
          <w:b/>
          <w:sz w:val="28"/>
          <w:szCs w:val="28"/>
        </w:rPr>
        <w:t>LA: WHITE B/C – 6HR SUSP / TRANS – DEI MEMO EMS CLASS</w:t>
      </w:r>
    </w:p>
    <w:p w14:paraId="4242CF5C" w14:textId="77777777" w:rsidR="00515C5E" w:rsidRDefault="00515C5E" w:rsidP="00515C5E">
      <w:pPr>
        <w:rPr>
          <w:b/>
        </w:rPr>
      </w:pPr>
      <w:r>
        <w:t xml:space="preserve">On August 6, 2028, in </w:t>
      </w:r>
      <w:r w:rsidRPr="006D58A1">
        <w:rPr>
          <w:u w:val="single"/>
        </w:rPr>
        <w:t>Henry L. Beba, Jr. v. New Orleans City, et al.</w:t>
      </w:r>
      <w:r>
        <w:t xml:space="preserve">, U.S. District Court Judge Lance M. </w:t>
      </w:r>
      <w:proofErr w:type="spellStart"/>
      <w:r>
        <w:t>Africk</w:t>
      </w:r>
      <w:proofErr w:type="spellEnd"/>
      <w:r>
        <w:t xml:space="preserve">, United States District Court for Eastern Louisiana, dismissed </w:t>
      </w:r>
      <w:r w:rsidRPr="004E4B96">
        <w:t>all of Beba's claims against defendants</w:t>
      </w:r>
      <w:r>
        <w:t>, including failure to promote</w:t>
      </w:r>
      <w:r w:rsidRPr="004E4B96">
        <w:t>, with prejudice</w:t>
      </w:r>
      <w:r>
        <w:t xml:space="preserve"> (no further amended complaints can be filed).  “</w:t>
      </w:r>
      <w:r w:rsidRPr="00CB7BB6">
        <w:t xml:space="preserve">The NOFD disciplinary process regarding Beba's statements during the EMT </w:t>
      </w:r>
      <w:r>
        <w:t xml:space="preserve">[course] </w:t>
      </w:r>
      <w:r w:rsidRPr="00CB7BB6">
        <w:t>culminated on March 26, 2025, when he was informed via letter that NOFD was imposing a six-hour suspension for his statements.</w:t>
      </w:r>
      <w:r>
        <w:t xml:space="preserve">”  He was also transferred on March 24, </w:t>
      </w:r>
      <w:proofErr w:type="gramStart"/>
      <w:r>
        <w:t>2025</w:t>
      </w:r>
      <w:proofErr w:type="gramEnd"/>
      <w:r>
        <w:t xml:space="preserve"> from Station 508 to a “floating position” - Staff Platoon 2 (four other District Chiefs received transfers to stations).  The Court held: </w:t>
      </w:r>
      <w:r w:rsidRPr="00437D5B">
        <w:rPr>
          <w:i/>
          <w:iCs/>
        </w:rPr>
        <w:t>Beba fails to state a claim for First Amendment retaliation.</w:t>
      </w:r>
      <w:r>
        <w:rPr>
          <w:i/>
          <w:iCs/>
        </w:rPr>
        <w:t xml:space="preserve"> </w:t>
      </w:r>
      <w:r w:rsidRPr="00A91353">
        <w:t xml:space="preserve">At its core, Beba's statement is that he feels he is more qualified to be deputy chief than a colleague promoted over him. Thus, even within the confines of his slight reference to DEI, the nature of his statement is airing a personal grievance, which weighs against finding that his statement was a matter of public </w:t>
      </w:r>
      <w:proofErr w:type="gramStart"/>
      <w:r w:rsidRPr="00A91353">
        <w:t>concern.</w:t>
      </w:r>
      <w:r>
        <w:t>”</w:t>
      </w:r>
      <w:proofErr w:type="gramEnd"/>
      <w:r>
        <w:t xml:space="preserve"> </w:t>
      </w:r>
      <w:hyperlink r:id="rId1522" w:history="1">
        <w:r w:rsidRPr="009E02D9">
          <w:rPr>
            <w:rStyle w:val="Hyperlink"/>
            <w:b/>
          </w:rPr>
          <w:t>https://cases.justia.com/louisiana/fourth-circuit-court-of-appeal/2026-2025-ca-0870.pdf?ts=1784938638</w:t>
        </w:r>
      </w:hyperlink>
      <w:r>
        <w:rPr>
          <w:b/>
        </w:rPr>
        <w:t xml:space="preserve"> </w:t>
      </w:r>
    </w:p>
    <w:p w14:paraId="1819D67D" w14:textId="77777777" w:rsidR="00515C5E" w:rsidRDefault="00515C5E" w:rsidP="00515C5E">
      <w:pPr>
        <w:rPr>
          <w:bCs/>
        </w:rPr>
      </w:pPr>
      <w:r>
        <w:t xml:space="preserve">THE COURT WROTE: </w:t>
      </w:r>
    </w:p>
    <w:p w14:paraId="324639A0" w14:textId="77777777" w:rsidR="00515C5E" w:rsidRPr="00F20712" w:rsidRDefault="00515C5E" w:rsidP="00515C5E">
      <w:pPr>
        <w:ind w:left="720"/>
        <w:rPr>
          <w:bCs/>
        </w:rPr>
      </w:pPr>
      <w:r>
        <w:t>“</w:t>
      </w:r>
      <w:r w:rsidRPr="00F20712">
        <w:t>Beba is a white, male district chief for the New Orleans Fire Department (</w:t>
      </w:r>
      <w:r>
        <w:t>‘</w:t>
      </w:r>
      <w:r w:rsidRPr="00F20712">
        <w:t>NOFD</w:t>
      </w:r>
      <w:r>
        <w:t>’</w:t>
      </w:r>
      <w:r w:rsidRPr="00F20712">
        <w:t xml:space="preserve">). He first joined NOFD in 1991, and from August 5, </w:t>
      </w:r>
      <w:proofErr w:type="gramStart"/>
      <w:r w:rsidRPr="00F20712">
        <w:t>2018</w:t>
      </w:r>
      <w:proofErr w:type="gramEnd"/>
      <w:r w:rsidRPr="00F20712">
        <w:t xml:space="preserve"> until March 20, 2025, Beba was assigned as a district chief to the </w:t>
      </w:r>
      <w:r>
        <w:t>‘</w:t>
      </w:r>
      <w:r w:rsidRPr="00F20712">
        <w:t xml:space="preserve">8th District, Second Platoon (Station 508), an </w:t>
      </w:r>
      <w:r>
        <w:t>‘</w:t>
      </w:r>
      <w:r w:rsidRPr="00F20712">
        <w:t>assignment</w:t>
      </w:r>
      <w:r>
        <w:t>’</w:t>
      </w:r>
      <w:r w:rsidRPr="00F20712">
        <w:t xml:space="preserve"> he obtained through a </w:t>
      </w:r>
      <w:r>
        <w:t>‘</w:t>
      </w:r>
      <w:r w:rsidRPr="00F20712">
        <w:t xml:space="preserve">seniority-based . . . </w:t>
      </w:r>
      <w:proofErr w:type="gramStart"/>
      <w:r w:rsidRPr="00F20712">
        <w:t>system.</w:t>
      </w:r>
      <w:r>
        <w:t>’</w:t>
      </w:r>
      <w:proofErr w:type="gramEnd"/>
      <w:r w:rsidRPr="00F20712">
        <w:t xml:space="preserve"> </w:t>
      </w:r>
    </w:p>
    <w:p w14:paraId="4B1D7C27" w14:textId="77777777" w:rsidR="00515C5E" w:rsidRPr="00F20712" w:rsidRDefault="00515C5E" w:rsidP="00515C5E">
      <w:pPr>
        <w:ind w:left="720"/>
        <w:rPr>
          <w:bCs/>
        </w:rPr>
      </w:pPr>
      <w:r w:rsidRPr="00F20712">
        <w:t xml:space="preserve">In January 2025, Beba enrolled in </w:t>
      </w:r>
      <w:r>
        <w:t>‘</w:t>
      </w:r>
      <w:r w:rsidRPr="00F20712">
        <w:t>an EMT-BASIC program at Delgado Community College.</w:t>
      </w:r>
      <w:r>
        <w:t xml:space="preserve">’ </w:t>
      </w:r>
      <w:r w:rsidRPr="00F20712">
        <w:t xml:space="preserve"> As an introductory assignment, Beba and other students in the class responded to a series of prompts, including, </w:t>
      </w:r>
      <w:r>
        <w:t>‘</w:t>
      </w:r>
      <w:r w:rsidRPr="00F20712">
        <w:t>[t]</w:t>
      </w:r>
      <w:proofErr w:type="spellStart"/>
      <w:r w:rsidRPr="00F20712">
        <w:t>ell</w:t>
      </w:r>
      <w:proofErr w:type="spellEnd"/>
      <w:r w:rsidRPr="00F20712">
        <w:t xml:space="preserve"> us what's got you [sic] interested in EMS (YES, EVEN YOU FIRE . . .).</w:t>
      </w:r>
      <w:r>
        <w:t>’</w:t>
      </w:r>
      <w:r w:rsidRPr="00F20712">
        <w:t xml:space="preserve"> In response to this prompt, on January 20, 2025, Beba wrote: </w:t>
      </w:r>
    </w:p>
    <w:p w14:paraId="4530B384" w14:textId="77777777" w:rsidR="00515C5E" w:rsidRPr="00F20712" w:rsidRDefault="00515C5E" w:rsidP="00515C5E">
      <w:pPr>
        <w:ind w:left="1440"/>
        <w:rPr>
          <w:bCs/>
        </w:rPr>
      </w:pPr>
      <w:r w:rsidRPr="00F20712">
        <w:t xml:space="preserve">I'll be candid-I initially had no plans to pursue my Basic-EMT certification. My focus was on advancing through </w:t>
      </w:r>
      <w:proofErr w:type="gramStart"/>
      <w:r w:rsidRPr="00F20712">
        <w:t>the promotional</w:t>
      </w:r>
      <w:proofErr w:type="gramEnd"/>
      <w:r w:rsidRPr="00F20712">
        <w:t xml:space="preserve"> ranks, a path that included rigorous training, setting personal goals, and achieving professional milestones. However, after experiencing setbacks in the promotional process and not being a DEI candidate after passing the Deputy Chief Promotional Exam at #6 only to be passed over by the last person on the list at #14 because he fits more the description of a DEI promotion, I realized that pursuing my EMT certification could provide a meaningful way to enhance my skills, help others, and secure a 5% increase in my pension going forward cutting my loss of not getting the promotional 10%. </w:t>
      </w:r>
    </w:p>
    <w:p w14:paraId="7863B680" w14:textId="77777777" w:rsidR="00515C5E" w:rsidRPr="00F20712" w:rsidRDefault="00515C5E" w:rsidP="00515C5E">
      <w:pPr>
        <w:ind w:left="1440"/>
        <w:rPr>
          <w:bCs/>
        </w:rPr>
      </w:pPr>
      <w:r w:rsidRPr="00F20712">
        <w:t xml:space="preserve">More importantly, this certification will equip me to better assist others, especially family members, in times of medical need. </w:t>
      </w:r>
    </w:p>
    <w:p w14:paraId="245D4DC1" w14:textId="77777777" w:rsidR="00515C5E" w:rsidRPr="00F20712" w:rsidRDefault="00515C5E" w:rsidP="00515C5E">
      <w:pPr>
        <w:ind w:left="540"/>
        <w:rPr>
          <w:bCs/>
        </w:rPr>
      </w:pPr>
      <w:r w:rsidRPr="00F20712">
        <w:t xml:space="preserve">Beba's response was visible on the online discussion board to his classmates, including multiple members of NOFD. Beba's statements were ultimately shared with members of NOFD outside of the EMT course, including with the individual that he referred to as a </w:t>
      </w:r>
      <w:r>
        <w:t>‘</w:t>
      </w:r>
      <w:r w:rsidRPr="00F20712">
        <w:t>DEI candidate.</w:t>
      </w:r>
      <w:r>
        <w:t>’</w:t>
      </w:r>
      <w:r w:rsidRPr="00F20712">
        <w:t xml:space="preserve"> Shortly thereafter, NOFD leadership became aware of Beba's </w:t>
      </w:r>
      <w:r>
        <w:t>‘</w:t>
      </w:r>
      <w:r w:rsidRPr="00F20712">
        <w:t>derogatory comments,</w:t>
      </w:r>
      <w:r>
        <w:t>’</w:t>
      </w:r>
      <w:r w:rsidRPr="00F20712">
        <w:t xml:space="preserve"> and on February 6, 2025, he received a disciplinary charge for violating NOFD's Workplace Harassment &amp; Discrimination Policy. Following the issuance of the disciplinary charge, an investigation occurred </w:t>
      </w:r>
    </w:p>
    <w:p w14:paraId="2A7CA554" w14:textId="77777777" w:rsidR="00515C5E" w:rsidRDefault="00515C5E" w:rsidP="00515C5E">
      <w:pPr>
        <w:ind w:left="540"/>
        <w:rPr>
          <w:bCs/>
        </w:rPr>
      </w:pPr>
      <w:r w:rsidRPr="00B0520F">
        <w:t xml:space="preserve">While the initial disciplinary process regarding these comments was pending, Beba was reassigned from his post in the 8th District on March 20, 2025. Beba was listed as one of five NOFD district chiefs reassigned in an email from defendant </w:t>
      </w:r>
      <w:r>
        <w:t xml:space="preserve">[Deputy Superintendent of Fire </w:t>
      </w:r>
      <w:r w:rsidRPr="006B01D2">
        <w:t>Armand M.</w:t>
      </w:r>
      <w:r>
        <w:t xml:space="preserve">] </w:t>
      </w:r>
      <w:r w:rsidRPr="00B0520F">
        <w:t xml:space="preserve">Bourdais. While the four other district chiefs were transferred to specific stations, Beba was reassigned as a district chief for </w:t>
      </w:r>
      <w:r>
        <w:t>‘</w:t>
      </w:r>
      <w:r w:rsidRPr="00B0520F">
        <w:t>Staff platoon 2.</w:t>
      </w:r>
      <w:r>
        <w:t>’</w:t>
      </w:r>
      <w:r w:rsidRPr="00B0520F">
        <w:t xml:space="preserve"> District Chief Thomas Ussin (</w:t>
      </w:r>
      <w:r>
        <w:t>‘</w:t>
      </w:r>
      <w:r w:rsidRPr="00B0520F">
        <w:t>Ussin</w:t>
      </w:r>
      <w:r>
        <w:t>’</w:t>
      </w:r>
      <w:r w:rsidRPr="00B0520F">
        <w:t xml:space="preserve">) was transferred to fill Beba's previous assignment with </w:t>
      </w:r>
      <w:r>
        <w:t>‘</w:t>
      </w:r>
      <w:r w:rsidRPr="00B0520F">
        <w:t>[Station] 508 platoon 2.</w:t>
      </w:r>
      <w:r>
        <w:t>’</w:t>
      </w:r>
      <w:r w:rsidRPr="00B0520F">
        <w:t xml:space="preserve"> Beba, Ussin, and a third district chief were designated as </w:t>
      </w:r>
      <w:r>
        <w:t>‘</w:t>
      </w:r>
      <w:r w:rsidRPr="00B0520F">
        <w:t>operational</w:t>
      </w:r>
      <w:r>
        <w:t>’</w:t>
      </w:r>
      <w:r w:rsidRPr="00B0520F">
        <w:t xml:space="preserve"> transfers </w:t>
      </w:r>
    </w:p>
    <w:p w14:paraId="0ADF548C" w14:textId="77777777" w:rsidR="00515C5E" w:rsidRDefault="00515C5E" w:rsidP="00515C5E">
      <w:pPr>
        <w:ind w:left="540"/>
        <w:rPr>
          <w:bCs/>
        </w:rPr>
      </w:pPr>
      <w:r w:rsidRPr="00B0520F">
        <w:t xml:space="preserve">Beba alleges that, before his March 2025 transfer, he had submitted complaints to his supervisor concerning Ussin for </w:t>
      </w:r>
      <w:r>
        <w:t>‘</w:t>
      </w:r>
      <w:r w:rsidRPr="00B0520F">
        <w:t>responding to incidents in a personal vehicle,</w:t>
      </w:r>
      <w:r>
        <w:t>’</w:t>
      </w:r>
      <w:r>
        <w:rPr>
          <w:vertAlign w:val="superscript"/>
        </w:rPr>
        <w:t xml:space="preserve"> </w:t>
      </w:r>
      <w:r>
        <w:t>‘</w:t>
      </w:r>
      <w:r w:rsidRPr="00B0520F">
        <w:t>sleeping at home while on duty[,] and responding to incidents improperly.</w:t>
      </w:r>
      <w:r>
        <w:t>’… A</w:t>
      </w:r>
      <w:r w:rsidRPr="005B5B55">
        <w:t xml:space="preserve">ccording to Beba, his reassignment was the result of racial discrimination, in violation of Title VII, and retaliation for protected speech, in violation of the First Amendment. Beba posits that, despite being informed that the reassignment was not a disciplinary action, it was, in fact, disciplinary. He submitted </w:t>
      </w:r>
      <w:r>
        <w:t>‘</w:t>
      </w:r>
      <w:r w:rsidRPr="005B5B55">
        <w:t>an official Employee Grievance [form]</w:t>
      </w:r>
      <w:r>
        <w:t>’</w:t>
      </w:r>
      <w:r w:rsidRPr="005B5B55">
        <w:t xml:space="preserve"> with respect to his reassignment on March 23, 2025.</w:t>
      </w:r>
      <w:r>
        <w:t xml:space="preserve"> </w:t>
      </w:r>
    </w:p>
    <w:p w14:paraId="34BB27D9" w14:textId="77777777" w:rsidR="00515C5E" w:rsidRDefault="00515C5E" w:rsidP="00515C5E">
      <w:pPr>
        <w:ind w:left="540"/>
        <w:rPr>
          <w:bCs/>
        </w:rPr>
      </w:pPr>
      <w:r>
        <w:t>***</w:t>
      </w:r>
    </w:p>
    <w:p w14:paraId="0AF47106" w14:textId="77777777" w:rsidR="00515C5E" w:rsidRDefault="00515C5E" w:rsidP="00515C5E">
      <w:pPr>
        <w:ind w:left="540"/>
        <w:rPr>
          <w:bCs/>
        </w:rPr>
      </w:pPr>
      <w:r w:rsidRPr="00437D5B">
        <w:rPr>
          <w:i/>
          <w:iCs/>
        </w:rPr>
        <w:t>Beba fails to state a claim for First Amendment retaliation.</w:t>
      </w:r>
    </w:p>
    <w:p w14:paraId="5EA0A7B4" w14:textId="77777777" w:rsidR="00515C5E" w:rsidRDefault="00515C5E" w:rsidP="00515C5E">
      <w:pPr>
        <w:ind w:left="540"/>
      </w:pPr>
      <w:r w:rsidRPr="00A91353">
        <w:t xml:space="preserve">At its core, Beba's statement is that he feels he is more qualified to be deputy chief than a colleague promoted over him. Thus, even within the confines of his slight reference to DEI, the nature of his statement is airing a personal grievance, which weighs against finding that his statement was a matter of public concern. </w:t>
      </w:r>
      <w:r w:rsidRPr="00A91353">
        <w:rPr>
          <w:i/>
          <w:iCs/>
        </w:rPr>
        <w:t>Gibson</w:t>
      </w:r>
      <w:r w:rsidRPr="00A91353">
        <w:t>, 838 F.3d at 485.</w:t>
      </w:r>
      <w:r>
        <w:t>”</w:t>
      </w:r>
    </w:p>
    <w:p w14:paraId="544E8AE4" w14:textId="77777777" w:rsidR="00515C5E" w:rsidRDefault="00515C5E" w:rsidP="00515C5E">
      <w:pPr>
        <w:ind w:left="540"/>
      </w:pPr>
      <w:r>
        <w:t>***</w:t>
      </w:r>
    </w:p>
    <w:p w14:paraId="6433393F" w14:textId="77777777" w:rsidR="00515C5E" w:rsidRDefault="00515C5E" w:rsidP="00515C5E">
      <w:pPr>
        <w:ind w:left="540"/>
        <w:rPr>
          <w:bCs/>
        </w:rPr>
      </w:pPr>
      <w:r w:rsidRPr="00483B54">
        <w:rPr>
          <w:i/>
          <w:iCs/>
        </w:rPr>
        <w:t>Beba fails to plausibly state a claim for deprivation of procedural due process</w:t>
      </w:r>
      <w:r w:rsidRPr="00483B54">
        <w:rPr>
          <w:b/>
        </w:rPr>
        <w:t>.</w:t>
      </w:r>
    </w:p>
    <w:p w14:paraId="1C281FB9" w14:textId="77777777" w:rsidR="00515C5E" w:rsidRPr="00B0520F" w:rsidRDefault="00515C5E" w:rsidP="00515C5E">
      <w:pPr>
        <w:ind w:left="540"/>
        <w:rPr>
          <w:bCs/>
        </w:rPr>
      </w:pPr>
      <w:r w:rsidRPr="00BF47B5">
        <w:t>Beba asserts that defendants violated his right to procedural due process when he was reassigned from his post in the 8th District</w:t>
      </w:r>
      <w:r>
        <w:t xml:space="preserve">…. </w:t>
      </w:r>
      <w:r w:rsidRPr="00613C8D">
        <w:t>The Fifth Circuit has rejected public-employee claims of entitlement when reassignment does not economically impact the plaintiff and does not deprive them of professional duties guaranteed by contract or state law</w:t>
      </w:r>
      <w:r>
        <w:t xml:space="preserve">…. </w:t>
      </w:r>
      <w:r w:rsidRPr="00613C8D">
        <w:t xml:space="preserve">Other than an ambiguous reference to NOFD </w:t>
      </w:r>
      <w:r>
        <w:t>‘</w:t>
      </w:r>
      <w:r w:rsidRPr="00613C8D">
        <w:t>established policies . . . and practices,</w:t>
      </w:r>
      <w:r>
        <w:t>’</w:t>
      </w:r>
      <w:r w:rsidRPr="00613C8D">
        <w:t xml:space="preserve"> Beba does not assert any cognizable right to the responsibilities that he possessed before his reassignment</w:t>
      </w:r>
      <w:r>
        <w:t>.</w:t>
      </w:r>
      <w:r w:rsidRPr="00613C8D">
        <w:t xml:space="preserve"> Indeed, the facts Beba alleges indicate that he retained the duties of a district chief post-transfer, and that his transfer was simply to a </w:t>
      </w:r>
      <w:r>
        <w:t>‘</w:t>
      </w:r>
      <w:r w:rsidRPr="00613C8D">
        <w:t>floating position</w:t>
      </w:r>
      <w:r>
        <w:t>’</w:t>
      </w:r>
      <w:r w:rsidRPr="00613C8D">
        <w:t xml:space="preserve"> without fixed authority in any one district.</w:t>
      </w:r>
      <w:r>
        <w:t>”</w:t>
      </w:r>
    </w:p>
    <w:p w14:paraId="4A55BD05" w14:textId="77777777" w:rsidR="00515C5E" w:rsidRPr="00DA5A8F" w:rsidRDefault="00515C5E" w:rsidP="00515C5E">
      <w:pPr>
        <w:rPr>
          <w:b/>
        </w:rPr>
      </w:pPr>
      <w:r>
        <w:rPr>
          <w:b/>
        </w:rPr>
        <w:t xml:space="preserve">Legal lesson learned: Use care in your posting, whether class work or on </w:t>
      </w:r>
      <w:proofErr w:type="gramStart"/>
      <w:r>
        <w:rPr>
          <w:b/>
        </w:rPr>
        <w:t>Social Media</w:t>
      </w:r>
      <w:proofErr w:type="gramEnd"/>
      <w:r>
        <w:rPr>
          <w:b/>
        </w:rPr>
        <w:t xml:space="preserve">. </w:t>
      </w:r>
    </w:p>
    <w:p w14:paraId="43546344" w14:textId="77777777" w:rsidR="00515C5E" w:rsidRDefault="00515C5E" w:rsidP="00165BBD">
      <w:pPr>
        <w:rPr>
          <w:rFonts w:ascii="Arial Black" w:hAnsi="Arial Black"/>
          <w:b/>
          <w:sz w:val="24"/>
          <w:szCs w:val="24"/>
        </w:rPr>
      </w:pPr>
    </w:p>
    <w:p w14:paraId="13055E53" w14:textId="77777777" w:rsidR="00165BBD" w:rsidRDefault="00165BBD" w:rsidP="00165BBD">
      <w:pPr>
        <w:rPr>
          <w:rFonts w:ascii="Arial Black" w:hAnsi="Arial Black"/>
          <w:b/>
          <w:sz w:val="24"/>
          <w:szCs w:val="24"/>
        </w:rPr>
      </w:pPr>
    </w:p>
    <w:p w14:paraId="1E163365" w14:textId="067CA2AE" w:rsidR="00165BBD" w:rsidRDefault="00165BBD" w:rsidP="00165BBD">
      <w:pPr>
        <w:rPr>
          <w:rFonts w:ascii="Arial Black" w:hAnsi="Arial Black"/>
          <w:b/>
          <w:sz w:val="24"/>
          <w:szCs w:val="24"/>
        </w:rPr>
      </w:pPr>
      <w:r>
        <w:rPr>
          <w:rFonts w:ascii="Arial Black" w:hAnsi="Arial Black"/>
          <w:b/>
          <w:sz w:val="24"/>
          <w:szCs w:val="24"/>
        </w:rPr>
        <w:t>8-</w:t>
      </w:r>
      <w:r w:rsidR="00BA1360">
        <w:rPr>
          <w:rFonts w:ascii="Arial Black" w:hAnsi="Arial Black"/>
          <w:b/>
          <w:sz w:val="24"/>
          <w:szCs w:val="24"/>
        </w:rPr>
        <w:t>100</w:t>
      </w:r>
    </w:p>
    <w:p w14:paraId="4180B439" w14:textId="77777777" w:rsidR="00B530A1" w:rsidRDefault="00B530A1" w:rsidP="00B530A1">
      <w:pPr>
        <w:rPr>
          <w:rFonts w:ascii="Arial Black" w:hAnsi="Arial Black"/>
          <w:sz w:val="28"/>
          <w:szCs w:val="28"/>
        </w:rPr>
      </w:pPr>
      <w:r>
        <w:rPr>
          <w:rFonts w:ascii="Arial Black" w:hAnsi="Arial Black"/>
          <w:sz w:val="28"/>
          <w:szCs w:val="28"/>
        </w:rPr>
        <w:t>MS: NEW MAYOR – BLACK CHIEF – LET GO AFTER 25 YRS</w:t>
      </w:r>
    </w:p>
    <w:p w14:paraId="018ECA46" w14:textId="77777777" w:rsidR="00B530A1" w:rsidRDefault="00B530A1" w:rsidP="00B530A1">
      <w:r>
        <w:t xml:space="preserve">On July 28, 2026, in </w:t>
      </w:r>
      <w:r w:rsidRPr="009D75BB">
        <w:rPr>
          <w:u w:val="single"/>
        </w:rPr>
        <w:t>Derreck Stamps v. City of Vicksburg, et al</w:t>
      </w:r>
      <w:r>
        <w:t xml:space="preserve">., U.S. District Court Judge Daniel P. Jordan III, United States District Court for the Southern District of </w:t>
      </w:r>
      <w:r w:rsidRPr="00150140">
        <w:t>Mississippi, Northern Division</w:t>
      </w:r>
      <w:r>
        <w:t>, granted the City motion to dismiss; the former Chief filed complaint that he was terminated based race and age (51), but actually under Mississippi law he was not “reappointed” by the new Mayor.  The case may not be over if he has evidence of race or age discrimination. “</w:t>
      </w:r>
      <w:r w:rsidRPr="00CC262A">
        <w:t>For the reasons stated below, the Court grants Defendants' motion because Stamps lacks standing, but he will be allowed to seek leave to amend.</w:t>
      </w:r>
      <w:r>
        <w:t xml:space="preserve">”  </w:t>
      </w:r>
      <w:hyperlink r:id="rId1523" w:history="1">
        <w:r w:rsidRPr="009234CB">
          <w:rPr>
            <w:rStyle w:val="Hyperlink"/>
          </w:rPr>
          <w:t>https://cases.justia.com/federal/district-courts/mississippi/mssdce/3:2025cv00733/130626/17/0.pdf?ts=1785351264</w:t>
        </w:r>
      </w:hyperlink>
      <w:r>
        <w:t xml:space="preserve"> </w:t>
      </w:r>
    </w:p>
    <w:p w14:paraId="5DF2918E" w14:textId="77777777" w:rsidR="00B530A1" w:rsidRDefault="00B530A1" w:rsidP="00B530A1">
      <w:r>
        <w:t>THE COURT WROTE:</w:t>
      </w:r>
    </w:p>
    <w:p w14:paraId="3DC6E248" w14:textId="77777777" w:rsidR="00B530A1" w:rsidRDefault="00B530A1" w:rsidP="00B530A1">
      <w:pPr>
        <w:pStyle w:val="NoSpacing"/>
        <w:ind w:left="720"/>
      </w:pPr>
      <w:r>
        <w:t>“S</w:t>
      </w:r>
      <w:r w:rsidRPr="00ED294A">
        <w:t>tamps began serving as the Fire Chief for Vicksburg, Mississippi, in June 2000</w:t>
      </w:r>
      <w:r>
        <w:t>…. T</w:t>
      </w:r>
      <w:r w:rsidRPr="00ED294A">
        <w:t>wenty-five years later, in June 2025, Vicksburg held a mayoral election during which Defendant Willis Thompson ousted incumbent George Flaggs</w:t>
      </w:r>
      <w:r>
        <w:t>…. S</w:t>
      </w:r>
      <w:r w:rsidRPr="00ED294A">
        <w:t xml:space="preserve">tamps </w:t>
      </w:r>
      <w:proofErr w:type="gramStart"/>
      <w:r w:rsidRPr="00ED294A">
        <w:t>was</w:t>
      </w:r>
      <w:proofErr w:type="gramEnd"/>
      <w:r w:rsidRPr="00ED294A">
        <w:t xml:space="preserve"> a </w:t>
      </w:r>
      <w:r>
        <w:t>‘</w:t>
      </w:r>
      <w:r w:rsidRPr="00ED294A">
        <w:t>known supporter[] of Mr. Flaggs.</w:t>
      </w:r>
      <w:r>
        <w:t xml:space="preserve">’ … </w:t>
      </w:r>
      <w:r w:rsidRPr="00ED294A">
        <w:t xml:space="preserve"> After Thompson was sworn in, Stamps learned that the Mayor and Board of Aldermen passed a resolution appointing department heads across the city to interim positions</w:t>
      </w:r>
      <w:r>
        <w:t xml:space="preserve">…. </w:t>
      </w:r>
      <w:r w:rsidRPr="00ED294A">
        <w:t>This resolution listed all current department heads except Stamps and the police chief (another Flaggs supporter)</w:t>
      </w:r>
      <w:r>
        <w:t xml:space="preserve">…. </w:t>
      </w:r>
      <w:r w:rsidRPr="00ED294A">
        <w:t xml:space="preserve"> Mayor Thompson told Stamps about that decision in a text message, telling him that </w:t>
      </w:r>
      <w:r>
        <w:t>‘</w:t>
      </w:r>
      <w:r w:rsidRPr="00ED294A">
        <w:t>the Board had decided to go in a different direction regarding Mr. Stamps' role as Fire Chief.</w:t>
      </w:r>
      <w:r>
        <w:t xml:space="preserve">’ … </w:t>
      </w:r>
      <w:r w:rsidRPr="00ED294A">
        <w:t>Stamps wanted answers, so he attended the next Board of Aldermen meeting to ask about his termination</w:t>
      </w:r>
      <w:r>
        <w:t>…. O</w:t>
      </w:r>
      <w:r w:rsidRPr="00ED294A">
        <w:t>nly the Mayor spoke, claiming he and the Board had the discretion to appoint whomever they wished because Mississippi was an at-will state</w:t>
      </w:r>
      <w:r>
        <w:t xml:space="preserve">…. </w:t>
      </w:r>
      <w:r w:rsidRPr="00ED294A">
        <w:t xml:space="preserve">Stamps was 51 years old at the time. </w:t>
      </w:r>
    </w:p>
    <w:p w14:paraId="11E3C677" w14:textId="77777777" w:rsidR="00B530A1" w:rsidRDefault="00B530A1" w:rsidP="00B530A1">
      <w:pPr>
        <w:pStyle w:val="NoSpacing"/>
        <w:ind w:left="720"/>
      </w:pPr>
    </w:p>
    <w:p w14:paraId="6A4182B1" w14:textId="77777777" w:rsidR="00B530A1" w:rsidRPr="00ED294A" w:rsidRDefault="00B530A1" w:rsidP="00B530A1">
      <w:pPr>
        <w:pStyle w:val="NoSpacing"/>
        <w:ind w:left="720"/>
      </w:pPr>
      <w:r>
        <w:t>***</w:t>
      </w:r>
    </w:p>
    <w:p w14:paraId="6E3FBABB" w14:textId="77777777" w:rsidR="00B530A1" w:rsidRDefault="00B530A1" w:rsidP="00B530A1">
      <w:pPr>
        <w:ind w:left="720"/>
      </w:pPr>
      <w:r w:rsidRPr="004F6D1E">
        <w:t xml:space="preserve">According to Stamps, his claims all </w:t>
      </w:r>
      <w:r>
        <w:t>‘</w:t>
      </w:r>
      <w:r w:rsidRPr="004F6D1E">
        <w:t xml:space="preserve">arise from Plaintiff's abrupt </w:t>
      </w:r>
      <w:r w:rsidRPr="004F6D1E">
        <w:rPr>
          <w:i/>
          <w:iCs/>
        </w:rPr>
        <w:t>termination</w:t>
      </w:r>
      <w:r w:rsidRPr="004F6D1E">
        <w:t xml:space="preserve"> as Fire Chief for the City of Vicksburg after more than two decades of service.</w:t>
      </w:r>
      <w:r>
        <w:t xml:space="preserve">’ … </w:t>
      </w:r>
      <w:r w:rsidRPr="00C90055">
        <w:t xml:space="preserve">But that's not what happened. In Mississippi, mayors and boards of aldermen </w:t>
      </w:r>
      <w:r>
        <w:t>‘</w:t>
      </w:r>
      <w:r w:rsidRPr="00C90055">
        <w:t>have the power and authority to appoint . . . officers and employees as may be necessary . . . [who] shall hold office at the pleasure of the governing authorities and may be discharged by such governing authorities at any time, either with or without cause.</w:t>
      </w:r>
      <w:r>
        <w:t>’</w:t>
      </w:r>
      <w:r w:rsidRPr="00C90055">
        <w:t xml:space="preserve"> Miss. Code Ann. § 21-3-5. Notably</w:t>
      </w:r>
      <w:proofErr w:type="gramStart"/>
      <w:r w:rsidRPr="00C90055">
        <w:t xml:space="preserve">, </w:t>
      </w:r>
      <w:r>
        <w:t>‘</w:t>
      </w:r>
      <w:r w:rsidRPr="00C90055">
        <w:t>[t]he</w:t>
      </w:r>
      <w:proofErr w:type="gramEnd"/>
      <w:r w:rsidRPr="00C90055">
        <w:t xml:space="preserve"> terms of office or employment of all officers and employees so appointed </w:t>
      </w:r>
      <w:r w:rsidRPr="00C90055">
        <w:rPr>
          <w:i/>
          <w:iCs/>
        </w:rPr>
        <w:t>shall expire</w:t>
      </w:r>
      <w:r w:rsidRPr="00C90055">
        <w:t xml:space="preserve"> at the expiration of the term of office of the governing authorities making the </w:t>
      </w:r>
      <w:proofErr w:type="gramStart"/>
      <w:r w:rsidRPr="00C90055">
        <w:t>appointment.”</w:t>
      </w:r>
      <w:proofErr w:type="gramEnd"/>
      <w:r w:rsidRPr="00C90055">
        <w:t xml:space="preserve"> </w:t>
      </w:r>
      <w:r w:rsidRPr="00C90055">
        <w:rPr>
          <w:i/>
          <w:iCs/>
        </w:rPr>
        <w:t>Id.</w:t>
      </w:r>
      <w:r w:rsidRPr="00C90055">
        <w:t xml:space="preserve"> (emphasis added). So, Defendants did not terminate Stamps's tenure, his position ended by statute as did the positions of every other department head. </w:t>
      </w:r>
      <w:r w:rsidRPr="00C90055">
        <w:rPr>
          <w:i/>
          <w:iCs/>
        </w:rPr>
        <w:t>See</w:t>
      </w:r>
      <w:r w:rsidRPr="00C90055">
        <w:t xml:space="preserve"> </w:t>
      </w:r>
      <w:proofErr w:type="spellStart"/>
      <w:r w:rsidRPr="00C90055">
        <w:t>Compl</w:t>
      </w:r>
      <w:proofErr w:type="spellEnd"/>
      <w:r w:rsidRPr="00C90055">
        <w:t>. [1] ¶ 14. He simply was not reappointed.</w:t>
      </w:r>
      <w:r>
        <w:t>”</w:t>
      </w:r>
    </w:p>
    <w:p w14:paraId="1DEB907F" w14:textId="77777777" w:rsidR="00B530A1" w:rsidRPr="004F6D1E" w:rsidRDefault="00B530A1" w:rsidP="00B530A1">
      <w:pPr>
        <w:rPr>
          <w:b/>
          <w:bCs/>
        </w:rPr>
      </w:pPr>
      <w:r>
        <w:rPr>
          <w:b/>
        </w:rPr>
        <w:t xml:space="preserve">Legal lesson learned: Mississippi is an “at will” state; </w:t>
      </w:r>
      <w:r>
        <w:rPr>
          <w:b/>
          <w:bCs/>
        </w:rPr>
        <w:t xml:space="preserve">this can </w:t>
      </w:r>
      <w:r>
        <w:rPr>
          <w:b/>
        </w:rPr>
        <w:t xml:space="preserve">result in </w:t>
      </w:r>
      <w:r>
        <w:rPr>
          <w:b/>
          <w:bCs/>
        </w:rPr>
        <w:t xml:space="preserve">unfair </w:t>
      </w:r>
      <w:r>
        <w:rPr>
          <w:b/>
        </w:rPr>
        <w:t xml:space="preserve">employment decisions. </w:t>
      </w:r>
    </w:p>
    <w:p w14:paraId="1FEA488B" w14:textId="77777777" w:rsidR="00BA1360" w:rsidRDefault="00BA1360" w:rsidP="00BC70A3">
      <w:pPr>
        <w:rPr>
          <w:rFonts w:ascii="Arial Black" w:hAnsi="Arial Black"/>
          <w:b/>
          <w:sz w:val="24"/>
          <w:szCs w:val="24"/>
        </w:rPr>
      </w:pPr>
    </w:p>
    <w:p w14:paraId="0824C679" w14:textId="790DC277" w:rsidR="00BC3D44" w:rsidRDefault="002E0A5D" w:rsidP="00BC70A3">
      <w:pPr>
        <w:rPr>
          <w:rFonts w:ascii="Arial Black" w:hAnsi="Arial Black"/>
          <w:b/>
          <w:sz w:val="24"/>
          <w:szCs w:val="24"/>
        </w:rPr>
      </w:pPr>
      <w:r>
        <w:rPr>
          <w:rFonts w:ascii="Arial Black" w:hAnsi="Arial Black"/>
          <w:b/>
          <w:sz w:val="24"/>
          <w:szCs w:val="24"/>
        </w:rPr>
        <w:t>8-</w:t>
      </w:r>
      <w:r w:rsidR="00BA1360">
        <w:rPr>
          <w:rFonts w:ascii="Arial Black" w:hAnsi="Arial Black"/>
          <w:b/>
          <w:sz w:val="24"/>
          <w:szCs w:val="24"/>
        </w:rPr>
        <w:t>99</w:t>
      </w:r>
    </w:p>
    <w:p w14:paraId="164399C8" w14:textId="77777777" w:rsidR="002E0A5D" w:rsidRDefault="002E0A5D" w:rsidP="002E0A5D">
      <w:pPr>
        <w:pStyle w:val="NoSpacing"/>
        <w:rPr>
          <w:rFonts w:ascii="Arial Black" w:hAnsi="Arial Black"/>
          <w:b/>
          <w:sz w:val="28"/>
          <w:szCs w:val="28"/>
        </w:rPr>
      </w:pPr>
      <w:r>
        <w:rPr>
          <w:rFonts w:ascii="Arial Black" w:hAnsi="Arial Black"/>
          <w:b/>
          <w:sz w:val="28"/>
          <w:szCs w:val="28"/>
        </w:rPr>
        <w:t>IL: CHICAGO FF PROPERLY FIRED – SEVERAL RACIST POSTS</w:t>
      </w:r>
    </w:p>
    <w:p w14:paraId="3A6F4EFF" w14:textId="77777777" w:rsidR="002E0A5D" w:rsidRDefault="002E0A5D" w:rsidP="002E0A5D">
      <w:pPr>
        <w:pStyle w:val="NoSpacing"/>
        <w:rPr>
          <w:bCs/>
        </w:rPr>
      </w:pPr>
    </w:p>
    <w:p w14:paraId="5B364F19" w14:textId="77777777" w:rsidR="002E0A5D" w:rsidRPr="006B52A4" w:rsidRDefault="002E0A5D" w:rsidP="002E0A5D">
      <w:pPr>
        <w:pStyle w:val="NoSpacing"/>
      </w:pPr>
      <w:r w:rsidRPr="0038059A">
        <w:t xml:space="preserve">On July 16, 2026, in </w:t>
      </w:r>
      <w:r w:rsidRPr="0038059A">
        <w:rPr>
          <w:u w:val="single"/>
        </w:rPr>
        <w:t>Sam Inendino v. Annettee Nance-Holt</w:t>
      </w:r>
      <w:r w:rsidRPr="0038059A">
        <w:t xml:space="preserve">, </w:t>
      </w:r>
      <w:r>
        <w:t xml:space="preserve">the </w:t>
      </w:r>
      <w:r w:rsidRPr="0038059A">
        <w:t>United States Court of Appeals, Seventh Circuit</w:t>
      </w:r>
      <w:r>
        <w:t xml:space="preserve"> (Chicago) held (3 to 0) that trial court properly grated summary judgment to the City based on the firefighter’s 13 racist Facebook posts.  </w:t>
      </w:r>
      <w:hyperlink r:id="rId1524" w:history="1">
        <w:r w:rsidRPr="002B5610">
          <w:rPr>
            <w:rStyle w:val="Hyperlink"/>
          </w:rPr>
          <w:t>https://cases.justia.com/federal/appellate-courts/ca7/24-2908/24-2908-2026-07-16.pdf?ts=1784221283</w:t>
        </w:r>
      </w:hyperlink>
      <w:r>
        <w:t xml:space="preserve"> </w:t>
      </w:r>
    </w:p>
    <w:p w14:paraId="4D855057" w14:textId="77777777" w:rsidR="002E0A5D" w:rsidRDefault="002E0A5D" w:rsidP="002E0A5D">
      <w:pPr>
        <w:pStyle w:val="NoSpacing"/>
        <w:rPr>
          <w:bCs/>
        </w:rPr>
      </w:pPr>
    </w:p>
    <w:p w14:paraId="0E6806C8" w14:textId="77777777" w:rsidR="002E0A5D" w:rsidRDefault="002E0A5D" w:rsidP="002E0A5D">
      <w:pPr>
        <w:pStyle w:val="NoSpacing"/>
        <w:rPr>
          <w:bCs/>
        </w:rPr>
      </w:pPr>
    </w:p>
    <w:p w14:paraId="47D8CCB8" w14:textId="77777777" w:rsidR="002E0A5D" w:rsidRDefault="002E0A5D" w:rsidP="002E0A5D">
      <w:pPr>
        <w:pStyle w:val="NoSpacing"/>
      </w:pPr>
      <w:r>
        <w:t>THE COURT WROTE: “</w:t>
      </w:r>
      <w:r w:rsidRPr="006B52A4">
        <w:t>For sixteen years, Sam Inendino worked</w:t>
      </w:r>
      <w:r>
        <w:t xml:space="preserve"> </w:t>
      </w:r>
      <w:r w:rsidRPr="006B52A4">
        <w:t>as a firefighter for the Chicago Fire Department (</w:t>
      </w:r>
      <w:r>
        <w:t>‘</w:t>
      </w:r>
      <w:r w:rsidRPr="006B52A4">
        <w:t>CFD</w:t>
      </w:r>
      <w:r>
        <w:t>’</w:t>
      </w:r>
      <w:r w:rsidRPr="006B52A4">
        <w:t>). He</w:t>
      </w:r>
      <w:r>
        <w:t xml:space="preserve"> </w:t>
      </w:r>
      <w:r w:rsidRPr="006B52A4">
        <w:t>was fired following a workplace investigation into his public</w:t>
      </w:r>
      <w:r>
        <w:t xml:space="preserve"> </w:t>
      </w:r>
      <w:r w:rsidRPr="006B52A4">
        <w:t>Facebook account, which contained several racially charged</w:t>
      </w:r>
      <w:r>
        <w:t xml:space="preserve"> </w:t>
      </w:r>
      <w:r w:rsidRPr="006B52A4">
        <w:t>and offensive posts</w:t>
      </w:r>
      <w:r>
        <w:t xml:space="preserve">…. </w:t>
      </w:r>
      <w:proofErr w:type="spellStart"/>
      <w:r>
        <w:t>Inendino</w:t>
      </w:r>
      <w:proofErr w:type="spellEnd"/>
      <w:r>
        <w:t xml:space="preserve"> prominently identified himself as a CFD firefighter on his Facebook page. On October 29, 2019, the Chicago Office of Inspector General (‘OIG’) received a complaint from a member of the public concerning a Facebook comment made by </w:t>
      </w:r>
      <w:proofErr w:type="spellStart"/>
      <w:r>
        <w:t>Inendino</w:t>
      </w:r>
      <w:proofErr w:type="spellEnd"/>
      <w:r>
        <w:t xml:space="preserve"> in which he told individuals to ‘take your ass back over the border where </w:t>
      </w:r>
      <w:proofErr w:type="spellStart"/>
      <w:r>
        <w:t>ya</w:t>
      </w:r>
      <w:proofErr w:type="spellEnd"/>
      <w:r>
        <w:t xml:space="preserve"> belong … </w:t>
      </w:r>
      <w:proofErr w:type="spellStart"/>
      <w:r>
        <w:t>gotta</w:t>
      </w:r>
      <w:proofErr w:type="spellEnd"/>
      <w:r>
        <w:t xml:space="preserve"> go I have a real job.’… In other words, we must decide whether </w:t>
      </w:r>
      <w:proofErr w:type="spellStart"/>
      <w:r>
        <w:t>Inendino’s</w:t>
      </w:r>
      <w:proofErr w:type="spellEnd"/>
      <w:r>
        <w:t xml:space="preserve"> thirteen Facebook posts constituted speech protected by the First  Amendment. Making this determination, as we have noted, requires us to apply the Supreme Court’s holding in </w:t>
      </w:r>
      <w:r w:rsidRPr="006E5F6C">
        <w:rPr>
          <w:u w:val="single"/>
        </w:rPr>
        <w:t>Pickering</w:t>
      </w:r>
      <w:r>
        <w:t xml:space="preserve"> and balance the government employer’s interest in efficiency against the employee’s speech interests.</w:t>
      </w:r>
    </w:p>
    <w:p w14:paraId="6332932C" w14:textId="77777777" w:rsidR="002E0A5D" w:rsidRDefault="002E0A5D" w:rsidP="002E0A5D">
      <w:pPr>
        <w:pStyle w:val="NoSpacing"/>
      </w:pPr>
    </w:p>
    <w:p w14:paraId="2644E124" w14:textId="77777777" w:rsidR="002E0A5D" w:rsidRDefault="002E0A5D" w:rsidP="002E0A5D">
      <w:pPr>
        <w:pStyle w:val="NoSpacing"/>
      </w:pPr>
      <w:r>
        <w:t>***</w:t>
      </w:r>
    </w:p>
    <w:p w14:paraId="3B7DF9F8" w14:textId="77777777" w:rsidR="002E0A5D" w:rsidRPr="006B52A4" w:rsidRDefault="002E0A5D" w:rsidP="002E0A5D">
      <w:pPr>
        <w:pStyle w:val="NoSpacing"/>
      </w:pPr>
      <w:r>
        <w:t xml:space="preserve">Firefighters too occupy a place of immense trust and authority. Residents place their faith in firefighters, often without question, because they believe these dedicated public servants will come to their aid without fear or favor. By posting disparaging remarks of Black people, </w:t>
      </w:r>
      <w:proofErr w:type="spellStart"/>
      <w:r>
        <w:t>Inendino</w:t>
      </w:r>
      <w:proofErr w:type="spellEnd"/>
      <w:r>
        <w:t xml:space="preserve"> undermined that trust by demonstrating that he, though a firefighter, did not view all residents as equals but rather looked upon certain communities with racial disdain…. On balance, we conclude that the City’s interests in ensuring that the CFD succeeds in performing its public safety mission substantially outweigh </w:t>
      </w:r>
      <w:proofErr w:type="spellStart"/>
      <w:r>
        <w:t>Inendino’s</w:t>
      </w:r>
      <w:proofErr w:type="spellEnd"/>
      <w:r>
        <w:t xml:space="preserve"> interest in posting the contested memes and comments on Facebook.” </w:t>
      </w:r>
    </w:p>
    <w:p w14:paraId="6AEB7B67" w14:textId="77777777" w:rsidR="002E0A5D" w:rsidRDefault="002E0A5D" w:rsidP="002E0A5D">
      <w:pPr>
        <w:pStyle w:val="NoSpacing"/>
        <w:rPr>
          <w:b/>
        </w:rPr>
      </w:pPr>
    </w:p>
    <w:p w14:paraId="66EA163A" w14:textId="77777777" w:rsidR="002E0A5D" w:rsidRPr="00FE3F9B" w:rsidRDefault="002E0A5D" w:rsidP="002E0A5D">
      <w:pPr>
        <w:pStyle w:val="NoSpacing"/>
        <w:rPr>
          <w:b/>
        </w:rPr>
      </w:pPr>
      <w:r w:rsidRPr="00DB654C">
        <w:rPr>
          <w:b/>
        </w:rPr>
        <w:t xml:space="preserve">Legal lesson learned: </w:t>
      </w:r>
      <w:r>
        <w:rPr>
          <w:b/>
        </w:rPr>
        <w:t>The Court said it best</w:t>
      </w:r>
      <w:r w:rsidRPr="00BA540A">
        <w:rPr>
          <w:b/>
        </w:rPr>
        <w:t>: “Firefighters too occupy a place of immense trust and authority.</w:t>
      </w:r>
      <w:r>
        <w:rPr>
          <w:b/>
        </w:rPr>
        <w:t xml:space="preserve">” Racist posts can lead to termination under the U.S. Supreme Court’s “balancing test” in </w:t>
      </w:r>
      <w:r w:rsidRPr="00B513E5">
        <w:rPr>
          <w:b/>
          <w:i/>
          <w:iCs/>
        </w:rPr>
        <w:t>Pickering v. Board of Education</w:t>
      </w:r>
      <w:r>
        <w:rPr>
          <w:b/>
          <w:i/>
          <w:iCs/>
        </w:rPr>
        <w:t xml:space="preserve"> </w:t>
      </w:r>
      <w:r>
        <w:rPr>
          <w:b/>
        </w:rPr>
        <w:t xml:space="preserve">(June 3, 1968),  </w:t>
      </w:r>
      <w:hyperlink r:id="rId1525" w:history="1">
        <w:r w:rsidRPr="002B5610">
          <w:rPr>
            <w:rStyle w:val="Hyperlink"/>
            <w:b/>
          </w:rPr>
          <w:t>https://www.oyez.org/cases/1967/510</w:t>
        </w:r>
      </w:hyperlink>
      <w:r>
        <w:rPr>
          <w:b/>
        </w:rPr>
        <w:t xml:space="preserve">.  </w:t>
      </w:r>
    </w:p>
    <w:p w14:paraId="3D6399FE" w14:textId="77777777" w:rsidR="002E0A5D" w:rsidRDefault="002E0A5D" w:rsidP="002E0A5D">
      <w:pPr>
        <w:pStyle w:val="NoSpacing"/>
        <w:rPr>
          <w:b/>
        </w:rPr>
      </w:pPr>
    </w:p>
    <w:p w14:paraId="311786D5" w14:textId="77777777" w:rsidR="002E0A5D" w:rsidRPr="00DB654C" w:rsidRDefault="002E0A5D" w:rsidP="002E0A5D">
      <w:pPr>
        <w:pStyle w:val="NoSpacing"/>
        <w:rPr>
          <w:b/>
        </w:rPr>
      </w:pPr>
    </w:p>
    <w:p w14:paraId="6E9C5FE2" w14:textId="77777777" w:rsidR="002E0A5D" w:rsidRDefault="002E0A5D" w:rsidP="002E0A5D">
      <w:pPr>
        <w:pStyle w:val="NoSpacing"/>
        <w:rPr>
          <w:b/>
          <w:sz w:val="20"/>
          <w:szCs w:val="20"/>
        </w:rPr>
      </w:pPr>
    </w:p>
    <w:p w14:paraId="13329324" w14:textId="77777777" w:rsidR="002E0A5D" w:rsidRDefault="002E0A5D" w:rsidP="00BC70A3">
      <w:pPr>
        <w:rPr>
          <w:rFonts w:ascii="Arial Black" w:hAnsi="Arial Black"/>
          <w:b/>
          <w:sz w:val="24"/>
          <w:szCs w:val="24"/>
        </w:rPr>
      </w:pPr>
    </w:p>
    <w:p w14:paraId="4DB18E5C" w14:textId="77777777" w:rsidR="00BC3D44" w:rsidRDefault="00BC3D44" w:rsidP="00BC70A3">
      <w:pPr>
        <w:rPr>
          <w:rFonts w:ascii="Arial Black" w:hAnsi="Arial Black"/>
          <w:b/>
          <w:sz w:val="24"/>
          <w:szCs w:val="24"/>
        </w:rPr>
      </w:pPr>
    </w:p>
    <w:p w14:paraId="6EF29F7E" w14:textId="77777777" w:rsidR="00BC3D44" w:rsidRDefault="00BC3D44" w:rsidP="00BC70A3">
      <w:pPr>
        <w:rPr>
          <w:rFonts w:ascii="Arial Black" w:hAnsi="Arial Black"/>
          <w:b/>
          <w:sz w:val="24"/>
          <w:szCs w:val="24"/>
        </w:rPr>
      </w:pPr>
    </w:p>
    <w:p w14:paraId="193D8866" w14:textId="472A743C" w:rsidR="002C1FF2" w:rsidRDefault="002C1FF2" w:rsidP="00BC70A3">
      <w:pPr>
        <w:rPr>
          <w:rFonts w:ascii="Arial Black" w:hAnsi="Arial Black"/>
          <w:b/>
          <w:sz w:val="24"/>
          <w:szCs w:val="24"/>
        </w:rPr>
      </w:pPr>
      <w:r>
        <w:rPr>
          <w:rFonts w:ascii="Arial Black" w:hAnsi="Arial Black"/>
          <w:b/>
          <w:sz w:val="24"/>
          <w:szCs w:val="24"/>
        </w:rPr>
        <w:t>8-9</w:t>
      </w:r>
      <w:r w:rsidR="00BA1360">
        <w:rPr>
          <w:rFonts w:ascii="Arial Black" w:hAnsi="Arial Black"/>
          <w:b/>
          <w:sz w:val="24"/>
          <w:szCs w:val="24"/>
        </w:rPr>
        <w:t>8</w:t>
      </w:r>
    </w:p>
    <w:p w14:paraId="299BC1A0" w14:textId="77777777" w:rsidR="002C1FF2" w:rsidRPr="00C958FE" w:rsidRDefault="002C1FF2" w:rsidP="002C1FF2">
      <w:pPr>
        <w:pStyle w:val="NoSpacing"/>
        <w:rPr>
          <w:rFonts w:ascii="Arial Black" w:hAnsi="Arial Black"/>
          <w:b/>
          <w:sz w:val="28"/>
          <w:szCs w:val="28"/>
        </w:rPr>
      </w:pPr>
      <w:r>
        <w:rPr>
          <w:rFonts w:ascii="Arial Black" w:hAnsi="Arial Black"/>
          <w:b/>
          <w:sz w:val="28"/>
          <w:szCs w:val="28"/>
        </w:rPr>
        <w:t xml:space="preserve">MD: BLACK – LATE FOR WORK / RACIAL TEXTS – NO CASE </w:t>
      </w:r>
    </w:p>
    <w:p w14:paraId="575FD4A4" w14:textId="77777777" w:rsidR="002C1FF2" w:rsidRDefault="002C1FF2" w:rsidP="002C1FF2">
      <w:pPr>
        <w:pStyle w:val="NoSpacing"/>
        <w:rPr>
          <w:b/>
        </w:rPr>
      </w:pPr>
    </w:p>
    <w:p w14:paraId="126D764A" w14:textId="77777777" w:rsidR="002C1FF2" w:rsidRPr="0018661C" w:rsidRDefault="002C1FF2" w:rsidP="002C1FF2">
      <w:pPr>
        <w:pStyle w:val="NoSpacing"/>
        <w:rPr>
          <w:bCs/>
        </w:rPr>
      </w:pPr>
      <w:r w:rsidRPr="0018661C">
        <w:t xml:space="preserve">On June 24, 2026, in </w:t>
      </w:r>
      <w:r w:rsidRPr="0018661C">
        <w:rPr>
          <w:u w:val="single"/>
        </w:rPr>
        <w:t>Mitchell Waters v. The Mayor and City Council of Baltimore</w:t>
      </w:r>
      <w:r w:rsidRPr="0018661C">
        <w:t xml:space="preserve">, </w:t>
      </w:r>
      <w:r>
        <w:t xml:space="preserve">the United States Court of Appeal for Fourth Circuit (Baltimore) held (3 to 0; unpublished decision) that trial court properly granted summary judgment to the City. The </w:t>
      </w:r>
      <w:proofErr w:type="gramStart"/>
      <w:r>
        <w:t>City</w:t>
      </w:r>
      <w:proofErr w:type="gramEnd"/>
      <w:r>
        <w:t xml:space="preserve"> adequately investigated anonymous racial messages and found no proof they were sent by fellow firefighters. The Court wrote: “The text messages were sent anonymously, and BCFD did undertake an investigation to attempt to identify the sender. Therefore, the district court did not err in granting judgment on the hostile work environment claim.” </w:t>
      </w:r>
      <w:hyperlink r:id="rId1526" w:history="1">
        <w:r w:rsidRPr="00014504">
          <w:rPr>
            <w:rStyle w:val="Hyperlink"/>
          </w:rPr>
          <w:t>https://cases.justia.com/federal/appellate-courts/ca4/25-1440/25-1440-2026-06-24.pdf?ts=1782325881</w:t>
        </w:r>
      </w:hyperlink>
      <w:r>
        <w:t xml:space="preserve"> </w:t>
      </w:r>
    </w:p>
    <w:p w14:paraId="0C5FBF24" w14:textId="77777777" w:rsidR="002C1FF2" w:rsidRPr="0018661C" w:rsidRDefault="002C1FF2" w:rsidP="002C1FF2">
      <w:pPr>
        <w:pStyle w:val="NoSpacing"/>
        <w:rPr>
          <w:bCs/>
        </w:rPr>
      </w:pPr>
    </w:p>
    <w:p w14:paraId="50347BC7" w14:textId="77777777" w:rsidR="002C1FF2" w:rsidRDefault="002C1FF2" w:rsidP="002C1FF2">
      <w:pPr>
        <w:pStyle w:val="NoSpacing"/>
        <w:rPr>
          <w:b/>
        </w:rPr>
      </w:pPr>
    </w:p>
    <w:p w14:paraId="087D67E0" w14:textId="77777777" w:rsidR="002C1FF2" w:rsidRDefault="002C1FF2" w:rsidP="002C1FF2">
      <w:pPr>
        <w:pStyle w:val="NoSpacing"/>
        <w:rPr>
          <w:b/>
        </w:rPr>
      </w:pPr>
      <w:r w:rsidRPr="00AF250A">
        <w:rPr>
          <w:b/>
        </w:rPr>
        <w:t>FACTS:</w:t>
      </w:r>
    </w:p>
    <w:p w14:paraId="4E06A30A" w14:textId="77777777" w:rsidR="002C1FF2" w:rsidRDefault="002C1FF2" w:rsidP="002C1FF2">
      <w:pPr>
        <w:pStyle w:val="NoSpacing"/>
        <w:rPr>
          <w:b/>
        </w:rPr>
      </w:pPr>
    </w:p>
    <w:p w14:paraId="6FA985FB" w14:textId="77777777" w:rsidR="002C1FF2" w:rsidRPr="00AF250A" w:rsidRDefault="002C1FF2" w:rsidP="002C1FF2">
      <w:pPr>
        <w:pStyle w:val="NoSpacing"/>
      </w:pPr>
      <w:r>
        <w:t>“</w:t>
      </w:r>
      <w:r w:rsidRPr="00AF250A">
        <w:t>Waters is a Black man employed by the Baltimore City Fire Department (BCFD).</w:t>
      </w:r>
    </w:p>
    <w:p w14:paraId="5585D5BC" w14:textId="77777777" w:rsidR="002C1FF2" w:rsidRPr="00AF250A" w:rsidRDefault="002C1FF2" w:rsidP="002C1FF2">
      <w:pPr>
        <w:pStyle w:val="NoSpacing"/>
      </w:pPr>
      <w:r w:rsidRPr="00AF250A">
        <w:t>The thrust of Waters’s complaint is that he was treated less favorably than non-Black peers</w:t>
      </w:r>
    </w:p>
    <w:p w14:paraId="0A656857" w14:textId="77777777" w:rsidR="002C1FF2" w:rsidRDefault="002C1FF2" w:rsidP="002C1FF2">
      <w:pPr>
        <w:pStyle w:val="NoSpacing"/>
      </w:pPr>
      <w:r w:rsidRPr="00AF250A">
        <w:t>when he was subject to BCFD’s disciplinary process</w:t>
      </w:r>
      <w:r>
        <w:t>…. Waters lists five examples of disparate treatment concerning himself and a comparator and four additional examples concerning other Black employees and non-Black comparators.</w:t>
      </w:r>
    </w:p>
    <w:p w14:paraId="6F607951" w14:textId="77777777" w:rsidR="002C1FF2" w:rsidRDefault="002C1FF2" w:rsidP="002C1FF2">
      <w:pPr>
        <w:pStyle w:val="NoSpacing"/>
      </w:pPr>
    </w:p>
    <w:p w14:paraId="631AFC9A" w14:textId="77777777" w:rsidR="002C1FF2" w:rsidRDefault="002C1FF2" w:rsidP="002C1FF2">
      <w:pPr>
        <w:pStyle w:val="NoSpacing"/>
      </w:pPr>
      <w:r>
        <w:t>***</w:t>
      </w:r>
    </w:p>
    <w:p w14:paraId="1D599A9B" w14:textId="77777777" w:rsidR="002C1FF2" w:rsidRDefault="002C1FF2" w:rsidP="002C1FF2">
      <w:pPr>
        <w:pStyle w:val="NoSpacing"/>
      </w:pPr>
    </w:p>
    <w:p w14:paraId="118CED0D" w14:textId="77777777" w:rsidR="002C1FF2" w:rsidRPr="00607F7B" w:rsidRDefault="002C1FF2" w:rsidP="002C1FF2">
      <w:pPr>
        <w:pStyle w:val="NoSpacing"/>
      </w:pPr>
      <w:r w:rsidRPr="00607F7B">
        <w:t xml:space="preserve">Waters’s last example concerns </w:t>
      </w:r>
      <w:r>
        <w:t>‘</w:t>
      </w:r>
      <w:r w:rsidRPr="00607F7B">
        <w:t>anonymous, racist, and threatening messages</w:t>
      </w:r>
      <w:r>
        <w:t>’</w:t>
      </w:r>
      <w:r w:rsidRPr="00607F7B">
        <w:t xml:space="preserve"> he</w:t>
      </w:r>
    </w:p>
    <w:p w14:paraId="666EBCCC" w14:textId="77777777" w:rsidR="002C1FF2" w:rsidRPr="00607F7B" w:rsidRDefault="002C1FF2" w:rsidP="002C1FF2">
      <w:pPr>
        <w:pStyle w:val="NoSpacing"/>
      </w:pPr>
      <w:r w:rsidRPr="00607F7B">
        <w:t xml:space="preserve">received. Opening Br. at 33. Waters claims </w:t>
      </w:r>
      <w:r>
        <w:t>‘</w:t>
      </w:r>
      <w:r w:rsidRPr="00607F7B">
        <w:t>no investigation or intervention was</w:t>
      </w:r>
    </w:p>
    <w:p w14:paraId="414DDD56" w14:textId="77777777" w:rsidR="002C1FF2" w:rsidRPr="00607F7B" w:rsidRDefault="002C1FF2" w:rsidP="002C1FF2">
      <w:pPr>
        <w:pStyle w:val="NoSpacing"/>
      </w:pPr>
      <w:r w:rsidRPr="00607F7B">
        <w:t>conducted,</w:t>
      </w:r>
      <w:r>
        <w:t>’</w:t>
      </w:r>
      <w:r w:rsidRPr="00607F7B">
        <w:t xml:space="preserve"> and again points to complaints by Lt. Cole and Lt. DiRusso which he says</w:t>
      </w:r>
    </w:p>
    <w:p w14:paraId="6331166A" w14:textId="77777777" w:rsidR="002C1FF2" w:rsidRPr="00607F7B" w:rsidRDefault="002C1FF2" w:rsidP="002C1FF2">
      <w:pPr>
        <w:pStyle w:val="NoSpacing"/>
      </w:pPr>
      <w:r>
        <w:t>‘</w:t>
      </w:r>
      <w:proofErr w:type="gramStart"/>
      <w:r w:rsidRPr="00607F7B">
        <w:t>were</w:t>
      </w:r>
      <w:proofErr w:type="gramEnd"/>
      <w:r w:rsidRPr="00607F7B">
        <w:t xml:space="preserve"> investigated immediately.</w:t>
      </w:r>
      <w:r>
        <w:t>’</w:t>
      </w:r>
      <w:r w:rsidRPr="00607F7B">
        <w:t xml:space="preserve"> Id. Although these anonymous racist messages are</w:t>
      </w:r>
    </w:p>
    <w:p w14:paraId="6D35C91B" w14:textId="77777777" w:rsidR="002C1FF2" w:rsidRPr="00607F7B" w:rsidRDefault="002C1FF2" w:rsidP="002C1FF2">
      <w:pPr>
        <w:pStyle w:val="NoSpacing"/>
      </w:pPr>
      <w:r w:rsidRPr="00607F7B">
        <w:t>disturbing, the anonymity renders this conduct incomparable to the other complaints.</w:t>
      </w:r>
    </w:p>
    <w:p w14:paraId="43710087" w14:textId="77777777" w:rsidR="002C1FF2" w:rsidRDefault="002C1FF2" w:rsidP="002C1FF2">
      <w:pPr>
        <w:pStyle w:val="NoSpacing"/>
      </w:pPr>
      <w:r w:rsidRPr="00607F7B">
        <w:t xml:space="preserve">Waters </w:t>
      </w:r>
      <w:proofErr w:type="gramStart"/>
      <w:r w:rsidRPr="00607F7B">
        <w:t>characterizes</w:t>
      </w:r>
      <w:proofErr w:type="gramEnd"/>
      <w:r w:rsidRPr="00607F7B">
        <w:t xml:space="preserve"> BCFD’s actions in response to the anonymous messages as </w:t>
      </w:r>
      <w:r>
        <w:t>‘</w:t>
      </w:r>
      <w:r w:rsidRPr="00607F7B">
        <w:t>Smoke</w:t>
      </w:r>
      <w:r>
        <w:t xml:space="preserve"> and Mirrors</w:t>
      </w:r>
      <w:proofErr w:type="gramStart"/>
      <w:r>
        <w:t>,’ ‘</w:t>
      </w:r>
      <w:proofErr w:type="gramEnd"/>
      <w:r>
        <w:t>half-hearted,’ and ‘inauthentic.’  Id. at 34. But Waters does not identify</w:t>
      </w:r>
    </w:p>
    <w:p w14:paraId="612E0E49" w14:textId="77777777" w:rsidR="002C1FF2" w:rsidRDefault="002C1FF2" w:rsidP="002C1FF2">
      <w:pPr>
        <w:pStyle w:val="NoSpacing"/>
      </w:pPr>
      <w:r>
        <w:t>any other instance where BCFD undertook a more serious or rigorous investigation after a</w:t>
      </w:r>
    </w:p>
    <w:p w14:paraId="3EE6FF28" w14:textId="77777777" w:rsidR="002C1FF2" w:rsidRPr="00607F7B" w:rsidRDefault="002C1FF2" w:rsidP="002C1FF2">
      <w:pPr>
        <w:pStyle w:val="NoSpacing"/>
      </w:pPr>
      <w:r>
        <w:t>peer was subject to anonymous harassment. We cannot find that BCFD’s prompt investigation of a complaint identifying a specific employee is comparable to its response to a complaint regarding anonymous conduct.”</w:t>
      </w:r>
    </w:p>
    <w:p w14:paraId="3ED765F1" w14:textId="77777777" w:rsidR="002C1FF2" w:rsidRPr="00607F7B" w:rsidRDefault="002C1FF2" w:rsidP="002C1FF2">
      <w:pPr>
        <w:pStyle w:val="NoSpacing"/>
      </w:pPr>
    </w:p>
    <w:p w14:paraId="686EA22B" w14:textId="77777777" w:rsidR="002C1FF2" w:rsidRPr="00607F7B" w:rsidRDefault="002C1FF2" w:rsidP="002C1FF2">
      <w:pPr>
        <w:pStyle w:val="NoSpacing"/>
      </w:pPr>
    </w:p>
    <w:p w14:paraId="775040BB" w14:textId="77777777" w:rsidR="002C1FF2" w:rsidRPr="00667370" w:rsidRDefault="002C1FF2" w:rsidP="002C1FF2">
      <w:pPr>
        <w:pStyle w:val="NoSpacing"/>
        <w:rPr>
          <w:b/>
          <w:bCs/>
        </w:rPr>
      </w:pPr>
      <w:r w:rsidRPr="00667370">
        <w:rPr>
          <w:b/>
        </w:rPr>
        <w:t>COURT HELD:</w:t>
      </w:r>
    </w:p>
    <w:p w14:paraId="5CD04277" w14:textId="77777777" w:rsidR="002C1FF2" w:rsidRDefault="002C1FF2" w:rsidP="002C1FF2">
      <w:pPr>
        <w:pStyle w:val="NoSpacing"/>
      </w:pPr>
    </w:p>
    <w:p w14:paraId="3C92A4E0" w14:textId="77777777" w:rsidR="002C1FF2" w:rsidRDefault="002C1FF2" w:rsidP="002C1FF2">
      <w:pPr>
        <w:pStyle w:val="NoSpacing"/>
      </w:pPr>
      <w:r>
        <w:t>“Only the anonymous racist text messages Waters received are related to his race, but as the district court correctly noted, Waters was ‘unable to link [the messages] to any of his coworkers,’ J.A. 1257, and he does not establish how the messages are imputable to BCFD. ‘An employer may be held liable for a hostile work environment if it knew or should have known about the harassment and failed to take effective action to stop it by responding with remedial action reasonably calculated to end the harassment.’ Webster, 38 F.4th at 415 (citation modified). The text messages were sent anonymously, and BCFD did undertake an investigation to attempt to identify the sender. Therefore, the district court did not err in granting judgment on the hostile work environment claim.”</w:t>
      </w:r>
    </w:p>
    <w:p w14:paraId="60CBF074" w14:textId="77777777" w:rsidR="002C1FF2" w:rsidRPr="00AF250A" w:rsidRDefault="002C1FF2" w:rsidP="002C1FF2">
      <w:pPr>
        <w:pStyle w:val="NoSpacing"/>
      </w:pPr>
    </w:p>
    <w:p w14:paraId="0AD46C22" w14:textId="77777777" w:rsidR="002C1FF2" w:rsidRDefault="002C1FF2" w:rsidP="002C1FF2">
      <w:pPr>
        <w:pStyle w:val="NoSpacing"/>
        <w:rPr>
          <w:b/>
        </w:rPr>
      </w:pPr>
      <w:r>
        <w:rPr>
          <w:b/>
        </w:rPr>
        <w:t xml:space="preserve">Legal lesson learned: Anonymous racial text messages were investigated; no proof sent by fellow firefighters.  </w:t>
      </w:r>
    </w:p>
    <w:p w14:paraId="531EAD67" w14:textId="77777777" w:rsidR="002C1FF2" w:rsidRDefault="002C1FF2" w:rsidP="00BC70A3">
      <w:pPr>
        <w:rPr>
          <w:rFonts w:ascii="Arial Black" w:hAnsi="Arial Black"/>
          <w:b/>
          <w:sz w:val="24"/>
          <w:szCs w:val="24"/>
        </w:rPr>
      </w:pPr>
    </w:p>
    <w:p w14:paraId="26E782C6" w14:textId="77777777" w:rsidR="002C1FF2" w:rsidRDefault="002C1FF2" w:rsidP="00BC70A3">
      <w:pPr>
        <w:rPr>
          <w:rFonts w:ascii="Arial Black" w:hAnsi="Arial Black"/>
          <w:b/>
          <w:sz w:val="24"/>
          <w:szCs w:val="24"/>
        </w:rPr>
      </w:pPr>
    </w:p>
    <w:p w14:paraId="3C732D40" w14:textId="77777777" w:rsidR="002C1FF2" w:rsidRDefault="002C1FF2" w:rsidP="00BC70A3">
      <w:pPr>
        <w:rPr>
          <w:rFonts w:ascii="Arial Black" w:hAnsi="Arial Black"/>
          <w:b/>
          <w:sz w:val="24"/>
          <w:szCs w:val="24"/>
        </w:rPr>
      </w:pPr>
    </w:p>
    <w:p w14:paraId="2FC034A7" w14:textId="3664EA33" w:rsidR="00F429B5" w:rsidRDefault="00F429B5" w:rsidP="00BC70A3">
      <w:pPr>
        <w:rPr>
          <w:rFonts w:ascii="Arial Black" w:hAnsi="Arial Black"/>
          <w:b/>
          <w:sz w:val="24"/>
          <w:szCs w:val="24"/>
        </w:rPr>
      </w:pPr>
      <w:r>
        <w:rPr>
          <w:rFonts w:ascii="Arial Black" w:hAnsi="Arial Black"/>
          <w:b/>
          <w:sz w:val="24"/>
          <w:szCs w:val="24"/>
        </w:rPr>
        <w:t>8-9</w:t>
      </w:r>
      <w:r w:rsidR="00BA1360">
        <w:rPr>
          <w:rFonts w:ascii="Arial Black" w:hAnsi="Arial Black"/>
          <w:b/>
          <w:sz w:val="24"/>
          <w:szCs w:val="24"/>
        </w:rPr>
        <w:t>7</w:t>
      </w:r>
    </w:p>
    <w:p w14:paraId="5A8D6746" w14:textId="77777777" w:rsidR="00F429B5" w:rsidRPr="001079BC" w:rsidRDefault="00F429B5" w:rsidP="00F429B5">
      <w:pPr>
        <w:rPr>
          <w:rFonts w:ascii="Arial Black" w:hAnsi="Arial Black"/>
          <w:b/>
          <w:sz w:val="28"/>
          <w:szCs w:val="28"/>
        </w:rPr>
      </w:pPr>
      <w:r>
        <w:rPr>
          <w:rFonts w:ascii="Arial Black" w:hAnsi="Arial Black"/>
          <w:b/>
          <w:sz w:val="28"/>
          <w:szCs w:val="28"/>
        </w:rPr>
        <w:t>OH: BLACK CAPT – EXAM SOFTWARE ISSUES – NOT RACE</w:t>
      </w:r>
    </w:p>
    <w:p w14:paraId="7DBFC497" w14:textId="77777777" w:rsidR="00F429B5" w:rsidRDefault="00F429B5" w:rsidP="00F429B5">
      <w:pPr>
        <w:pStyle w:val="NoSpacing"/>
        <w:rPr>
          <w:b/>
        </w:rPr>
      </w:pPr>
      <w:r>
        <w:t xml:space="preserve">On June 15, 2026, in </w:t>
      </w:r>
      <w:r w:rsidRPr="00A002DC">
        <w:rPr>
          <w:u w:val="single"/>
        </w:rPr>
        <w:t>Janos Roper v. City of Cincinnati Fire Department</w:t>
      </w:r>
      <w:r>
        <w:t>, the United States Court of Appeals for the Sixth Circuit held (3 to 0) that trial court properly granted summary judgment to the City.  Race was not a factor in the formatting of answers on the promotion exam for District Chief.  The software company found it to be “user error” – but in any event the issue was “race neutral.” He wound up 16</w:t>
      </w:r>
      <w:r w:rsidRPr="00BA3FF7">
        <w:rPr>
          <w:vertAlign w:val="superscript"/>
        </w:rPr>
        <w:t>th</w:t>
      </w:r>
      <w:r>
        <w:t xml:space="preserve"> on the list; 11 promoted.  The Court wrote: “</w:t>
      </w:r>
      <w:r w:rsidRPr="007C2488">
        <w:t>But Title VII provides a remedy for</w:t>
      </w:r>
      <w:r>
        <w:t xml:space="preserve"> </w:t>
      </w:r>
      <w:r w:rsidRPr="007C2488">
        <w:t>racial discrimination, not for defective tests.</w:t>
      </w:r>
      <w:r>
        <w:t xml:space="preserve">” </w:t>
      </w:r>
      <w:hyperlink r:id="rId1527" w:history="1">
        <w:r w:rsidRPr="00014504">
          <w:rPr>
            <w:rStyle w:val="Hyperlink"/>
            <w:b/>
          </w:rPr>
          <w:t>https://cases.justia.com/federal/appellate-courts/ca6/25-3700/25-3700-2026-06-15.pdf?ts=1781553648</w:t>
        </w:r>
      </w:hyperlink>
      <w:r>
        <w:rPr>
          <w:b/>
        </w:rPr>
        <w:t xml:space="preserve"> </w:t>
      </w:r>
    </w:p>
    <w:p w14:paraId="40E5BEBB" w14:textId="77777777" w:rsidR="00F429B5" w:rsidRDefault="00F429B5" w:rsidP="00F429B5">
      <w:pPr>
        <w:rPr>
          <w:bCs/>
        </w:rPr>
      </w:pPr>
    </w:p>
    <w:p w14:paraId="48D2D8BC" w14:textId="77777777" w:rsidR="00F429B5" w:rsidRDefault="00F429B5" w:rsidP="00F429B5">
      <w:pPr>
        <w:rPr>
          <w:b/>
        </w:rPr>
      </w:pPr>
      <w:r>
        <w:t xml:space="preserve"> </w:t>
      </w:r>
      <w:r>
        <w:rPr>
          <w:b/>
        </w:rPr>
        <w:t>FACTS:</w:t>
      </w:r>
    </w:p>
    <w:p w14:paraId="5BD1851A" w14:textId="77777777" w:rsidR="00F429B5" w:rsidRPr="00DD65B2" w:rsidRDefault="00F429B5" w:rsidP="00F429B5">
      <w:pPr>
        <w:pStyle w:val="NoSpacing"/>
        <w:rPr>
          <w:bCs/>
        </w:rPr>
      </w:pPr>
      <w:r>
        <w:t>“</w:t>
      </w:r>
      <w:r w:rsidRPr="00DD65B2">
        <w:t>In 2019, Roper—a longtime Cincinnati firefighter—sat for a test to be promoted to district</w:t>
      </w:r>
    </w:p>
    <w:p w14:paraId="0FEC2A5D" w14:textId="77777777" w:rsidR="00F429B5" w:rsidRPr="00DD65B2" w:rsidRDefault="00F429B5" w:rsidP="00F429B5">
      <w:pPr>
        <w:pStyle w:val="NoSpacing"/>
        <w:rPr>
          <w:bCs/>
        </w:rPr>
      </w:pPr>
      <w:r w:rsidRPr="00DD65B2">
        <w:t>chief. During one typewritten section, Roper and several other candidates experienced a problem</w:t>
      </w:r>
    </w:p>
    <w:p w14:paraId="7221E52F" w14:textId="77777777" w:rsidR="00F429B5" w:rsidRPr="00DD65B2" w:rsidRDefault="00F429B5" w:rsidP="00F429B5">
      <w:pPr>
        <w:pStyle w:val="NoSpacing"/>
        <w:rPr>
          <w:bCs/>
        </w:rPr>
      </w:pPr>
      <w:r w:rsidRPr="00DD65B2">
        <w:t>with the testing software, which upset the formatting of their answers. According to Roper, this</w:t>
      </w:r>
    </w:p>
    <w:p w14:paraId="19622D25" w14:textId="77777777" w:rsidR="00F429B5" w:rsidRPr="00DD65B2" w:rsidRDefault="00F429B5" w:rsidP="00F429B5">
      <w:pPr>
        <w:pStyle w:val="NoSpacing"/>
        <w:rPr>
          <w:bCs/>
        </w:rPr>
      </w:pPr>
      <w:r w:rsidRPr="00DD65B2">
        <w:t>problem cost him time during the test and was “very damaging” to his performance.</w:t>
      </w:r>
    </w:p>
    <w:p w14:paraId="666A9BA9" w14:textId="77777777" w:rsidR="00F429B5" w:rsidRPr="00DD65B2" w:rsidRDefault="00F429B5" w:rsidP="00F429B5">
      <w:pPr>
        <w:pStyle w:val="NoSpacing"/>
        <w:rPr>
          <w:bCs/>
        </w:rPr>
      </w:pPr>
      <w:r w:rsidRPr="00DD65B2">
        <w:t>Roper reported the problem to one of the Department’s human-resources employees, who</w:t>
      </w:r>
    </w:p>
    <w:p w14:paraId="22E29D94" w14:textId="77777777" w:rsidR="00F429B5" w:rsidRDefault="00F429B5" w:rsidP="00F429B5">
      <w:pPr>
        <w:pStyle w:val="NoSpacing"/>
        <w:rPr>
          <w:bCs/>
        </w:rPr>
      </w:pPr>
      <w:r w:rsidRPr="00DD65B2">
        <w:t xml:space="preserve">relayed Roper’s complaint to the company that had created the test. </w:t>
      </w:r>
    </w:p>
    <w:p w14:paraId="6AC401EB" w14:textId="77777777" w:rsidR="00F429B5" w:rsidRDefault="00F429B5" w:rsidP="00F429B5">
      <w:pPr>
        <w:pStyle w:val="NoSpacing"/>
        <w:rPr>
          <w:bCs/>
        </w:rPr>
      </w:pPr>
    </w:p>
    <w:p w14:paraId="7C8A7553" w14:textId="77777777" w:rsidR="00F429B5" w:rsidRDefault="00F429B5" w:rsidP="00F429B5">
      <w:pPr>
        <w:pStyle w:val="NoSpacing"/>
        <w:rPr>
          <w:bCs/>
        </w:rPr>
      </w:pPr>
      <w:r w:rsidRPr="00DD65B2">
        <w:t>The company investigated</w:t>
      </w:r>
      <w:r>
        <w:t xml:space="preserve"> </w:t>
      </w:r>
      <w:r w:rsidRPr="00DD65B2">
        <w:t>and said the problem had been the result of user error. The company scored the test, however,</w:t>
      </w:r>
      <w:r>
        <w:t xml:space="preserve"> </w:t>
      </w:r>
      <w:r w:rsidRPr="00DD65B2">
        <w:t>without regard to any formatting errors. The Department then promoted candidates (or not) based</w:t>
      </w:r>
      <w:r>
        <w:t xml:space="preserve"> </w:t>
      </w:r>
      <w:r w:rsidRPr="00854040">
        <w:t>solely on their test scores. Roper’s score placed him 16th among the candidates eligible for 11</w:t>
      </w:r>
      <w:r>
        <w:t xml:space="preserve"> </w:t>
      </w:r>
      <w:r w:rsidRPr="00854040">
        <w:t xml:space="preserve">vacant positions, so the Department did not promote him to district </w:t>
      </w:r>
      <w:proofErr w:type="gramStart"/>
      <w:r w:rsidRPr="00854040">
        <w:t>chief.</w:t>
      </w:r>
      <w:r>
        <w:t>”</w:t>
      </w:r>
      <w:proofErr w:type="gramEnd"/>
    </w:p>
    <w:p w14:paraId="66C3F300" w14:textId="77777777" w:rsidR="00F429B5" w:rsidRDefault="00F429B5" w:rsidP="00F429B5">
      <w:pPr>
        <w:pStyle w:val="NoSpacing"/>
        <w:rPr>
          <w:bCs/>
        </w:rPr>
      </w:pPr>
    </w:p>
    <w:p w14:paraId="064E3EF7" w14:textId="77777777" w:rsidR="00F429B5" w:rsidRDefault="00F429B5" w:rsidP="00F429B5">
      <w:pPr>
        <w:pStyle w:val="NoSpacing"/>
        <w:rPr>
          <w:b/>
        </w:rPr>
      </w:pPr>
      <w:r w:rsidRPr="00854040">
        <w:rPr>
          <w:b/>
        </w:rPr>
        <w:t>COURT HELD:</w:t>
      </w:r>
    </w:p>
    <w:p w14:paraId="02D235CB" w14:textId="77777777" w:rsidR="00F429B5" w:rsidRDefault="00F429B5" w:rsidP="00F429B5">
      <w:pPr>
        <w:pStyle w:val="NoSpacing"/>
        <w:rPr>
          <w:b/>
        </w:rPr>
      </w:pPr>
    </w:p>
    <w:p w14:paraId="556658BA" w14:textId="77777777" w:rsidR="00F429B5" w:rsidRPr="007C2488" w:rsidRDefault="00F429B5" w:rsidP="00F429B5">
      <w:pPr>
        <w:pStyle w:val="NoSpacing"/>
      </w:pPr>
      <w:r>
        <w:t>“</w:t>
      </w:r>
      <w:r w:rsidRPr="007C2488">
        <w:t>Roper responds that his claim (in part) is that the test itself was defective, and so its results</w:t>
      </w:r>
    </w:p>
    <w:p w14:paraId="5266C950" w14:textId="77777777" w:rsidR="00F429B5" w:rsidRPr="007C2488" w:rsidRDefault="00F429B5" w:rsidP="00F429B5">
      <w:pPr>
        <w:pStyle w:val="NoSpacing"/>
      </w:pPr>
      <w:r w:rsidRPr="007C2488">
        <w:t>should not render him dissimilar to the promoted candidates. But Title VII provides a remedy for</w:t>
      </w:r>
    </w:p>
    <w:p w14:paraId="4C45E890" w14:textId="77777777" w:rsidR="00F429B5" w:rsidRPr="007C2488" w:rsidRDefault="00F429B5" w:rsidP="00F429B5">
      <w:pPr>
        <w:pStyle w:val="NoSpacing"/>
      </w:pPr>
      <w:r w:rsidRPr="007C2488">
        <w:t>racial discrimination, not for defective tests. Here, the test results were undisputedly the sole</w:t>
      </w:r>
    </w:p>
    <w:p w14:paraId="30F7C8BC" w14:textId="77777777" w:rsidR="00F429B5" w:rsidRPr="007C2488" w:rsidRDefault="00F429B5" w:rsidP="00F429B5">
      <w:pPr>
        <w:pStyle w:val="NoSpacing"/>
      </w:pPr>
      <w:r w:rsidRPr="007C2488">
        <w:t>criterion on which candidates were promoted; and the Department’s application of that criterion</w:t>
      </w:r>
    </w:p>
    <w:p w14:paraId="2CDCA7C5" w14:textId="77777777" w:rsidR="00F429B5" w:rsidRDefault="00F429B5" w:rsidP="00F429B5">
      <w:pPr>
        <w:pStyle w:val="NoSpacing"/>
      </w:pPr>
      <w:r w:rsidRPr="007C2488">
        <w:t>was undisputedly race neutral. To make out a prima facie case of discrimination, therefore, Rope</w:t>
      </w:r>
      <w:r>
        <w:t>r</w:t>
      </w:r>
      <w:r w:rsidRPr="001079BC">
        <w:t xml:space="preserve"> </w:t>
      </w:r>
      <w:r>
        <w:t>must present evidence that the formatting problem (which he says impaired his test performance)</w:t>
      </w:r>
    </w:p>
    <w:p w14:paraId="281CF162" w14:textId="77777777" w:rsidR="00F429B5" w:rsidRDefault="00F429B5" w:rsidP="00F429B5">
      <w:pPr>
        <w:pStyle w:val="NoSpacing"/>
      </w:pPr>
      <w:r>
        <w:t>was itself the result of racial discrimination. And Roper has developed no argument to that effect</w:t>
      </w:r>
    </w:p>
    <w:p w14:paraId="7964F4A5" w14:textId="77777777" w:rsidR="00F429B5" w:rsidRDefault="00F429B5" w:rsidP="00F429B5">
      <w:pPr>
        <w:pStyle w:val="NoSpacing"/>
      </w:pPr>
      <w:r>
        <w:t>in the district court or this court. The district court was therefore correct to grant summary</w:t>
      </w:r>
    </w:p>
    <w:p w14:paraId="310A590D" w14:textId="77777777" w:rsidR="00F429B5" w:rsidRPr="007C2488" w:rsidRDefault="00F429B5" w:rsidP="00F429B5">
      <w:pPr>
        <w:pStyle w:val="NoSpacing"/>
      </w:pPr>
      <w:r>
        <w:t>judgment to the Department.”</w:t>
      </w:r>
    </w:p>
    <w:p w14:paraId="75070BFB" w14:textId="77777777" w:rsidR="00F429B5" w:rsidRDefault="00F429B5" w:rsidP="00F429B5">
      <w:pPr>
        <w:rPr>
          <w:b/>
        </w:rPr>
      </w:pPr>
    </w:p>
    <w:p w14:paraId="2A63883B" w14:textId="77777777" w:rsidR="00F429B5" w:rsidRDefault="00F429B5" w:rsidP="00F429B5">
      <w:pPr>
        <w:rPr>
          <w:b/>
        </w:rPr>
      </w:pPr>
      <w:r>
        <w:rPr>
          <w:b/>
        </w:rPr>
        <w:t xml:space="preserve">Legal lesson learned: Computer software issues can be very frustrating – particularly in a promotion exam – but no evidence of racial discrimination. </w:t>
      </w:r>
    </w:p>
    <w:p w14:paraId="43D4CA69" w14:textId="77777777" w:rsidR="00F429B5" w:rsidRDefault="00F429B5" w:rsidP="00BC70A3">
      <w:pPr>
        <w:rPr>
          <w:rFonts w:ascii="Arial Black" w:hAnsi="Arial Black"/>
          <w:b/>
          <w:sz w:val="24"/>
          <w:szCs w:val="24"/>
        </w:rPr>
      </w:pPr>
    </w:p>
    <w:p w14:paraId="469EF0EC" w14:textId="77777777" w:rsidR="00F429B5" w:rsidRDefault="00F429B5" w:rsidP="00BC70A3">
      <w:pPr>
        <w:rPr>
          <w:rFonts w:ascii="Arial Black" w:hAnsi="Arial Black"/>
          <w:b/>
          <w:sz w:val="24"/>
          <w:szCs w:val="24"/>
        </w:rPr>
      </w:pPr>
    </w:p>
    <w:p w14:paraId="33A4F702" w14:textId="58A43A7A" w:rsidR="00B85F14" w:rsidRDefault="006A662D" w:rsidP="00BC70A3">
      <w:pPr>
        <w:rPr>
          <w:rFonts w:ascii="Arial Black" w:hAnsi="Arial Black"/>
          <w:b/>
          <w:sz w:val="24"/>
          <w:szCs w:val="24"/>
        </w:rPr>
      </w:pPr>
      <w:r>
        <w:rPr>
          <w:rFonts w:ascii="Arial Black" w:hAnsi="Arial Black"/>
          <w:b/>
          <w:sz w:val="24"/>
          <w:szCs w:val="24"/>
        </w:rPr>
        <w:t>8-9</w:t>
      </w:r>
      <w:r w:rsidR="00BA1360">
        <w:rPr>
          <w:rFonts w:ascii="Arial Black" w:hAnsi="Arial Black"/>
          <w:b/>
          <w:sz w:val="24"/>
          <w:szCs w:val="24"/>
        </w:rPr>
        <w:t>6</w:t>
      </w:r>
    </w:p>
    <w:p w14:paraId="10E843E5" w14:textId="77777777" w:rsidR="00B85F14" w:rsidRPr="00ED155B" w:rsidRDefault="00B85F14" w:rsidP="00B85F14">
      <w:pPr>
        <w:pStyle w:val="NoSpacing"/>
        <w:rPr>
          <w:rFonts w:ascii="Arial Black" w:hAnsi="Arial Black"/>
          <w:sz w:val="28"/>
          <w:szCs w:val="28"/>
        </w:rPr>
      </w:pPr>
      <w:r>
        <w:rPr>
          <w:rFonts w:ascii="Arial Black" w:hAnsi="Arial Black"/>
          <w:sz w:val="28"/>
          <w:szCs w:val="28"/>
        </w:rPr>
        <w:t>ID: HISPANIC / CATHOLIC - ASSESSMENT CTR WAS FAIR</w:t>
      </w:r>
    </w:p>
    <w:p w14:paraId="39815B5E" w14:textId="77777777" w:rsidR="00B85F14" w:rsidRDefault="00B85F14" w:rsidP="00B85F14">
      <w:pPr>
        <w:pStyle w:val="NoSpacing"/>
      </w:pPr>
    </w:p>
    <w:p w14:paraId="329B0150" w14:textId="77777777" w:rsidR="00B85F14" w:rsidRDefault="00B85F14" w:rsidP="00B85F14">
      <w:r>
        <w:t xml:space="preserve">On June 3, 2026, in </w:t>
      </w:r>
      <w:r w:rsidRPr="00B37A0F">
        <w:rPr>
          <w:u w:val="single"/>
        </w:rPr>
        <w:t>Henry Munoz v. City of Burley</w:t>
      </w:r>
      <w:r>
        <w:t xml:space="preserve">, U.S. District Court Judge </w:t>
      </w:r>
      <w:r w:rsidRPr="00E66C66">
        <w:t>Amanda K. Brailsford,</w:t>
      </w:r>
      <w:r>
        <w:t xml:space="preserve"> </w:t>
      </w:r>
      <w:r w:rsidRPr="00F5578E">
        <w:t>United States District Court for District of Idaho</w:t>
      </w:r>
      <w:r>
        <w:t xml:space="preserve">, granted the city’s motion for summary judgment; lack of proof of discrimination against Hispanics or Catholics (many officers are members of </w:t>
      </w:r>
      <w:r w:rsidRPr="006C0980">
        <w:t>Church of Jesus Christ of Latter-day Saints</w:t>
      </w:r>
      <w:r>
        <w:t xml:space="preserve">).  The </w:t>
      </w:r>
      <w:proofErr w:type="gramStart"/>
      <w:r>
        <w:t>City</w:t>
      </w:r>
      <w:proofErr w:type="gramEnd"/>
      <w:r>
        <w:t xml:space="preserve"> held an assessment center, including outside graders, and promoted the lieutenant with highest score (</w:t>
      </w:r>
      <w:r w:rsidRPr="008E3238">
        <w:t>957 out of 1,200</w:t>
      </w:r>
      <w:r>
        <w:t>; compared to plaintiff’s 760). The Court wrote: “</w:t>
      </w:r>
      <w:r w:rsidRPr="00527BF6">
        <w:t>Defendant has articulated a legitimate, nondiscriminatory reason for promoting Boden instead of Plaintiff: they selected Boden because he received the highest total score in the assessment center</w:t>
      </w:r>
      <w:r>
        <w:t xml:space="preserve">.” </w:t>
      </w:r>
      <w:hyperlink r:id="rId1528" w:history="1">
        <w:r w:rsidRPr="003E6F82">
          <w:rPr>
            <w:rStyle w:val="Hyperlink"/>
          </w:rPr>
          <w:t>https://www.govinfo.gov/content/pkg/USCOURTS-idd-4_24-cv-00303/pdf/USCOURTS-idd-4_24-cv-00303-0.pdf</w:t>
        </w:r>
      </w:hyperlink>
      <w:r>
        <w:t xml:space="preserve"> </w:t>
      </w:r>
    </w:p>
    <w:p w14:paraId="7F8E1D92" w14:textId="77777777" w:rsidR="00B85F14" w:rsidRDefault="00B85F14" w:rsidP="00B85F14">
      <w:pPr>
        <w:rPr>
          <w:b/>
        </w:rPr>
      </w:pPr>
      <w:r>
        <w:rPr>
          <w:b/>
        </w:rPr>
        <w:t>FACTS:</w:t>
      </w:r>
    </w:p>
    <w:p w14:paraId="0A115D22" w14:textId="77777777" w:rsidR="00B85F14" w:rsidRDefault="00B85F14" w:rsidP="00B85F14">
      <w:pPr>
        <w:pStyle w:val="NoSpacing"/>
      </w:pPr>
      <w:r>
        <w:t>“</w:t>
      </w:r>
      <w:r w:rsidRPr="009C1094">
        <w:t> Plaintiff is Hispanic and Catholic</w:t>
      </w:r>
      <w:r>
        <w:t xml:space="preserve"> …. </w:t>
      </w:r>
      <w:r w:rsidRPr="009C1094">
        <w:t>He began working for the BFD as a volunteer firefighter in March 2001, became a full-time firefighter in November 2003, and was promoted to Lieutenant in 2013</w:t>
      </w:r>
      <w:r>
        <w:t xml:space="preserve"> …. </w:t>
      </w:r>
      <w:r w:rsidRPr="009C1094">
        <w:t xml:space="preserve">Plaintiff remained a Lieutenant when he applied for the </w:t>
      </w:r>
      <w:proofErr w:type="gramStart"/>
      <w:r w:rsidRPr="009C1094">
        <w:t>Captain</w:t>
      </w:r>
      <w:proofErr w:type="gramEnd"/>
      <w:r w:rsidRPr="009C1094">
        <w:t xml:space="preserve"> position at issue in this case</w:t>
      </w:r>
      <w:r>
        <w:t xml:space="preserve"> ….</w:t>
      </w:r>
      <w:r w:rsidRPr="009C1094">
        <w:t>Plaintiff declares that he has served BFD for more than twenty-four years and has never been disciplined for misconduct</w:t>
      </w:r>
      <w:r>
        <w:t xml:space="preserve">. </w:t>
      </w:r>
    </w:p>
    <w:p w14:paraId="572E94D4" w14:textId="77777777" w:rsidR="00B85F14" w:rsidRDefault="00B85F14" w:rsidP="00B85F14">
      <w:pPr>
        <w:pStyle w:val="NoSpacing"/>
      </w:pPr>
    </w:p>
    <w:p w14:paraId="31105AB0" w14:textId="77777777" w:rsidR="00B85F14" w:rsidRDefault="00B85F14" w:rsidP="00B85F14">
      <w:pPr>
        <w:pStyle w:val="NoSpacing"/>
      </w:pPr>
      <w:r>
        <w:t>***</w:t>
      </w:r>
    </w:p>
    <w:p w14:paraId="5B73EB53" w14:textId="77777777" w:rsidR="00B85F14" w:rsidRDefault="00B85F14" w:rsidP="00B85F14">
      <w:pPr>
        <w:pStyle w:val="NoSpacing"/>
      </w:pPr>
    </w:p>
    <w:p w14:paraId="0917C3BF" w14:textId="77777777" w:rsidR="00B85F14" w:rsidRDefault="00B85F14" w:rsidP="00B85F14">
      <w:pPr>
        <w:pStyle w:val="NoSpacing"/>
      </w:pPr>
      <w:r w:rsidRPr="00925E40">
        <w:t xml:space="preserve">BFD used an </w:t>
      </w:r>
      <w:r>
        <w:t>‘</w:t>
      </w:r>
      <w:r w:rsidRPr="00925E40">
        <w:t>assessment center</w:t>
      </w:r>
      <w:r>
        <w:t>’</w:t>
      </w:r>
      <w:r w:rsidRPr="00925E40">
        <w:t xml:space="preserve"> to evaluate the three candidates. The assessment center used five evaluators: Chief Shannon Tolman; Deputy Chief Harman; Human Resources (HR) Director, Carol Anderson; Cassia Regional Hospital ambulance department manager, Keisha Hendrickson; and College of Southern Idaho Lead Fire Science Instructor, Brad Buehler </w:t>
      </w:r>
      <w:r>
        <w:t>….</w:t>
      </w:r>
      <w:r w:rsidRPr="00925E40">
        <w:t xml:space="preserve"> Deputy Chief Harman selected the internal evaluators and Buehler and Hendrickson as outside evaluators</w:t>
      </w:r>
      <w:r>
        <w:t xml:space="preserve"> ….</w:t>
      </w:r>
      <w:r w:rsidRPr="00925E40">
        <w:t>Of those evaluators, Plaintiffs identifies only Chief Tolman as having LDS involvement</w:t>
      </w:r>
      <w:r>
        <w:t>. [</w:t>
      </w:r>
      <w:r w:rsidRPr="006C0980">
        <w:t>LDS</w:t>
      </w:r>
      <w:r>
        <w:t xml:space="preserve"> - </w:t>
      </w:r>
      <w:r w:rsidRPr="006C0980">
        <w:t>shorthand reference for the Church of Jesus Christ of Latter-day Saints</w:t>
      </w:r>
      <w:r>
        <w:t>]</w:t>
      </w:r>
      <w:r w:rsidRPr="006C0980">
        <w:t>.</w:t>
      </w:r>
    </w:p>
    <w:p w14:paraId="6FBD1BC6" w14:textId="77777777" w:rsidR="00B85F14" w:rsidRDefault="00B85F14" w:rsidP="00B85F14">
      <w:pPr>
        <w:pStyle w:val="NoSpacing"/>
      </w:pPr>
    </w:p>
    <w:p w14:paraId="44DF6D45" w14:textId="77777777" w:rsidR="00B85F14" w:rsidRDefault="00B85F14" w:rsidP="00B85F14">
      <w:pPr>
        <w:pStyle w:val="NoSpacing"/>
      </w:pPr>
      <w:r w:rsidRPr="004E7397">
        <w:t>The assessment center has three components: an incident-scenario exercise, an oral</w:t>
      </w:r>
      <w:r>
        <w:t xml:space="preserve"> </w:t>
      </w:r>
      <w:r w:rsidRPr="004E7397">
        <w:t>presentation exercise, and an oral interview</w:t>
      </w:r>
      <w:r>
        <w:t xml:space="preserve"> …. </w:t>
      </w:r>
      <w:r w:rsidRPr="004E7397">
        <w:t>Each component's individual score sheets included job-related scoring dimensions such as scene size-up, leadership/organization, communication, problem analysis and decision-making, time management, strategy and tactics, command presence/ICS, safety, presentation-related criteria, accountability, and interview performance</w:t>
      </w:r>
      <w:r>
        <w:t xml:space="preserve"> ….</w:t>
      </w:r>
      <w:r w:rsidRPr="004E7397">
        <w:t xml:space="preserve">The score sheets used an </w:t>
      </w:r>
      <w:r>
        <w:t xml:space="preserve"> </w:t>
      </w:r>
      <w:r w:rsidRPr="004E7397">
        <w:t xml:space="preserve">unevenly-banded numerical scale: 1 through 4 meant </w:t>
      </w:r>
      <w:r>
        <w:t>‘</w:t>
      </w:r>
      <w:r w:rsidRPr="004E7397">
        <w:t>Not Qualified,</w:t>
      </w:r>
      <w:r>
        <w:t>’</w:t>
      </w:r>
      <w:r w:rsidRPr="004E7397">
        <w:t xml:space="preserve"> 5 meant </w:t>
      </w:r>
      <w:r>
        <w:t>‘</w:t>
      </w:r>
      <w:r w:rsidRPr="004E7397">
        <w:t>Minimally Qualified,</w:t>
      </w:r>
      <w:r>
        <w:t>’</w:t>
      </w:r>
      <w:r w:rsidRPr="004E7397">
        <w:t xml:space="preserve"> 6 meant </w:t>
      </w:r>
      <w:r>
        <w:t>‘</w:t>
      </w:r>
      <w:r w:rsidRPr="004E7397">
        <w:t>Qualified,</w:t>
      </w:r>
      <w:r>
        <w:t>’</w:t>
      </w:r>
      <w:r w:rsidRPr="004E7397">
        <w:t xml:space="preserve"> and 7 through 10 meant </w:t>
      </w:r>
      <w:r>
        <w:t>‘</w:t>
      </w:r>
      <w:r w:rsidRPr="004E7397">
        <w:t>Especially Qualified</w:t>
      </w:r>
      <w:r>
        <w:t xml:space="preserve">’ …. </w:t>
      </w:r>
      <w:r w:rsidRPr="004E7397">
        <w:t xml:space="preserve"> Hypothetically applied, a </w:t>
      </w:r>
      <w:r>
        <w:t>‘</w:t>
      </w:r>
      <w:r w:rsidRPr="004E7397">
        <w:t>4</w:t>
      </w:r>
      <w:r>
        <w:t>’</w:t>
      </w:r>
      <w:r w:rsidRPr="004E7397">
        <w:t xml:space="preserve"> means the evaluator found the applicant not qualified in that dimension of that component, whereas a </w:t>
      </w:r>
      <w:r>
        <w:t>‘</w:t>
      </w:r>
      <w:r w:rsidRPr="004E7397">
        <w:t>7</w:t>
      </w:r>
      <w:r>
        <w:t>’</w:t>
      </w:r>
      <w:r w:rsidRPr="004E7397">
        <w:t xml:space="preserve"> means the applicant was especially qualified. The scoring draws no distinction between a 1 and a 4 (both </w:t>
      </w:r>
      <w:r>
        <w:t>‘</w:t>
      </w:r>
      <w:r w:rsidRPr="004E7397">
        <w:t>not qualified</w:t>
      </w:r>
      <w:r>
        <w:t>’</w:t>
      </w:r>
      <w:r w:rsidRPr="004E7397">
        <w:t xml:space="preserve">) or a 7 and a 10 (both </w:t>
      </w:r>
      <w:r>
        <w:t>‘</w:t>
      </w:r>
      <w:r w:rsidRPr="004E7397">
        <w:t>especially qualified</w:t>
      </w:r>
      <w:r>
        <w:t>’</w:t>
      </w:r>
      <w:r w:rsidRPr="004E7397">
        <w:t xml:space="preserve">). </w:t>
      </w:r>
    </w:p>
    <w:p w14:paraId="4A6FD119" w14:textId="77777777" w:rsidR="00B85F14" w:rsidRDefault="00B85F14" w:rsidP="00B85F14">
      <w:pPr>
        <w:pStyle w:val="NoSpacing"/>
      </w:pPr>
    </w:p>
    <w:p w14:paraId="3EB58E8A" w14:textId="77777777" w:rsidR="00B85F14" w:rsidRDefault="00B85F14" w:rsidP="00B85F14">
      <w:pPr>
        <w:pStyle w:val="NoSpacing"/>
      </w:pPr>
      <w:r>
        <w:t>***</w:t>
      </w:r>
    </w:p>
    <w:p w14:paraId="562A1188" w14:textId="77777777" w:rsidR="00B85F14" w:rsidRDefault="00B85F14" w:rsidP="00B85F14">
      <w:pPr>
        <w:pStyle w:val="NoSpacing"/>
      </w:pPr>
      <w:r w:rsidRPr="008E3238">
        <w:t> After the assessment, Chief Tolman and Deputy Chief Harman totaled the evaluators' scores. The completed score sheets reflect that Plaintiff received a total score of 760 out of 1,200, while Boden received the highest total score, 957 out of 1,200</w:t>
      </w:r>
      <w:r>
        <w:t xml:space="preserve">…. </w:t>
      </w:r>
      <w:r w:rsidRPr="008E3238">
        <w:t xml:space="preserve"> According to Defendant, the promotion was offered to the candidate who received the highest score, and Deputy Chief Harman testified that </w:t>
      </w:r>
      <w:r>
        <w:t>‘</w:t>
      </w:r>
      <w:r w:rsidRPr="008E3238">
        <w:t>the past processes since ‘21 have all gone based off of the score</w:t>
      </w:r>
      <w:r>
        <w:t xml:space="preserve">’ …. </w:t>
      </w:r>
    </w:p>
    <w:p w14:paraId="26EF8099" w14:textId="77777777" w:rsidR="00B85F14" w:rsidRDefault="00B85F14" w:rsidP="00B85F14">
      <w:pPr>
        <w:pStyle w:val="NoSpacing"/>
      </w:pPr>
    </w:p>
    <w:p w14:paraId="4D254087" w14:textId="77777777" w:rsidR="00B85F14" w:rsidRDefault="00B85F14" w:rsidP="00B85F14">
      <w:pPr>
        <w:pStyle w:val="NoSpacing"/>
        <w:rPr>
          <w:b/>
          <w:bCs/>
        </w:rPr>
      </w:pPr>
      <w:r w:rsidRPr="005C0BF8">
        <w:rPr>
          <w:b/>
        </w:rPr>
        <w:t xml:space="preserve">COURT HELD: </w:t>
      </w:r>
    </w:p>
    <w:p w14:paraId="292957CE" w14:textId="77777777" w:rsidR="00B85F14" w:rsidRDefault="00B85F14" w:rsidP="00B85F14">
      <w:pPr>
        <w:pStyle w:val="NoSpacing"/>
        <w:rPr>
          <w:b/>
          <w:bCs/>
        </w:rPr>
      </w:pPr>
    </w:p>
    <w:p w14:paraId="321A4EBB" w14:textId="77777777" w:rsidR="00B85F14" w:rsidRDefault="00B85F14" w:rsidP="00B85F14">
      <w:pPr>
        <w:pStyle w:val="NoSpacing"/>
      </w:pPr>
      <w:r>
        <w:t>“</w:t>
      </w:r>
      <w:r w:rsidRPr="004177CA">
        <w:t>Plaintiff testified that religion did not come up during the interview or testing process; no panelist raised religion during the process; Chief Tolman and Deputy Chief Harman never talked with him about his religion; he never raised religion with them; and he did not know whether Chief Tolman or Deputy Chief Harman knew his religion</w:t>
      </w:r>
      <w:r>
        <w:t xml:space="preserve"> …. </w:t>
      </w:r>
      <w:r w:rsidRPr="004177CA">
        <w:t xml:space="preserve"> Buehler testified that he was not aware of any applicant's religious affiliation or whether one applicant was affiliated religiously differently from the others, and that the scores he gave Plaintiff were not motivated by Plaintiff's religion or national origin</w:t>
      </w:r>
      <w:r>
        <w:t xml:space="preserve"> ….</w:t>
      </w:r>
      <w:r w:rsidRPr="004177CA">
        <w:t xml:space="preserve"> Hendrickson likewise testified she was not aware of the religion of any applicant and that the scores she gave Plaintiff were not motivated by Plaintiff's religion or national origin</w:t>
      </w:r>
      <w:r>
        <w:t xml:space="preserve"> ….</w:t>
      </w:r>
    </w:p>
    <w:p w14:paraId="364B2E0E" w14:textId="77777777" w:rsidR="00B85F14" w:rsidRDefault="00B85F14" w:rsidP="00B85F14">
      <w:pPr>
        <w:pStyle w:val="NoSpacing"/>
      </w:pPr>
    </w:p>
    <w:p w14:paraId="7D32ABEB" w14:textId="77777777" w:rsidR="00B85F14" w:rsidRDefault="00B85F14" w:rsidP="00B85F14">
      <w:pPr>
        <w:pStyle w:val="NoSpacing"/>
      </w:pPr>
      <w:r>
        <w:t>***</w:t>
      </w:r>
    </w:p>
    <w:p w14:paraId="1BFA5899" w14:textId="77777777" w:rsidR="00B85F14" w:rsidRPr="004177CA" w:rsidRDefault="00B85F14" w:rsidP="00B85F14">
      <w:pPr>
        <w:pStyle w:val="NoSpacing"/>
      </w:pPr>
    </w:p>
    <w:p w14:paraId="6E25B3BB" w14:textId="77777777" w:rsidR="00B85F14" w:rsidRDefault="00B85F14" w:rsidP="00B85F14">
      <w:pPr>
        <w:pStyle w:val="NoSpacing"/>
      </w:pPr>
      <w:r w:rsidRPr="005D6029">
        <w:t>For these reasons, the scoring evidence does not create a triable issue of discriminatory pretext. Even if a reasonable jury could find that subjective judgment, evaluator harshness, or favoritism influenced the process, Plaintiff has not identified evidence permitting a reasonable jury to find that race, religion, Catholic status, or non-LDS status was one of the motivating factors. On this record, Plaintiff has not identified sufficient admissible evidence from which a reasonable jury could infer Defendant's stated explanation is false or motivated by a discriminatory purpose.</w:t>
      </w:r>
    </w:p>
    <w:p w14:paraId="376CF815" w14:textId="77777777" w:rsidR="00B85F14" w:rsidRDefault="00B85F14" w:rsidP="00B85F14">
      <w:pPr>
        <w:pStyle w:val="NoSpacing"/>
      </w:pPr>
    </w:p>
    <w:p w14:paraId="6A760DE0" w14:textId="77777777" w:rsidR="00B85F14" w:rsidRDefault="00B85F14" w:rsidP="00B85F14">
      <w:pPr>
        <w:pStyle w:val="NoSpacing"/>
      </w:pPr>
      <w:r>
        <w:t>***</w:t>
      </w:r>
    </w:p>
    <w:p w14:paraId="4DFF38D2" w14:textId="77777777" w:rsidR="00B85F14" w:rsidRDefault="00B85F14" w:rsidP="00B85F14">
      <w:pPr>
        <w:pStyle w:val="NoSpacing"/>
      </w:pPr>
      <w:r w:rsidRPr="00391FBA">
        <w:t>Considered cumulatively, Plaintiff's evidence shows a discretionary process, a small leadership pool with limited Hispanic and non-LDS representation, sharp evaluator disparities, and Plaintiff's perception that Hispanic firefighters received less recognition. That evidence is sufficient to require careful review, but it remains insufficient to permit a reasonable jury to find that Defendant's score-based explanation was false or that the June 2022 decision was motivated by race or religion.</w:t>
      </w:r>
    </w:p>
    <w:p w14:paraId="5333A016" w14:textId="77777777" w:rsidR="00B85F14" w:rsidRDefault="00B85F14" w:rsidP="00B85F14">
      <w:pPr>
        <w:pStyle w:val="NoSpacing"/>
      </w:pPr>
    </w:p>
    <w:p w14:paraId="7E9156FC" w14:textId="77777777" w:rsidR="00B85F14" w:rsidRPr="00AF0956" w:rsidRDefault="00B85F14" w:rsidP="00B85F14">
      <w:pPr>
        <w:pStyle w:val="NoSpacing"/>
        <w:rPr>
          <w:b/>
          <w:bCs/>
        </w:rPr>
      </w:pPr>
      <w:r>
        <w:rPr>
          <w:b/>
        </w:rPr>
        <w:t xml:space="preserve">Legal lesson learned: Assessment Centers are an excellent tool in the promotion process. </w:t>
      </w:r>
    </w:p>
    <w:p w14:paraId="00016549" w14:textId="77777777" w:rsidR="00B85F14" w:rsidRDefault="00B85F14" w:rsidP="00BC70A3">
      <w:pPr>
        <w:rPr>
          <w:rFonts w:ascii="Arial Black" w:hAnsi="Arial Black"/>
          <w:b/>
          <w:sz w:val="24"/>
          <w:szCs w:val="24"/>
        </w:rPr>
      </w:pPr>
    </w:p>
    <w:p w14:paraId="59BE3FA3" w14:textId="77777777" w:rsidR="00B85F14" w:rsidRDefault="00B85F14" w:rsidP="00BC70A3">
      <w:pPr>
        <w:rPr>
          <w:rFonts w:ascii="Arial Black" w:hAnsi="Arial Black"/>
          <w:b/>
          <w:sz w:val="24"/>
          <w:szCs w:val="24"/>
        </w:rPr>
      </w:pPr>
    </w:p>
    <w:p w14:paraId="6B009886" w14:textId="77777777" w:rsidR="00B85F14" w:rsidRDefault="00B85F14" w:rsidP="00BC70A3">
      <w:pPr>
        <w:rPr>
          <w:rFonts w:ascii="Arial Black" w:hAnsi="Arial Black"/>
          <w:b/>
          <w:sz w:val="24"/>
          <w:szCs w:val="24"/>
        </w:rPr>
      </w:pPr>
    </w:p>
    <w:p w14:paraId="67163217" w14:textId="058E571E" w:rsidR="006323EA" w:rsidRDefault="006B7C41" w:rsidP="00BC70A3">
      <w:pPr>
        <w:rPr>
          <w:rFonts w:ascii="Arial Black" w:hAnsi="Arial Black"/>
          <w:b/>
          <w:sz w:val="24"/>
          <w:szCs w:val="24"/>
        </w:rPr>
      </w:pPr>
      <w:r>
        <w:rPr>
          <w:rFonts w:ascii="Arial Black" w:hAnsi="Arial Black"/>
          <w:b/>
          <w:sz w:val="24"/>
          <w:szCs w:val="24"/>
        </w:rPr>
        <w:t>8-9</w:t>
      </w:r>
      <w:r w:rsidR="00BA1360">
        <w:rPr>
          <w:rFonts w:ascii="Arial Black" w:hAnsi="Arial Black"/>
          <w:b/>
          <w:sz w:val="24"/>
          <w:szCs w:val="24"/>
        </w:rPr>
        <w:t>5</w:t>
      </w:r>
    </w:p>
    <w:p w14:paraId="18269774" w14:textId="77777777" w:rsidR="009F0FF3" w:rsidRPr="00AB57EE" w:rsidRDefault="009F0FF3" w:rsidP="009F0FF3">
      <w:pPr>
        <w:rPr>
          <w:rFonts w:ascii="Arial Black" w:hAnsi="Arial Black"/>
          <w:b/>
          <w:bCs/>
          <w:sz w:val="28"/>
          <w:szCs w:val="28"/>
        </w:rPr>
      </w:pPr>
      <w:r>
        <w:rPr>
          <w:rFonts w:ascii="Arial Black" w:hAnsi="Arial Black"/>
          <w:b/>
          <w:sz w:val="28"/>
          <w:szCs w:val="28"/>
        </w:rPr>
        <w:t xml:space="preserve">IL: BLACK – FIRED – DROP STATE CASE / CAN PROCEED FED  </w:t>
      </w:r>
    </w:p>
    <w:p w14:paraId="1B8D0C91" w14:textId="77777777" w:rsidR="009F0FF3" w:rsidRDefault="009F0FF3" w:rsidP="009F0FF3">
      <w:pPr>
        <w:rPr>
          <w:b/>
          <w:bCs/>
        </w:rPr>
      </w:pPr>
      <w:r>
        <w:t xml:space="preserve">On June 8, 2026, in </w:t>
      </w:r>
      <w:proofErr w:type="spellStart"/>
      <w:r w:rsidRPr="00D53D61">
        <w:rPr>
          <w:u w:val="single"/>
        </w:rPr>
        <w:t>Vairrun</w:t>
      </w:r>
      <w:proofErr w:type="spellEnd"/>
      <w:r w:rsidRPr="00D53D61">
        <w:rPr>
          <w:u w:val="single"/>
        </w:rPr>
        <w:t xml:space="preserve"> Strickland v</w:t>
      </w:r>
      <w:r>
        <w:rPr>
          <w:u w:val="single"/>
        </w:rPr>
        <w:t>.</w:t>
      </w:r>
      <w:r w:rsidRPr="00D53D61">
        <w:rPr>
          <w:u w:val="single"/>
        </w:rPr>
        <w:t xml:space="preserve"> City of Markham, et al</w:t>
      </w:r>
      <w:r>
        <w:t xml:space="preserve">., the United States Court of Appeals for the Seventh District (Chicago) held (3 to 0) that trial court improperly dismissed his federal Title VII case alleging retaliation - </w:t>
      </w:r>
      <w:r w:rsidRPr="00036255">
        <w:t>singling him out for minor disciplinary issues and denying</w:t>
      </w:r>
      <w:r>
        <w:t xml:space="preserve"> </w:t>
      </w:r>
      <w:r w:rsidRPr="00036255">
        <w:t>him a promotion</w:t>
      </w:r>
      <w:r>
        <w:t xml:space="preserve"> when he supported another FF’s EEOC case. Case to continue in federal court even though voluntarily dismissed his lawsuit in state court. The Court wrote: “</w:t>
      </w:r>
      <w:r w:rsidRPr="009B102D">
        <w:t>The district</w:t>
      </w:r>
      <w:r>
        <w:t xml:space="preserve"> </w:t>
      </w:r>
      <w:r w:rsidRPr="009B102D">
        <w:t>court thus erred in dismissing Strickland’s Title VII claims on</w:t>
      </w:r>
      <w:r>
        <w:t xml:space="preserve"> </w:t>
      </w:r>
      <w:r w:rsidRPr="009B102D">
        <w:t>claim preclusion grounds</w:t>
      </w:r>
      <w:r>
        <w:t xml:space="preserve">.” </w:t>
      </w:r>
      <w:hyperlink r:id="rId1529" w:history="1">
        <w:r w:rsidRPr="00014504">
          <w:rPr>
            <w:rStyle w:val="Hyperlink"/>
            <w:b/>
          </w:rPr>
          <w:t>https://cases.justia.com/federal/appellate-courts/ca7/24-3262/24-3262-2026-06-08.pdf?ts=1780948846</w:t>
        </w:r>
      </w:hyperlink>
      <w:r>
        <w:rPr>
          <w:b/>
        </w:rPr>
        <w:t xml:space="preserve"> </w:t>
      </w:r>
    </w:p>
    <w:p w14:paraId="0D27DED6" w14:textId="77777777" w:rsidR="009F0FF3" w:rsidRDefault="009F0FF3" w:rsidP="009F0FF3">
      <w:pPr>
        <w:pStyle w:val="NoSpacing"/>
        <w:rPr>
          <w:bCs/>
        </w:rPr>
      </w:pPr>
      <w:r w:rsidRPr="00AB37D4">
        <w:rPr>
          <w:b/>
        </w:rPr>
        <w:t>FACTS:</w:t>
      </w:r>
      <w:r>
        <w:t xml:space="preserve"> </w:t>
      </w:r>
    </w:p>
    <w:p w14:paraId="4D9C6825" w14:textId="77777777" w:rsidR="009F0FF3" w:rsidRDefault="009F0FF3" w:rsidP="009F0FF3">
      <w:pPr>
        <w:pStyle w:val="NoSpacing"/>
        <w:rPr>
          <w:bCs/>
        </w:rPr>
      </w:pPr>
    </w:p>
    <w:p w14:paraId="04543A52" w14:textId="77777777" w:rsidR="009F0FF3" w:rsidRPr="00B74B2A" w:rsidRDefault="009F0FF3" w:rsidP="009F0FF3">
      <w:pPr>
        <w:pStyle w:val="NoSpacing"/>
        <w:rPr>
          <w:bCs/>
        </w:rPr>
      </w:pPr>
      <w:r>
        <w:t>“</w:t>
      </w:r>
      <w:r w:rsidRPr="00131A6D">
        <w:t>Strickland worked as a firefighter for the City of Markham</w:t>
      </w:r>
      <w:r>
        <w:t xml:space="preserve"> </w:t>
      </w:r>
      <w:r w:rsidRPr="00131A6D">
        <w:t>Fire Department for over a decade. In 2020, the Equal</w:t>
      </w:r>
      <w:r>
        <w:t xml:space="preserve"> </w:t>
      </w:r>
      <w:r w:rsidRPr="00036255">
        <w:t>Employment Opportunity Commission interviewed</w:t>
      </w:r>
      <w:r>
        <w:t xml:space="preserve"> </w:t>
      </w:r>
      <w:r w:rsidRPr="00036255">
        <w:t>Strickland during an investigation into discrimination claims</w:t>
      </w:r>
      <w:r>
        <w:t xml:space="preserve"> </w:t>
      </w:r>
      <w:r w:rsidRPr="00036255">
        <w:t>brought by a former firefighter. In the interview, Strickland</w:t>
      </w:r>
      <w:r>
        <w:t xml:space="preserve"> </w:t>
      </w:r>
      <w:r w:rsidRPr="00036255">
        <w:t>described race-based discrimination he had witnessed against</w:t>
      </w:r>
      <w:r>
        <w:t xml:space="preserve"> </w:t>
      </w:r>
      <w:r w:rsidRPr="00036255">
        <w:t>the former firefighter and how Chief Mazziotta had failed to</w:t>
      </w:r>
      <w:r>
        <w:t xml:space="preserve"> </w:t>
      </w:r>
      <w:r w:rsidRPr="00036255">
        <w:t>address it. Strickland alleged that after the interview, Chief</w:t>
      </w:r>
      <w:r>
        <w:t xml:space="preserve"> </w:t>
      </w:r>
      <w:r w:rsidRPr="00036255">
        <w:t>Mazziotta and the Department retaliated against him by</w:t>
      </w:r>
      <w:r>
        <w:t xml:space="preserve"> </w:t>
      </w:r>
      <w:proofErr w:type="gramStart"/>
      <w:r w:rsidRPr="00036255">
        <w:t>singling</w:t>
      </w:r>
      <w:proofErr w:type="gramEnd"/>
      <w:r w:rsidRPr="00036255">
        <w:t xml:space="preserve"> him out for minor disciplinary issues and denying</w:t>
      </w:r>
      <w:r>
        <w:t xml:space="preserve"> </w:t>
      </w:r>
      <w:r w:rsidRPr="00036255">
        <w:t>him a promotion.</w:t>
      </w:r>
      <w:r>
        <w:t xml:space="preserve"> </w:t>
      </w:r>
      <w:r w:rsidRPr="00036255">
        <w:t>In January 2021, the Department brought administrative</w:t>
      </w:r>
      <w:r>
        <w:t xml:space="preserve"> </w:t>
      </w:r>
      <w:r w:rsidRPr="00036255">
        <w:t>charges against Strickland. After hearings on the charges, the</w:t>
      </w:r>
      <w:r>
        <w:t xml:space="preserve"> </w:t>
      </w:r>
      <w:r w:rsidRPr="00036255">
        <w:t>Board of Fire and Police Commissioners terminated his</w:t>
      </w:r>
      <w:r>
        <w:t xml:space="preserve"> </w:t>
      </w:r>
      <w:r w:rsidRPr="00036255">
        <w:t>employment in April 2021, finding that Strickland had lied to</w:t>
      </w:r>
      <w:r>
        <w:t xml:space="preserve"> </w:t>
      </w:r>
      <w:r w:rsidRPr="00036255">
        <w:t>detectives during an arson investigation and had put</w:t>
      </w:r>
      <w:r>
        <w:t xml:space="preserve"> </w:t>
      </w:r>
      <w:r w:rsidRPr="00036255">
        <w:t>Department employees at risk by coming to work while</w:t>
      </w:r>
      <w:r>
        <w:t xml:space="preserve"> </w:t>
      </w:r>
      <w:r w:rsidRPr="00036255">
        <w:t>infected with COVID-19.</w:t>
      </w:r>
      <w:r>
        <w:t xml:space="preserve">  </w:t>
      </w:r>
      <w:r w:rsidRPr="00B74B2A">
        <w:t>The next month, Strickland filed a lawsuit in state court</w:t>
      </w:r>
    </w:p>
    <w:p w14:paraId="2E4E1E54" w14:textId="77777777" w:rsidR="009F0FF3" w:rsidRDefault="009F0FF3" w:rsidP="009F0FF3">
      <w:pPr>
        <w:pStyle w:val="NoSpacing"/>
        <w:rPr>
          <w:bCs/>
        </w:rPr>
      </w:pPr>
      <w:r w:rsidRPr="00B74B2A">
        <w:t xml:space="preserve">challenging the Board’s decision. The court </w:t>
      </w:r>
      <w:proofErr w:type="gramStart"/>
      <w:r w:rsidRPr="00B74B2A">
        <w:t>remanded</w:t>
      </w:r>
      <w:proofErr w:type="gramEnd"/>
      <w:r w:rsidRPr="00B74B2A">
        <w:t xml:space="preserve"> while</w:t>
      </w:r>
      <w:r>
        <w:t xml:space="preserve"> </w:t>
      </w:r>
      <w:r w:rsidRPr="00B74B2A">
        <w:t>retaining jurisdiction over the case and instructed the Board</w:t>
      </w:r>
      <w:r>
        <w:t xml:space="preserve"> </w:t>
      </w:r>
      <w:r w:rsidRPr="00B74B2A">
        <w:t>to enter an amended decision with additional information.</w:t>
      </w:r>
      <w:r>
        <w:t xml:space="preserve"> </w:t>
      </w:r>
      <w:r w:rsidRPr="00B74B2A">
        <w:t>The Board did so and again discharged Strickland. After the</w:t>
      </w:r>
      <w:r>
        <w:t xml:space="preserve"> </w:t>
      </w:r>
      <w:r w:rsidRPr="00B74B2A">
        <w:t>Board issued its amended decision in April 2022, Strickland</w:t>
      </w:r>
      <w:r>
        <w:t xml:space="preserve"> </w:t>
      </w:r>
      <w:r w:rsidRPr="00B74B2A">
        <w:t>voluntarily dismissed his state-court lawsuit. He did not</w:t>
      </w:r>
      <w:r>
        <w:t xml:space="preserve"> </w:t>
      </w:r>
      <w:r w:rsidRPr="00B74B2A">
        <w:t>otherwise seek direct review of the amended decision in state</w:t>
      </w:r>
      <w:r>
        <w:t xml:space="preserve"> </w:t>
      </w:r>
      <w:r w:rsidRPr="00B74B2A">
        <w:t>court.</w:t>
      </w:r>
      <w:r>
        <w:t>”</w:t>
      </w:r>
    </w:p>
    <w:p w14:paraId="05EE3B62" w14:textId="77777777" w:rsidR="009F0FF3" w:rsidRDefault="009F0FF3" w:rsidP="009F0FF3">
      <w:pPr>
        <w:pStyle w:val="NoSpacing"/>
        <w:rPr>
          <w:bCs/>
        </w:rPr>
      </w:pPr>
    </w:p>
    <w:p w14:paraId="1F68E14A" w14:textId="77777777" w:rsidR="009F0FF3" w:rsidRDefault="009F0FF3" w:rsidP="009F0FF3">
      <w:pPr>
        <w:pStyle w:val="NoSpacing"/>
        <w:rPr>
          <w:bCs/>
        </w:rPr>
      </w:pPr>
      <w:r w:rsidRPr="00AB37D4">
        <w:rPr>
          <w:b/>
        </w:rPr>
        <w:t>COURT HELD:</w:t>
      </w:r>
      <w:r>
        <w:t xml:space="preserve"> </w:t>
      </w:r>
    </w:p>
    <w:p w14:paraId="1597A0B0" w14:textId="77777777" w:rsidR="009F0FF3" w:rsidRDefault="009F0FF3" w:rsidP="009F0FF3">
      <w:pPr>
        <w:pStyle w:val="NoSpacing"/>
        <w:rPr>
          <w:bCs/>
        </w:rPr>
      </w:pPr>
    </w:p>
    <w:p w14:paraId="74FC3A61" w14:textId="77777777" w:rsidR="009F0FF3" w:rsidRDefault="009F0FF3" w:rsidP="009F0FF3">
      <w:pPr>
        <w:pStyle w:val="NoSpacing"/>
        <w:rPr>
          <w:bCs/>
        </w:rPr>
      </w:pPr>
      <w:r>
        <w:t>“</w:t>
      </w:r>
      <w:r w:rsidRPr="000C51C9">
        <w:t>Strickland argues that the court improperly</w:t>
      </w:r>
      <w:r>
        <w:t xml:space="preserve"> </w:t>
      </w:r>
      <w:r w:rsidRPr="000C51C9">
        <w:t>rested the first element on the Board’s decision and resolved</w:t>
      </w:r>
      <w:r>
        <w:t xml:space="preserve"> </w:t>
      </w:r>
      <w:r w:rsidRPr="000C51C9">
        <w:t>the other questions based on the state suit. He maintains that</w:t>
      </w:r>
      <w:r>
        <w:t xml:space="preserve"> </w:t>
      </w:r>
      <w:r w:rsidRPr="000C51C9">
        <w:t>administrative proceedings and state-court judgments should</w:t>
      </w:r>
      <w:r>
        <w:t xml:space="preserve"> </w:t>
      </w:r>
      <w:r w:rsidRPr="000C51C9">
        <w:t>be evaluated differently for purposes of claim preclusion.</w:t>
      </w:r>
      <w:r>
        <w:t xml:space="preserve"> </w:t>
      </w:r>
      <w:r w:rsidRPr="000C51C9">
        <w:t>Strickland is partially correct that the administrative</w:t>
      </w:r>
      <w:r>
        <w:t xml:space="preserve"> </w:t>
      </w:r>
      <w:r w:rsidRPr="000C51C9">
        <w:t>proceedings and state litigation cannot be treated as</w:t>
      </w:r>
      <w:r>
        <w:t xml:space="preserve"> </w:t>
      </w:r>
      <w:r w:rsidRPr="000C51C9">
        <w:t>equivalents. The Supreme Court’s decisions on the federal</w:t>
      </w:r>
      <w:r>
        <w:t xml:space="preserve"> </w:t>
      </w:r>
      <w:r w:rsidRPr="000C51C9">
        <w:t>law of preclusion distinguish between state-court judgments</w:t>
      </w:r>
      <w:r>
        <w:t xml:space="preserve"> </w:t>
      </w:r>
      <w:r w:rsidRPr="000C51C9">
        <w:t>and administrative decisions, particularly as applied to Title</w:t>
      </w:r>
      <w:r>
        <w:t xml:space="preserve"> </w:t>
      </w:r>
      <w:r w:rsidRPr="000C51C9">
        <w:t>VII claims</w:t>
      </w:r>
      <w:r>
        <w:t xml:space="preserve">…. </w:t>
      </w:r>
      <w:r w:rsidRPr="009B102D">
        <w:t>The district</w:t>
      </w:r>
      <w:r>
        <w:t xml:space="preserve"> </w:t>
      </w:r>
      <w:r w:rsidRPr="009B102D">
        <w:t>court thus erred in dismissing Strickland’s Title VII claims on</w:t>
      </w:r>
      <w:r>
        <w:t xml:space="preserve"> </w:t>
      </w:r>
      <w:r w:rsidRPr="009B102D">
        <w:t>claim preclusion grounds.</w:t>
      </w:r>
      <w:r>
        <w:t>”</w:t>
      </w:r>
    </w:p>
    <w:p w14:paraId="0B588F28" w14:textId="77777777" w:rsidR="009F0FF3" w:rsidRDefault="009F0FF3" w:rsidP="009F0FF3">
      <w:pPr>
        <w:pStyle w:val="NoSpacing"/>
        <w:rPr>
          <w:bCs/>
        </w:rPr>
      </w:pPr>
    </w:p>
    <w:p w14:paraId="5F78A501" w14:textId="77777777" w:rsidR="009F0FF3" w:rsidRPr="00FD2071" w:rsidRDefault="009F0FF3" w:rsidP="009F0FF3">
      <w:pPr>
        <w:pStyle w:val="NoSpacing"/>
        <w:rPr>
          <w:b/>
        </w:rPr>
      </w:pPr>
      <w:r>
        <w:rPr>
          <w:b/>
        </w:rPr>
        <w:t xml:space="preserve">Legal lesson learned: Title VII claims may proceed in federal court, even if firefighter voluntarily dropped his state court case. </w:t>
      </w:r>
    </w:p>
    <w:p w14:paraId="325F0F66" w14:textId="77777777" w:rsidR="009F0FF3" w:rsidRDefault="009F0FF3" w:rsidP="009F0FF3">
      <w:pPr>
        <w:pStyle w:val="NoSpacing"/>
        <w:rPr>
          <w:bCs/>
        </w:rPr>
      </w:pPr>
    </w:p>
    <w:p w14:paraId="01EF2D04" w14:textId="77777777" w:rsidR="00D46618" w:rsidRDefault="00D46618" w:rsidP="00BC70A3">
      <w:pPr>
        <w:rPr>
          <w:rFonts w:ascii="Arial Black" w:hAnsi="Arial Black"/>
          <w:b/>
          <w:sz w:val="24"/>
          <w:szCs w:val="24"/>
        </w:rPr>
      </w:pPr>
    </w:p>
    <w:p w14:paraId="13F47147" w14:textId="77777777" w:rsidR="00D46618" w:rsidRDefault="00D46618" w:rsidP="00BC70A3">
      <w:pPr>
        <w:rPr>
          <w:rFonts w:ascii="Arial Black" w:hAnsi="Arial Black"/>
          <w:b/>
          <w:sz w:val="24"/>
          <w:szCs w:val="24"/>
        </w:rPr>
      </w:pPr>
    </w:p>
    <w:p w14:paraId="168C3B58" w14:textId="46AE3344" w:rsidR="007265BA" w:rsidRPr="00EB490D" w:rsidRDefault="007265BA" w:rsidP="00BC70A3">
      <w:pPr>
        <w:rPr>
          <w:rFonts w:ascii="Arial Black" w:hAnsi="Arial Black"/>
          <w:b/>
          <w:sz w:val="24"/>
          <w:szCs w:val="24"/>
        </w:rPr>
      </w:pPr>
      <w:r>
        <w:rPr>
          <w:rFonts w:ascii="Arial Black" w:hAnsi="Arial Black"/>
          <w:b/>
          <w:sz w:val="24"/>
          <w:szCs w:val="24"/>
        </w:rPr>
        <w:t>8-9</w:t>
      </w:r>
      <w:r w:rsidR="00BA1360">
        <w:rPr>
          <w:rFonts w:ascii="Arial Black" w:hAnsi="Arial Black"/>
          <w:b/>
          <w:sz w:val="24"/>
          <w:szCs w:val="24"/>
        </w:rPr>
        <w:t>4</w:t>
      </w:r>
      <w:r>
        <w:rPr>
          <w:rFonts w:ascii="Arial Black" w:hAnsi="Arial Black"/>
          <w:b/>
          <w:sz w:val="24"/>
          <w:szCs w:val="24"/>
        </w:rPr>
        <w:t xml:space="preserve"> </w:t>
      </w:r>
      <w:r w:rsidRPr="00EB490D">
        <w:rPr>
          <w:rFonts w:ascii="Arial Black" w:hAnsi="Arial Black"/>
          <w:bCs/>
          <w:sz w:val="24"/>
          <w:szCs w:val="24"/>
        </w:rPr>
        <w:t>[also filed, Chap. 16 – Discipline]</w:t>
      </w:r>
    </w:p>
    <w:p w14:paraId="7D5A8E7C" w14:textId="77777777" w:rsidR="007265BA" w:rsidRPr="00DA19ED" w:rsidRDefault="007265BA" w:rsidP="007265BA">
      <w:pPr>
        <w:rPr>
          <w:rFonts w:ascii="Arial Black" w:hAnsi="Arial Black"/>
          <w:b/>
          <w:sz w:val="28"/>
          <w:szCs w:val="28"/>
        </w:rPr>
      </w:pPr>
      <w:r>
        <w:rPr>
          <w:rFonts w:ascii="Arial Black" w:hAnsi="Arial Black"/>
          <w:b/>
          <w:sz w:val="28"/>
          <w:szCs w:val="28"/>
        </w:rPr>
        <w:t xml:space="preserve">VA: BLACK FF – FIRED – THREATS VIOLENCE IN STATION </w:t>
      </w:r>
    </w:p>
    <w:p w14:paraId="16192602" w14:textId="77777777" w:rsidR="007265BA" w:rsidRDefault="007265BA" w:rsidP="007265BA">
      <w:pPr>
        <w:pStyle w:val="NoSpacing"/>
        <w:rPr>
          <w:b/>
        </w:rPr>
      </w:pPr>
      <w:r>
        <w:t xml:space="preserve">On May 19, 2026, in </w:t>
      </w:r>
      <w:r w:rsidRPr="00AD6041">
        <w:rPr>
          <w:u w:val="single"/>
        </w:rPr>
        <w:t>Brian Younger v. City of Lynchburg</w:t>
      </w:r>
      <w:r>
        <w:t xml:space="preserve">, U.S. District Court Judge Norman K. Moon, United States District Court for the Western District of Virginia, </w:t>
      </w:r>
      <w:r w:rsidRPr="00D12863">
        <w:t>Lynchburg Division</w:t>
      </w:r>
      <w:r>
        <w:t xml:space="preserve">, granted the City’s motion for summary judgment.  The firefighter was fired on June 4, </w:t>
      </w:r>
      <w:proofErr w:type="gramStart"/>
      <w:r>
        <w:t>2024</w:t>
      </w:r>
      <w:proofErr w:type="gramEnd"/>
      <w:r>
        <w:t xml:space="preserve"> after an incident on July 16, </w:t>
      </w:r>
      <w:proofErr w:type="gramStart"/>
      <w:r>
        <w:t>2024</w:t>
      </w:r>
      <w:proofErr w:type="gramEnd"/>
      <w:r>
        <w:t xml:space="preserve"> where he asked a white firefighter. At start of morning shift, to move his personal items to another bunkbed, and Younger became upset it was not done immediately.  THE COURT WROTE:  “Younger complains that he was treated differently from his White co-workers. Younger, however, does not establish sufficient similarity between what he did on July 16, 2022, and what his White co-workers did. Specifically, several fellow firefighters were recorded using racial slurs off-duty and those firefighters were not disciplined by the LFD. In contrast, though, Younger used racialized and threatening language against a co-worker in the fire station.” </w:t>
      </w:r>
      <w:hyperlink r:id="rId1530" w:history="1">
        <w:r w:rsidRPr="00D00712">
          <w:rPr>
            <w:rStyle w:val="Hyperlink"/>
            <w:b/>
          </w:rPr>
          <w:t>https://cases.justia.com/federal/district-courts/virginia/vawdce/6:2024cv00051/132979/41/0.pdf?ts=1779390167</w:t>
        </w:r>
      </w:hyperlink>
      <w:r>
        <w:rPr>
          <w:b/>
        </w:rPr>
        <w:t xml:space="preserve"> </w:t>
      </w:r>
    </w:p>
    <w:p w14:paraId="5DD3D10C" w14:textId="77777777" w:rsidR="007265BA" w:rsidRDefault="007265BA" w:rsidP="007265BA">
      <w:pPr>
        <w:pStyle w:val="NoSpacing"/>
        <w:rPr>
          <w:bCs/>
        </w:rPr>
      </w:pPr>
    </w:p>
    <w:p w14:paraId="2207ADA6" w14:textId="77777777" w:rsidR="007265BA" w:rsidRDefault="007265BA" w:rsidP="007265BA">
      <w:pPr>
        <w:pStyle w:val="NoSpacing"/>
        <w:rPr>
          <w:bCs/>
        </w:rPr>
      </w:pPr>
      <w:r>
        <w:t>THE COURT HELD:</w:t>
      </w:r>
    </w:p>
    <w:p w14:paraId="1B9D8F8D" w14:textId="77777777" w:rsidR="007265BA" w:rsidRDefault="007265BA" w:rsidP="007265BA">
      <w:pPr>
        <w:pStyle w:val="NoSpacing"/>
        <w:rPr>
          <w:bCs/>
        </w:rPr>
      </w:pPr>
    </w:p>
    <w:p w14:paraId="0698CA53" w14:textId="77777777" w:rsidR="007265BA" w:rsidRDefault="007265BA" w:rsidP="007265BA">
      <w:pPr>
        <w:pStyle w:val="NoSpacing"/>
        <w:ind w:left="720"/>
      </w:pPr>
      <w:r>
        <w:t xml:space="preserve">“The </w:t>
      </w:r>
      <w:proofErr w:type="gramStart"/>
      <w:r>
        <w:t>City</w:t>
      </w:r>
      <w:proofErr w:type="gramEnd"/>
      <w:r>
        <w:t xml:space="preserve"> claims it terminated Younger because of events that occurred on the morning of July 16, 2022. During the early morning shift change at LFD Station 5, Younger entered the station bedroom to place his belongings on a bunkbed. However, upon his arrival, he discovered that Firefighter Brennen Lawson, who had worked the previous shift, had already placed his items on the bed Younger intended to use….Younger found Lawson and asked him to move his belongings…. Lawson agreed but did not move his</w:t>
      </w:r>
    </w:p>
    <w:p w14:paraId="2E968B2D" w14:textId="77777777" w:rsidR="007265BA" w:rsidRDefault="007265BA" w:rsidP="007265BA">
      <w:pPr>
        <w:pStyle w:val="NoSpacing"/>
        <w:ind w:firstLine="720"/>
      </w:pPr>
      <w:r>
        <w:t xml:space="preserve">belongings as promptly as Younger expected. </w:t>
      </w:r>
    </w:p>
    <w:p w14:paraId="6065F997" w14:textId="77777777" w:rsidR="007265BA" w:rsidRDefault="007265BA" w:rsidP="007265BA">
      <w:pPr>
        <w:pStyle w:val="NoSpacing"/>
      </w:pPr>
    </w:p>
    <w:p w14:paraId="4324F131" w14:textId="77777777" w:rsidR="007265BA" w:rsidRDefault="007265BA" w:rsidP="007265BA">
      <w:pPr>
        <w:pStyle w:val="NoSpacing"/>
        <w:ind w:firstLine="720"/>
      </w:pPr>
      <w:r>
        <w:t>Although accounts differ as to whether either party made threatening movements towards</w:t>
      </w:r>
    </w:p>
    <w:p w14:paraId="7B45CEBF" w14:textId="77777777" w:rsidR="007265BA" w:rsidRDefault="007265BA" w:rsidP="007265BA">
      <w:pPr>
        <w:pStyle w:val="NoSpacing"/>
        <w:ind w:left="720"/>
      </w:pPr>
      <w:r>
        <w:t>the other during the exchange, neither party disputes that Younger made several comments directed at Lawson, who is a White male, including that: (</w:t>
      </w:r>
      <w:proofErr w:type="spellStart"/>
      <w:r>
        <w:t>i</w:t>
      </w:r>
      <w:proofErr w:type="spellEnd"/>
      <w:r>
        <w:t xml:space="preserve">) Lawson was ‘a racist scumbag that couldn’t keep his wife happy’; (ii) that Lawson had ‘pushed’ his wife ‘right into the embrace of another Black man’; (iii) that his wife was ‘in California’ ‘loving that black dick she was taking out West’; (iv) that Younger did not know why ‘y’all racists keep dating and marrying women who aren’t racists’; (v) that if Lawson came towards him he would ‘fuck you all up out here’; and (iv) that Lawson better ‘stay away from [Younger] or else.’” </w:t>
      </w:r>
    </w:p>
    <w:p w14:paraId="40196F72" w14:textId="77777777" w:rsidR="007265BA" w:rsidRDefault="007265BA" w:rsidP="007265BA">
      <w:pPr>
        <w:pStyle w:val="NoSpacing"/>
        <w:ind w:left="720"/>
      </w:pPr>
    </w:p>
    <w:p w14:paraId="2AD53E35" w14:textId="77777777" w:rsidR="007265BA" w:rsidRDefault="007265BA" w:rsidP="007265BA">
      <w:pPr>
        <w:pStyle w:val="NoSpacing"/>
        <w:rPr>
          <w:b/>
        </w:rPr>
      </w:pPr>
      <w:r>
        <w:rPr>
          <w:b/>
        </w:rPr>
        <w:t xml:space="preserve">Legal lesson learned: Threats of violence cannot be tolerated, without regard to the race of the offender.  </w:t>
      </w:r>
    </w:p>
    <w:p w14:paraId="25F2A4A7" w14:textId="77777777" w:rsidR="00EC3DBD" w:rsidRDefault="00EC3DBD" w:rsidP="007265BA">
      <w:pPr>
        <w:pStyle w:val="NoSpacing"/>
        <w:rPr>
          <w:b/>
        </w:rPr>
      </w:pPr>
    </w:p>
    <w:p w14:paraId="3EE46845" w14:textId="77777777" w:rsidR="00BA1360" w:rsidRDefault="00BA1360" w:rsidP="00EC3DBD">
      <w:pPr>
        <w:pStyle w:val="NoSpacing"/>
        <w:rPr>
          <w:rFonts w:ascii="Arial Black" w:hAnsi="Arial Black"/>
          <w:b/>
          <w:sz w:val="28"/>
          <w:szCs w:val="28"/>
        </w:rPr>
      </w:pPr>
    </w:p>
    <w:p w14:paraId="0023E3DC" w14:textId="5E4E4A27" w:rsidR="00BA1360" w:rsidRDefault="00BA1360" w:rsidP="00BA1360">
      <w:pPr>
        <w:rPr>
          <w:rFonts w:ascii="Arial Black" w:hAnsi="Arial Black"/>
          <w:sz w:val="28"/>
          <w:szCs w:val="28"/>
        </w:rPr>
      </w:pPr>
      <w:r>
        <w:rPr>
          <w:rFonts w:ascii="Arial Black" w:hAnsi="Arial Black"/>
          <w:b/>
          <w:sz w:val="24"/>
          <w:szCs w:val="24"/>
        </w:rPr>
        <w:t>8-</w:t>
      </w:r>
      <w:r>
        <w:rPr>
          <w:rFonts w:ascii="Arial Black" w:hAnsi="Arial Black"/>
          <w:b/>
          <w:sz w:val="24"/>
          <w:szCs w:val="24"/>
        </w:rPr>
        <w:t>93</w:t>
      </w:r>
    </w:p>
    <w:p w14:paraId="4177DE1E" w14:textId="77777777" w:rsidR="00BA1360" w:rsidRDefault="00BA1360" w:rsidP="00EC3DBD">
      <w:pPr>
        <w:pStyle w:val="NoSpacing"/>
        <w:rPr>
          <w:rFonts w:ascii="Arial Black" w:hAnsi="Arial Black"/>
          <w:b/>
          <w:sz w:val="28"/>
          <w:szCs w:val="28"/>
        </w:rPr>
      </w:pPr>
    </w:p>
    <w:p w14:paraId="0DD6AFD3" w14:textId="77777777" w:rsidR="00BA1360" w:rsidRDefault="00BA1360" w:rsidP="00EC3DBD">
      <w:pPr>
        <w:pStyle w:val="NoSpacing"/>
        <w:rPr>
          <w:rFonts w:ascii="Arial Black" w:hAnsi="Arial Black"/>
          <w:b/>
          <w:sz w:val="28"/>
          <w:szCs w:val="28"/>
        </w:rPr>
      </w:pPr>
    </w:p>
    <w:p w14:paraId="4DB831D8" w14:textId="607335D0" w:rsidR="00EC3DBD" w:rsidRPr="00C958FE" w:rsidRDefault="00EC3DBD" w:rsidP="00EC3DBD">
      <w:pPr>
        <w:pStyle w:val="NoSpacing"/>
        <w:rPr>
          <w:rFonts w:ascii="Arial Black" w:hAnsi="Arial Black"/>
          <w:b/>
          <w:sz w:val="28"/>
          <w:szCs w:val="28"/>
        </w:rPr>
      </w:pPr>
      <w:r>
        <w:rPr>
          <w:rFonts w:ascii="Arial Black" w:hAnsi="Arial Black"/>
          <w:b/>
          <w:sz w:val="28"/>
          <w:szCs w:val="28"/>
        </w:rPr>
        <w:t xml:space="preserve">MD: BLACK – LATE FOR WORK / RACIAL TEXTS – NO CASE </w:t>
      </w:r>
    </w:p>
    <w:p w14:paraId="2E5D1A37" w14:textId="77777777" w:rsidR="00EC3DBD" w:rsidRDefault="00EC3DBD" w:rsidP="00EC3DBD">
      <w:pPr>
        <w:pStyle w:val="NoSpacing"/>
        <w:rPr>
          <w:b/>
        </w:rPr>
      </w:pPr>
    </w:p>
    <w:p w14:paraId="44C3754A" w14:textId="77777777" w:rsidR="00EC3DBD" w:rsidRPr="0018661C" w:rsidRDefault="00EC3DBD" w:rsidP="00EC3DBD">
      <w:pPr>
        <w:pStyle w:val="NoSpacing"/>
        <w:rPr>
          <w:bCs/>
        </w:rPr>
      </w:pPr>
      <w:r w:rsidRPr="0018661C">
        <w:t xml:space="preserve">On June 24, 2026, in </w:t>
      </w:r>
      <w:r w:rsidRPr="0018661C">
        <w:rPr>
          <w:u w:val="single"/>
        </w:rPr>
        <w:t>Mitchell Waters v. The Mayor and City Council of Baltimore</w:t>
      </w:r>
      <w:r w:rsidRPr="0018661C">
        <w:t xml:space="preserve">, </w:t>
      </w:r>
      <w:r>
        <w:t xml:space="preserve">the United States Court of Appeal for Fourth Circuit (Baltimore) held (3 to 0; unpublished decision) that trial court properly granted summary judgment to the City. The </w:t>
      </w:r>
      <w:proofErr w:type="gramStart"/>
      <w:r>
        <w:t>City</w:t>
      </w:r>
      <w:proofErr w:type="gramEnd"/>
      <w:r>
        <w:t xml:space="preserve"> adequately investigated anonymous racial messages and found no proof they were sent by fellow firefighters. The Court wrote: “The text messages were sent anonymously, and BCFD did undertake an investigation to attempt to identify the sender. Therefore, the district court did not err in granting judgment on the hostile work environment claim.” </w:t>
      </w:r>
      <w:hyperlink r:id="rId1531" w:history="1">
        <w:r w:rsidRPr="00014504">
          <w:rPr>
            <w:rStyle w:val="Hyperlink"/>
          </w:rPr>
          <w:t>https://cases.justia.com/federal/appellate-courts/ca4/25-1440/25-1440-2026-06-24.pdf?ts=1782325881</w:t>
        </w:r>
      </w:hyperlink>
      <w:r>
        <w:t xml:space="preserve"> </w:t>
      </w:r>
    </w:p>
    <w:p w14:paraId="19777266" w14:textId="77777777" w:rsidR="00EC3DBD" w:rsidRPr="0018661C" w:rsidRDefault="00EC3DBD" w:rsidP="00EC3DBD">
      <w:pPr>
        <w:pStyle w:val="NoSpacing"/>
        <w:rPr>
          <w:bCs/>
        </w:rPr>
      </w:pPr>
    </w:p>
    <w:p w14:paraId="166C76B8" w14:textId="77777777" w:rsidR="00EC3DBD" w:rsidRDefault="00EC3DBD" w:rsidP="00EC3DBD">
      <w:pPr>
        <w:pStyle w:val="NoSpacing"/>
        <w:rPr>
          <w:b/>
        </w:rPr>
      </w:pPr>
    </w:p>
    <w:p w14:paraId="5A132524" w14:textId="77777777" w:rsidR="00EC3DBD" w:rsidRDefault="00EC3DBD" w:rsidP="00EC3DBD">
      <w:pPr>
        <w:pStyle w:val="NoSpacing"/>
        <w:rPr>
          <w:b/>
        </w:rPr>
      </w:pPr>
      <w:r w:rsidRPr="00AF250A">
        <w:rPr>
          <w:b/>
        </w:rPr>
        <w:t>FACTS:</w:t>
      </w:r>
    </w:p>
    <w:p w14:paraId="2B84CE0A" w14:textId="77777777" w:rsidR="00EC3DBD" w:rsidRDefault="00EC3DBD" w:rsidP="00EC3DBD">
      <w:pPr>
        <w:pStyle w:val="NoSpacing"/>
        <w:rPr>
          <w:b/>
        </w:rPr>
      </w:pPr>
    </w:p>
    <w:p w14:paraId="20E1280E" w14:textId="77777777" w:rsidR="00EC3DBD" w:rsidRPr="00AF250A" w:rsidRDefault="00EC3DBD" w:rsidP="00EC3DBD">
      <w:pPr>
        <w:pStyle w:val="NoSpacing"/>
      </w:pPr>
      <w:r>
        <w:t>“</w:t>
      </w:r>
      <w:r w:rsidRPr="00AF250A">
        <w:t>Waters is a Black man employed by the Baltimore City Fire Department (BCFD).</w:t>
      </w:r>
    </w:p>
    <w:p w14:paraId="78CA736E" w14:textId="77777777" w:rsidR="00EC3DBD" w:rsidRPr="00AF250A" w:rsidRDefault="00EC3DBD" w:rsidP="00EC3DBD">
      <w:pPr>
        <w:pStyle w:val="NoSpacing"/>
      </w:pPr>
      <w:r w:rsidRPr="00AF250A">
        <w:t>The thrust of Waters’s complaint is that he was treated less favorably than non-Black peers</w:t>
      </w:r>
    </w:p>
    <w:p w14:paraId="09BB34B5" w14:textId="77777777" w:rsidR="00EC3DBD" w:rsidRDefault="00EC3DBD" w:rsidP="00EC3DBD">
      <w:pPr>
        <w:pStyle w:val="NoSpacing"/>
      </w:pPr>
      <w:r w:rsidRPr="00AF250A">
        <w:t>when he was subject to BCFD’s disciplinary process</w:t>
      </w:r>
      <w:r>
        <w:t>…. Waters lists five examples of disparate treatment concerning himself and a comparator and four additional examples concerning other Black employees and non-Black comparators.</w:t>
      </w:r>
    </w:p>
    <w:p w14:paraId="6DE1AD09" w14:textId="77777777" w:rsidR="00EC3DBD" w:rsidRDefault="00EC3DBD" w:rsidP="00EC3DBD">
      <w:pPr>
        <w:pStyle w:val="NoSpacing"/>
      </w:pPr>
    </w:p>
    <w:p w14:paraId="05B835B3" w14:textId="77777777" w:rsidR="00EC3DBD" w:rsidRDefault="00EC3DBD" w:rsidP="00EC3DBD">
      <w:pPr>
        <w:pStyle w:val="NoSpacing"/>
      </w:pPr>
      <w:r>
        <w:t>***</w:t>
      </w:r>
    </w:p>
    <w:p w14:paraId="06F0B839" w14:textId="77777777" w:rsidR="00EC3DBD" w:rsidRDefault="00EC3DBD" w:rsidP="00EC3DBD">
      <w:pPr>
        <w:pStyle w:val="NoSpacing"/>
      </w:pPr>
    </w:p>
    <w:p w14:paraId="5BD80BEB" w14:textId="77777777" w:rsidR="00EC3DBD" w:rsidRPr="00607F7B" w:rsidRDefault="00EC3DBD" w:rsidP="00EC3DBD">
      <w:pPr>
        <w:pStyle w:val="NoSpacing"/>
      </w:pPr>
      <w:r w:rsidRPr="00607F7B">
        <w:t xml:space="preserve">Waters’s last example concerns </w:t>
      </w:r>
      <w:r>
        <w:t>‘</w:t>
      </w:r>
      <w:r w:rsidRPr="00607F7B">
        <w:t>anonymous, racist, and threatening messages</w:t>
      </w:r>
      <w:r>
        <w:t>’</w:t>
      </w:r>
      <w:r w:rsidRPr="00607F7B">
        <w:t xml:space="preserve"> he</w:t>
      </w:r>
    </w:p>
    <w:p w14:paraId="0A4E0C78" w14:textId="77777777" w:rsidR="00EC3DBD" w:rsidRPr="00607F7B" w:rsidRDefault="00EC3DBD" w:rsidP="00EC3DBD">
      <w:pPr>
        <w:pStyle w:val="NoSpacing"/>
      </w:pPr>
      <w:r w:rsidRPr="00607F7B">
        <w:t xml:space="preserve">received. Opening Br. at 33. Waters claims </w:t>
      </w:r>
      <w:r>
        <w:t>‘</w:t>
      </w:r>
      <w:r w:rsidRPr="00607F7B">
        <w:t>no investigation or intervention was</w:t>
      </w:r>
    </w:p>
    <w:p w14:paraId="6F40FFC1" w14:textId="77777777" w:rsidR="00EC3DBD" w:rsidRPr="00607F7B" w:rsidRDefault="00EC3DBD" w:rsidP="00EC3DBD">
      <w:pPr>
        <w:pStyle w:val="NoSpacing"/>
      </w:pPr>
      <w:r w:rsidRPr="00607F7B">
        <w:t>conducted,</w:t>
      </w:r>
      <w:r>
        <w:t>’</w:t>
      </w:r>
      <w:r w:rsidRPr="00607F7B">
        <w:t xml:space="preserve"> and again points to complaints by Lt. Cole and Lt. DiRusso which he says</w:t>
      </w:r>
    </w:p>
    <w:p w14:paraId="2BA076BE" w14:textId="77777777" w:rsidR="00EC3DBD" w:rsidRPr="00607F7B" w:rsidRDefault="00EC3DBD" w:rsidP="00EC3DBD">
      <w:pPr>
        <w:pStyle w:val="NoSpacing"/>
      </w:pPr>
      <w:r>
        <w:t>‘</w:t>
      </w:r>
      <w:proofErr w:type="gramStart"/>
      <w:r w:rsidRPr="00607F7B">
        <w:t>were</w:t>
      </w:r>
      <w:proofErr w:type="gramEnd"/>
      <w:r w:rsidRPr="00607F7B">
        <w:t xml:space="preserve"> investigated immediately.</w:t>
      </w:r>
      <w:r>
        <w:t>’</w:t>
      </w:r>
      <w:r w:rsidRPr="00607F7B">
        <w:t xml:space="preserve"> Id. Although these anonymous racist messages are</w:t>
      </w:r>
    </w:p>
    <w:p w14:paraId="45F81297" w14:textId="77777777" w:rsidR="00EC3DBD" w:rsidRPr="00607F7B" w:rsidRDefault="00EC3DBD" w:rsidP="00EC3DBD">
      <w:pPr>
        <w:pStyle w:val="NoSpacing"/>
      </w:pPr>
      <w:r w:rsidRPr="00607F7B">
        <w:t>disturbing, the anonymity renders this conduct incomparable to the other complaints.</w:t>
      </w:r>
    </w:p>
    <w:p w14:paraId="58EE1434" w14:textId="77777777" w:rsidR="00EC3DBD" w:rsidRDefault="00EC3DBD" w:rsidP="00EC3DBD">
      <w:pPr>
        <w:pStyle w:val="NoSpacing"/>
      </w:pPr>
      <w:r w:rsidRPr="00607F7B">
        <w:t xml:space="preserve">Waters </w:t>
      </w:r>
      <w:proofErr w:type="gramStart"/>
      <w:r w:rsidRPr="00607F7B">
        <w:t>characterizes</w:t>
      </w:r>
      <w:proofErr w:type="gramEnd"/>
      <w:r w:rsidRPr="00607F7B">
        <w:t xml:space="preserve"> BCFD’s actions in response to the anonymous messages as </w:t>
      </w:r>
      <w:r>
        <w:t>‘</w:t>
      </w:r>
      <w:r w:rsidRPr="00607F7B">
        <w:t>Smoke</w:t>
      </w:r>
      <w:r>
        <w:t xml:space="preserve"> and Mirrors</w:t>
      </w:r>
      <w:proofErr w:type="gramStart"/>
      <w:r>
        <w:t>,’ ‘</w:t>
      </w:r>
      <w:proofErr w:type="gramEnd"/>
      <w:r>
        <w:t>half-hearted,’ and ‘inauthentic.’  Id. at 34. But Waters does not identify</w:t>
      </w:r>
    </w:p>
    <w:p w14:paraId="4089F791" w14:textId="77777777" w:rsidR="00EC3DBD" w:rsidRDefault="00EC3DBD" w:rsidP="00EC3DBD">
      <w:pPr>
        <w:pStyle w:val="NoSpacing"/>
      </w:pPr>
      <w:r>
        <w:t>any other instance where BCFD undertook a more serious or rigorous investigation after a</w:t>
      </w:r>
    </w:p>
    <w:p w14:paraId="07EB4601" w14:textId="77777777" w:rsidR="00EC3DBD" w:rsidRPr="00607F7B" w:rsidRDefault="00EC3DBD" w:rsidP="00EC3DBD">
      <w:pPr>
        <w:pStyle w:val="NoSpacing"/>
      </w:pPr>
      <w:r>
        <w:t>peer was subject to anonymous harassment. We cannot find that BCFD’s prompt investigation of a complaint identifying a specific employee is comparable to its response to a complaint regarding anonymous conduct.”</w:t>
      </w:r>
    </w:p>
    <w:p w14:paraId="67E93D0C" w14:textId="77777777" w:rsidR="00EC3DBD" w:rsidRPr="00607F7B" w:rsidRDefault="00EC3DBD" w:rsidP="00EC3DBD">
      <w:pPr>
        <w:pStyle w:val="NoSpacing"/>
      </w:pPr>
    </w:p>
    <w:p w14:paraId="79D7E766" w14:textId="77777777" w:rsidR="00EC3DBD" w:rsidRPr="00607F7B" w:rsidRDefault="00EC3DBD" w:rsidP="00EC3DBD">
      <w:pPr>
        <w:pStyle w:val="NoSpacing"/>
      </w:pPr>
    </w:p>
    <w:p w14:paraId="6AD51F6D" w14:textId="77777777" w:rsidR="00EC3DBD" w:rsidRPr="00667370" w:rsidRDefault="00EC3DBD" w:rsidP="00EC3DBD">
      <w:pPr>
        <w:pStyle w:val="NoSpacing"/>
        <w:rPr>
          <w:b/>
          <w:bCs/>
        </w:rPr>
      </w:pPr>
      <w:r w:rsidRPr="00667370">
        <w:rPr>
          <w:b/>
        </w:rPr>
        <w:t>COURT HELD:</w:t>
      </w:r>
    </w:p>
    <w:p w14:paraId="0D237DAE" w14:textId="77777777" w:rsidR="00EC3DBD" w:rsidRDefault="00EC3DBD" w:rsidP="00EC3DBD">
      <w:pPr>
        <w:pStyle w:val="NoSpacing"/>
      </w:pPr>
    </w:p>
    <w:p w14:paraId="2599310A" w14:textId="77777777" w:rsidR="00EC3DBD" w:rsidRDefault="00EC3DBD" w:rsidP="00EC3DBD">
      <w:pPr>
        <w:pStyle w:val="NoSpacing"/>
      </w:pPr>
      <w:r>
        <w:t>“Only the anonymous racist text messages Waters received are related to his race, but as the district court correctly noted, Waters was ‘unable to link [the messages] to any of his coworkers,’ J.A. 1257, and he does not establish how the messages are imputable to BCFD. ‘An employer may be held liable for a hostile work environment if it knew or should have known about the harassment and failed to take effective action to stop it by responding with remedial action reasonably calculated to end the harassment.’ Webster, 38 F.4th at 415 (citation modified). The text messages were sent anonymously, and BCFD did undertake an investigation to attempt to identify the sender. Therefore, the district court did not err in granting judgment on the hostile work environment claim.”</w:t>
      </w:r>
    </w:p>
    <w:p w14:paraId="00FB0249" w14:textId="77777777" w:rsidR="00EC3DBD" w:rsidRPr="00AF250A" w:rsidRDefault="00EC3DBD" w:rsidP="00EC3DBD">
      <w:pPr>
        <w:pStyle w:val="NoSpacing"/>
      </w:pPr>
    </w:p>
    <w:p w14:paraId="38936018" w14:textId="77777777" w:rsidR="00EC3DBD" w:rsidRDefault="00EC3DBD" w:rsidP="00EC3DBD">
      <w:pPr>
        <w:pStyle w:val="NoSpacing"/>
        <w:rPr>
          <w:b/>
        </w:rPr>
      </w:pPr>
      <w:r>
        <w:rPr>
          <w:b/>
        </w:rPr>
        <w:t xml:space="preserve">Legal lesson learned: Anonymous racial text messages were investigated; no proof sent by fellow firefighters.  </w:t>
      </w:r>
    </w:p>
    <w:p w14:paraId="08DA4DB1" w14:textId="77777777" w:rsidR="00EC3DBD" w:rsidRDefault="00EC3DBD" w:rsidP="00EC3DBD">
      <w:pPr>
        <w:pStyle w:val="NoSpacing"/>
        <w:rPr>
          <w:b/>
        </w:rPr>
      </w:pPr>
    </w:p>
    <w:p w14:paraId="39E33D7E" w14:textId="77777777" w:rsidR="00EC3DBD" w:rsidRDefault="00EC3DBD" w:rsidP="00EC3DBD">
      <w:pPr>
        <w:pStyle w:val="NoSpacing"/>
        <w:rPr>
          <w:b/>
        </w:rPr>
      </w:pPr>
    </w:p>
    <w:p w14:paraId="16EF2AF3" w14:textId="45BF68CB" w:rsidR="00BA1360" w:rsidRDefault="00BA1360" w:rsidP="00BA1360">
      <w:pPr>
        <w:rPr>
          <w:rFonts w:ascii="Arial Black" w:hAnsi="Arial Black"/>
          <w:sz w:val="28"/>
          <w:szCs w:val="28"/>
        </w:rPr>
      </w:pPr>
      <w:r>
        <w:rPr>
          <w:rFonts w:ascii="Arial Black" w:hAnsi="Arial Black"/>
          <w:b/>
          <w:sz w:val="24"/>
          <w:szCs w:val="24"/>
        </w:rPr>
        <w:t>8-</w:t>
      </w:r>
      <w:r>
        <w:rPr>
          <w:rFonts w:ascii="Arial Black" w:hAnsi="Arial Black"/>
          <w:b/>
          <w:sz w:val="24"/>
          <w:szCs w:val="24"/>
        </w:rPr>
        <w:t>92</w:t>
      </w:r>
    </w:p>
    <w:p w14:paraId="29B284DB" w14:textId="77777777" w:rsidR="004E7EE9" w:rsidRDefault="004E7EE9" w:rsidP="00EC3DBD">
      <w:pPr>
        <w:rPr>
          <w:rFonts w:ascii="Arial Black" w:hAnsi="Arial Black"/>
          <w:b/>
          <w:sz w:val="28"/>
          <w:szCs w:val="28"/>
        </w:rPr>
      </w:pPr>
    </w:p>
    <w:p w14:paraId="64827C7C" w14:textId="6D1A6C1D" w:rsidR="00EC3DBD" w:rsidRPr="001079BC" w:rsidRDefault="00EC3DBD" w:rsidP="00EC3DBD">
      <w:pPr>
        <w:rPr>
          <w:rFonts w:ascii="Arial Black" w:hAnsi="Arial Black"/>
          <w:b/>
          <w:sz w:val="28"/>
          <w:szCs w:val="28"/>
        </w:rPr>
      </w:pPr>
      <w:r>
        <w:rPr>
          <w:rFonts w:ascii="Arial Black" w:hAnsi="Arial Black"/>
          <w:b/>
          <w:sz w:val="28"/>
          <w:szCs w:val="28"/>
        </w:rPr>
        <w:t>OH: BLACK CAPT – EXAM SOFTWARE ISSUES – NOT RACE</w:t>
      </w:r>
    </w:p>
    <w:p w14:paraId="7CEE7E7B" w14:textId="77777777" w:rsidR="00EC3DBD" w:rsidRDefault="00EC3DBD" w:rsidP="00EC3DBD">
      <w:pPr>
        <w:pStyle w:val="NoSpacing"/>
        <w:rPr>
          <w:b/>
        </w:rPr>
      </w:pPr>
      <w:r>
        <w:t xml:space="preserve">On June 15, 2026, in </w:t>
      </w:r>
      <w:r w:rsidRPr="00A002DC">
        <w:rPr>
          <w:u w:val="single"/>
        </w:rPr>
        <w:t>Janos Roper v. City of Cincinnati Fire Department</w:t>
      </w:r>
      <w:r>
        <w:t>, the United States Court of Appeals for the Sixth Circuit held (3 to 0) that trial court properly granted summary judgment to the City.  Race was not a factor in the formatting of answers on the promotion exam for District Chief.  The software company found it to be “user error” – but in any event the issue was “race neutral.” He wound up 16</w:t>
      </w:r>
      <w:r w:rsidRPr="00BA3FF7">
        <w:rPr>
          <w:vertAlign w:val="superscript"/>
        </w:rPr>
        <w:t>th</w:t>
      </w:r>
      <w:r>
        <w:t xml:space="preserve"> on the list; 11 promoted.  The Court wrote: “</w:t>
      </w:r>
      <w:r w:rsidRPr="007C2488">
        <w:t>But Title VII provides a remedy for</w:t>
      </w:r>
      <w:r>
        <w:t xml:space="preserve"> </w:t>
      </w:r>
      <w:r w:rsidRPr="007C2488">
        <w:t>racial discrimination, not for defective tests.</w:t>
      </w:r>
      <w:r>
        <w:t xml:space="preserve">” </w:t>
      </w:r>
      <w:hyperlink r:id="rId1532" w:history="1">
        <w:r w:rsidRPr="00014504">
          <w:rPr>
            <w:rStyle w:val="Hyperlink"/>
            <w:b/>
          </w:rPr>
          <w:t>https://cases.justia.com/federal/appellate-courts/ca6/25-3700/25-3700-2026-06-15.pdf?ts=1781553648</w:t>
        </w:r>
      </w:hyperlink>
      <w:r>
        <w:rPr>
          <w:b/>
        </w:rPr>
        <w:t xml:space="preserve"> </w:t>
      </w:r>
    </w:p>
    <w:p w14:paraId="647721ED" w14:textId="77777777" w:rsidR="00EC3DBD" w:rsidRDefault="00EC3DBD" w:rsidP="00EC3DBD">
      <w:pPr>
        <w:rPr>
          <w:bCs/>
        </w:rPr>
      </w:pPr>
    </w:p>
    <w:p w14:paraId="495D7B01" w14:textId="77777777" w:rsidR="00EC3DBD" w:rsidRDefault="00EC3DBD" w:rsidP="00EC3DBD">
      <w:pPr>
        <w:rPr>
          <w:b/>
        </w:rPr>
      </w:pPr>
      <w:r>
        <w:t xml:space="preserve"> </w:t>
      </w:r>
      <w:r>
        <w:rPr>
          <w:b/>
        </w:rPr>
        <w:t>FACTS:</w:t>
      </w:r>
    </w:p>
    <w:p w14:paraId="2244C383" w14:textId="77777777" w:rsidR="00EC3DBD" w:rsidRPr="00DD65B2" w:rsidRDefault="00EC3DBD" w:rsidP="00EC3DBD">
      <w:pPr>
        <w:pStyle w:val="NoSpacing"/>
        <w:rPr>
          <w:bCs/>
        </w:rPr>
      </w:pPr>
      <w:r>
        <w:t>“</w:t>
      </w:r>
      <w:r w:rsidRPr="00DD65B2">
        <w:t>In 2019, Roper—a longtime Cincinnati firefighter—sat for a test to be promoted to district</w:t>
      </w:r>
    </w:p>
    <w:p w14:paraId="430D2C84" w14:textId="77777777" w:rsidR="00EC3DBD" w:rsidRPr="00DD65B2" w:rsidRDefault="00EC3DBD" w:rsidP="00EC3DBD">
      <w:pPr>
        <w:pStyle w:val="NoSpacing"/>
        <w:rPr>
          <w:bCs/>
        </w:rPr>
      </w:pPr>
      <w:r w:rsidRPr="00DD65B2">
        <w:t>chief. During one typewritten section, Roper and several other candidates experienced a problem</w:t>
      </w:r>
    </w:p>
    <w:p w14:paraId="6B719912" w14:textId="77777777" w:rsidR="00EC3DBD" w:rsidRPr="00DD65B2" w:rsidRDefault="00EC3DBD" w:rsidP="00EC3DBD">
      <w:pPr>
        <w:pStyle w:val="NoSpacing"/>
        <w:rPr>
          <w:bCs/>
        </w:rPr>
      </w:pPr>
      <w:r w:rsidRPr="00DD65B2">
        <w:t>with the testing software, which upset the formatting of their answers. According to Roper, this</w:t>
      </w:r>
    </w:p>
    <w:p w14:paraId="000A2E92" w14:textId="77777777" w:rsidR="00EC3DBD" w:rsidRPr="00DD65B2" w:rsidRDefault="00EC3DBD" w:rsidP="00EC3DBD">
      <w:pPr>
        <w:pStyle w:val="NoSpacing"/>
        <w:rPr>
          <w:bCs/>
        </w:rPr>
      </w:pPr>
      <w:r w:rsidRPr="00DD65B2">
        <w:t>problem cost him time during the test and was “very damaging” to his performance.</w:t>
      </w:r>
    </w:p>
    <w:p w14:paraId="21A9413A" w14:textId="77777777" w:rsidR="00EC3DBD" w:rsidRPr="00DD65B2" w:rsidRDefault="00EC3DBD" w:rsidP="00EC3DBD">
      <w:pPr>
        <w:pStyle w:val="NoSpacing"/>
        <w:rPr>
          <w:bCs/>
        </w:rPr>
      </w:pPr>
      <w:r w:rsidRPr="00DD65B2">
        <w:t>Roper reported the problem to one of the Department’s human-resources employees, who</w:t>
      </w:r>
    </w:p>
    <w:p w14:paraId="75380BA9" w14:textId="77777777" w:rsidR="00EC3DBD" w:rsidRDefault="00EC3DBD" w:rsidP="00EC3DBD">
      <w:pPr>
        <w:pStyle w:val="NoSpacing"/>
        <w:rPr>
          <w:bCs/>
        </w:rPr>
      </w:pPr>
      <w:r w:rsidRPr="00DD65B2">
        <w:t xml:space="preserve">relayed Roper’s complaint to the company that had created the test. </w:t>
      </w:r>
    </w:p>
    <w:p w14:paraId="022445B7" w14:textId="77777777" w:rsidR="00EC3DBD" w:rsidRDefault="00EC3DBD" w:rsidP="00EC3DBD">
      <w:pPr>
        <w:pStyle w:val="NoSpacing"/>
        <w:rPr>
          <w:bCs/>
        </w:rPr>
      </w:pPr>
    </w:p>
    <w:p w14:paraId="44931F93" w14:textId="77777777" w:rsidR="00EC3DBD" w:rsidRDefault="00EC3DBD" w:rsidP="00EC3DBD">
      <w:pPr>
        <w:pStyle w:val="NoSpacing"/>
        <w:rPr>
          <w:bCs/>
        </w:rPr>
      </w:pPr>
      <w:r w:rsidRPr="00DD65B2">
        <w:t>The company investigated</w:t>
      </w:r>
      <w:r>
        <w:t xml:space="preserve"> </w:t>
      </w:r>
      <w:r w:rsidRPr="00DD65B2">
        <w:t>and said the problem had been the result of user error. The company scored the test, however,</w:t>
      </w:r>
      <w:r>
        <w:t xml:space="preserve"> </w:t>
      </w:r>
      <w:r w:rsidRPr="00DD65B2">
        <w:t>without regard to any formatting errors. The Department then promoted candidates (or not) based</w:t>
      </w:r>
      <w:r>
        <w:t xml:space="preserve"> </w:t>
      </w:r>
      <w:r w:rsidRPr="00854040">
        <w:t>solely on their test scores. Roper’s score placed him 16th among the candidates eligible for 11</w:t>
      </w:r>
      <w:r>
        <w:t xml:space="preserve"> </w:t>
      </w:r>
      <w:r w:rsidRPr="00854040">
        <w:t xml:space="preserve">vacant positions, so the Department did not promote him to district </w:t>
      </w:r>
      <w:proofErr w:type="gramStart"/>
      <w:r w:rsidRPr="00854040">
        <w:t>chief.</w:t>
      </w:r>
      <w:r>
        <w:t>”</w:t>
      </w:r>
      <w:proofErr w:type="gramEnd"/>
    </w:p>
    <w:p w14:paraId="5B2F16AE" w14:textId="77777777" w:rsidR="00EC3DBD" w:rsidRDefault="00EC3DBD" w:rsidP="00EC3DBD">
      <w:pPr>
        <w:pStyle w:val="NoSpacing"/>
        <w:rPr>
          <w:bCs/>
        </w:rPr>
      </w:pPr>
    </w:p>
    <w:p w14:paraId="3885FE9B" w14:textId="77777777" w:rsidR="00EC3DBD" w:rsidRDefault="00EC3DBD" w:rsidP="00EC3DBD">
      <w:pPr>
        <w:pStyle w:val="NoSpacing"/>
        <w:rPr>
          <w:b/>
        </w:rPr>
      </w:pPr>
      <w:r w:rsidRPr="00854040">
        <w:rPr>
          <w:b/>
        </w:rPr>
        <w:t>COURT HELD:</w:t>
      </w:r>
    </w:p>
    <w:p w14:paraId="078561A5" w14:textId="77777777" w:rsidR="00EC3DBD" w:rsidRDefault="00EC3DBD" w:rsidP="00EC3DBD">
      <w:pPr>
        <w:pStyle w:val="NoSpacing"/>
        <w:rPr>
          <w:b/>
        </w:rPr>
      </w:pPr>
    </w:p>
    <w:p w14:paraId="22FFA88C" w14:textId="77777777" w:rsidR="00EC3DBD" w:rsidRPr="007C2488" w:rsidRDefault="00EC3DBD" w:rsidP="00EC3DBD">
      <w:pPr>
        <w:pStyle w:val="NoSpacing"/>
      </w:pPr>
      <w:r>
        <w:t>“</w:t>
      </w:r>
      <w:r w:rsidRPr="007C2488">
        <w:t>Roper responds that his claim (in part) is that the test itself was defective, and so its results</w:t>
      </w:r>
    </w:p>
    <w:p w14:paraId="44F1BFC7" w14:textId="77777777" w:rsidR="00EC3DBD" w:rsidRPr="007C2488" w:rsidRDefault="00EC3DBD" w:rsidP="00EC3DBD">
      <w:pPr>
        <w:pStyle w:val="NoSpacing"/>
      </w:pPr>
      <w:r w:rsidRPr="007C2488">
        <w:t>should not render him dissimilar to the promoted candidates. But Title VII provides a remedy for</w:t>
      </w:r>
    </w:p>
    <w:p w14:paraId="0957029F" w14:textId="77777777" w:rsidR="00EC3DBD" w:rsidRPr="007C2488" w:rsidRDefault="00EC3DBD" w:rsidP="00EC3DBD">
      <w:pPr>
        <w:pStyle w:val="NoSpacing"/>
      </w:pPr>
      <w:r w:rsidRPr="007C2488">
        <w:t>racial discrimination, not for defective tests. Here, the test results were undisputedly the sole</w:t>
      </w:r>
    </w:p>
    <w:p w14:paraId="6A0C529E" w14:textId="77777777" w:rsidR="00EC3DBD" w:rsidRPr="007C2488" w:rsidRDefault="00EC3DBD" w:rsidP="00EC3DBD">
      <w:pPr>
        <w:pStyle w:val="NoSpacing"/>
      </w:pPr>
      <w:r w:rsidRPr="007C2488">
        <w:t>criterion on which candidates were promoted; and the Department’s application of that criterion</w:t>
      </w:r>
    </w:p>
    <w:p w14:paraId="75CA74D3" w14:textId="77777777" w:rsidR="00EC3DBD" w:rsidRDefault="00EC3DBD" w:rsidP="00EC3DBD">
      <w:pPr>
        <w:pStyle w:val="NoSpacing"/>
      </w:pPr>
      <w:r w:rsidRPr="007C2488">
        <w:t>was undisputedly race neutral. To make out a prima facie case of discrimination, therefore, Rope</w:t>
      </w:r>
      <w:r>
        <w:t>r</w:t>
      </w:r>
      <w:r w:rsidRPr="001079BC">
        <w:t xml:space="preserve"> </w:t>
      </w:r>
      <w:r>
        <w:t>must present evidence that the formatting problem (which he says impaired his test performance)</w:t>
      </w:r>
    </w:p>
    <w:p w14:paraId="72F0C566" w14:textId="77777777" w:rsidR="00EC3DBD" w:rsidRDefault="00EC3DBD" w:rsidP="00EC3DBD">
      <w:pPr>
        <w:pStyle w:val="NoSpacing"/>
      </w:pPr>
      <w:r>
        <w:t>was itself the result of racial discrimination. And Roper has developed no argument to that effect</w:t>
      </w:r>
    </w:p>
    <w:p w14:paraId="19D1D8E9" w14:textId="77777777" w:rsidR="00EC3DBD" w:rsidRDefault="00EC3DBD" w:rsidP="00EC3DBD">
      <w:pPr>
        <w:pStyle w:val="NoSpacing"/>
      </w:pPr>
      <w:r>
        <w:t>in the district court or this court. The district court was therefore correct to grant summary</w:t>
      </w:r>
    </w:p>
    <w:p w14:paraId="227B2A0E" w14:textId="77777777" w:rsidR="00EC3DBD" w:rsidRPr="007C2488" w:rsidRDefault="00EC3DBD" w:rsidP="00EC3DBD">
      <w:pPr>
        <w:pStyle w:val="NoSpacing"/>
      </w:pPr>
      <w:r>
        <w:t>judgment to the Department.”</w:t>
      </w:r>
    </w:p>
    <w:p w14:paraId="6A091288" w14:textId="77777777" w:rsidR="00EC3DBD" w:rsidRDefault="00EC3DBD" w:rsidP="00EC3DBD">
      <w:pPr>
        <w:rPr>
          <w:b/>
        </w:rPr>
      </w:pPr>
    </w:p>
    <w:p w14:paraId="7918D520" w14:textId="77777777" w:rsidR="00EC3DBD" w:rsidRDefault="00EC3DBD" w:rsidP="00EC3DBD">
      <w:pPr>
        <w:rPr>
          <w:b/>
        </w:rPr>
      </w:pPr>
      <w:r>
        <w:rPr>
          <w:b/>
        </w:rPr>
        <w:t xml:space="preserve">Legal lesson learned: Computer software issues can be very frustrating – particularly in a promotion exam – but no evidence of racial discrimination. </w:t>
      </w:r>
    </w:p>
    <w:p w14:paraId="48B53824" w14:textId="77777777" w:rsidR="00EC3DBD" w:rsidRDefault="00EC3DBD" w:rsidP="00EC3DBD">
      <w:pPr>
        <w:pStyle w:val="NoSpacing"/>
        <w:rPr>
          <w:b/>
        </w:rPr>
      </w:pPr>
    </w:p>
    <w:p w14:paraId="6B379F4F" w14:textId="77777777" w:rsidR="00EC3DBD" w:rsidRDefault="00EC3DBD" w:rsidP="00EC3DBD">
      <w:pPr>
        <w:pStyle w:val="NoSpacing"/>
        <w:rPr>
          <w:sz w:val="20"/>
          <w:szCs w:val="20"/>
        </w:rPr>
      </w:pPr>
    </w:p>
    <w:p w14:paraId="61896F26" w14:textId="44D0BCFE" w:rsidR="00BA1360" w:rsidRDefault="00BA1360" w:rsidP="00BA1360">
      <w:pPr>
        <w:rPr>
          <w:rFonts w:ascii="Arial Black" w:hAnsi="Arial Black"/>
          <w:sz w:val="28"/>
          <w:szCs w:val="28"/>
        </w:rPr>
      </w:pPr>
      <w:r>
        <w:rPr>
          <w:rFonts w:ascii="Arial Black" w:hAnsi="Arial Black"/>
          <w:b/>
          <w:sz w:val="24"/>
          <w:szCs w:val="24"/>
        </w:rPr>
        <w:t>8-</w:t>
      </w:r>
      <w:r>
        <w:rPr>
          <w:rFonts w:ascii="Arial Black" w:hAnsi="Arial Black"/>
          <w:b/>
          <w:sz w:val="24"/>
          <w:szCs w:val="24"/>
        </w:rPr>
        <w:t>91</w:t>
      </w:r>
    </w:p>
    <w:p w14:paraId="4FE7788F" w14:textId="409F83D3" w:rsidR="00EC3DBD" w:rsidRDefault="00EC3DBD" w:rsidP="00EC3DBD">
      <w:pPr>
        <w:pStyle w:val="NoSpacing"/>
        <w:rPr>
          <w:rFonts w:ascii="Arial Black" w:hAnsi="Arial Black"/>
          <w:sz w:val="28"/>
          <w:szCs w:val="28"/>
        </w:rPr>
      </w:pPr>
    </w:p>
    <w:p w14:paraId="7E08DE49" w14:textId="77777777" w:rsidR="00EC3DBD" w:rsidRDefault="00EC3DBD" w:rsidP="00EC3DBD">
      <w:pPr>
        <w:pStyle w:val="NoSpacing"/>
        <w:rPr>
          <w:rFonts w:ascii="Arial Black" w:hAnsi="Arial Black"/>
          <w:sz w:val="28"/>
          <w:szCs w:val="28"/>
        </w:rPr>
      </w:pPr>
    </w:p>
    <w:p w14:paraId="35449CA4" w14:textId="77777777" w:rsidR="00EC3DBD" w:rsidRPr="00ED155B" w:rsidRDefault="00EC3DBD" w:rsidP="00EC3DBD">
      <w:pPr>
        <w:pStyle w:val="NoSpacing"/>
        <w:rPr>
          <w:rFonts w:ascii="Arial Black" w:hAnsi="Arial Black"/>
          <w:sz w:val="28"/>
          <w:szCs w:val="28"/>
        </w:rPr>
      </w:pPr>
      <w:r>
        <w:rPr>
          <w:rFonts w:ascii="Arial Black" w:hAnsi="Arial Black"/>
          <w:sz w:val="28"/>
          <w:szCs w:val="28"/>
        </w:rPr>
        <w:t>ID: HISPANIC / CATHOLIC - ASSESSMENT CTR WAS FAIR</w:t>
      </w:r>
    </w:p>
    <w:p w14:paraId="243A1ED0" w14:textId="77777777" w:rsidR="00EC3DBD" w:rsidRDefault="00EC3DBD" w:rsidP="00EC3DBD">
      <w:pPr>
        <w:pStyle w:val="NoSpacing"/>
      </w:pPr>
    </w:p>
    <w:p w14:paraId="64BCE63B" w14:textId="77777777" w:rsidR="00EC3DBD" w:rsidRDefault="00EC3DBD" w:rsidP="00EC3DBD">
      <w:r>
        <w:t xml:space="preserve">On June 3, 2026, in </w:t>
      </w:r>
      <w:r w:rsidRPr="00B37A0F">
        <w:rPr>
          <w:u w:val="single"/>
        </w:rPr>
        <w:t>Henry Munoz v. City of Burley</w:t>
      </w:r>
      <w:r>
        <w:t xml:space="preserve">, U.S. District Court Judge </w:t>
      </w:r>
      <w:r w:rsidRPr="00E66C66">
        <w:t>Amanda K. Brailsford,</w:t>
      </w:r>
      <w:r>
        <w:t xml:space="preserve"> </w:t>
      </w:r>
      <w:r w:rsidRPr="00F5578E">
        <w:t>United States District Court for District of Idaho</w:t>
      </w:r>
      <w:r>
        <w:t xml:space="preserve">, granted the city’s motion for summary judgment; lack of proof of discrimination against Hispanics or Catholics (many officers are members of </w:t>
      </w:r>
      <w:r w:rsidRPr="006C0980">
        <w:t>Church of Jesus Christ of Latter-day Saints</w:t>
      </w:r>
      <w:r>
        <w:t xml:space="preserve">).  The </w:t>
      </w:r>
      <w:proofErr w:type="gramStart"/>
      <w:r>
        <w:t>City</w:t>
      </w:r>
      <w:proofErr w:type="gramEnd"/>
      <w:r>
        <w:t xml:space="preserve"> held an assessment center, including outside graders, and promoted the lieutenant with highest score (</w:t>
      </w:r>
      <w:r w:rsidRPr="008E3238">
        <w:t>957 out of 1,200</w:t>
      </w:r>
      <w:r>
        <w:t>; compared to plaintiff’s 760). The Court wrote: “</w:t>
      </w:r>
      <w:r w:rsidRPr="00527BF6">
        <w:t>Defendant has articulated a legitimate, nondiscriminatory reason for promoting Boden instead of Plaintiff: they selected Boden because he received the highest total score in the assessment center</w:t>
      </w:r>
      <w:r>
        <w:t xml:space="preserve">.” </w:t>
      </w:r>
      <w:hyperlink r:id="rId1533" w:history="1">
        <w:r w:rsidRPr="003E6F82">
          <w:rPr>
            <w:rStyle w:val="Hyperlink"/>
          </w:rPr>
          <w:t>https://www.govinfo.gov/content/pkg/USCOURTS-idd-4_24-cv-00303/pdf/USCOURTS-idd-4_24-cv-00303-0.pdf</w:t>
        </w:r>
      </w:hyperlink>
      <w:r>
        <w:t xml:space="preserve"> </w:t>
      </w:r>
    </w:p>
    <w:p w14:paraId="3DD94904" w14:textId="77777777" w:rsidR="00EC3DBD" w:rsidRDefault="00EC3DBD" w:rsidP="00EC3DBD">
      <w:pPr>
        <w:rPr>
          <w:b/>
        </w:rPr>
      </w:pPr>
      <w:r>
        <w:rPr>
          <w:b/>
        </w:rPr>
        <w:t>FACTS:</w:t>
      </w:r>
    </w:p>
    <w:p w14:paraId="53D2E14A" w14:textId="77777777" w:rsidR="00EC3DBD" w:rsidRDefault="00EC3DBD" w:rsidP="00EC3DBD">
      <w:pPr>
        <w:pStyle w:val="NoSpacing"/>
      </w:pPr>
      <w:r>
        <w:t>“</w:t>
      </w:r>
      <w:r w:rsidRPr="009C1094">
        <w:t> Plaintiff is Hispanic and Catholic</w:t>
      </w:r>
      <w:r>
        <w:t xml:space="preserve"> …. </w:t>
      </w:r>
      <w:r w:rsidRPr="009C1094">
        <w:t>He began working for the BFD as a volunteer firefighter in March 2001, became a full-time firefighter in November 2003, and was promoted to Lieutenant in 2013</w:t>
      </w:r>
      <w:r>
        <w:t xml:space="preserve"> …. </w:t>
      </w:r>
      <w:r w:rsidRPr="009C1094">
        <w:t xml:space="preserve">Plaintiff remained a Lieutenant when he applied for the </w:t>
      </w:r>
      <w:proofErr w:type="gramStart"/>
      <w:r w:rsidRPr="009C1094">
        <w:t>Captain</w:t>
      </w:r>
      <w:proofErr w:type="gramEnd"/>
      <w:r w:rsidRPr="009C1094">
        <w:t xml:space="preserve"> position at issue in this case</w:t>
      </w:r>
      <w:r>
        <w:t xml:space="preserve"> ….</w:t>
      </w:r>
      <w:r w:rsidRPr="009C1094">
        <w:t>Plaintiff declares that he has served BFD for more than twenty-four years and has never been disciplined for misconduct</w:t>
      </w:r>
      <w:r>
        <w:t xml:space="preserve">. </w:t>
      </w:r>
    </w:p>
    <w:p w14:paraId="5C19AE9F" w14:textId="77777777" w:rsidR="00EC3DBD" w:rsidRDefault="00EC3DBD" w:rsidP="00EC3DBD">
      <w:pPr>
        <w:pStyle w:val="NoSpacing"/>
      </w:pPr>
    </w:p>
    <w:p w14:paraId="604CE253" w14:textId="77777777" w:rsidR="00EC3DBD" w:rsidRDefault="00EC3DBD" w:rsidP="00EC3DBD">
      <w:pPr>
        <w:pStyle w:val="NoSpacing"/>
      </w:pPr>
      <w:r>
        <w:t>***</w:t>
      </w:r>
    </w:p>
    <w:p w14:paraId="00937ED2" w14:textId="77777777" w:rsidR="00EC3DBD" w:rsidRDefault="00EC3DBD" w:rsidP="00EC3DBD">
      <w:pPr>
        <w:pStyle w:val="NoSpacing"/>
      </w:pPr>
    </w:p>
    <w:p w14:paraId="3574EAA6" w14:textId="77777777" w:rsidR="00EC3DBD" w:rsidRDefault="00EC3DBD" w:rsidP="00EC3DBD">
      <w:pPr>
        <w:pStyle w:val="NoSpacing"/>
      </w:pPr>
      <w:r w:rsidRPr="00925E40">
        <w:t xml:space="preserve">BFD used an </w:t>
      </w:r>
      <w:r>
        <w:t>‘</w:t>
      </w:r>
      <w:r w:rsidRPr="00925E40">
        <w:t>assessment center</w:t>
      </w:r>
      <w:r>
        <w:t>’</w:t>
      </w:r>
      <w:r w:rsidRPr="00925E40">
        <w:t xml:space="preserve"> to evaluate the three candidates. The assessment center used five evaluators: Chief Shannon Tolman; Deputy Chief Harman; Human Resources (HR) Director, Carol Anderson; Cassia Regional Hospital ambulance department manager, Keisha Hendrickson; and College of Southern Idaho Lead Fire Science Instructor, Brad Buehler </w:t>
      </w:r>
      <w:r>
        <w:t>….</w:t>
      </w:r>
      <w:r w:rsidRPr="00925E40">
        <w:t xml:space="preserve"> Deputy Chief Harman selected the internal evaluators and Buehler and Hendrickson as outside evaluators</w:t>
      </w:r>
      <w:r>
        <w:t xml:space="preserve"> ….</w:t>
      </w:r>
      <w:r w:rsidRPr="00925E40">
        <w:t>Of those evaluators, Plaintiffs identifies only Chief Tolman as having LDS involvement</w:t>
      </w:r>
      <w:r>
        <w:t>. [</w:t>
      </w:r>
      <w:r w:rsidRPr="006C0980">
        <w:t>LDS</w:t>
      </w:r>
      <w:r>
        <w:t xml:space="preserve"> - </w:t>
      </w:r>
      <w:r w:rsidRPr="006C0980">
        <w:t>shorthand reference for the Church of Jesus Christ of Latter-day Saints</w:t>
      </w:r>
      <w:r>
        <w:t>]</w:t>
      </w:r>
      <w:r w:rsidRPr="006C0980">
        <w:t>.</w:t>
      </w:r>
    </w:p>
    <w:p w14:paraId="615AAA29" w14:textId="77777777" w:rsidR="00EC3DBD" w:rsidRDefault="00EC3DBD" w:rsidP="00EC3DBD">
      <w:pPr>
        <w:pStyle w:val="NoSpacing"/>
      </w:pPr>
    </w:p>
    <w:p w14:paraId="6E3ED39D" w14:textId="77777777" w:rsidR="00EC3DBD" w:rsidRDefault="00EC3DBD" w:rsidP="00EC3DBD">
      <w:pPr>
        <w:pStyle w:val="NoSpacing"/>
      </w:pPr>
      <w:r w:rsidRPr="004E7397">
        <w:t>The assessment center has three components: an incident-scenario exercise, an oral</w:t>
      </w:r>
      <w:r>
        <w:t xml:space="preserve"> </w:t>
      </w:r>
      <w:r w:rsidRPr="004E7397">
        <w:t>presentation exercise, and an oral interview</w:t>
      </w:r>
      <w:r>
        <w:t xml:space="preserve"> …. </w:t>
      </w:r>
      <w:r w:rsidRPr="004E7397">
        <w:t>Each component's individual score sheets included job-related scoring dimensions such as scene size-up, leadership/organization, communication, problem analysis and decision-making, time management, strategy and tactics, command presence/ICS, safety, presentation-related criteria, accountability, and interview performance</w:t>
      </w:r>
      <w:r>
        <w:t xml:space="preserve"> ….</w:t>
      </w:r>
      <w:r w:rsidRPr="004E7397">
        <w:t xml:space="preserve">The score sheets used an </w:t>
      </w:r>
      <w:r>
        <w:t xml:space="preserve"> </w:t>
      </w:r>
      <w:r w:rsidRPr="004E7397">
        <w:t xml:space="preserve">unevenly-banded numerical scale: 1 through 4 meant </w:t>
      </w:r>
      <w:r>
        <w:t>‘</w:t>
      </w:r>
      <w:r w:rsidRPr="004E7397">
        <w:t>Not Qualified,</w:t>
      </w:r>
      <w:r>
        <w:t>’</w:t>
      </w:r>
      <w:r w:rsidRPr="004E7397">
        <w:t xml:space="preserve"> 5 meant </w:t>
      </w:r>
      <w:r>
        <w:t>‘</w:t>
      </w:r>
      <w:r w:rsidRPr="004E7397">
        <w:t>Minimally Qualified,</w:t>
      </w:r>
      <w:r>
        <w:t>’</w:t>
      </w:r>
      <w:r w:rsidRPr="004E7397">
        <w:t xml:space="preserve"> 6 meant </w:t>
      </w:r>
      <w:r>
        <w:t>‘</w:t>
      </w:r>
      <w:r w:rsidRPr="004E7397">
        <w:t>Qualified,</w:t>
      </w:r>
      <w:r>
        <w:t>’</w:t>
      </w:r>
      <w:r w:rsidRPr="004E7397">
        <w:t xml:space="preserve"> and 7 through 10 meant </w:t>
      </w:r>
      <w:r>
        <w:t>‘</w:t>
      </w:r>
      <w:r w:rsidRPr="004E7397">
        <w:t>Especially Qualified</w:t>
      </w:r>
      <w:r>
        <w:t xml:space="preserve">’ …. </w:t>
      </w:r>
      <w:r w:rsidRPr="004E7397">
        <w:t xml:space="preserve"> Hypothetically applied, a </w:t>
      </w:r>
      <w:r>
        <w:t>‘</w:t>
      </w:r>
      <w:r w:rsidRPr="004E7397">
        <w:t>4</w:t>
      </w:r>
      <w:r>
        <w:t>’</w:t>
      </w:r>
      <w:r w:rsidRPr="004E7397">
        <w:t xml:space="preserve"> means the evaluator found the applicant not qualified in that dimension of that component, whereas a </w:t>
      </w:r>
      <w:r>
        <w:t>‘</w:t>
      </w:r>
      <w:r w:rsidRPr="004E7397">
        <w:t>7</w:t>
      </w:r>
      <w:r>
        <w:t>’</w:t>
      </w:r>
      <w:r w:rsidRPr="004E7397">
        <w:t xml:space="preserve"> means the applicant was especially qualified. The scoring draws no distinction between a 1 and a 4 (both </w:t>
      </w:r>
      <w:r>
        <w:t>‘</w:t>
      </w:r>
      <w:r w:rsidRPr="004E7397">
        <w:t>not qualified</w:t>
      </w:r>
      <w:r>
        <w:t>’</w:t>
      </w:r>
      <w:r w:rsidRPr="004E7397">
        <w:t xml:space="preserve">) or a 7 and a 10 (both </w:t>
      </w:r>
      <w:r>
        <w:t>‘</w:t>
      </w:r>
      <w:r w:rsidRPr="004E7397">
        <w:t>especially qualified</w:t>
      </w:r>
      <w:r>
        <w:t>’</w:t>
      </w:r>
      <w:r w:rsidRPr="004E7397">
        <w:t xml:space="preserve">). </w:t>
      </w:r>
    </w:p>
    <w:p w14:paraId="7B491D60" w14:textId="77777777" w:rsidR="00EC3DBD" w:rsidRDefault="00EC3DBD" w:rsidP="00EC3DBD">
      <w:pPr>
        <w:pStyle w:val="NoSpacing"/>
      </w:pPr>
    </w:p>
    <w:p w14:paraId="3EF8E915" w14:textId="77777777" w:rsidR="00EC3DBD" w:rsidRDefault="00EC3DBD" w:rsidP="00EC3DBD">
      <w:pPr>
        <w:pStyle w:val="NoSpacing"/>
      </w:pPr>
      <w:r>
        <w:t>***</w:t>
      </w:r>
    </w:p>
    <w:p w14:paraId="6E12922F" w14:textId="77777777" w:rsidR="00EC3DBD" w:rsidRDefault="00EC3DBD" w:rsidP="00EC3DBD">
      <w:pPr>
        <w:pStyle w:val="NoSpacing"/>
      </w:pPr>
      <w:r w:rsidRPr="008E3238">
        <w:t> After the assessment, Chief Tolman and Deputy Chief Harman totaled the evaluators' scores. The completed score sheets reflect that Plaintiff received a total score of 760 out of 1,200, while Boden received the highest total score, 957 out of 1,200</w:t>
      </w:r>
      <w:r>
        <w:t xml:space="preserve">…. </w:t>
      </w:r>
      <w:r w:rsidRPr="008E3238">
        <w:t xml:space="preserve"> According to Defendant, the promotion was offered to the candidate who received the highest score, and Deputy Chief Harman testified that </w:t>
      </w:r>
      <w:r>
        <w:t>‘</w:t>
      </w:r>
      <w:r w:rsidRPr="008E3238">
        <w:t>the past processes since ‘21 have all gone based off of the score</w:t>
      </w:r>
      <w:r>
        <w:t xml:space="preserve">’ …. </w:t>
      </w:r>
    </w:p>
    <w:p w14:paraId="597F00D2" w14:textId="77777777" w:rsidR="00EC3DBD" w:rsidRDefault="00EC3DBD" w:rsidP="00EC3DBD">
      <w:pPr>
        <w:pStyle w:val="NoSpacing"/>
      </w:pPr>
    </w:p>
    <w:p w14:paraId="784F59EB" w14:textId="77777777" w:rsidR="00EC3DBD" w:rsidRDefault="00EC3DBD" w:rsidP="00EC3DBD">
      <w:pPr>
        <w:pStyle w:val="NoSpacing"/>
        <w:rPr>
          <w:b/>
          <w:bCs/>
        </w:rPr>
      </w:pPr>
      <w:r w:rsidRPr="005C0BF8">
        <w:rPr>
          <w:b/>
        </w:rPr>
        <w:t xml:space="preserve">COURT HELD: </w:t>
      </w:r>
    </w:p>
    <w:p w14:paraId="17398037" w14:textId="77777777" w:rsidR="00EC3DBD" w:rsidRDefault="00EC3DBD" w:rsidP="00EC3DBD">
      <w:pPr>
        <w:pStyle w:val="NoSpacing"/>
        <w:rPr>
          <w:b/>
          <w:bCs/>
        </w:rPr>
      </w:pPr>
    </w:p>
    <w:p w14:paraId="13F86A91" w14:textId="77777777" w:rsidR="00EC3DBD" w:rsidRDefault="00EC3DBD" w:rsidP="00EC3DBD">
      <w:pPr>
        <w:pStyle w:val="NoSpacing"/>
      </w:pPr>
      <w:r>
        <w:t>“</w:t>
      </w:r>
      <w:r w:rsidRPr="004177CA">
        <w:t>Plaintiff testified that religion did not come up during the interview or testing process; no panelist raised religion during the process; Chief Tolman and Deputy Chief Harman never talked with him about his religion; he never raised religion with them; and he did not know whether Chief Tolman or Deputy Chief Harman knew his religion</w:t>
      </w:r>
      <w:r>
        <w:t xml:space="preserve"> …. </w:t>
      </w:r>
      <w:r w:rsidRPr="004177CA">
        <w:t xml:space="preserve"> Buehler testified that he was not aware of any applicant's religious affiliation or whether one applicant was affiliated religiously differently from the others, and that the scores he gave Plaintiff were not motivated by Plaintiff's religion or national origin</w:t>
      </w:r>
      <w:r>
        <w:t xml:space="preserve"> ….</w:t>
      </w:r>
      <w:r w:rsidRPr="004177CA">
        <w:t xml:space="preserve"> Hendrickson likewise testified she was not aware of the religion of any applicant and that the scores she gave Plaintiff were not motivated by Plaintiff's religion or national origin</w:t>
      </w:r>
      <w:r>
        <w:t xml:space="preserve"> ….</w:t>
      </w:r>
    </w:p>
    <w:p w14:paraId="3C1CF313" w14:textId="77777777" w:rsidR="00EC3DBD" w:rsidRDefault="00EC3DBD" w:rsidP="00EC3DBD">
      <w:pPr>
        <w:pStyle w:val="NoSpacing"/>
      </w:pPr>
    </w:p>
    <w:p w14:paraId="3DA5F4CC" w14:textId="77777777" w:rsidR="00EC3DBD" w:rsidRDefault="00EC3DBD" w:rsidP="00EC3DBD">
      <w:pPr>
        <w:pStyle w:val="NoSpacing"/>
      </w:pPr>
      <w:r>
        <w:t>***</w:t>
      </w:r>
    </w:p>
    <w:p w14:paraId="22AD083C" w14:textId="77777777" w:rsidR="00EC3DBD" w:rsidRPr="004177CA" w:rsidRDefault="00EC3DBD" w:rsidP="00EC3DBD">
      <w:pPr>
        <w:pStyle w:val="NoSpacing"/>
      </w:pPr>
    </w:p>
    <w:p w14:paraId="63219C45" w14:textId="77777777" w:rsidR="00EC3DBD" w:rsidRDefault="00EC3DBD" w:rsidP="00EC3DBD">
      <w:pPr>
        <w:pStyle w:val="NoSpacing"/>
      </w:pPr>
      <w:r w:rsidRPr="005D6029">
        <w:t>For these reasons, the scoring evidence does not create a triable issue of discriminatory pretext. Even if a reasonable jury could find that subjective judgment, evaluator harshness, or favoritism influenced the process, Plaintiff has not identified evidence permitting a reasonable jury to find that race, religion, Catholic status, or non-LDS status was one of the motivating factors. On this record, Plaintiff has not identified sufficient admissible evidence from which a reasonable jury could infer Defendant's stated explanation is false or motivated by a discriminatory purpose.</w:t>
      </w:r>
    </w:p>
    <w:p w14:paraId="1B74DEEE" w14:textId="77777777" w:rsidR="00EC3DBD" w:rsidRDefault="00EC3DBD" w:rsidP="00EC3DBD">
      <w:pPr>
        <w:pStyle w:val="NoSpacing"/>
      </w:pPr>
    </w:p>
    <w:p w14:paraId="6D991E75" w14:textId="77777777" w:rsidR="00EC3DBD" w:rsidRDefault="00EC3DBD" w:rsidP="00EC3DBD">
      <w:pPr>
        <w:pStyle w:val="NoSpacing"/>
      </w:pPr>
      <w:r>
        <w:t>***</w:t>
      </w:r>
    </w:p>
    <w:p w14:paraId="26327214" w14:textId="77777777" w:rsidR="00EC3DBD" w:rsidRDefault="00EC3DBD" w:rsidP="00EC3DBD">
      <w:pPr>
        <w:pStyle w:val="NoSpacing"/>
      </w:pPr>
      <w:r w:rsidRPr="00391FBA">
        <w:t>Considered cumulatively, Plaintiff's evidence shows a discretionary process, a small leadership pool with limited Hispanic and non-LDS representation, sharp evaluator disparities, and Plaintiff's perception that Hispanic firefighters received less recognition. That evidence is sufficient to require careful review, but it remains insufficient to permit a reasonable jury to find that Defendant's score-based explanation was false or that the June 2022 decision was motivated by race or religion.</w:t>
      </w:r>
    </w:p>
    <w:p w14:paraId="784F419A" w14:textId="77777777" w:rsidR="00EC3DBD" w:rsidRDefault="00EC3DBD" w:rsidP="00EC3DBD">
      <w:pPr>
        <w:pStyle w:val="NoSpacing"/>
      </w:pPr>
    </w:p>
    <w:p w14:paraId="1394B712" w14:textId="77777777" w:rsidR="00EC3DBD" w:rsidRPr="00AF0956" w:rsidRDefault="00EC3DBD" w:rsidP="00EC3DBD">
      <w:pPr>
        <w:pStyle w:val="NoSpacing"/>
        <w:rPr>
          <w:b/>
          <w:bCs/>
        </w:rPr>
      </w:pPr>
      <w:r>
        <w:rPr>
          <w:b/>
        </w:rPr>
        <w:t xml:space="preserve">Legal lesson learned: Assessment Centers are an excellent tool in the promotion process. </w:t>
      </w:r>
    </w:p>
    <w:p w14:paraId="4B3FE669" w14:textId="77777777" w:rsidR="00EC3DBD" w:rsidRDefault="00EC3DBD" w:rsidP="00EC3DBD">
      <w:pPr>
        <w:pStyle w:val="NoSpacing"/>
      </w:pPr>
    </w:p>
    <w:p w14:paraId="7FD7BDF8" w14:textId="73F38D87" w:rsidR="004E7EE9" w:rsidRDefault="004E7EE9" w:rsidP="004E7EE9">
      <w:pPr>
        <w:rPr>
          <w:rFonts w:ascii="Arial Black" w:hAnsi="Arial Black"/>
          <w:sz w:val="28"/>
          <w:szCs w:val="28"/>
        </w:rPr>
      </w:pPr>
      <w:r>
        <w:rPr>
          <w:rFonts w:ascii="Arial Black" w:hAnsi="Arial Black"/>
          <w:b/>
          <w:sz w:val="24"/>
          <w:szCs w:val="24"/>
        </w:rPr>
        <w:t>8-</w:t>
      </w:r>
      <w:r w:rsidR="00BA1360">
        <w:rPr>
          <w:rFonts w:ascii="Arial Black" w:hAnsi="Arial Black"/>
          <w:b/>
          <w:sz w:val="24"/>
          <w:szCs w:val="24"/>
        </w:rPr>
        <w:t>90</w:t>
      </w:r>
    </w:p>
    <w:p w14:paraId="6D771ED0" w14:textId="77777777" w:rsidR="00EC3DBD" w:rsidRDefault="00EC3DBD" w:rsidP="00EC3DBD">
      <w:pPr>
        <w:pStyle w:val="NoSpacing"/>
        <w:rPr>
          <w:sz w:val="20"/>
          <w:szCs w:val="20"/>
        </w:rPr>
      </w:pPr>
    </w:p>
    <w:p w14:paraId="0DE5F525" w14:textId="77777777" w:rsidR="00EC3DBD" w:rsidRDefault="00EC3DBD" w:rsidP="00EC3DBD">
      <w:pPr>
        <w:pStyle w:val="NoSpacing"/>
        <w:rPr>
          <w:sz w:val="20"/>
          <w:szCs w:val="20"/>
        </w:rPr>
      </w:pPr>
    </w:p>
    <w:p w14:paraId="22C31167" w14:textId="77777777" w:rsidR="00EC3DBD" w:rsidRPr="00AB57EE" w:rsidRDefault="00EC3DBD" w:rsidP="00EC3DBD">
      <w:pPr>
        <w:rPr>
          <w:rFonts w:ascii="Arial Black" w:hAnsi="Arial Black"/>
          <w:b/>
          <w:bCs/>
          <w:sz w:val="28"/>
          <w:szCs w:val="28"/>
        </w:rPr>
      </w:pPr>
      <w:r>
        <w:rPr>
          <w:rFonts w:ascii="Arial Black" w:hAnsi="Arial Black"/>
          <w:b/>
          <w:sz w:val="28"/>
          <w:szCs w:val="28"/>
        </w:rPr>
        <w:t xml:space="preserve">IL: BLACK – FIRED – DROP STATE CASE / CAN PROCEED FED  </w:t>
      </w:r>
    </w:p>
    <w:p w14:paraId="307F70DD" w14:textId="77777777" w:rsidR="00EC3DBD" w:rsidRDefault="00EC3DBD" w:rsidP="00EC3DBD">
      <w:pPr>
        <w:rPr>
          <w:b/>
          <w:bCs/>
        </w:rPr>
      </w:pPr>
      <w:r>
        <w:t xml:space="preserve">On June 8, 2026, in </w:t>
      </w:r>
      <w:proofErr w:type="spellStart"/>
      <w:r w:rsidRPr="00D53D61">
        <w:rPr>
          <w:u w:val="single"/>
        </w:rPr>
        <w:t>Vairrun</w:t>
      </w:r>
      <w:proofErr w:type="spellEnd"/>
      <w:r w:rsidRPr="00D53D61">
        <w:rPr>
          <w:u w:val="single"/>
        </w:rPr>
        <w:t xml:space="preserve"> Strickland v</w:t>
      </w:r>
      <w:r>
        <w:rPr>
          <w:u w:val="single"/>
        </w:rPr>
        <w:t>.</w:t>
      </w:r>
      <w:r w:rsidRPr="00D53D61">
        <w:rPr>
          <w:u w:val="single"/>
        </w:rPr>
        <w:t xml:space="preserve"> City of Markham, et al</w:t>
      </w:r>
      <w:r>
        <w:t xml:space="preserve">., the United States Court of Appeals for the Seventh District (Chicago) held (3 to 0) that trial court improperly dismissed his federal Title VII case alleging retaliation - </w:t>
      </w:r>
      <w:r w:rsidRPr="00036255">
        <w:t>singling him out for minor disciplinary issues and denying</w:t>
      </w:r>
      <w:r>
        <w:t xml:space="preserve"> </w:t>
      </w:r>
      <w:r w:rsidRPr="00036255">
        <w:t>him a promotion</w:t>
      </w:r>
      <w:r>
        <w:t xml:space="preserve"> when he supported another FF’s EEOC case. Case to continue in federal court even though voluntarily dismissed his lawsuit in state court. The Court wrote: “</w:t>
      </w:r>
      <w:r w:rsidRPr="009B102D">
        <w:t>The district</w:t>
      </w:r>
      <w:r>
        <w:t xml:space="preserve"> </w:t>
      </w:r>
      <w:r w:rsidRPr="009B102D">
        <w:t>court thus erred in dismissing Strickland’s Title VII claims on</w:t>
      </w:r>
      <w:r>
        <w:t xml:space="preserve"> </w:t>
      </w:r>
      <w:r w:rsidRPr="009B102D">
        <w:t>claim preclusion grounds</w:t>
      </w:r>
      <w:r>
        <w:t xml:space="preserve">.” </w:t>
      </w:r>
      <w:hyperlink r:id="rId1534" w:history="1">
        <w:r w:rsidRPr="00014504">
          <w:rPr>
            <w:rStyle w:val="Hyperlink"/>
            <w:b/>
          </w:rPr>
          <w:t>https://cases.justia.com/federal/appellate-courts/ca7/24-3262/24-3262-2026-06-08.pdf?ts=1780948846</w:t>
        </w:r>
      </w:hyperlink>
      <w:r>
        <w:rPr>
          <w:b/>
        </w:rPr>
        <w:t xml:space="preserve"> </w:t>
      </w:r>
    </w:p>
    <w:p w14:paraId="24199CF6" w14:textId="77777777" w:rsidR="00EC3DBD" w:rsidRDefault="00EC3DBD" w:rsidP="00EC3DBD">
      <w:pPr>
        <w:pStyle w:val="NoSpacing"/>
        <w:rPr>
          <w:bCs/>
        </w:rPr>
      </w:pPr>
      <w:r w:rsidRPr="00AB37D4">
        <w:rPr>
          <w:b/>
        </w:rPr>
        <w:t>FACTS:</w:t>
      </w:r>
      <w:r>
        <w:t xml:space="preserve"> </w:t>
      </w:r>
    </w:p>
    <w:p w14:paraId="05A75892" w14:textId="77777777" w:rsidR="00EC3DBD" w:rsidRDefault="00EC3DBD" w:rsidP="00EC3DBD">
      <w:pPr>
        <w:pStyle w:val="NoSpacing"/>
        <w:rPr>
          <w:bCs/>
        </w:rPr>
      </w:pPr>
    </w:p>
    <w:p w14:paraId="7FFD8C49" w14:textId="77777777" w:rsidR="00EC3DBD" w:rsidRPr="00B74B2A" w:rsidRDefault="00EC3DBD" w:rsidP="00EC3DBD">
      <w:pPr>
        <w:pStyle w:val="NoSpacing"/>
        <w:rPr>
          <w:bCs/>
        </w:rPr>
      </w:pPr>
      <w:r>
        <w:t>“</w:t>
      </w:r>
      <w:r w:rsidRPr="00131A6D">
        <w:t>Strickland worked as a firefighter for the City of Markham</w:t>
      </w:r>
      <w:r>
        <w:t xml:space="preserve"> </w:t>
      </w:r>
      <w:r w:rsidRPr="00131A6D">
        <w:t>Fire Department for over a decade. In 2020, the Equal</w:t>
      </w:r>
      <w:r>
        <w:t xml:space="preserve"> </w:t>
      </w:r>
      <w:r w:rsidRPr="00036255">
        <w:t>Employment Opportunity Commission interviewed</w:t>
      </w:r>
      <w:r>
        <w:t xml:space="preserve"> </w:t>
      </w:r>
      <w:r w:rsidRPr="00036255">
        <w:t>Strickland during an investigation into discrimination claims</w:t>
      </w:r>
      <w:r>
        <w:t xml:space="preserve"> </w:t>
      </w:r>
      <w:r w:rsidRPr="00036255">
        <w:t>brought by a former firefighter. In the interview, Strickland</w:t>
      </w:r>
      <w:r>
        <w:t xml:space="preserve"> </w:t>
      </w:r>
      <w:r w:rsidRPr="00036255">
        <w:t>described race-based discrimination he had witnessed against</w:t>
      </w:r>
      <w:r>
        <w:t xml:space="preserve"> </w:t>
      </w:r>
      <w:r w:rsidRPr="00036255">
        <w:t>the former firefighter and how Chief Mazziotta had failed to</w:t>
      </w:r>
      <w:r>
        <w:t xml:space="preserve"> </w:t>
      </w:r>
      <w:r w:rsidRPr="00036255">
        <w:t>address it. Strickland alleged that after the interview, Chief</w:t>
      </w:r>
      <w:r>
        <w:t xml:space="preserve"> </w:t>
      </w:r>
      <w:r w:rsidRPr="00036255">
        <w:t>Mazziotta and the Department retaliated against him by</w:t>
      </w:r>
      <w:r>
        <w:t xml:space="preserve"> </w:t>
      </w:r>
      <w:proofErr w:type="gramStart"/>
      <w:r w:rsidRPr="00036255">
        <w:t>singling</w:t>
      </w:r>
      <w:proofErr w:type="gramEnd"/>
      <w:r w:rsidRPr="00036255">
        <w:t xml:space="preserve"> him out for minor disciplinary issues and denying</w:t>
      </w:r>
      <w:r>
        <w:t xml:space="preserve"> </w:t>
      </w:r>
      <w:r w:rsidRPr="00036255">
        <w:t>him a promotion.</w:t>
      </w:r>
      <w:r>
        <w:t xml:space="preserve"> </w:t>
      </w:r>
      <w:r w:rsidRPr="00036255">
        <w:t>In January 2021, the Department brought administrative</w:t>
      </w:r>
      <w:r>
        <w:t xml:space="preserve"> </w:t>
      </w:r>
      <w:r w:rsidRPr="00036255">
        <w:t>charges against Strickland. After hearings on the charges, the</w:t>
      </w:r>
      <w:r>
        <w:t xml:space="preserve"> </w:t>
      </w:r>
      <w:r w:rsidRPr="00036255">
        <w:t>Board of Fire and Police Commissioners terminated his</w:t>
      </w:r>
      <w:r>
        <w:t xml:space="preserve"> </w:t>
      </w:r>
      <w:r w:rsidRPr="00036255">
        <w:t>employment in April 2021, finding that Strickland had lied to</w:t>
      </w:r>
      <w:r>
        <w:t xml:space="preserve"> </w:t>
      </w:r>
      <w:r w:rsidRPr="00036255">
        <w:t>detectives during an arson investigation and had put</w:t>
      </w:r>
      <w:r>
        <w:t xml:space="preserve"> </w:t>
      </w:r>
      <w:r w:rsidRPr="00036255">
        <w:t>Department employees at risk by coming to work while</w:t>
      </w:r>
      <w:r>
        <w:t xml:space="preserve"> </w:t>
      </w:r>
      <w:r w:rsidRPr="00036255">
        <w:t>infected with COVID-19.</w:t>
      </w:r>
      <w:r>
        <w:t xml:space="preserve">  </w:t>
      </w:r>
      <w:r w:rsidRPr="00B74B2A">
        <w:t>The next month, Strickland filed a lawsuit in state court</w:t>
      </w:r>
    </w:p>
    <w:p w14:paraId="3CFBD603" w14:textId="77777777" w:rsidR="00EC3DBD" w:rsidRDefault="00EC3DBD" w:rsidP="00EC3DBD">
      <w:pPr>
        <w:pStyle w:val="NoSpacing"/>
        <w:rPr>
          <w:bCs/>
        </w:rPr>
      </w:pPr>
      <w:r w:rsidRPr="00B74B2A">
        <w:t xml:space="preserve">challenging the Board’s decision. The court </w:t>
      </w:r>
      <w:proofErr w:type="gramStart"/>
      <w:r w:rsidRPr="00B74B2A">
        <w:t>remanded</w:t>
      </w:r>
      <w:proofErr w:type="gramEnd"/>
      <w:r w:rsidRPr="00B74B2A">
        <w:t xml:space="preserve"> while</w:t>
      </w:r>
      <w:r>
        <w:t xml:space="preserve"> </w:t>
      </w:r>
      <w:r w:rsidRPr="00B74B2A">
        <w:t>retaining jurisdiction over the case and instructed the Board</w:t>
      </w:r>
      <w:r>
        <w:t xml:space="preserve"> </w:t>
      </w:r>
      <w:r w:rsidRPr="00B74B2A">
        <w:t>to enter an amended decision with additional information.</w:t>
      </w:r>
      <w:r>
        <w:t xml:space="preserve"> </w:t>
      </w:r>
      <w:r w:rsidRPr="00B74B2A">
        <w:t>The Board did so and again discharged Strickland. After the</w:t>
      </w:r>
      <w:r>
        <w:t xml:space="preserve"> </w:t>
      </w:r>
      <w:r w:rsidRPr="00B74B2A">
        <w:t>Board issued its amended decision in April 2022, Strickland</w:t>
      </w:r>
      <w:r>
        <w:t xml:space="preserve"> </w:t>
      </w:r>
      <w:r w:rsidRPr="00B74B2A">
        <w:t>voluntarily dismissed his state-court lawsuit. He did not</w:t>
      </w:r>
      <w:r>
        <w:t xml:space="preserve"> </w:t>
      </w:r>
      <w:r w:rsidRPr="00B74B2A">
        <w:t>otherwise seek direct review of the amended decision in state</w:t>
      </w:r>
      <w:r>
        <w:t xml:space="preserve"> </w:t>
      </w:r>
      <w:r w:rsidRPr="00B74B2A">
        <w:t>court.</w:t>
      </w:r>
      <w:r>
        <w:t>”</w:t>
      </w:r>
    </w:p>
    <w:p w14:paraId="244E16EB" w14:textId="77777777" w:rsidR="00EC3DBD" w:rsidRDefault="00EC3DBD" w:rsidP="00EC3DBD">
      <w:pPr>
        <w:pStyle w:val="NoSpacing"/>
        <w:rPr>
          <w:bCs/>
        </w:rPr>
      </w:pPr>
    </w:p>
    <w:p w14:paraId="62D20970" w14:textId="77777777" w:rsidR="00EC3DBD" w:rsidRDefault="00EC3DBD" w:rsidP="00EC3DBD">
      <w:pPr>
        <w:pStyle w:val="NoSpacing"/>
        <w:rPr>
          <w:bCs/>
        </w:rPr>
      </w:pPr>
      <w:r w:rsidRPr="00AB37D4">
        <w:rPr>
          <w:b/>
        </w:rPr>
        <w:t>COURT HELD:</w:t>
      </w:r>
      <w:r>
        <w:t xml:space="preserve"> </w:t>
      </w:r>
    </w:p>
    <w:p w14:paraId="2EC10640" w14:textId="77777777" w:rsidR="00EC3DBD" w:rsidRDefault="00EC3DBD" w:rsidP="00EC3DBD">
      <w:pPr>
        <w:pStyle w:val="NoSpacing"/>
        <w:rPr>
          <w:bCs/>
        </w:rPr>
      </w:pPr>
    </w:p>
    <w:p w14:paraId="3E1982B1" w14:textId="77777777" w:rsidR="00EC3DBD" w:rsidRDefault="00EC3DBD" w:rsidP="00EC3DBD">
      <w:pPr>
        <w:pStyle w:val="NoSpacing"/>
        <w:rPr>
          <w:bCs/>
        </w:rPr>
      </w:pPr>
      <w:r>
        <w:t>“</w:t>
      </w:r>
      <w:r w:rsidRPr="000C51C9">
        <w:t>Strickland argues that the court improperly</w:t>
      </w:r>
      <w:r>
        <w:t xml:space="preserve"> </w:t>
      </w:r>
      <w:r w:rsidRPr="000C51C9">
        <w:t>rested the first element on the Board’s decision and resolved</w:t>
      </w:r>
      <w:r>
        <w:t xml:space="preserve"> </w:t>
      </w:r>
      <w:r w:rsidRPr="000C51C9">
        <w:t>the other questions based on the state suit. He maintains that</w:t>
      </w:r>
      <w:r>
        <w:t xml:space="preserve"> </w:t>
      </w:r>
      <w:r w:rsidRPr="000C51C9">
        <w:t>administrative proceedings and state-court judgments should</w:t>
      </w:r>
      <w:r>
        <w:t xml:space="preserve"> </w:t>
      </w:r>
      <w:r w:rsidRPr="000C51C9">
        <w:t>be evaluated differently for purposes of claim preclusion.</w:t>
      </w:r>
      <w:r>
        <w:t xml:space="preserve"> </w:t>
      </w:r>
      <w:r w:rsidRPr="000C51C9">
        <w:t>Strickland is partially correct that the administrative</w:t>
      </w:r>
      <w:r>
        <w:t xml:space="preserve"> </w:t>
      </w:r>
      <w:r w:rsidRPr="000C51C9">
        <w:t>proceedings and state litigation cannot be treated as</w:t>
      </w:r>
      <w:r>
        <w:t xml:space="preserve"> </w:t>
      </w:r>
      <w:r w:rsidRPr="000C51C9">
        <w:t>equivalents. The Supreme Court’s decisions on the federal</w:t>
      </w:r>
      <w:r>
        <w:t xml:space="preserve"> </w:t>
      </w:r>
      <w:r w:rsidRPr="000C51C9">
        <w:t>law of preclusion distinguish between state-court judgments</w:t>
      </w:r>
      <w:r>
        <w:t xml:space="preserve"> </w:t>
      </w:r>
      <w:r w:rsidRPr="000C51C9">
        <w:t>and administrative decisions, particularly as applied to Title</w:t>
      </w:r>
      <w:r>
        <w:t xml:space="preserve"> </w:t>
      </w:r>
      <w:r w:rsidRPr="000C51C9">
        <w:t>VII claims</w:t>
      </w:r>
      <w:r>
        <w:t xml:space="preserve">…. </w:t>
      </w:r>
      <w:r w:rsidRPr="009B102D">
        <w:t>The district</w:t>
      </w:r>
      <w:r>
        <w:t xml:space="preserve"> </w:t>
      </w:r>
      <w:r w:rsidRPr="009B102D">
        <w:t>court thus erred in dismissing Strickland’s Title VII claims on</w:t>
      </w:r>
      <w:r>
        <w:t xml:space="preserve"> </w:t>
      </w:r>
      <w:r w:rsidRPr="009B102D">
        <w:t>claim preclusion grounds.</w:t>
      </w:r>
      <w:r>
        <w:t>”</w:t>
      </w:r>
    </w:p>
    <w:p w14:paraId="73B7980A" w14:textId="77777777" w:rsidR="00EC3DBD" w:rsidRDefault="00EC3DBD" w:rsidP="00EC3DBD">
      <w:pPr>
        <w:pStyle w:val="NoSpacing"/>
        <w:rPr>
          <w:bCs/>
        </w:rPr>
      </w:pPr>
    </w:p>
    <w:p w14:paraId="6550AC5F" w14:textId="77777777" w:rsidR="00EC3DBD" w:rsidRPr="00FD2071" w:rsidRDefault="00EC3DBD" w:rsidP="00EC3DBD">
      <w:pPr>
        <w:pStyle w:val="NoSpacing"/>
        <w:rPr>
          <w:b/>
        </w:rPr>
      </w:pPr>
      <w:r>
        <w:rPr>
          <w:b/>
        </w:rPr>
        <w:t xml:space="preserve">Legal lesson learned: Title VII claims may proceed in federal court, even if firefighter voluntarily dropped his state court case. </w:t>
      </w:r>
    </w:p>
    <w:p w14:paraId="60664028" w14:textId="77777777" w:rsidR="00EC3DBD" w:rsidRDefault="00EC3DBD" w:rsidP="007265BA">
      <w:pPr>
        <w:pStyle w:val="NoSpacing"/>
        <w:rPr>
          <w:b/>
          <w:bCs/>
        </w:rPr>
      </w:pPr>
    </w:p>
    <w:p w14:paraId="1C9AE547" w14:textId="77777777" w:rsidR="007265BA" w:rsidRDefault="007265BA" w:rsidP="009B3A7B">
      <w:pPr>
        <w:rPr>
          <w:rFonts w:ascii="Arial Black" w:hAnsi="Arial Black"/>
          <w:b/>
          <w:sz w:val="24"/>
          <w:szCs w:val="24"/>
        </w:rPr>
      </w:pPr>
    </w:p>
    <w:p w14:paraId="03A2A792" w14:textId="05D37778" w:rsidR="009B3A7B" w:rsidRDefault="009B3A7B" w:rsidP="009B3A7B">
      <w:pPr>
        <w:rPr>
          <w:rFonts w:ascii="Arial Black" w:hAnsi="Arial Black"/>
          <w:sz w:val="28"/>
          <w:szCs w:val="28"/>
        </w:rPr>
      </w:pPr>
      <w:r>
        <w:rPr>
          <w:rFonts w:ascii="Arial Black" w:hAnsi="Arial Black"/>
          <w:b/>
          <w:sz w:val="24"/>
          <w:szCs w:val="24"/>
        </w:rPr>
        <w:t>8-89</w:t>
      </w:r>
    </w:p>
    <w:p w14:paraId="67201691" w14:textId="5C99641E" w:rsidR="00EA21DB" w:rsidRPr="001A4A62" w:rsidRDefault="00EA21DB" w:rsidP="00EA21DB">
      <w:pPr>
        <w:pStyle w:val="NoSpacing"/>
        <w:rPr>
          <w:rFonts w:ascii="Arial Black" w:hAnsi="Arial Black"/>
          <w:sz w:val="28"/>
          <w:szCs w:val="28"/>
        </w:rPr>
      </w:pPr>
      <w:r>
        <w:rPr>
          <w:rFonts w:ascii="Arial Black" w:hAnsi="Arial Black"/>
          <w:sz w:val="28"/>
          <w:szCs w:val="28"/>
        </w:rPr>
        <w:t xml:space="preserve">U.S. SUP. CT: VOTING - “RACIAL GERRYMANDERING” </w:t>
      </w:r>
    </w:p>
    <w:p w14:paraId="550E9DD4" w14:textId="77777777" w:rsidR="00EA21DB" w:rsidRDefault="00EA21DB" w:rsidP="00EA21DB">
      <w:pPr>
        <w:pStyle w:val="NoSpacing"/>
      </w:pPr>
    </w:p>
    <w:p w14:paraId="2CC9B019" w14:textId="77777777" w:rsidR="00EA21DB" w:rsidRDefault="00EA21DB" w:rsidP="00EA21DB">
      <w:pPr>
        <w:pStyle w:val="NoSpacing"/>
      </w:pPr>
      <w:r>
        <w:t xml:space="preserve">On April 29, 2026, in </w:t>
      </w:r>
      <w:r w:rsidRPr="004E1D28">
        <w:rPr>
          <w:u w:val="single"/>
        </w:rPr>
        <w:t xml:space="preserve">Louisiana v. </w:t>
      </w:r>
      <w:r>
        <w:rPr>
          <w:u w:val="single"/>
        </w:rPr>
        <w:t xml:space="preserve">Phillip </w:t>
      </w:r>
      <w:r w:rsidRPr="004E1D28">
        <w:rPr>
          <w:u w:val="single"/>
        </w:rPr>
        <w:t>Callais, et al</w:t>
      </w:r>
      <w:r>
        <w:t xml:space="preserve">., the U.S. Supreme Court held (6 to 3) that the Louisiana Legislature improperly created a second majority-black congressional voting district. It is predicted that the decision will result in a new map that likely will cost </w:t>
      </w:r>
      <w:r w:rsidRPr="00AC6148">
        <w:t>Democrats at least one seat in Congress. </w:t>
      </w:r>
    </w:p>
    <w:p w14:paraId="50758001" w14:textId="77777777" w:rsidR="00EA21DB" w:rsidRDefault="00EA21DB" w:rsidP="00EA21DB">
      <w:pPr>
        <w:pStyle w:val="NoSpacing"/>
      </w:pPr>
    </w:p>
    <w:p w14:paraId="46BC86CC" w14:textId="77777777" w:rsidR="00EA21DB" w:rsidRDefault="00EA21DB" w:rsidP="00EA21DB">
      <w:pPr>
        <w:pStyle w:val="NoSpacing"/>
      </w:pPr>
      <w:r>
        <w:t xml:space="preserve">In 2022, a federal judge in Louisiana held 5-days of hearing on a new congressional map written </w:t>
      </w:r>
    </w:p>
    <w:p w14:paraId="498C112E" w14:textId="77777777" w:rsidR="00EA21DB" w:rsidRDefault="00EA21DB" w:rsidP="00EA21DB">
      <w:pPr>
        <w:pStyle w:val="NoSpacing"/>
      </w:pPr>
      <w:r>
        <w:t xml:space="preserve">after the 2020 census.  He determined that the new map improperly kept in place only the one majority-black district [created in 1983], and ordered a new map be drawn </w:t>
      </w:r>
      <w:proofErr w:type="gramStart"/>
      <w:r>
        <w:t>per</w:t>
      </w:r>
      <w:proofErr w:type="gramEnd"/>
      <w:r>
        <w:t xml:space="preserve"> the Voting Rights Act of 1965.  The second map created a second majority-black district, which stretches “some 250 miles from Shreveport in the northwest corner of the state to Baton Rouge in southeast Louisiana, slicing through metropolitan areas to scoop up pockets of predominantly Black populations from Shreveport, Alexandria, Lafayette, and Baton Rouge.”   A three-judge court found the second map was unconstitutional “racial gerrymander.”  The U.S. Supreme Court’s six majority Justices agreed with three-judge court.  </w:t>
      </w:r>
      <w:hyperlink r:id="rId1535" w:history="1">
        <w:r w:rsidRPr="00A02756">
          <w:rPr>
            <w:rStyle w:val="Hyperlink"/>
          </w:rPr>
          <w:t>https://www.supremecourt.gov/opinions/25pdf/24-109_21o3.pdf</w:t>
        </w:r>
      </w:hyperlink>
      <w:r>
        <w:t xml:space="preserve"> </w:t>
      </w:r>
    </w:p>
    <w:p w14:paraId="1D7C0015" w14:textId="77777777" w:rsidR="00EA21DB" w:rsidRDefault="00EA21DB" w:rsidP="00EA21DB">
      <w:pPr>
        <w:pStyle w:val="NoSpacing"/>
      </w:pPr>
    </w:p>
    <w:p w14:paraId="391BEE76" w14:textId="77777777" w:rsidR="00EA21DB" w:rsidRDefault="00EA21DB" w:rsidP="00EA21DB">
      <w:pPr>
        <w:pStyle w:val="NoSpacing"/>
      </w:pPr>
    </w:p>
    <w:p w14:paraId="7F97ED9E" w14:textId="77777777" w:rsidR="00EA21DB" w:rsidRDefault="00EA21DB" w:rsidP="00EA21DB">
      <w:pPr>
        <w:pStyle w:val="NoSpacing"/>
      </w:pPr>
      <w:r>
        <w:t>THE COURT HELD: (opinion by Justice Samuel Alito):</w:t>
      </w:r>
    </w:p>
    <w:p w14:paraId="0283D4EB" w14:textId="77777777" w:rsidR="00EA21DB" w:rsidRDefault="00EA21DB" w:rsidP="00EA21DB">
      <w:pPr>
        <w:pStyle w:val="NoSpacing"/>
      </w:pPr>
    </w:p>
    <w:p w14:paraId="168BDB12" w14:textId="77777777" w:rsidR="00EA21DB" w:rsidRDefault="00EA21DB" w:rsidP="00EA21DB">
      <w:pPr>
        <w:pStyle w:val="NoSpacing"/>
        <w:ind w:left="720"/>
      </w:pPr>
      <w:r>
        <w:t xml:space="preserve">“Section 2 of the Voting Rights Act of 1965, 52 U. S. C. §10301 et seq., was designed to enforce the Constitution— not collide with it. Unfortunately, lower courts have </w:t>
      </w:r>
    </w:p>
    <w:p w14:paraId="0E5FEEA7" w14:textId="77777777" w:rsidR="00EA21DB" w:rsidRDefault="00EA21DB" w:rsidP="00EA21DB">
      <w:pPr>
        <w:pStyle w:val="NoSpacing"/>
        <w:ind w:left="720"/>
      </w:pPr>
      <w:r>
        <w:t>sometimes applied this Court’s §2 precedents in a way that forces States to engage in the very race-based discrimination that the Constitution forbids…. {A]</w:t>
      </w:r>
      <w:proofErr w:type="spellStart"/>
      <w:r>
        <w:t>llowing</w:t>
      </w:r>
      <w:proofErr w:type="spellEnd"/>
      <w:r>
        <w:t xml:space="preserve"> race to play any part in government decision making represents a departure from the constitutional rule that applies in almost every other context…. Compliance with §2 [of Voting Rights Act] thus could not justify the State’s use of race-based redistricting here. The State’s attempt to satisfy the [federal judge’s] ruling, although understandable, was an unconstitutional racial gerrymander….” </w:t>
      </w:r>
      <w:hyperlink r:id="rId1536" w:history="1">
        <w:r w:rsidRPr="00A02756">
          <w:rPr>
            <w:rStyle w:val="Hyperlink"/>
          </w:rPr>
          <w:t>https://www.supremecourt.gov/opinions/25pdf/24-109_21o3.pdf</w:t>
        </w:r>
      </w:hyperlink>
      <w:r>
        <w:t xml:space="preserve"> </w:t>
      </w:r>
    </w:p>
    <w:p w14:paraId="11532E20" w14:textId="77777777" w:rsidR="00EA21DB" w:rsidRDefault="00EA21DB" w:rsidP="00EA21DB">
      <w:pPr>
        <w:pStyle w:val="NoSpacing"/>
      </w:pPr>
    </w:p>
    <w:p w14:paraId="3F1D309B" w14:textId="77777777" w:rsidR="00EA21DB" w:rsidRDefault="00EA21DB" w:rsidP="00EA21DB">
      <w:pPr>
        <w:pStyle w:val="NoSpacing"/>
      </w:pPr>
    </w:p>
    <w:p w14:paraId="5DDE7FE0" w14:textId="77777777" w:rsidR="00EA21DB" w:rsidRDefault="00EA21DB" w:rsidP="00EA21DB">
      <w:pPr>
        <w:pStyle w:val="NoSpacing"/>
      </w:pPr>
      <w:r>
        <w:t xml:space="preserve">JUSTICE THOMAS [Concurring opinion]: </w:t>
      </w:r>
    </w:p>
    <w:p w14:paraId="3BDC9ED9" w14:textId="77777777" w:rsidR="00EA21DB" w:rsidRDefault="00EA21DB" w:rsidP="00EA21DB">
      <w:pPr>
        <w:pStyle w:val="NoSpacing"/>
        <w:ind w:left="720"/>
      </w:pPr>
    </w:p>
    <w:p w14:paraId="19C6C8F2" w14:textId="77777777" w:rsidR="00EA21DB" w:rsidRDefault="00EA21DB" w:rsidP="00EA21DB">
      <w:pPr>
        <w:pStyle w:val="NoSpacing"/>
        <w:ind w:left="720"/>
      </w:pPr>
      <w:r>
        <w:t xml:space="preserve">“I join the Court’s opinion in full. This Court should never have interpreted §2 of the Voting Rights Act of 1965 to effectively give racial groups ‘an entitlement to roughly proportional representation.’….   Today’s decision </w:t>
      </w:r>
      <w:proofErr w:type="gramStart"/>
      <w:r>
        <w:t>should largely</w:t>
      </w:r>
      <w:proofErr w:type="gramEnd"/>
      <w:r>
        <w:t xml:space="preserve"> put an end to this</w:t>
      </w:r>
    </w:p>
    <w:p w14:paraId="7A17A4C8" w14:textId="77777777" w:rsidR="00EA21DB" w:rsidRDefault="00EA21DB" w:rsidP="00EA21DB">
      <w:pPr>
        <w:pStyle w:val="NoSpacing"/>
        <w:ind w:left="720"/>
      </w:pPr>
      <w:r>
        <w:t>“</w:t>
      </w:r>
      <w:proofErr w:type="gramStart"/>
      <w:r>
        <w:t>disastrous</w:t>
      </w:r>
      <w:proofErr w:type="gramEnd"/>
      <w:r>
        <w:t xml:space="preserve"> misadventure” in voting-rights jurisprudence…. As I explained more than 30 years ago, I would go further and hold that §2 of the Voting Rights Act does not regulate districting at all.”</w:t>
      </w:r>
    </w:p>
    <w:p w14:paraId="781987AF" w14:textId="77777777" w:rsidR="00EA21DB" w:rsidRDefault="00EA21DB" w:rsidP="00EA21DB">
      <w:pPr>
        <w:pStyle w:val="NoSpacing"/>
      </w:pPr>
    </w:p>
    <w:p w14:paraId="06774EAC" w14:textId="77777777" w:rsidR="00EA21DB" w:rsidRDefault="00EA21DB" w:rsidP="00EA21DB">
      <w:pPr>
        <w:pStyle w:val="NoSpacing"/>
      </w:pPr>
      <w:r>
        <w:t xml:space="preserve">DISSENT [opinion by Justice Elena Kagan]:  </w:t>
      </w:r>
    </w:p>
    <w:p w14:paraId="2A11C6F8" w14:textId="77777777" w:rsidR="00EA21DB" w:rsidRDefault="00EA21DB" w:rsidP="00EA21DB">
      <w:pPr>
        <w:pStyle w:val="NoSpacing"/>
      </w:pPr>
    </w:p>
    <w:p w14:paraId="070AF190" w14:textId="77777777" w:rsidR="00EA21DB" w:rsidRDefault="00EA21DB" w:rsidP="00EA21DB">
      <w:pPr>
        <w:pStyle w:val="NoSpacing"/>
        <w:ind w:left="720"/>
      </w:pPr>
      <w:r>
        <w:t xml:space="preserve">“The State’s District 2 has had a Black majority since 1983, when a vote-dilution suit forced its creation. If Louisiana were tomorrow to slice up District 2, dispersing its Black residents among the rest, it is hard to see how the now judicially amended Section 2 could stand in the way. The State presumably would assert as its ‘political goal’ an </w:t>
      </w:r>
    </w:p>
    <w:p w14:paraId="49E1D024" w14:textId="77777777" w:rsidR="00EA21DB" w:rsidRDefault="00EA21DB" w:rsidP="00EA21DB">
      <w:pPr>
        <w:pStyle w:val="NoSpacing"/>
        <w:ind w:left="720"/>
      </w:pPr>
      <w:r>
        <w:t>all-Republican congressional delegation; in other words, it would announce a partisan gerrymander….  And because of the severe racial polarization in the State, that</w:t>
      </w:r>
    </w:p>
    <w:p w14:paraId="76FAE312" w14:textId="77777777" w:rsidR="00EA21DB" w:rsidRDefault="00EA21DB" w:rsidP="00EA21DB">
      <w:pPr>
        <w:pStyle w:val="NoSpacing"/>
        <w:ind w:left="720"/>
      </w:pPr>
      <w:r>
        <w:t xml:space="preserve">goal would be incompatible with maintaining District 2 as is. So those advocating for its majority-minority composition would almost surely lose at the first </w:t>
      </w:r>
      <w:r w:rsidRPr="00F729DF">
        <w:rPr>
          <w:i/>
          <w:iCs/>
        </w:rPr>
        <w:t>Callais</w:t>
      </w:r>
      <w:r>
        <w:t xml:space="preserve"> requirement (and, as above, at the others as well). Repeated often enough across the country, the same districting practice— really, hinging only on the partisan ambitions (or restraint) of state legislatures—could destroy most of the majority- minority districts that in the past 40 years the Voting Rights Act created.”</w:t>
      </w:r>
    </w:p>
    <w:p w14:paraId="11E61C42" w14:textId="77777777" w:rsidR="00EA21DB" w:rsidRDefault="00EA21DB" w:rsidP="00EA21DB">
      <w:pPr>
        <w:pStyle w:val="NoSpacing"/>
        <w:ind w:left="720"/>
      </w:pPr>
    </w:p>
    <w:p w14:paraId="43D6C70D" w14:textId="77777777" w:rsidR="00EA21DB" w:rsidRPr="00E04FBC" w:rsidRDefault="00EA21DB" w:rsidP="00EA21DB">
      <w:pPr>
        <w:rPr>
          <w:b/>
          <w:bCs/>
        </w:rPr>
      </w:pPr>
      <w:r w:rsidRPr="001C33AB">
        <w:rPr>
          <w:b/>
        </w:rPr>
        <w:t xml:space="preserve">Legal lesson learned: </w:t>
      </w:r>
      <w:r>
        <w:rPr>
          <w:b/>
        </w:rPr>
        <w:t xml:space="preserve"> This is a “landmark” decision, with lots of potential political impact.  </w:t>
      </w:r>
    </w:p>
    <w:p w14:paraId="4DE862B8" w14:textId="77777777" w:rsidR="00EA21DB" w:rsidRDefault="00EA21DB" w:rsidP="00BC70A3">
      <w:pPr>
        <w:rPr>
          <w:rFonts w:ascii="Arial Black" w:hAnsi="Arial Black"/>
          <w:b/>
          <w:sz w:val="24"/>
          <w:szCs w:val="24"/>
        </w:rPr>
      </w:pPr>
    </w:p>
    <w:p w14:paraId="2AD73CEC" w14:textId="726098F9" w:rsidR="007A3239" w:rsidRDefault="007A3239" w:rsidP="00456C91">
      <w:pPr>
        <w:rPr>
          <w:rFonts w:ascii="Arial Black" w:hAnsi="Arial Black"/>
          <w:b/>
          <w:sz w:val="24"/>
          <w:szCs w:val="24"/>
        </w:rPr>
      </w:pPr>
      <w:r>
        <w:rPr>
          <w:rFonts w:ascii="Arial Black" w:hAnsi="Arial Black"/>
          <w:b/>
          <w:sz w:val="24"/>
          <w:szCs w:val="24"/>
        </w:rPr>
        <w:t>8-88</w:t>
      </w:r>
    </w:p>
    <w:p w14:paraId="4ACD4B84" w14:textId="77777777" w:rsidR="008626B6" w:rsidRPr="000A0D97" w:rsidRDefault="008626B6" w:rsidP="008626B6">
      <w:pPr>
        <w:pStyle w:val="NoSpacing"/>
        <w:rPr>
          <w:rFonts w:ascii="Arial Black" w:hAnsi="Arial Black"/>
          <w:sz w:val="28"/>
          <w:szCs w:val="28"/>
        </w:rPr>
      </w:pPr>
      <w:r>
        <w:rPr>
          <w:rFonts w:ascii="Arial Black" w:hAnsi="Arial Black"/>
          <w:sz w:val="28"/>
          <w:szCs w:val="28"/>
        </w:rPr>
        <w:t>OH: WHITE CAPT – No.1 LIST - NOT PROMOTED D/C TWICE</w:t>
      </w:r>
    </w:p>
    <w:p w14:paraId="40D6E9B5" w14:textId="77777777" w:rsidR="008626B6" w:rsidRDefault="008626B6" w:rsidP="008626B6">
      <w:pPr>
        <w:pStyle w:val="NoSpacing"/>
      </w:pPr>
    </w:p>
    <w:p w14:paraId="0FD0AE08" w14:textId="77777777" w:rsidR="008626B6" w:rsidRDefault="008626B6" w:rsidP="008626B6">
      <w:pPr>
        <w:pStyle w:val="NoSpacing"/>
      </w:pPr>
      <w:r>
        <w:t xml:space="preserve">On December 29, 2025, in </w:t>
      </w:r>
      <w:r w:rsidRPr="00B92028">
        <w:rPr>
          <w:u w:val="single"/>
        </w:rPr>
        <w:t>Michael Haas v. City of Akron, et al</w:t>
      </w:r>
      <w:r>
        <w:t xml:space="preserve">., U.S. District Court Judge . Philip Calabrese, United States District Court for the Northern District of Ohio, Eastern Division, held that individual defendants, including the Fire Chief cannot be individually sued for </w:t>
      </w:r>
      <w:r w:rsidRPr="009806C0">
        <w:t xml:space="preserve">conspiracy </w:t>
      </w:r>
      <w:r>
        <w:t xml:space="preserve">to deny him promotion.  Case may now proceed </w:t>
      </w:r>
      <w:proofErr w:type="gramStart"/>
      <w:r>
        <w:t>to</w:t>
      </w:r>
      <w:proofErr w:type="gramEnd"/>
      <w:r>
        <w:t xml:space="preserve"> pretrial discovery against the </w:t>
      </w:r>
      <w:proofErr w:type="gramStart"/>
      <w:r>
        <w:t>City</w:t>
      </w:r>
      <w:proofErr w:type="gramEnd"/>
      <w:r>
        <w:t xml:space="preserve">. In April 2024, he was ranked first of six candidates for District Chief.  </w:t>
      </w:r>
      <w:proofErr w:type="gramStart"/>
      <w:r>
        <w:t>August,</w:t>
      </w:r>
      <w:proofErr w:type="gramEnd"/>
      <w:r>
        <w:t xml:space="preserve"> 2024 a black female (ranked No. 5 on list) was promoted (using the “Rule of five) to District Chief; and in </w:t>
      </w:r>
      <w:r w:rsidRPr="00C159C1">
        <w:t>September 2024, Haas filed a charge of discrimination with the Equal Employment Opportunity Commission</w:t>
      </w:r>
      <w:r>
        <w:t>.  I</w:t>
      </w:r>
      <w:r w:rsidRPr="004D6CA4">
        <w:t xml:space="preserve">n March 2025, another District Chief retired, and the position was left vacant. The next month, Local 330 urged </w:t>
      </w:r>
      <w:r>
        <w:t xml:space="preserve">the Fire Chief </w:t>
      </w:r>
      <w:r w:rsidRPr="004D6CA4">
        <w:t>to fill the position using the 2024 promotional list, which ranked</w:t>
      </w:r>
      <w:r>
        <w:t xml:space="preserve"> </w:t>
      </w:r>
      <w:r w:rsidRPr="004D6CA4">
        <w:t>Haas as the top candidate</w:t>
      </w:r>
      <w:r>
        <w:t xml:space="preserve">, but the Chief </w:t>
      </w:r>
      <w:r w:rsidRPr="004D6CA4">
        <w:t xml:space="preserve">denied Local 330's grievance and refused to promote Mr. Haas to the open position. </w:t>
      </w:r>
      <w:hyperlink r:id="rId1537" w:history="1">
        <w:r w:rsidRPr="00091B3B">
          <w:rPr>
            <w:rStyle w:val="Hyperlink"/>
          </w:rPr>
          <w:t>https://cases.justia.com/federal/district-courts/ohio/ohndce/5:2025cv00885/316724/27/0.pdf?ts=1767103886</w:t>
        </w:r>
      </w:hyperlink>
      <w:r>
        <w:t xml:space="preserve"> </w:t>
      </w:r>
    </w:p>
    <w:p w14:paraId="53B12440" w14:textId="77777777" w:rsidR="008626B6" w:rsidRDefault="008626B6" w:rsidP="008626B6">
      <w:pPr>
        <w:pStyle w:val="NoSpacing"/>
      </w:pPr>
    </w:p>
    <w:p w14:paraId="4DC87FB2" w14:textId="77777777" w:rsidR="008626B6" w:rsidRDefault="008626B6" w:rsidP="008626B6">
      <w:pPr>
        <w:pStyle w:val="NoSpacing"/>
        <w:rPr>
          <w:b/>
        </w:rPr>
      </w:pPr>
      <w:r>
        <w:t>THE COURT HELD:</w:t>
      </w:r>
    </w:p>
    <w:p w14:paraId="1FD79E57" w14:textId="77777777" w:rsidR="008626B6" w:rsidRDefault="008626B6" w:rsidP="008626B6">
      <w:pPr>
        <w:pStyle w:val="NoSpacing"/>
      </w:pPr>
    </w:p>
    <w:p w14:paraId="2DE23ECE" w14:textId="77777777" w:rsidR="008626B6" w:rsidRDefault="008626B6" w:rsidP="008626B6">
      <w:pPr>
        <w:pStyle w:val="NoSpacing"/>
        <w:ind w:left="720"/>
      </w:pPr>
      <w:r>
        <w:t>“</w:t>
      </w:r>
      <w:r w:rsidRPr="00BE7DD9">
        <w:t>Plaintiff Michael Haas is a white male who became a firefighter for the City of Akron, Ohio in July 1997</w:t>
      </w:r>
      <w:r>
        <w:t xml:space="preserve">…. </w:t>
      </w:r>
      <w:r w:rsidRPr="00BE7DD9">
        <w:t>From 2017 to 2024, Mr. Haas served as Akron's Captain of Fire Prevention and Fire Training and Safety Officer</w:t>
      </w:r>
      <w:r>
        <w:t>….</w:t>
      </w:r>
      <w:r w:rsidRPr="00BE7DD9">
        <w:t>From 2021 to 2023, Mr. Haas also served as Provisional Chief in Fire Training and in Fire Prevention</w:t>
      </w:r>
      <w:r>
        <w:t>….</w:t>
      </w:r>
      <w:r w:rsidRPr="00BE7DD9">
        <w:t>In 2024, at the age of 57, Mr. Haas participated in Akron's promotional process for consideration for a recently opened District Chief position</w:t>
      </w:r>
      <w:r>
        <w:t>….</w:t>
      </w:r>
      <w:r w:rsidRPr="00BE7DD9">
        <w:t>In April 2024, Mr. Haas was ranked first of six potential candidates for the position</w:t>
      </w:r>
      <w:r>
        <w:t>….</w:t>
      </w:r>
      <w:r w:rsidRPr="00BE7DD9">
        <w:t xml:space="preserve"> Before this ranking, Mr. Haas had no disciplinary history.</w:t>
      </w:r>
    </w:p>
    <w:p w14:paraId="5B903E73" w14:textId="77777777" w:rsidR="008626B6" w:rsidRDefault="008626B6" w:rsidP="008626B6">
      <w:pPr>
        <w:pStyle w:val="NoSpacing"/>
        <w:ind w:left="720"/>
      </w:pPr>
    </w:p>
    <w:p w14:paraId="47B8A4E8" w14:textId="77777777" w:rsidR="008626B6" w:rsidRDefault="008626B6" w:rsidP="008626B6">
      <w:pPr>
        <w:pStyle w:val="NoSpacing"/>
        <w:ind w:left="720"/>
      </w:pPr>
      <w:r>
        <w:t>***</w:t>
      </w:r>
    </w:p>
    <w:p w14:paraId="119B3E09" w14:textId="77777777" w:rsidR="008626B6" w:rsidRDefault="008626B6" w:rsidP="008626B6">
      <w:pPr>
        <w:ind w:left="720"/>
        <w:rPr>
          <w:bCs/>
        </w:rPr>
      </w:pPr>
      <w:r w:rsidRPr="00951C21">
        <w:t xml:space="preserve">At all relevant times, Defendant Leon Henderson, an African American man, served as the acting Fire Chief for the City of Akron. </w:t>
      </w:r>
    </w:p>
    <w:p w14:paraId="0BA7AC60" w14:textId="77777777" w:rsidR="008626B6" w:rsidRDefault="008626B6" w:rsidP="008626B6">
      <w:pPr>
        <w:ind w:left="720"/>
        <w:rPr>
          <w:bCs/>
        </w:rPr>
      </w:pPr>
      <w:r>
        <w:t>***</w:t>
      </w:r>
    </w:p>
    <w:p w14:paraId="3A8C8ED4" w14:textId="77777777" w:rsidR="008626B6" w:rsidRPr="00BA60D7" w:rsidRDefault="008626B6" w:rsidP="008626B6">
      <w:pPr>
        <w:pStyle w:val="NoSpacing"/>
        <w:ind w:left="720"/>
        <w:rPr>
          <w:bCs/>
        </w:rPr>
      </w:pPr>
      <w:r w:rsidRPr="00BA60D7">
        <w:t xml:space="preserve">Following the promotion of </w:t>
      </w:r>
      <w:r>
        <w:t>[</w:t>
      </w:r>
      <w:proofErr w:type="spellStart"/>
      <w:r w:rsidRPr="003B5000">
        <w:t>Sierjie</w:t>
      </w:r>
      <w:proofErr w:type="spellEnd"/>
      <w:r>
        <w:t xml:space="preserve">] </w:t>
      </w:r>
      <w:r w:rsidRPr="00BA60D7">
        <w:t>Lash</w:t>
      </w:r>
      <w:r>
        <w:t xml:space="preserve"> [ranked 5</w:t>
      </w:r>
      <w:r w:rsidRPr="00296663">
        <w:rPr>
          <w:vertAlign w:val="superscript"/>
        </w:rPr>
        <w:t>th</w:t>
      </w:r>
      <w:r>
        <w:t xml:space="preserve"> on list]</w:t>
      </w:r>
      <w:r w:rsidRPr="00BA60D7">
        <w:t xml:space="preserve"> to District Chief in August 2024, retaliatory</w:t>
      </w:r>
      <w:r>
        <w:t xml:space="preserve"> </w:t>
      </w:r>
      <w:r w:rsidRPr="00BA60D7">
        <w:t>actions were taken against Mr. Haas</w:t>
      </w:r>
      <w:r>
        <w:t>….</w:t>
      </w:r>
      <w:r w:rsidRPr="00BA60D7">
        <w:t>When he learned</w:t>
      </w:r>
    </w:p>
    <w:p w14:paraId="3D503E72" w14:textId="77777777" w:rsidR="008626B6" w:rsidRPr="00BA60D7" w:rsidRDefault="008626B6" w:rsidP="008626B6">
      <w:pPr>
        <w:pStyle w:val="NoSpacing"/>
        <w:ind w:firstLine="720"/>
        <w:rPr>
          <w:bCs/>
        </w:rPr>
      </w:pPr>
      <w:r w:rsidRPr="00BA60D7">
        <w:t xml:space="preserve">about Lash’s promotion, Mr. Haas complained to </w:t>
      </w:r>
      <w:r>
        <w:t xml:space="preserve">[Chief] </w:t>
      </w:r>
      <w:r w:rsidRPr="00BA60D7">
        <w:t>Henderson that the promotion</w:t>
      </w:r>
    </w:p>
    <w:p w14:paraId="4A7876AD" w14:textId="77777777" w:rsidR="008626B6" w:rsidRPr="00BA60D7" w:rsidRDefault="008626B6" w:rsidP="008626B6">
      <w:pPr>
        <w:pStyle w:val="NoSpacing"/>
        <w:ind w:left="720"/>
        <w:rPr>
          <w:bCs/>
        </w:rPr>
      </w:pPr>
      <w:r w:rsidRPr="00BA60D7">
        <w:t>was discriminatory</w:t>
      </w:r>
      <w:r>
        <w:t>….</w:t>
      </w:r>
      <w:r w:rsidRPr="00BA60D7">
        <w:t xml:space="preserve"> </w:t>
      </w:r>
      <w:r>
        <w:t xml:space="preserve">[Plaintiff alleged that Chief] </w:t>
      </w:r>
      <w:r w:rsidRPr="00BA60D7">
        <w:t>Henderson failed to document,</w:t>
      </w:r>
      <w:r>
        <w:t xml:space="preserve"> </w:t>
      </w:r>
      <w:r w:rsidRPr="00BA60D7">
        <w:t>investigate, and report this complaint to upper management or human resources, in</w:t>
      </w:r>
    </w:p>
    <w:p w14:paraId="0A6DADD5" w14:textId="77777777" w:rsidR="008626B6" w:rsidRDefault="008626B6" w:rsidP="008626B6">
      <w:pPr>
        <w:pStyle w:val="NoSpacing"/>
        <w:ind w:firstLine="720"/>
        <w:rPr>
          <w:bCs/>
        </w:rPr>
      </w:pPr>
      <w:r w:rsidRPr="00BA60D7">
        <w:t>violation of Akron’s policies</w:t>
      </w:r>
      <w:r>
        <w:t xml:space="preserve">…. </w:t>
      </w:r>
    </w:p>
    <w:p w14:paraId="2CB275D5" w14:textId="77777777" w:rsidR="008626B6" w:rsidRDefault="008626B6" w:rsidP="008626B6">
      <w:pPr>
        <w:pStyle w:val="NoSpacing"/>
        <w:ind w:firstLine="720"/>
        <w:rPr>
          <w:bCs/>
        </w:rPr>
      </w:pPr>
    </w:p>
    <w:p w14:paraId="555F41B9" w14:textId="77777777" w:rsidR="008626B6" w:rsidRDefault="008626B6" w:rsidP="008626B6">
      <w:pPr>
        <w:pStyle w:val="NoSpacing"/>
        <w:ind w:firstLine="720"/>
        <w:rPr>
          <w:bCs/>
        </w:rPr>
      </w:pPr>
      <w:r>
        <w:t>***</w:t>
      </w:r>
    </w:p>
    <w:p w14:paraId="42692BC6" w14:textId="77777777" w:rsidR="008626B6" w:rsidRDefault="008626B6" w:rsidP="008626B6">
      <w:pPr>
        <w:ind w:left="720"/>
        <w:rPr>
          <w:bCs/>
        </w:rPr>
      </w:pPr>
      <w:r w:rsidRPr="00C159C1">
        <w:t>The next month in September 2024, Mr. Haas filed a charge of discrimination with the Equal Employment Opportunity Commission and sent a second complaint of discrimination to Mr. Henderson</w:t>
      </w:r>
      <w:r>
        <w:t>….</w:t>
      </w:r>
      <w:r w:rsidRPr="00C159C1">
        <w:t>Later that same day, Mr. Henderson added Mr. Haas to the August 2024 transfer list</w:t>
      </w:r>
      <w:r>
        <w:t>….</w:t>
      </w:r>
      <w:r w:rsidRPr="00C159C1">
        <w:t xml:space="preserve"> Mr. Haas was transferred </w:t>
      </w:r>
      <w:r>
        <w:t xml:space="preserve">[from </w:t>
      </w:r>
      <w:r w:rsidRPr="00BE7DD9">
        <w:t>Captain of Fire Prevention and Fire Training and Safety Officer</w:t>
      </w:r>
      <w:r>
        <w:t xml:space="preserve">] </w:t>
      </w:r>
      <w:r w:rsidRPr="00C159C1">
        <w:t xml:space="preserve">to a </w:t>
      </w:r>
      <w:r>
        <w:t>‘</w:t>
      </w:r>
      <w:r w:rsidRPr="00C159C1">
        <w:t>48-hour position on the line</w:t>
      </w:r>
      <w:r>
        <w:t>’</w:t>
      </w:r>
      <w:r w:rsidRPr="00C159C1">
        <w:t xml:space="preserve"> which required him to work 24-hour shifts</w:t>
      </w:r>
      <w:r>
        <w:t>….</w:t>
      </w:r>
      <w:r w:rsidRPr="00C159C1">
        <w:t xml:space="preserve">According to Mr. Haas, </w:t>
      </w:r>
      <w:r>
        <w:t>‘</w:t>
      </w:r>
      <w:r w:rsidRPr="00C159C1">
        <w:t>[n]o other Captain . . . has been transferred to a 48-hour position without first either requesting it or as a result of discipline.</w:t>
      </w:r>
      <w:r>
        <w:t>’</w:t>
      </w:r>
    </w:p>
    <w:p w14:paraId="57C13567" w14:textId="77777777" w:rsidR="008626B6" w:rsidRDefault="008626B6" w:rsidP="008626B6">
      <w:pPr>
        <w:ind w:left="720"/>
        <w:rPr>
          <w:bCs/>
        </w:rPr>
      </w:pPr>
      <w:r>
        <w:t>***</w:t>
      </w:r>
    </w:p>
    <w:p w14:paraId="2A2A8E88" w14:textId="77777777" w:rsidR="008626B6" w:rsidRDefault="008626B6" w:rsidP="008626B6">
      <w:pPr>
        <w:pStyle w:val="NoSpacing"/>
        <w:ind w:left="720"/>
        <w:rPr>
          <w:bCs/>
        </w:rPr>
      </w:pPr>
      <w:r w:rsidRPr="00606539">
        <w:t xml:space="preserve">Under the law of this Circuit, </w:t>
      </w:r>
      <w:proofErr w:type="spellStart"/>
      <w:r w:rsidRPr="00606539">
        <w:t>intracorporate</w:t>
      </w:r>
      <w:proofErr w:type="spellEnd"/>
      <w:r w:rsidRPr="00606539">
        <w:t xml:space="preserve"> conspiracy doctrine applies</w:t>
      </w:r>
      <w:r>
        <w:t xml:space="preserve"> </w:t>
      </w:r>
      <w:r w:rsidRPr="00606539">
        <w:t>where individuals were employed in different departments. Hull, 926 F.2d at 510</w:t>
      </w:r>
      <w:r>
        <w:t xml:space="preserve"> </w:t>
      </w:r>
      <w:r w:rsidRPr="00606539">
        <w:t>(holding that a school’s superintendent, executive director, and administrator could</w:t>
      </w:r>
      <w:r>
        <w:t xml:space="preserve"> </w:t>
      </w:r>
      <w:r w:rsidRPr="00606539">
        <w:t xml:space="preserve">not conspire because they were all </w:t>
      </w:r>
      <w:r>
        <w:t>‘</w:t>
      </w:r>
      <w:r w:rsidRPr="00606539">
        <w:t>employees or agents of the [school] Board</w:t>
      </w:r>
      <w:r>
        <w:t>’</w:t>
      </w:r>
      <w:r w:rsidRPr="00606539">
        <w:t>); Upton</w:t>
      </w:r>
      <w:r>
        <w:t xml:space="preserve"> </w:t>
      </w:r>
      <w:r w:rsidRPr="00606539">
        <w:t xml:space="preserve">v. City of Royal Oak, 492 F. </w:t>
      </w:r>
      <w:proofErr w:type="spellStart"/>
      <w:r w:rsidRPr="00606539">
        <w:t>App'x</w:t>
      </w:r>
      <w:proofErr w:type="spellEnd"/>
      <w:r w:rsidRPr="00606539">
        <w:t xml:space="preserve"> 492, 493 n.1 (6th Cir. 2012) (holding that the</w:t>
      </w:r>
      <w:r>
        <w:t xml:space="preserve"> </w:t>
      </w:r>
      <w:proofErr w:type="spellStart"/>
      <w:r w:rsidRPr="00606539">
        <w:t>intracorporate</w:t>
      </w:r>
      <w:proofErr w:type="spellEnd"/>
      <w:r w:rsidRPr="00606539">
        <w:t xml:space="preserve"> conspiracy doctrine prevented a firefighter from bringing Section</w:t>
      </w:r>
      <w:r>
        <w:t xml:space="preserve"> </w:t>
      </w:r>
      <w:r w:rsidRPr="00606539">
        <w:t>1985(3) action against the mayor, city manager, assistant city attorney, and director</w:t>
      </w:r>
      <w:r>
        <w:t xml:space="preserve"> </w:t>
      </w:r>
      <w:r w:rsidRPr="00606539">
        <w:t>of human resources). What matters is that the individual Defendants are “members</w:t>
      </w:r>
      <w:r>
        <w:t xml:space="preserve"> </w:t>
      </w:r>
      <w:r w:rsidRPr="00606539">
        <w:t>of the same collective entity.” Hull, 926 F.2d at 510. Such is the case here, and each</w:t>
      </w:r>
      <w:r>
        <w:t xml:space="preserve"> </w:t>
      </w:r>
      <w:r w:rsidRPr="00606539">
        <w:t>participated in the promotional process about which Plaintiff complains as employees</w:t>
      </w:r>
      <w:r>
        <w:t xml:space="preserve"> </w:t>
      </w:r>
      <w:r w:rsidRPr="00606539">
        <w:t>or agents of the City of Akron</w:t>
      </w:r>
      <w:r>
        <w:t xml:space="preserve">…. </w:t>
      </w:r>
      <w:r w:rsidRPr="001C0C11">
        <w:t xml:space="preserve">For these reasons, the </w:t>
      </w:r>
      <w:proofErr w:type="spellStart"/>
      <w:r w:rsidRPr="001C0C11">
        <w:t>intracorporate</w:t>
      </w:r>
      <w:proofErr w:type="spellEnd"/>
      <w:r w:rsidRPr="001C0C11">
        <w:t xml:space="preserve"> conspiracy doctrine bars Mr. Hass’s civil</w:t>
      </w:r>
      <w:r>
        <w:t xml:space="preserve"> </w:t>
      </w:r>
      <w:r w:rsidRPr="001C0C11">
        <w:t xml:space="preserve">conspiracy </w:t>
      </w:r>
      <w:proofErr w:type="gramStart"/>
      <w:r w:rsidRPr="001C0C11">
        <w:t>claim</w:t>
      </w:r>
      <w:proofErr w:type="gramEnd"/>
      <w:r w:rsidRPr="001C0C11">
        <w:t xml:space="preserve"> under Section 1985(3) against the individual Defendants.</w:t>
      </w:r>
      <w:r>
        <w:t>”</w:t>
      </w:r>
    </w:p>
    <w:p w14:paraId="3DAAB047" w14:textId="77777777" w:rsidR="008626B6" w:rsidRDefault="008626B6" w:rsidP="008626B6">
      <w:pPr>
        <w:pStyle w:val="NoSpacing"/>
        <w:ind w:left="720"/>
        <w:rPr>
          <w:bCs/>
        </w:rPr>
      </w:pPr>
    </w:p>
    <w:p w14:paraId="58396876" w14:textId="77777777" w:rsidR="008626B6" w:rsidRPr="0092040A" w:rsidRDefault="008626B6" w:rsidP="008626B6">
      <w:pPr>
        <w:pStyle w:val="NoSpacing"/>
        <w:rPr>
          <w:b/>
        </w:rPr>
      </w:pPr>
      <w:r>
        <w:rPr>
          <w:b/>
        </w:rPr>
        <w:t>Legal lesson learned:  Race discrimination case by white officer may now proceed to pre-trial discovery.</w:t>
      </w:r>
    </w:p>
    <w:p w14:paraId="2D695A73" w14:textId="77777777" w:rsidR="008626B6" w:rsidRPr="00951C21" w:rsidRDefault="008626B6" w:rsidP="008626B6">
      <w:pPr>
        <w:ind w:left="720"/>
        <w:rPr>
          <w:bCs/>
        </w:rPr>
      </w:pPr>
    </w:p>
    <w:p w14:paraId="3DBFB09D" w14:textId="77777777" w:rsidR="008626B6" w:rsidRDefault="008626B6" w:rsidP="008626B6">
      <w:pPr>
        <w:pStyle w:val="NoSpacing"/>
        <w:rPr>
          <w:b/>
          <w:bCs/>
        </w:rPr>
      </w:pPr>
    </w:p>
    <w:p w14:paraId="6F1B729A" w14:textId="77777777" w:rsidR="007A3239" w:rsidRDefault="007A3239" w:rsidP="00456C91">
      <w:pPr>
        <w:rPr>
          <w:rFonts w:ascii="Arial Black" w:hAnsi="Arial Black"/>
          <w:b/>
          <w:sz w:val="24"/>
          <w:szCs w:val="24"/>
        </w:rPr>
      </w:pPr>
    </w:p>
    <w:p w14:paraId="5DF67F7B" w14:textId="77777777" w:rsidR="007A3239" w:rsidRDefault="007A3239" w:rsidP="00456C91">
      <w:pPr>
        <w:rPr>
          <w:rFonts w:ascii="Arial Black" w:hAnsi="Arial Black"/>
          <w:b/>
          <w:sz w:val="24"/>
          <w:szCs w:val="24"/>
        </w:rPr>
      </w:pPr>
    </w:p>
    <w:p w14:paraId="36E52733" w14:textId="0B08717D" w:rsidR="00EC0328" w:rsidRDefault="00EC0328" w:rsidP="00456C91">
      <w:pPr>
        <w:rPr>
          <w:rFonts w:ascii="Arial Black" w:hAnsi="Arial Black"/>
          <w:b/>
          <w:sz w:val="24"/>
          <w:szCs w:val="24"/>
        </w:rPr>
      </w:pPr>
      <w:r>
        <w:rPr>
          <w:rFonts w:ascii="Arial Black" w:hAnsi="Arial Black"/>
          <w:b/>
          <w:sz w:val="24"/>
          <w:szCs w:val="24"/>
        </w:rPr>
        <w:t>8-87</w:t>
      </w:r>
    </w:p>
    <w:p w14:paraId="2A1336CA" w14:textId="77777777" w:rsidR="00FA2E76" w:rsidRPr="007B049A" w:rsidRDefault="00FA2E76" w:rsidP="00FA2E76">
      <w:pPr>
        <w:rPr>
          <w:rFonts w:ascii="Arial Black" w:hAnsi="Arial Black"/>
          <w:sz w:val="28"/>
          <w:szCs w:val="28"/>
        </w:rPr>
      </w:pPr>
      <w:r>
        <w:rPr>
          <w:rFonts w:ascii="Arial Black" w:hAnsi="Arial Black"/>
          <w:sz w:val="28"/>
          <w:szCs w:val="28"/>
        </w:rPr>
        <w:t>OH: 47-YR BLACK - RESIGNED – DEFAMATION / FILED LATE</w:t>
      </w:r>
    </w:p>
    <w:p w14:paraId="3E29BC19" w14:textId="77777777" w:rsidR="00FA2E76" w:rsidRPr="0024556B" w:rsidRDefault="00FA2E76" w:rsidP="00FA2E76">
      <w:pPr>
        <w:rPr>
          <w:b/>
        </w:rPr>
      </w:pPr>
      <w:r>
        <w:t xml:space="preserve">On December 15, 2025, in </w:t>
      </w:r>
      <w:r w:rsidRPr="00C02EC5">
        <w:rPr>
          <w:u w:val="single"/>
        </w:rPr>
        <w:t>Christian Baccus v. City of Columbus Division of Fire</w:t>
      </w:r>
      <w:r>
        <w:t xml:space="preserve">, U.S. District Court Judge </w:t>
      </w:r>
      <w:r w:rsidRPr="00C02EC5">
        <w:t xml:space="preserve">Edmund A. </w:t>
      </w:r>
      <w:proofErr w:type="spellStart"/>
      <w:r w:rsidRPr="00C02EC5">
        <w:t>Sargus</w:t>
      </w:r>
      <w:proofErr w:type="spellEnd"/>
      <w:r>
        <w:t xml:space="preserve">, </w:t>
      </w:r>
      <w:r w:rsidRPr="00C02EC5">
        <w:t>United States District Court, S.D. Ohio, Eastern Division</w:t>
      </w:r>
      <w:r>
        <w:t xml:space="preserve">, as recommended in a Report and Recommendation by U.S. Magistrate Judge Kimberly A. Jolson,  granted the City’s partial motion to dismiss his claims of defamation by training officers. </w:t>
      </w:r>
      <w:r w:rsidRPr="000172AE">
        <w:t>Under Ohio law, an action for libel and slander must be brought “within one year after the cause of action accrued.” Ohio Revised Code § 2305.11(A).</w:t>
      </w:r>
      <w:r>
        <w:t xml:space="preserve">  He resigned on March 14, 2024, and his pro se [no attorney] lawsuit was not filed until </w:t>
      </w:r>
      <w:r w:rsidRPr="0014146E">
        <w:t>June 30, 2025</w:t>
      </w:r>
      <w:r>
        <w:t xml:space="preserve">.  </w:t>
      </w:r>
      <w:hyperlink r:id="rId1538" w:history="1">
        <w:r w:rsidRPr="00B346EB">
          <w:rPr>
            <w:rStyle w:val="Hyperlink"/>
          </w:rPr>
          <w:t>https://public.fastcase.com/Jhe1Qn%2BmJndQYQU6z%2FeNm77nYWugAlzsBoxNmmqkM3E6Q88Vkqy0VZ5SiNrQruK%2B?utm_medium=email&amp;_hsenc=p2ANqtz-9AvFND94NtmZ3W9IwgKnyu4_gZwqiYmIH5_4QpXW_NHE8WVWhb5SJK4Whyo4GFBslMpA9EnrqLvXRYy-</w:t>
        </w:r>
      </w:hyperlink>
      <w:r>
        <w:t xml:space="preserve"> </w:t>
      </w:r>
    </w:p>
    <w:p w14:paraId="6221E751" w14:textId="77777777" w:rsidR="00FA2E76" w:rsidRDefault="00FA2E76" w:rsidP="00FA2E76">
      <w:r>
        <w:t>THE COURT HELD:</w:t>
      </w:r>
    </w:p>
    <w:p w14:paraId="49B3FF44" w14:textId="77777777" w:rsidR="00FA2E76" w:rsidRDefault="00FA2E76" w:rsidP="00FA2E76">
      <w:pPr>
        <w:ind w:left="720"/>
      </w:pPr>
      <w:r>
        <w:t>“</w:t>
      </w:r>
      <w:r w:rsidRPr="001F3E66">
        <w:t xml:space="preserve">This case is about discrimination Plaintiff Christian Baccus allegedly experienced at the hands of the City of Columbus, Division of Fire (the “City”). As told by his </w:t>
      </w:r>
      <w:r w:rsidRPr="001F3E66">
        <w:rPr>
          <w:i/>
          <w:iCs/>
        </w:rPr>
        <w:t>pro se</w:t>
      </w:r>
      <w:r w:rsidRPr="001F3E66">
        <w:t xml:space="preserve"> Amended Complaint, Plaintiff-a Black, 47-year-old man-was employed by the </w:t>
      </w:r>
      <w:proofErr w:type="gramStart"/>
      <w:r w:rsidRPr="001F3E66">
        <w:t>City</w:t>
      </w:r>
      <w:proofErr w:type="gramEnd"/>
      <w:r w:rsidRPr="001F3E66">
        <w:t xml:space="preserve"> as a firefighter in </w:t>
      </w:r>
      <w:r>
        <w:t>‘</w:t>
      </w:r>
      <w:r w:rsidRPr="001F3E66">
        <w:t>Recruit Class #119.</w:t>
      </w:r>
      <w:r>
        <w:t>’</w:t>
      </w:r>
    </w:p>
    <w:p w14:paraId="1954C2AD" w14:textId="77777777" w:rsidR="00FA2E76" w:rsidRDefault="00FA2E76" w:rsidP="00FA2E76">
      <w:pPr>
        <w:ind w:left="720"/>
      </w:pPr>
      <w:r>
        <w:t>***</w:t>
      </w:r>
    </w:p>
    <w:p w14:paraId="63BD1AB2" w14:textId="77777777" w:rsidR="00FA2E76" w:rsidRDefault="00FA2E76" w:rsidP="00FA2E76">
      <w:pPr>
        <w:ind w:left="720"/>
      </w:pPr>
      <w:r w:rsidRPr="00531DA3">
        <w:t>Though not completely clear, it seems that during Fire Assignments, Plaintiff was disciplined by his superiors for aspects of his practical performance</w:t>
      </w:r>
      <w:r>
        <w:t xml:space="preserve">…. </w:t>
      </w:r>
      <w:r w:rsidRPr="00531DA3">
        <w:t xml:space="preserve">He also experienced </w:t>
      </w:r>
      <w:r>
        <w:t>‘</w:t>
      </w:r>
      <w:r w:rsidRPr="00531DA3">
        <w:t>ridicule</w:t>
      </w:r>
      <w:r>
        <w:t>’</w:t>
      </w:r>
      <w:r w:rsidRPr="00531DA3">
        <w:t xml:space="preserve"> at the hands of one of his instructors, and he alleges his superiors </w:t>
      </w:r>
      <w:r>
        <w:t>‘</w:t>
      </w:r>
      <w:r w:rsidRPr="00531DA3">
        <w:t>lied</w:t>
      </w:r>
      <w:r>
        <w:t>’</w:t>
      </w:r>
      <w:r w:rsidRPr="00531DA3">
        <w:t xml:space="preserve"> about him on evaluations and elsewhere</w:t>
      </w:r>
      <w:r>
        <w:t xml:space="preserve">…. </w:t>
      </w:r>
      <w:r w:rsidRPr="00531DA3">
        <w:t xml:space="preserve">Then on March 14, 2024, the </w:t>
      </w:r>
      <w:proofErr w:type="gramStart"/>
      <w:r w:rsidRPr="00531DA3">
        <w:t>City</w:t>
      </w:r>
      <w:proofErr w:type="gramEnd"/>
      <w:r w:rsidRPr="00531DA3">
        <w:t xml:space="preserve"> gave Plaintiff the </w:t>
      </w:r>
      <w:r>
        <w:t>‘</w:t>
      </w:r>
      <w:r w:rsidRPr="00531DA3">
        <w:t>option to resign or be terminated.</w:t>
      </w:r>
      <w:r>
        <w:t xml:space="preserve">’ … </w:t>
      </w:r>
      <w:r w:rsidRPr="00531DA3">
        <w:t xml:space="preserve">Initially Plaintiff opted for termination, but he later </w:t>
      </w:r>
      <w:r>
        <w:t>‘</w:t>
      </w:r>
      <w:r w:rsidRPr="00531DA3">
        <w:t>changed [his] decision to resign.</w:t>
      </w:r>
      <w:r>
        <w:t xml:space="preserve">’ … </w:t>
      </w:r>
      <w:r w:rsidRPr="00531DA3">
        <w:t>Plaintiff further claims that other recruits who were white or women were not treated similarly</w:t>
      </w:r>
      <w:proofErr w:type="gramStart"/>
      <w:r>
        <w:t>…..</w:t>
      </w:r>
      <w:proofErr w:type="gramEnd"/>
      <w:r>
        <w:t xml:space="preserve"> </w:t>
      </w:r>
      <w:r w:rsidRPr="00531DA3">
        <w:t xml:space="preserve">For some, the </w:t>
      </w:r>
      <w:proofErr w:type="gramStart"/>
      <w:r w:rsidRPr="00531DA3">
        <w:t>City</w:t>
      </w:r>
      <w:proofErr w:type="gramEnd"/>
      <w:r w:rsidRPr="00531DA3">
        <w:t xml:space="preserve"> authorized additional training; and for others, the </w:t>
      </w:r>
      <w:proofErr w:type="gramStart"/>
      <w:r w:rsidRPr="00531DA3">
        <w:t>City</w:t>
      </w:r>
      <w:proofErr w:type="gramEnd"/>
      <w:r w:rsidRPr="00531DA3">
        <w:t xml:space="preserve"> allowed enrollment in other recruit classes</w:t>
      </w:r>
      <w:r>
        <w:t xml:space="preserve">…. </w:t>
      </w:r>
      <w:r w:rsidRPr="00531DA3">
        <w:t xml:space="preserve">Plaintiff also says he was </w:t>
      </w:r>
      <w:r>
        <w:t>‘</w:t>
      </w:r>
      <w:r w:rsidRPr="00531DA3">
        <w:t>treated differently</w:t>
      </w:r>
      <w:r>
        <w:t>’</w:t>
      </w:r>
      <w:r w:rsidRPr="00531DA3">
        <w:t xml:space="preserve"> because of his age</w:t>
      </w:r>
      <w:r>
        <w:t xml:space="preserve">…. </w:t>
      </w:r>
      <w:r w:rsidRPr="00531DA3">
        <w:t>Finally, Plaintiff alleges that the City's firefighter recruit evaluation methods are subjective and result in Black male recruits being dismissed at a higher rate than white or female recruits.</w:t>
      </w:r>
    </w:p>
    <w:p w14:paraId="68B6132D" w14:textId="77777777" w:rsidR="00FA2E76" w:rsidRDefault="00FA2E76" w:rsidP="00FA2E76">
      <w:pPr>
        <w:ind w:left="720"/>
      </w:pPr>
      <w:r>
        <w:t>***</w:t>
      </w:r>
    </w:p>
    <w:p w14:paraId="2C0A907F" w14:textId="77777777" w:rsidR="00FA2E76" w:rsidRDefault="00FA2E76" w:rsidP="00FA2E76">
      <w:pPr>
        <w:ind w:left="720"/>
      </w:pPr>
      <w:r w:rsidRPr="00F94BBA">
        <w:t xml:space="preserve">Ultimately, though, the Undersigned need not designate the exact day any of the allegedly defamatory statements happened. As stated, Ohio law is clear that an action for defamation must be brought within one year after the cause of action accrued, and the general rule is the statute of limitations begins to run when the defendant first speaks or publishes the allegedly defamatory words. </w:t>
      </w:r>
      <w:r w:rsidRPr="00F94BBA">
        <w:rPr>
          <w:i/>
          <w:iCs/>
        </w:rPr>
        <w:t>See</w:t>
      </w:r>
      <w:r w:rsidRPr="00F94BBA">
        <w:t xml:space="preserve"> Ohio Revised Code § 2305.11(A); </w:t>
      </w:r>
      <w:r w:rsidRPr="00F94BBA">
        <w:rPr>
          <w:i/>
          <w:iCs/>
        </w:rPr>
        <w:t>Haas</w:t>
      </w:r>
      <w:r w:rsidRPr="00F94BBA">
        <w:t>, 2024 WL 3925724, at *3</w:t>
      </w:r>
      <w:r>
        <w:t>.</w:t>
      </w:r>
    </w:p>
    <w:p w14:paraId="2C56283D" w14:textId="77777777" w:rsidR="00FA2E76" w:rsidRDefault="00FA2E76" w:rsidP="00FA2E76">
      <w:pPr>
        <w:ind w:left="720"/>
      </w:pPr>
      <w:r>
        <w:t>***</w:t>
      </w:r>
    </w:p>
    <w:p w14:paraId="0052664F" w14:textId="77777777" w:rsidR="00FA2E76" w:rsidRDefault="00FA2E76" w:rsidP="00FA2E76">
      <w:pPr>
        <w:ind w:left="720"/>
      </w:pPr>
      <w:r w:rsidRPr="000214B3">
        <w:t>Taken together, this means that Plaintiff's Amended Complaint may assert defamation claims only for statements spoken or published on or after June 30, 2024-within one year of when he initiated this action. Any prior claims are time-barred.</w:t>
      </w:r>
      <w:r>
        <w:t>”</w:t>
      </w:r>
    </w:p>
    <w:p w14:paraId="742B9660" w14:textId="77777777" w:rsidR="00FA2E76" w:rsidRPr="00F94BBA" w:rsidRDefault="00FA2E76" w:rsidP="00FA2E76">
      <w:pPr>
        <w:rPr>
          <w:b/>
          <w:bCs/>
        </w:rPr>
      </w:pPr>
      <w:r>
        <w:rPr>
          <w:b/>
        </w:rPr>
        <w:t xml:space="preserve">Legal lesson learned:  The defamation claims are dismissed; pretrial discovery may now proceed on the race and age claims. </w:t>
      </w:r>
    </w:p>
    <w:p w14:paraId="5B7BDDE4" w14:textId="77777777" w:rsidR="00EC0328" w:rsidRDefault="00EC0328" w:rsidP="00456C91">
      <w:pPr>
        <w:rPr>
          <w:rFonts w:ascii="Arial Black" w:hAnsi="Arial Black"/>
          <w:b/>
          <w:sz w:val="24"/>
          <w:szCs w:val="24"/>
        </w:rPr>
      </w:pPr>
    </w:p>
    <w:p w14:paraId="375F1D20" w14:textId="101D9F7B" w:rsidR="005D6817" w:rsidRDefault="005D6817" w:rsidP="00456C91">
      <w:pPr>
        <w:rPr>
          <w:rFonts w:ascii="Arial Black" w:hAnsi="Arial Black"/>
          <w:b/>
          <w:sz w:val="24"/>
          <w:szCs w:val="24"/>
        </w:rPr>
      </w:pPr>
      <w:r>
        <w:rPr>
          <w:rFonts w:ascii="Arial Black" w:hAnsi="Arial Black"/>
          <w:b/>
          <w:sz w:val="24"/>
          <w:szCs w:val="24"/>
        </w:rPr>
        <w:t>8-86</w:t>
      </w:r>
    </w:p>
    <w:p w14:paraId="45AA0B71" w14:textId="046811E4" w:rsidR="005D6817" w:rsidRDefault="005D6817" w:rsidP="005D6817">
      <w:pPr>
        <w:pStyle w:val="NoSpacing"/>
        <w:rPr>
          <w:rFonts w:ascii="Arial Black" w:hAnsi="Arial Black"/>
          <w:sz w:val="28"/>
          <w:szCs w:val="28"/>
        </w:rPr>
      </w:pPr>
      <w:r>
        <w:rPr>
          <w:rFonts w:ascii="Arial Black" w:hAnsi="Arial Black"/>
          <w:sz w:val="28"/>
          <w:szCs w:val="28"/>
        </w:rPr>
        <w:t>MD: BLACK FF – NO PROMOTION</w:t>
      </w:r>
      <w:r w:rsidR="00F70392">
        <w:rPr>
          <w:rFonts w:ascii="Arial Black" w:hAnsi="Arial Black"/>
          <w:sz w:val="28"/>
          <w:szCs w:val="28"/>
        </w:rPr>
        <w:t xml:space="preserve"> / RETALIATION</w:t>
      </w:r>
      <w:r>
        <w:rPr>
          <w:rFonts w:ascii="Arial Black" w:hAnsi="Arial Black"/>
          <w:sz w:val="28"/>
          <w:szCs w:val="28"/>
        </w:rPr>
        <w:t xml:space="preserve"> – JURY $311K </w:t>
      </w:r>
    </w:p>
    <w:p w14:paraId="5F1ED2D5" w14:textId="77777777" w:rsidR="00E024F9" w:rsidRDefault="00E024F9" w:rsidP="005D6817">
      <w:pPr>
        <w:pStyle w:val="NoSpacing"/>
      </w:pPr>
    </w:p>
    <w:p w14:paraId="53469C82" w14:textId="150E42A1" w:rsidR="005D6817" w:rsidRPr="00F2752F" w:rsidRDefault="005D6817" w:rsidP="005D6817">
      <w:pPr>
        <w:pStyle w:val="NoSpacing"/>
        <w:rPr>
          <w:bCs/>
        </w:rPr>
      </w:pPr>
      <w:r>
        <w:t xml:space="preserve">On November 4, 2025, in </w:t>
      </w:r>
      <w:r w:rsidRPr="0049359A">
        <w:rPr>
          <w:u w:val="single"/>
        </w:rPr>
        <w:t>Anne Arundel County, Maryland v. Bradley Willis</w:t>
      </w:r>
      <w:r>
        <w:t xml:space="preserve">, the </w:t>
      </w:r>
      <w:r w:rsidRPr="0049359A">
        <w:t>Court of Special Appeals of Maryland</w:t>
      </w:r>
      <w:r>
        <w:t xml:space="preserve">, held (3 to 0) that trial court </w:t>
      </w:r>
      <w:r w:rsidRPr="003B7259">
        <w:t>was well within its discretion to find a reasonable jury intended to award Willis $173,000.00</w:t>
      </w:r>
      <w:r>
        <w:t xml:space="preserve"> </w:t>
      </w:r>
      <w:r w:rsidRPr="003B7259">
        <w:t>in backpay.</w:t>
      </w:r>
      <w:r>
        <w:t xml:space="preserve">  THE COURT WROTE: “</w:t>
      </w:r>
      <w:r w:rsidRPr="00F2752F">
        <w:t>Bradley Willis was a Captain in the Anne Arundel County Fire Department until he</w:t>
      </w:r>
    </w:p>
    <w:p w14:paraId="39E0BE34" w14:textId="09870186" w:rsidR="005D6817" w:rsidRDefault="005D6817" w:rsidP="005D6817">
      <w:pPr>
        <w:pStyle w:val="NoSpacing"/>
        <w:rPr>
          <w:bCs/>
        </w:rPr>
      </w:pPr>
      <w:r w:rsidRPr="00F2752F">
        <w:t>was demoted to Firefighter II, suspended temporarily, and prohibited from a promotion for</w:t>
      </w:r>
      <w:r w:rsidR="00C62C35">
        <w:t xml:space="preserve"> </w:t>
      </w:r>
      <w:r w:rsidRPr="00F2752F">
        <w:t>three years after he was found guilty of misconduct. Willis unsuccessfully sued the County</w:t>
      </w:r>
      <w:r w:rsidR="00C62C35">
        <w:t xml:space="preserve"> </w:t>
      </w:r>
      <w:r w:rsidRPr="00F2752F">
        <w:t>claiming his demotion was racially motivated</w:t>
      </w:r>
      <w:r>
        <w:t xml:space="preserve">…. </w:t>
      </w:r>
      <w:r w:rsidRPr="0081665D">
        <w:t>Allan Graves (“Chief Graves”) was the Fire Chief of Anne Arundel County when</w:t>
      </w:r>
      <w:r>
        <w:t xml:space="preserve"> </w:t>
      </w:r>
      <w:r w:rsidRPr="0081665D">
        <w:t xml:space="preserve">Willis sued. </w:t>
      </w:r>
      <w:proofErr w:type="spellStart"/>
      <w:r w:rsidRPr="0081665D">
        <w:t>Some time</w:t>
      </w:r>
      <w:proofErr w:type="spellEnd"/>
      <w:r w:rsidRPr="0081665D">
        <w:t xml:space="preserve"> after his unsuccessful lawsuit, Willis became eligible for a</w:t>
      </w:r>
      <w:r>
        <w:t xml:space="preserve"> </w:t>
      </w:r>
      <w:r w:rsidRPr="0081665D">
        <w:t>promotion to the rank of Lieutenant. Willis scored second out of 100 candidates on the</w:t>
      </w:r>
      <w:r>
        <w:t xml:space="preserve"> </w:t>
      </w:r>
      <w:r w:rsidRPr="0081665D">
        <w:t>Lieutenant’s examination. When a vacancy became available, Chief Graves appointed the</w:t>
      </w:r>
      <w:r>
        <w:t xml:space="preserve"> </w:t>
      </w:r>
      <w:r w:rsidRPr="0081665D">
        <w:t>first ranked candidate; however, when a second vacancy opened, Chief Graves passed over</w:t>
      </w:r>
      <w:r>
        <w:t xml:space="preserve"> </w:t>
      </w:r>
      <w:r w:rsidRPr="0081665D">
        <w:t xml:space="preserve">Willis </w:t>
      </w:r>
      <w:r>
        <w:t xml:space="preserve">[on </w:t>
      </w:r>
      <w:r w:rsidRPr="009159FB">
        <w:t>September 20, 2018</w:t>
      </w:r>
      <w:r>
        <w:t xml:space="preserve">] </w:t>
      </w:r>
      <w:r w:rsidRPr="0081665D">
        <w:t>and promoted the third ranked candidate. Willis became a Lieutenant</w:t>
      </w:r>
      <w:r>
        <w:t xml:space="preserve"> [on </w:t>
      </w:r>
      <w:r w:rsidRPr="001C3EBB">
        <w:t>September 5, 2019</w:t>
      </w:r>
      <w:r>
        <w:t>]</w:t>
      </w:r>
      <w:r w:rsidRPr="0081665D">
        <w:t xml:space="preserve"> only after</w:t>
      </w:r>
      <w:r>
        <w:t xml:space="preserve"> </w:t>
      </w:r>
      <w:r w:rsidRPr="0081665D">
        <w:t>Chief Trisha Wolford succeeded Chief Graves</w:t>
      </w:r>
      <w:r>
        <w:t xml:space="preserve">…. </w:t>
      </w:r>
      <w:r w:rsidRPr="00A50C52">
        <w:t>The trial</w:t>
      </w:r>
      <w:r>
        <w:t xml:space="preserve"> </w:t>
      </w:r>
      <w:r w:rsidRPr="00A50C52">
        <w:t>eventually took place over four days in April 2024</w:t>
      </w:r>
      <w:r>
        <w:t xml:space="preserve">…. </w:t>
      </w:r>
      <w:r w:rsidRPr="007A44FF">
        <w:t>The jury ultimately ruled in Willis’ favor, finding that Chief’s Graves’ decision not</w:t>
      </w:r>
      <w:r>
        <w:t xml:space="preserve"> </w:t>
      </w:r>
      <w:r w:rsidRPr="007A44FF">
        <w:t>to promote Willis was retaliatory. After reaching that conclusion, the jury calculated</w:t>
      </w:r>
      <w:r>
        <w:t xml:space="preserve"> </w:t>
      </w:r>
      <w:r w:rsidRPr="007A44FF">
        <w:t>Willis’ damages</w:t>
      </w:r>
      <w:r>
        <w:t xml:space="preserve">…. </w:t>
      </w:r>
      <w:r w:rsidRPr="00074004">
        <w:t>The jury awarded Willis $311,000.00 in total, with the verdict sheet detailing their award</w:t>
      </w:r>
      <w:r>
        <w:t xml:space="preserve"> </w:t>
      </w:r>
      <w:r w:rsidRPr="00074004">
        <w:t xml:space="preserve">of $173,000.00 for </w:t>
      </w:r>
      <w:r>
        <w:t>‘</w:t>
      </w:r>
      <w:r w:rsidRPr="00074004">
        <w:t>Back Pay</w:t>
      </w:r>
      <w:r>
        <w:t>’</w:t>
      </w:r>
      <w:r w:rsidRPr="00074004">
        <w:t xml:space="preserve"> and $138,000.00 for </w:t>
      </w:r>
      <w:r>
        <w:t>‘</w:t>
      </w:r>
      <w:r w:rsidRPr="00074004">
        <w:t>Other Damages.</w:t>
      </w:r>
      <w:r>
        <w:t xml:space="preserve">’ </w:t>
      </w:r>
      <w:r w:rsidRPr="005069C2">
        <w:t>Following the</w:t>
      </w:r>
      <w:r>
        <w:t xml:space="preserve"> </w:t>
      </w:r>
      <w:r w:rsidRPr="005069C2">
        <w:t>court’s entry of final judgment, the County filed a Motion for Judgment Notwithstanding</w:t>
      </w:r>
      <w:r>
        <w:t xml:space="preserve"> </w:t>
      </w:r>
      <w:r w:rsidRPr="005069C2">
        <w:t>the Verdict, which the court denied.</w:t>
      </w:r>
      <w:r>
        <w:t>”</w:t>
      </w:r>
    </w:p>
    <w:p w14:paraId="7DEDAA20" w14:textId="77777777" w:rsidR="005D6817" w:rsidRDefault="005D6817" w:rsidP="005D6817">
      <w:pPr>
        <w:pStyle w:val="NoSpacing"/>
        <w:rPr>
          <w:bCs/>
        </w:rPr>
      </w:pPr>
      <w:hyperlink r:id="rId1539" w:history="1">
        <w:r w:rsidRPr="005B3B90">
          <w:rPr>
            <w:rStyle w:val="Hyperlink"/>
          </w:rPr>
          <w:t>https://www.mdcourts.gov/sites/default/files/unreported-opinions/1234s24.pdf</w:t>
        </w:r>
      </w:hyperlink>
      <w:r>
        <w:t xml:space="preserve"> </w:t>
      </w:r>
    </w:p>
    <w:p w14:paraId="21A49AA4" w14:textId="77777777" w:rsidR="005D6817" w:rsidRDefault="005D6817" w:rsidP="005D6817">
      <w:pPr>
        <w:pStyle w:val="NoSpacing"/>
        <w:rPr>
          <w:bCs/>
        </w:rPr>
      </w:pPr>
    </w:p>
    <w:p w14:paraId="42CD59B9" w14:textId="77777777" w:rsidR="005D6817" w:rsidRDefault="005D6817" w:rsidP="005D6817">
      <w:pPr>
        <w:pStyle w:val="NoSpacing"/>
        <w:rPr>
          <w:bCs/>
        </w:rPr>
      </w:pPr>
      <w:r>
        <w:t>THE COURT HELD:</w:t>
      </w:r>
    </w:p>
    <w:p w14:paraId="5AF7E75F" w14:textId="77777777" w:rsidR="005D6817" w:rsidRDefault="005D6817" w:rsidP="005D6817">
      <w:pPr>
        <w:pStyle w:val="NoSpacing"/>
        <w:rPr>
          <w:bCs/>
        </w:rPr>
      </w:pPr>
    </w:p>
    <w:p w14:paraId="73740731" w14:textId="77777777" w:rsidR="005D6817" w:rsidRDefault="005D6817" w:rsidP="005D6817">
      <w:pPr>
        <w:pStyle w:val="NoSpacing"/>
        <w:ind w:firstLine="720"/>
      </w:pPr>
      <w:r>
        <w:t>“Willis contends the jury’s verdict was supported by ample facts and expert opinion</w:t>
      </w:r>
    </w:p>
    <w:p w14:paraId="4544E148" w14:textId="77777777" w:rsidR="005D6817" w:rsidRDefault="005D6817" w:rsidP="005D6817">
      <w:pPr>
        <w:pStyle w:val="NoSpacing"/>
        <w:ind w:firstLine="720"/>
      </w:pPr>
      <w:r>
        <w:t>evidence. Specifically, he argues his expert economist, Rosenberg, provided several</w:t>
      </w:r>
    </w:p>
    <w:p w14:paraId="7E835202" w14:textId="77777777" w:rsidR="005D6817" w:rsidRDefault="005D6817" w:rsidP="005D6817">
      <w:pPr>
        <w:pStyle w:val="NoSpacing"/>
        <w:ind w:firstLine="720"/>
      </w:pPr>
      <w:r>
        <w:t>scenarios to guide the jury’s assessment of a damages award. Willis further maintains the</w:t>
      </w:r>
    </w:p>
    <w:p w14:paraId="0EEE022D" w14:textId="77777777" w:rsidR="005D6817" w:rsidRDefault="005D6817" w:rsidP="005D6817">
      <w:pPr>
        <w:pStyle w:val="NoSpacing"/>
        <w:ind w:firstLine="720"/>
      </w:pPr>
      <w:r>
        <w:t>County did not rebut Rosenberg’s calculations with its own economist’s opinion or other</w:t>
      </w:r>
    </w:p>
    <w:p w14:paraId="5BD63E1B" w14:textId="77777777" w:rsidR="005D6817" w:rsidRDefault="005D6817" w:rsidP="005D6817">
      <w:pPr>
        <w:pStyle w:val="NoSpacing"/>
        <w:ind w:firstLine="720"/>
      </w:pPr>
      <w:r>
        <w:t>contrary evidence. Willis argues his being passed over for the promotion had a cascading</w:t>
      </w:r>
    </w:p>
    <w:p w14:paraId="45196FC5" w14:textId="77777777" w:rsidR="005D6817" w:rsidRDefault="005D6817" w:rsidP="005D6817">
      <w:pPr>
        <w:pStyle w:val="NoSpacing"/>
        <w:ind w:firstLine="720"/>
      </w:pPr>
      <w:r>
        <w:t>effect on his career because it caused him to not be able to apply for further promotions,</w:t>
      </w:r>
    </w:p>
    <w:p w14:paraId="7BE1A9DC" w14:textId="77777777" w:rsidR="005D6817" w:rsidRDefault="005D6817" w:rsidP="005D6817">
      <w:pPr>
        <w:pStyle w:val="NoSpacing"/>
        <w:ind w:firstLine="720"/>
      </w:pPr>
      <w:r>
        <w:t>such as to Captain, for several years. Finally, Willis contends the jury’s verdict was not</w:t>
      </w:r>
    </w:p>
    <w:p w14:paraId="1B3E6033" w14:textId="77777777" w:rsidR="005D6817" w:rsidRDefault="005D6817" w:rsidP="005D6817">
      <w:pPr>
        <w:pStyle w:val="NoSpacing"/>
        <w:ind w:firstLine="720"/>
      </w:pPr>
      <w:r>
        <w:t>based on speculation. Indeed, the jury’s award of $173,000.00 reflected almost precisely</w:t>
      </w:r>
    </w:p>
    <w:p w14:paraId="42FD40FF" w14:textId="77777777" w:rsidR="005D6817" w:rsidRDefault="005D6817" w:rsidP="005D6817">
      <w:pPr>
        <w:pStyle w:val="NoSpacing"/>
        <w:ind w:firstLine="720"/>
      </w:pPr>
      <w:r>
        <w:t>the amount of total economic damages Rosenberg projected, assuming Willis would have</w:t>
      </w:r>
    </w:p>
    <w:p w14:paraId="08B34085" w14:textId="77777777" w:rsidR="005D6817" w:rsidRDefault="005D6817" w:rsidP="005D6817">
      <w:pPr>
        <w:pStyle w:val="NoSpacing"/>
        <w:ind w:firstLine="720"/>
      </w:pPr>
      <w:r>
        <w:t>re-obtained rank of Captain during the remainder of his career.</w:t>
      </w:r>
    </w:p>
    <w:p w14:paraId="5FBEE589" w14:textId="77777777" w:rsidR="005D6817" w:rsidRDefault="005D6817" w:rsidP="005D6817">
      <w:pPr>
        <w:pStyle w:val="NoSpacing"/>
        <w:ind w:firstLine="720"/>
      </w:pPr>
    </w:p>
    <w:p w14:paraId="3978B3F4" w14:textId="77777777" w:rsidR="005D6817" w:rsidRDefault="005D6817" w:rsidP="005D6817">
      <w:pPr>
        <w:pStyle w:val="NoSpacing"/>
        <w:ind w:firstLine="720"/>
      </w:pPr>
      <w:r>
        <w:t>***</w:t>
      </w:r>
    </w:p>
    <w:p w14:paraId="669C62CB" w14:textId="77777777" w:rsidR="005D6817" w:rsidRDefault="005D6817" w:rsidP="005D6817">
      <w:pPr>
        <w:pStyle w:val="NoSpacing"/>
        <w:ind w:left="720"/>
      </w:pPr>
      <w:r>
        <w:t xml:space="preserve">Here, as discussed, Rosenberg [Joseph Rosenberg, a forensic economist] went further than flatly saying what he believed the </w:t>
      </w:r>
      <w:proofErr w:type="gramStart"/>
      <w:r>
        <w:t>damages were</w:t>
      </w:r>
      <w:proofErr w:type="gramEnd"/>
      <w:r>
        <w:t>. He presented the jury with four possible scenarios to guide their calculations. These scenarios were backed with data such as salary projections and excerpts from the firefighter’s handbook. The four forecasts were adjusted for multiple factors such as taxes, mortality rates over the years, and cost of living.</w:t>
      </w:r>
    </w:p>
    <w:p w14:paraId="1886E6B5" w14:textId="77777777" w:rsidR="005D6817" w:rsidRDefault="005D6817" w:rsidP="005D6817">
      <w:pPr>
        <w:pStyle w:val="NoSpacing"/>
        <w:ind w:left="720"/>
      </w:pPr>
    </w:p>
    <w:p w14:paraId="0A4D62E2" w14:textId="77777777" w:rsidR="005D6817" w:rsidRDefault="005D6817" w:rsidP="005D6817">
      <w:pPr>
        <w:pStyle w:val="NoSpacing"/>
        <w:ind w:left="720"/>
      </w:pPr>
      <w:r w:rsidRPr="00E328A8">
        <w:t>What is telling, however, is that the</w:t>
      </w:r>
      <w:r>
        <w:t xml:space="preserve"> jury’s award for backpay of $173,000.00 matched, almost precisely, the total award suggested by Rosenberg ($173,077.00) in one of his four possible scenarios. This suggests the jury </w:t>
      </w:r>
      <w:proofErr w:type="gramStart"/>
      <w:r>
        <w:t>considered</w:t>
      </w:r>
      <w:proofErr w:type="gramEnd"/>
      <w:r>
        <w:t xml:space="preserve"> the evidence and testimony presented, and their verdict reflected their understanding and intent to award Willis total economic damages. Thus, the evidence produced at trial rose above speculation, hypothesis, or conjecture, and it supported the jury’s verdict with reasonable certainty. Therefore, we affirm”</w:t>
      </w:r>
    </w:p>
    <w:p w14:paraId="55D72342" w14:textId="77777777" w:rsidR="005D6817" w:rsidRDefault="005D6817" w:rsidP="005D6817">
      <w:pPr>
        <w:pStyle w:val="NoSpacing"/>
        <w:ind w:left="720"/>
      </w:pPr>
    </w:p>
    <w:p w14:paraId="39708CCB" w14:textId="0C3240A5" w:rsidR="005D6817" w:rsidRDefault="005D6817" w:rsidP="005D6817">
      <w:pPr>
        <w:pStyle w:val="NoSpacing"/>
        <w:rPr>
          <w:b/>
          <w:bCs/>
        </w:rPr>
      </w:pPr>
      <w:r>
        <w:rPr>
          <w:b/>
        </w:rPr>
        <w:t>Legal lesson learned: The plaintiff won back pay</w:t>
      </w:r>
      <w:r w:rsidR="00C14B11">
        <w:rPr>
          <w:b/>
        </w:rPr>
        <w:t xml:space="preserve"> from the jury</w:t>
      </w:r>
      <w:r>
        <w:rPr>
          <w:b/>
        </w:rPr>
        <w:t xml:space="preserve">, </w:t>
      </w:r>
      <w:r w:rsidR="008F4842">
        <w:rPr>
          <w:b/>
        </w:rPr>
        <w:t xml:space="preserve">and </w:t>
      </w:r>
      <w:r>
        <w:rPr>
          <w:b/>
        </w:rPr>
        <w:t>the trial c</w:t>
      </w:r>
      <w:r w:rsidRPr="003E385E">
        <w:rPr>
          <w:b/>
        </w:rPr>
        <w:t xml:space="preserve">ourt </w:t>
      </w:r>
      <w:r>
        <w:rPr>
          <w:b/>
        </w:rPr>
        <w:t xml:space="preserve">judge </w:t>
      </w:r>
      <w:r w:rsidRPr="003E385E">
        <w:rPr>
          <w:b/>
        </w:rPr>
        <w:t>awarded $317,016.28 in attorneys’ fees and costs</w:t>
      </w:r>
      <w:r>
        <w:rPr>
          <w:b/>
        </w:rPr>
        <w:t xml:space="preserve"> </w:t>
      </w:r>
      <w:r w:rsidRPr="003E385E">
        <w:rPr>
          <w:b/>
        </w:rPr>
        <w:t>of $19,942.84.</w:t>
      </w:r>
    </w:p>
    <w:p w14:paraId="2DD61E37" w14:textId="77777777" w:rsidR="005D6817" w:rsidRDefault="005D6817" w:rsidP="005D6817">
      <w:pPr>
        <w:pStyle w:val="NoSpacing"/>
        <w:rPr>
          <w:b/>
          <w:bCs/>
        </w:rPr>
      </w:pPr>
    </w:p>
    <w:p w14:paraId="2864FF7C" w14:textId="77777777" w:rsidR="005D6817" w:rsidRDefault="005D6817" w:rsidP="00456C91">
      <w:pPr>
        <w:rPr>
          <w:rFonts w:ascii="Arial Black" w:hAnsi="Arial Black"/>
          <w:b/>
          <w:sz w:val="24"/>
          <w:szCs w:val="24"/>
        </w:rPr>
      </w:pPr>
    </w:p>
    <w:p w14:paraId="62928E9E" w14:textId="77777777" w:rsidR="005D6817" w:rsidRDefault="005D6817" w:rsidP="00456C91">
      <w:pPr>
        <w:rPr>
          <w:rFonts w:ascii="Arial Black" w:hAnsi="Arial Black"/>
          <w:b/>
          <w:sz w:val="24"/>
          <w:szCs w:val="24"/>
        </w:rPr>
      </w:pPr>
    </w:p>
    <w:p w14:paraId="08DBF633" w14:textId="56ED2433" w:rsidR="009D5C36" w:rsidRDefault="009D5C36" w:rsidP="00456C91">
      <w:pPr>
        <w:rPr>
          <w:rFonts w:ascii="Arial Black" w:hAnsi="Arial Black"/>
          <w:b/>
          <w:sz w:val="24"/>
          <w:szCs w:val="24"/>
        </w:rPr>
      </w:pPr>
      <w:r>
        <w:rPr>
          <w:rFonts w:ascii="Arial Black" w:hAnsi="Arial Black"/>
          <w:b/>
          <w:sz w:val="24"/>
          <w:szCs w:val="24"/>
        </w:rPr>
        <w:t>8-85</w:t>
      </w:r>
    </w:p>
    <w:p w14:paraId="567E36C3" w14:textId="77777777" w:rsidR="00E22376" w:rsidRPr="00586222" w:rsidRDefault="00E22376" w:rsidP="00E22376">
      <w:pPr>
        <w:pStyle w:val="NoSpacing"/>
        <w:rPr>
          <w:rFonts w:ascii="Arial Black" w:hAnsi="Arial Black"/>
          <w:sz w:val="28"/>
          <w:szCs w:val="28"/>
        </w:rPr>
      </w:pPr>
      <w:r>
        <w:rPr>
          <w:rFonts w:ascii="Arial Black" w:hAnsi="Arial Black"/>
          <w:sz w:val="28"/>
          <w:szCs w:val="28"/>
        </w:rPr>
        <w:t>CA: CAPT PROMOTION – PAPERWORK ERROR / NOT RACE</w:t>
      </w:r>
    </w:p>
    <w:p w14:paraId="4307C9EE" w14:textId="77777777" w:rsidR="00E22376" w:rsidRDefault="00E22376" w:rsidP="00E22376">
      <w:pPr>
        <w:pStyle w:val="NoSpacing"/>
      </w:pPr>
    </w:p>
    <w:p w14:paraId="1CDA894D" w14:textId="77777777" w:rsidR="00E22376" w:rsidRDefault="00E22376" w:rsidP="00E22376">
      <w:pPr>
        <w:pStyle w:val="NoSpacing"/>
        <w:rPr>
          <w:b/>
        </w:rPr>
      </w:pPr>
      <w:r>
        <w:t xml:space="preserve">On Oct. 21, 2025, in </w:t>
      </w:r>
      <w:r w:rsidRPr="00032EE9">
        <w:rPr>
          <w:u w:val="single"/>
        </w:rPr>
        <w:t>Christopher Davis v. County of Los Angeles</w:t>
      </w:r>
      <w:r>
        <w:t xml:space="preserve">, the </w:t>
      </w:r>
      <w:r w:rsidRPr="00032EE9">
        <w:t xml:space="preserve">California Court of </w:t>
      </w:r>
      <w:proofErr w:type="gramStart"/>
      <w:r w:rsidRPr="00032EE9">
        <w:t>Appeals</w:t>
      </w:r>
      <w:proofErr w:type="gramEnd"/>
      <w:r w:rsidRPr="00032EE9">
        <w:t>, Second District, Second Division</w:t>
      </w:r>
      <w:r>
        <w:t xml:space="preserve"> held (3 to 0) that trial court granted summary judgment to the County. He was not promoted to Captain in 2018; his Captain (also </w:t>
      </w:r>
      <w:proofErr w:type="gramStart"/>
      <w:r>
        <w:t>African-American</w:t>
      </w:r>
      <w:proofErr w:type="gramEnd"/>
      <w:r>
        <w:t xml:space="preserve">) prepared a memo updating plaintiff’s work activities (7 “Emergency Action Plan” activities, instead of 2 ) but memo never made it into FF’s personnel file. Six other candidates had similar issues with lack of records in their personnel file.   He was promoted in 2021 with corrected paperwork in his file.  </w:t>
      </w:r>
      <w:hyperlink r:id="rId1540" w:history="1">
        <w:r w:rsidRPr="00222699">
          <w:rPr>
            <w:rStyle w:val="Hyperlink"/>
            <w:b/>
          </w:rPr>
          <w:t>https://www4.courts.ca.gov/opinions/nonpub/B332575.PDF</w:t>
        </w:r>
      </w:hyperlink>
      <w:r>
        <w:rPr>
          <w:b/>
        </w:rPr>
        <w:t xml:space="preserve"> </w:t>
      </w:r>
    </w:p>
    <w:p w14:paraId="06D220A6" w14:textId="77777777" w:rsidR="00E22376" w:rsidRDefault="00E22376" w:rsidP="00E22376">
      <w:pPr>
        <w:pStyle w:val="NoSpacing"/>
        <w:rPr>
          <w:bCs/>
        </w:rPr>
      </w:pPr>
    </w:p>
    <w:p w14:paraId="463B3355" w14:textId="77777777" w:rsidR="00E22376" w:rsidRDefault="00E22376" w:rsidP="00E22376">
      <w:pPr>
        <w:pStyle w:val="NoSpacing"/>
        <w:rPr>
          <w:bCs/>
        </w:rPr>
      </w:pPr>
      <w:r>
        <w:t xml:space="preserve">THE COURT HELD:  </w:t>
      </w:r>
    </w:p>
    <w:p w14:paraId="682D121A" w14:textId="77777777" w:rsidR="00E22376" w:rsidRDefault="00E22376" w:rsidP="00E22376">
      <w:pPr>
        <w:pStyle w:val="NoSpacing"/>
        <w:rPr>
          <w:bCs/>
        </w:rPr>
      </w:pPr>
    </w:p>
    <w:p w14:paraId="241C6190" w14:textId="77777777" w:rsidR="00E22376" w:rsidRDefault="00E22376" w:rsidP="00E22376">
      <w:pPr>
        <w:pStyle w:val="NoSpacing"/>
        <w:ind w:left="720"/>
      </w:pPr>
      <w:r>
        <w:t xml:space="preserve">“First, there is no evidence the fire department—led by an </w:t>
      </w:r>
      <w:proofErr w:type="gramStart"/>
      <w:r>
        <w:t>African-American</w:t>
      </w:r>
      <w:proofErr w:type="gramEnd"/>
      <w:r>
        <w:t xml:space="preserve"> fire chief—harbored discriminatory intent. Davis’s direct supervisor, Captain Williams, is </w:t>
      </w:r>
      <w:proofErr w:type="gramStart"/>
      <w:r>
        <w:t>African-American</w:t>
      </w:r>
      <w:proofErr w:type="gramEnd"/>
      <w:r>
        <w:t xml:space="preserve">. Eleven </w:t>
      </w:r>
      <w:proofErr w:type="gramStart"/>
      <w:r>
        <w:t>African-Americans</w:t>
      </w:r>
      <w:proofErr w:type="gramEnd"/>
      <w:r>
        <w:t xml:space="preserve"> applied for a captainship, and 10 of them were promoted. Davis himself was promoted to captain the next year when he reapplied using improved paperwork.</w:t>
      </w:r>
    </w:p>
    <w:p w14:paraId="6FD79D4A" w14:textId="77777777" w:rsidR="00E22376" w:rsidRDefault="00E22376" w:rsidP="00E22376">
      <w:pPr>
        <w:pStyle w:val="NoSpacing"/>
        <w:ind w:left="720"/>
      </w:pPr>
    </w:p>
    <w:p w14:paraId="3DBA00C4" w14:textId="77777777" w:rsidR="00E22376" w:rsidRDefault="00E22376" w:rsidP="00E22376">
      <w:pPr>
        <w:pStyle w:val="NoSpacing"/>
        <w:ind w:left="720"/>
      </w:pPr>
      <w:r>
        <w:t>***</w:t>
      </w:r>
    </w:p>
    <w:p w14:paraId="23BC33CD" w14:textId="77777777" w:rsidR="00E22376" w:rsidRPr="004A682C" w:rsidRDefault="00E22376" w:rsidP="00E22376">
      <w:pPr>
        <w:pStyle w:val="NoSpacing"/>
        <w:ind w:left="720"/>
        <w:rPr>
          <w:bCs/>
        </w:rPr>
      </w:pPr>
    </w:p>
    <w:p w14:paraId="061BF5B9" w14:textId="77777777" w:rsidR="00E22376" w:rsidRDefault="00E22376" w:rsidP="00E22376">
      <w:pPr>
        <w:pStyle w:val="NoSpacing"/>
        <w:ind w:left="720"/>
      </w:pPr>
      <w:r>
        <w:t xml:space="preserve">Davis’s description of events in his brief shows his promotion was delayed by administrative error. He writes that his supervisor, Captain </w:t>
      </w:r>
      <w:proofErr w:type="gramStart"/>
      <w:r>
        <w:t>Williams, ‘</w:t>
      </w:r>
      <w:proofErr w:type="gramEnd"/>
      <w:r>
        <w:t xml:space="preserve">originally failed to include a list of [Davis’s] EAP’s in </w:t>
      </w:r>
      <w:proofErr w:type="spellStart"/>
      <w:r>
        <w:t>Davis’</w:t>
      </w:r>
      <w:proofErr w:type="spellEnd"/>
      <w:r>
        <w:t xml:space="preserve"> Performance Evaluation.’ Davis does not claim Williams, who is </w:t>
      </w:r>
      <w:proofErr w:type="gramStart"/>
      <w:r>
        <w:t>African-American</w:t>
      </w:r>
      <w:proofErr w:type="gramEnd"/>
      <w:r>
        <w:t xml:space="preserve">, was motivated by racism. Davis further writes that Williams agreed to amend the evaluation, and ‘was expected to send the amended page to the appropriate person or department such that the Performance Evaluation could be officially amended and an amended copy placed in </w:t>
      </w:r>
      <w:proofErr w:type="spellStart"/>
      <w:r>
        <w:t>Davis’</w:t>
      </w:r>
      <w:proofErr w:type="spellEnd"/>
      <w:r>
        <w:t xml:space="preserve"> personnel file. . . . While Williams intended to send the amendment page of the performance evaluation up through channels, Davis later discovered his performance evaluation that should have contained the amendment was not back in his personnel file. He surmises, ‘it is highly likely that the amended performance evaluation got lost in the chain.’</w:t>
      </w:r>
    </w:p>
    <w:p w14:paraId="79AE8129" w14:textId="77777777" w:rsidR="00E22376" w:rsidRDefault="00E22376" w:rsidP="00E22376">
      <w:pPr>
        <w:pStyle w:val="NoSpacing"/>
        <w:ind w:left="720"/>
      </w:pPr>
    </w:p>
    <w:p w14:paraId="369E029F" w14:textId="77777777" w:rsidR="00E22376" w:rsidRDefault="00E22376" w:rsidP="00E22376">
      <w:pPr>
        <w:pStyle w:val="NoSpacing"/>
        <w:ind w:left="720"/>
      </w:pPr>
      <w:r>
        <w:t>***</w:t>
      </w:r>
    </w:p>
    <w:p w14:paraId="66D769FF" w14:textId="77777777" w:rsidR="00E22376" w:rsidRDefault="00E22376" w:rsidP="00E22376">
      <w:pPr>
        <w:pStyle w:val="NoSpacing"/>
        <w:ind w:left="720"/>
      </w:pPr>
      <w:r>
        <w:t>County offered evidence that six candidates of various races (Latino, White, and Filipino) were denied points for insufficiently documented work activities; Davis was not treated differently.”</w:t>
      </w:r>
    </w:p>
    <w:p w14:paraId="710A4C7A" w14:textId="77777777" w:rsidR="00E22376" w:rsidRDefault="00E22376" w:rsidP="00E22376">
      <w:pPr>
        <w:pStyle w:val="NoSpacing"/>
        <w:ind w:left="720"/>
      </w:pPr>
    </w:p>
    <w:p w14:paraId="3324D34A" w14:textId="7F8AA682" w:rsidR="00E22376" w:rsidRDefault="00E22376" w:rsidP="00E22376">
      <w:pPr>
        <w:pStyle w:val="NoSpacing"/>
        <w:rPr>
          <w:b/>
          <w:bCs/>
        </w:rPr>
      </w:pPr>
      <w:r>
        <w:rPr>
          <w:b/>
        </w:rPr>
        <w:t xml:space="preserve">Lesson learned: The County proved that there was a paperwork issue, </w:t>
      </w:r>
      <w:proofErr w:type="gramStart"/>
      <w:r>
        <w:rPr>
          <w:b/>
        </w:rPr>
        <w:t>similar to</w:t>
      </w:r>
      <w:proofErr w:type="gramEnd"/>
      <w:r>
        <w:rPr>
          <w:b/>
        </w:rPr>
        <w:t xml:space="preserve"> six other candidates, not race.  </w:t>
      </w:r>
    </w:p>
    <w:p w14:paraId="0CF017CB" w14:textId="77777777" w:rsidR="009D5C36" w:rsidRDefault="009D5C36" w:rsidP="00456C91">
      <w:pPr>
        <w:rPr>
          <w:rFonts w:ascii="Arial Black" w:hAnsi="Arial Black"/>
          <w:b/>
          <w:sz w:val="24"/>
          <w:szCs w:val="24"/>
        </w:rPr>
      </w:pPr>
    </w:p>
    <w:p w14:paraId="1D8FC3DD" w14:textId="77777777" w:rsidR="001B367D" w:rsidRDefault="001B367D" w:rsidP="00456C91">
      <w:pPr>
        <w:rPr>
          <w:rFonts w:ascii="Arial Black" w:hAnsi="Arial Black"/>
          <w:b/>
          <w:sz w:val="24"/>
          <w:szCs w:val="24"/>
        </w:rPr>
      </w:pPr>
    </w:p>
    <w:p w14:paraId="1E6F89B8" w14:textId="7E002B3E" w:rsidR="001B367D" w:rsidRDefault="001B367D" w:rsidP="00456C91">
      <w:pPr>
        <w:rPr>
          <w:rFonts w:ascii="Arial Black" w:hAnsi="Arial Black"/>
          <w:b/>
          <w:sz w:val="24"/>
          <w:szCs w:val="24"/>
        </w:rPr>
      </w:pPr>
      <w:r>
        <w:rPr>
          <w:rFonts w:ascii="Arial Black" w:hAnsi="Arial Black"/>
          <w:b/>
          <w:sz w:val="24"/>
          <w:szCs w:val="24"/>
        </w:rPr>
        <w:t>8-84</w:t>
      </w:r>
    </w:p>
    <w:p w14:paraId="4805D631" w14:textId="1703EA61" w:rsidR="00BE5492" w:rsidRDefault="00BE5492" w:rsidP="00BE5492">
      <w:pPr>
        <w:pStyle w:val="NoSpacing"/>
        <w:rPr>
          <w:rFonts w:ascii="Arial Black" w:hAnsi="Arial Black"/>
          <w:sz w:val="28"/>
          <w:szCs w:val="28"/>
        </w:rPr>
      </w:pPr>
      <w:r>
        <w:rPr>
          <w:rFonts w:ascii="Arial Black" w:hAnsi="Arial Black"/>
          <w:sz w:val="28"/>
          <w:szCs w:val="28"/>
        </w:rPr>
        <w:t>LA: NOT RACE  – COMPETENCY EXAM</w:t>
      </w:r>
      <w:r w:rsidR="0012290C">
        <w:rPr>
          <w:rFonts w:ascii="Arial Black" w:hAnsi="Arial Black"/>
          <w:sz w:val="28"/>
          <w:szCs w:val="28"/>
        </w:rPr>
        <w:t xml:space="preserve"> IN</w:t>
      </w:r>
      <w:r>
        <w:rPr>
          <w:rFonts w:ascii="Arial Black" w:hAnsi="Arial Black"/>
          <w:sz w:val="28"/>
          <w:szCs w:val="28"/>
        </w:rPr>
        <w:t xml:space="preserve"> PRE-PLANS JOB REQ. </w:t>
      </w:r>
    </w:p>
    <w:p w14:paraId="22F6F27D" w14:textId="77777777" w:rsidR="00BE5492" w:rsidRDefault="00BE5492" w:rsidP="00BE5492">
      <w:pPr>
        <w:pStyle w:val="NoSpacing"/>
      </w:pPr>
    </w:p>
    <w:p w14:paraId="76C17355" w14:textId="77777777" w:rsidR="00BE5492" w:rsidRPr="005D412D" w:rsidRDefault="00BE5492" w:rsidP="00BE5492">
      <w:pPr>
        <w:pStyle w:val="NoSpacing"/>
        <w:rPr>
          <w:bCs/>
        </w:rPr>
      </w:pPr>
      <w:r>
        <w:t xml:space="preserve">On Oct. 17, 2025, in </w:t>
      </w:r>
      <w:r w:rsidRPr="005D412D">
        <w:rPr>
          <w:u w:val="single"/>
        </w:rPr>
        <w:t>Felicia Scroggins v. City of Shreveport</w:t>
      </w:r>
      <w:r w:rsidRPr="005D412D">
        <w:t xml:space="preserve">, </w:t>
      </w:r>
      <w:r>
        <w:t>the U.S. Court of Appeals for 5</w:t>
      </w:r>
      <w:r w:rsidRPr="005D412D">
        <w:rPr>
          <w:vertAlign w:val="superscript"/>
        </w:rPr>
        <w:t>th</w:t>
      </w:r>
      <w:r>
        <w:t xml:space="preserve"> Circuit (New Orleans) upheld (3 to 0) the dismissal of her race and sex discrimination lawsuit. In her pro se appeal brief “</w:t>
      </w:r>
      <w:r w:rsidRPr="00012AD3">
        <w:t>of the ten cases Scroggins cites, four appear to be fake</w:t>
      </w:r>
      <w:r>
        <w:t>.”  The fire department conducted a competency exam for personnel seeking to join the pre-plan review unit;   she didn’t even take the exam for the second bid process. Court held that the U.S. District Court judge granted summary judgment to the city, and “</w:t>
      </w:r>
      <w:r w:rsidRPr="00AE3FCF">
        <w:t xml:space="preserve">explained that she had failed to </w:t>
      </w:r>
      <w:r>
        <w:t>‘</w:t>
      </w:r>
      <w:r w:rsidRPr="00AE3FCF">
        <w:t>produce[] . . .</w:t>
      </w:r>
      <w:r>
        <w:t xml:space="preserve"> </w:t>
      </w:r>
      <w:r w:rsidRPr="00AE3FCF">
        <w:t>competent summary judgment evidence</w:t>
      </w:r>
      <w:r>
        <w:t>’</w:t>
      </w:r>
      <w:r w:rsidRPr="00AE3FCF">
        <w:t xml:space="preserve"> of pretext necessary to survive</w:t>
      </w:r>
      <w:r>
        <w:t xml:space="preserve"> </w:t>
      </w:r>
      <w:r w:rsidRPr="00AE3FCF">
        <w:t>summary judgment on any theory of retaliation</w:t>
      </w:r>
      <w:r>
        <w:t xml:space="preserve">… </w:t>
      </w:r>
      <w:r w:rsidRPr="00AE3FCF">
        <w:t>She points us to no part of</w:t>
      </w:r>
      <w:r>
        <w:t xml:space="preserve"> </w:t>
      </w:r>
      <w:r w:rsidRPr="00AE3FCF">
        <w:t>the record showing otherwise and has accordingly forfeited her challenge.</w:t>
      </w:r>
      <w:r>
        <w:t xml:space="preserve">” </w:t>
      </w:r>
      <w:r w:rsidRPr="00226503">
        <w:t>Scroggins ceased employment with the SFD in January 2023.</w:t>
      </w:r>
    </w:p>
    <w:p w14:paraId="7672807B" w14:textId="77777777" w:rsidR="00BE5492" w:rsidRDefault="00BE5492" w:rsidP="00BE5492">
      <w:pPr>
        <w:pStyle w:val="NoSpacing"/>
        <w:rPr>
          <w:bCs/>
        </w:rPr>
      </w:pPr>
      <w:hyperlink r:id="rId1541" w:history="1">
        <w:r w:rsidRPr="00D86B5D">
          <w:rPr>
            <w:rStyle w:val="Hyperlink"/>
          </w:rPr>
          <w:t>https://www.ca5.uscourts.gov/opinions/pub/24/24-30777-CV0.pdf</w:t>
        </w:r>
      </w:hyperlink>
      <w:r>
        <w:t xml:space="preserve"> </w:t>
      </w:r>
    </w:p>
    <w:p w14:paraId="21B7F196" w14:textId="77777777" w:rsidR="00BE5492" w:rsidRDefault="00BE5492" w:rsidP="00BE5492">
      <w:pPr>
        <w:pStyle w:val="NoSpacing"/>
        <w:rPr>
          <w:bCs/>
        </w:rPr>
      </w:pPr>
    </w:p>
    <w:p w14:paraId="28BBC78F" w14:textId="77777777" w:rsidR="00BE5492" w:rsidRDefault="00BE5492" w:rsidP="00BE5492">
      <w:pPr>
        <w:pStyle w:val="NoSpacing"/>
        <w:rPr>
          <w:bCs/>
        </w:rPr>
      </w:pPr>
      <w:r>
        <w:t xml:space="preserve">THE DISRICT COURT HOLDING: </w:t>
      </w:r>
    </w:p>
    <w:p w14:paraId="46E3780A" w14:textId="77777777" w:rsidR="00BE5492" w:rsidRDefault="00BE5492" w:rsidP="00BE5492">
      <w:pPr>
        <w:pStyle w:val="NoSpacing"/>
        <w:rPr>
          <w:bCs/>
        </w:rPr>
      </w:pPr>
    </w:p>
    <w:p w14:paraId="1F80EF3A" w14:textId="77777777" w:rsidR="00BE5492" w:rsidRDefault="00BE5492" w:rsidP="00BE5492">
      <w:pPr>
        <w:pStyle w:val="NoSpacing"/>
        <w:rPr>
          <w:bCs/>
        </w:rPr>
      </w:pPr>
      <w:r>
        <w:t xml:space="preserve">On Nov. 13, 2024, United States District Court Judge S. Maurica Hicks, Jr. granted summary judgment to the </w:t>
      </w:r>
      <w:proofErr w:type="gramStart"/>
      <w:r>
        <w:t>City</w:t>
      </w:r>
      <w:proofErr w:type="gramEnd"/>
      <w:r>
        <w:t xml:space="preserve">. </w:t>
      </w:r>
      <w:hyperlink r:id="rId1542" w:history="1">
        <w:r w:rsidRPr="00D86B5D">
          <w:rPr>
            <w:rStyle w:val="Hyperlink"/>
          </w:rPr>
          <w:t>https://www.casemine.com/judgement/us/6736ce6c5891a561b0d805aa</w:t>
        </w:r>
      </w:hyperlink>
      <w:r>
        <w:t xml:space="preserve"> </w:t>
      </w:r>
    </w:p>
    <w:p w14:paraId="30664483" w14:textId="77777777" w:rsidR="00BE5492" w:rsidRDefault="00BE5492" w:rsidP="00BE5492">
      <w:pPr>
        <w:pStyle w:val="NoSpacing"/>
      </w:pPr>
    </w:p>
    <w:p w14:paraId="5E5F1128" w14:textId="77777777" w:rsidR="00BE5492" w:rsidRPr="000E3394" w:rsidRDefault="00BE5492" w:rsidP="00BE5492">
      <w:pPr>
        <w:pStyle w:val="NoSpacing"/>
      </w:pPr>
      <w:r>
        <w:tab/>
        <w:t>“</w:t>
      </w:r>
      <w:r w:rsidRPr="000E3394">
        <w:t>In his sworn declaration, Chief Scott Wolverton (</w:t>
      </w:r>
      <w:r>
        <w:t>‘</w:t>
      </w:r>
      <w:r w:rsidRPr="000E3394">
        <w:t>Chief Wolverton</w:t>
      </w:r>
      <w:r>
        <w:t>’</w:t>
      </w:r>
      <w:r w:rsidRPr="000E3394">
        <w:t xml:space="preserve">) stated: </w:t>
      </w:r>
    </w:p>
    <w:p w14:paraId="002214E2" w14:textId="77777777" w:rsidR="00BE5492" w:rsidRDefault="00BE5492" w:rsidP="00BE5492">
      <w:pPr>
        <w:pStyle w:val="NoSpacing"/>
        <w:ind w:left="1440"/>
      </w:pPr>
      <w:r w:rsidRPr="000E3394">
        <w:t xml:space="preserve">After I became Chief in February 2015, I decided to implement a competency test on pre-plans for all SFD personnel bidding for as assignment at Station 22. I did so to ensure that Station 22 would be staffed </w:t>
      </w:r>
      <w:r>
        <w:t xml:space="preserve"> </w:t>
      </w:r>
      <w:r w:rsidRPr="000E3394">
        <w:t>by individuals that were the most knowledgeable on pre-</w:t>
      </w:r>
      <w:proofErr w:type="gramStart"/>
      <w:r w:rsidRPr="000E3394">
        <w:t>plans</w:t>
      </w:r>
      <w:proofErr w:type="gramEnd"/>
      <w:r w:rsidRPr="000E3394">
        <w:t xml:space="preserve">, because they are vitally important to the SFD's mission and operations. </w:t>
      </w:r>
    </w:p>
    <w:p w14:paraId="3687E46A" w14:textId="77777777" w:rsidR="00BE5492" w:rsidRDefault="00BE5492" w:rsidP="00BE5492">
      <w:pPr>
        <w:pStyle w:val="NoSpacing"/>
      </w:pPr>
      <w:r>
        <w:tab/>
        <w:t>***</w:t>
      </w:r>
    </w:p>
    <w:p w14:paraId="165286D6" w14:textId="77777777" w:rsidR="00BE5492" w:rsidRDefault="00BE5492" w:rsidP="00BE5492">
      <w:pPr>
        <w:pStyle w:val="NoSpacing"/>
      </w:pPr>
    </w:p>
    <w:p w14:paraId="770B76D0" w14:textId="77777777" w:rsidR="00BE5492" w:rsidRDefault="00BE5492" w:rsidP="00BE5492">
      <w:pPr>
        <w:pStyle w:val="NoSpacing"/>
        <w:ind w:left="720"/>
      </w:pPr>
      <w:r w:rsidRPr="007805E1">
        <w:t>On August 10, 2015, Deputy Chief Jones issued an Inter-Office Memorandum to all SFD personnel advising that all personnel - regardless of rank - bidding for a position at Station 22 would be required to complete a competency test to ensure they have the necessary skills for the assignment</w:t>
      </w:r>
      <w:r>
        <w:t>….</w:t>
      </w:r>
      <w:r w:rsidRPr="005C5356">
        <w:t>The competency test was administered between September 10-16, 2015</w:t>
      </w:r>
      <w:r>
        <w:t xml:space="preserve">…. </w:t>
      </w:r>
      <w:r w:rsidRPr="007D1E86">
        <w:t>Scroggins admits that she “chose not to even begin the test.”</w:t>
      </w:r>
    </w:p>
    <w:p w14:paraId="0DD9F6D0" w14:textId="77777777" w:rsidR="00BE5492" w:rsidRDefault="00BE5492" w:rsidP="00BE5492">
      <w:pPr>
        <w:pStyle w:val="NoSpacing"/>
        <w:ind w:left="720"/>
      </w:pPr>
    </w:p>
    <w:p w14:paraId="7DDE36BE" w14:textId="04273A6C" w:rsidR="00BE5492" w:rsidRPr="008D55C4" w:rsidRDefault="00BE5492" w:rsidP="00BE5492">
      <w:pPr>
        <w:pStyle w:val="NoSpacing"/>
        <w:rPr>
          <w:b/>
          <w:bCs/>
        </w:rPr>
      </w:pPr>
      <w:r>
        <w:rPr>
          <w:b/>
        </w:rPr>
        <w:t>Lesson learned: Competency exam is excellent way to fill a pre-plan review position.</w:t>
      </w:r>
    </w:p>
    <w:p w14:paraId="50E7052B" w14:textId="77777777" w:rsidR="00BE5492" w:rsidRDefault="00BE5492" w:rsidP="00BE5492">
      <w:pPr>
        <w:pStyle w:val="NoSpacing"/>
        <w:ind w:left="720"/>
      </w:pPr>
    </w:p>
    <w:p w14:paraId="03710A78" w14:textId="77777777" w:rsidR="009D5C36" w:rsidRDefault="009D5C36" w:rsidP="00456C91">
      <w:pPr>
        <w:rPr>
          <w:rFonts w:ascii="Arial Black" w:hAnsi="Arial Black"/>
          <w:b/>
          <w:sz w:val="24"/>
          <w:szCs w:val="24"/>
        </w:rPr>
      </w:pPr>
    </w:p>
    <w:p w14:paraId="22A92447" w14:textId="5560F3AD" w:rsidR="000F3890" w:rsidRDefault="000F3890" w:rsidP="00456C91">
      <w:pPr>
        <w:rPr>
          <w:rFonts w:ascii="Arial Black" w:hAnsi="Arial Black"/>
          <w:b/>
          <w:sz w:val="24"/>
          <w:szCs w:val="24"/>
        </w:rPr>
      </w:pPr>
      <w:r>
        <w:rPr>
          <w:rFonts w:ascii="Arial Black" w:hAnsi="Arial Black"/>
          <w:b/>
          <w:sz w:val="24"/>
          <w:szCs w:val="24"/>
        </w:rPr>
        <w:t>8-83</w:t>
      </w:r>
    </w:p>
    <w:p w14:paraId="6E4CA291" w14:textId="77777777" w:rsidR="000F3890" w:rsidRDefault="000F3890" w:rsidP="000F3890">
      <w:pPr>
        <w:rPr>
          <w:rFonts w:ascii="Arial Black" w:hAnsi="Arial Black"/>
          <w:b/>
          <w:sz w:val="28"/>
          <w:szCs w:val="28"/>
        </w:rPr>
      </w:pPr>
      <w:r>
        <w:rPr>
          <w:rFonts w:ascii="Arial Black" w:hAnsi="Arial Black"/>
          <w:b/>
          <w:sz w:val="28"/>
          <w:szCs w:val="28"/>
        </w:rPr>
        <w:t xml:space="preserve">KS: PROMOTION 4 D/C – PANEL RATED BLACK LOWEST </w:t>
      </w:r>
    </w:p>
    <w:p w14:paraId="0D05824D" w14:textId="77777777" w:rsidR="000F3890" w:rsidRDefault="000F3890" w:rsidP="000F3890">
      <w:pPr>
        <w:rPr>
          <w:bCs/>
        </w:rPr>
      </w:pPr>
      <w:r w:rsidRPr="00291724">
        <w:t xml:space="preserve">On Sept. 3, 2025, in </w:t>
      </w:r>
      <w:r w:rsidRPr="00291724">
        <w:rPr>
          <w:u w:val="single"/>
        </w:rPr>
        <w:t>Brently Dorsey v. City of Topeka, Kansas</w:t>
      </w:r>
      <w:r w:rsidRPr="00291724">
        <w:t xml:space="preserve">, </w:t>
      </w:r>
      <w:r>
        <w:t xml:space="preserve">U.S. District Court Judge Holly L. Teeter, United States District Court for District of Kansas, granted defense motion for summary judgment after close of discovery concerning Black Captain’s allegations of race discrimination and violation of Americans with Disabilities Act.  He had been on light duty for </w:t>
      </w:r>
      <w:r w:rsidRPr="00F54F8D">
        <w:t>leukemia</w:t>
      </w:r>
      <w:r>
        <w:t xml:space="preserve">. Seven candidates were interviewed for the four open District Chief positions.  They were interviewed by panel of four (3 outside the FD ).  Plaintiff scored lowest (117 points); four highest were promoted (174; 168; 164; 161).  </w:t>
      </w:r>
    </w:p>
    <w:p w14:paraId="27646D8F" w14:textId="77777777" w:rsidR="000F3890" w:rsidRDefault="000F3890" w:rsidP="000F3890">
      <w:r w:rsidRPr="0028702B">
        <w:rPr>
          <w:b/>
        </w:rPr>
        <w:t xml:space="preserve">THE COURT HELD: </w:t>
      </w:r>
      <w:r>
        <w:t>“</w:t>
      </w:r>
      <w:r w:rsidRPr="00404A20">
        <w:t xml:space="preserve">He scored seventh out of seven and there were only four open Division Chief positions. The promotions went to the top four scorers…. </w:t>
      </w:r>
      <w:r w:rsidRPr="003C5836">
        <w:t>In sum, Dorsey points to almost nothing that would allow a factfinder to believe that the stated, non-discriminatory reason for the promotions was unworthy of belief</w:t>
      </w:r>
      <w:r>
        <w:t xml:space="preserve">…. </w:t>
      </w:r>
      <w:r w:rsidRPr="000F378A">
        <w:t xml:space="preserve">But there is nothing in the record that </w:t>
      </w:r>
      <w:r>
        <w:t xml:space="preserve">[Fire Chief Randy] </w:t>
      </w:r>
      <w:r w:rsidRPr="000F378A">
        <w:t>Phillips</w:t>
      </w:r>
      <w:r>
        <w:t xml:space="preserve"> (white male)</w:t>
      </w:r>
      <w:r w:rsidRPr="000F378A">
        <w:t xml:space="preserve"> or </w:t>
      </w:r>
      <w:r>
        <w:t xml:space="preserve">[Deputy </w:t>
      </w:r>
      <w:r w:rsidRPr="004D25A2">
        <w:t>Antony</w:t>
      </w:r>
      <w:r>
        <w:t xml:space="preserve">] </w:t>
      </w:r>
      <w:r w:rsidRPr="000F378A">
        <w:t xml:space="preserve">Standifer </w:t>
      </w:r>
      <w:r>
        <w:t xml:space="preserve">(Hispanic male) </w:t>
      </w:r>
      <w:r w:rsidRPr="000F378A">
        <w:t>have any racial animus toward Dorsey or anyone else. Dorsey is not entitled to a trial for race discrimination simply because there have been historical issues or because other firefighters have brought claims of race discrimination unrelated to this case. Mere conjecture that race discrimination is afoot is not enough to defeat summary judgment.</w:t>
      </w:r>
      <w:r>
        <w:t xml:space="preserve">” </w:t>
      </w:r>
      <w:hyperlink r:id="rId1543" w:history="1">
        <w:r w:rsidRPr="00204094">
          <w:rPr>
            <w:rStyle w:val="Hyperlink"/>
          </w:rPr>
          <w:t>https://cases.justia.com/federal/district-courts/kansas/ksdce/2:2023cv02422/149254/113/0.pdf?ts=1756979784</w:t>
        </w:r>
      </w:hyperlink>
      <w:r>
        <w:t xml:space="preserve"> </w:t>
      </w:r>
    </w:p>
    <w:p w14:paraId="52CBD985" w14:textId="77777777" w:rsidR="000F3890" w:rsidRPr="008A2BFE" w:rsidRDefault="000F3890" w:rsidP="000F3890">
      <w:pPr>
        <w:rPr>
          <w:b/>
          <w:bCs/>
        </w:rPr>
      </w:pPr>
      <w:r w:rsidRPr="008A2BFE">
        <w:rPr>
          <w:b/>
        </w:rPr>
        <w:t xml:space="preserve">KEY FACTS: </w:t>
      </w:r>
    </w:p>
    <w:p w14:paraId="7164A399" w14:textId="77777777" w:rsidR="000F3890" w:rsidRDefault="000F3890" w:rsidP="000F3890">
      <w:pPr>
        <w:pStyle w:val="NoSpacing"/>
        <w:ind w:left="720"/>
      </w:pPr>
      <w:r>
        <w:t xml:space="preserve">“Dorsey was not promoted to Division Chief in 2022 and contends the decision not to promote him was discrimination based on race and disability. The </w:t>
      </w:r>
      <w:proofErr w:type="gramStart"/>
      <w:r>
        <w:t>City</w:t>
      </w:r>
      <w:proofErr w:type="gramEnd"/>
      <w:r>
        <w:t xml:space="preserve"> contends it did not promote Dorsey because he received the lowest scores. The </w:t>
      </w:r>
      <w:proofErr w:type="gramStart"/>
      <w:r>
        <w:t>City</w:t>
      </w:r>
      <w:proofErr w:type="gramEnd"/>
      <w:r>
        <w:t xml:space="preserve"> notes that Dorsey and six others interviewed for four open positions. Dorsey scored the lowest; the top four scorers were promoted into the four open positions. The </w:t>
      </w:r>
      <w:proofErr w:type="gramStart"/>
      <w:r>
        <w:t>City</w:t>
      </w:r>
      <w:proofErr w:type="gramEnd"/>
      <w:r>
        <w:t xml:space="preserve"> moves for summary judgment on all claims. Doc. 97.</w:t>
      </w:r>
    </w:p>
    <w:p w14:paraId="3CE50E15" w14:textId="77777777" w:rsidR="000F3890" w:rsidRDefault="000F3890" w:rsidP="000F3890">
      <w:pPr>
        <w:pStyle w:val="NoSpacing"/>
        <w:ind w:left="720"/>
      </w:pPr>
    </w:p>
    <w:p w14:paraId="3A5A0BE1" w14:textId="77777777" w:rsidR="000F3890" w:rsidRDefault="000F3890" w:rsidP="000F3890">
      <w:pPr>
        <w:pStyle w:val="NoSpacing"/>
        <w:ind w:left="720"/>
      </w:pPr>
      <w:r>
        <w:t xml:space="preserve">The Court grants the motion and enters judgment in favor of the </w:t>
      </w:r>
      <w:proofErr w:type="gramStart"/>
      <w:r>
        <w:t>City</w:t>
      </w:r>
      <w:proofErr w:type="gramEnd"/>
      <w:r>
        <w:t>. Dorsey’s claim for</w:t>
      </w:r>
    </w:p>
    <w:p w14:paraId="2B867ED2" w14:textId="77777777" w:rsidR="000F3890" w:rsidRDefault="000F3890" w:rsidP="000F3890">
      <w:pPr>
        <w:pStyle w:val="NoSpacing"/>
        <w:ind w:left="720"/>
      </w:pPr>
      <w:r>
        <w:t xml:space="preserve">race discrimination fails because he has not come forward with evidence of pretext. Dorsey’s claim for disability discrimination fails because he can’t show discrimination or pretext. Dorsey’s claim for constructive discharge fails because he voluntarily retired. And Dorsey’s failure-to-accommodate claim fails because a promotion is not a reasonable accommodation and because </w:t>
      </w:r>
      <w:proofErr w:type="spellStart"/>
      <w:r>
        <w:t>hewas</w:t>
      </w:r>
      <w:proofErr w:type="spellEnd"/>
      <w:r>
        <w:t xml:space="preserve"> otherwise accommodated until he voluntarily retired.”</w:t>
      </w:r>
    </w:p>
    <w:p w14:paraId="61BC0E16" w14:textId="77777777" w:rsidR="000F3890" w:rsidRDefault="000F3890" w:rsidP="000F3890"/>
    <w:p w14:paraId="06754CFE" w14:textId="77777777" w:rsidR="000F3890" w:rsidRPr="00272DFC" w:rsidRDefault="000F3890" w:rsidP="000F3890">
      <w:pPr>
        <w:rPr>
          <w:b/>
          <w:bCs/>
        </w:rPr>
      </w:pPr>
      <w:r>
        <w:t>“</w:t>
      </w:r>
      <w:r w:rsidRPr="00272DFC">
        <w:rPr>
          <w:b/>
        </w:rPr>
        <w:t>Legal lesson learned: The promotion process was fair; plaintiff had no evidence of race discrimination or disability discrimination.</w:t>
      </w:r>
    </w:p>
    <w:p w14:paraId="30DFE481" w14:textId="77777777" w:rsidR="000F3890" w:rsidRDefault="000F3890" w:rsidP="00456C91">
      <w:pPr>
        <w:rPr>
          <w:rFonts w:ascii="Arial Black" w:hAnsi="Arial Black"/>
          <w:b/>
          <w:sz w:val="24"/>
          <w:szCs w:val="24"/>
        </w:rPr>
      </w:pPr>
    </w:p>
    <w:p w14:paraId="2AB86CF2" w14:textId="7081712E" w:rsidR="006959F8" w:rsidRDefault="006959F8" w:rsidP="00456C91">
      <w:pPr>
        <w:rPr>
          <w:rFonts w:ascii="Arial Black" w:hAnsi="Arial Black"/>
          <w:b/>
          <w:sz w:val="24"/>
          <w:szCs w:val="24"/>
        </w:rPr>
      </w:pPr>
      <w:r>
        <w:rPr>
          <w:rFonts w:ascii="Arial Black" w:hAnsi="Arial Black"/>
          <w:b/>
          <w:sz w:val="24"/>
          <w:szCs w:val="24"/>
        </w:rPr>
        <w:t>8-</w:t>
      </w:r>
      <w:r w:rsidR="008409F5">
        <w:rPr>
          <w:rFonts w:ascii="Arial Black" w:hAnsi="Arial Black"/>
          <w:b/>
          <w:sz w:val="24"/>
          <w:szCs w:val="24"/>
        </w:rPr>
        <w:t>8</w:t>
      </w:r>
      <w:r w:rsidR="00113A3A">
        <w:rPr>
          <w:rFonts w:ascii="Arial Black" w:hAnsi="Arial Black"/>
          <w:b/>
          <w:sz w:val="24"/>
          <w:szCs w:val="24"/>
        </w:rPr>
        <w:t>2</w:t>
      </w:r>
    </w:p>
    <w:p w14:paraId="3CA66241" w14:textId="77777777" w:rsidR="00FD4027" w:rsidRDefault="00F779AB" w:rsidP="00F779AB">
      <w:pPr>
        <w:rPr>
          <w:rFonts w:ascii="Arial Black" w:hAnsi="Arial Black"/>
          <w:b/>
          <w:sz w:val="28"/>
          <w:szCs w:val="28"/>
        </w:rPr>
      </w:pPr>
      <w:r>
        <w:rPr>
          <w:rFonts w:ascii="Arial Black" w:hAnsi="Arial Black"/>
          <w:b/>
          <w:sz w:val="28"/>
          <w:szCs w:val="28"/>
        </w:rPr>
        <w:t xml:space="preserve">CA: </w:t>
      </w:r>
      <w:r w:rsidR="005779CA">
        <w:rPr>
          <w:rFonts w:ascii="Arial Black" w:hAnsi="Arial Black"/>
          <w:b/>
          <w:sz w:val="28"/>
          <w:szCs w:val="28"/>
        </w:rPr>
        <w:t xml:space="preserve">REPRIMANDS </w:t>
      </w:r>
      <w:r w:rsidR="00C4400E">
        <w:rPr>
          <w:rFonts w:ascii="Arial Black" w:hAnsi="Arial Black"/>
          <w:b/>
          <w:sz w:val="28"/>
          <w:szCs w:val="28"/>
        </w:rPr>
        <w:t xml:space="preserve">/ </w:t>
      </w:r>
      <w:r>
        <w:rPr>
          <w:rFonts w:ascii="Arial Black" w:hAnsi="Arial Black"/>
          <w:b/>
          <w:sz w:val="28"/>
          <w:szCs w:val="28"/>
        </w:rPr>
        <w:t xml:space="preserve">NEG. PERFORM. REVIEWS </w:t>
      </w:r>
      <w:r w:rsidR="00075181">
        <w:rPr>
          <w:rFonts w:ascii="Arial Black" w:hAnsi="Arial Black"/>
          <w:b/>
          <w:sz w:val="28"/>
          <w:szCs w:val="28"/>
        </w:rPr>
        <w:t>–</w:t>
      </w:r>
      <w:r>
        <w:rPr>
          <w:rFonts w:ascii="Arial Black" w:hAnsi="Arial Black"/>
          <w:b/>
          <w:sz w:val="28"/>
          <w:szCs w:val="28"/>
        </w:rPr>
        <w:t xml:space="preserve"> </w:t>
      </w:r>
      <w:r w:rsidR="00D262D0">
        <w:rPr>
          <w:rFonts w:ascii="Arial Black" w:hAnsi="Arial Black"/>
          <w:b/>
          <w:sz w:val="28"/>
          <w:szCs w:val="28"/>
        </w:rPr>
        <w:t xml:space="preserve">BLACK </w:t>
      </w:r>
      <w:r w:rsidR="005779CA">
        <w:rPr>
          <w:rFonts w:ascii="Arial Black" w:hAnsi="Arial Black"/>
          <w:b/>
          <w:sz w:val="28"/>
          <w:szCs w:val="28"/>
        </w:rPr>
        <w:t xml:space="preserve">PROB FF - </w:t>
      </w:r>
      <w:r w:rsidR="00075181">
        <w:rPr>
          <w:rFonts w:ascii="Arial Black" w:hAnsi="Arial Black"/>
          <w:b/>
          <w:sz w:val="28"/>
          <w:szCs w:val="28"/>
        </w:rPr>
        <w:t xml:space="preserve">NO CASE </w:t>
      </w:r>
    </w:p>
    <w:p w14:paraId="4EBC2363" w14:textId="3227D1BF" w:rsidR="00910090" w:rsidRPr="007E74FE" w:rsidRDefault="00F779AB" w:rsidP="00F779AB">
      <w:pPr>
        <w:rPr>
          <w:rFonts w:ascii="Times New Roman" w:hAnsi="Times New Roman"/>
          <w:sz w:val="24"/>
          <w:szCs w:val="24"/>
        </w:rPr>
      </w:pPr>
      <w:r w:rsidRPr="007E74FE">
        <w:rPr>
          <w:rFonts w:ascii="Times New Roman" w:hAnsi="Times New Roman"/>
          <w:sz w:val="24"/>
          <w:szCs w:val="24"/>
        </w:rPr>
        <w:t xml:space="preserve">On July 28, 2025, in </w:t>
      </w:r>
      <w:r w:rsidRPr="007E74FE">
        <w:rPr>
          <w:rFonts w:ascii="Times New Roman" w:hAnsi="Times New Roman"/>
          <w:sz w:val="24"/>
          <w:szCs w:val="24"/>
          <w:u w:val="single"/>
        </w:rPr>
        <w:t>Waris Gildersleeve v. City of Sacramento, Grian Brust, David Lauchner, et al.</w:t>
      </w:r>
      <w:r w:rsidRPr="007E74FE">
        <w:rPr>
          <w:rFonts w:ascii="Times New Roman" w:hAnsi="Times New Roman"/>
          <w:sz w:val="24"/>
          <w:szCs w:val="24"/>
        </w:rPr>
        <w:t xml:space="preserve">, Senior U.S. District Court Judge John A. Mendez, granted summary judgment to the two officers.  Gildersleeve is a firefighter with the City of Sacramento and has been an employee since 2005. During his probationary </w:t>
      </w:r>
      <w:proofErr w:type="gramStart"/>
      <w:r w:rsidRPr="007E74FE">
        <w:rPr>
          <w:rFonts w:ascii="Times New Roman" w:hAnsi="Times New Roman"/>
          <w:sz w:val="24"/>
          <w:szCs w:val="24"/>
        </w:rPr>
        <w:t>period</w:t>
      </w:r>
      <w:proofErr w:type="gramEnd"/>
      <w:r w:rsidRPr="007E74FE">
        <w:rPr>
          <w:rFonts w:ascii="Times New Roman" w:hAnsi="Times New Roman"/>
          <w:sz w:val="24"/>
          <w:szCs w:val="24"/>
        </w:rPr>
        <w:t xml:space="preserve"> he rotated through several fire stations, and when at  Station No. 6 he was supervised by Brust and </w:t>
      </w:r>
      <w:proofErr w:type="gramStart"/>
      <w:r w:rsidRPr="007E74FE">
        <w:rPr>
          <w:rFonts w:ascii="Times New Roman" w:hAnsi="Times New Roman"/>
          <w:sz w:val="24"/>
          <w:szCs w:val="24"/>
        </w:rPr>
        <w:t>Laucher, and</w:t>
      </w:r>
      <w:proofErr w:type="gramEnd"/>
      <w:r w:rsidRPr="007E74FE">
        <w:rPr>
          <w:rFonts w:ascii="Times New Roman" w:hAnsi="Times New Roman"/>
          <w:sz w:val="24"/>
          <w:szCs w:val="24"/>
        </w:rPr>
        <w:t xml:space="preserve"> received some negative performance reviews.   He got through probation, and he ultimately was promoted to a senior fire prevention officer in 2023.  THE COURT HELD: “Thus, the reprimands or negative reviews Gildersleeve received during his temporary probationary period did not ultimately impact his ‘compensation, terms, conditions, or privileges of employment.’ </w:t>
      </w:r>
      <w:r w:rsidRPr="007E74FE">
        <w:rPr>
          <w:rFonts w:ascii="Times New Roman" w:hAnsi="Times New Roman"/>
          <w:i/>
          <w:iCs/>
          <w:sz w:val="24"/>
          <w:szCs w:val="24"/>
        </w:rPr>
        <w:t>Spokoiny</w:t>
      </w:r>
      <w:r w:rsidRPr="007E74FE">
        <w:rPr>
          <w:rFonts w:ascii="Times New Roman" w:hAnsi="Times New Roman"/>
          <w:sz w:val="24"/>
          <w:szCs w:val="24"/>
        </w:rPr>
        <w:t xml:space="preserve">, 2025 WL 752492 at *1. *** Based on </w:t>
      </w:r>
      <w:proofErr w:type="gramStart"/>
      <w:r w:rsidRPr="007E74FE">
        <w:rPr>
          <w:rFonts w:ascii="Times New Roman" w:hAnsi="Times New Roman"/>
          <w:sz w:val="24"/>
          <w:szCs w:val="24"/>
        </w:rPr>
        <w:t>all of</w:t>
      </w:r>
      <w:proofErr w:type="gramEnd"/>
      <w:r w:rsidRPr="007E74FE">
        <w:rPr>
          <w:rFonts w:ascii="Times New Roman" w:hAnsi="Times New Roman"/>
          <w:sz w:val="24"/>
          <w:szCs w:val="24"/>
        </w:rPr>
        <w:t xml:space="preserve"> this evidence, Plaintiff cannot demonstrate a material adverse employment action and therefore cannot establish a prima facie case of racial discrimination. *** Plaintiff does not put forth any evidence that Brust or Lauchner physically threatened him or that their actions unreasonably interfered with his work performance. At best, the record pertaining to Brust and Lauchner demonstrates that they were indifferent to comments by others and engaged in race-neutral scolding, but not that they affirmatively aided or abetted any racial harassment on their own.” </w:t>
      </w:r>
      <w:hyperlink r:id="rId1544" w:history="1">
        <w:r w:rsidR="00022E5C" w:rsidRPr="00004FA3">
          <w:rPr>
            <w:rStyle w:val="Hyperlink"/>
            <w:rFonts w:ascii="Times New Roman" w:hAnsi="Times New Roman"/>
            <w:sz w:val="24"/>
            <w:szCs w:val="24"/>
          </w:rPr>
          <w:t>https://public.fastcase.com/jaEE2PXzRXmZ99jOLMt1IuS%2F9HpBr5oZUxWDfnHZUAClV0FMS0FkyPj2D073HVCd?utm_medium=email&amp;_hsenc=p2ANqtz-8Af1EW_JVwBhx0UDxsfrXH8_2s6MlC6Pm7CWzCebAgUkWejdyZMRNp9kjbmr3YiOjRBOAIc4DZsyAhk1nZpl--uaoeAg&amp;_hsmi=226712652&amp;utm_content=226712652&amp;utm_source=hs_email</w:t>
        </w:r>
      </w:hyperlink>
      <w:r w:rsidR="00022E5C">
        <w:rPr>
          <w:rFonts w:ascii="Times New Roman" w:hAnsi="Times New Roman"/>
          <w:sz w:val="24"/>
          <w:szCs w:val="24"/>
        </w:rPr>
        <w:t xml:space="preserve"> </w:t>
      </w:r>
    </w:p>
    <w:p w14:paraId="03BB67BD" w14:textId="77777777" w:rsidR="007E74FE" w:rsidRDefault="007E74FE" w:rsidP="007E74FE">
      <w:pPr>
        <w:rPr>
          <w:rFonts w:ascii="Times New Roman" w:hAnsi="Times New Roman"/>
          <w:b/>
          <w:sz w:val="24"/>
          <w:szCs w:val="24"/>
        </w:rPr>
      </w:pPr>
      <w:r w:rsidRPr="007E74FE">
        <w:rPr>
          <w:rFonts w:ascii="Times New Roman" w:hAnsi="Times New Roman"/>
          <w:b/>
          <w:sz w:val="24"/>
          <w:szCs w:val="24"/>
        </w:rPr>
        <w:t>Legal lesson learned:   Plaintiff failed to prove any material adverse employment action by his two supervisors.  The case against the city will proceed on “a failure to prevent racial harassment theory.”</w:t>
      </w:r>
    </w:p>
    <w:p w14:paraId="058C54C0" w14:textId="77777777" w:rsidR="00113A3A" w:rsidRDefault="00113A3A" w:rsidP="007E74FE">
      <w:pPr>
        <w:rPr>
          <w:rFonts w:ascii="Times New Roman" w:hAnsi="Times New Roman"/>
          <w:b/>
          <w:sz w:val="24"/>
          <w:szCs w:val="24"/>
        </w:rPr>
      </w:pPr>
    </w:p>
    <w:p w14:paraId="3F886BB0" w14:textId="68840207" w:rsidR="00113A3A" w:rsidRPr="00C37677" w:rsidRDefault="00C37677" w:rsidP="007E74FE">
      <w:pPr>
        <w:rPr>
          <w:rFonts w:ascii="Arial Black" w:hAnsi="Arial Black"/>
          <w:b/>
          <w:sz w:val="24"/>
          <w:szCs w:val="24"/>
        </w:rPr>
      </w:pPr>
      <w:r w:rsidRPr="00C37677">
        <w:rPr>
          <w:rFonts w:ascii="Arial Black" w:hAnsi="Arial Black"/>
          <w:b/>
          <w:sz w:val="24"/>
          <w:szCs w:val="24"/>
        </w:rPr>
        <w:t>8-81</w:t>
      </w:r>
    </w:p>
    <w:p w14:paraId="7F033586" w14:textId="77777777" w:rsidR="00C37677" w:rsidRDefault="00C37677" w:rsidP="00C37677">
      <w:pPr>
        <w:rPr>
          <w:rFonts w:ascii="Arial Black" w:hAnsi="Arial Black"/>
          <w:b/>
          <w:sz w:val="28"/>
          <w:szCs w:val="28"/>
        </w:rPr>
      </w:pPr>
      <w:r>
        <w:rPr>
          <w:rFonts w:ascii="Arial Black" w:hAnsi="Arial Black"/>
          <w:b/>
          <w:sz w:val="28"/>
          <w:szCs w:val="28"/>
        </w:rPr>
        <w:t>MO: CITY 2022 RETIRED 2013 PROM. LIST B/C AND CAPT</w:t>
      </w:r>
    </w:p>
    <w:p w14:paraId="363DFB85" w14:textId="392955E2" w:rsidR="00113A3A" w:rsidRPr="008B5C50" w:rsidRDefault="00C37677" w:rsidP="00C37677">
      <w:pPr>
        <w:rPr>
          <w:rFonts w:ascii="Times New Roman" w:hAnsi="Times New Roman"/>
          <w:sz w:val="24"/>
          <w:szCs w:val="24"/>
        </w:rPr>
      </w:pPr>
      <w:r w:rsidRPr="008B5C50">
        <w:rPr>
          <w:rFonts w:ascii="Times New Roman" w:hAnsi="Times New Roman"/>
          <w:sz w:val="24"/>
          <w:szCs w:val="24"/>
        </w:rPr>
        <w:t xml:space="preserve">On July 8, 2025, in </w:t>
      </w:r>
      <w:r w:rsidRPr="008B5C50">
        <w:rPr>
          <w:rFonts w:ascii="Times New Roman" w:hAnsi="Times New Roman"/>
          <w:sz w:val="24"/>
          <w:szCs w:val="24"/>
          <w:u w:val="single"/>
        </w:rPr>
        <w:t>Robert Eveland, et al. v. City of St. Louis; Firefighters' Institute for Racial Equality, Inc.; Charles Coyle, Director of the St. Louis Department of Public Safety</w:t>
      </w:r>
      <w:r w:rsidRPr="008B5C50">
        <w:rPr>
          <w:rFonts w:ascii="Times New Roman" w:hAnsi="Times New Roman"/>
          <w:sz w:val="24"/>
          <w:szCs w:val="24"/>
        </w:rPr>
        <w:t xml:space="preserve">, the United States Court of Appeals, Eighth Circuit (St. Louis) held (3 to 0) that the trial court properly granted defense motion to dismiss because the Battalion Chiefs and Captains lacked sufficient property interests in their desired promotions off of the 2013 lists, which were cancelled by Public Safety Director in 2022. The </w:t>
      </w:r>
      <w:proofErr w:type="gramStart"/>
      <w:r w:rsidRPr="008B5C50">
        <w:rPr>
          <w:rFonts w:ascii="Times New Roman" w:hAnsi="Times New Roman"/>
          <w:sz w:val="24"/>
          <w:szCs w:val="24"/>
        </w:rPr>
        <w:t>City</w:t>
      </w:r>
      <w:proofErr w:type="gramEnd"/>
      <w:r w:rsidRPr="008B5C50">
        <w:rPr>
          <w:rFonts w:ascii="Times New Roman" w:hAnsi="Times New Roman"/>
          <w:sz w:val="24"/>
          <w:szCs w:val="24"/>
        </w:rPr>
        <w:t xml:space="preserve"> had previously entered into a settlement agreement concerning the 2013 promotional exams, “to ensure that future promotional examinations are valid and fair and do not unlawfully discriminate against any promotional candidate on the basis of race.”  New exams were supposed to be held in December 2018 (and every three years thereafter) but due to budget cuts the 2013 lists were used until early 2022 when then-Director of Public Safety Dan Isom decided to stop using 10-year-old lists. “[The] current Director of Public Safety Charles Coyle concurred with this decision because in his opinion, using 10-year-old lists to make promotions is problematic because the individuals being promoted did not score as highly on the test and therefore are potentially not the best-qualified candidates.” See Jan. 1, 2024, DEFENDANTS’ MEMORANDUM OF LAW IN SUPPORT OF MOTION FOR SUMMARY JUDGMENT.  </w:t>
      </w:r>
      <w:hyperlink r:id="rId1545" w:history="1">
        <w:r w:rsidRPr="008B5C50">
          <w:rPr>
            <w:rStyle w:val="Hyperlink"/>
            <w:rFonts w:ascii="Times New Roman" w:hAnsi="Times New Roman"/>
            <w:sz w:val="24"/>
            <w:szCs w:val="24"/>
          </w:rPr>
          <w:t>https://storage.courtlistener.com/recap/gov.uscourts.moed.198347/gov.uscourts.moed.198347.70.0.pdf</w:t>
        </w:r>
      </w:hyperlink>
      <w:r w:rsidRPr="008B5C50">
        <w:rPr>
          <w:rFonts w:ascii="Times New Roman" w:hAnsi="Times New Roman"/>
          <w:sz w:val="24"/>
          <w:szCs w:val="24"/>
        </w:rPr>
        <w:t xml:space="preserve">   THE COURT HELD: “The usual promotional process broke down when the fire chief’s former supervisor, purportedly without authority, halted promotions due to the age of qualifying exam scores, which were about nine years old when the freeze began…. [Fire Chief has always promoted the top candidate on list, even though Civil Service rules allow him to select from top 6 on list.] Even assuming all of this is true, the firefighters had no property interests in their desired promotions that the due process clause protected. They just anticipated receiving them…. So, no matter how regular the fire chief’s practice of promoting high scorers was, it could not give any of the firefighters a property interest in a promotion on </w:t>
      </w:r>
      <w:proofErr w:type="gramStart"/>
      <w:r w:rsidRPr="008B5C50">
        <w:rPr>
          <w:rFonts w:ascii="Times New Roman" w:hAnsi="Times New Roman"/>
          <w:sz w:val="24"/>
          <w:szCs w:val="24"/>
        </w:rPr>
        <w:t>its</w:t>
      </w:r>
      <w:proofErr w:type="gramEnd"/>
      <w:r w:rsidRPr="008B5C50">
        <w:rPr>
          <w:rFonts w:ascii="Times New Roman" w:hAnsi="Times New Roman"/>
          <w:sz w:val="24"/>
          <w:szCs w:val="24"/>
        </w:rPr>
        <w:t xml:space="preserve"> own. What is missing is evidence that the city bound itself in some fashion to adhere to that practice. It makes no difference that the fire chief testified to his intention to promote  the firefighters in accordance with his custom. That intention, however firm, did not limit his discretion to promote different candidates or no </w:t>
      </w:r>
      <w:proofErr w:type="gramStart"/>
      <w:r w:rsidRPr="008B5C50">
        <w:rPr>
          <w:rFonts w:ascii="Times New Roman" w:hAnsi="Times New Roman"/>
          <w:sz w:val="24"/>
          <w:szCs w:val="24"/>
        </w:rPr>
        <w:t>candidates.”</w:t>
      </w:r>
      <w:proofErr w:type="gramEnd"/>
      <w:r w:rsidRPr="008B5C50">
        <w:rPr>
          <w:rFonts w:ascii="Times New Roman" w:hAnsi="Times New Roman"/>
          <w:sz w:val="24"/>
          <w:szCs w:val="24"/>
        </w:rPr>
        <w:t xml:space="preserve"> </w:t>
      </w:r>
      <w:hyperlink r:id="rId1546" w:history="1">
        <w:r w:rsidRPr="008B5C50">
          <w:rPr>
            <w:rStyle w:val="Hyperlink"/>
            <w:rFonts w:ascii="Times New Roman" w:hAnsi="Times New Roman"/>
            <w:sz w:val="24"/>
            <w:szCs w:val="24"/>
          </w:rPr>
          <w:t>https://cases.justia.com/federal/appellate-courts/ca8/24-2646/24-2646-2025-07-08.pdf?ts=1751988624</w:t>
        </w:r>
      </w:hyperlink>
    </w:p>
    <w:p w14:paraId="580DE426" w14:textId="77777777" w:rsidR="008B5C50" w:rsidRPr="008B5C50" w:rsidRDefault="008B5C50" w:rsidP="008B5C50">
      <w:pPr>
        <w:pStyle w:val="NoSpacing"/>
        <w:rPr>
          <w:rFonts w:ascii="Times New Roman" w:hAnsi="Times New Roman"/>
          <w:b/>
          <w:bCs/>
          <w:sz w:val="24"/>
          <w:szCs w:val="24"/>
        </w:rPr>
      </w:pPr>
      <w:r w:rsidRPr="008B5C50">
        <w:rPr>
          <w:rFonts w:ascii="Times New Roman" w:hAnsi="Times New Roman"/>
          <w:b/>
          <w:sz w:val="24"/>
          <w:szCs w:val="24"/>
        </w:rPr>
        <w:t>Legal lesson learned: No Constitutionally protected property interests in desired promotions.</w:t>
      </w:r>
    </w:p>
    <w:p w14:paraId="27F675D3" w14:textId="77777777" w:rsidR="008B5C50" w:rsidRPr="008B5C50" w:rsidRDefault="008B5C50" w:rsidP="008B5C50">
      <w:pPr>
        <w:pStyle w:val="NoSpacing"/>
        <w:rPr>
          <w:rFonts w:ascii="Times New Roman" w:hAnsi="Times New Roman"/>
          <w:b/>
          <w:bCs/>
          <w:sz w:val="24"/>
          <w:szCs w:val="24"/>
        </w:rPr>
      </w:pPr>
    </w:p>
    <w:p w14:paraId="3512E855" w14:textId="77777777" w:rsidR="008B5C50" w:rsidRPr="008B5C50" w:rsidRDefault="008B5C50" w:rsidP="008B5C50">
      <w:pPr>
        <w:pStyle w:val="NoSpacing"/>
        <w:ind w:left="720"/>
        <w:rPr>
          <w:rFonts w:ascii="Times New Roman" w:hAnsi="Times New Roman"/>
          <w:sz w:val="24"/>
          <w:szCs w:val="24"/>
        </w:rPr>
      </w:pPr>
      <w:r w:rsidRPr="008B5C50">
        <w:rPr>
          <w:rFonts w:ascii="Times New Roman" w:hAnsi="Times New Roman"/>
          <w:sz w:val="24"/>
          <w:szCs w:val="24"/>
        </w:rPr>
        <w:t xml:space="preserve">Note: See City of Cincinnati 6/15/2023 list for Lieutenants.  “List may be used on or before two years from first hire date.” </w:t>
      </w:r>
      <w:hyperlink r:id="rId1547" w:history="1">
        <w:r w:rsidRPr="008B5C50">
          <w:rPr>
            <w:rStyle w:val="Hyperlink"/>
            <w:rFonts w:ascii="Times New Roman" w:hAnsi="Times New Roman"/>
            <w:sz w:val="24"/>
            <w:szCs w:val="24"/>
          </w:rPr>
          <w:t>https://www.cincinnati-oh.gov/hr/eligible-lists1/promotional/fire-lieutenant/</w:t>
        </w:r>
      </w:hyperlink>
      <w:r w:rsidRPr="008B5C50">
        <w:rPr>
          <w:rFonts w:ascii="Times New Roman" w:hAnsi="Times New Roman"/>
          <w:sz w:val="24"/>
          <w:szCs w:val="24"/>
        </w:rPr>
        <w:t xml:space="preserve"> </w:t>
      </w:r>
    </w:p>
    <w:p w14:paraId="3167E610" w14:textId="77777777" w:rsidR="008B5C50" w:rsidRPr="008B5C50" w:rsidRDefault="008B5C50" w:rsidP="008B5C50">
      <w:pPr>
        <w:rPr>
          <w:rFonts w:ascii="Times New Roman" w:hAnsi="Times New Roman"/>
          <w:sz w:val="24"/>
          <w:szCs w:val="24"/>
        </w:rPr>
      </w:pPr>
      <w:r w:rsidRPr="008B5C50">
        <w:rPr>
          <w:rFonts w:ascii="Times New Roman" w:hAnsi="Times New Roman"/>
          <w:sz w:val="24"/>
          <w:szCs w:val="24"/>
        </w:rPr>
        <w:t xml:space="preserve"> </w:t>
      </w:r>
    </w:p>
    <w:p w14:paraId="728449BE" w14:textId="77777777" w:rsidR="008B5C50" w:rsidRPr="007E74FE" w:rsidRDefault="008B5C50" w:rsidP="00C37677">
      <w:pPr>
        <w:rPr>
          <w:rFonts w:ascii="Times New Roman" w:hAnsi="Times New Roman"/>
          <w:b/>
          <w:bCs/>
          <w:sz w:val="24"/>
          <w:szCs w:val="24"/>
        </w:rPr>
      </w:pPr>
    </w:p>
    <w:p w14:paraId="61C363AF" w14:textId="77777777" w:rsidR="006959F8" w:rsidRDefault="006959F8" w:rsidP="00456C91">
      <w:pPr>
        <w:rPr>
          <w:rFonts w:ascii="Arial Black" w:hAnsi="Arial Black"/>
          <w:b/>
          <w:sz w:val="24"/>
          <w:szCs w:val="24"/>
        </w:rPr>
      </w:pPr>
    </w:p>
    <w:p w14:paraId="3477A4B9" w14:textId="60CADE6A" w:rsidR="00456C91" w:rsidRDefault="00456C91" w:rsidP="00456C91">
      <w:pPr>
        <w:rPr>
          <w:rFonts w:ascii="Arial Black" w:hAnsi="Arial Black"/>
          <w:b/>
          <w:sz w:val="24"/>
          <w:szCs w:val="24"/>
        </w:rPr>
      </w:pPr>
      <w:r>
        <w:rPr>
          <w:rFonts w:ascii="Arial Black" w:hAnsi="Arial Black"/>
          <w:b/>
          <w:sz w:val="24"/>
          <w:szCs w:val="24"/>
        </w:rPr>
        <w:t>8-</w:t>
      </w:r>
      <w:r w:rsidR="0021158A">
        <w:rPr>
          <w:rFonts w:ascii="Arial Black" w:hAnsi="Arial Black"/>
          <w:b/>
          <w:sz w:val="24"/>
          <w:szCs w:val="24"/>
        </w:rPr>
        <w:t>80</w:t>
      </w:r>
    </w:p>
    <w:p w14:paraId="3FC045B1" w14:textId="4CE410BA" w:rsidR="00A17EA1" w:rsidRDefault="00A17EA1" w:rsidP="00A17EA1">
      <w:pPr>
        <w:pStyle w:val="NoSpacing"/>
        <w:rPr>
          <w:rFonts w:ascii="Arial Black" w:hAnsi="Arial Black"/>
          <w:sz w:val="28"/>
          <w:szCs w:val="28"/>
        </w:rPr>
      </w:pPr>
      <w:r>
        <w:rPr>
          <w:rFonts w:ascii="Arial Black" w:hAnsi="Arial Black"/>
          <w:sz w:val="28"/>
          <w:szCs w:val="28"/>
        </w:rPr>
        <w:t>VA: BLACK FF - STATION OIC - LOSS “ACTING OFFICER” PAY</w:t>
      </w:r>
    </w:p>
    <w:p w14:paraId="4E3E7184" w14:textId="77777777" w:rsidR="00A17EA1" w:rsidRDefault="00A17EA1" w:rsidP="00A17EA1">
      <w:pPr>
        <w:pStyle w:val="NoSpacing"/>
        <w:rPr>
          <w:rFonts w:ascii="Arial Black" w:hAnsi="Arial Black"/>
          <w:sz w:val="28"/>
          <w:szCs w:val="28"/>
        </w:rPr>
      </w:pPr>
    </w:p>
    <w:p w14:paraId="4C95A31A" w14:textId="77777777" w:rsidR="00A17EA1" w:rsidRPr="00997E2F" w:rsidRDefault="00A17EA1" w:rsidP="00A17EA1">
      <w:pPr>
        <w:pStyle w:val="NoSpacing"/>
        <w:rPr>
          <w:rFonts w:ascii="Times New Roman" w:hAnsi="Times New Roman"/>
          <w:sz w:val="24"/>
          <w:szCs w:val="24"/>
        </w:rPr>
      </w:pPr>
      <w:r w:rsidRPr="00997E2F">
        <w:rPr>
          <w:rFonts w:ascii="Times New Roman" w:hAnsi="Times New Roman"/>
          <w:sz w:val="24"/>
          <w:szCs w:val="24"/>
        </w:rPr>
        <w:t xml:space="preserve">On June 13, 2025, in </w:t>
      </w:r>
      <w:r w:rsidRPr="00997E2F">
        <w:rPr>
          <w:rFonts w:ascii="Times New Roman" w:hAnsi="Times New Roman"/>
          <w:sz w:val="24"/>
          <w:szCs w:val="24"/>
          <w:u w:val="single"/>
        </w:rPr>
        <w:t>Michael T. Blagmon v. Hanover County</w:t>
      </w:r>
      <w:r w:rsidRPr="00997E2F">
        <w:rPr>
          <w:rFonts w:ascii="Times New Roman" w:hAnsi="Times New Roman"/>
          <w:sz w:val="24"/>
          <w:szCs w:val="24"/>
        </w:rPr>
        <w:t xml:space="preserve">, U.S. District Court Judge Roderick C. Young, United States District Court, E.D. Virginia, Richmond Division, held that the plaintiff’s lawsuit for race discrimination in violation of Title VII will proceed to a jury trial. Plaintiff worked in Station 4 (one engine, one ambulance) and when the Lieutenant position was vacant or absent due to injury, the plaintiff was frequently not allowed to ride as OIC on the engine to avoid paying him “Acting Officer” pay.  The Court held that a jury should decide whether the County has offered a legitimate defense; in its November 22, </w:t>
      </w:r>
      <w:proofErr w:type="gramStart"/>
      <w:r w:rsidRPr="00997E2F">
        <w:rPr>
          <w:rFonts w:ascii="Times New Roman" w:hAnsi="Times New Roman"/>
          <w:sz w:val="24"/>
          <w:szCs w:val="24"/>
        </w:rPr>
        <w:t>2022</w:t>
      </w:r>
      <w:proofErr w:type="gramEnd"/>
      <w:r w:rsidRPr="00997E2F">
        <w:rPr>
          <w:rFonts w:ascii="Times New Roman" w:hAnsi="Times New Roman"/>
          <w:sz w:val="24"/>
          <w:szCs w:val="24"/>
        </w:rPr>
        <w:t xml:space="preserve"> response to the plaintiff’s EEOC charge, the County explained that prior to April 2022, it rotated OIC assignments to avoid pay Acting Officer pay and to rotate as many firefighters as feasible to serve as OIC to provide widespread opportunities for growth and development.”   THE COURT HELD [case proceed to trial] “In his deposition in connection with this case, Assistant Chief Buchanan testified that Blagman was pulled from the OIC role before he could qualify for acting pay as a result of a ‘business practice that started back around 2008, . . . when the economy was really </w:t>
      </w:r>
      <w:proofErr w:type="spellStart"/>
      <w:r w:rsidRPr="00997E2F">
        <w:rPr>
          <w:rFonts w:ascii="Times New Roman" w:hAnsi="Times New Roman"/>
          <w:sz w:val="24"/>
          <w:szCs w:val="24"/>
        </w:rPr>
        <w:t>really</w:t>
      </w:r>
      <w:proofErr w:type="spellEnd"/>
      <w:r w:rsidRPr="00997E2F">
        <w:rPr>
          <w:rFonts w:ascii="Times New Roman" w:hAnsi="Times New Roman"/>
          <w:sz w:val="24"/>
          <w:szCs w:val="24"/>
        </w:rPr>
        <w:t xml:space="preserve"> bad, . . . and the County Administrator . . . would tell us to . . . move [people otherwise serving as acting officers] because we literally didn't have the money.... and that became the practice for a while . . . .’ Buchanan Dep. 35:3-25.” </w:t>
      </w:r>
    </w:p>
    <w:p w14:paraId="239F0798" w14:textId="77777777" w:rsidR="00A17EA1" w:rsidRPr="00997E2F" w:rsidRDefault="00A17EA1" w:rsidP="00A17EA1">
      <w:pPr>
        <w:pStyle w:val="NoSpacing"/>
        <w:rPr>
          <w:rFonts w:ascii="Times New Roman" w:hAnsi="Times New Roman"/>
          <w:bCs/>
          <w:sz w:val="24"/>
          <w:szCs w:val="24"/>
        </w:rPr>
      </w:pPr>
      <w:hyperlink r:id="rId1548" w:history="1">
        <w:r w:rsidRPr="00997E2F">
          <w:rPr>
            <w:rStyle w:val="Hyperlink"/>
            <w:rFonts w:ascii="Times New Roman" w:hAnsi="Times New Roman"/>
            <w:sz w:val="24"/>
            <w:szCs w:val="24"/>
          </w:rPr>
          <w:t>https://cases.justia.com/federal/district-courts/virginia/vaedce/3:2024cv00108/549376/71/0.pdf?ts=1749905770</w:t>
        </w:r>
      </w:hyperlink>
    </w:p>
    <w:p w14:paraId="26F32252" w14:textId="77777777" w:rsidR="00A17EA1" w:rsidRPr="00997E2F" w:rsidRDefault="00A17EA1" w:rsidP="00A17EA1">
      <w:pPr>
        <w:pStyle w:val="NoSpacing"/>
        <w:rPr>
          <w:rFonts w:ascii="Times New Roman" w:hAnsi="Times New Roman"/>
          <w:bCs/>
          <w:sz w:val="24"/>
          <w:szCs w:val="24"/>
        </w:rPr>
      </w:pPr>
    </w:p>
    <w:p w14:paraId="63997CF7" w14:textId="1243A868" w:rsidR="00A17EA1" w:rsidRPr="00997E2F" w:rsidRDefault="006764DB" w:rsidP="00BC70A3">
      <w:pPr>
        <w:rPr>
          <w:rFonts w:ascii="Times New Roman" w:hAnsi="Times New Roman"/>
          <w:b/>
          <w:sz w:val="24"/>
          <w:szCs w:val="24"/>
        </w:rPr>
      </w:pPr>
      <w:r w:rsidRPr="00997E2F">
        <w:rPr>
          <w:rFonts w:ascii="Times New Roman" w:hAnsi="Times New Roman"/>
          <w:b/>
          <w:sz w:val="24"/>
          <w:szCs w:val="24"/>
        </w:rPr>
        <w:t>Legal lesson learned:  FD should have a clear “Acting Officer” pay policy</w:t>
      </w:r>
      <w:r w:rsidRPr="00997E2F">
        <w:rPr>
          <w:rFonts w:ascii="Times New Roman" w:hAnsi="Times New Roman"/>
          <w:b/>
          <w:bCs/>
          <w:sz w:val="24"/>
          <w:szCs w:val="24"/>
        </w:rPr>
        <w:t xml:space="preserve"> </w:t>
      </w:r>
      <w:r w:rsidRPr="00997E2F">
        <w:rPr>
          <w:rFonts w:ascii="Times New Roman" w:hAnsi="Times New Roman"/>
          <w:b/>
          <w:sz w:val="24"/>
          <w:szCs w:val="24"/>
        </w:rPr>
        <w:t>and strictly follow it</w:t>
      </w:r>
      <w:r w:rsidR="00997E2F" w:rsidRPr="00997E2F">
        <w:rPr>
          <w:rFonts w:ascii="Times New Roman" w:hAnsi="Times New Roman"/>
          <w:b/>
          <w:sz w:val="24"/>
          <w:szCs w:val="24"/>
        </w:rPr>
        <w:t>.</w:t>
      </w:r>
    </w:p>
    <w:p w14:paraId="6DBFD951" w14:textId="77777777" w:rsidR="00A17EA1" w:rsidRPr="00997E2F" w:rsidRDefault="00A17EA1" w:rsidP="00BC70A3">
      <w:pPr>
        <w:rPr>
          <w:rFonts w:ascii="Times New Roman" w:hAnsi="Times New Roman"/>
          <w:b/>
          <w:sz w:val="24"/>
          <w:szCs w:val="24"/>
        </w:rPr>
      </w:pPr>
    </w:p>
    <w:p w14:paraId="3E584867" w14:textId="7E2F5982" w:rsidR="0069023D" w:rsidRDefault="0069023D" w:rsidP="0069023D">
      <w:pPr>
        <w:rPr>
          <w:rFonts w:ascii="Arial Black" w:hAnsi="Arial Black"/>
          <w:b/>
          <w:sz w:val="24"/>
          <w:szCs w:val="24"/>
        </w:rPr>
      </w:pPr>
      <w:r>
        <w:rPr>
          <w:rFonts w:ascii="Arial Black" w:hAnsi="Arial Black"/>
          <w:b/>
          <w:sz w:val="24"/>
          <w:szCs w:val="24"/>
        </w:rPr>
        <w:t>8-7</w:t>
      </w:r>
      <w:r w:rsidR="0021158A">
        <w:rPr>
          <w:rFonts w:ascii="Arial Black" w:hAnsi="Arial Black"/>
          <w:b/>
          <w:sz w:val="24"/>
          <w:szCs w:val="24"/>
        </w:rPr>
        <w:t>9</w:t>
      </w:r>
    </w:p>
    <w:p w14:paraId="1A37F091" w14:textId="285FF072" w:rsidR="00C16DC8" w:rsidRDefault="00C16DC8" w:rsidP="00C16DC8">
      <w:pPr>
        <w:rPr>
          <w:rFonts w:ascii="Arial Black" w:hAnsi="Arial Black"/>
          <w:b/>
          <w:sz w:val="28"/>
          <w:szCs w:val="28"/>
        </w:rPr>
      </w:pPr>
      <w:r>
        <w:rPr>
          <w:rFonts w:ascii="Arial Black" w:hAnsi="Arial Black"/>
          <w:b/>
          <w:sz w:val="28"/>
          <w:szCs w:val="28"/>
        </w:rPr>
        <w:t>FL: ASIAN RECRUIT – FIRED – CAPT’S RACIAL COMMENTS</w:t>
      </w:r>
      <w:r w:rsidR="000D1CC1">
        <w:rPr>
          <w:rFonts w:ascii="Arial Black" w:hAnsi="Arial Black"/>
          <w:b/>
          <w:sz w:val="28"/>
          <w:szCs w:val="28"/>
        </w:rPr>
        <w:t xml:space="preserve"> – CASE PROCEED</w:t>
      </w:r>
      <w:r>
        <w:rPr>
          <w:rFonts w:ascii="Arial Black" w:hAnsi="Arial Black"/>
          <w:b/>
          <w:sz w:val="28"/>
          <w:szCs w:val="28"/>
        </w:rPr>
        <w:t xml:space="preserve"> </w:t>
      </w:r>
    </w:p>
    <w:p w14:paraId="6F14B873" w14:textId="77777777" w:rsidR="00C16DC8" w:rsidRPr="0069023D" w:rsidRDefault="00C16DC8" w:rsidP="00C16DC8">
      <w:pPr>
        <w:rPr>
          <w:rFonts w:ascii="Times New Roman" w:hAnsi="Times New Roman"/>
          <w:bCs/>
          <w:sz w:val="24"/>
          <w:szCs w:val="24"/>
        </w:rPr>
      </w:pPr>
      <w:r w:rsidRPr="0069023D">
        <w:rPr>
          <w:rFonts w:ascii="Times New Roman" w:hAnsi="Times New Roman"/>
          <w:sz w:val="24"/>
          <w:szCs w:val="24"/>
        </w:rPr>
        <w:t xml:space="preserve">On May 16, 2025, in </w:t>
      </w:r>
      <w:r w:rsidRPr="0069023D">
        <w:rPr>
          <w:rFonts w:ascii="Times New Roman" w:hAnsi="Times New Roman"/>
          <w:sz w:val="24"/>
          <w:szCs w:val="24"/>
          <w:u w:val="single"/>
        </w:rPr>
        <w:t>Saeed Azam v. Palm Beach County</w:t>
      </w:r>
      <w:r w:rsidRPr="0069023D">
        <w:rPr>
          <w:rFonts w:ascii="Times New Roman" w:hAnsi="Times New Roman"/>
          <w:sz w:val="24"/>
          <w:szCs w:val="24"/>
        </w:rPr>
        <w:t xml:space="preserve">, U.S Magistrate Judge Ryon M. McCabe, United States District Court for the Southern District of Florida, issued a Report &amp; Recommendation to United States District Judge Aileen M. Cannon, that plaintiff be allowed to proceed with pre-trial discovery in his civil rights case, but claims of “hostile workplace” should be dismissed.  The plaintiff started recruit training on Jan. 2, 2023, but after failing a “search-and-rescue” task he was terminated on Feb. 13, 2023.  The Court referenced alleged racial and anti-Muslim comments by his Training Captain.    THE COURT HELD: “When combined with Plaintiff's allegations of unfavorable workplace treatment, the Court finds these comments sufficient to give rise to a plausible inference of discriminatory animus. The Court acknowledges that these comments could also be interpreted as non-discriminatory expressions of curiosity regarding a new trainee and the trainee's background. At this stage of the case, however, the Court must construe these allegations in the light most favorable to Plaintiff's claims. The Court therefore finds that Counts 1, 2, and 3 state plausible claims of discrimination. As such, the motion should be denied as to these counts.” </w:t>
      </w:r>
      <w:hyperlink r:id="rId1549" w:history="1">
        <w:r w:rsidRPr="0069023D">
          <w:rPr>
            <w:rStyle w:val="Hyperlink"/>
            <w:rFonts w:ascii="Times New Roman" w:hAnsi="Times New Roman"/>
            <w:sz w:val="24"/>
            <w:szCs w:val="24"/>
          </w:rPr>
          <w:t>https://public.fastcase.com/jaEE2PXzRXmZ99jOLMt1Ijy4owdgN11%2FWJRcUJbHoDpxB70E2t6SZ0qkojT0B8Qp?utm_medium=email&amp;_hsenc=p2ANqtz-9VaXpB4njMDCq0a3A4ziHdpnkkhT3_X-uHzr6ZxpzUXb9np6U8cLB4p1ctiAJNyopvqJJhsHP0CMdXEdLkgd2zGecgDw&amp;_hsmi=226712652&amp;utm_content=226712652&amp;utm_source=hs_email</w:t>
        </w:r>
      </w:hyperlink>
      <w:r w:rsidRPr="0069023D">
        <w:rPr>
          <w:rFonts w:ascii="Times New Roman" w:hAnsi="Times New Roman"/>
          <w:sz w:val="24"/>
          <w:szCs w:val="24"/>
        </w:rPr>
        <w:t xml:space="preserve"> </w:t>
      </w:r>
    </w:p>
    <w:p w14:paraId="4501DCCB" w14:textId="77777777" w:rsidR="0069023D" w:rsidRPr="0069023D" w:rsidRDefault="0069023D" w:rsidP="0069023D">
      <w:pPr>
        <w:rPr>
          <w:rFonts w:ascii="Times New Roman" w:hAnsi="Times New Roman"/>
          <w:b/>
          <w:bCs/>
          <w:sz w:val="24"/>
          <w:szCs w:val="24"/>
        </w:rPr>
      </w:pPr>
      <w:r w:rsidRPr="0069023D">
        <w:rPr>
          <w:rFonts w:ascii="Times New Roman" w:hAnsi="Times New Roman"/>
          <w:b/>
          <w:sz w:val="24"/>
          <w:szCs w:val="24"/>
        </w:rPr>
        <w:t xml:space="preserve">Legal lesson learned: Thoroughly document a recruit’s training issues and avoid racially hostile comments.  </w:t>
      </w:r>
    </w:p>
    <w:p w14:paraId="62D67B1A" w14:textId="77777777" w:rsidR="00A17EA1" w:rsidRDefault="00A17EA1" w:rsidP="00BC70A3">
      <w:pPr>
        <w:rPr>
          <w:rFonts w:ascii="Arial Black" w:hAnsi="Arial Black"/>
          <w:b/>
          <w:sz w:val="24"/>
          <w:szCs w:val="24"/>
        </w:rPr>
      </w:pPr>
    </w:p>
    <w:p w14:paraId="365A04FC" w14:textId="6A496EAE" w:rsidR="0021158A" w:rsidRDefault="0021158A" w:rsidP="0021158A">
      <w:pPr>
        <w:rPr>
          <w:rFonts w:ascii="Arial Black" w:hAnsi="Arial Black"/>
          <w:b/>
          <w:sz w:val="24"/>
          <w:szCs w:val="24"/>
        </w:rPr>
      </w:pPr>
      <w:r>
        <w:rPr>
          <w:rFonts w:ascii="Arial Black" w:hAnsi="Arial Black"/>
          <w:b/>
          <w:sz w:val="24"/>
          <w:szCs w:val="24"/>
        </w:rPr>
        <w:t>8-78</w:t>
      </w:r>
    </w:p>
    <w:p w14:paraId="31A529DB" w14:textId="77777777" w:rsidR="00A45D5D" w:rsidRDefault="00A45D5D" w:rsidP="00BC70A3">
      <w:pPr>
        <w:rPr>
          <w:rFonts w:ascii="Arial Black" w:hAnsi="Arial Black"/>
          <w:b/>
          <w:sz w:val="24"/>
          <w:szCs w:val="24"/>
        </w:rPr>
      </w:pPr>
    </w:p>
    <w:p w14:paraId="1AD95F18" w14:textId="48DD9946" w:rsidR="00A45D5D" w:rsidRPr="00430A69" w:rsidRDefault="00A45D5D" w:rsidP="00A45D5D">
      <w:pPr>
        <w:pStyle w:val="NoSpacing"/>
        <w:rPr>
          <w:rFonts w:ascii="Arial Black" w:hAnsi="Arial Black"/>
          <w:sz w:val="28"/>
          <w:szCs w:val="28"/>
        </w:rPr>
      </w:pPr>
      <w:r>
        <w:rPr>
          <w:rFonts w:ascii="Arial Black" w:hAnsi="Arial Black"/>
          <w:sz w:val="28"/>
          <w:szCs w:val="28"/>
        </w:rPr>
        <w:t xml:space="preserve">NY: RECRUIT HISPANICS / WOMEN – </w:t>
      </w:r>
      <w:r w:rsidR="00080178">
        <w:rPr>
          <w:rFonts w:ascii="Arial Black" w:hAnsi="Arial Black"/>
          <w:sz w:val="28"/>
          <w:szCs w:val="28"/>
        </w:rPr>
        <w:t xml:space="preserve">REV. </w:t>
      </w:r>
      <w:r>
        <w:rPr>
          <w:rFonts w:ascii="Arial Black" w:hAnsi="Arial Black"/>
          <w:sz w:val="28"/>
          <w:szCs w:val="28"/>
        </w:rPr>
        <w:t>CONSENT DECREE</w:t>
      </w:r>
    </w:p>
    <w:p w14:paraId="2021DD22" w14:textId="77777777" w:rsidR="00A45D5D" w:rsidRDefault="00A45D5D" w:rsidP="00A45D5D">
      <w:pPr>
        <w:pStyle w:val="NoSpacing"/>
      </w:pPr>
    </w:p>
    <w:p w14:paraId="405869A3" w14:textId="4E2D2AC8" w:rsidR="00A45D5D" w:rsidRPr="00080178" w:rsidRDefault="00A45D5D" w:rsidP="00A45D5D">
      <w:pPr>
        <w:rPr>
          <w:rFonts w:ascii="Times New Roman" w:hAnsi="Times New Roman"/>
          <w:sz w:val="24"/>
          <w:szCs w:val="24"/>
        </w:rPr>
      </w:pPr>
      <w:r w:rsidRPr="00080178">
        <w:rPr>
          <w:rFonts w:ascii="Times New Roman" w:hAnsi="Times New Roman"/>
          <w:sz w:val="24"/>
          <w:szCs w:val="24"/>
        </w:rPr>
        <w:t xml:space="preserve">On June 3, 2025, in </w:t>
      </w:r>
      <w:r w:rsidRPr="00080178">
        <w:rPr>
          <w:rFonts w:ascii="Times New Roman" w:hAnsi="Times New Roman"/>
          <w:sz w:val="24"/>
          <w:szCs w:val="24"/>
          <w:u w:val="single"/>
        </w:rPr>
        <w:t>United States of America v. New York State Department of Civil Service; City of Mount Vernon; Fire Department of the City of Mount Vernon</w:t>
      </w:r>
      <w:r w:rsidRPr="00080178">
        <w:rPr>
          <w:rFonts w:ascii="Times New Roman" w:hAnsi="Times New Roman"/>
          <w:sz w:val="24"/>
          <w:szCs w:val="24"/>
        </w:rPr>
        <w:t xml:space="preserve">,  U.S. District Court Judge Jessica G. L. Clarke, United States District Court for Southern District of New York, published the proposed “2024 Revised Consent Judgment,” which modified the </w:t>
      </w:r>
      <w:proofErr w:type="gramStart"/>
      <w:r w:rsidRPr="00080178">
        <w:rPr>
          <w:rFonts w:ascii="Times New Roman" w:hAnsi="Times New Roman"/>
          <w:sz w:val="24"/>
          <w:szCs w:val="24"/>
        </w:rPr>
        <w:t>40-year old</w:t>
      </w:r>
      <w:proofErr w:type="gramEnd"/>
      <w:r w:rsidRPr="00080178">
        <w:rPr>
          <w:rFonts w:ascii="Times New Roman" w:hAnsi="Times New Roman"/>
          <w:sz w:val="24"/>
          <w:szCs w:val="24"/>
        </w:rPr>
        <w:t xml:space="preserve"> Consent Decree of Jan. 19, 1981.  The fire department has made great progress hiring black firefighters (62% of current firefighters), but not Hispanics (only 2%), or women (currently only one; only been one at any time).  THE CONSENT DECREE: Requires the department to “develop and implement an active and continuing recruitment program to attract and increase Hispanic and women applicants for the position of firefighter.” </w:t>
      </w:r>
      <w:hyperlink r:id="rId1550" w:history="1">
        <w:r w:rsidRPr="00080178">
          <w:rPr>
            <w:rStyle w:val="Hyperlink"/>
            <w:rFonts w:ascii="Times New Roman" w:hAnsi="Times New Roman"/>
            <w:sz w:val="24"/>
            <w:szCs w:val="24"/>
          </w:rPr>
          <w:t>https://public.fastcase.com/jaEE2PXzRXmZ99jOLMt1Ih1bY1MIzDyw1U7nvkn0d%2B%2FaFhZR3Gd%2F7kjzaTYbL26VJTUSjJADCaSru%2Bl5NmbtQ7Cz5zh1NuQxuUkDcSWUI8U%3D?utm_medium=email&amp;_hsenc=p2ANqtz-_CCOzgPs_whfplvulLfr2w4HcJ6-0Ih3t3c1pVqqN-_dVSpVNg1X0G63L7_Ww7LMQiA0kuqw-PCcDfPecmXjX4Ld1uNw&amp;_hsmi=226712652&amp;utm_content=226712652&amp;utm_source=hs_email</w:t>
        </w:r>
      </w:hyperlink>
    </w:p>
    <w:p w14:paraId="779BD134" w14:textId="77777777" w:rsidR="00080178" w:rsidRPr="00080178" w:rsidRDefault="00080178" w:rsidP="00080178">
      <w:pPr>
        <w:pStyle w:val="NoSpacing"/>
        <w:rPr>
          <w:rFonts w:ascii="Times New Roman" w:hAnsi="Times New Roman"/>
          <w:b/>
          <w:bCs/>
          <w:sz w:val="24"/>
          <w:szCs w:val="24"/>
        </w:rPr>
      </w:pPr>
      <w:r w:rsidRPr="00080178">
        <w:rPr>
          <w:rFonts w:ascii="Times New Roman" w:hAnsi="Times New Roman"/>
          <w:b/>
          <w:sz w:val="24"/>
          <w:szCs w:val="24"/>
        </w:rPr>
        <w:t xml:space="preserve">Legal Lesson Learned: This </w:t>
      </w:r>
      <w:r w:rsidRPr="00080178">
        <w:rPr>
          <w:rFonts w:ascii="Times New Roman" w:hAnsi="Times New Roman"/>
          <w:b/>
          <w:bCs/>
          <w:sz w:val="24"/>
          <w:szCs w:val="24"/>
        </w:rPr>
        <w:t>revised</w:t>
      </w:r>
      <w:r w:rsidRPr="00080178">
        <w:rPr>
          <w:rFonts w:ascii="Times New Roman" w:hAnsi="Times New Roman"/>
          <w:b/>
          <w:sz w:val="24"/>
          <w:szCs w:val="24"/>
        </w:rPr>
        <w:t xml:space="preserve"> Consent Decree has some innovative recruiting requirements. </w:t>
      </w:r>
    </w:p>
    <w:p w14:paraId="2FB5A8F5" w14:textId="77777777" w:rsidR="00080178" w:rsidRPr="00080178" w:rsidRDefault="00080178" w:rsidP="00080178">
      <w:pPr>
        <w:pStyle w:val="NoSpacing"/>
        <w:rPr>
          <w:rFonts w:ascii="Times New Roman" w:hAnsi="Times New Roman"/>
          <w:b/>
          <w:bCs/>
          <w:sz w:val="24"/>
          <w:szCs w:val="24"/>
        </w:rPr>
      </w:pPr>
    </w:p>
    <w:p w14:paraId="671F9C96"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Note: The Consent Decree reflect 40 years progress with hiring Black male firefighters, but Consent Decree recognizes lack of females.  “THAT, despite the efforts of the parties, there are currently one female firefighter of any rank in the Fire Department of Mount Vernon, and there has only been one female firefighter at any time.”</w:t>
      </w:r>
    </w:p>
    <w:p w14:paraId="42C721AD" w14:textId="77777777" w:rsidR="00080178" w:rsidRPr="00080178" w:rsidRDefault="00080178" w:rsidP="00080178">
      <w:pPr>
        <w:pStyle w:val="NoSpacing"/>
        <w:rPr>
          <w:rFonts w:ascii="Times New Roman" w:hAnsi="Times New Roman"/>
          <w:b/>
          <w:bCs/>
          <w:sz w:val="24"/>
          <w:szCs w:val="24"/>
        </w:rPr>
      </w:pPr>
    </w:p>
    <w:p w14:paraId="6C63B500"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 xml:space="preserve">See these statistics in the 2024 Consent Decree.   </w:t>
      </w:r>
    </w:p>
    <w:p w14:paraId="4823A1F5" w14:textId="77777777" w:rsidR="00080178" w:rsidRPr="00080178" w:rsidRDefault="00080178" w:rsidP="00080178">
      <w:pPr>
        <w:pStyle w:val="NoSpacing"/>
        <w:ind w:left="720"/>
        <w:rPr>
          <w:rFonts w:ascii="Times New Roman" w:hAnsi="Times New Roman"/>
          <w:sz w:val="24"/>
          <w:szCs w:val="24"/>
        </w:rPr>
      </w:pPr>
    </w:p>
    <w:p w14:paraId="1A090FA5"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 xml:space="preserve">According to the 2020 Census, the </w:t>
      </w:r>
      <w:proofErr w:type="gramStart"/>
      <w:r w:rsidRPr="00080178">
        <w:rPr>
          <w:rFonts w:ascii="Times New Roman" w:hAnsi="Times New Roman"/>
          <w:sz w:val="24"/>
          <w:szCs w:val="24"/>
        </w:rPr>
        <w:t>African-American</w:t>
      </w:r>
      <w:proofErr w:type="gramEnd"/>
      <w:r w:rsidRPr="00080178">
        <w:rPr>
          <w:rFonts w:ascii="Times New Roman" w:hAnsi="Times New Roman"/>
          <w:sz w:val="24"/>
          <w:szCs w:val="24"/>
        </w:rPr>
        <w:t xml:space="preserve"> and/or Hispanic population of Mount Vernon between the ages of 18 and 44 was approximately 66% and 7%, respectively. According to Mount Vernon counsel, the demographics of the fire department were: </w:t>
      </w:r>
    </w:p>
    <w:p w14:paraId="68A9E609" w14:textId="77777777" w:rsidR="00080178" w:rsidRPr="00080178" w:rsidRDefault="00080178" w:rsidP="00080178">
      <w:pPr>
        <w:pStyle w:val="NoSpacing"/>
        <w:ind w:left="720"/>
        <w:rPr>
          <w:rFonts w:ascii="Times New Roman" w:hAnsi="Times New Roman"/>
          <w:sz w:val="24"/>
          <w:szCs w:val="24"/>
        </w:rPr>
      </w:pPr>
    </w:p>
    <w:tbl>
      <w:tblPr>
        <w:tblW w:w="0" w:type="auto"/>
        <w:tblCellSpacing w:w="15" w:type="dxa"/>
        <w:tblInd w:w="1395" w:type="dxa"/>
        <w:tblCellMar>
          <w:top w:w="15" w:type="dxa"/>
          <w:left w:w="15" w:type="dxa"/>
          <w:bottom w:w="15" w:type="dxa"/>
          <w:right w:w="15" w:type="dxa"/>
        </w:tblCellMar>
        <w:tblLook w:val="04A0" w:firstRow="1" w:lastRow="0" w:firstColumn="1" w:lastColumn="0" w:noHBand="0" w:noVBand="1"/>
      </w:tblPr>
      <w:tblGrid>
        <w:gridCol w:w="1642"/>
        <w:gridCol w:w="647"/>
        <w:gridCol w:w="1819"/>
        <w:gridCol w:w="929"/>
      </w:tblGrid>
      <w:tr w:rsidR="00080178" w:rsidRPr="00080178" w14:paraId="6D1EE60B" w14:textId="77777777" w:rsidTr="007E6314">
        <w:trPr>
          <w:tblCellSpacing w:w="15" w:type="dxa"/>
        </w:trPr>
        <w:tc>
          <w:tcPr>
            <w:tcW w:w="0" w:type="auto"/>
            <w:vAlign w:val="center"/>
            <w:hideMark/>
          </w:tcPr>
          <w:p w14:paraId="58EAD0D8" w14:textId="77777777" w:rsidR="00080178" w:rsidRPr="00080178" w:rsidRDefault="00080178" w:rsidP="007E6314">
            <w:pPr>
              <w:pStyle w:val="NoSpacing"/>
              <w:rPr>
                <w:rFonts w:ascii="Times New Roman" w:hAnsi="Times New Roman"/>
                <w:sz w:val="24"/>
                <w:szCs w:val="24"/>
              </w:rPr>
            </w:pPr>
          </w:p>
        </w:tc>
        <w:tc>
          <w:tcPr>
            <w:tcW w:w="0" w:type="auto"/>
            <w:vAlign w:val="center"/>
            <w:hideMark/>
          </w:tcPr>
          <w:p w14:paraId="435AC5A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White </w:t>
            </w:r>
          </w:p>
        </w:tc>
        <w:tc>
          <w:tcPr>
            <w:tcW w:w="0" w:type="auto"/>
            <w:vAlign w:val="center"/>
            <w:hideMark/>
          </w:tcPr>
          <w:p w14:paraId="0C5EB4E7" w14:textId="77777777" w:rsidR="00080178" w:rsidRPr="00080178" w:rsidRDefault="00080178" w:rsidP="007E6314">
            <w:pPr>
              <w:pStyle w:val="NoSpacing"/>
              <w:rPr>
                <w:rFonts w:ascii="Times New Roman" w:hAnsi="Times New Roman"/>
                <w:sz w:val="24"/>
                <w:szCs w:val="24"/>
              </w:rPr>
            </w:pPr>
            <w:proofErr w:type="gramStart"/>
            <w:r w:rsidRPr="00080178">
              <w:rPr>
                <w:rFonts w:ascii="Times New Roman" w:hAnsi="Times New Roman"/>
                <w:sz w:val="24"/>
                <w:szCs w:val="24"/>
              </w:rPr>
              <w:t>African-American</w:t>
            </w:r>
            <w:proofErr w:type="gramEnd"/>
            <w:r w:rsidRPr="00080178">
              <w:rPr>
                <w:rFonts w:ascii="Times New Roman" w:hAnsi="Times New Roman"/>
                <w:sz w:val="24"/>
                <w:szCs w:val="24"/>
              </w:rPr>
              <w:t xml:space="preserve"> </w:t>
            </w:r>
          </w:p>
        </w:tc>
        <w:tc>
          <w:tcPr>
            <w:tcW w:w="0" w:type="auto"/>
            <w:vAlign w:val="center"/>
            <w:hideMark/>
          </w:tcPr>
          <w:p w14:paraId="284EABB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Hispanic </w:t>
            </w:r>
          </w:p>
        </w:tc>
      </w:tr>
      <w:tr w:rsidR="00080178" w:rsidRPr="00080178" w14:paraId="42E8FB2F" w14:textId="77777777" w:rsidTr="007E6314">
        <w:trPr>
          <w:tblCellSpacing w:w="15" w:type="dxa"/>
        </w:trPr>
        <w:tc>
          <w:tcPr>
            <w:tcW w:w="0" w:type="auto"/>
            <w:vAlign w:val="center"/>
            <w:hideMark/>
          </w:tcPr>
          <w:p w14:paraId="556C2E47"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Commissioners </w:t>
            </w:r>
          </w:p>
        </w:tc>
        <w:tc>
          <w:tcPr>
            <w:tcW w:w="0" w:type="auto"/>
            <w:vAlign w:val="center"/>
            <w:hideMark/>
          </w:tcPr>
          <w:p w14:paraId="3238446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33A5828E"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6F8E5893"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2E1BD3CE" w14:textId="77777777" w:rsidTr="007E6314">
        <w:trPr>
          <w:tblCellSpacing w:w="15" w:type="dxa"/>
        </w:trPr>
        <w:tc>
          <w:tcPr>
            <w:tcW w:w="0" w:type="auto"/>
            <w:vAlign w:val="center"/>
            <w:hideMark/>
          </w:tcPr>
          <w:p w14:paraId="7EF9169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Deputy Chiefs </w:t>
            </w:r>
          </w:p>
        </w:tc>
        <w:tc>
          <w:tcPr>
            <w:tcW w:w="0" w:type="auto"/>
            <w:vAlign w:val="center"/>
            <w:hideMark/>
          </w:tcPr>
          <w:p w14:paraId="34E5450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5A95D5D0"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4138763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056C82CA" w14:textId="77777777" w:rsidTr="007E6314">
        <w:trPr>
          <w:tblCellSpacing w:w="15" w:type="dxa"/>
        </w:trPr>
        <w:tc>
          <w:tcPr>
            <w:tcW w:w="0" w:type="auto"/>
            <w:vAlign w:val="center"/>
            <w:hideMark/>
          </w:tcPr>
          <w:p w14:paraId="7C9945AC"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 Captains </w:t>
            </w:r>
          </w:p>
        </w:tc>
        <w:tc>
          <w:tcPr>
            <w:tcW w:w="0" w:type="auto"/>
            <w:vAlign w:val="center"/>
            <w:hideMark/>
          </w:tcPr>
          <w:p w14:paraId="1F12CE6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33% </w:t>
            </w:r>
          </w:p>
        </w:tc>
        <w:tc>
          <w:tcPr>
            <w:tcW w:w="0" w:type="auto"/>
            <w:vAlign w:val="center"/>
            <w:hideMark/>
          </w:tcPr>
          <w:p w14:paraId="2F84DCB9"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17146B7E"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17% </w:t>
            </w:r>
          </w:p>
        </w:tc>
      </w:tr>
      <w:tr w:rsidR="00080178" w:rsidRPr="00080178" w14:paraId="2921482E" w14:textId="77777777" w:rsidTr="007E6314">
        <w:trPr>
          <w:tblCellSpacing w:w="15" w:type="dxa"/>
        </w:trPr>
        <w:tc>
          <w:tcPr>
            <w:tcW w:w="0" w:type="auto"/>
            <w:vAlign w:val="center"/>
            <w:hideMark/>
          </w:tcPr>
          <w:p w14:paraId="2EE233D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 Lieutenants </w:t>
            </w:r>
          </w:p>
        </w:tc>
        <w:tc>
          <w:tcPr>
            <w:tcW w:w="0" w:type="auto"/>
            <w:vAlign w:val="center"/>
            <w:hideMark/>
          </w:tcPr>
          <w:p w14:paraId="36EB51EA"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48% </w:t>
            </w:r>
          </w:p>
        </w:tc>
        <w:tc>
          <w:tcPr>
            <w:tcW w:w="0" w:type="auto"/>
            <w:vAlign w:val="center"/>
            <w:hideMark/>
          </w:tcPr>
          <w:p w14:paraId="7CB2482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52% </w:t>
            </w:r>
          </w:p>
        </w:tc>
        <w:tc>
          <w:tcPr>
            <w:tcW w:w="0" w:type="auto"/>
            <w:vAlign w:val="center"/>
            <w:hideMark/>
          </w:tcPr>
          <w:p w14:paraId="5E882C8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3A10B905" w14:textId="77777777" w:rsidTr="007E6314">
        <w:trPr>
          <w:tblCellSpacing w:w="15" w:type="dxa"/>
        </w:trPr>
        <w:tc>
          <w:tcPr>
            <w:tcW w:w="0" w:type="auto"/>
            <w:vAlign w:val="center"/>
            <w:hideMark/>
          </w:tcPr>
          <w:p w14:paraId="7CDAE054"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Firefighters </w:t>
            </w:r>
          </w:p>
        </w:tc>
        <w:tc>
          <w:tcPr>
            <w:tcW w:w="0" w:type="auto"/>
            <w:vAlign w:val="center"/>
            <w:hideMark/>
          </w:tcPr>
          <w:p w14:paraId="73DCEBA0"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36% </w:t>
            </w:r>
          </w:p>
        </w:tc>
        <w:tc>
          <w:tcPr>
            <w:tcW w:w="0" w:type="auto"/>
            <w:vAlign w:val="center"/>
            <w:hideMark/>
          </w:tcPr>
          <w:p w14:paraId="7D4855BA"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62% </w:t>
            </w:r>
          </w:p>
        </w:tc>
        <w:tc>
          <w:tcPr>
            <w:tcW w:w="0" w:type="auto"/>
            <w:vAlign w:val="center"/>
            <w:hideMark/>
          </w:tcPr>
          <w:p w14:paraId="5B0DC37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2% </w:t>
            </w:r>
          </w:p>
        </w:tc>
      </w:tr>
      <w:tr w:rsidR="00080178" w:rsidRPr="00080178" w14:paraId="42FB0420" w14:textId="77777777" w:rsidTr="007E6314">
        <w:trPr>
          <w:tblCellSpacing w:w="15" w:type="dxa"/>
        </w:trPr>
        <w:tc>
          <w:tcPr>
            <w:tcW w:w="0" w:type="auto"/>
            <w:vAlign w:val="center"/>
            <w:hideMark/>
          </w:tcPr>
          <w:p w14:paraId="2E96DA45"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Inspectors </w:t>
            </w:r>
          </w:p>
        </w:tc>
        <w:tc>
          <w:tcPr>
            <w:tcW w:w="0" w:type="auto"/>
            <w:vAlign w:val="center"/>
            <w:hideMark/>
          </w:tcPr>
          <w:p w14:paraId="6C4060A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7CC8F3D4"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443F144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bl>
    <w:p w14:paraId="32DA08E8" w14:textId="77777777" w:rsidR="00080178" w:rsidRPr="00080178" w:rsidRDefault="00080178" w:rsidP="00080178">
      <w:pPr>
        <w:pStyle w:val="NoSpacing"/>
        <w:ind w:left="1395"/>
        <w:rPr>
          <w:rFonts w:ascii="Times New Roman" w:hAnsi="Times New Roman"/>
          <w:sz w:val="24"/>
          <w:szCs w:val="24"/>
        </w:rPr>
      </w:pPr>
      <w:r w:rsidRPr="00080178">
        <w:rPr>
          <w:rFonts w:ascii="Times New Roman" w:hAnsi="Times New Roman"/>
          <w:sz w:val="24"/>
          <w:szCs w:val="24"/>
        </w:rPr>
        <w:t xml:space="preserve"> Dispatchers </w:t>
      </w:r>
      <w:r w:rsidRPr="00080178">
        <w:rPr>
          <w:rFonts w:ascii="Times New Roman" w:hAnsi="Times New Roman"/>
          <w:sz w:val="24"/>
          <w:szCs w:val="24"/>
        </w:rPr>
        <w:tab/>
        <w:t xml:space="preserve">    30%   50%                       20%</w:t>
      </w:r>
    </w:p>
    <w:p w14:paraId="7194787B" w14:textId="77777777" w:rsidR="00080178" w:rsidRPr="00080178" w:rsidRDefault="00080178" w:rsidP="00080178">
      <w:pPr>
        <w:pStyle w:val="NoSpacing"/>
        <w:rPr>
          <w:rFonts w:ascii="Times New Roman" w:hAnsi="Times New Roman"/>
          <w:b/>
          <w:bCs/>
          <w:sz w:val="24"/>
          <w:szCs w:val="24"/>
        </w:rPr>
      </w:pPr>
    </w:p>
    <w:p w14:paraId="271BFE65" w14:textId="77777777" w:rsidR="00080178" w:rsidRPr="00080178" w:rsidRDefault="00080178" w:rsidP="00A45D5D">
      <w:pPr>
        <w:rPr>
          <w:rFonts w:ascii="Times New Roman" w:hAnsi="Times New Roman"/>
          <w:b/>
          <w:sz w:val="24"/>
          <w:szCs w:val="24"/>
        </w:rPr>
      </w:pPr>
    </w:p>
    <w:p w14:paraId="2518B40E" w14:textId="77777777" w:rsidR="00A17EA1" w:rsidRDefault="00A17EA1" w:rsidP="00BC70A3">
      <w:pPr>
        <w:rPr>
          <w:rFonts w:ascii="Arial Black" w:hAnsi="Arial Black"/>
          <w:b/>
          <w:sz w:val="24"/>
          <w:szCs w:val="24"/>
        </w:rPr>
      </w:pPr>
    </w:p>
    <w:p w14:paraId="39FC01FF" w14:textId="593D70AE" w:rsidR="00B92F73" w:rsidRDefault="00B92F73" w:rsidP="00BC70A3">
      <w:pPr>
        <w:rPr>
          <w:rFonts w:ascii="Arial Black" w:hAnsi="Arial Black"/>
          <w:b/>
          <w:sz w:val="24"/>
          <w:szCs w:val="24"/>
        </w:rPr>
      </w:pPr>
      <w:r>
        <w:rPr>
          <w:rFonts w:ascii="Arial Black" w:hAnsi="Arial Black"/>
          <w:b/>
          <w:sz w:val="24"/>
          <w:szCs w:val="24"/>
        </w:rPr>
        <w:t>8-77</w:t>
      </w:r>
    </w:p>
    <w:p w14:paraId="1387E50A" w14:textId="77777777" w:rsidR="00C6187D" w:rsidRPr="006F2B87" w:rsidRDefault="00C6187D" w:rsidP="00C6187D">
      <w:pPr>
        <w:pStyle w:val="NoSpacing"/>
        <w:rPr>
          <w:rFonts w:ascii="Arial Black" w:hAnsi="Arial Black"/>
          <w:bCs/>
          <w:sz w:val="28"/>
          <w:szCs w:val="28"/>
        </w:rPr>
      </w:pPr>
      <w:r w:rsidRPr="006F2B87">
        <w:rPr>
          <w:rFonts w:ascii="Arial Black" w:hAnsi="Arial Black"/>
          <w:sz w:val="28"/>
          <w:szCs w:val="28"/>
        </w:rPr>
        <w:t>U.S. SUP. CT: MINORITY CONT</w:t>
      </w:r>
      <w:r>
        <w:rPr>
          <w:rFonts w:ascii="Arial Black" w:hAnsi="Arial Black"/>
          <w:sz w:val="28"/>
          <w:szCs w:val="28"/>
        </w:rPr>
        <w:t>RACT</w:t>
      </w:r>
      <w:r w:rsidRPr="006F2B87">
        <w:rPr>
          <w:rFonts w:ascii="Arial Black" w:hAnsi="Arial Black"/>
          <w:sz w:val="28"/>
          <w:szCs w:val="28"/>
        </w:rPr>
        <w:t xml:space="preserve"> FRAUD - NO $ LOSS </w:t>
      </w:r>
    </w:p>
    <w:p w14:paraId="5F6A7C89" w14:textId="77777777" w:rsidR="00C6187D" w:rsidRPr="006F2B87" w:rsidRDefault="00C6187D" w:rsidP="00C6187D">
      <w:pPr>
        <w:pStyle w:val="NoSpacing"/>
        <w:rPr>
          <w:bCs/>
        </w:rPr>
      </w:pPr>
    </w:p>
    <w:p w14:paraId="13386DB0"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On May 22, 2025, in </w:t>
      </w:r>
      <w:r w:rsidRPr="00C6187D">
        <w:rPr>
          <w:rFonts w:ascii="Times New Roman" w:hAnsi="Times New Roman"/>
          <w:sz w:val="24"/>
          <w:szCs w:val="24"/>
          <w:u w:val="single"/>
        </w:rPr>
        <w:t xml:space="preserve">Stamatios </w:t>
      </w:r>
      <w:proofErr w:type="spellStart"/>
      <w:r w:rsidRPr="00C6187D">
        <w:rPr>
          <w:rFonts w:ascii="Times New Roman" w:hAnsi="Times New Roman"/>
          <w:sz w:val="24"/>
          <w:szCs w:val="24"/>
          <w:u w:val="single"/>
        </w:rPr>
        <w:t>Kousisis</w:t>
      </w:r>
      <w:proofErr w:type="spellEnd"/>
      <w:r w:rsidRPr="00C6187D">
        <w:rPr>
          <w:rFonts w:ascii="Times New Roman" w:hAnsi="Times New Roman"/>
          <w:sz w:val="24"/>
          <w:szCs w:val="24"/>
          <w:u w:val="single"/>
        </w:rPr>
        <w:t>, et al. v. United States</w:t>
      </w:r>
      <w:r w:rsidRPr="00C6187D">
        <w:rPr>
          <w:rFonts w:ascii="Times New Roman" w:hAnsi="Times New Roman"/>
          <w:sz w:val="24"/>
          <w:szCs w:val="24"/>
        </w:rPr>
        <w:t xml:space="preserve">, the United States Supreme Court held (9 to 0) that the jury properly convicted Stamatios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and the industrial-painting company he helped manage, Alpha Painting and Construction Co., of wire fraud and conspiracy in two bridge painting projects in Philadelphia where he certified he was doing business with a Disadvantaged Business Enterprise [DBE]. He was sentenced to six years in prison, and the Third Circuit [Philadelphia] and the U.S. Supreme Court </w:t>
      </w:r>
      <w:proofErr w:type="spellStart"/>
      <w:r w:rsidRPr="00C6187D">
        <w:rPr>
          <w:rFonts w:ascii="Times New Roman" w:hAnsi="Times New Roman"/>
          <w:sz w:val="24"/>
          <w:szCs w:val="24"/>
        </w:rPr>
        <w:t>Court</w:t>
      </w:r>
      <w:proofErr w:type="spellEnd"/>
      <w:r w:rsidRPr="00C6187D">
        <w:rPr>
          <w:rFonts w:ascii="Times New Roman" w:hAnsi="Times New Roman"/>
          <w:sz w:val="24"/>
          <w:szCs w:val="24"/>
        </w:rPr>
        <w:t xml:space="preserve"> rejected his argument that government had to prove defendant caused his victim a “net pecuniary loss.”</w:t>
      </w:r>
    </w:p>
    <w:p w14:paraId="76D4AB36" w14:textId="77777777" w:rsidR="00C6187D" w:rsidRPr="00C6187D" w:rsidRDefault="00C6187D" w:rsidP="00C6187D">
      <w:pPr>
        <w:pStyle w:val="NoSpacing"/>
        <w:rPr>
          <w:rFonts w:ascii="Times New Roman" w:hAnsi="Times New Roman"/>
          <w:bCs/>
          <w:sz w:val="24"/>
          <w:szCs w:val="24"/>
        </w:rPr>
      </w:pPr>
    </w:p>
    <w:p w14:paraId="57B9323F"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Justice Amy Coney Barrett wrote the Court’s opinion, and explained how the scheme worked: </w:t>
      </w:r>
    </w:p>
    <w:p w14:paraId="76C98FFF"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“Accordingly, as part of the bidding process,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represented that Alpha would acquire approximately $6.4 million in painting supplies from Markias, Inc., a prequalified disadvantaged business. *** This was a lie.  As later memorialized in a commitment letter, Alpha and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concocted a scheme in which Markias would function as a mere ‘pass-through’ entity. The scheme operated as follows: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arranged for Alpha’s actual paint suppliers, with whom he negotiated  directly, to “generate purchase orders . . . billed to Markias.” Id., at 193. When Markias received an invoice, it tacked on a few-percent fee and then forwarded the inflated invoice to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He, in turn, issued two checks: one paid Markias for its mark up, and the other covered the actual cost of the supplies. In short, Markias was no more than a paper pusher, funneling checks and invoices to and from Alpha’s actual suppliers.” </w:t>
      </w:r>
    </w:p>
    <w:p w14:paraId="2DA6262B" w14:textId="77777777" w:rsidR="00C6187D" w:rsidRDefault="00C6187D" w:rsidP="00C6187D">
      <w:pPr>
        <w:pStyle w:val="NoSpacing"/>
        <w:rPr>
          <w:rFonts w:ascii="Times New Roman" w:hAnsi="Times New Roman"/>
          <w:sz w:val="24"/>
          <w:szCs w:val="24"/>
        </w:rPr>
      </w:pPr>
      <w:hyperlink r:id="rId1551" w:history="1">
        <w:r w:rsidRPr="00C6187D">
          <w:rPr>
            <w:rStyle w:val="Hyperlink"/>
            <w:rFonts w:ascii="Times New Roman" w:hAnsi="Times New Roman"/>
            <w:b/>
            <w:sz w:val="24"/>
            <w:szCs w:val="24"/>
          </w:rPr>
          <w:t>https://www.supremecourt.gov/opinions/24pdf/23-909_f2q3.pdf</w:t>
        </w:r>
      </w:hyperlink>
      <w:r w:rsidRPr="00C6187D">
        <w:rPr>
          <w:rFonts w:ascii="Times New Roman" w:hAnsi="Times New Roman"/>
          <w:sz w:val="24"/>
          <w:szCs w:val="24"/>
        </w:rPr>
        <w:t xml:space="preserve"> </w:t>
      </w:r>
    </w:p>
    <w:p w14:paraId="7586C31D" w14:textId="77777777" w:rsidR="0035274D" w:rsidRDefault="0035274D" w:rsidP="00C6187D">
      <w:pPr>
        <w:pStyle w:val="NoSpacing"/>
        <w:rPr>
          <w:rFonts w:ascii="Times New Roman" w:hAnsi="Times New Roman"/>
          <w:sz w:val="24"/>
          <w:szCs w:val="24"/>
        </w:rPr>
      </w:pPr>
    </w:p>
    <w:p w14:paraId="76A86332" w14:textId="77777777" w:rsidR="0035274D" w:rsidRPr="006F2B87" w:rsidRDefault="0035274D" w:rsidP="0035274D">
      <w:pPr>
        <w:pStyle w:val="NoSpacing"/>
        <w:rPr>
          <w:b/>
          <w:bCs/>
        </w:rPr>
      </w:pPr>
      <w:r w:rsidRPr="006F2B87">
        <w:rPr>
          <w:b/>
        </w:rPr>
        <w:t xml:space="preserve">Legal Lesson Learned: Fraud involving a “disadvantaged business enterprise” can be prosecuted even if the government was not financially injured. </w:t>
      </w:r>
    </w:p>
    <w:p w14:paraId="34F26987" w14:textId="77777777" w:rsidR="0035274D" w:rsidRPr="006F2B87" w:rsidRDefault="0035274D" w:rsidP="0035274D">
      <w:pPr>
        <w:pStyle w:val="NoSpacing"/>
        <w:rPr>
          <w:bCs/>
        </w:rPr>
      </w:pPr>
    </w:p>
    <w:p w14:paraId="52C73D54"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Note:  See concurring opinion by Justice Sonia Maria Sotomayor where she commented on baseball tickets– METS v. YANKEE </w:t>
      </w:r>
      <w:proofErr w:type="gramStart"/>
      <w:r w:rsidRPr="0035274D">
        <w:rPr>
          <w:rFonts w:ascii="Times New Roman" w:hAnsi="Times New Roman"/>
          <w:sz w:val="24"/>
          <w:szCs w:val="24"/>
        </w:rPr>
        <w:t>TICKETS:.</w:t>
      </w:r>
      <w:proofErr w:type="gramEnd"/>
    </w:p>
    <w:p w14:paraId="40889ED3"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“The Court today rightly rejects petitioners’ request to graft an economic-loss requirement onto the federal wire fraud statute. When a defendant tricks a victim out of their money by promising one thing and delivering something materially different, it is no defense to say that the delivered items are of equal economic value. Statutory text,</w:t>
      </w:r>
    </w:p>
    <w:p w14:paraId="5441E04A"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precedent, and history mandate that conclusion, as the majority explains. See ante, at 7–16. Common sense, unsurprisingly, points in the same direction. A Yankees fan deceived into buying Mets tickets is no less defrauded simply because the Mets tickets happen to be worth the same amount as the promised Yankees ones. That straightforward conclusion is all that is necessary to resolve this case, and I would go no further.” </w:t>
      </w:r>
    </w:p>
    <w:p w14:paraId="7E465657" w14:textId="77777777" w:rsidR="0035274D" w:rsidRPr="0035274D" w:rsidRDefault="0035274D" w:rsidP="0035274D">
      <w:pPr>
        <w:pStyle w:val="NoSpacing"/>
        <w:rPr>
          <w:rFonts w:ascii="Times New Roman" w:hAnsi="Times New Roman"/>
          <w:bCs/>
          <w:sz w:val="24"/>
          <w:szCs w:val="24"/>
        </w:rPr>
      </w:pPr>
    </w:p>
    <w:p w14:paraId="6B6B312D" w14:textId="77777777" w:rsidR="0035274D" w:rsidRPr="0035274D" w:rsidRDefault="0035274D" w:rsidP="0035274D">
      <w:pPr>
        <w:pStyle w:val="NoSpacing"/>
        <w:rPr>
          <w:rFonts w:ascii="Times New Roman" w:hAnsi="Times New Roman"/>
          <w:bCs/>
          <w:sz w:val="24"/>
          <w:szCs w:val="24"/>
        </w:rPr>
      </w:pPr>
      <w:r w:rsidRPr="0035274D">
        <w:rPr>
          <w:rFonts w:ascii="Times New Roman" w:hAnsi="Times New Roman"/>
          <w:sz w:val="24"/>
          <w:szCs w:val="24"/>
        </w:rPr>
        <w:t>See concurring opinion by Jstice Clearance Thomas:</w:t>
      </w:r>
    </w:p>
    <w:p w14:paraId="0A4A8902" w14:textId="77777777" w:rsidR="0035274D" w:rsidRPr="0035274D" w:rsidRDefault="0035274D" w:rsidP="0035274D">
      <w:pPr>
        <w:pStyle w:val="NoSpacing"/>
        <w:rPr>
          <w:rFonts w:ascii="Times New Roman" w:hAnsi="Times New Roman"/>
          <w:bCs/>
          <w:sz w:val="24"/>
          <w:szCs w:val="24"/>
        </w:rPr>
      </w:pPr>
    </w:p>
    <w:p w14:paraId="6876B65D"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“The DBE program is the Government’s ‘most far-reaching federal status-based contracting program.” D. Bernstein, The Modern American Law of Race, 94 S. Cal. L.</w:t>
      </w:r>
    </w:p>
    <w:p w14:paraId="2D3F072C"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Rev. 171, 208 (2021) (Bernstein). Established in 1983, it sets a goal that at least 10 percent of federal funds authorized for any highway and transit program ‘be expended</w:t>
      </w:r>
    </w:p>
    <w:p w14:paraId="6602E059"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with small business concerns owned and controlled by socially and economically disadvantaged individuals.’ … Among the groups presumptively eligible for DBE benefits are  ‘Black Americans,’ ‘Hispanic Americans,’ ‘Native Americans,’ </w:t>
      </w:r>
      <w:r w:rsidRPr="0035274D">
        <w:rPr>
          <w:rFonts w:ascii="Times New Roman" w:hAnsi="Times New Roman"/>
          <w:sz w:val="24"/>
          <w:szCs w:val="24"/>
        </w:rPr>
        <w:tab/>
        <w:t>‘Asian-Pacific Americans,’ and ‘Subcontinent Asian Americans.’ ”</w:t>
      </w:r>
    </w:p>
    <w:p w14:paraId="1765AD79" w14:textId="77777777" w:rsidR="0035274D" w:rsidRPr="0035274D" w:rsidRDefault="0035274D" w:rsidP="0035274D">
      <w:pPr>
        <w:pStyle w:val="NoSpacing"/>
        <w:rPr>
          <w:rFonts w:ascii="Times New Roman" w:hAnsi="Times New Roman"/>
          <w:bCs/>
          <w:sz w:val="24"/>
          <w:szCs w:val="24"/>
        </w:rPr>
      </w:pPr>
    </w:p>
    <w:p w14:paraId="32BCA717" w14:textId="77777777" w:rsidR="0035274D" w:rsidRPr="0035274D" w:rsidRDefault="0035274D" w:rsidP="0035274D">
      <w:pPr>
        <w:pStyle w:val="NoSpacing"/>
        <w:rPr>
          <w:rFonts w:ascii="Times New Roman" w:hAnsi="Times New Roman"/>
          <w:bCs/>
          <w:sz w:val="24"/>
          <w:szCs w:val="24"/>
        </w:rPr>
      </w:pPr>
    </w:p>
    <w:p w14:paraId="0A62F6AC"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See also: U.S. Department of Justice Press Release of Aug. 30, 2028.  “Downingtown Man Convicted of Exploiting USDOT Disadvantaged Business Program.” </w:t>
      </w:r>
    </w:p>
    <w:p w14:paraId="119DEBBF"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“Joyce Abrams, the owner of Markias, has previously pleaded guilty to conspiring to defraud PennDOT and the U.S. Department of Transportation with respect to this scheme. </w:t>
      </w:r>
      <w:hyperlink r:id="rId1552" w:history="1">
        <w:r w:rsidRPr="0035274D">
          <w:rPr>
            <w:rStyle w:val="Hyperlink"/>
            <w:rFonts w:ascii="Times New Roman" w:hAnsi="Times New Roman"/>
            <w:sz w:val="24"/>
            <w:szCs w:val="24"/>
          </w:rPr>
          <w:t>https://www.justice.gov/usao-edpa/pr/downingtown-man-convicted-exploiting-usdot-disadvantaged-business-program</w:t>
        </w:r>
      </w:hyperlink>
    </w:p>
    <w:p w14:paraId="7269A7E5" w14:textId="77777777" w:rsidR="0035274D" w:rsidRPr="006F2B87" w:rsidRDefault="0035274D" w:rsidP="0035274D">
      <w:pPr>
        <w:pStyle w:val="NoSpacing"/>
        <w:rPr>
          <w:bCs/>
        </w:rPr>
      </w:pPr>
    </w:p>
    <w:p w14:paraId="4443C34E" w14:textId="77777777" w:rsidR="0035274D" w:rsidRPr="00C6187D" w:rsidRDefault="0035274D" w:rsidP="00C6187D">
      <w:pPr>
        <w:pStyle w:val="NoSpacing"/>
        <w:rPr>
          <w:rFonts w:ascii="Times New Roman" w:hAnsi="Times New Roman"/>
          <w:sz w:val="24"/>
          <w:szCs w:val="24"/>
        </w:rPr>
      </w:pPr>
    </w:p>
    <w:p w14:paraId="1860BCEE" w14:textId="77777777" w:rsidR="003E03D6" w:rsidRDefault="003E03D6" w:rsidP="00BC70A3">
      <w:pPr>
        <w:rPr>
          <w:rFonts w:ascii="Arial Black" w:hAnsi="Arial Black"/>
          <w:b/>
          <w:sz w:val="24"/>
          <w:szCs w:val="24"/>
        </w:rPr>
      </w:pPr>
    </w:p>
    <w:p w14:paraId="7EA612F5" w14:textId="7F45ADF1" w:rsidR="003E03D6" w:rsidRDefault="00B92F73" w:rsidP="00BC70A3">
      <w:pPr>
        <w:rPr>
          <w:rFonts w:ascii="Arial Black" w:hAnsi="Arial Black"/>
          <w:b/>
          <w:sz w:val="24"/>
          <w:szCs w:val="24"/>
        </w:rPr>
      </w:pPr>
      <w:r>
        <w:rPr>
          <w:rFonts w:ascii="Arial Black" w:hAnsi="Arial Black"/>
          <w:b/>
          <w:sz w:val="24"/>
          <w:szCs w:val="24"/>
        </w:rPr>
        <w:t>8-76</w:t>
      </w:r>
    </w:p>
    <w:p w14:paraId="5E3AC5FE" w14:textId="722F44DE" w:rsidR="008D618F" w:rsidRPr="006F2B87" w:rsidRDefault="008D618F" w:rsidP="008D618F">
      <w:pPr>
        <w:pStyle w:val="NoSpacing"/>
        <w:rPr>
          <w:rFonts w:ascii="Arial Black" w:hAnsi="Arial Black"/>
          <w:sz w:val="28"/>
          <w:szCs w:val="28"/>
        </w:rPr>
      </w:pPr>
      <w:r w:rsidRPr="006F2B87">
        <w:rPr>
          <w:rFonts w:ascii="Arial Black" w:hAnsi="Arial Black"/>
          <w:sz w:val="28"/>
          <w:szCs w:val="28"/>
        </w:rPr>
        <w:t xml:space="preserve">MS:  FAILED </w:t>
      </w:r>
      <w:r>
        <w:rPr>
          <w:rFonts w:ascii="Arial Black" w:hAnsi="Arial Black"/>
          <w:sz w:val="28"/>
          <w:szCs w:val="28"/>
        </w:rPr>
        <w:t xml:space="preserve">FD “DRIVER” TESTS - </w:t>
      </w:r>
      <w:r w:rsidRPr="006F2B87">
        <w:rPr>
          <w:rFonts w:ascii="Arial Black" w:hAnsi="Arial Black"/>
          <w:sz w:val="28"/>
          <w:szCs w:val="28"/>
        </w:rPr>
        <w:t xml:space="preserve">3 TIMES – </w:t>
      </w:r>
      <w:r w:rsidR="008954B6">
        <w:rPr>
          <w:rFonts w:ascii="Arial Black" w:hAnsi="Arial Black"/>
          <w:sz w:val="28"/>
          <w:szCs w:val="28"/>
        </w:rPr>
        <w:t xml:space="preserve">FIRED - </w:t>
      </w:r>
      <w:r w:rsidRPr="006F2B87">
        <w:rPr>
          <w:rFonts w:ascii="Arial Black" w:hAnsi="Arial Black"/>
          <w:sz w:val="28"/>
          <w:szCs w:val="28"/>
        </w:rPr>
        <w:t>NOT RACE</w:t>
      </w:r>
    </w:p>
    <w:p w14:paraId="0FCA94E4" w14:textId="77777777" w:rsidR="008D618F" w:rsidRPr="006F2B87" w:rsidRDefault="008D618F" w:rsidP="008D618F">
      <w:pPr>
        <w:pStyle w:val="NoSpacing"/>
      </w:pPr>
    </w:p>
    <w:p w14:paraId="7CB7882D" w14:textId="77777777" w:rsidR="00BE2264" w:rsidRPr="008D618F" w:rsidRDefault="008D618F" w:rsidP="00BE2264">
      <w:pPr>
        <w:pStyle w:val="NoSpacing"/>
        <w:rPr>
          <w:rFonts w:ascii="Times New Roman" w:hAnsi="Times New Roman"/>
          <w:bCs/>
          <w:sz w:val="24"/>
          <w:szCs w:val="24"/>
        </w:rPr>
      </w:pPr>
      <w:r w:rsidRPr="008D618F">
        <w:rPr>
          <w:rFonts w:ascii="Times New Roman" w:hAnsi="Times New Roman"/>
          <w:sz w:val="24"/>
          <w:szCs w:val="24"/>
        </w:rPr>
        <w:t>On May 13, 202</w:t>
      </w:r>
      <w:r w:rsidR="00ED64DA">
        <w:rPr>
          <w:rFonts w:ascii="Times New Roman" w:hAnsi="Times New Roman"/>
          <w:sz w:val="24"/>
          <w:szCs w:val="24"/>
        </w:rPr>
        <w:t>5</w:t>
      </w:r>
      <w:r w:rsidRPr="008D618F">
        <w:rPr>
          <w:rFonts w:ascii="Times New Roman" w:hAnsi="Times New Roman"/>
          <w:sz w:val="24"/>
          <w:szCs w:val="24"/>
        </w:rPr>
        <w:t xml:space="preserve">, in </w:t>
      </w:r>
      <w:r w:rsidRPr="008D618F">
        <w:rPr>
          <w:rFonts w:ascii="Times New Roman" w:hAnsi="Times New Roman"/>
          <w:sz w:val="24"/>
          <w:szCs w:val="24"/>
          <w:u w:val="single"/>
        </w:rPr>
        <w:t>Willie Fry v. City of Hernando, Mississippi</w:t>
      </w:r>
      <w:r w:rsidRPr="008D618F">
        <w:rPr>
          <w:rFonts w:ascii="Times New Roman" w:hAnsi="Times New Roman"/>
          <w:sz w:val="24"/>
          <w:szCs w:val="24"/>
        </w:rPr>
        <w:t>,</w:t>
      </w:r>
      <w:r w:rsidRPr="008D618F">
        <w:rPr>
          <w:rFonts w:ascii="Times New Roman" w:hAnsi="Times New Roman"/>
          <w:b/>
          <w:sz w:val="24"/>
          <w:szCs w:val="24"/>
        </w:rPr>
        <w:t xml:space="preserve"> </w:t>
      </w:r>
      <w:r w:rsidRPr="008D618F">
        <w:rPr>
          <w:rFonts w:ascii="Times New Roman" w:hAnsi="Times New Roman"/>
          <w:sz w:val="24"/>
          <w:szCs w:val="24"/>
        </w:rPr>
        <w:t xml:space="preserve">the U.S. Court of Appeals for Fifth Circuit (New Orleans) held (3 to 0) that trial court properly granted summary judgment to the defense, after close of pre-trial discovery.  The former firefighter failed “driver” testing three times. </w:t>
      </w:r>
      <w:hyperlink r:id="rId1553" w:history="1">
        <w:r w:rsidR="00BE2264" w:rsidRPr="008D618F">
          <w:rPr>
            <w:rStyle w:val="Hyperlink"/>
            <w:rFonts w:ascii="Times New Roman" w:hAnsi="Times New Roman"/>
            <w:sz w:val="24"/>
            <w:szCs w:val="24"/>
          </w:rPr>
          <w:t>https://www.ca5.uscourts.gov/opinions/unpub/24/24-60532.0.pdf</w:t>
        </w:r>
      </w:hyperlink>
      <w:r w:rsidR="00BE2264" w:rsidRPr="008D618F">
        <w:rPr>
          <w:rFonts w:ascii="Times New Roman" w:hAnsi="Times New Roman"/>
          <w:sz w:val="24"/>
          <w:szCs w:val="24"/>
        </w:rPr>
        <w:t xml:space="preserve"> </w:t>
      </w:r>
    </w:p>
    <w:p w14:paraId="69BEACB7" w14:textId="27F028CD" w:rsidR="008D618F" w:rsidRPr="008D618F" w:rsidRDefault="008D618F" w:rsidP="008D618F">
      <w:pPr>
        <w:pStyle w:val="NoSpacing"/>
        <w:rPr>
          <w:rFonts w:ascii="Times New Roman" w:hAnsi="Times New Roman"/>
          <w:bCs/>
          <w:sz w:val="24"/>
          <w:szCs w:val="24"/>
        </w:rPr>
      </w:pPr>
    </w:p>
    <w:p w14:paraId="52F4EA08" w14:textId="77777777" w:rsidR="008D618F" w:rsidRPr="008D618F" w:rsidRDefault="008D618F" w:rsidP="008D618F">
      <w:pPr>
        <w:pStyle w:val="NoSpacing"/>
        <w:rPr>
          <w:rFonts w:ascii="Times New Roman" w:hAnsi="Times New Roman"/>
          <w:bCs/>
          <w:sz w:val="24"/>
          <w:szCs w:val="24"/>
        </w:rPr>
      </w:pPr>
    </w:p>
    <w:p w14:paraId="18C310EC" w14:textId="5816C605" w:rsidR="008D618F" w:rsidRPr="008D618F" w:rsidRDefault="008D618F" w:rsidP="008D618F">
      <w:pPr>
        <w:pStyle w:val="NoSpacing"/>
        <w:rPr>
          <w:rFonts w:ascii="Times New Roman" w:hAnsi="Times New Roman"/>
          <w:bCs/>
          <w:sz w:val="24"/>
          <w:szCs w:val="24"/>
        </w:rPr>
      </w:pPr>
      <w:r w:rsidRPr="008D618F">
        <w:rPr>
          <w:rFonts w:ascii="Times New Roman" w:hAnsi="Times New Roman"/>
          <w:sz w:val="24"/>
          <w:szCs w:val="24"/>
        </w:rPr>
        <w:t xml:space="preserve">The Court wrote: “Fry worked as a Hernando firefighter for about six years. While in that post, he applied to be promoted to driver. The Hernando Fire Department requires firefighters applying </w:t>
      </w:r>
      <w:proofErr w:type="gramStart"/>
      <w:r w:rsidRPr="008D618F">
        <w:rPr>
          <w:rFonts w:ascii="Times New Roman" w:hAnsi="Times New Roman"/>
          <w:sz w:val="24"/>
          <w:szCs w:val="24"/>
        </w:rPr>
        <w:t>to</w:t>
      </w:r>
      <w:proofErr w:type="gramEnd"/>
      <w:r w:rsidRPr="008D618F">
        <w:rPr>
          <w:rFonts w:ascii="Times New Roman" w:hAnsi="Times New Roman"/>
          <w:sz w:val="24"/>
          <w:szCs w:val="24"/>
        </w:rPr>
        <w:t xml:space="preserve"> that position to pass a promotional exam.  The exam is comprised of a few tests—each of which an applicant must pass, in sequential order, to be eligible for promotion…. Fry failed the driver promotional exam three times—in 2018, 2020, and 2021. On his first attempt, he failed the pump test. On his second and third attempts, Fry failed the street test. In 2021, the year of Fry’s third attempt, the exam had been reduced from five tests to three. But the pump test remained a part of each exam. Fry did not take the pump test in either his second or third attempt because he failed the street test, which was the first round of the exam. *** The record lacks evidence that he was “qualified for” the position of driver in 2018, 2020, or 2021—an essential element of his prima facie case. The Hernando Fire Department requires firefighters to pass a promotional exam to be eligible for the </w:t>
      </w:r>
      <w:proofErr w:type="gramStart"/>
      <w:r w:rsidRPr="008D618F">
        <w:rPr>
          <w:rFonts w:ascii="Times New Roman" w:hAnsi="Times New Roman"/>
          <w:sz w:val="24"/>
          <w:szCs w:val="24"/>
        </w:rPr>
        <w:t>driver</w:t>
      </w:r>
      <w:proofErr w:type="gramEnd"/>
      <w:r w:rsidRPr="008D618F">
        <w:rPr>
          <w:rFonts w:ascii="Times New Roman" w:hAnsi="Times New Roman"/>
          <w:sz w:val="24"/>
          <w:szCs w:val="24"/>
        </w:rPr>
        <w:t xml:space="preserve"> position. After searching the record and liberally construing his arguments on appeal, we find no competent summary-judgment evidence from which a trier of fact could infer that Fry passed that exam. Because Fry failed to demonstrate through competent summary-judgment evidence the existence of a genuine dispute on an essential element of his claims, summary judgment was proper as to </w:t>
      </w:r>
      <w:proofErr w:type="gramStart"/>
      <w:r w:rsidRPr="008D618F">
        <w:rPr>
          <w:rFonts w:ascii="Times New Roman" w:hAnsi="Times New Roman"/>
          <w:sz w:val="24"/>
          <w:szCs w:val="24"/>
        </w:rPr>
        <w:t>them.”</w:t>
      </w:r>
      <w:proofErr w:type="gramEnd"/>
      <w:r w:rsidRPr="008D618F">
        <w:rPr>
          <w:rFonts w:ascii="Times New Roman" w:hAnsi="Times New Roman"/>
          <w:sz w:val="24"/>
          <w:szCs w:val="24"/>
        </w:rPr>
        <w:t xml:space="preserve"> </w:t>
      </w:r>
    </w:p>
    <w:p w14:paraId="54F13789" w14:textId="77777777" w:rsidR="003E03D6" w:rsidRDefault="003E03D6" w:rsidP="00BC70A3">
      <w:pPr>
        <w:rPr>
          <w:rFonts w:ascii="Arial Black" w:hAnsi="Arial Black"/>
          <w:b/>
          <w:sz w:val="24"/>
          <w:szCs w:val="24"/>
        </w:rPr>
      </w:pPr>
    </w:p>
    <w:p w14:paraId="000F7884" w14:textId="77777777" w:rsidR="002F7A23" w:rsidRPr="00B92F73" w:rsidRDefault="002F7A23" w:rsidP="002F7A23">
      <w:pPr>
        <w:pStyle w:val="NoSpacing"/>
        <w:rPr>
          <w:rFonts w:ascii="Times New Roman" w:hAnsi="Times New Roman"/>
          <w:b/>
          <w:bCs/>
          <w:sz w:val="24"/>
          <w:szCs w:val="24"/>
        </w:rPr>
      </w:pPr>
      <w:r w:rsidRPr="00B92F73">
        <w:rPr>
          <w:rFonts w:ascii="Times New Roman" w:hAnsi="Times New Roman"/>
          <w:b/>
          <w:sz w:val="24"/>
          <w:szCs w:val="24"/>
        </w:rPr>
        <w:t xml:space="preserve">Legal Lesson Learned: The former firefighter failed the </w:t>
      </w:r>
      <w:r w:rsidRPr="00B92F73">
        <w:rPr>
          <w:rFonts w:ascii="Times New Roman" w:hAnsi="Times New Roman"/>
          <w:b/>
          <w:bCs/>
          <w:sz w:val="24"/>
          <w:szCs w:val="24"/>
        </w:rPr>
        <w:t>driver’s</w:t>
      </w:r>
      <w:r w:rsidRPr="00B92F73">
        <w:rPr>
          <w:rFonts w:ascii="Times New Roman" w:hAnsi="Times New Roman"/>
          <w:b/>
          <w:sz w:val="24"/>
          <w:szCs w:val="24"/>
        </w:rPr>
        <w:t xml:space="preserve"> test three times; </w:t>
      </w:r>
      <w:r w:rsidRPr="00B92F73">
        <w:rPr>
          <w:rFonts w:ascii="Times New Roman" w:hAnsi="Times New Roman"/>
          <w:b/>
          <w:bCs/>
          <w:sz w:val="24"/>
          <w:szCs w:val="24"/>
        </w:rPr>
        <w:t xml:space="preserve">Court held </w:t>
      </w:r>
      <w:r w:rsidRPr="00B92F73">
        <w:rPr>
          <w:rFonts w:ascii="Times New Roman" w:hAnsi="Times New Roman"/>
          <w:b/>
          <w:sz w:val="24"/>
          <w:szCs w:val="24"/>
        </w:rPr>
        <w:t>race was not a factor.</w:t>
      </w:r>
    </w:p>
    <w:p w14:paraId="6C8F1E97" w14:textId="77777777" w:rsidR="002F7A23" w:rsidRPr="006F2B87" w:rsidRDefault="002F7A23" w:rsidP="002F7A23">
      <w:pPr>
        <w:pStyle w:val="NoSpacing"/>
      </w:pPr>
    </w:p>
    <w:p w14:paraId="17ED2775" w14:textId="77777777" w:rsidR="002F7A23" w:rsidRDefault="002F7A23" w:rsidP="00BC70A3">
      <w:pPr>
        <w:rPr>
          <w:rFonts w:ascii="Arial Black" w:hAnsi="Arial Black"/>
          <w:b/>
          <w:sz w:val="24"/>
          <w:szCs w:val="24"/>
        </w:rPr>
      </w:pPr>
    </w:p>
    <w:p w14:paraId="3ECE4E9F" w14:textId="77777777" w:rsidR="003E03D6" w:rsidRDefault="003E03D6" w:rsidP="00BC70A3">
      <w:pPr>
        <w:rPr>
          <w:rFonts w:ascii="Arial Black" w:hAnsi="Arial Black"/>
          <w:b/>
          <w:sz w:val="24"/>
          <w:szCs w:val="24"/>
        </w:rPr>
      </w:pPr>
    </w:p>
    <w:p w14:paraId="0469024C" w14:textId="44EC7842" w:rsidR="0062764C" w:rsidRDefault="0062764C" w:rsidP="00BC70A3">
      <w:pPr>
        <w:rPr>
          <w:rFonts w:ascii="Arial Black" w:hAnsi="Arial Black"/>
          <w:b/>
          <w:sz w:val="24"/>
          <w:szCs w:val="24"/>
        </w:rPr>
      </w:pPr>
      <w:r>
        <w:rPr>
          <w:rFonts w:ascii="Arial Black" w:hAnsi="Arial Black"/>
          <w:b/>
          <w:sz w:val="24"/>
          <w:szCs w:val="24"/>
        </w:rPr>
        <w:t>8-75</w:t>
      </w:r>
    </w:p>
    <w:p w14:paraId="0D53978D" w14:textId="77777777" w:rsidR="0060197A" w:rsidRPr="00067B0D" w:rsidRDefault="0060197A" w:rsidP="0060197A">
      <w:pPr>
        <w:rPr>
          <w:rFonts w:ascii="Arial Black" w:hAnsi="Arial Black"/>
          <w:bCs/>
          <w:sz w:val="28"/>
          <w:szCs w:val="28"/>
        </w:rPr>
      </w:pPr>
      <w:r>
        <w:rPr>
          <w:rFonts w:ascii="Arial Black" w:hAnsi="Arial Black"/>
          <w:sz w:val="28"/>
          <w:szCs w:val="28"/>
        </w:rPr>
        <w:t xml:space="preserve">TX: FF FIRED / IRAQI / 3 DOC. “PERFORMANCE NOTES” </w:t>
      </w:r>
    </w:p>
    <w:p w14:paraId="5AE9B1CC" w14:textId="0850A4DF" w:rsidR="0060197A" w:rsidRPr="0060197A" w:rsidRDefault="0060197A" w:rsidP="0060197A">
      <w:pPr>
        <w:rPr>
          <w:rFonts w:ascii="Times New Roman" w:hAnsi="Times New Roman"/>
          <w:bCs/>
          <w:sz w:val="24"/>
          <w:szCs w:val="24"/>
        </w:rPr>
      </w:pPr>
      <w:r>
        <w:t xml:space="preserve"> </w:t>
      </w:r>
      <w:r w:rsidRPr="0060197A">
        <w:rPr>
          <w:rFonts w:ascii="Times New Roman" w:hAnsi="Times New Roman"/>
          <w:sz w:val="24"/>
          <w:szCs w:val="24"/>
        </w:rPr>
        <w:t xml:space="preserve">On May 1, 2025, in </w:t>
      </w:r>
      <w:proofErr w:type="spellStart"/>
      <w:r w:rsidRPr="0060197A">
        <w:rPr>
          <w:rFonts w:ascii="Times New Roman" w:hAnsi="Times New Roman"/>
          <w:sz w:val="24"/>
          <w:szCs w:val="24"/>
          <w:u w:val="single"/>
        </w:rPr>
        <w:t>Safealdean</w:t>
      </w:r>
      <w:proofErr w:type="spellEnd"/>
      <w:r w:rsidRPr="0060197A">
        <w:rPr>
          <w:rFonts w:ascii="Times New Roman" w:hAnsi="Times New Roman"/>
          <w:sz w:val="24"/>
          <w:szCs w:val="24"/>
          <w:u w:val="single"/>
        </w:rPr>
        <w:t xml:space="preserve"> </w:t>
      </w:r>
      <w:proofErr w:type="spellStart"/>
      <w:r w:rsidRPr="0060197A">
        <w:rPr>
          <w:rFonts w:ascii="Times New Roman" w:hAnsi="Times New Roman"/>
          <w:sz w:val="24"/>
          <w:szCs w:val="24"/>
          <w:u w:val="single"/>
        </w:rPr>
        <w:t>Alusi</w:t>
      </w:r>
      <w:proofErr w:type="spellEnd"/>
      <w:r w:rsidRPr="0060197A">
        <w:rPr>
          <w:rFonts w:ascii="Times New Roman" w:hAnsi="Times New Roman"/>
          <w:sz w:val="24"/>
          <w:szCs w:val="24"/>
          <w:u w:val="single"/>
        </w:rPr>
        <w:t xml:space="preserve"> v. City of Frisco, Texas</w:t>
      </w:r>
      <w:r w:rsidRPr="0060197A">
        <w:rPr>
          <w:rFonts w:ascii="Times New Roman" w:hAnsi="Times New Roman"/>
          <w:sz w:val="24"/>
          <w:szCs w:val="24"/>
        </w:rPr>
        <w:t xml:space="preserve">, the U.S. Court of Appeals held (3 to 0; unpublished decision) that the trial court properly granted the City’s motion for summary judgment after pre-trial discovery was completed in claims of hostile work atmosphere and national origin discrimination. The FF was fired on May 6, 2020; he had completed his </w:t>
      </w:r>
      <w:proofErr w:type="gramStart"/>
      <w:r w:rsidRPr="0060197A">
        <w:rPr>
          <w:rFonts w:ascii="Times New Roman" w:hAnsi="Times New Roman"/>
          <w:sz w:val="24"/>
          <w:szCs w:val="24"/>
        </w:rPr>
        <w:t>one year</w:t>
      </w:r>
      <w:proofErr w:type="gramEnd"/>
      <w:r w:rsidRPr="0060197A">
        <w:rPr>
          <w:rFonts w:ascii="Times New Roman" w:hAnsi="Times New Roman"/>
          <w:sz w:val="24"/>
          <w:szCs w:val="24"/>
        </w:rPr>
        <w:t xml:space="preserve"> probationary period </w:t>
      </w:r>
      <w:proofErr w:type="gramStart"/>
      <w:r w:rsidRPr="0060197A">
        <w:rPr>
          <w:rFonts w:ascii="Times New Roman" w:hAnsi="Times New Roman"/>
          <w:sz w:val="24"/>
          <w:szCs w:val="24"/>
        </w:rPr>
        <w:t>on</w:t>
      </w:r>
      <w:proofErr w:type="gramEnd"/>
      <w:r w:rsidRPr="0060197A">
        <w:rPr>
          <w:rFonts w:ascii="Times New Roman" w:hAnsi="Times New Roman"/>
          <w:sz w:val="24"/>
          <w:szCs w:val="24"/>
        </w:rPr>
        <w:t xml:space="preserve"> December 2018, but by July 11, </w:t>
      </w:r>
      <w:proofErr w:type="gramStart"/>
      <w:r w:rsidRPr="0060197A">
        <w:rPr>
          <w:rFonts w:ascii="Times New Roman" w:hAnsi="Times New Roman"/>
          <w:sz w:val="24"/>
          <w:szCs w:val="24"/>
        </w:rPr>
        <w:t>2029</w:t>
      </w:r>
      <w:proofErr w:type="gramEnd"/>
      <w:r w:rsidRPr="0060197A">
        <w:rPr>
          <w:rFonts w:ascii="Times New Roman" w:hAnsi="Times New Roman"/>
          <w:sz w:val="24"/>
          <w:szCs w:val="24"/>
        </w:rPr>
        <w:t xml:space="preserve"> he had received three “performance note[s]” in response to various instances of alleged deficient performance, was shortly thereafter moved to a new station, and required to restart a training program “to improve his paramedic skills.’” </w:t>
      </w:r>
      <w:hyperlink r:id="rId1554" w:history="1">
        <w:r w:rsidRPr="0060197A">
          <w:rPr>
            <w:rStyle w:val="Hyperlink"/>
            <w:rFonts w:ascii="Times New Roman" w:hAnsi="Times New Roman"/>
            <w:sz w:val="24"/>
            <w:szCs w:val="24"/>
          </w:rPr>
          <w:t>https://cases.justia.com/federal/appellate-courts/ca5/24-40626/24-40626-2025-05-01.pdf?ts=1746120629</w:t>
        </w:r>
      </w:hyperlink>
    </w:p>
    <w:p w14:paraId="0C0B97CA" w14:textId="77777777" w:rsidR="00CB5E21" w:rsidRPr="00CB5E21" w:rsidRDefault="00CB5E21" w:rsidP="00CB5E21">
      <w:pPr>
        <w:pStyle w:val="NoSpacing"/>
        <w:rPr>
          <w:rFonts w:ascii="Times New Roman" w:hAnsi="Times New Roman"/>
          <w:b/>
          <w:bCs/>
          <w:sz w:val="24"/>
          <w:szCs w:val="24"/>
        </w:rPr>
      </w:pPr>
      <w:r w:rsidRPr="00CB5E21">
        <w:rPr>
          <w:rFonts w:ascii="Times New Roman" w:hAnsi="Times New Roman"/>
          <w:b/>
          <w:sz w:val="24"/>
          <w:szCs w:val="24"/>
        </w:rPr>
        <w:t>Legal Lesson Learned: The FD documented performance deficiencies prior to termination.</w:t>
      </w:r>
    </w:p>
    <w:p w14:paraId="7C4B711C" w14:textId="77777777" w:rsidR="0062764C" w:rsidRPr="00CB5E21" w:rsidRDefault="0062764C" w:rsidP="00BC70A3">
      <w:pPr>
        <w:rPr>
          <w:rFonts w:ascii="Times New Roman" w:hAnsi="Times New Roman"/>
          <w:b/>
          <w:sz w:val="24"/>
          <w:szCs w:val="24"/>
        </w:rPr>
      </w:pPr>
    </w:p>
    <w:p w14:paraId="0077B28F" w14:textId="77777777" w:rsidR="0062764C" w:rsidRDefault="0062764C" w:rsidP="00BC70A3">
      <w:pPr>
        <w:rPr>
          <w:rFonts w:ascii="Arial Black" w:hAnsi="Arial Black"/>
          <w:b/>
          <w:sz w:val="24"/>
          <w:szCs w:val="24"/>
        </w:rPr>
      </w:pPr>
    </w:p>
    <w:p w14:paraId="153E21F5" w14:textId="4B89CC84" w:rsidR="000B584F" w:rsidRDefault="009353BA" w:rsidP="00BC70A3">
      <w:pPr>
        <w:rPr>
          <w:rFonts w:ascii="Arial Black" w:hAnsi="Arial Black"/>
          <w:b/>
          <w:sz w:val="24"/>
          <w:szCs w:val="24"/>
        </w:rPr>
      </w:pPr>
      <w:r>
        <w:rPr>
          <w:rFonts w:ascii="Arial Black" w:hAnsi="Arial Black"/>
          <w:b/>
          <w:sz w:val="24"/>
          <w:szCs w:val="24"/>
        </w:rPr>
        <w:t>8-74</w:t>
      </w:r>
    </w:p>
    <w:p w14:paraId="575C3370" w14:textId="54D0FB2A" w:rsidR="00BD3AC0" w:rsidRPr="00A12DBD" w:rsidRDefault="00BD3AC0" w:rsidP="00BD3AC0">
      <w:pPr>
        <w:pStyle w:val="NoSpacing"/>
        <w:rPr>
          <w:rFonts w:ascii="Arial Black" w:hAnsi="Arial Black"/>
          <w:bCs/>
          <w:sz w:val="28"/>
          <w:szCs w:val="28"/>
        </w:rPr>
      </w:pPr>
      <w:r>
        <w:rPr>
          <w:rFonts w:ascii="Arial Black" w:hAnsi="Arial Black"/>
          <w:sz w:val="28"/>
          <w:szCs w:val="28"/>
        </w:rPr>
        <w:t xml:space="preserve">MS: EMS SCHOLARSHIPS FOR </w:t>
      </w:r>
      <w:r w:rsidR="0052716C">
        <w:rPr>
          <w:rFonts w:ascii="Arial Black" w:hAnsi="Arial Black"/>
          <w:sz w:val="28"/>
          <w:szCs w:val="28"/>
        </w:rPr>
        <w:t xml:space="preserve">EMS </w:t>
      </w:r>
      <w:r>
        <w:rPr>
          <w:rFonts w:ascii="Arial Black" w:hAnsi="Arial Black"/>
          <w:sz w:val="28"/>
          <w:szCs w:val="28"/>
        </w:rPr>
        <w:t>“OF COLOR” - CASE PROCEED</w:t>
      </w:r>
    </w:p>
    <w:p w14:paraId="072E2B41" w14:textId="77777777" w:rsidR="00BD3AC0" w:rsidRDefault="00BD3AC0" w:rsidP="00BD3AC0">
      <w:pPr>
        <w:pStyle w:val="NoSpacing"/>
      </w:pPr>
    </w:p>
    <w:p w14:paraId="113E0EBE" w14:textId="77777777" w:rsidR="00BD3AC0" w:rsidRPr="00E55966" w:rsidRDefault="00BD3AC0" w:rsidP="00BD3AC0">
      <w:pPr>
        <w:pStyle w:val="NoSpacing"/>
        <w:rPr>
          <w:rFonts w:ascii="Times New Roman" w:hAnsi="Times New Roman"/>
          <w:sz w:val="24"/>
          <w:szCs w:val="24"/>
        </w:rPr>
      </w:pPr>
      <w:r w:rsidRPr="00E55966">
        <w:rPr>
          <w:rFonts w:ascii="Times New Roman" w:hAnsi="Times New Roman"/>
          <w:sz w:val="24"/>
          <w:szCs w:val="24"/>
        </w:rPr>
        <w:t xml:space="preserve">On March 31, 2025, in </w:t>
      </w:r>
      <w:r w:rsidRPr="00E55966">
        <w:rPr>
          <w:rFonts w:ascii="Times New Roman" w:hAnsi="Times New Roman"/>
          <w:sz w:val="24"/>
          <w:szCs w:val="24"/>
          <w:u w:val="single"/>
        </w:rPr>
        <w:t>Do No Harm v. National Association of Emergency Medical Technicians</w:t>
      </w:r>
      <w:r w:rsidRPr="00E55966">
        <w:rPr>
          <w:rFonts w:ascii="Times New Roman" w:hAnsi="Times New Roman"/>
          <w:sz w:val="24"/>
          <w:szCs w:val="24"/>
        </w:rPr>
        <w:t xml:space="preserve">, </w:t>
      </w:r>
    </w:p>
    <w:p w14:paraId="789CCDC2" w14:textId="589405C2" w:rsidR="00BC5DCB" w:rsidRPr="00E55966" w:rsidRDefault="00BD3AC0" w:rsidP="00BD3AC0">
      <w:pPr>
        <w:rPr>
          <w:rFonts w:ascii="Times New Roman" w:hAnsi="Times New Roman"/>
          <w:sz w:val="24"/>
          <w:szCs w:val="24"/>
        </w:rPr>
      </w:pPr>
      <w:r w:rsidRPr="00E55966">
        <w:rPr>
          <w:rFonts w:ascii="Times New Roman" w:hAnsi="Times New Roman"/>
          <w:sz w:val="24"/>
          <w:szCs w:val="24"/>
        </w:rPr>
        <w:t xml:space="preserve">U.S. District Court Judge Carlton W. Reeves, U.S. District Court for the Southern District of Mississippi (Northern Division) denied NAEMT’s motion to dismiss.  “Since 2021, this program has awarded up to four scholarships of $1,250 each, which recipients may use towards tuition, fees, and books…. The scholarship's guidelines do not list race as a factor; however, the selection process states that NAEMT ‘will’ award the scholarship to students of color. ***  [Plaintiff organization include white female seeking one of the scholarships.] “Member A alleges that she was denied the opportunity to compete on equal footing with applicants of color because of her race. If proven to be true-and the applicable standard requires us to presume its truth today- NAEMT's diversity scholarship would pose a race-based barrier to Member A that may violate § 1981.” </w:t>
      </w:r>
      <w:r w:rsidR="00741F62">
        <w:rPr>
          <w:rFonts w:ascii="Times New Roman" w:hAnsi="Times New Roman"/>
          <w:sz w:val="24"/>
          <w:szCs w:val="24"/>
        </w:rPr>
        <w:t xml:space="preserve"> </w:t>
      </w:r>
      <w:hyperlink r:id="rId1555" w:history="1">
        <w:r w:rsidR="00741F62" w:rsidRPr="00F82255">
          <w:rPr>
            <w:rStyle w:val="Hyperlink"/>
            <w:rFonts w:ascii="Times New Roman" w:hAnsi="Times New Roman"/>
            <w:sz w:val="24"/>
            <w:szCs w:val="24"/>
          </w:rPr>
          <w:t>https://public.fastcase.com/jaEE2PXzRXmZ99jOLMt1IpDp0JnVzptdty762p2WdacpKzYcIiQ8l1TBeuMep1jV?utm_medium=email&amp;_hsenc=p2ANqtz-9L1bPrfxst6esq_7Z5KFo1lHVisT0fYVrJpGE-zmUOoXZMhssxRXtfaqB6NAX5aJI_oGim2Kqhabp0MlaGnIdzwB2f4A&amp;_hsmi=226712652&amp;utm_content=226712652&amp;utm_source=hs_email</w:t>
        </w:r>
      </w:hyperlink>
      <w:r w:rsidR="00741F62">
        <w:rPr>
          <w:rFonts w:ascii="Times New Roman" w:hAnsi="Times New Roman"/>
          <w:sz w:val="24"/>
          <w:szCs w:val="24"/>
        </w:rPr>
        <w:t xml:space="preserve"> </w:t>
      </w:r>
    </w:p>
    <w:p w14:paraId="006202BE" w14:textId="77777777" w:rsidR="008A0A0B" w:rsidRDefault="008A0A0B" w:rsidP="008A0A0B">
      <w:pPr>
        <w:pStyle w:val="NoSpacing"/>
        <w:rPr>
          <w:rFonts w:ascii="Times New Roman" w:hAnsi="Times New Roman"/>
          <w:b/>
          <w:sz w:val="24"/>
          <w:szCs w:val="24"/>
        </w:rPr>
      </w:pPr>
      <w:r w:rsidRPr="001C2A03">
        <w:rPr>
          <w:rFonts w:ascii="Times New Roman" w:hAnsi="Times New Roman"/>
          <w:b/>
          <w:sz w:val="24"/>
          <w:szCs w:val="24"/>
        </w:rPr>
        <w:t>Legal Lesson Learned:  The case will now proceed to pre-trial discovery; scholarships for minority students by universities and other organizations have also been challenged.</w:t>
      </w:r>
    </w:p>
    <w:p w14:paraId="073BA680" w14:textId="77777777" w:rsidR="00282976" w:rsidRDefault="00282976" w:rsidP="008A0A0B">
      <w:pPr>
        <w:pStyle w:val="NoSpacing"/>
        <w:rPr>
          <w:rFonts w:ascii="Times New Roman" w:hAnsi="Times New Roman"/>
          <w:b/>
          <w:sz w:val="24"/>
          <w:szCs w:val="24"/>
        </w:rPr>
      </w:pPr>
    </w:p>
    <w:p w14:paraId="24FC34D6"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Note:  </w:t>
      </w:r>
    </w:p>
    <w:p w14:paraId="7A83B162" w14:textId="77777777" w:rsidR="00E55966" w:rsidRPr="00E55966" w:rsidRDefault="00E55966" w:rsidP="00E55966">
      <w:pPr>
        <w:pStyle w:val="NoSpacing"/>
        <w:ind w:left="720"/>
        <w:rPr>
          <w:rFonts w:ascii="Times New Roman" w:hAnsi="Times New Roman"/>
          <w:bCs/>
          <w:sz w:val="24"/>
          <w:szCs w:val="24"/>
        </w:rPr>
      </w:pPr>
    </w:p>
    <w:p w14:paraId="2938ECEC"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See March 13, </w:t>
      </w:r>
      <w:proofErr w:type="gramStart"/>
      <w:r w:rsidRPr="00E55966">
        <w:rPr>
          <w:rFonts w:ascii="Times New Roman" w:hAnsi="Times New Roman"/>
          <w:sz w:val="24"/>
          <w:szCs w:val="24"/>
        </w:rPr>
        <w:t>2025</w:t>
      </w:r>
      <w:proofErr w:type="gramEnd"/>
      <w:r w:rsidRPr="00E55966">
        <w:rPr>
          <w:rFonts w:ascii="Times New Roman" w:hAnsi="Times New Roman"/>
          <w:sz w:val="24"/>
          <w:szCs w:val="24"/>
        </w:rPr>
        <w:t xml:space="preserve"> article and TV Video: “Cincinnati Children's Hospital under investigation over scholarships for minorities. A Wisconsin law firm brought the complaint to the federal government, alleging the programs violate the Civil Rights Act. Cincinnati Children's Hospital is being investigated by the federal government for scholarships aimed at helping minority students. The Department of Health and Human Services Office of Civil Rights is looking into whether those programs break the law.” </w:t>
      </w:r>
      <w:hyperlink r:id="rId1556" w:history="1">
        <w:r w:rsidRPr="00E55966">
          <w:rPr>
            <w:rStyle w:val="Hyperlink"/>
            <w:rFonts w:ascii="Times New Roman" w:hAnsi="Times New Roman"/>
            <w:sz w:val="24"/>
            <w:szCs w:val="24"/>
          </w:rPr>
          <w:t>https://www.wlwt.com/article/cincinnati-childrens-investigation-scholarships-minorities/64180173</w:t>
        </w:r>
      </w:hyperlink>
      <w:r w:rsidRPr="00E55966">
        <w:rPr>
          <w:rFonts w:ascii="Times New Roman" w:hAnsi="Times New Roman"/>
          <w:sz w:val="24"/>
          <w:szCs w:val="24"/>
        </w:rPr>
        <w:t xml:space="preserve"> </w:t>
      </w:r>
    </w:p>
    <w:p w14:paraId="07E5D801" w14:textId="77777777" w:rsidR="00E55966" w:rsidRPr="00E55966" w:rsidRDefault="00E55966" w:rsidP="00E55966">
      <w:pPr>
        <w:pStyle w:val="NoSpacing"/>
        <w:ind w:left="720"/>
        <w:rPr>
          <w:rFonts w:ascii="Times New Roman" w:hAnsi="Times New Roman"/>
          <w:bCs/>
          <w:sz w:val="24"/>
          <w:szCs w:val="24"/>
        </w:rPr>
      </w:pPr>
    </w:p>
    <w:p w14:paraId="179C4FAB"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See American Bar Association scholarships. “The American Bar Association (ABA) awards an annual Legal Opportunity Scholarship to first-year law students. The program's mission is to encourage racial and ethnic minority students to apply to law school and to provide financial assistance for them to attend and complete their legal education. The ABA Legal Opportunity Scholarship grants $15,000 of financial aid to 20 - 25 incoming diverse law students over their three years in law school. Since its inception, the ABA Legal Opportunity Scholarship has benefitted more than 400 students from across the country.”  </w:t>
      </w:r>
      <w:hyperlink r:id="rId1557" w:history="1">
        <w:r w:rsidRPr="00E55966">
          <w:rPr>
            <w:rStyle w:val="Hyperlink"/>
            <w:rFonts w:ascii="Times New Roman" w:hAnsi="Times New Roman"/>
            <w:sz w:val="24"/>
            <w:szCs w:val="24"/>
          </w:rPr>
          <w:t>https://www.americanbar.org/groups/diversity/diversity_pipeline/projects_initiatives/legal_opportunity_scholarship/</w:t>
        </w:r>
      </w:hyperlink>
    </w:p>
    <w:p w14:paraId="6C406882" w14:textId="77777777" w:rsidR="00E55966" w:rsidRDefault="00E55966" w:rsidP="00BD3AC0">
      <w:pPr>
        <w:rPr>
          <w:rFonts w:ascii="Arial Black" w:hAnsi="Arial Black"/>
          <w:b/>
          <w:sz w:val="24"/>
          <w:szCs w:val="24"/>
        </w:rPr>
      </w:pPr>
    </w:p>
    <w:p w14:paraId="14380081" w14:textId="77777777" w:rsidR="009353BA" w:rsidRDefault="009353BA" w:rsidP="00BC70A3">
      <w:pPr>
        <w:rPr>
          <w:rFonts w:ascii="Arial Black" w:hAnsi="Arial Black"/>
          <w:b/>
          <w:sz w:val="24"/>
          <w:szCs w:val="24"/>
        </w:rPr>
      </w:pPr>
    </w:p>
    <w:p w14:paraId="7023D4EB" w14:textId="77777777" w:rsidR="009353BA" w:rsidRDefault="009353BA" w:rsidP="00BC70A3">
      <w:pPr>
        <w:rPr>
          <w:rFonts w:ascii="Arial Black" w:hAnsi="Arial Black"/>
          <w:b/>
          <w:sz w:val="24"/>
          <w:szCs w:val="24"/>
        </w:rPr>
      </w:pPr>
    </w:p>
    <w:p w14:paraId="7F8E8D59" w14:textId="437810A8" w:rsidR="000B584F" w:rsidRDefault="000B584F" w:rsidP="00BC70A3">
      <w:pPr>
        <w:rPr>
          <w:rFonts w:ascii="Arial Black" w:hAnsi="Arial Black"/>
          <w:b/>
          <w:sz w:val="24"/>
          <w:szCs w:val="24"/>
        </w:rPr>
      </w:pPr>
      <w:r>
        <w:rPr>
          <w:rFonts w:ascii="Arial Black" w:hAnsi="Arial Black"/>
          <w:b/>
          <w:sz w:val="24"/>
          <w:szCs w:val="24"/>
        </w:rPr>
        <w:t>8-7</w:t>
      </w:r>
      <w:r w:rsidR="00375DDB">
        <w:rPr>
          <w:rFonts w:ascii="Arial Black" w:hAnsi="Arial Black"/>
          <w:b/>
          <w:sz w:val="24"/>
          <w:szCs w:val="24"/>
        </w:rPr>
        <w:t>3</w:t>
      </w:r>
    </w:p>
    <w:p w14:paraId="45B22002" w14:textId="1A8B2187" w:rsidR="00A110F1" w:rsidRPr="00E11E20" w:rsidRDefault="00A110F1" w:rsidP="00A110F1">
      <w:pPr>
        <w:pStyle w:val="NoSpacing"/>
        <w:rPr>
          <w:rFonts w:ascii="Arial Black" w:hAnsi="Arial Black"/>
          <w:bCs/>
          <w:sz w:val="28"/>
          <w:szCs w:val="28"/>
        </w:rPr>
      </w:pPr>
      <w:r>
        <w:rPr>
          <w:rFonts w:ascii="Arial Black" w:hAnsi="Arial Black"/>
          <w:sz w:val="28"/>
          <w:szCs w:val="28"/>
        </w:rPr>
        <w:t xml:space="preserve">MD: NOT RACE DISC – FIRED </w:t>
      </w:r>
      <w:r w:rsidR="0068464C">
        <w:rPr>
          <w:rFonts w:ascii="Arial Black" w:hAnsi="Arial Black"/>
          <w:sz w:val="28"/>
          <w:szCs w:val="28"/>
        </w:rPr>
        <w:t xml:space="preserve">- </w:t>
      </w:r>
      <w:r>
        <w:rPr>
          <w:rFonts w:ascii="Arial Black" w:hAnsi="Arial Black"/>
          <w:sz w:val="28"/>
          <w:szCs w:val="28"/>
        </w:rPr>
        <w:t>DIDN’T RETURN MED. LEAVE</w:t>
      </w:r>
    </w:p>
    <w:p w14:paraId="5D82B45B" w14:textId="77777777" w:rsidR="00A110F1" w:rsidRDefault="00A110F1" w:rsidP="00A110F1">
      <w:pPr>
        <w:pStyle w:val="NoSpacing"/>
        <w:rPr>
          <w:bCs/>
        </w:rPr>
      </w:pPr>
    </w:p>
    <w:p w14:paraId="7A4DF9C5" w14:textId="77777777" w:rsidR="00A110F1" w:rsidRPr="00375DDB" w:rsidRDefault="00A110F1" w:rsidP="00A110F1">
      <w:pPr>
        <w:pStyle w:val="NoSpacing"/>
        <w:rPr>
          <w:rFonts w:ascii="Times New Roman" w:hAnsi="Times New Roman"/>
          <w:sz w:val="24"/>
          <w:szCs w:val="24"/>
        </w:rPr>
      </w:pPr>
      <w:r w:rsidRPr="00375DDB">
        <w:rPr>
          <w:rFonts w:ascii="Times New Roman" w:hAnsi="Times New Roman"/>
          <w:sz w:val="24"/>
          <w:szCs w:val="24"/>
        </w:rPr>
        <w:t xml:space="preserve">On March 31, 2025, in </w:t>
      </w:r>
      <w:r w:rsidRPr="00375DDB">
        <w:rPr>
          <w:rFonts w:ascii="Times New Roman" w:hAnsi="Times New Roman"/>
          <w:sz w:val="24"/>
          <w:szCs w:val="24"/>
          <w:u w:val="single"/>
        </w:rPr>
        <w:t>Nicole Tynes v. Mayor and City Council of Baltimore</w:t>
      </w:r>
      <w:r w:rsidRPr="00375DDB">
        <w:rPr>
          <w:rFonts w:ascii="Times New Roman" w:hAnsi="Times New Roman"/>
          <w:sz w:val="24"/>
          <w:szCs w:val="24"/>
        </w:rPr>
        <w:t xml:space="preserve">, U.S. District Court Judge Matthew J. Maddox, U.S. District Court for District of Maryland, granted the City’s motion for summary judgment in this lawsuit by black, female alleging retaliation after she filed EEOC complaint.  “On January 12, 2021, PSI placed Plaintiff off-duty through August 31, 2021, due to a non-line-of-duty surgery…. Plaintiff experienced post-op complications…. Because she was out for more than six months, Plaintiff was required to take an RTD [return to duty] exam. Plaintiff was unable to pass the RTD, and she was emotional and appeared distraught…. As a result of being placed back </w:t>
      </w:r>
      <w:proofErr w:type="gramStart"/>
      <w:r w:rsidRPr="00375DDB">
        <w:rPr>
          <w:rFonts w:ascii="Times New Roman" w:hAnsi="Times New Roman"/>
          <w:sz w:val="24"/>
          <w:szCs w:val="24"/>
        </w:rPr>
        <w:t>off-duty</w:t>
      </w:r>
      <w:proofErr w:type="gramEnd"/>
      <w:r w:rsidRPr="00375DDB">
        <w:rPr>
          <w:rFonts w:ascii="Times New Roman" w:hAnsi="Times New Roman"/>
          <w:sz w:val="24"/>
          <w:szCs w:val="24"/>
        </w:rPr>
        <w:t xml:space="preserve"> by PSI [Mercy Hospital Public Safety Infirmary]. Plaintiff was sent an updated Expiration of Medical (“EOM”) Notification dated September 2, 2021…. </w:t>
      </w:r>
    </w:p>
    <w:p w14:paraId="32962910" w14:textId="1C73FE4B" w:rsidR="00A110F1" w:rsidRPr="00375DDB" w:rsidRDefault="00A110F1" w:rsidP="00A110F1">
      <w:pPr>
        <w:rPr>
          <w:rFonts w:ascii="Times New Roman" w:hAnsi="Times New Roman"/>
          <w:sz w:val="24"/>
          <w:szCs w:val="24"/>
        </w:rPr>
      </w:pPr>
      <w:r w:rsidRPr="00375DDB">
        <w:rPr>
          <w:rFonts w:ascii="Times New Roman" w:hAnsi="Times New Roman"/>
          <w:sz w:val="24"/>
          <w:szCs w:val="24"/>
        </w:rPr>
        <w:t>Plaintiff's remaining retaliation claim is based on her termination from the Fire Department after she failed to return to work on September 8, 2021…</w:t>
      </w:r>
      <w:r w:rsidRPr="00375DDB">
        <w:rPr>
          <w:rFonts w:ascii="Times New Roman" w:hAnsi="Times New Roman"/>
          <w:sz w:val="24"/>
          <w:szCs w:val="24"/>
          <w:vertAlign w:val="superscript"/>
        </w:rPr>
        <w:t xml:space="preserve">. </w:t>
      </w:r>
      <w:r w:rsidRPr="00375DDB">
        <w:rPr>
          <w:rFonts w:ascii="Times New Roman" w:hAnsi="Times New Roman"/>
          <w:sz w:val="24"/>
          <w:szCs w:val="24"/>
        </w:rPr>
        <w:t>Defendant has produced a legitimate, non-retaliatory reason for terminating Plaintiff: that her medical leave expired, and she did not return to work.</w:t>
      </w:r>
      <w:r w:rsidRPr="00375DDB">
        <w:rPr>
          <w:rFonts w:ascii="Times New Roman" w:hAnsi="Times New Roman"/>
          <w:sz w:val="24"/>
          <w:szCs w:val="24"/>
          <w:vertAlign w:val="superscript"/>
        </w:rPr>
        <w:t xml:space="preserve">” </w:t>
      </w:r>
      <w:hyperlink r:id="rId1558" w:history="1">
        <w:r w:rsidRPr="00375DDB">
          <w:rPr>
            <w:rStyle w:val="Hyperlink"/>
            <w:rFonts w:ascii="Times New Roman" w:hAnsi="Times New Roman"/>
            <w:sz w:val="24"/>
            <w:szCs w:val="24"/>
          </w:rPr>
          <w:t>https://public.fastcase.com/jaEE2PXzRXmZ99jOLMt1IvrAn%2Bvx0cgAdRJLFzEVE5rZOK58n0UQBGfcsDJAKHyq3V35FHlAbNqGcC8r8dPNnejcnyefccFrDQkDZXnULhU%3D?utm_medium=email&amp;_hsenc=p2ANqtz-8kewSXPlrcM1MOnAYiHvCPklkrBuM3zyFieXeXxpBY7QJCt7ROBRst2YRlv6uOnNoYQgLAyEZN4abHQWMttR1q6BIDag&amp;_hsmi=226712652&amp;utm_content=226712652&amp;utm_source=hs_email</w:t>
        </w:r>
      </w:hyperlink>
    </w:p>
    <w:p w14:paraId="77DE6A92" w14:textId="77777777" w:rsidR="00375DDB" w:rsidRPr="00375DDB" w:rsidRDefault="00375DDB" w:rsidP="00375DDB">
      <w:pPr>
        <w:pStyle w:val="NoSpacing"/>
        <w:rPr>
          <w:rFonts w:ascii="Times New Roman" w:hAnsi="Times New Roman"/>
          <w:b/>
          <w:sz w:val="24"/>
          <w:szCs w:val="24"/>
        </w:rPr>
      </w:pPr>
      <w:r w:rsidRPr="00375DDB">
        <w:rPr>
          <w:rFonts w:ascii="Times New Roman" w:hAnsi="Times New Roman"/>
          <w:b/>
          <w:sz w:val="24"/>
          <w:szCs w:val="24"/>
        </w:rPr>
        <w:t>Legal Lesson Learned:  FD produced legitimate reason for terminating the firefighter, and plaintiff failed to show pretext.</w:t>
      </w:r>
    </w:p>
    <w:p w14:paraId="2AAB5B86" w14:textId="77777777" w:rsidR="00375DDB" w:rsidRDefault="00375DDB" w:rsidP="00375DDB">
      <w:pPr>
        <w:pStyle w:val="NoSpacing"/>
        <w:rPr>
          <w:bCs/>
        </w:rPr>
      </w:pPr>
    </w:p>
    <w:p w14:paraId="48A6D0C9" w14:textId="77777777" w:rsidR="00375DDB" w:rsidRDefault="00375DDB" w:rsidP="00A110F1">
      <w:pPr>
        <w:rPr>
          <w:rFonts w:ascii="Arial Black" w:hAnsi="Arial Black"/>
          <w:b/>
          <w:sz w:val="24"/>
          <w:szCs w:val="24"/>
        </w:rPr>
      </w:pPr>
    </w:p>
    <w:p w14:paraId="3AB97586" w14:textId="2FAE3152" w:rsidR="00375DDB" w:rsidRDefault="00375DDB" w:rsidP="00A110F1">
      <w:pPr>
        <w:rPr>
          <w:rFonts w:ascii="Arial Black" w:hAnsi="Arial Black"/>
          <w:b/>
          <w:sz w:val="24"/>
          <w:szCs w:val="24"/>
        </w:rPr>
      </w:pPr>
      <w:r>
        <w:rPr>
          <w:rFonts w:ascii="Arial Black" w:hAnsi="Arial Black"/>
          <w:b/>
          <w:sz w:val="24"/>
          <w:szCs w:val="24"/>
        </w:rPr>
        <w:t>8-72</w:t>
      </w:r>
    </w:p>
    <w:p w14:paraId="677527B3" w14:textId="77777777" w:rsidR="001F52D2" w:rsidRPr="00A158C4" w:rsidRDefault="001F52D2" w:rsidP="001F52D2">
      <w:pPr>
        <w:pStyle w:val="NoSpacing"/>
        <w:rPr>
          <w:rFonts w:ascii="Arial Black" w:hAnsi="Arial Black"/>
          <w:b/>
          <w:sz w:val="28"/>
          <w:szCs w:val="28"/>
        </w:rPr>
      </w:pPr>
      <w:r>
        <w:rPr>
          <w:rFonts w:ascii="Arial Black" w:hAnsi="Arial Black"/>
          <w:b/>
          <w:sz w:val="28"/>
          <w:szCs w:val="28"/>
        </w:rPr>
        <w:t>PA: REVERSE DISC ALLEGED – WHITE NOT PROMOTED</w:t>
      </w:r>
    </w:p>
    <w:p w14:paraId="1480FE28" w14:textId="77777777" w:rsidR="001F52D2" w:rsidRDefault="001F52D2" w:rsidP="001F52D2">
      <w:pPr>
        <w:pStyle w:val="NoSpacing"/>
      </w:pPr>
    </w:p>
    <w:p w14:paraId="460EB872" w14:textId="77777777" w:rsidR="00EA4EB5" w:rsidRPr="00A158C4" w:rsidRDefault="001F52D2" w:rsidP="00EA4EB5">
      <w:pPr>
        <w:pStyle w:val="NoSpacing"/>
      </w:pPr>
      <w:r w:rsidRPr="009353BA">
        <w:rPr>
          <w:rFonts w:ascii="Times New Roman" w:hAnsi="Times New Roman"/>
          <w:sz w:val="24"/>
          <w:szCs w:val="24"/>
        </w:rPr>
        <w:t xml:space="preserve">On March 19, 2025, in </w:t>
      </w:r>
      <w:r w:rsidRPr="009353BA">
        <w:rPr>
          <w:rFonts w:ascii="Times New Roman" w:hAnsi="Times New Roman"/>
          <w:sz w:val="24"/>
          <w:szCs w:val="24"/>
          <w:u w:val="single"/>
        </w:rPr>
        <w:t>Jared Jacobson v. City of Philadelphia</w:t>
      </w:r>
      <w:r w:rsidRPr="009353BA">
        <w:rPr>
          <w:rFonts w:ascii="Times New Roman" w:hAnsi="Times New Roman"/>
          <w:sz w:val="24"/>
          <w:szCs w:val="24"/>
        </w:rPr>
        <w:t xml:space="preserve">, U.S. District Court Judge R. Barclay Surrick, U.S. District Court for Eastern District of Pennsylvania, denied the City’s motion for summary judgment.  In </w:t>
      </w:r>
      <w:proofErr w:type="gramStart"/>
      <w:r w:rsidRPr="009353BA">
        <w:rPr>
          <w:rFonts w:ascii="Times New Roman" w:hAnsi="Times New Roman"/>
          <w:sz w:val="24"/>
          <w:szCs w:val="24"/>
        </w:rPr>
        <w:t>April,</w:t>
      </w:r>
      <w:proofErr w:type="gramEnd"/>
      <w:r w:rsidRPr="009353BA">
        <w:rPr>
          <w:rFonts w:ascii="Times New Roman" w:hAnsi="Times New Roman"/>
          <w:sz w:val="24"/>
          <w:szCs w:val="24"/>
        </w:rPr>
        <w:t xml:space="preserve"> 2021, two chief officers (one black, one white) applied for promotion Assistant Deputy Commissioner of Emergency Medical Services. The position was not posted until April 28, 2021, the day after Martin McCall (black) was promoted to </w:t>
      </w:r>
      <w:proofErr w:type="gramStart"/>
      <w:r w:rsidRPr="009353BA">
        <w:rPr>
          <w:rFonts w:ascii="Times New Roman" w:hAnsi="Times New Roman"/>
          <w:sz w:val="24"/>
          <w:szCs w:val="24"/>
        </w:rPr>
        <w:t>a</w:t>
      </w:r>
      <w:r w:rsidR="009353BA">
        <w:rPr>
          <w:rFonts w:ascii="Times New Roman" w:hAnsi="Times New Roman"/>
          <w:sz w:val="24"/>
          <w:szCs w:val="24"/>
        </w:rPr>
        <w:t xml:space="preserve"> </w:t>
      </w:r>
      <w:r w:rsidRPr="009353BA">
        <w:rPr>
          <w:rFonts w:ascii="Times New Roman" w:hAnsi="Times New Roman"/>
          <w:sz w:val="24"/>
          <w:szCs w:val="24"/>
        </w:rPr>
        <w:t>chief</w:t>
      </w:r>
      <w:proofErr w:type="gramEnd"/>
      <w:r w:rsidRPr="009353BA">
        <w:rPr>
          <w:rFonts w:ascii="Times New Roman" w:hAnsi="Times New Roman"/>
          <w:sz w:val="24"/>
          <w:szCs w:val="24"/>
        </w:rPr>
        <w:t xml:space="preserve"> officer and then eligible for the position.  They were interviewed by a three-member panel appointed by Fire Commissioner Adam Thiel:  Crystal Yates, who was retiring from the position; Deputy Commissioner Craig Murphy, and Deputy Commissioner Tara Mohr.  After the interviews, the panel members submitted their lists of pros and cons to Murphy and Yates, but   “the record is unclear regarding what role various members of the Executive Team played in making a final recommendation to Thiel… Yates testified that she did not know why McCall was selected and that she ‘wasn't a part of the selection[.]' (Yates Dep. at 41, 44-45.) … The panel recommended did not record, score, and rank the answers…. Although Defendant's motion for summary judgment presents a close call, contradictions regarding who was involved in decision-making coupled with the timing of interviews the day after McCall became chief could permit a reasonable factfinder to doubt Defendant's proffered rationale and infer discrimination. Defendant's motion will therefore be denied.” </w:t>
      </w:r>
      <w:hyperlink r:id="rId1559" w:history="1">
        <w:r w:rsidR="00EA4EB5" w:rsidRPr="00961C46">
          <w:rPr>
            <w:rStyle w:val="Hyperlink"/>
          </w:rPr>
          <w:t>https://public.fastcase.com/jaEE2PXzRXmZ99jOLMt1Ig73AWbHngoMRgpe4nLWTO53aGFBbi44KCyxbclUQNrRtdkO5InHzTjZEyqBZ0TTu4M3XLXcJtKtBwk6Y3SN%2BfM%3D?utm_medium=email&amp;_hsenc=p2ANqtz--YVrLxgHNVQCg2RIMQiS4XSu1REbqHDD3q7IV_og8sZIryoVLFG1HLWpJaCKB-X4Qy5JqtbBdGIwkTCURiibvlDX5J7A&amp;_hsmi=226712652&amp;utm_content=226712652&amp;utm_source=hs_email</w:t>
        </w:r>
      </w:hyperlink>
      <w:r w:rsidR="00EA4EB5">
        <w:t xml:space="preserve"> </w:t>
      </w:r>
    </w:p>
    <w:p w14:paraId="3DC6D03F" w14:textId="77777777" w:rsidR="00EA4EB5" w:rsidRDefault="00EA4EB5" w:rsidP="00EA4EB5">
      <w:pPr>
        <w:pStyle w:val="NoSpacing"/>
      </w:pPr>
    </w:p>
    <w:p w14:paraId="50475A87" w14:textId="77777777" w:rsidR="00761812" w:rsidRPr="00761812" w:rsidRDefault="00761812" w:rsidP="00761812">
      <w:pPr>
        <w:pStyle w:val="NoSpacing"/>
        <w:rPr>
          <w:rFonts w:ascii="Times New Roman" w:hAnsi="Times New Roman"/>
          <w:b/>
          <w:bCs/>
          <w:sz w:val="24"/>
          <w:szCs w:val="24"/>
        </w:rPr>
      </w:pPr>
      <w:r w:rsidRPr="00761812">
        <w:rPr>
          <w:rFonts w:ascii="Times New Roman" w:hAnsi="Times New Roman"/>
          <w:b/>
          <w:sz w:val="24"/>
          <w:szCs w:val="24"/>
        </w:rPr>
        <w:t>Legal Lesson Learned:  When conducting panel interviews, it is good practice for panel members to keep scores and notes.</w:t>
      </w:r>
    </w:p>
    <w:p w14:paraId="634380B9" w14:textId="77777777" w:rsidR="00375DDB" w:rsidRPr="00761812" w:rsidRDefault="00375DDB" w:rsidP="00A110F1">
      <w:pPr>
        <w:rPr>
          <w:rFonts w:ascii="Times New Roman" w:hAnsi="Times New Roman"/>
          <w:b/>
          <w:sz w:val="24"/>
          <w:szCs w:val="24"/>
        </w:rPr>
      </w:pPr>
    </w:p>
    <w:p w14:paraId="74DE081E" w14:textId="77777777" w:rsidR="000B584F" w:rsidRDefault="000B584F" w:rsidP="00BC70A3">
      <w:pPr>
        <w:rPr>
          <w:rFonts w:ascii="Arial Black" w:hAnsi="Arial Black"/>
          <w:b/>
          <w:sz w:val="24"/>
          <w:szCs w:val="24"/>
        </w:rPr>
      </w:pPr>
    </w:p>
    <w:p w14:paraId="48A6A3CE" w14:textId="1AD19216" w:rsidR="005D5BAD" w:rsidRDefault="005D5BAD" w:rsidP="00BC70A3">
      <w:pPr>
        <w:rPr>
          <w:rFonts w:ascii="Arial Black" w:hAnsi="Arial Black"/>
          <w:b/>
          <w:sz w:val="24"/>
          <w:szCs w:val="24"/>
        </w:rPr>
      </w:pPr>
      <w:r>
        <w:rPr>
          <w:rFonts w:ascii="Arial Black" w:hAnsi="Arial Black"/>
          <w:b/>
          <w:sz w:val="24"/>
          <w:szCs w:val="24"/>
        </w:rPr>
        <w:t>8-71</w:t>
      </w:r>
    </w:p>
    <w:p w14:paraId="2F5AE05D" w14:textId="77777777" w:rsidR="005D5BAD" w:rsidRPr="000B7F2C" w:rsidRDefault="005D5BAD" w:rsidP="005D5BAD">
      <w:pPr>
        <w:rPr>
          <w:rFonts w:ascii="Arial Black" w:hAnsi="Arial Black"/>
          <w:sz w:val="28"/>
          <w:szCs w:val="28"/>
        </w:rPr>
      </w:pPr>
      <w:r w:rsidRPr="000B7F2C">
        <w:rPr>
          <w:rFonts w:ascii="Arial Black" w:hAnsi="Arial Black"/>
          <w:sz w:val="28"/>
          <w:szCs w:val="28"/>
        </w:rPr>
        <w:t>MD:  TRUMP DEI PROGRAMS - PREL. INJUC</w:t>
      </w:r>
      <w:r>
        <w:rPr>
          <w:rFonts w:ascii="Arial Black" w:hAnsi="Arial Black"/>
          <w:sz w:val="28"/>
          <w:szCs w:val="28"/>
        </w:rPr>
        <w:t>TION</w:t>
      </w:r>
      <w:r w:rsidRPr="000B7F2C">
        <w:rPr>
          <w:rFonts w:ascii="Arial Black" w:hAnsi="Arial Black"/>
          <w:sz w:val="28"/>
          <w:szCs w:val="28"/>
        </w:rPr>
        <w:t xml:space="preserve"> </w:t>
      </w:r>
      <w:r>
        <w:rPr>
          <w:rFonts w:ascii="Arial Black" w:hAnsi="Arial Black"/>
          <w:sz w:val="28"/>
          <w:szCs w:val="28"/>
        </w:rPr>
        <w:t>– DOJ FDs</w:t>
      </w:r>
    </w:p>
    <w:p w14:paraId="4C5E1744" w14:textId="77777777" w:rsidR="005D5BAD" w:rsidRPr="005D5BAD" w:rsidRDefault="005D5BAD" w:rsidP="005D5BAD">
      <w:pPr>
        <w:rPr>
          <w:rFonts w:ascii="Times New Roman" w:hAnsi="Times New Roman"/>
          <w:sz w:val="24"/>
          <w:szCs w:val="24"/>
        </w:rPr>
      </w:pPr>
      <w:r w:rsidRPr="005D5BAD">
        <w:rPr>
          <w:rFonts w:ascii="Times New Roman" w:hAnsi="Times New Roman"/>
          <w:sz w:val="24"/>
          <w:szCs w:val="24"/>
        </w:rPr>
        <w:t xml:space="preserve">On Feb. 21, 2025, in </w:t>
      </w:r>
      <w:r w:rsidRPr="005D5BAD">
        <w:rPr>
          <w:rFonts w:ascii="Times New Roman" w:hAnsi="Times New Roman"/>
          <w:sz w:val="24"/>
          <w:szCs w:val="24"/>
          <w:u w:val="single"/>
        </w:rPr>
        <w:t>National Association of Diversity Officers in Higher Education, and American Association of University Professors v. Donald J. Trump, et al</w:t>
      </w:r>
      <w:r w:rsidRPr="005D5BAD">
        <w:rPr>
          <w:rFonts w:ascii="Times New Roman" w:hAnsi="Times New Roman"/>
          <w:sz w:val="24"/>
          <w:szCs w:val="24"/>
        </w:rPr>
        <w:t>., United States District Court Judge Adam B. Abelson in Baltimore issued a nationwide preliminary injunction against the Termination, Certification and Enforcement Threat Provisions of President Trump’s Executive Order of January 20, 2025. However, an appeal is likely to 4</w:t>
      </w:r>
      <w:r w:rsidRPr="005D5BAD">
        <w:rPr>
          <w:rFonts w:ascii="Times New Roman" w:hAnsi="Times New Roman"/>
          <w:sz w:val="24"/>
          <w:szCs w:val="24"/>
          <w:vertAlign w:val="superscript"/>
        </w:rPr>
        <w:t>th</w:t>
      </w:r>
      <w:r w:rsidRPr="005D5BAD">
        <w:rPr>
          <w:rFonts w:ascii="Times New Roman" w:hAnsi="Times New Roman"/>
          <w:sz w:val="24"/>
          <w:szCs w:val="24"/>
        </w:rPr>
        <w:t xml:space="preserve"> Circuit (Richmond) and possibly request to U.S. Supreme Court. [See Note at end of this case review. Feb. 26, 2025, “Attorney General Pam Bondi Dismisses DEI Lawsuits Involving Police Officers and Firefighters, Advances President Trump’s Mandate to End Illegal DEI Policies.”] On Feb. 26, 2024, Attorney General announced </w:t>
      </w:r>
      <w:hyperlink r:id="rId1560" w:history="1">
        <w:r w:rsidRPr="005D5BAD">
          <w:rPr>
            <w:rStyle w:val="Hyperlink"/>
            <w:rFonts w:ascii="Times New Roman" w:hAnsi="Times New Roman"/>
            <w:sz w:val="24"/>
            <w:szCs w:val="24"/>
          </w:rPr>
          <w:t>https://www.justsecurity.org/wp-content/uploads/2025/02/National-Association-of-Diversity-Officers-in-Higher-Education-v.-Trump-feb-21-2025.pdf</w:t>
        </w:r>
      </w:hyperlink>
      <w:r w:rsidRPr="005D5BAD">
        <w:rPr>
          <w:rFonts w:ascii="Times New Roman" w:hAnsi="Times New Roman"/>
          <w:sz w:val="24"/>
          <w:szCs w:val="24"/>
        </w:rPr>
        <w:t xml:space="preserve">. </w:t>
      </w:r>
    </w:p>
    <w:p w14:paraId="50AF707B" w14:textId="77777777" w:rsidR="005D5BAD" w:rsidRPr="005D5BAD" w:rsidRDefault="005D5BAD" w:rsidP="005D5BAD">
      <w:pPr>
        <w:rPr>
          <w:rFonts w:ascii="Times New Roman" w:hAnsi="Times New Roman"/>
          <w:sz w:val="24"/>
          <w:szCs w:val="24"/>
        </w:rPr>
      </w:pPr>
      <w:r w:rsidRPr="005D5BAD">
        <w:rPr>
          <w:rFonts w:ascii="Times New Roman" w:hAnsi="Times New Roman"/>
          <w:sz w:val="24"/>
          <w:szCs w:val="24"/>
        </w:rPr>
        <w:t>Judge Abelson wrote:</w:t>
      </w:r>
    </w:p>
    <w:p w14:paraId="757B0449" w14:textId="77777777" w:rsidR="005D5BAD" w:rsidRPr="005D5BAD" w:rsidRDefault="005D5BAD" w:rsidP="005D5BAD">
      <w:pPr>
        <w:pStyle w:val="NoSpacing"/>
        <w:ind w:left="720"/>
        <w:rPr>
          <w:rFonts w:ascii="Times New Roman" w:hAnsi="Times New Roman"/>
          <w:sz w:val="24"/>
          <w:szCs w:val="24"/>
        </w:rPr>
      </w:pPr>
      <w:r w:rsidRPr="005D5BAD">
        <w:rPr>
          <w:rFonts w:ascii="Times New Roman" w:hAnsi="Times New Roman"/>
          <w:sz w:val="24"/>
          <w:szCs w:val="24"/>
        </w:rPr>
        <w:t>“Plaintiffs are likely to succeed on their claim that the Enforcement Threat Provision, § 4(b)(iii) of the J21 Order, violates the First Amendment, because it threatens to initiate enforcement actions against Plaintiffs (in the form of civil compliance investigations) for engaging in protected speech…. The Enforcement Threat Provision applies broadly to the private sector; therefore, unlike with the other provisions, the analysis is based on pure private speech regulated by the First Amendment as opposed to the speech of federal contractors or grantees.</w:t>
      </w:r>
    </w:p>
    <w:p w14:paraId="0B604A0D" w14:textId="77777777" w:rsidR="005D5BAD" w:rsidRPr="005D5BAD" w:rsidRDefault="005D5BAD" w:rsidP="005D5BAD">
      <w:pPr>
        <w:pStyle w:val="NoSpacing"/>
        <w:rPr>
          <w:rFonts w:ascii="Times New Roman" w:hAnsi="Times New Roman"/>
          <w:sz w:val="24"/>
          <w:szCs w:val="24"/>
        </w:rPr>
      </w:pPr>
      <w:r w:rsidRPr="005D5BAD">
        <w:rPr>
          <w:rFonts w:ascii="Times New Roman" w:hAnsi="Times New Roman"/>
          <w:sz w:val="24"/>
          <w:szCs w:val="24"/>
        </w:rPr>
        <w:tab/>
      </w:r>
    </w:p>
    <w:p w14:paraId="08058CFF" w14:textId="77777777" w:rsidR="005D5BAD" w:rsidRPr="005D5BAD" w:rsidRDefault="005D5BAD" w:rsidP="005D5BAD">
      <w:pPr>
        <w:pStyle w:val="NoSpacing"/>
        <w:ind w:firstLine="720"/>
        <w:rPr>
          <w:rFonts w:ascii="Times New Roman" w:hAnsi="Times New Roman"/>
          <w:sz w:val="24"/>
          <w:szCs w:val="24"/>
        </w:rPr>
      </w:pPr>
      <w:r w:rsidRPr="005D5BAD">
        <w:rPr>
          <w:rFonts w:ascii="Times New Roman" w:hAnsi="Times New Roman"/>
          <w:sz w:val="24"/>
          <w:szCs w:val="24"/>
        </w:rPr>
        <w:t>***</w:t>
      </w:r>
    </w:p>
    <w:p w14:paraId="57FED5EC" w14:textId="77777777" w:rsidR="005D5BAD" w:rsidRPr="005D5BAD" w:rsidRDefault="005D5BAD" w:rsidP="005D5BAD">
      <w:pPr>
        <w:pStyle w:val="NoSpacing"/>
        <w:ind w:left="720"/>
        <w:rPr>
          <w:rFonts w:ascii="Times New Roman" w:hAnsi="Times New Roman"/>
          <w:sz w:val="24"/>
          <w:szCs w:val="24"/>
        </w:rPr>
      </w:pPr>
      <w:r w:rsidRPr="005D5BAD">
        <w:rPr>
          <w:rFonts w:ascii="Times New Roman" w:hAnsi="Times New Roman"/>
          <w:sz w:val="24"/>
          <w:szCs w:val="24"/>
        </w:rPr>
        <w:t xml:space="preserve">The White House and Attorney General have made clear, through their ongoing implementation of various aspects of the J21 Order, that viewpoints and speech considered to be in favor of or supportive of DEI or DEIA are viewpoints the government wishes to punish and, apparently, attempt to </w:t>
      </w:r>
      <w:proofErr w:type="gramStart"/>
      <w:r w:rsidRPr="005D5BAD">
        <w:rPr>
          <w:rFonts w:ascii="Times New Roman" w:hAnsi="Times New Roman"/>
          <w:sz w:val="24"/>
          <w:szCs w:val="24"/>
        </w:rPr>
        <w:t>extinguish.”</w:t>
      </w:r>
      <w:proofErr w:type="gramEnd"/>
    </w:p>
    <w:p w14:paraId="66619CEB" w14:textId="77777777" w:rsidR="005D5BAD" w:rsidRPr="005D5BAD" w:rsidRDefault="005D5BAD" w:rsidP="005D5BAD">
      <w:pPr>
        <w:pStyle w:val="NoSpacing"/>
        <w:rPr>
          <w:rFonts w:ascii="Times New Roman" w:hAnsi="Times New Roman"/>
          <w:sz w:val="24"/>
          <w:szCs w:val="24"/>
        </w:rPr>
      </w:pPr>
    </w:p>
    <w:p w14:paraId="49CDC993" w14:textId="77777777" w:rsidR="005D5BAD" w:rsidRPr="005D5BAD" w:rsidRDefault="005D5BAD" w:rsidP="005D5BAD">
      <w:pPr>
        <w:pStyle w:val="NoSpacing"/>
        <w:rPr>
          <w:rFonts w:ascii="Times New Roman" w:hAnsi="Times New Roman"/>
          <w:b/>
          <w:bCs/>
          <w:sz w:val="24"/>
          <w:szCs w:val="24"/>
        </w:rPr>
      </w:pPr>
      <w:r w:rsidRPr="005D5BAD">
        <w:rPr>
          <w:rFonts w:ascii="Times New Roman" w:hAnsi="Times New Roman"/>
          <w:b/>
          <w:sz w:val="24"/>
          <w:szCs w:val="24"/>
        </w:rPr>
        <w:t>Legal Lesson Learned: Fire &amp; EMS departments with federal grants or contracts may be required to certify that they are complying with DEI Executive Order. Consult with your legal counsel.</w:t>
      </w:r>
    </w:p>
    <w:p w14:paraId="636198FE" w14:textId="77777777" w:rsidR="00C16DE2" w:rsidRDefault="00C16DE2" w:rsidP="005D5BAD">
      <w:pPr>
        <w:ind w:firstLine="720"/>
        <w:rPr>
          <w:rFonts w:ascii="Times New Roman" w:hAnsi="Times New Roman"/>
          <w:sz w:val="24"/>
          <w:szCs w:val="24"/>
        </w:rPr>
      </w:pPr>
    </w:p>
    <w:p w14:paraId="79BB3A3A" w14:textId="43565E04" w:rsidR="005D5BAD" w:rsidRPr="005D5BAD" w:rsidRDefault="005D5BAD" w:rsidP="005D5BAD">
      <w:pPr>
        <w:ind w:firstLine="720"/>
        <w:rPr>
          <w:rFonts w:ascii="Times New Roman" w:hAnsi="Times New Roman"/>
          <w:sz w:val="24"/>
          <w:szCs w:val="24"/>
        </w:rPr>
      </w:pPr>
      <w:r w:rsidRPr="005D5BAD">
        <w:rPr>
          <w:rFonts w:ascii="Times New Roman" w:hAnsi="Times New Roman"/>
          <w:sz w:val="24"/>
          <w:szCs w:val="24"/>
        </w:rPr>
        <w:t>Note:</w:t>
      </w:r>
    </w:p>
    <w:p w14:paraId="1EB5CF43" w14:textId="77777777" w:rsidR="005D5BAD" w:rsidRPr="005D5BAD" w:rsidRDefault="005D5BAD" w:rsidP="005D5BAD">
      <w:pPr>
        <w:ind w:left="720"/>
        <w:rPr>
          <w:rFonts w:ascii="Times New Roman" w:hAnsi="Times New Roman"/>
          <w:bCs/>
          <w:sz w:val="24"/>
          <w:szCs w:val="24"/>
        </w:rPr>
      </w:pPr>
      <w:r w:rsidRPr="005D5BAD">
        <w:rPr>
          <w:rFonts w:ascii="Times New Roman" w:hAnsi="Times New Roman"/>
          <w:sz w:val="24"/>
          <w:szCs w:val="24"/>
        </w:rPr>
        <w:t xml:space="preserve">On Feb. 26, 2025, Press Release: “Attorney General Pam Bondi Dismisses DEI Lawsuits Involving Police Officers and Firefighters, Advances President Trump’s Mandate to End Illegal DEI Policies.” </w:t>
      </w:r>
      <w:hyperlink r:id="rId1561" w:history="1">
        <w:r w:rsidRPr="005D5BAD">
          <w:rPr>
            <w:rStyle w:val="Hyperlink"/>
            <w:rFonts w:ascii="Times New Roman" w:hAnsi="Times New Roman"/>
            <w:sz w:val="24"/>
            <w:szCs w:val="24"/>
          </w:rPr>
          <w:t>https://www.justice.gov/opa/pr/attorney-general-pam-bondi-dismisses-dei-lawsuits-involving-police-officers-and-firefighters</w:t>
        </w:r>
      </w:hyperlink>
      <w:r w:rsidRPr="005D5BAD">
        <w:rPr>
          <w:rFonts w:ascii="Times New Roman" w:hAnsi="Times New Roman"/>
          <w:sz w:val="24"/>
          <w:szCs w:val="24"/>
        </w:rPr>
        <w:t xml:space="preserve"> </w:t>
      </w:r>
    </w:p>
    <w:p w14:paraId="3FDD117C" w14:textId="77777777" w:rsidR="005D5BAD" w:rsidRPr="005D5BAD" w:rsidRDefault="005D5BAD" w:rsidP="005D5BAD">
      <w:pPr>
        <w:ind w:left="720"/>
        <w:rPr>
          <w:rFonts w:ascii="Times New Roman" w:hAnsi="Times New Roman"/>
          <w:sz w:val="24"/>
          <w:szCs w:val="24"/>
        </w:rPr>
      </w:pPr>
      <w:r w:rsidRPr="005D5BAD">
        <w:rPr>
          <w:rFonts w:ascii="Times New Roman" w:hAnsi="Times New Roman"/>
          <w:sz w:val="24"/>
          <w:szCs w:val="24"/>
        </w:rPr>
        <w:t>See 2/27/2025 article:</w:t>
      </w:r>
      <w:r w:rsidRPr="005D5BAD">
        <w:rPr>
          <w:rFonts w:ascii="Times New Roman" w:hAnsi="Times New Roman"/>
          <w:b/>
          <w:sz w:val="24"/>
          <w:szCs w:val="24"/>
        </w:rPr>
        <w:t xml:space="preserve"> “</w:t>
      </w:r>
      <w:hyperlink r:id="rId1562" w:tgtFrame="_blank" w:history="1">
        <w:r w:rsidRPr="005D5BAD">
          <w:rPr>
            <w:rStyle w:val="Hyperlink"/>
            <w:rFonts w:ascii="Times New Roman" w:hAnsi="Times New Roman"/>
            <w:sz w:val="24"/>
            <w:szCs w:val="24"/>
          </w:rPr>
          <w:t>Justice Department Drops Alleged Discriminatory First Responder Hiring Cases In DEI Rollback</w:t>
        </w:r>
      </w:hyperlink>
      <w:r w:rsidRPr="005D5BAD">
        <w:rPr>
          <w:rFonts w:ascii="Times New Roman" w:hAnsi="Times New Roman"/>
          <w:sz w:val="24"/>
          <w:szCs w:val="24"/>
        </w:rPr>
        <w:t>…. A Justice Department official said the administration is walking away from four cases, including one that led to a settlement agreement resolving an </w:t>
      </w:r>
      <w:hyperlink r:id="rId1563" w:tgtFrame="_blank" w:history="1">
        <w:r w:rsidRPr="005D5BAD">
          <w:rPr>
            <w:rStyle w:val="Hyperlink"/>
            <w:rFonts w:ascii="Times New Roman" w:hAnsi="Times New Roman"/>
            <w:sz w:val="24"/>
            <w:szCs w:val="24"/>
          </w:rPr>
          <w:t>investigation</w:t>
        </w:r>
      </w:hyperlink>
      <w:r w:rsidRPr="005D5BAD">
        <w:rPr>
          <w:rFonts w:ascii="Times New Roman" w:hAnsi="Times New Roman"/>
          <w:sz w:val="24"/>
          <w:szCs w:val="24"/>
        </w:rPr>
        <w:t> into discriminatory hiring practices affecting Black and female applicants to the Maryland State Police. It’s part of a broader effort by President Donald Trump’s administration to roll back initiatives and programs promoting </w:t>
      </w:r>
      <w:hyperlink r:id="rId1564" w:tgtFrame="_blank" w:history="1">
        <w:r w:rsidRPr="005D5BAD">
          <w:rPr>
            <w:rStyle w:val="Hyperlink"/>
            <w:rFonts w:ascii="Times New Roman" w:hAnsi="Times New Roman"/>
            <w:sz w:val="24"/>
            <w:szCs w:val="24"/>
          </w:rPr>
          <w:t>diversity, equity and inclusion</w:t>
        </w:r>
      </w:hyperlink>
      <w:r w:rsidRPr="005D5BAD">
        <w:rPr>
          <w:rFonts w:ascii="Times New Roman" w:hAnsi="Times New Roman"/>
          <w:sz w:val="24"/>
          <w:szCs w:val="24"/>
        </w:rPr>
        <w:t>, which Republicans contend threaten </w:t>
      </w:r>
      <w:hyperlink r:id="rId1565" w:tgtFrame="_blank" w:history="1">
        <w:r w:rsidRPr="005D5BAD">
          <w:rPr>
            <w:rStyle w:val="Hyperlink"/>
            <w:rFonts w:ascii="Times New Roman" w:hAnsi="Times New Roman"/>
            <w:sz w:val="24"/>
            <w:szCs w:val="24"/>
          </w:rPr>
          <w:t>merit-based hiring</w:t>
        </w:r>
      </w:hyperlink>
      <w:r w:rsidRPr="005D5BAD">
        <w:rPr>
          <w:rFonts w:ascii="Times New Roman" w:hAnsi="Times New Roman"/>
          <w:sz w:val="24"/>
          <w:szCs w:val="24"/>
        </w:rPr>
        <w:t xml:space="preserve">…. Other cases were related to fire or police departments in North Carolina, Georgia, and Indiana, Mizelle said.” </w:t>
      </w:r>
      <w:hyperlink r:id="rId1566" w:history="1">
        <w:r w:rsidRPr="005D5BAD">
          <w:rPr>
            <w:rStyle w:val="Hyperlink"/>
            <w:rFonts w:ascii="Times New Roman" w:hAnsi="Times New Roman"/>
            <w:sz w:val="24"/>
            <w:szCs w:val="24"/>
          </w:rPr>
          <w:t>https://www.firerescue1.com/legal/justice-department-drops-alleged-discriminatory-ff-hiring-cases-in-dei-rollback?utm_source=delivra&amp;utm_medium=email&amp;utm_campaign=FR1-Daily-2-27-25&amp;utm_id=8566464&amp;dlv-emuid=fed355b8-46a2-4fa4-b55c-4d602dde33c4&amp;dlv-mlid=8566464</w:t>
        </w:r>
      </w:hyperlink>
      <w:r w:rsidRPr="005D5BAD">
        <w:rPr>
          <w:rFonts w:ascii="Times New Roman" w:hAnsi="Times New Roman"/>
          <w:sz w:val="24"/>
          <w:szCs w:val="24"/>
        </w:rPr>
        <w:t xml:space="preserve"> </w:t>
      </w:r>
    </w:p>
    <w:p w14:paraId="1EF49B37" w14:textId="77777777" w:rsidR="005D5BAD" w:rsidRPr="005D5BAD" w:rsidRDefault="005D5BAD" w:rsidP="005D5BAD">
      <w:pPr>
        <w:rPr>
          <w:rFonts w:ascii="Times New Roman" w:hAnsi="Times New Roman"/>
          <w:sz w:val="24"/>
          <w:szCs w:val="24"/>
        </w:rPr>
      </w:pPr>
    </w:p>
    <w:p w14:paraId="32C3451D" w14:textId="76B8313B" w:rsidR="00384B2F" w:rsidRDefault="00384B2F" w:rsidP="00BC70A3">
      <w:pPr>
        <w:rPr>
          <w:rFonts w:ascii="Arial Black" w:hAnsi="Arial Black"/>
          <w:b/>
          <w:sz w:val="24"/>
          <w:szCs w:val="24"/>
        </w:rPr>
      </w:pPr>
      <w:r>
        <w:rPr>
          <w:rFonts w:ascii="Arial Black" w:hAnsi="Arial Black"/>
          <w:b/>
          <w:sz w:val="24"/>
          <w:szCs w:val="24"/>
        </w:rPr>
        <w:t>8-70</w:t>
      </w:r>
    </w:p>
    <w:p w14:paraId="7DCD2B9E" w14:textId="77777777" w:rsidR="00384B2F" w:rsidRDefault="00384B2F" w:rsidP="00384B2F">
      <w:pPr>
        <w:pStyle w:val="NoSpacing"/>
        <w:rPr>
          <w:rFonts w:ascii="Arial Black" w:hAnsi="Arial Black"/>
          <w:sz w:val="28"/>
          <w:szCs w:val="28"/>
        </w:rPr>
      </w:pPr>
      <w:r>
        <w:rPr>
          <w:rFonts w:ascii="Arial Black" w:hAnsi="Arial Black"/>
          <w:sz w:val="28"/>
          <w:szCs w:val="28"/>
        </w:rPr>
        <w:t>AL: BLACK CAPT – NOT PROM. BC – FD DOC. INCOMPLETE</w:t>
      </w:r>
    </w:p>
    <w:p w14:paraId="430F45B5" w14:textId="77777777" w:rsidR="00384B2F" w:rsidRDefault="00384B2F" w:rsidP="00384B2F">
      <w:pPr>
        <w:pStyle w:val="NoSpacing"/>
      </w:pPr>
    </w:p>
    <w:p w14:paraId="3BF20D97" w14:textId="77777777" w:rsidR="00384B2F" w:rsidRPr="00457441" w:rsidRDefault="00384B2F" w:rsidP="00384B2F">
      <w:pPr>
        <w:pStyle w:val="NoSpacing"/>
        <w:rPr>
          <w:rFonts w:ascii="Times New Roman" w:hAnsi="Times New Roman"/>
          <w:sz w:val="24"/>
          <w:szCs w:val="24"/>
        </w:rPr>
      </w:pPr>
      <w:r w:rsidRPr="00457441">
        <w:rPr>
          <w:rFonts w:ascii="Times New Roman" w:hAnsi="Times New Roman"/>
          <w:sz w:val="24"/>
          <w:szCs w:val="24"/>
        </w:rPr>
        <w:t xml:space="preserve">On Jan. 24, 2025, in </w:t>
      </w:r>
      <w:r w:rsidRPr="00457441">
        <w:rPr>
          <w:rFonts w:ascii="Times New Roman" w:hAnsi="Times New Roman"/>
          <w:sz w:val="24"/>
          <w:szCs w:val="24"/>
          <w:u w:val="single"/>
        </w:rPr>
        <w:t>Demetrius Webb v. City of Homewood, Alabama, et al.</w:t>
      </w:r>
      <w:r w:rsidRPr="00457441">
        <w:rPr>
          <w:rFonts w:ascii="Times New Roman" w:hAnsi="Times New Roman"/>
          <w:sz w:val="24"/>
          <w:szCs w:val="24"/>
        </w:rPr>
        <w:t xml:space="preserve">, U.S. District Court Chief Judge R. David Proctor, Northern District of Alabama, Southern Division, denied the City’s motion for summary judgment.  Retired Captain Webb’s racial discrimination lawsuit will proceed to trial.  In September and October 2020, two Battalion Chief positions became available (4 BC positions on FD); two whites were promoted under Fire Chiefs’ new process - no outside interviews, only Fire Chief’s matrix of skills (plaintiff scored lowest of 8 applicants; all other BC were medics).  The city submitted a matrix showing all scores by the Fire Chief, EXCEPT the matrix did not include scores of the two promoted.  </w:t>
      </w:r>
      <w:hyperlink r:id="rId1567" w:history="1">
        <w:r w:rsidRPr="00457441">
          <w:rPr>
            <w:rStyle w:val="Hyperlink"/>
            <w:rFonts w:ascii="Times New Roman" w:hAnsi="Times New Roman"/>
            <w:sz w:val="24"/>
            <w:szCs w:val="24"/>
          </w:rPr>
          <w:t>https://cases.justia.com/federal/district-courts/alabama/alndce/2:2023cv01098/186589/44/0.pdf?ts=1737802006</w:t>
        </w:r>
      </w:hyperlink>
      <w:r w:rsidRPr="00457441">
        <w:rPr>
          <w:rFonts w:ascii="Times New Roman" w:hAnsi="Times New Roman"/>
          <w:sz w:val="24"/>
          <w:szCs w:val="24"/>
        </w:rPr>
        <w:t xml:space="preserve"> </w:t>
      </w:r>
    </w:p>
    <w:p w14:paraId="500035B8" w14:textId="77777777" w:rsidR="00384B2F" w:rsidRPr="00457441" w:rsidRDefault="00384B2F" w:rsidP="00384B2F">
      <w:pPr>
        <w:pStyle w:val="NoSpacing"/>
        <w:rPr>
          <w:rFonts w:ascii="Times New Roman" w:hAnsi="Times New Roman"/>
          <w:sz w:val="24"/>
          <w:szCs w:val="24"/>
        </w:rPr>
      </w:pPr>
    </w:p>
    <w:p w14:paraId="3319A1D8" w14:textId="77777777" w:rsidR="00384B2F" w:rsidRPr="00457441" w:rsidRDefault="00384B2F" w:rsidP="00384B2F">
      <w:pPr>
        <w:pStyle w:val="NoSpacing"/>
        <w:rPr>
          <w:rFonts w:ascii="Times New Roman" w:hAnsi="Times New Roman"/>
          <w:sz w:val="24"/>
          <w:szCs w:val="24"/>
        </w:rPr>
      </w:pPr>
      <w:r w:rsidRPr="00457441">
        <w:rPr>
          <w:rFonts w:ascii="Times New Roman" w:hAnsi="Times New Roman"/>
          <w:sz w:val="24"/>
          <w:szCs w:val="24"/>
        </w:rPr>
        <w:t>The Court wrote:</w:t>
      </w:r>
    </w:p>
    <w:p w14:paraId="7962B8AD" w14:textId="77777777" w:rsidR="00384B2F" w:rsidRPr="00457441" w:rsidRDefault="00384B2F" w:rsidP="00384B2F">
      <w:pPr>
        <w:pStyle w:val="NoSpacing"/>
        <w:rPr>
          <w:rFonts w:ascii="Times New Roman" w:hAnsi="Times New Roman"/>
          <w:sz w:val="24"/>
          <w:szCs w:val="24"/>
        </w:rPr>
      </w:pPr>
    </w:p>
    <w:p w14:paraId="5B53C38D"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“The Battalion Chief position was previously selected by a panel of individuals who interviewed the candidates and evaluated their mission statements….However, when Chief Hill became the Fire Chief in 2020, he decided to do away with the old method because he was concerned that the process of selecting a Battalion Chief was too subjective…. Chief Hill devised his new method for selecting the Battalion Chief position sometime in or around September or October 2020….The new method consisted of an interview by him (as opposed to an interview by a panel) …, a review of the applicants’ resumes … and the creation of a matrix where the applicants’ qualifications were assigned a number value for various levels of qualifications….Regarding the new method, Chief Hill testified that he primarily looked at the applicants’ scores in the matrix and secondarily looked at their resumes….Chief Hill acknowledged that although he interviewed the candidates, the interviews were ‘not really’ a factor in the selection process.</w:t>
      </w:r>
    </w:p>
    <w:p w14:paraId="3781D80F" w14:textId="77777777" w:rsidR="00384B2F" w:rsidRPr="00457441" w:rsidRDefault="00384B2F" w:rsidP="00384B2F">
      <w:pPr>
        <w:pStyle w:val="NoSpacing"/>
        <w:ind w:left="720"/>
        <w:rPr>
          <w:rFonts w:ascii="Times New Roman" w:hAnsi="Times New Roman"/>
          <w:sz w:val="24"/>
          <w:szCs w:val="24"/>
        </w:rPr>
      </w:pPr>
    </w:p>
    <w:p w14:paraId="0B4A7724"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42C962B1" w14:textId="77777777" w:rsidR="00384B2F" w:rsidRPr="00457441" w:rsidRDefault="00384B2F" w:rsidP="00384B2F">
      <w:pPr>
        <w:pStyle w:val="NoSpacing"/>
        <w:rPr>
          <w:rFonts w:ascii="Times New Roman" w:hAnsi="Times New Roman"/>
          <w:sz w:val="24"/>
          <w:szCs w:val="24"/>
        </w:rPr>
      </w:pPr>
    </w:p>
    <w:p w14:paraId="42DBE622"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In his deposition, Chief Hill testified that he conducted only one interview and considered</w:t>
      </w:r>
    </w:p>
    <w:p w14:paraId="09188B49"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the candidates for both positions instead of creating two separate applicant pools…. A</w:t>
      </w:r>
    </w:p>
    <w:p w14:paraId="0DA41656"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Homewood FD document shows the matrix scores of the Battalion Chief candidates as follows: Adam Ashworth, 27; Alexander Glover, 28; Robert Harris, 22; Keith Headrick, 23; Mark Shannon, 29; and Demetrius Webb, 18.</w:t>
      </w:r>
    </w:p>
    <w:p w14:paraId="6AF9982A" w14:textId="77777777" w:rsidR="00384B2F" w:rsidRPr="00457441" w:rsidRDefault="00384B2F" w:rsidP="00384B2F">
      <w:pPr>
        <w:pStyle w:val="NoSpacing"/>
        <w:ind w:left="720"/>
        <w:rPr>
          <w:rFonts w:ascii="Times New Roman" w:hAnsi="Times New Roman"/>
          <w:sz w:val="24"/>
          <w:szCs w:val="24"/>
        </w:rPr>
      </w:pPr>
    </w:p>
    <w:p w14:paraId="044F6292"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7485304F"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However, despite Chief Hill’s testimony and Homewood’s summary judgment argument, the matrix that Homewood submitted into evidence does not include Broadhead and Everson or their scores…. When asked in his deposition, Chief Hill testified that he thought Everson ‘was close to’ the score of 29 …, which is the highest score recorded in the matrix. However, Homewood has not provided any Rule 56 evidence to confirm this. Further, while Everson’s matrix score was discussed briefly, Chief Hill did not provide any information regarding Broadhead’s matrix score or why he was not included on the matrix Homewood submitted into evidence. So, while the matrix indicates that Plaintiff received a score of 18 …, which is the lowest score among the other candidates on the matrix, there is no way to compare Plaintiff’s score to those of Broadhead or Everson. Plaintiff raised these discrepancies in his Response to Defendants’ Motion for Summary Judgment. (</w:t>
      </w:r>
      <w:proofErr w:type="gramStart"/>
      <w:r w:rsidRPr="00457441">
        <w:rPr>
          <w:rFonts w:ascii="Times New Roman" w:hAnsi="Times New Roman"/>
          <w:sz w:val="24"/>
          <w:szCs w:val="24"/>
        </w:rPr>
        <w:t>Doc. #</w:t>
      </w:r>
      <w:proofErr w:type="gramEnd"/>
      <w:r w:rsidRPr="00457441">
        <w:rPr>
          <w:rFonts w:ascii="Times New Roman" w:hAnsi="Times New Roman"/>
          <w:sz w:val="24"/>
          <w:szCs w:val="24"/>
        </w:rPr>
        <w:t xml:space="preserve"> 39 at 17). Homewood made no effort to refute or even respond to this argument. (See </w:t>
      </w:r>
      <w:proofErr w:type="gramStart"/>
      <w:r w:rsidRPr="00457441">
        <w:rPr>
          <w:rFonts w:ascii="Times New Roman" w:hAnsi="Times New Roman"/>
          <w:sz w:val="24"/>
          <w:szCs w:val="24"/>
        </w:rPr>
        <w:t>Doc. #</w:t>
      </w:r>
      <w:proofErr w:type="gramEnd"/>
      <w:r w:rsidRPr="00457441">
        <w:rPr>
          <w:rFonts w:ascii="Times New Roman" w:hAnsi="Times New Roman"/>
          <w:sz w:val="24"/>
          <w:szCs w:val="24"/>
        </w:rPr>
        <w:t xml:space="preserve"> 41).</w:t>
      </w:r>
    </w:p>
    <w:p w14:paraId="349B4C86" w14:textId="77777777" w:rsidR="00384B2F" w:rsidRPr="00457441" w:rsidRDefault="00384B2F" w:rsidP="00384B2F">
      <w:pPr>
        <w:pStyle w:val="NoSpacing"/>
        <w:ind w:left="720"/>
        <w:rPr>
          <w:rFonts w:ascii="Times New Roman" w:hAnsi="Times New Roman"/>
          <w:sz w:val="24"/>
          <w:szCs w:val="24"/>
        </w:rPr>
      </w:pPr>
    </w:p>
    <w:p w14:paraId="44D3740A"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7F1788C8"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 xml:space="preserve">Moreover, although Chief Hill testified that he primarily relied on the matrix scores, when asked in his deposition why Broadhead and Everson were promoted over Plaintiff to the position of Battalion Chief, he discussed Broadhead and Everson’s leadership skills (Doc. # 32-2 at 51, 54) and made no mention of their matrix scores. If Chief Hill had not testified that he looked primarily at the matrix scores when selecting the Battalion Chief position, there may be an argument that the court could overlook the issue that a matrix that did not reference the scores of the incumbents was submitted into evidence. However, Homewood has provided both incomplete (and potentially contradictory) evidence. </w:t>
      </w:r>
      <w:proofErr w:type="gramStart"/>
      <w:r w:rsidRPr="00457441">
        <w:rPr>
          <w:rFonts w:ascii="Times New Roman" w:hAnsi="Times New Roman"/>
          <w:sz w:val="24"/>
          <w:szCs w:val="24"/>
        </w:rPr>
        <w:t>Despite the fact that</w:t>
      </w:r>
      <w:proofErr w:type="gramEnd"/>
      <w:r w:rsidRPr="00457441">
        <w:rPr>
          <w:rFonts w:ascii="Times New Roman" w:hAnsi="Times New Roman"/>
          <w:sz w:val="24"/>
          <w:szCs w:val="24"/>
        </w:rPr>
        <w:t xml:space="preserve"> Chief Hill testified that promotion decisions for the</w:t>
      </w:r>
    </w:p>
    <w:p w14:paraId="44E7691A"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 xml:space="preserve">Battalion Chief </w:t>
      </w:r>
      <w:proofErr w:type="gramStart"/>
      <w:r w:rsidRPr="00457441">
        <w:rPr>
          <w:rFonts w:ascii="Times New Roman" w:hAnsi="Times New Roman"/>
          <w:sz w:val="24"/>
          <w:szCs w:val="24"/>
        </w:rPr>
        <w:t>position</w:t>
      </w:r>
      <w:proofErr w:type="gramEnd"/>
      <w:r w:rsidRPr="00457441">
        <w:rPr>
          <w:rFonts w:ascii="Times New Roman" w:hAnsi="Times New Roman"/>
          <w:sz w:val="24"/>
          <w:szCs w:val="24"/>
        </w:rPr>
        <w:t xml:space="preserve"> </w:t>
      </w:r>
      <w:proofErr w:type="gramStart"/>
      <w:r w:rsidRPr="00457441">
        <w:rPr>
          <w:rFonts w:ascii="Times New Roman" w:hAnsi="Times New Roman"/>
          <w:sz w:val="24"/>
          <w:szCs w:val="24"/>
        </w:rPr>
        <w:t>are</w:t>
      </w:r>
      <w:proofErr w:type="gramEnd"/>
      <w:r w:rsidRPr="00457441">
        <w:rPr>
          <w:rFonts w:ascii="Times New Roman" w:hAnsi="Times New Roman"/>
          <w:sz w:val="24"/>
          <w:szCs w:val="24"/>
        </w:rPr>
        <w:t xml:space="preserve"> primarily based on the internal matrix system, neither of the two white candidates selected were included on the internal matrix system sheet that Homewood provided in its evidentiary submissions. Further, when asked why he selected them for the Battalion Chief positions, Chief Hill did not indicate Broadhead or Everson’s scores.”</w:t>
      </w:r>
    </w:p>
    <w:p w14:paraId="7CB7DB70" w14:textId="77777777" w:rsidR="00384B2F" w:rsidRPr="00457441" w:rsidRDefault="00384B2F" w:rsidP="00384B2F">
      <w:pPr>
        <w:pStyle w:val="NoSpacing"/>
        <w:ind w:left="720"/>
        <w:rPr>
          <w:rFonts w:ascii="Times New Roman" w:hAnsi="Times New Roman"/>
          <w:sz w:val="24"/>
          <w:szCs w:val="24"/>
        </w:rPr>
      </w:pPr>
    </w:p>
    <w:p w14:paraId="346A6574" w14:textId="77777777" w:rsidR="00384B2F" w:rsidRPr="00457441" w:rsidRDefault="00384B2F" w:rsidP="00384B2F">
      <w:pPr>
        <w:pStyle w:val="NoSpacing"/>
        <w:rPr>
          <w:rFonts w:ascii="Times New Roman" w:hAnsi="Times New Roman"/>
          <w:b/>
          <w:bCs/>
          <w:sz w:val="24"/>
          <w:szCs w:val="24"/>
        </w:rPr>
      </w:pPr>
      <w:r w:rsidRPr="00457441">
        <w:rPr>
          <w:rFonts w:ascii="Times New Roman" w:hAnsi="Times New Roman"/>
          <w:b/>
          <w:sz w:val="24"/>
          <w:szCs w:val="24"/>
        </w:rPr>
        <w:t xml:space="preserve">Legal Lesson Learned:  </w:t>
      </w:r>
      <w:r w:rsidRPr="00457441">
        <w:rPr>
          <w:rFonts w:ascii="Times New Roman" w:hAnsi="Times New Roman"/>
          <w:b/>
          <w:bCs/>
          <w:sz w:val="24"/>
          <w:szCs w:val="24"/>
        </w:rPr>
        <w:t xml:space="preserve">FD relying </w:t>
      </w:r>
      <w:r w:rsidRPr="00457441">
        <w:rPr>
          <w:rFonts w:ascii="Times New Roman" w:hAnsi="Times New Roman"/>
          <w:b/>
          <w:sz w:val="24"/>
          <w:szCs w:val="24"/>
        </w:rPr>
        <w:t xml:space="preserve">on a matrix to justify promotion decision, must include all candidates on the matrix document. </w:t>
      </w:r>
    </w:p>
    <w:p w14:paraId="277A3C05" w14:textId="77777777" w:rsidR="00384B2F" w:rsidRDefault="00384B2F" w:rsidP="00BC70A3">
      <w:pPr>
        <w:rPr>
          <w:rFonts w:ascii="Arial Black" w:hAnsi="Arial Black"/>
          <w:b/>
          <w:sz w:val="24"/>
          <w:szCs w:val="24"/>
        </w:rPr>
      </w:pPr>
    </w:p>
    <w:p w14:paraId="7E8425FB" w14:textId="77777777" w:rsidR="00384B2F" w:rsidRDefault="00384B2F" w:rsidP="00BC70A3">
      <w:pPr>
        <w:rPr>
          <w:rFonts w:ascii="Arial Black" w:hAnsi="Arial Black"/>
          <w:b/>
          <w:sz w:val="24"/>
          <w:szCs w:val="24"/>
        </w:rPr>
      </w:pPr>
    </w:p>
    <w:p w14:paraId="2BF230B3" w14:textId="083F469A" w:rsidR="004864A1" w:rsidRDefault="004864A1" w:rsidP="00BC70A3">
      <w:pPr>
        <w:rPr>
          <w:rFonts w:ascii="Arial Black" w:hAnsi="Arial Black"/>
          <w:b/>
          <w:sz w:val="24"/>
          <w:szCs w:val="24"/>
        </w:rPr>
      </w:pPr>
      <w:r>
        <w:rPr>
          <w:rFonts w:ascii="Arial Black" w:hAnsi="Arial Black"/>
          <w:b/>
          <w:sz w:val="24"/>
          <w:szCs w:val="24"/>
        </w:rPr>
        <w:t>8-69</w:t>
      </w:r>
    </w:p>
    <w:p w14:paraId="53FCF72B" w14:textId="77777777" w:rsidR="002C25D5" w:rsidRPr="00193FDB" w:rsidRDefault="002C25D5" w:rsidP="002C25D5">
      <w:pPr>
        <w:pStyle w:val="NoSpacing"/>
        <w:rPr>
          <w:rFonts w:ascii="Arial Black" w:hAnsi="Arial Black"/>
          <w:b/>
          <w:bCs/>
          <w:sz w:val="28"/>
          <w:szCs w:val="28"/>
        </w:rPr>
      </w:pPr>
      <w:r w:rsidRPr="00193FDB">
        <w:rPr>
          <w:rFonts w:ascii="Arial Black" w:hAnsi="Arial Black"/>
          <w:b/>
          <w:sz w:val="28"/>
          <w:szCs w:val="28"/>
        </w:rPr>
        <w:t xml:space="preserve">LA: </w:t>
      </w:r>
      <w:r>
        <w:rPr>
          <w:rFonts w:ascii="Arial Black" w:hAnsi="Arial Black"/>
          <w:b/>
          <w:sz w:val="28"/>
          <w:szCs w:val="28"/>
        </w:rPr>
        <w:t xml:space="preserve">TWO CAPTS DISCIP. – CLAIM DISPARATE TREAT </w:t>
      </w:r>
    </w:p>
    <w:p w14:paraId="2AA31885" w14:textId="77777777" w:rsidR="002C25D5" w:rsidRDefault="002C25D5" w:rsidP="002C25D5">
      <w:pPr>
        <w:pStyle w:val="NoSpacing"/>
      </w:pPr>
    </w:p>
    <w:p w14:paraId="6EE11AFC" w14:textId="77777777" w:rsidR="00D45282" w:rsidRPr="00D45282" w:rsidRDefault="00D45282" w:rsidP="00D45282">
      <w:pPr>
        <w:rPr>
          <w:rFonts w:ascii="Times New Roman" w:hAnsi="Times New Roman"/>
          <w:sz w:val="24"/>
          <w:szCs w:val="24"/>
        </w:rPr>
      </w:pPr>
      <w:r w:rsidRPr="00D45282">
        <w:rPr>
          <w:rFonts w:ascii="Times New Roman" w:hAnsi="Times New Roman"/>
          <w:sz w:val="24"/>
          <w:szCs w:val="24"/>
        </w:rPr>
        <w:t xml:space="preserve">On Dec. 20, </w:t>
      </w:r>
      <w:proofErr w:type="gramStart"/>
      <w:r w:rsidRPr="00D45282">
        <w:rPr>
          <w:rFonts w:ascii="Times New Roman" w:hAnsi="Times New Roman"/>
          <w:sz w:val="24"/>
          <w:szCs w:val="24"/>
        </w:rPr>
        <w:t>2024</w:t>
      </w:r>
      <w:proofErr w:type="gramEnd"/>
      <w:r w:rsidRPr="00D45282">
        <w:rPr>
          <w:rFonts w:ascii="Times New Roman" w:hAnsi="Times New Roman"/>
          <w:sz w:val="24"/>
          <w:szCs w:val="24"/>
        </w:rPr>
        <w:t xml:space="preserve"> in </w:t>
      </w:r>
      <w:r w:rsidRPr="00D45282">
        <w:rPr>
          <w:rFonts w:ascii="Times New Roman" w:hAnsi="Times New Roman"/>
          <w:sz w:val="24"/>
          <w:szCs w:val="24"/>
          <w:u w:val="single"/>
        </w:rPr>
        <w:t>Varrick Dyer v. City of New Orleans, et al</w:t>
      </w:r>
      <w:r w:rsidRPr="00D45282">
        <w:rPr>
          <w:rFonts w:ascii="Times New Roman" w:hAnsi="Times New Roman"/>
          <w:sz w:val="24"/>
          <w:szCs w:val="24"/>
        </w:rPr>
        <w:t>., United States Magistrate Judge Janis Van Meerveld, U.S. District Court for Eastern District of Louisiana, held that city’s motion for summary judgment will be denied in part.  Black Captain was on the 4</w:t>
      </w:r>
      <w:r w:rsidRPr="00D45282">
        <w:rPr>
          <w:rFonts w:ascii="Times New Roman" w:hAnsi="Times New Roman"/>
          <w:sz w:val="24"/>
          <w:szCs w:val="24"/>
          <w:vertAlign w:val="superscript"/>
        </w:rPr>
        <w:t>th</w:t>
      </w:r>
      <w:r w:rsidRPr="00D45282">
        <w:rPr>
          <w:rFonts w:ascii="Times New Roman" w:hAnsi="Times New Roman"/>
          <w:sz w:val="24"/>
          <w:szCs w:val="24"/>
        </w:rPr>
        <w:t xml:space="preserve"> engine to fire – later had verbal dispute with white Captain who criticized him for not getting off engine with his crew.  The lawsuit will </w:t>
      </w:r>
      <w:proofErr w:type="gramStart"/>
      <w:r w:rsidRPr="00D45282">
        <w:rPr>
          <w:rFonts w:ascii="Times New Roman" w:hAnsi="Times New Roman"/>
          <w:sz w:val="24"/>
          <w:szCs w:val="24"/>
        </w:rPr>
        <w:t>continue on</w:t>
      </w:r>
      <w:proofErr w:type="gramEnd"/>
      <w:r w:rsidRPr="00D45282">
        <w:rPr>
          <w:rFonts w:ascii="Times New Roman" w:hAnsi="Times New Roman"/>
          <w:sz w:val="24"/>
          <w:szCs w:val="24"/>
        </w:rPr>
        <w:t xml:space="preserve"> two claims -  “disparate treatment” (white charged with “hazing” – letter of reprimand;  black charged with “threats” – possible suspension or termination) and subsequent failure to be promoted. </w:t>
      </w:r>
      <w:hyperlink r:id="rId1568" w:history="1">
        <w:r w:rsidRPr="00D45282">
          <w:rPr>
            <w:rStyle w:val="Hyperlink"/>
            <w:rFonts w:ascii="Times New Roman" w:hAnsi="Times New Roman"/>
            <w:sz w:val="24"/>
            <w:szCs w:val="24"/>
          </w:rPr>
          <w:t>https://casetext.com/case/dyer-v-city-of-new-orleans-2</w:t>
        </w:r>
      </w:hyperlink>
      <w:r w:rsidRPr="00D45282">
        <w:rPr>
          <w:rFonts w:ascii="Times New Roman" w:hAnsi="Times New Roman"/>
          <w:sz w:val="24"/>
          <w:szCs w:val="24"/>
        </w:rPr>
        <w:t xml:space="preserve"> </w:t>
      </w:r>
    </w:p>
    <w:p w14:paraId="472844B8" w14:textId="77777777" w:rsidR="00D45282" w:rsidRDefault="00D45282" w:rsidP="002C25D5">
      <w:pPr>
        <w:pStyle w:val="NoSpacing"/>
        <w:rPr>
          <w:rFonts w:ascii="Times New Roman" w:hAnsi="Times New Roman"/>
          <w:sz w:val="24"/>
          <w:szCs w:val="24"/>
        </w:rPr>
      </w:pPr>
    </w:p>
    <w:p w14:paraId="4DF06F5F" w14:textId="4CAA9523" w:rsidR="002C25D5" w:rsidRPr="002C25D5" w:rsidRDefault="002C25D5" w:rsidP="002C25D5">
      <w:pPr>
        <w:pStyle w:val="NoSpacing"/>
        <w:rPr>
          <w:rFonts w:ascii="Times New Roman" w:hAnsi="Times New Roman"/>
          <w:sz w:val="24"/>
          <w:szCs w:val="24"/>
        </w:rPr>
      </w:pPr>
      <w:r w:rsidRPr="002C25D5">
        <w:rPr>
          <w:rFonts w:ascii="Times New Roman" w:hAnsi="Times New Roman"/>
          <w:sz w:val="24"/>
          <w:szCs w:val="24"/>
        </w:rPr>
        <w:t>The Magistrate wrote:</w:t>
      </w:r>
    </w:p>
    <w:p w14:paraId="1BED6D2D" w14:textId="77777777" w:rsidR="002C25D5" w:rsidRPr="002C25D5" w:rsidRDefault="002C25D5" w:rsidP="002C25D5">
      <w:pPr>
        <w:pStyle w:val="NoSpacing"/>
        <w:rPr>
          <w:rFonts w:ascii="Times New Roman" w:hAnsi="Times New Roman"/>
          <w:sz w:val="24"/>
          <w:szCs w:val="24"/>
        </w:rPr>
      </w:pPr>
    </w:p>
    <w:p w14:paraId="6FFDB331" w14:textId="542FD0E8" w:rsidR="00B9560C" w:rsidRPr="002C25D5" w:rsidRDefault="002C25D5" w:rsidP="002C25D5">
      <w:pPr>
        <w:ind w:left="720"/>
        <w:rPr>
          <w:rFonts w:ascii="Times New Roman" w:hAnsi="Times New Roman"/>
          <w:b/>
          <w:sz w:val="24"/>
          <w:szCs w:val="24"/>
        </w:rPr>
      </w:pPr>
      <w:r w:rsidRPr="002C25D5">
        <w:rPr>
          <w:rFonts w:ascii="Times New Roman" w:hAnsi="Times New Roman"/>
          <w:sz w:val="24"/>
          <w:szCs w:val="24"/>
        </w:rPr>
        <w:t xml:space="preserve">“The Court finds that Dyer has stated a plausible claim for race-based disparate treatment as to two incidents. He alleges that he was charged with a more severe rule violation than Martin arising out of the February 2022 incident they were both involved in. Of course there may be legitimate explanations for this difference in treatment. But at this stage, the Court finds Dyer has plausibly alleged that this difference was race based because their conduct appears to have been </w:t>
      </w:r>
      <w:proofErr w:type="gramStart"/>
      <w:r w:rsidRPr="002C25D5">
        <w:rPr>
          <w:rFonts w:ascii="Times New Roman" w:hAnsi="Times New Roman"/>
          <w:sz w:val="24"/>
          <w:szCs w:val="24"/>
        </w:rPr>
        <w:t>similar</w:t>
      </w:r>
      <w:proofErr w:type="gramEnd"/>
      <w:r w:rsidRPr="002C25D5">
        <w:rPr>
          <w:rFonts w:ascii="Times New Roman" w:hAnsi="Times New Roman"/>
          <w:sz w:val="24"/>
          <w:szCs w:val="24"/>
        </w:rPr>
        <w:t xml:space="preserve"> but the black firefighter was charged with a more severe rule violation than the white firefighter. Additionally, Dyer has stated a plausible claim arising out of the denied promotion that was allegedly given to a less qualified white male.”  </w:t>
      </w:r>
    </w:p>
    <w:p w14:paraId="7C775D97" w14:textId="77777777" w:rsidR="00A76F8F" w:rsidRPr="00A76F8F" w:rsidRDefault="00A76F8F" w:rsidP="00A76F8F">
      <w:pPr>
        <w:pStyle w:val="NoSpacing"/>
        <w:rPr>
          <w:rFonts w:ascii="Times New Roman" w:hAnsi="Times New Roman"/>
          <w:sz w:val="24"/>
          <w:szCs w:val="24"/>
        </w:rPr>
      </w:pPr>
      <w:r w:rsidRPr="00A76F8F">
        <w:rPr>
          <w:rFonts w:ascii="Times New Roman" w:hAnsi="Times New Roman"/>
          <w:sz w:val="24"/>
          <w:szCs w:val="24"/>
        </w:rPr>
        <w:t>HOLDING:</w:t>
      </w:r>
    </w:p>
    <w:p w14:paraId="61F513FF" w14:textId="77777777" w:rsidR="00893FEB" w:rsidRDefault="00893FEB" w:rsidP="00A76F8F">
      <w:pPr>
        <w:pStyle w:val="NoSpacing"/>
        <w:ind w:left="720"/>
        <w:rPr>
          <w:rFonts w:ascii="Times New Roman" w:hAnsi="Times New Roman"/>
          <w:sz w:val="24"/>
          <w:szCs w:val="24"/>
        </w:rPr>
      </w:pPr>
    </w:p>
    <w:p w14:paraId="0A4E6FFB" w14:textId="20F13E70" w:rsidR="00A76F8F" w:rsidRPr="00A76F8F" w:rsidRDefault="00A76F8F" w:rsidP="00A76F8F">
      <w:pPr>
        <w:pStyle w:val="NoSpacing"/>
        <w:ind w:left="720"/>
        <w:rPr>
          <w:rFonts w:ascii="Times New Roman" w:hAnsi="Times New Roman"/>
          <w:sz w:val="24"/>
          <w:szCs w:val="24"/>
        </w:rPr>
      </w:pPr>
      <w:r w:rsidRPr="00A76F8F">
        <w:rPr>
          <w:rFonts w:ascii="Times New Roman" w:hAnsi="Times New Roman"/>
          <w:sz w:val="24"/>
          <w:szCs w:val="24"/>
        </w:rPr>
        <w:t>“The Court finds that Dyer has stated a claim under Title VII, the LEDL, and § 1981 for race-based disparate treatment arising out of the charge related to the February 2022 incident and arising out of the denied promotion. As to these claims, the Motion to Dismiss is DENIED.”</w:t>
      </w:r>
    </w:p>
    <w:p w14:paraId="7E2AA90D" w14:textId="77777777" w:rsidR="00A76F8F" w:rsidRPr="00A76F8F" w:rsidRDefault="00A76F8F" w:rsidP="00A76F8F">
      <w:pPr>
        <w:pStyle w:val="NoSpacing"/>
        <w:ind w:left="720"/>
        <w:rPr>
          <w:rFonts w:ascii="Times New Roman" w:hAnsi="Times New Roman"/>
          <w:sz w:val="24"/>
          <w:szCs w:val="24"/>
        </w:rPr>
      </w:pPr>
    </w:p>
    <w:p w14:paraId="45A452C1" w14:textId="77777777" w:rsidR="00A76F8F" w:rsidRPr="00A76F8F" w:rsidRDefault="00A76F8F" w:rsidP="00A76F8F">
      <w:pPr>
        <w:pStyle w:val="NoSpacing"/>
        <w:rPr>
          <w:rFonts w:ascii="Times New Roman" w:hAnsi="Times New Roman"/>
          <w:b/>
          <w:bCs/>
          <w:sz w:val="24"/>
          <w:szCs w:val="24"/>
        </w:rPr>
      </w:pPr>
      <w:r w:rsidRPr="00A76F8F">
        <w:rPr>
          <w:rFonts w:ascii="Times New Roman" w:hAnsi="Times New Roman"/>
          <w:b/>
          <w:sz w:val="24"/>
          <w:szCs w:val="24"/>
        </w:rPr>
        <w:t>Legal Lesson Learned: When imposing discipline involving a white FF and a black FF, management must document specific reasons for different discipline.</w:t>
      </w:r>
    </w:p>
    <w:p w14:paraId="4C0799D8" w14:textId="77777777" w:rsidR="00A76F8F" w:rsidRPr="00A76F8F" w:rsidRDefault="00A76F8F" w:rsidP="00A76F8F">
      <w:pPr>
        <w:pStyle w:val="NoSpacing"/>
        <w:ind w:left="720"/>
        <w:rPr>
          <w:rFonts w:ascii="Times New Roman" w:hAnsi="Times New Roman"/>
          <w:sz w:val="24"/>
          <w:szCs w:val="24"/>
        </w:rPr>
      </w:pPr>
    </w:p>
    <w:p w14:paraId="24665106" w14:textId="29DD1166" w:rsidR="00A76F8F" w:rsidRPr="00A76F8F" w:rsidRDefault="00A76F8F" w:rsidP="00A76F8F">
      <w:pPr>
        <w:pStyle w:val="NoSpacing"/>
        <w:ind w:left="720"/>
        <w:rPr>
          <w:rFonts w:ascii="Times New Roman" w:hAnsi="Times New Roman"/>
          <w:b/>
          <w:sz w:val="24"/>
          <w:szCs w:val="24"/>
        </w:rPr>
      </w:pPr>
      <w:r w:rsidRPr="00A76F8F">
        <w:rPr>
          <w:rFonts w:ascii="Times New Roman" w:hAnsi="Times New Roman"/>
          <w:sz w:val="24"/>
          <w:szCs w:val="24"/>
        </w:rPr>
        <w:t>Note:  See also City’s Civil Service Commission (vote 2 to 1) on Dec. 14, 2023, reversing 36-hour suspension for bringing a “gate valve” from a fire engine to a Rock of Ages</w:t>
      </w:r>
      <w:r w:rsidR="00893FEB">
        <w:rPr>
          <w:rFonts w:ascii="Times New Roman" w:hAnsi="Times New Roman"/>
          <w:sz w:val="24"/>
          <w:szCs w:val="24"/>
        </w:rPr>
        <w:t xml:space="preserve"> </w:t>
      </w:r>
      <w:r w:rsidRPr="00A76F8F">
        <w:rPr>
          <w:rFonts w:ascii="Times New Roman" w:hAnsi="Times New Roman"/>
          <w:sz w:val="24"/>
          <w:szCs w:val="24"/>
        </w:rPr>
        <w:t xml:space="preserve">Church event provided showers and laundry facilities to homeless and mentally ill individuals. </w:t>
      </w:r>
    </w:p>
    <w:p w14:paraId="043F0623" w14:textId="77777777" w:rsidR="00A76F8F" w:rsidRPr="00A76F8F" w:rsidRDefault="00A76F8F" w:rsidP="00A76F8F">
      <w:pPr>
        <w:pStyle w:val="NoSpacing"/>
        <w:ind w:left="720"/>
        <w:rPr>
          <w:rFonts w:ascii="Times New Roman" w:hAnsi="Times New Roman"/>
          <w:b/>
          <w:sz w:val="24"/>
          <w:szCs w:val="24"/>
        </w:rPr>
      </w:pPr>
      <w:hyperlink r:id="rId1569" w:history="1">
        <w:r w:rsidRPr="00A76F8F">
          <w:rPr>
            <w:rStyle w:val="Hyperlink"/>
            <w:rFonts w:ascii="Times New Roman" w:hAnsi="Times New Roman"/>
            <w:b/>
            <w:sz w:val="24"/>
            <w:szCs w:val="24"/>
          </w:rPr>
          <w:t>https://nola.gov/getattachment/e3454bbc-a629-43a1-b296-8d99f21a3e04/Dyer,-Varrick-9485/</w:t>
        </w:r>
      </w:hyperlink>
      <w:r w:rsidRPr="00A76F8F">
        <w:rPr>
          <w:rFonts w:ascii="Times New Roman" w:hAnsi="Times New Roman"/>
          <w:b/>
          <w:sz w:val="24"/>
          <w:szCs w:val="24"/>
        </w:rPr>
        <w:t xml:space="preserve"> </w:t>
      </w:r>
    </w:p>
    <w:p w14:paraId="5C25F61A" w14:textId="77777777" w:rsidR="003B2850" w:rsidRPr="00A76F8F" w:rsidRDefault="003B2850" w:rsidP="00BC70A3">
      <w:pPr>
        <w:rPr>
          <w:rFonts w:ascii="Times New Roman" w:hAnsi="Times New Roman"/>
          <w:b/>
          <w:sz w:val="24"/>
          <w:szCs w:val="24"/>
        </w:rPr>
      </w:pPr>
    </w:p>
    <w:p w14:paraId="42601585" w14:textId="77777777" w:rsidR="003B2850" w:rsidRDefault="003B2850" w:rsidP="00BC70A3">
      <w:pPr>
        <w:rPr>
          <w:rFonts w:ascii="Arial Black" w:hAnsi="Arial Black"/>
          <w:b/>
          <w:sz w:val="24"/>
          <w:szCs w:val="24"/>
        </w:rPr>
      </w:pPr>
    </w:p>
    <w:p w14:paraId="3C279A26" w14:textId="03DFF900" w:rsidR="00B9560C" w:rsidRDefault="00B9560C" w:rsidP="00BC70A3">
      <w:pPr>
        <w:rPr>
          <w:rFonts w:ascii="Arial Black" w:hAnsi="Arial Black"/>
          <w:b/>
          <w:sz w:val="24"/>
          <w:szCs w:val="24"/>
        </w:rPr>
      </w:pPr>
      <w:r>
        <w:rPr>
          <w:rFonts w:ascii="Arial Black" w:hAnsi="Arial Black"/>
          <w:b/>
          <w:sz w:val="24"/>
          <w:szCs w:val="24"/>
        </w:rPr>
        <w:t>8-68</w:t>
      </w:r>
    </w:p>
    <w:p w14:paraId="09837F54" w14:textId="77777777" w:rsidR="009E2FA4" w:rsidRDefault="009E2FA4" w:rsidP="009E2FA4">
      <w:pPr>
        <w:pStyle w:val="NoSpacing"/>
        <w:rPr>
          <w:rFonts w:ascii="Arial Black" w:hAnsi="Arial Black"/>
          <w:b/>
          <w:sz w:val="28"/>
          <w:szCs w:val="28"/>
        </w:rPr>
      </w:pPr>
      <w:r>
        <w:rPr>
          <w:rFonts w:ascii="Arial Black" w:hAnsi="Arial Black"/>
          <w:b/>
          <w:sz w:val="28"/>
          <w:szCs w:val="28"/>
        </w:rPr>
        <w:t xml:space="preserve">MO: CHIEF FIRED – SECRET CAMERA – BD ANIMUS </w:t>
      </w:r>
    </w:p>
    <w:p w14:paraId="5E9C0CE1" w14:textId="77777777" w:rsidR="009E2FA4" w:rsidRDefault="009E2FA4" w:rsidP="00AB0466">
      <w:pPr>
        <w:pStyle w:val="NoSpacing"/>
        <w:rPr>
          <w:rFonts w:ascii="Arial Black" w:hAnsi="Arial Black"/>
          <w:b/>
          <w:sz w:val="28"/>
          <w:szCs w:val="28"/>
        </w:rPr>
      </w:pPr>
    </w:p>
    <w:p w14:paraId="2490AEC9" w14:textId="77777777" w:rsidR="003D707F" w:rsidRPr="003D707F" w:rsidRDefault="003D707F" w:rsidP="003D707F">
      <w:pPr>
        <w:rPr>
          <w:rFonts w:ascii="Times New Roman" w:hAnsi="Times New Roman"/>
          <w:bCs/>
          <w:sz w:val="24"/>
          <w:szCs w:val="24"/>
        </w:rPr>
      </w:pPr>
      <w:r w:rsidRPr="003D707F">
        <w:rPr>
          <w:rFonts w:ascii="Times New Roman" w:hAnsi="Times New Roman"/>
          <w:sz w:val="24"/>
          <w:szCs w:val="24"/>
        </w:rPr>
        <w:t xml:space="preserve">On Dec. 18, 2024, in </w:t>
      </w:r>
      <w:proofErr w:type="spellStart"/>
      <w:r w:rsidRPr="003D707F">
        <w:rPr>
          <w:rFonts w:ascii="Times New Roman" w:hAnsi="Times New Roman"/>
          <w:sz w:val="24"/>
          <w:szCs w:val="24"/>
          <w:u w:val="single"/>
        </w:rPr>
        <w:t>Ankeneth</w:t>
      </w:r>
      <w:proofErr w:type="spellEnd"/>
      <w:r w:rsidRPr="003D707F">
        <w:rPr>
          <w:rFonts w:ascii="Times New Roman" w:hAnsi="Times New Roman"/>
          <w:sz w:val="24"/>
          <w:szCs w:val="24"/>
          <w:u w:val="single"/>
        </w:rPr>
        <w:t xml:space="preserve"> Corbin v. </w:t>
      </w:r>
      <w:proofErr w:type="gramStart"/>
      <w:r w:rsidRPr="003D707F">
        <w:rPr>
          <w:rFonts w:ascii="Times New Roman" w:hAnsi="Times New Roman"/>
          <w:sz w:val="24"/>
          <w:szCs w:val="24"/>
          <w:u w:val="single"/>
        </w:rPr>
        <w:t>Black Jack</w:t>
      </w:r>
      <w:proofErr w:type="gramEnd"/>
      <w:r w:rsidRPr="003D707F">
        <w:rPr>
          <w:rFonts w:ascii="Times New Roman" w:hAnsi="Times New Roman"/>
          <w:sz w:val="24"/>
          <w:szCs w:val="24"/>
          <w:u w:val="single"/>
        </w:rPr>
        <w:t xml:space="preserve"> Fire Protection District, et al.,</w:t>
      </w:r>
      <w:r w:rsidRPr="003D707F">
        <w:rPr>
          <w:rFonts w:ascii="Times New Roman" w:hAnsi="Times New Roman"/>
          <w:sz w:val="24"/>
          <w:szCs w:val="24"/>
        </w:rPr>
        <w:t xml:space="preserve"> United States District Court Judge John A. Ross, U.S. District Court for Eastern District of Missouri, held that the former Fire Chief (African American), who was fired on Jan. 17, </w:t>
      </w:r>
      <w:proofErr w:type="gramStart"/>
      <w:r w:rsidRPr="003D707F">
        <w:rPr>
          <w:rFonts w:ascii="Times New Roman" w:hAnsi="Times New Roman"/>
          <w:sz w:val="24"/>
          <w:szCs w:val="24"/>
        </w:rPr>
        <w:t>2023</w:t>
      </w:r>
      <w:proofErr w:type="gramEnd"/>
      <w:r w:rsidRPr="003D707F">
        <w:rPr>
          <w:rFonts w:ascii="Times New Roman" w:hAnsi="Times New Roman"/>
          <w:sz w:val="24"/>
          <w:szCs w:val="24"/>
        </w:rPr>
        <w:t xml:space="preserve"> for secretly installing a camera and a sound recording device in his office, may proceed with his lawsuit for retaliation. </w:t>
      </w:r>
      <w:hyperlink r:id="rId1570" w:history="1">
        <w:r w:rsidRPr="003D707F">
          <w:rPr>
            <w:rStyle w:val="Hyperlink"/>
            <w:rFonts w:ascii="Times New Roman" w:hAnsi="Times New Roman"/>
            <w:sz w:val="24"/>
            <w:szCs w:val="24"/>
          </w:rPr>
          <w:t>https://casetext.com/case/corbin-v-black-jack-fire-prot-dist</w:t>
        </w:r>
      </w:hyperlink>
      <w:r w:rsidRPr="003D707F">
        <w:rPr>
          <w:rFonts w:ascii="Times New Roman" w:hAnsi="Times New Roman"/>
          <w:sz w:val="24"/>
          <w:szCs w:val="24"/>
        </w:rPr>
        <w:t xml:space="preserve"> </w:t>
      </w:r>
    </w:p>
    <w:p w14:paraId="7547A7FC" w14:textId="77777777" w:rsidR="003D707F" w:rsidRDefault="003D707F" w:rsidP="00AB0466">
      <w:pPr>
        <w:pStyle w:val="NoSpacing"/>
        <w:rPr>
          <w:rFonts w:ascii="Times New Roman" w:hAnsi="Times New Roman"/>
          <w:sz w:val="24"/>
          <w:szCs w:val="24"/>
        </w:rPr>
      </w:pPr>
    </w:p>
    <w:p w14:paraId="35844308" w14:textId="3A65FA7F" w:rsidR="00AB0466" w:rsidRPr="00AB0466" w:rsidRDefault="00AB0466" w:rsidP="00AB0466">
      <w:pPr>
        <w:pStyle w:val="NoSpacing"/>
        <w:rPr>
          <w:rFonts w:ascii="Times New Roman" w:hAnsi="Times New Roman"/>
          <w:sz w:val="24"/>
          <w:szCs w:val="24"/>
        </w:rPr>
      </w:pPr>
      <w:r w:rsidRPr="00AB0466">
        <w:rPr>
          <w:rFonts w:ascii="Times New Roman" w:hAnsi="Times New Roman"/>
          <w:sz w:val="24"/>
          <w:szCs w:val="24"/>
        </w:rPr>
        <w:t>The Court wrote:</w:t>
      </w:r>
    </w:p>
    <w:p w14:paraId="4B022E4D" w14:textId="77777777" w:rsidR="00B2318F" w:rsidRDefault="00B2318F" w:rsidP="00AB0466">
      <w:pPr>
        <w:ind w:left="720"/>
        <w:rPr>
          <w:rFonts w:ascii="Times New Roman" w:hAnsi="Times New Roman"/>
          <w:sz w:val="24"/>
          <w:szCs w:val="24"/>
        </w:rPr>
      </w:pPr>
    </w:p>
    <w:p w14:paraId="14680168" w14:textId="62244C3A" w:rsidR="00AB0466" w:rsidRDefault="00AB0466" w:rsidP="00AB0466">
      <w:pPr>
        <w:ind w:left="720"/>
        <w:rPr>
          <w:bCs/>
        </w:rPr>
      </w:pPr>
      <w:r w:rsidRPr="00AB0466">
        <w:rPr>
          <w:rFonts w:ascii="Times New Roman" w:hAnsi="Times New Roman"/>
          <w:sz w:val="24"/>
          <w:szCs w:val="24"/>
        </w:rPr>
        <w:t xml:space="preserve">“The </w:t>
      </w:r>
      <w:proofErr w:type="gramStart"/>
      <w:r w:rsidRPr="00AB0466">
        <w:rPr>
          <w:rFonts w:ascii="Times New Roman" w:hAnsi="Times New Roman"/>
          <w:sz w:val="24"/>
          <w:szCs w:val="24"/>
        </w:rPr>
        <w:t>District</w:t>
      </w:r>
      <w:proofErr w:type="gramEnd"/>
      <w:r w:rsidRPr="00AB0466">
        <w:rPr>
          <w:rFonts w:ascii="Times New Roman" w:hAnsi="Times New Roman"/>
          <w:sz w:val="24"/>
          <w:szCs w:val="24"/>
        </w:rPr>
        <w:t xml:space="preserve"> argues that the EEOC charges were too remote in time to show causation, and the actual reason for Corbin's termination was his use of the hidden camera and failure to return all electronic devices. In response, Corbin contends that the evidence gives rise to jury questions. The Court agrees [with Corbin]. [Board Chairman David] Calhoun admitted he said to Corbin in March 2022, ‘You can't do nothing to me’ and ‘[g]o </w:t>
      </w:r>
      <w:proofErr w:type="gramStart"/>
      <w:r w:rsidRPr="00AB0466">
        <w:rPr>
          <w:rFonts w:ascii="Times New Roman" w:hAnsi="Times New Roman"/>
          <w:sz w:val="24"/>
          <w:szCs w:val="24"/>
        </w:rPr>
        <w:t>write</w:t>
      </w:r>
      <w:proofErr w:type="gramEnd"/>
      <w:r w:rsidRPr="00AB0466">
        <w:rPr>
          <w:rFonts w:ascii="Times New Roman" w:hAnsi="Times New Roman"/>
          <w:sz w:val="24"/>
          <w:szCs w:val="24"/>
        </w:rPr>
        <w:t xml:space="preserve"> your letter’ as he thought Corbin ‘was trying to get me ran out of the place.”’  Corbin filed EEOC charges in July and late August 2022, claiming retaliation for reporting alleged ‘conflicts of interest, fiscal irregularities and wasteful spending’ by the Board and other specific retaliatory actions by Calhoun. Calhoun admitted stating that Corbin was going to ‘destroy the department’ because of ‘harassment like the charges.’ Calhoun further admitted that he believed Corbin was going to alert the media about allegations against the Board. Tensions escalated into the fall of 2022 and Corbin recorded Calhoun in his office via video and their arguments via audio. Corbin was suspended that December and terminated the following month. This timeline is not so remote as to remove the question of causation from the province of the jury. Rather, the timeline and conflicting evidence give rise to a genuine material dispute as to whether the Board cited Corbin's recordings and alleged failure to return devices as a pretext to fire a troublesome whistleblower. These are fact questions for a jury to resolve. Accordingly, the Court will deny the </w:t>
      </w:r>
      <w:proofErr w:type="gramStart"/>
      <w:r w:rsidRPr="00AB0466">
        <w:rPr>
          <w:rFonts w:ascii="Times New Roman" w:hAnsi="Times New Roman"/>
          <w:sz w:val="24"/>
          <w:szCs w:val="24"/>
        </w:rPr>
        <w:t>District's</w:t>
      </w:r>
      <w:proofErr w:type="gramEnd"/>
      <w:r w:rsidRPr="00AB0466">
        <w:rPr>
          <w:rFonts w:ascii="Times New Roman" w:hAnsi="Times New Roman"/>
          <w:sz w:val="24"/>
          <w:szCs w:val="24"/>
        </w:rPr>
        <w:t xml:space="preserve"> motion for summary judgment as to Count I.”  </w:t>
      </w:r>
    </w:p>
    <w:p w14:paraId="4A26B82A" w14:textId="77777777" w:rsidR="005F5492" w:rsidRPr="005F5492" w:rsidRDefault="005F5492" w:rsidP="005F5492">
      <w:pPr>
        <w:rPr>
          <w:rFonts w:ascii="Times New Roman" w:hAnsi="Times New Roman"/>
          <w:bCs/>
          <w:sz w:val="24"/>
          <w:szCs w:val="24"/>
        </w:rPr>
      </w:pPr>
      <w:r w:rsidRPr="005F5492">
        <w:rPr>
          <w:rFonts w:ascii="Times New Roman" w:hAnsi="Times New Roman"/>
          <w:sz w:val="24"/>
          <w:szCs w:val="24"/>
        </w:rPr>
        <w:t>HOLDING:</w:t>
      </w:r>
    </w:p>
    <w:p w14:paraId="4A740C4F" w14:textId="77777777" w:rsidR="005F5492" w:rsidRPr="005F5492" w:rsidRDefault="005F5492" w:rsidP="005F5492">
      <w:pPr>
        <w:ind w:left="720"/>
        <w:rPr>
          <w:rFonts w:ascii="Times New Roman" w:hAnsi="Times New Roman"/>
          <w:sz w:val="24"/>
          <w:szCs w:val="24"/>
        </w:rPr>
      </w:pPr>
      <w:r w:rsidRPr="005F5492">
        <w:rPr>
          <w:rFonts w:ascii="Times New Roman" w:hAnsi="Times New Roman"/>
          <w:sz w:val="24"/>
          <w:szCs w:val="24"/>
        </w:rPr>
        <w:t xml:space="preserve">“Here, the record arguably contains direct evidence showing a discriminatory animus behind the Board's decision to suspend and then terminate Corbin's employment. As discussed above, Calhoun admitted in the summer of 2022 that he was concerned that Corbin would alert the press of alleged misconduct by Board members and that he considered Corbin's EEOC charges to be a form of harassment that would destroy the department. Although Corbin was not suspended until some months later, and purportedly for other reasons, a jury could interpret Calhoun's statements as direct evidence of a discriminatory animus that ultimately prompted the Board's action. Alternatively, even accepting that developments in the fall of 2022, specifically Corbin's recordings and alleged failure to return devices, could be viewed to interrupt any direct link between Calhoun's animus and Corbin's termination, the evidence gives rise to genuine factual dispute under the </w:t>
      </w:r>
      <w:r w:rsidRPr="005F5492">
        <w:rPr>
          <w:rFonts w:ascii="Times New Roman" w:hAnsi="Times New Roman"/>
          <w:i/>
          <w:iCs/>
          <w:sz w:val="24"/>
          <w:szCs w:val="24"/>
        </w:rPr>
        <w:t>McDonnell Douglas</w:t>
      </w:r>
      <w:r w:rsidRPr="005F5492">
        <w:rPr>
          <w:rFonts w:ascii="Times New Roman" w:hAnsi="Times New Roman"/>
          <w:sz w:val="24"/>
          <w:szCs w:val="24"/>
        </w:rPr>
        <w:t xml:space="preserve"> burden-shifting framework.”</w:t>
      </w:r>
    </w:p>
    <w:p w14:paraId="6108FF80" w14:textId="77777777" w:rsidR="005F5492" w:rsidRPr="005F5492" w:rsidRDefault="005F5492" w:rsidP="005F5492">
      <w:pPr>
        <w:rPr>
          <w:rFonts w:ascii="Times New Roman" w:hAnsi="Times New Roman"/>
          <w:b/>
          <w:bCs/>
          <w:sz w:val="24"/>
          <w:szCs w:val="24"/>
        </w:rPr>
      </w:pPr>
      <w:r w:rsidRPr="005F5492">
        <w:rPr>
          <w:rFonts w:ascii="Times New Roman" w:hAnsi="Times New Roman"/>
          <w:b/>
          <w:sz w:val="24"/>
          <w:szCs w:val="24"/>
        </w:rPr>
        <w:t xml:space="preserve">Legal Lessons Learned:  </w:t>
      </w:r>
      <w:r w:rsidRPr="005F5492">
        <w:rPr>
          <w:rFonts w:ascii="Times New Roman" w:hAnsi="Times New Roman"/>
          <w:b/>
          <w:bCs/>
          <w:sz w:val="24"/>
          <w:szCs w:val="24"/>
        </w:rPr>
        <w:t>Court found direct evidence of “discriminatory animus” behind the Board’s decision to suspend and then terminate.</w:t>
      </w:r>
      <w:r w:rsidRPr="005F5492">
        <w:rPr>
          <w:rFonts w:ascii="Times New Roman" w:hAnsi="Times New Roman"/>
          <w:b/>
          <w:sz w:val="24"/>
          <w:szCs w:val="24"/>
        </w:rPr>
        <w:t xml:space="preserve">  </w:t>
      </w:r>
    </w:p>
    <w:p w14:paraId="313EB24F" w14:textId="77777777" w:rsidR="005F5492" w:rsidRPr="00081E51" w:rsidRDefault="005F5492" w:rsidP="005F5492">
      <w:pPr>
        <w:ind w:left="720"/>
        <w:rPr>
          <w:bCs/>
        </w:rPr>
      </w:pPr>
    </w:p>
    <w:p w14:paraId="4A6D30C9" w14:textId="77777777" w:rsidR="00B9560C" w:rsidRDefault="00B9560C" w:rsidP="00BC70A3">
      <w:pPr>
        <w:rPr>
          <w:rFonts w:ascii="Arial Black" w:hAnsi="Arial Black"/>
          <w:b/>
          <w:sz w:val="24"/>
          <w:szCs w:val="24"/>
        </w:rPr>
      </w:pPr>
    </w:p>
    <w:p w14:paraId="0F08F7B8" w14:textId="77777777" w:rsidR="00B9560C" w:rsidRDefault="00B9560C" w:rsidP="00BC70A3">
      <w:pPr>
        <w:rPr>
          <w:rFonts w:ascii="Arial Black" w:hAnsi="Arial Black"/>
          <w:b/>
          <w:sz w:val="24"/>
          <w:szCs w:val="24"/>
        </w:rPr>
      </w:pPr>
    </w:p>
    <w:p w14:paraId="7ED97145" w14:textId="56517BD8" w:rsidR="004529D8" w:rsidRDefault="004529D8" w:rsidP="00BC70A3">
      <w:pPr>
        <w:rPr>
          <w:rFonts w:ascii="Arial Black" w:hAnsi="Arial Black"/>
          <w:b/>
          <w:sz w:val="24"/>
          <w:szCs w:val="24"/>
        </w:rPr>
      </w:pPr>
      <w:r>
        <w:rPr>
          <w:rFonts w:ascii="Arial Black" w:hAnsi="Arial Black"/>
          <w:b/>
          <w:sz w:val="24"/>
          <w:szCs w:val="24"/>
        </w:rPr>
        <w:t>8-6</w:t>
      </w:r>
      <w:r w:rsidR="00AE05CE">
        <w:rPr>
          <w:rFonts w:ascii="Arial Black" w:hAnsi="Arial Black"/>
          <w:b/>
          <w:sz w:val="24"/>
          <w:szCs w:val="24"/>
        </w:rPr>
        <w:t>7</w:t>
      </w:r>
    </w:p>
    <w:p w14:paraId="07F41B5A" w14:textId="77777777" w:rsidR="004529D8" w:rsidRPr="00A85574" w:rsidRDefault="004529D8" w:rsidP="004529D8">
      <w:pPr>
        <w:pStyle w:val="NoSpacing"/>
        <w:rPr>
          <w:rFonts w:ascii="Arial Black" w:hAnsi="Arial Black"/>
          <w:b/>
          <w:sz w:val="28"/>
          <w:szCs w:val="28"/>
        </w:rPr>
      </w:pPr>
      <w:r>
        <w:rPr>
          <w:rFonts w:ascii="Arial Black" w:hAnsi="Arial Black"/>
          <w:b/>
          <w:sz w:val="28"/>
          <w:szCs w:val="28"/>
        </w:rPr>
        <w:t xml:space="preserve">IL: BLACK FF – FIRED - NO FED. CASE – RETALIATION CLAIM FOR TALKING TO EEOC – HAD DUE PROCESS STATE COURT </w:t>
      </w:r>
    </w:p>
    <w:p w14:paraId="3AC9F774" w14:textId="77777777" w:rsidR="004529D8" w:rsidRDefault="004529D8" w:rsidP="004529D8">
      <w:pPr>
        <w:pStyle w:val="NoSpacing"/>
        <w:ind w:firstLine="720"/>
        <w:rPr>
          <w:b/>
        </w:rPr>
      </w:pPr>
    </w:p>
    <w:p w14:paraId="7126F9F9"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 xml:space="preserve">On Nov. 18, 2024, in </w:t>
      </w:r>
      <w:proofErr w:type="spellStart"/>
      <w:r w:rsidRPr="00D86881">
        <w:rPr>
          <w:rFonts w:ascii="Times New Roman" w:hAnsi="Times New Roman"/>
          <w:sz w:val="24"/>
          <w:szCs w:val="24"/>
          <w:u w:val="single"/>
        </w:rPr>
        <w:t>Vairrun</w:t>
      </w:r>
      <w:proofErr w:type="spellEnd"/>
      <w:r w:rsidRPr="00D86881">
        <w:rPr>
          <w:rFonts w:ascii="Times New Roman" w:hAnsi="Times New Roman"/>
          <w:sz w:val="24"/>
          <w:szCs w:val="24"/>
          <w:u w:val="single"/>
        </w:rPr>
        <w:t xml:space="preserve"> Strictland v. City of Markham</w:t>
      </w:r>
      <w:r w:rsidRPr="00D86881">
        <w:rPr>
          <w:rFonts w:ascii="Times New Roman" w:hAnsi="Times New Roman"/>
          <w:sz w:val="24"/>
          <w:szCs w:val="24"/>
        </w:rPr>
        <w:t xml:space="preserve">, United States District Court Judge John J. Tharp, Jr., U.S. District Court for Northern District of Illinois, Eastern Division, granted summary judgment to the </w:t>
      </w:r>
      <w:proofErr w:type="gramStart"/>
      <w:r w:rsidRPr="00D86881">
        <w:rPr>
          <w:rFonts w:ascii="Times New Roman" w:hAnsi="Times New Roman"/>
          <w:sz w:val="24"/>
          <w:szCs w:val="24"/>
        </w:rPr>
        <w:t>City</w:t>
      </w:r>
      <w:proofErr w:type="gramEnd"/>
      <w:r w:rsidRPr="00D86881">
        <w:rPr>
          <w:rFonts w:ascii="Times New Roman" w:hAnsi="Times New Roman"/>
          <w:sz w:val="24"/>
          <w:szCs w:val="24"/>
        </w:rPr>
        <w:t>.  The Court wrote: “In October 2021, the circuit court entered an agreed order retaining jurisdiction but remanding the case to the Board; the court instructed the Board, on remand, to enter an amended decision containing additional information ‘as to the</w:t>
      </w:r>
    </w:p>
    <w:p w14:paraId="7F50C7AE"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facts, laws, and basis for the [outcome] and discipline issued.’ Agreed Order 1, ECF No. 23-2.</w:t>
      </w:r>
    </w:p>
    <w:p w14:paraId="590952B9"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The Board did so in April 2022, again terminating Strickland, and Strickland ‘determined not to</w:t>
      </w:r>
    </w:p>
    <w:p w14:paraId="55B76E6E"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 xml:space="preserve">pursue [further] action’ regarding the amended decision…. Strickland thus had a full and fair opportunity to litigate the claims presented here in state court…. This suit is therefore barred in its entirety by Illinois and federal law.” </w:t>
      </w:r>
      <w:hyperlink r:id="rId1571" w:history="1">
        <w:r w:rsidRPr="00D86881">
          <w:rPr>
            <w:rStyle w:val="Hyperlink"/>
            <w:rFonts w:ascii="Times New Roman" w:hAnsi="Times New Roman"/>
            <w:sz w:val="24"/>
            <w:szCs w:val="24"/>
          </w:rPr>
          <w:t>https://cases.justia.com/federal/district-courts/illinois/ilndce/1:2022cv01419/413396/37/0.pdf?ts=1732013718</w:t>
        </w:r>
      </w:hyperlink>
      <w:r w:rsidRPr="00D86881">
        <w:rPr>
          <w:rFonts w:ascii="Times New Roman" w:hAnsi="Times New Roman"/>
          <w:sz w:val="24"/>
          <w:szCs w:val="24"/>
        </w:rPr>
        <w:t xml:space="preserve"> </w:t>
      </w:r>
    </w:p>
    <w:p w14:paraId="57857CFE" w14:textId="77777777" w:rsidR="00D86881" w:rsidRPr="00D86881" w:rsidRDefault="00D86881" w:rsidP="004529D8">
      <w:pPr>
        <w:pStyle w:val="NoSpacing"/>
        <w:rPr>
          <w:rFonts w:ascii="Times New Roman" w:hAnsi="Times New Roman"/>
          <w:sz w:val="24"/>
          <w:szCs w:val="24"/>
        </w:rPr>
      </w:pPr>
    </w:p>
    <w:p w14:paraId="4658AA7A" w14:textId="77777777" w:rsidR="00D86881" w:rsidRPr="00D86881" w:rsidRDefault="00D86881" w:rsidP="00D86881">
      <w:pPr>
        <w:pStyle w:val="NoSpacing"/>
        <w:rPr>
          <w:rFonts w:ascii="Times New Roman" w:hAnsi="Times New Roman"/>
          <w:b/>
          <w:bCs/>
          <w:sz w:val="24"/>
          <w:szCs w:val="24"/>
        </w:rPr>
      </w:pPr>
      <w:r w:rsidRPr="00D86881">
        <w:rPr>
          <w:rFonts w:ascii="Times New Roman" w:hAnsi="Times New Roman"/>
          <w:b/>
          <w:sz w:val="24"/>
          <w:szCs w:val="24"/>
        </w:rPr>
        <w:t xml:space="preserve">Legal Lesson Learned:  If you are claiming retaliation, and appealing the Board’s termination to a state court, then do not voluntarily </w:t>
      </w:r>
      <w:proofErr w:type="gramStart"/>
      <w:r w:rsidRPr="00D86881">
        <w:rPr>
          <w:rFonts w:ascii="Times New Roman" w:hAnsi="Times New Roman"/>
          <w:b/>
          <w:sz w:val="24"/>
          <w:szCs w:val="24"/>
        </w:rPr>
        <w:t>dismissed</w:t>
      </w:r>
      <w:proofErr w:type="gramEnd"/>
      <w:r w:rsidRPr="00D86881">
        <w:rPr>
          <w:rFonts w:ascii="Times New Roman" w:hAnsi="Times New Roman"/>
          <w:b/>
          <w:sz w:val="24"/>
          <w:szCs w:val="24"/>
        </w:rPr>
        <w:t xml:space="preserve"> the state court case. </w:t>
      </w:r>
    </w:p>
    <w:p w14:paraId="5290D506" w14:textId="77777777" w:rsidR="00D86881" w:rsidRPr="00D86881" w:rsidRDefault="00D86881" w:rsidP="00D86881">
      <w:pPr>
        <w:pStyle w:val="NoSpacing"/>
        <w:rPr>
          <w:rFonts w:ascii="Times New Roman" w:hAnsi="Times New Roman"/>
          <w:sz w:val="24"/>
          <w:szCs w:val="24"/>
        </w:rPr>
      </w:pPr>
    </w:p>
    <w:p w14:paraId="194924B1" w14:textId="77777777" w:rsidR="00D86881" w:rsidRPr="00D86881" w:rsidRDefault="00D86881" w:rsidP="00D86881">
      <w:pPr>
        <w:pStyle w:val="NoSpacing"/>
        <w:ind w:left="720"/>
        <w:rPr>
          <w:rFonts w:ascii="Times New Roman" w:hAnsi="Times New Roman"/>
          <w:b/>
          <w:sz w:val="24"/>
          <w:szCs w:val="24"/>
        </w:rPr>
      </w:pPr>
      <w:r w:rsidRPr="00D86881">
        <w:rPr>
          <w:rFonts w:ascii="Times New Roman" w:hAnsi="Times New Roman"/>
          <w:sz w:val="24"/>
          <w:szCs w:val="24"/>
        </w:rPr>
        <w:t xml:space="preserve">Note: See article on this case, Nov. 19, 2024; </w:t>
      </w:r>
      <w:r w:rsidRPr="00D86881">
        <w:rPr>
          <w:rFonts w:ascii="Times New Roman" w:hAnsi="Times New Roman"/>
          <w:bCs/>
          <w:sz w:val="24"/>
          <w:szCs w:val="24"/>
        </w:rPr>
        <w:t xml:space="preserve">“Black Ex-Firefighter Barred </w:t>
      </w:r>
      <w:proofErr w:type="gramStart"/>
      <w:r w:rsidRPr="00D86881">
        <w:rPr>
          <w:rFonts w:ascii="Times New Roman" w:hAnsi="Times New Roman"/>
          <w:bCs/>
          <w:sz w:val="24"/>
          <w:szCs w:val="24"/>
        </w:rPr>
        <w:t>From</w:t>
      </w:r>
      <w:proofErr w:type="gramEnd"/>
      <w:r w:rsidRPr="00D86881">
        <w:rPr>
          <w:rFonts w:ascii="Times New Roman" w:hAnsi="Times New Roman"/>
          <w:bCs/>
          <w:sz w:val="24"/>
          <w:szCs w:val="24"/>
        </w:rPr>
        <w:t xml:space="preserve"> Bringing Racial Bias Lawsuit.” “</w:t>
      </w:r>
      <w:r w:rsidRPr="00D86881">
        <w:rPr>
          <w:rFonts w:ascii="Times New Roman" w:hAnsi="Times New Roman"/>
          <w:sz w:val="24"/>
          <w:szCs w:val="24"/>
        </w:rPr>
        <w:t>A Black firefighter fired from an Illinois city is legally barred from pursuing a federal discrimination and retaliation suit because had had already brought these claims in state court, a judge ruled.”</w:t>
      </w:r>
    </w:p>
    <w:p w14:paraId="26116827" w14:textId="77777777" w:rsidR="00D86881" w:rsidRPr="00E71CE2" w:rsidRDefault="00D86881" w:rsidP="00D86881">
      <w:pPr>
        <w:pStyle w:val="NoSpacing"/>
        <w:ind w:left="720"/>
        <w:rPr>
          <w:bCs/>
        </w:rPr>
      </w:pPr>
      <w:hyperlink r:id="rId1572" w:history="1">
        <w:r w:rsidRPr="00D86881">
          <w:rPr>
            <w:rStyle w:val="Hyperlink"/>
            <w:rFonts w:ascii="Times New Roman" w:hAnsi="Times New Roman"/>
            <w:sz w:val="24"/>
            <w:szCs w:val="24"/>
          </w:rPr>
          <w:t>https://news.bloomberglaw.com/us-law-week/black-ex-firefighter-barred-from-bringing-racial-bias-lawsuit</w:t>
        </w:r>
      </w:hyperlink>
      <w:r>
        <w:t xml:space="preserve"> </w:t>
      </w:r>
    </w:p>
    <w:p w14:paraId="54B1DC2E" w14:textId="77777777" w:rsidR="00D86881" w:rsidRDefault="00D86881" w:rsidP="004529D8">
      <w:pPr>
        <w:pStyle w:val="NoSpacing"/>
      </w:pPr>
    </w:p>
    <w:p w14:paraId="691C9103" w14:textId="77777777" w:rsidR="004529D8" w:rsidRDefault="004529D8" w:rsidP="00BC70A3">
      <w:pPr>
        <w:rPr>
          <w:rFonts w:ascii="Arial Black" w:hAnsi="Arial Black"/>
          <w:b/>
          <w:sz w:val="24"/>
          <w:szCs w:val="24"/>
        </w:rPr>
      </w:pPr>
    </w:p>
    <w:p w14:paraId="611BEE99" w14:textId="6E4DC8F6" w:rsidR="00D86881" w:rsidRDefault="00D86881" w:rsidP="00D86881">
      <w:pPr>
        <w:rPr>
          <w:rFonts w:ascii="Arial Black" w:hAnsi="Arial Black"/>
          <w:b/>
          <w:sz w:val="24"/>
          <w:szCs w:val="24"/>
        </w:rPr>
      </w:pPr>
      <w:r>
        <w:rPr>
          <w:rFonts w:ascii="Arial Black" w:hAnsi="Arial Black"/>
          <w:b/>
          <w:sz w:val="24"/>
          <w:szCs w:val="24"/>
        </w:rPr>
        <w:t>8-6</w:t>
      </w:r>
      <w:r w:rsidR="00AE05CE">
        <w:rPr>
          <w:rFonts w:ascii="Arial Black" w:hAnsi="Arial Black"/>
          <w:b/>
          <w:sz w:val="24"/>
          <w:szCs w:val="24"/>
        </w:rPr>
        <w:t>6</w:t>
      </w:r>
    </w:p>
    <w:p w14:paraId="0C0D370C" w14:textId="77777777" w:rsidR="009525F2" w:rsidRPr="00EC35DF" w:rsidRDefault="009525F2" w:rsidP="009525F2">
      <w:pPr>
        <w:rPr>
          <w:rFonts w:ascii="Times New Roman" w:hAnsi="Times New Roman"/>
          <w:b/>
          <w:sz w:val="24"/>
          <w:szCs w:val="24"/>
        </w:rPr>
      </w:pPr>
      <w:r>
        <w:rPr>
          <w:rFonts w:ascii="Arial Black" w:hAnsi="Arial Black"/>
          <w:b/>
          <w:sz w:val="28"/>
          <w:szCs w:val="28"/>
        </w:rPr>
        <w:t xml:space="preserve">WA: NOOSE OVER BLACK FF NECK –  FELLOW RECRUIT - NO HOSTILE </w:t>
      </w:r>
      <w:r w:rsidRPr="00EC35DF">
        <w:rPr>
          <w:rFonts w:ascii="Times New Roman" w:hAnsi="Times New Roman"/>
          <w:b/>
          <w:sz w:val="24"/>
          <w:szCs w:val="24"/>
        </w:rPr>
        <w:t>WORK ENVIRONMENT OR FAILURE TO SUPERVISE</w:t>
      </w:r>
    </w:p>
    <w:p w14:paraId="72057F1A" w14:textId="77777777" w:rsidR="009525F2" w:rsidRPr="00EC35DF" w:rsidRDefault="009525F2" w:rsidP="009525F2">
      <w:pPr>
        <w:pStyle w:val="NoSpacing"/>
        <w:rPr>
          <w:rFonts w:ascii="Times New Roman" w:hAnsi="Times New Roman"/>
          <w:sz w:val="24"/>
          <w:szCs w:val="24"/>
        </w:rPr>
      </w:pPr>
      <w:r w:rsidRPr="00EC35DF">
        <w:rPr>
          <w:rFonts w:ascii="Times New Roman" w:hAnsi="Times New Roman"/>
          <w:sz w:val="24"/>
          <w:szCs w:val="24"/>
        </w:rPr>
        <w:t xml:space="preserve">On Nov. 4, 2024, in </w:t>
      </w:r>
      <w:r w:rsidRPr="00EC35DF">
        <w:rPr>
          <w:rFonts w:ascii="Times New Roman" w:hAnsi="Times New Roman"/>
          <w:sz w:val="24"/>
          <w:szCs w:val="24"/>
          <w:u w:val="single"/>
        </w:rPr>
        <w:t>Elijah Page v. Clark County Fire District 6, et al</w:t>
      </w:r>
      <w:r w:rsidRPr="00EC35DF">
        <w:rPr>
          <w:rFonts w:ascii="Times New Roman" w:hAnsi="Times New Roman"/>
          <w:sz w:val="24"/>
          <w:szCs w:val="24"/>
        </w:rPr>
        <w:t xml:space="preserve">., United States District Court Judge David G. Estudillo. U.S. District Court, Western District of Washington, granted summary judgment to the Fire Chief and others. The Court wrote: “The Court cannot objectively conclude Page's work environment could be perceived as abusive because of Erickson's onetime misconduct.  Page's hostile work environment claim fails as a matter of law. *** And the examples of horseplay provided by the various witnesses did not resemble Erickson's conduct toward Page. Accordingly, Page's negligent supervision claim fails as a matter of law.” </w:t>
      </w:r>
      <w:hyperlink r:id="rId1573" w:history="1">
        <w:r w:rsidRPr="00EC35DF">
          <w:rPr>
            <w:rStyle w:val="Hyperlink"/>
            <w:rFonts w:ascii="Times New Roman" w:hAnsi="Times New Roman"/>
            <w:sz w:val="24"/>
            <w:szCs w:val="24"/>
          </w:rPr>
          <w:t>https://casetext.com/case/page-v-clark-cnty-fire-dist-5</w:t>
        </w:r>
      </w:hyperlink>
    </w:p>
    <w:p w14:paraId="2E0AF572" w14:textId="77777777" w:rsidR="00EC35DF" w:rsidRPr="00EC35DF" w:rsidRDefault="00EC35DF" w:rsidP="00EC35DF">
      <w:pPr>
        <w:pStyle w:val="NoSpacing"/>
        <w:rPr>
          <w:rFonts w:ascii="Times New Roman" w:hAnsi="Times New Roman"/>
          <w:b/>
          <w:sz w:val="24"/>
          <w:szCs w:val="24"/>
        </w:rPr>
      </w:pPr>
    </w:p>
    <w:p w14:paraId="19D0F430" w14:textId="1D5A58BC" w:rsidR="00EC35DF" w:rsidRPr="00EC35DF" w:rsidRDefault="00EC35DF" w:rsidP="00EC35DF">
      <w:pPr>
        <w:pStyle w:val="NoSpacing"/>
        <w:rPr>
          <w:rFonts w:ascii="Times New Roman" w:hAnsi="Times New Roman"/>
          <w:b/>
          <w:bCs/>
          <w:sz w:val="24"/>
          <w:szCs w:val="24"/>
        </w:rPr>
      </w:pPr>
      <w:r w:rsidRPr="00EC35DF">
        <w:rPr>
          <w:rFonts w:ascii="Times New Roman" w:hAnsi="Times New Roman"/>
          <w:b/>
          <w:sz w:val="24"/>
          <w:szCs w:val="24"/>
        </w:rPr>
        <w:t>Legal Lesson Learned: Stupid act</w:t>
      </w:r>
      <w:r w:rsidRPr="00EC35DF">
        <w:rPr>
          <w:rFonts w:ascii="Times New Roman" w:hAnsi="Times New Roman"/>
          <w:b/>
          <w:bCs/>
          <w:sz w:val="24"/>
          <w:szCs w:val="24"/>
        </w:rPr>
        <w:t xml:space="preserve"> by a fellow recruit</w:t>
      </w:r>
      <w:r w:rsidRPr="00EC35DF">
        <w:rPr>
          <w:rFonts w:ascii="Times New Roman" w:hAnsi="Times New Roman"/>
          <w:b/>
          <w:sz w:val="24"/>
          <w:szCs w:val="24"/>
        </w:rPr>
        <w:t xml:space="preserve">; not basis for lawsuit against the fire department or its officers. </w:t>
      </w:r>
    </w:p>
    <w:p w14:paraId="00349DF9" w14:textId="77777777" w:rsidR="00EC35DF" w:rsidRPr="00EC35DF" w:rsidRDefault="00EC35DF" w:rsidP="00EC35DF">
      <w:pPr>
        <w:pStyle w:val="NoSpacing"/>
        <w:rPr>
          <w:rFonts w:ascii="Times New Roman" w:hAnsi="Times New Roman"/>
          <w:sz w:val="24"/>
          <w:szCs w:val="24"/>
        </w:rPr>
      </w:pPr>
    </w:p>
    <w:p w14:paraId="44C28054" w14:textId="77777777" w:rsidR="00AE05CE" w:rsidRDefault="00AE05CE" w:rsidP="00AE05CE">
      <w:pPr>
        <w:rPr>
          <w:rFonts w:ascii="Arial Black" w:hAnsi="Arial Black"/>
          <w:b/>
          <w:sz w:val="24"/>
          <w:szCs w:val="24"/>
        </w:rPr>
      </w:pPr>
      <w:r>
        <w:rPr>
          <w:rFonts w:ascii="Arial Black" w:hAnsi="Arial Black"/>
          <w:b/>
          <w:sz w:val="24"/>
          <w:szCs w:val="24"/>
        </w:rPr>
        <w:t>8-65</w:t>
      </w:r>
    </w:p>
    <w:p w14:paraId="036842BE" w14:textId="2003BC0D" w:rsidR="00AE05CE" w:rsidRPr="00B93F18" w:rsidRDefault="00AE05CE" w:rsidP="00AE05CE">
      <w:pPr>
        <w:pStyle w:val="NoSpacing"/>
        <w:rPr>
          <w:rFonts w:ascii="Arial Black" w:hAnsi="Arial Black"/>
          <w:b/>
          <w:sz w:val="28"/>
          <w:szCs w:val="28"/>
        </w:rPr>
      </w:pPr>
      <w:r>
        <w:rPr>
          <w:rFonts w:ascii="Arial Black" w:hAnsi="Arial Black"/>
          <w:b/>
          <w:sz w:val="28"/>
          <w:szCs w:val="28"/>
        </w:rPr>
        <w:t xml:space="preserve">NJ: COVID-19 TRAINING – DEPUTY CHIEF MOCKED FF - ASIAN– PROMTLY INVESTIGATED - DC RETIRED - NO CASE </w:t>
      </w:r>
    </w:p>
    <w:p w14:paraId="51D533FC" w14:textId="77777777" w:rsidR="00AE05CE" w:rsidRDefault="00AE05CE" w:rsidP="00AE05CE">
      <w:pPr>
        <w:pStyle w:val="NoSpacing"/>
        <w:ind w:firstLine="720"/>
        <w:rPr>
          <w:b/>
        </w:rPr>
      </w:pPr>
    </w:p>
    <w:p w14:paraId="57217994" w14:textId="7B3836E4" w:rsidR="004529D8" w:rsidRPr="005F76D4" w:rsidRDefault="00AE05CE" w:rsidP="00AE05CE">
      <w:pPr>
        <w:rPr>
          <w:rFonts w:ascii="Times New Roman" w:hAnsi="Times New Roman"/>
          <w:b/>
          <w:sz w:val="24"/>
          <w:szCs w:val="24"/>
        </w:rPr>
      </w:pPr>
      <w:r w:rsidRPr="005F76D4">
        <w:rPr>
          <w:rFonts w:ascii="Times New Roman" w:hAnsi="Times New Roman"/>
          <w:sz w:val="24"/>
          <w:szCs w:val="24"/>
        </w:rPr>
        <w:t xml:space="preserve">On Nov. 1, 2024, in </w:t>
      </w:r>
      <w:r w:rsidRPr="005F76D4">
        <w:rPr>
          <w:rFonts w:ascii="Times New Roman" w:hAnsi="Times New Roman"/>
          <w:sz w:val="24"/>
          <w:szCs w:val="24"/>
          <w:u w:val="single"/>
        </w:rPr>
        <w:t>Timothy Burkhard v. City of Plainfield, et al</w:t>
      </w:r>
      <w:r w:rsidRPr="005F76D4">
        <w:rPr>
          <w:rFonts w:ascii="Times New Roman" w:hAnsi="Times New Roman"/>
          <w:sz w:val="24"/>
          <w:szCs w:val="24"/>
        </w:rPr>
        <w:t>., Superior Court of New Jersey, Appellate Division, the Court held (3 to 0; unpublished decision) that the trial court properly granted summary judgment to the defense.  The Court wrote: “Importantly, the record clearly shows plaintiff was not subjected to discrimination before or after the COVID-19 training incident.  [P]</w:t>
      </w:r>
      <w:proofErr w:type="spellStart"/>
      <w:r w:rsidRPr="005F76D4">
        <w:rPr>
          <w:rFonts w:ascii="Times New Roman" w:hAnsi="Times New Roman"/>
          <w:sz w:val="24"/>
          <w:szCs w:val="24"/>
        </w:rPr>
        <w:t>laintiff</w:t>
      </w:r>
      <w:proofErr w:type="spellEnd"/>
      <w:r w:rsidRPr="005F76D4">
        <w:rPr>
          <w:rFonts w:ascii="Times New Roman" w:hAnsi="Times New Roman"/>
          <w:sz w:val="24"/>
          <w:szCs w:val="24"/>
        </w:rPr>
        <w:t xml:space="preserve"> did not suffer any tangible change in his position, duties, or compensation. Indeed, the record shows the fire department supported him. In these circumstances, we do not believe that the failure to deliver the written reprimand renders defendant's overall response ineffective for purposes of the affirmative defense.”  </w:t>
      </w:r>
      <w:hyperlink r:id="rId1574" w:history="1">
        <w:r w:rsidRPr="005F76D4">
          <w:rPr>
            <w:rStyle w:val="Hyperlink"/>
            <w:rFonts w:ascii="Times New Roman" w:hAnsi="Times New Roman"/>
            <w:sz w:val="24"/>
            <w:szCs w:val="24"/>
          </w:rPr>
          <w:t>https://www.njcourts.gov/system/files/court-opinions/2024/a3173-22.pdf</w:t>
        </w:r>
      </w:hyperlink>
    </w:p>
    <w:p w14:paraId="5940EA97" w14:textId="077F5B18" w:rsidR="005F76D4" w:rsidRPr="005F76D4" w:rsidRDefault="005F76D4" w:rsidP="005F76D4">
      <w:pPr>
        <w:pStyle w:val="NoSpacing"/>
        <w:rPr>
          <w:rFonts w:ascii="Times New Roman" w:hAnsi="Times New Roman"/>
          <w:b/>
          <w:sz w:val="24"/>
          <w:szCs w:val="24"/>
        </w:rPr>
      </w:pPr>
      <w:r w:rsidRPr="005F76D4">
        <w:rPr>
          <w:rFonts w:ascii="Times New Roman" w:hAnsi="Times New Roman"/>
          <w:b/>
          <w:sz w:val="24"/>
          <w:szCs w:val="24"/>
        </w:rPr>
        <w:t xml:space="preserve">Legal Lesson Learned: The incident was promptly investigated, and </w:t>
      </w:r>
      <w:r w:rsidR="009652EC">
        <w:rPr>
          <w:rFonts w:ascii="Times New Roman" w:hAnsi="Times New Roman"/>
          <w:b/>
          <w:sz w:val="24"/>
          <w:szCs w:val="24"/>
        </w:rPr>
        <w:t xml:space="preserve">the </w:t>
      </w:r>
      <w:r w:rsidRPr="005F76D4">
        <w:rPr>
          <w:rFonts w:ascii="Times New Roman" w:hAnsi="Times New Roman"/>
          <w:b/>
          <w:sz w:val="24"/>
          <w:szCs w:val="24"/>
        </w:rPr>
        <w:t>plaintiff did not suffer any tangible change in his position, duties, or compensation.</w:t>
      </w:r>
    </w:p>
    <w:p w14:paraId="2A747E45" w14:textId="77777777" w:rsidR="005F76D4" w:rsidRDefault="005F76D4" w:rsidP="005F76D4">
      <w:pPr>
        <w:pStyle w:val="NoSpacing"/>
        <w:ind w:firstLine="720"/>
        <w:rPr>
          <w:bCs/>
        </w:rPr>
      </w:pPr>
    </w:p>
    <w:p w14:paraId="10341B9B" w14:textId="77777777" w:rsidR="004529D8" w:rsidRDefault="004529D8" w:rsidP="00BC70A3">
      <w:pPr>
        <w:rPr>
          <w:rFonts w:ascii="Arial Black" w:hAnsi="Arial Black"/>
          <w:b/>
          <w:sz w:val="24"/>
          <w:szCs w:val="24"/>
        </w:rPr>
      </w:pPr>
    </w:p>
    <w:p w14:paraId="0E57D29B" w14:textId="3A41FA82" w:rsidR="00742F52" w:rsidRDefault="00742F52" w:rsidP="00BC70A3">
      <w:pPr>
        <w:rPr>
          <w:rFonts w:ascii="Arial Black" w:hAnsi="Arial Black"/>
          <w:b/>
          <w:sz w:val="24"/>
          <w:szCs w:val="24"/>
        </w:rPr>
      </w:pPr>
      <w:r>
        <w:rPr>
          <w:rFonts w:ascii="Arial Black" w:hAnsi="Arial Black"/>
          <w:b/>
          <w:sz w:val="24"/>
          <w:szCs w:val="24"/>
        </w:rPr>
        <w:t>8-64</w:t>
      </w:r>
    </w:p>
    <w:p w14:paraId="032C9F82" w14:textId="77777777" w:rsidR="00742F52" w:rsidRPr="00E33095" w:rsidRDefault="00742F52" w:rsidP="00742F52">
      <w:pPr>
        <w:rPr>
          <w:rFonts w:ascii="Times New Roman" w:hAnsi="Times New Roman"/>
          <w:b/>
          <w:bCs/>
          <w:sz w:val="24"/>
          <w:szCs w:val="24"/>
        </w:rPr>
      </w:pPr>
      <w:r w:rsidRPr="00E33095">
        <w:rPr>
          <w:rFonts w:ascii="Times New Roman" w:hAnsi="Times New Roman"/>
          <w:b/>
          <w:bCs/>
          <w:sz w:val="24"/>
          <w:szCs w:val="24"/>
        </w:rPr>
        <w:t>IL: CHICAFO FF – FACEBOOK POSTS RACIST – CITIZEN COMPLAINTS - TERMINATION UPHELD</w:t>
      </w:r>
    </w:p>
    <w:p w14:paraId="61EFEA82"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 xml:space="preserve">On Oct. 7, 2024, </w:t>
      </w:r>
      <w:r w:rsidRPr="00E33095">
        <w:rPr>
          <w:rFonts w:ascii="Times New Roman" w:hAnsi="Times New Roman"/>
          <w:sz w:val="24"/>
          <w:szCs w:val="24"/>
          <w:u w:val="single"/>
        </w:rPr>
        <w:t>in Sam Inendino v. Annette Nancy-Holt, Brian Casey, and the City of Chicago</w:t>
      </w:r>
      <w:r w:rsidRPr="00E33095">
        <w:rPr>
          <w:rFonts w:ascii="Times New Roman" w:hAnsi="Times New Roman"/>
          <w:sz w:val="24"/>
          <w:szCs w:val="24"/>
        </w:rPr>
        <w:t xml:space="preserve">, U.S. District Court Judge Matthew F. Kennelly, U.S. District Court for the Northern District of Illinois, held: “Sam Inendino alleges that Annette Nance-Holt, Brian Casey, and the </w:t>
      </w:r>
      <w:proofErr w:type="gramStart"/>
      <w:r w:rsidRPr="00E33095">
        <w:rPr>
          <w:rFonts w:ascii="Times New Roman" w:hAnsi="Times New Roman"/>
          <w:sz w:val="24"/>
          <w:szCs w:val="24"/>
        </w:rPr>
        <w:t>City</w:t>
      </w:r>
      <w:proofErr w:type="gramEnd"/>
      <w:r w:rsidRPr="00E33095">
        <w:rPr>
          <w:rFonts w:ascii="Times New Roman" w:hAnsi="Times New Roman"/>
          <w:sz w:val="24"/>
          <w:szCs w:val="24"/>
        </w:rPr>
        <w:t xml:space="preserve"> of</w:t>
      </w:r>
    </w:p>
    <w:p w14:paraId="4C04647B"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Chicago violated his First Amendment rights when he was terminated from the Chicago</w:t>
      </w:r>
    </w:p>
    <w:p w14:paraId="5F8F98B3"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 xml:space="preserve">Fire Department (CFD) for offensive public statements he made on Facebook. The parties have filed cross-motions for summary judgment. For the following reasons, the Court grants summary judgment in favor of defendants Nance-Holt, Casey, and the City of Chicago.” </w:t>
      </w:r>
    </w:p>
    <w:p w14:paraId="22E1F8F3" w14:textId="77777777" w:rsidR="00742F52" w:rsidRPr="00E33095" w:rsidRDefault="00742F52" w:rsidP="00742F52">
      <w:pPr>
        <w:pStyle w:val="NoSpacing"/>
        <w:rPr>
          <w:rFonts w:ascii="Times New Roman" w:hAnsi="Times New Roman"/>
          <w:sz w:val="24"/>
          <w:szCs w:val="24"/>
        </w:rPr>
      </w:pPr>
      <w:hyperlink r:id="rId1575" w:history="1">
        <w:r w:rsidRPr="00E33095">
          <w:rPr>
            <w:rStyle w:val="Hyperlink"/>
            <w:rFonts w:ascii="Times New Roman" w:hAnsi="Times New Roman"/>
            <w:sz w:val="24"/>
            <w:szCs w:val="24"/>
          </w:rPr>
          <w:t>https://cases.justia.com/federal/district-courts/illinois/ilndce/1:2022cv04982/419212/136/0.pdf?ts=1728381206</w:t>
        </w:r>
      </w:hyperlink>
      <w:r w:rsidRPr="00E33095">
        <w:rPr>
          <w:rFonts w:ascii="Times New Roman" w:hAnsi="Times New Roman"/>
          <w:sz w:val="24"/>
          <w:szCs w:val="24"/>
        </w:rPr>
        <w:t xml:space="preserve"> </w:t>
      </w:r>
    </w:p>
    <w:p w14:paraId="359729D5" w14:textId="77777777" w:rsidR="00742F52" w:rsidRPr="00E33095" w:rsidRDefault="00742F52" w:rsidP="00BC70A3">
      <w:pPr>
        <w:rPr>
          <w:rFonts w:ascii="Times New Roman" w:hAnsi="Times New Roman"/>
          <w:b/>
          <w:sz w:val="24"/>
          <w:szCs w:val="24"/>
        </w:rPr>
      </w:pPr>
    </w:p>
    <w:p w14:paraId="526D0989" w14:textId="77777777" w:rsidR="00E33095" w:rsidRPr="00E33095" w:rsidRDefault="00E33095" w:rsidP="00E33095">
      <w:pPr>
        <w:pStyle w:val="NoSpacing"/>
        <w:rPr>
          <w:rFonts w:ascii="Times New Roman" w:hAnsi="Times New Roman"/>
          <w:b/>
          <w:bCs/>
          <w:sz w:val="24"/>
          <w:szCs w:val="24"/>
        </w:rPr>
      </w:pPr>
      <w:r w:rsidRPr="00E33095">
        <w:rPr>
          <w:rFonts w:ascii="Times New Roman" w:hAnsi="Times New Roman"/>
          <w:b/>
          <w:sz w:val="24"/>
          <w:szCs w:val="24"/>
        </w:rPr>
        <w:t xml:space="preserve">Legal Lesson Learned: Race-based comments on Facebook or other social media can result in termination. </w:t>
      </w:r>
    </w:p>
    <w:p w14:paraId="61CEB7C6" w14:textId="77777777" w:rsidR="00E33095" w:rsidRPr="00E33095" w:rsidRDefault="00E33095" w:rsidP="00BC70A3">
      <w:pPr>
        <w:rPr>
          <w:rFonts w:ascii="Times New Roman" w:hAnsi="Times New Roman"/>
          <w:b/>
          <w:sz w:val="24"/>
          <w:szCs w:val="24"/>
        </w:rPr>
      </w:pPr>
    </w:p>
    <w:p w14:paraId="1419038C" w14:textId="77777777" w:rsidR="00742F52" w:rsidRDefault="00742F52" w:rsidP="00BC70A3">
      <w:pPr>
        <w:rPr>
          <w:rFonts w:ascii="Arial Black" w:hAnsi="Arial Black"/>
          <w:b/>
          <w:sz w:val="24"/>
          <w:szCs w:val="24"/>
        </w:rPr>
      </w:pPr>
    </w:p>
    <w:p w14:paraId="2BEFB9D0" w14:textId="5A373C81" w:rsidR="005904B5" w:rsidRDefault="005904B5" w:rsidP="00BC70A3">
      <w:pPr>
        <w:rPr>
          <w:rFonts w:ascii="Arial Black" w:hAnsi="Arial Black"/>
          <w:b/>
          <w:sz w:val="24"/>
          <w:szCs w:val="24"/>
        </w:rPr>
      </w:pPr>
      <w:r>
        <w:rPr>
          <w:rFonts w:ascii="Arial Black" w:hAnsi="Arial Black"/>
          <w:b/>
          <w:sz w:val="24"/>
          <w:szCs w:val="24"/>
        </w:rPr>
        <w:t>8-63</w:t>
      </w:r>
    </w:p>
    <w:p w14:paraId="76867384" w14:textId="77777777" w:rsidR="005E497B" w:rsidRDefault="005E497B" w:rsidP="005E497B">
      <w:pPr>
        <w:rPr>
          <w:rFonts w:ascii="Arial Black" w:hAnsi="Arial Black"/>
          <w:b/>
          <w:bCs/>
          <w:sz w:val="28"/>
        </w:rPr>
      </w:pPr>
      <w:r>
        <w:rPr>
          <w:rFonts w:ascii="Arial Black" w:hAnsi="Arial Black"/>
          <w:b/>
          <w:bCs/>
          <w:sz w:val="28"/>
        </w:rPr>
        <w:t>NY:  FDNY - CLASS ACTION APPROVED IN LAWSUIT BY 4,500 – 5,000 EMS -  55% NON-WHITE, 24% FEMALE</w:t>
      </w:r>
    </w:p>
    <w:p w14:paraId="1F0A741C" w14:textId="77777777" w:rsidR="005E497B" w:rsidRPr="005E497B" w:rsidRDefault="005E497B" w:rsidP="005E497B">
      <w:pPr>
        <w:pStyle w:val="NoSpacing"/>
        <w:rPr>
          <w:rFonts w:ascii="Times New Roman" w:hAnsi="Times New Roman"/>
          <w:sz w:val="24"/>
          <w:szCs w:val="24"/>
        </w:rPr>
      </w:pPr>
      <w:r w:rsidRPr="005E497B">
        <w:rPr>
          <w:rFonts w:ascii="Times New Roman" w:hAnsi="Times New Roman"/>
          <w:sz w:val="24"/>
          <w:szCs w:val="24"/>
        </w:rPr>
        <w:t xml:space="preserve">On September 24, 2024, in </w:t>
      </w:r>
      <w:r w:rsidRPr="005E497B">
        <w:rPr>
          <w:rFonts w:ascii="Times New Roman" w:hAnsi="Times New Roman"/>
          <w:sz w:val="24"/>
          <w:szCs w:val="24"/>
          <w:u w:val="single"/>
        </w:rPr>
        <w:t>Local 2507, Uniformed EMTs, Paramedics &amp; Fire Inspectors, et al. v. City of New York</w:t>
      </w:r>
      <w:r w:rsidRPr="005E497B">
        <w:rPr>
          <w:rFonts w:ascii="Times New Roman" w:hAnsi="Times New Roman"/>
          <w:sz w:val="24"/>
          <w:szCs w:val="24"/>
        </w:rPr>
        <w:t xml:space="preserve">, United States District Court Judge Analisa Torrres, U..S. District Court for the Southern District of New York, granted the plaintiffs’ motion for class certification and legal counsel for the class.  The lawsuit was filed in 2022, and pre-trial discovery has produced sufficient evidence for case to proceed as a class action.  The Court wrote: “Plaintiffs claim that the differences in compensation result from ‘the pronounced difference in demographics’ between EMS and Fire First Responders: While EMS First Responders are ‘at least 55% non-white and approximately 24% female,’ only ‘14% of Fire First Responders are non-white’ and ‘less than 1%’ are female. Id. ¶¶ 56, 99.”  </w:t>
      </w:r>
      <w:hyperlink r:id="rId1576" w:history="1">
        <w:r w:rsidRPr="005E497B">
          <w:rPr>
            <w:rStyle w:val="Hyperlink"/>
            <w:rFonts w:ascii="Times New Roman" w:hAnsi="Times New Roman"/>
            <w:sz w:val="24"/>
            <w:szCs w:val="24"/>
          </w:rPr>
          <w:t>https://local2507.com/wp-content/uploads/2024/09/Decision-on-Class-Action.pdf</w:t>
        </w:r>
      </w:hyperlink>
      <w:r w:rsidRPr="005E497B">
        <w:rPr>
          <w:rFonts w:ascii="Times New Roman" w:hAnsi="Times New Roman"/>
          <w:sz w:val="24"/>
          <w:szCs w:val="24"/>
        </w:rPr>
        <w:t xml:space="preserve"> </w:t>
      </w:r>
    </w:p>
    <w:p w14:paraId="07E017FE" w14:textId="77777777" w:rsidR="005E497B" w:rsidRDefault="005E497B" w:rsidP="005E497B">
      <w:pPr>
        <w:rPr>
          <w:rFonts w:ascii="Times New Roman" w:hAnsi="Times New Roman"/>
          <w:sz w:val="24"/>
          <w:szCs w:val="24"/>
        </w:rPr>
      </w:pPr>
    </w:p>
    <w:p w14:paraId="1661E87F" w14:textId="65EE73DF" w:rsidR="005E497B" w:rsidRPr="005E497B" w:rsidRDefault="005E497B" w:rsidP="005E497B">
      <w:pPr>
        <w:rPr>
          <w:rFonts w:ascii="Times New Roman" w:hAnsi="Times New Roman"/>
          <w:sz w:val="24"/>
          <w:szCs w:val="24"/>
        </w:rPr>
      </w:pPr>
      <w:r w:rsidRPr="005E497B">
        <w:rPr>
          <w:rFonts w:ascii="Times New Roman" w:hAnsi="Times New Roman"/>
          <w:sz w:val="24"/>
          <w:szCs w:val="24"/>
        </w:rPr>
        <w:t>THE COURT HELD:</w:t>
      </w:r>
    </w:p>
    <w:p w14:paraId="4521021D"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“In support of their disparate impact claims, Plaintiffs offer statistical evidence of</w:t>
      </w:r>
    </w:p>
    <w:p w14:paraId="1E5AF24C"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 xml:space="preserve">racial, sex/gender, and compensation disparities among EMS and Fire First Responders. See Landis Report at 3. The </w:t>
      </w:r>
      <w:proofErr w:type="gramStart"/>
      <w:r w:rsidRPr="005E497B">
        <w:rPr>
          <w:rFonts w:ascii="Times New Roman" w:hAnsi="Times New Roman"/>
          <w:sz w:val="24"/>
          <w:szCs w:val="24"/>
        </w:rPr>
        <w:t>City</w:t>
      </w:r>
      <w:proofErr w:type="gramEnd"/>
      <w:r w:rsidRPr="005E497B">
        <w:rPr>
          <w:rFonts w:ascii="Times New Roman" w:hAnsi="Times New Roman"/>
          <w:sz w:val="24"/>
          <w:szCs w:val="24"/>
        </w:rPr>
        <w:t xml:space="preserve"> does not dispute </w:t>
      </w:r>
      <w:proofErr w:type="gramStart"/>
      <w:r w:rsidRPr="005E497B">
        <w:rPr>
          <w:rFonts w:ascii="Times New Roman" w:hAnsi="Times New Roman"/>
          <w:sz w:val="24"/>
          <w:szCs w:val="24"/>
        </w:rPr>
        <w:t>the statistical</w:t>
      </w:r>
      <w:proofErr w:type="gramEnd"/>
      <w:r w:rsidRPr="005E497B">
        <w:rPr>
          <w:rFonts w:ascii="Times New Roman" w:hAnsi="Times New Roman"/>
          <w:sz w:val="24"/>
          <w:szCs w:val="24"/>
        </w:rPr>
        <w:t xml:space="preserve"> evidence.</w:t>
      </w:r>
    </w:p>
    <w:p w14:paraId="220E0655" w14:textId="77777777" w:rsidR="005E497B" w:rsidRPr="005E497B" w:rsidRDefault="005E497B" w:rsidP="005E497B">
      <w:pPr>
        <w:pStyle w:val="NoSpacing"/>
        <w:ind w:left="720"/>
        <w:rPr>
          <w:rFonts w:ascii="Times New Roman" w:hAnsi="Times New Roman"/>
          <w:sz w:val="24"/>
          <w:szCs w:val="24"/>
        </w:rPr>
      </w:pPr>
    </w:p>
    <w:p w14:paraId="0F15B19D"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w:t>
      </w:r>
    </w:p>
    <w:p w14:paraId="4E4B997E"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Plaintiffs have also offered substantial proof that the significantly less diverse Fire</w:t>
      </w:r>
    </w:p>
    <w:p w14:paraId="454C5F39" w14:textId="77777777" w:rsidR="005E497B" w:rsidRPr="005E497B" w:rsidRDefault="005E497B" w:rsidP="005E497B">
      <w:pPr>
        <w:pStyle w:val="NoSpacing"/>
        <w:ind w:left="720"/>
        <w:rPr>
          <w:rFonts w:ascii="Times New Roman" w:hAnsi="Times New Roman"/>
          <w:sz w:val="24"/>
          <w:szCs w:val="24"/>
        </w:rPr>
      </w:pPr>
      <w:proofErr w:type="gramStart"/>
      <w:r w:rsidRPr="005E497B">
        <w:rPr>
          <w:rFonts w:ascii="Times New Roman" w:hAnsi="Times New Roman"/>
          <w:sz w:val="24"/>
          <w:szCs w:val="24"/>
        </w:rPr>
        <w:t>First</w:t>
      </w:r>
      <w:proofErr w:type="gramEnd"/>
      <w:r w:rsidRPr="005E497B">
        <w:rPr>
          <w:rFonts w:ascii="Times New Roman" w:hAnsi="Times New Roman"/>
          <w:sz w:val="24"/>
          <w:szCs w:val="24"/>
        </w:rPr>
        <w:t xml:space="preserve"> Responders are the appropriate comparator to substantiate an inference of discriminatory intent.</w:t>
      </w:r>
    </w:p>
    <w:p w14:paraId="1DEDEF7E" w14:textId="77777777" w:rsidR="005E497B" w:rsidRPr="005E497B" w:rsidRDefault="005E497B" w:rsidP="005E497B">
      <w:pPr>
        <w:pStyle w:val="NoSpacing"/>
        <w:ind w:left="720"/>
        <w:rPr>
          <w:rFonts w:ascii="Times New Roman" w:hAnsi="Times New Roman"/>
          <w:sz w:val="24"/>
          <w:szCs w:val="24"/>
        </w:rPr>
      </w:pPr>
    </w:p>
    <w:p w14:paraId="4C0969D2"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w:t>
      </w:r>
    </w:p>
    <w:p w14:paraId="202D8E35" w14:textId="77777777" w:rsidR="005E497B" w:rsidRPr="005E497B" w:rsidRDefault="005E497B" w:rsidP="005E497B">
      <w:pPr>
        <w:pStyle w:val="NoSpacing"/>
        <w:rPr>
          <w:rFonts w:ascii="Times New Roman" w:hAnsi="Times New Roman"/>
          <w:sz w:val="24"/>
          <w:szCs w:val="24"/>
        </w:rPr>
      </w:pPr>
    </w:p>
    <w:p w14:paraId="0EB556D5"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 xml:space="preserve">In short, Plaintiffs offer significant proof that the </w:t>
      </w:r>
      <w:proofErr w:type="gramStart"/>
      <w:r w:rsidRPr="005E497B">
        <w:rPr>
          <w:rFonts w:ascii="Times New Roman" w:hAnsi="Times New Roman"/>
          <w:sz w:val="24"/>
          <w:szCs w:val="24"/>
        </w:rPr>
        <w:t>City</w:t>
      </w:r>
      <w:proofErr w:type="gramEnd"/>
      <w:r w:rsidRPr="005E497B">
        <w:rPr>
          <w:rFonts w:ascii="Times New Roman" w:hAnsi="Times New Roman"/>
          <w:sz w:val="24"/>
          <w:szCs w:val="24"/>
        </w:rPr>
        <w:t xml:space="preserve"> has ‘operated under a general</w:t>
      </w:r>
    </w:p>
    <w:p w14:paraId="5DD0D91B"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 xml:space="preserve">policy of discrimination.’ Dukes, 564 U.S. at 353 [Wal-Mart Stores, Inc. v. Dukes, 564 U.S. 338 (2011); </w:t>
      </w:r>
      <w:hyperlink r:id="rId1577" w:history="1">
        <w:r w:rsidRPr="005E497B">
          <w:rPr>
            <w:rStyle w:val="Hyperlink"/>
            <w:rFonts w:ascii="Times New Roman" w:hAnsi="Times New Roman"/>
            <w:sz w:val="24"/>
            <w:szCs w:val="24"/>
          </w:rPr>
          <w:t>https://supreme.justia.com/cases/federal/us/564/338/</w:t>
        </w:r>
      </w:hyperlink>
      <w:r w:rsidRPr="005E497B">
        <w:rPr>
          <w:rFonts w:ascii="Times New Roman" w:hAnsi="Times New Roman"/>
          <w:sz w:val="24"/>
          <w:szCs w:val="24"/>
        </w:rPr>
        <w:t xml:space="preserve"> ].  That includes substantial (and in some cases unrebutted) evidence of common policies that disparately impact the Class and Subclasses; statistical analyses showing that the EMS First Responders are more diverse by race and sex/gender than Fire First Responders and are paid significantly less; and expert analyses showing that EMS and Fire First Responders perform similar jobs and that no job-relevant rationale explains the difference in compensation. Such ‘generalized proof,’ Moore, 306 F.3d at 1252, is more than ‘capable of generating common answers’ to issues ‘central’ to the parties’ dispute, Dukes, 564 U.S. at 350.”</w:t>
      </w:r>
    </w:p>
    <w:p w14:paraId="3025D5B3" w14:textId="77777777" w:rsidR="005E497B" w:rsidRPr="005E497B" w:rsidRDefault="005E497B" w:rsidP="005E497B">
      <w:pPr>
        <w:pStyle w:val="NoSpacing"/>
        <w:rPr>
          <w:rFonts w:ascii="Times New Roman" w:hAnsi="Times New Roman"/>
          <w:sz w:val="24"/>
          <w:szCs w:val="24"/>
        </w:rPr>
      </w:pPr>
    </w:p>
    <w:p w14:paraId="45F0841B" w14:textId="77777777" w:rsidR="005E497B" w:rsidRPr="005E497B" w:rsidRDefault="005E497B" w:rsidP="005E497B">
      <w:pPr>
        <w:pStyle w:val="NoSpacing"/>
        <w:rPr>
          <w:rFonts w:ascii="Times New Roman" w:hAnsi="Times New Roman"/>
          <w:b/>
          <w:bCs/>
          <w:sz w:val="24"/>
          <w:szCs w:val="24"/>
        </w:rPr>
      </w:pPr>
      <w:r w:rsidRPr="005E497B">
        <w:rPr>
          <w:rFonts w:ascii="Times New Roman" w:hAnsi="Times New Roman"/>
          <w:b/>
          <w:bCs/>
          <w:sz w:val="24"/>
          <w:szCs w:val="24"/>
        </w:rPr>
        <w:t xml:space="preserve">Legal Lesson Learned: This is a massive class action lawsuit that could result in significant </w:t>
      </w:r>
      <w:proofErr w:type="gramStart"/>
      <w:r w:rsidRPr="005E497B">
        <w:rPr>
          <w:rFonts w:ascii="Times New Roman" w:hAnsi="Times New Roman"/>
          <w:b/>
          <w:bCs/>
          <w:sz w:val="24"/>
          <w:szCs w:val="24"/>
        </w:rPr>
        <w:t>damages</w:t>
      </w:r>
      <w:proofErr w:type="gramEnd"/>
      <w:r w:rsidRPr="005E497B">
        <w:rPr>
          <w:rFonts w:ascii="Times New Roman" w:hAnsi="Times New Roman"/>
          <w:b/>
          <w:bCs/>
          <w:sz w:val="24"/>
          <w:szCs w:val="24"/>
        </w:rPr>
        <w:t xml:space="preserve">. </w:t>
      </w:r>
    </w:p>
    <w:p w14:paraId="3708E078" w14:textId="77777777" w:rsidR="005E497B" w:rsidRPr="005E32B9" w:rsidRDefault="005E497B" w:rsidP="005E497B">
      <w:pPr>
        <w:pStyle w:val="NoSpacing"/>
      </w:pPr>
    </w:p>
    <w:p w14:paraId="6A981B35" w14:textId="77777777" w:rsidR="005E497B" w:rsidRDefault="005E497B" w:rsidP="005E497B">
      <w:pPr>
        <w:pStyle w:val="NoSpacing"/>
      </w:pPr>
    </w:p>
    <w:p w14:paraId="181202DB" w14:textId="77777777" w:rsidR="005904B5" w:rsidRDefault="005904B5" w:rsidP="00BC70A3">
      <w:pPr>
        <w:rPr>
          <w:rFonts w:ascii="Arial Black" w:hAnsi="Arial Black"/>
          <w:b/>
          <w:sz w:val="24"/>
          <w:szCs w:val="24"/>
        </w:rPr>
      </w:pPr>
    </w:p>
    <w:p w14:paraId="001C0757" w14:textId="77777777" w:rsidR="005904B5" w:rsidRDefault="005904B5" w:rsidP="00BC70A3">
      <w:pPr>
        <w:rPr>
          <w:rFonts w:ascii="Arial Black" w:hAnsi="Arial Black"/>
          <w:b/>
          <w:sz w:val="24"/>
          <w:szCs w:val="24"/>
        </w:rPr>
      </w:pPr>
    </w:p>
    <w:p w14:paraId="2640CF54" w14:textId="26B81C22" w:rsidR="00907CBF" w:rsidRDefault="00907CBF" w:rsidP="00BC70A3">
      <w:pPr>
        <w:rPr>
          <w:rFonts w:ascii="Arial Black" w:hAnsi="Arial Black"/>
          <w:b/>
          <w:sz w:val="24"/>
          <w:szCs w:val="24"/>
        </w:rPr>
      </w:pPr>
      <w:r>
        <w:rPr>
          <w:rFonts w:ascii="Arial Black" w:hAnsi="Arial Black"/>
          <w:b/>
          <w:sz w:val="24"/>
          <w:szCs w:val="24"/>
        </w:rPr>
        <w:t>8-62</w:t>
      </w:r>
    </w:p>
    <w:p w14:paraId="36D587EF" w14:textId="77777777" w:rsidR="00907CBF" w:rsidRPr="00C022E6" w:rsidRDefault="00907CBF" w:rsidP="00907CBF">
      <w:pPr>
        <w:pStyle w:val="NoSpacing"/>
        <w:rPr>
          <w:rFonts w:ascii="Aptos Black" w:hAnsi="Aptos Black"/>
          <w:sz w:val="28"/>
        </w:rPr>
      </w:pPr>
      <w:r>
        <w:rPr>
          <w:rFonts w:ascii="Aptos Black" w:hAnsi="Aptos Black"/>
          <w:sz w:val="28"/>
        </w:rPr>
        <w:t xml:space="preserve">TN:  BLACK FF FIRED – FACEBOOK POST –  CIVIL SERVICE COMMISSION MUST COMPARE TO PRIOR DISCIPLINE WHITE FFs </w:t>
      </w:r>
    </w:p>
    <w:p w14:paraId="38CCAC86" w14:textId="77777777" w:rsidR="00907CBF" w:rsidRPr="00907CBF" w:rsidRDefault="00907CBF" w:rsidP="00907CBF">
      <w:pPr>
        <w:pStyle w:val="NoSpacing"/>
        <w:rPr>
          <w:rFonts w:ascii="Times New Roman" w:hAnsi="Times New Roman"/>
          <w:sz w:val="24"/>
          <w:szCs w:val="24"/>
        </w:rPr>
      </w:pPr>
    </w:p>
    <w:p w14:paraId="1F035C36" w14:textId="77777777" w:rsidR="00907CBF" w:rsidRPr="00907CBF" w:rsidRDefault="00907CBF" w:rsidP="00907CBF">
      <w:pPr>
        <w:pStyle w:val="NoSpacing"/>
        <w:rPr>
          <w:rFonts w:ascii="Times New Roman" w:hAnsi="Times New Roman"/>
          <w:sz w:val="24"/>
          <w:szCs w:val="24"/>
        </w:rPr>
      </w:pPr>
      <w:r w:rsidRPr="00907CBF">
        <w:rPr>
          <w:rFonts w:ascii="Times New Roman" w:hAnsi="Times New Roman"/>
          <w:sz w:val="24"/>
          <w:szCs w:val="24"/>
        </w:rPr>
        <w:t xml:space="preserve">On Aug. 29, 2024, in </w:t>
      </w:r>
      <w:proofErr w:type="spellStart"/>
      <w:r w:rsidRPr="00907CBF">
        <w:rPr>
          <w:rFonts w:ascii="Times New Roman" w:hAnsi="Times New Roman"/>
          <w:sz w:val="24"/>
          <w:szCs w:val="24"/>
          <w:u w:val="single"/>
        </w:rPr>
        <w:t>Taurick</w:t>
      </w:r>
      <w:proofErr w:type="spellEnd"/>
      <w:r w:rsidRPr="00907CBF">
        <w:rPr>
          <w:rFonts w:ascii="Times New Roman" w:hAnsi="Times New Roman"/>
          <w:sz w:val="24"/>
          <w:szCs w:val="24"/>
          <w:u w:val="single"/>
        </w:rPr>
        <w:t xml:space="preserve"> Boyd v. City of Memphis</w:t>
      </w:r>
      <w:r w:rsidRPr="00907CBF">
        <w:rPr>
          <w:rFonts w:ascii="Times New Roman" w:hAnsi="Times New Roman"/>
          <w:sz w:val="24"/>
          <w:szCs w:val="24"/>
        </w:rPr>
        <w:t xml:space="preserve">, the Court of Appeals of Tennessee held (5 to 0) that the Civil Service Commission must examine whether the discipline is not in line with three white firefighters for inappropriate Facebook posts.  The Court wrote: “We do not go so far as the trial court to definitively conclude that termination of Private Boyd’s employment was unwarranted. Rather, based on our determination that the Commissioner failed to consider all relevant requirements of MFD 103.01, we vacate its order and remand for reconsideration.” </w:t>
      </w:r>
      <w:hyperlink r:id="rId1578" w:history="1">
        <w:r w:rsidRPr="00907CBF">
          <w:rPr>
            <w:rStyle w:val="Hyperlink"/>
            <w:rFonts w:ascii="Times New Roman" w:hAnsi="Times New Roman"/>
            <w:sz w:val="24"/>
            <w:szCs w:val="24"/>
          </w:rPr>
          <w:t>https://www.tncourts.gov/sites/default/files/OpinionsPDFVersion/BoydTaurickOPN.pdf</w:t>
        </w:r>
      </w:hyperlink>
      <w:r w:rsidRPr="00907CBF">
        <w:rPr>
          <w:rFonts w:ascii="Times New Roman" w:hAnsi="Times New Roman"/>
          <w:sz w:val="24"/>
          <w:szCs w:val="24"/>
        </w:rPr>
        <w:t xml:space="preserve"> </w:t>
      </w:r>
    </w:p>
    <w:p w14:paraId="5EF53AB0" w14:textId="77777777" w:rsidR="00907CBF" w:rsidRPr="00907CBF" w:rsidRDefault="00907CBF" w:rsidP="00907CBF">
      <w:pPr>
        <w:pStyle w:val="NoSpacing"/>
        <w:rPr>
          <w:rFonts w:ascii="Times New Roman" w:hAnsi="Times New Roman"/>
          <w:sz w:val="24"/>
          <w:szCs w:val="24"/>
        </w:rPr>
      </w:pPr>
    </w:p>
    <w:p w14:paraId="00D95F30" w14:textId="77777777" w:rsidR="00907CBF" w:rsidRPr="00907CBF" w:rsidRDefault="00907CBF" w:rsidP="00907CBF">
      <w:pPr>
        <w:pStyle w:val="NoSpacing"/>
        <w:rPr>
          <w:rFonts w:ascii="Times New Roman" w:hAnsi="Times New Roman"/>
          <w:sz w:val="24"/>
          <w:szCs w:val="24"/>
        </w:rPr>
      </w:pPr>
      <w:r w:rsidRPr="00907CBF">
        <w:rPr>
          <w:rFonts w:ascii="Times New Roman" w:hAnsi="Times New Roman"/>
          <w:sz w:val="24"/>
          <w:szCs w:val="24"/>
        </w:rPr>
        <w:t>THE COURT HELD:</w:t>
      </w:r>
    </w:p>
    <w:p w14:paraId="2E256179" w14:textId="77777777" w:rsidR="00907CBF" w:rsidRPr="00907CBF" w:rsidRDefault="00907CBF" w:rsidP="00907CBF">
      <w:pPr>
        <w:pStyle w:val="NoSpacing"/>
        <w:rPr>
          <w:rFonts w:ascii="Times New Roman" w:hAnsi="Times New Roman"/>
          <w:sz w:val="24"/>
          <w:szCs w:val="24"/>
        </w:rPr>
      </w:pPr>
    </w:p>
    <w:p w14:paraId="6B1918CD" w14:textId="77777777" w:rsidR="00907CBF" w:rsidRPr="00907CBF" w:rsidRDefault="00907CBF" w:rsidP="00907CBF">
      <w:pPr>
        <w:pStyle w:val="NoSpacing"/>
        <w:ind w:left="720"/>
        <w:rPr>
          <w:rFonts w:ascii="Times New Roman" w:hAnsi="Times New Roman"/>
          <w:sz w:val="24"/>
          <w:szCs w:val="24"/>
        </w:rPr>
      </w:pPr>
      <w:r w:rsidRPr="00907CBF">
        <w:rPr>
          <w:rFonts w:ascii="Times New Roman" w:hAnsi="Times New Roman"/>
          <w:sz w:val="24"/>
          <w:szCs w:val="24"/>
        </w:rPr>
        <w:t xml:space="preserve">“In truth, each of these firefighters, Lieutenant Kramer, Lieutenant Tolliver, Private Luhrs, and Private Boyd posted photos, statements, or memes that were offensive and in clear violation of MFD’s policies. These postings caused uproar in the community and resulted in negative press against the MFD. Like Private Boyd, Lieutenant Kramer had numerous previous policy violations. Like Private Boyd, Lieutenant Tolliver’s offensive photo was published to Facebook by a third-party. Like Private Boyd, Lieutenant Kramer, Lieutenant Tolliver, and Private Luhrs cooperated in their respective investigations, acknowledged that their respective actions were inappropriate, and issued apologies. </w:t>
      </w:r>
      <w:proofErr w:type="gramStart"/>
      <w:r w:rsidRPr="00907CBF">
        <w:rPr>
          <w:rFonts w:ascii="Times New Roman" w:hAnsi="Times New Roman"/>
          <w:sz w:val="24"/>
          <w:szCs w:val="24"/>
        </w:rPr>
        <w:t>Yet,</w:t>
      </w:r>
      <w:proofErr w:type="gramEnd"/>
      <w:r w:rsidRPr="00907CBF">
        <w:rPr>
          <w:rFonts w:ascii="Times New Roman" w:hAnsi="Times New Roman"/>
          <w:sz w:val="24"/>
          <w:szCs w:val="24"/>
        </w:rPr>
        <w:t xml:space="preserve"> only Private Boyd’s employment was terminated.”</w:t>
      </w:r>
    </w:p>
    <w:p w14:paraId="3CD95E81" w14:textId="77777777" w:rsidR="00907CBF" w:rsidRPr="00907CBF" w:rsidRDefault="00907CBF" w:rsidP="00907CBF">
      <w:pPr>
        <w:pStyle w:val="NoSpacing"/>
        <w:ind w:left="720"/>
        <w:rPr>
          <w:rFonts w:ascii="Times New Roman" w:hAnsi="Times New Roman"/>
          <w:sz w:val="24"/>
          <w:szCs w:val="24"/>
        </w:rPr>
      </w:pPr>
    </w:p>
    <w:p w14:paraId="43AC0912" w14:textId="77777777" w:rsidR="00907CBF" w:rsidRPr="00907CBF" w:rsidRDefault="00907CBF" w:rsidP="00907CBF">
      <w:pPr>
        <w:pStyle w:val="NoSpacing"/>
        <w:rPr>
          <w:rFonts w:ascii="Times New Roman" w:hAnsi="Times New Roman"/>
          <w:sz w:val="24"/>
          <w:szCs w:val="24"/>
        </w:rPr>
      </w:pPr>
    </w:p>
    <w:p w14:paraId="39E4CCBC" w14:textId="77777777" w:rsidR="00907CBF" w:rsidRPr="00907CBF" w:rsidRDefault="00907CBF" w:rsidP="00907CBF">
      <w:pPr>
        <w:pStyle w:val="NoSpacing"/>
        <w:rPr>
          <w:rFonts w:ascii="Times New Roman" w:hAnsi="Times New Roman"/>
          <w:b/>
          <w:bCs/>
          <w:sz w:val="24"/>
          <w:szCs w:val="24"/>
        </w:rPr>
      </w:pPr>
      <w:r w:rsidRPr="00907CBF">
        <w:rPr>
          <w:rFonts w:ascii="Times New Roman" w:hAnsi="Times New Roman"/>
          <w:b/>
          <w:bCs/>
          <w:sz w:val="24"/>
          <w:szCs w:val="24"/>
        </w:rPr>
        <w:t xml:space="preserve">Legal Lesson Learned: Facebook and other social media posts can result in discipline,  but the level of discipline must </w:t>
      </w:r>
      <w:proofErr w:type="gramStart"/>
      <w:r w:rsidRPr="00907CBF">
        <w:rPr>
          <w:rFonts w:ascii="Times New Roman" w:hAnsi="Times New Roman"/>
          <w:b/>
          <w:bCs/>
          <w:sz w:val="24"/>
          <w:szCs w:val="24"/>
        </w:rPr>
        <w:t>appropriate</w:t>
      </w:r>
      <w:proofErr w:type="gramEnd"/>
      <w:r w:rsidRPr="00907CBF">
        <w:rPr>
          <w:rFonts w:ascii="Times New Roman" w:hAnsi="Times New Roman"/>
          <w:b/>
          <w:bCs/>
          <w:sz w:val="24"/>
          <w:szCs w:val="24"/>
        </w:rPr>
        <w:t xml:space="preserve"> in comparison </w:t>
      </w:r>
      <w:proofErr w:type="gramStart"/>
      <w:r w:rsidRPr="00907CBF">
        <w:rPr>
          <w:rFonts w:ascii="Times New Roman" w:hAnsi="Times New Roman"/>
          <w:b/>
          <w:bCs/>
          <w:sz w:val="24"/>
          <w:szCs w:val="24"/>
        </w:rPr>
        <w:t>of</w:t>
      </w:r>
      <w:proofErr w:type="gramEnd"/>
      <w:r w:rsidRPr="00907CBF">
        <w:rPr>
          <w:rFonts w:ascii="Times New Roman" w:hAnsi="Times New Roman"/>
          <w:b/>
          <w:bCs/>
          <w:sz w:val="24"/>
          <w:szCs w:val="24"/>
        </w:rPr>
        <w:t xml:space="preserve"> others with similar violations. </w:t>
      </w:r>
    </w:p>
    <w:p w14:paraId="5ABC4F06" w14:textId="77777777" w:rsidR="007B5945" w:rsidRDefault="007B5945" w:rsidP="00BC70A3">
      <w:pPr>
        <w:rPr>
          <w:rFonts w:ascii="Arial Black" w:hAnsi="Arial Black"/>
          <w:b/>
          <w:sz w:val="24"/>
          <w:szCs w:val="24"/>
        </w:rPr>
      </w:pPr>
    </w:p>
    <w:p w14:paraId="3227A9D0" w14:textId="63A6506E" w:rsidR="007B5945" w:rsidRDefault="00B22623" w:rsidP="00BC70A3">
      <w:pPr>
        <w:rPr>
          <w:rFonts w:ascii="Arial Black" w:hAnsi="Arial Black"/>
          <w:b/>
          <w:sz w:val="24"/>
          <w:szCs w:val="24"/>
        </w:rPr>
      </w:pPr>
      <w:r>
        <w:rPr>
          <w:rFonts w:ascii="Arial Black" w:hAnsi="Arial Black"/>
          <w:b/>
          <w:sz w:val="24"/>
          <w:szCs w:val="24"/>
        </w:rPr>
        <w:t>8-61</w:t>
      </w:r>
    </w:p>
    <w:p w14:paraId="58E85F9B" w14:textId="77777777" w:rsidR="00B22623" w:rsidRPr="002A36CD" w:rsidRDefault="00B22623" w:rsidP="00B22623">
      <w:pPr>
        <w:pStyle w:val="NoSpacing"/>
        <w:rPr>
          <w:rFonts w:ascii="Arial Black" w:hAnsi="Arial Black"/>
          <w:sz w:val="28"/>
        </w:rPr>
      </w:pPr>
      <w:r>
        <w:rPr>
          <w:rFonts w:ascii="Arial Black" w:hAnsi="Arial Black"/>
          <w:sz w:val="28"/>
        </w:rPr>
        <w:t xml:space="preserve">TX: FF (IRAQ ORIGIN) FIRED - THREATS CITY ANIMAL SERVICE OFFICER – HAD SIDE DOG RESCUE BUSINESS </w:t>
      </w:r>
    </w:p>
    <w:p w14:paraId="65A8A874" w14:textId="77777777" w:rsidR="00B22623" w:rsidRDefault="00B22623" w:rsidP="00B22623">
      <w:pPr>
        <w:pStyle w:val="NoSpacing"/>
        <w:rPr>
          <w:szCs w:val="24"/>
        </w:rPr>
      </w:pPr>
    </w:p>
    <w:p w14:paraId="1253609B"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On Aug. 27, 2024, in </w:t>
      </w:r>
      <w:proofErr w:type="spellStart"/>
      <w:r w:rsidRPr="00B22623">
        <w:rPr>
          <w:rFonts w:ascii="Times New Roman" w:hAnsi="Times New Roman"/>
          <w:sz w:val="24"/>
          <w:szCs w:val="24"/>
          <w:u w:val="single"/>
        </w:rPr>
        <w:t>Safealdean</w:t>
      </w:r>
      <w:proofErr w:type="spellEnd"/>
      <w:r w:rsidRPr="00B22623">
        <w:rPr>
          <w:rFonts w:ascii="Times New Roman" w:hAnsi="Times New Roman"/>
          <w:sz w:val="24"/>
          <w:szCs w:val="24"/>
          <w:u w:val="single"/>
        </w:rPr>
        <w:t xml:space="preserve"> </w:t>
      </w:r>
      <w:proofErr w:type="spellStart"/>
      <w:r w:rsidRPr="00B22623">
        <w:rPr>
          <w:rFonts w:ascii="Times New Roman" w:hAnsi="Times New Roman"/>
          <w:sz w:val="24"/>
          <w:szCs w:val="24"/>
          <w:u w:val="single"/>
        </w:rPr>
        <w:t>Alusi</w:t>
      </w:r>
      <w:proofErr w:type="spellEnd"/>
      <w:r w:rsidRPr="00B22623">
        <w:rPr>
          <w:rFonts w:ascii="Times New Roman" w:hAnsi="Times New Roman"/>
          <w:sz w:val="24"/>
          <w:szCs w:val="24"/>
          <w:u w:val="single"/>
        </w:rPr>
        <w:t xml:space="preserve"> v. City of Fresno, Texas</w:t>
      </w:r>
      <w:r w:rsidRPr="00B22623">
        <w:rPr>
          <w:rFonts w:ascii="Times New Roman" w:hAnsi="Times New Roman"/>
          <w:sz w:val="24"/>
          <w:szCs w:val="24"/>
        </w:rPr>
        <w:t xml:space="preserve">, United States District Court Judge Sean D. Jordan, U.S. District Court for Eastern District of Texas, Sherman Division, affirmed the prior decision to grant summary judgement to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The Court wrote: “After working for the FFD for nearly two-and-a-half years,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was terminated after the FFD discovered that he had engaged in off-duty misconduct while operating his dog rescue side-business-including by threatening a City of Temple Animal Services Officer - and that he had misrepresented his physical limitations and his inability to return to work. In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termination notice, FFD Chief Mark Piland noted a number of City of Frisco (the ‘City’) policies that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violated, which boil down to (1) engaging in unethical and dishonest conduct unbecoming of a member of the FFD, (2) lying about physical capabilities while on restricted work duty, and (3) failing to cooperate and being dishonest during the investigation. *** Notwithstanding the fact that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colleagues knew he was Iraqi, none of the allegedly disparaging comments concerned his Iraqi national origin-or any national origin, for that matter.” </w:t>
      </w:r>
      <w:hyperlink r:id="rId1579" w:history="1">
        <w:r w:rsidRPr="00B22623">
          <w:rPr>
            <w:rStyle w:val="Hyperlink"/>
            <w:rFonts w:ascii="Times New Roman" w:hAnsi="Times New Roman"/>
            <w:sz w:val="24"/>
            <w:szCs w:val="24"/>
          </w:rPr>
          <w:t>https://cases.justia.com/federal/district-courts/texas/txedce/4:2022cv00397/214410/28/0.pdf?ts=1692978420</w:t>
        </w:r>
      </w:hyperlink>
      <w:r w:rsidRPr="00B22623">
        <w:rPr>
          <w:rFonts w:ascii="Times New Roman" w:hAnsi="Times New Roman"/>
          <w:sz w:val="24"/>
          <w:szCs w:val="24"/>
        </w:rPr>
        <w:t xml:space="preserve"> </w:t>
      </w:r>
    </w:p>
    <w:p w14:paraId="23ADD474"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 </w:t>
      </w:r>
    </w:p>
    <w:p w14:paraId="5EBC3E2E"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THE COURT HELD: </w:t>
      </w:r>
    </w:p>
    <w:p w14:paraId="76AA54F5" w14:textId="77777777" w:rsidR="00B22623" w:rsidRPr="00B22623" w:rsidRDefault="00B22623" w:rsidP="00B22623">
      <w:pPr>
        <w:pStyle w:val="NoSpacing"/>
        <w:jc w:val="center"/>
        <w:rPr>
          <w:rFonts w:ascii="Times New Roman" w:hAnsi="Times New Roman"/>
          <w:sz w:val="24"/>
          <w:szCs w:val="24"/>
        </w:rPr>
      </w:pPr>
    </w:p>
    <w:p w14:paraId="7F8A2A92" w14:textId="77777777" w:rsidR="00B22623" w:rsidRPr="00B22623" w:rsidRDefault="00B22623" w:rsidP="00B22623">
      <w:pPr>
        <w:pStyle w:val="NoSpacing"/>
        <w:ind w:left="720"/>
        <w:rPr>
          <w:rFonts w:ascii="Times New Roman" w:hAnsi="Times New Roman"/>
          <w:sz w:val="24"/>
          <w:szCs w:val="24"/>
        </w:rPr>
      </w:pPr>
      <w:r w:rsidRPr="00B22623">
        <w:rPr>
          <w:rFonts w:ascii="Times New Roman" w:hAnsi="Times New Roman"/>
          <w:sz w:val="24"/>
          <w:szCs w:val="24"/>
        </w:rPr>
        <w:t xml:space="preserve">“[A]s the Court explained in its order granting summary judgment, the allegedly discriminatory comments included remarks about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skin color and his religion. Race and religion are distinct protected classes under Title VII, but they are not the bases of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alleged discrimination. Neither those comments nor the additional comments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complains </w:t>
      </w:r>
      <w:proofErr w:type="gramStart"/>
      <w:r w:rsidRPr="00B22623">
        <w:rPr>
          <w:rFonts w:ascii="Times New Roman" w:hAnsi="Times New Roman"/>
          <w:sz w:val="24"/>
          <w:szCs w:val="24"/>
        </w:rPr>
        <w:t>of-</w:t>
      </w:r>
      <w:proofErr w:type="gramEnd"/>
      <w:r w:rsidRPr="00B22623">
        <w:rPr>
          <w:rFonts w:ascii="Times New Roman" w:hAnsi="Times New Roman"/>
          <w:sz w:val="24"/>
          <w:szCs w:val="24"/>
        </w:rPr>
        <w:t xml:space="preserve">i.e., the comment concerning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fit within the FFD, a colleague's question about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lack of involvement in the Gulf War, and one colleague's use of </w:t>
      </w:r>
      <w:proofErr w:type="gramStart"/>
      <w:r w:rsidRPr="00B22623">
        <w:rPr>
          <w:rFonts w:ascii="Times New Roman" w:hAnsi="Times New Roman"/>
          <w:sz w:val="24"/>
          <w:szCs w:val="24"/>
        </w:rPr>
        <w:t>Arabic-</w:t>
      </w:r>
      <w:proofErr w:type="gramEnd"/>
      <w:r w:rsidRPr="00B22623">
        <w:rPr>
          <w:rFonts w:ascii="Times New Roman" w:hAnsi="Times New Roman"/>
          <w:sz w:val="24"/>
          <w:szCs w:val="24"/>
        </w:rPr>
        <w:t xml:space="preserve">refer to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national origin. </w:t>
      </w:r>
    </w:p>
    <w:p w14:paraId="72900EB5" w14:textId="77777777" w:rsidR="00B22623" w:rsidRPr="00B22623" w:rsidRDefault="00B22623" w:rsidP="00B22623">
      <w:pPr>
        <w:pStyle w:val="NoSpacing"/>
        <w:rPr>
          <w:rFonts w:ascii="Times New Roman" w:hAnsi="Times New Roman"/>
          <w:sz w:val="24"/>
          <w:szCs w:val="24"/>
        </w:rPr>
      </w:pPr>
    </w:p>
    <w:p w14:paraId="1B9136B5" w14:textId="77777777" w:rsidR="00B22623" w:rsidRPr="00B22623" w:rsidRDefault="00B22623" w:rsidP="00B22623">
      <w:pPr>
        <w:pStyle w:val="NoSpacing"/>
        <w:ind w:firstLine="720"/>
        <w:rPr>
          <w:rFonts w:ascii="Times New Roman" w:hAnsi="Times New Roman"/>
          <w:sz w:val="24"/>
          <w:szCs w:val="24"/>
        </w:rPr>
      </w:pPr>
      <w:r w:rsidRPr="00B22623">
        <w:rPr>
          <w:rFonts w:ascii="Times New Roman" w:hAnsi="Times New Roman"/>
          <w:sz w:val="24"/>
          <w:szCs w:val="24"/>
        </w:rPr>
        <w:t>***</w:t>
      </w:r>
    </w:p>
    <w:p w14:paraId="2CEC8875" w14:textId="77777777" w:rsidR="00B22623" w:rsidRPr="00B22623" w:rsidRDefault="00B22623" w:rsidP="00B22623">
      <w:pPr>
        <w:pStyle w:val="NoSpacing"/>
        <w:ind w:left="720"/>
        <w:rPr>
          <w:rFonts w:ascii="Times New Roman" w:hAnsi="Times New Roman"/>
          <w:sz w:val="24"/>
          <w:szCs w:val="24"/>
        </w:rPr>
      </w:pPr>
      <w:r w:rsidRPr="00B22623">
        <w:rPr>
          <w:rFonts w:ascii="Times New Roman" w:hAnsi="Times New Roman"/>
          <w:sz w:val="24"/>
          <w:szCs w:val="24"/>
        </w:rPr>
        <w:t xml:space="preserve">The comments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points to were not frequent, threatening, or severe. </w:t>
      </w:r>
      <w:r w:rsidRPr="00B22623">
        <w:rPr>
          <w:rFonts w:ascii="Times New Roman" w:hAnsi="Times New Roman"/>
          <w:i/>
          <w:iCs/>
          <w:sz w:val="24"/>
          <w:szCs w:val="24"/>
        </w:rPr>
        <w:t>Harris v. Forklift Sys., Inc.</w:t>
      </w:r>
      <w:r w:rsidRPr="00B22623">
        <w:rPr>
          <w:rFonts w:ascii="Times New Roman" w:hAnsi="Times New Roman"/>
          <w:sz w:val="24"/>
          <w:szCs w:val="24"/>
        </w:rPr>
        <w:t xml:space="preserve">, 510 U.S. 17, 23, 114 </w:t>
      </w:r>
      <w:proofErr w:type="spellStart"/>
      <w:r w:rsidRPr="00B22623">
        <w:rPr>
          <w:rFonts w:ascii="Times New Roman" w:hAnsi="Times New Roman"/>
          <w:sz w:val="24"/>
          <w:szCs w:val="24"/>
        </w:rPr>
        <w:t>S.Ct</w:t>
      </w:r>
      <w:proofErr w:type="spellEnd"/>
      <w:r w:rsidRPr="00B22623">
        <w:rPr>
          <w:rFonts w:ascii="Times New Roman" w:hAnsi="Times New Roman"/>
          <w:sz w:val="24"/>
          <w:szCs w:val="24"/>
        </w:rPr>
        <w:t>. 367, 126 L.Ed.2d 295 (1993) (explaining that courts must consider the “frequency of the discriminatory conduct; its severity; whether it is physically threatening or humiliating, or a mere offensive utterance; and whether it unreasonably interferes with an employee's work performance”). Thus, the comments are insufficient to mount a claim for discrimination.</w:t>
      </w:r>
    </w:p>
    <w:p w14:paraId="093BCE05" w14:textId="77777777" w:rsidR="00B22623" w:rsidRPr="00B22623" w:rsidRDefault="00B22623" w:rsidP="00B22623">
      <w:pPr>
        <w:pStyle w:val="NoSpacing"/>
        <w:rPr>
          <w:rFonts w:ascii="Times New Roman" w:hAnsi="Times New Roman"/>
          <w:sz w:val="24"/>
          <w:szCs w:val="24"/>
        </w:rPr>
      </w:pPr>
    </w:p>
    <w:p w14:paraId="565B3D4D" w14:textId="77777777" w:rsidR="00B22623" w:rsidRPr="00B22623" w:rsidRDefault="00B22623" w:rsidP="00B22623">
      <w:pPr>
        <w:pStyle w:val="NoSpacing"/>
        <w:ind w:firstLine="720"/>
        <w:rPr>
          <w:rFonts w:ascii="Times New Roman" w:hAnsi="Times New Roman"/>
          <w:sz w:val="24"/>
          <w:szCs w:val="24"/>
        </w:rPr>
      </w:pPr>
      <w:r w:rsidRPr="00B22623">
        <w:rPr>
          <w:rFonts w:ascii="Times New Roman" w:hAnsi="Times New Roman"/>
          <w:sz w:val="24"/>
          <w:szCs w:val="24"/>
        </w:rPr>
        <w:t>***</w:t>
      </w:r>
    </w:p>
    <w:p w14:paraId="054BA89D" w14:textId="77777777" w:rsidR="00B22623" w:rsidRPr="00B22623" w:rsidRDefault="00B22623" w:rsidP="00B22623">
      <w:pPr>
        <w:pStyle w:val="NoSpacing"/>
        <w:ind w:left="720"/>
        <w:rPr>
          <w:rFonts w:ascii="Times New Roman" w:hAnsi="Times New Roman"/>
          <w:sz w:val="24"/>
          <w:szCs w:val="24"/>
        </w:rPr>
      </w:pP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concedes that he did not allege national origin discrimination until </w:t>
      </w:r>
      <w:r w:rsidRPr="00B22623">
        <w:rPr>
          <w:rFonts w:ascii="Times New Roman" w:hAnsi="Times New Roman"/>
          <w:i/>
          <w:iCs/>
          <w:sz w:val="24"/>
          <w:szCs w:val="24"/>
        </w:rPr>
        <w:t>after</w:t>
      </w:r>
      <w:r w:rsidRPr="00B22623">
        <w:rPr>
          <w:rFonts w:ascii="Times New Roman" w:hAnsi="Times New Roman"/>
          <w:sz w:val="24"/>
          <w:szCs w:val="24"/>
        </w:rPr>
        <w:t xml:space="preserve"> he was terminated. Thus,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was not put on notice of any alleged discriminatory practices. Therefore,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did not engage in a protected activity. And since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did not engage in a protected activity, he could not have been retaliated against for engaging in a protected activity. Accordingly, the Court correctly concluded that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was entitled to summary judgment on this claim.”</w:t>
      </w:r>
    </w:p>
    <w:p w14:paraId="42904941" w14:textId="77777777" w:rsidR="00B22623" w:rsidRPr="00B22623" w:rsidRDefault="00B22623" w:rsidP="00B22623">
      <w:pPr>
        <w:pStyle w:val="NoSpacing"/>
        <w:ind w:left="720"/>
        <w:rPr>
          <w:rFonts w:ascii="Times New Roman" w:hAnsi="Times New Roman"/>
          <w:sz w:val="24"/>
          <w:szCs w:val="24"/>
        </w:rPr>
      </w:pPr>
    </w:p>
    <w:p w14:paraId="13633AD2" w14:textId="77777777" w:rsidR="00B22623" w:rsidRPr="00B22623" w:rsidRDefault="00B22623" w:rsidP="00B22623">
      <w:pPr>
        <w:pStyle w:val="NoSpacing"/>
        <w:ind w:left="720"/>
        <w:rPr>
          <w:rFonts w:ascii="Times New Roman" w:hAnsi="Times New Roman"/>
          <w:sz w:val="24"/>
          <w:szCs w:val="24"/>
        </w:rPr>
      </w:pPr>
    </w:p>
    <w:p w14:paraId="60D450CB" w14:textId="77777777" w:rsidR="00B22623" w:rsidRPr="00B22623" w:rsidRDefault="00B22623" w:rsidP="00B22623">
      <w:pPr>
        <w:pStyle w:val="NoSpacing"/>
        <w:rPr>
          <w:rFonts w:ascii="Times New Roman" w:hAnsi="Times New Roman"/>
          <w:b/>
          <w:bCs/>
          <w:sz w:val="24"/>
          <w:szCs w:val="24"/>
        </w:rPr>
      </w:pPr>
      <w:r w:rsidRPr="00B22623">
        <w:rPr>
          <w:rFonts w:ascii="Times New Roman" w:hAnsi="Times New Roman"/>
          <w:b/>
          <w:bCs/>
          <w:sz w:val="24"/>
          <w:szCs w:val="24"/>
        </w:rPr>
        <w:t xml:space="preserve">Legal Lesson Learned: Comments by fellow firefighters were not “frequent, threatening, or severe.” </w:t>
      </w:r>
    </w:p>
    <w:p w14:paraId="4C2C7907" w14:textId="77777777" w:rsidR="00B22623" w:rsidRDefault="00B22623" w:rsidP="00B22623">
      <w:pPr>
        <w:pStyle w:val="NoSpacing"/>
        <w:ind w:firstLine="720"/>
        <w:rPr>
          <w:szCs w:val="24"/>
        </w:rPr>
      </w:pPr>
    </w:p>
    <w:p w14:paraId="068935FA" w14:textId="77777777" w:rsidR="00B22623" w:rsidRDefault="00B22623" w:rsidP="00BC70A3">
      <w:pPr>
        <w:rPr>
          <w:rFonts w:ascii="Arial Black" w:hAnsi="Arial Black"/>
          <w:b/>
          <w:sz w:val="24"/>
          <w:szCs w:val="24"/>
        </w:rPr>
      </w:pPr>
    </w:p>
    <w:p w14:paraId="531BBCFC" w14:textId="741058B2" w:rsidR="005E60AF" w:rsidRDefault="005E60AF" w:rsidP="00BC70A3">
      <w:pPr>
        <w:rPr>
          <w:rFonts w:ascii="Arial Black" w:hAnsi="Arial Black"/>
          <w:b/>
          <w:sz w:val="24"/>
          <w:szCs w:val="24"/>
        </w:rPr>
      </w:pPr>
      <w:r>
        <w:rPr>
          <w:rFonts w:ascii="Arial Black" w:hAnsi="Arial Black"/>
          <w:b/>
          <w:sz w:val="24"/>
          <w:szCs w:val="24"/>
        </w:rPr>
        <w:t>8-60</w:t>
      </w:r>
    </w:p>
    <w:p w14:paraId="62F4E436" w14:textId="77777777" w:rsidR="007B5945" w:rsidRPr="0074339E" w:rsidRDefault="007B5945" w:rsidP="007B5945">
      <w:pPr>
        <w:rPr>
          <w:rFonts w:ascii="Arial Black" w:hAnsi="Arial Black"/>
          <w:b/>
          <w:bCs/>
          <w:sz w:val="28"/>
        </w:rPr>
      </w:pPr>
      <w:r>
        <w:rPr>
          <w:rFonts w:ascii="Arial Black" w:hAnsi="Arial Black"/>
          <w:b/>
          <w:bCs/>
          <w:sz w:val="28"/>
        </w:rPr>
        <w:t xml:space="preserve">TX: BLACK FF – STOP SHAVING / RELIGION – FD CHAPLAIN MEMO - BELIEFS “INSINCERE” – IMMUNITY   </w:t>
      </w:r>
    </w:p>
    <w:p w14:paraId="67E3C6E1" w14:textId="77777777" w:rsidR="007B5945" w:rsidRPr="007B5945" w:rsidRDefault="007B5945" w:rsidP="007B5945">
      <w:pPr>
        <w:pStyle w:val="NoSpacing"/>
        <w:rPr>
          <w:rFonts w:ascii="Times New Roman" w:hAnsi="Times New Roman"/>
          <w:sz w:val="24"/>
          <w:szCs w:val="24"/>
        </w:rPr>
      </w:pPr>
      <w:r w:rsidRPr="007B5945">
        <w:rPr>
          <w:rFonts w:ascii="Times New Roman" w:hAnsi="Times New Roman"/>
          <w:sz w:val="24"/>
          <w:szCs w:val="24"/>
        </w:rPr>
        <w:t xml:space="preserve">On Aug. 8, 2024, in </w:t>
      </w:r>
      <w:r w:rsidRPr="007B5945">
        <w:rPr>
          <w:rFonts w:ascii="Times New Roman" w:hAnsi="Times New Roman"/>
          <w:sz w:val="24"/>
          <w:szCs w:val="24"/>
          <w:u w:val="single"/>
        </w:rPr>
        <w:t>Brandon E. O’Neal v. City of Houston</w:t>
      </w:r>
      <w:r w:rsidRPr="007B5945">
        <w:rPr>
          <w:rFonts w:ascii="Times New Roman" w:hAnsi="Times New Roman"/>
          <w:sz w:val="24"/>
          <w:szCs w:val="24"/>
        </w:rPr>
        <w:t xml:space="preserve">, United States District Court Judge Keith P. Ellison, U.S. District Court, Southern District of Texas, Houston Division, granted the motion to dismiss the libel lawsuit against Chaplain Richard Raymond Ponce II, who enjoys immunity under Texas Tort Claims Act for official actions.  The Court wrote: “After serving his [2 shift; 24 hours] suspension, O’Neal was required to meet with HFD Chaplain Richard Raymond Ponce II… Following the meeting, Ponce wrote a memorandum to Fire Chief Samuel Peña describing O’Neal’s religious beliefs as ‘insincere.’ … O’Neal believes that Ponce’s memorandum formed the basis of HFD’s denial of his accommodation request…. O’Neal later asked Ponce to retract the statements in his “defamatory letter to Chief Peña,” but Ponce declined to do so. *** A defendant is entitled to dismissal under section 101.106(f) upon proof that the plaintiff’s suit (1) was based on conduct within the scope of the defendant’s employment with a governmental unit and (2) could have been brought against the government unit under the Tort Claims Act.” </w:t>
      </w:r>
      <w:hyperlink r:id="rId1580" w:history="1">
        <w:r w:rsidRPr="007B5945">
          <w:rPr>
            <w:rStyle w:val="Hyperlink"/>
            <w:rFonts w:ascii="Times New Roman" w:hAnsi="Times New Roman"/>
            <w:sz w:val="24"/>
            <w:szCs w:val="24"/>
          </w:rPr>
          <w:t>https://cases.justia.com/federal/district-courts/texas/txsdce/4:2023cv04777/1945442/28/0.pdf?ts=1723207973</w:t>
        </w:r>
      </w:hyperlink>
      <w:r w:rsidRPr="007B5945">
        <w:rPr>
          <w:rFonts w:ascii="Times New Roman" w:hAnsi="Times New Roman"/>
          <w:sz w:val="24"/>
          <w:szCs w:val="24"/>
        </w:rPr>
        <w:t xml:space="preserve"> </w:t>
      </w:r>
    </w:p>
    <w:p w14:paraId="285188B8" w14:textId="77777777" w:rsidR="007B5945" w:rsidRPr="007B5945" w:rsidRDefault="007B5945" w:rsidP="007B5945">
      <w:pPr>
        <w:rPr>
          <w:rFonts w:ascii="Times New Roman" w:hAnsi="Times New Roman"/>
          <w:sz w:val="24"/>
          <w:szCs w:val="24"/>
        </w:rPr>
      </w:pPr>
    </w:p>
    <w:p w14:paraId="5AF6D2A9" w14:textId="77777777" w:rsidR="007B5945" w:rsidRPr="007B5945" w:rsidRDefault="007B5945" w:rsidP="007B5945">
      <w:pPr>
        <w:pStyle w:val="NoSpacing"/>
        <w:rPr>
          <w:rFonts w:ascii="Times New Roman" w:hAnsi="Times New Roman"/>
          <w:sz w:val="24"/>
          <w:szCs w:val="24"/>
        </w:rPr>
      </w:pPr>
      <w:r w:rsidRPr="007B5945">
        <w:rPr>
          <w:rFonts w:ascii="Times New Roman" w:hAnsi="Times New Roman"/>
          <w:sz w:val="24"/>
          <w:szCs w:val="24"/>
        </w:rPr>
        <w:t>THE COURT HELD:</w:t>
      </w:r>
    </w:p>
    <w:p w14:paraId="49FC72BD" w14:textId="77777777" w:rsidR="007B5945" w:rsidRPr="007B5945" w:rsidRDefault="007B5945" w:rsidP="007B5945">
      <w:pPr>
        <w:pStyle w:val="NoSpacing"/>
        <w:rPr>
          <w:rFonts w:ascii="Times New Roman" w:hAnsi="Times New Roman"/>
          <w:sz w:val="24"/>
          <w:szCs w:val="24"/>
        </w:rPr>
      </w:pPr>
    </w:p>
    <w:p w14:paraId="74CA923A" w14:textId="77777777" w:rsidR="007B5945" w:rsidRPr="007B5945" w:rsidRDefault="007B5945" w:rsidP="007B5945">
      <w:pPr>
        <w:ind w:left="720"/>
        <w:rPr>
          <w:rFonts w:ascii="Times New Roman" w:hAnsi="Times New Roman"/>
          <w:sz w:val="24"/>
          <w:szCs w:val="24"/>
        </w:rPr>
      </w:pPr>
      <w:r w:rsidRPr="007B5945">
        <w:rPr>
          <w:rFonts w:ascii="Times New Roman" w:hAnsi="Times New Roman"/>
          <w:sz w:val="24"/>
          <w:szCs w:val="24"/>
        </w:rPr>
        <w:t xml:space="preserve">“Plaintiff does not-and cannot-argue that drafting the memorandum at Chief Pena's direction was outside the scope of Ponce's role as HFP Chaplain. Instead, he argues that Ponce's ‘choice to libel Capt. O'Neal in the memorandum,’ i.e., the choice to label O'Neal's beliefs as ‘insincere’ in the memorandum, was outside of the scope of his employment. ECF No. 27 at 6. Plaintiff's argument misses the mark. Ponce's ‘ulterior motives or personal animus is irrelevant so long as a connection exists between the employee's lawful job duties and the alleged misconduct.’ *** Here, there is plainly a connection between Ponce's duties (drafting a memorandum on O'Neal's religious beliefs) and the alleged misconduct (including allegedly libelous statements in the memorandum). Thus, Ponce acted within the scope of his employment when he committed the allegedly tortious </w:t>
      </w:r>
      <w:proofErr w:type="gramStart"/>
      <w:r w:rsidRPr="007B5945">
        <w:rPr>
          <w:rFonts w:ascii="Times New Roman" w:hAnsi="Times New Roman"/>
          <w:sz w:val="24"/>
          <w:szCs w:val="24"/>
        </w:rPr>
        <w:t>acts.”</w:t>
      </w:r>
      <w:proofErr w:type="gramEnd"/>
      <w:r w:rsidRPr="007B5945">
        <w:rPr>
          <w:rFonts w:ascii="Times New Roman" w:hAnsi="Times New Roman"/>
          <w:sz w:val="24"/>
          <w:szCs w:val="24"/>
        </w:rPr>
        <w:t xml:space="preserve"> </w:t>
      </w:r>
    </w:p>
    <w:p w14:paraId="44E8D3CF" w14:textId="77777777" w:rsidR="007B5945" w:rsidRPr="007B5945" w:rsidRDefault="007B5945" w:rsidP="007B5945">
      <w:pPr>
        <w:jc w:val="both"/>
        <w:rPr>
          <w:rFonts w:ascii="Times New Roman" w:hAnsi="Times New Roman"/>
          <w:b/>
          <w:bCs/>
          <w:sz w:val="24"/>
          <w:szCs w:val="24"/>
        </w:rPr>
      </w:pPr>
      <w:r w:rsidRPr="007B5945">
        <w:rPr>
          <w:rFonts w:ascii="Times New Roman" w:hAnsi="Times New Roman"/>
          <w:b/>
          <w:bCs/>
          <w:sz w:val="24"/>
          <w:szCs w:val="24"/>
        </w:rPr>
        <w:t xml:space="preserve">Legal Lesson Learned: The Chaplain enjoys immunity from personal liability for performing duties in scope of his employment. </w:t>
      </w:r>
    </w:p>
    <w:p w14:paraId="2972795D" w14:textId="77777777" w:rsidR="005E60AF" w:rsidRDefault="005E60AF" w:rsidP="00BC70A3">
      <w:pPr>
        <w:rPr>
          <w:rFonts w:ascii="Arial Black" w:hAnsi="Arial Black"/>
          <w:b/>
          <w:sz w:val="24"/>
          <w:szCs w:val="24"/>
        </w:rPr>
      </w:pPr>
    </w:p>
    <w:p w14:paraId="7FC3BC99" w14:textId="77777777" w:rsidR="005E60AF" w:rsidRDefault="005E60AF" w:rsidP="00BC70A3">
      <w:pPr>
        <w:rPr>
          <w:rFonts w:ascii="Arial Black" w:hAnsi="Arial Black"/>
          <w:b/>
          <w:sz w:val="24"/>
          <w:szCs w:val="24"/>
        </w:rPr>
      </w:pPr>
    </w:p>
    <w:p w14:paraId="3AA07917" w14:textId="6A2DF2AD" w:rsidR="007C55A4" w:rsidRDefault="007C55A4" w:rsidP="00BC70A3">
      <w:pPr>
        <w:rPr>
          <w:rFonts w:ascii="Arial Black" w:hAnsi="Arial Black"/>
          <w:b/>
          <w:sz w:val="24"/>
          <w:szCs w:val="24"/>
        </w:rPr>
      </w:pPr>
      <w:r>
        <w:rPr>
          <w:rFonts w:ascii="Arial Black" w:hAnsi="Arial Black"/>
          <w:b/>
          <w:sz w:val="24"/>
          <w:szCs w:val="24"/>
        </w:rPr>
        <w:t>8-59</w:t>
      </w:r>
    </w:p>
    <w:p w14:paraId="77B76C7B" w14:textId="77777777" w:rsidR="006D6CFA" w:rsidRDefault="006D6CFA" w:rsidP="006D6CFA">
      <w:pPr>
        <w:spacing w:before="100" w:beforeAutospacing="1" w:after="100" w:afterAutospacing="1" w:line="240" w:lineRule="auto"/>
        <w:outlineLvl w:val="0"/>
        <w:rPr>
          <w:rFonts w:ascii="Arial Black" w:hAnsi="Arial Black"/>
          <w:sz w:val="28"/>
          <w:szCs w:val="28"/>
        </w:rPr>
      </w:pPr>
      <w:r>
        <w:rPr>
          <w:rFonts w:ascii="Arial Black" w:hAnsi="Arial Black"/>
          <w:sz w:val="28"/>
          <w:szCs w:val="28"/>
        </w:rPr>
        <w:t>NY: CAPT SOON TO BE PROMOTED BC - RESCINDED – DRUNK  PUBLIC / PANTS DOWN - NO RACE DISCRIMINATION</w:t>
      </w:r>
    </w:p>
    <w:p w14:paraId="52C9AACF" w14:textId="77777777" w:rsidR="006D6CFA" w:rsidRDefault="006D6CFA" w:rsidP="006D6CFA">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 xml:space="preserve">On March 11, 2024, </w:t>
      </w:r>
      <w:r w:rsidRPr="00B36B60">
        <w:rPr>
          <w:rFonts w:ascii="Times New Roman" w:hAnsi="Times New Roman"/>
          <w:sz w:val="24"/>
          <w:szCs w:val="24"/>
          <w:u w:val="single"/>
        </w:rPr>
        <w:t>Jeremy Clawson v. The City of Albany Department of Fire &amp; Emergency</w:t>
      </w:r>
      <w:r>
        <w:rPr>
          <w:rFonts w:ascii="Times New Roman" w:hAnsi="Times New Roman"/>
          <w:sz w:val="24"/>
          <w:szCs w:val="24"/>
        </w:rPr>
        <w:t xml:space="preserve">, the U.S. Court of Appeals for Second Circuit (New York City), in a Summary Order upheld the grant of summary judgment for the city, dismissing the race discrimination lawsuit by Black Captain. </w:t>
      </w:r>
    </w:p>
    <w:p w14:paraId="3E0C4379"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335311D" w14:textId="77777777" w:rsidR="003956F7" w:rsidRDefault="003956F7" w:rsidP="006D6CFA">
      <w:pPr>
        <w:pStyle w:val="NoSpacing"/>
        <w:ind w:left="720"/>
        <w:rPr>
          <w:rFonts w:ascii="Times New Roman" w:hAnsi="Times New Roman"/>
          <w:sz w:val="24"/>
          <w:szCs w:val="24"/>
        </w:rPr>
      </w:pPr>
    </w:p>
    <w:p w14:paraId="1DAAB86B" w14:textId="6EE3C623" w:rsidR="006D6CFA" w:rsidRPr="001434C8" w:rsidRDefault="006D6CFA" w:rsidP="006D6CFA">
      <w:pPr>
        <w:pStyle w:val="NoSpacing"/>
        <w:ind w:left="720"/>
        <w:rPr>
          <w:rFonts w:ascii="Times New Roman" w:eastAsia="Times New Roman" w:hAnsi="Times New Roman"/>
          <w:kern w:val="36"/>
          <w:sz w:val="24"/>
          <w:szCs w:val="24"/>
        </w:rPr>
      </w:pPr>
      <w:r>
        <w:rPr>
          <w:rFonts w:ascii="Times New Roman" w:hAnsi="Times New Roman"/>
          <w:sz w:val="24"/>
          <w:szCs w:val="24"/>
        </w:rPr>
        <w:t>“</w:t>
      </w:r>
      <w:r w:rsidRPr="001434C8">
        <w:rPr>
          <w:rFonts w:ascii="Times New Roman" w:eastAsia="Times New Roman" w:hAnsi="Times New Roman"/>
          <w:kern w:val="36"/>
          <w:sz w:val="24"/>
          <w:szCs w:val="24"/>
        </w:rPr>
        <w:t>The AFD, however, has articulated a legitimate, non-discriminatory rationale for</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rescinding Clawson’s promotion offer. Before he was slated to become battalion chief, Clawson</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 xml:space="preserve">consumed at least seven pints of beer, and proceeded to </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expos[e] himself</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outsi</w:t>
      </w:r>
      <w:r>
        <w:rPr>
          <w:rFonts w:ascii="Times New Roman" w:eastAsia="Times New Roman" w:hAnsi="Times New Roman"/>
          <w:kern w:val="36"/>
          <w:sz w:val="24"/>
          <w:szCs w:val="24"/>
        </w:rPr>
        <w:t xml:space="preserve">de </w:t>
      </w:r>
      <w:r w:rsidRPr="001434C8">
        <w:rPr>
          <w:rFonts w:ascii="Times New Roman" w:eastAsia="Times New Roman" w:hAnsi="Times New Roman"/>
          <w:kern w:val="36"/>
          <w:sz w:val="24"/>
          <w:szCs w:val="24"/>
        </w:rPr>
        <w:t xml:space="preserve">of a Dunkin’ Donuts, prompting first responders to call an ambulance for </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a very</w:t>
      </w:r>
    </w:p>
    <w:p w14:paraId="3971A5F5" w14:textId="77777777" w:rsidR="006D6CFA" w:rsidRPr="001434C8" w:rsidRDefault="006D6CFA" w:rsidP="006D6CFA">
      <w:pPr>
        <w:pStyle w:val="NoSpacing"/>
        <w:ind w:firstLine="720"/>
        <w:rPr>
          <w:rFonts w:ascii="Times New Roman" w:eastAsia="Times New Roman" w:hAnsi="Times New Roman"/>
          <w:kern w:val="36"/>
          <w:sz w:val="24"/>
          <w:szCs w:val="24"/>
        </w:rPr>
      </w:pPr>
      <w:r w:rsidRPr="001434C8">
        <w:rPr>
          <w:rFonts w:ascii="Times New Roman" w:eastAsia="Times New Roman" w:hAnsi="Times New Roman"/>
          <w:kern w:val="36"/>
          <w:sz w:val="24"/>
          <w:szCs w:val="24"/>
        </w:rPr>
        <w:t>old male who [was] highly intoxicated and . . . pooped on himself,</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and who was</w:t>
      </w:r>
    </w:p>
    <w:p w14:paraId="57F86D9C" w14:textId="77777777" w:rsidR="006D6CFA" w:rsidRPr="001434C8" w:rsidRDefault="006D6CFA" w:rsidP="006D6CFA">
      <w:pPr>
        <w:pStyle w:val="NoSpacing"/>
        <w:ind w:firstLine="720"/>
        <w:rPr>
          <w:rFonts w:ascii="Times New Roman" w:eastAsia="Times New Roman" w:hAnsi="Times New Roman"/>
          <w:kern w:val="36"/>
          <w:sz w:val="24"/>
          <w:szCs w:val="24"/>
        </w:rPr>
      </w:pPr>
      <w:r>
        <w:rPr>
          <w:rFonts w:ascii="Times New Roman" w:eastAsia="Times New Roman" w:hAnsi="Times New Roman"/>
          <w:kern w:val="36"/>
          <w:sz w:val="24"/>
          <w:szCs w:val="24"/>
        </w:rPr>
        <w:t>‘</w:t>
      </w:r>
      <w:proofErr w:type="gramStart"/>
      <w:r w:rsidRPr="001434C8">
        <w:rPr>
          <w:rFonts w:ascii="Times New Roman" w:eastAsia="Times New Roman" w:hAnsi="Times New Roman"/>
          <w:kern w:val="36"/>
          <w:sz w:val="24"/>
          <w:szCs w:val="24"/>
        </w:rPr>
        <w:t>incoherent</w:t>
      </w:r>
      <w:proofErr w:type="gramEnd"/>
      <w:r w:rsidRPr="001434C8">
        <w:rPr>
          <w:rFonts w:ascii="Times New Roman" w:eastAsia="Times New Roman" w:hAnsi="Times New Roman"/>
          <w:kern w:val="36"/>
          <w:sz w:val="24"/>
          <w:szCs w:val="24"/>
        </w:rPr>
        <w:t xml:space="preserve"> with his pants down around his ankles</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 xml:space="preserve"> Following that incident, the</w:t>
      </w:r>
    </w:p>
    <w:p w14:paraId="7091F00E" w14:textId="77777777" w:rsidR="006D6CFA" w:rsidRDefault="006D6CFA" w:rsidP="006D6CFA">
      <w:pPr>
        <w:pStyle w:val="NoSpacing"/>
        <w:ind w:left="720"/>
        <w:rPr>
          <w:rFonts w:ascii="Times New Roman" w:hAnsi="Times New Roman"/>
          <w:sz w:val="24"/>
          <w:szCs w:val="24"/>
        </w:rPr>
      </w:pPr>
      <w:r w:rsidRPr="001434C8">
        <w:rPr>
          <w:rFonts w:ascii="Times New Roman" w:eastAsia="Times New Roman" w:hAnsi="Times New Roman"/>
          <w:kern w:val="36"/>
          <w:sz w:val="24"/>
          <w:szCs w:val="24"/>
        </w:rPr>
        <w:t>AFD determined that Clawson’s promotion to battalion chief would undermine the AFD’s internal</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morale and its public perception, as well as Clawson’s effectiveness as a leader. In these</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circumstances, the AFD has stated a sufficient, non-discriminatory rationale for the adverse</w:t>
      </w:r>
      <w:r>
        <w:rPr>
          <w:rFonts w:ascii="Times New Roman" w:eastAsia="Times New Roman" w:hAnsi="Times New Roman"/>
          <w:kern w:val="36"/>
          <w:sz w:val="24"/>
          <w:szCs w:val="24"/>
        </w:rPr>
        <w:t xml:space="preserve"> </w:t>
      </w:r>
      <w:r w:rsidRPr="005612B3">
        <w:rPr>
          <w:rFonts w:ascii="Times New Roman" w:hAnsi="Times New Roman"/>
          <w:sz w:val="24"/>
          <w:szCs w:val="24"/>
        </w:rPr>
        <w:t>employment action.</w:t>
      </w:r>
    </w:p>
    <w:p w14:paraId="29B348FD" w14:textId="77777777" w:rsidR="006D6CFA" w:rsidRDefault="006D6CFA" w:rsidP="006D6CFA">
      <w:pPr>
        <w:pStyle w:val="NoSpacing"/>
        <w:ind w:left="720"/>
        <w:rPr>
          <w:rFonts w:ascii="Times New Roman" w:hAnsi="Times New Roman"/>
          <w:sz w:val="24"/>
          <w:szCs w:val="24"/>
        </w:rPr>
      </w:pPr>
    </w:p>
    <w:p w14:paraId="5E03EE25" w14:textId="77777777" w:rsidR="006D6CFA" w:rsidRDefault="006D6CFA" w:rsidP="006D6CFA">
      <w:pPr>
        <w:pStyle w:val="NoSpacing"/>
        <w:ind w:left="720"/>
        <w:rPr>
          <w:rFonts w:ascii="Times New Roman" w:hAnsi="Times New Roman"/>
          <w:sz w:val="24"/>
          <w:szCs w:val="24"/>
        </w:rPr>
      </w:pPr>
      <w:r>
        <w:rPr>
          <w:rFonts w:ascii="Times New Roman" w:hAnsi="Times New Roman"/>
          <w:sz w:val="24"/>
          <w:szCs w:val="24"/>
        </w:rPr>
        <w:t>***</w:t>
      </w:r>
    </w:p>
    <w:p w14:paraId="57D3F248" w14:textId="77777777" w:rsidR="006D6CFA" w:rsidRPr="005612B3" w:rsidRDefault="006D6CFA" w:rsidP="006D6CFA">
      <w:pPr>
        <w:pStyle w:val="NoSpacing"/>
        <w:ind w:firstLine="720"/>
        <w:rPr>
          <w:rFonts w:ascii="Times New Roman" w:hAnsi="Times New Roman"/>
          <w:sz w:val="24"/>
          <w:szCs w:val="24"/>
        </w:rPr>
      </w:pPr>
      <w:r w:rsidRPr="005612B3">
        <w:rPr>
          <w:rFonts w:ascii="Times New Roman" w:hAnsi="Times New Roman"/>
          <w:sz w:val="24"/>
          <w:szCs w:val="24"/>
        </w:rPr>
        <w:t>First, Clawson argues that the circumstances of his meeting with the AFD, in which his</w:t>
      </w:r>
    </w:p>
    <w:p w14:paraId="7902A31F" w14:textId="77777777" w:rsidR="006D6CFA" w:rsidRDefault="006D6CFA" w:rsidP="006D6CFA">
      <w:pPr>
        <w:pStyle w:val="NoSpacing"/>
        <w:ind w:left="720"/>
        <w:rPr>
          <w:rFonts w:ascii="Times New Roman" w:hAnsi="Times New Roman"/>
          <w:sz w:val="24"/>
          <w:szCs w:val="24"/>
        </w:rPr>
      </w:pPr>
      <w:r w:rsidRPr="005612B3">
        <w:rPr>
          <w:rFonts w:ascii="Times New Roman" w:hAnsi="Times New Roman"/>
          <w:sz w:val="24"/>
          <w:szCs w:val="24"/>
        </w:rPr>
        <w:t>promotion offer was rescinded, are indicative of discriminatory animus. Specifically, Clawson</w:t>
      </w:r>
      <w:r>
        <w:rPr>
          <w:rFonts w:ascii="Times New Roman" w:hAnsi="Times New Roman"/>
          <w:sz w:val="24"/>
          <w:szCs w:val="24"/>
        </w:rPr>
        <w:t xml:space="preserve"> </w:t>
      </w:r>
      <w:r w:rsidRPr="005612B3">
        <w:rPr>
          <w:rFonts w:ascii="Times New Roman" w:hAnsi="Times New Roman"/>
          <w:sz w:val="24"/>
          <w:szCs w:val="24"/>
        </w:rPr>
        <w:t>points to evidence in the record that the chief of the AFD, Joseph Gregory, requested the presence</w:t>
      </w:r>
      <w:r>
        <w:rPr>
          <w:rFonts w:ascii="Times New Roman" w:hAnsi="Times New Roman"/>
          <w:sz w:val="24"/>
          <w:szCs w:val="24"/>
        </w:rPr>
        <w:t xml:space="preserve"> </w:t>
      </w:r>
      <w:r w:rsidRPr="005612B3">
        <w:rPr>
          <w:rFonts w:ascii="Times New Roman" w:hAnsi="Times New Roman"/>
          <w:sz w:val="24"/>
          <w:szCs w:val="24"/>
        </w:rPr>
        <w:t>of a police officer at the meeting and then explained that the police officer was there because</w:t>
      </w:r>
      <w:r>
        <w:rPr>
          <w:rFonts w:ascii="Times New Roman" w:hAnsi="Times New Roman"/>
          <w:sz w:val="24"/>
          <w:szCs w:val="24"/>
        </w:rPr>
        <w:t xml:space="preserve"> ‘</w:t>
      </w:r>
      <w:r w:rsidRPr="005612B3">
        <w:rPr>
          <w:rFonts w:ascii="Times New Roman" w:hAnsi="Times New Roman"/>
          <w:sz w:val="24"/>
          <w:szCs w:val="24"/>
        </w:rPr>
        <w:t>[y]</w:t>
      </w:r>
      <w:proofErr w:type="spellStart"/>
      <w:r w:rsidRPr="005612B3">
        <w:rPr>
          <w:rFonts w:ascii="Times New Roman" w:hAnsi="Times New Roman"/>
          <w:sz w:val="24"/>
          <w:szCs w:val="24"/>
        </w:rPr>
        <w:t>ou</w:t>
      </w:r>
      <w:proofErr w:type="spellEnd"/>
      <w:r w:rsidRPr="005612B3">
        <w:rPr>
          <w:rFonts w:ascii="Times New Roman" w:hAnsi="Times New Roman"/>
          <w:sz w:val="24"/>
          <w:szCs w:val="24"/>
        </w:rPr>
        <w:t xml:space="preserve"> never know how people are going to react to bad news.</w:t>
      </w:r>
      <w:r>
        <w:rPr>
          <w:rFonts w:ascii="Times New Roman" w:hAnsi="Times New Roman"/>
          <w:sz w:val="24"/>
          <w:szCs w:val="24"/>
        </w:rPr>
        <w:t xml:space="preserve">’ </w:t>
      </w:r>
      <w:r w:rsidRPr="005612B3">
        <w:rPr>
          <w:rFonts w:ascii="Times New Roman" w:hAnsi="Times New Roman"/>
          <w:sz w:val="24"/>
          <w:szCs w:val="24"/>
        </w:rPr>
        <w:t xml:space="preserve"> Clawson</w:t>
      </w:r>
      <w:r>
        <w:rPr>
          <w:rFonts w:ascii="Times New Roman" w:hAnsi="Times New Roman"/>
          <w:sz w:val="24"/>
          <w:szCs w:val="24"/>
        </w:rPr>
        <w:t xml:space="preserve"> </w:t>
      </w:r>
      <w:r w:rsidRPr="005612B3">
        <w:rPr>
          <w:rFonts w:ascii="Times New Roman" w:hAnsi="Times New Roman"/>
          <w:sz w:val="24"/>
          <w:szCs w:val="24"/>
        </w:rPr>
        <w:t>contends that Gregory’s request for a police officer to be present at the meeting—and his</w:t>
      </w:r>
      <w:r>
        <w:rPr>
          <w:rFonts w:ascii="Times New Roman" w:hAnsi="Times New Roman"/>
          <w:sz w:val="24"/>
          <w:szCs w:val="24"/>
        </w:rPr>
        <w:t xml:space="preserve"> </w:t>
      </w:r>
      <w:r w:rsidRPr="005612B3">
        <w:rPr>
          <w:rFonts w:ascii="Times New Roman" w:hAnsi="Times New Roman"/>
          <w:sz w:val="24"/>
          <w:szCs w:val="24"/>
        </w:rPr>
        <w:t xml:space="preserve">explanation for the request—reflects the AFD’s stereotypical and discriminatory view that </w:t>
      </w:r>
      <w:r>
        <w:rPr>
          <w:rFonts w:ascii="Times New Roman" w:hAnsi="Times New Roman"/>
          <w:sz w:val="24"/>
          <w:szCs w:val="24"/>
        </w:rPr>
        <w:t>‘</w:t>
      </w:r>
      <w:r w:rsidRPr="005612B3">
        <w:rPr>
          <w:rFonts w:ascii="Times New Roman" w:hAnsi="Times New Roman"/>
          <w:sz w:val="24"/>
          <w:szCs w:val="24"/>
        </w:rPr>
        <w:t>black</w:t>
      </w:r>
      <w:r>
        <w:rPr>
          <w:rFonts w:ascii="Times New Roman" w:hAnsi="Times New Roman"/>
          <w:sz w:val="24"/>
          <w:szCs w:val="24"/>
        </w:rPr>
        <w:t xml:space="preserve"> </w:t>
      </w:r>
      <w:r w:rsidRPr="005612B3">
        <w:rPr>
          <w:rFonts w:ascii="Times New Roman" w:hAnsi="Times New Roman"/>
          <w:sz w:val="24"/>
          <w:szCs w:val="24"/>
        </w:rPr>
        <w:t>men are dangerous.</w:t>
      </w:r>
      <w:r>
        <w:rPr>
          <w:rFonts w:ascii="Times New Roman" w:hAnsi="Times New Roman"/>
          <w:sz w:val="24"/>
          <w:szCs w:val="24"/>
        </w:rPr>
        <w:t>’</w:t>
      </w:r>
      <w:r w:rsidRPr="005612B3">
        <w:rPr>
          <w:rFonts w:ascii="Times New Roman" w:hAnsi="Times New Roman"/>
          <w:sz w:val="24"/>
          <w:szCs w:val="24"/>
        </w:rPr>
        <w:t xml:space="preserve">  Under the circumstances here, a reasonable jury</w:t>
      </w:r>
      <w:r>
        <w:rPr>
          <w:rFonts w:ascii="Times New Roman" w:hAnsi="Times New Roman"/>
          <w:sz w:val="24"/>
          <w:szCs w:val="24"/>
        </w:rPr>
        <w:t xml:space="preserve"> </w:t>
      </w:r>
      <w:r w:rsidRPr="005612B3">
        <w:rPr>
          <w:rFonts w:ascii="Times New Roman" w:hAnsi="Times New Roman"/>
          <w:sz w:val="24"/>
          <w:szCs w:val="24"/>
        </w:rPr>
        <w:t>could not infer from this evidence that Gregory’s actions were related to Clawson’s race.</w:t>
      </w:r>
    </w:p>
    <w:p w14:paraId="7538DCD6" w14:textId="77777777" w:rsidR="006D6CFA" w:rsidRDefault="006D6CFA" w:rsidP="006D6CFA">
      <w:pPr>
        <w:pStyle w:val="NoSpacing"/>
        <w:ind w:left="720"/>
        <w:rPr>
          <w:rFonts w:ascii="Times New Roman" w:hAnsi="Times New Roman"/>
          <w:sz w:val="24"/>
          <w:szCs w:val="24"/>
        </w:rPr>
      </w:pPr>
    </w:p>
    <w:p w14:paraId="217CF242" w14:textId="77777777" w:rsidR="006D6CFA" w:rsidRDefault="006D6CFA" w:rsidP="006D6CFA">
      <w:pPr>
        <w:pStyle w:val="NoSpacing"/>
        <w:ind w:left="720"/>
        <w:rPr>
          <w:rFonts w:ascii="Times New Roman" w:hAnsi="Times New Roman"/>
          <w:sz w:val="24"/>
          <w:szCs w:val="24"/>
        </w:rPr>
      </w:pPr>
      <w:r>
        <w:rPr>
          <w:rFonts w:ascii="Times New Roman" w:hAnsi="Times New Roman"/>
          <w:sz w:val="24"/>
          <w:szCs w:val="24"/>
        </w:rPr>
        <w:t>***</w:t>
      </w:r>
    </w:p>
    <w:p w14:paraId="516692D6" w14:textId="77777777" w:rsidR="006D6CFA" w:rsidRPr="005612B3" w:rsidRDefault="006D6CFA" w:rsidP="006D6CFA">
      <w:pPr>
        <w:pStyle w:val="NoSpacing"/>
        <w:ind w:left="720"/>
        <w:rPr>
          <w:rFonts w:ascii="Times New Roman" w:hAnsi="Times New Roman"/>
          <w:sz w:val="24"/>
          <w:szCs w:val="24"/>
        </w:rPr>
      </w:pPr>
    </w:p>
    <w:p w14:paraId="671BF2CF" w14:textId="77777777" w:rsidR="006D6CFA" w:rsidRDefault="006D6CFA" w:rsidP="006D6CFA">
      <w:pPr>
        <w:pStyle w:val="NoSpacing"/>
        <w:ind w:left="720"/>
        <w:rPr>
          <w:rFonts w:ascii="Times New Roman" w:hAnsi="Times New Roman"/>
          <w:sz w:val="24"/>
          <w:szCs w:val="24"/>
        </w:rPr>
      </w:pPr>
      <w:r w:rsidRPr="00997C49">
        <w:rPr>
          <w:rFonts w:ascii="Times New Roman" w:hAnsi="Times New Roman"/>
          <w:sz w:val="24"/>
          <w:szCs w:val="24"/>
        </w:rPr>
        <w:t>As evidence of his allegedly superior qualifications, Clawson points only to the fact that the person</w:t>
      </w:r>
      <w:r>
        <w:rPr>
          <w:rFonts w:ascii="Times New Roman" w:hAnsi="Times New Roman"/>
          <w:sz w:val="24"/>
          <w:szCs w:val="24"/>
        </w:rPr>
        <w:t xml:space="preserve"> </w:t>
      </w:r>
      <w:r w:rsidRPr="00997C49">
        <w:rPr>
          <w:rFonts w:ascii="Times New Roman" w:hAnsi="Times New Roman"/>
          <w:sz w:val="24"/>
          <w:szCs w:val="24"/>
        </w:rPr>
        <w:t>ultimately selected to be battalion chief, Captain Kowalski, scored second on the civil service exam</w:t>
      </w:r>
      <w:r>
        <w:rPr>
          <w:rFonts w:ascii="Times New Roman" w:hAnsi="Times New Roman"/>
          <w:sz w:val="24"/>
          <w:szCs w:val="24"/>
        </w:rPr>
        <w:t xml:space="preserve"> </w:t>
      </w:r>
      <w:r w:rsidRPr="00997C49">
        <w:rPr>
          <w:rFonts w:ascii="Times New Roman" w:hAnsi="Times New Roman"/>
          <w:sz w:val="24"/>
          <w:szCs w:val="24"/>
        </w:rPr>
        <w:t>after Clawson. Clawson thus ignores the undisputed record evidence that he engaged in an act</w:t>
      </w:r>
      <w:r>
        <w:rPr>
          <w:rFonts w:ascii="Times New Roman" w:hAnsi="Times New Roman"/>
          <w:sz w:val="24"/>
          <w:szCs w:val="24"/>
        </w:rPr>
        <w:t xml:space="preserve"> </w:t>
      </w:r>
      <w:r w:rsidRPr="00997C49">
        <w:rPr>
          <w:rFonts w:ascii="Times New Roman" w:hAnsi="Times New Roman"/>
          <w:sz w:val="24"/>
          <w:szCs w:val="24"/>
        </w:rPr>
        <w:t>of misconduct only days before his planned promotion. And Clawson does not even contend—</w:t>
      </w:r>
      <w:r>
        <w:rPr>
          <w:rFonts w:ascii="Times New Roman" w:hAnsi="Times New Roman"/>
          <w:sz w:val="24"/>
          <w:szCs w:val="24"/>
        </w:rPr>
        <w:t xml:space="preserve"> </w:t>
      </w:r>
      <w:r w:rsidRPr="00997C49">
        <w:rPr>
          <w:rFonts w:ascii="Times New Roman" w:hAnsi="Times New Roman"/>
          <w:sz w:val="24"/>
          <w:szCs w:val="24"/>
        </w:rPr>
        <w:t>nor could he, on the record before us—that Kowalski committed acts of misconduct or otherwise</w:t>
      </w:r>
      <w:r>
        <w:rPr>
          <w:rFonts w:ascii="Times New Roman" w:hAnsi="Times New Roman"/>
          <w:sz w:val="24"/>
          <w:szCs w:val="24"/>
        </w:rPr>
        <w:t xml:space="preserve"> </w:t>
      </w:r>
      <w:r w:rsidRPr="00997C49">
        <w:rPr>
          <w:rFonts w:ascii="Times New Roman" w:hAnsi="Times New Roman"/>
          <w:sz w:val="24"/>
          <w:szCs w:val="24"/>
        </w:rPr>
        <w:t>misbehaved during his tenure at the AFD. Therefore, Clawson has failed to present sufficient</w:t>
      </w:r>
      <w:r>
        <w:rPr>
          <w:rFonts w:ascii="Times New Roman" w:hAnsi="Times New Roman"/>
          <w:sz w:val="24"/>
          <w:szCs w:val="24"/>
        </w:rPr>
        <w:t xml:space="preserve"> </w:t>
      </w:r>
      <w:r w:rsidRPr="00997C49">
        <w:rPr>
          <w:rFonts w:ascii="Times New Roman" w:hAnsi="Times New Roman"/>
          <w:sz w:val="24"/>
          <w:szCs w:val="24"/>
        </w:rPr>
        <w:t>evidence that the AFD’s decision to promote Kowalski, whose score on the civil service exam</w:t>
      </w:r>
      <w:r>
        <w:rPr>
          <w:rFonts w:ascii="Times New Roman" w:hAnsi="Times New Roman"/>
          <w:sz w:val="24"/>
          <w:szCs w:val="24"/>
        </w:rPr>
        <w:t xml:space="preserve"> </w:t>
      </w:r>
      <w:r w:rsidRPr="00997C49">
        <w:rPr>
          <w:rFonts w:ascii="Times New Roman" w:hAnsi="Times New Roman"/>
          <w:sz w:val="24"/>
          <w:szCs w:val="24"/>
        </w:rPr>
        <w:t xml:space="preserve">placed him next in line for the battalion chief position, was motivated by race </w:t>
      </w:r>
      <w:proofErr w:type="gramStart"/>
      <w:r w:rsidRPr="00997C49">
        <w:rPr>
          <w:rFonts w:ascii="Times New Roman" w:hAnsi="Times New Roman"/>
          <w:sz w:val="24"/>
          <w:szCs w:val="24"/>
        </w:rPr>
        <w:t>discrimination.</w:t>
      </w:r>
      <w:r>
        <w:rPr>
          <w:rFonts w:ascii="Times New Roman" w:hAnsi="Times New Roman"/>
          <w:sz w:val="24"/>
          <w:szCs w:val="24"/>
        </w:rPr>
        <w:t>”</w:t>
      </w:r>
      <w:proofErr w:type="gramEnd"/>
    </w:p>
    <w:p w14:paraId="363ECB96" w14:textId="77777777" w:rsidR="006D6CFA" w:rsidRPr="005612B3" w:rsidRDefault="006D6CFA" w:rsidP="006D6CFA">
      <w:pPr>
        <w:pStyle w:val="NoSpacing"/>
        <w:ind w:left="720"/>
        <w:rPr>
          <w:rFonts w:ascii="Times New Roman" w:hAnsi="Times New Roman"/>
          <w:sz w:val="24"/>
          <w:szCs w:val="24"/>
        </w:rPr>
      </w:pPr>
      <w:r>
        <w:rPr>
          <w:rFonts w:ascii="Times New Roman" w:hAnsi="Times New Roman"/>
          <w:sz w:val="24"/>
          <w:szCs w:val="24"/>
        </w:rPr>
        <w:t xml:space="preserve"> </w:t>
      </w:r>
      <w:hyperlink r:id="rId1581" w:anchor="xml=https://ww3.ca2.uscourts.gov/decisions/isysquery/16788bba-62d9-413f-95b7-7dccd6899f82/2/hilite/" w:history="1">
        <w:r w:rsidRPr="0090149E">
          <w:rPr>
            <w:rStyle w:val="Hyperlink"/>
            <w:rFonts w:ascii="Times New Roman" w:hAnsi="Times New Roman"/>
            <w:sz w:val="24"/>
            <w:szCs w:val="24"/>
          </w:rPr>
          <w:t>https://ww3.ca2.uscourts.gov/decisions/isysquery/16788bba-62d9-413f-95b7-7dccd6899f82/2/doc/23-482_so.pdf#xml=https://ww3.ca2.uscourts.gov/decisions/isysquery/16788bba-62d9-413f-95b7-7dccd6899f82/2/hilite/</w:t>
        </w:r>
      </w:hyperlink>
      <w:r>
        <w:rPr>
          <w:rFonts w:ascii="Times New Roman" w:hAnsi="Times New Roman"/>
          <w:sz w:val="24"/>
          <w:szCs w:val="24"/>
        </w:rPr>
        <w:t xml:space="preserve"> </w:t>
      </w:r>
    </w:p>
    <w:p w14:paraId="7D804E14" w14:textId="77777777" w:rsidR="006D6CFA" w:rsidRPr="001434C8" w:rsidRDefault="006D6CFA" w:rsidP="006D6CFA">
      <w:pPr>
        <w:pStyle w:val="NoSpacing"/>
        <w:rPr>
          <w:rFonts w:ascii="Times New Roman" w:eastAsia="Times New Roman" w:hAnsi="Times New Roman"/>
          <w:kern w:val="36"/>
          <w:sz w:val="24"/>
          <w:szCs w:val="24"/>
        </w:rPr>
      </w:pPr>
    </w:p>
    <w:p w14:paraId="3E404F79" w14:textId="77777777" w:rsidR="006D6CFA" w:rsidRPr="00FE64F6" w:rsidRDefault="006D6CFA" w:rsidP="006D6CFA">
      <w:pPr>
        <w:pStyle w:val="NoSpacing"/>
        <w:rPr>
          <w:rFonts w:ascii="Times New Roman" w:hAnsi="Times New Roman"/>
          <w:b/>
          <w:bCs/>
          <w:sz w:val="24"/>
          <w:szCs w:val="24"/>
        </w:rPr>
      </w:pPr>
      <w:r w:rsidRPr="00FE64F6">
        <w:rPr>
          <w:rFonts w:ascii="Times New Roman" w:hAnsi="Times New Roman"/>
          <w:b/>
          <w:bCs/>
          <w:sz w:val="24"/>
          <w:szCs w:val="24"/>
        </w:rPr>
        <w:t xml:space="preserve">Legal Lesson Learned: </w:t>
      </w:r>
      <w:r>
        <w:rPr>
          <w:rFonts w:ascii="Times New Roman" w:hAnsi="Times New Roman"/>
          <w:b/>
          <w:bCs/>
          <w:sz w:val="24"/>
          <w:szCs w:val="24"/>
        </w:rPr>
        <w:t xml:space="preserve">The FD had a legitimate reason to rescind the promotion. </w:t>
      </w:r>
    </w:p>
    <w:p w14:paraId="4435B8B0" w14:textId="77777777" w:rsidR="006D6CFA" w:rsidRDefault="006D6CFA" w:rsidP="006D6CFA">
      <w:pPr>
        <w:pStyle w:val="NormalWeb"/>
        <w:spacing w:before="0" w:beforeAutospacing="0"/>
      </w:pPr>
    </w:p>
    <w:p w14:paraId="5BFB08B5" w14:textId="77777777" w:rsidR="006D6CFA" w:rsidRDefault="006D6CFA" w:rsidP="006D6CFA">
      <w:pPr>
        <w:pStyle w:val="NormalWeb"/>
        <w:spacing w:before="0" w:beforeAutospacing="0"/>
      </w:pPr>
    </w:p>
    <w:p w14:paraId="5702278F" w14:textId="2C0BDF01" w:rsidR="005251B2" w:rsidRDefault="005251B2" w:rsidP="00BC70A3">
      <w:pPr>
        <w:rPr>
          <w:rFonts w:ascii="Arial Black" w:hAnsi="Arial Black"/>
          <w:b/>
          <w:sz w:val="24"/>
          <w:szCs w:val="24"/>
        </w:rPr>
      </w:pPr>
      <w:r>
        <w:rPr>
          <w:rFonts w:ascii="Arial Black" w:hAnsi="Arial Black"/>
          <w:b/>
          <w:sz w:val="24"/>
          <w:szCs w:val="24"/>
        </w:rPr>
        <w:t>8-58</w:t>
      </w:r>
    </w:p>
    <w:p w14:paraId="2B8448C9" w14:textId="77777777" w:rsidR="00267A43" w:rsidRDefault="00267A43" w:rsidP="00267A43">
      <w:pPr>
        <w:pStyle w:val="NormalWeb"/>
        <w:rPr>
          <w:rFonts w:ascii="Arial Black" w:hAnsi="Arial Black"/>
          <w:sz w:val="28"/>
          <w:szCs w:val="28"/>
        </w:rPr>
      </w:pPr>
      <w:r w:rsidRPr="00674E4D">
        <w:rPr>
          <w:rFonts w:ascii="Arial Black" w:hAnsi="Arial Black"/>
          <w:sz w:val="28"/>
          <w:szCs w:val="28"/>
        </w:rPr>
        <w:t xml:space="preserve">OH: </w:t>
      </w:r>
      <w:r>
        <w:rPr>
          <w:rFonts w:ascii="Arial Black" w:hAnsi="Arial Black"/>
          <w:sz w:val="28"/>
          <w:szCs w:val="28"/>
        </w:rPr>
        <w:t>SCBAs – OSHA REQUIRES CLEAN SHAVEN – BLACK FF RETIRED INSTEAD OF SHAVING – NO ADA / RACE DISCRIM.</w:t>
      </w:r>
    </w:p>
    <w:p w14:paraId="0CE91A91" w14:textId="77777777" w:rsidR="00267A43" w:rsidRPr="00CC55BD" w:rsidRDefault="00267A43" w:rsidP="00267A43">
      <w:pPr>
        <w:pStyle w:val="NormalWeb"/>
      </w:pPr>
      <w:r>
        <w:t xml:space="preserve">On Feb. 28, 2024, in </w:t>
      </w:r>
      <w:r w:rsidRPr="00293519">
        <w:rPr>
          <w:u w:val="single"/>
        </w:rPr>
        <w:t>Anthony Davis c. City of Cleveland, et al</w:t>
      </w:r>
      <w:r>
        <w:t xml:space="preserve">., U.S. District Court Judge Solomon Oliver, Jr., U.S. District Court for Northern District of Ohio (Eastern District) granted the city’s motion for judgment on the pleadings.  </w:t>
      </w:r>
    </w:p>
    <w:p w14:paraId="65ACF475" w14:textId="77777777" w:rsidR="00267A43" w:rsidRDefault="00267A43" w:rsidP="00267A43">
      <w:pPr>
        <w:pStyle w:val="NormalWeb"/>
      </w:pPr>
      <w:r>
        <w:t xml:space="preserve">The Court held:  </w:t>
      </w:r>
    </w:p>
    <w:p w14:paraId="372B06CB" w14:textId="77777777" w:rsidR="00267A43" w:rsidRDefault="00267A43" w:rsidP="00267A43">
      <w:pPr>
        <w:pStyle w:val="NormalWeb"/>
        <w:ind w:left="720"/>
      </w:pPr>
      <w:r>
        <w:t>“</w:t>
      </w:r>
      <w:r w:rsidRPr="002C1351">
        <w:t>In sum, Ohio law requires Cleveland to follow OSHA regulations. And those regulations make clear that firefighters with beards may not wear SCBAs. *** And in any event, the court finds that Cleveland's policy is in fact based on business necessity. Accordingly, the court grants</w:t>
      </w:r>
      <w:r>
        <w:t xml:space="preserve"> judgment on the pleadings to Cleveland on Davis's race-discrimination claims. *** Cleveland argues that Davis's requested accommodation-that he be permitted to maintain a short beard-was </w:t>
      </w:r>
      <w:r>
        <w:rPr>
          <w:rStyle w:val="Emphasis"/>
        </w:rPr>
        <w:t>per se</w:t>
      </w:r>
      <w:r>
        <w:t xml:space="preserve"> unreasonable because providing it would have required Cleveland to contravene binding OSHA regulations. The court agrees. *** Davis brings a sympathetic case. He allegedly suffers from a skin condition that afflicts Black men only and was forced to leave the firefighting force-his career of nearly two decades-through no fault of his own. Nevertheless, the court is constrained by the law with respect to the claims he pled.” </w:t>
      </w:r>
      <w:hyperlink r:id="rId1582" w:history="1">
        <w:r w:rsidRPr="00050BB1">
          <w:rPr>
            <w:rStyle w:val="Hyperlink"/>
          </w:rPr>
          <w:t>https://public.fastcase.com/H1P9uiW3J20SFp%2BGCG%2BxLZkQf01yoKKyjTHIQ3i58nX%2B%2FAIlJ7l43hvEF8qKhahXQJQ44fkPKDzD6joZ4LsI7iTOFXPdH5%2Fv%2FKD427ldKjE%3D?utm_medium=email&amp;_hsmi=226712652&amp;_hsenc=p2ANqtz-_U89LkNl4P4fsnOucPHRbeGtR2XeKR1phEbD7-UuIt_KCX3oxL0CAr1yX56v7BapUY4ITdG8_rGIJJyhgPBOVmvvkgdg&amp;utm_content=226712652&amp;utm_source=hs_email</w:t>
        </w:r>
      </w:hyperlink>
      <w:r>
        <w:t xml:space="preserve"> </w:t>
      </w:r>
    </w:p>
    <w:p w14:paraId="6314C5BA" w14:textId="77777777" w:rsidR="00267A43" w:rsidRPr="006A2CE2" w:rsidRDefault="00267A43" w:rsidP="00267A43">
      <w:pPr>
        <w:pStyle w:val="NormalWeb"/>
        <w:rPr>
          <w:b/>
          <w:bCs/>
        </w:rPr>
      </w:pPr>
      <w:r w:rsidRPr="006A2CE2">
        <w:rPr>
          <w:b/>
          <w:bCs/>
        </w:rPr>
        <w:t>Legal Lesson Learned:</w:t>
      </w:r>
      <w:r>
        <w:rPr>
          <w:b/>
          <w:bCs/>
        </w:rPr>
        <w:t xml:space="preserve"> Numerous courts have upheld the OSHA regulations. </w:t>
      </w:r>
    </w:p>
    <w:p w14:paraId="2EF25B6B" w14:textId="77777777" w:rsidR="00267A43" w:rsidRDefault="00267A43" w:rsidP="00267A43">
      <w:pPr>
        <w:pStyle w:val="NormalWeb"/>
        <w:ind w:left="720"/>
      </w:pPr>
      <w:r w:rsidRPr="008E69EB">
        <w:t xml:space="preserve">Note: See these cases. </w:t>
      </w:r>
      <w:r w:rsidRPr="008E69EB">
        <w:rPr>
          <w:rStyle w:val="Emphasis"/>
        </w:rPr>
        <w:t>See, e.g.</w:t>
      </w:r>
      <w:r w:rsidRPr="008E69EB">
        <w:t xml:space="preserve">, </w:t>
      </w:r>
      <w:r w:rsidRPr="008E69EB">
        <w:rPr>
          <w:rStyle w:val="Emphasis"/>
        </w:rPr>
        <w:t>Bey</w:t>
      </w:r>
      <w:r w:rsidRPr="008E69EB">
        <w:t xml:space="preserve">, 999 F.3d at 170 (“Title VII cannot be used to require employers to depart from binding federal regulations.”); </w:t>
      </w:r>
      <w:r w:rsidRPr="008E69EB">
        <w:rPr>
          <w:rStyle w:val="Emphasis"/>
        </w:rPr>
        <w:t>Jones v. City of Jacksonville</w:t>
      </w:r>
      <w:r w:rsidRPr="008E69EB">
        <w:t xml:space="preserve">, 2023 WL 3595154, at *6 (M.D. Fla. Jan. 13, 2023) (“Legally binding federal regulations present a complete defense [to Title VII claims].”); </w:t>
      </w:r>
      <w:r w:rsidRPr="008E69EB">
        <w:rPr>
          <w:rStyle w:val="Emphasis"/>
        </w:rPr>
        <w:t>see also Fitzpatrick v. City of Atlanta</w:t>
      </w:r>
      <w:r w:rsidRPr="008E69EB">
        <w:t>, 2 F.3d 1112, 1119-21 (11th Cir. 1993) (holding that safety concerns made defendant city's “ban on shadow beards” a business necessity, even though the city was “not required by law to comply with OSHA standards”).</w:t>
      </w:r>
    </w:p>
    <w:p w14:paraId="22A9F276" w14:textId="77777777" w:rsidR="00267A43" w:rsidRDefault="00267A43" w:rsidP="00267A43">
      <w:pPr>
        <w:pStyle w:val="byline"/>
        <w:ind w:left="720"/>
      </w:pPr>
      <w:r>
        <w:t xml:space="preserve">In 2008, however, Washington. D.C. Fire Department lost at trial court level on summary judgment without a trial.  The U.S. Court of Appeals for the D.C. Circuit upheld, with strong concurring opinion.  WILLIAMS, Senior Circuit Judge, concurring: </w:t>
      </w:r>
    </w:p>
    <w:p w14:paraId="6CC7637E" w14:textId="77777777" w:rsidR="00267A43" w:rsidRPr="008E69EB" w:rsidRDefault="00267A43" w:rsidP="00267A43">
      <w:pPr>
        <w:pStyle w:val="paragraph"/>
        <w:ind w:left="1440"/>
      </w:pPr>
      <w:r>
        <w:t xml:space="preserve">“The record here unequivocally discloses a disputed issue of material fact. Yet the district court granted summary judgment. If the sole aim of the law were an open search for truth, we would plainly reverse.”  </w:t>
      </w:r>
      <w:r w:rsidRPr="00B75B81">
        <w:rPr>
          <w:u w:val="single"/>
        </w:rPr>
        <w:t>Potter v. District of Columbia</w:t>
      </w:r>
      <w:r>
        <w:t xml:space="preserve">, </w:t>
      </w:r>
      <w:hyperlink r:id="rId1583" w:history="1">
        <w:r w:rsidRPr="00050BB1">
          <w:rPr>
            <w:rStyle w:val="Hyperlink"/>
          </w:rPr>
          <w:t>https://casetext.com/case/potter-v-district-of-columbia-2</w:t>
        </w:r>
      </w:hyperlink>
      <w:r>
        <w:t xml:space="preserve"> </w:t>
      </w:r>
    </w:p>
    <w:p w14:paraId="7E8ABD12" w14:textId="77777777" w:rsidR="00267A43" w:rsidRDefault="00267A43" w:rsidP="00BC70A3">
      <w:pPr>
        <w:rPr>
          <w:rFonts w:ascii="Arial Black" w:hAnsi="Arial Black"/>
          <w:b/>
          <w:sz w:val="24"/>
          <w:szCs w:val="24"/>
        </w:rPr>
      </w:pPr>
    </w:p>
    <w:p w14:paraId="11BAD1FC" w14:textId="77777777" w:rsidR="005251B2" w:rsidRDefault="005251B2" w:rsidP="00BC70A3">
      <w:pPr>
        <w:rPr>
          <w:rFonts w:ascii="Arial Black" w:hAnsi="Arial Black"/>
          <w:b/>
          <w:sz w:val="24"/>
          <w:szCs w:val="24"/>
        </w:rPr>
      </w:pPr>
    </w:p>
    <w:p w14:paraId="34C20508" w14:textId="08B48E11" w:rsidR="00E47A1F" w:rsidRDefault="00E47A1F" w:rsidP="00BC70A3">
      <w:pPr>
        <w:rPr>
          <w:rFonts w:ascii="Arial Black" w:hAnsi="Arial Black"/>
          <w:b/>
          <w:sz w:val="24"/>
          <w:szCs w:val="24"/>
        </w:rPr>
      </w:pPr>
      <w:r>
        <w:rPr>
          <w:rFonts w:ascii="Arial Black" w:hAnsi="Arial Black"/>
          <w:b/>
          <w:sz w:val="24"/>
          <w:szCs w:val="24"/>
        </w:rPr>
        <w:t>8-57</w:t>
      </w:r>
    </w:p>
    <w:p w14:paraId="01EC4513" w14:textId="2576FA2B" w:rsidR="00D96E5D" w:rsidRDefault="00D96E5D" w:rsidP="00D96E5D">
      <w:pPr>
        <w:pStyle w:val="Heading1"/>
        <w:rPr>
          <w:rFonts w:ascii="Arial Black" w:hAnsi="Arial Black"/>
          <w:sz w:val="28"/>
          <w:szCs w:val="28"/>
        </w:rPr>
      </w:pPr>
      <w:r w:rsidRPr="00950088">
        <w:rPr>
          <w:rFonts w:ascii="Arial Black" w:hAnsi="Arial Black"/>
          <w:sz w:val="28"/>
          <w:szCs w:val="28"/>
        </w:rPr>
        <w:t>MS:</w:t>
      </w:r>
      <w:r>
        <w:rPr>
          <w:rFonts w:ascii="Arial Black" w:hAnsi="Arial Black"/>
          <w:sz w:val="28"/>
          <w:szCs w:val="28"/>
        </w:rPr>
        <w:t xml:space="preserve"> DIVERSITY SCHOLARSHIPS – NAT. ASSOC. OF EMERG. TECHNICIANS –</w:t>
      </w:r>
      <w:r w:rsidR="00A34572">
        <w:rPr>
          <w:rFonts w:ascii="Arial Black" w:hAnsi="Arial Black"/>
          <w:sz w:val="28"/>
          <w:szCs w:val="28"/>
        </w:rPr>
        <w:t xml:space="preserve"> </w:t>
      </w:r>
      <w:r>
        <w:rPr>
          <w:rFonts w:ascii="Arial Black" w:hAnsi="Arial Black"/>
          <w:sz w:val="28"/>
          <w:szCs w:val="28"/>
        </w:rPr>
        <w:t>PLAINTIFF GROUP DENIED TRO</w:t>
      </w:r>
    </w:p>
    <w:p w14:paraId="60229882" w14:textId="77777777" w:rsidR="00D96E5D" w:rsidRDefault="00D96E5D" w:rsidP="00D96E5D">
      <w:pPr>
        <w:pStyle w:val="Heading1"/>
        <w:rPr>
          <w:b w:val="0"/>
          <w:bCs w:val="0"/>
          <w:sz w:val="24"/>
          <w:szCs w:val="24"/>
        </w:rPr>
      </w:pPr>
      <w:r w:rsidRPr="00F27874">
        <w:rPr>
          <w:b w:val="0"/>
          <w:bCs w:val="0"/>
          <w:sz w:val="24"/>
          <w:szCs w:val="24"/>
        </w:rPr>
        <w:t xml:space="preserve">On </w:t>
      </w:r>
      <w:r>
        <w:rPr>
          <w:b w:val="0"/>
          <w:bCs w:val="0"/>
          <w:sz w:val="24"/>
          <w:szCs w:val="24"/>
        </w:rPr>
        <w:t xml:space="preserve">Jan. 23, 2024, in </w:t>
      </w:r>
      <w:r w:rsidRPr="00A7776E">
        <w:rPr>
          <w:b w:val="0"/>
          <w:bCs w:val="0"/>
          <w:sz w:val="24"/>
          <w:szCs w:val="24"/>
          <w:u w:val="single"/>
        </w:rPr>
        <w:t>Do No Harm v. National Association of Emergency Medical Technicians</w:t>
      </w:r>
      <w:r>
        <w:rPr>
          <w:b w:val="0"/>
          <w:bCs w:val="0"/>
          <w:sz w:val="24"/>
          <w:szCs w:val="24"/>
        </w:rPr>
        <w:t>, U.S. District Court Judge Carlton W. Reeves, U.S. District Court for the Southern District of Mississippi (Northern Division) denied the Plaintiff group’s motion for Temporary Restraining Order since no White member of the group has applied or been denied the scholarships. The NAEMT may therefore proceed with its application process for four $1,250 “diversity” scholarships to attend EMT school (applications due F</w:t>
      </w:r>
      <w:r w:rsidRPr="001F447E">
        <w:rPr>
          <w:b w:val="0"/>
          <w:bCs w:val="0"/>
          <w:sz w:val="24"/>
          <w:szCs w:val="24"/>
        </w:rPr>
        <w:t xml:space="preserve">ebruary 1, 2024 </w:t>
      </w:r>
      <w:r>
        <w:rPr>
          <w:b w:val="0"/>
          <w:bCs w:val="0"/>
          <w:sz w:val="24"/>
          <w:szCs w:val="24"/>
        </w:rPr>
        <w:t xml:space="preserve">- </w:t>
      </w:r>
      <w:r w:rsidRPr="001F447E">
        <w:rPr>
          <w:b w:val="0"/>
          <w:bCs w:val="0"/>
          <w:sz w:val="24"/>
          <w:szCs w:val="24"/>
        </w:rPr>
        <w:t>March 31, 2024</w:t>
      </w:r>
      <w:r>
        <w:rPr>
          <w:b w:val="0"/>
          <w:bCs w:val="0"/>
          <w:sz w:val="24"/>
          <w:szCs w:val="24"/>
        </w:rPr>
        <w:t xml:space="preserve">); </w:t>
      </w:r>
      <w:proofErr w:type="gramStart"/>
      <w:r>
        <w:rPr>
          <w:b w:val="0"/>
          <w:bCs w:val="0"/>
          <w:sz w:val="24"/>
          <w:szCs w:val="24"/>
        </w:rPr>
        <w:t>however</w:t>
      </w:r>
      <w:proofErr w:type="gramEnd"/>
      <w:r>
        <w:rPr>
          <w:b w:val="0"/>
          <w:bCs w:val="0"/>
          <w:sz w:val="24"/>
          <w:szCs w:val="24"/>
        </w:rPr>
        <w:t xml:space="preserve"> the Court notes they have taken down the scholarship from their web page. </w:t>
      </w:r>
    </w:p>
    <w:p w14:paraId="2A418C52" w14:textId="77777777" w:rsidR="00D96E5D" w:rsidRPr="001B6242" w:rsidRDefault="00D96E5D" w:rsidP="00D96E5D">
      <w:pPr>
        <w:pStyle w:val="NoSpacing"/>
        <w:ind w:firstLine="720"/>
        <w:rPr>
          <w:rFonts w:ascii="Times New Roman" w:hAnsi="Times New Roman"/>
          <w:sz w:val="24"/>
          <w:szCs w:val="24"/>
        </w:rPr>
      </w:pPr>
      <w:r>
        <w:rPr>
          <w:rFonts w:ascii="Times New Roman" w:hAnsi="Times New Roman"/>
          <w:sz w:val="24"/>
          <w:szCs w:val="24"/>
        </w:rPr>
        <w:t>“</w:t>
      </w:r>
      <w:r w:rsidRPr="001B6242">
        <w:rPr>
          <w:rFonts w:ascii="Times New Roman" w:hAnsi="Times New Roman"/>
          <w:sz w:val="24"/>
          <w:szCs w:val="24"/>
        </w:rPr>
        <w:t>Applied here, the caselaw suggests infirmities in Do No Harm’s standing to bring this</w:t>
      </w:r>
    </w:p>
    <w:p w14:paraId="2FB0EF25" w14:textId="77777777" w:rsidR="00D96E5D" w:rsidRPr="001B6242" w:rsidRDefault="00D96E5D" w:rsidP="00D96E5D">
      <w:pPr>
        <w:pStyle w:val="NoSpacing"/>
        <w:ind w:firstLine="720"/>
        <w:rPr>
          <w:rFonts w:ascii="Times New Roman" w:hAnsi="Times New Roman"/>
          <w:sz w:val="24"/>
          <w:szCs w:val="24"/>
        </w:rPr>
      </w:pPr>
      <w:r w:rsidRPr="001B6242">
        <w:rPr>
          <w:rFonts w:ascii="Times New Roman" w:hAnsi="Times New Roman"/>
          <w:sz w:val="24"/>
          <w:szCs w:val="24"/>
        </w:rPr>
        <w:t>§ 1981 claim. Its member has apparently only been deterred from applying, rather than</w:t>
      </w:r>
    </w:p>
    <w:p w14:paraId="31D3319D" w14:textId="77777777" w:rsidR="00D96E5D" w:rsidRDefault="00D96E5D" w:rsidP="00D96E5D">
      <w:pPr>
        <w:pStyle w:val="NoSpacing"/>
        <w:ind w:left="720"/>
        <w:rPr>
          <w:rFonts w:ascii="Times New Roman" w:hAnsi="Times New Roman"/>
          <w:sz w:val="24"/>
          <w:szCs w:val="24"/>
        </w:rPr>
      </w:pPr>
      <w:r w:rsidRPr="001B6242">
        <w:rPr>
          <w:rFonts w:ascii="Times New Roman" w:hAnsi="Times New Roman"/>
          <w:sz w:val="24"/>
          <w:szCs w:val="24"/>
        </w:rPr>
        <w:t>refused a contract. See Arguello, 330 F.3d at 358-59. And in the absence of a racial requirement</w:t>
      </w:r>
      <w:r>
        <w:rPr>
          <w:rFonts w:ascii="Times New Roman" w:hAnsi="Times New Roman"/>
          <w:sz w:val="24"/>
          <w:szCs w:val="24"/>
        </w:rPr>
        <w:t xml:space="preserve"> </w:t>
      </w:r>
      <w:r w:rsidRPr="001B6242">
        <w:rPr>
          <w:rFonts w:ascii="Times New Roman" w:hAnsi="Times New Roman"/>
          <w:sz w:val="24"/>
          <w:szCs w:val="24"/>
        </w:rPr>
        <w:t>in the scholarship’s eligibility requirements or an explicit bar against white applicants, we</w:t>
      </w:r>
      <w:r w:rsidRPr="001B6242">
        <w:rPr>
          <w:rFonts w:ascii="Times New Roman" w:hAnsi="Times New Roman"/>
          <w:b/>
          <w:bCs/>
          <w:sz w:val="24"/>
          <w:szCs w:val="24"/>
        </w:rPr>
        <w:t xml:space="preserve"> </w:t>
      </w:r>
      <w:r w:rsidRPr="001B6242">
        <w:rPr>
          <w:rFonts w:ascii="Times New Roman" w:hAnsi="Times New Roman"/>
          <w:sz w:val="24"/>
          <w:szCs w:val="24"/>
        </w:rPr>
        <w:t xml:space="preserve">are all forced to </w:t>
      </w:r>
      <w:r>
        <w:rPr>
          <w:rFonts w:ascii="Times New Roman" w:hAnsi="Times New Roman"/>
          <w:sz w:val="24"/>
          <w:szCs w:val="24"/>
        </w:rPr>
        <w:t>‘</w:t>
      </w:r>
      <w:r w:rsidRPr="001B6242">
        <w:rPr>
          <w:rFonts w:ascii="Times New Roman" w:hAnsi="Times New Roman"/>
          <w:sz w:val="24"/>
          <w:szCs w:val="24"/>
        </w:rPr>
        <w:t>speculate as to the injuries [Member A] might suffer. That we cannot do.</w:t>
      </w:r>
      <w:r>
        <w:rPr>
          <w:rFonts w:ascii="Times New Roman" w:hAnsi="Times New Roman"/>
          <w:sz w:val="24"/>
          <w:szCs w:val="24"/>
        </w:rPr>
        <w:t xml:space="preserve">’ </w:t>
      </w:r>
      <w:r w:rsidRPr="001B6242">
        <w:rPr>
          <w:rFonts w:ascii="Times New Roman" w:hAnsi="Times New Roman"/>
          <w:sz w:val="24"/>
          <w:szCs w:val="24"/>
        </w:rPr>
        <w:t>Barber, 860 F.3d at 357.</w:t>
      </w:r>
    </w:p>
    <w:p w14:paraId="0E231F57" w14:textId="77777777" w:rsidR="00D96E5D" w:rsidRDefault="00D96E5D" w:rsidP="00D96E5D">
      <w:pPr>
        <w:pStyle w:val="NoSpacing"/>
        <w:ind w:left="720"/>
        <w:rPr>
          <w:rFonts w:ascii="Times New Roman" w:hAnsi="Times New Roman"/>
          <w:sz w:val="24"/>
          <w:szCs w:val="24"/>
        </w:rPr>
      </w:pPr>
    </w:p>
    <w:p w14:paraId="74761522" w14:textId="77777777" w:rsidR="00D96E5D" w:rsidRDefault="00D96E5D" w:rsidP="00D96E5D">
      <w:pPr>
        <w:pStyle w:val="NoSpacing"/>
        <w:ind w:left="720"/>
        <w:rPr>
          <w:rFonts w:ascii="Times New Roman" w:hAnsi="Times New Roman"/>
          <w:sz w:val="24"/>
          <w:szCs w:val="24"/>
        </w:rPr>
      </w:pPr>
      <w:r>
        <w:rPr>
          <w:rFonts w:ascii="Times New Roman" w:hAnsi="Times New Roman"/>
          <w:sz w:val="24"/>
          <w:szCs w:val="24"/>
        </w:rPr>
        <w:t>***</w:t>
      </w:r>
    </w:p>
    <w:p w14:paraId="7115B2F5" w14:textId="77777777" w:rsidR="00D96E5D" w:rsidRDefault="00D96E5D" w:rsidP="00D96E5D">
      <w:pPr>
        <w:pStyle w:val="NoSpacing"/>
        <w:ind w:firstLine="720"/>
        <w:rPr>
          <w:rFonts w:ascii="Times New Roman" w:hAnsi="Times New Roman"/>
          <w:b/>
          <w:bCs/>
          <w:sz w:val="24"/>
          <w:szCs w:val="24"/>
        </w:rPr>
      </w:pPr>
    </w:p>
    <w:p w14:paraId="687F59B6" w14:textId="77777777" w:rsidR="00D96E5D" w:rsidRPr="001178AA" w:rsidRDefault="00D96E5D" w:rsidP="00D96E5D">
      <w:pPr>
        <w:pStyle w:val="NoSpacing"/>
        <w:ind w:firstLine="720"/>
        <w:rPr>
          <w:rFonts w:ascii="Times New Roman" w:hAnsi="Times New Roman"/>
          <w:sz w:val="24"/>
          <w:szCs w:val="24"/>
        </w:rPr>
      </w:pPr>
      <w:r w:rsidRPr="001178AA">
        <w:rPr>
          <w:rFonts w:ascii="Times New Roman" w:hAnsi="Times New Roman"/>
          <w:sz w:val="24"/>
          <w:szCs w:val="24"/>
        </w:rPr>
        <w:t>Lastly, the Court observes that as of today, NAEMT has removed its diversity</w:t>
      </w:r>
    </w:p>
    <w:p w14:paraId="78A18CEE" w14:textId="77777777" w:rsidR="00D96E5D" w:rsidRPr="001178AA" w:rsidRDefault="00D96E5D" w:rsidP="00D96E5D">
      <w:pPr>
        <w:pStyle w:val="NoSpacing"/>
        <w:ind w:left="720"/>
        <w:rPr>
          <w:rFonts w:ascii="Times New Roman" w:hAnsi="Times New Roman"/>
          <w:sz w:val="24"/>
          <w:szCs w:val="24"/>
        </w:rPr>
      </w:pPr>
      <w:r w:rsidRPr="001178AA">
        <w:rPr>
          <w:rFonts w:ascii="Times New Roman" w:hAnsi="Times New Roman"/>
          <w:sz w:val="24"/>
          <w:szCs w:val="24"/>
        </w:rPr>
        <w:t>scholarship from public display on its website. If the parties’ differences have been resolved,</w:t>
      </w:r>
      <w:r>
        <w:rPr>
          <w:rFonts w:ascii="Times New Roman" w:hAnsi="Times New Roman"/>
          <w:sz w:val="24"/>
          <w:szCs w:val="24"/>
        </w:rPr>
        <w:t xml:space="preserve"> </w:t>
      </w:r>
      <w:r w:rsidRPr="001178AA">
        <w:rPr>
          <w:rFonts w:ascii="Times New Roman" w:hAnsi="Times New Roman"/>
          <w:sz w:val="24"/>
          <w:szCs w:val="24"/>
        </w:rPr>
        <w:t>they shall promptly notify the Court.</w:t>
      </w:r>
      <w:r>
        <w:rPr>
          <w:rFonts w:ascii="Times New Roman" w:hAnsi="Times New Roman"/>
          <w:sz w:val="24"/>
          <w:szCs w:val="24"/>
        </w:rPr>
        <w:t xml:space="preserve">” </w:t>
      </w:r>
      <w:hyperlink r:id="rId1584" w:history="1">
        <w:r w:rsidRPr="00663E4B">
          <w:rPr>
            <w:rStyle w:val="Hyperlink"/>
            <w:rFonts w:ascii="Times New Roman" w:hAnsi="Times New Roman"/>
            <w:sz w:val="24"/>
            <w:szCs w:val="24"/>
          </w:rPr>
          <w:t>https://cases.justia.com/federal/district-courts/mississippi/mssdce/3:2024cv00011/123477/12/0.pdf?ts=1706115384</w:t>
        </w:r>
      </w:hyperlink>
      <w:r>
        <w:rPr>
          <w:rFonts w:ascii="Times New Roman" w:hAnsi="Times New Roman"/>
          <w:sz w:val="24"/>
          <w:szCs w:val="24"/>
        </w:rPr>
        <w:t xml:space="preserve"> </w:t>
      </w:r>
    </w:p>
    <w:p w14:paraId="3EC71BF7" w14:textId="77777777" w:rsidR="00643222" w:rsidRDefault="00643222" w:rsidP="00643222">
      <w:pPr>
        <w:pStyle w:val="NoSpacing"/>
        <w:rPr>
          <w:rFonts w:ascii="Times New Roman" w:hAnsi="Times New Roman"/>
          <w:b/>
          <w:bCs/>
          <w:sz w:val="24"/>
          <w:szCs w:val="24"/>
        </w:rPr>
      </w:pPr>
    </w:p>
    <w:p w14:paraId="084F58B6" w14:textId="58D6AD67" w:rsidR="00643222" w:rsidRDefault="00643222" w:rsidP="00643222">
      <w:pPr>
        <w:pStyle w:val="NoSpacing"/>
        <w:rPr>
          <w:rFonts w:ascii="Times New Roman" w:hAnsi="Times New Roman"/>
          <w:b/>
          <w:bCs/>
          <w:sz w:val="24"/>
          <w:szCs w:val="24"/>
        </w:rPr>
      </w:pPr>
      <w:r w:rsidRPr="001065A9">
        <w:rPr>
          <w:rFonts w:ascii="Times New Roman" w:hAnsi="Times New Roman"/>
          <w:b/>
          <w:bCs/>
          <w:sz w:val="24"/>
          <w:szCs w:val="24"/>
        </w:rPr>
        <w:t xml:space="preserve">Legal Lesson Learned: </w:t>
      </w:r>
      <w:r>
        <w:rPr>
          <w:rFonts w:ascii="Times New Roman" w:hAnsi="Times New Roman"/>
          <w:b/>
          <w:bCs/>
          <w:sz w:val="24"/>
          <w:szCs w:val="24"/>
        </w:rPr>
        <w:t xml:space="preserve">Lawsuit may now proceed with pre-trial discovery unless it has been mooted by NAEMT dropping their diversity scholarships. </w:t>
      </w:r>
    </w:p>
    <w:p w14:paraId="670AF7A9" w14:textId="77777777" w:rsidR="00643222" w:rsidRDefault="00643222" w:rsidP="00643222">
      <w:pPr>
        <w:pStyle w:val="NoSpacing"/>
        <w:rPr>
          <w:rFonts w:ascii="Times New Roman" w:hAnsi="Times New Roman"/>
          <w:b/>
          <w:bCs/>
          <w:sz w:val="24"/>
          <w:szCs w:val="24"/>
        </w:rPr>
      </w:pPr>
    </w:p>
    <w:p w14:paraId="2ACBFB6B" w14:textId="32A92EA7" w:rsidR="00643222" w:rsidRDefault="00643222" w:rsidP="00643222">
      <w:pPr>
        <w:pStyle w:val="NoSpacing"/>
        <w:ind w:left="720"/>
        <w:rPr>
          <w:rFonts w:ascii="Times New Roman" w:hAnsi="Times New Roman"/>
          <w:sz w:val="24"/>
          <w:szCs w:val="24"/>
        </w:rPr>
      </w:pPr>
      <w:r w:rsidRPr="0082425E">
        <w:rPr>
          <w:rFonts w:ascii="Times New Roman" w:hAnsi="Times New Roman"/>
          <w:sz w:val="24"/>
          <w:szCs w:val="24"/>
        </w:rPr>
        <w:t>Note:</w:t>
      </w:r>
      <w:r>
        <w:rPr>
          <w:rFonts w:ascii="Times New Roman" w:hAnsi="Times New Roman"/>
          <w:sz w:val="24"/>
          <w:szCs w:val="24"/>
        </w:rPr>
        <w:t xml:space="preserve"> This case is another example of lawsuits being filed challenging diversity programs s</w:t>
      </w:r>
      <w:r w:rsidRPr="0082425E">
        <w:rPr>
          <w:rFonts w:ascii="Times New Roman" w:hAnsi="Times New Roman"/>
          <w:sz w:val="24"/>
          <w:szCs w:val="24"/>
        </w:rPr>
        <w:t xml:space="preserve">ince the U.S. Supreme Court’s June 29, </w:t>
      </w:r>
      <w:proofErr w:type="gramStart"/>
      <w:r w:rsidRPr="0082425E">
        <w:rPr>
          <w:rFonts w:ascii="Times New Roman" w:hAnsi="Times New Roman"/>
          <w:sz w:val="24"/>
          <w:szCs w:val="24"/>
        </w:rPr>
        <w:t>2023</w:t>
      </w:r>
      <w:proofErr w:type="gramEnd"/>
      <w:r w:rsidRPr="0082425E">
        <w:rPr>
          <w:rFonts w:ascii="Times New Roman" w:hAnsi="Times New Roman"/>
          <w:sz w:val="24"/>
          <w:szCs w:val="24"/>
        </w:rPr>
        <w:t xml:space="preserve"> decision holding that Harvard University and University of North Carolina’s admissions programs accounting for race of applicants violated the Equal Protection Clause of 14</w:t>
      </w:r>
      <w:r w:rsidRPr="0082425E">
        <w:rPr>
          <w:rFonts w:ascii="Times New Roman" w:hAnsi="Times New Roman"/>
          <w:sz w:val="24"/>
          <w:szCs w:val="24"/>
          <w:vertAlign w:val="superscript"/>
        </w:rPr>
        <w:t>th</w:t>
      </w:r>
      <w:r w:rsidRPr="0082425E">
        <w:rPr>
          <w:rFonts w:ascii="Times New Roman" w:hAnsi="Times New Roman"/>
          <w:sz w:val="24"/>
          <w:szCs w:val="24"/>
        </w:rPr>
        <w:t xml:space="preserve"> Amendment</w:t>
      </w:r>
      <w:r>
        <w:rPr>
          <w:rFonts w:ascii="Times New Roman" w:hAnsi="Times New Roman"/>
          <w:sz w:val="24"/>
          <w:szCs w:val="24"/>
        </w:rPr>
        <w:t xml:space="preserve">. </w:t>
      </w:r>
      <w:r w:rsidRPr="00C13969">
        <w:rPr>
          <w:rFonts w:ascii="Times New Roman" w:hAnsi="Times New Roman"/>
          <w:sz w:val="24"/>
          <w:szCs w:val="24"/>
        </w:rPr>
        <w:t>STUDENTS FOR FAIR ADMISSIONS, INC. v.</w:t>
      </w:r>
      <w:r>
        <w:rPr>
          <w:rFonts w:ascii="Times New Roman" w:hAnsi="Times New Roman"/>
          <w:sz w:val="24"/>
          <w:szCs w:val="24"/>
        </w:rPr>
        <w:t xml:space="preserve"> </w:t>
      </w:r>
      <w:r w:rsidRPr="00C13969">
        <w:rPr>
          <w:rFonts w:ascii="Times New Roman" w:hAnsi="Times New Roman"/>
          <w:sz w:val="24"/>
          <w:szCs w:val="24"/>
        </w:rPr>
        <w:t>PRESIDENT AND FELLOWS OF</w:t>
      </w:r>
      <w:r>
        <w:rPr>
          <w:rFonts w:ascii="Times New Roman" w:hAnsi="Times New Roman"/>
          <w:sz w:val="24"/>
          <w:szCs w:val="24"/>
        </w:rPr>
        <w:t xml:space="preserve"> </w:t>
      </w:r>
      <w:r w:rsidRPr="00C13969">
        <w:rPr>
          <w:rFonts w:ascii="Times New Roman" w:hAnsi="Times New Roman"/>
          <w:sz w:val="24"/>
          <w:szCs w:val="24"/>
        </w:rPr>
        <w:t>HARVARD COLLEGE</w:t>
      </w:r>
      <w:r>
        <w:rPr>
          <w:rFonts w:ascii="Times New Roman" w:hAnsi="Times New Roman"/>
          <w:sz w:val="24"/>
          <w:szCs w:val="24"/>
        </w:rPr>
        <w:t xml:space="preserve"> (6 to 2; Justice </w:t>
      </w:r>
      <w:r w:rsidR="00394037">
        <w:rPr>
          <w:rFonts w:ascii="Times New Roman" w:hAnsi="Times New Roman"/>
          <w:sz w:val="24"/>
          <w:szCs w:val="24"/>
        </w:rPr>
        <w:t>Ketanji</w:t>
      </w:r>
      <w:r>
        <w:rPr>
          <w:rFonts w:ascii="Times New Roman" w:hAnsi="Times New Roman"/>
          <w:sz w:val="24"/>
          <w:szCs w:val="24"/>
        </w:rPr>
        <w:t xml:space="preserve"> Brown Jackson recused herself), and STUDENTS FOR ADMISSION v. UNIVERSITY OF NORTH CARLINA (6 to 3). </w:t>
      </w:r>
      <w:hyperlink r:id="rId1585" w:history="1">
        <w:r w:rsidRPr="00663E4B">
          <w:rPr>
            <w:rStyle w:val="Hyperlink"/>
            <w:rFonts w:ascii="Times New Roman" w:hAnsi="Times New Roman"/>
            <w:sz w:val="24"/>
            <w:szCs w:val="24"/>
          </w:rPr>
          <w:t>https://www.supremecourt.gov/opinions/22pdf/600us1r53_4g15.pdf</w:t>
        </w:r>
      </w:hyperlink>
      <w:r>
        <w:rPr>
          <w:rFonts w:ascii="Times New Roman" w:hAnsi="Times New Roman"/>
          <w:sz w:val="24"/>
          <w:szCs w:val="24"/>
        </w:rPr>
        <w:t xml:space="preserve"> </w:t>
      </w:r>
    </w:p>
    <w:p w14:paraId="6E78F65C" w14:textId="77777777" w:rsidR="00643222" w:rsidRDefault="00643222" w:rsidP="00643222">
      <w:pPr>
        <w:pStyle w:val="NoSpacing"/>
        <w:ind w:left="720"/>
        <w:rPr>
          <w:rFonts w:ascii="Times New Roman" w:hAnsi="Times New Roman"/>
          <w:sz w:val="24"/>
          <w:szCs w:val="24"/>
        </w:rPr>
      </w:pPr>
    </w:p>
    <w:p w14:paraId="319013FF" w14:textId="77777777" w:rsidR="00643222" w:rsidRPr="003906A9" w:rsidRDefault="00643222" w:rsidP="00643222">
      <w:pPr>
        <w:pStyle w:val="NoSpacing"/>
        <w:ind w:left="720"/>
        <w:rPr>
          <w:rFonts w:ascii="Times New Roman" w:hAnsi="Times New Roman"/>
          <w:sz w:val="24"/>
          <w:szCs w:val="24"/>
        </w:rPr>
      </w:pPr>
      <w:r w:rsidRPr="003906A9">
        <w:rPr>
          <w:rFonts w:ascii="Times New Roman" w:hAnsi="Times New Roman"/>
          <w:sz w:val="24"/>
          <w:szCs w:val="24"/>
        </w:rPr>
        <w:t xml:space="preserve">See: </w:t>
      </w:r>
      <w:r>
        <w:rPr>
          <w:rFonts w:ascii="Times New Roman" w:hAnsi="Times New Roman"/>
          <w:sz w:val="24"/>
          <w:szCs w:val="24"/>
        </w:rPr>
        <w:t>“</w:t>
      </w:r>
      <w:r w:rsidRPr="003906A9">
        <w:rPr>
          <w:rFonts w:ascii="Times New Roman" w:hAnsi="Times New Roman"/>
          <w:sz w:val="24"/>
          <w:szCs w:val="24"/>
        </w:rPr>
        <w:t>As Legal Challenges Mount, Some Companies Retool Diversity and Inclusion Programs</w:t>
      </w:r>
      <w:r>
        <w:rPr>
          <w:rFonts w:ascii="Times New Roman" w:hAnsi="Times New Roman"/>
          <w:sz w:val="24"/>
          <w:szCs w:val="24"/>
        </w:rPr>
        <w:t>”</w:t>
      </w:r>
      <w:r w:rsidRPr="003906A9">
        <w:rPr>
          <w:rFonts w:ascii="Times New Roman" w:hAnsi="Times New Roman"/>
          <w:sz w:val="24"/>
          <w:szCs w:val="24"/>
        </w:rPr>
        <w:t xml:space="preserve"> (Jan. 12, 2024). </w:t>
      </w:r>
      <w:hyperlink r:id="rId1586" w:history="1">
        <w:r w:rsidRPr="003906A9">
          <w:rPr>
            <w:rStyle w:val="Hyperlink"/>
            <w:rFonts w:ascii="Times New Roman" w:hAnsi="Times New Roman"/>
            <w:sz w:val="24"/>
            <w:szCs w:val="24"/>
          </w:rPr>
          <w:t>https://www.usnews.com/news/us/articles/2024-01-14/as-legal-challenges-mount-some-companies-retool-diversity-and-inclusion-programs</w:t>
        </w:r>
      </w:hyperlink>
      <w:r w:rsidRPr="003906A9">
        <w:rPr>
          <w:rFonts w:ascii="Times New Roman" w:hAnsi="Times New Roman"/>
          <w:sz w:val="24"/>
          <w:szCs w:val="24"/>
        </w:rPr>
        <w:t xml:space="preserve"> </w:t>
      </w:r>
    </w:p>
    <w:p w14:paraId="7F5BD8C0" w14:textId="77777777" w:rsidR="00643222" w:rsidRDefault="00643222" w:rsidP="00643222">
      <w:pPr>
        <w:pStyle w:val="Heading1"/>
        <w:ind w:left="720"/>
        <w:rPr>
          <w:b w:val="0"/>
          <w:bCs w:val="0"/>
          <w:sz w:val="24"/>
          <w:szCs w:val="24"/>
        </w:rPr>
      </w:pPr>
      <w:r w:rsidRPr="009C4E23">
        <w:rPr>
          <w:b w:val="0"/>
          <w:bCs w:val="0"/>
          <w:sz w:val="24"/>
          <w:szCs w:val="24"/>
        </w:rPr>
        <w:t>See</w:t>
      </w:r>
      <w:r>
        <w:rPr>
          <w:b w:val="0"/>
          <w:bCs w:val="0"/>
          <w:sz w:val="24"/>
          <w:szCs w:val="24"/>
        </w:rPr>
        <w:t xml:space="preserve"> also:</w:t>
      </w:r>
      <w:r w:rsidRPr="009C4E23">
        <w:rPr>
          <w:b w:val="0"/>
          <w:bCs w:val="0"/>
          <w:sz w:val="24"/>
          <w:szCs w:val="24"/>
        </w:rPr>
        <w:t xml:space="preserve"> “Lawsuits Challenge Law Firm Diversity Programs as Racially Discriminatory” (Oct. 6, 2023). </w:t>
      </w:r>
      <w:hyperlink r:id="rId1587" w:history="1">
        <w:r w:rsidRPr="009C4E23">
          <w:rPr>
            <w:rStyle w:val="Hyperlink"/>
            <w:b w:val="0"/>
            <w:bCs w:val="0"/>
            <w:sz w:val="24"/>
            <w:szCs w:val="24"/>
          </w:rPr>
          <w:t>https://fedsoc.org/commentary/fedsoc-blog/lawsuits-challenge-law-firm-diversity-programs-as-racially-discriminatory</w:t>
        </w:r>
      </w:hyperlink>
      <w:r w:rsidRPr="009C4E23">
        <w:rPr>
          <w:b w:val="0"/>
          <w:bCs w:val="0"/>
          <w:sz w:val="24"/>
          <w:szCs w:val="24"/>
        </w:rPr>
        <w:t xml:space="preserve"> </w:t>
      </w:r>
    </w:p>
    <w:p w14:paraId="0C67E1D5" w14:textId="77777777" w:rsidR="00643222" w:rsidRDefault="00643222" w:rsidP="00BC70A3">
      <w:pPr>
        <w:rPr>
          <w:rFonts w:ascii="Arial Black" w:hAnsi="Arial Black"/>
          <w:b/>
          <w:sz w:val="24"/>
          <w:szCs w:val="24"/>
        </w:rPr>
      </w:pPr>
    </w:p>
    <w:p w14:paraId="6B578B71" w14:textId="77777777" w:rsidR="00E47A1F" w:rsidRDefault="00E47A1F" w:rsidP="00BC70A3">
      <w:pPr>
        <w:rPr>
          <w:rFonts w:ascii="Arial Black" w:hAnsi="Arial Black"/>
          <w:b/>
          <w:sz w:val="24"/>
          <w:szCs w:val="24"/>
        </w:rPr>
      </w:pPr>
    </w:p>
    <w:p w14:paraId="03EE2F66" w14:textId="77777777" w:rsidR="00E47A1F" w:rsidRDefault="00E47A1F" w:rsidP="00BC70A3">
      <w:pPr>
        <w:rPr>
          <w:rFonts w:ascii="Arial Black" w:hAnsi="Arial Black"/>
          <w:b/>
          <w:sz w:val="24"/>
          <w:szCs w:val="24"/>
        </w:rPr>
      </w:pPr>
    </w:p>
    <w:p w14:paraId="02E49FA9" w14:textId="188D687D" w:rsidR="007F6B94" w:rsidRDefault="007F6B94" w:rsidP="00BC70A3">
      <w:pPr>
        <w:rPr>
          <w:rFonts w:ascii="Arial Black" w:hAnsi="Arial Black"/>
          <w:b/>
          <w:sz w:val="24"/>
          <w:szCs w:val="24"/>
        </w:rPr>
      </w:pPr>
      <w:r>
        <w:rPr>
          <w:rFonts w:ascii="Arial Black" w:hAnsi="Arial Black"/>
          <w:b/>
          <w:sz w:val="24"/>
          <w:szCs w:val="24"/>
        </w:rPr>
        <w:t>8-56</w:t>
      </w:r>
    </w:p>
    <w:p w14:paraId="5986DF1F" w14:textId="77777777" w:rsidR="0051041F" w:rsidRPr="00D437F9" w:rsidRDefault="0051041F" w:rsidP="0051041F">
      <w:pPr>
        <w:pStyle w:val="NoSpacing"/>
        <w:rPr>
          <w:rFonts w:ascii="Arial Black" w:hAnsi="Arial Black"/>
          <w:sz w:val="28"/>
          <w:szCs w:val="28"/>
        </w:rPr>
      </w:pPr>
      <w:r>
        <w:rPr>
          <w:rFonts w:ascii="Arial Black" w:hAnsi="Arial Black"/>
          <w:sz w:val="28"/>
          <w:szCs w:val="28"/>
        </w:rPr>
        <w:t xml:space="preserve">DE: BLACK LT. – 2020 “BAND ONE” FOR CAPTAIN – 5 WHITES PROMOTED – 2022 LOWERED “BAND TWO” - CASE PROCEED </w:t>
      </w:r>
    </w:p>
    <w:p w14:paraId="262A9489" w14:textId="77777777" w:rsidR="0051041F" w:rsidRDefault="0051041F" w:rsidP="0051041F">
      <w:pPr>
        <w:pStyle w:val="NoSpacing"/>
        <w:rPr>
          <w:rFonts w:ascii="Times New Roman" w:hAnsi="Times New Roman"/>
          <w:sz w:val="24"/>
          <w:szCs w:val="24"/>
        </w:rPr>
      </w:pPr>
    </w:p>
    <w:p w14:paraId="4A91114D" w14:textId="77777777" w:rsidR="0051041F" w:rsidRDefault="0051041F" w:rsidP="0051041F">
      <w:pPr>
        <w:pStyle w:val="NoSpacing"/>
        <w:rPr>
          <w:rFonts w:ascii="Times New Roman" w:hAnsi="Times New Roman"/>
          <w:sz w:val="24"/>
          <w:szCs w:val="24"/>
        </w:rPr>
      </w:pPr>
      <w:r>
        <w:rPr>
          <w:rFonts w:ascii="Times New Roman" w:hAnsi="Times New Roman"/>
          <w:sz w:val="24"/>
          <w:szCs w:val="24"/>
        </w:rPr>
        <w:t xml:space="preserve">On Dec. 15, 2023, in </w:t>
      </w:r>
      <w:r w:rsidRPr="00AC0301">
        <w:rPr>
          <w:rFonts w:ascii="Times New Roman" w:hAnsi="Times New Roman"/>
          <w:sz w:val="24"/>
          <w:szCs w:val="24"/>
          <w:u w:val="single"/>
        </w:rPr>
        <w:t>Craig Black v. City of Wilmington</w:t>
      </w:r>
      <w:r>
        <w:rPr>
          <w:rFonts w:ascii="Times New Roman" w:hAnsi="Times New Roman"/>
          <w:sz w:val="24"/>
          <w:szCs w:val="24"/>
        </w:rPr>
        <w:t>, U.S. District Court Judge Gregory B. William, U.S. District Court for District of Delaware, denied most of the City’s motion to dismiss; the complaint alleges sufficient facts to permit pre-trial discovery.  The Court wrote: “H</w:t>
      </w:r>
      <w:r w:rsidRPr="00355BA0">
        <w:rPr>
          <w:rFonts w:ascii="Times New Roman" w:hAnsi="Times New Roman"/>
          <w:sz w:val="24"/>
          <w:szCs w:val="24"/>
        </w:rPr>
        <w:t>ere, Black has alleged numerous acts of</w:t>
      </w:r>
      <w:r>
        <w:rPr>
          <w:rFonts w:ascii="Times New Roman" w:hAnsi="Times New Roman"/>
          <w:sz w:val="24"/>
          <w:szCs w:val="24"/>
        </w:rPr>
        <w:t xml:space="preserve"> </w:t>
      </w:r>
      <w:r w:rsidRPr="00355BA0">
        <w:rPr>
          <w:rFonts w:ascii="Times New Roman" w:hAnsi="Times New Roman"/>
          <w:sz w:val="24"/>
          <w:szCs w:val="24"/>
        </w:rPr>
        <w:t>retaliation by Defendants over a thirteen-month timeframe, which include denying Black</w:t>
      </w:r>
      <w:r>
        <w:rPr>
          <w:rFonts w:ascii="Times New Roman" w:hAnsi="Times New Roman"/>
          <w:sz w:val="24"/>
          <w:szCs w:val="24"/>
        </w:rPr>
        <w:t xml:space="preserve"> </w:t>
      </w:r>
      <w:r w:rsidRPr="00355BA0">
        <w:rPr>
          <w:rFonts w:ascii="Times New Roman" w:hAnsi="Times New Roman"/>
          <w:sz w:val="24"/>
          <w:szCs w:val="24"/>
        </w:rPr>
        <w:t>promotions to the rank of Captain on several occasions; dispersing General Order 2022-15 that</w:t>
      </w:r>
      <w:r>
        <w:rPr>
          <w:rFonts w:ascii="Times New Roman" w:hAnsi="Times New Roman"/>
          <w:sz w:val="24"/>
          <w:szCs w:val="24"/>
        </w:rPr>
        <w:t xml:space="preserve"> </w:t>
      </w:r>
      <w:r w:rsidRPr="00355BA0">
        <w:rPr>
          <w:rFonts w:ascii="Times New Roman" w:hAnsi="Times New Roman"/>
          <w:sz w:val="24"/>
          <w:szCs w:val="24"/>
        </w:rPr>
        <w:t>altered the City's procedures for promotions by requiring that promotions to Captain be made</w:t>
      </w:r>
      <w:r>
        <w:rPr>
          <w:rFonts w:ascii="Times New Roman" w:hAnsi="Times New Roman"/>
          <w:sz w:val="24"/>
          <w:szCs w:val="24"/>
        </w:rPr>
        <w:t xml:space="preserve"> </w:t>
      </w:r>
      <w:r w:rsidRPr="00355BA0">
        <w:rPr>
          <w:rFonts w:ascii="Times New Roman" w:hAnsi="Times New Roman"/>
          <w:sz w:val="24"/>
          <w:szCs w:val="24"/>
        </w:rPr>
        <w:t>only from Band One; and ultimately demoting Black to Band Two despite the fact he was</w:t>
      </w:r>
      <w:r>
        <w:rPr>
          <w:rFonts w:ascii="Times New Roman" w:hAnsi="Times New Roman"/>
          <w:sz w:val="24"/>
          <w:szCs w:val="24"/>
        </w:rPr>
        <w:t xml:space="preserve"> </w:t>
      </w:r>
      <w:r w:rsidRPr="00355BA0">
        <w:rPr>
          <w:rFonts w:ascii="Times New Roman" w:hAnsi="Times New Roman"/>
          <w:sz w:val="24"/>
          <w:szCs w:val="24"/>
        </w:rPr>
        <w:t>previously placed on Band One</w:t>
      </w:r>
      <w:r>
        <w:rPr>
          <w:rFonts w:ascii="Times New Roman" w:hAnsi="Times New Roman"/>
          <w:sz w:val="24"/>
          <w:szCs w:val="24"/>
        </w:rPr>
        <w:t xml:space="preserve">. ***  </w:t>
      </w:r>
      <w:r w:rsidRPr="007404E7">
        <w:rPr>
          <w:rFonts w:ascii="Times New Roman" w:hAnsi="Times New Roman"/>
          <w:sz w:val="24"/>
          <w:szCs w:val="24"/>
        </w:rPr>
        <w:t>Additionally, while Defendants stress that Black was found guilty of a disciplinary action in an</w:t>
      </w:r>
      <w:r>
        <w:rPr>
          <w:rFonts w:ascii="Times New Roman" w:hAnsi="Times New Roman"/>
          <w:sz w:val="24"/>
          <w:szCs w:val="24"/>
        </w:rPr>
        <w:t xml:space="preserve"> </w:t>
      </w:r>
      <w:r w:rsidRPr="007404E7">
        <w:rPr>
          <w:rFonts w:ascii="Times New Roman" w:hAnsi="Times New Roman"/>
          <w:sz w:val="24"/>
          <w:szCs w:val="24"/>
        </w:rPr>
        <w:t>attempt to further distinguish him from the five comparators</w:t>
      </w:r>
      <w:r>
        <w:rPr>
          <w:rFonts w:ascii="Times New Roman" w:hAnsi="Times New Roman"/>
          <w:sz w:val="24"/>
          <w:szCs w:val="24"/>
        </w:rPr>
        <w:t xml:space="preserve"> … </w:t>
      </w:r>
      <w:r w:rsidRPr="007404E7">
        <w:rPr>
          <w:rFonts w:ascii="Times New Roman" w:hAnsi="Times New Roman"/>
          <w:sz w:val="24"/>
          <w:szCs w:val="24"/>
        </w:rPr>
        <w:t>the Court notes again</w:t>
      </w:r>
      <w:r>
        <w:rPr>
          <w:rFonts w:ascii="Times New Roman" w:hAnsi="Times New Roman"/>
          <w:sz w:val="24"/>
          <w:szCs w:val="24"/>
        </w:rPr>
        <w:t xml:space="preserve"> </w:t>
      </w:r>
      <w:r w:rsidRPr="007404E7">
        <w:rPr>
          <w:rFonts w:ascii="Times New Roman" w:hAnsi="Times New Roman"/>
          <w:sz w:val="24"/>
          <w:szCs w:val="24"/>
        </w:rPr>
        <w:t>that it cannot consider new evidence that was not alleged in Black' s pleadings, including the status</w:t>
      </w:r>
      <w:r>
        <w:rPr>
          <w:rFonts w:ascii="Times New Roman" w:hAnsi="Times New Roman"/>
          <w:sz w:val="24"/>
          <w:szCs w:val="24"/>
        </w:rPr>
        <w:t xml:space="preserve"> </w:t>
      </w:r>
      <w:r w:rsidRPr="007404E7">
        <w:rPr>
          <w:rFonts w:ascii="Times New Roman" w:hAnsi="Times New Roman"/>
          <w:sz w:val="24"/>
          <w:szCs w:val="24"/>
        </w:rPr>
        <w:t>of his disciplinary action and the disciplinary records of the five comparators.</w:t>
      </w:r>
      <w:r>
        <w:rPr>
          <w:rFonts w:ascii="Times New Roman" w:hAnsi="Times New Roman"/>
          <w:sz w:val="24"/>
          <w:szCs w:val="24"/>
        </w:rPr>
        <w:t>”</w:t>
      </w:r>
    </w:p>
    <w:p w14:paraId="3A51A664" w14:textId="77777777" w:rsidR="0051041F" w:rsidRDefault="0051041F" w:rsidP="0051041F">
      <w:pPr>
        <w:pStyle w:val="NoSpacing"/>
        <w:rPr>
          <w:rFonts w:ascii="Times New Roman" w:hAnsi="Times New Roman"/>
          <w:sz w:val="24"/>
          <w:szCs w:val="24"/>
        </w:rPr>
      </w:pPr>
      <w:hyperlink r:id="rId1588" w:history="1">
        <w:r w:rsidRPr="00E359E2">
          <w:rPr>
            <w:rStyle w:val="Hyperlink"/>
            <w:rFonts w:ascii="Times New Roman" w:hAnsi="Times New Roman"/>
            <w:sz w:val="24"/>
            <w:szCs w:val="24"/>
          </w:rPr>
          <w:t>https://storage.courtlistener.com/recap/gov.uscourts.ded.79218/gov.uscourts.ded.79218.29.0.pdf</w:t>
        </w:r>
      </w:hyperlink>
      <w:r>
        <w:rPr>
          <w:rFonts w:ascii="Times New Roman" w:hAnsi="Times New Roman"/>
          <w:sz w:val="24"/>
          <w:szCs w:val="24"/>
        </w:rPr>
        <w:t xml:space="preserve"> </w:t>
      </w:r>
    </w:p>
    <w:p w14:paraId="696927FC" w14:textId="77777777" w:rsidR="0051041F" w:rsidRDefault="0051041F" w:rsidP="0051041F">
      <w:pPr>
        <w:pStyle w:val="NoSpacing"/>
        <w:rPr>
          <w:rFonts w:ascii="Times New Roman" w:hAnsi="Times New Roman"/>
          <w:sz w:val="24"/>
          <w:szCs w:val="24"/>
        </w:rPr>
      </w:pPr>
    </w:p>
    <w:p w14:paraId="4FD703AA" w14:textId="77777777" w:rsidR="00231A5A" w:rsidRPr="00361309" w:rsidRDefault="00231A5A" w:rsidP="00231A5A">
      <w:pPr>
        <w:pStyle w:val="NoSpacing"/>
        <w:rPr>
          <w:rFonts w:ascii="Times New Roman" w:hAnsi="Times New Roman"/>
          <w:b/>
          <w:bCs/>
          <w:sz w:val="24"/>
          <w:szCs w:val="24"/>
        </w:rPr>
      </w:pPr>
      <w:r w:rsidRPr="00361309">
        <w:rPr>
          <w:rFonts w:ascii="Times New Roman" w:hAnsi="Times New Roman"/>
          <w:b/>
          <w:bCs/>
          <w:sz w:val="24"/>
          <w:szCs w:val="24"/>
        </w:rPr>
        <w:t>Legal Lesson Learned:</w:t>
      </w:r>
      <w:r>
        <w:rPr>
          <w:rFonts w:ascii="Times New Roman" w:hAnsi="Times New Roman"/>
          <w:b/>
          <w:bCs/>
          <w:sz w:val="24"/>
          <w:szCs w:val="24"/>
        </w:rPr>
        <w:t xml:space="preserve"> Pre-trial discovery will now proceed. </w:t>
      </w:r>
    </w:p>
    <w:p w14:paraId="44B35763" w14:textId="77777777" w:rsidR="007F6B94" w:rsidRDefault="007F6B94" w:rsidP="00BC70A3">
      <w:pPr>
        <w:rPr>
          <w:rFonts w:ascii="Arial Black" w:hAnsi="Arial Black"/>
          <w:b/>
          <w:sz w:val="24"/>
          <w:szCs w:val="24"/>
        </w:rPr>
      </w:pPr>
    </w:p>
    <w:p w14:paraId="4BC66D32" w14:textId="77777777" w:rsidR="007F6B94" w:rsidRDefault="007F6B94" w:rsidP="00BC70A3">
      <w:pPr>
        <w:rPr>
          <w:rFonts w:ascii="Arial Black" w:hAnsi="Arial Black"/>
          <w:b/>
          <w:sz w:val="24"/>
          <w:szCs w:val="24"/>
        </w:rPr>
      </w:pPr>
    </w:p>
    <w:p w14:paraId="479FFB35" w14:textId="77777777" w:rsidR="007F6B94" w:rsidRDefault="007F6B94" w:rsidP="00BC70A3">
      <w:pPr>
        <w:rPr>
          <w:rFonts w:ascii="Arial Black" w:hAnsi="Arial Black"/>
          <w:b/>
          <w:sz w:val="24"/>
          <w:szCs w:val="24"/>
        </w:rPr>
      </w:pPr>
    </w:p>
    <w:p w14:paraId="081DEDFD" w14:textId="1657F6B3" w:rsidR="00832745" w:rsidRDefault="00832745" w:rsidP="00BC70A3">
      <w:pPr>
        <w:rPr>
          <w:rFonts w:ascii="Arial Black" w:hAnsi="Arial Black"/>
          <w:b/>
          <w:sz w:val="24"/>
          <w:szCs w:val="24"/>
        </w:rPr>
      </w:pPr>
      <w:r>
        <w:rPr>
          <w:rFonts w:ascii="Arial Black" w:hAnsi="Arial Black"/>
          <w:b/>
          <w:sz w:val="24"/>
          <w:szCs w:val="24"/>
        </w:rPr>
        <w:t>8-55</w:t>
      </w:r>
    </w:p>
    <w:p w14:paraId="2A0E49E0" w14:textId="77777777" w:rsidR="00832745" w:rsidRDefault="00832745" w:rsidP="00832745">
      <w:pPr>
        <w:pStyle w:val="NormalWeb"/>
        <w:rPr>
          <w:rFonts w:ascii="Arial Black" w:hAnsi="Arial Black"/>
          <w:b/>
          <w:bCs/>
          <w:sz w:val="28"/>
          <w:szCs w:val="28"/>
        </w:rPr>
      </w:pPr>
      <w:r>
        <w:rPr>
          <w:rFonts w:ascii="Arial Black" w:hAnsi="Arial Black"/>
          <w:b/>
          <w:bCs/>
          <w:sz w:val="28"/>
          <w:szCs w:val="28"/>
        </w:rPr>
        <w:t>FL: BLACK FF FIRED – 2</w:t>
      </w:r>
      <w:r w:rsidRPr="00670C68">
        <w:rPr>
          <w:rFonts w:ascii="Arial Black" w:hAnsi="Arial Black"/>
          <w:b/>
          <w:bCs/>
          <w:sz w:val="28"/>
          <w:szCs w:val="28"/>
          <w:vertAlign w:val="superscript"/>
        </w:rPr>
        <w:t>nd</w:t>
      </w:r>
      <w:r>
        <w:rPr>
          <w:rFonts w:ascii="Arial Black" w:hAnsi="Arial Black"/>
          <w:b/>
          <w:bCs/>
          <w:sz w:val="28"/>
          <w:szCs w:val="28"/>
        </w:rPr>
        <w:t xml:space="preserve"> POSITIVE DRUG TEST – WHITE CAPTAIN NOT FIRED 1</w:t>
      </w:r>
      <w:r w:rsidRPr="00670C68">
        <w:rPr>
          <w:rFonts w:ascii="Arial Black" w:hAnsi="Arial Black"/>
          <w:b/>
          <w:bCs/>
          <w:sz w:val="28"/>
          <w:szCs w:val="28"/>
          <w:vertAlign w:val="superscript"/>
        </w:rPr>
        <w:t>st</w:t>
      </w:r>
      <w:r>
        <w:rPr>
          <w:rFonts w:ascii="Arial Black" w:hAnsi="Arial Black"/>
          <w:b/>
          <w:bCs/>
          <w:sz w:val="28"/>
          <w:szCs w:val="28"/>
        </w:rPr>
        <w:t xml:space="preserve"> POSITIVE – CASE DISMISSED</w:t>
      </w:r>
    </w:p>
    <w:p w14:paraId="0134DCD0" w14:textId="77777777" w:rsidR="00832745" w:rsidRDefault="00832745" w:rsidP="00832745">
      <w:pPr>
        <w:pStyle w:val="NormalWeb"/>
      </w:pPr>
      <w:r w:rsidRPr="00F632F5">
        <w:t xml:space="preserve">On </w:t>
      </w:r>
      <w:r>
        <w:t xml:space="preserve">Oct. 10, 2023, in </w:t>
      </w:r>
      <w:r w:rsidRPr="00F632F5">
        <w:rPr>
          <w:u w:val="single"/>
        </w:rPr>
        <w:t>Robert Hodges v. Miami-Dade County</w:t>
      </w:r>
      <w:r>
        <w:t xml:space="preserve">, U.S. District Court Judge Beth Bloom, U.S. District Court for Southern District of Florida, granted the defense motion for summary judgment.  The Court held: “Unlike Captain Brunetti, however, Plaintiff tested positive </w:t>
      </w:r>
      <w:r>
        <w:rPr>
          <w:rStyle w:val="Emphasis"/>
          <w:rFonts w:eastAsiaTheme="majorEastAsia"/>
        </w:rPr>
        <w:t>again</w:t>
      </w:r>
      <w:r>
        <w:t xml:space="preserve"> in January 2020, violating the terms of his 2019 Agreement. SMF ¶¶ 17-18; SAMF ¶¶ 17-18. As such, the undisputed evidence establishes that Defendant did not treat Captain Brunetti more favorably. The undisputed evidence supports the conclusion that Defendant treated both employees the same, only electing to terminate Plaintiff after his second violation of Defendant's policies </w:t>
      </w:r>
      <w:r>
        <w:rPr>
          <w:rStyle w:val="Emphasis"/>
          <w:rFonts w:eastAsiaTheme="majorEastAsia"/>
        </w:rPr>
        <w:t>after</w:t>
      </w:r>
      <w:r>
        <w:t xml:space="preserve"> signing his 2019 Agreement. The record demonstrates that Plaintiff and Defendant Brunetti do not share the same disciplinary history. *** Accordingly, Plaintiff fails to show that Defendant's proffered reason for his termination was pretextual. Plaintiff has also failed to point to any evidence supporting an inference that racial discrimination was the real reason. Those deficiencies are fatal to Plaintiff's discrimination claim under </w:t>
      </w:r>
      <w:r>
        <w:rPr>
          <w:rStyle w:val="Emphasis"/>
          <w:rFonts w:eastAsiaTheme="majorEastAsia"/>
        </w:rPr>
        <w:t>McDonnell Douglas</w:t>
      </w:r>
      <w:r>
        <w:rPr>
          <w:rStyle w:val="Emphasis"/>
        </w:rPr>
        <w:t xml:space="preserve">” </w:t>
      </w:r>
      <w:hyperlink r:id="rId1589" w:history="1">
        <w:r w:rsidRPr="00317BBB">
          <w:rPr>
            <w:rStyle w:val="Hyperlink"/>
            <w:rFonts w:eastAsiaTheme="majorEastAsia"/>
          </w:rPr>
          <w:t>https://www.casemine.com/judgement/us/6527768e0e33307ee3c25e6b</w:t>
        </w:r>
      </w:hyperlink>
      <w:r>
        <w:rPr>
          <w:rStyle w:val="Emphasis"/>
        </w:rPr>
        <w:t xml:space="preserve"> </w:t>
      </w:r>
    </w:p>
    <w:p w14:paraId="2E680A62" w14:textId="77777777" w:rsidR="00832745" w:rsidRPr="00867C5C" w:rsidRDefault="00832745" w:rsidP="00832745">
      <w:pPr>
        <w:pStyle w:val="NormalWeb"/>
        <w:rPr>
          <w:b/>
          <w:bCs/>
        </w:rPr>
      </w:pPr>
      <w:r w:rsidRPr="00867C5C">
        <w:rPr>
          <w:b/>
          <w:bCs/>
        </w:rPr>
        <w:t>Legal Lesson Learned:</w:t>
      </w:r>
      <w:r>
        <w:rPr>
          <w:b/>
          <w:bCs/>
        </w:rPr>
        <w:t xml:space="preserve"> Second violation of the “last chance” agreement was legitimate basis for termination. </w:t>
      </w:r>
    </w:p>
    <w:p w14:paraId="4A19A794" w14:textId="77777777" w:rsidR="00832745" w:rsidRDefault="00832745" w:rsidP="00BC70A3">
      <w:pPr>
        <w:rPr>
          <w:rFonts w:ascii="Arial Black" w:hAnsi="Arial Black"/>
          <w:b/>
          <w:sz w:val="24"/>
          <w:szCs w:val="24"/>
        </w:rPr>
      </w:pPr>
    </w:p>
    <w:p w14:paraId="12176806" w14:textId="7F3FB542" w:rsidR="00AC3E10" w:rsidRDefault="00AC3E10" w:rsidP="00BC70A3">
      <w:pPr>
        <w:rPr>
          <w:rFonts w:ascii="Arial Black" w:hAnsi="Arial Black"/>
          <w:b/>
          <w:sz w:val="24"/>
          <w:szCs w:val="24"/>
        </w:rPr>
      </w:pPr>
      <w:r>
        <w:rPr>
          <w:rFonts w:ascii="Arial Black" w:hAnsi="Arial Black"/>
          <w:b/>
          <w:sz w:val="24"/>
          <w:szCs w:val="24"/>
        </w:rPr>
        <w:t>8-54</w:t>
      </w:r>
    </w:p>
    <w:p w14:paraId="14BE0E5B" w14:textId="77777777" w:rsidR="00AC3E10" w:rsidRDefault="00AC3E10" w:rsidP="00AC3E10">
      <w:pPr>
        <w:pStyle w:val="NoSpacing"/>
        <w:rPr>
          <w:rFonts w:ascii="Arial Black" w:hAnsi="Arial Black"/>
          <w:sz w:val="28"/>
          <w:szCs w:val="28"/>
        </w:rPr>
      </w:pPr>
      <w:r>
        <w:rPr>
          <w:rFonts w:ascii="Arial Black" w:hAnsi="Arial Black"/>
          <w:sz w:val="28"/>
          <w:szCs w:val="28"/>
        </w:rPr>
        <w:t xml:space="preserve">KS: BLACK CAPTAIN – IC AT STRIP MALL FIRE – “SHIT SHOW” – CHIEF DOC. IN PERF. REVIEW - NO DISCRIM. </w:t>
      </w:r>
    </w:p>
    <w:p w14:paraId="5A396C02" w14:textId="77777777" w:rsidR="00AC3E10" w:rsidRPr="005B52AD" w:rsidRDefault="00AC3E10" w:rsidP="00AC3E10">
      <w:pPr>
        <w:pStyle w:val="NoSpacing"/>
        <w:rPr>
          <w:rFonts w:ascii="Times New Roman" w:hAnsi="Times New Roman"/>
          <w:sz w:val="24"/>
          <w:szCs w:val="24"/>
        </w:rPr>
      </w:pPr>
      <w:r w:rsidRPr="005B52AD">
        <w:rPr>
          <w:rFonts w:ascii="Times New Roman" w:hAnsi="Times New Roman"/>
          <w:sz w:val="24"/>
          <w:szCs w:val="24"/>
        </w:rPr>
        <w:t>[also Chap. 4]</w:t>
      </w:r>
    </w:p>
    <w:p w14:paraId="67F17658" w14:textId="77777777" w:rsidR="00AC3E10" w:rsidRDefault="00AC3E10" w:rsidP="00AC3E10">
      <w:pPr>
        <w:pStyle w:val="NoSpacing"/>
        <w:rPr>
          <w:rFonts w:ascii="Times New Roman" w:hAnsi="Times New Roman"/>
          <w:sz w:val="24"/>
          <w:szCs w:val="24"/>
        </w:rPr>
      </w:pPr>
    </w:p>
    <w:p w14:paraId="35560435" w14:textId="77777777" w:rsidR="00AC3E10" w:rsidRDefault="00AC3E10" w:rsidP="00AC3E10">
      <w:pPr>
        <w:pStyle w:val="NoSpacing"/>
        <w:rPr>
          <w:rFonts w:ascii="Times New Roman" w:hAnsi="Times New Roman"/>
          <w:sz w:val="24"/>
          <w:szCs w:val="24"/>
        </w:rPr>
      </w:pPr>
      <w:r>
        <w:rPr>
          <w:rFonts w:ascii="Times New Roman" w:hAnsi="Times New Roman"/>
          <w:sz w:val="24"/>
          <w:szCs w:val="24"/>
        </w:rPr>
        <w:t xml:space="preserve">On Sept. 8, 2023, in </w:t>
      </w:r>
      <w:r w:rsidRPr="009108A0">
        <w:rPr>
          <w:rFonts w:ascii="Times New Roman" w:hAnsi="Times New Roman"/>
          <w:sz w:val="24"/>
          <w:szCs w:val="24"/>
          <w:u w:val="single"/>
        </w:rPr>
        <w:t>Mark Jordan v. City of Wichita, Kansas, et al.</w:t>
      </w:r>
      <w:r>
        <w:rPr>
          <w:rFonts w:ascii="Times New Roman" w:hAnsi="Times New Roman"/>
          <w:sz w:val="24"/>
          <w:szCs w:val="24"/>
        </w:rPr>
        <w:t xml:space="preserve">, U.S. District Court Judge Daniel D. Crabtree, U.S. District Court for the District of Kansas, granted the City’s motion for summary judgment.  The August 2019 strip mall fire went to two alarms; plaintiff arrived on seventh unit and took command because no one has yet become IC. Plaintiff admitted it didn’t go well and in his </w:t>
      </w:r>
      <w:proofErr w:type="gramStart"/>
      <w:r>
        <w:rPr>
          <w:rFonts w:ascii="Times New Roman" w:hAnsi="Times New Roman"/>
          <w:sz w:val="24"/>
          <w:szCs w:val="24"/>
        </w:rPr>
        <w:t>words</w:t>
      </w:r>
      <w:proofErr w:type="gramEnd"/>
      <w:r>
        <w:rPr>
          <w:rFonts w:ascii="Times New Roman" w:hAnsi="Times New Roman"/>
          <w:sz w:val="24"/>
          <w:szCs w:val="24"/>
        </w:rPr>
        <w:t xml:space="preserve"> it was a “shit show.” Fire Chief Tammy Snow arrived at scene and criticized the Acting Battalion Chief, who was on the second arriving unit, for not taking command.  The Fire Chief ordered that the annual performance review of both the plaintiff and the Acting Battalion Chief document performance concerns at that strip mall fire. </w:t>
      </w:r>
    </w:p>
    <w:p w14:paraId="3FEC30DB" w14:textId="77777777" w:rsidR="00AC3E10" w:rsidRDefault="00AC3E10" w:rsidP="00AC3E10">
      <w:pPr>
        <w:pStyle w:val="NoSpacing"/>
        <w:rPr>
          <w:rFonts w:ascii="Times New Roman" w:hAnsi="Times New Roman"/>
          <w:sz w:val="24"/>
          <w:szCs w:val="24"/>
        </w:rPr>
      </w:pPr>
    </w:p>
    <w:p w14:paraId="631B25F6" w14:textId="77777777" w:rsidR="00AC3E10" w:rsidRPr="00497B07" w:rsidRDefault="00AC3E10" w:rsidP="00AC3E10">
      <w:pPr>
        <w:pStyle w:val="NoSpacing"/>
        <w:ind w:firstLine="720"/>
        <w:rPr>
          <w:rFonts w:ascii="Times New Roman" w:hAnsi="Times New Roman"/>
          <w:sz w:val="24"/>
          <w:szCs w:val="24"/>
        </w:rPr>
      </w:pPr>
      <w:r>
        <w:rPr>
          <w:rFonts w:ascii="Times New Roman" w:hAnsi="Times New Roman"/>
          <w:sz w:val="24"/>
          <w:szCs w:val="24"/>
        </w:rPr>
        <w:t>“</w:t>
      </w:r>
      <w:r w:rsidRPr="00497B07">
        <w:rPr>
          <w:rFonts w:ascii="Times New Roman" w:hAnsi="Times New Roman"/>
          <w:sz w:val="24"/>
          <w:szCs w:val="24"/>
        </w:rPr>
        <w:t>In August 2019—before the Acting Battalion Chief debacle—a strip mall on south</w:t>
      </w:r>
    </w:p>
    <w:p w14:paraId="238C377E" w14:textId="77777777" w:rsidR="00AC3E10" w:rsidRDefault="00AC3E10" w:rsidP="00AC3E10">
      <w:pPr>
        <w:pStyle w:val="NoSpacing"/>
        <w:ind w:left="720"/>
        <w:rPr>
          <w:rFonts w:ascii="Times New Roman" w:hAnsi="Times New Roman"/>
          <w:sz w:val="24"/>
          <w:szCs w:val="24"/>
        </w:rPr>
      </w:pPr>
      <w:r w:rsidRPr="00497B07">
        <w:rPr>
          <w:rFonts w:ascii="Times New Roman" w:hAnsi="Times New Roman"/>
          <w:sz w:val="24"/>
          <w:szCs w:val="24"/>
        </w:rPr>
        <w:t>Seneca Street caught fire. Doc. 81 at 3 (Pretrial Order ¶ 2.a.x.). WFD Policy provides that the</w:t>
      </w:r>
      <w:r>
        <w:rPr>
          <w:rFonts w:ascii="Times New Roman" w:hAnsi="Times New Roman"/>
          <w:sz w:val="24"/>
          <w:szCs w:val="24"/>
        </w:rPr>
        <w:t xml:space="preserve"> </w:t>
      </w:r>
      <w:r w:rsidRPr="00497B07">
        <w:rPr>
          <w:rFonts w:ascii="Times New Roman" w:hAnsi="Times New Roman"/>
          <w:sz w:val="24"/>
          <w:szCs w:val="24"/>
        </w:rPr>
        <w:t>second fire engine to arrive at a scene should assume command</w:t>
      </w:r>
      <w:r>
        <w:rPr>
          <w:rFonts w:ascii="Times New Roman" w:hAnsi="Times New Roman"/>
          <w:sz w:val="24"/>
          <w:szCs w:val="24"/>
        </w:rPr>
        <w:t xml:space="preserve">…. </w:t>
      </w:r>
      <w:r w:rsidRPr="00497B07">
        <w:rPr>
          <w:rFonts w:ascii="Times New Roman" w:hAnsi="Times New Roman"/>
          <w:sz w:val="24"/>
          <w:szCs w:val="24"/>
        </w:rPr>
        <w:t>Plaintiff was on the seventh unit to arrive at the fire, but no one had assumed command. Id.</w:t>
      </w:r>
      <w:r>
        <w:rPr>
          <w:rFonts w:ascii="Times New Roman" w:hAnsi="Times New Roman"/>
          <w:sz w:val="24"/>
          <w:szCs w:val="24"/>
        </w:rPr>
        <w:t xml:space="preserve"> </w:t>
      </w:r>
      <w:r w:rsidRPr="00497B07">
        <w:rPr>
          <w:rFonts w:ascii="Times New Roman" w:hAnsi="Times New Roman"/>
          <w:sz w:val="24"/>
          <w:szCs w:val="24"/>
        </w:rPr>
        <w:t>So, plaintiff assumed command of the Seneca Street fire</w:t>
      </w:r>
      <w:r>
        <w:rPr>
          <w:rFonts w:ascii="Times New Roman" w:hAnsi="Times New Roman"/>
          <w:sz w:val="24"/>
          <w:szCs w:val="24"/>
        </w:rPr>
        <w:t>….</w:t>
      </w:r>
      <w:r w:rsidRPr="00497B07">
        <w:rPr>
          <w:rFonts w:ascii="Times New Roman" w:hAnsi="Times New Roman"/>
          <w:sz w:val="24"/>
          <w:szCs w:val="24"/>
        </w:rPr>
        <w:t xml:space="preserve"> With seven units already at the scene and assigned, plaintiff, as incident commander, had a</w:t>
      </w:r>
      <w:r>
        <w:rPr>
          <w:rFonts w:ascii="Times New Roman" w:hAnsi="Times New Roman"/>
          <w:sz w:val="24"/>
          <w:szCs w:val="24"/>
        </w:rPr>
        <w:t xml:space="preserve"> </w:t>
      </w:r>
      <w:r w:rsidRPr="00497B07">
        <w:rPr>
          <w:rFonts w:ascii="Times New Roman" w:hAnsi="Times New Roman"/>
          <w:sz w:val="24"/>
          <w:szCs w:val="24"/>
        </w:rPr>
        <w:t>lot of catching up to do</w:t>
      </w:r>
      <w:r>
        <w:rPr>
          <w:rFonts w:ascii="Times New Roman" w:hAnsi="Times New Roman"/>
          <w:sz w:val="24"/>
          <w:szCs w:val="24"/>
        </w:rPr>
        <w:t>….</w:t>
      </w:r>
      <w:r w:rsidRPr="00497B07">
        <w:rPr>
          <w:rFonts w:ascii="Times New Roman" w:hAnsi="Times New Roman"/>
          <w:sz w:val="24"/>
          <w:szCs w:val="24"/>
        </w:rPr>
        <w:t>(After Action Report Tr.). Plaintiff described the scene</w:t>
      </w:r>
      <w:r>
        <w:rPr>
          <w:rFonts w:ascii="Times New Roman" w:hAnsi="Times New Roman"/>
          <w:sz w:val="24"/>
          <w:szCs w:val="24"/>
        </w:rPr>
        <w:t xml:space="preserve"> </w:t>
      </w:r>
      <w:r w:rsidRPr="00497B07">
        <w:rPr>
          <w:rFonts w:ascii="Times New Roman" w:hAnsi="Times New Roman"/>
          <w:sz w:val="24"/>
          <w:szCs w:val="24"/>
        </w:rPr>
        <w:t xml:space="preserve">as a </w:t>
      </w:r>
      <w:r>
        <w:rPr>
          <w:rFonts w:ascii="Times New Roman" w:hAnsi="Times New Roman"/>
          <w:sz w:val="24"/>
          <w:szCs w:val="24"/>
        </w:rPr>
        <w:t>‘</w:t>
      </w:r>
      <w:r w:rsidRPr="00497B07">
        <w:rPr>
          <w:rFonts w:ascii="Times New Roman" w:hAnsi="Times New Roman"/>
          <w:sz w:val="24"/>
          <w:szCs w:val="24"/>
        </w:rPr>
        <w:t>shit show.</w:t>
      </w:r>
      <w:r>
        <w:rPr>
          <w:rFonts w:ascii="Times New Roman" w:hAnsi="Times New Roman"/>
          <w:sz w:val="24"/>
          <w:szCs w:val="24"/>
        </w:rPr>
        <w:t>’</w:t>
      </w:r>
      <w:r w:rsidRPr="00497B07">
        <w:rPr>
          <w:rFonts w:ascii="Times New Roman" w:hAnsi="Times New Roman"/>
          <w:sz w:val="24"/>
          <w:szCs w:val="24"/>
        </w:rPr>
        <w:t xml:space="preserve"> Doc. 86-7 at 49 (Pl. Dep. 200:6–13). Plaintiff acknowledged that he struggled</w:t>
      </w:r>
      <w:r>
        <w:rPr>
          <w:rFonts w:ascii="Times New Roman" w:hAnsi="Times New Roman"/>
          <w:sz w:val="24"/>
          <w:szCs w:val="24"/>
        </w:rPr>
        <w:t xml:space="preserve"> </w:t>
      </w:r>
      <w:r w:rsidRPr="00497B07">
        <w:rPr>
          <w:rFonts w:ascii="Times New Roman" w:hAnsi="Times New Roman"/>
          <w:sz w:val="24"/>
          <w:szCs w:val="24"/>
        </w:rPr>
        <w:t xml:space="preserve">at the scene but </w:t>
      </w:r>
      <w:proofErr w:type="gramStart"/>
      <w:r w:rsidRPr="00497B07">
        <w:rPr>
          <w:rFonts w:ascii="Times New Roman" w:hAnsi="Times New Roman"/>
          <w:sz w:val="24"/>
          <w:szCs w:val="24"/>
        </w:rPr>
        <w:t>believes</w:t>
      </w:r>
      <w:proofErr w:type="gramEnd"/>
      <w:r w:rsidRPr="00497B07">
        <w:rPr>
          <w:rFonts w:ascii="Times New Roman" w:hAnsi="Times New Roman"/>
          <w:sz w:val="24"/>
          <w:szCs w:val="24"/>
        </w:rPr>
        <w:t xml:space="preserve"> that anyone in the same situation would have struggled. </w:t>
      </w:r>
    </w:p>
    <w:p w14:paraId="5539B08B" w14:textId="77777777" w:rsidR="00AC3E10" w:rsidRDefault="00AC3E10" w:rsidP="00AC3E10">
      <w:pPr>
        <w:pStyle w:val="NoSpacing"/>
        <w:ind w:left="720"/>
        <w:rPr>
          <w:rFonts w:ascii="Times New Roman" w:hAnsi="Times New Roman"/>
          <w:sz w:val="24"/>
          <w:szCs w:val="24"/>
        </w:rPr>
      </w:pPr>
    </w:p>
    <w:p w14:paraId="2136A12F"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47D25600" w14:textId="77777777" w:rsidR="00AC3E10" w:rsidRDefault="00AC3E10" w:rsidP="00AC3E10">
      <w:pPr>
        <w:pStyle w:val="NoSpacing"/>
        <w:ind w:left="720"/>
        <w:rPr>
          <w:rFonts w:ascii="Times New Roman" w:hAnsi="Times New Roman"/>
          <w:sz w:val="24"/>
          <w:szCs w:val="24"/>
        </w:rPr>
      </w:pPr>
    </w:p>
    <w:p w14:paraId="6B3A143D"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Here, Chief Snow asked Pavelski to review plaintiff’s second evaluation </w:t>
      </w:r>
      <w:r>
        <w:rPr>
          <w:rFonts w:ascii="Times New Roman" w:hAnsi="Times New Roman"/>
          <w:sz w:val="24"/>
          <w:szCs w:val="24"/>
        </w:rPr>
        <w:t>‘</w:t>
      </w:r>
      <w:r w:rsidRPr="00C20869">
        <w:rPr>
          <w:rFonts w:ascii="Times New Roman" w:hAnsi="Times New Roman"/>
          <w:sz w:val="24"/>
          <w:szCs w:val="24"/>
        </w:rPr>
        <w:t>for accuracy</w:t>
      </w:r>
      <w:r>
        <w:rPr>
          <w:rFonts w:ascii="Times New Roman" w:hAnsi="Times New Roman"/>
          <w:sz w:val="24"/>
          <w:szCs w:val="24"/>
        </w:rPr>
        <w:t>.’</w:t>
      </w:r>
    </w:p>
    <w:p w14:paraId="2E276AFD"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Doc. 86-19 (Snow, Aug. 11, </w:t>
      </w:r>
      <w:proofErr w:type="gramStart"/>
      <w:r w:rsidRPr="00C20869">
        <w:rPr>
          <w:rFonts w:ascii="Times New Roman" w:hAnsi="Times New Roman"/>
          <w:sz w:val="24"/>
          <w:szCs w:val="24"/>
        </w:rPr>
        <w:t>2020</w:t>
      </w:r>
      <w:proofErr w:type="gramEnd"/>
      <w:r w:rsidRPr="00C20869">
        <w:rPr>
          <w:rFonts w:ascii="Times New Roman" w:hAnsi="Times New Roman"/>
          <w:sz w:val="24"/>
          <w:szCs w:val="24"/>
        </w:rPr>
        <w:t xml:space="preserve"> Email). Chief Snow wanted Pavelski to add a </w:t>
      </w:r>
      <w:r>
        <w:rPr>
          <w:rFonts w:ascii="Times New Roman" w:hAnsi="Times New Roman"/>
          <w:sz w:val="24"/>
          <w:szCs w:val="24"/>
        </w:rPr>
        <w:t>‘</w:t>
      </w:r>
      <w:r w:rsidRPr="00C20869">
        <w:rPr>
          <w:rFonts w:ascii="Times New Roman" w:hAnsi="Times New Roman"/>
          <w:sz w:val="24"/>
          <w:szCs w:val="24"/>
        </w:rPr>
        <w:t>note of</w:t>
      </w:r>
    </w:p>
    <w:p w14:paraId="39402515"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Accountability</w:t>
      </w:r>
      <w:r>
        <w:rPr>
          <w:rFonts w:ascii="Times New Roman" w:hAnsi="Times New Roman"/>
          <w:sz w:val="24"/>
          <w:szCs w:val="24"/>
        </w:rPr>
        <w:t>’</w:t>
      </w:r>
      <w:r w:rsidRPr="00C20869">
        <w:rPr>
          <w:rFonts w:ascii="Times New Roman" w:hAnsi="Times New Roman"/>
          <w:sz w:val="24"/>
          <w:szCs w:val="24"/>
        </w:rPr>
        <w:t xml:space="preserve"> about plaintiff’s performance at the Seneca Street Fire. Doc. 86-3 at 19 (Snow</w:t>
      </w:r>
      <w:r>
        <w:rPr>
          <w:rFonts w:ascii="Times New Roman" w:hAnsi="Times New Roman"/>
          <w:sz w:val="24"/>
          <w:szCs w:val="24"/>
        </w:rPr>
        <w:t xml:space="preserve"> </w:t>
      </w:r>
      <w:r w:rsidRPr="00C20869">
        <w:rPr>
          <w:rFonts w:ascii="Times New Roman" w:hAnsi="Times New Roman"/>
          <w:sz w:val="24"/>
          <w:szCs w:val="24"/>
        </w:rPr>
        <w:t>Dep. 58:4–11).</w:t>
      </w:r>
    </w:p>
    <w:p w14:paraId="6CDB60CE" w14:textId="77777777" w:rsidR="00AC3E10" w:rsidRDefault="00AC3E10" w:rsidP="00AC3E10">
      <w:pPr>
        <w:pStyle w:val="NoSpacing"/>
        <w:ind w:left="720"/>
        <w:rPr>
          <w:rFonts w:ascii="Times New Roman" w:hAnsi="Times New Roman"/>
          <w:sz w:val="24"/>
          <w:szCs w:val="24"/>
        </w:rPr>
      </w:pPr>
    </w:p>
    <w:p w14:paraId="371DB84C"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0A340006" w14:textId="77777777" w:rsidR="00AC3E10" w:rsidRDefault="00AC3E10" w:rsidP="00AC3E10">
      <w:pPr>
        <w:pStyle w:val="NoSpacing"/>
        <w:ind w:left="720"/>
        <w:rPr>
          <w:rFonts w:ascii="Times New Roman" w:hAnsi="Times New Roman"/>
          <w:sz w:val="24"/>
          <w:szCs w:val="24"/>
        </w:rPr>
      </w:pPr>
    </w:p>
    <w:p w14:paraId="07F19371"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And plaintiff acknowledged that the Seneca Street Fire was a </w:t>
      </w:r>
      <w:r>
        <w:rPr>
          <w:rFonts w:ascii="Times New Roman" w:hAnsi="Times New Roman"/>
          <w:sz w:val="24"/>
          <w:szCs w:val="24"/>
        </w:rPr>
        <w:t>‘</w:t>
      </w:r>
      <w:r w:rsidRPr="00C20869">
        <w:rPr>
          <w:rFonts w:ascii="Times New Roman" w:hAnsi="Times New Roman"/>
          <w:sz w:val="24"/>
          <w:szCs w:val="24"/>
        </w:rPr>
        <w:t>shit show,</w:t>
      </w:r>
      <w:r>
        <w:rPr>
          <w:rFonts w:ascii="Times New Roman" w:hAnsi="Times New Roman"/>
          <w:sz w:val="24"/>
          <w:szCs w:val="24"/>
        </w:rPr>
        <w:t xml:space="preserve">’ </w:t>
      </w:r>
      <w:r w:rsidRPr="00C20869">
        <w:rPr>
          <w:rFonts w:ascii="Times New Roman" w:hAnsi="Times New Roman"/>
          <w:sz w:val="24"/>
          <w:szCs w:val="24"/>
        </w:rPr>
        <w:t>Doc.</w:t>
      </w:r>
    </w:p>
    <w:p w14:paraId="59B1FE70"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86-7 at 49 (Pl. Dep. 200:6–13), and that he struggled at the scene, id. at 50 (Pl. Dep. 202:4–13).</w:t>
      </w:r>
      <w:r>
        <w:rPr>
          <w:rFonts w:ascii="Times New Roman" w:hAnsi="Times New Roman"/>
          <w:sz w:val="24"/>
          <w:szCs w:val="24"/>
        </w:rPr>
        <w:t xml:space="preserve"> </w:t>
      </w:r>
      <w:r w:rsidRPr="00C20869">
        <w:rPr>
          <w:rFonts w:ascii="Times New Roman" w:hAnsi="Times New Roman"/>
          <w:sz w:val="24"/>
          <w:szCs w:val="24"/>
        </w:rPr>
        <w:t>Defendants’ reason for altering plaintiff’s review is not facially prohibited—</w:t>
      </w:r>
      <w:proofErr w:type="gramStart"/>
      <w:r w:rsidRPr="00C20869">
        <w:rPr>
          <w:rFonts w:ascii="Times New Roman" w:hAnsi="Times New Roman"/>
          <w:sz w:val="24"/>
          <w:szCs w:val="24"/>
        </w:rPr>
        <w:t>so,</w:t>
      </w:r>
      <w:proofErr w:type="gramEnd"/>
      <w:r w:rsidRPr="00C20869">
        <w:rPr>
          <w:rFonts w:ascii="Times New Roman" w:hAnsi="Times New Roman"/>
          <w:sz w:val="24"/>
          <w:szCs w:val="24"/>
        </w:rPr>
        <w:t xml:space="preserve"> defendants have</w:t>
      </w:r>
      <w:r>
        <w:rPr>
          <w:rFonts w:ascii="Times New Roman" w:hAnsi="Times New Roman"/>
          <w:sz w:val="24"/>
          <w:szCs w:val="24"/>
        </w:rPr>
        <w:t xml:space="preserve"> </w:t>
      </w:r>
      <w:r w:rsidRPr="00C20869">
        <w:rPr>
          <w:rFonts w:ascii="Times New Roman" w:hAnsi="Times New Roman"/>
          <w:sz w:val="24"/>
          <w:szCs w:val="24"/>
        </w:rPr>
        <w:t>satisfied their burden at this step. Also, plaintiff doesn’t argue that defendants have failed to</w:t>
      </w:r>
      <w:r>
        <w:rPr>
          <w:rFonts w:ascii="Times New Roman" w:hAnsi="Times New Roman"/>
          <w:sz w:val="24"/>
          <w:szCs w:val="24"/>
        </w:rPr>
        <w:t xml:space="preserve"> </w:t>
      </w:r>
      <w:r w:rsidRPr="00C20869">
        <w:rPr>
          <w:rFonts w:ascii="Times New Roman" w:hAnsi="Times New Roman"/>
          <w:sz w:val="24"/>
          <w:szCs w:val="24"/>
        </w:rPr>
        <w:t>proffer a legitimate, non-discriminatory reason for modifying his performance evaluation. See</w:t>
      </w:r>
      <w:r>
        <w:rPr>
          <w:rFonts w:ascii="Times New Roman" w:hAnsi="Times New Roman"/>
          <w:sz w:val="24"/>
          <w:szCs w:val="24"/>
        </w:rPr>
        <w:t xml:space="preserve"> </w:t>
      </w:r>
      <w:r w:rsidRPr="00C20869">
        <w:rPr>
          <w:rFonts w:ascii="Times New Roman" w:hAnsi="Times New Roman"/>
          <w:sz w:val="24"/>
          <w:szCs w:val="24"/>
        </w:rPr>
        <w:t>generally Doc. 91. Defendants simply wanted plaintiff’s performance evaluation to include</w:t>
      </w:r>
      <w:r>
        <w:rPr>
          <w:rFonts w:ascii="Times New Roman" w:hAnsi="Times New Roman"/>
          <w:sz w:val="24"/>
          <w:szCs w:val="24"/>
        </w:rPr>
        <w:t xml:space="preserve"> </w:t>
      </w:r>
      <w:r w:rsidRPr="00C20869">
        <w:rPr>
          <w:rFonts w:ascii="Times New Roman" w:hAnsi="Times New Roman"/>
          <w:sz w:val="24"/>
          <w:szCs w:val="24"/>
        </w:rPr>
        <w:t>information about the Seneca Street Fire. This showing qualifies as a legitimate,</w:t>
      </w:r>
      <w:r>
        <w:rPr>
          <w:rFonts w:ascii="Times New Roman" w:hAnsi="Times New Roman"/>
          <w:sz w:val="24"/>
          <w:szCs w:val="24"/>
        </w:rPr>
        <w:t xml:space="preserve"> </w:t>
      </w:r>
      <w:r w:rsidRPr="00C20869">
        <w:rPr>
          <w:rFonts w:ascii="Times New Roman" w:hAnsi="Times New Roman"/>
          <w:sz w:val="24"/>
          <w:szCs w:val="24"/>
        </w:rPr>
        <w:t>nondiscriminatory reason satisfactory to discharge the City’s burden at step two.</w:t>
      </w:r>
    </w:p>
    <w:p w14:paraId="1C7AE4DC" w14:textId="77777777" w:rsidR="00AC3E10" w:rsidRDefault="00AC3E10" w:rsidP="00AC3E10">
      <w:pPr>
        <w:pStyle w:val="NoSpacing"/>
        <w:ind w:left="720"/>
        <w:rPr>
          <w:rFonts w:ascii="Times New Roman" w:hAnsi="Times New Roman"/>
          <w:sz w:val="24"/>
          <w:szCs w:val="24"/>
        </w:rPr>
      </w:pPr>
    </w:p>
    <w:p w14:paraId="31AA7B0E"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743F8539" w14:textId="77777777" w:rsidR="00AC3E10" w:rsidRDefault="00AC3E10" w:rsidP="00AC3E10">
      <w:pPr>
        <w:pStyle w:val="NoSpacing"/>
        <w:ind w:firstLine="720"/>
        <w:rPr>
          <w:rFonts w:ascii="Times New Roman" w:hAnsi="Times New Roman"/>
          <w:sz w:val="24"/>
          <w:szCs w:val="24"/>
        </w:rPr>
      </w:pPr>
      <w:r>
        <w:rPr>
          <w:rFonts w:ascii="Times New Roman" w:hAnsi="Times New Roman"/>
          <w:sz w:val="24"/>
          <w:szCs w:val="24"/>
        </w:rPr>
        <w:t>T</w:t>
      </w:r>
      <w:r w:rsidRPr="00C20869">
        <w:rPr>
          <w:rFonts w:ascii="Times New Roman" w:hAnsi="Times New Roman"/>
          <w:sz w:val="24"/>
          <w:szCs w:val="24"/>
        </w:rPr>
        <w:t>he court concludes, instead, that plaintiff has failed to present triable issues of race</w:t>
      </w:r>
    </w:p>
    <w:p w14:paraId="43E6E44D"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discrimination and retaliation, so it declines to invoke its supplemental jurisdiction over the state</w:t>
      </w:r>
      <w:r>
        <w:rPr>
          <w:rFonts w:ascii="Times New Roman" w:hAnsi="Times New Roman"/>
          <w:sz w:val="24"/>
          <w:szCs w:val="24"/>
        </w:rPr>
        <w:t xml:space="preserve"> </w:t>
      </w:r>
      <w:r w:rsidRPr="00C20869">
        <w:rPr>
          <w:rFonts w:ascii="Times New Roman" w:hAnsi="Times New Roman"/>
          <w:sz w:val="24"/>
          <w:szCs w:val="24"/>
        </w:rPr>
        <w:t>law claims under 28 U.S.C.§ 1367(c)(3).</w:t>
      </w:r>
      <w:r>
        <w:rPr>
          <w:rFonts w:ascii="Times New Roman" w:hAnsi="Times New Roman"/>
          <w:sz w:val="24"/>
          <w:szCs w:val="24"/>
        </w:rPr>
        <w:t xml:space="preserve">”  </w:t>
      </w:r>
      <w:hyperlink r:id="rId1590" w:history="1">
        <w:r w:rsidRPr="002833D6">
          <w:rPr>
            <w:rStyle w:val="Hyperlink"/>
            <w:rFonts w:ascii="Times New Roman" w:hAnsi="Times New Roman"/>
            <w:sz w:val="24"/>
            <w:szCs w:val="24"/>
          </w:rPr>
          <w:t>https://cases.justia.com/federal/district-courts/kansas/ksdce/6:2022cv01032/140026/96/0.pdf?ts=1694273736</w:t>
        </w:r>
      </w:hyperlink>
      <w:r>
        <w:rPr>
          <w:rFonts w:ascii="Times New Roman" w:hAnsi="Times New Roman"/>
          <w:sz w:val="24"/>
          <w:szCs w:val="24"/>
        </w:rPr>
        <w:t xml:space="preserve"> </w:t>
      </w:r>
    </w:p>
    <w:p w14:paraId="0BD13CE9" w14:textId="77777777" w:rsidR="00AC3E10" w:rsidRDefault="00AC3E10" w:rsidP="00AC3E10">
      <w:pPr>
        <w:pStyle w:val="NoSpacing"/>
        <w:rPr>
          <w:rFonts w:ascii="Times New Roman" w:hAnsi="Times New Roman"/>
          <w:b/>
          <w:bCs/>
          <w:sz w:val="24"/>
          <w:szCs w:val="24"/>
        </w:rPr>
      </w:pPr>
    </w:p>
    <w:p w14:paraId="751A6F70" w14:textId="77777777" w:rsidR="00AC3E10" w:rsidRPr="0000521D" w:rsidRDefault="00AC3E10" w:rsidP="00AC3E10">
      <w:pPr>
        <w:pStyle w:val="NoSpacing"/>
        <w:rPr>
          <w:rFonts w:ascii="Times New Roman" w:hAnsi="Times New Roman"/>
          <w:b/>
          <w:bCs/>
          <w:sz w:val="24"/>
          <w:szCs w:val="24"/>
        </w:rPr>
      </w:pPr>
      <w:r w:rsidRPr="0000521D">
        <w:rPr>
          <w:rFonts w:ascii="Times New Roman" w:hAnsi="Times New Roman"/>
          <w:b/>
          <w:bCs/>
          <w:sz w:val="24"/>
          <w:szCs w:val="24"/>
        </w:rPr>
        <w:t>Legal Lesson Learned:</w:t>
      </w:r>
      <w:r>
        <w:rPr>
          <w:rFonts w:ascii="Times New Roman" w:hAnsi="Times New Roman"/>
          <w:b/>
          <w:bCs/>
          <w:sz w:val="24"/>
          <w:szCs w:val="24"/>
        </w:rPr>
        <w:t xml:space="preserve"> Fire Chief properly ordered the annual performance review </w:t>
      </w:r>
      <w:proofErr w:type="gramStart"/>
      <w:r>
        <w:rPr>
          <w:rFonts w:ascii="Times New Roman" w:hAnsi="Times New Roman"/>
          <w:b/>
          <w:bCs/>
          <w:sz w:val="24"/>
          <w:szCs w:val="24"/>
        </w:rPr>
        <w:t>include</w:t>
      </w:r>
      <w:proofErr w:type="gramEnd"/>
      <w:r>
        <w:rPr>
          <w:rFonts w:ascii="Times New Roman" w:hAnsi="Times New Roman"/>
          <w:b/>
          <w:bCs/>
          <w:sz w:val="24"/>
          <w:szCs w:val="24"/>
        </w:rPr>
        <w:t xml:space="preserve"> reference to IC issues at strip mall fire.  </w:t>
      </w:r>
    </w:p>
    <w:p w14:paraId="12320FC1" w14:textId="77777777" w:rsidR="00AC3E10" w:rsidRDefault="00AC3E10" w:rsidP="00AC3E10">
      <w:pPr>
        <w:rPr>
          <w:rStyle w:val="Hyperlink"/>
          <w:rFonts w:ascii="Arial Black" w:hAnsi="Arial Black"/>
          <w:b/>
          <w:color w:val="auto"/>
          <w:sz w:val="24"/>
          <w:szCs w:val="24"/>
          <w:u w:val="none"/>
        </w:rPr>
      </w:pPr>
    </w:p>
    <w:p w14:paraId="13C55798" w14:textId="77777777" w:rsidR="00AC3E10" w:rsidRDefault="00AC3E10" w:rsidP="00BC70A3">
      <w:pPr>
        <w:rPr>
          <w:rFonts w:ascii="Arial Black" w:hAnsi="Arial Black"/>
          <w:b/>
          <w:sz w:val="24"/>
          <w:szCs w:val="24"/>
        </w:rPr>
      </w:pPr>
    </w:p>
    <w:p w14:paraId="0665ADAF" w14:textId="77777777" w:rsidR="00AC3E10" w:rsidRDefault="00AC3E10" w:rsidP="00BC70A3">
      <w:pPr>
        <w:rPr>
          <w:rFonts w:ascii="Arial Black" w:hAnsi="Arial Black"/>
          <w:b/>
          <w:sz w:val="24"/>
          <w:szCs w:val="24"/>
        </w:rPr>
      </w:pPr>
    </w:p>
    <w:p w14:paraId="6878D7B2" w14:textId="77777777" w:rsidR="00AC3E10" w:rsidRDefault="00AC3E10" w:rsidP="00BC70A3">
      <w:pPr>
        <w:rPr>
          <w:rFonts w:ascii="Arial Black" w:hAnsi="Arial Black"/>
          <w:b/>
          <w:sz w:val="24"/>
          <w:szCs w:val="24"/>
        </w:rPr>
      </w:pPr>
    </w:p>
    <w:p w14:paraId="16605AFA" w14:textId="05C4C2FB" w:rsidR="000644B6" w:rsidRDefault="000644B6" w:rsidP="00BC70A3">
      <w:pPr>
        <w:rPr>
          <w:rFonts w:ascii="Arial Black" w:hAnsi="Arial Black"/>
          <w:b/>
          <w:sz w:val="24"/>
          <w:szCs w:val="24"/>
        </w:rPr>
      </w:pPr>
      <w:r>
        <w:rPr>
          <w:rFonts w:ascii="Arial Black" w:hAnsi="Arial Black"/>
          <w:b/>
          <w:sz w:val="24"/>
          <w:szCs w:val="24"/>
        </w:rPr>
        <w:t>8-53</w:t>
      </w:r>
    </w:p>
    <w:p w14:paraId="17D2FFCE" w14:textId="77777777" w:rsidR="000644B6" w:rsidRDefault="000644B6" w:rsidP="000644B6">
      <w:pPr>
        <w:pStyle w:val="NormalWeb"/>
        <w:rPr>
          <w:rFonts w:ascii="Arial Black" w:hAnsi="Arial Black"/>
          <w:sz w:val="28"/>
          <w:szCs w:val="28"/>
        </w:rPr>
      </w:pPr>
      <w:r>
        <w:rPr>
          <w:rFonts w:ascii="Arial Black" w:hAnsi="Arial Black"/>
          <w:sz w:val="28"/>
          <w:szCs w:val="28"/>
        </w:rPr>
        <w:t xml:space="preserve">OH: CINCINNATI CAPTAIN – ASIAN / BLACK – PROMOTION TEST IRREGULARITIES - DISCRIMINATION CLAIM PROCEED </w:t>
      </w:r>
    </w:p>
    <w:p w14:paraId="14AC487F" w14:textId="77777777" w:rsidR="000644B6" w:rsidRDefault="000644B6" w:rsidP="000644B6">
      <w:pPr>
        <w:pStyle w:val="NormalWeb"/>
      </w:pPr>
      <w:r>
        <w:t xml:space="preserve">On July 11, 2023, in </w:t>
      </w:r>
      <w:r w:rsidRPr="008D0D1D">
        <w:rPr>
          <w:u w:val="single"/>
        </w:rPr>
        <w:t>Janos Roper v. City of Cincinnati</w:t>
      </w:r>
      <w:r>
        <w:t>, U.S. District Court Judge Mathew W. McFarland, U.S. District Court for Southern District of Ohio, Western Division, denied in part the City’s motion to dismiss.  His racial discrimination claim concerning testing irregularities may proceed; but his Ohio Whistleblower claim that he was ordered to speed is dismissed since he didn’t orally report this.   In 2019, he took a promotion test, and alleged technical issues with test caused him to lose points (ranked 16</w:t>
      </w:r>
      <w:r w:rsidRPr="000506A2">
        <w:rPr>
          <w:vertAlign w:val="superscript"/>
        </w:rPr>
        <w:t>th</w:t>
      </w:r>
      <w:r>
        <w:t xml:space="preserve"> on list; 11 promoted during the two years list was effective).  He reported the issues by email to Erica Burks, a human resources employee, and addressed concerns about his income, falsely graded questions, and racial discrimination around the testing itself.  </w:t>
      </w:r>
    </w:p>
    <w:p w14:paraId="3065EEA1" w14:textId="77777777" w:rsidR="000644B6" w:rsidRDefault="000644B6" w:rsidP="000644B6">
      <w:pPr>
        <w:pStyle w:val="NormalWeb"/>
      </w:pPr>
      <w:r>
        <w:t xml:space="preserve">The Court held: </w:t>
      </w:r>
    </w:p>
    <w:p w14:paraId="51805CB2" w14:textId="77777777" w:rsidR="000644B6" w:rsidRDefault="000644B6" w:rsidP="000644B6">
      <w:pPr>
        <w:pStyle w:val="NormalWeb"/>
        <w:numPr>
          <w:ilvl w:val="0"/>
          <w:numId w:val="17"/>
        </w:numPr>
      </w:pPr>
      <w:r>
        <w:t xml:space="preserve">His racial discrimination claim may proceed. “The </w:t>
      </w:r>
      <w:proofErr w:type="gramStart"/>
      <w:r>
        <w:t>City</w:t>
      </w:r>
      <w:proofErr w:type="gramEnd"/>
      <w:r>
        <w:t xml:space="preserve"> claims that Roper has not laid out a prima facie case [of race discrimination]. This argument is premature. An ‘employment discrimination plaintiff need not plead a prima facie case of discrimination’ to survive a motion to dismiss. *** The second problem with the City's argument is that it fails to address the fact that Roper attacks the integrity of the test itself. If the test was flawed, then so were the results of the eligible list. </w:t>
      </w:r>
      <w:proofErr w:type="gramStart"/>
      <w:r>
        <w:t>So</w:t>
      </w:r>
      <w:proofErr w:type="gramEnd"/>
      <w:r>
        <w:t xml:space="preserve"> the fact that he appears sixteenth on the list does not, at the Rule 12(b)(6) stage, absolve the City of liability.”</w:t>
      </w:r>
      <w:r w:rsidRPr="000506A2">
        <w:t xml:space="preserve"> </w:t>
      </w:r>
    </w:p>
    <w:p w14:paraId="0DF5804E" w14:textId="77777777" w:rsidR="000644B6" w:rsidRDefault="000644B6" w:rsidP="000644B6">
      <w:pPr>
        <w:pStyle w:val="NormalWeb"/>
        <w:ind w:left="720"/>
      </w:pPr>
    </w:p>
    <w:p w14:paraId="3D366379" w14:textId="77777777" w:rsidR="000644B6" w:rsidRDefault="000644B6" w:rsidP="000644B6">
      <w:pPr>
        <w:pStyle w:val="NormalWeb"/>
        <w:numPr>
          <w:ilvl w:val="0"/>
          <w:numId w:val="17"/>
        </w:numPr>
      </w:pPr>
      <w:r>
        <w:t xml:space="preserve">Whistleblower </w:t>
      </w:r>
      <w:proofErr w:type="gramStart"/>
      <w:r>
        <w:t>claim</w:t>
      </w:r>
      <w:proofErr w:type="gramEnd"/>
      <w:r>
        <w:t xml:space="preserve"> dismissed.  “He also made whistleblower complaints about [Battalion Chief Jason] Vollmer's instructions for him to break traffic laws and falsify government records. Not much came </w:t>
      </w:r>
      <w:proofErr w:type="gramStart"/>
      <w:r>
        <w:t>of</w:t>
      </w:r>
      <w:proofErr w:type="gramEnd"/>
      <w:r>
        <w:t xml:space="preserve"> these complaints. And, after he came back from a period of sick leave in September 2020, Vollmer treated him worse than before.*** [N]</w:t>
      </w:r>
      <w:proofErr w:type="spellStart"/>
      <w:r>
        <w:t>owhere</w:t>
      </w:r>
      <w:proofErr w:type="spellEnd"/>
      <w:r>
        <w:t xml:space="preserve"> nowhere does he allege any oral communication. He contacted Burks, once, through email. But the whistleblower statute requires him to first orally report a violation, then file a written report. </w:t>
      </w:r>
      <w:hyperlink r:id="rId1591" w:history="1">
        <w:r>
          <w:rPr>
            <w:rStyle w:val="Hyperlink"/>
            <w:rFonts w:eastAsiaTheme="majorEastAsia"/>
          </w:rPr>
          <w:t>R.C. § 4113.52(A)(1)(a)</w:t>
        </w:r>
      </w:hyperlink>
      <w:r>
        <w:t>.”</w:t>
      </w:r>
    </w:p>
    <w:p w14:paraId="6A92F81D" w14:textId="77777777" w:rsidR="000644B6" w:rsidRDefault="000644B6" w:rsidP="000644B6">
      <w:pPr>
        <w:pStyle w:val="NormalWeb"/>
      </w:pPr>
      <w:hyperlink r:id="rId1592" w:history="1">
        <w:r w:rsidRPr="000D7596">
          <w:rPr>
            <w:rStyle w:val="Hyperlink"/>
            <w:rFonts w:eastAsiaTheme="majorEastAsia"/>
          </w:rPr>
          <w:t>https://casetext.com/case/roper-v-city-of-cincinnati</w:t>
        </w:r>
      </w:hyperlink>
      <w:r>
        <w:t xml:space="preserve"> </w:t>
      </w:r>
    </w:p>
    <w:p w14:paraId="48D2305B" w14:textId="77777777" w:rsidR="000644B6" w:rsidRPr="00030503" w:rsidRDefault="000644B6" w:rsidP="000644B6">
      <w:pPr>
        <w:pStyle w:val="NormalWeb"/>
        <w:rPr>
          <w:b/>
          <w:bCs/>
        </w:rPr>
      </w:pPr>
      <w:r w:rsidRPr="00030503">
        <w:rPr>
          <w:b/>
          <w:bCs/>
        </w:rPr>
        <w:t>Legal Lesson Learned:</w:t>
      </w:r>
      <w:r>
        <w:rPr>
          <w:b/>
          <w:bCs/>
        </w:rPr>
        <w:t xml:space="preserve"> Race discrimination lawsuits will generally not be subject to dismissal until all </w:t>
      </w:r>
      <w:proofErr w:type="gramStart"/>
      <w:r>
        <w:rPr>
          <w:b/>
          <w:bCs/>
        </w:rPr>
        <w:t>discovery has</w:t>
      </w:r>
      <w:proofErr w:type="gramEnd"/>
      <w:r>
        <w:rPr>
          <w:b/>
          <w:bCs/>
        </w:rPr>
        <w:t xml:space="preserve"> been completed.</w:t>
      </w:r>
    </w:p>
    <w:p w14:paraId="4295EB19" w14:textId="77777777" w:rsidR="000644B6" w:rsidRPr="00942B34" w:rsidRDefault="000644B6" w:rsidP="000644B6">
      <w:pPr>
        <w:pStyle w:val="gntarbp"/>
        <w:ind w:left="720"/>
      </w:pPr>
      <w:r w:rsidRPr="00942B34">
        <w:t xml:space="preserve">Note: See Dec. 21, </w:t>
      </w:r>
      <w:proofErr w:type="gramStart"/>
      <w:r w:rsidRPr="00942B34">
        <w:t>2018</w:t>
      </w:r>
      <w:proofErr w:type="gramEnd"/>
      <w:r w:rsidRPr="00942B34">
        <w:t xml:space="preserve"> article, “Cincinnati Fire captain alleges sexual harassment after R-rated movie plays at station.” A captain with the Cincinnati Fire Department claims in a lawsuit he was subjected to sexual harassment when an R-rated movie played on a station television last year. Capt. Janos Roper, an 18-year veteran of the Fire Department, filed the suit Friday in federal court. The suit alleges Roper's colleagues ignored his request to stop watching "Any Given Sunday," a sports film that includes nudity and profanity, in a shared eating area. </w:t>
      </w:r>
      <w:hyperlink r:id="rId1593" w:history="1">
        <w:r w:rsidRPr="00942B34">
          <w:rPr>
            <w:rStyle w:val="Hyperlink"/>
            <w:rFonts w:eastAsiaTheme="majorEastAsia"/>
          </w:rPr>
          <w:t>https://www.cincinnati.com/story/news/2018/12/21/fire-captain-alleges-sexual-harassment-after-any-given-sunday-shown-station/2393196002/</w:t>
        </w:r>
      </w:hyperlink>
      <w:r w:rsidRPr="00942B34">
        <w:t xml:space="preserve"> </w:t>
      </w:r>
    </w:p>
    <w:p w14:paraId="1B8C4583" w14:textId="77777777" w:rsidR="000644B6" w:rsidRDefault="000644B6" w:rsidP="00BC70A3">
      <w:pPr>
        <w:rPr>
          <w:rFonts w:ascii="Arial Black" w:hAnsi="Arial Black"/>
          <w:b/>
          <w:sz w:val="24"/>
          <w:szCs w:val="24"/>
        </w:rPr>
      </w:pPr>
    </w:p>
    <w:p w14:paraId="165F5087" w14:textId="064EE3F8" w:rsidR="00477016" w:rsidRDefault="00C032D6" w:rsidP="00BC70A3">
      <w:pPr>
        <w:rPr>
          <w:rFonts w:ascii="Arial Black" w:hAnsi="Arial Black"/>
          <w:b/>
          <w:sz w:val="24"/>
          <w:szCs w:val="24"/>
        </w:rPr>
      </w:pPr>
      <w:r>
        <w:rPr>
          <w:rFonts w:ascii="Arial Black" w:hAnsi="Arial Black"/>
          <w:b/>
          <w:sz w:val="24"/>
          <w:szCs w:val="24"/>
        </w:rPr>
        <w:t>8-52</w:t>
      </w:r>
    </w:p>
    <w:p w14:paraId="327F22E5" w14:textId="77777777" w:rsidR="00C032D6" w:rsidRDefault="00C032D6" w:rsidP="00C032D6">
      <w:pPr>
        <w:spacing w:before="100" w:beforeAutospacing="1" w:after="100" w:afterAutospacing="1" w:line="240" w:lineRule="auto"/>
        <w:rPr>
          <w:rFonts w:ascii="Arial Black" w:hAnsi="Arial Black"/>
          <w:color w:val="343332"/>
          <w:sz w:val="28"/>
          <w:szCs w:val="28"/>
        </w:rPr>
      </w:pPr>
      <w:r>
        <w:rPr>
          <w:rFonts w:ascii="Arial Black" w:hAnsi="Arial Black"/>
          <w:color w:val="343332"/>
          <w:sz w:val="28"/>
          <w:szCs w:val="28"/>
        </w:rPr>
        <w:t xml:space="preserve">U.S. SUP. CT: HARVARD / UNC ADMISSIONS – RACIAL STEREOTYPING, LACK MEANINGFUL END POINTS </w:t>
      </w:r>
    </w:p>
    <w:p w14:paraId="526A72E6" w14:textId="77777777" w:rsidR="00C032D6" w:rsidRDefault="00C032D6" w:rsidP="00C032D6">
      <w:pPr>
        <w:pStyle w:val="NormalWeb"/>
        <w:rPr>
          <w:color w:val="343332"/>
        </w:rPr>
      </w:pPr>
      <w:r>
        <w:rPr>
          <w:color w:val="343332"/>
        </w:rPr>
        <w:t xml:space="preserve">On June 29, 2023, in </w:t>
      </w:r>
      <w:r>
        <w:rPr>
          <w:color w:val="343332"/>
          <w:u w:val="single"/>
        </w:rPr>
        <w:t xml:space="preserve">Students </w:t>
      </w:r>
      <w:proofErr w:type="gramStart"/>
      <w:r>
        <w:rPr>
          <w:color w:val="343332"/>
          <w:u w:val="single"/>
        </w:rPr>
        <w:t>For</w:t>
      </w:r>
      <w:proofErr w:type="gramEnd"/>
      <w:r>
        <w:rPr>
          <w:color w:val="343332"/>
          <w:u w:val="single"/>
        </w:rPr>
        <w:t xml:space="preserve"> Fair Admissions. Inc. v. Harvard College, and Students </w:t>
      </w:r>
      <w:proofErr w:type="gramStart"/>
      <w:r>
        <w:rPr>
          <w:color w:val="343332"/>
          <w:u w:val="single"/>
        </w:rPr>
        <w:t>For</w:t>
      </w:r>
      <w:proofErr w:type="gramEnd"/>
      <w:r>
        <w:rPr>
          <w:color w:val="343332"/>
          <w:u w:val="single"/>
        </w:rPr>
        <w:t xml:space="preserve"> Fair Admissions. Inc. v. University of North Carolina</w:t>
      </w:r>
      <w:r>
        <w:rPr>
          <w:color w:val="343332"/>
        </w:rPr>
        <w:t xml:space="preserve">, the U.S. Supreme Court held (6 to 3), in opinion by Chief Justice John G. Roberts, Jr., the current admissions processes where race is a </w:t>
      </w:r>
      <w:r>
        <w:t xml:space="preserve">“plus factor” </w:t>
      </w:r>
      <w:r>
        <w:rPr>
          <w:color w:val="343332"/>
        </w:rPr>
        <w:t>violates the 14</w:t>
      </w:r>
      <w:r>
        <w:rPr>
          <w:color w:val="343332"/>
          <w:vertAlign w:val="superscript"/>
        </w:rPr>
        <w:t>th</w:t>
      </w:r>
      <w:r>
        <w:rPr>
          <w:color w:val="343332"/>
        </w:rPr>
        <w:t xml:space="preserve"> Amendment’s Equal Protection clause (ratified in 1868 in the wake of the Civil War). “For the reasons provided above, the Harvard and UNC admissions programs cannot be reconciled with the guarantees of the Equal Protection Clause. Both programs lack sufficiently focused and measurable objectives warranting the use of race, unavoidably employ race in a negative manner, involve racial stereotyping, and lack meaningful end points. We have never permitted admissions programs to work in that way, and we will not do so today. At the same time, as all parties agree, nothing in this opinion should be construed as prohibiting universities from considering an applicant’s discussion of how race affected his or her life, be it through discrimination, inspiration, or otherwise.” </w:t>
      </w:r>
      <w:hyperlink r:id="rId1594" w:history="1">
        <w:r>
          <w:rPr>
            <w:rStyle w:val="Hyperlink"/>
          </w:rPr>
          <w:t>https://www.supremecourt.gov/opinions/22pdf/20-1199_hgdj.pdf</w:t>
        </w:r>
      </w:hyperlink>
      <w:r>
        <w:rPr>
          <w:color w:val="343332"/>
        </w:rPr>
        <w:t xml:space="preserve"> </w:t>
      </w:r>
    </w:p>
    <w:p w14:paraId="01569BD9" w14:textId="77777777" w:rsidR="00C032D6" w:rsidRDefault="00C032D6" w:rsidP="00C032D6">
      <w:pPr>
        <w:pStyle w:val="NormalWeb"/>
        <w:rPr>
          <w:b/>
          <w:bCs/>
          <w:color w:val="343332"/>
        </w:rPr>
      </w:pPr>
      <w:r>
        <w:rPr>
          <w:b/>
          <w:bCs/>
          <w:color w:val="343332"/>
        </w:rPr>
        <w:t xml:space="preserve">Legal Lesson Learned: Employers, including Fire &amp; EMS Departments, may still have racial and gender diversity goals; if your </w:t>
      </w:r>
      <w:proofErr w:type="gramStart"/>
      <w:r>
        <w:rPr>
          <w:b/>
          <w:bCs/>
          <w:color w:val="343332"/>
        </w:rPr>
        <w:t>Department</w:t>
      </w:r>
      <w:proofErr w:type="gramEnd"/>
      <w:r>
        <w:rPr>
          <w:b/>
          <w:bCs/>
          <w:color w:val="343332"/>
        </w:rPr>
        <w:t xml:space="preserve"> still has a </w:t>
      </w:r>
      <w:proofErr w:type="gramStart"/>
      <w:r>
        <w:rPr>
          <w:b/>
          <w:bCs/>
          <w:color w:val="343332"/>
        </w:rPr>
        <w:t>Federal</w:t>
      </w:r>
      <w:proofErr w:type="gramEnd"/>
      <w:r>
        <w:rPr>
          <w:b/>
          <w:bCs/>
          <w:color w:val="343332"/>
        </w:rPr>
        <w:t xml:space="preserve"> consent decree where goals have been met, consult with legal counsel about filing motion to dissolve the decree.</w:t>
      </w:r>
    </w:p>
    <w:p w14:paraId="72A57AB8" w14:textId="77777777" w:rsidR="00C032D6" w:rsidRPr="00BA078F" w:rsidRDefault="00C032D6" w:rsidP="00C032D6">
      <w:pPr>
        <w:pStyle w:val="Heading1"/>
        <w:ind w:left="720"/>
        <w:rPr>
          <w:b w:val="0"/>
          <w:bCs w:val="0"/>
          <w:sz w:val="24"/>
          <w:szCs w:val="24"/>
        </w:rPr>
      </w:pPr>
      <w:r w:rsidRPr="00BA078F">
        <w:rPr>
          <w:b w:val="0"/>
          <w:bCs w:val="0"/>
          <w:color w:val="000000" w:themeColor="text1"/>
          <w:sz w:val="24"/>
          <w:szCs w:val="24"/>
        </w:rPr>
        <w:t>Note: See article, June 24, 2020:  ’</w:t>
      </w:r>
      <w:r w:rsidRPr="00BA078F">
        <w:rPr>
          <w:b w:val="0"/>
          <w:bCs w:val="0"/>
          <w:sz w:val="24"/>
          <w:szCs w:val="24"/>
        </w:rPr>
        <w:t>City of Buffalo updating training procedures: rolling out diversity training for every department.´</w:t>
      </w:r>
      <w:r w:rsidRPr="00BA078F">
        <w:rPr>
          <w:b w:val="0"/>
          <w:bCs w:val="0"/>
        </w:rPr>
        <w:t xml:space="preserve"> </w:t>
      </w:r>
      <w:hyperlink r:id="rId1595" w:history="1">
        <w:r w:rsidRPr="00BA078F">
          <w:rPr>
            <w:rStyle w:val="Hyperlink"/>
            <w:b w:val="0"/>
            <w:bCs w:val="0"/>
            <w:sz w:val="24"/>
            <w:szCs w:val="24"/>
          </w:rPr>
          <w:t>https://www.wkbw.com/news/local-news/city-of-buffalo-updating-training-procedures-rolling-out-diversity-training-for-every-department</w:t>
        </w:r>
      </w:hyperlink>
      <w:r w:rsidRPr="00BA078F">
        <w:rPr>
          <w:b w:val="0"/>
          <w:bCs w:val="0"/>
          <w:sz w:val="24"/>
          <w:szCs w:val="24"/>
        </w:rPr>
        <w:t xml:space="preserve"> </w:t>
      </w:r>
    </w:p>
    <w:p w14:paraId="5161C919" w14:textId="77777777" w:rsidR="00C032D6" w:rsidRPr="00BA078F" w:rsidRDefault="00C032D6" w:rsidP="00C032D6">
      <w:pPr>
        <w:pStyle w:val="Heading1"/>
        <w:ind w:left="720"/>
        <w:rPr>
          <w:b w:val="0"/>
          <w:bCs w:val="0"/>
          <w:sz w:val="24"/>
          <w:szCs w:val="24"/>
        </w:rPr>
      </w:pPr>
      <w:r w:rsidRPr="00BA078F">
        <w:rPr>
          <w:b w:val="0"/>
          <w:bCs w:val="0"/>
          <w:sz w:val="24"/>
          <w:szCs w:val="24"/>
        </w:rPr>
        <w:t>S</w:t>
      </w:r>
      <w:r w:rsidRPr="00BA078F">
        <w:rPr>
          <w:b w:val="0"/>
          <w:bCs w:val="0"/>
          <w:color w:val="000000" w:themeColor="text1"/>
          <w:sz w:val="24"/>
          <w:szCs w:val="24"/>
        </w:rPr>
        <w:t xml:space="preserve">ee IAFC article (March 16, 2015): “Department of Justice, Consent Decrees and the Fire Service.” </w:t>
      </w:r>
      <w:hyperlink r:id="rId1596" w:history="1">
        <w:r w:rsidRPr="00BA078F">
          <w:rPr>
            <w:rStyle w:val="Hyperlink"/>
            <w:b w:val="0"/>
            <w:bCs w:val="0"/>
            <w:sz w:val="24"/>
            <w:szCs w:val="24"/>
          </w:rPr>
          <w:t>https://www.iafc.org/membership/iCHIEFS/iCHIEFS-article/department-of-justice-consent-decrees-and-the-fire-service</w:t>
        </w:r>
      </w:hyperlink>
      <w:r w:rsidRPr="00BA078F">
        <w:rPr>
          <w:b w:val="0"/>
          <w:bCs w:val="0"/>
          <w:color w:val="000000" w:themeColor="text1"/>
          <w:sz w:val="24"/>
          <w:szCs w:val="24"/>
        </w:rPr>
        <w:t xml:space="preserve"> </w:t>
      </w:r>
    </w:p>
    <w:p w14:paraId="2F6CAACF" w14:textId="77777777" w:rsidR="00C032D6" w:rsidRDefault="00C032D6" w:rsidP="00C032D6">
      <w:pPr>
        <w:pStyle w:val="NormalWeb"/>
        <w:ind w:left="720"/>
        <w:rPr>
          <w:color w:val="000000"/>
        </w:rPr>
      </w:pPr>
      <w:r>
        <w:t xml:space="preserve">“There are many consent decrees affecting fire departments across the country related to hiring practices, affecting several fire departments, including FDNY, Baltimore, Austin and San Francisco. </w:t>
      </w:r>
      <w:hyperlink r:id="rId1597" w:tgtFrame="_blank" w:history="1">
        <w:r>
          <w:rPr>
            <w:rStyle w:val="Hyperlink"/>
          </w:rPr>
          <w:t>A consent decree affected Leesville, La.</w:t>
        </w:r>
      </w:hyperlink>
      <w:r>
        <w:t>, which had gone on over 32 years for hiring practices violating Title VII of the Civil Rights Act of 1964. Probably the longest is a forty-year consent decree involving the city of Buffalo, N.Y. The city is requesting a 1974 DOJ consent decree be set aside after complying with the consent decree related to mandated hiring quotas overseen by a U.S. District Court judge.”</w:t>
      </w:r>
    </w:p>
    <w:p w14:paraId="428D926B" w14:textId="77777777" w:rsidR="00C032D6" w:rsidRDefault="00C032D6" w:rsidP="00BC70A3">
      <w:pPr>
        <w:rPr>
          <w:rFonts w:ascii="Arial Black" w:hAnsi="Arial Black"/>
          <w:b/>
          <w:sz w:val="24"/>
          <w:szCs w:val="24"/>
        </w:rPr>
      </w:pPr>
    </w:p>
    <w:p w14:paraId="70CAE34E" w14:textId="77777777" w:rsidR="00C032D6" w:rsidRDefault="00C032D6" w:rsidP="00BC70A3">
      <w:pPr>
        <w:rPr>
          <w:rFonts w:ascii="Arial Black" w:hAnsi="Arial Black"/>
          <w:b/>
          <w:sz w:val="24"/>
          <w:szCs w:val="24"/>
        </w:rPr>
      </w:pPr>
    </w:p>
    <w:p w14:paraId="7B1FA5A7" w14:textId="6E1FCF75" w:rsidR="00477016" w:rsidRDefault="00477016" w:rsidP="00BC70A3">
      <w:pPr>
        <w:rPr>
          <w:rFonts w:ascii="Arial Black" w:hAnsi="Arial Black"/>
          <w:b/>
          <w:sz w:val="24"/>
          <w:szCs w:val="24"/>
        </w:rPr>
      </w:pPr>
      <w:r>
        <w:rPr>
          <w:rFonts w:ascii="Arial Black" w:hAnsi="Arial Black"/>
          <w:b/>
          <w:sz w:val="24"/>
          <w:szCs w:val="24"/>
        </w:rPr>
        <w:t>8-51</w:t>
      </w:r>
    </w:p>
    <w:p w14:paraId="6CB9D09B" w14:textId="77777777" w:rsidR="00477016" w:rsidRDefault="00477016" w:rsidP="00477016">
      <w:pPr>
        <w:pStyle w:val="NormalWeb"/>
      </w:pPr>
      <w:bookmarkStart w:id="316" w:name="_Hlk136859714"/>
      <w:r>
        <w:rPr>
          <w:rFonts w:ascii="Arial Black" w:hAnsi="Arial Black"/>
          <w:sz w:val="28"/>
          <w:szCs w:val="28"/>
        </w:rPr>
        <w:t>MO: ST. LOUIS FD – 17 “ACTING” OFFICERS – CITY NOT PROMOTING UNTIL NEW EXAM - RACE CASE SETTLEMENT</w:t>
      </w:r>
    </w:p>
    <w:bookmarkEnd w:id="316"/>
    <w:p w14:paraId="2F84B4C8" w14:textId="77777777" w:rsidR="00477016" w:rsidRDefault="00477016" w:rsidP="00477016">
      <w:pPr>
        <w:pStyle w:val="NormalWeb"/>
      </w:pPr>
      <w:r>
        <w:t xml:space="preserve">On May 19, 2023, in </w:t>
      </w:r>
      <w:r w:rsidRPr="00E724BE">
        <w:rPr>
          <w:u w:val="single"/>
        </w:rPr>
        <w:t>Robert Eveland, et al. v. City of St. Louis, et al</w:t>
      </w:r>
      <w:r>
        <w:t>., U.S. District Court Judge Catherine D. Parry, U.S. District Court for Eastern District of Missouri, Eastern Division, declined to issue a preliminary injunction ordering the City to promote the 17 “acting” Battalion Chiefs and Captains.  Judge Parry wrote:</w:t>
      </w:r>
    </w:p>
    <w:p w14:paraId="11183AD8" w14:textId="77777777" w:rsidR="00477016" w:rsidRDefault="00477016" w:rsidP="00477016">
      <w:pPr>
        <w:pStyle w:val="NormalWeb"/>
        <w:ind w:left="720"/>
      </w:pPr>
      <w:r>
        <w:t xml:space="preserve">“This is a legally complicated case. There is a possibility that plaintiffs may prevail </w:t>
      </w:r>
      <w:proofErr w:type="gramStart"/>
      <w:r>
        <w:t>on</w:t>
      </w:r>
      <w:proofErr w:type="gramEnd"/>
      <w:r>
        <w:t xml:space="preserve"> the merits of their claim, but they face many legal obstacles that they may not be able to overcome. In any event, I will deny the motion for a preliminary injunction because plaintiffs have not shown that they are threatened with immediate and irreparable harm or that any harm to them outweighs the harm that will result to the </w:t>
      </w:r>
      <w:proofErr w:type="gramStart"/>
      <w:r>
        <w:t>City</w:t>
      </w:r>
      <w:proofErr w:type="gramEnd"/>
      <w:r>
        <w:t xml:space="preserve"> if I were to grant the preliminary injunction. *** At the hearing, plaintiffs' counsel argued that because the Civil Service Rules provide that the ‘appointing authority’ is the Fire Chief and not the Director of Public Safety, plaintiffs' right to due process was violated when the Director effectively vetoed their promotions. Rather than arguing that they were entitled to some pre-deprivation process (such as a hearing), they argue that this alleged violation of due process simply entitles them to be promoted. But Missouri case law recognizes that the Fire Chief's decision-making power is subject to oversight by the Director of Public </w:t>
      </w:r>
      <w:proofErr w:type="gramStart"/>
      <w:r>
        <w:t>Safety.”</w:t>
      </w:r>
      <w:proofErr w:type="gramEnd"/>
      <w:r>
        <w:t xml:space="preserve"> </w:t>
      </w:r>
      <w:hyperlink r:id="rId1598" w:history="1">
        <w:r w:rsidRPr="00B43223">
          <w:rPr>
            <w:rStyle w:val="Hyperlink"/>
            <w:rFonts w:eastAsiaTheme="majorEastAsia"/>
          </w:rPr>
          <w:t>https://public.fastcase.com/ZZhmr5v9wN%2FXOe5IsQ%2FqDz1M0c7XntbkBFAKdHDge9e%2F8CSFXEi88W%2FVfdIRS4Pi97nH6Fo0Jpcpv2L%2BsFvZPbsE0qA7KMgQlRndt4L6foA%3D?utm_medium=email&amp;_hsmi=226712652&amp;_hsenc=p2ANqtz--PxjvF13xKDxQ7J7F-ifitmDmVZpuVXf36_4emKUQzFhwmn1WPofSx1ry4m9mCDedrl6XMHnLVa4UU0oKcRVjso9raZQ&amp;utm_content=226712652&amp;utm_source=hs_email</w:t>
        </w:r>
      </w:hyperlink>
      <w:r>
        <w:t xml:space="preserve"> </w:t>
      </w:r>
    </w:p>
    <w:p w14:paraId="596FDC8B" w14:textId="77777777" w:rsidR="00477016" w:rsidRDefault="00477016" w:rsidP="00477016">
      <w:pPr>
        <w:pStyle w:val="NormalWeb"/>
        <w:rPr>
          <w:b/>
          <w:bCs/>
        </w:rPr>
      </w:pPr>
      <w:r w:rsidRPr="00073DEB">
        <w:rPr>
          <w:b/>
          <w:bCs/>
        </w:rPr>
        <w:t>Legal Lesson Learned:</w:t>
      </w:r>
      <w:r>
        <w:rPr>
          <w:b/>
          <w:bCs/>
        </w:rPr>
        <w:t xml:space="preserve">  Preliminary injunctions are an “extraordinary remedy” that requires proof of “irreparable harm” to the plaintiffs. </w:t>
      </w:r>
    </w:p>
    <w:p w14:paraId="610DE291" w14:textId="77777777" w:rsidR="00477016" w:rsidRDefault="00477016" w:rsidP="00BC70A3">
      <w:pPr>
        <w:rPr>
          <w:rFonts w:ascii="Arial Black" w:hAnsi="Arial Black"/>
          <w:b/>
          <w:sz w:val="24"/>
          <w:szCs w:val="24"/>
        </w:rPr>
      </w:pPr>
    </w:p>
    <w:p w14:paraId="414F6EF7" w14:textId="77777777" w:rsidR="00477016" w:rsidRDefault="00477016" w:rsidP="00BC70A3">
      <w:pPr>
        <w:rPr>
          <w:rFonts w:ascii="Arial Black" w:hAnsi="Arial Black"/>
          <w:b/>
          <w:sz w:val="24"/>
          <w:szCs w:val="24"/>
        </w:rPr>
      </w:pPr>
    </w:p>
    <w:p w14:paraId="3EFA346A" w14:textId="0822FCF8" w:rsidR="00227BDE" w:rsidRDefault="00227BDE" w:rsidP="00BC70A3">
      <w:pPr>
        <w:rPr>
          <w:rFonts w:ascii="Arial Black" w:hAnsi="Arial Black"/>
          <w:b/>
          <w:sz w:val="24"/>
          <w:szCs w:val="24"/>
        </w:rPr>
      </w:pPr>
      <w:r>
        <w:rPr>
          <w:rFonts w:ascii="Arial Black" w:hAnsi="Arial Black"/>
          <w:b/>
          <w:sz w:val="24"/>
          <w:szCs w:val="24"/>
        </w:rPr>
        <w:t>8-50</w:t>
      </w:r>
    </w:p>
    <w:p w14:paraId="0A2AF175" w14:textId="77777777" w:rsidR="00227BDE" w:rsidRPr="006A5BAB" w:rsidRDefault="00227BDE" w:rsidP="00227BDE">
      <w:pPr>
        <w:pStyle w:val="NoSpacing"/>
        <w:rPr>
          <w:rFonts w:ascii="Arial Black" w:hAnsi="Arial Black"/>
          <w:sz w:val="28"/>
          <w:szCs w:val="28"/>
        </w:rPr>
      </w:pPr>
      <w:r w:rsidRPr="006A5BAB">
        <w:rPr>
          <w:rFonts w:ascii="Arial Black" w:hAnsi="Arial Black"/>
          <w:sz w:val="28"/>
          <w:szCs w:val="28"/>
        </w:rPr>
        <w:t>NY (3/31/2023) – FDNY –</w:t>
      </w:r>
      <w:r>
        <w:rPr>
          <w:rFonts w:ascii="Arial Black" w:hAnsi="Arial Black"/>
          <w:sz w:val="28"/>
          <w:szCs w:val="28"/>
        </w:rPr>
        <w:t xml:space="preserve"> </w:t>
      </w:r>
      <w:r w:rsidRPr="006A5BAB">
        <w:rPr>
          <w:rFonts w:ascii="Arial Black" w:hAnsi="Arial Black"/>
          <w:sz w:val="28"/>
          <w:szCs w:val="28"/>
        </w:rPr>
        <w:t>PROB. FF FROM PERU –</w:t>
      </w:r>
      <w:r>
        <w:rPr>
          <w:rFonts w:ascii="Arial Black" w:hAnsi="Arial Black"/>
          <w:sz w:val="28"/>
          <w:szCs w:val="28"/>
        </w:rPr>
        <w:t xml:space="preserve"> HAZING, ONLINE HARASSMENT, PTSD, SUSP. - CASE </w:t>
      </w:r>
      <w:r w:rsidRPr="006A5BAB">
        <w:rPr>
          <w:rFonts w:ascii="Arial Black" w:hAnsi="Arial Black"/>
          <w:sz w:val="28"/>
          <w:szCs w:val="28"/>
        </w:rPr>
        <w:t>PROCEED</w:t>
      </w:r>
    </w:p>
    <w:p w14:paraId="2C7DCA68" w14:textId="77777777" w:rsidR="00227BDE" w:rsidRDefault="00227BDE" w:rsidP="00227BDE">
      <w:pPr>
        <w:pStyle w:val="NoSpacing"/>
      </w:pPr>
    </w:p>
    <w:p w14:paraId="70CAB465"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Joseph Mendoza v. The City of New York, et al</w:t>
      </w:r>
      <w:r w:rsidRPr="003C1643">
        <w:rPr>
          <w:rFonts w:ascii="Times New Roman" w:hAnsi="Times New Roman"/>
          <w:sz w:val="24"/>
          <w:szCs w:val="24"/>
        </w:rPr>
        <w:t xml:space="preserve">., U.S. District Court Judge Lashann Dearcy Hall, U.S. District Court for Eastern District of New York. </w:t>
      </w:r>
      <w:hyperlink r:id="rId1599" w:history="1">
        <w:r w:rsidRPr="003C1643">
          <w:rPr>
            <w:rStyle w:val="Hyperlink"/>
            <w:rFonts w:ascii="Times New Roman" w:hAnsi="Times New Roman"/>
            <w:sz w:val="24"/>
            <w:szCs w:val="24"/>
          </w:rPr>
          <w:t>https://casetext.com/case/mendoza-v-the-city-of-new-york-3</w:t>
        </w:r>
      </w:hyperlink>
      <w:r w:rsidRPr="003C1643">
        <w:rPr>
          <w:rFonts w:ascii="Times New Roman" w:hAnsi="Times New Roman"/>
          <w:sz w:val="24"/>
          <w:szCs w:val="24"/>
        </w:rPr>
        <w:t xml:space="preserve"> </w:t>
      </w:r>
    </w:p>
    <w:p w14:paraId="4B58745F" w14:textId="77777777" w:rsidR="00227BDE" w:rsidRPr="003C1643" w:rsidRDefault="00227BDE" w:rsidP="00227BDE">
      <w:pPr>
        <w:pStyle w:val="NormalWeb"/>
        <w:rPr>
          <w:b/>
          <w:bCs/>
        </w:rPr>
      </w:pPr>
      <w:r w:rsidRPr="003C1643">
        <w:rPr>
          <w:b/>
          <w:bCs/>
        </w:rPr>
        <w:t>Legal Lesson Learned:</w:t>
      </w:r>
      <w:r>
        <w:rPr>
          <w:b/>
          <w:bCs/>
        </w:rPr>
        <w:t xml:space="preserve"> Allegations are far more than just hazing</w:t>
      </w:r>
      <w:r w:rsidRPr="003C1643">
        <w:rPr>
          <w:b/>
          <w:bCs/>
        </w:rPr>
        <w:t xml:space="preserve">. </w:t>
      </w:r>
    </w:p>
    <w:p w14:paraId="0F2499BF" w14:textId="77777777" w:rsidR="00227BDE" w:rsidRDefault="00227BDE" w:rsidP="00BC70A3">
      <w:pPr>
        <w:rPr>
          <w:rFonts w:ascii="Arial Black" w:hAnsi="Arial Black"/>
          <w:b/>
          <w:sz w:val="24"/>
          <w:szCs w:val="24"/>
        </w:rPr>
      </w:pPr>
    </w:p>
    <w:p w14:paraId="391457F2" w14:textId="20E4D19F" w:rsidR="00227BDE" w:rsidRDefault="00227BDE" w:rsidP="00BC70A3">
      <w:pPr>
        <w:rPr>
          <w:rFonts w:ascii="Arial Black" w:hAnsi="Arial Black"/>
          <w:b/>
          <w:sz w:val="24"/>
          <w:szCs w:val="24"/>
        </w:rPr>
      </w:pPr>
      <w:r>
        <w:rPr>
          <w:rFonts w:ascii="Arial Black" w:hAnsi="Arial Black"/>
          <w:b/>
          <w:sz w:val="24"/>
          <w:szCs w:val="24"/>
        </w:rPr>
        <w:t>8-49</w:t>
      </w:r>
    </w:p>
    <w:p w14:paraId="2B0205B4" w14:textId="77777777" w:rsidR="00227BDE" w:rsidRPr="00016E2B" w:rsidRDefault="00227BDE" w:rsidP="00227BDE">
      <w:pPr>
        <w:pStyle w:val="NoSpacing"/>
        <w:rPr>
          <w:rFonts w:ascii="Arial Black" w:hAnsi="Arial Black"/>
          <w:sz w:val="28"/>
          <w:szCs w:val="28"/>
        </w:rPr>
      </w:pPr>
      <w:r w:rsidRPr="00016E2B">
        <w:rPr>
          <w:rFonts w:ascii="Arial Black" w:hAnsi="Arial Black"/>
          <w:sz w:val="28"/>
          <w:szCs w:val="28"/>
        </w:rPr>
        <w:t>NB (3/31/2023) – BLACK FEMALE FF – GEAR ON FLAGPOLE</w:t>
      </w:r>
      <w:r>
        <w:rPr>
          <w:rFonts w:ascii="Arial Black" w:hAnsi="Arial Black"/>
          <w:sz w:val="28"/>
          <w:szCs w:val="28"/>
        </w:rPr>
        <w:t xml:space="preserve"> WHEN LEFT IT BEHIND - RESIGNED - </w:t>
      </w:r>
      <w:r w:rsidRPr="00016E2B">
        <w:rPr>
          <w:rFonts w:ascii="Arial Black" w:hAnsi="Arial Black"/>
          <w:sz w:val="28"/>
          <w:szCs w:val="28"/>
        </w:rPr>
        <w:t xml:space="preserve">LAWSUIT PROCEED </w:t>
      </w:r>
    </w:p>
    <w:p w14:paraId="07A18F8E" w14:textId="77777777" w:rsidR="00227BDE" w:rsidRDefault="00227BDE" w:rsidP="00227BDE">
      <w:pPr>
        <w:pStyle w:val="NoSpacing"/>
      </w:pPr>
    </w:p>
    <w:p w14:paraId="167C4143" w14:textId="5C0CE0CC" w:rsidR="00227BDE" w:rsidRDefault="00227BDE" w:rsidP="00227BDE">
      <w:pPr>
        <w:rPr>
          <w:rFonts w:ascii="Arial Black" w:hAnsi="Arial Black"/>
          <w:b/>
          <w:sz w:val="24"/>
          <w:szCs w:val="24"/>
        </w:rPr>
      </w:pPr>
      <w:r w:rsidRPr="003C1643">
        <w:rPr>
          <w:rFonts w:ascii="Times New Roman" w:hAnsi="Times New Roman"/>
          <w:sz w:val="24"/>
          <w:szCs w:val="24"/>
          <w:u w:val="single"/>
        </w:rPr>
        <w:t>Jane Crudup v. City of Omaha</w:t>
      </w:r>
      <w:r w:rsidRPr="003C1643">
        <w:rPr>
          <w:rFonts w:ascii="Times New Roman" w:hAnsi="Times New Roman"/>
          <w:sz w:val="24"/>
          <w:szCs w:val="24"/>
        </w:rPr>
        <w:t xml:space="preserve">, Senior U.S. District Court Judge Joseph H. </w:t>
      </w:r>
      <w:proofErr w:type="spellStart"/>
      <w:r w:rsidRPr="003C1643">
        <w:rPr>
          <w:rFonts w:ascii="Times New Roman" w:hAnsi="Times New Roman"/>
          <w:sz w:val="24"/>
          <w:szCs w:val="24"/>
        </w:rPr>
        <w:t>Bataillon</w:t>
      </w:r>
      <w:proofErr w:type="spellEnd"/>
      <w:r w:rsidRPr="003C1643">
        <w:rPr>
          <w:rFonts w:ascii="Times New Roman" w:hAnsi="Times New Roman"/>
          <w:sz w:val="24"/>
          <w:szCs w:val="24"/>
        </w:rPr>
        <w:t xml:space="preserve">, U.S. District Court of District of Nebraska. </w:t>
      </w:r>
      <w:hyperlink r:id="rId1600" w:history="1">
        <w:r w:rsidRPr="003C1643">
          <w:rPr>
            <w:rStyle w:val="Hyperlink"/>
            <w:rFonts w:ascii="Times New Roman" w:hAnsi="Times New Roman"/>
            <w:sz w:val="24"/>
            <w:szCs w:val="24"/>
          </w:rPr>
          <w:t>https://casetext.com/case/crudup-v-city-of-omaha-4</w:t>
        </w:r>
      </w:hyperlink>
    </w:p>
    <w:p w14:paraId="31CAEA8B" w14:textId="77777777" w:rsidR="00227BDE" w:rsidRPr="003C1643" w:rsidRDefault="00227BDE" w:rsidP="00227BDE">
      <w:pPr>
        <w:pStyle w:val="NormalWeb"/>
        <w:rPr>
          <w:b/>
          <w:bCs/>
        </w:rPr>
      </w:pPr>
      <w:r w:rsidRPr="003C1643">
        <w:rPr>
          <w:b/>
          <w:bCs/>
        </w:rPr>
        <w:t xml:space="preserve">Legal Lessons Learned: </w:t>
      </w:r>
      <w:proofErr w:type="gramStart"/>
      <w:r w:rsidRPr="003C1643">
        <w:rPr>
          <w:b/>
          <w:bCs/>
        </w:rPr>
        <w:t>Flag pole</w:t>
      </w:r>
      <w:proofErr w:type="gramEnd"/>
      <w:r w:rsidRPr="003C1643">
        <w:rPr>
          <w:b/>
          <w:bCs/>
        </w:rPr>
        <w:t xml:space="preserve"> incidents and similar practices can lead to litigation. </w:t>
      </w:r>
    </w:p>
    <w:p w14:paraId="2E2F94AE" w14:textId="77777777" w:rsidR="00227BDE" w:rsidRDefault="00227BDE" w:rsidP="00BC70A3">
      <w:pPr>
        <w:rPr>
          <w:rFonts w:ascii="Arial Black" w:hAnsi="Arial Black"/>
          <w:b/>
          <w:sz w:val="24"/>
          <w:szCs w:val="24"/>
        </w:rPr>
      </w:pPr>
    </w:p>
    <w:p w14:paraId="0C373179" w14:textId="77777777" w:rsidR="00227BDE" w:rsidRDefault="00227BDE" w:rsidP="00BC70A3">
      <w:pPr>
        <w:rPr>
          <w:rFonts w:ascii="Arial Black" w:hAnsi="Arial Black"/>
          <w:b/>
          <w:sz w:val="24"/>
          <w:szCs w:val="24"/>
        </w:rPr>
      </w:pPr>
    </w:p>
    <w:p w14:paraId="3BC13FAF" w14:textId="72679E77" w:rsidR="00104A4C" w:rsidRDefault="00104A4C" w:rsidP="00BC70A3">
      <w:pPr>
        <w:rPr>
          <w:rFonts w:ascii="Arial Black" w:hAnsi="Arial Black"/>
          <w:b/>
          <w:sz w:val="24"/>
          <w:szCs w:val="24"/>
        </w:rPr>
      </w:pPr>
      <w:r>
        <w:rPr>
          <w:rFonts w:ascii="Arial Black" w:hAnsi="Arial Black"/>
          <w:b/>
          <w:sz w:val="24"/>
          <w:szCs w:val="24"/>
        </w:rPr>
        <w:t>8-48</w:t>
      </w:r>
    </w:p>
    <w:p w14:paraId="1500CF26" w14:textId="77777777" w:rsidR="00104A4C" w:rsidRPr="005F4D8C" w:rsidRDefault="00104A4C" w:rsidP="00104A4C">
      <w:pPr>
        <w:pStyle w:val="NormalWeb"/>
        <w:rPr>
          <w:rFonts w:ascii="Arial Black" w:hAnsi="Arial Black"/>
          <w:sz w:val="28"/>
          <w:szCs w:val="28"/>
        </w:rPr>
      </w:pPr>
      <w:r>
        <w:rPr>
          <w:rFonts w:ascii="Arial Black" w:hAnsi="Arial Black"/>
          <w:sz w:val="28"/>
          <w:szCs w:val="28"/>
        </w:rPr>
        <w:t xml:space="preserve">NY: BLACK FD CAPTAIN – GOT DRUNK, DEFICATED IN PANTS - PROMOTION BAT. CHIEF PROPERLY RESCINDED </w:t>
      </w:r>
    </w:p>
    <w:p w14:paraId="5B179CA0" w14:textId="77777777" w:rsidR="00104A4C" w:rsidRDefault="00104A4C" w:rsidP="00104A4C">
      <w:pPr>
        <w:pStyle w:val="NormalWeb"/>
      </w:pPr>
      <w:r>
        <w:t xml:space="preserve">On March 9, 2023, in </w:t>
      </w:r>
      <w:r w:rsidRPr="005F4D8C">
        <w:rPr>
          <w:u w:val="single"/>
        </w:rPr>
        <w:t xml:space="preserve">Jeremy Clawson v. The City of Albany Department of Fire </w:t>
      </w:r>
      <w:proofErr w:type="gramStart"/>
      <w:r w:rsidRPr="005F4D8C">
        <w:rPr>
          <w:u w:val="single"/>
        </w:rPr>
        <w:t>And</w:t>
      </w:r>
      <w:proofErr w:type="gramEnd"/>
      <w:r w:rsidRPr="005F4D8C">
        <w:rPr>
          <w:u w:val="single"/>
        </w:rPr>
        <w:t xml:space="preserve"> Emergency</w:t>
      </w:r>
      <w:r>
        <w:t xml:space="preserve">, U.S. District Court Judge Mae A. D’Agostino, North District of New York, granted the City’s motion for summary judgment.  His promotion was rescinded based on Jan. 31, </w:t>
      </w:r>
      <w:proofErr w:type="gramStart"/>
      <w:r>
        <w:t>2019</w:t>
      </w:r>
      <w:proofErr w:type="gramEnd"/>
      <w:r>
        <w:t xml:space="preserve"> incident. </w:t>
      </w:r>
    </w:p>
    <w:p w14:paraId="33E08C54" w14:textId="77777777" w:rsidR="00104A4C" w:rsidRDefault="00104A4C" w:rsidP="00104A4C">
      <w:pPr>
        <w:pStyle w:val="NormalWeb"/>
        <w:ind w:left="720"/>
      </w:pPr>
      <w:r>
        <w:t xml:space="preserve">“On January 31, 2019, at 10:00 p.m., Plaintiff, ‘while off duty,’ went to more than one business, and drank multiple drinks over the course of three to four hours…. At approximately 5:00 a.m., the Albany Police Department (‘APD’) received a call about ‘a person exposing himself’ in a Dunkin Donuts…. According to Defendant, at 5:10 a.m. police arrived at the scene…. At this point Plaintiff was outside of the Dunkin Donuts, with his ‘pants pulled down’ and wearing ‘boxer shorts"…. Defendant states that Plaintiff was ‘covered in feces’ when he was discovered…. APD officers called emergency medical services…. An ambulance took Plaintiff to Albany Medical Center at approximately 5:45 a.m. on February 1, 2019….Plaintiff left the hospital at around 10:00 a.m. </w:t>
      </w:r>
    </w:p>
    <w:p w14:paraId="48744310" w14:textId="77777777" w:rsidR="00104A4C" w:rsidRDefault="00104A4C" w:rsidP="00104A4C">
      <w:pPr>
        <w:pStyle w:val="NormalWeb"/>
        <w:ind w:left="720"/>
      </w:pPr>
      <w:r>
        <w:t xml:space="preserve">*** </w:t>
      </w:r>
    </w:p>
    <w:p w14:paraId="2F3DA0C5" w14:textId="77777777" w:rsidR="00104A4C" w:rsidRDefault="00104A4C" w:rsidP="00104A4C">
      <w:pPr>
        <w:pStyle w:val="NormalWeb"/>
        <w:ind w:left="720"/>
        <w:rPr>
          <w:rStyle w:val="Emphasis"/>
        </w:rPr>
      </w:pPr>
      <w:r>
        <w:t>Five months after the rescission of promotion, Plaintiff was offered to apply for a Deputy Chief position, a higher position than Battalion Chief, which Plaintiff declined to do because that position did not offer civil service protection.”</w:t>
      </w:r>
    </w:p>
    <w:p w14:paraId="6A4D64E1" w14:textId="77777777" w:rsidR="00104A4C" w:rsidRDefault="00104A4C" w:rsidP="00104A4C">
      <w:pPr>
        <w:pStyle w:val="NormalWeb"/>
      </w:pPr>
      <w:r>
        <w:t>Judge ruled:</w:t>
      </w:r>
    </w:p>
    <w:p w14:paraId="3623F83C" w14:textId="77777777" w:rsidR="00104A4C" w:rsidRDefault="00104A4C" w:rsidP="00104A4C">
      <w:pPr>
        <w:pStyle w:val="NormalWeb"/>
        <w:ind w:left="720"/>
      </w:pPr>
      <w:r>
        <w:t xml:space="preserve">“In sum, ample and uncontroverted evidence establishes that Plaintiff's promotion was rescinded because of his conduct on the night of January 31, 2019, and that his race played no role in the decision…. Stated another way, the promotion was rescinded after Plaintiff became so intoxicated in public that he defecated on his pants and had to be brought to a local hospital for observation by the APD.” </w:t>
      </w:r>
    </w:p>
    <w:p w14:paraId="1CF6F03D" w14:textId="77777777" w:rsidR="00104A4C" w:rsidRDefault="00104A4C" w:rsidP="00104A4C">
      <w:pPr>
        <w:pStyle w:val="NormalWeb"/>
      </w:pPr>
      <w:r>
        <w:t xml:space="preserve">Court also found no violation of Americans </w:t>
      </w:r>
      <w:proofErr w:type="gramStart"/>
      <w:r>
        <w:t>With</w:t>
      </w:r>
      <w:proofErr w:type="gramEnd"/>
      <w:r>
        <w:t xml:space="preserve"> Disabilities Act; he was not perceived to be disabled, just because they suggested he might benefit from EAP counseling. </w:t>
      </w:r>
    </w:p>
    <w:p w14:paraId="486B10DA" w14:textId="77777777" w:rsidR="00104A4C" w:rsidRDefault="00104A4C" w:rsidP="00104A4C">
      <w:pPr>
        <w:pStyle w:val="NormalWeb"/>
        <w:ind w:left="720"/>
      </w:pPr>
      <w:r>
        <w:t xml:space="preserve">“Even if he was regarded as ‘having a problem with alcohol,’ that does not sufficiently allege disability under the ADA, as it does not allege that this was more than ‘transitory or minor.’ As such, rescinding a promotion based on one public night of intoxication does not require a finding that an employer was on notice of a disability or regarded someone as having a disability.” </w:t>
      </w:r>
      <w:hyperlink r:id="rId1601" w:history="1">
        <w:r w:rsidRPr="00317BE5">
          <w:rPr>
            <w:rStyle w:val="Hyperlink"/>
            <w:rFonts w:eastAsiaTheme="majorEastAsia"/>
          </w:rPr>
          <w:t>https://public.fastcase.com/J%2FJP6pdidelsXxEE4k%2BLMgHzbJp7ohVf6eJnqqVRZsR3ljYGLWqzA%2BaNrEJEjuoSNSzJxXmSxLQZTPvgqQmcEiF1aE%2BspvM2CCoAx4ikJzY%3D?utm_medium=email&amp;_hsmi=226712652&amp;_hsenc=p2ANqtz-8P0uzvemqlc89p8NGs_MEabF92WO0Yw0J6IjilR3LUZDOGdMMkuiwHYzQhEyPy65nnWBVskQbx-uRxwGqC5jWNg9aYuA&amp;utm_content=226712652&amp;utm_source=hs_email</w:t>
        </w:r>
      </w:hyperlink>
      <w:r>
        <w:t xml:space="preserve"> </w:t>
      </w:r>
    </w:p>
    <w:p w14:paraId="4E7259FB" w14:textId="77777777" w:rsidR="00104A4C" w:rsidRPr="006D07F7" w:rsidRDefault="00104A4C" w:rsidP="00104A4C">
      <w:pPr>
        <w:pStyle w:val="NormalWeb"/>
        <w:rPr>
          <w:b/>
          <w:bCs/>
        </w:rPr>
      </w:pPr>
      <w:r w:rsidRPr="006D07F7">
        <w:rPr>
          <w:b/>
          <w:bCs/>
        </w:rPr>
        <w:t xml:space="preserve">Legal Lesson Learned: </w:t>
      </w:r>
      <w:r>
        <w:rPr>
          <w:b/>
          <w:bCs/>
        </w:rPr>
        <w:t xml:space="preserve">The facts supported the decision.  </w:t>
      </w:r>
    </w:p>
    <w:p w14:paraId="2528458C" w14:textId="2EDAAE74" w:rsidR="00104A4C" w:rsidRPr="00104A4C" w:rsidRDefault="00104A4C" w:rsidP="00104A4C">
      <w:pPr>
        <w:ind w:left="720"/>
        <w:rPr>
          <w:rFonts w:ascii="Times New Roman" w:hAnsi="Times New Roman"/>
          <w:b/>
          <w:sz w:val="24"/>
          <w:szCs w:val="24"/>
        </w:rPr>
      </w:pPr>
      <w:r w:rsidRPr="00104A4C">
        <w:rPr>
          <w:rFonts w:ascii="Times New Roman" w:hAnsi="Times New Roman"/>
          <w:sz w:val="24"/>
          <w:szCs w:val="24"/>
        </w:rPr>
        <w:t>Note: See article: “Black captain sues Albany Fire Department for rescinding his promotion.” Dec. 9, 2020. “ALBANY — Jeremy E. Clawson, a captain and the only minority supervising officer in the Albany Fire Department, has filed a federal civil rights lawsuit accusing city leaders of rescinding his promotion to the position of battalion chief.</w:t>
      </w:r>
    </w:p>
    <w:p w14:paraId="58E01A66" w14:textId="77777777" w:rsidR="00104A4C" w:rsidRDefault="00104A4C" w:rsidP="00BC70A3">
      <w:pPr>
        <w:rPr>
          <w:rFonts w:ascii="Arial Black" w:hAnsi="Arial Black"/>
          <w:b/>
          <w:sz w:val="24"/>
          <w:szCs w:val="24"/>
        </w:rPr>
      </w:pPr>
    </w:p>
    <w:p w14:paraId="05FF87C3" w14:textId="7FB4DF1B" w:rsidR="00B87D79" w:rsidRDefault="008A4533" w:rsidP="00BC70A3">
      <w:pPr>
        <w:rPr>
          <w:rFonts w:ascii="Arial Black" w:hAnsi="Arial Black"/>
          <w:b/>
          <w:sz w:val="24"/>
          <w:szCs w:val="24"/>
        </w:rPr>
      </w:pPr>
      <w:r>
        <w:rPr>
          <w:rFonts w:ascii="Arial Black" w:hAnsi="Arial Black"/>
          <w:b/>
          <w:sz w:val="24"/>
          <w:szCs w:val="24"/>
        </w:rPr>
        <w:t>8-47</w:t>
      </w:r>
    </w:p>
    <w:p w14:paraId="681959A6" w14:textId="77777777" w:rsidR="008A4533" w:rsidRPr="00EA11E9" w:rsidRDefault="008A4533" w:rsidP="008A4533">
      <w:pPr>
        <w:pStyle w:val="NormalWeb"/>
        <w:rPr>
          <w:rFonts w:ascii="Arial Black" w:hAnsi="Arial Black"/>
          <w:sz w:val="28"/>
          <w:szCs w:val="28"/>
        </w:rPr>
      </w:pPr>
      <w:r>
        <w:rPr>
          <w:rFonts w:ascii="Arial Black" w:hAnsi="Arial Black"/>
          <w:sz w:val="28"/>
          <w:szCs w:val="28"/>
        </w:rPr>
        <w:t>IN: CAPTAIN [BLACK] DEMOTED FOR BREACH ORDER NOT DISCUSS VIDEO TWO MEN HAVING SEX – CASE DISMISSED</w:t>
      </w:r>
    </w:p>
    <w:p w14:paraId="2F911271" w14:textId="77777777" w:rsidR="008A4533" w:rsidRDefault="008A4533" w:rsidP="008A4533">
      <w:pPr>
        <w:pStyle w:val="NormalWeb"/>
      </w:pPr>
      <w:r w:rsidRPr="00514A35">
        <w:t xml:space="preserve">On Jan. 24, 2023, in </w:t>
      </w:r>
      <w:r w:rsidRPr="00514A35">
        <w:rPr>
          <w:u w:val="single"/>
        </w:rPr>
        <w:t>Brad M. Collier v. City of New Albany</w:t>
      </w:r>
      <w:r>
        <w:t xml:space="preserve">, U.S. District Court Judge Robert L. Miller, U.S. District Court for Southern District of Indiana (New Albany Division) granted the City’s motion for summary judgment, dismissing his claims of race discrimination, ADA, FMLA.  The plaintiff (African American) was a firefighter for over 20 years, and retired May 4, 2022; he was demoted for breach of a direct order on Nov. 1, 2019.  A firefighter on his crew showed the </w:t>
      </w:r>
      <w:proofErr w:type="gramStart"/>
      <w:r>
        <w:t>Captain</w:t>
      </w:r>
      <w:proofErr w:type="gramEnd"/>
      <w:r>
        <w:t xml:space="preserve"> and another firefighter a video – another firefighter [“Mr. Doe”] having sex with two other males [not firefighters]. The Fire Chief ordered video destroyed, and the three firefighters to not discuss with others.  For beach of that order, Captain was demoted to Sergeant and suspended for 5 days without pay; the firefighter who brought in the video was suspended for 10 days [Fire Chief first recommended he be fired for bringing the video to fire station], and the other firefighter was suspended for 1.5 days.  Court dismissed the lawsuit, holding: “None of this would allow a reasonable factfinder to find race discrimination.” </w:t>
      </w:r>
      <w:hyperlink r:id="rId1602" w:history="1">
        <w:r w:rsidRPr="006E56EF">
          <w:rPr>
            <w:rStyle w:val="Hyperlink"/>
          </w:rPr>
          <w:t>https://public.fastcase.com/J%2FJP6pdidelsXxEE4k%2BLMrA34GsTt5B2s5lqbdzOSKO6ds2%2FFXzTZCAcVKPc5nYGkDv4uUicwcEOayTnLM9q%2BLkNSr7W2Myomwq976TWq68%3D?utm_medium=email&amp;_hsmi=226712652&amp;_hsenc=p2ANqtz--xrBYm_8SOoB1x8n_lzDvQY_7J4w6TZmgBXNCiTskMckRZL1pW5pA7jfVkIgH5lYseuktBIikSAYCDqwL7O8hlSm6fMw&amp;utm_content=226712652&amp;utm_source=hs_email</w:t>
        </w:r>
      </w:hyperlink>
      <w:r>
        <w:t xml:space="preserve"> </w:t>
      </w:r>
    </w:p>
    <w:p w14:paraId="6B7D4A6C" w14:textId="77777777" w:rsidR="008A4533" w:rsidRDefault="008A4533" w:rsidP="008A4533">
      <w:pPr>
        <w:pStyle w:val="NormalWeb"/>
        <w:ind w:left="720"/>
      </w:pPr>
      <w:r>
        <w:t>“On the morning of November 1 [2019, Captain] Collier was doing chores at the firehouse. [Firefighter] Sullivan approached [Captain] Collier and told him that [</w:t>
      </w:r>
      <w:proofErr w:type="gramStart"/>
      <w:r>
        <w:t>firefighter] ‘</w:t>
      </w:r>
      <w:proofErr w:type="gramEnd"/>
      <w:r>
        <w:t xml:space="preserve">John Doe’ wasn't ‘the guy you think he is.’ [Firefighter] Sullivan showed Mr. Collier a video of Mr. Doe having sex with two other adult men and suggested that if Mr. Doe would have sex with men, he was capable of ‘messing around with’ children. Mr. Sullivan then showed a report from Child Protective Services involving Mr. Doe, suggesting he might be a child abuser. </w:t>
      </w:r>
    </w:p>
    <w:p w14:paraId="409CF51D" w14:textId="77777777" w:rsidR="008A4533" w:rsidRDefault="008A4533" w:rsidP="008A4533">
      <w:pPr>
        <w:pStyle w:val="NormalWeb"/>
        <w:ind w:left="720"/>
      </w:pPr>
      <w:r>
        <w:t xml:space="preserve">[Firefighter] Peters then entered the room and viewed the video. The three men called Battalion Chief Bowyer to the station and saved the materials to a thumb drive. After Chief Bowyer arrived, they shared the information with him, and he summoned Deputy Chief Gadd to the station. They described the information to Deputy Chief Gadd, who in turn called Fire Chief Matt Juliot and the New Albany Police Chief to the station. </w:t>
      </w:r>
    </w:p>
    <w:p w14:paraId="60743851" w14:textId="77777777" w:rsidR="008A4533" w:rsidRDefault="008A4533" w:rsidP="008A4533">
      <w:pPr>
        <w:pStyle w:val="NormalWeb"/>
        <w:ind w:left="720"/>
      </w:pPr>
      <w:r>
        <w:t xml:space="preserve">When the fire chief and police chief arrived, the three men admitted the flash drive contained no material involving children but demanded that Mr. Doe be disciplined and that they not work with him anymore. The police chief checked into the Child Protective Services allegations and learned that they had been investigated and deemed unfounded. Battalion Chief Bowyer explained that Mr. Doe was ‘macho’ and might kill himself if this information got out, though Fire Chief Juliot </w:t>
      </w:r>
      <w:proofErr w:type="gramStart"/>
      <w:r>
        <w:t>understand</w:t>
      </w:r>
      <w:proofErr w:type="gramEnd"/>
      <w:r>
        <w:t xml:space="preserve"> the statement to be more hyperbole than literal. </w:t>
      </w:r>
    </w:p>
    <w:p w14:paraId="65A17302" w14:textId="77777777" w:rsidR="008A4533" w:rsidRDefault="008A4533" w:rsidP="008A4533">
      <w:pPr>
        <w:pStyle w:val="NormalWeb"/>
        <w:ind w:left="720"/>
      </w:pPr>
      <w:r>
        <w:t xml:space="preserve">The police chief ordered the men to destroy the thumb drive and not to discuss the materials. Chief Juliot and Deputy Chief Gadd reiterated that the command was a formal order. Deputy Chief Gadd called the station later that day to reiterate the order not to discuss the material. </w:t>
      </w:r>
    </w:p>
    <w:p w14:paraId="7DC61007" w14:textId="77777777" w:rsidR="008A4533" w:rsidRDefault="008A4533" w:rsidP="008A4533">
      <w:pPr>
        <w:pStyle w:val="NormalWeb"/>
        <w:ind w:left="720" w:firstLine="60"/>
      </w:pPr>
      <w:r>
        <w:t>Mr. Collier and his crew continued to talk about John Doe. Mr. Collier told some colleagues on another crew about the incident. He described in some detail the video of Mr. Doe being intimate with two men and implied there was material relating to minors.</w:t>
      </w:r>
    </w:p>
    <w:p w14:paraId="3261E9DC" w14:textId="77777777" w:rsidR="008A4533" w:rsidRDefault="008A4533" w:rsidP="008A4533">
      <w:pPr>
        <w:pStyle w:val="NormalWeb"/>
        <w:ind w:left="720" w:firstLine="60"/>
      </w:pPr>
      <w:r>
        <w:t>***</w:t>
      </w:r>
    </w:p>
    <w:p w14:paraId="71556693" w14:textId="77777777" w:rsidR="008A4533" w:rsidRDefault="008A4533" w:rsidP="008A4533">
      <w:pPr>
        <w:pStyle w:val="NormalWeb"/>
        <w:ind w:left="720"/>
      </w:pPr>
      <w:r>
        <w:t>Mr. Collier first admitted that he violated rules and regulations by disobeying direct orders and agreed that as a captain, he was held to a higher standard than many other firefighters.</w:t>
      </w:r>
    </w:p>
    <w:p w14:paraId="744D0471" w14:textId="77777777" w:rsidR="008A4533" w:rsidRDefault="008A4533" w:rsidP="008A4533">
      <w:pPr>
        <w:pStyle w:val="NormalWeb"/>
        <w:ind w:left="720"/>
      </w:pPr>
      <w:r>
        <w:t>***</w:t>
      </w:r>
    </w:p>
    <w:p w14:paraId="49B06ABF" w14:textId="77777777" w:rsidR="008A4533" w:rsidRDefault="008A4533" w:rsidP="008A4533">
      <w:pPr>
        <w:pStyle w:val="NormalWeb"/>
        <w:ind w:left="720"/>
      </w:pPr>
      <w:r>
        <w:t xml:space="preserve">New Albany contends that Mr. Collier violated fire department rules and regulations by continuing to discuss the Doe incident with others despite being ordered not to do so. New Albany cites its disciplinary notice to Mr. Collier, which explained the violations and cited to department rules against disobeying orders, acting in a manner unbecoming of a firefighter, and disseminating false reports about others. New Albany uses Deputy Chief Gadd and Chief Juliot's testimony to show that Mr. Collier was held to a higher standard and should have led by example rather than aggravating the situation. Mr. Collier conceded the same points in his deposition, testifying that department practice was to treat captains' violations as more serious than firefighters' violations. According to New Albany, Mr. Collier's conduct around the Doe defeats the prima facie case and </w:t>
      </w:r>
    </w:p>
    <w:p w14:paraId="0FFBF96E" w14:textId="77777777" w:rsidR="008A4533" w:rsidRPr="00D3794E" w:rsidRDefault="008A4533" w:rsidP="008A4533">
      <w:pPr>
        <w:pStyle w:val="NormalWeb"/>
        <w:rPr>
          <w:b/>
          <w:bCs/>
        </w:rPr>
      </w:pPr>
      <w:r w:rsidRPr="00D3794E">
        <w:rPr>
          <w:b/>
          <w:bCs/>
        </w:rPr>
        <w:t>Legal Lesson Learned:</w:t>
      </w:r>
      <w:r>
        <w:rPr>
          <w:b/>
          <w:bCs/>
        </w:rPr>
        <w:t xml:space="preserve"> Captain’s acknowledged breach of a direct order resulted in his demotion. </w:t>
      </w:r>
    </w:p>
    <w:p w14:paraId="509CB4D8" w14:textId="77777777" w:rsidR="008A4533" w:rsidRDefault="008A4533" w:rsidP="008A4533">
      <w:pPr>
        <w:pStyle w:val="NormalWeb"/>
        <w:ind w:left="720"/>
      </w:pPr>
    </w:p>
    <w:p w14:paraId="20E79512" w14:textId="2FB072FA" w:rsidR="008A4533" w:rsidRDefault="008A4533" w:rsidP="00BC70A3">
      <w:pPr>
        <w:rPr>
          <w:rFonts w:ascii="Arial Black" w:hAnsi="Arial Black"/>
          <w:b/>
          <w:sz w:val="24"/>
          <w:szCs w:val="24"/>
        </w:rPr>
      </w:pPr>
    </w:p>
    <w:p w14:paraId="1F37BA83" w14:textId="7D4C02EE" w:rsidR="008A4533" w:rsidRDefault="008A4533" w:rsidP="00BC70A3">
      <w:pPr>
        <w:rPr>
          <w:rFonts w:ascii="Arial Black" w:hAnsi="Arial Black"/>
          <w:b/>
          <w:sz w:val="24"/>
          <w:szCs w:val="24"/>
        </w:rPr>
      </w:pPr>
      <w:r>
        <w:rPr>
          <w:rFonts w:ascii="Arial Black" w:hAnsi="Arial Black"/>
          <w:b/>
          <w:sz w:val="24"/>
          <w:szCs w:val="24"/>
        </w:rPr>
        <w:t>8-46</w:t>
      </w:r>
    </w:p>
    <w:p w14:paraId="7953BB02" w14:textId="77777777" w:rsidR="008A4533" w:rsidRPr="00E61C73" w:rsidRDefault="008A4533" w:rsidP="008A4533">
      <w:pPr>
        <w:pStyle w:val="ekqk"/>
        <w:rPr>
          <w:rFonts w:ascii="Arial Black" w:hAnsi="Arial Black"/>
          <w:sz w:val="28"/>
          <w:szCs w:val="28"/>
        </w:rPr>
      </w:pPr>
      <w:r>
        <w:rPr>
          <w:rFonts w:ascii="Arial Black" w:hAnsi="Arial Black"/>
          <w:sz w:val="28"/>
          <w:szCs w:val="28"/>
        </w:rPr>
        <w:t>MN:  HOSPITAL – FIRED MEDIC, IN BLACKFACE AT HALLOWEEN PARTY 15-YRS PRIOR – NEWSPAPER ARTICLE</w:t>
      </w:r>
    </w:p>
    <w:p w14:paraId="1C3A2EF8" w14:textId="77777777" w:rsidR="008A4533" w:rsidRDefault="008A4533" w:rsidP="008A4533">
      <w:pPr>
        <w:pStyle w:val="ekqk"/>
      </w:pPr>
      <w:r>
        <w:t xml:space="preserve">On Jan. 9, 2023, in </w:t>
      </w:r>
      <w:r w:rsidRPr="00E61C73">
        <w:rPr>
          <w:u w:val="single"/>
        </w:rPr>
        <w:t>Amber Brown v. Hennepin Healthcare Systems</w:t>
      </w:r>
      <w:r>
        <w:t xml:space="preserve">, the Court of Appeals of Minnesota held (3 to 0) that the Hospital had lawful right to terminate the paramedic without cause per Employee Handbook.  She has worked at the hospital since 2002, and promoted Deputy Chief of Emergency Medical Services, managing the Community Paramedic Program. On February 15, 2022, the Hospital [HHS] received an unsigned email with an attached photo depicting Brown in blackface. Brown admitted that she was in the photo and said that it had been taken 15-17 years earlier at a private Halloween party. The photo was of Brown and two others dressed up as the musical group, The Supremes. The photo had been posted on someone else's Facebook page.  On March 3, </w:t>
      </w:r>
      <w:proofErr w:type="gramStart"/>
      <w:r>
        <w:t>2022</w:t>
      </w:r>
      <w:proofErr w:type="gramEnd"/>
      <w:r>
        <w:t xml:space="preserve"> the Hospital fired Ms. Brown.</w:t>
      </w:r>
      <w:r>
        <w:rPr>
          <w:b/>
          <w:bCs/>
        </w:rPr>
        <w:t xml:space="preserve">  </w:t>
      </w:r>
      <w:r w:rsidRPr="00F3148C">
        <w:t>The Court of Appeals wrote:</w:t>
      </w:r>
      <w:r>
        <w:rPr>
          <w:b/>
          <w:bCs/>
        </w:rPr>
        <w:t xml:space="preserve"> </w:t>
      </w:r>
      <w:r>
        <w:t xml:space="preserve">Following an internal investigation, HHS decided to discharge Brown. But before HHS could inform Brown of its decision, the Star Tribune published an article about the photo titled "Hennepin Healthcare promised to address 'systemic racism.' Then came the blackface photos." The Court held that under Minnesota statute only requires HHS to create “a procedure for employees to appeal discharge decisions” and HHS did so by giving her an opportunity to appear before their Board of Directors (which she declined). “The statute does not require HHS to provide what Brown advocates-a just-cause hearing before discharge.” </w:t>
      </w:r>
      <w:hyperlink r:id="rId1603" w:history="1">
        <w:r w:rsidRPr="00346E6A">
          <w:rPr>
            <w:rStyle w:val="Hyperlink"/>
          </w:rPr>
          <w:t>https://casetext.com/case/brown-v-hennepin-healthcare-sys</w:t>
        </w:r>
      </w:hyperlink>
      <w:r>
        <w:t xml:space="preserve"> </w:t>
      </w:r>
    </w:p>
    <w:p w14:paraId="7F28A1A7" w14:textId="77777777" w:rsidR="008A4533" w:rsidRDefault="008A4533" w:rsidP="008A4533">
      <w:pPr>
        <w:pStyle w:val="NormalWeb"/>
        <w:ind w:left="720"/>
      </w:pPr>
      <w:r>
        <w:t xml:space="preserve">“It is undisputed that Brown was hired for an indefinite term. And, like the contract in </w:t>
      </w:r>
      <w:r>
        <w:rPr>
          <w:rStyle w:val="Emphasis"/>
        </w:rPr>
        <w:t>Reierson</w:t>
      </w:r>
      <w:r>
        <w:t xml:space="preserve">, the employee handbook states that ‘Employees may resign their employment with HCMC </w:t>
      </w:r>
      <w:r>
        <w:rPr>
          <w:rStyle w:val="Emphasis"/>
        </w:rPr>
        <w:t>at any time for any reason</w:t>
      </w:r>
      <w:r>
        <w:t>, and HCMC reserves the same right regarding the discontinuation of an individual's employment.’ (Emphasis added.) This record supports the determination that Brown was an at-will employee, and HHS's decision to end her employment could not be arbitrary, unreasonable, or unsupported by the evidence.”</w:t>
      </w:r>
    </w:p>
    <w:p w14:paraId="54CE8166" w14:textId="77777777" w:rsidR="008A4533" w:rsidRDefault="008A4533" w:rsidP="008A4533">
      <w:pPr>
        <w:pStyle w:val="NormalWeb"/>
        <w:rPr>
          <w:b/>
          <w:bCs/>
        </w:rPr>
      </w:pPr>
      <w:r w:rsidRPr="00C13BF4">
        <w:rPr>
          <w:b/>
          <w:bCs/>
        </w:rPr>
        <w:t xml:space="preserve">Legal Lesson Learned: </w:t>
      </w:r>
      <w:r>
        <w:rPr>
          <w:b/>
          <w:bCs/>
        </w:rPr>
        <w:t xml:space="preserve">An “at will” employee has no right in Minnesota to a </w:t>
      </w:r>
      <w:proofErr w:type="gramStart"/>
      <w:r>
        <w:rPr>
          <w:b/>
          <w:bCs/>
        </w:rPr>
        <w:t>fact finding</w:t>
      </w:r>
      <w:proofErr w:type="gramEnd"/>
      <w:r>
        <w:rPr>
          <w:b/>
          <w:bCs/>
        </w:rPr>
        <w:t xml:space="preserve"> hearing.  </w:t>
      </w:r>
    </w:p>
    <w:p w14:paraId="1146F81B" w14:textId="77777777" w:rsidR="008A4533" w:rsidRPr="00C13BF4" w:rsidRDefault="008A4533" w:rsidP="008A4533">
      <w:pPr>
        <w:pStyle w:val="NormalWeb"/>
      </w:pPr>
      <w:r>
        <w:rPr>
          <w:b/>
          <w:bCs/>
        </w:rPr>
        <w:tab/>
      </w:r>
      <w:r w:rsidRPr="00C13BF4">
        <w:t xml:space="preserve">Note: Perhaps this is the “rest of the story” </w:t>
      </w:r>
      <w:r>
        <w:t xml:space="preserve">when Court wrote: </w:t>
      </w:r>
    </w:p>
    <w:p w14:paraId="6AA8D350" w14:textId="77777777" w:rsidR="008A4533" w:rsidRDefault="008A4533" w:rsidP="008A4533">
      <w:pPr>
        <w:pStyle w:val="NormalWeb"/>
        <w:ind w:left="1440"/>
      </w:pPr>
      <w:r w:rsidRPr="00C13BF4">
        <w:t>“Following an internal investigation, HHS decided to discharge Brown. But before HHS could inform Brown of its decision, the Star Tribune published an article about the photo titled "Hennepin Healthcare promised to address 'systemic racism.' Then came the blackface photos."</w:t>
      </w:r>
    </w:p>
    <w:p w14:paraId="69BF840B" w14:textId="77777777" w:rsidR="008A4533" w:rsidRPr="00CF7C67" w:rsidRDefault="008A4533" w:rsidP="008A4533">
      <w:pPr>
        <w:pStyle w:val="Heading1"/>
        <w:ind w:left="720"/>
        <w:rPr>
          <w:b w:val="0"/>
          <w:bCs w:val="0"/>
          <w:sz w:val="24"/>
          <w:szCs w:val="24"/>
        </w:rPr>
      </w:pPr>
      <w:r>
        <w:rPr>
          <w:b w:val="0"/>
          <w:bCs w:val="0"/>
          <w:sz w:val="24"/>
          <w:szCs w:val="24"/>
        </w:rPr>
        <w:t>See this article: “</w:t>
      </w:r>
      <w:r w:rsidRPr="00CF7C67">
        <w:rPr>
          <w:b w:val="0"/>
          <w:bCs w:val="0"/>
          <w:sz w:val="24"/>
          <w:szCs w:val="24"/>
        </w:rPr>
        <w:t>Hennepin Health accused of 'deeply rooted' racism following blackface, 'excited delirium' incidents</w:t>
      </w:r>
      <w:r>
        <w:rPr>
          <w:b w:val="0"/>
          <w:bCs w:val="0"/>
          <w:sz w:val="24"/>
          <w:szCs w:val="24"/>
        </w:rPr>
        <w:t xml:space="preserve">.” </w:t>
      </w:r>
      <w:r w:rsidRPr="00CF7C67">
        <w:rPr>
          <w:b w:val="0"/>
          <w:bCs w:val="0"/>
          <w:sz w:val="24"/>
          <w:szCs w:val="24"/>
        </w:rPr>
        <w:t xml:space="preserve"> (March 4, 2022): </w:t>
      </w:r>
      <w:hyperlink r:id="rId1604" w:history="1">
        <w:r w:rsidRPr="00CF7C67">
          <w:rPr>
            <w:rStyle w:val="Hyperlink"/>
            <w:sz w:val="24"/>
            <w:szCs w:val="24"/>
          </w:rPr>
          <w:t>https://www.fiercehealthcare.com/providers/hennepin-health-accused-deeply-rooted-racism-following-blackface-excited-delirium</w:t>
        </w:r>
      </w:hyperlink>
      <w:r w:rsidRPr="00CF7C67">
        <w:rPr>
          <w:b w:val="0"/>
          <w:bCs w:val="0"/>
          <w:sz w:val="24"/>
          <w:szCs w:val="24"/>
        </w:rPr>
        <w:t xml:space="preserve"> </w:t>
      </w:r>
    </w:p>
    <w:p w14:paraId="34EE9B7C" w14:textId="40CFB87E" w:rsidR="008A4533" w:rsidRDefault="008A4533" w:rsidP="00BC70A3">
      <w:pPr>
        <w:rPr>
          <w:rFonts w:ascii="Arial Black" w:hAnsi="Arial Black"/>
          <w:b/>
          <w:sz w:val="24"/>
          <w:szCs w:val="24"/>
        </w:rPr>
      </w:pPr>
    </w:p>
    <w:p w14:paraId="7BE58872" w14:textId="77777777" w:rsidR="008A4533" w:rsidRDefault="008A4533" w:rsidP="00BC70A3">
      <w:pPr>
        <w:rPr>
          <w:rFonts w:ascii="Arial Black" w:hAnsi="Arial Black"/>
          <w:b/>
          <w:sz w:val="24"/>
          <w:szCs w:val="24"/>
        </w:rPr>
      </w:pPr>
    </w:p>
    <w:p w14:paraId="474E941B" w14:textId="19A2D2A3" w:rsidR="00B87D79" w:rsidRDefault="00B87D79" w:rsidP="00BC70A3">
      <w:pPr>
        <w:rPr>
          <w:rFonts w:ascii="Arial Black" w:hAnsi="Arial Black"/>
          <w:b/>
          <w:sz w:val="24"/>
          <w:szCs w:val="24"/>
        </w:rPr>
      </w:pPr>
      <w:r>
        <w:rPr>
          <w:rFonts w:ascii="Arial Black" w:hAnsi="Arial Black"/>
          <w:b/>
          <w:sz w:val="24"/>
          <w:szCs w:val="24"/>
        </w:rPr>
        <w:t>8-45</w:t>
      </w:r>
    </w:p>
    <w:p w14:paraId="7E89D6DE" w14:textId="77777777" w:rsidR="00B87D79" w:rsidRPr="00086749" w:rsidRDefault="00B87D79" w:rsidP="00B87D79">
      <w:pPr>
        <w:pStyle w:val="NormalWeb"/>
        <w:rPr>
          <w:rFonts w:ascii="Arial Black" w:hAnsi="Arial Black"/>
          <w:sz w:val="28"/>
          <w:szCs w:val="28"/>
        </w:rPr>
      </w:pPr>
      <w:r w:rsidRPr="00086749">
        <w:rPr>
          <w:rFonts w:ascii="Arial Black" w:hAnsi="Arial Black"/>
          <w:sz w:val="28"/>
          <w:szCs w:val="28"/>
        </w:rPr>
        <w:t>NY: FDNY EMS OFFICERS – NON-WHITE – CLAIM RACE / SEX DISCRIMINATION IN PROMOTIONS –</w:t>
      </w:r>
      <w:r>
        <w:rPr>
          <w:rFonts w:ascii="Arial Black" w:hAnsi="Arial Black"/>
          <w:sz w:val="28"/>
          <w:szCs w:val="28"/>
        </w:rPr>
        <w:t xml:space="preserve"> NO </w:t>
      </w:r>
      <w:r w:rsidRPr="00086749">
        <w:rPr>
          <w:rFonts w:ascii="Arial Black" w:hAnsi="Arial Black"/>
          <w:sz w:val="28"/>
          <w:szCs w:val="28"/>
        </w:rPr>
        <w:t xml:space="preserve">CLASS </w:t>
      </w:r>
      <w:r>
        <w:rPr>
          <w:rFonts w:ascii="Arial Black" w:hAnsi="Arial Black"/>
          <w:sz w:val="28"/>
          <w:szCs w:val="28"/>
        </w:rPr>
        <w:t>ACTION</w:t>
      </w:r>
    </w:p>
    <w:p w14:paraId="0904EC3A" w14:textId="77777777" w:rsidR="00B87D79" w:rsidRDefault="00B87D79" w:rsidP="00B87D79">
      <w:pPr>
        <w:pStyle w:val="NormalWeb"/>
      </w:pPr>
      <w:r>
        <w:t xml:space="preserve">On Nov. 22, 2022, in </w:t>
      </w:r>
      <w:r w:rsidRPr="0077015D">
        <w:rPr>
          <w:u w:val="single"/>
        </w:rPr>
        <w:t>Local 3621, EMS Officers Union, et al. v. City of New York</w:t>
      </w:r>
      <w:r>
        <w:t xml:space="preserve">, U.S. District Court Judge Lewis J. Liman, U.S. District Court, Southern District of New York, denied the plaintiffs motion in this 2018 lawsuit for class certification, since plaintiffs have failed to show a “specific employment practice” in the promotion process that is discriminatory.  “In other words, the proposed class members do not appear to have “common answer to the crucial question </w:t>
      </w:r>
      <w:r>
        <w:rPr>
          <w:rStyle w:val="Emphasis"/>
        </w:rPr>
        <w:t>why was I disfavored</w:t>
      </w:r>
      <w:r>
        <w:t xml:space="preserve">.” </w:t>
      </w:r>
    </w:p>
    <w:p w14:paraId="16776C7E" w14:textId="1CE71E00" w:rsidR="00B87D79"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“In the case at bar, Plaintiffs, however, fail to demonstrate that these specific employment practices have a discriminatory impact on a class wide basis. Instead, the evidence supports that the question of which of these specific employment practices has a discriminatory impact on an applicant is largely an individualized inquiry. As summarized in Background Section I.B.1, each of Plaintiffs' declarants submitted their own unique story, highlighting a different part of the promotional process that disfavored them: Boyd alleges that she was discriminatorily given a lower grade on her annual performance evaluation, which in turn hurt her chances for promotion…. </w:t>
      </w:r>
      <w:proofErr w:type="spellStart"/>
      <w:r w:rsidRPr="00B87D79">
        <w:rPr>
          <w:rFonts w:ascii="Times New Roman" w:hAnsi="Times New Roman"/>
          <w:sz w:val="24"/>
          <w:szCs w:val="24"/>
        </w:rPr>
        <w:t>Mascol</w:t>
      </w:r>
      <w:proofErr w:type="spellEnd"/>
      <w:r w:rsidRPr="00B87D79">
        <w:rPr>
          <w:rFonts w:ascii="Times New Roman" w:hAnsi="Times New Roman"/>
          <w:sz w:val="24"/>
          <w:szCs w:val="24"/>
        </w:rPr>
        <w:t xml:space="preserve">, on the other hand, alleges that ‘notwithstanding her credentials, she has been passed over after completing the promotion process five times before she became Captain’ as she was told during her interview that ‘she did well, but not well enough’ and ‘had been secretly removed from the list of potential candidates’ due to a disciplinary action….  </w:t>
      </w:r>
      <w:proofErr w:type="gramStart"/>
      <w:r w:rsidRPr="00B87D79">
        <w:rPr>
          <w:rFonts w:ascii="Times New Roman" w:hAnsi="Times New Roman"/>
          <w:sz w:val="24"/>
          <w:szCs w:val="24"/>
        </w:rPr>
        <w:t>And,</w:t>
      </w:r>
      <w:proofErr w:type="gramEnd"/>
      <w:r w:rsidRPr="00B87D79">
        <w:rPr>
          <w:rFonts w:ascii="Times New Roman" w:hAnsi="Times New Roman"/>
          <w:sz w:val="24"/>
          <w:szCs w:val="24"/>
        </w:rPr>
        <w:t xml:space="preserve"> Rodriguez alleges that he was unlawfully denied a promotion as he was told he </w:t>
      </w:r>
      <w:proofErr w:type="gramStart"/>
      <w:r w:rsidRPr="00B87D79">
        <w:rPr>
          <w:rFonts w:ascii="Times New Roman" w:hAnsi="Times New Roman"/>
          <w:sz w:val="24"/>
          <w:szCs w:val="24"/>
        </w:rPr>
        <w:t>‘had</w:t>
      </w:r>
      <w:proofErr w:type="gramEnd"/>
      <w:r w:rsidRPr="00B87D79">
        <w:rPr>
          <w:rFonts w:ascii="Times New Roman" w:hAnsi="Times New Roman"/>
          <w:sz w:val="24"/>
          <w:szCs w:val="24"/>
        </w:rPr>
        <w:t xml:space="preserve"> taken ‘too much' leave for a line of duty injury….” </w:t>
      </w:r>
      <w:hyperlink r:id="rId1605" w:history="1">
        <w:r w:rsidRPr="00B87D79">
          <w:rPr>
            <w:rStyle w:val="Hyperlink"/>
            <w:rFonts w:ascii="Times New Roman" w:eastAsiaTheme="majorEastAsia" w:hAnsi="Times New Roman"/>
            <w:sz w:val="24"/>
            <w:szCs w:val="24"/>
          </w:rPr>
          <w:t>https://public.fastcase.com/J%2FJP6pdidelsXxEE4k%2BLMlZWglMtowNFAELJodU5Ey8OhOeImHtUqedyG3gviX1KHWia8kZp1W6BpRYSHWWuxJPhh3XCqhBA0xYwY8ImSqA%3D?utm_medium=email&amp;_hsmi=226712652&amp;_hsenc=p2ANqtz-8Opm8993SGrvNEYVYffjIdnWwQ_39Y6IGa88rGJPHsNdF2T_bOfK_XBqNF_9dQMkZM8ini867XF3tJMXcIH4Ec_0OJdg&amp;utm_content=226712652&amp;utm_source=hs_email</w:t>
        </w:r>
      </w:hyperlink>
    </w:p>
    <w:p w14:paraId="31864655" w14:textId="77777777" w:rsidR="00B87D79" w:rsidRPr="0096016B" w:rsidRDefault="00B87D79" w:rsidP="00B87D79">
      <w:pPr>
        <w:pStyle w:val="NormalWeb"/>
        <w:rPr>
          <w:b/>
          <w:bCs/>
        </w:rPr>
      </w:pPr>
      <w:r w:rsidRPr="0096016B">
        <w:rPr>
          <w:b/>
          <w:bCs/>
        </w:rPr>
        <w:t>Legal Lesson Learned:</w:t>
      </w:r>
      <w:r>
        <w:rPr>
          <w:b/>
          <w:bCs/>
        </w:rPr>
        <w:t xml:space="preserve"> </w:t>
      </w:r>
      <w:r w:rsidRPr="0096016B">
        <w:rPr>
          <w:b/>
          <w:bCs/>
        </w:rPr>
        <w:t>Class certification requires a showing that there are questions of law or fact common to the class.</w:t>
      </w:r>
    </w:p>
    <w:p w14:paraId="6011A1E5" w14:textId="77777777" w:rsidR="00B87D79" w:rsidRDefault="00B87D79" w:rsidP="00BC70A3">
      <w:pPr>
        <w:rPr>
          <w:rFonts w:ascii="Arial Black" w:hAnsi="Arial Black"/>
          <w:b/>
          <w:sz w:val="24"/>
          <w:szCs w:val="24"/>
        </w:rPr>
      </w:pPr>
    </w:p>
    <w:p w14:paraId="74303606" w14:textId="2C94B5DD" w:rsidR="00D5141D" w:rsidRDefault="008B64DA" w:rsidP="00BC70A3">
      <w:pPr>
        <w:rPr>
          <w:rFonts w:ascii="Arial Black" w:hAnsi="Arial Black"/>
          <w:b/>
          <w:sz w:val="24"/>
          <w:szCs w:val="24"/>
        </w:rPr>
      </w:pPr>
      <w:r>
        <w:rPr>
          <w:rFonts w:ascii="Arial Black" w:hAnsi="Arial Black"/>
          <w:b/>
          <w:sz w:val="24"/>
          <w:szCs w:val="24"/>
        </w:rPr>
        <w:t>8-44</w:t>
      </w:r>
    </w:p>
    <w:p w14:paraId="2BD1256E" w14:textId="77777777" w:rsidR="008B64DA" w:rsidRPr="006E5A3A" w:rsidRDefault="008B64DA" w:rsidP="008B64D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FL: BLACK LT’s FAMILY PHOTOS DEFACED – CAPT, LT, 4 FF FIRED – FIRE CHIEF PRESS CONFERENCE – NO DEFAMATION </w:t>
      </w:r>
    </w:p>
    <w:p w14:paraId="1195A7C9" w14:textId="77777777" w:rsidR="008B64DA" w:rsidRPr="00F25F90" w:rsidRDefault="008B64DA" w:rsidP="008B64DA">
      <w:pPr>
        <w:pStyle w:val="NormalWeb"/>
      </w:pPr>
      <w:r>
        <w:t xml:space="preserve">On April 24, 2022, </w:t>
      </w:r>
      <w:r w:rsidRPr="00F25F90">
        <w:t xml:space="preserve">in </w:t>
      </w:r>
      <w:r w:rsidRPr="006E5A3A">
        <w:rPr>
          <w:u w:val="single"/>
        </w:rPr>
        <w:t>City of Miami, et al. v. David Rivera, et al.</w:t>
      </w:r>
      <w:r>
        <w:t>, the Florida Court of Appeals, Third District, held (3 to 0) that trial judge improperly denied the defense motion to dismiss the lawsuit.  “</w:t>
      </w:r>
      <w:r w:rsidRPr="00F25F90">
        <w:t xml:space="preserve">Chief </w:t>
      </w:r>
      <w:proofErr w:type="spellStart"/>
      <w:r w:rsidRPr="00F25F90">
        <w:t>Zahralban</w:t>
      </w:r>
      <w:proofErr w:type="spellEnd"/>
      <w:r w:rsidRPr="00F25F90">
        <w:t xml:space="preserve"> and the City are </w:t>
      </w:r>
      <w:proofErr w:type="gramStart"/>
      <w:r w:rsidRPr="00F25F90">
        <w:t>absolutely immune</w:t>
      </w:r>
      <w:proofErr w:type="gramEnd"/>
      <w:r w:rsidRPr="00F25F90">
        <w:t xml:space="preserve"> from suit for Chief Zahralban's written and oral statements relating to the City's termination of the Respondents as the statements were made within the scope of Chief Zahralban's duties as the director of the City's fire-rescue department. As such, the trial court departed from the essential requirements of law by denying Chief </w:t>
      </w:r>
      <w:proofErr w:type="spellStart"/>
      <w:r w:rsidRPr="00F25F90">
        <w:t>Zahralban's</w:t>
      </w:r>
      <w:proofErr w:type="spellEnd"/>
      <w:r w:rsidRPr="00F25F90">
        <w:t xml:space="preserve"> and the City's motion to dismiss on absolute immunity grounds. Accordingly, we grant the petition and quash the portion of the order denying the Petitioners' motion to dismiss the defamation counts as they are barred by absolute immunity.</w:t>
      </w:r>
      <w:r>
        <w:t xml:space="preserve">” </w:t>
      </w:r>
      <w:hyperlink r:id="rId1606" w:history="1">
        <w:r w:rsidRPr="00301464">
          <w:rPr>
            <w:rStyle w:val="Hyperlink"/>
            <w:rFonts w:eastAsiaTheme="majorEastAsia"/>
          </w:rPr>
          <w:t>https://www.courtlistener.com/opinion/7859269/city-of-miami-v-david-rivera/</w:t>
        </w:r>
      </w:hyperlink>
      <w:r>
        <w:t xml:space="preserve"> </w:t>
      </w:r>
    </w:p>
    <w:p w14:paraId="6FFF8708" w14:textId="77777777" w:rsidR="008B64DA" w:rsidRPr="00756225" w:rsidRDefault="008B64DA" w:rsidP="008B64DA">
      <w:pPr>
        <w:spacing w:before="100" w:beforeAutospacing="1" w:after="100" w:afterAutospacing="1" w:line="240" w:lineRule="auto"/>
        <w:rPr>
          <w:rFonts w:ascii="Times New Roman" w:eastAsia="Times New Roman" w:hAnsi="Times New Roman"/>
          <w:b/>
          <w:bCs/>
          <w:sz w:val="24"/>
          <w:szCs w:val="24"/>
        </w:rPr>
      </w:pPr>
      <w:r w:rsidRPr="00756225">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 conduct defacing family photos </w:t>
      </w:r>
      <w:proofErr w:type="gramStart"/>
      <w:r>
        <w:rPr>
          <w:rFonts w:ascii="Times New Roman" w:eastAsia="Times New Roman" w:hAnsi="Times New Roman"/>
          <w:b/>
          <w:bCs/>
          <w:sz w:val="24"/>
          <w:szCs w:val="24"/>
        </w:rPr>
        <w:t>is</w:t>
      </w:r>
      <w:proofErr w:type="gramEnd"/>
      <w:r>
        <w:rPr>
          <w:rFonts w:ascii="Times New Roman" w:eastAsia="Times New Roman" w:hAnsi="Times New Roman"/>
          <w:b/>
          <w:bCs/>
          <w:sz w:val="24"/>
          <w:szCs w:val="24"/>
        </w:rPr>
        <w:t xml:space="preserve"> completely unacceptable. </w:t>
      </w:r>
    </w:p>
    <w:p w14:paraId="38EC357E" w14:textId="77777777" w:rsidR="008B64DA" w:rsidRDefault="008B64DA" w:rsidP="008B64D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these press reports: </w:t>
      </w:r>
    </w:p>
    <w:p w14:paraId="58CCF8B7" w14:textId="77777777" w:rsidR="008B64DA" w:rsidRPr="00214856" w:rsidRDefault="008B64DA" w:rsidP="008B64DA">
      <w:pPr>
        <w:pStyle w:val="Heading1"/>
        <w:ind w:left="720"/>
        <w:rPr>
          <w:b w:val="0"/>
          <w:bCs w:val="0"/>
          <w:sz w:val="24"/>
          <w:szCs w:val="24"/>
        </w:rPr>
      </w:pPr>
      <w:r w:rsidRPr="00214856">
        <w:rPr>
          <w:b w:val="0"/>
          <w:bCs w:val="0"/>
          <w:sz w:val="24"/>
          <w:szCs w:val="24"/>
        </w:rPr>
        <w:t xml:space="preserve">Nov. 3, 2017: “More Miami firefighters may be fired in hanging of noose over black colleague’s family photo, officials say.” </w:t>
      </w:r>
      <w:hyperlink r:id="rId1607" w:history="1">
        <w:r w:rsidRPr="00214856">
          <w:rPr>
            <w:rStyle w:val="Hyperlink"/>
            <w:rFonts w:eastAsiaTheme="majorEastAsia"/>
            <w:b w:val="0"/>
            <w:bCs w:val="0"/>
            <w:sz w:val="24"/>
            <w:szCs w:val="24"/>
          </w:rPr>
          <w:t>https://abcnews.go.com/US/miami-firefighters-fired-hanging-noose-black-colleagues-family/story?id=50884714</w:t>
        </w:r>
      </w:hyperlink>
      <w:r w:rsidRPr="00214856">
        <w:rPr>
          <w:b w:val="0"/>
          <w:bCs w:val="0"/>
          <w:sz w:val="24"/>
          <w:szCs w:val="24"/>
        </w:rPr>
        <w:t xml:space="preserve"> </w:t>
      </w:r>
    </w:p>
    <w:p w14:paraId="6981648E" w14:textId="4A6E6B6E" w:rsidR="008B64DA" w:rsidRDefault="008B64DA" w:rsidP="008B64DA">
      <w:pPr>
        <w:rPr>
          <w:rFonts w:ascii="Arial Black" w:hAnsi="Arial Black"/>
          <w:b/>
          <w:sz w:val="24"/>
          <w:szCs w:val="24"/>
        </w:rPr>
      </w:pPr>
      <w:r w:rsidRPr="00214856">
        <w:rPr>
          <w:sz w:val="24"/>
          <w:szCs w:val="24"/>
        </w:rPr>
        <w:t xml:space="preserve">Nov. 6, 2017: “City of Miami demands media stop showing photos of 6 officers fired in racist incident.” </w:t>
      </w:r>
      <w:hyperlink r:id="rId1608" w:history="1">
        <w:r w:rsidRPr="00214856">
          <w:rPr>
            <w:rStyle w:val="Hyperlink"/>
            <w:rFonts w:eastAsiaTheme="majorEastAsia"/>
            <w:sz w:val="24"/>
            <w:szCs w:val="24"/>
          </w:rPr>
          <w:t>https://boingboing.net/2017/11/06/city-of-miami-demands-media-st.html</w:t>
        </w:r>
      </w:hyperlink>
    </w:p>
    <w:p w14:paraId="020B1A4E" w14:textId="77777777" w:rsidR="008B64DA" w:rsidRDefault="008B64DA" w:rsidP="00BC70A3">
      <w:pPr>
        <w:rPr>
          <w:rFonts w:ascii="Arial Black" w:hAnsi="Arial Black"/>
          <w:b/>
          <w:sz w:val="24"/>
          <w:szCs w:val="24"/>
        </w:rPr>
      </w:pPr>
    </w:p>
    <w:p w14:paraId="5128F2BF" w14:textId="23FB7D85" w:rsidR="00D5141D" w:rsidRDefault="00D5141D" w:rsidP="00BC70A3">
      <w:pPr>
        <w:rPr>
          <w:rFonts w:ascii="Arial Black" w:hAnsi="Arial Black"/>
          <w:b/>
          <w:sz w:val="24"/>
          <w:szCs w:val="24"/>
        </w:rPr>
      </w:pPr>
      <w:r>
        <w:rPr>
          <w:rFonts w:ascii="Arial Black" w:hAnsi="Arial Black"/>
          <w:b/>
          <w:sz w:val="24"/>
          <w:szCs w:val="24"/>
        </w:rPr>
        <w:t>8-43</w:t>
      </w:r>
    </w:p>
    <w:p w14:paraId="1211C0EC" w14:textId="77777777" w:rsidR="008B64DA" w:rsidRPr="009973F5" w:rsidRDefault="008B64DA" w:rsidP="008B64D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FL: BLACK PROBIE FF – FIRED - MET WITH CITY MANAGER WITHOUT CHAIN OF COMMAND – CASE DISMISSED</w:t>
      </w:r>
    </w:p>
    <w:p w14:paraId="78D23B4D" w14:textId="4E22D422" w:rsidR="00D5141D" w:rsidRDefault="008B64DA" w:rsidP="008B64DA">
      <w:pPr>
        <w:rPr>
          <w:rFonts w:ascii="Arial Black" w:hAnsi="Arial Black"/>
          <w:b/>
          <w:sz w:val="24"/>
          <w:szCs w:val="24"/>
        </w:rPr>
      </w:pPr>
      <w:r>
        <w:rPr>
          <w:rFonts w:ascii="Times New Roman" w:eastAsia="Times New Roman" w:hAnsi="Times New Roman"/>
          <w:sz w:val="24"/>
          <w:szCs w:val="24"/>
        </w:rPr>
        <w:t xml:space="preserve">On Aug. 18, 2022, in </w:t>
      </w:r>
      <w:r w:rsidRPr="00704447">
        <w:rPr>
          <w:rFonts w:ascii="Times New Roman" w:eastAsia="Times New Roman" w:hAnsi="Times New Roman"/>
          <w:sz w:val="24"/>
          <w:szCs w:val="24"/>
          <w:u w:val="single"/>
        </w:rPr>
        <w:t>Cindy Naraine v. City of Hollywood</w:t>
      </w:r>
      <w:r>
        <w:rPr>
          <w:rFonts w:ascii="Times New Roman" w:eastAsia="Times New Roman" w:hAnsi="Times New Roman"/>
          <w:sz w:val="24"/>
          <w:szCs w:val="24"/>
        </w:rPr>
        <w:t xml:space="preserve">, U.S. District Court Judge Rodolfo R. Ruiz II, U.S. District Court for Southern District of Florida, granted the City’s motion for summary judgment. </w:t>
      </w:r>
      <w:r w:rsidRPr="00704447">
        <w:rPr>
          <w:rFonts w:ascii="Times New Roman" w:eastAsia="Times New Roman" w:hAnsi="Times New Roman"/>
          <w:sz w:val="24"/>
          <w:szCs w:val="24"/>
        </w:rPr>
        <w:t>“</w:t>
      </w:r>
      <w:r w:rsidRPr="00704447">
        <w:rPr>
          <w:rFonts w:ascii="Times New Roman" w:hAnsi="Times New Roman"/>
          <w:sz w:val="24"/>
          <w:szCs w:val="24"/>
        </w:rPr>
        <w:t> Importantly, the Court notes the following undisputed facts. Plaintiff never witnessed any act of discrimination against any employee of the Fire Department</w:t>
      </w:r>
      <w:r>
        <w:rPr>
          <w:rFonts w:ascii="Times New Roman" w:hAnsi="Times New Roman"/>
          <w:sz w:val="24"/>
          <w:szCs w:val="24"/>
        </w:rPr>
        <w:t xml:space="preserve">…. </w:t>
      </w:r>
      <w:r w:rsidRPr="00704447">
        <w:rPr>
          <w:rFonts w:ascii="Times New Roman" w:hAnsi="Times New Roman"/>
          <w:sz w:val="24"/>
          <w:szCs w:val="24"/>
        </w:rPr>
        <w:t>Plaintiff was never subject to a racist remark while working at the Fire Department</w:t>
      </w:r>
      <w:r>
        <w:rPr>
          <w:rFonts w:ascii="Times New Roman" w:hAnsi="Times New Roman"/>
          <w:sz w:val="24"/>
          <w:szCs w:val="24"/>
        </w:rPr>
        <w:t>….</w:t>
      </w:r>
      <w:r w:rsidRPr="00704447">
        <w:rPr>
          <w:rFonts w:ascii="Times New Roman" w:hAnsi="Times New Roman"/>
          <w:sz w:val="24"/>
          <w:szCs w:val="24"/>
        </w:rPr>
        <w:t xml:space="preserve"> Nobody ever said anything disparaging to Plaintiff based on her race</w:t>
      </w:r>
      <w:r>
        <w:rPr>
          <w:rFonts w:ascii="Times New Roman" w:hAnsi="Times New Roman"/>
          <w:sz w:val="24"/>
          <w:szCs w:val="24"/>
        </w:rPr>
        <w:t xml:space="preserve">…. </w:t>
      </w:r>
      <w:r w:rsidRPr="00704447">
        <w:rPr>
          <w:rFonts w:ascii="Times New Roman" w:hAnsi="Times New Roman"/>
          <w:sz w:val="24"/>
          <w:szCs w:val="24"/>
        </w:rPr>
        <w:t>Plaintiff was never the subject of a sexist comment while working at the Fire Department</w:t>
      </w:r>
      <w:r>
        <w:rPr>
          <w:rFonts w:ascii="Times New Roman" w:hAnsi="Times New Roman"/>
          <w:sz w:val="24"/>
          <w:szCs w:val="24"/>
        </w:rPr>
        <w:t xml:space="preserve">…. </w:t>
      </w:r>
      <w:r w:rsidRPr="00704447">
        <w:rPr>
          <w:rFonts w:ascii="Times New Roman" w:hAnsi="Times New Roman"/>
          <w:sz w:val="24"/>
          <w:szCs w:val="24"/>
        </w:rPr>
        <w:t>Neither Chief Jurado nor Deputy Chief Garcia ever made a disparaging comment about Plaintiff</w:t>
      </w:r>
      <w:r>
        <w:rPr>
          <w:rFonts w:ascii="Times New Roman" w:hAnsi="Times New Roman"/>
          <w:sz w:val="24"/>
          <w:szCs w:val="24"/>
        </w:rPr>
        <w:t xml:space="preserve">…. </w:t>
      </w:r>
      <w:r w:rsidRPr="00704447">
        <w:rPr>
          <w:rFonts w:ascii="Times New Roman" w:hAnsi="Times New Roman"/>
          <w:sz w:val="24"/>
          <w:szCs w:val="24"/>
        </w:rPr>
        <w:t>Neither Chief Jurado or Deputy Chief Garcia ever discussed disciplining an employee for racial reasons</w:t>
      </w:r>
      <w:r>
        <w:rPr>
          <w:rFonts w:ascii="Times New Roman" w:hAnsi="Times New Roman"/>
          <w:sz w:val="24"/>
          <w:szCs w:val="24"/>
        </w:rPr>
        <w:t>….</w:t>
      </w:r>
      <w:r w:rsidRPr="00704447">
        <w:rPr>
          <w:rFonts w:ascii="Times New Roman" w:hAnsi="Times New Roman"/>
          <w:sz w:val="24"/>
          <w:szCs w:val="24"/>
        </w:rPr>
        <w:t xml:space="preserve"> In sum, the undisputed facts sharply undermine any notion that the </w:t>
      </w:r>
      <w:r>
        <w:rPr>
          <w:rFonts w:ascii="Times New Roman" w:hAnsi="Times New Roman"/>
          <w:sz w:val="24"/>
          <w:szCs w:val="24"/>
        </w:rPr>
        <w:t>‘</w:t>
      </w:r>
      <w:r w:rsidRPr="00704447">
        <w:rPr>
          <w:rFonts w:ascii="Times New Roman" w:hAnsi="Times New Roman"/>
          <w:sz w:val="24"/>
          <w:szCs w:val="24"/>
        </w:rPr>
        <w:t>real</w:t>
      </w:r>
      <w:r>
        <w:rPr>
          <w:rFonts w:ascii="Times New Roman" w:hAnsi="Times New Roman"/>
          <w:sz w:val="24"/>
          <w:szCs w:val="24"/>
        </w:rPr>
        <w:t>’</w:t>
      </w:r>
      <w:r w:rsidRPr="00704447">
        <w:rPr>
          <w:rFonts w:ascii="Times New Roman" w:hAnsi="Times New Roman"/>
          <w:sz w:val="24"/>
          <w:szCs w:val="24"/>
        </w:rPr>
        <w:t xml:space="preserve"> reason Plaintiff was fired was discriminatory in </w:t>
      </w:r>
      <w:proofErr w:type="gramStart"/>
      <w:r w:rsidRPr="00704447">
        <w:rPr>
          <w:rFonts w:ascii="Times New Roman" w:hAnsi="Times New Roman"/>
          <w:sz w:val="24"/>
          <w:szCs w:val="24"/>
        </w:rPr>
        <w:t>nature.</w:t>
      </w:r>
      <w:r>
        <w:rPr>
          <w:rFonts w:ascii="Times New Roman" w:hAnsi="Times New Roman"/>
          <w:sz w:val="24"/>
          <w:szCs w:val="24"/>
        </w:rPr>
        <w:t>”</w:t>
      </w:r>
      <w:proofErr w:type="gramEnd"/>
      <w:r>
        <w:rPr>
          <w:rFonts w:ascii="Times New Roman" w:hAnsi="Times New Roman"/>
          <w:sz w:val="24"/>
          <w:szCs w:val="24"/>
        </w:rPr>
        <w:t xml:space="preserve"> </w:t>
      </w:r>
      <w:hyperlink r:id="rId1609" w:history="1">
        <w:r w:rsidRPr="005E2F1B">
          <w:rPr>
            <w:rStyle w:val="Hyperlink"/>
            <w:rFonts w:ascii="Times New Roman" w:hAnsi="Times New Roman"/>
          </w:rPr>
          <w:t>https://public.fastcase.com/J%2FJP6pdidelsXxEE4k%2BLMvlYUX0ZAhRbseqqFnL4gi3bRwNf0Z9RCieiQ7wPaXcpaaE7aExMc6ouwIyWJC8qizoR4DyeCOueQnsNxsVE1Ec%3D</w:t>
        </w:r>
      </w:hyperlink>
    </w:p>
    <w:p w14:paraId="19BA0D4F" w14:textId="77777777" w:rsidR="008B64DA" w:rsidRPr="00B06F8C" w:rsidRDefault="008B64DA" w:rsidP="008B64DA">
      <w:pPr>
        <w:spacing w:before="100" w:beforeAutospacing="1" w:after="100" w:afterAutospacing="1" w:line="240" w:lineRule="auto"/>
        <w:rPr>
          <w:rFonts w:ascii="Times New Roman" w:eastAsia="Times New Roman" w:hAnsi="Times New Roman"/>
          <w:b/>
          <w:bCs/>
          <w:sz w:val="24"/>
          <w:szCs w:val="24"/>
        </w:rPr>
      </w:pPr>
      <w:r w:rsidRPr="00B06F8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Chain of command is important concept in a paramilitary organization. </w:t>
      </w:r>
    </w:p>
    <w:p w14:paraId="24E3831D" w14:textId="77777777" w:rsidR="00D5141D" w:rsidRDefault="00D5141D" w:rsidP="00BC70A3">
      <w:pPr>
        <w:rPr>
          <w:rFonts w:ascii="Arial Black" w:hAnsi="Arial Black"/>
          <w:b/>
          <w:sz w:val="24"/>
          <w:szCs w:val="24"/>
        </w:rPr>
      </w:pPr>
    </w:p>
    <w:p w14:paraId="24764F38" w14:textId="77777777" w:rsidR="00D5141D" w:rsidRDefault="00D5141D" w:rsidP="00BC70A3">
      <w:pPr>
        <w:rPr>
          <w:rFonts w:ascii="Arial Black" w:hAnsi="Arial Black"/>
          <w:b/>
          <w:sz w:val="24"/>
          <w:szCs w:val="24"/>
        </w:rPr>
      </w:pPr>
    </w:p>
    <w:p w14:paraId="19A00563" w14:textId="4729AA47" w:rsidR="00D5141D" w:rsidRDefault="00D5141D" w:rsidP="00BC70A3">
      <w:pPr>
        <w:rPr>
          <w:rFonts w:ascii="Arial Black" w:hAnsi="Arial Black"/>
          <w:b/>
          <w:sz w:val="24"/>
          <w:szCs w:val="24"/>
        </w:rPr>
      </w:pPr>
      <w:r>
        <w:rPr>
          <w:rFonts w:ascii="Arial Black" w:hAnsi="Arial Black"/>
          <w:b/>
          <w:sz w:val="24"/>
          <w:szCs w:val="24"/>
        </w:rPr>
        <w:t>8-42</w:t>
      </w:r>
    </w:p>
    <w:p w14:paraId="02B60654" w14:textId="77777777" w:rsidR="00D5141D" w:rsidRPr="00614CE9" w:rsidRDefault="00D5141D" w:rsidP="00D5141D">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CT: BLACK FF – ANONYMOUS CALLS, LOCKER BROKEN INTO - ISOLATED INCIDENTS - NOT HOSTILE WORKPLACE  </w:t>
      </w:r>
    </w:p>
    <w:p w14:paraId="1C1D7E10" w14:textId="77777777" w:rsidR="00D5141D" w:rsidRPr="00BF45A4" w:rsidRDefault="00D5141D" w:rsidP="00D5141D">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Aug. 16, 2022, in </w:t>
      </w:r>
      <w:r w:rsidRPr="00A06B91">
        <w:rPr>
          <w:rFonts w:ascii="Times New Roman" w:hAnsi="Times New Roman"/>
          <w:sz w:val="24"/>
          <w:szCs w:val="24"/>
          <w:u w:val="single"/>
        </w:rPr>
        <w:t>Tony Milledge v. City of Hartford</w:t>
      </w:r>
      <w:r>
        <w:rPr>
          <w:rFonts w:ascii="Times New Roman" w:hAnsi="Times New Roman"/>
          <w:sz w:val="24"/>
          <w:szCs w:val="24"/>
        </w:rPr>
        <w:t>, U.S. District Court Judge Jeffrey A. Meyer, U.S. District Court for District of Connecticut granted the City’s motion for summary judgement.  The Court wrote: “</w:t>
      </w:r>
      <w:r w:rsidRPr="00614CE9">
        <w:rPr>
          <w:rFonts w:ascii="Times New Roman" w:eastAsia="Times New Roman" w:hAnsi="Times New Roman"/>
          <w:sz w:val="24"/>
          <w:szCs w:val="24"/>
        </w:rPr>
        <w:t xml:space="preserve">The problem for Milledge is that the only evidence of racial animus he has offered is the string of racist anonymous calls he received. But Milledge has not shown that </w:t>
      </w:r>
      <w:r>
        <w:rPr>
          <w:rFonts w:ascii="Times New Roman" w:eastAsia="Times New Roman" w:hAnsi="Times New Roman"/>
          <w:sz w:val="24"/>
          <w:szCs w:val="24"/>
        </w:rPr>
        <w:t>‘</w:t>
      </w:r>
      <w:r w:rsidRPr="00614CE9">
        <w:rPr>
          <w:rFonts w:ascii="Times New Roman" w:eastAsia="Times New Roman" w:hAnsi="Times New Roman"/>
          <w:sz w:val="24"/>
          <w:szCs w:val="24"/>
        </w:rPr>
        <w:t xml:space="preserve">a specific basis exists for </w:t>
      </w:r>
      <w:proofErr w:type="gramStart"/>
      <w:r w:rsidRPr="00614CE9">
        <w:rPr>
          <w:rFonts w:ascii="Times New Roman" w:eastAsia="Times New Roman" w:hAnsi="Times New Roman"/>
          <w:sz w:val="24"/>
          <w:szCs w:val="24"/>
        </w:rPr>
        <w:t>imputing</w:t>
      </w:r>
      <w:proofErr w:type="gramEnd"/>
      <w:r w:rsidRPr="00614CE9">
        <w:rPr>
          <w:rFonts w:ascii="Times New Roman" w:eastAsia="Times New Roman" w:hAnsi="Times New Roman"/>
          <w:sz w:val="24"/>
          <w:szCs w:val="24"/>
        </w:rPr>
        <w:t xml:space="preserve"> the conduct that created the hostile environment to the employer.</w:t>
      </w:r>
      <w:r>
        <w:rPr>
          <w:rFonts w:ascii="Times New Roman" w:eastAsia="Times New Roman" w:hAnsi="Times New Roman"/>
          <w:sz w:val="24"/>
          <w:szCs w:val="24"/>
        </w:rPr>
        <w:t>’</w:t>
      </w:r>
      <w:r w:rsidRPr="00614CE9">
        <w:rPr>
          <w:rFonts w:ascii="Times New Roman" w:eastAsia="Times New Roman" w:hAnsi="Times New Roman"/>
          <w:sz w:val="24"/>
          <w:szCs w:val="24"/>
        </w:rPr>
        <w:t xml:space="preserve"> </w:t>
      </w:r>
      <w:r w:rsidRPr="00614CE9">
        <w:rPr>
          <w:rFonts w:ascii="Times New Roman" w:eastAsia="Times New Roman" w:hAnsi="Times New Roman"/>
          <w:i/>
          <w:iCs/>
          <w:sz w:val="24"/>
          <w:szCs w:val="24"/>
        </w:rPr>
        <w:t>Schaper v. Bronx Lebanon Hosp. Ctr.</w:t>
      </w:r>
      <w:r w:rsidRPr="00614CE9">
        <w:rPr>
          <w:rFonts w:ascii="Times New Roman" w:eastAsia="Times New Roman" w:hAnsi="Times New Roman"/>
          <w:sz w:val="24"/>
          <w:szCs w:val="24"/>
        </w:rPr>
        <w:t xml:space="preserve">, 408 F.Supp.3d 379, 397 (S.D.N.Y. 2019) (quoting </w:t>
      </w:r>
      <w:r w:rsidRPr="00614CE9">
        <w:rPr>
          <w:rFonts w:ascii="Times New Roman" w:eastAsia="Times New Roman" w:hAnsi="Times New Roman"/>
          <w:i/>
          <w:iCs/>
          <w:sz w:val="24"/>
          <w:szCs w:val="24"/>
        </w:rPr>
        <w:t>Schwapp v. Town of Avon</w:t>
      </w:r>
      <w:r w:rsidRPr="00614CE9">
        <w:rPr>
          <w:rFonts w:ascii="Times New Roman" w:eastAsia="Times New Roman" w:hAnsi="Times New Roman"/>
          <w:sz w:val="24"/>
          <w:szCs w:val="24"/>
        </w:rPr>
        <w:t xml:space="preserve">, 118 F.3d 106, 110 (2d Cir. 1997)). Because Milledge has not offered any evidence to show that these anonymous calls were made by or at the behest of his fellow firefighters, there is simply “no evidence that [Hartford] had any control over or permitted the anonymous caller[s] to make such calls.” </w:t>
      </w:r>
      <w:proofErr w:type="spellStart"/>
      <w:r w:rsidRPr="00614CE9">
        <w:rPr>
          <w:rFonts w:ascii="Times New Roman" w:eastAsia="Times New Roman" w:hAnsi="Times New Roman"/>
          <w:i/>
          <w:iCs/>
          <w:sz w:val="24"/>
          <w:szCs w:val="24"/>
        </w:rPr>
        <w:t>Katzev</w:t>
      </w:r>
      <w:proofErr w:type="spellEnd"/>
      <w:r w:rsidRPr="00614CE9">
        <w:rPr>
          <w:rFonts w:ascii="Times New Roman" w:eastAsia="Times New Roman" w:hAnsi="Times New Roman"/>
          <w:i/>
          <w:iCs/>
          <w:sz w:val="24"/>
          <w:szCs w:val="24"/>
        </w:rPr>
        <w:t xml:space="preserve"> v. Retail Brand All., Inc.</w:t>
      </w:r>
      <w:r w:rsidRPr="00614CE9">
        <w:rPr>
          <w:rFonts w:ascii="Times New Roman" w:eastAsia="Times New Roman" w:hAnsi="Times New Roman"/>
          <w:sz w:val="24"/>
          <w:szCs w:val="24"/>
        </w:rPr>
        <w:t xml:space="preserve">, 2010 WL 2836159, at *4 (S.D.N.Y. 2010); </w:t>
      </w:r>
      <w:r w:rsidRPr="00614CE9">
        <w:rPr>
          <w:rFonts w:ascii="Times New Roman" w:eastAsia="Times New Roman" w:hAnsi="Times New Roman"/>
          <w:i/>
          <w:iCs/>
          <w:sz w:val="24"/>
          <w:szCs w:val="24"/>
        </w:rPr>
        <w:t xml:space="preserve">see also Tyson v. </w:t>
      </w:r>
      <w:proofErr w:type="spellStart"/>
      <w:r w:rsidRPr="00614CE9">
        <w:rPr>
          <w:rFonts w:ascii="Times New Roman" w:eastAsia="Times New Roman" w:hAnsi="Times New Roman"/>
          <w:i/>
          <w:iCs/>
          <w:sz w:val="24"/>
          <w:szCs w:val="24"/>
        </w:rPr>
        <w:t>Dep't</w:t>
      </w:r>
      <w:proofErr w:type="spellEnd"/>
      <w:r w:rsidRPr="00614CE9">
        <w:rPr>
          <w:rFonts w:ascii="Times New Roman" w:eastAsia="Times New Roman" w:hAnsi="Times New Roman"/>
          <w:i/>
          <w:iCs/>
          <w:sz w:val="24"/>
          <w:szCs w:val="24"/>
        </w:rPr>
        <w:t xml:space="preserve"> of Energy &amp; Env't Prot.</w:t>
      </w:r>
      <w:r w:rsidRPr="00614CE9">
        <w:rPr>
          <w:rFonts w:ascii="Times New Roman" w:eastAsia="Times New Roman" w:hAnsi="Times New Roman"/>
          <w:sz w:val="24"/>
          <w:szCs w:val="24"/>
        </w:rPr>
        <w:t xml:space="preserve">, 2021 WL 4895898, at *1 (D. Conn. 2021) (dismissing hostile work environment claim involving allegations that someone put a hangman's noose by plaintiff's workspace where there was no allegation that the employer knew or was responsible). </w:t>
      </w:r>
      <w:r>
        <w:rPr>
          <w:rFonts w:ascii="Times New Roman" w:eastAsia="Times New Roman" w:hAnsi="Times New Roman"/>
          <w:sz w:val="24"/>
          <w:szCs w:val="24"/>
        </w:rPr>
        <w:t xml:space="preserve"> *** </w:t>
      </w:r>
      <w:r w:rsidRPr="00BF45A4">
        <w:rPr>
          <w:rFonts w:ascii="Times New Roman" w:hAnsi="Times New Roman"/>
          <w:sz w:val="24"/>
          <w:szCs w:val="24"/>
        </w:rPr>
        <w:t>Nor does Milledge claim to have reported other anonymous misconduct such as his 2019 locker break-in to his supervisors or human resources. Consequently, even assuming that Milledge was subject to a racially hostile work environment, there is no genuine fact issue to show that the City was aware of, yet negligent in failing to remedy, the misconduct of its employees.</w:t>
      </w:r>
      <w:r>
        <w:rPr>
          <w:rFonts w:ascii="Times New Roman" w:hAnsi="Times New Roman"/>
          <w:sz w:val="24"/>
          <w:szCs w:val="24"/>
        </w:rPr>
        <w:t xml:space="preserve">” </w:t>
      </w:r>
      <w:hyperlink r:id="rId1610" w:history="1">
        <w:r w:rsidRPr="00696C47">
          <w:rPr>
            <w:rStyle w:val="Hyperlink"/>
            <w:rFonts w:ascii="Times New Roman" w:hAnsi="Times New Roman"/>
          </w:rPr>
          <w:t>https://public.fastcase.com/J%2FJP6pdidelsXxEE4k%2BLMk9lGZyD2KG1SaKKnXCNSDrJ6FT2zCg0RErRpvbDUp%2FnT1MfNEdoSlzLl4b4xQ1JtBz9n9NoggrYwpv0z6IMwm8%3D</w:t>
        </w:r>
      </w:hyperlink>
      <w:r>
        <w:rPr>
          <w:rFonts w:ascii="Times New Roman" w:hAnsi="Times New Roman"/>
          <w:sz w:val="24"/>
          <w:szCs w:val="24"/>
        </w:rPr>
        <w:t xml:space="preserve"> </w:t>
      </w:r>
    </w:p>
    <w:p w14:paraId="617885C7" w14:textId="77777777" w:rsidR="00D5141D" w:rsidRPr="00AD7FAD" w:rsidRDefault="00D5141D" w:rsidP="00D5141D">
      <w:pPr>
        <w:pStyle w:val="NormalWeb"/>
        <w:rPr>
          <w:b/>
          <w:bCs/>
        </w:rPr>
      </w:pPr>
      <w:r w:rsidRPr="00AD7FAD">
        <w:rPr>
          <w:b/>
          <w:bCs/>
        </w:rPr>
        <w:t xml:space="preserve">Legal Lesson Learned: “Isolated incidents” </w:t>
      </w:r>
      <w:r>
        <w:rPr>
          <w:b/>
          <w:bCs/>
        </w:rPr>
        <w:t xml:space="preserve">generally will </w:t>
      </w:r>
      <w:r w:rsidRPr="00AD7FAD">
        <w:rPr>
          <w:b/>
          <w:bCs/>
        </w:rPr>
        <w:t xml:space="preserve">not establish hostile work atmosphere. </w:t>
      </w:r>
    </w:p>
    <w:p w14:paraId="266B700A" w14:textId="77777777" w:rsidR="00D5141D" w:rsidRDefault="00D5141D" w:rsidP="00BC70A3">
      <w:pPr>
        <w:rPr>
          <w:rFonts w:ascii="Arial Black" w:hAnsi="Arial Black"/>
          <w:b/>
          <w:sz w:val="24"/>
          <w:szCs w:val="24"/>
        </w:rPr>
      </w:pPr>
    </w:p>
    <w:p w14:paraId="0A9DD223" w14:textId="77777777" w:rsidR="00D5141D" w:rsidRDefault="00D5141D" w:rsidP="00BC70A3">
      <w:pPr>
        <w:rPr>
          <w:rFonts w:ascii="Arial Black" w:hAnsi="Arial Black"/>
          <w:b/>
          <w:sz w:val="24"/>
          <w:szCs w:val="24"/>
        </w:rPr>
      </w:pPr>
    </w:p>
    <w:p w14:paraId="41506294" w14:textId="2AFB6D53" w:rsidR="006C4BDE" w:rsidRDefault="00240D3F" w:rsidP="00BC70A3">
      <w:pPr>
        <w:rPr>
          <w:rFonts w:ascii="Arial Black" w:hAnsi="Arial Black"/>
          <w:b/>
          <w:sz w:val="24"/>
          <w:szCs w:val="24"/>
        </w:rPr>
      </w:pPr>
      <w:r>
        <w:rPr>
          <w:rFonts w:ascii="Arial Black" w:hAnsi="Arial Black"/>
          <w:b/>
          <w:sz w:val="24"/>
          <w:szCs w:val="24"/>
        </w:rPr>
        <w:t>8-41</w:t>
      </w:r>
    </w:p>
    <w:p w14:paraId="51D75F8B" w14:textId="77777777" w:rsidR="00240D3F" w:rsidRPr="00231752" w:rsidRDefault="00240D3F" w:rsidP="00240D3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MA: RESIDENCY ORDINANCE NOT ENFORCED – 2 BLACK OFFICERS LIVE CITY – CASE PROCEED, NOT CLASS ACTION </w:t>
      </w:r>
    </w:p>
    <w:p w14:paraId="4E793BD3" w14:textId="77777777" w:rsidR="00240D3F"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14, 2022, in </w:t>
      </w:r>
      <w:r w:rsidRPr="00231752">
        <w:rPr>
          <w:rFonts w:ascii="Times New Roman" w:hAnsi="Times New Roman"/>
          <w:sz w:val="24"/>
          <w:szCs w:val="24"/>
          <w:u w:val="single"/>
        </w:rPr>
        <w:t>Marc Savage and Randolph Blake v. The City of Springfield, et al.</w:t>
      </w:r>
      <w:r>
        <w:rPr>
          <w:rFonts w:ascii="Times New Roman" w:hAnsi="Times New Roman"/>
          <w:sz w:val="24"/>
          <w:szCs w:val="24"/>
        </w:rPr>
        <w:t>, U.S. Magistrate Judge Katherine A. Robertson denied plaintiffs’ motion for class action, but their individual lawsuit claims will now procced to pre-trial discovery</w:t>
      </w:r>
      <w:r w:rsidRPr="00805B29">
        <w:rPr>
          <w:rFonts w:ascii="Times New Roman" w:hAnsi="Times New Roman"/>
          <w:sz w:val="24"/>
          <w:szCs w:val="24"/>
        </w:rPr>
        <w:t xml:space="preserve">.  </w:t>
      </w:r>
      <w:r>
        <w:rPr>
          <w:rFonts w:ascii="Times New Roman" w:hAnsi="Times New Roman"/>
          <w:sz w:val="24"/>
          <w:szCs w:val="24"/>
        </w:rPr>
        <w:t xml:space="preserve">Marc Savage [now retired District Chief} had been on FD for 39 years, and lifelong resident of the city; Randolph Blake [now Captain] has been on FD for 30 years and a life-long resident of the city. The U.S. Magistrate Judge declined to certify class action. “[T]he </w:t>
      </w:r>
      <w:r w:rsidRPr="00C727F0">
        <w:rPr>
          <w:rFonts w:ascii="Times New Roman" w:hAnsi="Times New Roman"/>
          <w:sz w:val="24"/>
          <w:szCs w:val="24"/>
        </w:rPr>
        <w:t>court finds that Plaintiffs' calculation of fifty putative class members is insufficiently supported.</w:t>
      </w:r>
      <w:r>
        <w:rPr>
          <w:rFonts w:ascii="Times New Roman" w:hAnsi="Times New Roman"/>
          <w:sz w:val="24"/>
          <w:szCs w:val="24"/>
        </w:rPr>
        <w:t>”  U.S. Magistrate Judge also referenced the Massachusetts Superior Court decision in denying the class action: “G</w:t>
      </w:r>
      <w:r w:rsidRPr="00464C1C">
        <w:rPr>
          <w:rFonts w:ascii="Times New Roman" w:hAnsi="Times New Roman"/>
          <w:sz w:val="24"/>
          <w:szCs w:val="24"/>
        </w:rPr>
        <w:t>iving these rulings the preclusive effect to which they are entitled, this court cannot strike any Fire Department employee from the City's payroll and there is no basis for freezing promotion eligibility lists until the time that such a purge has taken place.</w:t>
      </w:r>
      <w:r>
        <w:rPr>
          <w:rFonts w:ascii="Times New Roman" w:hAnsi="Times New Roman"/>
          <w:sz w:val="24"/>
          <w:szCs w:val="24"/>
        </w:rPr>
        <w:t xml:space="preserve">” </w:t>
      </w:r>
      <w:hyperlink r:id="rId1611" w:history="1">
        <w:r w:rsidRPr="00CA2357">
          <w:rPr>
            <w:rStyle w:val="Hyperlink"/>
            <w:rFonts w:ascii="Times New Roman" w:hAnsi="Times New Roman"/>
            <w:sz w:val="24"/>
            <w:szCs w:val="24"/>
          </w:rPr>
          <w:t>https://public.fastcase.com/J%2FJP6pdidelsXxEE4k%2BLMkGcJRI5fEIWTRrrr5g307eiV2fonCWWxfQ8%2FgFOC0SXeLTzITpIpaPKGCBs2ZuJTAu1fIsNckzREaOIJEOyjuU%3D</w:t>
        </w:r>
      </w:hyperlink>
      <w:r>
        <w:rPr>
          <w:rFonts w:ascii="Times New Roman" w:hAnsi="Times New Roman"/>
          <w:sz w:val="24"/>
          <w:szCs w:val="24"/>
        </w:rPr>
        <w:t xml:space="preserve"> </w:t>
      </w:r>
    </w:p>
    <w:p w14:paraId="76B324A8" w14:textId="77777777" w:rsidR="00240D3F" w:rsidRDefault="00240D3F" w:rsidP="00240D3F">
      <w:pPr>
        <w:pStyle w:val="Heading1"/>
        <w:rPr>
          <w:sz w:val="24"/>
          <w:szCs w:val="24"/>
        </w:rPr>
      </w:pPr>
      <w:r w:rsidRPr="007B199E">
        <w:rPr>
          <w:sz w:val="24"/>
          <w:szCs w:val="24"/>
        </w:rPr>
        <w:t xml:space="preserve">Legal Lesson Learned: </w:t>
      </w:r>
      <w:r>
        <w:rPr>
          <w:sz w:val="24"/>
          <w:szCs w:val="24"/>
        </w:rPr>
        <w:t xml:space="preserve">Residency ordinances can be difficult to enforce, particularly when Collective Bargaining Agreements have different provisions. </w:t>
      </w:r>
    </w:p>
    <w:p w14:paraId="51924AC0" w14:textId="77777777" w:rsidR="00240D3F" w:rsidRDefault="00240D3F" w:rsidP="00240D3F">
      <w:pPr>
        <w:pStyle w:val="Heading1"/>
        <w:ind w:left="720"/>
        <w:rPr>
          <w:b w:val="0"/>
          <w:bCs w:val="0"/>
          <w:sz w:val="24"/>
          <w:szCs w:val="24"/>
        </w:rPr>
      </w:pPr>
      <w:r w:rsidRPr="00C84BEA">
        <w:rPr>
          <w:b w:val="0"/>
          <w:bCs w:val="0"/>
          <w:sz w:val="24"/>
          <w:szCs w:val="24"/>
        </w:rPr>
        <w:t xml:space="preserve">Note: </w:t>
      </w:r>
      <w:r>
        <w:rPr>
          <w:b w:val="0"/>
          <w:bCs w:val="0"/>
          <w:sz w:val="24"/>
          <w:szCs w:val="24"/>
        </w:rPr>
        <w:t xml:space="preserve"> </w:t>
      </w:r>
      <w:r w:rsidRPr="00C84BEA">
        <w:rPr>
          <w:b w:val="0"/>
          <w:bCs w:val="0"/>
          <w:sz w:val="24"/>
          <w:szCs w:val="24"/>
        </w:rPr>
        <w:t xml:space="preserve">For example, in 2018 the District Fire Chiefs union agreed that newly promoted District Chief must move into the city within one year of promotion. See also May 15, </w:t>
      </w:r>
      <w:proofErr w:type="gramStart"/>
      <w:r w:rsidRPr="00C84BEA">
        <w:rPr>
          <w:b w:val="0"/>
          <w:bCs w:val="0"/>
          <w:sz w:val="24"/>
          <w:szCs w:val="24"/>
        </w:rPr>
        <w:t>2018</w:t>
      </w:r>
      <w:proofErr w:type="gramEnd"/>
      <w:r w:rsidRPr="00C84BEA">
        <w:rPr>
          <w:b w:val="0"/>
          <w:bCs w:val="0"/>
          <w:sz w:val="24"/>
          <w:szCs w:val="24"/>
        </w:rPr>
        <w:t xml:space="preserve"> article, “Divided Springfield City Council approves long-contested district fire </w:t>
      </w:r>
      <w:proofErr w:type="gramStart"/>
      <w:r w:rsidRPr="00C84BEA">
        <w:rPr>
          <w:b w:val="0"/>
          <w:bCs w:val="0"/>
          <w:sz w:val="24"/>
          <w:szCs w:val="24"/>
        </w:rPr>
        <w:t>chiefs</w:t>
      </w:r>
      <w:proofErr w:type="gramEnd"/>
      <w:r w:rsidRPr="00C84BEA">
        <w:rPr>
          <w:b w:val="0"/>
          <w:bCs w:val="0"/>
          <w:sz w:val="24"/>
          <w:szCs w:val="24"/>
        </w:rPr>
        <w:t xml:space="preserve"> contract with residency clause.” </w:t>
      </w:r>
      <w:hyperlink r:id="rId1612" w:history="1">
        <w:r w:rsidRPr="00C84BEA">
          <w:rPr>
            <w:rStyle w:val="Hyperlink"/>
            <w:rFonts w:eastAsiaTheme="majorEastAsia"/>
            <w:b w:val="0"/>
            <w:bCs w:val="0"/>
            <w:sz w:val="24"/>
            <w:szCs w:val="24"/>
          </w:rPr>
          <w:t>https://www.masslive.com/news/2018/05/springfield_city_council_appro_79.html</w:t>
        </w:r>
      </w:hyperlink>
      <w:r w:rsidRPr="00C84BEA">
        <w:rPr>
          <w:rStyle w:val="Hyperlink"/>
          <w:rFonts w:eastAsiaTheme="majorEastAsia"/>
          <w:b w:val="0"/>
          <w:bCs w:val="0"/>
          <w:sz w:val="24"/>
          <w:szCs w:val="24"/>
        </w:rPr>
        <w:t xml:space="preserve">. </w:t>
      </w:r>
      <w:r w:rsidRPr="00C84BEA">
        <w:rPr>
          <w:b w:val="0"/>
          <w:bCs w:val="0"/>
          <w:sz w:val="24"/>
          <w:szCs w:val="24"/>
        </w:rPr>
        <w:t xml:space="preserve">See </w:t>
      </w:r>
    </w:p>
    <w:p w14:paraId="744A7C31" w14:textId="77777777" w:rsidR="00240D3F" w:rsidRPr="00C84BEA" w:rsidRDefault="00240D3F" w:rsidP="00240D3F">
      <w:pPr>
        <w:pStyle w:val="Heading1"/>
        <w:ind w:left="720"/>
        <w:rPr>
          <w:b w:val="0"/>
          <w:bCs w:val="0"/>
          <w:color w:val="0563C1" w:themeColor="hyperlink"/>
          <w:sz w:val="24"/>
          <w:szCs w:val="24"/>
          <w:u w:val="single"/>
        </w:rPr>
      </w:pPr>
      <w:r>
        <w:rPr>
          <w:b w:val="0"/>
          <w:bCs w:val="0"/>
          <w:sz w:val="24"/>
          <w:szCs w:val="24"/>
        </w:rPr>
        <w:t>Also see M</w:t>
      </w:r>
      <w:r w:rsidRPr="00C84BEA">
        <w:rPr>
          <w:b w:val="0"/>
          <w:bCs w:val="0"/>
          <w:sz w:val="24"/>
          <w:szCs w:val="24"/>
        </w:rPr>
        <w:t xml:space="preserve">ay 14, </w:t>
      </w:r>
      <w:proofErr w:type="gramStart"/>
      <w:r w:rsidRPr="00C84BEA">
        <w:rPr>
          <w:b w:val="0"/>
          <w:bCs w:val="0"/>
          <w:sz w:val="24"/>
          <w:szCs w:val="24"/>
        </w:rPr>
        <w:t>2018</w:t>
      </w:r>
      <w:proofErr w:type="gramEnd"/>
      <w:r w:rsidRPr="00C84BEA">
        <w:rPr>
          <w:b w:val="0"/>
          <w:bCs w:val="0"/>
          <w:sz w:val="24"/>
          <w:szCs w:val="24"/>
        </w:rPr>
        <w:t xml:space="preserve"> </w:t>
      </w:r>
      <w:r>
        <w:rPr>
          <w:b w:val="0"/>
          <w:bCs w:val="0"/>
          <w:sz w:val="24"/>
          <w:szCs w:val="24"/>
        </w:rPr>
        <w:t xml:space="preserve">Press Article from </w:t>
      </w:r>
      <w:r w:rsidRPr="00C84BEA">
        <w:rPr>
          <w:b w:val="0"/>
          <w:bCs w:val="0"/>
          <w:sz w:val="24"/>
          <w:szCs w:val="24"/>
        </w:rPr>
        <w:t xml:space="preserve">District Chief Vince Neffinger, President of the Springfield Fire Chiefs Association. “Time is now to approve contract for Springfield district fire chiefs (Guest viewpoint).”  </w:t>
      </w:r>
      <w:hyperlink r:id="rId1613" w:history="1">
        <w:r w:rsidRPr="00C84BEA">
          <w:rPr>
            <w:rStyle w:val="Hyperlink"/>
            <w:rFonts w:eastAsiaTheme="majorEastAsia"/>
            <w:b w:val="0"/>
            <w:bCs w:val="0"/>
            <w:sz w:val="24"/>
            <w:szCs w:val="24"/>
          </w:rPr>
          <w:t>https://www.masslive.com/opinion/2018/05/time_is_now_to_approve_contrac.html</w:t>
        </w:r>
      </w:hyperlink>
    </w:p>
    <w:p w14:paraId="688B58D6" w14:textId="77777777" w:rsidR="00240D3F" w:rsidRDefault="00240D3F" w:rsidP="00240D3F">
      <w:pPr>
        <w:spacing w:before="100" w:beforeAutospacing="1" w:after="100" w:afterAutospacing="1" w:line="240" w:lineRule="auto"/>
        <w:ind w:left="720"/>
        <w:rPr>
          <w:rStyle w:val="Hyperlink"/>
          <w:rFonts w:ascii="Times New Roman" w:hAnsi="Times New Roman"/>
          <w:sz w:val="24"/>
          <w:szCs w:val="24"/>
        </w:rPr>
      </w:pPr>
      <w:r>
        <w:rPr>
          <w:rFonts w:ascii="Times New Roman" w:hAnsi="Times New Roman"/>
          <w:sz w:val="24"/>
          <w:szCs w:val="24"/>
        </w:rPr>
        <w:t xml:space="preserve">Note:  </w:t>
      </w:r>
      <w:r w:rsidRPr="00491E8D">
        <w:rPr>
          <w:rFonts w:ascii="Times New Roman" w:hAnsi="Times New Roman"/>
          <w:sz w:val="24"/>
          <w:szCs w:val="24"/>
        </w:rPr>
        <w:t xml:space="preserve">In Ohio, </w:t>
      </w:r>
      <w:r>
        <w:rPr>
          <w:rFonts w:ascii="Times New Roman" w:hAnsi="Times New Roman"/>
          <w:sz w:val="24"/>
          <w:szCs w:val="24"/>
        </w:rPr>
        <w:t xml:space="preserve">the </w:t>
      </w:r>
      <w:r w:rsidRPr="00491E8D">
        <w:rPr>
          <w:rFonts w:ascii="Times New Roman" w:hAnsi="Times New Roman"/>
          <w:sz w:val="24"/>
          <w:szCs w:val="24"/>
        </w:rPr>
        <w:t xml:space="preserve">Ohio General Assembly in 2016 enacted a statute that set aside all city residency requirements. In 2019, it was upheld by Ohio Supreme Court. </w:t>
      </w:r>
      <w:r w:rsidRPr="00605F1D">
        <w:rPr>
          <w:rFonts w:ascii="Times New Roman" w:hAnsi="Times New Roman"/>
          <w:sz w:val="24"/>
          <w:szCs w:val="24"/>
          <w:u w:val="single"/>
        </w:rPr>
        <w:t>Lima v. State</w:t>
      </w:r>
      <w:r>
        <w:rPr>
          <w:rFonts w:ascii="Times New Roman" w:hAnsi="Times New Roman"/>
          <w:sz w:val="24"/>
          <w:szCs w:val="24"/>
        </w:rPr>
        <w:t xml:space="preserve">, </w:t>
      </w:r>
      <w:hyperlink r:id="rId1614" w:history="1">
        <w:r w:rsidRPr="00507312">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Firefighters and police can be required to reside in the county or the adjoining county. Ohio Revised Code, </w:t>
      </w:r>
      <w:r w:rsidRPr="00491E8D">
        <w:rPr>
          <w:rFonts w:ascii="Times New Roman" w:hAnsi="Times New Roman"/>
          <w:sz w:val="24"/>
          <w:szCs w:val="24"/>
        </w:rPr>
        <w:t xml:space="preserve">Section 9.481 </w:t>
      </w:r>
      <w:r w:rsidRPr="00491E8D">
        <w:rPr>
          <w:rStyle w:val="codes-separator"/>
          <w:rFonts w:ascii="Times New Roman" w:hAnsi="Times New Roman"/>
          <w:sz w:val="24"/>
          <w:szCs w:val="24"/>
        </w:rPr>
        <w:t>|</w:t>
      </w:r>
      <w:r w:rsidRPr="00491E8D">
        <w:rPr>
          <w:rFonts w:ascii="Times New Roman" w:hAnsi="Times New Roman"/>
          <w:sz w:val="24"/>
          <w:szCs w:val="24"/>
        </w:rPr>
        <w:t xml:space="preserve"> Residency requirements prohibited for certain employees: </w:t>
      </w:r>
      <w:hyperlink r:id="rId1615" w:history="1">
        <w:r w:rsidRPr="00491E8D">
          <w:rPr>
            <w:rStyle w:val="Hyperlink"/>
            <w:rFonts w:ascii="Times New Roman" w:hAnsi="Times New Roman"/>
            <w:sz w:val="24"/>
            <w:szCs w:val="24"/>
          </w:rPr>
          <w:t>https://codes.ohio.gov/ohio-revised-code/section-9.481</w:t>
        </w:r>
      </w:hyperlink>
    </w:p>
    <w:p w14:paraId="583DB1B5" w14:textId="77777777" w:rsidR="00240D3F" w:rsidRDefault="00240D3F" w:rsidP="00BC70A3">
      <w:pPr>
        <w:rPr>
          <w:rFonts w:ascii="Arial Black" w:hAnsi="Arial Black"/>
          <w:b/>
          <w:sz w:val="24"/>
          <w:szCs w:val="24"/>
        </w:rPr>
      </w:pPr>
    </w:p>
    <w:p w14:paraId="5C689C35" w14:textId="074479C2" w:rsidR="006C4BDE" w:rsidRDefault="006C4BDE" w:rsidP="00BC70A3">
      <w:pPr>
        <w:rPr>
          <w:rFonts w:ascii="Arial Black" w:hAnsi="Arial Black"/>
          <w:b/>
          <w:sz w:val="24"/>
          <w:szCs w:val="24"/>
        </w:rPr>
      </w:pPr>
      <w:r>
        <w:rPr>
          <w:rFonts w:ascii="Arial Black" w:hAnsi="Arial Black"/>
          <w:b/>
          <w:sz w:val="24"/>
          <w:szCs w:val="24"/>
        </w:rPr>
        <w:t>8-40</w:t>
      </w:r>
    </w:p>
    <w:p w14:paraId="720190C9" w14:textId="77777777" w:rsidR="006C4BDE" w:rsidRDefault="006C4BDE" w:rsidP="006C4BDE">
      <w:pPr>
        <w:spacing w:before="100" w:beforeAutospacing="1" w:after="100" w:afterAutospacing="1" w:line="240" w:lineRule="auto"/>
        <w:rPr>
          <w:rFonts w:ascii="Arial Black" w:hAnsi="Arial Black"/>
          <w:sz w:val="28"/>
          <w:szCs w:val="28"/>
        </w:rPr>
      </w:pPr>
      <w:r w:rsidRPr="008532E8">
        <w:rPr>
          <w:rFonts w:ascii="Arial Black" w:hAnsi="Arial Black"/>
          <w:sz w:val="28"/>
          <w:szCs w:val="28"/>
        </w:rPr>
        <w:t>IL:</w:t>
      </w:r>
      <w:r>
        <w:rPr>
          <w:rFonts w:ascii="Arial Black" w:hAnsi="Arial Black"/>
          <w:sz w:val="28"/>
          <w:szCs w:val="28"/>
        </w:rPr>
        <w:t xml:space="preserve"> WHITE FF “REVERSE DISCRIMINATION” CASE DISMISSED – 3</w:t>
      </w:r>
      <w:r w:rsidRPr="00A16CE4">
        <w:rPr>
          <w:rFonts w:ascii="Arial Black" w:hAnsi="Arial Black"/>
          <w:sz w:val="28"/>
          <w:szCs w:val="28"/>
          <w:vertAlign w:val="superscript"/>
        </w:rPr>
        <w:t>rd</w:t>
      </w:r>
      <w:r>
        <w:rPr>
          <w:rFonts w:ascii="Arial Black" w:hAnsi="Arial Black"/>
          <w:sz w:val="28"/>
          <w:szCs w:val="28"/>
        </w:rPr>
        <w:t xml:space="preserve"> SHIFT CAPTAIN ROTATED 2 MORE DRIVERS TRUCK 19</w:t>
      </w:r>
    </w:p>
    <w:p w14:paraId="411C6688" w14:textId="77777777" w:rsidR="006C4BDE" w:rsidRDefault="006C4BDE" w:rsidP="006C4BD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12, 2022, in </w:t>
      </w:r>
      <w:r w:rsidRPr="00BD5375">
        <w:rPr>
          <w:rFonts w:ascii="Times New Roman" w:hAnsi="Times New Roman"/>
          <w:sz w:val="24"/>
          <w:szCs w:val="24"/>
          <w:u w:val="single"/>
        </w:rPr>
        <w:t>David Stieglitz v. City of Chicago</w:t>
      </w:r>
      <w:r>
        <w:rPr>
          <w:rFonts w:ascii="Times New Roman" w:hAnsi="Times New Roman"/>
          <w:sz w:val="24"/>
          <w:szCs w:val="24"/>
        </w:rPr>
        <w:t xml:space="preserve">, the U.S. Court of Appeals for Seventh Circuit (located in Chicago) held (3 to 0) that trial court properly dismissed his lawsuit; his Captain (Black) wanted two additional drivers (Black) rotating on Truck 19 during his third shift. Plaintiff was the only white firefighter on his shift; firefighters paid </w:t>
      </w:r>
      <w:r w:rsidRPr="00420051">
        <w:rPr>
          <w:rFonts w:ascii="Times New Roman" w:hAnsi="Times New Roman"/>
          <w:sz w:val="24"/>
          <w:szCs w:val="24"/>
        </w:rPr>
        <w:t xml:space="preserve">$2.18 per hour </w:t>
      </w:r>
      <w:r>
        <w:rPr>
          <w:rFonts w:ascii="Times New Roman" w:hAnsi="Times New Roman"/>
          <w:sz w:val="24"/>
          <w:szCs w:val="24"/>
        </w:rPr>
        <w:t xml:space="preserve">bonus </w:t>
      </w:r>
      <w:r w:rsidRPr="00420051">
        <w:rPr>
          <w:rFonts w:ascii="Times New Roman" w:hAnsi="Times New Roman"/>
          <w:sz w:val="24"/>
          <w:szCs w:val="24"/>
        </w:rPr>
        <w:t>on shifts when they are assigned as drivers.</w:t>
      </w:r>
      <w:r>
        <w:rPr>
          <w:rFonts w:ascii="Times New Roman" w:hAnsi="Times New Roman"/>
          <w:sz w:val="24"/>
          <w:szCs w:val="24"/>
        </w:rPr>
        <w:t xml:space="preserve"> Plaintiff filed an internal complaint, and Internal Affairs determined that 35 Chicago firefighters, including plaintiff, lacked required training certification to drive this truck per new General Order, and FD ordered that he not drive without the certification. He was suspended for only seven shifts (he only lost $350 in driver bonuses) when FD later decided he was “grandfathered” and didn’t need the certification.  </w:t>
      </w:r>
      <w:hyperlink r:id="rId1616" w:history="1">
        <w:r w:rsidRPr="008E101B">
          <w:rPr>
            <w:rStyle w:val="Hyperlink"/>
            <w:rFonts w:ascii="Times New Roman" w:hAnsi="Times New Roman"/>
            <w:sz w:val="24"/>
            <w:szCs w:val="24"/>
          </w:rPr>
          <w:t>http://media.ca7.uscourts.gov/cgi-bin/rssExec.pl?Submit=Display&amp;Path=Y2022/D07-12/C:21-2784:J:PerCuriam:aut:T:npDp:N:2902357:S:0</w:t>
        </w:r>
      </w:hyperlink>
    </w:p>
    <w:p w14:paraId="489A0091" w14:textId="77777777" w:rsidR="006C4BDE" w:rsidRPr="0048357F" w:rsidRDefault="006C4BDE" w:rsidP="006C4BDE">
      <w:pPr>
        <w:spacing w:before="100" w:beforeAutospacing="1" w:after="100" w:afterAutospacing="1" w:line="240" w:lineRule="auto"/>
        <w:rPr>
          <w:rFonts w:ascii="Times New Roman" w:eastAsia="Times New Roman" w:hAnsi="Times New Roman"/>
          <w:b/>
          <w:bCs/>
          <w:sz w:val="24"/>
          <w:szCs w:val="24"/>
        </w:rPr>
      </w:pPr>
      <w:r w:rsidRPr="00D0339D">
        <w:rPr>
          <w:rFonts w:ascii="Times New Roman" w:hAnsi="Times New Roman"/>
          <w:b/>
          <w:bCs/>
          <w:sz w:val="24"/>
          <w:szCs w:val="24"/>
        </w:rPr>
        <w:t>Legal Lesson Learned:</w:t>
      </w:r>
      <w:r>
        <w:rPr>
          <w:rFonts w:ascii="Times New Roman" w:hAnsi="Times New Roman"/>
          <w:b/>
          <w:bCs/>
          <w:sz w:val="24"/>
          <w:szCs w:val="24"/>
        </w:rPr>
        <w:t xml:space="preserve"> To prove race discrimination, a white firefighter needs more than mere “inference” that Captain favored Black firefighters as drivers.   It is, frankly, hard to believe this lawsuit was ever filed, </w:t>
      </w:r>
    </w:p>
    <w:p w14:paraId="571495DD" w14:textId="77777777" w:rsidR="006C4BDE" w:rsidRDefault="006C4BDE" w:rsidP="006C4BD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Note: Listen to Oral Argument before 7</w:t>
      </w:r>
      <w:r w:rsidRPr="00036CDB">
        <w:rPr>
          <w:rFonts w:ascii="Times New Roman" w:hAnsi="Times New Roman"/>
          <w:sz w:val="24"/>
          <w:szCs w:val="24"/>
          <w:vertAlign w:val="superscript"/>
        </w:rPr>
        <w:t>th</w:t>
      </w:r>
      <w:r>
        <w:rPr>
          <w:rFonts w:ascii="Times New Roman" w:hAnsi="Times New Roman"/>
          <w:sz w:val="24"/>
          <w:szCs w:val="24"/>
        </w:rPr>
        <w:t xml:space="preserve"> Circuit – the judges were particularly questionable of plaintiff’s claim. </w:t>
      </w:r>
      <w:hyperlink r:id="rId1617" w:history="1">
        <w:r w:rsidRPr="00AB6D79">
          <w:rPr>
            <w:rStyle w:val="Hyperlink"/>
            <w:rFonts w:ascii="Times New Roman" w:hAnsi="Times New Roman"/>
            <w:sz w:val="24"/>
            <w:szCs w:val="24"/>
          </w:rPr>
          <w:t>http://media.ca7.uscourts.gov/sound/external/mm.21-2784.21-2784_07_07_2022.mp3</w:t>
        </w:r>
      </w:hyperlink>
      <w:r>
        <w:rPr>
          <w:rFonts w:ascii="Times New Roman" w:hAnsi="Times New Roman"/>
          <w:sz w:val="24"/>
          <w:szCs w:val="24"/>
        </w:rPr>
        <w:t xml:space="preserve"> </w:t>
      </w:r>
    </w:p>
    <w:p w14:paraId="384D6004" w14:textId="77777777" w:rsidR="006C4BDE" w:rsidRDefault="006C4BDE" w:rsidP="00BC70A3">
      <w:pPr>
        <w:rPr>
          <w:rFonts w:ascii="Arial Black" w:hAnsi="Arial Black"/>
          <w:b/>
          <w:sz w:val="24"/>
          <w:szCs w:val="24"/>
        </w:rPr>
      </w:pPr>
    </w:p>
    <w:p w14:paraId="69A055D1" w14:textId="43E2A055" w:rsidR="006C4BDE" w:rsidRDefault="006C4BDE" w:rsidP="00BC70A3">
      <w:pPr>
        <w:rPr>
          <w:rFonts w:ascii="Arial Black" w:hAnsi="Arial Black"/>
          <w:b/>
          <w:sz w:val="24"/>
          <w:szCs w:val="24"/>
        </w:rPr>
      </w:pPr>
      <w:r>
        <w:rPr>
          <w:rFonts w:ascii="Arial Black" w:hAnsi="Arial Black"/>
          <w:b/>
          <w:sz w:val="24"/>
          <w:szCs w:val="24"/>
        </w:rPr>
        <w:t>8-39</w:t>
      </w:r>
    </w:p>
    <w:p w14:paraId="3937E996" w14:textId="77777777" w:rsidR="006C4BDE"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TX: PROBATIONARY FF FIRED – FAILED TESTING AT STATION 8 – NO PROOF WHITE TREATED MORE FAVORABLY</w:t>
      </w:r>
    </w:p>
    <w:p w14:paraId="3108F476" w14:textId="77777777" w:rsidR="006C4BDE" w:rsidRPr="005E294B" w:rsidRDefault="006C4BDE" w:rsidP="006C4BDE">
      <w:pPr>
        <w:spacing w:before="100" w:beforeAutospacing="1" w:after="100" w:afterAutospacing="1" w:line="240" w:lineRule="auto"/>
        <w:rPr>
          <w:rFonts w:ascii="Times New Roman" w:hAnsi="Times New Roman"/>
          <w:sz w:val="24"/>
          <w:szCs w:val="24"/>
        </w:rPr>
      </w:pPr>
      <w:r w:rsidRPr="00A448A7">
        <w:rPr>
          <w:rFonts w:ascii="Times New Roman" w:hAnsi="Times New Roman"/>
          <w:sz w:val="24"/>
          <w:szCs w:val="24"/>
        </w:rPr>
        <w:t xml:space="preserve">On July 12, 2022, in </w:t>
      </w:r>
      <w:r w:rsidRPr="00A448A7">
        <w:rPr>
          <w:rFonts w:ascii="Times New Roman" w:hAnsi="Times New Roman"/>
          <w:sz w:val="24"/>
          <w:szCs w:val="24"/>
          <w:u w:val="single"/>
        </w:rPr>
        <w:t>The City of Houston v. Madison T. Garner</w:t>
      </w:r>
      <w:r w:rsidRPr="00A448A7">
        <w:rPr>
          <w:rFonts w:ascii="Times New Roman" w:hAnsi="Times New Roman"/>
          <w:sz w:val="24"/>
          <w:szCs w:val="24"/>
        </w:rPr>
        <w:t>, the City took an immediate appeal, and the Court of Appeals</w:t>
      </w:r>
      <w:r>
        <w:rPr>
          <w:rFonts w:ascii="Times New Roman" w:hAnsi="Times New Roman"/>
          <w:sz w:val="24"/>
          <w:szCs w:val="24"/>
        </w:rPr>
        <w:t xml:space="preserve"> of Texas, Fourteenth District, held (3 to 0) t</w:t>
      </w:r>
      <w:r w:rsidRPr="00A448A7">
        <w:rPr>
          <w:rFonts w:ascii="Times New Roman" w:hAnsi="Times New Roman"/>
          <w:sz w:val="24"/>
          <w:szCs w:val="24"/>
        </w:rPr>
        <w:t>hat trial court should have granted defense motion for summary judgment.  Plaintiff</w:t>
      </w:r>
      <w:r>
        <w:rPr>
          <w:rFonts w:ascii="Times New Roman" w:hAnsi="Times New Roman"/>
          <w:sz w:val="24"/>
          <w:szCs w:val="24"/>
        </w:rPr>
        <w:t xml:space="preserve"> graduated from the Training Academy, and while at Station 8 he had another year as probationary firefighter and </w:t>
      </w:r>
      <w:r w:rsidRPr="00D55070">
        <w:rPr>
          <w:rFonts w:ascii="Times New Roman" w:hAnsi="Times New Roman"/>
          <w:sz w:val="24"/>
          <w:szCs w:val="24"/>
        </w:rPr>
        <w:t>failed the Turnout Performance Standard.</w:t>
      </w:r>
      <w:r>
        <w:rPr>
          <w:rFonts w:ascii="Times New Roman" w:hAnsi="Times New Roman"/>
          <w:sz w:val="24"/>
          <w:szCs w:val="24"/>
        </w:rPr>
        <w:t xml:space="preserve"> He </w:t>
      </w:r>
      <w:r w:rsidRPr="00A448A7">
        <w:rPr>
          <w:rFonts w:ascii="Times New Roman" w:hAnsi="Times New Roman"/>
          <w:sz w:val="24"/>
          <w:szCs w:val="24"/>
        </w:rPr>
        <w:t>claim</w:t>
      </w:r>
      <w:r>
        <w:rPr>
          <w:rFonts w:ascii="Times New Roman" w:hAnsi="Times New Roman"/>
          <w:sz w:val="24"/>
          <w:szCs w:val="24"/>
        </w:rPr>
        <w:t>ed</w:t>
      </w:r>
      <w:r w:rsidRPr="00A448A7">
        <w:rPr>
          <w:rFonts w:ascii="Times New Roman" w:hAnsi="Times New Roman"/>
          <w:sz w:val="24"/>
          <w:szCs w:val="24"/>
        </w:rPr>
        <w:t xml:space="preserve"> there were about five other probationary FF at Station </w:t>
      </w:r>
      <w:proofErr w:type="gramStart"/>
      <w:r w:rsidRPr="00A448A7">
        <w:rPr>
          <w:rFonts w:ascii="Times New Roman" w:hAnsi="Times New Roman"/>
          <w:sz w:val="24"/>
          <w:szCs w:val="24"/>
        </w:rPr>
        <w:t>8, but</w:t>
      </w:r>
      <w:proofErr w:type="gramEnd"/>
      <w:r w:rsidRPr="00A448A7">
        <w:rPr>
          <w:rFonts w:ascii="Times New Roman" w:hAnsi="Times New Roman"/>
          <w:sz w:val="24"/>
          <w:szCs w:val="24"/>
        </w:rPr>
        <w:t xml:space="preserve"> </w:t>
      </w:r>
      <w:r>
        <w:rPr>
          <w:rFonts w:ascii="Times New Roman" w:hAnsi="Times New Roman"/>
          <w:sz w:val="24"/>
          <w:szCs w:val="24"/>
        </w:rPr>
        <w:t>failed to provide any evidence that “</w:t>
      </w:r>
      <w:r w:rsidRPr="00A448A7">
        <w:rPr>
          <w:rFonts w:ascii="Times New Roman" w:hAnsi="Times New Roman"/>
          <w:sz w:val="24"/>
          <w:szCs w:val="24"/>
        </w:rPr>
        <w:t xml:space="preserve">those outside his protected class </w:t>
      </w:r>
      <w:r>
        <w:rPr>
          <w:rFonts w:ascii="Times New Roman" w:hAnsi="Times New Roman"/>
          <w:sz w:val="24"/>
          <w:szCs w:val="24"/>
        </w:rPr>
        <w:t xml:space="preserve">[white FF] </w:t>
      </w:r>
      <w:r w:rsidRPr="00A448A7">
        <w:rPr>
          <w:rFonts w:ascii="Times New Roman" w:hAnsi="Times New Roman"/>
          <w:sz w:val="24"/>
          <w:szCs w:val="24"/>
        </w:rPr>
        <w:t>were treated more favorably</w:t>
      </w:r>
      <w:r>
        <w:rPr>
          <w:rFonts w:ascii="Times New Roman" w:hAnsi="Times New Roman"/>
          <w:sz w:val="24"/>
          <w:szCs w:val="24"/>
        </w:rPr>
        <w:t xml:space="preserve">.” He also complained of various incidents at Training Academy and at Station 8 that create a hostile work atmosphere, but taking all into consideration, he has </w:t>
      </w:r>
      <w:r w:rsidRPr="005E294B">
        <w:rPr>
          <w:rFonts w:ascii="Times New Roman" w:hAnsi="Times New Roman"/>
          <w:sz w:val="24"/>
          <w:szCs w:val="24"/>
        </w:rPr>
        <w:t xml:space="preserve">not shown that the acts were </w:t>
      </w:r>
      <w:r>
        <w:rPr>
          <w:rFonts w:ascii="Times New Roman" w:hAnsi="Times New Roman"/>
          <w:sz w:val="24"/>
          <w:szCs w:val="24"/>
        </w:rPr>
        <w:t>“</w:t>
      </w:r>
      <w:r w:rsidRPr="005E294B">
        <w:rPr>
          <w:rFonts w:ascii="Times New Roman" w:hAnsi="Times New Roman"/>
          <w:sz w:val="24"/>
          <w:szCs w:val="24"/>
        </w:rPr>
        <w:t>sufficiently severe or pervasive to alter the conditions of [his] employment and create an abusive working environment.</w:t>
      </w:r>
      <w:r>
        <w:rPr>
          <w:rFonts w:ascii="Times New Roman" w:hAnsi="Times New Roman"/>
          <w:sz w:val="24"/>
          <w:szCs w:val="24"/>
        </w:rPr>
        <w:t>” For example, while at the Training Academy his training Captain had him move a pallet of bricks about 40 feet for punishment for not having shaved close enough; but “</w:t>
      </w:r>
      <w:r w:rsidRPr="00721939">
        <w:rPr>
          <w:rFonts w:ascii="Times New Roman" w:hAnsi="Times New Roman"/>
          <w:sz w:val="24"/>
          <w:szCs w:val="24"/>
        </w:rPr>
        <w:t>another individual who was not African American was also told to move bricks at the same time as Garner for not shaving as well.</w:t>
      </w:r>
      <w:r>
        <w:rPr>
          <w:rFonts w:ascii="Times New Roman" w:hAnsi="Times New Roman"/>
          <w:sz w:val="24"/>
          <w:szCs w:val="24"/>
        </w:rPr>
        <w:t xml:space="preserve">” </w:t>
      </w:r>
      <w:hyperlink r:id="rId1618" w:history="1">
        <w:r w:rsidRPr="0019682E">
          <w:rPr>
            <w:rStyle w:val="Hyperlink"/>
            <w:rFonts w:ascii="Times New Roman" w:hAnsi="Times New Roman"/>
            <w:sz w:val="24"/>
            <w:szCs w:val="24"/>
          </w:rPr>
          <w:t>https://law.justia.com/cases/texas/fourteenth-court-of-appeals/2022/14-20-00688-cv.html</w:t>
        </w:r>
      </w:hyperlink>
      <w:r>
        <w:rPr>
          <w:rFonts w:ascii="Times New Roman" w:hAnsi="Times New Roman"/>
          <w:sz w:val="24"/>
          <w:szCs w:val="24"/>
        </w:rPr>
        <w:t xml:space="preserve"> </w:t>
      </w:r>
    </w:p>
    <w:p w14:paraId="512DD48F" w14:textId="2B036F38" w:rsidR="006C4BDE" w:rsidRPr="00E815F4" w:rsidRDefault="00A40065" w:rsidP="006C4BD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w:t>
      </w:r>
      <w:r w:rsidR="006C4BDE" w:rsidRPr="00D55070">
        <w:rPr>
          <w:rFonts w:ascii="Times New Roman" w:eastAsia="Times New Roman" w:hAnsi="Times New Roman"/>
          <w:b/>
          <w:bCs/>
          <w:sz w:val="24"/>
          <w:szCs w:val="24"/>
        </w:rPr>
        <w:t xml:space="preserve">egal Lesson Learned: </w:t>
      </w:r>
      <w:r w:rsidR="006C4BDE">
        <w:rPr>
          <w:rFonts w:ascii="Times New Roman" w:eastAsia="Times New Roman" w:hAnsi="Times New Roman"/>
          <w:b/>
          <w:bCs/>
          <w:sz w:val="24"/>
          <w:szCs w:val="24"/>
        </w:rPr>
        <w:t xml:space="preserve">No proof that White probationary FF treated more fairly. </w:t>
      </w:r>
    </w:p>
    <w:p w14:paraId="0AFDD894" w14:textId="77777777" w:rsidR="006C4BDE" w:rsidRDefault="006C4BDE" w:rsidP="00BC70A3">
      <w:pPr>
        <w:rPr>
          <w:rFonts w:ascii="Arial Black" w:hAnsi="Arial Black"/>
          <w:b/>
          <w:sz w:val="24"/>
          <w:szCs w:val="24"/>
        </w:rPr>
      </w:pPr>
    </w:p>
    <w:p w14:paraId="475A2664" w14:textId="77777777" w:rsidR="006C4BDE" w:rsidRDefault="006C4BDE" w:rsidP="00BC70A3">
      <w:pPr>
        <w:rPr>
          <w:rFonts w:ascii="Arial Black" w:hAnsi="Arial Black"/>
          <w:b/>
          <w:sz w:val="24"/>
          <w:szCs w:val="24"/>
        </w:rPr>
      </w:pPr>
    </w:p>
    <w:p w14:paraId="6BE3D359" w14:textId="4709359A" w:rsidR="0002742E" w:rsidRDefault="0002742E" w:rsidP="00BC70A3">
      <w:pPr>
        <w:rPr>
          <w:rFonts w:ascii="Arial Black" w:hAnsi="Arial Black"/>
          <w:b/>
          <w:sz w:val="24"/>
          <w:szCs w:val="24"/>
        </w:rPr>
      </w:pPr>
      <w:r>
        <w:rPr>
          <w:rFonts w:ascii="Arial Black" w:hAnsi="Arial Black"/>
          <w:b/>
          <w:sz w:val="24"/>
          <w:szCs w:val="24"/>
        </w:rPr>
        <w:t>8-38</w:t>
      </w:r>
    </w:p>
    <w:p w14:paraId="5B45A74A" w14:textId="77777777" w:rsidR="0002742E" w:rsidRPr="00FE1E86"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AFRICAN AMERICAN NOT HIRED CINCINNATI FD – FELON - 2005 WHEN FF/EMT CONV.  DRUG TRAFFICKING  </w:t>
      </w:r>
    </w:p>
    <w:p w14:paraId="1A2FB859" w14:textId="77777777" w:rsidR="0002742E" w:rsidRPr="00D52001" w:rsidRDefault="0002742E" w:rsidP="0002742E">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May 7, 2022, in </w:t>
      </w:r>
      <w:r w:rsidRPr="00FE1E86">
        <w:rPr>
          <w:rFonts w:ascii="Times New Roman" w:eastAsia="Times New Roman" w:hAnsi="Times New Roman"/>
          <w:sz w:val="24"/>
          <w:szCs w:val="24"/>
          <w:u w:val="single"/>
        </w:rPr>
        <w:t>Layne Rice v. City of Cincinnati</w:t>
      </w:r>
      <w:r>
        <w:rPr>
          <w:rFonts w:ascii="Times New Roman" w:eastAsia="Times New Roman" w:hAnsi="Times New Roman"/>
          <w:sz w:val="24"/>
          <w:szCs w:val="24"/>
        </w:rPr>
        <w:t xml:space="preserve">, 538 F. Supp.3d 800, U.S. District Court Judge William O. Bertelsmann, U.S. District Court for Southern District of Ohio (Western Division) granted the City’s motion for summary judgment. </w:t>
      </w:r>
      <w:r w:rsidRPr="009E0FDF">
        <w:rPr>
          <w:rFonts w:ascii="Times New Roman" w:hAnsi="Times New Roman"/>
          <w:sz w:val="24"/>
          <w:szCs w:val="24"/>
        </w:rPr>
        <w:t xml:space="preserve">Rice only challenges the </w:t>
      </w:r>
      <w:r>
        <w:rPr>
          <w:rFonts w:ascii="Times New Roman" w:hAnsi="Times New Roman"/>
          <w:sz w:val="24"/>
          <w:szCs w:val="24"/>
        </w:rPr>
        <w:t>felony-no-hire-</w:t>
      </w:r>
      <w:r w:rsidRPr="009E0FDF">
        <w:rPr>
          <w:rFonts w:ascii="Times New Roman" w:hAnsi="Times New Roman"/>
          <w:sz w:val="24"/>
          <w:szCs w:val="24"/>
        </w:rPr>
        <w:t>policy for the 2015 and 2018 application periods because that is when he passed all portions of the exam to qualify as a candidate and had his felony conviction. In 1999, Rice was not hired, even before his felony conviction. Rice also concedes that he did not pass all portions of the exam in 2012.</w:t>
      </w:r>
      <w:r>
        <w:rPr>
          <w:rFonts w:ascii="Times New Roman" w:hAnsi="Times New Roman"/>
          <w:sz w:val="24"/>
          <w:szCs w:val="24"/>
        </w:rPr>
        <w:t xml:space="preserve"> </w:t>
      </w:r>
      <w:r>
        <w:rPr>
          <w:rFonts w:ascii="Times New Roman" w:eastAsia="Times New Roman" w:hAnsi="Times New Roman"/>
          <w:sz w:val="24"/>
          <w:szCs w:val="24"/>
        </w:rPr>
        <w:t>The Court held that “</w:t>
      </w:r>
      <w:r w:rsidRPr="00FE1E86">
        <w:rPr>
          <w:rFonts w:ascii="Times New Roman" w:hAnsi="Times New Roman"/>
          <w:sz w:val="24"/>
          <w:szCs w:val="24"/>
        </w:rPr>
        <w:t>Rice cannot establish a prima facie case of disparate impact</w:t>
      </w:r>
      <w:r>
        <w:rPr>
          <w:rFonts w:ascii="Times New Roman" w:hAnsi="Times New Roman"/>
          <w:sz w:val="24"/>
          <w:szCs w:val="24"/>
        </w:rPr>
        <w:t xml:space="preserve">…. </w:t>
      </w:r>
      <w:r w:rsidRPr="00D52001">
        <w:rPr>
          <w:rFonts w:ascii="Times New Roman" w:hAnsi="Times New Roman"/>
          <w:sz w:val="24"/>
          <w:szCs w:val="24"/>
        </w:rPr>
        <w:t>In sum, Rice has not presented a statistical analysis regarding the racial impact of the City's felony disqualification policy. The Court thus concludes that Rice has failed to establish a prima facie case of disparate impact discrimination.</w:t>
      </w:r>
      <w:r>
        <w:rPr>
          <w:rFonts w:ascii="Times New Roman" w:hAnsi="Times New Roman"/>
          <w:sz w:val="24"/>
          <w:szCs w:val="24"/>
        </w:rPr>
        <w:t xml:space="preserve">” </w:t>
      </w:r>
      <w:hyperlink r:id="rId1619" w:history="1">
        <w:r w:rsidRPr="006C608A">
          <w:rPr>
            <w:rStyle w:val="Hyperlink"/>
            <w:rFonts w:ascii="Times New Roman" w:hAnsi="Times New Roman"/>
            <w:sz w:val="24"/>
            <w:szCs w:val="24"/>
          </w:rPr>
          <w:t>https://casetext.com/case/rice-v-city-of-cincinnati</w:t>
        </w:r>
      </w:hyperlink>
      <w:r>
        <w:rPr>
          <w:rFonts w:ascii="Times New Roman" w:hAnsi="Times New Roman"/>
          <w:sz w:val="24"/>
          <w:szCs w:val="24"/>
        </w:rPr>
        <w:t xml:space="preserve"> </w:t>
      </w:r>
    </w:p>
    <w:p w14:paraId="068614ED" w14:textId="77777777" w:rsidR="0002742E" w:rsidRPr="00432417" w:rsidRDefault="0002742E" w:rsidP="0002742E">
      <w:pPr>
        <w:spacing w:before="100" w:beforeAutospacing="1" w:after="100" w:afterAutospacing="1" w:line="240" w:lineRule="auto"/>
        <w:rPr>
          <w:rFonts w:ascii="Times New Roman" w:hAnsi="Times New Roman"/>
          <w:b/>
          <w:bCs/>
          <w:sz w:val="24"/>
          <w:szCs w:val="24"/>
        </w:rPr>
      </w:pPr>
      <w:r w:rsidRPr="00432417">
        <w:rPr>
          <w:rFonts w:ascii="Times New Roman" w:hAnsi="Times New Roman"/>
          <w:b/>
          <w:bCs/>
          <w:sz w:val="24"/>
          <w:szCs w:val="24"/>
        </w:rPr>
        <w:t xml:space="preserve">Legal Lesson Learned: Plaintiff failed to hire an expert to prove disparate impact. </w:t>
      </w:r>
    </w:p>
    <w:p w14:paraId="60DD792D" w14:textId="77777777" w:rsidR="0002742E" w:rsidRPr="009E0FDF" w:rsidRDefault="0002742E" w:rsidP="0002742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w:t>
      </w:r>
      <w:r w:rsidRPr="009E0FDF">
        <w:rPr>
          <w:rFonts w:ascii="Times New Roman" w:hAnsi="Times New Roman"/>
          <w:sz w:val="24"/>
          <w:szCs w:val="24"/>
        </w:rPr>
        <w:t>ORC § 737.081 was promulgated in 2003. ORC § 737.081(C)(1)(a) provides that a person with a felony is not permitted to be appointed as a permanent, full-time freighter or volunteer firefighter</w:t>
      </w:r>
      <w:r>
        <w:rPr>
          <w:rFonts w:ascii="Times New Roman" w:hAnsi="Times New Roman"/>
          <w:sz w:val="24"/>
          <w:szCs w:val="24"/>
        </w:rPr>
        <w:t xml:space="preserve">…. </w:t>
      </w:r>
      <w:r w:rsidRPr="009E0FDF">
        <w:rPr>
          <w:rFonts w:ascii="Times New Roman" w:hAnsi="Times New Roman"/>
          <w:sz w:val="24"/>
          <w:szCs w:val="24"/>
        </w:rPr>
        <w:t xml:space="preserve">However, ORC § 737.081(C)(2) provides that </w:t>
      </w:r>
      <w:r>
        <w:rPr>
          <w:rFonts w:ascii="Times New Roman" w:hAnsi="Times New Roman"/>
          <w:sz w:val="24"/>
          <w:szCs w:val="24"/>
        </w:rPr>
        <w:t>‘</w:t>
      </w:r>
      <w:r w:rsidRPr="009E0FDF">
        <w:rPr>
          <w:rFonts w:ascii="Times New Roman" w:hAnsi="Times New Roman"/>
          <w:sz w:val="24"/>
          <w:szCs w:val="24"/>
        </w:rPr>
        <w:t>an appointing authority may appoint or employ a person as a permanent, full-time paid firefighter or a volunteer firefighter if</w:t>
      </w:r>
      <w:r>
        <w:rPr>
          <w:rFonts w:ascii="Times New Roman" w:hAnsi="Times New Roman"/>
          <w:sz w:val="24"/>
          <w:szCs w:val="24"/>
        </w:rPr>
        <w:t>’</w:t>
      </w:r>
      <w:r w:rsidRPr="009E0FDF">
        <w:rPr>
          <w:rFonts w:ascii="Times New Roman" w:hAnsi="Times New Roman"/>
          <w:sz w:val="24"/>
          <w:szCs w:val="24"/>
        </w:rPr>
        <w:t xml:space="preserve"> (1) the fire chief requests a criminal record check; (2) the records show the candidate is guilty of an offense in (C)(1); and (3) the person meets the rehabilitation standards in ORC § 737.081(E).</w:t>
      </w:r>
    </w:p>
    <w:p w14:paraId="32B0DBFF" w14:textId="77777777" w:rsidR="0002742E" w:rsidRDefault="0002742E" w:rsidP="00BC70A3">
      <w:pPr>
        <w:rPr>
          <w:rFonts w:ascii="Arial Black" w:hAnsi="Arial Black"/>
          <w:b/>
          <w:sz w:val="24"/>
          <w:szCs w:val="24"/>
        </w:rPr>
      </w:pPr>
    </w:p>
    <w:p w14:paraId="0CD6547F" w14:textId="1E30015C" w:rsidR="00E3473F" w:rsidRDefault="00E3473F" w:rsidP="00BC70A3">
      <w:pPr>
        <w:rPr>
          <w:rFonts w:ascii="Arial Black" w:hAnsi="Arial Black"/>
          <w:b/>
          <w:sz w:val="24"/>
          <w:szCs w:val="24"/>
        </w:rPr>
      </w:pPr>
      <w:r>
        <w:rPr>
          <w:rFonts w:ascii="Arial Black" w:hAnsi="Arial Black"/>
          <w:b/>
          <w:sz w:val="24"/>
          <w:szCs w:val="24"/>
        </w:rPr>
        <w:t>8-37</w:t>
      </w:r>
    </w:p>
    <w:p w14:paraId="6C4317B7" w14:textId="77777777" w:rsidR="00E3473F" w:rsidRPr="00A07E45" w:rsidRDefault="00E3473F" w:rsidP="00E3473F">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CA: AFRICAN AMERICAN FF FIRED - MEDICAL INFO IN HIS PERSONNEL FILE ON PUBLIC LINK - LAWSUIT PROCEED </w:t>
      </w:r>
    </w:p>
    <w:p w14:paraId="64F1B313" w14:textId="77777777" w:rsidR="00E3473F" w:rsidRDefault="00E3473F" w:rsidP="00E3473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17, 2022, in </w:t>
      </w:r>
      <w:r w:rsidRPr="00A07E45">
        <w:rPr>
          <w:rFonts w:ascii="Times New Roman" w:eastAsia="Times New Roman" w:hAnsi="Times New Roman"/>
          <w:sz w:val="24"/>
          <w:szCs w:val="24"/>
          <w:u w:val="single"/>
        </w:rPr>
        <w:t>Vernon Franklin v. City of Kingsburg, et al</w:t>
      </w:r>
      <w:r>
        <w:rPr>
          <w:rFonts w:ascii="Times New Roman" w:eastAsia="Times New Roman" w:hAnsi="Times New Roman"/>
          <w:sz w:val="24"/>
          <w:szCs w:val="24"/>
        </w:rPr>
        <w:t xml:space="preserve">., U.S. District Court Judge Anthony W. Ishii, U.S. District Court for Eastern District of California, in a lawsuit a firefighter / medic alleging his was fired because of his race (African American), denied in part defense motion for summary judgment, holding that his claim of “invasion of privacy” will not be dismissed, since disclosure of the firefighter’s psychiatric and other medical records in his personnel file alleges a viable cause of action under CA law.  His claim of “retaliation” will also not be dismissed. </w:t>
      </w:r>
      <w:hyperlink r:id="rId1620" w:history="1">
        <w:r w:rsidRPr="008956D3">
          <w:rPr>
            <w:rStyle w:val="Hyperlink"/>
            <w:rFonts w:ascii="Times New Roman" w:eastAsia="Times New Roman" w:hAnsi="Times New Roman"/>
            <w:sz w:val="24"/>
            <w:szCs w:val="24"/>
          </w:rPr>
          <w:t>https://law.justia.com/cases/federal/district-courts/california/caedce/1:2018cv00824/337796/49/</w:t>
        </w:r>
      </w:hyperlink>
      <w:r>
        <w:rPr>
          <w:rFonts w:ascii="Times New Roman" w:eastAsia="Times New Roman" w:hAnsi="Times New Roman"/>
          <w:sz w:val="24"/>
          <w:szCs w:val="24"/>
        </w:rPr>
        <w:t xml:space="preserve"> </w:t>
      </w:r>
      <w:r w:rsidRPr="00A07E45">
        <w:rPr>
          <w:rFonts w:ascii="Times New Roman" w:eastAsia="Times New Roman" w:hAnsi="Times New Roman"/>
          <w:sz w:val="24"/>
          <w:szCs w:val="24"/>
        </w:rPr>
        <w:t>       </w:t>
      </w:r>
    </w:p>
    <w:p w14:paraId="276FD9D0" w14:textId="77777777" w:rsidR="00E3473F" w:rsidRPr="00A07E45" w:rsidRDefault="00E3473F" w:rsidP="00E3473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07E45">
        <w:rPr>
          <w:rFonts w:ascii="Times New Roman" w:eastAsia="Times New Roman" w:hAnsi="Times New Roman"/>
          <w:sz w:val="24"/>
          <w:szCs w:val="24"/>
        </w:rPr>
        <w:t xml:space="preserve">Additionally, Franklin argues that release of his medical information is a violation of the California Confidentiality of Medical Information Act. Doc. 45, 18:14-21. That law states in relevant part: </w:t>
      </w:r>
    </w:p>
    <w:p w14:paraId="0903C859"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No employer shall use, disclose, or knowingly permit its employees or agents to use or disclose medical information which the employer possesses pertaining to its employees without the patient </w:t>
      </w:r>
      <w:proofErr w:type="gramStart"/>
      <w:r w:rsidRPr="00A07E45">
        <w:rPr>
          <w:rFonts w:ascii="Times New Roman" w:eastAsia="Times New Roman" w:hAnsi="Times New Roman"/>
          <w:sz w:val="24"/>
          <w:szCs w:val="24"/>
        </w:rPr>
        <w:t>having first</w:t>
      </w:r>
      <w:proofErr w:type="gramEnd"/>
      <w:r w:rsidRPr="00A07E45">
        <w:rPr>
          <w:rFonts w:ascii="Times New Roman" w:eastAsia="Times New Roman" w:hAnsi="Times New Roman"/>
          <w:sz w:val="24"/>
          <w:szCs w:val="24"/>
        </w:rPr>
        <w:t xml:space="preserve"> signed an authorization under Section 56.11 or Section 56.21 permitting such use or disclosure, except as follows: </w:t>
      </w:r>
    </w:p>
    <w:p w14:paraId="7129B241"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(1) The information may be disclosed if the disclosure is compelled by judicial or administrative process or by any other specific provision of law. </w:t>
      </w:r>
    </w:p>
    <w:p w14:paraId="67A86318"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(2) That part of the information which is relevant in a lawsuit, arbitration, grievance, or other claim or challenge to which the employer and employee are parties and in which the patient has placed in issue his or her medical history, mental or physical condition, or treatment may be used or disclosed in connection with that proceeding. </w:t>
      </w:r>
    </w:p>
    <w:p w14:paraId="41EE76BF" w14:textId="77777777" w:rsidR="00E3473F" w:rsidRDefault="00E3473F" w:rsidP="00E3473F">
      <w:pPr>
        <w:spacing w:before="100" w:beforeAutospacing="1" w:after="100" w:afterAutospacing="1" w:line="240" w:lineRule="auto"/>
        <w:ind w:left="720"/>
        <w:rPr>
          <w:rFonts w:ascii="Times New Roman" w:eastAsia="Times New Roman" w:hAnsi="Times New Roman"/>
          <w:sz w:val="24"/>
          <w:szCs w:val="24"/>
        </w:rPr>
      </w:pPr>
      <w:r w:rsidRPr="00A07E45">
        <w:rPr>
          <w:rFonts w:ascii="Times New Roman" w:eastAsia="Times New Roman" w:hAnsi="Times New Roman"/>
          <w:sz w:val="24"/>
          <w:szCs w:val="24"/>
        </w:rPr>
        <w:t xml:space="preserve">Cal. Civ. Code § 56.20(c). Monetary damages are available for violations of Section 56.20. Cal. Civ. Code § 56.35. This law also appears to apply to public entities. See </w:t>
      </w:r>
      <w:r w:rsidRPr="00A07E45">
        <w:rPr>
          <w:rFonts w:ascii="Times New Roman" w:eastAsia="Times New Roman" w:hAnsi="Times New Roman"/>
          <w:i/>
          <w:iCs/>
          <w:sz w:val="24"/>
          <w:szCs w:val="24"/>
        </w:rPr>
        <w:t>Loder v. City of Glendale</w:t>
      </w:r>
      <w:r w:rsidRPr="00A07E45">
        <w:rPr>
          <w:rFonts w:ascii="Times New Roman" w:eastAsia="Times New Roman" w:hAnsi="Times New Roman"/>
          <w:sz w:val="24"/>
          <w:szCs w:val="24"/>
        </w:rPr>
        <w:t>, 14 Cal.4th 846, 859-62 (Cal. 1997) (analyzed the claim without directly addressing whether suit could be brought against public entity City of Glendale).</w:t>
      </w:r>
      <w:r>
        <w:rPr>
          <w:rFonts w:ascii="Times New Roman" w:eastAsia="Times New Roman" w:hAnsi="Times New Roman"/>
          <w:sz w:val="24"/>
          <w:szCs w:val="24"/>
        </w:rPr>
        <w:t xml:space="preserve">” </w:t>
      </w:r>
      <w:hyperlink r:id="rId1621" w:history="1">
        <w:r w:rsidRPr="008956D3">
          <w:rPr>
            <w:rStyle w:val="Hyperlink"/>
            <w:rFonts w:ascii="Times New Roman" w:eastAsia="Times New Roman" w:hAnsi="Times New Roman"/>
            <w:sz w:val="24"/>
            <w:szCs w:val="24"/>
          </w:rPr>
          <w:t>https://law.justia.com/cases/federal/district-courts/california/caedce/1:2018cv00824/337796/49/</w:t>
        </w:r>
      </w:hyperlink>
      <w:r>
        <w:rPr>
          <w:rFonts w:ascii="Times New Roman" w:eastAsia="Times New Roman" w:hAnsi="Times New Roman"/>
          <w:sz w:val="24"/>
          <w:szCs w:val="24"/>
        </w:rPr>
        <w:t xml:space="preserve"> </w:t>
      </w:r>
      <w:r w:rsidRPr="00A07E45">
        <w:rPr>
          <w:rFonts w:ascii="Times New Roman" w:eastAsia="Times New Roman" w:hAnsi="Times New Roman"/>
          <w:sz w:val="24"/>
          <w:szCs w:val="24"/>
        </w:rPr>
        <w:t>       </w:t>
      </w:r>
    </w:p>
    <w:p w14:paraId="2C6925B2" w14:textId="77777777" w:rsidR="00E3473F" w:rsidRPr="000D5242" w:rsidRDefault="00E3473F" w:rsidP="00E3473F">
      <w:pPr>
        <w:spacing w:before="100" w:beforeAutospacing="1" w:after="100" w:afterAutospacing="1" w:line="240" w:lineRule="auto"/>
        <w:rPr>
          <w:rFonts w:ascii="Times New Roman" w:eastAsia="Times New Roman" w:hAnsi="Times New Roman"/>
          <w:b/>
          <w:bCs/>
          <w:sz w:val="24"/>
          <w:szCs w:val="24"/>
        </w:rPr>
      </w:pPr>
      <w:r w:rsidRPr="000D5242">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While in many states a firefighter’s personnel records are “public records,” personnel files should not include confidential medical documents. </w:t>
      </w:r>
    </w:p>
    <w:p w14:paraId="14E33A5F" w14:textId="77777777" w:rsidR="00E3473F" w:rsidRDefault="00E3473F" w:rsidP="00BC70A3">
      <w:pPr>
        <w:rPr>
          <w:rFonts w:ascii="Arial Black" w:hAnsi="Arial Black"/>
          <w:b/>
          <w:sz w:val="24"/>
          <w:szCs w:val="24"/>
        </w:rPr>
      </w:pPr>
    </w:p>
    <w:p w14:paraId="28A7D0FA" w14:textId="77777777" w:rsidR="00E3473F" w:rsidRDefault="00E3473F" w:rsidP="00BC70A3">
      <w:pPr>
        <w:rPr>
          <w:rFonts w:ascii="Arial Black" w:hAnsi="Arial Black"/>
          <w:b/>
          <w:sz w:val="24"/>
          <w:szCs w:val="24"/>
        </w:rPr>
      </w:pPr>
    </w:p>
    <w:p w14:paraId="04D168CE" w14:textId="157445D6" w:rsidR="005644A4" w:rsidRDefault="005644A4"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6</w:t>
      </w:r>
    </w:p>
    <w:p w14:paraId="3303CF62" w14:textId="77777777" w:rsidR="005644A4" w:rsidRDefault="005644A4" w:rsidP="005644A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KY: REVERSE DISCRIM. NOT PROVED - WHITE POLICE MAJOR DEMOTED LT. – USED “N” WORD IN RECRUIT CLASS</w:t>
      </w:r>
    </w:p>
    <w:p w14:paraId="3437A6B6" w14:textId="77777777" w:rsidR="005644A4" w:rsidRPr="0037054D" w:rsidRDefault="005644A4" w:rsidP="005644A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29, 2021, in </w:t>
      </w:r>
      <w:r w:rsidRPr="0037054D">
        <w:rPr>
          <w:rFonts w:ascii="Times New Roman" w:eastAsia="Times New Roman" w:hAnsi="Times New Roman"/>
          <w:sz w:val="24"/>
          <w:szCs w:val="24"/>
          <w:u w:val="single"/>
        </w:rPr>
        <w:t>Aubrey E. Gregory, Jr. v. Louisville / Jefferson County Metro Government</w:t>
      </w:r>
      <w:r>
        <w:rPr>
          <w:rFonts w:ascii="Times New Roman" w:eastAsia="Times New Roman" w:hAnsi="Times New Roman"/>
          <w:sz w:val="24"/>
          <w:szCs w:val="24"/>
        </w:rPr>
        <w:t xml:space="preserve">, U.S. District Court Judge Claria Horn Boom granted the City’s motion to dismiss; Major Gregory (Caucasia) was Director of the Training Academy for the Louisville Metro Police Department, and during a classroom discussion on cultural diversity with Recruit Class 48 on May 20, 2021, he and African-American retired firefighter, and black man from Africa, discussed use of the “N” word.  The next day, Police </w:t>
      </w:r>
      <w:r w:rsidRPr="00B52A46">
        <w:rPr>
          <w:rFonts w:ascii="Times New Roman" w:eastAsia="Times New Roman" w:hAnsi="Times New Roman"/>
          <w:sz w:val="24"/>
          <w:szCs w:val="24"/>
        </w:rPr>
        <w:t>Chief</w:t>
      </w:r>
      <w:r w:rsidRPr="00B52A46">
        <w:rPr>
          <w:rFonts w:ascii="Times New Roman" w:hAnsi="Times New Roman"/>
          <w:sz w:val="24"/>
          <w:szCs w:val="24"/>
        </w:rPr>
        <w:t xml:space="preserve"> Erika </w:t>
      </w:r>
      <w:proofErr w:type="gramStart"/>
      <w:r w:rsidRPr="00B52A46">
        <w:rPr>
          <w:rFonts w:ascii="Times New Roman" w:hAnsi="Times New Roman"/>
          <w:sz w:val="24"/>
          <w:szCs w:val="24"/>
        </w:rPr>
        <w:t>Shields,</w:t>
      </w:r>
      <w:proofErr w:type="gramEnd"/>
      <w:r>
        <w:rPr>
          <w:rFonts w:ascii="Times New Roman" w:hAnsi="Times New Roman"/>
          <w:sz w:val="24"/>
          <w:szCs w:val="24"/>
        </w:rPr>
        <w:t xml:space="preserve"> called him and suspended him. </w:t>
      </w:r>
      <w:r>
        <w:rPr>
          <w:rFonts w:ascii="Times New Roman" w:eastAsia="Times New Roman" w:hAnsi="Times New Roman"/>
          <w:sz w:val="24"/>
          <w:szCs w:val="24"/>
        </w:rPr>
        <w:t xml:space="preserve">On June 4, after </w:t>
      </w:r>
      <w:proofErr w:type="gramStart"/>
      <w:r>
        <w:rPr>
          <w:rFonts w:ascii="Times New Roman" w:eastAsia="Times New Roman" w:hAnsi="Times New Roman"/>
          <w:sz w:val="24"/>
          <w:szCs w:val="24"/>
        </w:rPr>
        <w:t>interview</w:t>
      </w:r>
      <w:proofErr w:type="gramEnd"/>
      <w:r>
        <w:rPr>
          <w:rFonts w:ascii="Times New Roman" w:eastAsia="Times New Roman" w:hAnsi="Times New Roman"/>
          <w:sz w:val="24"/>
          <w:szCs w:val="24"/>
        </w:rPr>
        <w:t xml:space="preserve"> with County HR and another with Police Chief, he was demoted to Lieutenant (and retired Aug. 1, 2021).  The Judge held that plaintiff “</w:t>
      </w:r>
      <w:r w:rsidRPr="0037054D">
        <w:rPr>
          <w:rFonts w:ascii="Times New Roman" w:hAnsi="Times New Roman"/>
          <w:sz w:val="24"/>
          <w:szCs w:val="24"/>
        </w:rPr>
        <w:t xml:space="preserve">utterly fails to allege any facts that even hint at Defendants being </w:t>
      </w:r>
      <w:r>
        <w:rPr>
          <w:rFonts w:ascii="Times New Roman" w:hAnsi="Times New Roman"/>
          <w:sz w:val="24"/>
          <w:szCs w:val="24"/>
        </w:rPr>
        <w:t>‘</w:t>
      </w:r>
      <w:r w:rsidRPr="0037054D">
        <w:rPr>
          <w:rFonts w:ascii="Times New Roman" w:hAnsi="Times New Roman"/>
          <w:sz w:val="24"/>
          <w:szCs w:val="24"/>
        </w:rPr>
        <w:t>that unusual employer who discriminates against the majority</w:t>
      </w:r>
      <w:r>
        <w:rPr>
          <w:rFonts w:ascii="Times New Roman" w:hAnsi="Times New Roman"/>
          <w:sz w:val="24"/>
          <w:szCs w:val="24"/>
        </w:rPr>
        <w:t>.’”</w:t>
      </w:r>
    </w:p>
    <w:p w14:paraId="4BA6D258" w14:textId="5603723A" w:rsidR="005644A4" w:rsidRDefault="005644A4" w:rsidP="005644A4">
      <w:pPr>
        <w:ind w:left="720"/>
        <w:rPr>
          <w:rFonts w:ascii="Arial Black" w:hAnsi="Arial Black"/>
          <w:b/>
          <w:sz w:val="24"/>
          <w:szCs w:val="24"/>
        </w:rPr>
      </w:pPr>
      <w:r>
        <w:rPr>
          <w:rFonts w:ascii="Times New Roman" w:hAnsi="Times New Roman"/>
          <w:sz w:val="24"/>
          <w:szCs w:val="24"/>
        </w:rPr>
        <w:t>“</w:t>
      </w:r>
      <w:r w:rsidRPr="0037054D">
        <w:rPr>
          <w:rFonts w:ascii="Times New Roman" w:hAnsi="Times New Roman"/>
          <w:sz w:val="24"/>
          <w:szCs w:val="24"/>
        </w:rPr>
        <w:t>The only two individuals mentioned in the Complaint are the two African American men also involved in the May 19, 2021, incident. While Gregory alleges he and the two African American individuals engaged in the same conduct (i.e., used the same racial epithet in a LMPD classroom setting), he wholly fails to allege how these individuals are similarly situated in any other relevant respect. The Complaint contains no factual allegations that both Gregory and the African American individuals dealt with the same supervisor, were subject to the same standards, or had similar job responsibilities.</w:t>
      </w:r>
      <w:r>
        <w:rPr>
          <w:rFonts w:ascii="Times New Roman" w:hAnsi="Times New Roman"/>
          <w:sz w:val="24"/>
          <w:szCs w:val="24"/>
        </w:rPr>
        <w:t xml:space="preserve">” </w:t>
      </w:r>
      <w:hyperlink r:id="rId1622" w:history="1">
        <w:r w:rsidRPr="00EC5853">
          <w:rPr>
            <w:rStyle w:val="Hyperlink"/>
            <w:rFonts w:ascii="Times New Roman" w:hAnsi="Times New Roman"/>
            <w:sz w:val="24"/>
            <w:szCs w:val="24"/>
          </w:rPr>
          <w:t>https://public.fastcase.com/9SKwsfNqTc6OieYDhNMyM%2FTSgbZsxamnZMkEnGgxxe%2FrqLPFRApIhr2w3nhFxBI%2F%2BQAM0CcvCjVB30L3LI5a7qA0dv8E2KAwnqlsNAe5EaM%3D</w:t>
        </w:r>
      </w:hyperlink>
    </w:p>
    <w:p w14:paraId="1393927E" w14:textId="77777777" w:rsidR="005644A4" w:rsidRPr="00521C71" w:rsidRDefault="005644A4" w:rsidP="005644A4">
      <w:pPr>
        <w:spacing w:before="100" w:beforeAutospacing="1" w:after="100" w:afterAutospacing="1" w:line="240" w:lineRule="auto"/>
        <w:rPr>
          <w:rFonts w:ascii="Times New Roman" w:eastAsia="Times New Roman" w:hAnsi="Times New Roman"/>
          <w:b/>
          <w:bCs/>
          <w:sz w:val="24"/>
          <w:szCs w:val="24"/>
        </w:rPr>
      </w:pPr>
      <w:r w:rsidRPr="00521C71">
        <w:rPr>
          <w:rFonts w:ascii="Times New Roman" w:hAnsi="Times New Roman"/>
          <w:b/>
          <w:bCs/>
          <w:sz w:val="24"/>
          <w:szCs w:val="24"/>
        </w:rPr>
        <w:t>Legal Lesson Learned:</w:t>
      </w:r>
      <w:r>
        <w:rPr>
          <w:rFonts w:ascii="Times New Roman" w:hAnsi="Times New Roman"/>
          <w:b/>
          <w:bCs/>
          <w:sz w:val="24"/>
          <w:szCs w:val="24"/>
        </w:rPr>
        <w:t xml:space="preserve"> Even when conducting cultural sensitivity training, avoid the use of the “N word” and other highly sensitive terms. </w:t>
      </w:r>
    </w:p>
    <w:p w14:paraId="6DFC0783" w14:textId="77777777" w:rsidR="005644A4" w:rsidRDefault="005644A4" w:rsidP="00BC70A3">
      <w:pPr>
        <w:rPr>
          <w:rFonts w:ascii="Arial Black" w:hAnsi="Arial Black"/>
          <w:b/>
          <w:sz w:val="24"/>
          <w:szCs w:val="24"/>
        </w:rPr>
      </w:pPr>
    </w:p>
    <w:p w14:paraId="3C72FCB0" w14:textId="16A203DA" w:rsidR="00C67B2A" w:rsidRDefault="00C67B2A"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5</w:t>
      </w:r>
    </w:p>
    <w:p w14:paraId="594B487B" w14:textId="77777777" w:rsidR="00C67B2A" w:rsidRPr="000F4113" w:rsidRDefault="00C67B2A" w:rsidP="00C67B2A">
      <w:pPr>
        <w:pStyle w:val="Heading1"/>
        <w:rPr>
          <w:rFonts w:ascii="Arial Black" w:hAnsi="Arial Black"/>
          <w:b w:val="0"/>
          <w:bCs w:val="0"/>
          <w:sz w:val="28"/>
          <w:szCs w:val="28"/>
        </w:rPr>
      </w:pPr>
      <w:r>
        <w:rPr>
          <w:rFonts w:ascii="Arial Black" w:hAnsi="Arial Black"/>
          <w:b w:val="0"/>
          <w:bCs w:val="0"/>
          <w:sz w:val="28"/>
          <w:szCs w:val="28"/>
        </w:rPr>
        <w:t>NY: FDNY - HISPANIC “PRIORITY HIRE” – INJURED AT ACADEMY, 2 LIGHT DUTIES – FIRED FOR MEDICAL REASONS</w:t>
      </w:r>
    </w:p>
    <w:p w14:paraId="38288F65" w14:textId="77777777" w:rsidR="00C67B2A" w:rsidRDefault="00C67B2A" w:rsidP="00C67B2A">
      <w:pPr>
        <w:pStyle w:val="Heading1"/>
        <w:rPr>
          <w:b w:val="0"/>
          <w:bCs w:val="0"/>
          <w:sz w:val="24"/>
          <w:szCs w:val="24"/>
        </w:rPr>
      </w:pPr>
      <w:r>
        <w:rPr>
          <w:b w:val="0"/>
          <w:bCs w:val="0"/>
          <w:sz w:val="24"/>
          <w:szCs w:val="24"/>
        </w:rPr>
        <w:t xml:space="preserve">On Oct. 20, 2021, in </w:t>
      </w:r>
      <w:r w:rsidRPr="000F4113">
        <w:rPr>
          <w:b w:val="0"/>
          <w:bCs w:val="0"/>
          <w:sz w:val="24"/>
          <w:szCs w:val="24"/>
          <w:u w:val="single"/>
        </w:rPr>
        <w:t>Xavier Lopez v. City of New York</w:t>
      </w:r>
      <w:r>
        <w:rPr>
          <w:b w:val="0"/>
          <w:bCs w:val="0"/>
          <w:sz w:val="24"/>
          <w:szCs w:val="24"/>
        </w:rPr>
        <w:t xml:space="preserve">, U.S. District Judge Nina Gershon granted the City’s motion for summary judgment.  Plaintiff was a “priority hire” on Jan. 27, </w:t>
      </w:r>
      <w:proofErr w:type="gramStart"/>
      <w:r>
        <w:rPr>
          <w:b w:val="0"/>
          <w:bCs w:val="0"/>
          <w:sz w:val="24"/>
          <w:szCs w:val="24"/>
        </w:rPr>
        <w:t>2014</w:t>
      </w:r>
      <w:proofErr w:type="gramEnd"/>
      <w:r>
        <w:rPr>
          <w:b w:val="0"/>
          <w:bCs w:val="0"/>
          <w:sz w:val="24"/>
          <w:szCs w:val="24"/>
        </w:rPr>
        <w:t xml:space="preserve"> as part of the Vulcan Society [</w:t>
      </w:r>
      <w:proofErr w:type="gramStart"/>
      <w:r>
        <w:rPr>
          <w:b w:val="0"/>
          <w:bCs w:val="0"/>
          <w:sz w:val="24"/>
          <w:szCs w:val="24"/>
        </w:rPr>
        <w:t>African-American</w:t>
      </w:r>
      <w:proofErr w:type="gramEnd"/>
      <w:r>
        <w:rPr>
          <w:b w:val="0"/>
          <w:bCs w:val="0"/>
          <w:sz w:val="24"/>
          <w:szCs w:val="24"/>
        </w:rPr>
        <w:t xml:space="preserve"> firefighters] settlement; during his second week, he injured his ankle while jogging; after light duty, he returned to Fire Academy on July 7, 2014, and in August injured his left knee.  He returned to Academy on Aug. 28, 2014, and then re-injured his left knee and toe and was again placed on light duty.  He was terminated on Jan. 14, </w:t>
      </w:r>
      <w:proofErr w:type="gramStart"/>
      <w:r>
        <w:rPr>
          <w:b w:val="0"/>
          <w:bCs w:val="0"/>
          <w:sz w:val="24"/>
          <w:szCs w:val="24"/>
        </w:rPr>
        <w:t>2015</w:t>
      </w:r>
      <w:proofErr w:type="gramEnd"/>
      <w:r>
        <w:rPr>
          <w:b w:val="0"/>
          <w:bCs w:val="0"/>
          <w:sz w:val="24"/>
          <w:szCs w:val="24"/>
        </w:rPr>
        <w:t xml:space="preserve"> after numerous medical reviews.</w:t>
      </w:r>
    </w:p>
    <w:p w14:paraId="0711E113" w14:textId="77777777" w:rsidR="00C67B2A" w:rsidRDefault="00C67B2A" w:rsidP="00C67B2A">
      <w:pPr>
        <w:pStyle w:val="Heading1"/>
        <w:ind w:left="720"/>
        <w:rPr>
          <w:b w:val="0"/>
          <w:bCs w:val="0"/>
          <w:sz w:val="24"/>
          <w:szCs w:val="24"/>
        </w:rPr>
      </w:pPr>
      <w:r>
        <w:rPr>
          <w:b w:val="0"/>
          <w:bCs w:val="0"/>
          <w:sz w:val="24"/>
          <w:szCs w:val="24"/>
        </w:rPr>
        <w:t>“</w:t>
      </w:r>
      <w:r w:rsidRPr="00DA27A9">
        <w:rPr>
          <w:b w:val="0"/>
          <w:bCs w:val="0"/>
          <w:sz w:val="24"/>
          <w:szCs w:val="24"/>
        </w:rPr>
        <w:t xml:space="preserve">Defendant's position is that plaintiff was terminated based on his inability to return to a third firefighter academy </w:t>
      </w:r>
      <w:proofErr w:type="gramStart"/>
      <w:r w:rsidRPr="00DA27A9">
        <w:rPr>
          <w:b w:val="0"/>
          <w:bCs w:val="0"/>
          <w:sz w:val="24"/>
          <w:szCs w:val="24"/>
        </w:rPr>
        <w:t>as a result of</w:t>
      </w:r>
      <w:proofErr w:type="gramEnd"/>
      <w:r w:rsidRPr="00DA27A9">
        <w:rPr>
          <w:b w:val="0"/>
          <w:bCs w:val="0"/>
          <w:sz w:val="24"/>
          <w:szCs w:val="24"/>
        </w:rPr>
        <w:t xml:space="preserve"> his subjective complaints of pain, which were unsupported by medical evidence. Specifically, according to Dr. Kelly, plaintiff was</w:t>
      </w:r>
      <w:r>
        <w:rPr>
          <w:b w:val="0"/>
          <w:bCs w:val="0"/>
          <w:sz w:val="24"/>
          <w:szCs w:val="24"/>
        </w:rPr>
        <w:t xml:space="preserve"> </w:t>
      </w:r>
      <w:r w:rsidRPr="00DA27A9">
        <w:rPr>
          <w:b w:val="0"/>
          <w:bCs w:val="0"/>
          <w:sz w:val="24"/>
          <w:szCs w:val="24"/>
        </w:rPr>
        <w:t>not capable of working as a firefighter based on his continued symptomology, in light of, essentially, a negative work up, an opportunity to [complete] physical therapy, [plaintiff's] failure to pursue outside orthopedic consultations when [BHS] gave him the authorization, and his evaluation by [BHS] medical team, who saw no physical disability [despite his] persistent subjective complaints</w:t>
      </w:r>
      <w:r>
        <w:rPr>
          <w:b w:val="0"/>
          <w:bCs w:val="0"/>
          <w:sz w:val="24"/>
          <w:szCs w:val="24"/>
        </w:rPr>
        <w:t xml:space="preserve">…. </w:t>
      </w:r>
      <w:r w:rsidRPr="000F4113">
        <w:rPr>
          <w:b w:val="0"/>
          <w:bCs w:val="0"/>
          <w:sz w:val="24"/>
          <w:szCs w:val="24"/>
        </w:rPr>
        <w:t>Defendant has presented evidence that plaintiff's inability to return to a third firefighter academy based on subjective complaints of pain, unsupported by medical evidence, supplied a legitimate non-discriminatory reason for his termination</w:t>
      </w:r>
      <w:r>
        <w:rPr>
          <w:b w:val="0"/>
          <w:bCs w:val="0"/>
          <w:sz w:val="24"/>
          <w:szCs w:val="24"/>
        </w:rPr>
        <w:t>.</w:t>
      </w:r>
    </w:p>
    <w:p w14:paraId="53F43F09" w14:textId="77777777" w:rsidR="00C67B2A" w:rsidRDefault="00C67B2A" w:rsidP="00C67B2A">
      <w:pPr>
        <w:pStyle w:val="Heading1"/>
        <w:ind w:left="720"/>
        <w:rPr>
          <w:b w:val="0"/>
          <w:bCs w:val="0"/>
          <w:sz w:val="24"/>
          <w:szCs w:val="24"/>
        </w:rPr>
      </w:pPr>
      <w:r>
        <w:rPr>
          <w:b w:val="0"/>
          <w:bCs w:val="0"/>
          <w:sz w:val="24"/>
          <w:szCs w:val="24"/>
        </w:rPr>
        <w:t>***</w:t>
      </w:r>
    </w:p>
    <w:p w14:paraId="5C2331C1" w14:textId="77777777" w:rsidR="00C67B2A" w:rsidRPr="000F4113" w:rsidRDefault="00C67B2A" w:rsidP="00C67B2A">
      <w:pPr>
        <w:pStyle w:val="Heading1"/>
        <w:ind w:left="720"/>
        <w:rPr>
          <w:b w:val="0"/>
          <w:bCs w:val="0"/>
          <w:sz w:val="24"/>
          <w:szCs w:val="24"/>
        </w:rPr>
      </w:pPr>
      <w:r w:rsidRPr="000F4113">
        <w:rPr>
          <w:b w:val="0"/>
          <w:bCs w:val="0"/>
          <w:sz w:val="24"/>
          <w:szCs w:val="24"/>
        </w:rPr>
        <w:t>In support of his theory that he was treated differently because of his race or national origin, plaintiff points to six other firefighters who were given more than two opportunities to complete the fire academy. But, of the six, four were priority hires like plaintiff, one was a Hispanic man like plaintiff, and plaintiff has not presented any evidence indicating that the injuries or situations of the two white firefighters who were given three opportunities were comparable to his.</w:t>
      </w:r>
      <w:r>
        <w:rPr>
          <w:b w:val="0"/>
          <w:bCs w:val="0"/>
          <w:sz w:val="24"/>
          <w:szCs w:val="24"/>
        </w:rPr>
        <w:t xml:space="preserve">” </w:t>
      </w:r>
      <w:hyperlink r:id="rId1623" w:history="1">
        <w:r w:rsidRPr="00764F47">
          <w:rPr>
            <w:rStyle w:val="Hyperlink"/>
            <w:sz w:val="24"/>
            <w:szCs w:val="24"/>
          </w:rPr>
          <w:t>https://public.fastcase.com/9SKwsfNqTc6OieYDhNMyMxPWhQYM2NMtpEG66qqzAJJdyGEqs31WbWeslV8WX8U%2F%2BJtRUyjyQVulPfpekvhmAP57MQmPUZf7QhfjsZd5wHk%3D</w:t>
        </w:r>
      </w:hyperlink>
      <w:r>
        <w:rPr>
          <w:b w:val="0"/>
          <w:bCs w:val="0"/>
          <w:sz w:val="24"/>
          <w:szCs w:val="24"/>
        </w:rPr>
        <w:t xml:space="preserve"> </w:t>
      </w:r>
    </w:p>
    <w:p w14:paraId="76350EB7" w14:textId="77777777" w:rsidR="00C67B2A" w:rsidRPr="00574B79" w:rsidRDefault="00C67B2A" w:rsidP="00C67B2A">
      <w:pPr>
        <w:spacing w:before="100" w:beforeAutospacing="1" w:after="100" w:afterAutospacing="1" w:line="240" w:lineRule="auto"/>
        <w:rPr>
          <w:rFonts w:ascii="Times New Roman" w:eastAsia="Times New Roman" w:hAnsi="Times New Roman"/>
          <w:b/>
          <w:bCs/>
          <w:sz w:val="24"/>
          <w:szCs w:val="24"/>
        </w:rPr>
      </w:pPr>
      <w:r w:rsidRPr="00574B79">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Recruits must be physically capable of performing the job.  </w:t>
      </w:r>
    </w:p>
    <w:p w14:paraId="71C2CD4F" w14:textId="77777777" w:rsidR="00C67B2A" w:rsidRDefault="00C67B2A" w:rsidP="00BC70A3">
      <w:pPr>
        <w:rPr>
          <w:rFonts w:ascii="Arial Black" w:hAnsi="Arial Black"/>
          <w:b/>
          <w:sz w:val="24"/>
          <w:szCs w:val="24"/>
        </w:rPr>
      </w:pPr>
    </w:p>
    <w:p w14:paraId="28AA3B2D" w14:textId="77777777" w:rsidR="00C67B2A" w:rsidRDefault="00C67B2A" w:rsidP="00BC70A3">
      <w:pPr>
        <w:rPr>
          <w:rFonts w:ascii="Arial Black" w:hAnsi="Arial Black"/>
          <w:b/>
          <w:sz w:val="24"/>
          <w:szCs w:val="24"/>
        </w:rPr>
      </w:pPr>
    </w:p>
    <w:p w14:paraId="53933A9D" w14:textId="6205BDB3" w:rsidR="00C67B2A" w:rsidRDefault="00C67B2A"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4</w:t>
      </w:r>
    </w:p>
    <w:p w14:paraId="27EC8F4E" w14:textId="77777777" w:rsidR="00C67B2A" w:rsidRPr="001325E8" w:rsidRDefault="00C67B2A" w:rsidP="00C67B2A">
      <w:pPr>
        <w:tabs>
          <w:tab w:val="left" w:pos="3280"/>
        </w:tabs>
        <w:spacing w:before="100" w:beforeAutospacing="1" w:after="100" w:afterAutospacing="1" w:line="240" w:lineRule="auto"/>
        <w:rPr>
          <w:rFonts w:ascii="Arial Black" w:hAnsi="Arial Black"/>
          <w:sz w:val="28"/>
          <w:szCs w:val="28"/>
        </w:rPr>
      </w:pPr>
      <w:r>
        <w:rPr>
          <w:rFonts w:ascii="Arial Black" w:hAnsi="Arial Black"/>
          <w:sz w:val="28"/>
          <w:szCs w:val="28"/>
        </w:rPr>
        <w:t>WI: POLICE CHIEF WANTED CIVILIAN TO RUN 911 – PRIOR COMMENTS ON MINORITIES – BLACK CAPT. CASE PROCEED</w:t>
      </w:r>
    </w:p>
    <w:p w14:paraId="39427562" w14:textId="77777777" w:rsidR="00C67B2A" w:rsidRDefault="00C67B2A" w:rsidP="00C67B2A">
      <w:pPr>
        <w:tabs>
          <w:tab w:val="left" w:pos="3280"/>
        </w:tabs>
        <w:spacing w:before="100" w:beforeAutospacing="1" w:after="100" w:afterAutospacing="1" w:line="240" w:lineRule="auto"/>
        <w:rPr>
          <w:rFonts w:ascii="Times New Roman" w:hAnsi="Times New Roman"/>
          <w:sz w:val="24"/>
          <w:szCs w:val="24"/>
        </w:rPr>
      </w:pPr>
      <w:r w:rsidRPr="00CE1834">
        <w:rPr>
          <w:rFonts w:ascii="Times New Roman" w:hAnsi="Times New Roman"/>
          <w:sz w:val="24"/>
          <w:szCs w:val="24"/>
        </w:rPr>
        <w:t xml:space="preserve">On Oct. 20, 2021, </w:t>
      </w:r>
      <w:r>
        <w:rPr>
          <w:rFonts w:ascii="Times New Roman" w:hAnsi="Times New Roman"/>
          <w:sz w:val="24"/>
          <w:szCs w:val="24"/>
        </w:rPr>
        <w:t xml:space="preserve">in </w:t>
      </w:r>
      <w:r w:rsidRPr="00CE1834">
        <w:rPr>
          <w:rFonts w:ascii="Times New Roman" w:hAnsi="Times New Roman"/>
          <w:sz w:val="24"/>
          <w:szCs w:val="24"/>
          <w:u w:val="single"/>
        </w:rPr>
        <w:t>Andra Williams v. City of Milwaukee, et al.</w:t>
      </w:r>
      <w:r>
        <w:rPr>
          <w:rFonts w:ascii="Times New Roman" w:hAnsi="Times New Roman"/>
          <w:sz w:val="24"/>
          <w:szCs w:val="24"/>
        </w:rPr>
        <w:t xml:space="preserve">, U.S. District Court Judge Brett H. Ludwig, U.S. District Court for Eastern District of Wisconsin, denied the City’s motion for summary judgment, citing comments that Police Chief made to the Executive Director of the Police and Fire Commission, and to the Mayor after a “Advancement in Management” (AIM) meeting in Fall 2015 [a year prior to June 2016 panel rated applicants for Director of 911], where they were reviewing police department hiring of minorities and lesbians. </w:t>
      </w:r>
    </w:p>
    <w:p w14:paraId="459E0678" w14:textId="77777777" w:rsidR="00C67B2A" w:rsidRPr="00CE1834" w:rsidRDefault="00C67B2A" w:rsidP="00C67B2A">
      <w:pPr>
        <w:pStyle w:val="NormalWeb"/>
        <w:ind w:left="720"/>
      </w:pPr>
      <w:r>
        <w:t>“</w:t>
      </w:r>
      <w:r w:rsidRPr="00CE1834">
        <w:t xml:space="preserve">Williams relies on a web of interrelated incidents to support his allegations of discrimination, but the most important is </w:t>
      </w:r>
      <w:r>
        <w:t xml:space="preserve">[Police Chief Edward] </w:t>
      </w:r>
      <w:r w:rsidRPr="00CE1834">
        <w:t>Flynn's tirade following an Advanced in Management (AIM) meeting in the Fall of 2015</w:t>
      </w:r>
      <w:r>
        <w:t xml:space="preserve">…. </w:t>
      </w:r>
      <w:r w:rsidRPr="00CE1834">
        <w:t>Mary</w:t>
      </w:r>
      <w:r>
        <w:t xml:space="preserve"> </w:t>
      </w:r>
      <w:r w:rsidRPr="00CE1834">
        <w:t>Nell Regan (Regan), then Executive Director to the City of Milwaukee Fire and Police Commission, was present after the AIM meeting along with Mayor Tom Barrett, Barrett's chief of staff Patrick Curley, Flynn, and Flynn's chief of staff Joel Plant</w:t>
      </w:r>
      <w:r>
        <w:t xml:space="preserve">…. </w:t>
      </w:r>
      <w:r w:rsidRPr="00CE1834">
        <w:t xml:space="preserve">Regan testified: </w:t>
      </w:r>
    </w:p>
    <w:p w14:paraId="5A6B0993" w14:textId="77777777" w:rsidR="00C67B2A" w:rsidRDefault="00C67B2A" w:rsidP="00C67B2A">
      <w:pPr>
        <w:ind w:left="1440"/>
        <w:rPr>
          <w:rFonts w:ascii="Times New Roman" w:hAnsi="Times New Roman"/>
          <w:sz w:val="24"/>
          <w:szCs w:val="24"/>
        </w:rPr>
      </w:pPr>
      <w:r>
        <w:rPr>
          <w:rFonts w:ascii="Times New Roman" w:hAnsi="Times New Roman"/>
          <w:sz w:val="24"/>
          <w:szCs w:val="24"/>
        </w:rPr>
        <w:t>‘</w:t>
      </w:r>
      <w:r w:rsidRPr="00CE1834">
        <w:rPr>
          <w:rFonts w:ascii="Times New Roman" w:hAnsi="Times New Roman"/>
          <w:sz w:val="24"/>
          <w:szCs w:val="24"/>
        </w:rPr>
        <w:t>Chief Flynn got very upset, real red in the face, upset about-I think even slammed his hands down a couple times-very upset about minorities and lesbians that were coming after him. And he saw in the future that he would go down like Chief Jones, and he wasn't going to let that happen, and he was outraged because he had promoted many of those same people, and then he rattled off the list of names.</w:t>
      </w:r>
      <w:r>
        <w:rPr>
          <w:rFonts w:ascii="Times New Roman" w:hAnsi="Times New Roman"/>
          <w:sz w:val="24"/>
          <w:szCs w:val="24"/>
        </w:rPr>
        <w:t>’</w:t>
      </w:r>
      <w:r w:rsidRPr="00CE1834">
        <w:rPr>
          <w:rFonts w:ascii="Times New Roman" w:hAnsi="Times New Roman"/>
          <w:sz w:val="24"/>
          <w:szCs w:val="24"/>
        </w:rPr>
        <w:t xml:space="preserve"> </w:t>
      </w:r>
    </w:p>
    <w:p w14:paraId="575B4064" w14:textId="77777777" w:rsidR="00C67B2A" w:rsidRDefault="00C67B2A" w:rsidP="00C67B2A">
      <w:pPr>
        <w:rPr>
          <w:rFonts w:ascii="Times New Roman" w:hAnsi="Times New Roman"/>
          <w:sz w:val="24"/>
          <w:szCs w:val="24"/>
        </w:rPr>
      </w:pPr>
      <w:r>
        <w:rPr>
          <w:rFonts w:ascii="Times New Roman" w:hAnsi="Times New Roman"/>
          <w:sz w:val="24"/>
          <w:szCs w:val="24"/>
        </w:rPr>
        <w:tab/>
        <w:t>***</w:t>
      </w:r>
    </w:p>
    <w:p w14:paraId="6DD538AF" w14:textId="62C21D0F" w:rsidR="00C67B2A" w:rsidRDefault="00C67B2A" w:rsidP="00C67B2A">
      <w:pPr>
        <w:rPr>
          <w:rFonts w:ascii="Arial Black" w:hAnsi="Arial Black"/>
          <w:b/>
          <w:sz w:val="24"/>
          <w:szCs w:val="24"/>
        </w:rPr>
      </w:pPr>
      <w:r w:rsidRPr="00B86ECC">
        <w:rPr>
          <w:rFonts w:ascii="Times New Roman" w:eastAsia="Times New Roman" w:hAnsi="Times New Roman"/>
          <w:sz w:val="24"/>
          <w:szCs w:val="24"/>
        </w:rPr>
        <w:t>Examining the record, Flynn's 2015 AIM comments emerge as Williams' most consequential allegation, but the defense has asked the Court to tare the weight of those comments</w:t>
      </w:r>
      <w:r>
        <w:rPr>
          <w:rFonts w:ascii="Times New Roman" w:eastAsia="Times New Roman" w:hAnsi="Times New Roman"/>
          <w:sz w:val="24"/>
          <w:szCs w:val="24"/>
        </w:rPr>
        <w:t xml:space="preserve">…. </w:t>
      </w:r>
      <w:r w:rsidRPr="00B86ECC">
        <w:rPr>
          <w:rFonts w:ascii="Times New Roman" w:hAnsi="Times New Roman"/>
          <w:sz w:val="24"/>
          <w:szCs w:val="24"/>
        </w:rPr>
        <w:t xml:space="preserve">Defendants are off base in arguing that Flynn's stray remarks should count for nothing at all. The Seventh Circuit has reminded courts, however, that its cases “should not be overread to mean that ‘stray remarks' of a derogatory character are never evidence of discrimination. What our cases hold . . . is that if someone not involved in the decision making in a plaintiff's case </w:t>
      </w:r>
      <w:r w:rsidRPr="00B86ECC">
        <w:rPr>
          <w:rFonts w:ascii="Times New Roman" w:eastAsia="Times New Roman" w:hAnsi="Times New Roman"/>
          <w:sz w:val="24"/>
          <w:szCs w:val="24"/>
        </w:rPr>
        <w:t xml:space="preserve">expressed discriminatory feelings, that is not evidence that the decision was discriminatory.” </w:t>
      </w:r>
      <w:r w:rsidRPr="00B86ECC">
        <w:rPr>
          <w:rFonts w:ascii="Times New Roman" w:eastAsia="Times New Roman" w:hAnsi="Times New Roman"/>
          <w:i/>
          <w:iCs/>
          <w:sz w:val="24"/>
          <w:szCs w:val="24"/>
        </w:rPr>
        <w:t>Gorence v. Eagle Food Centers, Inc.</w:t>
      </w:r>
      <w:r w:rsidRPr="00B86ECC">
        <w:rPr>
          <w:rFonts w:ascii="Times New Roman" w:eastAsia="Times New Roman" w:hAnsi="Times New Roman"/>
          <w:sz w:val="24"/>
          <w:szCs w:val="24"/>
        </w:rPr>
        <w:t>, 242 F.3d 759, 762 (7th Cir. 2001). Here, Flynn was the decisionmaker in this case, so his derogatory remarks, even if unrelated to an employment decision, can support Williams' case.</w:t>
      </w:r>
      <w:r w:rsidRPr="00B86ECC">
        <w:rPr>
          <w:rFonts w:ascii="Times New Roman" w:hAnsi="Times New Roman"/>
          <w:sz w:val="24"/>
          <w:szCs w:val="24"/>
        </w:rPr>
        <w:t>”</w:t>
      </w:r>
      <w:r>
        <w:t xml:space="preserve"> </w:t>
      </w:r>
      <w:hyperlink r:id="rId1624" w:history="1">
        <w:r w:rsidRPr="00075C00">
          <w:rPr>
            <w:rStyle w:val="Hyperlink"/>
          </w:rPr>
          <w:t>https://public.fastcase.com/9SKwsfNqTc6OieYDhNMyM2CFW33xyjvV9V9tDamXdBOoRSeaTiz5NEXWtNHJhMGDLmAvOr1CXJk0EV3MUdbM2l1WIYIXZemQzLeI%2BSSBPyk%3D</w:t>
        </w:r>
      </w:hyperlink>
    </w:p>
    <w:p w14:paraId="544C1A34" w14:textId="77777777" w:rsidR="00C67B2A" w:rsidRPr="00EF65E0" w:rsidRDefault="00C67B2A" w:rsidP="00C67B2A">
      <w:pPr>
        <w:tabs>
          <w:tab w:val="left" w:pos="3280"/>
        </w:tabs>
        <w:spacing w:before="100" w:beforeAutospacing="1" w:after="100" w:afterAutospacing="1" w:line="240" w:lineRule="auto"/>
        <w:rPr>
          <w:rFonts w:ascii="Times New Roman" w:hAnsi="Times New Roman"/>
          <w:b/>
          <w:bCs/>
          <w:sz w:val="24"/>
          <w:szCs w:val="24"/>
        </w:rPr>
      </w:pPr>
      <w:r w:rsidRPr="00EF65E0">
        <w:rPr>
          <w:rFonts w:ascii="Times New Roman" w:hAnsi="Times New Roman"/>
          <w:b/>
          <w:bCs/>
          <w:sz w:val="24"/>
          <w:szCs w:val="24"/>
        </w:rPr>
        <w:t>Legal Lesson Learned:</w:t>
      </w:r>
      <w:r>
        <w:rPr>
          <w:rFonts w:ascii="Times New Roman" w:hAnsi="Times New Roman"/>
          <w:b/>
          <w:bCs/>
          <w:sz w:val="24"/>
          <w:szCs w:val="24"/>
        </w:rPr>
        <w:t xml:space="preserve"> “Stray remarks” by police or fire chiefs, and other executives in hiring and promotion process, can come back to “bite” in employment litigation. </w:t>
      </w:r>
    </w:p>
    <w:p w14:paraId="7551BE8F" w14:textId="77777777" w:rsidR="00C67B2A" w:rsidRDefault="00C67B2A" w:rsidP="00BC70A3">
      <w:pPr>
        <w:rPr>
          <w:rFonts w:ascii="Arial Black" w:hAnsi="Arial Black"/>
          <w:b/>
          <w:sz w:val="24"/>
          <w:szCs w:val="24"/>
        </w:rPr>
      </w:pPr>
    </w:p>
    <w:p w14:paraId="30422B31" w14:textId="45BD2C23" w:rsidR="009A3D9F" w:rsidRDefault="009A3D9F" w:rsidP="00BC70A3">
      <w:pPr>
        <w:rPr>
          <w:rFonts w:ascii="Arial Black" w:hAnsi="Arial Black"/>
          <w:b/>
          <w:sz w:val="24"/>
          <w:szCs w:val="24"/>
        </w:rPr>
      </w:pPr>
      <w:r>
        <w:rPr>
          <w:rFonts w:ascii="Arial Black" w:hAnsi="Arial Black"/>
          <w:b/>
          <w:sz w:val="24"/>
          <w:szCs w:val="24"/>
        </w:rPr>
        <w:t>8-33</w:t>
      </w:r>
    </w:p>
    <w:p w14:paraId="50D0EC29" w14:textId="77777777" w:rsidR="009A3D9F" w:rsidRPr="00A14A14"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RECRUIT FAILED VERTICAL VENTILTION TESTS 9 TIMES - TERMINATED – NOT RACE DISCRIMINATION</w:t>
      </w:r>
    </w:p>
    <w:p w14:paraId="536124E3" w14:textId="73026742" w:rsidR="009A3D9F" w:rsidRDefault="009A3D9F" w:rsidP="009A3D9F">
      <w:pPr>
        <w:rPr>
          <w:rStyle w:val="Hyperlink"/>
          <w:rFonts w:ascii="Times New Roman" w:hAnsi="Times New Roman"/>
          <w:sz w:val="24"/>
          <w:szCs w:val="24"/>
        </w:rPr>
      </w:pPr>
      <w:r>
        <w:rPr>
          <w:rFonts w:ascii="Times New Roman" w:hAnsi="Times New Roman"/>
          <w:sz w:val="24"/>
          <w:szCs w:val="24"/>
        </w:rPr>
        <w:t xml:space="preserve">On Sept. 7, 2021, in </w:t>
      </w:r>
      <w:r w:rsidRPr="00D11452">
        <w:rPr>
          <w:rFonts w:ascii="Times New Roman" w:hAnsi="Times New Roman"/>
          <w:sz w:val="24"/>
          <w:szCs w:val="24"/>
          <w:u w:val="single"/>
        </w:rPr>
        <w:t>Major Smith, III v. City of Toledo, et al</w:t>
      </w:r>
      <w:r>
        <w:rPr>
          <w:rFonts w:ascii="Times New Roman" w:hAnsi="Times New Roman"/>
          <w:sz w:val="24"/>
          <w:szCs w:val="24"/>
        </w:rPr>
        <w:t xml:space="preserve">., </w:t>
      </w:r>
      <w:r w:rsidRPr="0080716B">
        <w:rPr>
          <w:rFonts w:ascii="Times New Roman" w:eastAsia="Times New Roman" w:hAnsi="Times New Roman"/>
          <w:sz w:val="24"/>
          <w:szCs w:val="24"/>
        </w:rPr>
        <w:t>13 F.4th 508</w:t>
      </w:r>
      <w:r>
        <w:rPr>
          <w:rFonts w:ascii="Times New Roman" w:eastAsia="Times New Roman" w:hAnsi="Times New Roman"/>
          <w:sz w:val="24"/>
          <w:szCs w:val="24"/>
        </w:rPr>
        <w:t xml:space="preserve">, </w:t>
      </w:r>
      <w:r>
        <w:rPr>
          <w:rFonts w:ascii="Times New Roman" w:hAnsi="Times New Roman"/>
          <w:sz w:val="24"/>
          <w:szCs w:val="24"/>
        </w:rPr>
        <w:t>the U.S. Court of Appeals for the 6</w:t>
      </w:r>
      <w:r w:rsidRPr="00D11452">
        <w:rPr>
          <w:rFonts w:ascii="Times New Roman" w:hAnsi="Times New Roman"/>
          <w:sz w:val="24"/>
          <w:szCs w:val="24"/>
          <w:vertAlign w:val="superscript"/>
        </w:rPr>
        <w:t>th</w:t>
      </w:r>
      <w:r>
        <w:rPr>
          <w:rFonts w:ascii="Times New Roman" w:hAnsi="Times New Roman"/>
          <w:sz w:val="24"/>
          <w:szCs w:val="24"/>
        </w:rPr>
        <w:t xml:space="preserve"> Circuit (Cincinnati) held (2 to 1) that trial court judge properly granted summary judgment to the City of Toledo. The recruit class of 29 recruits, including three </w:t>
      </w:r>
      <w:proofErr w:type="gramStart"/>
      <w:r>
        <w:rPr>
          <w:rFonts w:ascii="Times New Roman" w:hAnsi="Times New Roman"/>
          <w:sz w:val="24"/>
          <w:szCs w:val="24"/>
        </w:rPr>
        <w:t>African-Americans</w:t>
      </w:r>
      <w:proofErr w:type="gramEnd"/>
      <w:r>
        <w:rPr>
          <w:rFonts w:ascii="Times New Roman" w:hAnsi="Times New Roman"/>
          <w:sz w:val="24"/>
          <w:szCs w:val="24"/>
        </w:rPr>
        <w:t xml:space="preserve"> and two Hispanics, “</w:t>
      </w:r>
      <w:r w:rsidRPr="00D25789">
        <w:rPr>
          <w:rFonts w:ascii="Times New Roman" w:hAnsi="Times New Roman"/>
          <w:sz w:val="24"/>
          <w:szCs w:val="24"/>
        </w:rPr>
        <w:t>twenty-seven passed the vertical ventilation test on the first try; the twenty-eighth passed on his second try; Smith never passed, despite nine attempts.</w:t>
      </w:r>
      <w:r>
        <w:rPr>
          <w:rFonts w:ascii="Times New Roman" w:hAnsi="Times New Roman"/>
          <w:sz w:val="24"/>
          <w:szCs w:val="24"/>
        </w:rPr>
        <w:t xml:space="preserve">”  </w:t>
      </w:r>
      <w:hyperlink r:id="rId1625" w:history="1">
        <w:r w:rsidRPr="00A83547">
          <w:rPr>
            <w:rStyle w:val="Hyperlink"/>
            <w:rFonts w:ascii="Times New Roman" w:hAnsi="Times New Roman"/>
            <w:sz w:val="24"/>
            <w:szCs w:val="24"/>
          </w:rPr>
          <w:t>https://casetext.com/case/smith-v-city-of-toledo</w:t>
        </w:r>
      </w:hyperlink>
    </w:p>
    <w:p w14:paraId="41CEC49E" w14:textId="77777777" w:rsidR="009A3D9F" w:rsidRPr="00D91B7C" w:rsidRDefault="009A3D9F" w:rsidP="009A3D9F">
      <w:pPr>
        <w:spacing w:before="100" w:beforeAutospacing="1" w:after="100" w:afterAutospacing="1" w:line="240" w:lineRule="auto"/>
        <w:rPr>
          <w:rFonts w:ascii="Times New Roman" w:eastAsia="Times New Roman" w:hAnsi="Times New Roman"/>
          <w:b/>
          <w:bCs/>
          <w:sz w:val="24"/>
          <w:szCs w:val="24"/>
        </w:rPr>
      </w:pPr>
      <w:r w:rsidRPr="00D91B7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Race discrimination not proved; the FD gave him additional </w:t>
      </w:r>
      <w:proofErr w:type="gramStart"/>
      <w:r>
        <w:rPr>
          <w:rFonts w:ascii="Times New Roman" w:eastAsia="Times New Roman" w:hAnsi="Times New Roman"/>
          <w:b/>
          <w:bCs/>
          <w:sz w:val="24"/>
          <w:szCs w:val="24"/>
        </w:rPr>
        <w:t>opportunities</w:t>
      </w:r>
      <w:proofErr w:type="gramEnd"/>
      <w:r>
        <w:rPr>
          <w:rFonts w:ascii="Times New Roman" w:eastAsia="Times New Roman" w:hAnsi="Times New Roman"/>
          <w:b/>
          <w:bCs/>
          <w:sz w:val="24"/>
          <w:szCs w:val="24"/>
        </w:rPr>
        <w:t xml:space="preserve"> but he still couldn’t pass the vertical ventilation.  </w:t>
      </w:r>
    </w:p>
    <w:p w14:paraId="3459B0D3" w14:textId="77777777" w:rsidR="009A3D9F" w:rsidRPr="00552E8D" w:rsidRDefault="009A3D9F" w:rsidP="009A3D9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w:t>
      </w:r>
      <w:r w:rsidRPr="00142F8E">
        <w:rPr>
          <w:rFonts w:ascii="Times New Roman" w:eastAsia="Times New Roman" w:hAnsi="Times New Roman"/>
          <w:sz w:val="24"/>
          <w:szCs w:val="24"/>
        </w:rPr>
        <w:t xml:space="preserve">Judge </w:t>
      </w:r>
      <w:r w:rsidRPr="00142F8E">
        <w:rPr>
          <w:rFonts w:ascii="Times New Roman" w:hAnsi="Times New Roman"/>
          <w:sz w:val="24"/>
          <w:szCs w:val="24"/>
        </w:rPr>
        <w:t>HELENE N. WHITE, Circuit Judge, concurring in part and dissenting in part.</w:t>
      </w:r>
      <w:r>
        <w:rPr>
          <w:rFonts w:ascii="Times New Roman" w:hAnsi="Times New Roman"/>
          <w:sz w:val="24"/>
          <w:szCs w:val="24"/>
        </w:rPr>
        <w:t xml:space="preserve"> “</w:t>
      </w:r>
      <w:r w:rsidRPr="00142F8E">
        <w:rPr>
          <w:rFonts w:ascii="Times New Roman" w:hAnsi="Times New Roman"/>
          <w:sz w:val="24"/>
          <w:szCs w:val="24"/>
        </w:rPr>
        <w:t xml:space="preserve">I agree that the district court properly granted summary judgment to the City of Toledo on Smith's § 1983 and intentional-infliction-of-emotional-distress claims and properly denied Smith's motion for additional discovery. However, because there is a genuine dispute of material fact about whether the </w:t>
      </w:r>
      <w:proofErr w:type="gramStart"/>
      <w:r w:rsidRPr="00142F8E">
        <w:rPr>
          <w:rFonts w:ascii="Times New Roman" w:hAnsi="Times New Roman"/>
          <w:sz w:val="24"/>
          <w:szCs w:val="24"/>
        </w:rPr>
        <w:t>City</w:t>
      </w:r>
      <w:proofErr w:type="gramEnd"/>
      <w:r w:rsidRPr="00142F8E">
        <w:rPr>
          <w:rFonts w:ascii="Times New Roman" w:hAnsi="Times New Roman"/>
          <w:sz w:val="24"/>
          <w:szCs w:val="24"/>
        </w:rPr>
        <w:t xml:space="preserve"> dismissed Smith from the academy because of his race, I would reverse the grant of summary judgment on Smith's discrimination and conspiracy claims.</w:t>
      </w:r>
      <w:r>
        <w:rPr>
          <w:rFonts w:ascii="Times New Roman" w:hAnsi="Times New Roman"/>
          <w:sz w:val="24"/>
          <w:szCs w:val="24"/>
        </w:rPr>
        <w:t xml:space="preserve">*** </w:t>
      </w:r>
      <w:r w:rsidRPr="00142F8E">
        <w:rPr>
          <w:rFonts w:ascii="Times New Roman" w:hAnsi="Times New Roman"/>
          <w:sz w:val="24"/>
          <w:szCs w:val="24"/>
        </w:rPr>
        <w:t>And, since 2014, 80% of the recruits who were dismissed from the Academy were African American, and the remaining 20% were Hispanic, despite African Americans making up a minority of the class. This further supports an inference of discrimination.</w:t>
      </w:r>
      <w:r>
        <w:rPr>
          <w:rFonts w:ascii="Times New Roman" w:hAnsi="Times New Roman"/>
          <w:sz w:val="24"/>
          <w:szCs w:val="24"/>
        </w:rPr>
        <w:t>”</w:t>
      </w:r>
    </w:p>
    <w:p w14:paraId="3E403F72" w14:textId="77777777" w:rsidR="009A3D9F" w:rsidRDefault="009A3D9F" w:rsidP="009A3D9F">
      <w:pPr>
        <w:rPr>
          <w:rFonts w:ascii="Arial Black" w:hAnsi="Arial Black"/>
          <w:b/>
          <w:sz w:val="24"/>
          <w:szCs w:val="24"/>
        </w:rPr>
      </w:pPr>
    </w:p>
    <w:p w14:paraId="44206D7E" w14:textId="77777777" w:rsidR="009A3D9F" w:rsidRDefault="009A3D9F" w:rsidP="00BC70A3">
      <w:pPr>
        <w:rPr>
          <w:rFonts w:ascii="Arial Black" w:hAnsi="Arial Black"/>
          <w:b/>
          <w:sz w:val="24"/>
          <w:szCs w:val="24"/>
        </w:rPr>
      </w:pPr>
    </w:p>
    <w:p w14:paraId="69C0FAB5" w14:textId="77777777" w:rsidR="009A3D9F" w:rsidRDefault="009A3D9F" w:rsidP="00BC70A3">
      <w:pPr>
        <w:rPr>
          <w:rFonts w:ascii="Arial Black" w:hAnsi="Arial Black"/>
          <w:b/>
          <w:sz w:val="24"/>
          <w:szCs w:val="24"/>
        </w:rPr>
      </w:pPr>
    </w:p>
    <w:p w14:paraId="5E7664AC" w14:textId="2B15433B" w:rsidR="00BD1702" w:rsidRDefault="00BD1702" w:rsidP="00BC70A3">
      <w:pPr>
        <w:rPr>
          <w:rFonts w:ascii="Arial Black" w:hAnsi="Arial Black"/>
          <w:b/>
          <w:sz w:val="24"/>
          <w:szCs w:val="24"/>
        </w:rPr>
      </w:pPr>
      <w:r>
        <w:rPr>
          <w:rFonts w:ascii="Arial Black" w:hAnsi="Arial Black"/>
          <w:b/>
          <w:sz w:val="24"/>
          <w:szCs w:val="24"/>
        </w:rPr>
        <w:t>8-32</w:t>
      </w:r>
    </w:p>
    <w:p w14:paraId="1CEE932C" w14:textId="77777777" w:rsidR="00BD1702" w:rsidRDefault="00BD1702" w:rsidP="00BD170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MI: FF OF ARAB DISSENT – IMAGES OF CAMEL / SLURS - HOSTILE WORK ATMOSPHERE – LAWSUIT REINSTATED</w:t>
      </w:r>
    </w:p>
    <w:p w14:paraId="0790AF18" w14:textId="77777777" w:rsidR="00BD1702" w:rsidRDefault="00BD1702" w:rsidP="00BD1702">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Sept. 16, 2021, in </w:t>
      </w:r>
      <w:r>
        <w:rPr>
          <w:rStyle w:val="markedcontent"/>
          <w:rFonts w:ascii="Times New Roman" w:hAnsi="Times New Roman"/>
          <w:sz w:val="24"/>
          <w:szCs w:val="24"/>
          <w:u w:val="single"/>
        </w:rPr>
        <w:t>Richard Cadoura v. Flat Rock Fire Department, et al</w:t>
      </w:r>
      <w:r>
        <w:rPr>
          <w:rStyle w:val="markedcontent"/>
          <w:rFonts w:ascii="Times New Roman" w:hAnsi="Times New Roman"/>
          <w:sz w:val="24"/>
          <w:szCs w:val="24"/>
        </w:rPr>
        <w:t xml:space="preserve">., the State of Michigan Court of Appeals, held (3 to 0), in an unpublished decision, that trial court judge improperly dismissed the lawsuit because of “simple teasing” during the firefighter’s 15 months of probation with the fire department.  The Court of Appeals strongly disagreed. </w:t>
      </w:r>
    </w:p>
    <w:p w14:paraId="5499D05C" w14:textId="77777777" w:rsidR="00BD1702" w:rsidRDefault="00BD1702" w:rsidP="00BD1702">
      <w:pPr>
        <w:spacing w:before="100" w:beforeAutospacing="1" w:after="100" w:afterAutospacing="1" w:line="240" w:lineRule="auto"/>
        <w:ind w:left="720"/>
        <w:rPr>
          <w:rStyle w:val="markedcontent"/>
          <w:rFonts w:ascii="Times New Roman" w:hAnsi="Times New Roman"/>
          <w:sz w:val="24"/>
          <w:szCs w:val="24"/>
        </w:rPr>
      </w:pPr>
      <w:r w:rsidRPr="000A41C2">
        <w:rPr>
          <w:rStyle w:val="markedcontent"/>
          <w:rFonts w:ascii="Times New Roman" w:hAnsi="Times New Roman"/>
          <w:sz w:val="24"/>
          <w:szCs w:val="24"/>
        </w:rPr>
        <w:t xml:space="preserve">“In this case, plaintiff presented evidence sufficient to create a genuine issue of material fact regarding whether there was </w:t>
      </w:r>
      <w:r w:rsidRPr="000A41C2">
        <w:rPr>
          <w:rFonts w:ascii="Times New Roman" w:hAnsi="Times New Roman"/>
          <w:sz w:val="24"/>
          <w:szCs w:val="24"/>
        </w:rPr>
        <w:t xml:space="preserve">an intimidating, hostile, and offensive work environment. There was documentary evidence of the text message with an image of a camel, the questioning of plaintiff’s parentage in regard to his son, the ‘sand n****r’ slur, the playing of Arabic music over the firetruck’s PA system on multiple occasions, the beheaded camel figurine with an American flag stuck in it, and the references to towels being used for cleaning and not to wear on one’s head. In conjunction with that evidence, there was plaintiff’s testimony regarding his work conditions and his claimed mistreatment and harassment by full-timers and by Sergeant Rose, as well as his testimony that AFC Hammond and Fire Chief Vack did nothing to address or alleviate the toxic environment. We conclude that the trial court erred by determining </w:t>
      </w:r>
      <w:r w:rsidRPr="000A41C2">
        <w:rPr>
          <w:rFonts w:ascii="Times New Roman" w:hAnsi="Times New Roman"/>
          <w:sz w:val="24"/>
          <w:szCs w:val="24"/>
        </w:rPr>
        <w:br/>
      </w:r>
      <w:r w:rsidRPr="000A41C2">
        <w:rPr>
          <w:rStyle w:val="markedcontent"/>
          <w:rFonts w:ascii="Times New Roman" w:hAnsi="Times New Roman"/>
          <w:sz w:val="24"/>
          <w:szCs w:val="24"/>
        </w:rPr>
        <w:t>as a matter of law that there was no hostile work environment.”</w:t>
      </w:r>
      <w:r>
        <w:rPr>
          <w:rFonts w:ascii="Times New Roman" w:hAnsi="Times New Roman"/>
          <w:sz w:val="24"/>
          <w:szCs w:val="24"/>
        </w:rPr>
        <w:t xml:space="preserve"> </w:t>
      </w:r>
      <w:hyperlink r:id="rId1626" w:history="1">
        <w:r>
          <w:rPr>
            <w:rStyle w:val="Hyperlink"/>
            <w:sz w:val="24"/>
            <w:szCs w:val="24"/>
          </w:rPr>
          <w:t>https://www.courts.mi.gov/4a7f39/siteassets/case-documents/uploads/opinions/final/coa/20210916_c353618_41_353618.opn.pdf</w:t>
        </w:r>
      </w:hyperlink>
      <w:r>
        <w:rPr>
          <w:rStyle w:val="markedcontent"/>
          <w:rFonts w:ascii="Times New Roman" w:hAnsi="Times New Roman"/>
          <w:sz w:val="24"/>
          <w:szCs w:val="24"/>
        </w:rPr>
        <w:t xml:space="preserve"> </w:t>
      </w:r>
    </w:p>
    <w:p w14:paraId="299A1175" w14:textId="77777777" w:rsidR="00BD1702" w:rsidRDefault="00BD1702" w:rsidP="00BD1702">
      <w:pPr>
        <w:pStyle w:val="docdate"/>
        <w:rPr>
          <w:rStyle w:val="markedcontent"/>
          <w:rFonts w:eastAsiaTheme="majorEastAsia"/>
          <w:b/>
          <w:bCs/>
        </w:rPr>
      </w:pPr>
      <w:r>
        <w:rPr>
          <w:rStyle w:val="markedcontent"/>
          <w:rFonts w:eastAsiaTheme="majorEastAsia"/>
          <w:b/>
          <w:bCs/>
        </w:rPr>
        <w:t>Legal Lesson Learned:  Firefighters must understand that their acts of “simple teasing” can be very harmful, and officers have an obligation to prevent a hostile work atmosphere.</w:t>
      </w:r>
    </w:p>
    <w:p w14:paraId="640B75EA" w14:textId="77777777" w:rsidR="00BD1702" w:rsidRDefault="00BD1702" w:rsidP="00BC70A3">
      <w:pPr>
        <w:rPr>
          <w:rFonts w:ascii="Arial Black" w:hAnsi="Arial Black"/>
          <w:b/>
          <w:sz w:val="24"/>
          <w:szCs w:val="24"/>
        </w:rPr>
      </w:pPr>
    </w:p>
    <w:p w14:paraId="6A09C869" w14:textId="7F00FD89" w:rsidR="00BD263B" w:rsidRDefault="00BD263B" w:rsidP="00BC70A3">
      <w:pPr>
        <w:rPr>
          <w:rFonts w:ascii="Arial Black" w:hAnsi="Arial Black"/>
          <w:b/>
          <w:sz w:val="24"/>
          <w:szCs w:val="24"/>
        </w:rPr>
      </w:pPr>
      <w:r>
        <w:rPr>
          <w:rFonts w:ascii="Arial Black" w:hAnsi="Arial Black"/>
          <w:b/>
          <w:sz w:val="24"/>
          <w:szCs w:val="24"/>
        </w:rPr>
        <w:t>8-31</w:t>
      </w:r>
    </w:p>
    <w:p w14:paraId="60AEBF23" w14:textId="77777777" w:rsidR="00BD263B" w:rsidRDefault="00BD263B" w:rsidP="00BD263B">
      <w:pPr>
        <w:pStyle w:val="NoSpacing"/>
        <w:rPr>
          <w:rFonts w:ascii="Arial Black" w:hAnsi="Arial Black"/>
          <w:sz w:val="28"/>
          <w:szCs w:val="28"/>
        </w:rPr>
      </w:pPr>
      <w:bookmarkStart w:id="317" w:name="_Hlk81842350"/>
      <w:r>
        <w:rPr>
          <w:rFonts w:ascii="Arial Black" w:hAnsi="Arial Black"/>
          <w:sz w:val="28"/>
          <w:szCs w:val="28"/>
        </w:rPr>
        <w:t>NY:  FDNY – SCBAs – FD NOW FOLLOWING OSHA NO BEARD REQUIREMENT – ADA LAWSUIT BY BLACK FF DISMISSED</w:t>
      </w:r>
    </w:p>
    <w:bookmarkEnd w:id="317"/>
    <w:p w14:paraId="2AE784D9" w14:textId="77777777" w:rsidR="00BD263B" w:rsidRDefault="00BD263B" w:rsidP="00BD263B">
      <w:pPr>
        <w:pStyle w:val="NoSpacing"/>
        <w:rPr>
          <w:rFonts w:ascii="Arial Black" w:hAnsi="Arial Black"/>
          <w:sz w:val="28"/>
          <w:szCs w:val="28"/>
        </w:rPr>
      </w:pPr>
    </w:p>
    <w:p w14:paraId="0EE0383A" w14:textId="77777777" w:rsidR="00BD263B" w:rsidRDefault="00BD263B" w:rsidP="00BD263B">
      <w:pPr>
        <w:pStyle w:val="NoSpacing"/>
        <w:rPr>
          <w:rFonts w:ascii="Times New Roman" w:hAnsi="Times New Roman"/>
          <w:sz w:val="24"/>
          <w:szCs w:val="24"/>
        </w:rPr>
      </w:pPr>
      <w:r>
        <w:rPr>
          <w:rFonts w:ascii="Times New Roman" w:hAnsi="Times New Roman"/>
          <w:sz w:val="24"/>
          <w:szCs w:val="24"/>
        </w:rPr>
        <w:t xml:space="preserve">On June 9, 2021, in </w:t>
      </w:r>
      <w:r>
        <w:rPr>
          <w:rFonts w:ascii="Times New Roman" w:hAnsi="Times New Roman"/>
          <w:sz w:val="24"/>
          <w:szCs w:val="24"/>
          <w:u w:val="single"/>
        </w:rPr>
        <w:t>Sa</w:t>
      </w:r>
      <w:r w:rsidRPr="00730B7F">
        <w:rPr>
          <w:rFonts w:ascii="Times New Roman" w:hAnsi="Times New Roman"/>
          <w:sz w:val="24"/>
          <w:szCs w:val="24"/>
          <w:u w:val="single"/>
        </w:rPr>
        <w:t>lik Bey, Terrel Joseph, Steven Seymour, Clyde Phillips v. City of New York</w:t>
      </w:r>
      <w:r>
        <w:rPr>
          <w:rFonts w:ascii="Times New Roman" w:hAnsi="Times New Roman"/>
          <w:sz w:val="24"/>
          <w:szCs w:val="24"/>
        </w:rPr>
        <w:t xml:space="preserve">, the U.S. Court of Appeals for the Second District (New York City), held (3 to 0) that the U.S. District Court incorrectly found a violation of the ADA for enforcing a strict grooming policy. </w:t>
      </w:r>
    </w:p>
    <w:p w14:paraId="4AD9AFCF" w14:textId="77777777" w:rsidR="00BD263B" w:rsidRDefault="00BD263B" w:rsidP="00BD263B">
      <w:pPr>
        <w:pStyle w:val="NoSpacing"/>
        <w:rPr>
          <w:rFonts w:ascii="Times New Roman" w:hAnsi="Times New Roman"/>
          <w:sz w:val="24"/>
          <w:szCs w:val="24"/>
        </w:rPr>
      </w:pPr>
    </w:p>
    <w:p w14:paraId="1C3A6E85" w14:textId="77777777" w:rsidR="00BD263B" w:rsidRPr="00264EF8" w:rsidRDefault="00BD263B" w:rsidP="00BD263B">
      <w:pPr>
        <w:pStyle w:val="NoSpacing"/>
        <w:ind w:left="720"/>
        <w:rPr>
          <w:rFonts w:ascii="Times New Roman" w:hAnsi="Times New Roman"/>
          <w:sz w:val="24"/>
          <w:szCs w:val="24"/>
        </w:rPr>
      </w:pPr>
      <w:r>
        <w:rPr>
          <w:rFonts w:ascii="Times New Roman" w:hAnsi="Times New Roman"/>
          <w:sz w:val="24"/>
          <w:szCs w:val="24"/>
        </w:rPr>
        <w:t>“</w:t>
      </w:r>
      <w:r w:rsidRPr="00264EF8">
        <w:rPr>
          <w:rFonts w:ascii="Times New Roman" w:hAnsi="Times New Roman"/>
          <w:sz w:val="24"/>
          <w:szCs w:val="24"/>
        </w:rPr>
        <w:t xml:space="preserve">The fact that no adverse safety events were reported during the period when the FDNY permitted the Firefighters to avoid shaving does not now preclude the FDNY from enforcing the respiratory-protection standard as written. Nor does the fact that the FDNY previously permitted the Firefighters to maintain short beards. The regulation at issue is of OSHA’s devising, not the FDNY’s. </w:t>
      </w:r>
    </w:p>
    <w:p w14:paraId="08AEA163" w14:textId="77777777" w:rsidR="00BD263B" w:rsidRDefault="00BD263B" w:rsidP="00BD263B">
      <w:pPr>
        <w:pStyle w:val="NoSpacing"/>
        <w:rPr>
          <w:rFonts w:ascii="Times New Roman" w:hAnsi="Times New Roman"/>
          <w:sz w:val="24"/>
          <w:szCs w:val="24"/>
        </w:rPr>
      </w:pPr>
      <w:r>
        <w:rPr>
          <w:rFonts w:ascii="Times New Roman" w:hAnsi="Times New Roman"/>
          <w:sz w:val="24"/>
          <w:szCs w:val="24"/>
        </w:rPr>
        <w:tab/>
        <w:t>***</w:t>
      </w:r>
    </w:p>
    <w:p w14:paraId="2E7207DE" w14:textId="77777777" w:rsidR="00BD263B" w:rsidRDefault="00BD263B" w:rsidP="00BD263B">
      <w:pPr>
        <w:pStyle w:val="NoSpacing"/>
        <w:rPr>
          <w:rFonts w:ascii="Times New Roman" w:hAnsi="Times New Roman"/>
          <w:sz w:val="24"/>
          <w:szCs w:val="24"/>
        </w:rPr>
      </w:pPr>
    </w:p>
    <w:p w14:paraId="70B1664E" w14:textId="67A48C43" w:rsidR="00BD263B" w:rsidRDefault="00BD263B" w:rsidP="00BD263B">
      <w:pPr>
        <w:rPr>
          <w:rFonts w:ascii="Arial Black" w:hAnsi="Arial Black"/>
          <w:b/>
          <w:sz w:val="24"/>
          <w:szCs w:val="24"/>
        </w:rPr>
      </w:pPr>
      <w:r w:rsidRPr="00730B7F">
        <w:rPr>
          <w:rFonts w:ascii="Times New Roman" w:hAnsi="Times New Roman"/>
          <w:sz w:val="24"/>
          <w:szCs w:val="24"/>
        </w:rPr>
        <w:t>At bottom, OSHA’s regulations are binding on the FDNY and prohibit the accommodation that the Firefighters seek</w:t>
      </w:r>
      <w:r>
        <w:rPr>
          <w:rFonts w:ascii="Times New Roman" w:hAnsi="Times New Roman"/>
          <w:sz w:val="24"/>
          <w:szCs w:val="24"/>
        </w:rPr>
        <w:t>.</w:t>
      </w:r>
      <w:r w:rsidRPr="00730B7F">
        <w:rPr>
          <w:rFonts w:ascii="Times New Roman" w:hAnsi="Times New Roman"/>
          <w:sz w:val="24"/>
          <w:szCs w:val="24"/>
        </w:rPr>
        <w:t xml:space="preserve"> </w:t>
      </w:r>
      <w:r>
        <w:rPr>
          <w:rFonts w:ascii="Times New Roman" w:hAnsi="Times New Roman"/>
          <w:sz w:val="24"/>
          <w:szCs w:val="24"/>
        </w:rPr>
        <w:t xml:space="preserve"> </w:t>
      </w:r>
      <w:r w:rsidRPr="00730B7F">
        <w:rPr>
          <w:rFonts w:ascii="Times New Roman" w:hAnsi="Times New Roman"/>
          <w:sz w:val="24"/>
          <w:szCs w:val="24"/>
        </w:rPr>
        <w:t>That ends the matter. Of course, the Firefighters retain the ability to present their evidence to OSHA if they continue to believe that the respiratory-protection standard is unduly restrictive; but it is OSHA to which such a challenge should be directed, not the FDNY, and not the courts.</w:t>
      </w:r>
      <w:r>
        <w:rPr>
          <w:rFonts w:ascii="Times New Roman" w:hAnsi="Times New Roman"/>
          <w:sz w:val="24"/>
          <w:szCs w:val="24"/>
        </w:rPr>
        <w:t xml:space="preserve">” </w:t>
      </w:r>
      <w:hyperlink r:id="rId1627" w:history="1">
        <w:r w:rsidRPr="00C10414">
          <w:rPr>
            <w:rStyle w:val="Hyperlink"/>
            <w:sz w:val="24"/>
            <w:szCs w:val="24"/>
          </w:rPr>
          <w:t>https://law.justia.com/cases/federal/appellate-courts/ca2/20-456/20-456-2021-06-09.html</w:t>
        </w:r>
      </w:hyperlink>
    </w:p>
    <w:p w14:paraId="73CB2904" w14:textId="77777777" w:rsidR="00BD263B" w:rsidRPr="00D648D1" w:rsidRDefault="00BD263B" w:rsidP="00BD263B">
      <w:pPr>
        <w:spacing w:after="0" w:line="240" w:lineRule="auto"/>
        <w:rPr>
          <w:rFonts w:ascii="Times New Roman" w:eastAsia="Times New Roman" w:hAnsi="Times New Roman"/>
          <w:b/>
          <w:bCs/>
          <w:sz w:val="24"/>
          <w:szCs w:val="24"/>
        </w:rPr>
      </w:pPr>
      <w:r w:rsidRPr="00264EF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OSHA regulations are being enforced by FDNY and the Court.</w:t>
      </w:r>
    </w:p>
    <w:p w14:paraId="53F18540" w14:textId="77777777" w:rsidR="00BD263B" w:rsidRDefault="00BD263B" w:rsidP="00BD263B">
      <w:pPr>
        <w:pStyle w:val="NormalWeb"/>
        <w:ind w:left="720"/>
      </w:pPr>
      <w:r w:rsidRPr="00264EF8">
        <w:t xml:space="preserve">Note:  The Court recognized prior decisions may have required </w:t>
      </w:r>
      <w:proofErr w:type="gramStart"/>
      <w:r w:rsidRPr="00264EF8">
        <w:t>accommodations</w:t>
      </w:r>
      <w:proofErr w:type="gramEnd"/>
      <w:r w:rsidRPr="00264EF8">
        <w:t>. “Footnote 7. The Firefighters identify several cases involving similar disputes between firefighters and fire departments that they see as supporting an alternative outcome. But those cases are distinguishable as they either stated that OSHA regulations were not binding on the defendant fire department, see Potter v. District of Columbia, 558 F.3d 542, 553 (D.C. Cir. 2009) (Williams, J., concurring); Fitzpatrick v. City of Atlanta, 2 F.3d 1112, 1121 (11th Cir. 1993), or failed to mention OSHA regulations altogether, see generally Kennedy v. District of Columbia, 654 A.2d 847 (D.C. 1994).</w:t>
      </w:r>
      <w:r>
        <w:t>”</w:t>
      </w:r>
    </w:p>
    <w:p w14:paraId="673C24DE" w14:textId="77777777" w:rsidR="00BD263B" w:rsidRDefault="00BD263B" w:rsidP="00BC70A3">
      <w:pPr>
        <w:rPr>
          <w:rFonts w:ascii="Arial Black" w:hAnsi="Arial Black"/>
          <w:b/>
          <w:sz w:val="24"/>
          <w:szCs w:val="24"/>
        </w:rPr>
      </w:pPr>
    </w:p>
    <w:p w14:paraId="297EB944" w14:textId="77777777" w:rsidR="00BD263B" w:rsidRDefault="00BD263B" w:rsidP="00BC70A3">
      <w:pPr>
        <w:rPr>
          <w:rFonts w:ascii="Arial Black" w:hAnsi="Arial Black"/>
          <w:b/>
          <w:sz w:val="24"/>
          <w:szCs w:val="24"/>
        </w:rPr>
      </w:pPr>
    </w:p>
    <w:p w14:paraId="2B335A1C" w14:textId="095F564F" w:rsidR="005217D5" w:rsidRDefault="005217D5" w:rsidP="00BC70A3">
      <w:pPr>
        <w:rPr>
          <w:rFonts w:ascii="Arial Black" w:hAnsi="Arial Black"/>
          <w:b/>
          <w:sz w:val="24"/>
          <w:szCs w:val="24"/>
        </w:rPr>
      </w:pPr>
      <w:r>
        <w:rPr>
          <w:rFonts w:ascii="Arial Black" w:hAnsi="Arial Black"/>
          <w:b/>
          <w:sz w:val="24"/>
          <w:szCs w:val="24"/>
        </w:rPr>
        <w:t>8-30</w:t>
      </w:r>
    </w:p>
    <w:p w14:paraId="2E9D4824" w14:textId="77777777" w:rsidR="005217D5" w:rsidRDefault="005217D5" w:rsidP="005217D5">
      <w:pPr>
        <w:spacing w:before="100" w:beforeAutospacing="1" w:after="100" w:afterAutospacing="1" w:line="240" w:lineRule="auto"/>
        <w:rPr>
          <w:rFonts w:ascii="Arial Black" w:eastAsia="Times New Roman" w:hAnsi="Arial Black"/>
          <w:b/>
          <w:bCs/>
          <w:sz w:val="28"/>
          <w:szCs w:val="28"/>
        </w:rPr>
      </w:pPr>
      <w:r w:rsidRPr="002C3E25">
        <w:rPr>
          <w:rFonts w:ascii="Arial Black" w:eastAsia="Times New Roman" w:hAnsi="Arial Black"/>
          <w:b/>
          <w:bCs/>
          <w:sz w:val="28"/>
          <w:szCs w:val="28"/>
        </w:rPr>
        <w:t>OH</w:t>
      </w:r>
      <w:r>
        <w:rPr>
          <w:rFonts w:ascii="Arial Black" w:eastAsia="Times New Roman" w:hAnsi="Arial Black"/>
          <w:b/>
          <w:bCs/>
          <w:sz w:val="28"/>
          <w:szCs w:val="28"/>
        </w:rPr>
        <w:t xml:space="preserve">: SHIFT CHANGE TO HAVE ONE “WHITE” OFFICER ON DUTY – LAWSUIT BY 5 BLACK EMS CAPTAINS REINSTATED </w:t>
      </w:r>
    </w:p>
    <w:p w14:paraId="62E55010" w14:textId="77777777" w:rsidR="005217D5" w:rsidRPr="00F82822" w:rsidRDefault="005217D5" w:rsidP="005217D5">
      <w:pPr>
        <w:spacing w:before="100" w:beforeAutospacing="1" w:after="100" w:afterAutospacing="1" w:line="240" w:lineRule="auto"/>
        <w:rPr>
          <w:rFonts w:ascii="Times New Roman" w:eastAsia="Times New Roman" w:hAnsi="Times New Roman"/>
          <w:sz w:val="24"/>
          <w:szCs w:val="24"/>
        </w:rPr>
      </w:pPr>
      <w:r w:rsidRPr="00002E7A">
        <w:rPr>
          <w:rFonts w:ascii="Times New Roman" w:eastAsia="Times New Roman" w:hAnsi="Times New Roman"/>
          <w:sz w:val="24"/>
          <w:szCs w:val="24"/>
        </w:rPr>
        <w:t xml:space="preserve">On July 26, 2021, in </w:t>
      </w:r>
      <w:r w:rsidRPr="00002E7A">
        <w:rPr>
          <w:rFonts w:ascii="Times New Roman" w:eastAsia="Times New Roman" w:hAnsi="Times New Roman"/>
          <w:sz w:val="24"/>
          <w:szCs w:val="24"/>
          <w:u w:val="single"/>
        </w:rPr>
        <w:t>Michael Threat; Margarita Noland-Moore; Pamela Beavers; Lawrence Walker; Reginald Anderson v. City of Cleveland, Ohio; Nicole Carlton, Personally and in her official capacity as Commissioner</w:t>
      </w:r>
      <w:r w:rsidRPr="00002E7A">
        <w:rPr>
          <w:rFonts w:ascii="Times New Roman" w:eastAsia="Times New Roman" w:hAnsi="Times New Roman"/>
          <w:sz w:val="24"/>
          <w:szCs w:val="24"/>
        </w:rPr>
        <w:t xml:space="preserve">, </w:t>
      </w:r>
      <w:r>
        <w:rPr>
          <w:rFonts w:ascii="Times New Roman" w:eastAsia="Times New Roman" w:hAnsi="Times New Roman"/>
          <w:sz w:val="24"/>
          <w:szCs w:val="24"/>
        </w:rPr>
        <w:t>the U.S. Court of Appeals for 6</w:t>
      </w:r>
      <w:r w:rsidRPr="00002E7A">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(Cincinnati) held (3 to 0) that trial court improperly held shift change was not a </w:t>
      </w:r>
      <w:r w:rsidRPr="00F82822">
        <w:rPr>
          <w:rFonts w:ascii="Times New Roman" w:hAnsi="Times New Roman"/>
          <w:sz w:val="24"/>
          <w:szCs w:val="24"/>
        </w:rPr>
        <w:t>"materially adverse employment action"</w:t>
      </w:r>
      <w:r>
        <w:rPr>
          <w:rFonts w:ascii="Times New Roman" w:hAnsi="Times New Roman"/>
          <w:sz w:val="24"/>
          <w:szCs w:val="24"/>
        </w:rPr>
        <w:t xml:space="preserve"> since Captain Reginald Anderson he was only transferred to nights for five months. The 6</w:t>
      </w:r>
      <w:r w:rsidRPr="00F82822">
        <w:rPr>
          <w:rFonts w:ascii="Times New Roman" w:hAnsi="Times New Roman"/>
          <w:sz w:val="24"/>
          <w:szCs w:val="24"/>
          <w:vertAlign w:val="superscript"/>
        </w:rPr>
        <w:t>th</w:t>
      </w:r>
      <w:r>
        <w:rPr>
          <w:rFonts w:ascii="Times New Roman" w:hAnsi="Times New Roman"/>
          <w:sz w:val="24"/>
          <w:szCs w:val="24"/>
        </w:rPr>
        <w:t xml:space="preserve"> Circuit </w:t>
      </w:r>
      <w:r>
        <w:rPr>
          <w:rFonts w:ascii="Times New Roman" w:eastAsia="Times New Roman" w:hAnsi="Times New Roman"/>
          <w:sz w:val="24"/>
          <w:szCs w:val="24"/>
        </w:rPr>
        <w:t xml:space="preserve">disagreed and reinstated his lawsuit; it also ordered the trial judge to reconsider the claims by the other 4 Captains </w:t>
      </w:r>
      <w:r w:rsidRPr="00F82822">
        <w:rPr>
          <w:rFonts w:ascii="Times New Roman" w:hAnsi="Times New Roman"/>
          <w:sz w:val="24"/>
          <w:szCs w:val="24"/>
        </w:rPr>
        <w:t>that the city's race-based assignment policy</w:t>
      </w:r>
      <w:r>
        <w:rPr>
          <w:rFonts w:ascii="Times New Roman" w:hAnsi="Times New Roman"/>
          <w:sz w:val="24"/>
          <w:szCs w:val="24"/>
        </w:rPr>
        <w:t xml:space="preserve"> adversely affected them.</w:t>
      </w:r>
      <w:r w:rsidRPr="00F82822">
        <w:rPr>
          <w:rFonts w:ascii="Times New Roman" w:hAnsi="Times New Roman"/>
          <w:sz w:val="24"/>
          <w:szCs w:val="24"/>
        </w:rPr>
        <w:t xml:space="preserve"> </w:t>
      </w:r>
    </w:p>
    <w:p w14:paraId="123D5E7E"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2C1532">
        <w:rPr>
          <w:rFonts w:ascii="Times New Roman" w:hAnsi="Times New Roman"/>
          <w:sz w:val="24"/>
          <w:szCs w:val="24"/>
        </w:rPr>
        <w:t>“Do discriminatory shift changes based on race violate Title VII of the Civil Rights Act of 1964? We think so.</w:t>
      </w:r>
    </w:p>
    <w:p w14:paraId="575EB1BB"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66D54858"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0D43D9">
        <w:rPr>
          <w:rFonts w:ascii="Times New Roman" w:hAnsi="Times New Roman"/>
          <w:sz w:val="24"/>
          <w:szCs w:val="24"/>
        </w:rPr>
        <w:t xml:space="preserve">There also is little room for debate that the city treated the black captains differently </w:t>
      </w:r>
      <w:r>
        <w:rPr>
          <w:rFonts w:ascii="Times New Roman" w:hAnsi="Times New Roman"/>
          <w:sz w:val="24"/>
          <w:szCs w:val="24"/>
        </w:rPr>
        <w:t>‘</w:t>
      </w:r>
      <w:r w:rsidRPr="000D43D9">
        <w:rPr>
          <w:rFonts w:ascii="Times New Roman" w:hAnsi="Times New Roman"/>
          <w:sz w:val="24"/>
          <w:szCs w:val="24"/>
        </w:rPr>
        <w:t>because of</w:t>
      </w:r>
      <w:r>
        <w:rPr>
          <w:rFonts w:ascii="Times New Roman" w:hAnsi="Times New Roman"/>
          <w:sz w:val="24"/>
          <w:szCs w:val="24"/>
        </w:rPr>
        <w:t>’</w:t>
      </w:r>
      <w:r w:rsidRPr="000D43D9">
        <w:rPr>
          <w:rFonts w:ascii="Times New Roman" w:hAnsi="Times New Roman"/>
          <w:sz w:val="24"/>
          <w:szCs w:val="24"/>
        </w:rPr>
        <w:t xml:space="preserve"> their </w:t>
      </w:r>
      <w:r>
        <w:rPr>
          <w:rFonts w:ascii="Times New Roman" w:hAnsi="Times New Roman"/>
          <w:sz w:val="24"/>
          <w:szCs w:val="24"/>
        </w:rPr>
        <w:t>‘</w:t>
      </w:r>
      <w:r w:rsidRPr="000D43D9">
        <w:rPr>
          <w:rFonts w:ascii="Times New Roman" w:hAnsi="Times New Roman"/>
          <w:sz w:val="24"/>
          <w:szCs w:val="24"/>
        </w:rPr>
        <w:t>race.</w:t>
      </w:r>
      <w:r>
        <w:rPr>
          <w:rFonts w:ascii="Times New Roman" w:hAnsi="Times New Roman"/>
          <w:sz w:val="24"/>
          <w:szCs w:val="24"/>
        </w:rPr>
        <w:t>’</w:t>
      </w:r>
      <w:r w:rsidRPr="000D43D9">
        <w:rPr>
          <w:rFonts w:ascii="Times New Roman" w:hAnsi="Times New Roman"/>
          <w:sz w:val="24"/>
          <w:szCs w:val="24"/>
        </w:rPr>
        <w:t xml:space="preserve"> </w:t>
      </w:r>
      <w:r>
        <w:rPr>
          <w:rFonts w:ascii="Times New Roman" w:hAnsi="Times New Roman"/>
          <w:sz w:val="24"/>
          <w:szCs w:val="24"/>
        </w:rPr>
        <w:t xml:space="preserve"> [Cleveland EMS Commission Nicole] </w:t>
      </w:r>
      <w:r w:rsidRPr="000D43D9">
        <w:rPr>
          <w:rFonts w:ascii="Times New Roman" w:hAnsi="Times New Roman"/>
          <w:sz w:val="24"/>
          <w:szCs w:val="24"/>
        </w:rPr>
        <w:t>Carlton admitted that she switched out a black captain for a white one to adjust the shift's racial makeup. That counts as direct evidence of discrimination based on race.</w:t>
      </w:r>
    </w:p>
    <w:p w14:paraId="1F454A03"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0351A19" w14:textId="77777777" w:rsidR="005217D5" w:rsidRPr="000D43D9" w:rsidRDefault="005217D5" w:rsidP="005217D5">
      <w:pPr>
        <w:spacing w:before="100" w:beforeAutospacing="1" w:after="100" w:afterAutospacing="1" w:line="240" w:lineRule="auto"/>
        <w:ind w:left="720"/>
        <w:rPr>
          <w:rFonts w:ascii="Times New Roman" w:eastAsia="Times New Roman" w:hAnsi="Times New Roman"/>
          <w:sz w:val="24"/>
          <w:szCs w:val="24"/>
        </w:rPr>
      </w:pPr>
      <w:r w:rsidRPr="000D43D9">
        <w:rPr>
          <w:rFonts w:ascii="Times New Roman" w:hAnsi="Times New Roman"/>
          <w:sz w:val="24"/>
          <w:szCs w:val="24"/>
        </w:rPr>
        <w:t xml:space="preserve">In this instance, employer-required shift changes from </w:t>
      </w:r>
      <w:proofErr w:type="gramStart"/>
      <w:r w:rsidRPr="000D43D9">
        <w:rPr>
          <w:rFonts w:ascii="Times New Roman" w:hAnsi="Times New Roman"/>
          <w:sz w:val="24"/>
          <w:szCs w:val="24"/>
        </w:rPr>
        <w:t>a preferred</w:t>
      </w:r>
      <w:proofErr w:type="gramEnd"/>
      <w:r w:rsidRPr="000D43D9">
        <w:rPr>
          <w:rFonts w:ascii="Times New Roman" w:hAnsi="Times New Roman"/>
          <w:sz w:val="24"/>
          <w:szCs w:val="24"/>
        </w:rPr>
        <w:t xml:space="preserve"> day to another day or from day shifts to night shifts exceed any de minimis exception, any fair construction of the anchoring words of Title VII, and for that matter any Article III injury requirement. Whether we refer to claims of discrimination based on race in </w:t>
      </w:r>
      <w:r>
        <w:rPr>
          <w:rFonts w:ascii="Times New Roman" w:hAnsi="Times New Roman"/>
          <w:sz w:val="24"/>
          <w:szCs w:val="24"/>
        </w:rPr>
        <w:t>‘</w:t>
      </w:r>
      <w:r w:rsidRPr="000D43D9">
        <w:rPr>
          <w:rFonts w:ascii="Times New Roman" w:hAnsi="Times New Roman"/>
          <w:sz w:val="24"/>
          <w:szCs w:val="24"/>
        </w:rPr>
        <w:t>terms</w:t>
      </w:r>
      <w:r>
        <w:rPr>
          <w:rFonts w:ascii="Times New Roman" w:hAnsi="Times New Roman"/>
          <w:sz w:val="24"/>
          <w:szCs w:val="24"/>
        </w:rPr>
        <w:t>’</w:t>
      </w:r>
      <w:r w:rsidRPr="000D43D9">
        <w:rPr>
          <w:rFonts w:ascii="Times New Roman" w:hAnsi="Times New Roman"/>
          <w:sz w:val="24"/>
          <w:szCs w:val="24"/>
        </w:rPr>
        <w:t xml:space="preserve"> or </w:t>
      </w:r>
      <w:r>
        <w:rPr>
          <w:rFonts w:ascii="Times New Roman" w:hAnsi="Times New Roman"/>
          <w:sz w:val="24"/>
          <w:szCs w:val="24"/>
        </w:rPr>
        <w:t>‘</w:t>
      </w:r>
      <w:r w:rsidRPr="000D43D9">
        <w:rPr>
          <w:rFonts w:ascii="Times New Roman" w:hAnsi="Times New Roman"/>
          <w:sz w:val="24"/>
          <w:szCs w:val="24"/>
        </w:rPr>
        <w:t>privileges</w:t>
      </w:r>
      <w:r>
        <w:rPr>
          <w:rFonts w:ascii="Times New Roman" w:hAnsi="Times New Roman"/>
          <w:sz w:val="24"/>
          <w:szCs w:val="24"/>
        </w:rPr>
        <w:t>’</w:t>
      </w:r>
      <w:r w:rsidRPr="000D43D9">
        <w:rPr>
          <w:rFonts w:ascii="Times New Roman" w:hAnsi="Times New Roman"/>
          <w:sz w:val="24"/>
          <w:szCs w:val="24"/>
        </w:rPr>
        <w:t xml:space="preserve"> of employment or to claims of discrimination based on race in </w:t>
      </w:r>
      <w:r>
        <w:rPr>
          <w:rFonts w:ascii="Times New Roman" w:hAnsi="Times New Roman"/>
          <w:sz w:val="24"/>
          <w:szCs w:val="24"/>
        </w:rPr>
        <w:t>‘</w:t>
      </w:r>
      <w:r w:rsidRPr="000D43D9">
        <w:rPr>
          <w:rFonts w:ascii="Times New Roman" w:hAnsi="Times New Roman"/>
          <w:sz w:val="24"/>
          <w:szCs w:val="24"/>
        </w:rPr>
        <w:t>materially adverse</w:t>
      </w:r>
      <w:r>
        <w:rPr>
          <w:rFonts w:ascii="Times New Roman" w:hAnsi="Times New Roman"/>
          <w:sz w:val="24"/>
          <w:szCs w:val="24"/>
        </w:rPr>
        <w:t>’</w:t>
      </w:r>
      <w:r w:rsidRPr="000D43D9">
        <w:rPr>
          <w:rFonts w:ascii="Times New Roman" w:hAnsi="Times New Roman"/>
          <w:sz w:val="24"/>
          <w:szCs w:val="24"/>
        </w:rPr>
        <w:t xml:space="preserve"> terms of employment, the conclusion is the same: They state a cognizable claim under Title VII when they refer to shift changes of this sort and under these circumstances.</w:t>
      </w:r>
      <w:r>
        <w:rPr>
          <w:rFonts w:ascii="Times New Roman" w:hAnsi="Times New Roman"/>
          <w:sz w:val="24"/>
          <w:szCs w:val="24"/>
        </w:rPr>
        <w:t xml:space="preserve">” </w:t>
      </w:r>
      <w:hyperlink r:id="rId1628" w:history="1">
        <w:r w:rsidRPr="00814A02">
          <w:rPr>
            <w:rStyle w:val="Hyperlink"/>
            <w:sz w:val="24"/>
            <w:szCs w:val="24"/>
          </w:rPr>
          <w:t>https://www.justice.gov/crt/case-document/file/1419071/download</w:t>
        </w:r>
      </w:hyperlink>
      <w:r>
        <w:rPr>
          <w:rFonts w:ascii="Times New Roman" w:hAnsi="Times New Roman"/>
          <w:sz w:val="24"/>
          <w:szCs w:val="24"/>
        </w:rPr>
        <w:t xml:space="preserve"> </w:t>
      </w:r>
    </w:p>
    <w:p w14:paraId="6A343B0B" w14:textId="77777777" w:rsidR="005217D5" w:rsidRDefault="005217D5" w:rsidP="005217D5">
      <w:pPr>
        <w:pStyle w:val="Heading1"/>
        <w:rPr>
          <w:b w:val="0"/>
          <w:bCs w:val="0"/>
          <w:sz w:val="24"/>
          <w:szCs w:val="24"/>
        </w:rPr>
      </w:pPr>
      <w:r w:rsidRPr="00DB6861">
        <w:rPr>
          <w:sz w:val="24"/>
          <w:szCs w:val="24"/>
        </w:rPr>
        <w:t>Legal Lesson Learned: Using race to “balance a shift” is an invitation to a lawsuit</w:t>
      </w:r>
      <w:r>
        <w:rPr>
          <w:sz w:val="24"/>
          <w:szCs w:val="24"/>
        </w:rPr>
        <w:t xml:space="preserve">; this case needs to be settled. </w:t>
      </w:r>
    </w:p>
    <w:p w14:paraId="70CA0888" w14:textId="77777777" w:rsidR="005217D5" w:rsidRPr="00DB6861" w:rsidRDefault="005217D5" w:rsidP="005217D5">
      <w:pPr>
        <w:pStyle w:val="Heading1"/>
        <w:ind w:left="720"/>
        <w:rPr>
          <w:b w:val="0"/>
          <w:bCs w:val="0"/>
          <w:sz w:val="24"/>
          <w:szCs w:val="24"/>
        </w:rPr>
      </w:pPr>
      <w:r w:rsidRPr="00311032">
        <w:rPr>
          <w:b w:val="0"/>
          <w:bCs w:val="0"/>
          <w:sz w:val="24"/>
          <w:szCs w:val="24"/>
        </w:rPr>
        <w:t>See also Ohio Civil Rights Commission ruling</w:t>
      </w:r>
      <w:r>
        <w:rPr>
          <w:sz w:val="24"/>
          <w:szCs w:val="24"/>
        </w:rPr>
        <w:t>.</w:t>
      </w:r>
      <w:r>
        <w:rPr>
          <w:b w:val="0"/>
          <w:bCs w:val="0"/>
          <w:sz w:val="24"/>
          <w:szCs w:val="24"/>
        </w:rPr>
        <w:t xml:space="preserve"> “</w:t>
      </w:r>
      <w:r w:rsidRPr="00DB6861">
        <w:rPr>
          <w:b w:val="0"/>
          <w:bCs w:val="0"/>
          <w:sz w:val="24"/>
          <w:szCs w:val="24"/>
        </w:rPr>
        <w:t>I-Team: Race and sex used to schedule EMS bosses</w:t>
      </w:r>
      <w:r>
        <w:rPr>
          <w:b w:val="0"/>
          <w:bCs w:val="0"/>
          <w:sz w:val="24"/>
          <w:szCs w:val="24"/>
        </w:rPr>
        <w:t xml:space="preserve">.” (Aug. 3, 2018). </w:t>
      </w:r>
      <w:r w:rsidRPr="00DB6861">
        <w:rPr>
          <w:b w:val="0"/>
          <w:bCs w:val="0"/>
          <w:sz w:val="24"/>
          <w:szCs w:val="24"/>
        </w:rPr>
        <w:t xml:space="preserve">CLEVELAND — The FOX 8 I-Team has uncovered an explosive ruling by the Ohio Civil Rights Commission finding that </w:t>
      </w:r>
      <w:hyperlink r:id="rId1629" w:history="1">
        <w:r w:rsidRPr="00DB6861">
          <w:rPr>
            <w:rStyle w:val="Hyperlink"/>
            <w:sz w:val="24"/>
            <w:szCs w:val="24"/>
          </w:rPr>
          <w:t>Cleveland EMS</w:t>
        </w:r>
      </w:hyperlink>
      <w:r w:rsidRPr="00DB6861">
        <w:rPr>
          <w:b w:val="0"/>
          <w:bCs w:val="0"/>
          <w:sz w:val="24"/>
          <w:szCs w:val="24"/>
        </w:rPr>
        <w:t xml:space="preserve"> “more likely than not” assigned work shifts to Captains on the “basis of race and sex.” The Commission found it “PROBABLE” the city “has engaged in an unlawful discriminatory practice.” </w:t>
      </w:r>
      <w:hyperlink r:id="rId1630" w:history="1">
        <w:r w:rsidRPr="00DB6861">
          <w:rPr>
            <w:rStyle w:val="Hyperlink"/>
            <w:sz w:val="24"/>
            <w:szCs w:val="24"/>
          </w:rPr>
          <w:t>https://fox8.com/news/i-team-race-and-sex-used-to-schedule-ems-bosses/</w:t>
        </w:r>
      </w:hyperlink>
      <w:r>
        <w:rPr>
          <w:b w:val="0"/>
          <w:bCs w:val="0"/>
          <w:sz w:val="24"/>
          <w:szCs w:val="24"/>
        </w:rPr>
        <w:t xml:space="preserve"> </w:t>
      </w:r>
    </w:p>
    <w:p w14:paraId="11B64D0F" w14:textId="77777777" w:rsidR="005217D5" w:rsidRPr="00780B1D" w:rsidRDefault="005217D5" w:rsidP="005217D5">
      <w:pPr>
        <w:pStyle w:val="Heading1"/>
        <w:ind w:left="720"/>
        <w:rPr>
          <w:b w:val="0"/>
          <w:bCs w:val="0"/>
          <w:sz w:val="24"/>
          <w:szCs w:val="24"/>
        </w:rPr>
      </w:pPr>
      <w:r w:rsidRPr="001D5CFD">
        <w:rPr>
          <w:b w:val="0"/>
          <w:bCs w:val="0"/>
          <w:sz w:val="24"/>
          <w:szCs w:val="24"/>
        </w:rPr>
        <w:t>Note: See article on the</w:t>
      </w:r>
      <w:r>
        <w:rPr>
          <w:b w:val="0"/>
          <w:bCs w:val="0"/>
          <w:sz w:val="24"/>
          <w:szCs w:val="24"/>
        </w:rPr>
        <w:t xml:space="preserve"> 6th Cir. </w:t>
      </w:r>
      <w:r w:rsidRPr="001D5CFD">
        <w:rPr>
          <w:b w:val="0"/>
          <w:bCs w:val="0"/>
          <w:sz w:val="24"/>
          <w:szCs w:val="24"/>
        </w:rPr>
        <w:t xml:space="preserve"> decision.</w:t>
      </w:r>
      <w:r>
        <w:rPr>
          <w:sz w:val="24"/>
          <w:szCs w:val="24"/>
        </w:rPr>
        <w:t xml:space="preserve">  “</w:t>
      </w:r>
      <w:r w:rsidRPr="001D5CFD">
        <w:rPr>
          <w:b w:val="0"/>
          <w:bCs w:val="0"/>
          <w:sz w:val="24"/>
          <w:szCs w:val="24"/>
        </w:rPr>
        <w:t>Court rules in favor of five Cleveland EMS Captains who claimed discrimination against their boss</w:t>
      </w:r>
      <w:r>
        <w:rPr>
          <w:b w:val="0"/>
          <w:bCs w:val="0"/>
          <w:sz w:val="24"/>
          <w:szCs w:val="24"/>
        </w:rPr>
        <w:t>.” (July 27, 2021.) “</w:t>
      </w:r>
      <w:r w:rsidRPr="001D5CFD">
        <w:rPr>
          <w:b w:val="0"/>
          <w:bCs w:val="0"/>
          <w:sz w:val="24"/>
          <w:szCs w:val="24"/>
        </w:rPr>
        <w:t xml:space="preserve">Carlton admitted under oath that she required Black Captains to face a shift change when the shift was all Black when “there’s never been a change made when there’s </w:t>
      </w:r>
      <w:proofErr w:type="gramStart"/>
      <w:r w:rsidRPr="001D5CFD">
        <w:rPr>
          <w:b w:val="0"/>
          <w:bCs w:val="0"/>
          <w:sz w:val="24"/>
          <w:szCs w:val="24"/>
        </w:rPr>
        <w:t>an</w:t>
      </w:r>
      <w:proofErr w:type="gramEnd"/>
      <w:r w:rsidRPr="001D5CFD">
        <w:rPr>
          <w:b w:val="0"/>
          <w:bCs w:val="0"/>
          <w:sz w:val="24"/>
          <w:szCs w:val="24"/>
        </w:rPr>
        <w:t xml:space="preserve"> all Caucasian shift, to make it a not all Caucasian </w:t>
      </w:r>
      <w:proofErr w:type="gramStart"/>
      <w:r w:rsidRPr="001D5CFD">
        <w:rPr>
          <w:b w:val="0"/>
          <w:bCs w:val="0"/>
          <w:sz w:val="24"/>
          <w:szCs w:val="24"/>
        </w:rPr>
        <w:t>shift</w:t>
      </w:r>
      <w:proofErr w:type="gramEnd"/>
      <w:r w:rsidRPr="001D5CFD">
        <w:rPr>
          <w:b w:val="0"/>
          <w:bCs w:val="0"/>
          <w:sz w:val="24"/>
          <w:szCs w:val="24"/>
        </w:rPr>
        <w:t>.</w:t>
      </w:r>
      <w:r>
        <w:rPr>
          <w:b w:val="0"/>
          <w:bCs w:val="0"/>
          <w:sz w:val="24"/>
          <w:szCs w:val="24"/>
        </w:rPr>
        <w:t>”</w:t>
      </w:r>
      <w:r>
        <w:t xml:space="preserve"> </w:t>
      </w:r>
      <w:hyperlink r:id="rId1631" w:history="1">
        <w:r w:rsidRPr="00780B1D">
          <w:rPr>
            <w:rStyle w:val="Hyperlink"/>
            <w:sz w:val="24"/>
            <w:szCs w:val="24"/>
          </w:rPr>
          <w:t>https://www.cleveland19.com/2021/07/27/court-rules-favor-five-cleveland-ems-captains-who-claimed-discrimination-against-their-boss/</w:t>
        </w:r>
      </w:hyperlink>
      <w:r w:rsidRPr="00780B1D">
        <w:rPr>
          <w:b w:val="0"/>
          <w:bCs w:val="0"/>
          <w:sz w:val="24"/>
          <w:szCs w:val="24"/>
        </w:rPr>
        <w:t xml:space="preserve"> </w:t>
      </w:r>
    </w:p>
    <w:p w14:paraId="19B6F179" w14:textId="77777777" w:rsidR="005217D5" w:rsidRDefault="005217D5" w:rsidP="005217D5">
      <w:pPr>
        <w:pStyle w:val="Heading1"/>
        <w:ind w:left="720"/>
        <w:rPr>
          <w:b w:val="0"/>
          <w:bCs w:val="0"/>
          <w:sz w:val="24"/>
          <w:szCs w:val="24"/>
        </w:rPr>
      </w:pPr>
      <w:r>
        <w:rPr>
          <w:b w:val="0"/>
          <w:bCs w:val="0"/>
          <w:sz w:val="24"/>
          <w:szCs w:val="24"/>
        </w:rPr>
        <w:t>See also: “</w:t>
      </w:r>
      <w:r w:rsidRPr="002C1532">
        <w:rPr>
          <w:b w:val="0"/>
          <w:bCs w:val="0"/>
          <w:sz w:val="24"/>
          <w:szCs w:val="24"/>
        </w:rPr>
        <w:t>DOJ Says Black EMS Captains Can Prove Bias Without Material Harm</w:t>
      </w:r>
      <w:r>
        <w:rPr>
          <w:b w:val="0"/>
          <w:bCs w:val="0"/>
          <w:sz w:val="24"/>
          <w:szCs w:val="24"/>
        </w:rPr>
        <w:t xml:space="preserve">.” (July 13, 2021.) </w:t>
      </w:r>
      <w:hyperlink r:id="rId1632" w:history="1">
        <w:r w:rsidRPr="00814A02">
          <w:rPr>
            <w:rStyle w:val="Hyperlink"/>
            <w:sz w:val="24"/>
            <w:szCs w:val="24"/>
          </w:rPr>
          <w:t>https://news.bloomberglaw.com/daily-labor-report/doj-says-black-ems-captains-can-prove-bias-without-material-harm</w:t>
        </w:r>
      </w:hyperlink>
      <w:r>
        <w:rPr>
          <w:b w:val="0"/>
          <w:bCs w:val="0"/>
          <w:sz w:val="24"/>
          <w:szCs w:val="24"/>
        </w:rPr>
        <w:t xml:space="preserve"> </w:t>
      </w:r>
    </w:p>
    <w:p w14:paraId="1A5A6B34" w14:textId="77777777" w:rsidR="005217D5" w:rsidRDefault="005217D5" w:rsidP="005217D5">
      <w:pPr>
        <w:pStyle w:val="Heading1"/>
        <w:ind w:left="720"/>
        <w:rPr>
          <w:b w:val="0"/>
          <w:bCs w:val="0"/>
          <w:sz w:val="24"/>
          <w:szCs w:val="24"/>
        </w:rPr>
      </w:pPr>
    </w:p>
    <w:p w14:paraId="650291B9" w14:textId="77777777" w:rsidR="005217D5" w:rsidRDefault="005217D5" w:rsidP="00BC70A3">
      <w:pPr>
        <w:rPr>
          <w:rFonts w:ascii="Arial Black" w:hAnsi="Arial Black"/>
          <w:b/>
          <w:sz w:val="24"/>
          <w:szCs w:val="24"/>
        </w:rPr>
      </w:pPr>
    </w:p>
    <w:p w14:paraId="707FE524" w14:textId="77777777" w:rsidR="005217D5" w:rsidRDefault="005217D5" w:rsidP="00BC70A3">
      <w:pPr>
        <w:rPr>
          <w:rFonts w:ascii="Arial Black" w:hAnsi="Arial Black"/>
          <w:b/>
          <w:sz w:val="24"/>
          <w:szCs w:val="24"/>
        </w:rPr>
      </w:pPr>
    </w:p>
    <w:p w14:paraId="348674BE" w14:textId="6C14AEB9" w:rsidR="0077274E" w:rsidRDefault="0077274E" w:rsidP="00BC70A3">
      <w:pPr>
        <w:rPr>
          <w:rFonts w:ascii="Arial Black" w:hAnsi="Arial Black"/>
          <w:b/>
          <w:sz w:val="24"/>
          <w:szCs w:val="24"/>
        </w:rPr>
      </w:pPr>
      <w:r>
        <w:rPr>
          <w:rFonts w:ascii="Arial Black" w:hAnsi="Arial Black"/>
          <w:b/>
          <w:sz w:val="24"/>
          <w:szCs w:val="24"/>
        </w:rPr>
        <w:t>8-29</w:t>
      </w:r>
    </w:p>
    <w:p w14:paraId="18B376EC" w14:textId="77777777" w:rsidR="00EA7C42" w:rsidRPr="00EA7C42" w:rsidRDefault="00EA7C42" w:rsidP="00EA7C42">
      <w:pPr>
        <w:rPr>
          <w:rFonts w:ascii="Arial Black" w:hAnsi="Arial Black"/>
          <w:b/>
          <w:bCs/>
          <w:sz w:val="28"/>
          <w:szCs w:val="28"/>
        </w:rPr>
      </w:pPr>
      <w:r w:rsidRPr="00EA7C42">
        <w:rPr>
          <w:rFonts w:ascii="Arial Black" w:hAnsi="Arial Black"/>
          <w:b/>
          <w:bCs/>
          <w:sz w:val="28"/>
          <w:szCs w:val="28"/>
        </w:rPr>
        <w:t>MA: LT. MISTAKENLY LEFT “N” WORD VOICEMAIL - RACE COMPLAINT - THREATS “GO POSTAL” – FF REINSTATED</w:t>
      </w:r>
    </w:p>
    <w:p w14:paraId="51C70952" w14:textId="77777777" w:rsidR="0077274E" w:rsidRDefault="0077274E" w:rsidP="0077274E">
      <w:pPr>
        <w:spacing w:before="100" w:beforeAutospacing="1" w:after="100" w:afterAutospacing="1" w:line="240" w:lineRule="auto"/>
        <w:rPr>
          <w:rFonts w:ascii="Times New Roman" w:eastAsia="Times New Roman" w:hAnsi="Times New Roman"/>
          <w:sz w:val="24"/>
          <w:szCs w:val="24"/>
        </w:rPr>
      </w:pPr>
      <w:r w:rsidRPr="00FE7451">
        <w:rPr>
          <w:rFonts w:ascii="Times New Roman" w:eastAsia="Times New Roman" w:hAnsi="Times New Roman"/>
          <w:sz w:val="24"/>
          <w:szCs w:val="24"/>
        </w:rPr>
        <w:t> </w:t>
      </w:r>
      <w:r>
        <w:rPr>
          <w:rFonts w:ascii="Times New Roman" w:eastAsia="Times New Roman" w:hAnsi="Times New Roman"/>
          <w:sz w:val="24"/>
          <w:szCs w:val="24"/>
        </w:rPr>
        <w:t xml:space="preserve">On April 27, 2021, in </w:t>
      </w:r>
      <w:r w:rsidRPr="00FE7451">
        <w:rPr>
          <w:rFonts w:ascii="Times New Roman" w:eastAsia="Times New Roman" w:hAnsi="Times New Roman"/>
          <w:sz w:val="24"/>
          <w:szCs w:val="24"/>
          <w:u w:val="single"/>
        </w:rPr>
        <w:t>Town of Brookline v. Gerald Alston, et al</w:t>
      </w:r>
      <w:r>
        <w:rPr>
          <w:rFonts w:ascii="Times New Roman" w:eastAsia="Times New Roman" w:hAnsi="Times New Roman"/>
          <w:sz w:val="24"/>
          <w:szCs w:val="24"/>
        </w:rPr>
        <w:t xml:space="preserve">., the Supreme Judicial Court of Massachusetts (Chief Justice Scott L. </w:t>
      </w:r>
      <w:proofErr w:type="spellStart"/>
      <w:r>
        <w:rPr>
          <w:rFonts w:ascii="Times New Roman" w:eastAsia="Times New Roman" w:hAnsi="Times New Roman"/>
          <w:sz w:val="24"/>
          <w:szCs w:val="24"/>
        </w:rPr>
        <w:t>Kafker</w:t>
      </w:r>
      <w:proofErr w:type="spellEnd"/>
      <w:r>
        <w:rPr>
          <w:rFonts w:ascii="Times New Roman" w:eastAsia="Times New Roman" w:hAnsi="Times New Roman"/>
          <w:sz w:val="24"/>
          <w:szCs w:val="24"/>
        </w:rPr>
        <w:t>), after 6 years of litigation, upheld the Civil Service Commission and a trial court’s decision to reinstate the firefighter.  The Civil Service Commission, after a 10-day evidentiary hearing (14 witnesses; 280 exhibits) ordered him reinstated; the Town appealed to a Superior Court judge, who held for the firefighter; the Town then filed this appeal and lost again. In 2016, plaintiff was fired for refusing to comply with three (3) return to work conditions as recommended by psychiatrist retained by Town: “</w:t>
      </w:r>
      <w:r w:rsidRPr="00784C0E">
        <w:rPr>
          <w:rFonts w:ascii="Times New Roman" w:eastAsia="Times New Roman" w:hAnsi="Times New Roman"/>
          <w:sz w:val="24"/>
          <w:szCs w:val="24"/>
        </w:rPr>
        <w:t>First, Alston would have to receive monthly treatment from a psychiatrist and weekly treatment with a therapist. Second, there would have to be reasonable</w:t>
      </w:r>
      <w:r>
        <w:rPr>
          <w:rFonts w:ascii="Times New Roman" w:eastAsia="Times New Roman" w:hAnsi="Times New Roman"/>
          <w:sz w:val="24"/>
          <w:szCs w:val="24"/>
        </w:rPr>
        <w:t xml:space="preserve"> </w:t>
      </w:r>
      <w:r w:rsidRPr="00784C0E">
        <w:rPr>
          <w:rFonts w:ascii="Times New Roman" w:eastAsia="Times New Roman" w:hAnsi="Times New Roman"/>
          <w:sz w:val="24"/>
          <w:szCs w:val="24"/>
        </w:rPr>
        <w:t xml:space="preserve">workplace </w:t>
      </w:r>
      <w:proofErr w:type="gramStart"/>
      <w:r w:rsidRPr="00784C0E">
        <w:rPr>
          <w:rFonts w:ascii="Times New Roman" w:eastAsia="Times New Roman" w:hAnsi="Times New Roman"/>
          <w:sz w:val="24"/>
          <w:szCs w:val="24"/>
        </w:rPr>
        <w:t>accommodations</w:t>
      </w:r>
      <w:proofErr w:type="gramEnd"/>
      <w:r w:rsidRPr="00784C0E">
        <w:rPr>
          <w:rFonts w:ascii="Times New Roman" w:eastAsia="Times New Roman" w:hAnsi="Times New Roman"/>
          <w:sz w:val="24"/>
          <w:szCs w:val="24"/>
        </w:rPr>
        <w:t xml:space="preserve"> that reduced the level of stress for Alston. Third, Alston would have to undergo random drug screening for two years after he returned to work.</w:t>
      </w:r>
      <w:r>
        <w:rPr>
          <w:rFonts w:ascii="Times New Roman" w:eastAsia="Times New Roman" w:hAnsi="Times New Roman"/>
          <w:sz w:val="24"/>
          <w:szCs w:val="24"/>
        </w:rPr>
        <w:t xml:space="preserve">”  </w:t>
      </w:r>
    </w:p>
    <w:p w14:paraId="5BBD6914"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963D04">
        <w:rPr>
          <w:rFonts w:ascii="Times New Roman" w:hAnsi="Times New Roman"/>
          <w:sz w:val="24"/>
          <w:szCs w:val="24"/>
        </w:rPr>
        <w:t xml:space="preserve">The underlying dispute in this case began with a racist comment, apparently on a misplaced telephone call. As Lieutenant Paul Pender was in a car driven by his son, he was cut off by a stranger. Pender referred to the person as a "fucking n----r." Unbeknownst to him, Pender had not properly hung up from a previous call, and he left a record of what he said on the voicemail of fellow firefighter Gerald Alston. Alston is </w:t>
      </w:r>
      <w:proofErr w:type="gramStart"/>
      <w:r w:rsidRPr="00963D04">
        <w:rPr>
          <w:rFonts w:ascii="Times New Roman" w:hAnsi="Times New Roman"/>
          <w:sz w:val="24"/>
          <w:szCs w:val="24"/>
        </w:rPr>
        <w:t>African-American</w:t>
      </w:r>
      <w:proofErr w:type="gramEnd"/>
      <w:r w:rsidRPr="00963D04">
        <w:rPr>
          <w:rFonts w:ascii="Times New Roman" w:hAnsi="Times New Roman"/>
          <w:sz w:val="24"/>
          <w:szCs w:val="24"/>
        </w:rPr>
        <w:t>; Pender, his supervisor at the time, is Caucasian. A tumultuous six years of litigation and acrimony ensued, culminating in 2016 with Pender receiving his third promotion since leaving the voicemail and Alston being fired by the town of Brookline (town).</w:t>
      </w:r>
    </w:p>
    <w:p w14:paraId="0C751064" w14:textId="77777777" w:rsidR="0077274E" w:rsidRDefault="0077274E" w:rsidP="0077274E">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020283EE" w14:textId="77777777" w:rsidR="0077274E" w:rsidRPr="00A30885" w:rsidRDefault="0077274E" w:rsidP="0077274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w:t>
      </w:r>
      <w:r w:rsidRPr="002C4711">
        <w:rPr>
          <w:rFonts w:ascii="Times New Roman" w:eastAsia="Times New Roman" w:hAnsi="Times New Roman"/>
          <w:sz w:val="24"/>
          <w:szCs w:val="24"/>
        </w:rPr>
        <w:t xml:space="preserve">e </w:t>
      </w:r>
      <w:proofErr w:type="gramStart"/>
      <w:r w:rsidRPr="002C4711">
        <w:rPr>
          <w:rFonts w:ascii="Times New Roman" w:eastAsia="Times New Roman" w:hAnsi="Times New Roman"/>
          <w:sz w:val="24"/>
          <w:szCs w:val="24"/>
        </w:rPr>
        <w:t>conclude</w:t>
      </w:r>
      <w:proofErr w:type="gramEnd"/>
      <w:r w:rsidRPr="002C4711">
        <w:rPr>
          <w:rFonts w:ascii="Times New Roman" w:eastAsia="Times New Roman" w:hAnsi="Times New Roman"/>
          <w:sz w:val="24"/>
          <w:szCs w:val="24"/>
        </w:rPr>
        <w:t xml:space="preserve"> that there is substantial evidence to support the commission's determination that the town acted arbitrarily and capriciously and in violation of </w:t>
      </w:r>
      <w:r>
        <w:rPr>
          <w:rFonts w:ascii="Times New Roman" w:eastAsia="Times New Roman" w:hAnsi="Times New Roman"/>
          <w:sz w:val="24"/>
          <w:szCs w:val="24"/>
        </w:rPr>
        <w:t>‘</w:t>
      </w:r>
      <w:r w:rsidRPr="002C4711">
        <w:rPr>
          <w:rFonts w:ascii="Times New Roman" w:eastAsia="Times New Roman" w:hAnsi="Times New Roman"/>
          <w:sz w:val="24"/>
          <w:szCs w:val="24"/>
        </w:rPr>
        <w:t>Alston's rights under the civil service law to be treated fairly 'without regard to . . . race.' Considering Pender's racist comment, the retaliatory actions, and the town's continuously insensitive and inappropriate, if not outright</w:t>
      </w:r>
      <w:r>
        <w:rPr>
          <w:rFonts w:ascii="Times New Roman" w:eastAsia="Times New Roman" w:hAnsi="Times New Roman"/>
          <w:sz w:val="24"/>
          <w:szCs w:val="24"/>
        </w:rPr>
        <w:t xml:space="preserve"> </w:t>
      </w:r>
      <w:r w:rsidRPr="002C4711">
        <w:rPr>
          <w:rFonts w:ascii="Times New Roman" w:eastAsia="Times New Roman" w:hAnsi="Times New Roman"/>
          <w:sz w:val="24"/>
          <w:szCs w:val="24"/>
        </w:rPr>
        <w:t xml:space="preserve">discriminatory, responses, the commission's findings constitute </w:t>
      </w:r>
      <w:r>
        <w:rPr>
          <w:rFonts w:ascii="Times New Roman" w:eastAsia="Times New Roman" w:hAnsi="Times New Roman"/>
          <w:sz w:val="24"/>
          <w:szCs w:val="24"/>
        </w:rPr>
        <w:t>‘</w:t>
      </w:r>
      <w:r w:rsidRPr="002C4711">
        <w:rPr>
          <w:rFonts w:ascii="Times New Roman" w:eastAsia="Times New Roman" w:hAnsi="Times New Roman"/>
          <w:sz w:val="24"/>
          <w:szCs w:val="24"/>
        </w:rPr>
        <w:t>such evidence as a reasonable mind might accept as adequate to support</w:t>
      </w:r>
      <w:r>
        <w:rPr>
          <w:rFonts w:ascii="Times New Roman" w:eastAsia="Times New Roman" w:hAnsi="Times New Roman"/>
          <w:sz w:val="24"/>
          <w:szCs w:val="24"/>
        </w:rPr>
        <w:t>’</w:t>
      </w:r>
      <w:r w:rsidRPr="002C4711">
        <w:rPr>
          <w:rFonts w:ascii="Times New Roman" w:eastAsia="Times New Roman" w:hAnsi="Times New Roman"/>
          <w:sz w:val="24"/>
          <w:szCs w:val="24"/>
        </w:rPr>
        <w:t xml:space="preserve"> the conclusion that the town caused Alston's unfitness preventing his return to work.</w:t>
      </w:r>
      <w:r>
        <w:rPr>
          <w:rFonts w:ascii="Times New Roman" w:eastAsia="Times New Roman" w:hAnsi="Times New Roman"/>
          <w:sz w:val="24"/>
          <w:szCs w:val="24"/>
        </w:rPr>
        <w:t xml:space="preserve">” </w:t>
      </w:r>
      <w:hyperlink r:id="rId1633" w:history="1">
        <w:r w:rsidRPr="0041276B">
          <w:rPr>
            <w:rStyle w:val="Hyperlink"/>
            <w:rFonts w:ascii="Times New Roman" w:hAnsi="Times New Roman"/>
            <w:sz w:val="24"/>
            <w:szCs w:val="24"/>
          </w:rPr>
          <w:t>https://public.fastcase.com/9SKwsfNqTc6OieYDhNMyM6Hs9QyuQxgDWvshWHam%2BmmecJULtiEuwgF0cJ0eF8SA</w:t>
        </w:r>
      </w:hyperlink>
      <w:r w:rsidRPr="00A30885">
        <w:rPr>
          <w:rFonts w:ascii="Times New Roman" w:eastAsia="Times New Roman" w:hAnsi="Times New Roman"/>
          <w:sz w:val="24"/>
          <w:szCs w:val="24"/>
        </w:rPr>
        <w:t xml:space="preserve"> </w:t>
      </w:r>
    </w:p>
    <w:p w14:paraId="7907E375" w14:textId="77777777" w:rsidR="003E0A22" w:rsidRDefault="003E0A22" w:rsidP="003E0A22">
      <w:pPr>
        <w:pStyle w:val="NormalWeb"/>
        <w:rPr>
          <w:b/>
          <w:bCs/>
        </w:rPr>
      </w:pPr>
      <w:r w:rsidRPr="005542D3">
        <w:rPr>
          <w:b/>
          <w:bCs/>
        </w:rPr>
        <w:t xml:space="preserve">Legal Lesson Learned: </w:t>
      </w:r>
      <w:r>
        <w:rPr>
          <w:b/>
          <w:bCs/>
        </w:rPr>
        <w:t xml:space="preserve"> Words matter; most unfortunate set of facts. </w:t>
      </w:r>
    </w:p>
    <w:p w14:paraId="3EADF105" w14:textId="77777777" w:rsidR="003E0A22" w:rsidRPr="002C4711" w:rsidRDefault="003E0A22" w:rsidP="003E0A22">
      <w:pPr>
        <w:pStyle w:val="NormalWeb"/>
        <w:ind w:left="720"/>
      </w:pPr>
      <w:r w:rsidRPr="002C4711">
        <w:t xml:space="preserve">Note: The Court in </w:t>
      </w:r>
      <w:r>
        <w:t>F</w:t>
      </w:r>
      <w:r w:rsidRPr="002C4711">
        <w:t>ootnote 23 wrote: “We emphasize today what should no longer need to be said in 2021 -- the use of "n----r" has absolutely no place in any workplace environment in the Commonwealth, including among those subject to the civil service laws.”</w:t>
      </w:r>
    </w:p>
    <w:p w14:paraId="32042DDA" w14:textId="77777777" w:rsidR="003E0A22" w:rsidRPr="00E07F70" w:rsidRDefault="003E0A22" w:rsidP="003E0A22">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See also this article on the case: “</w:t>
      </w:r>
      <w:r w:rsidRPr="00E07F70">
        <w:rPr>
          <w:rFonts w:ascii="Times New Roman" w:hAnsi="Times New Roman"/>
          <w:sz w:val="24"/>
          <w:szCs w:val="24"/>
        </w:rPr>
        <w:t xml:space="preserve">Brookline Appeals Superior Court Ruling </w:t>
      </w:r>
      <w:proofErr w:type="gramStart"/>
      <w:r w:rsidRPr="00E07F70">
        <w:rPr>
          <w:rFonts w:ascii="Times New Roman" w:hAnsi="Times New Roman"/>
          <w:sz w:val="24"/>
          <w:szCs w:val="24"/>
        </w:rPr>
        <w:t>On</w:t>
      </w:r>
      <w:proofErr w:type="gramEnd"/>
      <w:r w:rsidRPr="00E07F70">
        <w:rPr>
          <w:rFonts w:ascii="Times New Roman" w:hAnsi="Times New Roman"/>
          <w:sz w:val="24"/>
          <w:szCs w:val="24"/>
        </w:rPr>
        <w:t xml:space="preserve"> Firefighter Alston</w:t>
      </w:r>
      <w:r>
        <w:rPr>
          <w:rFonts w:ascii="Times New Roman" w:hAnsi="Times New Roman"/>
          <w:sz w:val="24"/>
          <w:szCs w:val="24"/>
        </w:rPr>
        <w:t>”</w:t>
      </w:r>
      <w:r w:rsidRPr="00E07F70">
        <w:rPr>
          <w:rFonts w:ascii="Times New Roman" w:hAnsi="Times New Roman"/>
          <w:sz w:val="24"/>
          <w:szCs w:val="24"/>
        </w:rPr>
        <w:t xml:space="preserve"> (Oct. 3, 2019): </w:t>
      </w:r>
      <w:hyperlink r:id="rId1634" w:history="1">
        <w:r w:rsidRPr="0041276B">
          <w:rPr>
            <w:rStyle w:val="Hyperlink"/>
            <w:rFonts w:ascii="Times New Roman" w:hAnsi="Times New Roman"/>
            <w:sz w:val="24"/>
            <w:szCs w:val="24"/>
          </w:rPr>
          <w:t>https://patch.com/massachusetts/brookline/brookline-select-board-votes-appeal-gerald-alston-case</w:t>
        </w:r>
      </w:hyperlink>
      <w:r w:rsidRPr="00E07F70">
        <w:rPr>
          <w:rFonts w:ascii="Times New Roman" w:hAnsi="Times New Roman"/>
          <w:sz w:val="24"/>
          <w:szCs w:val="24"/>
        </w:rPr>
        <w:t xml:space="preserve"> </w:t>
      </w:r>
    </w:p>
    <w:p w14:paraId="655FC049" w14:textId="77777777" w:rsidR="003E0A22" w:rsidRPr="0041276B" w:rsidRDefault="003E0A22" w:rsidP="003E0A22">
      <w:pPr>
        <w:ind w:left="720"/>
        <w:rPr>
          <w:rFonts w:ascii="Times New Roman" w:hAnsi="Times New Roman"/>
          <w:color w:val="1F497D"/>
          <w:sz w:val="24"/>
          <w:szCs w:val="24"/>
        </w:rPr>
      </w:pPr>
      <w:r w:rsidRPr="00F4718C">
        <w:rPr>
          <w:rFonts w:ascii="Times New Roman" w:hAnsi="Times New Roman"/>
          <w:sz w:val="24"/>
          <w:szCs w:val="24"/>
        </w:rPr>
        <w:t xml:space="preserve">See also this NASCAR article: </w:t>
      </w:r>
      <w:hyperlink r:id="rId1635" w:history="1">
        <w:r w:rsidRPr="0041276B">
          <w:rPr>
            <w:rStyle w:val="Hyperlink"/>
            <w:rFonts w:ascii="Times New Roman" w:hAnsi="Times New Roman"/>
            <w:sz w:val="24"/>
            <w:szCs w:val="24"/>
          </w:rPr>
          <w:t>https://www.charlotteobserver.com/sports/nascar-auto-racing/article241998186.html</w:t>
        </w:r>
      </w:hyperlink>
    </w:p>
    <w:p w14:paraId="3885E13E" w14:textId="77777777" w:rsidR="0077274E" w:rsidRDefault="0077274E" w:rsidP="00BC70A3">
      <w:pPr>
        <w:rPr>
          <w:rFonts w:ascii="Arial Black" w:hAnsi="Arial Black"/>
          <w:b/>
          <w:sz w:val="24"/>
          <w:szCs w:val="24"/>
        </w:rPr>
      </w:pPr>
    </w:p>
    <w:p w14:paraId="25FCABB4" w14:textId="77777777" w:rsidR="0077274E" w:rsidRDefault="0077274E" w:rsidP="00BC70A3">
      <w:pPr>
        <w:rPr>
          <w:rFonts w:ascii="Arial Black" w:hAnsi="Arial Black"/>
          <w:b/>
          <w:sz w:val="24"/>
          <w:szCs w:val="24"/>
        </w:rPr>
      </w:pPr>
    </w:p>
    <w:p w14:paraId="52C02748" w14:textId="77777777" w:rsidR="0077274E" w:rsidRDefault="0077274E" w:rsidP="00BC70A3">
      <w:pPr>
        <w:rPr>
          <w:rFonts w:ascii="Arial Black" w:hAnsi="Arial Black"/>
          <w:b/>
          <w:sz w:val="24"/>
          <w:szCs w:val="24"/>
        </w:rPr>
      </w:pPr>
    </w:p>
    <w:p w14:paraId="31D2CD6A" w14:textId="6953E68A" w:rsidR="00EB2493" w:rsidRDefault="00EB2493" w:rsidP="00BC70A3">
      <w:pPr>
        <w:rPr>
          <w:rFonts w:ascii="Arial Black" w:hAnsi="Arial Black"/>
          <w:b/>
          <w:sz w:val="24"/>
          <w:szCs w:val="24"/>
        </w:rPr>
      </w:pPr>
      <w:r>
        <w:rPr>
          <w:rFonts w:ascii="Arial Black" w:hAnsi="Arial Black"/>
          <w:b/>
          <w:sz w:val="24"/>
          <w:szCs w:val="24"/>
        </w:rPr>
        <w:t>8-28</w:t>
      </w:r>
    </w:p>
    <w:p w14:paraId="6F577F09" w14:textId="77777777" w:rsidR="00EB2493" w:rsidRPr="002D7177" w:rsidRDefault="00EB2493" w:rsidP="00EB2493">
      <w:pPr>
        <w:pStyle w:val="NoSpacing"/>
        <w:rPr>
          <w:rFonts w:ascii="Arial Black" w:hAnsi="Arial Black"/>
          <w:sz w:val="28"/>
          <w:szCs w:val="28"/>
        </w:rPr>
      </w:pPr>
      <w:r>
        <w:rPr>
          <w:rFonts w:ascii="Arial Black" w:hAnsi="Arial Black"/>
          <w:sz w:val="28"/>
          <w:szCs w:val="28"/>
        </w:rPr>
        <w:t>MA: AFRICAN AMERICAN FF – FIRED “UNFIT FOR DUTY” – LAWSUIT DISMISSED AGAINST CITIZEN NOT ON TOWN BOARD OF SELECTMEN</w:t>
      </w:r>
    </w:p>
    <w:p w14:paraId="48E667E4" w14:textId="3D6832F9" w:rsidR="00EB2493" w:rsidRDefault="00EB2493" w:rsidP="00EB249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19, 2021, in </w:t>
      </w:r>
      <w:r w:rsidRPr="002D7177">
        <w:rPr>
          <w:rFonts w:ascii="Times New Roman" w:eastAsia="Times New Roman" w:hAnsi="Times New Roman"/>
          <w:sz w:val="24"/>
          <w:szCs w:val="24"/>
          <w:u w:val="single"/>
        </w:rPr>
        <w:t>Gerald Alston v. Stanley Spiegel</w:t>
      </w:r>
      <w:r>
        <w:rPr>
          <w:rFonts w:ascii="Times New Roman" w:eastAsia="Times New Roman" w:hAnsi="Times New Roman"/>
          <w:sz w:val="24"/>
          <w:szCs w:val="24"/>
        </w:rPr>
        <w:t xml:space="preserve">, the U.S. Court of Appeals for the First Circuit (Boston), held (3 to 0) that the U.S. District Court properly dismissed Alston’s race discrimination, retaliation case against a non-member of the Town of </w:t>
      </w:r>
      <w:r w:rsidRPr="00214DCF">
        <w:rPr>
          <w:rFonts w:ascii="Times New Roman" w:eastAsia="Times New Roman" w:hAnsi="Times New Roman"/>
          <w:sz w:val="24"/>
          <w:szCs w:val="24"/>
        </w:rPr>
        <w:t xml:space="preserve">Brookline </w:t>
      </w:r>
      <w:r>
        <w:rPr>
          <w:rFonts w:ascii="Times New Roman" w:eastAsia="Times New Roman" w:hAnsi="Times New Roman"/>
          <w:sz w:val="24"/>
          <w:szCs w:val="24"/>
        </w:rPr>
        <w:t xml:space="preserve">Board of Selectmen who fired him from the Brookline </w:t>
      </w:r>
      <w:r w:rsidRPr="00214DCF">
        <w:rPr>
          <w:rFonts w:ascii="Times New Roman" w:eastAsia="Times New Roman" w:hAnsi="Times New Roman"/>
          <w:sz w:val="24"/>
          <w:szCs w:val="24"/>
        </w:rPr>
        <w:t>Fire Department</w:t>
      </w:r>
      <w:r>
        <w:rPr>
          <w:rFonts w:ascii="Times New Roman" w:eastAsia="Times New Roman" w:hAnsi="Times New Roman"/>
          <w:sz w:val="24"/>
          <w:szCs w:val="24"/>
        </w:rPr>
        <w:t xml:space="preserve">.  Stanley Spiegel is not on the Board, but is a citizen elected as a member of the 240 member “Town Meeting.” </w:t>
      </w:r>
    </w:p>
    <w:p w14:paraId="4A2C7343" w14:textId="77777777" w:rsidR="00EB2493" w:rsidRDefault="00EB2493" w:rsidP="00EB249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214DCF">
        <w:rPr>
          <w:rFonts w:ascii="Times New Roman" w:eastAsia="Times New Roman" w:hAnsi="Times New Roman"/>
          <w:sz w:val="24"/>
          <w:szCs w:val="24"/>
        </w:rPr>
        <w:t xml:space="preserve">On February 13, 2015, Alston was placed on paid administrative leave. He asserts that despite the Selectmen's publicly conciliatory stance toward </w:t>
      </w:r>
      <w:proofErr w:type="gramStart"/>
      <w:r w:rsidRPr="00214DCF">
        <w:rPr>
          <w:rFonts w:ascii="Times New Roman" w:eastAsia="Times New Roman" w:hAnsi="Times New Roman"/>
          <w:sz w:val="24"/>
          <w:szCs w:val="24"/>
        </w:rPr>
        <w:t xml:space="preserve">him, </w:t>
      </w:r>
      <w:r>
        <w:rPr>
          <w:rFonts w:ascii="Times New Roman" w:eastAsia="Times New Roman" w:hAnsi="Times New Roman"/>
          <w:sz w:val="24"/>
          <w:szCs w:val="24"/>
        </w:rPr>
        <w:t>‘</w:t>
      </w:r>
      <w:proofErr w:type="gramEnd"/>
      <w:r w:rsidRPr="00214DCF">
        <w:rPr>
          <w:rFonts w:ascii="Times New Roman" w:eastAsia="Times New Roman" w:hAnsi="Times New Roman"/>
          <w:sz w:val="24"/>
          <w:szCs w:val="24"/>
        </w:rPr>
        <w:t xml:space="preserve">they tacitly encouraged their unofficial surrogates, including advisory committee member and town meeting member, Stanley </w:t>
      </w:r>
      <w:proofErr w:type="gramStart"/>
      <w:r w:rsidRPr="00214DCF">
        <w:rPr>
          <w:rFonts w:ascii="Times New Roman" w:eastAsia="Times New Roman" w:hAnsi="Times New Roman"/>
          <w:sz w:val="24"/>
          <w:szCs w:val="24"/>
        </w:rPr>
        <w:t>Spiegel</w:t>
      </w:r>
      <w:proofErr w:type="gramEnd"/>
      <w:r w:rsidRPr="00214DCF">
        <w:rPr>
          <w:rFonts w:ascii="Times New Roman" w:eastAsia="Times New Roman" w:hAnsi="Times New Roman"/>
          <w:sz w:val="24"/>
          <w:szCs w:val="24"/>
        </w:rPr>
        <w:t xml:space="preserve"> to smear Mr. Alston and undermine public support for </w:t>
      </w:r>
      <w:proofErr w:type="gramStart"/>
      <w:r w:rsidRPr="00214DCF">
        <w:rPr>
          <w:rFonts w:ascii="Times New Roman" w:eastAsia="Times New Roman" w:hAnsi="Times New Roman"/>
          <w:sz w:val="24"/>
          <w:szCs w:val="24"/>
        </w:rPr>
        <w:t>him.</w:t>
      </w:r>
      <w:r>
        <w:rPr>
          <w:rFonts w:ascii="Times New Roman" w:eastAsia="Times New Roman" w:hAnsi="Times New Roman"/>
          <w:sz w:val="24"/>
          <w:szCs w:val="24"/>
        </w:rPr>
        <w:t>’</w:t>
      </w:r>
      <w:proofErr w:type="gramEnd"/>
      <w:r w:rsidRPr="00214DCF">
        <w:rPr>
          <w:rFonts w:ascii="Times New Roman" w:eastAsia="Times New Roman" w:hAnsi="Times New Roman"/>
          <w:sz w:val="24"/>
          <w:szCs w:val="24"/>
        </w:rPr>
        <w:t xml:space="preserve"> Just over a year later — on February 16, 2016 — the Board terminated Alston's paid administrative leave. Alston was formally dismissed from his</w:t>
      </w:r>
      <w:r>
        <w:rPr>
          <w:rFonts w:ascii="Times New Roman" w:eastAsia="Times New Roman" w:hAnsi="Times New Roman"/>
          <w:sz w:val="24"/>
          <w:szCs w:val="24"/>
        </w:rPr>
        <w:t xml:space="preserve"> </w:t>
      </w:r>
      <w:r w:rsidRPr="00214DCF">
        <w:rPr>
          <w:rFonts w:ascii="Times New Roman" w:eastAsia="Times New Roman" w:hAnsi="Times New Roman"/>
          <w:sz w:val="24"/>
          <w:szCs w:val="24"/>
        </w:rPr>
        <w:t>firefighter position by unanimous vote of the Board on October 5, 2016.</w:t>
      </w:r>
    </w:p>
    <w:p w14:paraId="264EBE96" w14:textId="77777777" w:rsidR="00EB2493" w:rsidRDefault="00EB2493" w:rsidP="00EB249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5F253E3" w14:textId="77777777" w:rsidR="00EB2493" w:rsidRPr="003E5782" w:rsidRDefault="00EB2493" w:rsidP="00EB2493">
      <w:pPr>
        <w:pStyle w:val="NormalWeb"/>
        <w:ind w:left="720"/>
      </w:pPr>
      <w:r w:rsidRPr="003E5782">
        <w:t>We need go no further. For aught that appears, Spiegel was at most a peripheral player in the evolving saga of Alston's difficulties with the Town, the Board, and the Department. Alston has had three opportunities to plead his claims against Spiegel, and he has come up empty. There simply are no facts pleaded in the SAC sufficient to ground a reasonable inference that Spiegel</w:t>
      </w:r>
      <w:r>
        <w:t xml:space="preserve"> </w:t>
      </w:r>
      <w:r w:rsidRPr="003E5782">
        <w:t xml:space="preserve">is liable to Alston for any of the wrongs alleged. Put bluntly, the facts set forth are too meager to lift Alston's claims over the threshold of conjecture. We therefore </w:t>
      </w:r>
      <w:r w:rsidRPr="003E5782">
        <w:rPr>
          <w:u w:val="single"/>
        </w:rPr>
        <w:t>affirm</w:t>
      </w:r>
      <w:r w:rsidRPr="003E5782">
        <w:t xml:space="preserve"> the judgment of the district court dismissing Alston's claims. We </w:t>
      </w:r>
      <w:r w:rsidRPr="003E5782">
        <w:rPr>
          <w:u w:val="single"/>
        </w:rPr>
        <w:t>retain</w:t>
      </w:r>
      <w:r w:rsidRPr="003E5782">
        <w:t xml:space="preserve"> appellate jurisdiction over Alston's appeal insofar as it relates to his claims against other defendants.</w:t>
      </w:r>
      <w:r>
        <w:t xml:space="preserve">” </w:t>
      </w:r>
      <w:hyperlink r:id="rId1636" w:history="1">
        <w:r w:rsidRPr="008561DB">
          <w:rPr>
            <w:rStyle w:val="Hyperlink"/>
          </w:rPr>
          <w:t>https://casetext.com/case/alston-v-spiegel</w:t>
        </w:r>
      </w:hyperlink>
      <w:r>
        <w:t xml:space="preserve"> </w:t>
      </w:r>
    </w:p>
    <w:p w14:paraId="609FE75B" w14:textId="77777777" w:rsidR="00EB2493" w:rsidRPr="003E5782" w:rsidRDefault="00EB2493" w:rsidP="00EB2493">
      <w:pPr>
        <w:spacing w:before="100" w:beforeAutospacing="1" w:after="100" w:afterAutospacing="1" w:line="240" w:lineRule="auto"/>
        <w:rPr>
          <w:rFonts w:ascii="Times New Roman" w:eastAsia="Times New Roman" w:hAnsi="Times New Roman"/>
          <w:b/>
          <w:bCs/>
          <w:sz w:val="24"/>
          <w:szCs w:val="24"/>
        </w:rPr>
      </w:pPr>
      <w:r w:rsidRPr="00670C0A">
        <w:rPr>
          <w:rFonts w:ascii="Times New Roman" w:hAnsi="Times New Roman"/>
          <w:b/>
          <w:bCs/>
          <w:sz w:val="24"/>
          <w:szCs w:val="24"/>
        </w:rPr>
        <w:t>Legal Lesson Learned:</w:t>
      </w:r>
      <w:r>
        <w:rPr>
          <w:rFonts w:ascii="Times New Roman" w:hAnsi="Times New Roman"/>
          <w:b/>
          <w:bCs/>
          <w:sz w:val="24"/>
          <w:szCs w:val="24"/>
        </w:rPr>
        <w:t xml:space="preserve">  There was no proof of racial discrimination, retaliation, or conspiracy by this elected member of the Town Meeting.  </w:t>
      </w:r>
    </w:p>
    <w:p w14:paraId="2314C85E" w14:textId="04D2ECAA" w:rsidR="00EB2493" w:rsidRDefault="00EB2493" w:rsidP="00BC70A3">
      <w:pPr>
        <w:rPr>
          <w:rFonts w:ascii="Arial Black" w:hAnsi="Arial Black"/>
          <w:b/>
          <w:sz w:val="24"/>
          <w:szCs w:val="24"/>
        </w:rPr>
      </w:pPr>
    </w:p>
    <w:p w14:paraId="2ACDEBA2" w14:textId="551AE366" w:rsidR="00EB2493" w:rsidRDefault="00EB2493" w:rsidP="00BC70A3">
      <w:pPr>
        <w:rPr>
          <w:rFonts w:ascii="Arial Black" w:hAnsi="Arial Black"/>
          <w:b/>
          <w:sz w:val="24"/>
          <w:szCs w:val="24"/>
        </w:rPr>
      </w:pPr>
      <w:r>
        <w:rPr>
          <w:rFonts w:ascii="Arial Black" w:hAnsi="Arial Black"/>
          <w:b/>
          <w:sz w:val="24"/>
          <w:szCs w:val="24"/>
        </w:rPr>
        <w:t>8-27</w:t>
      </w:r>
    </w:p>
    <w:p w14:paraId="2B320BD6" w14:textId="77777777" w:rsidR="00EB2493" w:rsidRPr="007C11FC" w:rsidRDefault="00EB2493" w:rsidP="00EB2493">
      <w:pPr>
        <w:pStyle w:val="NoSpacing"/>
        <w:rPr>
          <w:rFonts w:ascii="Arial Black" w:hAnsi="Arial Black"/>
          <w:sz w:val="28"/>
          <w:szCs w:val="28"/>
        </w:rPr>
      </w:pPr>
      <w:r>
        <w:rPr>
          <w:rFonts w:ascii="Arial Black" w:hAnsi="Arial Black"/>
          <w:sz w:val="28"/>
          <w:szCs w:val="28"/>
        </w:rPr>
        <w:t xml:space="preserve">IL: CHICAGO FF / PUERTO RICO - “HOSTILE WORK ENVIRONMENT” PROCEED– MADE INTERNAL COMPLAINTS </w:t>
      </w:r>
    </w:p>
    <w:p w14:paraId="39FCEA82" w14:textId="77777777" w:rsidR="00EB2493" w:rsidRDefault="00EB2493" w:rsidP="00EB2493">
      <w:pPr>
        <w:pStyle w:val="NoSpacing"/>
      </w:pPr>
    </w:p>
    <w:p w14:paraId="36BD47EE" w14:textId="77777777" w:rsidR="00EB2493" w:rsidRDefault="00EB2493" w:rsidP="00EB2493">
      <w:pPr>
        <w:pStyle w:val="NoSpacing"/>
        <w:rPr>
          <w:rFonts w:ascii="Times New Roman" w:hAnsi="Times New Roman"/>
          <w:sz w:val="24"/>
          <w:szCs w:val="24"/>
        </w:rPr>
      </w:pPr>
      <w:r>
        <w:rPr>
          <w:rFonts w:ascii="Times New Roman" w:hAnsi="Times New Roman"/>
          <w:sz w:val="24"/>
          <w:szCs w:val="24"/>
        </w:rPr>
        <w:t xml:space="preserve">On Feb. 18, 2021, in </w:t>
      </w:r>
      <w:r w:rsidRPr="007C11FC">
        <w:rPr>
          <w:rFonts w:ascii="Times New Roman" w:hAnsi="Times New Roman"/>
          <w:sz w:val="24"/>
          <w:szCs w:val="24"/>
          <w:u w:val="single"/>
        </w:rPr>
        <w:t>Robert G. Alamo v. The City of Chicago, et al</w:t>
      </w:r>
      <w:r>
        <w:rPr>
          <w:rFonts w:ascii="Times New Roman" w:hAnsi="Times New Roman"/>
          <w:sz w:val="24"/>
          <w:szCs w:val="24"/>
        </w:rPr>
        <w:t xml:space="preserve">., U.S. District Court Judge Sharon Johnson Coleman, U.S. District Court for the Northern District of Illinois (Eastern Division) held that the lawsuit by the former fighter, may proceed against the </w:t>
      </w:r>
      <w:proofErr w:type="gramStart"/>
      <w:r>
        <w:rPr>
          <w:rFonts w:ascii="Times New Roman" w:hAnsi="Times New Roman"/>
          <w:sz w:val="24"/>
          <w:szCs w:val="24"/>
        </w:rPr>
        <w:t>City</w:t>
      </w:r>
      <w:proofErr w:type="gramEnd"/>
      <w:r>
        <w:rPr>
          <w:rFonts w:ascii="Times New Roman" w:hAnsi="Times New Roman"/>
          <w:sz w:val="24"/>
          <w:szCs w:val="24"/>
        </w:rPr>
        <w:t xml:space="preserve"> on his claim of “hostile workplace environment” since he made complaints to Supervisors and to Internal Affairs.  His other claims in the lawsuit of national origin, race and disabilities discrimination were dismissed; he was fired after being diagnosed as “unfit for duty” (PTSD). </w:t>
      </w:r>
    </w:p>
    <w:p w14:paraId="167D52F9"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05556">
        <w:rPr>
          <w:rFonts w:ascii="Times New Roman" w:hAnsi="Times New Roman"/>
          <w:sz w:val="24"/>
          <w:szCs w:val="24"/>
        </w:rPr>
        <w:t xml:space="preserve">On September 13, 2011, Alamo reported for duty at Engine 55. He was not feeling well, so he decided to go to the bunkroom to lie down, at which time he told a coworker to come get him if a call came in. Later that day, Captain Pat Stefan awakened Alamo by pushing and shaking </w:t>
      </w:r>
      <w:proofErr w:type="gramStart"/>
      <w:r w:rsidRPr="00305556">
        <w:rPr>
          <w:rFonts w:ascii="Times New Roman" w:hAnsi="Times New Roman"/>
          <w:sz w:val="24"/>
          <w:szCs w:val="24"/>
        </w:rPr>
        <w:t>him, and</w:t>
      </w:r>
      <w:proofErr w:type="gramEnd"/>
      <w:r w:rsidRPr="00305556">
        <w:rPr>
          <w:rFonts w:ascii="Times New Roman" w:hAnsi="Times New Roman"/>
          <w:sz w:val="24"/>
          <w:szCs w:val="24"/>
        </w:rPr>
        <w:t xml:space="preserve"> shouting </w:t>
      </w:r>
      <w:r>
        <w:rPr>
          <w:rFonts w:ascii="Times New Roman" w:hAnsi="Times New Roman"/>
          <w:sz w:val="24"/>
          <w:szCs w:val="24"/>
        </w:rPr>
        <w:t>‘</w:t>
      </w:r>
      <w:r w:rsidRPr="00305556">
        <w:rPr>
          <w:rFonts w:ascii="Times New Roman" w:hAnsi="Times New Roman"/>
          <w:sz w:val="24"/>
          <w:szCs w:val="24"/>
        </w:rPr>
        <w:t>Mother</w:t>
      </w:r>
      <w:r>
        <w:rPr>
          <w:rFonts w:ascii="Times New Roman" w:hAnsi="Times New Roman"/>
          <w:sz w:val="24"/>
          <w:szCs w:val="24"/>
        </w:rPr>
        <w:t xml:space="preserve"> </w:t>
      </w:r>
      <w:r w:rsidRPr="00305556">
        <w:rPr>
          <w:rFonts w:ascii="Times New Roman" w:hAnsi="Times New Roman"/>
          <w:sz w:val="24"/>
          <w:szCs w:val="24"/>
        </w:rPr>
        <w:t xml:space="preserve">fucker </w:t>
      </w:r>
      <w:proofErr w:type="gramStart"/>
      <w:r w:rsidRPr="00305556">
        <w:rPr>
          <w:rFonts w:ascii="Times New Roman" w:hAnsi="Times New Roman"/>
          <w:sz w:val="24"/>
          <w:szCs w:val="24"/>
        </w:rPr>
        <w:t>get</w:t>
      </w:r>
      <w:proofErr w:type="gramEnd"/>
      <w:r w:rsidRPr="00305556">
        <w:rPr>
          <w:rFonts w:ascii="Times New Roman" w:hAnsi="Times New Roman"/>
          <w:sz w:val="24"/>
          <w:szCs w:val="24"/>
        </w:rPr>
        <w:t xml:space="preserve"> up. You missed the run. You motherfucker. You lazy mother</w:t>
      </w:r>
      <w:r>
        <w:rPr>
          <w:rFonts w:ascii="Times New Roman" w:hAnsi="Times New Roman"/>
          <w:sz w:val="24"/>
          <w:szCs w:val="24"/>
        </w:rPr>
        <w:t xml:space="preserve"> </w:t>
      </w:r>
      <w:r w:rsidRPr="00305556">
        <w:rPr>
          <w:rFonts w:ascii="Times New Roman" w:hAnsi="Times New Roman"/>
          <w:sz w:val="24"/>
          <w:szCs w:val="24"/>
        </w:rPr>
        <w:t>fucker. You piece of shit.</w:t>
      </w:r>
      <w:r>
        <w:rPr>
          <w:rFonts w:ascii="Times New Roman" w:hAnsi="Times New Roman"/>
          <w:sz w:val="24"/>
          <w:szCs w:val="24"/>
        </w:rPr>
        <w:t>’</w:t>
      </w:r>
      <w:r w:rsidRPr="00305556">
        <w:rPr>
          <w:rFonts w:ascii="Times New Roman" w:hAnsi="Times New Roman"/>
          <w:sz w:val="24"/>
          <w:szCs w:val="24"/>
        </w:rPr>
        <w:t xml:space="preserve"> Alamo testified that during this altercation, Captain Stefan told him he did not like </w:t>
      </w:r>
      <w:r>
        <w:rPr>
          <w:rFonts w:ascii="Times New Roman" w:hAnsi="Times New Roman"/>
          <w:sz w:val="24"/>
          <w:szCs w:val="24"/>
        </w:rPr>
        <w:t>‘</w:t>
      </w:r>
      <w:r w:rsidRPr="00305556">
        <w:rPr>
          <w:rFonts w:ascii="Times New Roman" w:hAnsi="Times New Roman"/>
          <w:sz w:val="24"/>
          <w:szCs w:val="24"/>
        </w:rPr>
        <w:t>his kind.</w:t>
      </w:r>
      <w:r>
        <w:rPr>
          <w:rFonts w:ascii="Times New Roman" w:hAnsi="Times New Roman"/>
          <w:sz w:val="24"/>
          <w:szCs w:val="24"/>
        </w:rPr>
        <w:t>’</w:t>
      </w:r>
      <w:r w:rsidRPr="00305556">
        <w:rPr>
          <w:rFonts w:ascii="Times New Roman" w:hAnsi="Times New Roman"/>
          <w:sz w:val="24"/>
          <w:szCs w:val="24"/>
        </w:rPr>
        <w:t xml:space="preserve"> He also testified that </w:t>
      </w:r>
      <w:r>
        <w:rPr>
          <w:rFonts w:ascii="Times New Roman" w:hAnsi="Times New Roman"/>
          <w:sz w:val="24"/>
          <w:szCs w:val="24"/>
        </w:rPr>
        <w:t>‘</w:t>
      </w:r>
      <w:r w:rsidRPr="00305556">
        <w:rPr>
          <w:rFonts w:ascii="Times New Roman" w:hAnsi="Times New Roman"/>
          <w:sz w:val="24"/>
          <w:szCs w:val="24"/>
        </w:rPr>
        <w:t>I believe Captain Stefan called me a spic.</w:t>
      </w:r>
      <w:r>
        <w:rPr>
          <w:rFonts w:ascii="Times New Roman" w:hAnsi="Times New Roman"/>
          <w:sz w:val="24"/>
          <w:szCs w:val="24"/>
        </w:rPr>
        <w:t>’</w:t>
      </w:r>
      <w:r w:rsidRPr="00305556">
        <w:rPr>
          <w:rFonts w:ascii="Times New Roman" w:hAnsi="Times New Roman"/>
          <w:sz w:val="24"/>
          <w:szCs w:val="24"/>
        </w:rPr>
        <w:t xml:space="preserve"> During this incident, Captain Stefan chest bumped Alamo resulting in a contusion.</w:t>
      </w:r>
      <w:r>
        <w:rPr>
          <w:rFonts w:ascii="Times New Roman" w:hAnsi="Times New Roman"/>
          <w:sz w:val="24"/>
          <w:szCs w:val="24"/>
        </w:rPr>
        <w:t xml:space="preserve"> </w:t>
      </w:r>
      <w:r w:rsidRPr="00305556">
        <w:rPr>
          <w:rFonts w:ascii="Times New Roman" w:hAnsi="Times New Roman"/>
          <w:sz w:val="24"/>
          <w:szCs w:val="24"/>
        </w:rPr>
        <w:t xml:space="preserve">After this incident, Alamo called the police department and filed a report. Two days after the incident with Captain Stefan, Alamo went on a medical </w:t>
      </w:r>
      <w:r>
        <w:rPr>
          <w:rFonts w:ascii="Times New Roman" w:hAnsi="Times New Roman"/>
          <w:sz w:val="24"/>
          <w:szCs w:val="24"/>
        </w:rPr>
        <w:t>‘l</w:t>
      </w:r>
      <w:r w:rsidRPr="00305556">
        <w:rPr>
          <w:rFonts w:ascii="Times New Roman" w:hAnsi="Times New Roman"/>
          <w:sz w:val="24"/>
          <w:szCs w:val="24"/>
        </w:rPr>
        <w:t>ay-up</w:t>
      </w:r>
      <w:r>
        <w:rPr>
          <w:rFonts w:ascii="Times New Roman" w:hAnsi="Times New Roman"/>
          <w:sz w:val="24"/>
          <w:szCs w:val="24"/>
        </w:rPr>
        <w:t>’</w:t>
      </w:r>
      <w:r w:rsidRPr="00305556">
        <w:rPr>
          <w:rFonts w:ascii="Times New Roman" w:hAnsi="Times New Roman"/>
          <w:sz w:val="24"/>
          <w:szCs w:val="24"/>
        </w:rPr>
        <w:t xml:space="preserve"> for what Alamo described as chest pains, stress, and anxiety. Alamo testified that while he was on lay-up, other firefighters harassed him at his home during </w:t>
      </w:r>
      <w:r>
        <w:rPr>
          <w:rFonts w:ascii="Times New Roman" w:hAnsi="Times New Roman"/>
          <w:sz w:val="24"/>
          <w:szCs w:val="24"/>
        </w:rPr>
        <w:t>‘</w:t>
      </w:r>
      <w:r w:rsidRPr="00305556">
        <w:rPr>
          <w:rFonts w:ascii="Times New Roman" w:hAnsi="Times New Roman"/>
          <w:sz w:val="24"/>
          <w:szCs w:val="24"/>
        </w:rPr>
        <w:t>wellness checks.</w:t>
      </w:r>
      <w:r>
        <w:rPr>
          <w:rFonts w:ascii="Times New Roman" w:hAnsi="Times New Roman"/>
          <w:sz w:val="24"/>
          <w:szCs w:val="24"/>
        </w:rPr>
        <w:t>’</w:t>
      </w:r>
    </w:p>
    <w:p w14:paraId="60E4E84E"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8B0EDF9" w14:textId="77777777" w:rsidR="00EB2493" w:rsidRPr="00E61BCF" w:rsidRDefault="00EB2493" w:rsidP="00EB2493">
      <w:pPr>
        <w:spacing w:before="100" w:beforeAutospacing="1" w:after="100" w:afterAutospacing="1" w:line="240" w:lineRule="auto"/>
        <w:ind w:left="720"/>
        <w:rPr>
          <w:sz w:val="24"/>
          <w:szCs w:val="24"/>
        </w:rPr>
      </w:pPr>
      <w:r w:rsidRPr="000B20EC">
        <w:rPr>
          <w:rFonts w:ascii="Times New Roman" w:eastAsia="Times New Roman" w:hAnsi="Times New Roman"/>
          <w:sz w:val="24"/>
          <w:szCs w:val="24"/>
        </w:rPr>
        <w:t>Alamo</w:t>
      </w:r>
      <w:r>
        <w:rPr>
          <w:rFonts w:ascii="Times New Roman" w:eastAsia="Times New Roman" w:hAnsi="Times New Roman"/>
          <w:sz w:val="24"/>
          <w:szCs w:val="24"/>
        </w:rPr>
        <w:t xml:space="preserve"> </w:t>
      </w:r>
      <w:r w:rsidRPr="000B20EC">
        <w:rPr>
          <w:rFonts w:ascii="Times New Roman" w:eastAsia="Times New Roman" w:hAnsi="Times New Roman"/>
          <w:sz w:val="24"/>
          <w:szCs w:val="24"/>
        </w:rPr>
        <w:t xml:space="preserve">has presented evidence that he complained to his supervisors of the harassment. For example, on a form in evidence dated January 2, 2012, Alamo explains why he believes he was subjected to a hostile work environment based on the September 2011 events with Captain Stefan and that he had also submitted </w:t>
      </w:r>
      <w:proofErr w:type="gramStart"/>
      <w:r w:rsidRPr="000B20EC">
        <w:rPr>
          <w:rFonts w:ascii="Times New Roman" w:eastAsia="Times New Roman" w:hAnsi="Times New Roman"/>
          <w:sz w:val="24"/>
          <w:szCs w:val="24"/>
        </w:rPr>
        <w:t>a Form</w:t>
      </w:r>
      <w:proofErr w:type="gramEnd"/>
      <w:r w:rsidRPr="000B20EC">
        <w:rPr>
          <w:rFonts w:ascii="Times New Roman" w:eastAsia="Times New Roman" w:hAnsi="Times New Roman"/>
          <w:sz w:val="24"/>
          <w:szCs w:val="24"/>
        </w:rPr>
        <w:t xml:space="preserve"> 2 to the Internal Affairs </w:t>
      </w:r>
      <w:proofErr w:type="gramStart"/>
      <w:r w:rsidRPr="000B20EC">
        <w:rPr>
          <w:rFonts w:ascii="Times New Roman" w:eastAsia="Times New Roman" w:hAnsi="Times New Roman"/>
          <w:sz w:val="24"/>
          <w:szCs w:val="24"/>
        </w:rPr>
        <w:t>Division (</w:t>
      </w:r>
      <w:r>
        <w:rPr>
          <w:rFonts w:ascii="Times New Roman" w:eastAsia="Times New Roman" w:hAnsi="Times New Roman"/>
          <w:sz w:val="24"/>
          <w:szCs w:val="24"/>
        </w:rPr>
        <w:t>‘</w:t>
      </w:r>
      <w:proofErr w:type="gramEnd"/>
      <w:r w:rsidRPr="000B20EC">
        <w:rPr>
          <w:rFonts w:ascii="Times New Roman" w:eastAsia="Times New Roman" w:hAnsi="Times New Roman"/>
          <w:sz w:val="24"/>
          <w:szCs w:val="24"/>
        </w:rPr>
        <w:t>IAD</w:t>
      </w:r>
      <w:r>
        <w:rPr>
          <w:rFonts w:ascii="Times New Roman" w:eastAsia="Times New Roman" w:hAnsi="Times New Roman"/>
          <w:sz w:val="24"/>
          <w:szCs w:val="24"/>
        </w:rPr>
        <w:t>’</w:t>
      </w:r>
      <w:r w:rsidRPr="000B20EC">
        <w:rPr>
          <w:rFonts w:ascii="Times New Roman" w:eastAsia="Times New Roman" w:hAnsi="Times New Roman"/>
          <w:sz w:val="24"/>
          <w:szCs w:val="24"/>
        </w:rPr>
        <w:t xml:space="preserve">). Alamo also filed a Form 2 to the IAD dated February 22, </w:t>
      </w:r>
      <w:proofErr w:type="gramStart"/>
      <w:r w:rsidRPr="000B20EC">
        <w:rPr>
          <w:rFonts w:ascii="Times New Roman" w:eastAsia="Times New Roman" w:hAnsi="Times New Roman"/>
          <w:sz w:val="24"/>
          <w:szCs w:val="24"/>
        </w:rPr>
        <w:t>2013</w:t>
      </w:r>
      <w:proofErr w:type="gramEnd"/>
      <w:r w:rsidRPr="000B20EC">
        <w:rPr>
          <w:rFonts w:ascii="Times New Roman" w:eastAsia="Times New Roman" w:hAnsi="Times New Roman"/>
          <w:sz w:val="24"/>
          <w:szCs w:val="24"/>
        </w:rPr>
        <w:t xml:space="preserve"> explaining that Captain Stefan stated he didn't like Alamo's </w:t>
      </w:r>
      <w:r>
        <w:rPr>
          <w:rFonts w:ascii="Times New Roman" w:eastAsia="Times New Roman" w:hAnsi="Times New Roman"/>
          <w:sz w:val="24"/>
          <w:szCs w:val="24"/>
        </w:rPr>
        <w:t>‘</w:t>
      </w:r>
      <w:r w:rsidRPr="000B20EC">
        <w:rPr>
          <w:rFonts w:ascii="Times New Roman" w:eastAsia="Times New Roman" w:hAnsi="Times New Roman"/>
          <w:sz w:val="24"/>
          <w:szCs w:val="24"/>
        </w:rPr>
        <w:t>kind.</w:t>
      </w:r>
      <w:r>
        <w:rPr>
          <w:rFonts w:ascii="Times New Roman" w:eastAsia="Times New Roman" w:hAnsi="Times New Roman"/>
          <w:sz w:val="24"/>
          <w:szCs w:val="24"/>
        </w:rPr>
        <w:t>’</w:t>
      </w:r>
      <w:r w:rsidRPr="000B20EC">
        <w:rPr>
          <w:rFonts w:ascii="Times New Roman" w:eastAsia="Times New Roman" w:hAnsi="Times New Roman"/>
          <w:sz w:val="24"/>
          <w:szCs w:val="24"/>
        </w:rPr>
        <w:t xml:space="preserve"> Other evidence of notice includes Lieutenant Bliss' testimony that after Alamo informed him of the incident with Captain Stefan, Bliss called Chief Steven </w:t>
      </w:r>
      <w:proofErr w:type="spellStart"/>
      <w:r w:rsidRPr="000B20EC">
        <w:rPr>
          <w:rFonts w:ascii="Times New Roman" w:eastAsia="Times New Roman" w:hAnsi="Times New Roman"/>
          <w:sz w:val="24"/>
          <w:szCs w:val="24"/>
        </w:rPr>
        <w:t>Chikerotis</w:t>
      </w:r>
      <w:proofErr w:type="spellEnd"/>
      <w:r w:rsidRPr="000B20EC">
        <w:rPr>
          <w:rFonts w:ascii="Times New Roman" w:eastAsia="Times New Roman" w:hAnsi="Times New Roman"/>
          <w:sz w:val="24"/>
          <w:szCs w:val="24"/>
        </w:rPr>
        <w:t xml:space="preserve"> to review the incident. Further, Alamo testified at his deposition that he turned in numerous Form 2s to his chain of command</w:t>
      </w:r>
      <w:r>
        <w:rPr>
          <w:rFonts w:ascii="Times New Roman" w:eastAsia="Times New Roman" w:hAnsi="Times New Roman"/>
          <w:sz w:val="24"/>
          <w:szCs w:val="24"/>
        </w:rPr>
        <w:t xml:space="preserve"> </w:t>
      </w:r>
      <w:r w:rsidRPr="000B20EC">
        <w:rPr>
          <w:rFonts w:ascii="Times New Roman" w:eastAsia="Times New Roman" w:hAnsi="Times New Roman"/>
          <w:sz w:val="24"/>
          <w:szCs w:val="24"/>
        </w:rPr>
        <w:t>about the harassment and that he reported the racial slurs and that other firefighters were throwing away his food to his supervisor Lieutenant Bliss.</w:t>
      </w:r>
      <w:r>
        <w:rPr>
          <w:rFonts w:ascii="Times New Roman" w:eastAsia="Times New Roman" w:hAnsi="Times New Roman"/>
          <w:sz w:val="24"/>
          <w:szCs w:val="24"/>
        </w:rPr>
        <w:t>”</w:t>
      </w:r>
    </w:p>
    <w:p w14:paraId="46A64A0A"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47340A4" w14:textId="77777777" w:rsidR="00EB2493" w:rsidRDefault="00EB2493" w:rsidP="00EB2493">
      <w:pPr>
        <w:spacing w:before="100" w:beforeAutospacing="1" w:after="100" w:afterAutospacing="1" w:line="240" w:lineRule="auto"/>
        <w:ind w:left="720"/>
        <w:rPr>
          <w:rFonts w:ascii="Times New Roman" w:hAnsi="Times New Roman"/>
          <w:sz w:val="24"/>
          <w:szCs w:val="24"/>
        </w:rPr>
      </w:pPr>
      <w:r w:rsidRPr="00305556">
        <w:rPr>
          <w:rFonts w:ascii="Times New Roman" w:hAnsi="Times New Roman"/>
          <w:sz w:val="24"/>
          <w:szCs w:val="24"/>
        </w:rPr>
        <w:t xml:space="preserve">Looking at the totality of the evidence, it is </w:t>
      </w:r>
      <w:r>
        <w:rPr>
          <w:rFonts w:ascii="Times New Roman" w:hAnsi="Times New Roman"/>
          <w:sz w:val="24"/>
          <w:szCs w:val="24"/>
        </w:rPr>
        <w:t>‘</w:t>
      </w:r>
      <w:r w:rsidRPr="00305556">
        <w:rPr>
          <w:rFonts w:ascii="Times New Roman" w:hAnsi="Times New Roman"/>
          <w:sz w:val="24"/>
          <w:szCs w:val="24"/>
        </w:rPr>
        <w:t xml:space="preserve">significant that </w:t>
      </w:r>
      <w:proofErr w:type="gramStart"/>
      <w:r w:rsidRPr="00305556">
        <w:rPr>
          <w:rFonts w:ascii="Times New Roman" w:hAnsi="Times New Roman"/>
          <w:sz w:val="24"/>
          <w:szCs w:val="24"/>
        </w:rPr>
        <w:t>the harassment</w:t>
      </w:r>
      <w:proofErr w:type="gramEnd"/>
      <w:r w:rsidRPr="00305556">
        <w:rPr>
          <w:rFonts w:ascii="Times New Roman" w:hAnsi="Times New Roman"/>
          <w:sz w:val="24"/>
          <w:szCs w:val="24"/>
        </w:rPr>
        <w:t xml:space="preserve"> occurred in an atmosphere where firefighters live and serve together and in which mutual interdependence is an essential factor in effectiveness and, at times, survival.</w:t>
      </w:r>
      <w:r>
        <w:rPr>
          <w:rFonts w:ascii="Times New Roman" w:hAnsi="Times New Roman"/>
          <w:sz w:val="24"/>
          <w:szCs w:val="24"/>
        </w:rPr>
        <w:t>’</w:t>
      </w:r>
      <w:r w:rsidRPr="00305556">
        <w:rPr>
          <w:rFonts w:ascii="Times New Roman" w:hAnsi="Times New Roman"/>
          <w:sz w:val="24"/>
          <w:szCs w:val="24"/>
        </w:rPr>
        <w:t xml:space="preserve"> </w:t>
      </w:r>
      <w:r w:rsidRPr="00305556">
        <w:rPr>
          <w:rFonts w:ascii="Times New Roman" w:hAnsi="Times New Roman"/>
          <w:i/>
          <w:iCs/>
          <w:sz w:val="24"/>
          <w:szCs w:val="24"/>
        </w:rPr>
        <w:t>Alamo</w:t>
      </w:r>
      <w:r w:rsidRPr="00305556">
        <w:rPr>
          <w:rFonts w:ascii="Times New Roman" w:hAnsi="Times New Roman"/>
          <w:sz w:val="24"/>
          <w:szCs w:val="24"/>
        </w:rPr>
        <w:t>, 864 F.3d at 551.</w:t>
      </w:r>
      <w:r>
        <w:rPr>
          <w:rFonts w:ascii="Times New Roman" w:hAnsi="Times New Roman"/>
          <w:sz w:val="24"/>
          <w:szCs w:val="24"/>
        </w:rPr>
        <w:t xml:space="preserve">” </w:t>
      </w:r>
      <w:hyperlink r:id="rId1637" w:history="1">
        <w:r w:rsidRPr="00023471">
          <w:rPr>
            <w:rStyle w:val="Hyperlink"/>
            <w:rFonts w:ascii="Times New Roman" w:hAnsi="Times New Roman"/>
            <w:sz w:val="24"/>
            <w:szCs w:val="24"/>
          </w:rPr>
          <w:t>https://casetext.com/case/alamo-v-city-of-chi-2</w:t>
        </w:r>
      </w:hyperlink>
      <w:r>
        <w:rPr>
          <w:rFonts w:ascii="Times New Roman" w:hAnsi="Times New Roman"/>
          <w:sz w:val="24"/>
          <w:szCs w:val="24"/>
        </w:rPr>
        <w:t xml:space="preserve"> </w:t>
      </w:r>
    </w:p>
    <w:p w14:paraId="259761E5"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0E79A2">
        <w:rPr>
          <w:rFonts w:ascii="Times New Roman" w:hAnsi="Times New Roman"/>
          <w:b/>
          <w:bCs/>
          <w:sz w:val="24"/>
          <w:szCs w:val="24"/>
        </w:rPr>
        <w:t>Legal Lesson Learned:</w:t>
      </w:r>
      <w:r>
        <w:rPr>
          <w:rFonts w:ascii="Times New Roman" w:hAnsi="Times New Roman"/>
          <w:b/>
          <w:bCs/>
          <w:sz w:val="24"/>
          <w:szCs w:val="24"/>
        </w:rPr>
        <w:t xml:space="preserve">  Internal complaints of hostile work environment, whether complaints about Supervisors or about fellow firefighters, should be promptly investigated and corrective action documented. </w:t>
      </w:r>
    </w:p>
    <w:p w14:paraId="0392A0DE" w14:textId="3AC07CD1" w:rsidR="00EB2493" w:rsidRDefault="00EB2493" w:rsidP="00BC70A3">
      <w:pPr>
        <w:rPr>
          <w:rFonts w:ascii="Arial Black" w:hAnsi="Arial Black"/>
          <w:b/>
          <w:sz w:val="24"/>
          <w:szCs w:val="24"/>
        </w:rPr>
      </w:pPr>
    </w:p>
    <w:p w14:paraId="05814076" w14:textId="547ED69B" w:rsidR="00EB2493" w:rsidRDefault="00EB2493" w:rsidP="00BC70A3">
      <w:pPr>
        <w:rPr>
          <w:rFonts w:ascii="Arial Black" w:hAnsi="Arial Black"/>
          <w:b/>
          <w:sz w:val="24"/>
          <w:szCs w:val="24"/>
        </w:rPr>
      </w:pPr>
      <w:r>
        <w:rPr>
          <w:rFonts w:ascii="Arial Black" w:hAnsi="Arial Black"/>
          <w:b/>
          <w:sz w:val="24"/>
          <w:szCs w:val="24"/>
        </w:rPr>
        <w:t>8-26</w:t>
      </w:r>
    </w:p>
    <w:p w14:paraId="369DD68E" w14:textId="77777777" w:rsidR="00EB2493" w:rsidRDefault="00EB2493" w:rsidP="00EB2493">
      <w:pPr>
        <w:spacing w:before="100" w:beforeAutospacing="1" w:after="100" w:afterAutospacing="1" w:line="240" w:lineRule="auto"/>
        <w:rPr>
          <w:rFonts w:ascii="Arial Black" w:hAnsi="Arial Black"/>
          <w:sz w:val="28"/>
          <w:szCs w:val="28"/>
        </w:rPr>
      </w:pPr>
      <w:r>
        <w:rPr>
          <w:rFonts w:ascii="Arial Black" w:hAnsi="Arial Black"/>
          <w:sz w:val="28"/>
          <w:szCs w:val="28"/>
        </w:rPr>
        <w:t>MI: PALESTINIAN FF – NATIONAL ORIGIN CLAIMS UNPROVEN – ALLOWED BEARD, AND TO WORK NIGHTS DURING RAMADAN</w:t>
      </w:r>
    </w:p>
    <w:p w14:paraId="603CE591" w14:textId="77777777" w:rsidR="00EB2493" w:rsidRDefault="00EB2493" w:rsidP="00EB2493">
      <w:pPr>
        <w:pStyle w:val="NormalWeb"/>
      </w:pPr>
      <w:r>
        <w:t xml:space="preserve">On Feb. 4, 2021, in </w:t>
      </w:r>
      <w:r w:rsidRPr="001E13BD">
        <w:rPr>
          <w:u w:val="single"/>
        </w:rPr>
        <w:t>Alaa Saade v. City of Detroit,</w:t>
      </w:r>
      <w:r>
        <w:rPr>
          <w:u w:val="single"/>
        </w:rPr>
        <w:t xml:space="preserve"> </w:t>
      </w:r>
      <w:r w:rsidRPr="001E13BD">
        <w:rPr>
          <w:u w:val="single"/>
        </w:rPr>
        <w:t>et al.</w:t>
      </w:r>
      <w:r>
        <w:t xml:space="preserve">  U.S. District Judge Judith E. Levy granted the defendants motion for summary judgment.  His claims of national origin discrimination, including not being promoted and disciplined for delaying ambulance response, dismissed for lack of proof.  He was allowed when hired to wear a beard, and his claim of not being accommodated during Ramadan was proven false – he was allowed to work Night Shift. </w:t>
      </w:r>
      <w:hyperlink r:id="rId1638" w:history="1">
        <w:r w:rsidRPr="005D199E">
          <w:rPr>
            <w:rStyle w:val="Hyperlink"/>
          </w:rPr>
          <w:t>https://casetext.com/case/saade-v-city-of-detroit-1</w:t>
        </w:r>
      </w:hyperlink>
      <w:r>
        <w:t xml:space="preserve">  </w:t>
      </w:r>
    </w:p>
    <w:p w14:paraId="1B3FDFAB" w14:textId="77777777" w:rsidR="00EB2493" w:rsidRDefault="00EB2493" w:rsidP="00EB2493">
      <w:pPr>
        <w:pStyle w:val="NormalWeb"/>
        <w:ind w:left="720"/>
        <w:rPr>
          <w:b/>
          <w:bCs/>
          <w:i/>
          <w:iCs/>
        </w:rPr>
      </w:pPr>
      <w:r>
        <w:rPr>
          <w:b/>
          <w:bCs/>
          <w:i/>
          <w:iCs/>
        </w:rPr>
        <w:t>“Failure to Promote</w:t>
      </w:r>
    </w:p>
    <w:p w14:paraId="7C745D7D" w14:textId="77777777" w:rsidR="00EB2493" w:rsidRDefault="00EB2493" w:rsidP="00EB2493">
      <w:pPr>
        <w:pStyle w:val="NormalWeb"/>
        <w:ind w:left="720"/>
      </w:pPr>
      <w:r>
        <w:t>In 2016, Plaintiff applied for job that would have led to a promotion to the rank of Shift Supervisor Grade II. (ECF No. 31, PageID.224.) He states that he was selected from many other candidates to take a written test and participate in an oral interview. Plaintiff states that he was the only candidate with a college degree, which was listed as one of the preferred job requirements.</w:t>
      </w:r>
    </w:p>
    <w:p w14:paraId="1733715C" w14:textId="77777777" w:rsidR="00EB2493" w:rsidRDefault="00EB2493" w:rsidP="00EB2493">
      <w:pPr>
        <w:pStyle w:val="NormalWeb"/>
        <w:ind w:left="720"/>
      </w:pPr>
      <w:r>
        <w:t>[Court]:  Plaintiff admitted in his deposition that he was unsuccessful at the oral interview portion of the selection process…. Specifically, when asked if it was possible another candidate got the position because they outscored Plaintiff in other categories of the application, Plaintiff admitted, "I have no idea. Anything is possible…." Plaintiff was asked what evidence he had to support his claim of discrimination and he stated, "I don't have any evidence of that. Just what I feel happened because of the way it happened, so." (</w:t>
      </w:r>
      <w:r>
        <w:rPr>
          <w:i/>
          <w:iCs/>
        </w:rPr>
        <w:t>Id</w:t>
      </w:r>
      <w:r>
        <w:t>.) This is not enough to sustain a claim of discrimination.</w:t>
      </w:r>
    </w:p>
    <w:p w14:paraId="2B908E18" w14:textId="77777777" w:rsidR="00EB2493" w:rsidRDefault="00EB2493" w:rsidP="00EB2493">
      <w:pPr>
        <w:pStyle w:val="NormalWeb"/>
        <w:ind w:left="720"/>
      </w:pPr>
      <w:r>
        <w:t>***</w:t>
      </w:r>
    </w:p>
    <w:p w14:paraId="63A806FC" w14:textId="77777777" w:rsidR="00EB2493" w:rsidRDefault="00EB2493" w:rsidP="00EB2493">
      <w:pPr>
        <w:pStyle w:val="paragraph"/>
        <w:ind w:firstLine="720"/>
      </w:pPr>
      <w:r>
        <w:rPr>
          <w:b/>
          <w:bCs/>
          <w:i/>
          <w:iCs/>
        </w:rPr>
        <w:t>March 27</w:t>
      </w:r>
      <w:r>
        <w:t xml:space="preserve">, </w:t>
      </w:r>
      <w:proofErr w:type="gramStart"/>
      <w:r>
        <w:rPr>
          <w:b/>
          <w:bCs/>
          <w:i/>
          <w:iCs/>
        </w:rPr>
        <w:t>2017</w:t>
      </w:r>
      <w:proofErr w:type="gramEnd"/>
      <w:r>
        <w:rPr>
          <w:b/>
          <w:bCs/>
          <w:i/>
          <w:iCs/>
        </w:rPr>
        <w:t xml:space="preserve"> Discipline</w:t>
      </w:r>
      <w:r>
        <w:rPr>
          <w:b/>
          <w:bCs/>
        </w:rPr>
        <w:t xml:space="preserve"> </w:t>
      </w:r>
    </w:p>
    <w:p w14:paraId="4020CA56" w14:textId="77777777" w:rsidR="00EB2493" w:rsidRDefault="00EB2493" w:rsidP="00EB2493">
      <w:pPr>
        <w:pStyle w:val="NormalWeb"/>
        <w:ind w:left="720"/>
      </w:pPr>
      <w:r>
        <w:t xml:space="preserve">On March 27, 2017, Plaintiff received a charge of discipline for delaying a run. During that </w:t>
      </w:r>
      <w:proofErr w:type="gramStart"/>
      <w:r>
        <w:t>time period</w:t>
      </w:r>
      <w:proofErr w:type="gramEnd"/>
      <w:r>
        <w:t xml:space="preserve">, the City of Detroit's EMS response times were an ongoing issue within the department….When response times exceeded eight minutes, the run would be flagged and reviewed for compliance with EMS's policy to have an ambulance in motion within one minute of a call…. </w:t>
      </w:r>
    </w:p>
    <w:p w14:paraId="44FF2873" w14:textId="77777777" w:rsidR="00EB2493" w:rsidRDefault="00EB2493" w:rsidP="00EB2493">
      <w:pPr>
        <w:pStyle w:val="NormalWeb"/>
        <w:ind w:left="720"/>
      </w:pPr>
      <w:r>
        <w:t xml:space="preserve">At 6:42 am that morning while Plaintiff was on duty, a run came in for an attempted suicide. Before the paramedics were notified of the run, another employee, Jeff Gaglio, arrived early for work on his shift and relieved Plaintiff's partner Nataki Vickers. As Gaglio and Plaintiff (who was driving the ambulance) began pulling out into the driveway for the run, Plaintiff saw his shift relief, Chris Photiades, arrive at work. Plaintiff turned the ambulance around to switch with </w:t>
      </w:r>
      <w:proofErr w:type="spellStart"/>
      <w:r>
        <w:t>Phiotades</w:t>
      </w:r>
      <w:proofErr w:type="spellEnd"/>
      <w:r>
        <w:t xml:space="preserve">. </w:t>
      </w:r>
      <w:proofErr w:type="spellStart"/>
      <w:r>
        <w:t>Phiotades</w:t>
      </w:r>
      <w:proofErr w:type="spellEnd"/>
      <w:r>
        <w:t xml:space="preserve"> and Gaglio then took the run, and arrived on the scene at 6:51 am—nine minutes after the run came in.</w:t>
      </w:r>
    </w:p>
    <w:p w14:paraId="0BBF8A23" w14:textId="77777777" w:rsidR="00EB2493" w:rsidRDefault="00EB2493" w:rsidP="00EB2493">
      <w:pPr>
        <w:pStyle w:val="NormalWeb"/>
        <w:ind w:left="720"/>
      </w:pPr>
      <w:r>
        <w:t xml:space="preserve">[Court]: Accordingly, an unserved six-hour suspension and discipline letter are not sufficient to establish a materially adverse employment action. Therefore, Plaintiff has not established a prima facie case of discrimination </w:t>
      </w:r>
      <w:proofErr w:type="gramStart"/>
      <w:r>
        <w:t>for</w:t>
      </w:r>
      <w:proofErr w:type="gramEnd"/>
      <w:r>
        <w:t xml:space="preserve"> this claim.</w:t>
      </w:r>
    </w:p>
    <w:p w14:paraId="4E2329B2" w14:textId="77777777" w:rsidR="00EB2493" w:rsidRDefault="00EB2493" w:rsidP="00EB2493">
      <w:pPr>
        <w:pStyle w:val="NormalWeb"/>
        <w:ind w:left="720"/>
        <w:rPr>
          <w:b/>
          <w:bCs/>
          <w:i/>
          <w:iCs/>
        </w:rPr>
      </w:pPr>
    </w:p>
    <w:p w14:paraId="3603685B" w14:textId="77777777" w:rsidR="00EB2493" w:rsidRDefault="00EB2493" w:rsidP="00EB2493">
      <w:pPr>
        <w:pStyle w:val="NormalWeb"/>
        <w:ind w:left="720"/>
      </w:pPr>
      <w:r>
        <w:rPr>
          <w:b/>
          <w:bCs/>
          <w:i/>
          <w:iCs/>
        </w:rPr>
        <w:t>April 2017 Ramadan Accommodation Request</w:t>
      </w:r>
    </w:p>
    <w:p w14:paraId="3BC74AF8" w14:textId="77777777" w:rsidR="00EB2493" w:rsidRDefault="00EB2493" w:rsidP="00EB2493">
      <w:pPr>
        <w:pStyle w:val="NormalWeb"/>
        <w:ind w:left="720"/>
      </w:pPr>
      <w:r>
        <w:t xml:space="preserve">[Court]: Defendants' motion for summary judgment contains e-mail exhibits indicating that Plaintiff was granted accommodations during Ramadan in 2017. For example, on Wednesday May 17, 2017, Jason Bestard, the Administrative Lieutenant for the City of Detroit Fire Department EMS Division wrote to </w:t>
      </w:r>
      <w:proofErr w:type="gramStart"/>
      <w:r>
        <w:t>Plaintiff: ‘</w:t>
      </w:r>
      <w:proofErr w:type="gramEnd"/>
      <w:r>
        <w:t xml:space="preserve">In order to accommodate your request, you will be moved to the NIGHTS 1 shift as a FLOAT PARAMEDIC for the dates, May 28 through June 20th. You will return to your regular shift Sunday, June 25th…. These dates covered the entire period for which Plaintiff sought an accommodation in his initial email to his supervisors.” </w:t>
      </w:r>
      <w:hyperlink r:id="rId1639" w:history="1">
        <w:r w:rsidRPr="005D199E">
          <w:rPr>
            <w:rStyle w:val="Hyperlink"/>
          </w:rPr>
          <w:t>https://casetext.com/case/saade-v-city-of-detroit-1</w:t>
        </w:r>
      </w:hyperlink>
      <w:r>
        <w:t xml:space="preserve">  </w:t>
      </w:r>
    </w:p>
    <w:p w14:paraId="0220A169"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FA450C">
        <w:rPr>
          <w:rFonts w:ascii="Times New Roman" w:hAnsi="Times New Roman"/>
          <w:b/>
          <w:bCs/>
          <w:sz w:val="24"/>
          <w:szCs w:val="24"/>
        </w:rPr>
        <w:t>Legal Lesson Learned:</w:t>
      </w:r>
      <w:r>
        <w:rPr>
          <w:rFonts w:ascii="Times New Roman" w:hAnsi="Times New Roman"/>
          <w:b/>
          <w:bCs/>
          <w:sz w:val="24"/>
          <w:szCs w:val="24"/>
        </w:rPr>
        <w:t xml:space="preserve">  Plaintiffs in establishing a “prima facie” case of discrimination has the burden of proof to demonstrate a material adverse change in the terms of his employment.</w:t>
      </w:r>
    </w:p>
    <w:p w14:paraId="20FBCC4E" w14:textId="77777777" w:rsidR="00EB2493" w:rsidRDefault="00EB2493" w:rsidP="00BC70A3">
      <w:pPr>
        <w:rPr>
          <w:rFonts w:ascii="Arial Black" w:hAnsi="Arial Black"/>
          <w:b/>
          <w:sz w:val="24"/>
          <w:szCs w:val="24"/>
        </w:rPr>
      </w:pPr>
    </w:p>
    <w:p w14:paraId="6C25FF4D" w14:textId="77777777" w:rsidR="00EB2493" w:rsidRDefault="00EB2493" w:rsidP="00BC70A3">
      <w:pPr>
        <w:rPr>
          <w:rFonts w:ascii="Arial Black" w:hAnsi="Arial Black"/>
          <w:b/>
          <w:sz w:val="24"/>
          <w:szCs w:val="24"/>
        </w:rPr>
      </w:pPr>
    </w:p>
    <w:p w14:paraId="51A776D8" w14:textId="7F1F3AF7" w:rsidR="007F3C7D" w:rsidRDefault="007F3C7D" w:rsidP="00BC70A3">
      <w:pPr>
        <w:rPr>
          <w:rFonts w:ascii="Arial Black" w:hAnsi="Arial Black"/>
          <w:b/>
          <w:sz w:val="24"/>
          <w:szCs w:val="24"/>
        </w:rPr>
      </w:pPr>
      <w:r>
        <w:rPr>
          <w:rFonts w:ascii="Arial Black" w:hAnsi="Arial Black"/>
          <w:b/>
          <w:sz w:val="24"/>
          <w:szCs w:val="24"/>
        </w:rPr>
        <w:t>8-25</w:t>
      </w:r>
    </w:p>
    <w:p w14:paraId="5C643133" w14:textId="77777777" w:rsidR="007F3C7D" w:rsidRPr="00890EBF" w:rsidRDefault="007F3C7D" w:rsidP="007F3C7D">
      <w:pPr>
        <w:pStyle w:val="NoSpacing"/>
        <w:rPr>
          <w:rFonts w:ascii="Arial Black" w:hAnsi="Arial Black"/>
          <w:sz w:val="28"/>
          <w:szCs w:val="28"/>
        </w:rPr>
      </w:pPr>
      <w:bookmarkStart w:id="318" w:name="_Hlk66947802"/>
      <w:r>
        <w:rPr>
          <w:rFonts w:ascii="Arial Black" w:hAnsi="Arial Black"/>
          <w:sz w:val="28"/>
          <w:szCs w:val="28"/>
        </w:rPr>
        <w:t xml:space="preserve">NY: SYRACUSE 1980 CONSENT DECREE – FED. JUDGE WON’T DISSOLVE – BUT DROP SEPARATE HIRING LISTS </w:t>
      </w:r>
    </w:p>
    <w:p w14:paraId="0AC04779" w14:textId="77777777" w:rsidR="007F3C7D" w:rsidRDefault="007F3C7D" w:rsidP="007F3C7D">
      <w:pPr>
        <w:pStyle w:val="NoSpacing"/>
      </w:pPr>
    </w:p>
    <w:p w14:paraId="0D82AD8C" w14:textId="77777777" w:rsidR="007F3C7D" w:rsidRPr="00890EBF" w:rsidRDefault="007F3C7D" w:rsidP="007F3C7D">
      <w:pPr>
        <w:pStyle w:val="NoSpacing"/>
        <w:rPr>
          <w:rFonts w:ascii="Times New Roman" w:hAnsi="Times New Roman"/>
          <w:sz w:val="24"/>
          <w:szCs w:val="24"/>
        </w:rPr>
      </w:pPr>
      <w:r w:rsidRPr="00890EBF">
        <w:rPr>
          <w:rFonts w:ascii="Times New Roman" w:hAnsi="Times New Roman"/>
          <w:sz w:val="24"/>
          <w:szCs w:val="24"/>
        </w:rPr>
        <w:t xml:space="preserve">On Jan. 12, 2021, in </w:t>
      </w:r>
      <w:r w:rsidRPr="00890EBF">
        <w:rPr>
          <w:rFonts w:ascii="Times New Roman" w:hAnsi="Times New Roman"/>
          <w:sz w:val="24"/>
          <w:szCs w:val="24"/>
          <w:u w:val="single"/>
        </w:rPr>
        <w:t>Lee Alexander, Mayor of Syracuse, et al. v. Victor S. Bahou, as President of the Civil Service Commission of the State of New York, et al</w:t>
      </w:r>
      <w:r w:rsidRPr="00890EBF">
        <w:rPr>
          <w:rFonts w:ascii="Times New Roman" w:hAnsi="Times New Roman"/>
          <w:sz w:val="24"/>
          <w:szCs w:val="24"/>
        </w:rPr>
        <w:t xml:space="preserve">., </w:t>
      </w:r>
      <w:r>
        <w:rPr>
          <w:rFonts w:ascii="Times New Roman" w:hAnsi="Times New Roman"/>
          <w:sz w:val="24"/>
          <w:szCs w:val="24"/>
        </w:rPr>
        <w:t xml:space="preserve">U.S. District Court Judge David, U.S. District Court for Northern District of New York, denied the U.S. Government’s motion to dissolve the 1980 Consent Decree, but did amend the Decree that had allowed the City for past 40 years to hire police and fire applicants off of separate hiring lists for minority and female applicants, instead of hiring by the State of New York “rule of three” from one list.  Instead of separate hiring lists, the </w:t>
      </w:r>
      <w:proofErr w:type="gramStart"/>
      <w:r>
        <w:rPr>
          <w:rFonts w:ascii="Times New Roman" w:hAnsi="Times New Roman"/>
          <w:sz w:val="24"/>
          <w:szCs w:val="24"/>
        </w:rPr>
        <w:t>City</w:t>
      </w:r>
      <w:proofErr w:type="gramEnd"/>
      <w:r>
        <w:rPr>
          <w:rFonts w:ascii="Times New Roman" w:hAnsi="Times New Roman"/>
          <w:sz w:val="24"/>
          <w:szCs w:val="24"/>
        </w:rPr>
        <w:t xml:space="preserve"> can give added points to minority and female applicants </w:t>
      </w:r>
      <w:proofErr w:type="gramStart"/>
      <w:r>
        <w:rPr>
          <w:rFonts w:ascii="Times New Roman" w:hAnsi="Times New Roman"/>
          <w:sz w:val="24"/>
          <w:szCs w:val="24"/>
        </w:rPr>
        <w:t>similar to</w:t>
      </w:r>
      <w:proofErr w:type="gramEnd"/>
      <w:r>
        <w:rPr>
          <w:rFonts w:ascii="Times New Roman" w:hAnsi="Times New Roman"/>
          <w:sz w:val="24"/>
          <w:szCs w:val="24"/>
        </w:rPr>
        <w:t xml:space="preserve"> points they award for residents. </w:t>
      </w:r>
    </w:p>
    <w:bookmarkEnd w:id="318"/>
    <w:p w14:paraId="69489D5D" w14:textId="77777777" w:rsidR="007F3C7D" w:rsidRDefault="007F3C7D" w:rsidP="007F3C7D">
      <w:pPr>
        <w:pStyle w:val="NoSpacing"/>
      </w:pPr>
    </w:p>
    <w:p w14:paraId="21C9D9E5"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r w:rsidRPr="00B16549">
        <w:rPr>
          <w:rFonts w:ascii="Times New Roman" w:hAnsi="Times New Roman"/>
          <w:sz w:val="24"/>
          <w:szCs w:val="24"/>
        </w:rPr>
        <w:t>Syracuse's goal throughout this litigation is an admirable one. Its dedication to combating racial and sex discrimination within its police and fire departments even after forty years of effort is worthy of commendation. The work of remedying the city's past discriminatory hiring practices is far from over, and contrary to the government's arguments, the Court will not deprive the city of its tools for continuing in its labors. However, the government has made an adequate showing that the city's practice of using separate eligibility lists for women and African American candidates for police and fire work, a practice empowered by the consent decree, violates Title VII. The Court cannot allow its authority to be used to circumvent federal law, and accordingly the government's motion to modify the consent decree must be granted in part</w:t>
      </w:r>
      <w:r>
        <w:rPr>
          <w:rFonts w:ascii="Times New Roman" w:hAnsi="Times New Roman"/>
          <w:sz w:val="24"/>
          <w:szCs w:val="24"/>
        </w:rPr>
        <w:t>.</w:t>
      </w:r>
    </w:p>
    <w:p w14:paraId="57B8E940" w14:textId="77777777" w:rsidR="007F3C7D" w:rsidRDefault="007F3C7D" w:rsidP="007F3C7D">
      <w:pPr>
        <w:pStyle w:val="NoSpacing"/>
        <w:ind w:left="720"/>
        <w:rPr>
          <w:rFonts w:ascii="Times New Roman" w:hAnsi="Times New Roman"/>
          <w:sz w:val="24"/>
          <w:szCs w:val="24"/>
        </w:rPr>
      </w:pPr>
    </w:p>
    <w:p w14:paraId="6BD92BE4"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p>
    <w:p w14:paraId="0575BC66" w14:textId="77777777" w:rsidR="007F3C7D" w:rsidRDefault="007F3C7D" w:rsidP="007F3C7D">
      <w:pPr>
        <w:pStyle w:val="paragraph"/>
        <w:ind w:left="720"/>
      </w:pPr>
      <w:r>
        <w:t xml:space="preserve">It can hardly be disputed that the separate eligibility lists use different cutoff scores, and therefore violate the 1991 amendment, because their purpose is to ensure that an African American or female candidate who would not otherwise have scored within the top three eligible applicants for a position would still be hirable. In other words, a non-African American male's score for consideration needs to fall within the top three, but an African American or female's score need not. </w:t>
      </w:r>
      <w:bookmarkStart w:id="319" w:name="_Hlk66947841"/>
      <w:r w:rsidR="00F00958">
        <w:fldChar w:fldCharType="begin"/>
      </w:r>
      <w:r w:rsidR="00F00958">
        <w:instrText xml:space="preserve"> HYPERLINK "https://casetext.com/statute/united-states-code/title-42-the-public-health-and-welfare/chapter-21-civil-rights/subchapter-vi-equal-employment-opportunities/section-2000e-2-unlawful-employment-practices" </w:instrText>
      </w:r>
      <w:r w:rsidR="00F00958">
        <w:fldChar w:fldCharType="separate"/>
      </w:r>
      <w:r>
        <w:rPr>
          <w:rStyle w:val="Hyperlink"/>
        </w:rPr>
        <w:t>42 U.S.C. § 2000e-2(</w:t>
      </w:r>
      <w:r>
        <w:rPr>
          <w:rStyle w:val="Hyperlink"/>
          <w:i/>
          <w:iCs/>
        </w:rPr>
        <w:t>l</w:t>
      </w:r>
      <w:r>
        <w:rPr>
          <w:rStyle w:val="Hyperlink"/>
        </w:rPr>
        <w:t>)</w:t>
      </w:r>
      <w:r w:rsidR="00F00958">
        <w:rPr>
          <w:rStyle w:val="Hyperlink"/>
        </w:rPr>
        <w:fldChar w:fldCharType="end"/>
      </w:r>
      <w:r>
        <w:t xml:space="preserve">. </w:t>
      </w:r>
      <w:hyperlink r:id="rId1640" w:history="1">
        <w:r w:rsidRPr="00E05602">
          <w:rPr>
            <w:rStyle w:val="Hyperlink"/>
          </w:rPr>
          <w:t>https://casetext.com/case/alexander-v-bahou/?PHONE_NUMBER_GROUP=P</w:t>
        </w:r>
      </w:hyperlink>
      <w:r>
        <w:t xml:space="preserve"> </w:t>
      </w:r>
    </w:p>
    <w:p w14:paraId="71A6F29D" w14:textId="77777777" w:rsidR="007F3C7D" w:rsidRDefault="007F3C7D" w:rsidP="007F3C7D">
      <w:pPr>
        <w:pStyle w:val="paragraph"/>
        <w:rPr>
          <w:b/>
          <w:bCs/>
        </w:rPr>
      </w:pPr>
      <w:r w:rsidRPr="009C106D">
        <w:rPr>
          <w:b/>
          <w:bCs/>
        </w:rPr>
        <w:t>Legal Lesson Learned:</w:t>
      </w:r>
      <w:r>
        <w:rPr>
          <w:b/>
          <w:bCs/>
        </w:rPr>
        <w:t xml:space="preserve">  Congress in 1991 amended Title VII of the Civil Rights Act to prohibit use of different cut off scores based on race or gender.</w:t>
      </w:r>
    </w:p>
    <w:p w14:paraId="2CB66DA4" w14:textId="77777777" w:rsidR="007F3C7D" w:rsidRPr="009E0EBC" w:rsidRDefault="007F3C7D" w:rsidP="007F3C7D">
      <w:pPr>
        <w:pStyle w:val="paragraph"/>
      </w:pPr>
      <w:r>
        <w:rPr>
          <w:b/>
          <w:bCs/>
        </w:rPr>
        <w:tab/>
      </w:r>
      <w:r w:rsidRPr="009E0EBC">
        <w:t xml:space="preserve">Note: </w:t>
      </w:r>
      <w:r>
        <w:t>The Federal judge in this case commented:</w:t>
      </w:r>
    </w:p>
    <w:p w14:paraId="6D99091D" w14:textId="77777777" w:rsidR="007F3C7D" w:rsidRDefault="007F3C7D" w:rsidP="007F3C7D">
      <w:pPr>
        <w:pStyle w:val="paragraph"/>
        <w:ind w:left="1440"/>
      </w:pPr>
      <w:r>
        <w:t xml:space="preserve">“In 1991, Congress made it unlawful under Title VII for employers ‘in connection with the selection or referral of applicants or candidates for employment[,] . . . to adjust the scores of, use different cutoff scores for, or otherwise alter the results of, employment[-]related tests on the basis of race, color, religion, sex, or national origin.’ </w:t>
      </w:r>
      <w:hyperlink r:id="rId1641" w:history="1">
        <w:r>
          <w:rPr>
            <w:rStyle w:val="Hyperlink"/>
          </w:rPr>
          <w:t>42 U.S.C. § 2000e-2(</w:t>
        </w:r>
        <w:r>
          <w:rPr>
            <w:rStyle w:val="Hyperlink"/>
            <w:i/>
            <w:iCs/>
          </w:rPr>
          <w:t>l</w:t>
        </w:r>
        <w:r>
          <w:rPr>
            <w:rStyle w:val="Hyperlink"/>
          </w:rPr>
          <w:t>)</w:t>
        </w:r>
      </w:hyperlink>
      <w:r>
        <w:t>.”</w:t>
      </w:r>
    </w:p>
    <w:p w14:paraId="22FF83E4" w14:textId="77777777" w:rsidR="007F3C7D" w:rsidRDefault="007F3C7D" w:rsidP="007F3C7D">
      <w:pPr>
        <w:pStyle w:val="paragraph"/>
        <w:ind w:left="720"/>
      </w:pPr>
      <w:r>
        <w:t xml:space="preserve">See also law review article by former General Counsel of EEOC: </w:t>
      </w:r>
    </w:p>
    <w:p w14:paraId="3F737A1A" w14:textId="77777777" w:rsidR="007F3C7D" w:rsidRPr="00FA716B" w:rsidRDefault="007F3C7D" w:rsidP="007F3C7D">
      <w:pPr>
        <w:pStyle w:val="paragraph"/>
        <w:ind w:left="720" w:firstLine="720"/>
      </w:pPr>
      <w:r w:rsidRPr="00FA716B">
        <w:t>THE CIVIL RIGHTS ACT OF 1991 AND EEOC ENFORCEMENT</w:t>
      </w:r>
    </w:p>
    <w:p w14:paraId="4C1FFABB" w14:textId="77777777" w:rsidR="007F3C7D" w:rsidRPr="009E0EBC" w:rsidRDefault="007F3C7D" w:rsidP="007F3C7D">
      <w:pPr>
        <w:pStyle w:val="NoSpacing"/>
        <w:ind w:left="1440"/>
        <w:rPr>
          <w:rFonts w:ascii="Times New Roman" w:hAnsi="Times New Roman"/>
          <w:sz w:val="24"/>
          <w:szCs w:val="24"/>
        </w:rPr>
      </w:pPr>
      <w:r w:rsidRPr="009E0EBC">
        <w:rPr>
          <w:rFonts w:ascii="Times New Roman" w:hAnsi="Times New Roman"/>
          <w:sz w:val="24"/>
          <w:szCs w:val="24"/>
        </w:rPr>
        <w:t>“On November 21, 1991, a new era of aggressive civil rights enforcement was introduced when President Bush signed the Civil Rights Act of 1991 (the Act) into law.</w:t>
      </w:r>
    </w:p>
    <w:p w14:paraId="01E2B61F" w14:textId="77777777" w:rsidR="007F3C7D" w:rsidRDefault="007F3C7D" w:rsidP="007F3C7D">
      <w:pPr>
        <w:pStyle w:val="paragraph"/>
        <w:ind w:left="720" w:firstLine="720"/>
      </w:pPr>
      <w:r>
        <w:rPr>
          <w:sz w:val="28"/>
          <w:szCs w:val="28"/>
        </w:rPr>
        <w:t>***</w:t>
      </w:r>
    </w:p>
    <w:p w14:paraId="5F33AC41" w14:textId="71718319" w:rsidR="007F3C7D" w:rsidRPr="007F3C7D" w:rsidRDefault="007F3C7D" w:rsidP="007F3C7D">
      <w:pPr>
        <w:ind w:left="720"/>
        <w:rPr>
          <w:rFonts w:ascii="Times New Roman" w:hAnsi="Times New Roman"/>
          <w:b/>
          <w:sz w:val="24"/>
          <w:szCs w:val="24"/>
        </w:rPr>
      </w:pPr>
      <w:r w:rsidRPr="007F3C7D">
        <w:rPr>
          <w:rFonts w:ascii="Times New Roman" w:hAnsi="Times New Roman"/>
          <w:sz w:val="24"/>
          <w:szCs w:val="24"/>
        </w:rPr>
        <w:t xml:space="preserve">Section 106 of the Civil Rights Act of 1991 prohibits practices often referred to as ‘within group scoring’ or ‘race norming.’ The Act makes it unlawful to adjust scores, to use different cutoff scores, or to alter the results of ‘employment related’ tests on the basis of race, color, religion, sex or national origin.144 The practice of score adjustment arose as a means of alleviating the disparate impact of certain selection tests. It had been adopted by some employers and test developers in lieu of the more difficult task of developing valid, non-discriminatory selection procedures.145” </w:t>
      </w:r>
      <w:hyperlink r:id="rId1642" w:history="1">
        <w:r w:rsidRPr="007F3C7D">
          <w:rPr>
            <w:rStyle w:val="Hyperlink"/>
            <w:rFonts w:ascii="Times New Roman" w:hAnsi="Times New Roman"/>
            <w:sz w:val="24"/>
            <w:szCs w:val="24"/>
          </w:rPr>
          <w:t>https://www.stetson.edu/law/lawreview/media/the-civil-rights-act-of-1991-and-eeoc-enforcement.pdf</w:t>
        </w:r>
      </w:hyperlink>
    </w:p>
    <w:p w14:paraId="7980E598" w14:textId="77777777" w:rsidR="007F3C7D" w:rsidRDefault="007F3C7D" w:rsidP="00BC70A3">
      <w:pPr>
        <w:rPr>
          <w:rFonts w:ascii="Arial Black" w:hAnsi="Arial Black"/>
          <w:b/>
          <w:sz w:val="24"/>
          <w:szCs w:val="24"/>
        </w:rPr>
      </w:pPr>
    </w:p>
    <w:p w14:paraId="2D254470" w14:textId="77777777" w:rsidR="007F3C7D" w:rsidRDefault="007F3C7D" w:rsidP="00BC70A3">
      <w:pPr>
        <w:rPr>
          <w:rFonts w:ascii="Arial Black" w:hAnsi="Arial Black"/>
          <w:b/>
          <w:sz w:val="24"/>
          <w:szCs w:val="24"/>
        </w:rPr>
      </w:pPr>
    </w:p>
    <w:bookmarkEnd w:id="319"/>
    <w:p w14:paraId="457D317C" w14:textId="60F4DF3E" w:rsidR="00BC70A3" w:rsidRPr="00BC70A3" w:rsidRDefault="00BC70A3" w:rsidP="00BC70A3">
      <w:pPr>
        <w:rPr>
          <w:rFonts w:ascii="Arial Black" w:hAnsi="Arial Black"/>
          <w:b/>
          <w:sz w:val="24"/>
          <w:szCs w:val="24"/>
        </w:rPr>
      </w:pPr>
      <w:r>
        <w:rPr>
          <w:rFonts w:ascii="Arial Black" w:hAnsi="Arial Black"/>
          <w:b/>
          <w:sz w:val="24"/>
          <w:szCs w:val="24"/>
        </w:rPr>
        <w:t xml:space="preserve">8-24 </w:t>
      </w:r>
      <w:r>
        <w:rPr>
          <w:rFonts w:ascii="Times New Roman" w:hAnsi="Times New Roman"/>
          <w:bCs/>
          <w:sz w:val="24"/>
          <w:szCs w:val="24"/>
        </w:rPr>
        <w:t xml:space="preserve">[Also filed, Chap. 9 -17] </w:t>
      </w:r>
    </w:p>
    <w:p w14:paraId="6EE04254" w14:textId="77777777" w:rsidR="00BC70A3" w:rsidRPr="00C03B09" w:rsidRDefault="00BC70A3" w:rsidP="00BC70A3">
      <w:pPr>
        <w:pStyle w:val="NoSpacing"/>
        <w:rPr>
          <w:rFonts w:ascii="Arial Black" w:hAnsi="Arial Black"/>
          <w:sz w:val="28"/>
          <w:szCs w:val="28"/>
        </w:rPr>
      </w:pPr>
      <w:r>
        <w:rPr>
          <w:rFonts w:ascii="Arial Black" w:hAnsi="Arial Black"/>
          <w:sz w:val="28"/>
          <w:szCs w:val="28"/>
        </w:rPr>
        <w:t xml:space="preserve">FL:  FDNY CHANGED GROOMING POLICY – REQUIRES CLEAN SHAVE – NOW ON APPEAL – JACKSONVILLE FF LAWSUIT </w:t>
      </w:r>
    </w:p>
    <w:p w14:paraId="2C5D7A04" w14:textId="77777777" w:rsidR="00BC70A3" w:rsidRPr="00473C64" w:rsidRDefault="00BC70A3" w:rsidP="00BC70A3">
      <w:pPr>
        <w:spacing w:before="100" w:beforeAutospacing="1" w:after="100" w:afterAutospacing="1" w:line="240" w:lineRule="auto"/>
        <w:rPr>
          <w:rFonts w:ascii="Times New Roman" w:hAnsi="Times New Roman"/>
          <w:sz w:val="24"/>
          <w:szCs w:val="24"/>
        </w:rPr>
      </w:pPr>
      <w:r w:rsidRPr="00473C64">
        <w:rPr>
          <w:rFonts w:ascii="Times New Roman" w:hAnsi="Times New Roman"/>
          <w:sz w:val="24"/>
          <w:szCs w:val="24"/>
        </w:rPr>
        <w:t xml:space="preserve">Nov. 25, 2020, “Black firefighters sue over Jacksonville policy requiring crews to be cleanshaven.”  It </w:t>
      </w:r>
      <w:proofErr w:type="gramStart"/>
      <w:r w:rsidRPr="00473C64">
        <w:rPr>
          <w:rFonts w:ascii="Times New Roman" w:hAnsi="Times New Roman"/>
          <w:sz w:val="24"/>
          <w:szCs w:val="24"/>
        </w:rPr>
        <w:t>referenced</w:t>
      </w:r>
      <w:proofErr w:type="gramEnd"/>
      <w:r w:rsidRPr="00473C64">
        <w:rPr>
          <w:rFonts w:ascii="Times New Roman" w:hAnsi="Times New Roman"/>
          <w:sz w:val="24"/>
          <w:szCs w:val="24"/>
        </w:rPr>
        <w:t xml:space="preserve"> a lawsuit by FDNY firefighters. </w:t>
      </w:r>
      <w:hyperlink r:id="rId1643" w:history="1">
        <w:r w:rsidRPr="00473C64">
          <w:rPr>
            <w:rStyle w:val="Hyperlink"/>
            <w:rFonts w:ascii="Times New Roman" w:hAnsi="Times New Roman"/>
            <w:sz w:val="24"/>
            <w:szCs w:val="24"/>
          </w:rPr>
          <w:t>https://www.jacksonville.com/story/news/courts/2020/11/25/jacksonville-lawsuit-cleanshaven-rule-unfair-black-firefighters/6406374002/</w:t>
        </w:r>
      </w:hyperlink>
    </w:p>
    <w:p w14:paraId="191EBBB4" w14:textId="77777777" w:rsidR="00BC70A3" w:rsidRDefault="00BC70A3" w:rsidP="00BC70A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City of New York lost their case on Jan. 29, 2020, and has filed an appeal to the U.S. Court of Appeals for Second District. </w:t>
      </w:r>
      <w:r>
        <w:rPr>
          <w:rFonts w:ascii="Times New Roman" w:hAnsi="Times New Roman"/>
          <w:sz w:val="24"/>
          <w:szCs w:val="24"/>
        </w:rPr>
        <w:t xml:space="preserve">On July 2, 2020, the plaintiff firefighters filed their reply brief in the U.S. Court of Appeals for Second Circuit. </w:t>
      </w:r>
      <w:hyperlink r:id="rId1644" w:history="1">
        <w:r w:rsidRPr="007578D7">
          <w:rPr>
            <w:rStyle w:val="Hyperlink"/>
            <w:rFonts w:ascii="Times New Roman" w:hAnsi="Times New Roman"/>
            <w:sz w:val="24"/>
            <w:szCs w:val="24"/>
          </w:rPr>
          <w:t>https://www.law.georgetown.edu/icap/wp-content/uploads/sites/32/2020/07/Bey-2d-Cir.-Opening-Brief-FINAL-7-7-2020.pdf</w:t>
        </w:r>
      </w:hyperlink>
      <w:r>
        <w:rPr>
          <w:rFonts w:ascii="Times New Roman" w:hAnsi="Times New Roman"/>
          <w:sz w:val="24"/>
          <w:szCs w:val="24"/>
        </w:rPr>
        <w:t xml:space="preserve"> </w:t>
      </w:r>
    </w:p>
    <w:p w14:paraId="4B13B079" w14:textId="77777777" w:rsidR="00BC70A3" w:rsidRDefault="00BC70A3" w:rsidP="00BC70A3">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29, 2020, in </w:t>
      </w:r>
      <w:r w:rsidRPr="00D115C7">
        <w:rPr>
          <w:rFonts w:ascii="Times New Roman" w:eastAsia="Times New Roman" w:hAnsi="Times New Roman"/>
          <w:sz w:val="24"/>
          <w:szCs w:val="24"/>
          <w:u w:val="single"/>
        </w:rPr>
        <w:t>Salik Bey, et al. v. City of New York, Daniel Nigro, et al</w:t>
      </w:r>
      <w:r>
        <w:rPr>
          <w:rFonts w:ascii="Times New Roman" w:eastAsia="Times New Roman" w:hAnsi="Times New Roman"/>
          <w:sz w:val="24"/>
          <w:szCs w:val="24"/>
        </w:rPr>
        <w:t>., 437 F. Supp. 3</w:t>
      </w:r>
      <w:r w:rsidRPr="009562EF">
        <w:rPr>
          <w:rFonts w:ascii="Times New Roman" w:eastAsia="Times New Roman" w:hAnsi="Times New Roman"/>
          <w:sz w:val="24"/>
          <w:szCs w:val="24"/>
          <w:vertAlign w:val="superscript"/>
        </w:rPr>
        <w:t>rd</w:t>
      </w:r>
      <w:r>
        <w:rPr>
          <w:rFonts w:ascii="Times New Roman" w:eastAsia="Times New Roman" w:hAnsi="Times New Roman"/>
          <w:sz w:val="24"/>
          <w:szCs w:val="24"/>
        </w:rPr>
        <w:t xml:space="preserve"> 2222, Senior U.S. District Court Judge Jack B. Weinstein, U.S. District Court for Eastern District of New York ordered FDNY to return to their former grooming policy (Aug. 2015 – Dec. 2017) which allowed </w:t>
      </w:r>
      <w:r w:rsidRPr="00CB7445">
        <w:rPr>
          <w:rFonts w:ascii="Times New Roman" w:eastAsia="Times New Roman" w:hAnsi="Times New Roman"/>
          <w:sz w:val="24"/>
          <w:szCs w:val="24"/>
        </w:rPr>
        <w:t>facial hair in the chin, cheek and neck area if it did not cause leakage around the mask's seal</w:t>
      </w:r>
      <w:r>
        <w:rPr>
          <w:rFonts w:ascii="Times New Roman" w:eastAsia="Times New Roman" w:hAnsi="Times New Roman"/>
          <w:sz w:val="24"/>
          <w:szCs w:val="24"/>
        </w:rPr>
        <w:t>.   Under the new policy: “</w:t>
      </w:r>
      <w:r w:rsidRPr="00313B2C">
        <w:rPr>
          <w:rFonts w:ascii="Times New Roman" w:hAnsi="Times New Roman"/>
          <w:sz w:val="24"/>
          <w:szCs w:val="24"/>
        </w:rPr>
        <w:t>If Plaintiffs shaved all facial hair in the chin area, they would maintain their status as full duty firefighters; otherwise, they would be placed on light duty.</w:t>
      </w:r>
      <w:r>
        <w:rPr>
          <w:rFonts w:ascii="Times New Roman" w:hAnsi="Times New Roman"/>
          <w:sz w:val="24"/>
          <w:szCs w:val="24"/>
        </w:rPr>
        <w:t xml:space="preserve">” </w:t>
      </w:r>
    </w:p>
    <w:p w14:paraId="4D65E1C1" w14:textId="77777777" w:rsidR="00BC70A3" w:rsidRDefault="00BC70A3" w:rsidP="00BC70A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Judge Weinstein’s decision: </w:t>
      </w:r>
    </w:p>
    <w:p w14:paraId="5892941C" w14:textId="77777777" w:rsidR="00BC70A3" w:rsidRDefault="00BC70A3" w:rsidP="00BC70A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C3A40">
        <w:rPr>
          <w:rFonts w:ascii="Times New Roman" w:hAnsi="Times New Roman"/>
          <w:sz w:val="24"/>
          <w:szCs w:val="24"/>
        </w:rPr>
        <w:t xml:space="preserve">Defendants admit that no heightened safety risk to firefighters or the public was presented by the accommodation previously in effect. Two and a half years passed without incident, and Plaintiffs continued to perform their jobs satisfactorily. </w:t>
      </w:r>
      <w:proofErr w:type="gramStart"/>
      <w:r w:rsidRPr="00FC3A40">
        <w:rPr>
          <w:rFonts w:ascii="Times New Roman" w:hAnsi="Times New Roman"/>
          <w:sz w:val="24"/>
          <w:szCs w:val="24"/>
        </w:rPr>
        <w:t>The FDNY's</w:t>
      </w:r>
      <w:proofErr w:type="gramEnd"/>
      <w:r w:rsidRPr="00FC3A40">
        <w:rPr>
          <w:rFonts w:ascii="Times New Roman" w:hAnsi="Times New Roman"/>
          <w:sz w:val="24"/>
          <w:szCs w:val="24"/>
        </w:rPr>
        <w:t xml:space="preserve"> decision to abandon the prior accommodation was not based on any actual safety risks to firefighters or the public. Rather, driving the calculus was bureaucracy. Defendants cite no case law indicating that such bureaucratic considerations are a viable undue hardship defense; the court declines </w:t>
      </w:r>
      <w:proofErr w:type="gramStart"/>
      <w:r w:rsidRPr="00FC3A40">
        <w:rPr>
          <w:rFonts w:ascii="Times New Roman" w:hAnsi="Times New Roman"/>
          <w:sz w:val="24"/>
          <w:szCs w:val="24"/>
        </w:rPr>
        <w:t>to so</w:t>
      </w:r>
      <w:proofErr w:type="gramEnd"/>
      <w:r w:rsidRPr="00FC3A40">
        <w:rPr>
          <w:rFonts w:ascii="Times New Roman" w:hAnsi="Times New Roman"/>
          <w:sz w:val="24"/>
          <w:szCs w:val="24"/>
        </w:rPr>
        <w:t xml:space="preserve"> find</w:t>
      </w:r>
      <w:proofErr w:type="gramStart"/>
      <w:r>
        <w:rPr>
          <w:rFonts w:ascii="Times New Roman" w:hAnsi="Times New Roman"/>
          <w:sz w:val="24"/>
          <w:szCs w:val="24"/>
        </w:rPr>
        <w:t>.”</w:t>
      </w:r>
      <w:proofErr w:type="gramEnd"/>
      <w:r>
        <w:rPr>
          <w:rFonts w:ascii="Times New Roman" w:hAnsi="Times New Roman"/>
          <w:sz w:val="24"/>
          <w:szCs w:val="24"/>
        </w:rPr>
        <w:t xml:space="preserve"> </w:t>
      </w:r>
      <w:hyperlink r:id="rId1645" w:history="1">
        <w:r w:rsidRPr="007578D7">
          <w:rPr>
            <w:rStyle w:val="Hyperlink"/>
            <w:rFonts w:ascii="Times New Roman" w:hAnsi="Times New Roman"/>
            <w:sz w:val="24"/>
            <w:szCs w:val="24"/>
          </w:rPr>
          <w:t>https://casetext.com/case/bey-v-city-of-ny-7</w:t>
        </w:r>
      </w:hyperlink>
    </w:p>
    <w:p w14:paraId="0A48DEB3" w14:textId="77777777" w:rsidR="00BC70A3" w:rsidRPr="00FC3A40" w:rsidRDefault="00BC70A3" w:rsidP="00BC70A3">
      <w:pPr>
        <w:tabs>
          <w:tab w:val="left" w:pos="2810"/>
        </w:tabs>
        <w:spacing w:before="100" w:beforeAutospacing="1" w:after="100" w:afterAutospacing="1" w:line="240" w:lineRule="auto"/>
        <w:rPr>
          <w:rFonts w:ascii="Times New Roman" w:hAnsi="Times New Roman"/>
          <w:b/>
          <w:bCs/>
          <w:sz w:val="24"/>
          <w:szCs w:val="24"/>
        </w:rPr>
      </w:pPr>
      <w:r w:rsidRPr="00FC3A40">
        <w:rPr>
          <w:rFonts w:ascii="Times New Roman" w:hAnsi="Times New Roman"/>
          <w:b/>
          <w:bCs/>
          <w:sz w:val="24"/>
          <w:szCs w:val="24"/>
        </w:rPr>
        <w:t>Legal Lesson Learned</w:t>
      </w:r>
      <w:r>
        <w:rPr>
          <w:rFonts w:ascii="Times New Roman" w:hAnsi="Times New Roman"/>
          <w:b/>
          <w:bCs/>
          <w:sz w:val="24"/>
          <w:szCs w:val="24"/>
        </w:rPr>
        <w:t xml:space="preserve">: The FDNY case will now be decided by the U.S. Court of Appeals for the Second Circuit.  The Jacksonville FD case will proceed </w:t>
      </w:r>
      <w:proofErr w:type="gramStart"/>
      <w:r>
        <w:rPr>
          <w:rFonts w:ascii="Times New Roman" w:hAnsi="Times New Roman"/>
          <w:b/>
          <w:bCs/>
          <w:sz w:val="24"/>
          <w:szCs w:val="24"/>
        </w:rPr>
        <w:t>to</w:t>
      </w:r>
      <w:proofErr w:type="gramEnd"/>
      <w:r>
        <w:rPr>
          <w:rFonts w:ascii="Times New Roman" w:hAnsi="Times New Roman"/>
          <w:b/>
          <w:bCs/>
          <w:sz w:val="24"/>
          <w:szCs w:val="24"/>
        </w:rPr>
        <w:t xml:space="preserve"> pre-trial discovery.   </w:t>
      </w:r>
    </w:p>
    <w:p w14:paraId="6924D7F1" w14:textId="77777777" w:rsidR="00BC70A3" w:rsidRDefault="00BC70A3" w:rsidP="00DE0F03">
      <w:pPr>
        <w:rPr>
          <w:rFonts w:ascii="Arial Black" w:hAnsi="Arial Black"/>
          <w:b/>
          <w:sz w:val="24"/>
          <w:szCs w:val="24"/>
        </w:rPr>
      </w:pPr>
    </w:p>
    <w:p w14:paraId="755D19AE" w14:textId="77777777" w:rsidR="00BC70A3" w:rsidRDefault="00BC70A3" w:rsidP="00DE0F03">
      <w:pPr>
        <w:rPr>
          <w:rFonts w:ascii="Arial Black" w:hAnsi="Arial Black"/>
          <w:b/>
          <w:sz w:val="24"/>
          <w:szCs w:val="24"/>
        </w:rPr>
      </w:pPr>
    </w:p>
    <w:p w14:paraId="4C440C8D" w14:textId="77777777" w:rsidR="00BC70A3" w:rsidRDefault="00BC70A3" w:rsidP="00DE0F03">
      <w:pPr>
        <w:rPr>
          <w:rFonts w:ascii="Arial Black" w:hAnsi="Arial Black"/>
          <w:b/>
          <w:sz w:val="24"/>
          <w:szCs w:val="24"/>
        </w:rPr>
      </w:pPr>
    </w:p>
    <w:p w14:paraId="7C42C8B2" w14:textId="0FAF1EFA" w:rsidR="009E093C" w:rsidRDefault="009E093C" w:rsidP="00DE0F03">
      <w:pPr>
        <w:rPr>
          <w:rFonts w:ascii="Arial Black" w:hAnsi="Arial Black"/>
          <w:b/>
          <w:sz w:val="24"/>
          <w:szCs w:val="24"/>
        </w:rPr>
      </w:pPr>
      <w:r>
        <w:rPr>
          <w:rFonts w:ascii="Arial Black" w:hAnsi="Arial Black"/>
          <w:b/>
          <w:sz w:val="24"/>
          <w:szCs w:val="24"/>
        </w:rPr>
        <w:t>8-23</w:t>
      </w:r>
    </w:p>
    <w:p w14:paraId="7799276E" w14:textId="77777777" w:rsidR="009E093C" w:rsidRPr="001B0505" w:rsidRDefault="009E093C" w:rsidP="009E093C">
      <w:pPr>
        <w:pStyle w:val="NoSpacing"/>
        <w:rPr>
          <w:rFonts w:ascii="Arial Black" w:hAnsi="Arial Black"/>
          <w:sz w:val="28"/>
          <w:szCs w:val="28"/>
        </w:rPr>
      </w:pPr>
      <w:r>
        <w:rPr>
          <w:rFonts w:ascii="Arial Black" w:hAnsi="Arial Black"/>
          <w:sz w:val="28"/>
          <w:szCs w:val="28"/>
        </w:rPr>
        <w:t xml:space="preserve">AL:  AFRICAN AMERICAN FF – CUT LOCK OFF ANOTHER SHIFT’S CABINET, THREATENED FF – SUSP / NO PROMOTION – NO CASE </w:t>
      </w:r>
    </w:p>
    <w:p w14:paraId="498AA8A9" w14:textId="77777777" w:rsidR="009E093C" w:rsidRDefault="009E093C" w:rsidP="009E093C">
      <w:pPr>
        <w:tabs>
          <w:tab w:val="left" w:pos="6860"/>
        </w:tabs>
        <w:spacing w:before="100" w:beforeAutospacing="1" w:after="100" w:afterAutospacing="1" w:line="240" w:lineRule="auto"/>
        <w:rPr>
          <w:rFonts w:ascii="Times New Roman" w:eastAsia="Times New Roman" w:hAnsi="Times New Roman"/>
          <w:sz w:val="24"/>
          <w:szCs w:val="24"/>
        </w:rPr>
      </w:pPr>
      <w:r w:rsidRPr="001B0505">
        <w:rPr>
          <w:rFonts w:ascii="Times New Roman" w:eastAsia="Times New Roman" w:hAnsi="Times New Roman"/>
          <w:sz w:val="24"/>
          <w:szCs w:val="24"/>
        </w:rPr>
        <w:t> </w:t>
      </w:r>
      <w:r>
        <w:rPr>
          <w:rFonts w:ascii="Times New Roman" w:eastAsia="Times New Roman" w:hAnsi="Times New Roman"/>
          <w:sz w:val="24"/>
          <w:szCs w:val="24"/>
        </w:rPr>
        <w:t xml:space="preserve">On Nov. 23, 2020, in </w:t>
      </w:r>
      <w:r w:rsidRPr="00A0255E">
        <w:rPr>
          <w:rFonts w:ascii="Times New Roman" w:eastAsia="Times New Roman" w:hAnsi="Times New Roman"/>
          <w:sz w:val="24"/>
          <w:szCs w:val="24"/>
          <w:u w:val="single"/>
        </w:rPr>
        <w:t>Aaron Mitchell v. City of Newport, et al</w:t>
      </w:r>
      <w:r>
        <w:rPr>
          <w:rFonts w:ascii="Times New Roman" w:eastAsia="Times New Roman" w:hAnsi="Times New Roman"/>
          <w:sz w:val="24"/>
          <w:szCs w:val="24"/>
        </w:rPr>
        <w:t xml:space="preserve">., U.S. District Court Judge L. Scott Coogler, U.S. District Court for Northern District of Alabama (Western Division), granted the City’s motion for summary judgment, finding the Fire Department offered nondiscriminatory explanations for suspending him.   He was suspended in 2017, and later failed promotion exam for Sergeant, and in 2018 he was not permitted to apply for promotion to Lieutenant. </w:t>
      </w:r>
    </w:p>
    <w:p w14:paraId="6775456A" w14:textId="77777777" w:rsidR="009E093C" w:rsidRPr="006A3453" w:rsidRDefault="009E093C" w:rsidP="009E093C">
      <w:pPr>
        <w:pStyle w:val="NoSpacing"/>
        <w:ind w:left="720"/>
        <w:rPr>
          <w:rFonts w:ascii="Times New Roman" w:eastAsia="Times New Roman" w:hAnsi="Times New Roman"/>
          <w:sz w:val="24"/>
          <w:szCs w:val="24"/>
        </w:rPr>
      </w:pPr>
      <w:r>
        <w:rPr>
          <w:rFonts w:ascii="Times New Roman" w:eastAsia="Times New Roman" w:hAnsi="Times New Roman"/>
          <w:sz w:val="24"/>
          <w:szCs w:val="24"/>
        </w:rPr>
        <w:t>“</w:t>
      </w:r>
      <w:r w:rsidRPr="006A3453">
        <w:rPr>
          <w:rFonts w:ascii="Times New Roman" w:hAnsi="Times New Roman"/>
          <w:sz w:val="24"/>
          <w:szCs w:val="24"/>
        </w:rPr>
        <w:t>Even if Mitchell had established a prima facie case, Defendants again offered nondiscriminatory explanations for suspending him: he threatened a colleague, he cursed a colleague, and he destroyed a colleague</w:t>
      </w:r>
      <w:r>
        <w:rPr>
          <w:rFonts w:ascii="Times New Roman" w:hAnsi="Times New Roman"/>
          <w:sz w:val="24"/>
          <w:szCs w:val="24"/>
        </w:rPr>
        <w:t>’</w:t>
      </w:r>
      <w:r w:rsidRPr="006A3453">
        <w:rPr>
          <w:rFonts w:ascii="Times New Roman" w:hAnsi="Times New Roman"/>
          <w:sz w:val="24"/>
          <w:szCs w:val="24"/>
        </w:rPr>
        <w:t>s property. (Doc. 57 at 46.) Because Mitchell offered no new evidence or arguments suggesting these explanations are pretext for retaliation, summary judgment is due to be granted.</w:t>
      </w:r>
      <w:r>
        <w:rPr>
          <w:rFonts w:ascii="Times New Roman" w:hAnsi="Times New Roman"/>
          <w:sz w:val="24"/>
          <w:szCs w:val="24"/>
        </w:rPr>
        <w:t xml:space="preserve">”  </w:t>
      </w:r>
      <w:hyperlink r:id="rId1646" w:history="1">
        <w:r w:rsidRPr="00AA126E">
          <w:rPr>
            <w:rStyle w:val="Hyperlink"/>
            <w:rFonts w:ascii="Times New Roman" w:hAnsi="Times New Roman"/>
            <w:sz w:val="24"/>
            <w:szCs w:val="24"/>
          </w:rPr>
          <w:t>https://public.fastcase.com/Wl%2B2t%2BeVuI35%2FN70vAMFZkzhJOnk32e7%2BdWn1xTx2jApuUgRdcLBLFJLG9W4RHCQ</w:t>
        </w:r>
      </w:hyperlink>
      <w:r>
        <w:rPr>
          <w:rFonts w:ascii="Times New Roman" w:hAnsi="Times New Roman"/>
          <w:sz w:val="24"/>
          <w:szCs w:val="24"/>
        </w:rPr>
        <w:t xml:space="preserve"> </w:t>
      </w:r>
    </w:p>
    <w:p w14:paraId="3CA48BAC" w14:textId="77777777" w:rsidR="009E093C" w:rsidRPr="001B0505" w:rsidRDefault="009E093C" w:rsidP="009E093C">
      <w:pPr>
        <w:spacing w:before="100" w:beforeAutospacing="1" w:after="100" w:afterAutospacing="1" w:line="240" w:lineRule="auto"/>
        <w:rPr>
          <w:rFonts w:ascii="Times New Roman" w:eastAsia="Times New Roman" w:hAnsi="Times New Roman"/>
          <w:b/>
          <w:bCs/>
          <w:sz w:val="24"/>
          <w:szCs w:val="24"/>
        </w:rPr>
      </w:pPr>
      <w:r w:rsidRPr="006A345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FD investigated and documented their findings, as well as prior discipline. </w:t>
      </w:r>
    </w:p>
    <w:p w14:paraId="7159446D" w14:textId="77777777" w:rsidR="009E093C" w:rsidRDefault="009E093C" w:rsidP="00DE0F03">
      <w:pPr>
        <w:rPr>
          <w:rFonts w:ascii="Arial Black" w:hAnsi="Arial Black"/>
          <w:b/>
          <w:sz w:val="24"/>
          <w:szCs w:val="24"/>
        </w:rPr>
      </w:pPr>
    </w:p>
    <w:p w14:paraId="6F910840" w14:textId="77777777" w:rsidR="009E093C" w:rsidRDefault="009E093C" w:rsidP="00DE0F03">
      <w:pPr>
        <w:rPr>
          <w:rFonts w:ascii="Arial Black" w:hAnsi="Arial Black"/>
          <w:b/>
          <w:sz w:val="24"/>
          <w:szCs w:val="24"/>
        </w:rPr>
      </w:pPr>
    </w:p>
    <w:p w14:paraId="15B7ADC7" w14:textId="08A2FB58" w:rsidR="00DD03E3" w:rsidRDefault="00DD03E3" w:rsidP="00DE0F03">
      <w:pPr>
        <w:rPr>
          <w:rFonts w:ascii="Arial Black" w:hAnsi="Arial Black"/>
          <w:b/>
          <w:sz w:val="24"/>
          <w:szCs w:val="24"/>
        </w:rPr>
      </w:pPr>
      <w:r>
        <w:rPr>
          <w:rFonts w:ascii="Arial Black" w:hAnsi="Arial Black"/>
          <w:b/>
          <w:sz w:val="24"/>
          <w:szCs w:val="24"/>
        </w:rPr>
        <w:t>8-22</w:t>
      </w:r>
    </w:p>
    <w:p w14:paraId="22CD9306" w14:textId="77777777" w:rsidR="00DD03E3" w:rsidRPr="004E7805" w:rsidRDefault="00DD03E3" w:rsidP="00DD03E3">
      <w:pPr>
        <w:spacing w:before="100" w:beforeAutospacing="1" w:after="100" w:afterAutospacing="1" w:line="240" w:lineRule="auto"/>
        <w:rPr>
          <w:rFonts w:ascii="Arial Black" w:eastAsia="Times New Roman" w:hAnsi="Arial Black"/>
          <w:b/>
          <w:bCs/>
          <w:sz w:val="28"/>
          <w:szCs w:val="28"/>
        </w:rPr>
      </w:pPr>
      <w:r w:rsidRPr="004E7805">
        <w:rPr>
          <w:rFonts w:ascii="Arial Black" w:eastAsia="Times New Roman" w:hAnsi="Arial Black"/>
          <w:b/>
          <w:bCs/>
          <w:sz w:val="28"/>
          <w:szCs w:val="28"/>
        </w:rPr>
        <w:t>MI:</w:t>
      </w:r>
      <w:r>
        <w:rPr>
          <w:rFonts w:ascii="Arial Black" w:eastAsia="Times New Roman" w:hAnsi="Arial Black"/>
          <w:b/>
          <w:bCs/>
          <w:sz w:val="28"/>
          <w:szCs w:val="28"/>
        </w:rPr>
        <w:t xml:space="preserve"> PROB. FF (WHITE) - WATERMELLON WITH PINK RIBBON TO FIRE STATION WHERE HE WAS JUST ASSIGNED – FIRED – CASE PROCEED</w:t>
      </w:r>
    </w:p>
    <w:p w14:paraId="438E1D5A" w14:textId="77777777" w:rsidR="00DD03E3" w:rsidRDefault="00DD03E3" w:rsidP="00DD03E3">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On Oct. 22, 2020, in </w:t>
      </w:r>
      <w:r w:rsidRPr="004E7805">
        <w:rPr>
          <w:rFonts w:ascii="Times New Roman" w:eastAsia="Times New Roman" w:hAnsi="Times New Roman"/>
          <w:sz w:val="24"/>
          <w:szCs w:val="24"/>
          <w:u w:val="single"/>
        </w:rPr>
        <w:t>Robert Patterson v. City of Detroit, et al</w:t>
      </w:r>
      <w:r>
        <w:rPr>
          <w:rFonts w:ascii="Times New Roman" w:eastAsia="Times New Roman" w:hAnsi="Times New Roman"/>
          <w:sz w:val="24"/>
          <w:szCs w:val="24"/>
        </w:rPr>
        <w:t xml:space="preserve">., the State of Michigan Court of Appeals held (3 to 0) in an unpublished decision, that the trial court judge properly denied the City’s motion for summary judgment concerning race discrimination allegations in the complaint.  The probationary firefighter’s internal investigation was shoddy, and he was treated much more harshly than a non-probationary African American firefighter who had posted a racially insensitive item.  </w:t>
      </w:r>
    </w:p>
    <w:p w14:paraId="777F84E7" w14:textId="77777777" w:rsidR="00DD03E3" w:rsidRPr="004E7805"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5D19EF">
        <w:rPr>
          <w:rFonts w:ascii="Times New Roman" w:hAnsi="Times New Roman"/>
          <w:sz w:val="24"/>
          <w:szCs w:val="24"/>
        </w:rPr>
        <w:t xml:space="preserve">The evidence indicates that both plaintiff and Bragg should have received substantially the same kind and intensity of investigation, impartiality, and benefit of any doubt. Because a violation of the zero-tolerance policy would seem to constitute </w:t>
      </w:r>
      <w:proofErr w:type="spellStart"/>
      <w:r>
        <w:rPr>
          <w:rFonts w:ascii="Times New Roman" w:hAnsi="Times New Roman"/>
          <w:sz w:val="24"/>
          <w:szCs w:val="24"/>
        </w:rPr>
        <w:t>‘</w:t>
      </w:r>
      <w:r w:rsidRPr="005D19EF">
        <w:rPr>
          <w:rFonts w:ascii="Times New Roman" w:hAnsi="Times New Roman"/>
          <w:sz w:val="24"/>
          <w:szCs w:val="24"/>
        </w:rPr>
        <w:t>cause</w:t>
      </w:r>
      <w:proofErr w:type="spellEnd"/>
      <w:r w:rsidRPr="005D19EF">
        <w:rPr>
          <w:rFonts w:ascii="Times New Roman" w:hAnsi="Times New Roman"/>
          <w:sz w:val="24"/>
          <w:szCs w:val="24"/>
        </w:rPr>
        <w:t>,</w:t>
      </w:r>
      <w:r>
        <w:rPr>
          <w:rFonts w:ascii="Times New Roman" w:hAnsi="Times New Roman"/>
          <w:sz w:val="24"/>
          <w:szCs w:val="24"/>
        </w:rPr>
        <w:t>’</w:t>
      </w:r>
      <w:r w:rsidRPr="005D19EF">
        <w:rPr>
          <w:rFonts w:ascii="Times New Roman" w:hAnsi="Times New Roman"/>
          <w:sz w:val="24"/>
          <w:szCs w:val="24"/>
        </w:rPr>
        <w:t xml:space="preserve"> it is irrelevant that plaintiff was at-will and Bragg was not. Because the real-world effect of both plaintiff's conduct and Bragg's conduct dramatically affected working conditions, the fact that one occurred on City premises and the other occurred on social media does not seem relevant. *** The trial court correctly denied summary disposition as to Counts I and III, being plaintiff's claims for race-based discrimination under the ELCRA and 42 USC § 1981</w:t>
      </w:r>
      <w:r>
        <w:rPr>
          <w:rFonts w:ascii="Times New Roman" w:hAnsi="Times New Roman"/>
          <w:sz w:val="24"/>
          <w:szCs w:val="24"/>
        </w:rPr>
        <w:t>.”</w:t>
      </w:r>
      <w:hyperlink r:id="rId1647" w:history="1">
        <w:r w:rsidRPr="003B2E68">
          <w:rPr>
            <w:rStyle w:val="Hyperlink"/>
            <w:rFonts w:ascii="Times New Roman" w:eastAsia="Times New Roman" w:hAnsi="Times New Roman"/>
            <w:sz w:val="24"/>
            <w:szCs w:val="24"/>
          </w:rPr>
          <w:t>https://law.justia.com/cases/michigan/court-of-appeals-unpublished/2020/350474.html</w:t>
        </w:r>
      </w:hyperlink>
      <w:r>
        <w:rPr>
          <w:rFonts w:ascii="Times New Roman" w:eastAsia="Times New Roman" w:hAnsi="Times New Roman"/>
          <w:sz w:val="24"/>
          <w:szCs w:val="24"/>
        </w:rPr>
        <w:t xml:space="preserve"> </w:t>
      </w:r>
    </w:p>
    <w:p w14:paraId="05EC0E83" w14:textId="77777777" w:rsidR="00DD03E3" w:rsidRDefault="00DD03E3" w:rsidP="00DD03E3">
      <w:pPr>
        <w:pStyle w:val="NormalWeb"/>
        <w:rPr>
          <w:b/>
          <w:bCs/>
        </w:rPr>
      </w:pPr>
      <w:r w:rsidRPr="0007304E">
        <w:rPr>
          <w:b/>
          <w:bCs/>
        </w:rPr>
        <w:t>Legal Lesson Learned:</w:t>
      </w:r>
      <w:r>
        <w:rPr>
          <w:b/>
          <w:bCs/>
        </w:rPr>
        <w:t xml:space="preserve"> Even an “at will” probationary firefighter is entitled to a thorough investigation prior to making a termination decision. </w:t>
      </w:r>
    </w:p>
    <w:p w14:paraId="0D932215" w14:textId="77777777" w:rsidR="00DD03E3" w:rsidRPr="00EB337A" w:rsidRDefault="00DD03E3" w:rsidP="00DD03E3">
      <w:pPr>
        <w:spacing w:before="100" w:beforeAutospacing="1" w:after="100" w:afterAutospacing="1" w:line="240" w:lineRule="auto"/>
        <w:ind w:left="720"/>
        <w:rPr>
          <w:rFonts w:ascii="Times New Roman" w:eastAsia="Times New Roman" w:hAnsi="Times New Roman"/>
          <w:sz w:val="24"/>
          <w:szCs w:val="24"/>
        </w:rPr>
      </w:pPr>
      <w:r w:rsidRPr="00EB337A">
        <w:rPr>
          <w:rFonts w:ascii="Times New Roman" w:hAnsi="Times New Roman"/>
          <w:sz w:val="24"/>
          <w:szCs w:val="24"/>
        </w:rPr>
        <w:t xml:space="preserve">Note: The Court </w:t>
      </w:r>
      <w:r>
        <w:rPr>
          <w:rFonts w:ascii="Times New Roman" w:hAnsi="Times New Roman"/>
          <w:sz w:val="24"/>
          <w:szCs w:val="24"/>
        </w:rPr>
        <w:t xml:space="preserve">of Appeals </w:t>
      </w:r>
      <w:r w:rsidRPr="00EB337A">
        <w:rPr>
          <w:rFonts w:ascii="Times New Roman" w:hAnsi="Times New Roman"/>
          <w:sz w:val="24"/>
          <w:szCs w:val="24"/>
        </w:rPr>
        <w:t xml:space="preserve">also held trial court judge properly dismissed </w:t>
      </w:r>
      <w:r>
        <w:rPr>
          <w:rFonts w:ascii="Times New Roman" w:hAnsi="Times New Roman"/>
          <w:sz w:val="24"/>
          <w:szCs w:val="24"/>
        </w:rPr>
        <w:t xml:space="preserve">plaintiff’s </w:t>
      </w:r>
      <w:r w:rsidRPr="00EB337A">
        <w:rPr>
          <w:rFonts w:ascii="Times New Roman" w:hAnsi="Times New Roman"/>
          <w:sz w:val="24"/>
          <w:szCs w:val="24"/>
        </w:rPr>
        <w:t xml:space="preserve">defamation claim against the Fire Commissioner for issuing a Press Release after plaintiff was terminated. </w:t>
      </w:r>
      <w:r>
        <w:rPr>
          <w:rFonts w:ascii="Times New Roman" w:hAnsi="Times New Roman"/>
          <w:sz w:val="24"/>
          <w:szCs w:val="24"/>
        </w:rPr>
        <w:t>“[T]</w:t>
      </w:r>
      <w:r w:rsidRPr="00EB337A">
        <w:rPr>
          <w:rFonts w:ascii="Times New Roman" w:hAnsi="Times New Roman"/>
          <w:sz w:val="24"/>
          <w:szCs w:val="24"/>
        </w:rPr>
        <w:t>he evidence indicates that Jones's issuance of the press release was within the scope of his authority as Fire Commissioner. Therefore, he is entitled to absolute immunity for any defamatory (or false light invasion of privacy) content within that press release.</w:t>
      </w:r>
      <w:r>
        <w:rPr>
          <w:rFonts w:ascii="Times New Roman" w:hAnsi="Times New Roman"/>
          <w:sz w:val="24"/>
          <w:szCs w:val="24"/>
        </w:rPr>
        <w:t>”</w:t>
      </w:r>
    </w:p>
    <w:p w14:paraId="608F477C" w14:textId="77777777" w:rsidR="00DD03E3" w:rsidRPr="00C17950" w:rsidRDefault="00DD03E3" w:rsidP="00DD03E3">
      <w:pPr>
        <w:pStyle w:val="NormalWeb"/>
        <w:ind w:left="720"/>
      </w:pPr>
      <w:r w:rsidRPr="00EB337A">
        <w:t xml:space="preserve">The </w:t>
      </w:r>
      <w:r w:rsidRPr="00C17950">
        <w:t xml:space="preserve">October 6, </w:t>
      </w:r>
      <w:proofErr w:type="gramStart"/>
      <w:r w:rsidRPr="00C17950">
        <w:t>201</w:t>
      </w:r>
      <w:r w:rsidRPr="00EB337A">
        <w:t>7</w:t>
      </w:r>
      <w:proofErr w:type="gramEnd"/>
      <w:r w:rsidRPr="00C17950">
        <w:t xml:space="preserve"> </w:t>
      </w:r>
      <w:r w:rsidRPr="00EB337A">
        <w:t xml:space="preserve">Press Release </w:t>
      </w:r>
      <w:r w:rsidRPr="00C17950">
        <w:t>read:</w:t>
      </w:r>
    </w:p>
    <w:p w14:paraId="73B6414D" w14:textId="78695253" w:rsidR="00DD03E3" w:rsidRDefault="00DD03E3" w:rsidP="00DD03E3">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17950">
        <w:rPr>
          <w:rFonts w:ascii="Times New Roman" w:eastAsia="Times New Roman" w:hAnsi="Times New Roman"/>
          <w:sz w:val="24"/>
          <w:szCs w:val="24"/>
        </w:rPr>
        <w:t>There is zero tolerance for discriminatory behavior inside the Detroit Fire Department. On Saturday, Sept. 30, 2017, at Engine 55, a trial firefighter (probationary employee) engaged in unsatisfactory work behavior which was deemed offensive and racially insensitive to members of the Detroit Fire Department. After a thorough investigation, it was determined that the best course of action was to terminate the employment of this probationary employee.</w:t>
      </w:r>
      <w:r>
        <w:rPr>
          <w:rFonts w:ascii="Times New Roman" w:eastAsia="Times New Roman" w:hAnsi="Times New Roman"/>
          <w:sz w:val="24"/>
          <w:szCs w:val="24"/>
        </w:rPr>
        <w:t>”</w:t>
      </w:r>
    </w:p>
    <w:p w14:paraId="1DE5F9AF" w14:textId="1AA87ADB" w:rsidR="00DD03E3" w:rsidRDefault="00DD03E3" w:rsidP="00DD03E3">
      <w:pPr>
        <w:spacing w:after="100" w:line="240" w:lineRule="auto"/>
        <w:ind w:left="1440"/>
        <w:rPr>
          <w:rFonts w:ascii="Times New Roman" w:eastAsia="Times New Roman" w:hAnsi="Times New Roman"/>
          <w:sz w:val="24"/>
          <w:szCs w:val="24"/>
        </w:rPr>
      </w:pPr>
    </w:p>
    <w:p w14:paraId="4C7DD396" w14:textId="77777777" w:rsidR="00DD03E3" w:rsidRPr="00C17950" w:rsidRDefault="00DD03E3" w:rsidP="00DD03E3">
      <w:pPr>
        <w:spacing w:after="100" w:line="240" w:lineRule="auto"/>
        <w:ind w:left="1440"/>
        <w:rPr>
          <w:rFonts w:ascii="Times New Roman" w:eastAsia="Times New Roman" w:hAnsi="Times New Roman"/>
          <w:sz w:val="24"/>
          <w:szCs w:val="24"/>
        </w:rPr>
      </w:pPr>
    </w:p>
    <w:p w14:paraId="0B56FA50" w14:textId="77777777" w:rsidR="00DD03E3" w:rsidRDefault="00DD03E3" w:rsidP="00DE0F03">
      <w:pPr>
        <w:rPr>
          <w:rFonts w:ascii="Arial Black" w:hAnsi="Arial Black"/>
          <w:b/>
          <w:sz w:val="24"/>
          <w:szCs w:val="24"/>
        </w:rPr>
      </w:pPr>
    </w:p>
    <w:p w14:paraId="08948BD7" w14:textId="77777777" w:rsidR="00DD03E3" w:rsidRDefault="00DD03E3" w:rsidP="00DE0F03">
      <w:pPr>
        <w:rPr>
          <w:rFonts w:ascii="Arial Black" w:hAnsi="Arial Black"/>
          <w:b/>
          <w:sz w:val="24"/>
          <w:szCs w:val="24"/>
        </w:rPr>
      </w:pPr>
    </w:p>
    <w:p w14:paraId="4151AAE8" w14:textId="06849EA5" w:rsidR="00DD03E3" w:rsidRDefault="00DD03E3" w:rsidP="00DE0F03">
      <w:pPr>
        <w:rPr>
          <w:rFonts w:ascii="Arial Black" w:hAnsi="Arial Black"/>
          <w:b/>
          <w:sz w:val="24"/>
          <w:szCs w:val="24"/>
        </w:rPr>
      </w:pPr>
      <w:r>
        <w:rPr>
          <w:rFonts w:ascii="Arial Black" w:hAnsi="Arial Black"/>
          <w:b/>
          <w:sz w:val="24"/>
          <w:szCs w:val="24"/>
        </w:rPr>
        <w:t>8-21</w:t>
      </w:r>
    </w:p>
    <w:p w14:paraId="52E1EE47" w14:textId="77777777" w:rsidR="00DD03E3" w:rsidRPr="002C741B" w:rsidRDefault="00DD03E3" w:rsidP="00DD03E3">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OH: EMS CAPTAIN (BLACK) SHIFT CHANGED – SO WHITE CAPTAIN ON EACH SHIFT – UNFAIR, INCONVENIENT - BUT NOT TITLE VII VIOL. </w:t>
      </w:r>
    </w:p>
    <w:p w14:paraId="407EEA1E"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r w:rsidRPr="002C741B">
        <w:rPr>
          <w:rFonts w:ascii="Times New Roman" w:hAnsi="Times New Roman"/>
          <w:sz w:val="24"/>
          <w:szCs w:val="24"/>
        </w:rPr>
        <w:t xml:space="preserve">On Oct. 8, 2020, in </w:t>
      </w:r>
      <w:r w:rsidRPr="00633F0B">
        <w:rPr>
          <w:rFonts w:ascii="Times New Roman" w:hAnsi="Times New Roman"/>
          <w:sz w:val="24"/>
          <w:szCs w:val="24"/>
          <w:u w:val="single"/>
        </w:rPr>
        <w:t>Michael Threat, et al. v. City of Cleveland</w:t>
      </w:r>
      <w:r w:rsidRPr="002C741B">
        <w:rPr>
          <w:rFonts w:ascii="Times New Roman" w:hAnsi="Times New Roman"/>
          <w:sz w:val="24"/>
          <w:szCs w:val="24"/>
        </w:rPr>
        <w:t xml:space="preserve">, </w:t>
      </w:r>
      <w:r>
        <w:rPr>
          <w:rFonts w:ascii="Times New Roman" w:hAnsi="Times New Roman"/>
          <w:sz w:val="24"/>
          <w:szCs w:val="24"/>
        </w:rPr>
        <w:t xml:space="preserve">U.S. District Court Judge James S. Gwin, Northern District of Ohio, granted the City’s motion for summary judgment. Five </w:t>
      </w:r>
      <w:proofErr w:type="gramStart"/>
      <w:r>
        <w:rPr>
          <w:rFonts w:ascii="Times New Roman" w:hAnsi="Times New Roman"/>
          <w:sz w:val="24"/>
          <w:szCs w:val="24"/>
        </w:rPr>
        <w:t>African-American</w:t>
      </w:r>
      <w:proofErr w:type="gramEnd"/>
      <w:r>
        <w:rPr>
          <w:rFonts w:ascii="Times New Roman" w:hAnsi="Times New Roman"/>
          <w:sz w:val="24"/>
          <w:szCs w:val="24"/>
        </w:rPr>
        <w:t xml:space="preserve"> Captains sued, after the EMS Commissioner changed the shift of Captain Reginal Anderson from his requested day shift to night shift; the Commissioner wanted at least one Caucasian Captain with more seniority on duty.  </w:t>
      </w:r>
    </w:p>
    <w:p w14:paraId="5FE84FF2" w14:textId="77777777" w:rsidR="00DD03E3" w:rsidRDefault="00DD03E3" w:rsidP="00DD03E3">
      <w:pPr>
        <w:pStyle w:val="NormalWeb"/>
        <w:ind w:left="720"/>
      </w:pPr>
      <w:r>
        <w:t>“Not all undesirable or unfair work conditions that employees face are material for purposes of Title VII.  ‘Reassignments without changes in salary, benefits, title, or work hours usually do not constitute adverse employment actions.’    Plaintiff Anderson's shift change, while unfair and inconvenient, does not rise to the level of a materially adverse employment action. A change to night shift ‘is not materially adverse without some reduction in pay, prestige, or responsibility.’ Anderson's shift change did not affect the basic terms of his employment; it merely temporarily affected when he worked and who he worked with. Anderson's family life preference for day shift does not change things.</w:t>
      </w:r>
      <w:bookmarkStart w:id="320" w:name="fn44"/>
      <w:r>
        <w:rPr>
          <w:sz w:val="20"/>
          <w:szCs w:val="20"/>
          <w:vertAlign w:val="superscript"/>
        </w:rPr>
        <w:fldChar w:fldCharType="begin"/>
      </w:r>
      <w:r>
        <w:rPr>
          <w:sz w:val="20"/>
          <w:szCs w:val="20"/>
          <w:vertAlign w:val="superscript"/>
        </w:rPr>
        <w:instrText xml:space="preserve"> HYPERLINK "https://public.fastcase.com/" \l "fr44" </w:instrText>
      </w:r>
      <w:r>
        <w:rPr>
          <w:sz w:val="20"/>
          <w:szCs w:val="20"/>
          <w:vertAlign w:val="superscript"/>
        </w:rPr>
      </w:r>
      <w:r>
        <w:rPr>
          <w:sz w:val="20"/>
          <w:szCs w:val="20"/>
          <w:vertAlign w:val="superscript"/>
        </w:rPr>
        <w:fldChar w:fldCharType="separate"/>
      </w:r>
      <w:r>
        <w:rPr>
          <w:rStyle w:val="Hyperlink"/>
          <w:rFonts w:eastAsiaTheme="majorEastAsia"/>
          <w:sz w:val="20"/>
          <w:szCs w:val="20"/>
          <w:vertAlign w:val="superscript"/>
        </w:rPr>
        <w:t>44</w:t>
      </w:r>
      <w:r>
        <w:rPr>
          <w:sz w:val="20"/>
          <w:szCs w:val="20"/>
          <w:vertAlign w:val="superscript"/>
        </w:rPr>
        <w:fldChar w:fldCharType="end"/>
      </w:r>
      <w:bookmarkEnd w:id="320"/>
      <w:r>
        <w:t xml:space="preserve"> Courts employ an objective standard for Title VII materiality. Working night shift is not objectively less desirable than day shift or viewed by the City or EMS Commissioner as a duty performed by lower-ranking employees. In fact, two captains more senior than Anderson each used their top bids on A-key and B-key nights.” </w:t>
      </w:r>
      <w:hyperlink r:id="rId1648" w:history="1">
        <w:r w:rsidRPr="00987F62">
          <w:rPr>
            <w:rStyle w:val="Hyperlink"/>
          </w:rPr>
          <w:t>https://casetext.com/case/threat-v-city-of-cleveland</w:t>
        </w:r>
      </w:hyperlink>
      <w:r>
        <w:t xml:space="preserve"> </w:t>
      </w:r>
    </w:p>
    <w:p w14:paraId="1D3228BD" w14:textId="77777777" w:rsidR="00DD03E3" w:rsidRDefault="00DD03E3" w:rsidP="00DD03E3">
      <w:pPr>
        <w:pStyle w:val="NormalWeb"/>
        <w:rPr>
          <w:b/>
          <w:bCs/>
        </w:rPr>
      </w:pPr>
      <w:r>
        <w:rPr>
          <w:b/>
          <w:bCs/>
        </w:rPr>
        <w:t>Legal Lesson Learned: Staffing decisions based on race can lead to litigation and poor workplace morale; should be carefully reviewed with legal counsel prior to implementation.</w:t>
      </w:r>
    </w:p>
    <w:p w14:paraId="2F0E4E63" w14:textId="77777777" w:rsidR="00DD03E3" w:rsidRDefault="00DD03E3" w:rsidP="00DE0F03">
      <w:pPr>
        <w:rPr>
          <w:rFonts w:ascii="Arial Black" w:hAnsi="Arial Black"/>
          <w:b/>
          <w:sz w:val="24"/>
          <w:szCs w:val="24"/>
        </w:rPr>
      </w:pPr>
    </w:p>
    <w:p w14:paraId="5FB5F61A" w14:textId="45C568C8" w:rsidR="00F824FE" w:rsidRDefault="00F824FE" w:rsidP="00DE0F03">
      <w:pPr>
        <w:rPr>
          <w:rFonts w:ascii="Arial Black" w:hAnsi="Arial Black"/>
          <w:b/>
          <w:sz w:val="24"/>
          <w:szCs w:val="24"/>
        </w:rPr>
      </w:pPr>
      <w:r>
        <w:rPr>
          <w:rFonts w:ascii="Arial Black" w:hAnsi="Arial Black"/>
          <w:b/>
          <w:sz w:val="24"/>
          <w:szCs w:val="24"/>
        </w:rPr>
        <w:t>8-20</w:t>
      </w:r>
    </w:p>
    <w:p w14:paraId="5526AEF1" w14:textId="77777777" w:rsidR="00F824FE" w:rsidRPr="001B5E57" w:rsidRDefault="00F824FE" w:rsidP="00F824FE">
      <w:pPr>
        <w:pStyle w:val="NormalWeb"/>
        <w:rPr>
          <w:rFonts w:ascii="Arial Black" w:hAnsi="Arial Black"/>
          <w:sz w:val="28"/>
          <w:szCs w:val="28"/>
        </w:rPr>
      </w:pPr>
      <w:r>
        <w:rPr>
          <w:rFonts w:ascii="Arial Black" w:hAnsi="Arial Black"/>
          <w:sz w:val="28"/>
          <w:szCs w:val="28"/>
        </w:rPr>
        <w:t>FL: FEMALE AFRICAN AMERICAN FF – ON PROMOTION LIST - JURY DETERMINED WERE NO OPENING – NEW TRIAL ORDER REVERSED</w:t>
      </w:r>
    </w:p>
    <w:p w14:paraId="481245AB" w14:textId="77777777" w:rsidR="00F824FE" w:rsidRDefault="00F824FE" w:rsidP="00F824FE">
      <w:pPr>
        <w:pStyle w:val="NormalWeb"/>
      </w:pPr>
      <w:r>
        <w:t xml:space="preserve">On Sept. 23, 2020, in </w:t>
      </w:r>
      <w:r w:rsidRPr="001B5E57">
        <w:rPr>
          <w:u w:val="single"/>
        </w:rPr>
        <w:t>Miami-Dade County v. Faye Davis</w:t>
      </w:r>
      <w:r>
        <w:t xml:space="preserve">, the Third District Court of Appeal, State of Florida, held (3 to 0) that the trial judge improperly granted the plaintiff’s motion for a new trial.   </w:t>
      </w:r>
    </w:p>
    <w:p w14:paraId="00077D1A" w14:textId="77777777" w:rsidR="00F824FE" w:rsidRDefault="00F824FE" w:rsidP="00F824FE">
      <w:pPr>
        <w:spacing w:before="100" w:beforeAutospacing="1" w:after="100" w:afterAutospacing="1" w:line="240" w:lineRule="auto"/>
        <w:ind w:left="720"/>
        <w:rPr>
          <w:rFonts w:ascii="Times New Roman" w:eastAsia="Times New Roman" w:hAnsi="Times New Roman"/>
          <w:sz w:val="24"/>
          <w:szCs w:val="24"/>
        </w:rPr>
      </w:pPr>
      <w:r w:rsidRPr="001C55DB">
        <w:rPr>
          <w:sz w:val="24"/>
          <w:szCs w:val="24"/>
        </w:rPr>
        <w:t>“</w:t>
      </w:r>
      <w:r w:rsidRPr="001B5E57">
        <w:rPr>
          <w:rFonts w:ascii="Times New Roman" w:eastAsia="Times New Roman" w:hAnsi="Times New Roman"/>
          <w:sz w:val="24"/>
          <w:szCs w:val="24"/>
        </w:rPr>
        <w:t xml:space="preserve">We hold that the evidence supported the jury's verdict, in which it determined that the County did not deny Davis a promotion during the 2009-10 and 2010-11 promotional cycles based on her race or sex, and further determined that the County did not deny her a promotion because she engaged in protected activity. The trial court erred in granting </w:t>
      </w:r>
      <w:proofErr w:type="spellStart"/>
      <w:r w:rsidRPr="001B5E57">
        <w:rPr>
          <w:rFonts w:ascii="Times New Roman" w:eastAsia="Times New Roman" w:hAnsi="Times New Roman"/>
          <w:sz w:val="24"/>
          <w:szCs w:val="24"/>
        </w:rPr>
        <w:t>Davis'</w:t>
      </w:r>
      <w:proofErr w:type="spellEnd"/>
      <w:r w:rsidRPr="001B5E57">
        <w:rPr>
          <w:rFonts w:ascii="Times New Roman" w:eastAsia="Times New Roman" w:hAnsi="Times New Roman"/>
          <w:sz w:val="24"/>
          <w:szCs w:val="24"/>
        </w:rPr>
        <w:t xml:space="preserve"> motion for directed verdict and abused its discretion in alternatively granting a new trial.</w:t>
      </w:r>
    </w:p>
    <w:p w14:paraId="3A5708F7" w14:textId="77777777" w:rsidR="00F824FE" w:rsidRPr="001B5E57" w:rsidRDefault="00F824FE" w:rsidP="00F824F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7FFC040" w14:textId="77777777" w:rsidR="00F824FE" w:rsidRPr="001C55DB" w:rsidRDefault="00F824FE" w:rsidP="00F824FE">
      <w:pPr>
        <w:pStyle w:val="NormalWeb"/>
        <w:ind w:left="720"/>
        <w:rPr>
          <w:b/>
          <w:bCs/>
        </w:rPr>
      </w:pPr>
      <w:r w:rsidRPr="001C55DB">
        <w:t xml:space="preserve">To find that the County failed to present any evidence showing a non-discriminatory reason for Davis's lack of promotion, the trial court's order relied on </w:t>
      </w:r>
      <w:r>
        <w:t xml:space="preserve">[Miami-Dade Fire Chief MDFR Fire Chief Herminio] </w:t>
      </w:r>
      <w:r w:rsidRPr="001C55DB">
        <w:t xml:space="preserve">Lorenzo's inability to remember his reasons for not promoting Davis. Such reliance is misplaced where, viewing the evidence in the light most favorable to the County, a reasonable inference can be drawn that the County's decision was based on legitimate, non-discriminatory, non-retaliatory reasons i.e., overages and an agreement between the County and the union prohibited Chief Lorenzo from filling the two ‘vacant’ positions. We also note that Chief Lorenzo testified that the only criteria he used to make CFO promotions was to go </w:t>
      </w:r>
      <w:r>
        <w:t>‘</w:t>
      </w:r>
      <w:r w:rsidRPr="001C55DB">
        <w:t>straight down the list,</w:t>
      </w:r>
      <w:r>
        <w:t>’</w:t>
      </w:r>
      <w:r w:rsidRPr="001C55DB">
        <w:t xml:space="preserve"> and that he never took race into consideration. </w:t>
      </w:r>
      <w:proofErr w:type="spellStart"/>
      <w:r w:rsidRPr="001C55DB">
        <w:t>Davis'</w:t>
      </w:r>
      <w:proofErr w:type="spellEnd"/>
      <w:r w:rsidRPr="001C55DB">
        <w:t xml:space="preserve"> own testimony on cross-examination allowed for the reasonable inference that Chief Lorenzo simply went </w:t>
      </w:r>
      <w:r>
        <w:t>‘</w:t>
      </w:r>
      <w:r w:rsidRPr="001C55DB">
        <w:t>straight down the list</w:t>
      </w:r>
      <w:r>
        <w:t>’</w:t>
      </w:r>
      <w:r w:rsidRPr="001C55DB">
        <w:t xml:space="preserve"> where she acknowledged that, from 2005 to 2009, he had promoted Blacks, Hispanics, women, and active members of the PFA.</w:t>
      </w:r>
      <w:r>
        <w:t xml:space="preserve">”  [Footnote 3.] </w:t>
      </w:r>
      <w:hyperlink r:id="rId1649" w:history="1">
        <w:r w:rsidRPr="002F1E28">
          <w:rPr>
            <w:rStyle w:val="Hyperlink"/>
          </w:rPr>
          <w:t>https://law.justia.com/cases/florida/third-district-court-of-appeal/2020/3d19-1144.html</w:t>
        </w:r>
      </w:hyperlink>
      <w:r>
        <w:t xml:space="preserve"> </w:t>
      </w:r>
    </w:p>
    <w:p w14:paraId="640ED975" w14:textId="77777777" w:rsidR="00F824FE" w:rsidRDefault="00F824FE" w:rsidP="00F824FE">
      <w:pPr>
        <w:spacing w:before="100" w:beforeAutospacing="1" w:after="100" w:afterAutospacing="1" w:line="240" w:lineRule="auto"/>
        <w:rPr>
          <w:rFonts w:ascii="Times New Roman" w:hAnsi="Times New Roman"/>
          <w:b/>
          <w:bCs/>
          <w:sz w:val="24"/>
          <w:szCs w:val="24"/>
        </w:rPr>
      </w:pPr>
      <w:r w:rsidRPr="0023112C">
        <w:rPr>
          <w:rFonts w:ascii="Times New Roman" w:hAnsi="Times New Roman"/>
          <w:b/>
          <w:bCs/>
          <w:sz w:val="24"/>
          <w:szCs w:val="24"/>
        </w:rPr>
        <w:t>Legal Lessons Learned:</w:t>
      </w:r>
      <w:r>
        <w:rPr>
          <w:rFonts w:ascii="Times New Roman" w:hAnsi="Times New Roman"/>
          <w:b/>
          <w:bCs/>
          <w:sz w:val="24"/>
          <w:szCs w:val="24"/>
        </w:rPr>
        <w:t xml:space="preserve"> Jury’s verdict is upheld. </w:t>
      </w:r>
    </w:p>
    <w:p w14:paraId="28B947C1"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23112C">
        <w:rPr>
          <w:rFonts w:ascii="Times New Roman" w:hAnsi="Times New Roman"/>
          <w:sz w:val="24"/>
          <w:szCs w:val="24"/>
        </w:rPr>
        <w:t xml:space="preserve">Note: </w:t>
      </w:r>
      <w:r>
        <w:rPr>
          <w:rFonts w:ascii="Times New Roman" w:hAnsi="Times New Roman"/>
          <w:sz w:val="24"/>
          <w:szCs w:val="24"/>
        </w:rPr>
        <w:t xml:space="preserve">Trial judge who ordered new trial thought the jury had been “deceived” because a FD report had not been provided to plaintiff’s counsel prior to trail. </w:t>
      </w:r>
    </w:p>
    <w:p w14:paraId="67028051" w14:textId="77777777" w:rsidR="00F824FE" w:rsidRPr="0023112C" w:rsidRDefault="00F824FE" w:rsidP="00F824FE">
      <w:pPr>
        <w:spacing w:before="100" w:beforeAutospacing="1" w:after="100" w:afterAutospacing="1" w:line="240" w:lineRule="auto"/>
        <w:ind w:left="1440"/>
        <w:rPr>
          <w:rFonts w:ascii="Times New Roman" w:eastAsia="Times New Roman" w:hAnsi="Times New Roman"/>
          <w:sz w:val="24"/>
          <w:szCs w:val="24"/>
        </w:rPr>
      </w:pPr>
      <w:r w:rsidRPr="0023112C">
        <w:rPr>
          <w:rFonts w:ascii="Times New Roman" w:hAnsi="Times New Roman"/>
          <w:sz w:val="24"/>
          <w:szCs w:val="24"/>
        </w:rPr>
        <w:t>“</w:t>
      </w:r>
      <w:r w:rsidRPr="0023112C">
        <w:rPr>
          <w:rFonts w:ascii="Times New Roman" w:eastAsia="Times New Roman" w:hAnsi="Times New Roman"/>
          <w:sz w:val="24"/>
          <w:szCs w:val="24"/>
        </w:rPr>
        <w:t xml:space="preserve">The [trial judge’s] order also concluded the jury was ‘deceived as to the force and credibility of the evidence or [] [] influenced by considerations outside the record,’ a reference to a small portion of testimony stricken by the trial court. More specifically, the trial court struck testimony from Robin Duran (a division chief and then-Deputy Chief to Alfredo Suarez) stating that there were only seventy-seven ‘required’ CFO positions for the 2009-10 promotional cycle. Duran further explained that she prepared a report reaching the same number of available CFO positions—seventy-seven. Because the report was never provided to plaintiff's counsel, the trial court struck the testimony as a ‘blatant, willful violation of discovery.’ *** The trial court's finding that the jury was influenced by the stricken testimony is not supported by the evidence. We also note that the trial court gave a curative instruction as requested by Davis, and that Davis did not make a contemporaneous motion for mistrial. </w:t>
      </w:r>
      <w:r w:rsidRPr="0023112C">
        <w:rPr>
          <w:rFonts w:ascii="Times New Roman" w:eastAsia="Times New Roman" w:hAnsi="Times New Roman"/>
          <w:sz w:val="24"/>
          <w:szCs w:val="24"/>
          <w:u w:val="single"/>
        </w:rPr>
        <w:t>Black v. Cohen</w:t>
      </w:r>
      <w:r w:rsidRPr="0023112C">
        <w:rPr>
          <w:rFonts w:ascii="Times New Roman" w:eastAsia="Times New Roman" w:hAnsi="Times New Roman"/>
          <w:sz w:val="24"/>
          <w:szCs w:val="24"/>
        </w:rPr>
        <w:t>, 246 So. 3d 379, 384 (Fla. 4th DCA 2018) (noting: ‘[T]he Florida Supreme Court has held that a trial court may not grant a new trial based upon objections to attorney misconduct which were sustained, but for which no motion for mistrial was requested.’). The testimony in question was at most cumulative, did not advance the County's theory beyond that which had already been established.”  [Footnote 4.]</w:t>
      </w:r>
    </w:p>
    <w:p w14:paraId="7505D40A" w14:textId="77777777" w:rsidR="00F824FE" w:rsidRDefault="00F824FE" w:rsidP="00DE0F03">
      <w:pPr>
        <w:rPr>
          <w:rFonts w:ascii="Arial Black" w:hAnsi="Arial Black"/>
          <w:b/>
          <w:sz w:val="24"/>
          <w:szCs w:val="24"/>
        </w:rPr>
      </w:pPr>
    </w:p>
    <w:p w14:paraId="33FE153F" w14:textId="62AF2AB2" w:rsidR="00557CA2" w:rsidRDefault="00557CA2" w:rsidP="00DE0F03">
      <w:pPr>
        <w:rPr>
          <w:rFonts w:ascii="Arial Black" w:hAnsi="Arial Black"/>
          <w:b/>
          <w:sz w:val="24"/>
          <w:szCs w:val="24"/>
        </w:rPr>
      </w:pPr>
      <w:r>
        <w:rPr>
          <w:rFonts w:ascii="Arial Black" w:hAnsi="Arial Black"/>
          <w:b/>
          <w:sz w:val="24"/>
          <w:szCs w:val="24"/>
        </w:rPr>
        <w:t>8-19</w:t>
      </w:r>
    </w:p>
    <w:p w14:paraId="57D1F4FF" w14:textId="629C1CE0" w:rsidR="00557CA2" w:rsidRDefault="00557CA2" w:rsidP="00557CA2">
      <w:pPr>
        <w:spacing w:before="100" w:beforeAutospacing="1" w:after="100" w:afterAutospacing="1" w:line="240" w:lineRule="auto"/>
        <w:rPr>
          <w:rFonts w:ascii="Arial Black" w:hAnsi="Arial Black"/>
          <w:sz w:val="28"/>
          <w:szCs w:val="28"/>
        </w:rPr>
      </w:pPr>
      <w:r>
        <w:rPr>
          <w:rFonts w:ascii="Arial Black" w:hAnsi="Arial Black"/>
          <w:sz w:val="28"/>
          <w:szCs w:val="28"/>
        </w:rPr>
        <w:t>MI:  CITY OF WARREN – “DIVERSITY AND INCLUSION COORDINATOR” RESI</w:t>
      </w:r>
      <w:r w:rsidR="00DB72C4">
        <w:rPr>
          <w:rFonts w:ascii="Arial Black" w:hAnsi="Arial Black"/>
          <w:sz w:val="28"/>
          <w:szCs w:val="28"/>
        </w:rPr>
        <w:t>G</w:t>
      </w:r>
      <w:r>
        <w:rPr>
          <w:rFonts w:ascii="Arial Black" w:hAnsi="Arial Black"/>
          <w:sz w:val="28"/>
          <w:szCs w:val="28"/>
        </w:rPr>
        <w:t>NED - LAWSUIT MAY PROCEED</w:t>
      </w:r>
    </w:p>
    <w:p w14:paraId="2CB0BED1"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Gregory Murray v. City of Warren</w:t>
      </w:r>
      <w:r>
        <w:rPr>
          <w:rFonts w:ascii="Times New Roman" w:hAnsi="Times New Roman"/>
          <w:sz w:val="24"/>
          <w:szCs w:val="24"/>
        </w:rPr>
        <w:t xml:space="preserve">, U.S. District Court Judge Gershwin A. Drain, Eastern District of Michigan (Southern Division) denied the city’s motion to dismiss portions of the lawsuit. </w:t>
      </w:r>
    </w:p>
    <w:p w14:paraId="13952C26" w14:textId="77777777" w:rsidR="00557CA2" w:rsidRDefault="00557CA2" w:rsidP="00557CA2">
      <w:pPr>
        <w:pStyle w:val="NormalWeb"/>
        <w:ind w:left="720"/>
      </w:pPr>
      <w:r>
        <w:t xml:space="preserve">“Plaintiff also claims similarly situated employees who are not in a protected class were treated more favorably than he was where his efforts to perform his job duties were thwarted forcing his resignation while his counterparts were able to retain their positions even after engaging in illegal discrimination, which had been reported to Defendants. Additionally, Defendant City's police commissioner allegedly called Plaintiff a racial slur and prevented Plaintiff, with Defendant Fouts' full support, from investigating past incidents of racial discrimination and civil rights violations within the police department. Accordingly, Plaintiff has stated a viable race discrimination claim under both Title VII and the [Michigan statute] ELCRA.” </w:t>
      </w:r>
      <w:hyperlink r:id="rId1650" w:history="1">
        <w:r>
          <w:rPr>
            <w:rStyle w:val="Hyperlink"/>
            <w:rFonts w:eastAsiaTheme="majorEastAsia"/>
          </w:rPr>
          <w:t>https://casetext.com/case/murray-v-city-of-warren-1</w:t>
        </w:r>
      </w:hyperlink>
      <w:r>
        <w:t xml:space="preserve"> </w:t>
      </w:r>
    </w:p>
    <w:p w14:paraId="3368901D" w14:textId="77777777" w:rsidR="00557CA2" w:rsidRDefault="00557CA2" w:rsidP="00557CA2">
      <w:pPr>
        <w:pStyle w:val="NormalWeb"/>
        <w:rPr>
          <w:b/>
          <w:bCs/>
        </w:rPr>
      </w:pPr>
      <w:r>
        <w:rPr>
          <w:b/>
          <w:bCs/>
        </w:rPr>
        <w:t xml:space="preserve">Legal Lessons Learned: The lawsuit will now proceed to pre-trial discovery.  The alleged comments are unacceptable in any workplace. </w:t>
      </w:r>
    </w:p>
    <w:p w14:paraId="50B0B91C" w14:textId="77777777" w:rsidR="00557CA2" w:rsidRDefault="00557CA2" w:rsidP="00DE0F03">
      <w:pPr>
        <w:rPr>
          <w:rFonts w:ascii="Arial Black" w:hAnsi="Arial Black"/>
          <w:b/>
          <w:sz w:val="24"/>
          <w:szCs w:val="24"/>
        </w:rPr>
      </w:pPr>
    </w:p>
    <w:p w14:paraId="14D4664C" w14:textId="3581D40D" w:rsidR="00557CA2" w:rsidRDefault="00557CA2" w:rsidP="00DE0F03">
      <w:pPr>
        <w:rPr>
          <w:rFonts w:ascii="Arial Black" w:hAnsi="Arial Black"/>
          <w:b/>
          <w:sz w:val="24"/>
          <w:szCs w:val="24"/>
        </w:rPr>
      </w:pPr>
      <w:r>
        <w:rPr>
          <w:rFonts w:ascii="Arial Black" w:hAnsi="Arial Black"/>
          <w:b/>
          <w:sz w:val="24"/>
          <w:szCs w:val="24"/>
        </w:rPr>
        <w:t>8-18</w:t>
      </w:r>
    </w:p>
    <w:p w14:paraId="5F795B86" w14:textId="77777777" w:rsidR="00557CA2" w:rsidRDefault="00557CA2" w:rsidP="00557CA2">
      <w:pPr>
        <w:spacing w:before="100" w:beforeAutospacing="1" w:after="100" w:afterAutospacing="1" w:line="240" w:lineRule="auto"/>
        <w:rPr>
          <w:rFonts w:ascii="Arial Black" w:hAnsi="Arial Black"/>
          <w:sz w:val="28"/>
          <w:szCs w:val="28"/>
        </w:rPr>
      </w:pPr>
      <w:bookmarkStart w:id="321" w:name="_Hlk66948003"/>
      <w:r>
        <w:rPr>
          <w:rFonts w:ascii="Arial Black" w:hAnsi="Arial Black"/>
          <w:sz w:val="28"/>
          <w:szCs w:val="28"/>
        </w:rPr>
        <w:t xml:space="preserve">PA: REVERSE DISCRIMINATION NOT PROVED - WHITE BATTALION CHIEF &amp; CAPTAIN LAWSUIT DISMISSED </w:t>
      </w:r>
    </w:p>
    <w:p w14:paraId="4DB91E1D" w14:textId="77777777" w:rsidR="00557CA2" w:rsidRDefault="00557CA2" w:rsidP="00557CA2">
      <w:pPr>
        <w:tabs>
          <w:tab w:val="left" w:pos="817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4, 2020, in </w:t>
      </w:r>
      <w:r>
        <w:rPr>
          <w:rFonts w:ascii="Times New Roman" w:hAnsi="Times New Roman"/>
          <w:sz w:val="24"/>
          <w:szCs w:val="24"/>
          <w:u w:val="single"/>
        </w:rPr>
        <w:t>Lawrence Boyle and Gerald Boyle v. City of Philadelphia</w:t>
      </w:r>
      <w:r>
        <w:rPr>
          <w:rFonts w:ascii="Times New Roman" w:hAnsi="Times New Roman"/>
          <w:sz w:val="24"/>
          <w:szCs w:val="24"/>
        </w:rPr>
        <w:t>, Senior U.S. District Court Judge Jan E. DuBois, Eastern District of Pennsylvania, granted the City’s motion for summary judgment.</w:t>
      </w:r>
    </w:p>
    <w:p w14:paraId="51C510BB" w14:textId="77777777" w:rsidR="00557CA2" w:rsidRDefault="00557CA2" w:rsidP="00557CA2">
      <w:pPr>
        <w:pStyle w:val="NormalWeb"/>
        <w:ind w:left="720"/>
      </w:pPr>
      <w:r>
        <w:t xml:space="preserve">“Plaintiffs offer no analysis of statistical significance whatsoever </w:t>
      </w:r>
      <w:proofErr w:type="gramStart"/>
      <w:r>
        <w:t>with regard to</w:t>
      </w:r>
      <w:proofErr w:type="gramEnd"/>
      <w:r>
        <w:t xml:space="preserve"> the record evidence of exam results and promotions. That failure alone is enough to grant the City's Motion on plaintiffs' disparate impact claim. *** Finally, courts have rejected alleged Equal Protection violations based on an employer's ‘reliance on various subjective criteria during the promotional process.’ </w:t>
      </w:r>
      <w:r>
        <w:rPr>
          <w:i/>
          <w:iCs/>
        </w:rPr>
        <w:t>Baldwin v</w:t>
      </w:r>
      <w:r>
        <w:t xml:space="preserve">. </w:t>
      </w:r>
      <w:proofErr w:type="spellStart"/>
      <w:r>
        <w:rPr>
          <w:i/>
          <w:iCs/>
        </w:rPr>
        <w:t>Gramiccioni</w:t>
      </w:r>
      <w:proofErr w:type="spellEnd"/>
      <w:r>
        <w:t>, No. 16-1675, 2019 WL 2281580, at*16 (D.N.J. May 29, 2019). Indeed, courts have held that ‘[s]</w:t>
      </w:r>
      <w:proofErr w:type="spellStart"/>
      <w:r>
        <w:t>ubjective</w:t>
      </w:r>
      <w:proofErr w:type="spellEnd"/>
      <w:r>
        <w:t xml:space="preserve"> promotion criteria are not discriminatory </w:t>
      </w:r>
      <w:r>
        <w:rPr>
          <w:i/>
          <w:iCs/>
        </w:rPr>
        <w:t>per</w:t>
      </w:r>
      <w:r>
        <w:t xml:space="preserve"> </w:t>
      </w:r>
      <w:proofErr w:type="spellStart"/>
      <w:r>
        <w:t>se.’</w:t>
      </w:r>
      <w:r>
        <w:rPr>
          <w:i/>
          <w:iCs/>
        </w:rPr>
        <w:t>Beckett</w:t>
      </w:r>
      <w:proofErr w:type="spellEnd"/>
      <w:r>
        <w:rPr>
          <w:i/>
          <w:iCs/>
        </w:rPr>
        <w:t xml:space="preserve"> v</w:t>
      </w:r>
      <w:r>
        <w:t xml:space="preserve">. </w:t>
      </w:r>
      <w:proofErr w:type="spellStart"/>
      <w:r>
        <w:rPr>
          <w:i/>
          <w:iCs/>
        </w:rPr>
        <w:t>Dep't</w:t>
      </w:r>
      <w:proofErr w:type="spellEnd"/>
      <w:r>
        <w:rPr>
          <w:i/>
          <w:iCs/>
        </w:rPr>
        <w:t xml:space="preserve"> of Corrections</w:t>
      </w:r>
      <w:r>
        <w:t xml:space="preserve">, 981 F. Supp. 319, 327 (D. Del. 1997) (citing </w:t>
      </w:r>
      <w:r>
        <w:rPr>
          <w:i/>
          <w:iCs/>
        </w:rPr>
        <w:t>Shealy v</w:t>
      </w:r>
      <w:r>
        <w:t xml:space="preserve">. </w:t>
      </w:r>
      <w:r>
        <w:rPr>
          <w:i/>
          <w:iCs/>
        </w:rPr>
        <w:t>City of Albany</w:t>
      </w:r>
      <w:r>
        <w:t xml:space="preserve">, 89 F.3d 804, 805 (11th Cir. 1996)).” </w:t>
      </w:r>
      <w:hyperlink r:id="rId1651" w:history="1">
        <w:r>
          <w:rPr>
            <w:rStyle w:val="Hyperlink"/>
            <w:rFonts w:eastAsiaTheme="majorEastAsia"/>
          </w:rPr>
          <w:t>http://www.paed.uscourts.gov/documents/opinions/20D0393P.pdf</w:t>
        </w:r>
      </w:hyperlink>
      <w:r>
        <w:t xml:space="preserve"> </w:t>
      </w:r>
    </w:p>
    <w:p w14:paraId="68B271DD" w14:textId="77777777" w:rsidR="00557CA2" w:rsidRDefault="00557CA2" w:rsidP="00557CA2">
      <w:pPr>
        <w:tabs>
          <w:tab w:val="left" w:pos="3210"/>
        </w:tabs>
        <w:spacing w:before="100" w:beforeAutospacing="1" w:after="100" w:afterAutospacing="1" w:line="240" w:lineRule="auto"/>
        <w:rPr>
          <w:rFonts w:ascii="Times New Roman" w:eastAsia="Times New Roman" w:hAnsi="Times New Roman"/>
          <w:sz w:val="24"/>
          <w:szCs w:val="24"/>
        </w:rPr>
      </w:pPr>
      <w:r>
        <w:rPr>
          <w:rFonts w:ascii="Times New Roman" w:hAnsi="Times New Roman"/>
          <w:b/>
          <w:bCs/>
          <w:sz w:val="24"/>
          <w:szCs w:val="24"/>
        </w:rPr>
        <w:t xml:space="preserve">Legal Lessons Learned: Lack of statistical significance in exams and promotions led to dismissal of this lawsuit. </w:t>
      </w:r>
    </w:p>
    <w:bookmarkEnd w:id="321"/>
    <w:p w14:paraId="18BB2B50" w14:textId="77777777" w:rsidR="00557CA2" w:rsidRDefault="00557CA2" w:rsidP="00DE0F03">
      <w:pPr>
        <w:rPr>
          <w:rFonts w:ascii="Arial Black" w:hAnsi="Arial Black"/>
          <w:b/>
          <w:sz w:val="24"/>
          <w:szCs w:val="24"/>
        </w:rPr>
      </w:pPr>
    </w:p>
    <w:p w14:paraId="4963B924" w14:textId="77777777" w:rsidR="00557CA2" w:rsidRDefault="00557CA2" w:rsidP="00DE0F03">
      <w:pPr>
        <w:rPr>
          <w:rFonts w:ascii="Arial Black" w:hAnsi="Arial Black"/>
          <w:b/>
          <w:sz w:val="24"/>
          <w:szCs w:val="24"/>
        </w:rPr>
      </w:pPr>
    </w:p>
    <w:p w14:paraId="4921AF32" w14:textId="33651F04" w:rsidR="006B2083" w:rsidRDefault="006B2083" w:rsidP="00DE0F03">
      <w:pPr>
        <w:rPr>
          <w:rFonts w:ascii="Arial Black" w:hAnsi="Arial Black"/>
          <w:b/>
          <w:sz w:val="24"/>
          <w:szCs w:val="24"/>
        </w:rPr>
      </w:pPr>
      <w:r>
        <w:rPr>
          <w:rFonts w:ascii="Arial Black" w:hAnsi="Arial Black"/>
          <w:b/>
          <w:sz w:val="24"/>
          <w:szCs w:val="24"/>
        </w:rPr>
        <w:t>8-17</w:t>
      </w:r>
    </w:p>
    <w:p w14:paraId="53B02748" w14:textId="77777777" w:rsidR="006B2083" w:rsidRPr="00230B50" w:rsidRDefault="006B2083" w:rsidP="006B2083">
      <w:pPr>
        <w:pStyle w:val="NoSpacing"/>
        <w:rPr>
          <w:rFonts w:ascii="Arial Black" w:hAnsi="Arial Black"/>
          <w:sz w:val="28"/>
          <w:szCs w:val="28"/>
        </w:rPr>
      </w:pPr>
      <w:r w:rsidRPr="00230B50">
        <w:rPr>
          <w:rFonts w:ascii="Arial Black" w:hAnsi="Arial Black"/>
          <w:sz w:val="28"/>
          <w:szCs w:val="28"/>
        </w:rPr>
        <w:t xml:space="preserve">CT: </w:t>
      </w:r>
      <w:r>
        <w:rPr>
          <w:rFonts w:ascii="Arial Black" w:hAnsi="Arial Black"/>
          <w:sz w:val="28"/>
          <w:szCs w:val="28"/>
        </w:rPr>
        <w:t xml:space="preserve"> FF ALLEGED RACE DISCRIM – TWO INCIDNTS - NO ALLEGATION RACE “PERMEATED OVERALL WORKING ENVIRONMENT” </w:t>
      </w:r>
    </w:p>
    <w:p w14:paraId="09E8B1C6" w14:textId="77777777" w:rsidR="00DB72C4" w:rsidRDefault="00DB72C4" w:rsidP="006B2083">
      <w:pPr>
        <w:rPr>
          <w:rFonts w:ascii="Times New Roman" w:hAnsi="Times New Roman"/>
          <w:sz w:val="24"/>
          <w:szCs w:val="24"/>
        </w:rPr>
      </w:pPr>
    </w:p>
    <w:p w14:paraId="7AACD68F" w14:textId="7F9E3C77" w:rsidR="006B2083" w:rsidRDefault="006B2083" w:rsidP="006B2083">
      <w:pPr>
        <w:rPr>
          <w:rStyle w:val="Hyperlink"/>
          <w:rFonts w:ascii="Times New Roman" w:hAnsi="Times New Roman"/>
          <w:sz w:val="24"/>
          <w:szCs w:val="24"/>
        </w:rPr>
      </w:pPr>
      <w:r w:rsidRPr="00E831B1">
        <w:rPr>
          <w:rFonts w:ascii="Times New Roman" w:hAnsi="Times New Roman"/>
          <w:sz w:val="24"/>
          <w:szCs w:val="24"/>
        </w:rPr>
        <w:t xml:space="preserve">On </w:t>
      </w:r>
      <w:r>
        <w:rPr>
          <w:rFonts w:ascii="Times New Roman" w:hAnsi="Times New Roman"/>
          <w:sz w:val="24"/>
          <w:szCs w:val="24"/>
        </w:rPr>
        <w:t xml:space="preserve">June 29, 2020, in </w:t>
      </w:r>
      <w:r w:rsidRPr="00E831B1">
        <w:rPr>
          <w:rFonts w:ascii="Times New Roman" w:hAnsi="Times New Roman"/>
          <w:sz w:val="24"/>
          <w:szCs w:val="24"/>
          <w:u w:val="single"/>
        </w:rPr>
        <w:t>Tony Milledge v. City of Hartford, et al</w:t>
      </w:r>
      <w:r>
        <w:rPr>
          <w:rFonts w:ascii="Times New Roman" w:hAnsi="Times New Roman"/>
          <w:sz w:val="24"/>
          <w:szCs w:val="24"/>
        </w:rPr>
        <w:t>., U.S. District Court Judge Jeffery Alker Meyer, District of Connecticut, dismissed the lawsuit by African American firefighter with 20 years on Hartford FD.  He filed complaint alleging two incidents</w:t>
      </w:r>
      <w:r w:rsidR="00DB72C4">
        <w:rPr>
          <w:rFonts w:ascii="Times New Roman" w:hAnsi="Times New Roman"/>
          <w:sz w:val="24"/>
          <w:szCs w:val="24"/>
        </w:rPr>
        <w:t xml:space="preserve"> </w:t>
      </w:r>
      <w:r>
        <w:rPr>
          <w:rFonts w:ascii="Times New Roman" w:hAnsi="Times New Roman"/>
          <w:sz w:val="24"/>
          <w:szCs w:val="24"/>
        </w:rPr>
        <w:t>but lacking specific on how these incidents were related to race.  The Court wrote: “</w:t>
      </w:r>
      <w:r w:rsidRPr="00D20A78">
        <w:rPr>
          <w:rFonts w:ascii="Times New Roman" w:hAnsi="Times New Roman"/>
          <w:sz w:val="24"/>
          <w:szCs w:val="24"/>
        </w:rPr>
        <w:t xml:space="preserve">What is lacking, however, are facts to suggest that any of the alleged abuse was </w:t>
      </w:r>
      <w:r w:rsidRPr="00D20A78">
        <w:rPr>
          <w:rFonts w:ascii="Times New Roman" w:hAnsi="Times New Roman"/>
          <w:i/>
          <w:iCs/>
          <w:sz w:val="24"/>
          <w:szCs w:val="24"/>
        </w:rPr>
        <w:t>because of</w:t>
      </w:r>
      <w:r w:rsidRPr="00D20A78">
        <w:rPr>
          <w:rFonts w:ascii="Times New Roman" w:hAnsi="Times New Roman"/>
          <w:sz w:val="24"/>
          <w:szCs w:val="24"/>
        </w:rPr>
        <w:t xml:space="preserve"> Milledge's race. Milledge does not recite any statements by the two supervisors to suggest that they picked on him because of his race. Nor does Milledge allege facts to suggest that race considerations generally permeated the overall working environment at the fire department—for example, that supervisors at the fire department made any remarks or engaged in any conduct reflecting race-based animus or stereotypical assumptions about race.</w:t>
      </w:r>
      <w:r>
        <w:rPr>
          <w:rFonts w:ascii="Times New Roman" w:hAnsi="Times New Roman"/>
          <w:sz w:val="24"/>
          <w:szCs w:val="24"/>
        </w:rPr>
        <w:t>”  The Court will allow him to file an amended complaint: “</w:t>
      </w:r>
      <w:r w:rsidRPr="00D20A78">
        <w:rPr>
          <w:rFonts w:ascii="Times New Roman" w:hAnsi="Times New Roman"/>
          <w:sz w:val="24"/>
          <w:szCs w:val="24"/>
        </w:rPr>
        <w:t>If Milledge chooses to file an amended complaint, the amended complaint should not only state additional facts to support an inference of discriminatory motive but also to show that the alleged acts of abuse created a hostile work environment.</w:t>
      </w:r>
      <w:r>
        <w:rPr>
          <w:rFonts w:ascii="Times New Roman" w:hAnsi="Times New Roman"/>
          <w:sz w:val="24"/>
          <w:szCs w:val="24"/>
        </w:rPr>
        <w:t xml:space="preserve">” </w:t>
      </w:r>
      <w:hyperlink r:id="rId1652" w:history="1">
        <w:r w:rsidRPr="00DE6B93">
          <w:rPr>
            <w:rStyle w:val="Hyperlink"/>
            <w:rFonts w:ascii="Times New Roman" w:hAnsi="Times New Roman"/>
            <w:sz w:val="24"/>
            <w:szCs w:val="24"/>
          </w:rPr>
          <w:t>https://public.fastcase.com/Wl%2B2t%2BeVuI35%2FN70vAMFZjxlcnGgF4KmxTbsHmdpUnhrKX1xZ8%2F1BaT4X1Cm7%2Fji</w:t>
        </w:r>
      </w:hyperlink>
    </w:p>
    <w:p w14:paraId="1C75DBD5" w14:textId="77777777" w:rsidR="006B2083" w:rsidRPr="00230B50" w:rsidRDefault="006B2083" w:rsidP="006B2083">
      <w:pPr>
        <w:spacing w:before="100" w:beforeAutospacing="1" w:after="100" w:afterAutospacing="1" w:line="240" w:lineRule="auto"/>
        <w:rPr>
          <w:rFonts w:ascii="Times New Roman" w:eastAsia="Times New Roman" w:hAnsi="Times New Roman"/>
          <w:b/>
          <w:bCs/>
          <w:sz w:val="24"/>
          <w:szCs w:val="24"/>
        </w:rPr>
      </w:pPr>
      <w:r w:rsidRPr="002754A9">
        <w:rPr>
          <w:rFonts w:ascii="Times New Roman" w:hAnsi="Times New Roman"/>
          <w:b/>
          <w:bCs/>
          <w:sz w:val="24"/>
          <w:szCs w:val="24"/>
        </w:rPr>
        <w:t>Legal Lesson Learned</w:t>
      </w:r>
      <w:r>
        <w:rPr>
          <w:rFonts w:ascii="Times New Roman" w:hAnsi="Times New Roman"/>
          <w:b/>
          <w:bCs/>
          <w:sz w:val="24"/>
          <w:szCs w:val="24"/>
        </w:rPr>
        <w:t xml:space="preserve">:  FDs can help avoid litigation by </w:t>
      </w:r>
      <w:proofErr w:type="gramStart"/>
      <w:r>
        <w:rPr>
          <w:rFonts w:ascii="Times New Roman" w:hAnsi="Times New Roman"/>
          <w:b/>
          <w:bCs/>
          <w:sz w:val="24"/>
          <w:szCs w:val="24"/>
        </w:rPr>
        <w:t>conduct</w:t>
      </w:r>
      <w:proofErr w:type="gramEnd"/>
      <w:r>
        <w:rPr>
          <w:rFonts w:ascii="Times New Roman" w:hAnsi="Times New Roman"/>
          <w:b/>
          <w:bCs/>
          <w:sz w:val="24"/>
          <w:szCs w:val="24"/>
        </w:rPr>
        <w:t xml:space="preserve"> prompt, thorough internal investigations of all complaints (after receipt of written complaint).  </w:t>
      </w:r>
    </w:p>
    <w:p w14:paraId="4EB54DC8" w14:textId="77777777" w:rsidR="006B2083" w:rsidRDefault="006B2083" w:rsidP="006B2083">
      <w:pPr>
        <w:rPr>
          <w:rFonts w:ascii="Arial Black" w:hAnsi="Arial Black"/>
          <w:b/>
          <w:sz w:val="24"/>
          <w:szCs w:val="24"/>
        </w:rPr>
      </w:pPr>
    </w:p>
    <w:p w14:paraId="4FF8849D" w14:textId="77777777" w:rsidR="006B2083" w:rsidRDefault="006B2083" w:rsidP="00DE0F03">
      <w:pPr>
        <w:rPr>
          <w:rFonts w:ascii="Arial Black" w:hAnsi="Arial Black"/>
          <w:b/>
          <w:sz w:val="24"/>
          <w:szCs w:val="24"/>
        </w:rPr>
      </w:pPr>
    </w:p>
    <w:p w14:paraId="598DBC2A" w14:textId="2C4AE323" w:rsidR="007105B3" w:rsidRDefault="007105B3" w:rsidP="00DE0F03">
      <w:pPr>
        <w:rPr>
          <w:rFonts w:ascii="Arial Black" w:hAnsi="Arial Black"/>
          <w:b/>
          <w:sz w:val="24"/>
          <w:szCs w:val="24"/>
        </w:rPr>
      </w:pPr>
      <w:r>
        <w:rPr>
          <w:rFonts w:ascii="Arial Black" w:hAnsi="Arial Black"/>
          <w:b/>
          <w:sz w:val="24"/>
          <w:szCs w:val="24"/>
        </w:rPr>
        <w:t>8-16</w:t>
      </w:r>
    </w:p>
    <w:p w14:paraId="64FED3DD" w14:textId="77777777" w:rsidR="007105B3" w:rsidRPr="005D212F" w:rsidRDefault="007105B3" w:rsidP="007105B3">
      <w:pPr>
        <w:pStyle w:val="NoSpacing"/>
        <w:rPr>
          <w:rFonts w:ascii="Arial Black" w:hAnsi="Arial Black"/>
          <w:sz w:val="28"/>
          <w:szCs w:val="28"/>
        </w:rPr>
      </w:pPr>
      <w:r w:rsidRPr="005D212F">
        <w:rPr>
          <w:rFonts w:ascii="Arial Black" w:hAnsi="Arial Black"/>
          <w:sz w:val="28"/>
          <w:szCs w:val="28"/>
        </w:rPr>
        <w:t xml:space="preserve">NY: </w:t>
      </w:r>
      <w:r>
        <w:rPr>
          <w:rFonts w:ascii="Arial Black" w:hAnsi="Arial Black"/>
          <w:sz w:val="28"/>
          <w:szCs w:val="28"/>
        </w:rPr>
        <w:t>FDNY - AFRICAN AMERICAN, MUSLIM – CLAIMED HOSTILE WORK ATMOSPHERE – ONLY “PETTY SLIGHTS”</w:t>
      </w:r>
    </w:p>
    <w:p w14:paraId="1F12C27E" w14:textId="77777777" w:rsidR="007105B3" w:rsidRDefault="007105B3" w:rsidP="007105B3">
      <w:pPr>
        <w:pStyle w:val="NoSpacing"/>
        <w:rPr>
          <w:rFonts w:ascii="On On" w:hAnsi="On On"/>
          <w:sz w:val="24"/>
          <w:szCs w:val="24"/>
        </w:rPr>
      </w:pPr>
    </w:p>
    <w:p w14:paraId="2DBC2342" w14:textId="77777777" w:rsidR="007105B3" w:rsidRPr="00CE6A11" w:rsidRDefault="007105B3" w:rsidP="007105B3">
      <w:pPr>
        <w:pStyle w:val="NoSpacing"/>
        <w:rPr>
          <w:rFonts w:ascii="Times New Roman" w:hAnsi="Times New Roman"/>
          <w:sz w:val="24"/>
          <w:szCs w:val="24"/>
        </w:rPr>
      </w:pPr>
      <w:r w:rsidRPr="005D212F">
        <w:rPr>
          <w:rFonts w:ascii="Times New Roman" w:hAnsi="Times New Roman"/>
          <w:sz w:val="24"/>
          <w:szCs w:val="24"/>
        </w:rPr>
        <w:t xml:space="preserve">On June 26, 2020, in </w:t>
      </w:r>
      <w:r w:rsidRPr="005D212F">
        <w:rPr>
          <w:rFonts w:ascii="Times New Roman" w:hAnsi="Times New Roman"/>
          <w:sz w:val="24"/>
          <w:szCs w:val="24"/>
          <w:u w:val="single"/>
        </w:rPr>
        <w:t>Gordon Springs v. City of New York, et al</w:t>
      </w:r>
      <w:r>
        <w:rPr>
          <w:rFonts w:ascii="Times New Roman" w:hAnsi="Times New Roman"/>
          <w:sz w:val="24"/>
          <w:szCs w:val="24"/>
        </w:rPr>
        <w:t>., U.S. District Court Judge Alvin K. Hellerstein granted the City’s motion to dismiss.  “</w:t>
      </w:r>
      <w:r w:rsidRPr="00CE6A11">
        <w:rPr>
          <w:rFonts w:ascii="Times New Roman" w:hAnsi="Times New Roman"/>
          <w:sz w:val="24"/>
          <w:szCs w:val="24"/>
        </w:rPr>
        <w:t xml:space="preserve">Springs fails to adequately plead a hostile work environment, because the FAC </w:t>
      </w:r>
      <w:r>
        <w:rPr>
          <w:rFonts w:ascii="Times New Roman" w:hAnsi="Times New Roman"/>
          <w:sz w:val="24"/>
          <w:szCs w:val="24"/>
        </w:rPr>
        <w:t xml:space="preserve">[First Amended Complaint] </w:t>
      </w:r>
      <w:r w:rsidRPr="00CE6A11">
        <w:rPr>
          <w:rFonts w:ascii="Times New Roman" w:hAnsi="Times New Roman"/>
          <w:sz w:val="24"/>
          <w:szCs w:val="24"/>
        </w:rPr>
        <w:t xml:space="preserve">does not sufficiently claim a causal connection between Springs's protected characteristics and most of the contested acts and, as to the remaining acts, the alleged acts of hostility do not rise above the level of </w:t>
      </w:r>
      <w:r>
        <w:rPr>
          <w:rFonts w:ascii="Times New Roman" w:hAnsi="Times New Roman"/>
          <w:sz w:val="24"/>
          <w:szCs w:val="24"/>
        </w:rPr>
        <w:t>‘</w:t>
      </w:r>
      <w:r w:rsidRPr="00CE6A11">
        <w:rPr>
          <w:rFonts w:ascii="Times New Roman" w:hAnsi="Times New Roman"/>
          <w:sz w:val="24"/>
          <w:szCs w:val="24"/>
        </w:rPr>
        <w:t>petty slight or trivial inconvenience.</w:t>
      </w:r>
      <w:r>
        <w:rPr>
          <w:rFonts w:ascii="Times New Roman" w:hAnsi="Times New Roman"/>
          <w:sz w:val="24"/>
          <w:szCs w:val="24"/>
        </w:rPr>
        <w:t xml:space="preserve">’ </w:t>
      </w:r>
      <w:hyperlink r:id="rId1653" w:history="1">
        <w:r w:rsidRPr="007062AF">
          <w:rPr>
            <w:rStyle w:val="Hyperlink"/>
            <w:rFonts w:ascii="Times New Roman" w:hAnsi="Times New Roman"/>
            <w:sz w:val="24"/>
            <w:szCs w:val="24"/>
          </w:rPr>
          <w:t>https://public.fastcase.com/Wl%2B2t%2BeVuI35%2FN70vAMFZu9WSCqieY3u1gfnWEwDVajGcV1Qbmc97gDjPt%2BB6d9C</w:t>
        </w:r>
      </w:hyperlink>
      <w:r>
        <w:rPr>
          <w:rFonts w:ascii="Times New Roman" w:hAnsi="Times New Roman"/>
          <w:sz w:val="24"/>
          <w:szCs w:val="24"/>
        </w:rPr>
        <w:t xml:space="preserve"> </w:t>
      </w:r>
    </w:p>
    <w:p w14:paraId="545207B2" w14:textId="77777777" w:rsidR="007105B3" w:rsidRPr="00CE6A11" w:rsidRDefault="007105B3" w:rsidP="007105B3">
      <w:pPr>
        <w:spacing w:before="100" w:beforeAutospacing="1" w:after="100" w:afterAutospacing="1" w:line="240" w:lineRule="auto"/>
        <w:rPr>
          <w:rFonts w:ascii="Times New Roman" w:hAnsi="Times New Roman"/>
          <w:b/>
          <w:bCs/>
          <w:sz w:val="24"/>
          <w:szCs w:val="24"/>
        </w:rPr>
      </w:pPr>
      <w:r w:rsidRPr="00CE6A11">
        <w:rPr>
          <w:rFonts w:ascii="Times New Roman" w:hAnsi="Times New Roman"/>
          <w:b/>
          <w:bCs/>
          <w:sz w:val="24"/>
          <w:szCs w:val="24"/>
        </w:rPr>
        <w:t xml:space="preserve">Legal Lessons Learned: To state a claim for </w:t>
      </w:r>
      <w:proofErr w:type="gramStart"/>
      <w:r w:rsidRPr="00CE6A11">
        <w:rPr>
          <w:rFonts w:ascii="Times New Roman" w:hAnsi="Times New Roman"/>
          <w:b/>
          <w:bCs/>
          <w:sz w:val="24"/>
          <w:szCs w:val="24"/>
        </w:rPr>
        <w:t>a hostile</w:t>
      </w:r>
      <w:proofErr w:type="gramEnd"/>
      <w:r w:rsidRPr="00CE6A11">
        <w:rPr>
          <w:rFonts w:ascii="Times New Roman" w:hAnsi="Times New Roman"/>
          <w:b/>
          <w:bCs/>
          <w:sz w:val="24"/>
          <w:szCs w:val="24"/>
        </w:rPr>
        <w:t xml:space="preserve"> work the plaintiff must allege "that the workplace is permeated with discriminatory intimidation, ridicule, and insult that is sufficiently severe or pervasive to alter the conditions of ... employment and create an abusive working environment."</w:t>
      </w:r>
    </w:p>
    <w:p w14:paraId="69FE09DC" w14:textId="77777777" w:rsidR="007105B3" w:rsidRDefault="007105B3" w:rsidP="007105B3">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DE7C27">
        <w:rPr>
          <w:rFonts w:ascii="Times New Roman" w:hAnsi="Times New Roman"/>
          <w:sz w:val="24"/>
          <w:szCs w:val="24"/>
        </w:rPr>
        <w:t xml:space="preserve">Note: </w:t>
      </w:r>
      <w:r>
        <w:rPr>
          <w:rFonts w:ascii="Times New Roman" w:hAnsi="Times New Roman"/>
          <w:sz w:val="24"/>
          <w:szCs w:val="24"/>
        </w:rPr>
        <w:t xml:space="preserve"> Read Judge’s comments about the “pork incident.” </w:t>
      </w:r>
    </w:p>
    <w:p w14:paraId="51CD20BA" w14:textId="77777777" w:rsidR="007105B3" w:rsidRPr="00CE6A11" w:rsidRDefault="007105B3" w:rsidP="007105B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CE6A11">
        <w:rPr>
          <w:rFonts w:ascii="Times New Roman" w:eastAsia="Times New Roman" w:hAnsi="Times New Roman"/>
          <w:sz w:val="24"/>
          <w:szCs w:val="24"/>
        </w:rPr>
        <w:t xml:space="preserve">The alleged pork incident is equally if not more trivial. The full extent of that allegation is that unidentified firefighters in Engine 67 </w:t>
      </w:r>
      <w:r>
        <w:rPr>
          <w:rFonts w:ascii="Times New Roman" w:eastAsia="Times New Roman" w:hAnsi="Times New Roman"/>
          <w:sz w:val="24"/>
          <w:szCs w:val="24"/>
        </w:rPr>
        <w:t>‘</w:t>
      </w:r>
      <w:r w:rsidRPr="00CE6A11">
        <w:rPr>
          <w:rFonts w:ascii="Times New Roman" w:eastAsia="Times New Roman" w:hAnsi="Times New Roman"/>
          <w:sz w:val="24"/>
          <w:szCs w:val="24"/>
        </w:rPr>
        <w:t>cooked a meal and made hamburgers in the same pan used to cook bacon</w:t>
      </w:r>
      <w:r>
        <w:rPr>
          <w:rFonts w:ascii="Times New Roman" w:eastAsia="Times New Roman" w:hAnsi="Times New Roman"/>
          <w:sz w:val="24"/>
          <w:szCs w:val="24"/>
        </w:rPr>
        <w:t>’</w:t>
      </w:r>
      <w:r w:rsidRPr="00CE6A11">
        <w:rPr>
          <w:rFonts w:ascii="Times New Roman" w:eastAsia="Times New Roman" w:hAnsi="Times New Roman"/>
          <w:sz w:val="24"/>
          <w:szCs w:val="24"/>
        </w:rPr>
        <w:t xml:space="preserve"> even though they had </w:t>
      </w:r>
      <w:r>
        <w:rPr>
          <w:rFonts w:ascii="Times New Roman" w:eastAsia="Times New Roman" w:hAnsi="Times New Roman"/>
          <w:sz w:val="24"/>
          <w:szCs w:val="24"/>
        </w:rPr>
        <w:t>‘</w:t>
      </w:r>
      <w:r w:rsidRPr="00CE6A11">
        <w:rPr>
          <w:rFonts w:ascii="Times New Roman" w:eastAsia="Times New Roman" w:hAnsi="Times New Roman"/>
          <w:sz w:val="24"/>
          <w:szCs w:val="24"/>
        </w:rPr>
        <w:t>full knowledge</w:t>
      </w:r>
      <w:r>
        <w:rPr>
          <w:rFonts w:ascii="Times New Roman" w:eastAsia="Times New Roman" w:hAnsi="Times New Roman"/>
          <w:sz w:val="24"/>
          <w:szCs w:val="24"/>
        </w:rPr>
        <w:t>’</w:t>
      </w:r>
      <w:r w:rsidRPr="00CE6A11">
        <w:rPr>
          <w:rFonts w:ascii="Times New Roman" w:eastAsia="Times New Roman" w:hAnsi="Times New Roman"/>
          <w:sz w:val="24"/>
          <w:szCs w:val="24"/>
        </w:rPr>
        <w:t xml:space="preserve"> that Springs is Muslim and therefore </w:t>
      </w:r>
      <w:r>
        <w:rPr>
          <w:rFonts w:ascii="Times New Roman" w:eastAsia="Times New Roman" w:hAnsi="Times New Roman"/>
          <w:sz w:val="24"/>
          <w:szCs w:val="24"/>
        </w:rPr>
        <w:t>‘</w:t>
      </w:r>
      <w:r w:rsidRPr="00CE6A11">
        <w:rPr>
          <w:rFonts w:ascii="Times New Roman" w:eastAsia="Times New Roman" w:hAnsi="Times New Roman"/>
          <w:sz w:val="24"/>
          <w:szCs w:val="24"/>
        </w:rPr>
        <w:t>unable to eat pork or cook with pork.</w:t>
      </w:r>
      <w:r>
        <w:rPr>
          <w:rFonts w:ascii="Times New Roman" w:eastAsia="Times New Roman" w:hAnsi="Times New Roman"/>
          <w:sz w:val="24"/>
          <w:szCs w:val="24"/>
        </w:rPr>
        <w:t>’</w:t>
      </w:r>
      <w:r w:rsidRPr="00CE6A11">
        <w:rPr>
          <w:rFonts w:ascii="Times New Roman" w:eastAsia="Times New Roman" w:hAnsi="Times New Roman"/>
          <w:sz w:val="24"/>
          <w:szCs w:val="24"/>
        </w:rPr>
        <w:t xml:space="preserve"> FAC at ¶¶ 48-50. That's it. Springs does not say whether this was the only </w:t>
      </w:r>
      <w:proofErr w:type="gramStart"/>
      <w:r w:rsidRPr="00CE6A11">
        <w:rPr>
          <w:rFonts w:ascii="Times New Roman" w:eastAsia="Times New Roman" w:hAnsi="Times New Roman"/>
          <w:sz w:val="24"/>
          <w:szCs w:val="24"/>
        </w:rPr>
        <w:t>pan</w:t>
      </w:r>
      <w:proofErr w:type="gramEnd"/>
      <w:r w:rsidRPr="00CE6A11">
        <w:rPr>
          <w:rFonts w:ascii="Times New Roman" w:eastAsia="Times New Roman" w:hAnsi="Times New Roman"/>
          <w:sz w:val="24"/>
          <w:szCs w:val="24"/>
        </w:rPr>
        <w:t xml:space="preserve"> in Engine 67; whether any firefighters made comments to accompany their cooking with pork suggestive of animus; whether Springs, in the moment, said anything to his coworkers to remind them of his dietary restrictions, </w:t>
      </w:r>
      <w:r w:rsidRPr="00CE6A11">
        <w:rPr>
          <w:rFonts w:ascii="Times New Roman" w:eastAsia="Times New Roman" w:hAnsi="Times New Roman"/>
          <w:i/>
          <w:iCs/>
          <w:sz w:val="24"/>
          <w:szCs w:val="24"/>
        </w:rPr>
        <w:t>see id</w:t>
      </w:r>
      <w:r w:rsidRPr="00CE6A11">
        <w:rPr>
          <w:rFonts w:ascii="Times New Roman" w:eastAsia="Times New Roman" w:hAnsi="Times New Roman"/>
          <w:sz w:val="24"/>
          <w:szCs w:val="24"/>
        </w:rPr>
        <w:t xml:space="preserve">. at ¶ 49 (noting that Springs had advised </w:t>
      </w:r>
      <w:r>
        <w:rPr>
          <w:rFonts w:ascii="Times New Roman" w:eastAsia="Times New Roman" w:hAnsi="Times New Roman"/>
          <w:sz w:val="24"/>
          <w:szCs w:val="24"/>
        </w:rPr>
        <w:t>‘</w:t>
      </w:r>
      <w:r w:rsidRPr="00CE6A11">
        <w:rPr>
          <w:rFonts w:ascii="Times New Roman" w:eastAsia="Times New Roman" w:hAnsi="Times New Roman"/>
          <w:sz w:val="24"/>
          <w:szCs w:val="24"/>
        </w:rPr>
        <w:t>all firefighters</w:t>
      </w:r>
      <w:r>
        <w:rPr>
          <w:rFonts w:ascii="Times New Roman" w:eastAsia="Times New Roman" w:hAnsi="Times New Roman"/>
          <w:sz w:val="24"/>
          <w:szCs w:val="24"/>
        </w:rPr>
        <w:t>’</w:t>
      </w:r>
      <w:r w:rsidRPr="00CE6A11">
        <w:rPr>
          <w:rFonts w:ascii="Times New Roman" w:eastAsia="Times New Roman" w:hAnsi="Times New Roman"/>
          <w:sz w:val="24"/>
          <w:szCs w:val="24"/>
        </w:rPr>
        <w:t xml:space="preserve"> that he was Muslim </w:t>
      </w:r>
      <w:r>
        <w:rPr>
          <w:rFonts w:ascii="Times New Roman" w:eastAsia="Times New Roman" w:hAnsi="Times New Roman"/>
          <w:sz w:val="24"/>
          <w:szCs w:val="24"/>
        </w:rPr>
        <w:t>‘</w:t>
      </w:r>
      <w:r w:rsidRPr="00CE6A11">
        <w:rPr>
          <w:rFonts w:ascii="Times New Roman" w:eastAsia="Times New Roman" w:hAnsi="Times New Roman"/>
          <w:i/>
          <w:iCs/>
          <w:sz w:val="24"/>
          <w:szCs w:val="24"/>
        </w:rPr>
        <w:t>[p]</w:t>
      </w:r>
      <w:proofErr w:type="spellStart"/>
      <w:r w:rsidRPr="00CE6A11">
        <w:rPr>
          <w:rFonts w:ascii="Times New Roman" w:eastAsia="Times New Roman" w:hAnsi="Times New Roman"/>
          <w:i/>
          <w:iCs/>
          <w:sz w:val="24"/>
          <w:szCs w:val="24"/>
        </w:rPr>
        <w:t>rior</w:t>
      </w:r>
      <w:proofErr w:type="spellEnd"/>
      <w:r w:rsidRPr="00CE6A11">
        <w:rPr>
          <w:rFonts w:ascii="Times New Roman" w:eastAsia="Times New Roman" w:hAnsi="Times New Roman"/>
          <w:i/>
          <w:iCs/>
          <w:sz w:val="24"/>
          <w:szCs w:val="24"/>
        </w:rPr>
        <w:t xml:space="preserve"> to</w:t>
      </w:r>
      <w:r w:rsidRPr="00CE6A11">
        <w:rPr>
          <w:rFonts w:ascii="Times New Roman" w:eastAsia="Times New Roman" w:hAnsi="Times New Roman"/>
          <w:sz w:val="24"/>
          <w:szCs w:val="24"/>
        </w:rPr>
        <w:t xml:space="preserve"> this meal</w:t>
      </w:r>
      <w:r>
        <w:rPr>
          <w:rFonts w:ascii="Times New Roman" w:eastAsia="Times New Roman" w:hAnsi="Times New Roman"/>
          <w:sz w:val="24"/>
          <w:szCs w:val="24"/>
        </w:rPr>
        <w:t>’</w:t>
      </w:r>
      <w:r w:rsidRPr="00CE6A11">
        <w:rPr>
          <w:rFonts w:ascii="Times New Roman" w:eastAsia="Times New Roman" w:hAnsi="Times New Roman"/>
          <w:sz w:val="24"/>
          <w:szCs w:val="24"/>
        </w:rPr>
        <w:t xml:space="preserve">) (emphasis added); or even whether Springs was present at the time the cooking took place. But even stretching to its limit the duty to read the FAC in the light that is most favorable to Springs, it seems that at worst he would have been required to clean this pan in order to cook in it </w:t>
      </w:r>
      <w:proofErr w:type="gramStart"/>
      <w:r w:rsidRPr="00CE6A11">
        <w:rPr>
          <w:rFonts w:ascii="Times New Roman" w:eastAsia="Times New Roman" w:hAnsi="Times New Roman"/>
          <w:sz w:val="24"/>
          <w:szCs w:val="24"/>
        </w:rPr>
        <w:t>himself, or</w:t>
      </w:r>
      <w:proofErr w:type="gramEnd"/>
      <w:r w:rsidRPr="00CE6A11">
        <w:rPr>
          <w:rFonts w:ascii="Times New Roman" w:eastAsia="Times New Roman" w:hAnsi="Times New Roman"/>
          <w:sz w:val="24"/>
          <w:szCs w:val="24"/>
        </w:rPr>
        <w:t xml:space="preserve"> perhaps would have been required to notify a superior in Engine 67 that, in the future, his</w:t>
      </w:r>
      <w:r>
        <w:rPr>
          <w:rFonts w:ascii="Times New Roman" w:eastAsia="Times New Roman" w:hAnsi="Times New Roman"/>
          <w:sz w:val="24"/>
          <w:szCs w:val="24"/>
        </w:rPr>
        <w:t xml:space="preserve"> </w:t>
      </w:r>
      <w:r w:rsidRPr="00CE6A11">
        <w:rPr>
          <w:rFonts w:ascii="Times New Roman" w:eastAsia="Times New Roman" w:hAnsi="Times New Roman"/>
          <w:sz w:val="24"/>
          <w:szCs w:val="24"/>
        </w:rPr>
        <w:t>meals would need to be prepared separately. Again, this incident may have been insensitive, but it did not impose anything more than a petty slight or inconvenience.</w:t>
      </w:r>
      <w:r>
        <w:rPr>
          <w:rFonts w:ascii="Times New Roman" w:eastAsia="Times New Roman" w:hAnsi="Times New Roman"/>
          <w:sz w:val="24"/>
          <w:szCs w:val="24"/>
        </w:rPr>
        <w:t>”</w:t>
      </w:r>
    </w:p>
    <w:p w14:paraId="4C6B8820" w14:textId="77777777" w:rsidR="007105B3" w:rsidRDefault="007105B3" w:rsidP="00DE0F03">
      <w:pPr>
        <w:rPr>
          <w:rFonts w:ascii="Arial Black" w:hAnsi="Arial Black"/>
          <w:b/>
          <w:sz w:val="24"/>
          <w:szCs w:val="24"/>
        </w:rPr>
      </w:pPr>
    </w:p>
    <w:p w14:paraId="05070AAD" w14:textId="77777777" w:rsidR="007105B3" w:rsidRDefault="007105B3" w:rsidP="00DE0F03">
      <w:pPr>
        <w:rPr>
          <w:rFonts w:ascii="Arial Black" w:hAnsi="Arial Black"/>
          <w:b/>
          <w:sz w:val="24"/>
          <w:szCs w:val="24"/>
        </w:rPr>
      </w:pPr>
    </w:p>
    <w:p w14:paraId="4C3DB92E" w14:textId="77777777" w:rsidR="007105B3" w:rsidRDefault="007105B3" w:rsidP="00DE0F03">
      <w:pPr>
        <w:rPr>
          <w:rFonts w:ascii="Arial Black" w:hAnsi="Arial Black"/>
          <w:b/>
          <w:sz w:val="24"/>
          <w:szCs w:val="24"/>
        </w:rPr>
      </w:pPr>
    </w:p>
    <w:p w14:paraId="789AB306" w14:textId="7A313150" w:rsidR="007105B3" w:rsidRDefault="007105B3" w:rsidP="00DE0F03">
      <w:pPr>
        <w:rPr>
          <w:rFonts w:ascii="Arial Black" w:hAnsi="Arial Black"/>
          <w:b/>
          <w:sz w:val="24"/>
          <w:szCs w:val="24"/>
        </w:rPr>
      </w:pPr>
      <w:r>
        <w:rPr>
          <w:rFonts w:ascii="Arial Black" w:hAnsi="Arial Black"/>
          <w:b/>
          <w:sz w:val="24"/>
          <w:szCs w:val="24"/>
        </w:rPr>
        <w:t>8-15</w:t>
      </w:r>
    </w:p>
    <w:p w14:paraId="091FC893" w14:textId="77777777" w:rsidR="007105B3" w:rsidRPr="005262A7" w:rsidRDefault="007105B3" w:rsidP="007105B3">
      <w:pPr>
        <w:pStyle w:val="NoSpacing"/>
        <w:rPr>
          <w:rFonts w:ascii="Arial Black" w:hAnsi="Arial Black"/>
          <w:sz w:val="28"/>
          <w:szCs w:val="28"/>
        </w:rPr>
      </w:pPr>
      <w:bookmarkStart w:id="322" w:name="_Hlk66948130"/>
      <w:r w:rsidRPr="005262A7">
        <w:rPr>
          <w:rFonts w:ascii="Arial Black" w:hAnsi="Arial Black"/>
          <w:sz w:val="28"/>
          <w:szCs w:val="28"/>
        </w:rPr>
        <w:t xml:space="preserve">TX: </w:t>
      </w:r>
      <w:r>
        <w:rPr>
          <w:rFonts w:ascii="Arial Black" w:hAnsi="Arial Black"/>
          <w:sz w:val="28"/>
          <w:szCs w:val="28"/>
        </w:rPr>
        <w:t xml:space="preserve">FEMALE, AFRICAN AMERICAN FF LAWSUIT FOR HOSTILE WORK ATMOSPHER – NOT FREQUENT, PERVASIVE  </w:t>
      </w:r>
    </w:p>
    <w:p w14:paraId="235E5EC2" w14:textId="77777777" w:rsidR="007105B3" w:rsidRPr="00DF6019" w:rsidRDefault="007105B3" w:rsidP="007105B3">
      <w:pPr>
        <w:spacing w:before="100" w:beforeAutospacing="1" w:after="100" w:afterAutospacing="1" w:line="240" w:lineRule="auto"/>
        <w:rPr>
          <w:rFonts w:ascii="Times New Roman" w:hAnsi="Times New Roman"/>
          <w:sz w:val="24"/>
          <w:szCs w:val="24"/>
        </w:rPr>
      </w:pPr>
      <w:r w:rsidRPr="005262A7">
        <w:rPr>
          <w:rFonts w:ascii="Times New Roman" w:hAnsi="Times New Roman"/>
          <w:sz w:val="24"/>
          <w:szCs w:val="24"/>
        </w:rPr>
        <w:t xml:space="preserve">On June 9, 2020, </w:t>
      </w:r>
      <w:r>
        <w:rPr>
          <w:rFonts w:ascii="Times New Roman" w:hAnsi="Times New Roman"/>
          <w:sz w:val="24"/>
          <w:szCs w:val="24"/>
        </w:rPr>
        <w:t xml:space="preserve">in </w:t>
      </w:r>
      <w:r w:rsidRPr="005262A7">
        <w:rPr>
          <w:rFonts w:ascii="Times New Roman" w:hAnsi="Times New Roman"/>
          <w:sz w:val="24"/>
          <w:szCs w:val="24"/>
          <w:u w:val="single"/>
        </w:rPr>
        <w:t>Carla West v. City of Houston, Texas</w:t>
      </w:r>
      <w:r>
        <w:rPr>
          <w:rFonts w:ascii="Times New Roman" w:hAnsi="Times New Roman"/>
          <w:sz w:val="24"/>
          <w:szCs w:val="24"/>
        </w:rPr>
        <w:t>, the U.S. Court of Appeals for the Fifth Circuit (New Orleans) held (3 to 0) that the U.S. District Court Judge properly granted summary judgment to the City. The Court wrote: “</w:t>
      </w:r>
      <w:r w:rsidRPr="00DF6019">
        <w:rPr>
          <w:rFonts w:ascii="Times New Roman" w:hAnsi="Times New Roman"/>
          <w:sz w:val="24"/>
          <w:szCs w:val="24"/>
        </w:rPr>
        <w:t>West seeks to impose Title VII liability on her employer because her coworkers passed gas at the dinner table; infrequently slept in their underwear at the station; made the occasional racially insensitive joke;</w:t>
      </w:r>
      <w:r>
        <w:rPr>
          <w:rFonts w:ascii="Times New Roman" w:hAnsi="Times New Roman"/>
          <w:sz w:val="24"/>
          <w:szCs w:val="24"/>
        </w:rPr>
        <w:t xml:space="preserve"> </w:t>
      </w:r>
      <w:r w:rsidRPr="00DF6019">
        <w:rPr>
          <w:rFonts w:ascii="Times New Roman" w:hAnsi="Times New Roman"/>
          <w:sz w:val="24"/>
          <w:szCs w:val="24"/>
        </w:rPr>
        <w:t>and brought adult magazines to the station. That is not severe or humiliating under the governing standards.</w:t>
      </w:r>
      <w:r>
        <w:rPr>
          <w:rFonts w:ascii="Times New Roman" w:hAnsi="Times New Roman"/>
          <w:sz w:val="24"/>
          <w:szCs w:val="24"/>
        </w:rPr>
        <w:t>”</w:t>
      </w:r>
      <w:r w:rsidRPr="00DF6019">
        <w:t xml:space="preserve"> </w:t>
      </w:r>
      <w:hyperlink r:id="rId1654" w:history="1">
        <w:r w:rsidRPr="005B0C9C">
          <w:rPr>
            <w:rStyle w:val="Hyperlink"/>
            <w:rFonts w:ascii="Times New Roman" w:hAnsi="Times New Roman"/>
            <w:sz w:val="24"/>
            <w:szCs w:val="24"/>
          </w:rPr>
          <w:t>http://www.ca5.uscourts.gov/opinions/pub/19/19-20294-CV0.pdf</w:t>
        </w:r>
      </w:hyperlink>
      <w:r>
        <w:rPr>
          <w:rFonts w:ascii="Times New Roman" w:hAnsi="Times New Roman"/>
          <w:sz w:val="24"/>
          <w:szCs w:val="24"/>
        </w:rPr>
        <w:t xml:space="preserve"> </w:t>
      </w:r>
    </w:p>
    <w:p w14:paraId="1069D835" w14:textId="77777777" w:rsidR="007105B3" w:rsidRDefault="007105B3" w:rsidP="007105B3">
      <w:pPr>
        <w:pStyle w:val="NoSpacing"/>
        <w:tabs>
          <w:tab w:val="left" w:pos="3180"/>
        </w:tabs>
        <w:rPr>
          <w:rFonts w:ascii="Times New Roman" w:hAnsi="Times New Roman"/>
          <w:b/>
          <w:bCs/>
          <w:sz w:val="24"/>
          <w:szCs w:val="24"/>
        </w:rPr>
      </w:pPr>
      <w:r w:rsidRPr="00DF6019">
        <w:rPr>
          <w:rFonts w:ascii="Times New Roman" w:hAnsi="Times New Roman"/>
          <w:b/>
          <w:bCs/>
          <w:sz w:val="24"/>
          <w:szCs w:val="24"/>
        </w:rPr>
        <w:t>Legal Lessons Learned:</w:t>
      </w:r>
      <w:r>
        <w:rPr>
          <w:rFonts w:ascii="Times New Roman" w:hAnsi="Times New Roman"/>
          <w:b/>
          <w:bCs/>
          <w:sz w:val="24"/>
          <w:szCs w:val="24"/>
        </w:rPr>
        <w:t xml:space="preserve"> Hostile work atmosphere requires proof of “severe or humiliating” atmosphere.  </w:t>
      </w:r>
    </w:p>
    <w:bookmarkEnd w:id="322"/>
    <w:p w14:paraId="479820B3" w14:textId="77777777" w:rsidR="007105B3" w:rsidRPr="00DF6019" w:rsidRDefault="007105B3" w:rsidP="007105B3">
      <w:pPr>
        <w:pStyle w:val="NoSpacing"/>
        <w:tabs>
          <w:tab w:val="left" w:pos="3180"/>
        </w:tabs>
        <w:rPr>
          <w:rFonts w:ascii="Times New Roman" w:hAnsi="Times New Roman"/>
          <w:sz w:val="24"/>
          <w:szCs w:val="24"/>
        </w:rPr>
      </w:pPr>
    </w:p>
    <w:p w14:paraId="322B5CC1" w14:textId="77777777" w:rsidR="007105B3" w:rsidRDefault="007105B3" w:rsidP="007105B3">
      <w:pPr>
        <w:pStyle w:val="NoSpacing"/>
        <w:ind w:left="720"/>
        <w:rPr>
          <w:rFonts w:ascii="Times New Roman" w:hAnsi="Times New Roman"/>
          <w:sz w:val="24"/>
          <w:szCs w:val="24"/>
        </w:rPr>
      </w:pPr>
      <w:r w:rsidRPr="00DF6019">
        <w:rPr>
          <w:rFonts w:ascii="Times New Roman" w:hAnsi="Times New Roman"/>
          <w:sz w:val="24"/>
          <w:szCs w:val="24"/>
        </w:rPr>
        <w:t xml:space="preserve">Note:  The U.S. Supreme Court in </w:t>
      </w:r>
      <w:r w:rsidRPr="00DF6019">
        <w:rPr>
          <w:rFonts w:ascii="Times New Roman" w:hAnsi="Times New Roman"/>
          <w:sz w:val="24"/>
          <w:szCs w:val="24"/>
          <w:u w:val="single"/>
        </w:rPr>
        <w:t>Faragher v. City of Boca Raton</w:t>
      </w:r>
      <w:r w:rsidRPr="00DF6019">
        <w:rPr>
          <w:rFonts w:ascii="Times New Roman" w:hAnsi="Times New Roman"/>
          <w:sz w:val="24"/>
          <w:szCs w:val="24"/>
        </w:rPr>
        <w:t>, 524 U.S. 775 (1998) made it clear that Title VII of the Civil Rights Act of 1964 does not impose a “general civility code” on employers. Faragher, 524 U.S. at 788 (quoting Oncale, 523 U.S. at 80).</w:t>
      </w:r>
      <w:r w:rsidRPr="00DF6019">
        <w:rPr>
          <w:rFonts w:ascii="Times New Roman" w:hAnsi="Times New Roman"/>
          <w:sz w:val="24"/>
          <w:szCs w:val="24"/>
        </w:rPr>
        <w:tab/>
      </w:r>
    </w:p>
    <w:p w14:paraId="73E3DA9B" w14:textId="77777777" w:rsidR="007105B3" w:rsidRDefault="007105B3" w:rsidP="00DE0F03">
      <w:pPr>
        <w:rPr>
          <w:rFonts w:ascii="Arial Black" w:hAnsi="Arial Black"/>
          <w:b/>
          <w:sz w:val="24"/>
          <w:szCs w:val="24"/>
        </w:rPr>
      </w:pPr>
    </w:p>
    <w:p w14:paraId="30343800" w14:textId="77777777" w:rsidR="007105B3" w:rsidRDefault="007105B3" w:rsidP="00DE0F03">
      <w:pPr>
        <w:rPr>
          <w:rFonts w:ascii="Arial Black" w:hAnsi="Arial Black"/>
          <w:b/>
          <w:sz w:val="24"/>
          <w:szCs w:val="24"/>
        </w:rPr>
      </w:pPr>
    </w:p>
    <w:p w14:paraId="002E08E5" w14:textId="074654EA" w:rsidR="002147DA" w:rsidRDefault="002147DA"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4</w:t>
      </w:r>
    </w:p>
    <w:p w14:paraId="7D904459" w14:textId="77777777" w:rsidR="002147DA" w:rsidRPr="00746077" w:rsidRDefault="002147DA" w:rsidP="002147DA">
      <w:pPr>
        <w:pStyle w:val="NoSpacing"/>
        <w:rPr>
          <w:rFonts w:ascii="Arial Black" w:hAnsi="Arial Black"/>
          <w:b/>
          <w:bCs/>
          <w:sz w:val="28"/>
          <w:szCs w:val="28"/>
        </w:rPr>
      </w:pPr>
      <w:r w:rsidRPr="00746077">
        <w:rPr>
          <w:rFonts w:ascii="Arial Black" w:hAnsi="Arial Black"/>
          <w:bCs/>
          <w:sz w:val="28"/>
          <w:szCs w:val="28"/>
        </w:rPr>
        <w:t>NY:</w:t>
      </w:r>
      <w:r>
        <w:rPr>
          <w:rFonts w:ascii="Arial Black" w:hAnsi="Arial Black"/>
          <w:bCs/>
          <w:sz w:val="28"/>
          <w:szCs w:val="28"/>
        </w:rPr>
        <w:t xml:space="preserve"> FDNY – FF NOT PROMOTED (2015) – ALLEGED RETALIATION FOR EEOC CHARGE (2012) – DISMISSED</w:t>
      </w:r>
    </w:p>
    <w:p w14:paraId="229AF3C2" w14:textId="77777777" w:rsidR="002147DA" w:rsidRDefault="002147DA" w:rsidP="002147DA">
      <w:pPr>
        <w:pStyle w:val="NoSpacing"/>
        <w:rPr>
          <w:b/>
          <w:bCs/>
          <w:sz w:val="24"/>
          <w:szCs w:val="24"/>
        </w:rPr>
      </w:pPr>
    </w:p>
    <w:p w14:paraId="2D8622D5"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 xml:space="preserve">George Ful </w:t>
      </w:r>
      <w:proofErr w:type="spellStart"/>
      <w:r w:rsidRPr="00AE3A49">
        <w:rPr>
          <w:rFonts w:ascii="Times New Roman" w:hAnsi="Times New Roman"/>
          <w:bCs/>
          <w:sz w:val="24"/>
          <w:szCs w:val="24"/>
          <w:u w:val="single"/>
        </w:rPr>
        <w:t>Ninying</w:t>
      </w:r>
      <w:proofErr w:type="spellEnd"/>
      <w:r w:rsidRPr="00AE3A49">
        <w:rPr>
          <w:rFonts w:ascii="Times New Roman" w:hAnsi="Times New Roman"/>
          <w:bCs/>
          <w:sz w:val="24"/>
          <w:szCs w:val="24"/>
          <w:u w:val="single"/>
        </w:rPr>
        <w:t xml:space="preserve"> v. New York City Fire Department</w:t>
      </w:r>
      <w:r w:rsidRPr="00AE3A49">
        <w:rPr>
          <w:rFonts w:ascii="Times New Roman" w:hAnsi="Times New Roman"/>
          <w:bCs/>
          <w:sz w:val="24"/>
          <w:szCs w:val="24"/>
        </w:rPr>
        <w:t xml:space="preserve">, the U.S. Court of Appeals for the Second Circuit (New York City), held (3 to 0) in a Summary Order that the U.S. District Court judge had properly granted summary judgment to the City.   Plaintiff filed suit </w:t>
      </w:r>
      <w:r w:rsidRPr="00AE3A49">
        <w:rPr>
          <w:rFonts w:ascii="Times New Roman" w:hAnsi="Times New Roman"/>
          <w:bCs/>
          <w:i/>
          <w:iCs/>
          <w:sz w:val="24"/>
          <w:szCs w:val="24"/>
        </w:rPr>
        <w:t xml:space="preserve">pro se </w:t>
      </w:r>
      <w:r w:rsidRPr="00AE3A49">
        <w:rPr>
          <w:rFonts w:ascii="Times New Roman" w:hAnsi="Times New Roman"/>
          <w:bCs/>
          <w:sz w:val="24"/>
          <w:szCs w:val="24"/>
        </w:rPr>
        <w:t xml:space="preserve">(represented himself without an attorney in both trial court and on appeal).  Court of Appeals agreed with District Court judge, that plaintiff failed to allege facts to show that he would have been promoted in 2015, “but for” his having filed an EEOC complaint in 2012, and there was alleged facts support his claim of race discrimination because his wife is </w:t>
      </w:r>
      <w:proofErr w:type="gramStart"/>
      <w:r w:rsidRPr="00AE3A49">
        <w:rPr>
          <w:rFonts w:ascii="Times New Roman" w:hAnsi="Times New Roman"/>
          <w:bCs/>
          <w:sz w:val="24"/>
          <w:szCs w:val="24"/>
        </w:rPr>
        <w:t>African-American</w:t>
      </w:r>
      <w:proofErr w:type="gramEnd"/>
      <w:r w:rsidRPr="00AE3A49">
        <w:rPr>
          <w:rFonts w:ascii="Times New Roman" w:hAnsi="Times New Roman"/>
          <w:bCs/>
          <w:sz w:val="24"/>
          <w:szCs w:val="24"/>
        </w:rPr>
        <w:t xml:space="preserve"> and he is “Black Minority.”</w:t>
      </w:r>
    </w:p>
    <w:p w14:paraId="0DF3188D" w14:textId="77777777" w:rsidR="002147DA" w:rsidRPr="00AE3A49" w:rsidRDefault="002147DA" w:rsidP="002147DA">
      <w:pPr>
        <w:pStyle w:val="NoSpacing"/>
        <w:rPr>
          <w:rFonts w:ascii="Times New Roman" w:hAnsi="Times New Roman"/>
          <w:b/>
          <w:bCs/>
          <w:sz w:val="24"/>
          <w:szCs w:val="24"/>
        </w:rPr>
      </w:pPr>
    </w:p>
    <w:p w14:paraId="41F0B5A6" w14:textId="77777777" w:rsidR="002147DA" w:rsidRDefault="002147DA" w:rsidP="002147DA">
      <w:pPr>
        <w:pStyle w:val="NoSpacing"/>
        <w:ind w:left="720"/>
        <w:rPr>
          <w:rFonts w:ascii="Times New Roman" w:hAnsi="Times New Roman"/>
          <w:bCs/>
          <w:sz w:val="24"/>
          <w:szCs w:val="24"/>
        </w:rPr>
      </w:pPr>
      <w:r w:rsidRPr="00AE3A49">
        <w:rPr>
          <w:rFonts w:ascii="Times New Roman" w:hAnsi="Times New Roman"/>
          <w:bCs/>
          <w:sz w:val="24"/>
          <w:szCs w:val="24"/>
        </w:rPr>
        <w:t xml:space="preserve">“In order to plead a prima facie claim of retaliation under both Title VII and the ADEA, a plaintiff must allege that (1) he participated in a protected activity; (2) the employer knew of his protected activity; (3) he was subjected to an adverse employment action; and (4) there was a causal connection between the participation in the protected activity and the adverse employment action…. Here, too, </w:t>
      </w:r>
      <w:proofErr w:type="spellStart"/>
      <w:r w:rsidRPr="00AE3A49">
        <w:rPr>
          <w:rFonts w:ascii="Times New Roman" w:hAnsi="Times New Roman"/>
          <w:bCs/>
          <w:sz w:val="24"/>
          <w:szCs w:val="24"/>
        </w:rPr>
        <w:t>Ninying’s</w:t>
      </w:r>
      <w:proofErr w:type="spellEnd"/>
      <w:r w:rsidRPr="00AE3A49">
        <w:rPr>
          <w:rFonts w:ascii="Times New Roman" w:hAnsi="Times New Roman"/>
          <w:bCs/>
          <w:sz w:val="24"/>
          <w:szCs w:val="24"/>
        </w:rPr>
        <w:t xml:space="preserve"> conclusory</w:t>
      </w:r>
    </w:p>
    <w:p w14:paraId="4A757393" w14:textId="77777777" w:rsidR="002147DA" w:rsidRPr="00AE3A49" w:rsidRDefault="002147DA" w:rsidP="002147DA">
      <w:pPr>
        <w:pStyle w:val="NoSpacing"/>
        <w:ind w:left="720"/>
        <w:rPr>
          <w:rFonts w:ascii="Times New Roman" w:hAnsi="Times New Roman"/>
          <w:b/>
          <w:bCs/>
          <w:sz w:val="24"/>
          <w:szCs w:val="24"/>
        </w:rPr>
      </w:pPr>
      <w:r w:rsidRPr="00AE3A49">
        <w:rPr>
          <w:rFonts w:ascii="Times New Roman" w:hAnsi="Times New Roman"/>
          <w:bCs/>
          <w:sz w:val="24"/>
          <w:szCs w:val="24"/>
        </w:rPr>
        <w:t xml:space="preserve">allegation fails to state a retaliation claim under either the ADEA or Title VII, both of which required him to allege that his protected activity was the but-for cause of the adverse employment action. See Univ. of Tex. Sw. Med. Ctr. v. Nassar, 570 US. 338, 360, 362–63 (2013) (holding that unlike other Title VII claims, Title VII retaliation claims must be proved according to ‘traditional principles’ of but-for causation). Nor did </w:t>
      </w:r>
      <w:proofErr w:type="spellStart"/>
      <w:r w:rsidRPr="00AE3A49">
        <w:rPr>
          <w:rFonts w:ascii="Times New Roman" w:hAnsi="Times New Roman"/>
          <w:bCs/>
          <w:sz w:val="24"/>
          <w:szCs w:val="24"/>
        </w:rPr>
        <w:t>Ninying’s</w:t>
      </w:r>
      <w:proofErr w:type="spellEnd"/>
      <w:r w:rsidRPr="00AE3A49">
        <w:rPr>
          <w:rFonts w:ascii="Times New Roman" w:hAnsi="Times New Roman"/>
          <w:bCs/>
          <w:sz w:val="24"/>
          <w:szCs w:val="24"/>
        </w:rPr>
        <w:t xml:space="preserve"> allegation that he was retaliated against in 2015 for filing a 2012 EEOC complaint allege the requisite causation.”</w:t>
      </w:r>
    </w:p>
    <w:p w14:paraId="16DFB92E" w14:textId="77777777" w:rsidR="002147DA" w:rsidRPr="00AE3A49" w:rsidRDefault="002147DA" w:rsidP="002147DA">
      <w:pPr>
        <w:pStyle w:val="NoSpacing"/>
        <w:ind w:left="720"/>
        <w:rPr>
          <w:rFonts w:ascii="Times New Roman" w:eastAsia="Times New Roman" w:hAnsi="Times New Roman"/>
          <w:b/>
          <w:bCs/>
          <w:sz w:val="24"/>
          <w:szCs w:val="24"/>
        </w:rPr>
      </w:pPr>
      <w:hyperlink r:id="rId1655" w:anchor="xml=http://www.ca2.uscourts.gov/decisions/isysquery/83382276-eb3d-4d56-b5fe-4596b6d0f64b/1/hilite/" w:history="1">
        <w:r w:rsidRPr="00AE3A49">
          <w:rPr>
            <w:rStyle w:val="Hyperlink"/>
            <w:rFonts w:ascii="Times New Roman" w:hAnsi="Times New Roman"/>
            <w:b/>
            <w:sz w:val="24"/>
            <w:szCs w:val="24"/>
          </w:rPr>
          <w:t>http://www.ca2.uscourts.gov/decisions/isysquery/83382276-eb3d-4d56-b5fe-4596b6d0f64b/1/doc/19-1265_so.pdf#xml=http://www.ca2.uscourts.gov/decisions/isysquery/83382276-eb3d-4d56-b5fe-4596b6d0f64b/1/hilite/</w:t>
        </w:r>
      </w:hyperlink>
      <w:r w:rsidRPr="00AE3A49">
        <w:rPr>
          <w:rFonts w:ascii="Times New Roman" w:hAnsi="Times New Roman"/>
          <w:bCs/>
          <w:sz w:val="24"/>
          <w:szCs w:val="24"/>
        </w:rPr>
        <w:t xml:space="preserve"> </w:t>
      </w:r>
    </w:p>
    <w:p w14:paraId="1D379888" w14:textId="4C635AC2" w:rsidR="002147DA" w:rsidRDefault="002147DA" w:rsidP="00DE0F03">
      <w:pPr>
        <w:rPr>
          <w:rFonts w:ascii="Arial Black" w:hAnsi="Arial Black"/>
          <w:b/>
          <w:sz w:val="24"/>
          <w:szCs w:val="24"/>
        </w:rPr>
      </w:pPr>
    </w:p>
    <w:p w14:paraId="2BD0CAFF"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Plaintiff also alleged race discrimination based on his wife’s race, and that he is a “Black Minority.” </w:t>
      </w:r>
    </w:p>
    <w:p w14:paraId="04086C7C" w14:textId="77777777" w:rsidR="002147DA" w:rsidRPr="00AE3A49" w:rsidRDefault="002147DA" w:rsidP="002147DA">
      <w:pPr>
        <w:pStyle w:val="NoSpacing"/>
        <w:ind w:left="720"/>
        <w:rPr>
          <w:rFonts w:ascii="Times New Roman" w:hAnsi="Times New Roman"/>
          <w:sz w:val="24"/>
          <w:szCs w:val="24"/>
        </w:rPr>
      </w:pPr>
    </w:p>
    <w:p w14:paraId="52368E56" w14:textId="77777777" w:rsidR="002147DA" w:rsidRPr="00AE3A49" w:rsidRDefault="002147DA" w:rsidP="002147DA">
      <w:pPr>
        <w:pStyle w:val="NoSpacing"/>
        <w:ind w:left="1440"/>
        <w:rPr>
          <w:rFonts w:ascii="Times New Roman" w:hAnsi="Times New Roman"/>
          <w:b/>
          <w:bCs/>
          <w:sz w:val="24"/>
          <w:szCs w:val="24"/>
        </w:rPr>
      </w:pPr>
      <w:r w:rsidRPr="00AE3A49">
        <w:rPr>
          <w:rFonts w:ascii="Times New Roman" w:hAnsi="Times New Roman"/>
          <w:bCs/>
          <w:sz w:val="24"/>
          <w:szCs w:val="24"/>
        </w:rPr>
        <w:t>Note:</w:t>
      </w:r>
      <w:r w:rsidRPr="00AE3A49">
        <w:rPr>
          <w:rFonts w:ascii="Times New Roman" w:hAnsi="Times New Roman"/>
          <w:sz w:val="24"/>
          <w:szCs w:val="24"/>
        </w:rPr>
        <w:t xml:space="preserve"> </w:t>
      </w:r>
      <w:r w:rsidRPr="00AE3A49">
        <w:rPr>
          <w:rFonts w:ascii="Times New Roman" w:hAnsi="Times New Roman"/>
          <w:bCs/>
          <w:sz w:val="24"/>
          <w:szCs w:val="24"/>
        </w:rPr>
        <w:t>Court wrote:</w:t>
      </w:r>
      <w:r w:rsidRPr="00AE3A49">
        <w:rPr>
          <w:rFonts w:ascii="Times New Roman" w:hAnsi="Times New Roman"/>
          <w:sz w:val="24"/>
          <w:szCs w:val="24"/>
        </w:rPr>
        <w:t xml:space="preserve"> “</w:t>
      </w:r>
      <w:proofErr w:type="spellStart"/>
      <w:r w:rsidRPr="00AE3A49">
        <w:rPr>
          <w:rFonts w:ascii="Times New Roman" w:hAnsi="Times New Roman"/>
          <w:bCs/>
          <w:sz w:val="24"/>
          <w:szCs w:val="24"/>
        </w:rPr>
        <w:t>Ninying</w:t>
      </w:r>
      <w:proofErr w:type="spellEnd"/>
      <w:r w:rsidRPr="00AE3A49">
        <w:rPr>
          <w:rFonts w:ascii="Times New Roman" w:hAnsi="Times New Roman"/>
          <w:bCs/>
          <w:sz w:val="24"/>
          <w:szCs w:val="24"/>
        </w:rPr>
        <w:t xml:space="preserve"> asserts that he was discriminated against because his wife is African American and he is a ‘Black Minority,’ but he does not allege any facts relating his protected status to his failure to be promoted….  And though </w:t>
      </w:r>
      <w:proofErr w:type="spellStart"/>
      <w:r w:rsidRPr="00AE3A49">
        <w:rPr>
          <w:rFonts w:ascii="Times New Roman" w:hAnsi="Times New Roman"/>
          <w:bCs/>
          <w:sz w:val="24"/>
          <w:szCs w:val="24"/>
        </w:rPr>
        <w:t>Ninying</w:t>
      </w:r>
      <w:proofErr w:type="spellEnd"/>
      <w:r w:rsidRPr="00AE3A49">
        <w:rPr>
          <w:rFonts w:ascii="Times New Roman" w:hAnsi="Times New Roman"/>
          <w:bCs/>
          <w:sz w:val="24"/>
          <w:szCs w:val="24"/>
        </w:rPr>
        <w:t xml:space="preserve"> alleges that he is fluent in French because of his national origin, he has neither identified his national origin nor alleged that he faced discrimination because of it.”</w:t>
      </w:r>
    </w:p>
    <w:p w14:paraId="11FF696A" w14:textId="77777777" w:rsidR="002147DA" w:rsidRPr="00AE3A49" w:rsidRDefault="002147DA" w:rsidP="002147DA">
      <w:pPr>
        <w:pStyle w:val="NoSpacing"/>
        <w:rPr>
          <w:rFonts w:ascii="Times New Roman" w:hAnsi="Times New Roman"/>
          <w:sz w:val="24"/>
          <w:szCs w:val="24"/>
        </w:rPr>
      </w:pPr>
    </w:p>
    <w:p w14:paraId="1A9D9E5B" w14:textId="77777777" w:rsidR="002147DA" w:rsidRDefault="002147DA" w:rsidP="00DE0F03">
      <w:pPr>
        <w:rPr>
          <w:rFonts w:ascii="Arial Black" w:hAnsi="Arial Black"/>
          <w:b/>
          <w:sz w:val="24"/>
          <w:szCs w:val="24"/>
        </w:rPr>
      </w:pPr>
    </w:p>
    <w:p w14:paraId="0EE7A1E6" w14:textId="77777777" w:rsidR="002147DA" w:rsidRDefault="002147DA" w:rsidP="00DE0F03">
      <w:pPr>
        <w:rPr>
          <w:rFonts w:ascii="Arial Black" w:hAnsi="Arial Black"/>
          <w:b/>
          <w:sz w:val="24"/>
          <w:szCs w:val="24"/>
        </w:rPr>
      </w:pPr>
    </w:p>
    <w:p w14:paraId="55FF21E3" w14:textId="45961FFC" w:rsidR="007540BD" w:rsidRDefault="0066298F"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3</w:t>
      </w:r>
    </w:p>
    <w:p w14:paraId="79365E88" w14:textId="77777777" w:rsidR="0066298F" w:rsidRDefault="0066298F" w:rsidP="0066298F">
      <w:pPr>
        <w:pStyle w:val="NoSpacing"/>
        <w:rPr>
          <w:rFonts w:ascii="Arial Black" w:hAnsi="Arial Black" w:cs="Arial"/>
          <w:sz w:val="28"/>
          <w:szCs w:val="28"/>
        </w:rPr>
      </w:pPr>
      <w:bookmarkStart w:id="323" w:name="_Hlk39764972"/>
      <w:r w:rsidRPr="00F2368F">
        <w:rPr>
          <w:rFonts w:ascii="Arial Black" w:hAnsi="Arial Black"/>
          <w:sz w:val="28"/>
          <w:szCs w:val="28"/>
        </w:rPr>
        <w:t xml:space="preserve">FL: </w:t>
      </w:r>
      <w:r>
        <w:rPr>
          <w:rFonts w:ascii="Arial Black" w:hAnsi="Arial Black"/>
          <w:sz w:val="28"/>
          <w:szCs w:val="28"/>
        </w:rPr>
        <w:t xml:space="preserve"> FIRED LT. SETTLEMENT – REHIRED, BUT NOT TO TRAINING DIV. – RETIREMENT $ NOT REPAID – $36,663 JURY VERDICT SET ASIDE</w:t>
      </w:r>
    </w:p>
    <w:p w14:paraId="35D57268" w14:textId="77777777" w:rsidR="0066298F" w:rsidRDefault="0066298F" w:rsidP="0066298F">
      <w:pPr>
        <w:pStyle w:val="NoSpacing"/>
        <w:rPr>
          <w:rFonts w:ascii="Arial Black" w:hAnsi="Arial Black" w:cs="Arial"/>
          <w:sz w:val="28"/>
          <w:szCs w:val="28"/>
        </w:rPr>
      </w:pPr>
    </w:p>
    <w:p w14:paraId="5892C1F1"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27, 2020, in </w:t>
      </w:r>
      <w:r w:rsidRPr="00665BD0">
        <w:rPr>
          <w:rFonts w:ascii="Times New Roman" w:hAnsi="Times New Roman"/>
          <w:bCs/>
          <w:sz w:val="24"/>
          <w:szCs w:val="24"/>
          <w:u w:val="single"/>
        </w:rPr>
        <w:t>Orange County, FL v. Stacey Mclean</w:t>
      </w:r>
      <w:r w:rsidRPr="00665BD0">
        <w:rPr>
          <w:rFonts w:ascii="Times New Roman" w:hAnsi="Times New Roman"/>
          <w:bCs/>
          <w:sz w:val="24"/>
          <w:szCs w:val="24"/>
        </w:rPr>
        <w:t xml:space="preserve">, the District Court of Appeal of the State of Florida, Fifth District, held (3 to 0) that trial judge should have granted county’s motion for a directed verdict and set aside the jury’s verdict. Internal investigation in 2013 of improper recording hours worked – 56 disciplined; in 2014, County fired 3 </w:t>
      </w:r>
      <w:proofErr w:type="gramStart"/>
      <w:r w:rsidRPr="00665BD0">
        <w:rPr>
          <w:rFonts w:ascii="Times New Roman" w:hAnsi="Times New Roman"/>
          <w:bCs/>
          <w:sz w:val="24"/>
          <w:szCs w:val="24"/>
        </w:rPr>
        <w:t>African-American</w:t>
      </w:r>
      <w:proofErr w:type="gramEnd"/>
      <w:r w:rsidRPr="00665BD0">
        <w:rPr>
          <w:rFonts w:ascii="Times New Roman" w:hAnsi="Times New Roman"/>
          <w:bCs/>
          <w:sz w:val="24"/>
          <w:szCs w:val="24"/>
        </w:rPr>
        <w:t xml:space="preserve"> males, including Plaintiff (Lt. in Training Division). He sued in 2015 for race discrimination; County settled lawsuit, returned him to work [but no openings in Training Division] and paid him back wages.  State Board of Administration [retirement fund] ordered him to re-pay retirement funds he withdrew in 2014; he refused and </w:t>
      </w:r>
      <w:proofErr w:type="gramStart"/>
      <w:r w:rsidRPr="00665BD0">
        <w:rPr>
          <w:rFonts w:ascii="Times New Roman" w:hAnsi="Times New Roman"/>
          <w:bCs/>
          <w:sz w:val="24"/>
          <w:szCs w:val="24"/>
        </w:rPr>
        <w:t>was</w:t>
      </w:r>
      <w:proofErr w:type="gramEnd"/>
      <w:r w:rsidRPr="00665BD0">
        <w:rPr>
          <w:rFonts w:ascii="Times New Roman" w:hAnsi="Times New Roman"/>
          <w:bCs/>
          <w:sz w:val="24"/>
          <w:szCs w:val="24"/>
        </w:rPr>
        <w:t xml:space="preserve"> forced him to retire or FD would be dropped from the retirement fund.  He sued and jury awarded him $36,663.  </w:t>
      </w:r>
    </w:p>
    <w:p w14:paraId="1127234E" w14:textId="77777777" w:rsidR="0066298F" w:rsidRPr="00665BD0" w:rsidRDefault="0066298F" w:rsidP="0066298F">
      <w:pPr>
        <w:pStyle w:val="NoSpacing"/>
        <w:rPr>
          <w:rFonts w:ascii="Times New Roman" w:hAnsi="Times New Roman"/>
          <w:b/>
          <w:bCs/>
          <w:sz w:val="24"/>
          <w:szCs w:val="24"/>
        </w:rPr>
      </w:pPr>
    </w:p>
    <w:p w14:paraId="25821844"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“Here, the trial evidence established that the County met its burden. The County showed that it had a legitimate reason to comply with the SBA’s order when it required McLean to retire after he failed to reimburse his FRS account </w:t>
      </w:r>
      <w:proofErr w:type="gramStart"/>
      <w:r w:rsidRPr="00665BD0">
        <w:rPr>
          <w:rFonts w:ascii="Times New Roman" w:hAnsi="Times New Roman"/>
          <w:bCs/>
          <w:sz w:val="24"/>
          <w:szCs w:val="24"/>
        </w:rPr>
        <w:t>so as to</w:t>
      </w:r>
      <w:proofErr w:type="gramEnd"/>
      <w:r w:rsidRPr="00665BD0">
        <w:rPr>
          <w:rFonts w:ascii="Times New Roman" w:hAnsi="Times New Roman"/>
          <w:bCs/>
          <w:sz w:val="24"/>
          <w:szCs w:val="24"/>
        </w:rPr>
        <w:t xml:space="preserve"> not jeopardize its own continued participation in the FRS. Second, the County demonstrated that there were no vacancies or openings in the Training Division at the time McLean was reinstated.</w:t>
      </w:r>
    </w:p>
    <w:p w14:paraId="0AE9B3A3" w14:textId="77777777" w:rsidR="0066298F" w:rsidRPr="00665BD0" w:rsidRDefault="0066298F" w:rsidP="0066298F">
      <w:pPr>
        <w:pStyle w:val="NoSpacing"/>
        <w:ind w:left="720"/>
        <w:rPr>
          <w:rFonts w:ascii="Times New Roman" w:hAnsi="Times New Roman"/>
          <w:b/>
          <w:bCs/>
          <w:sz w:val="24"/>
          <w:szCs w:val="24"/>
        </w:rPr>
      </w:pPr>
    </w:p>
    <w:p w14:paraId="429D19E7"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w:t>
      </w:r>
    </w:p>
    <w:p w14:paraId="1FF79AC5"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McLean’s explanation that he expected to return to the Training Division, despite the County having no obligation under the settlement agreement to do so, without more, did not rise to an evidentiary level to allow the jury to decide whether the County’s reason here was pretextual.”</w:t>
      </w:r>
    </w:p>
    <w:p w14:paraId="527080A2" w14:textId="53CD9915" w:rsidR="0066298F" w:rsidRDefault="0066298F" w:rsidP="0066298F">
      <w:pPr>
        <w:rPr>
          <w:rStyle w:val="Hyperlink"/>
          <w:rFonts w:ascii="Times New Roman" w:hAnsi="Times New Roman"/>
          <w:b/>
          <w:sz w:val="24"/>
          <w:szCs w:val="24"/>
        </w:rPr>
      </w:pPr>
      <w:hyperlink r:id="rId1656" w:history="1">
        <w:r w:rsidRPr="00665BD0">
          <w:rPr>
            <w:rStyle w:val="Hyperlink"/>
            <w:rFonts w:ascii="Times New Roman" w:hAnsi="Times New Roman"/>
            <w:b/>
            <w:sz w:val="24"/>
            <w:szCs w:val="24"/>
          </w:rPr>
          <w:t>https://www.5dca.org/content/download/632688/7189187/file/183494_DC13_03272020_081652_i.pdf</w:t>
        </w:r>
      </w:hyperlink>
    </w:p>
    <w:p w14:paraId="577A308E" w14:textId="77777777" w:rsidR="0066298F" w:rsidRPr="00665BD0" w:rsidRDefault="0066298F" w:rsidP="0066298F">
      <w:pPr>
        <w:pStyle w:val="NoSpacing"/>
        <w:rPr>
          <w:rFonts w:ascii="Times New Roman" w:hAnsi="Times New Roman"/>
          <w:b/>
          <w:bCs/>
          <w:sz w:val="24"/>
          <w:szCs w:val="24"/>
        </w:rPr>
      </w:pPr>
      <w:bookmarkStart w:id="324" w:name="_Hlk40511406"/>
      <w:bookmarkEnd w:id="323"/>
      <w:r w:rsidRPr="00665BD0">
        <w:rPr>
          <w:rFonts w:ascii="Times New Roman" w:hAnsi="Times New Roman"/>
          <w:b/>
          <w:bCs/>
          <w:sz w:val="24"/>
          <w:szCs w:val="24"/>
        </w:rPr>
        <w:t xml:space="preserve">Legal Lesson Learned: When negotiating a return-to-work agreement, </w:t>
      </w:r>
      <w:r>
        <w:rPr>
          <w:rFonts w:ascii="Times New Roman" w:hAnsi="Times New Roman"/>
          <w:b/>
          <w:bCs/>
          <w:sz w:val="24"/>
          <w:szCs w:val="24"/>
        </w:rPr>
        <w:t xml:space="preserve">consider </w:t>
      </w:r>
      <w:r w:rsidRPr="00665BD0">
        <w:rPr>
          <w:rFonts w:ascii="Times New Roman" w:hAnsi="Times New Roman"/>
          <w:b/>
          <w:bCs/>
          <w:sz w:val="24"/>
          <w:szCs w:val="24"/>
        </w:rPr>
        <w:t>includ</w:t>
      </w:r>
      <w:r>
        <w:rPr>
          <w:rFonts w:ascii="Times New Roman" w:hAnsi="Times New Roman"/>
          <w:b/>
          <w:bCs/>
          <w:sz w:val="24"/>
          <w:szCs w:val="24"/>
        </w:rPr>
        <w:t>ing</w:t>
      </w:r>
      <w:r w:rsidRPr="00665BD0">
        <w:rPr>
          <w:rFonts w:ascii="Times New Roman" w:hAnsi="Times New Roman"/>
          <w:b/>
          <w:bCs/>
          <w:sz w:val="24"/>
          <w:szCs w:val="24"/>
        </w:rPr>
        <w:t xml:space="preserve"> a provision regarding the position to which the employee will be returning. </w:t>
      </w:r>
    </w:p>
    <w:bookmarkEnd w:id="324"/>
    <w:p w14:paraId="11769C1D" w14:textId="05A597B9" w:rsidR="0066298F" w:rsidRDefault="0066298F" w:rsidP="0066298F">
      <w:pPr>
        <w:rPr>
          <w:rStyle w:val="Hyperlink"/>
          <w:rFonts w:ascii="Times New Roman" w:hAnsi="Times New Roman"/>
          <w:b/>
          <w:sz w:val="24"/>
          <w:szCs w:val="24"/>
        </w:rPr>
      </w:pPr>
      <w:r>
        <w:rPr>
          <w:rStyle w:val="Hyperlink"/>
          <w:rFonts w:ascii="Times New Roman" w:hAnsi="Times New Roman"/>
          <w:b/>
          <w:sz w:val="24"/>
          <w:szCs w:val="24"/>
        </w:rPr>
        <w:t xml:space="preserve"> </w:t>
      </w:r>
    </w:p>
    <w:p w14:paraId="2521E7F1" w14:textId="20CBD6A1" w:rsidR="0066298F" w:rsidRDefault="0066298F" w:rsidP="0066298F">
      <w:pPr>
        <w:rPr>
          <w:rStyle w:val="Hyperlink"/>
          <w:rFonts w:ascii="Times New Roman" w:hAnsi="Times New Roman"/>
          <w:b/>
          <w:sz w:val="24"/>
          <w:szCs w:val="24"/>
        </w:rPr>
      </w:pPr>
    </w:p>
    <w:p w14:paraId="46F59C4E" w14:textId="77777777" w:rsidR="0066298F" w:rsidRDefault="0066298F" w:rsidP="0066298F">
      <w:pPr>
        <w:rPr>
          <w:rFonts w:ascii="Arial Black" w:hAnsi="Arial Black"/>
          <w:b/>
          <w:sz w:val="24"/>
          <w:szCs w:val="24"/>
        </w:rPr>
      </w:pPr>
    </w:p>
    <w:p w14:paraId="73A3A442" w14:textId="3373BAD7" w:rsidR="007540BD" w:rsidRDefault="007540BD"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2</w:t>
      </w:r>
    </w:p>
    <w:p w14:paraId="63EF009E" w14:textId="77777777" w:rsidR="007540BD" w:rsidRDefault="007540BD" w:rsidP="007540BD">
      <w:pPr>
        <w:pStyle w:val="NoSpacing"/>
        <w:rPr>
          <w:rFonts w:eastAsia="Times New Roman"/>
          <w:bCs/>
          <w:sz w:val="24"/>
          <w:szCs w:val="24"/>
        </w:rPr>
      </w:pPr>
      <w:bookmarkStart w:id="325" w:name="_Hlk39818670"/>
      <w:r w:rsidRPr="000F0816">
        <w:rPr>
          <w:rFonts w:ascii="Arial Black" w:hAnsi="Arial Black"/>
          <w:sz w:val="28"/>
          <w:szCs w:val="28"/>
        </w:rPr>
        <w:t>U.S. SUP</w:t>
      </w:r>
      <w:r>
        <w:rPr>
          <w:rFonts w:ascii="Arial Black" w:hAnsi="Arial Black"/>
          <w:sz w:val="28"/>
          <w:szCs w:val="28"/>
        </w:rPr>
        <w:t xml:space="preserve">REME COURT: BLACK-OWNED MEDIA COMPANY DENIED CONTRACT - </w:t>
      </w:r>
      <w:r w:rsidRPr="000F0816">
        <w:rPr>
          <w:rFonts w:ascii="Arial Black" w:hAnsi="Arial Black"/>
          <w:sz w:val="28"/>
          <w:szCs w:val="28"/>
        </w:rPr>
        <w:t xml:space="preserve">MUST </w:t>
      </w:r>
      <w:r>
        <w:rPr>
          <w:rFonts w:ascii="Arial Black" w:hAnsi="Arial Black"/>
          <w:sz w:val="28"/>
          <w:szCs w:val="28"/>
        </w:rPr>
        <w:t xml:space="preserve">PROVE </w:t>
      </w:r>
      <w:r w:rsidRPr="000F0816">
        <w:rPr>
          <w:rFonts w:ascii="Arial Black" w:hAnsi="Arial Black"/>
          <w:sz w:val="28"/>
          <w:szCs w:val="28"/>
        </w:rPr>
        <w:t>“BUT FOR</w:t>
      </w:r>
      <w:r>
        <w:rPr>
          <w:rFonts w:ascii="Arial Black" w:hAnsi="Arial Black"/>
          <w:sz w:val="28"/>
          <w:szCs w:val="28"/>
        </w:rPr>
        <w:t xml:space="preserve">” RACE WOULD HAVE RECEIVED </w:t>
      </w:r>
    </w:p>
    <w:p w14:paraId="62F790FA" w14:textId="77777777" w:rsidR="007540BD" w:rsidRDefault="007540BD" w:rsidP="007540BD">
      <w:pPr>
        <w:pStyle w:val="NoSpacing"/>
        <w:rPr>
          <w:rFonts w:eastAsia="Times New Roman"/>
          <w:bCs/>
          <w:sz w:val="24"/>
          <w:szCs w:val="24"/>
        </w:rPr>
      </w:pPr>
    </w:p>
    <w:p w14:paraId="4E81B005" w14:textId="77777777" w:rsidR="007540BD" w:rsidRDefault="007540BD" w:rsidP="007540BD">
      <w:pPr>
        <w:pStyle w:val="NoSpacing"/>
        <w:rPr>
          <w:rFonts w:ascii="Times New Roman" w:hAnsi="Times New Roman"/>
          <w:bCs/>
          <w:sz w:val="24"/>
          <w:szCs w:val="24"/>
        </w:rPr>
      </w:pPr>
      <w:r w:rsidRPr="00665BD0">
        <w:rPr>
          <w:rFonts w:ascii="Times New Roman" w:eastAsia="Times New Roman" w:hAnsi="Times New Roman"/>
          <w:sz w:val="24"/>
          <w:szCs w:val="24"/>
        </w:rPr>
        <w:t xml:space="preserve">On </w:t>
      </w:r>
      <w:bookmarkStart w:id="326" w:name="_Hlk39837192"/>
      <w:r w:rsidRPr="00665BD0">
        <w:rPr>
          <w:rFonts w:ascii="Times New Roman" w:eastAsia="Times New Roman" w:hAnsi="Times New Roman"/>
          <w:sz w:val="24"/>
          <w:szCs w:val="24"/>
        </w:rPr>
        <w:t xml:space="preserve">March 23, 2020, in </w:t>
      </w:r>
      <w:r w:rsidRPr="00665BD0">
        <w:rPr>
          <w:rFonts w:ascii="Times New Roman" w:eastAsia="Times New Roman" w:hAnsi="Times New Roman"/>
          <w:sz w:val="24"/>
          <w:szCs w:val="24"/>
          <w:u w:val="single"/>
        </w:rPr>
        <w:t xml:space="preserve">Comcast Corp. v. National Association </w:t>
      </w:r>
      <w:proofErr w:type="gramStart"/>
      <w:r w:rsidRPr="00665BD0">
        <w:rPr>
          <w:rFonts w:ascii="Times New Roman" w:eastAsia="Times New Roman" w:hAnsi="Times New Roman"/>
          <w:sz w:val="24"/>
          <w:szCs w:val="24"/>
          <w:u w:val="single"/>
        </w:rPr>
        <w:t>Of</w:t>
      </w:r>
      <w:proofErr w:type="gramEnd"/>
      <w:r w:rsidRPr="00665BD0">
        <w:rPr>
          <w:rFonts w:ascii="Times New Roman" w:eastAsia="Times New Roman" w:hAnsi="Times New Roman"/>
          <w:sz w:val="24"/>
          <w:szCs w:val="24"/>
          <w:u w:val="single"/>
        </w:rPr>
        <w:t xml:space="preserve"> African American-Owned Media, et al</w:t>
      </w:r>
      <w:bookmarkEnd w:id="326"/>
      <w:r w:rsidRPr="00665BD0">
        <w:rPr>
          <w:rFonts w:ascii="Times New Roman" w:eastAsia="Times New Roman" w:hAnsi="Times New Roman"/>
          <w:sz w:val="24"/>
          <w:szCs w:val="24"/>
          <w:u w:val="single"/>
        </w:rPr>
        <w:t>.,</w:t>
      </w:r>
      <w:r w:rsidRPr="00665BD0">
        <w:rPr>
          <w:rFonts w:ascii="Times New Roman" w:eastAsia="Times New Roman" w:hAnsi="Times New Roman"/>
          <w:sz w:val="24"/>
          <w:szCs w:val="24"/>
        </w:rPr>
        <w:t xml:space="preserve">  the U.S. Supreme Court unanimously held (9 to 0) that the plaintiff, </w:t>
      </w:r>
      <w:r w:rsidRPr="00665BD0">
        <w:rPr>
          <w:rFonts w:ascii="Times New Roman" w:hAnsi="Times New Roman"/>
          <w:bCs/>
          <w:sz w:val="24"/>
          <w:szCs w:val="24"/>
        </w:rPr>
        <w:t>Entertainment Studios, must prove that race was the but-</w:t>
      </w:r>
    </w:p>
    <w:p w14:paraId="604A8A8E" w14:textId="77777777" w:rsidR="007540BD" w:rsidRPr="00665BD0" w:rsidRDefault="007540BD" w:rsidP="007540BD">
      <w:pPr>
        <w:pStyle w:val="NoSpacing"/>
        <w:rPr>
          <w:rFonts w:ascii="Times New Roman" w:hAnsi="Times New Roman"/>
          <w:b/>
          <w:bCs/>
          <w:sz w:val="24"/>
          <w:szCs w:val="24"/>
        </w:rPr>
      </w:pPr>
      <w:r w:rsidRPr="00665BD0">
        <w:rPr>
          <w:rFonts w:ascii="Times New Roman" w:hAnsi="Times New Roman"/>
          <w:bCs/>
          <w:sz w:val="24"/>
          <w:szCs w:val="24"/>
        </w:rPr>
        <w:t xml:space="preserve">for </w:t>
      </w:r>
      <w:proofErr w:type="gramStart"/>
      <w:r w:rsidRPr="00665BD0">
        <w:rPr>
          <w:rFonts w:ascii="Times New Roman" w:hAnsi="Times New Roman"/>
          <w:bCs/>
          <w:sz w:val="24"/>
          <w:szCs w:val="24"/>
        </w:rPr>
        <w:t>cause</w:t>
      </w:r>
      <w:proofErr w:type="gramEnd"/>
      <w:r w:rsidRPr="00665BD0">
        <w:rPr>
          <w:rFonts w:ascii="Times New Roman" w:hAnsi="Times New Roman"/>
          <w:bCs/>
          <w:sz w:val="24"/>
          <w:szCs w:val="24"/>
        </w:rPr>
        <w:t xml:space="preserve"> of its injury—in other words, that Comcast would have acted differently if Entertainment Studios were not </w:t>
      </w:r>
      <w:proofErr w:type="gramStart"/>
      <w:r w:rsidRPr="00665BD0">
        <w:rPr>
          <w:rFonts w:ascii="Times New Roman" w:hAnsi="Times New Roman"/>
          <w:bCs/>
          <w:sz w:val="24"/>
          <w:szCs w:val="24"/>
        </w:rPr>
        <w:t>African-American</w:t>
      </w:r>
      <w:proofErr w:type="gramEnd"/>
      <w:r w:rsidRPr="00665BD0">
        <w:rPr>
          <w:rFonts w:ascii="Times New Roman" w:hAnsi="Times New Roman"/>
          <w:bCs/>
          <w:sz w:val="24"/>
          <w:szCs w:val="24"/>
        </w:rPr>
        <w:t xml:space="preserve"> owned. </w:t>
      </w:r>
    </w:p>
    <w:p w14:paraId="26B24227" w14:textId="77777777" w:rsidR="007540BD" w:rsidRPr="00665BD0" w:rsidRDefault="007540BD" w:rsidP="007540BD">
      <w:pPr>
        <w:pStyle w:val="NoSpacing"/>
        <w:rPr>
          <w:rFonts w:ascii="Times New Roman" w:hAnsi="Times New Roman"/>
          <w:b/>
          <w:bCs/>
          <w:sz w:val="24"/>
          <w:szCs w:val="24"/>
        </w:rPr>
      </w:pPr>
    </w:p>
    <w:p w14:paraId="1FA0A078" w14:textId="77777777" w:rsidR="007540BD" w:rsidRPr="00665BD0" w:rsidRDefault="007540BD" w:rsidP="007540BD">
      <w:pPr>
        <w:pStyle w:val="NoSpacing"/>
        <w:rPr>
          <w:rFonts w:ascii="Times New Roman" w:hAnsi="Times New Roman"/>
          <w:b/>
          <w:bCs/>
          <w:sz w:val="24"/>
          <w:szCs w:val="24"/>
        </w:rPr>
      </w:pPr>
      <w:r w:rsidRPr="00665BD0">
        <w:rPr>
          <w:rFonts w:ascii="Times New Roman" w:hAnsi="Times New Roman"/>
          <w:bCs/>
          <w:sz w:val="24"/>
          <w:szCs w:val="24"/>
        </w:rPr>
        <w:t>In opinion by Justice Neil Gorsuch, the Court held:</w:t>
      </w:r>
    </w:p>
    <w:p w14:paraId="7038EE50" w14:textId="77777777" w:rsidR="007540BD" w:rsidRPr="00665BD0" w:rsidRDefault="007540BD" w:rsidP="007540BD">
      <w:pPr>
        <w:pStyle w:val="NoSpacing"/>
        <w:rPr>
          <w:rFonts w:ascii="Times New Roman" w:hAnsi="Times New Roman"/>
          <w:b/>
          <w:bCs/>
          <w:sz w:val="24"/>
          <w:szCs w:val="24"/>
        </w:rPr>
      </w:pPr>
    </w:p>
    <w:p w14:paraId="531B6148" w14:textId="77777777" w:rsidR="007540BD" w:rsidRPr="00665BD0" w:rsidRDefault="007540BD" w:rsidP="007540BD">
      <w:pPr>
        <w:pStyle w:val="NoSpacing"/>
        <w:ind w:left="720"/>
        <w:rPr>
          <w:rFonts w:ascii="Times New Roman" w:hAnsi="Times New Roman"/>
          <w:b/>
          <w:bCs/>
          <w:sz w:val="24"/>
          <w:szCs w:val="24"/>
        </w:rPr>
      </w:pPr>
      <w:r w:rsidRPr="00665BD0">
        <w:rPr>
          <w:rFonts w:ascii="Times New Roman" w:eastAsia="Times New Roman" w:hAnsi="Times New Roman"/>
          <w:bCs/>
          <w:sz w:val="24"/>
          <w:szCs w:val="24"/>
        </w:rPr>
        <w:t>“</w:t>
      </w:r>
      <w:r w:rsidRPr="00665BD0">
        <w:rPr>
          <w:rFonts w:ascii="Times New Roman" w:hAnsi="Times New Roman"/>
          <w:bCs/>
          <w:sz w:val="24"/>
          <w:szCs w:val="24"/>
        </w:rPr>
        <w:t xml:space="preserve">All the traditional tools of statutory interpretation persuade us that §1981 follows the usual rules, not any exception. To prevail, a plaintiff must initially plead and ultimately prove that, but for race, it would not have suffered the loss of a legally protected right…. The Ninth Circuit has yet to consider that question because it assessed ESN’s pleadings under a different and mistaken test. To allow that court the chance to determine the sufficiency of ESN’s pleadings under the correct legal rule in the first instance, we vacate the judgment of the court of </w:t>
      </w:r>
      <w:proofErr w:type="gramStart"/>
      <w:r w:rsidRPr="00665BD0">
        <w:rPr>
          <w:rFonts w:ascii="Times New Roman" w:hAnsi="Times New Roman"/>
          <w:bCs/>
          <w:sz w:val="24"/>
          <w:szCs w:val="24"/>
        </w:rPr>
        <w:t>ap-peals</w:t>
      </w:r>
      <w:proofErr w:type="gramEnd"/>
      <w:r w:rsidRPr="00665BD0">
        <w:rPr>
          <w:rFonts w:ascii="Times New Roman" w:hAnsi="Times New Roman"/>
          <w:bCs/>
          <w:sz w:val="24"/>
          <w:szCs w:val="24"/>
        </w:rPr>
        <w:t xml:space="preserve"> and remand the case for further proceedings </w:t>
      </w:r>
    </w:p>
    <w:p w14:paraId="5C6FE87D" w14:textId="77777777" w:rsidR="007540BD" w:rsidRPr="00665BD0" w:rsidRDefault="007540BD" w:rsidP="007540BD">
      <w:pPr>
        <w:pStyle w:val="NoSpacing"/>
        <w:ind w:left="720"/>
        <w:rPr>
          <w:rFonts w:ascii="Times New Roman" w:eastAsia="Times New Roman" w:hAnsi="Times New Roman"/>
          <w:b/>
          <w:bCs/>
          <w:sz w:val="24"/>
          <w:szCs w:val="24"/>
        </w:rPr>
      </w:pPr>
      <w:r w:rsidRPr="00665BD0">
        <w:rPr>
          <w:rFonts w:ascii="Times New Roman" w:hAnsi="Times New Roman"/>
          <w:bCs/>
          <w:sz w:val="24"/>
          <w:szCs w:val="24"/>
        </w:rPr>
        <w:t xml:space="preserve">consistent with this opinion.” </w:t>
      </w:r>
      <w:bookmarkStart w:id="327" w:name="_Hlk39837214"/>
      <w:r w:rsidR="00DC51D4">
        <w:fldChar w:fldCharType="begin"/>
      </w:r>
      <w:r w:rsidR="00DC51D4">
        <w:instrText xml:space="preserve"> HYPERLINK "https://www.supremecourt.gov/opinions/19pdf/18-1171_4425.pdf" </w:instrText>
      </w:r>
      <w:r w:rsidR="00DC51D4">
        <w:fldChar w:fldCharType="separate"/>
      </w:r>
      <w:r w:rsidRPr="00665BD0">
        <w:rPr>
          <w:rStyle w:val="Hyperlink"/>
          <w:rFonts w:ascii="Times New Roman" w:hAnsi="Times New Roman"/>
          <w:b/>
          <w:sz w:val="24"/>
          <w:szCs w:val="24"/>
        </w:rPr>
        <w:t>https://www.supremecourt.gov/opinions/19pdf/18-1171_4425.pdf</w:t>
      </w:r>
      <w:r w:rsidR="00DC51D4">
        <w:rPr>
          <w:rStyle w:val="Hyperlink"/>
          <w:rFonts w:ascii="Times New Roman" w:hAnsi="Times New Roman"/>
          <w:b/>
          <w:sz w:val="24"/>
          <w:szCs w:val="24"/>
        </w:rPr>
        <w:fldChar w:fldCharType="end"/>
      </w:r>
      <w:r w:rsidRPr="00665BD0">
        <w:rPr>
          <w:rFonts w:ascii="Times New Roman" w:hAnsi="Times New Roman"/>
          <w:bCs/>
          <w:sz w:val="24"/>
          <w:szCs w:val="24"/>
        </w:rPr>
        <w:t xml:space="preserve"> </w:t>
      </w:r>
    </w:p>
    <w:bookmarkEnd w:id="327"/>
    <w:p w14:paraId="46254098" w14:textId="77777777" w:rsidR="007540BD" w:rsidRDefault="007540BD" w:rsidP="007540BD">
      <w:pPr>
        <w:pStyle w:val="NoSpacing"/>
        <w:rPr>
          <w:rFonts w:ascii="Times New Roman" w:hAnsi="Times New Roman"/>
          <w:b/>
          <w:bCs/>
          <w:sz w:val="24"/>
          <w:szCs w:val="24"/>
        </w:rPr>
      </w:pPr>
    </w:p>
    <w:bookmarkEnd w:id="325"/>
    <w:p w14:paraId="3C202CDC" w14:textId="0E6EA7BA" w:rsidR="007540BD" w:rsidRPr="00665BD0" w:rsidRDefault="007540BD" w:rsidP="007540BD">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w:t>
      </w:r>
      <w:r>
        <w:rPr>
          <w:rFonts w:ascii="Times New Roman" w:hAnsi="Times New Roman"/>
          <w:b/>
          <w:bCs/>
          <w:sz w:val="24"/>
          <w:szCs w:val="24"/>
        </w:rPr>
        <w:t xml:space="preserve">Important decision on race discrimination. </w:t>
      </w:r>
    </w:p>
    <w:p w14:paraId="3965B8C8" w14:textId="77777777" w:rsidR="007540BD" w:rsidRPr="00665BD0" w:rsidRDefault="007540BD" w:rsidP="007540BD">
      <w:pPr>
        <w:pStyle w:val="NoSpacing"/>
        <w:ind w:left="720"/>
        <w:rPr>
          <w:rFonts w:ascii="Times New Roman" w:hAnsi="Times New Roman"/>
          <w:b/>
          <w:bCs/>
          <w:sz w:val="24"/>
          <w:szCs w:val="24"/>
        </w:rPr>
      </w:pPr>
      <w:r w:rsidRPr="00665BD0">
        <w:rPr>
          <w:rFonts w:ascii="Times New Roman" w:hAnsi="Times New Roman"/>
          <w:bCs/>
          <w:sz w:val="24"/>
          <w:szCs w:val="24"/>
        </w:rPr>
        <w:t xml:space="preserve">See </w:t>
      </w:r>
      <w:bookmarkStart w:id="328" w:name="_Hlk39837140"/>
      <w:r w:rsidRPr="00665BD0">
        <w:rPr>
          <w:rFonts w:ascii="Times New Roman" w:hAnsi="Times New Roman"/>
          <w:bCs/>
          <w:sz w:val="24"/>
          <w:szCs w:val="24"/>
        </w:rPr>
        <w:t xml:space="preserve">March 23, </w:t>
      </w:r>
      <w:proofErr w:type="gramStart"/>
      <w:r w:rsidRPr="00665BD0">
        <w:rPr>
          <w:rFonts w:ascii="Times New Roman" w:hAnsi="Times New Roman"/>
          <w:bCs/>
          <w:sz w:val="24"/>
          <w:szCs w:val="24"/>
        </w:rPr>
        <w:t>2020</w:t>
      </w:r>
      <w:proofErr w:type="gramEnd"/>
      <w:r w:rsidRPr="00665BD0">
        <w:rPr>
          <w:rFonts w:ascii="Times New Roman" w:hAnsi="Times New Roman"/>
          <w:bCs/>
          <w:sz w:val="24"/>
          <w:szCs w:val="24"/>
        </w:rPr>
        <w:t xml:space="preserve"> article: Why Ginsburg Joined Ruling Civil Rights Advocates Decry as 'Terrible'- </w:t>
      </w:r>
      <w:hyperlink r:id="rId1657" w:history="1">
        <w:r w:rsidRPr="00665BD0">
          <w:rPr>
            <w:rStyle w:val="Hyperlink"/>
            <w:rFonts w:ascii="Times New Roman" w:hAnsi="Times New Roman"/>
            <w:b/>
            <w:sz w:val="24"/>
            <w:szCs w:val="24"/>
          </w:rPr>
          <w:t>https://www.law.com/nationallawjournal/2020/03/23/why-ginsburg-joined-a-ruling-civil-rights-advocates-decry-as-terrible/</w:t>
        </w:r>
      </w:hyperlink>
      <w:bookmarkEnd w:id="328"/>
      <w:r w:rsidRPr="00665BD0">
        <w:rPr>
          <w:rFonts w:ascii="Times New Roman" w:hAnsi="Times New Roman"/>
          <w:bCs/>
          <w:sz w:val="24"/>
          <w:szCs w:val="24"/>
        </w:rPr>
        <w:t xml:space="preserve"> </w:t>
      </w:r>
    </w:p>
    <w:p w14:paraId="69F7D68E" w14:textId="77777777" w:rsidR="007540BD" w:rsidRDefault="007540BD" w:rsidP="00DE0F03">
      <w:pPr>
        <w:rPr>
          <w:rFonts w:ascii="Arial Black" w:hAnsi="Arial Black"/>
          <w:b/>
          <w:sz w:val="24"/>
          <w:szCs w:val="24"/>
        </w:rPr>
      </w:pPr>
    </w:p>
    <w:p w14:paraId="4EC3DA5B" w14:textId="77777777" w:rsidR="007540BD" w:rsidRDefault="007540BD" w:rsidP="00DE0F03">
      <w:pPr>
        <w:rPr>
          <w:rFonts w:ascii="Arial Black" w:hAnsi="Arial Black"/>
          <w:b/>
          <w:sz w:val="24"/>
          <w:szCs w:val="24"/>
        </w:rPr>
      </w:pPr>
    </w:p>
    <w:p w14:paraId="2677AFDE" w14:textId="24A4310E" w:rsidR="00997329" w:rsidRDefault="00997329"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11</w:t>
      </w:r>
    </w:p>
    <w:p w14:paraId="0EE4A794" w14:textId="77777777" w:rsidR="00997329" w:rsidRPr="002E0D51" w:rsidRDefault="00997329" w:rsidP="00997329">
      <w:pPr>
        <w:pStyle w:val="NoSpacing"/>
        <w:rPr>
          <w:rFonts w:ascii="Arial Black" w:hAnsi="Arial Black"/>
          <w:b/>
          <w:bCs/>
          <w:sz w:val="28"/>
          <w:szCs w:val="28"/>
        </w:rPr>
      </w:pPr>
      <w:bookmarkStart w:id="329" w:name="_Hlk41156029"/>
      <w:r w:rsidRPr="002E0D51">
        <w:rPr>
          <w:rFonts w:ascii="Arial Black" w:hAnsi="Arial Black"/>
          <w:bCs/>
          <w:sz w:val="28"/>
          <w:szCs w:val="28"/>
        </w:rPr>
        <w:t xml:space="preserve">MD: </w:t>
      </w:r>
      <w:r>
        <w:rPr>
          <w:rFonts w:ascii="Arial Black" w:hAnsi="Arial Black"/>
          <w:bCs/>
          <w:sz w:val="28"/>
          <w:szCs w:val="28"/>
        </w:rPr>
        <w:t>TWO AFRICAN AMERICANS PROMOTED B/C – BUT LIST HAD EXPIRED - WHITE CAPTAIN PASSED OVER – LAWSUIT PROCEED</w:t>
      </w:r>
    </w:p>
    <w:p w14:paraId="74FDA38B" w14:textId="77777777" w:rsidR="00997329" w:rsidRDefault="00997329" w:rsidP="00997329">
      <w:pPr>
        <w:pStyle w:val="NoSpacing"/>
        <w:rPr>
          <w:b/>
          <w:bCs/>
          <w:sz w:val="24"/>
          <w:szCs w:val="24"/>
        </w:rPr>
      </w:pPr>
    </w:p>
    <w:p w14:paraId="4177EFFA"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Cs/>
          <w:sz w:val="24"/>
          <w:szCs w:val="24"/>
        </w:rPr>
        <w:t xml:space="preserve">On March 3, 2020, in </w:t>
      </w:r>
      <w:r w:rsidRPr="00465FB3">
        <w:rPr>
          <w:rFonts w:ascii="Times New Roman" w:hAnsi="Times New Roman"/>
          <w:bCs/>
          <w:sz w:val="24"/>
          <w:szCs w:val="24"/>
          <w:u w:val="single"/>
        </w:rPr>
        <w:t>Donald Dziwulski v. Mayor &amp; City Council of Baltimore</w:t>
      </w:r>
      <w:r w:rsidRPr="00465FB3">
        <w:rPr>
          <w:rFonts w:ascii="Times New Roman" w:hAnsi="Times New Roman"/>
          <w:bCs/>
          <w:sz w:val="24"/>
          <w:szCs w:val="24"/>
        </w:rPr>
        <w:t xml:space="preserve">, U.S. Magistrate Judge Deborah L. Boardman, District of Maryland (Northern Division) denied the City’s motion for summary judgment concerning Dziwulski's claim for race discrimination based on failure to promote and his retaliation claim based on the reclassification of Carter's position.   </w:t>
      </w:r>
    </w:p>
    <w:p w14:paraId="313E13A0" w14:textId="77777777" w:rsidR="00997329" w:rsidRPr="00465FB3" w:rsidRDefault="00997329" w:rsidP="00997329">
      <w:pPr>
        <w:pStyle w:val="NoSpacing"/>
        <w:rPr>
          <w:rFonts w:ascii="Times New Roman" w:hAnsi="Times New Roman"/>
          <w:b/>
          <w:bCs/>
          <w:sz w:val="24"/>
          <w:szCs w:val="24"/>
        </w:rPr>
      </w:pPr>
    </w:p>
    <w:p w14:paraId="3583B7BE" w14:textId="77777777" w:rsidR="00997329" w:rsidRPr="00465FB3" w:rsidRDefault="00997329" w:rsidP="00997329">
      <w:pPr>
        <w:pStyle w:val="NoSpacing"/>
        <w:ind w:left="720"/>
        <w:rPr>
          <w:rFonts w:ascii="Times New Roman" w:hAnsi="Times New Roman"/>
          <w:b/>
          <w:bCs/>
          <w:sz w:val="24"/>
          <w:szCs w:val="24"/>
        </w:rPr>
      </w:pPr>
      <w:r w:rsidRPr="00465FB3">
        <w:rPr>
          <w:rFonts w:ascii="Times New Roman" w:hAnsi="Times New Roman"/>
          <w:bCs/>
          <w:sz w:val="24"/>
          <w:szCs w:val="24"/>
        </w:rPr>
        <w:t xml:space="preserve">“Defendant argues that, throughout the entire process, [then Fire Chief James] Clack was planning to promote Claggett and Stokes into the two new positions. They were ranked first and second on the Eligibles List in effect at the time. To make their promotions possible despite the Board's failure to act on May 8, 2013, Clack promoted them on May 13, 2013, before the Board approved the position…. [But] by the time Clack acted on May 13, 2013, the Eligibles List that included Claggett and Stokes had expired. *** </w:t>
      </w:r>
      <w:r w:rsidRPr="00465FB3">
        <w:rPr>
          <w:rFonts w:ascii="Times New Roman" w:eastAsia="Times New Roman" w:hAnsi="Times New Roman"/>
          <w:bCs/>
          <w:sz w:val="24"/>
          <w:szCs w:val="24"/>
        </w:rPr>
        <w:t xml:space="preserve">On the record before me, Defendant has offered a legitimate, non-discriminatory reason for each of its employment decisions when considered individually. Thus, a reasonable jury, weighing the facts on the record before me as to each employment decision one at a time, could find that no race-based discrimination occurred. Nonetheless, considering the combined effect of these decisions, which collectively ‘undermine the credibility of the employer's stated reasons,’ Captain Dziwulski has identified sufficient evidence of pretext to survive Defendant's Motion for Summary Judgment. *** </w:t>
      </w:r>
      <w:r w:rsidRPr="00465FB3">
        <w:rPr>
          <w:rFonts w:ascii="Times New Roman" w:hAnsi="Times New Roman"/>
          <w:bCs/>
          <w:sz w:val="24"/>
          <w:szCs w:val="24"/>
        </w:rPr>
        <w:t xml:space="preserve">Most significantly, over the course of several months, Captain Dziwulski repeatedly was not selected for promotions for which he was eligible, even though he was ranked first on the Eligibles List in effect at the time. Each time, either African Americans were selected instead of </w:t>
      </w:r>
      <w:proofErr w:type="gramStart"/>
      <w:r w:rsidRPr="00465FB3">
        <w:rPr>
          <w:rFonts w:ascii="Times New Roman" w:hAnsi="Times New Roman"/>
          <w:bCs/>
          <w:sz w:val="24"/>
          <w:szCs w:val="24"/>
        </w:rPr>
        <w:t>him</w:t>
      </w:r>
      <w:proofErr w:type="gramEnd"/>
      <w:r w:rsidRPr="00465FB3">
        <w:rPr>
          <w:rFonts w:ascii="Times New Roman" w:hAnsi="Times New Roman"/>
          <w:bCs/>
          <w:sz w:val="24"/>
          <w:szCs w:val="24"/>
        </w:rPr>
        <w:t xml:space="preserve"> or the position was left open. Considering these events cumulatively, a genuine dispute exists regarding whether the Department's reasons each time were legitimate and non-discriminatory or pretext.”  </w:t>
      </w:r>
      <w:hyperlink r:id="rId1658" w:history="1">
        <w:r w:rsidRPr="00465FB3">
          <w:rPr>
            <w:rStyle w:val="Hyperlink"/>
            <w:rFonts w:ascii="Times New Roman" w:hAnsi="Times New Roman"/>
            <w:bCs/>
            <w:sz w:val="24"/>
            <w:szCs w:val="24"/>
          </w:rPr>
          <w:t>https://public.fastcase.com/Wl%2B2t%2BeVuI35%2FN70vAMFZtTeqjzzEnlP0E9gnOJzg5Beu%2B8e3Ta9mPaMkCNr0Gg4</w:t>
        </w:r>
      </w:hyperlink>
    </w:p>
    <w:p w14:paraId="192CCCF7" w14:textId="77777777" w:rsidR="00997329" w:rsidRPr="00465FB3" w:rsidRDefault="00997329" w:rsidP="00997329">
      <w:pPr>
        <w:pStyle w:val="NoSpacing"/>
        <w:rPr>
          <w:rFonts w:ascii="Times New Roman" w:hAnsi="Times New Roman"/>
          <w:b/>
          <w:bCs/>
          <w:sz w:val="24"/>
          <w:szCs w:val="24"/>
        </w:rPr>
      </w:pPr>
    </w:p>
    <w:p w14:paraId="3675267C" w14:textId="77777777" w:rsidR="00997329" w:rsidRPr="00465FB3" w:rsidRDefault="00997329" w:rsidP="00997329">
      <w:pPr>
        <w:pStyle w:val="NoSpacing"/>
        <w:tabs>
          <w:tab w:val="left" w:pos="2860"/>
        </w:tabs>
        <w:rPr>
          <w:rFonts w:ascii="Times New Roman" w:hAnsi="Times New Roman"/>
          <w:b/>
          <w:bCs/>
          <w:sz w:val="24"/>
          <w:szCs w:val="24"/>
        </w:rPr>
      </w:pPr>
      <w:r w:rsidRPr="00465FB3">
        <w:rPr>
          <w:rFonts w:ascii="Times New Roman" w:hAnsi="Times New Roman"/>
          <w:b/>
          <w:bCs/>
          <w:sz w:val="24"/>
          <w:szCs w:val="24"/>
        </w:rPr>
        <w:t xml:space="preserve">Legal Lessons Learned: Making promotions from expired lists can lead to litigation.  </w:t>
      </w:r>
    </w:p>
    <w:bookmarkEnd w:id="329"/>
    <w:p w14:paraId="7246B3B0" w14:textId="77777777" w:rsidR="00997329" w:rsidRDefault="00997329" w:rsidP="00DE0F03">
      <w:pPr>
        <w:rPr>
          <w:rFonts w:ascii="Arial Black" w:hAnsi="Arial Black"/>
          <w:b/>
          <w:sz w:val="24"/>
          <w:szCs w:val="24"/>
        </w:rPr>
      </w:pPr>
    </w:p>
    <w:p w14:paraId="3D7129FC" w14:textId="504F350F" w:rsidR="00177094" w:rsidRDefault="00177094"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0</w:t>
      </w:r>
    </w:p>
    <w:p w14:paraId="71EC4F1F" w14:textId="77777777" w:rsidR="00177094" w:rsidRPr="00255FB0" w:rsidRDefault="00177094" w:rsidP="00177094">
      <w:pPr>
        <w:pStyle w:val="NoSpacing"/>
        <w:rPr>
          <w:rFonts w:ascii="Arial Black" w:hAnsi="Arial Black"/>
          <w:b/>
          <w:bCs/>
          <w:sz w:val="28"/>
          <w:szCs w:val="28"/>
        </w:rPr>
      </w:pPr>
      <w:r>
        <w:rPr>
          <w:rFonts w:ascii="Arial Black" w:hAnsi="Arial Black"/>
          <w:bCs/>
          <w:sz w:val="28"/>
          <w:szCs w:val="28"/>
        </w:rPr>
        <w:t>GA: KNEE SURGERY – FF NOT ALLOWED BACK TO WORK – LAWSUIT DISMISSED SINCE DIDN’T FILE IN 90 DAYS OF EEOC LETTER</w:t>
      </w:r>
    </w:p>
    <w:p w14:paraId="11A45DF0" w14:textId="77777777" w:rsidR="00177094" w:rsidRDefault="00177094" w:rsidP="00177094">
      <w:pPr>
        <w:pStyle w:val="NoSpacing"/>
        <w:rPr>
          <w:b/>
          <w:bCs/>
          <w:sz w:val="24"/>
          <w:szCs w:val="24"/>
        </w:rPr>
      </w:pPr>
    </w:p>
    <w:p w14:paraId="69B47576"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Jan. 23, 2020, in </w:t>
      </w:r>
      <w:r w:rsidRPr="004236BE">
        <w:rPr>
          <w:rFonts w:ascii="Times New Roman" w:hAnsi="Times New Roman"/>
          <w:bCs/>
          <w:sz w:val="24"/>
          <w:szCs w:val="24"/>
          <w:u w:val="single"/>
        </w:rPr>
        <w:t>Derek Lee Colson v. City of Thomasville, et al.</w:t>
      </w:r>
      <w:r w:rsidRPr="004236BE">
        <w:rPr>
          <w:rFonts w:ascii="Times New Roman" w:hAnsi="Times New Roman"/>
          <w:bCs/>
          <w:sz w:val="24"/>
          <w:szCs w:val="24"/>
        </w:rPr>
        <w:t xml:space="preserve">, U.S. District Court Senior Judge Hugh Lawson, U.S. District Court for Middle District of Georgia, Valdosta Division, granted defendants motion for summary judgment and dismissed his lawsuit for failure to file within 90 days of the EEOC’s Right </w:t>
      </w:r>
      <w:proofErr w:type="gramStart"/>
      <w:r w:rsidRPr="004236BE">
        <w:rPr>
          <w:rFonts w:ascii="Times New Roman" w:hAnsi="Times New Roman"/>
          <w:bCs/>
          <w:sz w:val="24"/>
          <w:szCs w:val="24"/>
        </w:rPr>
        <w:t>To</w:t>
      </w:r>
      <w:proofErr w:type="gramEnd"/>
      <w:r w:rsidRPr="004236BE">
        <w:rPr>
          <w:rFonts w:ascii="Times New Roman" w:hAnsi="Times New Roman"/>
          <w:bCs/>
          <w:sz w:val="24"/>
          <w:szCs w:val="24"/>
        </w:rPr>
        <w:t xml:space="preserve"> Sue letter.</w:t>
      </w:r>
    </w:p>
    <w:p w14:paraId="4B0B0F53" w14:textId="77777777" w:rsidR="00177094" w:rsidRPr="004236BE" w:rsidRDefault="00177094" w:rsidP="00177094">
      <w:pPr>
        <w:pStyle w:val="NoSpacing"/>
        <w:rPr>
          <w:rFonts w:ascii="Times New Roman" w:hAnsi="Times New Roman"/>
          <w:b/>
          <w:bCs/>
          <w:sz w:val="24"/>
          <w:szCs w:val="24"/>
        </w:rPr>
      </w:pPr>
    </w:p>
    <w:p w14:paraId="0257CCBB"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“The undisputed evidence is that the EEOC mailed a Dismissal and Notice of Rights to Plaintiff on October 26, 2017. (Doc. 23-3). There is no evidence in the record beyond Plaintiff’s unsupported statement that the original notice was not delivered. Accepting this statement alone without further explanation would permit Plaintiff to enjoy a ‘manipulable, open-ended time extension,’ which the Eleventh Circuit has opined would ‘render the statutory minimum meaningless.’ *** Plaintiff did not file his Complaint until August 21, 2018 – 296 later. Plaintiff’s Complaint is therefore time-barred.”  </w:t>
      </w:r>
      <w:hyperlink r:id="rId1659" w:history="1">
        <w:r w:rsidRPr="004236BE">
          <w:rPr>
            <w:rStyle w:val="Hyperlink"/>
            <w:rFonts w:ascii="Times New Roman" w:hAnsi="Times New Roman"/>
            <w:b/>
            <w:sz w:val="24"/>
            <w:szCs w:val="24"/>
          </w:rPr>
          <w:t>https://ecf.gamd.uscourts.gov/cgi-bin/show_public_doc?2018-00132-29-7-cv</w:t>
        </w:r>
      </w:hyperlink>
      <w:r w:rsidRPr="004236BE">
        <w:rPr>
          <w:rFonts w:ascii="Times New Roman" w:hAnsi="Times New Roman"/>
          <w:bCs/>
          <w:sz w:val="24"/>
          <w:szCs w:val="24"/>
        </w:rPr>
        <w:t xml:space="preserve">  </w:t>
      </w:r>
    </w:p>
    <w:p w14:paraId="5AC697F4" w14:textId="77777777" w:rsidR="00177094" w:rsidRDefault="00177094" w:rsidP="00177094">
      <w:pPr>
        <w:pStyle w:val="NoSpacing"/>
        <w:rPr>
          <w:rFonts w:ascii="Times New Roman" w:hAnsi="Times New Roman"/>
          <w:b/>
          <w:bCs/>
          <w:sz w:val="24"/>
          <w:szCs w:val="24"/>
        </w:rPr>
      </w:pPr>
    </w:p>
    <w:p w14:paraId="51333060" w14:textId="33D3ADFD" w:rsidR="00177094" w:rsidRPr="004236BE" w:rsidRDefault="00177094" w:rsidP="00177094">
      <w:pPr>
        <w:pStyle w:val="NoSpacing"/>
        <w:rPr>
          <w:rFonts w:ascii="Times New Roman" w:hAnsi="Times New Roman"/>
          <w:b/>
          <w:bCs/>
          <w:sz w:val="24"/>
          <w:szCs w:val="24"/>
        </w:rPr>
      </w:pPr>
      <w:r w:rsidRPr="004236BE">
        <w:rPr>
          <w:rFonts w:ascii="Times New Roman" w:hAnsi="Times New Roman"/>
          <w:b/>
          <w:bCs/>
          <w:sz w:val="24"/>
          <w:szCs w:val="24"/>
        </w:rPr>
        <w:t xml:space="preserve">Legal Lessoned Learned:  Title VII requires lawsuit to be filed within 90 days of EEOC “Right </w:t>
      </w:r>
      <w:proofErr w:type="gramStart"/>
      <w:r w:rsidRPr="004236BE">
        <w:rPr>
          <w:rFonts w:ascii="Times New Roman" w:hAnsi="Times New Roman"/>
          <w:b/>
          <w:bCs/>
          <w:sz w:val="24"/>
          <w:szCs w:val="24"/>
        </w:rPr>
        <w:t>To</w:t>
      </w:r>
      <w:proofErr w:type="gramEnd"/>
      <w:r w:rsidRPr="004236BE">
        <w:rPr>
          <w:rFonts w:ascii="Times New Roman" w:hAnsi="Times New Roman"/>
          <w:b/>
          <w:bCs/>
          <w:sz w:val="24"/>
          <w:szCs w:val="24"/>
        </w:rPr>
        <w:t xml:space="preserve"> Sue” letter; if don’t have an attorney, need to make sure EEOC has your correct address, and periodically check on status of EEOC investigation. </w:t>
      </w:r>
    </w:p>
    <w:p w14:paraId="4C158DC3" w14:textId="77777777" w:rsidR="00177094" w:rsidRDefault="00177094" w:rsidP="00DE0F03">
      <w:pPr>
        <w:rPr>
          <w:rFonts w:ascii="Arial Black" w:hAnsi="Arial Black"/>
          <w:b/>
          <w:sz w:val="24"/>
          <w:szCs w:val="24"/>
        </w:rPr>
      </w:pPr>
    </w:p>
    <w:p w14:paraId="61C80C2B" w14:textId="77777777" w:rsidR="00177094" w:rsidRDefault="00177094" w:rsidP="00DE0F03">
      <w:pPr>
        <w:rPr>
          <w:rFonts w:ascii="Arial Black" w:hAnsi="Arial Black"/>
          <w:b/>
          <w:sz w:val="24"/>
          <w:szCs w:val="24"/>
        </w:rPr>
      </w:pPr>
    </w:p>
    <w:p w14:paraId="433413FB" w14:textId="7FE87610" w:rsidR="00A06387" w:rsidRDefault="00A06387"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9</w:t>
      </w:r>
    </w:p>
    <w:p w14:paraId="55C60D6F" w14:textId="6345C3BC" w:rsidR="00A06387" w:rsidRDefault="00A06387" w:rsidP="00A06387">
      <w:pPr>
        <w:pStyle w:val="NoSpacing"/>
        <w:rPr>
          <w:rFonts w:ascii="Arial Black" w:hAnsi="Arial Black"/>
          <w:bCs/>
          <w:sz w:val="28"/>
          <w:szCs w:val="28"/>
        </w:rPr>
      </w:pPr>
      <w:r w:rsidRPr="00AE7062">
        <w:rPr>
          <w:rFonts w:ascii="Arial Black" w:hAnsi="Arial Black"/>
          <w:bCs/>
          <w:sz w:val="28"/>
          <w:szCs w:val="28"/>
        </w:rPr>
        <w:t>AL</w:t>
      </w:r>
      <w:r>
        <w:rPr>
          <w:rFonts w:ascii="Arial Black" w:hAnsi="Arial Black"/>
          <w:bCs/>
          <w:sz w:val="28"/>
          <w:szCs w:val="28"/>
        </w:rPr>
        <w:t>: CAPT. (AFRICAN</w:t>
      </w:r>
      <w:r w:rsidR="00BF4DDE">
        <w:rPr>
          <w:rFonts w:ascii="Arial Black" w:hAnsi="Arial Black"/>
          <w:bCs/>
          <w:sz w:val="28"/>
          <w:szCs w:val="28"/>
        </w:rPr>
        <w:t xml:space="preserve"> </w:t>
      </w:r>
      <w:r>
        <w:rPr>
          <w:rFonts w:ascii="Arial Black" w:hAnsi="Arial Black"/>
          <w:bCs/>
          <w:sz w:val="28"/>
          <w:szCs w:val="28"/>
        </w:rPr>
        <w:t>AMERICAN) CLAIMED FIRE CHIEF</w:t>
      </w:r>
      <w:r w:rsidRPr="00AE7062">
        <w:rPr>
          <w:rFonts w:ascii="Arial Black" w:hAnsi="Arial Black"/>
          <w:bCs/>
          <w:sz w:val="28"/>
          <w:szCs w:val="28"/>
        </w:rPr>
        <w:t xml:space="preserve"> </w:t>
      </w:r>
      <w:r>
        <w:rPr>
          <w:rFonts w:ascii="Arial Black" w:hAnsi="Arial Black"/>
          <w:bCs/>
          <w:sz w:val="28"/>
          <w:szCs w:val="28"/>
        </w:rPr>
        <w:t>(ALSO AFRICAN</w:t>
      </w:r>
      <w:r w:rsidR="00BF4DDE">
        <w:rPr>
          <w:rFonts w:ascii="Arial Black" w:hAnsi="Arial Black"/>
          <w:bCs/>
          <w:sz w:val="28"/>
          <w:szCs w:val="28"/>
        </w:rPr>
        <w:t xml:space="preserve"> </w:t>
      </w:r>
      <w:r>
        <w:rPr>
          <w:rFonts w:ascii="Arial Black" w:hAnsi="Arial Black"/>
          <w:bCs/>
          <w:sz w:val="28"/>
          <w:szCs w:val="28"/>
        </w:rPr>
        <w:t xml:space="preserve">AMERICAN) PROMOTED SAME RACE OF PRIOR PERSON IN POSITION </w:t>
      </w:r>
    </w:p>
    <w:p w14:paraId="29FE3B16" w14:textId="77777777" w:rsidR="00A06387" w:rsidRDefault="00A06387" w:rsidP="00A06387">
      <w:pPr>
        <w:pStyle w:val="NoSpacing"/>
        <w:rPr>
          <w:rFonts w:ascii="Arial Black" w:hAnsi="Arial Black"/>
          <w:b/>
          <w:bCs/>
          <w:sz w:val="28"/>
          <w:szCs w:val="28"/>
        </w:rPr>
      </w:pPr>
    </w:p>
    <w:p w14:paraId="192D73B7"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Cs/>
          <w:sz w:val="24"/>
          <w:szCs w:val="24"/>
        </w:rPr>
        <w:t xml:space="preserve">On Oct. 24, 2919, in </w:t>
      </w:r>
      <w:r w:rsidRPr="00BF4DDE">
        <w:rPr>
          <w:rFonts w:ascii="Times New Roman" w:hAnsi="Times New Roman"/>
          <w:bCs/>
          <w:sz w:val="24"/>
          <w:szCs w:val="24"/>
          <w:u w:val="single"/>
        </w:rPr>
        <w:t>Franklin Edwards v. City of Selma</w:t>
      </w:r>
      <w:r w:rsidRPr="00BF4DDE">
        <w:rPr>
          <w:rFonts w:ascii="Times New Roman" w:hAnsi="Times New Roman"/>
          <w:bCs/>
          <w:sz w:val="24"/>
          <w:szCs w:val="24"/>
        </w:rPr>
        <w:t xml:space="preserve">, U.S. District Court Judge Jeffrey U. </w:t>
      </w:r>
      <w:proofErr w:type="spellStart"/>
      <w:r w:rsidRPr="00BF4DDE">
        <w:rPr>
          <w:rFonts w:ascii="Times New Roman" w:hAnsi="Times New Roman"/>
          <w:bCs/>
          <w:sz w:val="24"/>
          <w:szCs w:val="24"/>
        </w:rPr>
        <w:t>Beaverstock</w:t>
      </w:r>
      <w:proofErr w:type="spellEnd"/>
      <w:r w:rsidRPr="00BF4DDE">
        <w:rPr>
          <w:rFonts w:ascii="Times New Roman" w:hAnsi="Times New Roman"/>
          <w:bCs/>
          <w:sz w:val="24"/>
          <w:szCs w:val="24"/>
        </w:rPr>
        <w:t xml:space="preserve">, U.S. District Court for the Southern District of Alabama (Northern Division) granted summary judgment for the </w:t>
      </w:r>
      <w:proofErr w:type="gramStart"/>
      <w:r w:rsidRPr="00BF4DDE">
        <w:rPr>
          <w:rFonts w:ascii="Times New Roman" w:hAnsi="Times New Roman"/>
          <w:bCs/>
          <w:sz w:val="24"/>
          <w:szCs w:val="24"/>
        </w:rPr>
        <w:t>City</w:t>
      </w:r>
      <w:proofErr w:type="gramEnd"/>
      <w:r w:rsidRPr="00BF4DDE">
        <w:rPr>
          <w:rFonts w:ascii="Times New Roman" w:hAnsi="Times New Roman"/>
          <w:bCs/>
          <w:sz w:val="24"/>
          <w:szCs w:val="24"/>
        </w:rPr>
        <w:t xml:space="preserve">.  </w:t>
      </w:r>
    </w:p>
    <w:p w14:paraId="7FBCFA36" w14:textId="77777777" w:rsidR="00A06387" w:rsidRPr="00BF4DDE" w:rsidRDefault="00A06387" w:rsidP="00A06387">
      <w:pPr>
        <w:pStyle w:val="NoSpacing"/>
        <w:rPr>
          <w:rFonts w:ascii="Times New Roman" w:hAnsi="Times New Roman"/>
          <w:b/>
          <w:bCs/>
          <w:sz w:val="24"/>
          <w:szCs w:val="24"/>
        </w:rPr>
      </w:pPr>
    </w:p>
    <w:p w14:paraId="082D87F9" w14:textId="150FE24D" w:rsidR="00A06387" w:rsidRPr="00BF4DDE" w:rsidRDefault="00A06387" w:rsidP="00A06387">
      <w:pPr>
        <w:ind w:left="720"/>
        <w:rPr>
          <w:rFonts w:ascii="Times New Roman" w:hAnsi="Times New Roman"/>
          <w:b/>
          <w:sz w:val="24"/>
          <w:szCs w:val="24"/>
        </w:rPr>
      </w:pPr>
      <w:r w:rsidRPr="00BF4DDE">
        <w:rPr>
          <w:rFonts w:ascii="Times New Roman" w:hAnsi="Times New Roman"/>
          <w:bCs/>
          <w:sz w:val="24"/>
          <w:szCs w:val="24"/>
        </w:rPr>
        <w:t>“Selma’s proffered reasons for failing to recommend or promote Plaintiff to a ‘Chief-level’ position include that applicants who received recommendations and promotions had been with the Fire Department longer than Plaintiff and had fewer disciplinary infractions… Selma has presented evidence that each candidate who received a ‘Chief-level’ recommendation and promotion was with the Fire Department longer than Plaintiff and/or had fewer disciplinary infractions than Plaintiff. Seniority and disciplinary history are legitimate non-discriminatory reasons for Stephens’ recommendations for promotion.</w:t>
      </w:r>
      <w:r w:rsidR="00BF4DDE">
        <w:rPr>
          <w:rFonts w:ascii="Times New Roman" w:hAnsi="Times New Roman"/>
          <w:bCs/>
          <w:sz w:val="24"/>
          <w:szCs w:val="24"/>
        </w:rPr>
        <w:t xml:space="preserve">” </w:t>
      </w:r>
      <w:hyperlink r:id="rId1660" w:history="1">
        <w:r w:rsidRPr="00BF4DDE">
          <w:rPr>
            <w:rStyle w:val="Hyperlink"/>
            <w:rFonts w:ascii="Times New Roman" w:hAnsi="Times New Roman"/>
            <w:bCs/>
            <w:sz w:val="24"/>
            <w:szCs w:val="24"/>
          </w:rPr>
          <w:t>https://cases.justia.com/federal/district-courts/alabama/alsdce/2:2018cv00293/62967/26/0.pdf?ts=1571995051</w:t>
        </w:r>
      </w:hyperlink>
    </w:p>
    <w:p w14:paraId="3A552CFB"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
          <w:bCs/>
          <w:sz w:val="24"/>
          <w:szCs w:val="24"/>
        </w:rPr>
        <w:t xml:space="preserve">Legal Lessons Learned:  Plaintiff failed to prove that the </w:t>
      </w:r>
      <w:proofErr w:type="gramStart"/>
      <w:r w:rsidRPr="00BF4DDE">
        <w:rPr>
          <w:rFonts w:ascii="Times New Roman" w:hAnsi="Times New Roman"/>
          <w:b/>
          <w:bCs/>
          <w:sz w:val="24"/>
          <w:szCs w:val="24"/>
        </w:rPr>
        <w:t>Mayor</w:t>
      </w:r>
      <w:proofErr w:type="gramEnd"/>
      <w:r w:rsidRPr="00BF4DDE">
        <w:rPr>
          <w:rFonts w:ascii="Times New Roman" w:hAnsi="Times New Roman"/>
          <w:b/>
          <w:bCs/>
          <w:sz w:val="24"/>
          <w:szCs w:val="24"/>
        </w:rPr>
        <w:t xml:space="preserve"> or other city officials knew about or concurred in the alleged “demographic promotion process.” </w:t>
      </w:r>
    </w:p>
    <w:p w14:paraId="5F60E20B" w14:textId="206CC893" w:rsidR="00A06387" w:rsidRPr="00BF4DDE" w:rsidRDefault="00A06387" w:rsidP="00DE0F03">
      <w:pPr>
        <w:rPr>
          <w:rFonts w:ascii="Times New Roman" w:hAnsi="Times New Roman"/>
          <w:b/>
          <w:sz w:val="24"/>
          <w:szCs w:val="24"/>
        </w:rPr>
      </w:pPr>
    </w:p>
    <w:p w14:paraId="29E0B30F" w14:textId="3744396C" w:rsidR="00A06387" w:rsidRDefault="00A06387"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8</w:t>
      </w:r>
    </w:p>
    <w:p w14:paraId="09723C99" w14:textId="6F581999" w:rsidR="00A06387" w:rsidRPr="00864E92" w:rsidRDefault="00A06387" w:rsidP="00A06387">
      <w:pPr>
        <w:pStyle w:val="NoSpacing"/>
        <w:rPr>
          <w:rFonts w:ascii="Arial Black" w:hAnsi="Arial Black"/>
          <w:sz w:val="28"/>
          <w:szCs w:val="28"/>
        </w:rPr>
      </w:pPr>
      <w:bookmarkStart w:id="330" w:name="_Hlk39765060"/>
      <w:r>
        <w:rPr>
          <w:rFonts w:ascii="Arial Black" w:hAnsi="Arial Black"/>
          <w:sz w:val="28"/>
          <w:szCs w:val="28"/>
        </w:rPr>
        <w:t>GA:  APPLICANT (AFRICAN</w:t>
      </w:r>
      <w:r w:rsidR="00BF4DDE">
        <w:rPr>
          <w:rFonts w:ascii="Arial Black" w:hAnsi="Arial Black"/>
          <w:sz w:val="28"/>
          <w:szCs w:val="28"/>
        </w:rPr>
        <w:t xml:space="preserve"> </w:t>
      </w:r>
      <w:r>
        <w:rPr>
          <w:rFonts w:ascii="Arial Black" w:hAnsi="Arial Black"/>
          <w:sz w:val="28"/>
          <w:szCs w:val="28"/>
        </w:rPr>
        <w:t xml:space="preserve">AMERICAN) FOR FIRE CHIEF NOT SELECTED – IN HOUSE CANDIDATE MORE QUALIFIED, EVEN IF NO DEGREE </w:t>
      </w:r>
    </w:p>
    <w:p w14:paraId="7E8B6D34" w14:textId="77777777" w:rsidR="00A06387" w:rsidRDefault="00A06387" w:rsidP="00A06387">
      <w:pPr>
        <w:pStyle w:val="NoSpacing"/>
      </w:pPr>
    </w:p>
    <w:p w14:paraId="45E969DD"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Cs/>
          <w:sz w:val="24"/>
          <w:szCs w:val="24"/>
        </w:rPr>
        <w:t xml:space="preserve">On Oct. 4, 2019, in </w:t>
      </w:r>
      <w:r w:rsidRPr="00BF4DDE">
        <w:rPr>
          <w:rFonts w:ascii="Times New Roman" w:hAnsi="Times New Roman"/>
          <w:bCs/>
          <w:sz w:val="24"/>
          <w:szCs w:val="24"/>
          <w:u w:val="single"/>
        </w:rPr>
        <w:t>Roderick Jolivette v. City of Americus, Georgia</w:t>
      </w:r>
      <w:r w:rsidRPr="00BF4DDE">
        <w:rPr>
          <w:rFonts w:ascii="Times New Roman" w:hAnsi="Times New Roman"/>
          <w:bCs/>
          <w:sz w:val="24"/>
          <w:szCs w:val="24"/>
        </w:rPr>
        <w:t>, the U.S. Court of Appeals for 11</w:t>
      </w:r>
      <w:r w:rsidRPr="00BF4DDE">
        <w:rPr>
          <w:rFonts w:ascii="Times New Roman" w:hAnsi="Times New Roman"/>
          <w:bCs/>
          <w:sz w:val="24"/>
          <w:szCs w:val="24"/>
          <w:vertAlign w:val="superscript"/>
        </w:rPr>
        <w:t>th</w:t>
      </w:r>
      <w:r w:rsidRPr="00BF4DDE">
        <w:rPr>
          <w:rFonts w:ascii="Times New Roman" w:hAnsi="Times New Roman"/>
          <w:bCs/>
          <w:sz w:val="24"/>
          <w:szCs w:val="24"/>
        </w:rPr>
        <w:t xml:space="preserve"> Circuit (Atlanta) held 3 to 0 (unpublished opinion), upheld the U.S. District Court judge’s decision granting summary judgment to the City.  </w:t>
      </w:r>
    </w:p>
    <w:p w14:paraId="268F146F" w14:textId="77777777" w:rsidR="00A06387" w:rsidRPr="00BF4DDE" w:rsidRDefault="00A06387" w:rsidP="00A06387">
      <w:pPr>
        <w:pStyle w:val="NoSpacing"/>
        <w:rPr>
          <w:rFonts w:ascii="Times New Roman" w:hAnsi="Times New Roman"/>
          <w:b/>
          <w:bCs/>
          <w:sz w:val="24"/>
          <w:szCs w:val="24"/>
        </w:rPr>
      </w:pPr>
    </w:p>
    <w:p w14:paraId="5A0FB54C" w14:textId="77777777" w:rsidR="00A06387" w:rsidRPr="00BF4DDE" w:rsidRDefault="00A06387" w:rsidP="00A06387">
      <w:pPr>
        <w:pStyle w:val="NoSpacing"/>
        <w:ind w:left="720"/>
        <w:rPr>
          <w:rFonts w:ascii="Times New Roman" w:hAnsi="Times New Roman"/>
          <w:b/>
          <w:bCs/>
          <w:sz w:val="24"/>
          <w:szCs w:val="24"/>
        </w:rPr>
      </w:pPr>
      <w:r w:rsidRPr="00BF4DDE">
        <w:rPr>
          <w:rFonts w:ascii="Times New Roman" w:hAnsi="Times New Roman"/>
          <w:sz w:val="24"/>
          <w:szCs w:val="24"/>
        </w:rPr>
        <w:t>“</w:t>
      </w:r>
      <w:r w:rsidRPr="00BF4DDE">
        <w:rPr>
          <w:rFonts w:ascii="Times New Roman" w:hAnsi="Times New Roman"/>
          <w:bCs/>
          <w:sz w:val="24"/>
          <w:szCs w:val="24"/>
        </w:rPr>
        <w:t xml:space="preserve">Although Jolivette possessed a bachelor’s degree, as required in the job posting, the City policies weighed equally candidates who possessed an “equivalent combination of education, training, and experience.” Dee Jones, the human resources director for the </w:t>
      </w:r>
      <w:proofErr w:type="gramStart"/>
      <w:r w:rsidRPr="00BF4DDE">
        <w:rPr>
          <w:rFonts w:ascii="Times New Roman" w:hAnsi="Times New Roman"/>
          <w:bCs/>
          <w:sz w:val="24"/>
          <w:szCs w:val="24"/>
        </w:rPr>
        <w:t>City</w:t>
      </w:r>
      <w:proofErr w:type="gramEnd"/>
      <w:r w:rsidRPr="00BF4DDE">
        <w:rPr>
          <w:rFonts w:ascii="Times New Roman" w:hAnsi="Times New Roman"/>
          <w:bCs/>
          <w:sz w:val="24"/>
          <w:szCs w:val="24"/>
        </w:rPr>
        <w:t>, testified that [Roger] Bivins qualified for the position of Fire Chief ‘because of the totality’ of his skills, experience, and education, as provided for in the job posting and ‘our job description.’ Jolivette does not dispute that Bivins possessed skills, experience, and abilities that ‘substitute[d] for a lack of a college degree.’”</w:t>
      </w:r>
    </w:p>
    <w:p w14:paraId="27AB0FAF" w14:textId="46A71A7C" w:rsidR="00A06387" w:rsidRPr="00BF4DDE" w:rsidRDefault="00A06387" w:rsidP="00A06387">
      <w:pPr>
        <w:pStyle w:val="NoSpacing"/>
        <w:ind w:left="720"/>
        <w:rPr>
          <w:rFonts w:ascii="Times New Roman" w:hAnsi="Times New Roman"/>
          <w:bCs/>
          <w:sz w:val="24"/>
          <w:szCs w:val="24"/>
        </w:rPr>
      </w:pPr>
      <w:hyperlink r:id="rId1661" w:history="1">
        <w:r w:rsidRPr="00BF4DDE">
          <w:rPr>
            <w:rStyle w:val="Hyperlink"/>
            <w:rFonts w:ascii="Times New Roman" w:hAnsi="Times New Roman"/>
            <w:bCs/>
            <w:sz w:val="24"/>
            <w:szCs w:val="24"/>
          </w:rPr>
          <w:t>https://cases.justia.com/federal/appellate-courts/ca11/19-10138/19-10138-2019-10-04.pdf?ts=1570197627</w:t>
        </w:r>
      </w:hyperlink>
      <w:bookmarkEnd w:id="330"/>
      <w:r w:rsidRPr="00BF4DDE">
        <w:rPr>
          <w:rFonts w:ascii="Times New Roman" w:hAnsi="Times New Roman"/>
          <w:bCs/>
          <w:sz w:val="24"/>
          <w:szCs w:val="24"/>
        </w:rPr>
        <w:t xml:space="preserve"> </w:t>
      </w:r>
    </w:p>
    <w:p w14:paraId="541F3065" w14:textId="77777777" w:rsidR="00BF4DDE" w:rsidRDefault="00BF4DDE" w:rsidP="00A06387">
      <w:pPr>
        <w:pStyle w:val="NoSpacing"/>
        <w:rPr>
          <w:rFonts w:ascii="Times New Roman" w:hAnsi="Times New Roman"/>
          <w:b/>
          <w:bCs/>
          <w:sz w:val="24"/>
          <w:szCs w:val="24"/>
        </w:rPr>
      </w:pPr>
    </w:p>
    <w:p w14:paraId="5A9015F3" w14:textId="76C0BF90" w:rsidR="00A06387" w:rsidRPr="00BF4DDE" w:rsidRDefault="00A06387" w:rsidP="00A06387">
      <w:pPr>
        <w:pStyle w:val="NoSpacing"/>
        <w:rPr>
          <w:rFonts w:ascii="Times New Roman" w:hAnsi="Times New Roman"/>
          <w:b/>
          <w:bCs/>
          <w:sz w:val="24"/>
          <w:szCs w:val="24"/>
        </w:rPr>
      </w:pPr>
      <w:bookmarkStart w:id="331" w:name="_Hlk40511568"/>
      <w:r w:rsidRPr="00BF4DDE">
        <w:rPr>
          <w:rFonts w:ascii="Times New Roman" w:hAnsi="Times New Roman"/>
          <w:b/>
          <w:bCs/>
          <w:sz w:val="24"/>
          <w:szCs w:val="24"/>
        </w:rPr>
        <w:t>Legal Lessons Learned: Using panel</w:t>
      </w:r>
      <w:r w:rsidR="00363F33">
        <w:rPr>
          <w:rFonts w:ascii="Times New Roman" w:hAnsi="Times New Roman"/>
          <w:b/>
          <w:bCs/>
          <w:sz w:val="24"/>
          <w:szCs w:val="24"/>
        </w:rPr>
        <w:t xml:space="preserve"> of experienced senior officers from other FDs to </w:t>
      </w:r>
      <w:r w:rsidRPr="00BF4DDE">
        <w:rPr>
          <w:rFonts w:ascii="Times New Roman" w:hAnsi="Times New Roman"/>
          <w:b/>
          <w:bCs/>
          <w:sz w:val="24"/>
          <w:szCs w:val="24"/>
        </w:rPr>
        <w:t xml:space="preserve">rate candidates for Fire Chief is a great process. </w:t>
      </w:r>
    </w:p>
    <w:p w14:paraId="64A6F500" w14:textId="77777777" w:rsidR="00A06387" w:rsidRPr="00656FC7" w:rsidRDefault="00A06387" w:rsidP="00A06387">
      <w:pPr>
        <w:pStyle w:val="NoSpacing"/>
        <w:rPr>
          <w:b/>
          <w:bCs/>
          <w:sz w:val="24"/>
          <w:szCs w:val="24"/>
        </w:rPr>
      </w:pPr>
    </w:p>
    <w:bookmarkEnd w:id="331"/>
    <w:p w14:paraId="13AFCE75" w14:textId="77777777" w:rsidR="00A06387" w:rsidRDefault="00A06387" w:rsidP="00A06387">
      <w:pPr>
        <w:pStyle w:val="NoSpacing"/>
        <w:ind w:left="720"/>
        <w:rPr>
          <w:b/>
          <w:bCs/>
          <w:sz w:val="24"/>
          <w:szCs w:val="24"/>
        </w:rPr>
      </w:pPr>
    </w:p>
    <w:p w14:paraId="23581D50" w14:textId="77777777" w:rsidR="00A06387" w:rsidRDefault="00A06387" w:rsidP="00DE0F03">
      <w:pPr>
        <w:rPr>
          <w:rFonts w:ascii="Arial Black" w:hAnsi="Arial Black"/>
          <w:b/>
          <w:sz w:val="24"/>
          <w:szCs w:val="24"/>
        </w:rPr>
      </w:pPr>
    </w:p>
    <w:p w14:paraId="5D9956D6" w14:textId="11E6F5CA" w:rsidR="00853142" w:rsidRDefault="00853142"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7</w:t>
      </w:r>
    </w:p>
    <w:p w14:paraId="045FC81B" w14:textId="77777777" w:rsidR="00853142" w:rsidRDefault="00853142" w:rsidP="00853142">
      <w:pPr>
        <w:pStyle w:val="NoSpacing"/>
        <w:rPr>
          <w:rFonts w:ascii="Arial Black" w:hAnsi="Arial Black"/>
          <w:sz w:val="28"/>
          <w:szCs w:val="28"/>
        </w:rPr>
      </w:pPr>
      <w:bookmarkStart w:id="332" w:name="_Hlk40511653"/>
      <w:r>
        <w:rPr>
          <w:rFonts w:ascii="Arial Black" w:hAnsi="Arial Black"/>
          <w:sz w:val="28"/>
          <w:szCs w:val="28"/>
        </w:rPr>
        <w:t xml:space="preserve">LA: BLACK EMS CAPT. – NITROGLYCERIN WAS FOR MOUTH, NOT CHEST – SUSPENSION / REMEDIATION PROPER - NOT RACE / GENDER </w:t>
      </w:r>
    </w:p>
    <w:p w14:paraId="698C6FE6" w14:textId="77777777" w:rsidR="00853142" w:rsidRDefault="00853142" w:rsidP="00853142">
      <w:pPr>
        <w:pStyle w:val="NoSpacing"/>
      </w:pPr>
    </w:p>
    <w:p w14:paraId="4BADBE52" w14:textId="66241236" w:rsidR="00853142" w:rsidRDefault="00853142" w:rsidP="00853142">
      <w:pPr>
        <w:pStyle w:val="NoSpacing"/>
        <w:rPr>
          <w:rFonts w:ascii="Times New Roman" w:hAnsi="Times New Roman"/>
          <w:sz w:val="24"/>
          <w:szCs w:val="24"/>
        </w:rPr>
      </w:pPr>
      <w:r w:rsidRPr="008F2205">
        <w:rPr>
          <w:rFonts w:ascii="Times New Roman" w:hAnsi="Times New Roman"/>
          <w:sz w:val="24"/>
          <w:szCs w:val="24"/>
        </w:rPr>
        <w:t xml:space="preserve">On Sept. 17, 2019, in </w:t>
      </w:r>
      <w:r w:rsidRPr="008F2205">
        <w:rPr>
          <w:rFonts w:ascii="Times New Roman" w:hAnsi="Times New Roman"/>
          <w:sz w:val="24"/>
          <w:szCs w:val="24"/>
          <w:u w:val="single"/>
        </w:rPr>
        <w:t>Deborah Mills v. City of Shreveport</w:t>
      </w:r>
      <w:r w:rsidRPr="008F2205">
        <w:rPr>
          <w:rFonts w:ascii="Times New Roman" w:hAnsi="Times New Roman"/>
          <w:sz w:val="24"/>
          <w:szCs w:val="24"/>
        </w:rPr>
        <w:t xml:space="preserve">, </w:t>
      </w:r>
      <w:r>
        <w:rPr>
          <w:rFonts w:ascii="Times New Roman" w:hAnsi="Times New Roman"/>
          <w:sz w:val="24"/>
          <w:szCs w:val="24"/>
        </w:rPr>
        <w:t>U.S. District Court Judge Terry A. Doughty, U.S. District Court of Louisiana, Western District</w:t>
      </w:r>
      <w:r w:rsidRPr="00D91FDE">
        <w:rPr>
          <w:rFonts w:ascii="Times New Roman" w:hAnsi="Times New Roman"/>
          <w:sz w:val="24"/>
          <w:szCs w:val="24"/>
        </w:rPr>
        <w:t>, Shreveport Division,</w:t>
      </w:r>
      <w:r>
        <w:rPr>
          <w:b/>
          <w:bCs/>
        </w:rPr>
        <w:t xml:space="preserve"> </w:t>
      </w:r>
      <w:r>
        <w:rPr>
          <w:rFonts w:ascii="Times New Roman" w:hAnsi="Times New Roman"/>
          <w:sz w:val="24"/>
          <w:szCs w:val="24"/>
        </w:rPr>
        <w:t xml:space="preserve">dismissed her claim of “hostile work atmosphere.”  He had previously dismissed her race and gender discrimination claims. </w:t>
      </w:r>
      <w:hyperlink r:id="rId1662" w:history="1">
        <w:r w:rsidRPr="00DB571D">
          <w:rPr>
            <w:rStyle w:val="Hyperlink"/>
            <w:rFonts w:ascii="Times New Roman" w:hAnsi="Times New Roman"/>
            <w:sz w:val="24"/>
            <w:szCs w:val="24"/>
          </w:rPr>
          <w:t>https://scholar.google.com/scholar_case?case=2959279778538737103&amp;hl=en&amp;as_sdt=6,36</w:t>
        </w:r>
      </w:hyperlink>
      <w:r>
        <w:rPr>
          <w:rFonts w:ascii="Times New Roman" w:hAnsi="Times New Roman"/>
          <w:sz w:val="24"/>
          <w:szCs w:val="24"/>
        </w:rPr>
        <w:t xml:space="preserve"> </w:t>
      </w:r>
    </w:p>
    <w:bookmarkEnd w:id="332"/>
    <w:p w14:paraId="636B1B9D" w14:textId="77777777" w:rsidR="00853142" w:rsidRPr="008F2205" w:rsidRDefault="00853142" w:rsidP="00853142">
      <w:pPr>
        <w:pStyle w:val="NoSpacing"/>
        <w:rPr>
          <w:rFonts w:ascii="Times New Roman" w:hAnsi="Times New Roman"/>
          <w:sz w:val="24"/>
          <w:szCs w:val="24"/>
        </w:rPr>
      </w:pPr>
      <w:r>
        <w:rPr>
          <w:rFonts w:ascii="Times New Roman" w:hAnsi="Times New Roman"/>
          <w:sz w:val="24"/>
          <w:szCs w:val="24"/>
        </w:rPr>
        <w:t xml:space="preserve"> </w:t>
      </w:r>
    </w:p>
    <w:p w14:paraId="1F0F4F59"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F2205">
        <w:rPr>
          <w:rFonts w:ascii="Times New Roman" w:hAnsi="Times New Roman"/>
          <w:sz w:val="24"/>
          <w:szCs w:val="24"/>
        </w:rPr>
        <w:t xml:space="preserve">While Mills may subjectively believe that she has been treated differently and more harshly because of her race and/or gender, neither her subjective belief </w:t>
      </w:r>
      <w:proofErr w:type="gramStart"/>
      <w:r w:rsidRPr="008F2205">
        <w:rPr>
          <w:rFonts w:ascii="Times New Roman" w:hAnsi="Times New Roman"/>
          <w:sz w:val="24"/>
          <w:szCs w:val="24"/>
        </w:rPr>
        <w:t>or</w:t>
      </w:r>
      <w:proofErr w:type="gramEnd"/>
      <w:r w:rsidRPr="008F2205">
        <w:rPr>
          <w:rFonts w:ascii="Times New Roman" w:hAnsi="Times New Roman"/>
          <w:sz w:val="24"/>
          <w:szCs w:val="24"/>
        </w:rPr>
        <w:t xml:space="preserve"> that of others is enough to present this case to a jury. The Court finds that Mills has presented no genuine issue of material fact regarding whether she was subjected to harassment based on race or gender, and therefore she has failed to present a </w:t>
      </w:r>
      <w:r w:rsidRPr="008F2205">
        <w:rPr>
          <w:rFonts w:ascii="Times New Roman" w:hAnsi="Times New Roman"/>
          <w:i/>
          <w:iCs/>
          <w:sz w:val="24"/>
          <w:szCs w:val="24"/>
        </w:rPr>
        <w:t>prima facie</w:t>
      </w:r>
      <w:r w:rsidRPr="008F2205">
        <w:rPr>
          <w:rFonts w:ascii="Times New Roman" w:hAnsi="Times New Roman"/>
          <w:sz w:val="24"/>
          <w:szCs w:val="24"/>
        </w:rPr>
        <w:t xml:space="preserve"> case for a hostile work environment under Title VII. Therefore, the Court GRANTS the City's Motion for Summary Judgment on this remaining claim.</w:t>
      </w:r>
      <w:r>
        <w:rPr>
          <w:rFonts w:ascii="Times New Roman" w:hAnsi="Times New Roman"/>
          <w:sz w:val="24"/>
          <w:szCs w:val="24"/>
        </w:rPr>
        <w:t>”</w:t>
      </w:r>
    </w:p>
    <w:p w14:paraId="2963BFBB" w14:textId="77777777" w:rsidR="00853142" w:rsidRDefault="00853142" w:rsidP="00853142">
      <w:pPr>
        <w:pStyle w:val="NoSpacing"/>
        <w:ind w:left="720"/>
        <w:rPr>
          <w:rFonts w:ascii="Times New Roman" w:hAnsi="Times New Roman"/>
          <w:sz w:val="24"/>
          <w:szCs w:val="24"/>
        </w:rPr>
      </w:pPr>
    </w:p>
    <w:p w14:paraId="72BF3DD3" w14:textId="2228C2EF" w:rsidR="00853142" w:rsidRDefault="00853142" w:rsidP="00853142">
      <w:pPr>
        <w:pStyle w:val="NoSpacing"/>
      </w:pPr>
      <w:r>
        <w:rPr>
          <w:rFonts w:ascii="Times New Roman" w:hAnsi="Times New Roman"/>
          <w:sz w:val="24"/>
          <w:szCs w:val="24"/>
        </w:rPr>
        <w:t xml:space="preserve">On June 21, 2019, her other claims of race and gender discrimination were dismissed: </w:t>
      </w:r>
      <w:hyperlink r:id="rId1663" w:history="1">
        <w:r w:rsidRPr="00062632">
          <w:rPr>
            <w:rStyle w:val="Hyperlink"/>
            <w:rFonts w:ascii="Times New Roman" w:hAnsi="Times New Roman"/>
            <w:sz w:val="24"/>
            <w:szCs w:val="24"/>
          </w:rPr>
          <w:t>https://www.leagle.com/decision/infdco20190624a02</w:t>
        </w:r>
      </w:hyperlink>
      <w:r>
        <w:rPr>
          <w:rFonts w:ascii="Times New Roman" w:hAnsi="Times New Roman"/>
          <w:sz w:val="24"/>
          <w:szCs w:val="24"/>
        </w:rPr>
        <w:t xml:space="preserve">  </w:t>
      </w:r>
    </w:p>
    <w:p w14:paraId="2DB3C023" w14:textId="77777777" w:rsidR="00853142" w:rsidRDefault="00853142" w:rsidP="00853142">
      <w:pPr>
        <w:pStyle w:val="NoSpacing"/>
        <w:rPr>
          <w:rFonts w:ascii="Times New Roman" w:hAnsi="Times New Roman"/>
          <w:sz w:val="24"/>
          <w:szCs w:val="24"/>
        </w:rPr>
      </w:pPr>
    </w:p>
    <w:p w14:paraId="266D51BA" w14:textId="5697C054" w:rsidR="00853142" w:rsidRDefault="00853142" w:rsidP="00853142">
      <w:pPr>
        <w:pStyle w:val="NoSpacing"/>
        <w:rPr>
          <w:rFonts w:ascii="Times New Roman" w:hAnsi="Times New Roman"/>
          <w:b/>
          <w:bCs/>
          <w:sz w:val="24"/>
          <w:szCs w:val="24"/>
        </w:rPr>
      </w:pPr>
      <w:bookmarkStart w:id="333" w:name="_Hlk40511708"/>
      <w:r w:rsidRPr="009871EA">
        <w:rPr>
          <w:rFonts w:ascii="Times New Roman" w:hAnsi="Times New Roman"/>
          <w:b/>
          <w:bCs/>
          <w:sz w:val="24"/>
          <w:szCs w:val="24"/>
        </w:rPr>
        <w:t xml:space="preserve">Legal Lessons Learned:  </w:t>
      </w:r>
      <w:r>
        <w:rPr>
          <w:rFonts w:ascii="Times New Roman" w:hAnsi="Times New Roman"/>
          <w:b/>
          <w:bCs/>
          <w:sz w:val="24"/>
          <w:szCs w:val="24"/>
        </w:rPr>
        <w:t xml:space="preserve">EMS protocols must be followed, and suspension / remediation training is an appropriate corrective action.    </w:t>
      </w:r>
      <w:bookmarkEnd w:id="333"/>
      <w:r>
        <w:rPr>
          <w:rFonts w:ascii="Times New Roman" w:hAnsi="Times New Roman"/>
          <w:b/>
          <w:bCs/>
          <w:sz w:val="24"/>
          <w:szCs w:val="24"/>
        </w:rPr>
        <w:t>[Also filed, Chap. 13, EMS.]</w:t>
      </w:r>
    </w:p>
    <w:p w14:paraId="4AE507B0" w14:textId="77777777" w:rsidR="00853142" w:rsidRDefault="00853142" w:rsidP="00853142">
      <w:pPr>
        <w:pStyle w:val="NoSpacing"/>
        <w:rPr>
          <w:rFonts w:ascii="Times New Roman" w:hAnsi="Times New Roman"/>
          <w:b/>
          <w:bCs/>
          <w:sz w:val="24"/>
          <w:szCs w:val="24"/>
        </w:rPr>
      </w:pPr>
    </w:p>
    <w:p w14:paraId="4AA3AE3A" w14:textId="5F9AEE97" w:rsidR="00853142" w:rsidRDefault="00853142" w:rsidP="00DE0F03">
      <w:pPr>
        <w:rPr>
          <w:rFonts w:ascii="Arial Black" w:hAnsi="Arial Black"/>
          <w:b/>
          <w:sz w:val="24"/>
          <w:szCs w:val="24"/>
        </w:rPr>
      </w:pPr>
    </w:p>
    <w:p w14:paraId="55BFF9FC" w14:textId="37E92331" w:rsidR="00C80464" w:rsidRDefault="00C80464"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6</w:t>
      </w:r>
    </w:p>
    <w:p w14:paraId="01A93CC9" w14:textId="77777777" w:rsidR="00C80464" w:rsidRDefault="00C80464" w:rsidP="00C80464">
      <w:pPr>
        <w:rPr>
          <w:rFonts w:ascii="Arial Black" w:hAnsi="Arial Black"/>
          <w:sz w:val="28"/>
          <w:szCs w:val="28"/>
        </w:rPr>
      </w:pPr>
      <w:r w:rsidRPr="008D7870">
        <w:rPr>
          <w:rFonts w:ascii="Arial Black" w:hAnsi="Arial Black"/>
          <w:sz w:val="28"/>
          <w:szCs w:val="28"/>
        </w:rPr>
        <w:t xml:space="preserve">MO: </w:t>
      </w:r>
      <w:r>
        <w:rPr>
          <w:rFonts w:ascii="Arial Black" w:hAnsi="Arial Black"/>
          <w:sz w:val="28"/>
          <w:szCs w:val="28"/>
        </w:rPr>
        <w:t>BLACK FF SCORED 32</w:t>
      </w:r>
      <w:r w:rsidRPr="00502E41">
        <w:rPr>
          <w:rFonts w:ascii="Arial Black" w:hAnsi="Arial Black"/>
          <w:sz w:val="28"/>
          <w:szCs w:val="28"/>
          <w:vertAlign w:val="superscript"/>
        </w:rPr>
        <w:t>nd</w:t>
      </w:r>
      <w:r>
        <w:rPr>
          <w:rFonts w:ascii="Arial Black" w:hAnsi="Arial Black"/>
          <w:sz w:val="28"/>
          <w:szCs w:val="28"/>
        </w:rPr>
        <w:t xml:space="preserve"> CAPTAIN’S TEST – RESIGNED 1-YR LATER &amp; RETIRED – NOT “CONSTRUCTIVE DISCHARGE” </w:t>
      </w:r>
    </w:p>
    <w:p w14:paraId="548D9C79" w14:textId="3C263712" w:rsidR="00C80464" w:rsidRDefault="00C80464" w:rsidP="00C80464">
      <w:pPr>
        <w:rPr>
          <w:rFonts w:ascii="Times New Roman" w:hAnsi="Times New Roman"/>
          <w:sz w:val="24"/>
          <w:szCs w:val="24"/>
        </w:rPr>
      </w:pPr>
      <w:r w:rsidRPr="008D7870">
        <w:rPr>
          <w:rFonts w:ascii="Times New Roman" w:hAnsi="Times New Roman"/>
          <w:sz w:val="24"/>
          <w:szCs w:val="24"/>
        </w:rPr>
        <w:t xml:space="preserve">On </w:t>
      </w:r>
      <w:bookmarkStart w:id="334" w:name="_Hlk39838078"/>
      <w:r w:rsidRPr="008D7870">
        <w:rPr>
          <w:rFonts w:ascii="Times New Roman" w:hAnsi="Times New Roman"/>
          <w:sz w:val="24"/>
          <w:szCs w:val="24"/>
        </w:rPr>
        <w:t xml:space="preserve">Sept. 6, 2019, in </w:t>
      </w:r>
      <w:r w:rsidRPr="008D7870">
        <w:rPr>
          <w:rFonts w:ascii="Times New Roman" w:hAnsi="Times New Roman"/>
          <w:sz w:val="24"/>
          <w:szCs w:val="24"/>
          <w:u w:val="single"/>
        </w:rPr>
        <w:t xml:space="preserve">Travis </w:t>
      </w:r>
      <w:proofErr w:type="spellStart"/>
      <w:r w:rsidRPr="008D7870">
        <w:rPr>
          <w:rFonts w:ascii="Times New Roman" w:hAnsi="Times New Roman"/>
          <w:sz w:val="24"/>
          <w:szCs w:val="24"/>
          <w:u w:val="single"/>
        </w:rPr>
        <w:t>Yeargans</w:t>
      </w:r>
      <w:proofErr w:type="spellEnd"/>
      <w:r w:rsidRPr="008D7870">
        <w:rPr>
          <w:rFonts w:ascii="Times New Roman" w:hAnsi="Times New Roman"/>
          <w:sz w:val="24"/>
          <w:szCs w:val="24"/>
          <w:u w:val="single"/>
        </w:rPr>
        <w:t xml:space="preserve"> v. City of Kansas City</w:t>
      </w:r>
      <w:r w:rsidRPr="008D7870">
        <w:rPr>
          <w:rFonts w:ascii="Times New Roman" w:hAnsi="Times New Roman"/>
          <w:sz w:val="24"/>
          <w:szCs w:val="24"/>
        </w:rPr>
        <w:t xml:space="preserve">, </w:t>
      </w:r>
      <w:bookmarkEnd w:id="334"/>
      <w:r>
        <w:rPr>
          <w:rFonts w:ascii="Times New Roman" w:hAnsi="Times New Roman"/>
          <w:sz w:val="24"/>
          <w:szCs w:val="24"/>
        </w:rPr>
        <w:t xml:space="preserve">Senior U.S. District Court Judge </w:t>
      </w:r>
      <w:proofErr w:type="spellStart"/>
      <w:r>
        <w:rPr>
          <w:rFonts w:ascii="Times New Roman" w:hAnsi="Times New Roman"/>
          <w:sz w:val="24"/>
          <w:szCs w:val="24"/>
        </w:rPr>
        <w:t>Ortrie</w:t>
      </w:r>
      <w:proofErr w:type="spellEnd"/>
      <w:r>
        <w:rPr>
          <w:rFonts w:ascii="Times New Roman" w:hAnsi="Times New Roman"/>
          <w:sz w:val="24"/>
          <w:szCs w:val="24"/>
        </w:rPr>
        <w:t xml:space="preserve"> D. Smith, U.S. District Court for Western District of Missouri, granted the City’s motion for summary judgment on the “constructive discharge” claim.  The lawsuit alleging other racial discrimination claims may now proceed to trial. </w:t>
      </w:r>
    </w:p>
    <w:p w14:paraId="57B8A34D" w14:textId="77777777" w:rsidR="00C80464" w:rsidRDefault="00C80464" w:rsidP="00C80464">
      <w:pPr>
        <w:rPr>
          <w:rFonts w:ascii="Times New Roman" w:hAnsi="Times New Roman"/>
          <w:sz w:val="24"/>
          <w:szCs w:val="24"/>
        </w:rPr>
      </w:pPr>
      <w:r>
        <w:rPr>
          <w:rFonts w:ascii="Times New Roman" w:hAnsi="Times New Roman"/>
          <w:sz w:val="24"/>
          <w:szCs w:val="24"/>
        </w:rPr>
        <w:tab/>
        <w:t xml:space="preserve">Senior Judge Smith wrote: </w:t>
      </w:r>
    </w:p>
    <w:p w14:paraId="615DA201" w14:textId="77777777" w:rsidR="00C80464" w:rsidRDefault="00C80464" w:rsidP="00C80464">
      <w:pPr>
        <w:pStyle w:val="NormalWeb"/>
        <w:ind w:left="1440"/>
      </w:pPr>
      <w:r>
        <w:t xml:space="preserve">“Moreover, Plaintiff admits he did not discuss his reasons for leaving the KCFD with Defendant, and he did not complain to Defendant that he was the victim of discrimination. </w:t>
      </w:r>
      <w:proofErr w:type="gramStart"/>
      <w:r>
        <w:t>Doc. #</w:t>
      </w:r>
      <w:proofErr w:type="gramEnd"/>
      <w:r>
        <w:t xml:space="preserve">36-5, at 1-2. These admissions are fatal to his constructive discharge claim. </w:t>
      </w:r>
      <w:r>
        <w:rPr>
          <w:i/>
          <w:iCs/>
        </w:rPr>
        <w:t>See, e.g., Anda,</w:t>
      </w:r>
      <w:r>
        <w:t xml:space="preserve"> 517 F.3d at 535; </w:t>
      </w:r>
      <w:r>
        <w:rPr>
          <w:i/>
          <w:iCs/>
        </w:rPr>
        <w:t>Davison,</w:t>
      </w:r>
      <w:r>
        <w:t xml:space="preserve"> 121 F. </w:t>
      </w:r>
      <w:proofErr w:type="spellStart"/>
      <w:r>
        <w:t>App'x</w:t>
      </w:r>
      <w:proofErr w:type="spellEnd"/>
      <w:r>
        <w:t xml:space="preserve"> at 672; </w:t>
      </w:r>
      <w:r>
        <w:rPr>
          <w:i/>
          <w:iCs/>
        </w:rPr>
        <w:t>Williams v. City of Kan. City,</w:t>
      </w:r>
      <w:r>
        <w:t> </w:t>
      </w:r>
      <w:hyperlink r:id="rId1664" w:history="1">
        <w:r>
          <w:rPr>
            <w:rStyle w:val="Hyperlink"/>
          </w:rPr>
          <w:t>223 F.3d 749</w:t>
        </w:r>
      </w:hyperlink>
      <w:r>
        <w:t xml:space="preserve">, 754 (8th Cir. 2000) (finding the plaintiff did not give the city an opportunity to address her concerns, and therefore, the Court could not say resignation was the plaintiff's only plausible alternative); </w:t>
      </w:r>
      <w:r>
        <w:rPr>
          <w:i/>
          <w:iCs/>
        </w:rPr>
        <w:t>Knowles v. Citicorp Mortg., Inc.,</w:t>
      </w:r>
      <w:r>
        <w:t> </w:t>
      </w:r>
      <w:hyperlink r:id="rId1665" w:history="1">
        <w:r>
          <w:rPr>
            <w:rStyle w:val="Hyperlink"/>
          </w:rPr>
          <w:t>142 F.3d 1082</w:t>
        </w:r>
      </w:hyperlink>
      <w:r>
        <w:t>, 1086 (8th Cir. 1998) (citations omitted).</w:t>
      </w:r>
    </w:p>
    <w:p w14:paraId="7D10CBF1" w14:textId="086CE11A" w:rsidR="005A395B" w:rsidRDefault="00C80464" w:rsidP="005A395B">
      <w:pPr>
        <w:pStyle w:val="NormalWeb"/>
        <w:ind w:left="1440"/>
      </w:pPr>
      <w:r>
        <w:t xml:space="preserve">In addition, Plaintiff does not explain why he left his employment in April 2014 when he received his oral examination scores in November 2012, and the promotional list was published in December 2012. Plaintiff does not demonstrate how his working conditions became ‘so intolerable’ during that timeframe. In fact, Plaintiff points to nothing specific that occurred during that timeframe that rendered his working conditions so intolerable. Instead, the passage of more than a year between the alleged discriminatory act(s) and Plaintiff's decision to leave his employment does not support his contention that his working conditions were </w:t>
      </w:r>
      <w:r w:rsidRPr="00EA4108">
        <w:t>so intolerable he felt he had no choice but to quit.”</w:t>
      </w:r>
      <w:r w:rsidR="005A395B">
        <w:t xml:space="preserve"> </w:t>
      </w:r>
      <w:bookmarkStart w:id="335" w:name="_Hlk39838123"/>
      <w:r w:rsidR="005A395B">
        <w:fldChar w:fldCharType="begin"/>
      </w:r>
      <w:r w:rsidR="005A395B">
        <w:instrText xml:space="preserve"> HYPERLINK "https://www.leagle.com/decision/infdco20190909844" </w:instrText>
      </w:r>
      <w:r w:rsidR="005A395B">
        <w:fldChar w:fldCharType="separate"/>
      </w:r>
      <w:r w:rsidR="005A395B" w:rsidRPr="00C712CE">
        <w:rPr>
          <w:rStyle w:val="Hyperlink"/>
        </w:rPr>
        <w:t>https://www.leagle.com/decision/infdco20190909844</w:t>
      </w:r>
      <w:r w:rsidR="005A395B">
        <w:rPr>
          <w:rStyle w:val="Hyperlink"/>
        </w:rPr>
        <w:fldChar w:fldCharType="end"/>
      </w:r>
      <w:r w:rsidR="005A395B">
        <w:t xml:space="preserve"> </w:t>
      </w:r>
    </w:p>
    <w:bookmarkEnd w:id="335"/>
    <w:p w14:paraId="30DF2EBD" w14:textId="77777777" w:rsidR="005A395B" w:rsidRPr="00EA4108" w:rsidRDefault="005A395B" w:rsidP="00C80464">
      <w:pPr>
        <w:pStyle w:val="NormalWeb"/>
        <w:ind w:left="1440"/>
      </w:pPr>
    </w:p>
    <w:p w14:paraId="2536D4AC" w14:textId="64177E4A" w:rsidR="00C80464" w:rsidRPr="00502E41" w:rsidRDefault="00C80464" w:rsidP="00C80464">
      <w:pPr>
        <w:pStyle w:val="Heading1"/>
        <w:rPr>
          <w:sz w:val="24"/>
          <w:szCs w:val="24"/>
        </w:rPr>
      </w:pPr>
      <w:r w:rsidRPr="00502E41">
        <w:rPr>
          <w:sz w:val="24"/>
          <w:szCs w:val="24"/>
        </w:rPr>
        <w:t xml:space="preserve">Legal Lessons Learned: The promotion process used </w:t>
      </w:r>
      <w:r>
        <w:rPr>
          <w:sz w:val="24"/>
          <w:szCs w:val="24"/>
        </w:rPr>
        <w:t xml:space="preserve">by Kansas City </w:t>
      </w:r>
      <w:r w:rsidRPr="00502E41">
        <w:rPr>
          <w:sz w:val="24"/>
          <w:szCs w:val="24"/>
        </w:rPr>
        <w:t>was well constructed</w:t>
      </w:r>
      <w:r>
        <w:rPr>
          <w:sz w:val="24"/>
          <w:szCs w:val="24"/>
        </w:rPr>
        <w:t xml:space="preserve"> and well documented</w:t>
      </w:r>
      <w:r w:rsidRPr="00502E41">
        <w:rPr>
          <w:sz w:val="24"/>
          <w:szCs w:val="24"/>
        </w:rPr>
        <w:t>.  If a firefighter believes that a promotion process was improperly conducted, or racially discriminatory, promptly file an internal complaint so the matter can be investigated</w:t>
      </w:r>
      <w:r>
        <w:rPr>
          <w:sz w:val="24"/>
          <w:szCs w:val="24"/>
        </w:rPr>
        <w:t xml:space="preserve">, or file an </w:t>
      </w:r>
      <w:r w:rsidRPr="00502E41">
        <w:rPr>
          <w:sz w:val="24"/>
          <w:szCs w:val="24"/>
        </w:rPr>
        <w:t xml:space="preserve">EEOC charge: </w:t>
      </w:r>
      <w:r>
        <w:rPr>
          <w:sz w:val="24"/>
          <w:szCs w:val="24"/>
        </w:rPr>
        <w:t>“</w:t>
      </w:r>
      <w:r w:rsidRPr="00502E41">
        <w:rPr>
          <w:sz w:val="24"/>
          <w:szCs w:val="24"/>
        </w:rPr>
        <w:t xml:space="preserve">Time Limits </w:t>
      </w:r>
      <w:proofErr w:type="gramStart"/>
      <w:r w:rsidRPr="00502E41">
        <w:rPr>
          <w:sz w:val="24"/>
          <w:szCs w:val="24"/>
        </w:rPr>
        <w:t>For</w:t>
      </w:r>
      <w:proofErr w:type="gramEnd"/>
      <w:r w:rsidRPr="00502E41">
        <w:rPr>
          <w:sz w:val="24"/>
          <w:szCs w:val="24"/>
        </w:rPr>
        <w:t xml:space="preserve"> Filing </w:t>
      </w:r>
      <w:proofErr w:type="gramStart"/>
      <w:r w:rsidRPr="00502E41">
        <w:rPr>
          <w:sz w:val="24"/>
          <w:szCs w:val="24"/>
        </w:rPr>
        <w:t>A</w:t>
      </w:r>
      <w:proofErr w:type="gramEnd"/>
      <w:r w:rsidRPr="00502E41">
        <w:rPr>
          <w:sz w:val="24"/>
          <w:szCs w:val="24"/>
        </w:rPr>
        <w:t xml:space="preserve"> Charge</w:t>
      </w:r>
      <w:r>
        <w:rPr>
          <w:sz w:val="24"/>
          <w:szCs w:val="24"/>
        </w:rPr>
        <w:t xml:space="preserve">: </w:t>
      </w:r>
      <w:r w:rsidRPr="00502E41">
        <w:rPr>
          <w:sz w:val="24"/>
          <w:szCs w:val="24"/>
        </w:rPr>
        <w:t xml:space="preserve">The anti-discrimination laws give you a limited amount of time to file a charge of discrimination. In general, you need to file a charge within 180 calendar days from the day the discrimination took place. The </w:t>
      </w:r>
      <w:proofErr w:type="gramStart"/>
      <w:r w:rsidRPr="00502E41">
        <w:rPr>
          <w:sz w:val="24"/>
          <w:szCs w:val="24"/>
        </w:rPr>
        <w:t>180</w:t>
      </w:r>
      <w:r w:rsidR="00BF4DDE">
        <w:rPr>
          <w:sz w:val="24"/>
          <w:szCs w:val="24"/>
        </w:rPr>
        <w:t xml:space="preserve"> </w:t>
      </w:r>
      <w:r w:rsidRPr="00502E41">
        <w:rPr>
          <w:sz w:val="24"/>
          <w:szCs w:val="24"/>
        </w:rPr>
        <w:t>calendar</w:t>
      </w:r>
      <w:proofErr w:type="gramEnd"/>
      <w:r>
        <w:rPr>
          <w:sz w:val="24"/>
          <w:szCs w:val="24"/>
        </w:rPr>
        <w:t xml:space="preserve"> </w:t>
      </w:r>
      <w:r w:rsidRPr="00502E41">
        <w:rPr>
          <w:sz w:val="24"/>
          <w:szCs w:val="24"/>
        </w:rPr>
        <w:t xml:space="preserve">day filing deadline is extended to 300 calendar days if a state or local agency enforces a law that prohibits employment discrimination on the same basis. </w:t>
      </w:r>
      <w:hyperlink r:id="rId1666" w:history="1">
        <w:r w:rsidRPr="00C712CE">
          <w:rPr>
            <w:rStyle w:val="Hyperlink"/>
            <w:sz w:val="24"/>
            <w:szCs w:val="24"/>
          </w:rPr>
          <w:t>https://www.eeoc.gov/employees/timeliness.cfm</w:t>
        </w:r>
      </w:hyperlink>
      <w:r>
        <w:rPr>
          <w:sz w:val="24"/>
          <w:szCs w:val="24"/>
        </w:rPr>
        <w:t xml:space="preserve"> </w:t>
      </w:r>
    </w:p>
    <w:p w14:paraId="033B93A8" w14:textId="77777777" w:rsidR="00853142" w:rsidRDefault="00853142" w:rsidP="00DE0F03">
      <w:pPr>
        <w:rPr>
          <w:rFonts w:ascii="Arial Black" w:hAnsi="Arial Black"/>
          <w:b/>
          <w:sz w:val="24"/>
          <w:szCs w:val="24"/>
        </w:rPr>
      </w:pPr>
    </w:p>
    <w:p w14:paraId="480E87CF" w14:textId="77777777" w:rsidR="00853142" w:rsidRDefault="00853142" w:rsidP="00DE0F03">
      <w:pPr>
        <w:rPr>
          <w:rFonts w:ascii="Arial Black" w:hAnsi="Arial Black"/>
          <w:b/>
          <w:sz w:val="24"/>
          <w:szCs w:val="24"/>
        </w:rPr>
      </w:pPr>
    </w:p>
    <w:p w14:paraId="24CA077B" w14:textId="0C23E665" w:rsidR="009F0F05" w:rsidRDefault="009F0F05"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5</w:t>
      </w:r>
    </w:p>
    <w:p w14:paraId="429CDB91" w14:textId="77777777" w:rsidR="009F0F05" w:rsidRDefault="009F0F05" w:rsidP="009F0F05">
      <w:pPr>
        <w:rPr>
          <w:rFonts w:ascii="Arial Black" w:hAnsi="Arial Black"/>
          <w:sz w:val="28"/>
          <w:szCs w:val="28"/>
        </w:rPr>
      </w:pPr>
      <w:bookmarkStart w:id="336" w:name="_Hlk39765165"/>
      <w:r>
        <w:rPr>
          <w:rFonts w:ascii="Arial Black" w:hAnsi="Arial Black"/>
          <w:sz w:val="28"/>
          <w:szCs w:val="28"/>
        </w:rPr>
        <w:t>U.S. SUP. CT:  MURDER DEFENDANT GETS NEW TRIAL (HIS 7</w:t>
      </w:r>
      <w:r w:rsidRPr="008C483C">
        <w:rPr>
          <w:rFonts w:ascii="Arial Black" w:hAnsi="Arial Black"/>
          <w:sz w:val="28"/>
          <w:szCs w:val="28"/>
          <w:vertAlign w:val="superscript"/>
        </w:rPr>
        <w:t>TH</w:t>
      </w:r>
      <w:r>
        <w:rPr>
          <w:rFonts w:ascii="Arial Black" w:hAnsi="Arial Black"/>
          <w:sz w:val="28"/>
          <w:szCs w:val="28"/>
        </w:rPr>
        <w:t xml:space="preserve">) - PROSECUTOR REPEATEDLY REMOVED BLACKS FROM JURY </w:t>
      </w:r>
    </w:p>
    <w:p w14:paraId="16A00F70" w14:textId="424D72BA" w:rsidR="009F0F05" w:rsidRPr="00AB528C" w:rsidRDefault="009F0F05" w:rsidP="009F0F05">
      <w:pPr>
        <w:rPr>
          <w:rFonts w:ascii="Times New Roman" w:hAnsi="Times New Roman"/>
          <w:sz w:val="24"/>
          <w:szCs w:val="24"/>
        </w:rPr>
      </w:pPr>
      <w:bookmarkStart w:id="337" w:name="_Hlk39837497"/>
      <w:r w:rsidRPr="00AB528C">
        <w:rPr>
          <w:rFonts w:ascii="Times New Roman" w:hAnsi="Times New Roman"/>
          <w:sz w:val="24"/>
          <w:szCs w:val="24"/>
        </w:rPr>
        <w:t xml:space="preserve">On June 21, 2019, in </w:t>
      </w:r>
      <w:r w:rsidRPr="00AB528C">
        <w:rPr>
          <w:rFonts w:ascii="Times New Roman" w:hAnsi="Times New Roman"/>
          <w:sz w:val="24"/>
          <w:szCs w:val="24"/>
          <w:u w:val="single"/>
        </w:rPr>
        <w:t>Flowers v. Mississippi</w:t>
      </w:r>
      <w:bookmarkEnd w:id="337"/>
      <w:r w:rsidRPr="00AB528C">
        <w:rPr>
          <w:rFonts w:ascii="Times New Roman" w:hAnsi="Times New Roman"/>
          <w:sz w:val="24"/>
          <w:szCs w:val="24"/>
        </w:rPr>
        <w:t xml:space="preserve">, the U.S. Supreme Court (7 to 2), </w:t>
      </w:r>
      <w:r>
        <w:rPr>
          <w:rFonts w:ascii="Times New Roman" w:hAnsi="Times New Roman"/>
          <w:sz w:val="24"/>
          <w:szCs w:val="24"/>
        </w:rPr>
        <w:t xml:space="preserve">overturned the defendant’s </w:t>
      </w:r>
      <w:r w:rsidRPr="00AB528C">
        <w:rPr>
          <w:rFonts w:ascii="Times New Roman" w:hAnsi="Times New Roman"/>
          <w:sz w:val="24"/>
          <w:szCs w:val="24"/>
        </w:rPr>
        <w:t>conviction of murdering four people</w:t>
      </w:r>
      <w:r>
        <w:rPr>
          <w:rFonts w:ascii="Times New Roman" w:hAnsi="Times New Roman"/>
          <w:sz w:val="24"/>
          <w:szCs w:val="24"/>
        </w:rPr>
        <w:t>, and remand the case for re-trial (he has previously been tried six times for the murders).</w:t>
      </w:r>
      <w:r w:rsidRPr="00AB528C">
        <w:rPr>
          <w:rFonts w:ascii="Times New Roman" w:hAnsi="Times New Roman"/>
          <w:sz w:val="24"/>
          <w:szCs w:val="24"/>
        </w:rPr>
        <w:t xml:space="preserve"> </w:t>
      </w:r>
    </w:p>
    <w:p w14:paraId="157CF34A" w14:textId="77777777" w:rsidR="009F0F05" w:rsidRPr="00D3075E" w:rsidRDefault="009F0F05" w:rsidP="009F0F05">
      <w:pPr>
        <w:rPr>
          <w:rFonts w:ascii="Times New Roman" w:hAnsi="Times New Roman"/>
          <w:sz w:val="24"/>
          <w:szCs w:val="24"/>
        </w:rPr>
      </w:pPr>
      <w:r>
        <w:rPr>
          <w:sz w:val="27"/>
          <w:szCs w:val="27"/>
        </w:rPr>
        <w:tab/>
      </w:r>
      <w:r w:rsidRPr="00D3075E">
        <w:rPr>
          <w:rFonts w:ascii="Times New Roman" w:hAnsi="Times New Roman"/>
          <w:sz w:val="24"/>
          <w:szCs w:val="24"/>
        </w:rPr>
        <w:t xml:space="preserve">Justice </w:t>
      </w:r>
      <w:r>
        <w:rPr>
          <w:rFonts w:ascii="Times New Roman" w:hAnsi="Times New Roman"/>
          <w:sz w:val="24"/>
          <w:szCs w:val="24"/>
        </w:rPr>
        <w:t xml:space="preserve">Brett </w:t>
      </w:r>
      <w:r w:rsidRPr="00D3075E">
        <w:rPr>
          <w:rFonts w:ascii="Times New Roman" w:hAnsi="Times New Roman"/>
          <w:sz w:val="24"/>
          <w:szCs w:val="24"/>
        </w:rPr>
        <w:t xml:space="preserve">Kavanaugh wrote majority opinion: </w:t>
      </w:r>
    </w:p>
    <w:p w14:paraId="4DC68B48" w14:textId="77777777" w:rsidR="00DB482B" w:rsidRPr="00AB528C" w:rsidRDefault="009F0F05" w:rsidP="00DB482B">
      <w:pPr>
        <w:ind w:left="720"/>
        <w:rPr>
          <w:rFonts w:ascii="Times New Roman" w:hAnsi="Times New Roman"/>
          <w:sz w:val="24"/>
          <w:szCs w:val="24"/>
        </w:rPr>
      </w:pPr>
      <w:r>
        <w:rPr>
          <w:sz w:val="27"/>
          <w:szCs w:val="27"/>
        </w:rPr>
        <w:t>“</w:t>
      </w:r>
      <w:r w:rsidRPr="00D3075E">
        <w:rPr>
          <w:rFonts w:ascii="Times New Roman" w:hAnsi="Times New Roman"/>
          <w:sz w:val="24"/>
          <w:szCs w:val="24"/>
        </w:rPr>
        <w:t>Four critical facts, taken together, require reversal. First, in the six trials combined, the State employed its peremptory challenges to strike 41 of the 42 black prospective jurors that it could have struck</w:t>
      </w:r>
      <w:proofErr w:type="gramStart"/>
      <w:r w:rsidRPr="00D3075E">
        <w:rPr>
          <w:rFonts w:ascii="Times New Roman" w:hAnsi="Times New Roman"/>
          <w:sz w:val="24"/>
          <w:szCs w:val="24"/>
        </w:rPr>
        <w:t>—a statistic</w:t>
      </w:r>
      <w:proofErr w:type="gramEnd"/>
      <w:r w:rsidRPr="00D3075E">
        <w:rPr>
          <w:rFonts w:ascii="Times New Roman" w:hAnsi="Times New Roman"/>
          <w:sz w:val="24"/>
          <w:szCs w:val="24"/>
        </w:rPr>
        <w:t xml:space="preserve"> that the State acknowledged at oral argument in this Court. Tr. of Oral Arg. 32. Second, in the most recent trial, the sixth trial, the State exercised peremptory strikes against five of the six black prospective jurors. Third, at the sixth trial, in an apparent effort to find pretextual reasons to strike black prospective jurors, the State engaged in dramatically disparate questioning of black and white prospective</w:t>
      </w:r>
      <w:r>
        <w:rPr>
          <w:rFonts w:ascii="Times New Roman" w:hAnsi="Times New Roman"/>
          <w:sz w:val="24"/>
          <w:szCs w:val="24"/>
        </w:rPr>
        <w:t xml:space="preserve"> </w:t>
      </w:r>
      <w:r w:rsidRPr="00D3075E">
        <w:rPr>
          <w:rFonts w:ascii="Times New Roman" w:hAnsi="Times New Roman"/>
          <w:sz w:val="24"/>
          <w:szCs w:val="24"/>
        </w:rPr>
        <w:t xml:space="preserve">jurors. Fourth, the State then struck at least one black prospective juror, Carolyn Wright, who was similarly situated to white prospective jurors who were not struck by the </w:t>
      </w:r>
      <w:proofErr w:type="gramStart"/>
      <w:r w:rsidRPr="00D3075E">
        <w:rPr>
          <w:rFonts w:ascii="Times New Roman" w:hAnsi="Times New Roman"/>
          <w:sz w:val="24"/>
          <w:szCs w:val="24"/>
        </w:rPr>
        <w:t>State</w:t>
      </w:r>
      <w:r>
        <w:rPr>
          <w:rFonts w:ascii="Times New Roman" w:hAnsi="Times New Roman"/>
          <w:sz w:val="24"/>
          <w:szCs w:val="24"/>
        </w:rPr>
        <w:t>.”</w:t>
      </w:r>
      <w:proofErr w:type="gramEnd"/>
      <w:r w:rsidR="00DB482B">
        <w:rPr>
          <w:rFonts w:ascii="Times New Roman" w:hAnsi="Times New Roman"/>
          <w:sz w:val="24"/>
          <w:szCs w:val="24"/>
        </w:rPr>
        <w:t xml:space="preserve"> </w:t>
      </w:r>
      <w:bookmarkStart w:id="338" w:name="_Hlk39837474"/>
      <w:r w:rsidR="00DC51D4">
        <w:fldChar w:fldCharType="begin"/>
      </w:r>
      <w:r w:rsidR="00DC51D4">
        <w:instrText xml:space="preserve"> HYPERLINK "https://www.supremecourt.gov/opinions/18pdf/17-9572_k536.pdf" </w:instrText>
      </w:r>
      <w:r w:rsidR="00DC51D4">
        <w:fldChar w:fldCharType="separate"/>
      </w:r>
      <w:r w:rsidR="00DB482B" w:rsidRPr="00AB528C">
        <w:rPr>
          <w:rStyle w:val="Hyperlink"/>
          <w:rFonts w:ascii="Times New Roman" w:hAnsi="Times New Roman"/>
          <w:sz w:val="24"/>
          <w:szCs w:val="24"/>
        </w:rPr>
        <w:t>https://www.supremecourt.gov/opinions/18pdf/17-9572_k536.pdf</w:t>
      </w:r>
      <w:r w:rsidR="00DC51D4">
        <w:rPr>
          <w:rStyle w:val="Hyperlink"/>
          <w:rFonts w:ascii="Times New Roman" w:hAnsi="Times New Roman"/>
          <w:sz w:val="24"/>
          <w:szCs w:val="24"/>
        </w:rPr>
        <w:fldChar w:fldCharType="end"/>
      </w:r>
      <w:r w:rsidR="00DB482B" w:rsidRPr="00AB528C">
        <w:rPr>
          <w:rFonts w:ascii="Times New Roman" w:hAnsi="Times New Roman"/>
          <w:sz w:val="24"/>
          <w:szCs w:val="24"/>
        </w:rPr>
        <w:t xml:space="preserve"> </w:t>
      </w:r>
    </w:p>
    <w:bookmarkEnd w:id="336"/>
    <w:bookmarkEnd w:id="338"/>
    <w:p w14:paraId="758E08D0" w14:textId="54DA30C8" w:rsidR="009F0F05" w:rsidRDefault="009F0F05" w:rsidP="009F0F05">
      <w:pPr>
        <w:ind w:left="1440"/>
        <w:rPr>
          <w:rFonts w:ascii="Times New Roman" w:hAnsi="Times New Roman"/>
          <w:sz w:val="24"/>
          <w:szCs w:val="24"/>
        </w:rPr>
      </w:pPr>
    </w:p>
    <w:p w14:paraId="482C96BE" w14:textId="77777777" w:rsidR="009F0F05" w:rsidRPr="00961F1A" w:rsidRDefault="009F0F05" w:rsidP="009F0F05">
      <w:pPr>
        <w:rPr>
          <w:rFonts w:ascii="Times New Roman" w:hAnsi="Times New Roman"/>
          <w:b/>
          <w:bCs/>
          <w:sz w:val="24"/>
          <w:szCs w:val="24"/>
        </w:rPr>
      </w:pPr>
      <w:r w:rsidRPr="00961F1A">
        <w:rPr>
          <w:rFonts w:ascii="Times New Roman" w:hAnsi="Times New Roman"/>
          <w:b/>
          <w:bCs/>
          <w:sz w:val="24"/>
          <w:szCs w:val="24"/>
        </w:rPr>
        <w:t xml:space="preserve">Legal Lessons Learned: </w:t>
      </w:r>
      <w:r>
        <w:rPr>
          <w:rFonts w:ascii="Times New Roman" w:hAnsi="Times New Roman"/>
          <w:b/>
          <w:bCs/>
          <w:sz w:val="24"/>
          <w:szCs w:val="24"/>
        </w:rPr>
        <w:t xml:space="preserve">The U.S. Supreme Court will not allow prosecutors to use peremptory strikes to unfairly exclude black jurors.  </w:t>
      </w:r>
    </w:p>
    <w:p w14:paraId="32778034" w14:textId="77777777" w:rsidR="009F0F05" w:rsidRDefault="009F0F05" w:rsidP="00DE0F03">
      <w:pPr>
        <w:rPr>
          <w:rFonts w:ascii="Arial Black" w:hAnsi="Arial Black"/>
          <w:b/>
          <w:sz w:val="24"/>
          <w:szCs w:val="24"/>
        </w:rPr>
      </w:pPr>
    </w:p>
    <w:p w14:paraId="0D1E589E" w14:textId="05EECF7E"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4</w:t>
      </w:r>
    </w:p>
    <w:p w14:paraId="43B34F40" w14:textId="7FD8A37E" w:rsidR="00F326E5" w:rsidRDefault="00F326E5" w:rsidP="00F326E5">
      <w:pPr>
        <w:pStyle w:val="NoSpacing"/>
        <w:rPr>
          <w:rFonts w:ascii="Arial Black" w:hAnsi="Arial Black"/>
          <w:sz w:val="28"/>
          <w:szCs w:val="28"/>
        </w:rPr>
      </w:pPr>
      <w:bookmarkStart w:id="339" w:name="_Hlk7344503"/>
      <w:r w:rsidRPr="00455CC9">
        <w:rPr>
          <w:rFonts w:ascii="Arial Black" w:hAnsi="Arial Black"/>
          <w:sz w:val="28"/>
          <w:szCs w:val="28"/>
        </w:rPr>
        <w:t xml:space="preserve">FL: </w:t>
      </w:r>
      <w:r>
        <w:rPr>
          <w:rFonts w:ascii="Arial Black" w:hAnsi="Arial Black"/>
          <w:sz w:val="28"/>
          <w:szCs w:val="28"/>
        </w:rPr>
        <w:t xml:space="preserve">DOCTOR COMPLAINED ABOUT MEDICAL CLEARANCE OF FF – NOT </w:t>
      </w:r>
      <w:r w:rsidR="0015021B">
        <w:rPr>
          <w:rFonts w:ascii="Arial Black" w:hAnsi="Arial Black"/>
          <w:sz w:val="28"/>
          <w:szCs w:val="28"/>
        </w:rPr>
        <w:t xml:space="preserve">PROTECTED </w:t>
      </w:r>
      <w:r>
        <w:rPr>
          <w:rFonts w:ascii="Arial Black" w:hAnsi="Arial Black"/>
          <w:sz w:val="28"/>
          <w:szCs w:val="28"/>
        </w:rPr>
        <w:t>FIRST AMENDMENT SPEECH</w:t>
      </w:r>
    </w:p>
    <w:p w14:paraId="50F41973" w14:textId="77777777" w:rsidR="00F326E5" w:rsidRP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March 1, 2019, in </w:t>
      </w:r>
      <w:r w:rsidRPr="00BF4DDE">
        <w:rPr>
          <w:rFonts w:ascii="Times New Roman" w:hAnsi="Times New Roman"/>
          <w:sz w:val="24"/>
          <w:szCs w:val="24"/>
          <w:u w:val="single"/>
        </w:rPr>
        <w:t>Nancy King v. Board of County Commissioners, Polk County</w:t>
      </w:r>
      <w:r w:rsidRPr="00BF4DDE">
        <w:rPr>
          <w:rFonts w:ascii="Times New Roman" w:hAnsi="Times New Roman"/>
          <w:sz w:val="24"/>
          <w:szCs w:val="24"/>
        </w:rPr>
        <w:t>, the U.S. Court of Appeals for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(Atlanta) held (3 to 0) that U.S. District Court judge properly granted summary judgment to Polk County.  “She did not engage in speech protected by the First Amendment, however, because she spoke as an employee and not as a private citizen.”</w:t>
      </w:r>
    </w:p>
    <w:p w14:paraId="3F812A64" w14:textId="77777777" w:rsidR="00F326E5" w:rsidRPr="00BF4DDE" w:rsidRDefault="00F326E5" w:rsidP="00F326E5">
      <w:pPr>
        <w:rPr>
          <w:rFonts w:ascii="Times New Roman" w:hAnsi="Times New Roman"/>
          <w:b/>
          <w:sz w:val="24"/>
          <w:szCs w:val="24"/>
        </w:rPr>
      </w:pPr>
      <w:hyperlink r:id="rId1667" w:history="1">
        <w:r w:rsidRPr="00BF4DDE">
          <w:rPr>
            <w:rStyle w:val="Hyperlink"/>
            <w:rFonts w:ascii="Times New Roman" w:hAnsi="Times New Roman"/>
            <w:sz w:val="24"/>
            <w:szCs w:val="24"/>
          </w:rPr>
          <w:t>https://law.justia.com/cases/federal/appellate-courts/ca11/18-10631/18-10631-2019-03-01.html</w:t>
        </w:r>
      </w:hyperlink>
      <w:r w:rsidRPr="00BF4DDE">
        <w:rPr>
          <w:rFonts w:ascii="Times New Roman" w:hAnsi="Times New Roman"/>
          <w:b/>
          <w:sz w:val="24"/>
          <w:szCs w:val="24"/>
        </w:rPr>
        <w:t xml:space="preserve"> </w:t>
      </w:r>
    </w:p>
    <w:p w14:paraId="59442175" w14:textId="77777777"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Public employees have limited First Amendment rights; reverse discrimination not proven.  </w:t>
      </w:r>
    </w:p>
    <w:p w14:paraId="6CAA2169" w14:textId="77777777" w:rsidR="00C17A9D" w:rsidRDefault="00C17A9D" w:rsidP="00F326E5">
      <w:pPr>
        <w:pStyle w:val="NoSpacing"/>
        <w:rPr>
          <w:bCs/>
          <w:sz w:val="24"/>
          <w:szCs w:val="24"/>
        </w:rPr>
      </w:pPr>
    </w:p>
    <w:p w14:paraId="7B539013" w14:textId="77777777" w:rsidR="00F326E5" w:rsidRPr="00C56DAA" w:rsidRDefault="00F326E5" w:rsidP="00F326E5">
      <w:pPr>
        <w:pStyle w:val="NoSpacing"/>
        <w:rPr>
          <w:sz w:val="24"/>
          <w:szCs w:val="24"/>
        </w:rPr>
      </w:pPr>
    </w:p>
    <w:bookmarkEnd w:id="339"/>
    <w:p w14:paraId="102240D8" w14:textId="77777777" w:rsidR="00DE0F03" w:rsidRDefault="00DE0F03" w:rsidP="00DE0F03">
      <w:pPr>
        <w:rPr>
          <w:rFonts w:ascii="Arial Black" w:hAnsi="Arial Black"/>
          <w:b/>
          <w:sz w:val="24"/>
          <w:szCs w:val="24"/>
        </w:rPr>
      </w:pPr>
    </w:p>
    <w:p w14:paraId="2BFF8357" w14:textId="347D2420"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3</w:t>
      </w:r>
    </w:p>
    <w:p w14:paraId="3F6DA88F" w14:textId="350523EB" w:rsidR="00F326E5" w:rsidRDefault="00F326E5" w:rsidP="00F326E5">
      <w:pPr>
        <w:pStyle w:val="NoSpacing"/>
        <w:rPr>
          <w:rFonts w:ascii="Arial Black" w:hAnsi="Arial Black"/>
          <w:b/>
          <w:bCs/>
          <w:sz w:val="28"/>
          <w:szCs w:val="28"/>
        </w:rPr>
      </w:pPr>
      <w:bookmarkStart w:id="340" w:name="_Hlk7344544"/>
      <w:r>
        <w:rPr>
          <w:rFonts w:ascii="Arial Black" w:hAnsi="Arial Black"/>
          <w:bCs/>
          <w:sz w:val="28"/>
          <w:szCs w:val="28"/>
        </w:rPr>
        <w:t>MI: DETROIT – CITY WIDE LAYOFFS - 11 FF LAWSUIT AGAINST UNION DISMISSED, FOLLOWED CBA</w:t>
      </w:r>
    </w:p>
    <w:p w14:paraId="2B86F166" w14:textId="77777777" w:rsidR="00BF4DDE" w:rsidRDefault="00F326E5" w:rsidP="00F326E5">
      <w:pPr>
        <w:pStyle w:val="PlainText"/>
        <w:rPr>
          <w:rFonts w:ascii="Times New Roman" w:hAnsi="Times New Roman" w:cs="Times New Roman"/>
          <w:sz w:val="24"/>
          <w:szCs w:val="24"/>
        </w:rPr>
      </w:pPr>
      <w:r w:rsidRPr="00BF4DDE">
        <w:rPr>
          <w:rFonts w:ascii="Times New Roman" w:hAnsi="Times New Roman" w:cs="Times New Roman"/>
          <w:bCs/>
          <w:sz w:val="24"/>
          <w:szCs w:val="24"/>
        </w:rPr>
        <w:t xml:space="preserve">On Feb. 4, 2019, in </w:t>
      </w:r>
      <w:r w:rsidRPr="00BF4DDE">
        <w:rPr>
          <w:rFonts w:ascii="Times New Roman" w:hAnsi="Times New Roman" w:cs="Times New Roman"/>
          <w:bCs/>
          <w:sz w:val="24"/>
          <w:szCs w:val="24"/>
          <w:u w:val="single"/>
        </w:rPr>
        <w:t>Eric Peeples, et al. v. City of Detroit, et al</w:t>
      </w:r>
      <w:r w:rsidRPr="00BF4DDE">
        <w:rPr>
          <w:rFonts w:ascii="Times New Roman" w:hAnsi="Times New Roman" w:cs="Times New Roman"/>
          <w:bCs/>
          <w:sz w:val="24"/>
          <w:szCs w:val="24"/>
        </w:rPr>
        <w:t xml:space="preserve">, Civil Action No. 13-13858, U.S. District Court Judge Dean F. Cox, Eastern District of Michigan (Southern District), granted the motion for summary judgment filed by </w:t>
      </w:r>
      <w:r w:rsidRPr="00BF4DDE">
        <w:rPr>
          <w:rFonts w:ascii="Times New Roman" w:hAnsi="Times New Roman" w:cs="Times New Roman"/>
          <w:sz w:val="24"/>
          <w:szCs w:val="24"/>
        </w:rPr>
        <w:t xml:space="preserve">Detroit Fire Fighters Association, Local 344, finding: </w:t>
      </w:r>
    </w:p>
    <w:p w14:paraId="3BC147F8" w14:textId="77777777" w:rsidR="00BF4DDE" w:rsidRDefault="00BF4DDE" w:rsidP="00F326E5">
      <w:pPr>
        <w:pStyle w:val="PlainText"/>
        <w:rPr>
          <w:rFonts w:ascii="Times New Roman" w:hAnsi="Times New Roman" w:cs="Times New Roman"/>
          <w:sz w:val="24"/>
          <w:szCs w:val="24"/>
        </w:rPr>
      </w:pPr>
    </w:p>
    <w:p w14:paraId="6CE85136" w14:textId="4AF717C7" w:rsidR="00F326E5" w:rsidRPr="00BF4DDE" w:rsidRDefault="00BF4DDE" w:rsidP="00BF4DDE">
      <w:pPr>
        <w:pStyle w:val="PlainText"/>
        <w:ind w:left="720"/>
        <w:rPr>
          <w:rFonts w:ascii="Times New Roman" w:hAnsi="Times New Roman" w:cs="Times New Roman"/>
          <w:b/>
          <w:sz w:val="24"/>
          <w:szCs w:val="24"/>
        </w:rPr>
      </w:pPr>
      <w:r>
        <w:rPr>
          <w:rFonts w:ascii="Times New Roman" w:hAnsi="Times New Roman" w:cs="Times New Roman"/>
          <w:sz w:val="24"/>
          <w:szCs w:val="24"/>
        </w:rPr>
        <w:t>“</w:t>
      </w:r>
      <w:r w:rsidR="00F326E5" w:rsidRPr="00BF4DDE">
        <w:rPr>
          <w:rFonts w:ascii="Times New Roman" w:hAnsi="Times New Roman" w:cs="Times New Roman"/>
          <w:sz w:val="24"/>
          <w:szCs w:val="24"/>
        </w:rPr>
        <w:t xml:space="preserve">Plaintiffs have no direct evidence of race discrimination.  In opposing the Union's motion, Plaintiffs have not presented any statistical evidence to this Court.”  The Judge, however, did not require Plaintiffs to reimburse Union for its attorney fees: “The Court also concludes that the Union has not shown that an award of attorney fees against the Plaintiffs themselves is warranted in this case. </w:t>
      </w:r>
      <w:r w:rsidR="00F326E5" w:rsidRPr="00BF4DDE">
        <w:rPr>
          <w:rFonts w:ascii="Times New Roman" w:hAnsi="Times New Roman" w:cs="Times New Roman"/>
          <w:i/>
          <w:iCs/>
          <w:sz w:val="24"/>
          <w:szCs w:val="24"/>
        </w:rPr>
        <w:t>Christiansburg Garment Co</w:t>
      </w:r>
      <w:r w:rsidR="00F326E5" w:rsidRPr="00BF4DDE">
        <w:rPr>
          <w:rFonts w:ascii="Times New Roman" w:hAnsi="Times New Roman" w:cs="Times New Roman"/>
          <w:sz w:val="24"/>
          <w:szCs w:val="24"/>
        </w:rPr>
        <w:t xml:space="preserve">. </w:t>
      </w:r>
      <w:r w:rsidR="00F326E5" w:rsidRPr="00BF4DDE">
        <w:rPr>
          <w:rFonts w:ascii="Times New Roman" w:hAnsi="Times New Roman" w:cs="Times New Roman"/>
          <w:i/>
          <w:iCs/>
          <w:sz w:val="24"/>
          <w:szCs w:val="24"/>
        </w:rPr>
        <w:t>v</w:t>
      </w:r>
      <w:r w:rsidR="00F326E5" w:rsidRPr="00BF4DDE">
        <w:rPr>
          <w:rFonts w:ascii="Times New Roman" w:hAnsi="Times New Roman" w:cs="Times New Roman"/>
          <w:sz w:val="24"/>
          <w:szCs w:val="24"/>
        </w:rPr>
        <w:t xml:space="preserve">. </w:t>
      </w:r>
      <w:r w:rsidR="00F326E5" w:rsidRPr="00BF4DDE">
        <w:rPr>
          <w:rFonts w:ascii="Times New Roman" w:hAnsi="Times New Roman" w:cs="Times New Roman"/>
          <w:i/>
          <w:iCs/>
          <w:sz w:val="24"/>
          <w:szCs w:val="24"/>
        </w:rPr>
        <w:t>EEOC</w:t>
      </w:r>
      <w:hyperlink r:id="rId1668" w:history="1">
        <w:r w:rsidR="00F326E5" w:rsidRPr="00BF4DDE">
          <w:rPr>
            <w:rStyle w:val="Hyperlink"/>
            <w:rFonts w:ascii="Times New Roman" w:hAnsi="Times New Roman" w:cs="Times New Roman"/>
            <w:b/>
            <w:sz w:val="24"/>
            <w:szCs w:val="24"/>
          </w:rPr>
          <w:t>, 434 U.S. 412 (1978)</w:t>
        </w:r>
      </w:hyperlink>
      <w:r w:rsidR="00F326E5" w:rsidRPr="00BF4DDE">
        <w:rPr>
          <w:rFonts w:ascii="Times New Roman" w:hAnsi="Times New Roman" w:cs="Times New Roman"/>
          <w:sz w:val="24"/>
          <w:szCs w:val="24"/>
        </w:rPr>
        <w:t xml:space="preserve"> (A district court may, in its discretion, award attorney fees to a prevailing defendant in a Title VII case upon a finding that the plaintiff's action was frivolous, unreasonable, or without foundation, even though not brought in subjective bad faith). Such awards against Title VII plaintiffs are rare, and this Court does not believe one is warranted here.”  </w:t>
      </w:r>
      <w:hyperlink r:id="rId1669" w:history="1">
        <w:r w:rsidR="00F326E5" w:rsidRPr="00BF4DDE">
          <w:rPr>
            <w:rStyle w:val="Hyperlink"/>
            <w:rFonts w:ascii="Times New Roman" w:hAnsi="Times New Roman" w:cs="Times New Roman"/>
            <w:b/>
            <w:sz w:val="24"/>
            <w:szCs w:val="24"/>
          </w:rPr>
          <w:t>https://scholar.google.com/scholar_case?case=9814524894618299702&amp;q=+Eric+Peeples,+et+al.+v.+City+of+Detroit,+et+al,+Civil+Action+No.+13-13858&amp;hl=en&amp;as_sdt=6,36</w:t>
        </w:r>
      </w:hyperlink>
    </w:p>
    <w:p w14:paraId="27806799" w14:textId="77777777" w:rsidR="00F326E5" w:rsidRPr="00BF4DDE" w:rsidRDefault="00F326E5" w:rsidP="00F326E5">
      <w:pPr>
        <w:spacing w:before="100" w:beforeAutospacing="1" w:after="100" w:afterAutospacing="1"/>
        <w:rPr>
          <w:rFonts w:ascii="Times New Roman" w:hAnsi="Times New Roman"/>
          <w:b/>
          <w:sz w:val="24"/>
          <w:szCs w:val="24"/>
        </w:rPr>
      </w:pPr>
      <w:r w:rsidRPr="00BF4DDE">
        <w:rPr>
          <w:rFonts w:ascii="Times New Roman" w:hAnsi="Times New Roman"/>
          <w:b/>
          <w:sz w:val="24"/>
          <w:szCs w:val="24"/>
        </w:rPr>
        <w:t xml:space="preserve">Legal Lessons Learned:  Plaintiffs failed to establish Title VII liability for City or the Local. </w:t>
      </w:r>
    </w:p>
    <w:bookmarkEnd w:id="340"/>
    <w:p w14:paraId="6F376E44" w14:textId="77777777" w:rsidR="00F326E5" w:rsidRDefault="00F326E5" w:rsidP="00F326E5">
      <w:pPr>
        <w:rPr>
          <w:rFonts w:ascii="Arial Black" w:hAnsi="Arial Black"/>
          <w:sz w:val="40"/>
          <w:szCs w:val="40"/>
        </w:rPr>
      </w:pPr>
    </w:p>
    <w:p w14:paraId="56BD01EB" w14:textId="77777777" w:rsidR="00DE0F03" w:rsidRDefault="00DE0F03" w:rsidP="00DE0F03">
      <w:pPr>
        <w:rPr>
          <w:rFonts w:ascii="Arial Black" w:hAnsi="Arial Black"/>
          <w:b/>
          <w:sz w:val="24"/>
          <w:szCs w:val="24"/>
        </w:rPr>
      </w:pPr>
      <w:bookmarkStart w:id="341" w:name="_Hlk7344627"/>
    </w:p>
    <w:p w14:paraId="4AD38C46" w14:textId="2F3A302D"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2</w:t>
      </w:r>
    </w:p>
    <w:p w14:paraId="3C8E1E84" w14:textId="6AB7DF2D" w:rsidR="00F326E5" w:rsidRDefault="00F326E5" w:rsidP="00F326E5">
      <w:pPr>
        <w:pStyle w:val="NoSpacing"/>
        <w:rPr>
          <w:b/>
          <w:sz w:val="24"/>
          <w:szCs w:val="24"/>
        </w:rPr>
      </w:pPr>
      <w:r w:rsidRPr="00E54CAC">
        <w:rPr>
          <w:rFonts w:ascii="Arial Black" w:hAnsi="Arial Black"/>
          <w:b/>
          <w:sz w:val="28"/>
          <w:szCs w:val="28"/>
        </w:rPr>
        <w:t xml:space="preserve">MD:  </w:t>
      </w:r>
      <w:r>
        <w:rPr>
          <w:rFonts w:ascii="Arial Black" w:hAnsi="Arial Black"/>
          <w:b/>
          <w:sz w:val="28"/>
          <w:szCs w:val="28"/>
        </w:rPr>
        <w:t xml:space="preserve">AIRPORT </w:t>
      </w:r>
      <w:r w:rsidRPr="00E54CAC">
        <w:rPr>
          <w:rFonts w:ascii="Arial Black" w:hAnsi="Arial Black"/>
          <w:b/>
          <w:sz w:val="28"/>
          <w:szCs w:val="28"/>
        </w:rPr>
        <w:t>HIRED LATIN</w:t>
      </w:r>
      <w:r>
        <w:rPr>
          <w:rFonts w:ascii="Arial Black" w:hAnsi="Arial Black"/>
          <w:b/>
          <w:sz w:val="28"/>
          <w:szCs w:val="28"/>
        </w:rPr>
        <w:t xml:space="preserve">O AS FIRE CHIEF - </w:t>
      </w:r>
      <w:proofErr w:type="gramStart"/>
      <w:r w:rsidRPr="00E54CAC">
        <w:rPr>
          <w:rFonts w:ascii="Arial Black" w:hAnsi="Arial Black"/>
          <w:b/>
          <w:sz w:val="28"/>
          <w:szCs w:val="28"/>
        </w:rPr>
        <w:t>AFRICAN</w:t>
      </w:r>
      <w:r>
        <w:rPr>
          <w:rFonts w:ascii="Arial Black" w:hAnsi="Arial Black"/>
          <w:b/>
          <w:sz w:val="28"/>
          <w:szCs w:val="28"/>
        </w:rPr>
        <w:t>-</w:t>
      </w:r>
      <w:r w:rsidRPr="00E54CAC">
        <w:rPr>
          <w:rFonts w:ascii="Arial Black" w:hAnsi="Arial Black"/>
          <w:b/>
          <w:sz w:val="28"/>
          <w:szCs w:val="28"/>
        </w:rPr>
        <w:t>AMERICAN</w:t>
      </w:r>
      <w:r>
        <w:rPr>
          <w:rFonts w:ascii="Arial Black" w:hAnsi="Arial Black"/>
          <w:b/>
          <w:sz w:val="28"/>
          <w:szCs w:val="28"/>
        </w:rPr>
        <w:t>’S</w:t>
      </w:r>
      <w:proofErr w:type="gramEnd"/>
      <w:r>
        <w:rPr>
          <w:rFonts w:ascii="Arial Black" w:hAnsi="Arial Black"/>
          <w:b/>
          <w:sz w:val="28"/>
          <w:szCs w:val="28"/>
        </w:rPr>
        <w:t xml:space="preserve"> LAWSUIT MAY PROCEED</w:t>
      </w:r>
    </w:p>
    <w:p w14:paraId="6443C1A3" w14:textId="77777777"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w:t>
      </w:r>
      <w:bookmarkStart w:id="342" w:name="_Hlk39839116"/>
      <w:r w:rsidRPr="00BF4DDE">
        <w:rPr>
          <w:rFonts w:ascii="Times New Roman" w:hAnsi="Times New Roman"/>
          <w:sz w:val="24"/>
          <w:szCs w:val="24"/>
        </w:rPr>
        <w:t xml:space="preserve">Jan. 19, 2018, in </w:t>
      </w:r>
      <w:r w:rsidRPr="002616A6">
        <w:rPr>
          <w:rFonts w:ascii="Times New Roman" w:hAnsi="Times New Roman"/>
          <w:sz w:val="24"/>
          <w:szCs w:val="24"/>
          <w:u w:val="single"/>
        </w:rPr>
        <w:t>Gregory C. Lawrence v. Maryland Aviation Administration</w:t>
      </w:r>
      <w:bookmarkEnd w:id="342"/>
      <w:r w:rsidRPr="00BF4DDE">
        <w:rPr>
          <w:rFonts w:ascii="Times New Roman" w:hAnsi="Times New Roman"/>
          <w:sz w:val="24"/>
          <w:szCs w:val="24"/>
        </w:rPr>
        <w:t xml:space="preserve">, U.S. District Court for District of Maryland, Judge Richard D. Bennett denied the motion to dismiss filed by the Maryland Aviation Administration. </w:t>
      </w:r>
    </w:p>
    <w:p w14:paraId="40CA1C9E" w14:textId="77777777" w:rsidR="00BF4DDE" w:rsidRDefault="00BF4DDE" w:rsidP="00F326E5">
      <w:pPr>
        <w:pStyle w:val="NoSpacing"/>
        <w:rPr>
          <w:rFonts w:ascii="Times New Roman" w:hAnsi="Times New Roman"/>
          <w:sz w:val="24"/>
          <w:szCs w:val="24"/>
        </w:rPr>
      </w:pPr>
    </w:p>
    <w:p w14:paraId="33357283" w14:textId="166877D6"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“Plaintiff alleges that despite his experience and "stellar qualifications" for the position, he was not hired; instead, plaintiff alleges, "[t]he person hired was a Latino male, substantially less qualified for the position than Mr. Lawrence."</w:t>
      </w:r>
    </w:p>
    <w:bookmarkStart w:id="343" w:name="_Hlk39839090"/>
    <w:p w14:paraId="2476ED26" w14:textId="71B7A617" w:rsidR="00F326E5" w:rsidRPr="00BF4DDE" w:rsidRDefault="00DC51D4" w:rsidP="00BF4DDE">
      <w:pPr>
        <w:pStyle w:val="NoSpacing"/>
        <w:ind w:firstLine="720"/>
        <w:rPr>
          <w:rFonts w:ascii="Times New Roman" w:hAnsi="Times New Roman"/>
          <w:sz w:val="24"/>
          <w:szCs w:val="24"/>
        </w:rPr>
      </w:pPr>
      <w:r>
        <w:fldChar w:fldCharType="begin"/>
      </w:r>
      <w:r>
        <w:instrText xml:space="preserve"> HYPERLINK "https://www.leagle.com/decision/infdco20161011978" </w:instrText>
      </w:r>
      <w:r>
        <w:fldChar w:fldCharType="separate"/>
      </w:r>
      <w:r w:rsidR="00BF4DDE" w:rsidRPr="002F304C">
        <w:rPr>
          <w:rStyle w:val="Hyperlink"/>
          <w:rFonts w:ascii="Times New Roman" w:hAnsi="Times New Roman"/>
          <w:sz w:val="24"/>
          <w:szCs w:val="24"/>
        </w:rPr>
        <w:t>https://www.leagle.com/decision/infdco20161011978</w:t>
      </w:r>
      <w:r>
        <w:rPr>
          <w:rStyle w:val="Hyperlink"/>
          <w:rFonts w:ascii="Times New Roman" w:hAnsi="Times New Roman"/>
          <w:sz w:val="24"/>
          <w:szCs w:val="24"/>
        </w:rPr>
        <w:fldChar w:fldCharType="end"/>
      </w:r>
      <w:r w:rsidR="00F326E5" w:rsidRPr="00BF4DDE">
        <w:rPr>
          <w:rFonts w:ascii="Times New Roman" w:hAnsi="Times New Roman"/>
          <w:sz w:val="24"/>
          <w:szCs w:val="24"/>
        </w:rPr>
        <w:t xml:space="preserve"> </w:t>
      </w:r>
    </w:p>
    <w:bookmarkEnd w:id="343"/>
    <w:p w14:paraId="17D2D634" w14:textId="77777777" w:rsidR="00BF4DDE" w:rsidRDefault="00BF4DDE" w:rsidP="00F326E5">
      <w:pPr>
        <w:pStyle w:val="NoSpacing"/>
        <w:rPr>
          <w:rFonts w:ascii="Times New Roman" w:hAnsi="Times New Roman"/>
          <w:b/>
          <w:sz w:val="24"/>
          <w:szCs w:val="24"/>
        </w:rPr>
      </w:pPr>
    </w:p>
    <w:p w14:paraId="01749151" w14:textId="2D6BB386"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Title VII claim may now proceed </w:t>
      </w:r>
      <w:proofErr w:type="gramStart"/>
      <w:r w:rsidRPr="00BF4DDE">
        <w:rPr>
          <w:rFonts w:ascii="Times New Roman" w:hAnsi="Times New Roman"/>
          <w:b/>
          <w:sz w:val="24"/>
          <w:szCs w:val="24"/>
        </w:rPr>
        <w:t>to</w:t>
      </w:r>
      <w:proofErr w:type="gramEnd"/>
      <w:r w:rsidRPr="00BF4DDE">
        <w:rPr>
          <w:rFonts w:ascii="Times New Roman" w:hAnsi="Times New Roman"/>
          <w:b/>
          <w:sz w:val="24"/>
          <w:szCs w:val="24"/>
        </w:rPr>
        <w:t xml:space="preserve"> pre-trial discovery. </w:t>
      </w:r>
    </w:p>
    <w:p w14:paraId="6FF780FA" w14:textId="77777777" w:rsidR="00F326E5" w:rsidRPr="00BF4DDE" w:rsidRDefault="00F326E5" w:rsidP="00F326E5">
      <w:pPr>
        <w:pStyle w:val="NoSpacing"/>
        <w:rPr>
          <w:rFonts w:ascii="Times New Roman" w:hAnsi="Times New Roman"/>
          <w:b/>
          <w:sz w:val="24"/>
          <w:szCs w:val="24"/>
        </w:rPr>
      </w:pPr>
    </w:p>
    <w:bookmarkEnd w:id="341"/>
    <w:p w14:paraId="051BEBA3" w14:textId="52237868" w:rsidR="00F326E5" w:rsidRDefault="00F326E5" w:rsidP="00F326E5">
      <w:pPr>
        <w:pStyle w:val="NoSpacing"/>
        <w:rPr>
          <w:b/>
          <w:sz w:val="24"/>
          <w:szCs w:val="24"/>
        </w:rPr>
      </w:pPr>
    </w:p>
    <w:p w14:paraId="1B2B9220" w14:textId="77777777" w:rsidR="00F326E5" w:rsidRDefault="00F326E5" w:rsidP="00F326E5">
      <w:pPr>
        <w:pStyle w:val="NoSpacing"/>
        <w:rPr>
          <w:b/>
          <w:sz w:val="24"/>
          <w:szCs w:val="24"/>
        </w:rPr>
      </w:pPr>
    </w:p>
    <w:p w14:paraId="71919B28" w14:textId="7C390FA1" w:rsidR="00F326E5" w:rsidRDefault="00DE0F03" w:rsidP="00F326E5">
      <w:pPr>
        <w:rPr>
          <w:color w:val="4A4A4A"/>
          <w:sz w:val="24"/>
          <w:szCs w:val="24"/>
          <w:lang w:val="en"/>
        </w:rPr>
      </w:pPr>
      <w:r>
        <w:rPr>
          <w:rFonts w:ascii="Arial Black" w:hAnsi="Arial Black"/>
          <w:b/>
          <w:sz w:val="24"/>
          <w:szCs w:val="24"/>
        </w:rPr>
        <w:t>8</w:t>
      </w:r>
      <w:r w:rsidRPr="00EF1133">
        <w:rPr>
          <w:rFonts w:ascii="Arial Black" w:hAnsi="Arial Black"/>
          <w:b/>
          <w:sz w:val="24"/>
          <w:szCs w:val="24"/>
        </w:rPr>
        <w:t>-1</w:t>
      </w:r>
    </w:p>
    <w:p w14:paraId="79FA3CF2" w14:textId="78A42FF9" w:rsidR="00F326E5" w:rsidRPr="00210017" w:rsidRDefault="00F326E5" w:rsidP="00F326E5">
      <w:pPr>
        <w:rPr>
          <w:rFonts w:ascii="Arial Black" w:hAnsi="Arial Black"/>
          <w:b/>
          <w:color w:val="4A4A4A"/>
          <w:sz w:val="28"/>
          <w:szCs w:val="28"/>
          <w:lang w:val="en"/>
        </w:rPr>
      </w:pPr>
      <w:bookmarkStart w:id="344" w:name="_Hlk7344666"/>
      <w:bookmarkStart w:id="345" w:name="_Hlk7344834"/>
      <w:r w:rsidRPr="00210017">
        <w:rPr>
          <w:rFonts w:ascii="Arial Black" w:hAnsi="Arial Black"/>
          <w:b/>
          <w:color w:val="4A4A4A"/>
          <w:sz w:val="28"/>
          <w:szCs w:val="28"/>
          <w:lang w:val="en"/>
        </w:rPr>
        <w:t>NY: FDNY’s FORMER EEOC OFFICER SUES FOR RACE DISCRIMINATION – LAWSUIT MAY PROCEED</w:t>
      </w:r>
    </w:p>
    <w:p w14:paraId="2E3A59DF" w14:textId="77777777" w:rsidR="00BF4DDE" w:rsidRDefault="00F326E5" w:rsidP="00F326E5">
      <w:pPr>
        <w:rPr>
          <w:rFonts w:ascii="Times New Roman" w:hAnsi="Times New Roman"/>
          <w:color w:val="4A4A4A"/>
          <w:sz w:val="24"/>
          <w:szCs w:val="24"/>
          <w:lang w:val="en"/>
        </w:rPr>
      </w:pPr>
      <w:r w:rsidRPr="00BF4DDE">
        <w:rPr>
          <w:rFonts w:ascii="Times New Roman" w:hAnsi="Times New Roman"/>
          <w:color w:val="4A4A4A"/>
          <w:sz w:val="24"/>
          <w:szCs w:val="24"/>
          <w:lang w:val="en"/>
        </w:rPr>
        <w:t xml:space="preserve">On Jan. 2, 2018, in </w:t>
      </w:r>
      <w:r w:rsidRPr="00BF4DDE">
        <w:rPr>
          <w:rFonts w:ascii="Times New Roman" w:hAnsi="Times New Roman"/>
          <w:color w:val="4A4A4A"/>
          <w:sz w:val="24"/>
          <w:szCs w:val="24"/>
          <w:u w:val="single"/>
          <w:lang w:val="en"/>
        </w:rPr>
        <w:t xml:space="preserve">Lyndelle T. Phillips, Esq. v. The City of New York, et </w:t>
      </w:r>
      <w:proofErr w:type="gramStart"/>
      <w:r w:rsidRPr="00BF4DDE">
        <w:rPr>
          <w:rFonts w:ascii="Times New Roman" w:hAnsi="Times New Roman"/>
          <w:color w:val="4A4A4A"/>
          <w:sz w:val="24"/>
          <w:szCs w:val="24"/>
          <w:u w:val="single"/>
          <w:lang w:val="en"/>
        </w:rPr>
        <w:t>al</w:t>
      </w:r>
      <w:r w:rsidRPr="00BF4DDE">
        <w:rPr>
          <w:rFonts w:ascii="Times New Roman" w:hAnsi="Times New Roman"/>
          <w:color w:val="4A4A4A"/>
          <w:sz w:val="24"/>
          <w:szCs w:val="24"/>
          <w:lang w:val="en"/>
        </w:rPr>
        <w:t>,,</w:t>
      </w:r>
      <w:proofErr w:type="gramEnd"/>
      <w:r w:rsidRPr="00BF4DDE">
        <w:rPr>
          <w:rFonts w:ascii="Times New Roman" w:hAnsi="Times New Roman"/>
          <w:color w:val="4A4A4A"/>
          <w:sz w:val="24"/>
          <w:szCs w:val="24"/>
          <w:lang w:val="en"/>
        </w:rPr>
        <w:t xml:space="preserve"> U.S. District Court Senior Judge Jack B. Weinstein, held that the City’s motion to dismiss is denied and her lawsuit may proceed.</w:t>
      </w:r>
    </w:p>
    <w:p w14:paraId="10011404" w14:textId="6E7B5281" w:rsidR="00F326E5" w:rsidRPr="00BF4DDE" w:rsidRDefault="00F326E5" w:rsidP="00BF4DDE">
      <w:pPr>
        <w:ind w:left="720"/>
        <w:rPr>
          <w:rFonts w:ascii="Times New Roman" w:hAnsi="Times New Roman"/>
          <w:color w:val="4A4A4A"/>
          <w:sz w:val="24"/>
          <w:szCs w:val="24"/>
          <w:lang w:val="en"/>
        </w:rPr>
      </w:pPr>
      <w:r w:rsidRPr="00BF4DDE">
        <w:rPr>
          <w:rFonts w:ascii="Times New Roman" w:hAnsi="Times New Roman"/>
          <w:color w:val="4A4A4A"/>
          <w:sz w:val="24"/>
          <w:szCs w:val="24"/>
          <w:lang w:val="en"/>
        </w:rPr>
        <w:t xml:space="preserve">“After observing plaintiff during her extended examination by the court, defendants' motion for summary judgment on plaintiffs Section 1981 claim is denied. A jury could find her to be a credible witness who took her job at the FDNY seriously and performed satisfactorily. Discrimination, and not poor job performance, a jury could conclude, was the reason for her termination by </w:t>
      </w:r>
      <w:proofErr w:type="gramStart"/>
      <w:r w:rsidRPr="00BF4DDE">
        <w:rPr>
          <w:rFonts w:ascii="Times New Roman" w:hAnsi="Times New Roman"/>
          <w:color w:val="4A4A4A"/>
          <w:sz w:val="24"/>
          <w:szCs w:val="24"/>
          <w:lang w:val="en"/>
        </w:rPr>
        <w:t>the FDNY</w:t>
      </w:r>
      <w:proofErr w:type="gramEnd"/>
      <w:r w:rsidRPr="00BF4DDE">
        <w:rPr>
          <w:rFonts w:ascii="Times New Roman" w:hAnsi="Times New Roman"/>
          <w:color w:val="4A4A4A"/>
          <w:sz w:val="24"/>
          <w:szCs w:val="24"/>
          <w:lang w:val="en"/>
        </w:rPr>
        <w:t xml:space="preserve">. </w:t>
      </w:r>
      <w:hyperlink r:id="rId1670" w:history="1">
        <w:r w:rsidRPr="00BF4DDE">
          <w:rPr>
            <w:rStyle w:val="Hyperlink"/>
            <w:rFonts w:ascii="Times New Roman" w:hAnsi="Times New Roman"/>
            <w:sz w:val="24"/>
            <w:szCs w:val="24"/>
            <w:lang w:val="en"/>
          </w:rPr>
          <w:t>file:///C:/Users/lawre/AppData/Local/Microsoft/Windows/INetCache/IE/XO250S7T/Phillips-FDNY.pdf</w:t>
        </w:r>
      </w:hyperlink>
      <w:r w:rsidRPr="00BF4DDE">
        <w:rPr>
          <w:rFonts w:ascii="Times New Roman" w:hAnsi="Times New Roman"/>
          <w:color w:val="4A4A4A"/>
          <w:sz w:val="24"/>
          <w:szCs w:val="24"/>
          <w:lang w:val="en"/>
        </w:rPr>
        <w:t xml:space="preserve"> </w:t>
      </w:r>
    </w:p>
    <w:p w14:paraId="146999EC" w14:textId="77777777" w:rsidR="00F326E5" w:rsidRPr="00BF4DDE" w:rsidRDefault="00F326E5" w:rsidP="00F326E5">
      <w:pPr>
        <w:rPr>
          <w:rFonts w:ascii="Times New Roman" w:hAnsi="Times New Roman"/>
          <w:b/>
          <w:color w:val="4A4A4A"/>
          <w:sz w:val="24"/>
          <w:szCs w:val="24"/>
          <w:lang w:val="en"/>
        </w:rPr>
      </w:pPr>
      <w:r w:rsidRPr="00BF4DDE">
        <w:rPr>
          <w:rFonts w:ascii="Times New Roman" w:hAnsi="Times New Roman"/>
          <w:b/>
          <w:color w:val="4A4A4A"/>
          <w:sz w:val="24"/>
          <w:szCs w:val="24"/>
          <w:lang w:val="en"/>
        </w:rPr>
        <w:t xml:space="preserve">Legal Lessons Learned: The lawsuit may proceed.  The judge referenced the Vulcan Society case. </w:t>
      </w:r>
    </w:p>
    <w:p w14:paraId="3242BC9D" w14:textId="77777777" w:rsidR="00F326E5" w:rsidRPr="00BF4DDE" w:rsidRDefault="00F326E5" w:rsidP="00F326E5">
      <w:pPr>
        <w:ind w:left="720"/>
        <w:rPr>
          <w:rFonts w:ascii="Times New Roman" w:hAnsi="Times New Roman"/>
          <w:color w:val="4A4A4A"/>
          <w:sz w:val="24"/>
          <w:szCs w:val="24"/>
          <w:lang w:val="en"/>
        </w:rPr>
      </w:pPr>
      <w:r w:rsidRPr="00BF4DDE">
        <w:rPr>
          <w:rFonts w:ascii="Times New Roman" w:hAnsi="Times New Roman"/>
          <w:color w:val="4A4A4A"/>
          <w:sz w:val="24"/>
          <w:szCs w:val="24"/>
          <w:lang w:val="en"/>
        </w:rPr>
        <w:t xml:space="preserve">Note: In </w:t>
      </w:r>
      <w:proofErr w:type="gramStart"/>
      <w:r w:rsidRPr="00BF4DDE">
        <w:rPr>
          <w:rFonts w:ascii="Times New Roman" w:hAnsi="Times New Roman"/>
          <w:color w:val="4A4A4A"/>
          <w:sz w:val="24"/>
          <w:szCs w:val="24"/>
          <w:lang w:val="en"/>
        </w:rPr>
        <w:t>March,</w:t>
      </w:r>
      <w:proofErr w:type="gramEnd"/>
      <w:r w:rsidRPr="00BF4DDE">
        <w:rPr>
          <w:rFonts w:ascii="Times New Roman" w:hAnsi="Times New Roman"/>
          <w:color w:val="4A4A4A"/>
          <w:sz w:val="24"/>
          <w:szCs w:val="24"/>
          <w:lang w:val="en"/>
        </w:rPr>
        <w:t xml:space="preserve"> 2014, the </w:t>
      </w:r>
      <w:proofErr w:type="gramStart"/>
      <w:r w:rsidRPr="00BF4DDE">
        <w:rPr>
          <w:rFonts w:ascii="Times New Roman" w:hAnsi="Times New Roman"/>
          <w:color w:val="4A4A4A"/>
          <w:sz w:val="24"/>
          <w:szCs w:val="24"/>
          <w:lang w:val="en"/>
        </w:rPr>
        <w:t>City</w:t>
      </w:r>
      <w:proofErr w:type="gramEnd"/>
      <w:r w:rsidRPr="00BF4DDE">
        <w:rPr>
          <w:rFonts w:ascii="Times New Roman" w:hAnsi="Times New Roman"/>
          <w:color w:val="4A4A4A"/>
          <w:sz w:val="24"/>
          <w:szCs w:val="24"/>
          <w:lang w:val="en"/>
        </w:rPr>
        <w:t xml:space="preserve"> settled the lawsuit with the Vulcan Society for $98 million. </w:t>
      </w:r>
      <w:hyperlink r:id="rId1671" w:history="1">
        <w:r w:rsidRPr="00BF4DDE">
          <w:rPr>
            <w:rStyle w:val="Hyperlink"/>
            <w:rFonts w:ascii="Times New Roman" w:hAnsi="Times New Roman"/>
            <w:sz w:val="24"/>
            <w:szCs w:val="24"/>
            <w:lang w:val="en"/>
          </w:rPr>
          <w:t>http://www.nydailynews.com/new-york/city-pay-98-million-fdny-discrimination-case-article-1.1725702</w:t>
        </w:r>
      </w:hyperlink>
      <w:bookmarkEnd w:id="344"/>
      <w:r w:rsidRPr="00BF4DDE">
        <w:rPr>
          <w:rFonts w:ascii="Times New Roman" w:hAnsi="Times New Roman"/>
          <w:color w:val="4A4A4A"/>
          <w:sz w:val="24"/>
          <w:szCs w:val="24"/>
          <w:lang w:val="en"/>
        </w:rPr>
        <w:t xml:space="preserve"> </w:t>
      </w:r>
    </w:p>
    <w:p w14:paraId="454AB09F" w14:textId="77777777" w:rsidR="00F326E5" w:rsidRPr="00BF4DDE" w:rsidRDefault="00F326E5" w:rsidP="00F326E5">
      <w:pPr>
        <w:pStyle w:val="NoSpacing"/>
        <w:rPr>
          <w:rFonts w:ascii="Times New Roman" w:hAnsi="Times New Roman"/>
          <w:b/>
          <w:sz w:val="24"/>
          <w:szCs w:val="24"/>
        </w:rPr>
      </w:pPr>
    </w:p>
    <w:p w14:paraId="5D669894" w14:textId="77777777" w:rsidR="00F326E5" w:rsidRPr="004128F7" w:rsidRDefault="00F326E5" w:rsidP="00F326E5">
      <w:pPr>
        <w:pStyle w:val="NoSpacing"/>
        <w:rPr>
          <w:b/>
          <w:sz w:val="24"/>
          <w:szCs w:val="24"/>
        </w:rPr>
      </w:pPr>
    </w:p>
    <w:bookmarkEnd w:id="345"/>
    <w:p w14:paraId="43F85748" w14:textId="77777777" w:rsidR="00F326E5" w:rsidRDefault="00F326E5" w:rsidP="00F326E5">
      <w:pPr>
        <w:rPr>
          <w:rFonts w:ascii="Arial Black" w:hAnsi="Arial Black"/>
          <w:sz w:val="40"/>
          <w:szCs w:val="40"/>
        </w:rPr>
      </w:pPr>
      <w:r>
        <w:rPr>
          <w:rFonts w:ascii="Arial Black" w:hAnsi="Arial Black"/>
          <w:sz w:val="40"/>
          <w:szCs w:val="40"/>
        </w:rPr>
        <w:br w:type="page"/>
      </w:r>
    </w:p>
    <w:p w14:paraId="2939461D" w14:textId="77777777" w:rsidR="00F326E5" w:rsidRPr="007732FA" w:rsidRDefault="00F326E5" w:rsidP="00F326E5">
      <w:pPr>
        <w:pStyle w:val="NoSpacing"/>
        <w:rPr>
          <w:rFonts w:ascii="Arial Black" w:hAnsi="Arial Black"/>
          <w:sz w:val="40"/>
          <w:szCs w:val="40"/>
        </w:rPr>
      </w:pPr>
    </w:p>
    <w:p w14:paraId="16A376F2" w14:textId="77777777" w:rsidR="00456C91" w:rsidRDefault="00456C91" w:rsidP="00F326E5">
      <w:pPr>
        <w:pStyle w:val="NoSpacing"/>
        <w:rPr>
          <w:rFonts w:ascii="Arial Black" w:hAnsi="Arial Black"/>
          <w:sz w:val="40"/>
          <w:szCs w:val="40"/>
        </w:rPr>
      </w:pPr>
    </w:p>
    <w:p w14:paraId="3F55AB61" w14:textId="77777777" w:rsidR="00456C91" w:rsidRDefault="00456C91" w:rsidP="00F326E5">
      <w:pPr>
        <w:pStyle w:val="NoSpacing"/>
        <w:rPr>
          <w:rFonts w:ascii="Arial Black" w:hAnsi="Arial Black"/>
          <w:sz w:val="40"/>
          <w:szCs w:val="40"/>
        </w:rPr>
      </w:pPr>
    </w:p>
    <w:p w14:paraId="131A4C3C" w14:textId="77777777" w:rsidR="00456C91" w:rsidRDefault="00456C91" w:rsidP="00F326E5">
      <w:pPr>
        <w:pStyle w:val="NoSpacing"/>
        <w:rPr>
          <w:rFonts w:ascii="Arial Black" w:hAnsi="Arial Black"/>
          <w:sz w:val="40"/>
          <w:szCs w:val="40"/>
        </w:rPr>
      </w:pPr>
    </w:p>
    <w:p w14:paraId="485C43F7" w14:textId="77777777" w:rsidR="00456C91" w:rsidRDefault="00456C91" w:rsidP="00F326E5">
      <w:pPr>
        <w:pStyle w:val="NoSpacing"/>
        <w:rPr>
          <w:rFonts w:ascii="Arial Black" w:hAnsi="Arial Black"/>
          <w:sz w:val="40"/>
          <w:szCs w:val="40"/>
        </w:rPr>
      </w:pPr>
    </w:p>
    <w:p w14:paraId="4B663432" w14:textId="77777777" w:rsidR="00456C91" w:rsidRDefault="00456C91" w:rsidP="00F326E5">
      <w:pPr>
        <w:pStyle w:val="NoSpacing"/>
        <w:rPr>
          <w:rFonts w:ascii="Arial Black" w:hAnsi="Arial Black"/>
          <w:sz w:val="40"/>
          <w:szCs w:val="40"/>
        </w:rPr>
      </w:pPr>
    </w:p>
    <w:p w14:paraId="6CE6E438" w14:textId="77777777" w:rsidR="00456C91" w:rsidRDefault="00456C91" w:rsidP="00F326E5">
      <w:pPr>
        <w:pStyle w:val="NoSpacing"/>
        <w:rPr>
          <w:rFonts w:ascii="Arial Black" w:hAnsi="Arial Black"/>
          <w:sz w:val="40"/>
          <w:szCs w:val="40"/>
        </w:rPr>
      </w:pPr>
    </w:p>
    <w:p w14:paraId="2FD84194" w14:textId="77777777" w:rsidR="00456C91" w:rsidRDefault="00456C91" w:rsidP="00F326E5">
      <w:pPr>
        <w:pStyle w:val="NoSpacing"/>
        <w:rPr>
          <w:rFonts w:ascii="Arial Black" w:hAnsi="Arial Black"/>
          <w:sz w:val="40"/>
          <w:szCs w:val="40"/>
        </w:rPr>
      </w:pPr>
    </w:p>
    <w:p w14:paraId="5D48D2AD" w14:textId="77777777" w:rsidR="00456C91" w:rsidRDefault="00456C91" w:rsidP="00F326E5">
      <w:pPr>
        <w:pStyle w:val="NoSpacing"/>
        <w:rPr>
          <w:rFonts w:ascii="Arial Black" w:hAnsi="Arial Black"/>
          <w:sz w:val="40"/>
          <w:szCs w:val="40"/>
        </w:rPr>
      </w:pPr>
    </w:p>
    <w:p w14:paraId="6967BB24" w14:textId="77777777" w:rsidR="00456C91" w:rsidRDefault="00456C91" w:rsidP="00F326E5">
      <w:pPr>
        <w:pStyle w:val="NoSpacing"/>
        <w:rPr>
          <w:rFonts w:ascii="Arial Black" w:hAnsi="Arial Black"/>
          <w:sz w:val="40"/>
          <w:szCs w:val="40"/>
        </w:rPr>
      </w:pPr>
    </w:p>
    <w:p w14:paraId="0611B92E" w14:textId="77777777" w:rsidR="00456C91" w:rsidRDefault="00456C91" w:rsidP="00F326E5">
      <w:pPr>
        <w:pStyle w:val="NoSpacing"/>
        <w:rPr>
          <w:rFonts w:ascii="Arial Black" w:hAnsi="Arial Black"/>
          <w:sz w:val="40"/>
          <w:szCs w:val="40"/>
        </w:rPr>
      </w:pPr>
    </w:p>
    <w:p w14:paraId="3A80B944" w14:textId="77777777" w:rsidR="00456C91" w:rsidRDefault="00456C91" w:rsidP="00F326E5">
      <w:pPr>
        <w:pStyle w:val="NoSpacing"/>
        <w:rPr>
          <w:rFonts w:ascii="Arial Black" w:hAnsi="Arial Black"/>
          <w:sz w:val="40"/>
          <w:szCs w:val="40"/>
        </w:rPr>
      </w:pPr>
    </w:p>
    <w:p w14:paraId="5A7AA1FF" w14:textId="77777777" w:rsidR="00456C91" w:rsidRDefault="00456C91" w:rsidP="00F326E5">
      <w:pPr>
        <w:pStyle w:val="NoSpacing"/>
        <w:rPr>
          <w:rFonts w:ascii="Arial Black" w:hAnsi="Arial Black"/>
          <w:sz w:val="40"/>
          <w:szCs w:val="40"/>
        </w:rPr>
      </w:pPr>
    </w:p>
    <w:p w14:paraId="46BDAA20" w14:textId="77777777" w:rsidR="00456C91" w:rsidRDefault="00456C91" w:rsidP="00F326E5">
      <w:pPr>
        <w:pStyle w:val="NoSpacing"/>
        <w:rPr>
          <w:rFonts w:ascii="Arial Black" w:hAnsi="Arial Black"/>
          <w:sz w:val="40"/>
          <w:szCs w:val="40"/>
        </w:rPr>
      </w:pPr>
    </w:p>
    <w:p w14:paraId="76B14F0E" w14:textId="77777777" w:rsidR="00456C91" w:rsidRDefault="00456C91" w:rsidP="00F326E5">
      <w:pPr>
        <w:pStyle w:val="NoSpacing"/>
        <w:rPr>
          <w:rFonts w:ascii="Arial Black" w:hAnsi="Arial Black"/>
          <w:sz w:val="40"/>
          <w:szCs w:val="40"/>
        </w:rPr>
      </w:pPr>
    </w:p>
    <w:p w14:paraId="34AC1D76" w14:textId="77777777" w:rsidR="00456C91" w:rsidRDefault="00456C91" w:rsidP="00F326E5">
      <w:pPr>
        <w:pStyle w:val="NoSpacing"/>
        <w:rPr>
          <w:rFonts w:ascii="Arial Black" w:hAnsi="Arial Black"/>
          <w:sz w:val="40"/>
          <w:szCs w:val="40"/>
        </w:rPr>
      </w:pPr>
    </w:p>
    <w:p w14:paraId="0BCD4C02" w14:textId="77777777" w:rsidR="00456C91" w:rsidRDefault="00456C91" w:rsidP="00F326E5">
      <w:pPr>
        <w:pStyle w:val="NoSpacing"/>
        <w:rPr>
          <w:rFonts w:ascii="Arial Black" w:hAnsi="Arial Black"/>
          <w:sz w:val="40"/>
          <w:szCs w:val="40"/>
        </w:rPr>
      </w:pPr>
    </w:p>
    <w:p w14:paraId="67A416D8" w14:textId="77777777" w:rsidR="00456C91" w:rsidRDefault="00456C91" w:rsidP="00F326E5">
      <w:pPr>
        <w:pStyle w:val="NoSpacing"/>
        <w:rPr>
          <w:rFonts w:ascii="Arial Black" w:hAnsi="Arial Black"/>
          <w:sz w:val="40"/>
          <w:szCs w:val="40"/>
        </w:rPr>
      </w:pPr>
    </w:p>
    <w:p w14:paraId="2078D466" w14:textId="77777777" w:rsidR="00456C91" w:rsidRDefault="00456C91" w:rsidP="00F326E5">
      <w:pPr>
        <w:pStyle w:val="NoSpacing"/>
        <w:rPr>
          <w:rFonts w:ascii="Arial Black" w:hAnsi="Arial Black"/>
          <w:sz w:val="40"/>
          <w:szCs w:val="40"/>
        </w:rPr>
      </w:pPr>
    </w:p>
    <w:p w14:paraId="7B698F53" w14:textId="77777777" w:rsidR="00456C91" w:rsidRDefault="00456C91" w:rsidP="00F326E5">
      <w:pPr>
        <w:pStyle w:val="NoSpacing"/>
        <w:rPr>
          <w:rFonts w:ascii="Arial Black" w:hAnsi="Arial Black"/>
          <w:sz w:val="40"/>
          <w:szCs w:val="40"/>
        </w:rPr>
      </w:pPr>
    </w:p>
    <w:p w14:paraId="3EB19449" w14:textId="77777777" w:rsidR="00456C91" w:rsidRDefault="00456C91" w:rsidP="00F326E5">
      <w:pPr>
        <w:pStyle w:val="NoSpacing"/>
        <w:rPr>
          <w:rFonts w:ascii="Arial Black" w:hAnsi="Arial Black"/>
          <w:sz w:val="40"/>
          <w:szCs w:val="40"/>
        </w:rPr>
      </w:pPr>
    </w:p>
    <w:p w14:paraId="3C57BAFB" w14:textId="77777777" w:rsidR="00456C91" w:rsidRDefault="00456C91" w:rsidP="00F326E5">
      <w:pPr>
        <w:pStyle w:val="NoSpacing"/>
        <w:rPr>
          <w:rFonts w:ascii="Arial Black" w:hAnsi="Arial Black"/>
          <w:sz w:val="40"/>
          <w:szCs w:val="40"/>
        </w:rPr>
      </w:pPr>
    </w:p>
    <w:p w14:paraId="630F7611" w14:textId="77777777" w:rsidR="00456C91" w:rsidRDefault="00456C91" w:rsidP="00F326E5">
      <w:pPr>
        <w:pStyle w:val="NoSpacing"/>
        <w:rPr>
          <w:rFonts w:ascii="Arial Black" w:hAnsi="Arial Black"/>
          <w:sz w:val="40"/>
          <w:szCs w:val="40"/>
        </w:rPr>
      </w:pPr>
    </w:p>
    <w:p w14:paraId="796C012D" w14:textId="77777777" w:rsidR="00456C91" w:rsidRDefault="00456C91" w:rsidP="00F326E5">
      <w:pPr>
        <w:pStyle w:val="NoSpacing"/>
        <w:rPr>
          <w:rFonts w:ascii="Arial Black" w:hAnsi="Arial Black"/>
          <w:sz w:val="40"/>
          <w:szCs w:val="40"/>
        </w:rPr>
      </w:pPr>
    </w:p>
    <w:p w14:paraId="2E5CC0CE" w14:textId="77777777" w:rsidR="00456C91" w:rsidRDefault="00456C91" w:rsidP="00F326E5">
      <w:pPr>
        <w:pStyle w:val="NoSpacing"/>
        <w:rPr>
          <w:rFonts w:ascii="Arial Black" w:hAnsi="Arial Black"/>
          <w:sz w:val="40"/>
          <w:szCs w:val="40"/>
        </w:rPr>
      </w:pPr>
    </w:p>
    <w:p w14:paraId="1543A207" w14:textId="3F7609A4" w:rsidR="00F326E5" w:rsidRDefault="00F326E5" w:rsidP="00F326E5">
      <w:pPr>
        <w:pStyle w:val="NoSpacing"/>
        <w:rPr>
          <w:rFonts w:ascii="Arial Black" w:hAnsi="Arial Black"/>
          <w:sz w:val="40"/>
          <w:szCs w:val="40"/>
        </w:rPr>
      </w:pPr>
      <w:r w:rsidRPr="007732FA">
        <w:rPr>
          <w:rFonts w:ascii="Arial Black" w:hAnsi="Arial Black"/>
          <w:sz w:val="40"/>
          <w:szCs w:val="40"/>
        </w:rPr>
        <w:t>Chap. 9</w:t>
      </w:r>
      <w:r w:rsidRPr="007732FA">
        <w:rPr>
          <w:rFonts w:ascii="Arial Black" w:hAnsi="Arial Black"/>
          <w:sz w:val="40"/>
          <w:szCs w:val="40"/>
        </w:rPr>
        <w:tab/>
        <w:t xml:space="preserve">Americans </w:t>
      </w:r>
      <w:proofErr w:type="gramStart"/>
      <w:r w:rsidRPr="007732FA">
        <w:rPr>
          <w:rFonts w:ascii="Arial Black" w:hAnsi="Arial Black"/>
          <w:sz w:val="40"/>
          <w:szCs w:val="40"/>
        </w:rPr>
        <w:t>With</w:t>
      </w:r>
      <w:proofErr w:type="gramEnd"/>
      <w:r w:rsidRPr="007732FA">
        <w:rPr>
          <w:rFonts w:ascii="Arial Black" w:hAnsi="Arial Black"/>
          <w:sz w:val="40"/>
          <w:szCs w:val="40"/>
        </w:rPr>
        <w:t xml:space="preserve"> Disabilities Act</w:t>
      </w:r>
    </w:p>
    <w:p w14:paraId="2E416640" w14:textId="77777777" w:rsidR="0015021B" w:rsidRDefault="0015021B" w:rsidP="00F326E5">
      <w:pPr>
        <w:pStyle w:val="NoSpacing"/>
        <w:rPr>
          <w:sz w:val="24"/>
          <w:szCs w:val="24"/>
        </w:rPr>
      </w:pPr>
    </w:p>
    <w:p w14:paraId="50AA57EE" w14:textId="77777777" w:rsidR="0058644D" w:rsidRDefault="0058644D" w:rsidP="00BC4752">
      <w:pPr>
        <w:pStyle w:val="NoSpacing"/>
        <w:rPr>
          <w:rFonts w:ascii="Arial Black" w:hAnsi="Arial Black"/>
          <w:sz w:val="24"/>
          <w:szCs w:val="24"/>
        </w:rPr>
      </w:pPr>
      <w:bookmarkStart w:id="346" w:name="_Hlk7344938"/>
    </w:p>
    <w:p w14:paraId="1A01F50A" w14:textId="111C2289" w:rsidR="00697C86" w:rsidRDefault="00697C86" w:rsidP="00697C86">
      <w:pPr>
        <w:pStyle w:val="NoSpacing"/>
        <w:rPr>
          <w:rFonts w:ascii="Arial Black" w:hAnsi="Arial Black"/>
          <w:sz w:val="24"/>
          <w:szCs w:val="24"/>
        </w:rPr>
      </w:pPr>
      <w:r>
        <w:rPr>
          <w:rFonts w:ascii="Arial Black" w:hAnsi="Arial Black"/>
          <w:sz w:val="24"/>
          <w:szCs w:val="24"/>
        </w:rPr>
        <w:t>9-71</w:t>
      </w:r>
    </w:p>
    <w:p w14:paraId="33155E72" w14:textId="77777777" w:rsidR="0058644D" w:rsidRDefault="0058644D" w:rsidP="00BC4752">
      <w:pPr>
        <w:pStyle w:val="NoSpacing"/>
        <w:rPr>
          <w:rFonts w:ascii="Arial Black" w:hAnsi="Arial Black"/>
          <w:sz w:val="24"/>
          <w:szCs w:val="24"/>
        </w:rPr>
      </w:pPr>
    </w:p>
    <w:p w14:paraId="663F0297" w14:textId="77777777" w:rsidR="0058644D" w:rsidRDefault="0058644D" w:rsidP="00BC4752">
      <w:pPr>
        <w:pStyle w:val="NoSpacing"/>
        <w:rPr>
          <w:rFonts w:ascii="Arial Black" w:hAnsi="Arial Black"/>
          <w:sz w:val="24"/>
          <w:szCs w:val="24"/>
        </w:rPr>
      </w:pPr>
    </w:p>
    <w:p w14:paraId="6A9900F2" w14:textId="77777777" w:rsidR="004C3A23" w:rsidRPr="009B2DEE" w:rsidRDefault="004C3A23" w:rsidP="004C3A23">
      <w:pPr>
        <w:pStyle w:val="NoSpacing"/>
        <w:rPr>
          <w:rFonts w:ascii="Arial Black" w:hAnsi="Arial Black"/>
          <w:sz w:val="28"/>
          <w:szCs w:val="28"/>
        </w:rPr>
      </w:pPr>
      <w:r>
        <w:rPr>
          <w:rFonts w:ascii="Arial Black" w:hAnsi="Arial Black"/>
          <w:sz w:val="28"/>
          <w:szCs w:val="28"/>
        </w:rPr>
        <w:t>MD: MEDIC PTSD / FIRED – REQ. BE EMT - CASE PROCEED</w:t>
      </w:r>
    </w:p>
    <w:p w14:paraId="0AC64505" w14:textId="77777777" w:rsidR="004C3A23" w:rsidRDefault="004C3A23" w:rsidP="004C3A23">
      <w:pPr>
        <w:pStyle w:val="NoSpacing"/>
      </w:pPr>
    </w:p>
    <w:p w14:paraId="73528304" w14:textId="77777777" w:rsidR="004C3A23" w:rsidRDefault="004C3A23" w:rsidP="004C3A23">
      <w:pPr>
        <w:pStyle w:val="NoSpacing"/>
      </w:pPr>
      <w:r>
        <w:t xml:space="preserve">On August 27, 2026, in </w:t>
      </w:r>
      <w:r w:rsidRPr="00294BDB">
        <w:rPr>
          <w:u w:val="single"/>
        </w:rPr>
        <w:t>Christpher Dew v. The City of Annapolis</w:t>
      </w:r>
      <w:r>
        <w:t xml:space="preserve">, U.S. District Court Judge </w:t>
      </w:r>
      <w:r w:rsidRPr="000C58B8">
        <w:t xml:space="preserve"> Brendan A. Hurson, United States District </w:t>
      </w:r>
      <w:r>
        <w:t xml:space="preserve">Court for the District of Maryland, denied the City’s motion for summary judgment.  The Court found, after all depositions and pre-trial discovery was completed, that Drew was medically qualified to serve as an EMT (not as a paramedic) and it would not be an “undue hardship” for fire department to accommodate him.  The case will now go to jury unless settled.  In March 2020, Drew was injured when a patient fell on him, he was off work for 3 months, and upon return had anxiety attacks and depression.  In July 2020 he went on FMLA leave and </w:t>
      </w:r>
      <w:r w:rsidRPr="00C255A3">
        <w:t xml:space="preserve">began receiving treatment through </w:t>
      </w:r>
      <w:r>
        <w:t xml:space="preserve">the </w:t>
      </w:r>
      <w:r w:rsidRPr="00C255A3">
        <w:t>International Association of Firefighters where he met with Patrick Baker, LCSW for therapy</w:t>
      </w:r>
      <w:r>
        <w:t xml:space="preserve">, </w:t>
      </w:r>
      <w:proofErr w:type="gramStart"/>
      <w:r>
        <w:t>and also</w:t>
      </w:r>
      <w:proofErr w:type="gramEnd"/>
      <w:r>
        <w:t xml:space="preserve"> a private mental health provider.  </w:t>
      </w:r>
      <w:r w:rsidRPr="00CC0986">
        <w:t xml:space="preserve">On September 30, 2020, Dew sent Chief Remaley a letter requesting </w:t>
      </w:r>
      <w:proofErr w:type="gramStart"/>
      <w:r>
        <w:t xml:space="preserve">an </w:t>
      </w:r>
      <w:r w:rsidRPr="00CC0986">
        <w:t>accommodation</w:t>
      </w:r>
      <w:proofErr w:type="gramEnd"/>
      <w:r w:rsidRPr="00CC0986">
        <w:t xml:space="preserve"> </w:t>
      </w:r>
      <w:proofErr w:type="gramStart"/>
      <w:r w:rsidRPr="00CC0986">
        <w:t>of</w:t>
      </w:r>
      <w:proofErr w:type="gramEnd"/>
      <w:r w:rsidRPr="00CC0986">
        <w:t xml:space="preserve"> a demotion to Grade 13 Firefighter First Class</w:t>
      </w:r>
      <w:r>
        <w:t xml:space="preserve"> / EMT</w:t>
      </w:r>
      <w:r w:rsidRPr="00CC0986">
        <w:t>, removing his paramedic duties as an ALS provider.</w:t>
      </w:r>
      <w:r>
        <w:t xml:space="preserve">  The Fire Chief ordered an independent medic exam </w:t>
      </w:r>
      <w:proofErr w:type="gramStart"/>
      <w:r>
        <w:t>by</w:t>
      </w:r>
      <w:proofErr w:type="gramEnd"/>
      <w:r>
        <w:t xml:space="preserve"> the City’s forensic psychologist, </w:t>
      </w:r>
      <w:r w:rsidRPr="005D6D87">
        <w:t>Dr. Jack Leeb</w:t>
      </w:r>
      <w:r>
        <w:t xml:space="preserve">.   Dr. Leeb issued a </w:t>
      </w:r>
      <w:r w:rsidRPr="000A61A5">
        <w:t>report</w:t>
      </w:r>
      <w:r>
        <w:t xml:space="preserve"> supporting Drew’s accommodation as a firefighter / EMT - “</w:t>
      </w:r>
      <w:r w:rsidRPr="000A61A5">
        <w:t>[t]o the extent possible, it is recommended that FF/PM Dew's desire to work as a firefighter be accommodated</w:t>
      </w:r>
      <w:r>
        <w:t>”</w:t>
      </w:r>
      <w:r w:rsidRPr="000A61A5">
        <w:t xml:space="preserve"> and that </w:t>
      </w:r>
      <w:r>
        <w:t>“</w:t>
      </w:r>
      <w:r w:rsidRPr="000A61A5">
        <w:t>FF/PM Dew is psychologically fit to return to duty as a firefighter but... it would not be appropriate for him to be assigned as a paramedic.</w:t>
      </w:r>
      <w:r>
        <w:t xml:space="preserve">”   A second report by Dr. Leeb confirmed plaintiff was not fit for duties as a paramedic.  </w:t>
      </w:r>
      <w:r w:rsidRPr="00182E13">
        <w:t>Shortly after, on November 12, 2020, Chief Remaley issued a letter to Dew notifying him of Chief Remaley's intent to terminate Dew's employment effective January 1, 2021.</w:t>
      </w:r>
      <w:r>
        <w:t xml:space="preserve">  </w:t>
      </w:r>
    </w:p>
    <w:p w14:paraId="3F79251E" w14:textId="77777777" w:rsidR="004C3A23" w:rsidRDefault="004C3A23" w:rsidP="004C3A23">
      <w:pPr>
        <w:pStyle w:val="NoSpacing"/>
      </w:pPr>
      <w:r>
        <w:t xml:space="preserve"> </w:t>
      </w:r>
      <w:hyperlink r:id="rId1672" w:history="1">
        <w:r w:rsidRPr="00883033">
          <w:rPr>
            <w:rStyle w:val="Hyperlink"/>
          </w:rPr>
          <w:t>https://law.justia.com/cases/federal/district-courts/maryland/mddce/1:2024cv03292/571304/36/</w:t>
        </w:r>
      </w:hyperlink>
      <w:r>
        <w:t xml:space="preserve"> </w:t>
      </w:r>
    </w:p>
    <w:p w14:paraId="2591C2B2" w14:textId="77777777" w:rsidR="004C3A23" w:rsidRDefault="004C3A23" w:rsidP="004C3A23">
      <w:pPr>
        <w:pStyle w:val="NoSpacing"/>
      </w:pPr>
    </w:p>
    <w:p w14:paraId="63E6F57D" w14:textId="77777777" w:rsidR="004C3A23" w:rsidRDefault="004C3A23" w:rsidP="004C3A23">
      <w:pPr>
        <w:pStyle w:val="NoSpacing"/>
      </w:pPr>
      <w:r>
        <w:t xml:space="preserve">THE COURT WROTE: </w:t>
      </w:r>
    </w:p>
    <w:p w14:paraId="2E64998C" w14:textId="77777777" w:rsidR="004C3A23" w:rsidRDefault="004C3A23" w:rsidP="004C3A23">
      <w:pPr>
        <w:pStyle w:val="NoSpacing"/>
      </w:pPr>
    </w:p>
    <w:p w14:paraId="6463613B" w14:textId="77777777" w:rsidR="004C3A23" w:rsidRDefault="004C3A23" w:rsidP="004C3A23">
      <w:pPr>
        <w:pStyle w:val="NoSpacing"/>
        <w:ind w:left="720"/>
      </w:pPr>
      <w:r>
        <w:t>“</w:t>
      </w:r>
      <w:r w:rsidRPr="008D3D24">
        <w:t>In February of 2012, Dew was hired by the Annapolis Fire Department (</w:t>
      </w:r>
      <w:r>
        <w:t>‘</w:t>
      </w:r>
      <w:r w:rsidRPr="008D3D24">
        <w:t>AFD</w:t>
      </w:r>
      <w:r>
        <w:t>’</w:t>
      </w:r>
      <w:r w:rsidRPr="008D3D24">
        <w:t>) as a Firefighter II and Emergency Medical Technician (“EMT”)-Paramedic, also known as an advanced life support (</w:t>
      </w:r>
      <w:r>
        <w:t>‘</w:t>
      </w:r>
      <w:r w:rsidRPr="008D3D24">
        <w:t>ALS</w:t>
      </w:r>
      <w:r>
        <w:t>’</w:t>
      </w:r>
      <w:r w:rsidRPr="008D3D24">
        <w:t>) provider and more commonly referred to as a paramedic</w:t>
      </w:r>
      <w:r>
        <w:t>….</w:t>
      </w:r>
      <w:r w:rsidRPr="008D3D24">
        <w:t xml:space="preserve"> When Dew was hired, he had decades of experience as a firefighter paramedic with other departments in Maryland and Washington, D.C</w:t>
      </w:r>
      <w:r>
        <w:t xml:space="preserve">…. </w:t>
      </w:r>
      <w:r w:rsidRPr="00C321F3">
        <w:t>On March 9, 2017, Dew was promoted to Firefighter First Class (</w:t>
      </w:r>
      <w:r>
        <w:t>‘</w:t>
      </w:r>
      <w:r w:rsidRPr="00C321F3">
        <w:t>FF 1/C</w:t>
      </w:r>
      <w:r>
        <w:t>’</w:t>
      </w:r>
      <w:r w:rsidRPr="00C321F3">
        <w:t>), a position which both ALS and BUS providers can occupy</w:t>
      </w:r>
      <w:r>
        <w:t xml:space="preserve">…. </w:t>
      </w:r>
      <w:r w:rsidRPr="009D6FE1">
        <w:t>Two years after his promotion, in March of 2020, Dew suffered an injury on the job</w:t>
      </w:r>
      <w:r>
        <w:t xml:space="preserve">…. </w:t>
      </w:r>
      <w:r w:rsidRPr="009D6FE1">
        <w:t>Dew's left shoulder, neck, and back were injured when he caught a civilian who fell forward on top of him after calling EMS services for help</w:t>
      </w:r>
      <w:r>
        <w:t xml:space="preserve">…. </w:t>
      </w:r>
      <w:r w:rsidRPr="009D6FE1">
        <w:t>. Approximately three months after the injury, Dew returned to work</w:t>
      </w:r>
      <w:r>
        <w:t xml:space="preserve">…. </w:t>
      </w:r>
      <w:r w:rsidRPr="00863D4B">
        <w:t>After his return, however, Dew began experiencing anxiety attacks and depression related to his role as a paramedic</w:t>
      </w:r>
      <w:r>
        <w:t xml:space="preserve">…. </w:t>
      </w:r>
      <w:r w:rsidRPr="00863D4B">
        <w:t>For example, Dew describes experiencing a mental health episode while watching an accident scene on television</w:t>
      </w:r>
      <w:r>
        <w:t xml:space="preserve">…. </w:t>
      </w:r>
      <w:r w:rsidRPr="00863D4B">
        <w:t>Dew reports reaching out to colleagues about his experience, including his battalion chief, Nathan Powell</w:t>
      </w:r>
      <w:r>
        <w:t xml:space="preserve">…. </w:t>
      </w:r>
      <w:r w:rsidRPr="00863D4B">
        <w:t xml:space="preserve">Specifically, Dew described his struggles during this time </w:t>
      </w:r>
      <w:proofErr w:type="gramStart"/>
      <w:r w:rsidRPr="00863D4B">
        <w:t>a related</w:t>
      </w:r>
      <w:proofErr w:type="gramEnd"/>
      <w:r w:rsidRPr="00863D4B">
        <w:t xml:space="preserve"> to the knowledge and anxiety of being </w:t>
      </w:r>
      <w:r>
        <w:t>‘</w:t>
      </w:r>
      <w:r w:rsidRPr="00863D4B">
        <w:t>ultimately responsible for this person's life, for making decisions or - or potentially making the wrong drug calculation[.]</w:t>
      </w:r>
      <w:r>
        <w:t xml:space="preserve">’ </w:t>
      </w:r>
    </w:p>
    <w:p w14:paraId="5395F850" w14:textId="77777777" w:rsidR="004C3A23" w:rsidRDefault="004C3A23" w:rsidP="004C3A23">
      <w:pPr>
        <w:pStyle w:val="NoSpacing"/>
        <w:ind w:left="720"/>
      </w:pPr>
    </w:p>
    <w:p w14:paraId="3B63F3C6" w14:textId="77777777" w:rsidR="004C3A23" w:rsidRDefault="004C3A23" w:rsidP="004C3A23">
      <w:pPr>
        <w:pStyle w:val="NoSpacing"/>
        <w:ind w:left="720"/>
      </w:pPr>
      <w:r>
        <w:t>***</w:t>
      </w:r>
    </w:p>
    <w:p w14:paraId="048BBD30" w14:textId="77777777" w:rsidR="004C3A23" w:rsidRDefault="004C3A23" w:rsidP="004C3A23">
      <w:pPr>
        <w:pStyle w:val="NoSpacing"/>
        <w:ind w:left="720"/>
      </w:pPr>
      <w:r w:rsidRPr="00D84F98">
        <w:t>On October 22,2020, Plaintiff went for an IPE with the City's forensic psychologist, Dr. Jack Leeb</w:t>
      </w:r>
      <w:r>
        <w:t xml:space="preserve">…. </w:t>
      </w:r>
      <w:r w:rsidRPr="00D84F98">
        <w:t xml:space="preserve">The </w:t>
      </w:r>
      <w:proofErr w:type="gramStart"/>
      <w:r w:rsidRPr="00D84F98">
        <w:t>City</w:t>
      </w:r>
      <w:proofErr w:type="gramEnd"/>
      <w:r w:rsidRPr="00D84F98">
        <w:t xml:space="preserve"> ultimately received versions of a report from Dr. Leeb regarding that evaluation</w:t>
      </w:r>
      <w:r>
        <w:t xml:space="preserve">…. </w:t>
      </w:r>
      <w:r w:rsidRPr="0081073E">
        <w:t xml:space="preserve">In Dr. Leeb's first report, he states that </w:t>
      </w:r>
      <w:r>
        <w:t>‘</w:t>
      </w:r>
      <w:r w:rsidRPr="0081073E">
        <w:t>[t]o the extent possible, it is recommended that FF/PM Dew's desire to work as a firefighter be accommodated</w:t>
      </w:r>
      <w:r>
        <w:t>’</w:t>
      </w:r>
      <w:r w:rsidRPr="0081073E">
        <w:t xml:space="preserve"> and that </w:t>
      </w:r>
      <w:r>
        <w:t>‘</w:t>
      </w:r>
      <w:r w:rsidRPr="0081073E">
        <w:t>FF/PM Dew is psychologically fit to return to duty as a firefighter but... it would not be appropriate for him to be assigned as a paramedic.</w:t>
      </w:r>
      <w:r>
        <w:t xml:space="preserve">’ </w:t>
      </w:r>
      <w:r w:rsidRPr="0081073E">
        <w:t xml:space="preserve">However, in Dr. Leeb's revised, second report, this recommendation and conclusion of Mr. Dew's psychological fitness </w:t>
      </w:r>
      <w:proofErr w:type="gramStart"/>
      <w:r w:rsidRPr="0081073E">
        <w:t>does</w:t>
      </w:r>
      <w:proofErr w:type="gramEnd"/>
      <w:r w:rsidRPr="0081073E">
        <w:t xml:space="preserve"> not appear</w:t>
      </w:r>
      <w:r>
        <w:t xml:space="preserve">…. </w:t>
      </w:r>
      <w:r w:rsidRPr="0081073E">
        <w:t>Instead, Dr. Leeb solely opines on Dew's ability to return as both a firefighter and paramedic, which he concluded Dew could not do “[s]</w:t>
      </w:r>
      <w:proofErr w:type="spellStart"/>
      <w:r w:rsidRPr="0081073E">
        <w:t>ince</w:t>
      </w:r>
      <w:proofErr w:type="spellEnd"/>
      <w:r w:rsidRPr="0081073E">
        <w:t xml:space="preserve"> the official job description melds the jobs of firefighter arid paramedic</w:t>
      </w:r>
      <w:r>
        <w:t>’</w:t>
      </w:r>
      <w:r w:rsidRPr="0081073E">
        <w:t xml:space="preserve"> and </w:t>
      </w:r>
      <w:r>
        <w:t>‘</w:t>
      </w:r>
      <w:r w:rsidRPr="0081073E">
        <w:t>Dew said that he feels permanently unable to continue working as a paramedic.</w:t>
      </w:r>
      <w:r>
        <w:t xml:space="preserve">’ </w:t>
      </w:r>
      <w:r w:rsidRPr="0081073E">
        <w:t xml:space="preserve">Dr. Leeb thus concluded that Dew could not, </w:t>
      </w:r>
      <w:r>
        <w:t>‘</w:t>
      </w:r>
      <w:r w:rsidRPr="0081073E">
        <w:t>at this time, be considered psychologically fit for duty</w:t>
      </w:r>
      <w:r>
        <w:t xml:space="preserve">…. </w:t>
      </w:r>
      <w:r w:rsidRPr="0081073E">
        <w:t>Dr. Leeb included in his IPE report the instance of the anxiety attack suffered by Dew while watching the television show</w:t>
      </w:r>
      <w:r>
        <w:t xml:space="preserve">…. </w:t>
      </w:r>
      <w:r w:rsidRPr="0081073E">
        <w:t xml:space="preserve">Dr. Leeb's report also describes Dew stating that </w:t>
      </w:r>
      <w:r>
        <w:t>‘</w:t>
      </w:r>
      <w:r w:rsidRPr="0081073E">
        <w:t>something broke inside</w:t>
      </w:r>
      <w:r>
        <w:t>’</w:t>
      </w:r>
      <w:r w:rsidRPr="0081073E">
        <w:t xml:space="preserve"> of him after he attended to a belligerent patient, causing him to report losing some degree of empathy towards his patients.</w:t>
      </w:r>
    </w:p>
    <w:p w14:paraId="7FE58E22" w14:textId="77777777" w:rsidR="004C3A23" w:rsidRDefault="004C3A23" w:rsidP="004C3A23">
      <w:pPr>
        <w:pStyle w:val="NoSpacing"/>
        <w:ind w:left="720"/>
      </w:pPr>
    </w:p>
    <w:p w14:paraId="248ABB4B" w14:textId="77777777" w:rsidR="004C3A23" w:rsidRDefault="004C3A23" w:rsidP="004C3A23">
      <w:pPr>
        <w:pStyle w:val="NoSpacing"/>
        <w:ind w:left="720"/>
      </w:pPr>
      <w:r>
        <w:t>***</w:t>
      </w:r>
    </w:p>
    <w:p w14:paraId="793FF958" w14:textId="77777777" w:rsidR="004C3A23" w:rsidRDefault="004C3A23" w:rsidP="004C3A23">
      <w:pPr>
        <w:pStyle w:val="NoSpacing"/>
        <w:ind w:left="720"/>
      </w:pPr>
      <w:r w:rsidRPr="00760127">
        <w:rPr>
          <w:b/>
        </w:rPr>
        <w:t>Qualified Individual</w:t>
      </w:r>
    </w:p>
    <w:p w14:paraId="264DA1A7" w14:textId="77777777" w:rsidR="004C3A23" w:rsidRDefault="004C3A23" w:rsidP="004C3A23">
      <w:pPr>
        <w:pStyle w:val="NoSpacing"/>
        <w:ind w:left="720"/>
      </w:pPr>
    </w:p>
    <w:p w14:paraId="0B3F40BD" w14:textId="77777777" w:rsidR="004C3A23" w:rsidRDefault="004C3A23" w:rsidP="004C3A23">
      <w:pPr>
        <w:pStyle w:val="NoSpacing"/>
        <w:ind w:left="720"/>
      </w:pPr>
      <w:r w:rsidRPr="00062BE4">
        <w:t xml:space="preserve">The Court agrees with the </w:t>
      </w:r>
      <w:proofErr w:type="gramStart"/>
      <w:r w:rsidRPr="00062BE4">
        <w:t>City</w:t>
      </w:r>
      <w:proofErr w:type="gramEnd"/>
      <w:r w:rsidRPr="00062BE4">
        <w:t xml:space="preserve"> that there is </w:t>
      </w:r>
      <w:r>
        <w:t>‘</w:t>
      </w:r>
      <w:r w:rsidRPr="00062BE4">
        <w:t>no question that responding to medical emergencies is an essential function of the FF 1/C position.</w:t>
      </w:r>
      <w:r>
        <w:t>’ … H</w:t>
      </w:r>
      <w:r w:rsidRPr="00062BE4">
        <w:t xml:space="preserve">owever, the Court disagrees with the </w:t>
      </w:r>
      <w:proofErr w:type="gramStart"/>
      <w:r w:rsidRPr="00062BE4">
        <w:t>City</w:t>
      </w:r>
      <w:proofErr w:type="gramEnd"/>
      <w:r w:rsidRPr="00062BE4">
        <w:t xml:space="preserve"> insofar as the Court concludes that there is a genuine dispute of material fact regarding whether Dew could perform that essential function.</w:t>
      </w:r>
      <w:r>
        <w:t xml:space="preserve"> </w:t>
      </w:r>
      <w:r w:rsidRPr="00FC4010">
        <w:t xml:space="preserve">Dew's deposition testimony . reflects that he understood that returning to work as a </w:t>
      </w:r>
      <w:r>
        <w:t>‘</w:t>
      </w:r>
      <w:r w:rsidRPr="00FC4010">
        <w:t>firefighter</w:t>
      </w:r>
      <w:r>
        <w:t>’</w:t>
      </w:r>
      <w:r w:rsidRPr="00FC4010">
        <w:t xml:space="preserve"> would mean returning with EMT duties and would therefore entail responding to medical emergencies as a significant portion of the job</w:t>
      </w:r>
      <w:r>
        <w:t xml:space="preserve">…. </w:t>
      </w:r>
      <w:r w:rsidRPr="00B654F4">
        <w:t xml:space="preserve">Dew has produced evidence, through his own testimony and his record of receiving care from providers, that it was not the provision of medical services themselves that made his anxiety, PTSD, and depression unmanageable, but rather the heavy weight, as he describes it, of bearing the </w:t>
      </w:r>
      <w:r>
        <w:t>‘</w:t>
      </w:r>
      <w:r w:rsidRPr="00B654F4">
        <w:t>ultimate responsibility for patient care</w:t>
      </w:r>
      <w:r>
        <w:t>’</w:t>
      </w:r>
      <w:r w:rsidRPr="00B654F4">
        <w:t xml:space="preserve"> that comes along with being an ALS provider, as opposed to a BLS provider.</w:t>
      </w:r>
    </w:p>
    <w:p w14:paraId="14A34790" w14:textId="77777777" w:rsidR="004C3A23" w:rsidRDefault="004C3A23" w:rsidP="004C3A23">
      <w:pPr>
        <w:pStyle w:val="NoSpacing"/>
        <w:ind w:left="720"/>
      </w:pPr>
    </w:p>
    <w:p w14:paraId="56FD1BEE" w14:textId="77777777" w:rsidR="004C3A23" w:rsidRDefault="004C3A23" w:rsidP="004C3A23">
      <w:pPr>
        <w:pStyle w:val="NoSpacing"/>
        <w:ind w:left="720"/>
      </w:pPr>
      <w:r>
        <w:t>***</w:t>
      </w:r>
    </w:p>
    <w:p w14:paraId="47255147" w14:textId="77777777" w:rsidR="004C3A23" w:rsidRDefault="004C3A23" w:rsidP="004C3A23">
      <w:pPr>
        <w:pStyle w:val="NoSpacing"/>
        <w:ind w:left="720"/>
      </w:pPr>
      <w:r w:rsidRPr="00E14095">
        <w:rPr>
          <w:b/>
        </w:rPr>
        <w:t>Undue Hardship</w:t>
      </w:r>
    </w:p>
    <w:p w14:paraId="7DABE622" w14:textId="77777777" w:rsidR="004C3A23" w:rsidRDefault="004C3A23" w:rsidP="004C3A23">
      <w:pPr>
        <w:pStyle w:val="NoSpacing"/>
      </w:pPr>
    </w:p>
    <w:p w14:paraId="46A8A248" w14:textId="77777777" w:rsidR="004C3A23" w:rsidRPr="007522E6" w:rsidRDefault="004C3A23" w:rsidP="004C3A23">
      <w:pPr>
        <w:pStyle w:val="NoSpacing"/>
        <w:ind w:left="720"/>
      </w:pPr>
      <w:r w:rsidRPr="0039308A">
        <w:t xml:space="preserve">The Court concludes that the City is not entitled to summary judgment </w:t>
      </w:r>
      <w:proofErr w:type="gramStart"/>
      <w:r w:rsidRPr="0039308A">
        <w:t>on the basis of</w:t>
      </w:r>
      <w:proofErr w:type="gramEnd"/>
      <w:r w:rsidRPr="0039308A">
        <w:t xml:space="preserve"> undue hardship because Dew has shown a genuine dispute of material fact on that issue</w:t>
      </w:r>
      <w:r>
        <w:t xml:space="preserve">…. </w:t>
      </w:r>
      <w:r w:rsidRPr="00F0444D">
        <w:t xml:space="preserve">The </w:t>
      </w:r>
      <w:proofErr w:type="gramStart"/>
      <w:r w:rsidRPr="00F0444D">
        <w:t>City</w:t>
      </w:r>
      <w:proofErr w:type="gramEnd"/>
      <w:r w:rsidRPr="00F0444D">
        <w:t xml:space="preserve"> has argued that at the time of Dew's </w:t>
      </w:r>
      <w:proofErr w:type="gramStart"/>
      <w:r w:rsidRPr="00F0444D">
        <w:t xml:space="preserve">request, </w:t>
      </w:r>
      <w:r>
        <w:t>‘</w:t>
      </w:r>
      <w:proofErr w:type="gramEnd"/>
      <w:r w:rsidRPr="00F0444D">
        <w:t xml:space="preserve">three shifts had nine ALS </w:t>
      </w:r>
      <w:proofErr w:type="gramStart"/>
      <w:r w:rsidRPr="00F0444D">
        <w:t>providers</w:t>
      </w:r>
      <w:proofErr w:type="gramEnd"/>
      <w:r w:rsidRPr="00F0444D">
        <w:t xml:space="preserve"> and one shift had 10 ALS providers, far below the goal of 12 ALS providers per shift.</w:t>
      </w:r>
      <w:r>
        <w:t xml:space="preserve">’ … </w:t>
      </w:r>
      <w:r w:rsidRPr="00F0444D">
        <w:t xml:space="preserve">According to the City, permitting Dew to drop </w:t>
      </w:r>
      <w:r>
        <w:t>‘</w:t>
      </w:r>
      <w:r w:rsidRPr="00F0444D">
        <w:t>his ALS certification would have left Plaintiff's shift with eight ALS providers, requiring either a more frequent rotation for the ALS providers on the medic unit and/or personnel changes.</w:t>
      </w:r>
      <w:r>
        <w:t xml:space="preserve">’ …. </w:t>
      </w:r>
      <w:r w:rsidRPr="00F0444D">
        <w:t xml:space="preserve">The City contends that such an outcome could </w:t>
      </w:r>
      <w:r>
        <w:t>‘</w:t>
      </w:r>
      <w:r w:rsidRPr="00F0444D">
        <w:t xml:space="preserve">increase[] the risk of burnout, impact[] leave eligibility, and reduce[] </w:t>
      </w:r>
      <w:r>
        <w:t xml:space="preserve"> </w:t>
      </w:r>
      <w:r w:rsidRPr="00F0444D">
        <w:t>opportunity for training and skills enhancement for the remaining ALS providers at AFD.</w:t>
      </w:r>
      <w:r>
        <w:t xml:space="preserve">’… </w:t>
      </w:r>
      <w:r w:rsidRPr="007522E6">
        <w:t xml:space="preserve">Given that a reasonable juror could come to multiple conclusions on the </w:t>
      </w:r>
      <w:r>
        <w:t xml:space="preserve"> </w:t>
      </w:r>
      <w:r w:rsidRPr="007522E6">
        <w:t xml:space="preserve">issue of undue hardship as well as on other issues in this case, as described above, the City is not entitled to summary </w:t>
      </w:r>
      <w:proofErr w:type="gramStart"/>
      <w:r w:rsidRPr="007522E6">
        <w:t>judgment.</w:t>
      </w:r>
      <w:r>
        <w:t>”</w:t>
      </w:r>
      <w:proofErr w:type="gramEnd"/>
    </w:p>
    <w:p w14:paraId="4E668EC7" w14:textId="77777777" w:rsidR="004C3A23" w:rsidRPr="00F0444D" w:rsidRDefault="004C3A23" w:rsidP="004C3A23">
      <w:pPr>
        <w:pStyle w:val="NoSpacing"/>
        <w:ind w:left="720"/>
      </w:pPr>
    </w:p>
    <w:p w14:paraId="4F805457" w14:textId="77777777" w:rsidR="004C3A23" w:rsidRPr="00265040" w:rsidRDefault="004C3A23" w:rsidP="004C3A23">
      <w:pPr>
        <w:pStyle w:val="NoSpacing"/>
        <w:rPr>
          <w:b/>
          <w:bCs/>
        </w:rPr>
      </w:pPr>
      <w:r>
        <w:rPr>
          <w:b/>
        </w:rPr>
        <w:t xml:space="preserve">Legal lesson learned: This is an important case that hopefully will encourage other Fire Departments to consider reassignment of medics suffering from PTSD. </w:t>
      </w:r>
    </w:p>
    <w:p w14:paraId="3F06B393" w14:textId="77777777" w:rsidR="0058644D" w:rsidRDefault="0058644D" w:rsidP="00BC4752">
      <w:pPr>
        <w:pStyle w:val="NoSpacing"/>
        <w:rPr>
          <w:rFonts w:ascii="Arial Black" w:hAnsi="Arial Black"/>
          <w:sz w:val="24"/>
          <w:szCs w:val="24"/>
        </w:rPr>
      </w:pPr>
    </w:p>
    <w:p w14:paraId="26E0F6DE" w14:textId="77777777" w:rsidR="00B7577F" w:rsidRDefault="00B7577F" w:rsidP="00B7577F">
      <w:pPr>
        <w:rPr>
          <w:rFonts w:ascii="Arial Black" w:hAnsi="Arial Black"/>
          <w:b/>
          <w:sz w:val="28"/>
          <w:szCs w:val="28"/>
        </w:rPr>
      </w:pPr>
    </w:p>
    <w:p w14:paraId="74B9D0F3" w14:textId="01B9E96C" w:rsidR="00B7577F" w:rsidRDefault="00B7577F" w:rsidP="00697C86">
      <w:pPr>
        <w:pStyle w:val="NoSpacing"/>
        <w:rPr>
          <w:rFonts w:ascii="Arial Black" w:hAnsi="Arial Black"/>
          <w:sz w:val="24"/>
          <w:szCs w:val="24"/>
        </w:rPr>
      </w:pPr>
      <w:r>
        <w:rPr>
          <w:rFonts w:ascii="Arial Black" w:hAnsi="Arial Black"/>
          <w:sz w:val="24"/>
          <w:szCs w:val="24"/>
        </w:rPr>
        <w:t>9-</w:t>
      </w:r>
      <w:r w:rsidR="00697C86">
        <w:rPr>
          <w:rFonts w:ascii="Arial Black" w:hAnsi="Arial Black"/>
          <w:sz w:val="24"/>
          <w:szCs w:val="24"/>
        </w:rPr>
        <w:t>70</w:t>
      </w:r>
    </w:p>
    <w:p w14:paraId="3007101D" w14:textId="77777777" w:rsidR="00697C86" w:rsidRDefault="00697C86" w:rsidP="00697C86">
      <w:pPr>
        <w:pStyle w:val="NoSpacing"/>
        <w:rPr>
          <w:rFonts w:ascii="Arial Black" w:hAnsi="Arial Black"/>
          <w:b/>
          <w:sz w:val="28"/>
          <w:szCs w:val="28"/>
        </w:rPr>
      </w:pPr>
    </w:p>
    <w:p w14:paraId="082241B8" w14:textId="1F6B5C1F" w:rsidR="00B7577F" w:rsidRDefault="00B7577F" w:rsidP="00B7577F">
      <w:r>
        <w:rPr>
          <w:rFonts w:ascii="Arial Black" w:hAnsi="Arial Black"/>
          <w:b/>
          <w:sz w:val="28"/>
          <w:szCs w:val="28"/>
        </w:rPr>
        <w:t>FL: CHIEF FIRED “MED OFFICER” – DISAB / CHIEF NOT TOLD</w:t>
      </w:r>
    </w:p>
    <w:p w14:paraId="253FF1A2" w14:textId="77777777" w:rsidR="00B7577F" w:rsidRDefault="00B7577F" w:rsidP="00B7577F">
      <w:pPr>
        <w:rPr>
          <w:b/>
        </w:rPr>
      </w:pPr>
      <w:r>
        <w:t xml:space="preserve">On August 10, 2026, in </w:t>
      </w:r>
      <w:r w:rsidRPr="000005AA">
        <w:rPr>
          <w:u w:val="single"/>
        </w:rPr>
        <w:t>Walter Ebbert v. Ocean City Wright Fire Control District</w:t>
      </w:r>
      <w:r>
        <w:t xml:space="preserve">, the Unites States Court of Appeals for the Eleventh Circuit (Atlanta) held (3 to 0, unpublished decision) that lawsuit is reinstated to give the “Medical Officer” additional opportunity to show the trial court judge that he asked for specific accommodations to complete six tasks: less stress, more time, more information. Fire Chief Mark Bunrick fired him on March 17, </w:t>
      </w:r>
      <w:proofErr w:type="gramStart"/>
      <w:r>
        <w:t>2022</w:t>
      </w:r>
      <w:proofErr w:type="gramEnd"/>
      <w:r>
        <w:t xml:space="preserve"> for not timely completing six tasks (including developing a test-taking training course) in over a year and a half.  Surprisingly, the Chief was never informed by his Deputy Chief or the City’s HR Manager that Ebbert suffered </w:t>
      </w:r>
      <w:r w:rsidRPr="00AF0D23">
        <w:t>traumatic brain injury</w:t>
      </w:r>
      <w:r>
        <w:t xml:space="preserve"> and PTSD from his military service.  On May 14, 2020, Fire Chief Mark Bundrick had assigned Ebbert six tasks which he expected Ebbert to complete in 60 days; he was fired on March 17, 2022, over a year and a half after the tasks were first due, for failing to complete any of the tasks. </w:t>
      </w:r>
      <w:hyperlink r:id="rId1673" w:history="1">
        <w:r w:rsidRPr="00B26B47">
          <w:rPr>
            <w:rStyle w:val="Hyperlink"/>
            <w:b/>
          </w:rPr>
          <w:t>https://cases.justia.com/federal/appellate-courts/ca11/25-10435/25-10435-2026-08-10.pdf?ts=1786397539</w:t>
        </w:r>
      </w:hyperlink>
      <w:r>
        <w:rPr>
          <w:b/>
        </w:rPr>
        <w:t xml:space="preserve"> </w:t>
      </w:r>
    </w:p>
    <w:p w14:paraId="2125A543" w14:textId="77777777" w:rsidR="00B7577F" w:rsidRDefault="00B7577F" w:rsidP="00B7577F">
      <w:pPr>
        <w:pStyle w:val="NoSpacing"/>
      </w:pPr>
      <w:r>
        <w:t>THE COURT WROTE:</w:t>
      </w:r>
    </w:p>
    <w:p w14:paraId="3C41CF86" w14:textId="77777777" w:rsidR="00B7577F" w:rsidRDefault="00B7577F" w:rsidP="00B7577F">
      <w:pPr>
        <w:pStyle w:val="NoSpacing"/>
      </w:pPr>
    </w:p>
    <w:p w14:paraId="43C31126" w14:textId="77777777" w:rsidR="00B7577F" w:rsidRDefault="00B7577F" w:rsidP="00B7577F">
      <w:pPr>
        <w:pStyle w:val="NoSpacing"/>
        <w:ind w:left="720"/>
      </w:pPr>
      <w:r>
        <w:t>“First, no reasonable juror could conclude that Bundrick knew about Ebbert’s disabilities when he decided to fire Ebbert. Ebbert never told Bundrick about his disabilities. Ebbert told Lord [former Fire Chief Billy Lord], Rimes [Jennifer Rimes, Ocean City’s Human Resources Manager], and Wagner [</w:t>
      </w:r>
      <w:r w:rsidRPr="00C3383C">
        <w:t>Deputy Chief Jeff</w:t>
      </w:r>
      <w:r>
        <w:t xml:space="preserve"> Wagner]about those disabilities, but none of those employees told Bundrick [Fire Chief Mark Bundrick]. And Bundrick testified that he did not know about Ebbert’s disabilities.</w:t>
      </w:r>
    </w:p>
    <w:p w14:paraId="2D75A949" w14:textId="77777777" w:rsidR="00B7577F" w:rsidRDefault="00B7577F" w:rsidP="00B7577F">
      <w:pPr>
        <w:pStyle w:val="NoSpacing"/>
        <w:ind w:left="720"/>
      </w:pPr>
    </w:p>
    <w:p w14:paraId="15EC1E21" w14:textId="77777777" w:rsidR="00B7577F" w:rsidRDefault="00B7577F" w:rsidP="00B7577F">
      <w:pPr>
        <w:pStyle w:val="NoSpacing"/>
        <w:ind w:left="720"/>
      </w:pPr>
      <w:r>
        <w:t>***</w:t>
      </w:r>
    </w:p>
    <w:p w14:paraId="1E4C8BD7" w14:textId="77777777" w:rsidR="00B7577F" w:rsidRDefault="00B7577F" w:rsidP="00B7577F">
      <w:pPr>
        <w:pStyle w:val="NoSpacing"/>
        <w:ind w:left="720"/>
      </w:pPr>
      <w:r>
        <w:t xml:space="preserve">Ebbert contends that a reasonable juror could reach that conclusion because the record </w:t>
      </w:r>
    </w:p>
    <w:p w14:paraId="799D8541" w14:textId="77777777" w:rsidR="00B7577F" w:rsidRDefault="00B7577F" w:rsidP="00B7577F">
      <w:pPr>
        <w:pStyle w:val="NoSpacing"/>
        <w:ind w:left="720"/>
      </w:pPr>
      <w:r>
        <w:t xml:space="preserve">reflects that he was fired ‘for the very things for which he was seeking </w:t>
      </w:r>
      <w:proofErr w:type="gramStart"/>
      <w:r>
        <w:t>accommodations</w:t>
      </w:r>
      <w:proofErr w:type="gramEnd"/>
      <w:r>
        <w:t>.’ Appellant Br. at 29. We agree.</w:t>
      </w:r>
    </w:p>
    <w:p w14:paraId="2B0DF9C3" w14:textId="77777777" w:rsidR="00B7577F" w:rsidRDefault="00B7577F" w:rsidP="00B7577F">
      <w:pPr>
        <w:pStyle w:val="NoSpacing"/>
        <w:ind w:left="720"/>
      </w:pPr>
    </w:p>
    <w:p w14:paraId="52337E16" w14:textId="77777777" w:rsidR="00B7577F" w:rsidRDefault="00B7577F" w:rsidP="00B7577F">
      <w:pPr>
        <w:pStyle w:val="NoSpacing"/>
        <w:ind w:left="720"/>
      </w:pPr>
      <w:r>
        <w:t>A reasonable juror could conclude that a failure to accommodate led to Ebbert’s termination for two reasons. First, a reasonable juror could conclude that Ocean City</w:t>
      </w:r>
    </w:p>
    <w:p w14:paraId="1C790070" w14:textId="77777777" w:rsidR="00B7577F" w:rsidRDefault="00B7577F" w:rsidP="00B7577F">
      <w:pPr>
        <w:pStyle w:val="NoSpacing"/>
        <w:ind w:left="720"/>
      </w:pPr>
      <w:r>
        <w:t>fired Ebbert for failing to complete any of the six tasks that Bundrick assigned to him in May 2020 by mid-March 2022. Bundrick testified that he fired Ebbert for ‘[p]</w:t>
      </w:r>
      <w:proofErr w:type="spellStart"/>
      <w:r>
        <w:t>oor</w:t>
      </w:r>
      <w:proofErr w:type="spellEnd"/>
      <w:r>
        <w:t xml:space="preserve"> work performance.’ …  And he explained that Ebbert was ‘not performing [his] job’ because ‘none of [those tasks] got completed’ in ‘two years.’ …. </w:t>
      </w:r>
    </w:p>
    <w:p w14:paraId="6912987C" w14:textId="77777777" w:rsidR="00B7577F" w:rsidRDefault="00B7577F" w:rsidP="00B7577F">
      <w:pPr>
        <w:pStyle w:val="NoSpacing"/>
        <w:ind w:left="720"/>
      </w:pPr>
    </w:p>
    <w:p w14:paraId="0970B80C" w14:textId="77777777" w:rsidR="00B7577F" w:rsidRDefault="00B7577F" w:rsidP="00B7577F">
      <w:pPr>
        <w:pStyle w:val="NoSpacing"/>
        <w:ind w:left="720"/>
      </w:pPr>
      <w:r>
        <w:t xml:space="preserve">Second, a reasonable juror could conclude that Ebbert could have completed the tasks if Ocean City had granted his requested accommodations [less stress, more time / more information]. Ocean City says that Ebbert’s requested accommodations would not have ‘cure[d] his ongoing inability to perform.’ Appellee Br. at 19. We disagree. Ebbert worked in this position for over ten years, and he </w:t>
      </w:r>
      <w:proofErr w:type="gramStart"/>
      <w:r>
        <w:t>had performed</w:t>
      </w:r>
      <w:proofErr w:type="gramEnd"/>
      <w:r>
        <w:t xml:space="preserve"> some similar tasks for his previous supervisor with the benefit of </w:t>
      </w:r>
      <w:proofErr w:type="gramStart"/>
      <w:r>
        <w:t>many</w:t>
      </w:r>
      <w:proofErr w:type="gramEnd"/>
      <w:r>
        <w:t xml:space="preserve"> of the </w:t>
      </w:r>
      <w:proofErr w:type="gramStart"/>
      <w:r>
        <w:t>accommodations</w:t>
      </w:r>
      <w:proofErr w:type="gramEnd"/>
      <w:r>
        <w:t xml:space="preserve"> he requested </w:t>
      </w:r>
      <w:proofErr w:type="gramStart"/>
      <w:r>
        <w:t>of</w:t>
      </w:r>
      <w:proofErr w:type="gramEnd"/>
      <w:r>
        <w:t xml:space="preserve"> his most recent supervisors. Moreover, we cannot say as a matter of undisputed fact that Ebbert’s request for </w:t>
      </w:r>
      <w:proofErr w:type="gramStart"/>
      <w:r>
        <w:t>accommodations</w:t>
      </w:r>
      <w:proofErr w:type="gramEnd"/>
      <w:r>
        <w:t xml:space="preserve"> came too late. Ebbert testified that he requested </w:t>
      </w:r>
      <w:proofErr w:type="gramStart"/>
      <w:r>
        <w:t>accommodations</w:t>
      </w:r>
      <w:proofErr w:type="gramEnd"/>
      <w:r>
        <w:t xml:space="preserve"> over three months before he was fired in March 2022, and his successor completed some of these tasks within three months of when they were </w:t>
      </w:r>
      <w:proofErr w:type="gramStart"/>
      <w:r>
        <w:t>assigned.”</w:t>
      </w:r>
      <w:proofErr w:type="gramEnd"/>
    </w:p>
    <w:p w14:paraId="44516685" w14:textId="77777777" w:rsidR="00B7577F" w:rsidRDefault="00B7577F" w:rsidP="00B7577F">
      <w:pPr>
        <w:pStyle w:val="NoSpacing"/>
      </w:pPr>
    </w:p>
    <w:p w14:paraId="01D6E512" w14:textId="77777777" w:rsidR="00B7577F" w:rsidRPr="006653B7" w:rsidRDefault="00B7577F" w:rsidP="00B7577F">
      <w:pPr>
        <w:pStyle w:val="NoSpacing"/>
        <w:rPr>
          <w:b/>
          <w:bCs/>
        </w:rPr>
      </w:pPr>
      <w:r w:rsidRPr="006653B7">
        <w:rPr>
          <w:b/>
        </w:rPr>
        <w:t xml:space="preserve">Legal lesson learned: </w:t>
      </w:r>
      <w:r>
        <w:rPr>
          <w:b/>
        </w:rPr>
        <w:t xml:space="preserve">It’s important that the Fire Chief is informed of an employee’s disability before a termination decision is made. </w:t>
      </w:r>
    </w:p>
    <w:p w14:paraId="2C1E9478" w14:textId="77777777" w:rsidR="00B7577F" w:rsidRDefault="00B7577F" w:rsidP="00B7577F">
      <w:pPr>
        <w:pStyle w:val="NoSpacing"/>
      </w:pPr>
    </w:p>
    <w:p w14:paraId="2C328A87" w14:textId="77777777" w:rsidR="00B7577F" w:rsidRDefault="00B7577F" w:rsidP="00B7577F">
      <w:pPr>
        <w:pStyle w:val="NoSpacing"/>
        <w:ind w:left="720"/>
      </w:pPr>
      <w:r>
        <w:t xml:space="preserve">Note: Chief Judge William Pryor wrote a Concurring Opinion that questions whether the employee made “reasonable” requests for accommodations.  </w:t>
      </w:r>
    </w:p>
    <w:p w14:paraId="29F919BD" w14:textId="77777777" w:rsidR="00B7577F" w:rsidRDefault="00B7577F" w:rsidP="00B7577F">
      <w:pPr>
        <w:pStyle w:val="NoSpacing"/>
        <w:ind w:left="720"/>
      </w:pPr>
    </w:p>
    <w:p w14:paraId="545D2015" w14:textId="77777777" w:rsidR="00B7577F" w:rsidRDefault="00B7577F" w:rsidP="00B7577F">
      <w:pPr>
        <w:pStyle w:val="NoSpacing"/>
        <w:ind w:left="720"/>
      </w:pPr>
      <w:r>
        <w:t>“First, Ebbert’s request for a less stressful environment or for less stress is likely not specific enough because he did not explain how his employer could achieve those goals…. Second, Ebbert’s request for additional time without clarifying the length of the extension is also likely not specific enough…. Third, Ebbert’s requests for more information on his tasks and for better guidance are both likely not specific enough and unreasonable.”</w:t>
      </w:r>
    </w:p>
    <w:p w14:paraId="13A496DB" w14:textId="77777777" w:rsidR="00B7577F" w:rsidRDefault="00B7577F" w:rsidP="00B7577F">
      <w:pPr>
        <w:pStyle w:val="NoSpacing"/>
        <w:ind w:left="720"/>
      </w:pPr>
    </w:p>
    <w:p w14:paraId="2C3BFF24" w14:textId="77777777" w:rsidR="00B7577F" w:rsidRDefault="00B7577F" w:rsidP="00B7577F">
      <w:pPr>
        <w:pStyle w:val="NoSpacing"/>
        <w:ind w:left="720"/>
      </w:pPr>
    </w:p>
    <w:p w14:paraId="012F216F" w14:textId="77777777" w:rsidR="00B7577F" w:rsidRDefault="00B7577F" w:rsidP="00BC4752">
      <w:pPr>
        <w:pStyle w:val="NoSpacing"/>
        <w:rPr>
          <w:rFonts w:ascii="Arial Black" w:hAnsi="Arial Black"/>
          <w:sz w:val="24"/>
          <w:szCs w:val="24"/>
        </w:rPr>
      </w:pPr>
    </w:p>
    <w:p w14:paraId="20A837A7" w14:textId="77777777" w:rsidR="0058644D" w:rsidRDefault="0058644D" w:rsidP="00BC4752">
      <w:pPr>
        <w:pStyle w:val="NoSpacing"/>
        <w:rPr>
          <w:rFonts w:ascii="Arial Black" w:hAnsi="Arial Black"/>
          <w:sz w:val="24"/>
          <w:szCs w:val="24"/>
        </w:rPr>
      </w:pPr>
    </w:p>
    <w:p w14:paraId="70627E31" w14:textId="7F23EF82" w:rsidR="00DB199F" w:rsidRDefault="00DB199F" w:rsidP="00BC4752">
      <w:pPr>
        <w:pStyle w:val="NoSpacing"/>
        <w:rPr>
          <w:rFonts w:ascii="Arial Black" w:hAnsi="Arial Black"/>
          <w:sz w:val="24"/>
          <w:szCs w:val="24"/>
        </w:rPr>
      </w:pPr>
      <w:r>
        <w:rPr>
          <w:rFonts w:ascii="Arial Black" w:hAnsi="Arial Black"/>
          <w:sz w:val="24"/>
          <w:szCs w:val="24"/>
        </w:rPr>
        <w:t>9-69</w:t>
      </w:r>
    </w:p>
    <w:p w14:paraId="4FCE9CC4" w14:textId="77777777" w:rsidR="00DB199F" w:rsidRDefault="00DB199F" w:rsidP="00BC4752">
      <w:pPr>
        <w:pStyle w:val="NoSpacing"/>
        <w:rPr>
          <w:rFonts w:ascii="Arial Black" w:hAnsi="Arial Black"/>
          <w:sz w:val="24"/>
          <w:szCs w:val="24"/>
        </w:rPr>
      </w:pPr>
    </w:p>
    <w:p w14:paraId="02D08589" w14:textId="77777777" w:rsidR="00DB199F" w:rsidRDefault="00DB199F" w:rsidP="00DB199F">
      <w:pPr>
        <w:pStyle w:val="NoSpacing"/>
        <w:rPr>
          <w:rFonts w:ascii="Arial Black" w:hAnsi="Arial Black"/>
          <w:sz w:val="28"/>
          <w:szCs w:val="28"/>
        </w:rPr>
      </w:pPr>
      <w:r>
        <w:rPr>
          <w:rFonts w:ascii="Arial Black" w:hAnsi="Arial Black"/>
          <w:sz w:val="28"/>
          <w:szCs w:val="28"/>
        </w:rPr>
        <w:t xml:space="preserve">MA: ADA - DEAF CAN’T BE AMBULANCE DRIVER </w:t>
      </w:r>
    </w:p>
    <w:p w14:paraId="149F9324" w14:textId="77777777" w:rsidR="00DB199F" w:rsidRDefault="00DB199F" w:rsidP="00DB199F">
      <w:pPr>
        <w:pStyle w:val="NoSpacing"/>
        <w:rPr>
          <w:rFonts w:ascii="Arial Black" w:hAnsi="Arial Black"/>
          <w:sz w:val="28"/>
          <w:szCs w:val="28"/>
        </w:rPr>
      </w:pPr>
    </w:p>
    <w:p w14:paraId="48DC92AA" w14:textId="77777777" w:rsidR="00DB199F" w:rsidRDefault="00DB199F" w:rsidP="00DB199F">
      <w:pPr>
        <w:pStyle w:val="NoSpacing"/>
        <w:rPr>
          <w:b/>
        </w:rPr>
      </w:pPr>
      <w:r>
        <w:t xml:space="preserve">On July 15, 2026, in </w:t>
      </w:r>
      <w:r w:rsidRPr="00C62F92">
        <w:rPr>
          <w:u w:val="single"/>
        </w:rPr>
        <w:t>John Buccieri v. Brewster Ambulance Service, Inc.</w:t>
      </w:r>
      <w:r w:rsidRPr="00C62F92">
        <w:t xml:space="preserve">, </w:t>
      </w:r>
      <w:r>
        <w:t>the United States Court of Appeals for 1</w:t>
      </w:r>
      <w:r w:rsidRPr="00773514">
        <w:rPr>
          <w:vertAlign w:val="superscript"/>
        </w:rPr>
        <w:t>st</w:t>
      </w:r>
      <w:r>
        <w:t xml:space="preserve"> District (Boston) held (3 to 0) that the jury properly found that it </w:t>
      </w:r>
      <w:r w:rsidRPr="001D014D">
        <w:t xml:space="preserve">would have been an </w:t>
      </w:r>
      <w:r>
        <w:t>“</w:t>
      </w:r>
      <w:r w:rsidRPr="001D014D">
        <w:t>undue hardship</w:t>
      </w:r>
      <w:r>
        <w:t>”</w:t>
      </w:r>
      <w:r w:rsidRPr="001D014D">
        <w:t xml:space="preserve"> to Brewster Ambulance </w:t>
      </w:r>
      <w:r>
        <w:t>to hire a deaf person to be</w:t>
      </w:r>
      <w:r w:rsidRPr="006A7F43">
        <w:t xml:space="preserve"> a </w:t>
      </w:r>
      <w:r>
        <w:t>“</w:t>
      </w:r>
      <w:r w:rsidRPr="006A7F43">
        <w:t>Chair Car Driver</w:t>
      </w:r>
      <w:r>
        <w:t xml:space="preserve">.”  </w:t>
      </w:r>
      <w:hyperlink r:id="rId1674" w:history="1">
        <w:r w:rsidRPr="008449D0">
          <w:rPr>
            <w:rStyle w:val="Hyperlink"/>
            <w:b/>
          </w:rPr>
          <w:t>https://www.ca1.uscourts.gov/sites/ca1/files/opnfiles/25-1732P-01A.pdf</w:t>
        </w:r>
      </w:hyperlink>
      <w:r>
        <w:rPr>
          <w:b/>
        </w:rPr>
        <w:t xml:space="preserve"> </w:t>
      </w:r>
    </w:p>
    <w:p w14:paraId="50F35248" w14:textId="77777777" w:rsidR="00DB199F" w:rsidRDefault="00DB199F" w:rsidP="00DB199F">
      <w:pPr>
        <w:pStyle w:val="NoSpacing"/>
        <w:rPr>
          <w:b/>
        </w:rPr>
      </w:pPr>
    </w:p>
    <w:p w14:paraId="21A87BC9" w14:textId="77777777" w:rsidR="00DB199F" w:rsidRDefault="00DB199F" w:rsidP="00DB199F">
      <w:pPr>
        <w:pStyle w:val="NoSpacing"/>
      </w:pPr>
      <w:r>
        <w:t>THE COURT WROTE: “</w:t>
      </w:r>
      <w:r w:rsidRPr="00206153">
        <w:t>The jury had returned a verdict for Brewster on Buccieri's</w:t>
      </w:r>
      <w:r>
        <w:t xml:space="preserve"> </w:t>
      </w:r>
      <w:r w:rsidRPr="00206153">
        <w:t>claim of failure to hire for a Chair Car Driver position, finding</w:t>
      </w:r>
      <w:r>
        <w:t xml:space="preserve"> </w:t>
      </w:r>
      <w:r w:rsidRPr="00206153">
        <w:t xml:space="preserve">that Brewster had </w:t>
      </w:r>
      <w:r>
        <w:t>‘</w:t>
      </w:r>
      <w:r w:rsidRPr="00206153">
        <w:t>prove[d] by a preponderance of the evidence</w:t>
      </w:r>
      <w:r>
        <w:t xml:space="preserve"> </w:t>
      </w:r>
      <w:r w:rsidRPr="00206153">
        <w:t>that providing Mr. Buccieri with the requested accommodation(s)</w:t>
      </w:r>
      <w:r>
        <w:t xml:space="preserve"> </w:t>
      </w:r>
      <w:r w:rsidRPr="00206153">
        <w:t>would have been an undue hardship to Brewster Ambulance and/or</w:t>
      </w:r>
      <w:r>
        <w:t xml:space="preserve"> </w:t>
      </w:r>
      <w:r w:rsidRPr="00206153">
        <w:t>posed a direct threat to Mr. Buccieri or others.</w:t>
      </w:r>
      <w:r>
        <w:t>’</w:t>
      </w:r>
    </w:p>
    <w:p w14:paraId="57A18983" w14:textId="77777777" w:rsidR="00DB199F" w:rsidRDefault="00DB199F" w:rsidP="00DB199F">
      <w:pPr>
        <w:pStyle w:val="NoSpacing"/>
      </w:pPr>
    </w:p>
    <w:p w14:paraId="6B2548F8" w14:textId="77777777" w:rsidR="00DB199F" w:rsidRDefault="00DB199F" w:rsidP="00DB199F">
      <w:pPr>
        <w:pStyle w:val="NoSpacing"/>
      </w:pPr>
      <w:r>
        <w:t>***</w:t>
      </w:r>
    </w:p>
    <w:p w14:paraId="106D3EE5" w14:textId="77777777" w:rsidR="00DB199F" w:rsidRDefault="00DB199F" w:rsidP="00DB199F">
      <w:pPr>
        <w:pStyle w:val="NoSpacing"/>
      </w:pPr>
    </w:p>
    <w:p w14:paraId="4A1280C7" w14:textId="77777777" w:rsidR="00DB199F" w:rsidRDefault="00DB199F" w:rsidP="00DB199F">
      <w:pPr>
        <w:pStyle w:val="NoSpacing"/>
      </w:pPr>
      <w:r>
        <w:t>We hold that no reasonable jury could conclude that there was a reasonable accommodation that would have allowed Buccieri to perform the essential communications functions of the driver positions without undue hardship to Brewster…. Buccieri presented no evidence to rebut that his proposed tablet-based or any cell-phone-based accommodation for communicating with dispatch, even if it was available at the relevant time, would pose safety risks to all concerned of the driver's eyes being taken off the road, risks the ADA did not require Brewster to undertake. Brewster's radio system for dispatch communications has safety advantages over Buccieri's alternative accommodation of tablet-based communications, because the radio system allows drivers to connect instantly to dispatch with the press of one button on the radio and without taking their eyes off the road. Brewster established that distracted driving is the number one cause of accidents involving Brewster vehicles and that cell phone use is the number one cause of distracted driving.”</w:t>
      </w:r>
    </w:p>
    <w:p w14:paraId="42E324DD" w14:textId="77777777" w:rsidR="00DB199F" w:rsidRDefault="00DB199F" w:rsidP="00DB199F">
      <w:pPr>
        <w:pStyle w:val="NoSpacing"/>
      </w:pPr>
    </w:p>
    <w:p w14:paraId="1F0A1292" w14:textId="77777777" w:rsidR="00DB199F" w:rsidRPr="00957A56" w:rsidRDefault="00DB199F" w:rsidP="00DB199F">
      <w:pPr>
        <w:pStyle w:val="NoSpacing"/>
        <w:rPr>
          <w:b/>
          <w:bCs/>
        </w:rPr>
      </w:pPr>
      <w:r>
        <w:rPr>
          <w:b/>
        </w:rPr>
        <w:t>Legal lesson learned: Employers may refuse to hire disabled applicants who would create an “undue hardship.”</w:t>
      </w:r>
    </w:p>
    <w:p w14:paraId="60772E2C" w14:textId="77777777" w:rsidR="00DB199F" w:rsidRDefault="00DB199F" w:rsidP="00DB199F">
      <w:pPr>
        <w:pStyle w:val="NoSpacing"/>
        <w:rPr>
          <w:b/>
        </w:rPr>
      </w:pPr>
    </w:p>
    <w:p w14:paraId="57334498" w14:textId="77777777" w:rsidR="00DB199F" w:rsidRDefault="00DB199F" w:rsidP="00DB199F">
      <w:pPr>
        <w:pStyle w:val="NoSpacing"/>
        <w:rPr>
          <w:b/>
          <w:sz w:val="20"/>
          <w:szCs w:val="20"/>
        </w:rPr>
      </w:pPr>
    </w:p>
    <w:p w14:paraId="64DB69A9" w14:textId="20068AA5" w:rsidR="00DB199F" w:rsidRPr="00DB199F" w:rsidRDefault="00DB199F" w:rsidP="00DB199F">
      <w:pPr>
        <w:pStyle w:val="NoSpacing"/>
        <w:rPr>
          <w:rFonts w:ascii="Arial Black" w:hAnsi="Arial Black"/>
          <w:b/>
          <w:sz w:val="24"/>
          <w:szCs w:val="24"/>
        </w:rPr>
      </w:pPr>
      <w:r w:rsidRPr="00DB199F">
        <w:rPr>
          <w:rFonts w:ascii="Arial Black" w:hAnsi="Arial Black"/>
          <w:b/>
          <w:sz w:val="24"/>
          <w:szCs w:val="24"/>
        </w:rPr>
        <w:t>9-68</w:t>
      </w:r>
      <w:r w:rsidRPr="00DB199F">
        <w:rPr>
          <w:rFonts w:ascii="Arial Black" w:hAnsi="Arial Black"/>
          <w:b/>
          <w:sz w:val="24"/>
          <w:szCs w:val="24"/>
        </w:rPr>
        <w:tab/>
      </w:r>
    </w:p>
    <w:p w14:paraId="50716E8E" w14:textId="77777777" w:rsidR="00DB199F" w:rsidRDefault="00DB199F" w:rsidP="00DB199F">
      <w:pPr>
        <w:pStyle w:val="NoSpacing"/>
        <w:rPr>
          <w:rFonts w:ascii="Arial Black" w:hAnsi="Arial Black"/>
          <w:sz w:val="28"/>
          <w:szCs w:val="28"/>
        </w:rPr>
      </w:pPr>
    </w:p>
    <w:p w14:paraId="2AAB2896" w14:textId="77777777" w:rsidR="00DB199F" w:rsidRPr="00CB4E4D" w:rsidRDefault="00DB199F" w:rsidP="00DB199F">
      <w:pPr>
        <w:pStyle w:val="NoSpacing"/>
        <w:rPr>
          <w:rFonts w:ascii="Arial Black" w:hAnsi="Arial Black"/>
          <w:sz w:val="28"/>
          <w:szCs w:val="28"/>
        </w:rPr>
      </w:pPr>
      <w:r>
        <w:rPr>
          <w:rFonts w:ascii="Arial Black" w:hAnsi="Arial Black"/>
          <w:sz w:val="28"/>
          <w:szCs w:val="28"/>
        </w:rPr>
        <w:t>OR: HEART / LIGHT DUTY 1-YR – BUT 3 OPEN CITY JOBS</w:t>
      </w:r>
    </w:p>
    <w:p w14:paraId="0340C4A8" w14:textId="77777777" w:rsidR="00DB199F" w:rsidRDefault="00DB199F" w:rsidP="00DB199F">
      <w:pPr>
        <w:pStyle w:val="NoSpacing"/>
      </w:pPr>
    </w:p>
    <w:p w14:paraId="66C5236A" w14:textId="77777777" w:rsidR="00DB199F" w:rsidRDefault="00DB199F" w:rsidP="00DB199F">
      <w:pPr>
        <w:pStyle w:val="NoSpacing"/>
      </w:pPr>
      <w:r>
        <w:t xml:space="preserve">On May 8, 2026, in </w:t>
      </w:r>
      <w:r w:rsidRPr="00DA4E2B">
        <w:rPr>
          <w:u w:val="single"/>
        </w:rPr>
        <w:t>Christopher Rampley v. City of Newport</w:t>
      </w:r>
      <w:r>
        <w:t xml:space="preserve">, U.S. Magistrate Judge Amy E. Potter, </w:t>
      </w:r>
      <w:r w:rsidRPr="00E26CD3">
        <w:t>United States District Court, D. Oregon, Eugene Division</w:t>
      </w:r>
      <w:r>
        <w:t xml:space="preserve">, issued a Report and Recommendation that city’s motion for summary judgment should be denied since there were three other city jobs that may have been a reasonable accommodation. </w:t>
      </w:r>
      <w:r w:rsidRPr="004B23C2">
        <w:t xml:space="preserve">In 2015, Plaintiff experienced heart palpitations which would ultimately be diagnosed as </w:t>
      </w:r>
      <w:r>
        <w:t xml:space="preserve">was hospitalized with </w:t>
      </w:r>
      <w:r w:rsidRPr="004B23C2">
        <w:t>atrial fibrillation.</w:t>
      </w:r>
      <w:r>
        <w:t xml:space="preserve"> </w:t>
      </w:r>
      <w:r w:rsidRPr="001518B1">
        <w:t>In May 2022,</w:t>
      </w:r>
      <w:r>
        <w:t xml:space="preserve"> he was temporarily </w:t>
      </w:r>
      <w:r w:rsidRPr="001518B1">
        <w:t>reassigned to a light duty position as a fire inspector</w:t>
      </w:r>
      <w:r>
        <w:t xml:space="preserve">.  He received workers comp, and FD </w:t>
      </w:r>
      <w:r w:rsidRPr="00C205A5">
        <w:t xml:space="preserve">extended his light duty assignment until July 21, </w:t>
      </w:r>
      <w:proofErr w:type="gramStart"/>
      <w:r w:rsidRPr="00C205A5">
        <w:t>2023</w:t>
      </w:r>
      <w:proofErr w:type="gramEnd"/>
      <w:r>
        <w:t xml:space="preserve"> when he was terminated.  There were three other open jobs in the city – but there was apparently no discussion with the plaintiff about those: </w:t>
      </w:r>
      <w:r w:rsidRPr="004779EE">
        <w:t>an administrative project support position, a building attendant, and a janitorial position</w:t>
      </w:r>
      <w:r>
        <w:t xml:space="preserve">. </w:t>
      </w:r>
      <w:hyperlink r:id="rId1675" w:history="1">
        <w:r w:rsidRPr="009061EC">
          <w:rPr>
            <w:rStyle w:val="Hyperlink"/>
          </w:rPr>
          <w:t>https://public.fastcase.com/Jhe1Qn%2BmJndQYQU6z%2FeNm%2BBAkVyVw7qfp1FLZhLRneZoYclJ%2FVT7s6PXMIJoJS6%2B?utm_medium=email&amp;_hsenc=p2ANqtz-8PpRuVev0Ah_XktOEuEmMt0agUMxrVPAo9u5l7IUNDD8PU7k6rzhxTWeOW-diGg6ug4Y_W0mxcgZfTt2tSbUoxEpMhGQ&amp;_hsmi=226712652&amp;utm_content=226712652&amp;utm_source=hs_email</w:t>
        </w:r>
      </w:hyperlink>
      <w:r>
        <w:t xml:space="preserve"> </w:t>
      </w:r>
    </w:p>
    <w:p w14:paraId="33EC972A" w14:textId="77777777" w:rsidR="00DB199F" w:rsidRDefault="00DB199F" w:rsidP="00DB199F">
      <w:pPr>
        <w:pStyle w:val="NoSpacing"/>
      </w:pPr>
    </w:p>
    <w:p w14:paraId="16700831" w14:textId="77777777" w:rsidR="00DB199F" w:rsidRDefault="00DB199F" w:rsidP="00DB199F">
      <w:pPr>
        <w:pStyle w:val="NoSpacing"/>
        <w:rPr>
          <w:bCs/>
        </w:rPr>
      </w:pPr>
      <w:r>
        <w:t>THE MAGISTRATE JUDGE WROTE:</w:t>
      </w:r>
    </w:p>
    <w:p w14:paraId="62F702C9" w14:textId="77777777" w:rsidR="00DB199F" w:rsidRDefault="00DB199F" w:rsidP="00DB199F">
      <w:pPr>
        <w:pStyle w:val="NoSpacing"/>
      </w:pPr>
    </w:p>
    <w:p w14:paraId="3932C1B2" w14:textId="77777777" w:rsidR="00DB199F" w:rsidRDefault="00DB199F" w:rsidP="00DB199F">
      <w:pPr>
        <w:pStyle w:val="NoSpacing"/>
      </w:pPr>
      <w:r>
        <w:t>“</w:t>
      </w:r>
      <w:r w:rsidRPr="005523BB">
        <w:t xml:space="preserve">Of course, for the failure to offer a vacant position to be actionable, Plaintiff had to be able to perform the essential functions of that job with or without accommodations. </w:t>
      </w:r>
      <w:r w:rsidRPr="005523BB">
        <w:rPr>
          <w:i/>
          <w:iCs/>
        </w:rPr>
        <w:t>See Snapp v. United Transportation Union</w:t>
      </w:r>
      <w:r w:rsidRPr="005523BB">
        <w:t xml:space="preserve">, 889 F.3d 1088, 1095 (9th Cir. 2018) (holding that liability for failing to engage in interactive process only attaches if </w:t>
      </w:r>
      <w:proofErr w:type="gramStart"/>
      <w:r w:rsidRPr="005523BB">
        <w:t>a reasonable</w:t>
      </w:r>
      <w:proofErr w:type="gramEnd"/>
      <w:r w:rsidRPr="005523BB">
        <w:t xml:space="preserve"> accommodation is possible). Defendant contends it reviewed other city-wide vacant positions and determined that Plaintiff could not safely fill them or was not qualified</w:t>
      </w:r>
      <w:r>
        <w:t>…. P</w:t>
      </w:r>
      <w:r w:rsidRPr="005523BB">
        <w:t>laintiff disagrees and offers three positions—an administrative project support position, a building attendant, and a janitorial position—that he contends he was qualified for and could safely perform</w:t>
      </w:r>
      <w:r>
        <w:t xml:space="preserve">…. </w:t>
      </w:r>
      <w:r w:rsidRPr="005523BB">
        <w:t xml:space="preserve">Even with Defendant's evidence regarding the positions, there remains a dispute of fact on this </w:t>
      </w:r>
      <w:proofErr w:type="gramStart"/>
      <w:r w:rsidRPr="005523BB">
        <w:t>issue.</w:t>
      </w:r>
      <w:r>
        <w:t>”</w:t>
      </w:r>
      <w:proofErr w:type="gramEnd"/>
      <w:r>
        <w:t xml:space="preserve"> </w:t>
      </w:r>
    </w:p>
    <w:p w14:paraId="6B3D99FC" w14:textId="77777777" w:rsidR="00DB199F" w:rsidRDefault="00DB199F" w:rsidP="00DB199F">
      <w:pPr>
        <w:pStyle w:val="NoSpacing"/>
      </w:pPr>
    </w:p>
    <w:p w14:paraId="35494DF6" w14:textId="77777777" w:rsidR="00DB199F" w:rsidRPr="00B3494A" w:rsidRDefault="00DB199F" w:rsidP="00DB199F">
      <w:pPr>
        <w:pStyle w:val="NoSpacing"/>
        <w:rPr>
          <w:b/>
          <w:bCs/>
        </w:rPr>
      </w:pPr>
      <w:r w:rsidRPr="00B3494A">
        <w:rPr>
          <w:b/>
        </w:rPr>
        <w:t xml:space="preserve">Legal lesson learned: </w:t>
      </w:r>
      <w:r>
        <w:rPr>
          <w:b/>
        </w:rPr>
        <w:t xml:space="preserve">To avoid ADA litigation, have a thorough discussion with the employee about other possible positions in the city and document whether employee could safely perform those jobs. </w:t>
      </w:r>
    </w:p>
    <w:p w14:paraId="5840A21E" w14:textId="77777777" w:rsidR="00DB199F" w:rsidRDefault="00DB199F" w:rsidP="00DB199F">
      <w:pPr>
        <w:pStyle w:val="NoSpacing"/>
        <w:rPr>
          <w:b/>
          <w:bCs/>
        </w:rPr>
      </w:pPr>
    </w:p>
    <w:p w14:paraId="42984B3D" w14:textId="77777777" w:rsidR="00DB199F" w:rsidRDefault="00DB199F" w:rsidP="00DB199F">
      <w:pPr>
        <w:pStyle w:val="NoSpacing"/>
        <w:ind w:left="720"/>
      </w:pPr>
      <w:r>
        <w:rPr>
          <w:b/>
        </w:rPr>
        <w:t xml:space="preserve">Note: </w:t>
      </w:r>
      <w:r>
        <w:t xml:space="preserve">On July 8, 2026, U.S. District Court Judge </w:t>
      </w:r>
      <w:r w:rsidRPr="00E51C2B">
        <w:t>Mustafa Taher Kasubhai</w:t>
      </w:r>
      <w:r>
        <w:t xml:space="preserve"> accepted the Report and Recommendations. </w:t>
      </w:r>
      <w:hyperlink r:id="rId1676" w:history="1">
        <w:r w:rsidRPr="00DA6A19">
          <w:rPr>
            <w:rStyle w:val="Hyperlink"/>
          </w:rPr>
          <w:t>https://www.casemine.com/judgement/us/6a52586871db26a4e922f540</w:t>
        </w:r>
      </w:hyperlink>
      <w:r>
        <w:t xml:space="preserve"> </w:t>
      </w:r>
    </w:p>
    <w:p w14:paraId="678B440A" w14:textId="77777777" w:rsidR="00DB199F" w:rsidRPr="00B3494A" w:rsidRDefault="00DB199F" w:rsidP="00DB199F">
      <w:pPr>
        <w:pStyle w:val="NoSpacing"/>
        <w:rPr>
          <w:b/>
          <w:bCs/>
        </w:rPr>
      </w:pPr>
    </w:p>
    <w:p w14:paraId="6DD312FC" w14:textId="77777777" w:rsidR="00DB199F" w:rsidRDefault="00DB199F" w:rsidP="00BC4752">
      <w:pPr>
        <w:pStyle w:val="NoSpacing"/>
        <w:rPr>
          <w:rFonts w:ascii="Arial Black" w:hAnsi="Arial Black"/>
          <w:sz w:val="24"/>
          <w:szCs w:val="24"/>
        </w:rPr>
      </w:pPr>
    </w:p>
    <w:p w14:paraId="022AF4F4" w14:textId="77777777" w:rsidR="00DB199F" w:rsidRDefault="00DB199F" w:rsidP="00BC4752">
      <w:pPr>
        <w:pStyle w:val="NoSpacing"/>
        <w:rPr>
          <w:rFonts w:ascii="Arial Black" w:hAnsi="Arial Black"/>
          <w:sz w:val="24"/>
          <w:szCs w:val="24"/>
        </w:rPr>
      </w:pPr>
    </w:p>
    <w:p w14:paraId="4079C942" w14:textId="77777777" w:rsidR="00DB199F" w:rsidRDefault="00DB199F" w:rsidP="00BC4752">
      <w:pPr>
        <w:pStyle w:val="NoSpacing"/>
        <w:rPr>
          <w:rFonts w:ascii="Arial Black" w:hAnsi="Arial Black"/>
          <w:sz w:val="24"/>
          <w:szCs w:val="24"/>
        </w:rPr>
      </w:pPr>
    </w:p>
    <w:p w14:paraId="4F504253" w14:textId="77777777" w:rsidR="00DB199F" w:rsidRDefault="00DB199F" w:rsidP="00BC4752">
      <w:pPr>
        <w:pStyle w:val="NoSpacing"/>
        <w:rPr>
          <w:rFonts w:ascii="Arial Black" w:hAnsi="Arial Black"/>
          <w:sz w:val="24"/>
          <w:szCs w:val="24"/>
        </w:rPr>
      </w:pPr>
    </w:p>
    <w:p w14:paraId="7BD05818" w14:textId="77777777" w:rsidR="00DB199F" w:rsidRDefault="00DB199F" w:rsidP="00BC4752">
      <w:pPr>
        <w:pStyle w:val="NoSpacing"/>
        <w:rPr>
          <w:rFonts w:ascii="Arial Black" w:hAnsi="Arial Black"/>
          <w:sz w:val="24"/>
          <w:szCs w:val="24"/>
        </w:rPr>
      </w:pPr>
    </w:p>
    <w:p w14:paraId="16B42586" w14:textId="550D5706" w:rsidR="008C7243" w:rsidRDefault="00A0752D" w:rsidP="00BC4752">
      <w:pPr>
        <w:pStyle w:val="NoSpacing"/>
        <w:rPr>
          <w:rFonts w:ascii="Arial Black" w:hAnsi="Arial Black"/>
          <w:sz w:val="24"/>
          <w:szCs w:val="24"/>
        </w:rPr>
      </w:pPr>
      <w:r>
        <w:rPr>
          <w:rFonts w:ascii="Arial Black" w:hAnsi="Arial Black"/>
          <w:sz w:val="24"/>
          <w:szCs w:val="24"/>
        </w:rPr>
        <w:t>9</w:t>
      </w:r>
      <w:r w:rsidR="008C3834">
        <w:rPr>
          <w:rFonts w:ascii="Arial Black" w:hAnsi="Arial Black"/>
          <w:sz w:val="24"/>
          <w:szCs w:val="24"/>
        </w:rPr>
        <w:t>-</w:t>
      </w:r>
      <w:r w:rsidR="0049781A">
        <w:rPr>
          <w:rFonts w:ascii="Arial Black" w:hAnsi="Arial Black"/>
          <w:sz w:val="24"/>
          <w:szCs w:val="24"/>
        </w:rPr>
        <w:t>67</w:t>
      </w:r>
    </w:p>
    <w:p w14:paraId="066BF749" w14:textId="77777777" w:rsidR="008C3834" w:rsidRDefault="008C3834" w:rsidP="00BC4752">
      <w:pPr>
        <w:pStyle w:val="NoSpacing"/>
        <w:rPr>
          <w:rFonts w:ascii="Arial Black" w:hAnsi="Arial Black"/>
          <w:sz w:val="24"/>
          <w:szCs w:val="24"/>
        </w:rPr>
      </w:pPr>
    </w:p>
    <w:p w14:paraId="50B69144" w14:textId="77777777" w:rsidR="008C3834" w:rsidRPr="006E13B1" w:rsidRDefault="008C3834" w:rsidP="008C3834">
      <w:pPr>
        <w:rPr>
          <w:rFonts w:ascii="Arial Black" w:hAnsi="Arial Black"/>
          <w:bCs/>
          <w:sz w:val="28"/>
          <w:szCs w:val="28"/>
        </w:rPr>
      </w:pPr>
      <w:r>
        <w:rPr>
          <w:rFonts w:ascii="Arial Black" w:hAnsi="Arial Black"/>
          <w:sz w:val="28"/>
          <w:szCs w:val="28"/>
        </w:rPr>
        <w:t>NV: PROB. FF INJURED – NO EXT. 1-YR</w:t>
      </w:r>
      <w:r>
        <w:rPr>
          <w:rFonts w:ascii="Arial Black" w:hAnsi="Arial Black"/>
          <w:bCs/>
          <w:sz w:val="28"/>
          <w:szCs w:val="28"/>
        </w:rPr>
        <w:t xml:space="preserve"> – </w:t>
      </w:r>
      <w:r>
        <w:rPr>
          <w:rFonts w:ascii="Arial Black" w:hAnsi="Arial Black"/>
          <w:sz w:val="28"/>
          <w:szCs w:val="28"/>
        </w:rPr>
        <w:t>CASE</w:t>
      </w:r>
      <w:r>
        <w:rPr>
          <w:rFonts w:ascii="Arial Black" w:hAnsi="Arial Black"/>
          <w:bCs/>
          <w:sz w:val="28"/>
          <w:szCs w:val="28"/>
        </w:rPr>
        <w:t xml:space="preserve"> PROCEED</w:t>
      </w:r>
    </w:p>
    <w:p w14:paraId="06EFB765" w14:textId="77777777" w:rsidR="008C3834" w:rsidRDefault="008C3834" w:rsidP="008C3834">
      <w:pPr>
        <w:rPr>
          <w:bCs/>
        </w:rPr>
      </w:pPr>
      <w:r>
        <w:t xml:space="preserve">On May 12, 2026, in </w:t>
      </w:r>
      <w:r w:rsidRPr="00520ECA">
        <w:rPr>
          <w:u w:val="single"/>
        </w:rPr>
        <w:t>Matthew Gregort Vannozzi v. Clark County, et al</w:t>
      </w:r>
      <w:r>
        <w:t xml:space="preserve">., U.S. District Court Judge </w:t>
      </w:r>
      <w:r w:rsidRPr="006E13B1">
        <w:t>Jennifer A. Dorsey</w:t>
      </w:r>
      <w:r>
        <w:t>, United States District Court for the District of Nevada, denied Clark County’s motion to dismiss the case.  THE COURT HELD: “</w:t>
      </w:r>
      <w:r w:rsidRPr="00225ABE">
        <w:t>Matthew Vannozzi brings Americans with Disabilities Act (ADA), Rehabilitation Act, and Nevada-law employment claims against Clark County, alleging that its fire department refused to preserve his probationary firefighter-paramedic position while he recovered from line-of-duty injuries and cardiac conditions, failed to engage in the interactive process, and fired him for his disability</w:t>
      </w:r>
      <w:r>
        <w:t>…. A</w:t>
      </w:r>
      <w:r w:rsidRPr="00225ABE">
        <w:t>nd because the second amended complaint plausibly alleges that Vannozzi sought a finite recovery-time accommodation and suffered adverse action after invoking ADA-protected rights, I deny the motion to dismiss, too.</w:t>
      </w:r>
      <w:r>
        <w:t xml:space="preserve">” </w:t>
      </w:r>
      <w:hyperlink r:id="rId1677" w:history="1">
        <w:r w:rsidRPr="00F85F03">
          <w:rPr>
            <w:rStyle w:val="Hyperlink"/>
          </w:rPr>
          <w:t>https://public.fastcase.com/Jhe1Qn%2BmJndQYQU6z%2FeNm2kS7VI9AQpJ451BKRyshBDGiqezkPNA%2BJ4Mc%2Fomhxj3zuPpdWN764R4JuE3lYQbe83p1Nq1XHA6CB8LuiXwXBM%3D?utm_medium=email&amp;_hsenc=p2ANqtz-_xBqvIlP1bgLDQ7-gr0MsyD2cqh9I-7H0nRbwq_ndvk4N-HbAk55liN5jXfY0IgeNEDhFcwLKOWXCSzt7avhQkvFQDlA&amp;_hsmi=226712652&amp;utm_content=226712652&amp;utm_source=hs_email</w:t>
        </w:r>
      </w:hyperlink>
    </w:p>
    <w:p w14:paraId="355B616D" w14:textId="77777777" w:rsidR="008C3834" w:rsidRDefault="008C3834" w:rsidP="008C3834">
      <w:pPr>
        <w:rPr>
          <w:bCs/>
        </w:rPr>
      </w:pPr>
      <w:r>
        <w:t>THE COURT HELD:</w:t>
      </w:r>
    </w:p>
    <w:p w14:paraId="0DB5743C" w14:textId="77777777" w:rsidR="008C3834" w:rsidRPr="006F10FA" w:rsidRDefault="008C3834" w:rsidP="008C3834">
      <w:pPr>
        <w:ind w:left="720"/>
        <w:rPr>
          <w:bCs/>
        </w:rPr>
      </w:pPr>
      <w:r>
        <w:t>“</w:t>
      </w:r>
      <w:r w:rsidRPr="006F10FA">
        <w:t xml:space="preserve">The Clark County Fire Department hired Matthew Vannozzi as a probationary firefighter-paramedic in January 2023. He completed the Clark County Fire Academy that May and began full-duty work as a firefighter-paramedic. But four months later, while responding to a fire incident, Vannozzi injured his left upper extremity, neck, and right wrist badly enough to prevent him from performing the essential functions of that job. About a month after that, he suffered a non-ST elevation myocardial infarction that required emergency stent placement. During that treatment, he was also diagnosed with an aortic aneurysm, hemochromatosis, and a hypercoagulable state. </w:t>
      </w:r>
    </w:p>
    <w:p w14:paraId="0538C8EA" w14:textId="77777777" w:rsidR="008C3834" w:rsidRDefault="008C3834" w:rsidP="008C3834">
      <w:pPr>
        <w:ind w:left="720"/>
        <w:rPr>
          <w:bCs/>
          <w:vertAlign w:val="superscript"/>
        </w:rPr>
      </w:pPr>
      <w:r w:rsidRPr="006F10FA">
        <w:t>Those cardiac and blood-related conditions required anticoagulation therapy, making the inherent risks of firefighting potentially fatal because traumatic injury could lead to dangerous bleeding Multiple doctors placed Vannozzi on disability status and complete work restrictions, leaving him unable to perform firefighting duties during his recovery period. His treating cardiologist estimated on November 8, 2023, that Vannozzi would need at least six weeks before</w:t>
      </w:r>
      <w:r>
        <w:t xml:space="preserve"> </w:t>
      </w:r>
      <w:r w:rsidRPr="006F10FA">
        <w:t>he could return to work from a cardiac standpoint, putting that timeframe in mid-to-late December. But that estimate did not account for his orthopedic injuries, which required additional recovery time.</w:t>
      </w:r>
    </w:p>
    <w:p w14:paraId="6E806570" w14:textId="77777777" w:rsidR="008C3834" w:rsidRDefault="008C3834" w:rsidP="008C3834">
      <w:pPr>
        <w:ind w:left="720"/>
        <w:rPr>
          <w:vertAlign w:val="superscript"/>
        </w:rPr>
      </w:pPr>
      <w:r w:rsidRPr="00A65F20">
        <w:t xml:space="preserve">Clark County knew about Vannozzi's injuries, medical restrictions, and workers' compensation status. So, while still unable to perform firefighting duties, Vannozzi requested an extension of his one-year probationary period to give him time to recover and return to full duty. Vannozzi alleges that Clark County had extended probationary periods for other injured firefighters, but it refused to do so for him. It also told him that he would </w:t>
      </w:r>
      <w:r>
        <w:t>‘</w:t>
      </w:r>
      <w:r w:rsidRPr="00A65F20">
        <w:t>surely fail</w:t>
      </w:r>
      <w:r>
        <w:t xml:space="preserve">’ </w:t>
      </w:r>
      <w:r w:rsidRPr="00A65F20">
        <w:t>probation even if the department extended his probation and he recovered. Clark County terminated him on December 27, 2023—13 days before his probationary period would have ended.</w:t>
      </w:r>
    </w:p>
    <w:p w14:paraId="4EC06EE0" w14:textId="77777777" w:rsidR="008C3834" w:rsidRPr="00FF04E5" w:rsidRDefault="008C3834" w:rsidP="008C3834">
      <w:pPr>
        <w:ind w:left="720"/>
      </w:pPr>
      <w:r w:rsidRPr="00FF04E5">
        <w:t>***</w:t>
      </w:r>
    </w:p>
    <w:p w14:paraId="476A6483" w14:textId="77777777" w:rsidR="008C3834" w:rsidRPr="00FF04E5" w:rsidRDefault="008C3834" w:rsidP="008C3834">
      <w:pPr>
        <w:ind w:left="720"/>
      </w:pPr>
      <w:r>
        <w:t>[T]</w:t>
      </w:r>
      <w:r w:rsidRPr="00FF04E5">
        <w:t>he Ninth Circuit recognizes that medical leave or an extension of leave may be a reasonable accommodation when it would allow the employee to return to the job's essential functions in the foreseeable future</w:t>
      </w:r>
      <w:r>
        <w:t xml:space="preserve">…. </w:t>
      </w:r>
      <w:r w:rsidRPr="00DF5943">
        <w:t>At this pleading stage, Vannozzi plausibly alleges that he could have been a qualified individual with a finite recovery-time accommodation, so I deny the motion to dismiss on those grounds.</w:t>
      </w:r>
      <w:r>
        <w:t>”</w:t>
      </w:r>
    </w:p>
    <w:p w14:paraId="579EC6F6" w14:textId="77777777" w:rsidR="008C3834" w:rsidRPr="005E465A" w:rsidRDefault="008C3834" w:rsidP="008C3834">
      <w:pPr>
        <w:rPr>
          <w:b/>
        </w:rPr>
      </w:pPr>
      <w:r>
        <w:rPr>
          <w:b/>
        </w:rPr>
        <w:t xml:space="preserve">Legal lesson learned: </w:t>
      </w:r>
      <w:r w:rsidRPr="005E465A">
        <w:rPr>
          <w:b/>
        </w:rPr>
        <w:t xml:space="preserve">Under ADA, requests </w:t>
      </w:r>
      <w:r>
        <w:rPr>
          <w:b/>
        </w:rPr>
        <w:t xml:space="preserve">by an injured employee </w:t>
      </w:r>
      <w:r w:rsidRPr="005E465A">
        <w:rPr>
          <w:b/>
        </w:rPr>
        <w:t>for a</w:t>
      </w:r>
      <w:r>
        <w:rPr>
          <w:b/>
        </w:rPr>
        <w:t xml:space="preserve"> reasonable  </w:t>
      </w:r>
      <w:r w:rsidRPr="005E465A">
        <w:rPr>
          <w:b/>
        </w:rPr>
        <w:t xml:space="preserve">extension </w:t>
      </w:r>
      <w:r>
        <w:rPr>
          <w:b/>
        </w:rPr>
        <w:t xml:space="preserve">of </w:t>
      </w:r>
      <w:r w:rsidRPr="005E465A">
        <w:rPr>
          <w:b/>
        </w:rPr>
        <w:t>recovery</w:t>
      </w:r>
      <w:r>
        <w:rPr>
          <w:b/>
        </w:rPr>
        <w:t xml:space="preserve"> time can be considered </w:t>
      </w:r>
      <w:proofErr w:type="gramStart"/>
      <w:r>
        <w:rPr>
          <w:b/>
        </w:rPr>
        <w:t>a</w:t>
      </w:r>
      <w:proofErr w:type="gramEnd"/>
      <w:r w:rsidRPr="005E465A">
        <w:rPr>
          <w:b/>
        </w:rPr>
        <w:t xml:space="preserve"> ADA-protected right</w:t>
      </w:r>
      <w:r>
        <w:rPr>
          <w:b/>
        </w:rPr>
        <w:t>;</w:t>
      </w:r>
      <w:r w:rsidRPr="005E465A">
        <w:rPr>
          <w:b/>
        </w:rPr>
        <w:t xml:space="preserve"> case will proceed with pre-trial discovery. </w:t>
      </w:r>
    </w:p>
    <w:p w14:paraId="1C03AEE4" w14:textId="77777777" w:rsidR="00535EBD" w:rsidRDefault="00535EBD" w:rsidP="008C3834">
      <w:pPr>
        <w:rPr>
          <w:rFonts w:ascii="Arial Black" w:hAnsi="Arial Black"/>
          <w:bCs/>
          <w:sz w:val="24"/>
          <w:szCs w:val="24"/>
        </w:rPr>
      </w:pPr>
    </w:p>
    <w:p w14:paraId="0143AF40" w14:textId="526F89BB" w:rsidR="008C3834" w:rsidRPr="00535EBD" w:rsidRDefault="00535EBD" w:rsidP="008C3834">
      <w:pPr>
        <w:rPr>
          <w:rFonts w:ascii="Arial Black" w:hAnsi="Arial Black"/>
          <w:bCs/>
          <w:sz w:val="24"/>
          <w:szCs w:val="24"/>
        </w:rPr>
      </w:pPr>
      <w:r w:rsidRPr="00535EBD">
        <w:rPr>
          <w:rFonts w:ascii="Arial Black" w:hAnsi="Arial Black"/>
          <w:bCs/>
          <w:sz w:val="24"/>
          <w:szCs w:val="24"/>
        </w:rPr>
        <w:t>9-66 [also filed, Chap. 15, Mental health]</w:t>
      </w:r>
    </w:p>
    <w:p w14:paraId="75EC92C3" w14:textId="77777777" w:rsidR="00A0752D" w:rsidRPr="00E60E4B" w:rsidRDefault="00A0752D" w:rsidP="00A0752D">
      <w:pPr>
        <w:rPr>
          <w:rFonts w:ascii="Arial Black" w:hAnsi="Arial Black"/>
          <w:b/>
          <w:sz w:val="28"/>
          <w:szCs w:val="28"/>
        </w:rPr>
      </w:pPr>
      <w:r>
        <w:rPr>
          <w:rFonts w:ascii="Arial Black" w:hAnsi="Arial Black"/>
          <w:b/>
          <w:sz w:val="28"/>
          <w:szCs w:val="28"/>
        </w:rPr>
        <w:t xml:space="preserve">KY: FIRE MARSHAL – NO MJ - SUICIDE ATTEMPT ADDERALL </w:t>
      </w:r>
    </w:p>
    <w:p w14:paraId="0FC738A1" w14:textId="77777777" w:rsidR="00A0752D" w:rsidRDefault="00A0752D" w:rsidP="00A0752D">
      <w:pPr>
        <w:pStyle w:val="NoSpacing"/>
      </w:pPr>
      <w:r>
        <w:t xml:space="preserve">On May 5, 2026, in </w:t>
      </w:r>
      <w:r w:rsidRPr="00BE6F41">
        <w:rPr>
          <w:u w:val="single"/>
        </w:rPr>
        <w:t>Joseph Wheeling v. City of Winchester</w:t>
      </w:r>
      <w:r>
        <w:t xml:space="preserve">, U.S. District Court Judge </w:t>
      </w:r>
      <w:r w:rsidRPr="003F4A5C">
        <w:t>Karen K. Caldwel</w:t>
      </w:r>
      <w:r>
        <w:t xml:space="preserve">, United States District Court for Eastern District of Kentucky, Central Division, Lexington, granted the City’s motion for summary judgment on his May 16, </w:t>
      </w:r>
      <w:proofErr w:type="gramStart"/>
      <w:r>
        <w:t>2023</w:t>
      </w:r>
      <w:proofErr w:type="gramEnd"/>
      <w:r>
        <w:t xml:space="preserve"> termination for breach of city’s drug policy - abuse of proscribed medication.  The Fire Marshal had taken FMLA leave </w:t>
      </w:r>
      <w:r w:rsidRPr="00D73A56">
        <w:t>June 22</w:t>
      </w:r>
      <w:r>
        <w:t>-</w:t>
      </w:r>
      <w:r w:rsidRPr="00D73A56">
        <w:t xml:space="preserve">25, 2022, </w:t>
      </w:r>
      <w:r>
        <w:t xml:space="preserve">for </w:t>
      </w:r>
      <w:r w:rsidRPr="00D73A56">
        <w:t>in-patient treatment at the International Association of Fire Fighters Center for Excellence</w:t>
      </w:r>
      <w:r>
        <w:t xml:space="preserve">, and upon return he was receiving treatment </w:t>
      </w:r>
      <w:r w:rsidRPr="00216F9E">
        <w:t>Bluegrass Behavioral Health and Consulting Services</w:t>
      </w:r>
      <w:r>
        <w:t xml:space="preserve">.  After a second FMLA, the </w:t>
      </w:r>
      <w:proofErr w:type="gramStart"/>
      <w:r>
        <w:t>City</w:t>
      </w:r>
      <w:proofErr w:type="gramEnd"/>
      <w:r>
        <w:t xml:space="preserve"> declined his return to work using proscribed marijuana, so he was proscribed Adderall.  He r</w:t>
      </w:r>
      <w:r w:rsidRPr="00724F86">
        <w:t>eturned to work on March 14, 2023</w:t>
      </w:r>
      <w:r>
        <w:t xml:space="preserve">; but on </w:t>
      </w:r>
      <w:r w:rsidRPr="00147A46">
        <w:t xml:space="preserve">March 31, 2023, Wheeling attempted suicide while at work by </w:t>
      </w:r>
      <w:r w:rsidRPr="00D600CD">
        <w:t>ingesting about 9 or 11 Adderall pills.</w:t>
      </w:r>
      <w:r>
        <w:t xml:space="preserve"> THE COURT WROTE: “</w:t>
      </w:r>
      <w:r w:rsidRPr="00835EAE">
        <w:t xml:space="preserve">Because the record conclusively reveals a nondiscriminatory reason for the termination, the </w:t>
      </w:r>
      <w:proofErr w:type="gramStart"/>
      <w:r w:rsidRPr="00835EAE">
        <w:t>City</w:t>
      </w:r>
      <w:proofErr w:type="gramEnd"/>
      <w:r w:rsidRPr="00835EAE">
        <w:t xml:space="preserve"> is entitled to summary judgment on the disability discrimination claim</w:t>
      </w:r>
      <w:r>
        <w:t xml:space="preserve">…. </w:t>
      </w:r>
      <w:r w:rsidRPr="00E60E4B">
        <w:t xml:space="preserve"> Here, the written job requirements, the undisputed testimony from Wheeling and his supervisors, and the duties inherent in being a first responder indicate that field inspections and fire prevention </w:t>
      </w:r>
      <w:proofErr w:type="gramStart"/>
      <w:r w:rsidRPr="00E60E4B">
        <w:t>is</w:t>
      </w:r>
      <w:proofErr w:type="gramEnd"/>
      <w:r w:rsidRPr="00E60E4B">
        <w:t xml:space="preserve"> essential to performing the Fire Marshal role. The </w:t>
      </w:r>
      <w:proofErr w:type="gramStart"/>
      <w:r w:rsidRPr="00E60E4B">
        <w:t>City</w:t>
      </w:r>
      <w:proofErr w:type="gramEnd"/>
      <w:r w:rsidRPr="00E60E4B">
        <w:t xml:space="preserve"> was not required to reassign Wheeling's fire inspection and prevention responsibilities to other employees</w:t>
      </w:r>
      <w:r>
        <w:t xml:space="preserve">…. </w:t>
      </w:r>
      <w:r w:rsidRPr="00E60E4B">
        <w:t xml:space="preserve">Therefore, based on the record, Wheeling's request to have other employees help with </w:t>
      </w:r>
      <w:r>
        <w:t>‘</w:t>
      </w:r>
      <w:r w:rsidRPr="00E60E4B">
        <w:t xml:space="preserve">fire </w:t>
      </w:r>
      <w:proofErr w:type="gramStart"/>
      <w:r w:rsidRPr="00E60E4B">
        <w:t>inspections</w:t>
      </w:r>
      <w:r>
        <w:t>’</w:t>
      </w:r>
      <w:r w:rsidRPr="00E60E4B">
        <w:t xml:space="preserve"> and </w:t>
      </w:r>
      <w:r>
        <w:t>‘</w:t>
      </w:r>
      <w:proofErr w:type="gramEnd"/>
      <w:r w:rsidRPr="00E60E4B">
        <w:t>fire prevention</w:t>
      </w:r>
      <w:r>
        <w:t xml:space="preserve">’ </w:t>
      </w:r>
      <w:r w:rsidRPr="00E60E4B">
        <w:t xml:space="preserve">seeks </w:t>
      </w:r>
      <w:proofErr w:type="gramStart"/>
      <w:r w:rsidRPr="00E60E4B">
        <w:t>an accommodation</w:t>
      </w:r>
      <w:proofErr w:type="gramEnd"/>
      <w:r w:rsidRPr="00E60E4B">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E60E4B">
        <w:t xml:space="preserve">Because Wheeling failed to provide a reasonable accommodation request, his failure to accommodate claim fails as a matter of </w:t>
      </w:r>
      <w:proofErr w:type="gramStart"/>
      <w:r w:rsidRPr="00E60E4B">
        <w:t>law.</w:t>
      </w:r>
      <w:r>
        <w:t>”</w:t>
      </w:r>
      <w:proofErr w:type="gramEnd"/>
      <w:r>
        <w:t xml:space="preserve"> </w:t>
      </w:r>
      <w:hyperlink r:id="rId1678" w:history="1">
        <w:r w:rsidRPr="00BC462E">
          <w:rPr>
            <w:rStyle w:val="Hyperlink"/>
          </w:rPr>
          <w:t>https://cases.justia.com/federal/district-courts/kentucky/kyedce/5:2024cv00129/104855/29/0.pdf?ts=1778093974</w:t>
        </w:r>
      </w:hyperlink>
      <w:r>
        <w:t xml:space="preserve"> </w:t>
      </w:r>
    </w:p>
    <w:p w14:paraId="68D440A4" w14:textId="77777777" w:rsidR="00A0752D" w:rsidRDefault="00A0752D" w:rsidP="00A0752D">
      <w:pPr>
        <w:pStyle w:val="NoSpacing"/>
      </w:pPr>
    </w:p>
    <w:p w14:paraId="31C0D0B6" w14:textId="77777777" w:rsidR="00A0752D" w:rsidRDefault="00A0752D" w:rsidP="00A0752D">
      <w:pPr>
        <w:pStyle w:val="NoSpacing"/>
      </w:pPr>
      <w:r>
        <w:t xml:space="preserve">THE COURT HELD: </w:t>
      </w:r>
    </w:p>
    <w:p w14:paraId="4D1396A1" w14:textId="77777777" w:rsidR="00A0752D" w:rsidRDefault="00A0752D" w:rsidP="00A0752D">
      <w:pPr>
        <w:pStyle w:val="NoSpacing"/>
      </w:pPr>
    </w:p>
    <w:p w14:paraId="03868764" w14:textId="77777777" w:rsidR="00A0752D" w:rsidRDefault="00A0752D" w:rsidP="00A0752D">
      <w:pPr>
        <w:pStyle w:val="NoSpacing"/>
        <w:ind w:left="720"/>
      </w:pPr>
      <w:r>
        <w:t>“</w:t>
      </w:r>
      <w:r w:rsidRPr="00CF2083">
        <w:t>Wheeling identifies two potential accommodations that could have aided him in his employment: using medical marijuana and additional personnel to assist him in the office</w:t>
      </w:r>
      <w:r>
        <w:t xml:space="preserve">…. </w:t>
      </w:r>
      <w:r w:rsidRPr="006A2B36">
        <w:t xml:space="preserve">The City's letter explained </w:t>
      </w:r>
      <w:proofErr w:type="gramStart"/>
      <w:r w:rsidRPr="006A2B36">
        <w:t>that,</w:t>
      </w:r>
      <w:proofErr w:type="gramEnd"/>
      <w:r w:rsidRPr="006A2B36">
        <w:t xml:space="preserve"> </w:t>
      </w:r>
      <w:r>
        <w:t>‘</w:t>
      </w:r>
      <w:r w:rsidRPr="006A2B36">
        <w:t xml:space="preserve">[Wheeling's] position of employment with the </w:t>
      </w:r>
      <w:proofErr w:type="gramStart"/>
      <w:r w:rsidRPr="006A2B36">
        <w:t>City</w:t>
      </w:r>
      <w:proofErr w:type="gramEnd"/>
      <w:r w:rsidRPr="006A2B36">
        <w:t xml:space="preserve"> is a heightened safety awareness level position (HSAL) that involves exceptional duties to the community citizens in the area of public safety.</w:t>
      </w:r>
      <w:r>
        <w:t xml:space="preserve">’ …. </w:t>
      </w:r>
      <w:r w:rsidRPr="006A2B36">
        <w:t xml:space="preserve">Because of the heightened safety level required of his position, the </w:t>
      </w:r>
      <w:proofErr w:type="gramStart"/>
      <w:r w:rsidRPr="006A2B36">
        <w:t>City</w:t>
      </w:r>
      <w:proofErr w:type="gramEnd"/>
      <w:r w:rsidRPr="006A2B36">
        <w:t xml:space="preserve"> explicitly prohibited his use of medical marijuana. </w:t>
      </w:r>
    </w:p>
    <w:p w14:paraId="5B04C631" w14:textId="77777777" w:rsidR="00A0752D" w:rsidRDefault="00A0752D" w:rsidP="00A0752D">
      <w:pPr>
        <w:pStyle w:val="NoSpacing"/>
        <w:ind w:left="720"/>
      </w:pPr>
    </w:p>
    <w:p w14:paraId="61342ED9" w14:textId="77777777" w:rsidR="00A0752D" w:rsidRDefault="00A0752D" w:rsidP="00A0752D">
      <w:pPr>
        <w:pStyle w:val="NoSpacing"/>
        <w:ind w:left="720"/>
      </w:pPr>
      <w:r>
        <w:t>***</w:t>
      </w:r>
    </w:p>
    <w:p w14:paraId="29F62E00" w14:textId="77777777" w:rsidR="00A0752D" w:rsidRDefault="00A0752D" w:rsidP="00A0752D">
      <w:pPr>
        <w:pStyle w:val="NoSpacing"/>
        <w:ind w:left="720"/>
      </w:pPr>
    </w:p>
    <w:p w14:paraId="644F7071" w14:textId="77777777" w:rsidR="00A0752D" w:rsidRPr="00A43D41" w:rsidRDefault="00A0752D" w:rsidP="00A0752D">
      <w:pPr>
        <w:pStyle w:val="NoSpacing"/>
        <w:ind w:left="720"/>
      </w:pPr>
      <w:r w:rsidRPr="00A43D41">
        <w:t xml:space="preserve">Wheeling's healthcare provider responded with a March 1, </w:t>
      </w:r>
      <w:proofErr w:type="gramStart"/>
      <w:r w:rsidRPr="00A43D41">
        <w:t>2023, letter</w:t>
      </w:r>
      <w:proofErr w:type="gramEnd"/>
      <w:r w:rsidRPr="00A43D41">
        <w:t xml:space="preserve">: </w:t>
      </w:r>
    </w:p>
    <w:p w14:paraId="569992F7" w14:textId="77777777" w:rsidR="00A0752D" w:rsidRDefault="00A0752D" w:rsidP="00A0752D">
      <w:pPr>
        <w:pStyle w:val="NoSpacing"/>
        <w:ind w:left="720" w:firstLine="720"/>
      </w:pPr>
    </w:p>
    <w:p w14:paraId="5CA7E77E" w14:textId="77777777" w:rsidR="00A0752D" w:rsidRPr="00A43D41" w:rsidRDefault="00A0752D" w:rsidP="00A0752D">
      <w:pPr>
        <w:pStyle w:val="NoSpacing"/>
        <w:ind w:left="1440"/>
      </w:pPr>
      <w:r w:rsidRPr="00A43D41">
        <w:t xml:space="preserve">This letter is to certify that Joseph Wheeling has been released to return to work effective immediately with the following accommodation(s): </w:t>
      </w:r>
    </w:p>
    <w:p w14:paraId="3068BDD7" w14:textId="77777777" w:rsidR="00A0752D" w:rsidRPr="00A43D41" w:rsidRDefault="00A0752D" w:rsidP="00A0752D">
      <w:pPr>
        <w:pStyle w:val="NoSpacing"/>
        <w:ind w:left="1440"/>
      </w:pPr>
      <w:r w:rsidRPr="00A43D41">
        <w:t xml:space="preserve">• Scheduling flexibility to allow him to continue his medical treatment which includes weekly </w:t>
      </w:r>
      <w:proofErr w:type="spellStart"/>
      <w:r w:rsidRPr="00A43D41">
        <w:t>Spravato</w:t>
      </w:r>
      <w:proofErr w:type="spellEnd"/>
      <w:r w:rsidRPr="00A43D41">
        <w:t xml:space="preserve"> treatment and therapy. </w:t>
      </w:r>
    </w:p>
    <w:p w14:paraId="3D47BE9E" w14:textId="77777777" w:rsidR="00A0752D" w:rsidRPr="00A43D41" w:rsidRDefault="00A0752D" w:rsidP="00A0752D">
      <w:pPr>
        <w:pStyle w:val="NoSpacing"/>
        <w:ind w:left="1440"/>
      </w:pPr>
      <w:r w:rsidRPr="00A43D41">
        <w:t xml:space="preserve">Please note that additional </w:t>
      </w:r>
      <w:proofErr w:type="gramStart"/>
      <w:r w:rsidRPr="00A43D41">
        <w:t>accommodations</w:t>
      </w:r>
      <w:proofErr w:type="gramEnd"/>
      <w:r w:rsidRPr="00A43D41">
        <w:t xml:space="preserve"> may be required in the future and are dependent on progress/status. </w:t>
      </w:r>
    </w:p>
    <w:p w14:paraId="04688141" w14:textId="77777777" w:rsidR="00A0752D" w:rsidRPr="00A43D41" w:rsidRDefault="00A0752D" w:rsidP="00A0752D">
      <w:pPr>
        <w:pStyle w:val="NoSpacing"/>
        <w:ind w:left="1440"/>
      </w:pPr>
      <w:r w:rsidRPr="00A43D41">
        <w:t xml:space="preserve">Please note that it is felt that the </w:t>
      </w:r>
      <w:proofErr w:type="gramStart"/>
      <w:r w:rsidRPr="00A43D41">
        <w:t>above mentioned</w:t>
      </w:r>
      <w:proofErr w:type="gramEnd"/>
      <w:r w:rsidRPr="00A43D41">
        <w:t xml:space="preserve"> is capable of safely performing the required functions of his job while taking his current prescribed medications: </w:t>
      </w:r>
      <w:proofErr w:type="spellStart"/>
      <w:r w:rsidRPr="00A43D41">
        <w:t>Spravato</w:t>
      </w:r>
      <w:proofErr w:type="spellEnd"/>
      <w:r w:rsidRPr="00A43D41">
        <w:t xml:space="preserve"> (administered in office, once weekly, and Clonazepam 0.5mg twice daily as needed. </w:t>
      </w:r>
    </w:p>
    <w:p w14:paraId="38334386" w14:textId="77777777" w:rsidR="00A0752D" w:rsidRDefault="00A0752D" w:rsidP="00A0752D">
      <w:pPr>
        <w:pStyle w:val="NoSpacing"/>
        <w:ind w:left="720"/>
      </w:pPr>
    </w:p>
    <w:p w14:paraId="21B24C44" w14:textId="77777777" w:rsidR="00A0752D" w:rsidRDefault="00A0752D" w:rsidP="00A0752D">
      <w:pPr>
        <w:pStyle w:val="NoSpacing"/>
        <w:ind w:left="720"/>
      </w:pPr>
      <w:r w:rsidRPr="00077FEA">
        <w:t xml:space="preserve">After </w:t>
      </w:r>
      <w:proofErr w:type="gramStart"/>
      <w:r w:rsidRPr="00077FEA">
        <w:t>receipt of</w:t>
      </w:r>
      <w:proofErr w:type="gramEnd"/>
      <w:r w:rsidRPr="00077FEA">
        <w:t xml:space="preserve"> the letter, the City confirmed that the proposed treatment plan complied with its policies.</w:t>
      </w:r>
    </w:p>
    <w:p w14:paraId="50248559" w14:textId="77777777" w:rsidR="00A0752D" w:rsidRDefault="00A0752D" w:rsidP="00A0752D">
      <w:pPr>
        <w:pStyle w:val="NoSpacing"/>
        <w:ind w:left="720"/>
      </w:pPr>
    </w:p>
    <w:p w14:paraId="241C8D76" w14:textId="77777777" w:rsidR="00A0752D" w:rsidRDefault="00A0752D" w:rsidP="00A0752D">
      <w:pPr>
        <w:pStyle w:val="NoSpacing"/>
        <w:ind w:left="720"/>
      </w:pPr>
      <w:r>
        <w:t>***</w:t>
      </w:r>
    </w:p>
    <w:p w14:paraId="766BB172" w14:textId="77777777" w:rsidR="00A0752D" w:rsidRDefault="00A0752D" w:rsidP="00A0752D">
      <w:pPr>
        <w:pStyle w:val="NoSpacing"/>
        <w:ind w:left="720"/>
      </w:pPr>
      <w:r w:rsidRPr="00746CE2">
        <w:t xml:space="preserve">The </w:t>
      </w:r>
      <w:proofErr w:type="gramStart"/>
      <w:r w:rsidRPr="00746CE2">
        <w:t>City</w:t>
      </w:r>
      <w:proofErr w:type="gramEnd"/>
      <w:r w:rsidRPr="00746CE2">
        <w:t xml:space="preserve"> was not required to reassign Wheeling's fire inspection and prevention responsibilities to other employees</w:t>
      </w:r>
      <w:r>
        <w:t xml:space="preserve">…. </w:t>
      </w:r>
      <w:r w:rsidRPr="00746CE2">
        <w:t xml:space="preserve">Therefore, based on the record, Wheeling's request to have other employees help with </w:t>
      </w:r>
      <w:r>
        <w:t>‘</w:t>
      </w:r>
      <w:r w:rsidRPr="00746CE2">
        <w:t xml:space="preserve">fire </w:t>
      </w:r>
      <w:proofErr w:type="gramStart"/>
      <w:r w:rsidRPr="00746CE2">
        <w:t>inspections</w:t>
      </w:r>
      <w:r>
        <w:t>’</w:t>
      </w:r>
      <w:r w:rsidRPr="00746CE2">
        <w:t xml:space="preserve"> and </w:t>
      </w:r>
      <w:r>
        <w:t>‘</w:t>
      </w:r>
      <w:proofErr w:type="gramEnd"/>
      <w:r w:rsidRPr="00746CE2">
        <w:t>fire prevention</w:t>
      </w:r>
      <w:r>
        <w:t>’</w:t>
      </w:r>
      <w:r w:rsidRPr="00746CE2">
        <w:t xml:space="preserve"> seeks </w:t>
      </w:r>
      <w:proofErr w:type="gramStart"/>
      <w:r w:rsidRPr="00746CE2">
        <w:t>an accommodation</w:t>
      </w:r>
      <w:proofErr w:type="gramEnd"/>
      <w:r w:rsidRPr="00746CE2">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746CE2">
        <w:t xml:space="preserve">Because Wheeling failed to provide a reasonable accommodation request, his failure to accommodate claim fails as a matter of </w:t>
      </w:r>
      <w:proofErr w:type="gramStart"/>
      <w:r w:rsidRPr="00746CE2">
        <w:t>law.</w:t>
      </w:r>
      <w:r>
        <w:t>”</w:t>
      </w:r>
      <w:proofErr w:type="gramEnd"/>
    </w:p>
    <w:p w14:paraId="1C834A7E" w14:textId="77777777" w:rsidR="00A0752D" w:rsidRDefault="00A0752D" w:rsidP="00A0752D">
      <w:pPr>
        <w:pStyle w:val="NoSpacing"/>
        <w:ind w:left="720"/>
      </w:pPr>
    </w:p>
    <w:p w14:paraId="73CD82C9" w14:textId="77777777" w:rsidR="00A0752D" w:rsidRDefault="00A0752D" w:rsidP="00A0752D">
      <w:pPr>
        <w:pStyle w:val="NoSpacing"/>
        <w:rPr>
          <w:b/>
          <w:bCs/>
        </w:rPr>
      </w:pPr>
      <w:r>
        <w:rPr>
          <w:b/>
        </w:rPr>
        <w:t xml:space="preserve">Legal lesson learned: The ADA does not require an employer to allow use of proscribed marijuana for an emergency responder. </w:t>
      </w:r>
    </w:p>
    <w:p w14:paraId="2E1F5002" w14:textId="77777777" w:rsidR="00A0752D" w:rsidRDefault="00A0752D" w:rsidP="00A0752D">
      <w:pPr>
        <w:pStyle w:val="NoSpacing"/>
        <w:rPr>
          <w:b/>
          <w:bCs/>
        </w:rPr>
      </w:pPr>
    </w:p>
    <w:p w14:paraId="024D214A" w14:textId="77777777" w:rsidR="00A0752D" w:rsidRPr="00CC791A" w:rsidRDefault="00A0752D" w:rsidP="00A0752D">
      <w:pPr>
        <w:pStyle w:val="NoSpacing"/>
        <w:ind w:left="720"/>
      </w:pPr>
      <w:r w:rsidRPr="00CC791A">
        <w:t>Note: Good news. The Court wrote that “Wheeling is currently employed at the Clark County Fire Department, which is also where he began his career as a firefighter in 2008.”</w:t>
      </w:r>
    </w:p>
    <w:p w14:paraId="6402CF13" w14:textId="77777777" w:rsidR="00A0752D" w:rsidRDefault="00A0752D" w:rsidP="00A0752D">
      <w:pPr>
        <w:pStyle w:val="NoSpacing"/>
        <w:rPr>
          <w:rFonts w:ascii="Arial Black" w:hAnsi="Arial Black"/>
          <w:sz w:val="24"/>
          <w:szCs w:val="24"/>
        </w:rPr>
      </w:pPr>
    </w:p>
    <w:p w14:paraId="1CA6E299" w14:textId="77777777" w:rsidR="008C3834" w:rsidRPr="00225ABE" w:rsidRDefault="008C3834" w:rsidP="008C3834">
      <w:pPr>
        <w:rPr>
          <w:bCs/>
        </w:rPr>
      </w:pPr>
    </w:p>
    <w:p w14:paraId="494FD1D6" w14:textId="77777777" w:rsidR="008C3834" w:rsidRDefault="008C3834" w:rsidP="008C3834">
      <w:pPr>
        <w:rPr>
          <w:bCs/>
        </w:rPr>
      </w:pPr>
    </w:p>
    <w:p w14:paraId="782AFD0C" w14:textId="77777777" w:rsidR="008C3834" w:rsidRDefault="008C3834" w:rsidP="00B35478">
      <w:pPr>
        <w:pStyle w:val="NoSpacing"/>
        <w:rPr>
          <w:rFonts w:ascii="Arial Black" w:hAnsi="Arial Black"/>
          <w:sz w:val="28"/>
          <w:szCs w:val="28"/>
        </w:rPr>
      </w:pPr>
    </w:p>
    <w:p w14:paraId="7C9338C7" w14:textId="77777777" w:rsidR="008C3834" w:rsidRDefault="008C3834" w:rsidP="00B35478">
      <w:pPr>
        <w:pStyle w:val="NoSpacing"/>
        <w:rPr>
          <w:rFonts w:ascii="Arial Black" w:hAnsi="Arial Black"/>
          <w:sz w:val="28"/>
          <w:szCs w:val="28"/>
        </w:rPr>
      </w:pPr>
    </w:p>
    <w:p w14:paraId="4F5A2076" w14:textId="68C9BE84" w:rsidR="00B35478" w:rsidRDefault="00A0752D" w:rsidP="00B35478">
      <w:pPr>
        <w:pStyle w:val="NoSpacing"/>
        <w:rPr>
          <w:rFonts w:ascii="Arial Black" w:hAnsi="Arial Black"/>
          <w:sz w:val="28"/>
          <w:szCs w:val="28"/>
        </w:rPr>
      </w:pPr>
      <w:r>
        <w:rPr>
          <w:rFonts w:ascii="Arial Black" w:hAnsi="Arial Black"/>
          <w:sz w:val="28"/>
          <w:szCs w:val="28"/>
        </w:rPr>
        <w:t>9</w:t>
      </w:r>
      <w:r w:rsidR="00B35478">
        <w:rPr>
          <w:rFonts w:ascii="Arial Black" w:hAnsi="Arial Black"/>
          <w:sz w:val="28"/>
          <w:szCs w:val="28"/>
        </w:rPr>
        <w:t>-</w:t>
      </w:r>
      <w:r w:rsidR="00535EBD">
        <w:rPr>
          <w:rFonts w:ascii="Arial Black" w:hAnsi="Arial Black"/>
          <w:sz w:val="28"/>
          <w:szCs w:val="28"/>
        </w:rPr>
        <w:t>65</w:t>
      </w:r>
      <w:r w:rsidR="00B35478">
        <w:rPr>
          <w:rFonts w:ascii="Arial Black" w:hAnsi="Arial Black"/>
          <w:sz w:val="28"/>
          <w:szCs w:val="28"/>
        </w:rPr>
        <w:t xml:space="preserve"> [also filed, Chap. 14, Physical Fitness]</w:t>
      </w:r>
    </w:p>
    <w:p w14:paraId="4F9C2A0E" w14:textId="77777777" w:rsidR="00B35478" w:rsidRDefault="00B35478" w:rsidP="00B35478">
      <w:pPr>
        <w:pStyle w:val="NoSpacing"/>
        <w:rPr>
          <w:rFonts w:ascii="Arial Black" w:hAnsi="Arial Black"/>
          <w:sz w:val="28"/>
          <w:szCs w:val="28"/>
        </w:rPr>
      </w:pPr>
    </w:p>
    <w:p w14:paraId="35063719" w14:textId="77777777" w:rsidR="00B35478" w:rsidRDefault="00B35478" w:rsidP="00B35478">
      <w:pPr>
        <w:pStyle w:val="NoSpacing"/>
        <w:rPr>
          <w:rFonts w:ascii="Arial Black" w:hAnsi="Arial Black"/>
          <w:bCs/>
          <w:sz w:val="28"/>
          <w:szCs w:val="28"/>
        </w:rPr>
      </w:pPr>
      <w:r>
        <w:rPr>
          <w:rFonts w:ascii="Arial Black" w:hAnsi="Arial Black"/>
          <w:sz w:val="28"/>
          <w:szCs w:val="28"/>
        </w:rPr>
        <w:t>MD: DEPRESSION – SLOWER STATION – CASE PROCEED</w:t>
      </w:r>
    </w:p>
    <w:p w14:paraId="4A7C9605" w14:textId="77777777" w:rsidR="00B35478" w:rsidRDefault="00B35478" w:rsidP="00B35478">
      <w:pPr>
        <w:pStyle w:val="NoSpacing"/>
        <w:rPr>
          <w:rFonts w:ascii="Arial Black" w:hAnsi="Arial Black"/>
          <w:bCs/>
          <w:sz w:val="28"/>
          <w:szCs w:val="28"/>
        </w:rPr>
      </w:pPr>
    </w:p>
    <w:p w14:paraId="289412C9" w14:textId="77777777" w:rsidR="00B35478" w:rsidRDefault="00B35478" w:rsidP="00B35478">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1679" w:history="1">
        <w:r w:rsidRPr="003A1948">
          <w:rPr>
            <w:rStyle w:val="Hyperlink"/>
          </w:rPr>
          <w:t>https://cases.justia.com/federal/district-courts/maryland/mddce/1:2024cv03580/573207/56/0.pdf?ts=1777474810</w:t>
        </w:r>
      </w:hyperlink>
      <w:r>
        <w:t xml:space="preserve"> </w:t>
      </w:r>
    </w:p>
    <w:p w14:paraId="53A1821C" w14:textId="77777777" w:rsidR="00B35478" w:rsidRDefault="00B35478" w:rsidP="00B35478">
      <w:pPr>
        <w:pStyle w:val="NoSpacing"/>
      </w:pPr>
    </w:p>
    <w:p w14:paraId="760944E2" w14:textId="77777777" w:rsidR="00B35478" w:rsidRDefault="00B35478" w:rsidP="00B35478">
      <w:pPr>
        <w:pStyle w:val="NoSpacing"/>
      </w:pPr>
      <w:r>
        <w:t xml:space="preserve">THE COURT HELD: </w:t>
      </w:r>
    </w:p>
    <w:p w14:paraId="5CA494B3" w14:textId="77777777" w:rsidR="00B35478" w:rsidRDefault="00B35478" w:rsidP="00B35478">
      <w:pPr>
        <w:pStyle w:val="NoSpacing"/>
      </w:pPr>
    </w:p>
    <w:p w14:paraId="30E987F2" w14:textId="77777777" w:rsidR="00B35478" w:rsidRDefault="00B35478" w:rsidP="00B35478">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0A111E7E" w14:textId="77777777" w:rsidR="00B35478" w:rsidRDefault="00B35478" w:rsidP="00B35478">
      <w:pPr>
        <w:pStyle w:val="NoSpacing"/>
        <w:ind w:left="720"/>
      </w:pPr>
    </w:p>
    <w:p w14:paraId="4DCB7781" w14:textId="77777777" w:rsidR="00B35478" w:rsidRDefault="00B35478" w:rsidP="00B35478">
      <w:pPr>
        <w:pStyle w:val="NoSpacing"/>
        <w:ind w:left="720"/>
      </w:pPr>
      <w:r>
        <w:t>***</w:t>
      </w:r>
    </w:p>
    <w:p w14:paraId="11B45E64" w14:textId="77777777" w:rsidR="00B35478" w:rsidRDefault="00B35478" w:rsidP="00B35478">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4F95E397" w14:textId="77777777" w:rsidR="00B35478" w:rsidRDefault="00B35478" w:rsidP="00B35478">
      <w:pPr>
        <w:pStyle w:val="NoSpacing"/>
        <w:ind w:left="720"/>
      </w:pPr>
    </w:p>
    <w:p w14:paraId="4448F9B6" w14:textId="77777777" w:rsidR="00B35478" w:rsidRDefault="00B35478" w:rsidP="00B35478">
      <w:pPr>
        <w:pStyle w:val="NoSpacing"/>
        <w:ind w:left="720"/>
      </w:pPr>
      <w:r>
        <w:t>***</w:t>
      </w:r>
    </w:p>
    <w:p w14:paraId="3EA09D80" w14:textId="77777777" w:rsidR="00B35478" w:rsidRDefault="00B35478" w:rsidP="00B35478">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32C6FDEF" w14:textId="77777777" w:rsidR="00B35478" w:rsidRDefault="00B35478" w:rsidP="00B35478">
      <w:pPr>
        <w:pStyle w:val="NoSpacing"/>
        <w:ind w:left="720"/>
      </w:pPr>
    </w:p>
    <w:p w14:paraId="170889C7" w14:textId="77777777" w:rsidR="00B35478" w:rsidRDefault="00B35478" w:rsidP="00B35478">
      <w:pPr>
        <w:pStyle w:val="NoSpacing"/>
        <w:ind w:left="720"/>
      </w:pPr>
      <w:r>
        <w:t>***</w:t>
      </w:r>
    </w:p>
    <w:p w14:paraId="3D9A4380" w14:textId="77777777" w:rsidR="00B35478" w:rsidRDefault="00B35478" w:rsidP="00B35478">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621C65C8" w14:textId="77777777" w:rsidR="00B35478" w:rsidRDefault="00B35478" w:rsidP="00B35478">
      <w:pPr>
        <w:pStyle w:val="NoSpacing"/>
        <w:ind w:left="720"/>
      </w:pPr>
    </w:p>
    <w:p w14:paraId="76799327" w14:textId="77777777" w:rsidR="00B35478" w:rsidRPr="004A2357" w:rsidRDefault="00B35478" w:rsidP="00B35478">
      <w:pPr>
        <w:rPr>
          <w:b/>
          <w:bCs/>
        </w:rPr>
      </w:pPr>
      <w:r>
        <w:rPr>
          <w:b/>
        </w:rPr>
        <w:t>Legal lesson learned: The firefighter has burden of proof in this ADA case; permanent assignment to a slower station is a unique request for “reasonable accommodation.”</w:t>
      </w:r>
    </w:p>
    <w:p w14:paraId="426799F4" w14:textId="77777777" w:rsidR="008C7243" w:rsidRDefault="008C7243" w:rsidP="00BC4752">
      <w:pPr>
        <w:pStyle w:val="NoSpacing"/>
        <w:rPr>
          <w:rFonts w:ascii="Arial Black" w:hAnsi="Arial Black"/>
          <w:sz w:val="24"/>
          <w:szCs w:val="24"/>
        </w:rPr>
      </w:pPr>
    </w:p>
    <w:p w14:paraId="160CDB06" w14:textId="77777777" w:rsidR="008C7243" w:rsidRDefault="008C7243" w:rsidP="00BC4752">
      <w:pPr>
        <w:pStyle w:val="NoSpacing"/>
        <w:rPr>
          <w:rFonts w:ascii="Arial Black" w:hAnsi="Arial Black"/>
          <w:sz w:val="24"/>
          <w:szCs w:val="24"/>
        </w:rPr>
      </w:pPr>
    </w:p>
    <w:p w14:paraId="2A4AFBE6" w14:textId="77777777" w:rsidR="008C7243" w:rsidRDefault="008C7243" w:rsidP="00BC4752">
      <w:pPr>
        <w:pStyle w:val="NoSpacing"/>
        <w:rPr>
          <w:rFonts w:ascii="Arial Black" w:hAnsi="Arial Black"/>
          <w:sz w:val="24"/>
          <w:szCs w:val="24"/>
        </w:rPr>
      </w:pPr>
    </w:p>
    <w:p w14:paraId="4A87BA82" w14:textId="063B4176" w:rsidR="00BC4752" w:rsidRDefault="001A57F9" w:rsidP="00BC4752">
      <w:pPr>
        <w:pStyle w:val="NoSpacing"/>
        <w:rPr>
          <w:rFonts w:ascii="Arial Black" w:hAnsi="Arial Black"/>
          <w:sz w:val="24"/>
          <w:szCs w:val="24"/>
        </w:rPr>
      </w:pPr>
      <w:r>
        <w:rPr>
          <w:rFonts w:ascii="Arial Black" w:hAnsi="Arial Black"/>
          <w:sz w:val="24"/>
          <w:szCs w:val="24"/>
        </w:rPr>
        <w:t xml:space="preserve">9-64 </w:t>
      </w:r>
      <w:r w:rsidR="00BC4752">
        <w:rPr>
          <w:rFonts w:ascii="Arial Black" w:hAnsi="Arial Black"/>
          <w:sz w:val="24"/>
          <w:szCs w:val="24"/>
        </w:rPr>
        <w:t xml:space="preserve">[also filed, Chap. </w:t>
      </w:r>
      <w:r w:rsidR="008A677D">
        <w:rPr>
          <w:rFonts w:ascii="Arial Black" w:hAnsi="Arial Black"/>
          <w:sz w:val="24"/>
          <w:szCs w:val="24"/>
        </w:rPr>
        <w:t>15</w:t>
      </w:r>
      <w:r w:rsidR="00BC4752">
        <w:rPr>
          <w:rFonts w:ascii="Arial Black" w:hAnsi="Arial Black"/>
          <w:sz w:val="24"/>
          <w:szCs w:val="24"/>
        </w:rPr>
        <w:t xml:space="preserve"> – </w:t>
      </w:r>
      <w:r w:rsidR="008A677D">
        <w:rPr>
          <w:rFonts w:ascii="Arial Black" w:hAnsi="Arial Black"/>
          <w:sz w:val="24"/>
          <w:szCs w:val="24"/>
        </w:rPr>
        <w:t>Mental Health</w:t>
      </w:r>
      <w:r w:rsidR="00BC4752">
        <w:rPr>
          <w:rFonts w:ascii="Arial Black" w:hAnsi="Arial Black"/>
          <w:sz w:val="24"/>
          <w:szCs w:val="24"/>
        </w:rPr>
        <w:t>]</w:t>
      </w:r>
    </w:p>
    <w:p w14:paraId="540AEF75" w14:textId="77777777" w:rsidR="00BC4752" w:rsidRDefault="00BC4752" w:rsidP="00BC4752">
      <w:pPr>
        <w:pStyle w:val="NoSpacing"/>
        <w:rPr>
          <w:rFonts w:ascii="Arial Black" w:hAnsi="Arial Black"/>
          <w:sz w:val="28"/>
          <w:szCs w:val="28"/>
        </w:rPr>
      </w:pPr>
    </w:p>
    <w:p w14:paraId="42913A5D" w14:textId="77777777" w:rsidR="00BC4752" w:rsidRDefault="00BC4752" w:rsidP="00BC4752">
      <w:pPr>
        <w:pStyle w:val="NoSpacing"/>
        <w:rPr>
          <w:rFonts w:ascii="Arial Black" w:hAnsi="Arial Black"/>
          <w:bCs/>
          <w:sz w:val="28"/>
          <w:szCs w:val="28"/>
        </w:rPr>
      </w:pPr>
      <w:r>
        <w:rPr>
          <w:rFonts w:ascii="Arial Black" w:hAnsi="Arial Black"/>
          <w:sz w:val="28"/>
          <w:szCs w:val="28"/>
        </w:rPr>
        <w:t>MD: DEPRESSION – SLOWER STATION – CASE PROCEED</w:t>
      </w:r>
    </w:p>
    <w:p w14:paraId="5878D9F9" w14:textId="77777777" w:rsidR="00BC4752" w:rsidRDefault="00BC4752" w:rsidP="00BC4752">
      <w:pPr>
        <w:pStyle w:val="NoSpacing"/>
        <w:rPr>
          <w:rFonts w:ascii="Arial Black" w:hAnsi="Arial Black"/>
          <w:bCs/>
          <w:sz w:val="28"/>
          <w:szCs w:val="28"/>
        </w:rPr>
      </w:pPr>
    </w:p>
    <w:p w14:paraId="2F4F1DA5" w14:textId="77777777" w:rsidR="00BC4752" w:rsidRDefault="00BC4752" w:rsidP="00BC4752">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1680" w:history="1">
        <w:r w:rsidRPr="003A1948">
          <w:rPr>
            <w:rStyle w:val="Hyperlink"/>
          </w:rPr>
          <w:t>https://cases.justia.com/federal/district-courts/maryland/mddce/1:2024cv03580/573207/56/0.pdf?ts=1777474810</w:t>
        </w:r>
      </w:hyperlink>
      <w:r>
        <w:t xml:space="preserve"> </w:t>
      </w:r>
    </w:p>
    <w:p w14:paraId="093103E8" w14:textId="77777777" w:rsidR="00BC4752" w:rsidRDefault="00BC4752" w:rsidP="00BC4752">
      <w:pPr>
        <w:pStyle w:val="NoSpacing"/>
      </w:pPr>
    </w:p>
    <w:p w14:paraId="386FA144" w14:textId="77777777" w:rsidR="00BC4752" w:rsidRDefault="00BC4752" w:rsidP="00BC4752">
      <w:pPr>
        <w:pStyle w:val="NoSpacing"/>
      </w:pPr>
      <w:r>
        <w:t xml:space="preserve">THE COURT HELD: </w:t>
      </w:r>
    </w:p>
    <w:p w14:paraId="2D8A7A35" w14:textId="77777777" w:rsidR="00BC4752" w:rsidRDefault="00BC4752" w:rsidP="00BC4752">
      <w:pPr>
        <w:pStyle w:val="NoSpacing"/>
      </w:pPr>
    </w:p>
    <w:p w14:paraId="347F0830" w14:textId="77777777" w:rsidR="00BC4752" w:rsidRDefault="00BC4752" w:rsidP="00BC4752">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0869F77A" w14:textId="77777777" w:rsidR="00BC4752" w:rsidRDefault="00BC4752" w:rsidP="00BC4752">
      <w:pPr>
        <w:pStyle w:val="NoSpacing"/>
        <w:ind w:left="720"/>
      </w:pPr>
    </w:p>
    <w:p w14:paraId="6447B538" w14:textId="77777777" w:rsidR="00BC4752" w:rsidRDefault="00BC4752" w:rsidP="00BC4752">
      <w:pPr>
        <w:pStyle w:val="NoSpacing"/>
        <w:ind w:left="720"/>
      </w:pPr>
      <w:r>
        <w:t>***</w:t>
      </w:r>
    </w:p>
    <w:p w14:paraId="2E002480" w14:textId="77777777" w:rsidR="00BC4752" w:rsidRDefault="00BC4752" w:rsidP="00BC4752">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5684FF57" w14:textId="77777777" w:rsidR="00BC4752" w:rsidRDefault="00BC4752" w:rsidP="00BC4752">
      <w:pPr>
        <w:pStyle w:val="NoSpacing"/>
        <w:ind w:left="720"/>
      </w:pPr>
    </w:p>
    <w:p w14:paraId="47449954" w14:textId="77777777" w:rsidR="00BC4752" w:rsidRDefault="00BC4752" w:rsidP="00BC4752">
      <w:pPr>
        <w:pStyle w:val="NoSpacing"/>
        <w:ind w:left="720"/>
      </w:pPr>
      <w:r>
        <w:t>***</w:t>
      </w:r>
    </w:p>
    <w:p w14:paraId="2DBAF47F" w14:textId="77777777" w:rsidR="00BC4752" w:rsidRDefault="00BC4752" w:rsidP="00BC4752">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784282D3" w14:textId="77777777" w:rsidR="00BC4752" w:rsidRDefault="00BC4752" w:rsidP="00BC4752">
      <w:pPr>
        <w:pStyle w:val="NoSpacing"/>
        <w:ind w:left="720"/>
      </w:pPr>
    </w:p>
    <w:p w14:paraId="2AA1DEED" w14:textId="77777777" w:rsidR="00BC4752" w:rsidRDefault="00BC4752" w:rsidP="00BC4752">
      <w:pPr>
        <w:pStyle w:val="NoSpacing"/>
        <w:ind w:left="720"/>
      </w:pPr>
      <w:r>
        <w:t>***</w:t>
      </w:r>
    </w:p>
    <w:p w14:paraId="1EF1F0C2" w14:textId="77777777" w:rsidR="00BC4752" w:rsidRDefault="00BC4752" w:rsidP="00BC4752">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42AE00F8" w14:textId="77777777" w:rsidR="00BC4752" w:rsidRDefault="00BC4752" w:rsidP="00BC4752">
      <w:pPr>
        <w:pStyle w:val="NoSpacing"/>
        <w:ind w:left="720"/>
      </w:pPr>
    </w:p>
    <w:p w14:paraId="2867F04E" w14:textId="77777777" w:rsidR="00BC4752" w:rsidRPr="004A2357" w:rsidRDefault="00BC4752" w:rsidP="00BC4752">
      <w:pPr>
        <w:rPr>
          <w:b/>
          <w:bCs/>
        </w:rPr>
      </w:pPr>
      <w:r>
        <w:rPr>
          <w:b/>
        </w:rPr>
        <w:t>Legal lesson learned: The firefighter has burden of proof in this ADA case; permanent assignment to a slower station is a unique request for “reasonable accommodation.”</w:t>
      </w:r>
    </w:p>
    <w:p w14:paraId="367A9B61" w14:textId="77777777" w:rsidR="00BC4752" w:rsidRDefault="00BC4752" w:rsidP="00BC4752">
      <w:pPr>
        <w:pStyle w:val="NoSpacing"/>
        <w:rPr>
          <w:rFonts w:ascii="Arial Black" w:hAnsi="Arial Black"/>
          <w:sz w:val="24"/>
          <w:szCs w:val="24"/>
        </w:rPr>
      </w:pPr>
    </w:p>
    <w:p w14:paraId="18A7B72D" w14:textId="77777777" w:rsidR="00BC4752" w:rsidRDefault="00BC4752" w:rsidP="00BC4752">
      <w:pPr>
        <w:pStyle w:val="NoSpacing"/>
        <w:rPr>
          <w:rFonts w:ascii="Arial Black" w:hAnsi="Arial Black"/>
          <w:b/>
          <w:sz w:val="28"/>
          <w:szCs w:val="28"/>
        </w:rPr>
      </w:pPr>
    </w:p>
    <w:p w14:paraId="752AF224" w14:textId="77777777" w:rsidR="00BC4752" w:rsidRDefault="00BC4752" w:rsidP="00BC4752">
      <w:pPr>
        <w:pStyle w:val="NoSpacing"/>
        <w:rPr>
          <w:rFonts w:ascii="Arial Black" w:hAnsi="Arial Black"/>
          <w:sz w:val="24"/>
          <w:szCs w:val="24"/>
        </w:rPr>
      </w:pPr>
    </w:p>
    <w:p w14:paraId="0B984325" w14:textId="46F7223E" w:rsidR="00BC4752" w:rsidRDefault="001A57F9" w:rsidP="00BC4752">
      <w:pPr>
        <w:pStyle w:val="NoSpacing"/>
        <w:rPr>
          <w:rFonts w:ascii="Arial Black" w:hAnsi="Arial Black"/>
          <w:sz w:val="24"/>
          <w:szCs w:val="24"/>
        </w:rPr>
      </w:pPr>
      <w:r>
        <w:rPr>
          <w:rFonts w:ascii="Arial Black" w:hAnsi="Arial Black"/>
          <w:sz w:val="24"/>
          <w:szCs w:val="24"/>
        </w:rPr>
        <w:t xml:space="preserve">9-63 </w:t>
      </w:r>
      <w:r w:rsidR="00BC4752">
        <w:rPr>
          <w:rFonts w:ascii="Arial Black" w:hAnsi="Arial Black"/>
          <w:sz w:val="24"/>
          <w:szCs w:val="24"/>
        </w:rPr>
        <w:t>[also filed, Chap.</w:t>
      </w:r>
      <w:r>
        <w:rPr>
          <w:rFonts w:ascii="Arial Black" w:hAnsi="Arial Black"/>
          <w:sz w:val="24"/>
          <w:szCs w:val="24"/>
        </w:rPr>
        <w:t xml:space="preserve"> 15</w:t>
      </w:r>
      <w:r w:rsidR="00BC4752">
        <w:rPr>
          <w:rFonts w:ascii="Arial Black" w:hAnsi="Arial Black"/>
          <w:sz w:val="24"/>
          <w:szCs w:val="24"/>
        </w:rPr>
        <w:t xml:space="preserve">, </w:t>
      </w:r>
      <w:r>
        <w:rPr>
          <w:rFonts w:ascii="Arial Black" w:hAnsi="Arial Black"/>
          <w:sz w:val="24"/>
          <w:szCs w:val="24"/>
        </w:rPr>
        <w:t>Mental Health</w:t>
      </w:r>
      <w:r w:rsidR="00BC4752">
        <w:rPr>
          <w:rFonts w:ascii="Arial Black" w:hAnsi="Arial Black"/>
          <w:sz w:val="24"/>
          <w:szCs w:val="24"/>
        </w:rPr>
        <w:t>]</w:t>
      </w:r>
    </w:p>
    <w:p w14:paraId="6B54A3DA" w14:textId="77777777" w:rsidR="00BC4752" w:rsidRDefault="00BC4752" w:rsidP="00BC4752">
      <w:pPr>
        <w:pStyle w:val="NoSpacing"/>
        <w:rPr>
          <w:rFonts w:ascii="Arial Black" w:hAnsi="Arial Black"/>
          <w:b/>
          <w:sz w:val="28"/>
          <w:szCs w:val="28"/>
        </w:rPr>
      </w:pPr>
    </w:p>
    <w:p w14:paraId="291ED1FD" w14:textId="77777777" w:rsidR="00BC4752" w:rsidRDefault="00BC4752" w:rsidP="00BC4752">
      <w:pPr>
        <w:pStyle w:val="NoSpacing"/>
        <w:rPr>
          <w:rFonts w:ascii="Arial Black" w:hAnsi="Arial Black"/>
          <w:b/>
          <w:sz w:val="28"/>
          <w:szCs w:val="28"/>
        </w:rPr>
      </w:pPr>
    </w:p>
    <w:p w14:paraId="1E6AB10D" w14:textId="77777777" w:rsidR="00BC4752" w:rsidRDefault="00BC4752" w:rsidP="00BC4752">
      <w:pPr>
        <w:pStyle w:val="NoSpacing"/>
        <w:rPr>
          <w:rFonts w:ascii="Arial Black" w:hAnsi="Arial Black"/>
          <w:b/>
          <w:sz w:val="28"/>
          <w:szCs w:val="28"/>
        </w:rPr>
      </w:pPr>
      <w:r>
        <w:rPr>
          <w:rFonts w:ascii="Arial Black" w:hAnsi="Arial Black"/>
          <w:b/>
          <w:sz w:val="28"/>
          <w:szCs w:val="28"/>
        </w:rPr>
        <w:t xml:space="preserve">TX: ASSISTANT CHIEF – PTSD – NOT RIGHT INDEF. LEAVE </w:t>
      </w:r>
    </w:p>
    <w:p w14:paraId="7E1706E7" w14:textId="77777777" w:rsidR="00BC4752" w:rsidRDefault="00BC4752" w:rsidP="00BC4752">
      <w:pPr>
        <w:pStyle w:val="NoSpacing"/>
        <w:rPr>
          <w:rFonts w:ascii="Arial Black" w:hAnsi="Arial Black"/>
          <w:b/>
          <w:sz w:val="28"/>
          <w:szCs w:val="28"/>
        </w:rPr>
      </w:pPr>
    </w:p>
    <w:p w14:paraId="5470BB30" w14:textId="77777777" w:rsidR="00BC4752" w:rsidRDefault="00BC4752" w:rsidP="00BC4752">
      <w:pPr>
        <w:pStyle w:val="NoSpacing"/>
        <w:rPr>
          <w:b/>
        </w:rPr>
      </w:pPr>
      <w:r>
        <w:t xml:space="preserve">On April 8, 2026, in </w:t>
      </w:r>
      <w:r w:rsidRPr="003A1915">
        <w:rPr>
          <w:u w:val="single"/>
        </w:rPr>
        <w:t>Cameron Kramer v. City of Frisco, Texas</w:t>
      </w:r>
      <w:r>
        <w:t xml:space="preserve">, the </w:t>
      </w:r>
      <w:r w:rsidRPr="003A1915">
        <w:t>Court of Appeals of Texas, Twelfth District, Tyler</w:t>
      </w:r>
      <w:r>
        <w:t xml:space="preserve"> held (3 to 0) that trial court properly granted summary judgment to the City since the Assistant Chief never able to provide a </w:t>
      </w:r>
      <w:r w:rsidRPr="006D408F">
        <w:t xml:space="preserve">psychological </w:t>
      </w:r>
      <w:r w:rsidRPr="008C5C09">
        <w:t>clearance</w:t>
      </w:r>
      <w:r>
        <w:t xml:space="preserve"> to return to work and indefinite leave is not a reasonable accommodation.   </w:t>
      </w:r>
      <w:r w:rsidRPr="00AA4727">
        <w:t xml:space="preserve">On August 15, </w:t>
      </w:r>
      <w:proofErr w:type="gramStart"/>
      <w:r w:rsidRPr="00AA4727">
        <w:t>2022</w:t>
      </w:r>
      <w:proofErr w:type="gramEnd"/>
      <w:r>
        <w:t xml:space="preserve"> he took Family Medical Leave Act leave for PTSD until November 1, 2022; took another 90 days of leave under City’s policy; </w:t>
      </w:r>
      <w:proofErr w:type="gramStart"/>
      <w:r>
        <w:t>in</w:t>
      </w:r>
      <w:proofErr w:type="gramEnd"/>
      <w:r>
        <w:t xml:space="preserve"> January 31, </w:t>
      </w:r>
      <w:proofErr w:type="gramStart"/>
      <w:r>
        <w:t>2023</w:t>
      </w:r>
      <w:proofErr w:type="gramEnd"/>
      <w:r>
        <w:t xml:space="preserve"> the city approved additional unpaid leave until March 31 as an accommodation for his PTSD; o</w:t>
      </w:r>
      <w:r w:rsidRPr="00E87171">
        <w:t>n March 31, Kraemer requested additional unpaid leave through April 30, stating at the</w:t>
      </w:r>
      <w:r>
        <w:t xml:space="preserve"> </w:t>
      </w:r>
      <w:r w:rsidRPr="00E87171">
        <w:t xml:space="preserve">end of the leave period, he would </w:t>
      </w:r>
      <w:r>
        <w:t>‘</w:t>
      </w:r>
      <w:r w:rsidRPr="00E87171">
        <w:t>be re-evaluated</w:t>
      </w:r>
      <w:r>
        <w:t xml:space="preserve">” by his treating physician.  </w:t>
      </w:r>
      <w:r w:rsidRPr="00C4058E">
        <w:t>The City viewed this as a request for</w:t>
      </w:r>
      <w:r>
        <w:t xml:space="preserve"> </w:t>
      </w:r>
      <w:r w:rsidRPr="00C4058E">
        <w:t>indefinite unpaid leave and the City’s human resources director, Lauren Safranek, initially</w:t>
      </w:r>
      <w:r>
        <w:t xml:space="preserve"> </w:t>
      </w:r>
      <w:r w:rsidRPr="00C4058E">
        <w:t xml:space="preserve">informed Kraemer that the City could not grant such a </w:t>
      </w:r>
      <w:proofErr w:type="gramStart"/>
      <w:r w:rsidRPr="00C4058E">
        <w:t>reques</w:t>
      </w:r>
      <w:r>
        <w:t>t, but</w:t>
      </w:r>
      <w:proofErr w:type="gramEnd"/>
      <w:r>
        <w:t xml:space="preserve"> gave him until </w:t>
      </w:r>
      <w:r w:rsidRPr="008C5C09">
        <w:t>April 30 to allow him to</w:t>
      </w:r>
      <w:r>
        <w:t xml:space="preserve"> </w:t>
      </w:r>
      <w:r w:rsidRPr="008C5C09">
        <w:t xml:space="preserve">obtain the required </w:t>
      </w:r>
      <w:r w:rsidRPr="006D408F">
        <w:t xml:space="preserve">psychological </w:t>
      </w:r>
      <w:r w:rsidRPr="008C5C09">
        <w:t>clearance, which Kraemer did not submit.</w:t>
      </w:r>
      <w:r>
        <w:t xml:space="preserve"> </w:t>
      </w:r>
      <w:r w:rsidRPr="00FB0730">
        <w:t xml:space="preserve">On May 1, 2023, the </w:t>
      </w:r>
      <w:proofErr w:type="gramStart"/>
      <w:r w:rsidRPr="00FB0730">
        <w:t>City</w:t>
      </w:r>
      <w:proofErr w:type="gramEnd"/>
      <w:r w:rsidRPr="00FB0730">
        <w:t xml:space="preserve"> informed Kraemer via letter that his employment was</w:t>
      </w:r>
      <w:r>
        <w:t xml:space="preserve"> </w:t>
      </w:r>
      <w:r w:rsidRPr="00FB0730">
        <w:t>terminated because of his inability to return to work “with or without reasonable</w:t>
      </w:r>
      <w:r>
        <w:t xml:space="preserve"> </w:t>
      </w:r>
      <w:r w:rsidRPr="00FB0730">
        <w:t>accommodations” following the end of his leave period</w:t>
      </w:r>
      <w:r>
        <w:t xml:space="preserve">. The letter stated, in relevant part, that “the vacancy in the position of Assistant Fire Chief is compromising the operations of the City of Frisco Fire Department and granting continued accommodations of additional leave would cause an undue burden and hardship for the department and the </w:t>
      </w:r>
      <w:proofErr w:type="gramStart"/>
      <w:r>
        <w:t>City</w:t>
      </w:r>
      <w:proofErr w:type="gramEnd"/>
      <w:r>
        <w:t xml:space="preserve">, placing the safety of the community and the department at risk.” </w:t>
      </w:r>
      <w:hyperlink r:id="rId1681" w:history="1">
        <w:r w:rsidRPr="00941A72">
          <w:rPr>
            <w:rStyle w:val="Hyperlink"/>
            <w:b/>
          </w:rPr>
          <w:t>https://cases.justia.com/texas/twelfth-court-of-appeals/2026-12-25-00273-cv.pdf?ts=1775749638</w:t>
        </w:r>
      </w:hyperlink>
      <w:r>
        <w:rPr>
          <w:b/>
        </w:rPr>
        <w:t xml:space="preserve"> </w:t>
      </w:r>
    </w:p>
    <w:p w14:paraId="03C9F03D" w14:textId="77777777" w:rsidR="00BC4752" w:rsidRDefault="00BC4752" w:rsidP="00BC4752">
      <w:pPr>
        <w:pStyle w:val="NoSpacing"/>
      </w:pPr>
      <w:r>
        <w:t xml:space="preserve"> </w:t>
      </w:r>
    </w:p>
    <w:p w14:paraId="751218CB" w14:textId="77777777" w:rsidR="00BC4752" w:rsidRDefault="00BC4752" w:rsidP="00BC4752">
      <w:pPr>
        <w:pStyle w:val="NoSpacing"/>
        <w:rPr>
          <w:bCs/>
        </w:rPr>
      </w:pPr>
      <w:r>
        <w:t>THE COURT HELD:</w:t>
      </w:r>
    </w:p>
    <w:p w14:paraId="524E0C45" w14:textId="77777777" w:rsidR="00BC4752" w:rsidRDefault="00BC4752" w:rsidP="00BC4752">
      <w:pPr>
        <w:pStyle w:val="NoSpacing"/>
        <w:rPr>
          <w:bCs/>
        </w:rPr>
      </w:pPr>
    </w:p>
    <w:p w14:paraId="17399BE5" w14:textId="77777777" w:rsidR="00BC4752" w:rsidRDefault="00BC4752" w:rsidP="00BC4752">
      <w:pPr>
        <w:pStyle w:val="NoSpacing"/>
        <w:ind w:left="720"/>
      </w:pPr>
      <w:r>
        <w:t>“Although taking leave that is limited in duration may be a reasonable accommodation to enable an employee to perform the essential functions of the job upon return, taking leave without a specified date to return is not a reasonable accommodation.</w:t>
      </w:r>
    </w:p>
    <w:p w14:paraId="181E5817" w14:textId="77777777" w:rsidR="00BC4752" w:rsidRDefault="00BC4752" w:rsidP="00BC4752">
      <w:pPr>
        <w:pStyle w:val="NoSpacing"/>
        <w:ind w:left="720"/>
      </w:pPr>
    </w:p>
    <w:p w14:paraId="5F263129" w14:textId="77777777" w:rsidR="00BC4752" w:rsidRDefault="00BC4752" w:rsidP="00BC4752">
      <w:pPr>
        <w:pStyle w:val="NoSpacing"/>
        <w:ind w:left="720"/>
      </w:pPr>
      <w:r>
        <w:t>***</w:t>
      </w:r>
    </w:p>
    <w:p w14:paraId="5738E4AF" w14:textId="77777777" w:rsidR="00BC4752" w:rsidRDefault="00BC4752" w:rsidP="00BC4752">
      <w:pPr>
        <w:pStyle w:val="NoSpacing"/>
      </w:pPr>
    </w:p>
    <w:p w14:paraId="3CA9F1E7" w14:textId="77777777" w:rsidR="00BC4752" w:rsidRDefault="00BC4752" w:rsidP="00BC4752">
      <w:pPr>
        <w:pStyle w:val="NoSpacing"/>
        <w:ind w:firstLine="720"/>
      </w:pPr>
      <w:r>
        <w:t>The evidence shows that Kraemer discussed with Safranek whether he might be capable</w:t>
      </w:r>
    </w:p>
    <w:p w14:paraId="5EB20D13" w14:textId="77777777" w:rsidR="00BC4752" w:rsidRDefault="00BC4752" w:rsidP="00BC4752">
      <w:pPr>
        <w:pStyle w:val="NoSpacing"/>
        <w:ind w:left="720"/>
      </w:pPr>
      <w:r>
        <w:t xml:space="preserve">of returning to work on a reduced schedule, but nothing showing that he, or any of his doctors, ever concluded that, despite his disability, he </w:t>
      </w:r>
      <w:proofErr w:type="gramStart"/>
      <w:r>
        <w:t>was capable of performing</w:t>
      </w:r>
      <w:proofErr w:type="gramEnd"/>
      <w:r>
        <w:t xml:space="preserve"> the functions of the assistant fire chief position at all, even on a part-time basis…. In April of 2024, Dr. </w:t>
      </w:r>
      <w:proofErr w:type="spellStart"/>
      <w:r>
        <w:t>Tedwell</w:t>
      </w:r>
      <w:proofErr w:type="spellEnd"/>
      <w:r>
        <w:t xml:space="preserve"> testified before an administrative law judge that throughout her treatment relationship with Kraemer, her opinion has ‘always been that he has not been ready to go back to Frisco Fire Department[,]” an opinion which persisted until the time of her testimony.”</w:t>
      </w:r>
    </w:p>
    <w:p w14:paraId="6FAC69CA" w14:textId="77777777" w:rsidR="00BC4752" w:rsidRDefault="00BC4752" w:rsidP="00BC4752">
      <w:pPr>
        <w:pStyle w:val="NoSpacing"/>
        <w:ind w:left="720"/>
      </w:pPr>
    </w:p>
    <w:p w14:paraId="44636D0F" w14:textId="77777777" w:rsidR="00BC4752" w:rsidRDefault="00BC4752" w:rsidP="00BC4752">
      <w:pPr>
        <w:pStyle w:val="NoSpacing"/>
      </w:pPr>
      <w:r>
        <w:rPr>
          <w:b/>
        </w:rPr>
        <w:t xml:space="preserve">Legal lesson learned: Indefinite leave is not reasonable accommodation. </w:t>
      </w:r>
    </w:p>
    <w:p w14:paraId="355BA9E6" w14:textId="77777777" w:rsidR="00BC4752" w:rsidRDefault="00BC4752" w:rsidP="00BC4752">
      <w:pPr>
        <w:pStyle w:val="NoSpacing"/>
        <w:rPr>
          <w:b/>
        </w:rPr>
      </w:pPr>
    </w:p>
    <w:p w14:paraId="1891A10B" w14:textId="77777777" w:rsidR="00BC4752" w:rsidRDefault="00BC4752" w:rsidP="00BC4752">
      <w:pPr>
        <w:pStyle w:val="NoSpacing"/>
        <w:rPr>
          <w:bCs/>
        </w:rPr>
      </w:pPr>
    </w:p>
    <w:p w14:paraId="25DBD739" w14:textId="77777777" w:rsidR="00BC4752" w:rsidRDefault="00BC4752" w:rsidP="00BC4752">
      <w:pPr>
        <w:pStyle w:val="NoSpacing"/>
        <w:rPr>
          <w:rFonts w:ascii="Arial Black" w:hAnsi="Arial Black"/>
          <w:sz w:val="24"/>
          <w:szCs w:val="24"/>
        </w:rPr>
      </w:pPr>
    </w:p>
    <w:p w14:paraId="7DDC7055" w14:textId="77777777" w:rsidR="00BC4752" w:rsidRDefault="00BC4752" w:rsidP="00BC4752">
      <w:pPr>
        <w:pStyle w:val="NoSpacing"/>
        <w:rPr>
          <w:rFonts w:ascii="Arial Black" w:hAnsi="Arial Black"/>
          <w:sz w:val="24"/>
          <w:szCs w:val="24"/>
        </w:rPr>
      </w:pPr>
    </w:p>
    <w:p w14:paraId="2197C918" w14:textId="77777777" w:rsidR="00BC4752" w:rsidRDefault="00BC4752" w:rsidP="00684A51">
      <w:pPr>
        <w:pStyle w:val="NoSpacing"/>
        <w:rPr>
          <w:rFonts w:ascii="Arial Black" w:hAnsi="Arial Black"/>
          <w:sz w:val="24"/>
          <w:szCs w:val="24"/>
        </w:rPr>
      </w:pPr>
    </w:p>
    <w:p w14:paraId="470CA0F5" w14:textId="77777777" w:rsidR="00BC4752" w:rsidRDefault="00BC4752" w:rsidP="00684A51">
      <w:pPr>
        <w:pStyle w:val="NoSpacing"/>
        <w:rPr>
          <w:rFonts w:ascii="Arial Black" w:hAnsi="Arial Black"/>
          <w:sz w:val="24"/>
          <w:szCs w:val="24"/>
        </w:rPr>
      </w:pPr>
    </w:p>
    <w:p w14:paraId="41350198" w14:textId="570A73E3" w:rsidR="00684A51" w:rsidRDefault="00684A51" w:rsidP="00684A51">
      <w:pPr>
        <w:pStyle w:val="NoSpacing"/>
        <w:rPr>
          <w:rFonts w:ascii="Arial Black" w:hAnsi="Arial Black"/>
          <w:sz w:val="24"/>
          <w:szCs w:val="24"/>
        </w:rPr>
      </w:pPr>
      <w:r>
        <w:rPr>
          <w:rFonts w:ascii="Arial Black" w:hAnsi="Arial Black"/>
          <w:sz w:val="24"/>
          <w:szCs w:val="24"/>
        </w:rPr>
        <w:t>9-6</w:t>
      </w:r>
      <w:r w:rsidR="00BA6D04">
        <w:rPr>
          <w:rFonts w:ascii="Arial Black" w:hAnsi="Arial Black"/>
          <w:sz w:val="24"/>
          <w:szCs w:val="24"/>
        </w:rPr>
        <w:t>2</w:t>
      </w:r>
    </w:p>
    <w:p w14:paraId="06510B12" w14:textId="77777777" w:rsidR="003C742B" w:rsidRDefault="003C742B" w:rsidP="005C30A4">
      <w:pPr>
        <w:pStyle w:val="NoSpacing"/>
        <w:rPr>
          <w:rFonts w:ascii="Arial Black" w:hAnsi="Arial Black"/>
          <w:sz w:val="24"/>
          <w:szCs w:val="24"/>
        </w:rPr>
      </w:pPr>
    </w:p>
    <w:p w14:paraId="51897EA5" w14:textId="77777777" w:rsidR="003C742B" w:rsidRDefault="003C742B" w:rsidP="003C742B">
      <w:pPr>
        <w:pStyle w:val="NoSpacing"/>
        <w:rPr>
          <w:rFonts w:ascii="Arial Black" w:hAnsi="Arial Black"/>
          <w:bCs/>
          <w:sz w:val="28"/>
          <w:szCs w:val="28"/>
        </w:rPr>
      </w:pPr>
      <w:r>
        <w:rPr>
          <w:rFonts w:ascii="Arial Black" w:hAnsi="Arial Black"/>
          <w:sz w:val="28"/>
          <w:szCs w:val="28"/>
        </w:rPr>
        <w:t>FL: FF REFUSED TAKE TB TEST – ADA CASE TO PROCEED</w:t>
      </w:r>
    </w:p>
    <w:p w14:paraId="22CC5B5B" w14:textId="77777777" w:rsidR="003C742B" w:rsidRDefault="003C742B" w:rsidP="003C742B">
      <w:pPr>
        <w:pStyle w:val="NoSpacing"/>
        <w:rPr>
          <w:rFonts w:ascii="Arial Black" w:hAnsi="Arial Black"/>
          <w:bCs/>
          <w:sz w:val="28"/>
          <w:szCs w:val="28"/>
        </w:rPr>
      </w:pPr>
    </w:p>
    <w:p w14:paraId="14D97C9D" w14:textId="77777777" w:rsidR="003C742B" w:rsidRDefault="003C742B" w:rsidP="003C742B">
      <w:pPr>
        <w:pStyle w:val="NoSpacing"/>
        <w:rPr>
          <w:bCs/>
        </w:rPr>
      </w:pPr>
      <w:r>
        <w:t xml:space="preserve">On April 24, 2026, in </w:t>
      </w:r>
      <w:r w:rsidRPr="00026CBE">
        <w:rPr>
          <w:u w:val="single"/>
        </w:rPr>
        <w:t>Nathaniel Griffin v. City of South Pasadena</w:t>
      </w:r>
      <w:r>
        <w:t>, U.S. District Court Judge Wiiliam F. Jung, United States District Court for Middle District of Florida, Tampa Division, held that the firefighter’s ADA retaliation case may proceed with pretrial discovery.  “Plaintiff denies ever asking the Life Scan staff to lie about whether a TB test had been done.”   In his Amended Complaint he alleges that he “</w:t>
      </w:r>
      <w:r w:rsidRPr="00CB3F0C">
        <w:t>subjectively believed</w:t>
      </w:r>
      <w:r>
        <w:t>”</w:t>
      </w:r>
      <w:r w:rsidRPr="00CB3F0C">
        <w:t xml:space="preserve"> that portions of the CBA’s annual physical</w:t>
      </w:r>
      <w:r>
        <w:t xml:space="preserve"> </w:t>
      </w:r>
      <w:r w:rsidRPr="00CB3F0C">
        <w:t>examination requirement violated the ADA</w:t>
      </w:r>
      <w:r>
        <w:t xml:space="preserve"> and he made his concerns known to Fire Chief prior to the annual physical. After discovery is completed, the </w:t>
      </w:r>
      <w:proofErr w:type="gramStart"/>
      <w:r>
        <w:t>City</w:t>
      </w:r>
      <w:proofErr w:type="gramEnd"/>
      <w:r>
        <w:t xml:space="preserve"> may then file a motion for summary judgment based on a “business-necessity” defense.  </w:t>
      </w:r>
      <w:hyperlink r:id="rId1682" w:history="1">
        <w:r w:rsidRPr="00BE171B">
          <w:rPr>
            <w:rStyle w:val="Hyperlink"/>
          </w:rPr>
          <w:t>https://ecf.flmd.uscourts.gov/cgi-bin/show_public_doc?2025-02787-49-8-cv</w:t>
        </w:r>
      </w:hyperlink>
      <w:r>
        <w:t xml:space="preserve"> </w:t>
      </w:r>
    </w:p>
    <w:p w14:paraId="768E629B" w14:textId="77777777" w:rsidR="003C742B" w:rsidRDefault="003C742B" w:rsidP="003C742B">
      <w:pPr>
        <w:pStyle w:val="NoSpacing"/>
        <w:rPr>
          <w:bCs/>
        </w:rPr>
      </w:pPr>
    </w:p>
    <w:p w14:paraId="4F69D0C4" w14:textId="77777777" w:rsidR="003C742B" w:rsidRDefault="003C742B" w:rsidP="003C742B">
      <w:pPr>
        <w:pStyle w:val="NoSpacing"/>
        <w:rPr>
          <w:bCs/>
        </w:rPr>
      </w:pPr>
      <w:r>
        <w:t>THE COURT HELD:</w:t>
      </w:r>
    </w:p>
    <w:p w14:paraId="297ABDCE" w14:textId="77777777" w:rsidR="003C742B" w:rsidRDefault="003C742B" w:rsidP="003C742B">
      <w:pPr>
        <w:pStyle w:val="NoSpacing"/>
        <w:rPr>
          <w:bCs/>
        </w:rPr>
      </w:pPr>
    </w:p>
    <w:p w14:paraId="64D05011" w14:textId="77777777" w:rsidR="003C742B" w:rsidRDefault="003C742B" w:rsidP="003C742B">
      <w:pPr>
        <w:pStyle w:val="NoSpacing"/>
        <w:ind w:left="720"/>
      </w:pPr>
      <w:r>
        <w:t>“A statutorily protected activity for an ADA retaliation claim is ‘oppos[</w:t>
      </w:r>
      <w:proofErr w:type="spellStart"/>
      <w:r>
        <w:t>ing</w:t>
      </w:r>
      <w:proofErr w:type="spellEnd"/>
      <w:r>
        <w:t xml:space="preserve">] any act or practice made unlawful by this chapter.’ 42 U.S.C. § 12203(a)…. However, the plaintiff is not required to prove that the alleged discriminatory conduct was </w:t>
      </w:r>
      <w:proofErr w:type="gramStart"/>
      <w:r>
        <w:t>actually unlawful</w:t>
      </w:r>
      <w:proofErr w:type="gramEnd"/>
      <w:r>
        <w:t>;</w:t>
      </w:r>
    </w:p>
    <w:p w14:paraId="269C79EA" w14:textId="77777777" w:rsidR="003C742B" w:rsidRDefault="003C742B" w:rsidP="003C742B">
      <w:pPr>
        <w:pStyle w:val="NoSpacing"/>
        <w:ind w:left="720"/>
      </w:pPr>
      <w:r>
        <w:t>rather, the opposed conduct need only be “close enough” to support the objectively</w:t>
      </w:r>
    </w:p>
    <w:p w14:paraId="5BFDC266" w14:textId="77777777" w:rsidR="003C742B" w:rsidRDefault="003C742B" w:rsidP="003C742B">
      <w:pPr>
        <w:pStyle w:val="NoSpacing"/>
        <w:ind w:left="720"/>
      </w:pPr>
      <w:r>
        <w:t>reasonable belief.</w:t>
      </w:r>
    </w:p>
    <w:p w14:paraId="3117AC55" w14:textId="77777777" w:rsidR="003C742B" w:rsidRDefault="003C742B" w:rsidP="003C742B">
      <w:pPr>
        <w:pStyle w:val="NoSpacing"/>
        <w:ind w:left="720"/>
      </w:pPr>
    </w:p>
    <w:p w14:paraId="743AF438" w14:textId="77777777" w:rsidR="003C742B" w:rsidRDefault="003C742B" w:rsidP="003C742B">
      <w:pPr>
        <w:pStyle w:val="NoSpacing"/>
        <w:ind w:left="720"/>
      </w:pPr>
      <w:r>
        <w:t>***</w:t>
      </w:r>
    </w:p>
    <w:p w14:paraId="14B80327" w14:textId="77777777" w:rsidR="003C742B" w:rsidRDefault="003C742B" w:rsidP="003C742B">
      <w:pPr>
        <w:pStyle w:val="NoSpacing"/>
        <w:ind w:left="720"/>
      </w:pPr>
    </w:p>
    <w:p w14:paraId="725DBDEA" w14:textId="77777777" w:rsidR="003C742B" w:rsidRDefault="003C742B" w:rsidP="003C742B">
      <w:pPr>
        <w:pStyle w:val="NoSpacing"/>
        <w:ind w:left="720"/>
      </w:pPr>
      <w:r>
        <w:t>The Amended Complaint is also clear that Plaintiff subjectively believed that portions of the CBA’s annual physical examination requirement violated the ADA … and these objections about being forced by an employer to undergo an (allegedly) unlawful medical</w:t>
      </w:r>
    </w:p>
    <w:p w14:paraId="114BB68B" w14:textId="77777777" w:rsidR="003C742B" w:rsidRDefault="003C742B" w:rsidP="003C742B">
      <w:pPr>
        <w:pStyle w:val="NoSpacing"/>
        <w:ind w:left="720"/>
      </w:pPr>
      <w:proofErr w:type="gramStart"/>
      <w:r>
        <w:t>examination</w:t>
      </w:r>
      <w:proofErr w:type="gramEnd"/>
      <w:r>
        <w:t xml:space="preserve"> </w:t>
      </w:r>
      <w:proofErr w:type="gramStart"/>
      <w:r>
        <w:t>are</w:t>
      </w:r>
      <w:proofErr w:type="gramEnd"/>
      <w:r>
        <w:t xml:space="preserve"> objectively reasonable </w:t>
      </w:r>
      <w:proofErr w:type="gramStart"/>
      <w:r>
        <w:t>in light of</w:t>
      </w:r>
      <w:proofErr w:type="gramEnd"/>
      <w:r>
        <w:t xml:space="preserve"> the controlling substantive law.</w:t>
      </w:r>
    </w:p>
    <w:p w14:paraId="20A6A1C7" w14:textId="77777777" w:rsidR="003C742B" w:rsidRDefault="003C742B" w:rsidP="003C742B">
      <w:pPr>
        <w:pStyle w:val="NoSpacing"/>
        <w:ind w:left="720"/>
      </w:pPr>
    </w:p>
    <w:p w14:paraId="33991A5F" w14:textId="77777777" w:rsidR="003C742B" w:rsidRDefault="003C742B" w:rsidP="003C742B">
      <w:pPr>
        <w:pStyle w:val="NoSpacing"/>
        <w:ind w:left="720"/>
      </w:pPr>
      <w:r>
        <w:t>***</w:t>
      </w:r>
    </w:p>
    <w:p w14:paraId="13958881" w14:textId="77777777" w:rsidR="003C742B" w:rsidRDefault="003C742B" w:rsidP="003C742B">
      <w:pPr>
        <w:pStyle w:val="NoSpacing"/>
        <w:ind w:left="720"/>
      </w:pPr>
    </w:p>
    <w:p w14:paraId="6AA2761B" w14:textId="77777777" w:rsidR="003C742B" w:rsidRDefault="003C742B" w:rsidP="003C742B">
      <w:pPr>
        <w:pStyle w:val="NoSpacing"/>
        <w:ind w:left="720"/>
      </w:pPr>
      <w:r>
        <w:t>On August 2, 2022, Plaintiff was scheduled for an annual physical examination at Life Scan Wellness Center (‘Life Scan’)…. While at Life Scan, Plaintiff complained to the staff about the intrusive nature of the examinations, but still ‘made himself immediately available . . . for evaluation, and at no point refused any portion.’ … Life Scan staff member eventually told Plaintiff that it was too late to coordinate an accommodation and that he would have to reschedule his exam.</w:t>
      </w:r>
    </w:p>
    <w:p w14:paraId="7599E151" w14:textId="77777777" w:rsidR="003C742B" w:rsidRDefault="003C742B" w:rsidP="003C742B">
      <w:pPr>
        <w:pStyle w:val="NoSpacing"/>
        <w:ind w:left="720"/>
      </w:pPr>
    </w:p>
    <w:p w14:paraId="2B65D5C4" w14:textId="77777777" w:rsidR="003C742B" w:rsidRDefault="003C742B" w:rsidP="003C742B">
      <w:pPr>
        <w:pStyle w:val="NoSpacing"/>
        <w:ind w:left="720"/>
      </w:pPr>
      <w:r>
        <w:t>***</w:t>
      </w:r>
    </w:p>
    <w:p w14:paraId="7CC6850F" w14:textId="77777777" w:rsidR="003C742B" w:rsidRDefault="003C742B" w:rsidP="003C742B">
      <w:pPr>
        <w:pStyle w:val="NoSpacing"/>
        <w:ind w:left="720"/>
      </w:pPr>
    </w:p>
    <w:p w14:paraId="66EB8DE1" w14:textId="77777777" w:rsidR="003C742B" w:rsidRDefault="003C742B" w:rsidP="003C742B">
      <w:pPr>
        <w:pStyle w:val="NoSpacing"/>
        <w:ind w:left="720"/>
      </w:pPr>
      <w:r>
        <w:t>Plaintiff attended a rescheduled physical examination on August 12, 2022…. Plaintiff denies ever asking the Life Scan staff to lie about whether a TB test had been done.</w:t>
      </w:r>
    </w:p>
    <w:p w14:paraId="75AECD46" w14:textId="77777777" w:rsidR="003C742B" w:rsidRDefault="003C742B" w:rsidP="003C742B">
      <w:pPr>
        <w:pStyle w:val="NoSpacing"/>
        <w:ind w:left="720"/>
      </w:pPr>
    </w:p>
    <w:p w14:paraId="4E05DCC8" w14:textId="77777777" w:rsidR="003C742B" w:rsidRDefault="003C742B" w:rsidP="003C742B">
      <w:pPr>
        <w:pStyle w:val="NoSpacing"/>
        <w:ind w:left="720"/>
      </w:pPr>
      <w:r>
        <w:t>***</w:t>
      </w:r>
    </w:p>
    <w:p w14:paraId="51F3C34A" w14:textId="77777777" w:rsidR="003C742B" w:rsidRDefault="003C742B" w:rsidP="003C742B">
      <w:pPr>
        <w:pStyle w:val="NoSpacing"/>
        <w:rPr>
          <w:bCs/>
        </w:rPr>
      </w:pPr>
    </w:p>
    <w:p w14:paraId="0F97D789" w14:textId="77777777" w:rsidR="003C742B" w:rsidRDefault="003C742B" w:rsidP="003C742B">
      <w:pPr>
        <w:pStyle w:val="NoSpacing"/>
        <w:ind w:left="720"/>
      </w:pPr>
      <w:r>
        <w:t xml:space="preserve">On August 17, 2022, Fire Chief Mixson delivered a Notice of Discipline, asserting a ‘failure to complete annual physical in an efficient manner, creating additional expense to [Defendant]. Disrespectful and unprofessional interaction with members of the public (Life Scan staff). Violations of Employee Handbook Sections 7-4 B (9), 7-4 В (7), 7-4 В (8), 7-4 С (17).’ … Plaintiff was then suspended without pay for 24 hours….  On August 24, 2022, Plaintiff appealed this adverse employment action to Fire Commissioner Thomas B. Reid, which was denied. </w:t>
      </w:r>
    </w:p>
    <w:p w14:paraId="4F345A97" w14:textId="77777777" w:rsidR="003C742B" w:rsidRDefault="003C742B" w:rsidP="003C742B">
      <w:pPr>
        <w:pStyle w:val="NoSpacing"/>
        <w:ind w:left="720"/>
      </w:pPr>
    </w:p>
    <w:p w14:paraId="2684390F" w14:textId="77777777" w:rsidR="003C742B" w:rsidRDefault="003C742B" w:rsidP="003C742B">
      <w:pPr>
        <w:pStyle w:val="NoSpacing"/>
        <w:ind w:left="720"/>
      </w:pPr>
      <w:r>
        <w:t>***</w:t>
      </w:r>
    </w:p>
    <w:p w14:paraId="398DC4FF" w14:textId="77777777" w:rsidR="003C742B" w:rsidRDefault="003C742B" w:rsidP="003C742B">
      <w:pPr>
        <w:pStyle w:val="NoSpacing"/>
        <w:ind w:left="720"/>
      </w:pPr>
      <w:r>
        <w:t xml:space="preserve">On September 13, 2022, the </w:t>
      </w:r>
      <w:proofErr w:type="gramStart"/>
      <w:r>
        <w:t>City</w:t>
      </w:r>
      <w:proofErr w:type="gramEnd"/>
      <w:r>
        <w:t xml:space="preserve"> terminated Plaintiff’s employment…. The same day, Plaintiff appealed his termination to Fire Commissioner Reid … and during the appeal, Plaintiff was permitted to provide objections, case law, and scholarly articles…. In sum, Plaintiff was not only informed of the termination hearing and allowed to testify on his own </w:t>
      </w:r>
      <w:proofErr w:type="gramStart"/>
      <w:r>
        <w:t>behalf, but</w:t>
      </w:r>
      <w:proofErr w:type="gramEnd"/>
      <w:r>
        <w:t xml:space="preserve"> was also permitted to appeal his termination and (again) present evidence on his </w:t>
      </w:r>
      <w:proofErr w:type="gramStart"/>
      <w:r>
        <w:t>behalf.”</w:t>
      </w:r>
      <w:proofErr w:type="gramEnd"/>
    </w:p>
    <w:p w14:paraId="0ECB4E98" w14:textId="77777777" w:rsidR="003C742B" w:rsidRDefault="003C742B" w:rsidP="003C742B">
      <w:pPr>
        <w:pStyle w:val="NoSpacing"/>
        <w:ind w:left="720"/>
      </w:pPr>
    </w:p>
    <w:p w14:paraId="2892DC89" w14:textId="77777777" w:rsidR="003C742B" w:rsidRPr="001714F2" w:rsidRDefault="003C742B" w:rsidP="003C742B">
      <w:pPr>
        <w:pStyle w:val="NoSpacing"/>
        <w:rPr>
          <w:b/>
          <w:bCs/>
        </w:rPr>
      </w:pPr>
      <w:r>
        <w:rPr>
          <w:b/>
        </w:rPr>
        <w:t>Legal lesson learned:  Pre-trial discovery will now proceed; city has a strong defense.</w:t>
      </w:r>
    </w:p>
    <w:p w14:paraId="549BB924" w14:textId="77777777" w:rsidR="00684A51" w:rsidRDefault="00684A51" w:rsidP="00684A51">
      <w:pPr>
        <w:pStyle w:val="NoSpacing"/>
        <w:rPr>
          <w:rFonts w:ascii="Arial Black" w:hAnsi="Arial Black"/>
          <w:sz w:val="24"/>
          <w:szCs w:val="24"/>
        </w:rPr>
      </w:pPr>
    </w:p>
    <w:p w14:paraId="11D55BF2" w14:textId="77777777" w:rsidR="00684A51" w:rsidRDefault="00684A51" w:rsidP="00684A51">
      <w:pPr>
        <w:pStyle w:val="NoSpacing"/>
        <w:rPr>
          <w:rFonts w:ascii="Arial Black" w:hAnsi="Arial Black"/>
          <w:sz w:val="24"/>
          <w:szCs w:val="24"/>
        </w:rPr>
      </w:pPr>
    </w:p>
    <w:p w14:paraId="36F829C5" w14:textId="77777777" w:rsidR="008C7243" w:rsidRDefault="008C7243" w:rsidP="00684A51">
      <w:pPr>
        <w:pStyle w:val="NoSpacing"/>
        <w:rPr>
          <w:rFonts w:ascii="Arial Black" w:hAnsi="Arial Black"/>
          <w:sz w:val="24"/>
          <w:szCs w:val="24"/>
        </w:rPr>
      </w:pPr>
    </w:p>
    <w:p w14:paraId="0778D57D" w14:textId="7BE5B907" w:rsidR="00684A51" w:rsidRDefault="00684A51" w:rsidP="00684A51">
      <w:pPr>
        <w:pStyle w:val="NoSpacing"/>
        <w:rPr>
          <w:rFonts w:ascii="Arial Black" w:hAnsi="Arial Black"/>
          <w:sz w:val="24"/>
          <w:szCs w:val="24"/>
        </w:rPr>
      </w:pPr>
      <w:r>
        <w:rPr>
          <w:rFonts w:ascii="Arial Black" w:hAnsi="Arial Black"/>
          <w:sz w:val="24"/>
          <w:szCs w:val="24"/>
        </w:rPr>
        <w:t>9-6</w:t>
      </w:r>
      <w:r w:rsidR="00BA6D04">
        <w:rPr>
          <w:rFonts w:ascii="Arial Black" w:hAnsi="Arial Black"/>
          <w:sz w:val="24"/>
          <w:szCs w:val="24"/>
        </w:rPr>
        <w:t>1</w:t>
      </w:r>
    </w:p>
    <w:p w14:paraId="252339E8" w14:textId="77777777" w:rsidR="003C742B" w:rsidRPr="00043BF5" w:rsidRDefault="003C742B" w:rsidP="003C742B">
      <w:pPr>
        <w:pStyle w:val="NoSpacing"/>
      </w:pPr>
    </w:p>
    <w:p w14:paraId="7AFD4A5F" w14:textId="77777777" w:rsidR="007811A4" w:rsidRPr="0038660D" w:rsidRDefault="007811A4" w:rsidP="007811A4">
      <w:pPr>
        <w:pStyle w:val="NoSpacing"/>
        <w:rPr>
          <w:rFonts w:ascii="Arial Black" w:hAnsi="Arial Black"/>
          <w:sz w:val="28"/>
          <w:szCs w:val="28"/>
        </w:rPr>
      </w:pPr>
      <w:r>
        <w:rPr>
          <w:rFonts w:ascii="Arial Black" w:hAnsi="Arial Black"/>
          <w:sz w:val="28"/>
          <w:szCs w:val="28"/>
        </w:rPr>
        <w:t xml:space="preserve">AK: RIGHT ANKLE – DISABLED – NO RIGHT “LIGHT DUTY” </w:t>
      </w:r>
    </w:p>
    <w:p w14:paraId="621B28D4" w14:textId="77777777" w:rsidR="007811A4" w:rsidRDefault="007811A4" w:rsidP="007811A4">
      <w:pPr>
        <w:pStyle w:val="NoSpacing"/>
      </w:pPr>
    </w:p>
    <w:p w14:paraId="46FA32D8" w14:textId="77777777" w:rsidR="007811A4" w:rsidRDefault="007811A4" w:rsidP="007811A4">
      <w:pPr>
        <w:pStyle w:val="NoSpacing"/>
      </w:pPr>
      <w:r>
        <w:t xml:space="preserve">On March 31, 2026, in </w:t>
      </w:r>
      <w:r w:rsidRPr="00B31302">
        <w:rPr>
          <w:u w:val="single"/>
        </w:rPr>
        <w:t>Christopher Mackey v. City of Pine Bluff</w:t>
      </w:r>
      <w:r>
        <w:t xml:space="preserve">, U.S. District Court Judge </w:t>
      </w:r>
      <w:r w:rsidRPr="00B31302">
        <w:t>Kristine G. Bake</w:t>
      </w:r>
      <w:r>
        <w:t xml:space="preserve">, United States District Court for Eastern District of Arkansas, Central Division, granted the City’s motion for summary judgment.  </w:t>
      </w:r>
      <w:r w:rsidRPr="00DC23E7">
        <w:t xml:space="preserve">On July 31, 2022, Mackey </w:t>
      </w:r>
      <w:r>
        <w:t xml:space="preserve">(firefighter / engineer) </w:t>
      </w:r>
      <w:r w:rsidRPr="00DC23E7">
        <w:t>suffered an ankle injury as his shift began by stepping into a pothole in the parking lot of Station 1 in Pine Bluff</w:t>
      </w:r>
      <w:r>
        <w:t xml:space="preserve">, and MRI revealed </w:t>
      </w:r>
      <w:r w:rsidRPr="00390A1A">
        <w:t xml:space="preserve">“complete rupture of the peroneus brevis tendon” </w:t>
      </w:r>
      <w:r>
        <w:t xml:space="preserve">which required surgery.  After surgery he was </w:t>
      </w:r>
      <w:r w:rsidRPr="009A23D1">
        <w:t xml:space="preserve">without feeling </w:t>
      </w:r>
      <w:proofErr w:type="gramStart"/>
      <w:r w:rsidRPr="009A23D1">
        <w:t>in</w:t>
      </w:r>
      <w:proofErr w:type="gramEnd"/>
      <w:r w:rsidRPr="009A23D1">
        <w:t xml:space="preserve"> the right side of his foot</w:t>
      </w:r>
      <w:r>
        <w:t xml:space="preserve">.  The FD denied his two requests for light duty – as Engineer with no firefighting, or instructor in EMS school with no heavy lifting - but his physician could not provide FD with letter that he could eventually return to full duty.  </w:t>
      </w:r>
      <w:r w:rsidRPr="00E427CE">
        <w:t xml:space="preserve">Mackey resigned from </w:t>
      </w:r>
      <w:r>
        <w:t xml:space="preserve">FD </w:t>
      </w:r>
      <w:r w:rsidRPr="00E427CE">
        <w:t>on November 9, 202</w:t>
      </w:r>
      <w:r>
        <w:t xml:space="preserve">3. </w:t>
      </w:r>
      <w:r w:rsidRPr="00E427CE">
        <w:t xml:space="preserve"> </w:t>
      </w:r>
      <w:hyperlink r:id="rId1683" w:history="1">
        <w:r w:rsidRPr="00A849F7">
          <w:rPr>
            <w:rStyle w:val="Hyperlink"/>
          </w:rPr>
          <w:t>https://cases.justia.com/federal/district-courts/arkansas/aredce/4:2024cv00350/143122/28/0.pdf?ts=1775058402</w:t>
        </w:r>
      </w:hyperlink>
      <w:r>
        <w:t xml:space="preserve"> </w:t>
      </w:r>
    </w:p>
    <w:p w14:paraId="077D5C8B" w14:textId="77777777" w:rsidR="007811A4" w:rsidRDefault="007811A4" w:rsidP="007811A4">
      <w:pPr>
        <w:pStyle w:val="NoSpacing"/>
      </w:pPr>
    </w:p>
    <w:p w14:paraId="6F53EC54" w14:textId="77777777" w:rsidR="007811A4" w:rsidRDefault="007811A4" w:rsidP="007811A4">
      <w:pPr>
        <w:pStyle w:val="NoSpacing"/>
      </w:pPr>
      <w:r>
        <w:t xml:space="preserve">THE COURT HELD: </w:t>
      </w:r>
    </w:p>
    <w:p w14:paraId="019E3653" w14:textId="77777777" w:rsidR="007811A4" w:rsidRDefault="007811A4" w:rsidP="007811A4">
      <w:pPr>
        <w:pStyle w:val="NoSpacing"/>
      </w:pPr>
    </w:p>
    <w:p w14:paraId="2D96BF88" w14:textId="77777777" w:rsidR="007811A4" w:rsidRDefault="007811A4" w:rsidP="007811A4">
      <w:pPr>
        <w:pStyle w:val="NoSpacing"/>
        <w:ind w:left="720"/>
      </w:pPr>
      <w:r>
        <w:t>“</w:t>
      </w:r>
      <w:r w:rsidRPr="00AC2EE6">
        <w:t xml:space="preserve">Mackey's first purported reasonable accommodation fails as a matter of law. The Court finds that Mackey's request to continue as </w:t>
      </w:r>
      <w:r>
        <w:t>‘</w:t>
      </w:r>
      <w:r w:rsidRPr="00AC2EE6">
        <w:t>an engineer but without the firefighting - without having to be inside fighting the fire</w:t>
      </w:r>
      <w:r>
        <w:t xml:space="preserve">’ </w:t>
      </w:r>
      <w:r w:rsidRPr="00AC2EE6">
        <w:t xml:space="preserve">is not a request for </w:t>
      </w:r>
      <w:proofErr w:type="gramStart"/>
      <w:r w:rsidRPr="00AC2EE6">
        <w:t>a reasonable</w:t>
      </w:r>
      <w:proofErr w:type="gramEnd"/>
      <w:r w:rsidRPr="00AC2EE6">
        <w:t xml:space="preserve"> accommodation because that accommodation necessarily eliminates the essential functions of the engineer position</w:t>
      </w:r>
      <w:r>
        <w:t xml:space="preserve">. </w:t>
      </w:r>
    </w:p>
    <w:p w14:paraId="0B3E92C9" w14:textId="77777777" w:rsidR="007811A4" w:rsidRDefault="007811A4" w:rsidP="007811A4">
      <w:pPr>
        <w:pStyle w:val="NoSpacing"/>
        <w:ind w:left="720"/>
      </w:pPr>
    </w:p>
    <w:p w14:paraId="7A91E7D8" w14:textId="77777777" w:rsidR="007811A4" w:rsidRDefault="007811A4" w:rsidP="007811A4">
      <w:pPr>
        <w:pStyle w:val="NoSpacing"/>
        <w:ind w:left="720"/>
      </w:pPr>
      <w:r>
        <w:t xml:space="preserve">*** </w:t>
      </w:r>
    </w:p>
    <w:p w14:paraId="4A784237" w14:textId="77777777" w:rsidR="007811A4" w:rsidRDefault="007811A4" w:rsidP="007811A4">
      <w:pPr>
        <w:pStyle w:val="NoSpacing"/>
        <w:ind w:left="720"/>
      </w:pPr>
      <w:r w:rsidRPr="00AC2EE6">
        <w:t xml:space="preserve">Mackey's second purported accommodation also fails. Mackey requested to be moved to a trainer position as an accommodation, but Mackey is incapable of performing the essential functions of a trainer. </w:t>
      </w:r>
    </w:p>
    <w:p w14:paraId="02911A11" w14:textId="77777777" w:rsidR="007811A4" w:rsidRDefault="007811A4" w:rsidP="007811A4">
      <w:pPr>
        <w:pStyle w:val="NoSpacing"/>
        <w:ind w:left="720"/>
      </w:pPr>
    </w:p>
    <w:p w14:paraId="13A1A8BD" w14:textId="77777777" w:rsidR="007811A4" w:rsidRPr="00AC2EE6" w:rsidRDefault="007811A4" w:rsidP="007811A4">
      <w:pPr>
        <w:pStyle w:val="NoSpacing"/>
        <w:ind w:left="720"/>
      </w:pPr>
      <w:r>
        <w:t>***</w:t>
      </w:r>
    </w:p>
    <w:p w14:paraId="3BD314BC" w14:textId="77777777" w:rsidR="007811A4" w:rsidRDefault="007811A4" w:rsidP="007811A4">
      <w:pPr>
        <w:pStyle w:val="NoSpacing"/>
        <w:ind w:left="720"/>
      </w:pPr>
      <w:r w:rsidRPr="00A4315C">
        <w:t>Accordingly, the Court grants Pine Bluff's motion for summary judgment as to Mackey's ADA and ACRA failure to accommodate claims</w:t>
      </w:r>
      <w:r>
        <w:t xml:space="preserve">. </w:t>
      </w:r>
    </w:p>
    <w:p w14:paraId="2BCF3203" w14:textId="77777777" w:rsidR="007811A4" w:rsidRDefault="007811A4" w:rsidP="007811A4">
      <w:pPr>
        <w:pStyle w:val="NoSpacing"/>
        <w:ind w:left="720"/>
      </w:pPr>
    </w:p>
    <w:p w14:paraId="46BE5C08" w14:textId="77777777" w:rsidR="007811A4" w:rsidRPr="00EF5C04" w:rsidRDefault="007811A4" w:rsidP="007811A4">
      <w:pPr>
        <w:rPr>
          <w:b/>
          <w:bCs/>
        </w:rPr>
      </w:pPr>
      <w:r>
        <w:rPr>
          <w:b/>
        </w:rPr>
        <w:t xml:space="preserve">Legal lesson learned: ADA only requires reasonable accommodation if employee can still perform the essential functions of the job. </w:t>
      </w:r>
    </w:p>
    <w:p w14:paraId="0FDD6890" w14:textId="77777777" w:rsidR="007811A4" w:rsidRDefault="007811A4" w:rsidP="007811A4">
      <w:pPr>
        <w:pStyle w:val="NoSpacing"/>
      </w:pPr>
      <w:r>
        <w:tab/>
        <w:t xml:space="preserve">Note:  The FD does provide light duty. </w:t>
      </w:r>
    </w:p>
    <w:p w14:paraId="3C0124FE" w14:textId="77777777" w:rsidR="007811A4" w:rsidRDefault="007811A4" w:rsidP="007811A4">
      <w:pPr>
        <w:pStyle w:val="NoSpacing"/>
        <w:ind w:left="720"/>
      </w:pPr>
    </w:p>
    <w:p w14:paraId="12F50575" w14:textId="77777777" w:rsidR="007811A4" w:rsidRDefault="007811A4" w:rsidP="007811A4">
      <w:pPr>
        <w:pStyle w:val="NoSpacing"/>
        <w:ind w:left="720"/>
      </w:pPr>
      <w:r>
        <w:t xml:space="preserve">“After Mackey resigned, another employee, </w:t>
      </w:r>
      <w:proofErr w:type="spellStart"/>
      <w:r>
        <w:t>E’Leecia</w:t>
      </w:r>
      <w:proofErr w:type="spellEnd"/>
      <w:r>
        <w:t xml:space="preserve"> Clark, was offered temporary light duty work….However, she had received hip replacement surgery and had run out of sick days, so the department offered her a temporary light duty job until her doctor cleared her to return to full duty…. Clark was </w:t>
      </w:r>
      <w:r w:rsidRPr="008437C5">
        <w:t>only on light duty work for four to five days before she was able to return to full duty</w:t>
      </w:r>
      <w:r>
        <w:t>.”</w:t>
      </w:r>
    </w:p>
    <w:p w14:paraId="39A49BE4" w14:textId="77777777" w:rsidR="007811A4" w:rsidRDefault="007811A4" w:rsidP="005C30A4">
      <w:pPr>
        <w:pStyle w:val="NoSpacing"/>
        <w:rPr>
          <w:rFonts w:ascii="Arial Black" w:hAnsi="Arial Black"/>
          <w:sz w:val="24"/>
          <w:szCs w:val="24"/>
        </w:rPr>
      </w:pPr>
    </w:p>
    <w:p w14:paraId="55774586" w14:textId="77777777" w:rsidR="003C742B" w:rsidRDefault="003C742B" w:rsidP="005C30A4">
      <w:pPr>
        <w:pStyle w:val="NoSpacing"/>
        <w:rPr>
          <w:rFonts w:ascii="Arial Black" w:hAnsi="Arial Black"/>
          <w:sz w:val="24"/>
          <w:szCs w:val="24"/>
        </w:rPr>
      </w:pPr>
    </w:p>
    <w:p w14:paraId="0048BD3B" w14:textId="77777777" w:rsidR="003C742B" w:rsidRDefault="003C742B" w:rsidP="005C30A4">
      <w:pPr>
        <w:pStyle w:val="NoSpacing"/>
        <w:rPr>
          <w:rFonts w:ascii="Arial Black" w:hAnsi="Arial Black"/>
          <w:sz w:val="24"/>
          <w:szCs w:val="24"/>
        </w:rPr>
      </w:pPr>
    </w:p>
    <w:p w14:paraId="11F69C69" w14:textId="77777777" w:rsidR="003C742B" w:rsidRDefault="003C742B" w:rsidP="005C30A4">
      <w:pPr>
        <w:pStyle w:val="NoSpacing"/>
        <w:rPr>
          <w:rFonts w:ascii="Arial Black" w:hAnsi="Arial Black"/>
          <w:sz w:val="24"/>
          <w:szCs w:val="24"/>
        </w:rPr>
      </w:pPr>
    </w:p>
    <w:p w14:paraId="3DE9E881" w14:textId="77777777" w:rsidR="003C742B" w:rsidRDefault="003C742B" w:rsidP="005C30A4">
      <w:pPr>
        <w:pStyle w:val="NoSpacing"/>
        <w:rPr>
          <w:rFonts w:ascii="Arial Black" w:hAnsi="Arial Black"/>
          <w:sz w:val="24"/>
          <w:szCs w:val="24"/>
        </w:rPr>
      </w:pPr>
    </w:p>
    <w:p w14:paraId="0497BB99" w14:textId="1F4336D5" w:rsidR="008D4459" w:rsidRDefault="003F5F35" w:rsidP="005C30A4">
      <w:pPr>
        <w:pStyle w:val="NoSpacing"/>
        <w:rPr>
          <w:rFonts w:ascii="Arial Black" w:hAnsi="Arial Black"/>
          <w:sz w:val="24"/>
          <w:szCs w:val="24"/>
        </w:rPr>
      </w:pPr>
      <w:r>
        <w:rPr>
          <w:rFonts w:ascii="Arial Black" w:hAnsi="Arial Black"/>
          <w:sz w:val="24"/>
          <w:szCs w:val="24"/>
        </w:rPr>
        <w:t>9-</w:t>
      </w:r>
      <w:r w:rsidR="00BA6D04">
        <w:rPr>
          <w:rFonts w:ascii="Arial Black" w:hAnsi="Arial Black"/>
          <w:sz w:val="24"/>
          <w:szCs w:val="24"/>
        </w:rPr>
        <w:t>60</w:t>
      </w:r>
    </w:p>
    <w:p w14:paraId="7B68E4A7" w14:textId="77777777" w:rsidR="00ED6D00" w:rsidRDefault="00ED6D00" w:rsidP="005C30A4">
      <w:pPr>
        <w:pStyle w:val="NoSpacing"/>
        <w:rPr>
          <w:rFonts w:ascii="Arial Black" w:hAnsi="Arial Black"/>
          <w:sz w:val="24"/>
          <w:szCs w:val="24"/>
        </w:rPr>
      </w:pPr>
    </w:p>
    <w:p w14:paraId="5A886678" w14:textId="77777777" w:rsidR="00ED6D00" w:rsidRPr="00130A45" w:rsidRDefault="00ED6D00" w:rsidP="00ED6D00">
      <w:pPr>
        <w:pStyle w:val="NoSpacing"/>
        <w:rPr>
          <w:rFonts w:ascii="Arial Black" w:hAnsi="Arial Black"/>
          <w:b/>
          <w:sz w:val="28"/>
          <w:szCs w:val="28"/>
        </w:rPr>
      </w:pPr>
      <w:r>
        <w:rPr>
          <w:rFonts w:ascii="Arial Black" w:hAnsi="Arial Black"/>
          <w:b/>
          <w:sz w:val="28"/>
          <w:szCs w:val="28"/>
        </w:rPr>
        <w:t>NY: BACK / NECK – CAN’T DO JOB – ADA CASE DISMISSED</w:t>
      </w:r>
    </w:p>
    <w:p w14:paraId="3DCFDCEA" w14:textId="77777777" w:rsidR="00ED6D00" w:rsidRDefault="00ED6D00" w:rsidP="00ED6D00">
      <w:pPr>
        <w:pStyle w:val="NoSpacing"/>
        <w:rPr>
          <w:bCs/>
        </w:rPr>
      </w:pPr>
    </w:p>
    <w:p w14:paraId="6A5AD63F" w14:textId="118CB54E" w:rsidR="00ED6D00" w:rsidRDefault="00ED6D00" w:rsidP="00ED6D00">
      <w:pPr>
        <w:pStyle w:val="NoSpacing"/>
      </w:pPr>
      <w:r>
        <w:t>On Feb. 26, 2026</w:t>
      </w:r>
      <w:proofErr w:type="gramStart"/>
      <w:r w:rsidR="008C5EE7">
        <w:t xml:space="preserve">, </w:t>
      </w:r>
      <w:r>
        <w:t>in</w:t>
      </w:r>
      <w:proofErr w:type="gramEnd"/>
      <w:r>
        <w:t xml:space="preserve"> </w:t>
      </w:r>
      <w:r w:rsidRPr="00C8301C">
        <w:rPr>
          <w:u w:val="single"/>
        </w:rPr>
        <w:t>Michael Knapp v. The City of Utica Bureau of Fire, et al.,</w:t>
      </w:r>
      <w:r>
        <w:t xml:space="preserve"> U.S. District Court Judge </w:t>
      </w:r>
      <w:r w:rsidRPr="00C951D8">
        <w:t>Anthony Brindisi</w:t>
      </w:r>
      <w:r>
        <w:t xml:space="preserve">. United States District Court for the Northern District of New York dismissed the firefighter’s ADA case; he can no longer perform the essential functions of the job.  The Court gave him 30 days to file an amended ADA complaint.  On </w:t>
      </w:r>
      <w:r w:rsidRPr="00A62FEE">
        <w:t xml:space="preserve">May 19, 2023, during a </w:t>
      </w:r>
      <w:r>
        <w:t xml:space="preserve">fire department </w:t>
      </w:r>
      <w:r w:rsidRPr="00A62FEE">
        <w:t xml:space="preserve">training exercise “involving an obstacle course,” plaintiff </w:t>
      </w:r>
      <w:r>
        <w:t xml:space="preserve">claimed he </w:t>
      </w:r>
      <w:r w:rsidRPr="00A62FEE">
        <w:t>suffered another injury, which further aggravated his pre-existing “back and neck” injuries.</w:t>
      </w:r>
      <w:r>
        <w:t xml:space="preserve"> He was ordered to take a worker’s comp IME (Independent Medical Exam); </w:t>
      </w:r>
      <w:r w:rsidRPr="00B01EA0">
        <w:t>Dr. Warren Silverman, who examined plaintiff and determined that his “pain and medical conditions were not the result of work-related injuries.”</w:t>
      </w:r>
      <w:r>
        <w:t xml:space="preserve"> </w:t>
      </w:r>
      <w:hyperlink r:id="rId1684" w:history="1">
        <w:r w:rsidRPr="00255C30">
          <w:rPr>
            <w:rStyle w:val="Hyperlink"/>
          </w:rPr>
          <w:t>https://public.fastcase.com/Jhe1Qn%2BmJndQYQU6z%2FeNm07xnsMMe9XopEXpzbd8wBfIcwWisDZ8Xdk0vkVeza2z?utm_medium=email&amp;_hsenc=p2ANqtz-9GpH5Yl8KbaQKypiwjwBSc5ZewK71TROtHeH7A0Ky0SFDkHfwzpfrGRkv9wpK-L_sBVpNrip23D5GifO3TaI5YS4qT7w&amp;_hsmi=226712652&amp;utm_content=226712652&amp;utm_source=hs_email</w:t>
        </w:r>
      </w:hyperlink>
    </w:p>
    <w:p w14:paraId="39DA158A" w14:textId="77777777" w:rsidR="00ED6D00" w:rsidRDefault="00ED6D00" w:rsidP="00ED6D00">
      <w:pPr>
        <w:pStyle w:val="NoSpacing"/>
      </w:pPr>
    </w:p>
    <w:p w14:paraId="7E792320" w14:textId="77777777" w:rsidR="00ED6D00" w:rsidRDefault="00ED6D00" w:rsidP="00ED6D00">
      <w:pPr>
        <w:pStyle w:val="NoSpacing"/>
      </w:pPr>
    </w:p>
    <w:p w14:paraId="08457438" w14:textId="77777777" w:rsidR="00ED6D00" w:rsidRDefault="00ED6D00" w:rsidP="00ED6D00">
      <w:pPr>
        <w:pStyle w:val="NoSpacing"/>
      </w:pPr>
      <w:r>
        <w:t>THE COURT HELD: “</w:t>
      </w:r>
      <w:r w:rsidRPr="00CC10A1">
        <w:t xml:space="preserve">In sum, plaintiff alleges that UFD has never offered him </w:t>
      </w:r>
      <w:r>
        <w:t>‘</w:t>
      </w:r>
      <w:r w:rsidRPr="00CC10A1">
        <w:t>any accommodation for the several injuries he sustained while on the job</w:t>
      </w:r>
      <w:r>
        <w:t xml:space="preserve">’ </w:t>
      </w:r>
      <w:r w:rsidRPr="00CC10A1">
        <w:t xml:space="preserve">despite his </w:t>
      </w:r>
      <w:r>
        <w:t>‘</w:t>
      </w:r>
      <w:r w:rsidRPr="00CC10A1">
        <w:t>multiple requests for same.</w:t>
      </w:r>
      <w:r>
        <w:t>’</w:t>
      </w:r>
      <w:r w:rsidRPr="00CC10A1">
        <w:t xml:space="preserve"> </w:t>
      </w:r>
      <w:proofErr w:type="spellStart"/>
      <w:r w:rsidRPr="00CC10A1">
        <w:t>Compl</w:t>
      </w:r>
      <w:proofErr w:type="spellEnd"/>
      <w:r w:rsidRPr="00CC10A1">
        <w:t>. ¶ 49</w:t>
      </w:r>
      <w:r>
        <w:t xml:space="preserve">…. </w:t>
      </w:r>
      <w:r w:rsidRPr="00CC10A1">
        <w:t xml:space="preserve">Plaintiff alleges that he is </w:t>
      </w:r>
      <w:r>
        <w:t>‘</w:t>
      </w:r>
      <w:r w:rsidRPr="00CC10A1">
        <w:t>out of work,</w:t>
      </w:r>
      <w:r>
        <w:t>’</w:t>
      </w:r>
      <w:r w:rsidRPr="00CC10A1">
        <w:t xml:space="preserve"> </w:t>
      </w:r>
      <w:r>
        <w:t xml:space="preserve"> ‘</w:t>
      </w:r>
      <w:r w:rsidRPr="00CC10A1">
        <w:t>receiving no pay,</w:t>
      </w:r>
      <w:r>
        <w:t>’</w:t>
      </w:r>
      <w:r w:rsidRPr="00CC10A1">
        <w:t xml:space="preserve"> and suffering </w:t>
      </w:r>
      <w:r>
        <w:t>‘</w:t>
      </w:r>
      <w:r w:rsidRPr="00CC10A1">
        <w:t>chronic pain</w:t>
      </w:r>
      <w:r>
        <w:t>’</w:t>
      </w:r>
      <w:r w:rsidRPr="00CC10A1">
        <w:t xml:space="preserve"> and </w:t>
      </w:r>
      <w:r>
        <w:t>‘</w:t>
      </w:r>
      <w:r w:rsidRPr="00CC10A1">
        <w:t>mental anguish, depression, and anxiety about his inability to continue to work and the fact that no reasonable accommodations were ever made.</w:t>
      </w:r>
      <w:r>
        <w:t xml:space="preserve"> </w:t>
      </w:r>
      <w:r w:rsidRPr="00CC10A1">
        <w:rPr>
          <w:i/>
          <w:iCs/>
        </w:rPr>
        <w:t>Id</w:t>
      </w:r>
      <w:r w:rsidRPr="00CC10A1">
        <w:t>. ¶¶ 51-53</w:t>
      </w:r>
      <w:r>
        <w:t>.</w:t>
      </w:r>
    </w:p>
    <w:p w14:paraId="6B8849E7" w14:textId="77777777" w:rsidR="00ED6D00" w:rsidRDefault="00ED6D00" w:rsidP="00ED6D00">
      <w:pPr>
        <w:pStyle w:val="NoSpacing"/>
      </w:pPr>
      <w:r>
        <w:t xml:space="preserve">*** </w:t>
      </w:r>
      <w:r w:rsidRPr="00260C3A">
        <w:t xml:space="preserve">First, plaintiff has failed to plausibly allege that he suffered a </w:t>
      </w:r>
      <w:r>
        <w:t>‘</w:t>
      </w:r>
      <w:r w:rsidRPr="00260C3A">
        <w:t>disability</w:t>
      </w:r>
      <w:r>
        <w:t>’</w:t>
      </w:r>
      <w:r w:rsidRPr="00260C3A">
        <w:t xml:space="preserve"> within the meaning of the Act, dooming his disparate-treatment and reasonable-accommodation claims</w:t>
      </w:r>
      <w:r>
        <w:t xml:space="preserve">…. </w:t>
      </w:r>
      <w:r w:rsidRPr="00DA6E7F">
        <w:t xml:space="preserve">On the merits, defendants argue that plaintiff has failed to state a plausible ADA claim because he has failed to allege that: (a) he is </w:t>
      </w:r>
      <w:r>
        <w:t>‘</w:t>
      </w:r>
      <w:r w:rsidRPr="00DA6E7F">
        <w:t>disabled</w:t>
      </w:r>
      <w:r>
        <w:t>’</w:t>
      </w:r>
      <w:r w:rsidRPr="00DA6E7F">
        <w:t xml:space="preserve"> within the meaning of the statute; (b) he is </w:t>
      </w:r>
      <w:r>
        <w:t>‘</w:t>
      </w:r>
      <w:r w:rsidRPr="00DA6E7F">
        <w:t>qualified to perform the essential functions of the job</w:t>
      </w:r>
      <w:r>
        <w:t>’</w:t>
      </w:r>
      <w:r w:rsidRPr="00DA6E7F">
        <w:t xml:space="preserve">; or that (c) he suffered a qualifying </w:t>
      </w:r>
      <w:r>
        <w:t>‘</w:t>
      </w:r>
      <w:r w:rsidRPr="00DA6E7F">
        <w:t>adverse employment action.</w:t>
      </w:r>
      <w:r>
        <w:t xml:space="preserve">’” </w:t>
      </w:r>
    </w:p>
    <w:p w14:paraId="668820A5" w14:textId="77777777" w:rsidR="00ED6D00" w:rsidRDefault="00ED6D00" w:rsidP="00ED6D00">
      <w:pPr>
        <w:pStyle w:val="NoSpacing"/>
      </w:pPr>
    </w:p>
    <w:p w14:paraId="0F59525B" w14:textId="77777777" w:rsidR="00ED6D00" w:rsidRPr="005564F2" w:rsidRDefault="00ED6D00" w:rsidP="00ED6D00">
      <w:pPr>
        <w:pStyle w:val="NoSpacing"/>
        <w:rPr>
          <w:b/>
          <w:bCs/>
        </w:rPr>
      </w:pPr>
      <w:r w:rsidRPr="005564F2">
        <w:rPr>
          <w:b/>
        </w:rPr>
        <w:t xml:space="preserve">Legal lesson learned: Plaintiff is not a “qualified individual” under the ADA if unable to perform the essential functions of the job.  </w:t>
      </w:r>
    </w:p>
    <w:p w14:paraId="70B91C8F" w14:textId="77777777" w:rsidR="00ED6D00" w:rsidRDefault="00ED6D00" w:rsidP="00ED6D00">
      <w:pPr>
        <w:pStyle w:val="NoSpacing"/>
      </w:pPr>
    </w:p>
    <w:p w14:paraId="0889A04D" w14:textId="77777777" w:rsidR="00ED6D00" w:rsidRPr="00300D14" w:rsidRDefault="00ED6D00" w:rsidP="00ED6D00">
      <w:pPr>
        <w:pStyle w:val="NoSpacing"/>
        <w:ind w:left="720"/>
        <w:rPr>
          <w:bCs/>
        </w:rPr>
      </w:pPr>
      <w:r w:rsidRPr="00300D14">
        <w:t>Note:  EEOC - The ADA: Questions and Answers</w:t>
      </w:r>
      <w:r>
        <w:t xml:space="preserve">. </w:t>
      </w:r>
      <w:hyperlink r:id="rId1685" w:history="1">
        <w:r w:rsidRPr="00255C30">
          <w:rPr>
            <w:rStyle w:val="Hyperlink"/>
          </w:rPr>
          <w:t>https://www.eeoc.gov/laws/guidance/ada-questions-and-answers</w:t>
        </w:r>
      </w:hyperlink>
      <w:r>
        <w:t xml:space="preserve"> </w:t>
      </w:r>
    </w:p>
    <w:p w14:paraId="22D75150" w14:textId="77777777" w:rsidR="00ED6D00" w:rsidRDefault="00ED6D00" w:rsidP="00ED6D00">
      <w:pPr>
        <w:pStyle w:val="NoSpacing"/>
        <w:ind w:firstLine="720"/>
        <w:rPr>
          <w:b/>
        </w:rPr>
      </w:pPr>
    </w:p>
    <w:p w14:paraId="39572B67" w14:textId="77777777" w:rsidR="00ED6D00" w:rsidRPr="00030E56" w:rsidRDefault="00ED6D00" w:rsidP="00ED6D00">
      <w:pPr>
        <w:pStyle w:val="NoSpacing"/>
        <w:ind w:firstLine="720"/>
      </w:pPr>
      <w:r>
        <w:rPr>
          <w:b/>
        </w:rPr>
        <w:t>“</w:t>
      </w:r>
      <w:r w:rsidRPr="00030E56">
        <w:rPr>
          <w:b/>
        </w:rPr>
        <w:t>Who is a "qualified individual with a disability?"</w:t>
      </w:r>
    </w:p>
    <w:p w14:paraId="6028D0E1" w14:textId="77777777" w:rsidR="00ED6D00" w:rsidRPr="00030E56" w:rsidRDefault="00ED6D00" w:rsidP="00ED6D00">
      <w:pPr>
        <w:pStyle w:val="NoSpacing"/>
        <w:ind w:left="720"/>
      </w:pPr>
      <w:r w:rsidRPr="00030E56">
        <w:t xml:space="preserve">A. A qualified individual with a disability is a person who meets legitimate skill, experience, education, or other requirements of an employment position that he or she holds or seeks, and who can perform the "essential functions" of the position with or without reasonable accommodation. Requiring the ability to perform "essential" functions </w:t>
      </w:r>
      <w:proofErr w:type="gramStart"/>
      <w:r w:rsidRPr="00030E56">
        <w:t>assures</w:t>
      </w:r>
      <w:proofErr w:type="gramEnd"/>
      <w:r w:rsidRPr="00030E56">
        <w:t xml:space="preserve"> that an individual will not be considered unqualified simply because of inability to perform marginal or incidental job functions. If the individual is qualified to perform essential job functions except for limitations caused by a disability, the employer must consider whether the individual could perform these functions with </w:t>
      </w:r>
      <w:proofErr w:type="gramStart"/>
      <w:r w:rsidRPr="00030E56">
        <w:t>a reasonable</w:t>
      </w:r>
      <w:proofErr w:type="gramEnd"/>
      <w:r w:rsidRPr="00030E56">
        <w:t xml:space="preserve"> accommodation. If a written job description has been prepared in advance of advertising or interviewing applicants for a job, this will be considered as evidence, although not necessarily conclusive evidence, of the essential functions of the </w:t>
      </w:r>
      <w:proofErr w:type="gramStart"/>
      <w:r w:rsidRPr="00030E56">
        <w:t>job.</w:t>
      </w:r>
      <w:r>
        <w:t>”</w:t>
      </w:r>
      <w:proofErr w:type="gramEnd"/>
    </w:p>
    <w:p w14:paraId="10745909" w14:textId="77777777" w:rsidR="00ED6D00" w:rsidRDefault="00ED6D00" w:rsidP="005C30A4">
      <w:pPr>
        <w:pStyle w:val="NoSpacing"/>
        <w:rPr>
          <w:rFonts w:ascii="Arial Black" w:hAnsi="Arial Black"/>
          <w:sz w:val="24"/>
          <w:szCs w:val="24"/>
        </w:rPr>
      </w:pPr>
    </w:p>
    <w:p w14:paraId="03E85787" w14:textId="2FC63746" w:rsidR="00BA6D04" w:rsidRDefault="00BA6D04" w:rsidP="00BA6D04">
      <w:pPr>
        <w:pStyle w:val="NoSpacing"/>
        <w:rPr>
          <w:rFonts w:ascii="Arial Black" w:hAnsi="Arial Black"/>
          <w:sz w:val="24"/>
          <w:szCs w:val="24"/>
        </w:rPr>
      </w:pPr>
      <w:r>
        <w:rPr>
          <w:rFonts w:ascii="Arial Black" w:hAnsi="Arial Black"/>
          <w:sz w:val="24"/>
          <w:szCs w:val="24"/>
        </w:rPr>
        <w:t>9-59</w:t>
      </w:r>
    </w:p>
    <w:p w14:paraId="1CC4DFDE" w14:textId="77777777" w:rsidR="003F5F35" w:rsidRDefault="003F5F35" w:rsidP="009C7451">
      <w:pPr>
        <w:pStyle w:val="NoSpacing"/>
        <w:rPr>
          <w:rFonts w:ascii="Arial Black" w:hAnsi="Arial Black"/>
          <w:sz w:val="24"/>
          <w:szCs w:val="24"/>
        </w:rPr>
      </w:pPr>
    </w:p>
    <w:p w14:paraId="43B8E9E8" w14:textId="77777777" w:rsidR="00BA6D04" w:rsidRDefault="00BA6D04" w:rsidP="00BA6D04">
      <w:pPr>
        <w:pStyle w:val="NoSpacing"/>
        <w:rPr>
          <w:rFonts w:ascii="Arial Black" w:hAnsi="Arial Black"/>
          <w:sz w:val="28"/>
          <w:szCs w:val="28"/>
        </w:rPr>
      </w:pPr>
      <w:r>
        <w:rPr>
          <w:rFonts w:ascii="Arial Black" w:hAnsi="Arial Black"/>
          <w:sz w:val="28"/>
          <w:szCs w:val="28"/>
        </w:rPr>
        <w:t xml:space="preserve">OH: FF 15-YRS HEARING AIDS – NFPA 1582 REQ. - FIRED </w:t>
      </w:r>
    </w:p>
    <w:p w14:paraId="27F23509" w14:textId="77777777" w:rsidR="00BA6D04" w:rsidRDefault="00BA6D04" w:rsidP="00BA6D04">
      <w:pPr>
        <w:pStyle w:val="NoSpacing"/>
        <w:rPr>
          <w:rFonts w:ascii="Arial Black" w:hAnsi="Arial Black"/>
          <w:sz w:val="28"/>
          <w:szCs w:val="28"/>
        </w:rPr>
      </w:pPr>
    </w:p>
    <w:p w14:paraId="11E96640" w14:textId="77777777" w:rsidR="00BA6D04" w:rsidRDefault="00BA6D04" w:rsidP="00BA6D04">
      <w:pPr>
        <w:pStyle w:val="NoSpacing"/>
        <w:rPr>
          <w:b/>
        </w:rPr>
      </w:pPr>
      <w:r>
        <w:t xml:space="preserve">On February 23, 2026, in </w:t>
      </w:r>
      <w:r w:rsidRPr="005E030B">
        <w:rPr>
          <w:u w:val="single"/>
        </w:rPr>
        <w:t>Jeffrey Kibler v. Genoa Township, Ohio</w:t>
      </w:r>
      <w:r>
        <w:t xml:space="preserve">, U.S. District Court Judge </w:t>
      </w:r>
      <w:r w:rsidRPr="00E51D1A">
        <w:t>Sarah D. Morrison</w:t>
      </w:r>
      <w:r>
        <w:t xml:space="preserve">, United States District Court for the Southern District of Ohio, granted the Township’s motion for summary judgment. The firefighter, who worked for the Township from </w:t>
      </w:r>
      <w:r w:rsidRPr="006D6749">
        <w:t>2001</w:t>
      </w:r>
      <w:r>
        <w:t xml:space="preserve"> until his terminated April 21, 2022, wore a hearing aid in right ear since 2002, and left ear since 2006, with Fire Chiefs knowledge. During his August 19, </w:t>
      </w:r>
      <w:proofErr w:type="gramStart"/>
      <w:r>
        <w:t>2021</w:t>
      </w:r>
      <w:proofErr w:type="gramEnd"/>
      <w:r>
        <w:t xml:space="preserve"> annual physical, Dr. William </w:t>
      </w:r>
      <w:proofErr w:type="spellStart"/>
      <w:r>
        <w:t>Cann</w:t>
      </w:r>
      <w:proofErr w:type="spellEnd"/>
      <w:r>
        <w:t xml:space="preserve"> reviewed the firefighter’s hearing loss records and advised the Fire Chief that his hearing fell below the NFPA 1582 </w:t>
      </w:r>
      <w:r w:rsidRPr="00707150">
        <w:rPr>
          <w:i/>
          <w:iCs/>
        </w:rPr>
        <w:t>unaided</w:t>
      </w:r>
      <w:r>
        <w:t xml:space="preserve"> threshold, back to at least 2011, and his hearing has worsened over time. The firefighter suggested several possible ADA accommodations, including carrying a second set of hearing aids, or working as just an engineer, but they were not accepted. The Court referenced the testimony of Dr. Stanely C. Haimes, who served on the NFPA 1582 technical committee: “hearing aids are not designed for operation in structural firefighting environmental conditions of elevated heat, water deluge, and humidity and therefore being subject to unpredictable failure under those conditions.” </w:t>
      </w:r>
      <w:hyperlink r:id="rId1686" w:history="1">
        <w:r w:rsidRPr="0031614A">
          <w:rPr>
            <w:rStyle w:val="Hyperlink"/>
            <w:b/>
          </w:rPr>
          <w:t>https://cases.justia.com/federal/district-courts/ohio/ohsdce/2:2023cv02466/282351/63/0.pdf?ts=1771088328</w:t>
        </w:r>
      </w:hyperlink>
      <w:r>
        <w:rPr>
          <w:b/>
        </w:rPr>
        <w:t xml:space="preserve"> </w:t>
      </w:r>
    </w:p>
    <w:p w14:paraId="42045FC5" w14:textId="77777777" w:rsidR="00BA6D04" w:rsidRDefault="00BA6D04" w:rsidP="00BA6D04">
      <w:pPr>
        <w:pStyle w:val="NoSpacing"/>
      </w:pPr>
    </w:p>
    <w:p w14:paraId="3CDADD16" w14:textId="77777777" w:rsidR="00BA6D04" w:rsidRDefault="00BA6D04" w:rsidP="00BA6D04">
      <w:pPr>
        <w:pStyle w:val="NoSpacing"/>
      </w:pPr>
      <w:r>
        <w:t>THE COURT HELD:</w:t>
      </w:r>
    </w:p>
    <w:p w14:paraId="33606AA3" w14:textId="77777777" w:rsidR="00BA6D04" w:rsidRDefault="00BA6D04" w:rsidP="00BA6D04">
      <w:pPr>
        <w:pStyle w:val="NoSpacing"/>
      </w:pPr>
    </w:p>
    <w:p w14:paraId="14E7BA4C" w14:textId="77777777" w:rsidR="00BA6D04" w:rsidRDefault="00BA6D04" w:rsidP="00BA6D04">
      <w:pPr>
        <w:pStyle w:val="NoSpacing"/>
        <w:ind w:left="720"/>
      </w:pPr>
      <w:r>
        <w:t>“</w:t>
      </w:r>
      <w:r w:rsidRPr="00257A2D">
        <w:t>Mr. Kibler argues that</w:t>
      </w:r>
      <w:r>
        <w:t xml:space="preserve"> these accommodations are nevertheless reasonable because he used hearing aids in both ears while working as a Firefighter/EMT for 15 years without issue, even though he did not meet the NFPA threshold for </w:t>
      </w:r>
      <w:proofErr w:type="gramStart"/>
      <w:r>
        <w:t>the majority of</w:t>
      </w:r>
      <w:proofErr w:type="gramEnd"/>
      <w:r>
        <w:t xml:space="preserve"> that time [since at least 2011]. But, </w:t>
      </w:r>
      <w:proofErr w:type="gramStart"/>
      <w:r>
        <w:t>in light of</w:t>
      </w:r>
      <w:proofErr w:type="gramEnd"/>
      <w:r>
        <w:t xml:space="preserve"> the evidence that Mr. Kibler’s hearing has worsened over time, Mr. Kibler’s prior performance is not dispositive of his continued ability to meet the essential qualifications of the Firefighter/EMT role.</w:t>
      </w:r>
    </w:p>
    <w:p w14:paraId="18E2A93D" w14:textId="77777777" w:rsidR="00BA6D04" w:rsidRDefault="00BA6D04" w:rsidP="00BA6D04">
      <w:pPr>
        <w:pStyle w:val="NoSpacing"/>
        <w:ind w:left="720"/>
      </w:pPr>
    </w:p>
    <w:p w14:paraId="4A834268" w14:textId="77777777" w:rsidR="00BA6D04" w:rsidRDefault="00BA6D04" w:rsidP="00BA6D04">
      <w:pPr>
        <w:pStyle w:val="NoSpacing"/>
        <w:ind w:left="720"/>
      </w:pPr>
      <w:r>
        <w:t>***</w:t>
      </w:r>
    </w:p>
    <w:p w14:paraId="289760EE" w14:textId="77777777" w:rsidR="00BA6D04" w:rsidRDefault="00BA6D04" w:rsidP="00BA6D04">
      <w:pPr>
        <w:pStyle w:val="NoSpacing"/>
        <w:ind w:left="720"/>
      </w:pPr>
      <w:r>
        <w:t xml:space="preserve">Mr. Kibler argues that there are three accommodations that are reasonable and would allow him to perform the essential job functions: that Genoa (1) allow him to work with his hearing aids; (2) require Mr. Kibler carry a second pair of hearing aids as a backup; or (3) allow him to only work as an engineer and not perform other firefighting duties at scenes. With respect to the first two proposed accommodations, neither addresses that the NFPA threshold is a threshold for </w:t>
      </w:r>
      <w:r w:rsidRPr="00741231">
        <w:rPr>
          <w:i/>
          <w:iCs/>
        </w:rPr>
        <w:t>unaided</w:t>
      </w:r>
      <w:r>
        <w:t xml:space="preserve"> hearing.</w:t>
      </w:r>
    </w:p>
    <w:p w14:paraId="526E596F" w14:textId="77777777" w:rsidR="00BA6D04" w:rsidRDefault="00BA6D04" w:rsidP="00BA6D04">
      <w:pPr>
        <w:pStyle w:val="NoSpacing"/>
        <w:ind w:left="720"/>
      </w:pPr>
    </w:p>
    <w:p w14:paraId="6E69E265" w14:textId="77777777" w:rsidR="00BA6D04" w:rsidRDefault="00BA6D04" w:rsidP="00BA6D04">
      <w:pPr>
        <w:pStyle w:val="NoSpacing"/>
        <w:ind w:left="720"/>
      </w:pPr>
      <w:r>
        <w:t>***</w:t>
      </w:r>
    </w:p>
    <w:p w14:paraId="6F1F2C2F" w14:textId="77777777" w:rsidR="00BA6D04" w:rsidRDefault="00BA6D04" w:rsidP="00BA6D04">
      <w:pPr>
        <w:pStyle w:val="NoSpacing"/>
        <w:ind w:left="720"/>
      </w:pPr>
    </w:p>
    <w:p w14:paraId="19EEEBB5" w14:textId="77777777" w:rsidR="00BA6D04" w:rsidRDefault="00BA6D04" w:rsidP="00BA6D04">
      <w:pPr>
        <w:pStyle w:val="NoSpacing"/>
        <w:ind w:left="720"/>
      </w:pPr>
      <w:r>
        <w:t xml:space="preserve">Further, Genoa has offered evidence that the risk of Mr. Kibler’s hearing aids failing in an IDLH environment is not merely speculative. Dr. Stanely C. Haimes (a physician who works on the technical committee that established the NFPA threshold) testified that the NFPA 1582 Standard does not permit firefighters to use a hearing aid to meet the minimum hearing threshold because hearing aids are not ‘designed for operation in structural firefighting environmental conditions of elevated heat, water deluge, and humidity and therefore being subject to unpredictable failure under those conditions.’ (Haimes Rep., PAGEID # 2076.) Dr. Haimes says that carrying a spare hearing aid would not alleviate these safety concerns because ‘it would be extremely dangerous - if not life threatening - to have the firefighter remove his personal protective equipment” to replace his hearing aids while on a call. </w:t>
      </w:r>
    </w:p>
    <w:p w14:paraId="7DD53021" w14:textId="77777777" w:rsidR="00BA6D04" w:rsidRDefault="00BA6D04" w:rsidP="00BA6D04">
      <w:pPr>
        <w:pStyle w:val="NoSpacing"/>
        <w:ind w:left="720"/>
      </w:pPr>
    </w:p>
    <w:p w14:paraId="76A456B9" w14:textId="77777777" w:rsidR="00BA6D04" w:rsidRDefault="00BA6D04" w:rsidP="00BA6D04">
      <w:pPr>
        <w:pStyle w:val="NoSpacing"/>
        <w:ind w:left="720"/>
      </w:pPr>
      <w:r>
        <w:t>***</w:t>
      </w:r>
    </w:p>
    <w:p w14:paraId="199FF769" w14:textId="77777777" w:rsidR="00BA6D04" w:rsidRDefault="00BA6D04" w:rsidP="00BA6D04">
      <w:pPr>
        <w:pStyle w:val="NoSpacing"/>
        <w:ind w:left="720"/>
      </w:pPr>
      <w:r>
        <w:t xml:space="preserve">Mr. Kibler’s proposals to continue wearing hearing aids and/or carry a backup pair were thus unreasonable </w:t>
      </w:r>
      <w:proofErr w:type="gramStart"/>
      <w:r>
        <w:t>in light of</w:t>
      </w:r>
      <w:proofErr w:type="gramEnd"/>
      <w:r>
        <w:t xml:space="preserve"> a firefighter’s reliance on his hearing in low visibility situations and the testimony that hearing aids can unpredictably fail in an IDLH environment. Mr. Kibler effectively argues that Genoa should ignore its own policy and application of a national standard, recommendations from a medical professional, and the danger posed by the potential and ‘unpredictable’ failure of hearing aids in an IDLH environment, in favor of hoping that nothing goes wrong in the future. The law does not require Genoa to assume this risk.”</w:t>
      </w:r>
    </w:p>
    <w:p w14:paraId="28E348E5" w14:textId="77777777" w:rsidR="00BA6D04" w:rsidRDefault="00BA6D04" w:rsidP="00BA6D04">
      <w:pPr>
        <w:pStyle w:val="NoSpacing"/>
        <w:ind w:left="720"/>
      </w:pPr>
    </w:p>
    <w:p w14:paraId="32703330" w14:textId="77777777" w:rsidR="00BA6D04" w:rsidRDefault="00BA6D04" w:rsidP="00BA6D04">
      <w:pPr>
        <w:pStyle w:val="NoSpacing"/>
        <w:rPr>
          <w:b/>
          <w:bCs/>
        </w:rPr>
      </w:pPr>
      <w:r>
        <w:rPr>
          <w:b/>
        </w:rPr>
        <w:t>Legal lesson learned: The case has been appealed to the U.S. Court of Appeals for the 6</w:t>
      </w:r>
      <w:r w:rsidRPr="002E6678">
        <w:rPr>
          <w:b/>
          <w:vertAlign w:val="superscript"/>
        </w:rPr>
        <w:t>th</w:t>
      </w:r>
      <w:r>
        <w:rPr>
          <w:b/>
        </w:rPr>
        <w:t xml:space="preserve"> Circuit (Cincinnati); that decision may provide more guidance on obligations of a fire department to accommodate a firefighter that has long worn hearing aids without incident.</w:t>
      </w:r>
    </w:p>
    <w:p w14:paraId="1568828B" w14:textId="77777777" w:rsidR="00BA6D04" w:rsidRDefault="00BA6D04" w:rsidP="00BA6D04">
      <w:pPr>
        <w:pStyle w:val="NoSpacing"/>
        <w:rPr>
          <w:b/>
          <w:bCs/>
        </w:rPr>
      </w:pPr>
    </w:p>
    <w:p w14:paraId="6564DA9F" w14:textId="77777777" w:rsidR="00BA6D04" w:rsidRDefault="00BA6D04" w:rsidP="00BA6D04">
      <w:pPr>
        <w:pStyle w:val="NoSpacing"/>
        <w:ind w:left="720"/>
      </w:pPr>
      <w:r w:rsidRPr="000E4D36">
        <w:t>Note: See IAFC Guidance on NFPA 1582</w:t>
      </w:r>
      <w:r>
        <w:t xml:space="preserve"> (</w:t>
      </w:r>
      <w:r w:rsidRPr="000E6FDF">
        <w:t>6.5 Ears and Hearing – Candidates/New Hire</w:t>
      </w:r>
      <w:r>
        <w:t>)</w:t>
      </w:r>
      <w:r w:rsidRPr="000E4D36">
        <w:t xml:space="preserve">: </w:t>
      </w:r>
      <w:hyperlink r:id="rId1687" w:history="1">
        <w:r w:rsidRPr="0031614A">
          <w:rPr>
            <w:rStyle w:val="Hyperlink"/>
          </w:rPr>
          <w:t>https://www.iafc.org/docs/default-source/1safehealthshs/vws_rrkit_nfpa-1582.pdf?sfvrsn=ca9b9f0d_4</w:t>
        </w:r>
      </w:hyperlink>
    </w:p>
    <w:p w14:paraId="6923F494" w14:textId="77777777" w:rsidR="00BA6D04" w:rsidRDefault="00BA6D04" w:rsidP="00BA6D04">
      <w:pPr>
        <w:pStyle w:val="NoSpacing"/>
        <w:ind w:left="720"/>
      </w:pPr>
    </w:p>
    <w:p w14:paraId="236AC468" w14:textId="77777777" w:rsidR="00BA6D04" w:rsidRDefault="00BA6D04" w:rsidP="00BA6D04">
      <w:pPr>
        <w:pStyle w:val="NoSpacing"/>
        <w:ind w:left="720"/>
        <w:rPr>
          <w:bCs/>
        </w:rPr>
      </w:pPr>
      <w:r w:rsidRPr="00DE04B3">
        <w:t>August 16, 2023: Understanding NFPA 1582 Medication Disqualifications: A Comprehensive Guide</w:t>
      </w:r>
      <w:r>
        <w:t xml:space="preserve">.  </w:t>
      </w:r>
      <w:hyperlink r:id="rId1688" w:history="1">
        <w:r w:rsidRPr="00F54646">
          <w:rPr>
            <w:rStyle w:val="Hyperlink"/>
          </w:rPr>
          <w:t>https://acuityinternational.com/blog/nfpa-1582-medication-disqualifications/</w:t>
        </w:r>
      </w:hyperlink>
      <w:r>
        <w:t xml:space="preserve"> </w:t>
      </w:r>
    </w:p>
    <w:p w14:paraId="51FDA02C" w14:textId="77777777" w:rsidR="00BA6D04" w:rsidRDefault="00BA6D04" w:rsidP="00BA6D04">
      <w:pPr>
        <w:pStyle w:val="NoSpacing"/>
        <w:ind w:left="720"/>
        <w:rPr>
          <w:bCs/>
        </w:rPr>
      </w:pPr>
    </w:p>
    <w:p w14:paraId="09F6A263" w14:textId="77777777" w:rsidR="00BA6D04" w:rsidRPr="00C50BF9" w:rsidRDefault="00BA6D04" w:rsidP="00BA6D04">
      <w:pPr>
        <w:pStyle w:val="NoSpacing"/>
        <w:ind w:left="720"/>
        <w:rPr>
          <w:bCs/>
        </w:rPr>
      </w:pPr>
      <w:r>
        <w:t xml:space="preserve">June 2024: </w:t>
      </w:r>
      <w:r w:rsidRPr="00C50BF9">
        <w:t>Knowledge and Attitudes Towards Usage of Hearing Protection in</w:t>
      </w:r>
    </w:p>
    <w:p w14:paraId="55C060BE" w14:textId="77777777" w:rsidR="00BA6D04" w:rsidRDefault="00BA6D04" w:rsidP="00BA6D04">
      <w:pPr>
        <w:pStyle w:val="NoSpacing"/>
        <w:ind w:left="720"/>
        <w:rPr>
          <w:bCs/>
        </w:rPr>
      </w:pPr>
      <w:r w:rsidRPr="00C50BF9">
        <w:t>Volunteer Firefighter</w:t>
      </w:r>
      <w:r>
        <w:t xml:space="preserve">s. </w:t>
      </w:r>
      <w:hyperlink r:id="rId1689" w:history="1">
        <w:r w:rsidRPr="00F54646">
          <w:rPr>
            <w:rStyle w:val="Hyperlink"/>
          </w:rPr>
          <w:t>https://academicworks.cuny.edu/cgi/viewcontent.cgi?article=6894&amp;context=gc_etds</w:t>
        </w:r>
      </w:hyperlink>
      <w:r>
        <w:t xml:space="preserve"> </w:t>
      </w:r>
    </w:p>
    <w:p w14:paraId="504C3C61" w14:textId="77777777" w:rsidR="00BA6D04" w:rsidRPr="00131E8D" w:rsidRDefault="00BA6D04" w:rsidP="00BA6D04">
      <w:pPr>
        <w:pStyle w:val="NoSpacing"/>
        <w:ind w:firstLine="720"/>
        <w:rPr>
          <w:bCs/>
        </w:rPr>
      </w:pPr>
      <w:r>
        <w:t>“</w:t>
      </w:r>
      <w:r w:rsidRPr="00131E8D">
        <w:t>Despite most firefighters acknowledging exposure to noise during firefighting activities,</w:t>
      </w:r>
    </w:p>
    <w:p w14:paraId="17B52989" w14:textId="77777777" w:rsidR="00BA6D04" w:rsidRPr="00DE04B3" w:rsidRDefault="00BA6D04" w:rsidP="00BA6D04">
      <w:pPr>
        <w:pStyle w:val="NoSpacing"/>
        <w:ind w:left="720"/>
        <w:rPr>
          <w:bCs/>
        </w:rPr>
      </w:pPr>
      <w:r w:rsidRPr="00131E8D">
        <w:t>only one individual reported wearing hearing protection while firefighting, with an additional</w:t>
      </w:r>
      <w:r>
        <w:t xml:space="preserve"> </w:t>
      </w:r>
      <w:r w:rsidRPr="00131E8D">
        <w:t>five occasionally doing so, leaving 64 firefighters who do not utilize hearing protection.</w:t>
      </w:r>
      <w:r>
        <w:t>”</w:t>
      </w:r>
    </w:p>
    <w:p w14:paraId="1C072D83" w14:textId="77777777" w:rsidR="00BA6D04" w:rsidRDefault="00BA6D04" w:rsidP="00BA6D04">
      <w:pPr>
        <w:pStyle w:val="NoSpacing"/>
        <w:ind w:left="720"/>
      </w:pPr>
    </w:p>
    <w:p w14:paraId="5A69ABAB" w14:textId="77777777" w:rsidR="00BA6D04" w:rsidRDefault="00BA6D04" w:rsidP="00BA6D04">
      <w:pPr>
        <w:pStyle w:val="NoSpacing"/>
        <w:ind w:left="720"/>
      </w:pPr>
    </w:p>
    <w:p w14:paraId="154575EB" w14:textId="77777777" w:rsidR="003F5F35" w:rsidRDefault="003F5F35" w:rsidP="009C7451">
      <w:pPr>
        <w:pStyle w:val="NoSpacing"/>
        <w:rPr>
          <w:rFonts w:ascii="Arial Black" w:hAnsi="Arial Black"/>
          <w:sz w:val="24"/>
          <w:szCs w:val="24"/>
        </w:rPr>
      </w:pPr>
    </w:p>
    <w:p w14:paraId="40AE3BA4" w14:textId="77777777" w:rsidR="00BA6D04" w:rsidRDefault="00BA6D04" w:rsidP="009C7451">
      <w:pPr>
        <w:pStyle w:val="NoSpacing"/>
        <w:rPr>
          <w:rFonts w:ascii="Arial Black" w:hAnsi="Arial Black"/>
          <w:sz w:val="24"/>
          <w:szCs w:val="24"/>
        </w:rPr>
      </w:pPr>
    </w:p>
    <w:p w14:paraId="76165CD7" w14:textId="77777777" w:rsidR="00BA6D04" w:rsidRDefault="00BA6D04" w:rsidP="009C7451">
      <w:pPr>
        <w:pStyle w:val="NoSpacing"/>
        <w:rPr>
          <w:rFonts w:ascii="Arial Black" w:hAnsi="Arial Black"/>
          <w:sz w:val="24"/>
          <w:szCs w:val="24"/>
        </w:rPr>
      </w:pPr>
    </w:p>
    <w:p w14:paraId="0DEE80D9" w14:textId="77777777" w:rsidR="00BA6D04" w:rsidRDefault="00BA6D04" w:rsidP="009C7451">
      <w:pPr>
        <w:pStyle w:val="NoSpacing"/>
        <w:rPr>
          <w:rFonts w:ascii="Arial Black" w:hAnsi="Arial Black"/>
          <w:sz w:val="24"/>
          <w:szCs w:val="24"/>
        </w:rPr>
      </w:pPr>
    </w:p>
    <w:p w14:paraId="3492EC24" w14:textId="77777777" w:rsidR="00BA6D04" w:rsidRDefault="00BA6D04" w:rsidP="009C7451">
      <w:pPr>
        <w:pStyle w:val="NoSpacing"/>
        <w:rPr>
          <w:rFonts w:ascii="Arial Black" w:hAnsi="Arial Black"/>
          <w:sz w:val="24"/>
          <w:szCs w:val="24"/>
        </w:rPr>
      </w:pPr>
    </w:p>
    <w:p w14:paraId="78400AB0" w14:textId="77777777" w:rsidR="00BA6D04" w:rsidRDefault="00BA6D04" w:rsidP="009C7451">
      <w:pPr>
        <w:pStyle w:val="NoSpacing"/>
        <w:rPr>
          <w:rFonts w:ascii="Arial Black" w:hAnsi="Arial Black"/>
          <w:sz w:val="24"/>
          <w:szCs w:val="24"/>
        </w:rPr>
      </w:pPr>
    </w:p>
    <w:p w14:paraId="7835D1A7" w14:textId="77777777" w:rsidR="00BA6D04" w:rsidRDefault="00BA6D04" w:rsidP="009C7451">
      <w:pPr>
        <w:pStyle w:val="NoSpacing"/>
        <w:rPr>
          <w:rFonts w:ascii="Arial Black" w:hAnsi="Arial Black"/>
          <w:sz w:val="24"/>
          <w:szCs w:val="24"/>
        </w:rPr>
      </w:pPr>
    </w:p>
    <w:p w14:paraId="76B16E88" w14:textId="4BE7019D" w:rsidR="00730526" w:rsidRDefault="00730526" w:rsidP="009C7451">
      <w:pPr>
        <w:pStyle w:val="NoSpacing"/>
        <w:rPr>
          <w:rFonts w:ascii="Arial Black" w:hAnsi="Arial Black"/>
          <w:sz w:val="24"/>
          <w:szCs w:val="24"/>
        </w:rPr>
      </w:pPr>
      <w:r>
        <w:rPr>
          <w:rFonts w:ascii="Arial Black" w:hAnsi="Arial Black"/>
          <w:sz w:val="24"/>
          <w:szCs w:val="24"/>
        </w:rPr>
        <w:t>9-58</w:t>
      </w:r>
    </w:p>
    <w:p w14:paraId="3AF2129D" w14:textId="47175C21" w:rsidR="00C5485C" w:rsidRPr="00FC582A" w:rsidRDefault="00C5485C" w:rsidP="00C5485C">
      <w:pPr>
        <w:pStyle w:val="NoSpacing"/>
        <w:rPr>
          <w:rFonts w:ascii="Arial Black" w:hAnsi="Arial Black"/>
          <w:sz w:val="28"/>
          <w:szCs w:val="28"/>
        </w:rPr>
      </w:pPr>
      <w:r>
        <w:rPr>
          <w:rFonts w:ascii="Arial Black" w:hAnsi="Arial Black"/>
          <w:sz w:val="28"/>
          <w:szCs w:val="28"/>
        </w:rPr>
        <w:t xml:space="preserve">SC: </w:t>
      </w:r>
      <w:r w:rsidR="000C584B">
        <w:rPr>
          <w:rFonts w:ascii="Arial Black" w:hAnsi="Arial Black"/>
          <w:sz w:val="28"/>
          <w:szCs w:val="28"/>
        </w:rPr>
        <w:t xml:space="preserve">NO ADA VIOL - </w:t>
      </w:r>
      <w:r>
        <w:rPr>
          <w:rFonts w:ascii="Arial Black" w:hAnsi="Arial Black"/>
          <w:sz w:val="28"/>
          <w:szCs w:val="28"/>
        </w:rPr>
        <w:t>MEDIC PTSD – DIDN’T INTERVIEW BILLING JOB</w:t>
      </w:r>
    </w:p>
    <w:p w14:paraId="73C0D238" w14:textId="77777777" w:rsidR="00C5485C" w:rsidRDefault="00C5485C" w:rsidP="00C5485C">
      <w:pPr>
        <w:pStyle w:val="NoSpacing"/>
        <w:ind w:left="720"/>
      </w:pPr>
    </w:p>
    <w:p w14:paraId="474DAF98" w14:textId="77777777" w:rsidR="00C5485C" w:rsidRDefault="00C5485C" w:rsidP="00C5485C">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1690" w:history="1">
        <w:r w:rsidRPr="007B3445">
          <w:rPr>
            <w:rStyle w:val="Hyperlink"/>
          </w:rPr>
          <w:t>https://cases.justia.com/federal/district-courts/south-carolina/scdce/0:2024cv00826/288831/46/0.pdf</w:t>
        </w:r>
      </w:hyperlink>
      <w:r>
        <w:t xml:space="preserve"> </w:t>
      </w:r>
    </w:p>
    <w:p w14:paraId="0A5640CD" w14:textId="77777777" w:rsidR="00C5485C" w:rsidRDefault="00C5485C" w:rsidP="00C5485C">
      <w:pPr>
        <w:pStyle w:val="NoSpacing"/>
        <w:rPr>
          <w:bCs/>
        </w:rPr>
      </w:pPr>
    </w:p>
    <w:p w14:paraId="2A009F23" w14:textId="77777777" w:rsidR="00C5485C" w:rsidRDefault="00C5485C" w:rsidP="00C5485C">
      <w:pPr>
        <w:pStyle w:val="NoSpacing"/>
        <w:rPr>
          <w:bCs/>
        </w:rPr>
      </w:pPr>
      <w:r>
        <w:t xml:space="preserve">THE COURT HELD: </w:t>
      </w:r>
    </w:p>
    <w:p w14:paraId="74E5D110" w14:textId="77777777" w:rsidR="00C5485C" w:rsidRDefault="00C5485C" w:rsidP="00C5485C">
      <w:pPr>
        <w:pStyle w:val="NoSpacing"/>
        <w:rPr>
          <w:bCs/>
        </w:rPr>
      </w:pPr>
    </w:p>
    <w:p w14:paraId="2F923A5D" w14:textId="77777777" w:rsidR="00C5485C" w:rsidRDefault="00C5485C" w:rsidP="00C5485C">
      <w:pPr>
        <w:pStyle w:val="NoSpacing"/>
        <w:ind w:firstLine="720"/>
      </w:pPr>
      <w:r>
        <w:t>“Plaintiff was employed by Chester County in its Emergency Medical Services (‘EMS’)</w:t>
      </w:r>
    </w:p>
    <w:p w14:paraId="17D5DCD3" w14:textId="77777777" w:rsidR="00C5485C" w:rsidRDefault="00C5485C" w:rsidP="00C5485C">
      <w:pPr>
        <w:pStyle w:val="NoSpacing"/>
        <w:ind w:left="720"/>
      </w:pPr>
      <w:r>
        <w:t xml:space="preserve">department from May 2016 until January 2023….He was promoted to Senior Paramedic on December 4, 2021…. An essential function of the Senior Paramedic was operation of an ambulance. </w:t>
      </w:r>
    </w:p>
    <w:p w14:paraId="028558BB" w14:textId="77777777" w:rsidR="00C5485C" w:rsidRDefault="00C5485C" w:rsidP="00C5485C">
      <w:pPr>
        <w:pStyle w:val="NoSpacing"/>
        <w:ind w:left="720"/>
      </w:pPr>
    </w:p>
    <w:p w14:paraId="50A9BBC0" w14:textId="77777777" w:rsidR="00C5485C" w:rsidRDefault="00C5485C" w:rsidP="00C5485C">
      <w:pPr>
        <w:pStyle w:val="NoSpacing"/>
        <w:ind w:left="720"/>
      </w:pPr>
      <w:r>
        <w:t>***</w:t>
      </w:r>
    </w:p>
    <w:p w14:paraId="1A9488F9" w14:textId="77777777" w:rsidR="00C5485C" w:rsidRDefault="00C5485C" w:rsidP="00C5485C">
      <w:pPr>
        <w:pStyle w:val="NoSpacing"/>
      </w:pPr>
    </w:p>
    <w:p w14:paraId="4F57893B" w14:textId="77777777" w:rsidR="00C5485C" w:rsidRDefault="00C5485C" w:rsidP="00C5485C">
      <w:pPr>
        <w:pStyle w:val="NoSpacing"/>
        <w:ind w:firstLine="720"/>
      </w:pPr>
      <w:r>
        <w:t xml:space="preserve">Plaintiff was </w:t>
      </w:r>
      <w:proofErr w:type="gramStart"/>
      <w:r>
        <w:t>provided</w:t>
      </w:r>
      <w:proofErr w:type="gramEnd"/>
      <w:r>
        <w:t xml:space="preserve"> the opportunity to apply and interview for the billing specialist</w:t>
      </w:r>
    </w:p>
    <w:p w14:paraId="6C386EED" w14:textId="77777777" w:rsidR="00C5485C" w:rsidRDefault="00C5485C" w:rsidP="00C5485C">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4C0479C6" w14:textId="77777777" w:rsidR="00C5485C" w:rsidRDefault="00C5485C" w:rsidP="00C5485C">
      <w:pPr>
        <w:pStyle w:val="NoSpacing"/>
        <w:ind w:left="720"/>
      </w:pPr>
    </w:p>
    <w:p w14:paraId="62C08E8C" w14:textId="77777777" w:rsidR="00C5485C" w:rsidRDefault="00C5485C" w:rsidP="00C5485C">
      <w:pPr>
        <w:pStyle w:val="NoSpacing"/>
        <w:ind w:left="720"/>
      </w:pPr>
      <w:r>
        <w:t>***</w:t>
      </w:r>
    </w:p>
    <w:p w14:paraId="10298719" w14:textId="77777777" w:rsidR="00C5485C" w:rsidRDefault="00C5485C" w:rsidP="00C5485C">
      <w:pPr>
        <w:pStyle w:val="NoSpacing"/>
      </w:pPr>
    </w:p>
    <w:p w14:paraId="243095B0" w14:textId="77777777" w:rsidR="00C5485C" w:rsidRDefault="00C5485C" w:rsidP="00C5485C">
      <w:pPr>
        <w:pStyle w:val="NoSpacing"/>
        <w:ind w:firstLine="720"/>
      </w:pPr>
      <w:r>
        <w:t>To make out an FMLA interference claim, an employee must demonstrate he was entitled</w:t>
      </w:r>
    </w:p>
    <w:p w14:paraId="76EB3EFA" w14:textId="77777777" w:rsidR="00C5485C" w:rsidRDefault="00C5485C" w:rsidP="00C5485C">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39DBE5F2" w14:textId="77777777" w:rsidR="00C5485C" w:rsidRDefault="00C5485C" w:rsidP="00C5485C">
      <w:pPr>
        <w:pStyle w:val="NoSpacing"/>
        <w:ind w:left="720"/>
      </w:pPr>
    </w:p>
    <w:p w14:paraId="441148C2" w14:textId="77777777" w:rsidR="00C5485C" w:rsidRPr="00E35214" w:rsidRDefault="00C5485C" w:rsidP="00C5485C">
      <w:pPr>
        <w:pStyle w:val="NoSpacing"/>
        <w:rPr>
          <w:b/>
          <w:bCs/>
        </w:rPr>
      </w:pPr>
      <w:r>
        <w:rPr>
          <w:b/>
        </w:rPr>
        <w:t xml:space="preserve">Legal lesson learned:  Plaintiff’s supervisors went out of their way to assist the paramedic. </w:t>
      </w:r>
    </w:p>
    <w:p w14:paraId="66211E21" w14:textId="77777777" w:rsidR="00C5485C" w:rsidRDefault="00C5485C" w:rsidP="00C5485C">
      <w:pPr>
        <w:pStyle w:val="NoSpacing"/>
      </w:pPr>
    </w:p>
    <w:p w14:paraId="1F8DC829" w14:textId="77777777" w:rsidR="00C5485C" w:rsidRDefault="00C5485C" w:rsidP="00C5485C">
      <w:pPr>
        <w:pStyle w:val="NoSpacing"/>
      </w:pPr>
    </w:p>
    <w:p w14:paraId="764BEFA8" w14:textId="77777777" w:rsidR="00730526" w:rsidRDefault="00730526" w:rsidP="009C7451">
      <w:pPr>
        <w:pStyle w:val="NoSpacing"/>
        <w:rPr>
          <w:rFonts w:ascii="Arial Black" w:hAnsi="Arial Black"/>
          <w:sz w:val="24"/>
          <w:szCs w:val="24"/>
        </w:rPr>
      </w:pPr>
    </w:p>
    <w:p w14:paraId="29F986F9" w14:textId="77777777" w:rsidR="00730526" w:rsidRDefault="00730526" w:rsidP="009C7451">
      <w:pPr>
        <w:pStyle w:val="NoSpacing"/>
        <w:rPr>
          <w:rFonts w:ascii="Arial Black" w:hAnsi="Arial Black"/>
          <w:sz w:val="24"/>
          <w:szCs w:val="24"/>
        </w:rPr>
      </w:pPr>
    </w:p>
    <w:p w14:paraId="2DB0BECD" w14:textId="0FEA48DA" w:rsidR="00C60483" w:rsidRDefault="00C60483" w:rsidP="009C7451">
      <w:pPr>
        <w:pStyle w:val="NoSpacing"/>
        <w:rPr>
          <w:rFonts w:ascii="Arial Black" w:hAnsi="Arial Black"/>
          <w:sz w:val="24"/>
          <w:szCs w:val="24"/>
        </w:rPr>
      </w:pPr>
      <w:r>
        <w:rPr>
          <w:rFonts w:ascii="Arial Black" w:hAnsi="Arial Black"/>
          <w:sz w:val="24"/>
          <w:szCs w:val="24"/>
        </w:rPr>
        <w:t>9-57</w:t>
      </w:r>
    </w:p>
    <w:p w14:paraId="2C197F7D" w14:textId="77777777" w:rsidR="00C60483" w:rsidRDefault="00C60483" w:rsidP="009C7451">
      <w:pPr>
        <w:pStyle w:val="NoSpacing"/>
        <w:rPr>
          <w:rFonts w:ascii="Arial Black" w:hAnsi="Arial Black"/>
          <w:sz w:val="24"/>
          <w:szCs w:val="24"/>
        </w:rPr>
      </w:pPr>
    </w:p>
    <w:p w14:paraId="384F0533" w14:textId="77777777" w:rsidR="00C60483" w:rsidRPr="00453214" w:rsidRDefault="00C60483" w:rsidP="00C60483">
      <w:pPr>
        <w:rPr>
          <w:rFonts w:ascii="Arial Black" w:hAnsi="Arial Black"/>
          <w:b/>
          <w:sz w:val="28"/>
          <w:szCs w:val="28"/>
        </w:rPr>
      </w:pPr>
      <w:r>
        <w:rPr>
          <w:rFonts w:ascii="Arial Black" w:hAnsi="Arial Black"/>
          <w:b/>
          <w:sz w:val="28"/>
          <w:szCs w:val="28"/>
        </w:rPr>
        <w:t>NH: PSTD – FF REQ. MEETING WITH CHIEF – CASE PROCEED</w:t>
      </w:r>
    </w:p>
    <w:p w14:paraId="566DD51B" w14:textId="194379C9" w:rsidR="00C60483" w:rsidRPr="00097E9A" w:rsidRDefault="00C60483" w:rsidP="00C60483">
      <w:pPr>
        <w:pStyle w:val="NoSpacing"/>
        <w:rPr>
          <w:bCs/>
        </w:rPr>
      </w:pPr>
      <w:r>
        <w:t xml:space="preserve">On Sept. 10, 2025, in </w:t>
      </w:r>
      <w:r w:rsidRPr="007E7B93">
        <w:rPr>
          <w:u w:val="single"/>
        </w:rPr>
        <w:t>John Powers v. Town of Durham</w:t>
      </w:r>
      <w:r>
        <w:t xml:space="preserve">, U.S. District Court Judge </w:t>
      </w:r>
      <w:r w:rsidRPr="00371F98">
        <w:t>Steven J. McAuliffe</w:t>
      </w:r>
      <w:r>
        <w:t xml:space="preserve">, United States District Court for the District of New Hampshire, denied the city’s motion for summary judgment.  </w:t>
      </w:r>
      <w:r w:rsidRPr="006222A0">
        <w:rPr>
          <w:bCs/>
        </w:rPr>
        <w:t>THE COURT HELD:</w:t>
      </w:r>
      <w:r>
        <w:t xml:space="preserve"> “[A] </w:t>
      </w:r>
      <w:r w:rsidRPr="00453214">
        <w:t>reasonable jury</w:t>
      </w:r>
      <w:r>
        <w:t xml:space="preserve"> </w:t>
      </w:r>
      <w:r w:rsidRPr="00453214">
        <w:t>could find on this record that Powers made requests for</w:t>
      </w:r>
      <w:r>
        <w:t xml:space="preserve"> </w:t>
      </w:r>
      <w:r w:rsidRPr="00453214">
        <w:t>reasonable accommodation</w:t>
      </w:r>
      <w:r>
        <w:t xml:space="preserve"> [one on one meeting]</w:t>
      </w:r>
      <w:r w:rsidRPr="00453214">
        <w:t>, was using a reasonable accommodation</w:t>
      </w:r>
      <w:r>
        <w:t xml:space="preserve"> </w:t>
      </w:r>
      <w:r w:rsidRPr="00453214">
        <w:t>already in place, and complained about discriminatory conduct.</w:t>
      </w:r>
      <w:r>
        <w:t xml:space="preserve"> </w:t>
      </w:r>
      <w:r w:rsidRPr="00453214">
        <w:t>There is no dispute that Durham imposed adverse employment</w:t>
      </w:r>
      <w:r>
        <w:t xml:space="preserve"> </w:t>
      </w:r>
      <w:r w:rsidRPr="00453214">
        <w:t>actions against Powers. The timing of these events and the</w:t>
      </w:r>
      <w:r>
        <w:t xml:space="preserve"> </w:t>
      </w:r>
      <w:r w:rsidRPr="00453214">
        <w:t>evidence of Chief Emanuel’s unusual familiarity with Powers’s</w:t>
      </w:r>
      <w:r>
        <w:t xml:space="preserve"> </w:t>
      </w:r>
      <w:r w:rsidRPr="00453214">
        <w:t>disability and his possible use of Powers’s disability against</w:t>
      </w:r>
      <w:r>
        <w:t xml:space="preserve"> </w:t>
      </w:r>
      <w:r w:rsidRPr="00453214">
        <w:t>him could support findings in his favor on the elements of his</w:t>
      </w:r>
      <w:r>
        <w:t xml:space="preserve"> </w:t>
      </w:r>
      <w:r w:rsidRPr="00453214">
        <w:t>ADA retaliation claim. For that reason, summary judgment is not</w:t>
      </w:r>
      <w:r>
        <w:t xml:space="preserve"> </w:t>
      </w:r>
      <w:r w:rsidRPr="00453214">
        <w:t>appropriate.</w:t>
      </w:r>
      <w:r>
        <w:t xml:space="preserve">” </w:t>
      </w:r>
      <w:hyperlink r:id="rId1691" w:history="1">
        <w:r w:rsidRPr="00097E9A">
          <w:rPr>
            <w:rStyle w:val="Hyperlink"/>
          </w:rPr>
          <w:t>https://www.govinfo.gov/content/pkg/USCOURTS-nhd-1_23-cv-00327/pdf/USCOURTS-nhd-1_23-cv-00327-0.pdf</w:t>
        </w:r>
      </w:hyperlink>
    </w:p>
    <w:p w14:paraId="4E953FC1" w14:textId="77777777" w:rsidR="00C60483" w:rsidRDefault="00C60483" w:rsidP="00C60483">
      <w:pPr>
        <w:pStyle w:val="NoSpacing"/>
        <w:rPr>
          <w:bCs/>
        </w:rPr>
      </w:pPr>
    </w:p>
    <w:p w14:paraId="4EBBABE0" w14:textId="77777777" w:rsidR="00C60483" w:rsidRPr="00C56294" w:rsidRDefault="00C60483" w:rsidP="00C60483">
      <w:pPr>
        <w:pStyle w:val="NoSpacing"/>
        <w:rPr>
          <w:b/>
        </w:rPr>
      </w:pPr>
      <w:r w:rsidRPr="00C56294">
        <w:rPr>
          <w:b/>
        </w:rPr>
        <w:t>KEY FACTS:</w:t>
      </w:r>
    </w:p>
    <w:p w14:paraId="10BD8546" w14:textId="77777777" w:rsidR="00C60483" w:rsidRDefault="00C60483" w:rsidP="00C60483">
      <w:pPr>
        <w:pStyle w:val="NoSpacing"/>
        <w:rPr>
          <w:bCs/>
        </w:rPr>
      </w:pPr>
    </w:p>
    <w:p w14:paraId="51AE7A30" w14:textId="77777777" w:rsidR="00C60483" w:rsidRDefault="00C60483" w:rsidP="00C60483">
      <w:pPr>
        <w:pStyle w:val="NoSpacing"/>
        <w:ind w:left="720"/>
        <w:rPr>
          <w:bCs/>
        </w:rPr>
      </w:pPr>
      <w:r>
        <w:t>“</w:t>
      </w:r>
      <w:r w:rsidRPr="004300F7">
        <w:t>The summary judgment record in this case presents unusual,</w:t>
      </w:r>
      <w:r>
        <w:t xml:space="preserve"> </w:t>
      </w:r>
      <w:r w:rsidRPr="004300F7">
        <w:t>if not unique, circumstances from which a jury could find that</w:t>
      </w:r>
      <w:r>
        <w:t xml:space="preserve"> </w:t>
      </w:r>
      <w:r w:rsidRPr="004300F7">
        <w:t>Durham, through the Durham Fire Department’s Chief, David</w:t>
      </w:r>
      <w:r>
        <w:t xml:space="preserve"> </w:t>
      </w:r>
      <w:r w:rsidRPr="004300F7">
        <w:t>Emanuel, was fully aware of Powers’s disability due to PTSD and</w:t>
      </w:r>
      <w:r>
        <w:t xml:space="preserve"> </w:t>
      </w:r>
      <w:r w:rsidRPr="004300F7">
        <w:t>its symptoms. Emanuel and Powers worked together in the Durham</w:t>
      </w:r>
      <w:r>
        <w:t xml:space="preserve"> </w:t>
      </w:r>
      <w:r w:rsidRPr="004300F7">
        <w:t>Fire Department from 2011 to 2016. Powers had PTSD when he was</w:t>
      </w:r>
      <w:r>
        <w:t xml:space="preserve"> </w:t>
      </w:r>
      <w:r w:rsidRPr="005530CB">
        <w:t>hired, a condition the fire department was aware of when he was</w:t>
      </w:r>
      <w:r>
        <w:t xml:space="preserve"> </w:t>
      </w:r>
      <w:r w:rsidRPr="005530CB">
        <w:t>hired. Indeed, Durham allowed Powers time for weekly therapy</w:t>
      </w:r>
      <w:r>
        <w:t xml:space="preserve"> </w:t>
      </w:r>
      <w:r w:rsidRPr="005530CB">
        <w:t>sessions during his working hours. Emanuel knew that Powers</w:t>
      </w:r>
      <w:r>
        <w:t xml:space="preserve"> </w:t>
      </w:r>
      <w:r w:rsidRPr="005530CB">
        <w:t>suffered from PTSD and that he attended weekly therapy sessions.</w:t>
      </w:r>
    </w:p>
    <w:p w14:paraId="2D926046" w14:textId="77777777" w:rsidR="00C60483" w:rsidRDefault="00C60483" w:rsidP="00C60483">
      <w:pPr>
        <w:pStyle w:val="NoSpacing"/>
        <w:ind w:left="720"/>
        <w:rPr>
          <w:bCs/>
        </w:rPr>
      </w:pPr>
    </w:p>
    <w:p w14:paraId="6384394A" w14:textId="77777777" w:rsidR="00C60483" w:rsidRDefault="00C60483" w:rsidP="00C60483">
      <w:pPr>
        <w:pStyle w:val="NoSpacing"/>
        <w:ind w:left="720"/>
        <w:rPr>
          <w:bCs/>
        </w:rPr>
      </w:pPr>
      <w:r>
        <w:t>***</w:t>
      </w:r>
    </w:p>
    <w:p w14:paraId="6296C03F" w14:textId="77777777" w:rsidR="00C60483" w:rsidRPr="003D0DC8" w:rsidRDefault="00C60483" w:rsidP="00C60483">
      <w:pPr>
        <w:pStyle w:val="NoSpacing"/>
        <w:ind w:left="720"/>
        <w:rPr>
          <w:bCs/>
        </w:rPr>
      </w:pPr>
      <w:r w:rsidRPr="00F7488F">
        <w:t>Powers left Durham in 2016 to work for the Rochester Fire</w:t>
      </w:r>
      <w:r>
        <w:t xml:space="preserve"> </w:t>
      </w:r>
      <w:r w:rsidRPr="00F7488F">
        <w:t>Department. Powers and Emanuel remained close friends and</w:t>
      </w:r>
      <w:r>
        <w:t xml:space="preserve"> </w:t>
      </w:r>
      <w:r w:rsidRPr="003D0DC8">
        <w:t>continued to communicate after Powers’s move to Rochester. In</w:t>
      </w:r>
      <w:r>
        <w:t xml:space="preserve"> </w:t>
      </w:r>
      <w:r w:rsidRPr="003D0DC8">
        <w:t>2018, Chief Landry left the Durham Fire Department and Emanuel</w:t>
      </w:r>
    </w:p>
    <w:p w14:paraId="4C5A0E19" w14:textId="77777777" w:rsidR="00C60483" w:rsidRPr="003D0DC8" w:rsidRDefault="00C60483" w:rsidP="00C60483">
      <w:pPr>
        <w:pStyle w:val="NoSpacing"/>
        <w:ind w:left="720"/>
        <w:rPr>
          <w:bCs/>
        </w:rPr>
      </w:pPr>
      <w:r w:rsidRPr="003D0DC8">
        <w:t>became chief. Powers then returned to Durham to work under</w:t>
      </w:r>
      <w:r>
        <w:t xml:space="preserve"> </w:t>
      </w:r>
      <w:r w:rsidRPr="003D0DC8">
        <w:t>Chief Emanuel. By the fall of 2019, however, their relationship</w:t>
      </w:r>
      <w:r>
        <w:t xml:space="preserve"> </w:t>
      </w:r>
      <w:r w:rsidRPr="003D0DC8">
        <w:t>began to deteriorate. Emanuel was concerned about Powers’s work</w:t>
      </w:r>
      <w:r>
        <w:t xml:space="preserve"> </w:t>
      </w:r>
      <w:r w:rsidRPr="003D0DC8">
        <w:t>performance, including complaints about his driving while in a</w:t>
      </w:r>
      <w:r>
        <w:t xml:space="preserve"> </w:t>
      </w:r>
      <w:r w:rsidRPr="003D0DC8">
        <w:t>fire department vehicle, the tone of some of his work</w:t>
      </w:r>
      <w:r>
        <w:t xml:space="preserve"> </w:t>
      </w:r>
      <w:r w:rsidRPr="003D0DC8">
        <w:t>communications, and his failure to attend several meetings</w:t>
      </w:r>
      <w:r>
        <w:t xml:space="preserve"> </w:t>
      </w:r>
      <w:r w:rsidRPr="003D0DC8">
        <w:t>without first communicating that he would be unavailable.</w:t>
      </w:r>
    </w:p>
    <w:p w14:paraId="35DBAD6C" w14:textId="77777777" w:rsidR="00C60483" w:rsidRDefault="00C60483" w:rsidP="00C60483">
      <w:pPr>
        <w:pStyle w:val="NoSpacing"/>
        <w:ind w:left="720"/>
        <w:rPr>
          <w:bCs/>
        </w:rPr>
      </w:pPr>
      <w:r w:rsidRPr="003D0DC8">
        <w:t>Powers considered it difficult to communicate with Emanuel,</w:t>
      </w:r>
      <w:r>
        <w:t xml:space="preserve"> </w:t>
      </w:r>
      <w:r w:rsidRPr="003D0DC8">
        <w:t>which he believed was triggering his PTSD symptoms. By early</w:t>
      </w:r>
      <w:r>
        <w:t xml:space="preserve"> </w:t>
      </w:r>
      <w:r w:rsidRPr="003D0DC8">
        <w:t>2020, Powers thought his relationship with Emanuel had become</w:t>
      </w:r>
      <w:r>
        <w:t xml:space="preserve"> </w:t>
      </w:r>
      <w:r w:rsidRPr="003D0DC8">
        <w:t>adversarial.</w:t>
      </w:r>
    </w:p>
    <w:p w14:paraId="4798E7FE" w14:textId="77777777" w:rsidR="00C60483" w:rsidRDefault="00C60483" w:rsidP="00C60483">
      <w:pPr>
        <w:pStyle w:val="NoSpacing"/>
        <w:rPr>
          <w:bCs/>
        </w:rPr>
      </w:pPr>
    </w:p>
    <w:p w14:paraId="5008DA5B" w14:textId="77777777" w:rsidR="00C60483" w:rsidRPr="00886207" w:rsidRDefault="00C60483" w:rsidP="00C60483">
      <w:pPr>
        <w:pStyle w:val="NoSpacing"/>
        <w:ind w:left="720"/>
        <w:rPr>
          <w:bCs/>
        </w:rPr>
      </w:pPr>
      <w:r w:rsidRPr="00886207">
        <w:t>On January 17, 2020, Powers asked to meet with Emanuel one-on-one to discuss their communication issues and Emanuel’s</w:t>
      </w:r>
      <w:r>
        <w:t xml:space="preserve"> </w:t>
      </w:r>
      <w:r w:rsidRPr="00886207">
        <w:t xml:space="preserve">expectations of him. Powers </w:t>
      </w:r>
      <w:proofErr w:type="gramStart"/>
      <w:r w:rsidRPr="00886207">
        <w:t>says</w:t>
      </w:r>
      <w:proofErr w:type="gramEnd"/>
      <w:r w:rsidRPr="00886207">
        <w:t xml:space="preserve"> that meeting never occurred.</w:t>
      </w:r>
      <w:r>
        <w:t xml:space="preserve"> </w:t>
      </w:r>
      <w:r w:rsidRPr="00886207">
        <w:t>In a different meeting among Chief Emanuel, Powers, and a</w:t>
      </w:r>
      <w:r>
        <w:t xml:space="preserve"> </w:t>
      </w:r>
      <w:r w:rsidRPr="00886207">
        <w:t>consultant, who was hired to improve the fire department’s</w:t>
      </w:r>
      <w:r>
        <w:t xml:space="preserve"> </w:t>
      </w:r>
      <w:r w:rsidRPr="00886207">
        <w:t>working culture, Powers attempted to raise those same</w:t>
      </w:r>
      <w:r>
        <w:t xml:space="preserve"> </w:t>
      </w:r>
      <w:r w:rsidRPr="00886207">
        <w:t>communication and expectation issues. The consultant responded</w:t>
      </w:r>
    </w:p>
    <w:p w14:paraId="7EADC227" w14:textId="77777777" w:rsidR="00C60483" w:rsidRDefault="00C60483" w:rsidP="00C60483">
      <w:pPr>
        <w:pStyle w:val="NoSpacing"/>
        <w:ind w:firstLine="720"/>
        <w:rPr>
          <w:bCs/>
        </w:rPr>
      </w:pPr>
      <w:r w:rsidRPr="00886207">
        <w:t>that Powers was causing problems and undermining Emanuel’s</w:t>
      </w:r>
      <w:r>
        <w:t xml:space="preserve"> </w:t>
      </w:r>
      <w:r w:rsidRPr="00886207">
        <w:t>authority as Chief.</w:t>
      </w:r>
    </w:p>
    <w:p w14:paraId="6AFE3DFD" w14:textId="77777777" w:rsidR="00C60483" w:rsidRDefault="00C60483" w:rsidP="00C60483">
      <w:pPr>
        <w:pStyle w:val="NoSpacing"/>
        <w:ind w:firstLine="720"/>
        <w:rPr>
          <w:bCs/>
        </w:rPr>
      </w:pPr>
    </w:p>
    <w:p w14:paraId="369CFB70" w14:textId="77777777" w:rsidR="00C60483" w:rsidRPr="008B1854" w:rsidRDefault="00C60483" w:rsidP="00C60483">
      <w:pPr>
        <w:pStyle w:val="NoSpacing"/>
        <w:ind w:left="720"/>
        <w:rPr>
          <w:bCs/>
        </w:rPr>
      </w:pPr>
      <w:r w:rsidRPr="001D39E3">
        <w:t xml:space="preserve">Emanuel prepared a Performance Improvement </w:t>
      </w:r>
      <w:proofErr w:type="gramStart"/>
      <w:r w:rsidRPr="001D39E3">
        <w:t>Plan (</w:t>
      </w:r>
      <w:r>
        <w:t>‘</w:t>
      </w:r>
      <w:proofErr w:type="gramEnd"/>
      <w:r w:rsidRPr="001D39E3">
        <w:t>PIP</w:t>
      </w:r>
      <w:r>
        <w:t>’</w:t>
      </w:r>
      <w:r w:rsidRPr="001D39E3">
        <w:t>) for</w:t>
      </w:r>
      <w:r>
        <w:t xml:space="preserve"> </w:t>
      </w:r>
      <w:r w:rsidRPr="001D39E3">
        <w:t xml:space="preserve">Powers, which he presented to Powers at a </w:t>
      </w:r>
      <w:r>
        <w:t>‘</w:t>
      </w:r>
      <w:r w:rsidRPr="001D39E3">
        <w:t>Chief’s Meeting</w:t>
      </w:r>
      <w:r>
        <w:t xml:space="preserve">’ </w:t>
      </w:r>
      <w:r w:rsidRPr="001D39E3">
        <w:t>on</w:t>
      </w:r>
      <w:r>
        <w:t xml:space="preserve"> </w:t>
      </w:r>
      <w:r w:rsidRPr="008B1854">
        <w:t xml:space="preserve">February 27, 2020, without </w:t>
      </w:r>
      <w:proofErr w:type="gramStart"/>
      <w:r w:rsidRPr="008B1854">
        <w:t>prior warning</w:t>
      </w:r>
      <w:proofErr w:type="gramEnd"/>
      <w:r w:rsidRPr="008B1854">
        <w:t>. Emanuel explained</w:t>
      </w:r>
      <w:r>
        <w:t xml:space="preserve"> </w:t>
      </w:r>
      <w:r w:rsidRPr="008B1854">
        <w:t>later that he surprised Powers with the PIP because otherwise</w:t>
      </w:r>
    </w:p>
    <w:p w14:paraId="3F66BA26" w14:textId="77777777" w:rsidR="00C60483" w:rsidRPr="008B1854" w:rsidRDefault="00C60483" w:rsidP="00C60483">
      <w:pPr>
        <w:pStyle w:val="NoSpacing"/>
        <w:ind w:left="720"/>
        <w:rPr>
          <w:bCs/>
        </w:rPr>
      </w:pPr>
      <w:r w:rsidRPr="008B1854">
        <w:t>Powers would have avoided that conversation. Powers was</w:t>
      </w:r>
      <w:r>
        <w:t xml:space="preserve"> </w:t>
      </w:r>
      <w:r w:rsidRPr="008B1854">
        <w:t>surprised and uncomfortable when Emanuel began to read the PIP</w:t>
      </w:r>
      <w:r>
        <w:t xml:space="preserve"> </w:t>
      </w:r>
      <w:r w:rsidRPr="008B1854">
        <w:t>to him aloud at the meeting. Powers twice asked Emanuel to stop</w:t>
      </w:r>
      <w:r>
        <w:t xml:space="preserve"> </w:t>
      </w:r>
      <w:r w:rsidRPr="008B1854">
        <w:t>reading and to allow him to take the PIP to read to himself and</w:t>
      </w:r>
    </w:p>
    <w:p w14:paraId="63002210" w14:textId="77777777" w:rsidR="00C60483" w:rsidRDefault="00C60483" w:rsidP="00C60483">
      <w:pPr>
        <w:pStyle w:val="NoSpacing"/>
        <w:ind w:left="720"/>
        <w:rPr>
          <w:bCs/>
        </w:rPr>
      </w:pPr>
      <w:r w:rsidRPr="008B1854">
        <w:t>respond, but Emanuel continued to read the PIP aloud.</w:t>
      </w:r>
      <w:r>
        <w:t xml:space="preserve"> </w:t>
      </w:r>
      <w:r w:rsidRPr="00940191">
        <w:t>When</w:t>
      </w:r>
      <w:r>
        <w:t xml:space="preserve"> </w:t>
      </w:r>
      <w:r w:rsidRPr="00940191">
        <w:t>Emanuel read a section of the PIP that required Powers to be at</w:t>
      </w:r>
      <w:r>
        <w:t xml:space="preserve"> </w:t>
      </w:r>
      <w:r w:rsidRPr="00940191">
        <w:t>the station during all days and all business hours, Powers</w:t>
      </w:r>
      <w:r>
        <w:t xml:space="preserve"> </w:t>
      </w:r>
      <w:r w:rsidRPr="00940191">
        <w:t>became distraught because he understood that requirement revoked</w:t>
      </w:r>
      <w:r>
        <w:t xml:space="preserve"> </w:t>
      </w:r>
      <w:r w:rsidRPr="00940191">
        <w:t>his leave to attend weekly therapy sessions for PTSD during work</w:t>
      </w:r>
      <w:r>
        <w:t xml:space="preserve"> </w:t>
      </w:r>
      <w:r w:rsidRPr="00940191">
        <w:t>hours. Powers was obviously agitated and shaking and excused</w:t>
      </w:r>
      <w:r>
        <w:t xml:space="preserve"> </w:t>
      </w:r>
      <w:r w:rsidRPr="00940191">
        <w:t>himself from the meeting. After the meeting, Emanuel drafted a</w:t>
      </w:r>
      <w:r>
        <w:t xml:space="preserve"> </w:t>
      </w:r>
      <w:r w:rsidRPr="00940191">
        <w:t>memo that questioned Powers’s state of mind after the PIP</w:t>
      </w:r>
      <w:r>
        <w:t xml:space="preserve"> </w:t>
      </w:r>
      <w:r w:rsidRPr="00940191">
        <w:t>meeting. Powers responded to a text from Emanuel that evening,</w:t>
      </w:r>
      <w:r>
        <w:t xml:space="preserve"> </w:t>
      </w:r>
      <w:r w:rsidRPr="00940191">
        <w:t xml:space="preserve">saying that he made it home safely but was not </w:t>
      </w:r>
      <w:r>
        <w:t>‘</w:t>
      </w:r>
      <w:r w:rsidRPr="00940191">
        <w:t>okay</w:t>
      </w:r>
      <w:r>
        <w:t>.’</w:t>
      </w:r>
    </w:p>
    <w:p w14:paraId="1727ACFC" w14:textId="77777777" w:rsidR="00C60483" w:rsidRDefault="00C60483" w:rsidP="00C60483">
      <w:pPr>
        <w:pStyle w:val="NoSpacing"/>
        <w:ind w:left="720"/>
        <w:rPr>
          <w:bCs/>
        </w:rPr>
      </w:pPr>
    </w:p>
    <w:p w14:paraId="68240BF9" w14:textId="77777777" w:rsidR="00C60483" w:rsidRPr="000840FB" w:rsidRDefault="00C60483" w:rsidP="00C60483">
      <w:pPr>
        <w:pStyle w:val="NoSpacing"/>
        <w:ind w:left="720"/>
        <w:rPr>
          <w:bCs/>
        </w:rPr>
      </w:pPr>
      <w:r w:rsidRPr="000840FB">
        <w:t>The next day, Emanuel informed Powers that he was suspended</w:t>
      </w:r>
      <w:r>
        <w:t xml:space="preserve"> </w:t>
      </w:r>
      <w:r w:rsidRPr="000840FB">
        <w:t>from the department because of his reaction to the PIP. Emanuel</w:t>
      </w:r>
      <w:r>
        <w:t xml:space="preserve"> </w:t>
      </w:r>
      <w:r w:rsidRPr="000840FB">
        <w:t xml:space="preserve">ordered Powers to have a fitness for </w:t>
      </w:r>
      <w:proofErr w:type="gramStart"/>
      <w:r w:rsidRPr="000840FB">
        <w:t>duty (</w:t>
      </w:r>
      <w:r>
        <w:t>‘</w:t>
      </w:r>
      <w:proofErr w:type="gramEnd"/>
      <w:r w:rsidRPr="000840FB">
        <w:t>FFD</w:t>
      </w:r>
      <w:r>
        <w:t>’</w:t>
      </w:r>
      <w:r w:rsidRPr="000840FB">
        <w:t>) evaluation.</w:t>
      </w:r>
      <w:r>
        <w:t xml:space="preserve"> </w:t>
      </w:r>
      <w:r w:rsidRPr="000840FB">
        <w:t>The evaluation was scheduled. Powers submitted a grievance to</w:t>
      </w:r>
    </w:p>
    <w:p w14:paraId="49EC33C9" w14:textId="77777777" w:rsidR="00C60483" w:rsidRDefault="00C60483" w:rsidP="00C60483">
      <w:pPr>
        <w:pStyle w:val="NoSpacing"/>
        <w:ind w:left="720"/>
        <w:rPr>
          <w:bCs/>
        </w:rPr>
      </w:pPr>
      <w:r w:rsidRPr="000840FB">
        <w:t>Emanuel challenging the PIP and the ordered evaluation. Emanuel</w:t>
      </w:r>
      <w:r>
        <w:t xml:space="preserve"> </w:t>
      </w:r>
      <w:r w:rsidRPr="000840FB">
        <w:t>thought Powers was out of line by filing the grievance and</w:t>
      </w:r>
      <w:r>
        <w:t xml:space="preserve"> </w:t>
      </w:r>
      <w:r w:rsidRPr="000840FB">
        <w:t xml:space="preserve">notified Powers that there was no </w:t>
      </w:r>
      <w:proofErr w:type="spellStart"/>
      <w:r w:rsidRPr="000840FB">
        <w:t>grievable</w:t>
      </w:r>
      <w:proofErr w:type="spellEnd"/>
      <w:r w:rsidRPr="000840FB">
        <w:t xml:space="preserve"> issue. He required</w:t>
      </w:r>
      <w:r>
        <w:t xml:space="preserve"> </w:t>
      </w:r>
      <w:r w:rsidRPr="000840FB">
        <w:t>Powers to return and finish listening to Emanuel read the PIP.</w:t>
      </w:r>
      <w:r>
        <w:t xml:space="preserve"> </w:t>
      </w:r>
      <w:r w:rsidRPr="009E3FF5">
        <w:t>Powers attended the scheduled FFD evaluation but would not</w:t>
      </w:r>
      <w:r>
        <w:t xml:space="preserve"> </w:t>
      </w:r>
      <w:r w:rsidRPr="009E3FF5">
        <w:t>release the results to Durham while his grievance was pending.</w:t>
      </w:r>
      <w:r>
        <w:t xml:space="preserve"> </w:t>
      </w:r>
      <w:r w:rsidRPr="009E3FF5">
        <w:t>Emanuel, in turn, fired Powers on March 19, 2020, because he did</w:t>
      </w:r>
      <w:r>
        <w:t xml:space="preserve"> </w:t>
      </w:r>
      <w:r w:rsidRPr="009E3FF5">
        <w:t>not submit the results of the FFD evaluation. The town</w:t>
      </w:r>
      <w:r>
        <w:t xml:space="preserve"> </w:t>
      </w:r>
      <w:r w:rsidRPr="009E3FF5">
        <w:t>administrator notified Powers the next day that his grievance</w:t>
      </w:r>
      <w:r>
        <w:t xml:space="preserve"> </w:t>
      </w:r>
      <w:r w:rsidRPr="009E3FF5">
        <w:t>was not valid.</w:t>
      </w:r>
      <w:r>
        <w:t>”</w:t>
      </w:r>
    </w:p>
    <w:p w14:paraId="058B882E" w14:textId="77777777" w:rsidR="00C60483" w:rsidRDefault="00C60483" w:rsidP="00C60483">
      <w:pPr>
        <w:pStyle w:val="NoSpacing"/>
        <w:ind w:left="720"/>
        <w:rPr>
          <w:bCs/>
        </w:rPr>
      </w:pPr>
    </w:p>
    <w:p w14:paraId="54F3FE3D" w14:textId="77777777" w:rsidR="00C60483" w:rsidRPr="00ED073D" w:rsidRDefault="00C60483" w:rsidP="00C60483">
      <w:pPr>
        <w:pStyle w:val="NoSpacing"/>
        <w:rPr>
          <w:b/>
          <w:bCs/>
        </w:rPr>
      </w:pPr>
      <w:r>
        <w:rPr>
          <w:b/>
        </w:rPr>
        <w:t xml:space="preserve">Legal lesson learned:  ADA requires both sides to communicate, seeking mutually acceptable reasonable accommodation. </w:t>
      </w:r>
    </w:p>
    <w:p w14:paraId="5450BC27" w14:textId="77777777" w:rsidR="00C60483" w:rsidRDefault="00C60483" w:rsidP="009C7451">
      <w:pPr>
        <w:pStyle w:val="NoSpacing"/>
        <w:rPr>
          <w:rFonts w:ascii="Arial Black" w:hAnsi="Arial Black"/>
          <w:sz w:val="24"/>
          <w:szCs w:val="24"/>
        </w:rPr>
      </w:pPr>
    </w:p>
    <w:p w14:paraId="0D5C80FE" w14:textId="77777777" w:rsidR="00C60483" w:rsidRDefault="00C60483" w:rsidP="009C7451">
      <w:pPr>
        <w:pStyle w:val="NoSpacing"/>
        <w:rPr>
          <w:rFonts w:ascii="Arial Black" w:hAnsi="Arial Black"/>
          <w:sz w:val="24"/>
          <w:szCs w:val="24"/>
        </w:rPr>
      </w:pPr>
    </w:p>
    <w:p w14:paraId="51F3E579" w14:textId="70948919" w:rsidR="00066EA4" w:rsidRDefault="00010BB9" w:rsidP="009C7451">
      <w:pPr>
        <w:pStyle w:val="NoSpacing"/>
        <w:rPr>
          <w:rFonts w:ascii="Arial Black" w:hAnsi="Arial Black"/>
          <w:sz w:val="24"/>
          <w:szCs w:val="24"/>
        </w:rPr>
      </w:pPr>
      <w:r>
        <w:rPr>
          <w:rFonts w:ascii="Arial Black" w:hAnsi="Arial Black"/>
          <w:sz w:val="24"/>
          <w:szCs w:val="24"/>
        </w:rPr>
        <w:t>9-56</w:t>
      </w:r>
    </w:p>
    <w:p w14:paraId="5E99A02A" w14:textId="77777777" w:rsidR="00010BB9" w:rsidRDefault="00010BB9" w:rsidP="009C7451">
      <w:pPr>
        <w:pStyle w:val="NoSpacing"/>
        <w:rPr>
          <w:rFonts w:ascii="Arial Black" w:hAnsi="Arial Black"/>
          <w:sz w:val="24"/>
          <w:szCs w:val="24"/>
        </w:rPr>
      </w:pPr>
    </w:p>
    <w:p w14:paraId="29A15087" w14:textId="77777777" w:rsidR="00010BB9" w:rsidRPr="00D56FD8" w:rsidRDefault="00010BB9" w:rsidP="00010BB9">
      <w:pPr>
        <w:rPr>
          <w:rFonts w:ascii="Arial Black" w:hAnsi="Arial Black"/>
          <w:b/>
          <w:sz w:val="28"/>
          <w:szCs w:val="28"/>
        </w:rPr>
      </w:pPr>
      <w:r>
        <w:rPr>
          <w:rFonts w:ascii="Arial Black" w:hAnsi="Arial Black"/>
          <w:b/>
          <w:sz w:val="28"/>
          <w:szCs w:val="28"/>
        </w:rPr>
        <w:t xml:space="preserve">CA:  CHIEF MED LEAVE / 4 SURGERIES – FIRED – JURY $4.1M </w:t>
      </w:r>
    </w:p>
    <w:p w14:paraId="2C9B2329" w14:textId="77777777" w:rsidR="00010BB9" w:rsidRPr="00880B66" w:rsidRDefault="00010BB9" w:rsidP="00010BB9">
      <w:pPr>
        <w:pStyle w:val="NoSpacing"/>
        <w:rPr>
          <w:rFonts w:ascii="Times New Roman" w:hAnsi="Times New Roman"/>
          <w:sz w:val="24"/>
          <w:szCs w:val="24"/>
        </w:rPr>
      </w:pPr>
      <w:r w:rsidRPr="00880B66">
        <w:rPr>
          <w:rFonts w:ascii="Times New Roman" w:hAnsi="Times New Roman"/>
          <w:sz w:val="24"/>
          <w:szCs w:val="24"/>
        </w:rPr>
        <w:t xml:space="preserve">On July 9, 2025, in </w:t>
      </w:r>
      <w:r w:rsidRPr="00880B66">
        <w:rPr>
          <w:rFonts w:ascii="Times New Roman" w:hAnsi="Times New Roman"/>
          <w:sz w:val="24"/>
          <w:szCs w:val="24"/>
          <w:u w:val="single"/>
        </w:rPr>
        <w:t>Larry Whithorn v. City of West Covina</w:t>
      </w:r>
      <w:r w:rsidRPr="00880B66">
        <w:rPr>
          <w:rFonts w:ascii="Times New Roman" w:hAnsi="Times New Roman"/>
          <w:sz w:val="24"/>
          <w:szCs w:val="24"/>
        </w:rPr>
        <w:t xml:space="preserve">, the California Court of Appeals, Second District, Eighth Division held (3 to 0; unpublished decision) that jury award of $4,145,595 in damages was appropriate based on evidence of being fired after four surgeries, and after filing internal complaint.  According to press reports, he was on extended medical leaves from December 2016 to April 2017 and June 2017 to September 2017 (four surgeries) and brief leaves in January 2018 and September 2018 to aid an ill relative. During Whithorn’s 2017 medical leave, newly elected City Councilmember Tony Wu expressed concerns to City Manager Freeland multiple times that Whithorn was an “absentee chief.” On March 19, 2019, Whithorn filed a grievance.  Tony Wu described the grievance as “bull shit.”  On April 22, 2019, within 17 days of starting as the new City Manager David Carmany, and after spending only 30 to 45 minutes interacting with Whithorn, Carmany fired Whithorn, without warning, reprimand or prior discipline. Carmany said City was going in a different direction but did not give Whithorn a specific reason for his termination.”  THE COURT HELD: “City again contends that Whithorn was required to prove that City’s stated reasons for termination were pretextual. He was not. Retaliation claims may be brought under a mixed-motives theory. (George v. California Unemployment Ins. Appeals Bd. (2009) 179 Cal.App.4th 1475, 1492.) That was the situation here…. As we have just discussed, the </w:t>
      </w:r>
      <w:proofErr w:type="gramStart"/>
      <w:r w:rsidRPr="00880B66">
        <w:rPr>
          <w:rFonts w:ascii="Times New Roman" w:hAnsi="Times New Roman"/>
          <w:sz w:val="24"/>
          <w:szCs w:val="24"/>
        </w:rPr>
        <w:t>fact</w:t>
      </w:r>
      <w:proofErr w:type="gramEnd"/>
      <w:r w:rsidRPr="00880B66">
        <w:rPr>
          <w:rFonts w:ascii="Times New Roman" w:hAnsi="Times New Roman"/>
          <w:sz w:val="24"/>
          <w:szCs w:val="24"/>
        </w:rPr>
        <w:t xml:space="preserve"> an employer has mixed reasons for terminating an employee, some permissible and some discriminatory, does not defeat a discrimination claim. In such situations, the employee need only show that ‘discrimination was a substantial motivating factor.’ City again contends there is no evidence to support that Councilmember Wu held retaliatory animus toward Whithorn, or that Wu influenced City Manager Carmany’s decision to terminate Whithorn based on the grievance. As set forth in more detail above, Councilmember Wu was  very clearly angry at Whithorn when Whithorn’s grievance was presented to the city council. Wu described the grievance as ‘bullshit’ and claimed he was being ‘bullied’ by staff members. Wu, along with other city council members, did not want to pay for an investigation. When Human Resources Director Pinon pressed for an investigation and provided contact information for an investigator, his contract was terminated four and one-half months early, supposedly for financial reasons, but he was given a three months’ severance.”  </w:t>
      </w:r>
      <w:hyperlink r:id="rId1692" w:history="1">
        <w:r w:rsidRPr="00880B66">
          <w:rPr>
            <w:rStyle w:val="Hyperlink"/>
            <w:rFonts w:ascii="Times New Roman" w:hAnsi="Times New Roman"/>
            <w:sz w:val="24"/>
            <w:szCs w:val="24"/>
          </w:rPr>
          <w:t>https://www4.courts.ca.gov/opinions/nonpub/B332558.PDF</w:t>
        </w:r>
      </w:hyperlink>
      <w:r w:rsidRPr="00880B66">
        <w:rPr>
          <w:rFonts w:ascii="Times New Roman" w:hAnsi="Times New Roman"/>
          <w:sz w:val="24"/>
          <w:szCs w:val="24"/>
        </w:rPr>
        <w:t xml:space="preserve"> </w:t>
      </w:r>
    </w:p>
    <w:p w14:paraId="56A0A6BF" w14:textId="77777777" w:rsidR="00010BB9" w:rsidRPr="00880B66" w:rsidRDefault="00010BB9" w:rsidP="00010BB9">
      <w:pPr>
        <w:pStyle w:val="NoSpacing"/>
        <w:rPr>
          <w:rFonts w:ascii="Times New Roman" w:hAnsi="Times New Roman"/>
          <w:sz w:val="24"/>
          <w:szCs w:val="24"/>
        </w:rPr>
      </w:pPr>
    </w:p>
    <w:p w14:paraId="65A069F1" w14:textId="77777777" w:rsidR="00880B66" w:rsidRPr="00880B66" w:rsidRDefault="00880B66" w:rsidP="00880B66">
      <w:pPr>
        <w:pStyle w:val="NoSpacing"/>
        <w:rPr>
          <w:rFonts w:ascii="Times New Roman" w:hAnsi="Times New Roman"/>
          <w:b/>
          <w:sz w:val="24"/>
          <w:szCs w:val="24"/>
        </w:rPr>
      </w:pPr>
      <w:r w:rsidRPr="00880B66">
        <w:rPr>
          <w:rFonts w:ascii="Times New Roman" w:hAnsi="Times New Roman"/>
          <w:b/>
          <w:sz w:val="24"/>
          <w:szCs w:val="24"/>
        </w:rPr>
        <w:t>Legal lesson learned:  The former Fire Chief proved to the jury that discrimination was a substantial motivating factor in his termination.</w:t>
      </w:r>
    </w:p>
    <w:p w14:paraId="560D25FB" w14:textId="77777777" w:rsidR="00880B66" w:rsidRPr="00880B66" w:rsidRDefault="00880B66" w:rsidP="00880B66">
      <w:pPr>
        <w:pStyle w:val="NoSpacing"/>
        <w:rPr>
          <w:rFonts w:ascii="Times New Roman" w:hAnsi="Times New Roman"/>
          <w:sz w:val="24"/>
          <w:szCs w:val="24"/>
        </w:rPr>
      </w:pPr>
    </w:p>
    <w:p w14:paraId="5176E972" w14:textId="77777777" w:rsidR="00880B66" w:rsidRPr="00880B66" w:rsidRDefault="00880B66" w:rsidP="00880B66">
      <w:pPr>
        <w:pStyle w:val="NoSpacing"/>
        <w:ind w:left="720"/>
        <w:rPr>
          <w:rFonts w:ascii="Times New Roman" w:hAnsi="Times New Roman"/>
          <w:b/>
          <w:sz w:val="24"/>
          <w:szCs w:val="24"/>
        </w:rPr>
      </w:pPr>
      <w:r w:rsidRPr="00880B66">
        <w:rPr>
          <w:rFonts w:ascii="Times New Roman" w:hAnsi="Times New Roman"/>
          <w:sz w:val="24"/>
          <w:szCs w:val="24"/>
        </w:rPr>
        <w:t xml:space="preserve">Note: See May 9, </w:t>
      </w:r>
      <w:proofErr w:type="gramStart"/>
      <w:r w:rsidRPr="00880B66">
        <w:rPr>
          <w:rFonts w:ascii="Times New Roman" w:hAnsi="Times New Roman"/>
          <w:sz w:val="24"/>
          <w:szCs w:val="24"/>
        </w:rPr>
        <w:t>2023</w:t>
      </w:r>
      <w:proofErr w:type="gramEnd"/>
      <w:r w:rsidRPr="00880B66">
        <w:rPr>
          <w:rFonts w:ascii="Times New Roman" w:hAnsi="Times New Roman"/>
          <w:sz w:val="24"/>
          <w:szCs w:val="24"/>
        </w:rPr>
        <w:t xml:space="preserve"> article, “Former West Covina fire chief wins $4.1 million in wrongful termination suit.” </w:t>
      </w:r>
      <w:hyperlink r:id="rId1693" w:history="1">
        <w:r w:rsidRPr="00880B66">
          <w:rPr>
            <w:rStyle w:val="Hyperlink"/>
            <w:rFonts w:ascii="Times New Roman" w:hAnsi="Times New Roman"/>
            <w:sz w:val="24"/>
            <w:szCs w:val="24"/>
          </w:rPr>
          <w:t>https://sac.media/2023/05/09/former-west-covina-fire-chief-awarded-4-1-million-in-wrongful-termination-suit/</w:t>
        </w:r>
      </w:hyperlink>
      <w:r w:rsidRPr="00880B66">
        <w:rPr>
          <w:rFonts w:ascii="Times New Roman" w:hAnsi="Times New Roman"/>
          <w:b/>
          <w:sz w:val="24"/>
          <w:szCs w:val="24"/>
        </w:rPr>
        <w:t xml:space="preserve"> </w:t>
      </w:r>
    </w:p>
    <w:p w14:paraId="59E69D65" w14:textId="77777777" w:rsidR="00880B66" w:rsidRPr="00880B66" w:rsidRDefault="00880B66" w:rsidP="00880B66">
      <w:pPr>
        <w:pStyle w:val="NoSpacing"/>
        <w:ind w:left="720"/>
        <w:rPr>
          <w:rFonts w:ascii="Times New Roman" w:hAnsi="Times New Roman"/>
          <w:sz w:val="24"/>
          <w:szCs w:val="24"/>
        </w:rPr>
      </w:pPr>
      <w:r w:rsidRPr="00880B66">
        <w:rPr>
          <w:rFonts w:ascii="Times New Roman" w:hAnsi="Times New Roman"/>
          <w:sz w:val="24"/>
          <w:szCs w:val="24"/>
        </w:rPr>
        <w:t>According to the lawsuit, Whithorn was harassed following multiple extended medical leaves from December 2016 to April 2017 and June 2017 to September 2017 and brief leaves in January 2018 and September 2018 to aid an ill relative.</w:t>
      </w:r>
    </w:p>
    <w:p w14:paraId="7F310381" w14:textId="77777777" w:rsidR="00880B66" w:rsidRPr="00880B66" w:rsidRDefault="00880B66" w:rsidP="00880B66">
      <w:pPr>
        <w:pStyle w:val="NoSpacing"/>
        <w:ind w:left="720"/>
        <w:rPr>
          <w:rFonts w:ascii="Times New Roman" w:hAnsi="Times New Roman"/>
          <w:sz w:val="24"/>
          <w:szCs w:val="24"/>
        </w:rPr>
      </w:pPr>
    </w:p>
    <w:p w14:paraId="5E637229" w14:textId="77777777" w:rsidR="00010BB9" w:rsidRPr="00880B66" w:rsidRDefault="00010BB9" w:rsidP="009C7451">
      <w:pPr>
        <w:pStyle w:val="NoSpacing"/>
        <w:rPr>
          <w:rFonts w:ascii="Times New Roman" w:hAnsi="Times New Roman"/>
          <w:sz w:val="24"/>
          <w:szCs w:val="24"/>
        </w:rPr>
      </w:pPr>
    </w:p>
    <w:p w14:paraId="5AA267B5" w14:textId="77777777" w:rsidR="00010BB9" w:rsidRPr="00880B66" w:rsidRDefault="00010BB9" w:rsidP="009C7451">
      <w:pPr>
        <w:pStyle w:val="NoSpacing"/>
        <w:rPr>
          <w:rFonts w:ascii="Times New Roman" w:hAnsi="Times New Roman"/>
          <w:sz w:val="24"/>
          <w:szCs w:val="24"/>
        </w:rPr>
      </w:pPr>
    </w:p>
    <w:p w14:paraId="4F5276B8" w14:textId="77777777" w:rsidR="00010BB9" w:rsidRDefault="00010BB9" w:rsidP="009C7451">
      <w:pPr>
        <w:pStyle w:val="NoSpacing"/>
        <w:rPr>
          <w:rFonts w:ascii="Arial Black" w:hAnsi="Arial Black"/>
          <w:sz w:val="24"/>
          <w:szCs w:val="24"/>
        </w:rPr>
      </w:pPr>
    </w:p>
    <w:p w14:paraId="51416B29" w14:textId="77777777" w:rsidR="00066EA4" w:rsidRDefault="00066EA4" w:rsidP="009C7451">
      <w:pPr>
        <w:pStyle w:val="NoSpacing"/>
        <w:rPr>
          <w:rFonts w:ascii="Arial Black" w:hAnsi="Arial Black"/>
          <w:sz w:val="24"/>
          <w:szCs w:val="24"/>
        </w:rPr>
      </w:pPr>
    </w:p>
    <w:p w14:paraId="0F3AF936" w14:textId="14B72635" w:rsidR="009C7451" w:rsidRDefault="009C7451" w:rsidP="009C7451">
      <w:pPr>
        <w:pStyle w:val="NoSpacing"/>
        <w:rPr>
          <w:rFonts w:ascii="Arial Black" w:hAnsi="Arial Black"/>
          <w:sz w:val="24"/>
          <w:szCs w:val="24"/>
        </w:rPr>
      </w:pPr>
      <w:r>
        <w:rPr>
          <w:rFonts w:ascii="Arial Black" w:hAnsi="Arial Black"/>
          <w:sz w:val="24"/>
          <w:szCs w:val="24"/>
        </w:rPr>
        <w:t>9-54</w:t>
      </w:r>
    </w:p>
    <w:p w14:paraId="48B264CC" w14:textId="77777777" w:rsidR="00066EA4" w:rsidRDefault="00066EA4" w:rsidP="008E25B6">
      <w:pPr>
        <w:rPr>
          <w:rFonts w:ascii="Arial Black" w:hAnsi="Arial Black"/>
          <w:b/>
          <w:sz w:val="28"/>
          <w:szCs w:val="28"/>
        </w:rPr>
      </w:pPr>
    </w:p>
    <w:p w14:paraId="34B19C75" w14:textId="30DA7B21" w:rsidR="008E25B6" w:rsidRPr="00363302" w:rsidRDefault="008E25B6" w:rsidP="008E25B6">
      <w:pPr>
        <w:rPr>
          <w:rFonts w:ascii="Arial Black" w:hAnsi="Arial Black"/>
          <w:b/>
          <w:sz w:val="28"/>
          <w:szCs w:val="28"/>
        </w:rPr>
      </w:pPr>
      <w:r>
        <w:rPr>
          <w:rFonts w:ascii="Arial Black" w:hAnsi="Arial Black"/>
          <w:b/>
          <w:sz w:val="28"/>
          <w:szCs w:val="28"/>
        </w:rPr>
        <w:t xml:space="preserve">FL: FF PERM. INJURIES – OFF DUTY MVA – NO LIGHT DUTY </w:t>
      </w:r>
    </w:p>
    <w:p w14:paraId="1CCC129E" w14:textId="77777777" w:rsidR="008E25B6" w:rsidRPr="00C07F42" w:rsidRDefault="008E25B6" w:rsidP="008E25B6">
      <w:pPr>
        <w:pStyle w:val="NoSpacing"/>
        <w:rPr>
          <w:rFonts w:ascii="Times New Roman" w:hAnsi="Times New Roman"/>
          <w:sz w:val="24"/>
          <w:szCs w:val="24"/>
        </w:rPr>
      </w:pPr>
      <w:r w:rsidRPr="00C07F42">
        <w:rPr>
          <w:rFonts w:ascii="Times New Roman" w:hAnsi="Times New Roman"/>
          <w:sz w:val="24"/>
          <w:szCs w:val="24"/>
        </w:rPr>
        <w:t xml:space="preserve">On June 23, 2025, in </w:t>
      </w:r>
      <w:r w:rsidRPr="00C07F42">
        <w:rPr>
          <w:rFonts w:ascii="Times New Roman" w:hAnsi="Times New Roman"/>
          <w:sz w:val="24"/>
          <w:szCs w:val="24"/>
          <w:u w:val="single"/>
        </w:rPr>
        <w:t>Jonathan Marshall v. Secretary of the Navy</w:t>
      </w:r>
      <w:r w:rsidRPr="00C07F42">
        <w:rPr>
          <w:rFonts w:ascii="Times New Roman" w:hAnsi="Times New Roman"/>
          <w:sz w:val="24"/>
          <w:szCs w:val="24"/>
        </w:rPr>
        <w:t xml:space="preserve">, the United State Court of Appeals, Eleventh Circuit (Atlanta) held (3 to 0; unpublished decision) that trial court properly granted summary judgment to the Navy. Because of a serious off duty automobile accident in May 2021, he suffered permanent brain and back injuries, and after a period of paid and unpaid leave was terminated in April 2022.  He claimed “gender discrimination” when the Navy allowed a female Captain, who suffered an on-duty accident, to do light duty clerical work for several months before she was able to return to “full duties” as a firefighter / EMT.  THE COURT HELD: “None of Marshall’s proffered evidence creates a triable issue of fact that the Navy discriminated against him based on his gender. Marshall’s supervisor’s isolated comments expressing disapproval of men receiving parental leave is divorced from the Navy’s decision to deny his light-duty request after he suffered traumatic injuries. That Marshall’s schedule was readjusted following the birth of his child—the very reason for which the schedule change was adopted in the first place—also does not show impermissible discrimination.” </w:t>
      </w:r>
    </w:p>
    <w:p w14:paraId="5BF2F045" w14:textId="77777777" w:rsidR="008E25B6" w:rsidRPr="00C07F42" w:rsidRDefault="008E25B6" w:rsidP="008E25B6">
      <w:pPr>
        <w:pStyle w:val="NoSpacing"/>
        <w:rPr>
          <w:rFonts w:ascii="Times New Roman" w:hAnsi="Times New Roman"/>
          <w:sz w:val="24"/>
          <w:szCs w:val="24"/>
        </w:rPr>
      </w:pPr>
      <w:hyperlink r:id="rId1694" w:history="1">
        <w:r w:rsidRPr="00C07F42">
          <w:rPr>
            <w:rStyle w:val="Hyperlink"/>
            <w:rFonts w:ascii="Times New Roman" w:hAnsi="Times New Roman"/>
            <w:sz w:val="24"/>
            <w:szCs w:val="24"/>
          </w:rPr>
          <w:t>https://cases.justia.com/federal/appellate-courts/ca11/24-12910/24-12910-2025-06-23.pdf?ts=1750690858</w:t>
        </w:r>
      </w:hyperlink>
      <w:r w:rsidRPr="00C07F42">
        <w:rPr>
          <w:rFonts w:ascii="Times New Roman" w:hAnsi="Times New Roman"/>
          <w:sz w:val="24"/>
          <w:szCs w:val="24"/>
        </w:rPr>
        <w:t xml:space="preserve"> </w:t>
      </w:r>
    </w:p>
    <w:p w14:paraId="15FA0CE5" w14:textId="77777777" w:rsidR="00456C91" w:rsidRPr="00C07F42" w:rsidRDefault="00456C91" w:rsidP="005C30A4">
      <w:pPr>
        <w:pStyle w:val="NoSpacing"/>
        <w:rPr>
          <w:rFonts w:ascii="Times New Roman" w:hAnsi="Times New Roman"/>
          <w:sz w:val="24"/>
          <w:szCs w:val="24"/>
        </w:rPr>
      </w:pPr>
    </w:p>
    <w:p w14:paraId="6615A5F5" w14:textId="77777777" w:rsidR="00C07F42" w:rsidRPr="00C07F42" w:rsidRDefault="00C07F42" w:rsidP="00C07F42">
      <w:pPr>
        <w:pStyle w:val="NoSpacing"/>
        <w:rPr>
          <w:rFonts w:ascii="Times New Roman" w:hAnsi="Times New Roman"/>
          <w:b/>
          <w:bCs/>
          <w:sz w:val="24"/>
          <w:szCs w:val="24"/>
        </w:rPr>
      </w:pPr>
      <w:r w:rsidRPr="00C07F42">
        <w:rPr>
          <w:rFonts w:ascii="Times New Roman" w:hAnsi="Times New Roman"/>
          <w:b/>
          <w:sz w:val="24"/>
          <w:szCs w:val="24"/>
        </w:rPr>
        <w:t xml:space="preserve">Legal lesson learned: Reasonable accommodation is required only if the employee can then perform the essential functions of the job. </w:t>
      </w:r>
    </w:p>
    <w:p w14:paraId="678C8D88" w14:textId="77777777" w:rsidR="00C07F42" w:rsidRPr="00C07F42" w:rsidRDefault="00C07F42" w:rsidP="00C07F42">
      <w:pPr>
        <w:rPr>
          <w:rFonts w:ascii="Times New Roman" w:hAnsi="Times New Roman"/>
          <w:bCs/>
          <w:sz w:val="24"/>
          <w:szCs w:val="24"/>
        </w:rPr>
      </w:pPr>
    </w:p>
    <w:p w14:paraId="6E69A617" w14:textId="77777777" w:rsidR="00C07F42" w:rsidRDefault="00C07F42" w:rsidP="005C30A4">
      <w:pPr>
        <w:pStyle w:val="NoSpacing"/>
        <w:rPr>
          <w:rFonts w:ascii="Arial Black" w:hAnsi="Arial Black"/>
          <w:sz w:val="24"/>
          <w:szCs w:val="24"/>
        </w:rPr>
      </w:pPr>
    </w:p>
    <w:p w14:paraId="22D9A007" w14:textId="6CDC2093" w:rsidR="009C7451" w:rsidRDefault="009C7451" w:rsidP="009C7451">
      <w:pPr>
        <w:pStyle w:val="NoSpacing"/>
        <w:rPr>
          <w:rFonts w:ascii="Arial Black" w:hAnsi="Arial Black"/>
          <w:sz w:val="24"/>
          <w:szCs w:val="24"/>
        </w:rPr>
      </w:pPr>
      <w:r>
        <w:rPr>
          <w:rFonts w:ascii="Arial Black" w:hAnsi="Arial Black"/>
          <w:sz w:val="24"/>
          <w:szCs w:val="24"/>
        </w:rPr>
        <w:t>9-53</w:t>
      </w:r>
    </w:p>
    <w:p w14:paraId="1175AF7F" w14:textId="77777777" w:rsidR="009C7451" w:rsidRDefault="009C7451" w:rsidP="005C30A4">
      <w:pPr>
        <w:pStyle w:val="NoSpacing"/>
        <w:rPr>
          <w:rFonts w:ascii="Arial Black" w:hAnsi="Arial Black"/>
          <w:sz w:val="24"/>
          <w:szCs w:val="24"/>
        </w:rPr>
      </w:pPr>
    </w:p>
    <w:p w14:paraId="57062C2D" w14:textId="77777777" w:rsidR="009C7451" w:rsidRDefault="009C7451" w:rsidP="005C30A4">
      <w:pPr>
        <w:pStyle w:val="NoSpacing"/>
        <w:rPr>
          <w:rFonts w:ascii="Arial Black" w:hAnsi="Arial Black"/>
          <w:sz w:val="24"/>
          <w:szCs w:val="24"/>
        </w:rPr>
      </w:pPr>
    </w:p>
    <w:p w14:paraId="7586FABA" w14:textId="2B998D43" w:rsidR="0069094F" w:rsidRPr="002100DB" w:rsidRDefault="0069094F" w:rsidP="0069094F">
      <w:pPr>
        <w:rPr>
          <w:rFonts w:ascii="Arial Black" w:hAnsi="Arial Black"/>
          <w:b/>
          <w:sz w:val="28"/>
          <w:szCs w:val="28"/>
        </w:rPr>
      </w:pPr>
      <w:r>
        <w:rPr>
          <w:rFonts w:ascii="Arial Black" w:hAnsi="Arial Black"/>
          <w:b/>
          <w:sz w:val="28"/>
          <w:szCs w:val="28"/>
        </w:rPr>
        <w:t>U.S. SUP. CT:  RETIRE</w:t>
      </w:r>
      <w:r w:rsidR="0051265E">
        <w:rPr>
          <w:rFonts w:ascii="Arial Black" w:hAnsi="Arial Black"/>
          <w:b/>
          <w:sz w:val="28"/>
          <w:szCs w:val="28"/>
        </w:rPr>
        <w:t>D</w:t>
      </w:r>
      <w:r>
        <w:rPr>
          <w:rFonts w:ascii="Arial Black" w:hAnsi="Arial Black"/>
          <w:b/>
          <w:sz w:val="28"/>
          <w:szCs w:val="28"/>
        </w:rPr>
        <w:t xml:space="preserve"> / PARKINSON’S – NO ADA</w:t>
      </w:r>
      <w:r w:rsidR="00F56294">
        <w:rPr>
          <w:rFonts w:ascii="Arial Black" w:hAnsi="Arial Black"/>
          <w:b/>
          <w:sz w:val="28"/>
          <w:szCs w:val="28"/>
        </w:rPr>
        <w:t xml:space="preserve"> VIOL</w:t>
      </w:r>
      <w:r>
        <w:rPr>
          <w:rFonts w:ascii="Arial Black" w:hAnsi="Arial Black"/>
          <w:b/>
          <w:sz w:val="28"/>
          <w:szCs w:val="28"/>
        </w:rPr>
        <w:t xml:space="preserve"> </w:t>
      </w:r>
      <w:r w:rsidR="002F270A">
        <w:rPr>
          <w:rFonts w:ascii="Arial Black" w:hAnsi="Arial Black"/>
          <w:b/>
          <w:sz w:val="28"/>
          <w:szCs w:val="28"/>
        </w:rPr>
        <w:t xml:space="preserve">ONLY </w:t>
      </w:r>
      <w:r>
        <w:rPr>
          <w:rFonts w:ascii="Arial Black" w:hAnsi="Arial Black"/>
          <w:b/>
          <w:sz w:val="28"/>
          <w:szCs w:val="28"/>
        </w:rPr>
        <w:t xml:space="preserve">2-YR </w:t>
      </w:r>
      <w:r w:rsidR="002F270A">
        <w:rPr>
          <w:rFonts w:ascii="Arial Black" w:hAnsi="Arial Black"/>
          <w:b/>
          <w:sz w:val="28"/>
          <w:szCs w:val="28"/>
        </w:rPr>
        <w:t xml:space="preserve">CITY </w:t>
      </w:r>
      <w:r>
        <w:rPr>
          <w:rFonts w:ascii="Arial Black" w:hAnsi="Arial Black"/>
          <w:b/>
          <w:sz w:val="28"/>
          <w:szCs w:val="28"/>
        </w:rPr>
        <w:t>INSUR</w:t>
      </w:r>
      <w:r w:rsidR="002F270A">
        <w:rPr>
          <w:rFonts w:ascii="Arial Black" w:hAnsi="Arial Black"/>
          <w:b/>
          <w:sz w:val="28"/>
          <w:szCs w:val="28"/>
        </w:rPr>
        <w:t>ANCE</w:t>
      </w:r>
    </w:p>
    <w:p w14:paraId="564DA748" w14:textId="77777777" w:rsidR="0069094F" w:rsidRPr="0004575D" w:rsidRDefault="0069094F" w:rsidP="0069094F">
      <w:pPr>
        <w:pStyle w:val="NoSpacing"/>
        <w:rPr>
          <w:rFonts w:ascii="Times New Roman" w:hAnsi="Times New Roman"/>
          <w:bCs/>
          <w:sz w:val="24"/>
          <w:szCs w:val="24"/>
        </w:rPr>
      </w:pPr>
      <w:r w:rsidRPr="0004575D">
        <w:rPr>
          <w:rFonts w:ascii="Times New Roman" w:hAnsi="Times New Roman"/>
          <w:sz w:val="24"/>
          <w:szCs w:val="24"/>
        </w:rPr>
        <w:t xml:space="preserve">On June 20, 2025, in </w:t>
      </w:r>
      <w:r w:rsidRPr="0004575D">
        <w:rPr>
          <w:rFonts w:ascii="Times New Roman" w:hAnsi="Times New Roman"/>
          <w:sz w:val="24"/>
          <w:szCs w:val="24"/>
          <w:u w:val="single"/>
        </w:rPr>
        <w:t>Karyn Stanley v. City of Sanford, Florida</w:t>
      </w:r>
      <w:r w:rsidRPr="0004575D">
        <w:rPr>
          <w:rFonts w:ascii="Times New Roman" w:hAnsi="Times New Roman"/>
          <w:sz w:val="24"/>
          <w:szCs w:val="24"/>
        </w:rPr>
        <w:t xml:space="preserve">, the United States Supreme Court held (7 to 2) that the lawsuit by retired firefighter was properly dismissed.  She was diagnosed in 2016 with Parkinson’s disease and after 19 years of service took disability retirement in 2018.  Her city insurance ran out in 2020.  When she retired, Stanley expected to continue receiving the City’s health insurance full subsidy until she turned 65 but learned that the City had changed the policy way back in 2003 for those retiring with less than 25 years.   Court agreed with U.S. District Court judge that ADA does not cover her since she does not meet the definition of a “qualified individual” under the ADA –  ADA protection is limited to active employees or applicants.  THE COURT HELD: “To sum up, we hold that, to prevail under §12112(a), a plaintiff must plead and prove that she held or desired a </w:t>
      </w:r>
      <w:proofErr w:type="gramStart"/>
      <w:r w:rsidRPr="0004575D">
        <w:rPr>
          <w:rFonts w:ascii="Times New Roman" w:hAnsi="Times New Roman"/>
          <w:sz w:val="24"/>
          <w:szCs w:val="24"/>
        </w:rPr>
        <w:t>job, and</w:t>
      </w:r>
      <w:proofErr w:type="gramEnd"/>
      <w:r w:rsidRPr="0004575D">
        <w:rPr>
          <w:rFonts w:ascii="Times New Roman" w:hAnsi="Times New Roman"/>
          <w:sz w:val="24"/>
          <w:szCs w:val="24"/>
        </w:rPr>
        <w:t xml:space="preserve"> could perform its essential functions with or without reasonable accommodation, at the time of an employer’s alleged act of disability-based discrimination.” </w:t>
      </w:r>
    </w:p>
    <w:p w14:paraId="7C175CC7" w14:textId="77777777" w:rsidR="0069094F" w:rsidRPr="0004575D" w:rsidRDefault="0069094F" w:rsidP="0069094F">
      <w:pPr>
        <w:rPr>
          <w:rFonts w:ascii="Times New Roman" w:hAnsi="Times New Roman"/>
          <w:bCs/>
          <w:sz w:val="24"/>
          <w:szCs w:val="24"/>
        </w:rPr>
      </w:pPr>
      <w:hyperlink r:id="rId1695" w:history="1">
        <w:r w:rsidRPr="0004575D">
          <w:rPr>
            <w:rStyle w:val="Hyperlink"/>
            <w:rFonts w:ascii="Times New Roman" w:hAnsi="Times New Roman"/>
            <w:sz w:val="24"/>
            <w:szCs w:val="24"/>
          </w:rPr>
          <w:t>https://www.supremecourt.gov/opinions/24pdf/23-997_6579.pdf</w:t>
        </w:r>
      </w:hyperlink>
      <w:r w:rsidRPr="0004575D">
        <w:rPr>
          <w:rFonts w:ascii="Times New Roman" w:hAnsi="Times New Roman"/>
          <w:sz w:val="24"/>
          <w:szCs w:val="24"/>
        </w:rPr>
        <w:t xml:space="preserve"> </w:t>
      </w:r>
    </w:p>
    <w:p w14:paraId="49462F71" w14:textId="77777777" w:rsidR="0004575D" w:rsidRPr="0004575D" w:rsidRDefault="0004575D" w:rsidP="0004575D">
      <w:pPr>
        <w:pStyle w:val="NoSpacing"/>
        <w:rPr>
          <w:rFonts w:ascii="Times New Roman" w:hAnsi="Times New Roman"/>
          <w:b/>
          <w:sz w:val="24"/>
          <w:szCs w:val="24"/>
        </w:rPr>
      </w:pPr>
      <w:r w:rsidRPr="0004575D">
        <w:rPr>
          <w:rFonts w:ascii="Times New Roman" w:hAnsi="Times New Roman"/>
          <w:b/>
          <w:sz w:val="24"/>
          <w:szCs w:val="24"/>
        </w:rPr>
        <w:t>Legal lesson learned:  Perhaps this decision will lead Congress to clarify the ADA claims filed by retirees.</w:t>
      </w:r>
    </w:p>
    <w:p w14:paraId="2496DCB7" w14:textId="77777777" w:rsidR="0004575D" w:rsidRPr="0004575D" w:rsidRDefault="0004575D" w:rsidP="0004575D">
      <w:pPr>
        <w:rPr>
          <w:rFonts w:ascii="Times New Roman" w:hAnsi="Times New Roman"/>
          <w:bCs/>
          <w:sz w:val="24"/>
          <w:szCs w:val="24"/>
        </w:rPr>
      </w:pPr>
    </w:p>
    <w:p w14:paraId="494C8BE6" w14:textId="77777777" w:rsidR="00456C91" w:rsidRDefault="00456C91" w:rsidP="005C30A4">
      <w:pPr>
        <w:pStyle w:val="NoSpacing"/>
        <w:rPr>
          <w:rFonts w:ascii="Arial Black" w:hAnsi="Arial Black"/>
          <w:sz w:val="24"/>
          <w:szCs w:val="24"/>
        </w:rPr>
      </w:pPr>
    </w:p>
    <w:p w14:paraId="5FE38A9E" w14:textId="453A3596" w:rsidR="009C7451" w:rsidRDefault="009C7451" w:rsidP="009C7451">
      <w:pPr>
        <w:pStyle w:val="NoSpacing"/>
        <w:rPr>
          <w:rFonts w:ascii="Arial Black" w:hAnsi="Arial Black"/>
          <w:sz w:val="24"/>
          <w:szCs w:val="24"/>
        </w:rPr>
      </w:pPr>
      <w:r>
        <w:rPr>
          <w:rFonts w:ascii="Arial Black" w:hAnsi="Arial Black"/>
          <w:sz w:val="24"/>
          <w:szCs w:val="24"/>
        </w:rPr>
        <w:t>9-52</w:t>
      </w:r>
    </w:p>
    <w:p w14:paraId="1E989D9E" w14:textId="77777777" w:rsidR="009C7451" w:rsidRDefault="009C7451" w:rsidP="005C30A4">
      <w:pPr>
        <w:pStyle w:val="NoSpacing"/>
        <w:rPr>
          <w:rFonts w:ascii="Arial Black" w:hAnsi="Arial Black"/>
          <w:sz w:val="24"/>
          <w:szCs w:val="24"/>
        </w:rPr>
      </w:pPr>
    </w:p>
    <w:p w14:paraId="288346C1" w14:textId="77777777" w:rsidR="009C7451" w:rsidRDefault="009C7451" w:rsidP="005C30A4">
      <w:pPr>
        <w:pStyle w:val="NoSpacing"/>
        <w:rPr>
          <w:rFonts w:ascii="Arial Black" w:hAnsi="Arial Black"/>
          <w:sz w:val="24"/>
          <w:szCs w:val="24"/>
        </w:rPr>
      </w:pPr>
    </w:p>
    <w:p w14:paraId="6E683485" w14:textId="77777777" w:rsidR="00EC5A2A" w:rsidRPr="00B73C35" w:rsidRDefault="00EC5A2A" w:rsidP="00EC5A2A">
      <w:pPr>
        <w:rPr>
          <w:rFonts w:ascii="Arial Black" w:hAnsi="Arial Black"/>
          <w:bCs/>
          <w:sz w:val="28"/>
          <w:szCs w:val="28"/>
        </w:rPr>
      </w:pPr>
      <w:r>
        <w:rPr>
          <w:rFonts w:ascii="Arial Black" w:hAnsi="Arial Black"/>
          <w:sz w:val="28"/>
          <w:szCs w:val="28"/>
        </w:rPr>
        <w:t xml:space="preserve">NY: COVID – RELIGION EXECPTION DENIED / FAIR PROCESS </w:t>
      </w:r>
    </w:p>
    <w:p w14:paraId="48FE825A" w14:textId="2EB3C1E3" w:rsidR="00456C91" w:rsidRPr="00C01718" w:rsidRDefault="00EC5A2A" w:rsidP="00EC5A2A">
      <w:pPr>
        <w:pStyle w:val="NoSpacing"/>
        <w:rPr>
          <w:rFonts w:ascii="Times New Roman" w:hAnsi="Times New Roman"/>
          <w:sz w:val="24"/>
          <w:szCs w:val="24"/>
        </w:rPr>
      </w:pPr>
      <w:r w:rsidRPr="00C01718">
        <w:rPr>
          <w:rFonts w:ascii="Times New Roman" w:hAnsi="Times New Roman"/>
          <w:sz w:val="24"/>
          <w:szCs w:val="24"/>
        </w:rPr>
        <w:t xml:space="preserve">On June 18, 2025, </w:t>
      </w:r>
      <w:r w:rsidRPr="00C01718">
        <w:rPr>
          <w:rFonts w:ascii="Times New Roman" w:hAnsi="Times New Roman"/>
          <w:sz w:val="24"/>
          <w:szCs w:val="24"/>
          <w:u w:val="single"/>
        </w:rPr>
        <w:t>In the Matter of Brian Smith v. New York City Fire Department, et al</w:t>
      </w:r>
      <w:r w:rsidRPr="00C01718">
        <w:rPr>
          <w:rFonts w:ascii="Times New Roman" w:hAnsi="Times New Roman"/>
          <w:sz w:val="24"/>
          <w:szCs w:val="24"/>
        </w:rPr>
        <w:t>.,</w:t>
      </w:r>
      <w:r w:rsidRPr="00C01718">
        <w:rPr>
          <w:rFonts w:ascii="Times New Roman" w:hAnsi="Times New Roman"/>
          <w:b/>
          <w:sz w:val="24"/>
          <w:szCs w:val="24"/>
        </w:rPr>
        <w:t xml:space="preserve"> </w:t>
      </w:r>
      <w:r w:rsidRPr="00C01718">
        <w:rPr>
          <w:rFonts w:ascii="Times New Roman" w:hAnsi="Times New Roman"/>
          <w:sz w:val="24"/>
          <w:szCs w:val="24"/>
        </w:rPr>
        <w:t xml:space="preserve">the Supreme Court of New York, Second Department, held (4 to 0) that trial court improperly reinstated the firefighter, awarded him back pay and attorney fees.  The firefighter was placed on unpaid leave on Nov. 1, </w:t>
      </w:r>
      <w:proofErr w:type="gramStart"/>
      <w:r w:rsidRPr="00C01718">
        <w:rPr>
          <w:rFonts w:ascii="Times New Roman" w:hAnsi="Times New Roman"/>
          <w:sz w:val="24"/>
          <w:szCs w:val="24"/>
        </w:rPr>
        <w:t>2021</w:t>
      </w:r>
      <w:proofErr w:type="gramEnd"/>
      <w:r w:rsidRPr="00C01718">
        <w:rPr>
          <w:rFonts w:ascii="Times New Roman" w:hAnsi="Times New Roman"/>
          <w:sz w:val="24"/>
          <w:szCs w:val="24"/>
        </w:rPr>
        <w:t xml:space="preserve"> for refusing to get vaccinated, and retired July 13, </w:t>
      </w:r>
      <w:proofErr w:type="gramStart"/>
      <w:r w:rsidRPr="00C01718">
        <w:rPr>
          <w:rFonts w:ascii="Times New Roman" w:hAnsi="Times New Roman"/>
          <w:sz w:val="24"/>
          <w:szCs w:val="24"/>
        </w:rPr>
        <w:t>2022</w:t>
      </w:r>
      <w:proofErr w:type="gramEnd"/>
      <w:r w:rsidRPr="00C01718">
        <w:rPr>
          <w:rFonts w:ascii="Times New Roman" w:hAnsi="Times New Roman"/>
          <w:sz w:val="24"/>
          <w:szCs w:val="24"/>
        </w:rPr>
        <w:t xml:space="preserve"> when his appeal was denied  by the City of New York Reasonable Accommodation Appeals Panel.   THE COURT HELD: </w:t>
      </w:r>
      <w:r w:rsidRPr="00C01718">
        <w:rPr>
          <w:rFonts w:ascii="Times New Roman" w:hAnsi="Times New Roman"/>
          <w:b/>
          <w:sz w:val="24"/>
          <w:szCs w:val="24"/>
        </w:rPr>
        <w:t>“</w:t>
      </w:r>
      <w:r w:rsidRPr="00C01718">
        <w:rPr>
          <w:rFonts w:ascii="Times New Roman" w:hAnsi="Times New Roman"/>
          <w:sz w:val="24"/>
          <w:szCs w:val="24"/>
        </w:rPr>
        <w:t xml:space="preserve">Here, the petitioner failed to demonstrate that the appellants' process for resolving requests for a reasonable accommodation from the vaccine mandate did not meet the requirements of the NYCHRL regarding cooperative dialogue…. The appellants provided information on the process for reviewing accommodation requests related to the vaccine mandate and informed employees on how to appeal request denials. The record demonstrates that the petitioner availed himself of this process. The record also shows that there were multiple communications between the petitioner, the FDNY, and the Panel regarding the petitioner's accommodation request. The petitioner failed to establish that, under the unique circumstances present at the time of the vaccine mandate, the NYCHRL required a more robust or individualized dialogue.”  </w:t>
      </w:r>
      <w:hyperlink r:id="rId1696" w:history="1">
        <w:r w:rsidRPr="00C01718">
          <w:rPr>
            <w:rStyle w:val="Hyperlink"/>
            <w:rFonts w:ascii="Times New Roman" w:hAnsi="Times New Roman"/>
            <w:sz w:val="24"/>
            <w:szCs w:val="24"/>
          </w:rPr>
          <w:t>https://public.fastcase.com/jaEE2PXzRXmZ99jOLMt1Ipey3nn80Qzm5FjlczUETsDTuQT39ugB8joG6QHEs86OG3nGrKzxwZV4%2Fla6pLxdspdlDpATTrpmmFlVcXapI1M%3D?utm_medium=email&amp;_hsenc=p2ANqtz-8lwnqzIFsmVJzuahWcWVuNvva5eg1m46jktTnS1rNp1Tgpui8ycBPAblsV379ZnZFl8lWnb4zQm5QdddO-2g4KXoMSJQ&amp;_hsmi=226712652&amp;utm_content=226712652&amp;utm_source=hs_email</w:t>
        </w:r>
      </w:hyperlink>
    </w:p>
    <w:p w14:paraId="13320DEE" w14:textId="77777777" w:rsidR="00C01718" w:rsidRPr="00C01718" w:rsidRDefault="00C01718" w:rsidP="00EC5A2A">
      <w:pPr>
        <w:pStyle w:val="NoSpacing"/>
        <w:rPr>
          <w:rFonts w:ascii="Times New Roman" w:hAnsi="Times New Roman"/>
          <w:sz w:val="24"/>
          <w:szCs w:val="24"/>
        </w:rPr>
      </w:pPr>
    </w:p>
    <w:p w14:paraId="5992F85B" w14:textId="77777777" w:rsidR="00C01718" w:rsidRPr="00C01718" w:rsidRDefault="00C01718" w:rsidP="00C01718">
      <w:pPr>
        <w:rPr>
          <w:rFonts w:ascii="Times New Roman" w:hAnsi="Times New Roman"/>
          <w:b/>
          <w:bCs/>
          <w:sz w:val="24"/>
          <w:szCs w:val="24"/>
        </w:rPr>
      </w:pPr>
      <w:r w:rsidRPr="00C01718">
        <w:rPr>
          <w:rFonts w:ascii="Times New Roman" w:hAnsi="Times New Roman"/>
          <w:b/>
          <w:sz w:val="24"/>
          <w:szCs w:val="24"/>
        </w:rPr>
        <w:t xml:space="preserve">Legal lesson learned: FDNY provided the firefighter with fair COVID vaccination appeal </w:t>
      </w:r>
      <w:r w:rsidRPr="00C01718">
        <w:rPr>
          <w:rFonts w:ascii="Times New Roman" w:hAnsi="Times New Roman"/>
          <w:b/>
          <w:bCs/>
          <w:sz w:val="24"/>
          <w:szCs w:val="24"/>
        </w:rPr>
        <w:t>process.</w:t>
      </w:r>
    </w:p>
    <w:p w14:paraId="615373EB" w14:textId="77777777" w:rsidR="00C01718" w:rsidRDefault="00C01718" w:rsidP="00EC5A2A">
      <w:pPr>
        <w:pStyle w:val="NoSpacing"/>
        <w:rPr>
          <w:rFonts w:ascii="Arial Black" w:hAnsi="Arial Black"/>
          <w:sz w:val="24"/>
          <w:szCs w:val="24"/>
        </w:rPr>
      </w:pPr>
    </w:p>
    <w:p w14:paraId="0A29B256" w14:textId="41B2171F" w:rsidR="009C7451" w:rsidRDefault="009C7451" w:rsidP="009C7451">
      <w:pPr>
        <w:pStyle w:val="NoSpacing"/>
        <w:rPr>
          <w:rFonts w:ascii="Arial Black" w:hAnsi="Arial Black"/>
          <w:sz w:val="24"/>
          <w:szCs w:val="24"/>
        </w:rPr>
      </w:pPr>
      <w:r>
        <w:rPr>
          <w:rFonts w:ascii="Arial Black" w:hAnsi="Arial Black"/>
          <w:sz w:val="24"/>
          <w:szCs w:val="24"/>
        </w:rPr>
        <w:t>9-51</w:t>
      </w:r>
    </w:p>
    <w:p w14:paraId="0874F6B8" w14:textId="77777777" w:rsidR="009C7451" w:rsidRDefault="009C7451" w:rsidP="005C30A4">
      <w:pPr>
        <w:pStyle w:val="NoSpacing"/>
        <w:rPr>
          <w:rFonts w:ascii="Arial Black" w:hAnsi="Arial Black"/>
          <w:sz w:val="24"/>
          <w:szCs w:val="24"/>
        </w:rPr>
      </w:pPr>
    </w:p>
    <w:p w14:paraId="6CBAD97C" w14:textId="77777777" w:rsidR="00475136" w:rsidRPr="0009639F" w:rsidRDefault="00475136" w:rsidP="00475136">
      <w:pPr>
        <w:rPr>
          <w:rFonts w:ascii="Arial Black" w:hAnsi="Arial Black"/>
          <w:b/>
          <w:sz w:val="28"/>
          <w:szCs w:val="28"/>
        </w:rPr>
      </w:pPr>
      <w:r>
        <w:rPr>
          <w:rFonts w:ascii="Arial Black" w:hAnsi="Arial Black"/>
          <w:b/>
          <w:sz w:val="28"/>
          <w:szCs w:val="28"/>
        </w:rPr>
        <w:t xml:space="preserve">NY: COVID – NO WK TESTING – FDNY “UNDUE HARDSHIP” </w:t>
      </w:r>
    </w:p>
    <w:p w14:paraId="57365A5D" w14:textId="77777777" w:rsidR="00475136" w:rsidRPr="009C7451" w:rsidRDefault="00475136" w:rsidP="00475136">
      <w:pPr>
        <w:pStyle w:val="NoSpacing"/>
        <w:rPr>
          <w:rFonts w:ascii="Times New Roman" w:hAnsi="Times New Roman"/>
          <w:sz w:val="24"/>
          <w:szCs w:val="24"/>
        </w:rPr>
      </w:pPr>
      <w:r w:rsidRPr="009C7451">
        <w:rPr>
          <w:rFonts w:ascii="Times New Roman" w:hAnsi="Times New Roman"/>
          <w:sz w:val="24"/>
          <w:szCs w:val="24"/>
        </w:rPr>
        <w:t xml:space="preserve">On June 17, 2025, in </w:t>
      </w:r>
      <w:r w:rsidRPr="009C7451">
        <w:rPr>
          <w:rFonts w:ascii="Times New Roman" w:hAnsi="Times New Roman"/>
          <w:sz w:val="24"/>
          <w:szCs w:val="24"/>
          <w:u w:val="single"/>
        </w:rPr>
        <w:t>Javier Vasquez v. City of New York</w:t>
      </w:r>
      <w:r w:rsidRPr="009C7451">
        <w:rPr>
          <w:rFonts w:ascii="Times New Roman" w:hAnsi="Times New Roman"/>
          <w:sz w:val="24"/>
          <w:szCs w:val="24"/>
        </w:rPr>
        <w:t xml:space="preserve">, U.S. District Court Judge Hector Gonzalez reconfirmed his June 2, </w:t>
      </w:r>
      <w:proofErr w:type="gramStart"/>
      <w:r w:rsidRPr="009C7451">
        <w:rPr>
          <w:rFonts w:ascii="Times New Roman" w:hAnsi="Times New Roman"/>
          <w:sz w:val="24"/>
          <w:szCs w:val="24"/>
        </w:rPr>
        <w:t>2025</w:t>
      </w:r>
      <w:proofErr w:type="gramEnd"/>
      <w:r w:rsidRPr="009C7451">
        <w:rPr>
          <w:rFonts w:ascii="Times New Roman" w:hAnsi="Times New Roman"/>
          <w:sz w:val="24"/>
          <w:szCs w:val="24"/>
        </w:rPr>
        <w:t xml:space="preserve"> decision which denied summary judgment for both the firefighter </w:t>
      </w:r>
      <w:proofErr w:type="gramStart"/>
      <w:r w:rsidRPr="009C7451">
        <w:rPr>
          <w:rFonts w:ascii="Times New Roman" w:hAnsi="Times New Roman"/>
          <w:sz w:val="24"/>
          <w:szCs w:val="24"/>
        </w:rPr>
        <w:t>and also</w:t>
      </w:r>
      <w:proofErr w:type="gramEnd"/>
      <w:r w:rsidRPr="009C7451">
        <w:rPr>
          <w:rFonts w:ascii="Times New Roman" w:hAnsi="Times New Roman"/>
          <w:sz w:val="24"/>
          <w:szCs w:val="24"/>
        </w:rPr>
        <w:t xml:space="preserve"> the </w:t>
      </w:r>
      <w:proofErr w:type="gramStart"/>
      <w:r w:rsidRPr="009C7451">
        <w:rPr>
          <w:rFonts w:ascii="Times New Roman" w:hAnsi="Times New Roman"/>
          <w:sz w:val="24"/>
          <w:szCs w:val="24"/>
        </w:rPr>
        <w:t>City</w:t>
      </w:r>
      <w:proofErr w:type="gramEnd"/>
      <w:r w:rsidRPr="009C7451">
        <w:rPr>
          <w:rFonts w:ascii="Times New Roman" w:hAnsi="Times New Roman"/>
          <w:sz w:val="24"/>
          <w:szCs w:val="24"/>
        </w:rPr>
        <w:t>.  He again held that a jury should decide whether it was an “undue hardship” for FDNY to weekly test firefighters who refused to be vaccinated.  THE COURT HELD: “As the Court previously explained, the ‘evidence shows that the FDNY undertook some individualized consideration of Plaintiff’s request,’ referring to testimony in which the FDNY’s Assistant Commissioner of Equal Employment Opportunity Don Nguyen testified that Plaintiff, in his light-duty role, worked in an environment ‘staffed with dozens of folks sitting in a room . . . working with each other and working with other agencies.’ … Notably, Plaintiff fails to grapple with this. And there is more, such as a declaration from Mr. Nguyen submitted in Plaintiff’s state court case in which he explained that the FDNY considered that Plaintiff was ‘a certified first responder who would respond not only to fires but [also] medical emergencies with vulnerable populations of people.”</w:t>
      </w:r>
      <w:hyperlink r:id="rId1697" w:history="1">
        <w:r w:rsidRPr="009C7451">
          <w:rPr>
            <w:rStyle w:val="Hyperlink"/>
            <w:rFonts w:ascii="Times New Roman" w:hAnsi="Times New Roman"/>
            <w:sz w:val="24"/>
            <w:szCs w:val="24"/>
          </w:rPr>
          <w:t>https://www.govinfo.gov/content/pkg/USCOURTS-nyed-1_22-cv-05068/pdf/USCOURTS-nyed-1_22-cv-05068-3.pdf</w:t>
        </w:r>
      </w:hyperlink>
      <w:r w:rsidRPr="009C7451">
        <w:rPr>
          <w:rFonts w:ascii="Times New Roman" w:hAnsi="Times New Roman"/>
          <w:sz w:val="24"/>
          <w:szCs w:val="24"/>
        </w:rPr>
        <w:t xml:space="preserve"> </w:t>
      </w:r>
    </w:p>
    <w:p w14:paraId="46D34062" w14:textId="77777777" w:rsidR="00475136" w:rsidRPr="009C7451" w:rsidRDefault="00475136" w:rsidP="005C30A4">
      <w:pPr>
        <w:pStyle w:val="NoSpacing"/>
        <w:rPr>
          <w:rFonts w:ascii="Times New Roman" w:hAnsi="Times New Roman"/>
          <w:sz w:val="24"/>
          <w:szCs w:val="24"/>
        </w:rPr>
      </w:pPr>
    </w:p>
    <w:p w14:paraId="6B70AA61" w14:textId="77777777" w:rsidR="009C7451" w:rsidRPr="009C7451" w:rsidRDefault="009C7451" w:rsidP="009C7451">
      <w:pPr>
        <w:pStyle w:val="NoSpacing"/>
        <w:rPr>
          <w:rFonts w:ascii="Times New Roman" w:hAnsi="Times New Roman"/>
          <w:b/>
          <w:bCs/>
          <w:sz w:val="24"/>
          <w:szCs w:val="24"/>
        </w:rPr>
      </w:pPr>
      <w:r w:rsidRPr="009C7451">
        <w:rPr>
          <w:rFonts w:ascii="Times New Roman" w:hAnsi="Times New Roman"/>
          <w:b/>
          <w:sz w:val="24"/>
          <w:szCs w:val="24"/>
        </w:rPr>
        <w:t>Legal lesson learned: The City has a strong “undue hardship” defense if this case goes to trial.</w:t>
      </w:r>
    </w:p>
    <w:p w14:paraId="5C4545F8" w14:textId="77777777" w:rsidR="009C7451" w:rsidRPr="009C7451" w:rsidRDefault="009C7451" w:rsidP="009C7451">
      <w:pPr>
        <w:pStyle w:val="NoSpacing"/>
        <w:rPr>
          <w:rFonts w:ascii="Times New Roman" w:hAnsi="Times New Roman"/>
          <w:b/>
          <w:bCs/>
          <w:sz w:val="24"/>
          <w:szCs w:val="24"/>
        </w:rPr>
      </w:pPr>
    </w:p>
    <w:p w14:paraId="689A2950" w14:textId="77777777" w:rsidR="009C7451" w:rsidRPr="009C7451" w:rsidRDefault="009C7451" w:rsidP="009C7451">
      <w:pPr>
        <w:pStyle w:val="NoSpacing"/>
        <w:ind w:left="720"/>
        <w:rPr>
          <w:rFonts w:ascii="Times New Roman" w:hAnsi="Times New Roman"/>
          <w:bCs/>
          <w:sz w:val="24"/>
          <w:szCs w:val="24"/>
        </w:rPr>
      </w:pPr>
      <w:r w:rsidRPr="009C7451">
        <w:rPr>
          <w:rFonts w:ascii="Times New Roman" w:hAnsi="Times New Roman"/>
          <w:sz w:val="24"/>
          <w:szCs w:val="24"/>
        </w:rPr>
        <w:t xml:space="preserve">Note: See Aug. 28, </w:t>
      </w:r>
      <w:proofErr w:type="gramStart"/>
      <w:r w:rsidRPr="009C7451">
        <w:rPr>
          <w:rFonts w:ascii="Times New Roman" w:hAnsi="Times New Roman"/>
          <w:sz w:val="24"/>
          <w:szCs w:val="24"/>
        </w:rPr>
        <w:t>2022</w:t>
      </w:r>
      <w:proofErr w:type="gramEnd"/>
      <w:r w:rsidRPr="009C7451">
        <w:rPr>
          <w:rFonts w:ascii="Times New Roman" w:hAnsi="Times New Roman"/>
          <w:sz w:val="24"/>
          <w:szCs w:val="24"/>
        </w:rPr>
        <w:t xml:space="preserve"> article, “Unvaccinated FDNY Firefighters Poised to be Fired Unless they roll up their sleeves, 70 FDNY firefighters have been notified they won't be responding.”</w:t>
      </w:r>
    </w:p>
    <w:p w14:paraId="7D2FC351" w14:textId="77777777" w:rsidR="009C7451" w:rsidRPr="009C7451" w:rsidRDefault="009C7451" w:rsidP="009C7451">
      <w:pPr>
        <w:pStyle w:val="NoSpacing"/>
        <w:ind w:left="720"/>
        <w:rPr>
          <w:rFonts w:ascii="Times New Roman" w:hAnsi="Times New Roman"/>
          <w:bCs/>
          <w:sz w:val="24"/>
          <w:szCs w:val="24"/>
        </w:rPr>
      </w:pPr>
    </w:p>
    <w:p w14:paraId="2C64F1CA" w14:textId="77777777" w:rsidR="009C7451" w:rsidRPr="009C7451" w:rsidRDefault="009C7451" w:rsidP="009C7451">
      <w:pPr>
        <w:pStyle w:val="NoSpacing"/>
        <w:ind w:left="720"/>
        <w:rPr>
          <w:rFonts w:ascii="Times New Roman" w:hAnsi="Times New Roman"/>
          <w:b/>
          <w:sz w:val="24"/>
          <w:szCs w:val="24"/>
        </w:rPr>
      </w:pPr>
      <w:r w:rsidRPr="009C7451">
        <w:rPr>
          <w:rFonts w:ascii="Times New Roman" w:hAnsi="Times New Roman"/>
          <w:sz w:val="24"/>
          <w:szCs w:val="24"/>
        </w:rPr>
        <w:t xml:space="preserve">See Feb. 15, </w:t>
      </w:r>
      <w:proofErr w:type="gramStart"/>
      <w:r w:rsidRPr="009C7451">
        <w:rPr>
          <w:rFonts w:ascii="Times New Roman" w:hAnsi="Times New Roman"/>
          <w:sz w:val="24"/>
          <w:szCs w:val="24"/>
        </w:rPr>
        <w:t>2022</w:t>
      </w:r>
      <w:proofErr w:type="gramEnd"/>
      <w:r w:rsidRPr="009C7451">
        <w:rPr>
          <w:rFonts w:ascii="Times New Roman" w:hAnsi="Times New Roman"/>
          <w:sz w:val="24"/>
          <w:szCs w:val="24"/>
        </w:rPr>
        <w:t xml:space="preserve"> article, “Nearly 1,500 NYC municipal workers fired for not being vaccinated against COVID.”</w:t>
      </w:r>
      <w:r w:rsidRPr="009C7451">
        <w:rPr>
          <w:rFonts w:ascii="Times New Roman" w:hAnsi="Times New Roman"/>
          <w:b/>
          <w:sz w:val="24"/>
          <w:szCs w:val="24"/>
        </w:rPr>
        <w:t xml:space="preserve">  </w:t>
      </w:r>
      <w:hyperlink r:id="rId1698" w:history="1">
        <w:r w:rsidRPr="009C7451">
          <w:rPr>
            <w:rStyle w:val="Hyperlink"/>
            <w:rFonts w:ascii="Times New Roman" w:hAnsi="Times New Roman"/>
            <w:b/>
            <w:sz w:val="24"/>
            <w:szCs w:val="24"/>
          </w:rPr>
          <w:t>https://abcnews.go.com/Health/1500-nyc-municipal-workers-fired-vaccinated-covid/story?id=82900617</w:t>
        </w:r>
      </w:hyperlink>
      <w:r w:rsidRPr="009C7451">
        <w:rPr>
          <w:rFonts w:ascii="Times New Roman" w:hAnsi="Times New Roman"/>
          <w:b/>
          <w:sz w:val="24"/>
          <w:szCs w:val="24"/>
        </w:rPr>
        <w:t xml:space="preserve"> </w:t>
      </w:r>
    </w:p>
    <w:p w14:paraId="379C937F" w14:textId="77777777" w:rsidR="009C7451" w:rsidRPr="009C7451" w:rsidRDefault="009C7451" w:rsidP="009C7451">
      <w:pPr>
        <w:pStyle w:val="NoSpacing"/>
        <w:rPr>
          <w:rFonts w:ascii="Times New Roman" w:hAnsi="Times New Roman"/>
          <w:b/>
          <w:bCs/>
          <w:sz w:val="24"/>
          <w:szCs w:val="24"/>
        </w:rPr>
      </w:pPr>
    </w:p>
    <w:p w14:paraId="0CD3430F" w14:textId="77777777" w:rsidR="009C7451" w:rsidRPr="009C7451" w:rsidRDefault="009C7451" w:rsidP="009C7451">
      <w:pPr>
        <w:ind w:left="720"/>
        <w:rPr>
          <w:rFonts w:ascii="Times New Roman" w:hAnsi="Times New Roman"/>
          <w:b/>
          <w:sz w:val="24"/>
          <w:szCs w:val="24"/>
        </w:rPr>
      </w:pPr>
      <w:r w:rsidRPr="009C7451">
        <w:rPr>
          <w:rFonts w:ascii="Times New Roman" w:hAnsi="Times New Roman"/>
          <w:sz w:val="24"/>
          <w:szCs w:val="24"/>
        </w:rPr>
        <w:t xml:space="preserve">See EEOC guidance, “Enforcement Guidance on Reasonable Accommodation and Undue Hardship under the ADA.” </w:t>
      </w:r>
      <w:hyperlink r:id="rId1699" w:history="1">
        <w:r w:rsidRPr="009C7451">
          <w:rPr>
            <w:rStyle w:val="Hyperlink"/>
            <w:rFonts w:ascii="Times New Roman" w:hAnsi="Times New Roman"/>
            <w:sz w:val="24"/>
            <w:szCs w:val="24"/>
          </w:rPr>
          <w:t>https://www.eeoc.gov/laws/guidance/enforcement-guidance-reasonable-accommodation-and-undue-hardship-under-ada</w:t>
        </w:r>
      </w:hyperlink>
      <w:r w:rsidRPr="009C7451">
        <w:rPr>
          <w:rFonts w:ascii="Times New Roman" w:hAnsi="Times New Roman"/>
          <w:sz w:val="24"/>
          <w:szCs w:val="24"/>
        </w:rPr>
        <w:t xml:space="preserve"> </w:t>
      </w:r>
    </w:p>
    <w:p w14:paraId="1FC05AB6" w14:textId="77777777" w:rsidR="009C7451" w:rsidRPr="009C7451" w:rsidRDefault="009C7451" w:rsidP="009C7451">
      <w:pPr>
        <w:ind w:left="1440"/>
        <w:rPr>
          <w:rFonts w:ascii="Times New Roman" w:hAnsi="Times New Roman"/>
          <w:bCs/>
          <w:sz w:val="24"/>
          <w:szCs w:val="24"/>
        </w:rPr>
      </w:pPr>
      <w:r w:rsidRPr="009C7451">
        <w:rPr>
          <w:rFonts w:ascii="Times New Roman" w:hAnsi="Times New Roman"/>
          <w:sz w:val="24"/>
          <w:szCs w:val="24"/>
        </w:rPr>
        <w:t xml:space="preserve">“’Undue hardship’ means significant difficulty or expense and focuses on the resources and circumstances of the </w:t>
      </w:r>
      <w:proofErr w:type="gramStart"/>
      <w:r w:rsidRPr="009C7451">
        <w:rPr>
          <w:rFonts w:ascii="Times New Roman" w:hAnsi="Times New Roman"/>
          <w:sz w:val="24"/>
          <w:szCs w:val="24"/>
        </w:rPr>
        <w:t>particular employer</w:t>
      </w:r>
      <w:proofErr w:type="gramEnd"/>
      <w:r w:rsidRPr="009C7451">
        <w:rPr>
          <w:rFonts w:ascii="Times New Roman" w:hAnsi="Times New Roman"/>
          <w:sz w:val="24"/>
          <w:szCs w:val="24"/>
        </w:rPr>
        <w:t xml:space="preserve"> in relationship to the cost or difficulty of providing a specific accommodation. Undue hardship refers not only to financial difficulty, but to reasonable accommodations that are unduly extensive, substantial, or disruptive, or those that would fundamentally alter the nature or operation of the business.” </w:t>
      </w:r>
    </w:p>
    <w:p w14:paraId="679F75A2" w14:textId="77777777" w:rsidR="009C7451" w:rsidRPr="009C7451" w:rsidRDefault="009C7451" w:rsidP="005C30A4">
      <w:pPr>
        <w:pStyle w:val="NoSpacing"/>
        <w:rPr>
          <w:rFonts w:ascii="Times New Roman" w:hAnsi="Times New Roman"/>
          <w:sz w:val="24"/>
          <w:szCs w:val="24"/>
        </w:rPr>
      </w:pPr>
    </w:p>
    <w:p w14:paraId="77EA25D8" w14:textId="77777777" w:rsidR="00475136" w:rsidRDefault="00475136" w:rsidP="005C30A4">
      <w:pPr>
        <w:pStyle w:val="NoSpacing"/>
        <w:rPr>
          <w:rFonts w:ascii="Arial Black" w:hAnsi="Arial Black"/>
          <w:sz w:val="24"/>
          <w:szCs w:val="24"/>
        </w:rPr>
      </w:pPr>
    </w:p>
    <w:p w14:paraId="310ECAE7" w14:textId="77777777" w:rsidR="00456C91" w:rsidRDefault="00456C91" w:rsidP="005C30A4">
      <w:pPr>
        <w:pStyle w:val="NoSpacing"/>
        <w:rPr>
          <w:rFonts w:ascii="Arial Black" w:hAnsi="Arial Black"/>
          <w:sz w:val="24"/>
          <w:szCs w:val="24"/>
        </w:rPr>
      </w:pPr>
    </w:p>
    <w:p w14:paraId="4A721DED" w14:textId="0E035634" w:rsidR="001C7270" w:rsidRDefault="001C7270" w:rsidP="005C30A4">
      <w:pPr>
        <w:pStyle w:val="NoSpacing"/>
        <w:rPr>
          <w:rFonts w:ascii="Arial Black" w:hAnsi="Arial Black"/>
          <w:sz w:val="24"/>
          <w:szCs w:val="24"/>
        </w:rPr>
      </w:pPr>
      <w:r>
        <w:rPr>
          <w:rFonts w:ascii="Arial Black" w:hAnsi="Arial Black"/>
          <w:sz w:val="24"/>
          <w:szCs w:val="24"/>
        </w:rPr>
        <w:t>9-50</w:t>
      </w:r>
    </w:p>
    <w:p w14:paraId="24A8C7DB" w14:textId="77777777" w:rsidR="000408CA" w:rsidRDefault="000408CA" w:rsidP="005C30A4">
      <w:pPr>
        <w:pStyle w:val="NoSpacing"/>
        <w:rPr>
          <w:rFonts w:ascii="Arial Black" w:hAnsi="Arial Black"/>
          <w:sz w:val="24"/>
          <w:szCs w:val="24"/>
        </w:rPr>
      </w:pPr>
    </w:p>
    <w:p w14:paraId="79342861" w14:textId="77777777" w:rsidR="000408CA" w:rsidRPr="004737F6" w:rsidRDefault="000408CA" w:rsidP="000408CA">
      <w:pPr>
        <w:pStyle w:val="NoSpacing"/>
        <w:rPr>
          <w:rFonts w:ascii="Arial Black" w:hAnsi="Arial Black"/>
          <w:bCs/>
          <w:sz w:val="28"/>
          <w:szCs w:val="28"/>
        </w:rPr>
      </w:pPr>
      <w:r>
        <w:rPr>
          <w:rFonts w:ascii="Arial Black" w:hAnsi="Arial Black"/>
          <w:sz w:val="28"/>
          <w:szCs w:val="28"/>
        </w:rPr>
        <w:t xml:space="preserve">TX: HOSTILE WORK CLAIM - AGE, WEIGHT, PTSD </w:t>
      </w:r>
    </w:p>
    <w:p w14:paraId="60FE0D9E" w14:textId="77777777" w:rsidR="000408CA" w:rsidRDefault="000408CA" w:rsidP="000408CA">
      <w:pPr>
        <w:pStyle w:val="NoSpacing"/>
        <w:rPr>
          <w:bCs/>
        </w:rPr>
      </w:pPr>
    </w:p>
    <w:p w14:paraId="186027D1" w14:textId="77777777" w:rsidR="002C10A9" w:rsidRPr="002C10A9" w:rsidRDefault="002C10A9" w:rsidP="002C10A9">
      <w:pPr>
        <w:rPr>
          <w:rStyle w:val="Hyperlink"/>
          <w:rFonts w:ascii="Times New Roman" w:hAnsi="Times New Roman"/>
          <w:sz w:val="24"/>
          <w:szCs w:val="24"/>
        </w:rPr>
      </w:pPr>
      <w:r w:rsidRPr="002C10A9">
        <w:rPr>
          <w:rFonts w:ascii="Times New Roman" w:hAnsi="Times New Roman"/>
          <w:sz w:val="24"/>
          <w:szCs w:val="24"/>
        </w:rPr>
        <w:t xml:space="preserve">On Dec. 17, 2024, in </w:t>
      </w:r>
      <w:r w:rsidRPr="002C10A9">
        <w:rPr>
          <w:rFonts w:ascii="Times New Roman" w:hAnsi="Times New Roman"/>
          <w:sz w:val="24"/>
          <w:szCs w:val="24"/>
          <w:u w:val="single"/>
        </w:rPr>
        <w:t xml:space="preserve">Timothy B. </w:t>
      </w:r>
      <w:proofErr w:type="spellStart"/>
      <w:r w:rsidRPr="002C10A9">
        <w:rPr>
          <w:rFonts w:ascii="Times New Roman" w:hAnsi="Times New Roman"/>
          <w:sz w:val="24"/>
          <w:szCs w:val="24"/>
          <w:u w:val="single"/>
        </w:rPr>
        <w:t>Hauptrief</w:t>
      </w:r>
      <w:proofErr w:type="spellEnd"/>
      <w:r w:rsidRPr="002C10A9">
        <w:rPr>
          <w:rFonts w:ascii="Times New Roman" w:hAnsi="Times New Roman"/>
          <w:sz w:val="24"/>
          <w:szCs w:val="24"/>
          <w:u w:val="single"/>
        </w:rPr>
        <w:t xml:space="preserve"> v. Denver </w:t>
      </w:r>
      <w:proofErr w:type="spellStart"/>
      <w:r w:rsidRPr="002C10A9">
        <w:rPr>
          <w:rFonts w:ascii="Times New Roman" w:hAnsi="Times New Roman"/>
          <w:sz w:val="24"/>
          <w:szCs w:val="24"/>
          <w:u w:val="single"/>
        </w:rPr>
        <w:t>Teleford</w:t>
      </w:r>
      <w:proofErr w:type="spellEnd"/>
      <w:r w:rsidRPr="002C10A9">
        <w:rPr>
          <w:rFonts w:ascii="Times New Roman" w:hAnsi="Times New Roman"/>
          <w:sz w:val="24"/>
          <w:szCs w:val="24"/>
          <w:u w:val="single"/>
        </w:rPr>
        <w:t>, Fire Lieutenant, City of Converse, Texas</w:t>
      </w:r>
      <w:r w:rsidRPr="002C10A9">
        <w:rPr>
          <w:rFonts w:ascii="Times New Roman" w:hAnsi="Times New Roman"/>
          <w:sz w:val="24"/>
          <w:szCs w:val="24"/>
        </w:rPr>
        <w:t xml:space="preserve">, United States District Court Judge Fred Biery, U.S. District Court for Western District, San Antonio Division, held that lawsuit should proceed by the firefighter / paramedic’s claims under ADA and ADEA [Age Discrimination in Employment].  Plaintiff alleges that he suffered a hostile work environment due to his age, weight, and PTSD,  and also retaliation for complaining about lack of training.  </w:t>
      </w:r>
      <w:hyperlink r:id="rId1700" w:history="1">
        <w:r w:rsidRPr="002C10A9">
          <w:rPr>
            <w:rStyle w:val="Hyperlink"/>
            <w:rFonts w:ascii="Times New Roman" w:hAnsi="Times New Roman"/>
            <w:sz w:val="24"/>
            <w:szCs w:val="24"/>
          </w:rPr>
          <w:t>https://casetext.com/case/hauptrief-v-telford-1</w:t>
        </w:r>
      </w:hyperlink>
      <w:r w:rsidRPr="002C10A9">
        <w:rPr>
          <w:rStyle w:val="Hyperlink"/>
          <w:rFonts w:ascii="Times New Roman" w:hAnsi="Times New Roman"/>
          <w:sz w:val="24"/>
          <w:szCs w:val="24"/>
        </w:rPr>
        <w:t xml:space="preserve"> </w:t>
      </w:r>
    </w:p>
    <w:p w14:paraId="56010828" w14:textId="77777777" w:rsidR="002C10A9" w:rsidRDefault="002C10A9" w:rsidP="000408CA">
      <w:pPr>
        <w:pStyle w:val="NoSpacing"/>
        <w:rPr>
          <w:rFonts w:ascii="Times New Roman" w:hAnsi="Times New Roman"/>
          <w:sz w:val="24"/>
          <w:szCs w:val="24"/>
        </w:rPr>
      </w:pPr>
    </w:p>
    <w:p w14:paraId="0D5D5452" w14:textId="6D83026D" w:rsidR="000408CA" w:rsidRPr="000408CA" w:rsidRDefault="000408CA" w:rsidP="000408CA">
      <w:pPr>
        <w:pStyle w:val="NoSpacing"/>
        <w:rPr>
          <w:rFonts w:ascii="Times New Roman" w:hAnsi="Times New Roman"/>
          <w:bCs/>
          <w:sz w:val="24"/>
          <w:szCs w:val="24"/>
        </w:rPr>
      </w:pPr>
      <w:r w:rsidRPr="000408CA">
        <w:rPr>
          <w:rFonts w:ascii="Times New Roman" w:hAnsi="Times New Roman"/>
          <w:sz w:val="24"/>
          <w:szCs w:val="24"/>
        </w:rPr>
        <w:t>Judge Fred Biery wrote:</w:t>
      </w:r>
    </w:p>
    <w:p w14:paraId="5078932C" w14:textId="77777777" w:rsidR="000408CA" w:rsidRPr="000408CA" w:rsidRDefault="000408CA" w:rsidP="000408CA">
      <w:pPr>
        <w:pStyle w:val="NoSpacing"/>
        <w:ind w:left="720"/>
        <w:rPr>
          <w:rFonts w:ascii="Times New Roman" w:hAnsi="Times New Roman"/>
          <w:bCs/>
          <w:sz w:val="24"/>
          <w:szCs w:val="24"/>
        </w:rPr>
      </w:pPr>
    </w:p>
    <w:p w14:paraId="3CB2E077"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“Because no party has objected to the Magistrate Judge's Report and Recommendation, the Court need not conduct a de novo review…. The motion to dismiss the ADA and ADEA claims against the City of Converse, however, shall be denied.”</w:t>
      </w:r>
    </w:p>
    <w:p w14:paraId="355A1B22" w14:textId="77777777" w:rsidR="000408CA" w:rsidRPr="000408CA" w:rsidRDefault="000408CA" w:rsidP="000408CA">
      <w:pPr>
        <w:pStyle w:val="NoSpacing"/>
        <w:ind w:left="720"/>
        <w:rPr>
          <w:rFonts w:ascii="Times New Roman" w:hAnsi="Times New Roman"/>
          <w:sz w:val="24"/>
          <w:szCs w:val="24"/>
        </w:rPr>
      </w:pPr>
    </w:p>
    <w:p w14:paraId="5CCFC263"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w:t>
      </w:r>
    </w:p>
    <w:p w14:paraId="29614468"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 xml:space="preserve">[Magistrate Judge wrote: “Defendants' briefing discusses why Plaintiff's ADA and ADEA claims should be denied as to the individual </w:t>
      </w:r>
      <w:proofErr w:type="gramStart"/>
      <w:r w:rsidRPr="000408CA">
        <w:rPr>
          <w:rFonts w:ascii="Times New Roman" w:hAnsi="Times New Roman"/>
          <w:sz w:val="24"/>
          <w:szCs w:val="24"/>
        </w:rPr>
        <w:t>defendants,</w:t>
      </w:r>
      <w:proofErr w:type="gramEnd"/>
      <w:r w:rsidRPr="000408CA">
        <w:rPr>
          <w:rFonts w:ascii="Times New Roman" w:hAnsi="Times New Roman"/>
          <w:sz w:val="24"/>
          <w:szCs w:val="24"/>
        </w:rPr>
        <w:t xml:space="preserve"> the briefing fails to make </w:t>
      </w:r>
      <w:r w:rsidRPr="000408CA">
        <w:rPr>
          <w:rFonts w:ascii="Times New Roman" w:hAnsi="Times New Roman"/>
          <w:i/>
          <w:iCs/>
          <w:sz w:val="24"/>
          <w:szCs w:val="24"/>
        </w:rPr>
        <w:t>any</w:t>
      </w:r>
      <w:r w:rsidRPr="000408CA">
        <w:rPr>
          <w:rFonts w:ascii="Times New Roman" w:hAnsi="Times New Roman"/>
          <w:sz w:val="24"/>
          <w:szCs w:val="24"/>
        </w:rPr>
        <w:t xml:space="preserve"> argument as to why the ADA and ADEA claims against the </w:t>
      </w:r>
      <w:proofErr w:type="gramStart"/>
      <w:r w:rsidRPr="000408CA">
        <w:rPr>
          <w:rFonts w:ascii="Times New Roman" w:hAnsi="Times New Roman"/>
          <w:sz w:val="24"/>
          <w:szCs w:val="24"/>
        </w:rPr>
        <w:t>City</w:t>
      </w:r>
      <w:proofErr w:type="gramEnd"/>
      <w:r w:rsidRPr="000408CA">
        <w:rPr>
          <w:rFonts w:ascii="Times New Roman" w:hAnsi="Times New Roman"/>
          <w:sz w:val="24"/>
          <w:szCs w:val="24"/>
        </w:rPr>
        <w:t xml:space="preserve"> should be dismissed.”]</w:t>
      </w:r>
    </w:p>
    <w:p w14:paraId="138A079A" w14:textId="7CEC6054"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 xml:space="preserve"> </w:t>
      </w:r>
    </w:p>
    <w:p w14:paraId="1B17C02C" w14:textId="77777777" w:rsidR="000408CA" w:rsidRPr="000408CA" w:rsidRDefault="000408CA" w:rsidP="005C30A4">
      <w:pPr>
        <w:pStyle w:val="NoSpacing"/>
        <w:rPr>
          <w:rFonts w:ascii="Times New Roman" w:hAnsi="Times New Roman"/>
          <w:sz w:val="24"/>
          <w:szCs w:val="24"/>
        </w:rPr>
      </w:pPr>
    </w:p>
    <w:p w14:paraId="6AFB575A" w14:textId="77777777" w:rsidR="00113D38" w:rsidRPr="00113D38" w:rsidRDefault="00113D38" w:rsidP="00113D38">
      <w:pPr>
        <w:pStyle w:val="NoSpacing"/>
        <w:rPr>
          <w:rFonts w:ascii="Times New Roman" w:hAnsi="Times New Roman"/>
          <w:sz w:val="24"/>
          <w:szCs w:val="24"/>
        </w:rPr>
      </w:pPr>
      <w:r w:rsidRPr="00113D38">
        <w:rPr>
          <w:rFonts w:ascii="Times New Roman" w:hAnsi="Times New Roman"/>
          <w:sz w:val="24"/>
          <w:szCs w:val="24"/>
        </w:rPr>
        <w:t>HOLDING [by Magistrate Judge]</w:t>
      </w:r>
    </w:p>
    <w:p w14:paraId="47531487" w14:textId="77777777" w:rsidR="00113D38" w:rsidRPr="00113D38" w:rsidRDefault="00113D38" w:rsidP="00113D38">
      <w:pPr>
        <w:pStyle w:val="NoSpacing"/>
        <w:rPr>
          <w:rFonts w:ascii="Times New Roman" w:hAnsi="Times New Roman"/>
          <w:sz w:val="24"/>
          <w:szCs w:val="24"/>
        </w:rPr>
      </w:pPr>
    </w:p>
    <w:p w14:paraId="59474A32"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“Plaintiff pleads that his firing was in retaliation for complaining to Captain Oefinger in August 2023 and to the Fire Chief and Director of Human Resources in January 2024 about harassment, discrimination, and failure to train him related to his weight, age, and PTSD  …</w:t>
      </w:r>
    </w:p>
    <w:p w14:paraId="1EF64120" w14:textId="77777777" w:rsidR="00113D38" w:rsidRPr="00113D38" w:rsidRDefault="00113D38" w:rsidP="00113D38">
      <w:pPr>
        <w:pStyle w:val="NoSpacing"/>
        <w:ind w:left="720"/>
        <w:rPr>
          <w:rFonts w:ascii="Times New Roman" w:hAnsi="Times New Roman"/>
          <w:sz w:val="24"/>
          <w:szCs w:val="24"/>
        </w:rPr>
      </w:pPr>
    </w:p>
    <w:p w14:paraId="682D1DBF"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w:t>
      </w:r>
    </w:p>
    <w:p w14:paraId="25DB2046" w14:textId="77777777" w:rsidR="00113D38" w:rsidRPr="00113D38" w:rsidRDefault="00113D38" w:rsidP="00113D38">
      <w:pPr>
        <w:pStyle w:val="NoSpacing"/>
        <w:ind w:left="720"/>
        <w:rPr>
          <w:rFonts w:ascii="Times New Roman" w:hAnsi="Times New Roman"/>
          <w:sz w:val="24"/>
          <w:szCs w:val="24"/>
        </w:rPr>
      </w:pPr>
    </w:p>
    <w:p w14:paraId="6271E8E1" w14:textId="77777777" w:rsidR="00113D38" w:rsidRPr="00113D38" w:rsidRDefault="00113D38" w:rsidP="00113D38">
      <w:pPr>
        <w:pStyle w:val="NoSpacing"/>
        <w:ind w:left="720"/>
        <w:rPr>
          <w:rFonts w:ascii="Times New Roman" w:hAnsi="Times New Roman"/>
          <w:bCs/>
          <w:sz w:val="24"/>
          <w:szCs w:val="24"/>
        </w:rPr>
      </w:pPr>
      <w:r w:rsidRPr="00113D38">
        <w:rPr>
          <w:rFonts w:ascii="Times New Roman" w:hAnsi="Times New Roman"/>
          <w:sz w:val="24"/>
          <w:szCs w:val="24"/>
        </w:rPr>
        <w:t xml:space="preserve">E. </w:t>
      </w:r>
      <w:r w:rsidRPr="00113D38">
        <w:rPr>
          <w:rFonts w:ascii="Times New Roman" w:hAnsi="Times New Roman"/>
          <w:i/>
          <w:iCs/>
          <w:sz w:val="24"/>
          <w:szCs w:val="24"/>
        </w:rPr>
        <w:t>Plaintiff's ADA and ADEA Claims Against the City</w:t>
      </w:r>
      <w:r w:rsidRPr="00113D38">
        <w:rPr>
          <w:rFonts w:ascii="Times New Roman" w:hAnsi="Times New Roman"/>
          <w:sz w:val="24"/>
          <w:szCs w:val="24"/>
        </w:rPr>
        <w:t xml:space="preserve"> </w:t>
      </w:r>
    </w:p>
    <w:p w14:paraId="46FFFC92" w14:textId="77777777" w:rsidR="00113D38" w:rsidRPr="00113D38" w:rsidRDefault="00113D38" w:rsidP="00113D38">
      <w:pPr>
        <w:pStyle w:val="NoSpacing"/>
        <w:ind w:left="720"/>
        <w:rPr>
          <w:rFonts w:ascii="Times New Roman" w:hAnsi="Times New Roman"/>
          <w:sz w:val="24"/>
          <w:szCs w:val="24"/>
        </w:rPr>
      </w:pPr>
    </w:p>
    <w:p w14:paraId="6589380A"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 xml:space="preserve">Plaintiff alleges that he suffered a hostile work environment under the ADA and ADEA due to his age and his disability, and that he was discriminated against due to his weight and PTSD and retaliated against him for complaining about this discrimination. (Am. </w:t>
      </w:r>
      <w:proofErr w:type="spellStart"/>
      <w:r w:rsidRPr="00113D38">
        <w:rPr>
          <w:rFonts w:ascii="Times New Roman" w:hAnsi="Times New Roman"/>
          <w:sz w:val="24"/>
          <w:szCs w:val="24"/>
        </w:rPr>
        <w:t>Compl</w:t>
      </w:r>
      <w:proofErr w:type="spellEnd"/>
      <w:r w:rsidRPr="00113D38">
        <w:rPr>
          <w:rFonts w:ascii="Times New Roman" w:hAnsi="Times New Roman"/>
          <w:sz w:val="24"/>
          <w:szCs w:val="24"/>
        </w:rPr>
        <w:t xml:space="preserve">. [#26], at 5, 10-12, 16.) While Defendants' motion to dismiss is styled as a motion to dismiss all claims, and Defendants' briefing discusses why Plaintiff's ADA and ADEA claims should be denied as to the individual defendants, the briefing fails to make </w:t>
      </w:r>
      <w:r w:rsidRPr="00113D38">
        <w:rPr>
          <w:rFonts w:ascii="Times New Roman" w:hAnsi="Times New Roman"/>
          <w:i/>
          <w:iCs/>
          <w:sz w:val="24"/>
          <w:szCs w:val="24"/>
        </w:rPr>
        <w:t>any</w:t>
      </w:r>
      <w:r w:rsidRPr="00113D38">
        <w:rPr>
          <w:rFonts w:ascii="Times New Roman" w:hAnsi="Times New Roman"/>
          <w:sz w:val="24"/>
          <w:szCs w:val="24"/>
        </w:rPr>
        <w:t xml:space="preserve"> argument as to why the ADA and ADEA claims against the </w:t>
      </w:r>
      <w:proofErr w:type="gramStart"/>
      <w:r w:rsidRPr="00113D38">
        <w:rPr>
          <w:rFonts w:ascii="Times New Roman" w:hAnsi="Times New Roman"/>
          <w:sz w:val="24"/>
          <w:szCs w:val="24"/>
        </w:rPr>
        <w:t>City</w:t>
      </w:r>
      <w:proofErr w:type="gramEnd"/>
      <w:r w:rsidRPr="00113D38">
        <w:rPr>
          <w:rFonts w:ascii="Times New Roman" w:hAnsi="Times New Roman"/>
          <w:sz w:val="24"/>
          <w:szCs w:val="24"/>
        </w:rPr>
        <w:t xml:space="preserve"> should be dismissed. The Court should therefore deny the Defendants' motion to dismiss the ADA and ADEA claims against the </w:t>
      </w:r>
      <w:proofErr w:type="gramStart"/>
      <w:r w:rsidRPr="00113D38">
        <w:rPr>
          <w:rFonts w:ascii="Times New Roman" w:hAnsi="Times New Roman"/>
          <w:sz w:val="24"/>
          <w:szCs w:val="24"/>
        </w:rPr>
        <w:t>City</w:t>
      </w:r>
      <w:proofErr w:type="gramEnd"/>
      <w:r w:rsidRPr="00113D38">
        <w:rPr>
          <w:rFonts w:ascii="Times New Roman" w:hAnsi="Times New Roman"/>
          <w:sz w:val="24"/>
          <w:szCs w:val="24"/>
        </w:rPr>
        <w:t xml:space="preserve">. </w:t>
      </w:r>
    </w:p>
    <w:p w14:paraId="5C37D104" w14:textId="77777777" w:rsidR="00113D38" w:rsidRPr="00113D38" w:rsidRDefault="00113D38" w:rsidP="00113D38">
      <w:pPr>
        <w:pStyle w:val="NoSpacing"/>
        <w:ind w:left="720"/>
        <w:rPr>
          <w:rFonts w:ascii="Times New Roman" w:hAnsi="Times New Roman"/>
          <w:sz w:val="24"/>
          <w:szCs w:val="24"/>
        </w:rPr>
      </w:pPr>
    </w:p>
    <w:p w14:paraId="645A6A2E"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w:t>
      </w:r>
    </w:p>
    <w:p w14:paraId="7BA85DD8"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 xml:space="preserve">Defendants' motion to dismiss Plaintiff's discrimination and retaliation claims under the Americans with Disabilities Act and Age Discrimination in Employment Act against the City of Converse be </w:t>
      </w:r>
      <w:r w:rsidRPr="00113D38">
        <w:rPr>
          <w:rFonts w:ascii="Times New Roman" w:hAnsi="Times New Roman"/>
          <w:b/>
          <w:sz w:val="24"/>
          <w:szCs w:val="24"/>
        </w:rPr>
        <w:t>DENIED</w:t>
      </w:r>
      <w:r w:rsidRPr="00113D38">
        <w:rPr>
          <w:rFonts w:ascii="Times New Roman" w:hAnsi="Times New Roman"/>
          <w:sz w:val="24"/>
          <w:szCs w:val="24"/>
        </w:rPr>
        <w:t>. These claims should proceed to discovery.”</w:t>
      </w:r>
    </w:p>
    <w:p w14:paraId="05252055" w14:textId="77777777" w:rsidR="00113D38" w:rsidRPr="00113D38" w:rsidRDefault="00113D38" w:rsidP="00113D38">
      <w:pPr>
        <w:pStyle w:val="NoSpacing"/>
        <w:ind w:left="720"/>
        <w:rPr>
          <w:rFonts w:ascii="Times New Roman" w:hAnsi="Times New Roman"/>
          <w:sz w:val="24"/>
          <w:szCs w:val="24"/>
        </w:rPr>
      </w:pPr>
    </w:p>
    <w:p w14:paraId="7C560FE7" w14:textId="77777777" w:rsidR="00113D38" w:rsidRPr="00113D38" w:rsidRDefault="00113D38" w:rsidP="00113D38">
      <w:pPr>
        <w:pStyle w:val="NoSpacing"/>
        <w:rPr>
          <w:rFonts w:ascii="Times New Roman" w:hAnsi="Times New Roman"/>
          <w:sz w:val="24"/>
          <w:szCs w:val="24"/>
        </w:rPr>
      </w:pPr>
      <w:r w:rsidRPr="00113D38">
        <w:rPr>
          <w:rFonts w:ascii="Times New Roman" w:hAnsi="Times New Roman"/>
          <w:b/>
          <w:sz w:val="24"/>
          <w:szCs w:val="24"/>
        </w:rPr>
        <w:t xml:space="preserve">Legal Lesson Learned:  Internal complaints of hazing, training or otherwise should be promptly and thoroughly investigated, with a written report;  the report can then be filed with court if there is subsequent litigation. </w:t>
      </w:r>
    </w:p>
    <w:p w14:paraId="0CAD0583" w14:textId="77777777" w:rsidR="00113D38" w:rsidRPr="00113D38" w:rsidRDefault="00113D38" w:rsidP="00113D38">
      <w:pPr>
        <w:pStyle w:val="NoSpacing"/>
        <w:ind w:left="720"/>
        <w:rPr>
          <w:rFonts w:ascii="Times New Roman" w:hAnsi="Times New Roman"/>
          <w:sz w:val="24"/>
          <w:szCs w:val="24"/>
        </w:rPr>
      </w:pPr>
    </w:p>
    <w:p w14:paraId="0221B961" w14:textId="77777777" w:rsidR="001C7270" w:rsidRDefault="001C7270" w:rsidP="005C30A4">
      <w:pPr>
        <w:pStyle w:val="NoSpacing"/>
        <w:rPr>
          <w:rFonts w:ascii="Arial Black" w:hAnsi="Arial Black"/>
          <w:sz w:val="24"/>
          <w:szCs w:val="24"/>
        </w:rPr>
      </w:pPr>
    </w:p>
    <w:p w14:paraId="151EAC86" w14:textId="77777777" w:rsidR="001C7270" w:rsidRDefault="001C7270" w:rsidP="005C30A4">
      <w:pPr>
        <w:pStyle w:val="NoSpacing"/>
        <w:rPr>
          <w:rFonts w:ascii="Arial Black" w:hAnsi="Arial Black"/>
          <w:sz w:val="24"/>
          <w:szCs w:val="24"/>
        </w:rPr>
      </w:pPr>
    </w:p>
    <w:p w14:paraId="2557C397" w14:textId="62D15E61" w:rsidR="002077DA" w:rsidRDefault="002077DA" w:rsidP="005C30A4">
      <w:pPr>
        <w:pStyle w:val="NoSpacing"/>
        <w:rPr>
          <w:rFonts w:ascii="Arial Black" w:hAnsi="Arial Black"/>
          <w:sz w:val="24"/>
          <w:szCs w:val="24"/>
        </w:rPr>
      </w:pPr>
      <w:r>
        <w:rPr>
          <w:rFonts w:ascii="Arial Black" w:hAnsi="Arial Black"/>
          <w:sz w:val="24"/>
          <w:szCs w:val="24"/>
        </w:rPr>
        <w:t>9-49</w:t>
      </w:r>
    </w:p>
    <w:p w14:paraId="2D86FD95" w14:textId="77777777" w:rsidR="002077DA" w:rsidRDefault="002077DA" w:rsidP="005C30A4">
      <w:pPr>
        <w:pStyle w:val="NoSpacing"/>
        <w:rPr>
          <w:rFonts w:ascii="Arial Black" w:hAnsi="Arial Black"/>
          <w:sz w:val="24"/>
          <w:szCs w:val="24"/>
        </w:rPr>
      </w:pPr>
    </w:p>
    <w:p w14:paraId="42976820" w14:textId="77777777" w:rsidR="001E5BE7" w:rsidRPr="001A7E68" w:rsidRDefault="001E5BE7" w:rsidP="001E5BE7">
      <w:pPr>
        <w:pStyle w:val="NoSpacing"/>
        <w:rPr>
          <w:rFonts w:ascii="Arial Black" w:hAnsi="Arial Black"/>
          <w:b/>
          <w:sz w:val="28"/>
          <w:szCs w:val="28"/>
        </w:rPr>
      </w:pPr>
      <w:r>
        <w:rPr>
          <w:rFonts w:ascii="Arial Black" w:hAnsi="Arial Black"/>
          <w:b/>
          <w:sz w:val="28"/>
          <w:szCs w:val="28"/>
        </w:rPr>
        <w:t>NJ: BROKE FOOT – PROMOTION TO CAPT. DELAYED</w:t>
      </w:r>
    </w:p>
    <w:p w14:paraId="458270C3" w14:textId="77777777" w:rsidR="001E5BE7" w:rsidRDefault="001E5BE7" w:rsidP="001E5BE7">
      <w:pPr>
        <w:pStyle w:val="NoSpacing"/>
        <w:rPr>
          <w:b/>
        </w:rPr>
      </w:pPr>
    </w:p>
    <w:p w14:paraId="7075EBE4" w14:textId="77777777" w:rsidR="00896D75" w:rsidRPr="00896D75" w:rsidRDefault="00896D75" w:rsidP="00896D75">
      <w:pPr>
        <w:rPr>
          <w:rStyle w:val="Hyperlink"/>
          <w:rFonts w:ascii="Times New Roman" w:hAnsi="Times New Roman"/>
          <w:bCs/>
          <w:sz w:val="24"/>
          <w:szCs w:val="24"/>
        </w:rPr>
      </w:pPr>
      <w:r w:rsidRPr="00896D75">
        <w:rPr>
          <w:rFonts w:ascii="Times New Roman" w:hAnsi="Times New Roman"/>
          <w:sz w:val="24"/>
          <w:szCs w:val="24"/>
        </w:rPr>
        <w:t xml:space="preserve">On Dec. 10, 2024, in </w:t>
      </w:r>
      <w:r w:rsidRPr="00896D75">
        <w:rPr>
          <w:rFonts w:ascii="Times New Roman" w:hAnsi="Times New Roman"/>
          <w:sz w:val="24"/>
          <w:szCs w:val="24"/>
          <w:u w:val="single"/>
        </w:rPr>
        <w:t>Jersey City IAFF Local 1066 v. City of Jersey City</w:t>
      </w:r>
      <w:r w:rsidRPr="00896D75">
        <w:rPr>
          <w:rFonts w:ascii="Times New Roman" w:hAnsi="Times New Roman"/>
          <w:sz w:val="24"/>
          <w:szCs w:val="24"/>
        </w:rPr>
        <w:t xml:space="preserve">, the Superior Court of New Jersey, Appellate Division, held (3 to 0; unpublished decision) that trial court improperly dismissed the lawsuit.  The city delayed the promotion of a Captain, who broke his foot on duty, until he could return to work. </w:t>
      </w:r>
      <w:hyperlink r:id="rId1701" w:history="1">
        <w:r w:rsidRPr="00896D75">
          <w:rPr>
            <w:rStyle w:val="Hyperlink"/>
            <w:rFonts w:ascii="Times New Roman" w:hAnsi="Times New Roman"/>
            <w:sz w:val="24"/>
            <w:szCs w:val="24"/>
          </w:rPr>
          <w:t>https://www.njcourts.gov/system/files/court-opinions/2024/a0448-23.pdf</w:t>
        </w:r>
      </w:hyperlink>
    </w:p>
    <w:p w14:paraId="3D45724D" w14:textId="77777777" w:rsidR="00896D75" w:rsidRDefault="00896D75" w:rsidP="001E5BE7">
      <w:pPr>
        <w:pStyle w:val="NoSpacing"/>
        <w:rPr>
          <w:rFonts w:ascii="Times New Roman" w:hAnsi="Times New Roman"/>
          <w:sz w:val="24"/>
          <w:szCs w:val="24"/>
        </w:rPr>
      </w:pPr>
    </w:p>
    <w:p w14:paraId="382CBA36" w14:textId="2A8BED5C" w:rsidR="001E5BE7" w:rsidRPr="001E5BE7" w:rsidRDefault="001E5BE7" w:rsidP="001E5BE7">
      <w:pPr>
        <w:pStyle w:val="NoSpacing"/>
        <w:rPr>
          <w:rFonts w:ascii="Times New Roman" w:hAnsi="Times New Roman"/>
          <w:bCs/>
          <w:sz w:val="24"/>
          <w:szCs w:val="24"/>
        </w:rPr>
      </w:pPr>
      <w:r w:rsidRPr="001E5BE7">
        <w:rPr>
          <w:rFonts w:ascii="Times New Roman" w:hAnsi="Times New Roman"/>
          <w:sz w:val="24"/>
          <w:szCs w:val="24"/>
        </w:rPr>
        <w:t>The Court wrote:</w:t>
      </w:r>
    </w:p>
    <w:p w14:paraId="26F08D80" w14:textId="77777777" w:rsidR="001E5BE7" w:rsidRPr="001E5BE7" w:rsidRDefault="001E5BE7" w:rsidP="001E5BE7">
      <w:pPr>
        <w:pStyle w:val="NoSpacing"/>
        <w:rPr>
          <w:rFonts w:ascii="Times New Roman" w:hAnsi="Times New Roman"/>
          <w:b/>
          <w:sz w:val="24"/>
          <w:szCs w:val="24"/>
        </w:rPr>
      </w:pPr>
    </w:p>
    <w:p w14:paraId="75711FD8"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b/>
          <w:sz w:val="24"/>
          <w:szCs w:val="24"/>
        </w:rPr>
        <w:t>“</w:t>
      </w:r>
      <w:r w:rsidRPr="001E5BE7">
        <w:rPr>
          <w:rFonts w:ascii="Times New Roman" w:hAnsi="Times New Roman"/>
          <w:sz w:val="24"/>
          <w:szCs w:val="24"/>
        </w:rPr>
        <w:t>Plaintiff [IAFF Local 1066] became aware of the previously undisclosed promotion policy when firefighter Richard Mulligan was denied a promotion to captain while he</w:t>
      </w:r>
    </w:p>
    <w:p w14:paraId="0FDF9217"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was on injury leave. Mulligan broke his foot while on duty in June 2022. He was expecting a promotion to captain on July 1. However, when he arrived at the promotion ceremony with his family, he learned he would not be promoted because he was on injury leave….  Although he was eventually promoted, the delay affected his seniority status.</w:t>
      </w:r>
    </w:p>
    <w:p w14:paraId="0EF43022" w14:textId="77777777" w:rsidR="001E5BE7" w:rsidRPr="001E5BE7" w:rsidRDefault="001E5BE7" w:rsidP="001E5BE7">
      <w:pPr>
        <w:pStyle w:val="NoSpacing"/>
        <w:ind w:left="720"/>
        <w:rPr>
          <w:rFonts w:ascii="Times New Roman" w:hAnsi="Times New Roman"/>
          <w:bCs/>
          <w:sz w:val="24"/>
          <w:szCs w:val="24"/>
        </w:rPr>
      </w:pPr>
    </w:p>
    <w:p w14:paraId="48E74F89"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w:t>
      </w:r>
    </w:p>
    <w:p w14:paraId="6CE303AC"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Plaintiff alleges the promotion policy is facially discriminatory, and it has presented sufficient evidence of direct discrimination and retaliation to survive the dismissal motion</w:t>
      </w:r>
    </w:p>
    <w:p w14:paraId="5C10D392" w14:textId="4211171A" w:rsidR="001E5BE7" w:rsidRDefault="001E5BE7" w:rsidP="001E5BE7">
      <w:pPr>
        <w:pStyle w:val="NoSpacing"/>
        <w:ind w:left="720"/>
        <w:rPr>
          <w:bCs/>
        </w:rPr>
      </w:pPr>
      <w:r w:rsidRPr="001E5BE7">
        <w:rPr>
          <w:rFonts w:ascii="Times New Roman" w:hAnsi="Times New Roman"/>
          <w:sz w:val="24"/>
          <w:szCs w:val="24"/>
        </w:rPr>
        <w:t>regarding the promotion policy 11 A-0448-23. In giving plaintiff every reasonable inference of fact, as we must, we are satisfied plaintiff has presented sufficient facts to support its cause of action. Therefore, we vacate the order of dismissal</w:t>
      </w:r>
      <w:r>
        <w:t xml:space="preserve"> </w:t>
      </w:r>
    </w:p>
    <w:p w14:paraId="6B554DD2" w14:textId="77777777" w:rsidR="001E5BE7" w:rsidRDefault="001E5BE7" w:rsidP="005C30A4">
      <w:pPr>
        <w:pStyle w:val="NoSpacing"/>
        <w:rPr>
          <w:rFonts w:ascii="Arial Black" w:hAnsi="Arial Black"/>
          <w:sz w:val="24"/>
          <w:szCs w:val="24"/>
        </w:rPr>
      </w:pPr>
    </w:p>
    <w:p w14:paraId="49C39DDF" w14:textId="77777777" w:rsidR="001C7270" w:rsidRPr="001C7270" w:rsidRDefault="001C7270" w:rsidP="001C7270">
      <w:pPr>
        <w:pStyle w:val="NoSpacing"/>
        <w:rPr>
          <w:rFonts w:ascii="Times New Roman" w:hAnsi="Times New Roman"/>
          <w:bCs/>
          <w:sz w:val="24"/>
          <w:szCs w:val="24"/>
        </w:rPr>
      </w:pPr>
      <w:r w:rsidRPr="001C7270">
        <w:rPr>
          <w:rFonts w:ascii="Times New Roman" w:hAnsi="Times New Roman"/>
          <w:sz w:val="24"/>
          <w:szCs w:val="24"/>
        </w:rPr>
        <w:t>HOLDING:</w:t>
      </w:r>
    </w:p>
    <w:p w14:paraId="708C3F16" w14:textId="77777777" w:rsidR="001C7270" w:rsidRPr="001C7270" w:rsidRDefault="001C7270" w:rsidP="001C7270">
      <w:pPr>
        <w:pStyle w:val="NoSpacing"/>
        <w:rPr>
          <w:rFonts w:ascii="Times New Roman" w:hAnsi="Times New Roman"/>
          <w:bCs/>
          <w:sz w:val="24"/>
          <w:szCs w:val="24"/>
        </w:rPr>
      </w:pPr>
    </w:p>
    <w:p w14:paraId="4F5D2F58"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“Plaintiff alleged temporarily disabled firefighters are a protected class</w:t>
      </w:r>
    </w:p>
    <w:p w14:paraId="44EE22A7"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under LAD and entitled to an accommodation. Plaintiff further alleged that</w:t>
      </w:r>
    </w:p>
    <w:p w14:paraId="7EB438C8"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denying an eligible firefighter a promotion without considering an</w:t>
      </w:r>
    </w:p>
    <w:p w14:paraId="62F341DF"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accommodation is retaliatory and violates the LAD. Plaintiff alleges the</w:t>
      </w:r>
    </w:p>
    <w:p w14:paraId="2932F389"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promotion policy is facially discriminatory, and it has presented sufficient</w:t>
      </w:r>
    </w:p>
    <w:p w14:paraId="22B59B59"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evidence of direct discrimination and retaliation to survive the dismissal motion</w:t>
      </w:r>
    </w:p>
    <w:p w14:paraId="2C15713C" w14:textId="77777777" w:rsidR="001C7270" w:rsidRPr="001C7270" w:rsidRDefault="001C7270" w:rsidP="001C7270">
      <w:pPr>
        <w:pStyle w:val="NoSpacing"/>
        <w:ind w:left="720"/>
        <w:rPr>
          <w:rFonts w:ascii="Times New Roman" w:hAnsi="Times New Roman"/>
          <w:bCs/>
          <w:sz w:val="24"/>
          <w:szCs w:val="24"/>
        </w:rPr>
      </w:pPr>
      <w:r w:rsidRPr="001C7270">
        <w:rPr>
          <w:rFonts w:ascii="Times New Roman" w:hAnsi="Times New Roman"/>
          <w:sz w:val="24"/>
          <w:szCs w:val="24"/>
        </w:rPr>
        <w:t>regarding the promotion policy 11 A-0448-23.In giving plaintiff every reasonable inference of fact, as we must, we are satisfied plaintiff has presented sufficient facts to support its cause of action. Therefore, we vacate the order of dismissal.”</w:t>
      </w:r>
    </w:p>
    <w:p w14:paraId="4DA5E4B6" w14:textId="77777777" w:rsidR="001C7270" w:rsidRPr="001C7270" w:rsidRDefault="001C7270" w:rsidP="001C7270">
      <w:pPr>
        <w:pStyle w:val="NoSpacing"/>
        <w:ind w:left="720"/>
        <w:rPr>
          <w:rFonts w:ascii="Times New Roman" w:hAnsi="Times New Roman"/>
          <w:bCs/>
          <w:sz w:val="24"/>
          <w:szCs w:val="24"/>
        </w:rPr>
      </w:pPr>
    </w:p>
    <w:p w14:paraId="7043F2C1" w14:textId="77777777" w:rsidR="001C7270" w:rsidRPr="001C7270" w:rsidRDefault="001C7270" w:rsidP="001C7270">
      <w:pPr>
        <w:pStyle w:val="NoSpacing"/>
        <w:rPr>
          <w:rFonts w:ascii="Times New Roman" w:hAnsi="Times New Roman"/>
          <w:b/>
          <w:sz w:val="24"/>
          <w:szCs w:val="24"/>
        </w:rPr>
      </w:pPr>
      <w:r w:rsidRPr="001C7270">
        <w:rPr>
          <w:rFonts w:ascii="Times New Roman" w:hAnsi="Times New Roman"/>
          <w:b/>
          <w:sz w:val="24"/>
          <w:szCs w:val="24"/>
        </w:rPr>
        <w:t xml:space="preserve">Legal Lesson Learned: Delaying a promotion while firefighter heals from a broken foot seems unfair and illogical; pre-trial discovery will proceed. </w:t>
      </w:r>
    </w:p>
    <w:p w14:paraId="79C4D1BE" w14:textId="77777777" w:rsidR="001C7270" w:rsidRDefault="001C7270" w:rsidP="001C7270">
      <w:pPr>
        <w:rPr>
          <w:bCs/>
        </w:rPr>
      </w:pPr>
    </w:p>
    <w:p w14:paraId="4F96A9EE" w14:textId="77777777" w:rsidR="002077DA" w:rsidRDefault="002077DA" w:rsidP="005C30A4">
      <w:pPr>
        <w:pStyle w:val="NoSpacing"/>
        <w:rPr>
          <w:rFonts w:ascii="Arial Black" w:hAnsi="Arial Black"/>
          <w:sz w:val="24"/>
          <w:szCs w:val="24"/>
        </w:rPr>
      </w:pPr>
    </w:p>
    <w:p w14:paraId="7E4341EF" w14:textId="77777777" w:rsidR="002077DA" w:rsidRDefault="002077DA" w:rsidP="005C30A4">
      <w:pPr>
        <w:pStyle w:val="NoSpacing"/>
        <w:rPr>
          <w:rFonts w:ascii="Arial Black" w:hAnsi="Arial Black"/>
          <w:sz w:val="24"/>
          <w:szCs w:val="24"/>
        </w:rPr>
      </w:pPr>
    </w:p>
    <w:p w14:paraId="40779BBC" w14:textId="6201E88D" w:rsidR="008C116F" w:rsidRDefault="008C116F" w:rsidP="005C30A4">
      <w:pPr>
        <w:pStyle w:val="NoSpacing"/>
        <w:rPr>
          <w:rFonts w:ascii="Arial Black" w:hAnsi="Arial Black"/>
          <w:sz w:val="24"/>
          <w:szCs w:val="24"/>
        </w:rPr>
      </w:pPr>
      <w:r>
        <w:rPr>
          <w:rFonts w:ascii="Arial Black" w:hAnsi="Arial Black"/>
          <w:sz w:val="24"/>
          <w:szCs w:val="24"/>
        </w:rPr>
        <w:t>9-48</w:t>
      </w:r>
    </w:p>
    <w:p w14:paraId="2C0785E8" w14:textId="3D391069" w:rsidR="00034C75" w:rsidRDefault="00034C75" w:rsidP="00034C75">
      <w:pPr>
        <w:rPr>
          <w:rFonts w:ascii="Arial Black" w:hAnsi="Arial Black"/>
          <w:sz w:val="28"/>
          <w:szCs w:val="28"/>
        </w:rPr>
      </w:pPr>
      <w:r>
        <w:rPr>
          <w:rFonts w:ascii="Arial Black" w:hAnsi="Arial Black"/>
          <w:sz w:val="28"/>
          <w:szCs w:val="28"/>
        </w:rPr>
        <w:t xml:space="preserve">MA: NO ADA VIOL. - DOG BITE NOT “DISABILITY” - PROB. FF TERMINATED – FAILED SCBA AT TRAINING ACADEMY </w:t>
      </w:r>
    </w:p>
    <w:p w14:paraId="43E91DFD" w14:textId="77777777" w:rsidR="008C116F" w:rsidRPr="0066724F" w:rsidRDefault="008C116F" w:rsidP="008C116F">
      <w:pPr>
        <w:rPr>
          <w:rFonts w:ascii="Times New Roman" w:hAnsi="Times New Roman"/>
          <w:sz w:val="24"/>
          <w:szCs w:val="24"/>
        </w:rPr>
      </w:pPr>
      <w:r w:rsidRPr="0066724F">
        <w:rPr>
          <w:rFonts w:ascii="Times New Roman" w:hAnsi="Times New Roman"/>
          <w:sz w:val="24"/>
          <w:szCs w:val="24"/>
        </w:rPr>
        <w:t xml:space="preserve">On Nov. 21, 2024, in </w:t>
      </w:r>
      <w:r w:rsidRPr="0066724F">
        <w:rPr>
          <w:rFonts w:ascii="Times New Roman" w:hAnsi="Times New Roman"/>
          <w:sz w:val="24"/>
          <w:szCs w:val="24"/>
          <w:u w:val="single"/>
        </w:rPr>
        <w:t>James Fitzgerald v. City of Lawrence, et al</w:t>
      </w:r>
      <w:r w:rsidRPr="0066724F">
        <w:rPr>
          <w:rFonts w:ascii="Times New Roman" w:hAnsi="Times New Roman"/>
          <w:sz w:val="24"/>
          <w:szCs w:val="24"/>
        </w:rPr>
        <w:t xml:space="preserve">., United States Magistrate Judge Jennifer C. Boal, U.S. District Court for the District of Massachusetts, granted the City’s motion for summary judgment.  The Court wrote: “Fitzgerald argues that the puncture wound and resulting infection arising from the October 13, </w:t>
      </w:r>
      <w:proofErr w:type="gramStart"/>
      <w:r w:rsidRPr="0066724F">
        <w:rPr>
          <w:rFonts w:ascii="Times New Roman" w:hAnsi="Times New Roman"/>
          <w:sz w:val="24"/>
          <w:szCs w:val="24"/>
        </w:rPr>
        <w:t>2019</w:t>
      </w:r>
      <w:proofErr w:type="gramEnd"/>
      <w:r w:rsidRPr="0066724F">
        <w:rPr>
          <w:rFonts w:ascii="Times New Roman" w:hAnsi="Times New Roman"/>
          <w:sz w:val="24"/>
          <w:szCs w:val="24"/>
        </w:rPr>
        <w:t xml:space="preserve"> dog bite constituted an actual disability because they affected several major life activities, including the bending of his wrist and fingers, lifting, dressing himself, and carrying out household tasks such as cooking and laundry….  According to his own testimony, however, such limitations lasted, at most, three months…. In addition, it is undisputed that Fitzgerald was cleared to work without any restrictions after only fifteen days….  Given this record, therefore, no reasonable jury could conclude that Fitzgerald's puncture wound and resulting infection constituted an actual disability under the ADA or Chapter 151B.” </w:t>
      </w:r>
      <w:hyperlink r:id="rId1702" w:history="1">
        <w:r w:rsidRPr="0066724F">
          <w:rPr>
            <w:rStyle w:val="Hyperlink"/>
            <w:rFonts w:ascii="Times New Roman" w:hAnsi="Times New Roman"/>
            <w:sz w:val="24"/>
            <w:szCs w:val="24"/>
          </w:rPr>
          <w:t>https://casetext.com/case/fitzgerald-v-city-of-lawrence</w:t>
        </w:r>
      </w:hyperlink>
      <w:r w:rsidRPr="0066724F">
        <w:rPr>
          <w:rFonts w:ascii="Times New Roman" w:hAnsi="Times New Roman"/>
          <w:sz w:val="24"/>
          <w:szCs w:val="24"/>
        </w:rPr>
        <w:t xml:space="preserve"> </w:t>
      </w:r>
    </w:p>
    <w:p w14:paraId="3AD3F489" w14:textId="77777777" w:rsidR="00516941" w:rsidRPr="0066724F" w:rsidRDefault="00516941" w:rsidP="00516941">
      <w:pPr>
        <w:rPr>
          <w:rFonts w:ascii="Times New Roman" w:hAnsi="Times New Roman"/>
          <w:b/>
          <w:bCs/>
          <w:sz w:val="24"/>
          <w:szCs w:val="24"/>
        </w:rPr>
      </w:pPr>
      <w:r w:rsidRPr="0066724F">
        <w:rPr>
          <w:rFonts w:ascii="Times New Roman" w:hAnsi="Times New Roman"/>
          <w:b/>
          <w:sz w:val="24"/>
          <w:szCs w:val="24"/>
        </w:rPr>
        <w:t>Legal Lesson Learned: Poor performance at State Training Academy led to his termination.</w:t>
      </w:r>
    </w:p>
    <w:p w14:paraId="7059071B" w14:textId="77777777" w:rsidR="00516941" w:rsidRDefault="00516941" w:rsidP="00516941">
      <w:pPr>
        <w:pStyle w:val="NoSpacing"/>
        <w:rPr>
          <w:bCs/>
          <w:sz w:val="20"/>
          <w:szCs w:val="20"/>
        </w:rPr>
      </w:pPr>
    </w:p>
    <w:p w14:paraId="331C01F0" w14:textId="77777777" w:rsidR="008C116F" w:rsidRDefault="008C116F" w:rsidP="005C30A4">
      <w:pPr>
        <w:pStyle w:val="NoSpacing"/>
        <w:rPr>
          <w:rFonts w:ascii="Arial Black" w:hAnsi="Arial Black"/>
          <w:sz w:val="24"/>
          <w:szCs w:val="24"/>
        </w:rPr>
      </w:pPr>
    </w:p>
    <w:p w14:paraId="20FE2856" w14:textId="77777777" w:rsidR="008C116F" w:rsidRDefault="008C116F" w:rsidP="005C30A4">
      <w:pPr>
        <w:pStyle w:val="NoSpacing"/>
        <w:rPr>
          <w:rFonts w:ascii="Arial Black" w:hAnsi="Arial Black"/>
          <w:sz w:val="24"/>
          <w:szCs w:val="24"/>
        </w:rPr>
      </w:pPr>
    </w:p>
    <w:p w14:paraId="257F2B7B" w14:textId="77777777" w:rsidR="008C116F" w:rsidRDefault="008C116F" w:rsidP="005C30A4">
      <w:pPr>
        <w:pStyle w:val="NoSpacing"/>
        <w:rPr>
          <w:rFonts w:ascii="Arial Black" w:hAnsi="Arial Black"/>
          <w:sz w:val="24"/>
          <w:szCs w:val="24"/>
        </w:rPr>
      </w:pPr>
    </w:p>
    <w:p w14:paraId="6CCE7397" w14:textId="515E30B3" w:rsidR="00E43890" w:rsidRDefault="00E43890" w:rsidP="005C30A4">
      <w:pPr>
        <w:pStyle w:val="NoSpacing"/>
        <w:rPr>
          <w:rFonts w:ascii="Arial Black" w:hAnsi="Arial Black"/>
          <w:sz w:val="24"/>
          <w:szCs w:val="24"/>
        </w:rPr>
      </w:pPr>
      <w:r>
        <w:rPr>
          <w:rFonts w:ascii="Arial Black" w:hAnsi="Arial Black"/>
          <w:sz w:val="24"/>
          <w:szCs w:val="24"/>
        </w:rPr>
        <w:t>9-47</w:t>
      </w:r>
    </w:p>
    <w:p w14:paraId="6299F266" w14:textId="77777777" w:rsidR="00E43890" w:rsidRDefault="00E43890" w:rsidP="005C30A4">
      <w:pPr>
        <w:pStyle w:val="NoSpacing"/>
        <w:rPr>
          <w:rFonts w:ascii="Arial Black" w:hAnsi="Arial Black"/>
          <w:sz w:val="24"/>
          <w:szCs w:val="24"/>
        </w:rPr>
      </w:pPr>
    </w:p>
    <w:p w14:paraId="3D784247" w14:textId="77777777" w:rsidR="00E43890" w:rsidRPr="00B54163" w:rsidRDefault="00E43890" w:rsidP="00E43890">
      <w:pPr>
        <w:pStyle w:val="NoSpacing"/>
        <w:rPr>
          <w:rFonts w:ascii="Times New Roman" w:hAnsi="Times New Roman"/>
          <w:b/>
          <w:bCs/>
          <w:sz w:val="24"/>
          <w:szCs w:val="24"/>
        </w:rPr>
      </w:pPr>
      <w:r w:rsidRPr="00B54163">
        <w:rPr>
          <w:rFonts w:ascii="Times New Roman" w:hAnsi="Times New Roman"/>
          <w:b/>
          <w:bCs/>
          <w:sz w:val="24"/>
          <w:szCs w:val="24"/>
        </w:rPr>
        <w:t>CT: FF DISPUTE - PUT BOTH HANDS AROUND CO-WORKERS NECK – FIRED – NO ADA ACCOMODATION REQUIRED</w:t>
      </w:r>
    </w:p>
    <w:p w14:paraId="49936F77" w14:textId="77777777" w:rsidR="00E43890" w:rsidRPr="00B54163" w:rsidRDefault="00E43890" w:rsidP="00E43890">
      <w:pPr>
        <w:pStyle w:val="NoSpacing"/>
        <w:rPr>
          <w:rFonts w:ascii="Times New Roman" w:hAnsi="Times New Roman"/>
          <w:sz w:val="24"/>
          <w:szCs w:val="24"/>
        </w:rPr>
      </w:pPr>
    </w:p>
    <w:p w14:paraId="3828019F"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 xml:space="preserve">On Sept. 16, 2024, in </w:t>
      </w:r>
      <w:r w:rsidRPr="00B54163">
        <w:rPr>
          <w:rFonts w:ascii="Times New Roman" w:hAnsi="Times New Roman"/>
          <w:sz w:val="24"/>
          <w:szCs w:val="24"/>
          <w:u w:val="single"/>
        </w:rPr>
        <w:t>Maurice Remillard v. Department of the Navy, the United States Merit System Protection Board</w:t>
      </w:r>
      <w:r w:rsidRPr="00B54163">
        <w:rPr>
          <w:rFonts w:ascii="Times New Roman" w:hAnsi="Times New Roman"/>
          <w:sz w:val="24"/>
          <w:szCs w:val="24"/>
        </w:rPr>
        <w:t xml:space="preserve"> (Washington, D.C.) held (3 to 0’ nonprecedential order): “The appellant has filed a petition for review of the initial decision, which affirmed the agency’s removal decision. *** After fully considering the filings in this appeal, we conclude that the petitioner</w:t>
      </w:r>
    </w:p>
    <w:p w14:paraId="71D2FEFC"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has not established any basis under section 1201.115 for granting the petition for review. Therefore, we DENY the petition for review. Except as expressly MODIFIED to clearly state that the appellant was not a qualified individual with a disability and supplement the analysis of this finding, and to VACATE the administrative judge’s alternative basis for concluding that the appellant failed to prove that the agency denied him reasonable accommodation, we AFFIRM the</w:t>
      </w:r>
    </w:p>
    <w:p w14:paraId="468CFBAA"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initial decision.”</w:t>
      </w:r>
    </w:p>
    <w:p w14:paraId="4463A330" w14:textId="299F74D0" w:rsidR="00E43890" w:rsidRPr="00B54163" w:rsidRDefault="00E43890" w:rsidP="00E43890">
      <w:pPr>
        <w:pStyle w:val="NoSpacing"/>
        <w:rPr>
          <w:rStyle w:val="Hyperlink"/>
          <w:rFonts w:ascii="Times New Roman" w:hAnsi="Times New Roman"/>
          <w:sz w:val="24"/>
          <w:szCs w:val="24"/>
        </w:rPr>
      </w:pPr>
      <w:hyperlink r:id="rId1703" w:history="1">
        <w:r w:rsidRPr="00B54163">
          <w:rPr>
            <w:rStyle w:val="Hyperlink"/>
            <w:rFonts w:ascii="Times New Roman" w:hAnsi="Times New Roman"/>
            <w:sz w:val="24"/>
            <w:szCs w:val="24"/>
          </w:rPr>
          <w:t>https://www.mspb.gov/decisions/nonprecedential/Remillard_MauricePH-0752-20-0259-I-1_Final_Order.pdf</w:t>
        </w:r>
      </w:hyperlink>
    </w:p>
    <w:p w14:paraId="585CA981" w14:textId="77777777" w:rsidR="00B54163" w:rsidRPr="00B54163" w:rsidRDefault="00B54163" w:rsidP="00E43890">
      <w:pPr>
        <w:pStyle w:val="NoSpacing"/>
        <w:rPr>
          <w:rStyle w:val="Hyperlink"/>
          <w:rFonts w:ascii="Times New Roman" w:hAnsi="Times New Roman"/>
          <w:sz w:val="24"/>
          <w:szCs w:val="24"/>
        </w:rPr>
      </w:pPr>
    </w:p>
    <w:p w14:paraId="2D85317B" w14:textId="77777777" w:rsidR="00B54163" w:rsidRPr="00B54163" w:rsidRDefault="00B54163" w:rsidP="00B54163">
      <w:pPr>
        <w:pStyle w:val="NoSpacing"/>
        <w:rPr>
          <w:rFonts w:ascii="Times New Roman" w:hAnsi="Times New Roman"/>
          <w:b/>
          <w:bCs/>
          <w:sz w:val="24"/>
          <w:szCs w:val="24"/>
        </w:rPr>
      </w:pPr>
      <w:r w:rsidRPr="00B54163">
        <w:rPr>
          <w:rFonts w:ascii="Times New Roman" w:hAnsi="Times New Roman"/>
          <w:b/>
          <w:sz w:val="24"/>
          <w:szCs w:val="24"/>
        </w:rPr>
        <w:t xml:space="preserve">Legal Lesson Learned: The firefighter failed to prove that his anxiety was so severe to constitute a disability under ADA. </w:t>
      </w:r>
    </w:p>
    <w:p w14:paraId="1E0128C1" w14:textId="77777777" w:rsidR="00B54163" w:rsidRDefault="00B54163" w:rsidP="00E43890">
      <w:pPr>
        <w:pStyle w:val="NoSpacing"/>
        <w:rPr>
          <w:rFonts w:ascii="Arial Black" w:hAnsi="Arial Black"/>
          <w:sz w:val="24"/>
          <w:szCs w:val="24"/>
        </w:rPr>
      </w:pPr>
    </w:p>
    <w:p w14:paraId="640E99FD" w14:textId="77777777" w:rsidR="00E43890" w:rsidRDefault="00E43890" w:rsidP="005C30A4">
      <w:pPr>
        <w:pStyle w:val="NoSpacing"/>
        <w:rPr>
          <w:rFonts w:ascii="Arial Black" w:hAnsi="Arial Black"/>
          <w:sz w:val="24"/>
          <w:szCs w:val="24"/>
        </w:rPr>
      </w:pPr>
    </w:p>
    <w:p w14:paraId="05B7B4F7" w14:textId="4735551A" w:rsidR="005E497B" w:rsidRDefault="005E497B" w:rsidP="005C30A4">
      <w:pPr>
        <w:pStyle w:val="NoSpacing"/>
        <w:rPr>
          <w:rFonts w:ascii="Arial Black" w:hAnsi="Arial Black"/>
          <w:sz w:val="24"/>
          <w:szCs w:val="24"/>
        </w:rPr>
      </w:pPr>
      <w:r>
        <w:rPr>
          <w:rFonts w:ascii="Arial Black" w:hAnsi="Arial Black"/>
          <w:sz w:val="24"/>
          <w:szCs w:val="24"/>
        </w:rPr>
        <w:t>9-46</w:t>
      </w:r>
    </w:p>
    <w:p w14:paraId="63576432" w14:textId="77777777" w:rsidR="00213946" w:rsidRDefault="00213946" w:rsidP="005C30A4">
      <w:pPr>
        <w:pStyle w:val="NoSpacing"/>
        <w:rPr>
          <w:rFonts w:ascii="Arial Black" w:hAnsi="Arial Black"/>
          <w:sz w:val="24"/>
          <w:szCs w:val="24"/>
        </w:rPr>
      </w:pPr>
    </w:p>
    <w:p w14:paraId="3AF55B4A" w14:textId="77777777" w:rsidR="00213946" w:rsidRPr="00BF002D" w:rsidRDefault="00213946" w:rsidP="00213946">
      <w:pPr>
        <w:rPr>
          <w:rFonts w:ascii="Arial Black" w:hAnsi="Arial Black"/>
          <w:b/>
          <w:bCs/>
          <w:sz w:val="28"/>
        </w:rPr>
      </w:pPr>
      <w:r>
        <w:rPr>
          <w:rFonts w:ascii="Arial Black" w:hAnsi="Arial Black"/>
          <w:b/>
          <w:bCs/>
          <w:sz w:val="28"/>
        </w:rPr>
        <w:t xml:space="preserve">U.S. SUP. CT: WILL HEAR APPEAL - FF WITH PARKINSON’S – RETIRED LESS 25 YRS - CITY INSUR. SUDSIDY ONLY 2 YRS </w:t>
      </w:r>
    </w:p>
    <w:p w14:paraId="71BBF4B4" w14:textId="77777777" w:rsidR="00213946" w:rsidRPr="00213946" w:rsidRDefault="00213946" w:rsidP="00213946">
      <w:pPr>
        <w:rPr>
          <w:rFonts w:ascii="Times New Roman" w:hAnsi="Times New Roman"/>
          <w:sz w:val="24"/>
          <w:szCs w:val="24"/>
        </w:rPr>
      </w:pPr>
      <w:r w:rsidRPr="00213946">
        <w:rPr>
          <w:rFonts w:ascii="Times New Roman" w:hAnsi="Times New Roman"/>
          <w:sz w:val="24"/>
          <w:szCs w:val="24"/>
        </w:rPr>
        <w:t xml:space="preserve">On June 24, 2024, in </w:t>
      </w:r>
      <w:r w:rsidRPr="00213946">
        <w:rPr>
          <w:rFonts w:ascii="Times New Roman" w:hAnsi="Times New Roman"/>
          <w:sz w:val="24"/>
          <w:szCs w:val="24"/>
          <w:u w:val="single"/>
        </w:rPr>
        <w:t>Karyn Stanley v. City of Sanford, Florida</w:t>
      </w:r>
      <w:r w:rsidRPr="00213946">
        <w:rPr>
          <w:rFonts w:ascii="Times New Roman" w:hAnsi="Times New Roman"/>
          <w:sz w:val="24"/>
          <w:szCs w:val="24"/>
        </w:rPr>
        <w:t xml:space="preserve">, the U.S. Supreme Court agreed to hear the appeal of the retired firefighter (this required votes of at least 4 of 9 Justices). </w:t>
      </w:r>
      <w:hyperlink r:id="rId1704" w:history="1">
        <w:r w:rsidRPr="00213946">
          <w:rPr>
            <w:rStyle w:val="Hyperlink"/>
            <w:rFonts w:ascii="Times New Roman" w:hAnsi="Times New Roman"/>
            <w:sz w:val="24"/>
            <w:szCs w:val="24"/>
          </w:rPr>
          <w:t>https://www.scotusblog.com/2024/06/court-adds-seven-cases-to-next-terms-docket/</w:t>
        </w:r>
      </w:hyperlink>
      <w:r w:rsidRPr="00213946">
        <w:rPr>
          <w:rFonts w:ascii="Times New Roman" w:hAnsi="Times New Roman"/>
          <w:sz w:val="24"/>
          <w:szCs w:val="24"/>
        </w:rPr>
        <w:t xml:space="preserve">. In 2003 the City </w:t>
      </w:r>
      <w:proofErr w:type="gramStart"/>
      <w:r w:rsidRPr="00213946">
        <w:rPr>
          <w:rFonts w:ascii="Times New Roman" w:hAnsi="Times New Roman"/>
          <w:sz w:val="24"/>
          <w:szCs w:val="24"/>
        </w:rPr>
        <w:t>in order to</w:t>
      </w:r>
      <w:proofErr w:type="gramEnd"/>
      <w:r w:rsidRPr="00213946">
        <w:rPr>
          <w:rFonts w:ascii="Times New Roman" w:hAnsi="Times New Roman"/>
          <w:sz w:val="24"/>
          <w:szCs w:val="24"/>
        </w:rPr>
        <w:t xml:space="preserve"> save money stopped paying retirees health insurance subsidy until age 65, unless the employee had 25 years of service, but if retired on disability they would pay for two years ($24,000 paid to plaintiff).   Under former City ordinance when she was hired in 1999, she would have received $216,000 in subsidy.   The plaintiff loss in U.S. District Court and in the 11</w:t>
      </w:r>
      <w:r w:rsidRPr="00213946">
        <w:rPr>
          <w:rFonts w:ascii="Times New Roman" w:hAnsi="Times New Roman"/>
          <w:sz w:val="24"/>
          <w:szCs w:val="24"/>
          <w:vertAlign w:val="superscript"/>
        </w:rPr>
        <w:t>th</w:t>
      </w:r>
      <w:r w:rsidRPr="00213946">
        <w:rPr>
          <w:rFonts w:ascii="Times New Roman" w:hAnsi="Times New Roman"/>
          <w:sz w:val="24"/>
          <w:szCs w:val="24"/>
        </w:rPr>
        <w:t xml:space="preserve"> Circuit, but U.S. Supreme Court may seek to resolve issue of whether a “former” employee is a “qualified individual” under ADA for loss of benefits (NO in 6</w:t>
      </w:r>
      <w:r w:rsidRPr="00213946">
        <w:rPr>
          <w:rFonts w:ascii="Times New Roman" w:hAnsi="Times New Roman"/>
          <w:sz w:val="24"/>
          <w:szCs w:val="24"/>
          <w:vertAlign w:val="superscript"/>
        </w:rPr>
        <w:t>th</w:t>
      </w:r>
      <w:r w:rsidRPr="00213946">
        <w:rPr>
          <w:rFonts w:ascii="Times New Roman" w:hAnsi="Times New Roman"/>
          <w:sz w:val="24"/>
          <w:szCs w:val="24"/>
        </w:rPr>
        <w:t>, 7</w:t>
      </w:r>
      <w:r w:rsidRPr="00213946">
        <w:rPr>
          <w:rFonts w:ascii="Times New Roman" w:hAnsi="Times New Roman"/>
          <w:sz w:val="24"/>
          <w:szCs w:val="24"/>
          <w:vertAlign w:val="superscript"/>
        </w:rPr>
        <w:t>th</w:t>
      </w:r>
      <w:r w:rsidRPr="00213946">
        <w:rPr>
          <w:rFonts w:ascii="Times New Roman" w:hAnsi="Times New Roman"/>
          <w:sz w:val="24"/>
          <w:szCs w:val="24"/>
        </w:rPr>
        <w:t>, 9</w:t>
      </w:r>
      <w:r w:rsidRPr="00213946">
        <w:rPr>
          <w:rFonts w:ascii="Times New Roman" w:hAnsi="Times New Roman"/>
          <w:sz w:val="24"/>
          <w:szCs w:val="24"/>
          <w:vertAlign w:val="superscript"/>
        </w:rPr>
        <w:t>th</w:t>
      </w:r>
      <w:r w:rsidRPr="00213946">
        <w:rPr>
          <w:rFonts w:ascii="Times New Roman" w:hAnsi="Times New Roman"/>
          <w:sz w:val="24"/>
          <w:szCs w:val="24"/>
        </w:rPr>
        <w:t>, 11</w:t>
      </w:r>
      <w:r w:rsidRPr="00213946">
        <w:rPr>
          <w:rFonts w:ascii="Times New Roman" w:hAnsi="Times New Roman"/>
          <w:sz w:val="24"/>
          <w:szCs w:val="24"/>
          <w:vertAlign w:val="superscript"/>
        </w:rPr>
        <w:t>th</w:t>
      </w:r>
      <w:r w:rsidRPr="00213946">
        <w:rPr>
          <w:rFonts w:ascii="Times New Roman" w:hAnsi="Times New Roman"/>
          <w:sz w:val="24"/>
          <w:szCs w:val="24"/>
        </w:rPr>
        <w:t xml:space="preserve"> Circuits; Yes in 2</w:t>
      </w:r>
      <w:r w:rsidRPr="00213946">
        <w:rPr>
          <w:rFonts w:ascii="Times New Roman" w:hAnsi="Times New Roman"/>
          <w:sz w:val="24"/>
          <w:szCs w:val="24"/>
          <w:vertAlign w:val="superscript"/>
        </w:rPr>
        <w:t>nd</w:t>
      </w:r>
      <w:r w:rsidRPr="00213946">
        <w:rPr>
          <w:rFonts w:ascii="Times New Roman" w:hAnsi="Times New Roman"/>
          <w:sz w:val="24"/>
          <w:szCs w:val="24"/>
        </w:rPr>
        <w:t xml:space="preserve"> and 3</w:t>
      </w:r>
      <w:r w:rsidRPr="00213946">
        <w:rPr>
          <w:rFonts w:ascii="Times New Roman" w:hAnsi="Times New Roman"/>
          <w:sz w:val="24"/>
          <w:szCs w:val="24"/>
          <w:vertAlign w:val="superscript"/>
        </w:rPr>
        <w:t>rd</w:t>
      </w:r>
      <w:r w:rsidRPr="00213946">
        <w:rPr>
          <w:rFonts w:ascii="Times New Roman" w:hAnsi="Times New Roman"/>
          <w:sz w:val="24"/>
          <w:szCs w:val="24"/>
        </w:rPr>
        <w:t xml:space="preserve"> Circuits).   </w:t>
      </w:r>
    </w:p>
    <w:p w14:paraId="52A7A0E4"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“In </w:t>
      </w:r>
      <w:hyperlink r:id="rId1705" w:history="1">
        <w:r w:rsidRPr="00213946">
          <w:rPr>
            <w:rStyle w:val="Hyperlink"/>
            <w:rFonts w:ascii="Times New Roman" w:hAnsi="Times New Roman"/>
            <w:i/>
            <w:iCs/>
            <w:sz w:val="24"/>
            <w:szCs w:val="24"/>
          </w:rPr>
          <w:t>Stanley v. City of Sanford, Fla.</w:t>
        </w:r>
      </w:hyperlink>
      <w:r w:rsidRPr="00213946">
        <w:rPr>
          <w:rFonts w:ascii="Times New Roman" w:hAnsi="Times New Roman"/>
          <w:sz w:val="24"/>
          <w:szCs w:val="24"/>
        </w:rPr>
        <w:t xml:space="preserve">, the justices will consider a question arising under the Americans with Disabilities Act: Does a former employee lose her right to sue over discrimination in the provision of benefits that she earned while she was employed? The question comes to the court in the case of Karyn Stanley, who worked as a firefighter for the city of Sanford, Fla., for more than two decades before Parkinson’s disease forced her to retire. She filed a lawsuit under the ADA alleging that the city’s benefits policy discriminated against disabled retirees, but the U.S. Court of Appeals for the 11th Circuit ruled that she was not a ‘qualified individual’ protected by the ADA because she was not currently employed by the city.”  </w:t>
      </w:r>
    </w:p>
    <w:p w14:paraId="03D41C47" w14:textId="77777777" w:rsidR="00213946" w:rsidRPr="00213946" w:rsidRDefault="00213946" w:rsidP="00213946">
      <w:pPr>
        <w:rPr>
          <w:rFonts w:ascii="Times New Roman" w:hAnsi="Times New Roman"/>
          <w:b/>
          <w:bCs/>
          <w:sz w:val="24"/>
          <w:szCs w:val="24"/>
        </w:rPr>
      </w:pPr>
      <w:r w:rsidRPr="00213946">
        <w:rPr>
          <w:rFonts w:ascii="Times New Roman" w:hAnsi="Times New Roman"/>
          <w:b/>
          <w:bCs/>
          <w:sz w:val="24"/>
          <w:szCs w:val="24"/>
        </w:rPr>
        <w:t>THE 11</w:t>
      </w:r>
      <w:r w:rsidRPr="00213946">
        <w:rPr>
          <w:rFonts w:ascii="Times New Roman" w:hAnsi="Times New Roman"/>
          <w:b/>
          <w:bCs/>
          <w:sz w:val="24"/>
          <w:szCs w:val="24"/>
          <w:vertAlign w:val="superscript"/>
        </w:rPr>
        <w:t>TH</w:t>
      </w:r>
      <w:r w:rsidRPr="00213946">
        <w:rPr>
          <w:rFonts w:ascii="Times New Roman" w:hAnsi="Times New Roman"/>
          <w:b/>
          <w:bCs/>
          <w:sz w:val="24"/>
          <w:szCs w:val="24"/>
        </w:rPr>
        <w:t xml:space="preserve"> CIRCUIT DECISION (Oct. 11, 2023): </w:t>
      </w:r>
      <w:hyperlink r:id="rId1706" w:history="1">
        <w:r w:rsidRPr="00213946">
          <w:rPr>
            <w:rStyle w:val="Hyperlink"/>
            <w:rFonts w:ascii="Times New Roman" w:hAnsi="Times New Roman"/>
            <w:b/>
            <w:bCs/>
            <w:sz w:val="24"/>
            <w:szCs w:val="24"/>
          </w:rPr>
          <w:t>https://caselaw.findlaw.com/court/us-11th-circuit/115273034.html</w:t>
        </w:r>
      </w:hyperlink>
      <w:r w:rsidRPr="00213946">
        <w:rPr>
          <w:rFonts w:ascii="Times New Roman" w:hAnsi="Times New Roman"/>
          <w:b/>
          <w:bCs/>
          <w:sz w:val="24"/>
          <w:szCs w:val="24"/>
        </w:rPr>
        <w:t xml:space="preserve"> </w:t>
      </w:r>
    </w:p>
    <w:p w14:paraId="7B4D9446" w14:textId="77777777" w:rsidR="00213946" w:rsidRPr="00213946" w:rsidRDefault="00213946" w:rsidP="00213946">
      <w:pPr>
        <w:ind w:left="720"/>
        <w:rPr>
          <w:rFonts w:ascii="Times New Roman" w:hAnsi="Times New Roman"/>
          <w:sz w:val="24"/>
          <w:szCs w:val="24"/>
        </w:rPr>
      </w:pPr>
      <w:r w:rsidRPr="00213946">
        <w:rPr>
          <w:rFonts w:ascii="Times New Roman" w:hAnsi="Times New Roman"/>
          <w:b/>
          <w:bCs/>
          <w:sz w:val="24"/>
          <w:szCs w:val="24"/>
        </w:rPr>
        <w:t>“</w:t>
      </w:r>
      <w:r w:rsidRPr="00213946">
        <w:rPr>
          <w:rFonts w:ascii="Times New Roman" w:hAnsi="Times New Roman"/>
          <w:sz w:val="24"/>
          <w:szCs w:val="24"/>
        </w:rPr>
        <w:t xml:space="preserve">When Stanley retired, she continued to receive free health insurance through the City. Under a policy in effect when Stanley first joined the fire department, employees retiring for qualifying disability reasons, such as Stanley's Parkinson's disease, received free health insurance until the age of 65. But, unbeknownst to Stanley, the </w:t>
      </w:r>
      <w:proofErr w:type="gramStart"/>
      <w:r w:rsidRPr="00213946">
        <w:rPr>
          <w:rFonts w:ascii="Times New Roman" w:hAnsi="Times New Roman"/>
          <w:sz w:val="24"/>
          <w:szCs w:val="24"/>
        </w:rPr>
        <w:t>City</w:t>
      </w:r>
      <w:proofErr w:type="gramEnd"/>
      <w:r w:rsidRPr="00213946">
        <w:rPr>
          <w:rFonts w:ascii="Times New Roman" w:hAnsi="Times New Roman"/>
          <w:sz w:val="24"/>
          <w:szCs w:val="24"/>
        </w:rPr>
        <w:t xml:space="preserve"> changed its benefits plan in 2003. Under the new plan, disability retirees such as Stanley are entitled to the health insurance subsidy for only twenty-four months after retiring. Stanley was thus set to become responsible for her own health insurance premiums beginning on December 1, 2020. She filed this suit in April 2020, seeking to establish her entitlement to the long-term healthcare subsidy.</w:t>
      </w:r>
    </w:p>
    <w:p w14:paraId="6A3E4261"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w:t>
      </w:r>
    </w:p>
    <w:p w14:paraId="7185744D"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The district court entered judgment for the </w:t>
      </w:r>
      <w:proofErr w:type="gramStart"/>
      <w:r w:rsidRPr="00213946">
        <w:rPr>
          <w:rFonts w:ascii="Times New Roman" w:hAnsi="Times New Roman"/>
          <w:sz w:val="24"/>
          <w:szCs w:val="24"/>
        </w:rPr>
        <w:t>City</w:t>
      </w:r>
      <w:proofErr w:type="gramEnd"/>
      <w:r w:rsidRPr="00213946">
        <w:rPr>
          <w:rFonts w:ascii="Times New Roman" w:hAnsi="Times New Roman"/>
          <w:sz w:val="24"/>
          <w:szCs w:val="24"/>
        </w:rPr>
        <w:t xml:space="preserve">. On a motion to dismiss, the district court concluded that Stanley's claims under the ADA, the Rehab Act, and the Florida Civil Rights Act were insufficiently pleaded. Relying on our decision in Gonzales, the district court reasoned that Stanley could not state a plausible disability discrimination claim because the discriminatory act alleged—the cessation of </w:t>
      </w:r>
      <w:proofErr w:type="gramStart"/>
      <w:r w:rsidRPr="00213946">
        <w:rPr>
          <w:rFonts w:ascii="Times New Roman" w:hAnsi="Times New Roman"/>
          <w:sz w:val="24"/>
          <w:szCs w:val="24"/>
        </w:rPr>
        <w:t>the health</w:t>
      </w:r>
      <w:proofErr w:type="gramEnd"/>
      <w:r w:rsidRPr="00213946">
        <w:rPr>
          <w:rFonts w:ascii="Times New Roman" w:hAnsi="Times New Roman"/>
          <w:sz w:val="24"/>
          <w:szCs w:val="24"/>
        </w:rPr>
        <w:t xml:space="preserve"> insurance premium payments—would occur while Stanley was no longer employed by the City.</w:t>
      </w:r>
    </w:p>
    <w:p w14:paraId="27CBB1D9"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w:t>
      </w:r>
    </w:p>
    <w:p w14:paraId="4C729FAF"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The City's benefits plan advances the legitimate governmental purpose of conserving funds. And its chosen method—decreasing the number of employees for whom the City subsidizes health insurance—is rationally related to that legitimate purpose. </w:t>
      </w:r>
      <w:proofErr w:type="gramStart"/>
      <w:r w:rsidRPr="00213946">
        <w:rPr>
          <w:rFonts w:ascii="Times New Roman" w:hAnsi="Times New Roman"/>
          <w:sz w:val="24"/>
          <w:szCs w:val="24"/>
        </w:rPr>
        <w:t>So</w:t>
      </w:r>
      <w:proofErr w:type="gramEnd"/>
      <w:r w:rsidRPr="00213946">
        <w:rPr>
          <w:rFonts w:ascii="Times New Roman" w:hAnsi="Times New Roman"/>
          <w:sz w:val="24"/>
          <w:szCs w:val="24"/>
        </w:rPr>
        <w:t xml:space="preserve"> there is no equal protection problem here.”</w:t>
      </w:r>
    </w:p>
    <w:p w14:paraId="699AD584" w14:textId="77777777" w:rsidR="00213946" w:rsidRPr="00213946" w:rsidRDefault="00213946" w:rsidP="00213946">
      <w:pPr>
        <w:rPr>
          <w:rFonts w:ascii="Times New Roman" w:hAnsi="Times New Roman"/>
          <w:b/>
          <w:bCs/>
          <w:sz w:val="24"/>
          <w:szCs w:val="24"/>
        </w:rPr>
      </w:pPr>
      <w:r w:rsidRPr="00213946">
        <w:rPr>
          <w:rFonts w:ascii="Times New Roman" w:hAnsi="Times New Roman"/>
          <w:b/>
          <w:bCs/>
          <w:sz w:val="24"/>
          <w:szCs w:val="24"/>
        </w:rPr>
        <w:t>Legal Lesson Learned: The U.S. Supreme Court can resolve the dispute among the Federal Circuit Courts, or Congress can pass clarifying amendment to ADA.</w:t>
      </w:r>
    </w:p>
    <w:p w14:paraId="73FE0F14"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Note: See briefs by </w:t>
      </w:r>
      <w:proofErr w:type="gramStart"/>
      <w:r w:rsidRPr="00213946">
        <w:rPr>
          <w:rFonts w:ascii="Times New Roman" w:hAnsi="Times New Roman"/>
          <w:sz w:val="24"/>
          <w:szCs w:val="24"/>
        </w:rPr>
        <w:t>IAFF, and</w:t>
      </w:r>
      <w:proofErr w:type="gramEnd"/>
      <w:r w:rsidRPr="00213946">
        <w:rPr>
          <w:rFonts w:ascii="Times New Roman" w:hAnsi="Times New Roman"/>
          <w:sz w:val="24"/>
          <w:szCs w:val="24"/>
        </w:rPr>
        <w:t xml:space="preserve"> AFL-CIO and others. </w:t>
      </w:r>
      <w:hyperlink r:id="rId1707" w:history="1">
        <w:r w:rsidRPr="00213946">
          <w:rPr>
            <w:rStyle w:val="Hyperlink"/>
            <w:rFonts w:ascii="Times New Roman" w:hAnsi="Times New Roman"/>
            <w:sz w:val="24"/>
            <w:szCs w:val="24"/>
          </w:rPr>
          <w:t>https://www.scotusblog.com/case-files/cases/stanley-v-city-of-sanford-florida/</w:t>
        </w:r>
      </w:hyperlink>
      <w:r w:rsidRPr="00213946">
        <w:rPr>
          <w:rFonts w:ascii="Times New Roman" w:hAnsi="Times New Roman"/>
          <w:sz w:val="24"/>
          <w:szCs w:val="24"/>
        </w:rPr>
        <w:t xml:space="preserve"> </w:t>
      </w:r>
    </w:p>
    <w:p w14:paraId="181D6697" w14:textId="77777777" w:rsidR="00213946" w:rsidRDefault="00213946" w:rsidP="005C30A4">
      <w:pPr>
        <w:pStyle w:val="NoSpacing"/>
        <w:rPr>
          <w:rFonts w:ascii="Arial Black" w:hAnsi="Arial Black"/>
          <w:sz w:val="24"/>
          <w:szCs w:val="24"/>
        </w:rPr>
      </w:pPr>
    </w:p>
    <w:p w14:paraId="45F8B73A" w14:textId="77777777" w:rsidR="005E497B" w:rsidRDefault="005E497B" w:rsidP="005C30A4">
      <w:pPr>
        <w:pStyle w:val="NoSpacing"/>
        <w:rPr>
          <w:rFonts w:ascii="Arial Black" w:hAnsi="Arial Black"/>
          <w:sz w:val="24"/>
          <w:szCs w:val="24"/>
        </w:rPr>
      </w:pPr>
    </w:p>
    <w:p w14:paraId="3F263331" w14:textId="77777777" w:rsidR="005E497B" w:rsidRDefault="005E497B" w:rsidP="005C30A4">
      <w:pPr>
        <w:pStyle w:val="NoSpacing"/>
        <w:rPr>
          <w:rFonts w:ascii="Arial Black" w:hAnsi="Arial Black"/>
          <w:sz w:val="24"/>
          <w:szCs w:val="24"/>
        </w:rPr>
      </w:pPr>
    </w:p>
    <w:p w14:paraId="671FE398" w14:textId="719A150B" w:rsidR="008D4459" w:rsidRDefault="008D4459" w:rsidP="005C30A4">
      <w:pPr>
        <w:pStyle w:val="NoSpacing"/>
        <w:rPr>
          <w:rFonts w:ascii="Arial Black" w:hAnsi="Arial Black"/>
          <w:sz w:val="24"/>
          <w:szCs w:val="24"/>
        </w:rPr>
      </w:pPr>
      <w:r>
        <w:rPr>
          <w:rFonts w:ascii="Arial Black" w:hAnsi="Arial Black"/>
          <w:sz w:val="24"/>
          <w:szCs w:val="24"/>
        </w:rPr>
        <w:t>9-</w:t>
      </w:r>
      <w:r w:rsidR="00264998">
        <w:rPr>
          <w:rFonts w:ascii="Arial Black" w:hAnsi="Arial Black"/>
          <w:sz w:val="24"/>
          <w:szCs w:val="24"/>
        </w:rPr>
        <w:t>45</w:t>
      </w:r>
    </w:p>
    <w:p w14:paraId="4E4AC632" w14:textId="77777777" w:rsidR="00264998" w:rsidRDefault="00264998" w:rsidP="005C30A4">
      <w:pPr>
        <w:pStyle w:val="NoSpacing"/>
        <w:rPr>
          <w:rFonts w:ascii="Arial Black" w:hAnsi="Arial Black"/>
          <w:sz w:val="24"/>
          <w:szCs w:val="24"/>
        </w:rPr>
      </w:pPr>
    </w:p>
    <w:p w14:paraId="0C959699" w14:textId="77777777" w:rsidR="00264998" w:rsidRDefault="00264998" w:rsidP="00264998">
      <w:pPr>
        <w:rPr>
          <w:rFonts w:ascii="Arial Black" w:hAnsi="Arial Black"/>
          <w:sz w:val="28"/>
          <w:szCs w:val="28"/>
        </w:rPr>
      </w:pPr>
      <w:r>
        <w:rPr>
          <w:rFonts w:ascii="Arial Black" w:hAnsi="Arial Black"/>
          <w:sz w:val="28"/>
          <w:szCs w:val="28"/>
        </w:rPr>
        <w:t>U.S. SUP. CT:  AGREES TO HEAR FF PARKINSON’S CASE – OCT. 2024 TERM - INSURANCE REDUCED 2-YRS – CIR. SPLIT</w:t>
      </w:r>
    </w:p>
    <w:p w14:paraId="61BF1697" w14:textId="77777777" w:rsidR="00264998" w:rsidRDefault="00264998" w:rsidP="00264998">
      <w:pPr>
        <w:rPr>
          <w:rFonts w:ascii="Times New Roman" w:hAnsi="Times New Roman"/>
          <w:sz w:val="24"/>
          <w:szCs w:val="24"/>
        </w:rPr>
      </w:pPr>
      <w:r>
        <w:rPr>
          <w:rFonts w:ascii="Times New Roman" w:hAnsi="Times New Roman"/>
          <w:sz w:val="24"/>
          <w:szCs w:val="24"/>
        </w:rPr>
        <w:t xml:space="preserve">On June 24, 2024, in </w:t>
      </w:r>
      <w:r>
        <w:rPr>
          <w:rFonts w:ascii="Times New Roman" w:hAnsi="Times New Roman"/>
          <w:sz w:val="24"/>
          <w:szCs w:val="24"/>
          <w:u w:val="single"/>
        </w:rPr>
        <w:t>Karyn D. Stanley v.  City of Sanford, Florida</w:t>
      </w:r>
      <w:r>
        <w:rPr>
          <w:rFonts w:ascii="Times New Roman" w:hAnsi="Times New Roman"/>
          <w:sz w:val="24"/>
          <w:szCs w:val="24"/>
        </w:rPr>
        <w:t xml:space="preserve">, the U.S. Supreme Court granted firefighter’s petition for writ of certiorari (requires 4 votes of 9 Justices) and will schedule oral arguments during next Term. </w:t>
      </w:r>
      <w:hyperlink r:id="rId1708" w:history="1">
        <w:r>
          <w:rPr>
            <w:rStyle w:val="Hyperlink"/>
            <w:rFonts w:ascii="Times New Roman" w:hAnsi="Times New Roman"/>
            <w:sz w:val="24"/>
            <w:szCs w:val="24"/>
          </w:rPr>
          <w:t>https://www.supremecourt.gov/orders/courtorders/062424zor_e18f.pdf</w:t>
        </w:r>
      </w:hyperlink>
      <w:r>
        <w:rPr>
          <w:rFonts w:ascii="Times New Roman" w:hAnsi="Times New Roman"/>
          <w:sz w:val="24"/>
          <w:szCs w:val="24"/>
        </w:rPr>
        <w:t xml:space="preserve">.  Lt. Stanley retired on disability in 2018; she then learned that City in 2003 had reduced free medical insurance for disabled employees to two years coverage (was previously provided until age 65).  Her lawsuit was dismissed by U.S. District Court judge, and the dismissal was upheld on Oct. 11, </w:t>
      </w:r>
      <w:proofErr w:type="gramStart"/>
      <w:r>
        <w:rPr>
          <w:rFonts w:ascii="Times New Roman" w:hAnsi="Times New Roman"/>
          <w:sz w:val="24"/>
          <w:szCs w:val="24"/>
        </w:rPr>
        <w:t>2023</w:t>
      </w:r>
      <w:proofErr w:type="gramEnd"/>
      <w:r>
        <w:rPr>
          <w:rFonts w:ascii="Times New Roman" w:hAnsi="Times New Roman"/>
          <w:sz w:val="24"/>
          <w:szCs w:val="24"/>
        </w:rPr>
        <w:t xml:space="preserve"> by a 3-judge panel of 11</w:t>
      </w:r>
      <w:r>
        <w:rPr>
          <w:rFonts w:ascii="Times New Roman" w:hAnsi="Times New Roman"/>
          <w:sz w:val="24"/>
          <w:szCs w:val="24"/>
          <w:vertAlign w:val="superscript"/>
        </w:rPr>
        <w:t>th</w:t>
      </w:r>
      <w:r>
        <w:rPr>
          <w:rFonts w:ascii="Times New Roman" w:hAnsi="Times New Roman"/>
          <w:sz w:val="24"/>
          <w:szCs w:val="24"/>
        </w:rPr>
        <w:t xml:space="preserve"> Circuit (Atlanta) – their strict review of ADA statute language appears to limit lawsuits to only current employees and applicants. Other federal Circuits (2</w:t>
      </w:r>
      <w:r>
        <w:rPr>
          <w:rFonts w:ascii="Times New Roman" w:hAnsi="Times New Roman"/>
          <w:sz w:val="24"/>
          <w:szCs w:val="24"/>
          <w:vertAlign w:val="superscript"/>
        </w:rPr>
        <w:t>nd</w:t>
      </w:r>
      <w:r>
        <w:rPr>
          <w:rFonts w:ascii="Times New Roman" w:hAnsi="Times New Roman"/>
          <w:sz w:val="24"/>
          <w:szCs w:val="24"/>
        </w:rPr>
        <w:t xml:space="preserve"> &amp; 3</w:t>
      </w:r>
      <w:r>
        <w:rPr>
          <w:rFonts w:ascii="Times New Roman" w:hAnsi="Times New Roman"/>
          <w:sz w:val="24"/>
          <w:szCs w:val="24"/>
          <w:vertAlign w:val="superscript"/>
        </w:rPr>
        <w:t>rd</w:t>
      </w:r>
      <w:r>
        <w:rPr>
          <w:rFonts w:ascii="Times New Roman" w:hAnsi="Times New Roman"/>
          <w:sz w:val="24"/>
          <w:szCs w:val="24"/>
        </w:rPr>
        <w:t xml:space="preserve"> Circuits) disagree and have held that retirees can also sue under ADA. </w:t>
      </w:r>
      <w:hyperlink r:id="rId1709" w:history="1">
        <w:r>
          <w:rPr>
            <w:rStyle w:val="Hyperlink"/>
            <w:rFonts w:ascii="Times New Roman" w:hAnsi="Times New Roman"/>
            <w:sz w:val="24"/>
            <w:szCs w:val="24"/>
          </w:rPr>
          <w:t>https://cases.justia.com/federal/appellate-courts/ca11/22-10002/22-10002-2023-10-11.pdf?ts=1697045568</w:t>
        </w:r>
      </w:hyperlink>
      <w:r>
        <w:rPr>
          <w:rFonts w:ascii="Times New Roman" w:hAnsi="Times New Roman"/>
          <w:sz w:val="24"/>
          <w:szCs w:val="24"/>
        </w:rPr>
        <w:t xml:space="preserve"> </w:t>
      </w:r>
    </w:p>
    <w:p w14:paraId="7AD282BB" w14:textId="77777777" w:rsidR="00264998" w:rsidRDefault="00264998" w:rsidP="00264998">
      <w:pPr>
        <w:pStyle w:val="NoSpacing"/>
        <w:ind w:left="720"/>
        <w:rPr>
          <w:rFonts w:ascii="Times New Roman" w:hAnsi="Times New Roman"/>
          <w:sz w:val="24"/>
          <w:szCs w:val="24"/>
        </w:rPr>
      </w:pPr>
    </w:p>
    <w:p w14:paraId="78EE4501" w14:textId="77777777" w:rsidR="00264998" w:rsidRDefault="00264998" w:rsidP="00264998">
      <w:pPr>
        <w:rPr>
          <w:rFonts w:ascii="Times New Roman" w:hAnsi="Times New Roman"/>
          <w:sz w:val="24"/>
          <w:szCs w:val="24"/>
        </w:rPr>
      </w:pPr>
      <w:r>
        <w:rPr>
          <w:rFonts w:ascii="Times New Roman" w:hAnsi="Times New Roman"/>
          <w:sz w:val="24"/>
          <w:szCs w:val="24"/>
        </w:rPr>
        <w:t>11</w:t>
      </w:r>
      <w:r>
        <w:rPr>
          <w:rFonts w:ascii="Times New Roman" w:hAnsi="Times New Roman"/>
          <w:sz w:val="24"/>
          <w:szCs w:val="24"/>
          <w:vertAlign w:val="superscript"/>
        </w:rPr>
        <w:t>th</w:t>
      </w:r>
      <w:r>
        <w:rPr>
          <w:rFonts w:ascii="Times New Roman" w:hAnsi="Times New Roman"/>
          <w:sz w:val="24"/>
          <w:szCs w:val="24"/>
        </w:rPr>
        <w:t xml:space="preserve"> CIRCUIT HELD:</w:t>
      </w:r>
    </w:p>
    <w:p w14:paraId="67DA27FA"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“We believe Gonzales [v. Garner Food Services, Inc., 89 F.3d 1523 (11th Cir. 1996)] is still good law. We thus reaffirm that a Title I plaintiff must ‘hold[] or desire[]’ an employment position with the defendant at the time of the defendant’s allegedly wrong-</w:t>
      </w:r>
    </w:p>
    <w:p w14:paraId="373CA253" w14:textId="77777777" w:rsidR="00264998" w:rsidRDefault="00264998" w:rsidP="00264998">
      <w:pPr>
        <w:pStyle w:val="NoSpacing"/>
        <w:ind w:left="720"/>
        <w:rPr>
          <w:rFonts w:ascii="Times New Roman" w:hAnsi="Times New Roman"/>
          <w:sz w:val="24"/>
          <w:szCs w:val="24"/>
        </w:rPr>
      </w:pPr>
      <w:proofErr w:type="spellStart"/>
      <w:r>
        <w:rPr>
          <w:rFonts w:ascii="Times New Roman" w:hAnsi="Times New Roman"/>
          <w:sz w:val="24"/>
          <w:szCs w:val="24"/>
        </w:rPr>
        <w:t>ful</w:t>
      </w:r>
      <w:proofErr w:type="spellEnd"/>
      <w:r>
        <w:rPr>
          <w:rFonts w:ascii="Times New Roman" w:hAnsi="Times New Roman"/>
          <w:sz w:val="24"/>
          <w:szCs w:val="24"/>
        </w:rPr>
        <w:t xml:space="preserve"> act. 42 U.S.C. § 12111(8). Because plaintiff Karyn Stanley is suing over the termination of retirement benefits when she neither held nor desired to hold an employment position with her former employer, the City of Sanford, Gonzales bars her claim. We therefore affirm the district court.</w:t>
      </w:r>
    </w:p>
    <w:p w14:paraId="2C2C1156" w14:textId="77777777" w:rsidR="00264998" w:rsidRDefault="00264998" w:rsidP="00264998">
      <w:pPr>
        <w:pStyle w:val="NoSpacing"/>
        <w:ind w:left="720"/>
        <w:rPr>
          <w:rFonts w:ascii="Times New Roman" w:hAnsi="Times New Roman"/>
          <w:sz w:val="24"/>
          <w:szCs w:val="24"/>
        </w:rPr>
      </w:pPr>
    </w:p>
    <w:p w14:paraId="31A1D926"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w:t>
      </w:r>
    </w:p>
    <w:p w14:paraId="29145688"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 xml:space="preserve">Title I’s anti-discrimination provision is not afflicted with any such ambiguity. There is a clear temporal qualifier in Title I: Only someone ‘who, with or without reasonable accommodation, can perform the essential functions of the employment position that such individual holds or </w:t>
      </w:r>
      <w:proofErr w:type="gramStart"/>
      <w:r>
        <w:rPr>
          <w:rFonts w:ascii="Times New Roman" w:hAnsi="Times New Roman"/>
          <w:sz w:val="24"/>
          <w:szCs w:val="24"/>
        </w:rPr>
        <w:t>desires’</w:t>
      </w:r>
      <w:proofErr w:type="gramEnd"/>
      <w:r>
        <w:rPr>
          <w:rFonts w:ascii="Times New Roman" w:hAnsi="Times New Roman"/>
          <w:sz w:val="24"/>
          <w:szCs w:val="24"/>
        </w:rPr>
        <w:t xml:space="preserve"> is protected from disability discrimination. 42 U.S.C. §§ 12111(8) (emphases added), 12112(a); see also </w:t>
      </w:r>
      <w:proofErr w:type="spellStart"/>
      <w:r>
        <w:rPr>
          <w:rFonts w:ascii="Times New Roman" w:hAnsi="Times New Roman"/>
          <w:sz w:val="24"/>
          <w:szCs w:val="24"/>
        </w:rPr>
        <w:t>Slomcenski</w:t>
      </w:r>
      <w:proofErr w:type="spellEnd"/>
      <w:r>
        <w:rPr>
          <w:rFonts w:ascii="Times New Roman" w:hAnsi="Times New Roman"/>
          <w:sz w:val="24"/>
          <w:szCs w:val="24"/>
        </w:rPr>
        <w:t xml:space="preserve"> v. Citibank, N.A., 432 F.3d 1271, 1280–81 (11th Cir. 2005). ‘Can,’ ‘holds,’ and ‘desires’ are in the present tense. So, to be a victim of unlawful disability discrimination, the plaintiff must desire or already have a job with the defendant at the time the defendant commits the discriminatory </w:t>
      </w:r>
      <w:proofErr w:type="gramStart"/>
      <w:r>
        <w:rPr>
          <w:rFonts w:ascii="Times New Roman" w:hAnsi="Times New Roman"/>
          <w:sz w:val="24"/>
          <w:szCs w:val="24"/>
        </w:rPr>
        <w:t>act.”</w:t>
      </w:r>
      <w:proofErr w:type="gramEnd"/>
      <w:r>
        <w:rPr>
          <w:rFonts w:ascii="Times New Roman" w:hAnsi="Times New Roman"/>
          <w:sz w:val="24"/>
          <w:szCs w:val="24"/>
        </w:rPr>
        <w:t xml:space="preserve"> </w:t>
      </w:r>
      <w:hyperlink r:id="rId1710" w:history="1">
        <w:r>
          <w:rPr>
            <w:rStyle w:val="Hyperlink"/>
            <w:rFonts w:ascii="Times New Roman" w:hAnsi="Times New Roman"/>
            <w:sz w:val="24"/>
            <w:szCs w:val="24"/>
          </w:rPr>
          <w:t>https://cases.justia.com/federal/appellate-courts/ca11/22-10002/22-10002-2023-10-11.pdf?ts=1697045568</w:t>
        </w:r>
      </w:hyperlink>
      <w:r>
        <w:rPr>
          <w:rFonts w:ascii="Times New Roman" w:hAnsi="Times New Roman"/>
          <w:sz w:val="24"/>
          <w:szCs w:val="24"/>
        </w:rPr>
        <w:t xml:space="preserve"> </w:t>
      </w:r>
    </w:p>
    <w:p w14:paraId="0C485D13" w14:textId="77777777" w:rsidR="00264998" w:rsidRDefault="00264998" w:rsidP="00264998">
      <w:pPr>
        <w:rPr>
          <w:rFonts w:ascii="Times New Roman" w:hAnsi="Times New Roman"/>
          <w:sz w:val="24"/>
          <w:szCs w:val="24"/>
        </w:rPr>
      </w:pPr>
    </w:p>
    <w:p w14:paraId="4F27682F" w14:textId="77777777" w:rsidR="00264998" w:rsidRDefault="00264998" w:rsidP="00264998">
      <w:pPr>
        <w:rPr>
          <w:rFonts w:ascii="Times New Roman" w:hAnsi="Times New Roman"/>
          <w:sz w:val="24"/>
          <w:szCs w:val="24"/>
        </w:rPr>
      </w:pPr>
      <w:r>
        <w:rPr>
          <w:rFonts w:ascii="Times New Roman" w:hAnsi="Times New Roman"/>
          <w:sz w:val="24"/>
          <w:szCs w:val="24"/>
        </w:rPr>
        <w:t>FACTS:</w:t>
      </w:r>
    </w:p>
    <w:p w14:paraId="35D4BB73"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“Karyn Stanley became a firefighter for the City of Sanford, Florida, in 1999. She served the City in that capacity for about fifteen years until she was diagnosed with Parkinson’s disease in 2016. Although she managed to continue working as a firefighter for</w:t>
      </w:r>
    </w:p>
    <w:p w14:paraId="3D280597" w14:textId="77777777" w:rsidR="00264998" w:rsidRDefault="00264998" w:rsidP="00264998">
      <w:pPr>
        <w:pStyle w:val="NoSpacing"/>
        <w:ind w:left="720"/>
        <w:rPr>
          <w:rFonts w:ascii="Times New Roman" w:hAnsi="Times New Roman"/>
          <w:sz w:val="24"/>
          <w:szCs w:val="24"/>
        </w:rPr>
      </w:pPr>
      <w:proofErr w:type="gramStart"/>
      <w:r>
        <w:rPr>
          <w:rFonts w:ascii="Times New Roman" w:hAnsi="Times New Roman"/>
          <w:sz w:val="24"/>
          <w:szCs w:val="24"/>
        </w:rPr>
        <w:t>about</w:t>
      </w:r>
      <w:proofErr w:type="gramEnd"/>
      <w:r>
        <w:rPr>
          <w:rFonts w:ascii="Times New Roman" w:hAnsi="Times New Roman"/>
          <w:sz w:val="24"/>
          <w:szCs w:val="24"/>
        </w:rPr>
        <w:t xml:space="preserve"> two more years, her disease and accompanying physical disabilities eventually left her incapable of performing her job. So, at the age of 47, Stanley took disability retirement on November 1, 2018. When Stanley retired, she continued to receive free health insurance through the City. Under a policy in effect when Stanley first joined the fire department, employees retiring for qualifying disability reasons, such as Stanley’s Parkinson’s disease, received free health insurance until the age of 65. But, unbeknownst to Stanley, the </w:t>
      </w:r>
      <w:proofErr w:type="gramStart"/>
      <w:r>
        <w:rPr>
          <w:rFonts w:ascii="Times New Roman" w:hAnsi="Times New Roman"/>
          <w:sz w:val="24"/>
          <w:szCs w:val="24"/>
        </w:rPr>
        <w:t>City</w:t>
      </w:r>
      <w:proofErr w:type="gramEnd"/>
      <w:r>
        <w:rPr>
          <w:rFonts w:ascii="Times New Roman" w:hAnsi="Times New Roman"/>
          <w:sz w:val="24"/>
          <w:szCs w:val="24"/>
        </w:rPr>
        <w:t xml:space="preserve"> changed its benefits plan in 2003. Under the new plan, disability retirees such as Stanley are entitled to the health insurance subsidy for only twenty-four months after retiring. Stanley was thus set to become responsible for her own health insurance premiums beginning on December 1, 2020. She filed this suit in April 2020, seeking to establish her entitlement to the long-term healthcare subsidy.”</w:t>
      </w:r>
    </w:p>
    <w:p w14:paraId="436B5164" w14:textId="77777777" w:rsidR="00264998" w:rsidRDefault="00264998" w:rsidP="00264998">
      <w:pPr>
        <w:pStyle w:val="NoSpacing"/>
        <w:rPr>
          <w:rFonts w:ascii="Times New Roman" w:hAnsi="Times New Roman"/>
          <w:b/>
          <w:bCs/>
          <w:sz w:val="24"/>
          <w:szCs w:val="24"/>
        </w:rPr>
      </w:pPr>
    </w:p>
    <w:p w14:paraId="071E3383" w14:textId="77777777" w:rsidR="00264998" w:rsidRDefault="00264998" w:rsidP="00264998">
      <w:pPr>
        <w:pStyle w:val="NoSpacing"/>
        <w:rPr>
          <w:rFonts w:ascii="Times New Roman" w:hAnsi="Times New Roman"/>
          <w:b/>
          <w:bCs/>
          <w:sz w:val="24"/>
          <w:szCs w:val="24"/>
        </w:rPr>
      </w:pPr>
      <w:r>
        <w:rPr>
          <w:rFonts w:ascii="Times New Roman" w:hAnsi="Times New Roman"/>
          <w:b/>
          <w:bCs/>
          <w:sz w:val="24"/>
          <w:szCs w:val="24"/>
        </w:rPr>
        <w:t xml:space="preserve">Legal Lesson Learned: The U.S. Supreme Court has agreed to hear this case; presumably to resolve the split in Circuit Court decisions on whether ADA protects retired disabled employees when the employer changes pension benefits. </w:t>
      </w:r>
    </w:p>
    <w:p w14:paraId="2CAAD553" w14:textId="77777777" w:rsidR="00264998" w:rsidRDefault="00264998" w:rsidP="00264998">
      <w:pPr>
        <w:pStyle w:val="NoSpacing"/>
        <w:rPr>
          <w:rFonts w:ascii="Times New Roman" w:hAnsi="Times New Roman"/>
          <w:sz w:val="24"/>
          <w:szCs w:val="24"/>
        </w:rPr>
      </w:pPr>
    </w:p>
    <w:p w14:paraId="30C6957D" w14:textId="77777777" w:rsidR="00264998" w:rsidRDefault="00264998" w:rsidP="00264998">
      <w:pPr>
        <w:ind w:left="720"/>
        <w:rPr>
          <w:rFonts w:ascii="Times New Roman" w:hAnsi="Times New Roman"/>
          <w:sz w:val="24"/>
          <w:szCs w:val="24"/>
        </w:rPr>
      </w:pPr>
      <w:r>
        <w:rPr>
          <w:rFonts w:ascii="Times New Roman" w:hAnsi="Times New Roman"/>
          <w:sz w:val="24"/>
          <w:szCs w:val="24"/>
        </w:rPr>
        <w:t>Note: See these Briefs filed with U.S. Supreme Court:</w:t>
      </w:r>
    </w:p>
    <w:p w14:paraId="4D61A910" w14:textId="77777777" w:rsidR="00264998" w:rsidRDefault="00264998" w:rsidP="00264998">
      <w:pPr>
        <w:ind w:left="720"/>
        <w:rPr>
          <w:rFonts w:ascii="Times New Roman" w:hAnsi="Times New Roman"/>
          <w:sz w:val="24"/>
          <w:szCs w:val="24"/>
        </w:rPr>
      </w:pPr>
      <w:r>
        <w:rPr>
          <w:rFonts w:ascii="Times New Roman" w:hAnsi="Times New Roman"/>
          <w:sz w:val="24"/>
          <w:szCs w:val="24"/>
        </w:rPr>
        <w:t>CITY’s BRIEF:</w:t>
      </w:r>
    </w:p>
    <w:p w14:paraId="369F9DAF" w14:textId="77777777" w:rsidR="00264998" w:rsidRDefault="00264998" w:rsidP="00264998">
      <w:pPr>
        <w:ind w:left="1440"/>
        <w:rPr>
          <w:rFonts w:ascii="Times New Roman" w:hAnsi="Times New Roman"/>
          <w:sz w:val="24"/>
          <w:szCs w:val="24"/>
        </w:rPr>
      </w:pPr>
      <w:r>
        <w:rPr>
          <w:rFonts w:ascii="Times New Roman" w:hAnsi="Times New Roman"/>
          <w:sz w:val="24"/>
          <w:szCs w:val="24"/>
        </w:rPr>
        <w:t xml:space="preserve">“Thus, for just one employee like Petitioner retiring early at the age of 47, payment of the subsidy to age 65 would have cost the </w:t>
      </w:r>
      <w:proofErr w:type="gramStart"/>
      <w:r>
        <w:rPr>
          <w:rFonts w:ascii="Times New Roman" w:hAnsi="Times New Roman"/>
          <w:sz w:val="24"/>
          <w:szCs w:val="24"/>
        </w:rPr>
        <w:t>City</w:t>
      </w:r>
      <w:proofErr w:type="gramEnd"/>
      <w:r>
        <w:rPr>
          <w:rFonts w:ascii="Times New Roman" w:hAnsi="Times New Roman"/>
          <w:sz w:val="24"/>
          <w:szCs w:val="24"/>
        </w:rPr>
        <w:t xml:space="preserve"> over $216,000.00.” [City’s Brief in Opposition; </w:t>
      </w:r>
      <w:hyperlink r:id="rId1711" w:history="1">
        <w:r>
          <w:rPr>
            <w:rStyle w:val="Hyperlink"/>
            <w:rFonts w:ascii="Times New Roman" w:hAnsi="Times New Roman"/>
            <w:sz w:val="24"/>
            <w:szCs w:val="24"/>
          </w:rPr>
          <w:t>https://www.supremecourt.gov/DocketPDF/23/23-997/309679/20240513145152474_23-997%20Brief%20in%20Opposition%20Final.pdf</w:t>
        </w:r>
      </w:hyperlink>
      <w:r>
        <w:rPr>
          <w:rFonts w:ascii="Times New Roman" w:hAnsi="Times New Roman"/>
          <w:sz w:val="24"/>
          <w:szCs w:val="24"/>
        </w:rPr>
        <w:t>.]</w:t>
      </w:r>
    </w:p>
    <w:p w14:paraId="2471185E" w14:textId="77777777" w:rsidR="00264998" w:rsidRDefault="00264998" w:rsidP="00264998">
      <w:pPr>
        <w:ind w:left="720"/>
        <w:rPr>
          <w:rFonts w:ascii="Times New Roman" w:hAnsi="Times New Roman"/>
          <w:sz w:val="24"/>
          <w:szCs w:val="24"/>
        </w:rPr>
      </w:pPr>
      <w:r>
        <w:rPr>
          <w:rFonts w:ascii="Times New Roman" w:hAnsi="Times New Roman"/>
          <w:sz w:val="24"/>
          <w:szCs w:val="24"/>
        </w:rPr>
        <w:t xml:space="preserve">LT. STANLEY’S REPLY BRIEF: </w:t>
      </w:r>
    </w:p>
    <w:p w14:paraId="21C0A72A"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City</w:t>
      </w:r>
      <w:proofErr w:type="gramEnd"/>
      <w:r>
        <w:rPr>
          <w:rFonts w:ascii="Times New Roman" w:hAnsi="Times New Roman"/>
          <w:sz w:val="24"/>
          <w:szCs w:val="24"/>
        </w:rPr>
        <w:t xml:space="preserve"> concedes that there is a longstanding ‘circuit split” over whether former employees can sue for discrimination with respect to their post-employment benefits under the ADA…. It recognizes the same two-to-four split outlined in the petition: Although the Second and Third Circuits permit former employees to sue with respect to post-employment benefits, the Sixth, Seventh, Ninth, and Eleventh Circuits do not.</w:t>
      </w:r>
    </w:p>
    <w:p w14:paraId="76D9C800" w14:textId="77777777" w:rsidR="00264998" w:rsidRDefault="00264998" w:rsidP="00264998">
      <w:pPr>
        <w:pStyle w:val="NoSpacing"/>
        <w:ind w:left="720"/>
        <w:rPr>
          <w:rFonts w:ascii="Times New Roman" w:hAnsi="Times New Roman"/>
          <w:sz w:val="24"/>
          <w:szCs w:val="24"/>
        </w:rPr>
      </w:pPr>
    </w:p>
    <w:p w14:paraId="1BDAAEB9"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2F6DB976" w14:textId="77777777" w:rsidR="00264998" w:rsidRDefault="00264998" w:rsidP="00264998">
      <w:pPr>
        <w:pStyle w:val="NoSpacing"/>
        <w:ind w:left="720"/>
        <w:rPr>
          <w:rFonts w:ascii="Times New Roman" w:hAnsi="Times New Roman"/>
          <w:sz w:val="24"/>
          <w:szCs w:val="24"/>
        </w:rPr>
      </w:pPr>
    </w:p>
    <w:p w14:paraId="1F70BDEF"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The City doesn’t contest that, when the City offered her the firefighter job, her employment package included a retirement ‘health insurance subsidy.’ Pet. App. 3a. Nor does it dispute, as the courts below recognized, that this subsidy was ‘a stand-alone fringe benefit of employment with [the] Defendant.’ Pet. App. 21a. The fringe benefit was thus covered by the ADA as part of the ‘terms, conditions, and privileges of [her] employment.’ 42 U.S.C. §§ 12111(8), 12112(a). That doesn’t mean that on remand the </w:t>
      </w:r>
      <w:proofErr w:type="gramStart"/>
      <w:r>
        <w:rPr>
          <w:rFonts w:ascii="Times New Roman" w:hAnsi="Times New Roman"/>
          <w:sz w:val="24"/>
          <w:szCs w:val="24"/>
        </w:rPr>
        <w:t>City</w:t>
      </w:r>
      <w:proofErr w:type="gramEnd"/>
      <w:r>
        <w:rPr>
          <w:rFonts w:ascii="Times New Roman" w:hAnsi="Times New Roman"/>
          <w:sz w:val="24"/>
          <w:szCs w:val="24"/>
        </w:rPr>
        <w:t xml:space="preserve"> won’t be able to argue that Ms. Stanley’s twenty years of service didn’t sufficiently ‘earn’ her the subsidy she was promised. The </w:t>
      </w:r>
      <w:proofErr w:type="gramStart"/>
      <w:r>
        <w:rPr>
          <w:rFonts w:ascii="Times New Roman" w:hAnsi="Times New Roman"/>
          <w:sz w:val="24"/>
          <w:szCs w:val="24"/>
        </w:rPr>
        <w:t>City</w:t>
      </w:r>
      <w:proofErr w:type="gramEnd"/>
      <w:r>
        <w:rPr>
          <w:rFonts w:ascii="Times New Roman" w:hAnsi="Times New Roman"/>
          <w:sz w:val="24"/>
          <w:szCs w:val="24"/>
        </w:rPr>
        <w:t xml:space="preserve"> can make whatever arguments it wants on </w:t>
      </w:r>
      <w:proofErr w:type="gramStart"/>
      <w:r>
        <w:rPr>
          <w:rFonts w:ascii="Times New Roman" w:hAnsi="Times New Roman"/>
          <w:sz w:val="24"/>
          <w:szCs w:val="24"/>
        </w:rPr>
        <w:t>remand</w:t>
      </w:r>
      <w:proofErr w:type="gramEnd"/>
      <w:r>
        <w:rPr>
          <w:rFonts w:ascii="Times New Roman" w:hAnsi="Times New Roman"/>
          <w:sz w:val="24"/>
          <w:szCs w:val="24"/>
        </w:rPr>
        <w:t xml:space="preserve">. But none of that bears on whether litigants in Ms. Stanley’s shoes can bring suit under the ADA in the first place.”  [Plaintiff’s Reply Brief; </w:t>
      </w:r>
      <w:hyperlink r:id="rId1712" w:history="1">
        <w:r>
          <w:rPr>
            <w:rStyle w:val="Hyperlink"/>
            <w:rFonts w:ascii="Times New Roman" w:hAnsi="Times New Roman"/>
            <w:sz w:val="24"/>
            <w:szCs w:val="24"/>
          </w:rPr>
          <w:t>https://www.supremecourt.gov/DocketPDF/23/23-997/311779/20240528141949268_23-997%20Stanley%20Reply%20In%20Support%20of%20Certiorari.pdf</w:t>
        </w:r>
      </w:hyperlink>
      <w:r>
        <w:rPr>
          <w:rFonts w:ascii="Times New Roman" w:hAnsi="Times New Roman"/>
          <w:sz w:val="24"/>
          <w:szCs w:val="24"/>
        </w:rPr>
        <w:t xml:space="preserve"> .] </w:t>
      </w:r>
    </w:p>
    <w:p w14:paraId="43333A0A" w14:textId="77777777" w:rsidR="00264998" w:rsidRDefault="00264998" w:rsidP="00264998">
      <w:pPr>
        <w:pStyle w:val="NoSpacing"/>
        <w:rPr>
          <w:rFonts w:ascii="Times New Roman" w:hAnsi="Times New Roman"/>
          <w:sz w:val="24"/>
          <w:szCs w:val="24"/>
        </w:rPr>
      </w:pPr>
    </w:p>
    <w:p w14:paraId="1F465EA9"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IAFF AMICUS BRIEF:</w:t>
      </w:r>
    </w:p>
    <w:p w14:paraId="69AA48BE" w14:textId="77777777" w:rsidR="00264998" w:rsidRDefault="00264998" w:rsidP="00264998">
      <w:pPr>
        <w:pStyle w:val="NoSpacing"/>
        <w:rPr>
          <w:rFonts w:ascii="Times New Roman" w:hAnsi="Times New Roman"/>
          <w:sz w:val="24"/>
          <w:szCs w:val="24"/>
        </w:rPr>
      </w:pPr>
    </w:p>
    <w:p w14:paraId="44B5889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“This amicus brief is submitted in support of the Petition for Certiorari filed by Petitioner, Lt. Karyn D. Stanley (Ret.), who throughout her distinguished </w:t>
      </w:r>
      <w:proofErr w:type="spellStart"/>
      <w:r>
        <w:rPr>
          <w:rFonts w:ascii="Times New Roman" w:hAnsi="Times New Roman"/>
          <w:sz w:val="24"/>
          <w:szCs w:val="24"/>
        </w:rPr>
        <w:t>fire fighting</w:t>
      </w:r>
      <w:proofErr w:type="spellEnd"/>
      <w:r>
        <w:rPr>
          <w:rFonts w:ascii="Times New Roman" w:hAnsi="Times New Roman"/>
          <w:sz w:val="24"/>
          <w:szCs w:val="24"/>
        </w:rPr>
        <w:t xml:space="preserve"> career has been a member of one IAFF affiliate, the Sanford Professional Firefighters, IAFF Local 3996.</w:t>
      </w:r>
    </w:p>
    <w:p w14:paraId="03454A4B" w14:textId="77777777" w:rsidR="00264998" w:rsidRDefault="00264998" w:rsidP="00264998">
      <w:pPr>
        <w:pStyle w:val="NoSpacing"/>
        <w:ind w:left="720"/>
        <w:rPr>
          <w:rFonts w:ascii="Times New Roman" w:hAnsi="Times New Roman"/>
          <w:sz w:val="24"/>
          <w:szCs w:val="24"/>
        </w:rPr>
      </w:pPr>
    </w:p>
    <w:p w14:paraId="143FDF6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71699F06"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Notwithstanding these developments, the federal courts continue to perpetuate unnecessary disparities in fire fighter access to benefits following disability by illness or injury. Too many federal courts – including the Eleventh Circuit in its decision below - have remained closed for decades to claims of unlawful disability discrimination that does not manifest until after disability forces a premature end to the employment relationship. Overly narrow applications of the ADA persist, despite Congress passing legislation amending the statute in response to judicial </w:t>
      </w:r>
      <w:proofErr w:type="gramStart"/>
      <w:r>
        <w:rPr>
          <w:rFonts w:ascii="Times New Roman" w:hAnsi="Times New Roman"/>
          <w:sz w:val="24"/>
          <w:szCs w:val="24"/>
        </w:rPr>
        <w:t>decisions it</w:t>
      </w:r>
      <w:proofErr w:type="gramEnd"/>
      <w:r>
        <w:rPr>
          <w:rFonts w:ascii="Times New Roman" w:hAnsi="Times New Roman"/>
          <w:sz w:val="24"/>
          <w:szCs w:val="24"/>
        </w:rPr>
        <w:t xml:space="preserve"> criticized for ‘unduly restricting the </w:t>
      </w:r>
      <w:proofErr w:type="gramStart"/>
      <w:r>
        <w:rPr>
          <w:rFonts w:ascii="Times New Roman" w:hAnsi="Times New Roman"/>
          <w:sz w:val="24"/>
          <w:szCs w:val="24"/>
        </w:rPr>
        <w:t>time period</w:t>
      </w:r>
      <w:proofErr w:type="gramEnd"/>
      <w:r>
        <w:rPr>
          <w:rFonts w:ascii="Times New Roman" w:hAnsi="Times New Roman"/>
          <w:sz w:val="24"/>
          <w:szCs w:val="24"/>
        </w:rPr>
        <w:t xml:space="preserve"> in which victims of discrimination can challenge and recover for discriminatory compensation decisions or other practices, contrary to the intent of</w:t>
      </w:r>
    </w:p>
    <w:p w14:paraId="7C0693A6"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Congress.’ Pub. L. 111-2, 123 Stat. 5.</w:t>
      </w:r>
    </w:p>
    <w:p w14:paraId="235B4BDB" w14:textId="77777777" w:rsidR="00264998" w:rsidRDefault="00264998" w:rsidP="00264998">
      <w:pPr>
        <w:pStyle w:val="NoSpacing"/>
        <w:ind w:left="720"/>
        <w:rPr>
          <w:rFonts w:ascii="Times New Roman" w:hAnsi="Times New Roman"/>
          <w:sz w:val="24"/>
          <w:szCs w:val="24"/>
        </w:rPr>
      </w:pPr>
    </w:p>
    <w:p w14:paraId="0079D07A"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No disabled fire fighter, including Lt. Stanley, should be denied the opportunity to present a well pled complaint that the employer for whom she performed the essential work that likely contributed to her disability has unlawfully discriminated against her on account of that disability.  </w:t>
      </w:r>
    </w:p>
    <w:p w14:paraId="5C3F8979" w14:textId="77777777" w:rsidR="00264998" w:rsidRDefault="00264998" w:rsidP="00264998">
      <w:pPr>
        <w:pStyle w:val="NoSpacing"/>
        <w:ind w:left="720"/>
        <w:rPr>
          <w:rFonts w:ascii="Times New Roman" w:hAnsi="Times New Roman"/>
          <w:sz w:val="24"/>
          <w:szCs w:val="24"/>
        </w:rPr>
      </w:pPr>
    </w:p>
    <w:p w14:paraId="0C89C6CC"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1C9C24E7" w14:textId="77777777" w:rsidR="00264998" w:rsidRDefault="00264998" w:rsidP="00264998">
      <w:pPr>
        <w:pStyle w:val="NoSpacing"/>
        <w:ind w:left="720"/>
        <w:rPr>
          <w:rFonts w:ascii="Times New Roman" w:hAnsi="Times New Roman"/>
          <w:sz w:val="24"/>
          <w:szCs w:val="24"/>
        </w:rPr>
      </w:pPr>
    </w:p>
    <w:p w14:paraId="2D406C8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After nearly two decades of </w:t>
      </w:r>
      <w:proofErr w:type="spellStart"/>
      <w:r>
        <w:rPr>
          <w:rFonts w:ascii="Times New Roman" w:hAnsi="Times New Roman"/>
          <w:sz w:val="24"/>
          <w:szCs w:val="24"/>
        </w:rPr>
        <w:t>fire fighting</w:t>
      </w:r>
      <w:proofErr w:type="spellEnd"/>
      <w:r>
        <w:rPr>
          <w:rFonts w:ascii="Times New Roman" w:hAnsi="Times New Roman"/>
          <w:sz w:val="24"/>
          <w:szCs w:val="24"/>
        </w:rPr>
        <w:t xml:space="preserve">, Parkinsons disease robbed Lt. Stanley of her ability to perform the essential duties of her demanding position at age 47. Pet. App. 2a. But she first suffered discrimination within the purview of the ADA as modified by the Fair Pay Act, when a benefit plan that initially paid a monthly stipend to all service eligible retired employees until age 65 was modified so that employees who retired as a result of disability were only provided the monthly stipend for 24 months after retirement. Pet. App 3a. This benefit plan was unlawfully modified in or around 2003, while Lt. Stanley worked for the </w:t>
      </w:r>
      <w:proofErr w:type="gramStart"/>
      <w:r>
        <w:rPr>
          <w:rFonts w:ascii="Times New Roman" w:hAnsi="Times New Roman"/>
          <w:sz w:val="24"/>
          <w:szCs w:val="24"/>
        </w:rPr>
        <w:t>City</w:t>
      </w:r>
      <w:proofErr w:type="gramEnd"/>
      <w:r>
        <w:rPr>
          <w:rFonts w:ascii="Times New Roman" w:hAnsi="Times New Roman"/>
          <w:sz w:val="24"/>
          <w:szCs w:val="24"/>
        </w:rPr>
        <w:t>. Id. Thus, she was a ‘qualified individual’ at the time a “discriminatory compensation decision or other practice is adopted,” 42 U.S.C. §</w:t>
      </w:r>
    </w:p>
    <w:p w14:paraId="1B8FB914"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2000e-5(e)(3)(A).” [IAFF Amicus Brief; </w:t>
      </w:r>
      <w:hyperlink r:id="rId1713" w:history="1">
        <w:r>
          <w:rPr>
            <w:rStyle w:val="Hyperlink"/>
            <w:rFonts w:ascii="Times New Roman" w:hAnsi="Times New Roman"/>
            <w:sz w:val="24"/>
            <w:szCs w:val="24"/>
          </w:rPr>
          <w:t>https://www.supremecourt.gov/DocketPDF/23/23-997/307313/20240411092101975_Amicus%20Brief.pdf</w:t>
        </w:r>
      </w:hyperlink>
      <w:r>
        <w:rPr>
          <w:rFonts w:ascii="Times New Roman" w:hAnsi="Times New Roman"/>
          <w:sz w:val="24"/>
          <w:szCs w:val="24"/>
        </w:rPr>
        <w:t xml:space="preserve"> .] </w:t>
      </w:r>
    </w:p>
    <w:p w14:paraId="5E80F93B" w14:textId="77777777" w:rsidR="00264998" w:rsidRDefault="00264998" w:rsidP="005C30A4">
      <w:pPr>
        <w:pStyle w:val="NoSpacing"/>
        <w:rPr>
          <w:rFonts w:ascii="Arial Black" w:hAnsi="Arial Black"/>
          <w:sz w:val="24"/>
          <w:szCs w:val="24"/>
        </w:rPr>
      </w:pPr>
    </w:p>
    <w:p w14:paraId="5E5F65B1" w14:textId="77777777" w:rsidR="00264998" w:rsidRDefault="00264998" w:rsidP="005C30A4">
      <w:pPr>
        <w:pStyle w:val="NoSpacing"/>
        <w:rPr>
          <w:rFonts w:ascii="Arial Black" w:hAnsi="Arial Black"/>
          <w:sz w:val="24"/>
          <w:szCs w:val="24"/>
        </w:rPr>
      </w:pPr>
    </w:p>
    <w:p w14:paraId="22BD0FA5" w14:textId="77777777" w:rsidR="008D4459" w:rsidRDefault="008D4459" w:rsidP="005C30A4">
      <w:pPr>
        <w:pStyle w:val="NoSpacing"/>
        <w:rPr>
          <w:rFonts w:ascii="Arial Black" w:hAnsi="Arial Black"/>
          <w:sz w:val="24"/>
          <w:szCs w:val="24"/>
        </w:rPr>
      </w:pPr>
    </w:p>
    <w:p w14:paraId="0FB266BC" w14:textId="4D6B26D1" w:rsidR="00AB6735" w:rsidRDefault="005E544B" w:rsidP="005C30A4">
      <w:pPr>
        <w:pStyle w:val="NoSpacing"/>
        <w:rPr>
          <w:rFonts w:ascii="Arial Black" w:hAnsi="Arial Black"/>
          <w:sz w:val="24"/>
          <w:szCs w:val="24"/>
        </w:rPr>
      </w:pPr>
      <w:r>
        <w:rPr>
          <w:rFonts w:ascii="Arial Black" w:hAnsi="Arial Black"/>
          <w:sz w:val="24"/>
          <w:szCs w:val="24"/>
        </w:rPr>
        <w:t>9-44</w:t>
      </w:r>
    </w:p>
    <w:p w14:paraId="6F266C64" w14:textId="77777777" w:rsidR="005E544B" w:rsidRDefault="005E544B" w:rsidP="005C30A4">
      <w:pPr>
        <w:pStyle w:val="NoSpacing"/>
        <w:rPr>
          <w:rFonts w:ascii="Arial Black" w:hAnsi="Arial Black"/>
          <w:sz w:val="24"/>
          <w:szCs w:val="24"/>
        </w:rPr>
      </w:pPr>
    </w:p>
    <w:p w14:paraId="7448EEBE" w14:textId="77777777" w:rsidR="005E544B" w:rsidRPr="00C14769" w:rsidRDefault="005E544B" w:rsidP="005E544B">
      <w:pPr>
        <w:rPr>
          <w:rFonts w:ascii="Arial Black" w:hAnsi="Arial Black"/>
          <w:sz w:val="28"/>
          <w:szCs w:val="28"/>
        </w:rPr>
      </w:pPr>
      <w:r>
        <w:rPr>
          <w:rFonts w:ascii="Arial Black" w:hAnsi="Arial Black"/>
          <w:sz w:val="28"/>
          <w:szCs w:val="28"/>
        </w:rPr>
        <w:t>OH: DISPATCHER &amp; DATA ENTRY CLERK – BIPOLAR - CAN NO LONGER PERFORM AS DISPATCHER – NO CASE</w:t>
      </w:r>
    </w:p>
    <w:p w14:paraId="2CFBF705" w14:textId="77777777" w:rsidR="005E544B" w:rsidRDefault="005E544B" w:rsidP="005E544B">
      <w:pPr>
        <w:pStyle w:val="NoSpacing"/>
        <w:rPr>
          <w:rFonts w:ascii="Times New Roman" w:hAnsi="Times New Roman"/>
          <w:sz w:val="24"/>
          <w:szCs w:val="24"/>
        </w:rPr>
      </w:pPr>
      <w:r>
        <w:rPr>
          <w:rFonts w:ascii="Times New Roman" w:hAnsi="Times New Roman"/>
          <w:sz w:val="24"/>
          <w:szCs w:val="24"/>
        </w:rPr>
        <w:t xml:space="preserve">On March 18, 2024, in </w:t>
      </w:r>
      <w:r w:rsidRPr="00391E7E">
        <w:rPr>
          <w:rFonts w:ascii="Times New Roman" w:hAnsi="Times New Roman"/>
          <w:sz w:val="24"/>
          <w:szCs w:val="24"/>
          <w:u w:val="single"/>
        </w:rPr>
        <w:t>Charity Hunt v. Randy Thorp, Licking County Sheriff</w:t>
      </w:r>
      <w:r>
        <w:rPr>
          <w:rFonts w:ascii="Times New Roman" w:hAnsi="Times New Roman"/>
          <w:sz w:val="24"/>
          <w:szCs w:val="24"/>
        </w:rPr>
        <w:t xml:space="preserve">, the U.S. Court of Appeals for Sixth Circuit (Cincinnati) held (2 to 1; unpublished decision) that trial court judge properly dismissed the case. </w:t>
      </w:r>
    </w:p>
    <w:p w14:paraId="0BC38053" w14:textId="77777777" w:rsidR="003956F7" w:rsidRDefault="003956F7" w:rsidP="003956F7">
      <w:pPr>
        <w:pStyle w:val="NoSpacing"/>
        <w:rPr>
          <w:rFonts w:ascii="Times New Roman" w:hAnsi="Times New Roman"/>
          <w:sz w:val="24"/>
          <w:szCs w:val="24"/>
          <w:shd w:val="clear" w:color="auto" w:fill="FFFFFF"/>
        </w:rPr>
      </w:pPr>
    </w:p>
    <w:p w14:paraId="11F7A970" w14:textId="1ABE25F9"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67D5A23" w14:textId="77777777" w:rsidR="003956F7" w:rsidRDefault="003956F7" w:rsidP="005E544B">
      <w:pPr>
        <w:pStyle w:val="NoSpacing"/>
        <w:rPr>
          <w:rFonts w:ascii="Times New Roman" w:hAnsi="Times New Roman"/>
          <w:sz w:val="24"/>
          <w:szCs w:val="24"/>
        </w:rPr>
      </w:pPr>
    </w:p>
    <w:p w14:paraId="122517EA"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r w:rsidRPr="00AB520F">
        <w:rPr>
          <w:rFonts w:ascii="Times New Roman" w:hAnsi="Times New Roman"/>
          <w:sz w:val="24"/>
          <w:szCs w:val="24"/>
        </w:rPr>
        <w:t>This case arises from Charity Hunt’s complaint of</w:t>
      </w:r>
      <w:r>
        <w:rPr>
          <w:rFonts w:ascii="Times New Roman" w:hAnsi="Times New Roman"/>
          <w:sz w:val="24"/>
          <w:szCs w:val="24"/>
        </w:rPr>
        <w:t xml:space="preserve"> </w:t>
      </w:r>
      <w:r w:rsidRPr="00AB520F">
        <w:rPr>
          <w:rFonts w:ascii="Times New Roman" w:hAnsi="Times New Roman"/>
          <w:sz w:val="24"/>
          <w:szCs w:val="24"/>
        </w:rPr>
        <w:t>disability discrimination suffered in her workplace. The Licking County Sheriff’s Office (LCSO),</w:t>
      </w:r>
      <w:r>
        <w:rPr>
          <w:rFonts w:ascii="Times New Roman" w:hAnsi="Times New Roman"/>
          <w:sz w:val="24"/>
          <w:szCs w:val="24"/>
        </w:rPr>
        <w:t xml:space="preserve"> </w:t>
      </w:r>
      <w:r w:rsidRPr="00AB520F">
        <w:rPr>
          <w:rFonts w:ascii="Times New Roman" w:hAnsi="Times New Roman"/>
          <w:sz w:val="24"/>
          <w:szCs w:val="24"/>
        </w:rPr>
        <w:t>in May 2018, hired Hunt as a dispatcher. After approximately one year, she transferred to a new</w:t>
      </w:r>
      <w:r>
        <w:rPr>
          <w:rFonts w:ascii="Times New Roman" w:hAnsi="Times New Roman"/>
          <w:sz w:val="24"/>
          <w:szCs w:val="24"/>
        </w:rPr>
        <w:t xml:space="preserve"> </w:t>
      </w:r>
      <w:r w:rsidRPr="00AB520F">
        <w:rPr>
          <w:rFonts w:ascii="Times New Roman" w:hAnsi="Times New Roman"/>
          <w:sz w:val="24"/>
          <w:szCs w:val="24"/>
        </w:rPr>
        <w:t>position, the LCSO Dispatcher-Data Entry Specialist. In that job, she primarily entered warrants</w:t>
      </w:r>
      <w:r>
        <w:rPr>
          <w:rFonts w:ascii="Times New Roman" w:hAnsi="Times New Roman"/>
          <w:sz w:val="24"/>
          <w:szCs w:val="24"/>
        </w:rPr>
        <w:t xml:space="preserve"> </w:t>
      </w:r>
      <w:r w:rsidRPr="00AB520F">
        <w:rPr>
          <w:rFonts w:ascii="Times New Roman" w:hAnsi="Times New Roman"/>
          <w:sz w:val="24"/>
          <w:szCs w:val="24"/>
        </w:rPr>
        <w:t>and protective orders into the LCSO’s data system. But she was also expected to continue</w:t>
      </w:r>
      <w:r>
        <w:rPr>
          <w:rFonts w:ascii="Times New Roman" w:hAnsi="Times New Roman"/>
          <w:sz w:val="24"/>
          <w:szCs w:val="24"/>
        </w:rPr>
        <w:t xml:space="preserve"> </w:t>
      </w:r>
      <w:r w:rsidRPr="00AB520F">
        <w:rPr>
          <w:rFonts w:ascii="Times New Roman" w:hAnsi="Times New Roman"/>
          <w:sz w:val="24"/>
          <w:szCs w:val="24"/>
        </w:rPr>
        <w:t>performing dispatch duties when needed.</w:t>
      </w:r>
    </w:p>
    <w:p w14:paraId="341336B6" w14:textId="77777777" w:rsidR="005E544B" w:rsidRPr="00AB520F" w:rsidRDefault="005E544B" w:rsidP="005E544B">
      <w:pPr>
        <w:pStyle w:val="NoSpacing"/>
        <w:rPr>
          <w:rFonts w:ascii="Times New Roman" w:hAnsi="Times New Roman"/>
          <w:sz w:val="24"/>
          <w:szCs w:val="24"/>
        </w:rPr>
      </w:pPr>
    </w:p>
    <w:p w14:paraId="6026C1A0" w14:textId="77777777" w:rsidR="005E544B" w:rsidRPr="00AB520F" w:rsidRDefault="005E544B" w:rsidP="005E544B">
      <w:pPr>
        <w:pStyle w:val="NoSpacing"/>
        <w:ind w:firstLine="720"/>
        <w:rPr>
          <w:rFonts w:ascii="Times New Roman" w:hAnsi="Times New Roman"/>
          <w:sz w:val="24"/>
          <w:szCs w:val="24"/>
        </w:rPr>
      </w:pPr>
      <w:r w:rsidRPr="00AB520F">
        <w:rPr>
          <w:rFonts w:ascii="Times New Roman" w:hAnsi="Times New Roman"/>
          <w:sz w:val="24"/>
          <w:szCs w:val="24"/>
        </w:rPr>
        <w:t>After a bipolar episode severe enough to warrant an extended leave, Hunt attempted to</w:t>
      </w:r>
    </w:p>
    <w:p w14:paraId="49DF0B57" w14:textId="77777777" w:rsidR="005E544B" w:rsidRDefault="005E544B" w:rsidP="005E544B">
      <w:pPr>
        <w:pStyle w:val="NoSpacing"/>
        <w:ind w:left="720"/>
        <w:rPr>
          <w:rFonts w:ascii="Times New Roman" w:hAnsi="Times New Roman"/>
          <w:sz w:val="24"/>
          <w:szCs w:val="24"/>
        </w:rPr>
      </w:pPr>
      <w:r w:rsidRPr="00AB520F">
        <w:rPr>
          <w:rFonts w:ascii="Times New Roman" w:hAnsi="Times New Roman"/>
          <w:sz w:val="24"/>
          <w:szCs w:val="24"/>
        </w:rPr>
        <w:t>return to work. She requested that she no longer be required to perform dispatch duties because</w:t>
      </w:r>
      <w:r>
        <w:rPr>
          <w:rFonts w:ascii="Times New Roman" w:hAnsi="Times New Roman"/>
          <w:sz w:val="24"/>
          <w:szCs w:val="24"/>
        </w:rPr>
        <w:t xml:space="preserve"> </w:t>
      </w:r>
      <w:r w:rsidRPr="00AB520F">
        <w:rPr>
          <w:rFonts w:ascii="Times New Roman" w:hAnsi="Times New Roman"/>
          <w:sz w:val="24"/>
          <w:szCs w:val="24"/>
        </w:rPr>
        <w:t>of the stress of that task. After the LCSO rejected her request, Hunt sued for violations of the</w:t>
      </w:r>
      <w:r>
        <w:rPr>
          <w:rFonts w:ascii="Times New Roman" w:hAnsi="Times New Roman"/>
          <w:sz w:val="24"/>
          <w:szCs w:val="24"/>
        </w:rPr>
        <w:t xml:space="preserve"> </w:t>
      </w:r>
      <w:r w:rsidRPr="00AB520F">
        <w:rPr>
          <w:rFonts w:ascii="Times New Roman" w:hAnsi="Times New Roman"/>
          <w:sz w:val="24"/>
          <w:szCs w:val="24"/>
        </w:rPr>
        <w:t>Americans with Disabilities Act (ADA) and Family and Medical Leave Act (FMLA).</w:t>
      </w:r>
    </w:p>
    <w:p w14:paraId="0CC2D7E2" w14:textId="77777777" w:rsidR="005E544B" w:rsidRDefault="005E544B" w:rsidP="005E544B">
      <w:pPr>
        <w:pStyle w:val="NoSpacing"/>
        <w:rPr>
          <w:rFonts w:ascii="Times New Roman" w:hAnsi="Times New Roman"/>
          <w:sz w:val="24"/>
          <w:szCs w:val="24"/>
        </w:rPr>
      </w:pPr>
    </w:p>
    <w:p w14:paraId="29E0B353" w14:textId="77777777" w:rsidR="005E544B" w:rsidRDefault="005E544B" w:rsidP="005E544B">
      <w:pPr>
        <w:pStyle w:val="NoSpacing"/>
        <w:ind w:left="720"/>
        <w:rPr>
          <w:rFonts w:ascii="Times New Roman" w:hAnsi="Times New Roman"/>
          <w:sz w:val="24"/>
          <w:szCs w:val="24"/>
        </w:rPr>
      </w:pPr>
      <w:r w:rsidRPr="00772425">
        <w:rPr>
          <w:rFonts w:ascii="Times New Roman" w:hAnsi="Times New Roman"/>
          <w:sz w:val="24"/>
          <w:szCs w:val="24"/>
        </w:rPr>
        <w:t>This appeal comes down to one question: whether dispatch duties are an essential function</w:t>
      </w:r>
      <w:r>
        <w:rPr>
          <w:rFonts w:ascii="Times New Roman" w:hAnsi="Times New Roman"/>
          <w:sz w:val="24"/>
          <w:szCs w:val="24"/>
        </w:rPr>
        <w:t xml:space="preserve"> </w:t>
      </w:r>
      <w:r w:rsidRPr="00772425">
        <w:rPr>
          <w:rFonts w:ascii="Times New Roman" w:hAnsi="Times New Roman"/>
          <w:sz w:val="24"/>
          <w:szCs w:val="24"/>
        </w:rPr>
        <w:t>of Hunt’s position as a Dispatcher-Data Entry Specialist. The district court determined that they</w:t>
      </w:r>
      <w:r>
        <w:rPr>
          <w:rFonts w:ascii="Times New Roman" w:hAnsi="Times New Roman"/>
          <w:sz w:val="24"/>
          <w:szCs w:val="24"/>
        </w:rPr>
        <w:t xml:space="preserve"> </w:t>
      </w:r>
      <w:r w:rsidRPr="00772425">
        <w:rPr>
          <w:rFonts w:ascii="Times New Roman" w:hAnsi="Times New Roman"/>
          <w:sz w:val="24"/>
          <w:szCs w:val="24"/>
        </w:rPr>
        <w:t>are and thus held that Hunt was not a qualified individual under the ADA. Accordingly, she was</w:t>
      </w:r>
      <w:r>
        <w:rPr>
          <w:rFonts w:ascii="Times New Roman" w:hAnsi="Times New Roman"/>
          <w:sz w:val="24"/>
          <w:szCs w:val="24"/>
        </w:rPr>
        <w:t xml:space="preserve"> </w:t>
      </w:r>
      <w:r w:rsidRPr="00772425">
        <w:rPr>
          <w:rFonts w:ascii="Times New Roman" w:hAnsi="Times New Roman"/>
          <w:sz w:val="24"/>
          <w:szCs w:val="24"/>
        </w:rPr>
        <w:t xml:space="preserve">not entitled to </w:t>
      </w:r>
      <w:proofErr w:type="gramStart"/>
      <w:r w:rsidRPr="00772425">
        <w:rPr>
          <w:rFonts w:ascii="Times New Roman" w:hAnsi="Times New Roman"/>
          <w:sz w:val="24"/>
          <w:szCs w:val="24"/>
        </w:rPr>
        <w:t>the ADA’s</w:t>
      </w:r>
      <w:proofErr w:type="gramEnd"/>
      <w:r w:rsidRPr="00772425">
        <w:rPr>
          <w:rFonts w:ascii="Times New Roman" w:hAnsi="Times New Roman"/>
          <w:sz w:val="24"/>
          <w:szCs w:val="24"/>
        </w:rPr>
        <w:t xml:space="preserve"> protections, or related FMLA protections. For reasons that follow, we</w:t>
      </w:r>
      <w:r>
        <w:rPr>
          <w:rFonts w:ascii="Times New Roman" w:hAnsi="Times New Roman"/>
          <w:sz w:val="24"/>
          <w:szCs w:val="24"/>
        </w:rPr>
        <w:t xml:space="preserve"> </w:t>
      </w:r>
      <w:r w:rsidRPr="00772425">
        <w:rPr>
          <w:rFonts w:ascii="Times New Roman" w:hAnsi="Times New Roman"/>
          <w:sz w:val="24"/>
          <w:szCs w:val="24"/>
        </w:rPr>
        <w:t>agree with the district court and therefore AFFIRM.</w:t>
      </w:r>
    </w:p>
    <w:p w14:paraId="2C4C2FCD" w14:textId="77777777" w:rsidR="005E544B" w:rsidRDefault="005E544B" w:rsidP="005E544B">
      <w:pPr>
        <w:pStyle w:val="NoSpacing"/>
        <w:ind w:left="720"/>
        <w:rPr>
          <w:rFonts w:ascii="Times New Roman" w:hAnsi="Times New Roman"/>
          <w:sz w:val="24"/>
          <w:szCs w:val="24"/>
        </w:rPr>
      </w:pPr>
    </w:p>
    <w:p w14:paraId="01D28B3E"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p>
    <w:p w14:paraId="05346CBE" w14:textId="77777777" w:rsidR="005E544B" w:rsidRPr="00CB05B4" w:rsidRDefault="005E544B" w:rsidP="005E544B">
      <w:pPr>
        <w:pStyle w:val="NoSpacing"/>
        <w:ind w:left="720"/>
        <w:rPr>
          <w:rFonts w:ascii="Times New Roman" w:hAnsi="Times New Roman"/>
          <w:sz w:val="24"/>
          <w:szCs w:val="24"/>
        </w:rPr>
      </w:pPr>
      <w:r w:rsidRPr="00CB05B4">
        <w:rPr>
          <w:rFonts w:ascii="Times New Roman" w:hAnsi="Times New Roman"/>
          <w:sz w:val="24"/>
          <w:szCs w:val="24"/>
        </w:rPr>
        <w:t>Hunt’s FMLA-interference claim fails for the same reason her ADA claim fails. That is,</w:t>
      </w:r>
    </w:p>
    <w:p w14:paraId="473C76BD" w14:textId="77777777" w:rsidR="005E544B" w:rsidRDefault="005E544B" w:rsidP="005E544B">
      <w:pPr>
        <w:pStyle w:val="NoSpacing"/>
        <w:ind w:left="720"/>
        <w:rPr>
          <w:rFonts w:ascii="Times New Roman" w:hAnsi="Times New Roman"/>
          <w:sz w:val="24"/>
          <w:szCs w:val="24"/>
        </w:rPr>
      </w:pPr>
      <w:r w:rsidRPr="00CB05B4">
        <w:rPr>
          <w:rFonts w:ascii="Times New Roman" w:hAnsi="Times New Roman"/>
          <w:sz w:val="24"/>
          <w:szCs w:val="24"/>
        </w:rPr>
        <w:t>because Hunt was not released to perform the essential functions of her position at the end of her</w:t>
      </w:r>
      <w:r>
        <w:rPr>
          <w:rFonts w:ascii="Times New Roman" w:hAnsi="Times New Roman"/>
          <w:sz w:val="24"/>
          <w:szCs w:val="24"/>
        </w:rPr>
        <w:t xml:space="preserve"> </w:t>
      </w:r>
      <w:r w:rsidRPr="00CB05B4">
        <w:rPr>
          <w:rFonts w:ascii="Times New Roman" w:hAnsi="Times New Roman"/>
          <w:sz w:val="24"/>
          <w:szCs w:val="24"/>
        </w:rPr>
        <w:t>FMLA leave (i.e., dispatch duties), the LCSO did not deny Hunt any benefits to which she was</w:t>
      </w:r>
      <w:r>
        <w:rPr>
          <w:rFonts w:ascii="Times New Roman" w:hAnsi="Times New Roman"/>
          <w:sz w:val="24"/>
          <w:szCs w:val="24"/>
        </w:rPr>
        <w:t xml:space="preserve"> </w:t>
      </w:r>
      <w:r w:rsidRPr="00CB05B4">
        <w:rPr>
          <w:rFonts w:ascii="Times New Roman" w:hAnsi="Times New Roman"/>
          <w:sz w:val="24"/>
          <w:szCs w:val="24"/>
        </w:rPr>
        <w:t xml:space="preserve">otherwise </w:t>
      </w:r>
      <w:proofErr w:type="gramStart"/>
      <w:r w:rsidRPr="00CB05B4">
        <w:rPr>
          <w:rFonts w:ascii="Times New Roman" w:hAnsi="Times New Roman"/>
          <w:sz w:val="24"/>
          <w:szCs w:val="24"/>
        </w:rPr>
        <w:t>entitled.</w:t>
      </w:r>
      <w:r>
        <w:rPr>
          <w:rFonts w:ascii="Times New Roman" w:hAnsi="Times New Roman"/>
          <w:sz w:val="24"/>
          <w:szCs w:val="24"/>
        </w:rPr>
        <w:t>”</w:t>
      </w:r>
      <w:proofErr w:type="gramEnd"/>
    </w:p>
    <w:p w14:paraId="75A40697"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 xml:space="preserve"> </w:t>
      </w:r>
      <w:hyperlink r:id="rId1714" w:history="1">
        <w:r w:rsidRPr="001C375D">
          <w:rPr>
            <w:rStyle w:val="Hyperlink"/>
            <w:rFonts w:ascii="Times New Roman" w:hAnsi="Times New Roman"/>
            <w:sz w:val="24"/>
            <w:szCs w:val="24"/>
          </w:rPr>
          <w:t>https://cases.justia.com/federal/appellate-courts/ca6/23-3459/23-3459-2024-03-18.pdf?ts=1710795630</w:t>
        </w:r>
      </w:hyperlink>
      <w:r>
        <w:rPr>
          <w:rFonts w:ascii="Times New Roman" w:hAnsi="Times New Roman"/>
          <w:sz w:val="24"/>
          <w:szCs w:val="24"/>
        </w:rPr>
        <w:t xml:space="preserve"> </w:t>
      </w:r>
    </w:p>
    <w:p w14:paraId="309DCCE3" w14:textId="77777777" w:rsidR="005E544B" w:rsidRDefault="005E544B" w:rsidP="005E544B">
      <w:pPr>
        <w:pStyle w:val="NoSpacing"/>
        <w:ind w:left="720"/>
        <w:rPr>
          <w:rFonts w:ascii="Times New Roman" w:hAnsi="Times New Roman"/>
          <w:sz w:val="24"/>
          <w:szCs w:val="24"/>
        </w:rPr>
      </w:pPr>
    </w:p>
    <w:p w14:paraId="46E2D0DD" w14:textId="77777777" w:rsidR="005E544B" w:rsidRDefault="005E544B" w:rsidP="005E544B">
      <w:pPr>
        <w:pStyle w:val="NoSpacing"/>
        <w:ind w:left="720"/>
        <w:rPr>
          <w:rFonts w:ascii="Times New Roman" w:hAnsi="Times New Roman"/>
          <w:sz w:val="24"/>
          <w:szCs w:val="24"/>
        </w:rPr>
      </w:pPr>
    </w:p>
    <w:p w14:paraId="06738787" w14:textId="77777777" w:rsidR="005E544B" w:rsidRDefault="005E544B" w:rsidP="005E544B">
      <w:pPr>
        <w:pStyle w:val="NoSpacing"/>
        <w:rPr>
          <w:rFonts w:ascii="Times New Roman" w:hAnsi="Times New Roman"/>
          <w:sz w:val="24"/>
          <w:szCs w:val="24"/>
        </w:rPr>
      </w:pPr>
      <w:r>
        <w:rPr>
          <w:rFonts w:ascii="Times New Roman" w:hAnsi="Times New Roman"/>
          <w:sz w:val="24"/>
          <w:szCs w:val="24"/>
        </w:rPr>
        <w:t xml:space="preserve">DISSENT – JUDGE HELEN N. WHITE: </w:t>
      </w:r>
    </w:p>
    <w:p w14:paraId="19230656"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r w:rsidRPr="00A30B7B">
        <w:rPr>
          <w:rFonts w:ascii="Times New Roman" w:hAnsi="Times New Roman"/>
          <w:sz w:val="24"/>
          <w:szCs w:val="24"/>
        </w:rPr>
        <w:t>When Charity Hunt served as the LCSO’s</w:t>
      </w:r>
      <w:r>
        <w:rPr>
          <w:rFonts w:ascii="Times New Roman" w:hAnsi="Times New Roman"/>
          <w:sz w:val="24"/>
          <w:szCs w:val="24"/>
        </w:rPr>
        <w:t xml:space="preserve"> </w:t>
      </w:r>
      <w:r w:rsidRPr="00A30B7B">
        <w:rPr>
          <w:rFonts w:ascii="Times New Roman" w:hAnsi="Times New Roman"/>
          <w:sz w:val="24"/>
          <w:szCs w:val="24"/>
        </w:rPr>
        <w:t>Dispatcher-Data Entry Specialist, dispatching emergency personnel was a virtually nonexistent</w:t>
      </w:r>
      <w:r>
        <w:rPr>
          <w:rFonts w:ascii="Times New Roman" w:hAnsi="Times New Roman"/>
          <w:sz w:val="24"/>
          <w:szCs w:val="24"/>
        </w:rPr>
        <w:t xml:space="preserve"> </w:t>
      </w:r>
      <w:r w:rsidRPr="00A30B7B">
        <w:rPr>
          <w:rFonts w:ascii="Times New Roman" w:hAnsi="Times New Roman"/>
          <w:sz w:val="24"/>
          <w:szCs w:val="24"/>
        </w:rPr>
        <w:t>element of her day-to-day duties</w:t>
      </w:r>
      <w:r>
        <w:rPr>
          <w:rFonts w:ascii="Times New Roman" w:hAnsi="Times New Roman"/>
          <w:sz w:val="24"/>
          <w:szCs w:val="24"/>
        </w:rPr>
        <w:t>.</w:t>
      </w:r>
    </w:p>
    <w:p w14:paraId="6FB6BEDF" w14:textId="77777777" w:rsidR="005E544B" w:rsidRDefault="005E544B" w:rsidP="005E544B">
      <w:pPr>
        <w:pStyle w:val="NoSpacing"/>
        <w:ind w:left="720"/>
        <w:rPr>
          <w:rFonts w:ascii="Times New Roman" w:hAnsi="Times New Roman"/>
          <w:sz w:val="24"/>
          <w:szCs w:val="24"/>
        </w:rPr>
      </w:pPr>
    </w:p>
    <w:p w14:paraId="50C5629A"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p>
    <w:p w14:paraId="3F6495DF" w14:textId="77777777" w:rsidR="005E544B" w:rsidRDefault="005E544B" w:rsidP="005E544B">
      <w:pPr>
        <w:pStyle w:val="NoSpacing"/>
        <w:rPr>
          <w:rFonts w:ascii="Times New Roman" w:hAnsi="Times New Roman"/>
          <w:sz w:val="24"/>
          <w:szCs w:val="24"/>
        </w:rPr>
      </w:pPr>
    </w:p>
    <w:p w14:paraId="10D66362" w14:textId="77777777" w:rsidR="005E544B" w:rsidRDefault="005E544B" w:rsidP="005E544B">
      <w:pPr>
        <w:pStyle w:val="NoSpacing"/>
        <w:ind w:left="720"/>
        <w:rPr>
          <w:rFonts w:ascii="Times New Roman" w:hAnsi="Times New Roman"/>
          <w:sz w:val="24"/>
          <w:szCs w:val="24"/>
        </w:rPr>
      </w:pPr>
      <w:r w:rsidRPr="0039710A">
        <w:rPr>
          <w:rFonts w:ascii="Times New Roman" w:hAnsi="Times New Roman"/>
          <w:sz w:val="24"/>
          <w:szCs w:val="24"/>
        </w:rPr>
        <w:t>The LCSO knew that Hunt suffered</w:t>
      </w:r>
      <w:r>
        <w:rPr>
          <w:rFonts w:ascii="Times New Roman" w:hAnsi="Times New Roman"/>
          <w:sz w:val="24"/>
          <w:szCs w:val="24"/>
        </w:rPr>
        <w:t xml:space="preserve"> </w:t>
      </w:r>
      <w:r w:rsidRPr="0039710A">
        <w:rPr>
          <w:rFonts w:ascii="Times New Roman" w:hAnsi="Times New Roman"/>
          <w:sz w:val="24"/>
          <w:szCs w:val="24"/>
        </w:rPr>
        <w:t>from anxiety and bipolar disorder and knew her limitations were caused by those conditions, yet</w:t>
      </w:r>
      <w:r>
        <w:rPr>
          <w:rFonts w:ascii="Times New Roman" w:hAnsi="Times New Roman"/>
          <w:sz w:val="24"/>
          <w:szCs w:val="24"/>
        </w:rPr>
        <w:t xml:space="preserve"> </w:t>
      </w:r>
      <w:r w:rsidRPr="0039710A">
        <w:rPr>
          <w:rFonts w:ascii="Times New Roman" w:hAnsi="Times New Roman"/>
          <w:sz w:val="24"/>
          <w:szCs w:val="24"/>
        </w:rPr>
        <w:t>it refused to work with Hunt on an accommodation—even after Hunt’s doctor approved her to</w:t>
      </w:r>
      <w:r>
        <w:rPr>
          <w:rFonts w:ascii="Times New Roman" w:hAnsi="Times New Roman"/>
          <w:sz w:val="24"/>
          <w:szCs w:val="24"/>
        </w:rPr>
        <w:t xml:space="preserve"> </w:t>
      </w:r>
      <w:r w:rsidRPr="0039710A">
        <w:rPr>
          <w:rFonts w:ascii="Times New Roman" w:hAnsi="Times New Roman"/>
          <w:sz w:val="24"/>
          <w:szCs w:val="24"/>
        </w:rPr>
        <w:t>perform call-taking duties. Thus, I believe that a reasonable jury could conclude that the LCSO</w:t>
      </w:r>
      <w:r>
        <w:rPr>
          <w:rFonts w:ascii="Times New Roman" w:hAnsi="Times New Roman"/>
          <w:sz w:val="24"/>
          <w:szCs w:val="24"/>
        </w:rPr>
        <w:t xml:space="preserve"> </w:t>
      </w:r>
      <w:r w:rsidRPr="0039710A">
        <w:rPr>
          <w:rFonts w:ascii="Times New Roman" w:hAnsi="Times New Roman"/>
          <w:sz w:val="24"/>
          <w:szCs w:val="24"/>
        </w:rPr>
        <w:t>failed to fulfill its duty to engage in an interactive accommodation process with Hunt.</w:t>
      </w:r>
      <w:r>
        <w:rPr>
          <w:rFonts w:ascii="Times New Roman" w:hAnsi="Times New Roman"/>
          <w:sz w:val="24"/>
          <w:szCs w:val="24"/>
        </w:rPr>
        <w:t>”</w:t>
      </w:r>
    </w:p>
    <w:p w14:paraId="0BAF5223" w14:textId="77777777" w:rsidR="005E544B" w:rsidRDefault="005E544B" w:rsidP="005E544B">
      <w:pPr>
        <w:pStyle w:val="NoSpacing"/>
        <w:ind w:left="720"/>
        <w:rPr>
          <w:rFonts w:ascii="Times New Roman" w:hAnsi="Times New Roman"/>
          <w:sz w:val="24"/>
          <w:szCs w:val="24"/>
        </w:rPr>
      </w:pPr>
    </w:p>
    <w:p w14:paraId="5FEED0A5" w14:textId="77777777" w:rsidR="005E544B" w:rsidRPr="001A7756" w:rsidRDefault="005E544B" w:rsidP="005E544B">
      <w:pPr>
        <w:pStyle w:val="NoSpacing"/>
        <w:rPr>
          <w:rFonts w:ascii="Times New Roman" w:hAnsi="Times New Roman"/>
          <w:b/>
          <w:bCs/>
          <w:sz w:val="24"/>
          <w:szCs w:val="24"/>
        </w:rPr>
      </w:pPr>
      <w:r w:rsidRPr="001A7756">
        <w:rPr>
          <w:rFonts w:ascii="Times New Roman" w:hAnsi="Times New Roman"/>
          <w:b/>
          <w:bCs/>
          <w:sz w:val="24"/>
          <w:szCs w:val="24"/>
        </w:rPr>
        <w:t>Legal Lesson Learned:</w:t>
      </w:r>
      <w:r>
        <w:rPr>
          <w:rFonts w:ascii="Times New Roman" w:hAnsi="Times New Roman"/>
          <w:b/>
          <w:bCs/>
          <w:sz w:val="24"/>
          <w:szCs w:val="24"/>
        </w:rPr>
        <w:t xml:space="preserve"> Under ADA, an employee seeking accommodation must still be able to perform the essential functions of the job. </w:t>
      </w:r>
    </w:p>
    <w:p w14:paraId="67C7322A" w14:textId="77777777" w:rsidR="005E544B" w:rsidRPr="003255F2" w:rsidRDefault="005E544B" w:rsidP="005E544B">
      <w:pPr>
        <w:pStyle w:val="NoSpacing"/>
        <w:rPr>
          <w:rFonts w:ascii="Times New Roman" w:hAnsi="Times New Roman"/>
          <w:sz w:val="24"/>
          <w:szCs w:val="24"/>
        </w:rPr>
      </w:pPr>
    </w:p>
    <w:p w14:paraId="5FDC687F" w14:textId="77777777" w:rsidR="005E544B" w:rsidRDefault="005E544B" w:rsidP="005E544B">
      <w:pPr>
        <w:pStyle w:val="NormalWeb"/>
        <w:spacing w:before="0" w:beforeAutospacing="0"/>
        <w:jc w:val="center"/>
      </w:pPr>
    </w:p>
    <w:p w14:paraId="25A1B7EA" w14:textId="77777777" w:rsidR="005E544B" w:rsidRDefault="005E544B" w:rsidP="005E544B">
      <w:pPr>
        <w:spacing w:before="100" w:beforeAutospacing="1" w:after="100" w:afterAutospacing="1" w:line="240" w:lineRule="auto"/>
        <w:outlineLvl w:val="0"/>
        <w:rPr>
          <w:rFonts w:ascii="Times New Roman" w:eastAsia="Times New Roman" w:hAnsi="Times New Roman"/>
          <w:b/>
          <w:bCs/>
          <w:kern w:val="36"/>
          <w:sz w:val="48"/>
          <w:szCs w:val="48"/>
        </w:rPr>
      </w:pPr>
    </w:p>
    <w:p w14:paraId="4279CC4C" w14:textId="31277397" w:rsidR="005E544B" w:rsidRDefault="005E544B" w:rsidP="005E544B">
      <w:pPr>
        <w:pStyle w:val="NoSpacing"/>
        <w:rPr>
          <w:rFonts w:ascii="Arial Black" w:hAnsi="Arial Black"/>
          <w:sz w:val="24"/>
          <w:szCs w:val="24"/>
        </w:rPr>
      </w:pPr>
      <w:r>
        <w:rPr>
          <w:rFonts w:ascii="Arial Black" w:hAnsi="Arial Black"/>
          <w:sz w:val="24"/>
          <w:szCs w:val="24"/>
        </w:rPr>
        <w:t>9-43</w:t>
      </w:r>
    </w:p>
    <w:p w14:paraId="15A12333" w14:textId="0C42568D" w:rsidR="005E544B" w:rsidRPr="00EF37D9" w:rsidRDefault="005E544B" w:rsidP="005E544B">
      <w:pPr>
        <w:pStyle w:val="NormalWeb"/>
        <w:rPr>
          <w:rFonts w:ascii="Arial Black" w:hAnsi="Arial Black"/>
          <w:sz w:val="28"/>
          <w:szCs w:val="28"/>
        </w:rPr>
      </w:pPr>
      <w:r>
        <w:rPr>
          <w:rFonts w:ascii="Arial Black" w:hAnsi="Arial Black"/>
          <w:sz w:val="28"/>
          <w:szCs w:val="28"/>
        </w:rPr>
        <w:t>MD: VOL. FF IN PA WITH COCHLEAR IMPLANT / SCBA COOLING MASK – SEEKS VOL. MARYLAND - CASE PROCEED</w:t>
      </w:r>
    </w:p>
    <w:p w14:paraId="61D0246E" w14:textId="77777777" w:rsidR="005E544B" w:rsidRDefault="005E544B" w:rsidP="005E544B">
      <w:pPr>
        <w:pStyle w:val="NormalWeb"/>
      </w:pPr>
      <w:r>
        <w:t xml:space="preserve">On March 1, 2024, in </w:t>
      </w:r>
      <w:r w:rsidRPr="005858BF">
        <w:rPr>
          <w:u w:val="single"/>
        </w:rPr>
        <w:t>Charles Hine v. Prince George’s County, Maryland</w:t>
      </w:r>
      <w:r>
        <w:t xml:space="preserve">, United States District Court Judge Theodore D. Chuang, U.S. District Court for Maryland, denied motions for summary judgment for both parties; the County offered the firefighter an administrative position which he understandably rejected.  </w:t>
      </w:r>
    </w:p>
    <w:p w14:paraId="7158740B"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912860D" w14:textId="77777777" w:rsidR="005E544B" w:rsidRDefault="005E544B" w:rsidP="005E544B">
      <w:pPr>
        <w:pStyle w:val="NormalWeb"/>
        <w:ind w:left="720"/>
      </w:pPr>
      <w:r>
        <w:t xml:space="preserve">“Here, there is no serious dispute that the County rejected Hine's application based on the results of Hine's medical examination and Concentra's determination, based on his self-reported hearing test results, that he did not meet the NFPA hearing standard. There is also no material dispute that, although Hine requested an individualized assessment of whether, despite that hearing test score, he could still perform the job of an operational firefighter, no such individualized assessment occurred. Accordingly, the County's absolute reliance on the results of a medical examination or a general policy without conducting an individualized assessment of whether Hine could </w:t>
      </w:r>
      <w:proofErr w:type="gramStart"/>
      <w:r>
        <w:t>actually perform</w:t>
      </w:r>
      <w:proofErr w:type="gramEnd"/>
      <w:r>
        <w:t xml:space="preserve"> the job with </w:t>
      </w:r>
      <w:proofErr w:type="gramStart"/>
      <w:r>
        <w:t>a reasonable</w:t>
      </w:r>
      <w:proofErr w:type="gramEnd"/>
      <w:r>
        <w:t xml:space="preserve"> accommodation runs contrary to the requirements of the ADA. </w:t>
      </w:r>
      <w:r>
        <w:rPr>
          <w:rStyle w:val="Emphasis"/>
          <w:rFonts w:eastAsiaTheme="majorEastAsia"/>
        </w:rPr>
        <w:t>See, e.g., PGA Tour, Inc.,</w:t>
      </w:r>
      <w:r>
        <w:t xml:space="preserve"> 532 U.S. at 690; </w:t>
      </w:r>
      <w:r>
        <w:rPr>
          <w:rStyle w:val="Emphasis"/>
          <w:rFonts w:eastAsiaTheme="majorEastAsia"/>
        </w:rPr>
        <w:t>Gillen,</w:t>
      </w:r>
      <w:r>
        <w:t xml:space="preserve"> 283 F.3d at 29; </w:t>
      </w:r>
      <w:r>
        <w:rPr>
          <w:rStyle w:val="Emphasis"/>
          <w:rFonts w:eastAsiaTheme="majorEastAsia"/>
        </w:rPr>
        <w:t>Rodriguez,</w:t>
      </w:r>
      <w:r>
        <w:t xml:space="preserve"> 436 F.3d at 482.</w:t>
      </w:r>
    </w:p>
    <w:p w14:paraId="26AD5E64" w14:textId="77777777" w:rsidR="005E544B" w:rsidRDefault="005E544B" w:rsidP="005E544B">
      <w:pPr>
        <w:pStyle w:val="NormalWeb"/>
        <w:ind w:left="720"/>
      </w:pPr>
      <w:r>
        <w:t>***</w:t>
      </w:r>
    </w:p>
    <w:p w14:paraId="640AE89C" w14:textId="77777777" w:rsidR="005E544B" w:rsidRDefault="005E544B" w:rsidP="005E544B">
      <w:pPr>
        <w:pStyle w:val="NormalWeb"/>
        <w:ind w:left="720"/>
      </w:pPr>
      <w:r>
        <w:t>Thus, regardless of whether the County imposed a discriminatory blanket policy or failed to engage in an individualized inquiry, Hine is entitled to a finding of liability only if he establishes that he was a qualified individual, which in turn requires a determination that he could perform the essential functions of an operational firefighter with or without a reasonable accommodation.”</w:t>
      </w:r>
    </w:p>
    <w:p w14:paraId="0CAEC63C" w14:textId="77777777" w:rsidR="005E544B" w:rsidRDefault="005E544B" w:rsidP="005E544B">
      <w:pPr>
        <w:pStyle w:val="NormalWeb"/>
        <w:rPr>
          <w:b/>
          <w:bCs/>
        </w:rPr>
      </w:pPr>
      <w:r w:rsidRPr="00155B26">
        <w:rPr>
          <w:b/>
          <w:bCs/>
        </w:rPr>
        <w:t xml:space="preserve">Legal Lesson Learned: </w:t>
      </w:r>
      <w:r>
        <w:rPr>
          <w:b/>
          <w:bCs/>
        </w:rPr>
        <w:t xml:space="preserve">Pre-trial discovery will now proceed; employers cannot simply rely on NFPA to turn down an applicant without an individualized assessment. </w:t>
      </w:r>
    </w:p>
    <w:p w14:paraId="52303003" w14:textId="77777777" w:rsidR="005E544B" w:rsidRDefault="005E544B" w:rsidP="005C30A4">
      <w:pPr>
        <w:pStyle w:val="NoSpacing"/>
        <w:rPr>
          <w:rFonts w:ascii="Arial Black" w:hAnsi="Arial Black"/>
          <w:sz w:val="24"/>
          <w:szCs w:val="24"/>
        </w:rPr>
      </w:pPr>
    </w:p>
    <w:p w14:paraId="3D594ADE" w14:textId="77777777" w:rsidR="005E544B" w:rsidRDefault="005E544B" w:rsidP="005C30A4">
      <w:pPr>
        <w:pStyle w:val="NoSpacing"/>
        <w:rPr>
          <w:rFonts w:ascii="Arial Black" w:hAnsi="Arial Black"/>
          <w:sz w:val="24"/>
          <w:szCs w:val="24"/>
        </w:rPr>
      </w:pPr>
    </w:p>
    <w:p w14:paraId="1E59C0DF" w14:textId="77777777" w:rsidR="005E544B" w:rsidRDefault="005E544B" w:rsidP="005C30A4">
      <w:pPr>
        <w:pStyle w:val="NoSpacing"/>
        <w:rPr>
          <w:rFonts w:ascii="Arial Black" w:hAnsi="Arial Black"/>
          <w:sz w:val="24"/>
          <w:szCs w:val="24"/>
        </w:rPr>
      </w:pPr>
    </w:p>
    <w:p w14:paraId="17BE4733" w14:textId="517BF4D0" w:rsidR="007B3AE4" w:rsidRDefault="007B3AE4" w:rsidP="005C30A4">
      <w:pPr>
        <w:pStyle w:val="NoSpacing"/>
        <w:rPr>
          <w:rFonts w:ascii="Arial Black" w:hAnsi="Arial Black"/>
          <w:sz w:val="24"/>
          <w:szCs w:val="24"/>
        </w:rPr>
      </w:pPr>
      <w:r>
        <w:rPr>
          <w:rFonts w:ascii="Arial Black" w:hAnsi="Arial Black"/>
          <w:sz w:val="24"/>
          <w:szCs w:val="24"/>
        </w:rPr>
        <w:t>9-4</w:t>
      </w:r>
      <w:r w:rsidR="005E544B">
        <w:rPr>
          <w:rFonts w:ascii="Arial Black" w:hAnsi="Arial Black"/>
          <w:sz w:val="24"/>
          <w:szCs w:val="24"/>
        </w:rPr>
        <w:t>2</w:t>
      </w:r>
    </w:p>
    <w:p w14:paraId="39545A44" w14:textId="77777777" w:rsidR="007B3AE4" w:rsidRDefault="007B3AE4" w:rsidP="005C30A4">
      <w:pPr>
        <w:pStyle w:val="NoSpacing"/>
        <w:rPr>
          <w:rFonts w:ascii="Arial Black" w:hAnsi="Arial Black"/>
          <w:sz w:val="24"/>
          <w:szCs w:val="24"/>
        </w:rPr>
      </w:pPr>
    </w:p>
    <w:p w14:paraId="3B3EF512" w14:textId="34F52B50" w:rsidR="00DB5557" w:rsidRPr="00B510C3" w:rsidRDefault="00DB5557" w:rsidP="00DB5557">
      <w:pPr>
        <w:pStyle w:val="NormalWeb"/>
        <w:rPr>
          <w:rFonts w:ascii="Arial Black" w:hAnsi="Arial Black"/>
          <w:sz w:val="28"/>
          <w:szCs w:val="28"/>
        </w:rPr>
      </w:pPr>
      <w:r>
        <w:rPr>
          <w:rFonts w:ascii="Arial Black" w:hAnsi="Arial Black"/>
          <w:sz w:val="28"/>
          <w:szCs w:val="28"/>
        </w:rPr>
        <w:t xml:space="preserve">IL: ADA – DEPUTY CHIEF – IF EARN </w:t>
      </w:r>
      <w:r w:rsidR="009B38FF">
        <w:rPr>
          <w:rFonts w:ascii="Arial Black" w:hAnsi="Arial Black"/>
          <w:sz w:val="28"/>
          <w:szCs w:val="28"/>
        </w:rPr>
        <w:t>BACHELOR’S</w:t>
      </w:r>
      <w:r>
        <w:rPr>
          <w:rFonts w:ascii="Arial Black" w:hAnsi="Arial Black"/>
          <w:sz w:val="28"/>
          <w:szCs w:val="28"/>
        </w:rPr>
        <w:t xml:space="preserve"> DEGREE, PAY BUMP - REFUSED, HEART CONDITION – NO CASE</w:t>
      </w:r>
    </w:p>
    <w:p w14:paraId="794C7E2A" w14:textId="77777777" w:rsidR="00DB5557" w:rsidRDefault="00DB5557" w:rsidP="00DB5557">
      <w:pPr>
        <w:pStyle w:val="NormalWeb"/>
      </w:pPr>
      <w:r>
        <w:t xml:space="preserve">On Feb. 23, 2024, in </w:t>
      </w:r>
      <w:r w:rsidRPr="006C66EB">
        <w:rPr>
          <w:u w:val="single"/>
        </w:rPr>
        <w:t>Jeffrey Bruno v. Chasity Wells-Armstrong, James Ellexson, and City of Kankakee, Illinois</w:t>
      </w:r>
      <w:r>
        <w:t xml:space="preserve">, the U.S. Court of Appeals for the Seventh Circuit (Chicago) held (3 to 0) that trial court properly granted defense motion for summary judgment; attending college was not a requirement of his job and his request waive the college requirement to earn the pump in pay was not a request for reasonable accommodation. </w:t>
      </w:r>
    </w:p>
    <w:p w14:paraId="06910E2B" w14:textId="77777777" w:rsidR="00DB5557" w:rsidRDefault="00DB5557" w:rsidP="00DB5557">
      <w:pPr>
        <w:pStyle w:val="NormalWeb"/>
      </w:pPr>
      <w:r>
        <w:t>The Court held:</w:t>
      </w:r>
    </w:p>
    <w:p w14:paraId="05D9334F" w14:textId="77777777" w:rsidR="00DB5557" w:rsidRDefault="00DB5557" w:rsidP="00DB5557">
      <w:pPr>
        <w:pStyle w:val="NormalWeb"/>
        <w:ind w:left="720"/>
      </w:pPr>
      <w:r>
        <w:t xml:space="preserve">“Here, because the pay bump did not depend on Bruno performing his essential duties, the defendants did not have to provide an accommodation that enabled him to obtain it because doing so would have been awarding him compensation he did not earn-that was not a measure that enabled Bruno to work. </w:t>
      </w:r>
    </w:p>
    <w:p w14:paraId="78920D33" w14:textId="77777777" w:rsidR="00DB5557" w:rsidRDefault="00DB5557" w:rsidP="00DB5557">
      <w:pPr>
        <w:pStyle w:val="NormalWeb"/>
        <w:ind w:left="720"/>
      </w:pPr>
      <w:r>
        <w:t xml:space="preserve">Moreover, while the </w:t>
      </w:r>
      <w:proofErr w:type="gramStart"/>
      <w:r>
        <w:t>waiver</w:t>
      </w:r>
      <w:proofErr w:type="gramEnd"/>
      <w:r>
        <w:t xml:space="preserve"> would have entitled Bruno to more compensation without him having to jeopardize his health, it would not have impacted his ability to perform his job. Bruno conceded multiple times that-so long as he did not have to attend classes-he could perform the essential duties of his position without undermining his health and stressed that he had been performing satisfactorily without the pay bump. Attending college was not a requirement of his job. Bruno's request that he be compensated more for performing his essential duties because his health prevented him from attending and obtaining the pay bump was not a request for reasonable accommodation.” </w:t>
      </w:r>
      <w:hyperlink r:id="rId1715" w:history="1">
        <w:r w:rsidRPr="00644350">
          <w:rPr>
            <w:rStyle w:val="Hyperlink"/>
          </w:rPr>
          <w:t>https://casetext.com/case/bruno-v-wells-armstrong</w:t>
        </w:r>
      </w:hyperlink>
      <w:r>
        <w:t xml:space="preserve"> </w:t>
      </w:r>
    </w:p>
    <w:p w14:paraId="60E95DD3" w14:textId="77777777" w:rsidR="00DB5557" w:rsidRDefault="00DB5557" w:rsidP="00DB5557">
      <w:pPr>
        <w:pStyle w:val="NormalWeb"/>
        <w:rPr>
          <w:b/>
          <w:bCs/>
        </w:rPr>
      </w:pPr>
      <w:r w:rsidRPr="00125715">
        <w:rPr>
          <w:b/>
          <w:bCs/>
        </w:rPr>
        <w:t>Legal Lesson Learned</w:t>
      </w:r>
      <w:r>
        <w:rPr>
          <w:b/>
          <w:bCs/>
        </w:rPr>
        <w:t xml:space="preserve">: ADA claim fails because firefighter’s request to waive education condition was not a request for reasonable accommodation.  </w:t>
      </w:r>
    </w:p>
    <w:p w14:paraId="4CD43BBD" w14:textId="77777777" w:rsidR="007B3AE4" w:rsidRDefault="007B3AE4" w:rsidP="005C30A4">
      <w:pPr>
        <w:pStyle w:val="NoSpacing"/>
        <w:rPr>
          <w:rFonts w:ascii="Arial Black" w:hAnsi="Arial Black"/>
          <w:sz w:val="24"/>
          <w:szCs w:val="24"/>
        </w:rPr>
      </w:pPr>
    </w:p>
    <w:p w14:paraId="11B5C7FB" w14:textId="77777777" w:rsidR="007B3AE4" w:rsidRDefault="007B3AE4" w:rsidP="005C30A4">
      <w:pPr>
        <w:pStyle w:val="NoSpacing"/>
        <w:rPr>
          <w:rFonts w:ascii="Arial Black" w:hAnsi="Arial Black"/>
          <w:sz w:val="24"/>
          <w:szCs w:val="24"/>
        </w:rPr>
      </w:pPr>
    </w:p>
    <w:p w14:paraId="2E64F7F5" w14:textId="03185FFE" w:rsidR="00615F4E" w:rsidRDefault="00615F4E" w:rsidP="005C30A4">
      <w:pPr>
        <w:pStyle w:val="NoSpacing"/>
        <w:rPr>
          <w:rFonts w:ascii="Arial Black" w:hAnsi="Arial Black"/>
          <w:sz w:val="24"/>
          <w:szCs w:val="24"/>
        </w:rPr>
      </w:pPr>
      <w:r>
        <w:rPr>
          <w:rFonts w:ascii="Arial Black" w:hAnsi="Arial Black"/>
          <w:sz w:val="24"/>
          <w:szCs w:val="24"/>
        </w:rPr>
        <w:t>9-4</w:t>
      </w:r>
      <w:r w:rsidR="005E544B">
        <w:rPr>
          <w:rFonts w:ascii="Arial Black" w:hAnsi="Arial Black"/>
          <w:sz w:val="24"/>
          <w:szCs w:val="24"/>
        </w:rPr>
        <w:t>1</w:t>
      </w:r>
    </w:p>
    <w:p w14:paraId="4DB42664" w14:textId="77777777" w:rsidR="00615F4E" w:rsidRPr="001020C2" w:rsidRDefault="00615F4E" w:rsidP="00615F4E">
      <w:pPr>
        <w:pStyle w:val="NormalWeb"/>
        <w:rPr>
          <w:rFonts w:ascii="Arial Black" w:hAnsi="Arial Black"/>
          <w:sz w:val="28"/>
          <w:szCs w:val="28"/>
        </w:rPr>
      </w:pPr>
      <w:r>
        <w:rPr>
          <w:rFonts w:ascii="Arial Black" w:hAnsi="Arial Black"/>
          <w:sz w:val="28"/>
          <w:szCs w:val="28"/>
        </w:rPr>
        <w:t>MA: CAPTAIN – MARINE 50% DISABELED – NOT PROMOTED – ALLEGES CHIEF ANIMOSITY DISAB. VETS – CASE PROCEED</w:t>
      </w:r>
    </w:p>
    <w:p w14:paraId="1331A6DE" w14:textId="77777777" w:rsidR="00615F4E" w:rsidRDefault="00615F4E" w:rsidP="00615F4E">
      <w:pPr>
        <w:pStyle w:val="NormalWeb"/>
      </w:pPr>
      <w:r>
        <w:t xml:space="preserve">On Jan. 10, 2024, in </w:t>
      </w:r>
      <w:r w:rsidRPr="005E6561">
        <w:rPr>
          <w:u w:val="single"/>
        </w:rPr>
        <w:t>Pierre Grenier v. City of Springfield, et al</w:t>
      </w:r>
      <w:r>
        <w:t xml:space="preserve">., U.S. Magistrate Judge Katherine A. Robinson issued a Report &amp; Recommendation allowing case to proceed with pre-trial discovery regarding Captain’s allegation that Fire Commissioner had animosity against him because of his military service-connected disability (former Marine).  He was the only of six candidates not promoted to District Chief.  </w:t>
      </w:r>
    </w:p>
    <w:p w14:paraId="72DB52A2" w14:textId="77777777" w:rsidR="00615F4E" w:rsidRDefault="00615F4E" w:rsidP="00615F4E">
      <w:pPr>
        <w:pStyle w:val="NormalWeb"/>
        <w:ind w:left="720" w:firstLine="60"/>
      </w:pPr>
      <w:r>
        <w:t xml:space="preserve">“Drawing all inferences in Plaintiff’s favor, a reasonable employee in his position might interpret [Fire Commissioner] Calvi’s stop at the fire station [May 26, 2019] after hearing that Plaintiff had set the wheels in motion for a formal hearing], was intended to intimidate or coerce Plaintiff into abandoning his right to a hearing to protect his position and promotional aspirations in the Department. This aspect of the claim also merits evaluation on a more complete factual </w:t>
      </w:r>
      <w:proofErr w:type="gramStart"/>
      <w:r>
        <w:t>record.”</w:t>
      </w:r>
      <w:proofErr w:type="gramEnd"/>
      <w:r>
        <w:t xml:space="preserve">  </w:t>
      </w:r>
      <w:hyperlink r:id="rId1716" w:history="1">
        <w:r w:rsidRPr="009E6D51">
          <w:rPr>
            <w:rStyle w:val="Hyperlink"/>
          </w:rPr>
          <w:t>https://www.casemine.com/judgement/us/65a0c054bfe6241981ef91c8</w:t>
        </w:r>
      </w:hyperlink>
      <w:r>
        <w:t xml:space="preserve"> </w:t>
      </w:r>
    </w:p>
    <w:p w14:paraId="69D4F192" w14:textId="77777777" w:rsidR="00E851B0" w:rsidRDefault="00E851B0" w:rsidP="00E851B0">
      <w:pPr>
        <w:rPr>
          <w:rFonts w:ascii="Times New Roman" w:hAnsi="Times New Roman"/>
          <w:b/>
          <w:bCs/>
          <w:sz w:val="24"/>
          <w:szCs w:val="24"/>
        </w:rPr>
      </w:pPr>
      <w:r w:rsidRPr="00F53C85">
        <w:rPr>
          <w:rFonts w:ascii="Times New Roman" w:hAnsi="Times New Roman"/>
          <w:b/>
          <w:bCs/>
          <w:sz w:val="24"/>
          <w:szCs w:val="24"/>
        </w:rPr>
        <w:t xml:space="preserve">Legal Lesson Learned: </w:t>
      </w:r>
      <w:r>
        <w:rPr>
          <w:rFonts w:ascii="Times New Roman" w:hAnsi="Times New Roman"/>
          <w:b/>
          <w:bCs/>
          <w:sz w:val="24"/>
          <w:szCs w:val="24"/>
        </w:rPr>
        <w:t xml:space="preserve"> If an employee is claiming animosity, consider having a second person (another officer or HR) with you when holding discussion with the employee.</w:t>
      </w:r>
    </w:p>
    <w:p w14:paraId="2944525F" w14:textId="77777777" w:rsidR="00E851B0" w:rsidRDefault="00E851B0" w:rsidP="00E851B0">
      <w:pPr>
        <w:pStyle w:val="NormalWeb"/>
        <w:ind w:left="720"/>
      </w:pPr>
      <w:r>
        <w:t xml:space="preserve">Note:  March 8, 2023, Justice Michael K. Callan, Massachusetts Superior Court denied his appeal from Civil Service Commission.  </w:t>
      </w:r>
      <w:hyperlink r:id="rId1717" w:history="1">
        <w:r w:rsidRPr="00B22688">
          <w:rPr>
            <w:rStyle w:val="Hyperlink"/>
          </w:rPr>
          <w:t>https://www.mass.gov/doc/grenier-pierre-v-springfield-fire-department-related-superior-court-decision-3823/download</w:t>
        </w:r>
      </w:hyperlink>
      <w:r w:rsidRPr="00B22688">
        <w:t xml:space="preserve"> </w:t>
      </w:r>
    </w:p>
    <w:p w14:paraId="50E0734D" w14:textId="77777777" w:rsidR="00615F4E" w:rsidRDefault="00615F4E" w:rsidP="005C30A4">
      <w:pPr>
        <w:pStyle w:val="NoSpacing"/>
        <w:rPr>
          <w:rFonts w:ascii="Arial Black" w:hAnsi="Arial Black"/>
          <w:sz w:val="24"/>
          <w:szCs w:val="24"/>
        </w:rPr>
      </w:pPr>
    </w:p>
    <w:p w14:paraId="1674C30F" w14:textId="77777777" w:rsidR="00615F4E" w:rsidRPr="00615F4E" w:rsidRDefault="00615F4E" w:rsidP="005C30A4">
      <w:pPr>
        <w:pStyle w:val="NoSpacing"/>
        <w:rPr>
          <w:rFonts w:ascii="Arial Black" w:hAnsi="Arial Black"/>
          <w:i/>
          <w:iCs/>
          <w:sz w:val="24"/>
          <w:szCs w:val="24"/>
        </w:rPr>
      </w:pPr>
    </w:p>
    <w:p w14:paraId="2D49AD6C" w14:textId="7289404D" w:rsidR="00AB6735" w:rsidRDefault="00AB6735" w:rsidP="005C30A4">
      <w:pPr>
        <w:pStyle w:val="NoSpacing"/>
        <w:rPr>
          <w:rFonts w:ascii="Arial Black" w:hAnsi="Arial Black"/>
          <w:sz w:val="24"/>
          <w:szCs w:val="24"/>
        </w:rPr>
      </w:pPr>
      <w:r>
        <w:rPr>
          <w:rFonts w:ascii="Arial Black" w:hAnsi="Arial Black"/>
          <w:sz w:val="24"/>
          <w:szCs w:val="24"/>
        </w:rPr>
        <w:t>9-40</w:t>
      </w:r>
    </w:p>
    <w:p w14:paraId="1732C251" w14:textId="77777777" w:rsidR="00AB6735" w:rsidRPr="00D862E9" w:rsidRDefault="00AB6735" w:rsidP="00AB6735">
      <w:pPr>
        <w:pStyle w:val="Heading1"/>
        <w:rPr>
          <w:rFonts w:ascii="Arial Black" w:hAnsi="Arial Black"/>
          <w:b w:val="0"/>
          <w:sz w:val="28"/>
          <w:szCs w:val="28"/>
        </w:rPr>
      </w:pPr>
      <w:r>
        <w:rPr>
          <w:rFonts w:ascii="Arial Black" w:hAnsi="Arial Black"/>
          <w:b w:val="0"/>
          <w:sz w:val="28"/>
          <w:szCs w:val="28"/>
        </w:rPr>
        <w:t xml:space="preserve">MN: “ALCOHOL USE DISORDER” – DOJ FIRST ADA SETTLEMENT REQ. CITY PAY TREATMENT CDL DRIVERS </w:t>
      </w:r>
    </w:p>
    <w:p w14:paraId="11555FE4" w14:textId="77777777" w:rsidR="00AB6735" w:rsidRDefault="00AB6735" w:rsidP="00AB6735">
      <w:pPr>
        <w:pStyle w:val="Heading1"/>
        <w:rPr>
          <w:rStyle w:val="field-formatter--string"/>
          <w:b w:val="0"/>
          <w:bCs w:val="0"/>
          <w:sz w:val="24"/>
          <w:szCs w:val="24"/>
        </w:rPr>
      </w:pPr>
      <w:r>
        <w:rPr>
          <w:b w:val="0"/>
          <w:sz w:val="24"/>
          <w:szCs w:val="24"/>
        </w:rPr>
        <w:t xml:space="preserve">On Nov. 20, 2023, in </w:t>
      </w:r>
      <w:r w:rsidRPr="00B07419">
        <w:rPr>
          <w:b w:val="0"/>
          <w:sz w:val="24"/>
          <w:szCs w:val="24"/>
          <w:u w:val="single"/>
        </w:rPr>
        <w:t>United States of America v. City of Blane, Minnesota</w:t>
      </w:r>
      <w:r>
        <w:rPr>
          <w:b w:val="0"/>
          <w:sz w:val="24"/>
          <w:szCs w:val="24"/>
        </w:rPr>
        <w:t xml:space="preserve">, the parties entered a consent decree.  While this case does not specifically involve firefighters, this is “first ADA settlement” involving voluntary disclosure by CDL drivers.  In the Press Release, the </w:t>
      </w:r>
      <w:proofErr w:type="spellStart"/>
      <w:r>
        <w:rPr>
          <w:b w:val="0"/>
          <w:sz w:val="24"/>
          <w:szCs w:val="24"/>
        </w:rPr>
        <w:t>DoJ</w:t>
      </w:r>
      <w:proofErr w:type="spellEnd"/>
      <w:r>
        <w:rPr>
          <w:b w:val="0"/>
          <w:sz w:val="24"/>
          <w:szCs w:val="24"/>
        </w:rPr>
        <w:t xml:space="preserve"> stated: “</w:t>
      </w:r>
      <w:r w:rsidRPr="003526F1">
        <w:rPr>
          <w:b w:val="0"/>
          <w:bCs w:val="0"/>
          <w:sz w:val="24"/>
          <w:szCs w:val="24"/>
        </w:rPr>
        <w:t xml:space="preserve">The lawsuit alleges that the city discriminated against an employee with alcohol use disorder who voluntarily disclosed that he was to undergo treatment by requiring him to pay for alcohol and controlled substances testing and evaluation based on his disability. This is the Justice Department’s first ADA settlement resolving a claim of employment discrimination based on alcohol use </w:t>
      </w:r>
      <w:r>
        <w:rPr>
          <w:b w:val="0"/>
          <w:bCs w:val="0"/>
          <w:sz w:val="24"/>
          <w:szCs w:val="24"/>
        </w:rPr>
        <w:t xml:space="preserve"> d</w:t>
      </w:r>
      <w:r w:rsidRPr="003526F1">
        <w:rPr>
          <w:b w:val="0"/>
          <w:bCs w:val="0"/>
          <w:sz w:val="24"/>
          <w:szCs w:val="24"/>
        </w:rPr>
        <w:t>isorder.</w:t>
      </w:r>
      <w:r>
        <w:rPr>
          <w:b w:val="0"/>
          <w:bCs w:val="0"/>
          <w:sz w:val="24"/>
          <w:szCs w:val="24"/>
        </w:rPr>
        <w:t xml:space="preserve">”  </w:t>
      </w:r>
      <w:r w:rsidRPr="003526F1">
        <w:rPr>
          <w:b w:val="0"/>
          <w:bCs w:val="0"/>
          <w:sz w:val="24"/>
          <w:szCs w:val="24"/>
        </w:rPr>
        <w:t> </w:t>
      </w:r>
      <w:hyperlink r:id="rId1718" w:history="1">
        <w:r w:rsidRPr="003526F1">
          <w:rPr>
            <w:rStyle w:val="Hyperlink"/>
            <w:rFonts w:eastAsiaTheme="majorEastAsia"/>
            <w:b w:val="0"/>
            <w:bCs w:val="0"/>
            <w:sz w:val="24"/>
            <w:szCs w:val="24"/>
          </w:rPr>
          <w:t>https://www.justice.gov/opa/pr/justice-department-secures-agreement-city-blaine-minnesota-resolve-discrimination-claim</w:t>
        </w:r>
      </w:hyperlink>
      <w:r w:rsidRPr="003526F1">
        <w:rPr>
          <w:b w:val="0"/>
          <w:bCs w:val="0"/>
          <w:sz w:val="24"/>
          <w:szCs w:val="24"/>
        </w:rPr>
        <w:t xml:space="preserve"> </w:t>
      </w:r>
      <w:r w:rsidRPr="003526F1">
        <w:rPr>
          <w:rStyle w:val="field-formatter--string"/>
          <w:b w:val="0"/>
          <w:bCs w:val="0"/>
          <w:sz w:val="24"/>
          <w:szCs w:val="24"/>
        </w:rPr>
        <w:t xml:space="preserve"> </w:t>
      </w:r>
    </w:p>
    <w:p w14:paraId="049D54EC" w14:textId="77777777" w:rsidR="001031C3" w:rsidRDefault="001031C3" w:rsidP="001031C3">
      <w:pPr>
        <w:pStyle w:val="NoSpacing"/>
        <w:rPr>
          <w:rFonts w:ascii="Times New Roman" w:hAnsi="Times New Roman"/>
          <w:b/>
          <w:sz w:val="24"/>
          <w:szCs w:val="24"/>
        </w:rPr>
      </w:pPr>
      <w:r>
        <w:rPr>
          <w:rFonts w:ascii="Times New Roman" w:hAnsi="Times New Roman"/>
          <w:b/>
          <w:sz w:val="24"/>
          <w:szCs w:val="24"/>
        </w:rPr>
        <w:t xml:space="preserve">Legal Lesson Learned:  Fire &amp; EMS Departments should review their EAP policies regarding voluntary disclosure of substance abuse. </w:t>
      </w:r>
    </w:p>
    <w:p w14:paraId="22CF91EA" w14:textId="77777777" w:rsidR="001031C3" w:rsidRDefault="001031C3" w:rsidP="001031C3">
      <w:pPr>
        <w:pStyle w:val="NoSpacing"/>
        <w:rPr>
          <w:rFonts w:ascii="Times New Roman" w:hAnsi="Times New Roman"/>
          <w:b/>
          <w:sz w:val="24"/>
          <w:szCs w:val="24"/>
        </w:rPr>
      </w:pPr>
    </w:p>
    <w:p w14:paraId="57C03AD1" w14:textId="77777777" w:rsidR="001031C3" w:rsidRDefault="001031C3" w:rsidP="00AB6735">
      <w:pPr>
        <w:pStyle w:val="Heading1"/>
        <w:rPr>
          <w:rStyle w:val="field-formatter--string"/>
          <w:b w:val="0"/>
          <w:bCs w:val="0"/>
          <w:sz w:val="24"/>
          <w:szCs w:val="24"/>
        </w:rPr>
      </w:pPr>
    </w:p>
    <w:p w14:paraId="08F0C142" w14:textId="77777777" w:rsidR="00AB6735" w:rsidRDefault="00AB6735" w:rsidP="005C30A4">
      <w:pPr>
        <w:pStyle w:val="NoSpacing"/>
        <w:rPr>
          <w:rFonts w:ascii="Arial Black" w:hAnsi="Arial Black"/>
          <w:sz w:val="24"/>
          <w:szCs w:val="24"/>
        </w:rPr>
      </w:pPr>
    </w:p>
    <w:p w14:paraId="46D7CEDD" w14:textId="77777777" w:rsidR="00AB6735" w:rsidRDefault="00AB6735" w:rsidP="005C30A4">
      <w:pPr>
        <w:pStyle w:val="NoSpacing"/>
        <w:rPr>
          <w:rFonts w:ascii="Arial Black" w:hAnsi="Arial Black"/>
          <w:sz w:val="24"/>
          <w:szCs w:val="24"/>
        </w:rPr>
      </w:pPr>
    </w:p>
    <w:p w14:paraId="72C7EB89" w14:textId="77777777" w:rsidR="00AB6735" w:rsidRDefault="00AB6735" w:rsidP="005C30A4">
      <w:pPr>
        <w:pStyle w:val="NoSpacing"/>
        <w:rPr>
          <w:rFonts w:ascii="Arial Black" w:hAnsi="Arial Black"/>
          <w:sz w:val="24"/>
          <w:szCs w:val="24"/>
        </w:rPr>
      </w:pPr>
    </w:p>
    <w:p w14:paraId="2F69E385" w14:textId="6027D29E" w:rsidR="009B0593" w:rsidRDefault="00832745" w:rsidP="005C30A4">
      <w:pPr>
        <w:pStyle w:val="NoSpacing"/>
        <w:rPr>
          <w:rFonts w:ascii="Arial Black" w:hAnsi="Arial Black"/>
          <w:sz w:val="24"/>
          <w:szCs w:val="24"/>
        </w:rPr>
      </w:pPr>
      <w:r>
        <w:rPr>
          <w:rFonts w:ascii="Arial Black" w:hAnsi="Arial Black"/>
          <w:sz w:val="24"/>
          <w:szCs w:val="24"/>
        </w:rPr>
        <w:t>9-39</w:t>
      </w:r>
    </w:p>
    <w:p w14:paraId="749C2D26" w14:textId="77777777" w:rsidR="00832745" w:rsidRDefault="00832745" w:rsidP="00832745">
      <w:pPr>
        <w:pStyle w:val="NormalWeb"/>
        <w:rPr>
          <w:rFonts w:ascii="Arial Black" w:hAnsi="Arial Black"/>
          <w:sz w:val="28"/>
          <w:szCs w:val="28"/>
        </w:rPr>
      </w:pPr>
      <w:r>
        <w:rPr>
          <w:rFonts w:ascii="Arial Black" w:hAnsi="Arial Black"/>
          <w:sz w:val="28"/>
          <w:szCs w:val="28"/>
        </w:rPr>
        <w:t>FL: ADA - FF PARKINSON – CITY CHANGED HEALTH INSUR. TO 2 YEARS – RETIRED FF CAN’T SUE, NOT EMPLOYEE</w:t>
      </w:r>
    </w:p>
    <w:p w14:paraId="3AC3623A" w14:textId="267D0218" w:rsidR="00832745" w:rsidRDefault="00832745" w:rsidP="00832745">
      <w:pPr>
        <w:pStyle w:val="NoSpacing"/>
        <w:rPr>
          <w:rStyle w:val="Hyperlink"/>
          <w:rFonts w:ascii="Times New Roman" w:hAnsi="Times New Roman"/>
          <w:sz w:val="24"/>
          <w:szCs w:val="24"/>
        </w:rPr>
      </w:pPr>
      <w:r w:rsidRPr="00832745">
        <w:rPr>
          <w:rFonts w:ascii="Times New Roman" w:hAnsi="Times New Roman"/>
          <w:sz w:val="24"/>
          <w:szCs w:val="24"/>
        </w:rPr>
        <w:t xml:space="preserve">On Oct. 11, 2023, in </w:t>
      </w:r>
      <w:r w:rsidRPr="00832745">
        <w:rPr>
          <w:rFonts w:ascii="Times New Roman" w:hAnsi="Times New Roman"/>
          <w:sz w:val="24"/>
          <w:szCs w:val="24"/>
          <w:u w:val="single"/>
        </w:rPr>
        <w:t>Karyn D. Stanley v. City of Sanford, Florida</w:t>
      </w:r>
      <w:r w:rsidRPr="00832745">
        <w:rPr>
          <w:rFonts w:ascii="Times New Roman" w:hAnsi="Times New Roman"/>
          <w:sz w:val="24"/>
          <w:szCs w:val="24"/>
        </w:rPr>
        <w:t>, the U.S. Court of Appeals for the 11</w:t>
      </w:r>
      <w:r w:rsidRPr="00832745">
        <w:rPr>
          <w:rFonts w:ascii="Times New Roman" w:hAnsi="Times New Roman"/>
          <w:sz w:val="24"/>
          <w:szCs w:val="24"/>
          <w:vertAlign w:val="superscript"/>
        </w:rPr>
        <w:t>th</w:t>
      </w:r>
      <w:r w:rsidRPr="00832745">
        <w:rPr>
          <w:rFonts w:ascii="Times New Roman" w:hAnsi="Times New Roman"/>
          <w:sz w:val="24"/>
          <w:szCs w:val="24"/>
        </w:rPr>
        <w:t xml:space="preserve"> Circuit (Atlanta, GA) held (3 to 0): “Because Stanley cannot establish that the City committed any discriminatory acts against her while she could perform the essential functions of a job that she held or desired to hold, her Title I claim fails. For the same reason, so do her claims under the Rehab Act and the Florida Civil Rights </w:t>
      </w:r>
      <w:proofErr w:type="gramStart"/>
      <w:r w:rsidRPr="00832745">
        <w:rPr>
          <w:rFonts w:ascii="Times New Roman" w:hAnsi="Times New Roman"/>
          <w:sz w:val="24"/>
          <w:szCs w:val="24"/>
        </w:rPr>
        <w:t>Act.”</w:t>
      </w:r>
      <w:proofErr w:type="gramEnd"/>
      <w:r w:rsidRPr="00832745">
        <w:rPr>
          <w:rFonts w:ascii="Times New Roman" w:hAnsi="Times New Roman"/>
          <w:sz w:val="24"/>
          <w:szCs w:val="24"/>
        </w:rPr>
        <w:t xml:space="preserve"> </w:t>
      </w:r>
      <w:hyperlink r:id="rId1719" w:history="1">
        <w:r w:rsidRPr="00832745">
          <w:rPr>
            <w:rStyle w:val="Hyperlink"/>
            <w:rFonts w:ascii="Times New Roman" w:hAnsi="Times New Roman"/>
            <w:sz w:val="24"/>
            <w:szCs w:val="24"/>
          </w:rPr>
          <w:t>https://cases.justia.com/federal/appellate-courts/ca11/22-10002/22-10002-2023-10-11.pdf?ts=1697045568</w:t>
        </w:r>
      </w:hyperlink>
    </w:p>
    <w:p w14:paraId="0B6D9326" w14:textId="77777777" w:rsidR="00832745" w:rsidRDefault="00832745" w:rsidP="00832745">
      <w:pPr>
        <w:pStyle w:val="NormalWeb"/>
        <w:rPr>
          <w:b/>
          <w:bCs/>
        </w:rPr>
      </w:pPr>
      <w:r>
        <w:rPr>
          <w:b/>
          <w:bCs/>
        </w:rPr>
        <w:t xml:space="preserve">Legal Lesson Learned: Some other Circuit Courts have taken an opposite position; perhaps the U.S. Supreme Court will take an appeal and resolve the conflict. </w:t>
      </w:r>
    </w:p>
    <w:p w14:paraId="05B2D700" w14:textId="77777777" w:rsidR="00832745" w:rsidRDefault="00832745" w:rsidP="00832745">
      <w:pPr>
        <w:pStyle w:val="Heading1"/>
        <w:ind w:left="720"/>
        <w:rPr>
          <w:b w:val="0"/>
          <w:bCs w:val="0"/>
          <w:sz w:val="24"/>
          <w:szCs w:val="24"/>
        </w:rPr>
      </w:pPr>
      <w:r>
        <w:rPr>
          <w:b w:val="0"/>
          <w:bCs w:val="0"/>
          <w:sz w:val="24"/>
          <w:szCs w:val="24"/>
        </w:rPr>
        <w:t>Note: The Court stated: “The Second and Third Circuits have held that Title I’s anti-discrimination provision is ambiguous, however, and have resolved that purported ambiguity in favor of former employees. See Castellano v. City of New York, 142 F.3d 58, 66–69 (2d Cir. 1998); Ford v. Schering-Plough Corp., 145 F.3d 601, 604–08 (3d Cir. 1998).”</w:t>
      </w:r>
    </w:p>
    <w:p w14:paraId="5160D8E4" w14:textId="77777777" w:rsidR="00832745" w:rsidRPr="00832745" w:rsidRDefault="00832745" w:rsidP="00832745">
      <w:pPr>
        <w:pStyle w:val="NoSpacing"/>
        <w:rPr>
          <w:rFonts w:ascii="Times New Roman" w:hAnsi="Times New Roman"/>
          <w:sz w:val="24"/>
          <w:szCs w:val="24"/>
        </w:rPr>
      </w:pPr>
    </w:p>
    <w:p w14:paraId="78B2D967" w14:textId="77777777" w:rsidR="00832745" w:rsidRPr="00832745" w:rsidRDefault="00832745" w:rsidP="005C30A4">
      <w:pPr>
        <w:pStyle w:val="NoSpacing"/>
        <w:rPr>
          <w:rFonts w:ascii="Times New Roman" w:hAnsi="Times New Roman"/>
          <w:sz w:val="24"/>
          <w:szCs w:val="24"/>
        </w:rPr>
      </w:pPr>
    </w:p>
    <w:p w14:paraId="6174E670" w14:textId="77777777" w:rsidR="00832745" w:rsidRDefault="00832745" w:rsidP="005C30A4">
      <w:pPr>
        <w:pStyle w:val="NoSpacing"/>
        <w:rPr>
          <w:rFonts w:ascii="Arial Black" w:hAnsi="Arial Black"/>
          <w:sz w:val="24"/>
          <w:szCs w:val="24"/>
        </w:rPr>
      </w:pPr>
    </w:p>
    <w:p w14:paraId="5D9DA476" w14:textId="004B3D22" w:rsidR="00AC3E10" w:rsidRDefault="00AC3E10" w:rsidP="005C30A4">
      <w:pPr>
        <w:pStyle w:val="NoSpacing"/>
        <w:rPr>
          <w:rFonts w:ascii="Arial Black" w:hAnsi="Arial Black"/>
          <w:sz w:val="24"/>
          <w:szCs w:val="24"/>
        </w:rPr>
      </w:pPr>
      <w:r>
        <w:rPr>
          <w:rFonts w:ascii="Arial Black" w:hAnsi="Arial Black"/>
          <w:sz w:val="24"/>
          <w:szCs w:val="24"/>
        </w:rPr>
        <w:t>9-38</w:t>
      </w:r>
    </w:p>
    <w:p w14:paraId="24D2F0AF" w14:textId="77777777" w:rsidR="00832745" w:rsidRDefault="00832745" w:rsidP="005C30A4">
      <w:pPr>
        <w:pStyle w:val="NoSpacing"/>
        <w:rPr>
          <w:rFonts w:ascii="Arial Black" w:hAnsi="Arial Black"/>
          <w:sz w:val="24"/>
          <w:szCs w:val="24"/>
        </w:rPr>
      </w:pPr>
    </w:p>
    <w:p w14:paraId="5EE8E976" w14:textId="77777777" w:rsidR="00AC3E10" w:rsidRDefault="00AC3E10" w:rsidP="00AC3E10">
      <w:pPr>
        <w:rPr>
          <w:rFonts w:ascii="Arial Black" w:hAnsi="Arial Black"/>
          <w:sz w:val="28"/>
          <w:szCs w:val="28"/>
        </w:rPr>
      </w:pPr>
      <w:r>
        <w:rPr>
          <w:rFonts w:ascii="Arial Black" w:hAnsi="Arial Black"/>
          <w:sz w:val="28"/>
          <w:szCs w:val="28"/>
        </w:rPr>
        <w:t>PA: ADA – EMS CONVINCED COVID PATIENT REFUSE TRANSPORT - “REGARDED AS” DISABELED – CASE PROCEED</w:t>
      </w:r>
    </w:p>
    <w:p w14:paraId="28512F95" w14:textId="77777777" w:rsidR="00AC3E10" w:rsidRDefault="00AC3E10" w:rsidP="00AC3E10">
      <w:pPr>
        <w:rPr>
          <w:rFonts w:ascii="Times New Roman" w:hAnsi="Times New Roman"/>
          <w:sz w:val="24"/>
          <w:szCs w:val="24"/>
        </w:rPr>
      </w:pPr>
      <w:r>
        <w:rPr>
          <w:rFonts w:ascii="Times New Roman" w:hAnsi="Times New Roman"/>
          <w:sz w:val="24"/>
          <w:szCs w:val="24"/>
        </w:rPr>
        <w:t xml:space="preserve">On Sept. 19, 2023, in </w:t>
      </w:r>
      <w:r w:rsidRPr="000679CA">
        <w:rPr>
          <w:rFonts w:ascii="Times New Roman" w:hAnsi="Times New Roman"/>
          <w:sz w:val="24"/>
          <w:szCs w:val="24"/>
          <w:u w:val="single"/>
        </w:rPr>
        <w:t>Keisha Cappel, et al. v. Aston Township Fire Department, et al</w:t>
      </w:r>
      <w:r>
        <w:rPr>
          <w:rFonts w:ascii="Times New Roman" w:hAnsi="Times New Roman"/>
          <w:sz w:val="24"/>
          <w:szCs w:val="24"/>
        </w:rPr>
        <w:t xml:space="preserve">., U.S. District Court Judge John Frank Murphy, Eastern District of Pennsylvania, held that lawsuit may proceed to pre-trial discovery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Disabilities Act since the EMTs “regarded” the patient as having a disability.   The Court held that while the allegations fail to state a claim under Fourteenth Amendment because the EMTs did not create a danger, the lawsuit may proceed on claim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Disability Act because they “regarded” the patient as having a disability.  The Court focused on the </w:t>
      </w:r>
      <w:proofErr w:type="gramStart"/>
      <w:r>
        <w:rPr>
          <w:rFonts w:ascii="Times New Roman" w:hAnsi="Times New Roman"/>
          <w:sz w:val="24"/>
          <w:szCs w:val="24"/>
        </w:rPr>
        <w:t>EMTs</w:t>
      </w:r>
      <w:proofErr w:type="gramEnd"/>
      <w:r>
        <w:rPr>
          <w:rFonts w:ascii="Times New Roman" w:hAnsi="Times New Roman"/>
          <w:sz w:val="24"/>
          <w:szCs w:val="24"/>
        </w:rPr>
        <w:t xml:space="preserve"> comments prior to seeing the patient. </w:t>
      </w:r>
    </w:p>
    <w:p w14:paraId="4D9B2731" w14:textId="77777777" w:rsidR="00AC3E10" w:rsidRPr="00EF6867" w:rsidRDefault="00AC3E10" w:rsidP="00AC3E10">
      <w:pPr>
        <w:pStyle w:val="NoSpacing"/>
        <w:ind w:firstLine="720"/>
        <w:rPr>
          <w:rFonts w:ascii="Times New Roman" w:hAnsi="Times New Roman"/>
          <w:sz w:val="24"/>
          <w:szCs w:val="24"/>
        </w:rPr>
      </w:pPr>
      <w:r w:rsidRPr="00EF6867">
        <w:rPr>
          <w:rFonts w:ascii="Times New Roman" w:hAnsi="Times New Roman"/>
          <w:sz w:val="24"/>
          <w:szCs w:val="24"/>
        </w:rPr>
        <w:t>“A Basic Life Support (BLS) unit and Advanced Life Support (ALS) unit were deployed</w:t>
      </w:r>
    </w:p>
    <w:p w14:paraId="543B6841" w14:textId="77777777" w:rsidR="00AC3E10" w:rsidRPr="00EF6867" w:rsidRDefault="00AC3E10" w:rsidP="00AC3E10">
      <w:pPr>
        <w:pStyle w:val="NoSpacing"/>
        <w:ind w:firstLine="720"/>
        <w:rPr>
          <w:rFonts w:ascii="Times New Roman" w:hAnsi="Times New Roman"/>
          <w:sz w:val="24"/>
          <w:szCs w:val="24"/>
        </w:rPr>
      </w:pPr>
      <w:r w:rsidRPr="00EF6867">
        <w:rPr>
          <w:rFonts w:ascii="Times New Roman" w:hAnsi="Times New Roman"/>
          <w:sz w:val="24"/>
          <w:szCs w:val="24"/>
        </w:rPr>
        <w:t>in response</w:t>
      </w:r>
      <w:r>
        <w:rPr>
          <w:rFonts w:ascii="Times New Roman" w:hAnsi="Times New Roman"/>
          <w:sz w:val="24"/>
          <w:szCs w:val="24"/>
        </w:rPr>
        <w:t xml:space="preserve">…. </w:t>
      </w:r>
      <w:r w:rsidRPr="00EF6867">
        <w:rPr>
          <w:rFonts w:ascii="Times New Roman" w:hAnsi="Times New Roman"/>
          <w:sz w:val="24"/>
          <w:szCs w:val="24"/>
        </w:rPr>
        <w:t>On their way to Ms. Jones’s house, the BLS unit — consisting of</w:t>
      </w:r>
    </w:p>
    <w:p w14:paraId="061B5D35" w14:textId="77777777" w:rsidR="00AC3E10" w:rsidRDefault="00AC3E10" w:rsidP="00AC3E10">
      <w:pPr>
        <w:pStyle w:val="NoSpacing"/>
        <w:ind w:left="720"/>
        <w:rPr>
          <w:rFonts w:ascii="Times New Roman" w:hAnsi="Times New Roman"/>
          <w:sz w:val="24"/>
          <w:szCs w:val="24"/>
        </w:rPr>
      </w:pPr>
      <w:r w:rsidRPr="00EF6867">
        <w:rPr>
          <w:rFonts w:ascii="Times New Roman" w:hAnsi="Times New Roman"/>
          <w:sz w:val="24"/>
          <w:szCs w:val="24"/>
        </w:rPr>
        <w:t xml:space="preserve">Eoin Marshall and Aaron Kisela (together, </w:t>
      </w:r>
      <w:r>
        <w:rPr>
          <w:rFonts w:ascii="Times New Roman" w:hAnsi="Times New Roman"/>
          <w:sz w:val="24"/>
          <w:szCs w:val="24"/>
        </w:rPr>
        <w:t>‘</w:t>
      </w:r>
      <w:r w:rsidRPr="00EF6867">
        <w:rPr>
          <w:rFonts w:ascii="Times New Roman" w:hAnsi="Times New Roman"/>
          <w:sz w:val="24"/>
          <w:szCs w:val="24"/>
        </w:rPr>
        <w:t>the EMT-Bs</w:t>
      </w:r>
      <w:r>
        <w:rPr>
          <w:rFonts w:ascii="Times New Roman" w:hAnsi="Times New Roman"/>
          <w:sz w:val="24"/>
          <w:szCs w:val="24"/>
        </w:rPr>
        <w:t>’</w:t>
      </w:r>
      <w:r w:rsidRPr="00EF6867">
        <w:rPr>
          <w:rFonts w:ascii="Times New Roman" w:hAnsi="Times New Roman"/>
          <w:sz w:val="24"/>
          <w:szCs w:val="24"/>
        </w:rPr>
        <w:t xml:space="preserve">) — </w:t>
      </w:r>
      <w:r>
        <w:rPr>
          <w:rFonts w:ascii="Times New Roman" w:hAnsi="Times New Roman"/>
          <w:sz w:val="24"/>
          <w:szCs w:val="24"/>
        </w:rPr>
        <w:t>‘</w:t>
      </w:r>
      <w:r w:rsidRPr="00EF6867">
        <w:rPr>
          <w:rFonts w:ascii="Times New Roman" w:hAnsi="Times New Roman"/>
          <w:sz w:val="24"/>
          <w:szCs w:val="24"/>
        </w:rPr>
        <w:t>discussed</w:t>
      </w:r>
      <w:r>
        <w:rPr>
          <w:rFonts w:ascii="Times New Roman" w:hAnsi="Times New Roman"/>
          <w:sz w:val="24"/>
          <w:szCs w:val="24"/>
        </w:rPr>
        <w:t>’</w:t>
      </w:r>
      <w:r w:rsidRPr="00EF6867">
        <w:rPr>
          <w:rFonts w:ascii="Times New Roman" w:hAnsi="Times New Roman"/>
          <w:sz w:val="24"/>
          <w:szCs w:val="24"/>
        </w:rPr>
        <w:t xml:space="preserve"> how Mr. Kisela would</w:t>
      </w:r>
      <w:r>
        <w:rPr>
          <w:rFonts w:ascii="Times New Roman" w:hAnsi="Times New Roman"/>
          <w:sz w:val="24"/>
          <w:szCs w:val="24"/>
        </w:rPr>
        <w:t xml:space="preserve"> </w:t>
      </w:r>
      <w:r w:rsidRPr="00EF6867">
        <w:rPr>
          <w:rFonts w:ascii="Times New Roman" w:hAnsi="Times New Roman"/>
          <w:sz w:val="24"/>
          <w:szCs w:val="24"/>
        </w:rPr>
        <w:t xml:space="preserve">remain outside of the home, and how they would </w:t>
      </w:r>
      <w:r>
        <w:rPr>
          <w:rFonts w:ascii="Times New Roman" w:hAnsi="Times New Roman"/>
          <w:sz w:val="24"/>
          <w:szCs w:val="24"/>
        </w:rPr>
        <w:t>‘</w:t>
      </w:r>
      <w:r w:rsidRPr="00EF6867">
        <w:rPr>
          <w:rFonts w:ascii="Times New Roman" w:hAnsi="Times New Roman"/>
          <w:sz w:val="24"/>
          <w:szCs w:val="24"/>
        </w:rPr>
        <w:t>pressure</w:t>
      </w:r>
      <w:r>
        <w:rPr>
          <w:rFonts w:ascii="Times New Roman" w:hAnsi="Times New Roman"/>
          <w:sz w:val="24"/>
          <w:szCs w:val="24"/>
        </w:rPr>
        <w:t>’</w:t>
      </w:r>
      <w:r w:rsidRPr="00EF6867">
        <w:rPr>
          <w:rFonts w:ascii="Times New Roman" w:hAnsi="Times New Roman"/>
          <w:sz w:val="24"/>
          <w:szCs w:val="24"/>
        </w:rPr>
        <w:t xml:space="preserve"> Ms. Jones into </w:t>
      </w:r>
      <w:r>
        <w:rPr>
          <w:rFonts w:ascii="Times New Roman" w:hAnsi="Times New Roman"/>
          <w:sz w:val="24"/>
          <w:szCs w:val="24"/>
        </w:rPr>
        <w:t>‘</w:t>
      </w:r>
      <w:r w:rsidRPr="00EF6867">
        <w:rPr>
          <w:rFonts w:ascii="Times New Roman" w:hAnsi="Times New Roman"/>
          <w:sz w:val="24"/>
          <w:szCs w:val="24"/>
        </w:rPr>
        <w:t>not go[</w:t>
      </w:r>
      <w:proofErr w:type="spellStart"/>
      <w:r w:rsidRPr="00EF6867">
        <w:rPr>
          <w:rFonts w:ascii="Times New Roman" w:hAnsi="Times New Roman"/>
          <w:sz w:val="24"/>
          <w:szCs w:val="24"/>
        </w:rPr>
        <w:t>ing</w:t>
      </w:r>
      <w:proofErr w:type="spellEnd"/>
      <w:r w:rsidRPr="00EF6867">
        <w:rPr>
          <w:rFonts w:ascii="Times New Roman" w:hAnsi="Times New Roman"/>
          <w:sz w:val="24"/>
          <w:szCs w:val="24"/>
        </w:rPr>
        <w:t>] to the</w:t>
      </w:r>
      <w:r>
        <w:rPr>
          <w:rFonts w:ascii="Times New Roman" w:hAnsi="Times New Roman"/>
          <w:sz w:val="24"/>
          <w:szCs w:val="24"/>
        </w:rPr>
        <w:t xml:space="preserve"> </w:t>
      </w:r>
      <w:r w:rsidRPr="00EF6867">
        <w:rPr>
          <w:rFonts w:ascii="Times New Roman" w:hAnsi="Times New Roman"/>
          <w:sz w:val="24"/>
          <w:szCs w:val="24"/>
        </w:rPr>
        <w:t xml:space="preserve">hospital regardless of her medical needs.” </w:t>
      </w:r>
    </w:p>
    <w:p w14:paraId="62D37AB1" w14:textId="77777777" w:rsidR="00AC3E10" w:rsidRPr="00CC41C5" w:rsidRDefault="00AC3E10" w:rsidP="00AC3E10">
      <w:pPr>
        <w:pStyle w:val="NoSpacing"/>
        <w:ind w:left="720"/>
        <w:rPr>
          <w:rFonts w:ascii="Times New Roman" w:hAnsi="Times New Roman"/>
          <w:sz w:val="24"/>
          <w:szCs w:val="24"/>
        </w:rPr>
      </w:pPr>
      <w:hyperlink r:id="rId1720" w:history="1">
        <w:r w:rsidRPr="000C56E5">
          <w:rPr>
            <w:rStyle w:val="Hyperlink"/>
            <w:rFonts w:ascii="Times New Roman" w:hAnsi="Times New Roman"/>
            <w:sz w:val="24"/>
            <w:szCs w:val="24"/>
          </w:rPr>
          <w:t>https://www.govinfo.gov/content/pkg/USCOURTS-paed-2_23-cv-00155/pdf/USCOURTS-paed-2_23-cv-00155-0.pdf</w:t>
        </w:r>
      </w:hyperlink>
      <w:r>
        <w:rPr>
          <w:rFonts w:ascii="Times New Roman" w:hAnsi="Times New Roman"/>
          <w:sz w:val="24"/>
          <w:szCs w:val="24"/>
        </w:rPr>
        <w:t xml:space="preserve"> </w:t>
      </w:r>
    </w:p>
    <w:p w14:paraId="3A409801" w14:textId="77777777" w:rsidR="00AC3E10" w:rsidRDefault="00AC3E10" w:rsidP="00AC3E10">
      <w:pPr>
        <w:pStyle w:val="NoSpacing"/>
        <w:rPr>
          <w:rFonts w:ascii="Times New Roman" w:hAnsi="Times New Roman"/>
          <w:b/>
          <w:bCs/>
          <w:sz w:val="24"/>
          <w:szCs w:val="24"/>
        </w:rPr>
      </w:pPr>
    </w:p>
    <w:p w14:paraId="5DD1EA6A" w14:textId="2B215EDA" w:rsidR="00AC3E10" w:rsidRPr="00D173AB" w:rsidRDefault="00AC3E10" w:rsidP="00AC3E10">
      <w:pPr>
        <w:pStyle w:val="NoSpacing"/>
        <w:rPr>
          <w:rFonts w:ascii="Times New Roman" w:hAnsi="Times New Roman"/>
          <w:b/>
          <w:bCs/>
          <w:sz w:val="24"/>
          <w:szCs w:val="24"/>
        </w:rPr>
      </w:pPr>
      <w:r w:rsidRPr="00D173AB">
        <w:rPr>
          <w:rFonts w:ascii="Times New Roman" w:hAnsi="Times New Roman"/>
          <w:b/>
          <w:bCs/>
          <w:sz w:val="24"/>
          <w:szCs w:val="24"/>
        </w:rPr>
        <w:t xml:space="preserve">Legal Lesson Learned: </w:t>
      </w:r>
      <w:r>
        <w:rPr>
          <w:rFonts w:ascii="Times New Roman" w:hAnsi="Times New Roman"/>
          <w:b/>
          <w:bCs/>
          <w:sz w:val="24"/>
          <w:szCs w:val="24"/>
        </w:rPr>
        <w:t xml:space="preserve">If a patient is not going to be transported, then get a refusal document signed.  </w:t>
      </w:r>
    </w:p>
    <w:p w14:paraId="591ABAC0" w14:textId="77777777" w:rsidR="00AC3E10" w:rsidRPr="00140087" w:rsidRDefault="00AC3E10" w:rsidP="00AC3E10">
      <w:pPr>
        <w:pStyle w:val="NoSpacing"/>
        <w:rPr>
          <w:rFonts w:ascii="Times New Roman" w:hAnsi="Times New Roman"/>
          <w:sz w:val="24"/>
          <w:szCs w:val="24"/>
        </w:rPr>
      </w:pPr>
    </w:p>
    <w:p w14:paraId="1ACA5343" w14:textId="77777777" w:rsidR="00AC3E10" w:rsidRDefault="00AC3E10" w:rsidP="005C30A4">
      <w:pPr>
        <w:pStyle w:val="NoSpacing"/>
        <w:rPr>
          <w:rFonts w:ascii="Arial Black" w:hAnsi="Arial Black"/>
          <w:sz w:val="24"/>
          <w:szCs w:val="24"/>
        </w:rPr>
      </w:pPr>
    </w:p>
    <w:p w14:paraId="3E5445E4" w14:textId="77777777" w:rsidR="00AC3E10" w:rsidRDefault="00AC3E10" w:rsidP="005C30A4">
      <w:pPr>
        <w:pStyle w:val="NoSpacing"/>
        <w:rPr>
          <w:rFonts w:ascii="Arial Black" w:hAnsi="Arial Black"/>
          <w:sz w:val="24"/>
          <w:szCs w:val="24"/>
        </w:rPr>
      </w:pPr>
    </w:p>
    <w:p w14:paraId="130A6562" w14:textId="03BB2A59" w:rsidR="009B0593" w:rsidRDefault="009B0593" w:rsidP="005C30A4">
      <w:pPr>
        <w:pStyle w:val="NoSpacing"/>
        <w:rPr>
          <w:rFonts w:ascii="Arial Black" w:hAnsi="Arial Black"/>
          <w:sz w:val="24"/>
          <w:szCs w:val="24"/>
        </w:rPr>
      </w:pPr>
      <w:r>
        <w:rPr>
          <w:rFonts w:ascii="Arial Black" w:hAnsi="Arial Black"/>
          <w:sz w:val="24"/>
          <w:szCs w:val="24"/>
        </w:rPr>
        <w:t>9-37</w:t>
      </w:r>
    </w:p>
    <w:p w14:paraId="7097F79C" w14:textId="77777777" w:rsidR="009B0593" w:rsidRPr="000D58F5" w:rsidRDefault="009B0593" w:rsidP="009B0593">
      <w:pPr>
        <w:pStyle w:val="NormalWeb"/>
        <w:rPr>
          <w:rFonts w:ascii="Arial Black" w:hAnsi="Arial Black"/>
          <w:b/>
          <w:bCs/>
          <w:sz w:val="28"/>
          <w:szCs w:val="28"/>
        </w:rPr>
      </w:pPr>
      <w:r>
        <w:rPr>
          <w:rFonts w:ascii="Arial Black" w:hAnsi="Arial Black"/>
          <w:b/>
          <w:bCs/>
          <w:sz w:val="28"/>
          <w:szCs w:val="28"/>
        </w:rPr>
        <w:t>ME: CAPTAIN ENLARGED AORTA – CITY DOCTOR LIMITED MAX 75 LBS – JURY HELD FOR FD - REQ. 100 LBS LIFTING</w:t>
      </w:r>
    </w:p>
    <w:p w14:paraId="11031E93" w14:textId="77777777" w:rsidR="009B0593" w:rsidRDefault="009B0593" w:rsidP="009B0593">
      <w:pPr>
        <w:pStyle w:val="NormalWeb"/>
      </w:pPr>
      <w:r w:rsidRPr="000D58F5">
        <w:t xml:space="preserve">On Aug. 15, 2023, in </w:t>
      </w:r>
      <w:r w:rsidRPr="000D58F5">
        <w:rPr>
          <w:u w:val="single"/>
        </w:rPr>
        <w:t>Brian K. Smith v. City of Sanford</w:t>
      </w:r>
      <w:r w:rsidRPr="000D58F5">
        <w:t xml:space="preserve">, </w:t>
      </w:r>
      <w:r>
        <w:t xml:space="preserve">the Supreme Court of Maine held (6 to 0) that the jury properly held the </w:t>
      </w:r>
      <w:proofErr w:type="gramStart"/>
      <w:r>
        <w:t>City</w:t>
      </w:r>
      <w:proofErr w:type="gramEnd"/>
      <w:r>
        <w:t xml:space="preserve"> did not discriminate against him because of a disability under the Maine Human Rights Act.  The FD requires all firefighters </w:t>
      </w:r>
      <w:proofErr w:type="gramStart"/>
      <w:r>
        <w:t>be</w:t>
      </w:r>
      <w:proofErr w:type="gramEnd"/>
      <w:r>
        <w:t xml:space="preserve"> able to lift 100 pounds; the </w:t>
      </w:r>
      <w:proofErr w:type="gramStart"/>
      <w:r>
        <w:t>Captain</w:t>
      </w:r>
      <w:proofErr w:type="gramEnd"/>
      <w:r>
        <w:t xml:space="preserve"> saw two cardiologists; when first imposed </w:t>
      </w:r>
      <w:proofErr w:type="gramStart"/>
      <w:r>
        <w:t>40 pound</w:t>
      </w:r>
      <w:proofErr w:type="gramEnd"/>
      <w:r>
        <w:t xml:space="preserve"> limit, he then saw second who imposed no limit.  Given the two conflicting limits, the </w:t>
      </w:r>
      <w:proofErr w:type="gramStart"/>
      <w:r>
        <w:t>City</w:t>
      </w:r>
      <w:proofErr w:type="gramEnd"/>
      <w:r>
        <w:t xml:space="preserve"> sent him to their occupational health doctor </w:t>
      </w:r>
      <w:proofErr w:type="gramStart"/>
      <w:r>
        <w:t>limited</w:t>
      </w:r>
      <w:proofErr w:type="gramEnd"/>
      <w:r>
        <w:t xml:space="preserve"> him to 75 pounds.  The trial court judge refused a request by the </w:t>
      </w:r>
      <w:proofErr w:type="gramStart"/>
      <w:r>
        <w:t>Captain’s</w:t>
      </w:r>
      <w:proofErr w:type="gramEnd"/>
      <w:r>
        <w:t xml:space="preserve"> attorney to instruct jury that "[</w:t>
      </w:r>
      <w:proofErr w:type="spellStart"/>
      <w:r>
        <w:t>i</w:t>
      </w:r>
      <w:proofErr w:type="spellEnd"/>
      <w:r>
        <w:t>]t is illegal as a matter of law for any employer to impose a 100% healed or 100% fit policy on any applicants for employment or any employees."</w:t>
      </w:r>
    </w:p>
    <w:p w14:paraId="3FB8AD77" w14:textId="77777777" w:rsidR="009B0593" w:rsidRPr="009B0593" w:rsidRDefault="009B0593" w:rsidP="009B0593">
      <w:pPr>
        <w:pStyle w:val="NormalWeb"/>
        <w:ind w:left="720"/>
      </w:pPr>
      <w:r w:rsidRPr="009B0593">
        <w:t>The Supreme Court of Maine:</w:t>
      </w:r>
    </w:p>
    <w:p w14:paraId="1352F544" w14:textId="2AE393AF" w:rsidR="009B0593" w:rsidRPr="009B0593" w:rsidRDefault="009B0593" w:rsidP="009B0593">
      <w:pPr>
        <w:pStyle w:val="NoSpacing"/>
        <w:ind w:left="720"/>
        <w:rPr>
          <w:rStyle w:val="Hyperlink"/>
          <w:rFonts w:ascii="Times New Roman" w:eastAsiaTheme="majorEastAsia" w:hAnsi="Times New Roman"/>
          <w:sz w:val="24"/>
          <w:szCs w:val="24"/>
        </w:rPr>
      </w:pPr>
      <w:r w:rsidRPr="009B0593">
        <w:rPr>
          <w:rFonts w:ascii="Times New Roman" w:hAnsi="Times New Roman"/>
          <w:sz w:val="24"/>
          <w:szCs w:val="24"/>
        </w:rPr>
        <w:t>“[B]</w:t>
      </w:r>
      <w:proofErr w:type="spellStart"/>
      <w:r w:rsidRPr="009B0593">
        <w:rPr>
          <w:rFonts w:ascii="Times New Roman" w:hAnsi="Times New Roman"/>
          <w:sz w:val="24"/>
          <w:szCs w:val="24"/>
        </w:rPr>
        <w:t>ecause</w:t>
      </w:r>
      <w:proofErr w:type="spellEnd"/>
      <w:r w:rsidRPr="009B0593">
        <w:rPr>
          <w:rFonts w:ascii="Times New Roman" w:hAnsi="Times New Roman"/>
          <w:sz w:val="24"/>
          <w:szCs w:val="24"/>
        </w:rPr>
        <w:t xml:space="preserve"> the evidence and the parties' arguments at trial focused on the required individualized assessment, we conclude that it would have been misleading or confusing for the jury to receive Smith's proposed instruction as written.” </w:t>
      </w:r>
      <w:hyperlink r:id="rId1721" w:history="1">
        <w:r w:rsidRPr="009B0593">
          <w:rPr>
            <w:rStyle w:val="Hyperlink"/>
            <w:rFonts w:ascii="Times New Roman" w:eastAsiaTheme="majorEastAsia" w:hAnsi="Times New Roman"/>
            <w:sz w:val="24"/>
            <w:szCs w:val="24"/>
          </w:rPr>
          <w:t>https://casetext.com/case/smith-v-city-of-sanford-2</w:t>
        </w:r>
      </w:hyperlink>
    </w:p>
    <w:p w14:paraId="12D99D93" w14:textId="77777777" w:rsidR="009B0593" w:rsidRDefault="009B0593" w:rsidP="009B0593">
      <w:pPr>
        <w:pStyle w:val="NoSpacing"/>
        <w:ind w:left="720"/>
        <w:rPr>
          <w:rStyle w:val="Hyperlink"/>
          <w:rFonts w:eastAsiaTheme="majorEastAsia"/>
        </w:rPr>
      </w:pPr>
    </w:p>
    <w:p w14:paraId="73F67A1B" w14:textId="77777777" w:rsidR="009B0593" w:rsidRPr="00B86D33" w:rsidRDefault="009B0593" w:rsidP="009B0593">
      <w:pPr>
        <w:pStyle w:val="NormalWeb"/>
        <w:rPr>
          <w:b/>
          <w:bCs/>
        </w:rPr>
      </w:pPr>
      <w:r w:rsidRPr="00B86D33">
        <w:rPr>
          <w:b/>
          <w:bCs/>
        </w:rPr>
        <w:t>Legal Lesson Learned:</w:t>
      </w:r>
      <w:r>
        <w:rPr>
          <w:b/>
          <w:bCs/>
        </w:rPr>
        <w:t xml:space="preserve"> FDs may properly require personnel to meet physical lifting requirements; they should be published. </w:t>
      </w:r>
    </w:p>
    <w:p w14:paraId="3AD0B682" w14:textId="77777777" w:rsidR="009B0593" w:rsidRDefault="009B0593" w:rsidP="009B0593">
      <w:pPr>
        <w:pStyle w:val="NoSpacing"/>
        <w:ind w:left="720"/>
        <w:rPr>
          <w:rFonts w:ascii="Arial Black" w:hAnsi="Arial Black"/>
          <w:sz w:val="24"/>
          <w:szCs w:val="24"/>
        </w:rPr>
      </w:pPr>
    </w:p>
    <w:p w14:paraId="034628B6" w14:textId="77777777" w:rsidR="009B0593" w:rsidRDefault="009B0593" w:rsidP="005C30A4">
      <w:pPr>
        <w:pStyle w:val="NoSpacing"/>
        <w:rPr>
          <w:rFonts w:ascii="Arial Black" w:hAnsi="Arial Black"/>
          <w:sz w:val="24"/>
          <w:szCs w:val="24"/>
        </w:rPr>
      </w:pPr>
    </w:p>
    <w:p w14:paraId="516A49C0" w14:textId="10E02DB5" w:rsidR="00BC4628" w:rsidRDefault="000644B6" w:rsidP="005C30A4">
      <w:pPr>
        <w:pStyle w:val="NoSpacing"/>
        <w:rPr>
          <w:rFonts w:ascii="Arial Black" w:hAnsi="Arial Black"/>
          <w:sz w:val="24"/>
          <w:szCs w:val="24"/>
        </w:rPr>
      </w:pPr>
      <w:r>
        <w:rPr>
          <w:rFonts w:ascii="Arial Black" w:hAnsi="Arial Black"/>
          <w:sz w:val="24"/>
          <w:szCs w:val="24"/>
        </w:rPr>
        <w:t>9-36</w:t>
      </w:r>
    </w:p>
    <w:p w14:paraId="02CCC435" w14:textId="77777777" w:rsidR="000644B6" w:rsidRPr="00AD7405" w:rsidRDefault="000644B6" w:rsidP="000644B6">
      <w:pPr>
        <w:pStyle w:val="NormalWeb"/>
        <w:jc w:val="both"/>
        <w:rPr>
          <w:rFonts w:ascii="Arial Black" w:hAnsi="Arial Black"/>
          <w:sz w:val="28"/>
          <w:szCs w:val="28"/>
        </w:rPr>
      </w:pPr>
      <w:r>
        <w:rPr>
          <w:rFonts w:ascii="Arial Black" w:hAnsi="Arial Black"/>
          <w:sz w:val="28"/>
          <w:szCs w:val="28"/>
        </w:rPr>
        <w:t>MD: PRE-TRIAL DISCOVERY – EMT CLAIMS NOT PROMOTED BIPOLAR / DEPRESSION – MUST PROVIDE MEDICAL RECORDS</w:t>
      </w:r>
    </w:p>
    <w:p w14:paraId="048FE1BA" w14:textId="77777777" w:rsidR="000644B6" w:rsidRPr="000644B6" w:rsidRDefault="000644B6" w:rsidP="000644B6">
      <w:pPr>
        <w:pStyle w:val="NormalWeb"/>
      </w:pPr>
      <w:r w:rsidRPr="000644B6">
        <w:t xml:space="preserve">On July 10, 2023, in </w:t>
      </w:r>
      <w:r w:rsidRPr="000644B6">
        <w:rPr>
          <w:u w:val="single"/>
        </w:rPr>
        <w:t>Matthew Schaeffer v. Mayor and City Council of Baltimore</w:t>
      </w:r>
      <w:r w:rsidRPr="000644B6">
        <w:t xml:space="preserve">, U.S, Magistrate J. Mark Coulson, U.S. District Court for District of Maryland, held in a pre-trial discovery dispute that the </w:t>
      </w:r>
      <w:proofErr w:type="gramStart"/>
      <w:r w:rsidRPr="000644B6">
        <w:t>City</w:t>
      </w:r>
      <w:proofErr w:type="gramEnd"/>
      <w:r w:rsidRPr="000644B6">
        <w:t xml:space="preserve"> is entitled to the EMT’s mental and other medical records for past seven years.  The EMT has been with FD since 2015, and states FD has been aware of his diagnoses of bipolar disorder and depression.  Plaintiff further alleges that he was not promoted in 2015, and in February 2022 he received written notice of promotion qualification after completing all assessments and a medical screening, but City “then improperly imposed additional medical clearance requirements at the last minute based on Plaintiff's mental health conditions, resulting in Defendant revoking the promotion.” The </w:t>
      </w:r>
      <w:proofErr w:type="gramStart"/>
      <w:r w:rsidRPr="000644B6">
        <w:t>City</w:t>
      </w:r>
      <w:proofErr w:type="gramEnd"/>
      <w:r w:rsidRPr="000644B6">
        <w:t xml:space="preserve"> served plaintiff with written requests for records, </w:t>
      </w:r>
    </w:p>
    <w:p w14:paraId="1ED34017" w14:textId="77777777" w:rsidR="000644B6" w:rsidRPr="000644B6" w:rsidRDefault="000644B6" w:rsidP="000644B6">
      <w:pPr>
        <w:pStyle w:val="NormalWeb"/>
      </w:pPr>
      <w:r w:rsidRPr="000644B6">
        <w:t xml:space="preserve">The Court held: </w:t>
      </w:r>
    </w:p>
    <w:p w14:paraId="0F3F19C8" w14:textId="294E8093" w:rsidR="000644B6" w:rsidRDefault="000644B6" w:rsidP="000644B6">
      <w:pPr>
        <w:pStyle w:val="NoSpacing"/>
        <w:rPr>
          <w:rFonts w:ascii="Arial Black" w:hAnsi="Arial Black"/>
          <w:sz w:val="24"/>
          <w:szCs w:val="24"/>
        </w:rPr>
      </w:pPr>
      <w:r w:rsidRPr="000644B6">
        <w:rPr>
          <w:rFonts w:ascii="Times New Roman" w:hAnsi="Times New Roman"/>
          <w:sz w:val="24"/>
          <w:szCs w:val="24"/>
        </w:rPr>
        <w:t xml:space="preserve">“Defendant seeks discovery regarding, </w:t>
      </w:r>
      <w:r w:rsidRPr="000644B6">
        <w:rPr>
          <w:rStyle w:val="Emphasis"/>
          <w:rFonts w:ascii="Times New Roman" w:hAnsi="Times New Roman"/>
          <w:sz w:val="24"/>
          <w:szCs w:val="24"/>
        </w:rPr>
        <w:t>inter alia</w:t>
      </w:r>
      <w:r w:rsidRPr="000644B6">
        <w:rPr>
          <w:rFonts w:ascii="Times New Roman" w:hAnsi="Times New Roman"/>
          <w:sz w:val="24"/>
          <w:szCs w:val="24"/>
        </w:rPr>
        <w:t xml:space="preserve">, Plaintiff's mental health treatment. *** Interrogatory No. 6, reading, in pertinent part, ‘If you have undergone treatment in the past seven (7) years for a mental illness or emotional condition . . . please state all details . . .including the nature of the illness/condition, dates of treatment, the circumstances surrounding its occurrence, and the names of health care providers involved in the examination, diagnosis or treatment of it.’ *** Given that both </w:t>
      </w:r>
      <w:proofErr w:type="gramStart"/>
      <w:r w:rsidRPr="000644B6">
        <w:rPr>
          <w:rFonts w:ascii="Times New Roman" w:hAnsi="Times New Roman"/>
          <w:sz w:val="24"/>
          <w:szCs w:val="24"/>
        </w:rPr>
        <w:t>damages</w:t>
      </w:r>
      <w:proofErr w:type="gramEnd"/>
      <w:r w:rsidRPr="000644B6">
        <w:rPr>
          <w:rFonts w:ascii="Times New Roman" w:hAnsi="Times New Roman"/>
          <w:sz w:val="24"/>
          <w:szCs w:val="24"/>
        </w:rPr>
        <w:t xml:space="preserve"> and liability itself are premised on the nature and extent of Plaintiff's mental health diagnoses and treatment, Defendant should be allowed reasonable inquiry into such areas. Further, as noted above, given that the core claim in this case is that Defendant discriminated against Plaintiff because of Plaintiff's mental health diagnoses, the Court has no trouble concluding that those conditions are within the scope of discovery. Plaintiff's amended response is that he has not needed or undergone treatment for mental illness or emotional condition in the last seven years ‘except as previously provided to the defendant…. The Court finds Plaintiff's response insufficient. Although Plaintiff may well have provided medical and mental health information as part of his employment,</w:t>
      </w:r>
      <w:r w:rsidRPr="000644B6">
        <w:rPr>
          <w:rFonts w:ascii="Times New Roman" w:hAnsi="Times New Roman"/>
          <w:sz w:val="24"/>
          <w:szCs w:val="24"/>
          <w:vertAlign w:val="superscript"/>
        </w:rPr>
        <w:t xml:space="preserve"> </w:t>
      </w:r>
      <w:r w:rsidRPr="000644B6">
        <w:rPr>
          <w:rFonts w:ascii="Times New Roman" w:hAnsi="Times New Roman"/>
          <w:sz w:val="24"/>
          <w:szCs w:val="24"/>
        </w:rPr>
        <w:t xml:space="preserve">this does not excuse him from providing the narrative called for by this interrogatory, especially since Plaintiff has been a long-time employee of BCFD.” </w:t>
      </w:r>
      <w:hyperlink r:id="rId1722" w:history="1">
        <w:r w:rsidRPr="000E286F">
          <w:rPr>
            <w:rStyle w:val="Hyperlink"/>
            <w:rFonts w:eastAsiaTheme="majorEastAsia"/>
          </w:rPr>
          <w:t>https://public.fastcase.com/ZZhmr5v9wN%2FXOe5IsQ%2FqD0vptgQgkTgOc2XpReLMSYnB1s%2FjY6uEmfEHbXjNZYzwjdaE47PHCuenuGKG11vJGyDk8SuwK4ZV%2BjmAhdBj8vo%3D?utm_medium=email&amp;_hsmi=226712652&amp;_hsenc=p2ANqtz-8f3GbrLnvkkmFwGTcrnfHBUbhSWsI9S9n17c5FNvxL__Rb5dkxAl0xkukh9Thg8SYUm21fgYbaYJ57SsEv3B3vwn_tCQ&amp;utm_content=226712652&amp;utm_source=hs_email</w:t>
        </w:r>
      </w:hyperlink>
    </w:p>
    <w:p w14:paraId="3C355A9C" w14:textId="77777777" w:rsidR="000644B6" w:rsidRDefault="000644B6" w:rsidP="005C30A4">
      <w:pPr>
        <w:pStyle w:val="NoSpacing"/>
        <w:rPr>
          <w:rFonts w:ascii="Arial Black" w:hAnsi="Arial Black"/>
          <w:sz w:val="24"/>
          <w:szCs w:val="24"/>
        </w:rPr>
      </w:pPr>
    </w:p>
    <w:p w14:paraId="43E2F14D" w14:textId="77777777" w:rsidR="000644B6" w:rsidRPr="002C7617" w:rsidRDefault="000644B6" w:rsidP="000644B6">
      <w:pPr>
        <w:pStyle w:val="NormalWeb"/>
        <w:rPr>
          <w:b/>
          <w:bCs/>
        </w:rPr>
      </w:pPr>
      <w:r w:rsidRPr="002C7617">
        <w:rPr>
          <w:b/>
          <w:bCs/>
        </w:rPr>
        <w:t xml:space="preserve">Legal Lesson Learned: </w:t>
      </w:r>
      <w:r>
        <w:rPr>
          <w:b/>
          <w:bCs/>
        </w:rPr>
        <w:t xml:space="preserve">In pre-trial discovery involving alleged discrimination based on employee’s mental health, the City is entitled to plaintiff’s medical records. </w:t>
      </w:r>
    </w:p>
    <w:p w14:paraId="2433122F" w14:textId="4736E99A" w:rsidR="000644B6" w:rsidRDefault="000644B6" w:rsidP="005C30A4">
      <w:pPr>
        <w:pStyle w:val="NoSpacing"/>
        <w:rPr>
          <w:rFonts w:ascii="Arial Black" w:hAnsi="Arial Black"/>
          <w:sz w:val="24"/>
          <w:szCs w:val="24"/>
        </w:rPr>
      </w:pPr>
      <w:r>
        <w:rPr>
          <w:rFonts w:ascii="Arial Black" w:hAnsi="Arial Black"/>
          <w:sz w:val="24"/>
          <w:szCs w:val="24"/>
        </w:rPr>
        <w:t xml:space="preserve"> </w:t>
      </w:r>
    </w:p>
    <w:p w14:paraId="033A1AC3" w14:textId="65E1D847" w:rsidR="00BC4628" w:rsidRDefault="00BC4628" w:rsidP="005C30A4">
      <w:pPr>
        <w:pStyle w:val="NoSpacing"/>
        <w:rPr>
          <w:rFonts w:ascii="Arial Black" w:hAnsi="Arial Black"/>
          <w:sz w:val="24"/>
          <w:szCs w:val="24"/>
        </w:rPr>
      </w:pPr>
      <w:r>
        <w:rPr>
          <w:rFonts w:ascii="Arial Black" w:hAnsi="Arial Black"/>
          <w:sz w:val="24"/>
          <w:szCs w:val="24"/>
        </w:rPr>
        <w:t>9-3</w:t>
      </w:r>
      <w:r w:rsidR="00D33F96">
        <w:rPr>
          <w:rFonts w:ascii="Arial Black" w:hAnsi="Arial Black"/>
          <w:sz w:val="24"/>
          <w:szCs w:val="24"/>
        </w:rPr>
        <w:t>5</w:t>
      </w:r>
    </w:p>
    <w:p w14:paraId="580AB02E" w14:textId="77777777" w:rsidR="00BC4628" w:rsidRDefault="00BC4628" w:rsidP="00BC4628">
      <w:pPr>
        <w:pStyle w:val="NormalWeb"/>
        <w:rPr>
          <w:rFonts w:ascii="Arial Black" w:hAnsi="Arial Black"/>
          <w:sz w:val="28"/>
          <w:szCs w:val="28"/>
        </w:rPr>
      </w:pPr>
      <w:r>
        <w:rPr>
          <w:rFonts w:ascii="Arial Black" w:hAnsi="Arial Black"/>
          <w:sz w:val="28"/>
          <w:szCs w:val="28"/>
        </w:rPr>
        <w:t>IL: CHICAGO FD APPLICANT SENT PSYCH EXAM – PRIOR HISTORY – FAILED – CITY MUST NAME 12 OTHERS FAILED</w:t>
      </w:r>
    </w:p>
    <w:p w14:paraId="2D15B3CC" w14:textId="77777777" w:rsidR="00BC4628" w:rsidRDefault="00BC4628" w:rsidP="00BC4628">
      <w:pPr>
        <w:pStyle w:val="NormalWeb"/>
      </w:pPr>
      <w:r>
        <w:t xml:space="preserve">On July 5, 2023, in </w:t>
      </w:r>
      <w:r w:rsidRPr="00046C0A">
        <w:rPr>
          <w:u w:val="single"/>
        </w:rPr>
        <w:t>Nicholas Sintos v. City of Chicago</w:t>
      </w:r>
      <w:r>
        <w:t xml:space="preserve">, U.S. District Court </w:t>
      </w:r>
      <w:r w:rsidRPr="00046C0A">
        <w:t>Judge Sara L. Elli</w:t>
      </w:r>
      <w:r>
        <w:t xml:space="preserve">, U.S. District Court for Northern District of Illinois, Eastern Division, ordered the City to produce the names and unredacted psych exam records of12 other applicants who were ordered to take psychological exams having received job offers upon passing the exam.  The Court had initially held that names of these individuals should not be disclosed, upon after a court hearing decided that names must be disclosed, and no requirement city first get their authorization. </w:t>
      </w:r>
    </w:p>
    <w:p w14:paraId="349F5FD8" w14:textId="77777777" w:rsidR="00BC4628" w:rsidRPr="003D36C0" w:rsidRDefault="00BC4628" w:rsidP="00BC4628">
      <w:pPr>
        <w:pStyle w:val="NormalWeb"/>
      </w:pPr>
      <w:r>
        <w:t>The Court held: “</w:t>
      </w:r>
      <w:r w:rsidRPr="00046C0A">
        <w:t xml:space="preserve">During discovery, the </w:t>
      </w:r>
      <w:proofErr w:type="gramStart"/>
      <w:r w:rsidRPr="00046C0A">
        <w:t>City</w:t>
      </w:r>
      <w:proofErr w:type="gramEnd"/>
      <w:r w:rsidRPr="00046C0A">
        <w:t xml:space="preserve"> produced medical clearance files for other applicants, however, it redacted their names and contact information. </w:t>
      </w:r>
      <w:proofErr w:type="spellStart"/>
      <w:r w:rsidRPr="00046C0A">
        <w:t>Sintos</w:t>
      </w:r>
      <w:proofErr w:type="spellEnd"/>
      <w:r w:rsidRPr="00046C0A">
        <w:t xml:space="preserve"> asked the Court to require the </w:t>
      </w:r>
      <w:proofErr w:type="gramStart"/>
      <w:r w:rsidRPr="00046C0A">
        <w:t>City</w:t>
      </w:r>
      <w:proofErr w:type="gramEnd"/>
      <w:r w:rsidRPr="00046C0A">
        <w:t xml:space="preserve"> to produce unredacted versions so that he could contact other candidates who, like him, were required to undergo post-offer psychological exams. </w:t>
      </w:r>
      <w:proofErr w:type="spellStart"/>
      <w:r w:rsidRPr="00046C0A">
        <w:t>Sintos</w:t>
      </w:r>
      <w:proofErr w:type="spellEnd"/>
      <w:r w:rsidRPr="00046C0A">
        <w:t xml:space="preserve"> argued that he is entitled to contact these individuals as they are potential witnesses.</w:t>
      </w:r>
      <w:r>
        <w:t xml:space="preserve"> *** </w:t>
      </w:r>
      <w:r w:rsidRPr="003D36C0">
        <w:t xml:space="preserve">To support his argument that the practice is widespread, </w:t>
      </w:r>
      <w:proofErr w:type="spellStart"/>
      <w:r w:rsidRPr="003D36C0">
        <w:t>Sintos</w:t>
      </w:r>
      <w:proofErr w:type="spellEnd"/>
      <w:r w:rsidRPr="003D36C0">
        <w:t xml:space="preserve"> </w:t>
      </w:r>
      <w:proofErr w:type="gramStart"/>
      <w:r w:rsidRPr="003D36C0">
        <w:t>seeks</w:t>
      </w:r>
      <w:proofErr w:type="gramEnd"/>
      <w:r w:rsidRPr="003D36C0">
        <w:t xml:space="preserve"> to contact other applicants who underwent the psychological evaluation exam but were not hired. </w:t>
      </w:r>
      <w:r w:rsidRPr="003D36C0">
        <w:rPr>
          <w:rStyle w:val="Emphasis"/>
          <w:rFonts w:eastAsiaTheme="majorEastAsia"/>
        </w:rPr>
        <w:t>See Reed v. Wexford Health Sources, Inc.</w:t>
      </w:r>
      <w:r w:rsidRPr="003D36C0">
        <w:t>, No. 20-cv-01139-SPM, 2022 WL 4483949, at *6 (S.D. Ill. Sept. 27, 2022) (“</w:t>
      </w:r>
      <w:r w:rsidRPr="003D36C0">
        <w:rPr>
          <w:rStyle w:val="Emphasis"/>
          <w:rFonts w:eastAsiaTheme="majorEastAsia"/>
        </w:rPr>
        <w:t>Monell</w:t>
      </w:r>
      <w:r w:rsidRPr="003D36C0">
        <w:t xml:space="preserve"> claims often require broad discovery.). Here, the Court is allowing </w:t>
      </w:r>
      <w:proofErr w:type="spellStart"/>
      <w:r w:rsidRPr="003D36C0">
        <w:t>Sintos</w:t>
      </w:r>
      <w:proofErr w:type="spellEnd"/>
      <w:r w:rsidRPr="003D36C0">
        <w:t xml:space="preserve"> access to </w:t>
      </w:r>
      <w:proofErr w:type="gramStart"/>
      <w:r w:rsidRPr="003D36C0">
        <w:t>the unredacted</w:t>
      </w:r>
      <w:proofErr w:type="gramEnd"/>
      <w:r w:rsidRPr="003D36C0">
        <w:t xml:space="preserve"> information for at most twelve individuals. Given the small number of individuals and the need for this information to establish his </w:t>
      </w:r>
      <w:r w:rsidRPr="003D36C0">
        <w:rPr>
          <w:rStyle w:val="Emphasis"/>
          <w:rFonts w:eastAsiaTheme="majorEastAsia"/>
        </w:rPr>
        <w:t>Monell</w:t>
      </w:r>
      <w:r w:rsidRPr="003D36C0">
        <w:t xml:space="preserve"> claim, the Court found it appropriate to order the City to provide unredacted files.</w:t>
      </w:r>
      <w:r>
        <w:t xml:space="preserve"> *** </w:t>
      </w:r>
      <w:r w:rsidRPr="003D36C0">
        <w:t xml:space="preserve">The City contends that even if the federal psychotherapist-patient privilege, and not the Mental Health Act, applies, that it too bars the disclosure of the unredacted third-party applicant files absent consent from </w:t>
      </w:r>
      <w:proofErr w:type="gramStart"/>
      <w:r w:rsidRPr="003D36C0">
        <w:t>each individual</w:t>
      </w:r>
      <w:proofErr w:type="gramEnd"/>
      <w:r>
        <w:t xml:space="preserve">…. </w:t>
      </w:r>
      <w:r w:rsidRPr="003D36C0">
        <w:t xml:space="preserve">Here, the third-party applicants were not seeking mental health treatment, as in </w:t>
      </w:r>
      <w:r w:rsidRPr="003D36C0">
        <w:rPr>
          <w:rStyle w:val="Emphasis"/>
          <w:rFonts w:eastAsiaTheme="majorEastAsia"/>
        </w:rPr>
        <w:t>Jaffee</w:t>
      </w:r>
      <w:r>
        <w:t xml:space="preserve"> </w:t>
      </w:r>
      <w:r w:rsidRPr="003D36C0">
        <w:t>[</w:t>
      </w:r>
      <w:r w:rsidRPr="003D36C0">
        <w:rPr>
          <w:rStyle w:val="Emphasis"/>
          <w:rFonts w:eastAsiaTheme="majorEastAsia"/>
        </w:rPr>
        <w:t>v. Redmond</w:t>
      </w:r>
      <w:r w:rsidRPr="003D36C0">
        <w:t xml:space="preserve">, 518 U.S. 1, 10 (1996)] but instead were participating in a compelled evaluation in hopes of gaining employment with the City. </w:t>
      </w:r>
      <w:r w:rsidRPr="003D36C0">
        <w:rPr>
          <w:rStyle w:val="Emphasis"/>
          <w:rFonts w:eastAsiaTheme="majorEastAsia"/>
        </w:rPr>
        <w:t>See id.</w:t>
      </w:r>
      <w:r w:rsidRPr="003D36C0">
        <w:t xml:space="preserve"> Thus, the Court finds that neither the Mental Health Act nor the federal psychotherapist-patient privilege apply.</w:t>
      </w:r>
      <w:r>
        <w:t xml:space="preserve">” </w:t>
      </w:r>
      <w:hyperlink r:id="rId1723" w:history="1">
        <w:r w:rsidRPr="00E97EE7">
          <w:rPr>
            <w:rStyle w:val="Hyperlink"/>
          </w:rPr>
          <w:t>https://public.fastcase.com/ZZhmr5v9wN%2FXOe5IsQ%2FqD3krOQsYv7d%2B2FRanieXHrmbYJPE10W29y6OT9Ia%2FWEvM783GCgc1J%2FsNiq8x9hdfsWhS9nPoC1uzPRzllCUOIc%3D?utm_medium=email&amp;_hsmi=226712652&amp;_hsenc=p2ANqtz-8spF1R7Tf8jpK24zY2dxus9kZGwVA1F9Ooj2BZLJ_FR6fOEX3itYzYoKF0bR9AZ1zkqCBHaC-K0F7fdoWy1HLEeYJb6g&amp;utm_content=226712652&amp;utm_source=hs_email</w:t>
        </w:r>
      </w:hyperlink>
      <w:r>
        <w:t xml:space="preserve"> </w:t>
      </w:r>
    </w:p>
    <w:p w14:paraId="0A89A9BE" w14:textId="77777777" w:rsidR="00BC4628" w:rsidRPr="000A03A6" w:rsidRDefault="00BC4628" w:rsidP="00BC4628">
      <w:pPr>
        <w:pStyle w:val="NormalWeb"/>
        <w:rPr>
          <w:b/>
          <w:bCs/>
        </w:rPr>
      </w:pPr>
      <w:r w:rsidRPr="000A03A6">
        <w:rPr>
          <w:b/>
          <w:bCs/>
        </w:rPr>
        <w:t xml:space="preserve">Legal Lesson Learned: </w:t>
      </w:r>
      <w:r>
        <w:rPr>
          <w:b/>
          <w:bCs/>
        </w:rPr>
        <w:t xml:space="preserve">Many FDs require psych exams as part of final job </w:t>
      </w:r>
      <w:proofErr w:type="gramStart"/>
      <w:r>
        <w:rPr>
          <w:b/>
          <w:bCs/>
        </w:rPr>
        <w:t>offer</w:t>
      </w:r>
      <w:proofErr w:type="gramEnd"/>
      <w:r>
        <w:rPr>
          <w:b/>
          <w:bCs/>
        </w:rPr>
        <w:t xml:space="preserve"> for all finalists; see below EEOC Guidance.  </w:t>
      </w:r>
    </w:p>
    <w:p w14:paraId="5E419099" w14:textId="77777777" w:rsidR="00BC4628" w:rsidRDefault="00BC4628" w:rsidP="00BC46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See EEOC Enforcement Guidance </w:t>
      </w:r>
      <w:proofErr w:type="gramStart"/>
      <w:r>
        <w:rPr>
          <w:rFonts w:ascii="Times New Roman" w:hAnsi="Times New Roman"/>
          <w:sz w:val="24"/>
          <w:szCs w:val="24"/>
        </w:rPr>
        <w:t>On</w:t>
      </w:r>
      <w:proofErr w:type="gramEnd"/>
      <w:r>
        <w:rPr>
          <w:rFonts w:ascii="Times New Roman" w:hAnsi="Times New Roman"/>
          <w:sz w:val="24"/>
          <w:szCs w:val="24"/>
        </w:rPr>
        <w:t xml:space="preserve"> Disability-Related </w:t>
      </w:r>
      <w:proofErr w:type="spellStart"/>
      <w:r>
        <w:rPr>
          <w:rFonts w:ascii="Times New Roman" w:hAnsi="Times New Roman"/>
          <w:sz w:val="24"/>
          <w:szCs w:val="24"/>
        </w:rPr>
        <w:t>Inquries</w:t>
      </w:r>
      <w:proofErr w:type="spellEnd"/>
      <w:r>
        <w:rPr>
          <w:rFonts w:ascii="Times New Roman" w:hAnsi="Times New Roman"/>
          <w:sz w:val="24"/>
          <w:szCs w:val="24"/>
        </w:rPr>
        <w:t xml:space="preserve"> </w:t>
      </w:r>
      <w:proofErr w:type="gramStart"/>
      <w:r>
        <w:rPr>
          <w:rFonts w:ascii="Times New Roman" w:hAnsi="Times New Roman"/>
          <w:sz w:val="24"/>
          <w:szCs w:val="24"/>
        </w:rPr>
        <w:t>And</w:t>
      </w:r>
      <w:proofErr w:type="gramEnd"/>
      <w:r>
        <w:rPr>
          <w:rFonts w:ascii="Times New Roman" w:hAnsi="Times New Roman"/>
          <w:sz w:val="24"/>
          <w:szCs w:val="24"/>
        </w:rPr>
        <w:t xml:space="preserve"> Medical Examinations Under ADA . </w:t>
      </w:r>
      <w:hyperlink r:id="rId1724" w:history="1">
        <w:r w:rsidRPr="001055F4">
          <w:rPr>
            <w:rStyle w:val="Hyperlink"/>
            <w:sz w:val="24"/>
            <w:szCs w:val="24"/>
          </w:rPr>
          <w:t>https://www.eeoc.gov/laws/guidance/enforcement-guidance-disability-related-inquiries-and-medical-examinations-employees</w:t>
        </w:r>
      </w:hyperlink>
      <w:r>
        <w:rPr>
          <w:rFonts w:ascii="Times New Roman" w:hAnsi="Times New Roman"/>
          <w:sz w:val="24"/>
          <w:szCs w:val="24"/>
        </w:rPr>
        <w:t xml:space="preserve"> </w:t>
      </w:r>
    </w:p>
    <w:p w14:paraId="14552EBA" w14:textId="77777777" w:rsidR="00BC4628" w:rsidRPr="00103455" w:rsidRDefault="00BC4628" w:rsidP="00BC46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03455">
        <w:rPr>
          <w:rFonts w:ascii="Times New Roman" w:hAnsi="Times New Roman"/>
          <w:sz w:val="24"/>
          <w:szCs w:val="24"/>
        </w:rPr>
        <w:t xml:space="preserve">Under the ADA, an employer's ability to make disability-related inquiries or require medical examinations is analyzed in three stages: pre-offer, post-offer, and employment. At the first stage </w:t>
      </w:r>
      <w:r w:rsidRPr="00103455">
        <w:rPr>
          <w:rStyle w:val="Strong"/>
          <w:rFonts w:ascii="Times New Roman" w:hAnsi="Times New Roman"/>
          <w:sz w:val="24"/>
          <w:szCs w:val="24"/>
        </w:rPr>
        <w:t>(prior to an offer of employment)</w:t>
      </w:r>
      <w:r w:rsidRPr="00103455">
        <w:rPr>
          <w:rFonts w:ascii="Times New Roman" w:hAnsi="Times New Roman"/>
          <w:sz w:val="24"/>
          <w:szCs w:val="24"/>
        </w:rPr>
        <w:t>, the ADA prohibits all disability-related inquiries and medical examinations,</w:t>
      </w:r>
      <w:r w:rsidRPr="00103455">
        <w:rPr>
          <w:rStyle w:val="Emphasis"/>
          <w:rFonts w:ascii="Times New Roman" w:hAnsi="Times New Roman"/>
          <w:sz w:val="24"/>
          <w:szCs w:val="24"/>
        </w:rPr>
        <w:t xml:space="preserve"> even if</w:t>
      </w:r>
      <w:r w:rsidRPr="00103455">
        <w:rPr>
          <w:rFonts w:ascii="Times New Roman" w:hAnsi="Times New Roman"/>
          <w:sz w:val="24"/>
          <w:szCs w:val="24"/>
        </w:rPr>
        <w:t xml:space="preserve"> they are related to the job. At the second stage </w:t>
      </w:r>
      <w:r w:rsidRPr="00103455">
        <w:rPr>
          <w:rStyle w:val="Strong"/>
          <w:rFonts w:ascii="Times New Roman" w:hAnsi="Times New Roman"/>
          <w:sz w:val="24"/>
          <w:szCs w:val="24"/>
        </w:rPr>
        <w:t>(after an applicant is given a conditional job offer, but before s/he starts work)</w:t>
      </w:r>
      <w:r w:rsidRPr="00103455">
        <w:rPr>
          <w:rFonts w:ascii="Times New Roman" w:hAnsi="Times New Roman"/>
          <w:sz w:val="24"/>
          <w:szCs w:val="24"/>
        </w:rPr>
        <w:t xml:space="preserve">, an employer may make disability-related inquiries and conduct medical examinations, regardless of whether they are related to the job, as long as it does so for all entering employees in the same job category. At the third stage </w:t>
      </w:r>
      <w:r w:rsidRPr="00103455">
        <w:rPr>
          <w:rStyle w:val="Strong"/>
          <w:rFonts w:ascii="Times New Roman" w:hAnsi="Times New Roman"/>
          <w:sz w:val="24"/>
          <w:szCs w:val="24"/>
        </w:rPr>
        <w:t>(after employment begins)</w:t>
      </w:r>
      <w:r w:rsidRPr="00103455">
        <w:rPr>
          <w:rFonts w:ascii="Times New Roman" w:hAnsi="Times New Roman"/>
          <w:sz w:val="24"/>
          <w:szCs w:val="24"/>
        </w:rPr>
        <w:t xml:space="preserve">, an employer may make disability-related inquiries and require medical examinations </w:t>
      </w:r>
      <w:r w:rsidRPr="00103455">
        <w:rPr>
          <w:rStyle w:val="Emphasis"/>
          <w:rFonts w:ascii="Times New Roman" w:hAnsi="Times New Roman"/>
          <w:sz w:val="24"/>
          <w:szCs w:val="24"/>
        </w:rPr>
        <w:t>only</w:t>
      </w:r>
      <w:r w:rsidRPr="00103455">
        <w:rPr>
          <w:rFonts w:ascii="Times New Roman" w:hAnsi="Times New Roman"/>
          <w:sz w:val="24"/>
          <w:szCs w:val="24"/>
        </w:rPr>
        <w:t xml:space="preserve"> if they are job-related and consistent with business </w:t>
      </w:r>
      <w:proofErr w:type="gramStart"/>
      <w:r w:rsidRPr="00103455">
        <w:rPr>
          <w:rFonts w:ascii="Times New Roman" w:hAnsi="Times New Roman"/>
          <w:sz w:val="24"/>
          <w:szCs w:val="24"/>
        </w:rPr>
        <w:t>necessity.</w:t>
      </w:r>
      <w:r>
        <w:rPr>
          <w:rFonts w:ascii="Times New Roman" w:hAnsi="Times New Roman"/>
          <w:sz w:val="24"/>
          <w:szCs w:val="24"/>
        </w:rPr>
        <w:t>”</w:t>
      </w:r>
      <w:proofErr w:type="gramEnd"/>
      <w:r w:rsidRPr="00103455">
        <w:rPr>
          <w:rFonts w:ascii="Times New Roman" w:hAnsi="Times New Roman"/>
          <w:sz w:val="24"/>
          <w:szCs w:val="24"/>
        </w:rPr>
        <w:t xml:space="preserve"> </w:t>
      </w:r>
    </w:p>
    <w:p w14:paraId="2EC1B35D" w14:textId="77777777" w:rsidR="00BC4628" w:rsidRDefault="00BC4628" w:rsidP="005C30A4">
      <w:pPr>
        <w:pStyle w:val="NoSpacing"/>
        <w:rPr>
          <w:rFonts w:ascii="Arial Black" w:hAnsi="Arial Black"/>
          <w:sz w:val="24"/>
          <w:szCs w:val="24"/>
        </w:rPr>
      </w:pPr>
    </w:p>
    <w:p w14:paraId="1506AFF4" w14:textId="77777777" w:rsidR="00BC4628" w:rsidRDefault="00BC4628" w:rsidP="005C30A4">
      <w:pPr>
        <w:pStyle w:val="NoSpacing"/>
        <w:rPr>
          <w:rFonts w:ascii="Arial Black" w:hAnsi="Arial Black"/>
          <w:sz w:val="24"/>
          <w:szCs w:val="24"/>
        </w:rPr>
      </w:pPr>
    </w:p>
    <w:p w14:paraId="768A2985" w14:textId="4394DF78" w:rsidR="00C032D6" w:rsidRDefault="00C032D6" w:rsidP="005C30A4">
      <w:pPr>
        <w:pStyle w:val="NoSpacing"/>
        <w:rPr>
          <w:rFonts w:ascii="Arial Black" w:hAnsi="Arial Black"/>
          <w:sz w:val="24"/>
          <w:szCs w:val="24"/>
        </w:rPr>
      </w:pPr>
      <w:r>
        <w:rPr>
          <w:rFonts w:ascii="Arial Black" w:hAnsi="Arial Black"/>
          <w:sz w:val="24"/>
          <w:szCs w:val="24"/>
        </w:rPr>
        <w:t>9-3</w:t>
      </w:r>
      <w:r w:rsidR="00D33F96">
        <w:rPr>
          <w:rFonts w:ascii="Arial Black" w:hAnsi="Arial Black"/>
          <w:sz w:val="24"/>
          <w:szCs w:val="24"/>
        </w:rPr>
        <w:t>4</w:t>
      </w:r>
    </w:p>
    <w:p w14:paraId="26AD927A" w14:textId="77777777" w:rsidR="00C032D6" w:rsidRDefault="00C032D6" w:rsidP="005C30A4">
      <w:pPr>
        <w:pStyle w:val="NoSpacing"/>
        <w:rPr>
          <w:rFonts w:ascii="Arial Black" w:hAnsi="Arial Black"/>
          <w:sz w:val="24"/>
          <w:szCs w:val="24"/>
        </w:rPr>
      </w:pPr>
    </w:p>
    <w:p w14:paraId="44B04094" w14:textId="77777777" w:rsidR="00C032D6" w:rsidRDefault="00C032D6" w:rsidP="00C032D6">
      <w:pPr>
        <w:pStyle w:val="NormalWeb"/>
        <w:spacing w:before="0" w:beforeAutospacing="0" w:after="0" w:afterAutospacing="0"/>
        <w:rPr>
          <w:rFonts w:ascii="Arial Black" w:eastAsiaTheme="minorHAnsi" w:hAnsi="Arial Black" w:cs="Calibri"/>
          <w:color w:val="000000"/>
          <w:sz w:val="28"/>
          <w:szCs w:val="28"/>
        </w:rPr>
      </w:pPr>
      <w:r>
        <w:rPr>
          <w:rFonts w:ascii="Arial Black" w:hAnsi="Arial Black"/>
          <w:sz w:val="28"/>
          <w:szCs w:val="28"/>
        </w:rPr>
        <w:t xml:space="preserve">U.S. SUP. CT: EVANGELICAL POSTMAN - OFF ON SUNDAYS – POSTAL SERVICE MUST PROVE REAL “UNDUE HARDSHIP” </w:t>
      </w:r>
    </w:p>
    <w:p w14:paraId="00868BDD" w14:textId="38AA3673" w:rsidR="00C032D6" w:rsidRDefault="00C032D6" w:rsidP="00C032D6">
      <w:pPr>
        <w:pStyle w:val="NoSpacing"/>
        <w:rPr>
          <w:rStyle w:val="Hyperlink"/>
          <w:sz w:val="24"/>
          <w:szCs w:val="24"/>
        </w:rPr>
      </w:pPr>
      <w:r>
        <w:rPr>
          <w:rFonts w:ascii="Times New Roman" w:eastAsia="Times New Roman" w:hAnsi="Times New Roman"/>
          <w:sz w:val="24"/>
          <w:szCs w:val="24"/>
        </w:rPr>
        <w:t xml:space="preserve">On June 29, 2023, in </w:t>
      </w:r>
      <w:r>
        <w:rPr>
          <w:rFonts w:ascii="Times New Roman" w:eastAsia="Times New Roman" w:hAnsi="Times New Roman"/>
          <w:sz w:val="24"/>
          <w:szCs w:val="24"/>
          <w:u w:val="single"/>
        </w:rPr>
        <w:t>Groff v. DeJoy, Postmaster General</w:t>
      </w:r>
      <w:r>
        <w:rPr>
          <w:rFonts w:ascii="Times New Roman" w:eastAsia="Times New Roman" w:hAnsi="Times New Roman"/>
          <w:sz w:val="24"/>
          <w:szCs w:val="24"/>
        </w:rPr>
        <w:t xml:space="preserve">, the U.S. Supreme Court held (9 to 0) in an opinion by Justice </w:t>
      </w:r>
      <w:r>
        <w:rPr>
          <w:rFonts w:ascii="Times New Roman" w:hAnsi="Times New Roman"/>
          <w:sz w:val="24"/>
          <w:szCs w:val="24"/>
        </w:rPr>
        <w:t>Samuel Anthony Alito Jr., that U.S. Postal Service must accommodate a rural postman’s religious request to not work on Sundays delivering Amazon products, unless the “</w:t>
      </w:r>
      <w:r>
        <w:rPr>
          <w:rFonts w:ascii="Times New Roman" w:hAnsi="Times New Roman"/>
          <w:color w:val="343332"/>
          <w:sz w:val="24"/>
          <w:szCs w:val="24"/>
        </w:rPr>
        <w:t xml:space="preserve">burden of granting an accommodation would result in substantial increased costs in relation to the conduct of its particular business.”  Under Title VII of the Civil Rights Act of 1964, federal law bars employers from discriminating against workers for practicing their religion unless the employer can show that the worker’s religious practice cannot “reasonably” be accommodated without “undue hardship.”  </w:t>
      </w:r>
      <w:hyperlink r:id="rId1725" w:history="1">
        <w:r>
          <w:rPr>
            <w:rStyle w:val="Hyperlink"/>
            <w:sz w:val="24"/>
            <w:szCs w:val="24"/>
          </w:rPr>
          <w:t>https://www.supremecourt.gov/opinions/22pdf/22-174_k536.pdf</w:t>
        </w:r>
      </w:hyperlink>
    </w:p>
    <w:p w14:paraId="614685CF" w14:textId="77777777" w:rsidR="00C032D6" w:rsidRDefault="00C032D6" w:rsidP="00C032D6">
      <w:pPr>
        <w:pStyle w:val="NoSpacing"/>
        <w:rPr>
          <w:rStyle w:val="Hyperlink"/>
          <w:sz w:val="24"/>
          <w:szCs w:val="24"/>
        </w:rPr>
      </w:pPr>
    </w:p>
    <w:p w14:paraId="1756ADB3" w14:textId="77777777" w:rsidR="00C032D6" w:rsidRDefault="00C032D6" w:rsidP="00C032D6">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color w:val="343332"/>
          <w:sz w:val="24"/>
          <w:szCs w:val="24"/>
        </w:rPr>
        <w:t>Legal Lesson Learned: While this is a Title VII religious accommodations case, this decision may impact employers, including Fire &amp; EMS, when an employee seeks light duty or other accommodations for a disability.   If you decline an accommodation request, after discussion with the employee, thoroughly document the “undue hardship” to the department, including impact on operations and costs.</w:t>
      </w:r>
    </w:p>
    <w:p w14:paraId="7352651F" w14:textId="77777777" w:rsidR="00C032D6" w:rsidRDefault="00C032D6" w:rsidP="00C032D6">
      <w:pPr>
        <w:spacing w:before="100" w:beforeAutospacing="1" w:after="100" w:afterAutospacing="1" w:line="240" w:lineRule="auto"/>
        <w:ind w:left="720"/>
        <w:rPr>
          <w:rFonts w:ascii="Times New Roman" w:hAnsi="Times New Roman"/>
          <w:color w:val="343332"/>
          <w:kern w:val="2"/>
          <w:sz w:val="24"/>
          <w:szCs w:val="24"/>
          <w14:ligatures w14:val="standardContextual"/>
        </w:rPr>
      </w:pPr>
      <w:r>
        <w:rPr>
          <w:rFonts w:ascii="Times New Roman" w:hAnsi="Times New Roman"/>
          <w:color w:val="343332"/>
          <w:sz w:val="24"/>
          <w:szCs w:val="24"/>
        </w:rPr>
        <w:t xml:space="preserve">Note: The EEOC has described “undue hardship” under ADA. </w:t>
      </w:r>
      <w:hyperlink r:id="rId1726" w:history="1">
        <w:r>
          <w:rPr>
            <w:rStyle w:val="Hyperlink"/>
            <w:sz w:val="24"/>
            <w:szCs w:val="24"/>
          </w:rPr>
          <w:t>https://www.eeoc.gov/publications/ada-your-responsibilities-employer</w:t>
        </w:r>
      </w:hyperlink>
      <w:r>
        <w:rPr>
          <w:rFonts w:ascii="Times New Roman" w:hAnsi="Times New Roman"/>
          <w:color w:val="343332"/>
          <w:sz w:val="24"/>
          <w:szCs w:val="24"/>
        </w:rPr>
        <w:t xml:space="preserve"> </w:t>
      </w:r>
    </w:p>
    <w:p w14:paraId="3AFE3FD6" w14:textId="77777777" w:rsidR="00C032D6" w:rsidRDefault="00C032D6" w:rsidP="00C032D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“It is not necessary to provide a reasonable accommodation if doing so would cause an undue hardship. Undue hardship means that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would be unduly costly, extensive, substantial or disruptive, or would fundamentally alter the nature or operation of the business. Among the factors to be considered in determining whether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is an undue hardship are the cost of the accommodation, the employer's size, financial resources and the nature and structure of its operation.</w:t>
      </w:r>
    </w:p>
    <w:p w14:paraId="46E3CC09" w14:textId="77777777" w:rsidR="00C032D6" w:rsidRDefault="00C032D6" w:rsidP="00C032D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If a particular accommodation </w:t>
      </w:r>
      <w:proofErr w:type="gramStart"/>
      <w:r>
        <w:rPr>
          <w:rFonts w:ascii="Times New Roman" w:eastAsia="Times New Roman" w:hAnsi="Times New Roman"/>
          <w:sz w:val="24"/>
          <w:szCs w:val="24"/>
        </w:rPr>
        <w:t>would be</w:t>
      </w:r>
      <w:proofErr w:type="gramEnd"/>
      <w:r>
        <w:rPr>
          <w:rFonts w:ascii="Times New Roman" w:eastAsia="Times New Roman" w:hAnsi="Times New Roman"/>
          <w:sz w:val="24"/>
          <w:szCs w:val="24"/>
        </w:rPr>
        <w:t xml:space="preserve"> an undue hardship, you must try to identify another accommodation that will not pose such a hardship. If cost causes </w:t>
      </w:r>
      <w:proofErr w:type="gramStart"/>
      <w:r>
        <w:rPr>
          <w:rFonts w:ascii="Times New Roman" w:eastAsia="Times New Roman" w:hAnsi="Times New Roman"/>
          <w:sz w:val="24"/>
          <w:szCs w:val="24"/>
        </w:rPr>
        <w:t>the undue</w:t>
      </w:r>
      <w:proofErr w:type="gramEnd"/>
      <w:r>
        <w:rPr>
          <w:rFonts w:ascii="Times New Roman" w:eastAsia="Times New Roman" w:hAnsi="Times New Roman"/>
          <w:sz w:val="24"/>
          <w:szCs w:val="24"/>
        </w:rPr>
        <w:t xml:space="preserve"> hardship, you must also consider whether funding for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is available from an outside source, such as a vocational rehabilitation agency, and if the cost of providing the accommodation can be offset by state or federal tax credits or deductions. You must also give the applicant or employee with a disability the opportunity to provide the accommodation or pay for the portion of the accommodation that constitutes an undue </w:t>
      </w:r>
      <w:proofErr w:type="gramStart"/>
      <w:r>
        <w:rPr>
          <w:rFonts w:ascii="Times New Roman" w:eastAsia="Times New Roman" w:hAnsi="Times New Roman"/>
          <w:sz w:val="24"/>
          <w:szCs w:val="24"/>
        </w:rPr>
        <w:t>hardship.”</w:t>
      </w:r>
      <w:proofErr w:type="gramEnd"/>
    </w:p>
    <w:p w14:paraId="2C174033" w14:textId="77777777" w:rsidR="00C032D6" w:rsidRDefault="00C032D6" w:rsidP="00C032D6">
      <w:pPr>
        <w:spacing w:before="100" w:beforeAutospacing="1" w:after="100" w:afterAutospacing="1" w:line="240" w:lineRule="auto"/>
        <w:ind w:left="720"/>
        <w:rPr>
          <w:rFonts w:ascii="Times New Roman" w:hAnsi="Times New Roman"/>
          <w:kern w:val="2"/>
          <w:sz w:val="24"/>
          <w:szCs w:val="24"/>
          <w14:ligatures w14:val="standardContextual"/>
        </w:rPr>
      </w:pPr>
      <w:r>
        <w:rPr>
          <w:rFonts w:ascii="Times New Roman" w:hAnsi="Times New Roman"/>
          <w:sz w:val="24"/>
          <w:szCs w:val="24"/>
        </w:rPr>
        <w:t xml:space="preserve">Note also: The ADA's implementing regulations by EEOC state </w:t>
      </w:r>
      <w:proofErr w:type="gramStart"/>
      <w:r>
        <w:rPr>
          <w:rFonts w:ascii="Times New Roman" w:hAnsi="Times New Roman"/>
          <w:sz w:val="24"/>
          <w:szCs w:val="24"/>
        </w:rPr>
        <w:t>that, “[t]</w:t>
      </w:r>
      <w:proofErr w:type="gramEnd"/>
      <w:r>
        <w:rPr>
          <w:rFonts w:ascii="Times New Roman" w:hAnsi="Times New Roman"/>
          <w:sz w:val="24"/>
          <w:szCs w:val="24"/>
        </w:rPr>
        <w:t xml:space="preserve">o </w:t>
      </w:r>
      <w:proofErr w:type="gramStart"/>
      <w:r>
        <w:rPr>
          <w:rFonts w:ascii="Times New Roman" w:hAnsi="Times New Roman"/>
          <w:sz w:val="24"/>
          <w:szCs w:val="24"/>
        </w:rPr>
        <w:t>determine</w:t>
      </w:r>
      <w:proofErr w:type="gramEnd"/>
      <w:r>
        <w:rPr>
          <w:rFonts w:ascii="Times New Roman" w:hAnsi="Times New Roman"/>
          <w:sz w:val="24"/>
          <w:szCs w:val="24"/>
        </w:rPr>
        <w:t xml:space="preserve"> the appropriate reasonable accommodation it may be necessary for the [employer] to initiate an informal, interactive process with the qualified individual with a disability in need of accommodation.’ 29 C.F.R. § 1630.2(o)(3). </w:t>
      </w:r>
    </w:p>
    <w:p w14:paraId="1306B095" w14:textId="77777777" w:rsidR="00C032D6" w:rsidRDefault="00C032D6" w:rsidP="00C032D6">
      <w:pPr>
        <w:pStyle w:val="NormalWeb"/>
        <w:ind w:left="360"/>
      </w:pPr>
    </w:p>
    <w:p w14:paraId="02B1059F" w14:textId="19DE6530" w:rsidR="00C032D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9-33</w:t>
      </w:r>
    </w:p>
    <w:p w14:paraId="2A12830C" w14:textId="77777777" w:rsidR="00D33F96" w:rsidRPr="008A7EEF" w:rsidRDefault="00D33F96" w:rsidP="00D33F96">
      <w:pPr>
        <w:rPr>
          <w:rFonts w:ascii="Arial Black" w:hAnsi="Arial Black"/>
          <w:sz w:val="28"/>
          <w:szCs w:val="28"/>
        </w:rPr>
      </w:pPr>
      <w:r>
        <w:rPr>
          <w:rFonts w:ascii="Arial Black" w:hAnsi="Arial Black"/>
          <w:sz w:val="28"/>
          <w:szCs w:val="28"/>
        </w:rPr>
        <w:t>WA: FF PTSD – DENIED REQUESTED BRING HIS SERVICE DOG TO WORK – CITY PSYCHOLOGIST MAY EXAMINE FF</w:t>
      </w:r>
    </w:p>
    <w:p w14:paraId="233A2B25" w14:textId="77777777" w:rsidR="00D33F96" w:rsidRPr="008A7EEF" w:rsidRDefault="00D33F96" w:rsidP="00D33F96">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June 23, 2023, in </w:t>
      </w:r>
      <w:r w:rsidRPr="00795DC9">
        <w:rPr>
          <w:rFonts w:ascii="Times New Roman" w:hAnsi="Times New Roman"/>
          <w:sz w:val="24"/>
          <w:szCs w:val="24"/>
          <w:u w:val="single"/>
        </w:rPr>
        <w:t>Abraham Meyer v. City of Chehalis</w:t>
      </w:r>
      <w:r>
        <w:rPr>
          <w:rFonts w:ascii="Times New Roman" w:hAnsi="Times New Roman"/>
          <w:sz w:val="24"/>
          <w:szCs w:val="24"/>
        </w:rPr>
        <w:t xml:space="preserve">, U.S. District Court Judge David G. Estudillo, U.S. District Court for Western District of Washington, Tacoma, has agreed with the </w:t>
      </w:r>
      <w:proofErr w:type="gramStart"/>
      <w:r>
        <w:rPr>
          <w:rFonts w:ascii="Times New Roman" w:hAnsi="Times New Roman"/>
          <w:sz w:val="24"/>
          <w:szCs w:val="24"/>
        </w:rPr>
        <w:t>City</w:t>
      </w:r>
      <w:proofErr w:type="gramEnd"/>
      <w:r>
        <w:rPr>
          <w:rFonts w:ascii="Times New Roman" w:hAnsi="Times New Roman"/>
          <w:sz w:val="24"/>
          <w:szCs w:val="24"/>
        </w:rPr>
        <w:t xml:space="preserve"> that plaintiff must undergo a psychiatric examination by their expert to confirm he still suffers from PTSD as he did in 2019 when they turned down his request to bring a service dog to work.  The Court, however, denied the City’s request to have their expert examine the firefighter’s current service dog.  The Court held: “</w:t>
      </w:r>
      <w:r w:rsidRPr="00795DC9">
        <w:rPr>
          <w:rFonts w:ascii="Times New Roman" w:hAnsi="Times New Roman"/>
          <w:sz w:val="24"/>
          <w:szCs w:val="24"/>
        </w:rPr>
        <w:t>The Court also agrees with the City that there is good cause for a Rule 35 exam here since the City would otherwise be forced to rely on years-old psychological evaluations conducted by dueling medical professionals to build their case. The Court therefore GRANTS the City's motion to compel a psychological evaluation of Plaintiff.</w:t>
      </w:r>
      <w:r>
        <w:rPr>
          <w:rFonts w:ascii="Times New Roman" w:hAnsi="Times New Roman"/>
          <w:sz w:val="24"/>
          <w:szCs w:val="24"/>
        </w:rPr>
        <w:t xml:space="preserve"> *** </w:t>
      </w:r>
      <w:r w:rsidRPr="00795DC9">
        <w:rPr>
          <w:rFonts w:ascii="Times New Roman" w:hAnsi="Times New Roman"/>
          <w:sz w:val="24"/>
          <w:szCs w:val="24"/>
        </w:rPr>
        <w:t xml:space="preserve">Evaluating Plaintiff's current service dogs will not shed light on the training of his prior service dog at the time of the City's initial denial of Plaintiff's reasonable accommodation request. Additionally, Plaintiff need not use his current service dog as part of any future reasonable accommodation reached with the </w:t>
      </w:r>
      <w:proofErr w:type="gramStart"/>
      <w:r w:rsidRPr="00795DC9">
        <w:rPr>
          <w:rFonts w:ascii="Times New Roman" w:hAnsi="Times New Roman"/>
          <w:sz w:val="24"/>
          <w:szCs w:val="24"/>
        </w:rPr>
        <w:t>City</w:t>
      </w:r>
      <w:proofErr w:type="gramEnd"/>
      <w:r w:rsidRPr="00795DC9">
        <w:rPr>
          <w:rFonts w:ascii="Times New Roman" w:hAnsi="Times New Roman"/>
          <w:sz w:val="24"/>
          <w:szCs w:val="24"/>
        </w:rPr>
        <w:t xml:space="preserve">. Indeed, the focus on a specific </w:t>
      </w:r>
      <w:proofErr w:type="gramStart"/>
      <w:r w:rsidRPr="00795DC9">
        <w:rPr>
          <w:rFonts w:ascii="Times New Roman" w:hAnsi="Times New Roman"/>
          <w:sz w:val="24"/>
          <w:szCs w:val="24"/>
        </w:rPr>
        <w:t>service dog's training</w:t>
      </w:r>
      <w:proofErr w:type="gramEnd"/>
      <w:r w:rsidRPr="00795DC9">
        <w:rPr>
          <w:rFonts w:ascii="Times New Roman" w:hAnsi="Times New Roman"/>
          <w:sz w:val="24"/>
          <w:szCs w:val="24"/>
        </w:rPr>
        <w:t xml:space="preserve"> appears to be an implicit concession by the </w:t>
      </w:r>
      <w:proofErr w:type="gramStart"/>
      <w:r w:rsidRPr="00795DC9">
        <w:rPr>
          <w:rFonts w:ascii="Times New Roman" w:hAnsi="Times New Roman"/>
          <w:sz w:val="24"/>
          <w:szCs w:val="24"/>
        </w:rPr>
        <w:t>City</w:t>
      </w:r>
      <w:proofErr w:type="gramEnd"/>
      <w:r w:rsidRPr="00795DC9">
        <w:rPr>
          <w:rFonts w:ascii="Times New Roman" w:hAnsi="Times New Roman"/>
          <w:sz w:val="24"/>
          <w:szCs w:val="24"/>
        </w:rPr>
        <w:t xml:space="preserve"> that a service dog trained to their standards could constitute a reasonable accommodation. The Court therefore DENIES the City's motion to compel an evaluation of Plaintiff's current service dog.</w:t>
      </w:r>
      <w:r>
        <w:rPr>
          <w:rFonts w:ascii="Times New Roman" w:hAnsi="Times New Roman"/>
          <w:sz w:val="24"/>
          <w:szCs w:val="24"/>
        </w:rPr>
        <w:t xml:space="preserve">” </w:t>
      </w:r>
      <w:hyperlink r:id="rId1727" w:history="1">
        <w:r w:rsidRPr="00812663">
          <w:rPr>
            <w:rStyle w:val="Hyperlink"/>
            <w:sz w:val="24"/>
            <w:szCs w:val="24"/>
          </w:rPr>
          <w:t>https://casetext.com/case/meyer-v-city-of-chehalis</w:t>
        </w:r>
      </w:hyperlink>
      <w:r>
        <w:rPr>
          <w:rFonts w:ascii="Times New Roman" w:hAnsi="Times New Roman"/>
          <w:sz w:val="24"/>
          <w:szCs w:val="24"/>
        </w:rPr>
        <w:t xml:space="preserve"> </w:t>
      </w:r>
    </w:p>
    <w:p w14:paraId="0995DE5F" w14:textId="77777777" w:rsidR="00D33F96" w:rsidRDefault="00D33F96" w:rsidP="00D33F96">
      <w:pPr>
        <w:pStyle w:val="NoSpacing"/>
        <w:rPr>
          <w:rFonts w:ascii="Arial Black" w:hAnsi="Arial Black"/>
          <w:sz w:val="24"/>
          <w:szCs w:val="24"/>
        </w:rPr>
      </w:pPr>
      <w:r w:rsidRPr="00795DC9">
        <w:rPr>
          <w:rFonts w:ascii="Times New Roman" w:hAnsi="Times New Roman"/>
          <w:b/>
          <w:bCs/>
          <w:sz w:val="24"/>
          <w:szCs w:val="24"/>
        </w:rPr>
        <w:t xml:space="preserve">Legal Lesson Learned: </w:t>
      </w:r>
      <w:r>
        <w:rPr>
          <w:rFonts w:ascii="Times New Roman" w:hAnsi="Times New Roman"/>
          <w:b/>
          <w:bCs/>
          <w:sz w:val="24"/>
          <w:szCs w:val="24"/>
        </w:rPr>
        <w:t xml:space="preserve">Service dogs have been found to be reasonable accommodation in several industries; it is unclear how the firefighter in this case would house the dog when he is responding on a run.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906A816" w14:textId="77777777" w:rsidR="001762AD" w:rsidRDefault="001762AD" w:rsidP="00D33F96">
      <w:pPr>
        <w:pStyle w:val="NoSpacing"/>
        <w:rPr>
          <w:rFonts w:ascii="Arial Black" w:hAnsi="Arial Black"/>
          <w:sz w:val="24"/>
          <w:szCs w:val="24"/>
        </w:rPr>
      </w:pPr>
    </w:p>
    <w:p w14:paraId="0161ECAC" w14:textId="77777777" w:rsidR="001762AD" w:rsidRDefault="001762AD" w:rsidP="00D33F96">
      <w:pPr>
        <w:pStyle w:val="NoSpacing"/>
        <w:rPr>
          <w:rFonts w:ascii="Arial Black" w:hAnsi="Arial Black"/>
          <w:sz w:val="24"/>
          <w:szCs w:val="24"/>
        </w:rPr>
      </w:pPr>
    </w:p>
    <w:p w14:paraId="55809144" w14:textId="6F6B45CE" w:rsidR="00D33F96" w:rsidRDefault="00D33F96" w:rsidP="00D33F96">
      <w:pPr>
        <w:pStyle w:val="NoSpacing"/>
        <w:rPr>
          <w:rFonts w:ascii="Arial Black" w:hAnsi="Arial Black"/>
          <w:sz w:val="24"/>
          <w:szCs w:val="24"/>
        </w:rPr>
      </w:pPr>
      <w:r>
        <w:rPr>
          <w:rFonts w:ascii="Arial Black" w:hAnsi="Arial Black"/>
          <w:sz w:val="24"/>
          <w:szCs w:val="24"/>
        </w:rPr>
        <w:t>9-32</w:t>
      </w:r>
    </w:p>
    <w:p w14:paraId="0547073B" w14:textId="77777777" w:rsidR="00D33F96" w:rsidRDefault="00D33F96" w:rsidP="00D33F96">
      <w:pPr>
        <w:pStyle w:val="NormalWeb"/>
        <w:jc w:val="both"/>
        <w:rPr>
          <w:rFonts w:ascii="Arial Black" w:hAnsi="Arial Black"/>
          <w:b/>
          <w:bCs/>
          <w:sz w:val="28"/>
          <w:szCs w:val="28"/>
        </w:rPr>
      </w:pPr>
      <w:r>
        <w:rPr>
          <w:rFonts w:ascii="Arial Black" w:hAnsi="Arial Black"/>
          <w:b/>
          <w:bCs/>
          <w:sz w:val="28"/>
          <w:szCs w:val="28"/>
        </w:rPr>
        <w:t>TN: ADA – NASHVILLE FF INJURED BACK – DENIED LIGHT DUTY WHEN HR DIDN’T DISCUSS DR’S NOTE - CASE PROCEED</w:t>
      </w:r>
    </w:p>
    <w:p w14:paraId="10ED0C8C" w14:textId="77777777" w:rsidR="00D33F96" w:rsidRDefault="00D33F96" w:rsidP="00D33F96">
      <w:pPr>
        <w:pStyle w:val="NormalWeb"/>
      </w:pPr>
      <w:r w:rsidRPr="00E90532">
        <w:t xml:space="preserve">On </w:t>
      </w:r>
      <w:r>
        <w:t xml:space="preserve">June 15, 2023, in </w:t>
      </w:r>
      <w:r w:rsidRPr="00E90532">
        <w:rPr>
          <w:u w:val="single"/>
        </w:rPr>
        <w:t xml:space="preserve">Brian Moat v. The Metropolitan Government of Nashville </w:t>
      </w:r>
      <w:proofErr w:type="gramStart"/>
      <w:r w:rsidRPr="00E90532">
        <w:rPr>
          <w:u w:val="single"/>
        </w:rPr>
        <w:t>And</w:t>
      </w:r>
      <w:proofErr w:type="gramEnd"/>
      <w:r w:rsidRPr="00E90532">
        <w:rPr>
          <w:u w:val="single"/>
        </w:rPr>
        <w:t xml:space="preserve"> Davidson County, Tennessee</w:t>
      </w:r>
      <w:r>
        <w:t xml:space="preserve">, U.S. District Court Judge Aleta A. Trauger denied the city’s motion for summary judgment; the firefighter was injured on duty Dec. 13, 2019, and placed on Injured </w:t>
      </w:r>
      <w:proofErr w:type="gramStart"/>
      <w:r>
        <w:t>On</w:t>
      </w:r>
      <w:proofErr w:type="gramEnd"/>
      <w:r>
        <w:t xml:space="preserve"> Duty (IOD) medical leave with full pay for maximum period of six months (Dec. 13, 2019 – June 22, 2020). Before his IOD leave expired, he asked FD for light duty but was denied by HR.  When Civil Service Commission denied his extension of IOD leave because they needed medical letter on his expected return to work, he then provided HR with letter from his doctor authorizing light duty.   This was denied by HR Mgr. Jamie </w:t>
      </w:r>
      <w:proofErr w:type="gramStart"/>
      <w:r>
        <w:t>Summers</w:t>
      </w:r>
      <w:proofErr w:type="gramEnd"/>
      <w:r>
        <w:t xml:space="preserve"> and he was forced to go on disability retirement (lower pay) until he returned to full duty on July 1, 2021.  </w:t>
      </w:r>
    </w:p>
    <w:p w14:paraId="71070D7B" w14:textId="77777777" w:rsidR="00D33F96" w:rsidRDefault="00D33F96" w:rsidP="00D33F96">
      <w:pPr>
        <w:pStyle w:val="NormalWeb"/>
      </w:pPr>
      <w:r>
        <w:t>The Court held: “</w:t>
      </w:r>
      <w:r w:rsidRPr="00E90532">
        <w:t xml:space="preserve">As set forth above, the plaintiff has made a </w:t>
      </w:r>
      <w:r w:rsidRPr="00E90532">
        <w:rPr>
          <w:rStyle w:val="Emphasis"/>
          <w:rFonts w:eastAsiaTheme="majorEastAsia"/>
        </w:rPr>
        <w:t>prima facie</w:t>
      </w:r>
      <w:r w:rsidRPr="00E90532">
        <w:t xml:space="preserve"> showing that he requested a reasonable accommodation</w:t>
      </w:r>
      <w:r>
        <w:t xml:space="preserve"> [light duty]</w:t>
      </w:r>
      <w:r w:rsidRPr="00E90532">
        <w:t xml:space="preserve">. The defendant arguably engaged with the plaintiff's request for an extension of his IOD leave when the </w:t>
      </w:r>
      <w:r>
        <w:t xml:space="preserve">[Civil Service] </w:t>
      </w:r>
      <w:r w:rsidRPr="00E90532">
        <w:t xml:space="preserve">Commission considered that request in an open meeting. The interactive process, however, is </w:t>
      </w:r>
      <w:proofErr w:type="gramStart"/>
      <w:r w:rsidRPr="00E90532">
        <w:t>an</w:t>
      </w:r>
      <w:proofErr w:type="gramEnd"/>
      <w:r w:rsidRPr="00E90532">
        <w:t xml:space="preserve"> going process. </w:t>
      </w:r>
      <w:r w:rsidRPr="00E90532">
        <w:rPr>
          <w:rStyle w:val="Emphasis"/>
          <w:rFonts w:eastAsiaTheme="majorEastAsia"/>
        </w:rPr>
        <w:t>See, e.g.</w:t>
      </w:r>
      <w:r w:rsidRPr="00E90532">
        <w:t xml:space="preserve">, </w:t>
      </w:r>
      <w:r w:rsidRPr="00E90532">
        <w:rPr>
          <w:rStyle w:val="Emphasis"/>
          <w:rFonts w:eastAsiaTheme="majorEastAsia"/>
        </w:rPr>
        <w:t>Fisher v. Nissan N. Am., Inc.</w:t>
      </w:r>
      <w:r w:rsidRPr="00E90532">
        <w:t xml:space="preserve">, 951 F.3d 409, 422 (6th Cir. 2022). The plaintiff's reiteration of his request to </w:t>
      </w:r>
      <w:r>
        <w:t xml:space="preserve">[HR manager] </w:t>
      </w:r>
      <w:r w:rsidRPr="00E90532">
        <w:t>Summers for light-duty work after his doctor relaxed his work restrictions</w:t>
      </w:r>
      <w:r>
        <w:t xml:space="preserve"> </w:t>
      </w:r>
      <w:r w:rsidRPr="00E90532">
        <w:t>-</w:t>
      </w:r>
      <w:r>
        <w:t xml:space="preserve"> </w:t>
      </w:r>
      <w:r w:rsidRPr="00E90532">
        <w:t xml:space="preserve">which took place </w:t>
      </w:r>
      <w:r w:rsidRPr="00E90532">
        <w:rPr>
          <w:rStyle w:val="Emphasis"/>
          <w:rFonts w:eastAsiaTheme="majorEastAsia"/>
        </w:rPr>
        <w:t>before</w:t>
      </w:r>
      <w:r w:rsidRPr="00E90532">
        <w:t xml:space="preserve"> his IOD leave expired and apparently before his disability pension had been processed</w:t>
      </w:r>
      <w:r>
        <w:t xml:space="preserve"> </w:t>
      </w:r>
      <w:r w:rsidRPr="00E90532">
        <w:t>-</w:t>
      </w:r>
      <w:r>
        <w:t xml:space="preserve"> </w:t>
      </w:r>
      <w:r w:rsidRPr="00E90532">
        <w:t>at least arguably triggered a duty on the part of Metro to consider that request rather than to simply defer to the plaintiff's already-denied request for an extension of his IOD leave.</w:t>
      </w:r>
      <w:r>
        <w:t xml:space="preserve"> *** </w:t>
      </w:r>
      <w:r w:rsidRPr="002A07BB">
        <w:t>Because the defendant has not shown that either of the requested accommodations would have been unduly burdensome or that they would have resulted in the elimination of an essential job requirement, in view of the temporary nature of the requested accommodations, the defendant is not entitled to summary judgment on the plaintiff's ADA claim based on the failure to accommodate his disability.</w:t>
      </w:r>
      <w:r>
        <w:t xml:space="preserve">” </w:t>
      </w:r>
      <w:hyperlink r:id="rId1728" w:history="1">
        <w:r w:rsidRPr="00812663">
          <w:rPr>
            <w:rStyle w:val="Hyperlink"/>
          </w:rPr>
          <w:t>https://cases.justia.com/federal/district-courts/tennessee/tnmdce/3:2021cv00807/88141/32/0.pdf</w:t>
        </w:r>
      </w:hyperlink>
      <w:r>
        <w:t xml:space="preserve"> </w:t>
      </w:r>
    </w:p>
    <w:p w14:paraId="08727581"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p>
    <w:p w14:paraId="3307911C" w14:textId="496B0CF9" w:rsidR="00D33F9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9-31</w:t>
      </w:r>
    </w:p>
    <w:p w14:paraId="75DB6E5E"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FEMALE FF CLAIMS SEXUALLY ASSAULTED BY TWO FF – MENTAL STRESS. FORCED RETIRE - ADA CASE PROCEED</w:t>
      </w:r>
    </w:p>
    <w:p w14:paraId="7E260DEC" w14:textId="77777777" w:rsidR="00D33F96" w:rsidRDefault="00D33F96" w:rsidP="00D33F96">
      <w:pPr>
        <w:spacing w:before="100" w:beforeAutospacing="1" w:after="100" w:afterAutospacing="1" w:line="240" w:lineRule="auto"/>
        <w:rPr>
          <w:rFonts w:ascii="Times New Roman" w:hAnsi="Times New Roman"/>
          <w:sz w:val="24"/>
          <w:szCs w:val="24"/>
        </w:rPr>
      </w:pPr>
      <w:r w:rsidRPr="00C16C93">
        <w:rPr>
          <w:rFonts w:ascii="Times New Roman" w:eastAsia="Times New Roman" w:hAnsi="Times New Roman"/>
          <w:sz w:val="24"/>
          <w:szCs w:val="24"/>
        </w:rPr>
        <w:t xml:space="preserve">On </w:t>
      </w:r>
      <w:r>
        <w:rPr>
          <w:rFonts w:ascii="Times New Roman" w:eastAsia="Times New Roman" w:hAnsi="Times New Roman"/>
          <w:sz w:val="24"/>
          <w:szCs w:val="24"/>
        </w:rPr>
        <w:t xml:space="preserve">June 14, 2023, in </w:t>
      </w:r>
      <w:r w:rsidRPr="00C16C93">
        <w:rPr>
          <w:rFonts w:ascii="Times New Roman" w:eastAsia="Times New Roman" w:hAnsi="Times New Roman"/>
          <w:sz w:val="24"/>
          <w:szCs w:val="24"/>
          <w:u w:val="single"/>
        </w:rPr>
        <w:t>Nicole Rena McCrea v. District of Columbia, et al</w:t>
      </w:r>
      <w:r>
        <w:rPr>
          <w:rFonts w:ascii="Times New Roman" w:eastAsia="Times New Roman" w:hAnsi="Times New Roman"/>
          <w:sz w:val="24"/>
          <w:szCs w:val="24"/>
        </w:rPr>
        <w:t>., U.S. District Court Judge Tanya S. Chatan, U.S. District Court for District of Columbia, denied the City’s motion to dismiss her ADA case</w:t>
      </w:r>
      <w:r>
        <w:rPr>
          <w:rFonts w:ascii="Times New Roman" w:hAnsi="Times New Roman"/>
          <w:sz w:val="24"/>
          <w:szCs w:val="24"/>
        </w:rPr>
        <w:t xml:space="preserve">. </w:t>
      </w:r>
    </w:p>
    <w:p w14:paraId="14F107A7" w14:textId="77777777" w:rsidR="00D33F96" w:rsidRDefault="00D33F96" w:rsidP="00D33F9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Court held: </w:t>
      </w:r>
      <w:r w:rsidRPr="00092C19">
        <w:rPr>
          <w:rFonts w:ascii="Times New Roman" w:hAnsi="Times New Roman"/>
          <w:sz w:val="24"/>
          <w:szCs w:val="24"/>
        </w:rPr>
        <w:t xml:space="preserve">“Plaintiff Nicole McCrea is a former firefighter with the District of Columbia Fire and Emergency Medical Services Department (EMS). Proceeding </w:t>
      </w:r>
      <w:r w:rsidRPr="00092C19">
        <w:rPr>
          <w:rStyle w:val="Emphasis"/>
          <w:rFonts w:ascii="Times New Roman" w:hAnsi="Times New Roman"/>
          <w:sz w:val="24"/>
          <w:szCs w:val="24"/>
        </w:rPr>
        <w:t>pro se,</w:t>
      </w:r>
      <w:r w:rsidRPr="00092C19">
        <w:rPr>
          <w:rFonts w:ascii="Times New Roman" w:hAnsi="Times New Roman"/>
          <w:sz w:val="24"/>
          <w:szCs w:val="24"/>
        </w:rPr>
        <w:t xml:space="preserve"> she alleges that in May 2013, two fellow firefighters sexually assaulted her while she was on duty, and after she reported the incident, EMS managers, government employees, and mental health professionals conspired to deny her requests to classify her subsequent behavioral health challenges as job-related injuries and to force her into </w:t>
      </w:r>
      <w:r>
        <w:rPr>
          <w:rFonts w:ascii="Times New Roman" w:hAnsi="Times New Roman"/>
          <w:sz w:val="24"/>
          <w:szCs w:val="24"/>
        </w:rPr>
        <w:t xml:space="preserve">retirement. *** </w:t>
      </w:r>
      <w:r w:rsidRPr="008A04BF">
        <w:rPr>
          <w:rFonts w:ascii="Times New Roman" w:eastAsia="Times New Roman" w:hAnsi="Times New Roman"/>
          <w:sz w:val="24"/>
          <w:szCs w:val="24"/>
        </w:rPr>
        <w:t xml:space="preserve"> </w:t>
      </w:r>
      <w:r>
        <w:rPr>
          <w:rFonts w:ascii="Times New Roman" w:hAnsi="Times New Roman"/>
          <w:sz w:val="24"/>
          <w:szCs w:val="24"/>
        </w:rPr>
        <w:t>“’W</w:t>
      </w:r>
      <w:r w:rsidRPr="008A04BF">
        <w:rPr>
          <w:rFonts w:ascii="Times New Roman" w:hAnsi="Times New Roman"/>
          <w:sz w:val="24"/>
          <w:szCs w:val="24"/>
        </w:rPr>
        <w:t xml:space="preserve">hile the viability of her claim at the summary judgment stage appears tenuous given her apparent failure to provide the </w:t>
      </w:r>
      <w:proofErr w:type="gramStart"/>
      <w:r w:rsidRPr="008A04BF">
        <w:rPr>
          <w:rFonts w:ascii="Times New Roman" w:hAnsi="Times New Roman"/>
          <w:sz w:val="24"/>
          <w:szCs w:val="24"/>
        </w:rPr>
        <w:t>District</w:t>
      </w:r>
      <w:proofErr w:type="gramEnd"/>
      <w:r w:rsidRPr="008A04BF">
        <w:rPr>
          <w:rFonts w:ascii="Times New Roman" w:hAnsi="Times New Roman"/>
          <w:sz w:val="24"/>
          <w:szCs w:val="24"/>
        </w:rPr>
        <w:t xml:space="preserve"> with the requested medical documentation,</w:t>
      </w:r>
      <w:r>
        <w:rPr>
          <w:rFonts w:ascii="Times New Roman" w:hAnsi="Times New Roman"/>
          <w:sz w:val="24"/>
          <w:szCs w:val="24"/>
        </w:rPr>
        <w:t>’</w:t>
      </w:r>
      <w:r w:rsidRPr="008A04BF">
        <w:rPr>
          <w:rFonts w:ascii="Times New Roman" w:hAnsi="Times New Roman"/>
          <w:sz w:val="24"/>
          <w:szCs w:val="24"/>
        </w:rPr>
        <w:t xml:space="preserve"> the court reaffirms that Plaintiff's allegations plausibly state a claim that the </w:t>
      </w:r>
      <w:proofErr w:type="gramStart"/>
      <w:r w:rsidRPr="008A04BF">
        <w:rPr>
          <w:rFonts w:ascii="Times New Roman" w:hAnsi="Times New Roman"/>
          <w:sz w:val="24"/>
          <w:szCs w:val="24"/>
        </w:rPr>
        <w:t>District</w:t>
      </w:r>
      <w:proofErr w:type="gramEnd"/>
      <w:r w:rsidRPr="008A04BF">
        <w:rPr>
          <w:rFonts w:ascii="Times New Roman" w:hAnsi="Times New Roman"/>
          <w:sz w:val="24"/>
          <w:szCs w:val="24"/>
        </w:rPr>
        <w:t xml:space="preserve"> failed to provide reasonable accommodation for her disability. </w:t>
      </w:r>
      <w:r w:rsidRPr="008A04BF">
        <w:rPr>
          <w:rStyle w:val="Emphasis"/>
          <w:rFonts w:ascii="Times New Roman" w:hAnsi="Times New Roman"/>
          <w:sz w:val="24"/>
          <w:szCs w:val="24"/>
        </w:rPr>
        <w:t>Id.</w:t>
      </w:r>
      <w:r w:rsidRPr="008A04BF">
        <w:rPr>
          <w:rFonts w:ascii="Times New Roman" w:hAnsi="Times New Roman"/>
          <w:sz w:val="24"/>
          <w:szCs w:val="24"/>
        </w:rPr>
        <w:t xml:space="preserve"> (citing 42 U.S.C. § 12112; 29 U.S.C. § 794(d)).</w:t>
      </w:r>
      <w:r>
        <w:rPr>
          <w:rFonts w:ascii="Times New Roman" w:hAnsi="Times New Roman"/>
          <w:sz w:val="24"/>
          <w:szCs w:val="24"/>
        </w:rPr>
        <w:t xml:space="preserve">” </w:t>
      </w:r>
      <w:hyperlink r:id="rId1729" w:history="1">
        <w:r w:rsidRPr="00812663">
          <w:rPr>
            <w:rStyle w:val="Hyperlink"/>
            <w:sz w:val="24"/>
            <w:szCs w:val="24"/>
          </w:rPr>
          <w:t>https://casetext.com/case/mccrea-v-dist-of-columbia-3</w:t>
        </w:r>
      </w:hyperlink>
      <w:r>
        <w:rPr>
          <w:rFonts w:ascii="Times New Roman" w:hAnsi="Times New Roman"/>
          <w:sz w:val="24"/>
          <w:szCs w:val="24"/>
        </w:rPr>
        <w:t xml:space="preserve"> </w:t>
      </w:r>
      <w:r w:rsidRPr="00EC5AAA">
        <w:rPr>
          <w:rFonts w:ascii="Times New Roman" w:hAnsi="Times New Roman"/>
          <w:sz w:val="24"/>
          <w:szCs w:val="24"/>
        </w:rPr>
        <w:t xml:space="preserve"> </w:t>
      </w:r>
      <w:r>
        <w:rPr>
          <w:rFonts w:ascii="Times New Roman" w:hAnsi="Times New Roman"/>
          <w:sz w:val="24"/>
          <w:szCs w:val="24"/>
        </w:rPr>
        <w:t xml:space="preserve"> </w:t>
      </w:r>
    </w:p>
    <w:p w14:paraId="3CC1E783"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p>
    <w:p w14:paraId="292BFB5B" w14:textId="77777777" w:rsidR="00C032D6" w:rsidRDefault="00C032D6" w:rsidP="00C032D6">
      <w:pPr>
        <w:pStyle w:val="NoSpacing"/>
        <w:rPr>
          <w:rFonts w:ascii="Arial Black" w:hAnsi="Arial Black"/>
          <w:sz w:val="24"/>
          <w:szCs w:val="24"/>
        </w:rPr>
      </w:pPr>
    </w:p>
    <w:p w14:paraId="0455599E" w14:textId="77777777" w:rsidR="00C032D6" w:rsidRDefault="00C032D6" w:rsidP="005C30A4">
      <w:pPr>
        <w:pStyle w:val="NoSpacing"/>
        <w:rPr>
          <w:rFonts w:ascii="Arial Black" w:hAnsi="Arial Black"/>
          <w:sz w:val="24"/>
          <w:szCs w:val="24"/>
        </w:rPr>
      </w:pPr>
    </w:p>
    <w:p w14:paraId="4932D11B" w14:textId="2D67DB50" w:rsidR="00477016" w:rsidRDefault="00477016" w:rsidP="005C30A4">
      <w:pPr>
        <w:pStyle w:val="NoSpacing"/>
        <w:rPr>
          <w:rFonts w:ascii="Arial Black" w:hAnsi="Arial Black"/>
          <w:sz w:val="24"/>
          <w:szCs w:val="24"/>
        </w:rPr>
      </w:pPr>
      <w:r>
        <w:rPr>
          <w:rFonts w:ascii="Arial Black" w:hAnsi="Arial Black"/>
          <w:sz w:val="24"/>
          <w:szCs w:val="24"/>
        </w:rPr>
        <w:t>9-30</w:t>
      </w:r>
    </w:p>
    <w:p w14:paraId="7936F534" w14:textId="77777777" w:rsidR="00477016" w:rsidRPr="00AC2B99" w:rsidRDefault="00477016" w:rsidP="00477016">
      <w:pPr>
        <w:pStyle w:val="NormalWeb"/>
        <w:rPr>
          <w:rFonts w:ascii="Arial Black" w:hAnsi="Arial Black"/>
          <w:b/>
          <w:bCs/>
          <w:sz w:val="28"/>
          <w:szCs w:val="28"/>
        </w:rPr>
      </w:pPr>
      <w:bookmarkStart w:id="347" w:name="_Hlk136859866"/>
      <w:r>
        <w:rPr>
          <w:rFonts w:ascii="Arial Black" w:hAnsi="Arial Black"/>
          <w:b/>
          <w:bCs/>
          <w:sz w:val="28"/>
          <w:szCs w:val="28"/>
        </w:rPr>
        <w:t xml:space="preserve">LA: 16-YR OLD AUTISM – PD (365 LBS) SITS HIM – DIES ASPHYXIATION - DOJ POOR USE “DE-ESCALATION” POLICY </w:t>
      </w:r>
    </w:p>
    <w:bookmarkEnd w:id="347"/>
    <w:p w14:paraId="4C69B7B6" w14:textId="77777777" w:rsidR="00477016" w:rsidRDefault="00477016" w:rsidP="00477016">
      <w:pPr>
        <w:pStyle w:val="NormalWeb"/>
        <w:rPr>
          <w:rStyle w:val="markedcontent"/>
        </w:rPr>
      </w:pPr>
      <w:r>
        <w:rPr>
          <w:rStyle w:val="markedcontent"/>
        </w:rPr>
        <w:t xml:space="preserve">On May 18, 2023, in </w:t>
      </w:r>
      <w:r w:rsidRPr="00AC2B99">
        <w:rPr>
          <w:rStyle w:val="markedcontent"/>
          <w:u w:val="single"/>
        </w:rPr>
        <w:t>Donna Lou, et al. v. Sheriff Joseph P. Lopinto, III, et al</w:t>
      </w:r>
      <w:r>
        <w:rPr>
          <w:rStyle w:val="markedcontent"/>
        </w:rPr>
        <w:t xml:space="preserve">., U.S. District Court Judge Wendy B. Vitter, U.S. District Court for Eastern District of Louisiana, the Judge denied the Parents’ motion for partial summary judgement; but will allow them to file an Amended Complaint and may then allow case to proceed to trial. The Judge referenced the 80-page original Complaint, including alleged violation of ADA, but did not refence the May 12, 2023, the U.S. Department of Justice “Statement of Interest” with the Court, asserting Deputy Sheriffs may have violated ADA by failure to use “de-escalation strategies” including mobile crisis team. </w:t>
      </w:r>
      <w:hyperlink r:id="rId1730" w:history="1">
        <w:r w:rsidRPr="005906DC">
          <w:rPr>
            <w:rStyle w:val="Hyperlink"/>
            <w:rFonts w:eastAsiaTheme="majorEastAsia"/>
          </w:rPr>
          <w:t>https://www.justice.gov/crt/case-document/file/1583736/download</w:t>
        </w:r>
      </w:hyperlink>
      <w:r>
        <w:rPr>
          <w:rStyle w:val="markedcontent"/>
        </w:rPr>
        <w:t xml:space="preserve">. Judge Vitter held as follows. </w:t>
      </w:r>
    </w:p>
    <w:p w14:paraId="0EB9A9A5" w14:textId="77777777" w:rsidR="00477016" w:rsidRDefault="00477016" w:rsidP="00477016">
      <w:pPr>
        <w:pStyle w:val="NormalWeb"/>
        <w:ind w:left="720"/>
      </w:pPr>
      <w:r>
        <w:rPr>
          <w:rStyle w:val="markedcontent"/>
        </w:rPr>
        <w:t>“I</w:t>
      </w:r>
      <w:r>
        <w:t>n Count Three, Plaintiffs assert official capacity claims against Sheriff Lopinto based upon violations of Title II of the Americans with Disabilities Act (the ‘ADA’) and Section 504 of the Rehabilitation Act (‘RA’), alleging that the JPSO Deputy Defendants knew that E.P. had autism and failed to reasonably accommodate him or to avoid discriminating against him based upon his disability. *** The Court points out that the only two paragraphs in the Complaint cited by Plaintiffs that specifically reference the Fourth Amendment, Paragraphs 386 and 391, allege constitutional violations based upon the action or inaction of the JPSO Deputy Defendants ‘in using excessive and unreasonable force in the seizure and restraint of E.P. and in failing to intervene or act to prevent such actions, despite having the opportunity to do so,’ and in violating, among other things, E.P.'s ‘right to freedom from unreasonable seizure’ and ‘right to freedom from the use of unreasonable, unjustified, and excessive force and summary punishment.’”</w:t>
      </w:r>
      <w:hyperlink r:id="rId1731" w:history="1">
        <w:r w:rsidRPr="005906DC">
          <w:rPr>
            <w:rStyle w:val="Hyperlink"/>
            <w:rFonts w:eastAsiaTheme="majorEastAsia"/>
          </w:rPr>
          <w:t>https://public.fastcase.com/ZZhmr5v9wN%2FXOe5IsQ%2FqD213NfZOkBOT9oUFU2NATn1Aebu4tmd%2Bdm4Fq8wJV%2BgJ%2FUz5tDo4rrQTf5JLsx7PM2RT%2BnNbiLW8av7Jbge%2Fzbw%3D?utm_medium=email&amp;_hsmi=226712652&amp;_hsenc=p2ANqtz-83LxoyDBgyJFjB5J1tvKo9--ehLEBCqV6koHeoTan0Qm4V8taXVkAh8h56UhoHEEE4y9wodFDrH_2nxx13nTAr7JOLdw&amp;utm_content=226712652&amp;utm_source=hs_email</w:t>
        </w:r>
      </w:hyperlink>
      <w:r>
        <w:t xml:space="preserve">  </w:t>
      </w:r>
    </w:p>
    <w:p w14:paraId="0BEE42D8" w14:textId="77777777" w:rsidR="00477016" w:rsidRPr="005C3E45" w:rsidRDefault="00477016" w:rsidP="00477016">
      <w:pPr>
        <w:pStyle w:val="NormalWeb"/>
        <w:rPr>
          <w:b/>
          <w:bCs/>
        </w:rPr>
      </w:pPr>
      <w:r w:rsidRPr="005C3E45">
        <w:rPr>
          <w:b/>
          <w:bCs/>
        </w:rPr>
        <w:t xml:space="preserve">Legal Lesson Learned: </w:t>
      </w:r>
      <w:r>
        <w:rPr>
          <w:b/>
          <w:bCs/>
        </w:rPr>
        <w:t xml:space="preserve">U.S. Department of Justice obviously has a high degree of interest in police affixation cases.  </w:t>
      </w:r>
    </w:p>
    <w:p w14:paraId="4E8721C0" w14:textId="77777777" w:rsidR="00477016" w:rsidRPr="005C3E45" w:rsidRDefault="00477016" w:rsidP="00477016">
      <w:pPr>
        <w:pStyle w:val="NormalWeb"/>
        <w:ind w:left="720"/>
        <w:rPr>
          <w:rFonts w:ascii="Arial" w:hAnsi="Arial" w:cs="Arial"/>
        </w:rPr>
      </w:pPr>
      <w:r>
        <w:rPr>
          <w:rStyle w:val="markedcontent"/>
        </w:rPr>
        <w:t xml:space="preserve">Note: Read the DOJ Statement of Interest, where PDs are urged to modify </w:t>
      </w:r>
      <w:proofErr w:type="spellStart"/>
      <w:proofErr w:type="gramStart"/>
      <w:r>
        <w:rPr>
          <w:rStyle w:val="markedcontent"/>
        </w:rPr>
        <w:t>there</w:t>
      </w:r>
      <w:proofErr w:type="gramEnd"/>
      <w:r>
        <w:rPr>
          <w:rStyle w:val="markedcontent"/>
        </w:rPr>
        <w:t xml:space="preserve"> response</w:t>
      </w:r>
      <w:proofErr w:type="spellEnd"/>
      <w:r>
        <w:rPr>
          <w:rStyle w:val="markedcontent"/>
        </w:rPr>
        <w:t xml:space="preserve"> policies dealing with people with disabilities. </w:t>
      </w:r>
      <w:hyperlink r:id="rId1732" w:history="1">
        <w:r w:rsidRPr="005906DC">
          <w:rPr>
            <w:rStyle w:val="Hyperlink"/>
            <w:rFonts w:eastAsiaTheme="majorEastAsia"/>
          </w:rPr>
          <w:t>https://www.justice.gov/crt/case-document/file/1583736/download</w:t>
        </w:r>
      </w:hyperlink>
      <w:r>
        <w:rPr>
          <w:rStyle w:val="markedcontent"/>
        </w:rPr>
        <w:t xml:space="preserve"> </w:t>
      </w:r>
      <w:r w:rsidRPr="005C3E45">
        <w:t xml:space="preserve"> </w:t>
      </w:r>
    </w:p>
    <w:p w14:paraId="31268EF4" w14:textId="77777777" w:rsidR="00477016" w:rsidRPr="005C3E45" w:rsidRDefault="00477016" w:rsidP="00477016">
      <w:pPr>
        <w:pStyle w:val="NormalWeb"/>
        <w:ind w:left="720"/>
        <w:rPr>
          <w:rStyle w:val="markedcontent"/>
        </w:rPr>
      </w:pPr>
      <w:r>
        <w:rPr>
          <w:rStyle w:val="markedcontent"/>
        </w:rPr>
        <w:t>“</w:t>
      </w:r>
      <w:r w:rsidRPr="005C3E45">
        <w:rPr>
          <w:rStyle w:val="markedcontent"/>
        </w:rPr>
        <w:t>Modifications that may have been reasonable for officers to implement, depending on the circumstances and existing services, include dispatching crisis intervention trained officers or arranging for a mobile crisis team to respond; using de-escalation strategies; removing distractions and providing time and space to calm the situation when the child poses no significant safety threat; and avoiding or minimizing touching a child whose disability makes them sensitive to touch.</w:t>
      </w:r>
      <w:r w:rsidRPr="005C3E45">
        <w:t xml:space="preserve"> If</w:t>
      </w:r>
      <w:r w:rsidRPr="005C3E45">
        <w:rPr>
          <w:rStyle w:val="markedcontent"/>
        </w:rPr>
        <w:t xml:space="preserve"> available, officers should enlist a child’s parent, guardian, treating medical professional, or another trusted support person, to help to effectively communicate with the child and de-escalate the situation.</w:t>
      </w:r>
      <w:r>
        <w:rPr>
          <w:rStyle w:val="markedcontent"/>
        </w:rPr>
        <w:t>”</w:t>
      </w:r>
    </w:p>
    <w:p w14:paraId="5E18405F" w14:textId="77777777" w:rsidR="00477016" w:rsidRDefault="00477016" w:rsidP="005C30A4">
      <w:pPr>
        <w:pStyle w:val="NoSpacing"/>
        <w:rPr>
          <w:rFonts w:ascii="Arial Black" w:hAnsi="Arial Black"/>
          <w:sz w:val="24"/>
          <w:szCs w:val="24"/>
        </w:rPr>
      </w:pPr>
    </w:p>
    <w:p w14:paraId="3108848D" w14:textId="4F253EA0" w:rsidR="00477016" w:rsidRDefault="00477016" w:rsidP="005C30A4">
      <w:pPr>
        <w:pStyle w:val="NoSpacing"/>
        <w:rPr>
          <w:rFonts w:ascii="Arial Black" w:hAnsi="Arial Black"/>
          <w:sz w:val="24"/>
          <w:szCs w:val="24"/>
        </w:rPr>
      </w:pPr>
      <w:r>
        <w:rPr>
          <w:rFonts w:ascii="Arial Black" w:hAnsi="Arial Black"/>
          <w:sz w:val="24"/>
          <w:szCs w:val="24"/>
        </w:rPr>
        <w:t>9-29</w:t>
      </w:r>
    </w:p>
    <w:p w14:paraId="4E005429" w14:textId="77777777" w:rsidR="00477016" w:rsidRDefault="00477016" w:rsidP="00477016">
      <w:pPr>
        <w:pStyle w:val="NormalWeb"/>
        <w:rPr>
          <w:rFonts w:ascii="Arial Black" w:hAnsi="Arial Black"/>
          <w:sz w:val="28"/>
          <w:szCs w:val="28"/>
        </w:rPr>
      </w:pPr>
      <w:bookmarkStart w:id="348" w:name="_Hlk136860023"/>
      <w:r>
        <w:rPr>
          <w:rFonts w:ascii="Arial Black" w:hAnsi="Arial Black"/>
          <w:sz w:val="28"/>
          <w:szCs w:val="28"/>
        </w:rPr>
        <w:t>OH: TRANSGENDER EMT FIRED 2 MONTHS – “RUDE” COMMENTS HOSP – “REGARDED AS” CASE PROCEED</w:t>
      </w:r>
    </w:p>
    <w:bookmarkEnd w:id="348"/>
    <w:p w14:paraId="7DA98188" w14:textId="77777777" w:rsidR="00477016" w:rsidRPr="00477016" w:rsidRDefault="00477016" w:rsidP="00477016">
      <w:pPr>
        <w:pStyle w:val="NormalWeb"/>
      </w:pPr>
      <w:r w:rsidRPr="00477016">
        <w:t xml:space="preserve">On May 12, 2023, in </w:t>
      </w:r>
      <w:r w:rsidRPr="00477016">
        <w:rPr>
          <w:u w:val="single"/>
        </w:rPr>
        <w:t>Rayne S. Fedder v. Ohio Medical Transportation, Inc</w:t>
      </w:r>
      <w:r w:rsidRPr="00477016">
        <w:t xml:space="preserve">., U.S, Magistrate Judge Chelsey M. </w:t>
      </w:r>
      <w:proofErr w:type="spellStart"/>
      <w:r w:rsidRPr="00477016">
        <w:t>Vascura</w:t>
      </w:r>
      <w:proofErr w:type="spellEnd"/>
      <w:r w:rsidRPr="00477016">
        <w:t xml:space="preserve"> issued a Report and Recommendation to U.S. District Court Judge Saras D. Morrison, finding that plaintiff was fired after two months on the job, and while her claims of hostile work environment must be dismissed since she didn’t report incidents to management (for example, comments that she “stands up to pee”), she may proceed on claim that management fired her because she was “regard as” disabled.  On April 19, 2022, plaintiff and her partner were at a hospital to transport a psychiatric patient to Columbus Springs, In Dublin, OH, when plaintiff made strange comments to hospital staff., was placed on Administrative Leave and was fired on May 3, 2022.</w:t>
      </w:r>
    </w:p>
    <w:p w14:paraId="51EB614B" w14:textId="6ADB3A09" w:rsidR="00477016" w:rsidRDefault="00477016" w:rsidP="00477016">
      <w:pPr>
        <w:pStyle w:val="NoSpacing"/>
        <w:rPr>
          <w:rStyle w:val="Hyperlink"/>
          <w:rFonts w:ascii="Times New Roman" w:eastAsiaTheme="majorEastAsia" w:hAnsi="Times New Roman"/>
          <w:sz w:val="24"/>
          <w:szCs w:val="24"/>
        </w:rPr>
      </w:pPr>
      <w:r w:rsidRPr="00477016">
        <w:rPr>
          <w:rFonts w:ascii="Times New Roman" w:hAnsi="Times New Roman"/>
          <w:sz w:val="24"/>
          <w:szCs w:val="24"/>
        </w:rPr>
        <w:t xml:space="preserve">“On the evening of April 19, 2022, Plaintiff and her partner were dispatched to </w:t>
      </w:r>
      <w:proofErr w:type="spellStart"/>
      <w:r w:rsidRPr="00477016">
        <w:rPr>
          <w:rFonts w:ascii="Times New Roman" w:hAnsi="Times New Roman"/>
          <w:sz w:val="24"/>
          <w:szCs w:val="24"/>
        </w:rPr>
        <w:t>O'Bleness</w:t>
      </w:r>
      <w:proofErr w:type="spellEnd"/>
      <w:r w:rsidRPr="00477016">
        <w:rPr>
          <w:rFonts w:ascii="Times New Roman" w:hAnsi="Times New Roman"/>
          <w:sz w:val="24"/>
          <w:szCs w:val="24"/>
        </w:rPr>
        <w:t xml:space="preserve"> Memorial Hospital to transport a psychiatric patient to Columbus Springs Dublin…. Plaintiff felt that </w:t>
      </w:r>
      <w:proofErr w:type="spellStart"/>
      <w:r w:rsidRPr="00477016">
        <w:rPr>
          <w:rFonts w:ascii="Times New Roman" w:hAnsi="Times New Roman"/>
          <w:sz w:val="24"/>
          <w:szCs w:val="24"/>
        </w:rPr>
        <w:t>O'Bleness</w:t>
      </w:r>
      <w:proofErr w:type="spellEnd"/>
      <w:r w:rsidRPr="00477016">
        <w:rPr>
          <w:rFonts w:ascii="Times New Roman" w:hAnsi="Times New Roman"/>
          <w:sz w:val="24"/>
          <w:szCs w:val="24"/>
        </w:rPr>
        <w:t xml:space="preserve"> staff were not performing their jobs properly and voiced criticisms of the use of an armed security officer (‘asking what he even needed that gun holstered to his hip for, and </w:t>
      </w:r>
      <w:proofErr w:type="spellStart"/>
      <w:r w:rsidRPr="00477016">
        <w:rPr>
          <w:rFonts w:ascii="Times New Roman" w:hAnsi="Times New Roman"/>
          <w:sz w:val="24"/>
          <w:szCs w:val="24"/>
        </w:rPr>
        <w:t>quipp</w:t>
      </w:r>
      <w:proofErr w:type="spellEnd"/>
      <w:r w:rsidRPr="00477016">
        <w:rPr>
          <w:rFonts w:ascii="Times New Roman" w:hAnsi="Times New Roman"/>
          <w:sz w:val="24"/>
          <w:szCs w:val="24"/>
        </w:rPr>
        <w:t>[</w:t>
      </w:r>
      <w:proofErr w:type="spellStart"/>
      <w:r w:rsidRPr="00477016">
        <w:rPr>
          <w:rFonts w:ascii="Times New Roman" w:hAnsi="Times New Roman"/>
          <w:sz w:val="24"/>
          <w:szCs w:val="24"/>
        </w:rPr>
        <w:t>ing</w:t>
      </w:r>
      <w:proofErr w:type="spellEnd"/>
      <w:r w:rsidRPr="00477016">
        <w:rPr>
          <w:rFonts w:ascii="Times New Roman" w:hAnsi="Times New Roman"/>
          <w:sz w:val="24"/>
          <w:szCs w:val="24"/>
        </w:rPr>
        <w:t xml:space="preserve">] that he probably did not know how to operate it’) and the poor quality of the paperwork provided by the nursing staff (‘Plaintiff does not remember saying that the report from the charge nurse about the patient was ‘shitty,' though Plaintiff does concede that the sentiment was there….) Plaintiff also alleges that the desk attendant asked how Plaintiff was doing, and Plaintiff said ‘something about how she would be doing much better if she passed or if she did not work with a bunch of creepy bigots, or something of the sort….’After some resistance by the patient, Plaintiff, her partner, and other </w:t>
      </w:r>
      <w:proofErr w:type="spellStart"/>
      <w:r w:rsidRPr="00477016">
        <w:rPr>
          <w:rFonts w:ascii="Times New Roman" w:hAnsi="Times New Roman"/>
          <w:sz w:val="24"/>
          <w:szCs w:val="24"/>
        </w:rPr>
        <w:t>O'Blenness</w:t>
      </w:r>
      <w:proofErr w:type="spellEnd"/>
      <w:r w:rsidRPr="00477016">
        <w:rPr>
          <w:rFonts w:ascii="Times New Roman" w:hAnsi="Times New Roman"/>
          <w:sz w:val="24"/>
          <w:szCs w:val="24"/>
        </w:rPr>
        <w:t xml:space="preserve"> staff were able to buckle the patient to a stretcher and the patient was transported without further incident.” </w:t>
      </w:r>
      <w:hyperlink r:id="rId1733" w:history="1">
        <w:r w:rsidRPr="00477016">
          <w:rPr>
            <w:rStyle w:val="Hyperlink"/>
            <w:rFonts w:ascii="Times New Roman" w:eastAsiaTheme="majorEastAsia" w:hAnsi="Times New Roman"/>
            <w:sz w:val="24"/>
            <w:szCs w:val="24"/>
          </w:rPr>
          <w:t>https://public.fastcase.com/ZZhmr5v9wN%2FXOe5IsQ%2FqD5cOg4uDiWBiDgRVwEX7HkTgzpDy2YRC9dWsCSpL5q7NwLkYpJ%2BBy0X6CQVC4aXC0tZJlDrCMk2fa2%2Fy73T5jjU%3D?utm_medium=email&amp;_hsmi=226712652&amp;_hsenc=p2ANqtz-8FJorPS84jztogf_8o7olLe4m03Y-oUT6vKuzTkvf9gKaTxn2WPOeYqAoz6gwdnY0JMEeLDG0EyTmUqJkqtPPBYQ-lng&amp;utm_content=226712652&amp;utm_source=hs_email</w:t>
        </w:r>
      </w:hyperlink>
    </w:p>
    <w:p w14:paraId="467C4C28" w14:textId="77777777" w:rsidR="00477016" w:rsidRDefault="00477016" w:rsidP="00477016">
      <w:pPr>
        <w:pStyle w:val="NoSpacing"/>
        <w:rPr>
          <w:rStyle w:val="Hyperlink"/>
          <w:rFonts w:ascii="Times New Roman" w:eastAsiaTheme="majorEastAsia" w:hAnsi="Times New Roman"/>
          <w:sz w:val="24"/>
          <w:szCs w:val="24"/>
        </w:rPr>
      </w:pPr>
    </w:p>
    <w:p w14:paraId="614C5FEE" w14:textId="77777777" w:rsidR="00477016" w:rsidRDefault="00477016" w:rsidP="00477016">
      <w:pPr>
        <w:pStyle w:val="NormalWeb"/>
        <w:rPr>
          <w:b/>
          <w:bCs/>
        </w:rPr>
      </w:pPr>
      <w:r w:rsidRPr="00135F52">
        <w:rPr>
          <w:b/>
          <w:bCs/>
        </w:rPr>
        <w:t>Legal Lesson Learned:</w:t>
      </w:r>
      <w:r>
        <w:rPr>
          <w:b/>
          <w:bCs/>
        </w:rPr>
        <w:t xml:space="preserve"> Case will now proceed to pre-trial discovery. </w:t>
      </w:r>
    </w:p>
    <w:p w14:paraId="4A090F51" w14:textId="77777777" w:rsidR="00477016" w:rsidRPr="00477016" w:rsidRDefault="00477016" w:rsidP="00477016">
      <w:pPr>
        <w:pStyle w:val="Heading2"/>
        <w:ind w:left="72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Note: See EEOC Guidance on “regarded as” disabilities.  </w:t>
      </w:r>
      <w:hyperlink r:id="rId1734" w:history="1">
        <w:r w:rsidRPr="00477016">
          <w:rPr>
            <w:rStyle w:val="Hyperlink"/>
            <w:rFonts w:ascii="Times New Roman" w:hAnsi="Times New Roman"/>
            <w:b w:val="0"/>
            <w:bCs w:val="0"/>
            <w:i w:val="0"/>
            <w:iCs w:val="0"/>
            <w:sz w:val="24"/>
            <w:szCs w:val="24"/>
          </w:rPr>
          <w:t>https://www.eeoc.gov/laws/guidance/questions-and-answers-final-rule-implementing-ada-amendments-act-2008</w:t>
        </w:r>
      </w:hyperlink>
      <w:r w:rsidRPr="00477016">
        <w:rPr>
          <w:rFonts w:ascii="Times New Roman" w:hAnsi="Times New Roman"/>
          <w:b w:val="0"/>
          <w:bCs w:val="0"/>
          <w:i w:val="0"/>
          <w:iCs w:val="0"/>
          <w:sz w:val="24"/>
          <w:szCs w:val="24"/>
        </w:rPr>
        <w:t xml:space="preserve"> </w:t>
      </w:r>
    </w:p>
    <w:p w14:paraId="589D78CE" w14:textId="77777777" w:rsidR="00477016" w:rsidRPr="00477016" w:rsidRDefault="00477016" w:rsidP="00477016">
      <w:pPr>
        <w:pStyle w:val="Heading2"/>
        <w:ind w:left="720" w:firstLine="72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How does the ADAAA define "disability?" </w:t>
      </w:r>
    </w:p>
    <w:p w14:paraId="2C3063A2" w14:textId="77777777" w:rsidR="00477016" w:rsidRPr="00477016" w:rsidRDefault="00477016" w:rsidP="00477016">
      <w:pPr>
        <w:pStyle w:val="Heading2"/>
        <w:ind w:left="144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The ADA Amendments Act of 2008 (ADAAA) was enacted on September 25, 2008, and became effective on January 1, 2009. This law made </w:t>
      </w:r>
      <w:proofErr w:type="gramStart"/>
      <w:r w:rsidRPr="00477016">
        <w:rPr>
          <w:rFonts w:ascii="Times New Roman" w:hAnsi="Times New Roman"/>
          <w:b w:val="0"/>
          <w:bCs w:val="0"/>
          <w:i w:val="0"/>
          <w:iCs w:val="0"/>
          <w:sz w:val="24"/>
          <w:szCs w:val="24"/>
        </w:rPr>
        <w:t>a number of</w:t>
      </w:r>
      <w:proofErr w:type="gramEnd"/>
      <w:r w:rsidRPr="00477016">
        <w:rPr>
          <w:rFonts w:ascii="Times New Roman" w:hAnsi="Times New Roman"/>
          <w:b w:val="0"/>
          <w:bCs w:val="0"/>
          <w:i w:val="0"/>
          <w:iCs w:val="0"/>
          <w:sz w:val="24"/>
          <w:szCs w:val="24"/>
        </w:rPr>
        <w:t xml:space="preserve"> significant changes to the definition of "disability." ***</w:t>
      </w:r>
    </w:p>
    <w:p w14:paraId="576B0DCD" w14:textId="77777777" w:rsidR="00477016" w:rsidRPr="00477016" w:rsidRDefault="00477016" w:rsidP="00477016">
      <w:pPr>
        <w:ind w:left="1440"/>
        <w:rPr>
          <w:rFonts w:ascii="Times New Roman" w:hAnsi="Times New Roman"/>
          <w:sz w:val="24"/>
          <w:szCs w:val="24"/>
        </w:rPr>
      </w:pPr>
      <w:r w:rsidRPr="00477016">
        <w:rPr>
          <w:rFonts w:ascii="Times New Roman" w:hAnsi="Times New Roman"/>
          <w:sz w:val="24"/>
          <w:szCs w:val="24"/>
        </w:rPr>
        <w:t>The ADAAA and the final regulations define a disability using a three-pronged approach:</w:t>
      </w:r>
    </w:p>
    <w:p w14:paraId="40FD440B"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a physical or mental impairment that substantially limits one or more major life activities (sometimes referred to in the regulations as an "actual disability"), or</w:t>
      </w:r>
    </w:p>
    <w:p w14:paraId="4F283A47"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a record of a physical or mental impairment that substantially limited a major life activity ("record of"), or</w:t>
      </w:r>
    </w:p>
    <w:p w14:paraId="55509F4B"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when a covered entity takes an action prohibited by the ADA because of an actual or perceived impairment that is not both transitory and minor ("regarded as"). [Section 1630.2(g)].</w:t>
      </w:r>
    </w:p>
    <w:p w14:paraId="0C2778A7" w14:textId="77777777" w:rsidR="00477016" w:rsidRPr="00477016" w:rsidRDefault="00477016" w:rsidP="00477016">
      <w:pPr>
        <w:pStyle w:val="NoSpacing"/>
        <w:rPr>
          <w:rFonts w:ascii="Times New Roman" w:hAnsi="Times New Roman"/>
          <w:sz w:val="24"/>
          <w:szCs w:val="24"/>
        </w:rPr>
      </w:pPr>
    </w:p>
    <w:p w14:paraId="47C43F5D" w14:textId="77777777" w:rsidR="00477016" w:rsidRPr="00477016" w:rsidRDefault="00477016" w:rsidP="005C30A4">
      <w:pPr>
        <w:pStyle w:val="NoSpacing"/>
        <w:rPr>
          <w:rFonts w:ascii="Times New Roman" w:hAnsi="Times New Roman"/>
          <w:sz w:val="24"/>
          <w:szCs w:val="24"/>
        </w:rPr>
      </w:pPr>
    </w:p>
    <w:p w14:paraId="624B5FA0" w14:textId="77777777" w:rsidR="00477016" w:rsidRDefault="00477016" w:rsidP="005C30A4">
      <w:pPr>
        <w:pStyle w:val="NoSpacing"/>
        <w:rPr>
          <w:rFonts w:ascii="Arial Black" w:hAnsi="Arial Black"/>
          <w:sz w:val="24"/>
          <w:szCs w:val="24"/>
        </w:rPr>
      </w:pPr>
    </w:p>
    <w:p w14:paraId="26CCBE83" w14:textId="77777777" w:rsidR="00477016" w:rsidRDefault="00477016" w:rsidP="005C30A4">
      <w:pPr>
        <w:pStyle w:val="NoSpacing"/>
        <w:rPr>
          <w:rFonts w:ascii="Arial Black" w:hAnsi="Arial Black"/>
          <w:sz w:val="24"/>
          <w:szCs w:val="24"/>
        </w:rPr>
      </w:pPr>
    </w:p>
    <w:p w14:paraId="30149857" w14:textId="00A0759D" w:rsidR="003F788B" w:rsidRDefault="003F788B" w:rsidP="005C30A4">
      <w:pPr>
        <w:pStyle w:val="NoSpacing"/>
        <w:rPr>
          <w:rFonts w:ascii="Arial Black" w:hAnsi="Arial Black"/>
          <w:sz w:val="24"/>
          <w:szCs w:val="24"/>
        </w:rPr>
      </w:pPr>
      <w:r>
        <w:rPr>
          <w:rFonts w:ascii="Arial Black" w:hAnsi="Arial Black"/>
          <w:sz w:val="24"/>
          <w:szCs w:val="24"/>
        </w:rPr>
        <w:t>9-28</w:t>
      </w:r>
    </w:p>
    <w:p w14:paraId="1756C8DD"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UT: ADA - FEMALE BAT. CHIEF DEMOTED CAPT – SEVERE ANXIETY, NO ACCOMODATIONS - LAWSUIT PROCEED </w:t>
      </w:r>
    </w:p>
    <w:p w14:paraId="77647D81" w14:textId="77777777" w:rsidR="003F788B" w:rsidRDefault="003F788B" w:rsidP="003F788B">
      <w:pPr>
        <w:pStyle w:val="NormalWeb"/>
      </w:pPr>
      <w:r>
        <w:t xml:space="preserve">On March 31, 2023, in </w:t>
      </w:r>
      <w:r>
        <w:rPr>
          <w:u w:val="single"/>
        </w:rPr>
        <w:t>Martha Ellis v. Salt Lake City Corporation, Karl Lieb, Brian Dale, and Robert McMicken</w:t>
      </w:r>
      <w:r>
        <w:t xml:space="preserve">, U.S, Magistrate Judge Jared C. Bennett denied the </w:t>
      </w:r>
      <w:proofErr w:type="gramStart"/>
      <w:r>
        <w:t>City</w:t>
      </w:r>
      <w:proofErr w:type="gramEnd"/>
      <w:r>
        <w:t xml:space="preserve"> and individual defendants’ motion for summary judgment.  Martha Ellis joined the Salt Lake City Fire Department as a firefighter in 1994; in 2004, she was promoted to Fire Captain and served as the Fire Marshal for the Salt Lake City International Airport; in 2009, she was promoted to Battalion Chief and assigned as the City Fire Marshal and Fire Prevention Bureau Division Chief. She served in this capacity until 2014. On May 3, 2016, she was demoted to Captain; she filed charge of discrimination with EEOC, and went on FMLA leave for severe anxiety, and when no light duty accommodation was offered, she was fired in March 2017 due to “your unavailability to return to work at this time.”  Shortly after she was fired, the City’s Civil Service Commission reversed her demotion, but she was never allowed back to work.</w:t>
      </w:r>
    </w:p>
    <w:p w14:paraId="652FB90B" w14:textId="77777777" w:rsidR="003F788B" w:rsidRDefault="003F788B" w:rsidP="003F788B">
      <w:pPr>
        <w:pStyle w:val="NormalWeb"/>
      </w:pPr>
      <w:r>
        <w:t>The Court held the lawsuit may proceed:</w:t>
      </w:r>
    </w:p>
    <w:p w14:paraId="72DACC82" w14:textId="77777777" w:rsidR="003F788B" w:rsidRDefault="003F788B" w:rsidP="003F788B">
      <w:pPr>
        <w:pStyle w:val="NormalWeb"/>
        <w:ind w:left="720"/>
      </w:pPr>
      <w:r>
        <w:rPr>
          <w:rStyle w:val="Strong"/>
        </w:rPr>
        <w:t>“FAILURE TO ACCOMMODATE…</w:t>
      </w:r>
      <w:r>
        <w:t xml:space="preserve"> After examining each party's analysis of the facts, the court finds that Ellis's evidence is sufficient to support her failure to accommodate claim….  Ellis claims that the City rejected two plausibly reasonable accommodations: (1) medical leave for her condition until the CSC appeal was resolved, and (2) the opportunity to receive some form of training from the Department on a temporary part-time schedule of five-hours a day, four-days a week…. The court agrees with Ellis that her requests for </w:t>
      </w:r>
      <w:proofErr w:type="gramStart"/>
      <w:r>
        <w:t>these accommodations</w:t>
      </w:r>
      <w:proofErr w:type="gramEnd"/>
      <w:r>
        <w:t xml:space="preserve"> were plausibly reasonable.</w:t>
      </w:r>
    </w:p>
    <w:p w14:paraId="4EE49E8C" w14:textId="77777777" w:rsidR="003F788B" w:rsidRDefault="003F788B" w:rsidP="003F788B">
      <w:pPr>
        <w:pStyle w:val="NormalWeb"/>
        <w:ind w:left="720"/>
      </w:pPr>
      <w:r>
        <w:rPr>
          <w:rStyle w:val="Strong"/>
        </w:rPr>
        <w:t>***</w:t>
      </w:r>
    </w:p>
    <w:p w14:paraId="33A33C7F" w14:textId="77777777" w:rsidR="003F788B" w:rsidRDefault="003F788B" w:rsidP="003F788B">
      <w:pPr>
        <w:pStyle w:val="NormalWeb"/>
        <w:ind w:left="720"/>
      </w:pPr>
      <w:r>
        <w:rPr>
          <w:rStyle w:val="Strong"/>
        </w:rPr>
        <w:t xml:space="preserve">DISABILITY DISCRIMINATION AND RETALIATION… </w:t>
      </w:r>
      <w:r>
        <w:t xml:space="preserve">Thus, a jury could find that the City's reason for termination was pretextual. In sum, Ellis has established that she has viable </w:t>
      </w:r>
      <w:proofErr w:type="gramStart"/>
      <w:r>
        <w:t>discrimination</w:t>
      </w:r>
      <w:proofErr w:type="gramEnd"/>
      <w:r>
        <w:t xml:space="preserve"> and retaliation claims under the ADA. As a result, all three of her ADA claims may proceed to trial.</w:t>
      </w:r>
    </w:p>
    <w:p w14:paraId="1854B399" w14:textId="77777777" w:rsidR="003F788B" w:rsidRDefault="003F788B" w:rsidP="003F788B">
      <w:pPr>
        <w:pStyle w:val="NormalWeb"/>
        <w:ind w:left="720"/>
      </w:pPr>
      <w:r>
        <w:rPr>
          <w:rStyle w:val="Strong"/>
        </w:rPr>
        <w:t>***</w:t>
      </w:r>
    </w:p>
    <w:p w14:paraId="047AB7CC" w14:textId="77777777" w:rsidR="003F788B" w:rsidRDefault="003F788B" w:rsidP="003F788B">
      <w:pPr>
        <w:pStyle w:val="NormalWeb"/>
        <w:ind w:left="720"/>
      </w:pPr>
      <w:r>
        <w:rPr>
          <w:rStyle w:val="Strong"/>
        </w:rPr>
        <w:t xml:space="preserve">SEX DISCRIMINATION AND RETALIATION CLAIMS… </w:t>
      </w:r>
      <w:r>
        <w:t>In sum, Ellis establishes prima facie cases of sex discrimination and retaliation under Title VII and § 1983. Because she presents evidence tending to show that Defendants' proffered reasons for taking adverse employment actions against her are pretextual, her claims survive summary judgment.</w:t>
      </w:r>
    </w:p>
    <w:p w14:paraId="72E9BDF6" w14:textId="77777777" w:rsidR="003F788B" w:rsidRDefault="003F788B" w:rsidP="003F788B">
      <w:pPr>
        <w:pStyle w:val="NormalWeb"/>
        <w:ind w:left="720"/>
      </w:pPr>
      <w:r>
        <w:rPr>
          <w:rStyle w:val="Strong"/>
        </w:rPr>
        <w:t>***</w:t>
      </w:r>
    </w:p>
    <w:p w14:paraId="0C2970B2" w14:textId="77777777" w:rsidR="003F788B" w:rsidRDefault="003F788B" w:rsidP="003F788B">
      <w:pPr>
        <w:pStyle w:val="NormalWeb"/>
        <w:ind w:left="720"/>
      </w:pPr>
      <w:r>
        <w:rPr>
          <w:rStyle w:val="Strong"/>
        </w:rPr>
        <w:t xml:space="preserve">HOSTILE WORK ENVIRONMENT CLAIMS… </w:t>
      </w:r>
      <w:r>
        <w:t xml:space="preserve">A jury could find that this treatment of Ellis, along with the sexist insults lobbed her way, significantly impeded her ability to work and, thus, constituted a hostile work environment.” </w:t>
      </w:r>
      <w:hyperlink r:id="rId1735" w:history="1">
        <w:r>
          <w:rPr>
            <w:rStyle w:val="Hyperlink"/>
          </w:rPr>
          <w:t>https://public.fastcase.com/J%2FJP6pdidelsXxEE4k%2BLMkpx4Tc1lqsghN0FDa1gb3wMFLVhhLo5FWrnkmMj5%2F%2BBVQtdjf8pXYj06hYu%2BnGwGl7dOZtJUpPBXfNPjPwixAs%3D?utm_medium=email&amp;_hsmi=226712652&amp;_hsenc=p2ANqtz--C2h-0vhrKpmBZ-sfV5NXYWdtLuQagg3T7ZppydHXd8lRUQhheIKUZNhzvLNm0zeXmkYrDIZXEzHKpdEczURzqVa6roA&amp;utm_content=226712652&amp;utm_source=hs_email</w:t>
        </w:r>
      </w:hyperlink>
      <w:r>
        <w:t xml:space="preserve"> </w:t>
      </w:r>
    </w:p>
    <w:p w14:paraId="2CD5068D" w14:textId="77777777" w:rsidR="003F788B" w:rsidRDefault="003F788B" w:rsidP="003F788B">
      <w:pPr>
        <w:pStyle w:val="NormalWeb"/>
      </w:pPr>
      <w:r>
        <w:t xml:space="preserve">The Court noted that shortly after she was fired, the three-member Civil Service Commission met (Match 18, 2017) and unanimously voted to overturn and reverse Ellis's demotion. </w:t>
      </w:r>
    </w:p>
    <w:p w14:paraId="0369174F" w14:textId="77777777" w:rsidR="003F788B" w:rsidRDefault="003F788B" w:rsidP="003F788B">
      <w:pPr>
        <w:pStyle w:val="NormalWeb"/>
        <w:ind w:firstLine="720"/>
      </w:pPr>
      <w:r>
        <w:t>“The CSC ultimately found that:</w:t>
      </w:r>
    </w:p>
    <w:p w14:paraId="71AFDB22" w14:textId="77777777" w:rsidR="003F788B" w:rsidRDefault="003F788B" w:rsidP="003F788B">
      <w:pPr>
        <w:spacing w:after="100" w:line="240" w:lineRule="auto"/>
        <w:ind w:left="720" w:firstLine="720"/>
        <w:rPr>
          <w:rFonts w:ascii="Times New Roman" w:eastAsia="Times New Roman" w:hAnsi="Times New Roman"/>
          <w:sz w:val="24"/>
          <w:szCs w:val="24"/>
        </w:rPr>
      </w:pPr>
      <w:proofErr w:type="gramStart"/>
      <w:r>
        <w:rPr>
          <w:rFonts w:ascii="Times New Roman" w:eastAsia="Times New Roman" w:hAnsi="Times New Roman"/>
          <w:sz w:val="24"/>
          <w:szCs w:val="24"/>
        </w:rPr>
        <w:t>1. ‘</w:t>
      </w:r>
      <w:proofErr w:type="gramEnd"/>
      <w:r>
        <w:rPr>
          <w:rFonts w:ascii="Times New Roman" w:eastAsia="Times New Roman" w:hAnsi="Times New Roman"/>
          <w:sz w:val="24"/>
          <w:szCs w:val="24"/>
        </w:rPr>
        <w:t xml:space="preserve">McMicken was looking for reasons to discipline Ellis.’ </w:t>
      </w:r>
    </w:p>
    <w:p w14:paraId="0276925A" w14:textId="77777777" w:rsidR="003F788B" w:rsidRDefault="003F788B" w:rsidP="003F788B">
      <w:pPr>
        <w:spacing w:after="100" w:line="240" w:lineRule="auto"/>
        <w:ind w:left="1440"/>
        <w:rPr>
          <w:rFonts w:ascii="Times New Roman" w:eastAsia="Times New Roman" w:hAnsi="Times New Roman"/>
          <w:sz w:val="24"/>
          <w:szCs w:val="24"/>
        </w:rPr>
      </w:pPr>
      <w:proofErr w:type="gramStart"/>
      <w:r>
        <w:rPr>
          <w:rFonts w:ascii="Times New Roman" w:eastAsia="Times New Roman" w:hAnsi="Times New Roman"/>
          <w:sz w:val="24"/>
          <w:szCs w:val="24"/>
        </w:rPr>
        <w:t>2. ‘</w:t>
      </w:r>
      <w:proofErr w:type="gramEnd"/>
      <w:r>
        <w:rPr>
          <w:rFonts w:ascii="Times New Roman" w:eastAsia="Times New Roman" w:hAnsi="Times New Roman"/>
          <w:sz w:val="24"/>
          <w:szCs w:val="24"/>
        </w:rPr>
        <w:t>[A]legations of Ellis' lack of performance are not supported by substantial evidence.’</w:t>
      </w:r>
    </w:p>
    <w:p w14:paraId="19D948DC" w14:textId="77777777" w:rsidR="003F788B" w:rsidRDefault="003F788B" w:rsidP="003F788B">
      <w:pPr>
        <w:spacing w:after="100"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 xml:space="preserve">3. The reasons for Ellis's demotion were ‘trivial in nature.’ </w:t>
      </w:r>
    </w:p>
    <w:p w14:paraId="3FCCE250"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4. The ‘allegations appear to the Commission to be an attempt to manufacture misconduct and allege failure of performance to justify the disciplinary action, when there were no performance issues.’ </w:t>
      </w:r>
    </w:p>
    <w:p w14:paraId="3212DEFF" w14:textId="77777777" w:rsidR="003F788B" w:rsidRDefault="003F788B" w:rsidP="003F788B">
      <w:pPr>
        <w:spacing w:after="100" w:line="240" w:lineRule="auto"/>
        <w:ind w:left="720"/>
        <w:rPr>
          <w:rFonts w:ascii="Times New Roman" w:hAnsi="Times New Roman"/>
          <w:sz w:val="24"/>
          <w:szCs w:val="24"/>
        </w:rPr>
      </w:pPr>
      <w:r>
        <w:rPr>
          <w:rFonts w:ascii="Times New Roman" w:hAnsi="Times New Roman"/>
          <w:sz w:val="24"/>
          <w:szCs w:val="24"/>
        </w:rPr>
        <w:t>Although the CSC overturned Plaintiff's demotion, the Department never restored Ellis to her original position or reinstated her, since by this time her employment had been terminated. Ultimately, she was only paid the salary that she lost due to her demotion -$7,166.74.”</w:t>
      </w:r>
    </w:p>
    <w:p w14:paraId="19019E80" w14:textId="77777777" w:rsidR="003F788B" w:rsidRDefault="003F788B" w:rsidP="003F788B">
      <w:pPr>
        <w:spacing w:after="100" w:line="240" w:lineRule="auto"/>
        <w:rPr>
          <w:rFonts w:ascii="Times New Roman" w:hAnsi="Times New Roman"/>
          <w:b/>
          <w:bCs/>
          <w:sz w:val="24"/>
          <w:szCs w:val="24"/>
        </w:rPr>
      </w:pPr>
    </w:p>
    <w:p w14:paraId="6E2A6160" w14:textId="77777777" w:rsidR="003F788B" w:rsidRDefault="003F788B" w:rsidP="003F788B">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Lessons Learned: The case will now proceed to trial, unless settled. </w:t>
      </w:r>
    </w:p>
    <w:p w14:paraId="6AE687A6" w14:textId="77777777" w:rsidR="003F788B" w:rsidRDefault="003F788B" w:rsidP="003F788B">
      <w:pPr>
        <w:pStyle w:val="NormalWeb"/>
      </w:pPr>
    </w:p>
    <w:p w14:paraId="18EEC093" w14:textId="2684E23B" w:rsidR="003F788B" w:rsidRDefault="003F788B" w:rsidP="005C30A4">
      <w:pPr>
        <w:pStyle w:val="NoSpacing"/>
        <w:rPr>
          <w:rFonts w:ascii="Arial Black" w:hAnsi="Arial Black"/>
          <w:sz w:val="24"/>
          <w:szCs w:val="24"/>
        </w:rPr>
      </w:pPr>
    </w:p>
    <w:p w14:paraId="52E7C0A2" w14:textId="1E1B2FD7" w:rsidR="003F788B" w:rsidRDefault="003F788B" w:rsidP="005C30A4">
      <w:pPr>
        <w:pStyle w:val="NoSpacing"/>
        <w:rPr>
          <w:rFonts w:ascii="Arial Black" w:hAnsi="Arial Black"/>
          <w:sz w:val="24"/>
          <w:szCs w:val="24"/>
        </w:rPr>
      </w:pPr>
      <w:r>
        <w:rPr>
          <w:rFonts w:ascii="Arial Black" w:hAnsi="Arial Black"/>
          <w:sz w:val="24"/>
          <w:szCs w:val="24"/>
        </w:rPr>
        <w:t>9-27</w:t>
      </w:r>
    </w:p>
    <w:p w14:paraId="1406FFEF" w14:textId="6B9534F9" w:rsidR="003F788B" w:rsidRDefault="003F788B" w:rsidP="005C30A4">
      <w:pPr>
        <w:pStyle w:val="NoSpacing"/>
        <w:rPr>
          <w:rFonts w:ascii="Arial Black" w:hAnsi="Arial Black"/>
          <w:sz w:val="24"/>
          <w:szCs w:val="24"/>
        </w:rPr>
      </w:pPr>
    </w:p>
    <w:p w14:paraId="7713B1A6"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UT: ADA – PARAMEDIC BACK INJURY – LIGHT DUTY – CLAIMS GIVEN HEAVY DUTIES – CASE MAY PROCEED </w:t>
      </w:r>
    </w:p>
    <w:p w14:paraId="49932A5C" w14:textId="77777777" w:rsidR="003F788B" w:rsidRDefault="003F788B" w:rsidP="003F788B">
      <w:pPr>
        <w:pStyle w:val="NormalWeb"/>
      </w:pPr>
      <w:r>
        <w:t xml:space="preserve">On March 28, 2023, in </w:t>
      </w:r>
      <w:r>
        <w:rPr>
          <w:u w:val="single"/>
        </w:rPr>
        <w:t>Patrick John v. Murray City</w:t>
      </w:r>
      <w:r>
        <w:t xml:space="preserve">, U.S. Magistrate Judge Daphne A. Oberg, U.S. District Court for District of Utah, held that his ADA lawsuit may proceed to trial on his claim that after a back injury on Nov. 24, 2017, he was on light duty for six weeks, and was inappropriately ordered to perform tasks like moving boxes that caused him pain. The </w:t>
      </w:r>
      <w:proofErr w:type="gramStart"/>
      <w:r>
        <w:t>City</w:t>
      </w:r>
      <w:proofErr w:type="gramEnd"/>
      <w:r>
        <w:t xml:space="preserve"> fired him in September 2018, after he was on probation, for “attitude, reckless driving, lack of initiative, and the Needle Stick Incident.”  </w:t>
      </w:r>
    </w:p>
    <w:p w14:paraId="2DCCEB68" w14:textId="77777777" w:rsidR="003F788B" w:rsidRDefault="003F788B" w:rsidP="003F788B">
      <w:pPr>
        <w:pStyle w:val="NormalWeb"/>
        <w:ind w:left="540"/>
      </w:pPr>
      <w:r>
        <w:t xml:space="preserve">While the Judge granted City’s motion for summary judgment on his </w:t>
      </w:r>
      <w:proofErr w:type="gramStart"/>
      <w:r>
        <w:t>claim</w:t>
      </w:r>
      <w:proofErr w:type="gramEnd"/>
      <w:r>
        <w:t xml:space="preserve"> he was fired in retaliation for his six workers comp claims (Dec. 2007; April 2016; Oct. 2016, Nov. 2017, June 2018), the Judge ordered case to trial on whether the </w:t>
      </w:r>
      <w:proofErr w:type="gramStart"/>
      <w:r>
        <w:t>City</w:t>
      </w:r>
      <w:proofErr w:type="gramEnd"/>
      <w:r>
        <w:t xml:space="preserve"> properly accommodated him while on light duty following another back injury on November 24, 2017. The Judge held that following testimony by the paramedic is “sufficient to create a genuine issue of material fact concerning whether the City accommodated John after his November 2017 injury.” *** On December 4, he went to Clements [his Physician Assistant] for treatment. Clements issued a work restriction note recommending the paramedic be allowed ‘to modify bending, lifting, twisting, carrying, stooping, kneeling as tolerated while being treated for the next 6-8 weeks.’  *** “During the restriction period after this injury, John met with Harris [who later became Fire Chief] ‘every morning’ to discuss light-duty work assignments for the day. At several of these meetings, John remembers Harris making disparaging remarks. For example, Harris told John that light-duty assignments were ‘unacceptable, especially [for] somebody on probation’ who was trying to prove he wanted to keep his job. According to John, Harris seemed ‘really frustrated and angry’ and repeatedly said some version of, ‘Well what are we going to do with you today?’ Harris also ‘forced him to complete tasks,’ like cleaning the gear room, ‘that were outside of his medical restrictions, causing him further pain.’”</w:t>
      </w:r>
      <w:hyperlink r:id="rId1736" w:history="1">
        <w:r>
          <w:rPr>
            <w:rStyle w:val="Hyperlink"/>
          </w:rPr>
          <w:t>https://public.fastcase.com/J%2FJP6pdidelsXxEE4k%2BLMiteJGWvZUfwvvNNihi30%2B3WDxUCsaXKSaCpKvBtAgs2vLiA9OVuPhL49GE7aECM8IIU6kbJlailTpTCbBqx2w4%3D?utm_medium=email&amp;_hsmi=226712652&amp;_hsenc=p2ANqtz---SEadQ3HE9lUqxxQW5cr7Vybxx0tHPHEXMPHfSJcPHzXu-t4fnJYchJuK4CNgA9WWUPQ6Jxn6Xff3x8kPfGcAZk9K8A&amp;utm_content=226712652&amp;utm_source=hs_email</w:t>
        </w:r>
      </w:hyperlink>
      <w:r>
        <w:t xml:space="preserve"> </w:t>
      </w:r>
    </w:p>
    <w:p w14:paraId="296FC269" w14:textId="77777777" w:rsidR="003F788B" w:rsidRDefault="003F788B" w:rsidP="003F788B">
      <w:pPr>
        <w:pStyle w:val="NormalWeb"/>
        <w:ind w:firstLine="540"/>
      </w:pPr>
      <w:r>
        <w:rPr>
          <w:rStyle w:val="Strong"/>
        </w:rPr>
        <w:t>“John's Monthly Probation Reports</w:t>
      </w:r>
      <w:r>
        <w:t xml:space="preserve"> </w:t>
      </w:r>
    </w:p>
    <w:p w14:paraId="3F81F084" w14:textId="77777777" w:rsidR="003F788B" w:rsidRDefault="003F788B" w:rsidP="003F788B">
      <w:pPr>
        <w:pStyle w:val="NormalWeb"/>
        <w:ind w:left="540"/>
      </w:pPr>
      <w:r>
        <w:t xml:space="preserve">John continued to receive monthly performance reviews as part of his probation. From October 2017 through December 2017, the reports were ‘mixed.’ However, from January through May 2018, John's supervisor noted he was improving and rated him as ‘meeting expectations.’ John signed each of these reports. </w:t>
      </w:r>
    </w:p>
    <w:p w14:paraId="76F4BE88" w14:textId="77777777" w:rsidR="003F788B" w:rsidRDefault="003F788B" w:rsidP="003F788B">
      <w:pPr>
        <w:pStyle w:val="NormalWeb"/>
        <w:ind w:left="540"/>
      </w:pPr>
      <w:r>
        <w:t xml:space="preserve">In the June 2018 report, the supervisor rated John as ‘needing improvement’ in the categories of safety, following instructions, and fire skills. These ratings were based on three incidents. </w:t>
      </w:r>
    </w:p>
    <w:p w14:paraId="263E6BA8" w14:textId="77777777" w:rsidR="003F788B" w:rsidRDefault="003F788B" w:rsidP="003F788B">
      <w:pPr>
        <w:pStyle w:val="NormalWeb"/>
        <w:ind w:left="540"/>
      </w:pPr>
      <w:r>
        <w:t xml:space="preserve">First, John ‘jeopardized his safety during a defensive fire operation’ when he entered a burning and abandoned building that his captain and crew told him not to enter (the Fire Incident). This was an ‘unreasonable risk’ because there was a partially collapsed wall and ‘heavy smoke.’ </w:t>
      </w:r>
    </w:p>
    <w:p w14:paraId="43B4D66F" w14:textId="77777777" w:rsidR="003F788B" w:rsidRDefault="003F788B" w:rsidP="003F788B">
      <w:pPr>
        <w:pStyle w:val="NormalWeb"/>
        <w:ind w:left="540"/>
      </w:pPr>
      <w:r>
        <w:t xml:space="preserve">Second, John accidentally exposed himself to a needlestick by recapping a bent needle (the Needle Stick Incident). The supervisor explained that recapping a bent needle is ‘against standard paramedic practice and should be avoided.’ </w:t>
      </w:r>
    </w:p>
    <w:p w14:paraId="0B934854" w14:textId="77777777" w:rsidR="003F788B" w:rsidRDefault="003F788B" w:rsidP="003F788B">
      <w:pPr>
        <w:pStyle w:val="NormalWeb"/>
        <w:ind w:left="540"/>
      </w:pPr>
      <w:r>
        <w:t>Third, the supervisor received reports that John had ‘been driving the ambulance recklessly and going back to his old ways with attitude.’</w:t>
      </w:r>
    </w:p>
    <w:p w14:paraId="2C4A767D" w14:textId="77777777" w:rsidR="003F788B" w:rsidRDefault="003F788B" w:rsidP="003F788B">
      <w:pPr>
        <w:pStyle w:val="NormalWeb"/>
        <w:ind w:left="540"/>
      </w:pPr>
      <w:r>
        <w:t>***</w:t>
      </w:r>
    </w:p>
    <w:p w14:paraId="3FB06730" w14:textId="77777777" w:rsidR="003F788B" w:rsidRDefault="003F788B" w:rsidP="003F788B">
      <w:pPr>
        <w:pStyle w:val="NormalWeb"/>
        <w:ind w:firstLine="540"/>
      </w:pPr>
      <w:r>
        <w:rPr>
          <w:rStyle w:val="Strong"/>
        </w:rPr>
        <w:t>The City Terminates John</w:t>
      </w:r>
      <w:r>
        <w:t xml:space="preserve"> </w:t>
      </w:r>
    </w:p>
    <w:p w14:paraId="6D7364BE" w14:textId="77777777" w:rsidR="003F788B" w:rsidRDefault="003F788B" w:rsidP="003F788B">
      <w:pPr>
        <w:pStyle w:val="NormalWeb"/>
        <w:ind w:left="540"/>
      </w:pPr>
      <w:r>
        <w:t xml:space="preserve">John's pre-disciplinary hearing was on August 28, 2018. At the hearing, John was able to present his ‘version of the </w:t>
      </w:r>
      <w:proofErr w:type="gramStart"/>
      <w:r>
        <w:t>facts’</w:t>
      </w:r>
      <w:proofErr w:type="gramEnd"/>
      <w:r>
        <w:t xml:space="preserve"> and other information he considered relevant</w:t>
      </w:r>
      <w:proofErr w:type="gramStart"/>
      <w:r>
        <w:t xml:space="preserve">.[Fire Chief] </w:t>
      </w:r>
      <w:proofErr w:type="gramEnd"/>
      <w:r>
        <w:t xml:space="preserve"> Harris, two assistant chiefs, and the City's human resources director attended the hearing and later investigated concerns John raised. </w:t>
      </w:r>
    </w:p>
    <w:p w14:paraId="7EECB1B9" w14:textId="77777777" w:rsidR="003F788B" w:rsidRDefault="003F788B" w:rsidP="003F788B">
      <w:pPr>
        <w:pStyle w:val="NormalWeb"/>
        <w:ind w:left="540"/>
      </w:pPr>
      <w:r>
        <w:t xml:space="preserve">After the investigation, the </w:t>
      </w:r>
      <w:proofErr w:type="gramStart"/>
      <w:r>
        <w:t>City</w:t>
      </w:r>
      <w:proofErr w:type="gramEnd"/>
      <w:r>
        <w:t xml:space="preserve"> terminated John on September 6, 2018. </w:t>
      </w:r>
      <w:r>
        <w:rPr>
          <w:vertAlign w:val="superscript"/>
        </w:rPr>
        <w:t>]</w:t>
      </w:r>
      <w:r>
        <w:t>Harris wrote John a letter explaining the reasons for the termination. For example, the letter described concerns about attitude, reckless driving, lack of initiative, and the Needle Stick Incident.</w:t>
      </w:r>
      <w:r>
        <w:rPr>
          <w:vertAlign w:val="superscript"/>
        </w:rPr>
        <w:t>”</w:t>
      </w:r>
    </w:p>
    <w:p w14:paraId="596B0B34" w14:textId="77777777" w:rsidR="003F788B" w:rsidRDefault="003F788B" w:rsidP="003F788B">
      <w:pPr>
        <w:pStyle w:val="NormalWeb"/>
        <w:rPr>
          <w:b/>
          <w:bCs/>
        </w:rPr>
      </w:pPr>
      <w:r>
        <w:rPr>
          <w:b/>
          <w:bCs/>
        </w:rPr>
        <w:t xml:space="preserve">Legal Lesson Learned: When accommodating a paramedic with light duty for a back injury, assign the medic duties consistent with recovery for that injury. </w:t>
      </w:r>
    </w:p>
    <w:p w14:paraId="7A99B39C" w14:textId="77777777" w:rsidR="003F788B" w:rsidRDefault="003F788B" w:rsidP="003F788B">
      <w:pPr>
        <w:pStyle w:val="NormalWeb"/>
      </w:pPr>
    </w:p>
    <w:p w14:paraId="561E1F0B" w14:textId="7B1BC8F5" w:rsidR="003F788B" w:rsidRDefault="003F788B" w:rsidP="005C30A4">
      <w:pPr>
        <w:pStyle w:val="NoSpacing"/>
        <w:rPr>
          <w:rFonts w:ascii="Arial Black" w:hAnsi="Arial Black"/>
          <w:sz w:val="24"/>
          <w:szCs w:val="24"/>
        </w:rPr>
      </w:pPr>
    </w:p>
    <w:p w14:paraId="73F94D85" w14:textId="53D17EB9" w:rsidR="003F788B" w:rsidRDefault="003F788B" w:rsidP="005C30A4">
      <w:pPr>
        <w:pStyle w:val="NoSpacing"/>
        <w:rPr>
          <w:rFonts w:ascii="Arial Black" w:hAnsi="Arial Black"/>
          <w:sz w:val="24"/>
          <w:szCs w:val="24"/>
        </w:rPr>
      </w:pPr>
      <w:r>
        <w:rPr>
          <w:rFonts w:ascii="Arial Black" w:hAnsi="Arial Black"/>
          <w:sz w:val="24"/>
          <w:szCs w:val="24"/>
        </w:rPr>
        <w:t>9-26</w:t>
      </w:r>
    </w:p>
    <w:p w14:paraId="26F75A3F" w14:textId="7A4DF0F5" w:rsidR="003F788B" w:rsidRDefault="003F788B" w:rsidP="005C30A4">
      <w:pPr>
        <w:pStyle w:val="NoSpacing"/>
        <w:rPr>
          <w:rFonts w:ascii="Arial Black" w:hAnsi="Arial Black"/>
          <w:sz w:val="24"/>
          <w:szCs w:val="24"/>
        </w:rPr>
      </w:pPr>
    </w:p>
    <w:p w14:paraId="125217A0"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IL: ADA - CHICAGO FF – FAILED ANNUAL STRESS TEST – CO-PAYS PRIVATE TESTING WHILE ON PAID LEAVE – NO VIOL. </w:t>
      </w:r>
    </w:p>
    <w:p w14:paraId="7260FF28" w14:textId="77777777" w:rsidR="003F788B" w:rsidRDefault="003F788B" w:rsidP="003F788B">
      <w:pPr>
        <w:pStyle w:val="NormalWeb"/>
      </w:pPr>
      <w:r>
        <w:t xml:space="preserve">On March 20, 2023, in </w:t>
      </w:r>
      <w:r>
        <w:rPr>
          <w:u w:val="single"/>
        </w:rPr>
        <w:t>Darren Verderber v. City of Chicago</w:t>
      </w:r>
      <w:r>
        <w:t xml:space="preserve">, U.S. District Court Judge Franklin U. Valderrama, U.S., District Court for Northern District of Illinois, Eastern Division, granted the City’s motion to dismiss.  Even though the firefighter had to submit numerous test results, and personally pay insurance co-pays, there was no “materially adverse employment action” as required to bring ADA lawsuit. </w:t>
      </w:r>
    </w:p>
    <w:p w14:paraId="0E299DEA" w14:textId="77777777" w:rsidR="003F788B" w:rsidRDefault="003F788B" w:rsidP="003F788B">
      <w:pPr>
        <w:pStyle w:val="NormalWeb"/>
      </w:pPr>
      <w:r>
        <w:t>The Court held:</w:t>
      </w:r>
    </w:p>
    <w:p w14:paraId="6D9BE190" w14:textId="77777777" w:rsidR="003F788B" w:rsidRDefault="003F788B" w:rsidP="003F788B">
      <w:pPr>
        <w:pStyle w:val="NormalWeb"/>
        <w:ind w:left="720"/>
      </w:pPr>
      <w:r>
        <w:t xml:space="preserve">“The Court agrees with the </w:t>
      </w:r>
      <w:proofErr w:type="gramStart"/>
      <w:r>
        <w:t>City</w:t>
      </w:r>
      <w:proofErr w:type="gramEnd"/>
      <w:r>
        <w:t xml:space="preserve"> that Verderber has failed to plausibly allege a materially adverse employment action. True, Verderber has alleged that he was required to undergo a series of medical examinations after his failed physical exam. But courts have repeatedly held that the ADA permits fitness for duty examinations for public safety employees….Nor has he alleged that other similarly situated firefighters were subjected to less testing after a failed stress test. Furthermore, in his Complaint, Verderber alleges that he was warned by the CFD how ‘physically demanding’ his job was, which supports that the series of medical examinations were within the scope of Verderber's employment…. Thus, Verderber has not plausibly alleged that the series of medical examination requirements was a materially adverse employment action. *** Apparently, the issue of whether payment of out-of-pocket expenses can constitute an adverse employment action has not been addressed in the Seventh Circuit.  In short, Verderber has not plausibly alleged that the out-of-pocket medical costs are a materially adverse employment action.           All in all, Verderber has not plausibly pled a materially adverse employment </w:t>
      </w:r>
      <w:proofErr w:type="gramStart"/>
      <w:r>
        <w:t>action, and</w:t>
      </w:r>
      <w:proofErr w:type="gramEnd"/>
      <w:r>
        <w:t xml:space="preserve"> so has not stated a claim under the ADA.  </w:t>
      </w:r>
      <w:hyperlink r:id="rId1737" w:history="1">
        <w:r>
          <w:rPr>
            <w:rStyle w:val="Hyperlink"/>
          </w:rPr>
          <w:t>https://law.justia.com/cases/federal/district-courts/illinois/ilndce/1:2021cv06211/409083/23/</w:t>
        </w:r>
      </w:hyperlink>
      <w:r>
        <w:t xml:space="preserve"> </w:t>
      </w:r>
    </w:p>
    <w:p w14:paraId="10293D10" w14:textId="77777777" w:rsidR="003F788B" w:rsidRDefault="003F788B" w:rsidP="003F788B">
      <w:pPr>
        <w:pStyle w:val="NormalWeb"/>
        <w:ind w:left="720"/>
      </w:pPr>
      <w:r>
        <w:t>CFD requires members of the Special Operations Division to undergo an annual physical exam…. The physical exam includes a stress test… Verderber underwent his annual physical exam on July 23, 2020…. Verderber alleges that during the stress test portion of the July 23 exam, one of the cardiac monitor leads fell off Verderber's chest, negatively impacting the results and causing Verderber to ‘not satisfactorily pass’ the stress test</w:t>
      </w:r>
      <w:proofErr w:type="gramStart"/>
      <w:r>
        <w:t>…..</w:t>
      </w:r>
      <w:proofErr w:type="gramEnd"/>
      <w:r>
        <w:t xml:space="preserve"> That same day, Verderber requested a second stress test, but his request was denied. </w:t>
      </w:r>
    </w:p>
    <w:p w14:paraId="19184A15" w14:textId="77777777" w:rsidR="003F788B" w:rsidRDefault="003F788B" w:rsidP="003F788B">
      <w:pPr>
        <w:pStyle w:val="NormalWeb"/>
        <w:ind w:left="720"/>
      </w:pPr>
      <w:r>
        <w:t>***</w:t>
      </w:r>
    </w:p>
    <w:p w14:paraId="53DED51B" w14:textId="77777777" w:rsidR="003F788B" w:rsidRDefault="003F788B" w:rsidP="003F788B">
      <w:pPr>
        <w:pStyle w:val="NormalWeb"/>
        <w:ind w:left="720"/>
      </w:pPr>
      <w:r>
        <w:t>From August 2020 to February 2021, Verderber was required to submit to various medical consultations, examinations and tests and obtain numerous medical releases</w:t>
      </w:r>
      <w:proofErr w:type="gramStart"/>
      <w:r>
        <w:t>…..</w:t>
      </w:r>
      <w:proofErr w:type="gramEnd"/>
      <w:r>
        <w:t xml:space="preserve"> Beginning on July 31, 2020, Verderber scheduled a medical consultation with his general practitioner, after which the doctor provided a medical release authorizing his return to work…. Verderber also scheduled an appointment with his cardiologist on August 3, 2020, who also gave him a written medical release</w:t>
      </w:r>
      <w:proofErr w:type="gramStart"/>
      <w:r>
        <w:t>…..</w:t>
      </w:r>
      <w:proofErr w:type="gramEnd"/>
      <w:r>
        <w:t xml:space="preserve"> However, after submitting both medical releases on August 4, 2020, the CFD Medical Division informed Verderber that the medical releases were insufficient without an echocardiogram.</w:t>
      </w:r>
    </w:p>
    <w:p w14:paraId="26A23F9B" w14:textId="77777777" w:rsidR="003F788B" w:rsidRDefault="003F788B" w:rsidP="003F788B">
      <w:pPr>
        <w:pStyle w:val="NormalWeb"/>
        <w:ind w:left="720"/>
      </w:pPr>
      <w:r>
        <w:t>***</w:t>
      </w:r>
    </w:p>
    <w:p w14:paraId="396EEC22" w14:textId="77777777" w:rsidR="003F788B" w:rsidRDefault="003F788B" w:rsidP="003F788B">
      <w:pPr>
        <w:pStyle w:val="NormalWeb"/>
        <w:ind w:left="720"/>
      </w:pPr>
      <w:r>
        <w:t xml:space="preserve">On August 21, 2020, Verderber saw a new cardiologist who performed an echocardiogram that produced normal and within range test results…. Following submission of the normal echocardiogram's results to the CFD, Verderber was informed on September 28, </w:t>
      </w:r>
      <w:proofErr w:type="gramStart"/>
      <w:r>
        <w:t>2020</w:t>
      </w:r>
      <w:proofErr w:type="gramEnd"/>
      <w:r>
        <w:t xml:space="preserve"> that he also needed to complete a Thoracic Aneurysm test…. Verderber complied, and submitted to the test, which came back normal and within range…. However, the CFD still did not allow Verderber to return to work and warned him about the ‘physically demanding’ work of his job….  Verderber underwent additional testing between October 29, 2020, when he was placed on extended layup, and February 25, 2021</w:t>
      </w:r>
      <w:proofErr w:type="gramStart"/>
      <w:r>
        <w:t>…..</w:t>
      </w:r>
      <w:proofErr w:type="gramEnd"/>
      <w:r>
        <w:t xml:space="preserve"> Verderber was told in late February 2021 to obtain a new medical release from his primary cardiologist, and Verderber complied. </w:t>
      </w:r>
    </w:p>
    <w:p w14:paraId="6F65B17C" w14:textId="77777777" w:rsidR="003F788B" w:rsidRDefault="003F788B" w:rsidP="003F788B">
      <w:pPr>
        <w:pStyle w:val="NormalWeb"/>
        <w:ind w:left="720"/>
      </w:pPr>
      <w:r>
        <w:t xml:space="preserve">Verderber was allowed to return to duty on February 26, 2021, following his final medical release from his cardiologist…. Although Verderber received full pay and benefits from the CFD during his layup, Verderber was unable to </w:t>
      </w:r>
      <w:proofErr w:type="gramStart"/>
      <w:r>
        <w:t>work</w:t>
      </w:r>
      <w:proofErr w:type="gramEnd"/>
      <w:r>
        <w:t xml:space="preserve"> his secondary employment during the same period due to the conditions of his secondary employment </w:t>
      </w:r>
      <w:proofErr w:type="gramStart"/>
      <w:r>
        <w:t>contract.”</w:t>
      </w:r>
      <w:proofErr w:type="gramEnd"/>
    </w:p>
    <w:p w14:paraId="2B56D9C9" w14:textId="77777777" w:rsidR="003F788B" w:rsidRDefault="003F788B" w:rsidP="003F788B">
      <w:pPr>
        <w:pStyle w:val="NormalWeb"/>
        <w:rPr>
          <w:b/>
          <w:bCs/>
        </w:rPr>
      </w:pPr>
      <w:r>
        <w:rPr>
          <w:b/>
          <w:bCs/>
        </w:rPr>
        <w:t xml:space="preserve">Legal Lessons Learned: The ADA is not violated when a firefighter incurs co-pays to prove he is physically fit for a physically demanding position. </w:t>
      </w:r>
    </w:p>
    <w:p w14:paraId="1B21F18D" w14:textId="77777777" w:rsidR="003F788B" w:rsidRDefault="003F788B" w:rsidP="005C30A4">
      <w:pPr>
        <w:pStyle w:val="NoSpacing"/>
        <w:rPr>
          <w:rFonts w:ascii="Arial Black" w:hAnsi="Arial Black"/>
          <w:sz w:val="24"/>
          <w:szCs w:val="24"/>
        </w:rPr>
      </w:pPr>
    </w:p>
    <w:p w14:paraId="240E5EF4" w14:textId="77777777" w:rsidR="003F788B" w:rsidRDefault="003F788B" w:rsidP="005C30A4">
      <w:pPr>
        <w:pStyle w:val="NoSpacing"/>
        <w:rPr>
          <w:rFonts w:ascii="Arial Black" w:hAnsi="Arial Black"/>
          <w:sz w:val="24"/>
          <w:szCs w:val="24"/>
        </w:rPr>
      </w:pPr>
    </w:p>
    <w:p w14:paraId="5E1AD4C0" w14:textId="77777777" w:rsidR="003F788B" w:rsidRDefault="003F788B" w:rsidP="005C30A4">
      <w:pPr>
        <w:pStyle w:val="NoSpacing"/>
        <w:rPr>
          <w:rFonts w:ascii="Arial Black" w:hAnsi="Arial Black"/>
          <w:sz w:val="24"/>
          <w:szCs w:val="24"/>
        </w:rPr>
      </w:pPr>
    </w:p>
    <w:p w14:paraId="3690C9B7" w14:textId="565D8DEE" w:rsidR="00C67B2A" w:rsidRDefault="00BA3CDE" w:rsidP="005C30A4">
      <w:pPr>
        <w:pStyle w:val="NoSpacing"/>
        <w:rPr>
          <w:rFonts w:ascii="Arial Black" w:hAnsi="Arial Black"/>
          <w:sz w:val="24"/>
          <w:szCs w:val="24"/>
        </w:rPr>
      </w:pPr>
      <w:r>
        <w:rPr>
          <w:rFonts w:ascii="Arial Black" w:hAnsi="Arial Black"/>
          <w:sz w:val="24"/>
          <w:szCs w:val="24"/>
        </w:rPr>
        <w:t>9-25</w:t>
      </w:r>
    </w:p>
    <w:p w14:paraId="68A12544" w14:textId="77777777" w:rsidR="00BA3CDE" w:rsidRDefault="00BA3CDE" w:rsidP="00BA3CDE">
      <w:pPr>
        <w:pStyle w:val="NormalWeb"/>
        <w:rPr>
          <w:rFonts w:ascii="Arial Black" w:hAnsi="Arial Black"/>
          <w:sz w:val="28"/>
          <w:szCs w:val="28"/>
        </w:rPr>
      </w:pPr>
      <w:r>
        <w:rPr>
          <w:rFonts w:ascii="Arial Black" w:hAnsi="Arial Black"/>
          <w:sz w:val="28"/>
          <w:szCs w:val="28"/>
        </w:rPr>
        <w:t>DE: FF BACK INJURY DURING TRAINING – NO LIGHT DUTY – ON MEDICAL LEAVE 1-YR, FIRED – CASE PROCEED</w:t>
      </w:r>
    </w:p>
    <w:p w14:paraId="091FA235" w14:textId="77777777" w:rsidR="00BA3CDE" w:rsidRDefault="00BA3CDE" w:rsidP="00BA3CDE">
      <w:pPr>
        <w:pStyle w:val="NormalWeb"/>
      </w:pPr>
      <w:r>
        <w:t xml:space="preserve">On Dec. 15, 2022, in </w:t>
      </w:r>
      <w:r w:rsidRPr="00402DBB">
        <w:rPr>
          <w:u w:val="single"/>
        </w:rPr>
        <w:t>Hiram Whatley v. City of Wilmington</w:t>
      </w:r>
      <w:r>
        <w:t>, U.S. District Court for Delaware, Federal Judge Stephanos Bibas, visiting judge from U.S. Court of Appeals for 3</w:t>
      </w:r>
      <w:r w:rsidRPr="00402DBB">
        <w:rPr>
          <w:vertAlign w:val="superscript"/>
        </w:rPr>
        <w:t>rd</w:t>
      </w:r>
      <w:r>
        <w:t xml:space="preserve"> Circuit (Boston), denied the City’s motion to dismiss; pre-trial discovery will now begin.  Hiram Whatley was a Wilmington firefighter for more than two decades, when in June 2019, he injured his back in a training exercise. “This injury kept him out of work and ultimately required surgery. When Whatley asked for light duty, the Fire Chief told him that no such assignment exists in the fire department. Whatley also sought extensions of his medical leave. But in July 2020, Wilmington fired Whatley after more than a year away from </w:t>
      </w:r>
      <w:proofErr w:type="gramStart"/>
      <w:r>
        <w:t>work.”</w:t>
      </w:r>
      <w:proofErr w:type="gramEnd"/>
      <w:r>
        <w:t xml:space="preserve">  Whatley claims the </w:t>
      </w:r>
      <w:proofErr w:type="gramStart"/>
      <w:r>
        <w:t>City</w:t>
      </w:r>
      <w:proofErr w:type="gramEnd"/>
      <w:r>
        <w:t xml:space="preserve"> has offered light duty to him for a previous injury, as well as to other injured firefighters. </w:t>
      </w:r>
    </w:p>
    <w:p w14:paraId="1D9E9270" w14:textId="77777777" w:rsidR="00BA3CDE" w:rsidRDefault="00BA3CDE" w:rsidP="00BA3CDE">
      <w:pPr>
        <w:pStyle w:val="NormalWeb"/>
        <w:ind w:left="720"/>
      </w:pPr>
      <w:r>
        <w:t xml:space="preserve">“Wilmington argues that Whatley is not qualified because his requests for additional leave and light duty were unreasonable accommodations….  At this stage, [his allegation about light duty] is enough to show that light duty is a reasonable accommodation.” </w:t>
      </w:r>
      <w:hyperlink r:id="rId1738" w:history="1">
        <w:r w:rsidRPr="00237809">
          <w:rPr>
            <w:rStyle w:val="Hyperlink"/>
            <w:rFonts w:eastAsiaTheme="majorEastAsia"/>
          </w:rPr>
          <w:t>https://law.justia.com/cases/federal/district-courts/delaware/dedce/1:2021cv01726/77337/17/</w:t>
        </w:r>
      </w:hyperlink>
      <w:r>
        <w:t xml:space="preserve"> </w:t>
      </w:r>
    </w:p>
    <w:p w14:paraId="67649B97" w14:textId="77777777" w:rsidR="00BA3CDE" w:rsidRDefault="00BA3CDE" w:rsidP="00BA3CDE">
      <w:pPr>
        <w:pStyle w:val="NormalWeb"/>
        <w:rPr>
          <w:b/>
          <w:bCs/>
        </w:rPr>
      </w:pPr>
      <w:r w:rsidRPr="00C91DD8">
        <w:rPr>
          <w:b/>
          <w:bCs/>
        </w:rPr>
        <w:t xml:space="preserve">Legal Lesson Learned: </w:t>
      </w:r>
      <w:r>
        <w:rPr>
          <w:b/>
          <w:bCs/>
        </w:rPr>
        <w:t xml:space="preserve"> The case will now proceed to pre-trial discovery.  </w:t>
      </w:r>
    </w:p>
    <w:p w14:paraId="3F3B7FC3" w14:textId="77777777" w:rsidR="00BA3CDE" w:rsidRDefault="00BA3CDE" w:rsidP="005C30A4">
      <w:pPr>
        <w:pStyle w:val="NoSpacing"/>
        <w:rPr>
          <w:rFonts w:ascii="Arial Black" w:hAnsi="Arial Black"/>
          <w:sz w:val="24"/>
          <w:szCs w:val="24"/>
        </w:rPr>
      </w:pPr>
    </w:p>
    <w:p w14:paraId="5D87CB18" w14:textId="77777777" w:rsidR="00BA3CDE" w:rsidRDefault="00BA3CDE" w:rsidP="005C30A4">
      <w:pPr>
        <w:pStyle w:val="NoSpacing"/>
        <w:rPr>
          <w:rFonts w:ascii="Arial Black" w:hAnsi="Arial Black"/>
          <w:sz w:val="24"/>
          <w:szCs w:val="24"/>
        </w:rPr>
      </w:pPr>
    </w:p>
    <w:p w14:paraId="0A1443A1" w14:textId="77777777" w:rsidR="00BA3CDE" w:rsidRDefault="00BA3CDE" w:rsidP="005C30A4">
      <w:pPr>
        <w:pStyle w:val="NoSpacing"/>
        <w:rPr>
          <w:rFonts w:ascii="Arial Black" w:hAnsi="Arial Black"/>
          <w:sz w:val="24"/>
          <w:szCs w:val="24"/>
        </w:rPr>
      </w:pPr>
    </w:p>
    <w:p w14:paraId="577E6223" w14:textId="3D87494F" w:rsidR="00804F3A" w:rsidRDefault="00804F3A" w:rsidP="005C30A4">
      <w:pPr>
        <w:pStyle w:val="NoSpacing"/>
        <w:rPr>
          <w:rFonts w:ascii="Arial Black" w:hAnsi="Arial Black"/>
          <w:sz w:val="24"/>
          <w:szCs w:val="24"/>
        </w:rPr>
      </w:pPr>
      <w:r>
        <w:rPr>
          <w:rFonts w:ascii="Arial Black" w:hAnsi="Arial Black"/>
          <w:sz w:val="24"/>
          <w:szCs w:val="24"/>
        </w:rPr>
        <w:t>9-24</w:t>
      </w:r>
    </w:p>
    <w:p w14:paraId="34E4E2F3" w14:textId="228AEE95" w:rsidR="00804F3A" w:rsidRDefault="00804F3A" w:rsidP="00804F3A">
      <w:pPr>
        <w:pStyle w:val="NormalWeb"/>
      </w:pPr>
      <w:r>
        <w:rPr>
          <w:rFonts w:ascii="Arial Black" w:hAnsi="Arial Black"/>
          <w:sz w:val="28"/>
          <w:szCs w:val="28"/>
        </w:rPr>
        <w:t xml:space="preserve">NY: DISABLED FF - CAN TERMINATE AFTER 1-YR ON MEDICAL LEAVE – BUT CITY MUST NEGOTIATE WITH UNION REVISED CBA </w:t>
      </w:r>
    </w:p>
    <w:p w14:paraId="4BE354E6" w14:textId="77777777" w:rsidR="00804F3A" w:rsidRDefault="00804F3A" w:rsidP="00804F3A">
      <w:pPr>
        <w:pStyle w:val="NormalWeb"/>
      </w:pPr>
      <w:r>
        <w:t xml:space="preserve">On Oct. 25, 2022, </w:t>
      </w:r>
      <w:r w:rsidRPr="00D91376">
        <w:rPr>
          <w:u w:val="single"/>
        </w:rPr>
        <w:t>In the Matter of City of Long Beach v. New York State Public Relations Board; Long Beach Firefighters Association, IAFF, Local 287</w:t>
      </w:r>
      <w:r>
        <w:t xml:space="preserve">, </w:t>
      </w:r>
      <w:r w:rsidRPr="00D91376">
        <w:t>2022 NY Slip Op 0593</w:t>
      </w:r>
      <w:r>
        <w:t xml:space="preserve">, the New York Court of Appeals held (6 to 0) that the City must collectively bargain the procedures for terminating disabled firefighters who have been on leave for one year.  Firefighters may be terminated after one year under the “Taylor Law” [enacted in 1967 following costly transit strikes in 1966], but the termination procedures and rights to reinstatement if no longer disabled must be collectively bargained in the Collective Bargaining Agreement.  </w:t>
      </w:r>
    </w:p>
    <w:p w14:paraId="64EEB6BA" w14:textId="6B3CE67A" w:rsidR="00804F3A" w:rsidRDefault="00804F3A" w:rsidP="00804F3A">
      <w:pPr>
        <w:pStyle w:val="NoSpacing"/>
        <w:rPr>
          <w:rFonts w:ascii="Arial Black" w:hAnsi="Arial Black"/>
          <w:sz w:val="24"/>
          <w:szCs w:val="24"/>
        </w:rPr>
      </w:pPr>
      <w:r>
        <w:rPr>
          <w:rFonts w:eastAsiaTheme="minorHAnsi"/>
        </w:rPr>
        <w:t>“</w:t>
      </w:r>
      <w:r w:rsidRPr="00C02FC1">
        <w:rPr>
          <w:rFonts w:eastAsiaTheme="minorHAnsi"/>
        </w:rPr>
        <w:t xml:space="preserve">We disagree with the </w:t>
      </w:r>
      <w:proofErr w:type="gramStart"/>
      <w:r w:rsidRPr="00C02FC1">
        <w:rPr>
          <w:rFonts w:eastAsiaTheme="minorHAnsi"/>
        </w:rPr>
        <w:t>City</w:t>
      </w:r>
      <w:proofErr w:type="gramEnd"/>
      <w:r w:rsidRPr="00C02FC1">
        <w:rPr>
          <w:rFonts w:eastAsiaTheme="minorHAnsi"/>
        </w:rPr>
        <w:t xml:space="preserve"> that requiring municipalities to negotiate those pretermination procedures frustrates the legislative intent of allowing employers to maintain efficiency by quickly filling vacancies on a permanent basis after a year. In the future, the City and the Union will only need to negotiate pretermination procedures as part of any new collective bargaining agreement, not every time the City seeks to terminate an employee.</w:t>
      </w:r>
      <w:r>
        <w:rPr>
          <w:rFonts w:eastAsiaTheme="minorHAnsi"/>
        </w:rPr>
        <w:t xml:space="preserve">” </w:t>
      </w:r>
      <w:hyperlink r:id="rId1739" w:history="1">
        <w:r w:rsidRPr="007662E8">
          <w:rPr>
            <w:rStyle w:val="Hyperlink"/>
            <w:rFonts w:eastAsiaTheme="majorEastAsia"/>
          </w:rPr>
          <w:t>https://public.fastcase.com/J%2FJP6pdidelsXxEE4k%2BLMidRzLaU3lxo2K4zeZ9a%2B%2Fta152zlny6vY4eG3S7CjdliNR92Qo6%2FTtAP%2FPl4klE6l7lrfhMF2W%2BjlSvdCQeS50%3D?utm_medium=email&amp;_hsmi=226712652&amp;_hsenc=p2ANqtz-_s5_cAHUvs_hrwWV9wgyTdwJuYKaiZto7jMWtL6vDykRwEZ1Wuy9IDC9088xTRtPn7fskJqvzz7SBtC6Rp8cJAGJmTVA&amp;utm_content=226712652&amp;utm_source=hs_email</w:t>
        </w:r>
      </w:hyperlink>
    </w:p>
    <w:p w14:paraId="3F807BC2" w14:textId="77777777" w:rsidR="00804F3A" w:rsidRDefault="00804F3A" w:rsidP="005C30A4">
      <w:pPr>
        <w:pStyle w:val="NoSpacing"/>
        <w:rPr>
          <w:rFonts w:ascii="Arial Black" w:hAnsi="Arial Black"/>
          <w:sz w:val="24"/>
          <w:szCs w:val="24"/>
        </w:rPr>
      </w:pPr>
    </w:p>
    <w:p w14:paraId="68551090" w14:textId="77777777" w:rsidR="00804F3A" w:rsidRPr="0070600A" w:rsidRDefault="00804F3A" w:rsidP="00804F3A">
      <w:pPr>
        <w:pStyle w:val="NormalWeb"/>
        <w:rPr>
          <w:b/>
          <w:bCs/>
        </w:rPr>
      </w:pPr>
      <w:r w:rsidRPr="0070600A">
        <w:rPr>
          <w:rFonts w:eastAsiaTheme="minorHAnsi"/>
          <w:b/>
          <w:bCs/>
        </w:rPr>
        <w:t>Legal Lesson Learned:</w:t>
      </w:r>
      <w:r>
        <w:rPr>
          <w:rFonts w:eastAsiaTheme="minorHAnsi"/>
          <w:b/>
          <w:bCs/>
        </w:rPr>
        <w:t xml:space="preserve"> The City and the IAFF Local must now collectively bargain the procedures for termination </w:t>
      </w:r>
      <w:proofErr w:type="gramStart"/>
      <w:r>
        <w:rPr>
          <w:rFonts w:eastAsiaTheme="minorHAnsi"/>
          <w:b/>
          <w:bCs/>
        </w:rPr>
        <w:t>and also</w:t>
      </w:r>
      <w:proofErr w:type="gramEnd"/>
      <w:r>
        <w:rPr>
          <w:rFonts w:eastAsiaTheme="minorHAnsi"/>
          <w:b/>
          <w:bCs/>
        </w:rPr>
        <w:t xml:space="preserve"> possible reinstatement of disabled firefighters. </w:t>
      </w:r>
    </w:p>
    <w:p w14:paraId="2CA6D423" w14:textId="698AB358" w:rsidR="00804F3A" w:rsidRDefault="00804F3A" w:rsidP="005C30A4">
      <w:pPr>
        <w:pStyle w:val="NoSpacing"/>
        <w:rPr>
          <w:rFonts w:ascii="Arial Black" w:hAnsi="Arial Black"/>
          <w:sz w:val="24"/>
          <w:szCs w:val="24"/>
        </w:rPr>
      </w:pPr>
    </w:p>
    <w:p w14:paraId="090F141C" w14:textId="2283212F" w:rsidR="00804F3A" w:rsidRDefault="00804F3A" w:rsidP="005C30A4">
      <w:pPr>
        <w:pStyle w:val="NoSpacing"/>
        <w:rPr>
          <w:rFonts w:ascii="Arial Black" w:hAnsi="Arial Black"/>
          <w:sz w:val="24"/>
          <w:szCs w:val="24"/>
        </w:rPr>
      </w:pPr>
    </w:p>
    <w:p w14:paraId="1B9CC598" w14:textId="77777777" w:rsidR="00804F3A" w:rsidRDefault="00804F3A" w:rsidP="005C30A4">
      <w:pPr>
        <w:pStyle w:val="NoSpacing"/>
        <w:rPr>
          <w:rFonts w:ascii="Arial Black" w:hAnsi="Arial Black"/>
          <w:sz w:val="24"/>
          <w:szCs w:val="24"/>
        </w:rPr>
      </w:pPr>
    </w:p>
    <w:p w14:paraId="78AF3E0C" w14:textId="3F189206" w:rsidR="008B64DA" w:rsidRDefault="008B64DA" w:rsidP="005C30A4">
      <w:pPr>
        <w:pStyle w:val="NoSpacing"/>
        <w:rPr>
          <w:rFonts w:ascii="Arial Black" w:hAnsi="Arial Black"/>
          <w:sz w:val="24"/>
          <w:szCs w:val="24"/>
        </w:rPr>
      </w:pPr>
      <w:r>
        <w:rPr>
          <w:rFonts w:ascii="Arial Black" w:hAnsi="Arial Black"/>
          <w:sz w:val="24"/>
          <w:szCs w:val="24"/>
        </w:rPr>
        <w:t>9-23</w:t>
      </w:r>
    </w:p>
    <w:p w14:paraId="0820D701" w14:textId="77777777" w:rsidR="00F04A7D" w:rsidRPr="00481FCA" w:rsidRDefault="00F04A7D" w:rsidP="00F04A7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CA: REASONABLE ACCOMODATION - STESS RELIEF - MALE FF TRANSFERRED – DIVIDERS IN SLEEPING QUARTERS  </w:t>
      </w:r>
    </w:p>
    <w:p w14:paraId="7A82C5E3" w14:textId="2923708D" w:rsidR="008B64DA" w:rsidRDefault="008B64DA" w:rsidP="008B64D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19, 2022, in </w:t>
      </w:r>
      <w:r w:rsidRPr="003E4F49">
        <w:rPr>
          <w:rFonts w:ascii="Times New Roman" w:eastAsia="Times New Roman" w:hAnsi="Times New Roman"/>
          <w:sz w:val="24"/>
          <w:szCs w:val="24"/>
          <w:u w:val="single"/>
        </w:rPr>
        <w:t>Felipe Marcial v. County of Los Angeles</w:t>
      </w:r>
      <w:r>
        <w:rPr>
          <w:rFonts w:ascii="Times New Roman" w:eastAsia="Times New Roman" w:hAnsi="Times New Roman"/>
          <w:sz w:val="24"/>
          <w:szCs w:val="24"/>
        </w:rPr>
        <w:t>, the California Court of Appeals, Second District (Fourth Division) held (3 to 0) that trial court properly granted summary judgment for the City.  “</w:t>
      </w:r>
      <w:r w:rsidRPr="00481FCA">
        <w:rPr>
          <w:rFonts w:ascii="Times New Roman" w:eastAsia="Times New Roman" w:hAnsi="Times New Roman"/>
          <w:sz w:val="24"/>
          <w:szCs w:val="24"/>
        </w:rPr>
        <w:t>Thus, upon his return to work in 2018</w:t>
      </w:r>
      <w:r>
        <w:rPr>
          <w:rFonts w:ascii="Times New Roman" w:eastAsia="Times New Roman" w:hAnsi="Times New Roman"/>
          <w:sz w:val="24"/>
          <w:szCs w:val="24"/>
        </w:rPr>
        <w:t xml:space="preserve"> [after shoulder injury]</w:t>
      </w:r>
      <w:r w:rsidRPr="00481FCA">
        <w:rPr>
          <w:rFonts w:ascii="Times New Roman" w:eastAsia="Times New Roman" w:hAnsi="Times New Roman"/>
          <w:sz w:val="24"/>
          <w:szCs w:val="24"/>
        </w:rPr>
        <w:t xml:space="preserve">, Marcial requested a transfer to a non-USAR station (specifically, FS 80). LACOFD granted Marcial's request. Marcial admits he received </w:t>
      </w:r>
      <w:proofErr w:type="gramStart"/>
      <w:r w:rsidRPr="00481FCA">
        <w:rPr>
          <w:rFonts w:ascii="Times New Roman" w:eastAsia="Times New Roman" w:hAnsi="Times New Roman"/>
          <w:sz w:val="24"/>
          <w:szCs w:val="24"/>
        </w:rPr>
        <w:t>a reasonable</w:t>
      </w:r>
      <w:proofErr w:type="gramEnd"/>
      <w:r w:rsidRPr="00481FCA">
        <w:rPr>
          <w:rFonts w:ascii="Times New Roman" w:eastAsia="Times New Roman" w:hAnsi="Times New Roman"/>
          <w:sz w:val="24"/>
          <w:szCs w:val="24"/>
        </w:rPr>
        <w:t xml:space="preserve"> </w:t>
      </w:r>
      <w:proofErr w:type="gramStart"/>
      <w:r w:rsidRPr="00481FCA">
        <w:rPr>
          <w:rFonts w:ascii="Times New Roman" w:eastAsia="Times New Roman" w:hAnsi="Times New Roman"/>
          <w:sz w:val="24"/>
          <w:szCs w:val="24"/>
        </w:rPr>
        <w:t xml:space="preserve">accommodation: </w:t>
      </w:r>
      <w:r>
        <w:rPr>
          <w:rFonts w:ascii="Times New Roman" w:eastAsia="Times New Roman" w:hAnsi="Times New Roman"/>
          <w:sz w:val="24"/>
          <w:szCs w:val="24"/>
        </w:rPr>
        <w:t>‘</w:t>
      </w:r>
      <w:proofErr w:type="gramEnd"/>
      <w:r w:rsidRPr="00481FCA">
        <w:rPr>
          <w:rFonts w:ascii="Times New Roman" w:eastAsia="Times New Roman" w:hAnsi="Times New Roman"/>
          <w:sz w:val="24"/>
          <w:szCs w:val="24"/>
        </w:rPr>
        <w:t xml:space="preserve">FS 80 put up dividers in the sleeping quarters even without me requesting them. Unlike all the years previously, FS 80 took my situation seriously and finally made efforts to accommodate me. While there are </w:t>
      </w:r>
      <w:proofErr w:type="gramStart"/>
      <w:r w:rsidRPr="00481FCA">
        <w:rPr>
          <w:rFonts w:ascii="Times New Roman" w:eastAsia="Times New Roman" w:hAnsi="Times New Roman"/>
          <w:sz w:val="24"/>
          <w:szCs w:val="24"/>
        </w:rPr>
        <w:t>not</w:t>
      </w:r>
      <w:proofErr w:type="gramEnd"/>
      <w:r w:rsidRPr="00481FCA">
        <w:rPr>
          <w:rFonts w:ascii="Times New Roman" w:eastAsia="Times New Roman" w:hAnsi="Times New Roman"/>
          <w:sz w:val="24"/>
          <w:szCs w:val="24"/>
        </w:rPr>
        <w:t xml:space="preserve"> separate showers, unlike FS 103, there is a wall with a door and lockable area so that the shower can be locked and prevent anyone from seeing in. With accommodation I was able to perform my job duties.</w:t>
      </w:r>
      <w:r>
        <w:rPr>
          <w:rFonts w:ascii="Times New Roman" w:eastAsia="Times New Roman" w:hAnsi="Times New Roman"/>
          <w:sz w:val="24"/>
          <w:szCs w:val="24"/>
        </w:rPr>
        <w:t>’</w:t>
      </w:r>
      <w:r w:rsidRPr="00481FCA">
        <w:rPr>
          <w:rFonts w:ascii="Times New Roman" w:eastAsia="Times New Roman" w:hAnsi="Times New Roman"/>
          <w:sz w:val="24"/>
          <w:szCs w:val="24"/>
        </w:rPr>
        <w:t> On this record, we conclude Marcial not only received a reasonable accommodation, but the exact accommodation he sought (i.e., a transfer to FS 80 and privacy in the living quarters).</w:t>
      </w:r>
      <w:r>
        <w:rPr>
          <w:rFonts w:ascii="Times New Roman" w:eastAsia="Times New Roman" w:hAnsi="Times New Roman"/>
          <w:sz w:val="24"/>
          <w:szCs w:val="24"/>
        </w:rPr>
        <w:t xml:space="preserve">” </w:t>
      </w:r>
      <w:hyperlink r:id="rId1740" w:history="1">
        <w:r w:rsidRPr="00696C47">
          <w:rPr>
            <w:rStyle w:val="Hyperlink"/>
            <w:rFonts w:ascii="Times New Roman" w:eastAsia="Times New Roman" w:hAnsi="Times New Roman"/>
          </w:rPr>
          <w:t>https://public.fastcase.com/J%2FJP6pdidelsXxEE4k%2BLMiM7pwWb%2BJBiIrsmHTSQKCgTGoUCuPbfbRmZbIscWTRrl1YTX4iVhFAcHudcdl9kVeXDJy0GqMwEdaMu5Mx11Z8%3D</w:t>
        </w:r>
      </w:hyperlink>
      <w:r>
        <w:rPr>
          <w:rFonts w:ascii="Times New Roman" w:eastAsia="Times New Roman" w:hAnsi="Times New Roman"/>
          <w:sz w:val="24"/>
          <w:szCs w:val="24"/>
        </w:rPr>
        <w:t xml:space="preserve"> </w:t>
      </w:r>
    </w:p>
    <w:p w14:paraId="781391C0" w14:textId="77777777" w:rsidR="00F04A7D" w:rsidRPr="00424C1F" w:rsidRDefault="00F04A7D" w:rsidP="00F04A7D">
      <w:pPr>
        <w:spacing w:before="100" w:beforeAutospacing="1" w:after="100" w:afterAutospacing="1" w:line="240" w:lineRule="auto"/>
        <w:rPr>
          <w:rFonts w:ascii="Times New Roman" w:eastAsia="Times New Roman" w:hAnsi="Times New Roman"/>
          <w:b/>
          <w:bCs/>
          <w:sz w:val="24"/>
          <w:szCs w:val="24"/>
        </w:rPr>
      </w:pPr>
      <w:r w:rsidRPr="00424C1F">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FD reasonably accommodated his transfer requests. </w:t>
      </w:r>
    </w:p>
    <w:p w14:paraId="367AA70A" w14:textId="77777777" w:rsidR="008B64DA" w:rsidRDefault="008B64DA" w:rsidP="005C30A4">
      <w:pPr>
        <w:pStyle w:val="NoSpacing"/>
        <w:rPr>
          <w:rFonts w:ascii="Arial Black" w:hAnsi="Arial Black"/>
          <w:sz w:val="24"/>
          <w:szCs w:val="24"/>
        </w:rPr>
      </w:pPr>
    </w:p>
    <w:p w14:paraId="035C7057" w14:textId="77777777" w:rsidR="008B64DA" w:rsidRDefault="008B64DA" w:rsidP="005C30A4">
      <w:pPr>
        <w:pStyle w:val="NoSpacing"/>
        <w:rPr>
          <w:rFonts w:ascii="Arial Black" w:hAnsi="Arial Black"/>
          <w:sz w:val="24"/>
          <w:szCs w:val="24"/>
        </w:rPr>
      </w:pPr>
    </w:p>
    <w:p w14:paraId="38510994" w14:textId="77777777" w:rsidR="008B64DA" w:rsidRDefault="008B64DA" w:rsidP="005C30A4">
      <w:pPr>
        <w:pStyle w:val="NoSpacing"/>
        <w:rPr>
          <w:rFonts w:ascii="Arial Black" w:hAnsi="Arial Black"/>
          <w:sz w:val="24"/>
          <w:szCs w:val="24"/>
        </w:rPr>
      </w:pPr>
    </w:p>
    <w:p w14:paraId="714C0467" w14:textId="0C4E70FB" w:rsidR="005644A4" w:rsidRDefault="005644A4" w:rsidP="005C30A4">
      <w:pPr>
        <w:pStyle w:val="NoSpacing"/>
        <w:rPr>
          <w:rFonts w:ascii="Arial Black" w:hAnsi="Arial Black"/>
          <w:sz w:val="24"/>
          <w:szCs w:val="24"/>
        </w:rPr>
      </w:pPr>
      <w:r>
        <w:rPr>
          <w:rFonts w:ascii="Arial Black" w:hAnsi="Arial Black"/>
          <w:sz w:val="24"/>
          <w:szCs w:val="24"/>
        </w:rPr>
        <w:t>9-22</w:t>
      </w:r>
    </w:p>
    <w:p w14:paraId="4991C1B8" w14:textId="238C853D" w:rsidR="005644A4" w:rsidRDefault="005644A4" w:rsidP="005C30A4">
      <w:pPr>
        <w:pStyle w:val="NoSpacing"/>
        <w:rPr>
          <w:rFonts w:ascii="Arial Black" w:hAnsi="Arial Black"/>
          <w:sz w:val="24"/>
          <w:szCs w:val="24"/>
        </w:rPr>
      </w:pPr>
    </w:p>
    <w:p w14:paraId="13024133" w14:textId="77777777" w:rsidR="005644A4" w:rsidRDefault="005644A4" w:rsidP="005644A4">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MD: DEAF APPLICANT TO VOLUNTEER FD – REJECTED - WAS VOLUNTEER IN PA – LAWSUIT PROCEED DISCOVERY</w:t>
      </w:r>
    </w:p>
    <w:p w14:paraId="588BFF0B" w14:textId="77777777" w:rsidR="005644A4" w:rsidRDefault="005644A4" w:rsidP="005644A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9, 2021, in </w:t>
      </w:r>
      <w:r w:rsidRPr="00D6728D">
        <w:rPr>
          <w:rFonts w:ascii="Times New Roman" w:eastAsia="Times New Roman" w:hAnsi="Times New Roman"/>
          <w:sz w:val="24"/>
          <w:szCs w:val="24"/>
          <w:u w:val="single"/>
        </w:rPr>
        <w:t>Charles Hine v. Prince George’s County, Maryland and Morningside Volunteer Fire Department, Inc</w:t>
      </w:r>
      <w:r>
        <w:rPr>
          <w:rFonts w:ascii="Times New Roman" w:eastAsia="Times New Roman" w:hAnsi="Times New Roman"/>
          <w:sz w:val="24"/>
          <w:szCs w:val="24"/>
        </w:rPr>
        <w:t xml:space="preserve">., U.S. District Court Judge Theodore D. Chuang, U.S. District Court for District of Maryland, denied the County’s motion to dismiss.  Pre-trial discovery will gather facts on (1) does the County have sufficient control over the volunteer FD to be considered a joint-employer, and (2) does the volunteer FD provide sufficient compensation or other benefits to be considered an employer under federal ADA and Title VII employment discrimination laws. </w:t>
      </w:r>
    </w:p>
    <w:p w14:paraId="0DC427B5" w14:textId="77777777" w:rsidR="005644A4" w:rsidRPr="000F1227" w:rsidRDefault="005644A4" w:rsidP="005644A4">
      <w:pPr>
        <w:spacing w:before="100" w:beforeAutospacing="1" w:after="100" w:afterAutospacing="1" w:line="240" w:lineRule="auto"/>
        <w:ind w:left="720"/>
        <w:rPr>
          <w:rFonts w:ascii="Times New Roman" w:hAnsi="Times New Roman"/>
          <w:sz w:val="24"/>
          <w:szCs w:val="24"/>
        </w:rPr>
      </w:pPr>
      <w:r w:rsidRPr="000F1227">
        <w:rPr>
          <w:rFonts w:ascii="Times New Roman" w:hAnsi="Times New Roman"/>
          <w:sz w:val="24"/>
          <w:szCs w:val="24"/>
        </w:rPr>
        <w:t>“Determining whether an entity exercises sufficient control to qualify as an employer is ‘a highly fact-specific’ endeavor. Id. at 410, In his Rule 56(d) affidavit, Hine notes that the denial letter he received ‘was sent by the Prince George's County Office of Law on behalf of the Prince George's County Fire &amp; EMS Department,’ not by the MVFD</w:t>
      </w:r>
      <w:r>
        <w:rPr>
          <w:rFonts w:ascii="Times New Roman" w:hAnsi="Times New Roman"/>
          <w:sz w:val="24"/>
          <w:szCs w:val="24"/>
        </w:rPr>
        <w:t xml:space="preserve">…. </w:t>
      </w:r>
      <w:r w:rsidRPr="000F1227">
        <w:rPr>
          <w:rFonts w:ascii="Times New Roman" w:hAnsi="Times New Roman"/>
          <w:sz w:val="24"/>
          <w:szCs w:val="24"/>
        </w:rPr>
        <w:t xml:space="preserve"> This assertion supports Hine's contention that there is a factual dispute over whether the County was an employer for purposes of the denial of Hine's application that should not be resolved without discovery. *** Hine has pleaded in the Amended Complaint that he would have been an employee based on the </w:t>
      </w:r>
      <w:r>
        <w:rPr>
          <w:rFonts w:ascii="Times New Roman" w:hAnsi="Times New Roman"/>
          <w:sz w:val="24"/>
          <w:szCs w:val="24"/>
        </w:rPr>
        <w:t>‘</w:t>
      </w:r>
      <w:r w:rsidRPr="000F1227">
        <w:rPr>
          <w:rFonts w:ascii="Times New Roman" w:hAnsi="Times New Roman"/>
          <w:sz w:val="24"/>
          <w:szCs w:val="24"/>
        </w:rPr>
        <w:t xml:space="preserve">significant </w:t>
      </w:r>
      <w:proofErr w:type="gramStart"/>
      <w:r w:rsidRPr="000F1227">
        <w:rPr>
          <w:rFonts w:ascii="Times New Roman" w:hAnsi="Times New Roman"/>
          <w:sz w:val="24"/>
          <w:szCs w:val="24"/>
        </w:rPr>
        <w:t>benefits</w:t>
      </w:r>
      <w:r>
        <w:rPr>
          <w:rFonts w:ascii="Times New Roman" w:hAnsi="Times New Roman"/>
          <w:sz w:val="24"/>
          <w:szCs w:val="24"/>
        </w:rPr>
        <w:t>’</w:t>
      </w:r>
      <w:proofErr w:type="gramEnd"/>
      <w:r w:rsidRPr="000F1227">
        <w:rPr>
          <w:rFonts w:ascii="Times New Roman" w:hAnsi="Times New Roman"/>
          <w:sz w:val="24"/>
          <w:szCs w:val="24"/>
        </w:rPr>
        <w:t xml:space="preserve"> he would have received as a volunteer firefighter, including disability and survivor benefits, insurance benefits, tuition reimbursement. tax exemptions, and other benefits.</w:t>
      </w:r>
      <w:r>
        <w:rPr>
          <w:rFonts w:ascii="Times New Roman" w:hAnsi="Times New Roman"/>
          <w:sz w:val="24"/>
          <w:szCs w:val="24"/>
        </w:rPr>
        <w:t xml:space="preserve">” </w:t>
      </w:r>
      <w:hyperlink r:id="rId1741" w:history="1">
        <w:r w:rsidRPr="00EC5853">
          <w:rPr>
            <w:rStyle w:val="Hyperlink"/>
            <w:rFonts w:ascii="Times New Roman" w:hAnsi="Times New Roman"/>
            <w:sz w:val="24"/>
            <w:szCs w:val="24"/>
          </w:rPr>
          <w:t>https://www.leagle.com/decision/infdco20211215796</w:t>
        </w:r>
      </w:hyperlink>
      <w:r>
        <w:rPr>
          <w:rFonts w:ascii="Times New Roman" w:hAnsi="Times New Roman"/>
          <w:sz w:val="24"/>
          <w:szCs w:val="24"/>
        </w:rPr>
        <w:t xml:space="preserve"> </w:t>
      </w:r>
    </w:p>
    <w:p w14:paraId="60E02BEE" w14:textId="77777777" w:rsidR="005644A4" w:rsidRDefault="005644A4" w:rsidP="005C30A4">
      <w:pPr>
        <w:pStyle w:val="NoSpacing"/>
        <w:rPr>
          <w:rFonts w:ascii="Arial Black" w:hAnsi="Arial Black"/>
          <w:sz w:val="24"/>
          <w:szCs w:val="24"/>
        </w:rPr>
      </w:pPr>
    </w:p>
    <w:p w14:paraId="37F2F1FF" w14:textId="77777777" w:rsidR="005644A4" w:rsidRDefault="005644A4" w:rsidP="005C30A4">
      <w:pPr>
        <w:pStyle w:val="NoSpacing"/>
        <w:rPr>
          <w:rFonts w:ascii="Arial Black" w:hAnsi="Arial Black"/>
          <w:sz w:val="24"/>
          <w:szCs w:val="24"/>
        </w:rPr>
      </w:pPr>
    </w:p>
    <w:p w14:paraId="268A7674" w14:textId="0C51C4AE" w:rsidR="00C67B2A" w:rsidRDefault="00C67B2A" w:rsidP="005C30A4">
      <w:pPr>
        <w:pStyle w:val="NoSpacing"/>
        <w:rPr>
          <w:rFonts w:ascii="Arial Black" w:hAnsi="Arial Black"/>
          <w:sz w:val="24"/>
          <w:szCs w:val="24"/>
        </w:rPr>
      </w:pPr>
      <w:r>
        <w:rPr>
          <w:rFonts w:ascii="Arial Black" w:hAnsi="Arial Black"/>
          <w:sz w:val="24"/>
          <w:szCs w:val="24"/>
        </w:rPr>
        <w:t>9-21</w:t>
      </w:r>
    </w:p>
    <w:p w14:paraId="145FE018" w14:textId="77777777" w:rsidR="00C67B2A" w:rsidRDefault="00C67B2A" w:rsidP="00C67B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SERVICE DOG – FORMER EMT WITH “PTSD” – NOW AT&amp;T, WANTS DOG RIDE WITH HIM - CASE TO PROCEED</w:t>
      </w:r>
    </w:p>
    <w:p w14:paraId="3D24C3DF" w14:textId="77777777" w:rsidR="00C67B2A" w:rsidRDefault="00C67B2A" w:rsidP="00C67B2A">
      <w:pPr>
        <w:spacing w:before="100" w:beforeAutospacing="1" w:after="100" w:afterAutospacing="1" w:line="240" w:lineRule="auto"/>
        <w:rPr>
          <w:rFonts w:ascii="Times New Roman" w:eastAsia="Times New Roman" w:hAnsi="Times New Roman"/>
          <w:sz w:val="24"/>
          <w:szCs w:val="24"/>
        </w:rPr>
      </w:pPr>
      <w:r w:rsidRPr="00792E67">
        <w:rPr>
          <w:rFonts w:ascii="Times New Roman" w:eastAsia="Times New Roman" w:hAnsi="Times New Roman"/>
          <w:sz w:val="24"/>
          <w:szCs w:val="24"/>
        </w:rPr>
        <w:t xml:space="preserve">On </w:t>
      </w:r>
      <w:r>
        <w:rPr>
          <w:rFonts w:ascii="Times New Roman" w:eastAsia="Times New Roman" w:hAnsi="Times New Roman"/>
          <w:sz w:val="24"/>
          <w:szCs w:val="24"/>
        </w:rPr>
        <w:t xml:space="preserve">Oct. 22, 2021, in </w:t>
      </w:r>
      <w:r w:rsidRPr="00792E67">
        <w:rPr>
          <w:rFonts w:ascii="Times New Roman" w:eastAsia="Times New Roman" w:hAnsi="Times New Roman"/>
          <w:sz w:val="24"/>
          <w:szCs w:val="24"/>
          <w:u w:val="single"/>
        </w:rPr>
        <w:t>Wayne Schroeder v. AT&amp;T Mobility Services, LLC</w:t>
      </w:r>
      <w:r>
        <w:rPr>
          <w:rFonts w:ascii="Times New Roman" w:eastAsia="Times New Roman" w:hAnsi="Times New Roman"/>
          <w:sz w:val="24"/>
          <w:szCs w:val="24"/>
        </w:rPr>
        <w:t xml:space="preserve">, U.S. District Court Chief Judge Waverly D. Crenshaw, Jr., U.S. District Court for Middle District of Tennessee (Nashville Division) held that neither the plaintiff, nor AT&amp;T are entitled to Summary Judgment.  Pre-trial discovery will therefore continue, and if not settled the case will go to trial. </w:t>
      </w:r>
    </w:p>
    <w:p w14:paraId="467B22F8" w14:textId="77777777" w:rsidR="00C67B2A" w:rsidRDefault="00C67B2A" w:rsidP="00C67B2A">
      <w:pPr>
        <w:spacing w:before="100" w:beforeAutospacing="1" w:after="100" w:afterAutospacing="1" w:line="240" w:lineRule="auto"/>
        <w:ind w:left="720"/>
        <w:rPr>
          <w:rFonts w:ascii="Times New Roman" w:hAnsi="Times New Roman"/>
          <w:sz w:val="24"/>
          <w:szCs w:val="24"/>
        </w:rPr>
      </w:pPr>
      <w:r w:rsidRPr="003A2F72">
        <w:rPr>
          <w:rFonts w:ascii="Times New Roman" w:hAnsi="Times New Roman"/>
          <w:sz w:val="24"/>
          <w:szCs w:val="24"/>
        </w:rPr>
        <w:t> Mr. Schroeder has a German shepherd named Dakota</w:t>
      </w:r>
      <w:r>
        <w:rPr>
          <w:rFonts w:ascii="Times New Roman" w:hAnsi="Times New Roman"/>
          <w:sz w:val="24"/>
          <w:szCs w:val="24"/>
        </w:rPr>
        <w:t xml:space="preserve">…. </w:t>
      </w:r>
      <w:r w:rsidRPr="003A2F72">
        <w:rPr>
          <w:rFonts w:ascii="Times New Roman" w:hAnsi="Times New Roman"/>
          <w:sz w:val="24"/>
          <w:szCs w:val="24"/>
        </w:rPr>
        <w:t xml:space="preserve">Dakota is a service dog who </w:t>
      </w:r>
      <w:r>
        <w:rPr>
          <w:rFonts w:ascii="Times New Roman" w:hAnsi="Times New Roman"/>
          <w:sz w:val="24"/>
          <w:szCs w:val="24"/>
        </w:rPr>
        <w:t>‘</w:t>
      </w:r>
      <w:r w:rsidRPr="003A2F72">
        <w:rPr>
          <w:rFonts w:ascii="Times New Roman" w:hAnsi="Times New Roman"/>
          <w:sz w:val="24"/>
          <w:szCs w:val="24"/>
        </w:rPr>
        <w:t>can sense when Mr. Schroeder is entering a depressive state or suffering from an anxiety attack and will notify Mr. Schroeder of his change in condition</w:t>
      </w:r>
      <w:r>
        <w:rPr>
          <w:rFonts w:ascii="Times New Roman" w:hAnsi="Times New Roman"/>
          <w:sz w:val="24"/>
          <w:szCs w:val="24"/>
        </w:rPr>
        <w:t>….</w:t>
      </w:r>
      <w:r w:rsidRPr="003A2F72">
        <w:rPr>
          <w:rFonts w:ascii="Times New Roman" w:hAnsi="Times New Roman"/>
          <w:sz w:val="24"/>
          <w:szCs w:val="24"/>
        </w:rPr>
        <w:t xml:space="preserve">” Without Dakota's help, Mr. Schroeder is </w:t>
      </w:r>
      <w:r>
        <w:rPr>
          <w:rFonts w:ascii="Times New Roman" w:hAnsi="Times New Roman"/>
          <w:sz w:val="24"/>
          <w:szCs w:val="24"/>
        </w:rPr>
        <w:t>‘</w:t>
      </w:r>
      <w:r w:rsidRPr="003A2F72">
        <w:rPr>
          <w:rFonts w:ascii="Times New Roman" w:hAnsi="Times New Roman"/>
          <w:sz w:val="24"/>
          <w:szCs w:val="24"/>
        </w:rPr>
        <w:t>more apt to keep going and try to work his way through a depressive episode or anxiety attack,</w:t>
      </w:r>
      <w:r>
        <w:rPr>
          <w:rFonts w:ascii="Times New Roman" w:hAnsi="Times New Roman"/>
          <w:sz w:val="24"/>
          <w:szCs w:val="24"/>
        </w:rPr>
        <w:t>’</w:t>
      </w:r>
      <w:r w:rsidRPr="003A2F72">
        <w:rPr>
          <w:rFonts w:ascii="Times New Roman" w:hAnsi="Times New Roman"/>
          <w:sz w:val="24"/>
          <w:szCs w:val="24"/>
        </w:rPr>
        <w:t xml:space="preserve"> rather than pausing what he is doing and </w:t>
      </w:r>
      <w:r>
        <w:rPr>
          <w:rFonts w:ascii="Times New Roman" w:hAnsi="Times New Roman"/>
          <w:sz w:val="24"/>
          <w:szCs w:val="24"/>
        </w:rPr>
        <w:t>‘</w:t>
      </w:r>
      <w:r w:rsidRPr="003A2F72">
        <w:rPr>
          <w:rFonts w:ascii="Times New Roman" w:hAnsi="Times New Roman"/>
          <w:sz w:val="24"/>
          <w:szCs w:val="24"/>
        </w:rPr>
        <w:t>refocus[</w:t>
      </w:r>
      <w:proofErr w:type="spellStart"/>
      <w:r w:rsidRPr="003A2F72">
        <w:rPr>
          <w:rFonts w:ascii="Times New Roman" w:hAnsi="Times New Roman"/>
          <w:sz w:val="24"/>
          <w:szCs w:val="24"/>
        </w:rPr>
        <w:t>ing</w:t>
      </w:r>
      <w:proofErr w:type="spellEnd"/>
      <w:r w:rsidRPr="003A2F72">
        <w:rPr>
          <w:rFonts w:ascii="Times New Roman" w:hAnsi="Times New Roman"/>
          <w:sz w:val="24"/>
          <w:szCs w:val="24"/>
        </w:rPr>
        <w:t>]</w:t>
      </w:r>
      <w:r>
        <w:rPr>
          <w:rFonts w:ascii="Times New Roman" w:hAnsi="Times New Roman"/>
          <w:sz w:val="24"/>
          <w:szCs w:val="24"/>
        </w:rPr>
        <w:t>’</w:t>
      </w:r>
      <w:r w:rsidRPr="003A2F72">
        <w:rPr>
          <w:rFonts w:ascii="Times New Roman" w:hAnsi="Times New Roman"/>
          <w:sz w:val="24"/>
          <w:szCs w:val="24"/>
        </w:rPr>
        <w:t xml:space="preserve"> as is necessary</w:t>
      </w:r>
      <w:r>
        <w:rPr>
          <w:rFonts w:ascii="Times New Roman" w:hAnsi="Times New Roman"/>
          <w:sz w:val="24"/>
          <w:szCs w:val="24"/>
        </w:rPr>
        <w:t>….</w:t>
      </w:r>
      <w:r w:rsidRPr="003A2F72">
        <w:rPr>
          <w:rFonts w:ascii="Times New Roman" w:hAnsi="Times New Roman"/>
          <w:sz w:val="24"/>
          <w:szCs w:val="24"/>
        </w:rPr>
        <w:t xml:space="preserve"> Dakota </w:t>
      </w:r>
      <w:r>
        <w:rPr>
          <w:rFonts w:ascii="Times New Roman" w:hAnsi="Times New Roman"/>
          <w:sz w:val="24"/>
          <w:szCs w:val="24"/>
        </w:rPr>
        <w:t>‘</w:t>
      </w:r>
      <w:r w:rsidRPr="003A2F72">
        <w:rPr>
          <w:rFonts w:ascii="Times New Roman" w:hAnsi="Times New Roman"/>
          <w:sz w:val="24"/>
          <w:szCs w:val="24"/>
        </w:rPr>
        <w:t>also acts as a physical barrier when Mr. Schroeder is in a public space, keeping people from crowding or getting too close to him, which can trigger Mr. Schroeder's PTSD and anxiety</w:t>
      </w:r>
      <w:r>
        <w:rPr>
          <w:rFonts w:ascii="Times New Roman" w:hAnsi="Times New Roman"/>
          <w:sz w:val="24"/>
          <w:szCs w:val="24"/>
        </w:rPr>
        <w:t xml:space="preserve">…. ‘ </w:t>
      </w:r>
    </w:p>
    <w:p w14:paraId="7CF95F94"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5D4A8A8"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A2F72">
        <w:rPr>
          <w:rFonts w:ascii="Times New Roman" w:hAnsi="Times New Roman"/>
          <w:sz w:val="24"/>
          <w:szCs w:val="24"/>
        </w:rPr>
        <w:t xml:space="preserve">Mr. Schroeder claims AT&amp;T failed to accommodate his mental health conditions by refusing to alter his job requirements and company vehicle to permit his service dog to work alongside him. AT&amp;T argues the accommodations Mr. Schroeder </w:t>
      </w:r>
      <w:proofErr w:type="gramStart"/>
      <w:r w:rsidRPr="003A2F72">
        <w:rPr>
          <w:rFonts w:ascii="Times New Roman" w:hAnsi="Times New Roman"/>
          <w:sz w:val="24"/>
          <w:szCs w:val="24"/>
        </w:rPr>
        <w:t>proposed</w:t>
      </w:r>
      <w:proofErr w:type="gramEnd"/>
      <w:r w:rsidRPr="003A2F72">
        <w:rPr>
          <w:rFonts w:ascii="Times New Roman" w:hAnsi="Times New Roman"/>
          <w:sz w:val="24"/>
          <w:szCs w:val="24"/>
        </w:rPr>
        <w:t xml:space="preserve"> </w:t>
      </w:r>
      <w:proofErr w:type="gramStart"/>
      <w:r w:rsidRPr="003A2F72">
        <w:rPr>
          <w:rFonts w:ascii="Times New Roman" w:hAnsi="Times New Roman"/>
          <w:sz w:val="24"/>
          <w:szCs w:val="24"/>
        </w:rPr>
        <w:t>were</w:t>
      </w:r>
      <w:proofErr w:type="gramEnd"/>
      <w:r w:rsidRPr="003A2F72">
        <w:rPr>
          <w:rFonts w:ascii="Times New Roman" w:hAnsi="Times New Roman"/>
          <w:sz w:val="24"/>
          <w:szCs w:val="24"/>
        </w:rPr>
        <w:t xml:space="preserve"> unreasonable. Both parties moved for summary judgment</w:t>
      </w:r>
      <w:r>
        <w:rPr>
          <w:rFonts w:ascii="Times New Roman" w:hAnsi="Times New Roman"/>
          <w:sz w:val="24"/>
          <w:szCs w:val="24"/>
        </w:rPr>
        <w:t xml:space="preserve">…. </w:t>
      </w:r>
      <w:r w:rsidRPr="003A2F72">
        <w:rPr>
          <w:rFonts w:ascii="Times New Roman" w:hAnsi="Times New Roman"/>
          <w:sz w:val="24"/>
          <w:szCs w:val="24"/>
        </w:rPr>
        <w:t>The Court will deny each motion because genuine issues of material fact remain regarding the reasonableness of Mr. Schroeder's requested accommodations.</w:t>
      </w:r>
      <w:r>
        <w:rPr>
          <w:rFonts w:ascii="Times New Roman" w:hAnsi="Times New Roman"/>
          <w:sz w:val="24"/>
          <w:szCs w:val="24"/>
        </w:rPr>
        <w:t xml:space="preserve">” </w:t>
      </w:r>
      <w:hyperlink r:id="rId1742" w:history="1">
        <w:r w:rsidRPr="00410682">
          <w:rPr>
            <w:rStyle w:val="Hyperlink"/>
            <w:sz w:val="24"/>
            <w:szCs w:val="24"/>
          </w:rPr>
          <w:t>https://public.fastcase.com/9SKwsfNqTc6OieYDhNMyM6vC7U3N6pFiGGudI%2FRRBa2RM8NFylVCIr30mZgiL1xCGi%2BB4TwUGi23U%2F4WBRTxtqosYxdtzzhHp1yF4K4Z7P8%3D</w:t>
        </w:r>
      </w:hyperlink>
      <w:r>
        <w:rPr>
          <w:rFonts w:ascii="Times New Roman" w:hAnsi="Times New Roman"/>
          <w:sz w:val="24"/>
          <w:szCs w:val="24"/>
        </w:rPr>
        <w:t xml:space="preserve"> </w:t>
      </w:r>
    </w:p>
    <w:p w14:paraId="41F3BB95" w14:textId="77777777" w:rsidR="00C67B2A" w:rsidRDefault="00C67B2A" w:rsidP="00C67B2A">
      <w:pPr>
        <w:tabs>
          <w:tab w:val="left" w:pos="3280"/>
        </w:tabs>
        <w:spacing w:before="100" w:beforeAutospacing="1" w:after="100" w:afterAutospacing="1" w:line="240" w:lineRule="auto"/>
        <w:rPr>
          <w:rFonts w:ascii="Times New Roman" w:hAnsi="Times New Roman"/>
          <w:b/>
          <w:bCs/>
          <w:sz w:val="24"/>
          <w:szCs w:val="24"/>
        </w:rPr>
      </w:pPr>
      <w:r w:rsidRPr="00530A63">
        <w:rPr>
          <w:rFonts w:ascii="Times New Roman" w:hAnsi="Times New Roman"/>
          <w:b/>
          <w:bCs/>
          <w:sz w:val="24"/>
          <w:szCs w:val="24"/>
        </w:rPr>
        <w:t>Legal Lesson Learned:</w:t>
      </w:r>
      <w:r>
        <w:rPr>
          <w:rFonts w:ascii="Times New Roman" w:hAnsi="Times New Roman"/>
          <w:b/>
          <w:bCs/>
          <w:sz w:val="24"/>
          <w:szCs w:val="24"/>
        </w:rPr>
        <w:t xml:space="preserve"> </w:t>
      </w:r>
      <w:r w:rsidRPr="00530A63">
        <w:rPr>
          <w:rFonts w:ascii="Times New Roman" w:hAnsi="Times New Roman"/>
          <w:b/>
          <w:bCs/>
          <w:sz w:val="24"/>
          <w:szCs w:val="24"/>
        </w:rPr>
        <w:t xml:space="preserve">ADA requires employees to identify the precise limitations resulting from </w:t>
      </w:r>
      <w:proofErr w:type="gramStart"/>
      <w:r w:rsidRPr="00530A63">
        <w:rPr>
          <w:rFonts w:ascii="Times New Roman" w:hAnsi="Times New Roman"/>
          <w:b/>
          <w:bCs/>
          <w:sz w:val="24"/>
          <w:szCs w:val="24"/>
        </w:rPr>
        <w:t>the disability</w:t>
      </w:r>
      <w:proofErr w:type="gramEnd"/>
      <w:r w:rsidRPr="00530A63">
        <w:rPr>
          <w:rFonts w:ascii="Times New Roman" w:hAnsi="Times New Roman"/>
          <w:b/>
          <w:bCs/>
          <w:sz w:val="24"/>
          <w:szCs w:val="24"/>
        </w:rPr>
        <w:t xml:space="preserve"> and</w:t>
      </w:r>
      <w:r>
        <w:rPr>
          <w:rFonts w:ascii="Times New Roman" w:hAnsi="Times New Roman"/>
          <w:b/>
          <w:bCs/>
          <w:sz w:val="24"/>
          <w:szCs w:val="24"/>
        </w:rPr>
        <w:t xml:space="preserve"> employers to consider</w:t>
      </w:r>
      <w:r w:rsidRPr="00530A63">
        <w:rPr>
          <w:rFonts w:ascii="Times New Roman" w:hAnsi="Times New Roman"/>
          <w:b/>
          <w:bCs/>
          <w:sz w:val="24"/>
          <w:szCs w:val="24"/>
        </w:rPr>
        <w:t xml:space="preserve"> potential reasonable accommodations. </w:t>
      </w:r>
    </w:p>
    <w:p w14:paraId="3E700D4F" w14:textId="77777777" w:rsidR="00C67B2A" w:rsidRDefault="00C67B2A" w:rsidP="00C67B2A">
      <w:pPr>
        <w:pStyle w:val="Heading1"/>
        <w:ind w:left="720"/>
        <w:rPr>
          <w:b w:val="0"/>
          <w:bCs w:val="0"/>
          <w:sz w:val="24"/>
          <w:szCs w:val="24"/>
        </w:rPr>
      </w:pPr>
      <w:r w:rsidRPr="00B57FF7">
        <w:rPr>
          <w:b w:val="0"/>
          <w:bCs w:val="0"/>
          <w:sz w:val="24"/>
          <w:szCs w:val="24"/>
        </w:rPr>
        <w:t xml:space="preserve">Note:  Some fire departments have adopted “station dogs.”  City of Franklin, Ohio </w:t>
      </w:r>
      <w:r>
        <w:rPr>
          <w:b w:val="0"/>
          <w:bCs w:val="0"/>
          <w:sz w:val="24"/>
          <w:szCs w:val="24"/>
        </w:rPr>
        <w:t xml:space="preserve">Fire Department </w:t>
      </w:r>
      <w:r w:rsidRPr="00B57FF7">
        <w:rPr>
          <w:b w:val="0"/>
          <w:bCs w:val="0"/>
          <w:sz w:val="24"/>
          <w:szCs w:val="24"/>
        </w:rPr>
        <w:t xml:space="preserve">is one of the first in our state. </w:t>
      </w:r>
      <w:r>
        <w:rPr>
          <w:b w:val="0"/>
          <w:bCs w:val="0"/>
          <w:sz w:val="24"/>
          <w:szCs w:val="24"/>
        </w:rPr>
        <w:t xml:space="preserve">See article, </w:t>
      </w:r>
      <w:r w:rsidRPr="00B57FF7">
        <w:rPr>
          <w:b w:val="0"/>
          <w:bCs w:val="0"/>
          <w:sz w:val="24"/>
          <w:szCs w:val="24"/>
        </w:rPr>
        <w:t>July 17, 2021</w:t>
      </w:r>
      <w:r>
        <w:rPr>
          <w:b w:val="0"/>
          <w:bCs w:val="0"/>
          <w:sz w:val="24"/>
          <w:szCs w:val="24"/>
        </w:rPr>
        <w:t>,”</w:t>
      </w:r>
      <w:r w:rsidRPr="00B57FF7">
        <w:rPr>
          <w:b w:val="0"/>
          <w:bCs w:val="0"/>
          <w:sz w:val="24"/>
          <w:szCs w:val="24"/>
        </w:rPr>
        <w:t>Sworn Therapy Dog Supports Ohio Responders</w:t>
      </w:r>
      <w:r>
        <w:rPr>
          <w:b w:val="0"/>
          <w:bCs w:val="0"/>
          <w:sz w:val="24"/>
          <w:szCs w:val="24"/>
        </w:rPr>
        <w:t xml:space="preserve">.” </w:t>
      </w:r>
      <w:r w:rsidRPr="00B57FF7">
        <w:rPr>
          <w:b w:val="0"/>
          <w:bCs w:val="0"/>
          <w:sz w:val="24"/>
          <w:szCs w:val="24"/>
        </w:rPr>
        <w:t xml:space="preserve"> </w:t>
      </w:r>
      <w:hyperlink r:id="rId1743" w:history="1">
        <w:r w:rsidRPr="00B57FF7">
          <w:rPr>
            <w:rStyle w:val="Hyperlink"/>
            <w:sz w:val="24"/>
            <w:szCs w:val="24"/>
          </w:rPr>
          <w:t>https://www.hmpgloballearningnetwork.com/site/emsworld/original-contribution/sworn-therapy-dog-supports-ohio-responders</w:t>
        </w:r>
      </w:hyperlink>
      <w:r w:rsidRPr="00B57FF7">
        <w:rPr>
          <w:b w:val="0"/>
          <w:bCs w:val="0"/>
          <w:sz w:val="24"/>
          <w:szCs w:val="24"/>
        </w:rPr>
        <w:t xml:space="preserve"> </w:t>
      </w:r>
    </w:p>
    <w:p w14:paraId="6BBB62CB" w14:textId="77777777" w:rsidR="00C67B2A" w:rsidRPr="00B57FF7" w:rsidRDefault="00C67B2A" w:rsidP="00C67B2A">
      <w:pPr>
        <w:pStyle w:val="Heading1"/>
        <w:ind w:left="720"/>
        <w:rPr>
          <w:b w:val="0"/>
          <w:bCs w:val="0"/>
          <w:sz w:val="24"/>
          <w:szCs w:val="24"/>
        </w:rPr>
      </w:pPr>
      <w:r>
        <w:rPr>
          <w:b w:val="0"/>
          <w:bCs w:val="0"/>
          <w:sz w:val="24"/>
          <w:szCs w:val="24"/>
        </w:rPr>
        <w:t>[The author of this newsletter introduced FD to Circle Tail, which trains service dogs and places dogs that aren’t suited for service work.]</w:t>
      </w:r>
    </w:p>
    <w:p w14:paraId="67BB37FD" w14:textId="77777777" w:rsidR="00C67B2A" w:rsidRDefault="00C67B2A" w:rsidP="005C30A4">
      <w:pPr>
        <w:pStyle w:val="NoSpacing"/>
        <w:rPr>
          <w:rFonts w:ascii="Arial Black" w:hAnsi="Arial Black"/>
          <w:sz w:val="24"/>
          <w:szCs w:val="24"/>
        </w:rPr>
      </w:pPr>
    </w:p>
    <w:p w14:paraId="75D05A5B" w14:textId="77777777" w:rsidR="00C67B2A" w:rsidRDefault="00C67B2A" w:rsidP="005C30A4">
      <w:pPr>
        <w:pStyle w:val="NoSpacing"/>
        <w:rPr>
          <w:rFonts w:ascii="Arial Black" w:hAnsi="Arial Black"/>
          <w:sz w:val="24"/>
          <w:szCs w:val="24"/>
        </w:rPr>
      </w:pPr>
    </w:p>
    <w:p w14:paraId="5F27524B" w14:textId="77777777" w:rsidR="00C67B2A" w:rsidRDefault="00C67B2A" w:rsidP="005C30A4">
      <w:pPr>
        <w:pStyle w:val="NoSpacing"/>
        <w:rPr>
          <w:rFonts w:ascii="Arial Black" w:hAnsi="Arial Black"/>
          <w:sz w:val="24"/>
          <w:szCs w:val="24"/>
        </w:rPr>
      </w:pPr>
    </w:p>
    <w:p w14:paraId="358A4896" w14:textId="552748F9" w:rsidR="005C30A4" w:rsidRPr="005217D5" w:rsidRDefault="005217D5" w:rsidP="005C30A4">
      <w:pPr>
        <w:pStyle w:val="NoSpacing"/>
        <w:rPr>
          <w:rFonts w:ascii="Arial Black" w:hAnsi="Arial Black"/>
          <w:sz w:val="24"/>
          <w:szCs w:val="24"/>
        </w:rPr>
      </w:pPr>
      <w:r w:rsidRPr="005217D5">
        <w:rPr>
          <w:rFonts w:ascii="Arial Black" w:hAnsi="Arial Black"/>
          <w:sz w:val="24"/>
          <w:szCs w:val="24"/>
        </w:rPr>
        <w:t>9-20</w:t>
      </w:r>
    </w:p>
    <w:p w14:paraId="1C128D2C" w14:textId="77777777" w:rsidR="005217D5" w:rsidRDefault="005217D5" w:rsidP="005217D5">
      <w:pPr>
        <w:spacing w:before="100" w:beforeAutospacing="1" w:after="100" w:afterAutospacing="1" w:line="240" w:lineRule="auto"/>
        <w:rPr>
          <w:rFonts w:ascii="Arial Black" w:hAnsi="Arial Black"/>
          <w:sz w:val="28"/>
          <w:szCs w:val="28"/>
        </w:rPr>
      </w:pPr>
      <w:r w:rsidRPr="00953881">
        <w:rPr>
          <w:rFonts w:ascii="Arial Black" w:hAnsi="Arial Black"/>
          <w:sz w:val="28"/>
          <w:szCs w:val="28"/>
        </w:rPr>
        <w:t>PA:</w:t>
      </w:r>
      <w:r>
        <w:rPr>
          <w:rFonts w:ascii="Arial Black" w:hAnsi="Arial Black"/>
          <w:sz w:val="28"/>
          <w:szCs w:val="28"/>
        </w:rPr>
        <w:t xml:space="preserve">  VOL. FF LEFT ARM, RIGHT LEG AMPUTATED 2007 – DISABILITY INSUR. END 2017 – NOW WORKING AS MEDIC </w:t>
      </w:r>
    </w:p>
    <w:p w14:paraId="0EBE8B82" w14:textId="77777777" w:rsidR="005217D5" w:rsidRDefault="005217D5" w:rsidP="005217D5">
      <w:pPr>
        <w:spacing w:before="100" w:beforeAutospacing="1" w:after="100" w:afterAutospacing="1" w:line="240" w:lineRule="auto"/>
        <w:rPr>
          <w:rFonts w:ascii="Times New Roman" w:hAnsi="Times New Roman"/>
          <w:sz w:val="24"/>
          <w:szCs w:val="24"/>
        </w:rPr>
      </w:pPr>
      <w:r w:rsidRPr="00953881">
        <w:rPr>
          <w:rFonts w:ascii="Times New Roman" w:hAnsi="Times New Roman"/>
          <w:sz w:val="24"/>
          <w:szCs w:val="24"/>
        </w:rPr>
        <w:t xml:space="preserve">On </w:t>
      </w:r>
      <w:r>
        <w:rPr>
          <w:rFonts w:ascii="Times New Roman" w:hAnsi="Times New Roman"/>
          <w:sz w:val="24"/>
          <w:szCs w:val="24"/>
        </w:rPr>
        <w:t xml:space="preserve">July 20, 2021, in </w:t>
      </w:r>
      <w:r w:rsidRPr="00F9546F">
        <w:rPr>
          <w:rFonts w:ascii="Times New Roman" w:hAnsi="Times New Roman"/>
          <w:sz w:val="24"/>
          <w:szCs w:val="24"/>
          <w:u w:val="single"/>
        </w:rPr>
        <w:t xml:space="preserve">Chase Frost v. Provident Life </w:t>
      </w:r>
      <w:proofErr w:type="gramStart"/>
      <w:r w:rsidRPr="00F9546F">
        <w:rPr>
          <w:rFonts w:ascii="Times New Roman" w:hAnsi="Times New Roman"/>
          <w:sz w:val="24"/>
          <w:szCs w:val="24"/>
          <w:u w:val="single"/>
        </w:rPr>
        <w:t>And</w:t>
      </w:r>
      <w:proofErr w:type="gramEnd"/>
      <w:r w:rsidRPr="00F9546F">
        <w:rPr>
          <w:rFonts w:ascii="Times New Roman" w:hAnsi="Times New Roman"/>
          <w:sz w:val="24"/>
          <w:szCs w:val="24"/>
          <w:u w:val="single"/>
        </w:rPr>
        <w:t xml:space="preserve"> Accident Insurance Company</w:t>
      </w:r>
      <w:r>
        <w:rPr>
          <w:rFonts w:ascii="Times New Roman" w:hAnsi="Times New Roman"/>
          <w:sz w:val="24"/>
          <w:szCs w:val="24"/>
        </w:rPr>
        <w:t xml:space="preserve">, U.S. District Court Judge Jan Dubois, Eastern District of Pennsylvania, held that the insurance company was authorized to terminate the FF from disability benefits in 2017 since he was able to return to work.  </w:t>
      </w:r>
      <w:r w:rsidRPr="00F9546F">
        <w:rPr>
          <w:rFonts w:ascii="Times New Roman" w:hAnsi="Times New Roman"/>
          <w:sz w:val="24"/>
          <w:szCs w:val="24"/>
        </w:rPr>
        <w:t>In 2016, plaintiff was hired by the City of Philadelphia as a Fire Services Paramedic</w:t>
      </w:r>
      <w:r>
        <w:rPr>
          <w:rFonts w:ascii="Times New Roman" w:hAnsi="Times New Roman"/>
          <w:sz w:val="24"/>
          <w:szCs w:val="24"/>
        </w:rPr>
        <w:t xml:space="preserve"> cadet (but then was fired after failing a re-test)</w:t>
      </w:r>
      <w:r w:rsidRPr="00F9546F">
        <w:rPr>
          <w:rFonts w:ascii="Times New Roman" w:hAnsi="Times New Roman"/>
          <w:sz w:val="24"/>
          <w:szCs w:val="24"/>
        </w:rPr>
        <w:t>.</w:t>
      </w:r>
    </w:p>
    <w:p w14:paraId="3EFAA862"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9546F">
        <w:rPr>
          <w:rFonts w:ascii="Times New Roman" w:hAnsi="Times New Roman"/>
          <w:sz w:val="24"/>
          <w:szCs w:val="24"/>
        </w:rPr>
        <w:t xml:space="preserve">Plaintiff further alleged in that case </w:t>
      </w:r>
      <w:r>
        <w:rPr>
          <w:rFonts w:ascii="Times New Roman" w:hAnsi="Times New Roman"/>
          <w:sz w:val="24"/>
          <w:szCs w:val="24"/>
        </w:rPr>
        <w:t xml:space="preserve">[lawsuit against City of Philadelphia for firing him] </w:t>
      </w:r>
      <w:r w:rsidRPr="00F9546F">
        <w:rPr>
          <w:rFonts w:ascii="Times New Roman" w:hAnsi="Times New Roman"/>
          <w:sz w:val="24"/>
          <w:szCs w:val="24"/>
        </w:rPr>
        <w:t xml:space="preserve">that he was </w:t>
      </w:r>
      <w:r>
        <w:rPr>
          <w:rFonts w:ascii="Times New Roman" w:hAnsi="Times New Roman"/>
          <w:sz w:val="24"/>
          <w:szCs w:val="24"/>
        </w:rPr>
        <w:t>‘</w:t>
      </w:r>
      <w:r w:rsidRPr="00F9546F">
        <w:rPr>
          <w:rFonts w:ascii="Times New Roman" w:hAnsi="Times New Roman"/>
          <w:sz w:val="24"/>
          <w:szCs w:val="24"/>
        </w:rPr>
        <w:t xml:space="preserve">a registered Paramedic with the National Registry of Emergency Technicians [], certified as a Paramedic with the Pennsylvania Department of Health, has over five (5) years of experience and education as a Paramedic, and has well over 1, 100 hours of field internship </w:t>
      </w:r>
      <w:proofErr w:type="spellStart"/>
      <w:r w:rsidRPr="00F9546F">
        <w:rPr>
          <w:rFonts w:ascii="Times New Roman" w:hAnsi="Times New Roman"/>
          <w:sz w:val="24"/>
          <w:szCs w:val="24"/>
        </w:rPr>
        <w:t>experience.</w:t>
      </w:r>
      <w:r>
        <w:rPr>
          <w:rFonts w:ascii="Times New Roman" w:hAnsi="Times New Roman"/>
          <w:sz w:val="24"/>
          <w:szCs w:val="24"/>
        </w:rPr>
        <w:t>’</w:t>
      </w:r>
      <w:r w:rsidRPr="00F9546F">
        <w:rPr>
          <w:rStyle w:val="Emphasis"/>
          <w:rFonts w:ascii="Times New Roman" w:hAnsi="Times New Roman"/>
          <w:sz w:val="24"/>
          <w:szCs w:val="24"/>
        </w:rPr>
        <w:t>Id</w:t>
      </w:r>
      <w:proofErr w:type="spellEnd"/>
      <w:r w:rsidRPr="00F9546F">
        <w:rPr>
          <w:rFonts w:ascii="Times New Roman" w:hAnsi="Times New Roman"/>
          <w:sz w:val="24"/>
          <w:szCs w:val="24"/>
        </w:rPr>
        <w:t>. ¶ 29.</w:t>
      </w:r>
    </w:p>
    <w:p w14:paraId="311A8D3F"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62A974F7"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F9546F">
        <w:rPr>
          <w:rFonts w:ascii="Times New Roman" w:hAnsi="Times New Roman"/>
          <w:sz w:val="24"/>
          <w:szCs w:val="24"/>
        </w:rPr>
        <w:t xml:space="preserve">On June 17, 2019, Judge Baylson </w:t>
      </w:r>
      <w:r>
        <w:rPr>
          <w:rFonts w:ascii="Times New Roman" w:hAnsi="Times New Roman"/>
          <w:sz w:val="24"/>
          <w:szCs w:val="24"/>
        </w:rPr>
        <w:t xml:space="preserve">[in the Philadelphia case] </w:t>
      </w:r>
      <w:r w:rsidRPr="00F9546F">
        <w:rPr>
          <w:rFonts w:ascii="Times New Roman" w:hAnsi="Times New Roman"/>
          <w:sz w:val="24"/>
          <w:szCs w:val="24"/>
        </w:rPr>
        <w:t xml:space="preserve">granted the City's Motion, concluding that: (1) although plaintiff “was qualified to perform the position of FSP [i.e., Fire Services Paramedic] cadet” with reasonable accommodations, (2) he failed to show that the City's justification for terminating him-the fact that he </w:t>
      </w:r>
      <w:r>
        <w:rPr>
          <w:rFonts w:ascii="Times New Roman" w:hAnsi="Times New Roman"/>
          <w:sz w:val="24"/>
          <w:szCs w:val="24"/>
        </w:rPr>
        <w:t>‘</w:t>
      </w:r>
      <w:r w:rsidRPr="00F9546F">
        <w:rPr>
          <w:rFonts w:ascii="Times New Roman" w:hAnsi="Times New Roman"/>
          <w:sz w:val="24"/>
          <w:szCs w:val="24"/>
        </w:rPr>
        <w:t>fail[ed] a retest</w:t>
      </w:r>
      <w:r>
        <w:rPr>
          <w:rFonts w:ascii="Times New Roman" w:hAnsi="Times New Roman"/>
          <w:sz w:val="24"/>
          <w:szCs w:val="24"/>
        </w:rPr>
        <w:t>’</w:t>
      </w:r>
      <w:r w:rsidRPr="00F9546F">
        <w:rPr>
          <w:rFonts w:ascii="Times New Roman" w:hAnsi="Times New Roman"/>
          <w:sz w:val="24"/>
          <w:szCs w:val="24"/>
        </w:rPr>
        <w:t xml:space="preserve"> at the Fire Academy-was pretextual. 2019 WL 2516987, at *6-8.</w:t>
      </w:r>
    </w:p>
    <w:p w14:paraId="19F901B9"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0C3CF75"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F9546F">
        <w:rPr>
          <w:rFonts w:ascii="Times New Roman" w:hAnsi="Times New Roman"/>
          <w:sz w:val="24"/>
          <w:szCs w:val="24"/>
        </w:rPr>
        <w:t xml:space="preserve">For the foregoing reasons, collateral estoppel bars plaintiff from relitigating the issue of whether he </w:t>
      </w:r>
      <w:proofErr w:type="gramStart"/>
      <w:r w:rsidRPr="00F9546F">
        <w:rPr>
          <w:rFonts w:ascii="Times New Roman" w:hAnsi="Times New Roman"/>
          <w:sz w:val="24"/>
          <w:szCs w:val="24"/>
        </w:rPr>
        <w:t>is able to</w:t>
      </w:r>
      <w:proofErr w:type="gramEnd"/>
      <w:r w:rsidRPr="00F9546F">
        <w:rPr>
          <w:rFonts w:ascii="Times New Roman" w:hAnsi="Times New Roman"/>
          <w:sz w:val="24"/>
          <w:szCs w:val="24"/>
        </w:rPr>
        <w:t xml:space="preserve"> perform an occupation with reasonable accommodations.</w:t>
      </w:r>
      <w:r>
        <w:rPr>
          <w:rFonts w:ascii="Times New Roman" w:hAnsi="Times New Roman"/>
          <w:sz w:val="24"/>
          <w:szCs w:val="24"/>
        </w:rPr>
        <w:t xml:space="preserve">” </w:t>
      </w:r>
      <w:hyperlink r:id="rId1744" w:history="1">
        <w:r w:rsidRPr="004A379F">
          <w:rPr>
            <w:rStyle w:val="Hyperlink"/>
            <w:sz w:val="24"/>
            <w:szCs w:val="24"/>
          </w:rPr>
          <w:t>https://casetext.com/case/frost-v-provident-life-and-accident-insurance-co-1</w:t>
        </w:r>
      </w:hyperlink>
      <w:r>
        <w:rPr>
          <w:rFonts w:ascii="Times New Roman" w:hAnsi="Times New Roman"/>
          <w:sz w:val="24"/>
          <w:szCs w:val="24"/>
        </w:rPr>
        <w:t xml:space="preserve"> </w:t>
      </w:r>
    </w:p>
    <w:p w14:paraId="7E303FF5" w14:textId="77777777" w:rsidR="005217D5" w:rsidRDefault="005217D5" w:rsidP="005C30A4">
      <w:pPr>
        <w:pStyle w:val="NoSpacing"/>
        <w:rPr>
          <w:sz w:val="24"/>
          <w:szCs w:val="24"/>
        </w:rPr>
      </w:pPr>
    </w:p>
    <w:p w14:paraId="428A076C" w14:textId="77777777" w:rsidR="005217D5" w:rsidRDefault="005217D5" w:rsidP="005C30A4">
      <w:pPr>
        <w:pStyle w:val="NoSpacing"/>
        <w:rPr>
          <w:rFonts w:ascii="Arial Black" w:hAnsi="Arial Black"/>
          <w:b/>
          <w:sz w:val="24"/>
          <w:szCs w:val="24"/>
        </w:rPr>
      </w:pPr>
    </w:p>
    <w:p w14:paraId="2071461D" w14:textId="77777777" w:rsidR="005217D5" w:rsidRDefault="005217D5" w:rsidP="005C30A4">
      <w:pPr>
        <w:pStyle w:val="NoSpacing"/>
        <w:rPr>
          <w:rFonts w:ascii="Arial Black" w:hAnsi="Arial Black"/>
          <w:b/>
          <w:sz w:val="24"/>
          <w:szCs w:val="24"/>
        </w:rPr>
      </w:pPr>
    </w:p>
    <w:p w14:paraId="5A883879" w14:textId="444B8670" w:rsidR="007F3C7D" w:rsidRDefault="007F3C7D" w:rsidP="005C30A4">
      <w:pPr>
        <w:pStyle w:val="NoSpacing"/>
        <w:rPr>
          <w:rFonts w:ascii="Arial Black" w:hAnsi="Arial Black"/>
          <w:b/>
          <w:sz w:val="24"/>
          <w:szCs w:val="24"/>
        </w:rPr>
      </w:pPr>
      <w:r>
        <w:rPr>
          <w:rFonts w:ascii="Arial Black" w:hAnsi="Arial Black"/>
          <w:b/>
          <w:sz w:val="24"/>
          <w:szCs w:val="24"/>
        </w:rPr>
        <w:t>9-19</w:t>
      </w:r>
    </w:p>
    <w:p w14:paraId="17AB01F7" w14:textId="77777777" w:rsidR="007F3C7D" w:rsidRPr="00DD5323" w:rsidRDefault="007F3C7D" w:rsidP="007F3C7D">
      <w:pPr>
        <w:rPr>
          <w:rFonts w:ascii="Arial Black" w:hAnsi="Arial Black"/>
          <w:sz w:val="28"/>
          <w:szCs w:val="28"/>
        </w:rPr>
      </w:pPr>
      <w:bookmarkStart w:id="349" w:name="_Hlk66948236"/>
      <w:r>
        <w:rPr>
          <w:rFonts w:ascii="Arial Black" w:hAnsi="Arial Black"/>
          <w:sz w:val="28"/>
          <w:szCs w:val="28"/>
        </w:rPr>
        <w:t>AL: FF HEARING LOSS ONE EAR / TUMOR – FIRED, NO ACCOMMODATION – FAILED TO FILE EEOC CHARGE WITHIN 180 DAYS OF FIRING</w:t>
      </w:r>
    </w:p>
    <w:p w14:paraId="167726DE" w14:textId="77777777" w:rsidR="007F3C7D" w:rsidRDefault="007F3C7D" w:rsidP="007F3C7D">
      <w:pPr>
        <w:pStyle w:val="NoSpacing"/>
        <w:rPr>
          <w:rFonts w:ascii="Times New Roman" w:hAnsi="Times New Roman"/>
          <w:sz w:val="24"/>
          <w:szCs w:val="24"/>
        </w:rPr>
      </w:pPr>
      <w:r w:rsidRPr="005478D8">
        <w:rPr>
          <w:rFonts w:ascii="Times New Roman" w:hAnsi="Times New Roman"/>
          <w:sz w:val="24"/>
          <w:szCs w:val="24"/>
        </w:rPr>
        <w:t xml:space="preserve">On Jan. 21, 2021, in </w:t>
      </w:r>
      <w:r w:rsidRPr="005478D8">
        <w:rPr>
          <w:rFonts w:ascii="Times New Roman" w:hAnsi="Times New Roman"/>
          <w:sz w:val="24"/>
          <w:szCs w:val="24"/>
          <w:u w:val="single"/>
        </w:rPr>
        <w:t>Anthony M. Milner v. The City of Montgomery, Alabama</w:t>
      </w:r>
      <w:r>
        <w:rPr>
          <w:rFonts w:ascii="Times New Roman" w:hAnsi="Times New Roman"/>
          <w:sz w:val="24"/>
          <w:szCs w:val="24"/>
        </w:rPr>
        <w:t xml:space="preserve">, U.S. District Court Judge Myron H. Thompson, U.S. District Court for the Middle District of Alabama (Northern Division) granted the defense motion to dismiss, holding that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Disabilities Act he had to file EEOC charge within 180 days of firing, not when his appeal to City Personnel Department was denied.  Even if the EEOC online charging portal was shut down during the federal government’s closure [</w:t>
      </w:r>
      <w:r w:rsidRPr="005478D8">
        <w:rPr>
          <w:rFonts w:ascii="Times New Roman" w:hAnsi="Times New Roman"/>
          <w:sz w:val="24"/>
          <w:szCs w:val="24"/>
        </w:rPr>
        <w:t>December 22, 2018, and January 25, 2019]</w:t>
      </w:r>
      <w:r>
        <w:rPr>
          <w:rFonts w:ascii="Times New Roman" w:hAnsi="Times New Roman"/>
          <w:sz w:val="24"/>
          <w:szCs w:val="24"/>
        </w:rPr>
        <w:t xml:space="preserve"> when President Trump and Congress could not agree on an appropriations bill, either Milner or his attorney could have filed the charge by mail. </w:t>
      </w:r>
    </w:p>
    <w:bookmarkEnd w:id="349"/>
    <w:p w14:paraId="741AC6B9" w14:textId="77777777" w:rsidR="007F3C7D" w:rsidRDefault="007F3C7D" w:rsidP="007F3C7D">
      <w:pPr>
        <w:pStyle w:val="NoSpacing"/>
        <w:rPr>
          <w:rFonts w:ascii="Times New Roman" w:hAnsi="Times New Roman"/>
          <w:sz w:val="24"/>
          <w:szCs w:val="24"/>
        </w:rPr>
      </w:pPr>
    </w:p>
    <w:p w14:paraId="42468A43"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r w:rsidRPr="00D735DB">
        <w:rPr>
          <w:rFonts w:ascii="Times New Roman" w:hAnsi="Times New Roman"/>
          <w:sz w:val="24"/>
          <w:szCs w:val="24"/>
        </w:rPr>
        <w:t xml:space="preserve">Milner received notice of his termination </w:t>
      </w:r>
      <w:r>
        <w:rPr>
          <w:rFonts w:ascii="Times New Roman" w:hAnsi="Times New Roman"/>
          <w:sz w:val="24"/>
          <w:szCs w:val="24"/>
        </w:rPr>
        <w:t xml:space="preserve">[on July 2] </w:t>
      </w:r>
      <w:r w:rsidRPr="00D735DB">
        <w:rPr>
          <w:rFonts w:ascii="Times New Roman" w:hAnsi="Times New Roman"/>
          <w:sz w:val="24"/>
          <w:szCs w:val="24"/>
        </w:rPr>
        <w:t xml:space="preserve">2018. He was told to return his equipment, and his dismissal was reflected in payroll. </w:t>
      </w:r>
      <w:r w:rsidRPr="00D735DB">
        <w:rPr>
          <w:rFonts w:ascii="Times New Roman" w:hAnsi="Times New Roman"/>
          <w:i/>
          <w:iCs/>
          <w:sz w:val="24"/>
          <w:szCs w:val="24"/>
        </w:rPr>
        <w:t>See</w:t>
      </w:r>
      <w:r w:rsidRPr="00D735DB">
        <w:rPr>
          <w:rFonts w:ascii="Times New Roman" w:hAnsi="Times New Roman"/>
          <w:sz w:val="24"/>
          <w:szCs w:val="24"/>
        </w:rPr>
        <w:t xml:space="preserve"> Termination Documents (doc. no. 12-2) at 2-3. The 180-day clock to file his charge with the EEOC began to run at that point. His appeal through the city's personnel department did not toll the running of this limitations period.</w:t>
      </w:r>
      <w:r>
        <w:rPr>
          <w:rFonts w:ascii="Times New Roman" w:hAnsi="Times New Roman"/>
          <w:sz w:val="24"/>
          <w:szCs w:val="24"/>
        </w:rPr>
        <w:t xml:space="preserve">”  </w:t>
      </w:r>
      <w:bookmarkStart w:id="350" w:name="_Hlk66948260"/>
      <w:r w:rsidR="00F00958">
        <w:fldChar w:fldCharType="begin"/>
      </w:r>
      <w:r w:rsidR="00F00958">
        <w:instrText xml:space="preserve"> HYPERLINK "https://law.justia.com/cases/federal/district-courts/alabama/almdce/2:2019cv00799/71056/23/" </w:instrText>
      </w:r>
      <w:r w:rsidR="00F00958">
        <w:fldChar w:fldCharType="separate"/>
      </w:r>
      <w:r w:rsidRPr="00574F77">
        <w:rPr>
          <w:rStyle w:val="Hyperlink"/>
          <w:rFonts w:ascii="Times New Roman" w:hAnsi="Times New Roman"/>
          <w:sz w:val="24"/>
          <w:szCs w:val="24"/>
        </w:rPr>
        <w:t>https://law.justia.com/cases/federal/district-courts/alabama/almdce/2:2019cv00799/71056/23/</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07895D73" w14:textId="77777777" w:rsidR="007F3C7D" w:rsidRDefault="007F3C7D" w:rsidP="007F3C7D">
      <w:pPr>
        <w:spacing w:before="100" w:beforeAutospacing="1" w:after="100" w:afterAutospacing="1" w:line="240" w:lineRule="auto"/>
        <w:rPr>
          <w:rFonts w:ascii="Times New Roman" w:hAnsi="Times New Roman"/>
          <w:b/>
          <w:bCs/>
          <w:sz w:val="24"/>
          <w:szCs w:val="24"/>
        </w:rPr>
      </w:pPr>
      <w:r w:rsidRPr="005A33C2">
        <w:rPr>
          <w:rFonts w:ascii="Times New Roman" w:hAnsi="Times New Roman"/>
          <w:b/>
          <w:bCs/>
          <w:sz w:val="24"/>
          <w:szCs w:val="24"/>
        </w:rPr>
        <w:t>Legal Lesson Learned</w:t>
      </w:r>
      <w:r>
        <w:rPr>
          <w:rFonts w:ascii="Times New Roman" w:hAnsi="Times New Roman"/>
          <w:b/>
          <w:bCs/>
          <w:sz w:val="24"/>
          <w:szCs w:val="24"/>
        </w:rPr>
        <w:t xml:space="preserve">: EEOC filing timelines are not extended when </w:t>
      </w:r>
      <w:proofErr w:type="gramStart"/>
      <w:r>
        <w:rPr>
          <w:rFonts w:ascii="Times New Roman" w:hAnsi="Times New Roman"/>
          <w:b/>
          <w:bCs/>
          <w:sz w:val="24"/>
          <w:szCs w:val="24"/>
        </w:rPr>
        <w:t>employee seeks</w:t>
      </w:r>
      <w:proofErr w:type="gramEnd"/>
      <w:r>
        <w:rPr>
          <w:rFonts w:ascii="Times New Roman" w:hAnsi="Times New Roman"/>
          <w:b/>
          <w:bCs/>
          <w:sz w:val="24"/>
          <w:szCs w:val="24"/>
        </w:rPr>
        <w:t xml:space="preserve"> internal appeal.</w:t>
      </w:r>
    </w:p>
    <w:p w14:paraId="3BD2A752" w14:textId="77777777" w:rsidR="007F3C7D" w:rsidRDefault="007F3C7D" w:rsidP="007F3C7D">
      <w:pPr>
        <w:spacing w:before="100" w:beforeAutospacing="1" w:after="100" w:afterAutospacing="1" w:line="240" w:lineRule="auto"/>
        <w:ind w:left="720"/>
        <w:rPr>
          <w:rFonts w:ascii="Times New Roman" w:hAnsi="Times New Roman"/>
          <w:sz w:val="24"/>
          <w:szCs w:val="24"/>
        </w:rPr>
      </w:pPr>
      <w:r w:rsidRPr="005A33C2">
        <w:rPr>
          <w:rFonts w:ascii="Times New Roman" w:hAnsi="Times New Roman"/>
          <w:sz w:val="24"/>
          <w:szCs w:val="24"/>
        </w:rPr>
        <w:t xml:space="preserve">Note:  See EEOC guidance: </w:t>
      </w:r>
      <w:r>
        <w:rPr>
          <w:rFonts w:ascii="Times New Roman" w:hAnsi="Times New Roman"/>
          <w:sz w:val="24"/>
          <w:szCs w:val="24"/>
        </w:rPr>
        <w:t>“</w:t>
      </w:r>
      <w:r w:rsidRPr="005A33C2">
        <w:rPr>
          <w:rFonts w:ascii="Times New Roman" w:hAnsi="Times New Roman"/>
          <w:sz w:val="24"/>
          <w:szCs w:val="24"/>
        </w:rPr>
        <w:t>Time limits for filing a charge with EEOC generally will not be extended while you attempt to resolve a dispute through another forum such as an internal grievance procedure, a union grievance, arbitration or mediation before filing a charge with EEOC. Other forums for resolution may be pursued at the same time as the processing of the EEOC charge.</w:t>
      </w:r>
      <w:r>
        <w:rPr>
          <w:rFonts w:ascii="Times New Roman" w:hAnsi="Times New Roman"/>
          <w:sz w:val="24"/>
          <w:szCs w:val="24"/>
        </w:rPr>
        <w:t xml:space="preserve">” </w:t>
      </w:r>
      <w:hyperlink r:id="rId1745" w:history="1">
        <w:r w:rsidRPr="00574F77">
          <w:rPr>
            <w:rStyle w:val="Hyperlink"/>
            <w:rFonts w:ascii="Times New Roman" w:hAnsi="Times New Roman"/>
            <w:sz w:val="24"/>
            <w:szCs w:val="24"/>
          </w:rPr>
          <w:t>https://www.eeoc.gov/time-limits-filing-charge</w:t>
        </w:r>
      </w:hyperlink>
      <w:r>
        <w:rPr>
          <w:rFonts w:ascii="Times New Roman" w:hAnsi="Times New Roman"/>
          <w:sz w:val="24"/>
          <w:szCs w:val="24"/>
        </w:rPr>
        <w:t xml:space="preserve"> </w:t>
      </w:r>
    </w:p>
    <w:bookmarkEnd w:id="350"/>
    <w:p w14:paraId="1B69C484" w14:textId="29871AC6" w:rsidR="007F3C7D" w:rsidRPr="00D735DB" w:rsidRDefault="007F3C7D" w:rsidP="007F3C7D">
      <w:pPr>
        <w:spacing w:before="100" w:beforeAutospacing="1" w:after="100" w:afterAutospacing="1" w:line="240" w:lineRule="auto"/>
        <w:ind w:left="720"/>
        <w:rPr>
          <w:rFonts w:ascii="Times New Roman" w:eastAsia="Times New Roman" w:hAnsi="Times New Roman"/>
          <w:sz w:val="24"/>
          <w:szCs w:val="24"/>
        </w:rPr>
      </w:pPr>
      <w:r w:rsidRPr="00E935C6">
        <w:rPr>
          <w:rFonts w:ascii="Times New Roman" w:hAnsi="Times New Roman"/>
          <w:sz w:val="24"/>
          <w:szCs w:val="24"/>
        </w:rPr>
        <w:t>See IAFC</w:t>
      </w:r>
      <w:r>
        <w:rPr>
          <w:rFonts w:ascii="Times New Roman" w:hAnsi="Times New Roman"/>
          <w:sz w:val="24"/>
          <w:szCs w:val="24"/>
        </w:rPr>
        <w:t xml:space="preserve"> Guide </w:t>
      </w:r>
      <w:proofErr w:type="gramStart"/>
      <w:r>
        <w:rPr>
          <w:rFonts w:ascii="Times New Roman" w:hAnsi="Times New Roman"/>
          <w:sz w:val="24"/>
          <w:szCs w:val="24"/>
        </w:rPr>
        <w:t>To</w:t>
      </w:r>
      <w:proofErr w:type="gramEnd"/>
      <w:r>
        <w:rPr>
          <w:rFonts w:ascii="Times New Roman" w:hAnsi="Times New Roman"/>
          <w:sz w:val="24"/>
          <w:szCs w:val="24"/>
        </w:rPr>
        <w:t xml:space="preserve"> Implementing NFPA 1582</w:t>
      </w:r>
      <w:r w:rsidRPr="00E935C6">
        <w:rPr>
          <w:rFonts w:ascii="Times New Roman" w:hAnsi="Times New Roman"/>
          <w:sz w:val="24"/>
          <w:szCs w:val="24"/>
        </w:rPr>
        <w:t>:  C</w:t>
      </w:r>
      <w:r>
        <w:rPr>
          <w:rFonts w:ascii="Times New Roman" w:hAnsi="Times New Roman"/>
          <w:sz w:val="24"/>
          <w:szCs w:val="24"/>
        </w:rPr>
        <w:t>ategory B M</w:t>
      </w:r>
      <w:r w:rsidRPr="00E935C6">
        <w:rPr>
          <w:rFonts w:ascii="Times New Roman" w:hAnsi="Times New Roman"/>
          <w:sz w:val="24"/>
          <w:szCs w:val="24"/>
        </w:rPr>
        <w:t>edical Condition</w:t>
      </w:r>
      <w:r>
        <w:rPr>
          <w:rFonts w:ascii="Times New Roman" w:hAnsi="Times New Roman"/>
          <w:sz w:val="24"/>
          <w:szCs w:val="24"/>
        </w:rPr>
        <w:t>: “</w:t>
      </w:r>
      <w:r w:rsidRPr="00E935C6">
        <w:rPr>
          <w:rFonts w:ascii="Times New Roman" w:hAnsi="Times New Roman"/>
          <w:sz w:val="24"/>
          <w:szCs w:val="24"/>
        </w:rPr>
        <w:t xml:space="preserve">A condition that, based on its severity or degree, could preclude hire but only if despite the condition the candidate ‘can perform the essential job tasks without posing a significant safety and health risk to themselves, members, or civilians’.” </w:t>
      </w:r>
      <w:hyperlink r:id="rId1746" w:history="1">
        <w:r w:rsidRPr="00E935C6">
          <w:rPr>
            <w:rStyle w:val="Hyperlink"/>
            <w:rFonts w:ascii="Times New Roman" w:hAnsi="Times New Roman"/>
            <w:sz w:val="24"/>
            <w:szCs w:val="24"/>
          </w:rPr>
          <w:t>https://www.iafc.org/docs/default-source/1vcos/vws_rrkit_nfpa-1582.pdf?sfvrsn=ca9b9f0d_2</w:t>
        </w:r>
      </w:hyperlink>
      <w:r w:rsidRPr="00E935C6">
        <w:rPr>
          <w:rFonts w:ascii="Times New Roman" w:hAnsi="Times New Roman"/>
          <w:sz w:val="24"/>
          <w:szCs w:val="24"/>
        </w:rPr>
        <w:t xml:space="preserve"> </w:t>
      </w:r>
    </w:p>
    <w:p w14:paraId="48E516DD" w14:textId="43A4B99F" w:rsidR="007F3C7D" w:rsidRPr="007F3C7D" w:rsidRDefault="007F3C7D" w:rsidP="007F3C7D">
      <w:pPr>
        <w:pStyle w:val="NoSpacing"/>
        <w:ind w:left="720"/>
        <w:rPr>
          <w:rFonts w:ascii="Times New Roman" w:hAnsi="Times New Roman"/>
          <w:b/>
          <w:sz w:val="24"/>
          <w:szCs w:val="24"/>
        </w:rPr>
      </w:pPr>
      <w:r w:rsidRPr="007F3C7D">
        <w:rPr>
          <w:rFonts w:ascii="Times New Roman" w:hAnsi="Times New Roman"/>
          <w:sz w:val="24"/>
          <w:szCs w:val="24"/>
        </w:rPr>
        <w:t xml:space="preserve">See NFPA on hearing loss (9/27/2016 amendment). Category B medical conditions shall include the following: (1) Unequal hearing loss ….  </w:t>
      </w:r>
      <w:hyperlink r:id="rId1747" w:history="1">
        <w:r w:rsidRPr="007F3C7D">
          <w:rPr>
            <w:rStyle w:val="Hyperlink"/>
            <w:rFonts w:ascii="Times New Roman" w:hAnsi="Times New Roman"/>
            <w:sz w:val="24"/>
            <w:szCs w:val="24"/>
          </w:rPr>
          <w:t>https://www.nfpa.org/assets/files/AboutTheCodes/1582/1582_A2017_FIX_AAA_SD_SRStatements.pdf</w:t>
        </w:r>
      </w:hyperlink>
    </w:p>
    <w:p w14:paraId="418B1957" w14:textId="77777777" w:rsidR="005217D5" w:rsidRPr="00150169" w:rsidRDefault="005217D5" w:rsidP="005217D5">
      <w:pPr>
        <w:spacing w:before="100" w:beforeAutospacing="1" w:after="100" w:afterAutospacing="1" w:line="240" w:lineRule="auto"/>
        <w:rPr>
          <w:rFonts w:ascii="Times New Roman" w:hAnsi="Times New Roman"/>
          <w:b/>
          <w:bCs/>
          <w:sz w:val="24"/>
          <w:szCs w:val="24"/>
        </w:rPr>
      </w:pPr>
      <w:r w:rsidRPr="00150169">
        <w:rPr>
          <w:rFonts w:ascii="Times New Roman" w:hAnsi="Times New Roman"/>
          <w:b/>
          <w:bCs/>
          <w:sz w:val="24"/>
          <w:szCs w:val="24"/>
        </w:rPr>
        <w:t xml:space="preserve">Legal Lesson Learned: </w:t>
      </w:r>
      <w:r>
        <w:rPr>
          <w:rFonts w:ascii="Times New Roman" w:hAnsi="Times New Roman"/>
          <w:b/>
          <w:bCs/>
          <w:sz w:val="24"/>
          <w:szCs w:val="24"/>
        </w:rPr>
        <w:t xml:space="preserve">Plaintiff’s continuing work experience as a paramedic was reasonable basis to stop disability payments. </w:t>
      </w:r>
    </w:p>
    <w:p w14:paraId="015E7838" w14:textId="77777777" w:rsidR="007F3C7D" w:rsidRDefault="007F3C7D" w:rsidP="005C30A4">
      <w:pPr>
        <w:pStyle w:val="NoSpacing"/>
        <w:rPr>
          <w:rFonts w:ascii="Arial Black" w:hAnsi="Arial Black"/>
          <w:b/>
          <w:sz w:val="24"/>
          <w:szCs w:val="24"/>
        </w:rPr>
      </w:pPr>
    </w:p>
    <w:p w14:paraId="6CEFBDDD" w14:textId="77777777" w:rsidR="007F3C7D" w:rsidRDefault="007F3C7D" w:rsidP="005C30A4">
      <w:pPr>
        <w:pStyle w:val="NoSpacing"/>
        <w:rPr>
          <w:rFonts w:ascii="Arial Black" w:hAnsi="Arial Black"/>
          <w:b/>
          <w:sz w:val="24"/>
          <w:szCs w:val="24"/>
        </w:rPr>
      </w:pPr>
    </w:p>
    <w:p w14:paraId="2DDC3926" w14:textId="02461147" w:rsidR="007F3C7D" w:rsidRDefault="007F3C7D" w:rsidP="005C30A4">
      <w:pPr>
        <w:pStyle w:val="NoSpacing"/>
        <w:rPr>
          <w:rFonts w:ascii="Arial Black" w:hAnsi="Arial Black"/>
          <w:b/>
          <w:sz w:val="24"/>
          <w:szCs w:val="24"/>
        </w:rPr>
      </w:pPr>
      <w:r>
        <w:rPr>
          <w:rFonts w:ascii="Arial Black" w:hAnsi="Arial Black"/>
          <w:b/>
          <w:sz w:val="24"/>
          <w:szCs w:val="24"/>
        </w:rPr>
        <w:t>9-18</w:t>
      </w:r>
    </w:p>
    <w:p w14:paraId="1B234738" w14:textId="77777777" w:rsidR="007F3C7D" w:rsidRPr="006E0926" w:rsidRDefault="007F3C7D" w:rsidP="007F3C7D">
      <w:pPr>
        <w:rPr>
          <w:rFonts w:ascii="Arial Black" w:hAnsi="Arial Black"/>
          <w:sz w:val="28"/>
          <w:szCs w:val="28"/>
        </w:rPr>
      </w:pPr>
      <w:bookmarkStart w:id="351" w:name="_Hlk66948312"/>
      <w:r>
        <w:rPr>
          <w:rFonts w:ascii="Arial Black" w:hAnsi="Arial Black"/>
          <w:sz w:val="28"/>
          <w:szCs w:val="28"/>
        </w:rPr>
        <w:t>PA: CADET WITH PROSTHETIC LEG – FAILED EMS TESTING ON PATIENT CARE PROTOCOLS – ADA LAWSUIT DISMISSED</w:t>
      </w:r>
    </w:p>
    <w:p w14:paraId="336FEDE9" w14:textId="77777777" w:rsidR="007F3C7D" w:rsidRPr="0021077E" w:rsidRDefault="007F3C7D" w:rsidP="007F3C7D">
      <w:pPr>
        <w:rPr>
          <w:rFonts w:ascii="Times New Roman" w:hAnsi="Times New Roman"/>
          <w:sz w:val="24"/>
          <w:szCs w:val="24"/>
        </w:rPr>
      </w:pPr>
      <w:r w:rsidRPr="0021077E">
        <w:rPr>
          <w:rFonts w:ascii="Times New Roman" w:hAnsi="Times New Roman"/>
          <w:sz w:val="24"/>
          <w:szCs w:val="24"/>
        </w:rPr>
        <w:t xml:space="preserve">On Jan. 6, 2021, in </w:t>
      </w:r>
      <w:r w:rsidRPr="0021077E">
        <w:rPr>
          <w:rFonts w:ascii="Times New Roman" w:hAnsi="Times New Roman"/>
          <w:sz w:val="24"/>
          <w:szCs w:val="24"/>
          <w:u w:val="single"/>
        </w:rPr>
        <w:t xml:space="preserve">Chase Frost v. City </w:t>
      </w:r>
      <w:r>
        <w:rPr>
          <w:rFonts w:ascii="Times New Roman" w:hAnsi="Times New Roman"/>
          <w:sz w:val="24"/>
          <w:szCs w:val="24"/>
          <w:u w:val="single"/>
        </w:rPr>
        <w:t>o</w:t>
      </w:r>
      <w:r w:rsidRPr="0021077E">
        <w:rPr>
          <w:rFonts w:ascii="Times New Roman" w:hAnsi="Times New Roman"/>
          <w:sz w:val="24"/>
          <w:szCs w:val="24"/>
          <w:u w:val="single"/>
        </w:rPr>
        <w:t>f Philadelphia</w:t>
      </w:r>
      <w:r w:rsidRPr="0021077E">
        <w:rPr>
          <w:rFonts w:ascii="Times New Roman" w:hAnsi="Times New Roman"/>
          <w:sz w:val="24"/>
          <w:szCs w:val="24"/>
        </w:rPr>
        <w:t xml:space="preserve">, </w:t>
      </w:r>
      <w:r>
        <w:rPr>
          <w:rFonts w:ascii="Times New Roman" w:hAnsi="Times New Roman"/>
          <w:sz w:val="24"/>
          <w:szCs w:val="24"/>
        </w:rPr>
        <w:t xml:space="preserve">the U.S. Court of Appeals for the Third Circuit, held (3 to 0; non precedential decision) that the U.S. District Court judge properly granted summary judgment for the City in its decision to terminate the cadet.  </w:t>
      </w:r>
    </w:p>
    <w:bookmarkEnd w:id="351"/>
    <w:p w14:paraId="6806D0D2" w14:textId="77777777" w:rsidR="007F3C7D" w:rsidRDefault="007F3C7D" w:rsidP="007F3C7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21077E">
        <w:rPr>
          <w:rFonts w:ascii="Times New Roman" w:hAnsi="Times New Roman"/>
          <w:sz w:val="24"/>
          <w:szCs w:val="24"/>
        </w:rPr>
        <w:t>Frost alleges that he was terminated from the 2016 Fire Academy because of his disability. The District Court held that although Frost met his initial burden to establish a prima facie case of wrongful termination, he failed to establish that the City's nondiscriminatory reason for his termination, because of his failed re-test, was pretextual. We agree that Frost cannot show pretext.</w:t>
      </w:r>
      <w:r>
        <w:rPr>
          <w:rFonts w:ascii="Times New Roman" w:hAnsi="Times New Roman"/>
          <w:sz w:val="24"/>
          <w:szCs w:val="24"/>
        </w:rPr>
        <w:t xml:space="preserve"> </w:t>
      </w:r>
    </w:p>
    <w:p w14:paraId="6885E593" w14:textId="77777777" w:rsidR="007F3C7D" w:rsidRPr="0021077E" w:rsidRDefault="007F3C7D" w:rsidP="007F3C7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3C517B5" w14:textId="77777777" w:rsidR="007F3C7D" w:rsidRDefault="007F3C7D" w:rsidP="007F3C7D">
      <w:pPr>
        <w:spacing w:before="100" w:beforeAutospacing="1" w:after="100" w:afterAutospacing="1" w:line="240" w:lineRule="auto"/>
        <w:ind w:left="720"/>
        <w:rPr>
          <w:rFonts w:ascii="Times New Roman" w:eastAsia="Times New Roman" w:hAnsi="Times New Roman"/>
          <w:sz w:val="24"/>
          <w:szCs w:val="24"/>
        </w:rPr>
      </w:pPr>
      <w:r w:rsidRPr="006E0926">
        <w:rPr>
          <w:rFonts w:ascii="Times New Roman" w:eastAsia="Times New Roman" w:hAnsi="Times New Roman"/>
          <w:sz w:val="24"/>
          <w:szCs w:val="24"/>
        </w:rPr>
        <w:t>He has not</w:t>
      </w:r>
      <w:r w:rsidRPr="0021077E">
        <w:rPr>
          <w:rFonts w:ascii="Times New Roman" w:eastAsia="Times New Roman" w:hAnsi="Times New Roman"/>
          <w:sz w:val="24"/>
          <w:szCs w:val="24"/>
        </w:rPr>
        <w:t xml:space="preserve"> </w:t>
      </w:r>
      <w:r w:rsidRPr="006E0926">
        <w:rPr>
          <w:rFonts w:ascii="Times New Roman" w:eastAsia="Times New Roman" w:hAnsi="Times New Roman"/>
          <w:sz w:val="24"/>
          <w:szCs w:val="24"/>
        </w:rPr>
        <w:t>produced a cadet who failed a re-test and was treated more favorably than him. In fact, all other cadets who failed re-tests were also terminated. Other cadets who are not similarly situated cannot be used to establish pretext. Frost has not offered any other reason to believe that the City's proffered reason for his termination was pretextual.</w:t>
      </w:r>
      <w:r>
        <w:rPr>
          <w:rFonts w:ascii="Times New Roman" w:eastAsia="Times New Roman" w:hAnsi="Times New Roman"/>
          <w:sz w:val="24"/>
          <w:szCs w:val="24"/>
        </w:rPr>
        <w:t>”</w:t>
      </w:r>
      <w:r w:rsidRPr="0021077E">
        <w:t xml:space="preserve"> </w:t>
      </w:r>
      <w:bookmarkStart w:id="352" w:name="_Hlk66948333"/>
      <w:r w:rsidR="00F00958">
        <w:fldChar w:fldCharType="begin"/>
      </w:r>
      <w:r w:rsidR="00F00958">
        <w:instrText xml:space="preserve"> HYPERLINK "https://law.justia.com/cases/federal/appellate-courts/ca3/19-2636/19-2636-2021-01-06.html" </w:instrText>
      </w:r>
      <w:r w:rsidR="00F00958">
        <w:fldChar w:fldCharType="separate"/>
      </w:r>
      <w:r w:rsidRPr="00741B4E">
        <w:rPr>
          <w:rStyle w:val="Hyperlink"/>
          <w:rFonts w:ascii="Times New Roman" w:eastAsia="Times New Roman" w:hAnsi="Times New Roman"/>
          <w:sz w:val="24"/>
          <w:szCs w:val="24"/>
        </w:rPr>
        <w:t>https://law.justia.com/cases/federal/appellate-courts/ca3/19-2636/19-2636-2021-01-06.html</w:t>
      </w:r>
      <w:r w:rsidR="00F00958">
        <w:rPr>
          <w:rStyle w:val="Hyperlink"/>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14:paraId="7775D916" w14:textId="77777777" w:rsidR="007F3C7D" w:rsidRPr="00CF503B" w:rsidRDefault="007F3C7D" w:rsidP="007F3C7D">
      <w:pPr>
        <w:pStyle w:val="NormalWeb"/>
        <w:rPr>
          <w:b/>
          <w:bCs/>
        </w:rPr>
      </w:pPr>
      <w:r w:rsidRPr="00CF503B">
        <w:rPr>
          <w:b/>
          <w:bCs/>
        </w:rPr>
        <w:t>Legal Lesson Learned:</w:t>
      </w:r>
      <w:r>
        <w:rPr>
          <w:b/>
          <w:bCs/>
        </w:rPr>
        <w:t xml:space="preserve">  It is unfortunate that this disabled cadet failed the patient protocol exam, but this is an essential job requirement. </w:t>
      </w:r>
    </w:p>
    <w:bookmarkEnd w:id="352"/>
    <w:p w14:paraId="5F507C3E" w14:textId="77777777" w:rsidR="007F3C7D" w:rsidRDefault="007F3C7D" w:rsidP="005C30A4">
      <w:pPr>
        <w:pStyle w:val="NoSpacing"/>
        <w:rPr>
          <w:rFonts w:ascii="Arial Black" w:hAnsi="Arial Black"/>
          <w:b/>
          <w:sz w:val="24"/>
          <w:szCs w:val="24"/>
        </w:rPr>
      </w:pPr>
    </w:p>
    <w:p w14:paraId="05E13BEC" w14:textId="77777777" w:rsidR="007F3C7D" w:rsidRDefault="007F3C7D" w:rsidP="005C30A4">
      <w:pPr>
        <w:pStyle w:val="NoSpacing"/>
        <w:rPr>
          <w:rFonts w:ascii="Arial Black" w:hAnsi="Arial Black"/>
          <w:b/>
          <w:sz w:val="24"/>
          <w:szCs w:val="24"/>
        </w:rPr>
      </w:pPr>
    </w:p>
    <w:p w14:paraId="1308F5A5" w14:textId="2DBB4F62" w:rsidR="00383EFC" w:rsidRPr="0031119E" w:rsidRDefault="00383EFC" w:rsidP="005C30A4">
      <w:pPr>
        <w:pStyle w:val="NoSpacing"/>
        <w:rPr>
          <w:rFonts w:ascii="Times New Roman" w:hAnsi="Times New Roman"/>
          <w:bCs/>
          <w:sz w:val="24"/>
          <w:szCs w:val="24"/>
        </w:rPr>
      </w:pPr>
      <w:r>
        <w:rPr>
          <w:rFonts w:ascii="Arial Black" w:hAnsi="Arial Black"/>
          <w:b/>
          <w:sz w:val="24"/>
          <w:szCs w:val="24"/>
        </w:rPr>
        <w:t>9-1</w:t>
      </w:r>
      <w:r w:rsidR="0031119E">
        <w:rPr>
          <w:rFonts w:ascii="Arial Black" w:hAnsi="Arial Black"/>
          <w:b/>
          <w:sz w:val="24"/>
          <w:szCs w:val="24"/>
        </w:rPr>
        <w:t xml:space="preserve">7 </w:t>
      </w:r>
      <w:r w:rsidR="0031119E">
        <w:rPr>
          <w:rFonts w:ascii="Times New Roman" w:hAnsi="Times New Roman"/>
          <w:bCs/>
          <w:sz w:val="24"/>
          <w:szCs w:val="24"/>
        </w:rPr>
        <w:t xml:space="preserve">[Also filed, Chap. 8] </w:t>
      </w:r>
    </w:p>
    <w:p w14:paraId="51D05885" w14:textId="77777777" w:rsidR="00383EFC" w:rsidRPr="00C03B09" w:rsidRDefault="00383EFC" w:rsidP="00383EFC">
      <w:pPr>
        <w:pStyle w:val="NoSpacing"/>
        <w:rPr>
          <w:rFonts w:ascii="Arial Black" w:hAnsi="Arial Black"/>
          <w:sz w:val="28"/>
          <w:szCs w:val="28"/>
        </w:rPr>
      </w:pPr>
      <w:bookmarkStart w:id="353" w:name="_Hlk57626474"/>
      <w:r>
        <w:rPr>
          <w:rFonts w:ascii="Arial Black" w:hAnsi="Arial Black"/>
          <w:sz w:val="28"/>
          <w:szCs w:val="28"/>
        </w:rPr>
        <w:t xml:space="preserve">FL:  FDNY CHANGED GROOMING POLICY – REQUIRES CLEAN SHAVE – NOW ON APPEAL – JACKSONVILLE FF LAWSUIT </w:t>
      </w:r>
    </w:p>
    <w:p w14:paraId="40E0D656" w14:textId="77777777" w:rsidR="00383EFC" w:rsidRPr="00473C64" w:rsidRDefault="00383EFC" w:rsidP="00383EFC">
      <w:pPr>
        <w:spacing w:before="100" w:beforeAutospacing="1" w:after="100" w:afterAutospacing="1" w:line="240" w:lineRule="auto"/>
        <w:rPr>
          <w:rFonts w:ascii="Times New Roman" w:hAnsi="Times New Roman"/>
          <w:sz w:val="24"/>
          <w:szCs w:val="24"/>
        </w:rPr>
      </w:pPr>
      <w:r w:rsidRPr="00473C64">
        <w:rPr>
          <w:rFonts w:ascii="Times New Roman" w:hAnsi="Times New Roman"/>
          <w:sz w:val="24"/>
          <w:szCs w:val="24"/>
        </w:rPr>
        <w:t xml:space="preserve">Nov. 25, 2020, “Black firefighters sue over Jacksonville policy requiring crews to be cleanshaven.”  It </w:t>
      </w:r>
      <w:proofErr w:type="gramStart"/>
      <w:r w:rsidRPr="00473C64">
        <w:rPr>
          <w:rFonts w:ascii="Times New Roman" w:hAnsi="Times New Roman"/>
          <w:sz w:val="24"/>
          <w:szCs w:val="24"/>
        </w:rPr>
        <w:t>referenced</w:t>
      </w:r>
      <w:proofErr w:type="gramEnd"/>
      <w:r w:rsidRPr="00473C64">
        <w:rPr>
          <w:rFonts w:ascii="Times New Roman" w:hAnsi="Times New Roman"/>
          <w:sz w:val="24"/>
          <w:szCs w:val="24"/>
        </w:rPr>
        <w:t xml:space="preserve"> a lawsuit by FDNY firefighters. </w:t>
      </w:r>
      <w:hyperlink r:id="rId1748" w:history="1">
        <w:r w:rsidRPr="00473C64">
          <w:rPr>
            <w:rStyle w:val="Hyperlink"/>
            <w:rFonts w:ascii="Times New Roman" w:hAnsi="Times New Roman"/>
            <w:sz w:val="24"/>
            <w:szCs w:val="24"/>
          </w:rPr>
          <w:t>https://www.jacksonville.com/story/news/courts/2020/11/25/jacksonville-lawsuit-cleanshaven-rule-unfair-black-firefighters/6406374002/</w:t>
        </w:r>
      </w:hyperlink>
    </w:p>
    <w:p w14:paraId="0C8B69ED" w14:textId="77777777" w:rsidR="00383EFC" w:rsidRDefault="00383EFC" w:rsidP="00383EFC">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City of New York lost their case on Jan. 29, 2020, and has filed an appeal to the U.S. Court of Appeals for Second District. </w:t>
      </w:r>
      <w:r>
        <w:rPr>
          <w:rFonts w:ascii="Times New Roman" w:hAnsi="Times New Roman"/>
          <w:sz w:val="24"/>
          <w:szCs w:val="24"/>
        </w:rPr>
        <w:t xml:space="preserve">On July 2, 2020, the plaintiff firefighters filed their reply brief in the U.S. Court of Appeals for Second Circuit. </w:t>
      </w:r>
      <w:hyperlink r:id="rId1749" w:history="1">
        <w:r w:rsidRPr="007578D7">
          <w:rPr>
            <w:rStyle w:val="Hyperlink"/>
            <w:rFonts w:ascii="Times New Roman" w:hAnsi="Times New Roman"/>
            <w:sz w:val="24"/>
            <w:szCs w:val="24"/>
          </w:rPr>
          <w:t>https://www.law.georgetown.edu/icap/wp-content/uploads/sites/32/2020/07/Bey-2d-Cir.-Opening-Brief-FINAL-7-7-2020.pdf</w:t>
        </w:r>
      </w:hyperlink>
      <w:r>
        <w:rPr>
          <w:rFonts w:ascii="Times New Roman" w:hAnsi="Times New Roman"/>
          <w:sz w:val="24"/>
          <w:szCs w:val="24"/>
        </w:rPr>
        <w:t xml:space="preserve"> </w:t>
      </w:r>
    </w:p>
    <w:p w14:paraId="5B6B63EA" w14:textId="77777777" w:rsidR="00383EFC" w:rsidRDefault="00383EFC" w:rsidP="00383EFC">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29, 2020, in </w:t>
      </w:r>
      <w:r w:rsidRPr="00D115C7">
        <w:rPr>
          <w:rFonts w:ascii="Times New Roman" w:eastAsia="Times New Roman" w:hAnsi="Times New Roman"/>
          <w:sz w:val="24"/>
          <w:szCs w:val="24"/>
          <w:u w:val="single"/>
        </w:rPr>
        <w:t>Salik Bey, et al. v. City of New York, Daniel Nigro, et al</w:t>
      </w:r>
      <w:r>
        <w:rPr>
          <w:rFonts w:ascii="Times New Roman" w:eastAsia="Times New Roman" w:hAnsi="Times New Roman"/>
          <w:sz w:val="24"/>
          <w:szCs w:val="24"/>
        </w:rPr>
        <w:t>., 437 F. Supp. 3</w:t>
      </w:r>
      <w:r w:rsidRPr="009562EF">
        <w:rPr>
          <w:rFonts w:ascii="Times New Roman" w:eastAsia="Times New Roman" w:hAnsi="Times New Roman"/>
          <w:sz w:val="24"/>
          <w:szCs w:val="24"/>
          <w:vertAlign w:val="superscript"/>
        </w:rPr>
        <w:t>rd</w:t>
      </w:r>
      <w:r>
        <w:rPr>
          <w:rFonts w:ascii="Times New Roman" w:eastAsia="Times New Roman" w:hAnsi="Times New Roman"/>
          <w:sz w:val="24"/>
          <w:szCs w:val="24"/>
        </w:rPr>
        <w:t xml:space="preserve"> 2222, Senior U.S. District Court Judge Jack B. Weinstein, U.S. District Court for Eastern District of New York ordered FDNY to return to their former grooming policy (Aug. 2015 – Dec. 2017) which allowed </w:t>
      </w:r>
      <w:r w:rsidRPr="00CB7445">
        <w:rPr>
          <w:rFonts w:ascii="Times New Roman" w:eastAsia="Times New Roman" w:hAnsi="Times New Roman"/>
          <w:sz w:val="24"/>
          <w:szCs w:val="24"/>
        </w:rPr>
        <w:t>facial hair in the chin, cheek and neck area if it did not cause leakage around the mask's seal</w:t>
      </w:r>
      <w:r>
        <w:rPr>
          <w:rFonts w:ascii="Times New Roman" w:eastAsia="Times New Roman" w:hAnsi="Times New Roman"/>
          <w:sz w:val="24"/>
          <w:szCs w:val="24"/>
        </w:rPr>
        <w:t>.   Under the new policy: “</w:t>
      </w:r>
      <w:r w:rsidRPr="00313B2C">
        <w:rPr>
          <w:rFonts w:ascii="Times New Roman" w:hAnsi="Times New Roman"/>
          <w:sz w:val="24"/>
          <w:szCs w:val="24"/>
        </w:rPr>
        <w:t>If Plaintiffs shaved all facial hair in the chin area, they would maintain their status as full duty firefighters; otherwise, they would be placed on light duty.</w:t>
      </w:r>
      <w:r>
        <w:rPr>
          <w:rFonts w:ascii="Times New Roman" w:hAnsi="Times New Roman"/>
          <w:sz w:val="24"/>
          <w:szCs w:val="24"/>
        </w:rPr>
        <w:t xml:space="preserve">” </w:t>
      </w:r>
    </w:p>
    <w:p w14:paraId="41E4F867" w14:textId="77777777" w:rsidR="00383EFC" w:rsidRDefault="00383EFC" w:rsidP="00383EF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Judge Weinstein’s decision: </w:t>
      </w:r>
    </w:p>
    <w:p w14:paraId="081A4C95" w14:textId="77777777" w:rsidR="00383EFC" w:rsidRDefault="00383EFC" w:rsidP="00383EF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C3A40">
        <w:rPr>
          <w:rFonts w:ascii="Times New Roman" w:hAnsi="Times New Roman"/>
          <w:sz w:val="24"/>
          <w:szCs w:val="24"/>
        </w:rPr>
        <w:t xml:space="preserve">Defendants admit that no heightened safety risk to firefighters or the public was presented by the accommodation previously in effect. Two and a half years passed without incident, and Plaintiffs continued to perform their jobs satisfactorily. </w:t>
      </w:r>
      <w:proofErr w:type="gramStart"/>
      <w:r w:rsidRPr="00FC3A40">
        <w:rPr>
          <w:rFonts w:ascii="Times New Roman" w:hAnsi="Times New Roman"/>
          <w:sz w:val="24"/>
          <w:szCs w:val="24"/>
        </w:rPr>
        <w:t>The FDNY's</w:t>
      </w:r>
      <w:proofErr w:type="gramEnd"/>
      <w:r w:rsidRPr="00FC3A40">
        <w:rPr>
          <w:rFonts w:ascii="Times New Roman" w:hAnsi="Times New Roman"/>
          <w:sz w:val="24"/>
          <w:szCs w:val="24"/>
        </w:rPr>
        <w:t xml:space="preserve"> decision to abandon the prior accommodation was not based on any actual safety risks to firefighters or the public. Rather, driving the calculus was bureaucracy. Defendants cite no case law indicating that such bureaucratic considerations are a viable undue hardship defense; the court declines </w:t>
      </w:r>
      <w:proofErr w:type="gramStart"/>
      <w:r w:rsidRPr="00FC3A40">
        <w:rPr>
          <w:rFonts w:ascii="Times New Roman" w:hAnsi="Times New Roman"/>
          <w:sz w:val="24"/>
          <w:szCs w:val="24"/>
        </w:rPr>
        <w:t>to so</w:t>
      </w:r>
      <w:proofErr w:type="gramEnd"/>
      <w:r w:rsidRPr="00FC3A40">
        <w:rPr>
          <w:rFonts w:ascii="Times New Roman" w:hAnsi="Times New Roman"/>
          <w:sz w:val="24"/>
          <w:szCs w:val="24"/>
        </w:rPr>
        <w:t xml:space="preserve"> find</w:t>
      </w:r>
      <w:proofErr w:type="gramStart"/>
      <w:r>
        <w:rPr>
          <w:rFonts w:ascii="Times New Roman" w:hAnsi="Times New Roman"/>
          <w:sz w:val="24"/>
          <w:szCs w:val="24"/>
        </w:rPr>
        <w:t>.”</w:t>
      </w:r>
      <w:proofErr w:type="gramEnd"/>
      <w:r>
        <w:rPr>
          <w:rFonts w:ascii="Times New Roman" w:hAnsi="Times New Roman"/>
          <w:sz w:val="24"/>
          <w:szCs w:val="24"/>
        </w:rPr>
        <w:t xml:space="preserve"> </w:t>
      </w:r>
      <w:hyperlink r:id="rId1750" w:history="1">
        <w:r w:rsidRPr="007578D7">
          <w:rPr>
            <w:rStyle w:val="Hyperlink"/>
            <w:rFonts w:ascii="Times New Roman" w:hAnsi="Times New Roman"/>
            <w:sz w:val="24"/>
            <w:szCs w:val="24"/>
          </w:rPr>
          <w:t>https://casetext.com/case/bey-v-city-of-ny-7</w:t>
        </w:r>
      </w:hyperlink>
    </w:p>
    <w:bookmarkEnd w:id="353"/>
    <w:p w14:paraId="19E80FEF" w14:textId="77777777" w:rsidR="00383EFC" w:rsidRPr="00FC3A40" w:rsidRDefault="00383EFC" w:rsidP="00383EFC">
      <w:pPr>
        <w:tabs>
          <w:tab w:val="left" w:pos="2810"/>
        </w:tabs>
        <w:spacing w:before="100" w:beforeAutospacing="1" w:after="100" w:afterAutospacing="1" w:line="240" w:lineRule="auto"/>
        <w:rPr>
          <w:rFonts w:ascii="Times New Roman" w:hAnsi="Times New Roman"/>
          <w:b/>
          <w:bCs/>
          <w:sz w:val="24"/>
          <w:szCs w:val="24"/>
        </w:rPr>
      </w:pPr>
      <w:r w:rsidRPr="00FC3A40">
        <w:rPr>
          <w:rFonts w:ascii="Times New Roman" w:hAnsi="Times New Roman"/>
          <w:b/>
          <w:bCs/>
          <w:sz w:val="24"/>
          <w:szCs w:val="24"/>
        </w:rPr>
        <w:t>Legal Lesson Learned</w:t>
      </w:r>
      <w:r>
        <w:rPr>
          <w:rFonts w:ascii="Times New Roman" w:hAnsi="Times New Roman"/>
          <w:b/>
          <w:bCs/>
          <w:sz w:val="24"/>
          <w:szCs w:val="24"/>
        </w:rPr>
        <w:t xml:space="preserve">: The FDNY case will now be decided by the U.S. Court of Appeals for the Second Circuit.  The Jacksonville FD case will proceed </w:t>
      </w:r>
      <w:proofErr w:type="gramStart"/>
      <w:r>
        <w:rPr>
          <w:rFonts w:ascii="Times New Roman" w:hAnsi="Times New Roman"/>
          <w:b/>
          <w:bCs/>
          <w:sz w:val="24"/>
          <w:szCs w:val="24"/>
        </w:rPr>
        <w:t>to</w:t>
      </w:r>
      <w:proofErr w:type="gramEnd"/>
      <w:r>
        <w:rPr>
          <w:rFonts w:ascii="Times New Roman" w:hAnsi="Times New Roman"/>
          <w:b/>
          <w:bCs/>
          <w:sz w:val="24"/>
          <w:szCs w:val="24"/>
        </w:rPr>
        <w:t xml:space="preserve"> pre-trial discovery.   </w:t>
      </w:r>
    </w:p>
    <w:p w14:paraId="6C92ABA9" w14:textId="77777777" w:rsidR="00383EFC" w:rsidRDefault="00383EFC" w:rsidP="005C30A4">
      <w:pPr>
        <w:pStyle w:val="NoSpacing"/>
        <w:rPr>
          <w:rFonts w:ascii="Arial Black" w:hAnsi="Arial Black"/>
          <w:b/>
          <w:sz w:val="24"/>
          <w:szCs w:val="24"/>
        </w:rPr>
      </w:pPr>
    </w:p>
    <w:p w14:paraId="09A00A6A" w14:textId="77777777" w:rsidR="00383EFC" w:rsidRDefault="00383EFC" w:rsidP="005C30A4">
      <w:pPr>
        <w:pStyle w:val="NoSpacing"/>
        <w:rPr>
          <w:rFonts w:ascii="Arial Black" w:hAnsi="Arial Black"/>
          <w:b/>
          <w:sz w:val="24"/>
          <w:szCs w:val="24"/>
        </w:rPr>
      </w:pPr>
    </w:p>
    <w:p w14:paraId="4269CF3B" w14:textId="53288709" w:rsidR="00DD03E3" w:rsidRDefault="00DD03E3" w:rsidP="005C30A4">
      <w:pPr>
        <w:pStyle w:val="NoSpacing"/>
        <w:rPr>
          <w:rFonts w:ascii="Arial Black" w:hAnsi="Arial Black"/>
          <w:b/>
          <w:sz w:val="24"/>
          <w:szCs w:val="24"/>
        </w:rPr>
      </w:pPr>
      <w:r>
        <w:rPr>
          <w:rFonts w:ascii="Arial Black" w:hAnsi="Arial Black"/>
          <w:b/>
          <w:sz w:val="24"/>
          <w:szCs w:val="24"/>
        </w:rPr>
        <w:t>9</w:t>
      </w:r>
      <w:r w:rsidR="00383EFC">
        <w:rPr>
          <w:rFonts w:ascii="Arial Black" w:hAnsi="Arial Black"/>
          <w:b/>
          <w:sz w:val="24"/>
          <w:szCs w:val="24"/>
        </w:rPr>
        <w:t>-</w:t>
      </w:r>
      <w:r>
        <w:rPr>
          <w:rFonts w:ascii="Arial Black" w:hAnsi="Arial Black"/>
          <w:b/>
          <w:sz w:val="24"/>
          <w:szCs w:val="24"/>
        </w:rPr>
        <w:t>16</w:t>
      </w:r>
    </w:p>
    <w:p w14:paraId="7E0471FE" w14:textId="77777777" w:rsidR="00DD03E3" w:rsidRPr="00371299" w:rsidRDefault="00DD03E3" w:rsidP="00DD03E3">
      <w:pPr>
        <w:spacing w:before="100" w:beforeAutospacing="1" w:after="100" w:afterAutospacing="1" w:line="240" w:lineRule="auto"/>
        <w:rPr>
          <w:rFonts w:ascii="Arial Black" w:eastAsia="Times New Roman" w:hAnsi="Arial Black"/>
          <w:b/>
          <w:bCs/>
          <w:sz w:val="28"/>
          <w:szCs w:val="28"/>
        </w:rPr>
      </w:pPr>
      <w:r w:rsidRPr="00371299">
        <w:rPr>
          <w:rFonts w:ascii="Arial Black" w:eastAsia="Times New Roman" w:hAnsi="Arial Black"/>
          <w:b/>
          <w:bCs/>
          <w:sz w:val="28"/>
          <w:szCs w:val="28"/>
        </w:rPr>
        <w:t>AL:</w:t>
      </w:r>
      <w:r>
        <w:rPr>
          <w:rFonts w:ascii="Arial Black" w:eastAsia="Times New Roman" w:hAnsi="Arial Black"/>
          <w:b/>
          <w:bCs/>
          <w:sz w:val="28"/>
          <w:szCs w:val="28"/>
        </w:rPr>
        <w:t xml:space="preserve"> BATTALION CHIEF INJURED NECK IN OFF DUTY MVA – AFTER LIGHT DUTY PERIOD, ORDERED BACK TO 24-HRS – NO ADA VIOL. </w:t>
      </w:r>
    </w:p>
    <w:p w14:paraId="0B9614DD" w14:textId="77777777" w:rsidR="00DD03E3" w:rsidRDefault="00DD03E3" w:rsidP="00DD03E3">
      <w:pPr>
        <w:spacing w:before="100" w:beforeAutospacing="1" w:after="100" w:afterAutospacing="1" w:line="240" w:lineRule="auto"/>
        <w:rPr>
          <w:rFonts w:ascii="Times New Roman" w:eastAsia="Times New Roman" w:hAnsi="Times New Roman"/>
          <w:sz w:val="24"/>
          <w:szCs w:val="24"/>
        </w:rPr>
      </w:pPr>
      <w:r w:rsidRPr="008538E8">
        <w:rPr>
          <w:rFonts w:ascii="Times New Roman" w:eastAsia="Times New Roman" w:hAnsi="Times New Roman"/>
          <w:sz w:val="24"/>
          <w:szCs w:val="24"/>
        </w:rPr>
        <w:t xml:space="preserve">On Oct. 2, 2020, in </w:t>
      </w:r>
      <w:r w:rsidRPr="008538E8">
        <w:rPr>
          <w:rFonts w:ascii="Times New Roman" w:eastAsia="Times New Roman" w:hAnsi="Times New Roman"/>
          <w:sz w:val="24"/>
          <w:szCs w:val="24"/>
          <w:u w:val="single"/>
        </w:rPr>
        <w:t>Jay Hawthorne v. City of Prattville</w:t>
      </w:r>
      <w:r w:rsidRPr="008538E8">
        <w:rPr>
          <w:rFonts w:ascii="Times New Roman" w:eastAsia="Times New Roman" w:hAnsi="Times New Roman"/>
          <w:sz w:val="24"/>
          <w:szCs w:val="24"/>
        </w:rPr>
        <w:t xml:space="preserve">, </w:t>
      </w:r>
      <w:r>
        <w:rPr>
          <w:rFonts w:ascii="Times New Roman" w:eastAsia="Times New Roman" w:hAnsi="Times New Roman"/>
          <w:sz w:val="24"/>
          <w:szCs w:val="24"/>
        </w:rPr>
        <w:t xml:space="preserve">U.S. District Court Judge R. Austin Huffaker, Jr., Northern District of Alabama, granted the City’s motion for summary judgment.  Here’s the timeline after the March 31, </w:t>
      </w:r>
      <w:proofErr w:type="gramStart"/>
      <w:r>
        <w:rPr>
          <w:rFonts w:ascii="Times New Roman" w:eastAsia="Times New Roman" w:hAnsi="Times New Roman"/>
          <w:sz w:val="24"/>
          <w:szCs w:val="24"/>
        </w:rPr>
        <w:t>2017</w:t>
      </w:r>
      <w:proofErr w:type="gramEnd"/>
      <w:r>
        <w:rPr>
          <w:rFonts w:ascii="Times New Roman" w:eastAsia="Times New Roman" w:hAnsi="Times New Roman"/>
          <w:sz w:val="24"/>
          <w:szCs w:val="24"/>
        </w:rPr>
        <w:t xml:space="preserve"> MVA:  Battalion Chief granted light duty (8-hour clerical) from Oct. 23, </w:t>
      </w:r>
      <w:proofErr w:type="gramStart"/>
      <w:r>
        <w:rPr>
          <w:rFonts w:ascii="Times New Roman" w:eastAsia="Times New Roman" w:hAnsi="Times New Roman"/>
          <w:sz w:val="24"/>
          <w:szCs w:val="24"/>
        </w:rPr>
        <w:t>2017</w:t>
      </w:r>
      <w:proofErr w:type="gramEnd"/>
      <w:r>
        <w:rPr>
          <w:rFonts w:ascii="Times New Roman" w:eastAsia="Times New Roman" w:hAnsi="Times New Roman"/>
          <w:sz w:val="24"/>
          <w:szCs w:val="24"/>
        </w:rPr>
        <w:t xml:space="preserve"> until medically cleared back to work on May 2, 2018.  That day he was re-injured in quarterly physical fitness testing; returned to work May 20, 2018 (15-pound lifting restriction), and City put him back to 24-hour shift; he was denied 8-hour shift and given his continuing physical limitations, on Aug. 15, </w:t>
      </w:r>
      <w:proofErr w:type="gramStart"/>
      <w:r>
        <w:rPr>
          <w:rFonts w:ascii="Times New Roman" w:eastAsia="Times New Roman" w:hAnsi="Times New Roman"/>
          <w:sz w:val="24"/>
          <w:szCs w:val="24"/>
        </w:rPr>
        <w:t>2018</w:t>
      </w:r>
      <w:proofErr w:type="gramEnd"/>
      <w:r>
        <w:rPr>
          <w:rFonts w:ascii="Times New Roman" w:eastAsia="Times New Roman" w:hAnsi="Times New Roman"/>
          <w:sz w:val="24"/>
          <w:szCs w:val="24"/>
        </w:rPr>
        <w:t xml:space="preserve"> he was removed from active service, to go on worker’s comp (retired Sept. 17, 2019).</w:t>
      </w:r>
    </w:p>
    <w:p w14:paraId="17AB11DE" w14:textId="77777777" w:rsidR="00DD03E3"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Pr>
          <w:rFonts w:ascii="Times New Roman" w:eastAsia="Times New Roman" w:hAnsi="Times New Roman"/>
          <w:sz w:val="24"/>
          <w:szCs w:val="24"/>
        </w:rPr>
        <w:t xml:space="preserve"> “[A]n </w:t>
      </w:r>
      <w:r w:rsidRPr="00FF23B7">
        <w:rPr>
          <w:rFonts w:ascii="Times New Roman" w:hAnsi="Times New Roman"/>
          <w:sz w:val="24"/>
          <w:szCs w:val="24"/>
        </w:rPr>
        <w:t xml:space="preserve">employer is not obligated to </w:t>
      </w:r>
      <w:r>
        <w:rPr>
          <w:rFonts w:ascii="Times New Roman" w:hAnsi="Times New Roman"/>
          <w:sz w:val="24"/>
          <w:szCs w:val="24"/>
        </w:rPr>
        <w:t>‘</w:t>
      </w:r>
      <w:r w:rsidRPr="00FF23B7">
        <w:rPr>
          <w:rFonts w:ascii="Times New Roman" w:hAnsi="Times New Roman"/>
          <w:sz w:val="24"/>
          <w:szCs w:val="24"/>
        </w:rPr>
        <w:t>bump</w:t>
      </w:r>
      <w:r>
        <w:rPr>
          <w:rFonts w:ascii="Times New Roman" w:hAnsi="Times New Roman"/>
          <w:sz w:val="24"/>
          <w:szCs w:val="24"/>
        </w:rPr>
        <w:t>’</w:t>
      </w:r>
      <w:r w:rsidRPr="00FF23B7">
        <w:rPr>
          <w:rFonts w:ascii="Times New Roman" w:hAnsi="Times New Roman"/>
          <w:sz w:val="24"/>
          <w:szCs w:val="24"/>
        </w:rPr>
        <w:t xml:space="preserve"> another employee from a position to accommodate a disabled employee. </w:t>
      </w:r>
      <w:r w:rsidRPr="00FF23B7">
        <w:rPr>
          <w:rFonts w:ascii="Times New Roman" w:hAnsi="Times New Roman"/>
          <w:i/>
          <w:iCs/>
          <w:sz w:val="24"/>
          <w:szCs w:val="24"/>
        </w:rPr>
        <w:t>Lucas</w:t>
      </w:r>
      <w:r w:rsidRPr="00FF23B7">
        <w:rPr>
          <w:rFonts w:ascii="Times New Roman" w:hAnsi="Times New Roman"/>
          <w:sz w:val="24"/>
          <w:szCs w:val="24"/>
        </w:rPr>
        <w:t xml:space="preserve">, 257 F.3d at 1256. Nor is an employer required to create a new position for an employee. </w:t>
      </w:r>
      <w:r w:rsidRPr="00FF23B7">
        <w:rPr>
          <w:rFonts w:ascii="Times New Roman" w:hAnsi="Times New Roman"/>
          <w:i/>
          <w:iCs/>
          <w:sz w:val="24"/>
          <w:szCs w:val="24"/>
        </w:rPr>
        <w:t>Boyle v</w:t>
      </w:r>
      <w:r w:rsidRPr="00FF23B7">
        <w:rPr>
          <w:rFonts w:ascii="Times New Roman" w:hAnsi="Times New Roman"/>
          <w:sz w:val="24"/>
          <w:szCs w:val="24"/>
        </w:rPr>
        <w:t xml:space="preserve">. </w:t>
      </w:r>
      <w:r w:rsidRPr="00FF23B7">
        <w:rPr>
          <w:rFonts w:ascii="Times New Roman" w:hAnsi="Times New Roman"/>
          <w:i/>
          <w:iCs/>
          <w:sz w:val="24"/>
          <w:szCs w:val="24"/>
        </w:rPr>
        <w:t>City of Pell City</w:t>
      </w:r>
      <w:r w:rsidRPr="00FF23B7">
        <w:rPr>
          <w:rFonts w:ascii="Times New Roman" w:hAnsi="Times New Roman"/>
          <w:sz w:val="24"/>
          <w:szCs w:val="24"/>
        </w:rPr>
        <w:t xml:space="preserve">, 866 F.3d 1280, 1289 (11th Cir. 2017); </w:t>
      </w:r>
      <w:r w:rsidRPr="00FF23B7">
        <w:rPr>
          <w:rFonts w:ascii="Times New Roman" w:hAnsi="Times New Roman"/>
          <w:i/>
          <w:iCs/>
          <w:sz w:val="24"/>
          <w:szCs w:val="24"/>
        </w:rPr>
        <w:t>Sutton v</w:t>
      </w:r>
      <w:r w:rsidRPr="00FF23B7">
        <w:rPr>
          <w:rFonts w:ascii="Times New Roman" w:hAnsi="Times New Roman"/>
          <w:sz w:val="24"/>
          <w:szCs w:val="24"/>
        </w:rPr>
        <w:t xml:space="preserve">. </w:t>
      </w:r>
      <w:r w:rsidRPr="00FF23B7">
        <w:rPr>
          <w:rFonts w:ascii="Times New Roman" w:hAnsi="Times New Roman"/>
          <w:i/>
          <w:iCs/>
          <w:sz w:val="24"/>
          <w:szCs w:val="24"/>
        </w:rPr>
        <w:t>Lader</w:t>
      </w:r>
      <w:r w:rsidRPr="00FF23B7">
        <w:rPr>
          <w:rFonts w:ascii="Times New Roman" w:hAnsi="Times New Roman"/>
          <w:sz w:val="24"/>
          <w:szCs w:val="24"/>
        </w:rPr>
        <w:t xml:space="preserve">, 185 F.3d 1203, 1210-11 (11th Cir. 1999) (an employer </w:t>
      </w:r>
      <w:r>
        <w:rPr>
          <w:rFonts w:ascii="Times New Roman" w:hAnsi="Times New Roman"/>
          <w:sz w:val="24"/>
          <w:szCs w:val="24"/>
        </w:rPr>
        <w:t>‘</w:t>
      </w:r>
      <w:r w:rsidRPr="00FF23B7">
        <w:rPr>
          <w:rFonts w:ascii="Times New Roman" w:hAnsi="Times New Roman"/>
          <w:sz w:val="24"/>
          <w:szCs w:val="24"/>
        </w:rPr>
        <w:t>is under no obligation to hire an employee for a non-existent job,</w:t>
      </w:r>
      <w:r>
        <w:rPr>
          <w:rFonts w:ascii="Times New Roman" w:hAnsi="Times New Roman"/>
          <w:sz w:val="24"/>
          <w:szCs w:val="24"/>
        </w:rPr>
        <w:t>’</w:t>
      </w:r>
      <w:r w:rsidRPr="00FF23B7">
        <w:rPr>
          <w:rFonts w:ascii="Times New Roman" w:hAnsi="Times New Roman"/>
          <w:sz w:val="24"/>
          <w:szCs w:val="24"/>
        </w:rPr>
        <w:t xml:space="preserve"> nor is it required to create a light-duty position for a disabled employee).</w:t>
      </w:r>
      <w:r w:rsidRPr="00FF23B7">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p>
    <w:p w14:paraId="18D9323D" w14:textId="77777777" w:rsidR="00DD03E3"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Pr>
          <w:rFonts w:ascii="Times New Roman" w:eastAsia="Times New Roman" w:hAnsi="Times New Roman"/>
          <w:b/>
          <w:bCs/>
          <w:sz w:val="24"/>
          <w:szCs w:val="24"/>
        </w:rPr>
        <w:t>***</w:t>
      </w:r>
    </w:p>
    <w:p w14:paraId="5F6917AA" w14:textId="77777777" w:rsidR="00DD03E3" w:rsidRPr="00371299"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sidRPr="00371299">
        <w:rPr>
          <w:rFonts w:ascii="Times New Roman" w:eastAsia="Times New Roman" w:hAnsi="Times New Roman"/>
          <w:sz w:val="24"/>
          <w:szCs w:val="24"/>
        </w:rPr>
        <w:t xml:space="preserve">The Court concludes that working a 24-hour shift is an essential function of the battalion chief position within the City's fire department. As Hawthorne admits, the fire department required a battalion chief to </w:t>
      </w:r>
      <w:proofErr w:type="gramStart"/>
      <w:r w:rsidRPr="00371299">
        <w:rPr>
          <w:rFonts w:ascii="Times New Roman" w:eastAsia="Times New Roman" w:hAnsi="Times New Roman"/>
          <w:sz w:val="24"/>
          <w:szCs w:val="24"/>
        </w:rPr>
        <w:t>be on-duty at all times</w:t>
      </w:r>
      <w:proofErr w:type="gramEnd"/>
      <w:r w:rsidRPr="00371299">
        <w:rPr>
          <w:rFonts w:ascii="Times New Roman" w:eastAsia="Times New Roman" w:hAnsi="Times New Roman"/>
          <w:sz w:val="24"/>
          <w:szCs w:val="24"/>
        </w:rPr>
        <w:t>, and all battalion chiefs and most other fire department personnel worked 24-hour shifts. As such, for Hawthorne to work only a daily 8-hour shift, compared to the 24-hour shifts required of all the other battalion chiefs, there would be a disruption</w:t>
      </w:r>
      <w:r>
        <w:rPr>
          <w:rFonts w:ascii="Times New Roman" w:eastAsia="Times New Roman" w:hAnsi="Times New Roman"/>
          <w:sz w:val="24"/>
          <w:szCs w:val="24"/>
        </w:rPr>
        <w:t xml:space="preserve"> </w:t>
      </w:r>
      <w:r w:rsidRPr="00371299">
        <w:rPr>
          <w:rFonts w:ascii="Times New Roman" w:eastAsia="Times New Roman" w:hAnsi="Times New Roman"/>
          <w:sz w:val="24"/>
          <w:szCs w:val="24"/>
        </w:rPr>
        <w:t xml:space="preserve">of the shift rotation of the other battalion chiefs who would have to cover Hawthorne's overnight hours in addition to their own, or alternatively, the </w:t>
      </w:r>
      <w:proofErr w:type="gramStart"/>
      <w:r w:rsidRPr="00371299">
        <w:rPr>
          <w:rFonts w:ascii="Times New Roman" w:eastAsia="Times New Roman" w:hAnsi="Times New Roman"/>
          <w:sz w:val="24"/>
          <w:szCs w:val="24"/>
        </w:rPr>
        <w:t>City</w:t>
      </w:r>
      <w:proofErr w:type="gramEnd"/>
      <w:r w:rsidRPr="00371299">
        <w:rPr>
          <w:rFonts w:ascii="Times New Roman" w:eastAsia="Times New Roman" w:hAnsi="Times New Roman"/>
          <w:sz w:val="24"/>
          <w:szCs w:val="24"/>
        </w:rPr>
        <w:t xml:space="preserve"> would have had to hire an additional battalion chief.</w:t>
      </w:r>
      <w:r>
        <w:rPr>
          <w:rFonts w:ascii="Times New Roman" w:eastAsia="Times New Roman" w:hAnsi="Times New Roman"/>
          <w:sz w:val="24"/>
          <w:szCs w:val="24"/>
        </w:rPr>
        <w:t xml:space="preserve">” </w:t>
      </w:r>
      <w:hyperlink r:id="rId1751" w:history="1">
        <w:r w:rsidRPr="00987F62">
          <w:rPr>
            <w:rStyle w:val="Hyperlink"/>
            <w:rFonts w:ascii="Times New Roman" w:eastAsia="Times New Roman" w:hAnsi="Times New Roman"/>
            <w:sz w:val="24"/>
            <w:szCs w:val="24"/>
          </w:rPr>
          <w:t>https://public.fastcase.com/Wl%2B2t%2BeVuI35%2FN70vAMFZtupy9a3EvXpG9ydLD29CKGnkdsXWzWbFQljc8xBD5GU</w:t>
        </w:r>
      </w:hyperlink>
      <w:r>
        <w:rPr>
          <w:rFonts w:ascii="Times New Roman" w:eastAsia="Times New Roman" w:hAnsi="Times New Roman"/>
          <w:sz w:val="24"/>
          <w:szCs w:val="24"/>
        </w:rPr>
        <w:t xml:space="preserve"> </w:t>
      </w:r>
    </w:p>
    <w:p w14:paraId="2F4E9042" w14:textId="77777777" w:rsidR="00DD03E3" w:rsidRPr="00DE77F1" w:rsidRDefault="00DD03E3" w:rsidP="00DD03E3">
      <w:pPr>
        <w:spacing w:before="100" w:beforeAutospacing="1" w:after="100" w:afterAutospacing="1" w:line="240" w:lineRule="auto"/>
        <w:rPr>
          <w:rFonts w:ascii="Times New Roman" w:eastAsia="Times New Roman" w:hAnsi="Times New Roman"/>
          <w:b/>
          <w:bCs/>
          <w:sz w:val="24"/>
          <w:szCs w:val="24"/>
        </w:rPr>
      </w:pPr>
      <w:r w:rsidRPr="00DE3455">
        <w:rPr>
          <w:rFonts w:ascii="Times New Roman" w:hAnsi="Times New Roman"/>
          <w:b/>
          <w:bCs/>
          <w:sz w:val="24"/>
          <w:szCs w:val="24"/>
        </w:rPr>
        <w:t>Legal Lesson Learned:</w:t>
      </w:r>
      <w:r>
        <w:rPr>
          <w:rFonts w:ascii="Times New Roman" w:hAnsi="Times New Roman"/>
          <w:b/>
          <w:bCs/>
          <w:sz w:val="24"/>
          <w:szCs w:val="24"/>
        </w:rPr>
        <w:t xml:space="preserve"> Under ADA, an employee’s inability to perform the job duties serves as a legitimate, non-discriminatory reason for termination. </w:t>
      </w:r>
    </w:p>
    <w:p w14:paraId="557B80AE" w14:textId="77777777" w:rsidR="00DD03E3" w:rsidRDefault="00DD03E3" w:rsidP="005C30A4">
      <w:pPr>
        <w:pStyle w:val="NoSpacing"/>
        <w:rPr>
          <w:rFonts w:ascii="Arial Black" w:hAnsi="Arial Black"/>
          <w:b/>
          <w:sz w:val="24"/>
          <w:szCs w:val="24"/>
        </w:rPr>
      </w:pPr>
    </w:p>
    <w:p w14:paraId="5D814A79" w14:textId="77777777" w:rsidR="00DD03E3" w:rsidRDefault="00DD03E3" w:rsidP="005C30A4">
      <w:pPr>
        <w:pStyle w:val="NoSpacing"/>
        <w:rPr>
          <w:rFonts w:ascii="Arial Black" w:hAnsi="Arial Black"/>
          <w:b/>
          <w:sz w:val="24"/>
          <w:szCs w:val="24"/>
        </w:rPr>
      </w:pPr>
    </w:p>
    <w:p w14:paraId="237A6548" w14:textId="77777777" w:rsidR="00DD03E3" w:rsidRDefault="00DD03E3" w:rsidP="005C30A4">
      <w:pPr>
        <w:pStyle w:val="NoSpacing"/>
        <w:rPr>
          <w:rFonts w:ascii="Arial Black" w:hAnsi="Arial Black"/>
          <w:b/>
          <w:sz w:val="24"/>
          <w:szCs w:val="24"/>
        </w:rPr>
      </w:pPr>
    </w:p>
    <w:p w14:paraId="4543480C" w14:textId="4412E224" w:rsidR="00F824FE" w:rsidRDefault="00F824FE" w:rsidP="005C30A4">
      <w:pPr>
        <w:pStyle w:val="NoSpacing"/>
        <w:rPr>
          <w:rFonts w:ascii="Arial Black" w:hAnsi="Arial Black"/>
          <w:b/>
          <w:sz w:val="24"/>
          <w:szCs w:val="24"/>
        </w:rPr>
      </w:pPr>
      <w:r>
        <w:rPr>
          <w:rFonts w:ascii="Arial Black" w:hAnsi="Arial Black"/>
          <w:b/>
          <w:sz w:val="24"/>
          <w:szCs w:val="24"/>
        </w:rPr>
        <w:t>9-15</w:t>
      </w:r>
    </w:p>
    <w:p w14:paraId="739E75DD" w14:textId="77777777" w:rsidR="00F824FE" w:rsidRPr="007E1736" w:rsidRDefault="00F824FE" w:rsidP="00F824FE">
      <w:pPr>
        <w:pStyle w:val="NormalWeb"/>
        <w:rPr>
          <w:rFonts w:ascii="Arial Black" w:hAnsi="Arial Black"/>
          <w:sz w:val="28"/>
          <w:szCs w:val="28"/>
        </w:rPr>
      </w:pPr>
      <w:r>
        <w:rPr>
          <w:rFonts w:ascii="Arial Black" w:hAnsi="Arial Black"/>
          <w:sz w:val="28"/>
          <w:szCs w:val="28"/>
        </w:rPr>
        <w:t>MA: FF RETIRED DISABILITY – CFH / HEARING LOSS – SEEKS JOB BACK WITH “AGE-ADJUSTED” HEARING TEST – TRIAL JUDGE TO REVIEW</w:t>
      </w:r>
    </w:p>
    <w:p w14:paraId="211C9826" w14:textId="77777777" w:rsidR="00F824FE" w:rsidRDefault="00F824FE" w:rsidP="00F824FE">
      <w:pPr>
        <w:pStyle w:val="NormalWeb"/>
      </w:pPr>
      <w:r>
        <w:t xml:space="preserve">On Sept. 29, 2020, in </w:t>
      </w:r>
      <w:r w:rsidRPr="003A1F5A">
        <w:rPr>
          <w:u w:val="single"/>
        </w:rPr>
        <w:t>John Rodrigues v. Public Employee Retirement Administration Commission,</w:t>
      </w:r>
      <w:r>
        <w:t xml:space="preserve"> the Appeals Court of Massachusetts held (3 to 0) that firefighter’s reinstatement was properly denied because of his heart condition, but case remanded to trial court to decide if the Commonwealth’s Human Resources Division [HRD] requirement that FF must past the hearing standard for new hires, not “age-adjusted” standards, is lawful. </w:t>
      </w:r>
    </w:p>
    <w:p w14:paraId="61059CD4" w14:textId="77777777" w:rsidR="00F824FE" w:rsidRPr="007E1736" w:rsidRDefault="00F824FE" w:rsidP="00F824FE">
      <w:pPr>
        <w:pStyle w:val="NormalWeb"/>
        <w:ind w:left="720"/>
      </w:pPr>
      <w:r>
        <w:t xml:space="preserve">In addition to his claims for reinstatement or damages, Rodrigues also brought claims seeking declaratory relief -- in particular, count one seeks, among other things, a determination that PERAC should apply age-adjusted, in-service health and fitness standards in determining restoration to service under c. 32, § 8, and count two specifically seeks a declaration that PERAC violated G. L. c. 31, § 61A, by failing to employ such age-adjusted hearing standards. </w:t>
      </w:r>
      <w:r w:rsidRPr="007E1736">
        <w:t>These claims should not have been dismissed. They raise primarily questions of law that could well arise in any of Rodrigues's future reinstatement evaluations (which under G. L. c. 32, § 8 [1] [</w:t>
      </w:r>
      <w:r w:rsidRPr="007E1736">
        <w:rPr>
          <w:u w:val="single"/>
        </w:rPr>
        <w:t>a</w:t>
      </w:r>
      <w:r w:rsidRPr="007E1736">
        <w:t>], are to occur at least every three years), not to mention those of other firefighters and police officers on disability retirement. The legal questions implicate the requirements of the two above-mentioned statutes, and how those statutes interrelate. Answering them also will require analysis</w:t>
      </w:r>
      <w:r>
        <w:t xml:space="preserve"> </w:t>
      </w:r>
      <w:r w:rsidRPr="007E1736">
        <w:t xml:space="preserve">of a 2016 regulation issued by PERAC, discussed </w:t>
      </w:r>
      <w:r w:rsidRPr="007E1736">
        <w:rPr>
          <w:u w:val="single"/>
        </w:rPr>
        <w:t>infra</w:t>
      </w:r>
      <w:r w:rsidRPr="007E1736">
        <w:t>. The issue is appropriate for declaratory relief.</w:t>
      </w:r>
      <w:r>
        <w:t xml:space="preserve">”  </w:t>
      </w:r>
      <w:hyperlink r:id="rId1752" w:history="1">
        <w:r w:rsidRPr="00D550EA">
          <w:rPr>
            <w:rStyle w:val="Hyperlink"/>
          </w:rPr>
          <w:t>https://www.mass.gov/files/documents/2020/09/29/q19P0676.pdf</w:t>
        </w:r>
      </w:hyperlink>
      <w:r>
        <w:t xml:space="preserve"> </w:t>
      </w:r>
    </w:p>
    <w:p w14:paraId="5374664E" w14:textId="77777777" w:rsidR="00B532F6" w:rsidRPr="00980A0C" w:rsidRDefault="00B532F6" w:rsidP="00B532F6">
      <w:pPr>
        <w:tabs>
          <w:tab w:val="left" w:pos="3689"/>
        </w:tabs>
        <w:spacing w:before="100" w:beforeAutospacing="1" w:after="100" w:afterAutospacing="1" w:line="240" w:lineRule="auto"/>
        <w:rPr>
          <w:rFonts w:ascii="Times New Roman" w:eastAsia="Times New Roman" w:hAnsi="Times New Roman"/>
          <w:b/>
          <w:bCs/>
          <w:sz w:val="24"/>
          <w:szCs w:val="24"/>
        </w:rPr>
      </w:pPr>
      <w:r w:rsidRPr="00980A0C">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Will be interesting to see if the Trial Court, and the Court of Appeals, eventually holds that hearing standards for firefighters and police officers seeking reinstatement can be “age adjusted.” </w:t>
      </w:r>
    </w:p>
    <w:p w14:paraId="33858E5C" w14:textId="77777777" w:rsidR="00B532F6" w:rsidRPr="00980A0C"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OSHA Guidance: </w:t>
      </w:r>
      <w:r w:rsidRPr="00980A0C">
        <w:rPr>
          <w:rFonts w:ascii="Times New Roman" w:hAnsi="Times New Roman"/>
          <w:sz w:val="24"/>
          <w:szCs w:val="24"/>
        </w:rPr>
        <w:t>1910.95 App F - Calculations and application of age corrections to audiograms</w:t>
      </w:r>
      <w:r>
        <w:rPr>
          <w:rFonts w:ascii="Times New Roman" w:hAnsi="Times New Roman"/>
          <w:sz w:val="24"/>
          <w:szCs w:val="24"/>
        </w:rPr>
        <w:t>:</w:t>
      </w:r>
    </w:p>
    <w:p w14:paraId="25B338F7" w14:textId="77777777" w:rsidR="00B532F6" w:rsidRPr="00980A0C"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980A0C">
        <w:rPr>
          <w:rFonts w:ascii="Times New Roman" w:hAnsi="Times New Roman"/>
          <w:sz w:val="24"/>
          <w:szCs w:val="24"/>
        </w:rPr>
        <w:t xml:space="preserve">In determining whether a standard threshold shift has occurred, allowance may be made for the contribution of aging to the change in hearing level by adjusting the most recent audiogram. If the employer chooses to adjust the audiogram, the employer shall follow the procedure described below. This procedure and the age correction tables were developed by the National Institute for Occupational Safety and Health in the criteria document entitled </w:t>
      </w:r>
      <w:r>
        <w:rPr>
          <w:rFonts w:ascii="Times New Roman" w:hAnsi="Times New Roman"/>
          <w:sz w:val="24"/>
          <w:szCs w:val="24"/>
        </w:rPr>
        <w:t>‘</w:t>
      </w:r>
      <w:r w:rsidRPr="00980A0C">
        <w:rPr>
          <w:rFonts w:ascii="Times New Roman" w:hAnsi="Times New Roman"/>
          <w:sz w:val="24"/>
          <w:szCs w:val="24"/>
        </w:rPr>
        <w:t>Criteria for a Recommended Standard . . . Occupational Exposure to Noise,</w:t>
      </w:r>
      <w:r>
        <w:rPr>
          <w:rFonts w:ascii="Times New Roman" w:hAnsi="Times New Roman"/>
          <w:sz w:val="24"/>
          <w:szCs w:val="24"/>
        </w:rPr>
        <w:t>’</w:t>
      </w:r>
      <w:r w:rsidRPr="00980A0C">
        <w:rPr>
          <w:rFonts w:ascii="Times New Roman" w:hAnsi="Times New Roman"/>
          <w:sz w:val="24"/>
          <w:szCs w:val="24"/>
        </w:rPr>
        <w:t xml:space="preserve"> ((HSM)-11001).</w:t>
      </w:r>
      <w:r>
        <w:rPr>
          <w:rFonts w:ascii="Times New Roman" w:hAnsi="Times New Roman"/>
          <w:sz w:val="24"/>
          <w:szCs w:val="24"/>
        </w:rPr>
        <w:t xml:space="preserve">” </w:t>
      </w:r>
      <w:hyperlink r:id="rId1753" w:history="1">
        <w:r w:rsidRPr="00D550EA">
          <w:rPr>
            <w:rStyle w:val="Hyperlink"/>
            <w:rFonts w:ascii="Times New Roman" w:hAnsi="Times New Roman"/>
            <w:sz w:val="24"/>
            <w:szCs w:val="24"/>
          </w:rPr>
          <w:t>https://www.osha.gov/laws-regs/regulations/standardnumber/1910/1910.95AppF</w:t>
        </w:r>
      </w:hyperlink>
      <w:r>
        <w:rPr>
          <w:rFonts w:ascii="Times New Roman" w:hAnsi="Times New Roman"/>
          <w:sz w:val="24"/>
          <w:szCs w:val="24"/>
        </w:rPr>
        <w:t xml:space="preserve"> </w:t>
      </w:r>
    </w:p>
    <w:p w14:paraId="679D1187" w14:textId="77777777" w:rsidR="00B532F6"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See also: IAFF’s “Fire Department Guide to Implementing NFPA 1582,” </w:t>
      </w:r>
      <w:hyperlink r:id="rId1754" w:history="1">
        <w:r w:rsidRPr="00D550EA">
          <w:rPr>
            <w:rStyle w:val="Hyperlink"/>
            <w:rFonts w:ascii="Times New Roman" w:eastAsia="Times New Roman" w:hAnsi="Times New Roman"/>
            <w:sz w:val="24"/>
            <w:szCs w:val="24"/>
          </w:rPr>
          <w:t>https://www.iafc.org/docs/default-source/1vcos/vws_rrkit_nfpa-1582.pdf?sfvrsn=ca9b9f0d_2</w:t>
        </w:r>
      </w:hyperlink>
      <w:r>
        <w:rPr>
          <w:rFonts w:ascii="Times New Roman" w:eastAsia="Times New Roman" w:hAnsi="Times New Roman"/>
          <w:sz w:val="24"/>
          <w:szCs w:val="24"/>
        </w:rPr>
        <w:t xml:space="preserve"> </w:t>
      </w:r>
    </w:p>
    <w:p w14:paraId="6100B7F7" w14:textId="0FB651EB" w:rsidR="00F824FE" w:rsidRPr="00B532F6" w:rsidRDefault="00B532F6" w:rsidP="00B532F6">
      <w:pPr>
        <w:pStyle w:val="NoSpacing"/>
        <w:ind w:left="720"/>
        <w:rPr>
          <w:rFonts w:ascii="Times New Roman" w:hAnsi="Times New Roman"/>
          <w:b/>
          <w:sz w:val="24"/>
          <w:szCs w:val="24"/>
        </w:rPr>
      </w:pPr>
      <w:r w:rsidRPr="00B532F6">
        <w:rPr>
          <w:rFonts w:ascii="Times New Roman" w:hAnsi="Times New Roman"/>
          <w:sz w:val="24"/>
          <w:szCs w:val="24"/>
        </w:rPr>
        <w:t>See also EEOC Guidance: “</w:t>
      </w:r>
      <w:r w:rsidRPr="00B532F6">
        <w:rPr>
          <w:rStyle w:val="field"/>
          <w:rFonts w:ascii="Times New Roman" w:eastAsiaTheme="majorEastAsia" w:hAnsi="Times New Roman"/>
          <w:sz w:val="24"/>
          <w:szCs w:val="24"/>
        </w:rPr>
        <w:t>Deafness and Hearing Impairments in the Workplace and the Americans with Disabilities Act.” “</w:t>
      </w:r>
      <w:r w:rsidRPr="00B532F6">
        <w:rPr>
          <w:rFonts w:ascii="Times New Roman" w:hAnsi="Times New Roman"/>
          <w:sz w:val="24"/>
          <w:szCs w:val="24"/>
        </w:rPr>
        <w:t xml:space="preserve">An employer only may exclude an individual with a hearing impairment from a job for safety reasons when the individual poses a direct threat. A ‘direct threat’ is a significant risk of substantial harm to the individual or others that cannot be eliminated or reduced through reasonable accommodation. This determination must be based on objective, factual evidence, including the best recent medical </w:t>
      </w:r>
      <w:proofErr w:type="gramStart"/>
      <w:r w:rsidRPr="00B532F6">
        <w:rPr>
          <w:rFonts w:ascii="Times New Roman" w:hAnsi="Times New Roman"/>
          <w:sz w:val="24"/>
          <w:szCs w:val="24"/>
        </w:rPr>
        <w:t>evidence.”</w:t>
      </w:r>
      <w:proofErr w:type="gramEnd"/>
      <w:r w:rsidRPr="00B532F6">
        <w:rPr>
          <w:rFonts w:ascii="Times New Roman" w:hAnsi="Times New Roman"/>
          <w:sz w:val="24"/>
          <w:szCs w:val="24"/>
        </w:rPr>
        <w:t xml:space="preserve"> </w:t>
      </w:r>
      <w:hyperlink r:id="rId1755" w:history="1">
        <w:r w:rsidRPr="00B532F6">
          <w:rPr>
            <w:rStyle w:val="Hyperlink"/>
            <w:rFonts w:ascii="Times New Roman" w:hAnsi="Times New Roman"/>
            <w:sz w:val="24"/>
            <w:szCs w:val="24"/>
          </w:rPr>
          <w:t>https://www.eeoc.gov/laws/guidance/deafness-and-hearing-impairments-workplace-and-americans-disabilities-act</w:t>
        </w:r>
      </w:hyperlink>
    </w:p>
    <w:p w14:paraId="10F409A7" w14:textId="77777777" w:rsidR="00F824FE" w:rsidRDefault="00F824FE" w:rsidP="005C30A4">
      <w:pPr>
        <w:pStyle w:val="NoSpacing"/>
        <w:rPr>
          <w:rFonts w:ascii="Arial Black" w:hAnsi="Arial Black"/>
          <w:b/>
          <w:sz w:val="24"/>
          <w:szCs w:val="24"/>
        </w:rPr>
      </w:pPr>
    </w:p>
    <w:p w14:paraId="42EC4CD1" w14:textId="77777777" w:rsidR="00F824FE" w:rsidRDefault="00F824FE" w:rsidP="005C30A4">
      <w:pPr>
        <w:pStyle w:val="NoSpacing"/>
        <w:rPr>
          <w:rFonts w:ascii="Arial Black" w:hAnsi="Arial Black"/>
          <w:b/>
          <w:sz w:val="24"/>
          <w:szCs w:val="24"/>
        </w:rPr>
      </w:pPr>
    </w:p>
    <w:p w14:paraId="366CCB0E" w14:textId="7D23010D" w:rsidR="00F824FE" w:rsidRDefault="00F824FE" w:rsidP="005C30A4">
      <w:pPr>
        <w:pStyle w:val="NoSpacing"/>
        <w:rPr>
          <w:rFonts w:ascii="Arial Black" w:hAnsi="Arial Black"/>
          <w:b/>
          <w:sz w:val="24"/>
          <w:szCs w:val="24"/>
        </w:rPr>
      </w:pPr>
      <w:r>
        <w:rPr>
          <w:rFonts w:ascii="Arial Black" w:hAnsi="Arial Black"/>
          <w:b/>
          <w:sz w:val="24"/>
          <w:szCs w:val="24"/>
        </w:rPr>
        <w:t>9-14</w:t>
      </w:r>
    </w:p>
    <w:p w14:paraId="6735E77D" w14:textId="77777777" w:rsidR="00F824FE" w:rsidRPr="00ED5C13" w:rsidRDefault="00F824FE" w:rsidP="00F824FE">
      <w:pPr>
        <w:pStyle w:val="NormalWeb"/>
        <w:rPr>
          <w:rFonts w:ascii="Arial Black" w:hAnsi="Arial Black"/>
          <w:b/>
          <w:bCs/>
          <w:sz w:val="28"/>
          <w:szCs w:val="28"/>
        </w:rPr>
      </w:pPr>
      <w:r>
        <w:rPr>
          <w:rFonts w:ascii="Arial Black" w:hAnsi="Arial Black"/>
          <w:b/>
          <w:bCs/>
          <w:sz w:val="28"/>
          <w:szCs w:val="28"/>
        </w:rPr>
        <w:t>LA: FF HEARING LOSS – REIMBURSED FOR HEARING AIDS – BUT NO ENTITLED TO DISABILITY PAYMENTS – NOT “SINGLE ACCIDENT”</w:t>
      </w:r>
    </w:p>
    <w:p w14:paraId="19FE875F" w14:textId="77777777" w:rsidR="00F824FE" w:rsidRDefault="00F824FE" w:rsidP="00F824FE">
      <w:pPr>
        <w:pStyle w:val="NormalWeb"/>
      </w:pPr>
      <w:r w:rsidRPr="00ED5C13">
        <w:t xml:space="preserve">On </w:t>
      </w:r>
      <w:r>
        <w:t xml:space="preserve">Sept. 22, 2020, in </w:t>
      </w:r>
      <w:r w:rsidRPr="0087261C">
        <w:rPr>
          <w:u w:val="single"/>
        </w:rPr>
        <w:t>Glenn Hankel v. Jefferson Parish Fire Department</w:t>
      </w:r>
      <w:r>
        <w:t>, the Fifth Circuit Court of Appeal of State of Louisiana, held (2 to 1) that while the fire department reimbursed the retired firefighter for cost of hearing aids based on LA firefighter statutory presumption statute, he was not entitled to permanent partial disability payments [which would be 66 2/3</w:t>
      </w:r>
      <w:r w:rsidRPr="00D038AA">
        <w:rPr>
          <w:vertAlign w:val="superscript"/>
        </w:rPr>
        <w:t>rd</w:t>
      </w:r>
      <w:r>
        <w:t xml:space="preserve"> weekly wages, up to 100 weeks] since the LA statute only applies to disabilities caused by a single accident. </w:t>
      </w:r>
    </w:p>
    <w:p w14:paraId="549BFCA3" w14:textId="77777777" w:rsidR="00F824FE" w:rsidRDefault="00F824FE" w:rsidP="00F824FE">
      <w:pPr>
        <w:pStyle w:val="NormalWeb"/>
        <w:ind w:left="720"/>
        <w:rPr>
          <w:b/>
          <w:bCs/>
        </w:rPr>
      </w:pPr>
      <w:r>
        <w:t xml:space="preserve">“In the instant case, there is no dispute that Mr. Hankel's hearing loss was gradual and not the result of a single accident or event. The plain language of La. R.S. 23:1221(4)(p) only provides benefits for permanent hearing losses resulting solely from a single traumatic accident. Accordingly, after a </w:t>
      </w:r>
      <w:r>
        <w:rPr>
          <w:i/>
          <w:iCs/>
        </w:rPr>
        <w:t>de novo</w:t>
      </w:r>
      <w:r>
        <w:t xml:space="preserve"> review of the record, we find that there is no genuine issue as to material fact and that the JPFD is entitled to judgment as a matter of law. Thus, we find no error in the trial court's ruling that Mr. Hankel is not entitled to permanent partial disability benefits for his hearing loss.  </w:t>
      </w:r>
      <w:hyperlink r:id="rId1756" w:history="1">
        <w:r w:rsidRPr="002F1E28">
          <w:rPr>
            <w:rStyle w:val="Hyperlink"/>
          </w:rPr>
          <w:t>https://law.justia.com/cases/louisiana/fifth-circuit-court-of-appeal/2020/19-ca-613.html</w:t>
        </w:r>
      </w:hyperlink>
      <w:r>
        <w:t xml:space="preserve"> </w:t>
      </w:r>
    </w:p>
    <w:p w14:paraId="69D8D625" w14:textId="77777777" w:rsidR="00F824FE" w:rsidRPr="00C30645" w:rsidRDefault="00F824FE" w:rsidP="00F824FE">
      <w:pPr>
        <w:spacing w:after="100" w:line="240" w:lineRule="auto"/>
        <w:rPr>
          <w:rFonts w:ascii="Times New Roman" w:eastAsia="Times New Roman" w:hAnsi="Times New Roman"/>
          <w:b/>
          <w:bCs/>
          <w:sz w:val="24"/>
          <w:szCs w:val="24"/>
        </w:rPr>
      </w:pPr>
      <w:r w:rsidRPr="00C30645">
        <w:rPr>
          <w:rFonts w:ascii="Times New Roman" w:hAnsi="Times New Roman"/>
          <w:b/>
          <w:bCs/>
          <w:sz w:val="24"/>
          <w:szCs w:val="24"/>
        </w:rPr>
        <w:t>Legal Lessons Learned:  This case may be appealed to the Louisiana Supreme Court; Dissenting judge references prior L</w:t>
      </w:r>
      <w:r>
        <w:rPr>
          <w:rFonts w:ascii="Times New Roman" w:hAnsi="Times New Roman"/>
          <w:b/>
          <w:bCs/>
          <w:sz w:val="24"/>
          <w:szCs w:val="24"/>
        </w:rPr>
        <w:t xml:space="preserve">ouisiana </w:t>
      </w:r>
      <w:r w:rsidRPr="00C30645">
        <w:rPr>
          <w:rFonts w:ascii="Times New Roman" w:hAnsi="Times New Roman"/>
          <w:b/>
          <w:bCs/>
          <w:sz w:val="24"/>
          <w:szCs w:val="24"/>
        </w:rPr>
        <w:t xml:space="preserve">Supreme Court decision in </w:t>
      </w:r>
      <w:r w:rsidRPr="00C30645">
        <w:rPr>
          <w:rFonts w:ascii="Times New Roman" w:hAnsi="Times New Roman"/>
          <w:b/>
          <w:bCs/>
          <w:i/>
          <w:iCs/>
          <w:sz w:val="24"/>
          <w:szCs w:val="24"/>
        </w:rPr>
        <w:t>Arrant v Graphic Packaging Int'l</w:t>
      </w:r>
      <w:r w:rsidRPr="00C30645">
        <w:rPr>
          <w:rFonts w:ascii="Times New Roman" w:hAnsi="Times New Roman"/>
          <w:b/>
          <w:bCs/>
          <w:sz w:val="24"/>
          <w:szCs w:val="24"/>
        </w:rPr>
        <w:t xml:space="preserve">, </w:t>
      </w:r>
      <w:r w:rsidRPr="00C30645">
        <w:rPr>
          <w:rFonts w:ascii="Times New Roman" w:hAnsi="Times New Roman"/>
          <w:b/>
          <w:bCs/>
          <w:i/>
          <w:iCs/>
          <w:sz w:val="24"/>
          <w:szCs w:val="24"/>
        </w:rPr>
        <w:t>Inc</w:t>
      </w:r>
      <w:r w:rsidRPr="00C30645">
        <w:rPr>
          <w:rFonts w:ascii="Times New Roman" w:hAnsi="Times New Roman"/>
          <w:b/>
          <w:bCs/>
          <w:sz w:val="24"/>
          <w:szCs w:val="24"/>
        </w:rPr>
        <w:t>., 13-2878, 169 So. 3d 296, 305 (La. 5/5/15</w:t>
      </w:r>
      <w:r>
        <w:rPr>
          <w:rFonts w:ascii="Times New Roman" w:hAnsi="Times New Roman"/>
          <w:b/>
          <w:bCs/>
          <w:sz w:val="24"/>
          <w:szCs w:val="24"/>
        </w:rPr>
        <w:t xml:space="preserve">). </w:t>
      </w:r>
      <w:hyperlink r:id="rId1757" w:history="1">
        <w:r w:rsidRPr="002F1E28">
          <w:rPr>
            <w:rStyle w:val="Hyperlink"/>
            <w:rFonts w:ascii="Times New Roman" w:hAnsi="Times New Roman"/>
            <w:b/>
            <w:bCs/>
            <w:sz w:val="24"/>
            <w:szCs w:val="24"/>
          </w:rPr>
          <w:t>https://law.justia.com/cases/louisiana/supreme-court/2015/2013-c-2878.html</w:t>
        </w:r>
      </w:hyperlink>
      <w:r>
        <w:rPr>
          <w:rFonts w:ascii="Times New Roman" w:hAnsi="Times New Roman"/>
          <w:b/>
          <w:bCs/>
          <w:sz w:val="24"/>
          <w:szCs w:val="24"/>
        </w:rPr>
        <w:t xml:space="preserve"> </w:t>
      </w:r>
    </w:p>
    <w:p w14:paraId="3E9C39FC" w14:textId="77777777" w:rsidR="00F824FE" w:rsidRDefault="00F824FE" w:rsidP="00F824FE">
      <w:pPr>
        <w:spacing w:before="100" w:beforeAutospacing="1" w:after="100" w:afterAutospacing="1" w:line="240" w:lineRule="auto"/>
        <w:ind w:left="720"/>
      </w:pPr>
      <w:r>
        <w:rPr>
          <w:rFonts w:ascii="Times New Roman" w:hAnsi="Times New Roman"/>
          <w:sz w:val="24"/>
          <w:szCs w:val="24"/>
        </w:rPr>
        <w:t xml:space="preserve">Note:  See Louisiana Firefighter Statutory Presumption </w:t>
      </w:r>
      <w:proofErr w:type="gramStart"/>
      <w:r>
        <w:rPr>
          <w:rFonts w:ascii="Times New Roman" w:hAnsi="Times New Roman"/>
          <w:sz w:val="24"/>
          <w:szCs w:val="24"/>
        </w:rPr>
        <w:t>For</w:t>
      </w:r>
      <w:proofErr w:type="gramEnd"/>
      <w:r>
        <w:rPr>
          <w:rFonts w:ascii="Times New Roman" w:hAnsi="Times New Roman"/>
          <w:sz w:val="24"/>
          <w:szCs w:val="24"/>
        </w:rPr>
        <w:t xml:space="preserve"> Hearing Loss</w:t>
      </w:r>
    </w:p>
    <w:p w14:paraId="0A694BA5" w14:textId="77777777" w:rsidR="00F824FE" w:rsidRPr="009240F1" w:rsidRDefault="00F824FE" w:rsidP="00F824FE">
      <w:pPr>
        <w:spacing w:before="100" w:beforeAutospacing="1" w:after="100" w:afterAutospacing="1" w:line="240" w:lineRule="auto"/>
        <w:rPr>
          <w:rFonts w:ascii="Times New Roman" w:eastAsia="Times New Roman" w:hAnsi="Times New Roman"/>
          <w:sz w:val="24"/>
          <w:szCs w:val="24"/>
        </w:rPr>
      </w:pPr>
      <w:r w:rsidRPr="009240F1">
        <w:rPr>
          <w:rFonts w:ascii="Times New Roman" w:eastAsia="Times New Roman" w:hAnsi="Times New Roman"/>
          <w:sz w:val="24"/>
          <w:szCs w:val="24"/>
        </w:rPr>
        <w:t> </w:t>
      </w:r>
      <w:r>
        <w:rPr>
          <w:rFonts w:ascii="Times New Roman" w:eastAsia="Times New Roman" w:hAnsi="Times New Roman"/>
          <w:sz w:val="24"/>
          <w:szCs w:val="24"/>
        </w:rPr>
        <w:tab/>
      </w:r>
      <w:r w:rsidRPr="009240F1">
        <w:rPr>
          <w:rFonts w:ascii="Times New Roman" w:eastAsia="Times New Roman" w:hAnsi="Times New Roman"/>
          <w:sz w:val="24"/>
          <w:szCs w:val="24"/>
        </w:rPr>
        <w:t>La. R.S. 33:2581.1 provides:</w:t>
      </w:r>
    </w:p>
    <w:p w14:paraId="0487BD48" w14:textId="77777777" w:rsidR="00F824FE" w:rsidRDefault="00F824FE" w:rsidP="00F824FE">
      <w:pPr>
        <w:pStyle w:val="ListParagraph"/>
        <w:numPr>
          <w:ilvl w:val="0"/>
          <w:numId w:val="5"/>
        </w:numPr>
        <w:spacing w:after="100" w:line="240" w:lineRule="auto"/>
        <w:rPr>
          <w:rFonts w:ascii="Times New Roman" w:eastAsia="Times New Roman" w:hAnsi="Times New Roman" w:cs="Times New Roman"/>
          <w:sz w:val="24"/>
          <w:szCs w:val="24"/>
        </w:rPr>
      </w:pPr>
      <w:r w:rsidRPr="00B3719C">
        <w:rPr>
          <w:rFonts w:ascii="Times New Roman" w:eastAsia="Times New Roman" w:hAnsi="Times New Roman" w:cs="Times New Roman"/>
          <w:sz w:val="24"/>
          <w:szCs w:val="24"/>
        </w:rPr>
        <w:t xml:space="preserve">Any loss of hearing which is ten percent greater than that of the affected employee's comparable age group in the general population and which develops during employment in the classified fire service in the state of Louisiana shall, for purposes of this Section only, be classified as a disease or infirmity connected with employment. The employee affected shall be entitled to medical benefits including hearing prosthesis as granted by the laws of the state of Louisiana to which one suffering an occupational disease is entitled, regardless of whether the fireman is on duty at the time he is stricken with the loss of hearing. Such loss of hearing shall be presumed to have </w:t>
      </w:r>
    </w:p>
    <w:p w14:paraId="66751971"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p>
    <w:p w14:paraId="355DFD49"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r w:rsidRPr="00B3719C">
        <w:rPr>
          <w:rFonts w:ascii="Times New Roman" w:eastAsia="Times New Roman" w:hAnsi="Times New Roman" w:cs="Times New Roman"/>
          <w:sz w:val="24"/>
          <w:szCs w:val="24"/>
        </w:rPr>
        <w:t>developed during employment and shall be presumed to have been caused by or to have resulted from the nature of the work performed whenever same is manifested at any time after the first five years of employment in such classified service. This presumption shall be rebuttable by evidence meeting judicial standards and shall be extended to an employee following termination of service for a period of twenty-four months.</w:t>
      </w:r>
    </w:p>
    <w:p w14:paraId="71CAAF4F"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p>
    <w:p w14:paraId="2A645C4E" w14:textId="77777777" w:rsidR="00F824FE" w:rsidRDefault="00F824FE" w:rsidP="005C30A4">
      <w:pPr>
        <w:pStyle w:val="NoSpacing"/>
        <w:rPr>
          <w:rFonts w:ascii="Arial Black" w:hAnsi="Arial Black"/>
          <w:b/>
          <w:sz w:val="24"/>
          <w:szCs w:val="24"/>
        </w:rPr>
      </w:pPr>
    </w:p>
    <w:p w14:paraId="2D50AA47" w14:textId="77777777" w:rsidR="00F824FE" w:rsidRDefault="00F824FE" w:rsidP="005C30A4">
      <w:pPr>
        <w:pStyle w:val="NoSpacing"/>
        <w:rPr>
          <w:rFonts w:ascii="Arial Black" w:hAnsi="Arial Black"/>
          <w:b/>
          <w:sz w:val="24"/>
          <w:szCs w:val="24"/>
        </w:rPr>
      </w:pPr>
    </w:p>
    <w:p w14:paraId="6E7FF063" w14:textId="313A86C3" w:rsidR="001C563D" w:rsidRDefault="001C563D" w:rsidP="005C30A4">
      <w:pPr>
        <w:pStyle w:val="NoSpacing"/>
        <w:rPr>
          <w:rFonts w:ascii="Arial Black" w:hAnsi="Arial Black"/>
          <w:b/>
          <w:sz w:val="24"/>
          <w:szCs w:val="24"/>
        </w:rPr>
      </w:pPr>
      <w:r>
        <w:rPr>
          <w:rFonts w:ascii="Arial Black" w:hAnsi="Arial Black"/>
          <w:b/>
          <w:sz w:val="24"/>
          <w:szCs w:val="24"/>
        </w:rPr>
        <w:t>9-13</w:t>
      </w:r>
    </w:p>
    <w:p w14:paraId="6A5FFA1B" w14:textId="7F0ADDB5" w:rsidR="001C563D" w:rsidRDefault="001C563D" w:rsidP="005C30A4">
      <w:pPr>
        <w:pStyle w:val="NoSpacing"/>
        <w:rPr>
          <w:rFonts w:ascii="Arial Black" w:hAnsi="Arial Black"/>
          <w:b/>
          <w:sz w:val="24"/>
          <w:szCs w:val="24"/>
        </w:rPr>
      </w:pPr>
    </w:p>
    <w:p w14:paraId="44C2D4A9" w14:textId="77777777" w:rsidR="001C563D" w:rsidRDefault="001C563D" w:rsidP="001C563D">
      <w:pPr>
        <w:pStyle w:val="NoSpacing"/>
        <w:rPr>
          <w:rFonts w:ascii="Arial Black" w:hAnsi="Arial Black"/>
          <w:sz w:val="28"/>
          <w:szCs w:val="28"/>
        </w:rPr>
      </w:pPr>
      <w:r w:rsidRPr="001E444E">
        <w:rPr>
          <w:rFonts w:ascii="Arial Black" w:hAnsi="Arial Black"/>
          <w:sz w:val="28"/>
          <w:szCs w:val="28"/>
        </w:rPr>
        <w:t xml:space="preserve">NY: </w:t>
      </w:r>
      <w:r>
        <w:rPr>
          <w:rFonts w:ascii="Arial Black" w:hAnsi="Arial Black"/>
          <w:sz w:val="28"/>
          <w:szCs w:val="28"/>
        </w:rPr>
        <w:t>CIVILIAN FIRE PROTECTION INSPECTOR – ASTHMA, OFFICE ONLY WORK - NOT PROMOTED FIELD POSITION</w:t>
      </w:r>
    </w:p>
    <w:p w14:paraId="016522C7" w14:textId="77777777" w:rsidR="001C563D" w:rsidRDefault="001C563D" w:rsidP="001C563D">
      <w:pPr>
        <w:pStyle w:val="NoSpacing"/>
        <w:rPr>
          <w:rFonts w:ascii="Arial Black" w:hAnsi="Arial Black"/>
          <w:sz w:val="28"/>
          <w:szCs w:val="28"/>
        </w:rPr>
      </w:pPr>
    </w:p>
    <w:p w14:paraId="1FF3D56E" w14:textId="77777777" w:rsidR="001C563D" w:rsidRPr="00247349" w:rsidRDefault="001C563D" w:rsidP="001C563D">
      <w:pPr>
        <w:pStyle w:val="NoSpacing"/>
        <w:rPr>
          <w:rFonts w:ascii="Times New Roman" w:hAnsi="Times New Roman"/>
          <w:sz w:val="24"/>
          <w:szCs w:val="24"/>
        </w:rPr>
      </w:pPr>
      <w:r w:rsidRPr="001E444E">
        <w:rPr>
          <w:rFonts w:ascii="Times New Roman" w:hAnsi="Times New Roman"/>
          <w:sz w:val="24"/>
          <w:szCs w:val="24"/>
        </w:rPr>
        <w:t>On July 18, 2020</w:t>
      </w:r>
      <w:r>
        <w:rPr>
          <w:rFonts w:ascii="Times New Roman" w:hAnsi="Times New Roman"/>
          <w:sz w:val="24"/>
          <w:szCs w:val="24"/>
        </w:rPr>
        <w:t xml:space="preserve">, in </w:t>
      </w:r>
      <w:r w:rsidRPr="001E444E">
        <w:rPr>
          <w:rFonts w:ascii="Times New Roman" w:hAnsi="Times New Roman"/>
          <w:sz w:val="24"/>
          <w:szCs w:val="24"/>
          <w:u w:val="single"/>
        </w:rPr>
        <w:t>John Skariah v. The City of New York, et al</w:t>
      </w:r>
      <w:r>
        <w:rPr>
          <w:rFonts w:ascii="Times New Roman" w:hAnsi="Times New Roman"/>
          <w:sz w:val="24"/>
          <w:szCs w:val="24"/>
        </w:rPr>
        <w:t xml:space="preserve">., 2020 NY Slip Op 31890(U), Judge Lyle E. Frank, Supreme Court of State of New York (County Part 52) granted the City’s motion for summary judgment.  Plaintiff has been civilian employee with FDNY since 1992, and was promoted in 1997 to </w:t>
      </w:r>
      <w:r w:rsidRPr="00247349">
        <w:rPr>
          <w:rFonts w:ascii="Times New Roman" w:hAnsi="Times New Roman"/>
        </w:rPr>
        <w:t>Associate Fire Protection Inspector I</w:t>
      </w:r>
      <w:r>
        <w:rPr>
          <w:rFonts w:ascii="Times New Roman" w:hAnsi="Times New Roman"/>
        </w:rPr>
        <w:t xml:space="preserve">.  Plaintiff is from India </w:t>
      </w:r>
      <w:r w:rsidRPr="00247349">
        <w:rPr>
          <w:rFonts w:ascii="Times New Roman" w:hAnsi="Times New Roman"/>
          <w:sz w:val="24"/>
          <w:szCs w:val="24"/>
        </w:rPr>
        <w:t xml:space="preserve">and </w:t>
      </w:r>
      <w:r>
        <w:rPr>
          <w:rFonts w:ascii="Times New Roman" w:hAnsi="Times New Roman"/>
          <w:sz w:val="24"/>
          <w:szCs w:val="24"/>
        </w:rPr>
        <w:t xml:space="preserve">in </w:t>
      </w:r>
      <w:r w:rsidRPr="00247349">
        <w:rPr>
          <w:rFonts w:ascii="Times New Roman" w:hAnsi="Times New Roman"/>
          <w:sz w:val="24"/>
          <w:szCs w:val="24"/>
        </w:rPr>
        <w:t>1998</w:t>
      </w:r>
      <w:r>
        <w:rPr>
          <w:rFonts w:ascii="Times New Roman" w:hAnsi="Times New Roman"/>
          <w:sz w:val="24"/>
          <w:szCs w:val="24"/>
        </w:rPr>
        <w:t xml:space="preserve"> he</w:t>
      </w:r>
      <w:r w:rsidRPr="00247349">
        <w:rPr>
          <w:rFonts w:ascii="Times New Roman" w:hAnsi="Times New Roman"/>
          <w:sz w:val="24"/>
          <w:szCs w:val="24"/>
        </w:rPr>
        <w:t xml:space="preserve"> was given a raise and promoted from Associate Fire Inspector I to the position of Deputy Chief Inspector as part of a 1998 Equal Employment Opportunity Commission (</w:t>
      </w:r>
      <w:r>
        <w:rPr>
          <w:rFonts w:ascii="Times New Roman" w:hAnsi="Times New Roman"/>
          <w:sz w:val="24"/>
          <w:szCs w:val="24"/>
        </w:rPr>
        <w:t>‘</w:t>
      </w:r>
      <w:r w:rsidRPr="00247349">
        <w:rPr>
          <w:rFonts w:ascii="Times New Roman" w:hAnsi="Times New Roman"/>
          <w:sz w:val="24"/>
          <w:szCs w:val="24"/>
        </w:rPr>
        <w:t>EEOC</w:t>
      </w:r>
      <w:r>
        <w:rPr>
          <w:rFonts w:ascii="Times New Roman" w:hAnsi="Times New Roman"/>
          <w:sz w:val="24"/>
          <w:szCs w:val="24"/>
        </w:rPr>
        <w:t>’</w:t>
      </w:r>
      <w:r w:rsidRPr="00247349">
        <w:rPr>
          <w:rFonts w:ascii="Times New Roman" w:hAnsi="Times New Roman"/>
          <w:sz w:val="24"/>
          <w:szCs w:val="24"/>
        </w:rPr>
        <w:t>) Settlement Agreement.</w:t>
      </w:r>
      <w:r>
        <w:rPr>
          <w:rFonts w:ascii="Times New Roman" w:hAnsi="Times New Roman"/>
          <w:sz w:val="24"/>
          <w:szCs w:val="24"/>
        </w:rPr>
        <w:t xml:space="preserve"> </w:t>
      </w:r>
      <w:r w:rsidRPr="00247349">
        <w:rPr>
          <w:rFonts w:ascii="Times New Roman" w:hAnsi="Times New Roman"/>
          <w:sz w:val="24"/>
          <w:szCs w:val="24"/>
        </w:rPr>
        <w:t>“Plaintiff submitted a doctor's note to FDNY stating ‘</w:t>
      </w:r>
      <w:r>
        <w:rPr>
          <w:rFonts w:ascii="Times New Roman" w:hAnsi="Times New Roman"/>
          <w:sz w:val="24"/>
          <w:szCs w:val="24"/>
        </w:rPr>
        <w:t>P[</w:t>
      </w:r>
      <w:proofErr w:type="spellStart"/>
      <w:r>
        <w:rPr>
          <w:rFonts w:ascii="Times New Roman" w:hAnsi="Times New Roman"/>
          <w:sz w:val="24"/>
          <w:szCs w:val="24"/>
        </w:rPr>
        <w:t>atient</w:t>
      </w:r>
      <w:proofErr w:type="spellEnd"/>
      <w:r>
        <w:rPr>
          <w:rFonts w:ascii="Times New Roman" w:hAnsi="Times New Roman"/>
          <w:sz w:val="24"/>
          <w:szCs w:val="24"/>
        </w:rPr>
        <w:t xml:space="preserve">] </w:t>
      </w:r>
      <w:r w:rsidRPr="00247349">
        <w:rPr>
          <w:rFonts w:ascii="Times New Roman" w:hAnsi="Times New Roman"/>
          <w:sz w:val="24"/>
          <w:szCs w:val="24"/>
        </w:rPr>
        <w:t xml:space="preserve">is under my care for asthma. Due to his </w:t>
      </w:r>
      <w:proofErr w:type="gramStart"/>
      <w:r w:rsidRPr="00247349">
        <w:rPr>
          <w:rFonts w:ascii="Times New Roman" w:hAnsi="Times New Roman"/>
          <w:sz w:val="24"/>
          <w:szCs w:val="24"/>
        </w:rPr>
        <w:t>condition</w:t>
      </w:r>
      <w:proofErr w:type="gramEnd"/>
      <w:r w:rsidRPr="00247349">
        <w:rPr>
          <w:rFonts w:ascii="Times New Roman" w:hAnsi="Times New Roman"/>
          <w:sz w:val="24"/>
          <w:szCs w:val="24"/>
        </w:rPr>
        <w:t xml:space="preserve"> it is advisable for him to work in the office and not in the field.</w:t>
      </w:r>
      <w:r>
        <w:rPr>
          <w:rFonts w:ascii="Times New Roman" w:hAnsi="Times New Roman"/>
          <w:sz w:val="24"/>
          <w:szCs w:val="24"/>
        </w:rPr>
        <w:t xml:space="preserve"> *** </w:t>
      </w:r>
      <w:r w:rsidRPr="00247349">
        <w:rPr>
          <w:rFonts w:ascii="Times New Roman" w:hAnsi="Times New Roman"/>
          <w:sz w:val="24"/>
          <w:szCs w:val="24"/>
        </w:rPr>
        <w:t>Even if plaintiff could establish a prima facie claim, in response, defendants have proffered a legitimate nondiscriminatory reason for why plaintiff was not promoted, that is the disability he suffered for why a reasonable accommodation was required.</w:t>
      </w:r>
      <w:r>
        <w:rPr>
          <w:rFonts w:ascii="Times New Roman" w:hAnsi="Times New Roman"/>
          <w:sz w:val="24"/>
          <w:szCs w:val="24"/>
        </w:rPr>
        <w:t xml:space="preserve">” </w:t>
      </w:r>
      <w:hyperlink r:id="rId1758" w:history="1">
        <w:r w:rsidRPr="003B7380">
          <w:rPr>
            <w:rStyle w:val="Hyperlink"/>
            <w:rFonts w:ascii="Times New Roman" w:hAnsi="Times New Roman"/>
            <w:sz w:val="24"/>
            <w:szCs w:val="24"/>
          </w:rPr>
          <w:t>https://cases.justia.com/new-york/other-courts/2020-2020-ny-slip-op-31890-u.pdf?ts=1592946781</w:t>
        </w:r>
      </w:hyperlink>
      <w:r>
        <w:rPr>
          <w:rFonts w:ascii="Times New Roman" w:hAnsi="Times New Roman"/>
          <w:sz w:val="24"/>
          <w:szCs w:val="24"/>
        </w:rPr>
        <w:t xml:space="preserve"> </w:t>
      </w:r>
    </w:p>
    <w:p w14:paraId="684FAC16" w14:textId="77777777" w:rsidR="001C563D" w:rsidRDefault="001C563D" w:rsidP="001C563D">
      <w:pPr>
        <w:pStyle w:val="NoSpacing"/>
        <w:rPr>
          <w:rFonts w:ascii="Times New Roman" w:hAnsi="Times New Roman"/>
          <w:sz w:val="24"/>
          <w:szCs w:val="24"/>
        </w:rPr>
      </w:pPr>
    </w:p>
    <w:p w14:paraId="11A2055E" w14:textId="77777777" w:rsidR="001C563D" w:rsidRPr="00247349" w:rsidRDefault="001C563D" w:rsidP="001C563D">
      <w:pPr>
        <w:pStyle w:val="NoSpacing"/>
        <w:rPr>
          <w:rFonts w:ascii="Times New Roman" w:hAnsi="Times New Roman"/>
          <w:b/>
          <w:bCs/>
          <w:sz w:val="24"/>
          <w:szCs w:val="24"/>
        </w:rPr>
      </w:pPr>
      <w:r w:rsidRPr="00247349">
        <w:rPr>
          <w:rFonts w:ascii="Times New Roman" w:hAnsi="Times New Roman"/>
          <w:b/>
          <w:bCs/>
          <w:sz w:val="24"/>
          <w:szCs w:val="24"/>
        </w:rPr>
        <w:t>Legal Lessons Learned:</w:t>
      </w:r>
      <w:r>
        <w:rPr>
          <w:rFonts w:ascii="Times New Roman" w:hAnsi="Times New Roman"/>
          <w:b/>
          <w:bCs/>
          <w:sz w:val="24"/>
          <w:szCs w:val="24"/>
        </w:rPr>
        <w:t xml:space="preserve">  When employee advises employer they have a disability – in this case Asma requiring office position only, the employee’s lawsuit for not being promoted to positions requiring fieldwork will be dismissed. </w:t>
      </w:r>
    </w:p>
    <w:p w14:paraId="5EE86B47" w14:textId="77777777" w:rsidR="001C563D" w:rsidRDefault="001C563D" w:rsidP="005C30A4">
      <w:pPr>
        <w:pStyle w:val="NoSpacing"/>
        <w:rPr>
          <w:rFonts w:ascii="Arial Black" w:hAnsi="Arial Black"/>
          <w:b/>
          <w:sz w:val="24"/>
          <w:szCs w:val="24"/>
        </w:rPr>
      </w:pPr>
    </w:p>
    <w:p w14:paraId="5B66BF13" w14:textId="77777777" w:rsidR="001C563D" w:rsidRDefault="001C563D" w:rsidP="005C30A4">
      <w:pPr>
        <w:pStyle w:val="NoSpacing"/>
        <w:rPr>
          <w:rFonts w:ascii="Arial Black" w:hAnsi="Arial Black"/>
          <w:b/>
          <w:sz w:val="24"/>
          <w:szCs w:val="24"/>
        </w:rPr>
      </w:pPr>
    </w:p>
    <w:p w14:paraId="73217CB5" w14:textId="26DC4DBB" w:rsidR="00366CDD" w:rsidRDefault="00366CDD" w:rsidP="005C30A4">
      <w:pPr>
        <w:pStyle w:val="NoSpacing"/>
        <w:rPr>
          <w:rFonts w:ascii="Arial Black" w:hAnsi="Arial Black"/>
          <w:b/>
          <w:sz w:val="24"/>
          <w:szCs w:val="24"/>
        </w:rPr>
      </w:pPr>
      <w:r>
        <w:rPr>
          <w:rFonts w:ascii="Arial Black" w:hAnsi="Arial Black"/>
          <w:b/>
          <w:sz w:val="24"/>
          <w:szCs w:val="24"/>
        </w:rPr>
        <w:t xml:space="preserve">9-12 </w:t>
      </w:r>
      <w:r w:rsidRPr="001C563D">
        <w:rPr>
          <w:rFonts w:ascii="Times New Roman" w:hAnsi="Times New Roman"/>
          <w:bCs/>
          <w:sz w:val="24"/>
          <w:szCs w:val="24"/>
        </w:rPr>
        <w:t>[Also filed</w:t>
      </w:r>
      <w:r w:rsidR="001C563D">
        <w:rPr>
          <w:rFonts w:ascii="Times New Roman" w:hAnsi="Times New Roman"/>
          <w:bCs/>
          <w:sz w:val="24"/>
          <w:szCs w:val="24"/>
        </w:rPr>
        <w:t>:</w:t>
      </w:r>
      <w:r w:rsidRPr="001C563D">
        <w:rPr>
          <w:rFonts w:ascii="Times New Roman" w:hAnsi="Times New Roman"/>
          <w:bCs/>
          <w:sz w:val="24"/>
          <w:szCs w:val="24"/>
        </w:rPr>
        <w:t xml:space="preserve"> Chap. 10 &amp; 15]</w:t>
      </w:r>
    </w:p>
    <w:p w14:paraId="3DA94BED"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bookmarkStart w:id="354" w:name="_Hlk39818832"/>
      <w:bookmarkStart w:id="355" w:name="_Hlk38198073"/>
      <w:bookmarkStart w:id="356" w:name="_Hlk41155472"/>
      <w:r w:rsidRPr="00A670C3">
        <w:rPr>
          <w:rFonts w:ascii="Arial Black" w:eastAsia="Times New Roman" w:hAnsi="Arial Black"/>
          <w:sz w:val="28"/>
          <w:szCs w:val="28"/>
        </w:rPr>
        <w:t xml:space="preserve">PA: </w:t>
      </w:r>
      <w:r>
        <w:rPr>
          <w:rFonts w:ascii="Arial Black" w:eastAsia="Times New Roman" w:hAnsi="Arial Black"/>
          <w:sz w:val="28"/>
          <w:szCs w:val="28"/>
        </w:rPr>
        <w:t>FF PANIC ATTACK ON DUTY – PTSD, MEDICATION – NO LONGER QUALIFIED AS FF – TERMINATION NOT VIOL. ADA</w:t>
      </w:r>
    </w:p>
    <w:p w14:paraId="22D294EC"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p w14:paraId="03A7E2B4"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hyperlink r:id="rId1759" w:history="1">
        <w:r w:rsidRPr="00377614">
          <w:rPr>
            <w:rStyle w:val="Hyperlink"/>
          </w:rPr>
          <w:t>https://public.fastcase.com/Wl%2B2t%2BeVuI35%2FN70vAMFZkkc03nKI8qkpSJ%2FzmzLggswfoR1RvbDETmM60pPGUhc</w:t>
        </w:r>
      </w:hyperlink>
      <w:bookmarkEnd w:id="354"/>
      <w:r>
        <w:t xml:space="preserve"> </w:t>
      </w:r>
    </w:p>
    <w:p w14:paraId="1C30FA28" w14:textId="77777777" w:rsidR="00366CDD" w:rsidRPr="00DE2E06" w:rsidRDefault="00366CDD" w:rsidP="00366CDD">
      <w:pPr>
        <w:rPr>
          <w:rFonts w:ascii="Times New Roman" w:hAnsi="Times New Roman"/>
          <w:b/>
          <w:bCs/>
          <w:sz w:val="24"/>
          <w:szCs w:val="24"/>
        </w:rPr>
      </w:pPr>
      <w:bookmarkStart w:id="357" w:name="_Hlk40512021"/>
      <w:bookmarkEnd w:id="355"/>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w:t>
      </w:r>
      <w:bookmarkEnd w:id="357"/>
      <w:r>
        <w:rPr>
          <w:rFonts w:ascii="Times New Roman" w:hAnsi="Times New Roman"/>
          <w:b/>
          <w:bCs/>
          <w:sz w:val="24"/>
          <w:szCs w:val="24"/>
        </w:rPr>
        <w:t xml:space="preserve">  </w:t>
      </w:r>
      <w:bookmarkEnd w:id="356"/>
      <w:r>
        <w:rPr>
          <w:rFonts w:ascii="Times New Roman" w:hAnsi="Times New Roman"/>
          <w:b/>
          <w:bCs/>
          <w:sz w:val="24"/>
          <w:szCs w:val="24"/>
        </w:rPr>
        <w:t>FMLA also addressed (see below).</w:t>
      </w:r>
    </w:p>
    <w:p w14:paraId="1DF98835" w14:textId="21E082E4" w:rsidR="00366CDD" w:rsidRPr="00063DF6" w:rsidRDefault="00366CDD" w:rsidP="00366CDD">
      <w:pPr>
        <w:pStyle w:val="NormalWeb"/>
        <w:ind w:left="720"/>
        <w:rPr>
          <w:b/>
          <w:bCs/>
        </w:rPr>
      </w:pPr>
      <w:r w:rsidRPr="00063DF6">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w:t>
      </w:r>
      <w:r>
        <w:rPr>
          <w:bCs/>
        </w:rPr>
        <w:tab/>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42395378" w14:textId="77777777" w:rsidR="00366CDD" w:rsidRDefault="00366CDD" w:rsidP="005C30A4">
      <w:pPr>
        <w:pStyle w:val="NoSpacing"/>
        <w:rPr>
          <w:rFonts w:ascii="Arial Black" w:hAnsi="Arial Black"/>
          <w:b/>
          <w:sz w:val="24"/>
          <w:szCs w:val="24"/>
        </w:rPr>
      </w:pPr>
    </w:p>
    <w:p w14:paraId="0DAB598C" w14:textId="77777777" w:rsidR="00366CDD" w:rsidRDefault="00366CDD" w:rsidP="005C30A4">
      <w:pPr>
        <w:pStyle w:val="NoSpacing"/>
        <w:rPr>
          <w:rFonts w:ascii="Arial Black" w:hAnsi="Arial Black"/>
          <w:b/>
          <w:sz w:val="24"/>
          <w:szCs w:val="24"/>
        </w:rPr>
      </w:pPr>
    </w:p>
    <w:p w14:paraId="058C5E4B" w14:textId="66BA21B0" w:rsidR="0066298F" w:rsidRDefault="0066298F" w:rsidP="005C30A4">
      <w:pPr>
        <w:pStyle w:val="NoSpacing"/>
        <w:rPr>
          <w:rFonts w:ascii="Arial Black" w:hAnsi="Arial Black"/>
          <w:b/>
          <w:sz w:val="24"/>
          <w:szCs w:val="24"/>
        </w:rPr>
      </w:pPr>
      <w:r>
        <w:rPr>
          <w:rFonts w:ascii="Arial Black" w:hAnsi="Arial Black"/>
          <w:b/>
          <w:sz w:val="24"/>
          <w:szCs w:val="24"/>
        </w:rPr>
        <w:t>9-11</w:t>
      </w:r>
    </w:p>
    <w:p w14:paraId="152D5C7A" w14:textId="0841815A" w:rsidR="0066298F" w:rsidRDefault="0066298F" w:rsidP="005C30A4">
      <w:pPr>
        <w:pStyle w:val="NoSpacing"/>
        <w:rPr>
          <w:rFonts w:ascii="Arial Black" w:hAnsi="Arial Black"/>
          <w:b/>
          <w:sz w:val="24"/>
          <w:szCs w:val="24"/>
        </w:rPr>
      </w:pPr>
    </w:p>
    <w:p w14:paraId="6BCFB4C2" w14:textId="77777777" w:rsidR="0066298F" w:rsidRDefault="0066298F" w:rsidP="0066298F">
      <w:pPr>
        <w:pStyle w:val="NoSpacing"/>
        <w:rPr>
          <w:rFonts w:ascii="Arial Black" w:hAnsi="Arial Black"/>
          <w:sz w:val="28"/>
          <w:szCs w:val="28"/>
        </w:rPr>
      </w:pPr>
      <w:bookmarkStart w:id="358" w:name="_Hlk39818972"/>
      <w:bookmarkStart w:id="359" w:name="_Hlk41299331"/>
      <w:r w:rsidRPr="0054472A">
        <w:rPr>
          <w:rFonts w:ascii="Arial Black" w:hAnsi="Arial Black"/>
          <w:sz w:val="28"/>
          <w:szCs w:val="28"/>
        </w:rPr>
        <w:t>EEOC</w:t>
      </w:r>
      <w:r>
        <w:rPr>
          <w:rFonts w:ascii="Arial Black" w:hAnsi="Arial Black"/>
          <w:sz w:val="28"/>
          <w:szCs w:val="28"/>
        </w:rPr>
        <w:t xml:space="preserve">: </w:t>
      </w:r>
      <w:r w:rsidRPr="0054472A">
        <w:rPr>
          <w:rFonts w:ascii="Arial Black" w:hAnsi="Arial Black"/>
          <w:sz w:val="28"/>
          <w:szCs w:val="28"/>
        </w:rPr>
        <w:t xml:space="preserve"> </w:t>
      </w:r>
      <w:r>
        <w:rPr>
          <w:rFonts w:ascii="Arial Black" w:hAnsi="Arial Black"/>
          <w:sz w:val="28"/>
          <w:szCs w:val="28"/>
        </w:rPr>
        <w:t>COVID19 PANDEMIC MEETS THE “DIRECT THREAT” STANDARD - MAY TEST EMPLOYEES – SOME FDs NOW SCREENING EVERY SHIFT</w:t>
      </w:r>
    </w:p>
    <w:p w14:paraId="1A5677BB" w14:textId="77777777" w:rsidR="0066298F" w:rsidRDefault="0066298F" w:rsidP="0066298F">
      <w:pPr>
        <w:pStyle w:val="NoSpacing"/>
        <w:rPr>
          <w:rFonts w:ascii="Arial Black" w:hAnsi="Arial Black"/>
          <w:sz w:val="28"/>
          <w:szCs w:val="28"/>
        </w:rPr>
      </w:pPr>
    </w:p>
    <w:p w14:paraId="023C0127" w14:textId="77777777" w:rsidR="0066298F" w:rsidRPr="00665BD0" w:rsidRDefault="0066298F" w:rsidP="0066298F">
      <w:pPr>
        <w:pStyle w:val="NoSpacing"/>
        <w:rPr>
          <w:rFonts w:ascii="Times New Roman" w:hAnsi="Times New Roman"/>
          <w:b/>
          <w:sz w:val="24"/>
          <w:szCs w:val="24"/>
        </w:rPr>
      </w:pPr>
      <w:r w:rsidRPr="00665BD0">
        <w:rPr>
          <w:rFonts w:ascii="Times New Roman" w:hAnsi="Times New Roman"/>
          <w:sz w:val="24"/>
          <w:szCs w:val="24"/>
        </w:rPr>
        <w:t>On March 21, 2020, the federal Equal Employment Opportunity Commission issued updated guidance:</w:t>
      </w:r>
    </w:p>
    <w:p w14:paraId="5304DBD5" w14:textId="77777777" w:rsidR="0066298F" w:rsidRPr="00665BD0" w:rsidRDefault="0066298F" w:rsidP="0066298F">
      <w:pPr>
        <w:pStyle w:val="NoSpacing"/>
        <w:rPr>
          <w:rFonts w:ascii="Times New Roman" w:hAnsi="Times New Roman"/>
          <w:b/>
          <w:sz w:val="24"/>
          <w:szCs w:val="24"/>
        </w:rPr>
      </w:pPr>
    </w:p>
    <w:p w14:paraId="540C02AE" w14:textId="7C7249BA" w:rsidR="0066298F" w:rsidRDefault="0066298F" w:rsidP="0066298F">
      <w:pPr>
        <w:pStyle w:val="NoSpacing"/>
        <w:ind w:left="720"/>
        <w:rPr>
          <w:rFonts w:ascii="Arial Black" w:hAnsi="Arial Black"/>
          <w:b/>
          <w:sz w:val="24"/>
          <w:szCs w:val="24"/>
        </w:rPr>
      </w:pPr>
      <w:r w:rsidRPr="006A5A83">
        <w:rPr>
          <w:rStyle w:val="Strong"/>
          <w:rFonts w:ascii="Times New Roman" w:hAnsi="Times New Roman"/>
          <w:b w:val="0"/>
          <w:bCs w:val="0"/>
          <w:sz w:val="24"/>
          <w:szCs w:val="24"/>
        </w:rPr>
        <w:t xml:space="preserve">“The EEOC is updating this 2009 publication to address its application to coronavirus disease 2019 (COVID-19).  Employers and employees should follow guidance from the Centers for Disease Control and Prevention (CDC) as well as state/local public health authorities on how best to slow the spread of this disease and protect workers, customers, clients, and the </w:t>
      </w:r>
      <w:proofErr w:type="gramStart"/>
      <w:r w:rsidRPr="006A5A83">
        <w:rPr>
          <w:rStyle w:val="Strong"/>
          <w:rFonts w:ascii="Times New Roman" w:hAnsi="Times New Roman"/>
          <w:b w:val="0"/>
          <w:bCs w:val="0"/>
          <w:sz w:val="24"/>
          <w:szCs w:val="24"/>
        </w:rPr>
        <w:t>general public</w:t>
      </w:r>
      <w:proofErr w:type="gramEnd"/>
      <w:r w:rsidRPr="006A5A83">
        <w:rPr>
          <w:rStyle w:val="Strong"/>
          <w:rFonts w:ascii="Times New Roman" w:hAnsi="Times New Roman"/>
          <w:b w:val="0"/>
          <w:bCs w:val="0"/>
          <w:sz w:val="24"/>
          <w:szCs w:val="24"/>
        </w:rPr>
        <w:t xml:space="preserve">.  The ADA and the Rehabilitation Act do not interfere with employers following advice from </w:t>
      </w:r>
      <w:proofErr w:type="gramStart"/>
      <w:r w:rsidRPr="006A5A83">
        <w:rPr>
          <w:rStyle w:val="Strong"/>
          <w:rFonts w:ascii="Times New Roman" w:hAnsi="Times New Roman"/>
          <w:b w:val="0"/>
          <w:bCs w:val="0"/>
          <w:sz w:val="24"/>
          <w:szCs w:val="24"/>
        </w:rPr>
        <w:t>the CDC</w:t>
      </w:r>
      <w:proofErr w:type="gramEnd"/>
      <w:r w:rsidRPr="006A5A83">
        <w:rPr>
          <w:rStyle w:val="Strong"/>
          <w:rFonts w:ascii="Times New Roman" w:hAnsi="Times New Roman"/>
          <w:b w:val="0"/>
          <w:bCs w:val="0"/>
          <w:sz w:val="24"/>
          <w:szCs w:val="24"/>
        </w:rPr>
        <w:t xml:space="preserve"> and other public health authorities on appropriate steps to take relating to the workplace.  This update retains the principles from the 2009 document but incorporates new information to respond to current employer questions.  For readers’ ease the COVID-19 updates are all in bold.” </w:t>
      </w:r>
      <w:hyperlink r:id="rId1760" w:anchor="q6" w:history="1">
        <w:r w:rsidRPr="006A5A83">
          <w:rPr>
            <w:rStyle w:val="Hyperlink"/>
            <w:rFonts w:ascii="Times New Roman" w:hAnsi="Times New Roman"/>
            <w:b/>
            <w:bCs/>
            <w:sz w:val="24"/>
            <w:szCs w:val="24"/>
          </w:rPr>
          <w:t>https://www.eeoc.gov/facts/pandemic_flu.html?mc_cid=0f5c4e93d9&amp;mc_eid=3f2d24c371#q6</w:t>
        </w:r>
      </w:hyperlink>
    </w:p>
    <w:bookmarkEnd w:id="358"/>
    <w:p w14:paraId="6CC82D23" w14:textId="648C6F7E" w:rsidR="0066298F" w:rsidRDefault="0066298F" w:rsidP="005C30A4">
      <w:pPr>
        <w:pStyle w:val="NoSpacing"/>
        <w:rPr>
          <w:rFonts w:ascii="Arial Black" w:hAnsi="Arial Black"/>
          <w:b/>
          <w:sz w:val="24"/>
          <w:szCs w:val="24"/>
        </w:rPr>
      </w:pPr>
    </w:p>
    <w:p w14:paraId="1F976CB2" w14:textId="77777777" w:rsidR="0066298F" w:rsidRPr="00E0273B" w:rsidRDefault="0066298F" w:rsidP="0066298F">
      <w:pPr>
        <w:pStyle w:val="NoSpacing"/>
        <w:tabs>
          <w:tab w:val="left" w:pos="3070"/>
        </w:tabs>
        <w:rPr>
          <w:rFonts w:ascii="Times New Roman" w:hAnsi="Times New Roman"/>
          <w:sz w:val="24"/>
          <w:szCs w:val="24"/>
        </w:rPr>
      </w:pPr>
      <w:r w:rsidRPr="00665BD0">
        <w:rPr>
          <w:rFonts w:ascii="Times New Roman" w:hAnsi="Times New Roman"/>
          <w:b/>
          <w:sz w:val="24"/>
          <w:szCs w:val="24"/>
        </w:rPr>
        <w:t xml:space="preserve">Legal Lessons Learned: Fire &amp; EMS departments, </w:t>
      </w:r>
      <w:r>
        <w:rPr>
          <w:rFonts w:ascii="Times New Roman" w:hAnsi="Times New Roman"/>
          <w:b/>
          <w:sz w:val="24"/>
          <w:szCs w:val="24"/>
        </w:rPr>
        <w:t xml:space="preserve">with the concurrence of </w:t>
      </w:r>
      <w:r w:rsidRPr="00665BD0">
        <w:rPr>
          <w:rFonts w:ascii="Times New Roman" w:hAnsi="Times New Roman"/>
          <w:b/>
          <w:sz w:val="24"/>
          <w:szCs w:val="24"/>
        </w:rPr>
        <w:t xml:space="preserve">their Medical Director, </w:t>
      </w:r>
      <w:r>
        <w:rPr>
          <w:rFonts w:ascii="Times New Roman" w:hAnsi="Times New Roman"/>
          <w:b/>
          <w:sz w:val="24"/>
          <w:szCs w:val="24"/>
        </w:rPr>
        <w:t xml:space="preserve">should consider </w:t>
      </w:r>
      <w:r w:rsidRPr="00665BD0">
        <w:rPr>
          <w:rFonts w:ascii="Times New Roman" w:hAnsi="Times New Roman"/>
          <w:b/>
          <w:sz w:val="24"/>
          <w:szCs w:val="24"/>
        </w:rPr>
        <w:t>tak</w:t>
      </w:r>
      <w:r>
        <w:rPr>
          <w:rFonts w:ascii="Times New Roman" w:hAnsi="Times New Roman"/>
          <w:b/>
          <w:sz w:val="24"/>
          <w:szCs w:val="24"/>
        </w:rPr>
        <w:t xml:space="preserve">ing </w:t>
      </w:r>
      <w:r w:rsidRPr="00665BD0">
        <w:rPr>
          <w:rFonts w:ascii="Times New Roman" w:hAnsi="Times New Roman"/>
          <w:b/>
          <w:sz w:val="24"/>
          <w:szCs w:val="24"/>
        </w:rPr>
        <w:t>the temperature of crews on each shift.</w:t>
      </w:r>
      <w:r w:rsidRPr="00665BD0">
        <w:rPr>
          <w:rFonts w:ascii="Times New Roman" w:hAnsi="Times New Roman"/>
          <w:bCs/>
          <w:sz w:val="24"/>
          <w:szCs w:val="24"/>
        </w:rPr>
        <w:t xml:space="preserve">   </w:t>
      </w:r>
      <w:r w:rsidRPr="00E0273B">
        <w:rPr>
          <w:rFonts w:ascii="Times New Roman" w:hAnsi="Times New Roman"/>
          <w:bCs/>
          <w:sz w:val="24"/>
          <w:szCs w:val="24"/>
        </w:rPr>
        <w:t>Note: The author of this Newsletter serves on the SW Ohio EMS Protocol Committee; two UC Health physicians on the committee sent out an update on March 27, 2019, including the following:</w:t>
      </w:r>
    </w:p>
    <w:p w14:paraId="0F31B877" w14:textId="77777777" w:rsidR="0066298F" w:rsidRPr="00E0273B" w:rsidRDefault="0066298F" w:rsidP="0066298F">
      <w:pPr>
        <w:ind w:left="720"/>
        <w:rPr>
          <w:rFonts w:ascii="Times New Roman" w:hAnsi="Times New Roman"/>
          <w:sz w:val="24"/>
          <w:szCs w:val="24"/>
        </w:rPr>
      </w:pPr>
      <w:r w:rsidRPr="00E0273B">
        <w:rPr>
          <w:rFonts w:ascii="Times New Roman" w:hAnsi="Times New Roman"/>
          <w:sz w:val="24"/>
          <w:szCs w:val="24"/>
        </w:rPr>
        <w:t>“Symptomatic Prehospital Provider Many Departments have already initiated screening of employees at the start of every shift.  Providers with fever (100.0 or higher) and/or symptoms should not work.  Symptomatic providers are a priority for COVID-19 testing.  The Department’s Employee Health and/or the provider’s PCP should be able to arrange testing.  The UC Health ‘Drive-Through’ testing center may be able to help (open M-F 10-4, must call 41-VIRUS to make appointment).  Test results may take 4-5 days</w:t>
      </w:r>
      <w:bookmarkEnd w:id="359"/>
      <w:r w:rsidRPr="00E0273B">
        <w:rPr>
          <w:rFonts w:ascii="Times New Roman" w:hAnsi="Times New Roman"/>
          <w:sz w:val="24"/>
          <w:szCs w:val="24"/>
        </w:rPr>
        <w:t>.”</w:t>
      </w:r>
    </w:p>
    <w:p w14:paraId="7A9E2251" w14:textId="77777777" w:rsidR="0066298F" w:rsidRDefault="0066298F" w:rsidP="005C30A4">
      <w:pPr>
        <w:pStyle w:val="NoSpacing"/>
        <w:rPr>
          <w:rFonts w:ascii="Arial Black" w:hAnsi="Arial Black"/>
          <w:b/>
          <w:sz w:val="24"/>
          <w:szCs w:val="24"/>
        </w:rPr>
      </w:pPr>
    </w:p>
    <w:p w14:paraId="5D5F0C6E" w14:textId="77777777" w:rsidR="0066298F" w:rsidRDefault="0066298F" w:rsidP="005C30A4">
      <w:pPr>
        <w:pStyle w:val="NoSpacing"/>
        <w:rPr>
          <w:rFonts w:ascii="Arial Black" w:hAnsi="Arial Black"/>
          <w:b/>
          <w:sz w:val="24"/>
          <w:szCs w:val="24"/>
        </w:rPr>
      </w:pPr>
    </w:p>
    <w:p w14:paraId="41047F17" w14:textId="77777777" w:rsidR="0066298F" w:rsidRDefault="0066298F" w:rsidP="005C30A4">
      <w:pPr>
        <w:pStyle w:val="NoSpacing"/>
        <w:rPr>
          <w:rFonts w:ascii="Arial Black" w:hAnsi="Arial Black"/>
          <w:b/>
          <w:sz w:val="24"/>
          <w:szCs w:val="24"/>
        </w:rPr>
      </w:pPr>
    </w:p>
    <w:p w14:paraId="752798EA" w14:textId="226CBFBD" w:rsidR="005C30A4" w:rsidRDefault="005C30A4" w:rsidP="005C30A4">
      <w:pPr>
        <w:pStyle w:val="NoSpacing"/>
        <w:rPr>
          <w:rFonts w:ascii="Arial Black" w:hAnsi="Arial Black"/>
          <w:b/>
          <w:sz w:val="24"/>
          <w:szCs w:val="24"/>
        </w:rPr>
      </w:pPr>
      <w:r>
        <w:rPr>
          <w:rFonts w:ascii="Arial Black" w:hAnsi="Arial Black"/>
          <w:b/>
          <w:sz w:val="24"/>
          <w:szCs w:val="24"/>
        </w:rPr>
        <w:t>9-10</w:t>
      </w:r>
    </w:p>
    <w:p w14:paraId="5F4DD4CB" w14:textId="77777777" w:rsidR="005C30A4" w:rsidRPr="00C14E57" w:rsidRDefault="005C30A4" w:rsidP="005C30A4">
      <w:pPr>
        <w:pStyle w:val="NormalWeb"/>
        <w:rPr>
          <w:rFonts w:ascii="Arial Black" w:hAnsi="Arial Black"/>
          <w:sz w:val="28"/>
          <w:szCs w:val="28"/>
        </w:rPr>
      </w:pPr>
      <w:r>
        <w:rPr>
          <w:rFonts w:ascii="Arial Black" w:hAnsi="Arial Black"/>
          <w:sz w:val="28"/>
          <w:szCs w:val="28"/>
        </w:rPr>
        <w:t xml:space="preserve">LA: DISPATCHER FIRED - POOR WORK PERFORMANCE – CLAIMED ANXIETY – DIDN’T REQUEST ACCOMODATIONS </w:t>
      </w:r>
    </w:p>
    <w:p w14:paraId="47E94D8E" w14:textId="77777777" w:rsidR="005C30A4" w:rsidRPr="00465FB3" w:rsidRDefault="005C30A4" w:rsidP="005C30A4">
      <w:pPr>
        <w:spacing w:before="100" w:beforeAutospacing="1" w:after="100" w:afterAutospacing="1" w:line="240" w:lineRule="auto"/>
        <w:rPr>
          <w:rFonts w:ascii="Times New Roman" w:eastAsia="Times New Roman" w:hAnsi="Times New Roman"/>
          <w:sz w:val="24"/>
          <w:szCs w:val="24"/>
        </w:rPr>
      </w:pPr>
      <w:r w:rsidRPr="00465FB3">
        <w:rPr>
          <w:rFonts w:ascii="Times New Roman" w:hAnsi="Times New Roman"/>
          <w:sz w:val="24"/>
          <w:szCs w:val="24"/>
        </w:rPr>
        <w:t xml:space="preserve">On Feb. 26, 2020, in </w:t>
      </w:r>
      <w:r w:rsidRPr="00465FB3">
        <w:rPr>
          <w:rFonts w:ascii="Times New Roman" w:hAnsi="Times New Roman"/>
          <w:sz w:val="24"/>
          <w:szCs w:val="24"/>
          <w:u w:val="single"/>
        </w:rPr>
        <w:t xml:space="preserve">Denise Watkins v. </w:t>
      </w:r>
      <w:r w:rsidRPr="00465FB3">
        <w:rPr>
          <w:rFonts w:ascii="Times New Roman" w:eastAsia="Times New Roman" w:hAnsi="Times New Roman"/>
          <w:sz w:val="24"/>
          <w:szCs w:val="24"/>
          <w:u w:val="single"/>
        </w:rPr>
        <w:t>Sheriff Michael Tregre</w:t>
      </w:r>
      <w:r w:rsidRPr="00465FB3">
        <w:rPr>
          <w:rFonts w:ascii="Times New Roman" w:eastAsia="Times New Roman" w:hAnsi="Times New Roman"/>
          <w:sz w:val="24"/>
          <w:szCs w:val="24"/>
        </w:rPr>
        <w:t xml:space="preserve">,  U.S. District Court Judge Greg Gerard Guidry, Eastern District of Louisiana, granted the Sheriff’s motion for summary judgment. </w:t>
      </w:r>
    </w:p>
    <w:p w14:paraId="53C247EB" w14:textId="5C512A4F" w:rsidR="005C30A4" w:rsidRDefault="005C30A4" w:rsidP="005C30A4">
      <w:pPr>
        <w:pStyle w:val="NoSpacing"/>
        <w:ind w:left="720"/>
        <w:rPr>
          <w:rFonts w:ascii="Arial Black" w:hAnsi="Arial Black"/>
          <w:b/>
          <w:sz w:val="24"/>
          <w:szCs w:val="24"/>
        </w:rPr>
      </w:pPr>
      <w:r w:rsidRPr="00465FB3">
        <w:rPr>
          <w:rFonts w:ascii="Times New Roman" w:hAnsi="Times New Roman"/>
          <w:bCs/>
          <w:sz w:val="24"/>
          <w:szCs w:val="24"/>
        </w:rPr>
        <w:t xml:space="preserve">“The Court finds Plaintiff has failed to produce competent summary judgment evidence to make out a </w:t>
      </w:r>
      <w:r w:rsidRPr="00465FB3">
        <w:rPr>
          <w:rFonts w:ascii="Times New Roman" w:hAnsi="Times New Roman"/>
          <w:bCs/>
          <w:i/>
          <w:iCs/>
          <w:sz w:val="24"/>
          <w:szCs w:val="24"/>
        </w:rPr>
        <w:t>prima facie</w:t>
      </w:r>
      <w:r w:rsidRPr="00465FB3">
        <w:rPr>
          <w:rFonts w:ascii="Times New Roman" w:hAnsi="Times New Roman"/>
          <w:bCs/>
          <w:sz w:val="24"/>
          <w:szCs w:val="24"/>
        </w:rPr>
        <w:t xml:space="preserve"> failure-to-accommodate claim. Plaintiff has not produced evidence to show that the consequential limitations of Plaintiff's alleged disability were known to Defendant or that Defendant failed to make reasonable </w:t>
      </w:r>
      <w:proofErr w:type="gramStart"/>
      <w:r w:rsidRPr="00465FB3">
        <w:rPr>
          <w:rFonts w:ascii="Times New Roman" w:hAnsi="Times New Roman"/>
          <w:bCs/>
          <w:sz w:val="24"/>
          <w:szCs w:val="24"/>
        </w:rPr>
        <w:t>accommodations</w:t>
      </w:r>
      <w:proofErr w:type="gramEnd"/>
      <w:r w:rsidRPr="00465FB3">
        <w:rPr>
          <w:rFonts w:ascii="Times New Roman" w:hAnsi="Times New Roman"/>
          <w:bCs/>
          <w:sz w:val="24"/>
          <w:szCs w:val="24"/>
        </w:rPr>
        <w:t xml:space="preserve"> for such limitations. Therefore, Defendant is entitled to judgment as a matter of law dismissing Plaintiff's failure-to-accommodate claim.” </w:t>
      </w:r>
      <w:hyperlink r:id="rId1761" w:history="1">
        <w:r w:rsidRPr="00465FB3">
          <w:rPr>
            <w:rStyle w:val="Hyperlink"/>
            <w:rFonts w:ascii="Times New Roman" w:hAnsi="Times New Roman"/>
            <w:bCs/>
            <w:sz w:val="24"/>
            <w:szCs w:val="24"/>
          </w:rPr>
          <w:t>https://public.fastcase.com/Wl%2B2t%2BeVuI35%2FN70vAMFZhmmbLojT%2FvpqyhULz0IXhVnEOLZ3Ga%2BMf6ctA4VMmca</w:t>
        </w:r>
      </w:hyperlink>
    </w:p>
    <w:p w14:paraId="1F7152B8" w14:textId="77777777" w:rsidR="005C30A4" w:rsidRPr="00465FB3" w:rsidRDefault="005C30A4" w:rsidP="005C30A4">
      <w:pPr>
        <w:pStyle w:val="NormalWeb"/>
        <w:rPr>
          <w:b/>
          <w:bCs/>
        </w:rPr>
      </w:pPr>
      <w:r w:rsidRPr="00465FB3">
        <w:rPr>
          <w:b/>
          <w:bCs/>
        </w:rPr>
        <w:t xml:space="preserve">Legal Lessons Learned:  As explained by the Court, “Under the ADA, an employer is only required to ‘accommodate the known limitations of an employee's disability."  A </w:t>
      </w:r>
      <w:r w:rsidRPr="00465FB3">
        <w:rPr>
          <w:b/>
          <w:bCs/>
          <w:i/>
          <w:iCs/>
        </w:rPr>
        <w:t>prima facie</w:t>
      </w:r>
      <w:r w:rsidRPr="00465FB3">
        <w:rPr>
          <w:b/>
          <w:bCs/>
        </w:rPr>
        <w:t xml:space="preserve"> case of failure-to-accommodate requires that: ‘(1) the plaintiff is a 'qualified individual with a disability;' (2) the disability and its consequential limitations were 'known' by the covered employer; and (3) the employer failed to make 'reasonable accommodations' for such known limitations.’”</w:t>
      </w:r>
    </w:p>
    <w:p w14:paraId="2B5B4844" w14:textId="67397E8A" w:rsidR="005C30A4" w:rsidRDefault="005C30A4" w:rsidP="005C30A4">
      <w:pPr>
        <w:pStyle w:val="NoSpacing"/>
        <w:rPr>
          <w:sz w:val="24"/>
          <w:szCs w:val="24"/>
        </w:rPr>
      </w:pPr>
    </w:p>
    <w:p w14:paraId="02F86562" w14:textId="77777777" w:rsidR="005C30A4" w:rsidRDefault="005C30A4" w:rsidP="005C30A4">
      <w:pPr>
        <w:pStyle w:val="NoSpacing"/>
        <w:rPr>
          <w:sz w:val="24"/>
          <w:szCs w:val="24"/>
        </w:rPr>
      </w:pPr>
    </w:p>
    <w:p w14:paraId="15086F11" w14:textId="2AB14CC9" w:rsidR="005C30A4" w:rsidRDefault="005C30A4" w:rsidP="005C30A4">
      <w:pPr>
        <w:pStyle w:val="NoSpacing"/>
        <w:rPr>
          <w:sz w:val="24"/>
          <w:szCs w:val="24"/>
        </w:rPr>
      </w:pPr>
    </w:p>
    <w:p w14:paraId="4164EED7" w14:textId="0E5604F2" w:rsidR="00997329" w:rsidRDefault="00997329" w:rsidP="005C30A4">
      <w:pPr>
        <w:pStyle w:val="NoSpacing"/>
        <w:rPr>
          <w:rFonts w:ascii="Arial Black" w:hAnsi="Arial Black"/>
          <w:b/>
          <w:sz w:val="24"/>
          <w:szCs w:val="24"/>
        </w:rPr>
      </w:pPr>
      <w:r>
        <w:rPr>
          <w:rFonts w:ascii="Arial Black" w:hAnsi="Arial Black"/>
          <w:b/>
          <w:sz w:val="24"/>
          <w:szCs w:val="24"/>
        </w:rPr>
        <w:t>9-9</w:t>
      </w:r>
    </w:p>
    <w:p w14:paraId="48F62CC5" w14:textId="77777777" w:rsidR="00997329" w:rsidRPr="00DB5BDD" w:rsidRDefault="00997329" w:rsidP="00997329">
      <w:pPr>
        <w:spacing w:before="100" w:beforeAutospacing="1" w:after="100" w:afterAutospacing="1" w:line="240" w:lineRule="auto"/>
        <w:rPr>
          <w:rFonts w:ascii="Arial Black" w:eastAsia="Times New Roman" w:hAnsi="Arial Black"/>
          <w:sz w:val="28"/>
          <w:szCs w:val="28"/>
        </w:rPr>
      </w:pPr>
      <w:r w:rsidRPr="00DB5BDD">
        <w:rPr>
          <w:rFonts w:ascii="Arial Black" w:eastAsia="Times New Roman" w:hAnsi="Arial Black"/>
          <w:sz w:val="28"/>
          <w:szCs w:val="28"/>
        </w:rPr>
        <w:t>NY:</w:t>
      </w:r>
      <w:r>
        <w:rPr>
          <w:rFonts w:ascii="Arial Black" w:eastAsia="Times New Roman" w:hAnsi="Arial Black"/>
          <w:sz w:val="28"/>
          <w:szCs w:val="28"/>
        </w:rPr>
        <w:t xml:space="preserve"> AFRICAN AMERICAN FFs WITH PFB – FDNY NEW POLICY REQUIRED FF TO SHAVE CHIN HAIR - VIOLATES ADA  </w:t>
      </w:r>
    </w:p>
    <w:p w14:paraId="27205C62" w14:textId="77777777" w:rsidR="00997329" w:rsidRPr="00465FB3" w:rsidRDefault="00997329" w:rsidP="00997329">
      <w:pPr>
        <w:tabs>
          <w:tab w:val="left" w:pos="6200"/>
        </w:tabs>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w:t>
      </w:r>
      <w:bookmarkStart w:id="360" w:name="_Hlk39838735"/>
      <w:r w:rsidRPr="00465FB3">
        <w:rPr>
          <w:rFonts w:ascii="Times New Roman" w:eastAsia="Times New Roman" w:hAnsi="Times New Roman"/>
          <w:sz w:val="24"/>
          <w:szCs w:val="24"/>
        </w:rPr>
        <w:t xml:space="preserve">Jan. 29, 2020, in </w:t>
      </w:r>
      <w:r w:rsidRPr="00465FB3">
        <w:rPr>
          <w:rFonts w:ascii="Times New Roman" w:eastAsia="Times New Roman" w:hAnsi="Times New Roman"/>
          <w:sz w:val="24"/>
          <w:szCs w:val="24"/>
          <w:u w:val="single"/>
        </w:rPr>
        <w:t>Salif Bey, et al. v. City of New York</w:t>
      </w:r>
      <w:r w:rsidRPr="00465FB3">
        <w:rPr>
          <w:rFonts w:ascii="Times New Roman" w:eastAsia="Times New Roman" w:hAnsi="Times New Roman"/>
          <w:sz w:val="24"/>
          <w:szCs w:val="24"/>
        </w:rPr>
        <w:t xml:space="preserve">, </w:t>
      </w:r>
      <w:bookmarkEnd w:id="360"/>
      <w:r w:rsidRPr="00465FB3">
        <w:rPr>
          <w:rFonts w:ascii="Times New Roman" w:eastAsia="Times New Roman" w:hAnsi="Times New Roman"/>
          <w:sz w:val="24"/>
          <w:szCs w:val="24"/>
        </w:rPr>
        <w:t xml:space="preserve">Senior U.S. District Court Judge Jack B. Weinstein, Eastern District of New York, granted summary judgment to four FF who brought the lawsuit.   From Aug. 2015 until Dec. 2017, FDNY allowed 16 FF with </w:t>
      </w:r>
      <w:proofErr w:type="gramStart"/>
      <w:r w:rsidRPr="00465FB3">
        <w:rPr>
          <w:rFonts w:ascii="Times New Roman" w:eastAsia="Times New Roman" w:hAnsi="Times New Roman"/>
          <w:sz w:val="24"/>
          <w:szCs w:val="24"/>
        </w:rPr>
        <w:t>PFB to have</w:t>
      </w:r>
      <w:proofErr w:type="gramEnd"/>
      <w:r w:rsidRPr="00465FB3">
        <w:rPr>
          <w:rFonts w:ascii="Times New Roman" w:eastAsia="Times New Roman" w:hAnsi="Times New Roman"/>
          <w:sz w:val="24"/>
          <w:szCs w:val="24"/>
        </w:rPr>
        <w:t xml:space="preserve"> hair on their chin so long as they passed fit </w:t>
      </w:r>
      <w:proofErr w:type="gramStart"/>
      <w:r w:rsidRPr="00465FB3">
        <w:rPr>
          <w:rFonts w:ascii="Times New Roman" w:eastAsia="Times New Roman" w:hAnsi="Times New Roman"/>
          <w:sz w:val="24"/>
          <w:szCs w:val="24"/>
        </w:rPr>
        <w:t>test, but</w:t>
      </w:r>
      <w:proofErr w:type="gramEnd"/>
      <w:r w:rsidRPr="00465FB3">
        <w:rPr>
          <w:rFonts w:ascii="Times New Roman" w:eastAsia="Times New Roman" w:hAnsi="Times New Roman"/>
          <w:sz w:val="24"/>
          <w:szCs w:val="24"/>
        </w:rPr>
        <w:t xml:space="preserve"> changed the policy in 2018 to more strictly comply with OSHA requirements.  Judge, however, cited OSHA interpretation letter: </w:t>
      </w:r>
      <w:r w:rsidRPr="00465FB3">
        <w:rPr>
          <w:rFonts w:ascii="Times New Roman" w:eastAsia="Times New Roman" w:hAnsi="Times New Roman"/>
          <w:i/>
          <w:iCs/>
          <w:sz w:val="24"/>
          <w:szCs w:val="24"/>
        </w:rPr>
        <w:t xml:space="preserve">Facial hair is allowed </w:t>
      </w:r>
      <w:proofErr w:type="gramStart"/>
      <w:r w:rsidRPr="00465FB3">
        <w:rPr>
          <w:rFonts w:ascii="Times New Roman" w:eastAsia="Times New Roman" w:hAnsi="Times New Roman"/>
          <w:i/>
          <w:iCs/>
          <w:sz w:val="24"/>
          <w:szCs w:val="24"/>
        </w:rPr>
        <w:t>as long as</w:t>
      </w:r>
      <w:proofErr w:type="gramEnd"/>
      <w:r w:rsidRPr="00465FB3">
        <w:rPr>
          <w:rFonts w:ascii="Times New Roman" w:eastAsia="Times New Roman" w:hAnsi="Times New Roman"/>
          <w:i/>
          <w:iCs/>
          <w:sz w:val="24"/>
          <w:szCs w:val="24"/>
        </w:rPr>
        <w:t xml:space="preserve"> it does not protrude under the respirator seal, or extend far enough to interfere with the device's valve function.</w:t>
      </w:r>
    </w:p>
    <w:p w14:paraId="1F84D4C6" w14:textId="77777777"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 “Salik Bey (‘Bey’), Clyde Phillips (‘Phillips’), Steven Seymour (‘Seymour’) and Terrel Joseph (‘Joseph’) (collectively, ‘Plaintiffs’) are African American men who were employed as firefighters by the Fire Department of the City of New York (‘FDNY’ or ‘Department’) when the relevant events began. Amended </w:t>
      </w:r>
      <w:proofErr w:type="gramStart"/>
      <w:r w:rsidRPr="00465FB3">
        <w:rPr>
          <w:rFonts w:ascii="Times New Roman" w:eastAsia="Times New Roman" w:hAnsi="Times New Roman"/>
          <w:sz w:val="24"/>
          <w:szCs w:val="24"/>
        </w:rPr>
        <w:t>Complaint (‘</w:t>
      </w:r>
      <w:proofErr w:type="gramEnd"/>
      <w:r w:rsidRPr="00465FB3">
        <w:rPr>
          <w:rFonts w:ascii="Times New Roman" w:eastAsia="Times New Roman" w:hAnsi="Times New Roman"/>
          <w:sz w:val="24"/>
          <w:szCs w:val="24"/>
        </w:rPr>
        <w:t xml:space="preserve">Am. </w:t>
      </w:r>
      <w:proofErr w:type="spellStart"/>
      <w:r w:rsidRPr="00465FB3">
        <w:rPr>
          <w:rFonts w:ascii="Times New Roman" w:eastAsia="Times New Roman" w:hAnsi="Times New Roman"/>
          <w:sz w:val="24"/>
          <w:szCs w:val="24"/>
        </w:rPr>
        <w:t>Compl</w:t>
      </w:r>
      <w:proofErr w:type="spellEnd"/>
      <w:r w:rsidRPr="00465FB3">
        <w:rPr>
          <w:rFonts w:ascii="Times New Roman" w:eastAsia="Times New Roman" w:hAnsi="Times New Roman"/>
          <w:sz w:val="24"/>
          <w:szCs w:val="24"/>
        </w:rPr>
        <w:t xml:space="preserve">.’) ¶ 9, ECF No. 19. They suffer from Pseudofolliculitis Barbae ("PFB")—a physiological condition that causes disfigurement of the skin in the hair-bearing areas of the chin, cheek, and neck. </w:t>
      </w:r>
      <w:r w:rsidRPr="00465FB3">
        <w:rPr>
          <w:rFonts w:ascii="Times New Roman" w:eastAsia="Times New Roman" w:hAnsi="Times New Roman"/>
          <w:i/>
          <w:iCs/>
          <w:sz w:val="24"/>
          <w:szCs w:val="24"/>
        </w:rPr>
        <w:t>Id.</w:t>
      </w:r>
      <w:r w:rsidRPr="00465FB3">
        <w:rPr>
          <w:rFonts w:ascii="Times New Roman" w:eastAsia="Times New Roman" w:hAnsi="Times New Roman"/>
          <w:sz w:val="24"/>
          <w:szCs w:val="24"/>
        </w:rPr>
        <w:t xml:space="preserve"> at ¶¶ 22-23. *** By a letter dated May 9, 2016, OSHA interpreted the relevant RPS provision as clearing the way for Plaintiffs to maintain facial hair that does not protrude under the respirator seal:</w:t>
      </w:r>
    </w:p>
    <w:p w14:paraId="2C0EA5AA" w14:textId="0F525A13" w:rsidR="00997329" w:rsidRDefault="00997329" w:rsidP="00997329">
      <w:pPr>
        <w:ind w:left="720"/>
        <w:rPr>
          <w:rStyle w:val="Hyperlink"/>
          <w:rFonts w:ascii="Times New Roman" w:eastAsia="Times New Roman" w:hAnsi="Times New Roman"/>
          <w:sz w:val="24"/>
          <w:szCs w:val="24"/>
        </w:rPr>
      </w:pPr>
      <w:r w:rsidRPr="00465FB3">
        <w:rPr>
          <w:rFonts w:ascii="Times New Roman" w:eastAsia="Times New Roman" w:hAnsi="Times New Roman"/>
          <w:sz w:val="24"/>
          <w:szCs w:val="24"/>
        </w:rPr>
        <w:t>The Respiratory Protection standard, paragraph 29 CFR 1910.134(g)(1)(</w:t>
      </w:r>
      <w:proofErr w:type="spellStart"/>
      <w:r w:rsidRPr="00465FB3">
        <w:rPr>
          <w:rFonts w:ascii="Times New Roman" w:eastAsia="Times New Roman" w:hAnsi="Times New Roman"/>
          <w:sz w:val="24"/>
          <w:szCs w:val="24"/>
        </w:rPr>
        <w:t>i</w:t>
      </w:r>
      <w:proofErr w:type="spellEnd"/>
      <w:r w:rsidRPr="00465FB3">
        <w:rPr>
          <w:rFonts w:ascii="Times New Roman" w:eastAsia="Times New Roman" w:hAnsi="Times New Roman"/>
          <w:sz w:val="24"/>
          <w:szCs w:val="24"/>
        </w:rPr>
        <w:t xml:space="preserve">)(A), states that respirators shall not be worn when facial hair comes between the sealing surface of the facepiece and the face or that interferes with valve function. </w:t>
      </w:r>
      <w:r w:rsidRPr="00465FB3">
        <w:rPr>
          <w:rFonts w:ascii="Times New Roman" w:eastAsia="Times New Roman" w:hAnsi="Times New Roman"/>
          <w:i/>
          <w:iCs/>
          <w:sz w:val="24"/>
          <w:szCs w:val="24"/>
        </w:rPr>
        <w:t xml:space="preserve">Facial hair is allowed </w:t>
      </w:r>
      <w:proofErr w:type="gramStart"/>
      <w:r w:rsidRPr="00465FB3">
        <w:rPr>
          <w:rFonts w:ascii="Times New Roman" w:eastAsia="Times New Roman" w:hAnsi="Times New Roman"/>
          <w:i/>
          <w:iCs/>
          <w:sz w:val="24"/>
          <w:szCs w:val="24"/>
        </w:rPr>
        <w:t>as long as</w:t>
      </w:r>
      <w:proofErr w:type="gramEnd"/>
      <w:r w:rsidRPr="00465FB3">
        <w:rPr>
          <w:rFonts w:ascii="Times New Roman" w:eastAsia="Times New Roman" w:hAnsi="Times New Roman"/>
          <w:i/>
          <w:iCs/>
          <w:sz w:val="24"/>
          <w:szCs w:val="24"/>
        </w:rPr>
        <w:t xml:space="preserve"> it does not protrude under the respirator </w:t>
      </w:r>
      <w:proofErr w:type="gramStart"/>
      <w:r w:rsidRPr="00465FB3">
        <w:rPr>
          <w:rFonts w:ascii="Times New Roman" w:eastAsia="Times New Roman" w:hAnsi="Times New Roman"/>
          <w:i/>
          <w:iCs/>
          <w:sz w:val="24"/>
          <w:szCs w:val="24"/>
        </w:rPr>
        <w:t>seal, or</w:t>
      </w:r>
      <w:proofErr w:type="gramEnd"/>
      <w:r w:rsidRPr="00465FB3">
        <w:rPr>
          <w:rFonts w:ascii="Times New Roman" w:eastAsia="Times New Roman" w:hAnsi="Times New Roman"/>
          <w:i/>
          <w:iCs/>
          <w:sz w:val="24"/>
          <w:szCs w:val="24"/>
        </w:rPr>
        <w:t xml:space="preserve"> extend far enough to interfere with the device's valve function.</w:t>
      </w:r>
      <w:r w:rsidRPr="00465FB3">
        <w:rPr>
          <w:rFonts w:ascii="Times New Roman" w:eastAsia="Times New Roman" w:hAnsi="Times New Roman"/>
          <w:sz w:val="24"/>
          <w:szCs w:val="24"/>
        </w:rPr>
        <w:t xml:space="preserve"> Short mustaches, sideburns, and small goatees that are neatly trimmed so that no hair compromises the seal of the respirator usually do not present a hazard, and, therefore, do not violate paragraph 1910.134(g)(1)(</w:t>
      </w:r>
      <w:proofErr w:type="spellStart"/>
      <w:r w:rsidRPr="00465FB3">
        <w:rPr>
          <w:rFonts w:ascii="Times New Roman" w:eastAsia="Times New Roman" w:hAnsi="Times New Roman"/>
          <w:sz w:val="24"/>
          <w:szCs w:val="24"/>
        </w:rPr>
        <w:t>i</w:t>
      </w:r>
      <w:proofErr w:type="spellEnd"/>
      <w:r w:rsidRPr="00465FB3">
        <w:rPr>
          <w:rFonts w:ascii="Times New Roman" w:eastAsia="Times New Roman" w:hAnsi="Times New Roman"/>
          <w:sz w:val="24"/>
          <w:szCs w:val="24"/>
        </w:rPr>
        <w:t xml:space="preserve">). May 9, </w:t>
      </w:r>
      <w:proofErr w:type="gramStart"/>
      <w:r w:rsidRPr="00465FB3">
        <w:rPr>
          <w:rFonts w:ascii="Times New Roman" w:eastAsia="Times New Roman" w:hAnsi="Times New Roman"/>
          <w:sz w:val="24"/>
          <w:szCs w:val="24"/>
        </w:rPr>
        <w:t>2016</w:t>
      </w:r>
      <w:proofErr w:type="gramEnd"/>
      <w:r w:rsidRPr="00465FB3">
        <w:rPr>
          <w:rFonts w:ascii="Times New Roman" w:eastAsia="Times New Roman" w:hAnsi="Times New Roman"/>
          <w:sz w:val="24"/>
          <w:szCs w:val="24"/>
        </w:rPr>
        <w:t xml:space="preserve"> OSHA Interpretative Letter at 2, ECF No. 48-15 (emphasis added). *** On the theory and facts of the ‘failure to accommodate’ and disability discrimination claims under the Americans with Disabilities Act (‘ADA’), Plaintiffs are entitled to summary judgment against Defendants and to reinstatement of the accommodation previously in effect.”  </w:t>
      </w:r>
      <w:bookmarkStart w:id="361" w:name="_Hlk39838756"/>
      <w:r w:rsidR="00DC51D4">
        <w:fldChar w:fldCharType="begin"/>
      </w:r>
      <w:r w:rsidR="00DC51D4">
        <w:instrText xml:space="preserve"> HYPERLINK "https://scholar.google.com/scholar_case?case=10499866017529575475&amp;q=+Bey+v.+City+of+New+York&amp;hl=en&amp;as_sdt=6,36&amp;as_ylo=2020" </w:instrText>
      </w:r>
      <w:r w:rsidR="00DC51D4">
        <w:fldChar w:fldCharType="separate"/>
      </w:r>
      <w:r w:rsidRPr="00465FB3">
        <w:rPr>
          <w:rStyle w:val="Hyperlink"/>
          <w:rFonts w:ascii="Times New Roman" w:eastAsia="Times New Roman" w:hAnsi="Times New Roman"/>
          <w:sz w:val="24"/>
          <w:szCs w:val="24"/>
        </w:rPr>
        <w:t>https://scholar.google.com/scholar_case?case=10499866017529575475&amp;q=+Bey+v.+City+of+New+York&amp;hl=en&amp;as_sdt=6,36&amp;as_ylo=2020</w:t>
      </w:r>
      <w:r w:rsidR="00DC51D4">
        <w:rPr>
          <w:rStyle w:val="Hyperlink"/>
          <w:rFonts w:ascii="Times New Roman" w:eastAsia="Times New Roman" w:hAnsi="Times New Roman"/>
          <w:sz w:val="24"/>
          <w:szCs w:val="24"/>
        </w:rPr>
        <w:fldChar w:fldCharType="end"/>
      </w:r>
    </w:p>
    <w:bookmarkEnd w:id="361"/>
    <w:p w14:paraId="37988CF0"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 xml:space="preserve">Legal Lessons Learned:  The OSHA interpretation letter, not requiring complete shaved face, was very important in this ADA litigation.   </w:t>
      </w:r>
    </w:p>
    <w:p w14:paraId="65563768" w14:textId="77777777" w:rsidR="00997329" w:rsidRDefault="00997329" w:rsidP="00997329">
      <w:pPr>
        <w:ind w:left="720"/>
        <w:rPr>
          <w:rFonts w:ascii="Arial Black" w:hAnsi="Arial Black"/>
          <w:b/>
          <w:sz w:val="24"/>
          <w:szCs w:val="24"/>
        </w:rPr>
      </w:pPr>
    </w:p>
    <w:p w14:paraId="173C5569" w14:textId="77777777" w:rsidR="00997329" w:rsidRDefault="00997329" w:rsidP="002B1283">
      <w:pPr>
        <w:rPr>
          <w:rFonts w:ascii="Arial Black" w:hAnsi="Arial Black"/>
          <w:b/>
          <w:sz w:val="24"/>
          <w:szCs w:val="24"/>
        </w:rPr>
      </w:pPr>
    </w:p>
    <w:p w14:paraId="538F52C2" w14:textId="582B7BE1" w:rsidR="00A52325" w:rsidRDefault="00177094" w:rsidP="002B1283">
      <w:pPr>
        <w:rPr>
          <w:rFonts w:ascii="Arial Black" w:hAnsi="Arial Black"/>
          <w:b/>
          <w:sz w:val="24"/>
          <w:szCs w:val="24"/>
        </w:rPr>
      </w:pPr>
      <w:r>
        <w:rPr>
          <w:rFonts w:ascii="Arial Black" w:hAnsi="Arial Black"/>
          <w:b/>
          <w:sz w:val="24"/>
          <w:szCs w:val="24"/>
        </w:rPr>
        <w:t>9-8</w:t>
      </w:r>
    </w:p>
    <w:p w14:paraId="4EEEDE16" w14:textId="77777777" w:rsidR="00177094" w:rsidRDefault="00177094" w:rsidP="00177094">
      <w:pPr>
        <w:pStyle w:val="NoSpacing"/>
        <w:rPr>
          <w:rFonts w:ascii="Arial Black" w:hAnsi="Arial Black"/>
          <w:b/>
          <w:bCs/>
          <w:sz w:val="28"/>
          <w:szCs w:val="28"/>
        </w:rPr>
      </w:pPr>
      <w:r>
        <w:rPr>
          <w:rFonts w:ascii="Arial Black" w:hAnsi="Arial Black"/>
          <w:bCs/>
          <w:sz w:val="28"/>
          <w:szCs w:val="28"/>
        </w:rPr>
        <w:t>GA: PARAMEDIC WITH MS – TEACHER / LAB ASSIS. – 3 DAYS SICK, COLLEGE REMOVED FULL SEMESTER – DOJ SETTLEMENT / BOJ BLOG</w:t>
      </w:r>
    </w:p>
    <w:p w14:paraId="490092D0" w14:textId="77777777" w:rsidR="00177094" w:rsidRPr="004236BE" w:rsidRDefault="00177094" w:rsidP="00177094">
      <w:pPr>
        <w:rPr>
          <w:rFonts w:ascii="Times New Roman" w:hAnsi="Times New Roman"/>
          <w:b/>
          <w:bCs/>
          <w:sz w:val="24"/>
          <w:szCs w:val="24"/>
        </w:rPr>
      </w:pPr>
      <w:r w:rsidRPr="00177094">
        <w:rPr>
          <w:rFonts w:ascii="Times New Roman" w:hAnsi="Times New Roman"/>
          <w:bCs/>
          <w:sz w:val="24"/>
          <w:szCs w:val="24"/>
        </w:rPr>
        <w:t>Ja</w:t>
      </w:r>
      <w:r w:rsidRPr="004236BE">
        <w:rPr>
          <w:rFonts w:ascii="Times New Roman" w:hAnsi="Times New Roman"/>
          <w:bCs/>
          <w:sz w:val="24"/>
          <w:szCs w:val="24"/>
        </w:rPr>
        <w:t xml:space="preserve">n. 27, 2020:  </w:t>
      </w:r>
      <w:proofErr w:type="spellStart"/>
      <w:r w:rsidRPr="004236BE">
        <w:rPr>
          <w:rFonts w:ascii="Times New Roman" w:hAnsi="Times New Roman"/>
          <w:bCs/>
          <w:sz w:val="24"/>
          <w:szCs w:val="24"/>
        </w:rPr>
        <w:t>DoJ</w:t>
      </w:r>
      <w:proofErr w:type="spellEnd"/>
      <w:r w:rsidRPr="004236BE">
        <w:rPr>
          <w:rFonts w:ascii="Times New Roman" w:hAnsi="Times New Roman"/>
          <w:bCs/>
          <w:sz w:val="24"/>
          <w:szCs w:val="24"/>
        </w:rPr>
        <w:t xml:space="preserve"> BLOG about settlement, about the Nov. 7, </w:t>
      </w:r>
      <w:proofErr w:type="gramStart"/>
      <w:r w:rsidRPr="004236BE">
        <w:rPr>
          <w:rFonts w:ascii="Times New Roman" w:hAnsi="Times New Roman"/>
          <w:bCs/>
          <w:sz w:val="24"/>
          <w:szCs w:val="24"/>
        </w:rPr>
        <w:t>2019</w:t>
      </w:r>
      <w:proofErr w:type="gramEnd"/>
      <w:r w:rsidRPr="004236BE">
        <w:rPr>
          <w:rFonts w:ascii="Times New Roman" w:hAnsi="Times New Roman"/>
          <w:bCs/>
          <w:sz w:val="24"/>
          <w:szCs w:val="24"/>
        </w:rPr>
        <w:t xml:space="preserve"> settlement:</w:t>
      </w:r>
      <w:r w:rsidRPr="004236BE">
        <w:rPr>
          <w:rFonts w:ascii="Times New Roman" w:hAnsi="Times New Roman"/>
          <w:bCs/>
          <w:sz w:val="24"/>
          <w:szCs w:val="24"/>
          <w:u w:val="single"/>
        </w:rPr>
        <w:t xml:space="preserve"> United States v. Lanier Technical College</w:t>
      </w:r>
      <w:r w:rsidRPr="004236BE">
        <w:rPr>
          <w:rFonts w:ascii="Times New Roman" w:hAnsi="Times New Roman"/>
          <w:bCs/>
          <w:sz w:val="24"/>
          <w:szCs w:val="24"/>
        </w:rPr>
        <w:t xml:space="preserve">: U.S. District Court, Northern District of Georgia (Atlanta).  </w:t>
      </w:r>
    </w:p>
    <w:p w14:paraId="360D0B5B"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“From 2009-2012, in addition to working as a full-time paramedic, Ms. Queen worked evening shifts as a part-time EMT lab assistant at Lanier Technical College, a unit of the Technical College System of Georgia. She loved teaching and hoped to someday become a full-time instructor. One former colleague described Ms. Queen as a ‘superstar’ lab assistant whom ‘students loved.’ But after Ms. Queen took three days of sick leave due to her MS, the college removed her from the teaching schedule for an entire school semester, thus reducing her hours and pay to zero. As alleged by the Justice Department in a complaint filed in federal district court in November 2019, the college’s actions effectively terminated Ms. Queen’s employment </w:t>
      </w:r>
      <w:proofErr w:type="gramStart"/>
      <w:r w:rsidRPr="004236BE">
        <w:rPr>
          <w:rFonts w:ascii="Times New Roman" w:hAnsi="Times New Roman"/>
          <w:bCs/>
          <w:sz w:val="24"/>
          <w:szCs w:val="24"/>
        </w:rPr>
        <w:t>on the basis of</w:t>
      </w:r>
      <w:proofErr w:type="gramEnd"/>
      <w:r w:rsidRPr="004236BE">
        <w:rPr>
          <w:rFonts w:ascii="Times New Roman" w:hAnsi="Times New Roman"/>
          <w:bCs/>
          <w:sz w:val="24"/>
          <w:szCs w:val="24"/>
        </w:rPr>
        <w:t xml:space="preserve"> her disability, in violation of Title I of the ADA.” </w:t>
      </w:r>
    </w:p>
    <w:p w14:paraId="2D797B13" w14:textId="77777777" w:rsidR="00177094" w:rsidRPr="004236BE" w:rsidRDefault="00177094" w:rsidP="00177094">
      <w:pPr>
        <w:pStyle w:val="NoSpacing"/>
        <w:ind w:left="720"/>
        <w:rPr>
          <w:rFonts w:ascii="Times New Roman" w:hAnsi="Times New Roman"/>
          <w:b/>
          <w:bCs/>
          <w:sz w:val="24"/>
          <w:szCs w:val="24"/>
        </w:rPr>
      </w:pPr>
      <w:hyperlink r:id="rId1762" w:history="1">
        <w:r w:rsidRPr="004236BE">
          <w:rPr>
            <w:rStyle w:val="Hyperlink"/>
            <w:rFonts w:ascii="Times New Roman" w:hAnsi="Times New Roman"/>
            <w:b/>
            <w:sz w:val="24"/>
            <w:szCs w:val="24"/>
          </w:rPr>
          <w:t>https://www.justice.gov/opa/blog/americans-disabilities-act-30th-anniversary-furthering-promise</w:t>
        </w:r>
      </w:hyperlink>
      <w:r w:rsidRPr="004236BE">
        <w:rPr>
          <w:rStyle w:val="Hyperlink"/>
          <w:rFonts w:ascii="Times New Roman" w:hAnsi="Times New Roman"/>
          <w:b/>
          <w:sz w:val="24"/>
          <w:szCs w:val="24"/>
        </w:rPr>
        <w:t xml:space="preserve"> </w:t>
      </w:r>
    </w:p>
    <w:p w14:paraId="287359A7" w14:textId="77777777" w:rsidR="00177094" w:rsidRPr="004236BE" w:rsidRDefault="00177094" w:rsidP="00177094">
      <w:pPr>
        <w:pStyle w:val="NoSpacing"/>
        <w:rPr>
          <w:rFonts w:ascii="Times New Roman" w:hAnsi="Times New Roman"/>
          <w:b/>
          <w:bCs/>
          <w:sz w:val="24"/>
          <w:szCs w:val="24"/>
        </w:rPr>
      </w:pPr>
    </w:p>
    <w:p w14:paraId="6C4315A9" w14:textId="77777777" w:rsidR="00177094" w:rsidRPr="004236BE" w:rsidRDefault="00177094" w:rsidP="00177094">
      <w:pPr>
        <w:pStyle w:val="NormalWeb"/>
        <w:rPr>
          <w:b/>
        </w:rPr>
      </w:pPr>
      <w:r w:rsidRPr="004236BE">
        <w:rPr>
          <w:bCs/>
        </w:rPr>
        <w:t xml:space="preserve">Nov. 7, </w:t>
      </w:r>
      <w:proofErr w:type="gramStart"/>
      <w:r w:rsidRPr="004236BE">
        <w:rPr>
          <w:bCs/>
        </w:rPr>
        <w:t>2019</w:t>
      </w:r>
      <w:proofErr w:type="gramEnd"/>
      <w:r w:rsidRPr="004236BE">
        <w:rPr>
          <w:bCs/>
        </w:rPr>
        <w:t xml:space="preserve"> Settlement Press Release:</w:t>
      </w:r>
    </w:p>
    <w:p w14:paraId="64A2E4DC" w14:textId="77777777" w:rsidR="00177094" w:rsidRPr="004236BE" w:rsidRDefault="00177094" w:rsidP="00177094">
      <w:pPr>
        <w:pStyle w:val="NormalWeb"/>
        <w:ind w:left="720"/>
        <w:rPr>
          <w:b/>
        </w:rPr>
      </w:pPr>
      <w:r w:rsidRPr="004236BE">
        <w:t xml:space="preserve">“The agreement resolves the Department’s complaint alleging that the college terminated an employee, who has multiple sclerosis, </w:t>
      </w:r>
      <w:proofErr w:type="gramStart"/>
      <w:r w:rsidRPr="004236BE">
        <w:t>on the basis of</w:t>
      </w:r>
      <w:proofErr w:type="gramEnd"/>
      <w:r w:rsidRPr="004236BE">
        <w:t xml:space="preserve"> her disability after years of service to the college. The complaint further alleges that, after the employee took three days of sick leave one summer, the college removed her from the teaching schedule for an entire school semester, thus reducing her hours and pay to zero, due to her multiple sclerosis.” </w:t>
      </w:r>
      <w:hyperlink r:id="rId1763" w:history="1">
        <w:r w:rsidRPr="004236BE">
          <w:rPr>
            <w:rStyle w:val="Hyperlink"/>
            <w:b/>
          </w:rPr>
          <w:t>https://www.justice.gov/opa/pr/justice-department-settles-college-resolve-disability-discrimination-complaint</w:t>
        </w:r>
      </w:hyperlink>
      <w:r w:rsidRPr="004236BE">
        <w:t xml:space="preserve"> </w:t>
      </w:r>
    </w:p>
    <w:p w14:paraId="2DC290D6" w14:textId="77777777" w:rsidR="00177094" w:rsidRPr="004236BE" w:rsidRDefault="00177094" w:rsidP="00177094">
      <w:pPr>
        <w:pStyle w:val="NoSpacing"/>
        <w:rPr>
          <w:rFonts w:ascii="Times New Roman" w:hAnsi="Times New Roman"/>
          <w:sz w:val="24"/>
          <w:szCs w:val="24"/>
        </w:rPr>
      </w:pPr>
      <w:r w:rsidRPr="004236BE">
        <w:rPr>
          <w:rFonts w:ascii="Times New Roman" w:hAnsi="Times New Roman"/>
          <w:b/>
          <w:bCs/>
          <w:sz w:val="24"/>
          <w:szCs w:val="24"/>
        </w:rPr>
        <w:t>Legal Lessons Learned:  U.S. Department of Justice aggressively enforces the ADA</w:t>
      </w:r>
      <w:r>
        <w:rPr>
          <w:rFonts w:ascii="Times New Roman" w:hAnsi="Times New Roman"/>
          <w:b/>
          <w:bCs/>
          <w:sz w:val="24"/>
          <w:szCs w:val="24"/>
        </w:rPr>
        <w:t>, including this lawsuit on behalf of a paramedic and teacher</w:t>
      </w:r>
      <w:r w:rsidRPr="004236BE">
        <w:rPr>
          <w:rFonts w:ascii="Times New Roman" w:hAnsi="Times New Roman"/>
          <w:sz w:val="24"/>
          <w:szCs w:val="24"/>
        </w:rPr>
        <w:t xml:space="preserve">. </w:t>
      </w:r>
    </w:p>
    <w:p w14:paraId="395D64C0" w14:textId="77777777" w:rsidR="00177094" w:rsidRDefault="00177094" w:rsidP="002B1283">
      <w:pPr>
        <w:rPr>
          <w:rFonts w:ascii="Arial Black" w:hAnsi="Arial Black"/>
          <w:b/>
          <w:sz w:val="24"/>
          <w:szCs w:val="24"/>
        </w:rPr>
      </w:pPr>
    </w:p>
    <w:p w14:paraId="4C2DAA6F" w14:textId="473A62E6" w:rsidR="00A52325" w:rsidRDefault="00A52325" w:rsidP="002B1283">
      <w:pPr>
        <w:rPr>
          <w:rFonts w:ascii="Arial Black" w:hAnsi="Arial Black"/>
          <w:b/>
          <w:sz w:val="24"/>
          <w:szCs w:val="24"/>
        </w:rPr>
      </w:pPr>
      <w:r>
        <w:rPr>
          <w:rFonts w:ascii="Arial Black" w:hAnsi="Arial Black"/>
          <w:b/>
          <w:sz w:val="24"/>
          <w:szCs w:val="24"/>
        </w:rPr>
        <w:t>9-7</w:t>
      </w:r>
    </w:p>
    <w:p w14:paraId="7F08866C" w14:textId="77777777" w:rsidR="00A52325" w:rsidRDefault="00A52325" w:rsidP="00A52325">
      <w:pPr>
        <w:pStyle w:val="NoSpacing"/>
        <w:rPr>
          <w:rFonts w:ascii="Arial Black" w:hAnsi="Arial Black"/>
          <w:sz w:val="28"/>
          <w:szCs w:val="28"/>
        </w:rPr>
      </w:pPr>
      <w:r>
        <w:rPr>
          <w:rFonts w:ascii="Arial Black" w:hAnsi="Arial Black"/>
          <w:sz w:val="28"/>
          <w:szCs w:val="28"/>
        </w:rPr>
        <w:t>FL:  FIREFIGHTER LATE FOR MANY SHIFTS – CLAIMED DISABILITY – PROPERLY FIRED – ESSENTIAL JOB FUNCTION TO BE ONTIME</w:t>
      </w:r>
    </w:p>
    <w:p w14:paraId="0519CE15" w14:textId="77777777" w:rsidR="00A52325" w:rsidRDefault="00A52325" w:rsidP="00A52325">
      <w:pPr>
        <w:pStyle w:val="NoSpacing"/>
        <w:rPr>
          <w:rFonts w:ascii="Arial Black" w:hAnsi="Arial Black"/>
          <w:sz w:val="28"/>
          <w:szCs w:val="28"/>
        </w:rPr>
      </w:pPr>
    </w:p>
    <w:p w14:paraId="4A039E05"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Nov. 13, 2019, in </w:t>
      </w:r>
      <w:r>
        <w:rPr>
          <w:rFonts w:ascii="Times New Roman" w:hAnsi="Times New Roman"/>
          <w:sz w:val="24"/>
          <w:szCs w:val="24"/>
          <w:u w:val="single"/>
        </w:rPr>
        <w:t>Darrell C. Hartwell v. Richard Spencer, Secretary of U.S. Navy</w:t>
      </w:r>
      <w:r>
        <w:rPr>
          <w:rFonts w:ascii="Times New Roman" w:hAnsi="Times New Roman"/>
          <w:sz w:val="24"/>
          <w:szCs w:val="24"/>
        </w:rPr>
        <w:t>, the U.S. Court of Appeals for 11</w:t>
      </w:r>
      <w:r>
        <w:rPr>
          <w:rFonts w:ascii="Times New Roman" w:hAnsi="Times New Roman"/>
          <w:sz w:val="24"/>
          <w:szCs w:val="24"/>
          <w:vertAlign w:val="superscript"/>
        </w:rPr>
        <w:t>th</w:t>
      </w:r>
      <w:r>
        <w:rPr>
          <w:rFonts w:ascii="Times New Roman" w:hAnsi="Times New Roman"/>
          <w:sz w:val="24"/>
          <w:szCs w:val="24"/>
        </w:rPr>
        <w:t xml:space="preserve"> Circuit (Atlanta) held (3 to 0) in an unpublished decision, that U.S. District Court properly granted summary judgment to the U.S. Navy. </w:t>
      </w:r>
    </w:p>
    <w:p w14:paraId="25F0E9D3" w14:textId="5DD02A5B" w:rsidR="00A52325" w:rsidRDefault="00A52325" w:rsidP="00A52325">
      <w:pPr>
        <w:pStyle w:val="Heading1"/>
        <w:ind w:left="720"/>
        <w:rPr>
          <w:rStyle w:val="Hyperlink"/>
          <w:b w:val="0"/>
          <w:bCs w:val="0"/>
          <w:sz w:val="24"/>
          <w:szCs w:val="24"/>
        </w:rPr>
      </w:pPr>
      <w:r>
        <w:rPr>
          <w:b w:val="0"/>
          <w:bCs w:val="0"/>
          <w:sz w:val="24"/>
          <w:szCs w:val="24"/>
        </w:rPr>
        <w:t xml:space="preserve">“Hartwell contends that his medical conditions impair his time management skills and the medication that he takes causes morning drowsiness, making it impossible for him to consistently report for work by 7:00 a.m. The only accommodation he requested was to allow him to come to work up to an hour late without prior notice. A few days before he was fired, Hartwell provided a note from his doctor stating that Hartwell’s condition was permanent, but that his symptoms could be ‘minimized’ ‘with long term individual counseling and medication.’ In other words, with or without the accommodation he requested, Hartwell expected to continue his pattern of frequent tardiness indefinitely. The pivotal issue on appeal, therefore, is whether punctuality is an essential function of the job of a firefighter/EMT. *** We agree with the district court that reporting to work on time was an essential function of Hartwell’s job as a firefighter/EMT. Because Hartwell could not perform this function with or without his requested accommodation, he is not “otherwise qualified” within the meaning of the Rehabilitation Act, and the district court correctly granted the defendant’s motion for summary judgment on this claim. </w:t>
      </w:r>
      <w:hyperlink r:id="rId1764" w:history="1">
        <w:r>
          <w:rPr>
            <w:rStyle w:val="Hyperlink"/>
            <w:b w:val="0"/>
            <w:bCs w:val="0"/>
            <w:sz w:val="24"/>
            <w:szCs w:val="24"/>
          </w:rPr>
          <w:t>http://media.ca11.uscourts.gov/opinions/unpub/files/201814488.pdf</w:t>
        </w:r>
      </w:hyperlink>
    </w:p>
    <w:p w14:paraId="1121DE4A" w14:textId="77777777" w:rsidR="00A52325" w:rsidRDefault="00A52325" w:rsidP="00A52325">
      <w:pPr>
        <w:pStyle w:val="NoSpacing"/>
        <w:rPr>
          <w:rFonts w:ascii="Times New Roman" w:hAnsi="Times New Roman"/>
          <w:b/>
          <w:bCs/>
          <w:sz w:val="24"/>
          <w:szCs w:val="24"/>
        </w:rPr>
      </w:pPr>
      <w:bookmarkStart w:id="362" w:name="_Hlk40512080"/>
      <w:r>
        <w:rPr>
          <w:rFonts w:ascii="Times New Roman" w:hAnsi="Times New Roman"/>
          <w:b/>
          <w:bCs/>
          <w:sz w:val="24"/>
          <w:szCs w:val="24"/>
        </w:rPr>
        <w:t>Legal Lessons Learned: The Court properly recognized the essential job function of a firefighters – to show up for work on time.</w:t>
      </w:r>
    </w:p>
    <w:bookmarkEnd w:id="362"/>
    <w:p w14:paraId="15F5C8B7" w14:textId="20036D16" w:rsidR="00A52325" w:rsidRPr="00A52325" w:rsidRDefault="00A52325" w:rsidP="00A52325">
      <w:pPr>
        <w:pStyle w:val="Heading1"/>
        <w:rPr>
          <w:b w:val="0"/>
          <w:sz w:val="24"/>
          <w:szCs w:val="24"/>
        </w:rPr>
      </w:pPr>
    </w:p>
    <w:p w14:paraId="744C8397" w14:textId="3DD3CC71" w:rsidR="009F0F05" w:rsidRPr="00BC70A3" w:rsidRDefault="009F0F05" w:rsidP="002B1283">
      <w:pPr>
        <w:rPr>
          <w:rFonts w:ascii="Times New Roman" w:hAnsi="Times New Roman"/>
          <w:b/>
          <w:sz w:val="24"/>
          <w:szCs w:val="24"/>
        </w:rPr>
      </w:pPr>
      <w:r>
        <w:rPr>
          <w:rFonts w:ascii="Arial Black" w:hAnsi="Arial Black"/>
          <w:b/>
          <w:sz w:val="24"/>
          <w:szCs w:val="24"/>
        </w:rPr>
        <w:t>9-6</w:t>
      </w:r>
      <w:r w:rsidR="00BC70A3">
        <w:rPr>
          <w:rFonts w:ascii="Arial Black" w:hAnsi="Arial Black"/>
          <w:b/>
          <w:sz w:val="24"/>
          <w:szCs w:val="24"/>
        </w:rPr>
        <w:t xml:space="preserve"> </w:t>
      </w:r>
      <w:r w:rsidR="00BC70A3" w:rsidRPr="00BC70A3">
        <w:rPr>
          <w:rFonts w:ascii="Times New Roman" w:hAnsi="Times New Roman"/>
          <w:b/>
          <w:sz w:val="24"/>
          <w:szCs w:val="24"/>
        </w:rPr>
        <w:t>[See also 9-17, FDNY case]</w:t>
      </w:r>
      <w:r w:rsidR="00BC70A3">
        <w:rPr>
          <w:rFonts w:ascii="Times New Roman" w:hAnsi="Times New Roman"/>
          <w:b/>
          <w:sz w:val="24"/>
          <w:szCs w:val="24"/>
        </w:rPr>
        <w:t xml:space="preserve"> </w:t>
      </w:r>
    </w:p>
    <w:p w14:paraId="630CE311" w14:textId="77777777" w:rsidR="009F0F05" w:rsidRPr="0029740B" w:rsidRDefault="009F0F05" w:rsidP="009F0F05">
      <w:pPr>
        <w:rPr>
          <w:rFonts w:ascii="Arial Black" w:hAnsi="Arial Black"/>
          <w:sz w:val="28"/>
          <w:szCs w:val="28"/>
        </w:rPr>
      </w:pPr>
      <w:bookmarkStart w:id="363" w:name="_Hlk39771125"/>
      <w:r w:rsidRPr="0029740B">
        <w:rPr>
          <w:rFonts w:ascii="Arial Black" w:hAnsi="Arial Black"/>
          <w:sz w:val="28"/>
          <w:szCs w:val="28"/>
        </w:rPr>
        <w:t>PA</w:t>
      </w:r>
      <w:r>
        <w:rPr>
          <w:rFonts w:ascii="Arial Black" w:hAnsi="Arial Black"/>
          <w:sz w:val="28"/>
          <w:szCs w:val="28"/>
        </w:rPr>
        <w:t>:  PAINFUL TO SHAVE – POLICE DEPT. REQUIRED MEDICAL CERT. EACH 60 DAYS – LAWSUIT REINSTATED FOR ADA BREACH</w:t>
      </w:r>
    </w:p>
    <w:p w14:paraId="61DD0D53" w14:textId="3190450A" w:rsidR="009F0F05" w:rsidRDefault="009F0F05" w:rsidP="009F0F05">
      <w:pPr>
        <w:rPr>
          <w:rFonts w:ascii="Times New Roman" w:hAnsi="Times New Roman"/>
          <w:sz w:val="24"/>
          <w:szCs w:val="24"/>
        </w:rPr>
      </w:pPr>
      <w:r w:rsidRPr="000113F5">
        <w:rPr>
          <w:rFonts w:ascii="Times New Roman" w:hAnsi="Times New Roman"/>
          <w:sz w:val="24"/>
          <w:szCs w:val="24"/>
        </w:rPr>
        <w:t xml:space="preserve">On Aug. 8, 2019, in </w:t>
      </w:r>
      <w:r w:rsidRPr="00080E6F">
        <w:rPr>
          <w:rFonts w:ascii="Times New Roman" w:hAnsi="Times New Roman"/>
          <w:sz w:val="24"/>
          <w:szCs w:val="24"/>
          <w:u w:val="single"/>
        </w:rPr>
        <w:t>Joseph H. Lewis, Jr. v. University of Pennsylvania</w:t>
      </w:r>
      <w:r>
        <w:rPr>
          <w:rFonts w:ascii="Times New Roman" w:hAnsi="Times New Roman"/>
          <w:sz w:val="24"/>
          <w:szCs w:val="24"/>
        </w:rPr>
        <w:t>, the U.S. Court of Appeals for Third Circuit (Philadelphia), held (3 to 0) that a U.S. District Court incorrectly dismissed his ADA lawsuit.  Chief Judge Smith wrote:</w:t>
      </w:r>
    </w:p>
    <w:p w14:paraId="78552036" w14:textId="77777777" w:rsidR="009F0F05" w:rsidRDefault="009F0F05" w:rsidP="009F0F05">
      <w:pPr>
        <w:pStyle w:val="NoSpacing"/>
        <w:ind w:left="1440"/>
        <w:rPr>
          <w:sz w:val="32"/>
          <w:szCs w:val="32"/>
        </w:rPr>
      </w:pPr>
      <w:r>
        <w:rPr>
          <w:rFonts w:ascii="Times New Roman" w:hAnsi="Times New Roman"/>
          <w:sz w:val="24"/>
          <w:szCs w:val="24"/>
        </w:rPr>
        <w:t>“</w:t>
      </w:r>
      <w:r w:rsidRPr="00425C6F">
        <w:rPr>
          <w:rFonts w:ascii="Times New Roman" w:hAnsi="Times New Roman"/>
          <w:sz w:val="24"/>
          <w:szCs w:val="24"/>
        </w:rPr>
        <w:t>This is an employment discrimination appeal arising out of Plaintiff Joseph Lewis’s previous employment with the University of Pennsylvania Police Department. Lewis suffers from a skin condition, pseudofolliculitis barbae (PFB), which has led to issues giving rise to his discrimination claims.</w:t>
      </w:r>
      <w:r>
        <w:rPr>
          <w:rFonts w:ascii="Times New Roman" w:hAnsi="Times New Roman"/>
          <w:sz w:val="24"/>
          <w:szCs w:val="24"/>
        </w:rPr>
        <w:t xml:space="preserve"> ***</w:t>
      </w:r>
    </w:p>
    <w:p w14:paraId="74C1B4F8" w14:textId="77777777" w:rsidR="009F0F05" w:rsidRDefault="009F0F05" w:rsidP="009F0F05">
      <w:pPr>
        <w:ind w:left="1440"/>
        <w:rPr>
          <w:rFonts w:ascii="Times New Roman" w:hAnsi="Times New Roman"/>
          <w:sz w:val="24"/>
          <w:szCs w:val="24"/>
        </w:rPr>
      </w:pPr>
      <w:r w:rsidRPr="00425C6F">
        <w:rPr>
          <w:rFonts w:ascii="Times New Roman" w:hAnsi="Times New Roman"/>
          <w:sz w:val="24"/>
          <w:szCs w:val="24"/>
        </w:rPr>
        <w:t xml:space="preserve">Lewis submitted a request for accommodation, requesting to </w:t>
      </w:r>
      <w:r>
        <w:rPr>
          <w:rFonts w:ascii="Times New Roman" w:hAnsi="Times New Roman"/>
          <w:sz w:val="24"/>
          <w:szCs w:val="24"/>
        </w:rPr>
        <w:t>‘</w:t>
      </w:r>
      <w:r w:rsidRPr="00425C6F">
        <w:rPr>
          <w:rFonts w:ascii="Times New Roman" w:hAnsi="Times New Roman"/>
          <w:sz w:val="24"/>
          <w:szCs w:val="24"/>
        </w:rPr>
        <w:t>not shave face or neck</w:t>
      </w:r>
      <w:r>
        <w:rPr>
          <w:rFonts w:ascii="Times New Roman" w:hAnsi="Times New Roman"/>
          <w:sz w:val="24"/>
          <w:szCs w:val="24"/>
        </w:rPr>
        <w:t xml:space="preserve">….’ </w:t>
      </w:r>
      <w:r w:rsidRPr="00425C6F">
        <w:rPr>
          <w:rFonts w:ascii="Times New Roman" w:hAnsi="Times New Roman"/>
          <w:sz w:val="24"/>
          <w:szCs w:val="24"/>
        </w:rPr>
        <w:t>Penn was then on notice of Lewis’s claimed disability and the fact that he wanted accommodation, such that Penn had a duty to engage with Lewis in good faith. It is not</w:t>
      </w:r>
      <w:r>
        <w:rPr>
          <w:rFonts w:ascii="Times New Roman" w:hAnsi="Times New Roman"/>
          <w:sz w:val="24"/>
          <w:szCs w:val="24"/>
        </w:rPr>
        <w:t xml:space="preserve"> </w:t>
      </w:r>
      <w:r w:rsidRPr="00425C6F">
        <w:rPr>
          <w:rFonts w:ascii="Times New Roman" w:hAnsi="Times New Roman"/>
          <w:sz w:val="24"/>
          <w:szCs w:val="24"/>
        </w:rPr>
        <w:t>clear that Penn did so. According to Lewis, Penn issued a flat denial without making any</w:t>
      </w:r>
      <w:r>
        <w:rPr>
          <w:rFonts w:ascii="Times New Roman" w:hAnsi="Times New Roman"/>
          <w:sz w:val="24"/>
          <w:szCs w:val="24"/>
        </w:rPr>
        <w:t xml:space="preserve"> </w:t>
      </w:r>
      <w:r w:rsidRPr="00425C6F">
        <w:rPr>
          <w:rFonts w:ascii="Times New Roman" w:hAnsi="Times New Roman"/>
          <w:sz w:val="24"/>
          <w:szCs w:val="24"/>
        </w:rPr>
        <w:t>effort to communicate with him regarding his needs.</w:t>
      </w:r>
      <w:r>
        <w:rPr>
          <w:rFonts w:ascii="Times New Roman" w:hAnsi="Times New Roman"/>
          <w:sz w:val="24"/>
          <w:szCs w:val="24"/>
        </w:rPr>
        <w:t xml:space="preserve"> </w:t>
      </w:r>
    </w:p>
    <w:p w14:paraId="554335AC" w14:textId="77777777" w:rsidR="00DE37CD" w:rsidRDefault="009F0F05" w:rsidP="00DE37CD">
      <w:pPr>
        <w:ind w:left="1440"/>
        <w:rPr>
          <w:rFonts w:ascii="Times New Roman" w:hAnsi="Times New Roman"/>
          <w:sz w:val="24"/>
          <w:szCs w:val="24"/>
        </w:rPr>
      </w:pPr>
      <w:r w:rsidRPr="00453137">
        <w:rPr>
          <w:rFonts w:ascii="Times New Roman" w:hAnsi="Times New Roman"/>
          <w:sz w:val="24"/>
          <w:szCs w:val="24"/>
        </w:rPr>
        <w:t xml:space="preserve">Where there is evidence that the employer did not act in good faith to identify </w:t>
      </w:r>
      <w:proofErr w:type="gramStart"/>
      <w:r w:rsidRPr="00453137">
        <w:rPr>
          <w:rFonts w:ascii="Times New Roman" w:hAnsi="Times New Roman"/>
          <w:sz w:val="24"/>
          <w:szCs w:val="24"/>
        </w:rPr>
        <w:t xml:space="preserve">an accommodation, </w:t>
      </w:r>
      <w:r>
        <w:rPr>
          <w:rFonts w:ascii="Times New Roman" w:hAnsi="Times New Roman"/>
          <w:sz w:val="24"/>
          <w:szCs w:val="24"/>
        </w:rPr>
        <w:t>‘</w:t>
      </w:r>
      <w:proofErr w:type="gramEnd"/>
      <w:r w:rsidRPr="00453137">
        <w:rPr>
          <w:rFonts w:ascii="Times New Roman" w:hAnsi="Times New Roman"/>
          <w:sz w:val="24"/>
          <w:szCs w:val="24"/>
        </w:rPr>
        <w:t>we will not readily</w:t>
      </w:r>
      <w:r>
        <w:rPr>
          <w:rFonts w:ascii="Times New Roman" w:hAnsi="Times New Roman"/>
          <w:sz w:val="24"/>
          <w:szCs w:val="24"/>
        </w:rPr>
        <w:t xml:space="preserve"> </w:t>
      </w:r>
      <w:r w:rsidRPr="00453137">
        <w:rPr>
          <w:rFonts w:ascii="Times New Roman" w:hAnsi="Times New Roman"/>
          <w:sz w:val="24"/>
          <w:szCs w:val="24"/>
        </w:rPr>
        <w:t xml:space="preserve">decide on summary judgment that accommodation was not </w:t>
      </w:r>
      <w:proofErr w:type="gramStart"/>
      <w:r w:rsidRPr="00453137">
        <w:rPr>
          <w:rFonts w:ascii="Times New Roman" w:hAnsi="Times New Roman"/>
          <w:sz w:val="24"/>
          <w:szCs w:val="24"/>
        </w:rPr>
        <w:t>possible</w:t>
      </w:r>
      <w:proofErr w:type="gramEnd"/>
      <w:r w:rsidRPr="00453137">
        <w:rPr>
          <w:rFonts w:ascii="Times New Roman" w:hAnsi="Times New Roman"/>
          <w:sz w:val="24"/>
          <w:szCs w:val="24"/>
        </w:rPr>
        <w:t xml:space="preserve"> and the employer’s bad faith could have no effect.</w:t>
      </w:r>
      <w:r>
        <w:rPr>
          <w:rFonts w:ascii="Times New Roman" w:hAnsi="Times New Roman"/>
          <w:sz w:val="24"/>
          <w:szCs w:val="24"/>
        </w:rPr>
        <w:t>’</w:t>
      </w:r>
      <w:r w:rsidRPr="00453137">
        <w:rPr>
          <w:rFonts w:ascii="Times New Roman" w:hAnsi="Times New Roman"/>
          <w:sz w:val="24"/>
          <w:szCs w:val="24"/>
        </w:rPr>
        <w:t xml:space="preserve"> Taylor, 184 F.3d at 31</w:t>
      </w:r>
      <w:r>
        <w:rPr>
          <w:rFonts w:ascii="Times New Roman" w:hAnsi="Times New Roman"/>
          <w:sz w:val="24"/>
          <w:szCs w:val="24"/>
        </w:rPr>
        <w:t>.”</w:t>
      </w:r>
      <w:r w:rsidR="00DE37CD">
        <w:rPr>
          <w:rFonts w:ascii="Times New Roman" w:hAnsi="Times New Roman"/>
          <w:sz w:val="24"/>
          <w:szCs w:val="24"/>
        </w:rPr>
        <w:t xml:space="preserve"> </w:t>
      </w:r>
      <w:hyperlink r:id="rId1765" w:history="1">
        <w:r w:rsidR="00DE37CD" w:rsidRPr="004A0E57">
          <w:rPr>
            <w:rStyle w:val="Hyperlink"/>
            <w:rFonts w:ascii="Times New Roman" w:hAnsi="Times New Roman"/>
            <w:sz w:val="24"/>
            <w:szCs w:val="24"/>
          </w:rPr>
          <w:t>https://cases.justia.com/federal/appellate-courts/ca3/18-2706/18-2706-2019-08-09.pdf?ts=1565368208</w:t>
        </w:r>
      </w:hyperlink>
      <w:r w:rsidR="00DE37CD">
        <w:rPr>
          <w:rFonts w:ascii="Times New Roman" w:hAnsi="Times New Roman"/>
          <w:sz w:val="24"/>
          <w:szCs w:val="24"/>
        </w:rPr>
        <w:t xml:space="preserve"> </w:t>
      </w:r>
    </w:p>
    <w:bookmarkEnd w:id="363"/>
    <w:p w14:paraId="464889F3" w14:textId="0E6EDC88" w:rsidR="009F0F05" w:rsidRDefault="009F0F05" w:rsidP="009F0F05">
      <w:pPr>
        <w:ind w:left="1440"/>
        <w:rPr>
          <w:rFonts w:ascii="Times New Roman" w:hAnsi="Times New Roman"/>
          <w:sz w:val="24"/>
          <w:szCs w:val="24"/>
        </w:rPr>
      </w:pPr>
    </w:p>
    <w:p w14:paraId="5FBB275B" w14:textId="77777777" w:rsidR="009F0F05" w:rsidRDefault="009F0F05" w:rsidP="009F0F05">
      <w:pPr>
        <w:pStyle w:val="Heading1"/>
        <w:rPr>
          <w:sz w:val="24"/>
          <w:szCs w:val="24"/>
        </w:rPr>
      </w:pPr>
      <w:r w:rsidRPr="00B922AC">
        <w:rPr>
          <w:sz w:val="24"/>
          <w:szCs w:val="24"/>
        </w:rPr>
        <w:t xml:space="preserve">Legal Lessons Learned:  The PD will now have to justify its business reasons for no beards, and its 60-day medical certifications.  See Aug. 12, </w:t>
      </w:r>
      <w:proofErr w:type="gramStart"/>
      <w:r w:rsidRPr="00B922AC">
        <w:rPr>
          <w:sz w:val="24"/>
          <w:szCs w:val="24"/>
        </w:rPr>
        <w:t>2019</w:t>
      </w:r>
      <w:proofErr w:type="gramEnd"/>
      <w:r w:rsidRPr="00B922AC">
        <w:rPr>
          <w:sz w:val="24"/>
          <w:szCs w:val="24"/>
        </w:rPr>
        <w:t xml:space="preserve"> article on this case: </w:t>
      </w:r>
      <w:hyperlink r:id="rId1766" w:history="1">
        <w:r w:rsidRPr="00B922AC">
          <w:rPr>
            <w:rStyle w:val="Hyperlink"/>
            <w:sz w:val="24"/>
            <w:szCs w:val="24"/>
          </w:rPr>
          <w:t>https://www.law.com/thelegalintelligencer/2019/08/12/third-circuit-revives-beard-related-discrimination-claims-against-upenn/</w:t>
        </w:r>
      </w:hyperlink>
      <w:r w:rsidRPr="00B922AC">
        <w:rPr>
          <w:sz w:val="24"/>
          <w:szCs w:val="24"/>
        </w:rPr>
        <w:t xml:space="preserve">  </w:t>
      </w:r>
    </w:p>
    <w:p w14:paraId="29E1B40A" w14:textId="18AF20B5" w:rsidR="009F0F05" w:rsidRPr="00B922AC" w:rsidRDefault="009F0F05" w:rsidP="009F0F05">
      <w:pPr>
        <w:pStyle w:val="Heading1"/>
        <w:rPr>
          <w:sz w:val="24"/>
          <w:szCs w:val="24"/>
        </w:rPr>
      </w:pPr>
      <w:r w:rsidRPr="00B922AC">
        <w:rPr>
          <w:sz w:val="24"/>
          <w:szCs w:val="24"/>
        </w:rPr>
        <w:t xml:space="preserve">There has been race discrimination litigation in fire service about not shaving because of this skin condition, </w:t>
      </w:r>
      <w:r w:rsidR="00715CF2" w:rsidRPr="00B922AC">
        <w:rPr>
          <w:sz w:val="24"/>
          <w:szCs w:val="24"/>
        </w:rPr>
        <w:t>pseudo folliculitis</w:t>
      </w:r>
      <w:r w:rsidRPr="00B922AC">
        <w:rPr>
          <w:sz w:val="24"/>
          <w:szCs w:val="24"/>
        </w:rPr>
        <w:t xml:space="preserve"> barbae (PFB).   For example, see 2018 lawsuit by four FDNY firefighters:  </w:t>
      </w:r>
    </w:p>
    <w:p w14:paraId="52C49F46" w14:textId="77777777" w:rsidR="009F0F05" w:rsidRPr="00715CF2" w:rsidRDefault="009F0F05" w:rsidP="00715CF2">
      <w:pPr>
        <w:pStyle w:val="Heading1"/>
        <w:ind w:left="720"/>
        <w:rPr>
          <w:b w:val="0"/>
          <w:bCs w:val="0"/>
          <w:sz w:val="24"/>
          <w:szCs w:val="24"/>
        </w:rPr>
      </w:pPr>
      <w:r w:rsidRPr="00715CF2">
        <w:rPr>
          <w:b w:val="0"/>
          <w:bCs w:val="0"/>
          <w:sz w:val="24"/>
          <w:szCs w:val="24"/>
        </w:rPr>
        <w:t xml:space="preserve">See also D.C. Fire Department case: March 25, 2015 article: “Fireman’s Beard Bias Claims Given a Trim,” – “Kennedy says that the discrimination against his race and disability kept him from advancing his firefighting career because of his beard growth, but U.S. District Judge Christopher Cooper dismissed parts of the action Friday after finding that ‘PFB does not constitute a disability under the prevailing … interpretation’ of the Americans with Disabilities Act. </w:t>
      </w:r>
      <w:hyperlink r:id="rId1767" w:history="1">
        <w:r w:rsidRPr="00715CF2">
          <w:rPr>
            <w:rStyle w:val="Hyperlink"/>
            <w:b w:val="0"/>
            <w:bCs w:val="0"/>
            <w:sz w:val="24"/>
            <w:szCs w:val="24"/>
          </w:rPr>
          <w:t>https://www.courthousenews.com/firemans-beard-bias-claims-given-a-trim/</w:t>
        </w:r>
      </w:hyperlink>
      <w:r w:rsidRPr="00715CF2">
        <w:rPr>
          <w:b w:val="0"/>
          <w:bCs w:val="0"/>
          <w:sz w:val="24"/>
          <w:szCs w:val="24"/>
        </w:rPr>
        <w:t xml:space="preserve"> </w:t>
      </w:r>
    </w:p>
    <w:p w14:paraId="5C1F30BF" w14:textId="77777777" w:rsidR="009F0F05" w:rsidRPr="00715CF2" w:rsidRDefault="009F0F05" w:rsidP="00715CF2">
      <w:pPr>
        <w:pStyle w:val="NoSpacing"/>
        <w:ind w:left="720"/>
        <w:rPr>
          <w:rFonts w:ascii="Times New Roman" w:hAnsi="Times New Roman"/>
          <w:sz w:val="24"/>
          <w:szCs w:val="24"/>
        </w:rPr>
      </w:pPr>
      <w:r w:rsidRPr="00715CF2">
        <w:rPr>
          <w:rFonts w:ascii="Times New Roman" w:hAnsi="Times New Roman"/>
          <w:sz w:val="24"/>
          <w:szCs w:val="24"/>
        </w:rPr>
        <w:t>See also 1993 decision by 11</w:t>
      </w:r>
      <w:r w:rsidRPr="00715CF2">
        <w:rPr>
          <w:rFonts w:ascii="Times New Roman" w:hAnsi="Times New Roman"/>
          <w:sz w:val="24"/>
          <w:szCs w:val="24"/>
          <w:vertAlign w:val="superscript"/>
        </w:rPr>
        <w:t>th</w:t>
      </w:r>
      <w:r w:rsidRPr="00715CF2">
        <w:rPr>
          <w:rFonts w:ascii="Times New Roman" w:hAnsi="Times New Roman"/>
          <w:sz w:val="24"/>
          <w:szCs w:val="24"/>
        </w:rPr>
        <w:t xml:space="preserve"> Circuit involving the Atlanta FD: “The City defends the policy, contending that the respirator masks used by firefighters cannot safely be worn by bearded men. The district court granted summary judgment for the City and the firefighters have appealed. For the reasons set forth below, we affirm the judgment of the district court.” </w:t>
      </w:r>
      <w:hyperlink r:id="rId1768" w:history="1">
        <w:r w:rsidRPr="00715CF2">
          <w:rPr>
            <w:rStyle w:val="Hyperlink"/>
            <w:rFonts w:ascii="Times New Roman" w:hAnsi="Times New Roman"/>
            <w:sz w:val="24"/>
            <w:szCs w:val="24"/>
          </w:rPr>
          <w:t>https://law.resource.org/pub/us/case/reporter/F3/002/2.F3d.1112.92-8306.html</w:t>
        </w:r>
      </w:hyperlink>
      <w:r w:rsidRPr="00715CF2">
        <w:rPr>
          <w:rFonts w:ascii="Times New Roman" w:hAnsi="Times New Roman"/>
          <w:sz w:val="24"/>
          <w:szCs w:val="24"/>
        </w:rPr>
        <w:t xml:space="preserve"> </w:t>
      </w:r>
    </w:p>
    <w:p w14:paraId="339DF3F1" w14:textId="77777777" w:rsidR="009F0F05" w:rsidRPr="00463590" w:rsidRDefault="009F0F05" w:rsidP="009F0F05">
      <w:pPr>
        <w:pStyle w:val="NoSpacing"/>
        <w:rPr>
          <w:rFonts w:ascii="Times New Roman" w:hAnsi="Times New Roman"/>
          <w:b/>
          <w:sz w:val="24"/>
          <w:szCs w:val="24"/>
        </w:rPr>
      </w:pPr>
    </w:p>
    <w:p w14:paraId="0DBDB7FA" w14:textId="3E7C98FE" w:rsidR="00715CF2" w:rsidRPr="00715CF2" w:rsidRDefault="00715CF2" w:rsidP="00715CF2">
      <w:pPr>
        <w:rPr>
          <w:rFonts w:ascii="Times New Roman" w:hAnsi="Times New Roman"/>
          <w:bCs/>
          <w:sz w:val="24"/>
          <w:szCs w:val="24"/>
        </w:rPr>
      </w:pPr>
    </w:p>
    <w:p w14:paraId="49F2B1BB" w14:textId="77777777" w:rsidR="009F0F05" w:rsidRDefault="009F0F05" w:rsidP="002B1283">
      <w:pPr>
        <w:rPr>
          <w:rFonts w:ascii="Arial Black" w:hAnsi="Arial Black"/>
          <w:b/>
          <w:sz w:val="24"/>
          <w:szCs w:val="24"/>
        </w:rPr>
      </w:pPr>
    </w:p>
    <w:p w14:paraId="2FC40598" w14:textId="3661331D" w:rsidR="00DE0F03" w:rsidRDefault="00DE0F03" w:rsidP="002B1283">
      <w:pPr>
        <w:rPr>
          <w:rFonts w:ascii="Arial Black" w:hAnsi="Arial Black"/>
          <w:b/>
          <w:bCs/>
          <w:sz w:val="28"/>
          <w:szCs w:val="28"/>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5</w:t>
      </w:r>
    </w:p>
    <w:p w14:paraId="1EEEABA3" w14:textId="0F39998A" w:rsidR="002B1283" w:rsidRDefault="002B1283" w:rsidP="002B1283">
      <w:pPr>
        <w:rPr>
          <w:b/>
          <w:bCs/>
        </w:rPr>
      </w:pPr>
      <w:r w:rsidRPr="006709F6">
        <w:rPr>
          <w:rFonts w:ascii="Arial Black" w:hAnsi="Arial Black"/>
          <w:b/>
          <w:bCs/>
          <w:sz w:val="28"/>
          <w:szCs w:val="28"/>
        </w:rPr>
        <w:t xml:space="preserve">VA: </w:t>
      </w:r>
      <w:r>
        <w:rPr>
          <w:rFonts w:ascii="Arial Black" w:hAnsi="Arial Black"/>
          <w:b/>
          <w:bCs/>
          <w:sz w:val="28"/>
          <w:szCs w:val="28"/>
        </w:rPr>
        <w:t>FF With PTSD – MOVED TO DAY SHIFT TEMPORARILY - BUT LATER MOVED BACK TO 24/48 SHIFT - LAWSUIT TO PROCEED</w:t>
      </w:r>
    </w:p>
    <w:p w14:paraId="453B44A3" w14:textId="77777777" w:rsidR="002B1283" w:rsidRDefault="002B1283" w:rsidP="002B1283">
      <w:pPr>
        <w:rPr>
          <w:rFonts w:ascii="Times New Roman" w:hAnsi="Times New Roman"/>
          <w:sz w:val="24"/>
          <w:szCs w:val="24"/>
        </w:rPr>
      </w:pPr>
      <w:r w:rsidRPr="001F2E5E">
        <w:rPr>
          <w:rFonts w:ascii="Times New Roman" w:hAnsi="Times New Roman"/>
          <w:sz w:val="24"/>
          <w:szCs w:val="24"/>
        </w:rPr>
        <w:t xml:space="preserve">On </w:t>
      </w:r>
      <w:bookmarkStart w:id="364" w:name="_Hlk39839629"/>
      <w:r w:rsidRPr="001F2E5E">
        <w:rPr>
          <w:rFonts w:ascii="Times New Roman" w:hAnsi="Times New Roman"/>
          <w:sz w:val="24"/>
          <w:szCs w:val="24"/>
        </w:rPr>
        <w:t xml:space="preserve">July 8, 2019, in </w:t>
      </w:r>
      <w:r w:rsidRPr="001F2E5E">
        <w:rPr>
          <w:rFonts w:ascii="Times New Roman" w:hAnsi="Times New Roman"/>
          <w:sz w:val="24"/>
          <w:szCs w:val="24"/>
          <w:u w:val="single"/>
        </w:rPr>
        <w:t>David Webb v. Chesterfield County, Virginia</w:t>
      </w:r>
      <w:r>
        <w:rPr>
          <w:rFonts w:ascii="Times New Roman" w:hAnsi="Times New Roman"/>
          <w:sz w:val="24"/>
          <w:szCs w:val="24"/>
          <w:u w:val="single"/>
        </w:rPr>
        <w:t xml:space="preserve"> aka Chesterfield Fire And EMS</w:t>
      </w:r>
      <w:bookmarkEnd w:id="364"/>
      <w:r w:rsidRPr="001F2E5E">
        <w:rPr>
          <w:rFonts w:ascii="Times New Roman" w:hAnsi="Times New Roman"/>
          <w:sz w:val="24"/>
          <w:szCs w:val="24"/>
        </w:rPr>
        <w:t xml:space="preserve">, </w:t>
      </w:r>
      <w:r>
        <w:rPr>
          <w:rFonts w:ascii="Times New Roman" w:hAnsi="Times New Roman"/>
          <w:sz w:val="24"/>
          <w:szCs w:val="24"/>
        </w:rPr>
        <w:t xml:space="preserve">U.S. District Court Judge John A. Gibney, Jr. denied the County’s motion to dismiss, finding that the firefighter has alleged sufficient facts to proceed on his claim for failure to accommodate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Disabilities Act. </w:t>
      </w:r>
    </w:p>
    <w:p w14:paraId="0DC4F271" w14:textId="77777777" w:rsidR="002B1283" w:rsidRDefault="002B1283" w:rsidP="002B1283">
      <w:pPr>
        <w:ind w:left="720" w:firstLine="60"/>
        <w:rPr>
          <w:rFonts w:ascii="Times New Roman" w:hAnsi="Times New Roman"/>
          <w:sz w:val="24"/>
          <w:szCs w:val="24"/>
        </w:rPr>
      </w:pPr>
      <w:r>
        <w:rPr>
          <w:rFonts w:ascii="Times New Roman" w:hAnsi="Times New Roman"/>
          <w:sz w:val="24"/>
          <w:szCs w:val="24"/>
        </w:rPr>
        <w:t>“Under the ADA, an employer discriminates against an employee by failing to ‘</w:t>
      </w:r>
      <w:proofErr w:type="spellStart"/>
      <w:r>
        <w:rPr>
          <w:rFonts w:ascii="Times New Roman" w:hAnsi="Times New Roman"/>
          <w:sz w:val="24"/>
          <w:szCs w:val="24"/>
        </w:rPr>
        <w:t>mak</w:t>
      </w:r>
      <w:proofErr w:type="spellEnd"/>
      <w:r>
        <w:rPr>
          <w:rFonts w:ascii="Times New Roman" w:hAnsi="Times New Roman"/>
          <w:sz w:val="24"/>
          <w:szCs w:val="24"/>
        </w:rPr>
        <w:t xml:space="preserve">[e] reasonable accommodations to the known physical or mental limitations of an otherwise qualified individual with a disability … unless [the employer] can demonstrate that the accommodation would impose an undue hardship on the operation of the business[.]  42 USC 12112(b)(5)(A).” </w:t>
      </w:r>
      <w:bookmarkStart w:id="365" w:name="_Hlk39839646"/>
      <w:r w:rsidR="00DC51D4">
        <w:fldChar w:fldCharType="begin"/>
      </w:r>
      <w:r w:rsidR="00DC51D4">
        <w:instrText xml:space="preserve"> HYPERLINK "https://cases.justia.com/federal/district-courts/virginia/vaedce/3:2019cv00183/406487/16/0.pdf?ts=1562771986" </w:instrText>
      </w:r>
      <w:r w:rsidR="00DC51D4">
        <w:fldChar w:fldCharType="separate"/>
      </w:r>
      <w:r w:rsidRPr="00455844">
        <w:rPr>
          <w:rStyle w:val="Hyperlink"/>
          <w:rFonts w:ascii="Times New Roman" w:hAnsi="Times New Roman"/>
          <w:sz w:val="24"/>
          <w:szCs w:val="24"/>
        </w:rPr>
        <w:t>https://cases.justia.com/federal/district-courts/virginia/vaedce/3:2019cv00183/406487/16/0.pdf?ts=1562771986</w:t>
      </w:r>
      <w:r w:rsidR="00DC51D4">
        <w:rPr>
          <w:rStyle w:val="Hyperlink"/>
          <w:rFonts w:ascii="Times New Roman" w:hAnsi="Times New Roman"/>
          <w:sz w:val="24"/>
          <w:szCs w:val="24"/>
        </w:rPr>
        <w:fldChar w:fldCharType="end"/>
      </w:r>
      <w:r>
        <w:rPr>
          <w:rFonts w:ascii="Times New Roman" w:hAnsi="Times New Roman"/>
          <w:sz w:val="24"/>
          <w:szCs w:val="24"/>
        </w:rPr>
        <w:t xml:space="preserve"> </w:t>
      </w:r>
    </w:p>
    <w:bookmarkEnd w:id="365"/>
    <w:p w14:paraId="52E8FD38" w14:textId="77777777" w:rsidR="002B1283" w:rsidRPr="00E441EA" w:rsidRDefault="002B1283" w:rsidP="002B1283">
      <w:pPr>
        <w:pStyle w:val="NoSpacing"/>
        <w:rPr>
          <w:rFonts w:ascii="Times New Roman" w:hAnsi="Times New Roman"/>
          <w:b/>
          <w:bCs/>
          <w:sz w:val="24"/>
          <w:szCs w:val="24"/>
        </w:rPr>
      </w:pPr>
      <w:r w:rsidRPr="00E441EA">
        <w:rPr>
          <w:rFonts w:ascii="Times New Roman" w:hAnsi="Times New Roman"/>
          <w:b/>
          <w:bCs/>
          <w:sz w:val="24"/>
          <w:szCs w:val="24"/>
        </w:rPr>
        <w:t xml:space="preserve">Legal Lessons Learned: PTSD is a real issue in fire service. Studies have found that anywhere between approximately 7 percent and 37 percent of firefighters meet criteria for a current </w:t>
      </w:r>
      <w:hyperlink r:id="rId1769" w:history="1">
        <w:r w:rsidRPr="00E441EA">
          <w:rPr>
            <w:rStyle w:val="Hyperlink"/>
            <w:rFonts w:ascii="Times New Roman" w:hAnsi="Times New Roman"/>
            <w:b/>
            <w:bCs/>
            <w:sz w:val="24"/>
            <w:szCs w:val="24"/>
          </w:rPr>
          <w:t>diagnosis of PTSD</w:t>
        </w:r>
      </w:hyperlink>
      <w:r w:rsidRPr="00E441EA">
        <w:rPr>
          <w:rFonts w:ascii="Times New Roman" w:hAnsi="Times New Roman"/>
          <w:b/>
          <w:bCs/>
          <w:sz w:val="24"/>
          <w:szCs w:val="24"/>
        </w:rPr>
        <w:t xml:space="preserve">.   “Development of PTSD in Firefighters,”  </w:t>
      </w:r>
    </w:p>
    <w:p w14:paraId="4F47339F" w14:textId="77777777" w:rsidR="002B1283" w:rsidRPr="00E441EA" w:rsidRDefault="002B1283" w:rsidP="002B1283">
      <w:pPr>
        <w:pStyle w:val="NoSpacing"/>
        <w:rPr>
          <w:rFonts w:ascii="Times New Roman" w:hAnsi="Times New Roman"/>
          <w:b/>
          <w:bCs/>
          <w:sz w:val="24"/>
          <w:szCs w:val="24"/>
        </w:rPr>
      </w:pPr>
      <w:r w:rsidRPr="00E441EA">
        <w:rPr>
          <w:rFonts w:ascii="Times New Roman" w:hAnsi="Times New Roman"/>
          <w:b/>
          <w:bCs/>
          <w:sz w:val="24"/>
          <w:szCs w:val="24"/>
        </w:rPr>
        <w:t xml:space="preserve">(June 10, 2019), </w:t>
      </w:r>
      <w:hyperlink r:id="rId1770" w:history="1">
        <w:r w:rsidRPr="00E441EA">
          <w:rPr>
            <w:rStyle w:val="Hyperlink"/>
            <w:rFonts w:ascii="Times New Roman" w:hAnsi="Times New Roman"/>
            <w:b/>
            <w:bCs/>
            <w:sz w:val="24"/>
            <w:szCs w:val="24"/>
          </w:rPr>
          <w:t>https://www.verywellmind.com/rates-of-ptsd-in-firefighters-2797428</w:t>
        </w:r>
      </w:hyperlink>
      <w:r w:rsidRPr="00E441EA">
        <w:rPr>
          <w:rFonts w:ascii="Times New Roman" w:hAnsi="Times New Roman"/>
          <w:b/>
          <w:bCs/>
          <w:sz w:val="24"/>
          <w:szCs w:val="24"/>
        </w:rPr>
        <w:t xml:space="preserve">  </w:t>
      </w:r>
    </w:p>
    <w:p w14:paraId="6B7CCF40" w14:textId="77777777" w:rsidR="00AE0ACC" w:rsidRDefault="00AE0ACC" w:rsidP="00F326E5">
      <w:pPr>
        <w:pStyle w:val="NoSpacing"/>
        <w:rPr>
          <w:sz w:val="24"/>
          <w:szCs w:val="24"/>
        </w:rPr>
      </w:pPr>
    </w:p>
    <w:p w14:paraId="4521B1D2" w14:textId="77777777" w:rsidR="00AE0ACC" w:rsidRDefault="00AE0ACC" w:rsidP="00DE0F03">
      <w:pPr>
        <w:rPr>
          <w:rFonts w:ascii="Arial Black" w:hAnsi="Arial Black"/>
          <w:b/>
          <w:sz w:val="24"/>
          <w:szCs w:val="24"/>
        </w:rPr>
      </w:pPr>
    </w:p>
    <w:p w14:paraId="6750B9A4" w14:textId="2E27BA45" w:rsidR="002B1283" w:rsidRDefault="00DE0F03" w:rsidP="00DE0F03">
      <w:pPr>
        <w:rPr>
          <w:sz w:val="24"/>
          <w:szCs w:val="24"/>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4</w:t>
      </w:r>
    </w:p>
    <w:p w14:paraId="02FD01C6" w14:textId="77777777" w:rsidR="002B1283" w:rsidRDefault="002B1283" w:rsidP="002B1283">
      <w:pPr>
        <w:rPr>
          <w:rFonts w:ascii="Arial Black" w:hAnsi="Arial Black"/>
          <w:sz w:val="28"/>
          <w:szCs w:val="28"/>
        </w:rPr>
      </w:pPr>
      <w:r>
        <w:rPr>
          <w:rFonts w:ascii="Arial Black" w:hAnsi="Arial Black"/>
          <w:sz w:val="28"/>
          <w:szCs w:val="28"/>
        </w:rPr>
        <w:t>TX: PARAMEDIC INJURED ANKLE ON ICE COMING TO WORK - OFF 13 DAYS – LATER FIRED FOR MISSING SHIFTS – LAWSUIT DISMISSED</w:t>
      </w:r>
    </w:p>
    <w:p w14:paraId="3F39C805" w14:textId="77777777" w:rsidR="002B1283" w:rsidRDefault="002B1283" w:rsidP="002B1283">
      <w:pPr>
        <w:pStyle w:val="NoSpacing"/>
        <w:rPr>
          <w:rFonts w:ascii="Times New Roman" w:hAnsi="Times New Roman"/>
          <w:sz w:val="24"/>
          <w:szCs w:val="24"/>
        </w:rPr>
      </w:pPr>
      <w:r w:rsidRPr="00152892">
        <w:rPr>
          <w:rFonts w:ascii="Times New Roman" w:hAnsi="Times New Roman"/>
          <w:sz w:val="24"/>
          <w:szCs w:val="24"/>
        </w:rPr>
        <w:t xml:space="preserve">On July 3, 2019, in </w:t>
      </w:r>
      <w:r w:rsidRPr="00152892">
        <w:rPr>
          <w:rFonts w:ascii="Times New Roman" w:hAnsi="Times New Roman"/>
          <w:sz w:val="24"/>
          <w:szCs w:val="24"/>
          <w:u w:val="single"/>
        </w:rPr>
        <w:t>Michael Bankhead v. Lifeguard Ambulance Service of Texas</w:t>
      </w:r>
      <w:r w:rsidRPr="00152892">
        <w:rPr>
          <w:rFonts w:ascii="Times New Roman" w:hAnsi="Times New Roman"/>
          <w:sz w:val="24"/>
          <w:szCs w:val="24"/>
        </w:rPr>
        <w:t xml:space="preserve">, U.S. District Court Judge John McBryde granted the employer’s motion for summary judgment.  </w:t>
      </w:r>
    </w:p>
    <w:p w14:paraId="26BB3F69" w14:textId="77777777" w:rsidR="002B1283" w:rsidRDefault="002B1283" w:rsidP="002B1283">
      <w:pPr>
        <w:pStyle w:val="NoSpacing"/>
        <w:rPr>
          <w:rFonts w:ascii="Times New Roman" w:hAnsi="Times New Roman"/>
          <w:sz w:val="24"/>
          <w:szCs w:val="24"/>
        </w:rPr>
      </w:pPr>
    </w:p>
    <w:p w14:paraId="787C7695" w14:textId="77777777" w:rsidR="002B1283" w:rsidRDefault="002B1283" w:rsidP="002B1283">
      <w:pPr>
        <w:pStyle w:val="NoSpacing"/>
        <w:ind w:left="720"/>
        <w:rPr>
          <w:rFonts w:ascii="Times New Roman" w:hAnsi="Times New Roman"/>
          <w:sz w:val="24"/>
          <w:szCs w:val="24"/>
        </w:rPr>
      </w:pPr>
      <w:r w:rsidRPr="00152892">
        <w:rPr>
          <w:rFonts w:ascii="Times New Roman" w:hAnsi="Times New Roman"/>
          <w:sz w:val="24"/>
          <w:szCs w:val="24"/>
        </w:rPr>
        <w:t>“In this case, plaintiff has not shown that he suffered from a disability under the ADA. In fact, he pleaded that his injury was only temporary… (plaintiff injured his foot on January 13, 2017, wore a boot to stabilize his ankle, and was cleared to return to work on January 26, 2017). In his summary judgment response, he mentions that he has diabetes…. But, even if true, simply having a diagnosis does not amount to proof that one has an impairment under the ADA.</w:t>
      </w:r>
      <w:r>
        <w:rPr>
          <w:rFonts w:ascii="Times New Roman" w:hAnsi="Times New Roman"/>
          <w:sz w:val="24"/>
          <w:szCs w:val="24"/>
        </w:rPr>
        <w:t>”</w:t>
      </w:r>
    </w:p>
    <w:p w14:paraId="59DE315B" w14:textId="77777777" w:rsidR="002B1283" w:rsidRPr="00152892" w:rsidRDefault="002B1283" w:rsidP="002B1283">
      <w:pPr>
        <w:pStyle w:val="NoSpacing"/>
        <w:ind w:left="720"/>
        <w:rPr>
          <w:rFonts w:ascii="Times New Roman" w:hAnsi="Times New Roman"/>
          <w:sz w:val="24"/>
          <w:szCs w:val="24"/>
        </w:rPr>
      </w:pPr>
      <w:r w:rsidRPr="00152892">
        <w:rPr>
          <w:rFonts w:ascii="Times New Roman" w:hAnsi="Times New Roman"/>
          <w:sz w:val="24"/>
          <w:szCs w:val="24"/>
        </w:rPr>
        <w:t xml:space="preserve"> </w:t>
      </w:r>
      <w:hyperlink r:id="rId1771" w:history="1">
        <w:r w:rsidRPr="0076015A">
          <w:rPr>
            <w:rStyle w:val="Hyperlink"/>
            <w:rFonts w:ascii="Times New Roman" w:hAnsi="Times New Roman"/>
            <w:sz w:val="24"/>
            <w:szCs w:val="24"/>
          </w:rPr>
          <w:t>https://www.leagle.com/decision/infdco20190708957</w:t>
        </w:r>
      </w:hyperlink>
      <w:r>
        <w:rPr>
          <w:rFonts w:ascii="Times New Roman" w:hAnsi="Times New Roman"/>
          <w:sz w:val="24"/>
          <w:szCs w:val="24"/>
        </w:rPr>
        <w:t xml:space="preserve"> </w:t>
      </w:r>
    </w:p>
    <w:p w14:paraId="3C185A62" w14:textId="77777777" w:rsidR="002B1283" w:rsidRDefault="002B1283" w:rsidP="002B1283">
      <w:pPr>
        <w:pStyle w:val="NoSpacing"/>
        <w:rPr>
          <w:rFonts w:ascii="Times New Roman" w:hAnsi="Times New Roman"/>
        </w:rPr>
      </w:pPr>
    </w:p>
    <w:p w14:paraId="4578C5B8" w14:textId="77777777" w:rsidR="002B1283" w:rsidRDefault="002B1283" w:rsidP="002B1283">
      <w:pPr>
        <w:pStyle w:val="NoSpacing"/>
        <w:ind w:left="720"/>
        <w:rPr>
          <w:rFonts w:ascii="Times New Roman" w:hAnsi="Times New Roman"/>
          <w:sz w:val="24"/>
          <w:szCs w:val="24"/>
        </w:rPr>
      </w:pPr>
    </w:p>
    <w:p w14:paraId="4546021B" w14:textId="77777777" w:rsidR="002B1283" w:rsidRDefault="002B1283" w:rsidP="002B1283">
      <w:pPr>
        <w:pStyle w:val="NoSpacing"/>
        <w:rPr>
          <w:rFonts w:ascii="Times New Roman" w:hAnsi="Times New Roman"/>
          <w:b/>
          <w:bCs/>
          <w:sz w:val="24"/>
          <w:szCs w:val="24"/>
        </w:rPr>
      </w:pPr>
      <w:r w:rsidRPr="00152892">
        <w:rPr>
          <w:rFonts w:ascii="Times New Roman" w:hAnsi="Times New Roman"/>
          <w:b/>
          <w:bCs/>
          <w:sz w:val="24"/>
          <w:szCs w:val="24"/>
        </w:rPr>
        <w:t xml:space="preserve">Legal Lessons Learned: </w:t>
      </w:r>
      <w:r>
        <w:rPr>
          <w:rFonts w:ascii="Times New Roman" w:hAnsi="Times New Roman"/>
          <w:b/>
          <w:bCs/>
          <w:sz w:val="24"/>
          <w:szCs w:val="24"/>
        </w:rPr>
        <w:t xml:space="preserve">Impairment under ADA must be permanent or long term; even a broken leg does not qualify as a “disability.”  </w:t>
      </w:r>
    </w:p>
    <w:p w14:paraId="29CB8C9E" w14:textId="77777777" w:rsidR="002B1283" w:rsidRDefault="002B1283" w:rsidP="002B1283">
      <w:pPr>
        <w:pStyle w:val="NoSpacing"/>
        <w:rPr>
          <w:rFonts w:ascii="Times New Roman" w:hAnsi="Times New Roman"/>
          <w:b/>
          <w:bCs/>
          <w:sz w:val="24"/>
          <w:szCs w:val="24"/>
        </w:rPr>
      </w:pPr>
    </w:p>
    <w:p w14:paraId="00DE55D4" w14:textId="77777777" w:rsidR="002B1283" w:rsidRDefault="002B1283" w:rsidP="002B1283">
      <w:pPr>
        <w:pStyle w:val="NoSpacing"/>
        <w:ind w:left="720"/>
        <w:rPr>
          <w:rFonts w:ascii="Times New Roman" w:hAnsi="Times New Roman"/>
          <w:sz w:val="24"/>
          <w:szCs w:val="24"/>
        </w:rPr>
      </w:pPr>
      <w:r w:rsidRPr="00E441EA">
        <w:rPr>
          <w:rFonts w:ascii="Times New Roman" w:hAnsi="Times New Roman"/>
          <w:sz w:val="24"/>
          <w:szCs w:val="24"/>
        </w:rPr>
        <w:t xml:space="preserve">Under ADA, a “disability” is defined as: "(A) a physical or mental impairment that substantially limits one or more major life activities of such individual; (B) a record of such an impairment; or (C) being regarded as having such an impairment." 42 U.S.C. § 12102(1).  </w:t>
      </w:r>
    </w:p>
    <w:p w14:paraId="6C8F63FB" w14:textId="77777777" w:rsidR="002B1283" w:rsidRDefault="002B1283" w:rsidP="002B1283">
      <w:pPr>
        <w:pStyle w:val="NoSpacing"/>
        <w:rPr>
          <w:rFonts w:ascii="Times New Roman" w:hAnsi="Times New Roman"/>
          <w:sz w:val="24"/>
          <w:szCs w:val="24"/>
        </w:rPr>
      </w:pPr>
    </w:p>
    <w:p w14:paraId="500FF5F9" w14:textId="77777777" w:rsidR="00AE0ACC" w:rsidRDefault="00AE0ACC" w:rsidP="00AE0ACC">
      <w:pPr>
        <w:pStyle w:val="NoSpacing"/>
        <w:rPr>
          <w:sz w:val="24"/>
          <w:szCs w:val="24"/>
        </w:rPr>
      </w:pPr>
    </w:p>
    <w:p w14:paraId="50BD2338" w14:textId="3687750A" w:rsidR="002B1283" w:rsidRDefault="00DE0F03" w:rsidP="00DE0F03">
      <w:pPr>
        <w:rPr>
          <w:rFonts w:ascii="Arial Black" w:hAnsi="Arial Black"/>
          <w:sz w:val="28"/>
          <w:szCs w:val="28"/>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3</w:t>
      </w:r>
    </w:p>
    <w:p w14:paraId="770171D7" w14:textId="6B87B87A" w:rsidR="00F326E5" w:rsidRDefault="00F326E5" w:rsidP="00F326E5">
      <w:pPr>
        <w:pStyle w:val="NoSpacing"/>
        <w:rPr>
          <w:rFonts w:ascii="Arial Black" w:hAnsi="Arial Black"/>
          <w:sz w:val="28"/>
          <w:szCs w:val="28"/>
        </w:rPr>
      </w:pPr>
      <w:bookmarkStart w:id="366" w:name="_Hlk39771248"/>
      <w:r>
        <w:rPr>
          <w:rFonts w:ascii="Arial Black" w:hAnsi="Arial Black"/>
          <w:sz w:val="28"/>
          <w:szCs w:val="28"/>
        </w:rPr>
        <w:t xml:space="preserve">WI: </w:t>
      </w:r>
      <w:r w:rsidRPr="00C667EE">
        <w:rPr>
          <w:rFonts w:ascii="Arial Black" w:hAnsi="Arial Black"/>
          <w:sz w:val="28"/>
          <w:szCs w:val="28"/>
        </w:rPr>
        <w:t xml:space="preserve">INJURED ANKLE </w:t>
      </w:r>
      <w:r>
        <w:rPr>
          <w:rFonts w:ascii="Arial Black" w:hAnsi="Arial Black"/>
          <w:sz w:val="28"/>
          <w:szCs w:val="28"/>
        </w:rPr>
        <w:t xml:space="preserve">– GIVEN “LIGHT DUTY” BUT TENNIS SHOES NOT ALLOWED – LAWSUIT MAY PROCEED </w:t>
      </w:r>
    </w:p>
    <w:p w14:paraId="7DF9EAFC" w14:textId="77777777" w:rsidR="00BF4DDE" w:rsidRDefault="00BF4DDE" w:rsidP="00F326E5">
      <w:pPr>
        <w:pStyle w:val="NoSpacing"/>
        <w:rPr>
          <w:rFonts w:ascii="Times New Roman" w:hAnsi="Times New Roman"/>
          <w:sz w:val="24"/>
          <w:szCs w:val="24"/>
        </w:rPr>
      </w:pPr>
    </w:p>
    <w:p w14:paraId="0D7941F0" w14:textId="22AA6538" w:rsidR="00F326E5" w:rsidRPr="00BF4DDE" w:rsidRDefault="00F326E5" w:rsidP="00F326E5">
      <w:pPr>
        <w:pStyle w:val="NoSpacing"/>
        <w:rPr>
          <w:rStyle w:val="Hyperlink"/>
          <w:rFonts w:ascii="Times New Roman" w:hAnsi="Times New Roman"/>
          <w:sz w:val="24"/>
          <w:szCs w:val="24"/>
        </w:rPr>
      </w:pPr>
      <w:r w:rsidRPr="00BF4DDE">
        <w:rPr>
          <w:rFonts w:ascii="Times New Roman" w:hAnsi="Times New Roman"/>
          <w:sz w:val="24"/>
          <w:szCs w:val="24"/>
        </w:rPr>
        <w:t xml:space="preserve">On Feb. 27, 2019, in </w:t>
      </w:r>
      <w:r w:rsidRPr="00BF4DDE">
        <w:rPr>
          <w:rFonts w:ascii="Times New Roman" w:hAnsi="Times New Roman"/>
          <w:sz w:val="24"/>
          <w:szCs w:val="24"/>
          <w:u w:val="single"/>
        </w:rPr>
        <w:t>Keith Daniel v. City of Minneapolis</w:t>
      </w:r>
      <w:r w:rsidRPr="00BF4DDE">
        <w:rPr>
          <w:rFonts w:ascii="Times New Roman" w:hAnsi="Times New Roman"/>
          <w:sz w:val="24"/>
          <w:szCs w:val="24"/>
        </w:rPr>
        <w:t xml:space="preserve">, the Supreme Court of MN held (5 to 2), “To give effect to the plain language of the workers’ compensation act and the human rights act, we hold that an employee can pursue claims under each act because each act provides a distinct cause of action that redresses a discrete type of injury to an employee.” </w:t>
      </w:r>
      <w:hyperlink r:id="rId1772" w:history="1">
        <w:r w:rsidRPr="00BF4DDE">
          <w:rPr>
            <w:rStyle w:val="Hyperlink"/>
            <w:rFonts w:ascii="Times New Roman" w:hAnsi="Times New Roman"/>
            <w:sz w:val="24"/>
            <w:szCs w:val="24"/>
          </w:rPr>
          <w:t>https://cases.justia.com/minnesota/supreme-court/2019-a17-0141.pdf?ts=1551286256</w:t>
        </w:r>
      </w:hyperlink>
    </w:p>
    <w:bookmarkEnd w:id="366"/>
    <w:p w14:paraId="457FE752" w14:textId="77777777" w:rsidR="00DE37CD" w:rsidRDefault="00DE37CD" w:rsidP="00F326E5">
      <w:pPr>
        <w:pStyle w:val="NoSpacing"/>
        <w:rPr>
          <w:rFonts w:ascii="Times New Roman" w:hAnsi="Times New Roman"/>
          <w:b/>
          <w:sz w:val="24"/>
          <w:szCs w:val="24"/>
        </w:rPr>
      </w:pPr>
    </w:p>
    <w:p w14:paraId="7FE35F56" w14:textId="014815FB" w:rsidR="00F326E5" w:rsidRDefault="00F326E5" w:rsidP="00F326E5">
      <w:pPr>
        <w:pStyle w:val="NoSpacing"/>
        <w:rPr>
          <w:rFonts w:ascii="Times New Roman" w:hAnsi="Times New Roman"/>
          <w:b/>
          <w:sz w:val="24"/>
          <w:szCs w:val="24"/>
        </w:rPr>
      </w:pPr>
      <w:bookmarkStart w:id="367" w:name="_Hlk40512128"/>
      <w:r w:rsidRPr="00BF4DDE">
        <w:rPr>
          <w:rFonts w:ascii="Times New Roman" w:hAnsi="Times New Roman"/>
          <w:b/>
          <w:sz w:val="24"/>
          <w:szCs w:val="24"/>
        </w:rPr>
        <w:t xml:space="preserve">Legal Lessons Learned:  FD dress policies, including policies on “station shoes” may need to be modified to “reasonably accommodate” a firefighter on light duty for an ankle injury.  This case will now go to a jury trial, unless settled. </w:t>
      </w:r>
    </w:p>
    <w:bookmarkEnd w:id="367"/>
    <w:p w14:paraId="6CA659FA" w14:textId="77777777" w:rsidR="00DE37CD" w:rsidRDefault="00DE37CD" w:rsidP="00F326E5">
      <w:pPr>
        <w:pStyle w:val="NoSpacing"/>
        <w:ind w:left="720"/>
        <w:rPr>
          <w:rFonts w:ascii="Times New Roman" w:hAnsi="Times New Roman"/>
          <w:b/>
          <w:sz w:val="24"/>
          <w:szCs w:val="24"/>
        </w:rPr>
      </w:pPr>
    </w:p>
    <w:p w14:paraId="50CD6D90" w14:textId="18F6876C" w:rsidR="00F326E5" w:rsidRPr="00BF4DDE" w:rsidRDefault="00F7048C" w:rsidP="00DE37CD">
      <w:pPr>
        <w:pStyle w:val="NoSpacing"/>
        <w:rPr>
          <w:rFonts w:ascii="Times New Roman" w:hAnsi="Times New Roman"/>
          <w:sz w:val="24"/>
          <w:szCs w:val="24"/>
        </w:rPr>
      </w:pPr>
      <w:bookmarkStart w:id="368" w:name="_Hlk40512160"/>
      <w:r>
        <w:rPr>
          <w:rFonts w:ascii="Times New Roman" w:hAnsi="Times New Roman"/>
          <w:sz w:val="24"/>
          <w:szCs w:val="24"/>
        </w:rPr>
        <w:t xml:space="preserve">Note:  </w:t>
      </w:r>
      <w:r w:rsidR="00F326E5" w:rsidRPr="00BF4DDE">
        <w:rPr>
          <w:rFonts w:ascii="Times New Roman" w:hAnsi="Times New Roman"/>
          <w:sz w:val="24"/>
          <w:szCs w:val="24"/>
        </w:rPr>
        <w:t xml:space="preserve">See article about </w:t>
      </w:r>
      <w:r>
        <w:rPr>
          <w:rFonts w:ascii="Times New Roman" w:hAnsi="Times New Roman"/>
          <w:sz w:val="24"/>
          <w:szCs w:val="24"/>
        </w:rPr>
        <w:t xml:space="preserve">the </w:t>
      </w:r>
      <w:r w:rsidR="00F326E5" w:rsidRPr="00BF4DDE">
        <w:rPr>
          <w:rFonts w:ascii="Times New Roman" w:hAnsi="Times New Roman"/>
          <w:sz w:val="24"/>
          <w:szCs w:val="24"/>
        </w:rPr>
        <w:t xml:space="preserve">case: </w:t>
      </w:r>
      <w:hyperlink r:id="rId1773" w:history="1">
        <w:r w:rsidR="00F326E5" w:rsidRPr="00BF4DDE">
          <w:rPr>
            <w:rStyle w:val="Hyperlink"/>
            <w:rFonts w:ascii="Times New Roman" w:hAnsi="Times New Roman"/>
            <w:sz w:val="24"/>
            <w:szCs w:val="24"/>
          </w:rPr>
          <w:t>http://www.startribune.com/former-mpls-firefighter-will-be-able-to-sue-for-disability-discrimination-high-court-rules/506468082/</w:t>
        </w:r>
      </w:hyperlink>
      <w:r w:rsidR="00F326E5" w:rsidRPr="00BF4DDE">
        <w:rPr>
          <w:rFonts w:ascii="Times New Roman" w:hAnsi="Times New Roman"/>
          <w:sz w:val="24"/>
          <w:szCs w:val="24"/>
        </w:rPr>
        <w:t xml:space="preserve"> </w:t>
      </w:r>
    </w:p>
    <w:bookmarkEnd w:id="346"/>
    <w:bookmarkEnd w:id="368"/>
    <w:p w14:paraId="7B12A446" w14:textId="77777777" w:rsidR="00C17A9D" w:rsidRPr="00BF4DDE" w:rsidRDefault="00C17A9D" w:rsidP="00C17A9D">
      <w:pPr>
        <w:pStyle w:val="NoSpacing"/>
        <w:rPr>
          <w:rFonts w:ascii="Times New Roman" w:hAnsi="Times New Roman"/>
          <w:bCs/>
          <w:sz w:val="24"/>
          <w:szCs w:val="24"/>
        </w:rPr>
      </w:pPr>
    </w:p>
    <w:p w14:paraId="73F108F2" w14:textId="55D0B9B8" w:rsidR="00F326E5" w:rsidRDefault="00F326E5" w:rsidP="00F326E5">
      <w:pPr>
        <w:pStyle w:val="NoSpacing"/>
        <w:rPr>
          <w:rFonts w:ascii="Arial Black" w:hAnsi="Arial Black"/>
          <w:sz w:val="40"/>
          <w:szCs w:val="40"/>
        </w:rPr>
      </w:pPr>
    </w:p>
    <w:p w14:paraId="4371BC5B" w14:textId="77777777" w:rsidR="00C17A9D" w:rsidRDefault="00C17A9D" w:rsidP="00F326E5">
      <w:pPr>
        <w:pStyle w:val="NoSpacing"/>
        <w:rPr>
          <w:rFonts w:ascii="Arial Black" w:hAnsi="Arial Black"/>
          <w:sz w:val="40"/>
          <w:szCs w:val="40"/>
        </w:rPr>
      </w:pPr>
    </w:p>
    <w:p w14:paraId="6DF46BDA" w14:textId="5AC36D6D" w:rsidR="00DE0F03" w:rsidRDefault="00DE0F03" w:rsidP="00DE0F03">
      <w:pPr>
        <w:rPr>
          <w:sz w:val="24"/>
          <w:szCs w:val="24"/>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2</w:t>
      </w:r>
    </w:p>
    <w:p w14:paraId="400DE305" w14:textId="4DD16CE0" w:rsidR="00F326E5" w:rsidRPr="00C270C6" w:rsidRDefault="00F326E5" w:rsidP="00F326E5">
      <w:pPr>
        <w:pStyle w:val="NoSpacing"/>
        <w:rPr>
          <w:rFonts w:ascii="Arial Black" w:hAnsi="Arial Black"/>
          <w:b/>
          <w:sz w:val="28"/>
          <w:szCs w:val="28"/>
        </w:rPr>
      </w:pPr>
      <w:bookmarkStart w:id="369" w:name="_Hlk7344988"/>
      <w:r w:rsidRPr="00C270C6">
        <w:rPr>
          <w:rFonts w:ascii="Arial Black" w:hAnsi="Arial Black"/>
          <w:b/>
          <w:sz w:val="28"/>
          <w:szCs w:val="28"/>
        </w:rPr>
        <w:t>LA</w:t>
      </w:r>
      <w:r>
        <w:rPr>
          <w:rFonts w:ascii="Arial Black" w:hAnsi="Arial Black"/>
          <w:b/>
          <w:sz w:val="28"/>
          <w:szCs w:val="28"/>
        </w:rPr>
        <w:t xml:space="preserve">: </w:t>
      </w:r>
      <w:r w:rsidRPr="00C270C6">
        <w:rPr>
          <w:rFonts w:ascii="Arial Black" w:hAnsi="Arial Black"/>
          <w:b/>
          <w:sz w:val="28"/>
          <w:szCs w:val="28"/>
        </w:rPr>
        <w:t>BACK INJURY, RETIRING FF FAILED TO TIMELY FILE FOR DISABILITY BENEFITS</w:t>
      </w:r>
    </w:p>
    <w:p w14:paraId="404AF258" w14:textId="77777777" w:rsidR="00BF4DDE" w:rsidRDefault="00F326E5" w:rsidP="00F326E5">
      <w:pPr>
        <w:rPr>
          <w:rFonts w:ascii="Times New Roman" w:eastAsia="Times New Roman" w:hAnsi="Times New Roman"/>
          <w:sz w:val="24"/>
          <w:szCs w:val="24"/>
        </w:rPr>
      </w:pPr>
      <w:r w:rsidRPr="00BF4DDE">
        <w:rPr>
          <w:rFonts w:ascii="Times New Roman" w:eastAsia="Times New Roman" w:hAnsi="Times New Roman"/>
          <w:sz w:val="24"/>
          <w:szCs w:val="24"/>
        </w:rPr>
        <w:t xml:space="preserve">On Nov. 21, 2018, in </w:t>
      </w:r>
      <w:r w:rsidRPr="00BF4DDE">
        <w:rPr>
          <w:rFonts w:ascii="Times New Roman" w:eastAsia="Times New Roman" w:hAnsi="Times New Roman"/>
          <w:sz w:val="24"/>
          <w:szCs w:val="24"/>
          <w:u w:val="single"/>
        </w:rPr>
        <w:t>Brian Mule v. St. Bernard Parish Fire Department</w:t>
      </w:r>
      <w:r w:rsidRPr="00BF4DDE">
        <w:rPr>
          <w:rFonts w:ascii="Times New Roman" w:eastAsia="Times New Roman" w:hAnsi="Times New Roman"/>
          <w:sz w:val="24"/>
          <w:szCs w:val="24"/>
        </w:rPr>
        <w:t>, the Court of Appeal, 4</w:t>
      </w:r>
      <w:r w:rsidRPr="00BF4DDE">
        <w:rPr>
          <w:rFonts w:ascii="Times New Roman" w:eastAsia="Times New Roman" w:hAnsi="Times New Roman"/>
          <w:sz w:val="24"/>
          <w:szCs w:val="24"/>
          <w:vertAlign w:val="superscript"/>
        </w:rPr>
        <w:t>th</w:t>
      </w:r>
      <w:r w:rsidRPr="00BF4DDE">
        <w:rPr>
          <w:rFonts w:ascii="Times New Roman" w:eastAsia="Times New Roman" w:hAnsi="Times New Roman"/>
          <w:sz w:val="24"/>
          <w:szCs w:val="24"/>
        </w:rPr>
        <w:t xml:space="preserve"> District held (3 to 0) that Office of Workers Compensation trial judge properly ruled that the employee was not entitled to supplemental benefits: </w:t>
      </w:r>
    </w:p>
    <w:p w14:paraId="6FCB1BF8" w14:textId="10C06763" w:rsidR="00F326E5" w:rsidRPr="00BF4DDE" w:rsidRDefault="00F326E5" w:rsidP="00BF4DDE">
      <w:pPr>
        <w:ind w:left="720"/>
        <w:rPr>
          <w:rFonts w:ascii="Times New Roman" w:eastAsia="Times New Roman" w:hAnsi="Times New Roman"/>
          <w:sz w:val="24"/>
          <w:szCs w:val="24"/>
        </w:rPr>
      </w:pPr>
      <w:r w:rsidRPr="00BF4DDE">
        <w:rPr>
          <w:rFonts w:ascii="Times New Roman" w:eastAsia="Times New Roman" w:hAnsi="Times New Roman"/>
          <w:sz w:val="24"/>
          <w:szCs w:val="24"/>
        </w:rPr>
        <w:t xml:space="preserve">“Mr. Mule waited more than seven years after this May 22, </w:t>
      </w:r>
      <w:proofErr w:type="gramStart"/>
      <w:r w:rsidRPr="00BF4DDE">
        <w:rPr>
          <w:rFonts w:ascii="Times New Roman" w:eastAsia="Times New Roman" w:hAnsi="Times New Roman"/>
          <w:sz w:val="24"/>
          <w:szCs w:val="24"/>
        </w:rPr>
        <w:t>2009</w:t>
      </w:r>
      <w:proofErr w:type="gramEnd"/>
      <w:r w:rsidRPr="00BF4DDE">
        <w:rPr>
          <w:rFonts w:ascii="Times New Roman" w:eastAsia="Times New Roman" w:hAnsi="Times New Roman"/>
          <w:sz w:val="24"/>
          <w:szCs w:val="24"/>
        </w:rPr>
        <w:t xml:space="preserve"> injury to pursue his claim for indemnity benefits. The OWC, having reviewed the record, exhibits and listening to the testimony of Mr. Mule and Ms. Bradbury, held that Mr. Mule did not establish that he was lulled into not filing a claim within the prescriptive period under the totality of the </w:t>
      </w:r>
      <w:proofErr w:type="gramStart"/>
      <w:r w:rsidRPr="00BF4DDE">
        <w:rPr>
          <w:rFonts w:ascii="Times New Roman" w:eastAsia="Times New Roman" w:hAnsi="Times New Roman"/>
          <w:sz w:val="24"/>
          <w:szCs w:val="24"/>
        </w:rPr>
        <w:t>circumstances.”</w:t>
      </w:r>
      <w:proofErr w:type="gramEnd"/>
      <w:r w:rsidRPr="00BF4DDE">
        <w:rPr>
          <w:rFonts w:ascii="Times New Roman" w:eastAsia="Times New Roman" w:hAnsi="Times New Roman"/>
          <w:sz w:val="24"/>
          <w:szCs w:val="24"/>
        </w:rPr>
        <w:t xml:space="preserve"> </w:t>
      </w:r>
      <w:hyperlink r:id="rId1774" w:history="1">
        <w:r w:rsidRPr="00BF4DDE">
          <w:rPr>
            <w:rStyle w:val="Hyperlink"/>
            <w:rFonts w:ascii="Times New Roman" w:hAnsi="Times New Roman"/>
            <w:sz w:val="24"/>
            <w:szCs w:val="24"/>
          </w:rPr>
          <w:t>https://cases.justia.com/louisiana/fourth-circuit-court-of-appeal/2018-2018-ca-0507.pdf?ts=1542839104</w:t>
        </w:r>
      </w:hyperlink>
      <w:r w:rsidRPr="00BF4DDE">
        <w:rPr>
          <w:rFonts w:ascii="Times New Roman" w:eastAsia="Times New Roman" w:hAnsi="Times New Roman"/>
          <w:sz w:val="24"/>
          <w:szCs w:val="24"/>
        </w:rPr>
        <w:t xml:space="preserve"> </w:t>
      </w:r>
    </w:p>
    <w:p w14:paraId="5DFCE6A3"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Fire &amp; EMS personnel, injured on the job and facing disability retirement, should consult with a workers comp. expert regarding filing requirements for workers comp indemnity benefits.  </w:t>
      </w:r>
    </w:p>
    <w:bookmarkEnd w:id="369"/>
    <w:p w14:paraId="4A28EAA2" w14:textId="77777777" w:rsidR="00F326E5" w:rsidRDefault="00F326E5" w:rsidP="00F326E5">
      <w:pPr>
        <w:pStyle w:val="NoSpacing"/>
        <w:rPr>
          <w:sz w:val="24"/>
          <w:szCs w:val="24"/>
        </w:rPr>
      </w:pPr>
    </w:p>
    <w:p w14:paraId="1EBE2684" w14:textId="77777777" w:rsidR="00F326E5" w:rsidRDefault="00F326E5" w:rsidP="00F326E5">
      <w:pPr>
        <w:pStyle w:val="NoSpacing"/>
        <w:rPr>
          <w:sz w:val="24"/>
          <w:szCs w:val="24"/>
        </w:rPr>
      </w:pPr>
    </w:p>
    <w:p w14:paraId="522EC005" w14:textId="4C658EA4" w:rsidR="00F326E5" w:rsidRDefault="00DE0F03" w:rsidP="00DE0F03">
      <w:pPr>
        <w:rPr>
          <w:sz w:val="24"/>
          <w:szCs w:val="24"/>
        </w:rPr>
      </w:pPr>
      <w:r>
        <w:rPr>
          <w:rFonts w:ascii="Arial Black" w:hAnsi="Arial Black"/>
          <w:b/>
          <w:sz w:val="24"/>
          <w:szCs w:val="24"/>
        </w:rPr>
        <w:t>9</w:t>
      </w:r>
      <w:r w:rsidRPr="00EF1133">
        <w:rPr>
          <w:rFonts w:ascii="Arial Black" w:hAnsi="Arial Black"/>
          <w:b/>
          <w:sz w:val="24"/>
          <w:szCs w:val="24"/>
        </w:rPr>
        <w:t>-1</w:t>
      </w:r>
    </w:p>
    <w:p w14:paraId="66896318" w14:textId="764AAC4E" w:rsidR="00F326E5" w:rsidRPr="00512C93" w:rsidRDefault="00F326E5" w:rsidP="00F326E5">
      <w:pPr>
        <w:pStyle w:val="NoSpacing"/>
        <w:rPr>
          <w:rFonts w:ascii="Arial Black" w:hAnsi="Arial Black"/>
          <w:b/>
          <w:sz w:val="28"/>
          <w:szCs w:val="28"/>
        </w:rPr>
      </w:pPr>
      <w:bookmarkStart w:id="370" w:name="_Hlk7345026"/>
      <w:r>
        <w:rPr>
          <w:rFonts w:ascii="Arial Black" w:hAnsi="Arial Black"/>
          <w:b/>
          <w:sz w:val="28"/>
          <w:szCs w:val="28"/>
        </w:rPr>
        <w:t xml:space="preserve">CO: DEPUTY SHERIFF WITH DIABETES – INSULIN DEPENDENT – U.S. DOJ SETTLES LAWSUIT </w:t>
      </w:r>
    </w:p>
    <w:p w14:paraId="3FAB8369" w14:textId="77777777" w:rsidR="00F326E5" w:rsidRPr="00071B42" w:rsidRDefault="00F326E5" w:rsidP="00F326E5">
      <w:pPr>
        <w:rPr>
          <w:rFonts w:eastAsia="Times New Roman"/>
          <w:sz w:val="24"/>
          <w:szCs w:val="24"/>
        </w:rPr>
      </w:pPr>
      <w:r w:rsidRPr="00071B42">
        <w:rPr>
          <w:rFonts w:eastAsia="Times New Roman"/>
          <w:sz w:val="24"/>
          <w:szCs w:val="24"/>
        </w:rPr>
        <w:t xml:space="preserve">On May 15, 2018, the U.S. Department of Justice issued a Press Release about the agreement with the City and County of Denver: </w:t>
      </w:r>
    </w:p>
    <w:p w14:paraId="31DD1801" w14:textId="77777777" w:rsidR="00F326E5" w:rsidRPr="00071B42" w:rsidRDefault="00F326E5" w:rsidP="00F326E5">
      <w:pPr>
        <w:pStyle w:val="NormalWeb"/>
        <w:ind w:left="720"/>
      </w:pPr>
      <w:r w:rsidRPr="00071B42">
        <w:t xml:space="preserve">“The Justice Department today announced that it reached an agreement with the City and County of Denver, Colorado, (Denver) to resolve its lawsuit alleging that the Denver Sheriff Department discriminated against a long-time Deputy Sheriff </w:t>
      </w:r>
      <w:proofErr w:type="gramStart"/>
      <w:r w:rsidRPr="00071B42">
        <w:t>on the basis of</w:t>
      </w:r>
      <w:proofErr w:type="gramEnd"/>
      <w:r w:rsidRPr="00071B42">
        <w:t xml:space="preserve"> his disability, insulin-dependent diabetes.  The Justice Department’s complaint alleges that Denver failed to engage in an interactive process with the employee to determine an appropriate accommodation, failed to reasonably accommodate his disability, and then terminated him, in violation of the Americans with Disabilities Act (ADA).Under the agreement, Denver will revise its reasonable accommodation policies and procedures, and will conduct training on the ADA for Sheriff Department supervisors, command staff, and human resources personnel.  In addition, Denver will pay $100,000 in compensatory damages to the employee.”</w:t>
      </w:r>
    </w:p>
    <w:p w14:paraId="09EEB56F" w14:textId="1DDF965D" w:rsidR="00F326E5" w:rsidRPr="00071B42" w:rsidRDefault="00E658E1" w:rsidP="00E658E1">
      <w:pPr>
        <w:pStyle w:val="NoSpacing"/>
        <w:ind w:left="720"/>
        <w:rPr>
          <w:rStyle w:val="Hyperlink"/>
          <w:sz w:val="24"/>
          <w:szCs w:val="24"/>
        </w:rPr>
      </w:pPr>
      <w:hyperlink r:id="rId1775" w:history="1">
        <w:r w:rsidRPr="002F304C">
          <w:rPr>
            <w:rStyle w:val="Hyperlink"/>
            <w:sz w:val="24"/>
            <w:szCs w:val="24"/>
          </w:rPr>
          <w:t>https://www.justice.gov/opa/pr/justice-department-reaches-agreement-city-and-county-denver-resolve-disability-discrimination</w:t>
        </w:r>
      </w:hyperlink>
    </w:p>
    <w:p w14:paraId="25B31959" w14:textId="77777777" w:rsidR="00F326E5" w:rsidRDefault="00F326E5" w:rsidP="00F326E5">
      <w:pPr>
        <w:pStyle w:val="NormalWeb"/>
        <w:rPr>
          <w:b/>
        </w:rPr>
      </w:pPr>
      <w:r w:rsidRPr="00071B42">
        <w:rPr>
          <w:b/>
        </w:rPr>
        <w:t xml:space="preserve">Legal Lessons Learned: Fire &amp; EMS departments must also “engage in an interactive process” when an employee appears to have a disability, including exchange of medical information between employee’s physician and the department’s doctor. </w:t>
      </w:r>
    </w:p>
    <w:bookmarkEnd w:id="370"/>
    <w:p w14:paraId="53967C7F" w14:textId="77777777" w:rsidR="00F326E5" w:rsidRDefault="00F326E5" w:rsidP="00F326E5">
      <w:pPr>
        <w:rPr>
          <w:rFonts w:ascii="Arial Black" w:hAnsi="Arial Black"/>
          <w:sz w:val="40"/>
          <w:szCs w:val="40"/>
        </w:rPr>
      </w:pPr>
      <w:r>
        <w:rPr>
          <w:rFonts w:ascii="Arial Black" w:hAnsi="Arial Black"/>
          <w:sz w:val="40"/>
          <w:szCs w:val="40"/>
        </w:rPr>
        <w:br w:type="page"/>
      </w:r>
    </w:p>
    <w:p w14:paraId="63BE8F94" w14:textId="77777777" w:rsidR="009C7451" w:rsidRDefault="009C7451" w:rsidP="00F326E5">
      <w:pPr>
        <w:pStyle w:val="NoSpacing"/>
        <w:rPr>
          <w:rFonts w:ascii="Arial Black" w:hAnsi="Arial Black"/>
          <w:sz w:val="40"/>
          <w:szCs w:val="40"/>
        </w:rPr>
      </w:pPr>
    </w:p>
    <w:p w14:paraId="5B5DDAE0" w14:textId="77777777" w:rsidR="009C7451" w:rsidRDefault="009C7451" w:rsidP="00F326E5">
      <w:pPr>
        <w:pStyle w:val="NoSpacing"/>
        <w:rPr>
          <w:rFonts w:ascii="Arial Black" w:hAnsi="Arial Black"/>
          <w:sz w:val="40"/>
          <w:szCs w:val="40"/>
        </w:rPr>
      </w:pPr>
    </w:p>
    <w:p w14:paraId="0DD1BD7F" w14:textId="77777777" w:rsidR="009C7451" w:rsidRDefault="009C7451" w:rsidP="00F326E5">
      <w:pPr>
        <w:pStyle w:val="NoSpacing"/>
        <w:rPr>
          <w:rFonts w:ascii="Arial Black" w:hAnsi="Arial Black"/>
          <w:sz w:val="40"/>
          <w:szCs w:val="40"/>
        </w:rPr>
      </w:pPr>
    </w:p>
    <w:p w14:paraId="631C1041" w14:textId="77777777" w:rsidR="009C7451" w:rsidRDefault="009C7451" w:rsidP="00F326E5">
      <w:pPr>
        <w:pStyle w:val="NoSpacing"/>
        <w:rPr>
          <w:rFonts w:ascii="Arial Black" w:hAnsi="Arial Black"/>
          <w:sz w:val="40"/>
          <w:szCs w:val="40"/>
        </w:rPr>
      </w:pPr>
    </w:p>
    <w:p w14:paraId="47A0C746" w14:textId="77777777" w:rsidR="009C7451" w:rsidRDefault="009C7451" w:rsidP="00F326E5">
      <w:pPr>
        <w:pStyle w:val="NoSpacing"/>
        <w:rPr>
          <w:rFonts w:ascii="Arial Black" w:hAnsi="Arial Black"/>
          <w:sz w:val="40"/>
          <w:szCs w:val="40"/>
        </w:rPr>
      </w:pPr>
    </w:p>
    <w:p w14:paraId="5526E5C5" w14:textId="77777777" w:rsidR="009C7451" w:rsidRDefault="009C7451" w:rsidP="00F326E5">
      <w:pPr>
        <w:pStyle w:val="NoSpacing"/>
        <w:rPr>
          <w:rFonts w:ascii="Arial Black" w:hAnsi="Arial Black"/>
          <w:sz w:val="40"/>
          <w:szCs w:val="40"/>
        </w:rPr>
      </w:pPr>
    </w:p>
    <w:p w14:paraId="30CE3C1C" w14:textId="77777777" w:rsidR="009C7451" w:rsidRDefault="009C7451" w:rsidP="00F326E5">
      <w:pPr>
        <w:pStyle w:val="NoSpacing"/>
        <w:rPr>
          <w:rFonts w:ascii="Arial Black" w:hAnsi="Arial Black"/>
          <w:sz w:val="40"/>
          <w:szCs w:val="40"/>
        </w:rPr>
      </w:pPr>
    </w:p>
    <w:p w14:paraId="4F6B0655" w14:textId="77777777" w:rsidR="009C7451" w:rsidRDefault="009C7451" w:rsidP="00F326E5">
      <w:pPr>
        <w:pStyle w:val="NoSpacing"/>
        <w:rPr>
          <w:rFonts w:ascii="Arial Black" w:hAnsi="Arial Black"/>
          <w:sz w:val="40"/>
          <w:szCs w:val="40"/>
        </w:rPr>
      </w:pPr>
    </w:p>
    <w:p w14:paraId="17D19CA8" w14:textId="77777777" w:rsidR="009C7451" w:rsidRDefault="009C7451" w:rsidP="00F326E5">
      <w:pPr>
        <w:pStyle w:val="NoSpacing"/>
        <w:rPr>
          <w:rFonts w:ascii="Arial Black" w:hAnsi="Arial Black"/>
          <w:sz w:val="40"/>
          <w:szCs w:val="40"/>
        </w:rPr>
      </w:pPr>
    </w:p>
    <w:p w14:paraId="7154CCB4" w14:textId="77777777" w:rsidR="009C7451" w:rsidRDefault="009C7451" w:rsidP="00F326E5">
      <w:pPr>
        <w:pStyle w:val="NoSpacing"/>
        <w:rPr>
          <w:rFonts w:ascii="Arial Black" w:hAnsi="Arial Black"/>
          <w:sz w:val="40"/>
          <w:szCs w:val="40"/>
        </w:rPr>
      </w:pPr>
    </w:p>
    <w:p w14:paraId="2F56D66B" w14:textId="77777777" w:rsidR="009C7451" w:rsidRDefault="009C7451" w:rsidP="00F326E5">
      <w:pPr>
        <w:pStyle w:val="NoSpacing"/>
        <w:rPr>
          <w:rFonts w:ascii="Arial Black" w:hAnsi="Arial Black"/>
          <w:sz w:val="40"/>
          <w:szCs w:val="40"/>
        </w:rPr>
      </w:pPr>
    </w:p>
    <w:p w14:paraId="2E3BE4DA" w14:textId="77777777" w:rsidR="009C7451" w:rsidRDefault="009C7451" w:rsidP="00F326E5">
      <w:pPr>
        <w:pStyle w:val="NoSpacing"/>
        <w:rPr>
          <w:rFonts w:ascii="Arial Black" w:hAnsi="Arial Black"/>
          <w:sz w:val="40"/>
          <w:szCs w:val="40"/>
        </w:rPr>
      </w:pPr>
    </w:p>
    <w:p w14:paraId="5BC0EAAD" w14:textId="77777777" w:rsidR="009C7451" w:rsidRDefault="009C7451" w:rsidP="00F326E5">
      <w:pPr>
        <w:pStyle w:val="NoSpacing"/>
        <w:rPr>
          <w:rFonts w:ascii="Arial Black" w:hAnsi="Arial Black"/>
          <w:sz w:val="40"/>
          <w:szCs w:val="40"/>
        </w:rPr>
      </w:pPr>
    </w:p>
    <w:p w14:paraId="464DFFF2" w14:textId="77777777" w:rsidR="009C7451" w:rsidRDefault="009C7451" w:rsidP="00F326E5">
      <w:pPr>
        <w:pStyle w:val="NoSpacing"/>
        <w:rPr>
          <w:rFonts w:ascii="Arial Black" w:hAnsi="Arial Black"/>
          <w:sz w:val="40"/>
          <w:szCs w:val="40"/>
        </w:rPr>
      </w:pPr>
    </w:p>
    <w:p w14:paraId="51424D1A" w14:textId="77777777" w:rsidR="009C7451" w:rsidRDefault="009C7451" w:rsidP="00F326E5">
      <w:pPr>
        <w:pStyle w:val="NoSpacing"/>
        <w:rPr>
          <w:rFonts w:ascii="Arial Black" w:hAnsi="Arial Black"/>
          <w:sz w:val="40"/>
          <w:szCs w:val="40"/>
        </w:rPr>
      </w:pPr>
    </w:p>
    <w:p w14:paraId="202F3187" w14:textId="77777777" w:rsidR="009C7451" w:rsidRDefault="009C7451" w:rsidP="00F326E5">
      <w:pPr>
        <w:pStyle w:val="NoSpacing"/>
        <w:rPr>
          <w:rFonts w:ascii="Arial Black" w:hAnsi="Arial Black"/>
          <w:sz w:val="40"/>
          <w:szCs w:val="40"/>
        </w:rPr>
      </w:pPr>
    </w:p>
    <w:p w14:paraId="0934BA7C" w14:textId="77777777" w:rsidR="009C7451" w:rsidRDefault="009C7451" w:rsidP="00F326E5">
      <w:pPr>
        <w:pStyle w:val="NoSpacing"/>
        <w:rPr>
          <w:rFonts w:ascii="Arial Black" w:hAnsi="Arial Black"/>
          <w:sz w:val="40"/>
          <w:szCs w:val="40"/>
        </w:rPr>
      </w:pPr>
    </w:p>
    <w:p w14:paraId="0A0DFF86" w14:textId="77777777" w:rsidR="009C7451" w:rsidRDefault="009C7451" w:rsidP="00F326E5">
      <w:pPr>
        <w:pStyle w:val="NoSpacing"/>
        <w:rPr>
          <w:rFonts w:ascii="Arial Black" w:hAnsi="Arial Black"/>
          <w:sz w:val="40"/>
          <w:szCs w:val="40"/>
        </w:rPr>
      </w:pPr>
    </w:p>
    <w:p w14:paraId="51025726" w14:textId="77777777" w:rsidR="009C7451" w:rsidRDefault="009C7451" w:rsidP="00F326E5">
      <w:pPr>
        <w:pStyle w:val="NoSpacing"/>
        <w:rPr>
          <w:rFonts w:ascii="Arial Black" w:hAnsi="Arial Black"/>
          <w:sz w:val="40"/>
          <w:szCs w:val="40"/>
        </w:rPr>
      </w:pPr>
    </w:p>
    <w:p w14:paraId="6FA0D918" w14:textId="77777777" w:rsidR="009C7451" w:rsidRDefault="009C7451" w:rsidP="00F326E5">
      <w:pPr>
        <w:pStyle w:val="NoSpacing"/>
        <w:rPr>
          <w:rFonts w:ascii="Arial Black" w:hAnsi="Arial Black"/>
          <w:sz w:val="40"/>
          <w:szCs w:val="40"/>
        </w:rPr>
      </w:pPr>
    </w:p>
    <w:p w14:paraId="30BD25B6" w14:textId="77777777" w:rsidR="009C7451" w:rsidRDefault="009C7451" w:rsidP="00F326E5">
      <w:pPr>
        <w:pStyle w:val="NoSpacing"/>
        <w:rPr>
          <w:rFonts w:ascii="Arial Black" w:hAnsi="Arial Black"/>
          <w:sz w:val="40"/>
          <w:szCs w:val="40"/>
        </w:rPr>
      </w:pPr>
    </w:p>
    <w:p w14:paraId="6E045D46" w14:textId="77777777" w:rsidR="009C7451" w:rsidRDefault="009C7451" w:rsidP="00F326E5">
      <w:pPr>
        <w:pStyle w:val="NoSpacing"/>
        <w:rPr>
          <w:rFonts w:ascii="Arial Black" w:hAnsi="Arial Black"/>
          <w:sz w:val="40"/>
          <w:szCs w:val="40"/>
        </w:rPr>
      </w:pPr>
    </w:p>
    <w:p w14:paraId="68CDCF26" w14:textId="77777777" w:rsidR="009C7451" w:rsidRDefault="009C7451" w:rsidP="00F326E5">
      <w:pPr>
        <w:pStyle w:val="NoSpacing"/>
        <w:rPr>
          <w:rFonts w:ascii="Arial Black" w:hAnsi="Arial Black"/>
          <w:sz w:val="40"/>
          <w:szCs w:val="40"/>
        </w:rPr>
      </w:pPr>
    </w:p>
    <w:p w14:paraId="6388F114" w14:textId="77777777" w:rsidR="009C7451" w:rsidRDefault="009C7451" w:rsidP="00F326E5">
      <w:pPr>
        <w:pStyle w:val="NoSpacing"/>
        <w:rPr>
          <w:rFonts w:ascii="Arial Black" w:hAnsi="Arial Black"/>
          <w:sz w:val="40"/>
          <w:szCs w:val="40"/>
        </w:rPr>
      </w:pPr>
    </w:p>
    <w:p w14:paraId="266D0AB2" w14:textId="77777777" w:rsidR="00EC50D5" w:rsidRDefault="00EC50D5" w:rsidP="00F326E5">
      <w:pPr>
        <w:pStyle w:val="NoSpacing"/>
        <w:rPr>
          <w:rFonts w:ascii="Arial Black" w:hAnsi="Arial Black"/>
          <w:sz w:val="40"/>
          <w:szCs w:val="40"/>
        </w:rPr>
      </w:pPr>
    </w:p>
    <w:p w14:paraId="4F33019B" w14:textId="4F2A5789" w:rsidR="00F326E5" w:rsidRDefault="00F326E5" w:rsidP="00F326E5">
      <w:pPr>
        <w:pStyle w:val="NoSpacing"/>
        <w:rPr>
          <w:rFonts w:ascii="Arial Black" w:hAnsi="Arial Black"/>
          <w:sz w:val="40"/>
          <w:szCs w:val="40"/>
        </w:rPr>
      </w:pPr>
      <w:r w:rsidRPr="007732FA">
        <w:rPr>
          <w:rFonts w:ascii="Arial Black" w:hAnsi="Arial Black"/>
          <w:sz w:val="40"/>
          <w:szCs w:val="40"/>
        </w:rPr>
        <w:t>Chap. 10</w:t>
      </w:r>
      <w:r w:rsidRPr="007732FA">
        <w:rPr>
          <w:rFonts w:ascii="Arial Black" w:hAnsi="Arial Black"/>
          <w:sz w:val="40"/>
          <w:szCs w:val="40"/>
        </w:rPr>
        <w:tab/>
        <w:t>Family Medical Leave Act</w:t>
      </w:r>
      <w:r w:rsidR="00321766">
        <w:rPr>
          <w:rFonts w:ascii="Arial Black" w:hAnsi="Arial Black"/>
          <w:sz w:val="40"/>
          <w:szCs w:val="40"/>
        </w:rPr>
        <w:t xml:space="preserve"> </w:t>
      </w:r>
    </w:p>
    <w:p w14:paraId="75D8B036" w14:textId="77777777" w:rsidR="003C2AA4" w:rsidRDefault="003C2AA4" w:rsidP="00E9307E">
      <w:pPr>
        <w:rPr>
          <w:rFonts w:ascii="Arial Black" w:hAnsi="Arial Black"/>
          <w:b/>
          <w:sz w:val="28"/>
          <w:szCs w:val="28"/>
        </w:rPr>
      </w:pPr>
      <w:bookmarkStart w:id="371" w:name="_Hlk36108763"/>
    </w:p>
    <w:p w14:paraId="681702F5" w14:textId="7130BD3D" w:rsidR="00647EAC" w:rsidRPr="006D28DE" w:rsidRDefault="00647EAC" w:rsidP="00E9307E">
      <w:pPr>
        <w:rPr>
          <w:rFonts w:ascii="Times New Roman" w:hAnsi="Times New Roman"/>
          <w:bCs/>
          <w:sz w:val="24"/>
          <w:szCs w:val="24"/>
        </w:rPr>
      </w:pPr>
      <w:r>
        <w:rPr>
          <w:rFonts w:ascii="Arial Black" w:hAnsi="Arial Black"/>
          <w:b/>
          <w:sz w:val="28"/>
          <w:szCs w:val="28"/>
        </w:rPr>
        <w:t>10-13</w:t>
      </w:r>
      <w:r w:rsidR="006D28DE">
        <w:rPr>
          <w:rFonts w:ascii="Arial Black" w:hAnsi="Arial Black"/>
          <w:b/>
          <w:sz w:val="28"/>
          <w:szCs w:val="28"/>
        </w:rPr>
        <w:t xml:space="preserve"> </w:t>
      </w:r>
      <w:r w:rsidR="006D28DE">
        <w:rPr>
          <w:rFonts w:ascii="Times New Roman" w:hAnsi="Times New Roman"/>
          <w:bCs/>
          <w:sz w:val="24"/>
          <w:szCs w:val="24"/>
        </w:rPr>
        <w:t>[also filed, Chap 9 -ADA ; Chap. 15 – Mental Health]</w:t>
      </w:r>
    </w:p>
    <w:p w14:paraId="54C7D6A8" w14:textId="77777777" w:rsidR="00647EAC" w:rsidRPr="00FC582A" w:rsidRDefault="00647EAC" w:rsidP="00647EAC">
      <w:pPr>
        <w:pStyle w:val="NoSpacing"/>
        <w:rPr>
          <w:rFonts w:ascii="Arial Black" w:hAnsi="Arial Black"/>
          <w:sz w:val="28"/>
          <w:szCs w:val="28"/>
        </w:rPr>
      </w:pPr>
      <w:r>
        <w:rPr>
          <w:rFonts w:ascii="Arial Black" w:hAnsi="Arial Black"/>
          <w:sz w:val="28"/>
          <w:szCs w:val="28"/>
        </w:rPr>
        <w:t>SC: MEDIC PTSD – DIDN’T INTERVIEW FOR BILLING JOB</w:t>
      </w:r>
    </w:p>
    <w:p w14:paraId="1182D283" w14:textId="77777777" w:rsidR="00647EAC" w:rsidRDefault="00647EAC" w:rsidP="00647EAC">
      <w:pPr>
        <w:pStyle w:val="NoSpacing"/>
        <w:ind w:left="720"/>
      </w:pPr>
    </w:p>
    <w:p w14:paraId="62D29925" w14:textId="77777777" w:rsidR="00647EAC" w:rsidRDefault="00647EAC" w:rsidP="00647EAC">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1776" w:history="1">
        <w:r w:rsidRPr="007B3445">
          <w:rPr>
            <w:rStyle w:val="Hyperlink"/>
          </w:rPr>
          <w:t>https://cases.justia.com/federal/district-courts/south-carolina/scdce/0:2024cv00826/288831/46/0.pdf</w:t>
        </w:r>
      </w:hyperlink>
      <w:r>
        <w:t xml:space="preserve"> </w:t>
      </w:r>
    </w:p>
    <w:p w14:paraId="444A0B10" w14:textId="77777777" w:rsidR="00647EAC" w:rsidRDefault="00647EAC" w:rsidP="00647EAC">
      <w:pPr>
        <w:pStyle w:val="NoSpacing"/>
        <w:rPr>
          <w:bCs/>
        </w:rPr>
      </w:pPr>
    </w:p>
    <w:p w14:paraId="679750DB" w14:textId="77777777" w:rsidR="00647EAC" w:rsidRDefault="00647EAC" w:rsidP="00647EAC">
      <w:pPr>
        <w:pStyle w:val="NoSpacing"/>
        <w:rPr>
          <w:bCs/>
        </w:rPr>
      </w:pPr>
      <w:r>
        <w:t xml:space="preserve">THE COURT HELD: </w:t>
      </w:r>
    </w:p>
    <w:p w14:paraId="3305DEEA" w14:textId="77777777" w:rsidR="00647EAC" w:rsidRDefault="00647EAC" w:rsidP="00647EAC">
      <w:pPr>
        <w:pStyle w:val="NoSpacing"/>
        <w:rPr>
          <w:bCs/>
        </w:rPr>
      </w:pPr>
    </w:p>
    <w:p w14:paraId="03458C6E" w14:textId="77777777" w:rsidR="00647EAC" w:rsidRDefault="00647EAC" w:rsidP="00647EAC">
      <w:pPr>
        <w:pStyle w:val="NoSpacing"/>
        <w:ind w:firstLine="720"/>
      </w:pPr>
      <w:r>
        <w:t>“Plaintiff was employed by Chester County in its Emergency Medical Services (‘EMS’)</w:t>
      </w:r>
    </w:p>
    <w:p w14:paraId="1E290E23" w14:textId="77777777" w:rsidR="00647EAC" w:rsidRDefault="00647EAC" w:rsidP="00647EAC">
      <w:pPr>
        <w:pStyle w:val="NoSpacing"/>
        <w:ind w:left="720"/>
      </w:pPr>
      <w:r>
        <w:t xml:space="preserve">department from May 2016 until January 2023….He was promoted to Senior Paramedic on December 4, 2021…. An essential function of the Senior Paramedic was operation of an ambulance. </w:t>
      </w:r>
    </w:p>
    <w:p w14:paraId="281014B5" w14:textId="77777777" w:rsidR="00647EAC" w:rsidRDefault="00647EAC" w:rsidP="00647EAC">
      <w:pPr>
        <w:pStyle w:val="NoSpacing"/>
        <w:ind w:left="720"/>
      </w:pPr>
    </w:p>
    <w:p w14:paraId="0BF732E2" w14:textId="77777777" w:rsidR="00647EAC" w:rsidRDefault="00647EAC" w:rsidP="00647EAC">
      <w:pPr>
        <w:pStyle w:val="NoSpacing"/>
        <w:ind w:left="720"/>
      </w:pPr>
      <w:r>
        <w:t>***</w:t>
      </w:r>
    </w:p>
    <w:p w14:paraId="2567B463" w14:textId="77777777" w:rsidR="00647EAC" w:rsidRDefault="00647EAC" w:rsidP="00647EAC">
      <w:pPr>
        <w:pStyle w:val="NoSpacing"/>
      </w:pPr>
    </w:p>
    <w:p w14:paraId="167FFADB" w14:textId="77777777" w:rsidR="00647EAC" w:rsidRDefault="00647EAC" w:rsidP="00647EAC">
      <w:pPr>
        <w:pStyle w:val="NoSpacing"/>
        <w:ind w:firstLine="720"/>
      </w:pPr>
      <w:r>
        <w:t xml:space="preserve">Plaintiff was </w:t>
      </w:r>
      <w:proofErr w:type="gramStart"/>
      <w:r>
        <w:t>provided</w:t>
      </w:r>
      <w:proofErr w:type="gramEnd"/>
      <w:r>
        <w:t xml:space="preserve"> the opportunity to apply and interview for the billing specialist</w:t>
      </w:r>
    </w:p>
    <w:p w14:paraId="46C76293" w14:textId="77777777" w:rsidR="00647EAC" w:rsidRDefault="00647EAC" w:rsidP="00647EAC">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6A1D7206" w14:textId="77777777" w:rsidR="00647EAC" w:rsidRDefault="00647EAC" w:rsidP="00647EAC">
      <w:pPr>
        <w:pStyle w:val="NoSpacing"/>
        <w:ind w:left="720"/>
      </w:pPr>
    </w:p>
    <w:p w14:paraId="06AC3B1B" w14:textId="77777777" w:rsidR="00647EAC" w:rsidRDefault="00647EAC" w:rsidP="00647EAC">
      <w:pPr>
        <w:pStyle w:val="NoSpacing"/>
        <w:ind w:left="720"/>
      </w:pPr>
      <w:r>
        <w:t>***</w:t>
      </w:r>
    </w:p>
    <w:p w14:paraId="18643601" w14:textId="77777777" w:rsidR="00647EAC" w:rsidRDefault="00647EAC" w:rsidP="00647EAC">
      <w:pPr>
        <w:pStyle w:val="NoSpacing"/>
      </w:pPr>
    </w:p>
    <w:p w14:paraId="57788ADF" w14:textId="77777777" w:rsidR="00647EAC" w:rsidRDefault="00647EAC" w:rsidP="00647EAC">
      <w:pPr>
        <w:pStyle w:val="NoSpacing"/>
        <w:ind w:firstLine="720"/>
      </w:pPr>
      <w:r>
        <w:t>To make out an FMLA interference claim, an employee must demonstrate he was entitled</w:t>
      </w:r>
    </w:p>
    <w:p w14:paraId="467463EE" w14:textId="77777777" w:rsidR="00647EAC" w:rsidRDefault="00647EAC" w:rsidP="00647EAC">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7A2A6FE8" w14:textId="77777777" w:rsidR="00647EAC" w:rsidRDefault="00647EAC" w:rsidP="00647EAC">
      <w:pPr>
        <w:pStyle w:val="NoSpacing"/>
        <w:ind w:left="720"/>
      </w:pPr>
    </w:p>
    <w:p w14:paraId="49141E4D" w14:textId="77777777" w:rsidR="00647EAC" w:rsidRPr="00E35214" w:rsidRDefault="00647EAC" w:rsidP="00647EAC">
      <w:pPr>
        <w:pStyle w:val="NoSpacing"/>
        <w:rPr>
          <w:b/>
          <w:bCs/>
        </w:rPr>
      </w:pPr>
      <w:r>
        <w:rPr>
          <w:b/>
        </w:rPr>
        <w:t xml:space="preserve">Legal lesson learned:  Plaintiff’s supervisors went out of their way to assist the paramedic. </w:t>
      </w:r>
    </w:p>
    <w:p w14:paraId="23DB561A" w14:textId="77777777" w:rsidR="00647EAC" w:rsidRDefault="00647EAC" w:rsidP="00647EAC">
      <w:pPr>
        <w:pStyle w:val="NoSpacing"/>
      </w:pPr>
    </w:p>
    <w:p w14:paraId="1B9240AC" w14:textId="77777777" w:rsidR="00647EAC" w:rsidRDefault="00647EAC" w:rsidP="00E9307E">
      <w:pPr>
        <w:rPr>
          <w:rFonts w:ascii="Arial Black" w:hAnsi="Arial Black"/>
          <w:b/>
          <w:sz w:val="28"/>
          <w:szCs w:val="28"/>
        </w:rPr>
      </w:pPr>
    </w:p>
    <w:p w14:paraId="0E5DB805" w14:textId="77777777" w:rsidR="00647EAC" w:rsidRDefault="00647EAC" w:rsidP="00E9307E">
      <w:pPr>
        <w:rPr>
          <w:rFonts w:ascii="Arial Black" w:hAnsi="Arial Black"/>
          <w:b/>
          <w:sz w:val="28"/>
          <w:szCs w:val="28"/>
        </w:rPr>
      </w:pPr>
    </w:p>
    <w:p w14:paraId="3023BAC7" w14:textId="77777777" w:rsidR="00647EAC" w:rsidRDefault="00647EAC" w:rsidP="00E9307E">
      <w:pPr>
        <w:rPr>
          <w:rFonts w:ascii="Arial Black" w:hAnsi="Arial Black"/>
          <w:b/>
          <w:sz w:val="28"/>
          <w:szCs w:val="28"/>
        </w:rPr>
      </w:pPr>
    </w:p>
    <w:p w14:paraId="5CDCDC01" w14:textId="3C695662" w:rsidR="00113D38" w:rsidRDefault="00113D38" w:rsidP="00E9307E">
      <w:pPr>
        <w:rPr>
          <w:rFonts w:ascii="Arial Black" w:hAnsi="Arial Black"/>
          <w:b/>
          <w:sz w:val="28"/>
          <w:szCs w:val="28"/>
        </w:rPr>
      </w:pPr>
      <w:r>
        <w:rPr>
          <w:rFonts w:ascii="Arial Black" w:hAnsi="Arial Black"/>
          <w:b/>
          <w:sz w:val="28"/>
          <w:szCs w:val="28"/>
        </w:rPr>
        <w:t>10-1</w:t>
      </w:r>
      <w:r w:rsidR="00B13773">
        <w:rPr>
          <w:rFonts w:ascii="Arial Black" w:hAnsi="Arial Black"/>
          <w:b/>
          <w:sz w:val="28"/>
          <w:szCs w:val="28"/>
        </w:rPr>
        <w:t>2</w:t>
      </w:r>
    </w:p>
    <w:p w14:paraId="659BDF9E" w14:textId="32E82339" w:rsidR="00BD4978" w:rsidRPr="003C3EA4" w:rsidRDefault="00BD4978" w:rsidP="00BD4978">
      <w:pPr>
        <w:pStyle w:val="NoSpacing"/>
        <w:rPr>
          <w:rFonts w:ascii="Arial Black" w:hAnsi="Arial Black"/>
          <w:b/>
          <w:sz w:val="28"/>
          <w:szCs w:val="28"/>
        </w:rPr>
      </w:pPr>
      <w:r>
        <w:rPr>
          <w:rFonts w:ascii="Arial Black" w:hAnsi="Arial Black"/>
          <w:b/>
          <w:sz w:val="28"/>
          <w:szCs w:val="28"/>
        </w:rPr>
        <w:t>TN: NO FMLA VIOL – ALCOHOL</w:t>
      </w:r>
      <w:r w:rsidR="00656FDD">
        <w:rPr>
          <w:rFonts w:ascii="Arial Black" w:hAnsi="Arial Black"/>
          <w:b/>
          <w:sz w:val="28"/>
          <w:szCs w:val="28"/>
        </w:rPr>
        <w:t xml:space="preserve"> / </w:t>
      </w:r>
      <w:r w:rsidR="00A132BA">
        <w:rPr>
          <w:rFonts w:ascii="Arial Black" w:hAnsi="Arial Black"/>
          <w:b/>
          <w:sz w:val="28"/>
          <w:szCs w:val="28"/>
        </w:rPr>
        <w:t>MISSED RUN</w:t>
      </w:r>
      <w:r>
        <w:rPr>
          <w:rFonts w:ascii="Arial Black" w:hAnsi="Arial Black"/>
          <w:b/>
          <w:sz w:val="28"/>
          <w:szCs w:val="28"/>
        </w:rPr>
        <w:t xml:space="preserve"> - RESIGNED </w:t>
      </w:r>
    </w:p>
    <w:p w14:paraId="27DEA510" w14:textId="77777777" w:rsidR="00BD4978" w:rsidRDefault="00BD4978" w:rsidP="00BD4978">
      <w:pPr>
        <w:pStyle w:val="NoSpacing"/>
        <w:rPr>
          <w:b/>
        </w:rPr>
      </w:pPr>
    </w:p>
    <w:p w14:paraId="10BB7CCF" w14:textId="139135A3" w:rsidR="001C33D3" w:rsidRPr="001C33D3" w:rsidRDefault="001C33D3" w:rsidP="001C33D3">
      <w:pPr>
        <w:pStyle w:val="NoSpacing"/>
        <w:rPr>
          <w:rFonts w:ascii="Times New Roman" w:hAnsi="Times New Roman"/>
          <w:bCs/>
          <w:sz w:val="24"/>
          <w:szCs w:val="24"/>
        </w:rPr>
      </w:pPr>
      <w:r w:rsidRPr="001C33D3">
        <w:rPr>
          <w:rFonts w:ascii="Times New Roman" w:hAnsi="Times New Roman"/>
          <w:sz w:val="24"/>
          <w:szCs w:val="24"/>
        </w:rPr>
        <w:t xml:space="preserve">On Dec. 9, 2024, in </w:t>
      </w:r>
      <w:r w:rsidRPr="001C33D3">
        <w:rPr>
          <w:rFonts w:ascii="Times New Roman" w:hAnsi="Times New Roman"/>
          <w:sz w:val="24"/>
          <w:szCs w:val="24"/>
          <w:u w:val="single"/>
        </w:rPr>
        <w:t>Justin Gilbert v. City of Newport</w:t>
      </w:r>
      <w:r w:rsidRPr="001C33D3">
        <w:rPr>
          <w:rFonts w:ascii="Times New Roman" w:hAnsi="Times New Roman"/>
          <w:sz w:val="24"/>
          <w:szCs w:val="24"/>
        </w:rPr>
        <w:t>, United States District  Court Judge Thomas A. Varlan, U.S. District Court for Eastern District of Tennessee, held that the firefighter’s lawsuit is dismissed.  On June 11, 2021, plaintiff removed items belonging to Eric Herndon, a NFD battalion chief from a workplace locker and placed them on the tailboard of a fire truck; he received a written reprimand.   He took FMLA for alcohol treatment</w:t>
      </w:r>
      <w:r w:rsidR="00A132BA">
        <w:rPr>
          <w:rFonts w:ascii="Times New Roman" w:hAnsi="Times New Roman"/>
          <w:sz w:val="24"/>
          <w:szCs w:val="24"/>
        </w:rPr>
        <w:t xml:space="preserve"> </w:t>
      </w:r>
      <w:r w:rsidRPr="001C33D3">
        <w:rPr>
          <w:rFonts w:ascii="Times New Roman" w:hAnsi="Times New Roman"/>
          <w:sz w:val="24"/>
          <w:szCs w:val="24"/>
        </w:rPr>
        <w:t xml:space="preserve">and then returned to duty. On September 21, 2021, NFD received a call for a structure fire while plaintiff was experiencing alcohol withdrawal symptoms, </w:t>
      </w:r>
      <w:proofErr w:type="gramStart"/>
      <w:r w:rsidRPr="001C33D3">
        <w:rPr>
          <w:rFonts w:ascii="Times New Roman" w:hAnsi="Times New Roman"/>
          <w:sz w:val="24"/>
          <w:szCs w:val="24"/>
        </w:rPr>
        <w:t>plaintiff</w:t>
      </w:r>
      <w:proofErr w:type="gramEnd"/>
      <w:r w:rsidRPr="001C33D3">
        <w:rPr>
          <w:rFonts w:ascii="Times New Roman" w:hAnsi="Times New Roman"/>
          <w:sz w:val="24"/>
          <w:szCs w:val="24"/>
        </w:rPr>
        <w:t xml:space="preserve"> missed the fire truck pulling out of the station. He drove a secondary truck to the scene of the fire where he confronted a coworker, using aggressive and demeaning language.  </w:t>
      </w:r>
      <w:hyperlink r:id="rId1777" w:history="1">
        <w:r w:rsidRPr="001C33D3">
          <w:rPr>
            <w:rStyle w:val="Hyperlink"/>
            <w:rFonts w:ascii="Times New Roman" w:hAnsi="Times New Roman"/>
            <w:sz w:val="24"/>
            <w:szCs w:val="24"/>
          </w:rPr>
          <w:t>https://casetext.com/case/gilbert-v-city-of-newport</w:t>
        </w:r>
      </w:hyperlink>
      <w:r w:rsidRPr="001C33D3">
        <w:rPr>
          <w:rFonts w:ascii="Times New Roman" w:hAnsi="Times New Roman"/>
          <w:sz w:val="24"/>
          <w:szCs w:val="24"/>
        </w:rPr>
        <w:t xml:space="preserve"> </w:t>
      </w:r>
    </w:p>
    <w:p w14:paraId="007E2B4F" w14:textId="77777777" w:rsidR="001C33D3" w:rsidRPr="001C33D3" w:rsidRDefault="001C33D3" w:rsidP="00BD4978">
      <w:pPr>
        <w:pStyle w:val="NoSpacing"/>
        <w:rPr>
          <w:rFonts w:ascii="Times New Roman" w:hAnsi="Times New Roman"/>
          <w:sz w:val="24"/>
          <w:szCs w:val="24"/>
        </w:rPr>
      </w:pPr>
    </w:p>
    <w:p w14:paraId="236F2989" w14:textId="5A909EB0" w:rsidR="00BD4978" w:rsidRPr="00BD4978" w:rsidRDefault="00BD4978" w:rsidP="00BD4978">
      <w:pPr>
        <w:pStyle w:val="NoSpacing"/>
        <w:rPr>
          <w:rFonts w:ascii="Times New Roman" w:hAnsi="Times New Roman"/>
          <w:sz w:val="24"/>
          <w:szCs w:val="24"/>
        </w:rPr>
      </w:pPr>
      <w:r w:rsidRPr="00BD4978">
        <w:rPr>
          <w:rFonts w:ascii="Times New Roman" w:hAnsi="Times New Roman"/>
          <w:sz w:val="24"/>
          <w:szCs w:val="24"/>
        </w:rPr>
        <w:t xml:space="preserve">The Court wrote:  </w:t>
      </w:r>
    </w:p>
    <w:p w14:paraId="7A99349F" w14:textId="77777777" w:rsidR="00BD4978" w:rsidRPr="00BD4978" w:rsidRDefault="00BD4978" w:rsidP="00BD4978">
      <w:pPr>
        <w:pStyle w:val="NoSpacing"/>
        <w:rPr>
          <w:rFonts w:ascii="Times New Roman" w:hAnsi="Times New Roman"/>
          <w:sz w:val="24"/>
          <w:szCs w:val="24"/>
        </w:rPr>
      </w:pPr>
    </w:p>
    <w:p w14:paraId="5824AFBC" w14:textId="7B1F6515" w:rsidR="00113D38" w:rsidRPr="00BD4978" w:rsidRDefault="00BD4978" w:rsidP="00BD4978">
      <w:pPr>
        <w:ind w:left="720"/>
        <w:rPr>
          <w:rFonts w:ascii="Times New Roman" w:hAnsi="Times New Roman"/>
          <w:b/>
          <w:sz w:val="24"/>
          <w:szCs w:val="24"/>
        </w:rPr>
      </w:pPr>
      <w:r w:rsidRPr="00BD4978">
        <w:rPr>
          <w:rFonts w:ascii="Times New Roman" w:hAnsi="Times New Roman"/>
          <w:sz w:val="24"/>
          <w:szCs w:val="24"/>
        </w:rPr>
        <w:t>“Neither of plaintiff's FMLA theories survive summary judgment. Assuming without deciding that plaintiff could prove that he was constructively discharged (</w:t>
      </w:r>
      <w:r w:rsidRPr="00BD4978">
        <w:rPr>
          <w:rFonts w:ascii="Times New Roman" w:hAnsi="Times New Roman"/>
          <w:i/>
          <w:iCs/>
          <w:sz w:val="24"/>
          <w:szCs w:val="24"/>
        </w:rPr>
        <w:t xml:space="preserve">see </w:t>
      </w:r>
      <w:proofErr w:type="gramStart"/>
      <w:r w:rsidRPr="00BD4978">
        <w:rPr>
          <w:rFonts w:ascii="Times New Roman" w:hAnsi="Times New Roman"/>
          <w:i/>
          <w:iCs/>
          <w:sz w:val="24"/>
          <w:szCs w:val="24"/>
        </w:rPr>
        <w:t>supra</w:t>
      </w:r>
      <w:r w:rsidRPr="00BD4978">
        <w:rPr>
          <w:rFonts w:ascii="Times New Roman" w:hAnsi="Times New Roman"/>
          <w:sz w:val="24"/>
          <w:szCs w:val="24"/>
        </w:rPr>
        <w:t xml:space="preserve"> Section III</w:t>
      </w:r>
      <w:proofErr w:type="gramEnd"/>
      <w:r w:rsidRPr="00BD4978">
        <w:rPr>
          <w:rFonts w:ascii="Times New Roman" w:hAnsi="Times New Roman"/>
          <w:sz w:val="24"/>
          <w:szCs w:val="24"/>
        </w:rPr>
        <w:t xml:space="preserve">(a)(1)), plaintiff's FMLA interference claim fails for the same reason as his ADA accommodation claim: the leave at issue was requested on September 14, 2021, after his terminable conduct. Therefore, defendant was not obligated to provide leave to an employee who was no longer deemed eligible for his position.”  </w:t>
      </w:r>
    </w:p>
    <w:p w14:paraId="3FF4194C" w14:textId="77777777" w:rsidR="00EB30E7" w:rsidRPr="00EB30E7" w:rsidRDefault="00EB30E7" w:rsidP="00EB30E7">
      <w:pPr>
        <w:pStyle w:val="NoSpacing"/>
        <w:rPr>
          <w:rFonts w:ascii="Times New Roman" w:hAnsi="Times New Roman"/>
          <w:bCs/>
          <w:sz w:val="24"/>
          <w:szCs w:val="24"/>
        </w:rPr>
      </w:pPr>
      <w:r w:rsidRPr="00EB30E7">
        <w:rPr>
          <w:rFonts w:ascii="Times New Roman" w:hAnsi="Times New Roman"/>
          <w:sz w:val="24"/>
          <w:szCs w:val="24"/>
        </w:rPr>
        <w:t xml:space="preserve">HOLDING: </w:t>
      </w:r>
    </w:p>
    <w:p w14:paraId="127B3F1F" w14:textId="77777777" w:rsidR="00EB30E7" w:rsidRPr="00EB30E7" w:rsidRDefault="00EB30E7" w:rsidP="00EB30E7">
      <w:pPr>
        <w:pStyle w:val="NoSpacing"/>
        <w:rPr>
          <w:rFonts w:ascii="Times New Roman" w:hAnsi="Times New Roman"/>
          <w:bCs/>
          <w:sz w:val="24"/>
          <w:szCs w:val="24"/>
        </w:rPr>
      </w:pPr>
    </w:p>
    <w:p w14:paraId="1D3138D1"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“After carefully reviewing the parties' evidence, the Court finds that while plaintiff has established a prima facie case of discriminatory termination in violation of the ADA, no reasonable jury could find that defendant's cited basis for plaintiff's termination was pretextual.</w:t>
      </w:r>
    </w:p>
    <w:p w14:paraId="045D7861" w14:textId="77777777" w:rsidR="00EB30E7" w:rsidRPr="00EB30E7" w:rsidRDefault="00EB30E7" w:rsidP="00EB30E7">
      <w:pPr>
        <w:pStyle w:val="NoSpacing"/>
        <w:ind w:left="720"/>
        <w:rPr>
          <w:rFonts w:ascii="Times New Roman" w:hAnsi="Times New Roman"/>
          <w:bCs/>
          <w:sz w:val="24"/>
          <w:szCs w:val="24"/>
        </w:rPr>
      </w:pPr>
    </w:p>
    <w:p w14:paraId="10DFDB89"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w:t>
      </w:r>
    </w:p>
    <w:p w14:paraId="76F5D661"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 xml:space="preserve">If anything, the timing of these texts undermines plaintiff's position because they show the difficulty his misconduct caused for co-workers who, at that time, had no knowledge of his disabilities. And plaintiff does not dispute that he engaged in misconduct that led to Shelton's recommendation that he be terminated; accordingly, there is no dispute of material fact as to NFD's legitimate non-discriminatory basis for plaintiff's termination. Having already conceded the first method for rebutting defendant's justification under </w:t>
      </w:r>
      <w:r w:rsidRPr="00EB30E7">
        <w:rPr>
          <w:rFonts w:ascii="Times New Roman" w:hAnsi="Times New Roman"/>
          <w:i/>
          <w:iCs/>
          <w:sz w:val="24"/>
          <w:szCs w:val="24"/>
        </w:rPr>
        <w:t>Kocsis</w:t>
      </w:r>
      <w:r w:rsidRPr="00EB30E7">
        <w:rPr>
          <w:rFonts w:ascii="Times New Roman" w:hAnsi="Times New Roman"/>
          <w:sz w:val="24"/>
          <w:szCs w:val="24"/>
        </w:rPr>
        <w:t>, plaintiff has not presented evidence to create a dispute of fact as to whether defendant's ‘proffered reasons did not actually motivate the action; or [] that they were insufficient to motivate the action.</w:t>
      </w:r>
      <w:hyperlink r:id="rId1778" w:anchor="p883" w:history="1">
        <w:r w:rsidRPr="00EB30E7">
          <w:rPr>
            <w:rStyle w:val="Hyperlink"/>
            <w:rFonts w:ascii="Times New Roman" w:hAnsi="Times New Roman"/>
            <w:sz w:val="24"/>
            <w:szCs w:val="24"/>
          </w:rPr>
          <w:t>97 F.3d at 883</w:t>
        </w:r>
      </w:hyperlink>
      <w:r w:rsidRPr="00EB30E7">
        <w:rPr>
          <w:rFonts w:ascii="Times New Roman" w:hAnsi="Times New Roman"/>
          <w:sz w:val="24"/>
          <w:szCs w:val="24"/>
        </w:rPr>
        <w:t>.”</w:t>
      </w:r>
    </w:p>
    <w:p w14:paraId="502E4F9B" w14:textId="77777777" w:rsidR="00EB30E7" w:rsidRPr="00EB30E7" w:rsidRDefault="00EB30E7" w:rsidP="00EB30E7">
      <w:pPr>
        <w:pStyle w:val="NoSpacing"/>
        <w:rPr>
          <w:rFonts w:ascii="Times New Roman" w:hAnsi="Times New Roman"/>
          <w:b/>
          <w:sz w:val="24"/>
          <w:szCs w:val="24"/>
        </w:rPr>
      </w:pPr>
    </w:p>
    <w:p w14:paraId="1BB0DDA1" w14:textId="77777777" w:rsidR="00EB30E7" w:rsidRPr="00EB30E7" w:rsidRDefault="00EB30E7" w:rsidP="00EB30E7">
      <w:pPr>
        <w:pStyle w:val="NoSpacing"/>
        <w:rPr>
          <w:rFonts w:ascii="Times New Roman" w:hAnsi="Times New Roman"/>
          <w:b/>
          <w:sz w:val="24"/>
          <w:szCs w:val="24"/>
        </w:rPr>
      </w:pPr>
      <w:r w:rsidRPr="00EB30E7">
        <w:rPr>
          <w:rFonts w:ascii="Times New Roman" w:hAnsi="Times New Roman"/>
          <w:b/>
          <w:sz w:val="24"/>
          <w:szCs w:val="24"/>
        </w:rPr>
        <w:t xml:space="preserve">Legal Lesson Learned: Employer has no obligation to offer additional FMLA to an employee facing termination. </w:t>
      </w:r>
    </w:p>
    <w:p w14:paraId="6B3327AD" w14:textId="77777777" w:rsidR="00EB30E7" w:rsidRPr="00EB30E7" w:rsidRDefault="00EB30E7" w:rsidP="00EB30E7">
      <w:pPr>
        <w:pStyle w:val="NoSpacing"/>
        <w:rPr>
          <w:rFonts w:ascii="Times New Roman" w:hAnsi="Times New Roman"/>
          <w:bCs/>
          <w:sz w:val="24"/>
          <w:szCs w:val="24"/>
        </w:rPr>
      </w:pPr>
    </w:p>
    <w:p w14:paraId="7B03BD24" w14:textId="77777777" w:rsidR="00113D38" w:rsidRPr="00EB30E7" w:rsidRDefault="00113D38" w:rsidP="00E9307E">
      <w:pPr>
        <w:rPr>
          <w:rFonts w:ascii="Times New Roman" w:hAnsi="Times New Roman"/>
          <w:b/>
          <w:sz w:val="24"/>
          <w:szCs w:val="24"/>
        </w:rPr>
      </w:pPr>
    </w:p>
    <w:p w14:paraId="0878E3AE" w14:textId="77777777" w:rsidR="00113D38" w:rsidRDefault="00113D38" w:rsidP="00E9307E">
      <w:pPr>
        <w:rPr>
          <w:rFonts w:ascii="Arial Black" w:hAnsi="Arial Black"/>
          <w:b/>
          <w:sz w:val="28"/>
          <w:szCs w:val="28"/>
        </w:rPr>
      </w:pPr>
    </w:p>
    <w:p w14:paraId="46845826" w14:textId="2BDC65CB" w:rsidR="006A13EA" w:rsidRDefault="006A13EA" w:rsidP="00E9307E">
      <w:pPr>
        <w:rPr>
          <w:rFonts w:ascii="Arial Black" w:hAnsi="Arial Black"/>
          <w:b/>
          <w:sz w:val="28"/>
          <w:szCs w:val="28"/>
        </w:rPr>
      </w:pPr>
      <w:r>
        <w:rPr>
          <w:rFonts w:ascii="Arial Black" w:hAnsi="Arial Black"/>
          <w:b/>
          <w:sz w:val="28"/>
          <w:szCs w:val="28"/>
        </w:rPr>
        <w:t>10-1</w:t>
      </w:r>
      <w:r w:rsidR="00B13773">
        <w:rPr>
          <w:rFonts w:ascii="Arial Black" w:hAnsi="Arial Black"/>
          <w:b/>
          <w:sz w:val="28"/>
          <w:szCs w:val="28"/>
        </w:rPr>
        <w:t>1</w:t>
      </w:r>
    </w:p>
    <w:p w14:paraId="6DE23C0B" w14:textId="20209B42" w:rsidR="006A13EA" w:rsidRPr="00A708BF" w:rsidRDefault="006A13EA" w:rsidP="006A13EA">
      <w:pPr>
        <w:pStyle w:val="NoSpacing"/>
        <w:rPr>
          <w:rFonts w:ascii="Arial Black" w:hAnsi="Arial Black"/>
          <w:sz w:val="28"/>
          <w:szCs w:val="28"/>
        </w:rPr>
      </w:pPr>
      <w:r>
        <w:rPr>
          <w:rFonts w:ascii="Arial Black" w:hAnsi="Arial Black"/>
          <w:sz w:val="28"/>
          <w:szCs w:val="28"/>
        </w:rPr>
        <w:t>CT: MEDIC SUPERVISOR – BACK INJURY –MISSED WORK - FIRED</w:t>
      </w:r>
    </w:p>
    <w:p w14:paraId="1B267619" w14:textId="77777777" w:rsidR="006A13EA" w:rsidRDefault="006A13EA" w:rsidP="006A13EA">
      <w:pPr>
        <w:pStyle w:val="NoSpacing"/>
        <w:rPr>
          <w:rFonts w:ascii="Times New Roman" w:hAnsi="Times New Roman"/>
          <w:sz w:val="24"/>
          <w:szCs w:val="24"/>
        </w:rPr>
      </w:pPr>
    </w:p>
    <w:p w14:paraId="2D8D598D" w14:textId="33535CEC" w:rsidR="006A13EA" w:rsidRDefault="006A13EA" w:rsidP="006A13EA">
      <w:pPr>
        <w:pStyle w:val="NoSpacing"/>
        <w:rPr>
          <w:rFonts w:ascii="Times New Roman" w:hAnsi="Times New Roman"/>
          <w:sz w:val="24"/>
          <w:szCs w:val="24"/>
        </w:rPr>
      </w:pPr>
      <w:r>
        <w:rPr>
          <w:rFonts w:ascii="Times New Roman" w:hAnsi="Times New Roman"/>
          <w:sz w:val="24"/>
          <w:szCs w:val="24"/>
        </w:rPr>
        <w:t xml:space="preserve">On Feb. 23, 2024, in </w:t>
      </w:r>
      <w:r w:rsidRPr="00722030">
        <w:rPr>
          <w:rFonts w:ascii="Times New Roman" w:hAnsi="Times New Roman"/>
          <w:sz w:val="24"/>
          <w:szCs w:val="24"/>
          <w:u w:val="single"/>
        </w:rPr>
        <w:t>Robert Larose v. American Medical Response of Connecticut</w:t>
      </w:r>
      <w:r>
        <w:rPr>
          <w:rFonts w:ascii="Times New Roman" w:hAnsi="Times New Roman"/>
          <w:sz w:val="24"/>
          <w:szCs w:val="24"/>
        </w:rPr>
        <w:t xml:space="preserve">, United States District Court Judge Vernon D. Oliver, U.S. District Court for District of Connecticut, granted the defense motion for summary judgment on ADA and FMLA claims.  After numerous leaves of absence, he returned to work as part-time per diem </w:t>
      </w:r>
      <w:proofErr w:type="gramStart"/>
      <w:r>
        <w:rPr>
          <w:rFonts w:ascii="Times New Roman" w:hAnsi="Times New Roman"/>
          <w:sz w:val="24"/>
          <w:szCs w:val="24"/>
        </w:rPr>
        <w:t>medic, but</w:t>
      </w:r>
      <w:proofErr w:type="gramEnd"/>
      <w:r>
        <w:rPr>
          <w:rFonts w:ascii="Times New Roman" w:hAnsi="Times New Roman"/>
          <w:sz w:val="24"/>
          <w:szCs w:val="24"/>
        </w:rPr>
        <w:t xml:space="preserve"> failed to work the required one shift per week. </w:t>
      </w:r>
      <w:r w:rsidR="00AE2AF4">
        <w:rPr>
          <w:rFonts w:ascii="Times New Roman" w:hAnsi="Times New Roman"/>
          <w:sz w:val="24"/>
          <w:szCs w:val="24"/>
        </w:rPr>
        <w:t xml:space="preserve"> </w:t>
      </w:r>
      <w:hyperlink r:id="rId1779" w:history="1">
        <w:r w:rsidR="00AE2AF4" w:rsidRPr="007E7996">
          <w:rPr>
            <w:rStyle w:val="Hyperlink"/>
            <w:rFonts w:ascii="Times New Roman" w:hAnsi="Times New Roman"/>
            <w:sz w:val="24"/>
            <w:szCs w:val="24"/>
          </w:rPr>
          <w:t>https://caselaw.findlaw.com/court/us-dis-crt-d-con/115860244.html</w:t>
        </w:r>
      </w:hyperlink>
      <w:r w:rsidR="00AE2AF4">
        <w:t xml:space="preserve"> </w:t>
      </w:r>
    </w:p>
    <w:p w14:paraId="380F49E5" w14:textId="77777777" w:rsidR="003956F7" w:rsidRDefault="003956F7" w:rsidP="003956F7">
      <w:pPr>
        <w:pStyle w:val="NoSpacing"/>
        <w:rPr>
          <w:rFonts w:ascii="Times New Roman" w:hAnsi="Times New Roman"/>
          <w:sz w:val="24"/>
          <w:szCs w:val="24"/>
          <w:shd w:val="clear" w:color="auto" w:fill="FFFFFF"/>
        </w:rPr>
      </w:pPr>
    </w:p>
    <w:p w14:paraId="5AF4B9A9" w14:textId="46B8BBF4"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A34141F" w14:textId="77777777" w:rsidR="003956F7" w:rsidRDefault="003956F7" w:rsidP="006A13EA">
      <w:pPr>
        <w:pStyle w:val="NoSpacing"/>
        <w:rPr>
          <w:rFonts w:ascii="Times New Roman" w:hAnsi="Times New Roman"/>
          <w:sz w:val="24"/>
          <w:szCs w:val="24"/>
        </w:rPr>
      </w:pPr>
    </w:p>
    <w:p w14:paraId="04F50309" w14:textId="77777777" w:rsidR="006A13EA" w:rsidRDefault="006A13EA" w:rsidP="006A13EA">
      <w:pPr>
        <w:ind w:left="720"/>
        <w:rPr>
          <w:rFonts w:ascii="Times New Roman" w:hAnsi="Times New Roman"/>
          <w:sz w:val="24"/>
          <w:szCs w:val="24"/>
        </w:rPr>
      </w:pPr>
      <w:r>
        <w:rPr>
          <w:rFonts w:ascii="Times New Roman" w:hAnsi="Times New Roman"/>
          <w:sz w:val="24"/>
          <w:szCs w:val="24"/>
        </w:rPr>
        <w:t>“</w:t>
      </w:r>
      <w:r w:rsidRPr="002D3623">
        <w:rPr>
          <w:rFonts w:ascii="Times New Roman" w:hAnsi="Times New Roman"/>
          <w:sz w:val="24"/>
          <w:szCs w:val="24"/>
        </w:rPr>
        <w:t xml:space="preserve">Here, Plaintiff alleges that after his shoulder injury, </w:t>
      </w:r>
      <w:r>
        <w:rPr>
          <w:rFonts w:ascii="Times New Roman" w:hAnsi="Times New Roman"/>
          <w:sz w:val="24"/>
          <w:szCs w:val="24"/>
        </w:rPr>
        <w:t>‘</w:t>
      </w:r>
      <w:r w:rsidRPr="002D3623">
        <w:rPr>
          <w:rFonts w:ascii="Times New Roman" w:hAnsi="Times New Roman"/>
          <w:sz w:val="24"/>
          <w:szCs w:val="24"/>
        </w:rPr>
        <w:t>the medical restriction that was preventing him from returning to work was that his doctor did not want him to do any heavy lifting.</w:t>
      </w:r>
      <w:r>
        <w:rPr>
          <w:rFonts w:ascii="Times New Roman" w:hAnsi="Times New Roman"/>
          <w:sz w:val="24"/>
          <w:szCs w:val="24"/>
        </w:rPr>
        <w:t>’</w:t>
      </w:r>
      <w:r w:rsidRPr="002D3623">
        <w:rPr>
          <w:rFonts w:ascii="Times New Roman" w:hAnsi="Times New Roman"/>
          <w:sz w:val="24"/>
          <w:szCs w:val="24"/>
        </w:rPr>
        <w:t xml:space="preserve"> He further asserts that </w:t>
      </w:r>
      <w:r>
        <w:rPr>
          <w:rFonts w:ascii="Times New Roman" w:hAnsi="Times New Roman"/>
          <w:sz w:val="24"/>
          <w:szCs w:val="24"/>
        </w:rPr>
        <w:t>‘</w:t>
      </w:r>
      <w:r w:rsidRPr="002D3623">
        <w:rPr>
          <w:rFonts w:ascii="Times New Roman" w:hAnsi="Times New Roman"/>
          <w:sz w:val="24"/>
          <w:szCs w:val="24"/>
        </w:rPr>
        <w:t>his injury caused [him] to be substantially limited in both the major life activities of ‘lifting’ and ‘working,’ thereby establishing that he was, at the time, a disabled person.</w:t>
      </w:r>
      <w:r>
        <w:rPr>
          <w:rFonts w:ascii="Times New Roman" w:hAnsi="Times New Roman"/>
          <w:sz w:val="24"/>
          <w:szCs w:val="24"/>
        </w:rPr>
        <w:t>’</w:t>
      </w:r>
      <w:r w:rsidRPr="002D3623">
        <w:rPr>
          <w:rFonts w:ascii="Times New Roman" w:hAnsi="Times New Roman"/>
          <w:sz w:val="24"/>
          <w:szCs w:val="24"/>
        </w:rPr>
        <w:t xml:space="preserve"> Plaintiff provides </w:t>
      </w:r>
      <w:proofErr w:type="gramStart"/>
      <w:r w:rsidRPr="002D3623">
        <w:rPr>
          <w:rFonts w:ascii="Times New Roman" w:hAnsi="Times New Roman"/>
          <w:sz w:val="24"/>
          <w:szCs w:val="24"/>
        </w:rPr>
        <w:t>absolutely no</w:t>
      </w:r>
      <w:proofErr w:type="gramEnd"/>
      <w:r w:rsidRPr="002D3623">
        <w:rPr>
          <w:rFonts w:ascii="Times New Roman" w:hAnsi="Times New Roman"/>
          <w:sz w:val="24"/>
          <w:szCs w:val="24"/>
        </w:rPr>
        <w:t xml:space="preserve"> medical records, evidence, or other information to support his claim that his neck/shoulder injury caused him to be substantially limited in the major life activities of lifting and working.</w:t>
      </w:r>
    </w:p>
    <w:p w14:paraId="46821EBA" w14:textId="77777777" w:rsidR="006A13EA" w:rsidRDefault="006A13EA" w:rsidP="006A13EA">
      <w:pPr>
        <w:ind w:left="720"/>
        <w:rPr>
          <w:rFonts w:ascii="Times New Roman" w:hAnsi="Times New Roman"/>
          <w:sz w:val="24"/>
          <w:szCs w:val="24"/>
        </w:rPr>
      </w:pPr>
      <w:r>
        <w:rPr>
          <w:rFonts w:ascii="Times New Roman" w:hAnsi="Times New Roman"/>
          <w:sz w:val="24"/>
          <w:szCs w:val="24"/>
        </w:rPr>
        <w:t>***</w:t>
      </w:r>
    </w:p>
    <w:p w14:paraId="08E190BA" w14:textId="77777777" w:rsidR="006A13EA" w:rsidRPr="004948B6" w:rsidRDefault="006A13EA" w:rsidP="006A13EA">
      <w:pPr>
        <w:ind w:left="720"/>
        <w:rPr>
          <w:rFonts w:ascii="Times New Roman" w:hAnsi="Times New Roman"/>
          <w:sz w:val="24"/>
          <w:szCs w:val="24"/>
        </w:rPr>
      </w:pPr>
      <w:r w:rsidRPr="004948B6">
        <w:rPr>
          <w:rFonts w:ascii="Times New Roman" w:hAnsi="Times New Roman"/>
          <w:sz w:val="24"/>
          <w:szCs w:val="24"/>
        </w:rPr>
        <w:t>As a preliminary matter, Plaintiff does not contend that AMR denied any FMLA leave he requested. Indeed, Plaintiff expressly concedes that he received all the leave to which he was entitled when he took leave twice between 2018-2019.</w:t>
      </w:r>
      <w:r>
        <w:rPr>
          <w:rFonts w:ascii="Times New Roman" w:hAnsi="Times New Roman"/>
          <w:sz w:val="24"/>
          <w:szCs w:val="24"/>
        </w:rPr>
        <w:t xml:space="preserve"> </w:t>
      </w:r>
      <w:r w:rsidRPr="004948B6">
        <w:rPr>
          <w:rFonts w:ascii="Times New Roman" w:hAnsi="Times New Roman"/>
          <w:sz w:val="24"/>
          <w:szCs w:val="24"/>
        </w:rPr>
        <w:t>Therefore, to prevail on his interference claim, Plaintiff must show that AMR interfered with his FMLA rights in some manner other than by denying him leave.</w:t>
      </w:r>
      <w:r>
        <w:rPr>
          <w:rFonts w:ascii="Times New Roman" w:hAnsi="Times New Roman"/>
          <w:sz w:val="24"/>
          <w:szCs w:val="24"/>
        </w:rPr>
        <w:t xml:space="preserve">”  </w:t>
      </w:r>
      <w:hyperlink r:id="rId1780" w:history="1">
        <w:r w:rsidRPr="007E7996">
          <w:rPr>
            <w:rStyle w:val="Hyperlink"/>
            <w:rFonts w:ascii="Times New Roman" w:hAnsi="Times New Roman"/>
            <w:sz w:val="24"/>
            <w:szCs w:val="24"/>
          </w:rPr>
          <w:t>https://caselaw.findlaw.com/court/us-dis-crt-d-con/115860244.html</w:t>
        </w:r>
      </w:hyperlink>
      <w:r>
        <w:rPr>
          <w:rFonts w:ascii="Times New Roman" w:hAnsi="Times New Roman"/>
          <w:sz w:val="24"/>
          <w:szCs w:val="24"/>
        </w:rPr>
        <w:t xml:space="preserve"> </w:t>
      </w:r>
    </w:p>
    <w:p w14:paraId="5DD1AD15" w14:textId="77777777" w:rsidR="006A13EA" w:rsidRDefault="006A13EA" w:rsidP="006A13EA">
      <w:pPr>
        <w:rPr>
          <w:rFonts w:ascii="Times New Roman" w:hAnsi="Times New Roman"/>
          <w:b/>
          <w:bCs/>
          <w:sz w:val="24"/>
          <w:szCs w:val="24"/>
        </w:rPr>
      </w:pPr>
      <w:r w:rsidRPr="00530114">
        <w:rPr>
          <w:rFonts w:ascii="Times New Roman" w:hAnsi="Times New Roman"/>
          <w:b/>
          <w:bCs/>
          <w:sz w:val="24"/>
          <w:szCs w:val="24"/>
        </w:rPr>
        <w:t>Legal Lesson Learned:</w:t>
      </w:r>
      <w:r>
        <w:rPr>
          <w:rFonts w:ascii="Times New Roman" w:hAnsi="Times New Roman"/>
          <w:b/>
          <w:bCs/>
          <w:sz w:val="24"/>
          <w:szCs w:val="24"/>
        </w:rPr>
        <w:t xml:space="preserve"> After employee uses all FMLA leave, employer does not have to hold open former position. </w:t>
      </w:r>
    </w:p>
    <w:p w14:paraId="4FE9F5C4" w14:textId="77777777" w:rsidR="006A13EA" w:rsidRPr="00401EB7" w:rsidRDefault="006A13EA" w:rsidP="006A13EA">
      <w:pPr>
        <w:pStyle w:val="NoSpacing"/>
        <w:rPr>
          <w:rFonts w:ascii="Times New Roman" w:hAnsi="Times New Roman"/>
          <w:sz w:val="24"/>
          <w:szCs w:val="24"/>
        </w:rPr>
      </w:pPr>
      <w:r>
        <w:rPr>
          <w:rFonts w:ascii="Times New Roman" w:hAnsi="Times New Roman"/>
          <w:b/>
          <w:bCs/>
          <w:sz w:val="24"/>
          <w:szCs w:val="24"/>
        </w:rPr>
        <w:tab/>
      </w:r>
      <w:r w:rsidRPr="00401EB7">
        <w:rPr>
          <w:rFonts w:ascii="Times New Roman" w:hAnsi="Times New Roman"/>
          <w:sz w:val="24"/>
          <w:szCs w:val="24"/>
        </w:rPr>
        <w:t xml:space="preserve">Note: FMLA Leave: </w:t>
      </w:r>
      <w:hyperlink r:id="rId1781" w:history="1">
        <w:r w:rsidRPr="00401EB7">
          <w:rPr>
            <w:rStyle w:val="Hyperlink"/>
            <w:rFonts w:ascii="Times New Roman" w:hAnsi="Times New Roman"/>
            <w:sz w:val="24"/>
            <w:szCs w:val="24"/>
          </w:rPr>
          <w:t>https://www.dol.gov/agencies/whd/fmla</w:t>
        </w:r>
      </w:hyperlink>
      <w:r w:rsidRPr="00401EB7">
        <w:rPr>
          <w:rFonts w:ascii="Times New Roman" w:hAnsi="Times New Roman"/>
          <w:sz w:val="24"/>
          <w:szCs w:val="24"/>
        </w:rPr>
        <w:t xml:space="preserve"> </w:t>
      </w:r>
    </w:p>
    <w:p w14:paraId="5D8632B3" w14:textId="77777777" w:rsidR="006A13EA" w:rsidRPr="0013397F" w:rsidRDefault="006A13EA" w:rsidP="006A13EA">
      <w:pPr>
        <w:pStyle w:val="NoSpacing"/>
        <w:ind w:firstLine="720"/>
        <w:rPr>
          <w:rFonts w:ascii="Times New Roman" w:hAnsi="Times New Roman"/>
          <w:sz w:val="24"/>
          <w:szCs w:val="24"/>
        </w:rPr>
      </w:pPr>
      <w:r>
        <w:rPr>
          <w:rFonts w:ascii="Times New Roman" w:hAnsi="Times New Roman"/>
          <w:b/>
          <w:bCs/>
          <w:sz w:val="24"/>
          <w:szCs w:val="24"/>
        </w:rPr>
        <w:t>“</w:t>
      </w:r>
      <w:r w:rsidRPr="0013397F">
        <w:rPr>
          <w:rFonts w:ascii="Times New Roman" w:hAnsi="Times New Roman"/>
          <w:sz w:val="24"/>
          <w:szCs w:val="24"/>
        </w:rPr>
        <w:t>Twelve workweeks of leave in a 12-month period for:</w:t>
      </w:r>
    </w:p>
    <w:p w14:paraId="0053D659"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the birth of a child and to care for the newborn child within one year of birth;</w:t>
      </w:r>
    </w:p>
    <w:p w14:paraId="2B52B53A"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the placement with the employee of a child for adoption or foster care and to care for the newly placed child within one year of placement;</w:t>
      </w:r>
    </w:p>
    <w:p w14:paraId="1EFF41F3"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to care for the employee’s spouse, child, or parent who has a serious health condition;</w:t>
      </w:r>
    </w:p>
    <w:p w14:paraId="4191BAE7"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a serious health condition that makes the employee unable to perform the essential functions of his or her job;</w:t>
      </w:r>
    </w:p>
    <w:p w14:paraId="0EBC0F88"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any qualifying exigency arising out of the fact that the employee’s spouse, son, daughter, or parent is a covered military member on “covered active duty;” or</w:t>
      </w:r>
    </w:p>
    <w:p w14:paraId="5FAC7F30" w14:textId="77777777" w:rsidR="006A13EA" w:rsidRDefault="006A13EA" w:rsidP="006A13EA">
      <w:pPr>
        <w:pStyle w:val="NoSpacing"/>
        <w:rPr>
          <w:rFonts w:ascii="Times New Roman" w:hAnsi="Times New Roman"/>
          <w:sz w:val="24"/>
          <w:szCs w:val="24"/>
        </w:rPr>
      </w:pPr>
    </w:p>
    <w:p w14:paraId="779849C6" w14:textId="77777777" w:rsidR="006A13EA" w:rsidRPr="0013397F" w:rsidRDefault="006A13EA" w:rsidP="006A13EA">
      <w:pPr>
        <w:pStyle w:val="NoSpacing"/>
        <w:ind w:left="720"/>
        <w:rPr>
          <w:rFonts w:ascii="Times New Roman" w:hAnsi="Times New Roman"/>
          <w:sz w:val="24"/>
          <w:szCs w:val="24"/>
        </w:rPr>
      </w:pPr>
      <w:r w:rsidRPr="0013397F">
        <w:rPr>
          <w:rFonts w:ascii="Times New Roman" w:hAnsi="Times New Roman"/>
          <w:sz w:val="24"/>
          <w:szCs w:val="24"/>
        </w:rPr>
        <w:t>Twenty-six work weeks of leave during a single 12-month period to care for a covered servicemember with a serious injury or illness if the eligible employee is the servicemember’s spouse, son, daughter, parent, or next of kin (military caregiver leave)</w:t>
      </w:r>
      <w:proofErr w:type="gramStart"/>
      <w:r w:rsidRPr="0013397F">
        <w:rPr>
          <w:rFonts w:ascii="Times New Roman" w:hAnsi="Times New Roman"/>
          <w:sz w:val="24"/>
          <w:szCs w:val="24"/>
        </w:rPr>
        <w:t>.</w:t>
      </w:r>
      <w:r>
        <w:rPr>
          <w:rFonts w:ascii="Times New Roman" w:hAnsi="Times New Roman"/>
          <w:sz w:val="24"/>
          <w:szCs w:val="24"/>
        </w:rPr>
        <w:t>”</w:t>
      </w:r>
      <w:proofErr w:type="gramEnd"/>
    </w:p>
    <w:p w14:paraId="75CA5315" w14:textId="77777777" w:rsidR="006A13EA" w:rsidRDefault="006A13EA" w:rsidP="00E9307E">
      <w:pPr>
        <w:rPr>
          <w:rFonts w:ascii="Arial Black" w:hAnsi="Arial Black"/>
          <w:b/>
          <w:sz w:val="28"/>
          <w:szCs w:val="28"/>
        </w:rPr>
      </w:pPr>
    </w:p>
    <w:p w14:paraId="6DE65148" w14:textId="77777777" w:rsidR="006A13EA" w:rsidRDefault="006A13EA" w:rsidP="00E9307E">
      <w:pPr>
        <w:rPr>
          <w:rFonts w:ascii="Arial Black" w:hAnsi="Arial Black"/>
          <w:b/>
          <w:sz w:val="28"/>
          <w:szCs w:val="28"/>
        </w:rPr>
      </w:pPr>
    </w:p>
    <w:p w14:paraId="00CF8FBD" w14:textId="77777777" w:rsidR="00D33F96" w:rsidRDefault="00D33F96" w:rsidP="00E9307E">
      <w:pPr>
        <w:rPr>
          <w:rFonts w:ascii="Arial Black" w:hAnsi="Arial Black"/>
          <w:b/>
          <w:sz w:val="28"/>
          <w:szCs w:val="28"/>
        </w:rPr>
      </w:pPr>
    </w:p>
    <w:p w14:paraId="2B0F2A19" w14:textId="7E80E2D3" w:rsidR="00237599" w:rsidRDefault="00237599" w:rsidP="00E9307E">
      <w:pPr>
        <w:rPr>
          <w:rFonts w:ascii="Arial Black" w:hAnsi="Arial Black"/>
          <w:b/>
          <w:sz w:val="28"/>
          <w:szCs w:val="28"/>
        </w:rPr>
      </w:pPr>
      <w:r>
        <w:rPr>
          <w:rFonts w:ascii="Arial Black" w:hAnsi="Arial Black"/>
          <w:b/>
          <w:sz w:val="28"/>
          <w:szCs w:val="28"/>
        </w:rPr>
        <w:t>10-1</w:t>
      </w:r>
      <w:r w:rsidR="00B13773">
        <w:rPr>
          <w:rFonts w:ascii="Arial Black" w:hAnsi="Arial Black"/>
          <w:b/>
          <w:sz w:val="28"/>
          <w:szCs w:val="28"/>
        </w:rPr>
        <w:t>0</w:t>
      </w:r>
    </w:p>
    <w:p w14:paraId="0AEA9C7D" w14:textId="25F4A1FE" w:rsidR="00237599" w:rsidRDefault="00237599" w:rsidP="00237599">
      <w:pPr>
        <w:pStyle w:val="NormalWeb"/>
        <w:rPr>
          <w:rFonts w:ascii="Arial Black" w:hAnsi="Arial Black"/>
          <w:b/>
          <w:bCs/>
          <w:sz w:val="28"/>
          <w:szCs w:val="28"/>
        </w:rPr>
      </w:pPr>
      <w:bookmarkStart w:id="372" w:name="_Hlk136860096"/>
      <w:r>
        <w:rPr>
          <w:rFonts w:ascii="Arial Black" w:hAnsi="Arial Black"/>
          <w:b/>
          <w:bCs/>
          <w:sz w:val="28"/>
          <w:szCs w:val="28"/>
        </w:rPr>
        <w:t xml:space="preserve">DC: FMLA – HOLIDAY </w:t>
      </w:r>
      <w:r w:rsidR="005F4A66">
        <w:rPr>
          <w:rFonts w:ascii="Arial Black" w:hAnsi="Arial Black"/>
          <w:b/>
          <w:bCs/>
          <w:sz w:val="28"/>
          <w:szCs w:val="28"/>
        </w:rPr>
        <w:t xml:space="preserve">- </w:t>
      </w:r>
      <w:r>
        <w:rPr>
          <w:rFonts w:ascii="Arial Black" w:hAnsi="Arial Black"/>
          <w:b/>
          <w:bCs/>
          <w:sz w:val="28"/>
          <w:szCs w:val="28"/>
        </w:rPr>
        <w:t>NOT COUNTED FULL WEEK OF LEAVE</w:t>
      </w:r>
    </w:p>
    <w:bookmarkEnd w:id="372"/>
    <w:p w14:paraId="65820FA5" w14:textId="77777777" w:rsidR="00237599" w:rsidRPr="00237599" w:rsidRDefault="00237599" w:rsidP="00237599">
      <w:pPr>
        <w:pStyle w:val="NormalWeb"/>
        <w:rPr>
          <w:rStyle w:val="markedcontent"/>
        </w:rPr>
      </w:pPr>
      <w:r w:rsidRPr="00237599">
        <w:t xml:space="preserve">On May 30, 2023, the U.S. Department of Labor, Wage and Hour Division, issued Opinion Letter </w:t>
      </w:r>
      <w:r w:rsidRPr="00237599">
        <w:rPr>
          <w:rStyle w:val="markedcontent"/>
        </w:rPr>
        <w:t>FMLA2023-2-A on calculating amount of leave used by an employee taking leave during a week where there is a holiday (such as 4</w:t>
      </w:r>
      <w:r w:rsidRPr="00237599">
        <w:rPr>
          <w:rStyle w:val="markedcontent"/>
          <w:vertAlign w:val="superscript"/>
        </w:rPr>
        <w:t>th</w:t>
      </w:r>
      <w:r w:rsidRPr="00237599">
        <w:rPr>
          <w:rStyle w:val="markedcontent"/>
        </w:rPr>
        <w:t xml:space="preserve"> of July).  Opinion Letter advised: </w:t>
      </w:r>
    </w:p>
    <w:p w14:paraId="4545340C" w14:textId="499F1B89" w:rsidR="00237599" w:rsidRPr="00237599" w:rsidRDefault="00237599" w:rsidP="00237599">
      <w:pPr>
        <w:rPr>
          <w:rFonts w:ascii="Times New Roman" w:hAnsi="Times New Roman"/>
          <w:b/>
          <w:sz w:val="24"/>
          <w:szCs w:val="24"/>
        </w:rPr>
      </w:pPr>
      <w:r w:rsidRPr="00237599">
        <w:rPr>
          <w:rStyle w:val="markedcontent"/>
          <w:rFonts w:ascii="Times New Roman" w:hAnsi="Times New Roman"/>
          <w:sz w:val="24"/>
          <w:szCs w:val="24"/>
        </w:rPr>
        <w:t xml:space="preserve">“When a holiday falls during a week that an employee is taking a full workweek of FMLA leave, the entire week is counted as FMLA leave. 29 C.F.R. § 825.200(h). Thus, for example, an employee who works Monday through Friday and takes leave for a week that includes the Fourth of July on Thursday would use one week of leave and not 4/5 of a week. However, when a holiday falls during a week when an employee is taking less than a full workweek of FMLA leave, the holiday is not counted as FMLA leave unless the employee was scheduled and expected to work on the holiday and used FMLA leave for that day.” </w:t>
      </w:r>
      <w:hyperlink r:id="rId1782" w:history="1">
        <w:r w:rsidRPr="00237599">
          <w:rPr>
            <w:rStyle w:val="Hyperlink"/>
            <w:rFonts w:ascii="Times New Roman" w:eastAsiaTheme="majorEastAsia" w:hAnsi="Times New Roman"/>
            <w:sz w:val="24"/>
            <w:szCs w:val="24"/>
          </w:rPr>
          <w:t>https://www.dol.gov/sites/dolgov/files/WHD/opinion-letters/FMLA/2023_05_30_02_FMLA.pdf</w:t>
        </w:r>
      </w:hyperlink>
    </w:p>
    <w:p w14:paraId="14526A0F" w14:textId="30FDBC05" w:rsidR="00237599" w:rsidRDefault="00237599" w:rsidP="00237599">
      <w:pPr>
        <w:pStyle w:val="NormalWeb"/>
        <w:rPr>
          <w:b/>
          <w:bCs/>
        </w:rPr>
      </w:pPr>
      <w:r>
        <w:rPr>
          <w:b/>
          <w:bCs/>
        </w:rPr>
        <w:t xml:space="preserve">Legal Lesson Learned: Wage &amp; Hour Opinion Letters are helpful, and Courts will often refer to them in litigation. </w:t>
      </w:r>
    </w:p>
    <w:p w14:paraId="3C6C9005" w14:textId="38BB7304" w:rsidR="00237599" w:rsidRDefault="00237599" w:rsidP="00237599">
      <w:pPr>
        <w:tabs>
          <w:tab w:val="left" w:pos="1050"/>
        </w:tabs>
        <w:rPr>
          <w:rFonts w:ascii="Arial Black" w:hAnsi="Arial Black"/>
          <w:b/>
          <w:sz w:val="28"/>
          <w:szCs w:val="28"/>
        </w:rPr>
      </w:pPr>
    </w:p>
    <w:p w14:paraId="60AE6181" w14:textId="4B4DE3E6" w:rsidR="0002742E" w:rsidRDefault="0002742E" w:rsidP="00E9307E">
      <w:pPr>
        <w:rPr>
          <w:rFonts w:ascii="Arial Black" w:hAnsi="Arial Black"/>
          <w:b/>
          <w:sz w:val="28"/>
          <w:szCs w:val="28"/>
        </w:rPr>
      </w:pPr>
      <w:r>
        <w:rPr>
          <w:rFonts w:ascii="Arial Black" w:hAnsi="Arial Black"/>
          <w:b/>
          <w:sz w:val="28"/>
          <w:szCs w:val="28"/>
        </w:rPr>
        <w:t>10-</w:t>
      </w:r>
      <w:r w:rsidR="00B13773">
        <w:rPr>
          <w:rFonts w:ascii="Arial Black" w:hAnsi="Arial Black"/>
          <w:b/>
          <w:sz w:val="28"/>
          <w:szCs w:val="28"/>
        </w:rPr>
        <w:t>9</w:t>
      </w:r>
    </w:p>
    <w:p w14:paraId="23B8FC55" w14:textId="77777777" w:rsidR="0002742E" w:rsidRPr="00915CA6"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HOSPITAL PARAMEDIC FIRED - 12 WEEKS FMLA LEAVE EXPIRED - JOB POSTED – TURNED DOWN NEW SHIFT </w:t>
      </w:r>
    </w:p>
    <w:p w14:paraId="346BB985" w14:textId="0AB51AA1" w:rsidR="0002742E" w:rsidRDefault="0002742E" w:rsidP="0002742E">
      <w:pPr>
        <w:rPr>
          <w:rFonts w:ascii="Arial Black" w:hAnsi="Arial Black"/>
          <w:b/>
          <w:sz w:val="28"/>
          <w:szCs w:val="28"/>
        </w:rPr>
      </w:pPr>
      <w:r w:rsidRPr="00990FC9">
        <w:rPr>
          <w:rFonts w:ascii="Times New Roman" w:hAnsi="Times New Roman"/>
          <w:sz w:val="24"/>
          <w:szCs w:val="24"/>
        </w:rPr>
        <w:t xml:space="preserve">On April 20, 2022, </w:t>
      </w:r>
      <w:r>
        <w:rPr>
          <w:rFonts w:ascii="Times New Roman" w:hAnsi="Times New Roman"/>
          <w:sz w:val="24"/>
          <w:szCs w:val="24"/>
        </w:rPr>
        <w:t xml:space="preserve">in </w:t>
      </w:r>
      <w:r w:rsidRPr="00990FC9">
        <w:rPr>
          <w:rFonts w:ascii="Times New Roman" w:hAnsi="Times New Roman"/>
          <w:sz w:val="24"/>
          <w:szCs w:val="24"/>
          <w:u w:val="single"/>
        </w:rPr>
        <w:t>Maria Jochims v. Houston Methodist Sugar Land Hospital</w:t>
      </w:r>
      <w:r>
        <w:rPr>
          <w:rFonts w:ascii="Times New Roman" w:hAnsi="Times New Roman"/>
          <w:sz w:val="24"/>
          <w:szCs w:val="24"/>
        </w:rPr>
        <w:t xml:space="preserve">, U.S. Magistrate Judge Andrew M. Edison issued a memorandum recommending that U.S. District Court judge dismiss the plaintiff’s sex and pregnancy discrimination claim.  The plaintiff worked as a Paramedic in the Emergency Services Department since 2013, and because of difficult pregnancy in Aug. 2016, she had used up her 12-weeks of “job protected” FMLA leave on Feb. 15, 2017.  The hospital needed the position filled ASAP, and the next day the job was posted (11 am – 11 pm shift) and quickly filled by a male Paramedic.  </w:t>
      </w:r>
      <w:r w:rsidRPr="00457431">
        <w:rPr>
          <w:rFonts w:ascii="Times New Roman" w:hAnsi="Times New Roman"/>
          <w:sz w:val="24"/>
          <w:szCs w:val="24"/>
        </w:rPr>
        <w:t>The hospital then offered the plaintiff a new shift (7 pm – 7 am), which she declined. Jochims failed to obtain a suitable position within 30 days. Houston Methodist gave Jochims an extension to locate and obtain an alternative position, but she failed to secure a new position within the extended time. Plaintiff was terminated effective April 25, 2017, under Houston Methodist's HR29 Policy.</w:t>
      </w:r>
      <w:r>
        <w:rPr>
          <w:rFonts w:ascii="Times New Roman" w:hAnsi="Times New Roman"/>
          <w:sz w:val="24"/>
          <w:szCs w:val="24"/>
        </w:rPr>
        <w:t xml:space="preserve"> </w:t>
      </w:r>
      <w:hyperlink r:id="rId1783" w:history="1">
        <w:r w:rsidRPr="005C2DF9">
          <w:rPr>
            <w:rStyle w:val="Hyperlink"/>
            <w:rFonts w:ascii="Times New Roman" w:hAnsi="Times New Roman"/>
            <w:sz w:val="24"/>
            <w:szCs w:val="24"/>
          </w:rPr>
          <w:t>https://public.fastcase.com/waZtJvSA54UAurM2rmIZz88A4DX9zJiHVSCLlaywcCbO%2FsN6H35lRLqBQI5YlUXLkpfw%2B63lWcDnyRlZDlxVAe7N7ayvxJpVWQxxLxisTNc%3D</w:t>
        </w:r>
      </w:hyperlink>
    </w:p>
    <w:p w14:paraId="264CE0D5" w14:textId="77777777" w:rsidR="0002742E" w:rsidRPr="00DA5B17" w:rsidRDefault="0002742E" w:rsidP="0002742E">
      <w:pPr>
        <w:spacing w:before="100" w:beforeAutospacing="1" w:after="100" w:afterAutospacing="1" w:line="240" w:lineRule="auto"/>
        <w:rPr>
          <w:rFonts w:ascii="Times New Roman" w:eastAsia="Times New Roman" w:hAnsi="Times New Roman"/>
          <w:b/>
          <w:bCs/>
          <w:sz w:val="24"/>
          <w:szCs w:val="24"/>
        </w:rPr>
      </w:pPr>
      <w:r w:rsidRPr="00DA5B17">
        <w:rPr>
          <w:rFonts w:ascii="Times New Roman" w:hAnsi="Times New Roman"/>
          <w:b/>
          <w:bCs/>
          <w:sz w:val="24"/>
          <w:szCs w:val="24"/>
        </w:rPr>
        <w:t>Legal Lesson Learned:</w:t>
      </w:r>
      <w:r>
        <w:rPr>
          <w:rFonts w:ascii="Times New Roman" w:hAnsi="Times New Roman"/>
          <w:b/>
          <w:bCs/>
          <w:sz w:val="24"/>
          <w:szCs w:val="24"/>
        </w:rPr>
        <w:t xml:space="preserve">  Fire &amp; EMS Departments should have a written FMLA policy. </w:t>
      </w:r>
    </w:p>
    <w:p w14:paraId="6E5A1242" w14:textId="77777777" w:rsidR="0002742E" w:rsidRDefault="0002742E" w:rsidP="0002742E">
      <w:pPr>
        <w:spacing w:before="100" w:beforeAutospacing="1" w:after="100" w:afterAutospacing="1" w:line="240" w:lineRule="auto"/>
        <w:rPr>
          <w:rFonts w:ascii="Times New Roman" w:hAnsi="Times New Roman"/>
          <w:sz w:val="24"/>
          <w:szCs w:val="24"/>
        </w:rPr>
      </w:pPr>
    </w:p>
    <w:p w14:paraId="46FF12D7" w14:textId="77777777" w:rsidR="0002742E" w:rsidRDefault="0002742E" w:rsidP="00E9307E">
      <w:pPr>
        <w:rPr>
          <w:rFonts w:ascii="Arial Black" w:hAnsi="Arial Black"/>
          <w:b/>
          <w:sz w:val="28"/>
          <w:szCs w:val="28"/>
        </w:rPr>
      </w:pPr>
    </w:p>
    <w:p w14:paraId="2854BCB3" w14:textId="77777777" w:rsidR="0002742E" w:rsidRDefault="0002742E" w:rsidP="00E9307E">
      <w:pPr>
        <w:rPr>
          <w:rFonts w:ascii="Arial Black" w:hAnsi="Arial Black"/>
          <w:b/>
          <w:sz w:val="28"/>
          <w:szCs w:val="28"/>
        </w:rPr>
      </w:pPr>
    </w:p>
    <w:p w14:paraId="7896CB0C" w14:textId="3BBC8E05" w:rsidR="00BD3FE4" w:rsidRDefault="00BD3FE4" w:rsidP="00E9307E">
      <w:pPr>
        <w:rPr>
          <w:rFonts w:ascii="Arial Black" w:hAnsi="Arial Black"/>
          <w:b/>
          <w:sz w:val="28"/>
          <w:szCs w:val="28"/>
        </w:rPr>
      </w:pPr>
      <w:r>
        <w:rPr>
          <w:rFonts w:ascii="Arial Black" w:hAnsi="Arial Black"/>
          <w:b/>
          <w:sz w:val="28"/>
          <w:szCs w:val="28"/>
        </w:rPr>
        <w:t>10-</w:t>
      </w:r>
      <w:r w:rsidR="00B13773">
        <w:rPr>
          <w:rFonts w:ascii="Arial Black" w:hAnsi="Arial Black"/>
          <w:b/>
          <w:sz w:val="28"/>
          <w:szCs w:val="28"/>
        </w:rPr>
        <w:t>8</w:t>
      </w:r>
      <w:r>
        <w:rPr>
          <w:rFonts w:ascii="Arial Black" w:hAnsi="Arial Black"/>
          <w:b/>
          <w:sz w:val="28"/>
          <w:szCs w:val="28"/>
        </w:rPr>
        <w:t xml:space="preserve"> [also Filed Chap. 15]</w:t>
      </w:r>
    </w:p>
    <w:p w14:paraId="344DA447" w14:textId="77777777" w:rsidR="00BD3FE4" w:rsidRDefault="00BD3FE4" w:rsidP="00BD3FE4">
      <w:pPr>
        <w:pStyle w:val="NormalWeb"/>
        <w:rPr>
          <w:rFonts w:ascii="Arial Black" w:hAnsi="Arial Black"/>
          <w:b/>
          <w:bCs/>
          <w:sz w:val="28"/>
          <w:szCs w:val="28"/>
        </w:rPr>
      </w:pPr>
      <w:r>
        <w:rPr>
          <w:rFonts w:ascii="Arial Black" w:hAnsi="Arial Black"/>
          <w:b/>
          <w:bCs/>
          <w:sz w:val="28"/>
          <w:szCs w:val="28"/>
        </w:rPr>
        <w:t xml:space="preserve">MA: CAPTAIN PSYCHIATRICT EXAM – FIRE CHIEF DENIED IMMUNITY – ALLEGED RETALIATION / BREACH OF FMLA </w:t>
      </w:r>
    </w:p>
    <w:p w14:paraId="21A411EF" w14:textId="77777777" w:rsidR="00BD3FE4" w:rsidRDefault="00BD3FE4" w:rsidP="00BD3FE4">
      <w:pPr>
        <w:pStyle w:val="NormalWeb"/>
      </w:pPr>
      <w:r w:rsidRPr="00944162">
        <w:t xml:space="preserve">On </w:t>
      </w:r>
      <w:r>
        <w:t xml:space="preserve">Jan. 26, 2022, in </w:t>
      </w:r>
      <w:r w:rsidRPr="00944162">
        <w:rPr>
          <w:u w:val="single"/>
        </w:rPr>
        <w:t>Andrew Brennan v. City of Everett and Anthony Carli</w:t>
      </w:r>
      <w:r>
        <w:t>, the Appeals Court of Massachusetts held (3 to 0; unpublished decision) that trial judge properly denied the Fire Chief Anthony Carli’s  motion to be dismissed from lawsuit based on qualified immunity.  “</w:t>
      </w:r>
      <w:r w:rsidRPr="00DE5CFC">
        <w:t>Here, Brennan alleged that Carli placed him on leave and provided false information to medical evaluators under the false belief that Brennan was mentally unfit.</w:t>
      </w:r>
      <w:r>
        <w:t xml:space="preserve">” </w:t>
      </w:r>
      <w:hyperlink r:id="rId1784" w:history="1">
        <w:r w:rsidRPr="003B2357">
          <w:rPr>
            <w:rStyle w:val="Hyperlink"/>
            <w:rFonts w:eastAsiaTheme="majorEastAsia"/>
          </w:rPr>
          <w:t>https://public.fastcase.com/9SKwsfNqTc6OieYDhNMyM%2BsbSTu241pOZ38l1fL3GtOxRE1iLhH6RZm0FIyTdVeF1XRK6Ebg7B5equTDg4ZQiMxFMDQEZko4UYsaxrmOuYk%3D</w:t>
        </w:r>
      </w:hyperlink>
      <w:r>
        <w:t xml:space="preserve"> </w:t>
      </w:r>
      <w:r w:rsidRPr="00266965">
        <w:t xml:space="preserve"> </w:t>
      </w:r>
      <w:r>
        <w:t xml:space="preserve"> </w:t>
      </w:r>
    </w:p>
    <w:p w14:paraId="2E50C502" w14:textId="77777777" w:rsidR="00BD3FE4" w:rsidRPr="003B747D" w:rsidRDefault="00BD3FE4" w:rsidP="00BD3FE4">
      <w:pPr>
        <w:spacing w:before="100" w:beforeAutospacing="1" w:after="100" w:afterAutospacing="1" w:line="240" w:lineRule="auto"/>
        <w:rPr>
          <w:rFonts w:ascii="Times New Roman" w:hAnsi="Times New Roman"/>
          <w:b/>
          <w:bCs/>
          <w:sz w:val="24"/>
          <w:szCs w:val="24"/>
        </w:rPr>
      </w:pPr>
      <w:r w:rsidRPr="003B747D">
        <w:rPr>
          <w:rFonts w:ascii="Times New Roman" w:hAnsi="Times New Roman"/>
          <w:b/>
          <w:bCs/>
          <w:sz w:val="24"/>
          <w:szCs w:val="24"/>
        </w:rPr>
        <w:t>Legal Lesson Learned:</w:t>
      </w:r>
      <w:r>
        <w:rPr>
          <w:rFonts w:ascii="Times New Roman" w:hAnsi="Times New Roman"/>
          <w:b/>
          <w:bCs/>
          <w:sz w:val="24"/>
          <w:szCs w:val="24"/>
        </w:rPr>
        <w:t xml:space="preserve">  If employee may need psychiatric evaluation, provide specific information to the medical evaluators; and if employee asks about FMLA, provide form to request leave.  </w:t>
      </w:r>
    </w:p>
    <w:p w14:paraId="5BB7C6AC" w14:textId="77777777" w:rsidR="00BD3FE4" w:rsidRDefault="00BD3FE4" w:rsidP="00E9307E">
      <w:pPr>
        <w:rPr>
          <w:rFonts w:ascii="Arial Black" w:hAnsi="Arial Black"/>
          <w:b/>
          <w:sz w:val="28"/>
          <w:szCs w:val="28"/>
        </w:rPr>
      </w:pPr>
    </w:p>
    <w:p w14:paraId="1AC0F19C" w14:textId="77777777" w:rsidR="00BD3FE4" w:rsidRDefault="00BD3FE4" w:rsidP="00E9307E">
      <w:pPr>
        <w:rPr>
          <w:rFonts w:ascii="Arial Black" w:hAnsi="Arial Black"/>
          <w:b/>
          <w:sz w:val="28"/>
          <w:szCs w:val="28"/>
        </w:rPr>
      </w:pPr>
    </w:p>
    <w:p w14:paraId="48770BC6" w14:textId="67C26F38" w:rsidR="00863F9E" w:rsidRDefault="00863F9E" w:rsidP="00E9307E">
      <w:pPr>
        <w:rPr>
          <w:rFonts w:ascii="Arial Black" w:hAnsi="Arial Black"/>
          <w:b/>
          <w:sz w:val="28"/>
          <w:szCs w:val="28"/>
        </w:rPr>
      </w:pPr>
      <w:r>
        <w:rPr>
          <w:rFonts w:ascii="Arial Black" w:hAnsi="Arial Black"/>
          <w:b/>
          <w:sz w:val="28"/>
          <w:szCs w:val="28"/>
        </w:rPr>
        <w:t>10-</w:t>
      </w:r>
      <w:r w:rsidR="00B13773">
        <w:rPr>
          <w:rFonts w:ascii="Arial Black" w:hAnsi="Arial Black"/>
          <w:b/>
          <w:sz w:val="28"/>
          <w:szCs w:val="28"/>
        </w:rPr>
        <w:t>7</w:t>
      </w:r>
      <w:r>
        <w:rPr>
          <w:rFonts w:ascii="Arial Black" w:hAnsi="Arial Black"/>
          <w:b/>
          <w:sz w:val="28"/>
          <w:szCs w:val="28"/>
        </w:rPr>
        <w:t xml:space="preserve"> [also filed, Chap. 11]</w:t>
      </w:r>
    </w:p>
    <w:p w14:paraId="1475517C" w14:textId="77777777" w:rsidR="00863F9E" w:rsidRDefault="00863F9E" w:rsidP="00863F9E">
      <w:pPr>
        <w:spacing w:before="100" w:beforeAutospacing="1" w:after="100" w:afterAutospacing="1" w:line="240" w:lineRule="auto"/>
        <w:rPr>
          <w:rFonts w:eastAsia="Times New Roman" w:cs="Calibri"/>
          <w:vanish/>
        </w:rPr>
      </w:pPr>
      <w:r>
        <w:rPr>
          <w:rFonts w:ascii="Arial Black" w:eastAsia="Times New Roman" w:hAnsi="Arial Black"/>
          <w:b/>
          <w:bCs/>
          <w:sz w:val="28"/>
          <w:szCs w:val="28"/>
        </w:rPr>
        <w:t>U.S. DOL: ELECTRONIC POSTING CAN’T REPLACE FLSA / FMLA POSTERS – UNLESS ALL EMPLOYEES WORK ONLINE</w:t>
      </w:r>
    </w:p>
    <w:tbl>
      <w:tblPr>
        <w:tblW w:w="5000" w:type="pct"/>
        <w:jc w:val="center"/>
        <w:tblCellMar>
          <w:left w:w="0" w:type="dxa"/>
          <w:right w:w="0" w:type="dxa"/>
        </w:tblCellMar>
        <w:tblLook w:val="04A0" w:firstRow="1" w:lastRow="0" w:firstColumn="1" w:lastColumn="0" w:noHBand="0" w:noVBand="1"/>
      </w:tblPr>
      <w:tblGrid>
        <w:gridCol w:w="10800"/>
      </w:tblGrid>
      <w:tr w:rsidR="00863F9E" w14:paraId="5DF71EAF" w14:textId="77777777" w:rsidTr="00F90EE5">
        <w:trPr>
          <w:jc w:val="center"/>
          <w:hidden/>
        </w:trPr>
        <w:tc>
          <w:tcPr>
            <w:tcW w:w="0" w:type="auto"/>
            <w:hideMark/>
          </w:tcPr>
          <w:tbl>
            <w:tblPr>
              <w:tblW w:w="9750" w:type="dxa"/>
              <w:jc w:val="center"/>
              <w:tblCellMar>
                <w:left w:w="0" w:type="dxa"/>
                <w:right w:w="0" w:type="dxa"/>
              </w:tblCellMar>
              <w:tblLook w:val="04A0" w:firstRow="1" w:lastRow="0" w:firstColumn="1" w:lastColumn="0" w:noHBand="0" w:noVBand="1"/>
            </w:tblPr>
            <w:tblGrid>
              <w:gridCol w:w="9750"/>
            </w:tblGrid>
            <w:tr w:rsidR="00863F9E" w14:paraId="7D648905" w14:textId="77777777" w:rsidTr="00F90EE5">
              <w:trPr>
                <w:jc w:val="center"/>
                <w:hidden/>
              </w:trPr>
              <w:tc>
                <w:tcPr>
                  <w:tcW w:w="9750" w:type="dxa"/>
                  <w:hideMark/>
                </w:tcPr>
                <w:tbl>
                  <w:tblPr>
                    <w:tblW w:w="5000" w:type="pct"/>
                    <w:jc w:val="center"/>
                    <w:tblCellMar>
                      <w:left w:w="0" w:type="dxa"/>
                      <w:right w:w="0" w:type="dxa"/>
                    </w:tblCellMar>
                    <w:tblLook w:val="04A0" w:firstRow="1" w:lastRow="0" w:firstColumn="1" w:lastColumn="0" w:noHBand="0" w:noVBand="1"/>
                  </w:tblPr>
                  <w:tblGrid>
                    <w:gridCol w:w="9750"/>
                  </w:tblGrid>
                  <w:tr w:rsidR="00863F9E" w14:paraId="354E7068" w14:textId="77777777" w:rsidTr="00F90EE5">
                    <w:trPr>
                      <w:jc w:val="center"/>
                      <w:hidden/>
                    </w:trPr>
                    <w:tc>
                      <w:tcPr>
                        <w:tcW w:w="0" w:type="auto"/>
                        <w:tcMar>
                          <w:top w:w="75" w:type="dxa"/>
                          <w:left w:w="0" w:type="dxa"/>
                          <w:bottom w:w="75" w:type="dxa"/>
                          <w:right w:w="0" w:type="dxa"/>
                        </w:tcMar>
                        <w:hideMark/>
                      </w:tcPr>
                      <w:p w14:paraId="73C3B046" w14:textId="77777777" w:rsidR="00863F9E" w:rsidRDefault="00863F9E" w:rsidP="00F90EE5">
                        <w:pPr>
                          <w:rPr>
                            <w:rFonts w:eastAsia="Times New Roman" w:cs="Calibri"/>
                            <w:vanish/>
                          </w:rPr>
                        </w:pPr>
                      </w:p>
                    </w:tc>
                  </w:tr>
                </w:tbl>
                <w:p w14:paraId="1D3B0CBE" w14:textId="77777777" w:rsidR="00863F9E" w:rsidRDefault="00863F9E" w:rsidP="00F90EE5">
                  <w:pPr>
                    <w:jc w:val="center"/>
                  </w:pPr>
                </w:p>
              </w:tc>
            </w:tr>
          </w:tbl>
          <w:p w14:paraId="14E98745" w14:textId="77777777" w:rsidR="00863F9E" w:rsidRDefault="00863F9E" w:rsidP="00F90EE5">
            <w:pPr>
              <w:jc w:val="center"/>
            </w:pPr>
          </w:p>
        </w:tc>
      </w:tr>
    </w:tbl>
    <w:p w14:paraId="6C60F763" w14:textId="77777777" w:rsidR="00863F9E" w:rsidRDefault="00863F9E" w:rsidP="00863F9E">
      <w:pPr>
        <w:pStyle w:val="NormalWeb"/>
        <w:spacing w:line="255" w:lineRule="atLeast"/>
        <w:rPr>
          <w:bCs/>
        </w:rPr>
      </w:pPr>
      <w:r>
        <w:rPr>
          <w:bCs/>
        </w:rPr>
        <w:t xml:space="preserve">On Dec. 29, 2020, the U.S. Department of Labor / Wage &amp; Hour Division issued Field Assistance Bulletin regarding posters that are required in workplaces, including the </w:t>
      </w:r>
      <w:r>
        <w:t>Fair Labor Standards Act (FLSA), the Family and Medical Leave Act (FMLA), Section 14I of the FLSA (Section 14I), the Employee Polygraph Protection Act (EPPA), and the Service Contract Act (SCA).</w:t>
      </w:r>
    </w:p>
    <w:p w14:paraId="5EFF8CAB" w14:textId="77777777" w:rsidR="00863F9E" w:rsidRDefault="00863F9E" w:rsidP="00863F9E">
      <w:pPr>
        <w:pStyle w:val="NormalWeb"/>
        <w:spacing w:line="255" w:lineRule="atLeast"/>
        <w:ind w:left="720"/>
      </w:pPr>
      <w:r>
        <w:t>“In most cases, these electronic notices supplement but do not replace the statutory and regulatory requirements that employers post a hard-copy notice. Whether notices are provided electronically or in hard-copy format, it is an employer’s obligation to provide the required notices to all affected individuals.</w:t>
      </w:r>
    </w:p>
    <w:p w14:paraId="0CC47822" w14:textId="77777777" w:rsidR="00863F9E" w:rsidRDefault="00863F9E" w:rsidP="00863F9E">
      <w:pPr>
        <w:pStyle w:val="NormalWeb"/>
        <w:spacing w:line="255" w:lineRule="atLeast"/>
        <w:ind w:left="720"/>
      </w:pPr>
      <w:r>
        <w:t>***</w:t>
      </w:r>
    </w:p>
    <w:p w14:paraId="68415510" w14:textId="77777777" w:rsidR="00863F9E" w:rsidRDefault="00863F9E" w:rsidP="00863F9E">
      <w:pPr>
        <w:pStyle w:val="NormalWeb"/>
        <w:spacing w:line="255" w:lineRule="atLeast"/>
        <w:ind w:left="720"/>
        <w:rPr>
          <w:rStyle w:val="Hyperlink"/>
        </w:rPr>
      </w:pPr>
      <w:r>
        <w:t xml:space="preserve">If a statute and its regulations require a notice to be continuously posted at a worksite, in most cases, WHD will only consider electronic posting an acceptable substitute for the continuous posting requirement where (1) all of the employer’s employees exclusively work remotely, (2) all employees customarily receive information from the employer via electronic means, and (3) all employees have readily available access to the electronic posting at all times. This ensures the electronic posting satisfies the statutory and regulatory requirements that such postings </w:t>
      </w:r>
      <w:proofErr w:type="gramStart"/>
      <w:r>
        <w:t>be</w:t>
      </w:r>
      <w:proofErr w:type="gramEnd"/>
      <w:r>
        <w:t xml:space="preserve"> continuously accessible to employees. Where an employer has employees on-site and other employees teleworking full-time, for example, the employer may supplement a hard-copy posting requirement with electronic posting and the Department would encourage both methods of posting.”  </w:t>
      </w:r>
      <w:hyperlink r:id="rId1785" w:history="1">
        <w:r>
          <w:rPr>
            <w:rStyle w:val="Hyperlink"/>
          </w:rPr>
          <w:t>https://www.dol.gov/sites/dolgov/files/WHD/legacy/files/fab_2020_7.pdf</w:t>
        </w:r>
      </w:hyperlink>
    </w:p>
    <w:p w14:paraId="2D69472B" w14:textId="77777777" w:rsidR="00863F9E" w:rsidRDefault="00863F9E" w:rsidP="00863F9E">
      <w:pPr>
        <w:pStyle w:val="NormalWeb"/>
        <w:spacing w:line="255" w:lineRule="atLeast"/>
        <w:rPr>
          <w:b/>
        </w:rPr>
      </w:pPr>
      <w:r>
        <w:rPr>
          <w:b/>
        </w:rPr>
        <w:t>Legal Lesson Learned: Fire Department need to keep posters on the wall.</w:t>
      </w:r>
    </w:p>
    <w:p w14:paraId="6BA0D76D" w14:textId="77777777" w:rsidR="00863F9E" w:rsidRDefault="00863F9E" w:rsidP="00E9307E">
      <w:pPr>
        <w:rPr>
          <w:rFonts w:ascii="Arial Black" w:hAnsi="Arial Black"/>
          <w:b/>
          <w:sz w:val="28"/>
          <w:szCs w:val="28"/>
        </w:rPr>
      </w:pPr>
    </w:p>
    <w:p w14:paraId="49165289" w14:textId="77777777" w:rsidR="00863F9E" w:rsidRDefault="00863F9E" w:rsidP="00E9307E">
      <w:pPr>
        <w:rPr>
          <w:rFonts w:ascii="Arial Black" w:hAnsi="Arial Black"/>
          <w:b/>
          <w:sz w:val="28"/>
          <w:szCs w:val="28"/>
        </w:rPr>
      </w:pPr>
    </w:p>
    <w:p w14:paraId="786F922C" w14:textId="77777777" w:rsidR="00863F9E" w:rsidRDefault="00863F9E" w:rsidP="00E9307E">
      <w:pPr>
        <w:rPr>
          <w:rFonts w:ascii="Arial Black" w:hAnsi="Arial Black"/>
          <w:b/>
          <w:sz w:val="28"/>
          <w:szCs w:val="28"/>
        </w:rPr>
      </w:pPr>
    </w:p>
    <w:p w14:paraId="753E5CAB" w14:textId="1400C63D" w:rsidR="00863F9E" w:rsidRDefault="00863F9E" w:rsidP="00E9307E">
      <w:pPr>
        <w:rPr>
          <w:rFonts w:ascii="Arial Black" w:hAnsi="Arial Black"/>
          <w:b/>
          <w:sz w:val="28"/>
          <w:szCs w:val="28"/>
        </w:rPr>
      </w:pPr>
      <w:r>
        <w:rPr>
          <w:rFonts w:ascii="Arial Black" w:hAnsi="Arial Black"/>
          <w:b/>
          <w:sz w:val="28"/>
          <w:szCs w:val="28"/>
        </w:rPr>
        <w:t>10-</w:t>
      </w:r>
      <w:r w:rsidR="00B06C3F">
        <w:rPr>
          <w:rFonts w:ascii="Arial Black" w:hAnsi="Arial Black"/>
          <w:b/>
          <w:sz w:val="28"/>
          <w:szCs w:val="28"/>
        </w:rPr>
        <w:t>6</w:t>
      </w:r>
    </w:p>
    <w:p w14:paraId="72F73E63" w14:textId="77777777" w:rsidR="00863F9E" w:rsidRDefault="00863F9E" w:rsidP="00863F9E">
      <w:pPr>
        <w:spacing w:before="100" w:beforeAutospacing="1" w:after="100" w:afterAutospacing="1" w:line="240" w:lineRule="auto"/>
        <w:rPr>
          <w:rFonts w:asciiTheme="minorHAnsi" w:eastAsiaTheme="minorHAnsi" w:hAnsiTheme="minorHAnsi" w:cstheme="minorBidi"/>
          <w:bCs/>
        </w:rPr>
      </w:pPr>
      <w:r>
        <w:rPr>
          <w:rFonts w:ascii="Arial Black" w:eastAsia="Times New Roman" w:hAnsi="Arial Black"/>
          <w:b/>
          <w:bCs/>
          <w:sz w:val="28"/>
          <w:szCs w:val="28"/>
        </w:rPr>
        <w:t>U.S. DOL:  TELEMEDICINE – EMPLOYEES MAY CONSULT DOCTOR ONLINE FOR FMLA – IF VIDEO CONFERENCES STATE APPROVED</w:t>
      </w:r>
    </w:p>
    <w:p w14:paraId="12214385" w14:textId="77777777" w:rsidR="00863F9E" w:rsidRDefault="00863F9E" w:rsidP="00863F9E">
      <w:pPr>
        <w:pStyle w:val="NormalWeb"/>
        <w:spacing w:line="255" w:lineRule="atLeast"/>
        <w:rPr>
          <w:bCs/>
        </w:rPr>
      </w:pPr>
      <w:r>
        <w:rPr>
          <w:bCs/>
        </w:rPr>
        <w:t xml:space="preserve">On Dec. 29, 2020, the U.S. Department of Labor / Wage &amp; Hour Division, issued a Field Assistance Bulletin regarding use of telemedicine. </w:t>
      </w:r>
    </w:p>
    <w:p w14:paraId="2127F9FE" w14:textId="77777777" w:rsidR="00863F9E" w:rsidRDefault="00863F9E" w:rsidP="00863F9E">
      <w:pPr>
        <w:pStyle w:val="NormalWeb"/>
        <w:spacing w:line="255" w:lineRule="atLeast"/>
        <w:ind w:left="720"/>
      </w:pPr>
      <w:r>
        <w:t xml:space="preserve">“WHD’s experience is that health care providers are now often using telemedicine to deliver examinations, evaluations, and other healthcare services that would previously have been provided only in an office setting. Given this </w:t>
      </w:r>
      <w:proofErr w:type="gramStart"/>
      <w:r>
        <w:t>experience, and</w:t>
      </w:r>
      <w:proofErr w:type="gramEnd"/>
      <w:r>
        <w:t xml:space="preserve"> continuing the policy adopted in response to the COVID-19 pandemic, WHD will consider a telemedicine visit with a health care provider as an in-person visit under 29 C.F.R. §825.115, provided specified criteria are met.</w:t>
      </w:r>
    </w:p>
    <w:p w14:paraId="15AE535A" w14:textId="77777777" w:rsidR="00863F9E" w:rsidRDefault="00863F9E" w:rsidP="00863F9E">
      <w:pPr>
        <w:pStyle w:val="NoSpacing"/>
        <w:ind w:firstLine="720"/>
        <w:rPr>
          <w:rFonts w:ascii="Times New Roman" w:hAnsi="Times New Roman"/>
          <w:sz w:val="24"/>
          <w:szCs w:val="24"/>
        </w:rPr>
      </w:pPr>
      <w:r>
        <w:rPr>
          <w:rFonts w:ascii="Times New Roman" w:hAnsi="Times New Roman"/>
          <w:sz w:val="24"/>
          <w:szCs w:val="24"/>
        </w:rPr>
        <w:t xml:space="preserve">To be considered an “in-person” visit, the telemedicine visit must include: </w:t>
      </w:r>
    </w:p>
    <w:p w14:paraId="5BC06183" w14:textId="77777777" w:rsidR="00863F9E" w:rsidRDefault="00863F9E" w:rsidP="00863F9E">
      <w:pPr>
        <w:pStyle w:val="NoSpacing"/>
        <w:numPr>
          <w:ilvl w:val="2"/>
          <w:numId w:val="8"/>
        </w:numPr>
        <w:rPr>
          <w:rFonts w:ascii="Times New Roman" w:hAnsi="Times New Roman"/>
          <w:sz w:val="24"/>
          <w:szCs w:val="24"/>
        </w:rPr>
      </w:pPr>
      <w:r>
        <w:rPr>
          <w:rFonts w:ascii="Times New Roman" w:hAnsi="Times New Roman"/>
          <w:sz w:val="24"/>
          <w:szCs w:val="24"/>
        </w:rPr>
        <w:t xml:space="preserve">an examination, evaluation, or treatment by a health care provider; </w:t>
      </w:r>
    </w:p>
    <w:p w14:paraId="7E69B2CE" w14:textId="77777777" w:rsidR="00863F9E" w:rsidRDefault="00863F9E" w:rsidP="00863F9E">
      <w:pPr>
        <w:pStyle w:val="NoSpacing"/>
        <w:numPr>
          <w:ilvl w:val="2"/>
          <w:numId w:val="8"/>
        </w:numPr>
        <w:rPr>
          <w:rFonts w:ascii="Times New Roman" w:hAnsi="Times New Roman"/>
          <w:sz w:val="24"/>
          <w:szCs w:val="24"/>
        </w:rPr>
      </w:pPr>
      <w:r>
        <w:rPr>
          <w:rFonts w:ascii="Times New Roman" w:hAnsi="Times New Roman"/>
          <w:sz w:val="24"/>
          <w:szCs w:val="24"/>
        </w:rPr>
        <w:t xml:space="preserve">be permitted and accepted by state licensing authorities; and, </w:t>
      </w:r>
    </w:p>
    <w:p w14:paraId="37FD8F55" w14:textId="77777777" w:rsidR="00863F9E" w:rsidRDefault="00863F9E" w:rsidP="00863F9E">
      <w:pPr>
        <w:pStyle w:val="NoSpacing"/>
        <w:numPr>
          <w:ilvl w:val="2"/>
          <w:numId w:val="8"/>
        </w:numPr>
        <w:rPr>
          <w:rFonts w:ascii="Times New Roman" w:hAnsi="Times New Roman"/>
          <w:bCs/>
          <w:sz w:val="24"/>
          <w:szCs w:val="24"/>
        </w:rPr>
      </w:pPr>
      <w:proofErr w:type="gramStart"/>
      <w:r>
        <w:rPr>
          <w:rFonts w:ascii="Times New Roman" w:hAnsi="Times New Roman"/>
          <w:sz w:val="24"/>
          <w:szCs w:val="24"/>
        </w:rPr>
        <w:t>generally</w:t>
      </w:r>
      <w:proofErr w:type="gramEnd"/>
      <w:r>
        <w:rPr>
          <w:rFonts w:ascii="Times New Roman" w:hAnsi="Times New Roman"/>
          <w:sz w:val="24"/>
          <w:szCs w:val="24"/>
        </w:rPr>
        <w:t>, should be performed by video conference.</w:t>
      </w:r>
    </w:p>
    <w:p w14:paraId="15708B85" w14:textId="77777777" w:rsidR="00863F9E" w:rsidRDefault="00863F9E" w:rsidP="00863F9E">
      <w:pPr>
        <w:pStyle w:val="NormalWeb"/>
        <w:spacing w:line="255" w:lineRule="atLeast"/>
        <w:ind w:left="720"/>
        <w:rPr>
          <w:b/>
        </w:rPr>
      </w:pPr>
      <w:r>
        <w:t xml:space="preserve">Communication methods that do not meet these criteria (e.g., a simple telephone call, letter, email, or text message) are insufficient, by themselves, to satisfy </w:t>
      </w:r>
      <w:proofErr w:type="spellStart"/>
      <w:r>
        <w:t>t he</w:t>
      </w:r>
      <w:proofErr w:type="spellEnd"/>
      <w:r>
        <w:t xml:space="preserve"> regulatory requirement of an ‘in-person’ visit.” </w:t>
      </w:r>
      <w:hyperlink r:id="rId1786" w:history="1">
        <w:r>
          <w:rPr>
            <w:rStyle w:val="Hyperlink"/>
          </w:rPr>
          <w:t>https://www.dol.gov/sites/dolgov/files/WHD/legacy/files/fab_2020_8.pdf</w:t>
        </w:r>
      </w:hyperlink>
      <w:r>
        <w:rPr>
          <w:b/>
        </w:rPr>
        <w:t xml:space="preserve"> </w:t>
      </w:r>
    </w:p>
    <w:p w14:paraId="19A5266A" w14:textId="77777777" w:rsidR="00863F9E" w:rsidRDefault="00863F9E" w:rsidP="00863F9E">
      <w:pPr>
        <w:pStyle w:val="NormalWeb"/>
        <w:spacing w:line="255" w:lineRule="atLeast"/>
        <w:rPr>
          <w:b/>
        </w:rPr>
      </w:pPr>
      <w:r>
        <w:rPr>
          <w:b/>
        </w:rPr>
        <w:t xml:space="preserve">Legal Lesson Learned: Fire &amp; EMS Department should consider updating their Employee Handbook with this new advice. </w:t>
      </w:r>
    </w:p>
    <w:p w14:paraId="5B01E691" w14:textId="77777777" w:rsidR="00863F9E" w:rsidRDefault="00863F9E" w:rsidP="00E9307E">
      <w:pPr>
        <w:rPr>
          <w:rFonts w:ascii="Arial Black" w:hAnsi="Arial Black"/>
          <w:b/>
          <w:sz w:val="28"/>
          <w:szCs w:val="28"/>
        </w:rPr>
      </w:pPr>
    </w:p>
    <w:p w14:paraId="6DAFD5E6" w14:textId="77777777" w:rsidR="00863F9E" w:rsidRDefault="00863F9E" w:rsidP="00E9307E">
      <w:pPr>
        <w:rPr>
          <w:rFonts w:ascii="Arial Black" w:hAnsi="Arial Black"/>
          <w:b/>
          <w:sz w:val="28"/>
          <w:szCs w:val="28"/>
        </w:rPr>
      </w:pPr>
    </w:p>
    <w:p w14:paraId="2E321BDA" w14:textId="77777777" w:rsidR="00DD03E3" w:rsidRDefault="00DD03E3" w:rsidP="00E9307E">
      <w:pPr>
        <w:rPr>
          <w:rFonts w:ascii="Arial Black" w:hAnsi="Arial Black"/>
          <w:b/>
          <w:sz w:val="28"/>
          <w:szCs w:val="28"/>
        </w:rPr>
      </w:pPr>
    </w:p>
    <w:p w14:paraId="5BC2EA81" w14:textId="212D5E1B" w:rsidR="00DD03E3" w:rsidRDefault="00102FD0"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5</w:t>
      </w:r>
    </w:p>
    <w:p w14:paraId="29891F42" w14:textId="77777777" w:rsidR="00102FD0" w:rsidRPr="00ED7936" w:rsidRDefault="00102FD0" w:rsidP="00102FD0">
      <w:pPr>
        <w:spacing w:before="100" w:beforeAutospacing="1" w:after="100" w:afterAutospacing="1" w:line="240" w:lineRule="auto"/>
        <w:rPr>
          <w:rFonts w:ascii="Arial Black" w:eastAsia="Times New Roman" w:hAnsi="Arial Black"/>
          <w:sz w:val="28"/>
          <w:szCs w:val="28"/>
        </w:rPr>
      </w:pPr>
      <w:r w:rsidRPr="00ED7936">
        <w:rPr>
          <w:rFonts w:ascii="Arial Black" w:eastAsia="Times New Roman" w:hAnsi="Arial Black"/>
          <w:sz w:val="28"/>
          <w:szCs w:val="28"/>
        </w:rPr>
        <w:t>AL:</w:t>
      </w:r>
      <w:r>
        <w:rPr>
          <w:rFonts w:ascii="Arial Black" w:eastAsia="Times New Roman" w:hAnsi="Arial Black"/>
          <w:sz w:val="28"/>
          <w:szCs w:val="28"/>
        </w:rPr>
        <w:t xml:space="preserve"> MEDIC WORKED  48-HR SHIFT - “I CAN’T TAKE IT ANYMORE” &amp; I’M TURNING IN GEAR – FD SAID HE RESIGNED - NO FMLA VIOL.</w:t>
      </w:r>
    </w:p>
    <w:p w14:paraId="1EAD66D9" w14:textId="77777777" w:rsidR="0037332F" w:rsidRPr="00C3618A" w:rsidRDefault="00102FD0" w:rsidP="0037332F">
      <w:pPr>
        <w:pStyle w:val="NormalWeb"/>
      </w:pPr>
      <w:r w:rsidRPr="00C3618A">
        <w:t xml:space="preserve">On </w:t>
      </w:r>
      <w:r>
        <w:t xml:space="preserve">Oct. 6, 2020, in </w:t>
      </w:r>
      <w:r w:rsidRPr="00C3618A">
        <w:rPr>
          <w:u w:val="single"/>
        </w:rPr>
        <w:t>Kyle Blake v. City of Montgomery, Alabama</w:t>
      </w:r>
      <w:r>
        <w:t xml:space="preserve">, U.S. District Court Judge R. Austin Huffaker, Jr., Middle District of Alabama, granted the City’s motion for summary judgment.  The plaintiff was burned out from being forced to work 48-hour shifts and told his </w:t>
      </w:r>
      <w:proofErr w:type="gramStart"/>
      <w:r>
        <w:t>Supervisor</w:t>
      </w:r>
      <w:proofErr w:type="gramEnd"/>
      <w:r>
        <w:t xml:space="preserve"> he would turn his stuff. </w:t>
      </w:r>
      <w:r w:rsidR="0037332F">
        <w:t xml:space="preserve"> </w:t>
      </w:r>
      <w:hyperlink r:id="rId1787" w:history="1">
        <w:r w:rsidR="0037332F" w:rsidRPr="00474EAE">
          <w:rPr>
            <w:rStyle w:val="Hyperlink"/>
          </w:rPr>
          <w:t>https://public.fastcase.com/Wl%2B2t%2BeVuI35%2FN70vAMFZmLHUFluj8t0T%2BAyFM6B%2B2S9SNpejaiKBu7OSzXfoy%2FQ</w:t>
        </w:r>
      </w:hyperlink>
      <w:r w:rsidR="0037332F">
        <w:t xml:space="preserve"> </w:t>
      </w:r>
    </w:p>
    <w:p w14:paraId="0C81017E" w14:textId="7D4F4628" w:rsidR="00102FD0" w:rsidRDefault="00102FD0" w:rsidP="00102FD0">
      <w:pPr>
        <w:pStyle w:val="NormalWeb"/>
      </w:pPr>
    </w:p>
    <w:p w14:paraId="4C23026F" w14:textId="77777777" w:rsidR="00102FD0" w:rsidRDefault="00102FD0" w:rsidP="00102FD0">
      <w:pPr>
        <w:pStyle w:val="NormalWeb"/>
        <w:ind w:left="720"/>
      </w:pPr>
      <w:r>
        <w:t xml:space="preserve">“Does telling your employer that, due to burnout, you ‘couldn't do it anymore’ and that you ‘would turn [your] stuff in if [you] needed to’ support a claim under the Family Medical Leave Act, 29 U.S.C. § 2601 </w:t>
      </w:r>
      <w:r>
        <w:rPr>
          <w:i/>
          <w:iCs/>
        </w:rPr>
        <w:t>et seq</w:t>
      </w:r>
      <w:r>
        <w:t>. (‘FMLA’) when your employer ultimately accepts these statements as your voluntary resignation from your job? … Plaintiff Kyle Blake claims that it does, and this lawsuit tests the legitimacy of that position.</w:t>
      </w:r>
    </w:p>
    <w:p w14:paraId="762136FC" w14:textId="77777777" w:rsidR="00102FD0" w:rsidRDefault="00102FD0" w:rsidP="00102FD0">
      <w:pPr>
        <w:pStyle w:val="NormalWeb"/>
        <w:ind w:left="720"/>
      </w:pPr>
      <w:r>
        <w:t>***</w:t>
      </w:r>
    </w:p>
    <w:p w14:paraId="73475981" w14:textId="77777777" w:rsidR="00102FD0" w:rsidRPr="00C3618A" w:rsidRDefault="00102FD0" w:rsidP="00102FD0">
      <w:pPr>
        <w:pStyle w:val="NormalWeb"/>
        <w:ind w:left="720"/>
      </w:pPr>
      <w:r>
        <w:t xml:space="preserve">“Blake's statements to Hackett that he ‘couldn't do it anymore,’ that he would ‘turn [his] stuff in,’ and that he needed to speak with his wife to sort this out, simply do not rise to a level sufficient to give the City notice he was experiencing a serious medical condition, let alone a qualifying medical condition, of any sort for which he wanted, needed or should be given FMLA leave.” </w:t>
      </w:r>
      <w:hyperlink r:id="rId1788" w:history="1">
        <w:r w:rsidRPr="00474EAE">
          <w:rPr>
            <w:rStyle w:val="Hyperlink"/>
          </w:rPr>
          <w:t>https://public.fastcase.com/Wl%2B2t%2BeVuI35%2FN70vAMFZmLHUFluj8t0T%2BAyFM6B%2B2S9SNpejaiKBu7OSzXfoy%2FQ</w:t>
        </w:r>
      </w:hyperlink>
      <w:r>
        <w:t xml:space="preserve"> </w:t>
      </w:r>
    </w:p>
    <w:p w14:paraId="0E3BDC8F" w14:textId="77777777" w:rsidR="00102FD0" w:rsidRDefault="00102FD0" w:rsidP="00E9307E">
      <w:pPr>
        <w:rPr>
          <w:rFonts w:ascii="Arial Black" w:hAnsi="Arial Black"/>
          <w:b/>
          <w:sz w:val="28"/>
          <w:szCs w:val="28"/>
        </w:rPr>
      </w:pPr>
    </w:p>
    <w:p w14:paraId="7901F0A8" w14:textId="77777777" w:rsidR="00B532F6" w:rsidRDefault="00B532F6" w:rsidP="00E9307E">
      <w:pPr>
        <w:rPr>
          <w:rFonts w:ascii="Arial Black" w:hAnsi="Arial Black"/>
          <w:b/>
          <w:sz w:val="28"/>
          <w:szCs w:val="28"/>
        </w:rPr>
      </w:pPr>
    </w:p>
    <w:p w14:paraId="11E3084E" w14:textId="1EDA6DC1" w:rsidR="006B2083" w:rsidRDefault="006B2083"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4</w:t>
      </w:r>
    </w:p>
    <w:p w14:paraId="47564AEA" w14:textId="77777777" w:rsidR="006B2083" w:rsidRDefault="006B2083" w:rsidP="006B2083">
      <w:pPr>
        <w:pStyle w:val="NoSpacing"/>
        <w:rPr>
          <w:rFonts w:ascii="Arial Black" w:hAnsi="Arial Black"/>
          <w:sz w:val="28"/>
          <w:szCs w:val="28"/>
        </w:rPr>
      </w:pPr>
      <w:r w:rsidRPr="008C3F94">
        <w:rPr>
          <w:rFonts w:ascii="Arial Black" w:hAnsi="Arial Black"/>
          <w:sz w:val="28"/>
          <w:szCs w:val="28"/>
        </w:rPr>
        <w:t xml:space="preserve">IL: </w:t>
      </w:r>
      <w:r>
        <w:rPr>
          <w:rFonts w:ascii="Arial Black" w:hAnsi="Arial Black"/>
          <w:sz w:val="28"/>
          <w:szCs w:val="28"/>
        </w:rPr>
        <w:t xml:space="preserve"> LT. TOOK FMLA LEAVE FOR A MONTH – FIRED AFTER FD INVESTIGATION - FAILURE TO PAY HIS SHARE OF SHIFT’S MEAL FUND</w:t>
      </w:r>
    </w:p>
    <w:p w14:paraId="4111C414" w14:textId="77777777" w:rsidR="009A7300" w:rsidRDefault="009A7300" w:rsidP="006B2083">
      <w:pPr>
        <w:pStyle w:val="NoSpacing"/>
        <w:rPr>
          <w:rFonts w:ascii="Times New Roman" w:hAnsi="Times New Roman"/>
          <w:sz w:val="24"/>
          <w:szCs w:val="24"/>
        </w:rPr>
      </w:pPr>
    </w:p>
    <w:p w14:paraId="5484D217" w14:textId="2B3C3D8B" w:rsidR="006B2083" w:rsidRPr="0098623B" w:rsidRDefault="006B2083" w:rsidP="006B2083">
      <w:pPr>
        <w:pStyle w:val="NoSpacing"/>
        <w:rPr>
          <w:rFonts w:ascii="Times New Roman" w:hAnsi="Times New Roman"/>
          <w:sz w:val="24"/>
          <w:szCs w:val="24"/>
        </w:rPr>
      </w:pPr>
      <w:r w:rsidRPr="006631A6">
        <w:rPr>
          <w:rFonts w:ascii="Times New Roman" w:hAnsi="Times New Roman"/>
          <w:sz w:val="24"/>
          <w:szCs w:val="24"/>
        </w:rPr>
        <w:t xml:space="preserve">On </w:t>
      </w:r>
      <w:r>
        <w:rPr>
          <w:rFonts w:ascii="Times New Roman" w:hAnsi="Times New Roman"/>
          <w:sz w:val="24"/>
          <w:szCs w:val="24"/>
        </w:rPr>
        <w:t xml:space="preserve">July 9, 2020, in </w:t>
      </w:r>
      <w:r w:rsidRPr="006631A6">
        <w:rPr>
          <w:rFonts w:ascii="Times New Roman" w:hAnsi="Times New Roman"/>
          <w:sz w:val="24"/>
          <w:szCs w:val="24"/>
          <w:u w:val="single"/>
        </w:rPr>
        <w:t>Melvin H. Brown v. UChicago Argonne LLC</w:t>
      </w:r>
      <w:r>
        <w:rPr>
          <w:rFonts w:ascii="Times New Roman" w:hAnsi="Times New Roman"/>
          <w:sz w:val="24"/>
          <w:szCs w:val="24"/>
        </w:rPr>
        <w:t xml:space="preserve">, U.S. District Court Judge Gary Feinerman, Northern District of Illinois, Eastern District (Chicago) granted summary judgment to the employer. The Court wrote: </w:t>
      </w:r>
      <w:r w:rsidRPr="0098623B">
        <w:rPr>
          <w:rFonts w:ascii="Times New Roman" w:hAnsi="Times New Roman"/>
          <w:sz w:val="24"/>
          <w:szCs w:val="24"/>
        </w:rPr>
        <w:t>Brown’s position that Argonne inadequately investigated Weber’s dinner fund complaint is, even if supported by the record, insufficient to establish pretext given the absence of evidence suggesting that Argonne did not sincerely believe that Brown had abused his authority in failing to reimburse Weber.</w:t>
      </w:r>
      <w:r>
        <w:rPr>
          <w:rFonts w:ascii="Times New Roman" w:hAnsi="Times New Roman"/>
          <w:sz w:val="24"/>
          <w:szCs w:val="24"/>
        </w:rPr>
        <w:t xml:space="preserve">”  </w:t>
      </w:r>
    </w:p>
    <w:p w14:paraId="067CA974" w14:textId="77777777" w:rsidR="006B2083" w:rsidRPr="0098623B" w:rsidRDefault="006B2083" w:rsidP="006B2083">
      <w:pPr>
        <w:pStyle w:val="NoSpacing"/>
        <w:rPr>
          <w:rFonts w:ascii="Times New Roman" w:hAnsi="Times New Roman"/>
          <w:sz w:val="24"/>
          <w:szCs w:val="24"/>
        </w:rPr>
      </w:pPr>
      <w:hyperlink r:id="rId1789" w:history="1">
        <w:r w:rsidRPr="000603D4">
          <w:rPr>
            <w:rStyle w:val="Hyperlink"/>
            <w:rFonts w:ascii="Times New Roman" w:hAnsi="Times New Roman"/>
            <w:sz w:val="24"/>
            <w:szCs w:val="24"/>
          </w:rPr>
          <w:t>https://cases.justia.com/federal/district-courts/illinois/ilndce/1:2018cv08500/359885/139/0.pdf?ts=1594372800</w:t>
        </w:r>
      </w:hyperlink>
      <w:r>
        <w:rPr>
          <w:rFonts w:ascii="Times New Roman" w:hAnsi="Times New Roman"/>
          <w:sz w:val="24"/>
          <w:szCs w:val="24"/>
        </w:rPr>
        <w:t xml:space="preserve"> </w:t>
      </w:r>
    </w:p>
    <w:p w14:paraId="6C90A1CC" w14:textId="77777777" w:rsidR="006B2083" w:rsidRPr="0098623B" w:rsidRDefault="006B2083" w:rsidP="006B2083">
      <w:pPr>
        <w:spacing w:before="100" w:beforeAutospacing="1" w:after="100" w:afterAutospacing="1" w:line="240" w:lineRule="auto"/>
        <w:rPr>
          <w:rFonts w:ascii="Times New Roman" w:hAnsi="Times New Roman"/>
          <w:b/>
          <w:bCs/>
          <w:sz w:val="24"/>
          <w:szCs w:val="24"/>
        </w:rPr>
      </w:pPr>
      <w:r w:rsidRPr="0098623B">
        <w:rPr>
          <w:rFonts w:ascii="Times New Roman" w:hAnsi="Times New Roman"/>
          <w:b/>
          <w:bCs/>
          <w:sz w:val="24"/>
          <w:szCs w:val="24"/>
        </w:rPr>
        <w:t xml:space="preserve">Legal Lesson Learned: </w:t>
      </w:r>
      <w:r>
        <w:rPr>
          <w:rFonts w:ascii="Times New Roman" w:hAnsi="Times New Roman"/>
          <w:b/>
          <w:bCs/>
          <w:sz w:val="24"/>
          <w:szCs w:val="24"/>
        </w:rPr>
        <w:t xml:space="preserve">FMLA statute includes protection against retaliation, but employee must still prove that the discipline imposed was in fact retaliation.  </w:t>
      </w:r>
    </w:p>
    <w:p w14:paraId="039C0174" w14:textId="77777777" w:rsidR="006B2083" w:rsidRDefault="006B2083" w:rsidP="006B2083">
      <w:pPr>
        <w:pStyle w:val="NoSpacing"/>
        <w:ind w:left="720"/>
        <w:rPr>
          <w:rFonts w:ascii="Times New Roman" w:hAnsi="Times New Roman"/>
          <w:sz w:val="24"/>
          <w:szCs w:val="24"/>
        </w:rPr>
      </w:pPr>
      <w:r w:rsidRPr="00EA7DA2">
        <w:rPr>
          <w:rFonts w:ascii="Times New Roman" w:eastAsia="Times New Roman" w:hAnsi="Times New Roman"/>
          <w:sz w:val="24"/>
          <w:szCs w:val="24"/>
        </w:rPr>
        <w:t>Note:</w:t>
      </w:r>
      <w:r>
        <w:rPr>
          <w:rFonts w:ascii="Times New Roman" w:eastAsia="Times New Roman" w:hAnsi="Times New Roman"/>
          <w:b/>
          <w:bCs/>
          <w:sz w:val="24"/>
          <w:szCs w:val="24"/>
        </w:rPr>
        <w:t xml:space="preserve"> </w:t>
      </w:r>
      <w:r>
        <w:rPr>
          <w:rFonts w:ascii="Times New Roman" w:hAnsi="Times New Roman"/>
          <w:sz w:val="24"/>
          <w:szCs w:val="24"/>
        </w:rPr>
        <w:t xml:space="preserve">Fire Department at Argonne National Laboratory, which is managed by the University of Chicago; </w:t>
      </w:r>
      <w:hyperlink r:id="rId1790" w:history="1">
        <w:r w:rsidRPr="00677A50">
          <w:rPr>
            <w:rStyle w:val="Hyperlink"/>
            <w:rFonts w:ascii="Times New Roman" w:hAnsi="Times New Roman"/>
            <w:sz w:val="24"/>
            <w:szCs w:val="24"/>
          </w:rPr>
          <w:t>http://chicagoareafire.com/blog/tag/argonne-national-laboratory-fire-department/</w:t>
        </w:r>
      </w:hyperlink>
      <w:r>
        <w:rPr>
          <w:rFonts w:ascii="Times New Roman" w:hAnsi="Times New Roman"/>
          <w:sz w:val="24"/>
          <w:szCs w:val="24"/>
        </w:rPr>
        <w:t xml:space="preserve">   </w:t>
      </w:r>
    </w:p>
    <w:p w14:paraId="12F079D0" w14:textId="77777777" w:rsidR="006B2083" w:rsidRDefault="006B2083" w:rsidP="006B2083">
      <w:pPr>
        <w:pStyle w:val="NoSpacing"/>
        <w:rPr>
          <w:rFonts w:ascii="Times New Roman" w:hAnsi="Times New Roman"/>
          <w:sz w:val="24"/>
          <w:szCs w:val="24"/>
        </w:rPr>
      </w:pPr>
    </w:p>
    <w:p w14:paraId="5780357B" w14:textId="77777777" w:rsidR="006B2083" w:rsidRDefault="006B2083" w:rsidP="00E9307E">
      <w:pPr>
        <w:rPr>
          <w:rFonts w:ascii="Arial Black" w:hAnsi="Arial Black"/>
          <w:b/>
          <w:sz w:val="28"/>
          <w:szCs w:val="28"/>
        </w:rPr>
      </w:pPr>
    </w:p>
    <w:p w14:paraId="30B849AF" w14:textId="77777777" w:rsidR="006B2083" w:rsidRDefault="006B2083" w:rsidP="00E9307E">
      <w:pPr>
        <w:rPr>
          <w:rFonts w:ascii="Arial Black" w:hAnsi="Arial Black"/>
          <w:b/>
          <w:sz w:val="28"/>
          <w:szCs w:val="28"/>
        </w:rPr>
      </w:pPr>
    </w:p>
    <w:p w14:paraId="0322A37A" w14:textId="56FF29C8" w:rsidR="00366CDD" w:rsidRDefault="00366CDD"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3</w:t>
      </w:r>
      <w:r>
        <w:rPr>
          <w:rFonts w:ascii="Arial Black" w:hAnsi="Arial Black"/>
          <w:b/>
          <w:sz w:val="28"/>
          <w:szCs w:val="28"/>
        </w:rPr>
        <w:t xml:space="preserve"> [Also filed, Chap. 9 &amp; Chap. 15]</w:t>
      </w:r>
    </w:p>
    <w:p w14:paraId="0123A73E"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bookmarkStart w:id="373" w:name="_Hlk66948556"/>
      <w:r w:rsidRPr="00A670C3">
        <w:rPr>
          <w:rFonts w:ascii="Arial Black" w:eastAsia="Times New Roman" w:hAnsi="Arial Black"/>
          <w:sz w:val="28"/>
          <w:szCs w:val="28"/>
        </w:rPr>
        <w:t xml:space="preserve">PA: </w:t>
      </w:r>
      <w:r>
        <w:rPr>
          <w:rFonts w:ascii="Arial Black" w:eastAsia="Times New Roman" w:hAnsi="Arial Black"/>
          <w:sz w:val="28"/>
          <w:szCs w:val="28"/>
        </w:rPr>
        <w:t>FF PANIC ATTACK ON DUTY – PTSD, MEDICATION – NO LONGER QUALIFIED AS FF – TERMINATION NOT VIOL. ADA</w:t>
      </w:r>
    </w:p>
    <w:p w14:paraId="4FD3A7E0"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bookmarkEnd w:id="373"/>
    <w:p w14:paraId="05DC189E"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bookmarkStart w:id="374" w:name="_Hlk66948592"/>
      <w:r w:rsidR="00F00958">
        <w:fldChar w:fldCharType="begin"/>
      </w:r>
      <w:r w:rsidR="00F00958">
        <w:instrText xml:space="preserve"> HYPERLINK "https://public.fastcase.com/Wl%2B2t%2BeVuI35%2FN70vAMFZkkc03nKI8qkpSJ%2FzmzLggswfoR1RvbDETmM60pPGUhc" </w:instrText>
      </w:r>
      <w:r w:rsidR="00F00958">
        <w:fldChar w:fldCharType="separate"/>
      </w:r>
      <w:r w:rsidRPr="00377614">
        <w:rPr>
          <w:rStyle w:val="Hyperlink"/>
        </w:rPr>
        <w:t>https://public.fastcase.com/Wl%2B2t%2BeVuI35%2FN70vAMFZkkc03nKI8qkpSJ%2FzmzLggswfoR1RvbDETmM60pPGUhc</w:t>
      </w:r>
      <w:r w:rsidR="00F00958">
        <w:rPr>
          <w:rStyle w:val="Hyperlink"/>
        </w:rPr>
        <w:fldChar w:fldCharType="end"/>
      </w:r>
      <w:r>
        <w:t xml:space="preserve"> </w:t>
      </w:r>
    </w:p>
    <w:p w14:paraId="67A914FA" w14:textId="77777777" w:rsidR="00366CDD" w:rsidRPr="00DE2E06" w:rsidRDefault="00366CDD" w:rsidP="00366CDD">
      <w:pPr>
        <w:rPr>
          <w:rFonts w:ascii="Times New Roman" w:hAnsi="Times New Roman"/>
          <w:b/>
          <w:bCs/>
          <w:sz w:val="24"/>
          <w:szCs w:val="24"/>
        </w:rPr>
      </w:pPr>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FMLA also addressed (see below).</w:t>
      </w:r>
    </w:p>
    <w:bookmarkEnd w:id="374"/>
    <w:p w14:paraId="5C96A1C5" w14:textId="7DD5B946" w:rsidR="00366CDD" w:rsidRPr="00063DF6" w:rsidRDefault="00366CDD" w:rsidP="00366CDD">
      <w:pPr>
        <w:pStyle w:val="NormalWeb"/>
        <w:ind w:left="720"/>
        <w:rPr>
          <w:b/>
          <w:bCs/>
        </w:rPr>
      </w:pPr>
      <w:r w:rsidRPr="00063DF6">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 xml:space="preserve">…. </w:t>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6530185D" w14:textId="77777777" w:rsidR="00366CDD" w:rsidRDefault="00366CDD" w:rsidP="00E9307E">
      <w:pPr>
        <w:rPr>
          <w:rFonts w:ascii="Arial Black" w:hAnsi="Arial Black"/>
          <w:b/>
          <w:sz w:val="28"/>
          <w:szCs w:val="28"/>
        </w:rPr>
      </w:pPr>
    </w:p>
    <w:bookmarkEnd w:id="371"/>
    <w:p w14:paraId="5B3FCE04" w14:textId="4D3A39C5" w:rsidR="00DE0F03" w:rsidRDefault="00DE0F03" w:rsidP="00DE0F03">
      <w:pPr>
        <w:rPr>
          <w:sz w:val="24"/>
          <w:szCs w:val="24"/>
        </w:rPr>
      </w:pPr>
      <w:r>
        <w:rPr>
          <w:rFonts w:ascii="Arial Black" w:hAnsi="Arial Black"/>
          <w:b/>
          <w:sz w:val="24"/>
          <w:szCs w:val="24"/>
        </w:rPr>
        <w:t>10</w:t>
      </w:r>
      <w:r w:rsidRPr="00EF1133">
        <w:rPr>
          <w:rFonts w:ascii="Arial Black" w:hAnsi="Arial Black"/>
          <w:b/>
          <w:sz w:val="24"/>
          <w:szCs w:val="24"/>
        </w:rPr>
        <w:t>-</w:t>
      </w:r>
      <w:r>
        <w:rPr>
          <w:rFonts w:ascii="Arial Black" w:hAnsi="Arial Black"/>
          <w:b/>
          <w:sz w:val="24"/>
          <w:szCs w:val="24"/>
        </w:rPr>
        <w:t>2</w:t>
      </w:r>
    </w:p>
    <w:p w14:paraId="6A195784" w14:textId="29C131DC" w:rsidR="00F326E5" w:rsidRPr="00C56DAA" w:rsidRDefault="00F326E5" w:rsidP="00F326E5">
      <w:pPr>
        <w:rPr>
          <w:rFonts w:ascii="Arial Black" w:hAnsi="Arial Black"/>
          <w:sz w:val="28"/>
          <w:szCs w:val="28"/>
        </w:rPr>
      </w:pPr>
      <w:bookmarkStart w:id="375" w:name="_Hlk39819188"/>
      <w:bookmarkStart w:id="376" w:name="_Hlk7345186"/>
      <w:r w:rsidRPr="00C56DAA">
        <w:rPr>
          <w:rFonts w:ascii="Arial Black" w:hAnsi="Arial Black"/>
          <w:sz w:val="28"/>
          <w:szCs w:val="28"/>
        </w:rPr>
        <w:t>U.S. D</w:t>
      </w:r>
      <w:r>
        <w:rPr>
          <w:rFonts w:ascii="Arial Black" w:hAnsi="Arial Black"/>
          <w:sz w:val="28"/>
          <w:szCs w:val="28"/>
        </w:rPr>
        <w:t xml:space="preserve">EPT. LABOR – HEALTHY PERSON DONATING ORGAN ENTITLED TO FMLA LEAVE </w:t>
      </w:r>
    </w:p>
    <w:p w14:paraId="17F4EA37" w14:textId="77777777" w:rsid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Aug. 28, 2018, the U.S. Department of Labor issued Opinion No. FMLA2018-2- A. </w:t>
      </w:r>
    </w:p>
    <w:p w14:paraId="3B877859" w14:textId="475EF534" w:rsidR="00F326E5" w:rsidRPr="00E658E1" w:rsidRDefault="00F326E5" w:rsidP="00E658E1">
      <w:pPr>
        <w:ind w:left="720"/>
        <w:rPr>
          <w:rFonts w:ascii="Times New Roman" w:eastAsia="Times New Roman" w:hAnsi="Times New Roman"/>
          <w:sz w:val="24"/>
          <w:szCs w:val="24"/>
        </w:rPr>
      </w:pPr>
      <w:r w:rsidRPr="00E658E1">
        <w:rPr>
          <w:rFonts w:ascii="Times New Roman" w:eastAsia="Times New Roman" w:hAnsi="Times New Roman"/>
          <w:sz w:val="24"/>
          <w:szCs w:val="24"/>
        </w:rPr>
        <w:t>“This letter responds to your request for an opinion letter concerning whether organ-donation surgery can qualify as a ‘serious health condition’ under the Family and Medical Leave Act of 1993 (FMLA). As discussed below, we conclude that it can.”</w:t>
      </w:r>
      <w:r w:rsidR="00E658E1">
        <w:rPr>
          <w:rFonts w:ascii="Times New Roman" w:eastAsia="Times New Roman" w:hAnsi="Times New Roman"/>
          <w:sz w:val="24"/>
          <w:szCs w:val="24"/>
        </w:rPr>
        <w:t xml:space="preserve"> </w:t>
      </w:r>
      <w:hyperlink r:id="rId1791" w:history="1">
        <w:r w:rsidRPr="00E658E1">
          <w:rPr>
            <w:rStyle w:val="Hyperlink"/>
            <w:rFonts w:ascii="Times New Roman" w:hAnsi="Times New Roman"/>
            <w:sz w:val="24"/>
            <w:szCs w:val="24"/>
          </w:rPr>
          <w:t>https://www.dol.gov/whd/opinion/FMLA/2018/2018_08_28_2A_FMLA.pdf</w:t>
        </w:r>
      </w:hyperlink>
      <w:bookmarkEnd w:id="375"/>
      <w:r w:rsidRPr="00E658E1">
        <w:rPr>
          <w:rFonts w:ascii="Times New Roman" w:eastAsia="Times New Roman" w:hAnsi="Times New Roman"/>
          <w:sz w:val="24"/>
          <w:szCs w:val="24"/>
        </w:rPr>
        <w:t xml:space="preserve"> </w:t>
      </w:r>
    </w:p>
    <w:p w14:paraId="5720C0D4" w14:textId="51C1B863" w:rsidR="00F326E5" w:rsidRPr="00E658E1" w:rsidRDefault="00F326E5" w:rsidP="00F326E5">
      <w:pPr>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Helpful to have an Opinion Letter that may encourage others to be organ donors. </w:t>
      </w:r>
    </w:p>
    <w:p w14:paraId="07D70E34" w14:textId="77777777" w:rsidR="00DE0F03" w:rsidRDefault="00DE0F03" w:rsidP="00DE0F03">
      <w:pPr>
        <w:rPr>
          <w:rFonts w:ascii="Arial Black" w:hAnsi="Arial Black"/>
          <w:b/>
          <w:sz w:val="24"/>
          <w:szCs w:val="24"/>
        </w:rPr>
      </w:pPr>
    </w:p>
    <w:p w14:paraId="48CE18B7" w14:textId="28A61DEE" w:rsidR="00DE0F03" w:rsidRDefault="00DE0F03" w:rsidP="00DE0F03">
      <w:pPr>
        <w:rPr>
          <w:sz w:val="24"/>
          <w:szCs w:val="24"/>
        </w:rPr>
      </w:pPr>
      <w:r>
        <w:rPr>
          <w:rFonts w:ascii="Arial Black" w:hAnsi="Arial Black"/>
          <w:b/>
          <w:sz w:val="24"/>
          <w:szCs w:val="24"/>
        </w:rPr>
        <w:t>10</w:t>
      </w:r>
      <w:r w:rsidRPr="00EF1133">
        <w:rPr>
          <w:rFonts w:ascii="Arial Black" w:hAnsi="Arial Black"/>
          <w:b/>
          <w:sz w:val="24"/>
          <w:szCs w:val="24"/>
        </w:rPr>
        <w:t>-1</w:t>
      </w:r>
    </w:p>
    <w:p w14:paraId="11711C48" w14:textId="6FCE684F" w:rsidR="008F1BBB" w:rsidRDefault="008F1BBB" w:rsidP="008F1BBB">
      <w:pPr>
        <w:pStyle w:val="NoSpacing"/>
        <w:rPr>
          <w:rFonts w:ascii="Arial Black" w:hAnsi="Arial Black"/>
          <w:b/>
          <w:sz w:val="24"/>
          <w:szCs w:val="24"/>
        </w:rPr>
      </w:pPr>
      <w:bookmarkStart w:id="377" w:name="_Hlk39771651"/>
      <w:bookmarkStart w:id="378" w:name="_Hlk7181215"/>
      <w:bookmarkEnd w:id="376"/>
      <w:r>
        <w:rPr>
          <w:rFonts w:ascii="Arial Black" w:hAnsi="Arial Black"/>
          <w:sz w:val="28"/>
          <w:szCs w:val="28"/>
        </w:rPr>
        <w:t>OH: DAYTON FD RECRUIT – RE</w:t>
      </w:r>
      <w:r w:rsidR="00BC38B6">
        <w:rPr>
          <w:rFonts w:ascii="Arial Black" w:hAnsi="Arial Black"/>
          <w:sz w:val="28"/>
          <w:szCs w:val="28"/>
        </w:rPr>
        <w:t xml:space="preserve">MOVED </w:t>
      </w:r>
      <w:r>
        <w:rPr>
          <w:rFonts w:ascii="Arial Black" w:hAnsi="Arial Black"/>
          <w:sz w:val="28"/>
          <w:szCs w:val="28"/>
        </w:rPr>
        <w:t xml:space="preserve">FROM CLASS AFTER KNEE INJURY – NO FMLA VIOLATION </w:t>
      </w:r>
      <w:r w:rsidRPr="00EB2673">
        <w:rPr>
          <w:b/>
          <w:sz w:val="24"/>
          <w:szCs w:val="24"/>
        </w:rPr>
        <w:t>[also filed, Chap. 14]</w:t>
      </w:r>
      <w:r>
        <w:rPr>
          <w:rFonts w:ascii="Arial Black" w:hAnsi="Arial Black"/>
          <w:sz w:val="28"/>
          <w:szCs w:val="28"/>
        </w:rPr>
        <w:t xml:space="preserve"> </w:t>
      </w:r>
    </w:p>
    <w:p w14:paraId="5D43F0E8" w14:textId="77777777" w:rsidR="00E658E1" w:rsidRDefault="008F1BBB" w:rsidP="008F1BBB">
      <w:pPr>
        <w:rPr>
          <w:rFonts w:ascii="Times New Roman" w:hAnsi="Times New Roman"/>
          <w:sz w:val="24"/>
          <w:szCs w:val="24"/>
        </w:rPr>
      </w:pPr>
      <w:r w:rsidRPr="00E658E1">
        <w:rPr>
          <w:rFonts w:ascii="Times New Roman" w:hAnsi="Times New Roman"/>
          <w:sz w:val="24"/>
          <w:szCs w:val="24"/>
        </w:rPr>
        <w:t xml:space="preserve">On </w:t>
      </w:r>
      <w:bookmarkStart w:id="379" w:name="_Hlk39847208"/>
      <w:r w:rsidRPr="00E658E1">
        <w:rPr>
          <w:rFonts w:ascii="Times New Roman" w:hAnsi="Times New Roman"/>
          <w:sz w:val="24"/>
          <w:szCs w:val="24"/>
        </w:rPr>
        <w:t xml:space="preserve">Feb. 9, </w:t>
      </w:r>
      <w:proofErr w:type="gramStart"/>
      <w:r w:rsidRPr="00E658E1">
        <w:rPr>
          <w:rFonts w:ascii="Times New Roman" w:hAnsi="Times New Roman"/>
          <w:sz w:val="24"/>
          <w:szCs w:val="24"/>
        </w:rPr>
        <w:t>2018</w:t>
      </w:r>
      <w:proofErr w:type="gramEnd"/>
      <w:r w:rsidRPr="00E658E1">
        <w:rPr>
          <w:rFonts w:ascii="Times New Roman" w:hAnsi="Times New Roman"/>
          <w:sz w:val="24"/>
          <w:szCs w:val="24"/>
        </w:rPr>
        <w:t xml:space="preserve"> in </w:t>
      </w:r>
      <w:r w:rsidRPr="00E658E1">
        <w:rPr>
          <w:rFonts w:ascii="Times New Roman" w:hAnsi="Times New Roman"/>
          <w:sz w:val="24"/>
          <w:szCs w:val="24"/>
          <w:u w:val="single"/>
        </w:rPr>
        <w:t>Shawn N. Geisel v. City of Dayton, et al</w:t>
      </w:r>
      <w:r w:rsidRPr="00E658E1">
        <w:rPr>
          <w:rFonts w:ascii="Times New Roman" w:hAnsi="Times New Roman"/>
          <w:sz w:val="24"/>
          <w:szCs w:val="24"/>
        </w:rPr>
        <w:t xml:space="preserve">., </w:t>
      </w:r>
      <w:bookmarkEnd w:id="379"/>
      <w:r w:rsidRPr="00E658E1">
        <w:rPr>
          <w:rFonts w:ascii="Times New Roman" w:hAnsi="Times New Roman"/>
          <w:sz w:val="24"/>
          <w:szCs w:val="24"/>
        </w:rPr>
        <w:t xml:space="preserve">Ohio Court of Appeals for Second Circuit (Montgomery County) held (3 to 0) that the FD had the authority to remove him from the recruit class and ‘demote’ him back to EMT.   </w:t>
      </w:r>
    </w:p>
    <w:p w14:paraId="3B569E18" w14:textId="5948E9F3" w:rsidR="008F1BBB" w:rsidRPr="00E658E1" w:rsidRDefault="008F1BBB" w:rsidP="00E658E1">
      <w:pPr>
        <w:ind w:left="720"/>
        <w:rPr>
          <w:rFonts w:ascii="Times New Roman" w:hAnsi="Times New Roman"/>
          <w:sz w:val="24"/>
          <w:szCs w:val="24"/>
        </w:rPr>
      </w:pPr>
      <w:r w:rsidRPr="00E658E1">
        <w:rPr>
          <w:rFonts w:ascii="Times New Roman" w:hAnsi="Times New Roman"/>
          <w:sz w:val="24"/>
          <w:szCs w:val="24"/>
        </w:rPr>
        <w:t xml:space="preserve">“We do not mean to imply that Geisel could not reapply for the position, but only that his appointment to Firefighter Recruit was a self-contained opportunity that did not entail a right to be reappointed or to continue as a recruit until he could complete the training program.”  </w:t>
      </w:r>
      <w:bookmarkStart w:id="380" w:name="_Hlk39847230"/>
      <w:r w:rsidR="00BC38B6">
        <w:fldChar w:fldCharType="begin"/>
      </w:r>
      <w:r w:rsidR="00BC38B6">
        <w:instrText xml:space="preserve"> HYPERLINK "http://www.supremecourt.ohio.gov/rod/docs/pdf/2/2018/2018-ohio-512.pdf" </w:instrText>
      </w:r>
      <w:r w:rsidR="00BC38B6">
        <w:fldChar w:fldCharType="separate"/>
      </w:r>
      <w:r w:rsidRPr="00E658E1">
        <w:rPr>
          <w:rStyle w:val="Hyperlink"/>
          <w:rFonts w:ascii="Times New Roman" w:hAnsi="Times New Roman"/>
          <w:sz w:val="24"/>
          <w:szCs w:val="24"/>
        </w:rPr>
        <w:t>http://www.supremecourt.ohio.gov/rod/docs/pdf/2/2018/2018-ohio-512.pdf</w:t>
      </w:r>
      <w:r w:rsidR="00BC38B6">
        <w:rPr>
          <w:rStyle w:val="Hyperlink"/>
          <w:rFonts w:ascii="Times New Roman" w:hAnsi="Times New Roman"/>
          <w:sz w:val="24"/>
          <w:szCs w:val="24"/>
        </w:rPr>
        <w:fldChar w:fldCharType="end"/>
      </w:r>
      <w:r w:rsidRPr="00E658E1">
        <w:rPr>
          <w:rFonts w:ascii="Times New Roman" w:hAnsi="Times New Roman"/>
          <w:sz w:val="24"/>
          <w:szCs w:val="24"/>
        </w:rPr>
        <w:t xml:space="preserve"> </w:t>
      </w:r>
    </w:p>
    <w:p w14:paraId="20A676B3" w14:textId="5A66D8AC" w:rsidR="008F1BBB" w:rsidRDefault="008F1BBB" w:rsidP="00B532F6">
      <w:pPr>
        <w:rPr>
          <w:rFonts w:ascii="Arial Black" w:hAnsi="Arial Black"/>
          <w:sz w:val="40"/>
          <w:szCs w:val="40"/>
        </w:rPr>
      </w:pPr>
      <w:bookmarkStart w:id="381" w:name="_Hlk40512893"/>
      <w:bookmarkEnd w:id="377"/>
      <w:bookmarkEnd w:id="380"/>
      <w:r w:rsidRPr="00E658E1">
        <w:rPr>
          <w:rFonts w:ascii="Times New Roman" w:hAnsi="Times New Roman"/>
          <w:b/>
          <w:sz w:val="24"/>
          <w:szCs w:val="24"/>
        </w:rPr>
        <w:t>L</w:t>
      </w:r>
      <w:r w:rsidR="0052665B">
        <w:rPr>
          <w:rFonts w:ascii="Times New Roman" w:hAnsi="Times New Roman"/>
          <w:b/>
          <w:sz w:val="24"/>
          <w:szCs w:val="24"/>
        </w:rPr>
        <w:t xml:space="preserve">egal Lesson Learned: </w:t>
      </w:r>
      <w:r w:rsidRPr="00E658E1">
        <w:rPr>
          <w:rFonts w:ascii="Times New Roman" w:hAnsi="Times New Roman"/>
          <w:b/>
          <w:sz w:val="24"/>
          <w:szCs w:val="24"/>
        </w:rPr>
        <w:t xml:space="preserve">Dayton Civil Services rules treat </w:t>
      </w:r>
      <w:proofErr w:type="gramStart"/>
      <w:r w:rsidRPr="00E658E1">
        <w:rPr>
          <w:rFonts w:ascii="Times New Roman" w:hAnsi="Times New Roman"/>
          <w:b/>
          <w:sz w:val="24"/>
          <w:szCs w:val="24"/>
        </w:rPr>
        <w:t>a</w:t>
      </w:r>
      <w:proofErr w:type="gramEnd"/>
      <w:r w:rsidRPr="00E658E1">
        <w:rPr>
          <w:rFonts w:ascii="Times New Roman" w:hAnsi="Times New Roman"/>
          <w:b/>
          <w:sz w:val="24"/>
          <w:szCs w:val="24"/>
        </w:rPr>
        <w:t xml:space="preserve"> FF recruit as a probationary employee; when injured in recruit school, </w:t>
      </w:r>
      <w:r w:rsidR="00A16B10">
        <w:rPr>
          <w:rFonts w:ascii="Times New Roman" w:hAnsi="Times New Roman"/>
          <w:b/>
          <w:sz w:val="24"/>
          <w:szCs w:val="24"/>
        </w:rPr>
        <w:t xml:space="preserve">he </w:t>
      </w:r>
      <w:r w:rsidRPr="00E658E1">
        <w:rPr>
          <w:rFonts w:ascii="Times New Roman" w:hAnsi="Times New Roman"/>
          <w:b/>
          <w:sz w:val="24"/>
          <w:szCs w:val="24"/>
        </w:rPr>
        <w:t>can be “demoted” back to EMT-B and placed on light duty.</w:t>
      </w:r>
      <w:bookmarkEnd w:id="378"/>
      <w:bookmarkEnd w:id="381"/>
    </w:p>
    <w:p w14:paraId="481B2BA8" w14:textId="77777777" w:rsidR="00B532F6" w:rsidRDefault="00B532F6" w:rsidP="00F326E5">
      <w:pPr>
        <w:pStyle w:val="NoSpacing"/>
        <w:rPr>
          <w:rFonts w:ascii="Arial Black" w:hAnsi="Arial Black"/>
          <w:sz w:val="40"/>
          <w:szCs w:val="40"/>
        </w:rPr>
      </w:pPr>
    </w:p>
    <w:p w14:paraId="1EDE9D39" w14:textId="7839FFA4" w:rsidR="00102FD0" w:rsidRDefault="00102FD0">
      <w:pPr>
        <w:spacing w:after="0" w:line="240" w:lineRule="auto"/>
        <w:rPr>
          <w:rFonts w:ascii="Arial Black" w:hAnsi="Arial Black"/>
          <w:sz w:val="40"/>
          <w:szCs w:val="40"/>
        </w:rPr>
      </w:pPr>
      <w:r>
        <w:rPr>
          <w:rFonts w:ascii="Arial Black" w:hAnsi="Arial Black"/>
          <w:sz w:val="40"/>
          <w:szCs w:val="40"/>
        </w:rPr>
        <w:br w:type="page"/>
      </w:r>
    </w:p>
    <w:p w14:paraId="5560A8D6" w14:textId="77777777" w:rsidR="00102FD0" w:rsidRDefault="00102FD0" w:rsidP="00F326E5">
      <w:pPr>
        <w:pStyle w:val="NoSpacing"/>
        <w:rPr>
          <w:rFonts w:ascii="Arial Black" w:hAnsi="Arial Black"/>
          <w:sz w:val="40"/>
          <w:szCs w:val="40"/>
        </w:rPr>
      </w:pPr>
    </w:p>
    <w:p w14:paraId="5BB13200" w14:textId="77777777" w:rsidR="009C7451" w:rsidRDefault="009C7451" w:rsidP="00F326E5">
      <w:pPr>
        <w:pStyle w:val="NoSpacing"/>
        <w:rPr>
          <w:rFonts w:ascii="Arial Black" w:hAnsi="Arial Black"/>
          <w:sz w:val="40"/>
          <w:szCs w:val="40"/>
        </w:rPr>
      </w:pPr>
    </w:p>
    <w:p w14:paraId="79D80A12" w14:textId="77777777" w:rsidR="009C7451" w:rsidRDefault="009C7451" w:rsidP="00F326E5">
      <w:pPr>
        <w:pStyle w:val="NoSpacing"/>
        <w:rPr>
          <w:rFonts w:ascii="Arial Black" w:hAnsi="Arial Black"/>
          <w:sz w:val="40"/>
          <w:szCs w:val="40"/>
        </w:rPr>
      </w:pPr>
    </w:p>
    <w:p w14:paraId="61B2CC91" w14:textId="77777777" w:rsidR="009C7451" w:rsidRDefault="009C7451" w:rsidP="00F326E5">
      <w:pPr>
        <w:pStyle w:val="NoSpacing"/>
        <w:rPr>
          <w:rFonts w:ascii="Arial Black" w:hAnsi="Arial Black"/>
          <w:sz w:val="40"/>
          <w:szCs w:val="40"/>
        </w:rPr>
      </w:pPr>
    </w:p>
    <w:p w14:paraId="0746D459" w14:textId="77777777" w:rsidR="009C7451" w:rsidRDefault="009C7451" w:rsidP="00F326E5">
      <w:pPr>
        <w:pStyle w:val="NoSpacing"/>
        <w:rPr>
          <w:rFonts w:ascii="Arial Black" w:hAnsi="Arial Black"/>
          <w:sz w:val="40"/>
          <w:szCs w:val="40"/>
        </w:rPr>
      </w:pPr>
    </w:p>
    <w:p w14:paraId="7C8AE1B7" w14:textId="77777777" w:rsidR="009C7451" w:rsidRDefault="009C7451" w:rsidP="00F326E5">
      <w:pPr>
        <w:pStyle w:val="NoSpacing"/>
        <w:rPr>
          <w:rFonts w:ascii="Arial Black" w:hAnsi="Arial Black"/>
          <w:sz w:val="40"/>
          <w:szCs w:val="40"/>
        </w:rPr>
      </w:pPr>
    </w:p>
    <w:p w14:paraId="27F1FCBD" w14:textId="77777777" w:rsidR="009C7451" w:rsidRDefault="009C7451" w:rsidP="00F326E5">
      <w:pPr>
        <w:pStyle w:val="NoSpacing"/>
        <w:rPr>
          <w:rFonts w:ascii="Arial Black" w:hAnsi="Arial Black"/>
          <w:sz w:val="40"/>
          <w:szCs w:val="40"/>
        </w:rPr>
      </w:pPr>
    </w:p>
    <w:p w14:paraId="1AB0FA51" w14:textId="77777777" w:rsidR="009C7451" w:rsidRDefault="009C7451" w:rsidP="00F326E5">
      <w:pPr>
        <w:pStyle w:val="NoSpacing"/>
        <w:rPr>
          <w:rFonts w:ascii="Arial Black" w:hAnsi="Arial Black"/>
          <w:sz w:val="40"/>
          <w:szCs w:val="40"/>
        </w:rPr>
      </w:pPr>
    </w:p>
    <w:p w14:paraId="487F2092" w14:textId="77777777" w:rsidR="009C7451" w:rsidRDefault="009C7451" w:rsidP="00F326E5">
      <w:pPr>
        <w:pStyle w:val="NoSpacing"/>
        <w:rPr>
          <w:rFonts w:ascii="Arial Black" w:hAnsi="Arial Black"/>
          <w:sz w:val="40"/>
          <w:szCs w:val="40"/>
        </w:rPr>
      </w:pPr>
    </w:p>
    <w:p w14:paraId="4414C434" w14:textId="77777777" w:rsidR="009C7451" w:rsidRDefault="009C7451" w:rsidP="00F326E5">
      <w:pPr>
        <w:pStyle w:val="NoSpacing"/>
        <w:rPr>
          <w:rFonts w:ascii="Arial Black" w:hAnsi="Arial Black"/>
          <w:sz w:val="40"/>
          <w:szCs w:val="40"/>
        </w:rPr>
      </w:pPr>
    </w:p>
    <w:p w14:paraId="08B17C36" w14:textId="77777777" w:rsidR="009C7451" w:rsidRDefault="009C7451" w:rsidP="00F326E5">
      <w:pPr>
        <w:pStyle w:val="NoSpacing"/>
        <w:rPr>
          <w:rFonts w:ascii="Arial Black" w:hAnsi="Arial Black"/>
          <w:sz w:val="40"/>
          <w:szCs w:val="40"/>
        </w:rPr>
      </w:pPr>
    </w:p>
    <w:p w14:paraId="66EE8DAA" w14:textId="77777777" w:rsidR="009C7451" w:rsidRDefault="009C7451" w:rsidP="00F326E5">
      <w:pPr>
        <w:pStyle w:val="NoSpacing"/>
        <w:rPr>
          <w:rFonts w:ascii="Arial Black" w:hAnsi="Arial Black"/>
          <w:sz w:val="40"/>
          <w:szCs w:val="40"/>
        </w:rPr>
      </w:pPr>
    </w:p>
    <w:p w14:paraId="4FBE2217" w14:textId="77777777" w:rsidR="009C7451" w:rsidRDefault="009C7451" w:rsidP="00F326E5">
      <w:pPr>
        <w:pStyle w:val="NoSpacing"/>
        <w:rPr>
          <w:rFonts w:ascii="Arial Black" w:hAnsi="Arial Black"/>
          <w:sz w:val="40"/>
          <w:szCs w:val="40"/>
        </w:rPr>
      </w:pPr>
    </w:p>
    <w:p w14:paraId="3795FC36" w14:textId="77777777" w:rsidR="009C7451" w:rsidRDefault="009C7451" w:rsidP="00F326E5">
      <w:pPr>
        <w:pStyle w:val="NoSpacing"/>
        <w:rPr>
          <w:rFonts w:ascii="Arial Black" w:hAnsi="Arial Black"/>
          <w:sz w:val="40"/>
          <w:szCs w:val="40"/>
        </w:rPr>
      </w:pPr>
    </w:p>
    <w:p w14:paraId="71A4FF4B" w14:textId="77777777" w:rsidR="009C7451" w:rsidRDefault="009C7451" w:rsidP="00F326E5">
      <w:pPr>
        <w:pStyle w:val="NoSpacing"/>
        <w:rPr>
          <w:rFonts w:ascii="Arial Black" w:hAnsi="Arial Black"/>
          <w:sz w:val="40"/>
          <w:szCs w:val="40"/>
        </w:rPr>
      </w:pPr>
    </w:p>
    <w:p w14:paraId="56707D0B" w14:textId="77777777" w:rsidR="009C7451" w:rsidRDefault="009C7451" w:rsidP="00F326E5">
      <w:pPr>
        <w:pStyle w:val="NoSpacing"/>
        <w:rPr>
          <w:rFonts w:ascii="Arial Black" w:hAnsi="Arial Black"/>
          <w:sz w:val="40"/>
          <w:szCs w:val="40"/>
        </w:rPr>
      </w:pPr>
    </w:p>
    <w:p w14:paraId="443F4768" w14:textId="77777777" w:rsidR="009C7451" w:rsidRDefault="009C7451" w:rsidP="00F326E5">
      <w:pPr>
        <w:pStyle w:val="NoSpacing"/>
        <w:rPr>
          <w:rFonts w:ascii="Arial Black" w:hAnsi="Arial Black"/>
          <w:sz w:val="40"/>
          <w:szCs w:val="40"/>
        </w:rPr>
      </w:pPr>
    </w:p>
    <w:p w14:paraId="7115AE10" w14:textId="77777777" w:rsidR="009C7451" w:rsidRDefault="009C7451" w:rsidP="00F326E5">
      <w:pPr>
        <w:pStyle w:val="NoSpacing"/>
        <w:rPr>
          <w:rFonts w:ascii="Arial Black" w:hAnsi="Arial Black"/>
          <w:sz w:val="40"/>
          <w:szCs w:val="40"/>
        </w:rPr>
      </w:pPr>
    </w:p>
    <w:p w14:paraId="550BC55F" w14:textId="77777777" w:rsidR="009C7451" w:rsidRDefault="009C7451" w:rsidP="00F326E5">
      <w:pPr>
        <w:pStyle w:val="NoSpacing"/>
        <w:rPr>
          <w:rFonts w:ascii="Arial Black" w:hAnsi="Arial Black"/>
          <w:sz w:val="40"/>
          <w:szCs w:val="40"/>
        </w:rPr>
      </w:pPr>
    </w:p>
    <w:p w14:paraId="6B3D155B" w14:textId="77777777" w:rsidR="009C7451" w:rsidRDefault="009C7451" w:rsidP="00F326E5">
      <w:pPr>
        <w:pStyle w:val="NoSpacing"/>
        <w:rPr>
          <w:rFonts w:ascii="Arial Black" w:hAnsi="Arial Black"/>
          <w:sz w:val="40"/>
          <w:szCs w:val="40"/>
        </w:rPr>
      </w:pPr>
    </w:p>
    <w:p w14:paraId="5C7586A4" w14:textId="77777777" w:rsidR="009C7451" w:rsidRDefault="009C7451" w:rsidP="00F326E5">
      <w:pPr>
        <w:pStyle w:val="NoSpacing"/>
        <w:rPr>
          <w:rFonts w:ascii="Arial Black" w:hAnsi="Arial Black"/>
          <w:sz w:val="40"/>
          <w:szCs w:val="40"/>
        </w:rPr>
      </w:pPr>
    </w:p>
    <w:p w14:paraId="609E156C" w14:textId="77777777" w:rsidR="009C7451" w:rsidRDefault="009C7451" w:rsidP="00F326E5">
      <w:pPr>
        <w:pStyle w:val="NoSpacing"/>
        <w:rPr>
          <w:rFonts w:ascii="Arial Black" w:hAnsi="Arial Black"/>
          <w:sz w:val="40"/>
          <w:szCs w:val="40"/>
        </w:rPr>
      </w:pPr>
    </w:p>
    <w:p w14:paraId="04939E69" w14:textId="77777777" w:rsidR="009C7451" w:rsidRDefault="009C7451" w:rsidP="00F326E5">
      <w:pPr>
        <w:pStyle w:val="NoSpacing"/>
        <w:rPr>
          <w:rFonts w:ascii="Arial Black" w:hAnsi="Arial Black"/>
          <w:sz w:val="40"/>
          <w:szCs w:val="40"/>
        </w:rPr>
      </w:pPr>
    </w:p>
    <w:p w14:paraId="206C3E5C" w14:textId="77777777" w:rsidR="009C7451" w:rsidRDefault="009C7451" w:rsidP="00F326E5">
      <w:pPr>
        <w:pStyle w:val="NoSpacing"/>
        <w:rPr>
          <w:rFonts w:ascii="Arial Black" w:hAnsi="Arial Black"/>
          <w:sz w:val="40"/>
          <w:szCs w:val="40"/>
        </w:rPr>
      </w:pPr>
    </w:p>
    <w:p w14:paraId="6F40D096" w14:textId="398B5402" w:rsidR="00F326E5" w:rsidRDefault="00F326E5" w:rsidP="00F326E5">
      <w:pPr>
        <w:pStyle w:val="NoSpacing"/>
        <w:rPr>
          <w:rFonts w:ascii="Arial Black" w:hAnsi="Arial Black"/>
          <w:sz w:val="40"/>
          <w:szCs w:val="40"/>
        </w:rPr>
      </w:pPr>
      <w:r w:rsidRPr="007732FA">
        <w:rPr>
          <w:rFonts w:ascii="Arial Black" w:hAnsi="Arial Black"/>
          <w:sz w:val="40"/>
          <w:szCs w:val="40"/>
        </w:rPr>
        <w:t>Chap. 11</w:t>
      </w:r>
      <w:r w:rsidRPr="007732FA">
        <w:rPr>
          <w:rFonts w:ascii="Arial Black" w:hAnsi="Arial Black"/>
          <w:sz w:val="40"/>
          <w:szCs w:val="40"/>
        </w:rPr>
        <w:tab/>
        <w:t>Fair Labor Standards Act</w:t>
      </w:r>
      <w:r w:rsidR="00EC50D5">
        <w:rPr>
          <w:rFonts w:ascii="Arial Black" w:hAnsi="Arial Black"/>
          <w:sz w:val="40"/>
          <w:szCs w:val="40"/>
        </w:rPr>
        <w:t xml:space="preserve"> and Military Pay</w:t>
      </w:r>
    </w:p>
    <w:p w14:paraId="2D2F5F16" w14:textId="77777777" w:rsidR="00076FFB" w:rsidRDefault="00076FFB" w:rsidP="00076FFB">
      <w:pPr>
        <w:rPr>
          <w:rFonts w:ascii="Arial Black" w:hAnsi="Arial Black"/>
          <w:b/>
          <w:sz w:val="24"/>
          <w:szCs w:val="24"/>
        </w:rPr>
      </w:pPr>
    </w:p>
    <w:p w14:paraId="3E3C2EA0" w14:textId="32FF245F" w:rsidR="00C5039F" w:rsidRDefault="00076FFB" w:rsidP="00020106">
      <w:pPr>
        <w:rPr>
          <w:rFonts w:ascii="Arial Black" w:hAnsi="Arial Black"/>
          <w:b/>
          <w:sz w:val="24"/>
          <w:szCs w:val="24"/>
        </w:rPr>
      </w:pPr>
      <w:r>
        <w:rPr>
          <w:rFonts w:ascii="Arial Black" w:hAnsi="Arial Black"/>
          <w:b/>
          <w:sz w:val="24"/>
          <w:szCs w:val="24"/>
        </w:rPr>
        <w:t>11-7</w:t>
      </w:r>
      <w:r>
        <w:rPr>
          <w:rFonts w:ascii="Arial Black" w:hAnsi="Arial Black"/>
          <w:b/>
          <w:sz w:val="24"/>
          <w:szCs w:val="24"/>
        </w:rPr>
        <w:t>5</w:t>
      </w:r>
    </w:p>
    <w:p w14:paraId="6D430310" w14:textId="77777777" w:rsidR="00076FFB" w:rsidRDefault="00076FFB" w:rsidP="0096353A">
      <w:pPr>
        <w:pStyle w:val="NoSpacing"/>
        <w:rPr>
          <w:rFonts w:ascii="Arial Black" w:hAnsi="Arial Black"/>
          <w:sz w:val="28"/>
          <w:szCs w:val="28"/>
        </w:rPr>
      </w:pPr>
    </w:p>
    <w:p w14:paraId="78C08489" w14:textId="3723A378" w:rsidR="0096353A" w:rsidRDefault="0096353A" w:rsidP="0096353A">
      <w:pPr>
        <w:pStyle w:val="NoSpacing"/>
        <w:rPr>
          <w:rFonts w:ascii="Arial Black" w:hAnsi="Arial Black"/>
          <w:sz w:val="28"/>
          <w:szCs w:val="28"/>
        </w:rPr>
      </w:pPr>
      <w:r>
        <w:rPr>
          <w:rFonts w:ascii="Arial Black" w:hAnsi="Arial Black"/>
          <w:sz w:val="28"/>
          <w:szCs w:val="28"/>
        </w:rPr>
        <w:t xml:space="preserve">NH: ON CALL TIME – UTILITY EMERG RESPONDER – NO VIOL </w:t>
      </w:r>
    </w:p>
    <w:p w14:paraId="0CA97861" w14:textId="77777777" w:rsidR="0096353A" w:rsidRDefault="0096353A" w:rsidP="0096353A">
      <w:pPr>
        <w:pStyle w:val="NoSpacing"/>
        <w:rPr>
          <w:rFonts w:ascii="Arial Black" w:hAnsi="Arial Black"/>
          <w:sz w:val="28"/>
          <w:szCs w:val="28"/>
        </w:rPr>
      </w:pPr>
    </w:p>
    <w:p w14:paraId="5C7BD769" w14:textId="77777777" w:rsidR="0096353A" w:rsidRPr="00600167" w:rsidRDefault="0096353A" w:rsidP="0096353A">
      <w:pPr>
        <w:pStyle w:val="NoSpacing"/>
      </w:pPr>
      <w:r>
        <w:t xml:space="preserve">On September 8, 2026, in </w:t>
      </w:r>
      <w:r w:rsidRPr="007E51F4">
        <w:rPr>
          <w:u w:val="single"/>
        </w:rPr>
        <w:t>Gene Coburn v. City of Manchester, New Hampshire</w:t>
      </w:r>
      <w:r>
        <w:t xml:space="preserve">, U.S. District Court Judge </w:t>
      </w:r>
      <w:r w:rsidRPr="0000372F">
        <w:t>Joseph N. Laplante</w:t>
      </w:r>
      <w:r>
        <w:t xml:space="preserve">, United States District Court for the District of New Hampshire, held that the city motion for summary judgment is granted because no reasonable jury could find that Coburn’s on-call time was compensable under the FLSA.  “Based on the undisputed facts in the record, Coburn had some freedom in determining how to use his on-call time, despite limitations. Unlike employees whose time was compensable, he could engage in activities in a relatively large geographic area, …  calls were only frequent during certain seasons, and Coburn was able to engage in activities like walking the dog, yard work, and visiting family because he was not required to constantly monitor a phone or radio for incoming transmissions….That some of his personal activities may have been affected is insufficient to establish a FLSA claim.” </w:t>
      </w:r>
      <w:hyperlink r:id="rId1792" w:history="1">
        <w:r w:rsidRPr="00600167">
          <w:rPr>
            <w:rStyle w:val="Hyperlink"/>
          </w:rPr>
          <w:t>https://cases.justia.com/federal/district-courts/new-hampshire/nhdce/1:2025cv00071/65030/35/0.pdf?ts=1788980071</w:t>
        </w:r>
      </w:hyperlink>
      <w:r w:rsidRPr="00600167">
        <w:t xml:space="preserve"> </w:t>
      </w:r>
    </w:p>
    <w:p w14:paraId="1603BD80" w14:textId="77777777" w:rsidR="0096353A" w:rsidRDefault="0096353A" w:rsidP="0096353A">
      <w:pPr>
        <w:pStyle w:val="NoSpacing"/>
        <w:rPr>
          <w:rFonts w:ascii="Arial Black" w:hAnsi="Arial Black"/>
          <w:sz w:val="28"/>
          <w:szCs w:val="28"/>
        </w:rPr>
      </w:pPr>
    </w:p>
    <w:p w14:paraId="28898FA0" w14:textId="77777777" w:rsidR="0096353A" w:rsidRDefault="0096353A" w:rsidP="0096353A">
      <w:pPr>
        <w:pStyle w:val="NoSpacing"/>
      </w:pPr>
      <w:r>
        <w:t xml:space="preserve"> THE COURT WROTE:</w:t>
      </w:r>
    </w:p>
    <w:p w14:paraId="4057A279" w14:textId="77777777" w:rsidR="0096353A" w:rsidRDefault="0096353A" w:rsidP="0096353A">
      <w:pPr>
        <w:pStyle w:val="NoSpacing"/>
      </w:pPr>
    </w:p>
    <w:p w14:paraId="7D00E261" w14:textId="77777777" w:rsidR="0096353A" w:rsidRDefault="0096353A" w:rsidP="0096353A">
      <w:pPr>
        <w:pStyle w:val="NoSpacing"/>
        <w:ind w:firstLine="720"/>
      </w:pPr>
      <w:r>
        <w:t xml:space="preserve">“From 1988 until he retired on August 1, 2024, Coburn worked for the </w:t>
      </w:r>
      <w:proofErr w:type="gramStart"/>
      <w:r>
        <w:t>City</w:t>
      </w:r>
      <w:proofErr w:type="gramEnd"/>
      <w:r>
        <w:t xml:space="preserve"> of</w:t>
      </w:r>
    </w:p>
    <w:p w14:paraId="25F9AF0E" w14:textId="77777777" w:rsidR="0096353A" w:rsidRDefault="0096353A" w:rsidP="0096353A">
      <w:pPr>
        <w:pStyle w:val="NoSpacing"/>
        <w:ind w:firstLine="720"/>
      </w:pPr>
      <w:r>
        <w:t>Manchester. At the time of his retirement, he had been a Utility Inspector II with the</w:t>
      </w:r>
    </w:p>
    <w:p w14:paraId="76BD83D3" w14:textId="77777777" w:rsidR="0096353A" w:rsidRDefault="0096353A" w:rsidP="0096353A">
      <w:pPr>
        <w:pStyle w:val="NoSpacing"/>
        <w:ind w:firstLine="720"/>
      </w:pPr>
      <w:r>
        <w:t>city’s Highway Division for 15 or 16 years, with an ‘on call’ status requirement. A</w:t>
      </w:r>
    </w:p>
    <w:p w14:paraId="5F772A64" w14:textId="77777777" w:rsidR="0096353A" w:rsidRDefault="0096353A" w:rsidP="0096353A">
      <w:pPr>
        <w:pStyle w:val="NoSpacing"/>
        <w:ind w:left="720"/>
      </w:pPr>
      <w:r>
        <w:t>Utility Inspector II receives and responds to calls from dispatch in the event of a utility-related emergency that occurs outside the typical Monday through Friday, 8 a.m. to 4</w:t>
      </w:r>
    </w:p>
    <w:p w14:paraId="79A2182A" w14:textId="77777777" w:rsidR="0096353A" w:rsidRDefault="0096353A" w:rsidP="0096353A">
      <w:pPr>
        <w:pStyle w:val="NoSpacing"/>
        <w:ind w:firstLine="720"/>
      </w:pPr>
      <w:proofErr w:type="gramStart"/>
      <w:r>
        <w:t>p.m. workday</w:t>
      </w:r>
      <w:proofErr w:type="gramEnd"/>
      <w:r>
        <w:t>. Each emergency call requires the inspector to respond as quickly as</w:t>
      </w:r>
    </w:p>
    <w:p w14:paraId="5A85FB4B" w14:textId="77777777" w:rsidR="0096353A" w:rsidRDefault="0096353A" w:rsidP="0096353A">
      <w:pPr>
        <w:pStyle w:val="NoSpacing"/>
        <w:ind w:firstLine="720"/>
      </w:pPr>
      <w:r>
        <w:t xml:space="preserve">possible to the site of an emergency gas or water leak. The inspector </w:t>
      </w:r>
      <w:proofErr w:type="gramStart"/>
      <w:r>
        <w:t>monitors</w:t>
      </w:r>
      <w:proofErr w:type="gramEnd"/>
      <w:r>
        <w:t xml:space="preserve"> repair</w:t>
      </w:r>
    </w:p>
    <w:p w14:paraId="610645C9" w14:textId="77777777" w:rsidR="0096353A" w:rsidRDefault="0096353A" w:rsidP="0096353A">
      <w:pPr>
        <w:pStyle w:val="NoSpacing"/>
        <w:ind w:firstLine="720"/>
      </w:pPr>
      <w:r>
        <w:t>work performed by private contractors on public rights of way. Typically, the work</w:t>
      </w:r>
    </w:p>
    <w:p w14:paraId="48B00C2E" w14:textId="77777777" w:rsidR="0096353A" w:rsidRDefault="0096353A" w:rsidP="0096353A">
      <w:pPr>
        <w:pStyle w:val="NoSpacing"/>
        <w:ind w:firstLine="720"/>
      </w:pPr>
      <w:r>
        <w:t>could last from eight hours to several days.</w:t>
      </w:r>
    </w:p>
    <w:p w14:paraId="24D02A96" w14:textId="77777777" w:rsidR="0096353A" w:rsidRDefault="0096353A" w:rsidP="0096353A">
      <w:pPr>
        <w:pStyle w:val="NoSpacing"/>
        <w:ind w:firstLine="720"/>
      </w:pPr>
    </w:p>
    <w:p w14:paraId="60FE8938" w14:textId="77777777" w:rsidR="0096353A" w:rsidRDefault="0096353A" w:rsidP="0096353A">
      <w:pPr>
        <w:pStyle w:val="NoSpacing"/>
        <w:ind w:firstLine="720"/>
      </w:pPr>
      <w:r>
        <w:t>***</w:t>
      </w:r>
    </w:p>
    <w:p w14:paraId="1FE3032F" w14:textId="77777777" w:rsidR="0096353A" w:rsidRDefault="0096353A" w:rsidP="0096353A">
      <w:pPr>
        <w:pStyle w:val="NoSpacing"/>
        <w:ind w:left="720"/>
      </w:pPr>
      <w:r>
        <w:t>John Meisel, who shared on-call duties for a period, estimated that he responded to between 20 to 25 calls in a two-year period.24 This frequency of calls (between once and twice a month on average) is similar to cases in which courts have found on-call time not compensable.</w:t>
      </w:r>
    </w:p>
    <w:p w14:paraId="62FDF3BF" w14:textId="77777777" w:rsidR="0096353A" w:rsidRDefault="0096353A" w:rsidP="0096353A">
      <w:pPr>
        <w:pStyle w:val="NoSpacing"/>
        <w:ind w:left="720"/>
      </w:pPr>
    </w:p>
    <w:p w14:paraId="437CBFC7" w14:textId="77777777" w:rsidR="0096353A" w:rsidRDefault="0096353A" w:rsidP="0096353A">
      <w:pPr>
        <w:pStyle w:val="NoSpacing"/>
        <w:ind w:left="720"/>
      </w:pPr>
      <w:r>
        <w:t>***</w:t>
      </w:r>
    </w:p>
    <w:p w14:paraId="23D60385" w14:textId="77777777" w:rsidR="0096353A" w:rsidRDefault="0096353A" w:rsidP="0096353A">
      <w:pPr>
        <w:pStyle w:val="NoSpacing"/>
        <w:ind w:left="720"/>
      </w:pPr>
      <w:r>
        <w:t>Coburn raised the issue of on-call pay with his supervisors, but the city did not</w:t>
      </w:r>
    </w:p>
    <w:p w14:paraId="6451D111" w14:textId="77777777" w:rsidR="0096353A" w:rsidRDefault="0096353A" w:rsidP="0096353A">
      <w:pPr>
        <w:pStyle w:val="NoSpacing"/>
        <w:ind w:left="720"/>
      </w:pPr>
      <w:r>
        <w:t>change its policy to compensate him for the time he spent on call. He stayed in his</w:t>
      </w:r>
    </w:p>
    <w:p w14:paraId="31CE6B84" w14:textId="77777777" w:rsidR="0096353A" w:rsidRDefault="0096353A" w:rsidP="0096353A">
      <w:pPr>
        <w:pStyle w:val="NoSpacing"/>
        <w:ind w:left="720"/>
      </w:pPr>
      <w:r>
        <w:t xml:space="preserve">position despite never receiving on-call pay </w:t>
      </w:r>
      <w:proofErr w:type="gramStart"/>
      <w:r>
        <w:t>in order to</w:t>
      </w:r>
      <w:proofErr w:type="gramEnd"/>
      <w:r>
        <w:t xml:space="preserve"> protect his seniority, eventually</w:t>
      </w:r>
    </w:p>
    <w:p w14:paraId="56FF87D6" w14:textId="77777777" w:rsidR="0096353A" w:rsidRDefault="0096353A" w:rsidP="0096353A">
      <w:pPr>
        <w:pStyle w:val="NoSpacing"/>
        <w:ind w:left="720"/>
      </w:pPr>
      <w:r>
        <w:t xml:space="preserve">retiring on August 1, 2024. Under the new collective bargaining agreement, implemented </w:t>
      </w:r>
      <w:r w:rsidRPr="00004E16">
        <w:t xml:space="preserve">after Coburn retired, utility inspectors receive </w:t>
      </w:r>
      <w:r>
        <w:t>‘</w:t>
      </w:r>
      <w:r w:rsidRPr="00004E16">
        <w:t>standby</w:t>
      </w:r>
      <w:r>
        <w:t>’</w:t>
      </w:r>
      <w:r w:rsidRPr="00004E16">
        <w:t xml:space="preserve"> pay of $45 per day</w:t>
      </w:r>
      <w:r>
        <w:t>.</w:t>
      </w:r>
    </w:p>
    <w:p w14:paraId="240AF143" w14:textId="77777777" w:rsidR="0096353A" w:rsidRDefault="0096353A" w:rsidP="0096353A">
      <w:pPr>
        <w:pStyle w:val="NoSpacing"/>
        <w:ind w:left="720"/>
      </w:pPr>
    </w:p>
    <w:p w14:paraId="52D66CFB" w14:textId="77777777" w:rsidR="0096353A" w:rsidRDefault="0096353A" w:rsidP="0096353A">
      <w:pPr>
        <w:pStyle w:val="NoSpacing"/>
        <w:ind w:left="720"/>
      </w:pPr>
      <w:r>
        <w:t>***</w:t>
      </w:r>
    </w:p>
    <w:p w14:paraId="071FCAA1" w14:textId="77777777" w:rsidR="0096353A" w:rsidRDefault="0096353A" w:rsidP="0096353A">
      <w:pPr>
        <w:pStyle w:val="NoSpacing"/>
        <w:ind w:left="720"/>
      </w:pPr>
      <w:r>
        <w:t>The undisputed record facts establish, as a matter of law, that because Coburn could, and did, engage in a range of personal activities while on call, Coburn’s on-call time, though restricted, was not spent ‘predominantly for [his] employer’s benefit,</w:t>
      </w:r>
    </w:p>
    <w:p w14:paraId="69AD361D" w14:textId="77777777" w:rsidR="0096353A" w:rsidRDefault="0096353A" w:rsidP="0096353A">
      <w:pPr>
        <w:pStyle w:val="NoSpacing"/>
        <w:ind w:left="720"/>
      </w:pPr>
      <w:r>
        <w:t xml:space="preserve"> and is therefore not compensable under the FLSA.”</w:t>
      </w:r>
    </w:p>
    <w:p w14:paraId="3501D625" w14:textId="77777777" w:rsidR="0096353A" w:rsidRDefault="0096353A" w:rsidP="0096353A">
      <w:pPr>
        <w:pStyle w:val="NoSpacing"/>
        <w:ind w:left="720"/>
      </w:pPr>
    </w:p>
    <w:p w14:paraId="22811A97" w14:textId="77777777" w:rsidR="0096353A" w:rsidRDefault="0096353A" w:rsidP="0096353A">
      <w:pPr>
        <w:pStyle w:val="NoSpacing"/>
        <w:rPr>
          <w:b/>
          <w:bCs/>
        </w:rPr>
      </w:pPr>
      <w:r>
        <w:rPr>
          <w:b/>
        </w:rPr>
        <w:t xml:space="preserve">Legal lesson learned:  “Standy pay” is very appropriate for utility inspectors and others who must be ready to respond to emergencies. </w:t>
      </w:r>
    </w:p>
    <w:p w14:paraId="4DE5E1D4" w14:textId="77777777" w:rsidR="0096353A" w:rsidRDefault="0096353A" w:rsidP="0096353A">
      <w:pPr>
        <w:pStyle w:val="NoSpacing"/>
        <w:rPr>
          <w:b/>
          <w:bCs/>
        </w:rPr>
      </w:pPr>
    </w:p>
    <w:p w14:paraId="07156D18" w14:textId="77777777" w:rsidR="0096353A" w:rsidRDefault="0096353A" w:rsidP="0096353A">
      <w:pPr>
        <w:pStyle w:val="NoSpacing"/>
        <w:ind w:left="720"/>
      </w:pPr>
      <w:r>
        <w:t xml:space="preserve">Note: The Court referenced this fire service case where “on call” time was compensable  under FLSA. </w:t>
      </w:r>
    </w:p>
    <w:p w14:paraId="5C06D47C" w14:textId="77777777" w:rsidR="0096353A" w:rsidRDefault="0096353A" w:rsidP="0096353A">
      <w:pPr>
        <w:pStyle w:val="NoSpacing"/>
        <w:ind w:left="720"/>
      </w:pPr>
    </w:p>
    <w:p w14:paraId="0D127DAE" w14:textId="77777777" w:rsidR="0096353A" w:rsidRDefault="0096353A" w:rsidP="0096353A">
      <w:pPr>
        <w:pStyle w:val="NoSpacing"/>
        <w:ind w:left="720"/>
      </w:pPr>
      <w:r w:rsidRPr="007114D3">
        <w:rPr>
          <w:b/>
        </w:rPr>
        <w:t>Renfro v. City of Emporia, Kan., 729 F. Supp. 747 (D. Kan. 1990)</w:t>
      </w:r>
      <w:r>
        <w:rPr>
          <w:b/>
        </w:rPr>
        <w:t xml:space="preserve">; </w:t>
      </w:r>
      <w:hyperlink r:id="rId1793" w:history="1">
        <w:r w:rsidRPr="00A43BF1">
          <w:rPr>
            <w:rStyle w:val="Hyperlink"/>
            <w:b/>
          </w:rPr>
          <w:t>https://law.justia.com/cases/federal/district-courts/FSupp/729/747/1492878/</w:t>
        </w:r>
      </w:hyperlink>
      <w:r>
        <w:rPr>
          <w:b/>
        </w:rPr>
        <w:t xml:space="preserve"> </w:t>
      </w:r>
    </w:p>
    <w:p w14:paraId="196C2D84" w14:textId="77777777" w:rsidR="0096353A" w:rsidRDefault="0096353A" w:rsidP="0096353A">
      <w:pPr>
        <w:pStyle w:val="NoSpacing"/>
        <w:ind w:left="720"/>
      </w:pPr>
      <w:r>
        <w:t>“</w:t>
      </w:r>
      <w:r w:rsidRPr="00870A2F">
        <w:t xml:space="preserve">The firefighter on top of the call-back list will be called in more often than others, perhaps an average of four times per shift. The firefighters are currently called in via a paging system which has been in use since August 1986. One officer and eight firefighters are on mandatory </w:t>
      </w:r>
      <w:proofErr w:type="gramStart"/>
      <w:r w:rsidRPr="00870A2F">
        <w:t>call</w:t>
      </w:r>
      <w:proofErr w:type="gramEnd"/>
      <w:r w:rsidRPr="00870A2F">
        <w:t xml:space="preserve"> per day. When a firefighter is </w:t>
      </w:r>
      <w:proofErr w:type="gramStart"/>
      <w:r w:rsidRPr="00870A2F">
        <w:t>actually called</w:t>
      </w:r>
      <w:proofErr w:type="gramEnd"/>
      <w:r w:rsidRPr="00870A2F">
        <w:t xml:space="preserve"> in, overtime compensation is paid. Following a call, a firefighter can leave the station as soon as other personnel are back at the station, or otherwise available, or after receiving approval from the officer in charge. Call-ins range from zero to thirteen per day, but average approximately four or five per day; plaintiffs uniformly estimate call-ins average three to five per day and the average duration of a call-back at one hour</w:t>
      </w:r>
      <w:r>
        <w:t xml:space="preserve">…. </w:t>
      </w:r>
      <w:r w:rsidRPr="00850BE9">
        <w:t xml:space="preserve">The court therefore finds that </w:t>
      </w:r>
      <w:proofErr w:type="gramStart"/>
      <w:r w:rsidRPr="00850BE9">
        <w:t>its</w:t>
      </w:r>
      <w:proofErr w:type="gramEnd"/>
      <w:r w:rsidRPr="00850BE9">
        <w:t xml:space="preserve"> finding that the City of Emporia is liable for overtime compensation under the FLSA is supported by the uncontroverted facts of this case</w:t>
      </w:r>
      <w:r>
        <w:t>…. “</w:t>
      </w:r>
    </w:p>
    <w:p w14:paraId="661AE85C" w14:textId="77777777" w:rsidR="0096353A" w:rsidRDefault="0096353A" w:rsidP="0096353A">
      <w:pPr>
        <w:pStyle w:val="NoSpacing"/>
      </w:pPr>
    </w:p>
    <w:p w14:paraId="0FB97D4D" w14:textId="77777777" w:rsidR="0096353A" w:rsidRDefault="0096353A" w:rsidP="007F336D">
      <w:pPr>
        <w:rPr>
          <w:rFonts w:ascii="Arial Black" w:hAnsi="Arial Black"/>
          <w:b/>
          <w:sz w:val="24"/>
          <w:szCs w:val="24"/>
        </w:rPr>
      </w:pPr>
    </w:p>
    <w:p w14:paraId="1B16E23C" w14:textId="77777777" w:rsidR="0096353A" w:rsidRDefault="0096353A" w:rsidP="007F336D">
      <w:pPr>
        <w:rPr>
          <w:rFonts w:ascii="Arial Black" w:hAnsi="Arial Black"/>
          <w:b/>
          <w:sz w:val="24"/>
          <w:szCs w:val="24"/>
        </w:rPr>
      </w:pPr>
    </w:p>
    <w:p w14:paraId="724C6B62" w14:textId="77777777" w:rsidR="0096353A" w:rsidRDefault="0096353A" w:rsidP="007F336D">
      <w:pPr>
        <w:rPr>
          <w:rFonts w:ascii="Arial Black" w:hAnsi="Arial Black"/>
          <w:b/>
          <w:sz w:val="24"/>
          <w:szCs w:val="24"/>
        </w:rPr>
      </w:pPr>
    </w:p>
    <w:p w14:paraId="76088FB1" w14:textId="57F1CCD8" w:rsidR="007F336D" w:rsidRDefault="007F336D" w:rsidP="007F336D">
      <w:pPr>
        <w:rPr>
          <w:rFonts w:ascii="Arial Black" w:hAnsi="Arial Black"/>
          <w:b/>
          <w:sz w:val="24"/>
          <w:szCs w:val="24"/>
        </w:rPr>
      </w:pPr>
      <w:r>
        <w:rPr>
          <w:rFonts w:ascii="Arial Black" w:hAnsi="Arial Black"/>
          <w:b/>
          <w:sz w:val="24"/>
          <w:szCs w:val="24"/>
        </w:rPr>
        <w:t>11-7</w:t>
      </w:r>
      <w:r w:rsidR="00627190">
        <w:rPr>
          <w:rFonts w:ascii="Arial Black" w:hAnsi="Arial Black"/>
          <w:b/>
          <w:sz w:val="24"/>
          <w:szCs w:val="24"/>
        </w:rPr>
        <w:t>4</w:t>
      </w:r>
    </w:p>
    <w:p w14:paraId="068DE2B8" w14:textId="77777777" w:rsidR="007F336D" w:rsidRPr="00B621B2" w:rsidRDefault="007F336D" w:rsidP="007F336D">
      <w:pPr>
        <w:rPr>
          <w:rFonts w:ascii="Arial Black" w:hAnsi="Arial Black"/>
          <w:b/>
          <w:sz w:val="28"/>
          <w:szCs w:val="28"/>
        </w:rPr>
      </w:pPr>
      <w:r>
        <w:rPr>
          <w:rFonts w:ascii="Arial Black" w:hAnsi="Arial Black"/>
          <w:b/>
          <w:sz w:val="28"/>
          <w:szCs w:val="28"/>
        </w:rPr>
        <w:t xml:space="preserve">WV: “SLEEP TIME” FLSA / PA CLAIMS – “UNINTERRUPTED” </w:t>
      </w:r>
    </w:p>
    <w:p w14:paraId="0C3F711B" w14:textId="77777777" w:rsidR="007F336D" w:rsidRDefault="007F336D" w:rsidP="007F336D">
      <w:pPr>
        <w:rPr>
          <w:bCs/>
        </w:rPr>
      </w:pPr>
      <w:r>
        <w:t xml:space="preserve">On Aug. 24, 2026, in </w:t>
      </w:r>
      <w:r w:rsidRPr="00C6638D">
        <w:rPr>
          <w:u w:val="single"/>
        </w:rPr>
        <w:t>Daniel Fox, Jr., and Robert Sovine, Individually and for Others Similarly Situated v. Jan-Care Ambulance, Inc</w:t>
      </w:r>
      <w:r>
        <w:t xml:space="preserve">., U.S. District Court Chief Judge </w:t>
      </w:r>
      <w:r w:rsidRPr="00AB502A">
        <w:t>Frank W. Volk</w:t>
      </w:r>
      <w:r>
        <w:t xml:space="preserve">, United States District Court for Southern District of West Virginia, partially granted Company’s motion to dismiss PA state law claims against the WV based company, unless EMTs in their Complaint stated they regularly responded into PA.  EMT Robert Sovine has met that requirement; EMT Daniel Fox needs to refile his complaint.  The lawsuit will now proceed with pre-trial discovery about FLSA – interrupted sleep and </w:t>
      </w:r>
      <w:r w:rsidRPr="00931D26">
        <w:t>shift differential premiums</w:t>
      </w:r>
      <w:r>
        <w:t xml:space="preserve">.   </w:t>
      </w:r>
      <w:hyperlink r:id="rId1794" w:history="1">
        <w:r w:rsidRPr="0030374F">
          <w:rPr>
            <w:rStyle w:val="Hyperlink"/>
          </w:rPr>
          <w:t>https://public.fastcase.com/Jhe1Qn%2BmJndQYQU6z%2FeNmwWDswf%2FyfkgPyip6VS0cDWpWwpvHNfVEfbuP6bmDGomWWWRX0Ufxoes%2FPslB3S6PX9NV7eOjHrVnzZJYNtoh0E%3D?utm_medium=email&amp;_hsenc=p2ANqtz--Q5-zUfHtAae_7brt-BPUOknX_2kWtg7ggG2Ns0WUhsWss6pJixlwIFz2YiAn3Gomhhu6vVBkR2r-IsrShAW9NE10b9Q&amp;_hsmi=226712652&amp;utm_content=226712652&amp;utm_source=hs_email</w:t>
        </w:r>
      </w:hyperlink>
      <w:r>
        <w:t xml:space="preserve">  </w:t>
      </w:r>
    </w:p>
    <w:p w14:paraId="78E2DE7D" w14:textId="77777777" w:rsidR="007F336D" w:rsidRDefault="007F336D" w:rsidP="007F336D">
      <w:pPr>
        <w:rPr>
          <w:bCs/>
        </w:rPr>
      </w:pPr>
      <w:r>
        <w:t>THE COURT WROTE:</w:t>
      </w:r>
    </w:p>
    <w:p w14:paraId="327E5EC4" w14:textId="77777777" w:rsidR="007F336D" w:rsidRDefault="007F336D" w:rsidP="007F336D">
      <w:pPr>
        <w:ind w:left="720"/>
        <w:rPr>
          <w:bCs/>
        </w:rPr>
      </w:pPr>
      <w:r>
        <w:t>“</w:t>
      </w:r>
      <w:r w:rsidRPr="00CD65B0">
        <w:t>Mr. Fox is an emergency medical technician (</w:t>
      </w:r>
      <w:r>
        <w:t>‘</w:t>
      </w:r>
      <w:r w:rsidRPr="00CD65B0">
        <w:t>EMT</w:t>
      </w:r>
      <w:r>
        <w:t>’</w:t>
      </w:r>
      <w:r w:rsidRPr="00CD65B0">
        <w:t>) employed by Jan-Care since 2024</w:t>
      </w:r>
      <w:r>
        <w:t xml:space="preserve">…. </w:t>
      </w:r>
      <w:r w:rsidRPr="00CD65B0">
        <w:t>From June 2012 through July 2025, Mr. Sovine was likewise employed as a Jan-Care EMT</w:t>
      </w:r>
      <w:r>
        <w:t xml:space="preserve">…. </w:t>
      </w:r>
      <w:r w:rsidRPr="00CD65B0">
        <w:t xml:space="preserve">Plaintiffs' First Amended Complaint (the </w:t>
      </w:r>
      <w:r>
        <w:t>‘</w:t>
      </w:r>
      <w:r w:rsidRPr="00CD65B0">
        <w:t>Complaint</w:t>
      </w:r>
      <w:r>
        <w:t>’</w:t>
      </w:r>
      <w:r w:rsidRPr="00CD65B0">
        <w:t>) alleges Jan-Care employed Plaintiffs as EMTs in West Virginia, Virginia, and Pennsylvania</w:t>
      </w:r>
      <w:r>
        <w:t xml:space="preserve">…. </w:t>
      </w:r>
      <w:r w:rsidRPr="00CD65B0">
        <w:t xml:space="preserve">The Complaint specifically alleges Mr. Sovine </w:t>
      </w:r>
      <w:r>
        <w:t>‘</w:t>
      </w:r>
      <w:r w:rsidRPr="00CD65B0">
        <w:t>worked in Pennsylvania on two to three occasions per 24-hour shift during his employment, including in Greene, Washington, and Allegheny counties.</w:t>
      </w:r>
      <w:r>
        <w:t xml:space="preserve">’ …  </w:t>
      </w:r>
    </w:p>
    <w:p w14:paraId="35065AB3" w14:textId="77777777" w:rsidR="007F336D" w:rsidRDefault="007F336D" w:rsidP="007F336D">
      <w:pPr>
        <w:ind w:left="720"/>
        <w:rPr>
          <w:bCs/>
        </w:rPr>
      </w:pPr>
      <w:r>
        <w:t>***</w:t>
      </w:r>
    </w:p>
    <w:p w14:paraId="4FD2422B" w14:textId="77777777" w:rsidR="007F336D" w:rsidRDefault="007F336D" w:rsidP="007F336D">
      <w:pPr>
        <w:ind w:left="720"/>
        <w:rPr>
          <w:bCs/>
        </w:rPr>
      </w:pPr>
      <w:r>
        <w:t xml:space="preserve">[The Complaint alleges] </w:t>
      </w:r>
      <w:r w:rsidRPr="00CD65B0">
        <w:t xml:space="preserve">It is Jan-Care's practice to deduct </w:t>
      </w:r>
      <w:r>
        <w:t>‘</w:t>
      </w:r>
      <w:r w:rsidRPr="00CD65B0">
        <w:t>3 or more hours during 24-hour shifts</w:t>
      </w:r>
      <w:r>
        <w:t>’</w:t>
      </w:r>
      <w:r w:rsidRPr="00CD65B0">
        <w:t xml:space="preserve"> for what is referenced as its </w:t>
      </w:r>
      <w:r>
        <w:t>‘</w:t>
      </w:r>
      <w:r w:rsidRPr="00CD65B0">
        <w:t>sleep time</w:t>
      </w:r>
      <w:r>
        <w:t xml:space="preserve">’ </w:t>
      </w:r>
      <w:r w:rsidRPr="00CD65B0">
        <w:t>policy</w:t>
      </w:r>
      <w:r>
        <w:t xml:space="preserve">…. </w:t>
      </w:r>
      <w:r w:rsidRPr="00CD65B0">
        <w:t xml:space="preserve">Under this policy, Plaintiffs' time is deducted </w:t>
      </w:r>
      <w:r>
        <w:t>‘</w:t>
      </w:r>
      <w:r w:rsidRPr="00CD65B0">
        <w:t>regardless of whether their ‘sleep time' is on duty and/or interrupted.</w:t>
      </w:r>
      <w:r>
        <w:t xml:space="preserve">’ … </w:t>
      </w:r>
      <w:r w:rsidRPr="00CD65B0">
        <w:t xml:space="preserve">Plaintiffs also </w:t>
      </w:r>
      <w:r>
        <w:t>‘</w:t>
      </w:r>
      <w:r w:rsidRPr="00CD65B0">
        <w:t>cannot enjoy an uninterrupted night's sleep</w:t>
      </w:r>
      <w:r>
        <w:t>’</w:t>
      </w:r>
      <w:r w:rsidRPr="00CD65B0">
        <w:t xml:space="preserve"> during their shifts and are </w:t>
      </w:r>
      <w:r>
        <w:t>‘</w:t>
      </w:r>
      <w:r w:rsidRPr="00CD65B0">
        <w:t>required to remain on Jan-Care's premises, remain on call, monitor phones and pagers for calls that come in, respond to calls, and otherwise continue performing their regular job duties during their ‘sleep time.'</w:t>
      </w:r>
      <w:r>
        <w:t xml:space="preserve"> … </w:t>
      </w:r>
      <w:r w:rsidRPr="00CD65B0">
        <w:t xml:space="preserve">The Complaint alleges </w:t>
      </w:r>
      <w:r>
        <w:t>‘</w:t>
      </w:r>
      <w:r w:rsidRPr="00CD65B0">
        <w:t xml:space="preserve">Jan-Care improperly deducted ‘sleep time' from Fox that he </w:t>
      </w:r>
      <w:proofErr w:type="gramStart"/>
      <w:r w:rsidRPr="00CD65B0">
        <w:t>actually spent</w:t>
      </w:r>
      <w:proofErr w:type="gramEnd"/>
      <w:r w:rsidRPr="00CD65B0">
        <w:t xml:space="preserve"> performing compensable work, which resulted in him not being paid at least 1.5 times his regular rate of pay for the hours he worked over 40 in a workweek during that pay period.</w:t>
      </w:r>
      <w:r>
        <w:t xml:space="preserve">’  </w:t>
      </w:r>
      <w:r w:rsidRPr="00CD65B0">
        <w:t xml:space="preserve">In addition to the sleep time policy, the Complaint also describes Jan-Care's shift differential pay scheme and incentive pay for good attendance that it otherwise </w:t>
      </w:r>
      <w:r>
        <w:t>‘</w:t>
      </w:r>
      <w:r w:rsidRPr="00CD65B0">
        <w:t>excludes from [Plaintiffs'] regular rates of pay for overtime purposes during workweeks the shift differentials are earned and the Hourly Employees work in excess of 40 hours.</w:t>
      </w:r>
      <w:r>
        <w:t>’ ….</w:t>
      </w:r>
      <w:r w:rsidRPr="00CD65B0">
        <w:t xml:space="preserve"> Simply put, rather than distributing overtime based on the shift differential premiums, Jan-Care pays overtime according to an employee's base rate.</w:t>
      </w:r>
      <w:r>
        <w:t>”</w:t>
      </w:r>
    </w:p>
    <w:p w14:paraId="50414DDA" w14:textId="77777777" w:rsidR="007F336D" w:rsidRPr="00CD65B0" w:rsidRDefault="007F336D" w:rsidP="007F336D">
      <w:pPr>
        <w:rPr>
          <w:bCs/>
        </w:rPr>
      </w:pPr>
      <w:r>
        <w:rPr>
          <w:b/>
        </w:rPr>
        <w:t xml:space="preserve">Legal lesson learned: </w:t>
      </w:r>
      <w:r w:rsidRPr="00CD65B0">
        <w:t xml:space="preserve"> </w:t>
      </w:r>
      <w:r>
        <w:t xml:space="preserve">Case will now proceed; see FLSA instructions on “sleep time.” </w:t>
      </w:r>
    </w:p>
    <w:p w14:paraId="7454830D" w14:textId="77777777" w:rsidR="007F336D" w:rsidRDefault="007F336D" w:rsidP="007F336D">
      <w:pPr>
        <w:ind w:left="720"/>
        <w:rPr>
          <w:bCs/>
        </w:rPr>
      </w:pPr>
      <w:r>
        <w:t xml:space="preserve">Note: </w:t>
      </w:r>
    </w:p>
    <w:p w14:paraId="69348846" w14:textId="77777777" w:rsidR="007F336D" w:rsidRDefault="007F336D" w:rsidP="007F336D">
      <w:pPr>
        <w:ind w:left="720"/>
      </w:pPr>
      <w:r w:rsidRPr="00805A6B">
        <w:rPr>
          <w:b/>
        </w:rPr>
        <w:t>Code of Federal Regulations</w:t>
      </w:r>
      <w:r>
        <w:t xml:space="preserve">: </w:t>
      </w:r>
      <w:r w:rsidRPr="00FE1A47">
        <w:t>§ 785.22 Duty of 24 hours or more.</w:t>
      </w:r>
      <w:r w:rsidRPr="007620C7">
        <w:t xml:space="preserve"> </w:t>
      </w:r>
      <w:hyperlink r:id="rId1795" w:history="1">
        <w:r w:rsidRPr="00D67317">
          <w:rPr>
            <w:rStyle w:val="Hyperlink"/>
          </w:rPr>
          <w:t>https://www.ecfr.gov/current/title-29/subtitle-B/chapter-V/subchapter-B/part-785/subpart-C/subject-group-ECFRecc40629d2c64c8/section-785.22</w:t>
        </w:r>
      </w:hyperlink>
      <w:r>
        <w:t xml:space="preserve"> </w:t>
      </w:r>
    </w:p>
    <w:p w14:paraId="1F5CDDB1" w14:textId="77777777" w:rsidR="007F336D" w:rsidRDefault="007F336D" w:rsidP="007F336D">
      <w:pPr>
        <w:ind w:left="720"/>
      </w:pPr>
      <w:r>
        <w:rPr>
          <w:b/>
          <w:i/>
          <w:iCs/>
        </w:rPr>
        <w:t>“</w:t>
      </w:r>
      <w:r w:rsidRPr="00805A6B">
        <w:rPr>
          <w:b/>
          <w:i/>
          <w:iCs/>
        </w:rPr>
        <w:t>General.</w:t>
      </w:r>
      <w:r w:rsidRPr="00805A6B">
        <w:t xml:space="preserve"> Where an employee is required to be on duty for 24 hours or more, the employer and the employee may agree to exclude bona fide meal periods and a bona fide regularly scheduled sleeping period of not more than 8 hours from hours worked, provided adequate sleeping facilities are furnished by the employer and the employee can usually enjoy an uninterrupted night's sleep. If sleeping period </w:t>
      </w:r>
      <w:proofErr w:type="gramStart"/>
      <w:r w:rsidRPr="00805A6B">
        <w:t>is of</w:t>
      </w:r>
      <w:proofErr w:type="gramEnd"/>
      <w:r w:rsidRPr="00805A6B">
        <w:t xml:space="preserve"> more than 8 hours, only 8 hours will be credited. Where no expressed or implied agreement to the contrary is present, the 8 hours of sleeping time and lunch periods constitute hours worked</w:t>
      </w:r>
      <w:r>
        <w:t>….</w:t>
      </w:r>
    </w:p>
    <w:p w14:paraId="48B1973B" w14:textId="77777777" w:rsidR="007F336D" w:rsidRDefault="007F336D" w:rsidP="007F336D">
      <w:pPr>
        <w:ind w:left="720"/>
        <w:rPr>
          <w:bCs/>
        </w:rPr>
      </w:pPr>
      <w:r>
        <w:rPr>
          <w:b/>
          <w:i/>
          <w:iCs/>
        </w:rPr>
        <w:t>“</w:t>
      </w:r>
      <w:r w:rsidRPr="001333A5">
        <w:rPr>
          <w:b/>
          <w:i/>
          <w:iCs/>
        </w:rPr>
        <w:t>Interruptions of sleep.</w:t>
      </w:r>
      <w:r w:rsidRPr="001333A5">
        <w:t xml:space="preserve"> If the sleeping period is interrupted by a call to duty, the interruption must be counted as hours worked. If the period is interrupted to such an extent that the employee cannot get a reasonable night's sleep, the entire period must be counted. For enforcement purposes, the </w:t>
      </w:r>
      <w:proofErr w:type="spellStart"/>
      <w:r w:rsidRPr="001333A5">
        <w:t>Divisons</w:t>
      </w:r>
      <w:proofErr w:type="spellEnd"/>
      <w:r w:rsidRPr="001333A5">
        <w:t xml:space="preserve"> have adopted the rule that if the employee cannot get at least 5 hours' sleep during the scheduled period the entire time is working time. (See </w:t>
      </w:r>
      <w:r w:rsidRPr="001333A5">
        <w:rPr>
          <w:i/>
          <w:iCs/>
        </w:rPr>
        <w:t>Eustice</w:t>
      </w:r>
      <w:r w:rsidRPr="001333A5">
        <w:t xml:space="preserve"> v. </w:t>
      </w:r>
      <w:r w:rsidRPr="001333A5">
        <w:rPr>
          <w:i/>
          <w:iCs/>
        </w:rPr>
        <w:t>Federal Cartridge Corp.,</w:t>
      </w:r>
      <w:r w:rsidRPr="001333A5">
        <w:t xml:space="preserve"> 66 F. Supp. 55 (D. Minn. 1946).)</w:t>
      </w:r>
      <w:r>
        <w:t>”</w:t>
      </w:r>
    </w:p>
    <w:p w14:paraId="60039AA8" w14:textId="77777777" w:rsidR="007F336D" w:rsidRPr="009B7935" w:rsidRDefault="007F336D" w:rsidP="007F336D">
      <w:pPr>
        <w:ind w:left="720"/>
        <w:rPr>
          <w:b/>
        </w:rPr>
      </w:pPr>
      <w:r w:rsidRPr="009B7935">
        <w:rPr>
          <w:b/>
        </w:rPr>
        <w:t>FLSA Hours Worked Advisor</w:t>
      </w:r>
      <w:r>
        <w:rPr>
          <w:b/>
        </w:rPr>
        <w:t xml:space="preserve">.  </w:t>
      </w:r>
      <w:hyperlink r:id="rId1796" w:history="1">
        <w:r w:rsidRPr="00D67317">
          <w:rPr>
            <w:rStyle w:val="Hyperlink"/>
            <w:b/>
          </w:rPr>
          <w:t>https://webapps.dol.gov/elaws/whd/flsa/hoursworked/screenER44.asp</w:t>
        </w:r>
      </w:hyperlink>
      <w:r>
        <w:rPr>
          <w:b/>
        </w:rPr>
        <w:t xml:space="preserve"> </w:t>
      </w:r>
      <w:r w:rsidRPr="009B7935">
        <w:rPr>
          <w:b/>
        </w:rPr>
        <w:t xml:space="preserve"> </w:t>
      </w:r>
    </w:p>
    <w:p w14:paraId="05511246" w14:textId="77777777" w:rsidR="007F336D" w:rsidRPr="009B7935" w:rsidRDefault="007F336D" w:rsidP="007F336D">
      <w:pPr>
        <w:ind w:left="720"/>
        <w:rPr>
          <w:bCs/>
        </w:rPr>
      </w:pPr>
      <w:r>
        <w:rPr>
          <w:b/>
        </w:rPr>
        <w:t>“</w:t>
      </w:r>
      <w:r w:rsidRPr="009B7935">
        <w:rPr>
          <w:b/>
        </w:rPr>
        <w:t>Your employee's sleep time is probably not hours worked.</w:t>
      </w:r>
    </w:p>
    <w:p w14:paraId="1236C8D8" w14:textId="77777777" w:rsidR="007F336D" w:rsidRPr="009B7935" w:rsidRDefault="007F336D" w:rsidP="007F336D">
      <w:pPr>
        <w:ind w:left="720"/>
        <w:rPr>
          <w:bCs/>
        </w:rPr>
      </w:pPr>
      <w:r w:rsidRPr="009B7935">
        <w:t xml:space="preserve">If your employee </w:t>
      </w:r>
      <w:proofErr w:type="gramStart"/>
      <w:r w:rsidRPr="009B7935">
        <w:t>is able to</w:t>
      </w:r>
      <w:proofErr w:type="gramEnd"/>
      <w:r w:rsidRPr="009B7935">
        <w:t xml:space="preserve"> get five or more hours of sleep, the sleep time is not considered hour worked. However, you can only deduct the actual number of hours spent sleeping, up to a maximum of eight hours. For example, if your employee receives six hours of sleep, you can only deduct six hours for </w:t>
      </w:r>
      <w:proofErr w:type="gramStart"/>
      <w:r w:rsidRPr="009B7935">
        <w:t>sleeping</w:t>
      </w:r>
      <w:proofErr w:type="gramEnd"/>
      <w:r w:rsidRPr="009B7935">
        <w:t xml:space="preserve"> from the work period. This determination is made </w:t>
      </w:r>
      <w:proofErr w:type="gramStart"/>
      <w:r w:rsidRPr="009B7935">
        <w:t>on the basis of</w:t>
      </w:r>
      <w:proofErr w:type="gramEnd"/>
      <w:r w:rsidRPr="009B7935">
        <w:t xml:space="preserve"> what happens during each sleep period.</w:t>
      </w:r>
      <w:r>
        <w:t xml:space="preserve">” </w:t>
      </w:r>
    </w:p>
    <w:p w14:paraId="5AC3CFE6" w14:textId="77777777" w:rsidR="007F336D" w:rsidRDefault="007F336D" w:rsidP="007F336D">
      <w:pPr>
        <w:ind w:left="720"/>
        <w:rPr>
          <w:bCs/>
        </w:rPr>
      </w:pPr>
    </w:p>
    <w:p w14:paraId="250B84B2" w14:textId="77777777" w:rsidR="007F336D" w:rsidRDefault="007F336D" w:rsidP="007F336D">
      <w:pPr>
        <w:ind w:left="720"/>
        <w:rPr>
          <w:bCs/>
        </w:rPr>
      </w:pPr>
      <w:r>
        <w:t xml:space="preserve">See FLSA instructions on sleep time (July 2008). </w:t>
      </w:r>
      <w:hyperlink r:id="rId1797" w:history="1">
        <w:r w:rsidRPr="00D67317">
          <w:rPr>
            <w:rStyle w:val="Hyperlink"/>
          </w:rPr>
          <w:t>https://www.dol.gov/agencies/whd/fact-sheets/22-flsa-hours-worked</w:t>
        </w:r>
      </w:hyperlink>
      <w:r>
        <w:t xml:space="preserve"> .</w:t>
      </w:r>
    </w:p>
    <w:p w14:paraId="45EE67D9" w14:textId="77777777" w:rsidR="007F336D" w:rsidRDefault="007F336D" w:rsidP="007F336D">
      <w:pPr>
        <w:ind w:left="720"/>
      </w:pPr>
      <w:r>
        <w:rPr>
          <w:b/>
        </w:rPr>
        <w:t>“</w:t>
      </w:r>
      <w:r w:rsidRPr="0059619C">
        <w:rPr>
          <w:b/>
        </w:rPr>
        <w:t>Sleeping Time and Certain Other Activities:</w:t>
      </w:r>
      <w:r>
        <w:rPr>
          <w:b/>
        </w:rPr>
        <w:t xml:space="preserve"> </w:t>
      </w:r>
      <w:r w:rsidRPr="0059619C">
        <w:t xml:space="preserve">An employee who is required to be on duty for less than 24 hours is working even though he/she is permitted to sleep or engage in other personal activities when not busy. An employee required to be on duty for 24 hours or more may agree with the employer to exclude from hours worked bona fide regularly scheduled sleeping periods of not more than 8 hours, provided adequate sleeping facilities are furnished by the employer and the employee can usually </w:t>
      </w:r>
      <w:r w:rsidRPr="00A62E87">
        <w:t>enjoy an uninterrupted night's sleep. No reduction is permitted unless at least 5 hours of sleep is taken.</w:t>
      </w:r>
      <w:r>
        <w:t>”</w:t>
      </w:r>
    </w:p>
    <w:p w14:paraId="75413907" w14:textId="77777777" w:rsidR="007F336D" w:rsidRDefault="007F336D" w:rsidP="00020106">
      <w:pPr>
        <w:rPr>
          <w:rFonts w:ascii="Arial Black" w:hAnsi="Arial Black"/>
          <w:b/>
          <w:sz w:val="24"/>
          <w:szCs w:val="24"/>
        </w:rPr>
      </w:pPr>
    </w:p>
    <w:p w14:paraId="42F1F296" w14:textId="77777777" w:rsidR="007F336D" w:rsidRDefault="007F336D" w:rsidP="00020106">
      <w:pPr>
        <w:rPr>
          <w:rFonts w:ascii="Arial Black" w:hAnsi="Arial Black"/>
          <w:b/>
          <w:sz w:val="24"/>
          <w:szCs w:val="24"/>
        </w:rPr>
      </w:pPr>
    </w:p>
    <w:p w14:paraId="7195453B" w14:textId="77777777" w:rsidR="007F336D" w:rsidRDefault="007F336D" w:rsidP="00020106">
      <w:pPr>
        <w:rPr>
          <w:rFonts w:ascii="Arial Black" w:hAnsi="Arial Black"/>
          <w:b/>
          <w:sz w:val="24"/>
          <w:szCs w:val="24"/>
        </w:rPr>
      </w:pPr>
    </w:p>
    <w:p w14:paraId="0AAC9656" w14:textId="56F434AA" w:rsidR="0062797C" w:rsidRDefault="0062797C" w:rsidP="00020106">
      <w:pPr>
        <w:rPr>
          <w:rFonts w:ascii="Arial Black" w:hAnsi="Arial Black"/>
          <w:b/>
          <w:sz w:val="24"/>
          <w:szCs w:val="24"/>
        </w:rPr>
      </w:pPr>
      <w:r>
        <w:rPr>
          <w:rFonts w:ascii="Arial Black" w:hAnsi="Arial Black"/>
          <w:b/>
          <w:sz w:val="24"/>
          <w:szCs w:val="24"/>
        </w:rPr>
        <w:t>11-73</w:t>
      </w:r>
    </w:p>
    <w:p w14:paraId="4F78CC90" w14:textId="77777777" w:rsidR="0062797C" w:rsidRPr="00402759" w:rsidRDefault="0062797C" w:rsidP="0062797C">
      <w:pPr>
        <w:pStyle w:val="NoSpacing"/>
        <w:rPr>
          <w:rFonts w:ascii="Arial Black" w:hAnsi="Arial Black"/>
          <w:sz w:val="28"/>
          <w:szCs w:val="28"/>
        </w:rPr>
      </w:pPr>
      <w:r>
        <w:rPr>
          <w:rFonts w:ascii="Arial Black" w:hAnsi="Arial Black"/>
          <w:sz w:val="28"/>
          <w:szCs w:val="28"/>
        </w:rPr>
        <w:t xml:space="preserve">AZ: CAPTAIN TRANS AFTER OT ISSUE - POSS RETALIATION </w:t>
      </w:r>
    </w:p>
    <w:p w14:paraId="684C808F" w14:textId="77777777" w:rsidR="0062797C" w:rsidRDefault="0062797C" w:rsidP="0062797C">
      <w:pPr>
        <w:pStyle w:val="NoSpacing"/>
      </w:pPr>
    </w:p>
    <w:p w14:paraId="59ECDC64" w14:textId="77777777" w:rsidR="0062797C" w:rsidRDefault="0062797C" w:rsidP="0062797C">
      <w:pPr>
        <w:pStyle w:val="NoSpacing"/>
      </w:pPr>
      <w:r>
        <w:t xml:space="preserve">On July 21, 2026, in </w:t>
      </w:r>
      <w:r w:rsidRPr="00995D85">
        <w:rPr>
          <w:u w:val="single"/>
        </w:rPr>
        <w:t>David Johnson v. City of Phoenix, et al</w:t>
      </w:r>
      <w:r>
        <w:t xml:space="preserve">., U.S. District Court Judge Krissa M. Lanham held that City is granted summary judgment regarding the </w:t>
      </w:r>
      <w:proofErr w:type="gramStart"/>
      <w:r>
        <w:t>Captain’s</w:t>
      </w:r>
      <w:proofErr w:type="gramEnd"/>
      <w:r>
        <w:t xml:space="preserve"> overtime claim but case proceeds regarding retaliation for his job transfer after filing internal grievances (which he lost). On Oct. 19, </w:t>
      </w:r>
      <w:proofErr w:type="gramStart"/>
      <w:r>
        <w:t>2021</w:t>
      </w:r>
      <w:proofErr w:type="gramEnd"/>
      <w:r>
        <w:t xml:space="preserve"> he was home on standby shift ($1.50 hour), and then responded to hospital for </w:t>
      </w:r>
      <w:r w:rsidRPr="00317B05">
        <w:t>pathogen-exposure incident</w:t>
      </w:r>
      <w:r>
        <w:t xml:space="preserve">; returned home in 3 </w:t>
      </w:r>
      <w:proofErr w:type="gramStart"/>
      <w:r>
        <w:t>hours, and</w:t>
      </w:r>
      <w:proofErr w:type="gramEnd"/>
      <w:r>
        <w:t xml:space="preserve"> made some follow up calls to hospital.  He claimed overtime for the </w:t>
      </w:r>
      <w:r w:rsidRPr="00317B05">
        <w:t>total of 12.75 hours passed between the incident's beginning and the end of Johnson's shift</w:t>
      </w:r>
      <w:r>
        <w:t xml:space="preserve"> (grievances denied).  In February 2022, after grievances were </w:t>
      </w:r>
      <w:proofErr w:type="gramStart"/>
      <w:r>
        <w:t>denied</w:t>
      </w:r>
      <w:proofErr w:type="gramEnd"/>
      <w:r>
        <w:t xml:space="preserve"> he was transferred to an Operations position.   U.S. Department of Labor investigation found this was retaliation.</w:t>
      </w:r>
    </w:p>
    <w:p w14:paraId="6ECFDE7D" w14:textId="77777777" w:rsidR="0062797C" w:rsidRDefault="0062797C" w:rsidP="0062797C">
      <w:pPr>
        <w:pStyle w:val="NoSpacing"/>
      </w:pPr>
      <w:hyperlink r:id="rId1798" w:history="1">
        <w:r w:rsidRPr="00F32C65">
          <w:rPr>
            <w:rStyle w:val="Hyperlink"/>
          </w:rPr>
          <w:t>https://public.fastcase.com/Jhe1Qn%2BmJndQYQU6z%2FeNm%2F%2Bb9tDy%2BB1V4igtWVlHjvKcU%2FnEQkKgvsTuIdmJf7S6TLQrLMKDMyDhy29fvRmn0B54%2B%2FamKhKvK55eX0VsHHI%3D?utm_medium=email&amp;_hsenc=p2ANqtz-_Gg5RXNpIci3yukYVP6b7sh5gmOKa0GsZOAMvLT2R41U8XgM5hohZBV9wwMQTg4BgeHRSn6k2S_n_HEfm4oxMP2E6DqA&amp;_hsmi=226712652&amp;utm_content=226712652&amp;utm_source=hs_email</w:t>
        </w:r>
      </w:hyperlink>
      <w:r>
        <w:t xml:space="preserve"> </w:t>
      </w:r>
    </w:p>
    <w:p w14:paraId="37974C69" w14:textId="77777777" w:rsidR="0062797C" w:rsidRDefault="0062797C" w:rsidP="0062797C">
      <w:pPr>
        <w:pStyle w:val="NoSpacing"/>
      </w:pPr>
    </w:p>
    <w:p w14:paraId="425B1A4E" w14:textId="77777777" w:rsidR="0062797C" w:rsidRDefault="0062797C" w:rsidP="0062797C">
      <w:pPr>
        <w:pStyle w:val="NoSpacing"/>
      </w:pPr>
      <w:r>
        <w:t xml:space="preserve">THE COURT HELD: </w:t>
      </w:r>
    </w:p>
    <w:p w14:paraId="3C0D0B16" w14:textId="77777777" w:rsidR="0062797C" w:rsidRDefault="0062797C" w:rsidP="0062797C">
      <w:pPr>
        <w:pStyle w:val="NoSpacing"/>
      </w:pPr>
    </w:p>
    <w:p w14:paraId="5B6F2248" w14:textId="77777777" w:rsidR="0062797C" w:rsidRDefault="0062797C" w:rsidP="0062797C">
      <w:pPr>
        <w:pStyle w:val="NoSpacing"/>
      </w:pPr>
      <w:r>
        <w:t>“</w:t>
      </w:r>
      <w:r w:rsidRPr="00513245">
        <w:t>David Johnson, a Phoenix Fire Department (</w:t>
      </w:r>
      <w:r>
        <w:t>‘</w:t>
      </w:r>
      <w:r w:rsidRPr="00513245">
        <w:t>PFD</w:t>
      </w:r>
      <w:r>
        <w:t>’</w:t>
      </w:r>
      <w:r w:rsidRPr="00513245">
        <w:t>) employee, worked as the captain of PFD's Car 959 unit (</w:t>
      </w:r>
      <w:r>
        <w:t>‘</w:t>
      </w:r>
      <w:r w:rsidRPr="00513245">
        <w:t>C959</w:t>
      </w:r>
      <w:r>
        <w:t>’</w:t>
      </w:r>
      <w:r w:rsidRPr="00513245">
        <w:t>) until he filed multiple grievances regarding overtime compensation and was then transferred. He filed a lawsuit against PFD and individual PFD-affiliated defendants, alleging they violated the Fair Labor Standards Act (</w:t>
      </w:r>
      <w:r>
        <w:t>‘</w:t>
      </w:r>
      <w:r w:rsidRPr="00513245">
        <w:t>FLSA</w:t>
      </w:r>
      <w:r>
        <w:t>’</w:t>
      </w:r>
      <w:r w:rsidRPr="00513245">
        <w:t>) by transferring him in retaliation for his grievances and refusing to pay overtime</w:t>
      </w:r>
      <w:r>
        <w:t xml:space="preserve">…. </w:t>
      </w:r>
      <w:r w:rsidRPr="00317B05">
        <w:t>The parties agree Johnson worked for PFD for over 27 years, serving as a captain since 2007 and captain paramedic for C959 beginning in 2018</w:t>
      </w:r>
      <w:r>
        <w:t xml:space="preserve">…. </w:t>
      </w:r>
      <w:r w:rsidRPr="00317B05">
        <w:t>During that time, he received positive performance evaluations and no documented complaints or disciplinary actions</w:t>
      </w:r>
      <w:r>
        <w:t xml:space="preserve"> … </w:t>
      </w:r>
      <w:r w:rsidRPr="00317B05">
        <w:t>though Phoenix alleges his behavior was unprofessional</w:t>
      </w:r>
      <w:r>
        <w:t xml:space="preserve"> … </w:t>
      </w:r>
      <w:r w:rsidRPr="00317B05">
        <w:t>(notes from meetings with hospital coordinators who criticized Johnson's behavior)</w:t>
      </w:r>
      <w:r>
        <w:rPr>
          <w:vertAlign w:val="superscript"/>
        </w:rPr>
        <w:t xml:space="preserve">. </w:t>
      </w:r>
      <w:r w:rsidRPr="00317B05">
        <w:t>In October 2021, C959 transitioned from a 56-hour workweek to a 40-hour workweek, a change that reduced Johnson's overtime opportunities</w:t>
      </w:r>
      <w:r>
        <w:t xml:space="preserve">…. </w:t>
      </w:r>
      <w:r w:rsidRPr="00317B05">
        <w:t>Employees could work standby shifts where they were paid $1.50 per hour to remain on call; if called out to a job, they would be paid overtime rates (one-and-a-half-times pay) for the duration of that call</w:t>
      </w:r>
      <w:r>
        <w:t xml:space="preserve">…. </w:t>
      </w:r>
      <w:r w:rsidRPr="00317B05">
        <w:t>On October 19, 2021, Johnson was working a standby shift when he was called out to manage a pathogen-exposure incident</w:t>
      </w:r>
      <w:r>
        <w:t xml:space="preserve">…. </w:t>
      </w:r>
      <w:r w:rsidRPr="00317B05">
        <w:t>He drove to the hospital and worked for around three hours, then returned home and made short phone calls to the hospital every few hours</w:t>
      </w:r>
      <w:r>
        <w:t xml:space="preserve">…. </w:t>
      </w:r>
      <w:r w:rsidRPr="00317B05">
        <w:t>A total of 12.75 hours passed between the incident's beginning and the end of Johnson's shift, and PFD determined he had worked overtime for 5.5 of those hours (for the hospital visit and phone calls) but was in standby status for the remainder</w:t>
      </w:r>
      <w:r>
        <w:t xml:space="preserve">…. </w:t>
      </w:r>
      <w:r w:rsidRPr="00317B05">
        <w:t>Johnson later filed two grievances alleging he was owed overtime for the entire 12.75-hour period</w:t>
      </w:r>
      <w:r>
        <w:t xml:space="preserve">…. </w:t>
      </w:r>
      <w:r w:rsidRPr="00317B05">
        <w:t>Those grievances were unsuccessful</w:t>
      </w:r>
      <w:r>
        <w:t xml:space="preserve">…. </w:t>
      </w:r>
      <w:r w:rsidRPr="00317B05">
        <w:t>Shortly afterwards, in February 2022, Johnson was notified he would be removed as C959 captain and reassigned or demoted into Operations due to unprofessional conduct</w:t>
      </w:r>
      <w:r>
        <w:t xml:space="preserve">…. </w:t>
      </w:r>
      <w:r w:rsidRPr="00317B05">
        <w:t xml:space="preserve">The parties agree Operations (a </w:t>
      </w:r>
      <w:r>
        <w:t>‘</w:t>
      </w:r>
      <w:r w:rsidRPr="00317B05">
        <w:t>roving pool</w:t>
      </w:r>
      <w:r>
        <w:t>’</w:t>
      </w:r>
      <w:r w:rsidRPr="00317B05">
        <w:t>) offered more overtime opportunities than the 40-hour C959 schedule, and Johnson subsequently took other roles on a 56-hour schedul</w:t>
      </w:r>
      <w:r>
        <w:t xml:space="preserve">e…. </w:t>
      </w:r>
      <w:r w:rsidRPr="004453F3">
        <w:t>The next month, he filed a charge of retaliation with the Department of Labor (</w:t>
      </w:r>
      <w:r>
        <w:t>‘</w:t>
      </w:r>
      <w:r w:rsidRPr="004453F3">
        <w:t>DOL</w:t>
      </w:r>
      <w:r>
        <w:t>’</w:t>
      </w:r>
      <w:r w:rsidRPr="004453F3">
        <w:t>), which investigated and found PFD had wrongfully removed Johnson from his captaincy because of his overtime grievances</w:t>
      </w:r>
      <w:r>
        <w:t xml:space="preserve">…. </w:t>
      </w:r>
      <w:r w:rsidRPr="004453F3">
        <w:t>During that investigation, PFD claimed it had removed Johnson due to business needs and prior complaints against him</w:t>
      </w:r>
      <w:r>
        <w:t xml:space="preserve">…. </w:t>
      </w:r>
      <w:r w:rsidRPr="004453F3">
        <w:t>The DOL investigation found no corroboration for those rationales and further determined PFD did not follow its disciplinary process during Johnson's removal</w:t>
      </w:r>
      <w:r>
        <w:t xml:space="preserve">…. </w:t>
      </w:r>
      <w:r w:rsidRPr="004453F3">
        <w:t>The report calculated his damages from that retaliation were $0.</w:t>
      </w:r>
    </w:p>
    <w:p w14:paraId="51831572" w14:textId="77777777" w:rsidR="0062797C" w:rsidRDefault="0062797C" w:rsidP="0062797C">
      <w:pPr>
        <w:pStyle w:val="NoSpacing"/>
      </w:pPr>
    </w:p>
    <w:p w14:paraId="2CDAA8D5" w14:textId="77777777" w:rsidR="0062797C" w:rsidRDefault="0062797C" w:rsidP="0062797C">
      <w:pPr>
        <w:pStyle w:val="NoSpacing"/>
      </w:pPr>
      <w:r>
        <w:t>***</w:t>
      </w:r>
    </w:p>
    <w:p w14:paraId="5B8BB4DD" w14:textId="77777777" w:rsidR="0062797C" w:rsidRDefault="0062797C" w:rsidP="0062797C">
      <w:pPr>
        <w:pStyle w:val="NoSpacing"/>
      </w:pPr>
    </w:p>
    <w:p w14:paraId="19A6790D" w14:textId="77777777" w:rsidR="0062797C" w:rsidRDefault="0062797C" w:rsidP="0062797C">
      <w:pPr>
        <w:pStyle w:val="NoSpacing"/>
      </w:pPr>
      <w:r w:rsidRPr="00AC714C">
        <w:t xml:space="preserve">Johnson has raised a dispute of material fact whether he suffered any monetary harm from his removal, so Phoenix's motion for summary judgment on that issue is denied as to Count 1. However, Johnson cannot pursue </w:t>
      </w:r>
      <w:proofErr w:type="gramStart"/>
      <w:r w:rsidRPr="00AC714C">
        <w:t>emotional distress</w:t>
      </w:r>
      <w:proofErr w:type="gramEnd"/>
      <w:r w:rsidRPr="00AC714C">
        <w:t xml:space="preserve"> damages on that count because he offered no facts supporting such damages. Summary judgment is granted as to Count 3, Johnson's overtime claim, and the court accepts Johnson's voluntary dismissal of Count 2.</w:t>
      </w:r>
      <w:r>
        <w:t>”</w:t>
      </w:r>
    </w:p>
    <w:p w14:paraId="227E9761" w14:textId="77777777" w:rsidR="0062797C" w:rsidRDefault="0062797C" w:rsidP="0062797C">
      <w:pPr>
        <w:pStyle w:val="NoSpacing"/>
      </w:pPr>
    </w:p>
    <w:p w14:paraId="6D822BCB" w14:textId="77777777" w:rsidR="0062797C" w:rsidRDefault="0062797C" w:rsidP="0062797C">
      <w:pPr>
        <w:pStyle w:val="NoSpacing"/>
      </w:pPr>
      <w:r>
        <w:rPr>
          <w:b/>
        </w:rPr>
        <w:t xml:space="preserve">Legal lesson learned: The retaliation claim will now proceed with pre-trial discovery. </w:t>
      </w:r>
    </w:p>
    <w:p w14:paraId="35D6F67E" w14:textId="77777777" w:rsidR="0062797C" w:rsidRDefault="0062797C" w:rsidP="0062797C">
      <w:pPr>
        <w:pStyle w:val="NoSpacing"/>
      </w:pPr>
    </w:p>
    <w:p w14:paraId="0F551E51" w14:textId="77777777" w:rsidR="0062797C" w:rsidRDefault="0062797C" w:rsidP="00020106">
      <w:pPr>
        <w:rPr>
          <w:rFonts w:ascii="Arial Black" w:hAnsi="Arial Black"/>
          <w:b/>
          <w:sz w:val="24"/>
          <w:szCs w:val="24"/>
        </w:rPr>
      </w:pPr>
    </w:p>
    <w:p w14:paraId="78F725FC" w14:textId="77777777" w:rsidR="0062797C" w:rsidRDefault="0062797C" w:rsidP="00020106">
      <w:pPr>
        <w:rPr>
          <w:rFonts w:ascii="Arial Black" w:hAnsi="Arial Black"/>
          <w:b/>
          <w:sz w:val="24"/>
          <w:szCs w:val="24"/>
        </w:rPr>
      </w:pPr>
    </w:p>
    <w:p w14:paraId="0CED0956" w14:textId="77777777" w:rsidR="0062797C" w:rsidRDefault="0062797C" w:rsidP="00020106">
      <w:pPr>
        <w:rPr>
          <w:rFonts w:ascii="Arial Black" w:hAnsi="Arial Black"/>
          <w:b/>
          <w:sz w:val="24"/>
          <w:szCs w:val="24"/>
        </w:rPr>
      </w:pPr>
    </w:p>
    <w:p w14:paraId="7200A2A0" w14:textId="2F788968" w:rsidR="00DD3D7A" w:rsidRDefault="00C5039F" w:rsidP="00020106">
      <w:pPr>
        <w:rPr>
          <w:rFonts w:ascii="Arial Black" w:hAnsi="Arial Black"/>
          <w:b/>
          <w:sz w:val="24"/>
          <w:szCs w:val="24"/>
        </w:rPr>
      </w:pPr>
      <w:r>
        <w:rPr>
          <w:rFonts w:ascii="Arial Black" w:hAnsi="Arial Black"/>
          <w:b/>
          <w:sz w:val="24"/>
          <w:szCs w:val="24"/>
        </w:rPr>
        <w:t>11-72</w:t>
      </w:r>
    </w:p>
    <w:p w14:paraId="6AC772CF" w14:textId="77777777" w:rsidR="00F53F21" w:rsidRPr="00FB7372" w:rsidRDefault="00F53F21" w:rsidP="00F53F21">
      <w:pPr>
        <w:pStyle w:val="NoSpacing"/>
        <w:rPr>
          <w:rFonts w:ascii="Arial Black" w:hAnsi="Arial Black"/>
          <w:sz w:val="28"/>
          <w:szCs w:val="28"/>
        </w:rPr>
      </w:pPr>
      <w:r>
        <w:rPr>
          <w:rFonts w:ascii="Arial Black" w:hAnsi="Arial Black"/>
          <w:sz w:val="28"/>
          <w:szCs w:val="28"/>
        </w:rPr>
        <w:t>IL: CITY’S CHANGE 24/48 SHIFT - CLASS ACTION DAMAGES</w:t>
      </w:r>
    </w:p>
    <w:p w14:paraId="008C55A1" w14:textId="77777777" w:rsidR="00F53F21" w:rsidRDefault="00F53F21" w:rsidP="00F53F21">
      <w:pPr>
        <w:pStyle w:val="NoSpacing"/>
      </w:pPr>
    </w:p>
    <w:p w14:paraId="22BDC0A8" w14:textId="77777777" w:rsidR="00F53F21" w:rsidRDefault="00F53F21" w:rsidP="00F53F21">
      <w:r>
        <w:t xml:space="preserve">On May 26, 2026, in </w:t>
      </w:r>
      <w:r w:rsidRPr="00266EFF">
        <w:rPr>
          <w:u w:val="single"/>
        </w:rPr>
        <w:t>East Chicago Professional Firefighters Local 365, et al. v. City of East Chicago, et al.</w:t>
      </w:r>
      <w:r>
        <w:t xml:space="preserve">, the Court of Appeals of Indiana held (3 to 0; unpublished decision) that the Indiana State Court Judge failed to send notice to all firefighters in a class action lawsuit for money damages. The state case is </w:t>
      </w:r>
      <w:proofErr w:type="gramStart"/>
      <w:r>
        <w:t>remanded</w:t>
      </w:r>
      <w:proofErr w:type="gramEnd"/>
      <w:r>
        <w:t xml:space="preserve"> to set damage award for 84 current and former firefighters who had their shift unilaterally changed on December 7, </w:t>
      </w:r>
      <w:proofErr w:type="gramStart"/>
      <w:r>
        <w:t>2019</w:t>
      </w:r>
      <w:proofErr w:type="gramEnd"/>
      <w:r>
        <w:t xml:space="preserve"> from 24/48 to rotating 8-hour days (off 24) and 8-hour nights (off 24 hours).  This unilateral change was spearheaded by </w:t>
      </w:r>
      <w:r w:rsidRPr="00BD274C">
        <w:t xml:space="preserve">Anthony Copeland, a former firefighter of twenty-six years, </w:t>
      </w:r>
      <w:r>
        <w:t xml:space="preserve">who </w:t>
      </w:r>
      <w:r w:rsidRPr="00BD274C">
        <w:t>was elected mayor of the City of East Chicago in 2010.</w:t>
      </w:r>
      <w:r>
        <w:t xml:space="preserve"> The union had previously won a federal injunction setting aside the shift change on March 28, 2022, which was upheld by United States Seventh </w:t>
      </w:r>
      <w:r w:rsidRPr="0097445E">
        <w:t>Circuit</w:t>
      </w:r>
      <w:r w:rsidRPr="00320051">
        <w:t xml:space="preserve"> </w:t>
      </w:r>
      <w:r>
        <w:t xml:space="preserve">on Dec. 21, 2022.  The Court wrote: “We conclude that the trial court erred as a matter of law by not directing the notice procedure to the members of the class who could be identified through reasonable effort.” </w:t>
      </w:r>
      <w:hyperlink r:id="rId1799" w:history="1">
        <w:r w:rsidRPr="00014504">
          <w:rPr>
            <w:rStyle w:val="Hyperlink"/>
            <w:b/>
          </w:rPr>
          <w:t>https://cases.justia.com/indiana/court-of-appeals/2026-25a-pl-01609.pdf?ts=1779819186</w:t>
        </w:r>
      </w:hyperlink>
    </w:p>
    <w:p w14:paraId="6494A53A" w14:textId="77777777" w:rsidR="00F53F21" w:rsidRDefault="00F53F21" w:rsidP="00F53F21">
      <w:pPr>
        <w:pStyle w:val="NoSpacing"/>
      </w:pPr>
      <w:r w:rsidRPr="00AB37D4">
        <w:rPr>
          <w:b/>
        </w:rPr>
        <w:t>FACTS:</w:t>
      </w:r>
      <w:r>
        <w:t xml:space="preserve"> </w:t>
      </w:r>
    </w:p>
    <w:p w14:paraId="35939041" w14:textId="77777777" w:rsidR="00F53F21" w:rsidRDefault="00F53F21" w:rsidP="00F53F21">
      <w:pPr>
        <w:pStyle w:val="NoSpacing"/>
      </w:pPr>
    </w:p>
    <w:p w14:paraId="7911D83D" w14:textId="77777777" w:rsidR="00F53F21" w:rsidRDefault="00F53F21" w:rsidP="00F53F21">
      <w:pPr>
        <w:pStyle w:val="NoSpacing"/>
      </w:pPr>
      <w:r>
        <w:t>“</w:t>
      </w:r>
      <w:r w:rsidRPr="00902CC0">
        <w:t>The Firefighters, who are eighty-four current and former East Chicago</w:t>
      </w:r>
      <w:r>
        <w:t xml:space="preserve"> </w:t>
      </w:r>
      <w:r w:rsidRPr="00902CC0">
        <w:t>firefighters, moved for class certification on June 23, 2022</w:t>
      </w:r>
      <w:r>
        <w:t xml:space="preserve">…. The trial court, in its July 29 [2022] Order, found that Trial Rule 23(B)(3) applied to the case and certified two damages classes: (1) firefighters employed by East Chicago from December 7, </w:t>
      </w:r>
      <w:proofErr w:type="gramStart"/>
      <w:r>
        <w:t>2019</w:t>
      </w:r>
      <w:proofErr w:type="gramEnd"/>
      <w:r>
        <w:t xml:space="preserve"> to present; and (2) firefighters employed by East Chicago in the year 2021. </w:t>
      </w:r>
    </w:p>
    <w:p w14:paraId="3CA19911" w14:textId="77777777" w:rsidR="00F53F21" w:rsidRDefault="00F53F21" w:rsidP="00F53F21">
      <w:pPr>
        <w:pStyle w:val="NoSpacing"/>
      </w:pPr>
    </w:p>
    <w:p w14:paraId="1E79F33A" w14:textId="77777777" w:rsidR="00F53F21" w:rsidRDefault="00F53F21" w:rsidP="00F53F21">
      <w:pPr>
        <w:pStyle w:val="NoSpacing"/>
      </w:pPr>
      <w:r>
        <w:t>***</w:t>
      </w:r>
    </w:p>
    <w:p w14:paraId="4774A793" w14:textId="77777777" w:rsidR="00F53F21" w:rsidRDefault="00F53F21" w:rsidP="00F53F21">
      <w:pPr>
        <w:pStyle w:val="NoSpacing"/>
      </w:pPr>
    </w:p>
    <w:p w14:paraId="614D9262" w14:textId="77777777" w:rsidR="00F53F21" w:rsidRDefault="00F53F21" w:rsidP="00F53F21">
      <w:pPr>
        <w:pStyle w:val="NoSpacing"/>
      </w:pPr>
      <w:r>
        <w:t>However, the court did not direct that formal notice of the class action and the options available to the purported class be given…. T</w:t>
      </w:r>
      <w:r w:rsidRPr="00952750">
        <w:t>he Firefighters argued against East Chicago’s suggestion of equitable</w:t>
      </w:r>
      <w:r>
        <w:t xml:space="preserve"> </w:t>
      </w:r>
      <w:r w:rsidRPr="00952750">
        <w:t>relief, stating that there was a legal remedy in the form of money damages.</w:t>
      </w:r>
    </w:p>
    <w:p w14:paraId="77F5AD96" w14:textId="77777777" w:rsidR="00F53F21" w:rsidRDefault="00F53F21" w:rsidP="00F53F21">
      <w:pPr>
        <w:pStyle w:val="NoSpacing"/>
      </w:pPr>
    </w:p>
    <w:p w14:paraId="27115A97" w14:textId="77777777" w:rsidR="00F53F21" w:rsidRDefault="00F53F21" w:rsidP="00F53F21">
      <w:pPr>
        <w:pStyle w:val="NoSpacing"/>
      </w:pPr>
      <w:r>
        <w:t>***</w:t>
      </w:r>
    </w:p>
    <w:p w14:paraId="5FCD1983" w14:textId="77777777" w:rsidR="00F53F21" w:rsidRDefault="00F53F21" w:rsidP="00F53F21">
      <w:pPr>
        <w:pStyle w:val="NoSpacing"/>
      </w:pPr>
      <w:r>
        <w:t xml:space="preserve">The court held a hearing to address The Firefighters’ Section 8 Petition , which sought further relief based on the court’s declaratory judgment entered on November 29, </w:t>
      </w:r>
      <w:proofErr w:type="gramStart"/>
      <w:r>
        <w:t>2023</w:t>
      </w:r>
      <w:proofErr w:type="gramEnd"/>
      <w:r>
        <w:t xml:space="preserve"> as to the statutory claim, in the form of compensatory damages, and explicitly stating injunctive relief was not being sought.”</w:t>
      </w:r>
    </w:p>
    <w:p w14:paraId="5A589B71" w14:textId="77777777" w:rsidR="00F53F21" w:rsidRPr="00AB37D4" w:rsidRDefault="00F53F21" w:rsidP="00F53F21">
      <w:pPr>
        <w:pStyle w:val="NoSpacing"/>
        <w:rPr>
          <w:b/>
          <w:bCs/>
        </w:rPr>
      </w:pPr>
    </w:p>
    <w:p w14:paraId="14502AA0" w14:textId="77777777" w:rsidR="00F53F21" w:rsidRDefault="00F53F21" w:rsidP="00F53F21">
      <w:pPr>
        <w:pStyle w:val="NoSpacing"/>
        <w:tabs>
          <w:tab w:val="left" w:pos="2580"/>
        </w:tabs>
      </w:pPr>
      <w:r w:rsidRPr="00AB37D4">
        <w:rPr>
          <w:b/>
        </w:rPr>
        <w:t>COURT HELD:</w:t>
      </w:r>
      <w:r>
        <w:t xml:space="preserve"> </w:t>
      </w:r>
    </w:p>
    <w:p w14:paraId="627FF72B" w14:textId="77777777" w:rsidR="00F53F21" w:rsidRDefault="00F53F21" w:rsidP="00F53F21">
      <w:pPr>
        <w:pStyle w:val="NoSpacing"/>
        <w:tabs>
          <w:tab w:val="left" w:pos="2580"/>
        </w:tabs>
      </w:pPr>
    </w:p>
    <w:p w14:paraId="623A0B8E" w14:textId="77777777" w:rsidR="00F53F21" w:rsidRDefault="00F53F21" w:rsidP="00F53F21">
      <w:pPr>
        <w:pStyle w:val="NoSpacing"/>
        <w:tabs>
          <w:tab w:val="left" w:pos="2580"/>
        </w:tabs>
        <w:rPr>
          <w:b/>
        </w:rPr>
      </w:pPr>
      <w:r>
        <w:t>“The Firefighters could not have anticipated that the trial court would proceed to final judgment prior to following the procedure for class actions, taking evidence or swearing in witnesses…. We conclude that the trial court erred as a matter of law by not directing the notice procedure to the members of the class who could be identified through reasonable effort. And because The Firefighters could not have anticipated the trial court would enter a final judgment without a trial or evidentiary hearing where witnesses were sworn and evidence was heard, they correctly brought the issue of lack of class notification to the trial court’s attention as soon as it was identifiable. Therefore, we remand this matter to the trial court for further proceedings.”</w:t>
      </w:r>
      <w:r w:rsidRPr="007920FB">
        <w:t xml:space="preserve"> </w:t>
      </w:r>
    </w:p>
    <w:p w14:paraId="67DA25BE" w14:textId="77777777" w:rsidR="00F53F21" w:rsidRDefault="00F53F21" w:rsidP="00F53F21">
      <w:pPr>
        <w:rPr>
          <w:b/>
        </w:rPr>
      </w:pPr>
    </w:p>
    <w:p w14:paraId="36E6DE17" w14:textId="77777777" w:rsidR="00F53F21" w:rsidRPr="00302C9C" w:rsidRDefault="00F53F21" w:rsidP="00F53F21">
      <w:pPr>
        <w:rPr>
          <w:b/>
        </w:rPr>
      </w:pPr>
      <w:r>
        <w:rPr>
          <w:b/>
        </w:rPr>
        <w:t xml:space="preserve">Legal lesson learned: City failed to collectively bargain the change in shift. </w:t>
      </w:r>
    </w:p>
    <w:p w14:paraId="51E2D9B1" w14:textId="77777777" w:rsidR="00F53F21" w:rsidRPr="0097445E" w:rsidRDefault="00F53F21" w:rsidP="00F53F21">
      <w:pPr>
        <w:rPr>
          <w:bCs/>
        </w:rPr>
      </w:pPr>
      <w:r>
        <w:rPr>
          <w:b/>
        </w:rPr>
        <w:tab/>
      </w:r>
      <w:r w:rsidRPr="0097445E">
        <w:t>Note:  See comments of the</w:t>
      </w:r>
      <w:r>
        <w:t xml:space="preserve"> United States Seventh </w:t>
      </w:r>
      <w:r w:rsidRPr="0097445E">
        <w:t>Circuit</w:t>
      </w:r>
      <w:r w:rsidRPr="00320051">
        <w:t xml:space="preserve"> </w:t>
      </w:r>
      <w:r>
        <w:t>on Dec. 21, 2022.</w:t>
      </w:r>
    </w:p>
    <w:p w14:paraId="06C64421" w14:textId="77777777" w:rsidR="00F53F21" w:rsidRDefault="00F53F21" w:rsidP="00F53F21">
      <w:pPr>
        <w:pStyle w:val="NoSpacing"/>
        <w:ind w:left="720"/>
      </w:pPr>
      <w:r>
        <w:t>“</w:t>
      </w:r>
      <w:r w:rsidRPr="0097445E">
        <w:t xml:space="preserve">No other fire department in the country has adopted the 8/24 schedule. Unlike the 24/48 system, where the firefighters are </w:t>
      </w:r>
      <w:proofErr w:type="gramStart"/>
      <w:r w:rsidRPr="0097445E">
        <w:t>on-duty</w:t>
      </w:r>
      <w:proofErr w:type="gramEnd"/>
      <w:r w:rsidRPr="0097445E">
        <w:t xml:space="preserve"> the same hours every day that they work, the 8/24 schedule assigns the firefighters to different shifts every day. A firefighter could, for example, work the day shift on one day, the night </w:t>
      </w:r>
      <w:proofErr w:type="gramStart"/>
      <w:r w:rsidRPr="0097445E">
        <w:t>shift</w:t>
      </w:r>
      <w:proofErr w:type="gramEnd"/>
      <w:r w:rsidRPr="0097445E">
        <w:t xml:space="preserve"> the next day, and the graveyard shift the day after. This rotating schedule wreaked havoc on the personal lives and wellbeing of the firefighters, making it difficult—if not impossible—for the firefighters to manage their children's regular schedules and establish consistent sleep schedules. As a result, the firefighters experienced weight gain, lack of sleep, irritability, and trouble concentrating.</w:t>
      </w:r>
      <w:r>
        <w:t>”</w:t>
      </w:r>
      <w:r w:rsidRPr="000C0354">
        <w:t xml:space="preserve"> </w:t>
      </w:r>
      <w:hyperlink r:id="rId1800" w:history="1">
        <w:r w:rsidRPr="001B1815">
          <w:rPr>
            <w:rStyle w:val="Hyperlink"/>
          </w:rPr>
          <w:t>https://caselaw.findlaw.com/court/us-7th-circuit/2104932.html</w:t>
        </w:r>
      </w:hyperlink>
      <w:r>
        <w:t xml:space="preserve"> </w:t>
      </w:r>
    </w:p>
    <w:p w14:paraId="415D8447" w14:textId="77777777" w:rsidR="00F53F21" w:rsidRDefault="00F53F21" w:rsidP="00CD1F10">
      <w:pPr>
        <w:rPr>
          <w:rFonts w:ascii="Arial Black" w:hAnsi="Arial Black"/>
          <w:b/>
          <w:sz w:val="28"/>
          <w:szCs w:val="28"/>
        </w:rPr>
      </w:pPr>
    </w:p>
    <w:p w14:paraId="49FC2FED" w14:textId="77777777" w:rsidR="00F53F21" w:rsidRDefault="00F53F21" w:rsidP="00CD1F10">
      <w:pPr>
        <w:rPr>
          <w:rFonts w:ascii="Arial Black" w:hAnsi="Arial Black"/>
          <w:b/>
          <w:sz w:val="28"/>
          <w:szCs w:val="28"/>
        </w:rPr>
      </w:pPr>
    </w:p>
    <w:p w14:paraId="4866F1F7" w14:textId="3BA87E25" w:rsidR="0036420D" w:rsidRDefault="0036420D" w:rsidP="00CD1F10">
      <w:pPr>
        <w:rPr>
          <w:rFonts w:ascii="Arial Black" w:hAnsi="Arial Black"/>
          <w:b/>
          <w:sz w:val="28"/>
          <w:szCs w:val="28"/>
        </w:rPr>
      </w:pPr>
      <w:r>
        <w:rPr>
          <w:rFonts w:ascii="Arial Black" w:hAnsi="Arial Black"/>
          <w:b/>
          <w:sz w:val="28"/>
          <w:szCs w:val="28"/>
        </w:rPr>
        <w:t>11-71</w:t>
      </w:r>
    </w:p>
    <w:p w14:paraId="0AB687BE" w14:textId="3584F2E4" w:rsidR="00CD1F10" w:rsidRDefault="00CD1F10" w:rsidP="00CD1F10">
      <w:pPr>
        <w:rPr>
          <w:rFonts w:ascii="Arial Black" w:hAnsi="Arial Black"/>
          <w:b/>
          <w:sz w:val="28"/>
          <w:szCs w:val="28"/>
        </w:rPr>
      </w:pPr>
      <w:r>
        <w:rPr>
          <w:rFonts w:ascii="Arial Black" w:hAnsi="Arial Black"/>
          <w:b/>
          <w:sz w:val="28"/>
          <w:szCs w:val="28"/>
        </w:rPr>
        <w:t>NJ: OVERTIME CLASS ACTION – 24/72 – FF / CAPTAINS / BCs</w:t>
      </w:r>
    </w:p>
    <w:p w14:paraId="1782437E" w14:textId="77777777" w:rsidR="00CD1F10" w:rsidRDefault="00CD1F10" w:rsidP="00CD1F10">
      <w:pPr>
        <w:pStyle w:val="NoSpacing"/>
      </w:pPr>
      <w:r w:rsidRPr="0099625C">
        <w:t xml:space="preserve">On May 26, 2026, in </w:t>
      </w:r>
      <w:r w:rsidRPr="0099625C">
        <w:rPr>
          <w:u w:val="single"/>
        </w:rPr>
        <w:t>Adrian Evans, et al. v. City of Patterson</w:t>
      </w:r>
      <w:r>
        <w:t xml:space="preserve">, the </w:t>
      </w:r>
      <w:r w:rsidRPr="00BF791A">
        <w:t>Superior Court of New Jersey, Appellate Division</w:t>
      </w:r>
      <w:r>
        <w:t xml:space="preserve"> held (3 to 0) that trial court properly granted the firefighters’ motion for class certification concerning alleged violation of state overtime laws.  </w:t>
      </w:r>
      <w:r w:rsidRPr="00033CC1">
        <w:t>Plaintiffs claim they routinely worked over forty hours per week without receiving the statutorily required overtime payment for doing so.</w:t>
      </w:r>
      <w:r>
        <w:t xml:space="preserve"> THE COURT WROTE: “By admitting that over forty fire fighters were employed by the City since 2017, we conclude the amount of forty fire fighters satisfies the numerosity requirement as determined by the court and there was no abuse of discretion…. plaintiffs point to the certifications submitted showing that captains and battalion chiefs regularly performed firefighting duties and were paid full-time uniformed firefighters who were subject to the terms and conditions in the CBA.” </w:t>
      </w:r>
      <w:hyperlink r:id="rId1801" w:history="1">
        <w:r w:rsidRPr="007272C4">
          <w:rPr>
            <w:rStyle w:val="Hyperlink"/>
          </w:rPr>
          <w:t>https://www.njcourts.gov/system/files/court-opinions/2026/a1218-25.pdf</w:t>
        </w:r>
      </w:hyperlink>
      <w:r>
        <w:t xml:space="preserve"> </w:t>
      </w:r>
    </w:p>
    <w:p w14:paraId="7B63E67A" w14:textId="77777777" w:rsidR="00CD1F10" w:rsidRDefault="00CD1F10" w:rsidP="00CD1F10">
      <w:pPr>
        <w:pStyle w:val="NoSpacing"/>
      </w:pPr>
    </w:p>
    <w:p w14:paraId="428DCEE1" w14:textId="77777777" w:rsidR="00CD1F10" w:rsidRDefault="00CD1F10" w:rsidP="00CD1F10">
      <w:pPr>
        <w:pStyle w:val="NoSpacing"/>
      </w:pPr>
      <w:r>
        <w:t xml:space="preserve"> THE COURT HELD:</w:t>
      </w:r>
    </w:p>
    <w:p w14:paraId="5546719E" w14:textId="77777777" w:rsidR="00CD1F10" w:rsidRDefault="00CD1F10" w:rsidP="00CD1F10">
      <w:pPr>
        <w:pStyle w:val="NoSpacing"/>
      </w:pPr>
    </w:p>
    <w:p w14:paraId="0A81991D" w14:textId="77777777" w:rsidR="00CD1F10" w:rsidRDefault="00CD1F10" w:rsidP="00CD1F10">
      <w:pPr>
        <w:pStyle w:val="NoSpacing"/>
        <w:ind w:left="720"/>
      </w:pPr>
      <w:r>
        <w:t>“Under Article XII Section A of the above-referenced CBAs, the work schedule for the firefighters was as follows:</w:t>
      </w:r>
    </w:p>
    <w:p w14:paraId="28DB916D" w14:textId="77777777" w:rsidR="00CD1F10" w:rsidRDefault="00CD1F10" w:rsidP="00CD1F10">
      <w:pPr>
        <w:pStyle w:val="NoSpacing"/>
        <w:ind w:firstLine="720"/>
      </w:pPr>
    </w:p>
    <w:p w14:paraId="0A66DCAA" w14:textId="77777777" w:rsidR="00CD1F10" w:rsidRDefault="00CD1F10" w:rsidP="00CD1F10">
      <w:pPr>
        <w:pStyle w:val="NoSpacing"/>
        <w:ind w:left="720" w:firstLine="720"/>
      </w:pPr>
      <w:r>
        <w:t>For Firefighters not assigned to the Chief's office, the</w:t>
      </w:r>
    </w:p>
    <w:p w14:paraId="272C25F9" w14:textId="77777777" w:rsidR="00CD1F10" w:rsidRDefault="00CD1F10" w:rsidP="00CD1F10">
      <w:pPr>
        <w:pStyle w:val="NoSpacing"/>
        <w:ind w:left="720" w:firstLine="720"/>
      </w:pPr>
      <w:r>
        <w:t>work week schedule shall consist of twenty-four (24)</w:t>
      </w:r>
    </w:p>
    <w:p w14:paraId="63B98E7B" w14:textId="77777777" w:rsidR="00CD1F10" w:rsidRDefault="00CD1F10" w:rsidP="00CD1F10">
      <w:pPr>
        <w:pStyle w:val="NoSpacing"/>
        <w:ind w:left="720" w:firstLine="720"/>
      </w:pPr>
      <w:r>
        <w:t>hours on duty followed by seventy-two (72) hours off</w:t>
      </w:r>
    </w:p>
    <w:p w14:paraId="609BFA65" w14:textId="77777777" w:rsidR="00CD1F10" w:rsidRDefault="00CD1F10" w:rsidP="00CD1F10">
      <w:pPr>
        <w:pStyle w:val="NoSpacing"/>
        <w:ind w:left="720" w:firstLine="720"/>
      </w:pPr>
      <w:r>
        <w:t>duty followed by twenty-four (24) hours on duty</w:t>
      </w:r>
    </w:p>
    <w:p w14:paraId="5AE1DC3E" w14:textId="77777777" w:rsidR="00CD1F10" w:rsidRDefault="00CD1F10" w:rsidP="00CD1F10">
      <w:pPr>
        <w:pStyle w:val="NoSpacing"/>
        <w:ind w:left="720" w:firstLine="720"/>
      </w:pPr>
      <w:r>
        <w:t>followed by seventy-two (72) hours off duty, etc.</w:t>
      </w:r>
    </w:p>
    <w:p w14:paraId="25CB116A" w14:textId="77777777" w:rsidR="00CD1F10" w:rsidRDefault="00CD1F10" w:rsidP="00CD1F10">
      <w:pPr>
        <w:pStyle w:val="NoSpacing"/>
        <w:ind w:left="720" w:firstLine="720"/>
      </w:pPr>
    </w:p>
    <w:p w14:paraId="7A67CFA5" w14:textId="77777777" w:rsidR="00CD1F10" w:rsidRDefault="00CD1F10" w:rsidP="00CD1F10">
      <w:pPr>
        <w:ind w:firstLine="720"/>
      </w:pPr>
      <w:r>
        <w:t>Furthermore, Article XII Section C states:</w:t>
      </w:r>
    </w:p>
    <w:p w14:paraId="7B95D95C" w14:textId="77777777" w:rsidR="00CD1F10" w:rsidRDefault="00CD1F10" w:rsidP="00CD1F10">
      <w:pPr>
        <w:pStyle w:val="NoSpacing"/>
        <w:ind w:left="720" w:firstLine="720"/>
      </w:pPr>
      <w:r>
        <w:t xml:space="preserve">Any member </w:t>
      </w:r>
      <w:proofErr w:type="gramStart"/>
      <w:r>
        <w:t>[o]f this</w:t>
      </w:r>
      <w:proofErr w:type="gramEnd"/>
      <w:r>
        <w:t xml:space="preserve"> bargaining unit assigned to staff</w:t>
      </w:r>
    </w:p>
    <w:p w14:paraId="3EC09855" w14:textId="77777777" w:rsidR="00CD1F10" w:rsidRDefault="00CD1F10" w:rsidP="00CD1F10">
      <w:pPr>
        <w:pStyle w:val="NoSpacing"/>
        <w:ind w:left="720" w:firstLine="720"/>
      </w:pPr>
      <w:r>
        <w:t>positions shall receive the same wages and benefits as</w:t>
      </w:r>
    </w:p>
    <w:p w14:paraId="7DA0BCBB" w14:textId="77777777" w:rsidR="00CD1F10" w:rsidRDefault="00CD1F10" w:rsidP="00CD1F10">
      <w:pPr>
        <w:pStyle w:val="NoSpacing"/>
        <w:ind w:left="720" w:firstLine="720"/>
      </w:pPr>
      <w:r>
        <w:t>those members assigned to the forty-two (42) hour</w:t>
      </w:r>
    </w:p>
    <w:p w14:paraId="1A75598E" w14:textId="77777777" w:rsidR="00CD1F10" w:rsidRDefault="00CD1F10" w:rsidP="00CD1F10">
      <w:pPr>
        <w:pStyle w:val="NoSpacing"/>
        <w:ind w:left="720" w:firstLine="720"/>
      </w:pPr>
      <w:r>
        <w:t>work schedule.</w:t>
      </w:r>
    </w:p>
    <w:p w14:paraId="22F96DBC" w14:textId="77777777" w:rsidR="00CD1F10" w:rsidRDefault="00CD1F10" w:rsidP="00CD1F10">
      <w:pPr>
        <w:pStyle w:val="NoSpacing"/>
        <w:ind w:firstLine="720"/>
      </w:pPr>
    </w:p>
    <w:p w14:paraId="55F39445" w14:textId="77777777" w:rsidR="00CD1F10" w:rsidRDefault="00CD1F10" w:rsidP="00CD1F10">
      <w:pPr>
        <w:pStyle w:val="NoSpacing"/>
        <w:ind w:firstLine="720"/>
      </w:pPr>
      <w:r>
        <w:t>***</w:t>
      </w:r>
    </w:p>
    <w:p w14:paraId="7C8C0623" w14:textId="77777777" w:rsidR="00CD1F10" w:rsidRDefault="00CD1F10" w:rsidP="00CD1F10">
      <w:pPr>
        <w:pStyle w:val="NoSpacing"/>
        <w:ind w:firstLine="720"/>
      </w:pPr>
    </w:p>
    <w:p w14:paraId="22D45C36" w14:textId="77777777" w:rsidR="00CD1F10" w:rsidRDefault="00CD1F10" w:rsidP="00CD1F10">
      <w:pPr>
        <w:pStyle w:val="NoSpacing"/>
        <w:ind w:left="720"/>
      </w:pPr>
      <w:r>
        <w:t>In accordance with the deferential standard that applies, we conclude the trial court did not abuse its discretion in defining the class based on the evidence before it, including the factual bases in plaintiffs' complaint. Defendant's contentions are premature at this stage of the litigation because they venture beyond the factual assertions of the class set forth in the complaint and the submitted evidence, including the factual assertions deemed admitted based on defendant's failure to respond to plaintiffs' Requests for Admissions.”</w:t>
      </w:r>
    </w:p>
    <w:p w14:paraId="47E241E2" w14:textId="77777777" w:rsidR="00CD1F10" w:rsidRDefault="00CD1F10" w:rsidP="00CD1F10">
      <w:pPr>
        <w:pStyle w:val="NoSpacing"/>
        <w:ind w:firstLine="720"/>
      </w:pPr>
    </w:p>
    <w:p w14:paraId="4E0652C4" w14:textId="77777777" w:rsidR="00CD1F10" w:rsidRPr="00EB4967" w:rsidRDefault="00CD1F10" w:rsidP="00CD1F10">
      <w:pPr>
        <w:rPr>
          <w:b/>
          <w:bCs/>
        </w:rPr>
      </w:pPr>
      <w:r>
        <w:rPr>
          <w:b/>
        </w:rPr>
        <w:t xml:space="preserve">Legal lesson learned: Case will now proceed to pre-trial discovery. FLSA class actions can include both firefighters, Captains and other non-exempt officers.   </w:t>
      </w:r>
    </w:p>
    <w:p w14:paraId="34BB263B" w14:textId="77777777" w:rsidR="00CD1F10" w:rsidRDefault="00CD1F10" w:rsidP="00020106">
      <w:pPr>
        <w:rPr>
          <w:rFonts w:ascii="Arial Black" w:hAnsi="Arial Black"/>
          <w:b/>
          <w:sz w:val="24"/>
          <w:szCs w:val="24"/>
        </w:rPr>
      </w:pPr>
    </w:p>
    <w:p w14:paraId="1CD60C7F" w14:textId="77777777" w:rsidR="00CD1F10" w:rsidRDefault="00CD1F10" w:rsidP="001F5522">
      <w:pPr>
        <w:rPr>
          <w:rFonts w:ascii="Arial Black" w:hAnsi="Arial Black"/>
          <w:b/>
          <w:sz w:val="24"/>
          <w:szCs w:val="24"/>
        </w:rPr>
      </w:pPr>
    </w:p>
    <w:p w14:paraId="4E103749" w14:textId="77777777" w:rsidR="00CD1F10" w:rsidRDefault="00CD1F10" w:rsidP="001F5522">
      <w:pPr>
        <w:rPr>
          <w:rFonts w:ascii="Arial Black" w:hAnsi="Arial Black"/>
          <w:b/>
          <w:sz w:val="24"/>
          <w:szCs w:val="24"/>
        </w:rPr>
      </w:pPr>
    </w:p>
    <w:p w14:paraId="48D477CA" w14:textId="77777777" w:rsidR="00CD1F10" w:rsidRDefault="00CD1F10" w:rsidP="001F5522">
      <w:pPr>
        <w:rPr>
          <w:rFonts w:ascii="Arial Black" w:hAnsi="Arial Black"/>
          <w:b/>
          <w:sz w:val="24"/>
          <w:szCs w:val="24"/>
        </w:rPr>
      </w:pPr>
    </w:p>
    <w:p w14:paraId="45B79AE2" w14:textId="5F25D11F" w:rsidR="001F5522" w:rsidRDefault="001F5522" w:rsidP="001F5522">
      <w:pPr>
        <w:rPr>
          <w:rFonts w:ascii="Arial Black" w:hAnsi="Arial Black"/>
          <w:b/>
          <w:sz w:val="24"/>
          <w:szCs w:val="24"/>
        </w:rPr>
      </w:pPr>
      <w:r>
        <w:rPr>
          <w:rFonts w:ascii="Arial Black" w:hAnsi="Arial Black"/>
          <w:b/>
          <w:sz w:val="24"/>
          <w:szCs w:val="24"/>
        </w:rPr>
        <w:t>11-70</w:t>
      </w:r>
    </w:p>
    <w:p w14:paraId="32B19981" w14:textId="77777777" w:rsidR="009C7749" w:rsidRPr="004441F2" w:rsidRDefault="009C7749" w:rsidP="009C7749">
      <w:pPr>
        <w:pStyle w:val="NoSpacing"/>
        <w:rPr>
          <w:rFonts w:ascii="Arial Black" w:hAnsi="Arial Black"/>
          <w:sz w:val="28"/>
          <w:szCs w:val="28"/>
        </w:rPr>
      </w:pPr>
      <w:r>
        <w:rPr>
          <w:rFonts w:ascii="Arial Black" w:hAnsi="Arial Black"/>
          <w:sz w:val="28"/>
          <w:szCs w:val="28"/>
        </w:rPr>
        <w:t xml:space="preserve">CA: FLSA - EMS VARIOUS BONUSES – NO CLASS ACTION </w:t>
      </w:r>
    </w:p>
    <w:p w14:paraId="625AB2C4" w14:textId="77777777" w:rsidR="009C7749" w:rsidRDefault="009C7749" w:rsidP="009C7749">
      <w:pPr>
        <w:pStyle w:val="NoSpacing"/>
      </w:pPr>
    </w:p>
    <w:p w14:paraId="4C88FF4A" w14:textId="77777777" w:rsidR="009C7749" w:rsidRDefault="009C7749" w:rsidP="009C7749">
      <w:pPr>
        <w:pStyle w:val="NoSpacing"/>
      </w:pPr>
      <w:r>
        <w:t xml:space="preserve">On April 21, 2026, in </w:t>
      </w:r>
      <w:r w:rsidRPr="003C18D7">
        <w:rPr>
          <w:u w:val="single"/>
        </w:rPr>
        <w:t xml:space="preserve">Adam N. Martinez v. Sierra </w:t>
      </w:r>
      <w:proofErr w:type="spellStart"/>
      <w:r w:rsidRPr="003C18D7">
        <w:rPr>
          <w:u w:val="single"/>
        </w:rPr>
        <w:t>Lifestar</w:t>
      </w:r>
      <w:proofErr w:type="spellEnd"/>
      <w:r w:rsidRPr="003C18D7">
        <w:rPr>
          <w:u w:val="single"/>
        </w:rPr>
        <w:t>, Inc.</w:t>
      </w:r>
      <w:r>
        <w:t xml:space="preserve">, the </w:t>
      </w:r>
      <w:r w:rsidRPr="003C18D7">
        <w:t>California Court of Appeals, Fifth District</w:t>
      </w:r>
      <w:r>
        <w:t xml:space="preserve"> held (3 to 0) that trial court should reconsider allowing lawsuit to proceed as a class action on behalf of 135 paramedics and EMTs who received various types of bonuses.  Plaintiff, for example, received a $100 bonus given to all EMTs employed during </w:t>
      </w:r>
      <w:r w:rsidRPr="003B0089">
        <w:t>Emergency Medical Services Week</w:t>
      </w:r>
      <w:r>
        <w:t xml:space="preserve"> (3</w:t>
      </w:r>
      <w:r w:rsidRPr="003B0089">
        <w:rPr>
          <w:vertAlign w:val="superscript"/>
        </w:rPr>
        <w:t>rd</w:t>
      </w:r>
      <w:r>
        <w:t xml:space="preserve"> week of </w:t>
      </w:r>
      <w:proofErr w:type="gramStart"/>
      <w:r>
        <w:t>May,</w:t>
      </w:r>
      <w:proofErr w:type="gramEnd"/>
      <w:r>
        <w:t xml:space="preserve"> 2025).  Under state law and the FLSA, only “nondiscretionary” bonuses must be calculated into employee regular rate of pay for overtime pay. </w:t>
      </w:r>
      <w:hyperlink r:id="rId1802" w:history="1">
        <w:r w:rsidRPr="00072B77">
          <w:rPr>
            <w:rStyle w:val="Hyperlink"/>
          </w:rPr>
          <w:t>https://cases.justia.com/california/court-of-appeal/2026-f089576.pdf?ts=1776802194</w:t>
        </w:r>
      </w:hyperlink>
      <w:r>
        <w:t xml:space="preserve"> </w:t>
      </w:r>
    </w:p>
    <w:p w14:paraId="3EB69DEA" w14:textId="77777777" w:rsidR="009C7749" w:rsidRPr="000F317A" w:rsidRDefault="009C7749" w:rsidP="009C7749">
      <w:pPr>
        <w:pStyle w:val="NoSpacing"/>
        <w:rPr>
          <w:b/>
        </w:rPr>
      </w:pPr>
    </w:p>
    <w:p w14:paraId="7ED4E049" w14:textId="77777777" w:rsidR="009C7749" w:rsidRPr="003C18D7" w:rsidRDefault="009C7749" w:rsidP="009C7749">
      <w:pPr>
        <w:pStyle w:val="NoSpacing"/>
        <w:rPr>
          <w:bCs/>
        </w:rPr>
      </w:pPr>
      <w:r>
        <w:t>THE COURT HELD:</w:t>
      </w:r>
    </w:p>
    <w:p w14:paraId="47AD5F42" w14:textId="77777777" w:rsidR="009C7749" w:rsidRDefault="009C7749" w:rsidP="009C7749">
      <w:pPr>
        <w:pStyle w:val="NoSpacing"/>
      </w:pPr>
    </w:p>
    <w:p w14:paraId="612C41DD" w14:textId="77777777" w:rsidR="009C7749" w:rsidRDefault="009C7749" w:rsidP="009C7749">
      <w:pPr>
        <w:pStyle w:val="NoSpacing"/>
        <w:ind w:left="720"/>
      </w:pPr>
      <w:r>
        <w:t>“Accordingly, in general terms, the legal theory for Martinez’s claim is the same as the legal theory for the class members’ claims—that is, the regular rate of pay used to</w:t>
      </w:r>
    </w:p>
    <w:p w14:paraId="79E7A1C9" w14:textId="77777777" w:rsidR="009C7749" w:rsidRDefault="009C7749" w:rsidP="009C7749">
      <w:pPr>
        <w:pStyle w:val="NoSpacing"/>
        <w:ind w:firstLine="720"/>
      </w:pPr>
      <w:proofErr w:type="gramStart"/>
      <w:r>
        <w:t>calculate</w:t>
      </w:r>
      <w:proofErr w:type="gramEnd"/>
      <w:r>
        <w:t xml:space="preserve"> overtime, double time, and premium pay owed to each employee was</w:t>
      </w:r>
    </w:p>
    <w:p w14:paraId="46368871" w14:textId="77777777" w:rsidR="009C7749" w:rsidRDefault="009C7749" w:rsidP="009C7749">
      <w:pPr>
        <w:pStyle w:val="NoSpacing"/>
        <w:ind w:firstLine="720"/>
      </w:pPr>
      <w:r>
        <w:t>understated because the rate of pay did not include one or more nondiscretionary bonuses</w:t>
      </w:r>
    </w:p>
    <w:p w14:paraId="351D2A99" w14:textId="77777777" w:rsidR="009C7749" w:rsidRDefault="009C7749" w:rsidP="009C7749">
      <w:pPr>
        <w:pStyle w:val="NoSpacing"/>
        <w:ind w:firstLine="720"/>
      </w:pPr>
      <w:r>
        <w:t>paid to the employee.</w:t>
      </w:r>
    </w:p>
    <w:p w14:paraId="3AF7F75D" w14:textId="77777777" w:rsidR="009C7749" w:rsidRDefault="009C7749" w:rsidP="009C7749">
      <w:pPr>
        <w:pStyle w:val="NoSpacing"/>
        <w:ind w:firstLine="720"/>
      </w:pPr>
    </w:p>
    <w:p w14:paraId="55D98513" w14:textId="77777777" w:rsidR="009C7749" w:rsidRDefault="009C7749" w:rsidP="009C7749">
      <w:pPr>
        <w:pStyle w:val="NoSpacing"/>
        <w:ind w:firstLine="720"/>
      </w:pPr>
      <w:r>
        <w:t>***</w:t>
      </w:r>
    </w:p>
    <w:p w14:paraId="14D2FF06" w14:textId="77777777" w:rsidR="009C7749" w:rsidRDefault="009C7749" w:rsidP="009C7749">
      <w:pPr>
        <w:pStyle w:val="NoSpacing"/>
        <w:ind w:left="720"/>
      </w:pPr>
      <w:r>
        <w:t xml:space="preserve">Martinez proposed a ‘regular rate </w:t>
      </w:r>
      <w:proofErr w:type="spellStart"/>
      <w:r>
        <w:t>class’</w:t>
      </w:r>
      <w:proofErr w:type="spellEnd"/>
      <w:r>
        <w:t xml:space="preserve"> consisting of current and former employees who were paid overtime and premium pay and also were paid nondiscretionary bonuses described as (1) Bonus, (2) Clerical Bonus, (3) Clerical Training Bonus, (4) EMS Bonus, (5) Lead Bonus, (6) Manager Bonus, (7) Paramedic Bonus, (8) Preceptor EMT Bonus, (9) Preceptor Paramedic Bonus, and (10) Sign-On Bonus.</w:t>
      </w:r>
    </w:p>
    <w:p w14:paraId="7D8E49D7" w14:textId="77777777" w:rsidR="009C7749" w:rsidRDefault="009C7749" w:rsidP="009C7749">
      <w:pPr>
        <w:pStyle w:val="NoSpacing"/>
        <w:ind w:left="720"/>
      </w:pPr>
    </w:p>
    <w:p w14:paraId="56B3B3F1" w14:textId="77777777" w:rsidR="009C7749" w:rsidRDefault="009C7749" w:rsidP="009C7749">
      <w:pPr>
        <w:pStyle w:val="NoSpacing"/>
        <w:ind w:left="720"/>
      </w:pPr>
      <w:r>
        <w:t>***</w:t>
      </w:r>
    </w:p>
    <w:p w14:paraId="470B01B0" w14:textId="77777777" w:rsidR="009C7749" w:rsidRDefault="009C7749" w:rsidP="009C7749">
      <w:pPr>
        <w:pStyle w:val="NoSpacing"/>
        <w:ind w:left="720"/>
      </w:pPr>
    </w:p>
    <w:p w14:paraId="0C4C8E50" w14:textId="77777777" w:rsidR="009C7749" w:rsidRDefault="009C7749" w:rsidP="009C7749">
      <w:pPr>
        <w:pStyle w:val="NoSpacing"/>
        <w:ind w:left="720"/>
      </w:pPr>
      <w:r>
        <w:t xml:space="preserve">We conclude the trial court committed legal error in its analysis of whether a unique defense defeated the typicality of Martinez’s claim. </w:t>
      </w:r>
      <w:proofErr w:type="spellStart"/>
      <w:r>
        <w:t>Lifestar’s</w:t>
      </w:r>
      <w:proofErr w:type="spellEnd"/>
      <w:r>
        <w:t xml:space="preserve"> arguments that</w:t>
      </w:r>
    </w:p>
    <w:p w14:paraId="6FFC5093" w14:textId="77777777" w:rsidR="009C7749" w:rsidRDefault="009C7749" w:rsidP="009C7749">
      <w:pPr>
        <w:pStyle w:val="NoSpacing"/>
        <w:ind w:firstLine="720"/>
      </w:pPr>
      <w:r>
        <w:t>Martinez’s EMS Bonus was properly excluded from his regular rate of pay because it was</w:t>
      </w:r>
    </w:p>
    <w:p w14:paraId="3DAC1C7A" w14:textId="77777777" w:rsidR="009C7749" w:rsidRDefault="009C7749" w:rsidP="009C7749">
      <w:pPr>
        <w:pStyle w:val="NoSpacing"/>
        <w:ind w:firstLine="720"/>
      </w:pPr>
      <w:proofErr w:type="gramStart"/>
      <w:r>
        <w:t>in the nature of a</w:t>
      </w:r>
      <w:proofErr w:type="gramEnd"/>
      <w:r>
        <w:t xml:space="preserve"> gift, was discretionary, or both, are not unique to Martinez. Those</w:t>
      </w:r>
    </w:p>
    <w:p w14:paraId="0ECD3E94" w14:textId="77777777" w:rsidR="009C7749" w:rsidRDefault="009C7749" w:rsidP="009C7749">
      <w:pPr>
        <w:pStyle w:val="NoSpacing"/>
        <w:ind w:firstLine="720"/>
      </w:pPr>
      <w:r>
        <w:t xml:space="preserve">arguments apply to all EMS Bonuses paid to </w:t>
      </w:r>
      <w:proofErr w:type="spellStart"/>
      <w:r>
        <w:t>Lifestar’s</w:t>
      </w:r>
      <w:proofErr w:type="spellEnd"/>
      <w:r>
        <w:t xml:space="preserve"> other employees for National</w:t>
      </w:r>
    </w:p>
    <w:p w14:paraId="72E66777" w14:textId="77777777" w:rsidR="009C7749" w:rsidRDefault="009C7749" w:rsidP="009C7749">
      <w:pPr>
        <w:pStyle w:val="NoSpacing"/>
        <w:ind w:firstLine="720"/>
      </w:pPr>
      <w:r>
        <w:t>Emergency Medical Services Week and, therefore, are not unique to Martinez.”</w:t>
      </w:r>
    </w:p>
    <w:p w14:paraId="0C1C26D0" w14:textId="77777777" w:rsidR="009C7749" w:rsidRDefault="009C7749" w:rsidP="009C7749">
      <w:pPr>
        <w:pStyle w:val="NoSpacing"/>
        <w:ind w:firstLine="720"/>
      </w:pPr>
    </w:p>
    <w:p w14:paraId="2F09A04D" w14:textId="77777777" w:rsidR="009C7749" w:rsidRDefault="009C7749" w:rsidP="009C7749">
      <w:pPr>
        <w:pStyle w:val="NoSpacing"/>
        <w:rPr>
          <w:b/>
          <w:bCs/>
        </w:rPr>
      </w:pPr>
      <w:r>
        <w:rPr>
          <w:b/>
        </w:rPr>
        <w:t xml:space="preserve">Legal lesson learned: The trial court judge must now re-consider plaintiff’s motion for class certification; bonuses that are “discretionary” do not impact regular rate of pay. </w:t>
      </w:r>
    </w:p>
    <w:p w14:paraId="1F57804B" w14:textId="77777777" w:rsidR="009C7749" w:rsidRDefault="009C7749" w:rsidP="009C7749">
      <w:pPr>
        <w:pStyle w:val="NoSpacing"/>
        <w:rPr>
          <w:b/>
          <w:bCs/>
        </w:rPr>
      </w:pPr>
    </w:p>
    <w:p w14:paraId="7AE17A4F" w14:textId="77777777" w:rsidR="009C7749" w:rsidRDefault="009C7749" w:rsidP="009C7749">
      <w:pPr>
        <w:pStyle w:val="NoSpacing"/>
        <w:ind w:left="720"/>
      </w:pPr>
      <w:r w:rsidRPr="00257720">
        <w:t xml:space="preserve">Note: See U.S. Department of Labor, Wage &amp; Hour Division - Fact Sheet #56C: Bonuses under the Fair Labor Standards Act (FLSA); December 2019. </w:t>
      </w:r>
      <w:hyperlink r:id="rId1803" w:history="1">
        <w:r w:rsidRPr="00257720">
          <w:rPr>
            <w:rStyle w:val="Hyperlink"/>
          </w:rPr>
          <w:t>https://www.dol.gov/agencies/whd/fact-sheets/56c-bonuses</w:t>
        </w:r>
      </w:hyperlink>
      <w:r w:rsidRPr="00257720">
        <w:t xml:space="preserve"> </w:t>
      </w:r>
    </w:p>
    <w:p w14:paraId="371E2A53" w14:textId="77777777" w:rsidR="009C7749" w:rsidRDefault="009C7749" w:rsidP="009C7749">
      <w:pPr>
        <w:pStyle w:val="NoSpacing"/>
        <w:ind w:left="720"/>
      </w:pPr>
    </w:p>
    <w:p w14:paraId="1B4A9549" w14:textId="77777777" w:rsidR="009C7749" w:rsidRPr="00BD4117" w:rsidRDefault="009C7749" w:rsidP="009C7749">
      <w:pPr>
        <w:pStyle w:val="NoSpacing"/>
        <w:ind w:left="720"/>
      </w:pPr>
      <w:r>
        <w:t>“</w:t>
      </w:r>
      <w:r w:rsidRPr="00BD4117">
        <w:t xml:space="preserve">Discretionary bonuses are excludable from the regular rate of pay.  A bonus is discretionary only if all the statutory requirements are met: </w:t>
      </w:r>
    </w:p>
    <w:p w14:paraId="174DD0E9" w14:textId="77777777" w:rsidR="009C7749" w:rsidRPr="00BD4117" w:rsidRDefault="009C7749" w:rsidP="009C7749">
      <w:pPr>
        <w:pStyle w:val="NoSpacing"/>
        <w:numPr>
          <w:ilvl w:val="0"/>
          <w:numId w:val="41"/>
        </w:numPr>
      </w:pPr>
      <w:r w:rsidRPr="00BD4117">
        <w:t xml:space="preserve">The employer has the sole discretion, until at or near the end of the period that corresponds to the bonus, to determine whether to pay the bonus; </w:t>
      </w:r>
    </w:p>
    <w:p w14:paraId="1F5447C0" w14:textId="77777777" w:rsidR="009C7749" w:rsidRPr="00BD4117" w:rsidRDefault="009C7749" w:rsidP="009C7749">
      <w:pPr>
        <w:pStyle w:val="NoSpacing"/>
        <w:numPr>
          <w:ilvl w:val="0"/>
          <w:numId w:val="41"/>
        </w:numPr>
      </w:pPr>
      <w:r w:rsidRPr="00BD4117">
        <w:t xml:space="preserve">The employer has the sole discretion, until at or near the end of the period that corresponds to the bonus, to determine the amount of the bonus; and </w:t>
      </w:r>
    </w:p>
    <w:p w14:paraId="7F5140B3" w14:textId="77777777" w:rsidR="009C7749" w:rsidRPr="00BD4117" w:rsidRDefault="009C7749" w:rsidP="009C7749">
      <w:pPr>
        <w:pStyle w:val="NoSpacing"/>
        <w:numPr>
          <w:ilvl w:val="0"/>
          <w:numId w:val="41"/>
        </w:numPr>
      </w:pPr>
      <w:r w:rsidRPr="00BD4117">
        <w:t>The bonus payment is not made according to any prior contract, agreement, or promise causing an employee to expect such payments regularly.</w:t>
      </w:r>
      <w:r>
        <w:t>”</w:t>
      </w:r>
    </w:p>
    <w:p w14:paraId="6B2C1CD1" w14:textId="77777777" w:rsidR="009C7749" w:rsidRPr="00257720" w:rsidRDefault="009C7749" w:rsidP="009C7749">
      <w:pPr>
        <w:pStyle w:val="NoSpacing"/>
        <w:ind w:left="720"/>
      </w:pPr>
    </w:p>
    <w:p w14:paraId="632FDE22" w14:textId="4513BF3C" w:rsidR="001F5522" w:rsidRDefault="001F5522" w:rsidP="001F5522">
      <w:pPr>
        <w:rPr>
          <w:rFonts w:ascii="Arial Black" w:hAnsi="Arial Black"/>
          <w:b/>
          <w:sz w:val="24"/>
          <w:szCs w:val="24"/>
        </w:rPr>
      </w:pPr>
      <w:r>
        <w:rPr>
          <w:rFonts w:ascii="Arial Black" w:hAnsi="Arial Black"/>
          <w:b/>
          <w:sz w:val="24"/>
          <w:szCs w:val="24"/>
        </w:rPr>
        <w:t>11-69</w:t>
      </w:r>
    </w:p>
    <w:p w14:paraId="79984F87" w14:textId="77777777" w:rsidR="001F5522" w:rsidRDefault="001F5522" w:rsidP="001F5522">
      <w:pPr>
        <w:pStyle w:val="NoSpacing"/>
        <w:rPr>
          <w:rFonts w:ascii="Arial Black" w:hAnsi="Arial Black"/>
          <w:b/>
          <w:sz w:val="28"/>
          <w:szCs w:val="28"/>
        </w:rPr>
      </w:pPr>
    </w:p>
    <w:p w14:paraId="52411DBB" w14:textId="2444AC72" w:rsidR="001F5522" w:rsidRDefault="001F5522" w:rsidP="001F5522">
      <w:pPr>
        <w:pStyle w:val="NoSpacing"/>
        <w:rPr>
          <w:rFonts w:ascii="Arial Black" w:hAnsi="Arial Black"/>
          <w:b/>
          <w:sz w:val="28"/>
          <w:szCs w:val="28"/>
        </w:rPr>
      </w:pPr>
      <w:r>
        <w:rPr>
          <w:rFonts w:ascii="Arial Black" w:hAnsi="Arial Black"/>
          <w:b/>
          <w:sz w:val="28"/>
          <w:szCs w:val="28"/>
        </w:rPr>
        <w:t xml:space="preserve">WA: USERRA - 5 YRS RE-EMPLOYMENT / IF RETURNING  </w:t>
      </w:r>
    </w:p>
    <w:p w14:paraId="271E80AD" w14:textId="77777777" w:rsidR="001F5522" w:rsidRDefault="001F5522" w:rsidP="001F5522">
      <w:pPr>
        <w:pStyle w:val="NoSpacing"/>
        <w:rPr>
          <w:bCs/>
        </w:rPr>
      </w:pPr>
    </w:p>
    <w:p w14:paraId="583B3C58" w14:textId="77777777" w:rsidR="001F5522" w:rsidRDefault="001F5522" w:rsidP="001F5522">
      <w:pPr>
        <w:pStyle w:val="NoSpacing"/>
        <w:rPr>
          <w:b/>
        </w:rPr>
      </w:pPr>
      <w:r>
        <w:t xml:space="preserve">On April 17, 2026, in </w:t>
      </w:r>
      <w:r w:rsidRPr="00BF3EFE">
        <w:rPr>
          <w:u w:val="single"/>
        </w:rPr>
        <w:t>Travis Bearden v. City of Ocean Shores</w:t>
      </w:r>
      <w:r>
        <w:t xml:space="preserve">, U.S. District Court Judge Benjamin H. Settle, United States District Court for the Western District of Washington, Tacoma held that the firefighter not entitled to summary judgment since no evidence he ever intends to return to FD. He last worked at FD in August 2020, and under USERRA he has reemployment rights if on leave max of 5 cumulative years.  The firefighter claims he is entitled to 21-day military pay for each fiscal year </w:t>
      </w:r>
      <w:r w:rsidRPr="00CC5A8F">
        <w:t>from 2020 “through the present day.”</w:t>
      </w:r>
      <w:r>
        <w:t xml:space="preserve"> The city </w:t>
      </w:r>
      <w:r w:rsidRPr="00B169AB">
        <w:t xml:space="preserve">disputes that Bearden is entitled to paid military leave for the following fiscal years, 2021-2026, arguing he cannot establish as a matter of law that he remained and remains a </w:t>
      </w:r>
      <w:proofErr w:type="gramStart"/>
      <w:r w:rsidRPr="00B169AB">
        <w:t>City</w:t>
      </w:r>
      <w:proofErr w:type="gramEnd"/>
      <w:r w:rsidRPr="00B169AB">
        <w:t xml:space="preserve"> employee.</w:t>
      </w:r>
      <w:r>
        <w:t xml:space="preserve"> The firefighter claims he is still employed by the </w:t>
      </w:r>
      <w:proofErr w:type="gramStart"/>
      <w:r>
        <w:t>City</w:t>
      </w:r>
      <w:proofErr w:type="gramEnd"/>
      <w:r>
        <w:t>.  Judge Settle doubts this claim - “</w:t>
      </w:r>
      <w:r w:rsidRPr="005D6FAC">
        <w:t xml:space="preserve">the record contains no statement or assertion that he currently </w:t>
      </w:r>
      <w:r w:rsidRPr="005D6FAC">
        <w:rPr>
          <w:i/>
          <w:iCs/>
        </w:rPr>
        <w:t>is</w:t>
      </w:r>
      <w:r w:rsidRPr="005D6FAC">
        <w:t xml:space="preserve"> an employee. Bearden provides no evidence supporting the conclusion that due to his </w:t>
      </w:r>
      <w:proofErr w:type="gramStart"/>
      <w:r w:rsidRPr="005D6FAC">
        <w:t>active duty</w:t>
      </w:r>
      <w:proofErr w:type="gramEnd"/>
      <w:r w:rsidRPr="005D6FAC">
        <w:t xml:space="preserve"> military commitments, he was unable to work for the </w:t>
      </w:r>
      <w:proofErr w:type="gramStart"/>
      <w:r w:rsidRPr="005D6FAC">
        <w:t>City</w:t>
      </w:r>
      <w:proofErr w:type="gramEnd"/>
      <w:r w:rsidRPr="005D6FAC">
        <w:t>, at all, over the past five years</w:t>
      </w:r>
      <w:r>
        <w:t xml:space="preserve">…. </w:t>
      </w:r>
      <w:r w:rsidRPr="005D33E8">
        <w:t>The parties should work in good faith to resolve the damages owed for the conceded period</w:t>
      </w:r>
      <w:r>
        <w:t xml:space="preserve"> (August 20, 2020 to May 2021).”</w:t>
      </w:r>
      <w:hyperlink r:id="rId1804" w:history="1">
        <w:r w:rsidRPr="00A77E89">
          <w:rPr>
            <w:rStyle w:val="Hyperlink"/>
            <w:b/>
          </w:rPr>
          <w:t>https://public.fastcase.com/Jhe1Qn%2BmJndQYQU6z%2FeNm2MBH8jjZypB1KxY%2B3GJWtt3pU7LQ0HG1TD%2BuEAPjcSSqkB%2F2Yca8lDVABp6qaMHSj5ZnKz4h2BUwQ71QZi85m8%3D?utm_medium=email&amp;_hsenc=p2ANqtz-_R5GvzVgy1X05e_vCvuMC9Q5e35U1J1WERhCn0fZcvatolnFVOIwTcjgpntEVG0Zn0QYI5aNrPmOIXD_9eLdzthe8Iwg&amp;_hsmi=226712652&amp;utm_content=226712652&amp;utm_source=hs_email</w:t>
        </w:r>
      </w:hyperlink>
      <w:r>
        <w:rPr>
          <w:b/>
        </w:rPr>
        <w:t xml:space="preserve"> </w:t>
      </w:r>
    </w:p>
    <w:p w14:paraId="7386F174" w14:textId="77777777" w:rsidR="001F5522" w:rsidRDefault="001F5522" w:rsidP="001F5522">
      <w:pPr>
        <w:pStyle w:val="NoSpacing"/>
        <w:rPr>
          <w:b/>
        </w:rPr>
      </w:pPr>
    </w:p>
    <w:p w14:paraId="1AE9E827" w14:textId="77777777" w:rsidR="001F5522" w:rsidRDefault="001F5522" w:rsidP="001F5522">
      <w:pPr>
        <w:pStyle w:val="NoSpacing"/>
      </w:pPr>
      <w:r>
        <w:t>THE COURT HELD:</w:t>
      </w:r>
    </w:p>
    <w:p w14:paraId="1A7BE122" w14:textId="77777777" w:rsidR="001F5522" w:rsidRDefault="001F5522" w:rsidP="001F5522">
      <w:pPr>
        <w:pStyle w:val="NoSpacing"/>
      </w:pPr>
    </w:p>
    <w:p w14:paraId="1D789B56" w14:textId="77777777" w:rsidR="001F5522" w:rsidRDefault="001F5522" w:rsidP="001F5522">
      <w:pPr>
        <w:pStyle w:val="NoSpacing"/>
        <w:ind w:left="720"/>
      </w:pPr>
      <w:r>
        <w:t>“</w:t>
      </w:r>
      <w:r w:rsidRPr="00BC652A">
        <w:t xml:space="preserve">There is no evidence or argument explaining why these military orders precluded Bearden from working as a </w:t>
      </w:r>
      <w:proofErr w:type="gramStart"/>
      <w:r w:rsidRPr="00BC652A">
        <w:t>City</w:t>
      </w:r>
      <w:proofErr w:type="gramEnd"/>
      <w:r w:rsidRPr="00BC652A">
        <w:t xml:space="preserve"> employee during the 140 days that he was not </w:t>
      </w:r>
      <w:r>
        <w:t>‘</w:t>
      </w:r>
      <w:r w:rsidRPr="00BC652A">
        <w:t>on orders</w:t>
      </w:r>
      <w:r>
        <w:t>’</w:t>
      </w:r>
      <w:r w:rsidRPr="00BC652A">
        <w:t xml:space="preserve"> or on active duty in 2022, or at any time after. There is no evidence that Bearden worked for, or even contacted, the </w:t>
      </w:r>
      <w:proofErr w:type="gramStart"/>
      <w:r w:rsidRPr="00BC652A">
        <w:t>City</w:t>
      </w:r>
      <w:proofErr w:type="gramEnd"/>
      <w:r w:rsidRPr="00BC652A">
        <w:t xml:space="preserve"> during this or any other period dating back at least five years.</w:t>
      </w:r>
    </w:p>
    <w:p w14:paraId="36EBFEBF" w14:textId="77777777" w:rsidR="001F5522" w:rsidRDefault="001F5522" w:rsidP="001F5522">
      <w:pPr>
        <w:pStyle w:val="NoSpacing"/>
        <w:ind w:left="720"/>
      </w:pPr>
    </w:p>
    <w:p w14:paraId="1698AA53" w14:textId="77777777" w:rsidR="001F5522" w:rsidRDefault="001F5522" w:rsidP="001F5522">
      <w:pPr>
        <w:pStyle w:val="NoSpacing"/>
        <w:ind w:left="720"/>
        <w:rPr>
          <w:bCs/>
        </w:rPr>
      </w:pPr>
      <w:r>
        <w:t>***</w:t>
      </w:r>
    </w:p>
    <w:p w14:paraId="79CAE9D2" w14:textId="77777777" w:rsidR="001F5522" w:rsidRDefault="001F5522" w:rsidP="001F5522">
      <w:pPr>
        <w:pStyle w:val="NoSpacing"/>
        <w:rPr>
          <w:bCs/>
        </w:rPr>
      </w:pPr>
    </w:p>
    <w:p w14:paraId="78791BEA" w14:textId="77777777" w:rsidR="001F5522" w:rsidRDefault="001F5522" w:rsidP="001F5522">
      <w:pPr>
        <w:pStyle w:val="NoSpacing"/>
        <w:ind w:left="720"/>
      </w:pPr>
      <w:r w:rsidRPr="009315F9">
        <w:t xml:space="preserve">There is no evidence in the record that Bearden has </w:t>
      </w:r>
      <w:r>
        <w:t>‘</w:t>
      </w:r>
      <w:r w:rsidRPr="009315F9">
        <w:t>remained</w:t>
      </w:r>
      <w:r>
        <w:t>’</w:t>
      </w:r>
      <w:r w:rsidRPr="009315F9">
        <w:t xml:space="preserve"> a </w:t>
      </w:r>
      <w:proofErr w:type="gramStart"/>
      <w:r w:rsidRPr="009315F9">
        <w:t>City</w:t>
      </w:r>
      <w:proofErr w:type="gramEnd"/>
      <w:r w:rsidRPr="009315F9">
        <w:t xml:space="preserve"> employee, since at least 2021. Bearden's motion does not even contend that he remained or remains an Ocean Shores employee. Instead, the declaration he filed in support of his motion attests only that he still has 215 days before he reaches the </w:t>
      </w:r>
      <w:r>
        <w:t>‘</w:t>
      </w:r>
      <w:r w:rsidRPr="009315F9">
        <w:t>USERRA 5-year limit, at which time I intend to return to the City of Ocean shores.</w:t>
      </w:r>
      <w:r>
        <w:t>’</w:t>
      </w:r>
      <w:r w:rsidRPr="009315F9">
        <w:t xml:space="preserve"> </w:t>
      </w:r>
      <w:proofErr w:type="spellStart"/>
      <w:r w:rsidRPr="009315F9">
        <w:t>Dkt</w:t>
      </w:r>
      <w:proofErr w:type="spellEnd"/>
      <w:r w:rsidRPr="009315F9">
        <w:t xml:space="preserve">. 61-1 at 3. But the record contains no statement or assertion that he currently </w:t>
      </w:r>
      <w:r w:rsidRPr="009315F9">
        <w:rPr>
          <w:i/>
          <w:iCs/>
        </w:rPr>
        <w:t>is</w:t>
      </w:r>
      <w:r w:rsidRPr="009315F9">
        <w:t xml:space="preserve"> an employee. Bearden provides no evidence supporting the conclusion that due to his </w:t>
      </w:r>
      <w:proofErr w:type="gramStart"/>
      <w:r w:rsidRPr="009315F9">
        <w:t>active duty</w:t>
      </w:r>
      <w:proofErr w:type="gramEnd"/>
      <w:r w:rsidRPr="009315F9">
        <w:t xml:space="preserve"> military commitments, he was unable to work for the </w:t>
      </w:r>
      <w:proofErr w:type="gramStart"/>
      <w:r w:rsidRPr="009315F9">
        <w:t>City</w:t>
      </w:r>
      <w:proofErr w:type="gramEnd"/>
      <w:r w:rsidRPr="009315F9">
        <w:t xml:space="preserve">, at all, over the past five </w:t>
      </w:r>
      <w:proofErr w:type="gramStart"/>
      <w:r w:rsidRPr="009315F9">
        <w:t>years.</w:t>
      </w:r>
      <w:r>
        <w:t>”</w:t>
      </w:r>
      <w:proofErr w:type="gramEnd"/>
    </w:p>
    <w:p w14:paraId="5930DF4F" w14:textId="77777777" w:rsidR="001F5522" w:rsidRDefault="001F5522" w:rsidP="001F5522">
      <w:pPr>
        <w:pStyle w:val="NoSpacing"/>
        <w:ind w:left="720"/>
      </w:pPr>
    </w:p>
    <w:p w14:paraId="42F3CAEA" w14:textId="77777777" w:rsidR="001F5522" w:rsidRDefault="001F5522" w:rsidP="001F5522">
      <w:pPr>
        <w:rPr>
          <w:bCs/>
        </w:rPr>
      </w:pPr>
      <w:r>
        <w:rPr>
          <w:b/>
        </w:rPr>
        <w:t xml:space="preserve">Legal lesson learned: </w:t>
      </w:r>
      <w:r w:rsidRPr="008F06C1">
        <w:rPr>
          <w:b/>
        </w:rPr>
        <w:t xml:space="preserve">Under USERRA, employees have reemployment rights if “cumulative length of service” does not exceed five years, but </w:t>
      </w:r>
      <w:r>
        <w:rPr>
          <w:b/>
        </w:rPr>
        <w:t xml:space="preserve">a best practice to </w:t>
      </w:r>
      <w:r w:rsidRPr="008F06C1">
        <w:rPr>
          <w:b/>
        </w:rPr>
        <w:t>let employer know you plan to return.</w:t>
      </w:r>
      <w:r>
        <w:t xml:space="preserve">  </w:t>
      </w:r>
      <w:hyperlink r:id="rId1805" w:anchor="ch1" w:history="1">
        <w:r w:rsidRPr="00A77E89">
          <w:rPr>
            <w:rStyle w:val="Hyperlink"/>
          </w:rPr>
          <w:t>https://www.dol.gov/agencies/vets/programs/userra/USERRA-Pocket-Guide#ch1</w:t>
        </w:r>
      </w:hyperlink>
      <w:r>
        <w:t>.</w:t>
      </w:r>
    </w:p>
    <w:p w14:paraId="1DBC5E75" w14:textId="77777777" w:rsidR="001F5522" w:rsidRDefault="001F5522" w:rsidP="001F5522">
      <w:pPr>
        <w:ind w:left="720"/>
        <w:rPr>
          <w:b/>
        </w:rPr>
      </w:pPr>
      <w:r>
        <w:t xml:space="preserve">Note: </w:t>
      </w:r>
      <w:proofErr w:type="gramStart"/>
      <w:r>
        <w:t xml:space="preserve"> See</w:t>
      </w:r>
      <w:proofErr w:type="gramEnd"/>
      <w:r>
        <w:t xml:space="preserve"> State of Washington Supreme Court June 26, </w:t>
      </w:r>
      <w:proofErr w:type="gramStart"/>
      <w:r>
        <w:t>2025</w:t>
      </w:r>
      <w:proofErr w:type="gramEnd"/>
      <w:r>
        <w:t xml:space="preserve"> opinion that he is entitled to 21 </w:t>
      </w:r>
      <w:proofErr w:type="spellStart"/>
      <w:r>
        <w:t>days</w:t>
      </w:r>
      <w:proofErr w:type="spellEnd"/>
      <w:r>
        <w:t xml:space="preserve"> pay for his third leave.  </w:t>
      </w:r>
      <w:hyperlink r:id="rId1806" w:history="1">
        <w:r w:rsidRPr="00A77E89">
          <w:rPr>
            <w:rStyle w:val="Hyperlink"/>
          </w:rPr>
          <w:t>https://www.courts.wa.gov/opinions/pdf/1031211.pdf</w:t>
        </w:r>
      </w:hyperlink>
      <w:r>
        <w:t xml:space="preserve"> FIRST LEAVE: </w:t>
      </w:r>
      <w:r w:rsidRPr="001A3676">
        <w:t>annual training from October 16 to October 30, 2019</w:t>
      </w:r>
      <w:r>
        <w:t xml:space="preserve">. SECOND LEAVE: </w:t>
      </w:r>
      <w:proofErr w:type="gramStart"/>
      <w:r>
        <w:t>active duty</w:t>
      </w:r>
      <w:proofErr w:type="gramEnd"/>
      <w:r>
        <w:t xml:space="preserve"> </w:t>
      </w:r>
      <w:r w:rsidRPr="0018404C">
        <w:t>next nine months, from November 5, 2019, to August 27, 2020</w:t>
      </w:r>
      <w:r>
        <w:t>.  THIRD LEAVE: while still on the Second Leave, he received orders for 273 more days active duty (A</w:t>
      </w:r>
      <w:r w:rsidRPr="004F5CED">
        <w:t>ugust 2020-May 2021</w:t>
      </w:r>
      <w:r>
        <w:t>.</w:t>
      </w:r>
    </w:p>
    <w:p w14:paraId="1005C4E8" w14:textId="77777777" w:rsidR="009C7749" w:rsidRDefault="009C7749" w:rsidP="00020106">
      <w:pPr>
        <w:rPr>
          <w:rFonts w:ascii="Arial Black" w:hAnsi="Arial Black"/>
          <w:b/>
          <w:sz w:val="24"/>
          <w:szCs w:val="24"/>
        </w:rPr>
      </w:pPr>
    </w:p>
    <w:p w14:paraId="18B1CA22" w14:textId="77777777" w:rsidR="009C7749" w:rsidRDefault="009C7749" w:rsidP="00020106">
      <w:pPr>
        <w:rPr>
          <w:rFonts w:ascii="Arial Black" w:hAnsi="Arial Black"/>
          <w:b/>
          <w:sz w:val="24"/>
          <w:szCs w:val="24"/>
        </w:rPr>
      </w:pPr>
    </w:p>
    <w:p w14:paraId="75083B70" w14:textId="77777777" w:rsidR="009C7749" w:rsidRDefault="009C7749" w:rsidP="00020106">
      <w:pPr>
        <w:rPr>
          <w:rFonts w:ascii="Arial Black" w:hAnsi="Arial Black"/>
          <w:b/>
          <w:sz w:val="24"/>
          <w:szCs w:val="24"/>
        </w:rPr>
      </w:pPr>
    </w:p>
    <w:p w14:paraId="5A601279" w14:textId="77777777" w:rsidR="009C7749" w:rsidRDefault="009C7749" w:rsidP="00020106">
      <w:pPr>
        <w:rPr>
          <w:rFonts w:ascii="Arial Black" w:hAnsi="Arial Black"/>
          <w:b/>
          <w:sz w:val="24"/>
          <w:szCs w:val="24"/>
        </w:rPr>
      </w:pPr>
    </w:p>
    <w:p w14:paraId="2B5D98F0" w14:textId="57DD284E" w:rsidR="00084E13" w:rsidRDefault="00084E13" w:rsidP="00020106">
      <w:pPr>
        <w:rPr>
          <w:rFonts w:ascii="Arial Black" w:hAnsi="Arial Black"/>
          <w:b/>
          <w:sz w:val="24"/>
          <w:szCs w:val="24"/>
        </w:rPr>
      </w:pPr>
      <w:r>
        <w:rPr>
          <w:rFonts w:ascii="Arial Black" w:hAnsi="Arial Black"/>
          <w:b/>
          <w:sz w:val="24"/>
          <w:szCs w:val="24"/>
        </w:rPr>
        <w:t>11-68</w:t>
      </w:r>
    </w:p>
    <w:p w14:paraId="7ABDA794" w14:textId="77777777" w:rsidR="00347723" w:rsidRDefault="00347723" w:rsidP="00347723">
      <w:pPr>
        <w:pStyle w:val="NoSpacing"/>
        <w:rPr>
          <w:rFonts w:ascii="Arial Black" w:hAnsi="Arial Black"/>
          <w:bCs/>
          <w:sz w:val="28"/>
          <w:szCs w:val="28"/>
        </w:rPr>
      </w:pPr>
      <w:r>
        <w:rPr>
          <w:rFonts w:ascii="Arial Black" w:hAnsi="Arial Black"/>
          <w:sz w:val="28"/>
          <w:szCs w:val="28"/>
        </w:rPr>
        <w:t>SC: FLSA – MEDIC / CROSS TRAINED – N</w:t>
      </w:r>
      <w:r>
        <w:rPr>
          <w:rFonts w:ascii="Arial Black" w:hAnsi="Arial Black"/>
          <w:bCs/>
          <w:sz w:val="28"/>
          <w:szCs w:val="28"/>
        </w:rPr>
        <w:t xml:space="preserve">EVER DID </w:t>
      </w:r>
      <w:r>
        <w:rPr>
          <w:rFonts w:ascii="Arial Black" w:hAnsi="Arial Black"/>
          <w:sz w:val="28"/>
          <w:szCs w:val="28"/>
        </w:rPr>
        <w:t>FIRE</w:t>
      </w:r>
      <w:r>
        <w:rPr>
          <w:rFonts w:ascii="Arial Black" w:hAnsi="Arial Black"/>
          <w:bCs/>
          <w:sz w:val="28"/>
          <w:szCs w:val="28"/>
        </w:rPr>
        <w:t xml:space="preserve">S </w:t>
      </w:r>
    </w:p>
    <w:p w14:paraId="58D2E422" w14:textId="77777777" w:rsidR="00347723" w:rsidRDefault="00347723" w:rsidP="00347723">
      <w:pPr>
        <w:pStyle w:val="NoSpacing"/>
        <w:rPr>
          <w:rFonts w:ascii="Arial Black" w:hAnsi="Arial Black"/>
          <w:bCs/>
          <w:sz w:val="28"/>
          <w:szCs w:val="28"/>
        </w:rPr>
      </w:pPr>
    </w:p>
    <w:p w14:paraId="2D86C07F" w14:textId="77777777" w:rsidR="00347723" w:rsidRDefault="00347723" w:rsidP="00347723">
      <w:pPr>
        <w:pStyle w:val="NoSpacing"/>
        <w:rPr>
          <w:bCs/>
        </w:rPr>
      </w:pPr>
      <w:r>
        <w:t xml:space="preserve">On March 19, 2026, in </w:t>
      </w:r>
      <w:r w:rsidRPr="008C66C0">
        <w:rPr>
          <w:u w:val="single"/>
        </w:rPr>
        <w:t>Abbey Beemer, individually and on behalf of similarly situated v. Clarendon County</w:t>
      </w:r>
      <w:r>
        <w:t xml:space="preserve">, U.S. District Court Judge David C. Norton, United States District Court for District of South Carolina, Charleston Division, denied the County’s motion for summary judgment.  </w:t>
      </w:r>
      <w:r w:rsidRPr="00DE325A">
        <w:t>At issue is whether Beemer had the legal authority and responsibility to engage in fire suppression</w:t>
      </w:r>
      <w:r>
        <w:t xml:space="preserve">; while plaintiff is classified as a “Paramedic / FF” and trained in fire suppression, she has never been engaged in fire suppression on an emergency run.  Lawsuit will therefore need to be tried. </w:t>
      </w:r>
      <w:hyperlink r:id="rId1807" w:history="1">
        <w:r w:rsidRPr="001F11D0">
          <w:rPr>
            <w:rStyle w:val="Hyperlink"/>
          </w:rPr>
          <w:t>https://public.fastcase.com/Jhe1Qn%2BmJndQYQU6z%2FeNm%2BPcmzEUVte9Pmbex8cM1KJhQVcQIKDJJA5UPuX3qlPH?utm_medium=email&amp;_hsenc=p2ANqtz-9n4bTEROfuVqHNVuq5wnBdHGUWCVVD7aN6VD7jCXCE8dULoI4uW2020fH1jBBreK2QqG5jL3hff-Wxt2LEWhDNRofrqw&amp;_hsmi=226712652&amp;utm_content=226712652&amp;utm_source=hs_email</w:t>
        </w:r>
      </w:hyperlink>
      <w:r>
        <w:t xml:space="preserve"> </w:t>
      </w:r>
      <w:r w:rsidRPr="00DE325A">
        <w:t xml:space="preserve"> </w:t>
      </w:r>
    </w:p>
    <w:p w14:paraId="2593A14E" w14:textId="77777777" w:rsidR="00347723" w:rsidRDefault="00347723" w:rsidP="00347723">
      <w:pPr>
        <w:pStyle w:val="NoSpacing"/>
        <w:rPr>
          <w:bCs/>
        </w:rPr>
      </w:pPr>
    </w:p>
    <w:p w14:paraId="2B9FE6A8" w14:textId="77777777" w:rsidR="00347723" w:rsidRDefault="00347723" w:rsidP="00347723">
      <w:pPr>
        <w:pStyle w:val="NoSpacing"/>
      </w:pPr>
      <w:r>
        <w:t>THE COURT HELD: ”</w:t>
      </w:r>
      <w:r w:rsidRPr="00B0183E">
        <w:t xml:space="preserve">Over the course of her employment with the County's Fire Rescue Department, Beemer was a part-time </w:t>
      </w:r>
      <w:r>
        <w:t>‘</w:t>
      </w:r>
      <w:r w:rsidRPr="00B0183E">
        <w:t>paramedic</w:t>
      </w:r>
      <w:r>
        <w:t>’</w:t>
      </w:r>
      <w:r w:rsidRPr="00B0183E">
        <w:t xml:space="preserve"> and then promoted to a full-time </w:t>
      </w:r>
      <w:r>
        <w:t>‘</w:t>
      </w:r>
      <w:r w:rsidRPr="00B0183E">
        <w:t>Paramedic/FF</w:t>
      </w:r>
      <w:r>
        <w:t xml:space="preserve">’…. </w:t>
      </w:r>
      <w:r w:rsidRPr="00B0183E">
        <w:t>The County required her to receive basic firefighter certifications from the South Carolina Fire Academy</w:t>
      </w:r>
      <w:r>
        <w:t xml:space="preserve"> … </w:t>
      </w:r>
      <w:r w:rsidRPr="00B0183E">
        <w:t>and participate in regular firefighter training exercises</w:t>
      </w:r>
      <w:r>
        <w:t xml:space="preserve">…. </w:t>
      </w:r>
      <w:r w:rsidRPr="00B0183E">
        <w:t xml:space="preserve">The ambulance to which she was assigned was equipped with firefighter </w:t>
      </w:r>
      <w:r>
        <w:t>‘</w:t>
      </w:r>
      <w:r w:rsidRPr="00B0183E">
        <w:t>turn out</w:t>
      </w:r>
      <w:r>
        <w:t>’</w:t>
      </w:r>
      <w:r w:rsidRPr="00B0183E">
        <w:t xml:space="preserve"> gear (protective, heat-resistant boots, helmet, and jacket), breathing apparatuses, and extrication equipment issued to her by the County</w:t>
      </w:r>
      <w:r>
        <w:t xml:space="preserve">…. </w:t>
      </w:r>
      <w:r w:rsidRPr="00B0183E">
        <w:t>Beemer has been routinely dispatched to fire emergencies alongside firefighter units</w:t>
      </w:r>
      <w:r>
        <w:t xml:space="preserve">…. </w:t>
      </w:r>
      <w:r w:rsidRPr="00B0183E">
        <w:t xml:space="preserve">However, Beemer has not engaged a live fire, and she believed that firefighting duties were not within the responsibilities of her employment. </w:t>
      </w:r>
    </w:p>
    <w:p w14:paraId="30609326" w14:textId="77777777" w:rsidR="00347723" w:rsidRDefault="00347723" w:rsidP="00347723">
      <w:pPr>
        <w:pStyle w:val="NoSpacing"/>
      </w:pPr>
    </w:p>
    <w:p w14:paraId="03F9E3A9" w14:textId="77777777" w:rsidR="00347723" w:rsidRDefault="00347723" w:rsidP="00347723">
      <w:pPr>
        <w:pStyle w:val="NoSpacing"/>
      </w:pPr>
      <w:r>
        <w:t>***</w:t>
      </w:r>
    </w:p>
    <w:p w14:paraId="249F8F7B" w14:textId="77777777" w:rsidR="00347723" w:rsidRPr="00246642" w:rsidRDefault="00347723" w:rsidP="00347723">
      <w:pPr>
        <w:pStyle w:val="NoSpacing"/>
      </w:pPr>
      <w:r w:rsidRPr="00246642">
        <w:t xml:space="preserve">There is a genuine issue of fact as to whether Beemer has a </w:t>
      </w:r>
      <w:r>
        <w:t>‘</w:t>
      </w:r>
      <w:r w:rsidRPr="00246642">
        <w:t>responsibility to engage in fire suppression</w:t>
      </w:r>
      <w:r>
        <w:t>’</w:t>
      </w:r>
      <w:r w:rsidRPr="00246642">
        <w:t xml:space="preserve"> under both the </w:t>
      </w:r>
      <w:r>
        <w:t>‘</w:t>
      </w:r>
      <w:r w:rsidRPr="00246642">
        <w:t>some real obligation</w:t>
      </w:r>
      <w:proofErr w:type="gramStart"/>
      <w:r>
        <w:t>’</w:t>
      </w:r>
      <w:r w:rsidRPr="00246642">
        <w:t xml:space="preserve"> the </w:t>
      </w:r>
      <w:r>
        <w:t>‘</w:t>
      </w:r>
      <w:proofErr w:type="gramEnd"/>
      <w:r w:rsidRPr="00246642">
        <w:t>forward-looking</w:t>
      </w:r>
      <w:r>
        <w:t>’</w:t>
      </w:r>
      <w:r w:rsidRPr="00246642">
        <w:t xml:space="preserve"> standards. There are not sufficient facts in the record to determine whether the County </w:t>
      </w:r>
      <w:proofErr w:type="gramStart"/>
      <w:r w:rsidRPr="00246642">
        <w:t>actually expected</w:t>
      </w:r>
      <w:proofErr w:type="gramEnd"/>
      <w:r w:rsidRPr="00246642">
        <w:t xml:space="preserve"> Beemer, as part of her employment, to perform the firefighting duties for which she was trained. </w:t>
      </w:r>
      <w:r w:rsidRPr="00246642">
        <w:rPr>
          <w:i/>
          <w:iCs/>
        </w:rPr>
        <w:t>Compare Cleveland</w:t>
      </w:r>
      <w:r w:rsidRPr="00246642">
        <w:t xml:space="preserve">, 420 F.3d at 984 (finding </w:t>
      </w:r>
      <w:r>
        <w:t>‘</w:t>
      </w:r>
      <w:r w:rsidRPr="00246642">
        <w:t>dual function paramedics</w:t>
      </w:r>
      <w:r>
        <w:t>’</w:t>
      </w:r>
      <w:r w:rsidRPr="00246642">
        <w:t xml:space="preserve"> who were fully trained in firefighting had no real obligation to engage in fire suppression because they were not regularly dispatched to fire scenes, did not carry firefighting equipment, and were expected to perform only medical services), </w:t>
      </w:r>
      <w:r w:rsidRPr="00246642">
        <w:rPr>
          <w:i/>
          <w:iCs/>
        </w:rPr>
        <w:t>with Huff</w:t>
      </w:r>
      <w:r w:rsidRPr="00246642">
        <w:t xml:space="preserve">, 516 F.3d at 1281 (finding </w:t>
      </w:r>
      <w:r>
        <w:t>‘</w:t>
      </w:r>
      <w:r w:rsidRPr="00246642">
        <w:t xml:space="preserve">cross-trained </w:t>
      </w:r>
      <w:r>
        <w:t>f</w:t>
      </w:r>
      <w:r w:rsidRPr="00246642">
        <w:t>irefighter/paramedics</w:t>
      </w:r>
      <w:r>
        <w:t>’</w:t>
      </w:r>
      <w:r w:rsidRPr="00246642">
        <w:t xml:space="preserve"> had forward-looking responsibility to engage in fire suppression because they possessed advanced training, were regularly dispatched to fire emergencies, and could be disciplined if they refused to do so). Beemer's job title is </w:t>
      </w:r>
      <w:r>
        <w:t>‘</w:t>
      </w:r>
      <w:r w:rsidRPr="00246642">
        <w:t>Paramedic/FF</w:t>
      </w:r>
      <w:proofErr w:type="gramStart"/>
      <w:r>
        <w:t>’</w:t>
      </w:r>
      <w:proofErr w:type="gramEnd"/>
      <w:r w:rsidRPr="00246642">
        <w:t xml:space="preserve"> and she is frequently dispatched to fire emergencies, but her job description does not explicitly detail whether she is responsible for fire suppression. </w:t>
      </w:r>
      <w:r w:rsidRPr="00246642">
        <w:rPr>
          <w:i/>
          <w:iCs/>
        </w:rPr>
        <w:t>See Lawrence</w:t>
      </w:r>
      <w:r w:rsidRPr="00246642">
        <w:t xml:space="preserve">, 527 F.3d at 305-06 (finding </w:t>
      </w:r>
      <w:r>
        <w:t>‘</w:t>
      </w:r>
      <w:r w:rsidRPr="00246642">
        <w:t>fire service paramedics</w:t>
      </w:r>
      <w:r>
        <w:t>’</w:t>
      </w:r>
      <w:r w:rsidRPr="00246642">
        <w:t xml:space="preserve"> lacked responsibility under Section 203(y) where their job description did </w:t>
      </w:r>
    </w:p>
    <w:p w14:paraId="1850274B" w14:textId="77777777" w:rsidR="00347723" w:rsidRDefault="00347723" w:rsidP="00347723">
      <w:pPr>
        <w:pStyle w:val="NoSpacing"/>
      </w:pPr>
      <w:r w:rsidRPr="00246642">
        <w:t xml:space="preserve">not </w:t>
      </w:r>
      <w:r>
        <w:t>‘</w:t>
      </w:r>
      <w:r w:rsidRPr="00246642">
        <w:t>refer[ ] to any role with respect to fire protection or fire suppression.</w:t>
      </w:r>
      <w:r>
        <w:t>’</w:t>
      </w:r>
      <w:r w:rsidRPr="00246642">
        <w:t>).</w:t>
      </w:r>
      <w:r>
        <w:t>”</w:t>
      </w:r>
    </w:p>
    <w:p w14:paraId="56003845" w14:textId="77777777" w:rsidR="00347723" w:rsidRDefault="00347723" w:rsidP="00347723">
      <w:pPr>
        <w:pStyle w:val="NoSpacing"/>
      </w:pPr>
    </w:p>
    <w:p w14:paraId="617B889B" w14:textId="77777777" w:rsidR="00347723" w:rsidRPr="00246642" w:rsidRDefault="00347723" w:rsidP="00347723">
      <w:pPr>
        <w:pStyle w:val="NoSpacing"/>
        <w:rPr>
          <w:b/>
          <w:bCs/>
        </w:rPr>
      </w:pPr>
      <w:r w:rsidRPr="006230AC">
        <w:rPr>
          <w:b/>
        </w:rPr>
        <w:t xml:space="preserve">Legal lesson learned: </w:t>
      </w:r>
      <w:r>
        <w:rPr>
          <w:b/>
        </w:rPr>
        <w:t xml:space="preserve">To avoid similar litigation, job descriptions should clearly include EMS role in fire suppression; also consider having EMS on occasion participate in fire suppression (at least overhaul while wearing SCBA). </w:t>
      </w:r>
    </w:p>
    <w:p w14:paraId="5B347E78" w14:textId="77777777" w:rsidR="00347723" w:rsidRPr="00B0183E" w:rsidRDefault="00347723" w:rsidP="00347723">
      <w:pPr>
        <w:pStyle w:val="NoSpacing"/>
      </w:pPr>
    </w:p>
    <w:p w14:paraId="480CA4E9" w14:textId="77777777" w:rsidR="00084E13" w:rsidRDefault="00084E13" w:rsidP="00020106">
      <w:pPr>
        <w:rPr>
          <w:rFonts w:ascii="Arial Black" w:hAnsi="Arial Black"/>
          <w:b/>
          <w:sz w:val="24"/>
          <w:szCs w:val="24"/>
        </w:rPr>
      </w:pPr>
    </w:p>
    <w:p w14:paraId="43FDC4F8" w14:textId="77777777" w:rsidR="00084E13" w:rsidRDefault="00084E13" w:rsidP="00020106">
      <w:pPr>
        <w:rPr>
          <w:rFonts w:ascii="Arial Black" w:hAnsi="Arial Black"/>
          <w:b/>
          <w:sz w:val="24"/>
          <w:szCs w:val="24"/>
        </w:rPr>
      </w:pPr>
    </w:p>
    <w:p w14:paraId="62B1E71F" w14:textId="77777777" w:rsidR="00084E13" w:rsidRDefault="00084E13" w:rsidP="00020106">
      <w:pPr>
        <w:rPr>
          <w:rFonts w:ascii="Arial Black" w:hAnsi="Arial Black"/>
          <w:b/>
          <w:sz w:val="24"/>
          <w:szCs w:val="24"/>
        </w:rPr>
      </w:pPr>
    </w:p>
    <w:p w14:paraId="2DB092AC" w14:textId="797A44E4" w:rsidR="0077176C" w:rsidRDefault="0077176C" w:rsidP="00020106">
      <w:pPr>
        <w:rPr>
          <w:rFonts w:ascii="Arial Black" w:hAnsi="Arial Black"/>
          <w:b/>
          <w:sz w:val="24"/>
          <w:szCs w:val="24"/>
        </w:rPr>
      </w:pPr>
      <w:r>
        <w:rPr>
          <w:rFonts w:ascii="Arial Black" w:hAnsi="Arial Black"/>
          <w:b/>
          <w:sz w:val="24"/>
          <w:szCs w:val="24"/>
        </w:rPr>
        <w:t>11-67</w:t>
      </w:r>
    </w:p>
    <w:p w14:paraId="13510ED9" w14:textId="77777777" w:rsidR="0077176C" w:rsidRDefault="0077176C" w:rsidP="0077176C">
      <w:pPr>
        <w:pStyle w:val="NoSpacing"/>
        <w:rPr>
          <w:rFonts w:ascii="Arial Black" w:hAnsi="Arial Black"/>
          <w:b/>
          <w:sz w:val="28"/>
          <w:szCs w:val="28"/>
        </w:rPr>
      </w:pPr>
      <w:r>
        <w:rPr>
          <w:rFonts w:ascii="Arial Black" w:hAnsi="Arial Black"/>
          <w:b/>
          <w:sz w:val="28"/>
          <w:szCs w:val="28"/>
        </w:rPr>
        <w:t>GA: DEATH INVEST. - NOT EXEMPT AS “ADMINISTRATIVE”</w:t>
      </w:r>
    </w:p>
    <w:p w14:paraId="27B35C19" w14:textId="77777777" w:rsidR="0077176C" w:rsidRDefault="0077176C" w:rsidP="0077176C">
      <w:pPr>
        <w:pStyle w:val="NoSpacing"/>
        <w:rPr>
          <w:rFonts w:ascii="Arial Black" w:hAnsi="Arial Black"/>
          <w:b/>
          <w:sz w:val="28"/>
          <w:szCs w:val="28"/>
        </w:rPr>
      </w:pPr>
    </w:p>
    <w:p w14:paraId="26E0E694" w14:textId="77777777" w:rsidR="0077176C" w:rsidRPr="006D4C67" w:rsidRDefault="0077176C" w:rsidP="0077176C">
      <w:pPr>
        <w:pStyle w:val="NoSpacing"/>
        <w:rPr>
          <w:bCs/>
        </w:rPr>
      </w:pPr>
      <w:r w:rsidRPr="006D4C67">
        <w:t xml:space="preserve">On February 10, 2026, in </w:t>
      </w:r>
      <w:r w:rsidRPr="006D4C67">
        <w:rPr>
          <w:u w:val="single"/>
        </w:rPr>
        <w:t>Robert Bumgardne, et al. v. Forensic Pathology Services, P.C</w:t>
      </w:r>
      <w:r>
        <w:rPr>
          <w:u w:val="single"/>
        </w:rPr>
        <w:t xml:space="preserve">, and </w:t>
      </w:r>
      <w:r w:rsidRPr="006D4C67">
        <w:rPr>
          <w:u w:val="single"/>
        </w:rPr>
        <w:t>Carol A. Terry, M.D</w:t>
      </w:r>
      <w:r w:rsidRPr="006D4C67">
        <w:t>., the United States Court of Appeals, Eleventh Circuit</w:t>
      </w:r>
      <w:r>
        <w:t xml:space="preserve"> (Atlanta) held (3 to 0; unpublished decision) that six former forensic death investigators at FPS were entitled to overtime; they did not meet the “administrative” employee exemption. </w:t>
      </w:r>
      <w:hyperlink r:id="rId1808" w:history="1">
        <w:r w:rsidRPr="00E5297F">
          <w:rPr>
            <w:rStyle w:val="Hyperlink"/>
          </w:rPr>
          <w:t>https://cases.justia.com/federal/appellate-courts/ca11/25-10673/25-10673-2026-02-10.pdf?ts=1770737597</w:t>
        </w:r>
      </w:hyperlink>
      <w:r>
        <w:t xml:space="preserve"> </w:t>
      </w:r>
    </w:p>
    <w:p w14:paraId="1CFA77C9" w14:textId="77777777" w:rsidR="0077176C" w:rsidRPr="006D4C67" w:rsidRDefault="0077176C" w:rsidP="0077176C">
      <w:pPr>
        <w:pStyle w:val="NoSpacing"/>
        <w:rPr>
          <w:bCs/>
        </w:rPr>
      </w:pPr>
    </w:p>
    <w:p w14:paraId="4FD22074" w14:textId="77777777" w:rsidR="0077176C" w:rsidRDefault="0077176C" w:rsidP="0077176C">
      <w:pPr>
        <w:pStyle w:val="NoSpacing"/>
        <w:rPr>
          <w:bCs/>
        </w:rPr>
      </w:pPr>
      <w:r w:rsidRPr="00046CDA">
        <w:t xml:space="preserve">THE COURT HELD: </w:t>
      </w:r>
      <w:r>
        <w:t xml:space="preserve"> “</w:t>
      </w:r>
      <w:r w:rsidRPr="00C52740">
        <w:t xml:space="preserve">Under the Fair Labor Standards Act (“FLSA”), workers in </w:t>
      </w:r>
    </w:p>
    <w:p w14:paraId="4B33D217" w14:textId="77777777" w:rsidR="0077176C" w:rsidRPr="00C52740" w:rsidRDefault="0077176C" w:rsidP="0077176C">
      <w:pPr>
        <w:pStyle w:val="NoSpacing"/>
        <w:rPr>
          <w:bCs/>
        </w:rPr>
      </w:pPr>
      <w:r w:rsidRPr="00C52740">
        <w:t>ad-</w:t>
      </w:r>
    </w:p>
    <w:p w14:paraId="1E0F8EEE" w14:textId="77777777" w:rsidR="0077176C" w:rsidRPr="00D1403A" w:rsidRDefault="0077176C" w:rsidP="0077176C">
      <w:pPr>
        <w:pStyle w:val="NoSpacing"/>
        <w:rPr>
          <w:bCs/>
        </w:rPr>
      </w:pPr>
      <w:r w:rsidRPr="00C52740">
        <w:t xml:space="preserve">ministrative roles like </w:t>
      </w:r>
      <w:r>
        <w:t>‘</w:t>
      </w:r>
      <w:r w:rsidRPr="00C52740">
        <w:t>legal and regulatory compliance</w:t>
      </w:r>
      <w:r>
        <w:t>’</w:t>
      </w:r>
      <w:r w:rsidRPr="00C52740">
        <w:t xml:space="preserve"> aren’t entitled to extra pay for overtime work. Defendants-Appellees Forensic Pathology Services, P.C. (</w:t>
      </w:r>
      <w:r>
        <w:t>‘</w:t>
      </w:r>
      <w:r w:rsidRPr="00C52740">
        <w:t>FPS</w:t>
      </w:r>
      <w:r>
        <w:t>’</w:t>
      </w:r>
      <w:r w:rsidRPr="00C52740">
        <w:t>), and its CEO, Dr. Carol A.</w:t>
      </w:r>
      <w:r>
        <w:t xml:space="preserve"> </w:t>
      </w:r>
      <w:r w:rsidRPr="00C52740">
        <w:t>Terry, contend that FPS’s forensic death investigators, who investigate unexpected or non-natural deaths in Gwinnett County,</w:t>
      </w:r>
      <w:r>
        <w:t xml:space="preserve"> </w:t>
      </w:r>
      <w:r w:rsidRPr="00C52740">
        <w:t>Georgia, fit this category</w:t>
      </w:r>
      <w:r>
        <w:t xml:space="preserve">…. </w:t>
      </w:r>
      <w:r w:rsidRPr="00563369">
        <w:t>Defendants are mistaken</w:t>
      </w:r>
      <w:r>
        <w:t xml:space="preserve">…. </w:t>
      </w:r>
      <w:r w:rsidRPr="00D1403A">
        <w:t>Plaintiffs-Appellants, six former forensic death investigators</w:t>
      </w:r>
      <w:r>
        <w:t xml:space="preserve"> </w:t>
      </w:r>
      <w:r w:rsidRPr="00D1403A">
        <w:t>at FPS</w:t>
      </w:r>
      <w:r>
        <w:t xml:space="preserve"> …</w:t>
      </w:r>
      <w:r w:rsidRPr="00D1403A">
        <w:t xml:space="preserve"> helped produce FPS’s core </w:t>
      </w:r>
      <w:r>
        <w:t>‘</w:t>
      </w:r>
      <w:r w:rsidRPr="00D1403A">
        <w:t>product</w:t>
      </w:r>
      <w:r>
        <w:t>’</w:t>
      </w:r>
      <w:r w:rsidRPr="00D1403A">
        <w:t xml:space="preserve"> of death-investigation services. FPS and</w:t>
      </w:r>
      <w:r>
        <w:t xml:space="preserve"> </w:t>
      </w:r>
      <w:r w:rsidRPr="00D1403A">
        <w:t>Dr. Terry provide no authority to support their view that if an employee adheres to state law while producing their employer’s core</w:t>
      </w:r>
    </w:p>
    <w:p w14:paraId="55EAFA61" w14:textId="77777777" w:rsidR="0077176C" w:rsidRDefault="0077176C" w:rsidP="0077176C">
      <w:pPr>
        <w:pStyle w:val="NoSpacing"/>
        <w:rPr>
          <w:bCs/>
        </w:rPr>
      </w:pPr>
      <w:r w:rsidRPr="00D1403A">
        <w:t xml:space="preserve">product, that somehow makes their work </w:t>
      </w:r>
      <w:r>
        <w:t>‘</w:t>
      </w:r>
      <w:r w:rsidRPr="00D1403A">
        <w:t>administrative</w:t>
      </w:r>
      <w:r>
        <w:t>’</w:t>
      </w:r>
      <w:r w:rsidRPr="00D1403A">
        <w:t xml:space="preserve"> within</w:t>
      </w:r>
      <w:r>
        <w:t xml:space="preserve"> </w:t>
      </w:r>
      <w:r w:rsidRPr="00D1403A">
        <w:t>the meaning of the FLSA. And if that were so, huge swaths of the</w:t>
      </w:r>
      <w:r>
        <w:t xml:space="preserve"> </w:t>
      </w:r>
      <w:r w:rsidRPr="00D1403A">
        <w:t xml:space="preserve">American workforce would be subject to the FLSA’s </w:t>
      </w:r>
      <w:r>
        <w:t>‘</w:t>
      </w:r>
      <w:r w:rsidRPr="00D1403A">
        <w:t>administrative</w:t>
      </w:r>
      <w:r>
        <w:t>’</w:t>
      </w:r>
      <w:r w:rsidRPr="00D1403A">
        <w:t xml:space="preserve"> exemption, meaning the FLSA’s wage protections would not</w:t>
      </w:r>
      <w:r>
        <w:t xml:space="preserve"> </w:t>
      </w:r>
      <w:r w:rsidRPr="00D1403A">
        <w:t>apply to them.</w:t>
      </w:r>
      <w:r>
        <w:t>”</w:t>
      </w:r>
    </w:p>
    <w:p w14:paraId="329444BD" w14:textId="77777777" w:rsidR="0077176C" w:rsidRDefault="0077176C" w:rsidP="0077176C">
      <w:pPr>
        <w:pStyle w:val="NoSpacing"/>
        <w:rPr>
          <w:bCs/>
        </w:rPr>
      </w:pPr>
    </w:p>
    <w:p w14:paraId="7D1DD6E8" w14:textId="77777777" w:rsidR="0077176C" w:rsidRPr="000A038E" w:rsidRDefault="0077176C" w:rsidP="0077176C">
      <w:pPr>
        <w:pStyle w:val="NoSpacing"/>
        <w:rPr>
          <w:b/>
        </w:rPr>
      </w:pPr>
      <w:r w:rsidRPr="000A038E">
        <w:rPr>
          <w:b/>
        </w:rPr>
        <w:t xml:space="preserve">Legal Lesson Learned: “Administrative” exemption applies to very few in Fire &amp; EMS. </w:t>
      </w:r>
    </w:p>
    <w:p w14:paraId="7CCA70B9" w14:textId="77777777" w:rsidR="0077176C" w:rsidRDefault="0077176C" w:rsidP="0077176C">
      <w:pPr>
        <w:pStyle w:val="NoSpacing"/>
        <w:rPr>
          <w:bCs/>
        </w:rPr>
      </w:pPr>
    </w:p>
    <w:p w14:paraId="7D535F84" w14:textId="77777777" w:rsidR="0077176C" w:rsidRPr="005E4175" w:rsidRDefault="0077176C" w:rsidP="0077176C">
      <w:pPr>
        <w:pStyle w:val="NoSpacing"/>
        <w:ind w:left="720"/>
        <w:rPr>
          <w:bCs/>
        </w:rPr>
      </w:pPr>
      <w:r>
        <w:t xml:space="preserve">Note: </w:t>
      </w:r>
      <w:r w:rsidRPr="005E4175">
        <w:t xml:space="preserve">See August 2024, U.S. Department of Labor </w:t>
      </w:r>
      <w:r>
        <w:t>–</w:t>
      </w:r>
      <w:r w:rsidRPr="005E4175">
        <w:t xml:space="preserve"> Fact Sheet #17C: Exemption for Administrative Employees Under the Fair Labor Standards Act (FLSA)</w:t>
      </w:r>
      <w:r>
        <w:t xml:space="preserve">. </w:t>
      </w:r>
      <w:hyperlink r:id="rId1809" w:history="1">
        <w:r w:rsidRPr="00E5297F">
          <w:rPr>
            <w:rStyle w:val="Hyperlink"/>
          </w:rPr>
          <w:t>https://www.dol.gov/agencies/whd/fact-sheets/17c-overtime-administrative</w:t>
        </w:r>
      </w:hyperlink>
      <w:r>
        <w:t xml:space="preserve"> </w:t>
      </w:r>
    </w:p>
    <w:p w14:paraId="028443F7" w14:textId="77777777" w:rsidR="0077176C" w:rsidRDefault="0077176C" w:rsidP="0077176C">
      <w:pPr>
        <w:pStyle w:val="NoSpacing"/>
        <w:rPr>
          <w:bCs/>
        </w:rPr>
      </w:pPr>
    </w:p>
    <w:p w14:paraId="27301BB2" w14:textId="77777777" w:rsidR="0077176C" w:rsidRDefault="0077176C" w:rsidP="0077176C">
      <w:pPr>
        <w:pStyle w:val="NoSpacing"/>
        <w:ind w:left="720"/>
      </w:pPr>
      <w:r>
        <w:t>“</w:t>
      </w:r>
      <w:r w:rsidRPr="00C352A2">
        <w:t>The employee's primary duty must be the performance of office or non-manual work directly related to the management or general business operations of the employer or the employer's customers; and</w:t>
      </w:r>
      <w:r>
        <w:t xml:space="preserve"> t</w:t>
      </w:r>
      <w:r w:rsidRPr="007E7C57">
        <w:t>he employee's primary duty includes the exercise of discretion and independent judgment with respect to matters of significance.</w:t>
      </w:r>
      <w:r>
        <w:t>”</w:t>
      </w:r>
    </w:p>
    <w:p w14:paraId="7BA341A5" w14:textId="77777777" w:rsidR="0077176C" w:rsidRDefault="0077176C" w:rsidP="0077176C">
      <w:pPr>
        <w:pStyle w:val="NoSpacing"/>
        <w:ind w:left="720"/>
      </w:pPr>
    </w:p>
    <w:p w14:paraId="411A60CF" w14:textId="77777777" w:rsidR="0077176C" w:rsidRDefault="0077176C" w:rsidP="0077176C">
      <w:pPr>
        <w:pStyle w:val="NoSpacing"/>
      </w:pPr>
    </w:p>
    <w:p w14:paraId="4C3169A3" w14:textId="77777777" w:rsidR="0077176C" w:rsidRDefault="0077176C" w:rsidP="00020106">
      <w:pPr>
        <w:rPr>
          <w:rFonts w:ascii="Arial Black" w:hAnsi="Arial Black"/>
          <w:b/>
          <w:sz w:val="24"/>
          <w:szCs w:val="24"/>
        </w:rPr>
      </w:pPr>
    </w:p>
    <w:p w14:paraId="7F660D02" w14:textId="250B008B" w:rsidR="0077176C" w:rsidRDefault="00D610F1" w:rsidP="00020106">
      <w:pPr>
        <w:rPr>
          <w:rFonts w:ascii="Arial Black" w:hAnsi="Arial Black"/>
          <w:b/>
          <w:sz w:val="24"/>
          <w:szCs w:val="24"/>
        </w:rPr>
      </w:pPr>
      <w:r>
        <w:rPr>
          <w:rFonts w:ascii="Arial Black" w:hAnsi="Arial Black"/>
          <w:b/>
          <w:sz w:val="24"/>
          <w:szCs w:val="24"/>
        </w:rPr>
        <w:t>11-66</w:t>
      </w:r>
    </w:p>
    <w:p w14:paraId="29B057B8" w14:textId="77777777" w:rsidR="00D610F1" w:rsidRDefault="00D610F1" w:rsidP="00020106">
      <w:pPr>
        <w:rPr>
          <w:rFonts w:ascii="Arial Black" w:hAnsi="Arial Black"/>
          <w:b/>
          <w:sz w:val="24"/>
          <w:szCs w:val="24"/>
        </w:rPr>
      </w:pPr>
    </w:p>
    <w:p w14:paraId="28B3F374" w14:textId="77777777" w:rsidR="00D610F1" w:rsidRPr="00EA49C0" w:rsidRDefault="00D610F1" w:rsidP="00D610F1">
      <w:pPr>
        <w:pStyle w:val="NoSpacing"/>
        <w:rPr>
          <w:rFonts w:ascii="Arial Black" w:hAnsi="Arial Black"/>
          <w:bCs/>
          <w:sz w:val="28"/>
          <w:szCs w:val="28"/>
        </w:rPr>
      </w:pPr>
      <w:r>
        <w:rPr>
          <w:rFonts w:ascii="Arial Black" w:hAnsi="Arial Black"/>
          <w:sz w:val="28"/>
          <w:szCs w:val="28"/>
        </w:rPr>
        <w:t>DC: FED. EMPLOYEE – OT MUST BE APPROVED “IN WRITING”</w:t>
      </w:r>
    </w:p>
    <w:p w14:paraId="1A8F82C2" w14:textId="77777777" w:rsidR="00D610F1" w:rsidRDefault="00D610F1" w:rsidP="00D610F1">
      <w:pPr>
        <w:pStyle w:val="NoSpacing"/>
        <w:rPr>
          <w:bCs/>
        </w:rPr>
      </w:pPr>
    </w:p>
    <w:p w14:paraId="0E98093F" w14:textId="77777777" w:rsidR="00D610F1" w:rsidRDefault="00D610F1" w:rsidP="00D610F1">
      <w:pPr>
        <w:pStyle w:val="NoSpacing"/>
        <w:rPr>
          <w:bCs/>
        </w:rPr>
      </w:pPr>
      <w:r>
        <w:t xml:space="preserve">On December 12, 2025, in </w:t>
      </w:r>
      <w:r w:rsidRPr="00C600B3">
        <w:rPr>
          <w:u w:val="single"/>
        </w:rPr>
        <w:t>Jillian Lesko v. United States</w:t>
      </w:r>
      <w:r>
        <w:t xml:space="preserve">, the </w:t>
      </w:r>
      <w:r w:rsidRPr="00CD346A">
        <w:t>United States Court of Appeals, Federal Circuit</w:t>
      </w:r>
      <w:r>
        <w:t xml:space="preserve">, Washington, D.C., held (7 to 4; </w:t>
      </w:r>
      <w:proofErr w:type="spellStart"/>
      <w:r>
        <w:t>en</w:t>
      </w:r>
      <w:proofErr w:type="spellEnd"/>
      <w:r>
        <w:t xml:space="preserve"> banc decision by all judges on the Court) that </w:t>
      </w:r>
      <w:r w:rsidRPr="005B55D9">
        <w:t>Ms. Lesko</w:t>
      </w:r>
      <w:r>
        <w:t xml:space="preserve">. </w:t>
      </w:r>
      <w:r w:rsidRPr="005B55D9">
        <w:t>a registered nurse for the Indian Health Service (IHS) for eight months during the COVID-19 pandemic</w:t>
      </w:r>
      <w:r>
        <w:t xml:space="preserve">, who worked very long days, was not entitled to overtime pay since Office of Personnel Management regulations requires that overtime be first </w:t>
      </w:r>
      <w:r w:rsidRPr="00602BD8">
        <w:rPr>
          <w:i/>
          <w:iCs/>
        </w:rPr>
        <w:t>ordered or approved only in writing</w:t>
      </w:r>
      <w:r w:rsidRPr="00602BD8">
        <w:t xml:space="preserve"> by an officer or employee to whom this authority has been specifically delegated.</w:t>
      </w:r>
      <w:r>
        <w:t xml:space="preserve"> </w:t>
      </w:r>
      <w:r w:rsidRPr="00602BD8">
        <w:t>5 C.F.R. § 550.111(c) (hereafter, overtime regulation).</w:t>
      </w:r>
      <w:r>
        <w:t xml:space="preserve"> </w:t>
      </w:r>
      <w:hyperlink r:id="rId1810" w:history="1">
        <w:r w:rsidRPr="00E759FB">
          <w:rPr>
            <w:rStyle w:val="Hyperlink"/>
          </w:rPr>
          <w:t>https://www.cafc.uscourts.gov/opinions-orders/23-1823.OPINION.12-12-2025_2618923.pdf</w:t>
        </w:r>
      </w:hyperlink>
      <w:r w:rsidRPr="00E759FB">
        <w:t xml:space="preserve"> </w:t>
      </w:r>
    </w:p>
    <w:p w14:paraId="79A77546" w14:textId="77777777" w:rsidR="00D610F1" w:rsidRDefault="00D610F1" w:rsidP="00D610F1">
      <w:pPr>
        <w:pStyle w:val="NoSpacing"/>
        <w:rPr>
          <w:bCs/>
        </w:rPr>
      </w:pPr>
    </w:p>
    <w:p w14:paraId="284AF1E5" w14:textId="77777777" w:rsidR="00D610F1" w:rsidRPr="00602BD8" w:rsidRDefault="00D610F1" w:rsidP="00D610F1">
      <w:pPr>
        <w:pStyle w:val="NoSpacing"/>
        <w:rPr>
          <w:bCs/>
        </w:rPr>
      </w:pPr>
      <w:r>
        <w:t xml:space="preserve">THE COURT HELD:  </w:t>
      </w:r>
      <w:r w:rsidRPr="005B55D9">
        <w:t>Ms. Lesko worked as a registered nurse for the Indian Health Service (IHS) for eight months during the COVID-19 pandemic</w:t>
      </w:r>
      <w:r>
        <w:t>….</w:t>
      </w:r>
      <w:r w:rsidRPr="005B55D9">
        <w:t xml:space="preserve"> During this time, she alleges nurses </w:t>
      </w:r>
      <w:r>
        <w:t>‘</w:t>
      </w:r>
      <w:r w:rsidRPr="005B55D9">
        <w:t>were stretched to their limits</w:t>
      </w:r>
      <w:r>
        <w:t>’</w:t>
      </w:r>
      <w:r w:rsidRPr="005B55D9">
        <w:t xml:space="preserve"> and </w:t>
      </w:r>
      <w:r>
        <w:t>‘</w:t>
      </w:r>
      <w:r w:rsidRPr="005B55D9">
        <w:t>[s]</w:t>
      </w:r>
      <w:proofErr w:type="spellStart"/>
      <w:r w:rsidRPr="005B55D9">
        <w:t>upervisors</w:t>
      </w:r>
      <w:proofErr w:type="spellEnd"/>
      <w:r w:rsidRPr="005B55D9">
        <w:t xml:space="preserve"> and managers regularly and routinely required nurses to stay after hours and work without compensation to meet the patient demands.</w:t>
      </w:r>
      <w:r>
        <w:t>’</w:t>
      </w:r>
      <w:r w:rsidRPr="005B55D9">
        <w:t xml:space="preserve"> J.A. 82 ¶ 42. After resigning from IHS, Ms. Lesko filed a complaint for a class action suit, which she amended after the Government moved to dismiss it</w:t>
      </w:r>
      <w:r>
        <w:t xml:space="preserve">…. </w:t>
      </w:r>
      <w:r w:rsidRPr="00A80574">
        <w:t>The</w:t>
      </w:r>
      <w:r>
        <w:t xml:space="preserve"> </w:t>
      </w:r>
      <w:r w:rsidRPr="00A80574">
        <w:t>Court of Federal Claims granted the motion and dismissed</w:t>
      </w:r>
      <w:r>
        <w:t xml:space="preserve"> </w:t>
      </w:r>
      <w:r w:rsidRPr="00A80574">
        <w:t>all counts</w:t>
      </w:r>
      <w:r>
        <w:t xml:space="preserve">…. </w:t>
      </w:r>
      <w:r w:rsidRPr="00F54BA4">
        <w:t>In relevant part, the statute and regulation governing</w:t>
      </w:r>
      <w:r>
        <w:t xml:space="preserve"> </w:t>
      </w:r>
      <w:r w:rsidRPr="00F54BA4">
        <w:t>overtime pay for federal employees have existed for eighty</w:t>
      </w:r>
      <w:r>
        <w:t xml:space="preserve"> </w:t>
      </w:r>
      <w:r w:rsidRPr="00F54BA4">
        <w:t>years.</w:t>
      </w:r>
      <w:r>
        <w:t xml:space="preserve"> </w:t>
      </w:r>
      <w:r w:rsidRPr="00D26584">
        <w:t>On July 4, 1945—four days after Congress enacted</w:t>
      </w:r>
      <w:r>
        <w:t xml:space="preserve"> </w:t>
      </w:r>
      <w:r w:rsidRPr="00D26584">
        <w:t>FEPA</w:t>
      </w:r>
      <w:r>
        <w:t xml:space="preserve"> [F</w:t>
      </w:r>
      <w:r w:rsidRPr="006F564E">
        <w:t>ederal Employees Pay Act of 1945</w:t>
      </w:r>
      <w:r>
        <w:t>]</w:t>
      </w:r>
      <w:r w:rsidRPr="00D26584">
        <w:t>—the Civil Service Commission promulgated regulations, approved by the President, to implement the Act</w:t>
      </w:r>
      <w:r>
        <w:t xml:space="preserve">…. </w:t>
      </w:r>
      <w:r w:rsidRPr="00602BD8">
        <w:t>The present regulatory language implementing the writing requirement, now codified at 5 C.F.R. § 550.111(c), has undergone additional amendments since recodification but, as relevant to this appeal, it contains the same operative language as the originally promulgated regulation:</w:t>
      </w:r>
    </w:p>
    <w:p w14:paraId="5E2EB495" w14:textId="77777777" w:rsidR="00D610F1" w:rsidRPr="00602BD8" w:rsidRDefault="00D610F1" w:rsidP="00D610F1">
      <w:pPr>
        <w:pStyle w:val="NoSpacing"/>
        <w:rPr>
          <w:bCs/>
        </w:rPr>
      </w:pPr>
      <w:r w:rsidRPr="00602BD8">
        <w:t xml:space="preserve">Overtime work </w:t>
      </w:r>
      <w:proofErr w:type="gramStart"/>
      <w:r w:rsidRPr="00602BD8">
        <w:t>in excess of</w:t>
      </w:r>
      <w:proofErr w:type="gramEnd"/>
      <w:r w:rsidRPr="00602BD8">
        <w:t xml:space="preserve"> any included in a regularly scheduled administrative </w:t>
      </w:r>
      <w:proofErr w:type="gramStart"/>
      <w:r w:rsidRPr="00602BD8">
        <w:t>workweek</w:t>
      </w:r>
      <w:proofErr w:type="gramEnd"/>
      <w:r w:rsidRPr="00602BD8">
        <w:t xml:space="preserve"> may be </w:t>
      </w:r>
      <w:r w:rsidRPr="00602BD8">
        <w:rPr>
          <w:i/>
          <w:iCs/>
        </w:rPr>
        <w:t>ordered or approved only in writing</w:t>
      </w:r>
      <w:r w:rsidRPr="00602BD8">
        <w:t xml:space="preserve"> by an officer or employee to whom this authority has been specifically delegated.</w:t>
      </w:r>
      <w:r>
        <w:t xml:space="preserve"> </w:t>
      </w:r>
      <w:r w:rsidRPr="00602BD8">
        <w:t>5 C.F.R. § 550.111(c) (hereafter, overtime regulation).</w:t>
      </w:r>
      <w:r>
        <w:t>”</w:t>
      </w:r>
    </w:p>
    <w:p w14:paraId="40D2A287" w14:textId="77777777" w:rsidR="00D610F1" w:rsidRDefault="00D610F1" w:rsidP="00D610F1">
      <w:pPr>
        <w:pStyle w:val="NoSpacing"/>
        <w:rPr>
          <w:bCs/>
        </w:rPr>
      </w:pPr>
    </w:p>
    <w:p w14:paraId="6BB1EC2F" w14:textId="77777777" w:rsidR="00D610F1" w:rsidRPr="00602BD8" w:rsidRDefault="00D610F1" w:rsidP="00D610F1">
      <w:pPr>
        <w:pStyle w:val="NoSpacing"/>
        <w:rPr>
          <w:b/>
        </w:rPr>
      </w:pPr>
      <w:r w:rsidRPr="006F564E">
        <w:rPr>
          <w:b/>
        </w:rPr>
        <w:t xml:space="preserve">Legal lesson learned: </w:t>
      </w:r>
      <w:r w:rsidRPr="006564B7">
        <w:rPr>
          <w:b/>
        </w:rPr>
        <w:t xml:space="preserve">The Office of Personnel Management regulations control; but it seems unfair that the Indian Health Service </w:t>
      </w:r>
      <w:r>
        <w:rPr>
          <w:b/>
        </w:rPr>
        <w:t xml:space="preserve">(or any other federal agency) </w:t>
      </w:r>
      <w:r w:rsidRPr="006564B7">
        <w:rPr>
          <w:b/>
        </w:rPr>
        <w:t xml:space="preserve">would allow work beyond 80 hours, but then not pay time and half. </w:t>
      </w:r>
    </w:p>
    <w:p w14:paraId="23BEAA6E" w14:textId="77777777" w:rsidR="00D610F1" w:rsidRPr="00E759FB" w:rsidRDefault="00D610F1" w:rsidP="00D610F1">
      <w:pPr>
        <w:pStyle w:val="NoSpacing"/>
        <w:rPr>
          <w:bCs/>
        </w:rPr>
      </w:pPr>
    </w:p>
    <w:p w14:paraId="649D1267" w14:textId="77777777" w:rsidR="00D610F1" w:rsidRPr="004C2FD6" w:rsidRDefault="00D610F1" w:rsidP="00D610F1">
      <w:pPr>
        <w:pStyle w:val="NoSpacing"/>
        <w:rPr>
          <w:bCs/>
        </w:rPr>
      </w:pPr>
      <w:r>
        <w:tab/>
        <w:t xml:space="preserve">Note: Four Dissenting Judges: </w:t>
      </w:r>
      <w:r w:rsidRPr="004C2FD6">
        <w:t>STOLL, Circuit Judge, dissenting, with whom Circuit</w:t>
      </w:r>
    </w:p>
    <w:p w14:paraId="78D7EE74" w14:textId="77777777" w:rsidR="00D610F1" w:rsidRDefault="00D610F1" w:rsidP="00D610F1">
      <w:pPr>
        <w:pStyle w:val="NoSpacing"/>
        <w:ind w:firstLine="720"/>
        <w:rPr>
          <w:bCs/>
        </w:rPr>
      </w:pPr>
      <w:r w:rsidRPr="004C2FD6">
        <w:t>Judges REYNA , CUNNINGHAM, and S TARK join</w:t>
      </w:r>
      <w:r>
        <w:t>.</w:t>
      </w:r>
    </w:p>
    <w:p w14:paraId="0EE3CDB5" w14:textId="77777777" w:rsidR="00D610F1" w:rsidRPr="00CD346A" w:rsidRDefault="00D610F1" w:rsidP="00D610F1">
      <w:pPr>
        <w:pStyle w:val="NoSpacing"/>
        <w:ind w:firstLine="720"/>
        <w:rPr>
          <w:bCs/>
        </w:rPr>
      </w:pPr>
      <w:r>
        <w:t>“</w:t>
      </w:r>
      <w:r w:rsidRPr="00821EA4">
        <w:t>In sum, it is up to Congress, not OPM, to impose a writing requirement.</w:t>
      </w:r>
      <w:r>
        <w:t>”</w:t>
      </w:r>
    </w:p>
    <w:p w14:paraId="54574C14" w14:textId="77777777" w:rsidR="00D610F1" w:rsidRDefault="00D610F1" w:rsidP="00D610F1">
      <w:pPr>
        <w:pStyle w:val="NoSpacing"/>
        <w:rPr>
          <w:bCs/>
        </w:rPr>
      </w:pPr>
    </w:p>
    <w:p w14:paraId="4B62CF35" w14:textId="77777777" w:rsidR="00D610F1" w:rsidRDefault="00D610F1" w:rsidP="00020106">
      <w:pPr>
        <w:rPr>
          <w:rFonts w:ascii="Arial Black" w:hAnsi="Arial Black"/>
          <w:b/>
          <w:sz w:val="24"/>
          <w:szCs w:val="24"/>
        </w:rPr>
      </w:pPr>
    </w:p>
    <w:p w14:paraId="5B93633E" w14:textId="77777777" w:rsidR="0077176C" w:rsidRDefault="0077176C" w:rsidP="00020106">
      <w:pPr>
        <w:rPr>
          <w:rFonts w:ascii="Arial Black" w:hAnsi="Arial Black"/>
          <w:b/>
          <w:sz w:val="24"/>
          <w:szCs w:val="24"/>
        </w:rPr>
      </w:pPr>
    </w:p>
    <w:p w14:paraId="4ECC3647" w14:textId="77777777" w:rsidR="0077176C" w:rsidRDefault="0077176C" w:rsidP="00020106">
      <w:pPr>
        <w:rPr>
          <w:rFonts w:ascii="Arial Black" w:hAnsi="Arial Black"/>
          <w:b/>
          <w:sz w:val="24"/>
          <w:szCs w:val="24"/>
        </w:rPr>
      </w:pPr>
    </w:p>
    <w:p w14:paraId="5C9A1B17" w14:textId="405317FE" w:rsidR="008626B6" w:rsidRDefault="008626B6" w:rsidP="00020106">
      <w:pPr>
        <w:rPr>
          <w:rFonts w:ascii="Arial Black" w:hAnsi="Arial Black"/>
          <w:b/>
          <w:sz w:val="24"/>
          <w:szCs w:val="24"/>
        </w:rPr>
      </w:pPr>
      <w:r>
        <w:rPr>
          <w:rFonts w:ascii="Arial Black" w:hAnsi="Arial Black"/>
          <w:b/>
          <w:sz w:val="24"/>
          <w:szCs w:val="24"/>
        </w:rPr>
        <w:t>11-65</w:t>
      </w:r>
    </w:p>
    <w:p w14:paraId="71AEEFA7" w14:textId="1BB09CB9" w:rsidR="005F4889" w:rsidRDefault="005F4889" w:rsidP="005F4889">
      <w:pPr>
        <w:pStyle w:val="NoSpacing"/>
        <w:rPr>
          <w:rFonts w:ascii="Arial Black" w:hAnsi="Arial Black"/>
          <w:sz w:val="28"/>
          <w:szCs w:val="28"/>
        </w:rPr>
      </w:pPr>
      <w:r>
        <w:rPr>
          <w:rFonts w:ascii="Arial Black" w:hAnsi="Arial Black"/>
          <w:sz w:val="28"/>
          <w:szCs w:val="28"/>
        </w:rPr>
        <w:t>VA: B</w:t>
      </w:r>
      <w:r w:rsidR="0018059E">
        <w:rPr>
          <w:rFonts w:ascii="Arial Black" w:hAnsi="Arial Black"/>
          <w:sz w:val="28"/>
          <w:szCs w:val="28"/>
        </w:rPr>
        <w:t>ATTALION CHIEF</w:t>
      </w:r>
      <w:r w:rsidR="007B72B3">
        <w:rPr>
          <w:rFonts w:ascii="Arial Black" w:hAnsi="Arial Black"/>
          <w:sz w:val="28"/>
          <w:szCs w:val="28"/>
        </w:rPr>
        <w:t>S</w:t>
      </w:r>
      <w:r w:rsidR="0018059E">
        <w:rPr>
          <w:rFonts w:ascii="Arial Black" w:hAnsi="Arial Black"/>
          <w:sz w:val="28"/>
          <w:szCs w:val="28"/>
        </w:rPr>
        <w:t xml:space="preserve"> </w:t>
      </w:r>
      <w:r>
        <w:rPr>
          <w:rFonts w:ascii="Arial Black" w:hAnsi="Arial Black"/>
          <w:sz w:val="28"/>
          <w:szCs w:val="28"/>
        </w:rPr>
        <w:t>PAID A FIXED SALARY – EXEMPT POSITION</w:t>
      </w:r>
    </w:p>
    <w:p w14:paraId="5F2CCBB5" w14:textId="77777777" w:rsidR="005F4889" w:rsidRDefault="005F4889" w:rsidP="005F4889">
      <w:pPr>
        <w:pStyle w:val="NoSpacing"/>
        <w:rPr>
          <w:rFonts w:ascii="Arial Black" w:hAnsi="Arial Black"/>
          <w:sz w:val="28"/>
          <w:szCs w:val="28"/>
        </w:rPr>
      </w:pPr>
    </w:p>
    <w:p w14:paraId="548FCA46" w14:textId="77777777" w:rsidR="005F4889" w:rsidRDefault="005F4889" w:rsidP="005F4889">
      <w:pPr>
        <w:pStyle w:val="NoSpacing"/>
      </w:pPr>
      <w:r w:rsidRPr="0012387F">
        <w:t xml:space="preserve">On </w:t>
      </w:r>
      <w:r>
        <w:t xml:space="preserve">December 31, 2025, in </w:t>
      </w:r>
      <w:r w:rsidRPr="000F3254">
        <w:rPr>
          <w:u w:val="single"/>
        </w:rPr>
        <w:t>Anthony Kelley, et al. v. The City of Alexandria</w:t>
      </w:r>
      <w:r>
        <w:t xml:space="preserve">, the United States Court of Appeals for the Fourth Circuit (Richmond, VA) held (3 to 0) that Battalion Chiefs are not entitled to overtime pay as “white collar” employees; they are guaranteed a salary payment regardless of hours worked. </w:t>
      </w:r>
      <w:r w:rsidRPr="002D02AF">
        <w:t>Although the City assigned each chief an annual salary, it converted that salary into hourly rates for payroll purposes.</w:t>
      </w:r>
      <w:r>
        <w:t xml:space="preserve">  When they work </w:t>
      </w:r>
      <w:r w:rsidRPr="007846E5">
        <w:t>off</w:t>
      </w:r>
      <w:r>
        <w:t xml:space="preserve">-schedule hours, they are paid at the chief’s hourly rate. If they don’t work a scheduled shift, the </w:t>
      </w:r>
      <w:proofErr w:type="gramStart"/>
      <w:r>
        <w:t>City</w:t>
      </w:r>
      <w:proofErr w:type="gramEnd"/>
      <w:r>
        <w:t xml:space="preserve"> properly deducts those hours from their paid leave balance.  The fight in this case is about this last category of hours. When an employee is paid weekly (or on a less frequent basis) then exemption in 29 C.F.R. § 541.602(b) applies.</w:t>
      </w:r>
    </w:p>
    <w:p w14:paraId="2B4FD25F" w14:textId="77777777" w:rsidR="005F4889" w:rsidRDefault="005F4889" w:rsidP="005F4889">
      <w:pPr>
        <w:pStyle w:val="NoSpacing"/>
      </w:pPr>
      <w:r>
        <w:t xml:space="preserve"> </w:t>
      </w:r>
      <w:hyperlink r:id="rId1811" w:history="1">
        <w:r w:rsidRPr="00EB1520">
          <w:rPr>
            <w:rStyle w:val="Hyperlink"/>
          </w:rPr>
          <w:t>https://www.ca4.uscourts.gov/opinions/231752.P.pdf</w:t>
        </w:r>
      </w:hyperlink>
      <w:r>
        <w:t xml:space="preserve"> </w:t>
      </w:r>
    </w:p>
    <w:p w14:paraId="3046526A" w14:textId="77777777" w:rsidR="005F4889" w:rsidRDefault="005F4889" w:rsidP="005F4889">
      <w:pPr>
        <w:pStyle w:val="NoSpacing"/>
      </w:pPr>
    </w:p>
    <w:p w14:paraId="14D4866D" w14:textId="77777777" w:rsidR="005F4889" w:rsidRDefault="005F4889" w:rsidP="005F4889">
      <w:pPr>
        <w:pStyle w:val="NoSpacing"/>
      </w:pPr>
      <w:r>
        <w:t>THE COURT HELD:</w:t>
      </w:r>
    </w:p>
    <w:p w14:paraId="3835B5E0" w14:textId="77777777" w:rsidR="005F4889" w:rsidRDefault="005F4889" w:rsidP="005F4889">
      <w:pPr>
        <w:pStyle w:val="NoSpacing"/>
      </w:pPr>
    </w:p>
    <w:p w14:paraId="7F8F27A4" w14:textId="77777777" w:rsidR="005F4889" w:rsidRDefault="005F4889" w:rsidP="005F4889">
      <w:pPr>
        <w:pStyle w:val="NoSpacing"/>
        <w:ind w:left="720"/>
      </w:pPr>
      <w:r>
        <w:t>“</w:t>
      </w:r>
      <w:r w:rsidRPr="003B4CBA">
        <w:t>Current and former battalion chiefs for the City of Alexandria Fire Department sued</w:t>
      </w:r>
      <w:r>
        <w:t xml:space="preserve"> </w:t>
      </w:r>
      <w:r w:rsidRPr="003B4CBA">
        <w:t xml:space="preserve">the </w:t>
      </w:r>
      <w:proofErr w:type="gramStart"/>
      <w:r w:rsidRPr="003B4CBA">
        <w:t>City</w:t>
      </w:r>
      <w:proofErr w:type="gramEnd"/>
      <w:r w:rsidRPr="003B4CBA">
        <w:t xml:space="preserve"> seeking payment of unpaid overtime wages under the Fair Labor Standards Act.</w:t>
      </w:r>
      <w:r>
        <w:t xml:space="preserve"> </w:t>
      </w:r>
      <w:r w:rsidRPr="003B4CBA">
        <w:t>The district court granted summary judgment for the City, concluding that the chiefs were</w:t>
      </w:r>
      <w:r>
        <w:t xml:space="preserve"> </w:t>
      </w:r>
      <w:r w:rsidRPr="003B4CBA">
        <w:t xml:space="preserve">exempt from the Act’s overtime-pay requirements under the </w:t>
      </w:r>
      <w:r>
        <w:t>‘</w:t>
      </w:r>
      <w:r w:rsidRPr="003B4CBA">
        <w:t>highly compensated</w:t>
      </w:r>
      <w:r>
        <w:t xml:space="preserve"> </w:t>
      </w:r>
      <w:proofErr w:type="gramStart"/>
      <w:r w:rsidRPr="003B4CBA">
        <w:t>employee</w:t>
      </w:r>
      <w:r>
        <w:t>’</w:t>
      </w:r>
      <w:proofErr w:type="gramEnd"/>
      <w:r w:rsidRPr="003B4CBA">
        <w:t xml:space="preserve"> exemption. That exemption requires (among other things) that the City</w:t>
      </w:r>
      <w:r>
        <w:t xml:space="preserve"> </w:t>
      </w:r>
      <w:r w:rsidRPr="003B4CBA">
        <w:t xml:space="preserve">compensate the chiefs on a </w:t>
      </w:r>
      <w:r>
        <w:t>‘</w:t>
      </w:r>
      <w:r w:rsidRPr="003B4CBA">
        <w:t>salary basis.</w:t>
      </w:r>
      <w:r>
        <w:t>’</w:t>
      </w:r>
    </w:p>
    <w:p w14:paraId="31F0B38B" w14:textId="77777777" w:rsidR="005F4889" w:rsidRDefault="005F4889" w:rsidP="005F4889">
      <w:pPr>
        <w:pStyle w:val="NoSpacing"/>
        <w:ind w:left="720"/>
      </w:pPr>
    </w:p>
    <w:p w14:paraId="7A24A3CC" w14:textId="77777777" w:rsidR="005F4889" w:rsidRDefault="005F4889" w:rsidP="005F4889">
      <w:pPr>
        <w:pStyle w:val="NoSpacing"/>
        <w:ind w:left="720"/>
      </w:pPr>
      <w:r>
        <w:t>***</w:t>
      </w:r>
    </w:p>
    <w:p w14:paraId="6AACD42D" w14:textId="77777777" w:rsidR="005F4889" w:rsidRDefault="005F4889" w:rsidP="005F4889">
      <w:pPr>
        <w:pStyle w:val="NoSpacing"/>
        <w:ind w:left="720"/>
      </w:pPr>
    </w:p>
    <w:p w14:paraId="0354A0FC" w14:textId="77777777" w:rsidR="005F4889" w:rsidRDefault="005F4889" w:rsidP="005F4889">
      <w:pPr>
        <w:pStyle w:val="NoSpacing"/>
        <w:ind w:left="720"/>
      </w:pPr>
      <w:r>
        <w:t>The Alexandria Fire Department has ten fire stations, split evenly between two battalions. The department employs ten battalion chiefs. Battalion chiefs rotate through operational or administrative schedules. Typically, the department assigns six chiefs (three for each of the two battalions) to an operational schedule, during which they’re responsible for the day-to-day operations of the fire stations within their assigned battalion. These chiefs are scheduled to work three 24-hour shifts according to a nine-day scheduling cycle.</w:t>
      </w:r>
    </w:p>
    <w:p w14:paraId="60B0A6D5" w14:textId="77777777" w:rsidR="005F4889" w:rsidRDefault="005F4889" w:rsidP="005F4889">
      <w:pPr>
        <w:pStyle w:val="NoSpacing"/>
      </w:pPr>
    </w:p>
    <w:p w14:paraId="73FD1790" w14:textId="77777777" w:rsidR="005F4889" w:rsidRDefault="005F4889" w:rsidP="005F4889">
      <w:pPr>
        <w:pStyle w:val="NoSpacing"/>
        <w:ind w:left="720"/>
      </w:pPr>
      <w:r>
        <w:t>The nine-day cycles are staggered such that two operational chiefs are on duty each day (one for each battalion). During each nine-day cycle, the chiefs are on duty the first, third, and fifth days, and off duty the remaining six days. Their ‘work period’ is 28 days.</w:t>
      </w:r>
    </w:p>
    <w:p w14:paraId="4F7DEC84" w14:textId="77777777" w:rsidR="005F4889" w:rsidRDefault="005F4889" w:rsidP="005F4889">
      <w:pPr>
        <w:pStyle w:val="NoSpacing"/>
      </w:pPr>
    </w:p>
    <w:p w14:paraId="2CE771E0" w14:textId="77777777" w:rsidR="005F4889" w:rsidRDefault="005F4889" w:rsidP="005F4889">
      <w:pPr>
        <w:pStyle w:val="NoSpacing"/>
        <w:ind w:left="720"/>
      </w:pPr>
      <w:proofErr w:type="gramStart"/>
      <w:r>
        <w:t>So</w:t>
      </w:r>
      <w:proofErr w:type="gramEnd"/>
      <w:r>
        <w:t xml:space="preserve"> if the </w:t>
      </w:r>
      <w:proofErr w:type="gramStart"/>
      <w:r>
        <w:t>City</w:t>
      </w:r>
      <w:proofErr w:type="gramEnd"/>
      <w:r>
        <w:t xml:space="preserve"> paid them strictly based on scheduled hours, their paychecks could vary substantially from one pay period to the next. To avoid that, the </w:t>
      </w:r>
      <w:proofErr w:type="gramStart"/>
      <w:r>
        <w:t>City</w:t>
      </w:r>
      <w:proofErr w:type="gramEnd"/>
      <w:r>
        <w:t xml:space="preserve"> pays those </w:t>
      </w:r>
      <w:proofErr w:type="gramStart"/>
      <w:r>
        <w:t>chiefs</w:t>
      </w:r>
      <w:proofErr w:type="gramEnd"/>
      <w:r>
        <w:t xml:space="preserve"> for at least 106 </w:t>
      </w:r>
      <w:proofErr w:type="gramStart"/>
      <w:r>
        <w:t>hours</w:t>
      </w:r>
      <w:proofErr w:type="gramEnd"/>
      <w:r>
        <w:t xml:space="preserve"> each pay period, regardless of the scheduled hours they work.</w:t>
      </w:r>
    </w:p>
    <w:p w14:paraId="460863C2" w14:textId="77777777" w:rsidR="005F4889" w:rsidRDefault="005F4889" w:rsidP="005F4889">
      <w:pPr>
        <w:pStyle w:val="NoSpacing"/>
      </w:pPr>
    </w:p>
    <w:p w14:paraId="4AE7EAF5" w14:textId="77777777" w:rsidR="005F4889" w:rsidRDefault="005F4889" w:rsidP="005F4889">
      <w:pPr>
        <w:pStyle w:val="NoSpacing"/>
        <w:ind w:left="720"/>
      </w:pPr>
      <w:r w:rsidRPr="007846E5">
        <w:t>And the City also pays them for the off</w:t>
      </w:r>
      <w:r>
        <w:t xml:space="preserve">-schedule hours they </w:t>
      </w:r>
      <w:proofErr w:type="gramStart"/>
      <w:r>
        <w:t>work,</w:t>
      </w:r>
      <w:proofErr w:type="gramEnd"/>
      <w:r>
        <w:t xml:space="preserve"> at the chief’s hourly rate. The fight in this case is about this last category of hours.</w:t>
      </w:r>
    </w:p>
    <w:p w14:paraId="3E2D9EE8" w14:textId="77777777" w:rsidR="005F4889" w:rsidRDefault="005F4889" w:rsidP="005F4889">
      <w:pPr>
        <w:pStyle w:val="NoSpacing"/>
        <w:ind w:left="720"/>
      </w:pPr>
    </w:p>
    <w:p w14:paraId="77360551" w14:textId="77777777" w:rsidR="005F4889" w:rsidRDefault="005F4889" w:rsidP="005F4889">
      <w:pPr>
        <w:pStyle w:val="NoSpacing"/>
        <w:ind w:left="720"/>
      </w:pPr>
      <w:r>
        <w:t>***</w:t>
      </w:r>
    </w:p>
    <w:p w14:paraId="6E76E8DD" w14:textId="77777777" w:rsidR="005F4889" w:rsidRDefault="005F4889" w:rsidP="005F4889">
      <w:pPr>
        <w:pStyle w:val="NoSpacing"/>
        <w:ind w:left="720"/>
      </w:pPr>
    </w:p>
    <w:p w14:paraId="62D04A9D" w14:textId="77777777" w:rsidR="005F4889" w:rsidRDefault="005F4889" w:rsidP="005F4889">
      <w:pPr>
        <w:pStyle w:val="NoSpacing"/>
        <w:ind w:firstLine="720"/>
      </w:pPr>
      <w:r>
        <w:t>Under 602(a), an employer must show that ‘the employee regularly receives each</w:t>
      </w:r>
    </w:p>
    <w:p w14:paraId="6BCB4B44" w14:textId="77777777" w:rsidR="005F4889" w:rsidRDefault="005F4889" w:rsidP="005F4889">
      <w:pPr>
        <w:pStyle w:val="NoSpacing"/>
        <w:ind w:firstLine="720"/>
      </w:pPr>
      <w:r>
        <w:t>pay period on a weekly, or less frequent basis, a predetermined amount constituting all or</w:t>
      </w:r>
    </w:p>
    <w:p w14:paraId="71134E8F" w14:textId="77777777" w:rsidR="005F4889" w:rsidRDefault="005F4889" w:rsidP="005F4889">
      <w:pPr>
        <w:pStyle w:val="NoSpacing"/>
        <w:ind w:firstLine="720"/>
      </w:pPr>
      <w:r>
        <w:t>part of the employee’s compensation, which amount is not subject to reduction because of</w:t>
      </w:r>
    </w:p>
    <w:p w14:paraId="0CB9C2A8" w14:textId="77777777" w:rsidR="005F4889" w:rsidRDefault="005F4889" w:rsidP="005F4889">
      <w:pPr>
        <w:pStyle w:val="NoSpacing"/>
        <w:ind w:firstLine="720"/>
      </w:pPr>
      <w:r>
        <w:t>variations in the quality or quantity of the work performed.’ 29 C.F.R. § 541.602(a). This</w:t>
      </w:r>
    </w:p>
    <w:p w14:paraId="4D6D6080" w14:textId="77777777" w:rsidR="005F4889" w:rsidRDefault="005F4889" w:rsidP="005F4889">
      <w:pPr>
        <w:pStyle w:val="NoSpacing"/>
        <w:ind w:firstLine="720"/>
      </w:pPr>
      <w:r>
        <w:t>standard ensures the employee ‘get[s] at least part of his compensation through a preset</w:t>
      </w:r>
    </w:p>
    <w:p w14:paraId="781BF48D" w14:textId="77777777" w:rsidR="005F4889" w:rsidRDefault="005F4889" w:rsidP="005F4889">
      <w:pPr>
        <w:pStyle w:val="NoSpacing"/>
        <w:ind w:firstLine="720"/>
      </w:pPr>
      <w:r>
        <w:t>weekly (or less frequent) salary.’ Helix, 598 U.S. at 46. Though employers are generally</w:t>
      </w:r>
    </w:p>
    <w:p w14:paraId="6381AE32" w14:textId="77777777" w:rsidR="005F4889" w:rsidRDefault="005F4889" w:rsidP="005F4889">
      <w:pPr>
        <w:pStyle w:val="NoSpacing"/>
        <w:ind w:left="720"/>
      </w:pPr>
      <w:r>
        <w:t>prohibited from taking deductions from this amount, the regulations allow them to do so in certain limited circumstances. 29 C.F.R. § 541.602(b).”</w:t>
      </w:r>
    </w:p>
    <w:p w14:paraId="0104A071" w14:textId="77777777" w:rsidR="005F4889" w:rsidRDefault="005F4889" w:rsidP="005F4889">
      <w:pPr>
        <w:pStyle w:val="NoSpacing"/>
        <w:ind w:left="720"/>
      </w:pPr>
    </w:p>
    <w:p w14:paraId="298BAE39" w14:textId="77777777" w:rsidR="005F4889" w:rsidRPr="0027338B" w:rsidRDefault="005F4889" w:rsidP="005F4889">
      <w:pPr>
        <w:pStyle w:val="NoSpacing"/>
        <w:rPr>
          <w:b/>
          <w:bCs/>
        </w:rPr>
      </w:pPr>
      <w:r>
        <w:rPr>
          <w:b/>
        </w:rPr>
        <w:t xml:space="preserve">Legal lesson learned:  There has been lots of litigation concerning Battalion Chiefs being exempt or entitled to overtime.  </w:t>
      </w:r>
    </w:p>
    <w:p w14:paraId="6EA789C3" w14:textId="77777777" w:rsidR="005F4889" w:rsidRDefault="005F4889" w:rsidP="005F4889">
      <w:pPr>
        <w:pStyle w:val="NoSpacing"/>
        <w:ind w:left="720"/>
      </w:pPr>
      <w:r>
        <w:t xml:space="preserve">  </w:t>
      </w:r>
    </w:p>
    <w:p w14:paraId="2C5CE701" w14:textId="77777777" w:rsidR="005F4889" w:rsidRDefault="005F4889" w:rsidP="005F4889">
      <w:pPr>
        <w:pStyle w:val="NoSpacing"/>
        <w:ind w:left="720"/>
      </w:pPr>
      <w:r>
        <w:t xml:space="preserve">Note: See this review of the decision.  </w:t>
      </w:r>
      <w:hyperlink r:id="rId1812" w:history="1">
        <w:r w:rsidRPr="002B4D2D">
          <w:rPr>
            <w:rStyle w:val="Hyperlink"/>
          </w:rPr>
          <w:t>https://www.firefighterovertime.org/2026/01/04/fourth-circuit-rules-against-battalion-chiefs-in-virginia-flsa-lawsuit/</w:t>
        </w:r>
      </w:hyperlink>
      <w:r>
        <w:t xml:space="preserve"> . See also: September 17, 2018. </w:t>
      </w:r>
      <w:r w:rsidRPr="00075C60">
        <w:t>Battalion Chiefs, Executive Exemption, and Overtime</w:t>
      </w:r>
      <w:r>
        <w:t xml:space="preserve">. </w:t>
      </w:r>
      <w:hyperlink r:id="rId1813" w:history="1">
        <w:r w:rsidRPr="002B4D2D">
          <w:rPr>
            <w:rStyle w:val="Hyperlink"/>
          </w:rPr>
          <w:t>https://www.firefighterovertime.org/2018/09/17/battalion/</w:t>
        </w:r>
      </w:hyperlink>
    </w:p>
    <w:p w14:paraId="0316D57A" w14:textId="77777777" w:rsidR="005F4889" w:rsidRDefault="005F4889" w:rsidP="005F4889">
      <w:pPr>
        <w:pStyle w:val="NoSpacing"/>
        <w:ind w:left="720"/>
      </w:pPr>
    </w:p>
    <w:p w14:paraId="1E086112" w14:textId="77777777" w:rsidR="005F4889" w:rsidRDefault="005F4889" w:rsidP="005F4889">
      <w:pPr>
        <w:pStyle w:val="NoSpacing"/>
        <w:ind w:left="720"/>
      </w:pPr>
      <w:r>
        <w:t>See also: The 6</w:t>
      </w:r>
      <w:r w:rsidRPr="00E002FB">
        <w:rPr>
          <w:vertAlign w:val="superscript"/>
        </w:rPr>
        <w:t>th</w:t>
      </w:r>
      <w:r>
        <w:t xml:space="preserve"> Circuit on </w:t>
      </w:r>
      <w:r w:rsidRPr="00E002FB">
        <w:t xml:space="preserve">June 3, </w:t>
      </w:r>
      <w:proofErr w:type="gramStart"/>
      <w:r w:rsidRPr="00E002FB">
        <w:t>2019</w:t>
      </w:r>
      <w:proofErr w:type="gramEnd"/>
      <w:r>
        <w:t xml:space="preserve"> in </w:t>
      </w:r>
      <w:r w:rsidRPr="00793A7B">
        <w:rPr>
          <w:u w:val="single"/>
        </w:rPr>
        <w:t>Howard Holt, et al. v. City of Battle Creek</w:t>
      </w:r>
      <w:r>
        <w:t xml:space="preserve">, </w:t>
      </w:r>
    </w:p>
    <w:p w14:paraId="4280A86A" w14:textId="77777777" w:rsidR="005F4889" w:rsidRDefault="005F4889" w:rsidP="005F4889">
      <w:pPr>
        <w:pStyle w:val="NoSpacing"/>
        <w:ind w:left="720"/>
      </w:pPr>
      <w:r>
        <w:t xml:space="preserve">held that Battalion Chiefs were not entitled to overtime pay. </w:t>
      </w:r>
      <w:hyperlink r:id="rId1814" w:history="1">
        <w:r w:rsidRPr="00EB1520">
          <w:rPr>
            <w:rStyle w:val="Hyperlink"/>
          </w:rPr>
          <w:t>https://www.opn.ca6.uscourts.gov/opinions.pdf/19a0114p-06.pdf</w:t>
        </w:r>
      </w:hyperlink>
      <w:r>
        <w:t xml:space="preserve"> </w:t>
      </w:r>
    </w:p>
    <w:p w14:paraId="5CC9AFD1" w14:textId="77777777" w:rsidR="005F4889" w:rsidRDefault="005F4889" w:rsidP="005F4889">
      <w:pPr>
        <w:pStyle w:val="NoSpacing"/>
        <w:ind w:left="720"/>
      </w:pPr>
    </w:p>
    <w:p w14:paraId="406ABF71" w14:textId="77777777" w:rsidR="005F4889" w:rsidRDefault="005F4889" w:rsidP="005F4889">
      <w:pPr>
        <w:pStyle w:val="NoSpacing"/>
        <w:ind w:left="720"/>
      </w:pPr>
      <w:r>
        <w:t xml:space="preserve">See IAFF FLSA Manual (July 2022): </w:t>
      </w:r>
      <w:hyperlink r:id="rId1815" w:history="1">
        <w:r w:rsidRPr="00EB1520">
          <w:rPr>
            <w:rStyle w:val="Hyperlink"/>
          </w:rPr>
          <w:t>https://www.iaff.org/wp-content/uploads/FLSA-Manual-2022-Edition_FINAL.22Aug01.pdf</w:t>
        </w:r>
      </w:hyperlink>
      <w:r>
        <w:t xml:space="preserve">  - Salary Basis.</w:t>
      </w:r>
    </w:p>
    <w:p w14:paraId="56EB6264" w14:textId="77777777" w:rsidR="008626B6" w:rsidRDefault="008626B6" w:rsidP="00020106">
      <w:pPr>
        <w:rPr>
          <w:rFonts w:ascii="Arial Black" w:hAnsi="Arial Black"/>
          <w:b/>
          <w:sz w:val="24"/>
          <w:szCs w:val="24"/>
        </w:rPr>
      </w:pPr>
    </w:p>
    <w:p w14:paraId="7BABF988" w14:textId="77777777" w:rsidR="008626B6" w:rsidRDefault="008626B6" w:rsidP="00020106">
      <w:pPr>
        <w:rPr>
          <w:rFonts w:ascii="Arial Black" w:hAnsi="Arial Black"/>
          <w:b/>
          <w:sz w:val="24"/>
          <w:szCs w:val="24"/>
        </w:rPr>
      </w:pPr>
    </w:p>
    <w:p w14:paraId="14765017" w14:textId="1F0E1E45" w:rsidR="004F2D19" w:rsidRDefault="004F2D19" w:rsidP="00020106">
      <w:pPr>
        <w:rPr>
          <w:rFonts w:ascii="Arial Black" w:hAnsi="Arial Black"/>
          <w:b/>
          <w:sz w:val="24"/>
          <w:szCs w:val="24"/>
        </w:rPr>
      </w:pPr>
      <w:r>
        <w:rPr>
          <w:rFonts w:ascii="Arial Black" w:hAnsi="Arial Black"/>
          <w:b/>
          <w:sz w:val="24"/>
          <w:szCs w:val="24"/>
        </w:rPr>
        <w:t>1</w:t>
      </w:r>
      <w:r w:rsidR="00006AE3">
        <w:rPr>
          <w:rFonts w:ascii="Arial Black" w:hAnsi="Arial Black"/>
          <w:b/>
          <w:sz w:val="24"/>
          <w:szCs w:val="24"/>
        </w:rPr>
        <w:t>1-64</w:t>
      </w:r>
    </w:p>
    <w:p w14:paraId="436A2A63" w14:textId="77777777" w:rsidR="004F2D19" w:rsidRPr="00FD47DD" w:rsidRDefault="004F2D19" w:rsidP="004F2D19">
      <w:pPr>
        <w:rPr>
          <w:rFonts w:ascii="Arial Black" w:hAnsi="Arial Black"/>
          <w:b/>
          <w:sz w:val="28"/>
          <w:szCs w:val="28"/>
        </w:rPr>
      </w:pPr>
      <w:r>
        <w:rPr>
          <w:rFonts w:ascii="Arial Black" w:hAnsi="Arial Black"/>
          <w:b/>
          <w:sz w:val="28"/>
          <w:szCs w:val="28"/>
        </w:rPr>
        <w:t>MA: FF / NAT. GUARD – CITY PAY 40 DAYS / FOR 40 SHIFTS</w:t>
      </w:r>
    </w:p>
    <w:p w14:paraId="5AE8FE9E" w14:textId="77777777" w:rsidR="004F2D19" w:rsidRDefault="004F2D19" w:rsidP="004F2D19">
      <w:r>
        <w:t xml:space="preserve">On November 21, 2025, in </w:t>
      </w:r>
      <w:r w:rsidRPr="00C30366">
        <w:rPr>
          <w:u w:val="single"/>
        </w:rPr>
        <w:t>Robert Driscoll v. City of Melrose</w:t>
      </w:r>
      <w:r>
        <w:t xml:space="preserve">, the </w:t>
      </w:r>
      <w:r w:rsidRPr="00504997">
        <w:t>Appeals Court of Massachusetts, Middlesex</w:t>
      </w:r>
      <w:r>
        <w:t xml:space="preserve"> held (3 to 0) that Firefighter / C</w:t>
      </w:r>
      <w:r w:rsidRPr="00DE1F7C">
        <w:t xml:space="preserve">olonel in the </w:t>
      </w:r>
      <w:r>
        <w:t xml:space="preserve">U.S. Air Force - </w:t>
      </w:r>
      <w:r w:rsidRPr="00DE1F7C">
        <w:t>Air National Guard</w:t>
      </w:r>
      <w:r>
        <w:t xml:space="preserve"> is entitled under Massachusetts law to full fire department of pay when on active duty for </w:t>
      </w:r>
      <w:r w:rsidRPr="00891DBD">
        <w:t>"the first 40 consecutive calendar days of an annual tour of duty"</w:t>
      </w:r>
      <w:r>
        <w:t xml:space="preserve"> and a calendar day must be calculated as each of his missed 24-hour shifts.  The city was calculating that each 24-shift was same </w:t>
      </w:r>
      <w:proofErr w:type="gramStart"/>
      <w:r>
        <w:t>a two</w:t>
      </w:r>
      <w:proofErr w:type="gramEnd"/>
      <w:r>
        <w:t xml:space="preserve"> calendar </w:t>
      </w:r>
      <w:proofErr w:type="gramStart"/>
      <w:r>
        <w:t>days, and</w:t>
      </w:r>
      <w:proofErr w:type="gramEnd"/>
      <w:r>
        <w:t xml:space="preserve"> only pay him for 20 consecutive calendar days.  THE COURT WROTE: “</w:t>
      </w:r>
      <w:r w:rsidRPr="00632518">
        <w:t xml:space="preserve">General Laws c. 33, § 59 (a), requires participating government entities to pay the full salary of an employee performing certain military service for "40 days in any federal fiscal year," and states that a day "shall mean any 24-hour period regardless of calendar day."  Applying the plain meaning of these words, we conclude that the firefighter is entitled to pay for up to forty </w:t>
      </w:r>
      <w:proofErr w:type="gramStart"/>
      <w:r w:rsidRPr="00632518">
        <w:t>twenty-four hour</w:t>
      </w:r>
      <w:proofErr w:type="gramEnd"/>
      <w:r w:rsidRPr="00632518">
        <w:t xml:space="preserve"> shifts missed during his military service in each Federal fiscal year, and not (as the city claims) up to twenty such shifts in a consecutive period of forty days.  Accordingly, we reverse.</w:t>
      </w:r>
      <w:r>
        <w:t>”</w:t>
      </w:r>
      <w:r w:rsidRPr="0076709D">
        <w:t xml:space="preserve"> </w:t>
      </w:r>
      <w:hyperlink r:id="rId1816" w:history="1">
        <w:r w:rsidRPr="00422760">
          <w:rPr>
            <w:rStyle w:val="Hyperlink"/>
          </w:rPr>
          <w:t>https://www.mass.gov/doc/driscoll-v-city-of-melrose-ac-s24p1114/download</w:t>
        </w:r>
      </w:hyperlink>
      <w:r>
        <w:t xml:space="preserve"> </w:t>
      </w:r>
    </w:p>
    <w:p w14:paraId="377CC765" w14:textId="77777777" w:rsidR="004F2D19" w:rsidRDefault="004F2D19" w:rsidP="004F2D19">
      <w:pPr>
        <w:pStyle w:val="NoSpacing"/>
      </w:pPr>
    </w:p>
    <w:p w14:paraId="48FA38EB" w14:textId="77777777" w:rsidR="004F2D19" w:rsidRDefault="004F2D19" w:rsidP="004F2D19">
      <w:pPr>
        <w:pStyle w:val="NoSpacing"/>
      </w:pPr>
      <w:r>
        <w:t>THE COURT HELD:</w:t>
      </w:r>
    </w:p>
    <w:p w14:paraId="4266774C" w14:textId="77777777" w:rsidR="004F2D19" w:rsidRDefault="004F2D19" w:rsidP="004F2D19">
      <w:pPr>
        <w:pStyle w:val="NoSpacing"/>
      </w:pPr>
    </w:p>
    <w:p w14:paraId="6FFB75F9" w14:textId="77777777" w:rsidR="004F2D19" w:rsidRDefault="004F2D19" w:rsidP="004F2D19">
      <w:pPr>
        <w:pStyle w:val="NoSpacing"/>
        <w:ind w:left="720"/>
      </w:pPr>
      <w:r>
        <w:t>“</w:t>
      </w:r>
      <w:r w:rsidRPr="005611B1">
        <w:t xml:space="preserve">Each </w:t>
      </w:r>
      <w:proofErr w:type="gramStart"/>
      <w:r w:rsidRPr="005611B1">
        <w:t>twenty-four hour</w:t>
      </w:r>
      <w:proofErr w:type="gramEnd"/>
      <w:r w:rsidRPr="005611B1">
        <w:t xml:space="preserve"> shift began at 7 A.M. and concluded the following calendar day at the same time.  Pursuant to the CBA, the </w:t>
      </w:r>
      <w:proofErr w:type="gramStart"/>
      <w:r w:rsidRPr="005611B1">
        <w:t>twenty-four hour</w:t>
      </w:r>
      <w:proofErr w:type="gramEnd"/>
      <w:r w:rsidRPr="005611B1">
        <w:t xml:space="preserve"> shift consisted of two separate shifts:  a ten-hour day shift followed by a fourteen-hour night shift.  For purposes of vacation or sick leave, the ten-hour and fourteen-hour shifts were considered separate days, amounting to two total days for one </w:t>
      </w:r>
      <w:proofErr w:type="gramStart"/>
      <w:r w:rsidRPr="005611B1">
        <w:t>twenty-four hour</w:t>
      </w:r>
      <w:proofErr w:type="gramEnd"/>
      <w:r w:rsidRPr="005611B1">
        <w:t xml:space="preserve"> shift.  Accordingly, a firefighter who missed a </w:t>
      </w:r>
      <w:proofErr w:type="gramStart"/>
      <w:r w:rsidRPr="005611B1">
        <w:t>twenty-four hour</w:t>
      </w:r>
      <w:proofErr w:type="gramEnd"/>
      <w:r w:rsidRPr="005611B1">
        <w:t xml:space="preserve"> shift because of a vacation or illness would expend two days of vacation time or sick time.</w:t>
      </w:r>
    </w:p>
    <w:p w14:paraId="1CE9C9B8" w14:textId="77777777" w:rsidR="004F2D19" w:rsidRDefault="004F2D19" w:rsidP="004F2D19">
      <w:pPr>
        <w:pStyle w:val="NoSpacing"/>
        <w:ind w:left="720"/>
      </w:pPr>
    </w:p>
    <w:p w14:paraId="4FEC5FD9" w14:textId="77777777" w:rsidR="004F2D19" w:rsidRDefault="004F2D19" w:rsidP="004F2D19">
      <w:pPr>
        <w:pStyle w:val="NoSpacing"/>
        <w:ind w:left="720"/>
      </w:pPr>
      <w:r>
        <w:t>***</w:t>
      </w:r>
    </w:p>
    <w:p w14:paraId="3A25F707" w14:textId="77777777" w:rsidR="004F2D19" w:rsidRDefault="004F2D19" w:rsidP="004F2D19">
      <w:pPr>
        <w:pStyle w:val="NoSpacing"/>
        <w:ind w:left="720"/>
      </w:pPr>
      <w:r w:rsidRPr="00E93688">
        <w:t xml:space="preserve">During the entire time that the firefighter worked for the city, he served as an officer in the United States Air Force, reaching the rank of colonel in the Air National Guard.  This role required the firefighter to take occasional leave for military service, both for training and after being called up for active duty.  Relevant here, between October 2019 and March 2020, the firefighter missed six </w:t>
      </w:r>
      <w:proofErr w:type="gramStart"/>
      <w:r w:rsidRPr="00E93688">
        <w:t>twenty-four hour</w:t>
      </w:r>
      <w:proofErr w:type="gramEnd"/>
      <w:r w:rsidRPr="00E93688">
        <w:t xml:space="preserve"> shifts for military training.  On April 10, 2020, he went on active military leave and missed thirty-two </w:t>
      </w:r>
      <w:proofErr w:type="gramStart"/>
      <w:r w:rsidRPr="00E93688">
        <w:t>twenty-four hour</w:t>
      </w:r>
      <w:proofErr w:type="gramEnd"/>
      <w:r w:rsidRPr="00E93688">
        <w:t xml:space="preserve"> shifts between that date and August 14, 2020.  In August and September 2020, the firefighter missed another four </w:t>
      </w:r>
      <w:proofErr w:type="gramStart"/>
      <w:r w:rsidRPr="00E93688">
        <w:t>twenty-four hour</w:t>
      </w:r>
      <w:proofErr w:type="gramEnd"/>
      <w:r w:rsidRPr="00E93688">
        <w:t xml:space="preserve"> shifts for military training.</w:t>
      </w:r>
    </w:p>
    <w:p w14:paraId="5D82904C" w14:textId="77777777" w:rsidR="004F2D19" w:rsidRDefault="004F2D19" w:rsidP="004F2D19">
      <w:pPr>
        <w:pStyle w:val="NoSpacing"/>
        <w:ind w:left="720"/>
      </w:pPr>
    </w:p>
    <w:p w14:paraId="74E69BC2" w14:textId="77777777" w:rsidR="004F2D19" w:rsidRDefault="004F2D19" w:rsidP="004F2D19">
      <w:pPr>
        <w:pStyle w:val="NoSpacing"/>
        <w:ind w:left="720"/>
      </w:pPr>
      <w:r w:rsidRPr="00646958">
        <w:t xml:space="preserve">The next Federal fiscal year began on October 1, 2020.  See 31 U.S.C. § 1102.  In October 2020, the firefighter missed one twenty-four shift and one fourteen-hour night shift for military training.  On November 28, 2020, the firefighter was again deployed for active military service, which lasted until September 5, 2021.  During that time, he missed seventy </w:t>
      </w:r>
      <w:proofErr w:type="gramStart"/>
      <w:r w:rsidRPr="00646958">
        <w:t>twenty-four hour</w:t>
      </w:r>
      <w:proofErr w:type="gramEnd"/>
      <w:r w:rsidRPr="00646958">
        <w:t xml:space="preserve"> shifts.</w:t>
      </w:r>
    </w:p>
    <w:p w14:paraId="4DF24DBF" w14:textId="77777777" w:rsidR="004F2D19" w:rsidRDefault="004F2D19" w:rsidP="004F2D19">
      <w:pPr>
        <w:pStyle w:val="NoSpacing"/>
        <w:ind w:left="720"/>
      </w:pPr>
    </w:p>
    <w:p w14:paraId="639D845B" w14:textId="77777777" w:rsidR="004F2D19" w:rsidRDefault="004F2D19" w:rsidP="004F2D19">
      <w:pPr>
        <w:pStyle w:val="NoSpacing"/>
        <w:ind w:left="720"/>
      </w:pPr>
      <w:r>
        <w:t>***</w:t>
      </w:r>
    </w:p>
    <w:p w14:paraId="2CEB8D72" w14:textId="77777777" w:rsidR="004F2D19" w:rsidRDefault="004F2D19" w:rsidP="004F2D19">
      <w:pPr>
        <w:pStyle w:val="NoSpacing"/>
        <w:ind w:left="720"/>
      </w:pPr>
    </w:p>
    <w:p w14:paraId="639E27F4" w14:textId="77777777" w:rsidR="004F2D19" w:rsidRDefault="004F2D19" w:rsidP="004F2D19">
      <w:pPr>
        <w:pStyle w:val="NoSpacing"/>
        <w:ind w:left="720"/>
      </w:pPr>
      <w:r>
        <w:t>[Footnote 2.]</w:t>
      </w:r>
      <w:r w:rsidRPr="003922F4">
        <w:t xml:space="preserve">As stated, the city actually paid the firefighter in full for twenty </w:t>
      </w:r>
      <w:proofErr w:type="gramStart"/>
      <w:r w:rsidRPr="003922F4">
        <w:t>twenty-four hour</w:t>
      </w:r>
      <w:proofErr w:type="gramEnd"/>
      <w:r w:rsidRPr="003922F4">
        <w:t xml:space="preserve"> shifts in each Federal fiscal year, regardless of whether that service occurred within a consecutive forty-day period.  Of course, G. L. c. 33, § 59 (a), provides a floor, not a ceiling.  The city was free to pay the firefighter more than its interpretation of G. L. c. 33, § 59 (a), </w:t>
      </w:r>
      <w:proofErr w:type="gramStart"/>
      <w:r w:rsidRPr="003922F4">
        <w:t>required.</w:t>
      </w:r>
      <w:r>
        <w:t>”</w:t>
      </w:r>
      <w:proofErr w:type="gramEnd"/>
    </w:p>
    <w:p w14:paraId="456F97CD" w14:textId="77777777" w:rsidR="004F2D19" w:rsidRDefault="004F2D19" w:rsidP="004F2D19">
      <w:pPr>
        <w:pStyle w:val="NoSpacing"/>
        <w:ind w:left="720"/>
      </w:pPr>
    </w:p>
    <w:p w14:paraId="651F7D58" w14:textId="77777777" w:rsidR="004F2D19" w:rsidRDefault="004F2D19" w:rsidP="004F2D19">
      <w:pPr>
        <w:pStyle w:val="NoSpacing"/>
        <w:rPr>
          <w:b/>
          <w:bCs/>
        </w:rPr>
      </w:pPr>
      <w:r>
        <w:rPr>
          <w:b/>
        </w:rPr>
        <w:t xml:space="preserve">Legal lesson learned: The firefighter’s position was supported by the Massachusetts Attorney General; hopefully the AG will send out communication to municipalities so other firefighter / military personnel don’t need to litigate similar claims. </w:t>
      </w:r>
    </w:p>
    <w:p w14:paraId="04188C10" w14:textId="77777777" w:rsidR="004F2D19" w:rsidRDefault="004F2D19" w:rsidP="004F2D19">
      <w:pPr>
        <w:pStyle w:val="NoSpacing"/>
        <w:rPr>
          <w:b/>
          <w:bCs/>
        </w:rPr>
      </w:pPr>
    </w:p>
    <w:p w14:paraId="3CC1F54A" w14:textId="77777777" w:rsidR="004F2D19" w:rsidRPr="001B2597" w:rsidRDefault="004F2D19" w:rsidP="004F2D19">
      <w:pPr>
        <w:pStyle w:val="NoSpacing"/>
        <w:ind w:left="720"/>
      </w:pPr>
      <w:r w:rsidRPr="001B2597">
        <w:t xml:space="preserve">Note: See the Federal Uniformed Services Employment and Reemployment Rights Act.   “Your USERRA Rights as an Employee.” </w:t>
      </w:r>
      <w:hyperlink r:id="rId1817" w:history="1">
        <w:r w:rsidRPr="001B2597">
          <w:rPr>
            <w:rStyle w:val="Hyperlink"/>
          </w:rPr>
          <w:t>https://osc.gov/Services/Pages/USERRA-Employee.aspx</w:t>
        </w:r>
      </w:hyperlink>
      <w:r w:rsidRPr="001B2597">
        <w:t xml:space="preserve"> </w:t>
      </w:r>
    </w:p>
    <w:p w14:paraId="77EBE98D" w14:textId="77777777" w:rsidR="004F2D19" w:rsidRDefault="004F2D19" w:rsidP="004F2D19">
      <w:pPr>
        <w:pStyle w:val="NoSpacing"/>
        <w:rPr>
          <w:b/>
          <w:bCs/>
        </w:rPr>
      </w:pPr>
    </w:p>
    <w:p w14:paraId="306BC5FA" w14:textId="77777777" w:rsidR="004F2D19" w:rsidRPr="00F76861" w:rsidRDefault="004F2D19" w:rsidP="004F2D19">
      <w:pPr>
        <w:pStyle w:val="NoSpacing"/>
        <w:ind w:left="720"/>
        <w:rPr>
          <w:bCs/>
        </w:rPr>
      </w:pPr>
      <w:r>
        <w:t>“</w:t>
      </w:r>
      <w:r w:rsidRPr="00F76861">
        <w:t>Returning service members are also entitled to receive benefits and seniority as ​though they had remained continuously employed. For instance, if an employee works at a company for two years and then completes one year of military service before returning, her employer must treat her as though she had worked continuously for three years when calculating the following benefits:</w:t>
      </w:r>
    </w:p>
    <w:p w14:paraId="3196D61F" w14:textId="77777777" w:rsidR="004F2D19" w:rsidRPr="00F76861" w:rsidRDefault="004F2D19" w:rsidP="004F2D19">
      <w:pPr>
        <w:pStyle w:val="NoSpacing"/>
        <w:numPr>
          <w:ilvl w:val="0"/>
          <w:numId w:val="37"/>
        </w:numPr>
        <w:tabs>
          <w:tab w:val="clear" w:pos="720"/>
          <w:tab w:val="num" w:pos="1440"/>
        </w:tabs>
        <w:ind w:left="1440"/>
        <w:rPr>
          <w:bCs/>
        </w:rPr>
      </w:pPr>
      <w:r w:rsidRPr="00F76861">
        <w:t>Paid leave (although no leave is accrued while the employee is absent)</w:t>
      </w:r>
    </w:p>
    <w:p w14:paraId="02A135FD" w14:textId="77777777" w:rsidR="004F2D19" w:rsidRPr="00F76861" w:rsidRDefault="004F2D19" w:rsidP="004F2D19">
      <w:pPr>
        <w:pStyle w:val="NoSpacing"/>
        <w:numPr>
          <w:ilvl w:val="0"/>
          <w:numId w:val="37"/>
        </w:numPr>
        <w:tabs>
          <w:tab w:val="clear" w:pos="720"/>
          <w:tab w:val="num" w:pos="1440"/>
        </w:tabs>
        <w:ind w:left="1440"/>
        <w:rPr>
          <w:bCs/>
        </w:rPr>
      </w:pPr>
      <w:r w:rsidRPr="00F76861">
        <w:t>Salary</w:t>
      </w:r>
    </w:p>
    <w:p w14:paraId="7DA0CC66" w14:textId="77777777" w:rsidR="004F2D19" w:rsidRPr="00F76861" w:rsidRDefault="004F2D19" w:rsidP="004F2D19">
      <w:pPr>
        <w:pStyle w:val="NoSpacing"/>
        <w:numPr>
          <w:ilvl w:val="0"/>
          <w:numId w:val="37"/>
        </w:numPr>
        <w:tabs>
          <w:tab w:val="clear" w:pos="720"/>
          <w:tab w:val="num" w:pos="1440"/>
        </w:tabs>
        <w:ind w:left="1440"/>
        <w:rPr>
          <w:bCs/>
        </w:rPr>
      </w:pPr>
      <w:r w:rsidRPr="00F76861">
        <w:t>Credit toward completing probationary periods</w:t>
      </w:r>
    </w:p>
    <w:p w14:paraId="1CCE6CAE" w14:textId="77777777" w:rsidR="004F2D19" w:rsidRPr="00F76861" w:rsidRDefault="004F2D19" w:rsidP="004F2D19">
      <w:pPr>
        <w:pStyle w:val="NoSpacing"/>
        <w:numPr>
          <w:ilvl w:val="0"/>
          <w:numId w:val="37"/>
        </w:numPr>
        <w:tabs>
          <w:tab w:val="clear" w:pos="720"/>
          <w:tab w:val="num" w:pos="1440"/>
        </w:tabs>
        <w:ind w:left="1440"/>
        <w:rPr>
          <w:bCs/>
        </w:rPr>
      </w:pPr>
      <w:r w:rsidRPr="00F76861">
        <w:t>Eligibility for promotions</w:t>
      </w:r>
    </w:p>
    <w:p w14:paraId="362C10ED" w14:textId="77777777" w:rsidR="004F2D19" w:rsidRPr="00F76861" w:rsidRDefault="004F2D19" w:rsidP="004F2D19">
      <w:pPr>
        <w:pStyle w:val="NoSpacing"/>
        <w:numPr>
          <w:ilvl w:val="0"/>
          <w:numId w:val="37"/>
        </w:numPr>
        <w:tabs>
          <w:tab w:val="clear" w:pos="720"/>
          <w:tab w:val="num" w:pos="1440"/>
        </w:tabs>
        <w:ind w:left="1440"/>
        <w:rPr>
          <w:bCs/>
        </w:rPr>
      </w:pPr>
      <w:r w:rsidRPr="00F76861">
        <w:t>Anything else that is tied to the employee’s longevity at the workplace</w:t>
      </w:r>
      <w:r>
        <w:t>.”</w:t>
      </w:r>
    </w:p>
    <w:p w14:paraId="53921309" w14:textId="77777777" w:rsidR="004F2D19" w:rsidRDefault="004F2D19" w:rsidP="004F2D19">
      <w:pPr>
        <w:pStyle w:val="NoSpacing"/>
      </w:pPr>
    </w:p>
    <w:p w14:paraId="54C2775E" w14:textId="7B566B44" w:rsidR="004F2D19" w:rsidRDefault="00006AE3" w:rsidP="00020106">
      <w:pPr>
        <w:rPr>
          <w:rFonts w:ascii="Arial Black" w:hAnsi="Arial Black"/>
          <w:b/>
          <w:sz w:val="24"/>
          <w:szCs w:val="24"/>
        </w:rPr>
      </w:pPr>
      <w:r>
        <w:rPr>
          <w:rFonts w:ascii="Arial Black" w:hAnsi="Arial Black"/>
          <w:b/>
          <w:sz w:val="24"/>
          <w:szCs w:val="24"/>
        </w:rPr>
        <w:t>11-63</w:t>
      </w:r>
    </w:p>
    <w:p w14:paraId="7F86A6A6" w14:textId="17F649B8" w:rsidR="00515C56" w:rsidRPr="007D35F7" w:rsidRDefault="005F2DAC" w:rsidP="00515C56">
      <w:pPr>
        <w:pStyle w:val="NoSpacing"/>
        <w:rPr>
          <w:rFonts w:ascii="Arial Black" w:hAnsi="Arial Black"/>
          <w:sz w:val="28"/>
          <w:szCs w:val="28"/>
        </w:rPr>
      </w:pPr>
      <w:r>
        <w:rPr>
          <w:rFonts w:ascii="Arial Black" w:hAnsi="Arial Black"/>
          <w:sz w:val="28"/>
          <w:szCs w:val="28"/>
        </w:rPr>
        <w:t>U.S. D</w:t>
      </w:r>
      <w:r w:rsidR="00E16F2F">
        <w:rPr>
          <w:rFonts w:ascii="Arial Black" w:hAnsi="Arial Black"/>
          <w:sz w:val="28"/>
          <w:szCs w:val="28"/>
        </w:rPr>
        <w:t xml:space="preserve">OL: </w:t>
      </w:r>
      <w:r w:rsidR="00515C56">
        <w:rPr>
          <w:rFonts w:ascii="Arial Black" w:hAnsi="Arial Black"/>
          <w:sz w:val="28"/>
          <w:szCs w:val="28"/>
        </w:rPr>
        <w:t xml:space="preserve">BONUS PAY / EMERG </w:t>
      </w:r>
      <w:r w:rsidR="00400FF9">
        <w:rPr>
          <w:rFonts w:ascii="Arial Black" w:hAnsi="Arial Black"/>
          <w:sz w:val="28"/>
          <w:szCs w:val="28"/>
        </w:rPr>
        <w:t>DAYS</w:t>
      </w:r>
      <w:r w:rsidR="00E8499A">
        <w:rPr>
          <w:rFonts w:ascii="Arial Black" w:hAnsi="Arial Black"/>
          <w:sz w:val="28"/>
          <w:szCs w:val="28"/>
        </w:rPr>
        <w:t xml:space="preserve"> – INC</w:t>
      </w:r>
      <w:r w:rsidR="00DC4A38">
        <w:rPr>
          <w:rFonts w:ascii="Arial Black" w:hAnsi="Arial Black"/>
          <w:sz w:val="28"/>
          <w:szCs w:val="28"/>
        </w:rPr>
        <w:t xml:space="preserve">LUDE AS </w:t>
      </w:r>
      <w:r w:rsidR="00515C56">
        <w:rPr>
          <w:rFonts w:ascii="Arial Black" w:hAnsi="Arial Black"/>
          <w:sz w:val="28"/>
          <w:szCs w:val="28"/>
        </w:rPr>
        <w:t>“REGULAR RATE</w:t>
      </w:r>
      <w:r w:rsidR="00E8499A">
        <w:rPr>
          <w:rFonts w:ascii="Arial Black" w:hAnsi="Arial Black"/>
          <w:sz w:val="28"/>
          <w:szCs w:val="28"/>
        </w:rPr>
        <w:t>”</w:t>
      </w:r>
    </w:p>
    <w:p w14:paraId="53B885B0" w14:textId="77777777" w:rsidR="0042214E" w:rsidRDefault="0042214E" w:rsidP="0042214E">
      <w:pPr>
        <w:pStyle w:val="NoSpacing"/>
        <w:ind w:left="720"/>
      </w:pPr>
    </w:p>
    <w:p w14:paraId="68EDA35A" w14:textId="77777777" w:rsidR="0042214E" w:rsidRDefault="0042214E" w:rsidP="0042214E">
      <w:pPr>
        <w:rPr>
          <w:b/>
        </w:rPr>
      </w:pPr>
      <w:r>
        <w:t xml:space="preserve">On September 30, 2025, the U.S. Department of Labor / Wage &amp; Hour Division issued Opinion Letter 2025-04, which concluded that the “emergency pay” bonus </w:t>
      </w:r>
      <w:r w:rsidRPr="00A221F2">
        <w:t>of one half the employee’s regular hourly rate of pay</w:t>
      </w:r>
      <w:r>
        <w:t xml:space="preserve"> </w:t>
      </w:r>
      <w:r w:rsidRPr="00A221F2">
        <w:t>for every hour worked during an “emergency period</w:t>
      </w:r>
      <w:r>
        <w:t xml:space="preserve">” is not a discretionary payment by the employer.  Since it must be paid, then employer must include the payments when calculating the firefighter’s “regular rate of pay” when working normal overtimes. </w:t>
      </w:r>
      <w:hyperlink r:id="rId1818" w:history="1">
        <w:r w:rsidRPr="000D68E6">
          <w:rPr>
            <w:rStyle w:val="Hyperlink"/>
            <w:b/>
          </w:rPr>
          <w:t>https://www.dol.gov/sites/dolgov/files/WHD/opinion-letters/FLSA/FLSA-2025-04.pdf</w:t>
        </w:r>
      </w:hyperlink>
      <w:r>
        <w:rPr>
          <w:b/>
        </w:rPr>
        <w:t xml:space="preserve"> </w:t>
      </w:r>
    </w:p>
    <w:p w14:paraId="7FA09B8B" w14:textId="77777777" w:rsidR="0042214E" w:rsidRDefault="0042214E" w:rsidP="0042214E">
      <w:pPr>
        <w:pStyle w:val="NoSpacing"/>
      </w:pPr>
    </w:p>
    <w:p w14:paraId="4F7C1A42" w14:textId="77777777" w:rsidR="0042214E" w:rsidRDefault="0042214E" w:rsidP="0042214E">
      <w:pPr>
        <w:pStyle w:val="NoSpacing"/>
      </w:pPr>
      <w:r>
        <w:t>THE OPINION CONCLUDED:</w:t>
      </w:r>
    </w:p>
    <w:p w14:paraId="67082C11" w14:textId="77777777" w:rsidR="0042214E" w:rsidRDefault="0042214E" w:rsidP="0042214E">
      <w:pPr>
        <w:pStyle w:val="NoSpacing"/>
      </w:pPr>
    </w:p>
    <w:p w14:paraId="3F8F7D10" w14:textId="77777777" w:rsidR="0042214E" w:rsidRDefault="0042214E" w:rsidP="0042214E">
      <w:pPr>
        <w:pStyle w:val="NoSpacing"/>
        <w:ind w:left="720"/>
      </w:pPr>
      <w:r>
        <w:t>“</w:t>
      </w:r>
      <w:r w:rsidRPr="00140178">
        <w:t>It is our opinion that, under the circumstances presented and limited to the specific facts set forth</w:t>
      </w:r>
      <w:r>
        <w:t xml:space="preserve"> </w:t>
      </w:r>
      <w:r w:rsidRPr="00140178">
        <w:t>in the request, the “emergency pay” is not excludable from the regular rate of pay because the fact</w:t>
      </w:r>
      <w:r>
        <w:t xml:space="preserve"> </w:t>
      </w:r>
      <w:r w:rsidRPr="00140178">
        <w:t>and amount of the payment are not within the sole discretion of the employer at or near the end of</w:t>
      </w:r>
      <w:r>
        <w:t xml:space="preserve"> </w:t>
      </w:r>
      <w:r w:rsidRPr="00140178">
        <w:t>the work period, and the pay does not otherwise fit within a statutory exclusion. Accordingly, the</w:t>
      </w:r>
      <w:r>
        <w:t xml:space="preserve"> </w:t>
      </w:r>
      <w:r w:rsidRPr="00140178">
        <w:t xml:space="preserve">employer at issue should include </w:t>
      </w:r>
      <w:r>
        <w:t>‘</w:t>
      </w:r>
      <w:r w:rsidRPr="00140178">
        <w:t>emergency pay</w:t>
      </w:r>
      <w:r>
        <w:t>’</w:t>
      </w:r>
      <w:r w:rsidRPr="00140178">
        <w:t xml:space="preserve"> earned for hours worked within the regular rate</w:t>
      </w:r>
      <w:r>
        <w:t xml:space="preserve"> </w:t>
      </w:r>
      <w:r w:rsidRPr="00140178">
        <w:t>for purposes of overtime premium calculations using the method described below.</w:t>
      </w:r>
    </w:p>
    <w:p w14:paraId="7EBDB66F" w14:textId="77777777" w:rsidR="0042214E" w:rsidRDefault="0042214E" w:rsidP="0042214E">
      <w:pPr>
        <w:pStyle w:val="NoSpacing"/>
        <w:ind w:left="720"/>
      </w:pPr>
    </w:p>
    <w:p w14:paraId="4F0CC88B" w14:textId="77777777" w:rsidR="0042214E" w:rsidRDefault="0042214E" w:rsidP="0042214E">
      <w:pPr>
        <w:pStyle w:val="NoSpacing"/>
        <w:ind w:left="720"/>
      </w:pPr>
      <w:r>
        <w:t>***</w:t>
      </w:r>
    </w:p>
    <w:p w14:paraId="38765F07" w14:textId="77777777" w:rsidR="0042214E" w:rsidRPr="00140178" w:rsidRDefault="0042214E" w:rsidP="0042214E">
      <w:pPr>
        <w:pStyle w:val="NoSpacing"/>
        <w:ind w:left="720"/>
      </w:pPr>
      <w:r>
        <w:t>The FLSA requires that three conditions be satisfied for a payment to qualify as an excludable discretionary bonus: (1) the fact and amount of the payment must be ‘determined at the sole discretion of the employer’; (2) the employer’s determination must occur ‘at or near the end of the period’ when the employee’s work was performed; and (3) the payment must not be made pursuant to ‘any prior contract, agreement, or promise’ causing employees to expect such payments regularly. 29 U.S.C. § 207(e)(3). Here, regardless of whether the city’s policy would constitute a prior contract, agreement, or promise, the first two conditions are not satisfied.”</w:t>
      </w:r>
    </w:p>
    <w:p w14:paraId="302863EA" w14:textId="77777777" w:rsidR="0042214E" w:rsidRDefault="0042214E" w:rsidP="0042214E">
      <w:pPr>
        <w:rPr>
          <w:b/>
        </w:rPr>
      </w:pPr>
    </w:p>
    <w:p w14:paraId="188DCFB8" w14:textId="58AB1A78" w:rsidR="0042214E" w:rsidRDefault="0042214E" w:rsidP="0042214E">
      <w:pPr>
        <w:rPr>
          <w:b/>
        </w:rPr>
      </w:pPr>
      <w:r>
        <w:rPr>
          <w:b/>
        </w:rPr>
        <w:t>Legal lesson learned: Consult with legal counsel prior to treat</w:t>
      </w:r>
      <w:r w:rsidR="00B973D2">
        <w:rPr>
          <w:b/>
        </w:rPr>
        <w:t>ing</w:t>
      </w:r>
      <w:r>
        <w:rPr>
          <w:b/>
        </w:rPr>
        <w:t xml:space="preserve"> any bonus payments as “excludable discretionary bonuses. ” </w:t>
      </w:r>
    </w:p>
    <w:p w14:paraId="136672CE" w14:textId="77777777" w:rsidR="0042214E" w:rsidRPr="00B00F68" w:rsidRDefault="0042214E" w:rsidP="0042214E">
      <w:pPr>
        <w:ind w:left="720"/>
        <w:rPr>
          <w:bCs/>
        </w:rPr>
      </w:pPr>
      <w:r w:rsidRPr="00B00F68">
        <w:t xml:space="preserve">Note: See FLSA Fact Sheet #56C, December 2019 for examples of bonuses thar may be excludable discretionary bonus. </w:t>
      </w:r>
      <w:hyperlink r:id="rId1819" w:history="1">
        <w:r w:rsidRPr="00D443D2">
          <w:rPr>
            <w:rStyle w:val="Hyperlink"/>
          </w:rPr>
          <w:t>https://www.dol.gov/agencies/whd/fact-sheets/56c-bonuses</w:t>
        </w:r>
      </w:hyperlink>
      <w:r>
        <w:t xml:space="preserve"> </w:t>
      </w:r>
    </w:p>
    <w:p w14:paraId="5C4EFBB6" w14:textId="77777777" w:rsidR="0042214E" w:rsidRPr="00236419" w:rsidRDefault="0042214E" w:rsidP="0042214E">
      <w:pPr>
        <w:ind w:left="720"/>
        <w:rPr>
          <w:bCs/>
        </w:rPr>
      </w:pPr>
      <w:r w:rsidRPr="00B00F68">
        <w:t>“</w:t>
      </w:r>
      <w:r w:rsidRPr="00236419">
        <w:t xml:space="preserve">Examples of some common bonuses that may be excludable discretionary bonuses if they meet the statutory requirements include: </w:t>
      </w:r>
    </w:p>
    <w:p w14:paraId="5D1B5BC4" w14:textId="77777777" w:rsidR="0042214E" w:rsidRPr="00236419" w:rsidRDefault="0042214E" w:rsidP="0042214E">
      <w:pPr>
        <w:numPr>
          <w:ilvl w:val="0"/>
          <w:numId w:val="38"/>
        </w:numPr>
        <w:spacing w:after="160" w:line="259" w:lineRule="auto"/>
        <w:rPr>
          <w:bCs/>
        </w:rPr>
      </w:pPr>
      <w:r w:rsidRPr="00236419">
        <w:t xml:space="preserve">Bonuses for overcoming a challenging or stressful situation; </w:t>
      </w:r>
    </w:p>
    <w:p w14:paraId="7D9C688F" w14:textId="77777777" w:rsidR="0042214E" w:rsidRPr="00236419" w:rsidRDefault="0042214E" w:rsidP="0042214E">
      <w:pPr>
        <w:numPr>
          <w:ilvl w:val="0"/>
          <w:numId w:val="38"/>
        </w:numPr>
        <w:spacing w:after="160" w:line="259" w:lineRule="auto"/>
        <w:rPr>
          <w:bCs/>
        </w:rPr>
      </w:pPr>
      <w:r w:rsidRPr="00236419">
        <w:t xml:space="preserve">Bonuses to employees who made unique or extraordinary efforts not awarded according to pre-established criteria; </w:t>
      </w:r>
    </w:p>
    <w:p w14:paraId="7464278A" w14:textId="77777777" w:rsidR="0042214E" w:rsidRPr="00236419" w:rsidRDefault="0042214E" w:rsidP="0042214E">
      <w:pPr>
        <w:numPr>
          <w:ilvl w:val="0"/>
          <w:numId w:val="38"/>
        </w:numPr>
        <w:spacing w:after="160" w:line="259" w:lineRule="auto"/>
        <w:rPr>
          <w:bCs/>
        </w:rPr>
      </w:pPr>
      <w:r w:rsidRPr="00236419">
        <w:t xml:space="preserve">Employee-of-the-month bonuses; </w:t>
      </w:r>
    </w:p>
    <w:p w14:paraId="414DC10F" w14:textId="77777777" w:rsidR="0042214E" w:rsidRPr="00236419" w:rsidRDefault="0042214E" w:rsidP="0042214E">
      <w:pPr>
        <w:numPr>
          <w:ilvl w:val="0"/>
          <w:numId w:val="38"/>
        </w:numPr>
        <w:spacing w:after="160" w:line="259" w:lineRule="auto"/>
        <w:rPr>
          <w:bCs/>
        </w:rPr>
      </w:pPr>
      <w:r w:rsidRPr="00236419">
        <w:t>Severance bonuses</w:t>
      </w:r>
      <w:r>
        <w:t xml:space="preserve">.” </w:t>
      </w:r>
    </w:p>
    <w:p w14:paraId="399DF0D8" w14:textId="19EB5095" w:rsidR="00020106" w:rsidRDefault="00020106" w:rsidP="00020106">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62</w:t>
      </w:r>
    </w:p>
    <w:p w14:paraId="6F370D07" w14:textId="15FAFC7E" w:rsidR="00A67DBF" w:rsidRPr="001E472F" w:rsidRDefault="00A67DBF" w:rsidP="00A67DBF">
      <w:pPr>
        <w:rPr>
          <w:rFonts w:ascii="Arial Black" w:hAnsi="Arial Black"/>
          <w:b/>
          <w:sz w:val="28"/>
          <w:szCs w:val="28"/>
        </w:rPr>
      </w:pPr>
      <w:r>
        <w:rPr>
          <w:rFonts w:ascii="Arial Black" w:hAnsi="Arial Black"/>
          <w:b/>
          <w:sz w:val="28"/>
          <w:szCs w:val="28"/>
        </w:rPr>
        <w:t>OK: SHIFT DIFFERENTIAL – OT RATE - $350K SETTLEMENT</w:t>
      </w:r>
    </w:p>
    <w:p w14:paraId="07ECAA33" w14:textId="2DFBAA53" w:rsidR="009C7451" w:rsidRPr="00F74343" w:rsidRDefault="00A67DBF" w:rsidP="00A67DBF">
      <w:pPr>
        <w:rPr>
          <w:rFonts w:ascii="Times New Roman" w:hAnsi="Times New Roman"/>
          <w:b/>
          <w:sz w:val="24"/>
          <w:szCs w:val="24"/>
        </w:rPr>
      </w:pPr>
      <w:r w:rsidRPr="00F74343">
        <w:rPr>
          <w:rFonts w:ascii="Times New Roman" w:hAnsi="Times New Roman"/>
          <w:sz w:val="24"/>
          <w:szCs w:val="24"/>
        </w:rPr>
        <w:t xml:space="preserve">On June 23, 2025, in </w:t>
      </w:r>
      <w:r w:rsidRPr="00F74343">
        <w:rPr>
          <w:rFonts w:ascii="Times New Roman" w:hAnsi="Times New Roman"/>
          <w:sz w:val="24"/>
          <w:szCs w:val="24"/>
          <w:u w:val="single"/>
        </w:rPr>
        <w:t>Jerry Sherley v. Muskogee County EMS</w:t>
      </w:r>
      <w:r w:rsidRPr="00F74343">
        <w:rPr>
          <w:rFonts w:ascii="Times New Roman" w:hAnsi="Times New Roman"/>
          <w:sz w:val="24"/>
          <w:szCs w:val="24"/>
        </w:rPr>
        <w:t xml:space="preserve">, U.S. District Court Judge John F. Heil, III, United States District Court for Eastern District of Oklahoma, approved a settlement agreement for EMTs employed by the County who received an hourly wage plus shift differential pay and who worked more than 40 hours in a workweek between July 18, </w:t>
      </w:r>
      <w:proofErr w:type="gramStart"/>
      <w:r w:rsidRPr="00F74343">
        <w:rPr>
          <w:rFonts w:ascii="Times New Roman" w:hAnsi="Times New Roman"/>
          <w:sz w:val="24"/>
          <w:szCs w:val="24"/>
        </w:rPr>
        <w:t>2020</w:t>
      </w:r>
      <w:proofErr w:type="gramEnd"/>
      <w:r w:rsidRPr="00F74343">
        <w:rPr>
          <w:rFonts w:ascii="Times New Roman" w:hAnsi="Times New Roman"/>
          <w:sz w:val="24"/>
          <w:szCs w:val="24"/>
        </w:rPr>
        <w:t xml:space="preserve"> to October 31, 2023.  The gross settlement amount of $350,000 (including </w:t>
      </w:r>
      <w:proofErr w:type="gramStart"/>
      <w:r w:rsidRPr="00F74343">
        <w:rPr>
          <w:rFonts w:ascii="Times New Roman" w:hAnsi="Times New Roman"/>
          <w:sz w:val="24"/>
          <w:szCs w:val="24"/>
        </w:rPr>
        <w:t>attorney's</w:t>
      </w:r>
      <w:proofErr w:type="gramEnd"/>
      <w:r w:rsidRPr="00F74343">
        <w:rPr>
          <w:rFonts w:ascii="Times New Roman" w:hAnsi="Times New Roman"/>
          <w:sz w:val="24"/>
          <w:szCs w:val="24"/>
        </w:rPr>
        <w:t xml:space="preserve"> fees and costs, as well as administration expenses) for up to 130 putative class members. Based on the amount of the settlement and the number of class members [78 EMS] opting into the settlement, members of the class will receive more than 200% of their unpaid wages.  THE COURT HELD: “Here, the standard for final certification is met. As to the first factor, there are no ‘disparate and factual employment settings’ that would preclude collective treatment because all the members of the Settlement Class were subject to MCEMS's policy of failing to include shift ‘differential’ pay when calculating overtime rates.” </w:t>
      </w:r>
      <w:hyperlink r:id="rId1820" w:history="1">
        <w:r w:rsidRPr="00F74343">
          <w:rPr>
            <w:rStyle w:val="Hyperlink"/>
            <w:rFonts w:ascii="Times New Roman" w:hAnsi="Times New Roman"/>
            <w:sz w:val="24"/>
            <w:szCs w:val="24"/>
          </w:rPr>
          <w:t>https://cases.justia.com/federal/district-courts/oklahoma/okedce/6:2023cv00241/34830/33/0.pdf?ts=1732294058</w:t>
        </w:r>
      </w:hyperlink>
    </w:p>
    <w:p w14:paraId="26A7C4B1" w14:textId="77777777" w:rsidR="00F74343" w:rsidRPr="00F74343" w:rsidRDefault="00F74343" w:rsidP="00F74343">
      <w:pPr>
        <w:rPr>
          <w:rFonts w:ascii="Times New Roman" w:hAnsi="Times New Roman"/>
          <w:b/>
          <w:bCs/>
          <w:sz w:val="24"/>
          <w:szCs w:val="24"/>
        </w:rPr>
      </w:pPr>
      <w:r w:rsidRPr="00F74343">
        <w:rPr>
          <w:rFonts w:ascii="Times New Roman" w:hAnsi="Times New Roman"/>
          <w:b/>
          <w:sz w:val="24"/>
          <w:szCs w:val="24"/>
        </w:rPr>
        <w:t xml:space="preserve">Legal lesson learned: Fire &amp; EMS employers should carefully review FLSA regulations on how shift differential pay and other incentive pay (such as paramedic pay) can impact an employee’s “regular rate of pay.” </w:t>
      </w:r>
    </w:p>
    <w:p w14:paraId="0D3193FE" w14:textId="77777777" w:rsidR="00F74343" w:rsidRPr="00F74343" w:rsidRDefault="00F74343" w:rsidP="00F74343">
      <w:pPr>
        <w:ind w:left="720"/>
        <w:rPr>
          <w:rFonts w:ascii="Times New Roman" w:hAnsi="Times New Roman"/>
          <w:sz w:val="24"/>
          <w:szCs w:val="24"/>
        </w:rPr>
      </w:pPr>
      <w:r w:rsidRPr="00F74343">
        <w:rPr>
          <w:rFonts w:ascii="Times New Roman" w:hAnsi="Times New Roman"/>
          <w:sz w:val="24"/>
          <w:szCs w:val="24"/>
        </w:rPr>
        <w:t xml:space="preserve">Note: See this article, “Wage and Hour Watch: Regular Rate of Pay Primer for Employers.” March 4, 2024. </w:t>
      </w:r>
      <w:hyperlink r:id="rId1821" w:history="1">
        <w:r w:rsidRPr="00F74343">
          <w:rPr>
            <w:rStyle w:val="Hyperlink"/>
            <w:rFonts w:ascii="Times New Roman" w:hAnsi="Times New Roman"/>
            <w:sz w:val="24"/>
            <w:szCs w:val="24"/>
          </w:rPr>
          <w:t>https://natlawreview.com/article/wage-and-hour-watch-regular-rate-pay-primer-employers</w:t>
        </w:r>
      </w:hyperlink>
      <w:r w:rsidRPr="00F74343">
        <w:rPr>
          <w:rFonts w:ascii="Times New Roman" w:hAnsi="Times New Roman"/>
          <w:sz w:val="24"/>
          <w:szCs w:val="24"/>
        </w:rPr>
        <w:t xml:space="preserve"> </w:t>
      </w:r>
    </w:p>
    <w:p w14:paraId="42073B02" w14:textId="77777777" w:rsidR="00F74343" w:rsidRPr="00F74343" w:rsidRDefault="00F74343" w:rsidP="00F74343">
      <w:pPr>
        <w:ind w:left="1440"/>
        <w:rPr>
          <w:rFonts w:ascii="Times New Roman" w:hAnsi="Times New Roman"/>
          <w:sz w:val="24"/>
          <w:szCs w:val="24"/>
        </w:rPr>
      </w:pPr>
      <w:r w:rsidRPr="00F74343">
        <w:rPr>
          <w:rFonts w:ascii="Times New Roman" w:hAnsi="Times New Roman"/>
          <w:sz w:val="24"/>
          <w:szCs w:val="24"/>
        </w:rPr>
        <w:t xml:space="preserve">“If an employee’s base hourly rate is $16 per hour, but the employee receives a 50 cent per hour shift differential for working certain shifts, such shift differential should be included in the employee’s regular rate of pay, and thus, the overtime calculation. So, in this example, if an employee worked 46 hours in a work </w:t>
      </w:r>
      <w:proofErr w:type="gramStart"/>
      <w:r w:rsidRPr="00F74343">
        <w:rPr>
          <w:rFonts w:ascii="Times New Roman" w:hAnsi="Times New Roman"/>
          <w:sz w:val="24"/>
          <w:szCs w:val="24"/>
        </w:rPr>
        <w:t>week, and</w:t>
      </w:r>
      <w:proofErr w:type="gramEnd"/>
      <w:r w:rsidRPr="00F74343">
        <w:rPr>
          <w:rFonts w:ascii="Times New Roman" w:hAnsi="Times New Roman"/>
          <w:sz w:val="24"/>
          <w:szCs w:val="24"/>
        </w:rPr>
        <w:t xml:space="preserve"> was paid the shift differential for six of those hours, the employee's overtime rate is not $24 per hour, it is $24.10.”</w:t>
      </w:r>
    </w:p>
    <w:p w14:paraId="3CA10362" w14:textId="2A6F9D5C" w:rsidR="009C7451" w:rsidRPr="00F74343" w:rsidRDefault="00F74343" w:rsidP="00F74343">
      <w:pPr>
        <w:ind w:left="720"/>
        <w:rPr>
          <w:rFonts w:ascii="Times New Roman" w:hAnsi="Times New Roman"/>
          <w:b/>
          <w:sz w:val="24"/>
          <w:szCs w:val="24"/>
        </w:rPr>
      </w:pPr>
      <w:r w:rsidRPr="00F74343">
        <w:rPr>
          <w:rFonts w:ascii="Times New Roman" w:hAnsi="Times New Roman"/>
          <w:sz w:val="24"/>
          <w:szCs w:val="24"/>
        </w:rPr>
        <w:t xml:space="preserve">See also: Fact Sheet #56A: Overview of the Regular Rate of Pay Under the Fair Labor Standards Act (FLSA). </w:t>
      </w:r>
      <w:hyperlink r:id="rId1822" w:history="1">
        <w:r w:rsidRPr="00F74343">
          <w:rPr>
            <w:rStyle w:val="Hyperlink"/>
            <w:rFonts w:ascii="Times New Roman" w:hAnsi="Times New Roman"/>
            <w:sz w:val="24"/>
            <w:szCs w:val="24"/>
          </w:rPr>
          <w:t>https://www.dol.gov/agencies/whd/fact-sheets/56a-regular-rate</w:t>
        </w:r>
      </w:hyperlink>
    </w:p>
    <w:p w14:paraId="41561DE1" w14:textId="77777777" w:rsidR="009C7451" w:rsidRDefault="009C7451" w:rsidP="00F326E5">
      <w:pPr>
        <w:rPr>
          <w:rFonts w:ascii="Arial Black" w:hAnsi="Arial Black"/>
          <w:b/>
          <w:sz w:val="24"/>
          <w:szCs w:val="24"/>
        </w:rPr>
      </w:pPr>
    </w:p>
    <w:p w14:paraId="0072E330" w14:textId="11D705E6" w:rsidR="00020106" w:rsidRDefault="00020106" w:rsidP="00020106">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61</w:t>
      </w:r>
    </w:p>
    <w:p w14:paraId="0F288793" w14:textId="2A55A3FA" w:rsidR="00EB050B" w:rsidRPr="00EA5A43" w:rsidRDefault="00EB050B" w:rsidP="00EB050B">
      <w:pPr>
        <w:rPr>
          <w:rFonts w:ascii="Arial Black" w:hAnsi="Arial Black"/>
          <w:b/>
          <w:sz w:val="28"/>
          <w:szCs w:val="28"/>
        </w:rPr>
      </w:pPr>
      <w:r>
        <w:rPr>
          <w:rFonts w:ascii="Arial Black" w:hAnsi="Arial Black"/>
          <w:b/>
          <w:sz w:val="28"/>
          <w:szCs w:val="28"/>
        </w:rPr>
        <w:t xml:space="preserve">MN: EMS “ON CALL” - 8-MIN </w:t>
      </w:r>
      <w:r w:rsidR="006E0471">
        <w:rPr>
          <w:rFonts w:ascii="Arial Black" w:hAnsi="Arial Black"/>
          <w:b/>
          <w:sz w:val="28"/>
          <w:szCs w:val="28"/>
        </w:rPr>
        <w:t xml:space="preserve">REQ. </w:t>
      </w:r>
      <w:r>
        <w:rPr>
          <w:rFonts w:ascii="Arial Black" w:hAnsi="Arial Black"/>
          <w:b/>
          <w:sz w:val="28"/>
          <w:szCs w:val="28"/>
        </w:rPr>
        <w:t>RESP</w:t>
      </w:r>
      <w:r w:rsidR="006E0471">
        <w:rPr>
          <w:rFonts w:ascii="Arial Black" w:hAnsi="Arial Black"/>
          <w:b/>
          <w:sz w:val="28"/>
          <w:szCs w:val="28"/>
        </w:rPr>
        <w:t>ONSE</w:t>
      </w:r>
      <w:r>
        <w:rPr>
          <w:rFonts w:ascii="Arial Black" w:hAnsi="Arial Black"/>
          <w:b/>
          <w:sz w:val="28"/>
          <w:szCs w:val="28"/>
        </w:rPr>
        <w:t xml:space="preserve"> TIME </w:t>
      </w:r>
      <w:r w:rsidR="00292532">
        <w:rPr>
          <w:rFonts w:ascii="Arial Black" w:hAnsi="Arial Black"/>
          <w:b/>
          <w:sz w:val="28"/>
          <w:szCs w:val="28"/>
        </w:rPr>
        <w:t>–</w:t>
      </w:r>
      <w:r w:rsidR="00B82986">
        <w:rPr>
          <w:rFonts w:ascii="Arial Black" w:hAnsi="Arial Black"/>
          <w:b/>
          <w:sz w:val="28"/>
          <w:szCs w:val="28"/>
        </w:rPr>
        <w:t xml:space="preserve"> </w:t>
      </w:r>
      <w:r w:rsidR="00292532">
        <w:rPr>
          <w:rFonts w:ascii="Arial Black" w:hAnsi="Arial Black"/>
          <w:b/>
          <w:sz w:val="28"/>
          <w:szCs w:val="28"/>
        </w:rPr>
        <w:t xml:space="preserve">GRANTED </w:t>
      </w:r>
      <w:r>
        <w:rPr>
          <w:rFonts w:ascii="Arial Black" w:hAnsi="Arial Black"/>
          <w:b/>
          <w:sz w:val="28"/>
          <w:szCs w:val="28"/>
        </w:rPr>
        <w:t>CLASS ACTION</w:t>
      </w:r>
      <w:r w:rsidR="00F41FAA">
        <w:rPr>
          <w:rFonts w:ascii="Arial Black" w:hAnsi="Arial Black"/>
          <w:b/>
          <w:sz w:val="28"/>
          <w:szCs w:val="28"/>
        </w:rPr>
        <w:t xml:space="preserve"> </w:t>
      </w:r>
    </w:p>
    <w:p w14:paraId="65718A44" w14:textId="20E5D6F7" w:rsidR="009C7451" w:rsidRPr="004C756A" w:rsidRDefault="00EB050B" w:rsidP="00EB050B">
      <w:pPr>
        <w:rPr>
          <w:rFonts w:ascii="Times New Roman" w:hAnsi="Times New Roman"/>
          <w:sz w:val="24"/>
          <w:szCs w:val="24"/>
        </w:rPr>
      </w:pPr>
      <w:r w:rsidRPr="004C756A">
        <w:rPr>
          <w:rFonts w:ascii="Times New Roman" w:hAnsi="Times New Roman"/>
          <w:sz w:val="24"/>
          <w:szCs w:val="24"/>
        </w:rPr>
        <w:t xml:space="preserve">On June 20, 2025, in </w:t>
      </w:r>
      <w:r w:rsidRPr="004C756A">
        <w:rPr>
          <w:rFonts w:ascii="Times New Roman" w:hAnsi="Times New Roman"/>
          <w:sz w:val="24"/>
          <w:szCs w:val="24"/>
          <w:u w:val="single"/>
        </w:rPr>
        <w:t>Jason Johnson, individually and on behalf of all others similarly situated v, North Memorial Health Care</w:t>
      </w:r>
      <w:r w:rsidRPr="004C756A">
        <w:rPr>
          <w:rFonts w:ascii="Times New Roman" w:hAnsi="Times New Roman"/>
          <w:sz w:val="24"/>
          <w:szCs w:val="24"/>
        </w:rPr>
        <w:t xml:space="preserve">,  U.S. District Court Chief Judge Patrick J. Schiltz, United States District Court for the District of Minnesota, granted the motion to certify a class action on behalf of 120 paramedics and EMTs who have agreed to join in the lawsuit. The EMS plaintiffs claim that the 8-minute response time requirement, in uniform, when they were scheduled to be “on call” from home so impacts their personal time they are entitled to their regular hourly pay rate (not just $4 per hour). THE COURT HELD: “Here, the EMTs were all subject to the same policies that, they contend, significantly restricted their ability to spend on-call time on personal pursuits. In particular, the EMTs were required, while on call, to be </w:t>
      </w:r>
      <w:proofErr w:type="spellStart"/>
      <w:r w:rsidRPr="004C756A">
        <w:rPr>
          <w:rFonts w:ascii="Times New Roman" w:hAnsi="Times New Roman"/>
          <w:sz w:val="24"/>
          <w:szCs w:val="24"/>
        </w:rPr>
        <w:t>en</w:t>
      </w:r>
      <w:proofErr w:type="spellEnd"/>
      <w:r w:rsidRPr="004C756A">
        <w:rPr>
          <w:rFonts w:ascii="Times New Roman" w:hAnsi="Times New Roman"/>
          <w:sz w:val="24"/>
          <w:szCs w:val="24"/>
        </w:rPr>
        <w:t xml:space="preserve"> route to calls within eight minutes of receiving a notification; to be in uniform or similar appropriate dress when responding to calls; and to refrain from using alcohol or other mind-altering substances while on call. Likewise, the EMTs were all subject to the same allegedly illegal policies in that they were all paid less than minimum wage for on-call hours (except when responding to calls) and those hours were not included in determining their entitlement to overtime pay. </w:t>
      </w:r>
      <w:proofErr w:type="gramStart"/>
      <w:r w:rsidRPr="004C756A">
        <w:rPr>
          <w:rFonts w:ascii="Times New Roman" w:hAnsi="Times New Roman"/>
          <w:sz w:val="24"/>
          <w:szCs w:val="24"/>
        </w:rPr>
        <w:t>All of</w:t>
      </w:r>
      <w:proofErr w:type="gramEnd"/>
      <w:r w:rsidRPr="004C756A">
        <w:rPr>
          <w:rFonts w:ascii="Times New Roman" w:hAnsi="Times New Roman"/>
          <w:sz w:val="24"/>
          <w:szCs w:val="24"/>
        </w:rPr>
        <w:t xml:space="preserve"> these commonalities suggest that collective adjudication is appropriate in this case.”  </w:t>
      </w:r>
      <w:hyperlink r:id="rId1823" w:history="1">
        <w:r w:rsidRPr="004C756A">
          <w:rPr>
            <w:rStyle w:val="Hyperlink"/>
            <w:rFonts w:ascii="Times New Roman" w:hAnsi="Times New Roman"/>
            <w:sz w:val="24"/>
            <w:szCs w:val="24"/>
          </w:rPr>
          <w:t>https://cases.justia.com/federal/district-courts/minnesota/mndce/0:2023cv01780/208467/146/0.pdf?ts=1750499803</w:t>
        </w:r>
      </w:hyperlink>
    </w:p>
    <w:p w14:paraId="5BD3662F" w14:textId="77777777" w:rsidR="004C756A" w:rsidRPr="004C756A" w:rsidRDefault="00D168B5" w:rsidP="004C756A">
      <w:pPr>
        <w:rPr>
          <w:rFonts w:ascii="Times New Roman" w:hAnsi="Times New Roman"/>
          <w:sz w:val="24"/>
          <w:szCs w:val="24"/>
        </w:rPr>
      </w:pPr>
      <w:r w:rsidRPr="004C756A">
        <w:rPr>
          <w:rFonts w:ascii="Times New Roman" w:hAnsi="Times New Roman"/>
          <w:b/>
          <w:sz w:val="24"/>
          <w:szCs w:val="24"/>
        </w:rPr>
        <w:t xml:space="preserve">Leegal lesson learned: Plaintiffs may now proceed with class action trial; “on call” policies requiring rapid response from home have been the subject of several cases around the nation. </w:t>
      </w:r>
      <w:r w:rsidRPr="004C756A">
        <w:rPr>
          <w:rFonts w:ascii="Times New Roman" w:hAnsi="Times New Roman"/>
          <w:b/>
          <w:sz w:val="24"/>
          <w:szCs w:val="24"/>
        </w:rPr>
        <w:br/>
      </w:r>
    </w:p>
    <w:p w14:paraId="6E0D6360" w14:textId="4370DCCC" w:rsidR="00541D60" w:rsidRPr="004C756A" w:rsidRDefault="00D168B5" w:rsidP="00D168B5">
      <w:pPr>
        <w:ind w:left="720"/>
        <w:rPr>
          <w:rFonts w:ascii="Times New Roman" w:hAnsi="Times New Roman"/>
          <w:bCs/>
          <w:sz w:val="24"/>
          <w:szCs w:val="24"/>
        </w:rPr>
      </w:pPr>
      <w:r w:rsidRPr="004C756A">
        <w:rPr>
          <w:rFonts w:ascii="Times New Roman" w:hAnsi="Times New Roman"/>
          <w:sz w:val="24"/>
          <w:szCs w:val="24"/>
        </w:rPr>
        <w:t>N</w:t>
      </w:r>
      <w:r w:rsidR="00541D60" w:rsidRPr="004C756A">
        <w:rPr>
          <w:rFonts w:ascii="Times New Roman" w:hAnsi="Times New Roman"/>
          <w:sz w:val="24"/>
          <w:szCs w:val="24"/>
        </w:rPr>
        <w:t xml:space="preserve">ote: See U.S. Department of Labor - Fact Sheet #22: Hours Worked Under the Fair Labor Standards Act (FLSA) – July 2008. </w:t>
      </w:r>
      <w:hyperlink r:id="rId1824" w:history="1">
        <w:r w:rsidR="00541D60" w:rsidRPr="004C756A">
          <w:rPr>
            <w:rStyle w:val="Hyperlink"/>
            <w:rFonts w:ascii="Times New Roman" w:hAnsi="Times New Roman"/>
            <w:sz w:val="24"/>
            <w:szCs w:val="24"/>
          </w:rPr>
          <w:t>https://www.dol.gov/agencies/whd/fact-sheets/22-flsa-hours-worked</w:t>
        </w:r>
      </w:hyperlink>
      <w:r w:rsidR="00541D60" w:rsidRPr="004C756A">
        <w:rPr>
          <w:rFonts w:ascii="Times New Roman" w:hAnsi="Times New Roman"/>
          <w:sz w:val="24"/>
          <w:szCs w:val="24"/>
        </w:rPr>
        <w:t xml:space="preserve"> </w:t>
      </w:r>
    </w:p>
    <w:p w14:paraId="12AA4BB2" w14:textId="77777777" w:rsidR="00541D60" w:rsidRPr="004C756A" w:rsidRDefault="00541D60" w:rsidP="00541D60">
      <w:pPr>
        <w:ind w:left="1440"/>
        <w:rPr>
          <w:rFonts w:ascii="Times New Roman" w:hAnsi="Times New Roman"/>
          <w:bCs/>
          <w:sz w:val="24"/>
          <w:szCs w:val="24"/>
        </w:rPr>
      </w:pPr>
      <w:r w:rsidRPr="004C756A">
        <w:rPr>
          <w:rFonts w:ascii="Times New Roman" w:hAnsi="Times New Roman"/>
          <w:sz w:val="24"/>
          <w:szCs w:val="24"/>
        </w:rPr>
        <w:t>“On-Call Time:</w:t>
      </w:r>
      <w:r w:rsidRPr="004C756A">
        <w:rPr>
          <w:rFonts w:ascii="Times New Roman" w:hAnsi="Times New Roman"/>
          <w:bCs/>
          <w:sz w:val="24"/>
          <w:szCs w:val="24"/>
        </w:rPr>
        <w:t xml:space="preserve"> </w:t>
      </w:r>
      <w:r w:rsidRPr="004C756A">
        <w:rPr>
          <w:rFonts w:ascii="Times New Roman" w:hAnsi="Times New Roman"/>
          <w:sz w:val="24"/>
          <w:szCs w:val="24"/>
        </w:rPr>
        <w:t xml:space="preserve">An employee who is required to remain on call on the employer's premises is working while ‘on call.’ An employee who is required to remain </w:t>
      </w:r>
      <w:proofErr w:type="gramStart"/>
      <w:r w:rsidRPr="004C756A">
        <w:rPr>
          <w:rFonts w:ascii="Times New Roman" w:hAnsi="Times New Roman"/>
          <w:sz w:val="24"/>
          <w:szCs w:val="24"/>
        </w:rPr>
        <w:t>on call at home</w:t>
      </w:r>
      <w:proofErr w:type="gramEnd"/>
      <w:r w:rsidRPr="004C756A">
        <w:rPr>
          <w:rFonts w:ascii="Times New Roman" w:hAnsi="Times New Roman"/>
          <w:sz w:val="24"/>
          <w:szCs w:val="24"/>
        </w:rPr>
        <w:t xml:space="preserve">, or who is allowed to leave a message where he/she can be reached, is not working (in most cases) while on call. Additional constraints on the employee's freedom could require this time to be </w:t>
      </w:r>
      <w:proofErr w:type="gramStart"/>
      <w:r w:rsidRPr="004C756A">
        <w:rPr>
          <w:rFonts w:ascii="Times New Roman" w:hAnsi="Times New Roman"/>
          <w:sz w:val="24"/>
          <w:szCs w:val="24"/>
        </w:rPr>
        <w:t>compensated.”</w:t>
      </w:r>
      <w:proofErr w:type="gramEnd"/>
    </w:p>
    <w:p w14:paraId="606ECAC9" w14:textId="26E57147" w:rsidR="00541D60" w:rsidRPr="004C756A" w:rsidRDefault="00541D60" w:rsidP="004C756A">
      <w:pPr>
        <w:ind w:left="720"/>
        <w:rPr>
          <w:rFonts w:ascii="Times New Roman" w:hAnsi="Times New Roman"/>
          <w:sz w:val="24"/>
          <w:szCs w:val="24"/>
        </w:rPr>
      </w:pPr>
      <w:r w:rsidRPr="004C756A">
        <w:rPr>
          <w:rFonts w:ascii="Times New Roman" w:hAnsi="Times New Roman"/>
          <w:sz w:val="24"/>
          <w:szCs w:val="24"/>
        </w:rPr>
        <w:t xml:space="preserve">See also May 23, </w:t>
      </w:r>
      <w:proofErr w:type="gramStart"/>
      <w:r w:rsidRPr="004C756A">
        <w:rPr>
          <w:rFonts w:ascii="Times New Roman" w:hAnsi="Times New Roman"/>
          <w:sz w:val="24"/>
          <w:szCs w:val="24"/>
        </w:rPr>
        <w:t>2008</w:t>
      </w:r>
      <w:proofErr w:type="gramEnd"/>
      <w:r w:rsidRPr="004C756A">
        <w:rPr>
          <w:rFonts w:ascii="Times New Roman" w:hAnsi="Times New Roman"/>
          <w:sz w:val="24"/>
          <w:szCs w:val="24"/>
        </w:rPr>
        <w:t xml:space="preserve"> U.S. Department of Labor – Opinion Letter FLSA2008-8NA, </w:t>
      </w:r>
      <w:hyperlink r:id="rId1825" w:history="1">
        <w:r w:rsidR="004C756A" w:rsidRPr="004C44CA">
          <w:rPr>
            <w:rStyle w:val="Hyperlink"/>
            <w:rFonts w:ascii="Times New Roman" w:hAnsi="Times New Roman"/>
            <w:sz w:val="24"/>
            <w:szCs w:val="24"/>
          </w:rPr>
          <w:t>https://www.dol.gov/sites/dolgov/files/WHD/legacy/files/2008_05_23_08NA_FLSA.pdf</w:t>
        </w:r>
      </w:hyperlink>
    </w:p>
    <w:p w14:paraId="1FF0A597" w14:textId="77777777" w:rsidR="00541D60" w:rsidRDefault="00541D60" w:rsidP="00EB050B">
      <w:pPr>
        <w:rPr>
          <w:rFonts w:ascii="Arial Black" w:hAnsi="Arial Black"/>
          <w:b/>
          <w:sz w:val="24"/>
          <w:szCs w:val="24"/>
        </w:rPr>
      </w:pPr>
    </w:p>
    <w:p w14:paraId="1FC3D304" w14:textId="4B3905E6" w:rsidR="00B92F73" w:rsidRDefault="00F616CC" w:rsidP="00F326E5">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60</w:t>
      </w:r>
    </w:p>
    <w:p w14:paraId="629D6975" w14:textId="1485DD0B" w:rsidR="00AB14AC" w:rsidRPr="006F2B87" w:rsidRDefault="00AB14AC" w:rsidP="00AB14AC">
      <w:pPr>
        <w:pStyle w:val="NoSpacing"/>
        <w:rPr>
          <w:rFonts w:ascii="Arial Black" w:hAnsi="Arial Black"/>
          <w:b/>
          <w:bCs/>
          <w:sz w:val="28"/>
          <w:szCs w:val="28"/>
        </w:rPr>
      </w:pPr>
      <w:r w:rsidRPr="006F2B87">
        <w:rPr>
          <w:rFonts w:ascii="Arial Black" w:hAnsi="Arial Black"/>
          <w:b/>
          <w:sz w:val="28"/>
          <w:szCs w:val="28"/>
        </w:rPr>
        <w:t>MA: FLSA –</w:t>
      </w:r>
      <w:r w:rsidR="0094704B">
        <w:rPr>
          <w:rFonts w:ascii="Arial Black" w:hAnsi="Arial Black"/>
          <w:b/>
          <w:sz w:val="28"/>
          <w:szCs w:val="28"/>
        </w:rPr>
        <w:t xml:space="preserve"> </w:t>
      </w:r>
      <w:r w:rsidRPr="006F2B87">
        <w:rPr>
          <w:rFonts w:ascii="Arial Black" w:hAnsi="Arial Black"/>
          <w:b/>
          <w:sz w:val="28"/>
          <w:szCs w:val="28"/>
        </w:rPr>
        <w:t>TOWN AGREES TO CHANGES</w:t>
      </w:r>
      <w:r>
        <w:rPr>
          <w:rFonts w:ascii="Arial Black" w:hAnsi="Arial Black"/>
          <w:b/>
          <w:sz w:val="28"/>
          <w:szCs w:val="28"/>
        </w:rPr>
        <w:t xml:space="preserve"> - D/C STILL EXEMPT</w:t>
      </w:r>
    </w:p>
    <w:p w14:paraId="4BE3A40A" w14:textId="77777777" w:rsidR="00AB14AC" w:rsidRDefault="00AB14AC" w:rsidP="00AB14AC">
      <w:pPr>
        <w:pStyle w:val="NoSpacing"/>
        <w:rPr>
          <w:bCs/>
        </w:rPr>
      </w:pPr>
    </w:p>
    <w:p w14:paraId="7718FB1B" w14:textId="77777777" w:rsidR="00AB14AC" w:rsidRPr="00AB14AC" w:rsidRDefault="00AB14AC" w:rsidP="00AB14AC">
      <w:pPr>
        <w:pStyle w:val="NoSpacing"/>
        <w:rPr>
          <w:rFonts w:ascii="Times New Roman" w:hAnsi="Times New Roman"/>
          <w:bCs/>
          <w:sz w:val="24"/>
          <w:szCs w:val="24"/>
        </w:rPr>
      </w:pPr>
      <w:r w:rsidRPr="00AB14AC">
        <w:rPr>
          <w:rFonts w:ascii="Times New Roman" w:hAnsi="Times New Roman"/>
          <w:sz w:val="24"/>
          <w:szCs w:val="24"/>
        </w:rPr>
        <w:t xml:space="preserve">On May 14, 2025, </w:t>
      </w:r>
      <w:r w:rsidRPr="00AB14AC">
        <w:rPr>
          <w:rFonts w:ascii="Times New Roman" w:hAnsi="Times New Roman"/>
          <w:sz w:val="24"/>
          <w:szCs w:val="24"/>
          <w:u w:val="single"/>
        </w:rPr>
        <w:t>Brian Bergeron and Paul Trahon, et al. v. Town of Brookline and Brookline Fire Department</w:t>
      </w:r>
      <w:r w:rsidRPr="00AB14AC">
        <w:rPr>
          <w:rFonts w:ascii="Times New Roman" w:hAnsi="Times New Roman"/>
          <w:sz w:val="24"/>
          <w:szCs w:val="24"/>
        </w:rPr>
        <w:t xml:space="preserve">, U.S. District Court Judge Julia E. </w:t>
      </w:r>
      <w:proofErr w:type="spellStart"/>
      <w:r w:rsidRPr="00AB14AC">
        <w:rPr>
          <w:rFonts w:ascii="Times New Roman" w:hAnsi="Times New Roman"/>
          <w:sz w:val="24"/>
          <w:szCs w:val="24"/>
        </w:rPr>
        <w:t>Kobick</w:t>
      </w:r>
      <w:proofErr w:type="spellEnd"/>
      <w:r w:rsidRPr="00AB14AC">
        <w:rPr>
          <w:rFonts w:ascii="Times New Roman" w:hAnsi="Times New Roman"/>
          <w:sz w:val="24"/>
          <w:szCs w:val="24"/>
        </w:rPr>
        <w:t xml:space="preserve">, United States District Court for the District of Massachusetts, approved the settlement agreement.  </w:t>
      </w:r>
    </w:p>
    <w:p w14:paraId="14663518" w14:textId="77777777" w:rsidR="00AB14AC" w:rsidRPr="00AB14AC" w:rsidRDefault="00AB14AC" w:rsidP="00AB14AC">
      <w:pPr>
        <w:pStyle w:val="NoSpacing"/>
        <w:rPr>
          <w:rFonts w:ascii="Times New Roman" w:hAnsi="Times New Roman"/>
          <w:bCs/>
          <w:sz w:val="24"/>
          <w:szCs w:val="24"/>
        </w:rPr>
      </w:pPr>
    </w:p>
    <w:p w14:paraId="0AF2C131" w14:textId="300F9DFB" w:rsidR="00F616CC" w:rsidRPr="00AB14AC" w:rsidRDefault="00AB14AC" w:rsidP="00AB14AC">
      <w:pPr>
        <w:rPr>
          <w:rFonts w:ascii="Times New Roman" w:hAnsi="Times New Roman"/>
          <w:b/>
          <w:sz w:val="24"/>
          <w:szCs w:val="24"/>
        </w:rPr>
      </w:pPr>
      <w:r w:rsidRPr="00AB14AC">
        <w:rPr>
          <w:rFonts w:ascii="Times New Roman" w:hAnsi="Times New Roman"/>
          <w:sz w:val="24"/>
          <w:szCs w:val="24"/>
        </w:rPr>
        <w:t xml:space="preserve">The Court wrote:  “The plaintiffs are 118 firefighters, fire lieutenants, fire captains, and deputy fire chiefs currently or formerly employed by the Town of Brookline…. The plaintiffs are part of a bargaining unit represented by Local 950, a chapter of the International Association of Firefighters (the ‘Union’)….  The parties restarted settlement negotiations when the litigation commenced in December 2023, and they agreed to a settlement in principle in April 2024….  After reaching this agreement, the Town modified its FLSA protocols to address the plaintiffs' concerns regarding how their hours were counted and how their rate of overtime pay was </w:t>
      </w:r>
      <w:proofErr w:type="gramStart"/>
      <w:r w:rsidRPr="00AB14AC">
        <w:rPr>
          <w:rFonts w:ascii="Times New Roman" w:hAnsi="Times New Roman"/>
          <w:sz w:val="24"/>
          <w:szCs w:val="24"/>
        </w:rPr>
        <w:t>calculated.”</w:t>
      </w:r>
      <w:proofErr w:type="gramEnd"/>
      <w:r w:rsidRPr="00AB14AC">
        <w:rPr>
          <w:rFonts w:ascii="Times New Roman" w:hAnsi="Times New Roman"/>
          <w:sz w:val="24"/>
          <w:szCs w:val="24"/>
        </w:rPr>
        <w:t xml:space="preserve"> </w:t>
      </w:r>
      <w:hyperlink r:id="rId1826" w:history="1">
        <w:r w:rsidRPr="00AB14AC">
          <w:rPr>
            <w:rStyle w:val="Hyperlink"/>
            <w:rFonts w:ascii="Times New Roman" w:hAnsi="Times New Roman"/>
            <w:sz w:val="24"/>
            <w:szCs w:val="24"/>
          </w:rPr>
          <w:t>https://public.fastcase.com/jaEE2PXzRXmZ99jOLMt1IrF9wD4fG884AOwA%2B%2B8sYndkdlA95em2xjLqn6HHRdZo?utm_medium=email&amp;_hsenc=p2ANqtz-_k9MVaO09mpQi5ToQ_rMR2msPFl5QNhVfsnrFCoGgDXkRnW8gb34HMapH4044HXAEb1Ni6dZoKu1yFSWgbbZwBVX_IXQ&amp;_hsmi=226712652&amp;utm_content=226712652&amp;utm_source=hs_email</w:t>
        </w:r>
      </w:hyperlink>
    </w:p>
    <w:p w14:paraId="49C8D394" w14:textId="77777777" w:rsidR="00785987" w:rsidRPr="00874DB0" w:rsidRDefault="00785987" w:rsidP="00785987">
      <w:pPr>
        <w:pStyle w:val="NoSpacing"/>
        <w:rPr>
          <w:rFonts w:ascii="Times New Roman" w:hAnsi="Times New Roman"/>
          <w:b/>
          <w:bCs/>
          <w:sz w:val="24"/>
          <w:szCs w:val="24"/>
        </w:rPr>
      </w:pPr>
      <w:r w:rsidRPr="00874DB0">
        <w:rPr>
          <w:rFonts w:ascii="Times New Roman" w:hAnsi="Times New Roman"/>
          <w:b/>
          <w:sz w:val="24"/>
          <w:szCs w:val="24"/>
        </w:rPr>
        <w:t xml:space="preserve">Legal Lesson Learned: Town wisely corrected their prior </w:t>
      </w:r>
      <w:r w:rsidRPr="00874DB0">
        <w:rPr>
          <w:rFonts w:ascii="Times New Roman" w:hAnsi="Times New Roman"/>
          <w:b/>
          <w:bCs/>
          <w:sz w:val="24"/>
          <w:szCs w:val="24"/>
        </w:rPr>
        <w:t xml:space="preserve">FLSA </w:t>
      </w:r>
      <w:r w:rsidRPr="00874DB0">
        <w:rPr>
          <w:rFonts w:ascii="Times New Roman" w:hAnsi="Times New Roman"/>
          <w:b/>
          <w:sz w:val="24"/>
          <w:szCs w:val="24"/>
        </w:rPr>
        <w:t>practices.</w:t>
      </w:r>
    </w:p>
    <w:p w14:paraId="3869B739" w14:textId="77777777" w:rsidR="00785987" w:rsidRPr="00874DB0" w:rsidRDefault="00785987" w:rsidP="00785987">
      <w:pPr>
        <w:pStyle w:val="NoSpacing"/>
        <w:rPr>
          <w:rFonts w:ascii="Times New Roman" w:hAnsi="Times New Roman"/>
          <w:sz w:val="24"/>
          <w:szCs w:val="24"/>
        </w:rPr>
      </w:pPr>
    </w:p>
    <w:p w14:paraId="0AA7A0B5" w14:textId="77777777" w:rsidR="00B92F73" w:rsidRDefault="00B92F73" w:rsidP="00F326E5">
      <w:pPr>
        <w:rPr>
          <w:rFonts w:ascii="Arial Black" w:hAnsi="Arial Black"/>
          <w:b/>
          <w:sz w:val="24"/>
          <w:szCs w:val="24"/>
        </w:rPr>
      </w:pPr>
    </w:p>
    <w:p w14:paraId="7F570084" w14:textId="51998654" w:rsidR="00061BDB" w:rsidRDefault="00061BDB" w:rsidP="00F326E5">
      <w:pPr>
        <w:rPr>
          <w:rFonts w:ascii="Arial Black" w:hAnsi="Arial Black"/>
          <w:b/>
          <w:sz w:val="24"/>
          <w:szCs w:val="24"/>
        </w:rPr>
      </w:pPr>
      <w:r>
        <w:rPr>
          <w:rFonts w:ascii="Arial Black" w:hAnsi="Arial Black"/>
          <w:b/>
          <w:sz w:val="24"/>
          <w:szCs w:val="24"/>
        </w:rPr>
        <w:t>11-5</w:t>
      </w:r>
      <w:r w:rsidR="00DE6B12">
        <w:rPr>
          <w:rFonts w:ascii="Arial Black" w:hAnsi="Arial Black"/>
          <w:b/>
          <w:sz w:val="24"/>
          <w:szCs w:val="24"/>
        </w:rPr>
        <w:t>9</w:t>
      </w:r>
    </w:p>
    <w:p w14:paraId="0679642C" w14:textId="77777777" w:rsidR="0079730A" w:rsidRPr="003121C0" w:rsidRDefault="0079730A" w:rsidP="0079730A">
      <w:pPr>
        <w:rPr>
          <w:rFonts w:ascii="Arial Black" w:hAnsi="Arial Black"/>
          <w:bCs/>
          <w:sz w:val="28"/>
          <w:szCs w:val="28"/>
        </w:rPr>
      </w:pPr>
      <w:r>
        <w:rPr>
          <w:rFonts w:ascii="Arial Black" w:hAnsi="Arial Black"/>
          <w:b/>
          <w:sz w:val="28"/>
          <w:szCs w:val="28"/>
        </w:rPr>
        <w:t xml:space="preserve">NC: FLSA – SOME WEEKS UNDERPAID / OVERPAID - NO CASE </w:t>
      </w:r>
    </w:p>
    <w:p w14:paraId="7A049438" w14:textId="77777777" w:rsidR="0079730A" w:rsidRPr="0079730A" w:rsidRDefault="0079730A" w:rsidP="0079730A">
      <w:pPr>
        <w:rPr>
          <w:rFonts w:ascii="Times New Roman" w:hAnsi="Times New Roman"/>
          <w:bCs/>
          <w:sz w:val="24"/>
          <w:szCs w:val="24"/>
        </w:rPr>
      </w:pPr>
      <w:r w:rsidRPr="0079730A">
        <w:rPr>
          <w:rFonts w:ascii="Times New Roman" w:hAnsi="Times New Roman"/>
          <w:sz w:val="24"/>
          <w:szCs w:val="24"/>
        </w:rPr>
        <w:t xml:space="preserve">On March 31, 2025, in </w:t>
      </w:r>
      <w:r w:rsidRPr="0079730A">
        <w:rPr>
          <w:rFonts w:ascii="Times New Roman" w:hAnsi="Times New Roman"/>
          <w:sz w:val="24"/>
          <w:szCs w:val="24"/>
          <w:u w:val="single"/>
        </w:rPr>
        <w:t>Sara A. Conner, on behalf of all others similarly situated v. Cleveland County, Noth Carolina</w:t>
      </w:r>
      <w:r w:rsidRPr="0079730A">
        <w:rPr>
          <w:rFonts w:ascii="Times New Roman" w:hAnsi="Times New Roman"/>
          <w:sz w:val="24"/>
          <w:szCs w:val="24"/>
        </w:rPr>
        <w:t xml:space="preserve">, Chief U.S. District Court Judge Martin Reidinger, United States District Court for the Western District of North Carolina, Asheville Division, held that the EMS personnel were fully paid despite a “technical violation” of FLSA and therefore the case was dismissed.  Sara Conner has been a fulltime paramedic with Cleveland County EMS [CCEMS] since 2017, annual salary of 2016 of $35,820, and she worked a </w:t>
      </w:r>
      <w:proofErr w:type="gramStart"/>
      <w:r w:rsidRPr="0079730A">
        <w:rPr>
          <w:rFonts w:ascii="Times New Roman" w:hAnsi="Times New Roman"/>
          <w:sz w:val="24"/>
          <w:szCs w:val="24"/>
        </w:rPr>
        <w:t>24/48 hour</w:t>
      </w:r>
      <w:proofErr w:type="gramEnd"/>
      <w:r w:rsidRPr="0079730A">
        <w:rPr>
          <w:rFonts w:ascii="Times New Roman" w:hAnsi="Times New Roman"/>
          <w:sz w:val="24"/>
          <w:szCs w:val="24"/>
        </w:rPr>
        <w:t xml:space="preserve"> schedule.  Per their pay plan (since changed in 2018), Conner was paid base “hourly rate” of $12.23 (her annual salary divided by total annual hours 2,928).  Her overtime rate was $18.35 (1.5 times her base rate).  </w:t>
      </w:r>
      <w:hyperlink r:id="rId1827" w:history="1">
        <w:r w:rsidRPr="0079730A">
          <w:rPr>
            <w:rStyle w:val="Hyperlink"/>
            <w:rFonts w:ascii="Times New Roman" w:hAnsi="Times New Roman"/>
            <w:sz w:val="24"/>
            <w:szCs w:val="24"/>
          </w:rPr>
          <w:t>https://www.carolinajournal.com/wp-content/uploads/2025/04/cleveland-ot-128-033125-courtorder.pdf</w:t>
        </w:r>
      </w:hyperlink>
      <w:r w:rsidRPr="0079730A">
        <w:rPr>
          <w:rFonts w:ascii="Times New Roman" w:hAnsi="Times New Roman"/>
          <w:sz w:val="24"/>
          <w:szCs w:val="24"/>
        </w:rPr>
        <w:t xml:space="preserve"> </w:t>
      </w:r>
    </w:p>
    <w:p w14:paraId="4F45799C" w14:textId="77777777" w:rsidR="003A305F" w:rsidRPr="003A305F" w:rsidRDefault="003A305F" w:rsidP="003A305F">
      <w:pPr>
        <w:pStyle w:val="NoSpacing"/>
        <w:rPr>
          <w:rFonts w:ascii="Times New Roman" w:hAnsi="Times New Roman"/>
          <w:b/>
          <w:sz w:val="24"/>
          <w:szCs w:val="24"/>
        </w:rPr>
      </w:pPr>
      <w:r w:rsidRPr="003A305F">
        <w:rPr>
          <w:rFonts w:ascii="Times New Roman" w:hAnsi="Times New Roman"/>
          <w:b/>
          <w:sz w:val="24"/>
          <w:szCs w:val="24"/>
        </w:rPr>
        <w:t xml:space="preserve">Legal Lesson Learned:  There was no loss of </w:t>
      </w:r>
      <w:proofErr w:type="gramStart"/>
      <w:r w:rsidRPr="003A305F">
        <w:rPr>
          <w:rFonts w:ascii="Times New Roman" w:hAnsi="Times New Roman"/>
          <w:b/>
          <w:sz w:val="24"/>
          <w:szCs w:val="24"/>
        </w:rPr>
        <w:t>wages</w:t>
      </w:r>
      <w:proofErr w:type="gramEnd"/>
      <w:r w:rsidRPr="003A305F">
        <w:rPr>
          <w:rFonts w:ascii="Times New Roman" w:hAnsi="Times New Roman"/>
          <w:b/>
          <w:sz w:val="24"/>
          <w:szCs w:val="24"/>
        </w:rPr>
        <w:t xml:space="preserve"> so case dismissed.</w:t>
      </w:r>
    </w:p>
    <w:p w14:paraId="2DB7D3A6" w14:textId="77777777" w:rsidR="00061BDB" w:rsidRDefault="00061BDB" w:rsidP="00F326E5">
      <w:pPr>
        <w:rPr>
          <w:rFonts w:ascii="Arial Black" w:hAnsi="Arial Black"/>
          <w:b/>
          <w:sz w:val="24"/>
          <w:szCs w:val="24"/>
        </w:rPr>
      </w:pPr>
    </w:p>
    <w:p w14:paraId="0B08AC20" w14:textId="77777777" w:rsidR="00061BDB" w:rsidRDefault="00061BDB" w:rsidP="00F326E5">
      <w:pPr>
        <w:rPr>
          <w:rFonts w:ascii="Arial Black" w:hAnsi="Arial Black"/>
          <w:b/>
          <w:sz w:val="24"/>
          <w:szCs w:val="24"/>
        </w:rPr>
      </w:pPr>
    </w:p>
    <w:p w14:paraId="2C7B6A1B" w14:textId="74154EB9" w:rsidR="00CE6BF6" w:rsidRDefault="00CE6BF6" w:rsidP="00F326E5">
      <w:pPr>
        <w:rPr>
          <w:rFonts w:ascii="Arial Black" w:hAnsi="Arial Black"/>
          <w:b/>
          <w:sz w:val="24"/>
          <w:szCs w:val="24"/>
        </w:rPr>
      </w:pPr>
      <w:r>
        <w:rPr>
          <w:rFonts w:ascii="Arial Black" w:hAnsi="Arial Black"/>
          <w:b/>
          <w:sz w:val="24"/>
          <w:szCs w:val="24"/>
        </w:rPr>
        <w:t>11-5</w:t>
      </w:r>
      <w:r w:rsidR="00DE6B12">
        <w:rPr>
          <w:rFonts w:ascii="Arial Black" w:hAnsi="Arial Black"/>
          <w:b/>
          <w:sz w:val="24"/>
          <w:szCs w:val="24"/>
        </w:rPr>
        <w:t>8</w:t>
      </w:r>
    </w:p>
    <w:p w14:paraId="7BB7164D" w14:textId="77777777" w:rsidR="00CE6BF6" w:rsidRDefault="00CE6BF6" w:rsidP="00CE6BF6">
      <w:pPr>
        <w:rPr>
          <w:rFonts w:ascii="Arial Black" w:hAnsi="Arial Black"/>
          <w:b/>
          <w:sz w:val="28"/>
          <w:szCs w:val="28"/>
        </w:rPr>
      </w:pPr>
      <w:r>
        <w:rPr>
          <w:rFonts w:ascii="Arial Black" w:hAnsi="Arial Black"/>
          <w:b/>
          <w:sz w:val="28"/>
          <w:szCs w:val="28"/>
        </w:rPr>
        <w:t xml:space="preserve">U.S. SUP. CT – ALL COURTS - PREPONDRANCE-OF-EVIDENCE </w:t>
      </w:r>
    </w:p>
    <w:p w14:paraId="39DF8900" w14:textId="70C599B3" w:rsidR="00CE6BF6" w:rsidRPr="00474F4B" w:rsidRDefault="00CE6BF6" w:rsidP="00CE6BF6">
      <w:pPr>
        <w:rPr>
          <w:rFonts w:ascii="Times New Roman" w:hAnsi="Times New Roman"/>
          <w:bCs/>
          <w:sz w:val="24"/>
          <w:szCs w:val="24"/>
        </w:rPr>
      </w:pPr>
      <w:r w:rsidRPr="00474F4B">
        <w:rPr>
          <w:rFonts w:ascii="Times New Roman" w:hAnsi="Times New Roman"/>
          <w:sz w:val="24"/>
          <w:szCs w:val="24"/>
        </w:rPr>
        <w:t xml:space="preserve">On Juan. 15, 2023, in </w:t>
      </w:r>
      <w:r w:rsidRPr="00474F4B">
        <w:rPr>
          <w:rFonts w:ascii="Times New Roman" w:hAnsi="Times New Roman"/>
          <w:sz w:val="24"/>
          <w:szCs w:val="24"/>
          <w:u w:val="single"/>
        </w:rPr>
        <w:t>EMD Sales, Inc., et al. v. Faustino Sanchez Carrera</w:t>
      </w:r>
      <w:r w:rsidRPr="00474F4B">
        <w:rPr>
          <w:rFonts w:ascii="Times New Roman" w:hAnsi="Times New Roman"/>
          <w:sz w:val="24"/>
          <w:szCs w:val="24"/>
        </w:rPr>
        <w:t xml:space="preserve">, the </w:t>
      </w:r>
      <w:r w:rsidR="0034221B">
        <w:rPr>
          <w:rFonts w:ascii="Times New Roman" w:hAnsi="Times New Roman"/>
          <w:sz w:val="24"/>
          <w:szCs w:val="24"/>
        </w:rPr>
        <w:t xml:space="preserve">U.S. </w:t>
      </w:r>
      <w:r w:rsidR="00883BD6">
        <w:rPr>
          <w:rFonts w:ascii="Times New Roman" w:hAnsi="Times New Roman"/>
          <w:sz w:val="24"/>
          <w:szCs w:val="24"/>
        </w:rPr>
        <w:t>Supreme</w:t>
      </w:r>
      <w:r w:rsidR="0034221B">
        <w:rPr>
          <w:rFonts w:ascii="Times New Roman" w:hAnsi="Times New Roman"/>
          <w:sz w:val="24"/>
          <w:szCs w:val="24"/>
        </w:rPr>
        <w:t xml:space="preserve"> Court</w:t>
      </w:r>
      <w:r w:rsidRPr="00474F4B">
        <w:rPr>
          <w:rFonts w:ascii="Times New Roman" w:hAnsi="Times New Roman"/>
          <w:sz w:val="24"/>
          <w:szCs w:val="24"/>
        </w:rPr>
        <w:t xml:space="preserve"> held (9 to 0) that employers, when sued by employees claiming they were improperly classified as exempt from overtime pay, will be judged by the normal standard in civil litigation – “preponderance-of-the-evidence.” The Court reversed the U.S. Court of Appeals for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(Richmond, VA) which required proof of an exemption by “clear-and-convincing evidence.” Employers in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including fire &amp; EMS  - Maryland, North Carolina, South Carolina, Virginia, and West Virginia – will now be held to same standard as rest of the nation. The lawsuit involved EMD Sales, Inc., is a distributor of Latin American, Caribbean, and Asian food products to chain and independent grocery stores, operating in the Washington, D.C. metropolitan area. The company paid salesmen commissions (up to 6.6%; some earned over $100,000) but no overtime; under FLSA regulations “outside salesman” and exempt.  After a nine-day bench trial, the U.S. District Court judge ruled for employees and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affirmed.  The U.S. Supreme Court reversed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on the standard of proof required [case will likely be re-tried].  </w:t>
      </w:r>
      <w:hyperlink r:id="rId1828" w:history="1">
        <w:r w:rsidRPr="00474F4B">
          <w:rPr>
            <w:rStyle w:val="Hyperlink"/>
            <w:rFonts w:ascii="Times New Roman" w:hAnsi="Times New Roman"/>
            <w:sz w:val="24"/>
            <w:szCs w:val="24"/>
          </w:rPr>
          <w:t>https://www.supremecourt.gov/opinions/24pdf/23-217_9o6b.pdf</w:t>
        </w:r>
      </w:hyperlink>
      <w:r w:rsidRPr="00474F4B">
        <w:rPr>
          <w:rFonts w:ascii="Times New Roman" w:hAnsi="Times New Roman"/>
          <w:sz w:val="24"/>
          <w:szCs w:val="24"/>
        </w:rPr>
        <w:t xml:space="preserve">   </w:t>
      </w:r>
    </w:p>
    <w:p w14:paraId="4F9796BF" w14:textId="77777777" w:rsidR="00CE6BF6" w:rsidRPr="00474F4B" w:rsidRDefault="00CE6BF6" w:rsidP="00CE6BF6">
      <w:pPr>
        <w:rPr>
          <w:rFonts w:ascii="Times New Roman" w:hAnsi="Times New Roman"/>
          <w:bCs/>
          <w:sz w:val="24"/>
          <w:szCs w:val="24"/>
        </w:rPr>
      </w:pPr>
      <w:r w:rsidRPr="00474F4B">
        <w:rPr>
          <w:rFonts w:ascii="Times New Roman" w:hAnsi="Times New Roman"/>
          <w:sz w:val="24"/>
          <w:szCs w:val="24"/>
        </w:rPr>
        <w:t xml:space="preserve">The Court held: </w:t>
      </w:r>
    </w:p>
    <w:p w14:paraId="057EFDC0" w14:textId="77777777"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“We hold that the preponderance-of-the-evidence standard applies when an employer seeks to show that an employee is exempt from the minimum-wage and overtime-</w:t>
      </w:r>
    </w:p>
    <w:p w14:paraId="73D9527D" w14:textId="77777777"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pay provisions of the Fair Labor Standards Act. The employees argue that we should still affirm because they would not qualify as outside salesmen even under a preponderance standard. But our usual practice is to leave matters of that sort for remand. We see no persuasive reason to stray from that usual practice here. We therefore reverse the judgment of the Court of Appeals and remand the case for further proceedings consistent with this opinion.”</w:t>
      </w:r>
    </w:p>
    <w:p w14:paraId="733E77E6" w14:textId="77777777" w:rsidR="00CE6BF6" w:rsidRPr="00474F4B" w:rsidRDefault="00CE6BF6" w:rsidP="00CE6BF6">
      <w:pPr>
        <w:rPr>
          <w:rFonts w:ascii="Times New Roman" w:hAnsi="Times New Roman"/>
          <w:b/>
          <w:sz w:val="24"/>
          <w:szCs w:val="24"/>
        </w:rPr>
      </w:pPr>
    </w:p>
    <w:p w14:paraId="3E8AA160" w14:textId="77777777" w:rsidR="00CE6BF6" w:rsidRPr="00474F4B" w:rsidRDefault="00CE6BF6" w:rsidP="00CE6BF6">
      <w:pPr>
        <w:rPr>
          <w:rFonts w:ascii="Times New Roman" w:hAnsi="Times New Roman"/>
          <w:b/>
          <w:sz w:val="24"/>
          <w:szCs w:val="24"/>
        </w:rPr>
      </w:pPr>
      <w:r w:rsidRPr="00474F4B">
        <w:rPr>
          <w:rFonts w:ascii="Times New Roman" w:hAnsi="Times New Roman"/>
          <w:b/>
          <w:sz w:val="24"/>
          <w:szCs w:val="24"/>
        </w:rPr>
        <w:t xml:space="preserve">Legal Lesson Learned: Fire &amp; EMS managers, when deciding “close questions” about FLSA exemptions – such as which senior officers are exempt from overtime – should consult with experienced FLSA legal counsel.  </w:t>
      </w:r>
    </w:p>
    <w:p w14:paraId="675DAC3A" w14:textId="77777777" w:rsidR="00CE6BF6" w:rsidRPr="00474F4B" w:rsidRDefault="00CE6BF6" w:rsidP="00CE6BF6">
      <w:pPr>
        <w:ind w:left="720"/>
        <w:rPr>
          <w:rFonts w:ascii="Times New Roman" w:hAnsi="Times New Roman"/>
          <w:bCs/>
          <w:sz w:val="24"/>
          <w:szCs w:val="24"/>
        </w:rPr>
      </w:pPr>
      <w:r w:rsidRPr="00474F4B">
        <w:rPr>
          <w:rFonts w:ascii="Times New Roman" w:hAnsi="Times New Roman"/>
          <w:sz w:val="24"/>
          <w:szCs w:val="24"/>
        </w:rPr>
        <w:t xml:space="preserve">Note: See Jan. 15, </w:t>
      </w:r>
      <w:proofErr w:type="gramStart"/>
      <w:r w:rsidRPr="00474F4B">
        <w:rPr>
          <w:rFonts w:ascii="Times New Roman" w:hAnsi="Times New Roman"/>
          <w:sz w:val="24"/>
          <w:szCs w:val="24"/>
        </w:rPr>
        <w:t>2025</w:t>
      </w:r>
      <w:proofErr w:type="gramEnd"/>
      <w:r w:rsidRPr="00474F4B">
        <w:rPr>
          <w:rFonts w:ascii="Times New Roman" w:hAnsi="Times New Roman"/>
          <w:sz w:val="24"/>
          <w:szCs w:val="24"/>
        </w:rPr>
        <w:t xml:space="preserve">  article: “US Supreme Court boosts companies' defense in wage lawsuits.” </w:t>
      </w:r>
      <w:hyperlink r:id="rId1829" w:history="1">
        <w:r w:rsidRPr="00474F4B">
          <w:rPr>
            <w:rStyle w:val="Hyperlink"/>
            <w:rFonts w:ascii="Times New Roman" w:hAnsi="Times New Roman"/>
            <w:sz w:val="24"/>
            <w:szCs w:val="24"/>
          </w:rPr>
          <w:t>https://www.reuters.com/legal/government/us-supreme-court-boosts-companies-defense-wage-lawsuits-2025-01-15/</w:t>
        </w:r>
      </w:hyperlink>
      <w:r w:rsidRPr="00474F4B">
        <w:rPr>
          <w:rFonts w:ascii="Times New Roman" w:hAnsi="Times New Roman"/>
          <w:sz w:val="24"/>
          <w:szCs w:val="24"/>
        </w:rPr>
        <w:t xml:space="preserve"> </w:t>
      </w:r>
    </w:p>
    <w:p w14:paraId="0FA50A6F" w14:textId="77777777" w:rsidR="00CE6BF6" w:rsidRPr="00474F4B" w:rsidRDefault="00CE6BF6" w:rsidP="00CE6BF6">
      <w:pPr>
        <w:ind w:left="720"/>
        <w:rPr>
          <w:rFonts w:ascii="Times New Roman" w:hAnsi="Times New Roman"/>
          <w:sz w:val="24"/>
          <w:szCs w:val="24"/>
        </w:rPr>
      </w:pPr>
      <w:r w:rsidRPr="00474F4B">
        <w:rPr>
          <w:rFonts w:ascii="Times New Roman" w:hAnsi="Times New Roman"/>
          <w:sz w:val="24"/>
          <w:szCs w:val="24"/>
        </w:rPr>
        <w:t>:The </w:t>
      </w:r>
      <w:hyperlink r:id="rId1830" w:tgtFrame="_blank" w:history="1">
        <w:r w:rsidRPr="00474F4B">
          <w:rPr>
            <w:rStyle w:val="Hyperlink"/>
            <w:rFonts w:ascii="Times New Roman" w:hAnsi="Times New Roman"/>
            <w:sz w:val="24"/>
            <w:szCs w:val="24"/>
          </w:rPr>
          <w:t>unanimous ruling, opens new tab</w:t>
        </w:r>
      </w:hyperlink>
      <w:r w:rsidRPr="00474F4B">
        <w:rPr>
          <w:rFonts w:ascii="Times New Roman" w:hAnsi="Times New Roman"/>
          <w:sz w:val="24"/>
          <w:szCs w:val="24"/>
        </w:rPr>
        <w:t> penned by Justice Brett Kavanaugh could make it easier for some businesses to defend against lawsuits, including many class actions, claiming that workers were improperly exempted from the federal Fair Labor Standards Act (FLSA).”</w:t>
      </w:r>
    </w:p>
    <w:p w14:paraId="498E043D" w14:textId="77777777" w:rsidR="00CE6BF6" w:rsidRPr="00474F4B" w:rsidRDefault="00CE6BF6" w:rsidP="00CE6BF6">
      <w:pPr>
        <w:ind w:left="720"/>
        <w:rPr>
          <w:rFonts w:ascii="Times New Roman" w:hAnsi="Times New Roman"/>
          <w:bCs/>
          <w:sz w:val="24"/>
          <w:szCs w:val="24"/>
        </w:rPr>
      </w:pPr>
    </w:p>
    <w:p w14:paraId="68456FAD" w14:textId="77777777" w:rsidR="00CE6BF6" w:rsidRPr="00474F4B" w:rsidRDefault="00CE6BF6" w:rsidP="00CE6BF6">
      <w:pPr>
        <w:ind w:left="720"/>
        <w:rPr>
          <w:rFonts w:ascii="Times New Roman" w:hAnsi="Times New Roman"/>
          <w:bCs/>
          <w:sz w:val="24"/>
          <w:szCs w:val="24"/>
        </w:rPr>
      </w:pPr>
      <w:r w:rsidRPr="00474F4B">
        <w:rPr>
          <w:rFonts w:ascii="Times New Roman" w:hAnsi="Times New Roman"/>
          <w:sz w:val="24"/>
          <w:szCs w:val="24"/>
        </w:rPr>
        <w:t xml:space="preserve">Company may have an uphill battle during retrial.  Read the brief by U.S. Solicitor General: </w:t>
      </w:r>
      <w:hyperlink r:id="rId1831" w:history="1">
        <w:r w:rsidRPr="00474F4B">
          <w:rPr>
            <w:rStyle w:val="Hyperlink"/>
            <w:rFonts w:ascii="Times New Roman" w:hAnsi="Times New Roman"/>
            <w:sz w:val="24"/>
            <w:szCs w:val="24"/>
          </w:rPr>
          <w:t>https://www.supremecourt.gov/DocketPDF/23/23-217/326778/20240924155125392_2024.09.24%20EMD%20v%20Carrera%20-%20Brief%20for%20Respondents.pdf</w:t>
        </w:r>
      </w:hyperlink>
      <w:r w:rsidRPr="00474F4B">
        <w:rPr>
          <w:rFonts w:ascii="Times New Roman" w:hAnsi="Times New Roman"/>
          <w:sz w:val="24"/>
          <w:szCs w:val="24"/>
        </w:rPr>
        <w:t xml:space="preserve"> </w:t>
      </w:r>
    </w:p>
    <w:p w14:paraId="4ADA1FAE" w14:textId="3A4AC9E9"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“Respondents presented evidence that they did not and could not make sales at chain stores. Rather, when they serviced chain stores, they replenished stock based on ‘sales terms already negotiated by management,’ and ‘their time was spent only on promotion and inventory-management activities— restocking and rearranging products, issuing credits, taking orders—that were incidental to sales made at higher levels.’</w:t>
      </w:r>
      <w:r w:rsidR="00474F4B" w:rsidRPr="00474F4B">
        <w:rPr>
          <w:rFonts w:ascii="Times New Roman" w:hAnsi="Times New Roman"/>
          <w:sz w:val="24"/>
          <w:szCs w:val="24"/>
        </w:rPr>
        <w:t>”</w:t>
      </w:r>
    </w:p>
    <w:p w14:paraId="2CFE3C44" w14:textId="77777777" w:rsidR="00CE6BF6" w:rsidRPr="00A84124" w:rsidRDefault="00CE6BF6" w:rsidP="00CE6BF6">
      <w:pPr>
        <w:ind w:left="720"/>
        <w:rPr>
          <w:bCs/>
        </w:rPr>
      </w:pPr>
    </w:p>
    <w:p w14:paraId="2E5E88E9" w14:textId="77777777" w:rsidR="00CE6BF6" w:rsidRDefault="00CE6BF6" w:rsidP="00F326E5">
      <w:pPr>
        <w:rPr>
          <w:rFonts w:ascii="Arial Black" w:hAnsi="Arial Black"/>
          <w:b/>
          <w:sz w:val="24"/>
          <w:szCs w:val="24"/>
        </w:rPr>
      </w:pPr>
    </w:p>
    <w:p w14:paraId="790B3560" w14:textId="436BF811" w:rsidR="00C510D7" w:rsidRDefault="00F515EB" w:rsidP="00F326E5">
      <w:pPr>
        <w:rPr>
          <w:rFonts w:ascii="Arial Black" w:hAnsi="Arial Black"/>
          <w:b/>
          <w:sz w:val="24"/>
          <w:szCs w:val="24"/>
        </w:rPr>
      </w:pPr>
      <w:r>
        <w:rPr>
          <w:rFonts w:ascii="Arial Black" w:hAnsi="Arial Black"/>
          <w:b/>
          <w:sz w:val="24"/>
          <w:szCs w:val="24"/>
        </w:rPr>
        <w:t>1</w:t>
      </w:r>
      <w:r w:rsidR="00C510D7">
        <w:rPr>
          <w:rFonts w:ascii="Arial Black" w:hAnsi="Arial Black"/>
          <w:b/>
          <w:sz w:val="24"/>
          <w:szCs w:val="24"/>
        </w:rPr>
        <w:t>1-5</w:t>
      </w:r>
      <w:r w:rsidR="00DE6B12">
        <w:rPr>
          <w:rFonts w:ascii="Arial Black" w:hAnsi="Arial Black"/>
          <w:b/>
          <w:sz w:val="24"/>
          <w:szCs w:val="24"/>
        </w:rPr>
        <w:t>7</w:t>
      </w:r>
    </w:p>
    <w:p w14:paraId="29DFBA5B" w14:textId="77777777" w:rsidR="00C510D7" w:rsidRPr="00103331" w:rsidRDefault="00C510D7" w:rsidP="00C510D7">
      <w:pPr>
        <w:pStyle w:val="NoSpacing"/>
        <w:rPr>
          <w:rFonts w:ascii="Arial Black" w:hAnsi="Arial Black"/>
          <w:b/>
          <w:sz w:val="28"/>
          <w:szCs w:val="28"/>
        </w:rPr>
      </w:pPr>
      <w:r>
        <w:rPr>
          <w:rFonts w:ascii="Arial Black" w:hAnsi="Arial Black"/>
          <w:b/>
          <w:sz w:val="28"/>
          <w:szCs w:val="28"/>
        </w:rPr>
        <w:t xml:space="preserve">OK: FLSA – EMS SHIFT DIFFERENTIAL – HOURLY RATE OF PAY TO INCREASE – CLASS ACTION $350K SETTLEMENT  </w:t>
      </w:r>
    </w:p>
    <w:p w14:paraId="06FD023D" w14:textId="77777777" w:rsidR="00C510D7" w:rsidRDefault="00C510D7" w:rsidP="00C510D7">
      <w:pPr>
        <w:pStyle w:val="NoSpacing"/>
        <w:ind w:firstLine="720"/>
        <w:rPr>
          <w:b/>
        </w:rPr>
      </w:pPr>
    </w:p>
    <w:p w14:paraId="1DD25A52" w14:textId="334B9515" w:rsidR="00C510D7" w:rsidRPr="008032EA" w:rsidRDefault="00C510D7" w:rsidP="00C510D7">
      <w:pPr>
        <w:rPr>
          <w:rFonts w:ascii="Times New Roman" w:hAnsi="Times New Roman"/>
          <w:b/>
          <w:sz w:val="24"/>
          <w:szCs w:val="24"/>
        </w:rPr>
      </w:pPr>
      <w:r w:rsidRPr="008032EA">
        <w:rPr>
          <w:rFonts w:ascii="Times New Roman" w:hAnsi="Times New Roman"/>
          <w:sz w:val="24"/>
          <w:szCs w:val="24"/>
        </w:rPr>
        <w:t xml:space="preserve">On Nov. 21, 2024, in </w:t>
      </w:r>
      <w:r w:rsidRPr="008032EA">
        <w:rPr>
          <w:rFonts w:ascii="Times New Roman" w:hAnsi="Times New Roman"/>
          <w:sz w:val="24"/>
          <w:szCs w:val="24"/>
          <w:u w:val="single"/>
        </w:rPr>
        <w:t>Jerry Sherley v. Muskogee County EMS</w:t>
      </w:r>
      <w:r w:rsidRPr="008032EA">
        <w:rPr>
          <w:rFonts w:ascii="Times New Roman" w:hAnsi="Times New Roman"/>
          <w:sz w:val="24"/>
          <w:szCs w:val="24"/>
        </w:rPr>
        <w:t xml:space="preserve">, United States District Court Judge John F. Heil, III, U.S. District Court for approved the Eastern District of Oklahoma, approved the Notice to go to all EMS to “opt in” to the back pay settlement.  The Court wrote: “Plaintiff alleges that between July 18, </w:t>
      </w:r>
      <w:proofErr w:type="gramStart"/>
      <w:r w:rsidRPr="008032EA">
        <w:rPr>
          <w:rFonts w:ascii="Times New Roman" w:hAnsi="Times New Roman"/>
          <w:sz w:val="24"/>
          <w:szCs w:val="24"/>
        </w:rPr>
        <w:t>2020</w:t>
      </w:r>
      <w:proofErr w:type="gramEnd"/>
      <w:r w:rsidRPr="008032EA">
        <w:rPr>
          <w:rFonts w:ascii="Times New Roman" w:hAnsi="Times New Roman"/>
          <w:sz w:val="24"/>
          <w:szCs w:val="24"/>
        </w:rPr>
        <w:t xml:space="preserve"> and October 31, 2023, MCEMS failed to include EMTs’ shift differential pay in the rate for overtime pay, which resulted in less overtime pay than required by the FLSA…. The parties have reached a negotiated resolution…. Their settlement agreement defines the Settlement Collective to include ‘any EMT employed by MCEMS who was paid by the hour . . . plus shift differential pay and who worked more than 40 hours in a workweek during the period from July 18, </w:t>
      </w:r>
      <w:proofErr w:type="gramStart"/>
      <w:r w:rsidRPr="008032EA">
        <w:rPr>
          <w:rFonts w:ascii="Times New Roman" w:hAnsi="Times New Roman"/>
          <w:sz w:val="24"/>
          <w:szCs w:val="24"/>
        </w:rPr>
        <w:t>2020</w:t>
      </w:r>
      <w:proofErr w:type="gramEnd"/>
      <w:r w:rsidRPr="008032EA">
        <w:rPr>
          <w:rFonts w:ascii="Times New Roman" w:hAnsi="Times New Roman"/>
          <w:sz w:val="24"/>
          <w:szCs w:val="24"/>
        </w:rPr>
        <w:t xml:space="preserve"> to October 31, 2023.’” </w:t>
      </w:r>
      <w:hyperlink r:id="rId1832" w:history="1">
        <w:r w:rsidRPr="008032EA">
          <w:rPr>
            <w:rStyle w:val="Hyperlink"/>
            <w:rFonts w:ascii="Times New Roman" w:hAnsi="Times New Roman"/>
            <w:sz w:val="24"/>
            <w:szCs w:val="24"/>
          </w:rPr>
          <w:t>https://cases.justia.com/federal/district-courts/oklahoma/okedce/6:2023cv00241/34830/33/0.pdf?ts=1732294058</w:t>
        </w:r>
      </w:hyperlink>
    </w:p>
    <w:p w14:paraId="254F3FE1" w14:textId="77777777" w:rsidR="008032EA" w:rsidRPr="008032EA" w:rsidRDefault="008032EA" w:rsidP="008032EA">
      <w:pPr>
        <w:pStyle w:val="NoSpacing"/>
        <w:rPr>
          <w:rFonts w:ascii="Times New Roman" w:hAnsi="Times New Roman"/>
          <w:b/>
          <w:sz w:val="24"/>
          <w:szCs w:val="24"/>
        </w:rPr>
      </w:pPr>
      <w:r w:rsidRPr="008032EA">
        <w:rPr>
          <w:rFonts w:ascii="Times New Roman" w:hAnsi="Times New Roman"/>
          <w:b/>
          <w:sz w:val="24"/>
          <w:szCs w:val="24"/>
        </w:rPr>
        <w:t>Legal Lesson Learned: Shift differential increases the hourly rate of pay for EMS.</w:t>
      </w:r>
    </w:p>
    <w:p w14:paraId="6C52655D" w14:textId="77777777" w:rsidR="008032EA" w:rsidRPr="008032EA" w:rsidRDefault="008032EA" w:rsidP="008032EA">
      <w:pPr>
        <w:pStyle w:val="NoSpacing"/>
        <w:ind w:firstLine="720"/>
        <w:rPr>
          <w:rFonts w:ascii="Times New Roman" w:hAnsi="Times New Roman"/>
          <w:b/>
          <w:sz w:val="24"/>
          <w:szCs w:val="24"/>
        </w:rPr>
      </w:pPr>
    </w:p>
    <w:p w14:paraId="30079DB1" w14:textId="77777777" w:rsidR="008032EA" w:rsidRPr="000402D5" w:rsidRDefault="008032EA" w:rsidP="008032EA">
      <w:pPr>
        <w:pStyle w:val="NoSpacing"/>
        <w:ind w:left="720"/>
      </w:pPr>
      <w:r w:rsidRPr="008032EA">
        <w:rPr>
          <w:rFonts w:ascii="Times New Roman" w:hAnsi="Times New Roman"/>
          <w:sz w:val="24"/>
          <w:szCs w:val="24"/>
        </w:rPr>
        <w:t>Note:  See article, July 20, 2023: “Okla. EMS Dept. Shorts Workers On OT, Former EMT Says.”</w:t>
      </w:r>
      <w:r w:rsidRPr="008032EA">
        <w:rPr>
          <w:rFonts w:ascii="Times New Roman" w:hAnsi="Times New Roman"/>
          <w:b/>
          <w:sz w:val="24"/>
          <w:szCs w:val="24"/>
        </w:rPr>
        <w:t xml:space="preserve"> </w:t>
      </w:r>
      <w:r w:rsidRPr="008032EA">
        <w:rPr>
          <w:rFonts w:ascii="Times New Roman" w:hAnsi="Times New Roman"/>
          <w:sz w:val="24"/>
          <w:szCs w:val="24"/>
        </w:rPr>
        <w:t xml:space="preserve"> “A former emergency medical technician for an Oklahoma emergency medical services department hit his former employer with a proposed collective action accusing it of violating the Fair Labor Standards Act.” </w:t>
      </w:r>
      <w:hyperlink r:id="rId1833" w:history="1">
        <w:r w:rsidRPr="008032EA">
          <w:rPr>
            <w:rStyle w:val="Hyperlink"/>
            <w:rFonts w:ascii="Times New Roman" w:hAnsi="Times New Roman"/>
            <w:sz w:val="24"/>
            <w:szCs w:val="24"/>
          </w:rPr>
          <w:t>https://www.law360.com/employment-authority/articles/1701446/okla-ems-dept-shorts-workers-on-ot-former-emt-says</w:t>
        </w:r>
      </w:hyperlink>
      <w:r>
        <w:t xml:space="preserve"> </w:t>
      </w:r>
    </w:p>
    <w:p w14:paraId="2F396159" w14:textId="77777777" w:rsidR="008032EA" w:rsidRDefault="008032EA" w:rsidP="008032EA">
      <w:pPr>
        <w:pStyle w:val="NoSpacing"/>
      </w:pPr>
    </w:p>
    <w:p w14:paraId="5DA2BC08" w14:textId="7EA42683" w:rsidR="00C510D7" w:rsidRDefault="00F515EB" w:rsidP="00F515EB">
      <w:pPr>
        <w:rPr>
          <w:rFonts w:ascii="Arial Black" w:hAnsi="Arial Black"/>
          <w:b/>
          <w:sz w:val="24"/>
          <w:szCs w:val="24"/>
        </w:rPr>
      </w:pPr>
      <w:r>
        <w:rPr>
          <w:rFonts w:ascii="Arial Black" w:hAnsi="Arial Black"/>
          <w:b/>
          <w:sz w:val="24"/>
          <w:szCs w:val="24"/>
        </w:rPr>
        <w:t>11-5</w:t>
      </w:r>
      <w:r w:rsidR="00DE6B12">
        <w:rPr>
          <w:rFonts w:ascii="Arial Black" w:hAnsi="Arial Black"/>
          <w:b/>
          <w:sz w:val="24"/>
          <w:szCs w:val="24"/>
        </w:rPr>
        <w:t>6</w:t>
      </w:r>
    </w:p>
    <w:p w14:paraId="7893EA32" w14:textId="77777777" w:rsidR="00F515EB" w:rsidRPr="006E68AF" w:rsidRDefault="00F515EB" w:rsidP="00F515EB">
      <w:pPr>
        <w:pStyle w:val="NoSpacing"/>
        <w:rPr>
          <w:rFonts w:ascii="Arial Black" w:hAnsi="Arial Black"/>
          <w:bCs/>
          <w:sz w:val="28"/>
          <w:szCs w:val="28"/>
        </w:rPr>
      </w:pPr>
      <w:r w:rsidRPr="006E68AF">
        <w:rPr>
          <w:rFonts w:ascii="Arial Black" w:hAnsi="Arial Black"/>
          <w:sz w:val="28"/>
          <w:szCs w:val="28"/>
        </w:rPr>
        <w:t>MA: SETTLED – D</w:t>
      </w:r>
      <w:r>
        <w:rPr>
          <w:rFonts w:ascii="Arial Black" w:hAnsi="Arial Black"/>
          <w:sz w:val="28"/>
          <w:szCs w:val="28"/>
        </w:rPr>
        <w:t>ROP CLAIM DCs NON-EXEMPT</w:t>
      </w:r>
    </w:p>
    <w:p w14:paraId="5D8C6DDC" w14:textId="77777777" w:rsidR="00F515EB" w:rsidRPr="006E68AF" w:rsidRDefault="00F515EB" w:rsidP="00F515EB">
      <w:pPr>
        <w:pStyle w:val="NoSpacing"/>
        <w:rPr>
          <w:b/>
        </w:rPr>
      </w:pPr>
    </w:p>
    <w:p w14:paraId="385EED72" w14:textId="77777777" w:rsidR="00627EB5" w:rsidRPr="00627EB5" w:rsidRDefault="00627EB5" w:rsidP="00627EB5">
      <w:pPr>
        <w:pStyle w:val="NoSpacing"/>
        <w:rPr>
          <w:rStyle w:val="Hyperlink"/>
          <w:rFonts w:ascii="Times New Roman" w:hAnsi="Times New Roman"/>
          <w:bCs/>
          <w:sz w:val="24"/>
          <w:szCs w:val="24"/>
        </w:rPr>
      </w:pPr>
      <w:r w:rsidRPr="00627EB5">
        <w:rPr>
          <w:rFonts w:ascii="Times New Roman" w:hAnsi="Times New Roman"/>
          <w:sz w:val="24"/>
          <w:szCs w:val="24"/>
        </w:rPr>
        <w:t xml:space="preserve">On Nov. 18, 2024, in </w:t>
      </w:r>
      <w:r w:rsidRPr="00627EB5">
        <w:rPr>
          <w:rFonts w:ascii="Times New Roman" w:hAnsi="Times New Roman"/>
          <w:sz w:val="24"/>
          <w:szCs w:val="24"/>
          <w:u w:val="single"/>
        </w:rPr>
        <w:t>Brian Bergeron, et al. v. Town of Brookline and Brookline Fire Department</w:t>
      </w:r>
      <w:r w:rsidRPr="00627EB5">
        <w:rPr>
          <w:rFonts w:ascii="Times New Roman" w:hAnsi="Times New Roman"/>
          <w:sz w:val="24"/>
          <w:szCs w:val="24"/>
        </w:rPr>
        <w:t xml:space="preserve">, Unites States District Court for the District of Massachusetts, the </w:t>
      </w:r>
      <w:proofErr w:type="gramStart"/>
      <w:r w:rsidRPr="00627EB5">
        <w:rPr>
          <w:rFonts w:ascii="Times New Roman" w:hAnsi="Times New Roman"/>
          <w:sz w:val="24"/>
          <w:szCs w:val="24"/>
        </w:rPr>
        <w:t>City</w:t>
      </w:r>
      <w:proofErr w:type="gramEnd"/>
      <w:r w:rsidRPr="00627EB5">
        <w:rPr>
          <w:rFonts w:ascii="Times New Roman" w:hAnsi="Times New Roman"/>
          <w:sz w:val="24"/>
          <w:szCs w:val="24"/>
        </w:rPr>
        <w:t xml:space="preserve"> filed settlement agreement.  The lawsuit was filed December 1, </w:t>
      </w:r>
      <w:proofErr w:type="gramStart"/>
      <w:r w:rsidRPr="00627EB5">
        <w:rPr>
          <w:rFonts w:ascii="Times New Roman" w:hAnsi="Times New Roman"/>
          <w:sz w:val="24"/>
          <w:szCs w:val="24"/>
        </w:rPr>
        <w:t>2023</w:t>
      </w:r>
      <w:proofErr w:type="gramEnd"/>
      <w:r w:rsidRPr="00627EB5">
        <w:rPr>
          <w:rFonts w:ascii="Times New Roman" w:hAnsi="Times New Roman"/>
          <w:sz w:val="24"/>
          <w:szCs w:val="24"/>
        </w:rPr>
        <w:t xml:space="preserve"> by two Lieutenants on behalf of a class of 119 current and former firefighters and officers. The original complaint included a claim that Deputy Chiefs were improperly classified as exempt.  That claim was dropped in the settlement. </w:t>
      </w:r>
      <w:hyperlink r:id="rId1834" w:history="1">
        <w:r w:rsidRPr="00627EB5">
          <w:rPr>
            <w:rStyle w:val="Hyperlink"/>
            <w:rFonts w:ascii="Times New Roman" w:hAnsi="Times New Roman"/>
            <w:sz w:val="24"/>
            <w:szCs w:val="24"/>
          </w:rPr>
          <w:t>https://brookline.news/wp-content/uploads/2024/12/jointsettlementfiling.pdf</w:t>
        </w:r>
      </w:hyperlink>
    </w:p>
    <w:p w14:paraId="14B33F10" w14:textId="77777777" w:rsidR="00627EB5" w:rsidRDefault="00627EB5" w:rsidP="00F515EB">
      <w:pPr>
        <w:pStyle w:val="NoSpacing"/>
        <w:rPr>
          <w:rFonts w:ascii="Times New Roman" w:hAnsi="Times New Roman"/>
          <w:sz w:val="24"/>
          <w:szCs w:val="24"/>
        </w:rPr>
      </w:pPr>
    </w:p>
    <w:p w14:paraId="46F378C0" w14:textId="77777777" w:rsidR="00627EB5" w:rsidRDefault="00627EB5" w:rsidP="00F515EB">
      <w:pPr>
        <w:pStyle w:val="NoSpacing"/>
        <w:rPr>
          <w:rFonts w:ascii="Times New Roman" w:hAnsi="Times New Roman"/>
          <w:sz w:val="24"/>
          <w:szCs w:val="24"/>
        </w:rPr>
      </w:pPr>
    </w:p>
    <w:p w14:paraId="6F5F67C3" w14:textId="3B870C66" w:rsidR="00F515EB" w:rsidRPr="007C7655" w:rsidRDefault="00F515EB" w:rsidP="00F515EB">
      <w:pPr>
        <w:pStyle w:val="NoSpacing"/>
        <w:rPr>
          <w:rFonts w:ascii="Times New Roman" w:hAnsi="Times New Roman"/>
          <w:bCs/>
          <w:sz w:val="24"/>
          <w:szCs w:val="24"/>
        </w:rPr>
      </w:pPr>
      <w:r w:rsidRPr="007C7655">
        <w:rPr>
          <w:rFonts w:ascii="Times New Roman" w:hAnsi="Times New Roman"/>
          <w:sz w:val="24"/>
          <w:szCs w:val="24"/>
        </w:rPr>
        <w:t xml:space="preserve">The Settlement includes following. </w:t>
      </w:r>
    </w:p>
    <w:p w14:paraId="3A1C91AF" w14:textId="77777777" w:rsidR="00F515EB" w:rsidRPr="007C7655" w:rsidRDefault="00F515EB" w:rsidP="00F515EB">
      <w:pPr>
        <w:pStyle w:val="NoSpacing"/>
        <w:rPr>
          <w:rFonts w:ascii="Times New Roman" w:hAnsi="Times New Roman"/>
          <w:bCs/>
          <w:sz w:val="24"/>
          <w:szCs w:val="24"/>
        </w:rPr>
      </w:pPr>
    </w:p>
    <w:p w14:paraId="750DCB80" w14:textId="1327D8E8" w:rsidR="00F515EB" w:rsidRPr="007C7655" w:rsidRDefault="00627EB5" w:rsidP="00F515EB">
      <w:pPr>
        <w:ind w:left="720"/>
        <w:rPr>
          <w:rFonts w:ascii="Times New Roman" w:hAnsi="Times New Roman"/>
          <w:bCs/>
          <w:sz w:val="24"/>
          <w:szCs w:val="24"/>
        </w:rPr>
      </w:pPr>
      <w:r>
        <w:rPr>
          <w:rFonts w:ascii="Times New Roman" w:hAnsi="Times New Roman"/>
          <w:sz w:val="24"/>
          <w:szCs w:val="24"/>
        </w:rPr>
        <w:t>“</w:t>
      </w:r>
      <w:r w:rsidR="00F515EB" w:rsidRPr="007C7655">
        <w:rPr>
          <w:rFonts w:ascii="Times New Roman" w:hAnsi="Times New Roman"/>
          <w:sz w:val="24"/>
          <w:szCs w:val="24"/>
        </w:rPr>
        <w:t>The Town will pay the Plaintiffs the amount of $101,604.22 to resolve all claims as allocated in an attachment to the Settlement Agreement. *** By April 2024, the parties had reached an agreement in principle with the following elements:</w:t>
      </w:r>
    </w:p>
    <w:p w14:paraId="2D44E10A"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 xml:space="preserve">(a) The Town would include the ASHER [Active Shooter / Hostile Event </w:t>
      </w:r>
      <w:proofErr w:type="gramStart"/>
      <w:r w:rsidRPr="007C7655">
        <w:rPr>
          <w:rFonts w:ascii="Times New Roman" w:hAnsi="Times New Roman"/>
          <w:sz w:val="24"/>
          <w:szCs w:val="24"/>
        </w:rPr>
        <w:t>Response]]</w:t>
      </w:r>
      <w:proofErr w:type="gramEnd"/>
      <w:r w:rsidRPr="007C7655">
        <w:rPr>
          <w:rFonts w:ascii="Times New Roman" w:hAnsi="Times New Roman"/>
          <w:sz w:val="24"/>
          <w:szCs w:val="24"/>
        </w:rPr>
        <w:t xml:space="preserve"> stipend in the FLSA regular rate;</w:t>
      </w:r>
    </w:p>
    <w:p w14:paraId="467A1A11"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(b) The Town would count each shift as 24 hours instead of 21 hours as FLSA hours worked;</w:t>
      </w:r>
    </w:p>
    <w:p w14:paraId="5546EB6C"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(c) The Town would properly count the hours of employees who swap shifts;</w:t>
      </w:r>
    </w:p>
    <w:p w14:paraId="1CC261A2"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(d) The Town would include all types of overtime as FLSA hours worked;</w:t>
      </w:r>
    </w:p>
    <w:p w14:paraId="68283DB2"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 xml:space="preserve">(e) The Town would include ‘out of </w:t>
      </w:r>
      <w:proofErr w:type="spellStart"/>
      <w:r w:rsidRPr="007C7655">
        <w:rPr>
          <w:rFonts w:ascii="Times New Roman" w:hAnsi="Times New Roman"/>
          <w:sz w:val="24"/>
          <w:szCs w:val="24"/>
        </w:rPr>
        <w:t>class’</w:t>
      </w:r>
      <w:proofErr w:type="spellEnd"/>
      <w:r w:rsidRPr="007C7655">
        <w:rPr>
          <w:rFonts w:ascii="Times New Roman" w:hAnsi="Times New Roman"/>
          <w:sz w:val="24"/>
          <w:szCs w:val="24"/>
        </w:rPr>
        <w:t xml:space="preserve"> hours as FLSA hours worked;</w:t>
      </w:r>
    </w:p>
    <w:p w14:paraId="6AD3B831"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(f) The Town would count the hours for all days worked, including those days they failed to previously certify;</w:t>
      </w:r>
    </w:p>
    <w:p w14:paraId="574E2A88"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 xml:space="preserve">(g) The Town would not count deputy fire chiefs as FLSA non-exempt </w:t>
      </w:r>
      <w:proofErr w:type="gramStart"/>
      <w:r w:rsidRPr="007C7655">
        <w:rPr>
          <w:rFonts w:ascii="Times New Roman" w:hAnsi="Times New Roman"/>
          <w:sz w:val="24"/>
          <w:szCs w:val="24"/>
        </w:rPr>
        <w:t>employees</w:t>
      </w:r>
      <w:proofErr w:type="gramEnd"/>
      <w:r w:rsidRPr="007C7655">
        <w:rPr>
          <w:rFonts w:ascii="Times New Roman" w:hAnsi="Times New Roman"/>
          <w:sz w:val="24"/>
          <w:szCs w:val="24"/>
        </w:rPr>
        <w:t xml:space="preserve"> but they would count all fire lieutenants and fire captains as FLSA non-exempt employees;</w:t>
      </w:r>
    </w:p>
    <w:p w14:paraId="6CC291A0"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(h) The Plaintiffs would waive liquidated/double damages;</w:t>
      </w:r>
    </w:p>
    <w:p w14:paraId="7F598861" w14:textId="2945F44E"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w:t>
      </w:r>
      <w:proofErr w:type="spellStart"/>
      <w:r w:rsidRPr="007C7655">
        <w:rPr>
          <w:rFonts w:ascii="Times New Roman" w:hAnsi="Times New Roman"/>
          <w:sz w:val="24"/>
          <w:szCs w:val="24"/>
        </w:rPr>
        <w:t>i</w:t>
      </w:r>
      <w:proofErr w:type="spellEnd"/>
      <w:r w:rsidRPr="007C7655">
        <w:rPr>
          <w:rFonts w:ascii="Times New Roman" w:hAnsi="Times New Roman"/>
          <w:sz w:val="24"/>
          <w:szCs w:val="24"/>
        </w:rPr>
        <w:t>) The Plaintiffs would waive attorney’s fees.</w:t>
      </w:r>
      <w:r w:rsidR="00627EB5">
        <w:rPr>
          <w:rFonts w:ascii="Times New Roman" w:hAnsi="Times New Roman"/>
          <w:sz w:val="24"/>
          <w:szCs w:val="24"/>
        </w:rPr>
        <w:t>”</w:t>
      </w:r>
      <w:r w:rsidRPr="007C7655">
        <w:rPr>
          <w:rFonts w:ascii="Times New Roman" w:hAnsi="Times New Roman"/>
          <w:sz w:val="24"/>
          <w:szCs w:val="24"/>
        </w:rPr>
        <w:t xml:space="preserve">  </w:t>
      </w:r>
    </w:p>
    <w:p w14:paraId="28D1E8C0" w14:textId="1B510E58" w:rsidR="00F515EB" w:rsidRPr="007C7655" w:rsidRDefault="00F515EB" w:rsidP="00F515EB">
      <w:pPr>
        <w:pStyle w:val="NoSpacing"/>
        <w:rPr>
          <w:rFonts w:ascii="Times New Roman" w:hAnsi="Times New Roman"/>
          <w:bCs/>
          <w:sz w:val="24"/>
          <w:szCs w:val="24"/>
        </w:rPr>
      </w:pPr>
      <w:r w:rsidRPr="007C7655">
        <w:rPr>
          <w:rFonts w:ascii="Times New Roman" w:hAnsi="Times New Roman"/>
          <w:sz w:val="24"/>
          <w:szCs w:val="24"/>
        </w:rPr>
        <w:t xml:space="preserve"> </w:t>
      </w:r>
    </w:p>
    <w:p w14:paraId="17DADCCD" w14:textId="77777777" w:rsidR="00F515EB" w:rsidRPr="007C7655" w:rsidRDefault="00F515EB" w:rsidP="00F515EB">
      <w:pPr>
        <w:pStyle w:val="NoSpacing"/>
        <w:rPr>
          <w:rFonts w:ascii="Times New Roman" w:hAnsi="Times New Roman"/>
          <w:bCs/>
          <w:sz w:val="24"/>
          <w:szCs w:val="24"/>
        </w:rPr>
      </w:pPr>
    </w:p>
    <w:p w14:paraId="42557027" w14:textId="77777777" w:rsidR="00F515EB" w:rsidRPr="007C7655" w:rsidRDefault="00F515EB" w:rsidP="00F515EB">
      <w:pPr>
        <w:pStyle w:val="NoSpacing"/>
        <w:rPr>
          <w:rFonts w:ascii="Times New Roman" w:hAnsi="Times New Roman"/>
          <w:b/>
          <w:sz w:val="24"/>
          <w:szCs w:val="24"/>
        </w:rPr>
      </w:pPr>
      <w:r w:rsidRPr="007C7655">
        <w:rPr>
          <w:rFonts w:ascii="Times New Roman" w:hAnsi="Times New Roman"/>
          <w:b/>
          <w:sz w:val="24"/>
          <w:szCs w:val="24"/>
        </w:rPr>
        <w:t xml:space="preserve">Legal Lesson Learned: Lieutenants and Captains are non-exempt.  For higher ranks, FDs should consult with knowledgeable legal counsel and read opinion letters from the U.S. Department of Labor, Wage &amp; Hour Division.  </w:t>
      </w:r>
    </w:p>
    <w:p w14:paraId="62BC4D2D" w14:textId="77777777" w:rsidR="00F515EB" w:rsidRPr="007C7655" w:rsidRDefault="00F515EB" w:rsidP="00F515EB">
      <w:pPr>
        <w:pStyle w:val="p0"/>
        <w:ind w:firstLine="0"/>
        <w:rPr>
          <w:rFonts w:ascii="Times New Roman" w:hAnsi="Times New Roman" w:cs="Times New Roman"/>
          <w:sz w:val="24"/>
          <w:szCs w:val="24"/>
        </w:rPr>
      </w:pPr>
    </w:p>
    <w:p w14:paraId="6CE99C59" w14:textId="77777777" w:rsidR="00F515EB" w:rsidRPr="007C7655" w:rsidRDefault="00F515EB" w:rsidP="00F515EB">
      <w:pPr>
        <w:pStyle w:val="p0"/>
        <w:ind w:left="720" w:firstLine="0"/>
        <w:rPr>
          <w:rFonts w:ascii="Times New Roman" w:hAnsi="Times New Roman" w:cs="Times New Roman"/>
          <w:sz w:val="24"/>
          <w:szCs w:val="24"/>
        </w:rPr>
      </w:pPr>
      <w:r w:rsidRPr="007C7655">
        <w:rPr>
          <w:rFonts w:ascii="Times New Roman" w:hAnsi="Times New Roman" w:cs="Times New Roman"/>
          <w:sz w:val="24"/>
          <w:szCs w:val="24"/>
        </w:rPr>
        <w:t xml:space="preserve">Note: See Nov. 24, </w:t>
      </w:r>
      <w:proofErr w:type="gramStart"/>
      <w:r w:rsidRPr="007C7655">
        <w:rPr>
          <w:rFonts w:ascii="Times New Roman" w:hAnsi="Times New Roman" w:cs="Times New Roman"/>
          <w:sz w:val="24"/>
          <w:szCs w:val="24"/>
        </w:rPr>
        <w:t>2024</w:t>
      </w:r>
      <w:proofErr w:type="gramEnd"/>
      <w:r w:rsidRPr="007C7655">
        <w:rPr>
          <w:rFonts w:ascii="Times New Roman" w:hAnsi="Times New Roman" w:cs="Times New Roman"/>
          <w:sz w:val="24"/>
          <w:szCs w:val="24"/>
        </w:rPr>
        <w:t xml:space="preserve"> article, “Settlement Proposed for MA Firefighters Following 2023 FLSA Lawsuit.” </w:t>
      </w:r>
      <w:hyperlink r:id="rId1835" w:history="1">
        <w:r w:rsidRPr="007C7655">
          <w:rPr>
            <w:rStyle w:val="Hyperlink"/>
            <w:rFonts w:ascii="Times New Roman" w:hAnsi="Times New Roman" w:cs="Times New Roman"/>
            <w:sz w:val="24"/>
            <w:szCs w:val="24"/>
          </w:rPr>
          <w:t>https://www.firefighterovertime.org/2024/11/24/settlement-proposed-for-ma-firefighters-following-2023-flsa-lawsuit/</w:t>
        </w:r>
      </w:hyperlink>
      <w:r w:rsidRPr="007C7655">
        <w:rPr>
          <w:rFonts w:ascii="Times New Roman" w:hAnsi="Times New Roman" w:cs="Times New Roman"/>
          <w:sz w:val="24"/>
          <w:szCs w:val="24"/>
        </w:rPr>
        <w:t xml:space="preserve"> </w:t>
      </w:r>
    </w:p>
    <w:p w14:paraId="5FB25DC6" w14:textId="77777777" w:rsidR="00DE6B12" w:rsidRDefault="00DE6B12" w:rsidP="00F326E5">
      <w:pPr>
        <w:rPr>
          <w:rFonts w:ascii="Arial Black" w:hAnsi="Arial Black"/>
          <w:b/>
          <w:sz w:val="24"/>
          <w:szCs w:val="24"/>
        </w:rPr>
      </w:pPr>
    </w:p>
    <w:p w14:paraId="5BA23339" w14:textId="24BC1D07" w:rsidR="00F515EB" w:rsidRDefault="00DE6B12" w:rsidP="00F326E5">
      <w:pPr>
        <w:rPr>
          <w:rFonts w:ascii="Arial Black" w:hAnsi="Arial Black"/>
          <w:b/>
          <w:sz w:val="24"/>
          <w:szCs w:val="24"/>
        </w:rPr>
      </w:pPr>
      <w:r>
        <w:rPr>
          <w:rFonts w:ascii="Arial Black" w:hAnsi="Arial Black"/>
          <w:b/>
          <w:sz w:val="24"/>
          <w:szCs w:val="24"/>
        </w:rPr>
        <w:t>11-55</w:t>
      </w:r>
    </w:p>
    <w:p w14:paraId="41A193C7" w14:textId="77777777" w:rsidR="00AA4BA6" w:rsidRPr="00C841D2" w:rsidRDefault="00AA4BA6" w:rsidP="00AA4BA6">
      <w:pPr>
        <w:spacing w:before="100" w:beforeAutospacing="1" w:after="100" w:afterAutospacing="1" w:line="240" w:lineRule="auto"/>
        <w:rPr>
          <w:rFonts w:ascii="Arial Black" w:hAnsi="Arial Black"/>
          <w:sz w:val="28"/>
          <w:szCs w:val="28"/>
        </w:rPr>
      </w:pPr>
      <w:r>
        <w:rPr>
          <w:rFonts w:ascii="Arial Black" w:hAnsi="Arial Black"/>
          <w:sz w:val="28"/>
          <w:szCs w:val="28"/>
        </w:rPr>
        <w:t>FL: SHERIFF PILOT RESIGNED – FEMALE MGR ANTI-MILITARY – JURY “WILLFUL” VIOL., COURT MUST FOLLOW</w:t>
      </w:r>
    </w:p>
    <w:p w14:paraId="4D8F103F" w14:textId="77777777" w:rsidR="00AA4BA6" w:rsidRDefault="00AA4BA6" w:rsidP="00AA4BA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22, 2024, in </w:t>
      </w:r>
      <w:r w:rsidRPr="00E63245">
        <w:rPr>
          <w:rFonts w:ascii="Times New Roman" w:hAnsi="Times New Roman"/>
          <w:sz w:val="24"/>
          <w:szCs w:val="24"/>
          <w:u w:val="single"/>
        </w:rPr>
        <w:t>Scott Thomas v. Broward County Sheriff’s Office</w:t>
      </w:r>
      <w:r>
        <w:rPr>
          <w:rFonts w:ascii="Times New Roman" w:hAnsi="Times New Roman"/>
          <w:sz w:val="24"/>
          <w:szCs w:val="24"/>
        </w:rPr>
        <w:t>, the U.S. Court of Appeals for 11</w:t>
      </w:r>
      <w:r w:rsidRPr="00E63245">
        <w:rPr>
          <w:rFonts w:ascii="Times New Roman" w:hAnsi="Times New Roman"/>
          <w:sz w:val="24"/>
          <w:szCs w:val="24"/>
          <w:vertAlign w:val="superscript"/>
        </w:rPr>
        <w:t>th</w:t>
      </w:r>
      <w:r>
        <w:rPr>
          <w:rFonts w:ascii="Times New Roman" w:hAnsi="Times New Roman"/>
          <w:sz w:val="24"/>
          <w:szCs w:val="24"/>
        </w:rPr>
        <w:t xml:space="preserve"> Circuit (Atlanta) held (3 to 0) that under </w:t>
      </w:r>
      <w:r w:rsidRPr="006531DA">
        <w:rPr>
          <w:rFonts w:ascii="Times New Roman" w:hAnsi="Times New Roman"/>
          <w:sz w:val="24"/>
          <w:szCs w:val="24"/>
        </w:rPr>
        <w:t>the Uniformed</w:t>
      </w:r>
      <w:r>
        <w:rPr>
          <w:rFonts w:ascii="Times New Roman" w:hAnsi="Times New Roman"/>
          <w:sz w:val="24"/>
          <w:szCs w:val="24"/>
        </w:rPr>
        <w:t xml:space="preserve"> </w:t>
      </w:r>
      <w:r w:rsidRPr="006531DA">
        <w:rPr>
          <w:rFonts w:ascii="Times New Roman" w:hAnsi="Times New Roman"/>
          <w:sz w:val="24"/>
          <w:szCs w:val="24"/>
        </w:rPr>
        <w:t>Services Employment and Reemployment Rights Act</w:t>
      </w:r>
      <w:r>
        <w:rPr>
          <w:rFonts w:ascii="Times New Roman" w:hAnsi="Times New Roman"/>
          <w:sz w:val="24"/>
          <w:szCs w:val="24"/>
        </w:rPr>
        <w:t xml:space="preserve">, a federal District Court judge can double the lost wages verdict for “willful” violations of the Act, and when as in this case the parties agree to submit that decision to a jury, the District Court judge cannot set aside the jury’s finding of “willful” as merely advisory. Pilot awarded $240,000, which is then doubled, for willful violation. </w:t>
      </w:r>
    </w:p>
    <w:p w14:paraId="046F27EB" w14:textId="77777777" w:rsidR="00AA4BA6" w:rsidRDefault="00AA4BA6" w:rsidP="00AA4BA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The 11</w:t>
      </w:r>
      <w:r w:rsidRPr="00E63245">
        <w:rPr>
          <w:rFonts w:ascii="Times New Roman" w:hAnsi="Times New Roman"/>
          <w:sz w:val="24"/>
          <w:szCs w:val="24"/>
          <w:vertAlign w:val="superscript"/>
        </w:rPr>
        <w:t>th</w:t>
      </w:r>
      <w:r>
        <w:rPr>
          <w:rFonts w:ascii="Times New Roman" w:hAnsi="Times New Roman"/>
          <w:sz w:val="24"/>
          <w:szCs w:val="24"/>
        </w:rPr>
        <w:t xml:space="preserve"> Circuit held: “</w:t>
      </w:r>
      <w:r w:rsidRPr="00C841D2">
        <w:rPr>
          <w:rFonts w:ascii="Times New Roman" w:hAnsi="Times New Roman"/>
          <w:sz w:val="24"/>
          <w:szCs w:val="24"/>
        </w:rPr>
        <w:t>The jury determined that the sheriff’s office’s violation of the Act was willful. Thomas argues that this finding bound the district court because the parties consented to a jury</w:t>
      </w:r>
      <w:r>
        <w:rPr>
          <w:rFonts w:ascii="Times New Roman" w:hAnsi="Times New Roman"/>
          <w:sz w:val="24"/>
          <w:szCs w:val="24"/>
        </w:rPr>
        <w:t xml:space="preserve"> </w:t>
      </w:r>
      <w:r w:rsidRPr="00C841D2">
        <w:rPr>
          <w:rFonts w:ascii="Times New Roman" w:hAnsi="Times New Roman"/>
          <w:sz w:val="24"/>
          <w:szCs w:val="24"/>
        </w:rPr>
        <w:t>trial on the issue of willfulness. Alternatively, he argues that the</w:t>
      </w:r>
      <w:r>
        <w:rPr>
          <w:rFonts w:ascii="Times New Roman" w:hAnsi="Times New Roman"/>
          <w:sz w:val="24"/>
          <w:szCs w:val="24"/>
        </w:rPr>
        <w:t xml:space="preserve"> </w:t>
      </w:r>
      <w:r w:rsidRPr="00C841D2">
        <w:rPr>
          <w:rFonts w:ascii="Times New Roman" w:hAnsi="Times New Roman"/>
          <w:sz w:val="24"/>
          <w:szCs w:val="24"/>
        </w:rPr>
        <w:t>jury’s determination was conclusive because the statute itself gave</w:t>
      </w:r>
      <w:r>
        <w:rPr>
          <w:rFonts w:ascii="Times New Roman" w:hAnsi="Times New Roman"/>
          <w:sz w:val="24"/>
          <w:szCs w:val="24"/>
        </w:rPr>
        <w:t xml:space="preserve"> </w:t>
      </w:r>
      <w:r w:rsidRPr="00C841D2">
        <w:rPr>
          <w:rFonts w:ascii="Times New Roman" w:hAnsi="Times New Roman"/>
          <w:sz w:val="24"/>
          <w:szCs w:val="24"/>
        </w:rPr>
        <w:t>him the right to have the jury decide the issue. We need not reach</w:t>
      </w:r>
      <w:r>
        <w:rPr>
          <w:rFonts w:ascii="Times New Roman" w:hAnsi="Times New Roman"/>
          <w:sz w:val="24"/>
          <w:szCs w:val="24"/>
        </w:rPr>
        <w:t xml:space="preserve"> </w:t>
      </w:r>
      <w:r w:rsidRPr="00C841D2">
        <w:rPr>
          <w:rFonts w:ascii="Times New Roman" w:hAnsi="Times New Roman"/>
          <w:sz w:val="24"/>
          <w:szCs w:val="24"/>
        </w:rPr>
        <w:t>his second argument because his first argument is correct</w:t>
      </w:r>
      <w:r>
        <w:rPr>
          <w:rFonts w:ascii="Times New Roman" w:hAnsi="Times New Roman"/>
          <w:sz w:val="24"/>
          <w:szCs w:val="24"/>
        </w:rPr>
        <w:t>.”</w:t>
      </w:r>
      <w:r w:rsidRPr="00E63245">
        <w:t xml:space="preserve"> </w:t>
      </w:r>
      <w:hyperlink r:id="rId1836" w:history="1">
        <w:r w:rsidRPr="00AA56D8">
          <w:rPr>
            <w:rStyle w:val="Hyperlink"/>
            <w:sz w:val="24"/>
            <w:szCs w:val="24"/>
          </w:rPr>
          <w:t>https://media.ca11.uscourts.gov/opinions/pub/files/202211322.pdf</w:t>
        </w:r>
      </w:hyperlink>
      <w:r>
        <w:rPr>
          <w:rFonts w:ascii="Times New Roman" w:hAnsi="Times New Roman"/>
          <w:sz w:val="24"/>
          <w:szCs w:val="24"/>
        </w:rPr>
        <w:t xml:space="preserve"> </w:t>
      </w:r>
    </w:p>
    <w:p w14:paraId="375B0C7B" w14:textId="77777777" w:rsidR="00AA4BA6" w:rsidRPr="00091A17" w:rsidRDefault="00AA4BA6" w:rsidP="00AA4BA6">
      <w:pPr>
        <w:spacing w:before="100" w:beforeAutospacing="1" w:after="100" w:afterAutospacing="1" w:line="240" w:lineRule="auto"/>
        <w:rPr>
          <w:rFonts w:ascii="Times New Roman" w:hAnsi="Times New Roman"/>
          <w:b/>
          <w:bCs/>
          <w:sz w:val="24"/>
          <w:szCs w:val="24"/>
        </w:rPr>
      </w:pPr>
      <w:r w:rsidRPr="00091A17">
        <w:rPr>
          <w:rFonts w:ascii="Times New Roman" w:hAnsi="Times New Roman"/>
          <w:b/>
          <w:bCs/>
          <w:sz w:val="24"/>
          <w:szCs w:val="24"/>
        </w:rPr>
        <w:t>Legal Lesson Learned: USERRA prohibits employers</w:t>
      </w:r>
      <w:r>
        <w:rPr>
          <w:rFonts w:ascii="Times New Roman" w:hAnsi="Times New Roman"/>
          <w:b/>
          <w:bCs/>
          <w:sz w:val="24"/>
          <w:szCs w:val="24"/>
        </w:rPr>
        <w:t xml:space="preserve">, including sheriffs and Fire &amp; EMS, </w:t>
      </w:r>
      <w:r w:rsidRPr="00091A17">
        <w:rPr>
          <w:rFonts w:ascii="Times New Roman" w:hAnsi="Times New Roman"/>
          <w:b/>
          <w:bCs/>
          <w:sz w:val="24"/>
          <w:szCs w:val="24"/>
        </w:rPr>
        <w:t xml:space="preserve"> from</w:t>
      </w:r>
      <w:r>
        <w:rPr>
          <w:rFonts w:ascii="Times New Roman" w:hAnsi="Times New Roman"/>
          <w:b/>
          <w:bCs/>
          <w:sz w:val="24"/>
          <w:szCs w:val="24"/>
        </w:rPr>
        <w:t xml:space="preserve"> </w:t>
      </w:r>
      <w:r w:rsidRPr="00091A17">
        <w:rPr>
          <w:rFonts w:ascii="Times New Roman" w:hAnsi="Times New Roman"/>
          <w:b/>
          <w:bCs/>
          <w:sz w:val="24"/>
          <w:szCs w:val="24"/>
        </w:rPr>
        <w:t>discriminating against past and present members of the uniformed services</w:t>
      </w:r>
      <w:r>
        <w:rPr>
          <w:rFonts w:ascii="Times New Roman" w:hAnsi="Times New Roman"/>
          <w:b/>
          <w:bCs/>
          <w:sz w:val="24"/>
          <w:szCs w:val="24"/>
        </w:rPr>
        <w:t xml:space="preserve">. </w:t>
      </w:r>
      <w:r w:rsidRPr="00091A17">
        <w:rPr>
          <w:rFonts w:ascii="Times New Roman" w:hAnsi="Times New Roman"/>
          <w:b/>
          <w:bCs/>
          <w:sz w:val="24"/>
          <w:szCs w:val="24"/>
        </w:rPr>
        <w:t xml:space="preserve"> </w:t>
      </w:r>
    </w:p>
    <w:p w14:paraId="6AF34609" w14:textId="3AFAA7AC" w:rsidR="00F515EB" w:rsidRDefault="00AA4BA6" w:rsidP="00AA4BA6">
      <w:pPr>
        <w:rPr>
          <w:rFonts w:ascii="Arial Black" w:hAnsi="Arial Black"/>
          <w:b/>
          <w:sz w:val="24"/>
          <w:szCs w:val="24"/>
        </w:rPr>
      </w:pPr>
      <w:r w:rsidRPr="00091A17">
        <w:rPr>
          <w:rFonts w:ascii="Times New Roman" w:eastAsia="Times New Roman" w:hAnsi="Times New Roman"/>
          <w:sz w:val="24"/>
          <w:szCs w:val="24"/>
        </w:rPr>
        <w:t xml:space="preserve">Note: </w:t>
      </w:r>
      <w:r>
        <w:rPr>
          <w:rFonts w:ascii="Times New Roman" w:eastAsia="Times New Roman" w:hAnsi="Times New Roman"/>
          <w:sz w:val="24"/>
          <w:szCs w:val="24"/>
        </w:rPr>
        <w:t>“</w:t>
      </w:r>
      <w:r w:rsidRPr="00091A17">
        <w:rPr>
          <w:rFonts w:ascii="Times New Roman" w:hAnsi="Times New Roman"/>
          <w:sz w:val="24"/>
          <w:szCs w:val="24"/>
        </w:rPr>
        <w:t xml:space="preserve">USERRA applies to all public and private employers in the United States, regardless of size. For example, an employer with only one employee is covered for purposes of the act. USERRA also applies to foreign employers doing business in the United States. A foreign employer that has a physical location or branch in the United States (including U.S. territories and possessions) must comply with USERRA for any of its employees who are employed in the United States. </w:t>
      </w:r>
      <w:hyperlink r:id="rId1837" w:history="1">
        <w:r w:rsidRPr="00091A17">
          <w:rPr>
            <w:rStyle w:val="Hyperlink"/>
            <w:sz w:val="24"/>
            <w:szCs w:val="24"/>
          </w:rPr>
          <w:t>https://www.militaryonesource.mil/national-guard/employment-support/uniformed-services-employment-and-reemployment-rights-act/</w:t>
        </w:r>
      </w:hyperlink>
    </w:p>
    <w:p w14:paraId="5C7AD2E1" w14:textId="77777777" w:rsidR="00F515EB" w:rsidRDefault="00F515EB" w:rsidP="00F326E5">
      <w:pPr>
        <w:rPr>
          <w:rFonts w:ascii="Arial Black" w:hAnsi="Arial Black"/>
          <w:b/>
          <w:sz w:val="24"/>
          <w:szCs w:val="24"/>
        </w:rPr>
      </w:pPr>
    </w:p>
    <w:p w14:paraId="775DA168" w14:textId="47B04C89" w:rsidR="00421B7C" w:rsidRDefault="00421B7C" w:rsidP="00F326E5">
      <w:pPr>
        <w:rPr>
          <w:rFonts w:ascii="Arial Black" w:hAnsi="Arial Black"/>
          <w:b/>
          <w:sz w:val="24"/>
          <w:szCs w:val="24"/>
        </w:rPr>
      </w:pPr>
      <w:r>
        <w:rPr>
          <w:rFonts w:ascii="Arial Black" w:hAnsi="Arial Black"/>
          <w:b/>
          <w:sz w:val="24"/>
          <w:szCs w:val="24"/>
        </w:rPr>
        <w:t>11-5</w:t>
      </w:r>
      <w:r w:rsidR="009601CD">
        <w:rPr>
          <w:rFonts w:ascii="Arial Black" w:hAnsi="Arial Black"/>
          <w:b/>
          <w:sz w:val="24"/>
          <w:szCs w:val="24"/>
        </w:rPr>
        <w:t>4</w:t>
      </w:r>
    </w:p>
    <w:p w14:paraId="5ADFB112" w14:textId="77777777" w:rsidR="00421B7C" w:rsidRDefault="00421B7C" w:rsidP="00421B7C">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SC: FF / PARAMEDIC – 90% OF HER TIME EMS DUTIES – FF EXEMPTION STILL APPLIES - OVERTIME AFTER 53 HOURS</w:t>
      </w:r>
    </w:p>
    <w:p w14:paraId="5298F866" w14:textId="77777777" w:rsidR="00421B7C" w:rsidRPr="009D70F9" w:rsidRDefault="00421B7C" w:rsidP="00421B7C">
      <w:pPr>
        <w:pStyle w:val="NormalWeb"/>
        <w:rPr>
          <w:shd w:val="clear" w:color="auto" w:fill="FFFFFF"/>
        </w:rPr>
      </w:pPr>
      <w:r w:rsidRPr="009D70F9">
        <w:rPr>
          <w:color w:val="454545"/>
          <w:shd w:val="clear" w:color="auto" w:fill="FFFFFF"/>
        </w:rPr>
        <w:t xml:space="preserve">On July 30, 2024, in </w:t>
      </w:r>
      <w:r w:rsidRPr="009D70F9">
        <w:rPr>
          <w:color w:val="454545"/>
          <w:u w:val="single"/>
          <w:shd w:val="clear" w:color="auto" w:fill="FFFFFF"/>
        </w:rPr>
        <w:t>Heather Nicole Davis v. Jasper County</w:t>
      </w:r>
      <w:r w:rsidRPr="009D70F9">
        <w:rPr>
          <w:color w:val="454545"/>
          <w:shd w:val="clear" w:color="auto" w:fill="FFFFFF"/>
        </w:rPr>
        <w:t>,  U.S. District Court Judge Bruce Howe Hendricks granted summary judgment to Jasper County; as a firefighter / paramedic she is only entitled to overtime after 53 hours (not 40 hours).  “</w:t>
      </w:r>
      <w:r w:rsidRPr="009D70F9">
        <w:rPr>
          <w:shd w:val="clear" w:color="auto" w:fill="FFFFFF"/>
        </w:rPr>
        <w:t xml:space="preserve">The Court finds Plaintiff’s argument without merit. Based on the testimonial evidence set forth above, there is no genuine dispute that Plaintiff </w:t>
      </w:r>
      <w:proofErr w:type="gramStart"/>
      <w:r w:rsidRPr="009D70F9">
        <w:rPr>
          <w:shd w:val="clear" w:color="auto" w:fill="FFFFFF"/>
        </w:rPr>
        <w:t>actually engaged</w:t>
      </w:r>
      <w:proofErr w:type="gramEnd"/>
      <w:r w:rsidRPr="009D70F9">
        <w:rPr>
          <w:shd w:val="clear" w:color="auto" w:fill="FFFFFF"/>
        </w:rPr>
        <w:t xml:space="preserve"> in fire prevention and suppression – she sometimes drove the fire truck, has operated the fire pump, and has put on her turn out gear and entered a structure on fire. There is no requirement in the statute that Plaintiff engage in fire prevention and suppression with any specified </w:t>
      </w:r>
      <w:proofErr w:type="gramStart"/>
      <w:r w:rsidRPr="009D70F9">
        <w:rPr>
          <w:shd w:val="clear" w:color="auto" w:fill="FFFFFF"/>
        </w:rPr>
        <w:t>frequency.”</w:t>
      </w:r>
      <w:proofErr w:type="gramEnd"/>
      <w:r w:rsidRPr="009D70F9">
        <w:t xml:space="preserve"> </w:t>
      </w:r>
      <w:hyperlink r:id="rId1838" w:history="1">
        <w:r w:rsidRPr="009D70F9">
          <w:rPr>
            <w:rStyle w:val="Hyperlink"/>
            <w:shd w:val="clear" w:color="auto" w:fill="FFFFFF"/>
          </w:rPr>
          <w:t>https://www.firefighterovertime.org/wp-content/uploads/2024/07/US_DIS_SCD_9_21cv3964_d87991559e1450_ORDER_denying_40_Motion_for_Summary_Judgment_grant.pdf</w:t>
        </w:r>
      </w:hyperlink>
    </w:p>
    <w:p w14:paraId="517E3A5E" w14:textId="77777777" w:rsidR="00421B7C" w:rsidRPr="009D70F9" w:rsidRDefault="00421B7C" w:rsidP="00421B7C">
      <w:pPr>
        <w:pStyle w:val="NormalWeb"/>
        <w:rPr>
          <w:shd w:val="clear" w:color="auto" w:fill="FFFFFF"/>
        </w:rPr>
      </w:pPr>
      <w:r w:rsidRPr="009D70F9">
        <w:rPr>
          <w:shd w:val="clear" w:color="auto" w:fill="FFFFFF"/>
        </w:rPr>
        <w:t>THE COURT HELD:</w:t>
      </w:r>
    </w:p>
    <w:p w14:paraId="729215C4" w14:textId="77777777" w:rsidR="00421B7C" w:rsidRPr="009D70F9" w:rsidRDefault="00421B7C" w:rsidP="00421B7C">
      <w:pPr>
        <w:pStyle w:val="NormalWeb"/>
        <w:ind w:left="720"/>
        <w:rPr>
          <w:shd w:val="clear" w:color="auto" w:fill="FFFFFF"/>
        </w:rPr>
      </w:pPr>
      <w:r w:rsidRPr="009D70F9">
        <w:rPr>
          <w:shd w:val="clear" w:color="auto" w:fill="FFFFFF"/>
        </w:rPr>
        <w:t>“Here, Plaintiff does not dispute that she was employed as a Firefighter/Paramedic; that she trained in fire suppression; that she had the legal authority to engage in fire suppression; and that she was employed by a fire department of a county….  Thus, as to the first part of § 203(y), elements (1) through (4), the remaining issue is whether plaintiff had the responsibility to engage in fire suppression.</w:t>
      </w:r>
    </w:p>
    <w:p w14:paraId="6959F670" w14:textId="77777777" w:rsidR="00421B7C" w:rsidRDefault="00421B7C" w:rsidP="00421B7C">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ab/>
        <w:t>***</w:t>
      </w:r>
    </w:p>
    <w:p w14:paraId="3B5018CE" w14:textId="77777777" w:rsidR="00421B7C" w:rsidRDefault="00421B7C" w:rsidP="00421B7C">
      <w:pPr>
        <w:pStyle w:val="NoSpacing"/>
        <w:rPr>
          <w:rFonts w:ascii="Times New Roman" w:hAnsi="Times New Roman"/>
          <w:sz w:val="24"/>
          <w:szCs w:val="24"/>
          <w:shd w:val="clear" w:color="auto" w:fill="FFFFFF"/>
        </w:rPr>
      </w:pPr>
    </w:p>
    <w:p w14:paraId="0AD462D1" w14:textId="77777777" w:rsidR="00421B7C" w:rsidRPr="00A25A83" w:rsidRDefault="00421B7C" w:rsidP="00421B7C">
      <w:pPr>
        <w:pStyle w:val="NoSpacing"/>
        <w:ind w:firstLine="720"/>
        <w:rPr>
          <w:rFonts w:ascii="Times New Roman" w:hAnsi="Times New Roman"/>
          <w:sz w:val="24"/>
          <w:szCs w:val="24"/>
          <w:shd w:val="clear" w:color="auto" w:fill="FFFFFF"/>
        </w:rPr>
      </w:pPr>
      <w:r w:rsidRPr="00A25A83">
        <w:rPr>
          <w:rFonts w:ascii="Times New Roman" w:hAnsi="Times New Roman"/>
          <w:sz w:val="24"/>
          <w:szCs w:val="24"/>
          <w:shd w:val="clear" w:color="auto" w:fill="FFFFFF"/>
        </w:rPr>
        <w:t xml:space="preserve">In 1999, Congress amended the FLSA to </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clarify the overtime exemption for</w:t>
      </w:r>
    </w:p>
    <w:p w14:paraId="10DFA673" w14:textId="77777777" w:rsidR="00421B7C" w:rsidRPr="00A25A83" w:rsidRDefault="00421B7C" w:rsidP="00421B7C">
      <w:pPr>
        <w:pStyle w:val="NoSpacing"/>
        <w:ind w:firstLine="720"/>
        <w:rPr>
          <w:rFonts w:ascii="Times New Roman" w:hAnsi="Times New Roman"/>
          <w:sz w:val="24"/>
          <w:szCs w:val="24"/>
          <w:shd w:val="clear" w:color="auto" w:fill="FFFFFF"/>
        </w:rPr>
      </w:pPr>
      <w:r w:rsidRPr="00A25A83">
        <w:rPr>
          <w:rFonts w:ascii="Times New Roman" w:hAnsi="Times New Roman"/>
          <w:sz w:val="24"/>
          <w:szCs w:val="24"/>
          <w:shd w:val="clear" w:color="auto" w:fill="FFFFFF"/>
        </w:rPr>
        <w:t>employees engaged in fire protection activities.</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 xml:space="preserve"> Pub. L. No. 106-151, 113 Stat.</w:t>
      </w:r>
    </w:p>
    <w:p w14:paraId="6F0137EE" w14:textId="77777777" w:rsidR="00421B7C" w:rsidRPr="00A25A83" w:rsidRDefault="00421B7C" w:rsidP="00421B7C">
      <w:pPr>
        <w:pStyle w:val="NoSpacing"/>
        <w:ind w:left="720"/>
        <w:rPr>
          <w:rFonts w:ascii="Times New Roman" w:hAnsi="Times New Roman"/>
          <w:sz w:val="24"/>
          <w:szCs w:val="24"/>
          <w:shd w:val="clear" w:color="auto" w:fill="FFFFFF"/>
        </w:rPr>
      </w:pPr>
      <w:r w:rsidRPr="00A25A83">
        <w:rPr>
          <w:rFonts w:ascii="Times New Roman" w:hAnsi="Times New Roman"/>
          <w:sz w:val="24"/>
          <w:szCs w:val="24"/>
          <w:shd w:val="clear" w:color="auto" w:fill="FFFFFF"/>
        </w:rPr>
        <w:t>1731(codified as amended at 29 U.S.C. § 203(y)). Under 29 U.S.C. § 203(y), the following</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 xml:space="preserve">employees are, by definition, considered to be involved </w:t>
      </w:r>
      <w:r>
        <w:rPr>
          <w:rFonts w:ascii="Times New Roman" w:hAnsi="Times New Roman"/>
          <w:sz w:val="24"/>
          <w:szCs w:val="24"/>
          <w:shd w:val="clear" w:color="auto" w:fill="FFFFFF"/>
        </w:rPr>
        <w:t>‘i</w:t>
      </w:r>
      <w:r w:rsidRPr="00A25A83">
        <w:rPr>
          <w:rFonts w:ascii="Times New Roman" w:hAnsi="Times New Roman"/>
          <w:sz w:val="24"/>
          <w:szCs w:val="24"/>
          <w:shd w:val="clear" w:color="auto" w:fill="FFFFFF"/>
        </w:rPr>
        <w:t>n fire protection activities</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 xml:space="preserve"> for</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the purpose of the Section 207(k) exemption:</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an employee, including a firefighter, paramedic, emergency medical</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technician, rescue worker, ambulance personnel, or hazardous materials</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worker, who . . . is trained in fire suppression, has the legal authority and</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responsibility to engage in fire suppression, and is employed by a fire</w:t>
      </w:r>
    </w:p>
    <w:p w14:paraId="1CCBA178" w14:textId="77777777" w:rsidR="00421B7C" w:rsidRDefault="00421B7C" w:rsidP="00421B7C">
      <w:pPr>
        <w:pStyle w:val="NoSpacing"/>
        <w:ind w:left="720"/>
        <w:rPr>
          <w:rFonts w:ascii="Times New Roman" w:hAnsi="Times New Roman"/>
          <w:sz w:val="24"/>
          <w:szCs w:val="24"/>
          <w:shd w:val="clear" w:color="auto" w:fill="FFFFFF"/>
        </w:rPr>
      </w:pPr>
      <w:r w:rsidRPr="00A25A83">
        <w:rPr>
          <w:rFonts w:ascii="Times New Roman" w:hAnsi="Times New Roman"/>
          <w:sz w:val="24"/>
          <w:szCs w:val="24"/>
          <w:shd w:val="clear" w:color="auto" w:fill="FFFFFF"/>
        </w:rPr>
        <w:t>department of a municipality, county, fire district, or State; and is engaged</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in the prevention, control, and extinguishment of fires or response to</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emergency situations where life, property, or the environment is at risk.</w:t>
      </w:r>
      <w:r>
        <w:rPr>
          <w:rFonts w:ascii="Times New Roman" w:hAnsi="Times New Roman"/>
          <w:sz w:val="24"/>
          <w:szCs w:val="24"/>
          <w:shd w:val="clear" w:color="auto" w:fill="FFFFFF"/>
        </w:rPr>
        <w:t>”</w:t>
      </w:r>
    </w:p>
    <w:p w14:paraId="43005CF1" w14:textId="77777777" w:rsidR="00693009" w:rsidRDefault="00693009" w:rsidP="00693009">
      <w:pPr>
        <w:pStyle w:val="NoSpacing"/>
        <w:rPr>
          <w:rFonts w:ascii="Times New Roman" w:hAnsi="Times New Roman"/>
          <w:b/>
          <w:bCs/>
          <w:sz w:val="24"/>
          <w:szCs w:val="24"/>
          <w:shd w:val="clear" w:color="auto" w:fill="FFFFFF"/>
        </w:rPr>
      </w:pPr>
    </w:p>
    <w:p w14:paraId="1DCE5728" w14:textId="0CB626EF" w:rsidR="00693009" w:rsidRPr="00A71244" w:rsidRDefault="00693009" w:rsidP="00693009">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FLSA </w:t>
      </w:r>
      <w:r w:rsidRPr="003776C2">
        <w:rPr>
          <w:rFonts w:ascii="Times New Roman" w:hAnsi="Times New Roman"/>
          <w:b/>
          <w:bCs/>
          <w:sz w:val="24"/>
          <w:szCs w:val="24"/>
          <w:shd w:val="clear" w:color="auto" w:fill="FFFFFF"/>
        </w:rPr>
        <w:t>Section 207(k) exemption</w:t>
      </w:r>
      <w:r>
        <w:rPr>
          <w:rFonts w:ascii="Times New Roman" w:hAnsi="Times New Roman"/>
          <w:b/>
          <w:bCs/>
          <w:sz w:val="24"/>
          <w:szCs w:val="24"/>
          <w:shd w:val="clear" w:color="auto" w:fill="FFFFFF"/>
        </w:rPr>
        <w:t xml:space="preserve"> clearly applies to her; one </w:t>
      </w:r>
      <w:proofErr w:type="gramStart"/>
      <w:r>
        <w:rPr>
          <w:rFonts w:ascii="Times New Roman" w:hAnsi="Times New Roman"/>
          <w:b/>
          <w:bCs/>
          <w:sz w:val="24"/>
          <w:szCs w:val="24"/>
          <w:shd w:val="clear" w:color="auto" w:fill="FFFFFF"/>
        </w:rPr>
        <w:t>has to</w:t>
      </w:r>
      <w:proofErr w:type="gramEnd"/>
      <w:r>
        <w:rPr>
          <w:rFonts w:ascii="Times New Roman" w:hAnsi="Times New Roman"/>
          <w:b/>
          <w:bCs/>
          <w:sz w:val="24"/>
          <w:szCs w:val="24"/>
          <w:shd w:val="clear" w:color="auto" w:fill="FFFFFF"/>
        </w:rPr>
        <w:t xml:space="preserve"> wonder why she even filed this lawsuit. </w:t>
      </w:r>
    </w:p>
    <w:p w14:paraId="3B82A3AF" w14:textId="77777777" w:rsidR="00693009" w:rsidRDefault="00693009" w:rsidP="00F326E5">
      <w:pPr>
        <w:rPr>
          <w:rFonts w:ascii="Arial Black" w:hAnsi="Arial Black"/>
          <w:b/>
          <w:sz w:val="24"/>
          <w:szCs w:val="24"/>
        </w:rPr>
      </w:pPr>
    </w:p>
    <w:p w14:paraId="2644AB10" w14:textId="77777777" w:rsidR="00421B7C" w:rsidRDefault="00421B7C" w:rsidP="00F326E5">
      <w:pPr>
        <w:rPr>
          <w:rFonts w:ascii="Arial Black" w:hAnsi="Arial Black"/>
          <w:b/>
          <w:sz w:val="24"/>
          <w:szCs w:val="24"/>
        </w:rPr>
      </w:pPr>
    </w:p>
    <w:p w14:paraId="0DD39E4D" w14:textId="29B74782" w:rsidR="008A71A3" w:rsidRDefault="008A71A3" w:rsidP="00F326E5">
      <w:pPr>
        <w:rPr>
          <w:rFonts w:ascii="Arial Black" w:hAnsi="Arial Black"/>
          <w:b/>
          <w:sz w:val="24"/>
          <w:szCs w:val="24"/>
        </w:rPr>
      </w:pPr>
      <w:r>
        <w:rPr>
          <w:rFonts w:ascii="Arial Black" w:hAnsi="Arial Black"/>
          <w:b/>
          <w:sz w:val="24"/>
          <w:szCs w:val="24"/>
        </w:rPr>
        <w:t>11-5</w:t>
      </w:r>
      <w:r w:rsidR="009601CD">
        <w:rPr>
          <w:rFonts w:ascii="Arial Black" w:hAnsi="Arial Black"/>
          <w:b/>
          <w:sz w:val="24"/>
          <w:szCs w:val="24"/>
        </w:rPr>
        <w:t>3</w:t>
      </w:r>
    </w:p>
    <w:p w14:paraId="620353CE" w14:textId="77777777" w:rsidR="0060682A" w:rsidRPr="006179C5" w:rsidRDefault="0060682A" w:rsidP="0060682A">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OK: FLSA SETTLEMENT – SHIFT DIFFERENTIAL - $350,000 / UP TO 130 EMS MAY JOIN – AGREEMENT MUST BE PUBLIC </w:t>
      </w:r>
    </w:p>
    <w:p w14:paraId="34B30331" w14:textId="77777777" w:rsidR="0060682A" w:rsidRPr="0060682A" w:rsidRDefault="0060682A" w:rsidP="0060682A">
      <w:pPr>
        <w:pStyle w:val="NormalWeb"/>
        <w:rPr>
          <w:color w:val="454545"/>
          <w:shd w:val="clear" w:color="auto" w:fill="FFFFFF"/>
        </w:rPr>
      </w:pPr>
      <w:r w:rsidRPr="0060682A">
        <w:rPr>
          <w:color w:val="454545"/>
          <w:shd w:val="clear" w:color="auto" w:fill="FFFFFF"/>
        </w:rPr>
        <w:t xml:space="preserve">On May 23, 2024, in </w:t>
      </w:r>
      <w:r w:rsidRPr="0060682A">
        <w:rPr>
          <w:color w:val="454545"/>
          <w:u w:val="single"/>
          <w:shd w:val="clear" w:color="auto" w:fill="FFFFFF"/>
        </w:rPr>
        <w:t>Jerry Sherley v. Muskogee County EMS</w:t>
      </w:r>
      <w:r w:rsidRPr="0060682A">
        <w:rPr>
          <w:color w:val="454545"/>
          <w:shd w:val="clear" w:color="auto" w:fill="FFFFFF"/>
        </w:rPr>
        <w:t>, U.S. District Court Judge John F. Heil has agreed to review the terms for fairness the proposed settlement of class action after plaintiff submits a proposed notice to all 130 EMS, and the settlement must be a public record.  The Court held:</w:t>
      </w:r>
    </w:p>
    <w:p w14:paraId="13D05640" w14:textId="528E4438" w:rsidR="008A71A3" w:rsidRPr="0060682A" w:rsidRDefault="0060682A" w:rsidP="0060682A">
      <w:pPr>
        <w:ind w:left="720"/>
        <w:rPr>
          <w:rFonts w:ascii="Times New Roman" w:hAnsi="Times New Roman"/>
          <w:b/>
          <w:sz w:val="24"/>
          <w:szCs w:val="24"/>
        </w:rPr>
      </w:pPr>
      <w:r w:rsidRPr="0060682A">
        <w:rPr>
          <w:rFonts w:ascii="Times New Roman" w:hAnsi="Times New Roman"/>
          <w:color w:val="454545"/>
          <w:sz w:val="24"/>
          <w:szCs w:val="24"/>
          <w:shd w:val="clear" w:color="auto" w:fill="FFFFFF"/>
        </w:rPr>
        <w:t>“</w:t>
      </w:r>
      <w:r w:rsidRPr="0060682A">
        <w:rPr>
          <w:rFonts w:ascii="Times New Roman" w:hAnsi="Times New Roman"/>
          <w:sz w:val="24"/>
          <w:szCs w:val="24"/>
        </w:rPr>
        <w:t xml:space="preserve">Plaintiff should file a motion for conditional certification and approval of the proposed notice to the putative class members…. Lastly, Plaintiff argues that public interest is advanced by allowing the proposed settlement agreement to be sealed because doing so would ‘encourage[] settlement negotiations and </w:t>
      </w:r>
      <w:proofErr w:type="gramStart"/>
      <w:r w:rsidRPr="0060682A">
        <w:rPr>
          <w:rFonts w:ascii="Times New Roman" w:hAnsi="Times New Roman"/>
          <w:sz w:val="24"/>
          <w:szCs w:val="24"/>
        </w:rPr>
        <w:t>agreements, and</w:t>
      </w:r>
      <w:proofErr w:type="gramEnd"/>
      <w:r w:rsidRPr="0060682A">
        <w:rPr>
          <w:rFonts w:ascii="Times New Roman" w:hAnsi="Times New Roman"/>
          <w:sz w:val="24"/>
          <w:szCs w:val="24"/>
        </w:rPr>
        <w:t xml:space="preserve"> preserve judicial resources.’ </w:t>
      </w:r>
      <w:proofErr w:type="spellStart"/>
      <w:r w:rsidRPr="0060682A">
        <w:rPr>
          <w:rFonts w:ascii="Times New Roman" w:hAnsi="Times New Roman"/>
          <w:sz w:val="24"/>
          <w:szCs w:val="24"/>
        </w:rPr>
        <w:t>Dkt</w:t>
      </w:r>
      <w:proofErr w:type="spellEnd"/>
      <w:r w:rsidRPr="0060682A">
        <w:rPr>
          <w:rFonts w:ascii="Times New Roman" w:hAnsi="Times New Roman"/>
          <w:sz w:val="24"/>
          <w:szCs w:val="24"/>
        </w:rPr>
        <w:t xml:space="preserve">. No. 24 at 4. This conclusory statement does not demonstrate that the stated interest would outweigh the right to access </w:t>
      </w:r>
      <w:proofErr w:type="gramStart"/>
      <w:r w:rsidRPr="0060682A">
        <w:rPr>
          <w:rFonts w:ascii="Times New Roman" w:hAnsi="Times New Roman"/>
          <w:sz w:val="24"/>
          <w:szCs w:val="24"/>
        </w:rPr>
        <w:t>underlying the</w:t>
      </w:r>
      <w:proofErr w:type="gramEnd"/>
      <w:r w:rsidRPr="0060682A">
        <w:rPr>
          <w:rFonts w:ascii="Times New Roman" w:hAnsi="Times New Roman"/>
          <w:sz w:val="24"/>
          <w:szCs w:val="24"/>
        </w:rPr>
        <w:t xml:space="preserve"> Court's task in approving an FLSA settlement. </w:t>
      </w:r>
      <w:r w:rsidRPr="0060682A">
        <w:rPr>
          <w:rStyle w:val="Emphasis"/>
          <w:rFonts w:ascii="Times New Roman" w:eastAsiaTheme="majorEastAsia" w:hAnsi="Times New Roman"/>
          <w:sz w:val="24"/>
          <w:szCs w:val="24"/>
        </w:rPr>
        <w:t>See McGee</w:t>
      </w:r>
      <w:r w:rsidRPr="0060682A">
        <w:rPr>
          <w:rFonts w:ascii="Times New Roman" w:hAnsi="Times New Roman"/>
          <w:sz w:val="24"/>
          <w:szCs w:val="24"/>
        </w:rPr>
        <w:t xml:space="preserve">, 2017 WL 4679818, at *2 (noting that the parties failed to present evidence that allowing public access would discourage settlement and observing that ‘this contention may be contradicted by the fact that numerous FLSA settlement agreements contain no confidentiality provision, have been filed unrestricted, and/or have been filed redacted.’). Accordingly, sealing the proposed settlement agreement is not warranted in this case.” </w:t>
      </w:r>
      <w:hyperlink r:id="rId1839" w:history="1">
        <w:r w:rsidRPr="0060682A">
          <w:rPr>
            <w:rStyle w:val="Hyperlink"/>
            <w:rFonts w:ascii="Times New Roman" w:hAnsi="Times New Roman"/>
            <w:sz w:val="24"/>
            <w:szCs w:val="24"/>
          </w:rPr>
          <w:t>https://public.fastcase.com/H1P9uiW3J20SFp%2BGCG%2BxLZy365%2FN0MVDalUuZRIy4n4W%2BHhfv4X1Vzo9ca%2F3mj3k?utm_medium=email&amp;_hsenc=p2ANqtz-8KCYiZyhHUOjRg0MO9pgx_C58MSGHRNzoS8NOUFD5AstP_fG6MazYJg2nKApB1QIRI0-vQrIVEAwfGYCTHYw0GOi6xfA&amp;_hsmi=226712652&amp;utm_content=226712652&amp;utm_source=hs_email</w:t>
        </w:r>
      </w:hyperlink>
    </w:p>
    <w:p w14:paraId="01A89A93" w14:textId="77777777" w:rsidR="00CF5424" w:rsidRPr="00907039" w:rsidRDefault="00CF5424" w:rsidP="00CF5424">
      <w:pPr>
        <w:pStyle w:val="NormalWeb"/>
        <w:rPr>
          <w:b/>
          <w:bCs/>
        </w:rPr>
      </w:pPr>
      <w:r w:rsidRPr="00907039">
        <w:rPr>
          <w:b/>
          <w:bCs/>
        </w:rPr>
        <w:t>Legal Lesson Learned:</w:t>
      </w:r>
      <w:r>
        <w:rPr>
          <w:b/>
          <w:bCs/>
        </w:rPr>
        <w:t xml:space="preserve"> Under FLSA, employers must calculate the “regular rate of pay” that includes all renumerations paid to the employee. </w:t>
      </w:r>
    </w:p>
    <w:p w14:paraId="3C3EBD83" w14:textId="77777777" w:rsidR="00CF5424" w:rsidRPr="006A45C8" w:rsidRDefault="00CF5424" w:rsidP="00CF5424">
      <w:pPr>
        <w:pStyle w:val="NormalWeb"/>
        <w:ind w:left="720"/>
      </w:pPr>
      <w:r>
        <w:t xml:space="preserve">Note: See 29 Code of Federal Regulations 778.108. </w:t>
      </w:r>
      <w:hyperlink r:id="rId1840" w:history="1">
        <w:r w:rsidRPr="006A45C8">
          <w:rPr>
            <w:rStyle w:val="Hyperlink"/>
          </w:rPr>
          <w:t>https://www.ecfr.gov/current/title-29/subtitle-B/chapter-V/subchapter-B/part-778</w:t>
        </w:r>
      </w:hyperlink>
      <w:r w:rsidRPr="006A45C8">
        <w:t xml:space="preserve"> </w:t>
      </w:r>
    </w:p>
    <w:p w14:paraId="4DF928B3" w14:textId="77777777" w:rsidR="00CF5424" w:rsidRDefault="00CF5424" w:rsidP="00CF5424">
      <w:pPr>
        <w:pStyle w:val="NormalWeb"/>
        <w:ind w:left="1440"/>
      </w:pPr>
      <w:r>
        <w:t xml:space="preserve">“Section 7(e) of the Act requires inclusion in the ‘regular rate’ of ‘all remuneration for employment paid to, or on behalf of, the employee” except payments specifically excluded by paragraphs (1) through (7) of that subsection. (These seven types of payments, which are set forth in </w:t>
      </w:r>
      <w:hyperlink r:id="rId1841" w:history="1">
        <w:r>
          <w:rPr>
            <w:rStyle w:val="Hyperlink"/>
            <w:rFonts w:eastAsiaTheme="majorEastAsia"/>
          </w:rPr>
          <w:t>§ 778.200</w:t>
        </w:r>
      </w:hyperlink>
      <w:r>
        <w:t xml:space="preserve"> and discussed in </w:t>
      </w:r>
      <w:hyperlink r:id="rId1842" w:history="1">
        <w:r>
          <w:rPr>
            <w:rStyle w:val="Hyperlink"/>
            <w:rFonts w:eastAsiaTheme="majorEastAsia"/>
          </w:rPr>
          <w:t>§§ 778.201</w:t>
        </w:r>
      </w:hyperlink>
      <w:r>
        <w:t xml:space="preserve"> through </w:t>
      </w:r>
      <w:hyperlink r:id="rId1843" w:history="1">
        <w:r>
          <w:rPr>
            <w:rStyle w:val="Hyperlink"/>
            <w:rFonts w:eastAsiaTheme="majorEastAsia"/>
          </w:rPr>
          <w:t>778.224</w:t>
        </w:r>
      </w:hyperlink>
      <w:r>
        <w:t>, are hereafter referred to as ‘statutory exclusions.’)”</w:t>
      </w:r>
    </w:p>
    <w:p w14:paraId="6A9B45B9" w14:textId="77777777" w:rsidR="00CF5424" w:rsidRPr="00D600CA" w:rsidRDefault="00CF5424" w:rsidP="00CF5424">
      <w:pPr>
        <w:ind w:left="720"/>
        <w:rPr>
          <w:rFonts w:ascii="Times New Roman" w:hAnsi="Times New Roman"/>
          <w:sz w:val="24"/>
          <w:szCs w:val="24"/>
        </w:rPr>
      </w:pPr>
      <w:r w:rsidRPr="00D600CA">
        <w:rPr>
          <w:rFonts w:ascii="Times New Roman" w:hAnsi="Times New Roman"/>
          <w:sz w:val="24"/>
          <w:szCs w:val="24"/>
        </w:rPr>
        <w:t xml:space="preserve">See also: </w:t>
      </w:r>
      <w:r>
        <w:rPr>
          <w:rFonts w:ascii="Times New Roman" w:hAnsi="Times New Roman"/>
          <w:sz w:val="24"/>
          <w:szCs w:val="24"/>
        </w:rPr>
        <w:t>“</w:t>
      </w:r>
      <w:r w:rsidRPr="00D600CA">
        <w:rPr>
          <w:rFonts w:ascii="Times New Roman" w:hAnsi="Times New Roman"/>
          <w:sz w:val="24"/>
          <w:szCs w:val="24"/>
        </w:rPr>
        <w:t>FLSA Overtime Calculator Advisor for Nonexempt Employees</w:t>
      </w:r>
      <w:r>
        <w:rPr>
          <w:rFonts w:ascii="Times New Roman" w:hAnsi="Times New Roman"/>
          <w:sz w:val="24"/>
          <w:szCs w:val="24"/>
        </w:rPr>
        <w:t xml:space="preserve">.” </w:t>
      </w:r>
      <w:hyperlink r:id="rId1844" w:history="1">
        <w:r w:rsidRPr="005176E1">
          <w:rPr>
            <w:rStyle w:val="Hyperlink"/>
            <w:rFonts w:ascii="Times New Roman" w:hAnsi="Times New Roman"/>
            <w:sz w:val="24"/>
            <w:szCs w:val="24"/>
          </w:rPr>
          <w:t>https://webapps.dol.gov/elaws/otcalculator.htm</w:t>
        </w:r>
      </w:hyperlink>
      <w:r>
        <w:rPr>
          <w:rFonts w:ascii="Times New Roman" w:hAnsi="Times New Roman"/>
          <w:sz w:val="24"/>
          <w:szCs w:val="24"/>
        </w:rPr>
        <w:t xml:space="preserve"> </w:t>
      </w:r>
      <w:r w:rsidRPr="00D600CA">
        <w:rPr>
          <w:rFonts w:ascii="Times New Roman" w:hAnsi="Times New Roman"/>
          <w:sz w:val="24"/>
          <w:szCs w:val="24"/>
        </w:rPr>
        <w:t xml:space="preserve"> </w:t>
      </w:r>
    </w:p>
    <w:p w14:paraId="61CEBD38" w14:textId="77777777" w:rsidR="00CF5424" w:rsidRPr="006F0A01" w:rsidRDefault="00CF5424" w:rsidP="00CF5424">
      <w:pPr>
        <w:pStyle w:val="NormalWeb"/>
        <w:ind w:left="1440"/>
      </w:pPr>
    </w:p>
    <w:p w14:paraId="058F1896" w14:textId="77777777" w:rsidR="00DD0039" w:rsidRDefault="00DD0039" w:rsidP="00F326E5">
      <w:pPr>
        <w:rPr>
          <w:rFonts w:ascii="Arial Black" w:hAnsi="Arial Black"/>
          <w:b/>
          <w:sz w:val="24"/>
          <w:szCs w:val="24"/>
        </w:rPr>
      </w:pPr>
    </w:p>
    <w:p w14:paraId="183DBDD7" w14:textId="77777777" w:rsidR="00DD0039" w:rsidRDefault="00DD0039" w:rsidP="00F326E5">
      <w:pPr>
        <w:rPr>
          <w:rFonts w:ascii="Arial Black" w:hAnsi="Arial Black"/>
          <w:b/>
          <w:sz w:val="24"/>
          <w:szCs w:val="24"/>
        </w:rPr>
      </w:pPr>
    </w:p>
    <w:p w14:paraId="46501EAE" w14:textId="77777777" w:rsidR="00DD0039" w:rsidRDefault="00DD0039" w:rsidP="00F326E5">
      <w:pPr>
        <w:rPr>
          <w:rFonts w:ascii="Arial Black" w:hAnsi="Arial Black"/>
          <w:b/>
          <w:sz w:val="24"/>
          <w:szCs w:val="24"/>
        </w:rPr>
      </w:pPr>
    </w:p>
    <w:p w14:paraId="24545F7F" w14:textId="6C8FB96C" w:rsidR="009371E7" w:rsidRDefault="009371E7"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52</w:t>
      </w:r>
    </w:p>
    <w:p w14:paraId="2FD33F13" w14:textId="77777777" w:rsidR="009371E7" w:rsidRPr="00DC4DCB" w:rsidRDefault="009371E7" w:rsidP="009371E7">
      <w:pPr>
        <w:pStyle w:val="NormalWeb"/>
        <w:spacing w:before="0" w:beforeAutospacing="0"/>
        <w:rPr>
          <w:rFonts w:ascii="Arial Black" w:hAnsi="Arial Black"/>
          <w:sz w:val="28"/>
          <w:szCs w:val="28"/>
        </w:rPr>
      </w:pPr>
      <w:r>
        <w:rPr>
          <w:rFonts w:ascii="Arial Black" w:hAnsi="Arial Black"/>
          <w:sz w:val="28"/>
          <w:szCs w:val="28"/>
        </w:rPr>
        <w:t>TN: HOSPITAL MEDIC - 30-MINUTE UNPAID MEAL BREAKS –BREAKS INTERRUPTED - RN/PARAMEDIC CASE PROCEED</w:t>
      </w:r>
    </w:p>
    <w:p w14:paraId="562792D1" w14:textId="77777777" w:rsidR="009371E7" w:rsidRDefault="009371E7" w:rsidP="009371E7">
      <w:pPr>
        <w:pStyle w:val="NormalWeb"/>
        <w:spacing w:before="0" w:beforeAutospacing="0"/>
        <w:rPr>
          <w:color w:val="454545"/>
          <w:shd w:val="clear" w:color="auto" w:fill="FFFFFF"/>
        </w:rPr>
      </w:pPr>
      <w:r>
        <w:t xml:space="preserve">On March 20, 2024, in </w:t>
      </w:r>
      <w:r w:rsidRPr="00A71813">
        <w:rPr>
          <w:u w:val="single"/>
        </w:rPr>
        <w:t>Carlos Colon and Candace Harris v. HCA Healthcare, Inc. and CHC Payroll Agent, Inc.</w:t>
      </w:r>
      <w:r>
        <w:t xml:space="preserve">, U.S. District Court Judge William L. Campbell, </w:t>
      </w:r>
      <w:r w:rsidRPr="00671B49">
        <w:rPr>
          <w:color w:val="454545"/>
          <w:shd w:val="clear" w:color="auto" w:fill="FFFFFF"/>
        </w:rPr>
        <w:t xml:space="preserve">United States District Court, M.D. Tennessee, Nashville Division, </w:t>
      </w:r>
      <w:r>
        <w:rPr>
          <w:color w:val="454545"/>
          <w:shd w:val="clear" w:color="auto" w:fill="FFFFFF"/>
        </w:rPr>
        <w:t xml:space="preserve">denied the hospital’s motion to dismiss, where hospital claimed that they were not the employer (asserting the payroll company was employer). </w:t>
      </w:r>
    </w:p>
    <w:p w14:paraId="42CBC356"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F9E0EAA" w14:textId="77777777" w:rsidR="00D90293" w:rsidRDefault="00D90293" w:rsidP="009371E7">
      <w:pPr>
        <w:pStyle w:val="NormalWeb"/>
        <w:spacing w:before="0" w:beforeAutospacing="0"/>
        <w:ind w:left="720"/>
      </w:pPr>
    </w:p>
    <w:p w14:paraId="473850BD" w14:textId="5F620D1E" w:rsidR="009371E7" w:rsidRDefault="009371E7" w:rsidP="009371E7">
      <w:pPr>
        <w:pStyle w:val="NormalWeb"/>
        <w:spacing w:before="0" w:beforeAutospacing="0"/>
        <w:ind w:left="720"/>
      </w:pPr>
      <w:r>
        <w:t xml:space="preserve">“Plaintiffs allege HCA required a 30-minute deduction from Plaintiffs' recorded hours worked per shift for meal breaks, regardless of whether they </w:t>
      </w:r>
      <w:proofErr w:type="gramStart"/>
      <w:r>
        <w:t>actually received</w:t>
      </w:r>
      <w:proofErr w:type="gramEnd"/>
      <w:r>
        <w:t xml:space="preserve"> an uninterrupted 30-minute meal period. Plaintiffs assert that they were not paid for time worked during meal periods.  Plaintiffs allege that during unpaid meal breaks, they substantially performed their regular patient care job duties and responsibilities. </w:t>
      </w:r>
    </w:p>
    <w:p w14:paraId="567E4351" w14:textId="77777777" w:rsidR="009371E7" w:rsidRDefault="009371E7" w:rsidP="009371E7">
      <w:pPr>
        <w:pStyle w:val="NormalWeb"/>
        <w:ind w:left="720"/>
      </w:pPr>
      <w:r>
        <w:t>***</w:t>
      </w:r>
    </w:p>
    <w:p w14:paraId="44E96067" w14:textId="77777777" w:rsidR="009371E7" w:rsidRDefault="009371E7" w:rsidP="009371E7">
      <w:pPr>
        <w:pStyle w:val="NormalWeb"/>
        <w:ind w:left="720"/>
      </w:pPr>
      <w:r>
        <w:t xml:space="preserve">Based only on the allegations set forth in the First Amended Complaint, the Court concludes that Plaintiffs have sufficiently alleged facts that, accepted as true, support Defendants' status as employers. While discovery and subsequent motion practice may provide the Court with additional arguments on that issue, at this juncture, Plaintiffs have satisfied their pleading </w:t>
      </w:r>
      <w:proofErr w:type="gramStart"/>
      <w:r>
        <w:t>burden.”</w:t>
      </w:r>
      <w:proofErr w:type="gramEnd"/>
      <w:r>
        <w:t xml:space="preserve"> </w:t>
      </w:r>
      <w:hyperlink r:id="rId1845" w:history="1">
        <w:r w:rsidRPr="007E4CA8">
          <w:rPr>
            <w:rStyle w:val="Hyperlink"/>
          </w:rPr>
          <w:t>https://public.fastcase.com/H1P9uiW3J20SFp%2BGCG%2BxLeHSDVXVzY4x%2FiI%2F4JAOmhXpvt%2FfNBAZjz4LKds0Mto6?utm_medium=email&amp;_hsmi=226712652&amp;_hsenc=p2ANqtz-_SyWNVWtV5-tteBsEO4doKNFedyWegAxLclup35D1iuddv31pPNK7Mxz83D6yx-CsHYOnImh2IAPqInLsAyxym-pCJTQ&amp;utm_content=226712652&amp;utm_source=hs_email</w:t>
        </w:r>
      </w:hyperlink>
      <w:r>
        <w:t xml:space="preserve"> </w:t>
      </w:r>
    </w:p>
    <w:p w14:paraId="0001BFFF" w14:textId="77777777" w:rsidR="009371E7" w:rsidRDefault="009371E7" w:rsidP="009371E7">
      <w:pPr>
        <w:pStyle w:val="NormalWeb"/>
        <w:rPr>
          <w:b/>
          <w:bCs/>
        </w:rPr>
      </w:pPr>
      <w:r w:rsidRPr="00A033E5">
        <w:rPr>
          <w:b/>
          <w:bCs/>
        </w:rPr>
        <w:t>Legal Lesson Learned:</w:t>
      </w:r>
      <w:r>
        <w:rPr>
          <w:b/>
          <w:bCs/>
        </w:rPr>
        <w:t xml:space="preserve"> Only “bona fide” (uninterrupted) meal breaks can be considered as hours not worked; Fire &amp; EMS departments should be very cautious in applying this exemption.</w:t>
      </w:r>
    </w:p>
    <w:p w14:paraId="5E2F3ECD" w14:textId="77777777" w:rsidR="009371E7" w:rsidRDefault="009371E7" w:rsidP="009371E7">
      <w:pPr>
        <w:pStyle w:val="NormalWeb"/>
        <w:ind w:left="720"/>
      </w:pPr>
      <w:r>
        <w:t>Note: 29 CFR § 785.19 Meal.</w:t>
      </w:r>
    </w:p>
    <w:p w14:paraId="55891BE9" w14:textId="77777777" w:rsidR="009371E7" w:rsidRDefault="009371E7" w:rsidP="009371E7">
      <w:pPr>
        <w:pStyle w:val="NormalWeb"/>
        <w:ind w:left="720"/>
      </w:pPr>
      <w:hyperlink r:id="rId1846" w:history="1">
        <w:r w:rsidRPr="00B268F0">
          <w:rPr>
            <w:rStyle w:val="Hyperlink"/>
          </w:rPr>
          <w:t>https://www.ecfr.gov/current/title-29/subtitle-B/chapter-V/subchapter-B/part-785/subpart-C/subject-group-ECFR3d1222debcd8ec6/section-785.19</w:t>
        </w:r>
      </w:hyperlink>
      <w:r>
        <w:t xml:space="preserve"> </w:t>
      </w:r>
    </w:p>
    <w:p w14:paraId="08008E64" w14:textId="77777777" w:rsidR="009371E7" w:rsidRDefault="009371E7" w:rsidP="009371E7">
      <w:pPr>
        <w:pStyle w:val="indent-1"/>
        <w:ind w:left="720"/>
      </w:pPr>
      <w:r>
        <w:rPr>
          <w:rStyle w:val="paren"/>
          <w:rFonts w:eastAsiaTheme="majorEastAsia"/>
        </w:rPr>
        <w:t>“(</w:t>
      </w:r>
      <w:r>
        <w:rPr>
          <w:rStyle w:val="paragraph-hierarchy"/>
          <w:rFonts w:eastAsiaTheme="majorEastAsia"/>
        </w:rPr>
        <w:t>a</w:t>
      </w:r>
      <w:r>
        <w:rPr>
          <w:rStyle w:val="paren"/>
          <w:rFonts w:eastAsiaTheme="majorEastAsia"/>
        </w:rPr>
        <w:t>)</w:t>
      </w:r>
      <w:r>
        <w:t xml:space="preserve"> </w:t>
      </w:r>
      <w:r>
        <w:rPr>
          <w:rStyle w:val="Emphasis"/>
          <w:rFonts w:eastAsiaTheme="majorEastAsia"/>
          <w:b/>
          <w:bCs/>
        </w:rPr>
        <w:t>Bona fide meal periods.</w:t>
      </w:r>
      <w:r>
        <w:t xml:space="preserve"> Bona fide meal periods are not worktime. Bona fide meal periods do not include coffee breaks or time for snacks. These are rest periods. The employee must be completely relieved from duty for the </w:t>
      </w:r>
      <w:proofErr w:type="gramStart"/>
      <w:r>
        <w:t>purposes</w:t>
      </w:r>
      <w:proofErr w:type="gramEnd"/>
      <w:r>
        <w:t xml:space="preserve"> of eating regular meals. Ordinarily 30 minutes or more is long enough for a bona fide meal period. A shorter period may be long enough under special conditions. The employee is not relieved if he is required to perform any duties, whether active or inactive, while eating. For example, an office employee who is required to eat at his desk or a factory worker who is required to be at his machine is working while eating. (</w:t>
      </w:r>
      <w:r>
        <w:rPr>
          <w:rStyle w:val="Emphasis"/>
          <w:rFonts w:eastAsiaTheme="majorEastAsia"/>
        </w:rPr>
        <w:t>Culkin</w:t>
      </w:r>
      <w:r>
        <w:t xml:space="preserve"> v. </w:t>
      </w:r>
      <w:r>
        <w:rPr>
          <w:rStyle w:val="Emphasis"/>
          <w:rFonts w:eastAsiaTheme="majorEastAsia"/>
        </w:rPr>
        <w:t>Glenn L. Martin, Nebraska Co.,</w:t>
      </w:r>
      <w:r>
        <w:t xml:space="preserve"> 97 F. Supp. 661 (D. Neb. 1951), aff'd 197 F. 2d 981 (C.A. 8, 1952), cert. denied 344 U.S. 888 (1952); </w:t>
      </w:r>
      <w:r>
        <w:rPr>
          <w:rStyle w:val="Emphasis"/>
          <w:rFonts w:eastAsiaTheme="majorEastAsia"/>
        </w:rPr>
        <w:t>Thompson</w:t>
      </w:r>
      <w:r>
        <w:t xml:space="preserve"> v. </w:t>
      </w:r>
      <w:r>
        <w:rPr>
          <w:rStyle w:val="Emphasis"/>
          <w:rFonts w:eastAsiaTheme="majorEastAsia"/>
        </w:rPr>
        <w:t>Stock &amp; Sons, Inc.,</w:t>
      </w:r>
      <w:r>
        <w:t xml:space="preserve"> 93 F. Supp. 213 (E.D. Mich 1950), aff'd 194 F. 2d 493 (C.A. 6, 1952); </w:t>
      </w:r>
      <w:r>
        <w:rPr>
          <w:rStyle w:val="Emphasis"/>
          <w:rFonts w:eastAsiaTheme="majorEastAsia"/>
        </w:rPr>
        <w:t>Biggs</w:t>
      </w:r>
      <w:r>
        <w:t xml:space="preserve"> v. </w:t>
      </w:r>
      <w:r>
        <w:rPr>
          <w:rStyle w:val="Emphasis"/>
          <w:rFonts w:eastAsiaTheme="majorEastAsia"/>
        </w:rPr>
        <w:t>Joshua Hendy Corp.,</w:t>
      </w:r>
      <w:r>
        <w:t xml:space="preserve"> 183 F. 2d 515 (C. A. 9, 1950), 187 F. 2d 447 (C.A. 9, 1951); </w:t>
      </w:r>
      <w:r>
        <w:rPr>
          <w:rStyle w:val="Emphasis"/>
          <w:rFonts w:eastAsiaTheme="majorEastAsia"/>
        </w:rPr>
        <w:t>Walling</w:t>
      </w:r>
      <w:r>
        <w:t xml:space="preserve"> v. </w:t>
      </w:r>
      <w:r>
        <w:rPr>
          <w:rStyle w:val="Emphasis"/>
          <w:rFonts w:eastAsiaTheme="majorEastAsia"/>
        </w:rPr>
        <w:t>Dunbar Transfer &amp; Storage Co.,</w:t>
      </w:r>
      <w:r>
        <w:t xml:space="preserve"> 3 W.H. Cases 284; 7 Labor Cases para. 61.565 (W.D. Tenn. 1943); </w:t>
      </w:r>
      <w:r>
        <w:rPr>
          <w:rStyle w:val="Emphasis"/>
          <w:rFonts w:eastAsiaTheme="majorEastAsia"/>
        </w:rPr>
        <w:t>Lofton</w:t>
      </w:r>
      <w:r>
        <w:t xml:space="preserve"> v. </w:t>
      </w:r>
      <w:r>
        <w:rPr>
          <w:rStyle w:val="Emphasis"/>
          <w:rFonts w:eastAsiaTheme="majorEastAsia"/>
        </w:rPr>
        <w:t>Seneca Coal and Coke Co.,</w:t>
      </w:r>
      <w:r>
        <w:t xml:space="preserve"> 2 W.H. Cases 669; 6 Labor Cases para. 61,271 (N.D. Okla. 1942); aff'd 136 F. 2d 359 (C.A. 10, 1943); cert. denied 320 U.S. 772 (1943); </w:t>
      </w:r>
      <w:r>
        <w:rPr>
          <w:rStyle w:val="Emphasis"/>
          <w:rFonts w:eastAsiaTheme="majorEastAsia"/>
        </w:rPr>
        <w:t>Mitchell</w:t>
      </w:r>
      <w:r>
        <w:t xml:space="preserve"> v. </w:t>
      </w:r>
      <w:r>
        <w:rPr>
          <w:rStyle w:val="Emphasis"/>
          <w:rFonts w:eastAsiaTheme="majorEastAsia"/>
        </w:rPr>
        <w:t>Tampa Cigar Co.,</w:t>
      </w:r>
      <w:r>
        <w:t xml:space="preserve"> 36 Labor Cases para. 65, 198, 14 W.H. Cases 38 (S.D. Fla. 1959); </w:t>
      </w:r>
      <w:r>
        <w:rPr>
          <w:rStyle w:val="Emphasis"/>
          <w:rFonts w:eastAsiaTheme="majorEastAsia"/>
        </w:rPr>
        <w:t>Douglass</w:t>
      </w:r>
      <w:r>
        <w:t xml:space="preserve"> v. </w:t>
      </w:r>
      <w:r>
        <w:rPr>
          <w:rStyle w:val="Emphasis"/>
          <w:rFonts w:eastAsiaTheme="majorEastAsia"/>
        </w:rPr>
        <w:t>Hurwitz Co.,</w:t>
      </w:r>
      <w:r>
        <w:t xml:space="preserve"> 145 F. Supp. 29, 13 W.H. Cases (E.D. Pa. 1956)) </w:t>
      </w:r>
    </w:p>
    <w:p w14:paraId="18635684" w14:textId="77777777" w:rsidR="009371E7" w:rsidRDefault="009371E7" w:rsidP="009371E7">
      <w:pPr>
        <w:pStyle w:val="indent-1"/>
        <w:ind w:left="720"/>
      </w:pPr>
      <w:r>
        <w:rPr>
          <w:rStyle w:val="paren"/>
          <w:rFonts w:eastAsiaTheme="majorEastAsia"/>
        </w:rPr>
        <w:t>(</w:t>
      </w:r>
      <w:r>
        <w:rPr>
          <w:rStyle w:val="paragraph-hierarchy"/>
          <w:rFonts w:eastAsiaTheme="majorEastAsia"/>
        </w:rPr>
        <w:t>b</w:t>
      </w:r>
      <w:r>
        <w:rPr>
          <w:rStyle w:val="paren"/>
          <w:rFonts w:eastAsiaTheme="majorEastAsia"/>
        </w:rPr>
        <w:t>)</w:t>
      </w:r>
      <w:r>
        <w:t xml:space="preserve"> </w:t>
      </w:r>
      <w:r>
        <w:rPr>
          <w:rStyle w:val="Emphasis"/>
          <w:rFonts w:eastAsiaTheme="majorEastAsia"/>
          <w:b/>
          <w:bCs/>
        </w:rPr>
        <w:t>Where no permission to leave premises.</w:t>
      </w:r>
      <w:r>
        <w:t xml:space="preserve"> It is not necessary that an employee be permitted to leave the premises if he is otherwise completely freed from duties during the meal </w:t>
      </w:r>
      <w:proofErr w:type="gramStart"/>
      <w:r>
        <w:t>period.”</w:t>
      </w:r>
      <w:proofErr w:type="gramEnd"/>
      <w:r>
        <w:t xml:space="preserve"> </w:t>
      </w:r>
    </w:p>
    <w:p w14:paraId="35FAC4AB" w14:textId="77777777" w:rsidR="009371E7" w:rsidRPr="005F5B75" w:rsidRDefault="009371E7" w:rsidP="009371E7">
      <w:pPr>
        <w:pStyle w:val="Heading2"/>
        <w:ind w:left="720"/>
        <w:rPr>
          <w:rFonts w:ascii="Times New Roman" w:hAnsi="Times New Roman"/>
          <w:sz w:val="24"/>
          <w:szCs w:val="24"/>
        </w:rPr>
      </w:pPr>
      <w:r w:rsidRPr="005F5B75">
        <w:rPr>
          <w:rFonts w:ascii="Times New Roman" w:hAnsi="Times New Roman"/>
          <w:sz w:val="24"/>
          <w:szCs w:val="24"/>
        </w:rPr>
        <w:t xml:space="preserve">See also: U.S. Department of Labor, FLSA Hours Worked Advisor. “The Fair Labor Standards Act (FLSA) does not require an employer to provide meal periods or rest breaks for their employees. Many employers, however, do provide breaks and/or meal periods. Breaks of short duration, from 5 to 20 minutes, are common. </w:t>
      </w:r>
      <w:proofErr w:type="gramStart"/>
      <w:r w:rsidRPr="005F5B75">
        <w:rPr>
          <w:rFonts w:ascii="Times New Roman" w:hAnsi="Times New Roman"/>
          <w:sz w:val="24"/>
          <w:szCs w:val="24"/>
        </w:rPr>
        <w:t>As a general rule</w:t>
      </w:r>
      <w:proofErr w:type="gramEnd"/>
      <w:r w:rsidRPr="005F5B75">
        <w:rPr>
          <w:rFonts w:ascii="Times New Roman" w:hAnsi="Times New Roman"/>
          <w:sz w:val="24"/>
          <w:szCs w:val="24"/>
        </w:rPr>
        <w:t>, rest breaks are considered hours worked and bona fide meal periods are not considered hours worked.</w:t>
      </w:r>
      <w:r>
        <w:rPr>
          <w:rFonts w:ascii="Times New Roman" w:hAnsi="Times New Roman"/>
          <w:sz w:val="24"/>
          <w:szCs w:val="24"/>
        </w:rPr>
        <w:t xml:space="preserve"> </w:t>
      </w:r>
    </w:p>
    <w:p w14:paraId="7057AF3B" w14:textId="77777777" w:rsidR="009371E7" w:rsidRDefault="009371E7" w:rsidP="009371E7">
      <w:pPr>
        <w:pStyle w:val="NormalWeb"/>
        <w:ind w:left="720"/>
      </w:pPr>
      <w:r>
        <w:t xml:space="preserve">Some </w:t>
      </w:r>
      <w:hyperlink r:id="rId1847" w:history="1">
        <w:r>
          <w:rPr>
            <w:rStyle w:val="Hyperlink"/>
            <w:rFonts w:eastAsiaTheme="majorEastAsia"/>
          </w:rPr>
          <w:t>states</w:t>
        </w:r>
      </w:hyperlink>
      <w:r>
        <w:t xml:space="preserve"> do have laws </w:t>
      </w:r>
      <w:proofErr w:type="gramStart"/>
      <w:r>
        <w:t>requiring rest</w:t>
      </w:r>
      <w:proofErr w:type="gramEnd"/>
      <w:r>
        <w:t xml:space="preserve"> breaks and/or meal periods. Such state requirements will prevail over the silence of the FLSA on this subject. In those situations where an employee is subject to both the FLSA and state labor laws, the employee is entitled to the most beneficial provisions of each law.” </w:t>
      </w:r>
      <w:hyperlink r:id="rId1848" w:history="1">
        <w:r w:rsidRPr="007E4CA8">
          <w:rPr>
            <w:rStyle w:val="Hyperlink"/>
          </w:rPr>
          <w:t>https://webapps.dol.gov/elaws/whd/flsa/hoursworked/screenEE4.asp</w:t>
        </w:r>
      </w:hyperlink>
      <w:r>
        <w:t xml:space="preserve"> </w:t>
      </w:r>
    </w:p>
    <w:p w14:paraId="6EEA65D7" w14:textId="77777777" w:rsidR="009371E7" w:rsidRPr="00FB79D7" w:rsidRDefault="009371E7" w:rsidP="009371E7">
      <w:pPr>
        <w:pStyle w:val="NoSpacing"/>
        <w:ind w:left="720" w:firstLine="48"/>
        <w:rPr>
          <w:rFonts w:ascii="Times New Roman" w:hAnsi="Times New Roman"/>
          <w:b/>
          <w:bCs/>
          <w:sz w:val="24"/>
          <w:szCs w:val="24"/>
        </w:rPr>
      </w:pPr>
      <w:r w:rsidRPr="00FB79D7">
        <w:rPr>
          <w:rFonts w:ascii="Times New Roman" w:hAnsi="Times New Roman"/>
          <w:sz w:val="24"/>
          <w:szCs w:val="24"/>
        </w:rPr>
        <w:t xml:space="preserve">See also this article: </w:t>
      </w:r>
      <w:r w:rsidRPr="00FB79D7">
        <w:rPr>
          <w:rFonts w:ascii="Times New Roman" w:hAnsi="Times New Roman"/>
          <w:color w:val="000000" w:themeColor="text1"/>
          <w:sz w:val="24"/>
          <w:szCs w:val="24"/>
        </w:rPr>
        <w:t xml:space="preserve">“Firefighters, Unpaid Meal Periods, and the FLSA.” Sept. 16, 2019.  </w:t>
      </w:r>
      <w:r w:rsidRPr="00FB79D7">
        <w:rPr>
          <w:rFonts w:ascii="Times New Roman" w:hAnsi="Times New Roman"/>
          <w:sz w:val="24"/>
          <w:szCs w:val="24"/>
        </w:rPr>
        <w:t xml:space="preserve">“Needless to say, deducting mealtime from firefighters can prove tricky.” </w:t>
      </w:r>
      <w:hyperlink r:id="rId1849" w:history="1">
        <w:r w:rsidRPr="00FB79D7">
          <w:rPr>
            <w:rStyle w:val="Hyperlink"/>
            <w:rFonts w:ascii="Times New Roman" w:hAnsi="Times New Roman"/>
            <w:sz w:val="24"/>
            <w:szCs w:val="24"/>
          </w:rPr>
          <w:t>https://www.firefighterovertime.org/2019/09/16/firefighter-meal-period/</w:t>
        </w:r>
      </w:hyperlink>
      <w:r w:rsidRPr="00FB79D7">
        <w:rPr>
          <w:rFonts w:ascii="Times New Roman" w:hAnsi="Times New Roman"/>
          <w:sz w:val="24"/>
          <w:szCs w:val="24"/>
        </w:rPr>
        <w:t xml:space="preserve"> </w:t>
      </w:r>
    </w:p>
    <w:p w14:paraId="3151C93D" w14:textId="77777777" w:rsidR="009371E7" w:rsidRPr="00FB79D7" w:rsidRDefault="009371E7" w:rsidP="009371E7">
      <w:pPr>
        <w:pStyle w:val="NoSpacing"/>
        <w:rPr>
          <w:rFonts w:ascii="Times New Roman" w:hAnsi="Times New Roman"/>
          <w:sz w:val="24"/>
          <w:szCs w:val="24"/>
        </w:rPr>
      </w:pPr>
    </w:p>
    <w:p w14:paraId="29A204CD" w14:textId="77777777" w:rsidR="009371E7" w:rsidRPr="00FB79D7" w:rsidRDefault="009371E7" w:rsidP="009371E7">
      <w:pPr>
        <w:pStyle w:val="NoSpacing"/>
        <w:rPr>
          <w:rFonts w:ascii="Times New Roman" w:hAnsi="Times New Roman"/>
          <w:sz w:val="24"/>
          <w:szCs w:val="24"/>
        </w:rPr>
      </w:pPr>
    </w:p>
    <w:p w14:paraId="479EE591" w14:textId="7776F079" w:rsidR="009371E7" w:rsidRPr="009371E7" w:rsidRDefault="009371E7" w:rsidP="009371E7">
      <w:pPr>
        <w:pStyle w:val="NoSpacing"/>
        <w:rPr>
          <w:rFonts w:ascii="Arial Black" w:hAnsi="Arial Black"/>
          <w:b/>
          <w:bCs/>
          <w:sz w:val="24"/>
          <w:szCs w:val="24"/>
        </w:rPr>
      </w:pPr>
      <w:r w:rsidRPr="009371E7">
        <w:rPr>
          <w:rFonts w:ascii="Arial Black" w:hAnsi="Arial Black"/>
          <w:b/>
          <w:bCs/>
          <w:sz w:val="24"/>
          <w:szCs w:val="24"/>
        </w:rPr>
        <w:t>11-</w:t>
      </w:r>
      <w:r w:rsidR="009601CD">
        <w:rPr>
          <w:rFonts w:ascii="Arial Black" w:hAnsi="Arial Black"/>
          <w:b/>
          <w:bCs/>
          <w:sz w:val="24"/>
          <w:szCs w:val="24"/>
        </w:rPr>
        <w:t>51</w:t>
      </w:r>
    </w:p>
    <w:p w14:paraId="00D6CF79" w14:textId="77777777" w:rsidR="009371E7" w:rsidRPr="00CB0C9A" w:rsidRDefault="009371E7" w:rsidP="009371E7">
      <w:pPr>
        <w:spacing w:before="100" w:beforeAutospacing="1" w:after="100" w:afterAutospacing="1" w:line="240" w:lineRule="auto"/>
        <w:outlineLvl w:val="0"/>
        <w:rPr>
          <w:rFonts w:ascii="Arial Black" w:eastAsia="Times New Roman" w:hAnsi="Arial Black"/>
          <w:b/>
          <w:bCs/>
          <w:kern w:val="36"/>
          <w:sz w:val="28"/>
          <w:szCs w:val="28"/>
        </w:rPr>
      </w:pPr>
      <w:r>
        <w:rPr>
          <w:rFonts w:ascii="Arial Black" w:eastAsia="Times New Roman" w:hAnsi="Arial Black"/>
          <w:b/>
          <w:bCs/>
          <w:kern w:val="36"/>
          <w:sz w:val="28"/>
          <w:szCs w:val="28"/>
        </w:rPr>
        <w:t>MO: FLSA – CLASS ACTION CERTIFIED - PAY WHEN WORKING OUT-OF-POSITION – 5% INCREASE ON WAGE</w:t>
      </w:r>
    </w:p>
    <w:p w14:paraId="4BE1F28E" w14:textId="77777777" w:rsidR="009371E7" w:rsidRDefault="009371E7" w:rsidP="009371E7">
      <w:pPr>
        <w:pStyle w:val="paragraph"/>
      </w:pPr>
      <w:r>
        <w:t xml:space="preserve">On March 5, 2024, in </w:t>
      </w:r>
      <w:r w:rsidRPr="00011D84">
        <w:rPr>
          <w:u w:val="single"/>
        </w:rPr>
        <w:t>Donnie Shook, individually and on behalf of all others similarly situated v. City of Independence, Missouri</w:t>
      </w:r>
      <w:r>
        <w:t xml:space="preserve">, United States District Court Judge Greg Kays, U.S District Court for Western District of Missouri, with no objection by the </w:t>
      </w:r>
      <w:proofErr w:type="gramStart"/>
      <w:r>
        <w:t>City</w:t>
      </w:r>
      <w:proofErr w:type="gramEnd"/>
      <w:r>
        <w:t xml:space="preserve"> has conditionally certified this class action lawsuit, where fellow firefighters with IAFF Local 781 may opt into the case as it proceeds in pre-trial discovery. Under the CBA, firefighters working “out-of-position” (for example, firefighter serving as Acting Lieutenant) receive a five percent increase in their regular hourly wage for those hours; the dispute concerns how this impacts the “regular hourly wage” rate of the firefighter. </w:t>
      </w:r>
    </w:p>
    <w:p w14:paraId="55AD63FA"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FC50DC0" w14:textId="77777777" w:rsidR="00D90293" w:rsidRDefault="00D90293" w:rsidP="009371E7">
      <w:pPr>
        <w:pStyle w:val="paragraph"/>
      </w:pPr>
    </w:p>
    <w:p w14:paraId="362301C3" w14:textId="77777777" w:rsidR="009371E7" w:rsidRDefault="009371E7" w:rsidP="009371E7">
      <w:pPr>
        <w:pStyle w:val="paragraph"/>
        <w:ind w:left="720"/>
      </w:pPr>
      <w:r>
        <w:t xml:space="preserve">“Plaintiff alleges Defendant's pay calculation policy violates the FLSA because it dilutes overtime compensation for hours worked out-of-position, resulting in overtime not being paid at a rate of at least one and a half times the regular rate. Defendant denies these allegations and maintains its pay calculation </w:t>
      </w:r>
      <w:proofErr w:type="gramStart"/>
      <w:r>
        <w:t>policy</w:t>
      </w:r>
      <w:proofErr w:type="gramEnd"/>
      <w:r>
        <w:t xml:space="preserve"> accounts for all </w:t>
      </w:r>
      <w:proofErr w:type="gramStart"/>
      <w:r>
        <w:t>hours</w:t>
      </w:r>
      <w:proofErr w:type="gramEnd"/>
      <w:r>
        <w:t xml:space="preserve"> and pay rates worked during a 27-day pay cycle. </w:t>
      </w:r>
    </w:p>
    <w:p w14:paraId="7807626A" w14:textId="77777777" w:rsidR="009371E7" w:rsidRDefault="009371E7" w:rsidP="009371E7">
      <w:pPr>
        <w:pStyle w:val="paragraph"/>
        <w:ind w:left="720"/>
      </w:pPr>
      <w:r>
        <w:t>***</w:t>
      </w:r>
    </w:p>
    <w:p w14:paraId="4E576EC6" w14:textId="77777777" w:rsidR="009371E7" w:rsidRDefault="009371E7" w:rsidP="009371E7">
      <w:pPr>
        <w:spacing w:before="100" w:beforeAutospacing="1" w:after="100" w:afterAutospacing="1" w:line="240" w:lineRule="auto"/>
        <w:ind w:left="720"/>
        <w:rPr>
          <w:rFonts w:ascii="Times New Roman" w:eastAsia="Times New Roman" w:hAnsi="Times New Roman"/>
          <w:sz w:val="24"/>
          <w:szCs w:val="24"/>
        </w:rPr>
      </w:pPr>
      <w:r w:rsidRPr="003D356B">
        <w:rPr>
          <w:rFonts w:ascii="Times New Roman" w:eastAsia="Times New Roman" w:hAnsi="Times New Roman"/>
          <w:sz w:val="24"/>
          <w:szCs w:val="24"/>
        </w:rPr>
        <w:t xml:space="preserve">Accordingly, the Court conditionally certifies the following class: </w:t>
      </w:r>
    </w:p>
    <w:p w14:paraId="0B417BEC" w14:textId="77777777" w:rsidR="009371E7" w:rsidRDefault="009371E7" w:rsidP="009371E7">
      <w:pPr>
        <w:spacing w:before="100" w:beforeAutospacing="1" w:after="100" w:afterAutospacing="1" w:line="240" w:lineRule="auto"/>
        <w:ind w:left="1440"/>
        <w:rPr>
          <w:rFonts w:ascii="Times New Roman" w:eastAsia="Times New Roman" w:hAnsi="Times New Roman"/>
          <w:sz w:val="24"/>
          <w:szCs w:val="24"/>
        </w:rPr>
      </w:pPr>
      <w:r w:rsidRPr="003D356B">
        <w:rPr>
          <w:rFonts w:ascii="Times New Roman" w:eastAsia="Times New Roman" w:hAnsi="Times New Roman"/>
          <w:sz w:val="24"/>
          <w:szCs w:val="24"/>
        </w:rPr>
        <w:t xml:space="preserve">All current and former Independence, Missouri firefighters who worked out-of-position at a higher rate of pay and worked more than 204 hours in the </w:t>
      </w:r>
      <w:proofErr w:type="spellStart"/>
      <w:r w:rsidRPr="003D356B">
        <w:rPr>
          <w:rFonts w:ascii="Times New Roman" w:eastAsia="Times New Roman" w:hAnsi="Times New Roman"/>
          <w:sz w:val="24"/>
          <w:szCs w:val="24"/>
        </w:rPr>
        <w:t>sme</w:t>
      </w:r>
      <w:proofErr w:type="spellEnd"/>
      <w:r w:rsidRPr="003D356B">
        <w:rPr>
          <w:rFonts w:ascii="Times New Roman" w:eastAsia="Times New Roman" w:hAnsi="Times New Roman"/>
          <w:sz w:val="24"/>
          <w:szCs w:val="24"/>
        </w:rPr>
        <w:t xml:space="preserve"> 27-day period at any time beginning three years prior to joining this lawsuit.</w:t>
      </w:r>
      <w:r>
        <w:rPr>
          <w:rFonts w:ascii="Times New Roman" w:eastAsia="Times New Roman" w:hAnsi="Times New Roman"/>
          <w:sz w:val="24"/>
          <w:szCs w:val="24"/>
        </w:rPr>
        <w:t>’</w:t>
      </w:r>
    </w:p>
    <w:p w14:paraId="6A3BC5FA" w14:textId="77777777" w:rsidR="009371E7" w:rsidRDefault="009371E7" w:rsidP="009371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ab/>
        <w:t>***</w:t>
      </w:r>
    </w:p>
    <w:p w14:paraId="1226FF56" w14:textId="77777777" w:rsidR="009371E7" w:rsidRPr="00FB03E9" w:rsidRDefault="009371E7" w:rsidP="009371E7">
      <w:pPr>
        <w:pStyle w:val="paragraph"/>
        <w:ind w:firstLine="720"/>
      </w:pPr>
      <w:r w:rsidRPr="00FB03E9">
        <w:t xml:space="preserve">Conclusion </w:t>
      </w:r>
    </w:p>
    <w:p w14:paraId="7D1E2EDA" w14:textId="77777777" w:rsidR="009371E7" w:rsidRDefault="009371E7" w:rsidP="009371E7">
      <w:pPr>
        <w:pStyle w:val="paragraph"/>
        <w:ind w:left="720"/>
      </w:pPr>
      <w:r>
        <w:t>The class is conditionally certified. Defendant shall produce to Plaintiff the names, job titles, dates of employment, last known addresses, and email addresses of potential plaintiffs within seven (7) days of this Order. Plaintiff is authorized to send notice and consent forms, by mail and email to potential class members. Each potential plaintiff shall have sixty (60) days from the date the mailing list is provided to opt-in to the litigation.”</w:t>
      </w:r>
    </w:p>
    <w:p w14:paraId="6F66E34D" w14:textId="77777777" w:rsidR="009371E7" w:rsidRPr="005B1A2F" w:rsidRDefault="009371E7" w:rsidP="009371E7">
      <w:pPr>
        <w:pStyle w:val="paragraph"/>
        <w:rPr>
          <w:b/>
          <w:bCs/>
        </w:rPr>
      </w:pPr>
      <w:r w:rsidRPr="005B1A2F">
        <w:rPr>
          <w:b/>
          <w:bCs/>
        </w:rPr>
        <w:t>Legal Lesson Learned:</w:t>
      </w:r>
      <w:r>
        <w:rPr>
          <w:b/>
          <w:bCs/>
        </w:rPr>
        <w:t xml:space="preserve"> Lawsuit will now proceed with pre-trial discovery.</w:t>
      </w:r>
    </w:p>
    <w:p w14:paraId="592AEF1E" w14:textId="77777777" w:rsidR="009371E7" w:rsidRDefault="009371E7" w:rsidP="009371E7">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Note: See this Notice from plaintiff’s law firm:</w:t>
      </w:r>
      <w:r w:rsidRPr="005B1A2F">
        <w:t xml:space="preserve"> </w:t>
      </w:r>
      <w:hyperlink r:id="rId1850" w:history="1">
        <w:r w:rsidRPr="0090149E">
          <w:rPr>
            <w:rStyle w:val="Hyperlink"/>
            <w:rFonts w:ascii="Times New Roman" w:eastAsia="Times New Roman" w:hAnsi="Times New Roman"/>
            <w:sz w:val="24"/>
            <w:szCs w:val="24"/>
          </w:rPr>
          <w:t>http://flsa-optin.com/</w:t>
        </w:r>
      </w:hyperlink>
      <w:r>
        <w:rPr>
          <w:rFonts w:ascii="Times New Roman" w:eastAsia="Times New Roman" w:hAnsi="Times New Roman"/>
          <w:sz w:val="24"/>
          <w:szCs w:val="24"/>
        </w:rPr>
        <w:t xml:space="preserve"> </w:t>
      </w:r>
    </w:p>
    <w:p w14:paraId="5F242C56" w14:textId="77777777" w:rsidR="009371E7" w:rsidRPr="007957B8" w:rsidRDefault="009371E7" w:rsidP="009371E7">
      <w:pPr>
        <w:pStyle w:val="NormalWeb"/>
        <w:ind w:firstLine="720"/>
        <w:jc w:val="both"/>
      </w:pPr>
      <w:r w:rsidRPr="007957B8">
        <w:rPr>
          <w:rStyle w:val="Strong"/>
          <w:rFonts w:eastAsiaTheme="majorEastAsia"/>
          <w:color w:val="003366"/>
        </w:rPr>
        <w:t>YOUR RIGHT TO PARTICIPATE IN THIS LAWSUIT</w:t>
      </w:r>
    </w:p>
    <w:p w14:paraId="09C5C24D" w14:textId="77777777" w:rsidR="009371E7" w:rsidRPr="007957B8" w:rsidRDefault="009371E7" w:rsidP="009371E7">
      <w:pPr>
        <w:pStyle w:val="NormalWeb"/>
        <w:ind w:left="720"/>
        <w:jc w:val="both"/>
        <w:rPr>
          <w:rStyle w:val="Strong"/>
          <w:rFonts w:eastAsiaTheme="majorEastAsia"/>
        </w:rPr>
      </w:pPr>
      <w:r w:rsidRPr="007957B8">
        <w:t xml:space="preserve">If you fit the definition above, you may join this suit (that is, you may “opt in”) </w:t>
      </w:r>
      <w:proofErr w:type="gramStart"/>
      <w:r w:rsidRPr="007957B8">
        <w:t>provided that</w:t>
      </w:r>
      <w:proofErr w:type="gramEnd"/>
      <w:r w:rsidRPr="007957B8">
        <w:t xml:space="preserve"> you file or cause to be filed the attached Consent to Join Collective Action. </w:t>
      </w:r>
      <w:r w:rsidRPr="007957B8">
        <w:rPr>
          <w:rStyle w:val="Strong"/>
          <w:rFonts w:eastAsiaTheme="majorEastAsia"/>
        </w:rPr>
        <w:t xml:space="preserve">You have two options: (1) you may file electronically by clicking </w:t>
      </w:r>
      <w:hyperlink r:id="rId1851" w:tgtFrame="_blank" w:history="1">
        <w:r w:rsidRPr="007957B8">
          <w:rPr>
            <w:rStyle w:val="Hyperlink"/>
            <w:rFonts w:eastAsiaTheme="majorEastAsia"/>
            <w:b/>
            <w:bCs/>
          </w:rPr>
          <w:t>here</w:t>
        </w:r>
      </w:hyperlink>
      <w:r w:rsidRPr="007957B8">
        <w:rPr>
          <w:rStyle w:val="Strong"/>
          <w:rFonts w:eastAsiaTheme="majorEastAsia"/>
        </w:rPr>
        <w:t xml:space="preserve"> </w:t>
      </w:r>
      <w:r w:rsidRPr="007957B8">
        <w:rPr>
          <w:rStyle w:val="Strong"/>
          <w:rFonts w:eastAsiaTheme="majorEastAsia"/>
          <w:color w:val="B22222"/>
        </w:rPr>
        <w:t>before</w:t>
      </w:r>
      <w:r w:rsidRPr="007957B8">
        <w:rPr>
          <w:rStyle w:val="Strong"/>
          <w:rFonts w:eastAsiaTheme="majorEastAsia"/>
        </w:rPr>
        <w:t xml:space="preserve"> </w:t>
      </w:r>
      <w:r w:rsidRPr="007957B8">
        <w:rPr>
          <w:rStyle w:val="Strong"/>
          <w:rFonts w:eastAsiaTheme="majorEastAsia"/>
          <w:color w:val="B22222"/>
        </w:rPr>
        <w:t>October 20, 2023</w:t>
      </w:r>
      <w:r w:rsidRPr="007957B8">
        <w:rPr>
          <w:rStyle w:val="Strong"/>
          <w:rFonts w:eastAsiaTheme="majorEastAsia"/>
        </w:rPr>
        <w:t xml:space="preserve">; or (2) you may </w:t>
      </w:r>
      <w:hyperlink r:id="rId1852" w:tgtFrame="_blank" w:history="1">
        <w:r w:rsidRPr="007957B8">
          <w:rPr>
            <w:rStyle w:val="Hyperlink"/>
            <w:rFonts w:eastAsiaTheme="majorEastAsia"/>
            <w:b/>
            <w:bCs/>
          </w:rPr>
          <w:t>download</w:t>
        </w:r>
      </w:hyperlink>
      <w:r w:rsidRPr="007957B8">
        <w:rPr>
          <w:rStyle w:val="Strong"/>
          <w:rFonts w:eastAsiaTheme="majorEastAsia"/>
        </w:rPr>
        <w:t xml:space="preserve"> and sign and mail the consent form before October 20, </w:t>
      </w:r>
      <w:proofErr w:type="gramStart"/>
      <w:r w:rsidRPr="007957B8">
        <w:rPr>
          <w:rStyle w:val="Strong"/>
          <w:rFonts w:eastAsiaTheme="majorEastAsia"/>
        </w:rPr>
        <w:t>2023</w:t>
      </w:r>
      <w:proofErr w:type="gramEnd"/>
      <w:r w:rsidRPr="007957B8">
        <w:rPr>
          <w:rStyle w:val="Strong"/>
          <w:rFonts w:eastAsiaTheme="majorEastAsia"/>
        </w:rPr>
        <w:t xml:space="preserve"> to:</w:t>
      </w:r>
    </w:p>
    <w:p w14:paraId="02BBBC66" w14:textId="77777777" w:rsidR="009371E7" w:rsidRPr="007957B8" w:rsidRDefault="009371E7" w:rsidP="009371E7">
      <w:pPr>
        <w:ind w:left="720"/>
        <w:rPr>
          <w:rFonts w:ascii="Times New Roman" w:hAnsi="Times New Roman"/>
          <w:sz w:val="24"/>
          <w:szCs w:val="24"/>
        </w:rPr>
      </w:pPr>
      <w:r w:rsidRPr="007957B8">
        <w:rPr>
          <w:rFonts w:ascii="Times New Roman" w:hAnsi="Times New Roman"/>
          <w:sz w:val="24"/>
          <w:szCs w:val="24"/>
        </w:rPr>
        <w:t>Boyd Kenter Thomas &amp; Parrish, LLC</w:t>
      </w:r>
      <w:r w:rsidRPr="007957B8">
        <w:rPr>
          <w:rFonts w:ascii="Times New Roman" w:hAnsi="Times New Roman"/>
          <w:sz w:val="24"/>
          <w:szCs w:val="24"/>
        </w:rPr>
        <w:br/>
        <w:t>PO BOX 439</w:t>
      </w:r>
      <w:r w:rsidRPr="007957B8">
        <w:rPr>
          <w:rFonts w:ascii="Times New Roman" w:hAnsi="Times New Roman"/>
          <w:sz w:val="24"/>
          <w:szCs w:val="24"/>
        </w:rPr>
        <w:br/>
        <w:t>Independence, Missouri 64050</w:t>
      </w:r>
    </w:p>
    <w:p w14:paraId="77373FE9" w14:textId="77777777" w:rsidR="009371E7" w:rsidRPr="007957B8" w:rsidRDefault="009371E7" w:rsidP="009371E7">
      <w:pPr>
        <w:pStyle w:val="NormalWeb"/>
        <w:ind w:left="720"/>
        <w:jc w:val="both"/>
      </w:pPr>
      <w:r w:rsidRPr="007957B8">
        <w:t>If you choose option (2), your consent form must be enclosed in an envelope that is postmarked on or before October 20, 2023.</w:t>
      </w:r>
    </w:p>
    <w:p w14:paraId="32778FC5" w14:textId="77777777" w:rsidR="009371E7" w:rsidRDefault="009371E7" w:rsidP="00F326E5">
      <w:pPr>
        <w:rPr>
          <w:rFonts w:ascii="Arial Black" w:hAnsi="Arial Black"/>
          <w:b/>
          <w:sz w:val="24"/>
          <w:szCs w:val="24"/>
        </w:rPr>
      </w:pPr>
    </w:p>
    <w:p w14:paraId="7FA9D57C" w14:textId="20F357AF" w:rsidR="00A82016" w:rsidRDefault="00A82016" w:rsidP="00F326E5">
      <w:pPr>
        <w:rPr>
          <w:rFonts w:ascii="Arial Black" w:hAnsi="Arial Black"/>
          <w:b/>
          <w:sz w:val="24"/>
          <w:szCs w:val="24"/>
        </w:rPr>
      </w:pPr>
      <w:r>
        <w:rPr>
          <w:rFonts w:ascii="Arial Black" w:hAnsi="Arial Black"/>
          <w:b/>
          <w:sz w:val="24"/>
          <w:szCs w:val="24"/>
        </w:rPr>
        <w:t>11-47</w:t>
      </w:r>
    </w:p>
    <w:p w14:paraId="4256C3CD" w14:textId="77777777" w:rsidR="00A82016" w:rsidRPr="00253890" w:rsidRDefault="00A82016" w:rsidP="00A82016">
      <w:pPr>
        <w:spacing w:before="100" w:beforeAutospacing="1" w:after="100" w:afterAutospacing="1" w:line="240" w:lineRule="auto"/>
        <w:rPr>
          <w:rFonts w:ascii="Times New Roman" w:eastAsia="Times New Roman" w:hAnsi="Times New Roman"/>
          <w:sz w:val="24"/>
          <w:szCs w:val="24"/>
        </w:rPr>
      </w:pPr>
      <w:r>
        <w:rPr>
          <w:rFonts w:ascii="Arial Black" w:eastAsia="Times New Roman" w:hAnsi="Arial Black"/>
          <w:sz w:val="28"/>
          <w:szCs w:val="28"/>
        </w:rPr>
        <w:t xml:space="preserve">MS: FLSA - LONGEVITY PAY – LAWSUIT SETTLED PAY OCT. 2023 FORWARD - 25 FF AGREED /10 OBJECTED - ENFORCED </w:t>
      </w:r>
    </w:p>
    <w:p w14:paraId="15A25AA1" w14:textId="77777777" w:rsidR="00A82016" w:rsidRDefault="00A82016" w:rsidP="00A82016">
      <w:pPr>
        <w:pStyle w:val="NoSpacing"/>
        <w:rPr>
          <w:rFonts w:ascii="Times New Roman" w:hAnsi="Times New Roman"/>
          <w:sz w:val="24"/>
          <w:szCs w:val="24"/>
        </w:rPr>
      </w:pPr>
      <w:r>
        <w:rPr>
          <w:rFonts w:ascii="Times New Roman" w:hAnsi="Times New Roman"/>
          <w:sz w:val="24"/>
          <w:szCs w:val="24"/>
        </w:rPr>
        <w:t xml:space="preserve">On Jan. 25, 2024, in </w:t>
      </w:r>
      <w:r w:rsidRPr="00CA23AA">
        <w:rPr>
          <w:rFonts w:ascii="Times New Roman" w:hAnsi="Times New Roman"/>
          <w:sz w:val="24"/>
          <w:szCs w:val="24"/>
          <w:u w:val="single"/>
        </w:rPr>
        <w:t>Derrick Gates, et al. v. City of Biloxi, Mississippi</w:t>
      </w:r>
      <w:r>
        <w:rPr>
          <w:rFonts w:ascii="Times New Roman" w:hAnsi="Times New Roman"/>
          <w:sz w:val="24"/>
          <w:szCs w:val="24"/>
        </w:rPr>
        <w:t xml:space="preserve">, U.S. District Court Judge Louis Guirola, Jr., U.S. District Court for Southern District of Mississippi (Southern Division) granted the City’s motion to enforce the settlement agreement. </w:t>
      </w:r>
    </w:p>
    <w:p w14:paraId="107B8D16" w14:textId="77777777" w:rsidR="00A82016" w:rsidRDefault="00A82016" w:rsidP="00A82016">
      <w:pPr>
        <w:pStyle w:val="NoSpacing"/>
        <w:rPr>
          <w:rFonts w:ascii="Times New Roman" w:hAnsi="Times New Roman"/>
          <w:sz w:val="24"/>
          <w:szCs w:val="24"/>
        </w:rPr>
      </w:pPr>
    </w:p>
    <w:p w14:paraId="58AB6537" w14:textId="6EE03A1D" w:rsidR="00A82016" w:rsidRDefault="00A82016" w:rsidP="00A82016">
      <w:pPr>
        <w:rPr>
          <w:rStyle w:val="Hyperlink"/>
          <w:rFonts w:ascii="Times New Roman" w:hAnsi="Times New Roman"/>
          <w:sz w:val="24"/>
          <w:szCs w:val="24"/>
        </w:rPr>
      </w:pPr>
      <w:r>
        <w:rPr>
          <w:rFonts w:ascii="Times New Roman" w:hAnsi="Times New Roman"/>
          <w:sz w:val="24"/>
          <w:szCs w:val="24"/>
        </w:rPr>
        <w:t>“</w:t>
      </w:r>
      <w:r w:rsidRPr="00195CB1">
        <w:rPr>
          <w:rFonts w:ascii="Times New Roman" w:hAnsi="Times New Roman"/>
          <w:sz w:val="24"/>
          <w:szCs w:val="24"/>
        </w:rPr>
        <w:t>Here, the parties through their retained counsel announced the</w:t>
      </w:r>
      <w:r>
        <w:rPr>
          <w:rFonts w:ascii="Times New Roman" w:hAnsi="Times New Roman"/>
          <w:sz w:val="24"/>
          <w:szCs w:val="24"/>
        </w:rPr>
        <w:t xml:space="preserve"> </w:t>
      </w:r>
      <w:r w:rsidRPr="00195CB1">
        <w:rPr>
          <w:rFonts w:ascii="Times New Roman" w:hAnsi="Times New Roman"/>
          <w:sz w:val="24"/>
          <w:szCs w:val="24"/>
        </w:rPr>
        <w:t>settlement, and the terms were recited into the record. It is the recorded recitations</w:t>
      </w:r>
      <w:r>
        <w:rPr>
          <w:rFonts w:ascii="Times New Roman" w:hAnsi="Times New Roman"/>
          <w:sz w:val="24"/>
          <w:szCs w:val="24"/>
        </w:rPr>
        <w:t xml:space="preserve"> </w:t>
      </w:r>
      <w:r w:rsidRPr="00195CB1">
        <w:rPr>
          <w:rFonts w:ascii="Times New Roman" w:hAnsi="Times New Roman"/>
          <w:sz w:val="24"/>
          <w:szCs w:val="24"/>
        </w:rPr>
        <w:t>that control. Therefore, the settlement agreement is enforceable as recorded in the</w:t>
      </w:r>
      <w:r>
        <w:rPr>
          <w:rFonts w:ascii="Times New Roman" w:hAnsi="Times New Roman"/>
          <w:sz w:val="24"/>
          <w:szCs w:val="24"/>
        </w:rPr>
        <w:t xml:space="preserve"> </w:t>
      </w:r>
      <w:r w:rsidRPr="00195CB1">
        <w:rPr>
          <w:rFonts w:ascii="Times New Roman" w:hAnsi="Times New Roman"/>
          <w:sz w:val="24"/>
          <w:szCs w:val="24"/>
        </w:rPr>
        <w:t>transcript at the close of the settlement conference, regardless of any alleged</w:t>
      </w:r>
      <w:r>
        <w:rPr>
          <w:rFonts w:ascii="Times New Roman" w:hAnsi="Times New Roman"/>
          <w:sz w:val="24"/>
          <w:szCs w:val="24"/>
        </w:rPr>
        <w:t xml:space="preserve"> </w:t>
      </w:r>
      <w:r w:rsidRPr="00195CB1">
        <w:rPr>
          <w:rFonts w:ascii="Times New Roman" w:hAnsi="Times New Roman"/>
          <w:sz w:val="24"/>
          <w:szCs w:val="24"/>
        </w:rPr>
        <w:t>omissions contained in a later memorialization of the parties’ agreement.</w:t>
      </w:r>
      <w:r>
        <w:rPr>
          <w:rFonts w:ascii="Times New Roman" w:hAnsi="Times New Roman"/>
          <w:sz w:val="24"/>
          <w:szCs w:val="24"/>
        </w:rPr>
        <w:t xml:space="preserve">”   </w:t>
      </w:r>
      <w:hyperlink r:id="rId1853" w:history="1">
        <w:r w:rsidRPr="00624A20">
          <w:rPr>
            <w:rStyle w:val="Hyperlink"/>
            <w:rFonts w:ascii="Times New Roman" w:hAnsi="Times New Roman"/>
            <w:sz w:val="24"/>
            <w:szCs w:val="24"/>
          </w:rPr>
          <w:t>https://cases.justia.com/federal/district-courts/mississippi/mssdce/1:2022cv00356/117172/19/0.pdf?ts=1706287990</w:t>
        </w:r>
      </w:hyperlink>
    </w:p>
    <w:p w14:paraId="3A00E7B4" w14:textId="4FC5B2D7" w:rsidR="00F260DB" w:rsidRDefault="00F260DB" w:rsidP="00A82016">
      <w:pPr>
        <w:rPr>
          <w:rFonts w:ascii="Arial Black" w:hAnsi="Arial Black"/>
          <w:b/>
          <w:sz w:val="24"/>
          <w:szCs w:val="24"/>
        </w:rPr>
      </w:pPr>
      <w:r w:rsidRPr="0027455C">
        <w:rPr>
          <w:rFonts w:ascii="Times New Roman" w:hAnsi="Times New Roman"/>
          <w:b/>
          <w:bCs/>
          <w:sz w:val="24"/>
          <w:szCs w:val="24"/>
        </w:rPr>
        <w:t>Legal Lesson Learned:</w:t>
      </w:r>
      <w:r>
        <w:rPr>
          <w:rFonts w:ascii="Times New Roman" w:hAnsi="Times New Roman"/>
          <w:b/>
          <w:bCs/>
          <w:sz w:val="24"/>
          <w:szCs w:val="24"/>
        </w:rPr>
        <w:t xml:space="preserve"> A settlement agreement agreed to by Plaintiffs’ legal counsel applies to all firefighters on the fire department</w:t>
      </w:r>
    </w:p>
    <w:p w14:paraId="2C52C8F0" w14:textId="77777777" w:rsidR="00A82016" w:rsidRDefault="00A82016" w:rsidP="00F326E5">
      <w:pPr>
        <w:rPr>
          <w:rFonts w:ascii="Arial Black" w:hAnsi="Arial Black"/>
          <w:b/>
          <w:sz w:val="24"/>
          <w:szCs w:val="24"/>
        </w:rPr>
      </w:pPr>
    </w:p>
    <w:p w14:paraId="7AD83869" w14:textId="071DD38E" w:rsidR="00357AB9" w:rsidRDefault="00357AB9"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50</w:t>
      </w:r>
    </w:p>
    <w:p w14:paraId="443FE29E" w14:textId="77777777" w:rsidR="00357AB9" w:rsidRDefault="00357AB9" w:rsidP="00357AB9">
      <w:pPr>
        <w:pStyle w:val="NormalWeb"/>
        <w:rPr>
          <w:rFonts w:ascii="Arial Black" w:hAnsi="Arial Black"/>
          <w:b/>
          <w:bCs/>
          <w:sz w:val="28"/>
          <w:szCs w:val="28"/>
        </w:rPr>
      </w:pPr>
      <w:r>
        <w:rPr>
          <w:rFonts w:ascii="Arial Black" w:hAnsi="Arial Black"/>
          <w:b/>
          <w:bCs/>
          <w:sz w:val="28"/>
          <w:szCs w:val="28"/>
        </w:rPr>
        <w:t>CA: FLSA - FF HAVE HEALTH INSUR. WITH SPOUSE CAN “OPT OUT” – OPT OUT FEE IS NOT PART “REGULAR WAGES”</w:t>
      </w:r>
    </w:p>
    <w:p w14:paraId="61E58FB4" w14:textId="77777777" w:rsidR="00357AB9" w:rsidRDefault="00357AB9" w:rsidP="00357AB9">
      <w:pPr>
        <w:pStyle w:val="NoSpacing"/>
        <w:rPr>
          <w:rFonts w:ascii="Times New Roman" w:hAnsi="Times New Roman"/>
          <w:sz w:val="24"/>
          <w:szCs w:val="24"/>
        </w:rPr>
      </w:pPr>
      <w:r w:rsidRPr="00EA69A8">
        <w:rPr>
          <w:rFonts w:ascii="Times New Roman" w:hAnsi="Times New Roman"/>
          <w:sz w:val="24"/>
          <w:szCs w:val="24"/>
        </w:rPr>
        <w:t xml:space="preserve">On Nov. 30, 2023, in </w:t>
      </w:r>
      <w:r w:rsidRPr="00F72B12">
        <w:rPr>
          <w:rFonts w:ascii="Times New Roman" w:hAnsi="Times New Roman"/>
          <w:sz w:val="24"/>
          <w:szCs w:val="24"/>
          <w:u w:val="single"/>
        </w:rPr>
        <w:t>Anthony Sanders, et al. v. County of Ventura</w:t>
      </w:r>
      <w:r w:rsidRPr="00EA69A8">
        <w:rPr>
          <w:rFonts w:ascii="Times New Roman" w:hAnsi="Times New Roman"/>
          <w:sz w:val="24"/>
          <w:szCs w:val="24"/>
        </w:rPr>
        <w:t>,  the U.S. Court of Appeals for the 9th Circuit (San Francisco) held (3 to 0) that trial court judge properly granted summary judgment to the County.  For example, PFA [Professional Firefighters Association] members in 2022 received a Flex Credit of $482, but their opt-out fee was $334.75, resulting in a net cash payment of $147.25 per pay period.</w:t>
      </w:r>
      <w:r>
        <w:rPr>
          <w:rFonts w:ascii="Times New Roman" w:hAnsi="Times New Roman"/>
          <w:sz w:val="24"/>
          <w:szCs w:val="24"/>
        </w:rPr>
        <w:t xml:space="preserve"> </w:t>
      </w:r>
      <w:r w:rsidRPr="00EA69A8">
        <w:rPr>
          <w:rFonts w:ascii="Times New Roman" w:hAnsi="Times New Roman"/>
          <w:sz w:val="24"/>
          <w:szCs w:val="24"/>
        </w:rPr>
        <w:t>The Court of Appeals wrote: “What this means is that § 207(e)(4) permits an employer</w:t>
      </w:r>
      <w:r>
        <w:rPr>
          <w:rFonts w:ascii="Times New Roman" w:hAnsi="Times New Roman"/>
          <w:sz w:val="24"/>
          <w:szCs w:val="24"/>
        </w:rPr>
        <w:t xml:space="preserve"> </w:t>
      </w:r>
      <w:r w:rsidRPr="00EA69A8">
        <w:rPr>
          <w:rFonts w:ascii="Times New Roman" w:hAnsi="Times New Roman"/>
          <w:sz w:val="24"/>
          <w:szCs w:val="24"/>
        </w:rPr>
        <w:t>to exempt from an employee’s regular rate of pay employer contributions made pursuant to bona fide health plans that are designed to alleviate the burden of a shrinking risk pool for the employees who choose to remain in the plans. When an employer, as here, decides to allow employees to retain some portion of an unused health insurance credit, it can permissibly structure the program to prop up the employee health plans without treating the full amount of the health credit as part of the FLSA regular rate of pay.”</w:t>
      </w:r>
      <w:r>
        <w:rPr>
          <w:rFonts w:ascii="Times New Roman" w:hAnsi="Times New Roman"/>
          <w:sz w:val="24"/>
          <w:szCs w:val="24"/>
        </w:rPr>
        <w:t xml:space="preserve"> </w:t>
      </w:r>
      <w:hyperlink r:id="rId1854" w:history="1">
        <w:r w:rsidRPr="001D6799">
          <w:rPr>
            <w:rStyle w:val="Hyperlink"/>
            <w:rFonts w:ascii="Times New Roman" w:hAnsi="Times New Roman"/>
            <w:sz w:val="24"/>
            <w:szCs w:val="24"/>
          </w:rPr>
          <w:t>https://cdn.ca9.uscourts.gov/datastore/opinions/2023/11/30/22-55663.pdf</w:t>
        </w:r>
      </w:hyperlink>
      <w:r>
        <w:rPr>
          <w:rFonts w:ascii="Times New Roman" w:hAnsi="Times New Roman"/>
          <w:sz w:val="24"/>
          <w:szCs w:val="24"/>
        </w:rPr>
        <w:t xml:space="preserve"> </w:t>
      </w:r>
    </w:p>
    <w:p w14:paraId="493FAE4B" w14:textId="77777777" w:rsidR="00FB5A0A" w:rsidRDefault="00FB5A0A" w:rsidP="00FB5A0A">
      <w:pPr>
        <w:pStyle w:val="NoSpacing"/>
        <w:rPr>
          <w:rFonts w:ascii="Times New Roman" w:hAnsi="Times New Roman"/>
          <w:b/>
          <w:bCs/>
          <w:sz w:val="24"/>
          <w:szCs w:val="24"/>
        </w:rPr>
      </w:pPr>
    </w:p>
    <w:p w14:paraId="4F255FE2" w14:textId="0311498F" w:rsidR="00FB5A0A" w:rsidRPr="00404656" w:rsidRDefault="00FB5A0A" w:rsidP="00FB5A0A">
      <w:pPr>
        <w:pStyle w:val="NoSpacing"/>
        <w:rPr>
          <w:rFonts w:ascii="Times New Roman" w:hAnsi="Times New Roman"/>
          <w:b/>
          <w:bCs/>
          <w:sz w:val="24"/>
          <w:szCs w:val="24"/>
        </w:rPr>
      </w:pPr>
      <w:r w:rsidRPr="00404656">
        <w:rPr>
          <w:rFonts w:ascii="Times New Roman" w:hAnsi="Times New Roman"/>
          <w:b/>
          <w:bCs/>
          <w:sz w:val="24"/>
          <w:szCs w:val="24"/>
        </w:rPr>
        <w:t>Legal Lesson Learned:</w:t>
      </w:r>
      <w:r>
        <w:rPr>
          <w:rFonts w:ascii="Times New Roman" w:hAnsi="Times New Roman"/>
          <w:b/>
          <w:bCs/>
          <w:sz w:val="24"/>
          <w:szCs w:val="24"/>
        </w:rPr>
        <w:t xml:space="preserve">  FF working overtime get time and one half of their “regular rate” of pay; the County does not want to include “opt out” fees in their regular rate of pay,  </w:t>
      </w:r>
    </w:p>
    <w:p w14:paraId="67DC5071" w14:textId="77777777" w:rsidR="00FB5A0A" w:rsidRDefault="00FB5A0A" w:rsidP="00FB5A0A">
      <w:pPr>
        <w:pStyle w:val="NoSpacing"/>
        <w:rPr>
          <w:rFonts w:ascii="Times New Roman" w:hAnsi="Times New Roman"/>
          <w:sz w:val="24"/>
          <w:szCs w:val="24"/>
        </w:rPr>
      </w:pPr>
    </w:p>
    <w:p w14:paraId="4CBB7932" w14:textId="77777777" w:rsidR="00FB5A0A" w:rsidRDefault="00FB5A0A" w:rsidP="00F326E5">
      <w:pPr>
        <w:rPr>
          <w:rFonts w:ascii="Arial Black" w:hAnsi="Arial Black"/>
          <w:b/>
          <w:sz w:val="24"/>
          <w:szCs w:val="24"/>
        </w:rPr>
      </w:pPr>
    </w:p>
    <w:p w14:paraId="121BF3B6" w14:textId="77777777" w:rsidR="00357AB9" w:rsidRDefault="00357AB9" w:rsidP="00F326E5">
      <w:pPr>
        <w:rPr>
          <w:rFonts w:ascii="Arial Black" w:hAnsi="Arial Black"/>
          <w:b/>
          <w:sz w:val="24"/>
          <w:szCs w:val="24"/>
        </w:rPr>
      </w:pPr>
    </w:p>
    <w:p w14:paraId="5866D335" w14:textId="4AED3211" w:rsidR="001A5080" w:rsidRDefault="001A5080"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9</w:t>
      </w:r>
    </w:p>
    <w:p w14:paraId="1B66BA25" w14:textId="77777777" w:rsidR="001A5080" w:rsidRPr="00C75679" w:rsidRDefault="001A5080" w:rsidP="001A5080">
      <w:pPr>
        <w:pStyle w:val="NoSpacing"/>
        <w:rPr>
          <w:rFonts w:ascii="Arial Black" w:hAnsi="Arial Black"/>
          <w:b/>
          <w:sz w:val="28"/>
          <w:szCs w:val="28"/>
        </w:rPr>
      </w:pPr>
      <w:r>
        <w:rPr>
          <w:rFonts w:ascii="Arial Black" w:hAnsi="Arial Black"/>
          <w:b/>
          <w:sz w:val="28"/>
          <w:szCs w:val="28"/>
        </w:rPr>
        <w:t>WV: WORKING ON HOLIDAY – STATE LAW REQ. OT OR COMP TIME – BUT HRS THAT DAY - NOT 24HR SHIFT / NOT 12 HRS</w:t>
      </w:r>
    </w:p>
    <w:p w14:paraId="4EFFE3CC" w14:textId="77777777" w:rsidR="001A5080" w:rsidRDefault="001A5080" w:rsidP="001A5080">
      <w:pPr>
        <w:pStyle w:val="NoSpacing"/>
        <w:ind w:left="720"/>
        <w:rPr>
          <w:rFonts w:ascii="Arial Black" w:hAnsi="Arial Black"/>
          <w:b/>
          <w:sz w:val="20"/>
          <w:szCs w:val="20"/>
        </w:rPr>
      </w:pPr>
    </w:p>
    <w:p w14:paraId="49D2F874" w14:textId="77777777" w:rsidR="001A5080" w:rsidRPr="002C5D98" w:rsidRDefault="001A5080" w:rsidP="001A5080">
      <w:pPr>
        <w:pStyle w:val="NoSpacing"/>
        <w:rPr>
          <w:rFonts w:ascii="Times New Roman" w:hAnsi="Times New Roman"/>
          <w:bCs/>
          <w:sz w:val="24"/>
          <w:szCs w:val="24"/>
          <w:u w:val="single"/>
        </w:rPr>
      </w:pPr>
      <w:r w:rsidRPr="00FB4C5F">
        <w:rPr>
          <w:rFonts w:ascii="Times New Roman" w:hAnsi="Times New Roman"/>
          <w:bCs/>
          <w:sz w:val="24"/>
          <w:szCs w:val="24"/>
        </w:rPr>
        <w:t>On Nov. 8</w:t>
      </w:r>
      <w:r>
        <w:rPr>
          <w:rFonts w:ascii="Times New Roman" w:hAnsi="Times New Roman"/>
          <w:bCs/>
          <w:sz w:val="24"/>
          <w:szCs w:val="24"/>
        </w:rPr>
        <w:t xml:space="preserve">, 2023, in </w:t>
      </w:r>
      <w:r w:rsidRPr="002C5D98">
        <w:rPr>
          <w:rFonts w:ascii="Times New Roman" w:hAnsi="Times New Roman"/>
          <w:bCs/>
          <w:sz w:val="24"/>
          <w:szCs w:val="24"/>
          <w:u w:val="single"/>
        </w:rPr>
        <w:t>Jayson Nicewarner, et al. v. The City of Morgantown</w:t>
      </w:r>
      <w:r w:rsidRPr="002C5D98">
        <w:rPr>
          <w:rFonts w:ascii="Times New Roman" w:hAnsi="Times New Roman"/>
          <w:bCs/>
          <w:sz w:val="24"/>
          <w:szCs w:val="24"/>
        </w:rPr>
        <w:t xml:space="preserve">, </w:t>
      </w:r>
      <w:r w:rsidRPr="00BB5C82">
        <w:rPr>
          <w:rFonts w:ascii="Times New Roman" w:hAnsi="Times New Roman"/>
          <w:bCs/>
          <w:sz w:val="24"/>
          <w:szCs w:val="24"/>
        </w:rPr>
        <w:t xml:space="preserve">the Supreme Court of Appeals of West Virginia, </w:t>
      </w:r>
      <w:r>
        <w:rPr>
          <w:rFonts w:ascii="Times New Roman" w:hAnsi="Times New Roman"/>
          <w:bCs/>
          <w:sz w:val="24"/>
          <w:szCs w:val="24"/>
        </w:rPr>
        <w:t xml:space="preserve">held (4 to 1) that Lieutenant Nicewarner (then President </w:t>
      </w:r>
      <w:proofErr w:type="spellStart"/>
      <w:r>
        <w:rPr>
          <w:rFonts w:ascii="Times New Roman" w:hAnsi="Times New Roman"/>
          <w:bCs/>
          <w:sz w:val="24"/>
          <w:szCs w:val="24"/>
        </w:rPr>
        <w:t>ofIAFF</w:t>
      </w:r>
      <w:proofErr w:type="spellEnd"/>
      <w:r>
        <w:rPr>
          <w:rFonts w:ascii="Times New Roman" w:hAnsi="Times New Roman"/>
          <w:bCs/>
          <w:sz w:val="24"/>
          <w:szCs w:val="24"/>
        </w:rPr>
        <w:t xml:space="preserve">  Local 313) and fifty-three other current and former firefighters are not entitled to 24-hours of comp time off when their </w:t>
      </w:r>
      <w:proofErr w:type="gramStart"/>
      <w:r>
        <w:rPr>
          <w:rFonts w:ascii="Times New Roman" w:hAnsi="Times New Roman"/>
          <w:bCs/>
          <w:sz w:val="24"/>
          <w:szCs w:val="24"/>
        </w:rPr>
        <w:t>24/48 hour</w:t>
      </w:r>
      <w:proofErr w:type="gramEnd"/>
      <w:r>
        <w:rPr>
          <w:rFonts w:ascii="Times New Roman" w:hAnsi="Times New Roman"/>
          <w:bCs/>
          <w:sz w:val="24"/>
          <w:szCs w:val="24"/>
        </w:rPr>
        <w:t xml:space="preserve"> shift includes a state or federal holiday.  The </w:t>
      </w:r>
      <w:proofErr w:type="gramStart"/>
      <w:r>
        <w:rPr>
          <w:rFonts w:ascii="Times New Roman" w:hAnsi="Times New Roman"/>
          <w:bCs/>
          <w:sz w:val="24"/>
          <w:szCs w:val="24"/>
        </w:rPr>
        <w:t>City</w:t>
      </w:r>
      <w:proofErr w:type="gramEnd"/>
      <w:r>
        <w:rPr>
          <w:rFonts w:ascii="Times New Roman" w:hAnsi="Times New Roman"/>
          <w:bCs/>
          <w:sz w:val="24"/>
          <w:szCs w:val="24"/>
        </w:rPr>
        <w:t xml:space="preserve"> has for 48 years, based on a State Attorney General opinion about 2004 statute, granted firefighters 12-hours of comp time; the union claimed they were entitled to 24 hours since they worked 24/48 shift (8 am one day to 8 am next day).  The WV Supreme Court disagreed with both, holding that under State statute firefighters only get equivalent time off for hours worked on that holiday day – not entire 24-hour shift.  The Court ordered City to recalculate for past five years under new </w:t>
      </w:r>
      <w:proofErr w:type="gramStart"/>
      <w:r>
        <w:rPr>
          <w:rFonts w:ascii="Times New Roman" w:hAnsi="Times New Roman"/>
          <w:bCs/>
          <w:sz w:val="24"/>
          <w:szCs w:val="24"/>
        </w:rPr>
        <w:t>standard</w:t>
      </w:r>
      <w:proofErr w:type="gramEnd"/>
      <w:r>
        <w:rPr>
          <w:rFonts w:ascii="Times New Roman" w:hAnsi="Times New Roman"/>
          <w:bCs/>
          <w:sz w:val="24"/>
          <w:szCs w:val="24"/>
        </w:rPr>
        <w:t xml:space="preserve">, including retired firefighters who may have lost vacation pay.  </w:t>
      </w:r>
      <w:hyperlink r:id="rId1855" w:history="1">
        <w:r w:rsidRPr="00553FEF">
          <w:rPr>
            <w:rStyle w:val="Hyperlink"/>
            <w:rFonts w:ascii="Times New Roman" w:hAnsi="Times New Roman"/>
            <w:bCs/>
            <w:sz w:val="24"/>
            <w:szCs w:val="24"/>
          </w:rPr>
          <w:t>http://www.courtswv.gov/supreme-court/docs/fall2023/22-0185-hutchison-p.pdf</w:t>
        </w:r>
      </w:hyperlink>
      <w:r>
        <w:rPr>
          <w:rFonts w:ascii="Times New Roman" w:hAnsi="Times New Roman"/>
          <w:bCs/>
          <w:sz w:val="24"/>
          <w:szCs w:val="24"/>
          <w:u w:val="single"/>
        </w:rPr>
        <w:t xml:space="preserve"> </w:t>
      </w:r>
    </w:p>
    <w:p w14:paraId="3D9250D5" w14:textId="77777777" w:rsidR="001A5080" w:rsidRDefault="001A5080" w:rsidP="001A5080">
      <w:pPr>
        <w:pStyle w:val="NoSpacing"/>
        <w:rPr>
          <w:rFonts w:ascii="Times New Roman" w:hAnsi="Times New Roman"/>
          <w:bCs/>
          <w:sz w:val="24"/>
          <w:szCs w:val="24"/>
        </w:rPr>
      </w:pPr>
    </w:p>
    <w:p w14:paraId="2CE7F65F" w14:textId="77777777" w:rsidR="00B32E9A" w:rsidRDefault="00B32E9A" w:rsidP="00B32E9A">
      <w:pPr>
        <w:pStyle w:val="NoSpacing"/>
        <w:rPr>
          <w:rFonts w:ascii="Times New Roman" w:hAnsi="Times New Roman"/>
          <w:b/>
          <w:sz w:val="24"/>
          <w:szCs w:val="24"/>
        </w:rPr>
      </w:pPr>
      <w:r w:rsidRPr="00D328B7">
        <w:rPr>
          <w:rFonts w:ascii="Times New Roman" w:hAnsi="Times New Roman"/>
          <w:b/>
          <w:sz w:val="24"/>
          <w:szCs w:val="24"/>
        </w:rPr>
        <w:t>Legal Lesson Learned</w:t>
      </w:r>
      <w:r>
        <w:rPr>
          <w:rFonts w:ascii="Times New Roman" w:hAnsi="Times New Roman"/>
          <w:b/>
          <w:sz w:val="24"/>
          <w:szCs w:val="24"/>
        </w:rPr>
        <w:t>:  The statute was not clear; both union and City had different interpretations and Court rejected both.</w:t>
      </w:r>
    </w:p>
    <w:p w14:paraId="1D77E3B1" w14:textId="77777777" w:rsidR="001A5080" w:rsidRDefault="001A5080" w:rsidP="00F326E5">
      <w:pPr>
        <w:rPr>
          <w:rFonts w:ascii="Arial Black" w:hAnsi="Arial Black"/>
          <w:b/>
          <w:sz w:val="24"/>
          <w:szCs w:val="24"/>
        </w:rPr>
      </w:pPr>
    </w:p>
    <w:p w14:paraId="4A0BB451" w14:textId="77777777" w:rsidR="001A5080" w:rsidRDefault="001A5080" w:rsidP="00F326E5">
      <w:pPr>
        <w:rPr>
          <w:rFonts w:ascii="Arial Black" w:hAnsi="Arial Black"/>
          <w:b/>
          <w:sz w:val="24"/>
          <w:szCs w:val="24"/>
        </w:rPr>
      </w:pPr>
    </w:p>
    <w:p w14:paraId="11F869C1" w14:textId="58AF8DC9" w:rsidR="00AC3E10" w:rsidRDefault="00AC3E10"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8</w:t>
      </w:r>
    </w:p>
    <w:p w14:paraId="4E09F5C4" w14:textId="77777777" w:rsidR="00AC3E10" w:rsidRPr="00AD671D" w:rsidRDefault="00AC3E10" w:rsidP="00AC3E10">
      <w:pPr>
        <w:pStyle w:val="NormalWeb"/>
        <w:rPr>
          <w:rFonts w:ascii="Arial Black" w:hAnsi="Arial Black"/>
          <w:b/>
          <w:bCs/>
          <w:sz w:val="28"/>
          <w:szCs w:val="28"/>
        </w:rPr>
      </w:pPr>
      <w:r>
        <w:rPr>
          <w:rFonts w:ascii="Arial Black" w:hAnsi="Arial Black"/>
          <w:b/>
          <w:bCs/>
          <w:sz w:val="28"/>
          <w:szCs w:val="28"/>
        </w:rPr>
        <w:t xml:space="preserve">NY: PRIVATE AMBULANCE CO. – CLASS ACTION BY 200 EMS – NOT PAID FOR PREP TIME – REQ. BUY THEIR UNIFORMS </w:t>
      </w:r>
    </w:p>
    <w:p w14:paraId="6F264474" w14:textId="77777777" w:rsidR="00AC3E10" w:rsidRDefault="00AC3E10" w:rsidP="00AC3E10">
      <w:pPr>
        <w:pStyle w:val="NormalWeb"/>
      </w:pPr>
      <w:r>
        <w:t xml:space="preserve">On Sept. 15, 2023, in </w:t>
      </w:r>
      <w:r w:rsidRPr="00704F94">
        <w:rPr>
          <w:u w:val="single"/>
        </w:rPr>
        <w:t>Tray Jackson, individually and on behalf of the proposed class v. Citywide Mobile Response Corp</w:t>
      </w:r>
      <w:r>
        <w:t>., Judge Fidel E. Gomez, New York Supreme Court, Bronx County, granted plaintiff’s motion to certify class action against the non-emergency ambulance company that has been in business for over 40 years.  Plaintiff EMT ($18 an hour in 2021 and 2022) alleges he would “clock in” prior to start of shift to check ambulance for supplies, and “clock out” after the schedule shift, but the company “rounded up” his start time and rounded down his end times.  The company also deducted from his pay the cost of his uniforms and tech bag in  amounts totaling $275-$400.</w:t>
      </w:r>
    </w:p>
    <w:p w14:paraId="2A1D17B1" w14:textId="77777777" w:rsidR="00AC3E10" w:rsidRDefault="00AC3E10" w:rsidP="00AC3E10">
      <w:pPr>
        <w:pStyle w:val="NormalWeb"/>
        <w:ind w:left="720"/>
      </w:pPr>
      <w:r>
        <w:t>“Here, with the affidavits by plaintiff, Alston and Lopez, which state that at the time of the alleged tortious practices on which the complaint is premised there were approximately 200 people employed by defendant, the record demonstrates that the size of the putative class is sufficient as a matter of law.</w:t>
      </w:r>
    </w:p>
    <w:p w14:paraId="3922BD63" w14:textId="77777777" w:rsidR="00AC3E10" w:rsidRDefault="00AC3E10" w:rsidP="00AC3E10">
      <w:pPr>
        <w:pStyle w:val="NormalWeb"/>
        <w:ind w:firstLine="720"/>
      </w:pPr>
      <w:r>
        <w:t>***</w:t>
      </w:r>
    </w:p>
    <w:p w14:paraId="4045BA54" w14:textId="04C861E0" w:rsidR="00AC3E10" w:rsidRPr="00AC3E10" w:rsidRDefault="00AC3E10" w:rsidP="00AC3E10">
      <w:pPr>
        <w:ind w:left="720"/>
        <w:rPr>
          <w:rFonts w:ascii="Times New Roman" w:hAnsi="Times New Roman"/>
          <w:b/>
          <w:sz w:val="24"/>
          <w:szCs w:val="24"/>
        </w:rPr>
      </w:pPr>
      <w:r w:rsidRPr="00AC3E10">
        <w:rPr>
          <w:rFonts w:ascii="Times New Roman" w:hAnsi="Times New Roman"/>
          <w:sz w:val="24"/>
          <w:szCs w:val="24"/>
        </w:rPr>
        <w:t xml:space="preserve">Here, the evidence demonstrates that there are three categories into which plaintiff's claims fit: whether defendant violated the law by failing to pay him appropriate wages; whether defendant violated the NYCRR by failing to reimburse plaintiff for uniform and equipment expenditures; and whether defendant violated the Labor Law by failing to provide him wage notices.” </w:t>
      </w:r>
      <w:hyperlink r:id="rId1856" w:history="1">
        <w:r w:rsidRPr="00AC3E10">
          <w:rPr>
            <w:rStyle w:val="Hyperlink"/>
            <w:rFonts w:ascii="Times New Roman" w:eastAsiaTheme="majorEastAsia" w:hAnsi="Times New Roman"/>
            <w:sz w:val="24"/>
            <w:szCs w:val="24"/>
          </w:rPr>
          <w:t>https://public.fastcase.com/ZZhmr5v9wN%2FXOe5IsQ%2FqD6h7oDGGEaQcvjGxXhP3wdarcxH65lzIz0WHpJ1071%2Fz6z3xzTYinPsWmKTOA4ARnDbKp9ycJPmOcwYRqStxafA%3D?utm_medium=email&amp;_hsmi=226712652&amp;_hsenc=p2ANqtz-8kFbodM_yCEg50hGETq70Ew_rKe4r85tHeNoAUvaEorCUJWcIF_sSd3vzx7ykWUIs8vIjN-q4A8Aji78d1bSF2B0Xuvw&amp;utm_content=226712652&amp;utm_source=hs_email</w:t>
        </w:r>
      </w:hyperlink>
    </w:p>
    <w:p w14:paraId="63A00A85" w14:textId="77777777" w:rsidR="00AC3E10" w:rsidRPr="00747F58" w:rsidRDefault="00AC3E10" w:rsidP="00AC3E10">
      <w:pPr>
        <w:pStyle w:val="NormalWeb"/>
        <w:rPr>
          <w:b/>
          <w:bCs/>
        </w:rPr>
      </w:pPr>
      <w:r w:rsidRPr="00747F58">
        <w:rPr>
          <w:b/>
          <w:bCs/>
        </w:rPr>
        <w:t>Legal Lesson Learned:</w:t>
      </w:r>
      <w:r>
        <w:rPr>
          <w:b/>
          <w:bCs/>
        </w:rPr>
        <w:t xml:space="preserve"> This lawsuit will now proceed to pre-trial discovery. </w:t>
      </w:r>
    </w:p>
    <w:p w14:paraId="11E1666F" w14:textId="77777777" w:rsidR="00AC3E10" w:rsidRDefault="00AC3E10" w:rsidP="00F326E5">
      <w:pPr>
        <w:rPr>
          <w:rFonts w:ascii="Arial Black" w:hAnsi="Arial Black"/>
          <w:b/>
          <w:sz w:val="24"/>
          <w:szCs w:val="24"/>
        </w:rPr>
      </w:pPr>
    </w:p>
    <w:p w14:paraId="2782B6D3" w14:textId="0EE737E3" w:rsidR="009B0593" w:rsidRDefault="009B0593"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7</w:t>
      </w:r>
    </w:p>
    <w:p w14:paraId="46AB3787" w14:textId="77777777" w:rsidR="009B0593" w:rsidRDefault="009B0593" w:rsidP="009B0593">
      <w:pPr>
        <w:pStyle w:val="NormalWeb"/>
        <w:rPr>
          <w:rFonts w:ascii="Arial Black" w:hAnsi="Arial Black"/>
          <w:b/>
          <w:bCs/>
          <w:sz w:val="28"/>
          <w:szCs w:val="28"/>
        </w:rPr>
      </w:pPr>
      <w:r>
        <w:rPr>
          <w:rFonts w:ascii="Arial Black" w:hAnsi="Arial Black"/>
          <w:b/>
          <w:bCs/>
          <w:sz w:val="28"/>
          <w:szCs w:val="28"/>
        </w:rPr>
        <w:t>NY: FDNY EMS - 15 MIN PREP TIME – “CITYTIME” DIDN’T RECORD – JURY WILLFUL VIOL. – $17M - 2</w:t>
      </w:r>
      <w:r w:rsidRPr="007B3216">
        <w:rPr>
          <w:rFonts w:ascii="Arial Black" w:hAnsi="Arial Black"/>
          <w:b/>
          <w:bCs/>
          <w:sz w:val="28"/>
          <w:szCs w:val="28"/>
          <w:vertAlign w:val="superscript"/>
        </w:rPr>
        <w:t>nd</w:t>
      </w:r>
      <w:r>
        <w:rPr>
          <w:rFonts w:ascii="Arial Black" w:hAnsi="Arial Black"/>
          <w:b/>
          <w:bCs/>
          <w:sz w:val="28"/>
          <w:szCs w:val="28"/>
        </w:rPr>
        <w:t xml:space="preserve"> CIR UPHOLDS</w:t>
      </w:r>
    </w:p>
    <w:p w14:paraId="317E0D8F" w14:textId="77777777" w:rsidR="009B0593" w:rsidRDefault="009B0593" w:rsidP="009B0593">
      <w:pPr>
        <w:pStyle w:val="NormalWeb"/>
      </w:pPr>
      <w:r>
        <w:t xml:space="preserve">On Aug. 25, 2023, in </w:t>
      </w:r>
      <w:r w:rsidRPr="00FE512F">
        <w:rPr>
          <w:u w:val="single"/>
        </w:rPr>
        <w:t>Chaz Perry, et al. v. City of New York, New York Fire Department</w:t>
      </w:r>
      <w:r>
        <w:t xml:space="preserve">, the U.S. Court of Appeals for Second Circuit (NYC) held (3 to 0) that jury, after a 12-day trial (six and half years after lawsuit was filed), properly found a willful violation of the FLSA in a class action by 2,519 EMS.   The </w:t>
      </w:r>
      <w:proofErr w:type="gramStart"/>
      <w:r>
        <w:t>City</w:t>
      </w:r>
      <w:proofErr w:type="gramEnd"/>
      <w:r>
        <w:t xml:space="preserve"> required EMS to work 8-hour shifts, and earn overtime after 40 hours, but City did not pay them for pre-shift or post-shift time unless EMS specifically requested this (not done 99% of time).  During the trial, two senior FDNY supervisors testified that plaintiffs were not permitted to request overtime for such pre-shift work as checking PPE and equipment. The plaintiffs calculated unpaid overtime damages as 15 minutes per shift. Court rejected the City’s argument on appeal that time pre-shift and post-shift work was “de minimis” and thus not worthy of compensation. The $17,780.063 verdict is allocated as follows – backpay $7,238,513; same amount in liquidated damages for willful violation of FLSA; $3,303,037 in attorneys’ fee.  </w:t>
      </w:r>
    </w:p>
    <w:p w14:paraId="4BDB06C8" w14:textId="77777777" w:rsidR="009B0593" w:rsidRDefault="009B0593" w:rsidP="009B0593">
      <w:pPr>
        <w:pStyle w:val="NormalWeb"/>
      </w:pPr>
      <w:r>
        <w:tab/>
        <w:t xml:space="preserve">The Court held: </w:t>
      </w:r>
      <w:r>
        <w:tab/>
      </w:r>
    </w:p>
    <w:p w14:paraId="2CA00CB6" w14:textId="77777777" w:rsidR="009B0593" w:rsidRDefault="009B0593" w:rsidP="009B0593">
      <w:pPr>
        <w:pStyle w:val="NormalWeb"/>
        <w:ind w:left="720"/>
      </w:pPr>
      <w:r>
        <w:t>“The City’s principal argument on appeal is that it cannot be held liable for the unpaid overtime because it affords an opportunity to report overtime work and, since the plaintiffs failed to report the work at issue, the City did not know that any plaintiff was being short-changed. But an employer must pay for all work it knows about or requires, even if the employee does not specifically request compensation for it. Whether an employee reports overtime work will often be relevant to an employer’s knowledge of the work—but allowing, or even requiring, an employee to report overtime work does not absolve employers of the obligation to compensate for work they suffer or permit.</w:t>
      </w:r>
    </w:p>
    <w:p w14:paraId="131464BB" w14:textId="77777777" w:rsidR="009B0593" w:rsidRDefault="009B0593" w:rsidP="009B0593">
      <w:pPr>
        <w:pStyle w:val="NormalWeb"/>
        <w:ind w:left="720"/>
      </w:pPr>
      <w:r>
        <w:t xml:space="preserve">*** </w:t>
      </w:r>
    </w:p>
    <w:p w14:paraId="10691FC5" w14:textId="77777777" w:rsidR="009B0593" w:rsidRDefault="009B0593" w:rsidP="009B0593">
      <w:pPr>
        <w:pStyle w:val="NormalWeb"/>
        <w:ind w:left="720"/>
      </w:pPr>
      <w:r>
        <w:t xml:space="preserve">[W]e </w:t>
      </w:r>
      <w:proofErr w:type="gramStart"/>
      <w:r>
        <w:t>have</w:t>
      </w:r>
      <w:proofErr w:type="gramEnd"/>
      <w:r>
        <w:t xml:space="preserve"> long recognized that an employee’s failure to report work the employer in fact knew about or required does not protect the employer from FLSA liability… In any wage-and-hour regulatory scheme, somebody must bear ultimate responsibility for recording time worked and for ensuring that payment is made.</w:t>
      </w:r>
    </w:p>
    <w:p w14:paraId="2BF48722" w14:textId="77777777" w:rsidR="009B0593" w:rsidRDefault="009B0593" w:rsidP="009B0593">
      <w:pPr>
        <w:pStyle w:val="NormalWeb"/>
        <w:ind w:left="720"/>
      </w:pPr>
      <w:r>
        <w:t>***</w:t>
      </w:r>
    </w:p>
    <w:p w14:paraId="13E80241" w14:textId="5EF0F087" w:rsidR="009B0593" w:rsidRPr="009B0593" w:rsidRDefault="009B0593" w:rsidP="009B0593">
      <w:pPr>
        <w:ind w:left="720"/>
        <w:rPr>
          <w:rFonts w:ascii="Times New Roman" w:hAnsi="Times New Roman"/>
          <w:b/>
          <w:sz w:val="24"/>
          <w:szCs w:val="24"/>
        </w:rPr>
      </w:pPr>
      <w:r w:rsidRPr="009B0593">
        <w:rPr>
          <w:rFonts w:ascii="Times New Roman" w:hAnsi="Times New Roman"/>
          <w:sz w:val="24"/>
          <w:szCs w:val="24"/>
        </w:rPr>
        <w:t xml:space="preserve">In sum, there is trial evidence that the </w:t>
      </w:r>
      <w:proofErr w:type="gramStart"/>
      <w:r w:rsidRPr="009B0593">
        <w:rPr>
          <w:rFonts w:ascii="Times New Roman" w:hAnsi="Times New Roman"/>
          <w:sz w:val="24"/>
          <w:szCs w:val="24"/>
        </w:rPr>
        <w:t>City</w:t>
      </w:r>
      <w:proofErr w:type="gramEnd"/>
      <w:r w:rsidRPr="009B0593">
        <w:rPr>
          <w:rFonts w:ascii="Times New Roman" w:hAnsi="Times New Roman"/>
          <w:sz w:val="24"/>
          <w:szCs w:val="24"/>
        </w:rPr>
        <w:t xml:space="preserve"> created a job that requires significant preparation to be done properly; it then also required that plaintiffs be ready to go as soon as possible after the start of their shift. The City issued formal regulations and enforced informal expectations </w:t>
      </w:r>
      <w:proofErr w:type="gramStart"/>
      <w:r w:rsidRPr="009B0593">
        <w:rPr>
          <w:rFonts w:ascii="Times New Roman" w:hAnsi="Times New Roman"/>
          <w:sz w:val="24"/>
          <w:szCs w:val="24"/>
        </w:rPr>
        <w:t>to</w:t>
      </w:r>
      <w:proofErr w:type="gramEnd"/>
      <w:r w:rsidRPr="009B0593">
        <w:rPr>
          <w:rFonts w:ascii="Times New Roman" w:hAnsi="Times New Roman"/>
          <w:sz w:val="24"/>
          <w:szCs w:val="24"/>
        </w:rPr>
        <w:t xml:space="preserve"> that effect. Testimony showed that it was essentially impossible to comply with the City’s demands without starting work before the paid shift. Considering the evidence in the light most favorable to the plaintiffs, the jury had a legally sufficient evidentiary basis for concluding that the City maintained a policy or practice of ‘requiring’ plaintiffs to perform compensable, pre-shift work for which they were not automatically paid.” </w:t>
      </w:r>
      <w:hyperlink r:id="rId1857" w:anchor="xml=https://www.ca2.uscourts.gov/decisions/isysquery/8e9e3763-33d2-40e3-8df3-c0e92234493d/2/hilite/" w:history="1">
        <w:r w:rsidRPr="009B0593">
          <w:rPr>
            <w:rStyle w:val="Hyperlink"/>
            <w:rFonts w:ascii="Times New Roman" w:eastAsiaTheme="majorEastAsia" w:hAnsi="Times New Roman"/>
            <w:sz w:val="24"/>
            <w:szCs w:val="24"/>
          </w:rPr>
          <w:t>https://www.ca2.uscourts.gov/decisions/isysquery/8e9e3763-33d2-40e3-8df3-c0e92234493d/2/doc/21-2095_opn.pdf#xml=https://www.ca2.uscourts.gov/decisions/isysquery/8e9e3763-33d2-40e3-8df3-c0e92234493d/2/hilite/</w:t>
        </w:r>
      </w:hyperlink>
    </w:p>
    <w:p w14:paraId="145B77C2" w14:textId="77777777" w:rsidR="009B0593" w:rsidRPr="006126EA" w:rsidRDefault="009B0593" w:rsidP="009B0593">
      <w:pPr>
        <w:pStyle w:val="NormalWeb"/>
        <w:rPr>
          <w:b/>
          <w:bCs/>
        </w:rPr>
      </w:pPr>
      <w:r w:rsidRPr="006126EA">
        <w:rPr>
          <w:b/>
          <w:bCs/>
        </w:rPr>
        <w:t>Legal Lesson Learned:</w:t>
      </w:r>
      <w:r>
        <w:rPr>
          <w:b/>
          <w:bCs/>
        </w:rPr>
        <w:t xml:space="preserve"> FDs should provide in their FLSA policy or CBA what pre-shift and post-shift activities will be compensated and have a time keeping system that implements that policy.  </w:t>
      </w:r>
    </w:p>
    <w:p w14:paraId="642A508A" w14:textId="77777777" w:rsidR="009B0593" w:rsidRDefault="009B0593" w:rsidP="00F326E5">
      <w:pPr>
        <w:rPr>
          <w:rFonts w:ascii="Arial Black" w:hAnsi="Arial Black"/>
          <w:b/>
          <w:sz w:val="24"/>
          <w:szCs w:val="24"/>
        </w:rPr>
      </w:pPr>
    </w:p>
    <w:p w14:paraId="0B79086B" w14:textId="3A1E7619" w:rsidR="00237599" w:rsidRDefault="00237599"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6</w:t>
      </w:r>
    </w:p>
    <w:p w14:paraId="3355BC80" w14:textId="77777777" w:rsidR="00237599" w:rsidRPr="00E9542D" w:rsidRDefault="00237599" w:rsidP="00237599">
      <w:pPr>
        <w:spacing w:before="100" w:beforeAutospacing="1" w:after="100" w:afterAutospacing="1" w:line="240" w:lineRule="auto"/>
        <w:outlineLvl w:val="0"/>
        <w:rPr>
          <w:rFonts w:ascii="Arial Black" w:hAnsi="Arial Black"/>
          <w:sz w:val="28"/>
          <w:szCs w:val="28"/>
        </w:rPr>
      </w:pPr>
      <w:bookmarkStart w:id="382" w:name="_Hlk136860229"/>
      <w:r>
        <w:rPr>
          <w:rFonts w:ascii="Arial Black" w:hAnsi="Arial Black"/>
          <w:sz w:val="28"/>
          <w:szCs w:val="28"/>
        </w:rPr>
        <w:t xml:space="preserve">OR: FLSA – COMPANY CONTRACTS TO PROVIDE FOREST FIRE PERSONNEL - NOT “INDEPENDENT CONTRACTORS” </w:t>
      </w:r>
    </w:p>
    <w:bookmarkEnd w:id="382"/>
    <w:p w14:paraId="7B2D4A38" w14:textId="77777777" w:rsidR="00237599" w:rsidRDefault="00237599" w:rsidP="00237599">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 xml:space="preserve">On May 24, 2023, the U.S. Department of Labor, Wage and Hour Division, determined that the private company, under contract with U.S. Forest Service to fight forest fires in Oregon, Arizona, California and Washington, should have paid the firefighters and truck drivers for overtime after 40 hours.  Instead, they were paid between $200 and $250 per day regardless of overtime hours worked.  The company has now settled for $180,00, including $152,003 in overtime wages and fringe benefits, plus $12,577 in liquidated damages, and $16,981 in civil penalties; individual firefighters received from $101 to $14,783 per worker. </w:t>
      </w:r>
    </w:p>
    <w:p w14:paraId="138550BD" w14:textId="77777777" w:rsidR="00237599" w:rsidRDefault="00237599" w:rsidP="00237599">
      <w:pPr>
        <w:spacing w:before="100" w:beforeAutospacing="1" w:after="100" w:afterAutospacing="1" w:line="240" w:lineRule="auto"/>
        <w:ind w:left="720"/>
        <w:outlineLvl w:val="0"/>
        <w:rPr>
          <w:rStyle w:val="Hyperlink"/>
          <w:rFonts w:ascii="Times New Roman" w:hAnsi="Times New Roman"/>
          <w:sz w:val="24"/>
          <w:szCs w:val="24"/>
        </w:rPr>
      </w:pPr>
      <w:r>
        <w:rPr>
          <w:rFonts w:ascii="Times New Roman" w:hAnsi="Times New Roman"/>
          <w:sz w:val="24"/>
          <w:szCs w:val="24"/>
        </w:rPr>
        <w:t>“</w:t>
      </w:r>
      <w:r w:rsidRPr="00974C20">
        <w:rPr>
          <w:rFonts w:ascii="Times New Roman" w:hAnsi="Times New Roman"/>
          <w:sz w:val="24"/>
          <w:szCs w:val="24"/>
        </w:rPr>
        <w:t xml:space="preserve">Investigators with the department’s </w:t>
      </w:r>
      <w:hyperlink r:id="rId1858" w:history="1">
        <w:r w:rsidRPr="00974C20">
          <w:rPr>
            <w:rStyle w:val="Hyperlink"/>
            <w:rFonts w:ascii="Times New Roman" w:hAnsi="Times New Roman"/>
            <w:sz w:val="24"/>
            <w:szCs w:val="24"/>
          </w:rPr>
          <w:t>Wage and Hour Division</w:t>
        </w:r>
      </w:hyperlink>
      <w:r w:rsidRPr="00974C20">
        <w:rPr>
          <w:rFonts w:ascii="Times New Roman" w:hAnsi="Times New Roman"/>
          <w:sz w:val="24"/>
          <w:szCs w:val="24"/>
        </w:rPr>
        <w:t xml:space="preserve"> determined KL Farms/Fire LLC of Summerville paid a flat daily rate of between $200 and $250 to 57 firefighters and truck drivers, regardless of their total hours worked. From June 2019 through October 2021, the U.S. Forest Service contracted the company to provide fire engines, firefighters, trucks and driver services for fire suppression and firefighting in Arizona, California, Oregon and Washington.</w:t>
      </w:r>
      <w:r>
        <w:rPr>
          <w:rFonts w:ascii="Times New Roman" w:hAnsi="Times New Roman"/>
          <w:sz w:val="24"/>
          <w:szCs w:val="24"/>
        </w:rPr>
        <w:t xml:space="preserve">” </w:t>
      </w:r>
      <w:hyperlink r:id="rId1859" w:history="1">
        <w:r w:rsidRPr="00BD4D8D">
          <w:rPr>
            <w:rStyle w:val="Hyperlink"/>
            <w:rFonts w:ascii="Times New Roman" w:hAnsi="Times New Roman"/>
            <w:sz w:val="24"/>
            <w:szCs w:val="24"/>
          </w:rPr>
          <w:t>https://www.dol.gov/newsroom/releases/whd/whd20230524-0</w:t>
        </w:r>
      </w:hyperlink>
    </w:p>
    <w:p w14:paraId="0F0BA9A8" w14:textId="77777777" w:rsidR="00237599" w:rsidRPr="00974C20" w:rsidRDefault="00237599" w:rsidP="00237599">
      <w:pPr>
        <w:spacing w:before="100" w:beforeAutospacing="1" w:after="100" w:afterAutospacing="1" w:line="240" w:lineRule="auto"/>
        <w:outlineLvl w:val="0"/>
        <w:rPr>
          <w:rFonts w:ascii="Times New Roman" w:eastAsia="Times New Roman" w:hAnsi="Times New Roman"/>
          <w:b/>
          <w:bCs/>
          <w:kern w:val="36"/>
          <w:sz w:val="24"/>
          <w:szCs w:val="24"/>
        </w:rPr>
      </w:pPr>
      <w:r w:rsidRPr="00974C20">
        <w:rPr>
          <w:rFonts w:ascii="Times New Roman" w:hAnsi="Times New Roman"/>
          <w:b/>
          <w:bCs/>
          <w:sz w:val="24"/>
          <w:szCs w:val="24"/>
        </w:rPr>
        <w:t xml:space="preserve">Legal Lesson Learned: </w:t>
      </w:r>
      <w:r>
        <w:rPr>
          <w:rFonts w:ascii="Times New Roman" w:hAnsi="Times New Roman"/>
          <w:b/>
          <w:bCs/>
          <w:sz w:val="24"/>
          <w:szCs w:val="24"/>
        </w:rPr>
        <w:t xml:space="preserve">Miscalculation of workers as independent contractors is a common issue. Read the Wage and Hour advisory: </w:t>
      </w:r>
      <w:hyperlink r:id="rId1860" w:history="1">
        <w:r w:rsidRPr="00BD4D8D">
          <w:rPr>
            <w:rStyle w:val="Hyperlink"/>
            <w:rFonts w:ascii="Times New Roman" w:hAnsi="Times New Roman"/>
            <w:b/>
            <w:bCs/>
            <w:sz w:val="24"/>
            <w:szCs w:val="24"/>
          </w:rPr>
          <w:t>https://www.dol.gov/agencies/whd/flsa/misclassification</w:t>
        </w:r>
      </w:hyperlink>
      <w:r>
        <w:rPr>
          <w:rFonts w:ascii="Times New Roman" w:hAnsi="Times New Roman"/>
          <w:b/>
          <w:bCs/>
          <w:sz w:val="24"/>
          <w:szCs w:val="24"/>
        </w:rPr>
        <w:t xml:space="preserve"> . </w:t>
      </w:r>
    </w:p>
    <w:p w14:paraId="4D784FFF" w14:textId="77777777" w:rsidR="00237599" w:rsidRPr="009D31B3" w:rsidRDefault="00237599" w:rsidP="00237599">
      <w:pPr>
        <w:pStyle w:val="Heading1"/>
        <w:ind w:left="720"/>
        <w:rPr>
          <w:b w:val="0"/>
          <w:bCs w:val="0"/>
          <w:sz w:val="24"/>
          <w:szCs w:val="24"/>
        </w:rPr>
      </w:pPr>
      <w:r w:rsidRPr="00974C20">
        <w:rPr>
          <w:b w:val="0"/>
          <w:bCs w:val="0"/>
          <w:sz w:val="24"/>
          <w:szCs w:val="24"/>
        </w:rPr>
        <w:t xml:space="preserve">Note: See May 28, </w:t>
      </w:r>
      <w:proofErr w:type="gramStart"/>
      <w:r w:rsidRPr="00974C20">
        <w:rPr>
          <w:b w:val="0"/>
          <w:bCs w:val="0"/>
          <w:sz w:val="24"/>
          <w:szCs w:val="24"/>
        </w:rPr>
        <w:t>2023</w:t>
      </w:r>
      <w:proofErr w:type="gramEnd"/>
      <w:r w:rsidRPr="00974C20">
        <w:rPr>
          <w:b w:val="0"/>
          <w:bCs w:val="0"/>
          <w:sz w:val="24"/>
          <w:szCs w:val="24"/>
        </w:rPr>
        <w:t xml:space="preserve"> article, “Private Oregon firefighting company fined $180K after US Dept. of Labor investigation.” </w:t>
      </w:r>
      <w:hyperlink r:id="rId1861" w:history="1">
        <w:r w:rsidRPr="00974C20">
          <w:rPr>
            <w:rStyle w:val="Hyperlink"/>
            <w:rFonts w:eastAsiaTheme="majorEastAsia"/>
            <w:b w:val="0"/>
            <w:bCs w:val="0"/>
            <w:sz w:val="24"/>
            <w:szCs w:val="24"/>
          </w:rPr>
          <w:t>https://www.opb.org/article/2023/05/28/private-oregon-firefighting-company-fined-180000-dollars-after-us-labor-investigation/</w:t>
        </w:r>
      </w:hyperlink>
      <w:r w:rsidRPr="00974C20">
        <w:rPr>
          <w:b w:val="0"/>
          <w:bCs w:val="0"/>
          <w:sz w:val="24"/>
          <w:szCs w:val="24"/>
        </w:rPr>
        <w:t xml:space="preserve"> </w:t>
      </w:r>
      <w:r w:rsidRPr="009D31B3">
        <w:rPr>
          <w:b w:val="0"/>
          <w:bCs w:val="0"/>
          <w:sz w:val="24"/>
          <w:szCs w:val="24"/>
        </w:rPr>
        <w:t xml:space="preserve">“Investigators use a multi-prong test to determine whether contractors </w:t>
      </w:r>
      <w:proofErr w:type="gramStart"/>
      <w:r w:rsidRPr="009D31B3">
        <w:rPr>
          <w:b w:val="0"/>
          <w:bCs w:val="0"/>
          <w:sz w:val="24"/>
          <w:szCs w:val="24"/>
        </w:rPr>
        <w:t>actually qualify</w:t>
      </w:r>
      <w:proofErr w:type="gramEnd"/>
      <w:r w:rsidRPr="009D31B3">
        <w:rPr>
          <w:b w:val="0"/>
          <w:bCs w:val="0"/>
          <w:sz w:val="24"/>
          <w:szCs w:val="24"/>
        </w:rPr>
        <w:t xml:space="preserve"> as employees, said Carrie Aguilar, director of the Department of Labor’s Wage and Hour Division in Portland…. But Aguilar did say that wage issues are part of a growing trend in the private firefighting business. It’s </w:t>
      </w:r>
      <w:proofErr w:type="gramStart"/>
      <w:r w:rsidRPr="009D31B3">
        <w:rPr>
          <w:b w:val="0"/>
          <w:bCs w:val="0"/>
          <w:sz w:val="24"/>
          <w:szCs w:val="24"/>
        </w:rPr>
        <w:t>similar to</w:t>
      </w:r>
      <w:proofErr w:type="gramEnd"/>
      <w:r w:rsidRPr="009D31B3">
        <w:rPr>
          <w:b w:val="0"/>
          <w:bCs w:val="0"/>
          <w:sz w:val="24"/>
          <w:szCs w:val="24"/>
        </w:rPr>
        <w:t xml:space="preserve"> forestry, she said, which struggles with these issues.”</w:t>
      </w:r>
    </w:p>
    <w:p w14:paraId="47706D5D" w14:textId="7256BB2F" w:rsidR="00237599" w:rsidRDefault="00237599" w:rsidP="00237599">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5</w:t>
      </w:r>
    </w:p>
    <w:p w14:paraId="32D2C887" w14:textId="77777777" w:rsidR="00237599" w:rsidRDefault="00237599" w:rsidP="00237599">
      <w:pPr>
        <w:pStyle w:val="NormalWeb"/>
        <w:rPr>
          <w:rFonts w:ascii="Arial Black" w:hAnsi="Arial Black"/>
          <w:b/>
          <w:bCs/>
          <w:sz w:val="28"/>
          <w:szCs w:val="28"/>
        </w:rPr>
      </w:pPr>
      <w:bookmarkStart w:id="383" w:name="_Hlk136860302"/>
      <w:r>
        <w:rPr>
          <w:rFonts w:ascii="Arial Black" w:hAnsi="Arial Black"/>
          <w:b/>
          <w:bCs/>
          <w:sz w:val="28"/>
          <w:szCs w:val="28"/>
        </w:rPr>
        <w:t>HA: FLSA – HONOLULU FF CLASS ACTION PROCEED – 300 FF – ALLEGED ERRORS MULTIPLE SYSTEMS TRACK TIME</w:t>
      </w:r>
    </w:p>
    <w:bookmarkEnd w:id="383"/>
    <w:p w14:paraId="5B63BBE8" w14:textId="77777777" w:rsidR="00237599" w:rsidRDefault="00237599" w:rsidP="00237599">
      <w:pPr>
        <w:pStyle w:val="NormalWeb"/>
      </w:pPr>
      <w:r>
        <w:t xml:space="preserve">On April 28, 2023, in </w:t>
      </w:r>
      <w:r w:rsidRPr="0050374A">
        <w:rPr>
          <w:u w:val="single"/>
        </w:rPr>
        <w:t>Robert M. Hayslip, on behalf of other similarly situated individuals v. City and County of Honolulu</w:t>
      </w:r>
      <w:r>
        <w:t xml:space="preserve">, Chief U.S. District Court Judge Derrick K. Watson, U.S. District Court for District of Hawaii, granted the plaintiff’s motion for conditional certification of collective action.  The case will now proceed to pre-trial discovery on firefighter income that is allegedly not included in setting their overtime hourly rate of pay.  Hayslip alleges that the failure to pay overtime under the FLSA was due to ‘human and mechanical error through the use of multiple systems to track time.”  </w:t>
      </w:r>
      <w:hyperlink r:id="rId1862" w:history="1">
        <w:r w:rsidRPr="00010962">
          <w:rPr>
            <w:rStyle w:val="Hyperlink"/>
            <w:rFonts w:eastAsiaTheme="majorEastAsia"/>
          </w:rPr>
          <w:t>https://public.fastcase.com/ZZhmr5v9wN%2FXOe5IsQ%2FqDwe%2Bl2bMb8hsQzBhmq%2BKFWjfsnc%2Brn1NgeRpqQFDQ7VnnNgPvPdQabSyR0vz9Y1rYYCnr8USzlwvvvJ%2BE3sgG14%3D?utm_medium=email&amp;_hsmi=226712652&amp;_hsenc=p2ANqtz-9yLx0aoJRhvv2Vy8uTc7HU3fN6k1djWwCn0_TOB1MuUA7MVtIjTAZu2eDX0z4FTqDgKj_XXmkUdS-aKvCM9lVim5p6Eg&amp;utm_content=226712652&amp;utm_source=hs_email</w:t>
        </w:r>
      </w:hyperlink>
      <w:r>
        <w:t xml:space="preserve"> </w:t>
      </w:r>
    </w:p>
    <w:p w14:paraId="76A153BD" w14:textId="77777777" w:rsidR="00237599" w:rsidRDefault="00237599" w:rsidP="00237599">
      <w:pPr>
        <w:pStyle w:val="NormalWeb"/>
        <w:ind w:left="720"/>
      </w:pPr>
      <w:r>
        <w:t xml:space="preserve">“Plaintiff Robert Hayslip moves for conditional certification of a collective action comprised of emergency medical technicians and paramedics employed by Defendant City &amp; County of Honolulu (Honolulu), alleging that Honolulu has failed to properly calculate this group's ‘regular rate’ of pay or pay overtime as required by the Fair Labor Standards Act (FLSA). At the instant ‘preliminary’ stage of the litigation, as both parties acknowledge, the standard for certifying such a collective action under the FLSA is less than demanding. And, here, Hayslip has met this less than demanding standard. Specifically, Hayslip has alleged that the above-mentioned group is sufficiently ‘similarly situated’ with respect to the FLSA claims at issue. Therefore, the motion for conditional certification, </w:t>
      </w:r>
      <w:proofErr w:type="spellStart"/>
      <w:r>
        <w:t>Dkt</w:t>
      </w:r>
      <w:proofErr w:type="spellEnd"/>
      <w:r>
        <w:t xml:space="preserve">. </w:t>
      </w:r>
      <w:proofErr w:type="gramStart"/>
      <w:r>
        <w:t>No. 26,</w:t>
      </w:r>
      <w:proofErr w:type="gramEnd"/>
      <w:r>
        <w:t xml:space="preserve"> is GRANTED to that extent. Hayslip also moves for approval of a notice to be sent to potential members of the now conditionally certified collective action. Honolulu, however, has submitted an opposing proposed notice. As more fully explained below, the Court orders the parties to meet-and-confer on the same with the goal of submitting a </w:t>
      </w:r>
      <w:r>
        <w:rPr>
          <w:rStyle w:val="Emphasis"/>
        </w:rPr>
        <w:t>joint</w:t>
      </w:r>
      <w:r>
        <w:t xml:space="preserve"> proposed notice to the extent </w:t>
      </w:r>
      <w:proofErr w:type="gramStart"/>
      <w:r>
        <w:t>possible.”</w:t>
      </w:r>
      <w:proofErr w:type="gramEnd"/>
      <w:r>
        <w:t xml:space="preserve">  </w:t>
      </w:r>
    </w:p>
    <w:p w14:paraId="43706B8C" w14:textId="77777777" w:rsidR="00237599" w:rsidRPr="00003BCF" w:rsidRDefault="00237599" w:rsidP="00237599">
      <w:pPr>
        <w:pStyle w:val="NormalWeb"/>
        <w:rPr>
          <w:b/>
          <w:bCs/>
        </w:rPr>
      </w:pPr>
      <w:r w:rsidRPr="00003BCF">
        <w:rPr>
          <w:b/>
          <w:bCs/>
        </w:rPr>
        <w:t>Legal Lesson Learned:</w:t>
      </w:r>
      <w:r>
        <w:rPr>
          <w:b/>
          <w:bCs/>
        </w:rPr>
        <w:t xml:space="preserve"> Errors in tracking overtime can lead to FLSA litigation.</w:t>
      </w:r>
    </w:p>
    <w:p w14:paraId="4ADAA8D5" w14:textId="77777777" w:rsidR="00237599" w:rsidRPr="00317783" w:rsidRDefault="00237599" w:rsidP="00237599">
      <w:pPr>
        <w:pStyle w:val="NormalWeb"/>
        <w:ind w:left="720"/>
        <w:rPr>
          <w:rStyle w:val="markedcontent"/>
        </w:rPr>
      </w:pPr>
      <w:r w:rsidRPr="00003BCF">
        <w:t xml:space="preserve">Note: </w:t>
      </w:r>
      <w:r>
        <w:t>The Court referenced a “less than demanding standard” in determining what other employees are “similarly situations” and get the invitation to join in the class action. This “less than demanding” standard has been recently rejected by 6</w:t>
      </w:r>
      <w:r w:rsidRPr="00C33BAA">
        <w:rPr>
          <w:vertAlign w:val="superscript"/>
        </w:rPr>
        <w:t>th</w:t>
      </w:r>
      <w:r>
        <w:t xml:space="preserve"> Circuit Court of Appeals, </w:t>
      </w:r>
      <w:proofErr w:type="gramStart"/>
      <w:r>
        <w:t>and also</w:t>
      </w:r>
      <w:proofErr w:type="gramEnd"/>
      <w:r>
        <w:t xml:space="preserve"> 5</w:t>
      </w:r>
      <w:r w:rsidRPr="00C33BAA">
        <w:rPr>
          <w:vertAlign w:val="superscript"/>
        </w:rPr>
        <w:t>th</w:t>
      </w:r>
      <w:r>
        <w:t xml:space="preserve"> Circuit. </w:t>
      </w:r>
      <w:r w:rsidRPr="00482E40">
        <w:t xml:space="preserve">On May 19, 2023, in </w:t>
      </w:r>
      <w:r w:rsidRPr="00482E40">
        <w:rPr>
          <w:u w:val="single"/>
        </w:rPr>
        <w:t>Brooke Clark, et al. v. H&amp;L Homecare and Training Center, LLC et al</w:t>
      </w:r>
      <w:r>
        <w:t>., the U.S. Court of Appeals for the 6</w:t>
      </w:r>
      <w:r w:rsidRPr="00482E40">
        <w:rPr>
          <w:vertAlign w:val="superscript"/>
        </w:rPr>
        <w:t>th</w:t>
      </w:r>
      <w:r>
        <w:t xml:space="preserve"> Circuit (Cincinnati) held (2 to 1) that U.S. District Court judges in states controlled by the Court </w:t>
      </w:r>
      <w:r w:rsidRPr="00482E40">
        <w:t>(</w:t>
      </w:r>
      <w:r w:rsidRPr="00482E40">
        <w:rPr>
          <w:rStyle w:val="hgkelc"/>
          <w:lang w:val="en"/>
        </w:rPr>
        <w:t>Kentucky, Michigan, Ohio and Tennessee)</w:t>
      </w:r>
      <w:r>
        <w:rPr>
          <w:rStyle w:val="hgkelc"/>
          <w:b/>
          <w:bCs/>
          <w:lang w:val="en"/>
        </w:rPr>
        <w:t xml:space="preserve"> </w:t>
      </w:r>
      <w:r>
        <w:rPr>
          <w:rStyle w:val="hgkelc"/>
          <w:lang w:val="en"/>
        </w:rPr>
        <w:t xml:space="preserve">must apply a tougher “strong likelihood” standard when deciding which employees are “similarly situated” with plaintiffs and invited to join in a FLSA class action against the employers. </w:t>
      </w:r>
      <w:hyperlink r:id="rId1863" w:history="1">
        <w:r w:rsidRPr="009943CA">
          <w:rPr>
            <w:rStyle w:val="Hyperlink"/>
            <w:rFonts w:eastAsiaTheme="majorEastAsia"/>
          </w:rPr>
          <w:t>https://cases.justia.com/federal/appellate-courts/ca6/22-3101/22-3101-2023-05-19.pdf?ts=1684526463</w:t>
        </w:r>
      </w:hyperlink>
    </w:p>
    <w:p w14:paraId="418BDE74" w14:textId="77777777" w:rsidR="00237599" w:rsidRPr="00C86D96" w:rsidRDefault="00237599" w:rsidP="00237599">
      <w:pPr>
        <w:pStyle w:val="Heading1"/>
        <w:ind w:left="720"/>
        <w:rPr>
          <w:rStyle w:val="markedcontent"/>
          <w:b w:val="0"/>
          <w:bCs w:val="0"/>
          <w:sz w:val="24"/>
          <w:szCs w:val="24"/>
        </w:rPr>
      </w:pPr>
      <w:r w:rsidRPr="00C86D96">
        <w:rPr>
          <w:rStyle w:val="hgkelc"/>
          <w:b w:val="0"/>
          <w:bCs w:val="0"/>
          <w:sz w:val="24"/>
          <w:szCs w:val="24"/>
          <w:lang w:val="en"/>
        </w:rPr>
        <w:t>This is the second Circuit Court to require tougher standard; in 2021 the 5</w:t>
      </w:r>
      <w:r w:rsidRPr="00C86D96">
        <w:rPr>
          <w:rStyle w:val="hgkelc"/>
          <w:b w:val="0"/>
          <w:bCs w:val="0"/>
          <w:sz w:val="24"/>
          <w:szCs w:val="24"/>
          <w:vertAlign w:val="superscript"/>
          <w:lang w:val="en"/>
        </w:rPr>
        <w:t>th</w:t>
      </w:r>
      <w:r w:rsidRPr="00C86D96">
        <w:rPr>
          <w:rStyle w:val="hgkelc"/>
          <w:b w:val="0"/>
          <w:bCs w:val="0"/>
          <w:sz w:val="24"/>
          <w:szCs w:val="24"/>
          <w:lang w:val="en"/>
        </w:rPr>
        <w:t xml:space="preserve"> Circuit (Louisiana, Mississippi, and Texas) also adopted tougher standard. </w:t>
      </w:r>
      <w:hyperlink r:id="rId1864" w:history="1">
        <w:r w:rsidRPr="00C86D96">
          <w:rPr>
            <w:rStyle w:val="Hyperlink"/>
            <w:rFonts w:eastAsiaTheme="majorEastAsia"/>
            <w:b w:val="0"/>
            <w:bCs w:val="0"/>
            <w:sz w:val="24"/>
            <w:szCs w:val="24"/>
            <w:lang w:val="en"/>
          </w:rPr>
          <w:t>https://cases.justia.com/federal/appellate-courts/ca5/19-60847/19-60847-2021-01-12.pdf?ts=1610476251</w:t>
        </w:r>
      </w:hyperlink>
    </w:p>
    <w:p w14:paraId="2DE1D146" w14:textId="77777777" w:rsidR="00237599" w:rsidRPr="003C590F" w:rsidRDefault="00237599" w:rsidP="00237599">
      <w:pPr>
        <w:pStyle w:val="Heading1"/>
        <w:ind w:left="720"/>
        <w:rPr>
          <w:b w:val="0"/>
          <w:bCs w:val="0"/>
          <w:sz w:val="24"/>
          <w:szCs w:val="24"/>
        </w:rPr>
      </w:pPr>
      <w:r w:rsidRPr="003C590F">
        <w:rPr>
          <w:rStyle w:val="markedcontent"/>
          <w:b w:val="0"/>
          <w:bCs w:val="0"/>
          <w:sz w:val="24"/>
          <w:szCs w:val="24"/>
        </w:rPr>
        <w:t xml:space="preserve">See this May 22, </w:t>
      </w:r>
      <w:proofErr w:type="gramStart"/>
      <w:r w:rsidRPr="003C590F">
        <w:rPr>
          <w:rStyle w:val="markedcontent"/>
          <w:b w:val="0"/>
          <w:bCs w:val="0"/>
          <w:sz w:val="24"/>
          <w:szCs w:val="24"/>
        </w:rPr>
        <w:t>2023</w:t>
      </w:r>
      <w:proofErr w:type="gramEnd"/>
      <w:r w:rsidRPr="003C590F">
        <w:rPr>
          <w:rStyle w:val="markedcontent"/>
          <w:b w:val="0"/>
          <w:bCs w:val="0"/>
          <w:sz w:val="24"/>
          <w:szCs w:val="24"/>
        </w:rPr>
        <w:t xml:space="preserve"> article, </w:t>
      </w:r>
      <w:r>
        <w:rPr>
          <w:rStyle w:val="markedcontent"/>
          <w:b w:val="0"/>
          <w:bCs w:val="0"/>
          <w:sz w:val="24"/>
          <w:szCs w:val="24"/>
        </w:rPr>
        <w:t>“</w:t>
      </w:r>
      <w:r w:rsidRPr="003C590F">
        <w:rPr>
          <w:b w:val="0"/>
          <w:bCs w:val="0"/>
          <w:sz w:val="24"/>
          <w:szCs w:val="24"/>
        </w:rPr>
        <w:t>Sixth Circuit Establishes Stricter Standard for Granting Notice of FLSA Collective Action</w:t>
      </w:r>
      <w:r>
        <w:rPr>
          <w:b w:val="0"/>
          <w:bCs w:val="0"/>
          <w:sz w:val="24"/>
          <w:szCs w:val="24"/>
        </w:rPr>
        <w:t xml:space="preserve">.” </w:t>
      </w:r>
      <w:hyperlink r:id="rId1865" w:history="1">
        <w:r w:rsidRPr="009943CA">
          <w:rPr>
            <w:rStyle w:val="Hyperlink"/>
            <w:rFonts w:eastAsiaTheme="majorEastAsia"/>
            <w:b w:val="0"/>
            <w:bCs w:val="0"/>
            <w:sz w:val="24"/>
            <w:szCs w:val="24"/>
          </w:rPr>
          <w:t>https://www.littler.com/publication-press/publication/sixth-circuit-establishes-stricter-standard-granting-notice-flsa</w:t>
        </w:r>
      </w:hyperlink>
      <w:r>
        <w:rPr>
          <w:b w:val="0"/>
          <w:bCs w:val="0"/>
          <w:sz w:val="24"/>
          <w:szCs w:val="24"/>
        </w:rPr>
        <w:t xml:space="preserve"> </w:t>
      </w:r>
    </w:p>
    <w:p w14:paraId="4B2628B2" w14:textId="77777777" w:rsidR="00237599" w:rsidRPr="00003BCF" w:rsidRDefault="00237599" w:rsidP="00237599">
      <w:pPr>
        <w:pStyle w:val="NormalWeb"/>
        <w:ind w:left="720"/>
      </w:pPr>
    </w:p>
    <w:p w14:paraId="0C818618" w14:textId="77777777" w:rsidR="00237599" w:rsidRDefault="00237599" w:rsidP="00F326E5">
      <w:pPr>
        <w:rPr>
          <w:rFonts w:ascii="Arial Black" w:hAnsi="Arial Black"/>
          <w:b/>
          <w:sz w:val="24"/>
          <w:szCs w:val="24"/>
        </w:rPr>
      </w:pPr>
    </w:p>
    <w:p w14:paraId="69452F8A" w14:textId="58A15C21" w:rsidR="00227BDE" w:rsidRDefault="00227BDE"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4</w:t>
      </w:r>
    </w:p>
    <w:p w14:paraId="7E8E17F3" w14:textId="77777777" w:rsidR="00227BDE" w:rsidRPr="008426A6" w:rsidRDefault="00227BDE" w:rsidP="00227BDE">
      <w:pPr>
        <w:pStyle w:val="NoSpacing"/>
        <w:rPr>
          <w:rFonts w:ascii="Arial Black" w:hAnsi="Arial Black"/>
          <w:sz w:val="28"/>
          <w:szCs w:val="28"/>
        </w:rPr>
      </w:pPr>
      <w:r w:rsidRPr="008426A6">
        <w:rPr>
          <w:rFonts w:ascii="Arial Black" w:hAnsi="Arial Black"/>
          <w:sz w:val="28"/>
          <w:szCs w:val="28"/>
        </w:rPr>
        <w:t>NC (4/21/2023) – FLSA – COUNTY EMS LAWSUIT WILL BE CLASS ACTION – OVERTIME RATE CALCULATIONS</w:t>
      </w:r>
    </w:p>
    <w:p w14:paraId="2C39B8F8" w14:textId="77777777" w:rsidR="00227BDE" w:rsidRDefault="00227BDE" w:rsidP="00227BDE">
      <w:pPr>
        <w:pStyle w:val="NoSpacing"/>
      </w:pPr>
    </w:p>
    <w:p w14:paraId="3D79C6F4" w14:textId="77777777" w:rsidR="00227BDE" w:rsidRDefault="00227BDE" w:rsidP="00227BDE">
      <w:pPr>
        <w:pStyle w:val="NoSpacing"/>
        <w:rPr>
          <w:rFonts w:ascii="Times New Roman" w:hAnsi="Times New Roman"/>
          <w:sz w:val="24"/>
          <w:szCs w:val="24"/>
        </w:rPr>
      </w:pPr>
      <w:r w:rsidRPr="003C1643">
        <w:rPr>
          <w:rFonts w:ascii="Times New Roman" w:hAnsi="Times New Roman"/>
          <w:sz w:val="24"/>
          <w:szCs w:val="24"/>
          <w:u w:val="single"/>
        </w:rPr>
        <w:t>Sarah B. Conner v. Cleveland County, North Carlina</w:t>
      </w:r>
      <w:r w:rsidRPr="003C1643">
        <w:rPr>
          <w:rFonts w:ascii="Times New Roman" w:hAnsi="Times New Roman"/>
          <w:sz w:val="24"/>
          <w:szCs w:val="24"/>
        </w:rPr>
        <w:t xml:space="preserve">, Chief U.S. District Court Judge Martin Reidinger, U.S. District Court for Western District of North Carolina, Asheville District. </w:t>
      </w:r>
    </w:p>
    <w:p w14:paraId="2D8A011B" w14:textId="77777777" w:rsidR="00227BDE" w:rsidRDefault="00227BDE" w:rsidP="00227BDE">
      <w:pPr>
        <w:pStyle w:val="NoSpacing"/>
        <w:rPr>
          <w:rFonts w:ascii="Times New Roman" w:hAnsi="Times New Roman"/>
          <w:sz w:val="24"/>
          <w:szCs w:val="24"/>
        </w:rPr>
      </w:pPr>
    </w:p>
    <w:p w14:paraId="2DDF5346" w14:textId="77777777" w:rsidR="00227BDE" w:rsidRPr="003C1643" w:rsidRDefault="00227BDE" w:rsidP="00227BDE">
      <w:pPr>
        <w:pStyle w:val="NoSpacing"/>
        <w:rPr>
          <w:rFonts w:ascii="Times New Roman" w:hAnsi="Times New Roman"/>
          <w:sz w:val="24"/>
          <w:szCs w:val="24"/>
        </w:rPr>
      </w:pPr>
      <w:hyperlink r:id="rId1866" w:history="1">
        <w:r w:rsidRPr="003C1643">
          <w:rPr>
            <w:rStyle w:val="Hyperlink"/>
            <w:rFonts w:ascii="Times New Roman" w:hAnsi="Times New Roman"/>
            <w:sz w:val="24"/>
            <w:szCs w:val="24"/>
          </w:rPr>
          <w:t>https://public.fastcase.com/ZZhmr5v9wN%2FXOe5IsQ%2FqD6sjDusMj%2BpqHWJB3g3peOqB7r060z1DCjdHIpcn3tRLdaTmRHBEVoaEU7qCAearkbm3vxifIUs5cRZbbsNdVP8%3D?utm_medium=email&amp;_hsmi=226712652&amp;_hsenc=p2ANqtz-8gP-zHi-IOiqpnpXzunEXLHIYbdJXxowLQqk7bE6jqat0-j7JaN5Av0mj-PIwKwb5z_G2Wf06wKlilS-X5H1ndg63rYw&amp;utm_content=226712652&amp;utm_source=hs_email</w:t>
        </w:r>
      </w:hyperlink>
      <w:r w:rsidRPr="003C1643">
        <w:rPr>
          <w:rFonts w:ascii="Times New Roman" w:hAnsi="Times New Roman"/>
          <w:sz w:val="24"/>
          <w:szCs w:val="24"/>
        </w:rPr>
        <w:t xml:space="preserve"> </w:t>
      </w:r>
    </w:p>
    <w:p w14:paraId="6B8A8024" w14:textId="77777777" w:rsidR="00227BDE" w:rsidRPr="003C1643" w:rsidRDefault="00227BDE" w:rsidP="00227BDE">
      <w:pPr>
        <w:pStyle w:val="NormalWeb"/>
        <w:rPr>
          <w:b/>
          <w:bCs/>
        </w:rPr>
      </w:pPr>
      <w:bookmarkStart w:id="384" w:name="_Hlk133820320"/>
      <w:r w:rsidRPr="003C1643">
        <w:rPr>
          <w:b/>
          <w:bCs/>
        </w:rPr>
        <w:t xml:space="preserve">Legal Lessons Learned: FLSA </w:t>
      </w:r>
      <w:proofErr w:type="gramStart"/>
      <w:r w:rsidRPr="003C1643">
        <w:rPr>
          <w:b/>
          <w:bCs/>
        </w:rPr>
        <w:t>provides for</w:t>
      </w:r>
      <w:proofErr w:type="gramEnd"/>
      <w:r w:rsidRPr="003C1643">
        <w:rPr>
          <w:b/>
          <w:bCs/>
        </w:rPr>
        <w:t xml:space="preserve"> class action lawsuits. </w:t>
      </w:r>
    </w:p>
    <w:bookmarkEnd w:id="384"/>
    <w:p w14:paraId="55C62752" w14:textId="77777777" w:rsidR="00227BDE" w:rsidRPr="003C1643" w:rsidRDefault="00227BDE" w:rsidP="00227BDE">
      <w:pPr>
        <w:pStyle w:val="NoSpacing"/>
        <w:rPr>
          <w:rFonts w:ascii="Times New Roman" w:hAnsi="Times New Roman"/>
          <w:sz w:val="24"/>
          <w:szCs w:val="24"/>
        </w:rPr>
      </w:pPr>
    </w:p>
    <w:p w14:paraId="03D255B6" w14:textId="77777777" w:rsidR="00227BDE" w:rsidRPr="003C1643" w:rsidRDefault="00227BDE" w:rsidP="00227BDE">
      <w:pPr>
        <w:pStyle w:val="NoSpacing"/>
        <w:rPr>
          <w:rFonts w:ascii="Times New Roman" w:hAnsi="Times New Roman"/>
          <w:sz w:val="24"/>
          <w:szCs w:val="24"/>
        </w:rPr>
      </w:pPr>
    </w:p>
    <w:p w14:paraId="544BE49C" w14:textId="77777777" w:rsidR="00227BDE" w:rsidRDefault="00227BDE" w:rsidP="00F326E5">
      <w:pPr>
        <w:rPr>
          <w:rFonts w:ascii="Arial Black" w:hAnsi="Arial Black"/>
          <w:b/>
          <w:sz w:val="24"/>
          <w:szCs w:val="24"/>
        </w:rPr>
      </w:pPr>
    </w:p>
    <w:p w14:paraId="35A5432F" w14:textId="0D68AEAD" w:rsidR="00227BDE" w:rsidRDefault="00227BDE"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43</w:t>
      </w:r>
    </w:p>
    <w:p w14:paraId="45460164" w14:textId="77777777" w:rsidR="00227BDE" w:rsidRPr="00FF72ED" w:rsidRDefault="00227BDE" w:rsidP="00227BDE">
      <w:pPr>
        <w:pStyle w:val="NoSpacing"/>
        <w:rPr>
          <w:rFonts w:ascii="Arial Black" w:hAnsi="Arial Black"/>
          <w:sz w:val="28"/>
          <w:szCs w:val="28"/>
        </w:rPr>
      </w:pPr>
      <w:r w:rsidRPr="00FF72ED">
        <w:rPr>
          <w:rFonts w:ascii="Arial Black" w:hAnsi="Arial Black"/>
          <w:sz w:val="28"/>
          <w:szCs w:val="28"/>
        </w:rPr>
        <w:t>CA (4/19/2023) –</w:t>
      </w:r>
      <w:r>
        <w:rPr>
          <w:rFonts w:ascii="Arial Black" w:hAnsi="Arial Black"/>
          <w:sz w:val="28"/>
          <w:szCs w:val="28"/>
        </w:rPr>
        <w:t xml:space="preserve"> MEDIC WITH </w:t>
      </w:r>
      <w:r w:rsidRPr="00FF72ED">
        <w:rPr>
          <w:rFonts w:ascii="Arial Black" w:hAnsi="Arial Black"/>
          <w:sz w:val="28"/>
          <w:szCs w:val="28"/>
        </w:rPr>
        <w:t>AMR –</w:t>
      </w:r>
      <w:r>
        <w:rPr>
          <w:rFonts w:ascii="Arial Black" w:hAnsi="Arial Black"/>
          <w:sz w:val="28"/>
          <w:szCs w:val="28"/>
        </w:rPr>
        <w:t xml:space="preserve"> NO </w:t>
      </w:r>
      <w:r w:rsidRPr="00FF72ED">
        <w:rPr>
          <w:rFonts w:ascii="Arial Black" w:hAnsi="Arial Black"/>
          <w:sz w:val="28"/>
          <w:szCs w:val="28"/>
        </w:rPr>
        <w:t>MEAL / REST BREAKS</w:t>
      </w:r>
      <w:r>
        <w:rPr>
          <w:rFonts w:ascii="Arial Black" w:hAnsi="Arial Black"/>
          <w:sz w:val="28"/>
          <w:szCs w:val="28"/>
        </w:rPr>
        <w:t xml:space="preserve"> - CASE </w:t>
      </w:r>
      <w:r w:rsidRPr="00FF72ED">
        <w:rPr>
          <w:rFonts w:ascii="Arial Black" w:hAnsi="Arial Black"/>
          <w:sz w:val="28"/>
          <w:szCs w:val="28"/>
        </w:rPr>
        <w:t>DISMISSED</w:t>
      </w:r>
      <w:r>
        <w:rPr>
          <w:rFonts w:ascii="Arial Black" w:hAnsi="Arial Black"/>
          <w:sz w:val="28"/>
          <w:szCs w:val="28"/>
        </w:rPr>
        <w:t xml:space="preserve"> – 2018 VOTERS PROP. 11 </w:t>
      </w:r>
    </w:p>
    <w:p w14:paraId="29B031AC" w14:textId="77777777" w:rsidR="00227BDE" w:rsidRDefault="00227BDE" w:rsidP="00227BDE">
      <w:pPr>
        <w:pStyle w:val="NoSpacing"/>
      </w:pPr>
    </w:p>
    <w:p w14:paraId="676E4CE1"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Vaughn Banta v. American Medical Response, et al.</w:t>
      </w:r>
      <w:r w:rsidRPr="003C1643">
        <w:rPr>
          <w:rFonts w:ascii="Times New Roman" w:hAnsi="Times New Roman"/>
          <w:sz w:val="24"/>
          <w:szCs w:val="24"/>
        </w:rPr>
        <w:t xml:space="preserve">, California Court of Appeals, Second District, Second Division. [Unpublished Decision.] </w:t>
      </w:r>
    </w:p>
    <w:p w14:paraId="43B3C68B" w14:textId="77777777" w:rsidR="00227BDE" w:rsidRDefault="00227BDE" w:rsidP="00F326E5">
      <w:pPr>
        <w:rPr>
          <w:rFonts w:ascii="Arial Black" w:hAnsi="Arial Black"/>
          <w:b/>
          <w:sz w:val="24"/>
          <w:szCs w:val="24"/>
        </w:rPr>
      </w:pPr>
    </w:p>
    <w:p w14:paraId="4C4EB76A" w14:textId="77777777" w:rsidR="00227BDE" w:rsidRPr="003C1643" w:rsidRDefault="00227BDE" w:rsidP="00227BDE">
      <w:pPr>
        <w:pStyle w:val="NoSpacing"/>
        <w:rPr>
          <w:rFonts w:ascii="Times New Roman" w:hAnsi="Times New Roman"/>
          <w:sz w:val="24"/>
          <w:szCs w:val="24"/>
        </w:rPr>
      </w:pPr>
      <w:hyperlink r:id="rId1867" w:history="1">
        <w:r w:rsidRPr="003C1643">
          <w:rPr>
            <w:rStyle w:val="Hyperlink"/>
            <w:rFonts w:ascii="Times New Roman" w:hAnsi="Times New Roman"/>
            <w:sz w:val="24"/>
            <w:szCs w:val="24"/>
          </w:rPr>
          <w:t>https://public.fastcase.com/ZZhmr5v9wN%2FXOe5IsQ%2FqD%2Bile%2Foxyp5Z8Q8kvhZNO7gH1c2Z5qHls9xhvmb3awOvR3bsCkmvAqMtioFMMuxMBzUhvRQhP83bmryZorCoTbI%3D?utm_medium=email&amp;_hsmi=226712652&amp;_hsenc=p2ANqtz--nFpNqY7MlHedt-bGY2IVgigc3ATGuPz0zM2ZOCoWHuze-qmefTR0632sWWVlZvaDJFdCD_Gl1V9HSDzdZa4P3MSrw7A&amp;utm_content=226712652&amp;utm_source=hs_email</w:t>
        </w:r>
      </w:hyperlink>
      <w:r w:rsidRPr="003C1643">
        <w:rPr>
          <w:rFonts w:ascii="Times New Roman" w:hAnsi="Times New Roman"/>
          <w:sz w:val="24"/>
          <w:szCs w:val="24"/>
        </w:rPr>
        <w:t xml:space="preserve"> </w:t>
      </w:r>
    </w:p>
    <w:p w14:paraId="02DF39C0" w14:textId="77777777" w:rsidR="00227BDE" w:rsidRDefault="00227BDE" w:rsidP="00227BDE">
      <w:pPr>
        <w:pStyle w:val="NormalWeb"/>
        <w:rPr>
          <w:b/>
          <w:bCs/>
        </w:rPr>
      </w:pPr>
      <w:r w:rsidRPr="003C1643">
        <w:rPr>
          <w:b/>
          <w:bCs/>
        </w:rPr>
        <w:t>Legal Lesson Learned: California voters passed Proposition 11, requiring meal and rest period breaks for most employers, but not EMS.</w:t>
      </w:r>
      <w:r>
        <w:rPr>
          <w:b/>
          <w:bCs/>
        </w:rPr>
        <w:t xml:space="preserve"> </w:t>
      </w:r>
    </w:p>
    <w:p w14:paraId="7F49C670" w14:textId="77777777" w:rsidR="00227BDE" w:rsidRDefault="00227BDE" w:rsidP="00F326E5">
      <w:pPr>
        <w:rPr>
          <w:rFonts w:ascii="Arial Black" w:hAnsi="Arial Black"/>
          <w:b/>
          <w:sz w:val="24"/>
          <w:szCs w:val="24"/>
        </w:rPr>
      </w:pPr>
    </w:p>
    <w:p w14:paraId="3DE4C351" w14:textId="77777777" w:rsidR="00227BDE" w:rsidRDefault="00227BDE" w:rsidP="00F326E5">
      <w:pPr>
        <w:rPr>
          <w:rFonts w:ascii="Arial Black" w:hAnsi="Arial Black"/>
          <w:b/>
          <w:sz w:val="24"/>
          <w:szCs w:val="24"/>
        </w:rPr>
      </w:pPr>
    </w:p>
    <w:p w14:paraId="5C23A3D6" w14:textId="762A661C" w:rsidR="003F788B" w:rsidRDefault="003F788B"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42</w:t>
      </w:r>
    </w:p>
    <w:p w14:paraId="34ADE42A" w14:textId="77777777" w:rsidR="003F788B" w:rsidRDefault="003F788B" w:rsidP="003F788B">
      <w:pPr>
        <w:pStyle w:val="NormalWeb"/>
        <w:rPr>
          <w:rFonts w:ascii="Arial Black" w:hAnsi="Arial Black"/>
          <w:sz w:val="28"/>
          <w:szCs w:val="28"/>
        </w:rPr>
      </w:pPr>
      <w:r>
        <w:rPr>
          <w:rFonts w:ascii="Arial Black" w:hAnsi="Arial Black"/>
          <w:sz w:val="28"/>
          <w:szCs w:val="28"/>
        </w:rPr>
        <w:t>KS: RETIRED CAPT. CLAIMS BCs MISCHARDING VACATION TIME – NOT FLSA VIOLATION – FLSA CASE DISMISSED</w:t>
      </w:r>
    </w:p>
    <w:p w14:paraId="0E16EB50" w14:textId="77777777" w:rsidR="003F788B" w:rsidRDefault="003F788B" w:rsidP="003F788B">
      <w:pPr>
        <w:pStyle w:val="NormalWeb"/>
      </w:pPr>
      <w:r>
        <w:t xml:space="preserve">On March 30, 2023, in </w:t>
      </w:r>
      <w:r>
        <w:rPr>
          <w:u w:val="single"/>
        </w:rPr>
        <w:t>Tim Lepage v. City of Salina, Kansas, et al</w:t>
      </w:r>
      <w:r>
        <w:t>., U.S. District Court Judge Julie A. Robinson granted the City’s motion to dismiss the FLSA claim since his investigation of Battalion Chiefs never involved violations of FLSA, but rather “</w:t>
      </w:r>
      <w:proofErr w:type="gramStart"/>
      <w:r>
        <w:t>time card</w:t>
      </w:r>
      <w:proofErr w:type="gramEnd"/>
      <w:r>
        <w:t xml:space="preserve"> fraud” where BCs on vacation allegedly recorded their time as on duty. The case will now </w:t>
      </w:r>
      <w:proofErr w:type="gramStart"/>
      <w:r>
        <w:t>return</w:t>
      </w:r>
      <w:proofErr w:type="gramEnd"/>
      <w:r>
        <w:t xml:space="preserve"> to State court for further discovery.  Lepage became frustrated that the </w:t>
      </w:r>
      <w:proofErr w:type="gramStart"/>
      <w:r>
        <w:t>City</w:t>
      </w:r>
      <w:proofErr w:type="gramEnd"/>
      <w:r>
        <w:t xml:space="preserve"> stalled on the investigation, and per his request he was placed on paid leave and retired in </w:t>
      </w:r>
      <w:proofErr w:type="gramStart"/>
      <w:r>
        <w:t>June 2021, and</w:t>
      </w:r>
      <w:proofErr w:type="gramEnd"/>
      <w:r>
        <w:t xml:space="preserve"> then brought this lawsuit. </w:t>
      </w:r>
    </w:p>
    <w:p w14:paraId="204E1D8D" w14:textId="77777777" w:rsidR="003F788B" w:rsidRDefault="003F788B" w:rsidP="003F788B">
      <w:pPr>
        <w:pStyle w:val="NormalWeb"/>
        <w:ind w:left="720"/>
      </w:pPr>
      <w:r>
        <w:t xml:space="preserve">The Judge wrote: “Here, LePage fails to demonstrate a genuine issue of material fact about whether he engaged in protected activity under this objective standard. In terms of content, it is uncontroverted that LePage never explicitly invoked the FLSA when he complained about the BCs' alleged </w:t>
      </w:r>
      <w:proofErr w:type="gramStart"/>
      <w:r>
        <w:t>time card</w:t>
      </w:r>
      <w:proofErr w:type="gramEnd"/>
      <w:r>
        <w:t xml:space="preserve"> fraud. And while this fact standing alone is not fatal to his claim, the substance of his complaint did not involve conduct that is regulated by the FLSA. The FLSA ‘sets </w:t>
      </w:r>
      <w:proofErr w:type="gramStart"/>
      <w:r>
        <w:t>forth</w:t>
      </w:r>
      <w:proofErr w:type="gramEnd"/>
      <w:r>
        <w:t xml:space="preserve"> employment rules concerning minimum wages, maximum hours, and overtime pay.’ LePage did not complain about violations of the federal minimum wage or maximum hour laws.” </w:t>
      </w:r>
      <w:hyperlink r:id="rId1868" w:history="1">
        <w:r>
          <w:rPr>
            <w:rStyle w:val="Hyperlink"/>
          </w:rPr>
          <w:t>https://ecf.ksd.uscourts.gov/cgi-bin/show_public_doc?2022cv4020-41</w:t>
        </w:r>
      </w:hyperlink>
      <w:r>
        <w:t xml:space="preserve"> </w:t>
      </w:r>
    </w:p>
    <w:p w14:paraId="6FD07A9E" w14:textId="77777777" w:rsidR="003F788B" w:rsidRDefault="003F788B" w:rsidP="003F788B">
      <w:pPr>
        <w:pStyle w:val="NormalWeb"/>
        <w:ind w:left="720"/>
      </w:pPr>
      <w:r>
        <w:t xml:space="preserve">“In September 2019, LePage began working with Human Resources Specialist Diane Turner on a project to save money. Specifically, LePage began keeping track of the days BCs were taking vacation, knowing that their use of vacation would require </w:t>
      </w:r>
      <w:proofErr w:type="gramStart"/>
      <w:r>
        <w:t>more captain</w:t>
      </w:r>
      <w:proofErr w:type="gramEnd"/>
      <w:r>
        <w:t xml:space="preserve"> overtime, costing the </w:t>
      </w:r>
      <w:proofErr w:type="gramStart"/>
      <w:r>
        <w:t>City</w:t>
      </w:r>
      <w:proofErr w:type="gramEnd"/>
      <w:r>
        <w:t xml:space="preserve"> money. LePage began what he considered to be an </w:t>
      </w:r>
      <w:proofErr w:type="gramStart"/>
      <w:r>
        <w:t>in depth</w:t>
      </w:r>
      <w:proofErr w:type="gramEnd"/>
      <w:r>
        <w:t xml:space="preserve"> investigation with Human </w:t>
      </w:r>
      <w:proofErr w:type="gramStart"/>
      <w:r>
        <w:t>Resources (‘</w:t>
      </w:r>
      <w:proofErr w:type="gramEnd"/>
      <w:r>
        <w:t xml:space="preserve">HR’) on this issue because HR did not have access to the </w:t>
      </w:r>
      <w:proofErr w:type="spellStart"/>
      <w:r>
        <w:t>DataTracker</w:t>
      </w:r>
      <w:proofErr w:type="spellEnd"/>
      <w:r>
        <w:t xml:space="preserve"> and ‘FD outlook calendar.’ LePage would send HR the days he knew BCs were gone and the reason they had provided. LePage believed that all three [BCs] were . . . taking ten days of vacation, reporting they were on duty, </w:t>
      </w:r>
      <w:proofErr w:type="gramStart"/>
      <w:r>
        <w:t>thusly</w:t>
      </w:r>
      <w:proofErr w:type="gramEnd"/>
      <w:r>
        <w:t xml:space="preserve"> banking those hours and then taking an additional five days off, reporting it correctly and selling the other five days. After a week or two of review, it was found to be well </w:t>
      </w:r>
      <w:proofErr w:type="gramStart"/>
      <w:r>
        <w:t>north</w:t>
      </w:r>
      <w:proofErr w:type="gramEnd"/>
      <w:r>
        <w:t xml:space="preserve"> of $100K stolen in the previous 6 years.</w:t>
      </w:r>
    </w:p>
    <w:p w14:paraId="2BFCFBC8" w14:textId="77777777" w:rsidR="003F788B" w:rsidRDefault="003F788B" w:rsidP="003F788B">
      <w:pPr>
        <w:pStyle w:val="NormalWeb"/>
        <w:ind w:left="720"/>
      </w:pPr>
      <w:r>
        <w:t>***</w:t>
      </w:r>
    </w:p>
    <w:p w14:paraId="2353EF37" w14:textId="77777777" w:rsidR="003F788B" w:rsidRDefault="003F788B" w:rsidP="003F788B">
      <w:pPr>
        <w:pStyle w:val="NormalWeb"/>
        <w:ind w:left="720"/>
        <w:rPr>
          <w:vertAlign w:val="superscript"/>
        </w:rPr>
      </w:pPr>
      <w:r>
        <w:t xml:space="preserve">The Court finds that there are no substantial grounds for jurisdiction over the remaining claims for retaliatory discharge and defamation and that the state court is in a better position to evaluate LePage's claims under state </w:t>
      </w:r>
      <w:proofErr w:type="gramStart"/>
      <w:r>
        <w:t>law.”</w:t>
      </w:r>
      <w:proofErr w:type="gramEnd"/>
    </w:p>
    <w:p w14:paraId="660CD65D" w14:textId="77777777" w:rsidR="003F788B" w:rsidRDefault="003F788B" w:rsidP="003F788B">
      <w:pPr>
        <w:pStyle w:val="NormalWeb"/>
        <w:rPr>
          <w:b/>
          <w:bCs/>
        </w:rPr>
      </w:pPr>
      <w:r>
        <w:rPr>
          <w:b/>
          <w:bCs/>
        </w:rPr>
        <w:t xml:space="preserve">Legal Lessons Learned: The FLSA protects employees from retaliation, but only where there are claims of FLSA violations.  </w:t>
      </w:r>
    </w:p>
    <w:p w14:paraId="15888F45" w14:textId="77777777" w:rsidR="003F788B" w:rsidRDefault="003F788B" w:rsidP="003F788B">
      <w:pPr>
        <w:pStyle w:val="NormalWeb"/>
      </w:pPr>
    </w:p>
    <w:p w14:paraId="205822C3" w14:textId="1A849770" w:rsidR="00104A4C" w:rsidRDefault="00104A4C"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41</w:t>
      </w:r>
    </w:p>
    <w:p w14:paraId="57B91EA9" w14:textId="77777777" w:rsidR="00104A4C" w:rsidRDefault="00104A4C" w:rsidP="00104A4C">
      <w:pPr>
        <w:pStyle w:val="NormalWeb"/>
      </w:pPr>
      <w:r>
        <w:rPr>
          <w:rFonts w:ascii="Arial Black" w:hAnsi="Arial Black"/>
          <w:sz w:val="28"/>
          <w:szCs w:val="28"/>
        </w:rPr>
        <w:t>CA: FLSA – FOUR BATTALION CHIEFS CLAIM NOT “EXEMPT” – CITY SETTLEMENT – $145,000, PLUS $25,000 ATTY FEES</w:t>
      </w:r>
    </w:p>
    <w:p w14:paraId="73DA163A" w14:textId="77777777" w:rsidR="00104A4C" w:rsidRDefault="00104A4C" w:rsidP="00104A4C">
      <w:pPr>
        <w:pStyle w:val="NormalWeb"/>
      </w:pPr>
      <w:r>
        <w:t xml:space="preserve">On March 7, 2023, in </w:t>
      </w:r>
      <w:r w:rsidRPr="00BD4D01">
        <w:rPr>
          <w:u w:val="single"/>
        </w:rPr>
        <w:t>James Mickelson v. City of Encinitas</w:t>
      </w:r>
      <w:r>
        <w:t xml:space="preserve">, U.S. District Court Judge Cynthia Bashant, Southern District of California, approved a settlement of a lawsuit filed by four Battalion Chiefs, based on their pay for prior two years, with City not admitting to any violation of FLSA.  The Court agreed to the settlement because law is unclear on whether these Battalion Chiefs are exempt from overtime.  Under the terms of the Settlement, the City agreed to pay a total of $145,000.00 to Battalion Chiefs based on their hours works in two prior years (if willful violations were proven at trial, Court can award three years back pay, doubled as liquidated damages): (1) $26,108.22 paid to James Mickelson; (2) $12,373.71 paid to Terence Chiros; (3) $47,677.74 paid to Jorge Sanchez; and (4) $58,850.33 paid to Michael Spaulding. </w:t>
      </w:r>
      <w:hyperlink r:id="rId1869" w:history="1">
        <w:r w:rsidRPr="005C1F1B">
          <w:rPr>
            <w:rStyle w:val="Hyperlink"/>
            <w:rFonts w:eastAsiaTheme="majorEastAsia"/>
          </w:rPr>
          <w:t>https://law.justia.com/cases/federal/district-courts/california/casdce/3:2022cv00487/730899/28/</w:t>
        </w:r>
      </w:hyperlink>
      <w:r>
        <w:t xml:space="preserve"> </w:t>
      </w:r>
    </w:p>
    <w:p w14:paraId="1093B14D" w14:textId="77777777" w:rsidR="00104A4C" w:rsidRDefault="00104A4C" w:rsidP="00104A4C">
      <w:pPr>
        <w:pStyle w:val="NormalWeb"/>
      </w:pPr>
      <w:r>
        <w:t xml:space="preserve">The Court noted: </w:t>
      </w:r>
    </w:p>
    <w:p w14:paraId="0D057EC3" w14:textId="77777777" w:rsidR="00104A4C" w:rsidRDefault="00104A4C" w:rsidP="00104A4C">
      <w:pPr>
        <w:pStyle w:val="NormalWeb"/>
        <w:ind w:left="720"/>
      </w:pPr>
      <w:r>
        <w:t xml:space="preserve">“First, the parties disagree as to whether Encinitas Battalion Chiefs are FLSA-exempt employees. Plaintiff relies on regulations that clarify the scope of FLSA exemptions: ‘The [FLSA minimum wage provision] exemptions . . . do not apply to . . . fire fighters . . . who perform work such as preventing, controlling or extinguishing fires of any type.’ 29 C.F.R. § 541.3. Plaintiff maintains that Battalion Chiefs ‘actively engage in fire-fighter responsibilities’ and ‘regularly respond to calls for rescuing fire and accident victims; medical calls for </w:t>
      </w:r>
      <w:proofErr w:type="gramStart"/>
      <w:r>
        <w:t>services, and</w:t>
      </w:r>
      <w:proofErr w:type="gramEnd"/>
      <w:r>
        <w:t xml:space="preserve"> regularly carry and use fire suppression and medical equipment….’ </w:t>
      </w:r>
    </w:p>
    <w:p w14:paraId="26DCC3A0" w14:textId="77777777" w:rsidR="00104A4C" w:rsidRDefault="00104A4C" w:rsidP="00104A4C">
      <w:pPr>
        <w:pStyle w:val="NormalWeb"/>
        <w:ind w:left="600"/>
      </w:pPr>
      <w:r>
        <w:t xml:space="preserve">Defendants, by contrast, take the position that managerial fire employees like Battalion Chiefs are properly exempt, so long as they meet the requirements of the executive or administrative exemption….To qualify for the administrative exemption, the employee must meet a minimum salary and the employee's primary duty must be ‘the performance of office or non-manual work directly related to the management or general business operations of the employer....’ 28 C.F.R. § 541.200(a). The parties point to recent Fourth Circuit caselaw and a 2005 Department of Labor Opinion Letter that both determined fire department battalion chiefs were properly classified as exempt….Defendant asserts that Encinitas Battalion Chiefs are ‘always responsible for supervising both Captains and the other firefighters’ and that preliminary discovery confirmed they ‘rarely if ever engage in actual firefighting….”  </w:t>
      </w:r>
    </w:p>
    <w:p w14:paraId="7E49A138" w14:textId="77777777" w:rsidR="00104A4C" w:rsidRPr="00025BA7" w:rsidRDefault="00104A4C" w:rsidP="00104A4C">
      <w:pPr>
        <w:pStyle w:val="NormalWeb"/>
        <w:rPr>
          <w:b/>
          <w:bCs/>
        </w:rPr>
      </w:pPr>
      <w:r w:rsidRPr="00025BA7">
        <w:rPr>
          <w:b/>
          <w:bCs/>
        </w:rPr>
        <w:t xml:space="preserve">Legal Lesson Learned: </w:t>
      </w:r>
      <w:r>
        <w:rPr>
          <w:b/>
          <w:bCs/>
        </w:rPr>
        <w:t xml:space="preserve">The law is unsettled about Battalion Chiefs being “exempt”; be interesting to learn whether the next CBA with City of Encinitas will address this issue. </w:t>
      </w:r>
    </w:p>
    <w:p w14:paraId="69BAE836" w14:textId="77777777" w:rsidR="00104A4C" w:rsidRDefault="00104A4C" w:rsidP="00104A4C">
      <w:pPr>
        <w:pStyle w:val="NormalWeb"/>
        <w:ind w:left="720"/>
      </w:pPr>
      <w:r>
        <w:t>Note: The Court noted the attorney fees were reasonable. “Plaintiff's counsel has acted as lead counsel in more than fifty FLSA lawsuits representing tens of thousands of employees…. In addition, Plaintiff's counsel has published books on the FLSA, conducted FLSA audits, and lectured on the FLSA.”</w:t>
      </w:r>
    </w:p>
    <w:p w14:paraId="426B5E05" w14:textId="77777777" w:rsidR="00104A4C" w:rsidRDefault="00104A4C" w:rsidP="00104A4C">
      <w:pPr>
        <w:pStyle w:val="NormalWeb"/>
      </w:pPr>
    </w:p>
    <w:p w14:paraId="52426212" w14:textId="3C041114" w:rsidR="00104A4C" w:rsidRDefault="00104A4C"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40</w:t>
      </w:r>
    </w:p>
    <w:p w14:paraId="2ED20389" w14:textId="77777777" w:rsidR="00104A4C" w:rsidRPr="00682E43" w:rsidRDefault="00104A4C" w:rsidP="00104A4C">
      <w:pPr>
        <w:pStyle w:val="NormalWeb"/>
        <w:rPr>
          <w:rFonts w:ascii="Arial Black" w:hAnsi="Arial Black"/>
          <w:b/>
          <w:bCs/>
          <w:sz w:val="28"/>
          <w:szCs w:val="28"/>
        </w:rPr>
      </w:pPr>
      <w:r>
        <w:rPr>
          <w:rFonts w:ascii="Arial Black" w:hAnsi="Arial Black"/>
          <w:b/>
          <w:bCs/>
          <w:sz w:val="28"/>
          <w:szCs w:val="28"/>
        </w:rPr>
        <w:t>DC: FLSA – U.S. SUP. CT. - OIL RIG “TOOL PUSHER” – MAKES $200,000 / YR - SINCE HE IS PAID HOURLY, NOT EXEMPT</w:t>
      </w:r>
    </w:p>
    <w:p w14:paraId="49DE6594" w14:textId="77777777" w:rsidR="00104A4C" w:rsidRDefault="00104A4C" w:rsidP="00104A4C">
      <w:pPr>
        <w:pStyle w:val="NormalWeb"/>
        <w:rPr>
          <w:rStyle w:val="markedcontent"/>
        </w:rPr>
      </w:pPr>
      <w:r>
        <w:rPr>
          <w:rStyle w:val="markedcontent"/>
        </w:rPr>
        <w:t xml:space="preserve">On Feb. 23, 2023, in </w:t>
      </w:r>
      <w:r w:rsidRPr="00275035">
        <w:rPr>
          <w:rStyle w:val="markedcontent"/>
        </w:rPr>
        <w:t>Helix Energy Solutions Group, Inc. et al. v. Michael Hewitt</w:t>
      </w:r>
      <w:r>
        <w:rPr>
          <w:rStyle w:val="markedcontent"/>
        </w:rPr>
        <w:t>, the U.S. Supreme Court held (6 to 3) that the Supervisor (earned $200,000 a year), working 84 hours a week on the oil rig, supervising 12-14 employees, was not “exempt” from earning overtime after 40 hours.  After he was fired, he sued for overtime pay, seeking “</w:t>
      </w:r>
      <w:r>
        <w:t xml:space="preserve">hundreds of thousands of dollars in retroactive overtime pay.” [Dissenting opinion, Justice Brett Kavanaugh.] The majority opinion has awarded him this windfall.  From 2015 to 2017, Hewitt worked 28-day "hitches," living on an offshore oil rig for 28 days at a time and being on-duty for 12 hours each day. His pay ranged from $963 to $1,341 per day. Hewitt earned $248,053 in 2015 and $218,863 in 2016, according to court records. </w:t>
      </w:r>
      <w:hyperlink r:id="rId1870" w:history="1">
        <w:r w:rsidRPr="00933DFB">
          <w:rPr>
            <w:rStyle w:val="Hyperlink"/>
            <w:rFonts w:eastAsiaTheme="majorEastAsia"/>
          </w:rPr>
          <w:t>https://www.supremecourt.gov/opinions/22pdf/21-984_j426.pdf</w:t>
        </w:r>
      </w:hyperlink>
      <w:r>
        <w:rPr>
          <w:rStyle w:val="markedcontent"/>
        </w:rPr>
        <w:t xml:space="preserve"> </w:t>
      </w:r>
    </w:p>
    <w:p w14:paraId="73EBAB31" w14:textId="77777777" w:rsidR="00104A4C" w:rsidRDefault="00104A4C" w:rsidP="00104A4C">
      <w:pPr>
        <w:pStyle w:val="NormalWeb"/>
        <w:ind w:left="720"/>
        <w:rPr>
          <w:rStyle w:val="markedcontent"/>
        </w:rPr>
      </w:pPr>
      <w:r>
        <w:rPr>
          <w:rStyle w:val="markedcontent"/>
        </w:rPr>
        <w:t xml:space="preserve">“The question here is whether a high-earning employee is compensated on a ‘salary </w:t>
      </w:r>
      <w:proofErr w:type="spellStart"/>
      <w:r>
        <w:rPr>
          <w:rStyle w:val="markedcontent"/>
        </w:rPr>
        <w:t>basis’</w:t>
      </w:r>
      <w:proofErr w:type="spellEnd"/>
      <w:r>
        <w:rPr>
          <w:rStyle w:val="markedcontent"/>
        </w:rPr>
        <w:t xml:space="preserve"> when his paycheck is based solely on a daily rate—so that he receives a certain amount if he works one day in a week, twice as much for two days, three times as much for three, and so on. We hold that such an employee is not paid on a salary </w:t>
      </w:r>
      <w:proofErr w:type="gramStart"/>
      <w:r>
        <w:rPr>
          <w:rStyle w:val="markedcontent"/>
        </w:rPr>
        <w:t>basis, and</w:t>
      </w:r>
      <w:proofErr w:type="gramEnd"/>
      <w:r>
        <w:rPr>
          <w:rStyle w:val="markedcontent"/>
        </w:rPr>
        <w:t xml:space="preserve"> thus is entitled to overtime </w:t>
      </w:r>
      <w:proofErr w:type="gramStart"/>
      <w:r>
        <w:rPr>
          <w:rStyle w:val="markedcontent"/>
        </w:rPr>
        <w:t>pay.”</w:t>
      </w:r>
      <w:proofErr w:type="gramEnd"/>
      <w:r>
        <w:rPr>
          <w:rStyle w:val="markedcontent"/>
        </w:rPr>
        <w:t xml:space="preserve"> </w:t>
      </w:r>
    </w:p>
    <w:p w14:paraId="33135B22" w14:textId="77777777" w:rsidR="00104A4C" w:rsidRPr="005B5614" w:rsidRDefault="00104A4C" w:rsidP="00104A4C">
      <w:pPr>
        <w:pStyle w:val="NormalWeb"/>
        <w:rPr>
          <w:rStyle w:val="markedcontent"/>
          <w:b/>
          <w:bCs/>
        </w:rPr>
      </w:pPr>
      <w:r w:rsidRPr="005B5614">
        <w:rPr>
          <w:rStyle w:val="markedcontent"/>
          <w:b/>
          <w:bCs/>
        </w:rPr>
        <w:t xml:space="preserve">Legal Lesson Learned: </w:t>
      </w:r>
      <w:r>
        <w:rPr>
          <w:rStyle w:val="markedcontent"/>
          <w:b/>
          <w:bCs/>
        </w:rPr>
        <w:t xml:space="preserve">In the fire service, typically Fire Chief are considered “executives” under FLSA and “exempt” from overtime pay.  Battalion Chiefs, and other lower ranked officers, may or may not be “exempt” based on their job duties.  </w:t>
      </w:r>
    </w:p>
    <w:p w14:paraId="089BE339" w14:textId="77777777" w:rsidR="00104A4C" w:rsidRDefault="00104A4C" w:rsidP="00104A4C">
      <w:pPr>
        <w:pStyle w:val="Heading1"/>
        <w:ind w:left="720"/>
        <w:rPr>
          <w:b w:val="0"/>
          <w:bCs w:val="0"/>
          <w:sz w:val="24"/>
          <w:szCs w:val="24"/>
        </w:rPr>
      </w:pPr>
      <w:r w:rsidRPr="00F76346">
        <w:rPr>
          <w:b w:val="0"/>
          <w:bCs w:val="0"/>
          <w:sz w:val="24"/>
          <w:szCs w:val="24"/>
        </w:rPr>
        <w:t xml:space="preserve">See this article: Battalion Chiefs, Executive Exemption, and Overtime (Sept. 17, 2018): </w:t>
      </w:r>
      <w:hyperlink r:id="rId1871" w:history="1">
        <w:r w:rsidRPr="00933DFB">
          <w:rPr>
            <w:rStyle w:val="Hyperlink"/>
            <w:rFonts w:eastAsiaTheme="majorEastAsia"/>
            <w:b w:val="0"/>
            <w:bCs w:val="0"/>
            <w:sz w:val="24"/>
            <w:szCs w:val="24"/>
          </w:rPr>
          <w:t>http://www.firefighterovertime.org/2018/09/17/battalion/</w:t>
        </w:r>
      </w:hyperlink>
      <w:r w:rsidRPr="00F76346">
        <w:rPr>
          <w:b w:val="0"/>
          <w:bCs w:val="0"/>
          <w:sz w:val="24"/>
          <w:szCs w:val="24"/>
        </w:rPr>
        <w:t xml:space="preserve"> </w:t>
      </w:r>
    </w:p>
    <w:p w14:paraId="5F68BA34" w14:textId="77777777" w:rsidR="00104A4C" w:rsidRPr="00F504E7" w:rsidRDefault="00104A4C" w:rsidP="00104A4C">
      <w:pPr>
        <w:pStyle w:val="Heading1"/>
        <w:ind w:left="720"/>
        <w:rPr>
          <w:b w:val="0"/>
          <w:bCs w:val="0"/>
          <w:sz w:val="24"/>
          <w:szCs w:val="24"/>
        </w:rPr>
      </w:pPr>
      <w:r w:rsidRPr="00F504E7">
        <w:rPr>
          <w:b w:val="0"/>
          <w:bCs w:val="0"/>
          <w:sz w:val="24"/>
          <w:szCs w:val="24"/>
        </w:rPr>
        <w:t xml:space="preserve">See Feb. 22, </w:t>
      </w:r>
      <w:proofErr w:type="gramStart"/>
      <w:r w:rsidRPr="00F504E7">
        <w:rPr>
          <w:b w:val="0"/>
          <w:bCs w:val="0"/>
          <w:sz w:val="24"/>
          <w:szCs w:val="24"/>
        </w:rPr>
        <w:t>2023</w:t>
      </w:r>
      <w:proofErr w:type="gramEnd"/>
      <w:r w:rsidRPr="00F504E7">
        <w:rPr>
          <w:b w:val="0"/>
          <w:bCs w:val="0"/>
          <w:sz w:val="24"/>
          <w:szCs w:val="24"/>
        </w:rPr>
        <w:t xml:space="preserve"> article on the Supreme Court’s decision: </w:t>
      </w:r>
      <w:r>
        <w:rPr>
          <w:b w:val="0"/>
          <w:bCs w:val="0"/>
          <w:sz w:val="24"/>
          <w:szCs w:val="24"/>
        </w:rPr>
        <w:t>“</w:t>
      </w:r>
      <w:r w:rsidRPr="00F504E7">
        <w:rPr>
          <w:b w:val="0"/>
          <w:bCs w:val="0"/>
          <w:sz w:val="24"/>
          <w:szCs w:val="24"/>
        </w:rPr>
        <w:t>Supreme Court Upholds Salary Requirement for Overtime Exemption</w:t>
      </w:r>
      <w:r>
        <w:rPr>
          <w:b w:val="0"/>
          <w:bCs w:val="0"/>
          <w:sz w:val="24"/>
          <w:szCs w:val="24"/>
        </w:rPr>
        <w:t xml:space="preserve">.” </w:t>
      </w:r>
      <w:hyperlink r:id="rId1872" w:history="1">
        <w:r w:rsidRPr="00933DFB">
          <w:rPr>
            <w:rStyle w:val="Hyperlink"/>
            <w:rFonts w:eastAsiaTheme="majorEastAsia"/>
            <w:b w:val="0"/>
            <w:bCs w:val="0"/>
            <w:sz w:val="24"/>
            <w:szCs w:val="24"/>
          </w:rPr>
          <w:t>https://www.shrm.org/resourcesandtools/legal-and-compliance/employment-law/pages/supreme-court-helix-flsa-exemption.aspx</w:t>
        </w:r>
      </w:hyperlink>
      <w:r>
        <w:rPr>
          <w:b w:val="0"/>
          <w:bCs w:val="0"/>
          <w:sz w:val="24"/>
          <w:szCs w:val="24"/>
        </w:rPr>
        <w:t xml:space="preserve"> </w:t>
      </w:r>
      <w:r w:rsidRPr="00F504E7">
        <w:rPr>
          <w:b w:val="0"/>
          <w:bCs w:val="0"/>
          <w:sz w:val="24"/>
          <w:szCs w:val="24"/>
        </w:rPr>
        <w:t xml:space="preserve"> </w:t>
      </w:r>
    </w:p>
    <w:p w14:paraId="216D60BA" w14:textId="77777777" w:rsidR="00104A4C" w:rsidRDefault="00104A4C" w:rsidP="00F326E5">
      <w:pPr>
        <w:rPr>
          <w:rFonts w:ascii="Arial Black" w:hAnsi="Arial Black"/>
          <w:b/>
          <w:sz w:val="24"/>
          <w:szCs w:val="24"/>
        </w:rPr>
      </w:pPr>
    </w:p>
    <w:p w14:paraId="72FB6AF6" w14:textId="2BF4197C" w:rsidR="008A4533" w:rsidRDefault="008A4533" w:rsidP="00F326E5">
      <w:pPr>
        <w:rPr>
          <w:rFonts w:ascii="Arial Black" w:hAnsi="Arial Black"/>
          <w:b/>
          <w:sz w:val="24"/>
          <w:szCs w:val="24"/>
        </w:rPr>
      </w:pPr>
      <w:r>
        <w:rPr>
          <w:rFonts w:ascii="Arial Black" w:hAnsi="Arial Black"/>
          <w:b/>
          <w:sz w:val="24"/>
          <w:szCs w:val="24"/>
        </w:rPr>
        <w:t>11-3</w:t>
      </w:r>
      <w:r w:rsidR="009601CD">
        <w:rPr>
          <w:rFonts w:ascii="Arial Black" w:hAnsi="Arial Black"/>
          <w:b/>
          <w:sz w:val="24"/>
          <w:szCs w:val="24"/>
        </w:rPr>
        <w:t>9</w:t>
      </w:r>
    </w:p>
    <w:p w14:paraId="647277E3" w14:textId="77777777" w:rsidR="008A4533" w:rsidRPr="00DC6943" w:rsidRDefault="008A4533" w:rsidP="008A4533">
      <w:pPr>
        <w:pStyle w:val="NormalWeb"/>
        <w:rPr>
          <w:rFonts w:ascii="Arial Black" w:hAnsi="Arial Black"/>
          <w:sz w:val="28"/>
          <w:szCs w:val="28"/>
        </w:rPr>
      </w:pPr>
      <w:r>
        <w:rPr>
          <w:rFonts w:ascii="Arial Black" w:hAnsi="Arial Black"/>
          <w:sz w:val="28"/>
          <w:szCs w:val="28"/>
        </w:rPr>
        <w:t>OH: FLSA – 7(K) EXEMPTION APPLIES TO SMALL UNINCORP. TOWNSHIPS – OVERTIME ONLY AFTER 53 HOURS / NOT 40</w:t>
      </w:r>
    </w:p>
    <w:p w14:paraId="166E38A0" w14:textId="77777777" w:rsidR="008A4533" w:rsidRDefault="008A4533" w:rsidP="008A4533">
      <w:pPr>
        <w:pStyle w:val="NormalWeb"/>
      </w:pPr>
      <w:r>
        <w:t xml:space="preserve">On Jan. 11, 2023, in </w:t>
      </w:r>
      <w:r w:rsidRPr="0036596D">
        <w:rPr>
          <w:u w:val="single"/>
        </w:rPr>
        <w:t>Phillip Strzalkowski v. Mary Ann Township</w:t>
      </w:r>
      <w:r>
        <w:t xml:space="preserve">, Chief U.S. District Court Judge Algenon L. Marbley, U.S. District Court for Southern District of Ohio, held that a former fulltime firefighter with Mary Ann Township, an unincorporated civil township located in northeastern Licking County, Ohio, is covered by the 7(K) exemption, and he is not entitled to overtime after 40 hours. Larger townships (i.e., with a population of 2,500 or more) are authorized to adopt a </w:t>
      </w:r>
      <w:proofErr w:type="gramStart"/>
      <w:r>
        <w:t>limited home</w:t>
      </w:r>
      <w:proofErr w:type="gramEnd"/>
      <w:r>
        <w:t xml:space="preserve"> </w:t>
      </w:r>
      <w:proofErr w:type="gramStart"/>
      <w:r>
        <w:t>rule government</w:t>
      </w:r>
      <w:proofErr w:type="gramEnd"/>
      <w:r>
        <w:t xml:space="preserve">. </w:t>
      </w:r>
      <w:r w:rsidRPr="008708F4">
        <w:t>Strzalkowski</w:t>
      </w:r>
      <w:r>
        <w:rPr>
          <w:u w:val="single"/>
        </w:rPr>
        <w:t xml:space="preserve"> b</w:t>
      </w:r>
      <w:r>
        <w:t xml:space="preserve">ecame a full-time firefighter with the township in </w:t>
      </w:r>
      <w:proofErr w:type="gramStart"/>
      <w:r>
        <w:t>2019, and</w:t>
      </w:r>
      <w:proofErr w:type="gramEnd"/>
      <w:r>
        <w:t xml:space="preserve"> continued in that role until August 9, 2021. He often worked more than 40 hours per week, and was given overtime pay (i.e., time-and-a-half pay, or 1.5 times his regular hourly wages) for time worked </w:t>
      </w:r>
      <w:proofErr w:type="gramStart"/>
      <w:r>
        <w:t>in excess of</w:t>
      </w:r>
      <w:proofErr w:type="gramEnd"/>
      <w:r>
        <w:t xml:space="preserve"> 106 hours during each two-week work period.</w:t>
      </w:r>
      <w:r>
        <w:rPr>
          <w:b/>
          <w:bCs/>
        </w:rPr>
        <w:t xml:space="preserve"> </w:t>
      </w:r>
      <w:r>
        <w:t>The Court held that a civil township (1,308 in Ohio) qualifies as “a municipality, county, fire district, or State” under the Fair Labor Standards Act. “Ultimately, it is clear to this Court that § 3(y) was not intended to exclude the numerous unincorporated local government units across the United States that provide fire protection services to their residents. The language of the statute is ambiguous as to the question of incorporation: as noted, whether the definition of municipality includes only incorporated local governments depends on the dictionary one cites.”</w:t>
      </w:r>
      <w:hyperlink r:id="rId1873" w:history="1">
        <w:r w:rsidRPr="006E56EF">
          <w:rPr>
            <w:rStyle w:val="Hyperlink"/>
          </w:rPr>
          <w:t>https://public.fastcase.com/J%2FJP6pdidelsXxEE4k%2BLMlJvV4SJAfGPsaCb1kEJI4NiHVvOih0KoHLgsQ3SFDCtHhkE7RYPh6rKF3vfpYjTBRyXwDRXesvaMheieGfjP1w%3D?utm_medium=email&amp;_hsmi=226712652&amp;_hsenc=p2ANqtz--UObyDUMiaZSwq-4NoEzNR5o4eO8V_D5uKHJYL4ZZ256ZhZPYzbGLx-gR6MhxNsQvJKJXWqSitgcrGqHUpT5pkRHztzQ&amp;utm_content=226712652&amp;utm_source=hs_emai</w:t>
        </w:r>
      </w:hyperlink>
      <w:r>
        <w:t xml:space="preserve"> </w:t>
      </w:r>
    </w:p>
    <w:p w14:paraId="1D7F20F4" w14:textId="77777777" w:rsidR="008A4533" w:rsidRDefault="008A4533" w:rsidP="008A4533">
      <w:pPr>
        <w:pStyle w:val="NormalWeb"/>
        <w:ind w:left="720"/>
      </w:pPr>
      <w:r>
        <w:t>“FLSA is a federal statute, applicable nationwide; the firefighter exemption applies in all fifty states, many of which use different names for their local governments. Given that background, this Court concludes that § 7(k) was intended by Congress to be applicable for the broad spectrum of local governments across the country that offer fire protection services, regardless of nomenclature or incorporation status. The applicability of the exemption should not depend on how a particular state labels its administrative subdivisions.</w:t>
      </w:r>
    </w:p>
    <w:p w14:paraId="311FE76A" w14:textId="77777777" w:rsidR="008A4533" w:rsidRDefault="008A4533" w:rsidP="008A4533">
      <w:pPr>
        <w:pStyle w:val="NormalWeb"/>
        <w:ind w:left="720"/>
      </w:pPr>
      <w:r>
        <w:t>***</w:t>
      </w:r>
    </w:p>
    <w:p w14:paraId="2FFD9EE2" w14:textId="77777777" w:rsidR="008A4533" w:rsidRDefault="008A4533" w:rsidP="008A4533">
      <w:pPr>
        <w:pStyle w:val="NormalWeb"/>
        <w:ind w:left="720"/>
      </w:pPr>
      <w:r>
        <w:t>But Congress created the § 7(k) exemption for public fire protection personnel, in acknowledgement of the unique schedules that firefighters work, and added the § 3(y) definition to expand, not limit, the scope of the firefighter exemption. A fair reading of Congress's intent leads to the inescapable conclusion that Mary Ann Township is a municipality under 29 U.S.C. § 203(y) and is authorized pay its firefighters according to the partial overtime exemption in 29 U.S.C. § 207(k).”</w:t>
      </w:r>
    </w:p>
    <w:p w14:paraId="2FC5019E" w14:textId="77777777" w:rsidR="008A4533" w:rsidRPr="0047379E" w:rsidRDefault="008A4533" w:rsidP="008A4533">
      <w:pPr>
        <w:pStyle w:val="NormalWeb"/>
        <w:rPr>
          <w:b/>
          <w:bCs/>
        </w:rPr>
      </w:pPr>
      <w:r w:rsidRPr="0047379E">
        <w:rPr>
          <w:b/>
          <w:bCs/>
        </w:rPr>
        <w:t>Legal Lesson Learned:</w:t>
      </w:r>
      <w:r>
        <w:rPr>
          <w:b/>
          <w:bCs/>
        </w:rPr>
        <w:t xml:space="preserve"> Important decision for 1,308 small, unincorporated civil townships in Ohio; their career firefighters are entitled to overtime, like </w:t>
      </w:r>
      <w:proofErr w:type="gramStart"/>
      <w:r>
        <w:rPr>
          <w:b/>
          <w:bCs/>
        </w:rPr>
        <w:t>firefighter</w:t>
      </w:r>
      <w:proofErr w:type="gramEnd"/>
      <w:r>
        <w:rPr>
          <w:b/>
          <w:bCs/>
        </w:rPr>
        <w:t xml:space="preserve"> in larger townships with 2,500 residents, after 106 hours in a 14-day period, or 53 hours in a 7-day period.</w:t>
      </w:r>
    </w:p>
    <w:p w14:paraId="27939972" w14:textId="77777777" w:rsidR="008A4533" w:rsidRDefault="008A4533" w:rsidP="00F326E5">
      <w:pPr>
        <w:rPr>
          <w:rFonts w:ascii="Arial Black" w:hAnsi="Arial Black"/>
          <w:b/>
          <w:sz w:val="24"/>
          <w:szCs w:val="24"/>
        </w:rPr>
      </w:pPr>
    </w:p>
    <w:p w14:paraId="5A4C5D1A" w14:textId="77777777" w:rsidR="008A4533" w:rsidRDefault="008A4533" w:rsidP="00F326E5">
      <w:pPr>
        <w:rPr>
          <w:rFonts w:ascii="Arial Black" w:hAnsi="Arial Black"/>
          <w:b/>
          <w:sz w:val="24"/>
          <w:szCs w:val="24"/>
        </w:rPr>
      </w:pPr>
    </w:p>
    <w:p w14:paraId="7B7861B6" w14:textId="70C488B9" w:rsidR="00BA3CDE" w:rsidRDefault="00BA3CDE"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8</w:t>
      </w:r>
    </w:p>
    <w:p w14:paraId="16303F7C" w14:textId="77777777" w:rsidR="00BA3CDE" w:rsidRPr="006A274F" w:rsidRDefault="00BA3CDE" w:rsidP="00BA3CDE">
      <w:pPr>
        <w:pStyle w:val="NormalWeb"/>
        <w:rPr>
          <w:rFonts w:ascii="Arial Black" w:hAnsi="Arial Black"/>
          <w:b/>
          <w:bCs/>
          <w:sz w:val="28"/>
          <w:szCs w:val="28"/>
        </w:rPr>
      </w:pPr>
      <w:r>
        <w:rPr>
          <w:rFonts w:ascii="Arial Black" w:hAnsi="Arial Black"/>
          <w:b/>
          <w:bCs/>
          <w:sz w:val="28"/>
          <w:szCs w:val="28"/>
        </w:rPr>
        <w:t xml:space="preserve">CA: FLSA – SETTLEMENT SALARIED “REGIONAL DISASTER COORDINATOR” 16 COUNTIES - 71% OVERTIME CLAIMED </w:t>
      </w:r>
    </w:p>
    <w:p w14:paraId="540023F5" w14:textId="77777777" w:rsidR="00BA3CDE" w:rsidRDefault="00BA3CDE" w:rsidP="00BA3CDE">
      <w:pPr>
        <w:pStyle w:val="NormalWeb"/>
      </w:pPr>
      <w:r w:rsidRPr="006A274F">
        <w:t xml:space="preserve">On Dec. 9, 2022, in </w:t>
      </w:r>
      <w:r w:rsidRPr="006A274F">
        <w:rPr>
          <w:u w:val="single"/>
        </w:rPr>
        <w:t>Aram Bronston v. County of Alameda</w:t>
      </w:r>
      <w:r>
        <w:t xml:space="preserve">, U.S. Magistrate Judge Alex G. Tse, U.S. District Court for Northern District of California (San Francisco Division) approved the settlement: $97,448 to Mr. Bronston, and $52,531 to his attorney.  His original claim was for $135,000 in unpaid overtime and an equal amount in liquidated damages.  The plaintiff worked for 21 months as an EMS Coordinator, with job title of “Regional Disaster Medical Health Specialist,” where he coordinated regional medical and health responses for 16 counties in Northern California in the event of an epidemic, natural disaster, power shutoff, other situation requiring the coordination of medical and health needs. He worked 1,400 hours of overtime during his employment from November 19, 2018, and August 21, 2020; he was paid as a salaried employee with no overtime pay.  The County contends that Plaintiff's position fell within the FLSA's administrative and highly compensated employee exemptions to its overtime requirement because: (1) Plaintiff met the weekly and annual salary requirements for each exemption; (2) performed non-manual work directly related to the County and the State's general business operations; and (3) exercised discretion and independent judgment as to matters of significance. </w:t>
      </w:r>
      <w:r>
        <w:rPr>
          <w:rStyle w:val="Emphasis"/>
        </w:rPr>
        <w:t>See</w:t>
      </w:r>
      <w:r>
        <w:t xml:space="preserve"> 29 C.F.R. §§ 541.200(a) &amp; 541.601(a)(1).  Mr. Bronston Plaintiff disputes that his job duties directly related to the County's general business operations and required him to exercise discretion and independent judgment with respect to matters of significance. The Court referred the case to Magistrate Judge Donna Ryu for a settlement conference, who held a settlement conference on November 7, 2022, during which the parties reached a settlement agreement, conditioned upon this Court's approval.</w:t>
      </w:r>
    </w:p>
    <w:p w14:paraId="2470496B" w14:textId="77777777" w:rsidR="00BA3CDE" w:rsidRDefault="00BA3CDE" w:rsidP="00BA3CDE">
      <w:pPr>
        <w:pStyle w:val="NormalWeb"/>
        <w:ind w:left="720"/>
      </w:pPr>
      <w:r>
        <w:t xml:space="preserve">“The Court finds that the proposed agreement-which represents approximately seventy one percent of the overtime pay Plaintiff claims that he is due and seventy four percent of the attorney's fees and costs that Plaintiff claims would be recoverable as of the date of the settlement conference were this matter to proceed to trial-reflects a reasonable compromise with respect to these difficult issues. “  </w:t>
      </w:r>
      <w:hyperlink r:id="rId1874" w:history="1">
        <w:r w:rsidRPr="00237809">
          <w:rPr>
            <w:rStyle w:val="Hyperlink"/>
            <w:rFonts w:eastAsiaTheme="majorEastAsia"/>
          </w:rPr>
          <w:t>https://public.fastcase.com/J%2FJP6pdidelsXxEE4k%2BLMiCd6Oijia%2Fc6dpDEIpvDgGdBy7usCtPvTYolvlwqFI2OWdzcN0GLk8kd6eOjq%2BBgMFCfp0NjuKJ0H4Eu6Lk4a8%3D?utm_medium=email&amp;_hsmi=226712652&amp;_hsenc=p2ANqtz-_pRHETuUebeWpUr_lBMH_-KDZL8nDlWZhRdTrL-TINRZ0QEuK3FTmopjSHxO-qjinMuMJlbokRF3HYxxN6yYg5FnBUqg&amp;utm_content=226712652&amp;utm_source=hs_email</w:t>
        </w:r>
      </w:hyperlink>
      <w:r>
        <w:t xml:space="preserve"> </w:t>
      </w:r>
    </w:p>
    <w:p w14:paraId="02BD586E" w14:textId="77777777" w:rsidR="00BA3CDE" w:rsidRPr="00015813" w:rsidRDefault="00BA3CDE" w:rsidP="00BA3CDE">
      <w:pPr>
        <w:pStyle w:val="NormalWeb"/>
        <w:rPr>
          <w:b/>
          <w:bCs/>
        </w:rPr>
      </w:pPr>
      <w:r w:rsidRPr="00015813">
        <w:rPr>
          <w:b/>
          <w:bCs/>
        </w:rPr>
        <w:t xml:space="preserve">Legal Lesson Learned: </w:t>
      </w:r>
      <w:r>
        <w:rPr>
          <w:b/>
          <w:bCs/>
        </w:rPr>
        <w:t xml:space="preserve"> Settlement of the case avoids the expense and risk to both parties of protracted litigation.  </w:t>
      </w:r>
    </w:p>
    <w:p w14:paraId="0212616D" w14:textId="34F61D2C" w:rsidR="00BA3CDE" w:rsidRDefault="00BA3CDE" w:rsidP="00BA3CDE">
      <w:pPr>
        <w:ind w:firstLine="720"/>
        <w:rPr>
          <w:rFonts w:ascii="Arial Black" w:hAnsi="Arial Black"/>
          <w:b/>
          <w:sz w:val="24"/>
          <w:szCs w:val="24"/>
        </w:rPr>
      </w:pPr>
      <w:r>
        <w:t xml:space="preserve">Note: See article on this settlement. </w:t>
      </w:r>
      <w:hyperlink r:id="rId1875" w:history="1">
        <w:r w:rsidRPr="00237809">
          <w:rPr>
            <w:rStyle w:val="Hyperlink"/>
            <w:rFonts w:eastAsiaTheme="majorEastAsia"/>
          </w:rPr>
          <w:t>http://www.firefighterovertime.org/2022/12/12/ca-county-settles-flsa-suit/</w:t>
        </w:r>
      </w:hyperlink>
    </w:p>
    <w:p w14:paraId="1F9C5C71" w14:textId="77777777" w:rsidR="00BA3CDE" w:rsidRDefault="00BA3CDE" w:rsidP="00F326E5">
      <w:pPr>
        <w:rPr>
          <w:rFonts w:ascii="Arial Black" w:hAnsi="Arial Black"/>
          <w:b/>
          <w:sz w:val="24"/>
          <w:szCs w:val="24"/>
        </w:rPr>
      </w:pPr>
    </w:p>
    <w:p w14:paraId="29C73C68" w14:textId="1369E804" w:rsidR="00F04A7D" w:rsidRDefault="00F04A7D"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7</w:t>
      </w:r>
    </w:p>
    <w:p w14:paraId="7C3E1D52" w14:textId="77777777" w:rsidR="00282AF3" w:rsidRPr="006E476B" w:rsidRDefault="00282AF3" w:rsidP="00282AF3">
      <w:pPr>
        <w:spacing w:before="100" w:beforeAutospacing="1" w:after="100" w:afterAutospacing="1" w:line="240" w:lineRule="auto"/>
        <w:rPr>
          <w:rFonts w:ascii="Arial Black" w:eastAsia="Times New Roman" w:hAnsi="Arial Black"/>
          <w:sz w:val="28"/>
          <w:szCs w:val="28"/>
        </w:rPr>
      </w:pPr>
      <w:bookmarkStart w:id="385" w:name="_Hlk112723375"/>
      <w:r>
        <w:rPr>
          <w:rFonts w:ascii="Arial Black" w:eastAsia="Times New Roman" w:hAnsi="Arial Black"/>
          <w:sz w:val="28"/>
          <w:szCs w:val="28"/>
        </w:rPr>
        <w:t>RI: FD IN RECEIVERSHIP – “CAP” OVERTIME PAY IN CBA – FLSA VIOL. – BACKPAY &amp; LIQUIDATED DAMAGES $279,969</w:t>
      </w:r>
    </w:p>
    <w:bookmarkEnd w:id="385"/>
    <w:p w14:paraId="500A89DD" w14:textId="6CD5E528" w:rsidR="00F04A7D" w:rsidRDefault="00282AF3" w:rsidP="00282AF3">
      <w:pPr>
        <w:rPr>
          <w:rStyle w:val="Hyperlink"/>
          <w:rFonts w:ascii="Times New Roman" w:eastAsiaTheme="majorEastAsia" w:hAnsi="Times New Roman"/>
          <w:sz w:val="24"/>
          <w:szCs w:val="24"/>
        </w:rPr>
      </w:pPr>
      <w:r w:rsidRPr="00282AF3">
        <w:rPr>
          <w:rFonts w:ascii="Times New Roman" w:hAnsi="Times New Roman"/>
          <w:sz w:val="24"/>
          <w:szCs w:val="24"/>
        </w:rPr>
        <w:t xml:space="preserve">On Aug. 19, 2022, in </w:t>
      </w:r>
      <w:r w:rsidRPr="00282AF3">
        <w:rPr>
          <w:rFonts w:ascii="Times New Roman" w:hAnsi="Times New Roman"/>
          <w:sz w:val="24"/>
          <w:szCs w:val="24"/>
          <w:u w:val="single"/>
        </w:rPr>
        <w:t>James Almagno, on behalf of all similarly situated current and former employees v. Central Coventry Fire District</w:t>
      </w:r>
      <w:r w:rsidRPr="00282AF3">
        <w:rPr>
          <w:rFonts w:ascii="Times New Roman" w:hAnsi="Times New Roman"/>
          <w:sz w:val="24"/>
          <w:szCs w:val="24"/>
        </w:rPr>
        <w:t xml:space="preserve">, U.S. District Court Judge John J. McConnell, Jr., U.S. District Court of Rhode Island, the Judge held that cap on overtime pay in the CBA violated FLSA. “The CBA also caps overtime paid. Under Article III, Section 3 of the CBA, ‘when the </w:t>
      </w:r>
      <w:proofErr w:type="gramStart"/>
      <w:r w:rsidRPr="00282AF3">
        <w:rPr>
          <w:rFonts w:ascii="Times New Roman" w:hAnsi="Times New Roman"/>
          <w:sz w:val="24"/>
          <w:szCs w:val="24"/>
        </w:rPr>
        <w:t>District</w:t>
      </w:r>
      <w:proofErr w:type="gramEnd"/>
      <w:r w:rsidRPr="00282AF3">
        <w:rPr>
          <w:rFonts w:ascii="Times New Roman" w:hAnsi="Times New Roman"/>
          <w:sz w:val="24"/>
          <w:szCs w:val="24"/>
        </w:rPr>
        <w:t xml:space="preserve"> reaches One Hundred Twenty Thousand Dollars ($120,000.00) in overtime expenses (i.e., time-and-one-half pay) in any fiscal year...the </w:t>
      </w:r>
      <w:proofErr w:type="gramStart"/>
      <w:r w:rsidRPr="00282AF3">
        <w:rPr>
          <w:rFonts w:ascii="Times New Roman" w:hAnsi="Times New Roman"/>
          <w:sz w:val="24"/>
          <w:szCs w:val="24"/>
        </w:rPr>
        <w:t>District</w:t>
      </w:r>
      <w:proofErr w:type="gramEnd"/>
      <w:r w:rsidRPr="00282AF3">
        <w:rPr>
          <w:rFonts w:ascii="Times New Roman" w:hAnsi="Times New Roman"/>
          <w:sz w:val="24"/>
          <w:szCs w:val="24"/>
        </w:rPr>
        <w:t xml:space="preserve"> shall pay firefighters...their straight time hourly rate... for each hour actually worked in excess of 212 hours. *** Relying on the DOL's investigation, Plaintiffs now move for summary judgment, arguing that there are no disputed issues of material fact as to the </w:t>
      </w:r>
      <w:proofErr w:type="gramStart"/>
      <w:r w:rsidRPr="00282AF3">
        <w:rPr>
          <w:rFonts w:ascii="Times New Roman" w:hAnsi="Times New Roman"/>
          <w:sz w:val="24"/>
          <w:szCs w:val="24"/>
        </w:rPr>
        <w:t>District's</w:t>
      </w:r>
      <w:proofErr w:type="gramEnd"/>
      <w:r w:rsidRPr="00282AF3">
        <w:rPr>
          <w:rFonts w:ascii="Times New Roman" w:hAnsi="Times New Roman"/>
          <w:sz w:val="24"/>
          <w:szCs w:val="24"/>
        </w:rPr>
        <w:t xml:space="preserve"> liability or damages such that they are entitled to judgment. After a thorough review of the briefing and record, the Court GRANTS Plaintiffs Motion for Summary Judgment. *** Considering the statutory double damage requirement for all but “reasonable,” ‘good faith’ mistakes, the Court finds that Plaintiffs are entitled to liquidated damages of $279,969.68. See 29 U.S.C. §§ 216(b), 260.” </w:t>
      </w:r>
      <w:hyperlink r:id="rId1876" w:history="1">
        <w:r w:rsidRPr="00282AF3">
          <w:rPr>
            <w:rStyle w:val="Hyperlink"/>
            <w:rFonts w:ascii="Times New Roman" w:eastAsiaTheme="majorEastAsia" w:hAnsi="Times New Roman"/>
            <w:sz w:val="24"/>
            <w:szCs w:val="24"/>
          </w:rPr>
          <w:t>https://public.fastcase.com/J%2FJP6pdidelsXxEE4k%2BLMr0y9kFOAzIUnYfOqh5rzor5PqJTkzf5B1o34%2FZmTTqCNP3Iy4k13qLiNXQ3dhjTd98I5NdjhvTfnAcaeUtmaKs%3D</w:t>
        </w:r>
      </w:hyperlink>
    </w:p>
    <w:p w14:paraId="51FCFA9D" w14:textId="77777777" w:rsidR="00282AF3" w:rsidRPr="00C0439B" w:rsidRDefault="00282AF3" w:rsidP="00282AF3">
      <w:pPr>
        <w:spacing w:before="100" w:beforeAutospacing="1" w:after="100" w:afterAutospacing="1" w:line="240" w:lineRule="auto"/>
        <w:rPr>
          <w:rFonts w:ascii="Times New Roman" w:eastAsia="Times New Roman" w:hAnsi="Times New Roman"/>
          <w:b/>
          <w:bCs/>
          <w:sz w:val="24"/>
          <w:szCs w:val="24"/>
        </w:rPr>
      </w:pPr>
      <w:r w:rsidRPr="00C0439B">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Fire Department and the Union </w:t>
      </w:r>
      <w:proofErr w:type="spellStart"/>
      <w:r>
        <w:rPr>
          <w:rFonts w:ascii="Times New Roman" w:eastAsia="Times New Roman" w:hAnsi="Times New Roman"/>
          <w:b/>
          <w:bCs/>
          <w:sz w:val="24"/>
          <w:szCs w:val="24"/>
        </w:rPr>
        <w:t>can not</w:t>
      </w:r>
      <w:proofErr w:type="spellEnd"/>
      <w:r>
        <w:rPr>
          <w:rFonts w:ascii="Times New Roman" w:eastAsia="Times New Roman" w:hAnsi="Times New Roman"/>
          <w:b/>
          <w:bCs/>
          <w:sz w:val="24"/>
          <w:szCs w:val="24"/>
        </w:rPr>
        <w:t xml:space="preserve"> agree to “cap” overtime pay in violation of the FLSA. </w:t>
      </w:r>
    </w:p>
    <w:p w14:paraId="71273AE4" w14:textId="77777777" w:rsidR="00282AF3" w:rsidRPr="003F16DC" w:rsidRDefault="00282AF3" w:rsidP="00282AF3">
      <w:pPr>
        <w:pStyle w:val="Heading1"/>
        <w:ind w:left="720"/>
        <w:rPr>
          <w:b w:val="0"/>
          <w:bCs w:val="0"/>
          <w:sz w:val="24"/>
          <w:szCs w:val="24"/>
        </w:rPr>
      </w:pPr>
      <w:r w:rsidRPr="00BD1685">
        <w:rPr>
          <w:b w:val="0"/>
          <w:bCs w:val="0"/>
          <w:sz w:val="24"/>
          <w:szCs w:val="24"/>
        </w:rPr>
        <w:t xml:space="preserve">Note: See article, Oct. 22, 2020, Central Coventry firefighters sue, claiming district stiffed them on overtime. </w:t>
      </w:r>
      <w:hyperlink r:id="rId1877" w:history="1">
        <w:r w:rsidRPr="004073E4">
          <w:rPr>
            <w:rStyle w:val="Hyperlink"/>
            <w:rFonts w:eastAsiaTheme="majorEastAsia"/>
            <w:b w:val="0"/>
            <w:bCs w:val="0"/>
            <w:sz w:val="24"/>
            <w:szCs w:val="24"/>
          </w:rPr>
          <w:t>https://www.providencejournal.com/story/news/courts/2020/10/20/central-coventry-firefighters-say-district-stiffed-them-overtime/5990213002/</w:t>
        </w:r>
      </w:hyperlink>
      <w:r w:rsidRPr="004073E4">
        <w:rPr>
          <w:b w:val="0"/>
          <w:bCs w:val="0"/>
          <w:sz w:val="24"/>
          <w:szCs w:val="24"/>
        </w:rPr>
        <w:t xml:space="preserve"> </w:t>
      </w:r>
      <w:r w:rsidRPr="004073E4">
        <w:rPr>
          <w:rStyle w:val="Strong"/>
          <w:sz w:val="24"/>
          <w:szCs w:val="24"/>
        </w:rPr>
        <w:t>“The suit follows</w:t>
      </w:r>
      <w:r w:rsidRPr="004073E4">
        <w:rPr>
          <w:b w:val="0"/>
          <w:bCs w:val="0"/>
          <w:sz w:val="24"/>
          <w:szCs w:val="24"/>
        </w:rPr>
        <w:t xml:space="preserve"> a U.S. Department of Labor investigation, launched in 2018, that </w:t>
      </w:r>
      <w:r w:rsidRPr="00BD1685">
        <w:rPr>
          <w:b w:val="0"/>
          <w:bCs w:val="0"/>
          <w:sz w:val="24"/>
          <w:szCs w:val="24"/>
        </w:rPr>
        <w:t>found the district owed $139,484 in unpaid overtime to 32 employees accrued from 2016 through 2018.</w:t>
      </w:r>
      <w:r>
        <w:rPr>
          <w:b w:val="0"/>
          <w:bCs w:val="0"/>
          <w:sz w:val="24"/>
          <w:szCs w:val="24"/>
        </w:rPr>
        <w:t xml:space="preserve"> *** </w:t>
      </w:r>
      <w:r w:rsidRPr="003F16DC">
        <w:rPr>
          <w:rStyle w:val="Strong"/>
          <w:sz w:val="24"/>
          <w:szCs w:val="24"/>
        </w:rPr>
        <w:t>The lawsuit is</w:t>
      </w:r>
      <w:r w:rsidRPr="003F16DC">
        <w:rPr>
          <w:b w:val="0"/>
          <w:bCs w:val="0"/>
          <w:sz w:val="24"/>
          <w:szCs w:val="24"/>
        </w:rPr>
        <w:t xml:space="preserve"> yet another chapter in the district’s sometimes-strained relationship with its firefighters. The union and the district were long mired in the courts after the district’s financial troubles surfaced in 2012 and it was taken into receivership by the state.</w:t>
      </w:r>
      <w:r>
        <w:rPr>
          <w:b w:val="0"/>
          <w:bCs w:val="0"/>
          <w:sz w:val="24"/>
          <w:szCs w:val="24"/>
        </w:rPr>
        <w:t>”</w:t>
      </w:r>
    </w:p>
    <w:p w14:paraId="0B839522" w14:textId="77777777" w:rsidR="00282AF3" w:rsidRPr="00282AF3" w:rsidRDefault="00282AF3" w:rsidP="00282AF3">
      <w:pPr>
        <w:rPr>
          <w:rFonts w:ascii="Times New Roman" w:hAnsi="Times New Roman"/>
          <w:b/>
          <w:sz w:val="24"/>
          <w:szCs w:val="24"/>
        </w:rPr>
      </w:pPr>
    </w:p>
    <w:p w14:paraId="5334B0E2" w14:textId="77777777" w:rsidR="00F04A7D" w:rsidRDefault="00F04A7D" w:rsidP="00F326E5">
      <w:pPr>
        <w:rPr>
          <w:rFonts w:ascii="Arial Black" w:hAnsi="Arial Black"/>
          <w:b/>
          <w:sz w:val="24"/>
          <w:szCs w:val="24"/>
        </w:rPr>
      </w:pPr>
    </w:p>
    <w:p w14:paraId="6F3F7015" w14:textId="44D402BA" w:rsidR="00C67B2A" w:rsidRDefault="00C67B2A"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6</w:t>
      </w:r>
    </w:p>
    <w:p w14:paraId="2AC60FE0" w14:textId="77777777" w:rsidR="00C67B2A" w:rsidRDefault="00C67B2A" w:rsidP="00C67B2A">
      <w:pPr>
        <w:pStyle w:val="NormalWeb"/>
        <w:rPr>
          <w:rFonts w:ascii="Arial Black" w:hAnsi="Arial Black"/>
          <w:sz w:val="28"/>
          <w:szCs w:val="28"/>
        </w:rPr>
      </w:pPr>
      <w:r>
        <w:rPr>
          <w:rFonts w:ascii="Arial Black" w:hAnsi="Arial Black"/>
          <w:sz w:val="28"/>
          <w:szCs w:val="28"/>
        </w:rPr>
        <w:t xml:space="preserve">PA: FIRST DEPUTY CHIEF – 1996 RE-CLASSIFIED AS “EXEMPT” - LAWSUIT TO PROCEED – JURY DECISION </w:t>
      </w:r>
    </w:p>
    <w:p w14:paraId="0B5BD9B9" w14:textId="77777777" w:rsidR="00C67B2A" w:rsidRDefault="00C67B2A" w:rsidP="00C67B2A">
      <w:pPr>
        <w:pStyle w:val="NormalWeb"/>
      </w:pPr>
      <w:r>
        <w:t xml:space="preserve">On Oct. 27, 2021, in </w:t>
      </w:r>
      <w:r w:rsidRPr="00BA1555">
        <w:rPr>
          <w:u w:val="single"/>
        </w:rPr>
        <w:t>Gary Mogel v. City of Reading</w:t>
      </w:r>
      <w:r>
        <w:t xml:space="preserve">, U.S. District Court Judge John M. Gallagher, U.S. District Court for Eastern District of Pennsylvania, denied motions for summary judgment by both the plaintiff and the city, and will have a jury decide if there has been a violation of FLSA.  The Court did hold that if the plaintiff does win, he is entitled to liquidated damages (double amount of back pay) since the City failed to show it contacted U.S. Department of Labor or consulted legal counsel when in 1996 it stopped paying overtime to First Chiefs. </w:t>
      </w:r>
    </w:p>
    <w:p w14:paraId="5DBC3D69"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607549">
        <w:rPr>
          <w:rFonts w:ascii="Times New Roman" w:hAnsi="Times New Roman"/>
          <w:sz w:val="24"/>
          <w:szCs w:val="24"/>
        </w:rPr>
        <w:t>In sum, each party has produced evidence that could persuade a jury to resolve the exemption issue in its favor. Since there remains a genuine dispute as to what Plaintiff's primary duty was, it would be inappropriate to enter summary judgment for either party on this issue.</w:t>
      </w:r>
    </w:p>
    <w:p w14:paraId="198CCF9F"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05BE82" w14:textId="77777777" w:rsidR="00C67B2A" w:rsidRDefault="00C67B2A" w:rsidP="00C67B2A">
      <w:pPr>
        <w:spacing w:before="100" w:beforeAutospacing="1" w:after="100" w:afterAutospacing="1" w:line="240" w:lineRule="auto"/>
        <w:ind w:left="720"/>
        <w:rPr>
          <w:rFonts w:ascii="Times New Roman" w:hAnsi="Times New Roman"/>
          <w:sz w:val="24"/>
          <w:szCs w:val="24"/>
        </w:rPr>
      </w:pPr>
      <w:r w:rsidRPr="00607549">
        <w:rPr>
          <w:rFonts w:ascii="Times New Roman" w:hAnsi="Times New Roman"/>
          <w:sz w:val="24"/>
          <w:szCs w:val="24"/>
        </w:rPr>
        <w:t xml:space="preserve">Defendant argues that caselaw from other circuit courts, the Department of Labor's regulations, and a Department of Labor opinion letter comport with Defendant's compensation scheme, and Defendant asks the Court to infer from the mere existence of these authorities that Defendant relied on them in good faith. </w:t>
      </w:r>
      <w:proofErr w:type="spellStart"/>
      <w:r w:rsidRPr="00607549">
        <w:rPr>
          <w:rFonts w:ascii="Times New Roman" w:hAnsi="Times New Roman"/>
          <w:sz w:val="24"/>
          <w:szCs w:val="24"/>
        </w:rPr>
        <w:t>Def.'s</w:t>
      </w:r>
      <w:proofErr w:type="spellEnd"/>
      <w:r w:rsidRPr="00607549">
        <w:rPr>
          <w:rFonts w:ascii="Times New Roman" w:hAnsi="Times New Roman"/>
          <w:sz w:val="24"/>
          <w:szCs w:val="24"/>
        </w:rPr>
        <w:t xml:space="preserve"> Mem. Law Opp. Pl.'s Mot. Summ. J. at 18. But Defendant has not produced any evidence that it </w:t>
      </w:r>
      <w:proofErr w:type="gramStart"/>
      <w:r w:rsidRPr="00607549">
        <w:rPr>
          <w:rFonts w:ascii="Times New Roman" w:hAnsi="Times New Roman"/>
          <w:sz w:val="24"/>
          <w:szCs w:val="24"/>
        </w:rPr>
        <w:t>actually reviewed</w:t>
      </w:r>
      <w:proofErr w:type="gramEnd"/>
      <w:r w:rsidRPr="00607549">
        <w:rPr>
          <w:rFonts w:ascii="Times New Roman" w:hAnsi="Times New Roman"/>
          <w:sz w:val="24"/>
          <w:szCs w:val="24"/>
        </w:rPr>
        <w:t xml:space="preserve"> or was aware of these authorities when it decided to stop paying First Deputies overtime or at any point thereafter. While these authorities might support a conclusion that Defendant had a reasonable basis to change compensation schemes, they cannot support a finding of good faith unless Defendant can show that Defendant </w:t>
      </w:r>
      <w:proofErr w:type="gramStart"/>
      <w:r w:rsidRPr="00607549">
        <w:rPr>
          <w:rFonts w:ascii="Times New Roman" w:hAnsi="Times New Roman"/>
          <w:sz w:val="24"/>
          <w:szCs w:val="24"/>
        </w:rPr>
        <w:t>actually consulted</w:t>
      </w:r>
      <w:proofErr w:type="gramEnd"/>
      <w:r w:rsidRPr="00607549">
        <w:rPr>
          <w:rFonts w:ascii="Times New Roman" w:hAnsi="Times New Roman"/>
          <w:sz w:val="24"/>
          <w:szCs w:val="24"/>
        </w:rPr>
        <w:t xml:space="preserve"> them</w:t>
      </w:r>
      <w:r>
        <w:rPr>
          <w:rFonts w:ascii="Times New Roman" w:hAnsi="Times New Roman"/>
          <w:sz w:val="24"/>
          <w:szCs w:val="24"/>
        </w:rPr>
        <w:t xml:space="preserve">…. </w:t>
      </w:r>
      <w:r w:rsidRPr="00607549">
        <w:rPr>
          <w:rFonts w:ascii="Times New Roman" w:hAnsi="Times New Roman"/>
          <w:sz w:val="24"/>
          <w:szCs w:val="24"/>
        </w:rPr>
        <w:t>It is yet to be determined whether Defendant's compensation scheme violated the FLSA. But if a jury finds that it did, then Plaintiff will be entitled to liquidated damages.</w:t>
      </w:r>
      <w:r>
        <w:rPr>
          <w:rFonts w:ascii="Times New Roman" w:hAnsi="Times New Roman"/>
          <w:sz w:val="24"/>
          <w:szCs w:val="24"/>
        </w:rPr>
        <w:t xml:space="preserve">” </w:t>
      </w:r>
      <w:hyperlink r:id="rId1878" w:history="1">
        <w:r w:rsidRPr="009545D0">
          <w:rPr>
            <w:rStyle w:val="Hyperlink"/>
            <w:sz w:val="24"/>
            <w:szCs w:val="24"/>
          </w:rPr>
          <w:t>https://public.fastcase.com/9SKwsfNqTc6OieYDhNMyM6wIjV%2FgrP6%2B9MDXlv1tVkNXweOaDt%2BbGPgPJ0OsLFYAPgMRGXfDo03cnu2EwM1JQQOl%2Bf0LG6cX5zSOobt1xqY%3D</w:t>
        </w:r>
      </w:hyperlink>
      <w:r>
        <w:rPr>
          <w:rFonts w:ascii="Times New Roman" w:hAnsi="Times New Roman"/>
          <w:sz w:val="24"/>
          <w:szCs w:val="24"/>
        </w:rPr>
        <w:t xml:space="preserve"> </w:t>
      </w:r>
    </w:p>
    <w:p w14:paraId="74DFD987" w14:textId="77777777" w:rsidR="00C67B2A" w:rsidRPr="00607549" w:rsidRDefault="00C67B2A" w:rsidP="00C67B2A">
      <w:pPr>
        <w:spacing w:before="100" w:beforeAutospacing="1" w:after="100" w:afterAutospacing="1" w:line="240" w:lineRule="auto"/>
        <w:rPr>
          <w:rFonts w:ascii="Times New Roman" w:hAnsi="Times New Roman"/>
          <w:b/>
          <w:bCs/>
          <w:sz w:val="24"/>
          <w:szCs w:val="24"/>
        </w:rPr>
      </w:pPr>
      <w:r w:rsidRPr="00607549">
        <w:rPr>
          <w:rFonts w:ascii="Times New Roman" w:hAnsi="Times New Roman"/>
          <w:b/>
          <w:bCs/>
          <w:sz w:val="24"/>
          <w:szCs w:val="24"/>
        </w:rPr>
        <w:t>Legal Lesson Learned:</w:t>
      </w:r>
      <w:r>
        <w:rPr>
          <w:rFonts w:ascii="Times New Roman" w:hAnsi="Times New Roman"/>
          <w:b/>
          <w:bCs/>
          <w:sz w:val="24"/>
          <w:szCs w:val="24"/>
        </w:rPr>
        <w:t xml:space="preserve"> If a FD is going to re-classify officers as “exempt” it is wise to consult with legal counsel or the U.S. Department of Labor to prove you acted in “good faith” to avoid liquidated damages. </w:t>
      </w:r>
    </w:p>
    <w:p w14:paraId="13D6995C" w14:textId="184E075B" w:rsidR="00C67B2A" w:rsidRDefault="00C67B2A"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5</w:t>
      </w:r>
    </w:p>
    <w:p w14:paraId="3ABABD46" w14:textId="77777777" w:rsidR="00C67B2A" w:rsidRDefault="00C67B2A" w:rsidP="00C67B2A">
      <w:pPr>
        <w:rPr>
          <w:rFonts w:ascii="Arial Black" w:eastAsia="Times New Roman" w:hAnsi="Arial Black"/>
          <w:sz w:val="28"/>
          <w:szCs w:val="28"/>
        </w:rPr>
      </w:pPr>
      <w:r>
        <w:rPr>
          <w:rFonts w:ascii="Arial Black" w:eastAsia="Times New Roman" w:hAnsi="Arial Black"/>
          <w:sz w:val="28"/>
          <w:szCs w:val="28"/>
        </w:rPr>
        <w:t>OH: VILLAGE FD FAILED TO PAY ANY OVERTIME – FF GET $25K BACK PAY – DOUBLED LIQUIDATED DAMAGES - $50K</w:t>
      </w:r>
    </w:p>
    <w:p w14:paraId="28FC0810" w14:textId="77777777" w:rsidR="00C67B2A" w:rsidRDefault="00C67B2A" w:rsidP="00C67B2A">
      <w:pPr>
        <w:rPr>
          <w:rFonts w:ascii="Times New Roman" w:eastAsia="Times New Roman" w:hAnsi="Times New Roman"/>
          <w:sz w:val="24"/>
          <w:szCs w:val="24"/>
        </w:rPr>
      </w:pPr>
      <w:r>
        <w:rPr>
          <w:rFonts w:ascii="Times New Roman" w:eastAsia="Times New Roman" w:hAnsi="Times New Roman"/>
          <w:sz w:val="24"/>
          <w:szCs w:val="24"/>
        </w:rPr>
        <w:t xml:space="preserve">On Oct. 26, 2021, in </w:t>
      </w:r>
      <w:r w:rsidRPr="00485145">
        <w:rPr>
          <w:rFonts w:ascii="Times New Roman" w:eastAsia="Times New Roman" w:hAnsi="Times New Roman"/>
          <w:sz w:val="24"/>
          <w:szCs w:val="24"/>
          <w:u w:val="single"/>
        </w:rPr>
        <w:t>David Vance v. Village of Highland Hills</w:t>
      </w:r>
      <w:r>
        <w:rPr>
          <w:rFonts w:ascii="Times New Roman" w:eastAsia="Times New Roman" w:hAnsi="Times New Roman"/>
          <w:sz w:val="24"/>
          <w:szCs w:val="24"/>
        </w:rPr>
        <w:t>, the U.S. Court of Appeals for 6</w:t>
      </w:r>
      <w:r w:rsidRPr="00485145">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(Cincinnati), held (3 to 0) in unpublished opinion that since the Fire Chief never paid any firefighters overtime, and never established a 28-day pay period, the U.S. District Court judge properly held that the firefighter is entitled to $50,160.90.</w:t>
      </w:r>
    </w:p>
    <w:p w14:paraId="67CE1B49" w14:textId="77777777" w:rsidR="00C67B2A" w:rsidRDefault="00C67B2A" w:rsidP="00C67B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DA1574">
        <w:rPr>
          <w:rFonts w:ascii="Times New Roman" w:eastAsia="Times New Roman" w:hAnsi="Times New Roman"/>
          <w:sz w:val="24"/>
          <w:szCs w:val="24"/>
        </w:rPr>
        <w:t xml:space="preserve">The Village </w:t>
      </w:r>
      <w:r>
        <w:rPr>
          <w:rFonts w:ascii="Times New Roman" w:eastAsia="Times New Roman" w:hAnsi="Times New Roman"/>
          <w:sz w:val="24"/>
          <w:szCs w:val="24"/>
        </w:rPr>
        <w:t>‘</w:t>
      </w:r>
      <w:r w:rsidRPr="00DA1574">
        <w:rPr>
          <w:rFonts w:ascii="Times New Roman" w:eastAsia="Times New Roman" w:hAnsi="Times New Roman"/>
          <w:sz w:val="24"/>
          <w:szCs w:val="24"/>
        </w:rPr>
        <w:t>bears the burden of proving it adopted a work period that brings it within the rule of § 207(k).</w:t>
      </w:r>
      <w:r>
        <w:rPr>
          <w:rFonts w:ascii="Times New Roman" w:eastAsia="Times New Roman" w:hAnsi="Times New Roman"/>
          <w:sz w:val="24"/>
          <w:szCs w:val="24"/>
        </w:rPr>
        <w:t xml:space="preserve">’ </w:t>
      </w:r>
      <w:r w:rsidRPr="00DA1574">
        <w:rPr>
          <w:rFonts w:ascii="Times New Roman" w:eastAsia="Times New Roman" w:hAnsi="Times New Roman"/>
          <w:i/>
          <w:iCs/>
          <w:sz w:val="24"/>
          <w:szCs w:val="24"/>
        </w:rPr>
        <w:t>Brock</w:t>
      </w:r>
      <w:r w:rsidRPr="00DA1574">
        <w:rPr>
          <w:rFonts w:ascii="Times New Roman" w:eastAsia="Times New Roman" w:hAnsi="Times New Roman"/>
          <w:sz w:val="24"/>
          <w:szCs w:val="24"/>
        </w:rPr>
        <w:t xml:space="preserve">, 236 F.3d at 810. Based on the stipulated facts, the district court found that the Village did not meet this burden. The Village did provide evidence that its personnel manual calls for a 28-day pay period for public safety employees and for the payment of overtime, but both parties stipulated that this policy was not applied to Vance. The fire chief himself acknowledged this, noting both that a previous fire chief </w:t>
      </w:r>
      <w:r>
        <w:rPr>
          <w:rFonts w:ascii="Times New Roman" w:eastAsia="Times New Roman" w:hAnsi="Times New Roman"/>
          <w:sz w:val="24"/>
          <w:szCs w:val="24"/>
        </w:rPr>
        <w:t>‘</w:t>
      </w:r>
      <w:r w:rsidRPr="00DA1574">
        <w:rPr>
          <w:rFonts w:ascii="Times New Roman" w:eastAsia="Times New Roman" w:hAnsi="Times New Roman"/>
          <w:sz w:val="24"/>
          <w:szCs w:val="24"/>
        </w:rPr>
        <w:t>used to tell us, you guys can work as much as you want, but you're not going to get paid overtime . . .</w:t>
      </w:r>
      <w:r>
        <w:rPr>
          <w:rFonts w:ascii="Times New Roman" w:eastAsia="Times New Roman" w:hAnsi="Times New Roman"/>
          <w:sz w:val="24"/>
          <w:szCs w:val="24"/>
        </w:rPr>
        <w:t>’</w:t>
      </w:r>
      <w:r w:rsidRPr="00DA1574">
        <w:rPr>
          <w:rFonts w:ascii="Times New Roman" w:eastAsia="Times New Roman" w:hAnsi="Times New Roman"/>
          <w:sz w:val="24"/>
          <w:szCs w:val="24"/>
        </w:rPr>
        <w:t xml:space="preserve"> and that </w:t>
      </w:r>
      <w:r>
        <w:rPr>
          <w:rFonts w:ascii="Times New Roman" w:eastAsia="Times New Roman" w:hAnsi="Times New Roman"/>
          <w:sz w:val="24"/>
          <w:szCs w:val="24"/>
        </w:rPr>
        <w:t>‘</w:t>
      </w:r>
      <w:r w:rsidRPr="00DA1574">
        <w:rPr>
          <w:rFonts w:ascii="Times New Roman" w:eastAsia="Times New Roman" w:hAnsi="Times New Roman"/>
          <w:sz w:val="24"/>
          <w:szCs w:val="24"/>
        </w:rPr>
        <w:t>[t]o my knowledge nobody was paid overtime within our department.</w:t>
      </w:r>
      <w:r>
        <w:rPr>
          <w:rFonts w:ascii="Times New Roman" w:eastAsia="Times New Roman" w:hAnsi="Times New Roman"/>
          <w:sz w:val="24"/>
          <w:szCs w:val="24"/>
        </w:rPr>
        <w:t>’</w:t>
      </w:r>
      <w:r w:rsidRPr="00DA1574">
        <w:rPr>
          <w:rFonts w:ascii="Times New Roman" w:eastAsia="Times New Roman" w:hAnsi="Times New Roman"/>
          <w:sz w:val="24"/>
          <w:szCs w:val="24"/>
        </w:rPr>
        <w:t xml:space="preserve"> This led the district court to find that the Village </w:t>
      </w:r>
      <w:r>
        <w:rPr>
          <w:rFonts w:ascii="Times New Roman" w:eastAsia="Times New Roman" w:hAnsi="Times New Roman"/>
          <w:sz w:val="24"/>
          <w:szCs w:val="24"/>
        </w:rPr>
        <w:t>‘</w:t>
      </w:r>
      <w:r w:rsidRPr="00DA1574">
        <w:rPr>
          <w:rFonts w:ascii="Times New Roman" w:eastAsia="Times New Roman" w:hAnsi="Times New Roman"/>
          <w:sz w:val="24"/>
          <w:szCs w:val="24"/>
        </w:rPr>
        <w:t>did not establish a 28-day work period as the § 207(k) exemption required[, ]</w:t>
      </w:r>
      <w:r>
        <w:rPr>
          <w:rFonts w:ascii="Times New Roman" w:eastAsia="Times New Roman" w:hAnsi="Times New Roman"/>
          <w:sz w:val="24"/>
          <w:szCs w:val="24"/>
        </w:rPr>
        <w:t>’</w:t>
      </w:r>
      <w:r w:rsidRPr="00DA1574">
        <w:rPr>
          <w:rFonts w:ascii="Times New Roman" w:eastAsia="Times New Roman" w:hAnsi="Times New Roman"/>
          <w:sz w:val="24"/>
          <w:szCs w:val="24"/>
        </w:rPr>
        <w:t xml:space="preserve"> and </w:t>
      </w:r>
      <w:r>
        <w:rPr>
          <w:rFonts w:ascii="Times New Roman" w:eastAsia="Times New Roman" w:hAnsi="Times New Roman"/>
          <w:sz w:val="24"/>
          <w:szCs w:val="24"/>
        </w:rPr>
        <w:t>‘</w:t>
      </w:r>
      <w:r w:rsidRPr="00DA1574">
        <w:rPr>
          <w:rFonts w:ascii="Times New Roman" w:eastAsia="Times New Roman" w:hAnsi="Times New Roman"/>
          <w:sz w:val="24"/>
          <w:szCs w:val="24"/>
        </w:rPr>
        <w:t>[t]here is no indication that the fire department ever actually followed the employee manual policy with respect to [Vance].</w:t>
      </w:r>
      <w:r>
        <w:rPr>
          <w:rFonts w:ascii="Times New Roman" w:eastAsia="Times New Roman" w:hAnsi="Times New Roman"/>
          <w:sz w:val="24"/>
          <w:szCs w:val="24"/>
        </w:rPr>
        <w:t>’</w:t>
      </w:r>
      <w:r w:rsidRPr="00DA1574">
        <w:rPr>
          <w:rFonts w:ascii="Times New Roman" w:eastAsia="Times New Roman" w:hAnsi="Times New Roman"/>
          <w:sz w:val="24"/>
          <w:szCs w:val="24"/>
        </w:rPr>
        <w:t xml:space="preserve"> </w:t>
      </w:r>
      <w:r w:rsidRPr="00DA1574">
        <w:rPr>
          <w:rFonts w:ascii="Times New Roman" w:eastAsia="Times New Roman" w:hAnsi="Times New Roman"/>
          <w:i/>
          <w:iCs/>
          <w:sz w:val="24"/>
          <w:szCs w:val="24"/>
        </w:rPr>
        <w:t>Vance</w:t>
      </w:r>
      <w:r w:rsidRPr="00DA1574">
        <w:rPr>
          <w:rFonts w:ascii="Times New Roman" w:eastAsia="Times New Roman" w:hAnsi="Times New Roman"/>
          <w:sz w:val="24"/>
          <w:szCs w:val="24"/>
        </w:rPr>
        <w:t>, 2020 WL 7490100, at *2-3. This conclusion is well-supported by the record, and it was not erroneous. We affirm.</w:t>
      </w:r>
      <w:r>
        <w:rPr>
          <w:rFonts w:ascii="Times New Roman" w:eastAsia="Times New Roman" w:hAnsi="Times New Roman"/>
          <w:sz w:val="24"/>
          <w:szCs w:val="24"/>
        </w:rPr>
        <w:t xml:space="preserve">”  </w:t>
      </w:r>
      <w:hyperlink r:id="rId1879" w:history="1">
        <w:r w:rsidRPr="009545D0">
          <w:rPr>
            <w:rStyle w:val="Hyperlink"/>
            <w:sz w:val="24"/>
            <w:szCs w:val="24"/>
          </w:rPr>
          <w:t>https://www.opn.ca6.uscourts.gov/opinions.pdf/21a0485n-06.pdf</w:t>
        </w:r>
      </w:hyperlink>
      <w:r>
        <w:rPr>
          <w:rFonts w:ascii="Times New Roman" w:eastAsia="Times New Roman" w:hAnsi="Times New Roman"/>
          <w:sz w:val="24"/>
          <w:szCs w:val="24"/>
        </w:rPr>
        <w:t xml:space="preserve"> </w:t>
      </w:r>
    </w:p>
    <w:p w14:paraId="0CEE2F0D" w14:textId="77777777" w:rsidR="00C67B2A" w:rsidRPr="00DA1574" w:rsidRDefault="00C67B2A" w:rsidP="00C67B2A">
      <w:pPr>
        <w:spacing w:before="100" w:beforeAutospacing="1" w:after="100" w:afterAutospacing="1" w:line="240" w:lineRule="auto"/>
        <w:jc w:val="both"/>
        <w:rPr>
          <w:rFonts w:ascii="Times New Roman" w:eastAsia="Times New Roman" w:hAnsi="Times New Roman"/>
          <w:b/>
          <w:bCs/>
          <w:sz w:val="24"/>
          <w:szCs w:val="24"/>
        </w:rPr>
      </w:pPr>
      <w:r w:rsidRPr="00DA1574">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Under the FLSA, liquidated damages are designed to punish an employer who ignores the law. </w:t>
      </w:r>
    </w:p>
    <w:p w14:paraId="288FBE25" w14:textId="77777777" w:rsidR="00C67B2A" w:rsidRPr="00DA1574" w:rsidRDefault="00C67B2A" w:rsidP="00C67B2A">
      <w:pPr>
        <w:spacing w:before="100" w:beforeAutospacing="1" w:after="100" w:afterAutospacing="1" w:line="240" w:lineRule="auto"/>
        <w:ind w:left="720"/>
        <w:rPr>
          <w:rFonts w:ascii="Times New Roman" w:eastAsia="Times New Roman" w:hAnsi="Times New Roman"/>
          <w:b/>
          <w:bCs/>
          <w:sz w:val="24"/>
          <w:szCs w:val="24"/>
        </w:rPr>
      </w:pPr>
      <w:r w:rsidRPr="00DA1574">
        <w:rPr>
          <w:rFonts w:ascii="Times New Roman" w:eastAsia="Times New Roman" w:hAnsi="Times New Roman"/>
          <w:sz w:val="24"/>
          <w:szCs w:val="24"/>
        </w:rPr>
        <w:t xml:space="preserve">Note: Good faith exception under FLSA: </w:t>
      </w:r>
      <w:hyperlink r:id="rId1880" w:history="1">
        <w:r w:rsidRPr="009545D0">
          <w:rPr>
            <w:rStyle w:val="Hyperlink"/>
            <w:sz w:val="24"/>
            <w:szCs w:val="24"/>
          </w:rPr>
          <w:t>https://www.law.cornell.edu/uscode/text/29/260</w:t>
        </w:r>
      </w:hyperlink>
      <w:r>
        <w:rPr>
          <w:rFonts w:ascii="Times New Roman" w:eastAsia="Times New Roman" w:hAnsi="Times New Roman"/>
          <w:sz w:val="24"/>
          <w:szCs w:val="24"/>
        </w:rPr>
        <w:t xml:space="preserve"> </w:t>
      </w:r>
      <w:r>
        <w:rPr>
          <w:rFonts w:ascii="Times New Roman" w:hAnsi="Times New Roman"/>
          <w:sz w:val="24"/>
          <w:szCs w:val="24"/>
        </w:rPr>
        <w:t>“</w:t>
      </w:r>
      <w:r w:rsidRPr="00DA1574">
        <w:rPr>
          <w:rFonts w:ascii="Times New Roman" w:hAnsi="Times New Roman"/>
          <w:sz w:val="24"/>
          <w:szCs w:val="24"/>
        </w:rPr>
        <w:t xml:space="preserve">In any action commenced prior to or on or after </w:t>
      </w:r>
      <w:r w:rsidRPr="00DA1574">
        <w:rPr>
          <w:rStyle w:val="Date2"/>
          <w:rFonts w:ascii="Times New Roman" w:hAnsi="Times New Roman"/>
          <w:sz w:val="24"/>
          <w:szCs w:val="24"/>
        </w:rPr>
        <w:t>May 14, 1947</w:t>
      </w:r>
      <w:r w:rsidRPr="00DA1574">
        <w:rPr>
          <w:rFonts w:ascii="Times New Roman" w:hAnsi="Times New Roman"/>
          <w:sz w:val="24"/>
          <w:szCs w:val="24"/>
        </w:rPr>
        <w:t xml:space="preserve"> to recover unpaid minimum</w:t>
      </w:r>
      <w:hyperlink r:id="rId1881" w:history="1">
        <w:r w:rsidRPr="00DA1574">
          <w:rPr>
            <w:rStyle w:val="Hyperlink"/>
            <w:sz w:val="24"/>
            <w:szCs w:val="24"/>
          </w:rPr>
          <w:t xml:space="preserve"> wages,</w:t>
        </w:r>
      </w:hyperlink>
      <w:r w:rsidRPr="00DA1574">
        <w:rPr>
          <w:rFonts w:ascii="Times New Roman" w:hAnsi="Times New Roman"/>
          <w:sz w:val="24"/>
          <w:szCs w:val="24"/>
        </w:rPr>
        <w:t xml:space="preserve"> unpaid overtime compensation, or liquidated damages, under the </w:t>
      </w:r>
      <w:hyperlink r:id="rId1882" w:history="1">
        <w:r w:rsidRPr="00DA1574">
          <w:rPr>
            <w:rStyle w:val="Hyperlink"/>
            <w:sz w:val="24"/>
            <w:szCs w:val="24"/>
          </w:rPr>
          <w:t>Fair Labor Standards Act of 1938</w:t>
        </w:r>
      </w:hyperlink>
      <w:r w:rsidRPr="00DA1574">
        <w:rPr>
          <w:rFonts w:ascii="Times New Roman" w:hAnsi="Times New Roman"/>
          <w:sz w:val="24"/>
          <w:szCs w:val="24"/>
        </w:rPr>
        <w:t>, as amended [</w:t>
      </w:r>
      <w:hyperlink r:id="rId1883" w:history="1">
        <w:r w:rsidRPr="00DA1574">
          <w:rPr>
            <w:rStyle w:val="Hyperlink"/>
            <w:sz w:val="24"/>
            <w:szCs w:val="24"/>
          </w:rPr>
          <w:t>29 U.S.C. 201</w:t>
        </w:r>
      </w:hyperlink>
      <w:r w:rsidRPr="00DA1574">
        <w:rPr>
          <w:rFonts w:ascii="Times New Roman" w:hAnsi="Times New Roman"/>
          <w:sz w:val="24"/>
          <w:szCs w:val="24"/>
        </w:rPr>
        <w:t xml:space="preserve"> et seq.], if the</w:t>
      </w:r>
      <w:hyperlink r:id="rId1884" w:history="1">
        <w:r w:rsidRPr="00DA1574">
          <w:rPr>
            <w:rStyle w:val="Hyperlink"/>
            <w:sz w:val="24"/>
            <w:szCs w:val="24"/>
          </w:rPr>
          <w:t xml:space="preserve"> employer </w:t>
        </w:r>
      </w:hyperlink>
      <w:r w:rsidRPr="00DA1574">
        <w:rPr>
          <w:rFonts w:ascii="Times New Roman" w:hAnsi="Times New Roman"/>
          <w:sz w:val="24"/>
          <w:szCs w:val="24"/>
        </w:rPr>
        <w:t xml:space="preserve">shows to the satisfaction of the court that the act or omission giving rise to such action was in good faith and that he had reasonable grounds for believing that his act or omission was not a violation of the </w:t>
      </w:r>
      <w:hyperlink r:id="rId1885" w:history="1">
        <w:r w:rsidRPr="00DA1574">
          <w:rPr>
            <w:rStyle w:val="Hyperlink"/>
            <w:sz w:val="24"/>
            <w:szCs w:val="24"/>
          </w:rPr>
          <w:t>Fair Labor Standards Act of 1938</w:t>
        </w:r>
      </w:hyperlink>
      <w:r w:rsidRPr="00DA1574">
        <w:rPr>
          <w:rFonts w:ascii="Times New Roman" w:hAnsi="Times New Roman"/>
          <w:sz w:val="24"/>
          <w:szCs w:val="24"/>
        </w:rPr>
        <w:t xml:space="preserve">, as amended, the court may, in its sound discretion, award no liquidated damages or award any amount thereof not to exceed the amount specified in </w:t>
      </w:r>
      <w:hyperlink r:id="rId1886" w:history="1">
        <w:r w:rsidRPr="00DA1574">
          <w:rPr>
            <w:rStyle w:val="Hyperlink"/>
            <w:sz w:val="24"/>
            <w:szCs w:val="24"/>
          </w:rPr>
          <w:t>section 216 of this title</w:t>
        </w:r>
      </w:hyperlink>
      <w:r w:rsidRPr="00DA1574">
        <w:rPr>
          <w:rFonts w:ascii="Times New Roman" w:hAnsi="Times New Roman"/>
          <w:sz w:val="24"/>
          <w:szCs w:val="24"/>
        </w:rPr>
        <w:t>.</w:t>
      </w:r>
      <w:r>
        <w:rPr>
          <w:rFonts w:ascii="Times New Roman" w:hAnsi="Times New Roman"/>
          <w:sz w:val="24"/>
          <w:szCs w:val="24"/>
        </w:rPr>
        <w:t>”</w:t>
      </w:r>
    </w:p>
    <w:p w14:paraId="65E28ACE" w14:textId="77777777" w:rsidR="00C67B2A" w:rsidRDefault="00C67B2A" w:rsidP="00F326E5">
      <w:pPr>
        <w:rPr>
          <w:rFonts w:ascii="Arial Black" w:hAnsi="Arial Black"/>
          <w:b/>
          <w:sz w:val="24"/>
          <w:szCs w:val="24"/>
        </w:rPr>
      </w:pPr>
    </w:p>
    <w:p w14:paraId="4DF2F127" w14:textId="660C835F" w:rsidR="00C67B2A" w:rsidRDefault="00C67B2A" w:rsidP="00F326E5">
      <w:pPr>
        <w:rPr>
          <w:rFonts w:ascii="Arial Black" w:hAnsi="Arial Black"/>
          <w:b/>
          <w:sz w:val="24"/>
          <w:szCs w:val="24"/>
        </w:rPr>
      </w:pPr>
      <w:r>
        <w:rPr>
          <w:rFonts w:ascii="Arial Black" w:hAnsi="Arial Black"/>
          <w:b/>
          <w:sz w:val="24"/>
          <w:szCs w:val="24"/>
        </w:rPr>
        <w:t>11-</w:t>
      </w:r>
      <w:r w:rsidR="00885321">
        <w:rPr>
          <w:rFonts w:ascii="Arial Black" w:hAnsi="Arial Black"/>
          <w:b/>
          <w:sz w:val="24"/>
          <w:szCs w:val="24"/>
        </w:rPr>
        <w:t>3</w:t>
      </w:r>
      <w:r w:rsidR="00912048">
        <w:rPr>
          <w:rFonts w:ascii="Arial Black" w:hAnsi="Arial Black"/>
          <w:b/>
          <w:sz w:val="24"/>
          <w:szCs w:val="24"/>
        </w:rPr>
        <w:t>4</w:t>
      </w:r>
    </w:p>
    <w:p w14:paraId="6478C3D0" w14:textId="77777777" w:rsidR="00774A91" w:rsidRPr="002531E2" w:rsidRDefault="00774A91" w:rsidP="00774A91">
      <w:pPr>
        <w:spacing w:before="100" w:beforeAutospacing="1" w:after="100" w:afterAutospacing="1" w:line="240" w:lineRule="auto"/>
        <w:rPr>
          <w:rFonts w:ascii="Arial Black" w:hAnsi="Arial Black"/>
          <w:sz w:val="28"/>
          <w:szCs w:val="28"/>
        </w:rPr>
      </w:pPr>
      <w:r>
        <w:rPr>
          <w:rFonts w:ascii="Arial Black" w:hAnsi="Arial Black"/>
          <w:sz w:val="28"/>
          <w:szCs w:val="28"/>
        </w:rPr>
        <w:t>MO: FLSA VIOLATED – 450 FF – CITY PAID OVERTIME WITHOUT “REGULATE RATE” – CBA NOT DEFENSE</w:t>
      </w:r>
    </w:p>
    <w:p w14:paraId="07FCDE0E" w14:textId="77777777" w:rsidR="00774A91" w:rsidRPr="004E4533" w:rsidRDefault="00774A91" w:rsidP="00774A91">
      <w:pPr>
        <w:spacing w:before="100" w:beforeAutospacing="1" w:after="100" w:afterAutospacing="1" w:line="240" w:lineRule="auto"/>
        <w:ind w:left="90"/>
        <w:rPr>
          <w:rFonts w:ascii="Times New Roman" w:hAnsi="Times New Roman"/>
          <w:sz w:val="24"/>
          <w:szCs w:val="24"/>
        </w:rPr>
      </w:pPr>
      <w:r>
        <w:rPr>
          <w:rFonts w:ascii="Times New Roman" w:hAnsi="Times New Roman"/>
          <w:sz w:val="24"/>
          <w:szCs w:val="24"/>
        </w:rPr>
        <w:t xml:space="preserve">On September 29, 2021, in </w:t>
      </w:r>
      <w:r w:rsidRPr="002531E2">
        <w:rPr>
          <w:rFonts w:ascii="Times New Roman" w:hAnsi="Times New Roman"/>
          <w:sz w:val="24"/>
          <w:szCs w:val="24"/>
          <w:u w:val="single"/>
        </w:rPr>
        <w:t>Craig Adams, et al. v. City of Kansas City, Missouri</w:t>
      </w:r>
      <w:r>
        <w:rPr>
          <w:rFonts w:ascii="Times New Roman" w:hAnsi="Times New Roman"/>
          <w:sz w:val="24"/>
          <w:szCs w:val="24"/>
        </w:rPr>
        <w:t xml:space="preserve">, U.S. Magistrate Judge W. Brian Gaddy, U.S. District Court for District of Missouri (Western Division) granted summary judgment in this class action on behalf of 450 firefighters.  The </w:t>
      </w:r>
      <w:proofErr w:type="gramStart"/>
      <w:r>
        <w:rPr>
          <w:rFonts w:ascii="Times New Roman" w:hAnsi="Times New Roman"/>
          <w:sz w:val="24"/>
          <w:szCs w:val="24"/>
        </w:rPr>
        <w:t>City</w:t>
      </w:r>
      <w:proofErr w:type="gramEnd"/>
      <w:r>
        <w:rPr>
          <w:rFonts w:ascii="Times New Roman" w:hAnsi="Times New Roman"/>
          <w:sz w:val="24"/>
          <w:szCs w:val="24"/>
        </w:rPr>
        <w:t xml:space="preserve"> didn’t include their wage augments (such as for HAZMAT cert) in calculating their “regular rate of pay” for time they were working overtime, while they did include wage augments for FF non-overtime hours.  The City’s defense is that they were following the CBA.  </w:t>
      </w:r>
      <w:r w:rsidRPr="004E4533">
        <w:rPr>
          <w:rFonts w:ascii="Times New Roman" w:hAnsi="Times New Roman"/>
          <w:sz w:val="24"/>
          <w:szCs w:val="24"/>
        </w:rPr>
        <w:t>“The CBA pronounces the wage augments ‘shall not be regarded as wages.’ states that wage augments ‘shall not be considered wages.</w:t>
      </w:r>
      <w:r>
        <w:rPr>
          <w:rFonts w:ascii="Times New Roman" w:hAnsi="Times New Roman"/>
          <w:sz w:val="24"/>
          <w:szCs w:val="24"/>
        </w:rPr>
        <w:t>’</w:t>
      </w:r>
      <w:r w:rsidRPr="004E4533">
        <w:rPr>
          <w:rFonts w:ascii="Times New Roman" w:hAnsi="Times New Roman"/>
          <w:sz w:val="24"/>
          <w:szCs w:val="24"/>
        </w:rPr>
        <w:t xml:space="preserve">” </w:t>
      </w:r>
      <w:r>
        <w:rPr>
          <w:rFonts w:ascii="Times New Roman" w:hAnsi="Times New Roman"/>
          <w:sz w:val="24"/>
          <w:szCs w:val="24"/>
        </w:rPr>
        <w:t xml:space="preserve">The Court found that this is violation of FLSA. </w:t>
      </w:r>
    </w:p>
    <w:p w14:paraId="0ADF6A40" w14:textId="77777777" w:rsidR="00774A91" w:rsidRPr="00A37557" w:rsidRDefault="00774A91" w:rsidP="00774A9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A37557">
        <w:rPr>
          <w:rFonts w:ascii="Times New Roman" w:hAnsi="Times New Roman"/>
          <w:sz w:val="24"/>
          <w:szCs w:val="24"/>
        </w:rPr>
        <w:t xml:space="preserve">The </w:t>
      </w:r>
      <w:proofErr w:type="gramStart"/>
      <w:r w:rsidRPr="00A37557">
        <w:rPr>
          <w:rFonts w:ascii="Times New Roman" w:hAnsi="Times New Roman"/>
          <w:sz w:val="24"/>
          <w:szCs w:val="24"/>
        </w:rPr>
        <w:t>City</w:t>
      </w:r>
      <w:proofErr w:type="gramEnd"/>
      <w:r w:rsidRPr="00A37557">
        <w:rPr>
          <w:rFonts w:ascii="Times New Roman" w:hAnsi="Times New Roman"/>
          <w:sz w:val="24"/>
          <w:szCs w:val="24"/>
        </w:rPr>
        <w:t xml:space="preserve"> argues the firefighters are paid a salary, and the salary is intended to compensate the firefighters for working 49.5 hours per week</w:t>
      </w:r>
      <w:r>
        <w:rPr>
          <w:rFonts w:ascii="Times New Roman" w:hAnsi="Times New Roman"/>
          <w:sz w:val="24"/>
          <w:szCs w:val="24"/>
        </w:rPr>
        <w:t xml:space="preserve">…. </w:t>
      </w:r>
      <w:r w:rsidRPr="00A37557">
        <w:rPr>
          <w:rFonts w:ascii="Times New Roman" w:hAnsi="Times New Roman"/>
          <w:sz w:val="24"/>
          <w:szCs w:val="24"/>
        </w:rPr>
        <w:t xml:space="preserve">According to the City, if a firefighter </w:t>
      </w:r>
      <w:r>
        <w:rPr>
          <w:rFonts w:ascii="Times New Roman" w:hAnsi="Times New Roman"/>
          <w:sz w:val="24"/>
          <w:szCs w:val="24"/>
        </w:rPr>
        <w:t>‘</w:t>
      </w:r>
      <w:r w:rsidRPr="00A37557">
        <w:rPr>
          <w:rFonts w:ascii="Times New Roman" w:hAnsi="Times New Roman"/>
          <w:sz w:val="24"/>
          <w:szCs w:val="24"/>
        </w:rPr>
        <w:t>chooses to work beyond those 49.5 hours in a week,</w:t>
      </w:r>
      <w:r>
        <w:rPr>
          <w:rFonts w:ascii="Times New Roman" w:hAnsi="Times New Roman"/>
          <w:sz w:val="24"/>
          <w:szCs w:val="24"/>
        </w:rPr>
        <w:t>’</w:t>
      </w:r>
      <w:r w:rsidRPr="00A37557">
        <w:rPr>
          <w:rFonts w:ascii="Times New Roman" w:hAnsi="Times New Roman"/>
          <w:sz w:val="24"/>
          <w:szCs w:val="24"/>
        </w:rPr>
        <w:t xml:space="preserve"> the firefighter is paid the base hourly rate</w:t>
      </w:r>
      <w:r>
        <w:rPr>
          <w:rFonts w:ascii="Times New Roman" w:hAnsi="Times New Roman"/>
          <w:sz w:val="24"/>
          <w:szCs w:val="24"/>
        </w:rPr>
        <w:t xml:space="preserve">…. </w:t>
      </w:r>
      <w:r w:rsidRPr="00A37557">
        <w:rPr>
          <w:rFonts w:ascii="Times New Roman" w:hAnsi="Times New Roman"/>
          <w:sz w:val="24"/>
          <w:szCs w:val="24"/>
        </w:rPr>
        <w:t xml:space="preserve">The firefighter is not paid the wage augment because the wage augment </w:t>
      </w:r>
      <w:r>
        <w:rPr>
          <w:rFonts w:ascii="Times New Roman" w:hAnsi="Times New Roman"/>
          <w:sz w:val="24"/>
          <w:szCs w:val="24"/>
        </w:rPr>
        <w:t>‘</w:t>
      </w:r>
      <w:r w:rsidRPr="00A37557">
        <w:rPr>
          <w:rFonts w:ascii="Times New Roman" w:hAnsi="Times New Roman"/>
          <w:sz w:val="24"/>
          <w:szCs w:val="24"/>
        </w:rPr>
        <w:t>pay is only to be awarded in addition to the salary, not for hours worked beyond what the salary covers.</w:t>
      </w:r>
      <w:r>
        <w:rPr>
          <w:rFonts w:ascii="Times New Roman" w:hAnsi="Times New Roman"/>
          <w:sz w:val="24"/>
          <w:szCs w:val="24"/>
        </w:rPr>
        <w:t>’</w:t>
      </w:r>
      <w:r w:rsidRPr="00A37557">
        <w:rPr>
          <w:rFonts w:ascii="Times New Roman" w:hAnsi="Times New Roman"/>
          <w:sz w:val="24"/>
          <w:szCs w:val="24"/>
        </w:rPr>
        <w:t xml:space="preserve"> The City, however, cites no authority for this proposition</w:t>
      </w:r>
      <w:r>
        <w:rPr>
          <w:rFonts w:ascii="Times New Roman" w:hAnsi="Times New Roman"/>
          <w:sz w:val="24"/>
          <w:szCs w:val="24"/>
        </w:rPr>
        <w:t xml:space="preserve">…. </w:t>
      </w:r>
    </w:p>
    <w:p w14:paraId="37FBBE57" w14:textId="77777777" w:rsidR="00774A91" w:rsidRPr="00A37557" w:rsidRDefault="00774A91" w:rsidP="00774A91">
      <w:pPr>
        <w:spacing w:before="100" w:beforeAutospacing="1" w:after="100" w:afterAutospacing="1" w:line="240" w:lineRule="auto"/>
        <w:ind w:left="720"/>
        <w:rPr>
          <w:rFonts w:ascii="Times New Roman" w:hAnsi="Times New Roman"/>
          <w:sz w:val="24"/>
          <w:szCs w:val="24"/>
        </w:rPr>
      </w:pPr>
      <w:r w:rsidRPr="00A37557">
        <w:rPr>
          <w:rFonts w:ascii="Times New Roman" w:hAnsi="Times New Roman"/>
          <w:sz w:val="24"/>
          <w:szCs w:val="24"/>
        </w:rPr>
        <w:t xml:space="preserve">Instead, the </w:t>
      </w:r>
      <w:proofErr w:type="gramStart"/>
      <w:r w:rsidRPr="00A37557">
        <w:rPr>
          <w:rFonts w:ascii="Times New Roman" w:hAnsi="Times New Roman"/>
          <w:sz w:val="24"/>
          <w:szCs w:val="24"/>
        </w:rPr>
        <w:t>City</w:t>
      </w:r>
      <w:proofErr w:type="gramEnd"/>
      <w:r w:rsidRPr="00A37557">
        <w:rPr>
          <w:rFonts w:ascii="Times New Roman" w:hAnsi="Times New Roman"/>
          <w:sz w:val="24"/>
          <w:szCs w:val="24"/>
        </w:rPr>
        <w:t xml:space="preserve"> directs the Court’s attention to the CBA, which indicates the wage </w:t>
      </w:r>
      <w:r w:rsidRPr="00A37557">
        <w:rPr>
          <w:rFonts w:ascii="Times New Roman" w:hAnsi="Times New Roman"/>
          <w:sz w:val="24"/>
          <w:szCs w:val="24"/>
        </w:rPr>
        <w:br/>
        <w:t xml:space="preserve">augments are not to be regarded as </w:t>
      </w:r>
      <w:r>
        <w:rPr>
          <w:rFonts w:ascii="Times New Roman" w:hAnsi="Times New Roman"/>
          <w:sz w:val="24"/>
          <w:szCs w:val="24"/>
        </w:rPr>
        <w:t>‘</w:t>
      </w:r>
      <w:r w:rsidRPr="00A37557">
        <w:rPr>
          <w:rFonts w:ascii="Times New Roman" w:hAnsi="Times New Roman"/>
          <w:sz w:val="24"/>
          <w:szCs w:val="24"/>
        </w:rPr>
        <w:t>wages</w:t>
      </w:r>
      <w:r>
        <w:rPr>
          <w:rFonts w:ascii="Times New Roman" w:hAnsi="Times New Roman"/>
          <w:sz w:val="24"/>
          <w:szCs w:val="24"/>
        </w:rPr>
        <w:t>…’</w:t>
      </w:r>
      <w:r w:rsidRPr="00A37557">
        <w:rPr>
          <w:rFonts w:ascii="Times New Roman" w:hAnsi="Times New Roman"/>
          <w:sz w:val="24"/>
          <w:szCs w:val="24"/>
        </w:rPr>
        <w:t>This argument is without merit and ignores the precedent this Court must follow. See Barrentine</w:t>
      </w:r>
      <w:r>
        <w:rPr>
          <w:rFonts w:ascii="Times New Roman" w:hAnsi="Times New Roman"/>
          <w:sz w:val="24"/>
          <w:szCs w:val="24"/>
        </w:rPr>
        <w:t xml:space="preserve"> [v. Arkansas-Best Freight Sys., 450 U.S. 728 (!981); </w:t>
      </w:r>
      <w:hyperlink r:id="rId1887" w:history="1">
        <w:r w:rsidRPr="007B327B">
          <w:rPr>
            <w:rStyle w:val="Hyperlink"/>
            <w:sz w:val="24"/>
            <w:szCs w:val="24"/>
          </w:rPr>
          <w:t>https://supreme.justia.com/cases/federal/us/450/728/</w:t>
        </w:r>
      </w:hyperlink>
      <w:r>
        <w:rPr>
          <w:rFonts w:ascii="Times New Roman" w:hAnsi="Times New Roman"/>
          <w:sz w:val="24"/>
          <w:szCs w:val="24"/>
        </w:rPr>
        <w:t xml:space="preserve"> ]</w:t>
      </w:r>
      <w:r w:rsidRPr="00A37557">
        <w:rPr>
          <w:rFonts w:ascii="Times New Roman" w:hAnsi="Times New Roman"/>
          <w:sz w:val="24"/>
          <w:szCs w:val="24"/>
        </w:rPr>
        <w:t xml:space="preserve">450 U.S. at 740 (holding </w:t>
      </w:r>
      <w:r>
        <w:rPr>
          <w:rFonts w:ascii="Times New Roman" w:hAnsi="Times New Roman"/>
          <w:sz w:val="24"/>
          <w:szCs w:val="24"/>
        </w:rPr>
        <w:t>‘</w:t>
      </w:r>
      <w:r w:rsidRPr="00A37557">
        <w:rPr>
          <w:rFonts w:ascii="Times New Roman" w:hAnsi="Times New Roman"/>
          <w:sz w:val="24"/>
          <w:szCs w:val="24"/>
        </w:rPr>
        <w:t>FLSA rights cannot be abridged by contract or otherwise waived because this would ‘nullify the purposes’ of the statute and thwart the legislative policies it was designed to effectuate.</w:t>
      </w:r>
      <w:r>
        <w:rPr>
          <w:rFonts w:ascii="Times New Roman" w:hAnsi="Times New Roman"/>
          <w:sz w:val="24"/>
          <w:szCs w:val="24"/>
        </w:rPr>
        <w:t>’</w:t>
      </w:r>
      <w:r w:rsidRPr="00A37557">
        <w:rPr>
          <w:rFonts w:ascii="Times New Roman" w:hAnsi="Times New Roman"/>
          <w:sz w:val="24"/>
          <w:szCs w:val="24"/>
        </w:rPr>
        <w:t xml:space="preserve">). The City’s failure to pay the regular rate (i.e., the “one...times the regular rate”) for hours worked </w:t>
      </w:r>
      <w:proofErr w:type="gramStart"/>
      <w:r w:rsidRPr="00A37557">
        <w:rPr>
          <w:rFonts w:ascii="Times New Roman" w:hAnsi="Times New Roman"/>
          <w:sz w:val="24"/>
          <w:szCs w:val="24"/>
        </w:rPr>
        <w:t>in excess of</w:t>
      </w:r>
      <w:proofErr w:type="gramEnd"/>
      <w:r w:rsidRPr="00A37557">
        <w:rPr>
          <w:rFonts w:ascii="Times New Roman" w:hAnsi="Times New Roman"/>
          <w:sz w:val="24"/>
          <w:szCs w:val="24"/>
        </w:rPr>
        <w:t xml:space="preserve"> 212 hours during a 28-day period violates the FLSA.</w:t>
      </w:r>
    </w:p>
    <w:p w14:paraId="4FC1E612" w14:textId="77777777" w:rsidR="00774A91" w:rsidRPr="00A37557" w:rsidRDefault="00774A91" w:rsidP="00774A91">
      <w:pPr>
        <w:spacing w:before="100" w:beforeAutospacing="1" w:after="100" w:afterAutospacing="1" w:line="240" w:lineRule="auto"/>
        <w:ind w:left="720"/>
        <w:rPr>
          <w:rFonts w:ascii="Times New Roman" w:eastAsia="Times New Roman" w:hAnsi="Times New Roman"/>
          <w:sz w:val="24"/>
          <w:szCs w:val="24"/>
        </w:rPr>
      </w:pPr>
      <w:r w:rsidRPr="00A37557">
        <w:rPr>
          <w:rFonts w:ascii="Times New Roman" w:hAnsi="Times New Roman"/>
          <w:sz w:val="24"/>
          <w:szCs w:val="24"/>
        </w:rPr>
        <w:t xml:space="preserve">Because, at a minimum, the City failed to pay the regular rate (i.e., the </w:t>
      </w:r>
      <w:r>
        <w:rPr>
          <w:rFonts w:ascii="Times New Roman" w:hAnsi="Times New Roman"/>
          <w:sz w:val="24"/>
          <w:szCs w:val="24"/>
        </w:rPr>
        <w:t>‘</w:t>
      </w:r>
      <w:r w:rsidRPr="00A37557">
        <w:rPr>
          <w:rFonts w:ascii="Times New Roman" w:hAnsi="Times New Roman"/>
          <w:sz w:val="24"/>
          <w:szCs w:val="24"/>
        </w:rPr>
        <w:t xml:space="preserve">one...times the </w:t>
      </w:r>
      <w:r w:rsidRPr="00A37557">
        <w:rPr>
          <w:rFonts w:ascii="Times New Roman" w:hAnsi="Times New Roman"/>
          <w:sz w:val="24"/>
          <w:szCs w:val="24"/>
        </w:rPr>
        <w:br/>
        <w:t>regular rate</w:t>
      </w:r>
      <w:r>
        <w:rPr>
          <w:rFonts w:ascii="Times New Roman" w:hAnsi="Times New Roman"/>
          <w:sz w:val="24"/>
          <w:szCs w:val="24"/>
        </w:rPr>
        <w:t>’</w:t>
      </w:r>
      <w:r w:rsidRPr="00A37557">
        <w:rPr>
          <w:rFonts w:ascii="Times New Roman" w:hAnsi="Times New Roman"/>
          <w:sz w:val="24"/>
          <w:szCs w:val="24"/>
        </w:rPr>
        <w:t>) for hours worked in excess of 212 hours during a 28-day period, and thus, violated the FLSA, the Court DENIES the City’s motion for summary judgment on the issue of whether it violated the FLSA and GRANTS Plaintiffs’ motion for partial summary judgment.</w:t>
      </w:r>
      <w:r>
        <w:rPr>
          <w:rFonts w:ascii="Times New Roman" w:hAnsi="Times New Roman"/>
          <w:sz w:val="24"/>
          <w:szCs w:val="24"/>
        </w:rPr>
        <w:t xml:space="preserve">” </w:t>
      </w:r>
      <w:hyperlink r:id="rId1888" w:history="1">
        <w:r w:rsidRPr="007B327B">
          <w:rPr>
            <w:rStyle w:val="Hyperlink"/>
            <w:sz w:val="24"/>
            <w:szCs w:val="24"/>
          </w:rPr>
          <w:t>https://www.govinfo.gov/content/pkg/USCOURTS-mowd-4_19-cv-00093/pdf/USCOURTS-mowd-4_19-cv-00093-1.pdf</w:t>
        </w:r>
      </w:hyperlink>
      <w:r>
        <w:rPr>
          <w:rFonts w:ascii="Times New Roman" w:hAnsi="Times New Roman"/>
          <w:sz w:val="24"/>
          <w:szCs w:val="24"/>
        </w:rPr>
        <w:t xml:space="preserve"> </w:t>
      </w:r>
    </w:p>
    <w:p w14:paraId="0103AD6F" w14:textId="77777777" w:rsidR="00774A91" w:rsidRDefault="00774A91" w:rsidP="00774A91">
      <w:pPr>
        <w:spacing w:before="100" w:beforeAutospacing="1" w:after="100" w:afterAutospacing="1" w:line="240" w:lineRule="auto"/>
        <w:rPr>
          <w:rFonts w:ascii="Times New Roman" w:hAnsi="Times New Roman"/>
          <w:b/>
          <w:bCs/>
          <w:sz w:val="24"/>
          <w:szCs w:val="24"/>
        </w:rPr>
      </w:pPr>
      <w:r w:rsidRPr="004E4533">
        <w:rPr>
          <w:rFonts w:ascii="Times New Roman" w:hAnsi="Times New Roman"/>
          <w:b/>
          <w:bCs/>
          <w:sz w:val="24"/>
          <w:szCs w:val="24"/>
        </w:rPr>
        <w:t xml:space="preserve">Legal Lesson Learned: </w:t>
      </w:r>
      <w:r>
        <w:rPr>
          <w:rFonts w:ascii="Times New Roman" w:hAnsi="Times New Roman"/>
          <w:b/>
          <w:bCs/>
          <w:sz w:val="24"/>
          <w:szCs w:val="24"/>
        </w:rPr>
        <w:t>The City will now have to pay back pay; the amount is based on whether the Court finds this a “willful” violation (3 years versus 2 years back pay) and “liquidated damages” (back pay doubles) if City did not act in good faith.</w:t>
      </w:r>
    </w:p>
    <w:p w14:paraId="05211C39"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w:t>
      </w:r>
      <w:r w:rsidRPr="004E4533">
        <w:rPr>
          <w:rFonts w:ascii="Times New Roman" w:hAnsi="Times New Roman"/>
          <w:sz w:val="24"/>
          <w:szCs w:val="24"/>
        </w:rPr>
        <w:t xml:space="preserve">Under the FLSA, the statute of limitations is “two years after the cause of action accrued...except that a cause of action arising out of a willful violation may be </w:t>
      </w:r>
      <w:r w:rsidRPr="004E4533">
        <w:rPr>
          <w:rFonts w:ascii="Times New Roman" w:hAnsi="Times New Roman"/>
          <w:sz w:val="24"/>
          <w:szCs w:val="24"/>
        </w:rPr>
        <w:br/>
        <w:t>commenced within three years after the cause of action accrued.” 29 U.S.C. § 255(a)</w:t>
      </w:r>
    </w:p>
    <w:p w14:paraId="62446037" w14:textId="77777777" w:rsidR="00774A91" w:rsidRPr="00697B15" w:rsidRDefault="00774A91" w:rsidP="00774A91">
      <w:pPr>
        <w:spacing w:before="100" w:beforeAutospacing="1" w:after="100" w:afterAutospacing="1" w:line="240" w:lineRule="auto"/>
        <w:ind w:left="720"/>
        <w:rPr>
          <w:rFonts w:ascii="Times New Roman" w:hAnsi="Times New Roman"/>
          <w:b/>
          <w:bCs/>
          <w:sz w:val="24"/>
          <w:szCs w:val="24"/>
        </w:rPr>
      </w:pPr>
      <w:r w:rsidRPr="00697B15">
        <w:rPr>
          <w:rFonts w:ascii="Times New Roman" w:hAnsi="Times New Roman"/>
          <w:sz w:val="24"/>
          <w:szCs w:val="24"/>
        </w:rPr>
        <w:t xml:space="preserve">If an employer violates 29 U.S.C. § 207, the employer is liable to the affected </w:t>
      </w:r>
      <w:r w:rsidRPr="00697B15">
        <w:rPr>
          <w:rFonts w:ascii="Times New Roman" w:hAnsi="Times New Roman"/>
          <w:sz w:val="24"/>
          <w:szCs w:val="24"/>
        </w:rPr>
        <w:br/>
        <w:t xml:space="preserve">employees in the amount of unpaid overtime compensation, and it may also be liable for </w:t>
      </w:r>
      <w:r>
        <w:rPr>
          <w:rFonts w:ascii="Times New Roman" w:hAnsi="Times New Roman"/>
          <w:sz w:val="24"/>
          <w:szCs w:val="24"/>
        </w:rPr>
        <w:t>‘</w:t>
      </w:r>
      <w:r w:rsidRPr="00697B15">
        <w:rPr>
          <w:rFonts w:ascii="Times New Roman" w:hAnsi="Times New Roman"/>
          <w:sz w:val="24"/>
          <w:szCs w:val="24"/>
        </w:rPr>
        <w:t>an additional equal amount as liquidated damages.</w:t>
      </w:r>
      <w:r>
        <w:rPr>
          <w:rFonts w:ascii="Times New Roman" w:hAnsi="Times New Roman"/>
          <w:sz w:val="24"/>
          <w:szCs w:val="24"/>
        </w:rPr>
        <w:t>’</w:t>
      </w:r>
      <w:r w:rsidRPr="00697B15">
        <w:rPr>
          <w:rFonts w:ascii="Times New Roman" w:hAnsi="Times New Roman"/>
          <w:sz w:val="24"/>
          <w:szCs w:val="24"/>
        </w:rPr>
        <w:t xml:space="preserve"> 29 U.S.C. § 216(b). If the employer </w:t>
      </w:r>
      <w:r>
        <w:rPr>
          <w:rFonts w:ascii="Times New Roman" w:hAnsi="Times New Roman"/>
          <w:sz w:val="24"/>
          <w:szCs w:val="24"/>
        </w:rPr>
        <w:t>‘</w:t>
      </w:r>
      <w:r w:rsidRPr="00697B15">
        <w:rPr>
          <w:rFonts w:ascii="Times New Roman" w:hAnsi="Times New Roman"/>
          <w:sz w:val="24"/>
          <w:szCs w:val="24"/>
        </w:rPr>
        <w:t>shows to the satisfaction of the court</w:t>
      </w:r>
      <w:r>
        <w:rPr>
          <w:rFonts w:ascii="Times New Roman" w:hAnsi="Times New Roman"/>
          <w:sz w:val="24"/>
          <w:szCs w:val="24"/>
        </w:rPr>
        <w:t>’</w:t>
      </w:r>
      <w:r w:rsidRPr="00697B15">
        <w:rPr>
          <w:rFonts w:ascii="Times New Roman" w:hAnsi="Times New Roman"/>
          <w:sz w:val="24"/>
          <w:szCs w:val="24"/>
        </w:rPr>
        <w:t xml:space="preserve"> that its actions were </w:t>
      </w:r>
      <w:r>
        <w:rPr>
          <w:rFonts w:ascii="Times New Roman" w:hAnsi="Times New Roman"/>
          <w:sz w:val="24"/>
          <w:szCs w:val="24"/>
        </w:rPr>
        <w:t>‘</w:t>
      </w:r>
      <w:r w:rsidRPr="00697B15">
        <w:rPr>
          <w:rFonts w:ascii="Times New Roman" w:hAnsi="Times New Roman"/>
          <w:sz w:val="24"/>
          <w:szCs w:val="24"/>
        </w:rPr>
        <w:t>in good faith</w:t>
      </w:r>
      <w:r>
        <w:rPr>
          <w:rFonts w:ascii="Times New Roman" w:hAnsi="Times New Roman"/>
          <w:sz w:val="24"/>
          <w:szCs w:val="24"/>
        </w:rPr>
        <w:t>’</w:t>
      </w:r>
      <w:r w:rsidRPr="00697B15">
        <w:rPr>
          <w:rFonts w:ascii="Times New Roman" w:hAnsi="Times New Roman"/>
          <w:sz w:val="24"/>
          <w:szCs w:val="24"/>
        </w:rPr>
        <w:t xml:space="preserve"> and it </w:t>
      </w:r>
      <w:r>
        <w:rPr>
          <w:rFonts w:ascii="Times New Roman" w:hAnsi="Times New Roman"/>
          <w:sz w:val="24"/>
          <w:szCs w:val="24"/>
        </w:rPr>
        <w:t>‘</w:t>
      </w:r>
      <w:r w:rsidRPr="00697B15">
        <w:rPr>
          <w:rFonts w:ascii="Times New Roman" w:hAnsi="Times New Roman"/>
          <w:sz w:val="24"/>
          <w:szCs w:val="24"/>
        </w:rPr>
        <w:t>had reasonable grounds</w:t>
      </w:r>
      <w:r>
        <w:rPr>
          <w:rFonts w:ascii="Times New Roman" w:hAnsi="Times New Roman"/>
          <w:sz w:val="24"/>
          <w:szCs w:val="24"/>
        </w:rPr>
        <w:t xml:space="preserve"> </w:t>
      </w:r>
      <w:r w:rsidRPr="00697B15">
        <w:rPr>
          <w:rFonts w:ascii="Times New Roman" w:hAnsi="Times New Roman"/>
          <w:sz w:val="24"/>
          <w:szCs w:val="24"/>
        </w:rPr>
        <w:t>for believing</w:t>
      </w:r>
      <w:r>
        <w:rPr>
          <w:rFonts w:ascii="Times New Roman" w:hAnsi="Times New Roman"/>
          <w:sz w:val="24"/>
          <w:szCs w:val="24"/>
        </w:rPr>
        <w:t>’</w:t>
      </w:r>
      <w:r w:rsidRPr="00697B15">
        <w:rPr>
          <w:rFonts w:ascii="Times New Roman" w:hAnsi="Times New Roman"/>
          <w:sz w:val="24"/>
          <w:szCs w:val="24"/>
        </w:rPr>
        <w:t xml:space="preserve"> its actions were not violating the FLSA, </w:t>
      </w:r>
      <w:r>
        <w:rPr>
          <w:rFonts w:ascii="Times New Roman" w:hAnsi="Times New Roman"/>
          <w:sz w:val="24"/>
          <w:szCs w:val="24"/>
        </w:rPr>
        <w:t>‘</w:t>
      </w:r>
      <w:r w:rsidRPr="00697B15">
        <w:rPr>
          <w:rFonts w:ascii="Times New Roman" w:hAnsi="Times New Roman"/>
          <w:sz w:val="24"/>
          <w:szCs w:val="24"/>
        </w:rPr>
        <w:t xml:space="preserve">the court may, in its sound discretion, award no liquidated damages or award any amount thereof not to exceed the amount specified in section 216 of this title.” </w:t>
      </w:r>
    </w:p>
    <w:p w14:paraId="11FBF5AB" w14:textId="202C29D3" w:rsidR="00C67B2A" w:rsidRDefault="00C67B2A" w:rsidP="00F326E5">
      <w:pPr>
        <w:rPr>
          <w:rFonts w:ascii="Arial Black" w:hAnsi="Arial Black"/>
          <w:b/>
          <w:sz w:val="24"/>
          <w:szCs w:val="24"/>
        </w:rPr>
      </w:pPr>
    </w:p>
    <w:p w14:paraId="594D4C08" w14:textId="705BC43C" w:rsidR="00885321" w:rsidRDefault="00885321" w:rsidP="00F326E5">
      <w:pPr>
        <w:rPr>
          <w:rFonts w:ascii="Arial Black" w:hAnsi="Arial Black"/>
          <w:b/>
          <w:sz w:val="24"/>
          <w:szCs w:val="24"/>
        </w:rPr>
      </w:pPr>
      <w:r>
        <w:rPr>
          <w:rFonts w:ascii="Arial Black" w:hAnsi="Arial Black"/>
          <w:b/>
          <w:sz w:val="24"/>
          <w:szCs w:val="24"/>
        </w:rPr>
        <w:t>11-</w:t>
      </w:r>
      <w:r w:rsidR="00912048">
        <w:rPr>
          <w:rFonts w:ascii="Arial Black" w:hAnsi="Arial Black"/>
          <w:b/>
          <w:sz w:val="24"/>
          <w:szCs w:val="24"/>
        </w:rPr>
        <w:t>33</w:t>
      </w:r>
    </w:p>
    <w:p w14:paraId="7B7419EA" w14:textId="77777777" w:rsidR="00885321" w:rsidRPr="00E1552C" w:rsidRDefault="00885321" w:rsidP="00885321">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VA: FLSA - VIRGINIA BEACH FD SETTLEMENT – EMS CAPTAINS WILL BE “NON-EXEMPT” - BACK PAY 3 YEARS </w:t>
      </w:r>
    </w:p>
    <w:p w14:paraId="301332F3" w14:textId="77777777" w:rsidR="00885321" w:rsidRDefault="00885321" w:rsidP="00885321">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Sept. 14, 2021, in </w:t>
      </w:r>
      <w:r w:rsidRPr="00696625">
        <w:rPr>
          <w:rStyle w:val="markedcontent"/>
          <w:rFonts w:ascii="Times New Roman" w:hAnsi="Times New Roman"/>
          <w:sz w:val="24"/>
          <w:szCs w:val="24"/>
          <w:u w:val="single"/>
        </w:rPr>
        <w:t>David Bust, et al. v. Virginia Beach, Virginia</w:t>
      </w:r>
      <w:r>
        <w:rPr>
          <w:rStyle w:val="markedcontent"/>
          <w:rFonts w:ascii="Times New Roman" w:hAnsi="Times New Roman"/>
          <w:sz w:val="24"/>
          <w:szCs w:val="24"/>
        </w:rPr>
        <w:t xml:space="preserve">, U.S. District Court for Eastern District of Virginia (Norfolk Division), eight EMS Captains settled their 2020 lawsuit with the city.  The settlement included agreement by the City to re-classify EMS Captains as non-exempt effective Aug. 26, 2021, and back pay from </w:t>
      </w:r>
      <w:r w:rsidRPr="000D7DF7">
        <w:rPr>
          <w:rStyle w:val="markedcontent"/>
          <w:rFonts w:ascii="Times New Roman" w:hAnsi="Times New Roman"/>
          <w:sz w:val="24"/>
          <w:szCs w:val="24"/>
        </w:rPr>
        <w:t>November 25, 2017</w:t>
      </w:r>
      <w:r>
        <w:rPr>
          <w:rStyle w:val="markedcontent"/>
          <w:rFonts w:ascii="Times New Roman" w:hAnsi="Times New Roman"/>
          <w:sz w:val="24"/>
          <w:szCs w:val="24"/>
        </w:rPr>
        <w:t xml:space="preserve">. </w:t>
      </w:r>
    </w:p>
    <w:p w14:paraId="6B966160" w14:textId="77777777" w:rsidR="00885321" w:rsidRPr="00B42905" w:rsidRDefault="00885321" w:rsidP="00885321">
      <w:pPr>
        <w:spacing w:before="100" w:beforeAutospacing="1" w:after="100" w:afterAutospacing="1" w:line="240" w:lineRule="auto"/>
        <w:ind w:left="720"/>
        <w:rPr>
          <w:rStyle w:val="markedcontent"/>
          <w:rFonts w:ascii="Times New Roman" w:eastAsiaTheme="majorEastAsia" w:hAnsi="Times New Roman"/>
          <w:sz w:val="24"/>
          <w:szCs w:val="24"/>
        </w:rPr>
      </w:pPr>
      <w:r w:rsidRPr="00B42905">
        <w:rPr>
          <w:rStyle w:val="markedcontent"/>
          <w:rFonts w:ascii="Times New Roman" w:eastAsiaTheme="majorEastAsia" w:hAnsi="Times New Roman"/>
          <w:sz w:val="24"/>
          <w:szCs w:val="24"/>
        </w:rPr>
        <w:t xml:space="preserve">“Under the Settlement Agreement, the </w:t>
      </w:r>
      <w:proofErr w:type="gramStart"/>
      <w:r w:rsidRPr="00B42905">
        <w:rPr>
          <w:rStyle w:val="markedcontent"/>
          <w:rFonts w:ascii="Times New Roman" w:eastAsiaTheme="majorEastAsia" w:hAnsi="Times New Roman"/>
          <w:sz w:val="24"/>
          <w:szCs w:val="24"/>
        </w:rPr>
        <w:t>City</w:t>
      </w:r>
      <w:proofErr w:type="gramEnd"/>
      <w:r w:rsidRPr="00B42905">
        <w:rPr>
          <w:rStyle w:val="markedcontent"/>
          <w:rFonts w:ascii="Times New Roman" w:eastAsiaTheme="majorEastAsia" w:hAnsi="Times New Roman"/>
          <w:sz w:val="24"/>
          <w:szCs w:val="24"/>
        </w:rPr>
        <w:t xml:space="preserve"> will pay a total of $200,000.00 (two hundred thousand dollars) to resolve the Plaintiffs’ FLSA and VGPA claims. Ex. 1, ¶ 2.1. The Settlement Amount will be divided and distributed as follows: (1) one check in the amount of $80,000.00, payable to Plaintiffs’ counsel, McGillivary Steele Elkin </w:t>
      </w:r>
      <w:r w:rsidRPr="00B42905">
        <w:rPr>
          <w:rFonts w:ascii="Times New Roman" w:hAnsi="Times New Roman"/>
          <w:sz w:val="24"/>
          <w:szCs w:val="24"/>
        </w:rPr>
        <w:br/>
      </w:r>
      <w:r w:rsidRPr="00B42905">
        <w:rPr>
          <w:rStyle w:val="markedcontent"/>
          <w:rFonts w:ascii="Times New Roman" w:eastAsiaTheme="majorEastAsia" w:hAnsi="Times New Roman"/>
          <w:sz w:val="24"/>
          <w:szCs w:val="24"/>
        </w:rPr>
        <w:t xml:space="preserve">LLP, representing a negotiated amount of reimbursed attorneys’ fees and expenses; and (2) a set of payroll checks payable to individual Plaintiffs, totaling a pre-tax amount of $120,000.00, which shall be distributed to individual Plaintiffs in accordance with the pre-tax amounts set forth in Exhibit A to the Settlement Agreement, to which the City shall be entitled to apply all applicable deductions and withholdings for each individual Plaintiff. Id., ¶ 2.2. In addition, the City agreed to re-classify Plaintiffs in the position of EMS Captain as non-exempt, effective August 26, 2021. Id., ¶ 2.1. These amounts and terms are agreed to among the Parties to compromise, settle, and satisfy the Released Claims described in paragraph 3.1 of the Settlement Agreement, and all attorneys’ fees and expenses related to the Released Claims. Significantly, Plaintiffs and their </w:t>
      </w:r>
      <w:r w:rsidRPr="00B42905">
        <w:rPr>
          <w:rFonts w:ascii="Times New Roman" w:hAnsi="Times New Roman"/>
          <w:sz w:val="24"/>
          <w:szCs w:val="24"/>
        </w:rPr>
        <w:br/>
      </w:r>
      <w:r w:rsidRPr="00B42905">
        <w:rPr>
          <w:rStyle w:val="markedcontent"/>
          <w:rFonts w:ascii="Times New Roman" w:eastAsiaTheme="majorEastAsia" w:hAnsi="Times New Roman"/>
          <w:sz w:val="24"/>
          <w:szCs w:val="24"/>
        </w:rPr>
        <w:t xml:space="preserve">counsel determined the method used to calculate the pro rata amounts to be paid to each Plaintiff for the Back Pay Amount. Id., ¶ 2.6.”  </w:t>
      </w:r>
      <w:hyperlink r:id="rId1889" w:history="1">
        <w:r w:rsidRPr="00B42905">
          <w:rPr>
            <w:rStyle w:val="Hyperlink"/>
            <w:rFonts w:ascii="Times New Roman" w:eastAsiaTheme="majorEastAsia" w:hAnsi="Times New Roman"/>
            <w:sz w:val="24"/>
            <w:szCs w:val="24"/>
          </w:rPr>
          <w:t>http://www.firefighterovertime.org/wp-content/uploads/2021/11/US_DIS_VAED_2_20cv595_Memorandum_in_Support_re_41_Joint_MOTION_for_Settl.pdf</w:t>
        </w:r>
      </w:hyperlink>
      <w:r w:rsidRPr="00B42905">
        <w:rPr>
          <w:rStyle w:val="markedcontent"/>
          <w:rFonts w:ascii="Times New Roman" w:eastAsiaTheme="majorEastAsia" w:hAnsi="Times New Roman"/>
          <w:sz w:val="24"/>
          <w:szCs w:val="24"/>
        </w:rPr>
        <w:t xml:space="preserve"> </w:t>
      </w:r>
    </w:p>
    <w:p w14:paraId="566BF8FB" w14:textId="77777777" w:rsidR="00885321" w:rsidRPr="000D7DF7" w:rsidRDefault="00885321" w:rsidP="00885321">
      <w:pPr>
        <w:rPr>
          <w:rFonts w:ascii="Times New Roman" w:eastAsia="Times New Roman" w:hAnsi="Times New Roman"/>
          <w:b/>
          <w:bCs/>
          <w:sz w:val="24"/>
          <w:szCs w:val="24"/>
        </w:rPr>
      </w:pPr>
      <w:r w:rsidRPr="000D7DF7">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Settlements are encouraged to avoid “liquidated damages” (back pay doubled) under FLSA.  Fire &amp; EMS department, when in doubt about classification of officers under FLSA, are encouraged to consult with experienced FLSA attorneys and the U.S. Department of Labor, Wage &amp; Hour Division. </w:t>
      </w:r>
    </w:p>
    <w:p w14:paraId="073B8B5B" w14:textId="77777777" w:rsidR="00885321" w:rsidRDefault="00885321" w:rsidP="00885321">
      <w:pPr>
        <w:pStyle w:val="NormalWeb"/>
        <w:ind w:left="720"/>
        <w:rPr>
          <w:rStyle w:val="markedcontent"/>
          <w:rFonts w:eastAsiaTheme="majorEastAsia"/>
        </w:rPr>
      </w:pPr>
      <w:r>
        <w:rPr>
          <w:rStyle w:val="markedcontent"/>
          <w:rFonts w:eastAsiaTheme="majorEastAsia"/>
        </w:rPr>
        <w:t xml:space="preserve">Note: See article on the settlement. Nov. 16, 2021: </w:t>
      </w:r>
      <w:r w:rsidRPr="00EF1C86">
        <w:t>“VA Beach Settles ‘White Collar’ FLSA Lawsuit with EMS Captains.”</w:t>
      </w:r>
      <w:r>
        <w:t xml:space="preserve"> </w:t>
      </w:r>
      <w:hyperlink r:id="rId1890" w:history="1">
        <w:r w:rsidRPr="00673E18">
          <w:rPr>
            <w:rStyle w:val="Hyperlink"/>
          </w:rPr>
          <w:t>http://www.firefighterovertime.org/2021/11/08/va-beach-settles-flsa-lawsuit/</w:t>
        </w:r>
      </w:hyperlink>
      <w:r>
        <w:rPr>
          <w:rStyle w:val="Hyperlink"/>
        </w:rPr>
        <w:t xml:space="preserve"> </w:t>
      </w:r>
    </w:p>
    <w:p w14:paraId="056B2B98" w14:textId="77777777" w:rsidR="00885321" w:rsidRDefault="00885321" w:rsidP="00F326E5">
      <w:pPr>
        <w:rPr>
          <w:rFonts w:ascii="Arial Black" w:hAnsi="Arial Black"/>
          <w:b/>
          <w:sz w:val="24"/>
          <w:szCs w:val="24"/>
        </w:rPr>
      </w:pPr>
    </w:p>
    <w:p w14:paraId="147E159F" w14:textId="77777777" w:rsidR="00C67B2A" w:rsidRDefault="00C67B2A" w:rsidP="00F326E5">
      <w:pPr>
        <w:rPr>
          <w:rFonts w:ascii="Arial Black" w:hAnsi="Arial Black"/>
          <w:b/>
          <w:sz w:val="24"/>
          <w:szCs w:val="24"/>
        </w:rPr>
      </w:pPr>
    </w:p>
    <w:p w14:paraId="5A6E75A2" w14:textId="7BD80205" w:rsidR="00B03268" w:rsidRDefault="00B03268"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32</w:t>
      </w:r>
    </w:p>
    <w:p w14:paraId="4CA007ED" w14:textId="77777777" w:rsidR="00B03268" w:rsidRPr="00D1078B" w:rsidRDefault="00B03268" w:rsidP="00B03268">
      <w:pPr>
        <w:pStyle w:val="NoSpacing"/>
        <w:rPr>
          <w:rFonts w:ascii="Arial Black" w:hAnsi="Arial Black"/>
          <w:sz w:val="28"/>
          <w:szCs w:val="28"/>
        </w:rPr>
      </w:pPr>
      <w:r>
        <w:rPr>
          <w:rFonts w:ascii="Arial Black" w:hAnsi="Arial Black"/>
          <w:sz w:val="28"/>
          <w:szCs w:val="28"/>
        </w:rPr>
        <w:t xml:space="preserve">IL: CITY OF CHICAGO MAILROOM EMPLOYEE – “EQUAL PAY” CASE DISMISSED – DUTIES NOT SAME FF, OTHERS </w:t>
      </w:r>
    </w:p>
    <w:p w14:paraId="325CFA06" w14:textId="77777777" w:rsidR="00B03268" w:rsidRDefault="00B03268" w:rsidP="00B03268">
      <w:pPr>
        <w:pStyle w:val="NoSpacing"/>
      </w:pPr>
    </w:p>
    <w:p w14:paraId="33F07360" w14:textId="77777777" w:rsidR="00B03268" w:rsidRPr="00BD5433" w:rsidRDefault="00B03268" w:rsidP="00B03268">
      <w:pPr>
        <w:pStyle w:val="NoSpacing"/>
        <w:rPr>
          <w:rFonts w:ascii="Times New Roman" w:hAnsi="Times New Roman"/>
          <w:sz w:val="24"/>
          <w:szCs w:val="24"/>
        </w:rPr>
      </w:pPr>
      <w:r>
        <w:rPr>
          <w:rFonts w:ascii="Times New Roman" w:hAnsi="Times New Roman"/>
          <w:sz w:val="24"/>
          <w:szCs w:val="24"/>
        </w:rPr>
        <w:t xml:space="preserve">On May 20, 2021, in </w:t>
      </w:r>
      <w:r w:rsidRPr="00D1078B">
        <w:rPr>
          <w:rFonts w:ascii="Times New Roman" w:hAnsi="Times New Roman"/>
          <w:sz w:val="24"/>
          <w:szCs w:val="24"/>
          <w:u w:val="single"/>
        </w:rPr>
        <w:t>Angela D. Boyd v. City of Chicago</w:t>
      </w:r>
      <w:r>
        <w:rPr>
          <w:rFonts w:ascii="Times New Roman" w:hAnsi="Times New Roman"/>
          <w:sz w:val="24"/>
          <w:szCs w:val="24"/>
        </w:rPr>
        <w:t xml:space="preserve">, U.S. District Court Judge Charles P. </w:t>
      </w:r>
      <w:proofErr w:type="spellStart"/>
      <w:r>
        <w:rPr>
          <w:rFonts w:ascii="Times New Roman" w:hAnsi="Times New Roman"/>
          <w:sz w:val="24"/>
          <w:szCs w:val="24"/>
        </w:rPr>
        <w:t>Kocoras</w:t>
      </w:r>
      <w:proofErr w:type="spellEnd"/>
      <w:r>
        <w:rPr>
          <w:rFonts w:ascii="Times New Roman" w:hAnsi="Times New Roman"/>
          <w:sz w:val="24"/>
          <w:szCs w:val="24"/>
        </w:rPr>
        <w:t xml:space="preserve">, U.S. District Court for Northern District of Illinois, Eastern District, granted the City’s motion to dismiss this lawsuit, </w:t>
      </w:r>
      <w:proofErr w:type="gramStart"/>
      <w:r>
        <w:rPr>
          <w:rFonts w:ascii="Times New Roman" w:hAnsi="Times New Roman"/>
          <w:sz w:val="24"/>
          <w:szCs w:val="24"/>
        </w:rPr>
        <w:t>and also</w:t>
      </w:r>
      <w:proofErr w:type="gramEnd"/>
      <w:r>
        <w:rPr>
          <w:rFonts w:ascii="Times New Roman" w:hAnsi="Times New Roman"/>
          <w:sz w:val="24"/>
          <w:szCs w:val="24"/>
        </w:rPr>
        <w:t xml:space="preserve"> the motion of her union, </w:t>
      </w:r>
      <w:r w:rsidRPr="00BD5433">
        <w:rPr>
          <w:rFonts w:ascii="Times New Roman" w:hAnsi="Times New Roman"/>
          <w:sz w:val="24"/>
          <w:szCs w:val="24"/>
        </w:rPr>
        <w:t>AFSCME Council 31</w:t>
      </w:r>
      <w:r>
        <w:rPr>
          <w:rFonts w:ascii="Times New Roman" w:hAnsi="Times New Roman"/>
          <w:sz w:val="24"/>
          <w:szCs w:val="24"/>
        </w:rPr>
        <w:t>.</w:t>
      </w:r>
    </w:p>
    <w:p w14:paraId="6E3043A5" w14:textId="2A86F062" w:rsidR="00B03268" w:rsidRDefault="00B03268" w:rsidP="00B03268">
      <w:pPr>
        <w:rPr>
          <w:rFonts w:ascii="Arial Black" w:hAnsi="Arial Black"/>
          <w:b/>
          <w:sz w:val="24"/>
          <w:szCs w:val="24"/>
        </w:rPr>
      </w:pPr>
      <w:r>
        <w:rPr>
          <w:rFonts w:ascii="Times New Roman" w:eastAsia="Times New Roman" w:hAnsi="Times New Roman"/>
          <w:sz w:val="24"/>
          <w:szCs w:val="24"/>
        </w:rPr>
        <w:t>“</w:t>
      </w:r>
      <w:r w:rsidRPr="00BD5433">
        <w:rPr>
          <w:rFonts w:ascii="Times New Roman" w:eastAsia="Times New Roman" w:hAnsi="Times New Roman"/>
          <w:sz w:val="24"/>
          <w:szCs w:val="24"/>
        </w:rPr>
        <w:t xml:space="preserve">Boyd's duties specifically included picking up and dropping off mail and boxes at various City locations. Despite these distinct duties, Boyd alleges that she was paid less than three other men. First, she alleges that she was paid less than Mr. Romell Short, a concrete laborer, who was paid $40.20 an hour. Second, she alleges that she was paid less than Mr. Michael Evans, a City Assistant Commissioner, who was paid an annual salary of over $90,000. And third, Boyd alleges that another man—a firefighter—was paid an annual salary of over $100,000. *** </w:t>
      </w:r>
      <w:r w:rsidRPr="00BD5433">
        <w:rPr>
          <w:rFonts w:ascii="Times New Roman" w:hAnsi="Times New Roman"/>
          <w:sz w:val="24"/>
          <w:szCs w:val="24"/>
        </w:rPr>
        <w:t>Put simply: Boyd alleges no facts to support an inference that the three men at issue completed equal work that required similar skill, effort, or responsibility. That is fatal to Boyd's Amended Complaint.</w:t>
      </w:r>
      <w:r>
        <w:rPr>
          <w:rFonts w:ascii="Times New Roman" w:hAnsi="Times New Roman"/>
          <w:sz w:val="24"/>
          <w:szCs w:val="24"/>
        </w:rPr>
        <w:t xml:space="preserve">” </w:t>
      </w:r>
      <w:hyperlink r:id="rId1891" w:history="1">
        <w:r w:rsidRPr="007344F4">
          <w:rPr>
            <w:rStyle w:val="Hyperlink"/>
            <w:sz w:val="24"/>
            <w:szCs w:val="24"/>
          </w:rPr>
          <w:t>https://public.fastcase.com/9SKwsfNqTc6OieYDhNMyM%2Bd%2B2eK88WBpQndaMaa6S5BNLFOYsG1I8lL7zJutyS4p</w:t>
        </w:r>
      </w:hyperlink>
    </w:p>
    <w:p w14:paraId="24E94DF9" w14:textId="77777777" w:rsidR="00B03268" w:rsidRPr="00BD5433" w:rsidRDefault="00B03268" w:rsidP="00B03268">
      <w:pPr>
        <w:spacing w:before="100" w:beforeAutospacing="1" w:after="100" w:afterAutospacing="1"/>
        <w:rPr>
          <w:rFonts w:ascii="Times New Roman" w:eastAsia="Times New Roman" w:hAnsi="Times New Roman"/>
          <w:b/>
          <w:bCs/>
          <w:sz w:val="24"/>
          <w:szCs w:val="24"/>
        </w:rPr>
      </w:pPr>
      <w:r w:rsidRPr="00F9640F">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plaintiff obviously does not do the same work as those she used to compare her pay - a concrete laborer, fire fighter, Assistant Commissioner. </w:t>
      </w:r>
    </w:p>
    <w:p w14:paraId="568C8649" w14:textId="77777777" w:rsidR="00B03268" w:rsidRDefault="00B03268" w:rsidP="00F326E5">
      <w:pPr>
        <w:rPr>
          <w:rFonts w:ascii="Arial Black" w:hAnsi="Arial Black"/>
          <w:b/>
          <w:sz w:val="24"/>
          <w:szCs w:val="24"/>
        </w:rPr>
      </w:pPr>
    </w:p>
    <w:p w14:paraId="77405754" w14:textId="09C8B91B" w:rsidR="00BC5936" w:rsidRPr="00BC5936" w:rsidRDefault="00BC5936" w:rsidP="00F326E5">
      <w:pPr>
        <w:rPr>
          <w:rFonts w:ascii="Times New Roman" w:hAnsi="Times New Roman"/>
          <w:bCs/>
          <w:sz w:val="24"/>
          <w:szCs w:val="24"/>
        </w:rPr>
      </w:pPr>
      <w:r>
        <w:rPr>
          <w:rFonts w:ascii="Arial Black" w:hAnsi="Arial Black"/>
          <w:b/>
          <w:sz w:val="24"/>
          <w:szCs w:val="24"/>
        </w:rPr>
        <w:t>11-</w:t>
      </w:r>
      <w:r w:rsidR="00B13773">
        <w:rPr>
          <w:rFonts w:ascii="Arial Black" w:hAnsi="Arial Black"/>
          <w:b/>
          <w:sz w:val="24"/>
          <w:szCs w:val="24"/>
        </w:rPr>
        <w:t>31</w:t>
      </w:r>
      <w:r>
        <w:rPr>
          <w:rFonts w:ascii="Arial Black" w:hAnsi="Arial Black"/>
          <w:b/>
          <w:sz w:val="24"/>
          <w:szCs w:val="24"/>
        </w:rPr>
        <w:t xml:space="preserve"> </w:t>
      </w:r>
      <w:r>
        <w:rPr>
          <w:rFonts w:ascii="Times New Roman" w:hAnsi="Times New Roman"/>
          <w:bCs/>
          <w:sz w:val="24"/>
          <w:szCs w:val="24"/>
        </w:rPr>
        <w:t>[also filed, Chap. 16]</w:t>
      </w:r>
    </w:p>
    <w:p w14:paraId="4D4EF384" w14:textId="77777777" w:rsidR="00BC5936" w:rsidRPr="003A1BB2" w:rsidRDefault="00BC5936" w:rsidP="00BC5936">
      <w:pPr>
        <w:pStyle w:val="NoSpacing"/>
        <w:rPr>
          <w:rFonts w:ascii="Arial Black" w:hAnsi="Arial Black"/>
          <w:sz w:val="28"/>
          <w:szCs w:val="28"/>
        </w:rPr>
      </w:pPr>
      <w:r>
        <w:rPr>
          <w:rFonts w:ascii="Arial Black" w:hAnsi="Arial Black"/>
          <w:sz w:val="28"/>
          <w:szCs w:val="28"/>
        </w:rPr>
        <w:t>NV: AT-WILL HOSPITAL PARAMEDIC - TERMINATED WITHIN 1-YR PROBATIONARY PERIOD – LAWSUIT DISMISSED</w:t>
      </w:r>
    </w:p>
    <w:p w14:paraId="68E0DE4D" w14:textId="77777777" w:rsidR="00BC5936" w:rsidRDefault="00BC5936" w:rsidP="00BC5936">
      <w:pPr>
        <w:pStyle w:val="NoSpacing"/>
      </w:pPr>
    </w:p>
    <w:p w14:paraId="15BD1787" w14:textId="77777777" w:rsidR="00BC5936" w:rsidRPr="00D106AE" w:rsidRDefault="00BC5936" w:rsidP="00BC5936">
      <w:pPr>
        <w:pStyle w:val="NoSpacing"/>
        <w:rPr>
          <w:rFonts w:ascii="Times New Roman" w:hAnsi="Times New Roman"/>
          <w:sz w:val="24"/>
          <w:szCs w:val="24"/>
        </w:rPr>
      </w:pPr>
      <w:r>
        <w:rPr>
          <w:rFonts w:ascii="Times New Roman" w:hAnsi="Times New Roman"/>
          <w:sz w:val="24"/>
          <w:szCs w:val="24"/>
        </w:rPr>
        <w:t xml:space="preserve">On May 13, 2021, in </w:t>
      </w:r>
      <w:r w:rsidRPr="00D106AE">
        <w:rPr>
          <w:rFonts w:ascii="Times New Roman" w:hAnsi="Times New Roman"/>
          <w:sz w:val="24"/>
          <w:szCs w:val="24"/>
          <w:u w:val="single"/>
        </w:rPr>
        <w:t>Todd P. Evans v. Lander County Hospital District, d/b/a Battle Mountain General Hospital</w:t>
      </w:r>
      <w:r w:rsidRPr="00D106AE">
        <w:rPr>
          <w:rFonts w:ascii="Times New Roman" w:hAnsi="Times New Roman"/>
          <w:sz w:val="24"/>
          <w:szCs w:val="24"/>
        </w:rPr>
        <w:t xml:space="preserve">, U.S. District Court Judge Larry R. Hicks, U.S. District Court, District of Nevada, </w:t>
      </w:r>
      <w:r>
        <w:rPr>
          <w:rFonts w:ascii="Times New Roman" w:hAnsi="Times New Roman"/>
          <w:sz w:val="24"/>
          <w:szCs w:val="24"/>
        </w:rPr>
        <w:t>held that the paramedic did not file or otherwise orally make a complaint of FLSA violation, and he was an at-will employee that can be terminated without cause by the hospital.</w:t>
      </w:r>
    </w:p>
    <w:p w14:paraId="123C4A92" w14:textId="77777777" w:rsidR="00BC5936" w:rsidRDefault="00BC5936" w:rsidP="00BC5936">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r w:rsidRPr="003A1BB2">
        <w:rPr>
          <w:rFonts w:ascii="Times New Roman" w:eastAsia="Times New Roman" w:hAnsi="Times New Roman"/>
          <w:sz w:val="24"/>
          <w:szCs w:val="24"/>
        </w:rPr>
        <w:t>Again, based on Evans' testimony, the Court finds that Evans' statements during the April 2019 meeting do not constitute filling a complaint with the BMGH as contemplated by the FLSA anti-retaliation statute. The content of this meeting was the financial and economic status of the EMS Department and was focused on how Evans' suggested alterations to the department, including transitioning the volunteer EMTs to paid staff, would make the department more fiscally responsible and increase staff. While Evans did address the FLSA and again suggested that the volunteer program may be violating the federal statute, he did not specify an illegality related to the program and did not provide Trustee Roberts with any documentation related to the FLSA. A reasonable employer would have seen Evans' statements as an attempt to recruit a board member to support his budget proposal, not an assertion of the employment rights of the volunteer EMTs in the program. Accordingly, his statements cannot be considered a filed complaint under the FLSA anti-retaliation statute.</w:t>
      </w:r>
    </w:p>
    <w:p w14:paraId="2E05832E" w14:textId="77777777" w:rsidR="00BC5936" w:rsidRDefault="00BC5936" w:rsidP="00BC5936">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p>
    <w:p w14:paraId="248641C5" w14:textId="77777777" w:rsidR="00BC5936" w:rsidRPr="003A1BB2" w:rsidRDefault="00BC5936" w:rsidP="00BC5936">
      <w:pPr>
        <w:spacing w:before="100" w:beforeAutospacing="1" w:after="100" w:afterAutospacing="1"/>
        <w:ind w:left="720"/>
        <w:rPr>
          <w:rFonts w:ascii="Times New Roman" w:eastAsia="Times New Roman" w:hAnsi="Times New Roman"/>
          <w:sz w:val="24"/>
          <w:szCs w:val="24"/>
        </w:rPr>
      </w:pPr>
      <w:r w:rsidRPr="00D106AE">
        <w:rPr>
          <w:rFonts w:ascii="Times New Roman" w:hAnsi="Times New Roman"/>
          <w:sz w:val="24"/>
          <w:szCs w:val="24"/>
        </w:rPr>
        <w:t xml:space="preserve">Evans' fourth cause of action alleges Defendant breached its oral employment contract in which BMGH agreed to pay Evans a salary of $115,000.00 per year plus a travel stipend of no more than $500.00 per month. ECF No. 1 ¶¶ 55-58. Defendant argues that it could not have breached an employment contract that did not exist as Evans was an at-will employee. Having reviewed the record, there can be no dispute that Evans was an at-will </w:t>
      </w:r>
      <w:proofErr w:type="gramStart"/>
      <w:r w:rsidRPr="00D106AE">
        <w:rPr>
          <w:rFonts w:ascii="Times New Roman" w:hAnsi="Times New Roman"/>
          <w:sz w:val="24"/>
          <w:szCs w:val="24"/>
        </w:rPr>
        <w:t>employee.</w:t>
      </w:r>
      <w:r>
        <w:rPr>
          <w:rFonts w:ascii="Times New Roman" w:hAnsi="Times New Roman"/>
          <w:sz w:val="24"/>
          <w:szCs w:val="24"/>
        </w:rPr>
        <w:t>”</w:t>
      </w:r>
      <w:proofErr w:type="gramEnd"/>
      <w:r>
        <w:rPr>
          <w:rFonts w:ascii="Times New Roman" w:hAnsi="Times New Roman"/>
          <w:sz w:val="24"/>
          <w:szCs w:val="24"/>
        </w:rPr>
        <w:t xml:space="preserve"> </w:t>
      </w:r>
      <w:hyperlink r:id="rId1892" w:history="1">
        <w:r w:rsidRPr="00C724D5">
          <w:rPr>
            <w:rStyle w:val="Hyperlink"/>
            <w:sz w:val="24"/>
            <w:szCs w:val="24"/>
          </w:rPr>
          <w:t>https://www.leagle.com/decision/infdco20210518900</w:t>
        </w:r>
      </w:hyperlink>
      <w:r>
        <w:rPr>
          <w:rFonts w:ascii="Times New Roman" w:eastAsia="Times New Roman" w:hAnsi="Times New Roman"/>
          <w:sz w:val="24"/>
          <w:szCs w:val="24"/>
        </w:rPr>
        <w:t xml:space="preserve"> </w:t>
      </w:r>
    </w:p>
    <w:p w14:paraId="4D95F609" w14:textId="77777777" w:rsidR="00BC5936" w:rsidRPr="00E7248E" w:rsidRDefault="00BC5936" w:rsidP="00BC5936">
      <w:pPr>
        <w:pStyle w:val="NormalWeb"/>
        <w:rPr>
          <w:b/>
          <w:bCs/>
        </w:rPr>
      </w:pPr>
      <w:r w:rsidRPr="00E7248E">
        <w:rPr>
          <w:b/>
          <w:bCs/>
        </w:rPr>
        <w:t>Legal Lesson Learned:</w:t>
      </w:r>
      <w:r>
        <w:rPr>
          <w:b/>
          <w:bCs/>
        </w:rPr>
        <w:t xml:space="preserve"> At will employees can be terminated, with or without cause.  </w:t>
      </w:r>
    </w:p>
    <w:p w14:paraId="6C3BCDB1" w14:textId="77777777" w:rsidR="00BC5936" w:rsidRDefault="00BC5936" w:rsidP="00F326E5">
      <w:pPr>
        <w:rPr>
          <w:rFonts w:ascii="Arial Black" w:hAnsi="Arial Black"/>
          <w:b/>
          <w:sz w:val="24"/>
          <w:szCs w:val="24"/>
        </w:rPr>
      </w:pPr>
    </w:p>
    <w:p w14:paraId="46528163" w14:textId="77777777" w:rsidR="00BC5936" w:rsidRDefault="00BC5936" w:rsidP="00F326E5">
      <w:pPr>
        <w:rPr>
          <w:rFonts w:ascii="Arial Black" w:hAnsi="Arial Black"/>
          <w:b/>
          <w:sz w:val="24"/>
          <w:szCs w:val="24"/>
        </w:rPr>
      </w:pPr>
    </w:p>
    <w:p w14:paraId="6F2D0D06" w14:textId="77777777" w:rsidR="00BC5936" w:rsidRDefault="00BC5936" w:rsidP="00F326E5">
      <w:pPr>
        <w:rPr>
          <w:rFonts w:ascii="Arial Black" w:hAnsi="Arial Black"/>
          <w:b/>
          <w:sz w:val="24"/>
          <w:szCs w:val="24"/>
        </w:rPr>
      </w:pPr>
    </w:p>
    <w:p w14:paraId="1BA09A10" w14:textId="241CE1CD" w:rsidR="003E0A22" w:rsidRDefault="003E0A22"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30</w:t>
      </w:r>
    </w:p>
    <w:p w14:paraId="562E3288" w14:textId="77777777" w:rsidR="003E0A22" w:rsidRDefault="003E0A22" w:rsidP="003E0A22">
      <w:pPr>
        <w:rPr>
          <w:rFonts w:ascii="Arial Black" w:hAnsi="Arial Black"/>
          <w:sz w:val="28"/>
          <w:szCs w:val="28"/>
        </w:rPr>
      </w:pPr>
      <w:r>
        <w:rPr>
          <w:rFonts w:ascii="Arial Black" w:hAnsi="Arial Black"/>
          <w:sz w:val="28"/>
          <w:szCs w:val="28"/>
        </w:rPr>
        <w:t>MO:  FLSA CLASS ACTION MAY PROCEED – 400+ FF – SPECIALTY PAY NOT ADDED TO “REGULAR RATE OF PAY”</w:t>
      </w:r>
    </w:p>
    <w:p w14:paraId="455574E8" w14:textId="77777777" w:rsidR="003E0A22" w:rsidRDefault="003E0A22" w:rsidP="003E0A22">
      <w:pPr>
        <w:rPr>
          <w:rFonts w:ascii="Times New Roman" w:hAnsi="Times New Roman"/>
          <w:sz w:val="24"/>
          <w:szCs w:val="24"/>
        </w:rPr>
      </w:pPr>
      <w:r>
        <w:rPr>
          <w:rFonts w:ascii="Times New Roman" w:hAnsi="Times New Roman"/>
          <w:sz w:val="24"/>
          <w:szCs w:val="24"/>
        </w:rPr>
        <w:t xml:space="preserve">On March 30, 2021, in </w:t>
      </w:r>
      <w:r w:rsidRPr="00EE3F62">
        <w:rPr>
          <w:rFonts w:ascii="Times New Roman" w:hAnsi="Times New Roman"/>
          <w:sz w:val="24"/>
          <w:szCs w:val="24"/>
          <w:u w:val="single"/>
        </w:rPr>
        <w:t>Craig Adams and Joseph Knopp, individually and on behalf of similarly situated plaintiffs v. City of Kansas, Missouri</w:t>
      </w:r>
      <w:r>
        <w:rPr>
          <w:rFonts w:ascii="Times New Roman" w:hAnsi="Times New Roman"/>
          <w:sz w:val="24"/>
          <w:szCs w:val="24"/>
        </w:rPr>
        <w:t>, U.S. Magistrate W. Brian Gaddy denied the City’s motion to decertify the class action, where 474 firefighters submitted consent forms to join the class action (91 firefighters who did not receive the specialty pay since 2016 were with agreement dropped from the case).   The Complaint, filed in 2019, alleges that City failed to increase the firefighters “regular rate of pay” for those FF receiving specialty pay, including members of the Hazards Material Team (3%); members of ARFF receive a 5% pay increase; Instructors (10%); FTO’s (5%); EST maintaining cardiac monitors and hydraulic cots (10%); cross trained FF / EMS assigned to combined rescue and Squad (3%).</w:t>
      </w:r>
    </w:p>
    <w:p w14:paraId="7A72B887" w14:textId="77777777" w:rsidR="003E0A22" w:rsidRDefault="003E0A22" w:rsidP="003E0A22">
      <w:pPr>
        <w:pStyle w:val="NormalWeb"/>
        <w:ind w:left="720"/>
      </w:pPr>
      <w:r>
        <w:t>“</w:t>
      </w:r>
      <w:r w:rsidRPr="006F4267">
        <w:t xml:space="preserve">The Court notes the more than 400 collective action members have been and continue to be represented by the same law firm. Throughout more than two years of litigation, counsel has sought and continues to seek relief on behalf of the collective action members. </w:t>
      </w:r>
    </w:p>
    <w:p w14:paraId="1E1E017D" w14:textId="77777777" w:rsidR="003E0A22" w:rsidRPr="006F4267" w:rsidRDefault="003E0A22" w:rsidP="003E0A22">
      <w:pPr>
        <w:pStyle w:val="NormalWeb"/>
        <w:ind w:left="720"/>
      </w:pPr>
      <w:r>
        <w:t>***</w:t>
      </w:r>
    </w:p>
    <w:p w14:paraId="002BE85D" w14:textId="77777777" w:rsidR="003E0A22" w:rsidRDefault="003E0A22" w:rsidP="003E0A22">
      <w:pPr>
        <w:ind w:left="720"/>
        <w:rPr>
          <w:rFonts w:ascii="Times New Roman" w:hAnsi="Times New Roman"/>
          <w:sz w:val="24"/>
          <w:szCs w:val="24"/>
        </w:rPr>
      </w:pPr>
      <w:r w:rsidRPr="006F4267">
        <w:rPr>
          <w:rFonts w:ascii="Times New Roman" w:hAnsi="Times New Roman"/>
          <w:sz w:val="24"/>
          <w:szCs w:val="24"/>
        </w:rPr>
        <w:t xml:space="preserve">Here, the Court concludes collective adjudication reduces the burden on Plaintiffs through the pooling of resources and efficiently resolves common issues of law and fact arising from the City’s application of a pay policy. Not only would it be impractical or difficult for each collective action member to pursue his or her FLSA claim individually, the legal questions and common factual issues lend themselves to resolution through common evidence. By permitting this matter to proceed as a collective action, the result will be one judgment. </w:t>
      </w:r>
      <w:proofErr w:type="gramStart"/>
      <w:r w:rsidRPr="006F4267">
        <w:rPr>
          <w:rFonts w:ascii="Times New Roman" w:hAnsi="Times New Roman"/>
          <w:sz w:val="24"/>
          <w:szCs w:val="24"/>
        </w:rPr>
        <w:t>Whereas,</w:t>
      </w:r>
      <w:proofErr w:type="gramEnd"/>
      <w:r w:rsidRPr="006F4267">
        <w:rPr>
          <w:rFonts w:ascii="Times New Roman" w:hAnsi="Times New Roman"/>
          <w:sz w:val="24"/>
          <w:szCs w:val="24"/>
        </w:rPr>
        <w:t xml:space="preserve"> decertification could result in hundreds of individual trials. See </w:t>
      </w:r>
      <w:proofErr w:type="spellStart"/>
      <w:r w:rsidRPr="006F4267">
        <w:rPr>
          <w:rFonts w:ascii="Times New Roman" w:hAnsi="Times New Roman"/>
          <w:sz w:val="24"/>
          <w:szCs w:val="24"/>
        </w:rPr>
        <w:t>Kautsch</w:t>
      </w:r>
      <w:proofErr w:type="spellEnd"/>
      <w:r w:rsidRPr="006F4267">
        <w:rPr>
          <w:rFonts w:ascii="Times New Roman" w:hAnsi="Times New Roman"/>
          <w:sz w:val="24"/>
          <w:szCs w:val="24"/>
        </w:rPr>
        <w:t>, 2008 WL 294271, at *4; see also Shoots, 325 F.R.D. at 279-80. Accordingly, the issues will be efficiently resolved for the parties and the Court.</w:t>
      </w:r>
      <w:r>
        <w:t xml:space="preserve">” </w:t>
      </w:r>
      <w:hyperlink r:id="rId1893" w:history="1">
        <w:r w:rsidRPr="0041276B">
          <w:rPr>
            <w:rStyle w:val="Hyperlink"/>
            <w:rFonts w:ascii="Times New Roman" w:hAnsi="Times New Roman"/>
            <w:sz w:val="24"/>
            <w:szCs w:val="24"/>
          </w:rPr>
          <w:t>https://casetext.com/case/adams-v-city-of-kan-city-1</w:t>
        </w:r>
      </w:hyperlink>
      <w:r w:rsidRPr="005D1860">
        <w:rPr>
          <w:rFonts w:ascii="Times New Roman" w:hAnsi="Times New Roman"/>
          <w:sz w:val="24"/>
          <w:szCs w:val="24"/>
        </w:rPr>
        <w:t xml:space="preserve">  </w:t>
      </w:r>
    </w:p>
    <w:p w14:paraId="4D772AC9" w14:textId="77777777" w:rsidR="003E0A22" w:rsidRPr="005C2B75" w:rsidRDefault="003E0A22" w:rsidP="003E0A22">
      <w:pPr>
        <w:pStyle w:val="NormalWeb"/>
      </w:pPr>
      <w:r w:rsidRPr="005C2B75">
        <w:rPr>
          <w:b/>
          <w:bCs/>
        </w:rPr>
        <w:t>Legal Lesson Learned:</w:t>
      </w:r>
      <w:r>
        <w:rPr>
          <w:b/>
          <w:bCs/>
        </w:rPr>
        <w:t xml:space="preserve"> Case will now proceed to trial.  See the Complaint: </w:t>
      </w:r>
      <w:hyperlink r:id="rId1894" w:history="1">
        <w:r w:rsidRPr="005C2B75">
          <w:rPr>
            <w:rStyle w:val="Hyperlink"/>
          </w:rPr>
          <w:t>http://www.firefighterovertime.org/wp-content/uploads/2021/04/KC-MO-FF-FLSA-Complaint-1.pdf</w:t>
        </w:r>
      </w:hyperlink>
      <w:r w:rsidRPr="005C2B75">
        <w:t xml:space="preserve"> </w:t>
      </w:r>
    </w:p>
    <w:p w14:paraId="6FB13DDA" w14:textId="77777777" w:rsidR="003E0A22" w:rsidRPr="005C2B75" w:rsidRDefault="003E0A22" w:rsidP="003E0A22">
      <w:pPr>
        <w:pStyle w:val="NormalWeb"/>
        <w:ind w:left="720"/>
      </w:pPr>
      <w:r>
        <w:t xml:space="preserve">Note: See this helpful U.S. Department of Labor, Wage &amp; Hour instructions on “regular rate of pay” (Dec. 2019): </w:t>
      </w:r>
      <w:hyperlink r:id="rId1895" w:history="1">
        <w:r w:rsidRPr="0094590E">
          <w:rPr>
            <w:rStyle w:val="Hyperlink"/>
          </w:rPr>
          <w:t>https://www.dol.gov/agencies/whd/fact-sheets/56a-regular-rate</w:t>
        </w:r>
      </w:hyperlink>
      <w:r>
        <w:t xml:space="preserve"> </w:t>
      </w:r>
    </w:p>
    <w:p w14:paraId="7D9ED66B" w14:textId="77777777" w:rsidR="003E0A22" w:rsidRDefault="003E0A22" w:rsidP="003E0A22">
      <w:pPr>
        <w:pStyle w:val="NormalWeb"/>
        <w:ind w:left="720"/>
        <w:rPr>
          <w:rFonts w:ascii="Arial" w:hAnsi="Arial" w:cs="Arial"/>
          <w:sz w:val="30"/>
          <w:szCs w:val="30"/>
        </w:rPr>
      </w:pPr>
      <w:r>
        <w:t xml:space="preserve">“Under the FLSA, the regular rate includes ‘all remuneration for employment paid to, or on behalf of, the employee.’ The FLSA (29 USC § 207(e)) provides an exhaustive list of types of payments that can be excluded from the regular rate of pay when calculating overtime compensation.  Unless specifically noted, payments that are excludable from the regular rate may not be credited towards overtime compensation due under the FLSA.  Additional information regarding exclusions from the regular rate may be found in the regulations, </w:t>
      </w:r>
      <w:hyperlink r:id="rId1896" w:anchor="sp29.3.778.c" w:tgtFrame="_blank" w:history="1">
        <w:r>
          <w:rPr>
            <w:rStyle w:val="Hyperlink"/>
          </w:rPr>
          <w:t>29 C.F.R. § 778</w:t>
        </w:r>
      </w:hyperlink>
      <w:r>
        <w:t>.200-.225.”</w:t>
      </w:r>
    </w:p>
    <w:p w14:paraId="6524F740" w14:textId="77777777" w:rsidR="003E0A22" w:rsidRDefault="003E0A22" w:rsidP="00F326E5">
      <w:pPr>
        <w:rPr>
          <w:rFonts w:ascii="Arial Black" w:hAnsi="Arial Black"/>
          <w:b/>
          <w:sz w:val="24"/>
          <w:szCs w:val="24"/>
        </w:rPr>
      </w:pPr>
    </w:p>
    <w:p w14:paraId="5642E57C" w14:textId="77777777" w:rsidR="003E0A22" w:rsidRDefault="003E0A22" w:rsidP="00F326E5">
      <w:pPr>
        <w:rPr>
          <w:rFonts w:ascii="Arial Black" w:hAnsi="Arial Black"/>
          <w:b/>
          <w:sz w:val="24"/>
          <w:szCs w:val="24"/>
        </w:rPr>
      </w:pPr>
    </w:p>
    <w:p w14:paraId="66993A39" w14:textId="18C10217" w:rsidR="00EB2493" w:rsidRDefault="00EB2493"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9</w:t>
      </w:r>
    </w:p>
    <w:p w14:paraId="01B977B2" w14:textId="77777777" w:rsidR="00EB2493" w:rsidRPr="002D1748" w:rsidRDefault="00EB2493" w:rsidP="00EB2493">
      <w:pPr>
        <w:pStyle w:val="Heading1"/>
        <w:rPr>
          <w:rFonts w:ascii="Arial Black" w:hAnsi="Arial Black"/>
          <w:sz w:val="28"/>
          <w:szCs w:val="28"/>
        </w:rPr>
      </w:pPr>
      <w:bookmarkStart w:id="386" w:name="_Hlk66948836"/>
      <w:r>
        <w:rPr>
          <w:rFonts w:ascii="Arial Black" w:hAnsi="Arial Black"/>
          <w:sz w:val="28"/>
          <w:szCs w:val="28"/>
        </w:rPr>
        <w:t>CA: $3.4M FLSA SETTLEMENT – FF CASH IF DON’T USE MEDICAL BENEFITS - “REGULAR RATE” PAY IMPACT</w:t>
      </w:r>
    </w:p>
    <w:p w14:paraId="29DB577E" w14:textId="1A1832F7" w:rsidR="00EB2493" w:rsidRDefault="00EB2493" w:rsidP="00EB2493">
      <w:pPr>
        <w:pStyle w:val="Heading1"/>
        <w:rPr>
          <w:b w:val="0"/>
          <w:bCs w:val="0"/>
          <w:sz w:val="24"/>
          <w:szCs w:val="24"/>
        </w:rPr>
      </w:pPr>
      <w:r>
        <w:rPr>
          <w:b w:val="0"/>
          <w:bCs w:val="0"/>
          <w:sz w:val="24"/>
          <w:szCs w:val="24"/>
        </w:rPr>
        <w:t xml:space="preserve">On Feb. 8, 2021, in </w:t>
      </w:r>
      <w:r w:rsidRPr="002D1748">
        <w:rPr>
          <w:b w:val="0"/>
          <w:bCs w:val="0"/>
          <w:sz w:val="24"/>
          <w:szCs w:val="24"/>
          <w:u w:val="single"/>
        </w:rPr>
        <w:t>Eric Kelley, et al. v. City of San Diego</w:t>
      </w:r>
      <w:r>
        <w:rPr>
          <w:b w:val="0"/>
          <w:bCs w:val="0"/>
          <w:sz w:val="24"/>
          <w:szCs w:val="24"/>
        </w:rPr>
        <w:t xml:space="preserve">, U.S. District Court Judge Gonzalo P. Curiel, U.S. District Court for Southern District of California, approved this settlement; if a firefighter’s spouse has medical coverage from the spouse’s employer, the City pay the firefighter “cash-in-lieu” of using City’s insurance.  </w:t>
      </w:r>
      <w:bookmarkEnd w:id="386"/>
      <w:r>
        <w:rPr>
          <w:b w:val="0"/>
          <w:bCs w:val="0"/>
          <w:sz w:val="24"/>
          <w:szCs w:val="24"/>
        </w:rPr>
        <w:t>In a 2016 decision by the U.S. Court of Appeals for the 9</w:t>
      </w:r>
      <w:r w:rsidRPr="002D1748">
        <w:rPr>
          <w:b w:val="0"/>
          <w:bCs w:val="0"/>
          <w:sz w:val="24"/>
          <w:szCs w:val="24"/>
          <w:vertAlign w:val="superscript"/>
        </w:rPr>
        <w:t>th</w:t>
      </w:r>
      <w:r>
        <w:rPr>
          <w:b w:val="0"/>
          <w:bCs w:val="0"/>
          <w:sz w:val="24"/>
          <w:szCs w:val="24"/>
        </w:rPr>
        <w:t xml:space="preserve"> Circuit, </w:t>
      </w:r>
      <w:r w:rsidRPr="002D1748">
        <w:rPr>
          <w:b w:val="0"/>
          <w:bCs w:val="0"/>
          <w:i/>
          <w:iCs/>
          <w:sz w:val="24"/>
          <w:szCs w:val="24"/>
        </w:rPr>
        <w:t>Flores v</w:t>
      </w:r>
      <w:r w:rsidRPr="002D1748">
        <w:rPr>
          <w:b w:val="0"/>
          <w:bCs w:val="0"/>
          <w:sz w:val="24"/>
          <w:szCs w:val="24"/>
        </w:rPr>
        <w:t xml:space="preserve">. </w:t>
      </w:r>
      <w:r w:rsidRPr="002D1748">
        <w:rPr>
          <w:b w:val="0"/>
          <w:bCs w:val="0"/>
          <w:i/>
          <w:iCs/>
          <w:sz w:val="24"/>
          <w:szCs w:val="24"/>
        </w:rPr>
        <w:t>City of San Gabriel</w:t>
      </w:r>
      <w:r w:rsidRPr="002D1748">
        <w:rPr>
          <w:b w:val="0"/>
          <w:bCs w:val="0"/>
          <w:sz w:val="24"/>
          <w:szCs w:val="24"/>
        </w:rPr>
        <w:t>, 824 F.3d 890, 895 (9th Cir. 2016)</w:t>
      </w:r>
      <w:r>
        <w:rPr>
          <w:b w:val="0"/>
          <w:bCs w:val="0"/>
          <w:sz w:val="24"/>
          <w:szCs w:val="24"/>
        </w:rPr>
        <w:t>, the City of San Gabriel provided a “Flexible Benefit Plan” where a designated monetary amount was furnished to each employee for purchase of medical, vision and dental benefits.  Employees could decline the purchase of medical benefits on proof of alternate coverage, such as spouse’s medical coverage.  9</w:t>
      </w:r>
      <w:r w:rsidRPr="00A47DED">
        <w:rPr>
          <w:b w:val="0"/>
          <w:bCs w:val="0"/>
          <w:sz w:val="24"/>
          <w:szCs w:val="24"/>
          <w:vertAlign w:val="superscript"/>
        </w:rPr>
        <w:t>th</w:t>
      </w:r>
      <w:r>
        <w:rPr>
          <w:b w:val="0"/>
          <w:bCs w:val="0"/>
          <w:sz w:val="24"/>
          <w:szCs w:val="24"/>
        </w:rPr>
        <w:t xml:space="preserve"> Circuit held that these guaranteed cash payments (42% - 47%; over $1,000 per month) must be treated like other guaranteed employee payments [such as annual Medic bonuses] to increase the “regular rate” of pay when calculating overtime pay. </w:t>
      </w:r>
    </w:p>
    <w:p w14:paraId="5EB839D7" w14:textId="77777777" w:rsidR="00EB2493" w:rsidRDefault="00EB2493" w:rsidP="00EB2493">
      <w:pPr>
        <w:pStyle w:val="Heading1"/>
        <w:ind w:left="720"/>
        <w:rPr>
          <w:b w:val="0"/>
          <w:bCs w:val="0"/>
          <w:sz w:val="24"/>
          <w:szCs w:val="24"/>
        </w:rPr>
      </w:pPr>
      <w:r>
        <w:rPr>
          <w:b w:val="0"/>
          <w:bCs w:val="0"/>
          <w:sz w:val="24"/>
          <w:szCs w:val="24"/>
        </w:rPr>
        <w:t>“</w:t>
      </w:r>
      <w:r w:rsidRPr="002D1748">
        <w:rPr>
          <w:b w:val="0"/>
          <w:bCs w:val="0"/>
          <w:sz w:val="24"/>
          <w:szCs w:val="24"/>
        </w:rPr>
        <w:t>The Parties now move for the Court to approve the Settlement Agreement, which provides that the City will pay a total sum of $3,400,000, comprised of three elements: A payment of back overtime of $1,575,000, liquidated damages of $1,575,000, and a payment by the City of $250,000 towards Plaintiffs' attorney's fees and litigation costs.</w:t>
      </w:r>
    </w:p>
    <w:p w14:paraId="5C8FC85E" w14:textId="77777777" w:rsidR="00EB2493" w:rsidRDefault="00EB2493" w:rsidP="00EB2493">
      <w:pPr>
        <w:pStyle w:val="Heading1"/>
        <w:ind w:left="720"/>
        <w:rPr>
          <w:b w:val="0"/>
          <w:bCs w:val="0"/>
          <w:sz w:val="24"/>
          <w:szCs w:val="24"/>
        </w:rPr>
      </w:pPr>
      <w:r>
        <w:rPr>
          <w:b w:val="0"/>
          <w:bCs w:val="0"/>
          <w:sz w:val="24"/>
          <w:szCs w:val="24"/>
        </w:rPr>
        <w:t>***</w:t>
      </w:r>
    </w:p>
    <w:p w14:paraId="5DD2F979" w14:textId="1306A122" w:rsidR="00EB2493" w:rsidRPr="00EB2493" w:rsidRDefault="00EB2493" w:rsidP="00EB2493">
      <w:pPr>
        <w:rPr>
          <w:rFonts w:ascii="Times New Roman" w:hAnsi="Times New Roman"/>
          <w:b/>
          <w:sz w:val="24"/>
          <w:szCs w:val="24"/>
        </w:rPr>
      </w:pPr>
      <w:r w:rsidRPr="00EB2493">
        <w:rPr>
          <w:rFonts w:ascii="Times New Roman" w:hAnsi="Times New Roman"/>
          <w:sz w:val="24"/>
          <w:szCs w:val="24"/>
        </w:rPr>
        <w:t xml:space="preserve">This case involves a wage-and-hour class action, wherein Plaintiffs are non-exempt City of San Diego employees of the City' Fire Department who argue that they are entitled to overtime compensation under the Fair Labor Standards Act ("FLSA"), 29 U.S.C. § 201, </w:t>
      </w:r>
      <w:r w:rsidRPr="00EB2493">
        <w:rPr>
          <w:rFonts w:ascii="Times New Roman" w:hAnsi="Times New Roman"/>
          <w:i/>
          <w:iCs/>
          <w:sz w:val="24"/>
          <w:szCs w:val="24"/>
        </w:rPr>
        <w:t>et seq</w:t>
      </w:r>
      <w:r w:rsidRPr="00EB2493">
        <w:rPr>
          <w:rFonts w:ascii="Times New Roman" w:hAnsi="Times New Roman"/>
          <w:sz w:val="24"/>
          <w:szCs w:val="24"/>
        </w:rPr>
        <w:t xml:space="preserve">. and seek unpaid overtime compensation, liquidated damages, and reasonable attorney's fees on the basis of the Ninth Circuit decision </w:t>
      </w:r>
      <w:r w:rsidRPr="00EB2493">
        <w:rPr>
          <w:rFonts w:ascii="Times New Roman" w:hAnsi="Times New Roman"/>
          <w:i/>
          <w:iCs/>
          <w:sz w:val="24"/>
          <w:szCs w:val="24"/>
        </w:rPr>
        <w:t>Flores v</w:t>
      </w:r>
      <w:r w:rsidRPr="00EB2493">
        <w:rPr>
          <w:rFonts w:ascii="Times New Roman" w:hAnsi="Times New Roman"/>
          <w:sz w:val="24"/>
          <w:szCs w:val="24"/>
        </w:rPr>
        <w:t xml:space="preserve">. </w:t>
      </w:r>
      <w:r w:rsidRPr="00EB2493">
        <w:rPr>
          <w:rFonts w:ascii="Times New Roman" w:hAnsi="Times New Roman"/>
          <w:i/>
          <w:iCs/>
          <w:sz w:val="24"/>
          <w:szCs w:val="24"/>
        </w:rPr>
        <w:t>City of San Gabriel</w:t>
      </w:r>
      <w:r w:rsidRPr="00EB2493">
        <w:rPr>
          <w:rFonts w:ascii="Times New Roman" w:hAnsi="Times New Roman"/>
          <w:sz w:val="24"/>
          <w:szCs w:val="24"/>
        </w:rPr>
        <w:t xml:space="preserve">, 824 F.3d 890, 895 (9th Cir. 2016). </w:t>
      </w:r>
      <w:r w:rsidRPr="00EB2493">
        <w:rPr>
          <w:rFonts w:ascii="Times New Roman" w:hAnsi="Times New Roman"/>
          <w:i/>
          <w:iCs/>
          <w:sz w:val="24"/>
          <w:szCs w:val="24"/>
        </w:rPr>
        <w:t>Flores</w:t>
      </w:r>
      <w:r w:rsidRPr="00EB2493">
        <w:rPr>
          <w:rFonts w:ascii="Times New Roman" w:hAnsi="Times New Roman"/>
          <w:sz w:val="24"/>
          <w:szCs w:val="24"/>
        </w:rPr>
        <w:t xml:space="preserve"> held that employees who did not spend the whole of their allocated flex benefit plan dollars received the unused portions as cash, sometimes referred to as ‘cash-in-lieu’ (‘CIL’) payments, and that the employee's CIL payments must be included in the calculation of the regular rate of pay for overtime payments under FLSA. </w:t>
      </w:r>
      <w:r w:rsidRPr="00EB2493">
        <w:rPr>
          <w:rFonts w:ascii="Times New Roman" w:hAnsi="Times New Roman"/>
          <w:i/>
          <w:iCs/>
          <w:sz w:val="24"/>
          <w:szCs w:val="24"/>
        </w:rPr>
        <w:t>Flores</w:t>
      </w:r>
      <w:r w:rsidRPr="00EB2493">
        <w:rPr>
          <w:rFonts w:ascii="Times New Roman" w:hAnsi="Times New Roman"/>
          <w:sz w:val="24"/>
          <w:szCs w:val="24"/>
        </w:rPr>
        <w:t xml:space="preserve">, 824 F.3d at 901-02. </w:t>
      </w:r>
      <w:r w:rsidRPr="00EB2493">
        <w:rPr>
          <w:rFonts w:ascii="Times New Roman" w:hAnsi="Times New Roman"/>
          <w:i/>
          <w:iCs/>
          <w:sz w:val="24"/>
          <w:szCs w:val="24"/>
        </w:rPr>
        <w:t>Flores</w:t>
      </w:r>
      <w:r w:rsidRPr="00EB2493">
        <w:rPr>
          <w:rFonts w:ascii="Times New Roman" w:hAnsi="Times New Roman"/>
          <w:sz w:val="24"/>
          <w:szCs w:val="24"/>
        </w:rPr>
        <w:t xml:space="preserve"> additionally held that the total value of flex benefit dollars provided by the flexible benefits plan ("FBP") became eligible for inclusion in the regular rate of pay when calculating overtime payments under FLSA because it was not a ‘bona fide’ plan. </w:t>
      </w:r>
      <w:r w:rsidRPr="00EB2493">
        <w:rPr>
          <w:rFonts w:ascii="Times New Roman" w:hAnsi="Times New Roman"/>
          <w:i/>
          <w:iCs/>
          <w:sz w:val="24"/>
          <w:szCs w:val="24"/>
        </w:rPr>
        <w:t>Id</w:t>
      </w:r>
      <w:r w:rsidRPr="00EB2493">
        <w:rPr>
          <w:rFonts w:ascii="Times New Roman" w:hAnsi="Times New Roman"/>
          <w:sz w:val="24"/>
          <w:szCs w:val="24"/>
        </w:rPr>
        <w:t xml:space="preserve">. at 903.”  </w:t>
      </w:r>
      <w:bookmarkStart w:id="387" w:name="_Hlk66948897"/>
      <w:r w:rsidR="00F00958">
        <w:fldChar w:fldCharType="begin"/>
      </w:r>
      <w:r w:rsidR="00F00958">
        <w:instrText xml:space="preserve"> HYPERLINK "https://casetext.com/case/kelley-v-city-of-san-diego" </w:instrText>
      </w:r>
      <w:r w:rsidR="00F00958">
        <w:fldChar w:fldCharType="separate"/>
      </w:r>
      <w:r w:rsidRPr="00EB2493">
        <w:rPr>
          <w:rStyle w:val="Hyperlink"/>
          <w:rFonts w:ascii="Times New Roman" w:hAnsi="Times New Roman"/>
          <w:sz w:val="24"/>
          <w:szCs w:val="24"/>
        </w:rPr>
        <w:t>https://casetext.com/case/kelley-v-city-of-san-diego</w:t>
      </w:r>
      <w:r w:rsidR="00F00958">
        <w:rPr>
          <w:rStyle w:val="Hyperlink"/>
          <w:rFonts w:ascii="Times New Roman" w:hAnsi="Times New Roman"/>
          <w:sz w:val="24"/>
          <w:szCs w:val="24"/>
        </w:rPr>
        <w:fldChar w:fldCharType="end"/>
      </w:r>
    </w:p>
    <w:p w14:paraId="1F514879"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A47DED">
        <w:rPr>
          <w:rFonts w:ascii="Times New Roman" w:hAnsi="Times New Roman"/>
          <w:b/>
          <w:bCs/>
          <w:sz w:val="24"/>
          <w:szCs w:val="24"/>
        </w:rPr>
        <w:t>Legal Lesson Learned:</w:t>
      </w:r>
      <w:r>
        <w:rPr>
          <w:rFonts w:ascii="Times New Roman" w:hAnsi="Times New Roman"/>
          <w:b/>
          <w:bCs/>
          <w:sz w:val="24"/>
          <w:szCs w:val="24"/>
        </w:rPr>
        <w:t xml:space="preserve"> If your FD pays “cash-in-lieu” payments for unused medical or other benefits, consult with Legal Counsel and U.S. Department of Labor on its impact on the “regular rate” of pay for your personnel. </w:t>
      </w:r>
    </w:p>
    <w:p w14:paraId="0C56096D" w14:textId="77777777" w:rsidR="00EB2493" w:rsidRPr="00451D4E" w:rsidRDefault="00EB2493" w:rsidP="00EB2493">
      <w:pPr>
        <w:ind w:left="720"/>
        <w:rPr>
          <w:rFonts w:ascii="Times New Roman" w:eastAsia="Times New Roman" w:hAnsi="Times New Roman"/>
          <w:sz w:val="24"/>
          <w:szCs w:val="24"/>
        </w:rPr>
      </w:pPr>
      <w:r>
        <w:rPr>
          <w:rFonts w:ascii="Times New Roman" w:hAnsi="Times New Roman"/>
          <w:sz w:val="24"/>
          <w:szCs w:val="24"/>
        </w:rPr>
        <w:t xml:space="preserve">Note:  See U.S. Department of Labor revised regulations.  29 CFR </w:t>
      </w:r>
      <w:r w:rsidRPr="00451D4E">
        <w:rPr>
          <w:rFonts w:ascii="Times New Roman" w:eastAsia="Times New Roman" w:hAnsi="Times New Roman"/>
          <w:sz w:val="24"/>
          <w:szCs w:val="24"/>
        </w:rPr>
        <w:t>§ 778.215</w:t>
      </w:r>
      <w:r>
        <w:rPr>
          <w:rFonts w:ascii="Times New Roman" w:eastAsia="Times New Roman" w:hAnsi="Times New Roman"/>
          <w:sz w:val="24"/>
          <w:szCs w:val="24"/>
        </w:rPr>
        <w:t>,</w:t>
      </w:r>
      <w:r w:rsidRPr="00451D4E">
        <w:rPr>
          <w:rFonts w:ascii="Times New Roman" w:eastAsia="Times New Roman" w:hAnsi="Times New Roman"/>
          <w:sz w:val="24"/>
          <w:szCs w:val="24"/>
        </w:rPr>
        <w:t xml:space="preserve"> Conditions for exclusion of benefit-plan contributions under section 7(e)(4).</w:t>
      </w:r>
      <w:r>
        <w:rPr>
          <w:rFonts w:ascii="Times New Roman" w:eastAsia="Times New Roman" w:hAnsi="Times New Roman"/>
          <w:sz w:val="24"/>
          <w:szCs w:val="24"/>
        </w:rPr>
        <w:t xml:space="preserve"> </w:t>
      </w:r>
      <w:hyperlink r:id="rId1897" w:history="1">
        <w:r w:rsidRPr="00FE7279">
          <w:rPr>
            <w:rStyle w:val="Hyperlink"/>
            <w:rFonts w:ascii="Times New Roman" w:eastAsia="Times New Roman" w:hAnsi="Times New Roman"/>
            <w:sz w:val="24"/>
            <w:szCs w:val="24"/>
          </w:rPr>
          <w:t>https://www.law.cornell.edu/cfr/text/29/778.215</w:t>
        </w:r>
      </w:hyperlink>
      <w:r>
        <w:rPr>
          <w:rFonts w:ascii="Times New Roman" w:eastAsia="Times New Roman" w:hAnsi="Times New Roman"/>
          <w:sz w:val="24"/>
          <w:szCs w:val="24"/>
        </w:rPr>
        <w:t xml:space="preserve"> </w:t>
      </w:r>
      <w:r w:rsidRPr="00451D4E">
        <w:rPr>
          <w:rFonts w:ascii="Times New Roman" w:eastAsia="Times New Roman" w:hAnsi="Times New Roman"/>
          <w:sz w:val="24"/>
          <w:szCs w:val="24"/>
        </w:rPr>
        <w:t xml:space="preserve"> </w:t>
      </w:r>
    </w:p>
    <w:bookmarkEnd w:id="387"/>
    <w:p w14:paraId="5BB4484D" w14:textId="77777777" w:rsidR="00EB2493" w:rsidRPr="00451D4E"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Aug. 11, </w:t>
      </w:r>
      <w:proofErr w:type="gramStart"/>
      <w:r>
        <w:rPr>
          <w:rFonts w:ascii="Times New Roman" w:hAnsi="Times New Roman"/>
          <w:sz w:val="24"/>
          <w:szCs w:val="24"/>
        </w:rPr>
        <w:t>2016</w:t>
      </w:r>
      <w:proofErr w:type="gramEnd"/>
      <w:r>
        <w:rPr>
          <w:rFonts w:ascii="Times New Roman" w:hAnsi="Times New Roman"/>
          <w:sz w:val="24"/>
          <w:szCs w:val="24"/>
        </w:rPr>
        <w:t xml:space="preserve"> article from California law firm about </w:t>
      </w:r>
      <w:r w:rsidRPr="00451D4E">
        <w:rPr>
          <w:rFonts w:ascii="Times New Roman" w:hAnsi="Times New Roman"/>
          <w:i/>
          <w:iCs/>
          <w:sz w:val="24"/>
          <w:szCs w:val="24"/>
        </w:rPr>
        <w:t xml:space="preserve">Flores </w:t>
      </w:r>
      <w:r>
        <w:rPr>
          <w:rFonts w:ascii="Times New Roman" w:hAnsi="Times New Roman"/>
          <w:sz w:val="24"/>
          <w:szCs w:val="24"/>
        </w:rPr>
        <w:t xml:space="preserve">decision. </w:t>
      </w:r>
      <w:hyperlink r:id="rId1898" w:history="1">
        <w:r w:rsidRPr="00FE7279">
          <w:rPr>
            <w:rStyle w:val="Hyperlink"/>
            <w:rFonts w:ascii="Times New Roman" w:hAnsi="Times New Roman"/>
            <w:sz w:val="24"/>
            <w:szCs w:val="24"/>
          </w:rPr>
          <w:t>https://www.lcwlegal.com/news/cash-in-lieu-must-be-included-in-the-regular-rate-for-overtime-purposes-under-the-flsa-4</w:t>
        </w:r>
      </w:hyperlink>
      <w:r>
        <w:rPr>
          <w:rFonts w:ascii="Times New Roman" w:hAnsi="Times New Roman"/>
          <w:sz w:val="24"/>
          <w:szCs w:val="24"/>
        </w:rPr>
        <w:t xml:space="preserve"> </w:t>
      </w:r>
    </w:p>
    <w:p w14:paraId="13444602" w14:textId="77777777" w:rsidR="00EB2493" w:rsidRDefault="00EB2493" w:rsidP="00F326E5">
      <w:pPr>
        <w:rPr>
          <w:rFonts w:ascii="Arial Black" w:hAnsi="Arial Black"/>
          <w:b/>
          <w:sz w:val="24"/>
          <w:szCs w:val="24"/>
        </w:rPr>
      </w:pPr>
    </w:p>
    <w:p w14:paraId="2066E36F" w14:textId="77777777" w:rsidR="00EB2493" w:rsidRDefault="00EB2493" w:rsidP="00F326E5">
      <w:pPr>
        <w:rPr>
          <w:rFonts w:ascii="Arial Black" w:hAnsi="Arial Black"/>
          <w:b/>
          <w:sz w:val="24"/>
          <w:szCs w:val="24"/>
        </w:rPr>
      </w:pPr>
    </w:p>
    <w:p w14:paraId="690D20CC" w14:textId="3DDACDD2" w:rsidR="007F3C7D" w:rsidRDefault="007F3C7D"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8</w:t>
      </w:r>
    </w:p>
    <w:p w14:paraId="59CFBF11" w14:textId="77777777" w:rsidR="007F3C7D" w:rsidRPr="006C3119" w:rsidRDefault="007F3C7D" w:rsidP="007F3C7D">
      <w:pPr>
        <w:spacing w:before="100" w:beforeAutospacing="1" w:after="100" w:afterAutospacing="1" w:line="240" w:lineRule="auto"/>
        <w:rPr>
          <w:rFonts w:ascii="Arial Black" w:hAnsi="Arial Black"/>
          <w:sz w:val="28"/>
          <w:szCs w:val="28"/>
        </w:rPr>
      </w:pPr>
      <w:r>
        <w:rPr>
          <w:rFonts w:ascii="Arial Black" w:hAnsi="Arial Black"/>
          <w:sz w:val="28"/>
          <w:szCs w:val="28"/>
        </w:rPr>
        <w:t>NY: FDNY VEHICLE MAINTENANCE EMPLOYEES - CLAIM NOT PAID WORKING PRE-SHIFT OR LUNCH PERIOD – CASE TO TRIAL</w:t>
      </w:r>
    </w:p>
    <w:p w14:paraId="11E1DBC0" w14:textId="77777777" w:rsidR="007F3C7D" w:rsidRDefault="007F3C7D" w:rsidP="007F3C7D">
      <w:pPr>
        <w:rPr>
          <w:rFonts w:ascii="Times New Roman" w:hAnsi="Times New Roman"/>
          <w:sz w:val="24"/>
          <w:szCs w:val="24"/>
        </w:rPr>
      </w:pPr>
      <w:r w:rsidRPr="006C3119">
        <w:rPr>
          <w:rFonts w:ascii="Times New Roman" w:hAnsi="Times New Roman"/>
          <w:sz w:val="24"/>
          <w:szCs w:val="24"/>
        </w:rPr>
        <w:t xml:space="preserve">On </w:t>
      </w:r>
      <w:r>
        <w:rPr>
          <w:rFonts w:ascii="Times New Roman" w:hAnsi="Times New Roman"/>
          <w:sz w:val="24"/>
          <w:szCs w:val="24"/>
        </w:rPr>
        <w:t xml:space="preserve">Jan. 8, 2021, in </w:t>
      </w:r>
      <w:r w:rsidRPr="006C3119">
        <w:rPr>
          <w:rFonts w:ascii="Times New Roman" w:hAnsi="Times New Roman"/>
          <w:sz w:val="24"/>
          <w:szCs w:val="24"/>
          <w:u w:val="single"/>
        </w:rPr>
        <w:t>Christopher Viera, et al. v. City of New York</w:t>
      </w:r>
      <w:r>
        <w:rPr>
          <w:rFonts w:ascii="Times New Roman" w:hAnsi="Times New Roman"/>
          <w:sz w:val="24"/>
          <w:szCs w:val="24"/>
        </w:rPr>
        <w:t xml:space="preserve">, U.S. Magistrate Judge Stewart D. Aaron, U.S. District Court, Southern District of New York, held that neither the Plaintiffs, nor the </w:t>
      </w:r>
      <w:proofErr w:type="gramStart"/>
      <w:r>
        <w:rPr>
          <w:rFonts w:ascii="Times New Roman" w:hAnsi="Times New Roman"/>
          <w:sz w:val="24"/>
          <w:szCs w:val="24"/>
        </w:rPr>
        <w:t>City</w:t>
      </w:r>
      <w:proofErr w:type="gramEnd"/>
      <w:r>
        <w:rPr>
          <w:rFonts w:ascii="Times New Roman" w:hAnsi="Times New Roman"/>
          <w:sz w:val="24"/>
          <w:szCs w:val="24"/>
        </w:rPr>
        <w:t xml:space="preserve"> are entitled to summary judgment.  While there is an established process for employees to submit overtime hours into “Citytime” computer system, the employees claim that they often must start work early to locate and move </w:t>
      </w:r>
      <w:proofErr w:type="gramStart"/>
      <w:r>
        <w:rPr>
          <w:rFonts w:ascii="Times New Roman" w:hAnsi="Times New Roman"/>
          <w:sz w:val="24"/>
          <w:szCs w:val="24"/>
        </w:rPr>
        <w:t>vehicles, and</w:t>
      </w:r>
      <w:proofErr w:type="gramEnd"/>
      <w:r>
        <w:rPr>
          <w:rFonts w:ascii="Times New Roman" w:hAnsi="Times New Roman"/>
          <w:sz w:val="24"/>
          <w:szCs w:val="24"/>
        </w:rPr>
        <w:t xml:space="preserve"> also do work during their 30-minute lunch breaks, and that their Supervisors have directed them to not submit overtime unless it was “pre-approve.” </w:t>
      </w:r>
    </w:p>
    <w:p w14:paraId="20B80FCC" w14:textId="77777777" w:rsidR="007F3C7D" w:rsidRDefault="007F3C7D" w:rsidP="007F3C7D">
      <w:pPr>
        <w:ind w:left="720"/>
        <w:rPr>
          <w:rFonts w:ascii="Times New Roman" w:hAnsi="Times New Roman"/>
          <w:sz w:val="24"/>
          <w:szCs w:val="24"/>
        </w:rPr>
      </w:pPr>
      <w:r>
        <w:rPr>
          <w:rFonts w:ascii="Times New Roman" w:hAnsi="Times New Roman"/>
          <w:sz w:val="24"/>
          <w:szCs w:val="24"/>
        </w:rPr>
        <w:t>“</w:t>
      </w:r>
      <w:r w:rsidRPr="003503A8">
        <w:rPr>
          <w:rFonts w:ascii="Times New Roman" w:hAnsi="Times New Roman"/>
          <w:sz w:val="24"/>
          <w:szCs w:val="24"/>
        </w:rPr>
        <w:t xml:space="preserve">The </w:t>
      </w:r>
      <w:proofErr w:type="gramStart"/>
      <w:r w:rsidRPr="003503A8">
        <w:rPr>
          <w:rFonts w:ascii="Times New Roman" w:hAnsi="Times New Roman"/>
          <w:sz w:val="24"/>
          <w:szCs w:val="24"/>
        </w:rPr>
        <w:t>City</w:t>
      </w:r>
      <w:proofErr w:type="gramEnd"/>
      <w:r w:rsidRPr="003503A8">
        <w:rPr>
          <w:rFonts w:ascii="Times New Roman" w:hAnsi="Times New Roman"/>
          <w:sz w:val="24"/>
          <w:szCs w:val="24"/>
        </w:rPr>
        <w:t xml:space="preserve"> submits an expert declaration asserting that over 94% of the overtime requests that Plaintiffs submitted in </w:t>
      </w:r>
      <w:proofErr w:type="spellStart"/>
      <w:r w:rsidRPr="003503A8">
        <w:rPr>
          <w:rFonts w:ascii="Times New Roman" w:hAnsi="Times New Roman"/>
          <w:sz w:val="24"/>
          <w:szCs w:val="24"/>
        </w:rPr>
        <w:t>CityTime</w:t>
      </w:r>
      <w:proofErr w:type="spellEnd"/>
      <w:r w:rsidRPr="003503A8">
        <w:rPr>
          <w:rFonts w:ascii="Times New Roman" w:hAnsi="Times New Roman"/>
          <w:sz w:val="24"/>
          <w:szCs w:val="24"/>
        </w:rPr>
        <w:t xml:space="preserve"> during the relevant </w:t>
      </w:r>
      <w:proofErr w:type="gramStart"/>
      <w:r w:rsidRPr="003503A8">
        <w:rPr>
          <w:rFonts w:ascii="Times New Roman" w:hAnsi="Times New Roman"/>
          <w:sz w:val="24"/>
          <w:szCs w:val="24"/>
        </w:rPr>
        <w:t>time period</w:t>
      </w:r>
      <w:proofErr w:type="gramEnd"/>
      <w:r w:rsidRPr="003503A8">
        <w:rPr>
          <w:rFonts w:ascii="Times New Roman" w:hAnsi="Times New Roman"/>
          <w:sz w:val="24"/>
          <w:szCs w:val="24"/>
        </w:rPr>
        <w:t xml:space="preserve"> were approved.</w:t>
      </w:r>
    </w:p>
    <w:p w14:paraId="5042BDAE" w14:textId="77777777" w:rsidR="007F3C7D" w:rsidRDefault="007F3C7D" w:rsidP="007F3C7D">
      <w:pPr>
        <w:ind w:left="720"/>
        <w:rPr>
          <w:rFonts w:ascii="Times New Roman" w:hAnsi="Times New Roman"/>
          <w:sz w:val="24"/>
          <w:szCs w:val="24"/>
        </w:rPr>
      </w:pPr>
    </w:p>
    <w:p w14:paraId="2B739B5F" w14:textId="77777777" w:rsidR="007F3C7D" w:rsidRDefault="007F3C7D" w:rsidP="007F3C7D">
      <w:pPr>
        <w:ind w:left="720"/>
        <w:rPr>
          <w:rFonts w:ascii="Times New Roman" w:hAnsi="Times New Roman"/>
          <w:sz w:val="24"/>
          <w:szCs w:val="24"/>
        </w:rPr>
      </w:pPr>
      <w:r>
        <w:rPr>
          <w:rFonts w:ascii="Times New Roman" w:hAnsi="Times New Roman"/>
          <w:sz w:val="24"/>
          <w:szCs w:val="24"/>
        </w:rPr>
        <w:t>***</w:t>
      </w:r>
    </w:p>
    <w:p w14:paraId="0D1C5937" w14:textId="77777777" w:rsidR="007F3C7D" w:rsidRDefault="007F3C7D" w:rsidP="007F3C7D">
      <w:pPr>
        <w:ind w:left="720"/>
        <w:rPr>
          <w:rFonts w:ascii="Times New Roman" w:hAnsi="Times New Roman"/>
          <w:sz w:val="24"/>
          <w:szCs w:val="24"/>
        </w:rPr>
      </w:pPr>
      <w:r w:rsidRPr="000020A0">
        <w:rPr>
          <w:rFonts w:ascii="Times New Roman" w:hAnsi="Times New Roman"/>
          <w:sz w:val="24"/>
          <w:szCs w:val="24"/>
        </w:rPr>
        <w:t xml:space="preserve">For its part, Defendant argues that it is entitled to summary judgment on Count I because </w:t>
      </w:r>
      <w:r>
        <w:rPr>
          <w:rFonts w:ascii="Times New Roman" w:hAnsi="Times New Roman"/>
          <w:sz w:val="24"/>
          <w:szCs w:val="24"/>
        </w:rPr>
        <w:t>‘</w:t>
      </w:r>
      <w:r w:rsidRPr="000020A0">
        <w:rPr>
          <w:rFonts w:ascii="Times New Roman" w:hAnsi="Times New Roman"/>
          <w:sz w:val="24"/>
          <w:szCs w:val="24"/>
        </w:rPr>
        <w:t>it is undisputed that the allegedly uncompensated work time at issue in this case was not reported to the City through its timekeeping system, and therefore, the City did not have the requisite knowledge to establish liability.</w:t>
      </w:r>
      <w:r>
        <w:rPr>
          <w:rFonts w:ascii="Times New Roman" w:hAnsi="Times New Roman"/>
          <w:sz w:val="24"/>
          <w:szCs w:val="24"/>
        </w:rPr>
        <w:t>’</w:t>
      </w:r>
      <w:r w:rsidRPr="000020A0">
        <w:rPr>
          <w:rFonts w:ascii="Times New Roman" w:hAnsi="Times New Roman"/>
          <w:sz w:val="24"/>
          <w:szCs w:val="24"/>
        </w:rPr>
        <w:t xml:space="preserve"> (</w:t>
      </w:r>
      <w:proofErr w:type="spellStart"/>
      <w:r w:rsidRPr="000020A0">
        <w:rPr>
          <w:rFonts w:ascii="Times New Roman" w:hAnsi="Times New Roman"/>
          <w:sz w:val="24"/>
          <w:szCs w:val="24"/>
        </w:rPr>
        <w:t>Def.'s</w:t>
      </w:r>
      <w:proofErr w:type="spellEnd"/>
      <w:r w:rsidRPr="000020A0">
        <w:rPr>
          <w:rFonts w:ascii="Times New Roman" w:hAnsi="Times New Roman"/>
          <w:sz w:val="24"/>
          <w:szCs w:val="24"/>
        </w:rPr>
        <w:t xml:space="preserve"> Mem. at 4.) </w:t>
      </w:r>
      <w:r>
        <w:rPr>
          <w:rFonts w:ascii="Times New Roman" w:hAnsi="Times New Roman"/>
          <w:sz w:val="24"/>
          <w:szCs w:val="24"/>
        </w:rPr>
        <w:t>‘</w:t>
      </w:r>
      <w:r w:rsidRPr="000020A0">
        <w:rPr>
          <w:rFonts w:ascii="Times New Roman" w:hAnsi="Times New Roman"/>
          <w:sz w:val="24"/>
          <w:szCs w:val="24"/>
        </w:rPr>
        <w:t xml:space="preserve">The </w:t>
      </w:r>
      <w:proofErr w:type="gramStart"/>
      <w:r w:rsidRPr="000020A0">
        <w:rPr>
          <w:rFonts w:ascii="Times New Roman" w:hAnsi="Times New Roman"/>
          <w:sz w:val="24"/>
          <w:szCs w:val="24"/>
        </w:rPr>
        <w:t>City</w:t>
      </w:r>
      <w:proofErr w:type="gramEnd"/>
      <w:r w:rsidRPr="000020A0">
        <w:rPr>
          <w:rFonts w:ascii="Times New Roman" w:hAnsi="Times New Roman"/>
          <w:sz w:val="24"/>
          <w:szCs w:val="24"/>
        </w:rPr>
        <w:t xml:space="preserve"> has made this [same] argument repeatedly in FLSA overtime litigation in this District and it has been unanimously rejected.</w:t>
      </w:r>
      <w:r>
        <w:rPr>
          <w:rFonts w:ascii="Times New Roman" w:hAnsi="Times New Roman"/>
          <w:sz w:val="24"/>
          <w:szCs w:val="24"/>
        </w:rPr>
        <w:t>’</w:t>
      </w:r>
      <w:r w:rsidRPr="000020A0">
        <w:rPr>
          <w:rFonts w:ascii="Times New Roman" w:hAnsi="Times New Roman"/>
          <w:sz w:val="24"/>
          <w:szCs w:val="24"/>
        </w:rPr>
        <w:t xml:space="preserve"> </w:t>
      </w:r>
      <w:proofErr w:type="spellStart"/>
      <w:r w:rsidRPr="000020A0">
        <w:rPr>
          <w:rFonts w:ascii="Times New Roman" w:hAnsi="Times New Roman"/>
          <w:i/>
          <w:iCs/>
          <w:sz w:val="24"/>
          <w:szCs w:val="24"/>
        </w:rPr>
        <w:t>Lawtone</w:t>
      </w:r>
      <w:proofErr w:type="spellEnd"/>
      <w:r w:rsidRPr="000020A0">
        <w:rPr>
          <w:rFonts w:ascii="Times New Roman" w:hAnsi="Times New Roman"/>
          <w:i/>
          <w:iCs/>
          <w:sz w:val="24"/>
          <w:szCs w:val="24"/>
        </w:rPr>
        <w:t>-Bowles</w:t>
      </w:r>
      <w:r w:rsidRPr="000020A0">
        <w:rPr>
          <w:rFonts w:ascii="Times New Roman" w:hAnsi="Times New Roman"/>
          <w:sz w:val="24"/>
          <w:szCs w:val="24"/>
        </w:rPr>
        <w:t xml:space="preserve">, 2020 WL 2833366, at *4. Here, as in </w:t>
      </w:r>
      <w:proofErr w:type="spellStart"/>
      <w:r w:rsidRPr="000020A0">
        <w:rPr>
          <w:rFonts w:ascii="Times New Roman" w:hAnsi="Times New Roman"/>
          <w:i/>
          <w:iCs/>
          <w:sz w:val="24"/>
          <w:szCs w:val="24"/>
        </w:rPr>
        <w:t>Lawtone</w:t>
      </w:r>
      <w:proofErr w:type="spellEnd"/>
      <w:r w:rsidRPr="000020A0">
        <w:rPr>
          <w:rFonts w:ascii="Times New Roman" w:hAnsi="Times New Roman"/>
          <w:i/>
          <w:iCs/>
          <w:sz w:val="24"/>
          <w:szCs w:val="24"/>
        </w:rPr>
        <w:t>-Bowles</w:t>
      </w:r>
      <w:r w:rsidRPr="000020A0">
        <w:rPr>
          <w:rFonts w:ascii="Times New Roman" w:hAnsi="Times New Roman"/>
          <w:sz w:val="24"/>
          <w:szCs w:val="24"/>
        </w:rPr>
        <w:t xml:space="preserve">, the record evidence—including Plaintiffs' testimony that their supervisors, </w:t>
      </w:r>
      <w:r w:rsidRPr="000020A0">
        <w:rPr>
          <w:rFonts w:ascii="Times New Roman" w:hAnsi="Times New Roman"/>
          <w:i/>
          <w:iCs/>
          <w:sz w:val="24"/>
          <w:szCs w:val="24"/>
        </w:rPr>
        <w:t>e</w:t>
      </w:r>
      <w:r w:rsidRPr="000020A0">
        <w:rPr>
          <w:rFonts w:ascii="Times New Roman" w:hAnsi="Times New Roman"/>
          <w:sz w:val="24"/>
          <w:szCs w:val="24"/>
        </w:rPr>
        <w:t>.</w:t>
      </w:r>
      <w:r w:rsidRPr="000020A0">
        <w:rPr>
          <w:rFonts w:ascii="Times New Roman" w:hAnsi="Times New Roman"/>
          <w:i/>
          <w:iCs/>
          <w:sz w:val="24"/>
          <w:szCs w:val="24"/>
        </w:rPr>
        <w:t>g</w:t>
      </w:r>
      <w:r w:rsidRPr="000020A0">
        <w:rPr>
          <w:rFonts w:ascii="Times New Roman" w:hAnsi="Times New Roman"/>
          <w:sz w:val="24"/>
          <w:szCs w:val="24"/>
        </w:rPr>
        <w:t>., assigned pre-shift and mealtime work tasks, reviewed time sheets on a weekly basis, and gave instructions not to submit overtime requests for work that was not pre-approved (</w:t>
      </w:r>
      <w:r w:rsidRPr="000020A0">
        <w:rPr>
          <w:rFonts w:ascii="Times New Roman" w:hAnsi="Times New Roman"/>
          <w:i/>
          <w:iCs/>
          <w:sz w:val="24"/>
          <w:szCs w:val="24"/>
        </w:rPr>
        <w:t>see</w:t>
      </w:r>
      <w:r w:rsidRPr="000020A0">
        <w:rPr>
          <w:rFonts w:ascii="Times New Roman" w:hAnsi="Times New Roman"/>
          <w:sz w:val="24"/>
          <w:szCs w:val="24"/>
        </w:rPr>
        <w:t xml:space="preserve"> Pls.' Mem. at 10, 12)—could, if credited, allow </w:t>
      </w:r>
      <w:r>
        <w:rPr>
          <w:rFonts w:ascii="Times New Roman" w:hAnsi="Times New Roman"/>
          <w:sz w:val="24"/>
          <w:szCs w:val="24"/>
        </w:rPr>
        <w:t>‘</w:t>
      </w:r>
      <w:r w:rsidRPr="000020A0">
        <w:rPr>
          <w:rFonts w:ascii="Times New Roman" w:hAnsi="Times New Roman"/>
          <w:sz w:val="24"/>
          <w:szCs w:val="24"/>
        </w:rPr>
        <w:t>[a] reasonable factfinder [to] conclude that Plaintiffs worked uncompensated overtime, that Defendant had actual or constructive knowledge of this time, and that Defendant discouraged the reporting of accurate overtime that was not pre-approved.</w:t>
      </w:r>
      <w:r>
        <w:rPr>
          <w:rFonts w:ascii="Times New Roman" w:hAnsi="Times New Roman"/>
          <w:sz w:val="24"/>
          <w:szCs w:val="24"/>
        </w:rPr>
        <w:t xml:space="preserve">’” </w:t>
      </w:r>
      <w:hyperlink r:id="rId1899" w:history="1">
        <w:r w:rsidRPr="002F4AC3">
          <w:rPr>
            <w:rStyle w:val="Hyperlink"/>
            <w:rFonts w:ascii="Times New Roman" w:hAnsi="Times New Roman"/>
            <w:sz w:val="24"/>
            <w:szCs w:val="24"/>
          </w:rPr>
          <w:t>https://law.justia.com/cases/federal/district-courts/new-york/nysdce/1:2019cv05773/517969/98/</w:t>
        </w:r>
      </w:hyperlink>
      <w:r>
        <w:rPr>
          <w:rFonts w:ascii="Times New Roman" w:hAnsi="Times New Roman"/>
          <w:sz w:val="24"/>
          <w:szCs w:val="24"/>
        </w:rPr>
        <w:t xml:space="preserve"> </w:t>
      </w:r>
    </w:p>
    <w:p w14:paraId="57C1F965" w14:textId="77777777" w:rsidR="007F3C7D" w:rsidRPr="000020A0" w:rsidRDefault="007F3C7D" w:rsidP="007F3C7D">
      <w:pPr>
        <w:pStyle w:val="NormalWeb"/>
        <w:rPr>
          <w:b/>
          <w:bCs/>
        </w:rPr>
      </w:pPr>
      <w:r w:rsidRPr="00DA0ACA">
        <w:rPr>
          <w:b/>
          <w:bCs/>
        </w:rPr>
        <w:t>Legal Lesson Learned:</w:t>
      </w:r>
      <w:r>
        <w:rPr>
          <w:b/>
          <w:bCs/>
        </w:rPr>
        <w:t xml:space="preserve">  It appears that this case is headed to trial, unless the parties can settle.  </w:t>
      </w:r>
    </w:p>
    <w:p w14:paraId="663351A3" w14:textId="77777777" w:rsidR="007F3C7D" w:rsidRDefault="007F3C7D" w:rsidP="00F326E5">
      <w:pPr>
        <w:rPr>
          <w:rFonts w:ascii="Arial Black" w:hAnsi="Arial Black"/>
          <w:b/>
          <w:sz w:val="24"/>
          <w:szCs w:val="24"/>
        </w:rPr>
      </w:pPr>
    </w:p>
    <w:p w14:paraId="7BE06BBE" w14:textId="77777777" w:rsidR="007F3C7D" w:rsidRDefault="007F3C7D" w:rsidP="00F326E5">
      <w:pPr>
        <w:rPr>
          <w:rFonts w:ascii="Arial Black" w:hAnsi="Arial Black"/>
          <w:b/>
          <w:sz w:val="24"/>
          <w:szCs w:val="24"/>
        </w:rPr>
      </w:pPr>
    </w:p>
    <w:p w14:paraId="0CFF1339" w14:textId="432F29BD"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 xml:space="preserve">7 </w:t>
      </w:r>
      <w:r w:rsidRPr="007F3C7D">
        <w:rPr>
          <w:rFonts w:ascii="Times New Roman" w:hAnsi="Times New Roman"/>
          <w:bCs/>
          <w:sz w:val="24"/>
          <w:szCs w:val="24"/>
        </w:rPr>
        <w:t>[also filed, Chap. 10]</w:t>
      </w:r>
    </w:p>
    <w:p w14:paraId="6CBCF93F" w14:textId="77777777" w:rsidR="00863F9E" w:rsidRDefault="00863F9E" w:rsidP="00863F9E">
      <w:pPr>
        <w:spacing w:before="100" w:beforeAutospacing="1" w:after="100" w:afterAutospacing="1" w:line="240" w:lineRule="auto"/>
        <w:rPr>
          <w:rFonts w:eastAsia="Times New Roman" w:cs="Calibri"/>
          <w:vanish/>
        </w:rPr>
      </w:pPr>
      <w:r>
        <w:rPr>
          <w:rFonts w:ascii="Arial Black" w:eastAsia="Times New Roman" w:hAnsi="Arial Black"/>
          <w:b/>
          <w:bCs/>
          <w:sz w:val="28"/>
          <w:szCs w:val="28"/>
        </w:rPr>
        <w:t>U.S. DOL: ELECTRONIC POSTING CAN’T REPLACE FLSA / FMLA POSTERS – UNLESS ALL EMPLOYEES WORK ONLINE</w:t>
      </w:r>
    </w:p>
    <w:tbl>
      <w:tblPr>
        <w:tblW w:w="5000" w:type="pct"/>
        <w:jc w:val="center"/>
        <w:tblCellMar>
          <w:left w:w="0" w:type="dxa"/>
          <w:right w:w="0" w:type="dxa"/>
        </w:tblCellMar>
        <w:tblLook w:val="04A0" w:firstRow="1" w:lastRow="0" w:firstColumn="1" w:lastColumn="0" w:noHBand="0" w:noVBand="1"/>
      </w:tblPr>
      <w:tblGrid>
        <w:gridCol w:w="10800"/>
      </w:tblGrid>
      <w:tr w:rsidR="00863F9E" w14:paraId="40599FA2" w14:textId="77777777" w:rsidTr="00F90EE5">
        <w:trPr>
          <w:jc w:val="center"/>
          <w:hidden/>
        </w:trPr>
        <w:tc>
          <w:tcPr>
            <w:tcW w:w="0" w:type="auto"/>
            <w:hideMark/>
          </w:tcPr>
          <w:tbl>
            <w:tblPr>
              <w:tblW w:w="9750" w:type="dxa"/>
              <w:jc w:val="center"/>
              <w:tblCellMar>
                <w:left w:w="0" w:type="dxa"/>
                <w:right w:w="0" w:type="dxa"/>
              </w:tblCellMar>
              <w:tblLook w:val="04A0" w:firstRow="1" w:lastRow="0" w:firstColumn="1" w:lastColumn="0" w:noHBand="0" w:noVBand="1"/>
            </w:tblPr>
            <w:tblGrid>
              <w:gridCol w:w="9750"/>
            </w:tblGrid>
            <w:tr w:rsidR="00863F9E" w14:paraId="1E1D5657" w14:textId="77777777" w:rsidTr="00F90EE5">
              <w:trPr>
                <w:jc w:val="center"/>
                <w:hidden/>
              </w:trPr>
              <w:tc>
                <w:tcPr>
                  <w:tcW w:w="9750" w:type="dxa"/>
                  <w:hideMark/>
                </w:tcPr>
                <w:tbl>
                  <w:tblPr>
                    <w:tblW w:w="5000" w:type="pct"/>
                    <w:jc w:val="center"/>
                    <w:tblCellMar>
                      <w:left w:w="0" w:type="dxa"/>
                      <w:right w:w="0" w:type="dxa"/>
                    </w:tblCellMar>
                    <w:tblLook w:val="04A0" w:firstRow="1" w:lastRow="0" w:firstColumn="1" w:lastColumn="0" w:noHBand="0" w:noVBand="1"/>
                  </w:tblPr>
                  <w:tblGrid>
                    <w:gridCol w:w="9750"/>
                  </w:tblGrid>
                  <w:tr w:rsidR="00863F9E" w14:paraId="6E54FE96" w14:textId="77777777" w:rsidTr="00F90EE5">
                    <w:trPr>
                      <w:jc w:val="center"/>
                      <w:hidden/>
                    </w:trPr>
                    <w:tc>
                      <w:tcPr>
                        <w:tcW w:w="0" w:type="auto"/>
                        <w:tcMar>
                          <w:top w:w="75" w:type="dxa"/>
                          <w:left w:w="0" w:type="dxa"/>
                          <w:bottom w:w="75" w:type="dxa"/>
                          <w:right w:w="0" w:type="dxa"/>
                        </w:tcMar>
                        <w:hideMark/>
                      </w:tcPr>
                      <w:p w14:paraId="28B2CC51" w14:textId="77777777" w:rsidR="00863F9E" w:rsidRDefault="00863F9E" w:rsidP="00F90EE5">
                        <w:pPr>
                          <w:rPr>
                            <w:rFonts w:eastAsia="Times New Roman" w:cs="Calibri"/>
                            <w:vanish/>
                          </w:rPr>
                        </w:pPr>
                      </w:p>
                    </w:tc>
                  </w:tr>
                </w:tbl>
                <w:p w14:paraId="4DB7C56A" w14:textId="77777777" w:rsidR="00863F9E" w:rsidRDefault="00863F9E" w:rsidP="00F90EE5">
                  <w:pPr>
                    <w:jc w:val="center"/>
                  </w:pPr>
                </w:p>
              </w:tc>
            </w:tr>
          </w:tbl>
          <w:p w14:paraId="6686117C" w14:textId="77777777" w:rsidR="00863F9E" w:rsidRDefault="00863F9E" w:rsidP="00F90EE5">
            <w:pPr>
              <w:jc w:val="center"/>
            </w:pPr>
          </w:p>
        </w:tc>
      </w:tr>
    </w:tbl>
    <w:p w14:paraId="494DDEAC" w14:textId="77777777" w:rsidR="00863F9E" w:rsidRDefault="00863F9E" w:rsidP="00863F9E">
      <w:pPr>
        <w:pStyle w:val="NormalWeb"/>
        <w:spacing w:line="255" w:lineRule="atLeast"/>
        <w:rPr>
          <w:bCs/>
        </w:rPr>
      </w:pPr>
      <w:r>
        <w:rPr>
          <w:bCs/>
        </w:rPr>
        <w:t xml:space="preserve">On Dec. 29, 2020, the U.S. Department of Labor / Wage &amp; Hour Division issued Field Assistance Bulletin regarding posters that are required in workplaces, including the </w:t>
      </w:r>
      <w:r>
        <w:t>Fair Labor Standards Act (FLSA), the Family and Medical Leave Act (FMLA), Section 14I of the FLSA (Section 14I), the Employee Polygraph Protection Act (EPPA), and the Service Contract Act (SCA).</w:t>
      </w:r>
    </w:p>
    <w:p w14:paraId="4B6437A3" w14:textId="77777777" w:rsidR="00863F9E" w:rsidRDefault="00863F9E" w:rsidP="00863F9E">
      <w:pPr>
        <w:pStyle w:val="NormalWeb"/>
        <w:spacing w:line="255" w:lineRule="atLeast"/>
        <w:ind w:left="720"/>
      </w:pPr>
      <w:r>
        <w:t>“In most cases, these electronic notices supplement but do not replace the statutory and regulatory requirements that employers post a hard-copy notice. Whether notices are provided electronically or in hard-copy format, it is an employer’s obligation to provide the required notices to all affected individuals.</w:t>
      </w:r>
    </w:p>
    <w:p w14:paraId="5EB7492C" w14:textId="77777777" w:rsidR="00863F9E" w:rsidRDefault="00863F9E" w:rsidP="00863F9E">
      <w:pPr>
        <w:pStyle w:val="NormalWeb"/>
        <w:spacing w:line="255" w:lineRule="atLeast"/>
        <w:ind w:left="720"/>
      </w:pPr>
      <w:r>
        <w:t>***</w:t>
      </w:r>
    </w:p>
    <w:p w14:paraId="387EF879" w14:textId="77777777" w:rsidR="00863F9E" w:rsidRDefault="00863F9E" w:rsidP="00863F9E">
      <w:pPr>
        <w:pStyle w:val="NormalWeb"/>
        <w:spacing w:line="255" w:lineRule="atLeast"/>
        <w:ind w:left="720"/>
        <w:rPr>
          <w:rStyle w:val="Hyperlink"/>
        </w:rPr>
      </w:pPr>
      <w:r>
        <w:t xml:space="preserve">If a statute and its regulations require a notice to be continuously posted at a worksite, in most cases, WHD will only consider electronic posting an acceptable substitute for the continuous posting requirement where (1) all of the employer’s employees exclusively work remotely, (2) all employees customarily receive information from the employer via electronic means, and (3) all employees have readily available access to the electronic posting at all times. This ensures the electronic posting satisfies the statutory and regulatory requirements that such postings </w:t>
      </w:r>
      <w:proofErr w:type="gramStart"/>
      <w:r>
        <w:t>be</w:t>
      </w:r>
      <w:proofErr w:type="gramEnd"/>
      <w:r>
        <w:t xml:space="preserve"> continuously accessible to employees. Where an employer has employees on-site and other employees teleworking full-time, for example, the employer may supplement a hard-copy posting requirement with electronic posting and the Department would encourage both methods of posting.”  </w:t>
      </w:r>
      <w:hyperlink r:id="rId1900" w:history="1">
        <w:r>
          <w:rPr>
            <w:rStyle w:val="Hyperlink"/>
          </w:rPr>
          <w:t>https://www.dol.gov/sites/dolgov/files/WHD/legacy/files/fab_2020_7.pdf</w:t>
        </w:r>
      </w:hyperlink>
    </w:p>
    <w:p w14:paraId="7A0F0B7A" w14:textId="77777777" w:rsidR="00863F9E" w:rsidRDefault="00863F9E" w:rsidP="00863F9E">
      <w:pPr>
        <w:pStyle w:val="NormalWeb"/>
        <w:spacing w:line="255" w:lineRule="atLeast"/>
        <w:rPr>
          <w:b/>
        </w:rPr>
      </w:pPr>
      <w:r>
        <w:rPr>
          <w:b/>
        </w:rPr>
        <w:t>Legal Lesson Learned: Fire Department need to keep posters on the wall.</w:t>
      </w:r>
    </w:p>
    <w:p w14:paraId="1774891E" w14:textId="7906AF94" w:rsidR="00863F9E" w:rsidRDefault="00863F9E" w:rsidP="00F326E5">
      <w:pPr>
        <w:rPr>
          <w:rFonts w:ascii="Arial Black" w:hAnsi="Arial Black"/>
          <w:b/>
          <w:sz w:val="24"/>
          <w:szCs w:val="24"/>
        </w:rPr>
      </w:pPr>
    </w:p>
    <w:p w14:paraId="108AB8E1" w14:textId="73EC4A4F"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6</w:t>
      </w:r>
    </w:p>
    <w:p w14:paraId="0A361B27" w14:textId="77777777" w:rsidR="00863F9E" w:rsidRDefault="00863F9E" w:rsidP="00863F9E">
      <w:pPr>
        <w:spacing w:before="100" w:beforeAutospacing="1" w:after="100" w:afterAutospacing="1" w:line="240" w:lineRule="auto"/>
        <w:rPr>
          <w:rFonts w:ascii="Arial Black" w:eastAsia="Times New Roman" w:hAnsi="Arial Black"/>
          <w:b/>
          <w:bCs/>
          <w:sz w:val="28"/>
          <w:szCs w:val="28"/>
        </w:rPr>
      </w:pPr>
      <w:bookmarkStart w:id="388" w:name="_Hlk66949025"/>
      <w:r>
        <w:rPr>
          <w:rFonts w:ascii="Arial Black" w:eastAsia="Times New Roman" w:hAnsi="Arial Black"/>
          <w:b/>
          <w:bCs/>
          <w:sz w:val="28"/>
          <w:szCs w:val="28"/>
        </w:rPr>
        <w:t xml:space="preserve">OH: FIRE CHIEF POLICY - NO OVERTIME – BACK PAY / DOUBLED – DAMAGES CALCULATED AFTER 40 HOURS (NOT 53 HRS)  </w:t>
      </w:r>
    </w:p>
    <w:p w14:paraId="58BC7039" w14:textId="77777777" w:rsidR="00863F9E" w:rsidRDefault="00863F9E" w:rsidP="00863F9E">
      <w:pPr>
        <w:tabs>
          <w:tab w:val="left" w:pos="6970"/>
        </w:tabs>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21, 2020, in </w:t>
      </w:r>
      <w:r>
        <w:rPr>
          <w:rFonts w:ascii="Times New Roman" w:eastAsia="Times New Roman" w:hAnsi="Times New Roman"/>
          <w:sz w:val="24"/>
          <w:szCs w:val="24"/>
          <w:u w:val="single"/>
        </w:rPr>
        <w:t>David Vance v. Village of Highlands, OH</w:t>
      </w:r>
      <w:r>
        <w:rPr>
          <w:rFonts w:ascii="Times New Roman" w:eastAsia="Times New Roman" w:hAnsi="Times New Roman"/>
          <w:sz w:val="24"/>
          <w:szCs w:val="24"/>
        </w:rPr>
        <w:t>, U.S. District Court Judge James S. Gwin, U.S. District Court for Northern District of Ohio, held given the deposition testimony of the Fire Chief that the FD never paid overtime to any firefighter, despite what the FD Employee Manual provided.  The former firefighter is entitled to back pay and liquidated damages (double the back pay) for all hours he worked beyond 40 hours, not 53 hours [216 hours / 28-day pay period exemption in Sec. 207(k)], since FD never established a 28-day “work period.”</w:t>
      </w:r>
    </w:p>
    <w:bookmarkEnd w:id="388"/>
    <w:p w14:paraId="502A185E" w14:textId="77777777" w:rsidR="00863F9E" w:rsidRDefault="00863F9E" w:rsidP="00863F9E">
      <w:pPr>
        <w:tabs>
          <w:tab w:val="left" w:pos="6970"/>
        </w:tabs>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“At his deposition, Defendant’s fire chief explained that the fire department followed a policy of never paying overtime.</w:t>
      </w:r>
      <w:bookmarkStart w:id="389" w:name="fn7"/>
      <w:bookmarkEnd w:id="389"/>
      <w:r>
        <w:rPr>
          <w:rFonts w:ascii="Times New Roman" w:hAnsi="Times New Roman"/>
          <w:sz w:val="24"/>
          <w:szCs w:val="24"/>
          <w:vertAlign w:val="superscript"/>
        </w:rPr>
        <w:t xml:space="preserve"> </w:t>
      </w:r>
      <w:r>
        <w:rPr>
          <w:rFonts w:ascii="Times New Roman" w:hAnsi="Times New Roman"/>
          <w:sz w:val="24"/>
          <w:szCs w:val="24"/>
        </w:rPr>
        <w:t>Defendant now accepts that it must pay overtime. The parties stipulate that Plaintiff is entitled to the overtime Defendant did not pay together with liquidated damages.</w:t>
      </w:r>
    </w:p>
    <w:p w14:paraId="79F5A9EF" w14:textId="77777777" w:rsidR="00863F9E" w:rsidRDefault="00863F9E" w:rsidP="00863F9E">
      <w:pPr>
        <w:tabs>
          <w:tab w:val="left" w:pos="6970"/>
        </w:tabs>
        <w:spacing w:before="100" w:beforeAutospacing="1" w:after="100" w:afterAutospacing="1" w:line="240" w:lineRule="auto"/>
        <w:ind w:left="810"/>
        <w:rPr>
          <w:rFonts w:ascii="Times New Roman" w:eastAsia="Times New Roman" w:hAnsi="Times New Roman"/>
          <w:sz w:val="24"/>
          <w:szCs w:val="24"/>
        </w:rPr>
      </w:pPr>
      <w:r>
        <w:rPr>
          <w:rFonts w:ascii="Times New Roman" w:hAnsi="Times New Roman"/>
          <w:sz w:val="24"/>
          <w:szCs w:val="24"/>
        </w:rPr>
        <w:t>***</w:t>
      </w:r>
      <w:r>
        <w:rPr>
          <w:rFonts w:ascii="Times New Roman" w:eastAsia="Times New Roman" w:hAnsi="Times New Roman"/>
          <w:sz w:val="24"/>
          <w:szCs w:val="24"/>
        </w:rPr>
        <w:t xml:space="preserve">  </w:t>
      </w:r>
    </w:p>
    <w:p w14:paraId="60852338" w14:textId="77777777" w:rsidR="00863F9E" w:rsidRDefault="00863F9E" w:rsidP="00863F9E">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 xml:space="preserve">The Court agrees with Plaintiff that the 29 U.S.C.§207(k) exemption should not apply in this instance. Defendant did not establish a 28-day work period as the §207(k) exemption required. There may have been a policy on the books, but Defendant made no effort to apply it to </w:t>
      </w:r>
      <w:proofErr w:type="gramStart"/>
      <w:r>
        <w:rPr>
          <w:rFonts w:ascii="Times New Roman" w:hAnsi="Times New Roman"/>
          <w:sz w:val="24"/>
          <w:szCs w:val="24"/>
        </w:rPr>
        <w:t>Plaintiff.”</w:t>
      </w:r>
      <w:proofErr w:type="gramEnd"/>
      <w:r>
        <w:rPr>
          <w:rFonts w:ascii="Times New Roman" w:hAnsi="Times New Roman"/>
          <w:sz w:val="24"/>
          <w:szCs w:val="24"/>
        </w:rPr>
        <w:t xml:space="preserve">  </w:t>
      </w:r>
      <w:bookmarkStart w:id="390" w:name="_Hlk66949056"/>
      <w:r w:rsidR="00F00958">
        <w:fldChar w:fldCharType="begin"/>
      </w:r>
      <w:r w:rsidR="00F00958">
        <w:instrText xml:space="preserve"> HYPERLINK "https://www.leagle.com/decision/infdco20201224948" </w:instrText>
      </w:r>
      <w:r w:rsidR="00F00958">
        <w:fldChar w:fldCharType="separate"/>
      </w:r>
      <w:r>
        <w:rPr>
          <w:rStyle w:val="Hyperlink"/>
        </w:rPr>
        <w:t>https://www.leagle.com/decision/infdco20201224948</w:t>
      </w:r>
      <w:r w:rsidR="00F00958">
        <w:rPr>
          <w:rStyle w:val="Hyperlink"/>
        </w:rPr>
        <w:fldChar w:fldCharType="end"/>
      </w:r>
      <w:r>
        <w:rPr>
          <w:rFonts w:ascii="Times New Roman" w:hAnsi="Times New Roman"/>
          <w:sz w:val="24"/>
          <w:szCs w:val="24"/>
        </w:rPr>
        <w:t xml:space="preserve"> </w:t>
      </w:r>
    </w:p>
    <w:p w14:paraId="602D57A5" w14:textId="77777777" w:rsidR="00863F9E" w:rsidRDefault="00863F9E" w:rsidP="00863F9E">
      <w:pPr>
        <w:pStyle w:val="NoSpacing"/>
        <w:jc w:val="both"/>
        <w:rPr>
          <w:rFonts w:ascii="Times New Roman" w:hAnsi="Times New Roman"/>
          <w:b/>
          <w:bCs/>
          <w:sz w:val="24"/>
          <w:szCs w:val="24"/>
        </w:rPr>
      </w:pPr>
      <w:r>
        <w:rPr>
          <w:rFonts w:ascii="Times New Roman" w:hAnsi="Times New Roman"/>
          <w:b/>
          <w:bCs/>
          <w:sz w:val="24"/>
          <w:szCs w:val="24"/>
        </w:rPr>
        <w:t xml:space="preserve">Legal Lesson Learned: FD’s legal counsel wisely stipulated violated FLSA and avoided expense of trial.  FD will most likely now review payroll records and pay back </w:t>
      </w:r>
      <w:proofErr w:type="gramStart"/>
      <w:r>
        <w:rPr>
          <w:rFonts w:ascii="Times New Roman" w:hAnsi="Times New Roman"/>
          <w:b/>
          <w:bCs/>
          <w:sz w:val="24"/>
          <w:szCs w:val="24"/>
        </w:rPr>
        <w:t>pay</w:t>
      </w:r>
      <w:proofErr w:type="gramEnd"/>
      <w:r>
        <w:rPr>
          <w:rFonts w:ascii="Times New Roman" w:hAnsi="Times New Roman"/>
          <w:b/>
          <w:bCs/>
          <w:sz w:val="24"/>
          <w:szCs w:val="24"/>
        </w:rPr>
        <w:t xml:space="preserve"> to other firefighters. </w:t>
      </w:r>
    </w:p>
    <w:bookmarkEnd w:id="390"/>
    <w:p w14:paraId="0B565636" w14:textId="239A72CC" w:rsidR="00863F9E" w:rsidRDefault="00863F9E" w:rsidP="00F326E5">
      <w:pPr>
        <w:rPr>
          <w:rFonts w:ascii="Arial Black" w:hAnsi="Arial Black"/>
          <w:b/>
          <w:sz w:val="24"/>
          <w:szCs w:val="24"/>
        </w:rPr>
      </w:pPr>
    </w:p>
    <w:p w14:paraId="7732C6CF" w14:textId="402CF6B2"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5</w:t>
      </w:r>
    </w:p>
    <w:p w14:paraId="0262F877" w14:textId="77777777" w:rsidR="00863F9E" w:rsidRDefault="00863F9E" w:rsidP="00863F9E">
      <w:pPr>
        <w:pStyle w:val="NoSpacing"/>
        <w:rPr>
          <w:rFonts w:ascii="Arial Black" w:hAnsi="Arial Black"/>
          <w:sz w:val="28"/>
          <w:szCs w:val="28"/>
        </w:rPr>
      </w:pPr>
      <w:r>
        <w:rPr>
          <w:rFonts w:ascii="Arial Black" w:hAnsi="Arial Black"/>
          <w:sz w:val="28"/>
          <w:szCs w:val="28"/>
        </w:rPr>
        <w:t>VA: BATTALION CHIEFS – DUTIES SHOW THEY ARE “EXECUTIVE” EMPLOYEES – “EXEMPT” UNDER FLSA FROM OVERTIME PAY</w:t>
      </w:r>
    </w:p>
    <w:p w14:paraId="29E2AE6B" w14:textId="77777777" w:rsidR="00863F9E" w:rsidRDefault="00863F9E" w:rsidP="00863F9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4, 2020, in </w:t>
      </w:r>
      <w:r>
        <w:rPr>
          <w:rFonts w:ascii="Times New Roman" w:eastAsia="Times New Roman" w:hAnsi="Times New Roman"/>
          <w:sz w:val="24"/>
          <w:szCs w:val="24"/>
          <w:u w:val="single"/>
        </w:rPr>
        <w:t>Shean Emmons, et al. v. City of Chesapeake</w:t>
      </w:r>
      <w:r>
        <w:rPr>
          <w:rFonts w:ascii="Times New Roman" w:eastAsia="Times New Roman" w:hAnsi="Times New Roman"/>
          <w:sz w:val="24"/>
          <w:szCs w:val="24"/>
        </w:rPr>
        <w:t>, the U.S. Court of Appeals for the Fourth Circuit (Richmond, VA) held (3 to 0) that the Battalion Chiefs are “managers” and “executive” employees under the FLSA.</w:t>
      </w:r>
    </w:p>
    <w:p w14:paraId="784A19C2"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“The appellants in this case are Battalion Chiefs who have sued their employer, the City of Chesapeake Fire Department (CFD), for non-compliance with the overtime pay requirement of the Fair Labor Standards Act (FLSA). </w:t>
      </w:r>
    </w:p>
    <w:p w14:paraId="4DCB24FB"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556949E"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We disagree. Section 541.3(b) does not categorically except the plaintiff BCs from the FLSA's system of exemptions, because the BCs are, first and foremost, managers within the CFD, not frontline firefighters. Nor do the plain terms of the FLSA's exemptions fail to apply. The BCs are executive employees under the FLSA, and it is on this basis that we affirm the district court's grant of summary judgment in favor of the CFD.”</w:t>
      </w:r>
      <w:r>
        <w:t xml:space="preserve">  </w:t>
      </w:r>
      <w:hyperlink r:id="rId1901" w:history="1">
        <w:r>
          <w:rPr>
            <w:rStyle w:val="Hyperlink"/>
          </w:rPr>
          <w:t>https://www.ca4.uscourts.gov/Opinions/191755.P.pdf</w:t>
        </w:r>
      </w:hyperlink>
      <w:r>
        <w:t xml:space="preserve">   </w:t>
      </w:r>
    </w:p>
    <w:p w14:paraId="31571927" w14:textId="77777777" w:rsidR="00863F9E" w:rsidRDefault="00863F9E" w:rsidP="00863F9E">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Court was extremely thorough in describing the duties of the Battalion Chiefs; this decision will undoubtedly be referenced in future court decisions throughout the Nation. </w:t>
      </w:r>
    </w:p>
    <w:p w14:paraId="507061C1" w14:textId="77777777" w:rsidR="00863F9E" w:rsidRDefault="00863F9E" w:rsidP="00F326E5">
      <w:pPr>
        <w:rPr>
          <w:rFonts w:ascii="Arial Black" w:hAnsi="Arial Black"/>
          <w:b/>
          <w:sz w:val="24"/>
          <w:szCs w:val="24"/>
        </w:rPr>
      </w:pPr>
    </w:p>
    <w:p w14:paraId="2810CEDC" w14:textId="77777777" w:rsidR="00B13773" w:rsidRDefault="00B13773" w:rsidP="00AC1E3A">
      <w:pPr>
        <w:pStyle w:val="NormalWeb"/>
        <w:rPr>
          <w:rFonts w:ascii="Arial Black" w:hAnsi="Arial Black"/>
          <w:sz w:val="28"/>
          <w:szCs w:val="28"/>
        </w:rPr>
      </w:pPr>
    </w:p>
    <w:p w14:paraId="533A2242" w14:textId="6780D87F" w:rsidR="00B13773" w:rsidRDefault="00B13773" w:rsidP="00AC1E3A">
      <w:pPr>
        <w:pStyle w:val="NormalWeb"/>
        <w:rPr>
          <w:rFonts w:ascii="Arial Black" w:hAnsi="Arial Black"/>
          <w:sz w:val="28"/>
          <w:szCs w:val="28"/>
        </w:rPr>
      </w:pPr>
      <w:r>
        <w:rPr>
          <w:rFonts w:ascii="Arial Black" w:hAnsi="Arial Black"/>
          <w:sz w:val="28"/>
          <w:szCs w:val="28"/>
        </w:rPr>
        <w:t>11-24</w:t>
      </w:r>
    </w:p>
    <w:p w14:paraId="2FA7CCFF" w14:textId="27DC8DD6" w:rsidR="00AC1E3A" w:rsidRDefault="00AC1E3A" w:rsidP="00AC1E3A">
      <w:pPr>
        <w:pStyle w:val="NormalWeb"/>
        <w:rPr>
          <w:rFonts w:ascii="Arial Black" w:hAnsi="Arial Black"/>
          <w:sz w:val="28"/>
          <w:szCs w:val="28"/>
        </w:rPr>
      </w:pPr>
      <w:r>
        <w:rPr>
          <w:rFonts w:ascii="Arial Black" w:hAnsi="Arial Black"/>
          <w:sz w:val="28"/>
          <w:szCs w:val="28"/>
        </w:rPr>
        <w:t>IL: CHICAGO FF WHILE ON MILITARY LEAVE – MISSED TEST FOR ENGINEER, FD REFUSED MAKE-UP – CASE PROCEED</w:t>
      </w:r>
    </w:p>
    <w:p w14:paraId="1025247B" w14:textId="77777777" w:rsidR="00AC1E3A" w:rsidRPr="00CB0145" w:rsidRDefault="00AC1E3A" w:rsidP="00AC1E3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23, 2020, in lawsuit filed by U.S. Department of Justice in </w:t>
      </w:r>
      <w:r w:rsidRPr="006D68B7">
        <w:rPr>
          <w:rFonts w:ascii="Times New Roman" w:eastAsia="Times New Roman" w:hAnsi="Times New Roman"/>
          <w:sz w:val="24"/>
          <w:szCs w:val="24"/>
          <w:u w:val="single"/>
        </w:rPr>
        <w:t>Derrick Strong v. City of Chicago</w:t>
      </w:r>
      <w:r>
        <w:rPr>
          <w:rFonts w:ascii="Times New Roman" w:eastAsia="Times New Roman" w:hAnsi="Times New Roman"/>
          <w:sz w:val="24"/>
          <w:szCs w:val="24"/>
        </w:rPr>
        <w:t xml:space="preserve">, U.S. District Court Judge Elain E. </w:t>
      </w:r>
      <w:proofErr w:type="spellStart"/>
      <w:r>
        <w:rPr>
          <w:rFonts w:ascii="Times New Roman" w:eastAsia="Times New Roman" w:hAnsi="Times New Roman"/>
          <w:sz w:val="24"/>
          <w:szCs w:val="24"/>
        </w:rPr>
        <w:t>Bucklo</w:t>
      </w:r>
      <w:proofErr w:type="spellEnd"/>
      <w:r>
        <w:rPr>
          <w:rFonts w:ascii="Times New Roman" w:eastAsia="Times New Roman" w:hAnsi="Times New Roman"/>
          <w:sz w:val="24"/>
          <w:szCs w:val="24"/>
        </w:rPr>
        <w:t xml:space="preserve">, Northern District of Illinois,  denied the City’s motion for summary judgment. The written exam for Firefighter Engineer was given on Nov. 14, 2016. When the firefighter completed his active duty </w:t>
      </w:r>
      <w:proofErr w:type="gramStart"/>
      <w:r>
        <w:rPr>
          <w:rFonts w:ascii="Times New Roman" w:eastAsia="Times New Roman" w:hAnsi="Times New Roman"/>
          <w:sz w:val="24"/>
          <w:szCs w:val="24"/>
        </w:rPr>
        <w:t>in</w:t>
      </w:r>
      <w:proofErr w:type="gramEnd"/>
      <w:r>
        <w:rPr>
          <w:rFonts w:ascii="Times New Roman" w:eastAsia="Times New Roman" w:hAnsi="Times New Roman"/>
          <w:sz w:val="24"/>
          <w:szCs w:val="24"/>
        </w:rPr>
        <w:t xml:space="preserve"> June 26, 2017, he requested a make-up exam but was denied.  The U.S. Department of Justice filed this lawsuit on his behalf under the </w:t>
      </w:r>
      <w:r w:rsidRPr="00CB0145">
        <w:rPr>
          <w:rFonts w:ascii="Times New Roman" w:hAnsi="Times New Roman"/>
          <w:sz w:val="24"/>
          <w:szCs w:val="24"/>
        </w:rPr>
        <w:t>Uniformed Services Employment and Reemployment Rights Act of 1994 ("USERRA"), 38 U.S.C. § 4313</w:t>
      </w:r>
      <w:r>
        <w:rPr>
          <w:rFonts w:ascii="Times New Roman" w:hAnsi="Times New Roman"/>
          <w:sz w:val="24"/>
          <w:szCs w:val="24"/>
        </w:rPr>
        <w:t xml:space="preserve">, even if the </w:t>
      </w:r>
      <w:proofErr w:type="gramStart"/>
      <w:r>
        <w:rPr>
          <w:rFonts w:ascii="Times New Roman" w:hAnsi="Times New Roman"/>
          <w:sz w:val="24"/>
          <w:szCs w:val="24"/>
        </w:rPr>
        <w:t>City</w:t>
      </w:r>
      <w:proofErr w:type="gramEnd"/>
      <w:r>
        <w:rPr>
          <w:rFonts w:ascii="Times New Roman" w:hAnsi="Times New Roman"/>
          <w:sz w:val="24"/>
          <w:szCs w:val="24"/>
        </w:rPr>
        <w:t xml:space="preserve"> had </w:t>
      </w:r>
      <w:r>
        <w:rPr>
          <w:rFonts w:ascii="Times New Roman" w:eastAsia="Times New Roman" w:hAnsi="Times New Roman"/>
          <w:sz w:val="24"/>
          <w:szCs w:val="24"/>
        </w:rPr>
        <w:t>offered him opportunity to take exam remotely while on military duty.</w:t>
      </w:r>
    </w:p>
    <w:p w14:paraId="7BF536E8"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6D68B7">
        <w:rPr>
          <w:rFonts w:ascii="Times New Roman" w:eastAsia="Times New Roman" w:hAnsi="Times New Roman"/>
          <w:sz w:val="24"/>
          <w:szCs w:val="24"/>
        </w:rPr>
        <w:t>Accordingly, plaintiff can potentially prevail on his § 4313 claim if he can</w:t>
      </w:r>
      <w:r>
        <w:rPr>
          <w:rFonts w:ascii="Times New Roman" w:eastAsia="Times New Roman" w:hAnsi="Times New Roman"/>
          <w:sz w:val="24"/>
          <w:szCs w:val="24"/>
        </w:rPr>
        <w:t xml:space="preserve"> </w:t>
      </w:r>
      <w:r w:rsidRPr="006D68B7">
        <w:rPr>
          <w:rFonts w:ascii="Times New Roman" w:eastAsia="Times New Roman" w:hAnsi="Times New Roman"/>
          <w:sz w:val="24"/>
          <w:szCs w:val="24"/>
        </w:rPr>
        <w:t xml:space="preserve">show that without undue hardship, the City could have administered a make-up examination upon his return to service that might have earned him a spot on the 2016 Eligibility List. Of course, plaintiff would also have to show that his promotion to Fire Engineer was reasonably </w:t>
      </w:r>
      <w:proofErr w:type="gramStart"/>
      <w:r w:rsidRPr="006D68B7">
        <w:rPr>
          <w:rFonts w:ascii="Times New Roman" w:eastAsia="Times New Roman" w:hAnsi="Times New Roman"/>
          <w:sz w:val="24"/>
          <w:szCs w:val="24"/>
        </w:rPr>
        <w:t>certain</w:t>
      </w:r>
      <w:proofErr w:type="gramEnd"/>
      <w:r w:rsidRPr="006D68B7">
        <w:rPr>
          <w:rFonts w:ascii="Times New Roman" w:eastAsia="Times New Roman" w:hAnsi="Times New Roman"/>
          <w:sz w:val="24"/>
          <w:szCs w:val="24"/>
        </w:rPr>
        <w:t xml:space="preserve"> assuming his successful completion of the exam.</w:t>
      </w:r>
    </w:p>
    <w:p w14:paraId="09485347"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6AF7AF9"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sidRPr="00E57CCD">
        <w:rPr>
          <w:rFonts w:ascii="Times New Roman" w:eastAsia="Times New Roman" w:hAnsi="Times New Roman"/>
          <w:sz w:val="24"/>
          <w:szCs w:val="24"/>
        </w:rPr>
        <w:t xml:space="preserve">The City also argues that because it offered to administer the exam remotely during plaintiff's period of active duty, it was not required to offer him a make-up exam upon his return. As noted above, however, the inquiry into the reasonableness of an employer's efforts focuses on hardship to the employer in qualifying the returning service member </w:t>
      </w:r>
      <w:r w:rsidRPr="00E57CCD">
        <w:rPr>
          <w:rFonts w:ascii="Times New Roman" w:eastAsia="Times New Roman" w:hAnsi="Times New Roman"/>
          <w:i/>
          <w:iCs/>
          <w:sz w:val="24"/>
          <w:szCs w:val="24"/>
        </w:rPr>
        <w:t>after</w:t>
      </w:r>
      <w:r w:rsidRPr="00E57CCD">
        <w:rPr>
          <w:rFonts w:ascii="Times New Roman" w:eastAsia="Times New Roman" w:hAnsi="Times New Roman"/>
          <w:sz w:val="24"/>
          <w:szCs w:val="24"/>
        </w:rPr>
        <w:t xml:space="preserve"> his or her return from service, not on the employer's conduct during the service member's military leave. Moreover, one of USERRA's primary purposes is </w:t>
      </w:r>
      <w:r>
        <w:rPr>
          <w:rFonts w:ascii="Times New Roman" w:eastAsia="Times New Roman" w:hAnsi="Times New Roman"/>
          <w:sz w:val="24"/>
          <w:szCs w:val="24"/>
        </w:rPr>
        <w:t>‘</w:t>
      </w:r>
      <w:r w:rsidRPr="00E57CCD">
        <w:rPr>
          <w:rFonts w:ascii="Times New Roman" w:eastAsia="Times New Roman" w:hAnsi="Times New Roman"/>
          <w:sz w:val="24"/>
          <w:szCs w:val="24"/>
        </w:rPr>
        <w:t>to encourage military service by minimizing the disadvantages to civilian careers.</w:t>
      </w:r>
      <w:r>
        <w:rPr>
          <w:rFonts w:ascii="Times New Roman" w:eastAsia="Times New Roman" w:hAnsi="Times New Roman"/>
          <w:sz w:val="24"/>
          <w:szCs w:val="24"/>
        </w:rPr>
        <w:t>’</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DeLee v</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City of Plymouth</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Ind</w:t>
      </w:r>
      <w:r w:rsidRPr="00E57CCD">
        <w:rPr>
          <w:rFonts w:ascii="Times New Roman" w:eastAsia="Times New Roman" w:hAnsi="Times New Roman"/>
          <w:sz w:val="24"/>
          <w:szCs w:val="24"/>
        </w:rPr>
        <w:t>., 773 F.3d 172, 175 (7th Cir. 2014). While it may be true that plaintiff could have avoided missing the qualifying exam if he had agreed to take the written portion remotely, plaintiff might be able to show that requiring him to prepare for and take the test during his period of active duty placed him at a disadvantage as</w:t>
      </w:r>
      <w:r>
        <w:rPr>
          <w:rFonts w:ascii="Times New Roman" w:eastAsia="Times New Roman" w:hAnsi="Times New Roman"/>
          <w:sz w:val="24"/>
          <w:szCs w:val="24"/>
        </w:rPr>
        <w:t xml:space="preserve"> </w:t>
      </w:r>
      <w:r w:rsidRPr="00E57CCD">
        <w:rPr>
          <w:rFonts w:ascii="Times New Roman" w:eastAsia="Times New Roman" w:hAnsi="Times New Roman"/>
          <w:sz w:val="24"/>
          <w:szCs w:val="24"/>
        </w:rPr>
        <w:t>compared to non-service members, arguably in violation of the statute's purpose.</w:t>
      </w:r>
      <w:r>
        <w:rPr>
          <w:rFonts w:ascii="Times New Roman" w:eastAsia="Times New Roman" w:hAnsi="Times New Roman"/>
          <w:sz w:val="24"/>
          <w:szCs w:val="24"/>
        </w:rPr>
        <w:t>”</w:t>
      </w:r>
      <w:hyperlink r:id="rId1902" w:history="1">
        <w:r w:rsidRPr="00C34615">
          <w:rPr>
            <w:rStyle w:val="Hyperlink"/>
            <w:rFonts w:ascii="Times New Roman" w:eastAsia="Times New Roman" w:hAnsi="Times New Roman"/>
            <w:sz w:val="24"/>
            <w:szCs w:val="24"/>
          </w:rPr>
          <w:t>https://public.fastcase.com/Wl%2B2t%2BeVuI35%2FN70vAMFZq7BNtl3UAn66ukthA6exr4OG2Q55i9ib96ohnNtBuMo</w:t>
        </w:r>
      </w:hyperlink>
      <w:r>
        <w:rPr>
          <w:rFonts w:ascii="Times New Roman" w:eastAsia="Times New Roman" w:hAnsi="Times New Roman"/>
          <w:sz w:val="24"/>
          <w:szCs w:val="24"/>
        </w:rPr>
        <w:t xml:space="preserve"> </w:t>
      </w:r>
    </w:p>
    <w:p w14:paraId="050D746F" w14:textId="77777777" w:rsidR="00AC1E3A" w:rsidRDefault="00AC1E3A" w:rsidP="00AC1E3A">
      <w:pPr>
        <w:spacing w:before="100" w:beforeAutospacing="1" w:after="100" w:afterAutospacing="1" w:line="240" w:lineRule="auto"/>
        <w:rPr>
          <w:rStyle w:val="Hyperlink"/>
          <w:rFonts w:ascii="Times New Roman" w:hAnsi="Times New Roman"/>
          <w:sz w:val="24"/>
          <w:szCs w:val="24"/>
        </w:rPr>
      </w:pPr>
      <w:r w:rsidRPr="00C17950">
        <w:rPr>
          <w:rFonts w:ascii="Times New Roman" w:eastAsia="Times New Roman" w:hAnsi="Times New Roman"/>
          <w:b/>
          <w:bCs/>
          <w:sz w:val="24"/>
          <w:szCs w:val="24"/>
        </w:rPr>
        <w:t>Legal Lesson</w:t>
      </w:r>
      <w:r>
        <w:rPr>
          <w:rFonts w:ascii="Times New Roman" w:eastAsia="Times New Roman" w:hAnsi="Times New Roman"/>
          <w:b/>
          <w:bCs/>
          <w:sz w:val="24"/>
          <w:szCs w:val="24"/>
        </w:rPr>
        <w:t xml:space="preserve"> </w:t>
      </w:r>
      <w:r w:rsidRPr="00C17950">
        <w:rPr>
          <w:rFonts w:ascii="Times New Roman" w:eastAsia="Times New Roman" w:hAnsi="Times New Roman"/>
          <w:b/>
          <w:bCs/>
          <w:sz w:val="24"/>
          <w:szCs w:val="24"/>
        </w:rPr>
        <w:t xml:space="preserve">Learned: The U.S. Department of Justice has aggressively enforced the </w:t>
      </w:r>
      <w:r w:rsidRPr="00C17950">
        <w:rPr>
          <w:rFonts w:ascii="Times New Roman" w:hAnsi="Times New Roman"/>
          <w:b/>
          <w:bCs/>
          <w:sz w:val="24"/>
          <w:szCs w:val="24"/>
        </w:rPr>
        <w:t>Uniformed Services Employment and Reemployment Rights Act.  See their Web page:</w:t>
      </w:r>
      <w:r>
        <w:rPr>
          <w:rFonts w:ascii="Times New Roman" w:hAnsi="Times New Roman"/>
          <w:sz w:val="24"/>
          <w:szCs w:val="24"/>
        </w:rPr>
        <w:t xml:space="preserve"> </w:t>
      </w:r>
      <w:hyperlink r:id="rId1903" w:history="1">
        <w:r w:rsidRPr="00C34615">
          <w:rPr>
            <w:rStyle w:val="Hyperlink"/>
            <w:rFonts w:ascii="Times New Roman" w:hAnsi="Times New Roman"/>
            <w:sz w:val="24"/>
            <w:szCs w:val="24"/>
          </w:rPr>
          <w:t>https://www.justice.gov/servicemembers/other-resources</w:t>
        </w:r>
      </w:hyperlink>
      <w:r>
        <w:rPr>
          <w:rStyle w:val="Hyperlink"/>
          <w:rFonts w:ascii="Times New Roman" w:hAnsi="Times New Roman"/>
          <w:sz w:val="24"/>
          <w:szCs w:val="24"/>
        </w:rPr>
        <w:t>.</w:t>
      </w:r>
    </w:p>
    <w:p w14:paraId="70386EDC" w14:textId="77777777" w:rsidR="00AC1E3A" w:rsidRDefault="00AC1E3A" w:rsidP="00AC1E3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also the Complaint they filed in this case: </w:t>
      </w:r>
      <w:hyperlink r:id="rId1904" w:history="1">
        <w:r w:rsidRPr="00C34615">
          <w:rPr>
            <w:rStyle w:val="Hyperlink"/>
            <w:rFonts w:ascii="Times New Roman" w:eastAsia="Times New Roman" w:hAnsi="Times New Roman"/>
            <w:sz w:val="24"/>
            <w:szCs w:val="24"/>
          </w:rPr>
          <w:t>https://www.justice.gov/crt/case-document/file/1227366/download</w:t>
        </w:r>
      </w:hyperlink>
      <w:r>
        <w:rPr>
          <w:rFonts w:ascii="Times New Roman" w:eastAsia="Times New Roman" w:hAnsi="Times New Roman"/>
          <w:sz w:val="24"/>
          <w:szCs w:val="24"/>
        </w:rPr>
        <w:t xml:space="preserve"> .   He was on military duty as an attorney at Fort Riley, Kansas. </w:t>
      </w:r>
      <w:r>
        <w:rPr>
          <w:rFonts w:ascii="Times New Roman" w:hAnsi="Times New Roman"/>
          <w:sz w:val="24"/>
          <w:szCs w:val="24"/>
        </w:rPr>
        <w:t>“</w:t>
      </w:r>
      <w:r w:rsidRPr="00425EED">
        <w:rPr>
          <w:rFonts w:ascii="Times New Roman" w:hAnsi="Times New Roman"/>
          <w:sz w:val="24"/>
          <w:szCs w:val="24"/>
        </w:rPr>
        <w:t>On October 31, 2016, Jill May notified Strong that the DHR’s October 5, 2016, grant of his request to take the Fire Engineer examination upon his return from</w:t>
      </w:r>
      <w:r>
        <w:rPr>
          <w:rFonts w:ascii="Times New Roman" w:hAnsi="Times New Roman"/>
          <w:sz w:val="24"/>
          <w:szCs w:val="24"/>
        </w:rPr>
        <w:t xml:space="preserve"> </w:t>
      </w:r>
      <w:r w:rsidRPr="00425EED">
        <w:rPr>
          <w:rFonts w:ascii="Times New Roman" w:hAnsi="Times New Roman"/>
          <w:sz w:val="24"/>
          <w:szCs w:val="24"/>
        </w:rPr>
        <w:t>active duty was</w:t>
      </w:r>
      <w:r>
        <w:rPr>
          <w:rFonts w:ascii="Times New Roman" w:hAnsi="Times New Roman"/>
          <w:sz w:val="24"/>
          <w:szCs w:val="24"/>
        </w:rPr>
        <w:t xml:space="preserve"> </w:t>
      </w:r>
      <w:r w:rsidRPr="00425EED">
        <w:rPr>
          <w:rFonts w:ascii="Times New Roman" w:hAnsi="Times New Roman"/>
          <w:sz w:val="24"/>
          <w:szCs w:val="24"/>
        </w:rPr>
        <w:t>erroneous. She noted that</w:t>
      </w:r>
      <w:r>
        <w:rPr>
          <w:rFonts w:ascii="Times New Roman" w:hAnsi="Times New Roman"/>
          <w:sz w:val="24"/>
          <w:szCs w:val="24"/>
        </w:rPr>
        <w:t xml:space="preserve"> </w:t>
      </w:r>
      <w:r w:rsidRPr="00425EED">
        <w:rPr>
          <w:rFonts w:ascii="Times New Roman" w:hAnsi="Times New Roman"/>
          <w:sz w:val="24"/>
          <w:szCs w:val="24"/>
        </w:rPr>
        <w:t>the</w:t>
      </w:r>
      <w:r>
        <w:rPr>
          <w:rFonts w:ascii="Times New Roman" w:hAnsi="Times New Roman"/>
          <w:sz w:val="24"/>
          <w:szCs w:val="24"/>
        </w:rPr>
        <w:t xml:space="preserve"> </w:t>
      </w:r>
      <w:r w:rsidRPr="00425EED">
        <w:rPr>
          <w:rFonts w:ascii="Times New Roman" w:hAnsi="Times New Roman"/>
          <w:sz w:val="24"/>
          <w:szCs w:val="24"/>
        </w:rPr>
        <w:t>DHR was prepared</w:t>
      </w:r>
      <w:r>
        <w:rPr>
          <w:rFonts w:ascii="Times New Roman" w:hAnsi="Times New Roman"/>
          <w:sz w:val="24"/>
          <w:szCs w:val="24"/>
        </w:rPr>
        <w:t xml:space="preserve"> </w:t>
      </w:r>
      <w:r w:rsidRPr="00425EED">
        <w:rPr>
          <w:rFonts w:ascii="Times New Roman" w:hAnsi="Times New Roman"/>
          <w:sz w:val="24"/>
          <w:szCs w:val="24"/>
        </w:rPr>
        <w:t>to remotely</w:t>
      </w:r>
      <w:r>
        <w:rPr>
          <w:rFonts w:ascii="Times New Roman" w:hAnsi="Times New Roman"/>
          <w:sz w:val="24"/>
          <w:szCs w:val="24"/>
        </w:rPr>
        <w:t xml:space="preserve"> </w:t>
      </w:r>
      <w:r w:rsidRPr="00425EED">
        <w:rPr>
          <w:rFonts w:ascii="Times New Roman" w:hAnsi="Times New Roman"/>
          <w:sz w:val="24"/>
          <w:szCs w:val="24"/>
        </w:rPr>
        <w:t>administer the first part of the examination to Strong on</w:t>
      </w:r>
      <w:r>
        <w:rPr>
          <w:rFonts w:ascii="Times New Roman" w:hAnsi="Times New Roman"/>
          <w:sz w:val="24"/>
          <w:szCs w:val="24"/>
        </w:rPr>
        <w:t xml:space="preserve"> </w:t>
      </w:r>
      <w:r w:rsidRPr="00425EED">
        <w:rPr>
          <w:rFonts w:ascii="Times New Roman" w:hAnsi="Times New Roman"/>
          <w:sz w:val="24"/>
          <w:szCs w:val="24"/>
        </w:rPr>
        <w:t>December 10, 2016, while he was on approved</w:t>
      </w:r>
      <w:r>
        <w:rPr>
          <w:rFonts w:ascii="Times New Roman" w:hAnsi="Times New Roman"/>
          <w:sz w:val="24"/>
          <w:szCs w:val="24"/>
        </w:rPr>
        <w:t xml:space="preserve"> </w:t>
      </w:r>
      <w:r w:rsidRPr="00425EED">
        <w:rPr>
          <w:rFonts w:ascii="Times New Roman" w:hAnsi="Times New Roman"/>
          <w:sz w:val="24"/>
          <w:szCs w:val="24"/>
        </w:rPr>
        <w:t>military leave from</w:t>
      </w:r>
      <w:r>
        <w:rPr>
          <w:rFonts w:ascii="Times New Roman" w:hAnsi="Times New Roman"/>
          <w:sz w:val="24"/>
          <w:szCs w:val="24"/>
        </w:rPr>
        <w:t xml:space="preserve"> </w:t>
      </w:r>
      <w:r w:rsidRPr="00425EED">
        <w:rPr>
          <w:rFonts w:ascii="Times New Roman" w:hAnsi="Times New Roman"/>
          <w:sz w:val="24"/>
          <w:szCs w:val="24"/>
        </w:rPr>
        <w:t>the CFD, at the site</w:t>
      </w:r>
      <w:r>
        <w:rPr>
          <w:rFonts w:ascii="Times New Roman" w:hAnsi="Times New Roman"/>
          <w:sz w:val="24"/>
          <w:szCs w:val="24"/>
        </w:rPr>
        <w:t xml:space="preserve"> </w:t>
      </w:r>
      <w:r w:rsidRPr="00425EED">
        <w:rPr>
          <w:rFonts w:ascii="Times New Roman" w:hAnsi="Times New Roman"/>
          <w:sz w:val="24"/>
          <w:szCs w:val="24"/>
        </w:rPr>
        <w:t>of</w:t>
      </w:r>
      <w:r>
        <w:rPr>
          <w:rFonts w:ascii="Times New Roman" w:hAnsi="Times New Roman"/>
          <w:sz w:val="24"/>
          <w:szCs w:val="24"/>
        </w:rPr>
        <w:t xml:space="preserve"> </w:t>
      </w:r>
      <w:r w:rsidRPr="00425EED">
        <w:rPr>
          <w:rFonts w:ascii="Times New Roman" w:hAnsi="Times New Roman"/>
          <w:sz w:val="24"/>
          <w:szCs w:val="24"/>
        </w:rPr>
        <w:t>his military</w:t>
      </w:r>
      <w:r>
        <w:rPr>
          <w:rFonts w:ascii="Times New Roman" w:hAnsi="Times New Roman"/>
          <w:sz w:val="24"/>
          <w:szCs w:val="24"/>
        </w:rPr>
        <w:t xml:space="preserve"> </w:t>
      </w:r>
      <w:r w:rsidRPr="00425EED">
        <w:rPr>
          <w:rFonts w:ascii="Times New Roman" w:hAnsi="Times New Roman"/>
          <w:sz w:val="24"/>
          <w:szCs w:val="24"/>
        </w:rPr>
        <w:t>duty</w:t>
      </w:r>
      <w:r>
        <w:rPr>
          <w:rFonts w:ascii="Times New Roman" w:hAnsi="Times New Roman"/>
          <w:sz w:val="24"/>
          <w:szCs w:val="24"/>
        </w:rPr>
        <w:t xml:space="preserve"> </w:t>
      </w:r>
      <w:r w:rsidRPr="00425EED">
        <w:rPr>
          <w:rFonts w:ascii="Times New Roman" w:hAnsi="Times New Roman"/>
          <w:sz w:val="24"/>
          <w:szCs w:val="24"/>
        </w:rPr>
        <w:t>station, and required that he accept or decline the remote test administration notice by November 4, 2016.</w:t>
      </w:r>
      <w:r>
        <w:rPr>
          <w:rFonts w:ascii="Times New Roman" w:hAnsi="Times New Roman"/>
          <w:sz w:val="24"/>
          <w:szCs w:val="24"/>
        </w:rPr>
        <w:t xml:space="preserve">” [Para. 32.]  </w:t>
      </w:r>
    </w:p>
    <w:p w14:paraId="4001D207" w14:textId="77777777" w:rsidR="00AC1E3A" w:rsidRPr="00425EED" w:rsidRDefault="00AC1E3A" w:rsidP="00AC1E3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Relief requested includes: “</w:t>
      </w:r>
      <w:r w:rsidRPr="00425EED">
        <w:rPr>
          <w:rFonts w:ascii="Times New Roman" w:hAnsi="Times New Roman"/>
          <w:sz w:val="24"/>
          <w:szCs w:val="24"/>
        </w:rPr>
        <w:t>should his score merit, providing Strong a certification for promotion date that corresponds to that of others who took the 2016 Fire Engineer promotional examination and achieved the same or similar score</w:t>
      </w:r>
      <w:r>
        <w:rPr>
          <w:rFonts w:ascii="Times New Roman" w:hAnsi="Times New Roman"/>
          <w:sz w:val="24"/>
          <w:szCs w:val="24"/>
        </w:rPr>
        <w:t>….” [Para. 62 (40.]</w:t>
      </w:r>
    </w:p>
    <w:p w14:paraId="7A8A889C" w14:textId="77777777" w:rsidR="00AC1E3A" w:rsidRDefault="00AC1E3A" w:rsidP="00F326E5">
      <w:pPr>
        <w:rPr>
          <w:rFonts w:ascii="Arial Black" w:hAnsi="Arial Black"/>
          <w:b/>
          <w:sz w:val="24"/>
          <w:szCs w:val="24"/>
        </w:rPr>
      </w:pPr>
    </w:p>
    <w:p w14:paraId="4E06CE52" w14:textId="77777777" w:rsidR="00863F9E" w:rsidRDefault="00863F9E" w:rsidP="00F326E5">
      <w:pPr>
        <w:rPr>
          <w:rFonts w:ascii="Arial Black" w:hAnsi="Arial Black"/>
          <w:b/>
          <w:sz w:val="24"/>
          <w:szCs w:val="24"/>
        </w:rPr>
      </w:pPr>
    </w:p>
    <w:p w14:paraId="486BB607" w14:textId="5B83DAE4" w:rsidR="00102FD0" w:rsidRDefault="00102FD0"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3</w:t>
      </w:r>
    </w:p>
    <w:p w14:paraId="61003C9D" w14:textId="77777777" w:rsidR="00102FD0"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FL: “ON CALL” TIME - DEPUTY SHERIFF, 1-HR TO RESPOND – PERSONAL TIME NOT SEVERELY RESTRICTED – NO PAY</w:t>
      </w:r>
    </w:p>
    <w:p w14:paraId="61223A6F" w14:textId="77777777" w:rsidR="00102FD0" w:rsidRDefault="00102FD0" w:rsidP="00102FD0">
      <w:pPr>
        <w:tabs>
          <w:tab w:val="left" w:pos="2220"/>
        </w:tabs>
        <w:spacing w:before="100" w:beforeAutospacing="1" w:after="100" w:afterAutospacing="1" w:line="240" w:lineRule="auto"/>
        <w:rPr>
          <w:rFonts w:ascii="Times New Roman" w:eastAsia="Times New Roman" w:hAnsi="Times New Roman"/>
          <w:sz w:val="24"/>
          <w:szCs w:val="24"/>
        </w:rPr>
      </w:pPr>
      <w:r w:rsidRPr="00B05EAF">
        <w:rPr>
          <w:rFonts w:ascii="Times New Roman" w:eastAsia="Times New Roman" w:hAnsi="Times New Roman"/>
          <w:sz w:val="24"/>
          <w:szCs w:val="24"/>
        </w:rPr>
        <w:t xml:space="preserve">On Oct. 3, 2020, </w:t>
      </w:r>
      <w:r>
        <w:rPr>
          <w:rFonts w:ascii="Times New Roman" w:eastAsia="Times New Roman" w:hAnsi="Times New Roman"/>
          <w:sz w:val="24"/>
          <w:szCs w:val="24"/>
        </w:rPr>
        <w:t xml:space="preserve">in </w:t>
      </w:r>
      <w:r w:rsidRPr="00B05EAF">
        <w:rPr>
          <w:rFonts w:ascii="Times New Roman" w:eastAsia="Times New Roman" w:hAnsi="Times New Roman"/>
          <w:sz w:val="24"/>
          <w:szCs w:val="24"/>
          <w:u w:val="single"/>
        </w:rPr>
        <w:t>Joseph Caiazza</w:t>
      </w:r>
      <w:r>
        <w:rPr>
          <w:rFonts w:ascii="Times New Roman" w:eastAsia="Times New Roman" w:hAnsi="Times New Roman"/>
          <w:sz w:val="24"/>
          <w:szCs w:val="24"/>
          <w:u w:val="single"/>
        </w:rPr>
        <w:t>, on his own behalf and those similarly situated</w:t>
      </w:r>
      <w:r w:rsidRPr="00B05EAF">
        <w:rPr>
          <w:rFonts w:ascii="Times New Roman" w:eastAsia="Times New Roman" w:hAnsi="Times New Roman"/>
          <w:sz w:val="24"/>
          <w:szCs w:val="24"/>
          <w:u w:val="single"/>
        </w:rPr>
        <w:t xml:space="preserve"> v. Carmine Marceno</w:t>
      </w:r>
      <w:r>
        <w:rPr>
          <w:rFonts w:ascii="Times New Roman" w:eastAsia="Times New Roman" w:hAnsi="Times New Roman"/>
          <w:sz w:val="24"/>
          <w:szCs w:val="24"/>
        </w:rPr>
        <w:t xml:space="preserve">, U.S. District Court Judge Sheri P. Chappell, Middle District of Florida (Fort Myers Division), granted the County’s motion for summary judgment concerning on call time;  during on call times, Deputy Sheriff had to respond within one hour, and no alcohol; but case may proceed on plaintiff’s allegation that County failed to pay him when held over after working shifts. </w:t>
      </w:r>
    </w:p>
    <w:p w14:paraId="407BD0D3" w14:textId="4943E67C" w:rsidR="00102FD0" w:rsidRPr="00944B05" w:rsidRDefault="00102FD0" w:rsidP="00102FD0">
      <w:pPr>
        <w:tabs>
          <w:tab w:val="left" w:pos="2220"/>
        </w:tabs>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r w:rsidRPr="00944B05">
        <w:rPr>
          <w:rFonts w:ascii="Times New Roman" w:hAnsi="Times New Roman"/>
          <w:sz w:val="24"/>
          <w:szCs w:val="24"/>
        </w:rPr>
        <w:t xml:space="preserve">Caiazza contends all the time he spent on call is compensable. </w:t>
      </w:r>
      <w:proofErr w:type="spellStart"/>
      <w:r w:rsidRPr="00944B05">
        <w:rPr>
          <w:rFonts w:ascii="Times New Roman" w:hAnsi="Times New Roman"/>
          <w:sz w:val="24"/>
          <w:szCs w:val="24"/>
        </w:rPr>
        <w:t>Marceno</w:t>
      </w:r>
      <w:proofErr w:type="spellEnd"/>
      <w:r w:rsidRPr="00944B05">
        <w:rPr>
          <w:rFonts w:ascii="Times New Roman" w:hAnsi="Times New Roman"/>
          <w:sz w:val="24"/>
          <w:szCs w:val="24"/>
        </w:rPr>
        <w:t xml:space="preserve"> counters </w:t>
      </w:r>
      <w:r>
        <w:rPr>
          <w:rFonts w:ascii="Times New Roman" w:hAnsi="Times New Roman"/>
          <w:sz w:val="24"/>
          <w:szCs w:val="24"/>
        </w:rPr>
        <w:t xml:space="preserve">  </w:t>
      </w:r>
      <w:r w:rsidRPr="00944B05">
        <w:rPr>
          <w:rFonts w:ascii="Times New Roman" w:hAnsi="Times New Roman"/>
          <w:sz w:val="24"/>
          <w:szCs w:val="24"/>
        </w:rPr>
        <w:t xml:space="preserve">that such time was not spent working under the FLSA, so no pay was necessary. The Court agrees with </w:t>
      </w:r>
      <w:proofErr w:type="spellStart"/>
      <w:r w:rsidRPr="00944B05">
        <w:rPr>
          <w:rFonts w:ascii="Times New Roman" w:hAnsi="Times New Roman"/>
          <w:sz w:val="24"/>
          <w:szCs w:val="24"/>
        </w:rPr>
        <w:t>Marceno</w:t>
      </w:r>
      <w:proofErr w:type="spellEnd"/>
      <w:r w:rsidRPr="00944B05">
        <w:rPr>
          <w:rFonts w:ascii="Times New Roman" w:hAnsi="Times New Roman"/>
          <w:sz w:val="24"/>
          <w:szCs w:val="24"/>
        </w:rPr>
        <w:t xml:space="preserve"> and holds the time Caiazza spent on call (but not called out) was not compensable, so Caiazza is not entitled to overtime pay based on those hours.</w:t>
      </w:r>
      <w:r>
        <w:rPr>
          <w:rFonts w:ascii="Times New Roman" w:hAnsi="Times New Roman"/>
          <w:sz w:val="24"/>
          <w:szCs w:val="24"/>
        </w:rPr>
        <w:t xml:space="preserve">”  </w:t>
      </w:r>
      <w:hyperlink r:id="rId1905" w:history="1">
        <w:r w:rsidRPr="00A8739B">
          <w:rPr>
            <w:rStyle w:val="Hyperlink"/>
            <w:rFonts w:ascii="Times New Roman" w:hAnsi="Times New Roman"/>
            <w:sz w:val="24"/>
            <w:szCs w:val="24"/>
          </w:rPr>
          <w:t>https://public.fastcase.com/Wl%2B2t%2BeVuI35%2FN70vAMFZjQ0yk8eNGgy%2FibI6B2NDAJYgZ2PRe3I9j%2FKWgfFbNa7</w:t>
        </w:r>
      </w:hyperlink>
      <w:r w:rsidRPr="00944B05">
        <w:rPr>
          <w:rFonts w:ascii="Times New Roman" w:hAnsi="Times New Roman"/>
          <w:sz w:val="24"/>
          <w:szCs w:val="24"/>
        </w:rPr>
        <w:t xml:space="preserve"> </w:t>
      </w:r>
    </w:p>
    <w:p w14:paraId="733B539C" w14:textId="77777777" w:rsidR="00102FD0" w:rsidRPr="005C6354" w:rsidRDefault="00102FD0" w:rsidP="00102FD0">
      <w:pPr>
        <w:spacing w:before="100" w:beforeAutospacing="1" w:after="100" w:afterAutospacing="1" w:line="240" w:lineRule="auto"/>
        <w:rPr>
          <w:rFonts w:ascii="Times New Roman" w:eastAsia="Times New Roman" w:hAnsi="Times New Roman"/>
          <w:b/>
          <w:bCs/>
          <w:sz w:val="24"/>
          <w:szCs w:val="24"/>
        </w:rPr>
      </w:pPr>
      <w:r w:rsidRPr="005C6354">
        <w:rPr>
          <w:rFonts w:ascii="Times New Roman" w:eastAsia="Times New Roman" w:hAnsi="Times New Roman"/>
          <w:b/>
          <w:bCs/>
          <w:sz w:val="24"/>
          <w:szCs w:val="24"/>
        </w:rPr>
        <w:t>Legal Lesson</w:t>
      </w:r>
      <w:r>
        <w:rPr>
          <w:rFonts w:ascii="Times New Roman" w:eastAsia="Times New Roman" w:hAnsi="Times New Roman"/>
          <w:b/>
          <w:bCs/>
          <w:sz w:val="24"/>
          <w:szCs w:val="24"/>
        </w:rPr>
        <w:t xml:space="preserve"> </w:t>
      </w:r>
      <w:r w:rsidRPr="005C6354">
        <w:rPr>
          <w:rFonts w:ascii="Times New Roman" w:eastAsia="Times New Roman" w:hAnsi="Times New Roman"/>
          <w:b/>
          <w:bCs/>
          <w:sz w:val="24"/>
          <w:szCs w:val="24"/>
        </w:rPr>
        <w:t xml:space="preserve">Learned: Unless the </w:t>
      </w:r>
      <w:proofErr w:type="gramStart"/>
      <w:r w:rsidRPr="005C6354">
        <w:rPr>
          <w:rFonts w:ascii="Times New Roman" w:eastAsia="Times New Roman" w:hAnsi="Times New Roman"/>
          <w:b/>
          <w:bCs/>
          <w:sz w:val="24"/>
          <w:szCs w:val="24"/>
        </w:rPr>
        <w:t>on call</w:t>
      </w:r>
      <w:proofErr w:type="gramEnd"/>
      <w:r w:rsidRPr="005C6354">
        <w:rPr>
          <w:rFonts w:ascii="Times New Roman" w:eastAsia="Times New Roman" w:hAnsi="Times New Roman"/>
          <w:b/>
          <w:bCs/>
          <w:sz w:val="24"/>
          <w:szCs w:val="24"/>
        </w:rPr>
        <w:t xml:space="preserve"> </w:t>
      </w:r>
      <w:r w:rsidRPr="00944B05">
        <w:rPr>
          <w:rFonts w:ascii="Times New Roman" w:eastAsia="Times New Roman" w:hAnsi="Times New Roman"/>
          <w:b/>
          <w:bCs/>
          <w:sz w:val="24"/>
          <w:szCs w:val="24"/>
        </w:rPr>
        <w:t xml:space="preserve">employee </w:t>
      </w:r>
      <w:r>
        <w:rPr>
          <w:rFonts w:ascii="Times New Roman" w:eastAsia="Times New Roman" w:hAnsi="Times New Roman"/>
          <w:b/>
          <w:bCs/>
          <w:sz w:val="24"/>
          <w:szCs w:val="24"/>
        </w:rPr>
        <w:t xml:space="preserve">is severely restricted in his </w:t>
      </w:r>
      <w:r w:rsidRPr="00944B05">
        <w:rPr>
          <w:rFonts w:ascii="Times New Roman" w:eastAsia="Times New Roman" w:hAnsi="Times New Roman"/>
          <w:b/>
          <w:bCs/>
          <w:sz w:val="24"/>
          <w:szCs w:val="24"/>
        </w:rPr>
        <w:t>personal pursuits</w:t>
      </w:r>
      <w:r w:rsidRPr="005C6354">
        <w:rPr>
          <w:rFonts w:ascii="Times New Roman" w:eastAsia="Times New Roman" w:hAnsi="Times New Roman"/>
          <w:b/>
          <w:bCs/>
          <w:sz w:val="24"/>
          <w:szCs w:val="24"/>
        </w:rPr>
        <w:t>, the employee is “off the clock.”</w:t>
      </w:r>
    </w:p>
    <w:p w14:paraId="65BB6435" w14:textId="77777777" w:rsidR="00102FD0" w:rsidRDefault="00102FD0" w:rsidP="00F326E5">
      <w:pPr>
        <w:rPr>
          <w:rFonts w:ascii="Arial Black" w:hAnsi="Arial Black"/>
          <w:b/>
          <w:sz w:val="24"/>
          <w:szCs w:val="24"/>
        </w:rPr>
      </w:pPr>
    </w:p>
    <w:p w14:paraId="29C64616" w14:textId="57C42E14" w:rsidR="00102FD0" w:rsidRDefault="00102FD0"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22</w:t>
      </w:r>
    </w:p>
    <w:p w14:paraId="5BEF003E" w14:textId="77777777" w:rsidR="00102FD0" w:rsidRPr="00DC2F46" w:rsidRDefault="00102FD0" w:rsidP="00102FD0">
      <w:pPr>
        <w:pStyle w:val="NoSpacing"/>
        <w:rPr>
          <w:rFonts w:ascii="Arial Black" w:hAnsi="Arial Black"/>
          <w:sz w:val="28"/>
          <w:szCs w:val="28"/>
        </w:rPr>
      </w:pPr>
      <w:r>
        <w:rPr>
          <w:rFonts w:ascii="Arial Black" w:hAnsi="Arial Black"/>
          <w:sz w:val="28"/>
          <w:szCs w:val="28"/>
        </w:rPr>
        <w:t>IN: FLSA SETTLEMENT APPROVED BY FED. JUDGE - $26K AND TOWN DROPPED DEMAND THAT FF PAY BACK $89,878 IN OVERPAY</w:t>
      </w:r>
    </w:p>
    <w:p w14:paraId="7AE93764"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DC2F46">
        <w:rPr>
          <w:rFonts w:ascii="Times New Roman" w:eastAsia="Times New Roman" w:hAnsi="Times New Roman"/>
          <w:sz w:val="24"/>
          <w:szCs w:val="24"/>
        </w:rPr>
        <w:t xml:space="preserve">On </w:t>
      </w:r>
      <w:r>
        <w:rPr>
          <w:rFonts w:ascii="Times New Roman" w:eastAsia="Times New Roman" w:hAnsi="Times New Roman"/>
          <w:sz w:val="24"/>
          <w:szCs w:val="24"/>
        </w:rPr>
        <w:t xml:space="preserve">Oct. 2, 2020, in </w:t>
      </w:r>
      <w:r w:rsidRPr="00DC2F46">
        <w:rPr>
          <w:rFonts w:ascii="Times New Roman" w:eastAsia="Times New Roman" w:hAnsi="Times New Roman"/>
          <w:sz w:val="24"/>
          <w:szCs w:val="24"/>
          <w:u w:val="single"/>
        </w:rPr>
        <w:t>Eric Camel, et al. v.  Town of Chesterton</w:t>
      </w:r>
      <w:r>
        <w:rPr>
          <w:rFonts w:ascii="Times New Roman" w:eastAsia="Times New Roman" w:hAnsi="Times New Roman"/>
          <w:sz w:val="24"/>
          <w:szCs w:val="24"/>
        </w:rPr>
        <w:t xml:space="preserve">, U.S. District Court Judge Theresa L. Springmann, Northern District of Indiana, approved the settlement for overtime pay of from 2011 to 2019 of $26,371, and waiver of City’s demand for repayment by 10 firefighters of $89,878 in overpayments received. </w:t>
      </w:r>
    </w:p>
    <w:p w14:paraId="5FFEF49B" w14:textId="77777777" w:rsidR="00102FD0" w:rsidRPr="00DC2F46" w:rsidRDefault="00102FD0" w:rsidP="00102FD0">
      <w:pPr>
        <w:spacing w:before="100" w:beforeAutospacing="1" w:after="100" w:afterAutospacing="1" w:line="240" w:lineRule="auto"/>
        <w:ind w:left="720"/>
        <w:rPr>
          <w:rFonts w:ascii="Times New Roman" w:eastAsia="Times New Roman" w:hAnsi="Times New Roman"/>
          <w:sz w:val="24"/>
          <w:szCs w:val="24"/>
        </w:rPr>
      </w:pPr>
      <w:r>
        <w:t>“</w:t>
      </w:r>
      <w:r w:rsidRPr="00DC2F46">
        <w:rPr>
          <w:rFonts w:ascii="Times New Roman" w:eastAsia="Times New Roman" w:hAnsi="Times New Roman"/>
          <w:sz w:val="24"/>
          <w:szCs w:val="24"/>
        </w:rPr>
        <w:t>Counsel for the parties represent that they reached an arms-length agreement</w:t>
      </w:r>
      <w:r>
        <w:rPr>
          <w:rFonts w:ascii="Times New Roman" w:eastAsia="Times New Roman" w:hAnsi="Times New Roman"/>
          <w:sz w:val="24"/>
          <w:szCs w:val="24"/>
        </w:rPr>
        <w:t xml:space="preserve"> </w:t>
      </w:r>
      <w:r w:rsidRPr="00DC2F46">
        <w:rPr>
          <w:rFonts w:ascii="Times New Roman" w:eastAsia="Times New Roman" w:hAnsi="Times New Roman"/>
          <w:sz w:val="24"/>
          <w:szCs w:val="24"/>
        </w:rPr>
        <w:t>to settle the case on August 10, 2020, after two months of extensive negotiations over the language of the Settlement Agreement. The parties agree that Plaintiffs' attorney's fees are reasonable in relation to the requirements of the case. They finalized the terms of the Settlement Agreement on August 25, 2020.</w:t>
      </w:r>
    </w:p>
    <w:p w14:paraId="52FAD31F"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r w:rsidRPr="00DC2F46">
        <w:rPr>
          <w:rFonts w:ascii="Times New Roman" w:eastAsia="Times New Roman" w:hAnsi="Times New Roman"/>
          <w:sz w:val="24"/>
          <w:szCs w:val="24"/>
        </w:rPr>
        <w:t xml:space="preserve">The Settlement Agreement provides for a total payment of $26,371.24, which includes (1) a payment of $647.40 to Plaintiff Amanda Shine for back pay and liquidated damages, inclusive of all attorney's fees and costs; (2) a payment of $723.84 to Plaintiff Michael A. Coslet for back pay and liquidated damages, inclusive of all attorney's fees and costs; and (3) a payment of $25,000.00 in attorney's fees. The Settlement </w:t>
      </w:r>
    </w:p>
    <w:p w14:paraId="7B822CEA"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p>
    <w:p w14:paraId="4C021959" w14:textId="77777777" w:rsidR="00102FD0" w:rsidRPr="00DC2F46" w:rsidRDefault="00102FD0" w:rsidP="00102FD0">
      <w:pPr>
        <w:spacing w:before="100" w:beforeAutospacing="1" w:after="100" w:afterAutospacing="1" w:line="240" w:lineRule="auto"/>
        <w:ind w:left="720"/>
        <w:rPr>
          <w:rFonts w:ascii="Times New Roman" w:eastAsia="Times New Roman" w:hAnsi="Times New Roman"/>
          <w:sz w:val="24"/>
          <w:szCs w:val="24"/>
        </w:rPr>
      </w:pPr>
      <w:r w:rsidRPr="00DC2F46">
        <w:rPr>
          <w:rFonts w:ascii="Times New Roman" w:eastAsia="Times New Roman" w:hAnsi="Times New Roman"/>
          <w:sz w:val="24"/>
          <w:szCs w:val="24"/>
        </w:rPr>
        <w:t xml:space="preserve">Agreement further provides for significant non-economic awards such as the addition of four vacation days in lieu of reduction time (and the elimination of reduction time), enacted through amendments to the Personnel Handbook and to the agreement between the Town of Chesterton and Chesterton Firefighters Local 4600; waiver of the $89,878.26 overpayment the Town of Chesterton alleges is owed by ten of the Plaintiffs; and the removal of a reprimand in two of the Plaintiffs' personnel files. </w:t>
      </w:r>
      <w:proofErr w:type="gramStart"/>
      <w:r w:rsidRPr="00DC2F46">
        <w:rPr>
          <w:rFonts w:ascii="Times New Roman" w:eastAsia="Times New Roman" w:hAnsi="Times New Roman"/>
          <w:sz w:val="24"/>
          <w:szCs w:val="24"/>
        </w:rPr>
        <w:t>And,</w:t>
      </w:r>
      <w:proofErr w:type="gramEnd"/>
      <w:r w:rsidRPr="00DC2F46">
        <w:rPr>
          <w:rFonts w:ascii="Times New Roman" w:eastAsia="Times New Roman" w:hAnsi="Times New Roman"/>
          <w:sz w:val="24"/>
          <w:szCs w:val="24"/>
        </w:rPr>
        <w:t xml:space="preserve"> the Settlement Agreement provides that Plaintiffs and the Town of Chesterton agree to dismiss </w:t>
      </w:r>
      <w:proofErr w:type="gramStart"/>
      <w:r w:rsidRPr="00DC2F46">
        <w:rPr>
          <w:rFonts w:ascii="Times New Roman" w:eastAsia="Times New Roman" w:hAnsi="Times New Roman"/>
          <w:sz w:val="24"/>
          <w:szCs w:val="24"/>
        </w:rPr>
        <w:t>all of</w:t>
      </w:r>
      <w:proofErr w:type="gramEnd"/>
      <w:r w:rsidRPr="00DC2F46">
        <w:rPr>
          <w:rFonts w:ascii="Times New Roman" w:eastAsia="Times New Roman" w:hAnsi="Times New Roman"/>
          <w:sz w:val="24"/>
          <w:szCs w:val="24"/>
        </w:rPr>
        <w:t xml:space="preserve"> their claims with prejudice within three business days of receipt of the settlement funds. The parties have submitted a spreadsheet showing the breakdown by named Plaintiff of the alleged overtime wages owed, the pre-suit payments made, the amounts to be paid pursuant to the Settlement Agreement, and the overpayments that will be waived pursuant to the Settlement Agreement. </w:t>
      </w:r>
      <w:r w:rsidRPr="00DC2F46">
        <w:rPr>
          <w:rFonts w:ascii="Times New Roman" w:eastAsia="Times New Roman" w:hAnsi="Times New Roman"/>
          <w:i/>
          <w:iCs/>
          <w:sz w:val="24"/>
          <w:szCs w:val="24"/>
        </w:rPr>
        <w:t>See</w:t>
      </w:r>
      <w:r w:rsidRPr="00DC2F46">
        <w:rPr>
          <w:rFonts w:ascii="Times New Roman" w:eastAsia="Times New Roman" w:hAnsi="Times New Roman"/>
          <w:sz w:val="24"/>
          <w:szCs w:val="24"/>
        </w:rPr>
        <w:t xml:space="preserve"> ECF No. 60-1.</w:t>
      </w:r>
      <w:r>
        <w:rPr>
          <w:rFonts w:ascii="Times New Roman" w:eastAsia="Times New Roman" w:hAnsi="Times New Roman"/>
          <w:sz w:val="24"/>
          <w:szCs w:val="24"/>
        </w:rPr>
        <w:t xml:space="preserve">” </w:t>
      </w:r>
      <w:hyperlink r:id="rId1906" w:history="1">
        <w:r w:rsidRPr="00987F62">
          <w:rPr>
            <w:rStyle w:val="Hyperlink"/>
            <w:rFonts w:ascii="Times New Roman" w:eastAsia="Times New Roman" w:hAnsi="Times New Roman"/>
            <w:sz w:val="24"/>
            <w:szCs w:val="24"/>
          </w:rPr>
          <w:t>https://law.justia.com/cases/federal/district-courts/indiana/inndce/2:2019cv00065/97508/61/</w:t>
        </w:r>
      </w:hyperlink>
      <w:r>
        <w:rPr>
          <w:rFonts w:ascii="Times New Roman" w:eastAsia="Times New Roman" w:hAnsi="Times New Roman"/>
          <w:sz w:val="24"/>
          <w:szCs w:val="24"/>
        </w:rPr>
        <w:t xml:space="preserve"> </w:t>
      </w:r>
    </w:p>
    <w:p w14:paraId="53580E72" w14:textId="77777777" w:rsidR="00102FD0" w:rsidRDefault="00102FD0" w:rsidP="00102FD0">
      <w:pPr>
        <w:tabs>
          <w:tab w:val="left" w:pos="3000"/>
        </w:tabs>
        <w:spacing w:before="100" w:beforeAutospacing="1" w:after="100" w:afterAutospacing="1" w:line="240" w:lineRule="auto"/>
        <w:rPr>
          <w:rFonts w:ascii="Times New Roman" w:eastAsia="Times New Roman" w:hAnsi="Times New Roman"/>
          <w:b/>
          <w:bCs/>
          <w:sz w:val="24"/>
          <w:szCs w:val="24"/>
        </w:rPr>
      </w:pPr>
      <w:r w:rsidRPr="00C0130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FLSA settlements must be approved by Federal court or by the U.S. Department of Labor to ensure fairness of the settlements. </w:t>
      </w:r>
    </w:p>
    <w:p w14:paraId="742F1A88" w14:textId="77777777" w:rsidR="00102FD0" w:rsidRPr="00C01300" w:rsidRDefault="00102FD0" w:rsidP="00102FD0">
      <w:pPr>
        <w:pStyle w:val="NormalWeb"/>
        <w:ind w:firstLine="720"/>
      </w:pPr>
      <w:r w:rsidRPr="00C01300">
        <w:t>Note:</w:t>
      </w:r>
      <w:r>
        <w:rPr>
          <w:b/>
          <w:bCs/>
        </w:rPr>
        <w:t xml:space="preserve"> </w:t>
      </w:r>
      <w:r w:rsidRPr="00C01300">
        <w:t>The governing provision of the FLSA provides:</w:t>
      </w:r>
    </w:p>
    <w:p w14:paraId="4E19BB8E" w14:textId="77777777" w:rsidR="00102FD0" w:rsidRPr="00C01300" w:rsidRDefault="00102FD0" w:rsidP="00102FD0">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C01300">
        <w:rPr>
          <w:rFonts w:ascii="Times New Roman" w:eastAsia="Times New Roman" w:hAnsi="Times New Roman"/>
          <w:sz w:val="24"/>
          <w:szCs w:val="24"/>
        </w:rPr>
        <w:t>The Secretary is authorized to supervise the payment of the unpaid minimum wages or the unpaid overtime compensation owing to any employee or employees under section 206 or section 207 of this title, and the agreement of any employee to accept such payment shall upon payment in full constitute a waiver by such employee of any right he may have under subsection (b) of this section to such unpaid minimum wages or unpaid overtime compensation and an additional equal amount as liquidated damages.</w:t>
      </w:r>
      <w:r>
        <w:rPr>
          <w:rFonts w:ascii="Times New Roman" w:eastAsia="Times New Roman" w:hAnsi="Times New Roman"/>
          <w:sz w:val="24"/>
          <w:szCs w:val="24"/>
        </w:rPr>
        <w:t xml:space="preserve">” </w:t>
      </w:r>
      <w:r w:rsidRPr="00C01300">
        <w:rPr>
          <w:rFonts w:ascii="Times New Roman" w:eastAsia="Times New Roman" w:hAnsi="Times New Roman"/>
          <w:sz w:val="24"/>
          <w:szCs w:val="24"/>
        </w:rPr>
        <w:t>29 U.S.C. § 216(c).</w:t>
      </w:r>
    </w:p>
    <w:p w14:paraId="2F1D3C70" w14:textId="77777777" w:rsidR="00102FD0" w:rsidRDefault="00102FD0" w:rsidP="00F326E5">
      <w:pPr>
        <w:rPr>
          <w:rFonts w:ascii="Arial Black" w:hAnsi="Arial Black"/>
          <w:b/>
          <w:sz w:val="24"/>
          <w:szCs w:val="24"/>
        </w:rPr>
      </w:pPr>
    </w:p>
    <w:p w14:paraId="0D26F710" w14:textId="77777777" w:rsidR="00D4542A" w:rsidRDefault="00D4542A" w:rsidP="00F326E5">
      <w:pPr>
        <w:rPr>
          <w:rFonts w:ascii="Arial Black" w:hAnsi="Arial Black"/>
          <w:b/>
          <w:sz w:val="24"/>
          <w:szCs w:val="24"/>
        </w:rPr>
      </w:pPr>
    </w:p>
    <w:p w14:paraId="0DF50FCB" w14:textId="45200451" w:rsidR="00D4542A" w:rsidRDefault="00B13773" w:rsidP="00F326E5">
      <w:pPr>
        <w:rPr>
          <w:rFonts w:ascii="Arial Black" w:hAnsi="Arial Black"/>
          <w:b/>
          <w:sz w:val="24"/>
          <w:szCs w:val="24"/>
        </w:rPr>
      </w:pPr>
      <w:r>
        <w:rPr>
          <w:rFonts w:ascii="Arial Black" w:hAnsi="Arial Black"/>
          <w:b/>
          <w:sz w:val="24"/>
          <w:szCs w:val="24"/>
        </w:rPr>
        <w:t>11-21</w:t>
      </w:r>
    </w:p>
    <w:p w14:paraId="0B156FDA" w14:textId="77777777" w:rsidR="00D4542A" w:rsidRDefault="00D4542A" w:rsidP="00D4542A">
      <w:pPr>
        <w:rPr>
          <w:rFonts w:ascii="Arial Black" w:hAnsi="Arial Black"/>
          <w:sz w:val="28"/>
          <w:szCs w:val="28"/>
        </w:rPr>
      </w:pPr>
      <w:r>
        <w:rPr>
          <w:rFonts w:ascii="Arial Black" w:hAnsi="Arial Black"/>
          <w:sz w:val="28"/>
          <w:szCs w:val="28"/>
        </w:rPr>
        <w:t xml:space="preserve">IL: FF IN U.S. ARMY RESERVE – NOT ENTITLED TO “DIFFERENTIAL PAY” UNDER </w:t>
      </w:r>
      <w:r w:rsidRPr="00742B82">
        <w:rPr>
          <w:rFonts w:ascii="Arial Black" w:hAnsi="Arial Black"/>
          <w:sz w:val="28"/>
          <w:szCs w:val="28"/>
        </w:rPr>
        <w:t>USERRA</w:t>
      </w:r>
      <w:r>
        <w:rPr>
          <w:rFonts w:ascii="Arial Black" w:hAnsi="Arial Black"/>
          <w:sz w:val="28"/>
          <w:szCs w:val="28"/>
        </w:rPr>
        <w:t xml:space="preserve"> – MAY HAVE CLAIM UNDER STATE STATUTE</w:t>
      </w:r>
    </w:p>
    <w:p w14:paraId="117C0135" w14:textId="77777777" w:rsidR="00D4542A" w:rsidRDefault="00D4542A" w:rsidP="00D4542A">
      <w:pPr>
        <w:rPr>
          <w:rFonts w:ascii="Times New Roman" w:hAnsi="Times New Roman"/>
          <w:sz w:val="24"/>
          <w:szCs w:val="24"/>
        </w:rPr>
      </w:pPr>
      <w:r>
        <w:rPr>
          <w:rFonts w:ascii="Times New Roman" w:hAnsi="Times New Roman"/>
          <w:sz w:val="24"/>
          <w:szCs w:val="24"/>
        </w:rPr>
        <w:t xml:space="preserve">On September 28, 2020, in </w:t>
      </w:r>
      <w:r w:rsidRPr="00FC1C33">
        <w:rPr>
          <w:rFonts w:ascii="Times New Roman" w:hAnsi="Times New Roman"/>
          <w:sz w:val="24"/>
          <w:szCs w:val="24"/>
          <w:u w:val="single"/>
        </w:rPr>
        <w:t>Gregory Heckenbach v. Bloomingdale Fire Protection District et al</w:t>
      </w:r>
      <w:r>
        <w:rPr>
          <w:rFonts w:ascii="Times New Roman" w:hAnsi="Times New Roman"/>
          <w:sz w:val="24"/>
          <w:szCs w:val="24"/>
        </w:rPr>
        <w:t>., U.S. District Court Judge Steven C. Seeger granted the City’s motion for judgment on the pleadings concerning alleged violation of the federal USERRA (Uniformed Services Employment and Reemployment Rights Act of 1964).  While the State of Illinois has enacted a statute requiring differential pay under the Illinois Military Leave of Absence Act (for example, plaintiff states Chicago Police Department makes up difference) the federal statute has no such provision. Court also dismissed his defamation claim concerning FD calls to his Army Reserve commanders, since Illinois has a statute protecting public employees from on duty defamation claims.  His lawsuit on other counts concerning hostile workplace may proceed; he may also now sue in State court on his differential pay claim.</w:t>
      </w:r>
    </w:p>
    <w:p w14:paraId="5D470686" w14:textId="77777777" w:rsidR="00D4542A" w:rsidRPr="00EC52DB" w:rsidRDefault="00D4542A" w:rsidP="00D454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EC52DB">
        <w:rPr>
          <w:rFonts w:ascii="Times New Roman" w:eastAsia="Times New Roman" w:hAnsi="Times New Roman"/>
          <w:sz w:val="24"/>
          <w:szCs w:val="24"/>
        </w:rPr>
        <w:t xml:space="preserve">Heckenbach relies on the fact that the Illinois Military Leave of Absence Act requires differential pay. </w:t>
      </w:r>
      <w:r w:rsidRPr="00EC52DB">
        <w:rPr>
          <w:rFonts w:ascii="Times New Roman" w:eastAsia="Times New Roman" w:hAnsi="Times New Roman"/>
          <w:i/>
          <w:iCs/>
          <w:sz w:val="24"/>
          <w:szCs w:val="24"/>
        </w:rPr>
        <w:t>Id</w:t>
      </w:r>
      <w:r w:rsidRPr="00EC52DB">
        <w:rPr>
          <w:rFonts w:ascii="Times New Roman" w:eastAsia="Times New Roman" w:hAnsi="Times New Roman"/>
          <w:sz w:val="24"/>
          <w:szCs w:val="24"/>
        </w:rPr>
        <w:t xml:space="preserve">. at 4-5. Again, that's the statute that governed during the period in question. The text of the statute required differential pay during training, </w:t>
      </w:r>
      <w:r w:rsidRPr="00EC52DB">
        <w:rPr>
          <w:rFonts w:ascii="Times New Roman" w:eastAsia="Times New Roman" w:hAnsi="Times New Roman"/>
          <w:i/>
          <w:iCs/>
          <w:sz w:val="24"/>
          <w:szCs w:val="24"/>
        </w:rPr>
        <w:t>see</w:t>
      </w:r>
      <w:r w:rsidRPr="00EC52DB">
        <w:rPr>
          <w:rFonts w:ascii="Times New Roman" w:eastAsia="Times New Roman" w:hAnsi="Times New Roman"/>
          <w:sz w:val="24"/>
          <w:szCs w:val="24"/>
        </w:rPr>
        <w:t xml:space="preserve"> 5 ILCS 325/1(a) (repealed 2019), and during active duty, </w:t>
      </w:r>
      <w:r w:rsidRPr="00EC52DB">
        <w:rPr>
          <w:rFonts w:ascii="Times New Roman" w:eastAsia="Times New Roman" w:hAnsi="Times New Roman"/>
          <w:i/>
          <w:iCs/>
          <w:sz w:val="24"/>
          <w:szCs w:val="24"/>
        </w:rPr>
        <w:t>see id</w:t>
      </w:r>
      <w:r w:rsidRPr="00EC52DB">
        <w:rPr>
          <w:rFonts w:ascii="Times New Roman" w:eastAsia="Times New Roman" w:hAnsi="Times New Roman"/>
          <w:sz w:val="24"/>
          <w:szCs w:val="24"/>
        </w:rPr>
        <w:t xml:space="preserve">. at § 1(b). Like that statute, the current Illinois statute requires differential pay, too. The text is </w:t>
      </w:r>
      <w:proofErr w:type="gramStart"/>
      <w:r w:rsidRPr="00EC52DB">
        <w:rPr>
          <w:rFonts w:ascii="Times New Roman" w:eastAsia="Times New Roman" w:hAnsi="Times New Roman"/>
          <w:sz w:val="24"/>
          <w:szCs w:val="24"/>
        </w:rPr>
        <w:t xml:space="preserve">straightforward: </w:t>
      </w:r>
      <w:r>
        <w:rPr>
          <w:rFonts w:ascii="Times New Roman" w:eastAsia="Times New Roman" w:hAnsi="Times New Roman"/>
          <w:sz w:val="24"/>
          <w:szCs w:val="24"/>
        </w:rPr>
        <w:t>‘</w:t>
      </w:r>
      <w:proofErr w:type="gramEnd"/>
      <w:r w:rsidRPr="00EC52DB">
        <w:rPr>
          <w:rFonts w:ascii="Times New Roman" w:eastAsia="Times New Roman" w:hAnsi="Times New Roman"/>
          <w:sz w:val="24"/>
          <w:szCs w:val="24"/>
        </w:rPr>
        <w:t>Differential compensation shall be paid to all forms of active service except active service without pay.</w:t>
      </w:r>
      <w:r>
        <w:rPr>
          <w:rFonts w:ascii="Times New Roman" w:eastAsia="Times New Roman" w:hAnsi="Times New Roman"/>
          <w:sz w:val="24"/>
          <w:szCs w:val="24"/>
        </w:rPr>
        <w:t>’</w:t>
      </w:r>
      <w:r w:rsidRPr="00EC52DB">
        <w:rPr>
          <w:rFonts w:ascii="Times New Roman" w:eastAsia="Times New Roman" w:hAnsi="Times New Roman"/>
          <w:sz w:val="24"/>
          <w:szCs w:val="24"/>
        </w:rPr>
        <w:t xml:space="preserve"> </w:t>
      </w:r>
      <w:r w:rsidRPr="00EC52DB">
        <w:rPr>
          <w:rFonts w:ascii="Times New Roman" w:eastAsia="Times New Roman" w:hAnsi="Times New Roman"/>
          <w:i/>
          <w:iCs/>
          <w:sz w:val="24"/>
          <w:szCs w:val="24"/>
        </w:rPr>
        <w:t>See</w:t>
      </w:r>
      <w:r w:rsidRPr="00EC52DB">
        <w:rPr>
          <w:rFonts w:ascii="Times New Roman" w:eastAsia="Times New Roman" w:hAnsi="Times New Roman"/>
          <w:sz w:val="24"/>
          <w:szCs w:val="24"/>
        </w:rPr>
        <w:t xml:space="preserve"> 330 ILCS 61/1-15(b).</w:t>
      </w:r>
    </w:p>
    <w:p w14:paraId="08D22C55" w14:textId="77777777" w:rsidR="00D4542A" w:rsidRDefault="00D4542A" w:rsidP="00D4542A">
      <w:pPr>
        <w:spacing w:before="100" w:beforeAutospacing="1" w:after="100" w:afterAutospacing="1" w:line="240" w:lineRule="auto"/>
        <w:ind w:left="720"/>
        <w:rPr>
          <w:rFonts w:ascii="Times New Roman" w:eastAsia="Times New Roman" w:hAnsi="Times New Roman"/>
          <w:sz w:val="24"/>
          <w:szCs w:val="24"/>
        </w:rPr>
      </w:pPr>
      <w:r w:rsidRPr="00EC52DB">
        <w:rPr>
          <w:rFonts w:ascii="Times New Roman" w:eastAsia="Times New Roman" w:hAnsi="Times New Roman"/>
          <w:sz w:val="24"/>
          <w:szCs w:val="24"/>
        </w:rPr>
        <w:t>That language sinks, rather than supports, Heckenbach's argument. No comparable language appears in the federal statute. The USERRA does not mention differential pay, let alone require public entities to pay it. The text of the state statute expressly requires differential pay, but the text of the federal statute does not. If anything, the foothold for differential pay in the state statute exposes the fact that there is no toehold for differential pay in the federal statute</w:t>
      </w:r>
      <w:r>
        <w:rPr>
          <w:rFonts w:ascii="Times New Roman" w:eastAsia="Times New Roman" w:hAnsi="Times New Roman"/>
          <w:sz w:val="24"/>
          <w:szCs w:val="24"/>
        </w:rPr>
        <w:t xml:space="preserve">.” </w:t>
      </w:r>
      <w:hyperlink r:id="rId1907" w:history="1">
        <w:r w:rsidRPr="00141589">
          <w:rPr>
            <w:rStyle w:val="Hyperlink"/>
            <w:rFonts w:ascii="Times New Roman" w:eastAsia="Times New Roman" w:hAnsi="Times New Roman"/>
            <w:sz w:val="24"/>
            <w:szCs w:val="24"/>
          </w:rPr>
          <w:t>https://public.fastcase.com/Wl%2B2t%2BeVuI35%2FN70vAMFZpdjKXDmRY5LJSAOUJ86zVs5waUL1YS3yBNtSKE8F5Gl</w:t>
        </w:r>
      </w:hyperlink>
      <w:r>
        <w:rPr>
          <w:rFonts w:ascii="Times New Roman" w:eastAsia="Times New Roman" w:hAnsi="Times New Roman"/>
          <w:sz w:val="24"/>
          <w:szCs w:val="24"/>
        </w:rPr>
        <w:t xml:space="preserve"> </w:t>
      </w:r>
    </w:p>
    <w:p w14:paraId="01FB70B4" w14:textId="77777777" w:rsidR="00D4542A" w:rsidRPr="004D5BFC" w:rsidRDefault="00D4542A" w:rsidP="00D4542A">
      <w:pPr>
        <w:spacing w:before="100" w:beforeAutospacing="1" w:after="100" w:afterAutospacing="1" w:line="240" w:lineRule="auto"/>
        <w:rPr>
          <w:rFonts w:ascii="Times New Roman" w:hAnsi="Times New Roman"/>
          <w:b/>
          <w:bCs/>
          <w:sz w:val="24"/>
          <w:szCs w:val="24"/>
        </w:rPr>
      </w:pPr>
      <w:r w:rsidRPr="00C63CA5">
        <w:rPr>
          <w:rFonts w:ascii="Times New Roman" w:hAnsi="Times New Roman"/>
          <w:b/>
          <w:bCs/>
          <w:sz w:val="24"/>
          <w:szCs w:val="24"/>
        </w:rPr>
        <w:t>Legal Lessons Learned</w:t>
      </w:r>
      <w:r w:rsidRPr="004D5BFC">
        <w:rPr>
          <w:rFonts w:ascii="Times New Roman" w:hAnsi="Times New Roman"/>
          <w:b/>
          <w:bCs/>
          <w:sz w:val="24"/>
          <w:szCs w:val="24"/>
        </w:rPr>
        <w:t xml:space="preserve">: USERRA provides for </w:t>
      </w:r>
      <w:proofErr w:type="gramStart"/>
      <w:r w:rsidRPr="004D5BFC">
        <w:rPr>
          <w:rFonts w:ascii="Times New Roman" w:hAnsi="Times New Roman"/>
          <w:b/>
          <w:bCs/>
          <w:i/>
          <w:iCs/>
          <w:sz w:val="24"/>
          <w:szCs w:val="24"/>
        </w:rPr>
        <w:t>unpaid</w:t>
      </w:r>
      <w:proofErr w:type="gramEnd"/>
      <w:r w:rsidRPr="004D5BFC">
        <w:rPr>
          <w:rFonts w:ascii="Times New Roman" w:hAnsi="Times New Roman"/>
          <w:b/>
          <w:bCs/>
          <w:sz w:val="24"/>
          <w:szCs w:val="24"/>
        </w:rPr>
        <w:t xml:space="preserve"> but job protected leave for service in the uniformed services. </w:t>
      </w:r>
      <w:r>
        <w:rPr>
          <w:rFonts w:ascii="Times New Roman" w:hAnsi="Times New Roman"/>
          <w:b/>
          <w:bCs/>
          <w:sz w:val="24"/>
          <w:szCs w:val="24"/>
        </w:rPr>
        <w:t xml:space="preserve"> If you are in the Reserves, keep your FD well informed when you </w:t>
      </w:r>
      <w:proofErr w:type="gramStart"/>
      <w:r>
        <w:rPr>
          <w:rFonts w:ascii="Times New Roman" w:hAnsi="Times New Roman"/>
          <w:b/>
          <w:bCs/>
          <w:sz w:val="24"/>
          <w:szCs w:val="24"/>
        </w:rPr>
        <w:t>will be</w:t>
      </w:r>
      <w:proofErr w:type="gramEnd"/>
      <w:r>
        <w:rPr>
          <w:rFonts w:ascii="Times New Roman" w:hAnsi="Times New Roman"/>
          <w:b/>
          <w:bCs/>
          <w:sz w:val="24"/>
          <w:szCs w:val="24"/>
        </w:rPr>
        <w:t xml:space="preserve"> on military duty. </w:t>
      </w:r>
    </w:p>
    <w:p w14:paraId="261F693B" w14:textId="77777777" w:rsidR="00D4542A" w:rsidRDefault="00D4542A" w:rsidP="00D4542A">
      <w:pPr>
        <w:pStyle w:val="Heading1"/>
        <w:ind w:left="720"/>
        <w:rPr>
          <w:b w:val="0"/>
          <w:bCs w:val="0"/>
          <w:sz w:val="24"/>
          <w:szCs w:val="24"/>
        </w:rPr>
      </w:pPr>
      <w:r w:rsidRPr="000A6F2D">
        <w:rPr>
          <w:b w:val="0"/>
          <w:bCs w:val="0"/>
          <w:sz w:val="24"/>
          <w:szCs w:val="24"/>
        </w:rPr>
        <w:t xml:space="preserve">See </w:t>
      </w:r>
      <w:r>
        <w:rPr>
          <w:b w:val="0"/>
          <w:bCs w:val="0"/>
          <w:sz w:val="24"/>
          <w:szCs w:val="24"/>
        </w:rPr>
        <w:t xml:space="preserve">Sept. 23, </w:t>
      </w:r>
      <w:proofErr w:type="gramStart"/>
      <w:r>
        <w:rPr>
          <w:b w:val="0"/>
          <w:bCs w:val="0"/>
          <w:sz w:val="24"/>
          <w:szCs w:val="24"/>
        </w:rPr>
        <w:t>2019</w:t>
      </w:r>
      <w:proofErr w:type="gramEnd"/>
      <w:r>
        <w:rPr>
          <w:b w:val="0"/>
          <w:bCs w:val="0"/>
          <w:sz w:val="24"/>
          <w:szCs w:val="24"/>
        </w:rPr>
        <w:t xml:space="preserve"> </w:t>
      </w:r>
      <w:r w:rsidRPr="000A6F2D">
        <w:rPr>
          <w:b w:val="0"/>
          <w:bCs w:val="0"/>
          <w:sz w:val="24"/>
          <w:szCs w:val="24"/>
        </w:rPr>
        <w:t xml:space="preserve">TV news story interviewing plaintiff: </w:t>
      </w:r>
      <w:r>
        <w:rPr>
          <w:b w:val="0"/>
          <w:bCs w:val="0"/>
          <w:sz w:val="24"/>
          <w:szCs w:val="24"/>
        </w:rPr>
        <w:t>“</w:t>
      </w:r>
      <w:r w:rsidRPr="000A6F2D">
        <w:rPr>
          <w:b w:val="0"/>
          <w:bCs w:val="0"/>
          <w:sz w:val="24"/>
          <w:szCs w:val="24"/>
        </w:rPr>
        <w:t>Army Reservist Sues Suburban Fire District for Alleged Retaliation</w:t>
      </w:r>
      <w:r>
        <w:rPr>
          <w:b w:val="0"/>
          <w:bCs w:val="0"/>
          <w:sz w:val="24"/>
          <w:szCs w:val="24"/>
        </w:rPr>
        <w:t xml:space="preserve">.” </w:t>
      </w:r>
      <w:r w:rsidRPr="000A6F2D">
        <w:rPr>
          <w:b w:val="0"/>
          <w:bCs w:val="0"/>
          <w:sz w:val="24"/>
          <w:szCs w:val="24"/>
        </w:rPr>
        <w:t xml:space="preserve"> </w:t>
      </w:r>
      <w:hyperlink r:id="rId1908" w:history="1">
        <w:r w:rsidRPr="000A6F2D">
          <w:rPr>
            <w:rStyle w:val="Hyperlink"/>
            <w:b w:val="0"/>
            <w:bCs w:val="0"/>
            <w:sz w:val="24"/>
            <w:szCs w:val="24"/>
          </w:rPr>
          <w:t>https://www.nbcchicago.com/news/local/reservist-sues-civilian-employer-nbc-investigates/153292/</w:t>
        </w:r>
      </w:hyperlink>
      <w:r w:rsidRPr="000A6F2D">
        <w:rPr>
          <w:b w:val="0"/>
          <w:bCs w:val="0"/>
          <w:sz w:val="24"/>
          <w:szCs w:val="24"/>
        </w:rPr>
        <w:t xml:space="preserve"> </w:t>
      </w:r>
    </w:p>
    <w:p w14:paraId="1E14CCFC" w14:textId="77777777" w:rsidR="00D4542A" w:rsidRPr="00C63CA5" w:rsidRDefault="00D4542A" w:rsidP="00D4542A">
      <w:pPr>
        <w:spacing w:before="100" w:beforeAutospacing="1" w:after="100" w:afterAutospacing="1" w:line="240" w:lineRule="auto"/>
        <w:ind w:left="720"/>
        <w:rPr>
          <w:rFonts w:ascii="Times New Roman" w:eastAsia="Times New Roman" w:hAnsi="Times New Roman"/>
          <w:b/>
          <w:bCs/>
          <w:sz w:val="24"/>
          <w:szCs w:val="24"/>
        </w:rPr>
      </w:pPr>
      <w:r w:rsidRPr="00711F3A">
        <w:rPr>
          <w:rFonts w:ascii="Times New Roman" w:hAnsi="Times New Roman"/>
          <w:sz w:val="24"/>
          <w:szCs w:val="24"/>
        </w:rPr>
        <w:t>See this July 2016 Law Review article</w:t>
      </w:r>
      <w:r>
        <w:rPr>
          <w:rFonts w:ascii="Times New Roman" w:hAnsi="Times New Roman"/>
          <w:sz w:val="24"/>
          <w:szCs w:val="24"/>
        </w:rPr>
        <w:t xml:space="preserve"> concerning lawsuit by Indianapolis firefighters who were in the Reserves</w:t>
      </w:r>
      <w:r w:rsidRPr="00711F3A">
        <w:rPr>
          <w:rFonts w:ascii="Times New Roman" w:hAnsi="Times New Roman"/>
          <w:sz w:val="24"/>
          <w:szCs w:val="24"/>
        </w:rPr>
        <w:t>:</w:t>
      </w:r>
      <w:r w:rsidRPr="00711F3A">
        <w:rPr>
          <w:rFonts w:ascii="Times New Roman" w:hAnsi="Times New Roman"/>
          <w:b/>
          <w:bCs/>
          <w:sz w:val="24"/>
          <w:szCs w:val="24"/>
        </w:rPr>
        <w:t xml:space="preserve"> </w:t>
      </w:r>
      <w:r>
        <w:rPr>
          <w:rFonts w:ascii="Times New Roman" w:hAnsi="Times New Roman"/>
          <w:b/>
          <w:bCs/>
          <w:sz w:val="24"/>
          <w:szCs w:val="24"/>
        </w:rPr>
        <w:t>“</w:t>
      </w:r>
      <w:r w:rsidRPr="00711F3A">
        <w:rPr>
          <w:rFonts w:ascii="Times New Roman" w:hAnsi="Times New Roman"/>
          <w:sz w:val="24"/>
          <w:szCs w:val="24"/>
        </w:rPr>
        <w:t>Right to Paid Military Leave Is a Matter of State Law, not USERRA</w:t>
      </w:r>
      <w:r>
        <w:rPr>
          <w:rFonts w:ascii="Times New Roman" w:hAnsi="Times New Roman"/>
          <w:sz w:val="24"/>
          <w:szCs w:val="24"/>
        </w:rPr>
        <w:t xml:space="preserve">.” </w:t>
      </w:r>
      <w:r w:rsidRPr="00711F3A">
        <w:rPr>
          <w:rFonts w:ascii="Times New Roman" w:hAnsi="Times New Roman"/>
          <w:sz w:val="24"/>
          <w:szCs w:val="24"/>
        </w:rPr>
        <w:t xml:space="preserve"> </w:t>
      </w:r>
      <w:hyperlink r:id="rId1909" w:history="1">
        <w:r w:rsidRPr="00711F3A">
          <w:rPr>
            <w:rStyle w:val="Hyperlink"/>
            <w:rFonts w:ascii="Times New Roman" w:hAnsi="Times New Roman"/>
            <w:sz w:val="24"/>
            <w:szCs w:val="24"/>
          </w:rPr>
          <w:t>https://cdn.ymaws.com/www.roa.org/resource/resmgr/LawReviews/2016/16065-LR.pdf</w:t>
        </w:r>
      </w:hyperlink>
      <w:r w:rsidRPr="00711F3A">
        <w:rPr>
          <w:rFonts w:ascii="Times New Roman" w:hAnsi="Times New Roman"/>
          <w:sz w:val="24"/>
          <w:szCs w:val="24"/>
        </w:rPr>
        <w:t xml:space="preserve"> </w:t>
      </w:r>
    </w:p>
    <w:p w14:paraId="1F08B425" w14:textId="77777777" w:rsidR="00D4542A" w:rsidRPr="00894498" w:rsidRDefault="00D4542A" w:rsidP="00D4542A">
      <w:pPr>
        <w:pStyle w:val="Heading1"/>
        <w:ind w:left="720"/>
        <w:rPr>
          <w:b w:val="0"/>
          <w:bCs w:val="0"/>
          <w:sz w:val="24"/>
          <w:szCs w:val="24"/>
        </w:rPr>
      </w:pPr>
      <w:r w:rsidRPr="00894498">
        <w:rPr>
          <w:b w:val="0"/>
          <w:bCs w:val="0"/>
          <w:sz w:val="24"/>
          <w:szCs w:val="24"/>
        </w:rPr>
        <w:t>Miller v. City of Indianapolis, 281 F.3d 648(7</w:t>
      </w:r>
      <w:r w:rsidRPr="00894498">
        <w:rPr>
          <w:b w:val="0"/>
          <w:bCs w:val="0"/>
          <w:sz w:val="24"/>
          <w:szCs w:val="24"/>
          <w:vertAlign w:val="superscript"/>
        </w:rPr>
        <w:t>th</w:t>
      </w:r>
      <w:r w:rsidRPr="00894498">
        <w:rPr>
          <w:b w:val="0"/>
          <w:bCs w:val="0"/>
          <w:sz w:val="24"/>
          <w:szCs w:val="24"/>
        </w:rPr>
        <w:t xml:space="preserve"> Cir. 2002): </w:t>
      </w:r>
      <w:hyperlink r:id="rId1910" w:history="1">
        <w:r w:rsidRPr="00894498">
          <w:rPr>
            <w:rStyle w:val="Hyperlink"/>
            <w:b w:val="0"/>
            <w:bCs w:val="0"/>
            <w:sz w:val="24"/>
            <w:szCs w:val="24"/>
          </w:rPr>
          <w:t>https://casetext.com/case/miller-v-city-of-indianapolis</w:t>
        </w:r>
      </w:hyperlink>
      <w:r w:rsidRPr="00894498">
        <w:rPr>
          <w:b w:val="0"/>
          <w:bCs w:val="0"/>
          <w:sz w:val="24"/>
          <w:szCs w:val="24"/>
        </w:rPr>
        <w:t xml:space="preserve"> </w:t>
      </w:r>
    </w:p>
    <w:p w14:paraId="70F55BF9" w14:textId="77777777" w:rsidR="00D4542A" w:rsidRDefault="00D4542A" w:rsidP="00F326E5">
      <w:pPr>
        <w:rPr>
          <w:rFonts w:ascii="Arial Black" w:hAnsi="Arial Black"/>
          <w:b/>
          <w:sz w:val="24"/>
          <w:szCs w:val="24"/>
        </w:rPr>
      </w:pPr>
    </w:p>
    <w:p w14:paraId="2DB64D01" w14:textId="77777777" w:rsidR="00D4542A" w:rsidRDefault="00D4542A" w:rsidP="00F326E5">
      <w:pPr>
        <w:rPr>
          <w:rFonts w:ascii="Arial Black" w:hAnsi="Arial Black"/>
          <w:b/>
          <w:sz w:val="24"/>
          <w:szCs w:val="24"/>
        </w:rPr>
      </w:pPr>
    </w:p>
    <w:p w14:paraId="46E95E2E" w14:textId="77777777" w:rsidR="00D4542A" w:rsidRDefault="00D4542A" w:rsidP="00F326E5">
      <w:pPr>
        <w:rPr>
          <w:rFonts w:ascii="Arial Black" w:hAnsi="Arial Black"/>
          <w:b/>
          <w:sz w:val="24"/>
          <w:szCs w:val="24"/>
        </w:rPr>
      </w:pPr>
    </w:p>
    <w:p w14:paraId="796AA3A8" w14:textId="77777777" w:rsidR="00D4542A" w:rsidRDefault="00D4542A" w:rsidP="00F326E5">
      <w:pPr>
        <w:rPr>
          <w:rFonts w:ascii="Arial Black" w:hAnsi="Arial Black"/>
          <w:b/>
          <w:sz w:val="24"/>
          <w:szCs w:val="24"/>
        </w:rPr>
      </w:pPr>
    </w:p>
    <w:p w14:paraId="0E2202D7" w14:textId="58181084" w:rsidR="00B532F6" w:rsidRDefault="00B532F6"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20</w:t>
      </w:r>
    </w:p>
    <w:p w14:paraId="3F16C831" w14:textId="77777777" w:rsidR="00B532F6" w:rsidRPr="007444E2" w:rsidRDefault="00B532F6" w:rsidP="00B532F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DALLAS / FORT WORTH AIRPORT FD – CROSS-TRAINED PERSONNEL IN EMS DIVISION ONLY DID EMS DUTIES - OVERTIME AFTER 40 HOURS </w:t>
      </w:r>
    </w:p>
    <w:p w14:paraId="680AE28E" w14:textId="77777777" w:rsidR="00B532F6" w:rsidRDefault="00B532F6" w:rsidP="00B532F6">
      <w:pPr>
        <w:tabs>
          <w:tab w:val="left" w:pos="2970"/>
        </w:tabs>
        <w:spacing w:before="100" w:beforeAutospacing="1" w:after="100" w:afterAutospacing="1" w:line="240" w:lineRule="auto"/>
        <w:rPr>
          <w:rFonts w:ascii="Times New Roman" w:eastAsia="Times New Roman" w:hAnsi="Times New Roman"/>
          <w:sz w:val="24"/>
          <w:szCs w:val="24"/>
        </w:rPr>
      </w:pPr>
      <w:r w:rsidRPr="00D617B8">
        <w:rPr>
          <w:rFonts w:ascii="Times New Roman" w:eastAsia="Times New Roman" w:hAnsi="Times New Roman"/>
          <w:sz w:val="24"/>
          <w:szCs w:val="24"/>
        </w:rPr>
        <w:t xml:space="preserve">On Sept. 28, 2020, in </w:t>
      </w:r>
      <w:r w:rsidRPr="00D617B8">
        <w:rPr>
          <w:rFonts w:ascii="Times New Roman" w:eastAsia="Times New Roman" w:hAnsi="Times New Roman"/>
          <w:sz w:val="24"/>
          <w:szCs w:val="24"/>
          <w:u w:val="single"/>
        </w:rPr>
        <w:t>Douglas Patterson, et al. v. Dallas/Fort Worth International Airport Board</w:t>
      </w:r>
      <w:r>
        <w:rPr>
          <w:rFonts w:ascii="Times New Roman" w:eastAsia="Times New Roman" w:hAnsi="Times New Roman"/>
          <w:sz w:val="24"/>
          <w:szCs w:val="24"/>
        </w:rPr>
        <w:t xml:space="preserve">, U.S. District Court Judge Ada Brown held that the FD failed to prove that the cross-trained EMS Division personnel ever engaged in firefighting in 3 years prior to the 2019 merger of EMS and Fire Service Divisions; only two of EMS personnel engaged in live fire training, and SOG for EMS Division had no firefighting responsibilities.  Court granted Summary Judgment to the </w:t>
      </w:r>
      <w:proofErr w:type="gramStart"/>
      <w:r>
        <w:rPr>
          <w:rFonts w:ascii="Times New Roman" w:eastAsia="Times New Roman" w:hAnsi="Times New Roman"/>
          <w:sz w:val="24"/>
          <w:szCs w:val="24"/>
        </w:rPr>
        <w:t>plaintiffs</w:t>
      </w:r>
      <w:proofErr w:type="gramEnd"/>
      <w:r>
        <w:rPr>
          <w:rFonts w:ascii="Times New Roman" w:eastAsia="Times New Roman" w:hAnsi="Times New Roman"/>
          <w:sz w:val="24"/>
          <w:szCs w:val="24"/>
        </w:rPr>
        <w:t xml:space="preserve"> and they are entitled to overtime after 40 hours, with back pay for 2 years; not 3 years and not liquidated damages [back pay doubled] since FD acted in good faith. 29 USC 260: </w:t>
      </w:r>
      <w:hyperlink r:id="rId1911" w:history="1">
        <w:r w:rsidRPr="00141589">
          <w:rPr>
            <w:rStyle w:val="Hyperlink"/>
            <w:rFonts w:ascii="Times New Roman" w:eastAsia="Times New Roman" w:hAnsi="Times New Roman"/>
            <w:sz w:val="24"/>
            <w:szCs w:val="24"/>
          </w:rPr>
          <w:t>https://www.law.cornell.edu/uscode/text/29/260</w:t>
        </w:r>
      </w:hyperlink>
      <w:r>
        <w:rPr>
          <w:rFonts w:ascii="Times New Roman" w:eastAsia="Times New Roman" w:hAnsi="Times New Roman"/>
          <w:sz w:val="24"/>
          <w:szCs w:val="24"/>
        </w:rPr>
        <w:t xml:space="preserve">  </w:t>
      </w:r>
    </w:p>
    <w:p w14:paraId="04A24ADD" w14:textId="77777777" w:rsidR="00B532F6" w:rsidRDefault="00B532F6" w:rsidP="00B532F6">
      <w:pPr>
        <w:pStyle w:val="NormalWeb"/>
        <w:ind w:left="720"/>
      </w:pPr>
      <w:r>
        <w:t xml:space="preserve">“The fact that DFW required plaintiffs to hold firefighting certifications is some indication that they might be expected to engage in fire suppression. However, neither Chief McKinney's declaration nor any other evidence shows the circumstances, other than the odd training exercise, under which plaintiffs might have been required to engage in fire suppression prior to this lawsuit being </w:t>
      </w:r>
      <w:proofErr w:type="spellStart"/>
      <w:r>
        <w:t>filed.</w:t>
      </w:r>
      <w:bookmarkStart w:id="391" w:name="fn10"/>
      <w:r>
        <w:rPr>
          <w:sz w:val="20"/>
          <w:szCs w:val="20"/>
          <w:vertAlign w:val="superscript"/>
        </w:rPr>
        <w:fldChar w:fldCharType="begin"/>
      </w:r>
      <w:r>
        <w:rPr>
          <w:sz w:val="20"/>
          <w:szCs w:val="20"/>
          <w:vertAlign w:val="superscript"/>
        </w:rPr>
        <w:instrText xml:space="preserve"> HYPERLINK "https://public.fastcase.com/" \l "fr10"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fr10</w:t>
      </w:r>
      <w:r>
        <w:rPr>
          <w:sz w:val="20"/>
          <w:szCs w:val="20"/>
          <w:vertAlign w:val="superscript"/>
        </w:rPr>
        <w:fldChar w:fldCharType="end"/>
      </w:r>
      <w:bookmarkEnd w:id="391"/>
      <w:r>
        <w:rPr>
          <w:sz w:val="20"/>
          <w:szCs w:val="20"/>
          <w:vertAlign w:val="superscript"/>
        </w:rPr>
        <w:t xml:space="preserve"> </w:t>
      </w:r>
      <w:r>
        <w:t xml:space="preserve">  Instead, they were assigned exclusively to MICUs or Trauma Unit 611, neither of which held any fire rescue or firefighting equipment. They were not dispatched to every fire incident and did not wear their bunker gear when responding to calls. Perhaps most importantly, the SOP setting out their procedures and responsibilities made no reference to fire suppression. Nor is there any evidence that plaintiffs would be disciplined for failing to engage in fire suppression. Without more, the Court finds DFW has not met its burden to show, or raised a genuine issue of material fact, that plaintiffs had even a forward-looking obligation or responsibility to engage in fire suppression as EMS division Firefighters before this suit was filed.</w:t>
      </w:r>
      <w:r>
        <w:rPr>
          <w:sz w:val="20"/>
          <w:szCs w:val="20"/>
          <w:vertAlign w:val="superscript"/>
        </w:rPr>
        <w:t xml:space="preserve">  </w:t>
      </w:r>
      <w:r>
        <w:rPr>
          <w:i/>
          <w:iCs/>
        </w:rPr>
        <w:t xml:space="preserve"> Compare Regan v</w:t>
      </w:r>
      <w:r>
        <w:t xml:space="preserve">. </w:t>
      </w:r>
      <w:r>
        <w:rPr>
          <w:i/>
          <w:iCs/>
        </w:rPr>
        <w:t>City of Hanahan</w:t>
      </w:r>
      <w:r>
        <w:t xml:space="preserve">, No. 02-16-cv-1077-RMG, 2017 WL 2303504, at *3 (D.S.C. May 26, 2017) (plaintiffs, who were almost always assigned to ambulances but, at various times, were assigned to fire trucks, were employees in fire protection activities). Accordingly, plaintiffs are entitled to summary judgment that they were not employees in fire protection </w:t>
      </w:r>
      <w:proofErr w:type="gramStart"/>
      <w:r>
        <w:t>activities</w:t>
      </w:r>
      <w:proofErr w:type="gramEnd"/>
      <w:r>
        <w:t xml:space="preserve"> and the section 207(k) exemption does not apply.” </w:t>
      </w:r>
      <w:hyperlink r:id="rId1912" w:history="1">
        <w:r w:rsidRPr="00141589">
          <w:rPr>
            <w:rStyle w:val="Hyperlink"/>
          </w:rPr>
          <w:t>https://public.fastcase.com/Wl%2B2t%2BeVuI35%2FN70vAMFZsSjCAViXICEJmEyj88%2Bo6FVmb%2F3MefopOCGEPTmoSc%2F</w:t>
        </w:r>
      </w:hyperlink>
      <w:r>
        <w:t xml:space="preserve"> </w:t>
      </w:r>
    </w:p>
    <w:p w14:paraId="5E20673F" w14:textId="77777777" w:rsidR="00B532F6" w:rsidRDefault="00B532F6" w:rsidP="00B532F6">
      <w:pPr>
        <w:pStyle w:val="NormalWeb"/>
        <w:rPr>
          <w:b/>
          <w:bCs/>
        </w:rPr>
      </w:pPr>
      <w:r w:rsidRPr="00E91965">
        <w:rPr>
          <w:b/>
          <w:bCs/>
        </w:rPr>
        <w:t>Legal Lessons Learned:</w:t>
      </w:r>
      <w:r>
        <w:rPr>
          <w:b/>
          <w:bCs/>
        </w:rPr>
        <w:t xml:space="preserve">  The FD may appeal this decision.  As the Trial Court judge acknowledged in this case, there are several Federal Courts of Appeal that have held that FD personnel who are trained as both EMS and firefighters (“cross trained”), but assigned only to EMS duties, are “firefighters” under the 207(k) exemption. </w:t>
      </w:r>
    </w:p>
    <w:p w14:paraId="1C25B701" w14:textId="77777777" w:rsidR="00B532F6" w:rsidRPr="00E91965" w:rsidRDefault="00B532F6" w:rsidP="00B532F6">
      <w:pPr>
        <w:pStyle w:val="NormalWeb"/>
        <w:ind w:left="720"/>
        <w:rPr>
          <w:b/>
          <w:bCs/>
        </w:rPr>
      </w:pPr>
      <w:r>
        <w:t xml:space="preserve">Note: The Court denied summary judgment to plaintiffs on issue of bonus payments; this will be decided in future proceedings. The </w:t>
      </w:r>
      <w:proofErr w:type="gramStart"/>
      <w:r>
        <w:t>plaintiffs’</w:t>
      </w:r>
      <w:proofErr w:type="gramEnd"/>
      <w:r>
        <w:t xml:space="preserve"> in their 2018 Complaint allege that bonuses were not included in their “regular rate” of pay when calculating overtime pay.</w:t>
      </w:r>
    </w:p>
    <w:p w14:paraId="6DEA500B" w14:textId="77777777" w:rsidR="00B532F6" w:rsidRPr="00EC52DB" w:rsidRDefault="00B532F6" w:rsidP="00B532F6">
      <w:pPr>
        <w:spacing w:before="100" w:beforeAutospacing="1" w:after="100" w:afterAutospacing="1" w:line="240" w:lineRule="auto"/>
        <w:ind w:left="1440"/>
        <w:rPr>
          <w:rFonts w:ascii="Times New Roman" w:eastAsia="Times New Roman" w:hAnsi="Times New Roman"/>
          <w:sz w:val="24"/>
          <w:szCs w:val="24"/>
        </w:rPr>
      </w:pPr>
      <w:r w:rsidRPr="006B7587">
        <w:rPr>
          <w:rFonts w:ascii="Times New Roman" w:hAnsi="Times New Roman"/>
          <w:sz w:val="24"/>
          <w:szCs w:val="24"/>
        </w:rPr>
        <w:t>56.</w:t>
      </w:r>
      <w:r>
        <w:rPr>
          <w:rFonts w:ascii="Times New Roman" w:hAnsi="Times New Roman"/>
          <w:sz w:val="24"/>
          <w:szCs w:val="24"/>
        </w:rPr>
        <w:t xml:space="preserve"> </w:t>
      </w:r>
      <w:r w:rsidRPr="006B7587">
        <w:rPr>
          <w:rFonts w:ascii="Times New Roman" w:hAnsi="Times New Roman"/>
          <w:sz w:val="24"/>
          <w:szCs w:val="24"/>
        </w:rPr>
        <w:t>Plaintiff and Class Members’ regular rate must include all compensation, bonuses, and other remuneration paid by Defendant</w:t>
      </w:r>
      <w:r>
        <w:rPr>
          <w:rFonts w:ascii="Times New Roman" w:hAnsi="Times New Roman"/>
          <w:sz w:val="24"/>
          <w:szCs w:val="24"/>
        </w:rPr>
        <w:t xml:space="preserve"> </w:t>
      </w:r>
      <w:r w:rsidRPr="006B7587">
        <w:rPr>
          <w:rFonts w:ascii="Times New Roman" w:hAnsi="Times New Roman"/>
          <w:sz w:val="24"/>
          <w:szCs w:val="24"/>
        </w:rPr>
        <w:t xml:space="preserve">for purposes of calculating the overtime rate. See 29 C.F.R. 778.208. Defendant has failed to include all bonuses </w:t>
      </w:r>
      <w:proofErr w:type="gramStart"/>
      <w:r w:rsidRPr="006B7587">
        <w:rPr>
          <w:rFonts w:ascii="Times New Roman" w:hAnsi="Times New Roman"/>
          <w:sz w:val="24"/>
          <w:szCs w:val="24"/>
        </w:rPr>
        <w:t>into</w:t>
      </w:r>
      <w:proofErr w:type="gramEnd"/>
      <w:r w:rsidRPr="006B7587">
        <w:rPr>
          <w:rFonts w:ascii="Times New Roman" w:hAnsi="Times New Roman"/>
          <w:sz w:val="24"/>
          <w:szCs w:val="24"/>
        </w:rPr>
        <w:t xml:space="preserve"> the regular rate for purposes of calculating the overtime premium rate.</w:t>
      </w:r>
      <w:r>
        <w:rPr>
          <w:rFonts w:ascii="Times New Roman" w:hAnsi="Times New Roman"/>
          <w:sz w:val="24"/>
          <w:szCs w:val="24"/>
        </w:rPr>
        <w:t xml:space="preserve"> </w:t>
      </w:r>
      <w:hyperlink r:id="rId1913" w:history="1">
        <w:r w:rsidRPr="00EC52DB">
          <w:rPr>
            <w:rStyle w:val="Hyperlink"/>
            <w:rFonts w:ascii="Times New Roman" w:hAnsi="Times New Roman"/>
            <w:sz w:val="24"/>
            <w:szCs w:val="24"/>
          </w:rPr>
          <w:t>http://www.firefighterovertime.org/wp-content/uploads/2018/03/DFW-FLSA-Complaint-2018.pdf</w:t>
        </w:r>
      </w:hyperlink>
      <w:r w:rsidRPr="00EC52DB">
        <w:rPr>
          <w:rFonts w:ascii="Times New Roman" w:eastAsia="Times New Roman" w:hAnsi="Times New Roman"/>
          <w:sz w:val="24"/>
          <w:szCs w:val="24"/>
        </w:rPr>
        <w:t xml:space="preserve">  </w:t>
      </w:r>
    </w:p>
    <w:p w14:paraId="510D960E" w14:textId="77777777" w:rsidR="00B532F6" w:rsidRDefault="00B532F6" w:rsidP="00B532F6">
      <w:pPr>
        <w:pStyle w:val="NormalWeb"/>
        <w:ind w:left="720"/>
      </w:pPr>
      <w:r>
        <w:t xml:space="preserve">Court held:  Without any evidence on the issue, plaintiffs cannot be entitled to summary judgment. </w:t>
      </w:r>
      <w:r>
        <w:rPr>
          <w:i/>
          <w:iCs/>
        </w:rPr>
        <w:t>See</w:t>
      </w:r>
      <w:r>
        <w:t xml:space="preserve"> FED. R. CIV. P. 56(c). Further, DFW presented evidence that, where plaintiffs were entitled to overtime pay </w:t>
      </w:r>
      <w:proofErr w:type="gramStart"/>
      <w:r>
        <w:t>in a given</w:t>
      </w:r>
      <w:proofErr w:type="gramEnd"/>
      <w:r>
        <w:t xml:space="preserve"> pay period, they received an overtime adjustment to compensate them for the increased regular rate for that pay period based on incentive pay received (Doc. 65-30). Accordingly, the Court must deny plaintiffs' summary judgment motion on this ground. </w:t>
      </w:r>
    </w:p>
    <w:p w14:paraId="11426BD5" w14:textId="77777777" w:rsidR="00B532F6" w:rsidRDefault="00B532F6" w:rsidP="00B532F6">
      <w:pPr>
        <w:pStyle w:val="NormalWeb"/>
        <w:ind w:left="720"/>
      </w:pPr>
      <w:r>
        <w:t xml:space="preserve">Note – New DOL Rules On Regular Rate </w:t>
      </w:r>
      <w:proofErr w:type="gramStart"/>
      <w:r>
        <w:t>Of</w:t>
      </w:r>
      <w:proofErr w:type="gramEnd"/>
      <w:r>
        <w:t xml:space="preserve"> Pay</w:t>
      </w:r>
    </w:p>
    <w:p w14:paraId="3C2F8E90" w14:textId="77777777" w:rsidR="00B532F6" w:rsidRDefault="00B532F6" w:rsidP="00B532F6">
      <w:pPr>
        <w:pStyle w:val="NormalWeb"/>
        <w:ind w:left="720"/>
      </w:pPr>
      <w:r>
        <w:t>The U.S. Department of Labor, on Jan. 15, 2020, issued its “Final Rule” changes on items to be excluded from the “regular rate of pay.” “The final rule clarifies when payments for forgoing unused paid leave, payments for bona fide meal periods, reimbursements, benefit plan contributions, and certain ancillary benefits may be excluded from the regular rate.”</w:t>
      </w:r>
      <w:r w:rsidRPr="00EC52DB">
        <w:t xml:space="preserve"> </w:t>
      </w:r>
      <w:hyperlink r:id="rId1914" w:history="1">
        <w:r w:rsidRPr="00141589">
          <w:rPr>
            <w:rStyle w:val="Hyperlink"/>
          </w:rPr>
          <w:t>https://www.federalregister.gov/documents/2019/12/16/2019-26447/regular-rate-under-the-fair-labor-standards-act</w:t>
        </w:r>
      </w:hyperlink>
      <w:r>
        <w:t xml:space="preserve"> </w:t>
      </w:r>
    </w:p>
    <w:p w14:paraId="0CB962FA" w14:textId="77777777" w:rsidR="00B532F6" w:rsidRDefault="00B532F6" w:rsidP="00F326E5">
      <w:pPr>
        <w:rPr>
          <w:rFonts w:ascii="Arial Black" w:hAnsi="Arial Black"/>
          <w:b/>
          <w:sz w:val="24"/>
          <w:szCs w:val="24"/>
        </w:rPr>
      </w:pPr>
    </w:p>
    <w:p w14:paraId="56256694" w14:textId="77777777" w:rsidR="00B532F6" w:rsidRDefault="00B532F6" w:rsidP="00F326E5">
      <w:pPr>
        <w:rPr>
          <w:rFonts w:ascii="Arial Black" w:hAnsi="Arial Black"/>
          <w:b/>
          <w:sz w:val="24"/>
          <w:szCs w:val="24"/>
        </w:rPr>
      </w:pPr>
    </w:p>
    <w:p w14:paraId="041CA6C7" w14:textId="77777777" w:rsidR="00B532F6" w:rsidRDefault="00B532F6" w:rsidP="00F326E5">
      <w:pPr>
        <w:rPr>
          <w:rFonts w:ascii="Arial Black" w:hAnsi="Arial Black"/>
          <w:b/>
          <w:sz w:val="24"/>
          <w:szCs w:val="24"/>
        </w:rPr>
      </w:pPr>
    </w:p>
    <w:p w14:paraId="66CC5F95" w14:textId="604DB300" w:rsidR="00B532F6" w:rsidRDefault="00B532F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9</w:t>
      </w:r>
    </w:p>
    <w:p w14:paraId="3A450ABB" w14:textId="77777777" w:rsidR="00B532F6" w:rsidRPr="00D20EA3" w:rsidRDefault="00B532F6" w:rsidP="00B532F6">
      <w:pPr>
        <w:pStyle w:val="text"/>
        <w:rPr>
          <w:rFonts w:ascii="Arial Black" w:hAnsi="Arial Black"/>
          <w:sz w:val="28"/>
          <w:szCs w:val="28"/>
        </w:rPr>
      </w:pPr>
      <w:r w:rsidRPr="00D20EA3">
        <w:rPr>
          <w:rFonts w:ascii="Arial Black" w:hAnsi="Arial Black"/>
          <w:sz w:val="28"/>
          <w:szCs w:val="28"/>
        </w:rPr>
        <w:t xml:space="preserve">LA: </w:t>
      </w:r>
      <w:r>
        <w:rPr>
          <w:rFonts w:ascii="Arial Black" w:hAnsi="Arial Black"/>
          <w:sz w:val="28"/>
          <w:szCs w:val="28"/>
        </w:rPr>
        <w:t>CITY OWES $1.6 MILLION BACKPAY 32 FF – LONGEVITY - MUST WAIT FOR MUNICIPALITY TO RAISE $ THROUGH LEVY</w:t>
      </w:r>
    </w:p>
    <w:p w14:paraId="2CBC03AD" w14:textId="1A93435B" w:rsidR="00B532F6" w:rsidRPr="00B532F6" w:rsidRDefault="00B532F6" w:rsidP="00B532F6">
      <w:pPr>
        <w:rPr>
          <w:rStyle w:val="Hyperlink"/>
          <w:rFonts w:ascii="Times New Roman" w:hAnsi="Times New Roman"/>
          <w:sz w:val="24"/>
          <w:szCs w:val="24"/>
        </w:rPr>
      </w:pPr>
      <w:r w:rsidRPr="00B532F6">
        <w:rPr>
          <w:rFonts w:ascii="Times New Roman" w:hAnsi="Times New Roman"/>
          <w:sz w:val="24"/>
          <w:szCs w:val="24"/>
        </w:rPr>
        <w:t xml:space="preserve">On Sept. 23, 2020, in </w:t>
      </w:r>
      <w:r w:rsidRPr="00B532F6">
        <w:rPr>
          <w:rFonts w:ascii="Times New Roman" w:hAnsi="Times New Roman"/>
          <w:sz w:val="24"/>
          <w:szCs w:val="24"/>
          <w:u w:val="single"/>
        </w:rPr>
        <w:t>Arnold Lowther v. Town of Bastrop</w:t>
      </w:r>
      <w:r w:rsidRPr="00B532F6">
        <w:rPr>
          <w:rFonts w:ascii="Times New Roman" w:hAnsi="Times New Roman"/>
          <w:sz w:val="24"/>
          <w:szCs w:val="24"/>
        </w:rPr>
        <w:t xml:space="preserve">, the Court of Appeal, Second Circuit, State of Louisiana, held (3 to 0) that while the firefighters won their 2008 lawsuit in 2014, and trial court ordered the City and its fire department to enact a uniform pay plan, which the trial court approved with backpay from 2005. </w:t>
      </w:r>
      <w:proofErr w:type="gramStart"/>
      <w:r w:rsidRPr="00B532F6">
        <w:rPr>
          <w:rFonts w:ascii="Times New Roman" w:hAnsi="Times New Roman"/>
          <w:sz w:val="24"/>
          <w:szCs w:val="24"/>
        </w:rPr>
        <w:t>However</w:t>
      </w:r>
      <w:proofErr w:type="gramEnd"/>
      <w:r w:rsidRPr="00B532F6">
        <w:rPr>
          <w:rFonts w:ascii="Times New Roman" w:hAnsi="Times New Roman"/>
          <w:sz w:val="24"/>
          <w:szCs w:val="24"/>
        </w:rPr>
        <w:t xml:space="preserve"> under Louisiana law the courts cannot order municipality to create a deficit.  According to Press Reports, $1.6 million in back pay: “A recent judgement from a lawsuit dating back to 2005 under a </w:t>
      </w:r>
      <w:proofErr w:type="gramStart"/>
      <w:r w:rsidRPr="00B532F6">
        <w:rPr>
          <w:rFonts w:ascii="Times New Roman" w:hAnsi="Times New Roman"/>
          <w:sz w:val="24"/>
          <w:szCs w:val="24"/>
        </w:rPr>
        <w:t>prior administration mandates</w:t>
      </w:r>
      <w:proofErr w:type="gramEnd"/>
      <w:r w:rsidRPr="00B532F6">
        <w:rPr>
          <w:rFonts w:ascii="Times New Roman" w:hAnsi="Times New Roman"/>
          <w:sz w:val="24"/>
          <w:szCs w:val="24"/>
        </w:rPr>
        <w:t xml:space="preserve"> that the city must repay $1.6 million to 32 current and former firemen. The suit claimed city firemen weren't paid properly for their longevity, performance or responsibilities for </w:t>
      </w:r>
      <w:proofErr w:type="gramStart"/>
      <w:r w:rsidRPr="00B532F6">
        <w:rPr>
          <w:rFonts w:ascii="Times New Roman" w:hAnsi="Times New Roman"/>
          <w:sz w:val="24"/>
          <w:szCs w:val="24"/>
        </w:rPr>
        <w:t>a number of</w:t>
      </w:r>
      <w:proofErr w:type="gramEnd"/>
      <w:r w:rsidRPr="00B532F6">
        <w:rPr>
          <w:rFonts w:ascii="Times New Roman" w:hAnsi="Times New Roman"/>
          <w:sz w:val="24"/>
          <w:szCs w:val="24"/>
        </w:rPr>
        <w:t xml:space="preserve"> years. The problem Mayor Henry Cotton says is that the city doesn't have that kind of money, and needs a mill increase to do it. The proposal would be designated for 10 years to repay the debt.” </w:t>
      </w:r>
      <w:hyperlink r:id="rId1915" w:history="1">
        <w:r w:rsidRPr="00B532F6">
          <w:rPr>
            <w:rStyle w:val="Hyperlink"/>
            <w:rFonts w:ascii="Times New Roman" w:hAnsi="Times New Roman"/>
            <w:sz w:val="24"/>
            <w:szCs w:val="24"/>
          </w:rPr>
          <w:t>https://www.knoe.com/content/news/Bastrop-mayor-proposes-3-mill-increase-to-repay-debt-from-fireman-lawsuit-513531241.html</w:t>
        </w:r>
      </w:hyperlink>
    </w:p>
    <w:p w14:paraId="73D4612A" w14:textId="77777777" w:rsidR="00B532F6" w:rsidRPr="00A726BF" w:rsidRDefault="00B532F6" w:rsidP="00B532F6">
      <w:pPr>
        <w:pStyle w:val="Heading1"/>
        <w:tabs>
          <w:tab w:val="left" w:pos="2990"/>
        </w:tabs>
        <w:rPr>
          <w:sz w:val="24"/>
          <w:szCs w:val="24"/>
        </w:rPr>
      </w:pPr>
      <w:r w:rsidRPr="00A726BF">
        <w:rPr>
          <w:sz w:val="24"/>
          <w:szCs w:val="24"/>
        </w:rPr>
        <w:t xml:space="preserve">Legal Lessons Learned: </w:t>
      </w:r>
      <w:proofErr w:type="gramStart"/>
      <w:r>
        <w:rPr>
          <w:sz w:val="24"/>
          <w:szCs w:val="24"/>
        </w:rPr>
        <w:t>In order for</w:t>
      </w:r>
      <w:proofErr w:type="gramEnd"/>
      <w:r>
        <w:rPr>
          <w:sz w:val="24"/>
          <w:szCs w:val="24"/>
        </w:rPr>
        <w:t xml:space="preserve"> these 32 current and former fighters to collect on their judgment, they must wait for the City to raise the money.  </w:t>
      </w:r>
    </w:p>
    <w:p w14:paraId="1E8BCA16" w14:textId="77777777" w:rsidR="00B532F6" w:rsidRDefault="00B532F6" w:rsidP="00B532F6">
      <w:pPr>
        <w:rPr>
          <w:rFonts w:ascii="Arial Black" w:hAnsi="Arial Black"/>
          <w:b/>
          <w:sz w:val="24"/>
          <w:szCs w:val="24"/>
        </w:rPr>
      </w:pPr>
    </w:p>
    <w:p w14:paraId="62AA8F4D" w14:textId="77777777" w:rsidR="00B532F6" w:rsidRDefault="00B532F6" w:rsidP="00F326E5">
      <w:pPr>
        <w:rPr>
          <w:rFonts w:ascii="Arial Black" w:hAnsi="Arial Black"/>
          <w:b/>
          <w:sz w:val="24"/>
          <w:szCs w:val="24"/>
        </w:rPr>
      </w:pPr>
    </w:p>
    <w:p w14:paraId="2739EF99" w14:textId="77777777" w:rsidR="00B532F6" w:rsidRDefault="00B532F6" w:rsidP="00F326E5">
      <w:pPr>
        <w:rPr>
          <w:rFonts w:ascii="Arial Black" w:hAnsi="Arial Black"/>
          <w:b/>
          <w:sz w:val="24"/>
          <w:szCs w:val="24"/>
        </w:rPr>
      </w:pPr>
    </w:p>
    <w:p w14:paraId="5BE2659C" w14:textId="78540CB4" w:rsidR="00B532F6" w:rsidRDefault="00B532F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8</w:t>
      </w:r>
    </w:p>
    <w:p w14:paraId="5CC2291A" w14:textId="77777777" w:rsidR="00B532F6" w:rsidRDefault="00B532F6" w:rsidP="00B532F6">
      <w:pPr>
        <w:rPr>
          <w:rFonts w:ascii="Arial Black" w:hAnsi="Arial Black"/>
          <w:sz w:val="28"/>
          <w:szCs w:val="28"/>
        </w:rPr>
      </w:pPr>
      <w:r w:rsidRPr="00B42CBD">
        <w:rPr>
          <w:rFonts w:ascii="Arial Black" w:hAnsi="Arial Black"/>
          <w:sz w:val="28"/>
          <w:szCs w:val="28"/>
        </w:rPr>
        <w:t xml:space="preserve">IN: </w:t>
      </w:r>
      <w:r>
        <w:rPr>
          <w:rFonts w:ascii="Arial Black" w:hAnsi="Arial Black"/>
          <w:sz w:val="28"/>
          <w:szCs w:val="28"/>
        </w:rPr>
        <w:t xml:space="preserve">FLSA SETTLEMENT – CITY SETTLES WITH </w:t>
      </w:r>
      <w:r w:rsidRPr="00B42CBD">
        <w:rPr>
          <w:rFonts w:ascii="Arial Black" w:hAnsi="Arial Black"/>
          <w:sz w:val="28"/>
          <w:szCs w:val="28"/>
        </w:rPr>
        <w:t>15 FF</w:t>
      </w:r>
      <w:r>
        <w:rPr>
          <w:rFonts w:ascii="Arial Black" w:hAnsi="Arial Black"/>
          <w:sz w:val="28"/>
          <w:szCs w:val="28"/>
        </w:rPr>
        <w:t xml:space="preserve"> -</w:t>
      </w:r>
      <w:r w:rsidRPr="00B42CBD">
        <w:rPr>
          <w:rFonts w:ascii="Arial Black" w:hAnsi="Arial Black"/>
          <w:sz w:val="28"/>
          <w:szCs w:val="28"/>
        </w:rPr>
        <w:t xml:space="preserve"> </w:t>
      </w:r>
      <w:r>
        <w:rPr>
          <w:rFonts w:ascii="Arial Black" w:hAnsi="Arial Black"/>
          <w:sz w:val="28"/>
          <w:szCs w:val="28"/>
        </w:rPr>
        <w:t>PLUS NOT DEMAND PAYBACK OVERPAYMENTS – FED JUDGE MUST APPROVE</w:t>
      </w:r>
    </w:p>
    <w:p w14:paraId="1FAFA749" w14:textId="77777777" w:rsidR="00B532F6" w:rsidRDefault="00B532F6" w:rsidP="00B532F6">
      <w:pPr>
        <w:pStyle w:val="NormalWeb"/>
      </w:pPr>
      <w:r>
        <w:t xml:space="preserve">On Sept. 22, 2020, in </w:t>
      </w:r>
      <w:r w:rsidRPr="00743799">
        <w:rPr>
          <w:u w:val="single"/>
        </w:rPr>
        <w:t>Eric Camel, et al. v. Town of Chesterton, Indiana and J</w:t>
      </w:r>
      <w:r>
        <w:rPr>
          <w:u w:val="single"/>
        </w:rPr>
        <w:t>ohn</w:t>
      </w:r>
      <w:r w:rsidRPr="00743799">
        <w:rPr>
          <w:u w:val="single"/>
        </w:rPr>
        <w:t xml:space="preserve"> Jarka, Fire Chief</w:t>
      </w:r>
      <w:r>
        <w:t xml:space="preserve">, U.S. District Court Judge Theresa L. Springmann, U.S. District Court, Norther District of Indiana (Hammond Division) has generally approved the </w:t>
      </w:r>
      <w:proofErr w:type="gramStart"/>
      <w:r>
        <w:t>settlement, but</w:t>
      </w:r>
      <w:proofErr w:type="gramEnd"/>
      <w:r>
        <w:t xml:space="preserve"> has taken the matter “under advisement” until the parties advise the Court how much of the funds go to attorney fees.  Plaintiffs allege, among numerous other claims against both Defendants, that Defendant Town of Chesterton failed to comply with statutory overtime provisions when </w:t>
      </w:r>
      <w:proofErr w:type="gramStart"/>
      <w:r>
        <w:t>it</w:t>
      </w:r>
      <w:proofErr w:type="gramEnd"/>
      <w:r>
        <w:t xml:space="preserve"> failed to pay them overtime wages when they worked </w:t>
      </w:r>
      <w:proofErr w:type="gramStart"/>
      <w:r>
        <w:t>in excess of</w:t>
      </w:r>
      <w:proofErr w:type="gramEnd"/>
      <w:r>
        <w:t xml:space="preserve"> 204 hours in a twenty-seven (27) day work period from 2011 through and including 2019.</w:t>
      </w:r>
    </w:p>
    <w:p w14:paraId="30B15105" w14:textId="77777777" w:rsidR="00B532F6" w:rsidRDefault="00B532F6" w:rsidP="00B532F6">
      <w:pPr>
        <w:pStyle w:val="NormalWeb"/>
        <w:ind w:left="720"/>
      </w:pPr>
      <w:r>
        <w:t>“Under the FLSA, settlement agreements for the recovery of unpaid overtime compensation must be approved by the Court in the absence of direct supervision by the Secretary of Labor.</w:t>
      </w:r>
    </w:p>
    <w:p w14:paraId="1D7DFAD2" w14:textId="77777777" w:rsidR="00B532F6" w:rsidRDefault="00B532F6" w:rsidP="00B532F6">
      <w:pPr>
        <w:pStyle w:val="NormalWeb"/>
        <w:ind w:left="720"/>
      </w:pPr>
      <w:r>
        <w:t>***</w:t>
      </w:r>
    </w:p>
    <w:p w14:paraId="050C0124" w14:textId="77777777" w:rsidR="00B532F6" w:rsidRDefault="00B532F6" w:rsidP="00B532F6">
      <w:pPr>
        <w:pStyle w:val="NormalWeb"/>
        <w:ind w:left="720"/>
      </w:pPr>
      <w:r>
        <w:t>The Settlement Agreement provides for a total payment of $26,371.24, which includes (1) a payment of $647.40 to Plaintiff Amanda Shine for back pay and liquidated damages, inclusive of all attorney's fees and costs; (2) a payment of $723.84 to Plaintiff Michael A. Coslet for back pay and liquidated damages [amount owed, doubled], inclusive of all attorney's fees and costs; and (3) a payment of $25,000 to all Plaintiffs, inclusive of all attorney's fees and costs.</w:t>
      </w:r>
    </w:p>
    <w:p w14:paraId="3894740E" w14:textId="77777777" w:rsidR="00B532F6" w:rsidRDefault="00B532F6" w:rsidP="00B532F6">
      <w:pPr>
        <w:pStyle w:val="NormalWeb"/>
        <w:ind w:left="720"/>
      </w:pPr>
      <w:r>
        <w:t>***</w:t>
      </w:r>
    </w:p>
    <w:p w14:paraId="32351CD8" w14:textId="77777777" w:rsidR="00B532F6" w:rsidRDefault="00B532F6" w:rsidP="00B532F6">
      <w:pPr>
        <w:pStyle w:val="NormalWeb"/>
        <w:ind w:left="720"/>
      </w:pPr>
      <w:r>
        <w:t>The Settlement Agreement further provides for significant non-economic awards such as the addition of four vacation days in lieu of reduction time (and the elimination of reduction time), enacted through amendments to the Personnel Handbook and to the agreement between the Town of Chesterton and Chesterton Firefighters Local 4600; waiver of the $89,878.26 overpayment the Town of Chesterton alleges is owed by ten of the Plaintiffs; and the removal of a reprimand in two of the Plaintiffs' personnel files.”</w:t>
      </w:r>
      <w:r w:rsidRPr="00743799">
        <w:t xml:space="preserve"> </w:t>
      </w:r>
      <w:hyperlink r:id="rId1916" w:history="1">
        <w:r w:rsidRPr="000929D2">
          <w:rPr>
            <w:rStyle w:val="Hyperlink"/>
          </w:rPr>
          <w:t>https://public.fastcase.com/Wl%2B2t%2BeVuI35%2FN70vAMFZtsu4ffMdPWfOx%2BdxBXmfVAnwIw9ms7kbCEt1faHV%2BzM</w:t>
        </w:r>
      </w:hyperlink>
      <w:r>
        <w:t xml:space="preserve"> </w:t>
      </w:r>
    </w:p>
    <w:p w14:paraId="7C05CE01" w14:textId="77777777" w:rsidR="00B532F6" w:rsidRPr="00BA2CA5" w:rsidRDefault="00B532F6" w:rsidP="00B532F6">
      <w:pPr>
        <w:rPr>
          <w:rFonts w:ascii="Times New Roman" w:hAnsi="Times New Roman"/>
          <w:b/>
          <w:bCs/>
          <w:sz w:val="24"/>
          <w:szCs w:val="24"/>
        </w:rPr>
      </w:pPr>
      <w:r w:rsidRPr="00BA2CA5">
        <w:rPr>
          <w:rFonts w:ascii="Times New Roman" w:hAnsi="Times New Roman"/>
          <w:b/>
          <w:bCs/>
          <w:sz w:val="24"/>
          <w:szCs w:val="24"/>
        </w:rPr>
        <w:t>Legal Lessons Learned:</w:t>
      </w:r>
      <w:r>
        <w:rPr>
          <w:rFonts w:ascii="Times New Roman" w:hAnsi="Times New Roman"/>
          <w:b/>
          <w:bCs/>
          <w:sz w:val="24"/>
          <w:szCs w:val="24"/>
        </w:rPr>
        <w:t xml:space="preserve"> FLSA requires approval of settlements by U.S. Department of Labor, or by U.S. District Court judge.</w:t>
      </w:r>
    </w:p>
    <w:p w14:paraId="05BCF706" w14:textId="77777777" w:rsidR="00B532F6" w:rsidRDefault="00B532F6" w:rsidP="00B532F6">
      <w:pPr>
        <w:pStyle w:val="NormalWeb"/>
        <w:ind w:left="720"/>
      </w:pPr>
      <w:r>
        <w:t xml:space="preserve">Note: See FD’s web page: The department currently has 15 full-time personnel that staff an engine 24/7/365, as well as a </w:t>
      </w:r>
      <w:proofErr w:type="gramStart"/>
      <w:r>
        <w:t>full time</w:t>
      </w:r>
      <w:proofErr w:type="gramEnd"/>
      <w:r>
        <w:t xml:space="preserve"> Fire Chief and Deputy Fire Chief. The department also utilizes a staff of 15 volunteer personnel who respond to calls for assistance. </w:t>
      </w:r>
      <w:hyperlink r:id="rId1917" w:history="1">
        <w:r w:rsidRPr="000929D2">
          <w:rPr>
            <w:rStyle w:val="Hyperlink"/>
          </w:rPr>
          <w:t>https://www.chestertonin.org/145/Fire-Department</w:t>
        </w:r>
      </w:hyperlink>
      <w:r>
        <w:t xml:space="preserve"> </w:t>
      </w:r>
    </w:p>
    <w:p w14:paraId="7BEA0B58" w14:textId="77777777" w:rsidR="00B532F6" w:rsidRDefault="00B532F6" w:rsidP="00F326E5">
      <w:pPr>
        <w:rPr>
          <w:rFonts w:ascii="Arial Black" w:hAnsi="Arial Black"/>
          <w:b/>
          <w:sz w:val="24"/>
          <w:szCs w:val="24"/>
        </w:rPr>
      </w:pPr>
    </w:p>
    <w:p w14:paraId="7B6BBB71" w14:textId="77777777" w:rsidR="00B532F6" w:rsidRDefault="00B532F6" w:rsidP="00F326E5">
      <w:pPr>
        <w:rPr>
          <w:rFonts w:ascii="Arial Black" w:hAnsi="Arial Black"/>
          <w:b/>
          <w:sz w:val="24"/>
          <w:szCs w:val="24"/>
        </w:rPr>
      </w:pPr>
    </w:p>
    <w:p w14:paraId="0422D056" w14:textId="47F6C820" w:rsidR="00557CA2" w:rsidRDefault="00557CA2"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7</w:t>
      </w:r>
    </w:p>
    <w:p w14:paraId="1C0A2D23" w14:textId="77777777" w:rsidR="00557CA2" w:rsidRDefault="00557CA2" w:rsidP="00557CA2">
      <w:pPr>
        <w:pStyle w:val="NormalWeb"/>
        <w:spacing w:line="255" w:lineRule="atLeast"/>
        <w:rPr>
          <w:rFonts w:ascii="Arial Black" w:hAnsi="Arial Black"/>
          <w:sz w:val="28"/>
          <w:szCs w:val="28"/>
        </w:rPr>
      </w:pPr>
      <w:r>
        <w:rPr>
          <w:rFonts w:ascii="Arial Black" w:hAnsi="Arial Black"/>
          <w:sz w:val="28"/>
          <w:szCs w:val="28"/>
        </w:rPr>
        <w:t>DC: FLSA – WORKING FROM HOME – NEED SYSTEM THAT REQUIRES HOURLY EMPLOYEES TO REPORT THEIR HOURS</w:t>
      </w:r>
    </w:p>
    <w:p w14:paraId="4D725FDF" w14:textId="77777777" w:rsidR="00557CA2" w:rsidRDefault="00557CA2" w:rsidP="00557CA2">
      <w:pPr>
        <w:pStyle w:val="NormalWeb"/>
        <w:spacing w:line="255" w:lineRule="atLeast"/>
      </w:pPr>
      <w:r>
        <w:t>On Aug. 24, 2020, the U.S. Department of Labor, Wage &amp; Hour Division, published FIELD ASSISTANCE BULLETIN No. 2020-5: “Employers’ obligation to exercise reasonable diligence in tracking teleworking employees’ hours of work.”</w:t>
      </w:r>
    </w:p>
    <w:p w14:paraId="37D4C4C8" w14:textId="77777777" w:rsidR="00557CA2" w:rsidRDefault="00557CA2" w:rsidP="00557CA2">
      <w:pPr>
        <w:pStyle w:val="NormalWeb"/>
        <w:spacing w:line="255" w:lineRule="atLeast"/>
        <w:ind w:left="720"/>
      </w:pPr>
      <w:r>
        <w:t xml:space="preserve">“In a telework or remote work arrangement, the question of the employer’s obligation to track hours </w:t>
      </w:r>
      <w:proofErr w:type="gramStart"/>
      <w:r>
        <w:t>actually worked</w:t>
      </w:r>
      <w:proofErr w:type="gramEnd"/>
      <w:r>
        <w:t xml:space="preserve"> for which the employee was not scheduled may often arise. While this guidance responds directly to needs created by new telework or remote work arrangements that arose in response to COVID-19, it also applies to other telework or remote work arrangements. An employer is required to pay </w:t>
      </w:r>
      <w:proofErr w:type="gramStart"/>
      <w:r>
        <w:t>its</w:t>
      </w:r>
      <w:proofErr w:type="gramEnd"/>
      <w:r>
        <w:t xml:space="preserve"> employees for all hours worked, including work not requested but suffered or permitted, including work performed at home. See 29 C.F.R. § 785.11-12. If the employer knows or has reason to believe that work is being performed, the time must be counted as hours worked.</w:t>
      </w:r>
    </w:p>
    <w:p w14:paraId="788DED2B" w14:textId="77777777" w:rsidR="00557CA2" w:rsidRDefault="00557CA2" w:rsidP="00557CA2">
      <w:pPr>
        <w:pStyle w:val="NormalWeb"/>
        <w:spacing w:line="255" w:lineRule="atLeast"/>
        <w:ind w:left="720"/>
      </w:pPr>
      <w:r>
        <w:t>***</w:t>
      </w:r>
    </w:p>
    <w:p w14:paraId="77D07385" w14:textId="77777777" w:rsidR="00557CA2" w:rsidRDefault="00557CA2" w:rsidP="00557CA2">
      <w:pPr>
        <w:pStyle w:val="NormalWeb"/>
        <w:spacing w:line="255" w:lineRule="atLeast"/>
        <w:ind w:left="720"/>
      </w:pPr>
      <w:r>
        <w:t xml:space="preserve">If an employee fails to report unscheduled hours worked through such a procedure, the employer is not required to undergo impractical efforts to investigate further to uncover unreported hours of work and provide compensation for those hours.” </w:t>
      </w:r>
      <w:hyperlink r:id="rId1918" w:history="1">
        <w:r>
          <w:rPr>
            <w:rStyle w:val="Hyperlink"/>
            <w:rFonts w:eastAsiaTheme="majorEastAsia"/>
          </w:rPr>
          <w:t>https://www.dol.gov/sites/dolgov/files/WHD/legacy/files/fab_2020_5.pdf</w:t>
        </w:r>
      </w:hyperlink>
      <w:r>
        <w:t xml:space="preserve"> </w:t>
      </w:r>
    </w:p>
    <w:p w14:paraId="12EC9A8C" w14:textId="77777777" w:rsidR="00557CA2" w:rsidRDefault="00557CA2" w:rsidP="00557CA2">
      <w:pPr>
        <w:pStyle w:val="NormalWeb"/>
        <w:spacing w:line="255" w:lineRule="atLeast"/>
        <w:rPr>
          <w:b/>
          <w:bCs/>
        </w:rPr>
      </w:pPr>
    </w:p>
    <w:p w14:paraId="5470047E" w14:textId="77777777" w:rsidR="00557CA2" w:rsidRDefault="00557CA2" w:rsidP="00557CA2">
      <w:pPr>
        <w:pStyle w:val="NormalWeb"/>
        <w:spacing w:line="255" w:lineRule="atLeast"/>
        <w:rPr>
          <w:b/>
          <w:bCs/>
        </w:rPr>
      </w:pPr>
      <w:r>
        <w:rPr>
          <w:b/>
          <w:bCs/>
        </w:rPr>
        <w:t xml:space="preserve">Legal Lessons Learned:  Fire departments that allow administrative or other hourly personnel to work from home should implement an online system for reporting of hours worked.  </w:t>
      </w:r>
    </w:p>
    <w:p w14:paraId="68692DAA" w14:textId="77777777" w:rsidR="00557CA2" w:rsidRDefault="00557CA2" w:rsidP="00557CA2">
      <w:pPr>
        <w:pStyle w:val="NormalWeb"/>
        <w:spacing w:line="255" w:lineRule="atLeast"/>
        <w:ind w:left="720"/>
      </w:pPr>
      <w:r>
        <w:t xml:space="preserve">Note: The </w:t>
      </w:r>
      <w:proofErr w:type="spellStart"/>
      <w:r>
        <w:t>DoL</w:t>
      </w:r>
      <w:proofErr w:type="spellEnd"/>
      <w:r>
        <w:t xml:space="preserve"> referenced Allen v. City of Chicago, 865 F.3d 936, 945 (7th Cir. 2017), cert. denied, 138 S. Ct. 1302 (2018), where the 7</w:t>
      </w:r>
      <w:r>
        <w:rPr>
          <w:vertAlign w:val="superscript"/>
        </w:rPr>
        <w:t>th</w:t>
      </w:r>
      <w:r>
        <w:t xml:space="preserve"> Circuit </w:t>
      </w:r>
      <w:proofErr w:type="gramStart"/>
      <w:r>
        <w:t>held</w:t>
      </w:r>
      <w:proofErr w:type="gramEnd"/>
      <w:r>
        <w:t xml:space="preserve">: </w:t>
      </w:r>
      <w:r>
        <w:tab/>
      </w:r>
    </w:p>
    <w:p w14:paraId="2609AF12" w14:textId="77777777" w:rsidR="00557CA2" w:rsidRDefault="00557CA2" w:rsidP="00557CA2">
      <w:pPr>
        <w:pStyle w:val="NormalWeb"/>
        <w:spacing w:line="255" w:lineRule="atLeast"/>
        <w:ind w:left="720"/>
      </w:pPr>
      <w:r>
        <w:t xml:space="preserve">“This appeal arises from a Fair Labor Standards Act collective action. Plaintiffs are current and former members of the Chicago Police Department's Bureau of Organized Crime who claim that the Bureau did not compensate them for work they did </w:t>
      </w:r>
      <w:proofErr w:type="gramStart"/>
      <w:r>
        <w:t>off-duty</w:t>
      </w:r>
      <w:proofErr w:type="gramEnd"/>
      <w:r>
        <w:t xml:space="preserve"> on their mobile electronic devices (BlackBerrys). The case was </w:t>
      </w:r>
      <w:proofErr w:type="spellStart"/>
      <w:r>
        <w:t>tried</w:t>
      </w:r>
      <w:proofErr w:type="spellEnd"/>
      <w:r>
        <w:t xml:space="preserve"> to the court, Magistrate Judge Schenkier, presiding by consent under 28 U.S.C. § 636(c). The judge issued detailed findings of </w:t>
      </w:r>
      <w:proofErr w:type="gramStart"/>
      <w:r>
        <w:t>fact</w:t>
      </w:r>
      <w:proofErr w:type="gramEnd"/>
      <w:r>
        <w:t xml:space="preserve"> and conclusions of law in favor of the Bureau, finding that it did not prevent plaintiffs from requesting payment for such non-scheduled overtime work and did not know that plaintiffs were not being paid for it. Plaintiffs appeal, but we find no persuasive reason to upset the judgment of the district court. We affirm the judgment for the Bureau.</w:t>
      </w:r>
    </w:p>
    <w:p w14:paraId="5C8E16FC" w14:textId="77777777" w:rsidR="00557CA2" w:rsidRDefault="00557CA2" w:rsidP="00557CA2">
      <w:pPr>
        <w:pStyle w:val="NormalWeb"/>
        <w:spacing w:line="255" w:lineRule="atLeast"/>
        <w:ind w:left="720"/>
      </w:pPr>
      <w:r>
        <w:t>***</w:t>
      </w:r>
    </w:p>
    <w:p w14:paraId="5214AC65" w14:textId="77777777" w:rsidR="00557CA2" w:rsidRDefault="00557CA2" w:rsidP="00557CA2">
      <w:pPr>
        <w:spacing w:after="0" w:line="240" w:lineRule="auto"/>
        <w:ind w:left="720"/>
        <w:rPr>
          <w:rFonts w:ascii="Times New Roman" w:hAnsi="Times New Roman"/>
          <w:sz w:val="24"/>
          <w:szCs w:val="24"/>
        </w:rPr>
      </w:pPr>
      <w:r>
        <w:rPr>
          <w:rFonts w:ascii="Times New Roman" w:hAnsi="Times New Roman"/>
          <w:sz w:val="24"/>
          <w:szCs w:val="24"/>
        </w:rPr>
        <w:t>The [trial court judge, after a 6-day bench trial] agreed with plaintiffs that some of their off-duty BlackBerry activity was work that was compensable under the FLSA. It acknowledged evidence that Bureau supervisors knew plaintiffs sometimes worked off-duty on their Black-</w:t>
      </w:r>
      <w:proofErr w:type="spellStart"/>
      <w:r>
        <w:rPr>
          <w:rFonts w:ascii="Times New Roman" w:hAnsi="Times New Roman"/>
          <w:sz w:val="24"/>
          <w:szCs w:val="24"/>
        </w:rPr>
        <w:t>Berrys</w:t>
      </w:r>
      <w:proofErr w:type="spellEnd"/>
      <w:r>
        <w:rPr>
          <w:rFonts w:ascii="Times New Roman" w:hAnsi="Times New Roman"/>
          <w:sz w:val="24"/>
          <w:szCs w:val="24"/>
        </w:rPr>
        <w:t xml:space="preserve">. But the court also found that the supervisors did not know or have reason to know that plaintiffs were not submitting slips and therefore were not being paid for that work. Although supervisors in theory could have checked what they knew of plaintiffs' off-duty work against the time slips they approved, the court found that requiring them to do so would be impractical: supervisors approved a large number of slips per day, and slips were sometimes submitted and reviewed well after the work was performed. Also, the court found, plaintiffs never told their supervisors that they were not being paid for such work.” </w:t>
      </w:r>
      <w:hyperlink r:id="rId1919" w:history="1">
        <w:r>
          <w:rPr>
            <w:rStyle w:val="Hyperlink"/>
            <w:sz w:val="24"/>
            <w:szCs w:val="24"/>
          </w:rPr>
          <w:t>https://www.leagle.com/decision/infco20170803124</w:t>
        </w:r>
      </w:hyperlink>
      <w:r>
        <w:rPr>
          <w:rFonts w:ascii="Times New Roman" w:hAnsi="Times New Roman"/>
          <w:sz w:val="24"/>
          <w:szCs w:val="24"/>
        </w:rPr>
        <w:t xml:space="preserve"> </w:t>
      </w:r>
    </w:p>
    <w:p w14:paraId="7E267947" w14:textId="77777777" w:rsidR="00557CA2" w:rsidRDefault="00557CA2" w:rsidP="00557CA2">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p>
    <w:p w14:paraId="60D14735" w14:textId="77777777" w:rsidR="00557CA2" w:rsidRDefault="00557CA2" w:rsidP="00F326E5">
      <w:pPr>
        <w:rPr>
          <w:rFonts w:ascii="Arial Black" w:hAnsi="Arial Black"/>
          <w:b/>
          <w:sz w:val="24"/>
          <w:szCs w:val="24"/>
        </w:rPr>
      </w:pPr>
    </w:p>
    <w:p w14:paraId="182846F8" w14:textId="1B13F31E" w:rsidR="00557CA2" w:rsidRDefault="00557CA2"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6</w:t>
      </w:r>
    </w:p>
    <w:p w14:paraId="11052372" w14:textId="77777777" w:rsidR="00557CA2" w:rsidRDefault="00557CA2" w:rsidP="00557CA2">
      <w:pPr>
        <w:spacing w:before="100" w:beforeAutospacing="1" w:after="100" w:afterAutospacing="1" w:line="240" w:lineRule="auto"/>
        <w:rPr>
          <w:rFonts w:ascii="Arial Black" w:hAnsi="Arial Black"/>
          <w:sz w:val="28"/>
          <w:szCs w:val="28"/>
        </w:rPr>
      </w:pPr>
      <w:r>
        <w:rPr>
          <w:rFonts w:ascii="Arial Black" w:hAnsi="Arial Black"/>
          <w:sz w:val="28"/>
          <w:szCs w:val="28"/>
        </w:rPr>
        <w:t>MO: FLSA – FLIGHT MEDIC – AIR EVAC IS “COMMON CARRIER” AND CAN PAY OVERTIME AFTER 84 HRS / 2 WKS</w:t>
      </w:r>
    </w:p>
    <w:p w14:paraId="0D2D9433"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17, 2020, in </w:t>
      </w:r>
      <w:r>
        <w:rPr>
          <w:rFonts w:ascii="Times New Roman" w:hAnsi="Times New Roman"/>
          <w:sz w:val="24"/>
          <w:szCs w:val="24"/>
          <w:u w:val="single"/>
        </w:rPr>
        <w:t>Jacob Rieglsberger, individually and on behalf of all similarly situated persons v. Air Evac EMS, Inc. et al</w:t>
      </w:r>
      <w:r>
        <w:rPr>
          <w:rFonts w:ascii="Times New Roman" w:hAnsi="Times New Roman"/>
          <w:sz w:val="24"/>
          <w:szCs w:val="24"/>
        </w:rPr>
        <w:t>., the U.S. Court of Appeals for the 8</w:t>
      </w:r>
      <w:r>
        <w:rPr>
          <w:rFonts w:ascii="Times New Roman" w:hAnsi="Times New Roman"/>
          <w:sz w:val="24"/>
          <w:szCs w:val="24"/>
          <w:vertAlign w:val="superscript"/>
        </w:rPr>
        <w:t>th</w:t>
      </w:r>
      <w:r>
        <w:rPr>
          <w:rFonts w:ascii="Times New Roman" w:hAnsi="Times New Roman"/>
          <w:sz w:val="24"/>
          <w:szCs w:val="24"/>
        </w:rPr>
        <w:t xml:space="preserve"> Circuit (St. Louis) held (3 to 0) that plaintiff’s arguments “do not get off the ground.” </w:t>
      </w:r>
    </w:p>
    <w:p w14:paraId="3AAFC201" w14:textId="2EAE3A2A"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“Riegelsberger's arguments to the contrary do not get off the ground. It makes no difference, for example, that medical providers, rather than the patients themselves, are the primary points of contact in arranging transportation. Just as a major airline can still be a common carrier if a passenger uses a travel agent to arrange transportation, health-care providers can provide the same service for their patients without affecting Air Evac's common-carrier status. </w:t>
      </w:r>
      <w:r>
        <w:rPr>
          <w:rFonts w:ascii="Times New Roman" w:eastAsia="Times New Roman" w:hAnsi="Times New Roman"/>
          <w:i/>
          <w:iCs/>
          <w:sz w:val="24"/>
          <w:szCs w:val="24"/>
        </w:rPr>
        <w:t>Cf</w:t>
      </w:r>
      <w:r>
        <w:rPr>
          <w:rFonts w:ascii="Times New Roman" w:eastAsia="Times New Roman" w:hAnsi="Times New Roman"/>
          <w:sz w:val="24"/>
          <w:szCs w:val="24"/>
        </w:rPr>
        <w:t xml:space="preserve">. </w:t>
      </w:r>
      <w:r>
        <w:rPr>
          <w:rFonts w:ascii="Times New Roman" w:eastAsia="Times New Roman" w:hAnsi="Times New Roman"/>
          <w:i/>
          <w:iCs/>
          <w:sz w:val="24"/>
          <w:szCs w:val="24"/>
        </w:rPr>
        <w:t>Air Evac EMS</w:t>
      </w:r>
      <w:r>
        <w:rPr>
          <w:rFonts w:ascii="Times New Roman" w:eastAsia="Times New Roman" w:hAnsi="Times New Roman"/>
          <w:sz w:val="24"/>
          <w:szCs w:val="24"/>
        </w:rPr>
        <w:t xml:space="preserve">, </w:t>
      </w:r>
      <w:r>
        <w:rPr>
          <w:rFonts w:ascii="Times New Roman" w:eastAsia="Times New Roman" w:hAnsi="Times New Roman"/>
          <w:i/>
          <w:iCs/>
          <w:sz w:val="24"/>
          <w:szCs w:val="24"/>
        </w:rPr>
        <w:t>Inc</w:t>
      </w:r>
      <w:r>
        <w:rPr>
          <w:rFonts w:ascii="Times New Roman" w:eastAsia="Times New Roman" w:hAnsi="Times New Roman"/>
          <w:sz w:val="24"/>
          <w:szCs w:val="24"/>
        </w:rPr>
        <w:t xml:space="preserve">., 910 F.3d at 764 (making a similar analogy). The fact that intermediaries are involved, in other words, does not change what Air Evac ‘actually does,’ which is to transport patients for a fee. </w:t>
      </w:r>
      <w:r>
        <w:rPr>
          <w:rFonts w:ascii="Times New Roman" w:eastAsia="Times New Roman" w:hAnsi="Times New Roman"/>
          <w:i/>
          <w:iCs/>
          <w:sz w:val="24"/>
          <w:szCs w:val="24"/>
        </w:rPr>
        <w:t>United States v</w:t>
      </w:r>
      <w:r>
        <w:rPr>
          <w:rFonts w:ascii="Times New Roman" w:eastAsia="Times New Roman" w:hAnsi="Times New Roman"/>
          <w:sz w:val="24"/>
          <w:szCs w:val="24"/>
        </w:rPr>
        <w:t xml:space="preserve">. </w:t>
      </w:r>
      <w:r>
        <w:rPr>
          <w:rFonts w:ascii="Times New Roman" w:eastAsia="Times New Roman" w:hAnsi="Times New Roman"/>
          <w:i/>
          <w:iCs/>
          <w:sz w:val="24"/>
          <w:szCs w:val="24"/>
        </w:rPr>
        <w:t>One Rockwell Int'l Commander 690C/840</w:t>
      </w:r>
      <w:r>
        <w:rPr>
          <w:rFonts w:ascii="Times New Roman" w:eastAsia="Times New Roman" w:hAnsi="Times New Roman"/>
          <w:sz w:val="24"/>
          <w:szCs w:val="24"/>
        </w:rPr>
        <w:t xml:space="preserve">, </w:t>
      </w:r>
      <w:r>
        <w:rPr>
          <w:rFonts w:ascii="Times New Roman" w:eastAsia="Times New Roman" w:hAnsi="Times New Roman"/>
          <w:i/>
          <w:iCs/>
          <w:sz w:val="24"/>
          <w:szCs w:val="24"/>
        </w:rPr>
        <w:t>Serial No</w:t>
      </w:r>
      <w:r>
        <w:rPr>
          <w:rFonts w:ascii="Times New Roman" w:eastAsia="Times New Roman" w:hAnsi="Times New Roman"/>
          <w:sz w:val="24"/>
          <w:szCs w:val="24"/>
        </w:rPr>
        <w:t xml:space="preserve">. </w:t>
      </w:r>
      <w:r>
        <w:rPr>
          <w:rFonts w:ascii="Times New Roman" w:eastAsia="Times New Roman" w:hAnsi="Times New Roman"/>
          <w:i/>
          <w:iCs/>
          <w:sz w:val="24"/>
          <w:szCs w:val="24"/>
        </w:rPr>
        <w:t>11627</w:t>
      </w:r>
      <w:r>
        <w:rPr>
          <w:rFonts w:ascii="Times New Roman" w:eastAsia="Times New Roman" w:hAnsi="Times New Roman"/>
          <w:sz w:val="24"/>
          <w:szCs w:val="24"/>
        </w:rPr>
        <w:t xml:space="preserve">, 754 F.2d 284, 287 (8th Cir. 1985).”  </w:t>
      </w:r>
      <w:hyperlink r:id="rId1920" w:history="1">
        <w:r>
          <w:rPr>
            <w:rStyle w:val="Hyperlink"/>
            <w:sz w:val="24"/>
            <w:szCs w:val="24"/>
          </w:rPr>
          <w:t>https://law.justia.com/cases/federal/appellate-courts/ca8/19-1414/19-1414-2020-08-17.html</w:t>
        </w:r>
      </w:hyperlink>
      <w:r>
        <w:rPr>
          <w:rFonts w:ascii="Times New Roman" w:eastAsia="Times New Roman" w:hAnsi="Times New Roman"/>
          <w:sz w:val="24"/>
          <w:szCs w:val="24"/>
        </w:rPr>
        <w:t xml:space="preserve"> </w:t>
      </w:r>
    </w:p>
    <w:p w14:paraId="1614ADB0" w14:textId="77777777" w:rsidR="00557CA2" w:rsidRDefault="00557CA2" w:rsidP="00557CA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Flight medics are entitled to overtime.  </w:t>
      </w:r>
    </w:p>
    <w:p w14:paraId="3257FCF9" w14:textId="77777777" w:rsidR="00557CA2" w:rsidRDefault="00557CA2" w:rsidP="00557CA2">
      <w:pPr>
        <w:pStyle w:val="Heading1"/>
        <w:ind w:left="720"/>
      </w:pPr>
      <w:r>
        <w:rPr>
          <w:b w:val="0"/>
          <w:bCs w:val="0"/>
          <w:sz w:val="24"/>
          <w:szCs w:val="24"/>
        </w:rPr>
        <w:t xml:space="preserve">Note: See this recent settlement: “Air medical company agrees to $78M settlement for overtime” (July 2, 2020); </w:t>
      </w:r>
      <w:hyperlink r:id="rId1921" w:history="1">
        <w:r>
          <w:rPr>
            <w:rStyle w:val="Hyperlink"/>
            <w:rFonts w:eastAsiaTheme="majorEastAsia"/>
            <w:b w:val="0"/>
            <w:bCs w:val="0"/>
            <w:sz w:val="24"/>
            <w:szCs w:val="24"/>
          </w:rPr>
          <w:t>https://www.ems1.com/legal/articles/air-medical-company-agrees-to-78m-settlement-for-overtime-ExknCez8O1D6ZfI4/</w:t>
        </w:r>
      </w:hyperlink>
      <w:r>
        <w:t xml:space="preserve"> </w:t>
      </w:r>
    </w:p>
    <w:p w14:paraId="7490B399"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“OAKLAND, Calif. — A medical helicopter operator has been ordered to pay $78 million to its flight crew employees for unpaid overtime and missed breaks in a class-action lawsuit settlement. Alameda County Superior Court Judge Winifred Y. Smith agreed Wednesday to the preliminary settlement filed by about 450 former and current medical flight crew members employed in California by Air Methods Corporation of Colorado.</w:t>
      </w:r>
    </w:p>
    <w:p w14:paraId="6E46D7EF"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Air Methods also is expected to pay daily overtime to its medical flight crew starting from June 28, resulting in an estimated 20% or more increase to their salaries, according to the attorneys representing the crew.</w:t>
      </w:r>
    </w:p>
    <w:p w14:paraId="2ED6E6A2"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Air Methods is reportedly the country’s largest air medical transport company and operates helicopter bases. Teams of nurses and paramedics are dispatched in </w:t>
      </w:r>
      <w:proofErr w:type="gramStart"/>
      <w:r>
        <w:rPr>
          <w:rFonts w:ascii="Times New Roman" w:eastAsia="Times New Roman" w:hAnsi="Times New Roman"/>
          <w:sz w:val="24"/>
          <w:szCs w:val="24"/>
        </w:rPr>
        <w:t>the helicopters</w:t>
      </w:r>
      <w:proofErr w:type="gramEnd"/>
      <w:r>
        <w:rPr>
          <w:rFonts w:ascii="Times New Roman" w:eastAsia="Times New Roman" w:hAnsi="Times New Roman"/>
          <w:sz w:val="24"/>
          <w:szCs w:val="24"/>
        </w:rPr>
        <w:t>, often to remote areas.</w:t>
      </w:r>
    </w:p>
    <w:p w14:paraId="055AA39B"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Air Methods was accused of refusing to pay daily overtime for crews working more than eight hours in a workday. The flight crew commonly worked 24-hour shifts, according to attorney James Sitkin, who represented the crew. He alleged that Air Methods did not allow the flight crew to take off-duty meal breaks or rest breaks.”</w:t>
      </w:r>
    </w:p>
    <w:p w14:paraId="0EC4051F" w14:textId="77777777" w:rsidR="00557CA2" w:rsidRDefault="00557CA2" w:rsidP="00F326E5">
      <w:pPr>
        <w:rPr>
          <w:rFonts w:ascii="Arial Black" w:hAnsi="Arial Black"/>
          <w:b/>
          <w:sz w:val="24"/>
          <w:szCs w:val="24"/>
        </w:rPr>
      </w:pPr>
    </w:p>
    <w:p w14:paraId="54600369" w14:textId="77777777" w:rsidR="00557CA2" w:rsidRDefault="00557CA2" w:rsidP="00F326E5">
      <w:pPr>
        <w:rPr>
          <w:rFonts w:ascii="Arial Black" w:hAnsi="Arial Black"/>
          <w:b/>
          <w:sz w:val="24"/>
          <w:szCs w:val="24"/>
        </w:rPr>
      </w:pPr>
    </w:p>
    <w:p w14:paraId="354AC977" w14:textId="4AF74980" w:rsidR="006B2083" w:rsidRDefault="006B2083"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5</w:t>
      </w:r>
    </w:p>
    <w:p w14:paraId="5E111747" w14:textId="77777777" w:rsidR="006B2083" w:rsidRPr="000046E6" w:rsidRDefault="006B2083" w:rsidP="006B2083">
      <w:pPr>
        <w:pStyle w:val="NoSpacing"/>
        <w:rPr>
          <w:rFonts w:ascii="Arial Black" w:hAnsi="Arial Black"/>
          <w:sz w:val="28"/>
          <w:szCs w:val="28"/>
        </w:rPr>
      </w:pPr>
      <w:r w:rsidRPr="000046E6">
        <w:rPr>
          <w:rFonts w:ascii="Arial Black" w:hAnsi="Arial Black"/>
          <w:sz w:val="28"/>
          <w:szCs w:val="28"/>
        </w:rPr>
        <w:t xml:space="preserve">GA: </w:t>
      </w:r>
      <w:r>
        <w:rPr>
          <w:rFonts w:ascii="Arial Black" w:hAnsi="Arial Black"/>
          <w:sz w:val="28"/>
          <w:szCs w:val="28"/>
        </w:rPr>
        <w:t>COMP TIME – FIREFIGHTERS SUED FD FOR DENIAL LEAVE - SETTLED, 14 FF PAID $1000 EACH - NEW FD POLICY – ATTY FEES</w:t>
      </w:r>
    </w:p>
    <w:p w14:paraId="50B6F46E" w14:textId="77777777" w:rsidR="006B2083" w:rsidRDefault="006B2083" w:rsidP="006B2083">
      <w:pPr>
        <w:pStyle w:val="NoSpacing"/>
        <w:rPr>
          <w:rFonts w:ascii="Times New Roman" w:hAnsi="Times New Roman"/>
          <w:sz w:val="24"/>
          <w:szCs w:val="24"/>
        </w:rPr>
      </w:pPr>
    </w:p>
    <w:p w14:paraId="15CC008C" w14:textId="77777777" w:rsidR="006B2083" w:rsidRDefault="006B2083" w:rsidP="006B2083">
      <w:pPr>
        <w:pStyle w:val="NoSpacing"/>
        <w:rPr>
          <w:rFonts w:ascii="Times New Roman" w:hAnsi="Times New Roman"/>
          <w:sz w:val="24"/>
          <w:szCs w:val="24"/>
        </w:rPr>
      </w:pPr>
      <w:r w:rsidRPr="00EA7DA2">
        <w:rPr>
          <w:rFonts w:ascii="Times New Roman" w:hAnsi="Times New Roman"/>
          <w:sz w:val="24"/>
          <w:szCs w:val="24"/>
        </w:rPr>
        <w:t xml:space="preserve">On July 16, 2020, in </w:t>
      </w:r>
      <w:r w:rsidRPr="00EA7DA2">
        <w:rPr>
          <w:rFonts w:ascii="Times New Roman" w:hAnsi="Times New Roman"/>
          <w:sz w:val="24"/>
          <w:szCs w:val="24"/>
          <w:u w:val="single"/>
        </w:rPr>
        <w:t>Robert Milie, et. al. v. City of Savannah</w:t>
      </w:r>
      <w:r w:rsidRPr="00EA7DA2">
        <w:rPr>
          <w:rFonts w:ascii="Times New Roman" w:hAnsi="Times New Roman"/>
          <w:sz w:val="24"/>
          <w:szCs w:val="24"/>
        </w:rPr>
        <w:t xml:space="preserve">, U.S. District Court Judge R. Stan Baker, Southern District of Georgia, the Court pursuant to the settlement agreement approved attorneys’ fees. </w:t>
      </w:r>
      <w:r>
        <w:rPr>
          <w:rFonts w:ascii="Times New Roman" w:hAnsi="Times New Roman"/>
          <w:sz w:val="24"/>
          <w:szCs w:val="24"/>
        </w:rPr>
        <w:t xml:space="preserve"> Court wrote: </w:t>
      </w:r>
      <w:r w:rsidRPr="005174B8">
        <w:rPr>
          <w:rFonts w:ascii="Times New Roman" w:hAnsi="Times New Roman"/>
          <w:sz w:val="24"/>
          <w:szCs w:val="24"/>
        </w:rPr>
        <w:t>For the reasons set forth below, the Court finds the following across-the-board reductions of Plaintiffs' requested hours to be appropriate: a thirty percent (30%) reduction to the hours billed in Plaintiffs' initial fee petition</w:t>
      </w:r>
      <w:r>
        <w:rPr>
          <w:rFonts w:ascii="Times New Roman" w:hAnsi="Times New Roman"/>
          <w:sz w:val="24"/>
          <w:szCs w:val="24"/>
        </w:rPr>
        <w:t xml:space="preserve"> …;</w:t>
      </w:r>
      <w:r w:rsidRPr="005174B8">
        <w:rPr>
          <w:rFonts w:ascii="Times New Roman" w:hAnsi="Times New Roman"/>
          <w:sz w:val="24"/>
          <w:szCs w:val="24"/>
        </w:rPr>
        <w:t xml:space="preserve"> a sixty percent (60%) reduction to the hours billed in Plaintiffs' first supplemental request</w:t>
      </w:r>
      <w:r>
        <w:rPr>
          <w:rFonts w:ascii="Times New Roman" w:hAnsi="Times New Roman"/>
          <w:sz w:val="24"/>
          <w:szCs w:val="24"/>
        </w:rPr>
        <w:t>…</w:t>
      </w:r>
      <w:r w:rsidRPr="005174B8">
        <w:rPr>
          <w:rFonts w:ascii="Times New Roman" w:hAnsi="Times New Roman"/>
          <w:sz w:val="24"/>
          <w:szCs w:val="24"/>
        </w:rPr>
        <w:t>; and a one-hundred percent (100%) reduction to the hours billed in the second supplemental request</w:t>
      </w:r>
      <w:proofErr w:type="gramStart"/>
      <w:r>
        <w:rPr>
          <w:rFonts w:ascii="Times New Roman" w:hAnsi="Times New Roman"/>
          <w:sz w:val="24"/>
          <w:szCs w:val="24"/>
        </w:rPr>
        <w:t>….</w:t>
      </w:r>
      <w:r w:rsidRPr="005174B8">
        <w:rPr>
          <w:rFonts w:ascii="Times New Roman" w:hAnsi="Times New Roman"/>
          <w:sz w:val="24"/>
          <w:szCs w:val="24"/>
        </w:rPr>
        <w:t>.</w:t>
      </w:r>
      <w:proofErr w:type="gramEnd"/>
      <w:r>
        <w:rPr>
          <w:rFonts w:ascii="Times New Roman" w:hAnsi="Times New Roman"/>
          <w:sz w:val="24"/>
          <w:szCs w:val="24"/>
        </w:rPr>
        <w:t xml:space="preserve">”  </w:t>
      </w:r>
    </w:p>
    <w:p w14:paraId="4E3DB381" w14:textId="77777777" w:rsidR="006B2083" w:rsidRDefault="006B2083" w:rsidP="006B2083">
      <w:pPr>
        <w:pStyle w:val="NoSpacing"/>
        <w:rPr>
          <w:rFonts w:ascii="Times New Roman" w:hAnsi="Times New Roman"/>
          <w:sz w:val="24"/>
          <w:szCs w:val="24"/>
        </w:rPr>
      </w:pPr>
      <w:hyperlink r:id="rId1922" w:history="1">
        <w:r w:rsidRPr="000603D4">
          <w:rPr>
            <w:rStyle w:val="Hyperlink"/>
            <w:rFonts w:ascii="Times New Roman" w:hAnsi="Times New Roman"/>
            <w:sz w:val="24"/>
            <w:szCs w:val="24"/>
          </w:rPr>
          <w:t>https://public.fastcase.com/Wl%2B2t%2BeVuI35%2FN70vAMFZqOCIluAWFXT7dyIbWSJtbA2tJbGDR%2F5EmjVBjMYm1QS</w:t>
        </w:r>
      </w:hyperlink>
      <w:r>
        <w:rPr>
          <w:rFonts w:ascii="Times New Roman" w:hAnsi="Times New Roman"/>
          <w:sz w:val="24"/>
          <w:szCs w:val="24"/>
        </w:rPr>
        <w:t xml:space="preserve"> </w:t>
      </w:r>
    </w:p>
    <w:p w14:paraId="0F856D1F" w14:textId="77777777" w:rsidR="006B2083" w:rsidRDefault="006B2083" w:rsidP="006B2083">
      <w:pPr>
        <w:pStyle w:val="NoSpacing"/>
        <w:rPr>
          <w:rFonts w:ascii="Times New Roman" w:hAnsi="Times New Roman"/>
          <w:b/>
          <w:bCs/>
          <w:sz w:val="24"/>
          <w:szCs w:val="24"/>
        </w:rPr>
      </w:pPr>
    </w:p>
    <w:p w14:paraId="74C2B557" w14:textId="2BFC779C" w:rsidR="006B2083" w:rsidRDefault="006B2083" w:rsidP="006B2083">
      <w:pPr>
        <w:pStyle w:val="NoSpacing"/>
        <w:rPr>
          <w:rFonts w:ascii="Times New Roman" w:hAnsi="Times New Roman"/>
          <w:b/>
          <w:bCs/>
          <w:sz w:val="24"/>
          <w:szCs w:val="24"/>
        </w:rPr>
      </w:pPr>
      <w:r w:rsidRPr="005174B8">
        <w:rPr>
          <w:rFonts w:ascii="Times New Roman" w:hAnsi="Times New Roman"/>
          <w:b/>
          <w:bCs/>
          <w:sz w:val="24"/>
          <w:szCs w:val="24"/>
        </w:rPr>
        <w:t>Legal Lessons Learned:</w:t>
      </w:r>
      <w:r>
        <w:rPr>
          <w:rFonts w:ascii="Times New Roman" w:hAnsi="Times New Roman"/>
          <w:b/>
          <w:bCs/>
          <w:sz w:val="24"/>
          <w:szCs w:val="24"/>
        </w:rPr>
        <w:t xml:space="preserve"> Comp time requests can sometimes lead to disputes; helpful to have a clear process in the CBA or FD policy. </w:t>
      </w:r>
    </w:p>
    <w:p w14:paraId="6CB3B05B" w14:textId="77777777" w:rsidR="006B2083" w:rsidRDefault="006B2083" w:rsidP="006B2083">
      <w:pPr>
        <w:pStyle w:val="NoSpacing"/>
        <w:rPr>
          <w:rFonts w:ascii="Times New Roman" w:hAnsi="Times New Roman"/>
          <w:b/>
          <w:bCs/>
          <w:sz w:val="24"/>
          <w:szCs w:val="24"/>
        </w:rPr>
      </w:pPr>
    </w:p>
    <w:p w14:paraId="448186AC" w14:textId="77777777" w:rsidR="006B2083" w:rsidRDefault="006B2083" w:rsidP="006B2083">
      <w:pPr>
        <w:pStyle w:val="NoSpacing"/>
        <w:ind w:left="720"/>
        <w:rPr>
          <w:rFonts w:ascii="Times New Roman" w:hAnsi="Times New Roman"/>
          <w:sz w:val="24"/>
          <w:szCs w:val="24"/>
        </w:rPr>
      </w:pPr>
      <w:r w:rsidRPr="005174B8">
        <w:rPr>
          <w:rFonts w:ascii="Times New Roman" w:hAnsi="Times New Roman"/>
          <w:sz w:val="24"/>
          <w:szCs w:val="24"/>
        </w:rPr>
        <w:t xml:space="preserve">Note: While researching this case, found this disturbing </w:t>
      </w:r>
      <w:r>
        <w:rPr>
          <w:rFonts w:ascii="Times New Roman" w:hAnsi="Times New Roman"/>
          <w:sz w:val="24"/>
          <w:szCs w:val="24"/>
        </w:rPr>
        <w:t xml:space="preserve">article about named plaintiff.  </w:t>
      </w:r>
    </w:p>
    <w:p w14:paraId="381858D0" w14:textId="77777777" w:rsidR="006B2083" w:rsidRPr="005174B8" w:rsidRDefault="006B2083" w:rsidP="006B2083">
      <w:pPr>
        <w:pStyle w:val="NoSpacing"/>
        <w:ind w:left="720"/>
        <w:rPr>
          <w:rFonts w:ascii="Times New Roman" w:hAnsi="Times New Roman"/>
          <w:sz w:val="24"/>
          <w:szCs w:val="24"/>
        </w:rPr>
      </w:pPr>
      <w:r w:rsidRPr="005174B8">
        <w:rPr>
          <w:rStyle w:val="timestamp"/>
          <w:rFonts w:ascii="Times New Roman" w:hAnsi="Times New Roman"/>
          <w:sz w:val="24"/>
          <w:szCs w:val="24"/>
        </w:rPr>
        <w:t xml:space="preserve">October 12, 2018, </w:t>
      </w:r>
      <w:r w:rsidRPr="005174B8">
        <w:rPr>
          <w:rFonts w:ascii="Times New Roman" w:hAnsi="Times New Roman"/>
          <w:sz w:val="24"/>
          <w:szCs w:val="24"/>
        </w:rPr>
        <w:t xml:space="preserve">SAVANNAH, GA (WTOC) - The president of the Savannah Professional Firefighters Association has been arrested and is awaiting extradition to Colorado. Robert Milie is in the Chatham County Jail on an extradition hold. The hold is for a sexual assault charge, according to the El Paso County Sheriff’s Office in Colorado. </w:t>
      </w:r>
      <w:hyperlink r:id="rId1923" w:history="1">
        <w:r w:rsidRPr="005174B8">
          <w:rPr>
            <w:rStyle w:val="Hyperlink"/>
            <w:rFonts w:ascii="Times New Roman" w:hAnsi="Times New Roman"/>
            <w:sz w:val="24"/>
            <w:szCs w:val="24"/>
          </w:rPr>
          <w:t>https://www.wtoc.com/2018/10/12/president-savannah-firefighters-association-arrested-incident-colorado/</w:t>
        </w:r>
      </w:hyperlink>
      <w:r w:rsidRPr="005174B8">
        <w:rPr>
          <w:rFonts w:ascii="Times New Roman" w:hAnsi="Times New Roman"/>
          <w:sz w:val="24"/>
          <w:szCs w:val="24"/>
        </w:rPr>
        <w:t xml:space="preserve"> </w:t>
      </w:r>
    </w:p>
    <w:p w14:paraId="191405B9" w14:textId="77777777" w:rsidR="006B2083" w:rsidRDefault="006B2083" w:rsidP="006B2083">
      <w:pPr>
        <w:pStyle w:val="NoSpacing"/>
        <w:rPr>
          <w:rFonts w:ascii="Times New Roman" w:hAnsi="Times New Roman"/>
          <w:b/>
          <w:bCs/>
          <w:sz w:val="24"/>
          <w:szCs w:val="24"/>
        </w:rPr>
      </w:pPr>
    </w:p>
    <w:p w14:paraId="302C3BBC" w14:textId="77777777" w:rsidR="006B2083" w:rsidRPr="005174B8" w:rsidRDefault="006B2083" w:rsidP="006B2083">
      <w:pPr>
        <w:pStyle w:val="NoSpacing"/>
        <w:rPr>
          <w:rFonts w:ascii="Times New Roman" w:eastAsia="Times New Roman" w:hAnsi="Times New Roman"/>
          <w:b/>
          <w:bCs/>
          <w:sz w:val="24"/>
          <w:szCs w:val="24"/>
        </w:rPr>
      </w:pPr>
    </w:p>
    <w:p w14:paraId="2A364FEB" w14:textId="77777777" w:rsidR="006B2083" w:rsidRDefault="006B2083" w:rsidP="00F326E5">
      <w:pPr>
        <w:rPr>
          <w:rFonts w:ascii="Arial Black" w:hAnsi="Arial Black"/>
          <w:b/>
          <w:sz w:val="24"/>
          <w:szCs w:val="24"/>
        </w:rPr>
      </w:pPr>
    </w:p>
    <w:p w14:paraId="44D09ECF" w14:textId="0BED738B" w:rsidR="00FA7B26" w:rsidRDefault="00FA7B2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4</w:t>
      </w:r>
    </w:p>
    <w:p w14:paraId="6E9FAF7C" w14:textId="77777777" w:rsidR="00FA7B26" w:rsidRPr="00B370C5" w:rsidRDefault="00FA7B26" w:rsidP="00FA7B26">
      <w:pPr>
        <w:spacing w:before="100" w:beforeAutospacing="1" w:after="100" w:afterAutospacing="1" w:line="240" w:lineRule="auto"/>
        <w:rPr>
          <w:rFonts w:ascii="Arial Black" w:eastAsia="Times New Roman" w:hAnsi="Arial Black"/>
          <w:b/>
          <w:bCs/>
          <w:sz w:val="28"/>
          <w:szCs w:val="28"/>
        </w:rPr>
      </w:pPr>
      <w:r w:rsidRPr="00B370C5">
        <w:rPr>
          <w:rFonts w:ascii="Arial Black" w:eastAsia="Times New Roman" w:hAnsi="Arial Black"/>
          <w:b/>
          <w:bCs/>
          <w:sz w:val="28"/>
          <w:szCs w:val="28"/>
        </w:rPr>
        <w:t xml:space="preserve">WI: </w:t>
      </w:r>
      <w:r>
        <w:rPr>
          <w:rFonts w:ascii="Arial Black" w:eastAsia="Times New Roman" w:hAnsi="Arial Black"/>
          <w:b/>
          <w:bCs/>
          <w:sz w:val="28"/>
          <w:szCs w:val="28"/>
        </w:rPr>
        <w:t>PARAMEDIC SUED VILLAGE – CLAIMED NOT PAID OVERTIME AFTER 40 HRS - PROPOSED $55K SETTLEMENT, COURT REQUIRES MORE INFO TO CONFIRM FAIR AMOUNT</w:t>
      </w:r>
    </w:p>
    <w:p w14:paraId="7F1C2B8B" w14:textId="77777777" w:rsidR="00FA7B26" w:rsidRPr="00085C91" w:rsidRDefault="00FA7B26" w:rsidP="00FA7B26">
      <w:pPr>
        <w:pStyle w:val="NoSpacing"/>
        <w:jc w:val="both"/>
        <w:rPr>
          <w:rFonts w:ascii="Times New Roman" w:eastAsia="Times New Roman" w:hAnsi="Times New Roman"/>
          <w:b/>
          <w:bCs/>
          <w:sz w:val="24"/>
          <w:szCs w:val="24"/>
        </w:rPr>
      </w:pPr>
      <w:r w:rsidRPr="00085C91">
        <w:rPr>
          <w:rFonts w:ascii="Times New Roman" w:hAnsi="Times New Roman"/>
          <w:bCs/>
          <w:sz w:val="24"/>
          <w:szCs w:val="24"/>
        </w:rPr>
        <w:t xml:space="preserve">On May 13, 2020, in </w:t>
      </w:r>
      <w:r w:rsidRPr="00085C91">
        <w:rPr>
          <w:rFonts w:ascii="Times New Roman" w:hAnsi="Times New Roman"/>
          <w:bCs/>
          <w:sz w:val="24"/>
          <w:szCs w:val="24"/>
          <w:u w:val="single"/>
        </w:rPr>
        <w:t>Joshua Wendorf v. Village of Plover</w:t>
      </w:r>
      <w:r w:rsidRPr="00085C91">
        <w:rPr>
          <w:rFonts w:ascii="Times New Roman" w:hAnsi="Times New Roman"/>
          <w:bCs/>
          <w:sz w:val="24"/>
          <w:szCs w:val="24"/>
        </w:rPr>
        <w:t>, U.S. District Court William M. Conley, Western District of Wisconsin, declined to approve the settlement, and gave parties 14 days to submit further information regarding “</w:t>
      </w:r>
      <w:r w:rsidRPr="00085C91">
        <w:rPr>
          <w:rFonts w:ascii="Times New Roman" w:eastAsia="Times New Roman" w:hAnsi="Times New Roman"/>
          <w:bCs/>
          <w:sz w:val="24"/>
          <w:szCs w:val="24"/>
        </w:rPr>
        <w:t>whether (a) plaintiff's compensation under the agreement is reasonably consistent with the minimum hourly wage calculation contemplated by the FLSA; and (b) counsel's fee recovery is consistent with plaintiff's written agreement or otherwise supported on this record.”</w:t>
      </w:r>
    </w:p>
    <w:p w14:paraId="76BF6B4E" w14:textId="77777777" w:rsidR="00FA7B26" w:rsidRPr="00085C91" w:rsidRDefault="00FA7B26" w:rsidP="00FA7B26">
      <w:pPr>
        <w:pStyle w:val="NoSpacing"/>
        <w:jc w:val="both"/>
        <w:rPr>
          <w:rFonts w:eastAsia="Times New Roman"/>
          <w:sz w:val="24"/>
          <w:szCs w:val="24"/>
        </w:rPr>
      </w:pPr>
      <w:hyperlink r:id="rId1924" w:history="1">
        <w:r w:rsidRPr="00085C91">
          <w:rPr>
            <w:rStyle w:val="Hyperlink"/>
            <w:rFonts w:ascii="Times New Roman" w:hAnsi="Times New Roman"/>
            <w:sz w:val="24"/>
            <w:szCs w:val="24"/>
          </w:rPr>
          <w:t>https://public.fastcase.com/Wl%2B2t%2BeVuI35%2FN70vAMFZiOi%2BYkXYMCNnCyjC1oPHdpZa1VeLChap2kxy9UfPfNs</w:t>
        </w:r>
      </w:hyperlink>
      <w:r w:rsidRPr="00085C91">
        <w:rPr>
          <w:rFonts w:eastAsia="Times New Roman"/>
          <w:sz w:val="24"/>
          <w:szCs w:val="24"/>
        </w:rPr>
        <w:t xml:space="preserve"> </w:t>
      </w:r>
    </w:p>
    <w:p w14:paraId="12574E10" w14:textId="77777777" w:rsidR="00FA7B26" w:rsidRDefault="00FA7B26" w:rsidP="00FA7B26">
      <w:pPr>
        <w:spacing w:before="100" w:beforeAutospacing="1" w:after="100" w:afterAutospacing="1" w:line="240" w:lineRule="auto"/>
        <w:rPr>
          <w:rFonts w:ascii="Times New Roman" w:eastAsia="Times New Roman" w:hAnsi="Times New Roman"/>
          <w:b/>
          <w:bCs/>
          <w:sz w:val="24"/>
          <w:szCs w:val="24"/>
        </w:rPr>
      </w:pPr>
      <w:r w:rsidRPr="00E06806">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If the paramedic was not “cross-trained” as a firefighter, or had no firefighting duties, he would normally be entitled to overtime pay after 40 hours in a work week.   </w:t>
      </w:r>
    </w:p>
    <w:p w14:paraId="3A5A72A9" w14:textId="77777777" w:rsidR="00FA7B26" w:rsidRPr="00E06806" w:rsidRDefault="00FA7B26" w:rsidP="00FA7B26">
      <w:pPr>
        <w:spacing w:before="100" w:beforeAutospacing="1" w:after="100" w:afterAutospacing="1" w:line="240" w:lineRule="auto"/>
        <w:ind w:left="720"/>
        <w:rPr>
          <w:rFonts w:ascii="Times New Roman" w:eastAsia="Times New Roman" w:hAnsi="Times New Roman"/>
          <w:sz w:val="24"/>
          <w:szCs w:val="24"/>
        </w:rPr>
      </w:pPr>
      <w:r w:rsidRPr="00E06806">
        <w:rPr>
          <w:rFonts w:ascii="Times New Roman" w:eastAsia="Times New Roman" w:hAnsi="Times New Roman"/>
          <w:sz w:val="24"/>
          <w:szCs w:val="24"/>
        </w:rPr>
        <w:t xml:space="preserve">Note: </w:t>
      </w:r>
      <w:r w:rsidRPr="00E06806">
        <w:rPr>
          <w:rFonts w:ascii="Times New Roman" w:hAnsi="Times New Roman"/>
          <w:sz w:val="24"/>
          <w:szCs w:val="24"/>
        </w:rPr>
        <w:t>Section 7(k) of the</w:t>
      </w:r>
      <w:r>
        <w:rPr>
          <w:rFonts w:ascii="Times New Roman" w:hAnsi="Times New Roman"/>
          <w:sz w:val="24"/>
          <w:szCs w:val="24"/>
        </w:rPr>
        <w:t xml:space="preserve"> FLSA </w:t>
      </w:r>
      <w:r w:rsidRPr="00E06806">
        <w:rPr>
          <w:rFonts w:ascii="Times New Roman" w:hAnsi="Times New Roman"/>
          <w:sz w:val="24"/>
          <w:szCs w:val="24"/>
        </w:rPr>
        <w:t xml:space="preserve">provides a partial overtime pay exemption for fire protection and law enforcement personnel (including security personnel in correctional institutions) who are employed by public agencies on a work period basis. </w:t>
      </w:r>
      <w:hyperlink r:id="rId1925" w:history="1">
        <w:r w:rsidRPr="00E06806">
          <w:rPr>
            <w:rStyle w:val="Hyperlink"/>
            <w:sz w:val="24"/>
            <w:szCs w:val="24"/>
          </w:rPr>
          <w:t>https://www.law.cornell.edu/cfr/text/29/553.201</w:t>
        </w:r>
      </w:hyperlink>
      <w:r w:rsidRPr="00E06806">
        <w:rPr>
          <w:rFonts w:ascii="Times New Roman" w:hAnsi="Times New Roman"/>
          <w:sz w:val="24"/>
          <w:szCs w:val="24"/>
        </w:rPr>
        <w:t xml:space="preserve"> </w:t>
      </w:r>
    </w:p>
    <w:p w14:paraId="6508815A" w14:textId="77777777" w:rsidR="00FA7B26" w:rsidRDefault="00FA7B26" w:rsidP="00F326E5">
      <w:pPr>
        <w:rPr>
          <w:rFonts w:ascii="Arial Black" w:hAnsi="Arial Black"/>
          <w:b/>
          <w:sz w:val="24"/>
          <w:szCs w:val="24"/>
        </w:rPr>
      </w:pPr>
    </w:p>
    <w:p w14:paraId="6C539940" w14:textId="77777777" w:rsidR="00FA7B26" w:rsidRDefault="00FA7B26" w:rsidP="00F326E5">
      <w:pPr>
        <w:rPr>
          <w:rFonts w:ascii="Arial Black" w:hAnsi="Arial Black"/>
          <w:b/>
          <w:sz w:val="24"/>
          <w:szCs w:val="24"/>
        </w:rPr>
      </w:pPr>
    </w:p>
    <w:p w14:paraId="726D3577" w14:textId="041E76C7" w:rsidR="0066298F" w:rsidRDefault="003E0062" w:rsidP="00F326E5">
      <w:pPr>
        <w:rPr>
          <w:rFonts w:ascii="Arial Black" w:hAnsi="Arial Black"/>
          <w:b/>
          <w:sz w:val="24"/>
          <w:szCs w:val="24"/>
        </w:rPr>
      </w:pPr>
      <w:r>
        <w:rPr>
          <w:rFonts w:ascii="Arial Black" w:hAnsi="Arial Black"/>
          <w:b/>
          <w:sz w:val="24"/>
          <w:szCs w:val="24"/>
        </w:rPr>
        <w:t>1</w:t>
      </w:r>
      <w:r w:rsidR="0066298F">
        <w:rPr>
          <w:rFonts w:ascii="Arial Black" w:hAnsi="Arial Black"/>
          <w:b/>
          <w:sz w:val="24"/>
          <w:szCs w:val="24"/>
        </w:rPr>
        <w:t>1-1</w:t>
      </w:r>
      <w:r w:rsidR="00B13773">
        <w:rPr>
          <w:rFonts w:ascii="Arial Black" w:hAnsi="Arial Black"/>
          <w:b/>
          <w:sz w:val="24"/>
          <w:szCs w:val="24"/>
        </w:rPr>
        <w:t>3</w:t>
      </w:r>
    </w:p>
    <w:p w14:paraId="14EAB4C5" w14:textId="77777777" w:rsidR="0066298F" w:rsidRDefault="0066298F" w:rsidP="0066298F">
      <w:pPr>
        <w:pStyle w:val="NoSpacing"/>
        <w:rPr>
          <w:rFonts w:ascii="DArial Black" w:hAnsi="DArial Black"/>
          <w:sz w:val="28"/>
          <w:szCs w:val="28"/>
        </w:rPr>
      </w:pPr>
      <w:bookmarkStart w:id="392" w:name="_Hlk39771771"/>
      <w:r w:rsidRPr="001953A2">
        <w:rPr>
          <w:rFonts w:ascii="Arial Black" w:hAnsi="Arial Black"/>
          <w:sz w:val="28"/>
          <w:szCs w:val="28"/>
        </w:rPr>
        <w:t>U.S. DEPT. OF LABOR:  BONUS PAYMENTS FOR LENGTH OF SERVICE – IF GUARANTEED</w:t>
      </w:r>
      <w:r>
        <w:rPr>
          <w:rFonts w:ascii="Arial Black" w:hAnsi="Arial Black"/>
          <w:sz w:val="28"/>
          <w:szCs w:val="28"/>
        </w:rPr>
        <w:t>, M</w:t>
      </w:r>
      <w:r w:rsidRPr="001953A2">
        <w:rPr>
          <w:rFonts w:ascii="Arial Black" w:hAnsi="Arial Black"/>
          <w:sz w:val="28"/>
          <w:szCs w:val="28"/>
        </w:rPr>
        <w:t xml:space="preserve">UST </w:t>
      </w:r>
      <w:r>
        <w:rPr>
          <w:rFonts w:ascii="Arial Black" w:hAnsi="Arial Black"/>
          <w:sz w:val="28"/>
          <w:szCs w:val="28"/>
        </w:rPr>
        <w:t>INCLUDE IN “</w:t>
      </w:r>
      <w:r w:rsidRPr="001953A2">
        <w:rPr>
          <w:rFonts w:ascii="Arial Black" w:hAnsi="Arial Black"/>
          <w:sz w:val="28"/>
          <w:szCs w:val="28"/>
        </w:rPr>
        <w:t>REGULAR RATE OF PAY</w:t>
      </w:r>
      <w:r>
        <w:rPr>
          <w:rFonts w:ascii="DArial Black" w:hAnsi="DArial Black"/>
          <w:sz w:val="28"/>
          <w:szCs w:val="28"/>
        </w:rPr>
        <w:t>”</w:t>
      </w:r>
    </w:p>
    <w:p w14:paraId="0B259E05" w14:textId="77777777" w:rsidR="0066298F" w:rsidRDefault="0066298F" w:rsidP="0066298F">
      <w:pPr>
        <w:pStyle w:val="NoSpacing"/>
        <w:rPr>
          <w:rFonts w:ascii="DArial Black" w:hAnsi="DArial Black"/>
          <w:sz w:val="28"/>
          <w:szCs w:val="28"/>
        </w:rPr>
      </w:pPr>
    </w:p>
    <w:p w14:paraId="3D2BDEFD"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26, 2020, the U.S. Department of Labor, Wage &amp; Hour Division, issued Opinion Letter </w:t>
      </w:r>
      <w:bookmarkStart w:id="393" w:name="_Hlk39847348"/>
      <w:r w:rsidRPr="00665BD0">
        <w:rPr>
          <w:rFonts w:ascii="Times New Roman" w:hAnsi="Times New Roman"/>
          <w:bCs/>
          <w:sz w:val="24"/>
          <w:szCs w:val="24"/>
        </w:rPr>
        <w:t>FLSA 2020-3</w:t>
      </w:r>
      <w:bookmarkEnd w:id="393"/>
      <w:r w:rsidRPr="00665BD0">
        <w:rPr>
          <w:rFonts w:ascii="Times New Roman" w:hAnsi="Times New Roman"/>
          <w:bCs/>
          <w:sz w:val="24"/>
          <w:szCs w:val="24"/>
        </w:rPr>
        <w:t>.</w:t>
      </w:r>
    </w:p>
    <w:p w14:paraId="57165A17" w14:textId="77777777" w:rsidR="0066298F" w:rsidRPr="00665BD0" w:rsidRDefault="0066298F" w:rsidP="0066298F">
      <w:pPr>
        <w:pStyle w:val="NoSpacing"/>
        <w:rPr>
          <w:rFonts w:ascii="Times New Roman" w:hAnsi="Times New Roman"/>
          <w:b/>
          <w:bCs/>
          <w:sz w:val="24"/>
          <w:szCs w:val="24"/>
        </w:rPr>
      </w:pPr>
    </w:p>
    <w:p w14:paraId="0F8AF774"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“Based on the facts you have provided, the City’s longevity payments made to employees pursuant to the 1981 Resolution are not excludable as ‘payments </w:t>
      </w:r>
      <w:proofErr w:type="gramStart"/>
      <w:r w:rsidRPr="00665BD0">
        <w:rPr>
          <w:rFonts w:ascii="Times New Roman" w:hAnsi="Times New Roman"/>
          <w:bCs/>
          <w:sz w:val="24"/>
          <w:szCs w:val="24"/>
        </w:rPr>
        <w:t>in the nature of gifts’</w:t>
      </w:r>
      <w:proofErr w:type="gramEnd"/>
      <w:r w:rsidRPr="00665BD0">
        <w:rPr>
          <w:rFonts w:ascii="Times New Roman" w:hAnsi="Times New Roman"/>
          <w:bCs/>
          <w:sz w:val="24"/>
          <w:szCs w:val="24"/>
        </w:rPr>
        <w:t xml:space="preserve"> under Section 207(e)(1)…. Thus, longevity payments to eligible employees are </w:t>
      </w:r>
      <w:r w:rsidRPr="00665BD0">
        <w:rPr>
          <w:rFonts w:ascii="Times New Roman" w:hAnsi="Times New Roman"/>
          <w:bCs/>
          <w:i/>
          <w:iCs/>
          <w:sz w:val="24"/>
          <w:szCs w:val="24"/>
        </w:rPr>
        <w:t>required</w:t>
      </w:r>
      <w:r w:rsidRPr="00665BD0">
        <w:rPr>
          <w:rFonts w:ascii="Times New Roman" w:hAnsi="Times New Roman"/>
          <w:bCs/>
          <w:sz w:val="24"/>
          <w:szCs w:val="24"/>
        </w:rPr>
        <w:t xml:space="preserve"> by the 1981 Resolution…. Rather, such longevity </w:t>
      </w:r>
      <w:proofErr w:type="gramStart"/>
      <w:r w:rsidRPr="00665BD0">
        <w:rPr>
          <w:rFonts w:ascii="Times New Roman" w:hAnsi="Times New Roman"/>
          <w:bCs/>
          <w:sz w:val="24"/>
          <w:szCs w:val="24"/>
        </w:rPr>
        <w:t>pay</w:t>
      </w:r>
      <w:proofErr w:type="gramEnd"/>
      <w:r w:rsidRPr="00665BD0">
        <w:rPr>
          <w:rFonts w:ascii="Times New Roman" w:hAnsi="Times New Roman"/>
          <w:bCs/>
          <w:sz w:val="24"/>
          <w:szCs w:val="24"/>
        </w:rPr>
        <w:t xml:space="preserve"> required by law must be included in the regular rate…. If, on the other hand, the City’s Resolution said that “eligible employees of the City </w:t>
      </w:r>
      <w:r w:rsidRPr="00665BD0">
        <w:rPr>
          <w:rFonts w:ascii="Times New Roman" w:hAnsi="Times New Roman"/>
          <w:bCs/>
          <w:i/>
          <w:iCs/>
          <w:sz w:val="24"/>
          <w:szCs w:val="24"/>
        </w:rPr>
        <w:t xml:space="preserve">may </w:t>
      </w:r>
      <w:r w:rsidRPr="00665BD0">
        <w:rPr>
          <w:rFonts w:ascii="Times New Roman" w:hAnsi="Times New Roman"/>
          <w:bCs/>
          <w:sz w:val="24"/>
          <w:szCs w:val="24"/>
        </w:rPr>
        <w:t xml:space="preserve">be entitled to longevity pay” of up to a maximum amount … the payments could still be excluded from the regular rate….”   </w:t>
      </w:r>
      <w:bookmarkStart w:id="394" w:name="_Hlk39847370"/>
      <w:r w:rsidR="00BC38B6">
        <w:fldChar w:fldCharType="begin"/>
      </w:r>
      <w:r w:rsidR="00BC38B6">
        <w:instrText xml:space="preserve"> HYPERLINK "https://www.dol.gov/sites/dolgov/files/WHD/legacy/files/2020_03_26_03_FLSA.pdf" </w:instrText>
      </w:r>
      <w:r w:rsidR="00BC38B6">
        <w:fldChar w:fldCharType="separate"/>
      </w:r>
      <w:r w:rsidRPr="00665BD0">
        <w:rPr>
          <w:rStyle w:val="Hyperlink"/>
          <w:rFonts w:ascii="Times New Roman" w:hAnsi="Times New Roman"/>
          <w:b/>
          <w:sz w:val="24"/>
          <w:szCs w:val="24"/>
        </w:rPr>
        <w:t>https://www.dol.gov/sites/dolgov/files/WHD/legacy/files/2020_03_26_03_FLSA.pdf</w:t>
      </w:r>
      <w:r w:rsidR="00BC38B6">
        <w:rPr>
          <w:rStyle w:val="Hyperlink"/>
          <w:rFonts w:ascii="Times New Roman" w:hAnsi="Times New Roman"/>
          <w:b/>
          <w:sz w:val="24"/>
          <w:szCs w:val="24"/>
        </w:rPr>
        <w:fldChar w:fldCharType="end"/>
      </w:r>
    </w:p>
    <w:bookmarkEnd w:id="392"/>
    <w:bookmarkEnd w:id="394"/>
    <w:p w14:paraId="6143E179" w14:textId="77777777" w:rsidR="0066298F" w:rsidRPr="00665BD0" w:rsidRDefault="0066298F" w:rsidP="0066298F">
      <w:pPr>
        <w:pStyle w:val="NoSpacing"/>
        <w:rPr>
          <w:rFonts w:ascii="Times New Roman" w:hAnsi="Times New Roman"/>
          <w:b/>
          <w:bCs/>
          <w:sz w:val="24"/>
          <w:szCs w:val="24"/>
        </w:rPr>
      </w:pPr>
    </w:p>
    <w:p w14:paraId="6E3767DF"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Legal Lessons Learned: Under this opinion letter, employees of this city who are paid on an hourly basis will now be entitled to a higher hourly rate of pay based on the guaranteed annual longevity bonus.</w:t>
      </w:r>
      <w:r w:rsidRPr="00665BD0">
        <w:rPr>
          <w:rFonts w:ascii="Times New Roman" w:hAnsi="Times New Roman"/>
          <w:sz w:val="24"/>
          <w:szCs w:val="24"/>
        </w:rPr>
        <w:t xml:space="preserve">  </w:t>
      </w:r>
      <w:r w:rsidRPr="00665BD0">
        <w:rPr>
          <w:rFonts w:ascii="Times New Roman" w:hAnsi="Times New Roman"/>
          <w:bCs/>
          <w:sz w:val="24"/>
          <w:szCs w:val="24"/>
        </w:rPr>
        <w:t xml:space="preserve">See the regulation: </w:t>
      </w:r>
    </w:p>
    <w:p w14:paraId="5E98D311" w14:textId="77777777" w:rsidR="0066298F" w:rsidRPr="00665BD0" w:rsidRDefault="0066298F" w:rsidP="0066298F">
      <w:pPr>
        <w:pStyle w:val="NoSpacing"/>
        <w:ind w:firstLine="720"/>
        <w:rPr>
          <w:rFonts w:ascii="Times New Roman" w:hAnsi="Times New Roman"/>
          <w:b/>
          <w:bCs/>
          <w:sz w:val="24"/>
          <w:szCs w:val="24"/>
        </w:rPr>
      </w:pPr>
      <w:r w:rsidRPr="00665BD0">
        <w:rPr>
          <w:rFonts w:ascii="Times New Roman" w:hAnsi="Times New Roman"/>
          <w:bCs/>
          <w:sz w:val="24"/>
          <w:szCs w:val="24"/>
        </w:rPr>
        <w:t>29 U.S.C. § 207(e)(l)</w:t>
      </w:r>
    </w:p>
    <w:p w14:paraId="27E61329" w14:textId="77777777" w:rsidR="0066298F" w:rsidRPr="00665BD0" w:rsidRDefault="0066298F" w:rsidP="0066298F">
      <w:pPr>
        <w:pStyle w:val="NoSpacing"/>
        <w:ind w:left="720"/>
        <w:rPr>
          <w:rStyle w:val="heading"/>
          <w:rFonts w:ascii="Times New Roman" w:hAnsi="Times New Roman"/>
          <w:b/>
          <w:bCs/>
          <w:sz w:val="24"/>
          <w:szCs w:val="24"/>
        </w:rPr>
      </w:pPr>
      <w:r w:rsidRPr="00665BD0">
        <w:rPr>
          <w:rStyle w:val="num"/>
          <w:rFonts w:ascii="Times New Roman" w:hAnsi="Times New Roman"/>
          <w:bCs/>
          <w:sz w:val="24"/>
          <w:szCs w:val="24"/>
        </w:rPr>
        <w:t>(e)</w:t>
      </w:r>
      <w:r w:rsidRPr="00665BD0">
        <w:rPr>
          <w:rStyle w:val="heading"/>
          <w:rFonts w:ascii="Times New Roman" w:hAnsi="Times New Roman"/>
          <w:bCs/>
          <w:sz w:val="24"/>
          <w:szCs w:val="24"/>
        </w:rPr>
        <w:t xml:space="preserve"> “Regular rate” defined</w:t>
      </w:r>
    </w:p>
    <w:p w14:paraId="4079D985" w14:textId="77777777" w:rsidR="0066298F" w:rsidRPr="00665BD0" w:rsidRDefault="0066298F" w:rsidP="0066298F">
      <w:pPr>
        <w:pStyle w:val="NoSpacing"/>
        <w:ind w:left="720"/>
        <w:rPr>
          <w:rFonts w:ascii="Times New Roman" w:hAnsi="Times New Roman"/>
          <w:b/>
          <w:bCs/>
          <w:sz w:val="24"/>
          <w:szCs w:val="24"/>
        </w:rPr>
      </w:pPr>
      <w:r w:rsidRPr="00665BD0">
        <w:rPr>
          <w:rStyle w:val="chapeau"/>
          <w:rFonts w:ascii="Times New Roman" w:hAnsi="Times New Roman"/>
          <w:bCs/>
          <w:sz w:val="24"/>
          <w:szCs w:val="24"/>
        </w:rPr>
        <w:t xml:space="preserve">As used in this section the “regular rate” at which an </w:t>
      </w:r>
      <w:hyperlink r:id="rId1926" w:history="1">
        <w:r w:rsidRPr="00665BD0">
          <w:rPr>
            <w:rStyle w:val="Hyperlink"/>
            <w:rFonts w:ascii="Times New Roman" w:hAnsi="Times New Roman"/>
            <w:b/>
            <w:sz w:val="24"/>
            <w:szCs w:val="24"/>
          </w:rPr>
          <w:t>employee</w:t>
        </w:r>
      </w:hyperlink>
      <w:r w:rsidRPr="00665BD0">
        <w:rPr>
          <w:rStyle w:val="chapeau"/>
          <w:rFonts w:ascii="Times New Roman" w:hAnsi="Times New Roman"/>
          <w:bCs/>
          <w:sz w:val="24"/>
          <w:szCs w:val="24"/>
        </w:rPr>
        <w:t xml:space="preserve"> is employed shall be deemed to include all remuneration for employment paid to, or on behalf of, the </w:t>
      </w:r>
      <w:hyperlink r:id="rId1927" w:history="1">
        <w:r w:rsidRPr="00665BD0">
          <w:rPr>
            <w:rStyle w:val="Hyperlink"/>
            <w:rFonts w:ascii="Times New Roman" w:hAnsi="Times New Roman"/>
            <w:b/>
            <w:sz w:val="24"/>
            <w:szCs w:val="24"/>
          </w:rPr>
          <w:t>employee</w:t>
        </w:r>
      </w:hyperlink>
      <w:r w:rsidRPr="00665BD0">
        <w:rPr>
          <w:rStyle w:val="chapeau"/>
          <w:rFonts w:ascii="Times New Roman" w:hAnsi="Times New Roman"/>
          <w:bCs/>
          <w:sz w:val="24"/>
          <w:szCs w:val="24"/>
        </w:rPr>
        <w:t>, but shall not be deemed to include—</w:t>
      </w:r>
      <w:r w:rsidRPr="00665BD0">
        <w:rPr>
          <w:rFonts w:ascii="Times New Roman" w:hAnsi="Times New Roman"/>
          <w:bCs/>
          <w:sz w:val="24"/>
          <w:szCs w:val="24"/>
        </w:rPr>
        <w:t xml:space="preserve"> </w:t>
      </w:r>
    </w:p>
    <w:p w14:paraId="1D9AA40D" w14:textId="77777777" w:rsidR="0066298F" w:rsidRPr="00665BD0" w:rsidRDefault="0066298F" w:rsidP="0066298F">
      <w:pPr>
        <w:pStyle w:val="NoSpacing"/>
        <w:ind w:left="720"/>
        <w:rPr>
          <w:rFonts w:ascii="Times New Roman" w:hAnsi="Times New Roman"/>
          <w:b/>
          <w:bCs/>
          <w:sz w:val="24"/>
          <w:szCs w:val="24"/>
        </w:rPr>
      </w:pPr>
      <w:bookmarkStart w:id="395" w:name="e_1"/>
      <w:bookmarkEnd w:id="395"/>
      <w:r w:rsidRPr="00665BD0">
        <w:rPr>
          <w:rStyle w:val="num"/>
          <w:rFonts w:ascii="Times New Roman" w:hAnsi="Times New Roman"/>
          <w:bCs/>
          <w:sz w:val="24"/>
          <w:szCs w:val="24"/>
        </w:rPr>
        <w:t>(1)</w:t>
      </w:r>
      <w:r w:rsidRPr="00665BD0">
        <w:rPr>
          <w:rFonts w:ascii="Times New Roman" w:hAnsi="Times New Roman"/>
          <w:bCs/>
          <w:sz w:val="24"/>
          <w:szCs w:val="24"/>
        </w:rPr>
        <w:t xml:space="preserve"> sums paid as gifts; payments </w:t>
      </w:r>
      <w:proofErr w:type="gramStart"/>
      <w:r w:rsidRPr="00665BD0">
        <w:rPr>
          <w:rFonts w:ascii="Times New Roman" w:hAnsi="Times New Roman"/>
          <w:bCs/>
          <w:sz w:val="24"/>
          <w:szCs w:val="24"/>
        </w:rPr>
        <w:t>in the nature of gifts</w:t>
      </w:r>
      <w:proofErr w:type="gramEnd"/>
      <w:r w:rsidRPr="00665BD0">
        <w:rPr>
          <w:rFonts w:ascii="Times New Roman" w:hAnsi="Times New Roman"/>
          <w:bCs/>
          <w:sz w:val="24"/>
          <w:szCs w:val="24"/>
        </w:rPr>
        <w:t xml:space="preserve"> made at Christmas time or on other special occasions, as a reward for service, the amounts of which are not measured by or dependent on hours worked, production, or efficiency…. </w:t>
      </w:r>
      <w:hyperlink r:id="rId1928" w:history="1">
        <w:r w:rsidRPr="00665BD0">
          <w:rPr>
            <w:rStyle w:val="Hyperlink"/>
            <w:rFonts w:ascii="Times New Roman" w:hAnsi="Times New Roman"/>
            <w:b/>
            <w:sz w:val="24"/>
            <w:szCs w:val="24"/>
          </w:rPr>
          <w:t>https://www.law.cornell.edu/uscode/text/29/207</w:t>
        </w:r>
      </w:hyperlink>
      <w:r w:rsidRPr="00665BD0">
        <w:rPr>
          <w:rFonts w:ascii="Times New Roman" w:hAnsi="Times New Roman"/>
          <w:bCs/>
          <w:sz w:val="24"/>
          <w:szCs w:val="24"/>
        </w:rPr>
        <w:t xml:space="preserve"> </w:t>
      </w:r>
    </w:p>
    <w:p w14:paraId="50944D4E" w14:textId="77777777" w:rsidR="0066298F" w:rsidRPr="000426EE" w:rsidRDefault="0066298F" w:rsidP="0066298F">
      <w:pPr>
        <w:pStyle w:val="NoSpacing"/>
        <w:rPr>
          <w:b/>
          <w:bCs/>
          <w:sz w:val="24"/>
          <w:szCs w:val="24"/>
        </w:rPr>
      </w:pPr>
    </w:p>
    <w:p w14:paraId="245CFAD0" w14:textId="77777777" w:rsidR="0066298F" w:rsidRDefault="0066298F" w:rsidP="00F326E5">
      <w:pPr>
        <w:rPr>
          <w:rFonts w:ascii="Arial Black" w:hAnsi="Arial Black"/>
          <w:b/>
          <w:sz w:val="24"/>
          <w:szCs w:val="24"/>
        </w:rPr>
      </w:pPr>
    </w:p>
    <w:p w14:paraId="67C345AF" w14:textId="6C40945C" w:rsidR="00F55498" w:rsidRDefault="00B13773" w:rsidP="00F326E5">
      <w:pPr>
        <w:rPr>
          <w:rFonts w:ascii="Arial Black" w:hAnsi="Arial Black"/>
          <w:b/>
          <w:sz w:val="24"/>
          <w:szCs w:val="24"/>
        </w:rPr>
      </w:pPr>
      <w:r>
        <w:rPr>
          <w:rFonts w:ascii="Arial Black" w:hAnsi="Arial Black"/>
          <w:b/>
          <w:sz w:val="24"/>
          <w:szCs w:val="24"/>
        </w:rPr>
        <w:t>11-12</w:t>
      </w:r>
    </w:p>
    <w:p w14:paraId="76825F13" w14:textId="77777777" w:rsidR="00F55498" w:rsidRDefault="00F55498" w:rsidP="00F55498">
      <w:pPr>
        <w:rPr>
          <w:rFonts w:ascii="Arial Black" w:hAnsi="Arial Black"/>
          <w:b/>
          <w:sz w:val="28"/>
          <w:szCs w:val="28"/>
        </w:rPr>
      </w:pPr>
      <w:r>
        <w:rPr>
          <w:rFonts w:ascii="Arial Black" w:hAnsi="Arial Black"/>
          <w:b/>
          <w:sz w:val="28"/>
          <w:szCs w:val="28"/>
        </w:rPr>
        <w:t>DC: U.S. DEPARTMENT OF JUSTICE – SERVICEMEMBERS’ CIVIL RIGHTS</w:t>
      </w:r>
    </w:p>
    <w:p w14:paraId="74101197" w14:textId="77777777" w:rsidR="00F55498" w:rsidRDefault="00F55498" w:rsidP="00F55498">
      <w:pPr>
        <w:pStyle w:val="NoSpacing"/>
        <w:rPr>
          <w:rFonts w:ascii="Times New Roman" w:hAnsi="Times New Roman"/>
          <w:sz w:val="24"/>
          <w:szCs w:val="24"/>
        </w:rPr>
      </w:pPr>
      <w:r w:rsidRPr="00E9307E">
        <w:rPr>
          <w:rFonts w:ascii="Times New Roman" w:hAnsi="Times New Roman"/>
          <w:sz w:val="24"/>
          <w:szCs w:val="24"/>
        </w:rPr>
        <w:t xml:space="preserve">March 30, 2020: DC – COVID-19: Servicemembers’ Civil Rights - Message </w:t>
      </w:r>
      <w:proofErr w:type="gramStart"/>
      <w:r w:rsidRPr="00E9307E">
        <w:rPr>
          <w:rFonts w:ascii="Times New Roman" w:hAnsi="Times New Roman"/>
          <w:sz w:val="24"/>
          <w:szCs w:val="24"/>
        </w:rPr>
        <w:t>From</w:t>
      </w:r>
      <w:proofErr w:type="gramEnd"/>
      <w:r w:rsidRPr="00E9307E">
        <w:rPr>
          <w:rFonts w:ascii="Times New Roman" w:hAnsi="Times New Roman"/>
          <w:sz w:val="24"/>
          <w:szCs w:val="24"/>
        </w:rPr>
        <w:t xml:space="preserve"> </w:t>
      </w:r>
      <w:proofErr w:type="gramStart"/>
      <w:r w:rsidRPr="00E9307E">
        <w:rPr>
          <w:rFonts w:ascii="Times New Roman" w:hAnsi="Times New Roman"/>
          <w:sz w:val="24"/>
          <w:szCs w:val="24"/>
        </w:rPr>
        <w:t>The</w:t>
      </w:r>
      <w:proofErr w:type="gramEnd"/>
      <w:r w:rsidRPr="00E9307E">
        <w:rPr>
          <w:rFonts w:ascii="Times New Roman" w:hAnsi="Times New Roman"/>
          <w:sz w:val="24"/>
          <w:szCs w:val="24"/>
        </w:rPr>
        <w:t xml:space="preserve"> Assistant Attorney General </w:t>
      </w:r>
    </w:p>
    <w:p w14:paraId="277FBC9B" w14:textId="77777777" w:rsidR="00F55498" w:rsidRDefault="00F55498" w:rsidP="00F55498">
      <w:pPr>
        <w:pStyle w:val="NoSpacing"/>
        <w:ind w:left="720"/>
        <w:rPr>
          <w:rFonts w:ascii="Times New Roman" w:hAnsi="Times New Roman"/>
          <w:sz w:val="24"/>
          <w:szCs w:val="24"/>
        </w:rPr>
      </w:pPr>
      <w:r>
        <w:rPr>
          <w:rFonts w:ascii="Times New Roman" w:hAnsi="Times New Roman"/>
          <w:sz w:val="24"/>
          <w:szCs w:val="24"/>
        </w:rPr>
        <w:t>“</w:t>
      </w:r>
      <w:r w:rsidRPr="00E9307E">
        <w:rPr>
          <w:rFonts w:ascii="Times New Roman" w:hAnsi="Times New Roman"/>
          <w:sz w:val="24"/>
          <w:szCs w:val="24"/>
        </w:rPr>
        <w:t xml:space="preserve">The Civil Rights Division enforces multiple federal laws that protect the rights of servicemembers and veterans.  We protect servicemembers’ financial and housing rights by enforcing the Servicemembers Civil Relief Act, or the SCRA.  Since January 2017, our SCRA settlements have included over $10 million in damages and civil penalties.  We protect servicemembers’ civilian employment rights by litigating claims against employers who violate the Uniformed Services Employment and Reemployment Rights Act, or USERRA.  And, we protect their voting rights by enforcing the Uniformed and Overseas Citizens Absentee Voting Act, also known as UOCAVA.  The Division also safeguards the rights of servicemember spouses, dependents, and veterans eligible for certain protections under the SCRA and UOCAVA. *** It is </w:t>
      </w:r>
      <w:proofErr w:type="gramStart"/>
      <w:r w:rsidRPr="00E9307E">
        <w:rPr>
          <w:rFonts w:ascii="Times New Roman" w:hAnsi="Times New Roman"/>
          <w:sz w:val="24"/>
          <w:szCs w:val="24"/>
        </w:rPr>
        <w:t>at this time</w:t>
      </w:r>
      <w:proofErr w:type="gramEnd"/>
      <w:r w:rsidRPr="00E9307E">
        <w:rPr>
          <w:rFonts w:ascii="Times New Roman" w:hAnsi="Times New Roman"/>
          <w:sz w:val="24"/>
          <w:szCs w:val="24"/>
        </w:rPr>
        <w:t xml:space="preserve"> we also ask employers and landlords to be mindful of the responsibilities they have with respect to members of the National Guard and Reserve under USERRA, the SCRA and similar state laws.  These </w:t>
      </w:r>
      <w:proofErr w:type="gramStart"/>
      <w:r w:rsidRPr="00E9307E">
        <w:rPr>
          <w:rFonts w:ascii="Times New Roman" w:hAnsi="Times New Roman"/>
          <w:sz w:val="24"/>
          <w:szCs w:val="24"/>
        </w:rPr>
        <w:t>servicemembers</w:t>
      </w:r>
      <w:proofErr w:type="gramEnd"/>
      <w:r w:rsidRPr="00E9307E">
        <w:rPr>
          <w:rFonts w:ascii="Times New Roman" w:hAnsi="Times New Roman"/>
          <w:sz w:val="24"/>
          <w:szCs w:val="24"/>
        </w:rPr>
        <w:t xml:space="preserve"> are being pulled from their homes and jobs and tasked with vital operations in protection of our most vulnerable citizens.  When this emergency ends, USERRA and other state laws will protect servicemembers’ prompt reemployment and continued pension benefits.  These laws also protect servicemembers from discrimination based on their service.</w:t>
      </w:r>
      <w:r>
        <w:rPr>
          <w:rFonts w:ascii="Times New Roman" w:hAnsi="Times New Roman"/>
          <w:sz w:val="24"/>
          <w:szCs w:val="24"/>
        </w:rPr>
        <w:t>”</w:t>
      </w:r>
      <w:r w:rsidRPr="00E9307E">
        <w:rPr>
          <w:rFonts w:ascii="Times New Roman" w:hAnsi="Times New Roman"/>
          <w:sz w:val="24"/>
          <w:szCs w:val="24"/>
        </w:rPr>
        <w:t xml:space="preserve">  </w:t>
      </w:r>
    </w:p>
    <w:p w14:paraId="6A733C54" w14:textId="77777777" w:rsidR="00F55498" w:rsidRPr="00E9307E" w:rsidRDefault="00F55498" w:rsidP="00F55498">
      <w:pPr>
        <w:pStyle w:val="NoSpacing"/>
        <w:ind w:left="720"/>
        <w:rPr>
          <w:rFonts w:ascii="Times New Roman" w:hAnsi="Times New Roman"/>
          <w:b/>
          <w:sz w:val="24"/>
          <w:szCs w:val="24"/>
        </w:rPr>
      </w:pPr>
      <w:hyperlink r:id="rId1929" w:history="1">
        <w:r w:rsidRPr="00D07486">
          <w:rPr>
            <w:rStyle w:val="Hyperlink"/>
            <w:rFonts w:ascii="Times New Roman" w:hAnsi="Times New Roman"/>
            <w:b/>
            <w:sz w:val="24"/>
            <w:szCs w:val="24"/>
          </w:rPr>
          <w:t>https://www.justice.gov/opa/pr/covid-19-servicemembers-civil-rights-message-assistant-attorney-general</w:t>
        </w:r>
      </w:hyperlink>
      <w:r w:rsidRPr="00E9307E">
        <w:rPr>
          <w:rFonts w:ascii="Times New Roman" w:hAnsi="Times New Roman"/>
          <w:b/>
          <w:sz w:val="24"/>
          <w:szCs w:val="24"/>
        </w:rPr>
        <w:t xml:space="preserve"> </w:t>
      </w:r>
    </w:p>
    <w:p w14:paraId="61DE614B" w14:textId="77777777" w:rsidR="00F55498" w:rsidRDefault="00F55498" w:rsidP="00F55498">
      <w:pPr>
        <w:rPr>
          <w:rFonts w:ascii="Arial Black" w:hAnsi="Arial Black"/>
          <w:b/>
          <w:sz w:val="28"/>
          <w:szCs w:val="28"/>
        </w:rPr>
      </w:pPr>
    </w:p>
    <w:p w14:paraId="6456F1AD" w14:textId="77777777" w:rsidR="00F55498" w:rsidRDefault="00F55498" w:rsidP="00F326E5">
      <w:pPr>
        <w:rPr>
          <w:rFonts w:ascii="Arial Black" w:hAnsi="Arial Black"/>
          <w:b/>
          <w:sz w:val="24"/>
          <w:szCs w:val="24"/>
        </w:rPr>
      </w:pPr>
    </w:p>
    <w:p w14:paraId="474CC558" w14:textId="5A6463F9" w:rsidR="00177094" w:rsidRDefault="00177094"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1</w:t>
      </w:r>
    </w:p>
    <w:p w14:paraId="55D674C5" w14:textId="77777777" w:rsidR="00177094" w:rsidRPr="00BE0EBB" w:rsidRDefault="00177094" w:rsidP="00177094">
      <w:pPr>
        <w:spacing w:before="100" w:beforeAutospacing="1" w:after="100" w:afterAutospacing="1"/>
        <w:rPr>
          <w:rFonts w:ascii="Arial Black" w:eastAsia="Times New Roman" w:hAnsi="Arial Black"/>
          <w:bCs/>
          <w:sz w:val="28"/>
          <w:szCs w:val="28"/>
        </w:rPr>
      </w:pPr>
      <w:bookmarkStart w:id="396" w:name="_Hlk39819600"/>
      <w:r w:rsidRPr="00BE0EBB">
        <w:rPr>
          <w:rFonts w:ascii="Arial Black" w:eastAsia="Times New Roman" w:hAnsi="Arial Black"/>
          <w:bCs/>
          <w:sz w:val="28"/>
          <w:szCs w:val="28"/>
        </w:rPr>
        <w:t xml:space="preserve">KY:  </w:t>
      </w:r>
      <w:r>
        <w:rPr>
          <w:rFonts w:ascii="Arial Black" w:eastAsia="Times New Roman" w:hAnsi="Arial Black"/>
          <w:bCs/>
          <w:sz w:val="28"/>
          <w:szCs w:val="28"/>
        </w:rPr>
        <w:t xml:space="preserve">428 </w:t>
      </w:r>
      <w:r w:rsidRPr="00BE0EBB">
        <w:rPr>
          <w:rFonts w:ascii="Arial Black" w:eastAsia="Times New Roman" w:hAnsi="Arial Black"/>
          <w:bCs/>
          <w:sz w:val="28"/>
          <w:szCs w:val="28"/>
        </w:rPr>
        <w:t xml:space="preserve">FLIGHT MEDICS, </w:t>
      </w:r>
      <w:r>
        <w:rPr>
          <w:rFonts w:ascii="Arial Black" w:eastAsia="Times New Roman" w:hAnsi="Arial Black"/>
          <w:bCs/>
          <w:sz w:val="28"/>
          <w:szCs w:val="28"/>
        </w:rPr>
        <w:t xml:space="preserve">RNS, PILOTS - OVERTIME AFTER 120 HOURS – CLASS ACTION - </w:t>
      </w:r>
      <w:r w:rsidRPr="00BE0EBB">
        <w:rPr>
          <w:rFonts w:ascii="Arial Black" w:eastAsia="Times New Roman" w:hAnsi="Arial Black"/>
          <w:bCs/>
          <w:sz w:val="28"/>
          <w:szCs w:val="28"/>
        </w:rPr>
        <w:t>$2,950,000</w:t>
      </w:r>
      <w:r>
        <w:rPr>
          <w:rFonts w:ascii="Arial Black" w:eastAsia="Times New Roman" w:hAnsi="Arial Black"/>
          <w:bCs/>
          <w:sz w:val="28"/>
          <w:szCs w:val="28"/>
        </w:rPr>
        <w:t xml:space="preserve"> SETTLEMENT</w:t>
      </w:r>
    </w:p>
    <w:p w14:paraId="1F4A7F96" w14:textId="77777777" w:rsidR="00177094" w:rsidRPr="004236BE" w:rsidRDefault="00177094" w:rsidP="00177094">
      <w:pPr>
        <w:spacing w:before="100" w:beforeAutospacing="1" w:after="100" w:afterAutospacing="1"/>
        <w:rPr>
          <w:rFonts w:ascii="Times New Roman" w:eastAsia="Times New Roman" w:hAnsi="Times New Roman"/>
          <w:b/>
          <w:sz w:val="24"/>
          <w:szCs w:val="24"/>
        </w:rPr>
      </w:pPr>
      <w:r w:rsidRPr="004236BE">
        <w:rPr>
          <w:rFonts w:ascii="Times New Roman" w:eastAsia="Times New Roman" w:hAnsi="Times New Roman"/>
          <w:sz w:val="24"/>
          <w:szCs w:val="24"/>
        </w:rPr>
        <w:t xml:space="preserve">On Jan. 21, 2020, in </w:t>
      </w:r>
      <w:r w:rsidRPr="004236BE">
        <w:rPr>
          <w:rFonts w:ascii="Times New Roman" w:eastAsia="Times New Roman" w:hAnsi="Times New Roman"/>
          <w:sz w:val="24"/>
          <w:szCs w:val="24"/>
          <w:u w:val="single"/>
        </w:rPr>
        <w:t xml:space="preserve">Jason Peck v. Air Evac EMS, Inc., d/b/a Air Evac </w:t>
      </w:r>
      <w:proofErr w:type="spellStart"/>
      <w:r w:rsidRPr="004236BE">
        <w:rPr>
          <w:rFonts w:ascii="Times New Roman" w:eastAsia="Times New Roman" w:hAnsi="Times New Roman"/>
          <w:sz w:val="24"/>
          <w:szCs w:val="24"/>
          <w:u w:val="single"/>
        </w:rPr>
        <w:t>Lifeteam</w:t>
      </w:r>
      <w:proofErr w:type="spellEnd"/>
      <w:r w:rsidRPr="004236BE">
        <w:rPr>
          <w:rFonts w:ascii="Times New Roman" w:eastAsia="Times New Roman" w:hAnsi="Times New Roman"/>
          <w:sz w:val="24"/>
          <w:szCs w:val="24"/>
        </w:rPr>
        <w:t>, U.S. District Court Chief Judge Danny C. Reeves, U.S. District Court, Eastern District of Kentucky, Central Division (Lexington), approved the class action settlement, including attorney fees.</w:t>
      </w:r>
    </w:p>
    <w:p w14:paraId="080D650D" w14:textId="77777777" w:rsidR="00177094" w:rsidRPr="004236BE" w:rsidRDefault="00177094" w:rsidP="00177094">
      <w:pPr>
        <w:pStyle w:val="NoSpacing"/>
        <w:ind w:left="720"/>
        <w:rPr>
          <w:rFonts w:ascii="Times New Roman" w:eastAsia="Times New Roman" w:hAnsi="Times New Roman"/>
          <w:b/>
          <w:bCs/>
          <w:sz w:val="24"/>
          <w:szCs w:val="24"/>
        </w:rPr>
      </w:pPr>
      <w:r w:rsidRPr="004236BE">
        <w:rPr>
          <w:rFonts w:ascii="Times New Roman" w:hAnsi="Times New Roman"/>
          <w:bCs/>
          <w:sz w:val="24"/>
          <w:szCs w:val="24"/>
        </w:rPr>
        <w:t xml:space="preserve">“The parties previously agreed to a gross settlement fund of $3,000,000.00, including up to $800,000.000 in attorney's fees and costs and a $15,000.00 incentive for Peck. The parties later filed a motion to amend the settlement seeking $750,000.00 in attorney's fees and a gross settlement fund of $2,950,000.00…  The Court granted the motion to amend the settlement to reduce the amount of attorney's fees. The proposed class includes 428 ‘current and former flight nurses, flight paramedics, and pilots employed by [Air Evac] in the Commonwealth of Kentucky at any time from October 25, </w:t>
      </w:r>
      <w:proofErr w:type="gramStart"/>
      <w:r w:rsidRPr="004236BE">
        <w:rPr>
          <w:rFonts w:ascii="Times New Roman" w:hAnsi="Times New Roman"/>
          <w:bCs/>
          <w:sz w:val="24"/>
          <w:szCs w:val="24"/>
        </w:rPr>
        <w:t>2013</w:t>
      </w:r>
      <w:proofErr w:type="gramEnd"/>
      <w:r w:rsidRPr="004236BE">
        <w:rPr>
          <w:rFonts w:ascii="Times New Roman" w:hAnsi="Times New Roman"/>
          <w:bCs/>
          <w:sz w:val="24"/>
          <w:szCs w:val="24"/>
        </w:rPr>
        <w:t xml:space="preserve"> through July 17, </w:t>
      </w:r>
      <w:proofErr w:type="gramStart"/>
      <w:r w:rsidRPr="004236BE">
        <w:rPr>
          <w:rFonts w:ascii="Times New Roman" w:hAnsi="Times New Roman"/>
          <w:bCs/>
          <w:sz w:val="24"/>
          <w:szCs w:val="24"/>
        </w:rPr>
        <w:t>2019.’</w:t>
      </w:r>
      <w:proofErr w:type="gramEnd"/>
      <w:r w:rsidRPr="004236BE">
        <w:rPr>
          <w:rFonts w:ascii="Times New Roman" w:hAnsi="Times New Roman"/>
          <w:bCs/>
          <w:sz w:val="24"/>
          <w:szCs w:val="24"/>
        </w:rPr>
        <w:t xml:space="preserve"> …. The parties explained that individual settlement payments were calculated by reviewing Air Evac's payroll and timecard records to establish the amount of unpaid overtime for each class member assuming that the claims were true.” </w:t>
      </w:r>
      <w:hyperlink r:id="rId1930" w:history="1">
        <w:r w:rsidRPr="004236BE">
          <w:rPr>
            <w:rStyle w:val="Hyperlink"/>
            <w:rFonts w:ascii="Times New Roman" w:hAnsi="Times New Roman"/>
            <w:b/>
            <w:sz w:val="24"/>
            <w:szCs w:val="24"/>
          </w:rPr>
          <w:t>https://public.fastcase.com/Wl%2B2t%2BeVuI35%2FN70vAMFZpr47IXL%2FNqq46QG15nW3r0g0xInlPjrGPn7upgPO%2BUR</w:t>
        </w:r>
      </w:hyperlink>
      <w:bookmarkEnd w:id="396"/>
      <w:r w:rsidRPr="004236BE">
        <w:rPr>
          <w:rFonts w:ascii="Times New Roman" w:hAnsi="Times New Roman"/>
          <w:bCs/>
          <w:sz w:val="24"/>
          <w:szCs w:val="24"/>
        </w:rPr>
        <w:t xml:space="preserve"> </w:t>
      </w:r>
    </w:p>
    <w:p w14:paraId="2FCF124B" w14:textId="77777777" w:rsidR="00177094" w:rsidRPr="004236BE" w:rsidRDefault="00177094" w:rsidP="00177094">
      <w:pPr>
        <w:spacing w:before="100" w:beforeAutospacing="1" w:after="100" w:afterAutospacing="1"/>
        <w:rPr>
          <w:rFonts w:ascii="Times New Roman" w:eastAsia="Times New Roman" w:hAnsi="Times New Roman"/>
          <w:b/>
          <w:sz w:val="24"/>
          <w:szCs w:val="24"/>
        </w:rPr>
      </w:pPr>
      <w:r w:rsidRPr="004236BE">
        <w:rPr>
          <w:rFonts w:ascii="Times New Roman" w:eastAsia="Times New Roman" w:hAnsi="Times New Roman"/>
          <w:b/>
          <w:sz w:val="24"/>
          <w:szCs w:val="24"/>
        </w:rPr>
        <w:t xml:space="preserve">Legal Lessons Learned: Overtime claims can result in very large settlements; if in doubt about overtime eligibility, contact U.S. Department of Labor, Wage &amp; Hour Division. </w:t>
      </w:r>
    </w:p>
    <w:p w14:paraId="1A5F51EB" w14:textId="77777777" w:rsidR="00177094" w:rsidRDefault="00177094" w:rsidP="00F326E5">
      <w:pPr>
        <w:rPr>
          <w:rFonts w:ascii="Arial Black" w:hAnsi="Arial Black"/>
          <w:b/>
          <w:sz w:val="24"/>
          <w:szCs w:val="24"/>
        </w:rPr>
      </w:pPr>
    </w:p>
    <w:p w14:paraId="75BA1CD7" w14:textId="00344DED" w:rsidR="00177094" w:rsidRDefault="00177094"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10</w:t>
      </w:r>
    </w:p>
    <w:p w14:paraId="3AD46F5F" w14:textId="77777777" w:rsidR="00177094" w:rsidRDefault="00177094" w:rsidP="00177094">
      <w:pPr>
        <w:pStyle w:val="NoSpacing"/>
        <w:rPr>
          <w:rFonts w:ascii="Arial Black" w:hAnsi="Arial Black"/>
          <w:b/>
          <w:bCs/>
          <w:sz w:val="28"/>
          <w:szCs w:val="28"/>
        </w:rPr>
      </w:pPr>
      <w:bookmarkStart w:id="397" w:name="_Hlk39771850"/>
      <w:r w:rsidRPr="009A44AE">
        <w:rPr>
          <w:rFonts w:ascii="Arial Black" w:hAnsi="Arial Black"/>
          <w:bCs/>
          <w:sz w:val="28"/>
          <w:szCs w:val="28"/>
        </w:rPr>
        <w:t>CA</w:t>
      </w:r>
      <w:r>
        <w:rPr>
          <w:rFonts w:ascii="Arial Black" w:hAnsi="Arial Black"/>
          <w:bCs/>
          <w:sz w:val="28"/>
          <w:szCs w:val="28"/>
        </w:rPr>
        <w:t>: THREE FF CLAIMED NOT PAID CORRECT “REGULAR RATE OF PAY” FOR 6 PAY PERIODS – CITY PROVED IT WAS ACTUALLY OVERPAYING</w:t>
      </w:r>
    </w:p>
    <w:p w14:paraId="522FA524"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w:t>
      </w:r>
      <w:bookmarkStart w:id="398" w:name="_Hlk39847841"/>
      <w:r w:rsidRPr="004236BE">
        <w:rPr>
          <w:rFonts w:ascii="Times New Roman" w:hAnsi="Times New Roman"/>
          <w:bCs/>
          <w:sz w:val="24"/>
          <w:szCs w:val="24"/>
        </w:rPr>
        <w:t xml:space="preserve">Jan. 15, 2020, in </w:t>
      </w:r>
      <w:r w:rsidRPr="004236BE">
        <w:rPr>
          <w:rFonts w:ascii="Times New Roman" w:hAnsi="Times New Roman"/>
          <w:bCs/>
          <w:sz w:val="24"/>
          <w:szCs w:val="24"/>
          <w:u w:val="single"/>
        </w:rPr>
        <w:t>Darren Wallace v. City of San Jose</w:t>
      </w:r>
      <w:bookmarkEnd w:id="398"/>
      <w:r w:rsidRPr="004236BE">
        <w:rPr>
          <w:rFonts w:ascii="Times New Roman" w:hAnsi="Times New Roman"/>
          <w:bCs/>
          <w:sz w:val="24"/>
          <w:szCs w:val="24"/>
        </w:rPr>
        <w:t>, the U.S. Court of Appeals for the 9</w:t>
      </w:r>
      <w:r w:rsidRPr="004236BE">
        <w:rPr>
          <w:rFonts w:ascii="Times New Roman" w:hAnsi="Times New Roman"/>
          <w:bCs/>
          <w:sz w:val="24"/>
          <w:szCs w:val="24"/>
          <w:vertAlign w:val="superscript"/>
        </w:rPr>
        <w:t>th</w:t>
      </w:r>
      <w:r w:rsidRPr="004236BE">
        <w:rPr>
          <w:rFonts w:ascii="Times New Roman" w:hAnsi="Times New Roman"/>
          <w:bCs/>
          <w:sz w:val="24"/>
          <w:szCs w:val="24"/>
        </w:rPr>
        <w:t xml:space="preserve"> Circuit (San Francisco) held (3 to 0) that the U.S. District Court judge properly granted summary judgement for the city.  Court decided case without even needing to schedule oral </w:t>
      </w:r>
      <w:proofErr w:type="gramStart"/>
      <w:r w:rsidRPr="004236BE">
        <w:rPr>
          <w:rFonts w:ascii="Times New Roman" w:hAnsi="Times New Roman"/>
          <w:bCs/>
          <w:sz w:val="24"/>
          <w:szCs w:val="24"/>
        </w:rPr>
        <w:t>argument</w:t>
      </w:r>
      <w:proofErr w:type="gramEnd"/>
      <w:r w:rsidRPr="004236BE">
        <w:rPr>
          <w:rFonts w:ascii="Times New Roman" w:hAnsi="Times New Roman"/>
          <w:bCs/>
          <w:sz w:val="24"/>
          <w:szCs w:val="24"/>
        </w:rPr>
        <w:t xml:space="preserve">. </w:t>
      </w:r>
    </w:p>
    <w:p w14:paraId="08DF3684" w14:textId="77777777" w:rsidR="00177094" w:rsidRPr="004236BE" w:rsidRDefault="00177094" w:rsidP="00177094">
      <w:pPr>
        <w:pStyle w:val="NoSpacing"/>
        <w:rPr>
          <w:rFonts w:ascii="Times New Roman" w:hAnsi="Times New Roman"/>
          <w:b/>
          <w:bCs/>
          <w:sz w:val="24"/>
          <w:szCs w:val="24"/>
        </w:rPr>
      </w:pPr>
    </w:p>
    <w:p w14:paraId="763B27AA"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“Under 29 U.S.C. § 207(k), public agencies employing firefighters may adopt a 28-day work period for purposes of calculating FLSA overtime pay. FLSA requires overtime pay of 1.5times the regular rate of pay for every hour above 212 hours that a firefighter works in a 28-</w:t>
      </w:r>
      <w:proofErr w:type="gramStart"/>
      <w:r w:rsidRPr="004236BE">
        <w:rPr>
          <w:rFonts w:ascii="Times New Roman" w:hAnsi="Times New Roman"/>
          <w:bCs/>
          <w:sz w:val="24"/>
          <w:szCs w:val="24"/>
        </w:rPr>
        <w:t>daywork</w:t>
      </w:r>
      <w:proofErr w:type="gramEnd"/>
      <w:r w:rsidRPr="004236BE">
        <w:rPr>
          <w:rFonts w:ascii="Times New Roman" w:hAnsi="Times New Roman"/>
          <w:bCs/>
          <w:sz w:val="24"/>
          <w:szCs w:val="24"/>
        </w:rPr>
        <w:t xml:space="preserve"> period. See id.; 29 C.F.R. § 553.230.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has adopted a 28-day pay period for its firefighters and pays them biweekly. It pays firefighters a base hourly rate for 224 hours per work period, regardless of whether they </w:t>
      </w:r>
      <w:proofErr w:type="gramStart"/>
      <w:r w:rsidRPr="004236BE">
        <w:rPr>
          <w:rFonts w:ascii="Times New Roman" w:hAnsi="Times New Roman"/>
          <w:bCs/>
          <w:sz w:val="24"/>
          <w:szCs w:val="24"/>
        </w:rPr>
        <w:t>actually work</w:t>
      </w:r>
      <w:proofErr w:type="gramEnd"/>
      <w:r w:rsidRPr="004236BE">
        <w:rPr>
          <w:rFonts w:ascii="Times New Roman" w:hAnsi="Times New Roman"/>
          <w:bCs/>
          <w:sz w:val="24"/>
          <w:szCs w:val="24"/>
        </w:rPr>
        <w:t xml:space="preserve"> a full 224 hours. Furthermore, when a firefighter works hours outside of his or her regularly scheduled shifts,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pays ‘contractual overtime’ of 1.5 times his or her base hourly rate for each additional hour worked. The City’s ‘contractual overtime’ payments are distinct from FLSA overtime pay, and the firefighters are entitled to FLSA overtime pay for each hour worked over the 212-hour threshold</w:t>
      </w:r>
      <w:r w:rsidRPr="004236BE">
        <w:rPr>
          <w:rFonts w:ascii="Times New Roman" w:hAnsi="Times New Roman"/>
          <w:sz w:val="24"/>
          <w:szCs w:val="24"/>
        </w:rPr>
        <w:t xml:space="preserve">…. </w:t>
      </w:r>
      <w:r w:rsidRPr="004236BE">
        <w:rPr>
          <w:rFonts w:ascii="Times New Roman" w:hAnsi="Times New Roman"/>
          <w:bCs/>
          <w:sz w:val="24"/>
          <w:szCs w:val="24"/>
        </w:rPr>
        <w:t xml:space="preserve">Each work period,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calculates what is owed to its firefighters under FLSA. If the amount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paid a firefighter is less than required under FLSA, it adds a FLSA overtime adjustment to the firefighter’s paycheck at the end of the work period. If the amount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paid is more than required under FLSA, no adjustment is made.” </w:t>
      </w:r>
      <w:bookmarkStart w:id="399" w:name="_Hlk39847867"/>
      <w:r w:rsidR="00BC38B6">
        <w:fldChar w:fldCharType="begin"/>
      </w:r>
      <w:r w:rsidR="00BC38B6">
        <w:instrText xml:space="preserve"> HYPERLINK "http://cdn.ca9.uscourts.gov/datastore/memoranda/2020/01/15/18-16083.pdf" </w:instrText>
      </w:r>
      <w:r w:rsidR="00BC38B6">
        <w:fldChar w:fldCharType="separate"/>
      </w:r>
      <w:r w:rsidRPr="004236BE">
        <w:rPr>
          <w:rStyle w:val="Hyperlink"/>
          <w:rFonts w:ascii="Times New Roman" w:hAnsi="Times New Roman"/>
          <w:b/>
          <w:sz w:val="24"/>
          <w:szCs w:val="24"/>
        </w:rPr>
        <w:t>http://cdn.ca9.uscourts.gov/datastore/memoranda/2020/01/15/18-16083.pdf</w:t>
      </w:r>
      <w:r w:rsidR="00BC38B6">
        <w:rPr>
          <w:rStyle w:val="Hyperlink"/>
          <w:rFonts w:ascii="Times New Roman" w:hAnsi="Times New Roman"/>
          <w:b/>
          <w:sz w:val="24"/>
          <w:szCs w:val="24"/>
        </w:rPr>
        <w:fldChar w:fldCharType="end"/>
      </w:r>
      <w:r w:rsidRPr="004236BE">
        <w:rPr>
          <w:rFonts w:ascii="Times New Roman" w:hAnsi="Times New Roman"/>
          <w:bCs/>
          <w:sz w:val="24"/>
          <w:szCs w:val="24"/>
        </w:rPr>
        <w:t xml:space="preserve"> </w:t>
      </w:r>
      <w:bookmarkEnd w:id="399"/>
    </w:p>
    <w:bookmarkEnd w:id="397"/>
    <w:p w14:paraId="73CE8155" w14:textId="77777777" w:rsidR="00177094" w:rsidRDefault="00177094" w:rsidP="00177094">
      <w:pPr>
        <w:pStyle w:val="NoSpacing"/>
        <w:rPr>
          <w:rFonts w:ascii="Times New Roman" w:hAnsi="Times New Roman"/>
          <w:b/>
          <w:bCs/>
          <w:sz w:val="24"/>
          <w:szCs w:val="24"/>
        </w:rPr>
      </w:pPr>
    </w:p>
    <w:p w14:paraId="0DEF2B9D" w14:textId="61B2E8CA" w:rsidR="00177094" w:rsidRPr="004236BE" w:rsidRDefault="00177094" w:rsidP="00177094">
      <w:pPr>
        <w:pStyle w:val="NoSpacing"/>
        <w:rPr>
          <w:rFonts w:ascii="Times New Roman" w:eastAsia="Times New Roman" w:hAnsi="Times New Roman"/>
          <w:b/>
          <w:bCs/>
          <w:sz w:val="24"/>
          <w:szCs w:val="24"/>
        </w:rPr>
      </w:pPr>
      <w:bookmarkStart w:id="400" w:name="_Hlk40512999"/>
      <w:r w:rsidRPr="004236BE">
        <w:rPr>
          <w:rFonts w:ascii="Times New Roman" w:hAnsi="Times New Roman"/>
          <w:b/>
          <w:bCs/>
          <w:sz w:val="24"/>
          <w:szCs w:val="24"/>
        </w:rPr>
        <w:t xml:space="preserve">Legal Lessons Learned: If </w:t>
      </w:r>
      <w:r w:rsidR="00A16B10">
        <w:rPr>
          <w:rFonts w:ascii="Times New Roman" w:hAnsi="Times New Roman"/>
          <w:b/>
          <w:bCs/>
          <w:sz w:val="24"/>
          <w:szCs w:val="24"/>
        </w:rPr>
        <w:t>C</w:t>
      </w:r>
      <w:r w:rsidRPr="004236BE">
        <w:rPr>
          <w:rFonts w:ascii="Times New Roman" w:hAnsi="Times New Roman"/>
          <w:b/>
          <w:bCs/>
          <w:sz w:val="24"/>
          <w:szCs w:val="24"/>
        </w:rPr>
        <w:t xml:space="preserve">ity is paying more than required under FLSA, then courts will grant summary judgment. </w:t>
      </w:r>
    </w:p>
    <w:bookmarkEnd w:id="400"/>
    <w:p w14:paraId="61803146" w14:textId="77777777" w:rsidR="00177094" w:rsidRDefault="00177094" w:rsidP="00F326E5">
      <w:pPr>
        <w:rPr>
          <w:rFonts w:ascii="Arial Black" w:hAnsi="Arial Black"/>
          <w:b/>
          <w:sz w:val="24"/>
          <w:szCs w:val="24"/>
        </w:rPr>
      </w:pPr>
    </w:p>
    <w:p w14:paraId="12B6E77D" w14:textId="439633A1" w:rsidR="007C6FEF" w:rsidRDefault="007C6FEF"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9</w:t>
      </w:r>
    </w:p>
    <w:p w14:paraId="01A48BA9" w14:textId="77777777" w:rsidR="007C6FEF" w:rsidRDefault="007C6FEF" w:rsidP="007C6FEF">
      <w:pPr>
        <w:rPr>
          <w:rFonts w:ascii="Arial Black" w:hAnsi="Arial Black"/>
          <w:sz w:val="28"/>
          <w:szCs w:val="28"/>
        </w:rPr>
      </w:pPr>
      <w:bookmarkStart w:id="401" w:name="_Hlk40513169"/>
      <w:bookmarkStart w:id="402" w:name="_Hlk29205188"/>
      <w:bookmarkStart w:id="403" w:name="_Hlk41155747"/>
      <w:r w:rsidRPr="00AC7203">
        <w:rPr>
          <w:rFonts w:ascii="Arial Black" w:hAnsi="Arial Black"/>
          <w:sz w:val="28"/>
          <w:szCs w:val="28"/>
        </w:rPr>
        <w:t>NY</w:t>
      </w:r>
      <w:r>
        <w:rPr>
          <w:rFonts w:ascii="Arial Black" w:hAnsi="Arial Black"/>
          <w:sz w:val="28"/>
          <w:szCs w:val="28"/>
        </w:rPr>
        <w:t>:  FDNY - BACK PAY FOR EMS – HRS WORKED BEFORE / AFTER SHIFT – WILFULL VIOLATION – 3-YRS BACK PAY, DOUBLED - $14.4 MILLION</w:t>
      </w:r>
    </w:p>
    <w:p w14:paraId="208E8366" w14:textId="77777777" w:rsidR="007C6FEF" w:rsidRDefault="007C6FEF" w:rsidP="007C6FEF">
      <w:pPr>
        <w:rPr>
          <w:rFonts w:ascii="Times New Roman" w:hAnsi="Times New Roman"/>
          <w:sz w:val="24"/>
          <w:szCs w:val="24"/>
        </w:rPr>
      </w:pPr>
      <w:r w:rsidRPr="00AC7203">
        <w:rPr>
          <w:rFonts w:ascii="Times New Roman" w:hAnsi="Times New Roman"/>
          <w:sz w:val="24"/>
          <w:szCs w:val="24"/>
        </w:rPr>
        <w:t xml:space="preserve">On </w:t>
      </w:r>
      <w:bookmarkStart w:id="404" w:name="_Hlk39848062"/>
      <w:r>
        <w:rPr>
          <w:rFonts w:ascii="Times New Roman" w:hAnsi="Times New Roman"/>
          <w:sz w:val="24"/>
          <w:szCs w:val="24"/>
        </w:rPr>
        <w:t xml:space="preserve">Dec. 23, 2019, in </w:t>
      </w:r>
      <w:r w:rsidRPr="00AC7203">
        <w:rPr>
          <w:rFonts w:ascii="Times New Roman" w:hAnsi="Times New Roman"/>
          <w:sz w:val="24"/>
          <w:szCs w:val="24"/>
          <w:u w:val="single"/>
        </w:rPr>
        <w:t>Chaz Perry, et al. v. City of New York</w:t>
      </w:r>
      <w:r>
        <w:rPr>
          <w:rFonts w:ascii="Times New Roman" w:hAnsi="Times New Roman"/>
          <w:sz w:val="24"/>
          <w:szCs w:val="24"/>
        </w:rPr>
        <w:t xml:space="preserve">, </w:t>
      </w:r>
      <w:bookmarkEnd w:id="404"/>
      <w:r>
        <w:rPr>
          <w:rFonts w:ascii="Times New Roman" w:hAnsi="Times New Roman"/>
          <w:sz w:val="24"/>
          <w:szCs w:val="24"/>
        </w:rPr>
        <w:t xml:space="preserve">U.S. District Court Judge Vernon S. Broderick, Southern District of New York, granted plaintiff’s motion for final judgment on behalf of </w:t>
      </w:r>
      <w:r w:rsidRPr="003C5EA4">
        <w:rPr>
          <w:rFonts w:ascii="Times New Roman" w:hAnsi="Times New Roman"/>
          <w:sz w:val="24"/>
          <w:szCs w:val="24"/>
        </w:rPr>
        <w:t>2,519</w:t>
      </w:r>
      <w:r>
        <w:rPr>
          <w:rFonts w:ascii="Times New Roman" w:hAnsi="Times New Roman"/>
          <w:sz w:val="24"/>
          <w:szCs w:val="24"/>
        </w:rPr>
        <w:t xml:space="preserve"> </w:t>
      </w:r>
      <w:r w:rsidRPr="003C5EA4">
        <w:rPr>
          <w:rFonts w:ascii="Times New Roman" w:hAnsi="Times New Roman"/>
          <w:sz w:val="24"/>
          <w:szCs w:val="24"/>
        </w:rPr>
        <w:t xml:space="preserve">current </w:t>
      </w:r>
      <w:r>
        <w:rPr>
          <w:rFonts w:ascii="Times New Roman" w:hAnsi="Times New Roman"/>
          <w:sz w:val="24"/>
          <w:szCs w:val="24"/>
        </w:rPr>
        <w:t>and</w:t>
      </w:r>
      <w:r w:rsidRPr="003C5EA4">
        <w:rPr>
          <w:rFonts w:ascii="Times New Roman" w:hAnsi="Times New Roman"/>
          <w:sz w:val="24"/>
          <w:szCs w:val="24"/>
        </w:rPr>
        <w:t xml:space="preserve"> former</w:t>
      </w:r>
      <w:r>
        <w:rPr>
          <w:rFonts w:ascii="Times New Roman" w:hAnsi="Times New Roman"/>
          <w:sz w:val="24"/>
          <w:szCs w:val="24"/>
        </w:rPr>
        <w:t xml:space="preserve"> EMS</w:t>
      </w:r>
      <w:r w:rsidRPr="003C5EA4">
        <w:rPr>
          <w:rFonts w:ascii="Times New Roman" w:hAnsi="Times New Roman"/>
          <w:sz w:val="24"/>
          <w:szCs w:val="24"/>
        </w:rPr>
        <w:t xml:space="preserve">, </w:t>
      </w:r>
      <w:proofErr w:type="gramStart"/>
      <w:r w:rsidRPr="003C5EA4">
        <w:rPr>
          <w:rFonts w:ascii="Times New Roman" w:hAnsi="Times New Roman"/>
          <w:sz w:val="24"/>
          <w:szCs w:val="24"/>
        </w:rPr>
        <w:t xml:space="preserve">and </w:t>
      </w:r>
      <w:r>
        <w:rPr>
          <w:rFonts w:ascii="Times New Roman" w:hAnsi="Times New Roman"/>
          <w:sz w:val="24"/>
          <w:szCs w:val="24"/>
        </w:rPr>
        <w:t>also</w:t>
      </w:r>
      <w:proofErr w:type="gramEnd"/>
      <w:r>
        <w:rPr>
          <w:rFonts w:ascii="Times New Roman" w:hAnsi="Times New Roman"/>
          <w:sz w:val="24"/>
          <w:szCs w:val="24"/>
        </w:rPr>
        <w:t xml:space="preserve"> </w:t>
      </w:r>
      <w:r w:rsidRPr="003C5EA4">
        <w:rPr>
          <w:rFonts w:ascii="Times New Roman" w:hAnsi="Times New Roman"/>
          <w:sz w:val="24"/>
          <w:szCs w:val="24"/>
        </w:rPr>
        <w:t>Fire Safety Inspectors below the rank of lieutenan</w:t>
      </w:r>
      <w:r>
        <w:rPr>
          <w:rFonts w:ascii="Times New Roman" w:hAnsi="Times New Roman"/>
          <w:sz w:val="24"/>
          <w:szCs w:val="24"/>
        </w:rPr>
        <w:t xml:space="preserve">t.   A jury found the FDNY willfully violated FLSA by allowing EMS and Inspector to work early or after shift while not “on the clock.”  Federal judge awarded backpay for three years for willful violation (not just two years) of </w:t>
      </w:r>
      <w:r w:rsidRPr="003C5EA4">
        <w:rPr>
          <w:rFonts w:ascii="Times New Roman" w:hAnsi="Times New Roman"/>
          <w:sz w:val="24"/>
          <w:szCs w:val="24"/>
        </w:rPr>
        <w:t>$7,238,513.00</w:t>
      </w:r>
      <w:r>
        <w:rPr>
          <w:rFonts w:ascii="Times New Roman" w:hAnsi="Times New Roman"/>
          <w:sz w:val="24"/>
          <w:szCs w:val="24"/>
        </w:rPr>
        <w:t xml:space="preserve">, </w:t>
      </w:r>
      <w:r w:rsidRPr="003C5EA4">
        <w:rPr>
          <w:rFonts w:ascii="Times New Roman" w:hAnsi="Times New Roman"/>
          <w:sz w:val="24"/>
          <w:szCs w:val="24"/>
        </w:rPr>
        <w:t>as well as</w:t>
      </w:r>
      <w:r>
        <w:rPr>
          <w:rFonts w:ascii="Times New Roman" w:hAnsi="Times New Roman"/>
          <w:sz w:val="24"/>
          <w:szCs w:val="24"/>
        </w:rPr>
        <w:t xml:space="preserve"> an equal amount of </w:t>
      </w:r>
      <w:r w:rsidRPr="003C5EA4">
        <w:rPr>
          <w:rFonts w:ascii="Times New Roman" w:hAnsi="Times New Roman"/>
          <w:sz w:val="24"/>
          <w:szCs w:val="24"/>
        </w:rPr>
        <w:t>$7,238,513.00 in liquidated damages</w:t>
      </w:r>
      <w:r>
        <w:rPr>
          <w:rFonts w:ascii="Times New Roman" w:hAnsi="Times New Roman"/>
          <w:sz w:val="24"/>
          <w:szCs w:val="24"/>
        </w:rPr>
        <w:t xml:space="preserve">. </w:t>
      </w:r>
    </w:p>
    <w:bookmarkEnd w:id="401"/>
    <w:p w14:paraId="1653B1F5" w14:textId="77777777" w:rsidR="007C6FEF" w:rsidRPr="003C5EA4" w:rsidRDefault="007C6FEF" w:rsidP="007C6FEF">
      <w:pPr>
        <w:ind w:left="720"/>
        <w:rPr>
          <w:rFonts w:ascii="Times New Roman" w:hAnsi="Times New Roman"/>
          <w:sz w:val="24"/>
          <w:szCs w:val="24"/>
        </w:rPr>
      </w:pPr>
      <w:r>
        <w:rPr>
          <w:rFonts w:ascii="Times New Roman" w:hAnsi="Times New Roman"/>
          <w:sz w:val="24"/>
          <w:szCs w:val="24"/>
        </w:rPr>
        <w:t>“</w:t>
      </w:r>
      <w:r w:rsidRPr="003C5EA4">
        <w:rPr>
          <w:rFonts w:ascii="Times New Roman" w:hAnsi="Times New Roman"/>
          <w:sz w:val="24"/>
          <w:szCs w:val="24"/>
        </w:rPr>
        <w:t>Because the jury in this case has already determined that Defendants committed a willful violation of the FLSA, I reject Defendants’ request to deny liquidated damages in this case.</w:t>
      </w:r>
      <w:r>
        <w:rPr>
          <w:rFonts w:ascii="Times New Roman" w:hAnsi="Times New Roman"/>
          <w:sz w:val="24"/>
          <w:szCs w:val="24"/>
        </w:rPr>
        <w:t xml:space="preserve">”   </w:t>
      </w:r>
      <w:bookmarkStart w:id="405" w:name="_Hlk29205937"/>
      <w:bookmarkStart w:id="406" w:name="_Hlk39848078"/>
      <w:r>
        <w:rPr>
          <w:rFonts w:ascii="Times New Roman" w:hAnsi="Times New Roman"/>
          <w:sz w:val="24"/>
          <w:szCs w:val="24"/>
        </w:rPr>
        <w:fldChar w:fldCharType="begin"/>
      </w:r>
      <w:r>
        <w:rPr>
          <w:rFonts w:ascii="Times New Roman" w:hAnsi="Times New Roman"/>
          <w:sz w:val="24"/>
          <w:szCs w:val="24"/>
        </w:rPr>
        <w:instrText xml:space="preserve"> HYPERLINK "</w:instrText>
      </w:r>
      <w:r w:rsidRPr="004B1B03">
        <w:rPr>
          <w:rFonts w:ascii="Times New Roman" w:hAnsi="Times New Roman"/>
          <w:sz w:val="24"/>
          <w:szCs w:val="24"/>
        </w:rPr>
        <w:instrText>https://casetext.com/case/perry-v-city-of-ny-4</w:instrText>
      </w:r>
      <w:r>
        <w:rPr>
          <w:rFonts w:ascii="Times New Roman" w:hAnsi="Times New Roman"/>
          <w:sz w:val="24"/>
          <w:szCs w:val="24"/>
        </w:rPr>
        <w:instrText xml:space="preserve">" </w:instrText>
      </w:r>
      <w:r>
        <w:rPr>
          <w:rFonts w:ascii="Times New Roman" w:hAnsi="Times New Roman"/>
          <w:sz w:val="24"/>
          <w:szCs w:val="24"/>
        </w:rPr>
      </w:r>
      <w:r>
        <w:rPr>
          <w:rFonts w:ascii="Times New Roman" w:hAnsi="Times New Roman"/>
          <w:sz w:val="24"/>
          <w:szCs w:val="24"/>
        </w:rPr>
        <w:fldChar w:fldCharType="separate"/>
      </w:r>
      <w:r w:rsidRPr="00D24870">
        <w:rPr>
          <w:rStyle w:val="Hyperlink"/>
          <w:rFonts w:ascii="Times New Roman" w:hAnsi="Times New Roman"/>
          <w:sz w:val="24"/>
          <w:szCs w:val="24"/>
        </w:rPr>
        <w:t>https://casetext.com/case/perry-v-city-of-ny-4</w:t>
      </w:r>
      <w:r>
        <w:rPr>
          <w:rFonts w:ascii="Times New Roman" w:hAnsi="Times New Roman"/>
          <w:sz w:val="24"/>
          <w:szCs w:val="24"/>
        </w:rPr>
        <w:fldChar w:fldCharType="end"/>
      </w:r>
      <w:r>
        <w:rPr>
          <w:rFonts w:ascii="Times New Roman" w:hAnsi="Times New Roman"/>
          <w:sz w:val="24"/>
          <w:szCs w:val="24"/>
        </w:rPr>
        <w:t xml:space="preserve"> </w:t>
      </w:r>
      <w:bookmarkEnd w:id="405"/>
    </w:p>
    <w:bookmarkEnd w:id="402"/>
    <w:bookmarkEnd w:id="406"/>
    <w:p w14:paraId="5C6A6D25" w14:textId="77777777" w:rsidR="00A16B10" w:rsidRDefault="00A16B10" w:rsidP="00A16B10">
      <w:pPr>
        <w:rPr>
          <w:rFonts w:ascii="Times New Roman" w:hAnsi="Times New Roman"/>
          <w:b/>
          <w:bCs/>
          <w:sz w:val="24"/>
          <w:szCs w:val="24"/>
        </w:rPr>
      </w:pPr>
      <w:r w:rsidRPr="00A16B10">
        <w:rPr>
          <w:rFonts w:ascii="Times New Roman" w:hAnsi="Times New Roman"/>
          <w:b/>
          <w:bCs/>
          <w:sz w:val="24"/>
          <w:szCs w:val="24"/>
        </w:rPr>
        <w:t>Legal Lesson Learned: Willful violations of FLSA can result in damages of three years of back pay, doubled</w:t>
      </w:r>
      <w:bookmarkEnd w:id="403"/>
      <w:r w:rsidRPr="00A16B10">
        <w:rPr>
          <w:rFonts w:ascii="Times New Roman" w:hAnsi="Times New Roman"/>
          <w:b/>
          <w:bCs/>
          <w:sz w:val="24"/>
          <w:szCs w:val="24"/>
        </w:rPr>
        <w:t xml:space="preserve">. </w:t>
      </w:r>
    </w:p>
    <w:p w14:paraId="1585BA87" w14:textId="77777777" w:rsidR="00B13773" w:rsidRDefault="00B13773" w:rsidP="00A16B10">
      <w:pPr>
        <w:rPr>
          <w:rFonts w:ascii="Arial Black" w:hAnsi="Arial Black"/>
          <w:b/>
          <w:bCs/>
          <w:sz w:val="28"/>
          <w:szCs w:val="28"/>
        </w:rPr>
      </w:pPr>
    </w:p>
    <w:p w14:paraId="06DAD8A5" w14:textId="5C82806D" w:rsidR="00411E0E" w:rsidRPr="00B13773" w:rsidRDefault="00B13773" w:rsidP="00A16B10">
      <w:pPr>
        <w:rPr>
          <w:rFonts w:ascii="Arial Black" w:hAnsi="Arial Black"/>
          <w:b/>
          <w:bCs/>
          <w:sz w:val="28"/>
          <w:szCs w:val="28"/>
        </w:rPr>
      </w:pPr>
      <w:r w:rsidRPr="00B13773">
        <w:rPr>
          <w:rFonts w:ascii="Arial Black" w:hAnsi="Arial Black"/>
          <w:b/>
          <w:bCs/>
          <w:sz w:val="28"/>
          <w:szCs w:val="28"/>
        </w:rPr>
        <w:t>11-8</w:t>
      </w:r>
    </w:p>
    <w:p w14:paraId="61C21C93" w14:textId="77777777" w:rsidR="00411E0E" w:rsidRDefault="00411E0E" w:rsidP="00411E0E">
      <w:pPr>
        <w:rPr>
          <w:sz w:val="48"/>
          <w:szCs w:val="48"/>
        </w:rPr>
      </w:pPr>
      <w:r>
        <w:rPr>
          <w:rFonts w:ascii="Arial Black" w:hAnsi="Arial Black"/>
          <w:b/>
          <w:sz w:val="28"/>
          <w:szCs w:val="28"/>
        </w:rPr>
        <w:t xml:space="preserve">IL: </w:t>
      </w:r>
      <w:r w:rsidRPr="00097703">
        <w:rPr>
          <w:rFonts w:ascii="Arial Black" w:hAnsi="Arial Black"/>
          <w:sz w:val="28"/>
          <w:szCs w:val="28"/>
        </w:rPr>
        <w:t xml:space="preserve">Justice Department Files Lawsuit Against the City of Chicago </w:t>
      </w:r>
      <w:proofErr w:type="gramStart"/>
      <w:r w:rsidRPr="00097703">
        <w:rPr>
          <w:rFonts w:ascii="Arial Black" w:hAnsi="Arial Black"/>
          <w:sz w:val="28"/>
          <w:szCs w:val="28"/>
        </w:rPr>
        <w:t>To</w:t>
      </w:r>
      <w:proofErr w:type="gramEnd"/>
      <w:r w:rsidRPr="00097703">
        <w:rPr>
          <w:rFonts w:ascii="Arial Black" w:hAnsi="Arial Black"/>
          <w:sz w:val="28"/>
          <w:szCs w:val="28"/>
        </w:rPr>
        <w:t xml:space="preserve"> Enforce USERRA Rights of U.S. Army Reservist</w:t>
      </w:r>
    </w:p>
    <w:p w14:paraId="1AC29819" w14:textId="77777777" w:rsidR="00411E0E" w:rsidRDefault="00411E0E" w:rsidP="00411E0E">
      <w:pPr>
        <w:pStyle w:val="NoSpacing"/>
        <w:rPr>
          <w:rFonts w:ascii="Times New Roman" w:hAnsi="Times New Roman"/>
          <w:sz w:val="24"/>
          <w:szCs w:val="24"/>
        </w:rPr>
      </w:pPr>
    </w:p>
    <w:p w14:paraId="3651CA07" w14:textId="77777777" w:rsidR="00411E0E" w:rsidRDefault="00411E0E" w:rsidP="00411E0E">
      <w:pPr>
        <w:pStyle w:val="NoSpacing"/>
        <w:ind w:left="720"/>
        <w:rPr>
          <w:rFonts w:ascii="Times New Roman" w:hAnsi="Times New Roman"/>
          <w:sz w:val="24"/>
          <w:szCs w:val="24"/>
        </w:rPr>
      </w:pPr>
      <w:r w:rsidRPr="00097703">
        <w:rPr>
          <w:rFonts w:ascii="Times New Roman" w:hAnsi="Times New Roman"/>
          <w:sz w:val="24"/>
          <w:szCs w:val="24"/>
        </w:rPr>
        <w:t xml:space="preserve">“On Dec. 17, 2019, the Department of Justice filed a complaint in the U.S. District Court for the Northern District of Illinois on behalf of Captain and Judge Advocate Derrick Strong against the City of Chicago Fire Department (CFD), alleging that the City violated the Uniformed Services Employment and Reemployment Rights Act of 1994 (USERRA) when it failed to provide Strong with an opportunity, after his return from active duty military service, to take a promotional examination that he missed while deployed.  ***  According to the complaint, Strong is currently assigned to the 416th Theater Engineer Command’s (TEC), Office of the Staff Judge Advocate as a trial counsel and administrative law attorney, where he provides legal advice and overall legal support to the 416th TEC and its Command. He is also employed as a cross-trained firefighter and emergency medical technician-basic (firefighter/EMT) for the Chicago Fire Department. Strong is currently assigned to Squad 5, which is a special operations heavy rescue unit. From Sept. 30, 2016, to June 26, 2017, he was actively deployed with the U.S. Army Reserve in support of Operation Enduring Freedom. While Strong was deployed, the city of Chicago administered a test for firefighters to become fire engineers. He alleges, as outlined in the complaint filed in federal court, that the CFD violated USERRA by failing to provide him with an opportunity to take a fire engineer promotional examination following his return to work upon his honorable discharge from </w:t>
      </w:r>
      <w:proofErr w:type="gramStart"/>
      <w:r w:rsidRPr="00097703">
        <w:rPr>
          <w:rFonts w:ascii="Times New Roman" w:hAnsi="Times New Roman"/>
          <w:sz w:val="24"/>
          <w:szCs w:val="24"/>
        </w:rPr>
        <w:t>active duty</w:t>
      </w:r>
      <w:proofErr w:type="gramEnd"/>
      <w:r w:rsidRPr="00097703">
        <w:rPr>
          <w:rFonts w:ascii="Times New Roman" w:hAnsi="Times New Roman"/>
          <w:sz w:val="24"/>
          <w:szCs w:val="24"/>
        </w:rPr>
        <w:t xml:space="preserve"> military service. </w:t>
      </w:r>
    </w:p>
    <w:p w14:paraId="7AC04B4D" w14:textId="77777777" w:rsidR="00411E0E" w:rsidRDefault="00411E0E" w:rsidP="00411E0E">
      <w:pPr>
        <w:pStyle w:val="NoSpacing"/>
        <w:ind w:left="720"/>
        <w:rPr>
          <w:rFonts w:ascii="Times New Roman" w:hAnsi="Times New Roman"/>
          <w:sz w:val="24"/>
          <w:szCs w:val="24"/>
        </w:rPr>
      </w:pPr>
    </w:p>
    <w:p w14:paraId="3E15C43B" w14:textId="77777777" w:rsidR="00411E0E" w:rsidRPr="00097703" w:rsidRDefault="00411E0E" w:rsidP="00411E0E">
      <w:pPr>
        <w:pStyle w:val="NoSpacing"/>
        <w:ind w:left="1440"/>
        <w:rPr>
          <w:rFonts w:ascii="Times New Roman" w:hAnsi="Times New Roman"/>
          <w:sz w:val="24"/>
          <w:szCs w:val="24"/>
        </w:rPr>
      </w:pPr>
      <w:r>
        <w:rPr>
          <w:rFonts w:ascii="Times New Roman" w:hAnsi="Times New Roman"/>
          <w:sz w:val="24"/>
          <w:szCs w:val="24"/>
        </w:rPr>
        <w:t>“</w:t>
      </w:r>
      <w:r w:rsidRPr="00097703">
        <w:rPr>
          <w:rFonts w:ascii="Times New Roman" w:hAnsi="Times New Roman"/>
          <w:sz w:val="24"/>
          <w:szCs w:val="24"/>
        </w:rPr>
        <w:t xml:space="preserve">The Justice Department gives high priority to the enforcement of servicemembers’ rights under USERRA. This lawsuit stems from a referral to the Department of Justice from the U.S. Department of Labor, after an investigation by the Department of Labor’s Veterans’ Employment and Training Service. Additional information about USERRA can be found on the Justice Department’s websites at </w:t>
      </w:r>
      <w:hyperlink r:id="rId1931" w:history="1">
        <w:r w:rsidRPr="00097703">
          <w:rPr>
            <w:rStyle w:val="Hyperlink"/>
            <w:rFonts w:ascii="Times New Roman" w:hAnsi="Times New Roman"/>
            <w:color w:val="auto"/>
            <w:sz w:val="24"/>
            <w:szCs w:val="24"/>
            <w:u w:val="none"/>
          </w:rPr>
          <w:t>https://www.justice.gov/crt-military/employment-rights-userra</w:t>
        </w:r>
      </w:hyperlink>
      <w:r w:rsidRPr="00097703">
        <w:rPr>
          <w:rFonts w:ascii="Times New Roman" w:hAnsi="Times New Roman"/>
          <w:sz w:val="24"/>
          <w:szCs w:val="24"/>
        </w:rPr>
        <w:t xml:space="preserve"> and </w:t>
      </w:r>
      <w:hyperlink r:id="rId1932" w:history="1">
        <w:r w:rsidRPr="00097703">
          <w:rPr>
            <w:rStyle w:val="Hyperlink"/>
            <w:rFonts w:ascii="Times New Roman" w:hAnsi="Times New Roman"/>
            <w:color w:val="auto"/>
            <w:sz w:val="24"/>
            <w:szCs w:val="24"/>
            <w:u w:val="none"/>
          </w:rPr>
          <w:t>https://www.justice.gov/servicemembers</w:t>
        </w:r>
      </w:hyperlink>
      <w:r w:rsidRPr="00097703">
        <w:rPr>
          <w:rFonts w:ascii="Times New Roman" w:hAnsi="Times New Roman"/>
          <w:sz w:val="24"/>
          <w:szCs w:val="24"/>
        </w:rPr>
        <w:t xml:space="preserve">, as well as on the Department of Labor’s website at </w:t>
      </w:r>
      <w:hyperlink r:id="rId1933" w:history="1">
        <w:r w:rsidRPr="00097703">
          <w:rPr>
            <w:rStyle w:val="Hyperlink"/>
            <w:rFonts w:ascii="Times New Roman" w:hAnsi="Times New Roman"/>
            <w:color w:val="auto"/>
            <w:sz w:val="24"/>
            <w:szCs w:val="24"/>
            <w:u w:val="none"/>
          </w:rPr>
          <w:t>https://www.dol.gov/agencies/vets/programs/userra</w:t>
        </w:r>
      </w:hyperlink>
      <w:r w:rsidRPr="00097703">
        <w:rPr>
          <w:rFonts w:ascii="Times New Roman" w:hAnsi="Times New Roman"/>
          <w:sz w:val="24"/>
          <w:szCs w:val="24"/>
        </w:rPr>
        <w:t>.</w:t>
      </w:r>
      <w:r>
        <w:rPr>
          <w:rFonts w:ascii="Times New Roman" w:hAnsi="Times New Roman"/>
          <w:sz w:val="24"/>
          <w:szCs w:val="24"/>
        </w:rPr>
        <w:t>”</w:t>
      </w:r>
    </w:p>
    <w:p w14:paraId="6415DDA1" w14:textId="77777777" w:rsidR="00411E0E" w:rsidRPr="00097703" w:rsidRDefault="00411E0E" w:rsidP="00411E0E">
      <w:pPr>
        <w:pStyle w:val="NoSpacing"/>
        <w:ind w:left="720"/>
        <w:rPr>
          <w:rFonts w:ascii="Times New Roman" w:hAnsi="Times New Roman"/>
          <w:b/>
          <w:sz w:val="24"/>
          <w:szCs w:val="24"/>
        </w:rPr>
      </w:pPr>
      <w:hyperlink r:id="rId1934" w:history="1">
        <w:r w:rsidRPr="00E54FA8">
          <w:rPr>
            <w:rStyle w:val="Hyperlink"/>
            <w:rFonts w:ascii="Times New Roman" w:hAnsi="Times New Roman"/>
            <w:b/>
            <w:sz w:val="24"/>
            <w:szCs w:val="24"/>
          </w:rPr>
          <w:t>https://www.justice.gov/opa/pr/justice-department-files-lawsuit-against-city-chicago-enforce-userra-rights-us-army-reservist</w:t>
        </w:r>
      </w:hyperlink>
      <w:r w:rsidRPr="00097703">
        <w:rPr>
          <w:rFonts w:ascii="Times New Roman" w:hAnsi="Times New Roman"/>
          <w:b/>
          <w:sz w:val="24"/>
          <w:szCs w:val="24"/>
        </w:rPr>
        <w:t xml:space="preserve"> </w:t>
      </w:r>
    </w:p>
    <w:p w14:paraId="35E44D4B" w14:textId="77777777" w:rsidR="00411E0E" w:rsidRPr="0052665B" w:rsidRDefault="00411E0E" w:rsidP="00411E0E">
      <w:pPr>
        <w:ind w:left="720"/>
        <w:rPr>
          <w:rFonts w:ascii="Times New Roman" w:hAnsi="Times New Roman"/>
          <w:b/>
          <w:sz w:val="24"/>
          <w:szCs w:val="24"/>
        </w:rPr>
      </w:pPr>
      <w:r w:rsidRPr="0052665B">
        <w:rPr>
          <w:rFonts w:ascii="Times New Roman" w:hAnsi="Times New Roman"/>
          <w:b/>
          <w:sz w:val="24"/>
          <w:szCs w:val="24"/>
        </w:rPr>
        <w:t xml:space="preserve">Legal Lesson Learned: U.S. Department of Justice gives high priority to enforcement of servicemember’s rights under USERRA. </w:t>
      </w:r>
    </w:p>
    <w:p w14:paraId="220981B7" w14:textId="12760DFD" w:rsidR="00411E0E" w:rsidRPr="00A16B10" w:rsidRDefault="00411E0E" w:rsidP="00411E0E">
      <w:pPr>
        <w:rPr>
          <w:rFonts w:ascii="Times New Roman" w:hAnsi="Times New Roman"/>
          <w:b/>
          <w:bCs/>
          <w:sz w:val="24"/>
          <w:szCs w:val="24"/>
        </w:rPr>
      </w:pPr>
      <w:r w:rsidRPr="0052665B">
        <w:rPr>
          <w:rFonts w:ascii="Times New Roman" w:hAnsi="Times New Roman"/>
          <w:bCs/>
          <w:sz w:val="24"/>
          <w:szCs w:val="24"/>
        </w:rPr>
        <w:tab/>
        <w:t>Note:</w:t>
      </w:r>
      <w:r>
        <w:rPr>
          <w:rFonts w:ascii="Arial Black" w:hAnsi="Arial Black"/>
          <w:b/>
          <w:sz w:val="28"/>
          <w:szCs w:val="28"/>
        </w:rPr>
        <w:t xml:space="preserve"> </w:t>
      </w:r>
      <w:r w:rsidRPr="003A64EA">
        <w:rPr>
          <w:rFonts w:ascii="Times New Roman" w:hAnsi="Times New Roman"/>
          <w:bCs/>
          <w:sz w:val="24"/>
          <w:szCs w:val="24"/>
        </w:rPr>
        <w:t xml:space="preserve">See the complaint: </w:t>
      </w:r>
      <w:hyperlink r:id="rId1935" w:history="1">
        <w:r w:rsidRPr="003A64EA">
          <w:rPr>
            <w:rStyle w:val="Hyperlink"/>
            <w:rFonts w:ascii="Times New Roman" w:hAnsi="Times New Roman"/>
            <w:bCs/>
            <w:sz w:val="24"/>
            <w:szCs w:val="24"/>
          </w:rPr>
          <w:t>https://www.justice.gov/crt/case-document/file/1227366/download</w:t>
        </w:r>
      </w:hyperlink>
    </w:p>
    <w:p w14:paraId="31F797F1" w14:textId="77777777" w:rsidR="007C6FEF" w:rsidRDefault="007C6FEF" w:rsidP="00F326E5">
      <w:pPr>
        <w:rPr>
          <w:rFonts w:ascii="Arial Black" w:hAnsi="Arial Black"/>
          <w:b/>
          <w:sz w:val="24"/>
          <w:szCs w:val="24"/>
        </w:rPr>
      </w:pPr>
    </w:p>
    <w:p w14:paraId="015CE13D" w14:textId="2D6F740D" w:rsidR="00C80464" w:rsidRDefault="00C80464" w:rsidP="00F326E5">
      <w:pPr>
        <w:rPr>
          <w:rFonts w:ascii="Arial Black" w:hAnsi="Arial Black"/>
          <w:b/>
          <w:sz w:val="24"/>
          <w:szCs w:val="24"/>
        </w:rPr>
      </w:pPr>
      <w:r>
        <w:rPr>
          <w:rFonts w:ascii="Arial Black" w:hAnsi="Arial Black"/>
          <w:b/>
          <w:sz w:val="24"/>
          <w:szCs w:val="24"/>
        </w:rPr>
        <w:t>11-</w:t>
      </w:r>
      <w:r w:rsidR="00E9307E">
        <w:rPr>
          <w:rFonts w:ascii="Arial Black" w:hAnsi="Arial Black"/>
          <w:b/>
          <w:sz w:val="24"/>
          <w:szCs w:val="24"/>
        </w:rPr>
        <w:t>7</w:t>
      </w:r>
    </w:p>
    <w:p w14:paraId="6C87C887" w14:textId="77777777" w:rsidR="00C80464" w:rsidRPr="008B02FC" w:rsidRDefault="00C80464" w:rsidP="00C80464">
      <w:pPr>
        <w:pStyle w:val="NoSpacing"/>
        <w:rPr>
          <w:rFonts w:ascii="Arial Black" w:eastAsia="Times New Roman" w:hAnsi="Arial Black"/>
          <w:b/>
          <w:bCs/>
          <w:sz w:val="28"/>
          <w:szCs w:val="28"/>
        </w:rPr>
      </w:pPr>
      <w:bookmarkStart w:id="407" w:name="_Hlk39771953"/>
      <w:r w:rsidRPr="008B02FC">
        <w:rPr>
          <w:rFonts w:ascii="Arial Black" w:hAnsi="Arial Black"/>
          <w:b/>
          <w:bCs/>
          <w:sz w:val="28"/>
          <w:szCs w:val="28"/>
        </w:rPr>
        <w:t>GA</w:t>
      </w:r>
      <w:r>
        <w:rPr>
          <w:rFonts w:ascii="Arial Black" w:hAnsi="Arial Black"/>
          <w:b/>
          <w:bCs/>
          <w:sz w:val="28"/>
          <w:szCs w:val="28"/>
        </w:rPr>
        <w:t xml:space="preserve">:  FF WORKING 40-HOURS, BUT CLASSIFIED “PART-TIME” - CLASS ACTION LAWSUIT ON BEHALF OF 86 FF PROCEED </w:t>
      </w:r>
    </w:p>
    <w:p w14:paraId="12797646" w14:textId="58DE771F" w:rsidR="00C80464" w:rsidRDefault="00C80464" w:rsidP="00C8046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Sept. 16, 2019, in </w:t>
      </w:r>
      <w:r w:rsidRPr="00D26715">
        <w:rPr>
          <w:rFonts w:ascii="Times New Roman" w:eastAsia="Times New Roman" w:hAnsi="Times New Roman"/>
          <w:sz w:val="24"/>
          <w:szCs w:val="24"/>
          <w:u w:val="single"/>
        </w:rPr>
        <w:t>City of Roswell v. David Bible and Brian Rogers</w:t>
      </w:r>
      <w:r>
        <w:rPr>
          <w:rFonts w:ascii="Times New Roman" w:eastAsia="Times New Roman" w:hAnsi="Times New Roman"/>
          <w:sz w:val="24"/>
          <w:szCs w:val="24"/>
        </w:rPr>
        <w:t xml:space="preserve">, the Court of Appeals of Georgia, held (3 to 0) that trial judge properly held that the class action lawsuit on behalf of about 86 firefighters may proceed.  </w:t>
      </w:r>
      <w:r w:rsidR="00E75F94">
        <w:rPr>
          <w:rFonts w:ascii="Times New Roman" w:eastAsia="Times New Roman" w:hAnsi="Times New Roman"/>
          <w:sz w:val="24"/>
          <w:szCs w:val="24"/>
        </w:rPr>
        <w:t>P</w:t>
      </w:r>
      <w:r>
        <w:rPr>
          <w:rFonts w:ascii="Times New Roman" w:eastAsia="Times New Roman" w:hAnsi="Times New Roman"/>
          <w:sz w:val="24"/>
          <w:szCs w:val="24"/>
        </w:rPr>
        <w:t xml:space="preserve">residing Judge Christopher J. McMillan wrote:  </w:t>
      </w:r>
    </w:p>
    <w:p w14:paraId="65530C47" w14:textId="53A66770" w:rsidR="00C80464" w:rsidRDefault="00C80464" w:rsidP="00A16B1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295F">
        <w:rPr>
          <w:rFonts w:ascii="Times New Roman" w:hAnsi="Times New Roman"/>
          <w:sz w:val="24"/>
          <w:szCs w:val="24"/>
        </w:rPr>
        <w:t>The</w:t>
      </w:r>
      <w:r>
        <w:rPr>
          <w:rFonts w:ascii="Times New Roman" w:hAnsi="Times New Roman"/>
          <w:sz w:val="24"/>
          <w:szCs w:val="24"/>
        </w:rPr>
        <w:t xml:space="preserve"> </w:t>
      </w:r>
      <w:proofErr w:type="gramStart"/>
      <w:r w:rsidRPr="00D2295F">
        <w:rPr>
          <w:rFonts w:ascii="Times New Roman" w:hAnsi="Times New Roman"/>
          <w:sz w:val="24"/>
          <w:szCs w:val="24"/>
        </w:rPr>
        <w:t>City</w:t>
      </w:r>
      <w:proofErr w:type="gramEnd"/>
      <w:r>
        <w:rPr>
          <w:rFonts w:ascii="Times New Roman" w:hAnsi="Times New Roman"/>
          <w:sz w:val="24"/>
          <w:szCs w:val="24"/>
        </w:rPr>
        <w:t xml:space="preserve"> </w:t>
      </w:r>
      <w:r w:rsidRPr="00D2295F">
        <w:rPr>
          <w:rFonts w:ascii="Times New Roman" w:hAnsi="Times New Roman"/>
          <w:sz w:val="24"/>
          <w:szCs w:val="24"/>
        </w:rPr>
        <w:t>alleges</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because Bible and</w:t>
      </w:r>
      <w:r>
        <w:rPr>
          <w:rFonts w:ascii="Times New Roman" w:hAnsi="Times New Roman"/>
          <w:sz w:val="24"/>
          <w:szCs w:val="24"/>
        </w:rPr>
        <w:t xml:space="preserve"> </w:t>
      </w:r>
      <w:r w:rsidRPr="00D2295F">
        <w:rPr>
          <w:rFonts w:ascii="Times New Roman" w:hAnsi="Times New Roman"/>
          <w:sz w:val="24"/>
          <w:szCs w:val="24"/>
        </w:rPr>
        <w:t>Rogers</w:t>
      </w:r>
      <w:r>
        <w:rPr>
          <w:rFonts w:ascii="Times New Roman" w:hAnsi="Times New Roman"/>
          <w:sz w:val="24"/>
          <w:szCs w:val="24"/>
        </w:rPr>
        <w:t xml:space="preserve"> </w:t>
      </w:r>
      <w:r w:rsidRPr="00D2295F">
        <w:rPr>
          <w:rFonts w:ascii="Times New Roman" w:hAnsi="Times New Roman"/>
          <w:sz w:val="24"/>
          <w:szCs w:val="24"/>
        </w:rPr>
        <w:t>acquiesced</w:t>
      </w:r>
      <w:r>
        <w:rPr>
          <w:rFonts w:ascii="Times New Roman" w:hAnsi="Times New Roman"/>
          <w:sz w:val="24"/>
          <w:szCs w:val="24"/>
        </w:rPr>
        <w:t xml:space="preserve"> </w:t>
      </w:r>
      <w:r w:rsidRPr="00D2295F">
        <w:rPr>
          <w:rFonts w:ascii="Times New Roman" w:hAnsi="Times New Roman"/>
          <w:sz w:val="24"/>
          <w:szCs w:val="24"/>
        </w:rPr>
        <w:t>in</w:t>
      </w:r>
      <w:r>
        <w:rPr>
          <w:rFonts w:ascii="Times New Roman" w:hAnsi="Times New Roman"/>
          <w:sz w:val="24"/>
          <w:szCs w:val="24"/>
        </w:rPr>
        <w:t xml:space="preserve"> </w:t>
      </w:r>
      <w:r w:rsidRPr="00D2295F">
        <w:rPr>
          <w:rFonts w:ascii="Times New Roman" w:hAnsi="Times New Roman"/>
          <w:sz w:val="24"/>
          <w:szCs w:val="24"/>
        </w:rPr>
        <w:t>their non-benefitted</w:t>
      </w:r>
      <w:r>
        <w:rPr>
          <w:rFonts w:ascii="Times New Roman" w:hAnsi="Times New Roman"/>
          <w:sz w:val="24"/>
          <w:szCs w:val="24"/>
        </w:rPr>
        <w:t xml:space="preserve"> </w:t>
      </w:r>
      <w:r w:rsidRPr="00D2295F">
        <w:rPr>
          <w:rFonts w:ascii="Times New Roman" w:hAnsi="Times New Roman"/>
          <w:sz w:val="24"/>
          <w:szCs w:val="24"/>
        </w:rPr>
        <w:t>status</w:t>
      </w:r>
      <w:r>
        <w:rPr>
          <w:rFonts w:ascii="Times New Roman" w:hAnsi="Times New Roman"/>
          <w:sz w:val="24"/>
          <w:szCs w:val="24"/>
        </w:rPr>
        <w:t xml:space="preserve"> </w:t>
      </w:r>
      <w:r w:rsidRPr="00D2295F">
        <w:rPr>
          <w:rFonts w:ascii="Times New Roman" w:hAnsi="Times New Roman"/>
          <w:sz w:val="24"/>
          <w:szCs w:val="24"/>
        </w:rPr>
        <w:t>and</w:t>
      </w:r>
      <w:r>
        <w:rPr>
          <w:rFonts w:ascii="Times New Roman" w:hAnsi="Times New Roman"/>
          <w:sz w:val="24"/>
          <w:szCs w:val="24"/>
        </w:rPr>
        <w:t xml:space="preserve"> </w:t>
      </w:r>
      <w:r w:rsidRPr="00D2295F">
        <w:rPr>
          <w:rFonts w:ascii="Times New Roman" w:hAnsi="Times New Roman"/>
          <w:sz w:val="24"/>
          <w:szCs w:val="24"/>
        </w:rPr>
        <w:t>worked</w:t>
      </w:r>
      <w:r>
        <w:rPr>
          <w:rFonts w:ascii="Times New Roman" w:hAnsi="Times New Roman"/>
          <w:sz w:val="24"/>
          <w:szCs w:val="24"/>
        </w:rPr>
        <w:t xml:space="preserve"> </w:t>
      </w:r>
      <w:r w:rsidRPr="00D2295F">
        <w:rPr>
          <w:rFonts w:ascii="Times New Roman" w:hAnsi="Times New Roman"/>
          <w:sz w:val="24"/>
          <w:szCs w:val="24"/>
        </w:rPr>
        <w:t>over 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per year, they</w:t>
      </w:r>
      <w:r>
        <w:rPr>
          <w:rFonts w:ascii="Times New Roman" w:hAnsi="Times New Roman"/>
          <w:sz w:val="24"/>
          <w:szCs w:val="24"/>
        </w:rPr>
        <w:t xml:space="preserve"> </w:t>
      </w:r>
      <w:r w:rsidRPr="00D2295F">
        <w:rPr>
          <w:rFonts w:ascii="Times New Roman" w:hAnsi="Times New Roman"/>
          <w:sz w:val="24"/>
          <w:szCs w:val="24"/>
        </w:rPr>
        <w:t>are not</w:t>
      </w:r>
      <w:r>
        <w:rPr>
          <w:rFonts w:ascii="Times New Roman" w:hAnsi="Times New Roman"/>
          <w:sz w:val="24"/>
          <w:szCs w:val="24"/>
        </w:rPr>
        <w:t xml:space="preserve"> </w:t>
      </w:r>
      <w:r w:rsidRPr="00D2295F">
        <w:rPr>
          <w:rFonts w:ascii="Times New Roman" w:hAnsi="Times New Roman"/>
          <w:sz w:val="24"/>
          <w:szCs w:val="24"/>
        </w:rPr>
        <w:t>typical</w:t>
      </w:r>
      <w:r>
        <w:rPr>
          <w:rFonts w:ascii="Times New Roman" w:hAnsi="Times New Roman"/>
          <w:sz w:val="24"/>
          <w:szCs w:val="24"/>
        </w:rPr>
        <w:t xml:space="preserve"> </w:t>
      </w:r>
      <w:r w:rsidRPr="00D2295F">
        <w:rPr>
          <w:rFonts w:ascii="Times New Roman" w:hAnsi="Times New Roman"/>
          <w:sz w:val="24"/>
          <w:szCs w:val="24"/>
        </w:rPr>
        <w:t>of other</w:t>
      </w:r>
      <w:r>
        <w:rPr>
          <w:rFonts w:ascii="Times New Roman" w:hAnsi="Times New Roman"/>
          <w:sz w:val="24"/>
          <w:szCs w:val="24"/>
        </w:rPr>
        <w:t xml:space="preserve"> </w:t>
      </w:r>
      <w:r w:rsidRPr="00D2295F">
        <w:rPr>
          <w:rFonts w:ascii="Times New Roman" w:hAnsi="Times New Roman"/>
          <w:sz w:val="24"/>
          <w:szCs w:val="24"/>
        </w:rPr>
        <w:t>class</w:t>
      </w:r>
      <w:r>
        <w:rPr>
          <w:rFonts w:ascii="Times New Roman" w:hAnsi="Times New Roman"/>
          <w:sz w:val="24"/>
          <w:szCs w:val="24"/>
        </w:rPr>
        <w:t xml:space="preserve"> </w:t>
      </w:r>
      <w:r w:rsidRPr="00D2295F">
        <w:rPr>
          <w:rFonts w:ascii="Times New Roman" w:hAnsi="Times New Roman"/>
          <w:sz w:val="24"/>
          <w:szCs w:val="24"/>
        </w:rPr>
        <w:t>members</w:t>
      </w:r>
      <w:r>
        <w:rPr>
          <w:rFonts w:ascii="Times New Roman" w:hAnsi="Times New Roman"/>
          <w:sz w:val="24"/>
          <w:szCs w:val="24"/>
        </w:rPr>
        <w:t xml:space="preserve"> </w:t>
      </w:r>
      <w:r w:rsidRPr="00D2295F">
        <w:rPr>
          <w:rFonts w:ascii="Times New Roman" w:hAnsi="Times New Roman"/>
          <w:sz w:val="24"/>
          <w:szCs w:val="24"/>
        </w:rPr>
        <w:t>who</w:t>
      </w:r>
      <w:r>
        <w:rPr>
          <w:rFonts w:ascii="Times New Roman" w:hAnsi="Times New Roman"/>
          <w:sz w:val="24"/>
          <w:szCs w:val="24"/>
        </w:rPr>
        <w:t xml:space="preserve"> </w:t>
      </w:r>
      <w:r w:rsidRPr="00D2295F">
        <w:rPr>
          <w:rFonts w:ascii="Times New Roman" w:hAnsi="Times New Roman"/>
          <w:sz w:val="24"/>
          <w:szCs w:val="24"/>
        </w:rPr>
        <w:t>did</w:t>
      </w:r>
      <w:r>
        <w:rPr>
          <w:rFonts w:ascii="Times New Roman" w:hAnsi="Times New Roman"/>
          <w:sz w:val="24"/>
          <w:szCs w:val="24"/>
        </w:rPr>
        <w:t xml:space="preserve"> </w:t>
      </w:r>
      <w:r w:rsidRPr="00D2295F">
        <w:rPr>
          <w:rFonts w:ascii="Times New Roman" w:hAnsi="Times New Roman"/>
          <w:sz w:val="24"/>
          <w:szCs w:val="24"/>
        </w:rPr>
        <w:t>not waive their entitlement</w:t>
      </w:r>
      <w:r>
        <w:rPr>
          <w:rFonts w:ascii="Times New Roman" w:hAnsi="Times New Roman"/>
          <w:sz w:val="24"/>
          <w:szCs w:val="24"/>
        </w:rPr>
        <w:t xml:space="preserve"> </w:t>
      </w:r>
      <w:r w:rsidRPr="00D2295F">
        <w:rPr>
          <w:rFonts w:ascii="Times New Roman" w:hAnsi="Times New Roman"/>
          <w:sz w:val="24"/>
          <w:szCs w:val="24"/>
        </w:rPr>
        <w:t>to</w:t>
      </w:r>
      <w:r>
        <w:rPr>
          <w:rFonts w:ascii="Times New Roman" w:hAnsi="Times New Roman"/>
          <w:sz w:val="24"/>
          <w:szCs w:val="24"/>
        </w:rPr>
        <w:t xml:space="preserve"> </w:t>
      </w:r>
      <w:r w:rsidRPr="00D2295F">
        <w:rPr>
          <w:rFonts w:ascii="Times New Roman" w:hAnsi="Times New Roman"/>
          <w:sz w:val="24"/>
          <w:szCs w:val="24"/>
        </w:rPr>
        <w:t>any</w:t>
      </w:r>
      <w:r>
        <w:rPr>
          <w:rFonts w:ascii="Times New Roman" w:hAnsi="Times New Roman"/>
          <w:sz w:val="24"/>
          <w:szCs w:val="24"/>
        </w:rPr>
        <w:t xml:space="preserve"> </w:t>
      </w:r>
      <w:r w:rsidRPr="00D2295F">
        <w:rPr>
          <w:rFonts w:ascii="Times New Roman" w:hAnsi="Times New Roman"/>
          <w:sz w:val="24"/>
          <w:szCs w:val="24"/>
        </w:rPr>
        <w:t>benefits</w:t>
      </w:r>
      <w:r>
        <w:rPr>
          <w:rFonts w:ascii="Times New Roman" w:hAnsi="Times New Roman"/>
          <w:sz w:val="24"/>
          <w:szCs w:val="24"/>
        </w:rPr>
        <w:t xml:space="preserve"> </w:t>
      </w:r>
      <w:r w:rsidRPr="00D2295F">
        <w:rPr>
          <w:rFonts w:ascii="Times New Roman" w:hAnsi="Times New Roman"/>
          <w:sz w:val="24"/>
          <w:szCs w:val="24"/>
        </w:rPr>
        <w:t>or those who</w:t>
      </w:r>
      <w:r>
        <w:rPr>
          <w:rFonts w:ascii="Times New Roman" w:hAnsi="Times New Roman"/>
          <w:sz w:val="24"/>
          <w:szCs w:val="24"/>
        </w:rPr>
        <w:t xml:space="preserve"> </w:t>
      </w:r>
      <w:r w:rsidRPr="00D2295F">
        <w:rPr>
          <w:rFonts w:ascii="Times New Roman" w:hAnsi="Times New Roman"/>
          <w:sz w:val="24"/>
          <w:szCs w:val="24"/>
        </w:rPr>
        <w:t>worked</w:t>
      </w:r>
      <w:r>
        <w:rPr>
          <w:rFonts w:ascii="Times New Roman" w:hAnsi="Times New Roman"/>
          <w:sz w:val="24"/>
          <w:szCs w:val="24"/>
        </w:rPr>
        <w:t xml:space="preserve"> </w:t>
      </w:r>
      <w:r w:rsidRPr="00D2295F">
        <w:rPr>
          <w:rFonts w:ascii="Times New Roman" w:hAnsi="Times New Roman"/>
          <w:sz w:val="24"/>
          <w:szCs w:val="24"/>
        </w:rPr>
        <w:t>less</w:t>
      </w:r>
      <w:r>
        <w:rPr>
          <w:rFonts w:ascii="Times New Roman" w:hAnsi="Times New Roman"/>
          <w:sz w:val="24"/>
          <w:szCs w:val="24"/>
        </w:rPr>
        <w:t xml:space="preserve"> </w:t>
      </w:r>
      <w:r w:rsidRPr="00D2295F">
        <w:rPr>
          <w:rFonts w:ascii="Times New Roman" w:hAnsi="Times New Roman"/>
          <w:sz w:val="24"/>
          <w:szCs w:val="24"/>
        </w:rPr>
        <w:t>than</w:t>
      </w:r>
      <w:r>
        <w:rPr>
          <w:rFonts w:ascii="Times New Roman" w:hAnsi="Times New Roman"/>
          <w:sz w:val="24"/>
          <w:szCs w:val="24"/>
        </w:rPr>
        <w:t xml:space="preserve"> </w:t>
      </w:r>
      <w:r w:rsidRPr="00D2295F">
        <w:rPr>
          <w:rFonts w:ascii="Times New Roman" w:hAnsi="Times New Roman"/>
          <w:sz w:val="24"/>
          <w:szCs w:val="24"/>
        </w:rPr>
        <w:t>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 xml:space="preserve">per year. However, </w:t>
      </w:r>
      <w:proofErr w:type="gramStart"/>
      <w:r w:rsidRPr="00D2295F">
        <w:rPr>
          <w:rFonts w:ascii="Times New Roman" w:hAnsi="Times New Roman"/>
          <w:sz w:val="24"/>
          <w:szCs w:val="24"/>
        </w:rPr>
        <w:t>it</w:t>
      </w:r>
      <w:r>
        <w:rPr>
          <w:rFonts w:ascii="Times New Roman" w:hAnsi="Times New Roman"/>
          <w:sz w:val="24"/>
          <w:szCs w:val="24"/>
        </w:rPr>
        <w:t xml:space="preserve"> </w:t>
      </w:r>
      <w:r w:rsidRPr="00D2295F">
        <w:rPr>
          <w:rFonts w:ascii="Times New Roman" w:hAnsi="Times New Roman"/>
          <w:sz w:val="24"/>
          <w:szCs w:val="24"/>
        </w:rPr>
        <w:t>is</w:t>
      </w:r>
      <w:r>
        <w:rPr>
          <w:rFonts w:ascii="Times New Roman" w:hAnsi="Times New Roman"/>
          <w:sz w:val="24"/>
          <w:szCs w:val="24"/>
        </w:rPr>
        <w:t xml:space="preserve"> </w:t>
      </w:r>
      <w:r w:rsidRPr="00D2295F">
        <w:rPr>
          <w:rFonts w:ascii="Times New Roman" w:hAnsi="Times New Roman"/>
          <w:sz w:val="24"/>
          <w:szCs w:val="24"/>
        </w:rPr>
        <w:t>clear</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Appellees’</w:t>
      </w:r>
      <w:proofErr w:type="gramEnd"/>
      <w:r>
        <w:rPr>
          <w:rFonts w:ascii="Times New Roman" w:hAnsi="Times New Roman"/>
          <w:sz w:val="24"/>
          <w:szCs w:val="24"/>
        </w:rPr>
        <w:t xml:space="preserve"> </w:t>
      </w:r>
      <w:r w:rsidRPr="00D2295F">
        <w:rPr>
          <w:rFonts w:ascii="Times New Roman" w:hAnsi="Times New Roman"/>
          <w:sz w:val="24"/>
          <w:szCs w:val="24"/>
        </w:rPr>
        <w:t>breach</w:t>
      </w:r>
      <w:r>
        <w:rPr>
          <w:rFonts w:ascii="Times New Roman" w:hAnsi="Times New Roman"/>
          <w:sz w:val="24"/>
          <w:szCs w:val="24"/>
        </w:rPr>
        <w:t xml:space="preserve"> </w:t>
      </w:r>
      <w:r w:rsidRPr="00D2295F">
        <w:rPr>
          <w:rFonts w:ascii="Times New Roman" w:hAnsi="Times New Roman"/>
          <w:sz w:val="24"/>
          <w:szCs w:val="24"/>
        </w:rPr>
        <w:t>of</w:t>
      </w:r>
      <w:r>
        <w:rPr>
          <w:rFonts w:ascii="Times New Roman" w:hAnsi="Times New Roman"/>
          <w:sz w:val="24"/>
          <w:szCs w:val="24"/>
        </w:rPr>
        <w:t xml:space="preserve"> </w:t>
      </w:r>
      <w:r w:rsidRPr="00D2295F">
        <w:rPr>
          <w:rFonts w:ascii="Times New Roman" w:hAnsi="Times New Roman"/>
          <w:sz w:val="24"/>
          <w:szCs w:val="24"/>
        </w:rPr>
        <w:t>contract</w:t>
      </w:r>
      <w:r>
        <w:rPr>
          <w:rFonts w:ascii="Times New Roman" w:hAnsi="Times New Roman"/>
          <w:sz w:val="24"/>
          <w:szCs w:val="24"/>
        </w:rPr>
        <w:t xml:space="preserve"> </w:t>
      </w:r>
      <w:r w:rsidRPr="00D2295F">
        <w:rPr>
          <w:rFonts w:ascii="Times New Roman" w:hAnsi="Times New Roman"/>
          <w:sz w:val="24"/>
          <w:szCs w:val="24"/>
        </w:rPr>
        <w:t>claims, arising from</w:t>
      </w:r>
      <w:r>
        <w:rPr>
          <w:rFonts w:ascii="Times New Roman" w:hAnsi="Times New Roman"/>
          <w:sz w:val="24"/>
          <w:szCs w:val="24"/>
        </w:rPr>
        <w:t xml:space="preserve"> </w:t>
      </w:r>
      <w:r w:rsidRPr="00D2295F">
        <w:rPr>
          <w:rFonts w:ascii="Times New Roman" w:hAnsi="Times New Roman"/>
          <w:sz w:val="24"/>
          <w:szCs w:val="24"/>
        </w:rPr>
        <w:t>the City’s</w:t>
      </w:r>
      <w:r>
        <w:rPr>
          <w:rFonts w:ascii="Times New Roman" w:hAnsi="Times New Roman"/>
          <w:sz w:val="24"/>
          <w:szCs w:val="24"/>
        </w:rPr>
        <w:t xml:space="preserve"> </w:t>
      </w:r>
      <w:r w:rsidRPr="00D2295F">
        <w:rPr>
          <w:rFonts w:ascii="Times New Roman" w:hAnsi="Times New Roman"/>
          <w:sz w:val="24"/>
          <w:szCs w:val="24"/>
        </w:rPr>
        <w:t>denial</w:t>
      </w:r>
      <w:r>
        <w:rPr>
          <w:rFonts w:ascii="Times New Roman" w:hAnsi="Times New Roman"/>
          <w:sz w:val="24"/>
          <w:szCs w:val="24"/>
        </w:rPr>
        <w:t xml:space="preserve"> </w:t>
      </w:r>
      <w:r w:rsidRPr="00D2295F">
        <w:rPr>
          <w:rFonts w:ascii="Times New Roman" w:hAnsi="Times New Roman"/>
          <w:sz w:val="24"/>
          <w:szCs w:val="24"/>
        </w:rPr>
        <w:t>of full-time employment</w:t>
      </w:r>
      <w:r>
        <w:rPr>
          <w:rFonts w:ascii="Times New Roman" w:hAnsi="Times New Roman"/>
          <w:sz w:val="24"/>
          <w:szCs w:val="24"/>
        </w:rPr>
        <w:t xml:space="preserve"> </w:t>
      </w:r>
      <w:r w:rsidRPr="00D2295F">
        <w:rPr>
          <w:rFonts w:ascii="Times New Roman" w:hAnsi="Times New Roman"/>
          <w:sz w:val="24"/>
          <w:szCs w:val="24"/>
        </w:rPr>
        <w:t>benefits, are</w:t>
      </w:r>
      <w:r>
        <w:rPr>
          <w:rFonts w:ascii="Times New Roman" w:hAnsi="Times New Roman"/>
          <w:sz w:val="24"/>
          <w:szCs w:val="24"/>
        </w:rPr>
        <w:t xml:space="preserve"> </w:t>
      </w:r>
      <w:r w:rsidRPr="00D2295F">
        <w:rPr>
          <w:rFonts w:ascii="Times New Roman" w:hAnsi="Times New Roman"/>
          <w:sz w:val="24"/>
          <w:szCs w:val="24"/>
        </w:rPr>
        <w:t>virtually</w:t>
      </w:r>
      <w:r>
        <w:rPr>
          <w:rFonts w:ascii="Times New Roman" w:hAnsi="Times New Roman"/>
          <w:sz w:val="24"/>
          <w:szCs w:val="24"/>
        </w:rPr>
        <w:t xml:space="preserve"> </w:t>
      </w:r>
      <w:r w:rsidRPr="00D2295F">
        <w:rPr>
          <w:rFonts w:ascii="Times New Roman" w:hAnsi="Times New Roman"/>
          <w:sz w:val="24"/>
          <w:szCs w:val="24"/>
        </w:rPr>
        <w:t>identical</w:t>
      </w:r>
      <w:r>
        <w:rPr>
          <w:rFonts w:ascii="Times New Roman" w:hAnsi="Times New Roman"/>
          <w:sz w:val="24"/>
          <w:szCs w:val="24"/>
        </w:rPr>
        <w:t xml:space="preserve"> </w:t>
      </w:r>
      <w:r w:rsidRPr="00D2295F">
        <w:rPr>
          <w:rFonts w:ascii="Times New Roman" w:hAnsi="Times New Roman"/>
          <w:sz w:val="24"/>
          <w:szCs w:val="24"/>
        </w:rPr>
        <w:t>to</w:t>
      </w:r>
      <w:r>
        <w:rPr>
          <w:rFonts w:ascii="Times New Roman" w:hAnsi="Times New Roman"/>
          <w:sz w:val="24"/>
          <w:szCs w:val="24"/>
        </w:rPr>
        <w:t xml:space="preserve"> </w:t>
      </w:r>
      <w:r w:rsidRPr="00D2295F">
        <w:rPr>
          <w:rFonts w:ascii="Times New Roman" w:hAnsi="Times New Roman"/>
          <w:sz w:val="24"/>
          <w:szCs w:val="24"/>
        </w:rPr>
        <w:t>the claims</w:t>
      </w:r>
      <w:r>
        <w:rPr>
          <w:rFonts w:ascii="Times New Roman" w:hAnsi="Times New Roman"/>
          <w:sz w:val="24"/>
          <w:szCs w:val="24"/>
        </w:rPr>
        <w:t xml:space="preserve"> </w:t>
      </w:r>
      <w:r w:rsidRPr="00D2295F">
        <w:rPr>
          <w:rFonts w:ascii="Times New Roman" w:hAnsi="Times New Roman"/>
          <w:sz w:val="24"/>
          <w:szCs w:val="24"/>
        </w:rPr>
        <w:t>of each</w:t>
      </w:r>
      <w:r>
        <w:rPr>
          <w:rFonts w:ascii="Times New Roman" w:hAnsi="Times New Roman"/>
          <w:sz w:val="24"/>
          <w:szCs w:val="24"/>
        </w:rPr>
        <w:t xml:space="preserve"> </w:t>
      </w:r>
      <w:r w:rsidRPr="00D2295F">
        <w:rPr>
          <w:rFonts w:ascii="Times New Roman" w:hAnsi="Times New Roman"/>
          <w:sz w:val="24"/>
          <w:szCs w:val="24"/>
        </w:rPr>
        <w:t>proposed</w:t>
      </w:r>
      <w:r>
        <w:rPr>
          <w:rFonts w:ascii="Times New Roman" w:hAnsi="Times New Roman"/>
          <w:sz w:val="24"/>
          <w:szCs w:val="24"/>
        </w:rPr>
        <w:t xml:space="preserve"> </w:t>
      </w:r>
      <w:r w:rsidRPr="00D2295F">
        <w:rPr>
          <w:rFonts w:ascii="Times New Roman" w:hAnsi="Times New Roman"/>
          <w:sz w:val="24"/>
          <w:szCs w:val="24"/>
        </w:rPr>
        <w:t>class</w:t>
      </w:r>
      <w:r>
        <w:rPr>
          <w:rFonts w:ascii="Times New Roman" w:hAnsi="Times New Roman"/>
          <w:sz w:val="24"/>
          <w:szCs w:val="24"/>
        </w:rPr>
        <w:t xml:space="preserve"> </w:t>
      </w:r>
      <w:r w:rsidRPr="00D2295F">
        <w:rPr>
          <w:rFonts w:ascii="Times New Roman" w:hAnsi="Times New Roman"/>
          <w:sz w:val="24"/>
          <w:szCs w:val="24"/>
        </w:rPr>
        <w:t xml:space="preserve">member. </w:t>
      </w:r>
      <w:r>
        <w:rPr>
          <w:rFonts w:ascii="Times New Roman" w:hAnsi="Times New Roman"/>
          <w:sz w:val="24"/>
          <w:szCs w:val="24"/>
        </w:rPr>
        <w:t xml:space="preserve"> *** </w:t>
      </w:r>
      <w:r w:rsidRPr="00D2295F">
        <w:rPr>
          <w:rFonts w:ascii="Times New Roman" w:hAnsi="Times New Roman"/>
          <w:sz w:val="24"/>
          <w:szCs w:val="24"/>
        </w:rPr>
        <w:t xml:space="preserve">The </w:t>
      </w:r>
      <w:proofErr w:type="gramStart"/>
      <w:r w:rsidRPr="00D2295F">
        <w:rPr>
          <w:rFonts w:ascii="Times New Roman" w:hAnsi="Times New Roman"/>
          <w:sz w:val="24"/>
          <w:szCs w:val="24"/>
        </w:rPr>
        <w:t>City</w:t>
      </w:r>
      <w:proofErr w:type="gramEnd"/>
      <w:r w:rsidRPr="00D2295F">
        <w:rPr>
          <w:rFonts w:ascii="Times New Roman" w:hAnsi="Times New Roman"/>
          <w:sz w:val="24"/>
          <w:szCs w:val="24"/>
        </w:rPr>
        <w:t xml:space="preserve"> argued</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proofErr w:type="gramStart"/>
      <w:r w:rsidRPr="00D2295F">
        <w:rPr>
          <w:rFonts w:ascii="Times New Roman" w:hAnsi="Times New Roman"/>
          <w:sz w:val="24"/>
          <w:szCs w:val="24"/>
        </w:rPr>
        <w:t>in</w:t>
      </w:r>
      <w:r>
        <w:rPr>
          <w:rFonts w:ascii="Times New Roman" w:hAnsi="Times New Roman"/>
          <w:sz w:val="24"/>
          <w:szCs w:val="24"/>
        </w:rPr>
        <w:t xml:space="preserve"> </w:t>
      </w:r>
      <w:r w:rsidRPr="00D2295F">
        <w:rPr>
          <w:rFonts w:ascii="Times New Roman" w:hAnsi="Times New Roman"/>
          <w:sz w:val="24"/>
          <w:szCs w:val="24"/>
        </w:rPr>
        <w:t>order to</w:t>
      </w:r>
      <w:proofErr w:type="gramEnd"/>
      <w:r>
        <w:rPr>
          <w:rFonts w:ascii="Times New Roman" w:hAnsi="Times New Roman"/>
          <w:sz w:val="24"/>
          <w:szCs w:val="24"/>
        </w:rPr>
        <w:t xml:space="preserve"> </w:t>
      </w:r>
      <w:r w:rsidRPr="00D2295F">
        <w:rPr>
          <w:rFonts w:ascii="Times New Roman" w:hAnsi="Times New Roman"/>
          <w:sz w:val="24"/>
          <w:szCs w:val="24"/>
        </w:rPr>
        <w:t>be considered</w:t>
      </w:r>
      <w:r>
        <w:rPr>
          <w:rFonts w:ascii="Times New Roman" w:hAnsi="Times New Roman"/>
          <w:sz w:val="24"/>
          <w:szCs w:val="24"/>
        </w:rPr>
        <w:t xml:space="preserve"> </w:t>
      </w:r>
      <w:r w:rsidRPr="00D2295F">
        <w:rPr>
          <w:rFonts w:ascii="Times New Roman" w:hAnsi="Times New Roman"/>
          <w:sz w:val="24"/>
          <w:szCs w:val="24"/>
        </w:rPr>
        <w:t>a full-time employee, the</w:t>
      </w:r>
      <w:r>
        <w:rPr>
          <w:rFonts w:ascii="Times New Roman" w:hAnsi="Times New Roman"/>
          <w:sz w:val="24"/>
          <w:szCs w:val="24"/>
        </w:rPr>
        <w:t xml:space="preserve"> </w:t>
      </w:r>
      <w:r w:rsidRPr="00D2295F">
        <w:rPr>
          <w:rFonts w:ascii="Times New Roman" w:hAnsi="Times New Roman"/>
          <w:sz w:val="24"/>
          <w:szCs w:val="24"/>
        </w:rPr>
        <w:t>employee should</w:t>
      </w:r>
      <w:r>
        <w:rPr>
          <w:rFonts w:ascii="Times New Roman" w:hAnsi="Times New Roman"/>
          <w:sz w:val="24"/>
          <w:szCs w:val="24"/>
        </w:rPr>
        <w:t xml:space="preserve"> </w:t>
      </w:r>
      <w:r w:rsidRPr="00D2295F">
        <w:rPr>
          <w:rFonts w:ascii="Times New Roman" w:hAnsi="Times New Roman"/>
          <w:sz w:val="24"/>
          <w:szCs w:val="24"/>
        </w:rPr>
        <w:t>have worked</w:t>
      </w:r>
      <w:r>
        <w:rPr>
          <w:rFonts w:ascii="Times New Roman" w:hAnsi="Times New Roman"/>
          <w:sz w:val="24"/>
          <w:szCs w:val="24"/>
        </w:rPr>
        <w:t xml:space="preserve"> </w:t>
      </w:r>
      <w:r w:rsidRPr="00D2295F">
        <w:rPr>
          <w:rFonts w:ascii="Times New Roman" w:hAnsi="Times New Roman"/>
          <w:sz w:val="24"/>
          <w:szCs w:val="24"/>
        </w:rPr>
        <w:t>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each</w:t>
      </w:r>
      <w:r>
        <w:rPr>
          <w:rFonts w:ascii="Times New Roman" w:hAnsi="Times New Roman"/>
          <w:sz w:val="24"/>
          <w:szCs w:val="24"/>
        </w:rPr>
        <w:t xml:space="preserve"> </w:t>
      </w:r>
      <w:r w:rsidRPr="00D2295F">
        <w:rPr>
          <w:rFonts w:ascii="Times New Roman" w:hAnsi="Times New Roman"/>
          <w:sz w:val="24"/>
          <w:szCs w:val="24"/>
        </w:rPr>
        <w:t>year (a number that would</w:t>
      </w:r>
      <w:r>
        <w:rPr>
          <w:rFonts w:ascii="Times New Roman" w:hAnsi="Times New Roman"/>
          <w:sz w:val="24"/>
          <w:szCs w:val="24"/>
        </w:rPr>
        <w:t xml:space="preserve"> </w:t>
      </w:r>
      <w:r w:rsidRPr="00D2295F">
        <w:rPr>
          <w:rFonts w:ascii="Times New Roman" w:hAnsi="Times New Roman"/>
          <w:sz w:val="24"/>
          <w:szCs w:val="24"/>
        </w:rPr>
        <w:t>require</w:t>
      </w:r>
      <w:r>
        <w:rPr>
          <w:rFonts w:ascii="Times New Roman" w:hAnsi="Times New Roman"/>
          <w:sz w:val="24"/>
          <w:szCs w:val="24"/>
        </w:rPr>
        <w:t xml:space="preserve"> </w:t>
      </w:r>
      <w:r w:rsidRPr="00D2295F">
        <w:rPr>
          <w:rFonts w:ascii="Times New Roman" w:hAnsi="Times New Roman"/>
          <w:sz w:val="24"/>
          <w:szCs w:val="24"/>
        </w:rPr>
        <w:t>the employee to</w:t>
      </w:r>
      <w:r>
        <w:rPr>
          <w:rFonts w:ascii="Times New Roman" w:hAnsi="Times New Roman"/>
          <w:sz w:val="24"/>
          <w:szCs w:val="24"/>
        </w:rPr>
        <w:t xml:space="preserve"> </w:t>
      </w:r>
      <w:r w:rsidRPr="00D2295F">
        <w:rPr>
          <w:rFonts w:ascii="Times New Roman" w:hAnsi="Times New Roman"/>
          <w:sz w:val="24"/>
          <w:szCs w:val="24"/>
        </w:rPr>
        <w:t>work</w:t>
      </w:r>
      <w:r>
        <w:rPr>
          <w:rFonts w:ascii="Times New Roman" w:hAnsi="Times New Roman"/>
          <w:sz w:val="24"/>
          <w:szCs w:val="24"/>
        </w:rPr>
        <w:t xml:space="preserve"> </w:t>
      </w:r>
      <w:r w:rsidRPr="00D2295F">
        <w:rPr>
          <w:rFonts w:ascii="Times New Roman" w:hAnsi="Times New Roman"/>
          <w:sz w:val="24"/>
          <w:szCs w:val="24"/>
        </w:rPr>
        <w:t>40hours</w:t>
      </w:r>
      <w:r>
        <w:rPr>
          <w:rFonts w:ascii="Times New Roman" w:hAnsi="Times New Roman"/>
          <w:sz w:val="24"/>
          <w:szCs w:val="24"/>
        </w:rPr>
        <w:t xml:space="preserve"> </w:t>
      </w:r>
      <w:r w:rsidRPr="00D2295F">
        <w:rPr>
          <w:rFonts w:ascii="Times New Roman" w:hAnsi="Times New Roman"/>
          <w:sz w:val="24"/>
          <w:szCs w:val="24"/>
        </w:rPr>
        <w:t>per week</w:t>
      </w:r>
      <w:r>
        <w:rPr>
          <w:rFonts w:ascii="Times New Roman" w:hAnsi="Times New Roman"/>
          <w:sz w:val="24"/>
          <w:szCs w:val="24"/>
        </w:rPr>
        <w:t xml:space="preserve"> </w:t>
      </w:r>
      <w:r w:rsidRPr="00D2295F">
        <w:rPr>
          <w:rFonts w:ascii="Times New Roman" w:hAnsi="Times New Roman"/>
          <w:sz w:val="24"/>
          <w:szCs w:val="24"/>
        </w:rPr>
        <w:t>for each</w:t>
      </w:r>
      <w:r>
        <w:rPr>
          <w:rFonts w:ascii="Times New Roman" w:hAnsi="Times New Roman"/>
          <w:sz w:val="24"/>
          <w:szCs w:val="24"/>
        </w:rPr>
        <w:t xml:space="preserve"> </w:t>
      </w:r>
      <w:r w:rsidRPr="00D2295F">
        <w:rPr>
          <w:rFonts w:ascii="Times New Roman" w:hAnsi="Times New Roman"/>
          <w:sz w:val="24"/>
          <w:szCs w:val="24"/>
        </w:rPr>
        <w:t>of the 52</w:t>
      </w:r>
      <w:r>
        <w:rPr>
          <w:rFonts w:ascii="Times New Roman" w:hAnsi="Times New Roman"/>
          <w:sz w:val="24"/>
          <w:szCs w:val="24"/>
        </w:rPr>
        <w:t xml:space="preserve"> </w:t>
      </w:r>
      <w:r w:rsidRPr="00D2295F">
        <w:rPr>
          <w:rFonts w:ascii="Times New Roman" w:hAnsi="Times New Roman"/>
          <w:sz w:val="24"/>
          <w:szCs w:val="24"/>
        </w:rPr>
        <w:t>weeks</w:t>
      </w:r>
      <w:r>
        <w:rPr>
          <w:rFonts w:ascii="Times New Roman" w:hAnsi="Times New Roman"/>
          <w:sz w:val="24"/>
          <w:szCs w:val="24"/>
        </w:rPr>
        <w:t xml:space="preserve"> </w:t>
      </w:r>
      <w:r w:rsidRPr="00D2295F">
        <w:rPr>
          <w:rFonts w:ascii="Times New Roman" w:hAnsi="Times New Roman"/>
          <w:sz w:val="24"/>
          <w:szCs w:val="24"/>
        </w:rPr>
        <w:t>per year). However,</w:t>
      </w:r>
      <w:r>
        <w:rPr>
          <w:rFonts w:ascii="Times New Roman" w:hAnsi="Times New Roman"/>
          <w:sz w:val="24"/>
          <w:szCs w:val="24"/>
        </w:rPr>
        <w:t xml:space="preserve"> </w:t>
      </w:r>
      <w:r w:rsidRPr="00D2295F">
        <w:rPr>
          <w:rFonts w:ascii="Times New Roman" w:hAnsi="Times New Roman"/>
          <w:sz w:val="24"/>
          <w:szCs w:val="24"/>
        </w:rPr>
        <w:t>even</w:t>
      </w:r>
      <w:r>
        <w:rPr>
          <w:rFonts w:ascii="Times New Roman" w:hAnsi="Times New Roman"/>
          <w:sz w:val="24"/>
          <w:szCs w:val="24"/>
        </w:rPr>
        <w:t xml:space="preserve"> </w:t>
      </w:r>
      <w:r w:rsidRPr="00D2295F">
        <w:rPr>
          <w:rFonts w:ascii="Times New Roman" w:hAnsi="Times New Roman"/>
          <w:sz w:val="24"/>
          <w:szCs w:val="24"/>
        </w:rPr>
        <w:t>under the City’s</w:t>
      </w:r>
      <w:r>
        <w:rPr>
          <w:rFonts w:ascii="Times New Roman" w:hAnsi="Times New Roman"/>
          <w:sz w:val="24"/>
          <w:szCs w:val="24"/>
        </w:rPr>
        <w:t xml:space="preserve"> </w:t>
      </w:r>
      <w:r w:rsidRPr="00D2295F">
        <w:rPr>
          <w:rFonts w:ascii="Times New Roman" w:hAnsi="Times New Roman"/>
          <w:sz w:val="24"/>
          <w:szCs w:val="24"/>
        </w:rPr>
        <w:t>proposed</w:t>
      </w:r>
      <w:r>
        <w:rPr>
          <w:rFonts w:ascii="Times New Roman" w:hAnsi="Times New Roman"/>
          <w:sz w:val="24"/>
          <w:szCs w:val="24"/>
        </w:rPr>
        <w:t xml:space="preserve"> </w:t>
      </w:r>
      <w:r w:rsidRPr="00D2295F">
        <w:rPr>
          <w:rFonts w:ascii="Times New Roman" w:hAnsi="Times New Roman"/>
          <w:sz w:val="24"/>
          <w:szCs w:val="24"/>
        </w:rPr>
        <w:t>definition, the Appellees</w:t>
      </w:r>
      <w:r>
        <w:rPr>
          <w:rFonts w:ascii="Times New Roman" w:hAnsi="Times New Roman"/>
          <w:sz w:val="24"/>
          <w:szCs w:val="24"/>
        </w:rPr>
        <w:t xml:space="preserve"> </w:t>
      </w:r>
      <w:r w:rsidRPr="00D2295F">
        <w:rPr>
          <w:rFonts w:ascii="Times New Roman" w:hAnsi="Times New Roman"/>
          <w:sz w:val="24"/>
          <w:szCs w:val="24"/>
        </w:rPr>
        <w:t>maintained</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the class</w:t>
      </w:r>
      <w:r>
        <w:rPr>
          <w:rFonts w:ascii="Times New Roman" w:hAnsi="Times New Roman"/>
          <w:sz w:val="24"/>
          <w:szCs w:val="24"/>
        </w:rPr>
        <w:t xml:space="preserve"> </w:t>
      </w:r>
      <w:r w:rsidRPr="00D2295F">
        <w:rPr>
          <w:rFonts w:ascii="Times New Roman" w:hAnsi="Times New Roman"/>
          <w:sz w:val="24"/>
          <w:szCs w:val="24"/>
        </w:rPr>
        <w:t>would include 86 members.</w:t>
      </w:r>
      <w:r>
        <w:rPr>
          <w:rFonts w:ascii="Times New Roman" w:hAnsi="Times New Roman"/>
          <w:sz w:val="24"/>
          <w:szCs w:val="24"/>
        </w:rPr>
        <w:t>”</w:t>
      </w:r>
      <w:r w:rsidR="00E75F94">
        <w:rPr>
          <w:rFonts w:ascii="Times New Roman" w:hAnsi="Times New Roman"/>
          <w:sz w:val="24"/>
          <w:szCs w:val="24"/>
        </w:rPr>
        <w:t xml:space="preserve"> </w:t>
      </w:r>
      <w:hyperlink r:id="rId1936" w:history="1">
        <w:r w:rsidR="00E75F94" w:rsidRPr="00DB571D">
          <w:rPr>
            <w:rStyle w:val="Hyperlink"/>
            <w:rFonts w:ascii="Times New Roman" w:eastAsia="Times New Roman" w:hAnsi="Times New Roman"/>
            <w:sz w:val="24"/>
            <w:szCs w:val="24"/>
          </w:rPr>
          <w:t>https://cases.justia.com/georgia/court-of-appeals/2019-a19a1310.pdf?ts=1568657244</w:t>
        </w:r>
      </w:hyperlink>
      <w:bookmarkEnd w:id="407"/>
    </w:p>
    <w:p w14:paraId="3C915AFB" w14:textId="77777777" w:rsidR="00A16B10" w:rsidRDefault="00C80464" w:rsidP="00C80464">
      <w:pPr>
        <w:pStyle w:val="NoSpacing"/>
        <w:rPr>
          <w:rFonts w:ascii="Times New Roman" w:hAnsi="Times New Roman"/>
          <w:b/>
          <w:bCs/>
          <w:sz w:val="24"/>
          <w:szCs w:val="24"/>
        </w:rPr>
      </w:pPr>
      <w:bookmarkStart w:id="408" w:name="_Hlk40513525"/>
      <w:r>
        <w:rPr>
          <w:rFonts w:ascii="Times New Roman" w:hAnsi="Times New Roman"/>
          <w:b/>
          <w:bCs/>
          <w:sz w:val="24"/>
          <w:szCs w:val="24"/>
        </w:rPr>
        <w:t xml:space="preserve">Legal Lessons Learned: Class actions are an effective method of resolving a matter affecting numerous class members. This case will now proceed to trial, unless settled by the parties.  </w:t>
      </w:r>
    </w:p>
    <w:p w14:paraId="3E0AFB0D" w14:textId="0AF730F0" w:rsidR="00C80464" w:rsidRPr="00A16B10" w:rsidRDefault="00A16B10" w:rsidP="00C80464">
      <w:pPr>
        <w:pStyle w:val="NoSpacing"/>
        <w:rPr>
          <w:rFonts w:ascii="Times New Roman" w:hAnsi="Times New Roman"/>
          <w:sz w:val="24"/>
          <w:szCs w:val="24"/>
        </w:rPr>
      </w:pPr>
      <w:r w:rsidRPr="00A16B10">
        <w:rPr>
          <w:rFonts w:ascii="Times New Roman" w:hAnsi="Times New Roman"/>
          <w:sz w:val="24"/>
          <w:szCs w:val="24"/>
        </w:rPr>
        <w:t xml:space="preserve">Note: </w:t>
      </w:r>
      <w:r w:rsidR="00C80464" w:rsidRPr="00A16B10">
        <w:rPr>
          <w:rFonts w:ascii="Times New Roman" w:hAnsi="Times New Roman"/>
          <w:sz w:val="24"/>
          <w:szCs w:val="24"/>
        </w:rPr>
        <w:t>In Ohio, see Ohio Revised Code</w:t>
      </w:r>
      <w:r>
        <w:rPr>
          <w:rFonts w:ascii="Times New Roman" w:hAnsi="Times New Roman"/>
          <w:sz w:val="24"/>
          <w:szCs w:val="24"/>
        </w:rPr>
        <w:t xml:space="preserve">’s </w:t>
      </w:r>
      <w:r w:rsidR="00C80464" w:rsidRPr="00A16B10">
        <w:rPr>
          <w:rFonts w:ascii="Times New Roman" w:hAnsi="Times New Roman"/>
          <w:sz w:val="24"/>
          <w:szCs w:val="24"/>
        </w:rPr>
        <w:t>“1500 Hour Rule”</w:t>
      </w:r>
      <w:r>
        <w:rPr>
          <w:rFonts w:ascii="Times New Roman" w:hAnsi="Times New Roman"/>
          <w:sz w:val="24"/>
          <w:szCs w:val="24"/>
        </w:rPr>
        <w:t xml:space="preserve"> </w:t>
      </w:r>
      <w:r w:rsidR="00C80464" w:rsidRPr="00A16B10">
        <w:rPr>
          <w:rFonts w:ascii="Times New Roman" w:hAnsi="Times New Roman"/>
          <w:sz w:val="24"/>
          <w:szCs w:val="24"/>
        </w:rPr>
        <w:t>applies to Township firefighters:</w:t>
      </w:r>
    </w:p>
    <w:p w14:paraId="464DF3D8" w14:textId="77777777" w:rsidR="00C80464" w:rsidRPr="00A16B10" w:rsidRDefault="00C80464" w:rsidP="00C80464">
      <w:pPr>
        <w:pStyle w:val="NoSpacing"/>
        <w:rPr>
          <w:rFonts w:ascii="Times New Roman" w:hAnsi="Times New Roman"/>
          <w:sz w:val="24"/>
          <w:szCs w:val="24"/>
        </w:rPr>
      </w:pPr>
    </w:p>
    <w:p w14:paraId="0CED5D89" w14:textId="77777777" w:rsidR="00A16B10" w:rsidRDefault="00C80464" w:rsidP="00A16B10">
      <w:pPr>
        <w:ind w:left="720" w:firstLine="720"/>
        <w:rPr>
          <w:rFonts w:asciiTheme="minorHAnsi" w:hAnsiTheme="minorHAnsi" w:cstheme="minorHAnsi"/>
          <w:sz w:val="24"/>
          <w:szCs w:val="24"/>
        </w:rPr>
      </w:pPr>
      <w:hyperlink r:id="rId1937" w:history="1">
        <w:r w:rsidRPr="00A16B10">
          <w:rPr>
            <w:rStyle w:val="Hyperlink"/>
            <w:rFonts w:asciiTheme="minorHAnsi" w:hAnsiTheme="minorHAnsi" w:cstheme="minorHAnsi"/>
            <w:sz w:val="24"/>
            <w:szCs w:val="24"/>
          </w:rPr>
          <w:t>http://codes.ohio.gov/orc/505.60</w:t>
        </w:r>
      </w:hyperlink>
      <w:r w:rsidRPr="00A16B10">
        <w:rPr>
          <w:rFonts w:asciiTheme="minorHAnsi" w:hAnsiTheme="minorHAnsi" w:cstheme="minorHAnsi"/>
          <w:sz w:val="24"/>
          <w:szCs w:val="24"/>
        </w:rPr>
        <w:t xml:space="preserve"> </w:t>
      </w:r>
    </w:p>
    <w:p w14:paraId="3DE3C633" w14:textId="0CAE11CB" w:rsidR="00C80464" w:rsidRPr="00A16B10" w:rsidRDefault="00C80464" w:rsidP="00A16B10">
      <w:pPr>
        <w:ind w:left="720" w:firstLine="720"/>
        <w:rPr>
          <w:rFonts w:asciiTheme="minorHAnsi" w:hAnsiTheme="minorHAnsi" w:cstheme="minorHAnsi"/>
        </w:rPr>
      </w:pPr>
      <w:r w:rsidRPr="00A16B10">
        <w:rPr>
          <w:rFonts w:asciiTheme="minorHAnsi" w:hAnsiTheme="minorHAnsi" w:cstheme="minorHAnsi"/>
        </w:rPr>
        <w:t xml:space="preserve">(G) As used in this section and section </w:t>
      </w:r>
      <w:hyperlink r:id="rId1938" w:history="1">
        <w:r w:rsidRPr="00A16B10">
          <w:rPr>
            <w:rStyle w:val="Hyperlink"/>
            <w:rFonts w:asciiTheme="minorHAnsi" w:hAnsiTheme="minorHAnsi" w:cstheme="minorHAnsi"/>
          </w:rPr>
          <w:t>505.601</w:t>
        </w:r>
      </w:hyperlink>
      <w:r w:rsidRPr="00A16B10">
        <w:rPr>
          <w:rFonts w:asciiTheme="minorHAnsi" w:hAnsiTheme="minorHAnsi" w:cstheme="minorHAnsi"/>
        </w:rPr>
        <w:t xml:space="preserve"> of the Revised Code: </w:t>
      </w:r>
    </w:p>
    <w:p w14:paraId="66376087" w14:textId="77777777" w:rsidR="00C80464" w:rsidRPr="00A16B10" w:rsidRDefault="00C80464" w:rsidP="00C80464">
      <w:pPr>
        <w:pStyle w:val="NormalWeb"/>
        <w:ind w:left="1440"/>
        <w:rPr>
          <w:rFonts w:asciiTheme="minorHAnsi" w:hAnsiTheme="minorHAnsi" w:cstheme="minorHAnsi"/>
        </w:rPr>
      </w:pPr>
      <w:r w:rsidRPr="00A16B10">
        <w:rPr>
          <w:rFonts w:asciiTheme="minorHAnsi" w:hAnsiTheme="minorHAnsi" w:cstheme="minorHAnsi"/>
        </w:rPr>
        <w:t xml:space="preserve">(1) "Part-time township employee" means a township employee who is hired with the expectation that the employee will work not more than one thousand five hundred hours in any year. </w:t>
      </w:r>
    </w:p>
    <w:bookmarkEnd w:id="408"/>
    <w:p w14:paraId="79E17F21" w14:textId="77777777" w:rsidR="00A67C57" w:rsidRDefault="00A67C57" w:rsidP="00F326E5">
      <w:pPr>
        <w:rPr>
          <w:rFonts w:ascii="Arial Black" w:hAnsi="Arial Black"/>
          <w:b/>
          <w:sz w:val="24"/>
          <w:szCs w:val="24"/>
        </w:rPr>
      </w:pPr>
    </w:p>
    <w:p w14:paraId="4E5ED752" w14:textId="753BA38B" w:rsidR="009F0F05" w:rsidRDefault="009F0F05" w:rsidP="00F326E5">
      <w:pPr>
        <w:rPr>
          <w:rFonts w:ascii="Arial Black" w:hAnsi="Arial Black"/>
          <w:b/>
          <w:sz w:val="24"/>
          <w:szCs w:val="24"/>
        </w:rPr>
      </w:pPr>
      <w:r>
        <w:rPr>
          <w:rFonts w:ascii="Arial Black" w:hAnsi="Arial Black"/>
          <w:b/>
          <w:sz w:val="24"/>
          <w:szCs w:val="24"/>
        </w:rPr>
        <w:t>11-</w:t>
      </w:r>
      <w:r w:rsidR="00E9307E">
        <w:rPr>
          <w:rFonts w:ascii="Arial Black" w:hAnsi="Arial Black"/>
          <w:b/>
          <w:sz w:val="24"/>
          <w:szCs w:val="24"/>
        </w:rPr>
        <w:t>6</w:t>
      </w:r>
    </w:p>
    <w:p w14:paraId="45A1D981" w14:textId="77777777" w:rsidR="009F0F05" w:rsidRDefault="009F0F05" w:rsidP="009F0F05">
      <w:pPr>
        <w:rPr>
          <w:rFonts w:ascii="Arial Black" w:hAnsi="Arial Black"/>
          <w:sz w:val="28"/>
          <w:szCs w:val="28"/>
        </w:rPr>
      </w:pPr>
      <w:r>
        <w:rPr>
          <w:rFonts w:ascii="Arial Black" w:hAnsi="Arial Black"/>
          <w:sz w:val="28"/>
          <w:szCs w:val="28"/>
        </w:rPr>
        <w:t xml:space="preserve">FLSA:  DOL OPINION LETTER – WHEN EMPLOYEE IS BOTH FF / POLICE OFFICER SAME PUBLIC AGENCY – CALCULATING OVERTIME </w:t>
      </w:r>
    </w:p>
    <w:p w14:paraId="6D21F96F" w14:textId="77777777" w:rsidR="009F0F05" w:rsidRDefault="009F0F05" w:rsidP="009F0F05">
      <w:pPr>
        <w:rPr>
          <w:rFonts w:ascii="Times New Roman" w:hAnsi="Times New Roman"/>
          <w:sz w:val="24"/>
          <w:szCs w:val="24"/>
        </w:rPr>
      </w:pPr>
      <w:r w:rsidRPr="00AB528C">
        <w:rPr>
          <w:rFonts w:ascii="Times New Roman" w:hAnsi="Times New Roman"/>
          <w:sz w:val="24"/>
          <w:szCs w:val="24"/>
        </w:rPr>
        <w:t>On</w:t>
      </w:r>
      <w:r>
        <w:rPr>
          <w:rFonts w:ascii="Times New Roman" w:hAnsi="Times New Roman"/>
          <w:sz w:val="24"/>
          <w:szCs w:val="24"/>
        </w:rPr>
        <w:t xml:space="preserve"> Aug. 8, 2019, the U.S. Department of Labor issued Opinion Letter </w:t>
      </w:r>
      <w:r w:rsidRPr="000235F1">
        <w:rPr>
          <w:rFonts w:ascii="Times New Roman" w:hAnsi="Times New Roman"/>
          <w:sz w:val="24"/>
          <w:szCs w:val="24"/>
        </w:rPr>
        <w:t>FLSA2019- 11</w:t>
      </w:r>
      <w:r>
        <w:rPr>
          <w:rFonts w:ascii="Times New Roman" w:hAnsi="Times New Roman"/>
          <w:sz w:val="24"/>
          <w:szCs w:val="24"/>
        </w:rPr>
        <w:t xml:space="preserve">, confirmed that if working for same public agency, then the total hours worked are aggregated when determining overtime pay. </w:t>
      </w:r>
      <w:hyperlink r:id="rId1939" w:history="1">
        <w:r w:rsidRPr="00A05487">
          <w:rPr>
            <w:rStyle w:val="Hyperlink"/>
            <w:rFonts w:ascii="Times New Roman" w:hAnsi="Times New Roman"/>
            <w:sz w:val="24"/>
            <w:szCs w:val="24"/>
          </w:rPr>
          <w:t>https://www.dol.gov/whd/opinion/FLSA/2019/2019_08_08_11_FLSA.pdf</w:t>
        </w:r>
      </w:hyperlink>
      <w:r>
        <w:rPr>
          <w:rFonts w:ascii="Times New Roman" w:hAnsi="Times New Roman"/>
          <w:sz w:val="24"/>
          <w:szCs w:val="24"/>
        </w:rPr>
        <w:t xml:space="preserve"> </w:t>
      </w:r>
    </w:p>
    <w:p w14:paraId="4B6B13C8" w14:textId="77777777" w:rsidR="009F0F05" w:rsidRDefault="009F0F05" w:rsidP="009F0F05">
      <w:pPr>
        <w:ind w:left="720"/>
        <w:rPr>
          <w:rFonts w:ascii="Times New Roman" w:hAnsi="Times New Roman"/>
          <w:sz w:val="24"/>
          <w:szCs w:val="24"/>
        </w:rPr>
      </w:pPr>
      <w:r>
        <w:rPr>
          <w:rFonts w:ascii="Times New Roman" w:hAnsi="Times New Roman"/>
          <w:sz w:val="24"/>
          <w:szCs w:val="24"/>
        </w:rPr>
        <w:t>“</w:t>
      </w:r>
      <w:r w:rsidRPr="00A4365A">
        <w:rPr>
          <w:rFonts w:ascii="Times New Roman" w:hAnsi="Times New Roman"/>
          <w:sz w:val="24"/>
          <w:szCs w:val="24"/>
        </w:rPr>
        <w:t>If an employee works for separate and distinct employers, each employer may disregard work performed by the employee for the other employer when determining its responsibility under the Fair Labor Standards Act (FLSA). 29 C.F.R. § 791.2. However, where the employee performs “fire protection activities” for the fire department and “law enforcement activities” for the police department of the same public agency, as you state is the case here, the hours are aggregated.</w:t>
      </w:r>
      <w:r>
        <w:rPr>
          <w:rFonts w:ascii="Times New Roman" w:hAnsi="Times New Roman"/>
          <w:sz w:val="24"/>
          <w:szCs w:val="24"/>
        </w:rPr>
        <w:t>”</w:t>
      </w:r>
    </w:p>
    <w:p w14:paraId="4443E235" w14:textId="73B61801" w:rsidR="009F0F05" w:rsidRDefault="009F0F05" w:rsidP="009F0F05">
      <w:pPr>
        <w:rPr>
          <w:rFonts w:ascii="Times New Roman" w:hAnsi="Times New Roman"/>
          <w:b/>
          <w:bCs/>
          <w:sz w:val="24"/>
          <w:szCs w:val="24"/>
        </w:rPr>
      </w:pPr>
      <w:r w:rsidRPr="003E4638">
        <w:rPr>
          <w:rFonts w:ascii="Times New Roman" w:hAnsi="Times New Roman"/>
          <w:b/>
          <w:bCs/>
          <w:sz w:val="24"/>
          <w:szCs w:val="24"/>
        </w:rPr>
        <w:t>Legal Lessons Learned:</w:t>
      </w:r>
      <w:r>
        <w:rPr>
          <w:rFonts w:ascii="Times New Roman" w:hAnsi="Times New Roman"/>
          <w:b/>
          <w:bCs/>
          <w:sz w:val="24"/>
          <w:szCs w:val="24"/>
        </w:rPr>
        <w:t xml:space="preserve">  When in doubt about paying overtime, review FLSA opinion letters.  </w:t>
      </w:r>
      <w:hyperlink r:id="rId1940" w:history="1">
        <w:r w:rsidRPr="00A05487">
          <w:rPr>
            <w:rStyle w:val="Hyperlink"/>
            <w:rFonts w:ascii="Times New Roman" w:hAnsi="Times New Roman"/>
            <w:b/>
            <w:bCs/>
            <w:sz w:val="24"/>
            <w:szCs w:val="24"/>
          </w:rPr>
          <w:t>https://www.dol.gov/whd/opinion/search/index.htm?FLSA</w:t>
        </w:r>
      </w:hyperlink>
      <w:r>
        <w:rPr>
          <w:rFonts w:ascii="Times New Roman" w:hAnsi="Times New Roman"/>
          <w:b/>
          <w:bCs/>
          <w:sz w:val="24"/>
          <w:szCs w:val="24"/>
        </w:rPr>
        <w:t xml:space="preserve">   If still not clear, call </w:t>
      </w:r>
      <w:proofErr w:type="spellStart"/>
      <w:r>
        <w:rPr>
          <w:rFonts w:ascii="Times New Roman" w:hAnsi="Times New Roman"/>
          <w:b/>
          <w:bCs/>
          <w:sz w:val="24"/>
          <w:szCs w:val="24"/>
        </w:rPr>
        <w:t>DoL</w:t>
      </w:r>
      <w:proofErr w:type="spellEnd"/>
      <w:r>
        <w:rPr>
          <w:rFonts w:ascii="Times New Roman" w:hAnsi="Times New Roman"/>
          <w:b/>
          <w:bCs/>
          <w:sz w:val="24"/>
          <w:szCs w:val="24"/>
        </w:rPr>
        <w:t xml:space="preserve"> Wage </w:t>
      </w:r>
      <w:proofErr w:type="gramStart"/>
      <w:r>
        <w:rPr>
          <w:rFonts w:ascii="Times New Roman" w:hAnsi="Times New Roman"/>
          <w:b/>
          <w:bCs/>
          <w:sz w:val="24"/>
          <w:szCs w:val="24"/>
        </w:rPr>
        <w:t>And</w:t>
      </w:r>
      <w:proofErr w:type="gramEnd"/>
      <w:r>
        <w:rPr>
          <w:rFonts w:ascii="Times New Roman" w:hAnsi="Times New Roman"/>
          <w:b/>
          <w:bCs/>
          <w:sz w:val="24"/>
          <w:szCs w:val="24"/>
        </w:rPr>
        <w:t xml:space="preserve"> Hour Division and consult with experienced Legal Counsel.  </w:t>
      </w:r>
    </w:p>
    <w:p w14:paraId="1224AA89" w14:textId="127DE820" w:rsidR="00E052A6" w:rsidRDefault="00E052A6" w:rsidP="00E052A6">
      <w:pPr>
        <w:rPr>
          <w:rFonts w:ascii="Times New Roman" w:hAnsi="Times New Roman"/>
          <w:bCs/>
          <w:sz w:val="24"/>
          <w:szCs w:val="24"/>
        </w:rPr>
      </w:pPr>
    </w:p>
    <w:p w14:paraId="5714D2E1" w14:textId="77777777" w:rsidR="00EC50D5" w:rsidRPr="004647F6" w:rsidRDefault="00EC50D5" w:rsidP="00EC50D5">
      <w:pPr>
        <w:rPr>
          <w:rFonts w:ascii="Arial Black" w:hAnsi="Arial Black"/>
          <w:b/>
          <w:sz w:val="28"/>
          <w:szCs w:val="28"/>
        </w:rPr>
      </w:pPr>
      <w:r w:rsidRPr="004647F6">
        <w:rPr>
          <w:rFonts w:ascii="Arial Black" w:hAnsi="Arial Black"/>
          <w:b/>
          <w:sz w:val="28"/>
          <w:szCs w:val="28"/>
        </w:rPr>
        <w:t xml:space="preserve">FL – </w:t>
      </w:r>
      <w:r>
        <w:rPr>
          <w:rFonts w:ascii="Arial Black" w:hAnsi="Arial Black"/>
          <w:b/>
          <w:sz w:val="28"/>
          <w:szCs w:val="28"/>
        </w:rPr>
        <w:t xml:space="preserve">FF / U.S. ARMY RESERVE - </w:t>
      </w:r>
      <w:r w:rsidRPr="004647F6">
        <w:rPr>
          <w:rFonts w:ascii="Arial Black" w:hAnsi="Arial Black"/>
          <w:b/>
          <w:sz w:val="28"/>
          <w:szCs w:val="28"/>
        </w:rPr>
        <w:t>USERRA LAWSUIT DISMISSED –</w:t>
      </w:r>
      <w:r>
        <w:rPr>
          <w:rFonts w:ascii="Arial Black" w:hAnsi="Arial Black"/>
          <w:b/>
          <w:sz w:val="28"/>
          <w:szCs w:val="28"/>
        </w:rPr>
        <w:t xml:space="preserve"> NOT </w:t>
      </w:r>
      <w:r w:rsidRPr="004647F6">
        <w:rPr>
          <w:rFonts w:ascii="Arial Black" w:hAnsi="Arial Black"/>
          <w:b/>
          <w:sz w:val="28"/>
          <w:szCs w:val="28"/>
        </w:rPr>
        <w:t>PROMOTE</w:t>
      </w:r>
      <w:r>
        <w:rPr>
          <w:rFonts w:ascii="Arial Black" w:hAnsi="Arial Black"/>
          <w:b/>
          <w:sz w:val="28"/>
          <w:szCs w:val="28"/>
        </w:rPr>
        <w:t>D TO DISTRICT CHIEF – CITY USES “RULE OF 5”</w:t>
      </w:r>
    </w:p>
    <w:p w14:paraId="54EAF161" w14:textId="77777777" w:rsidR="00EC50D5" w:rsidRPr="002119A9" w:rsidRDefault="00EC50D5" w:rsidP="00EC50D5">
      <w:pPr>
        <w:pStyle w:val="NoSpacing"/>
        <w:rPr>
          <w:rFonts w:ascii="Times New Roman" w:hAnsi="Times New Roman"/>
          <w:sz w:val="24"/>
          <w:szCs w:val="24"/>
        </w:rPr>
      </w:pPr>
      <w:r w:rsidRPr="002119A9">
        <w:rPr>
          <w:rFonts w:ascii="Times New Roman" w:hAnsi="Times New Roman"/>
          <w:sz w:val="24"/>
          <w:szCs w:val="24"/>
        </w:rPr>
        <w:t xml:space="preserve">On April 29, 2019, in </w:t>
      </w:r>
      <w:r w:rsidRPr="002119A9">
        <w:rPr>
          <w:rFonts w:ascii="Times New Roman" w:hAnsi="Times New Roman"/>
          <w:sz w:val="24"/>
          <w:szCs w:val="24"/>
          <w:u w:val="single"/>
        </w:rPr>
        <w:t>John H. Ramirez v. City of Fort Lauderdale</w:t>
      </w:r>
      <w:r w:rsidRPr="002119A9">
        <w:rPr>
          <w:rFonts w:ascii="Times New Roman" w:hAnsi="Times New Roman"/>
          <w:sz w:val="24"/>
          <w:szCs w:val="24"/>
        </w:rPr>
        <w:t xml:space="preserve">, U.S. District Court judge William P. </w:t>
      </w:r>
      <w:proofErr w:type="spellStart"/>
      <w:r w:rsidRPr="002119A9">
        <w:rPr>
          <w:rFonts w:ascii="Times New Roman" w:hAnsi="Times New Roman"/>
          <w:sz w:val="24"/>
          <w:szCs w:val="24"/>
        </w:rPr>
        <w:t>Dimitrouleas</w:t>
      </w:r>
      <w:proofErr w:type="spellEnd"/>
      <w:r w:rsidRPr="002119A9">
        <w:rPr>
          <w:rFonts w:ascii="Times New Roman" w:hAnsi="Times New Roman"/>
          <w:sz w:val="24"/>
          <w:szCs w:val="24"/>
        </w:rPr>
        <w:t xml:space="preserve">, Southern District of Florida, granted the City’s motion to dismiss, but Plaintiff was afforded an opportunity to file an amended Complaint to show he was denied promotions because of his military service. </w:t>
      </w:r>
    </w:p>
    <w:p w14:paraId="543B08CD" w14:textId="77777777" w:rsidR="00EC50D5" w:rsidRPr="002119A9" w:rsidRDefault="00EC50D5" w:rsidP="00EC50D5">
      <w:pPr>
        <w:pStyle w:val="NoSpacing"/>
        <w:rPr>
          <w:rFonts w:ascii="Times New Roman" w:hAnsi="Times New Roman"/>
          <w:sz w:val="24"/>
          <w:szCs w:val="24"/>
        </w:rPr>
      </w:pPr>
    </w:p>
    <w:p w14:paraId="77CD9642" w14:textId="77777777" w:rsidR="00EC50D5" w:rsidRPr="002119A9" w:rsidRDefault="00EC50D5" w:rsidP="00EC50D5">
      <w:pPr>
        <w:pStyle w:val="NoSpacing"/>
        <w:ind w:left="720"/>
        <w:rPr>
          <w:rFonts w:ascii="Times New Roman" w:hAnsi="Times New Roman"/>
          <w:sz w:val="24"/>
          <w:szCs w:val="24"/>
        </w:rPr>
      </w:pPr>
      <w:r w:rsidRPr="002119A9">
        <w:rPr>
          <w:rFonts w:ascii="Times New Roman" w:hAnsi="Times New Roman"/>
          <w:sz w:val="24"/>
          <w:szCs w:val="24"/>
        </w:rPr>
        <w:t xml:space="preserve">During Plaintiff's employment, he served in the United States Army and was called for various deployments.  Plaintiff has repeatedly applied for promotion to Division Chief and was passed over for promotion several times. *** Defendant uses the rule of five to select personnel for promotion, which, according to Plaintiff violates Plaintiff's rights under USERRA by ‘not following the State of Florida Veterans preference.’  Plaintiff has complained to the Defendant that his military service was a factor in the decision to deny him promotion. </w:t>
      </w:r>
    </w:p>
    <w:p w14:paraId="250A507F" w14:textId="77777777" w:rsidR="00EC50D5" w:rsidRPr="002119A9" w:rsidRDefault="00EC50D5" w:rsidP="00EC50D5">
      <w:pPr>
        <w:pStyle w:val="NoSpacing"/>
        <w:ind w:left="720"/>
        <w:rPr>
          <w:rFonts w:ascii="Times New Roman" w:hAnsi="Times New Roman"/>
          <w:sz w:val="24"/>
          <w:szCs w:val="24"/>
        </w:rPr>
      </w:pPr>
    </w:p>
    <w:p w14:paraId="17BEEEFB" w14:textId="77777777" w:rsidR="00EC50D5" w:rsidRPr="002119A9" w:rsidRDefault="00EC50D5" w:rsidP="00EC50D5">
      <w:pPr>
        <w:pStyle w:val="NoSpacing"/>
        <w:ind w:left="720"/>
        <w:rPr>
          <w:rFonts w:ascii="Times New Roman" w:hAnsi="Times New Roman"/>
          <w:sz w:val="24"/>
          <w:szCs w:val="24"/>
        </w:rPr>
      </w:pPr>
      <w:r w:rsidRPr="002119A9">
        <w:rPr>
          <w:rFonts w:ascii="Times New Roman" w:hAnsi="Times New Roman"/>
          <w:sz w:val="24"/>
          <w:szCs w:val="24"/>
        </w:rPr>
        <w:t>***</w:t>
      </w:r>
    </w:p>
    <w:p w14:paraId="12E2DAAB" w14:textId="77777777" w:rsidR="00EC50D5" w:rsidRPr="002119A9" w:rsidRDefault="00EC50D5" w:rsidP="00EC50D5">
      <w:pPr>
        <w:pStyle w:val="NoSpacing"/>
        <w:rPr>
          <w:rFonts w:ascii="Times New Roman" w:hAnsi="Times New Roman"/>
          <w:sz w:val="24"/>
          <w:szCs w:val="24"/>
        </w:rPr>
      </w:pPr>
    </w:p>
    <w:p w14:paraId="23EB908A" w14:textId="77777777" w:rsidR="00EC50D5" w:rsidRPr="002119A9" w:rsidRDefault="00EC50D5" w:rsidP="00EC50D5">
      <w:pPr>
        <w:pStyle w:val="NoSpacing"/>
        <w:ind w:left="720"/>
        <w:rPr>
          <w:rFonts w:ascii="Times New Roman" w:eastAsia="Times New Roman" w:hAnsi="Times New Roman"/>
          <w:b/>
          <w:bCs/>
          <w:sz w:val="24"/>
          <w:szCs w:val="24"/>
        </w:rPr>
      </w:pPr>
      <w:r w:rsidRPr="002119A9">
        <w:rPr>
          <w:rFonts w:ascii="Times New Roman" w:hAnsi="Times New Roman"/>
          <w:sz w:val="24"/>
          <w:szCs w:val="24"/>
        </w:rPr>
        <w:t xml:space="preserve">To establish a prima facie case under USERRA, "a plaintiff must show by a preponderance of the evidence that his protected status was a motivating factor in the challenged action." Dominguez v. Miami-Dade </w:t>
      </w:r>
      <w:proofErr w:type="spellStart"/>
      <w:r w:rsidRPr="002119A9">
        <w:rPr>
          <w:rFonts w:ascii="Times New Roman" w:hAnsi="Times New Roman"/>
          <w:sz w:val="24"/>
          <w:szCs w:val="24"/>
        </w:rPr>
        <w:t>Cty</w:t>
      </w:r>
      <w:proofErr w:type="spellEnd"/>
      <w:r w:rsidRPr="002119A9">
        <w:rPr>
          <w:rFonts w:ascii="Times New Roman" w:hAnsi="Times New Roman"/>
          <w:sz w:val="24"/>
          <w:szCs w:val="24"/>
        </w:rPr>
        <w:t xml:space="preserve">., 669 F. Supp. 2d 1340, 1347 (S.D. Fla. 2009), aff'd, 416 F. </w:t>
      </w:r>
      <w:proofErr w:type="spellStart"/>
      <w:r w:rsidRPr="002119A9">
        <w:rPr>
          <w:rFonts w:ascii="Times New Roman" w:hAnsi="Times New Roman"/>
          <w:sz w:val="24"/>
          <w:szCs w:val="24"/>
        </w:rPr>
        <w:t>App'x</w:t>
      </w:r>
      <w:proofErr w:type="spellEnd"/>
      <w:r w:rsidRPr="002119A9">
        <w:rPr>
          <w:rFonts w:ascii="Times New Roman" w:hAnsi="Times New Roman"/>
          <w:sz w:val="24"/>
          <w:szCs w:val="24"/>
        </w:rPr>
        <w:t xml:space="preserve"> 884 (11th Cir. 2011). *** The Court finds that Plaintiff has failed to meet the burden to allege that his protected status as a servicemember was the motivating factor behind Defendant's choice not to promote him.  </w:t>
      </w:r>
      <w:hyperlink r:id="rId1941" w:history="1">
        <w:r w:rsidRPr="002119A9">
          <w:rPr>
            <w:rStyle w:val="Hyperlink"/>
            <w:rFonts w:ascii="Times New Roman" w:eastAsia="Times New Roman" w:hAnsi="Times New Roman"/>
            <w:b/>
            <w:bCs/>
            <w:sz w:val="24"/>
            <w:szCs w:val="24"/>
          </w:rPr>
          <w:t>http://41af3k34gprx4f6bg12df75i.wpengine.netdna-cdn.com/wp-content/uploads/sites/19/2019/05/Ramirez-v.-City-of-Fort-Lauderdale-Fire-Rescue_-2019-U.pdf</w:t>
        </w:r>
      </w:hyperlink>
      <w:r w:rsidRPr="002119A9">
        <w:rPr>
          <w:rFonts w:ascii="Times New Roman" w:eastAsia="Times New Roman" w:hAnsi="Times New Roman"/>
          <w:b/>
          <w:bCs/>
          <w:sz w:val="24"/>
          <w:szCs w:val="24"/>
        </w:rPr>
        <w:t xml:space="preserve"> </w:t>
      </w:r>
    </w:p>
    <w:p w14:paraId="66F16DF9" w14:textId="1F14BD60" w:rsidR="00EC50D5" w:rsidRPr="00715CF2" w:rsidRDefault="00EC50D5" w:rsidP="00EC50D5">
      <w:pPr>
        <w:rPr>
          <w:rFonts w:ascii="Times New Roman" w:hAnsi="Times New Roman"/>
          <w:bCs/>
          <w:sz w:val="24"/>
          <w:szCs w:val="24"/>
        </w:rPr>
      </w:pPr>
      <w:r w:rsidRPr="0052665B">
        <w:rPr>
          <w:rFonts w:ascii="Times New Roman" w:hAnsi="Times New Roman"/>
          <w:b/>
          <w:sz w:val="24"/>
          <w:szCs w:val="24"/>
        </w:rPr>
        <w:t>Legal Lesson Learned:  Plaintiff failed to show that his protected military status was a motivating factor in not being promoted</w:t>
      </w:r>
    </w:p>
    <w:p w14:paraId="115D1A0E" w14:textId="77777777" w:rsidR="005B0774" w:rsidRDefault="005B0774" w:rsidP="00F326E5">
      <w:pPr>
        <w:rPr>
          <w:rFonts w:ascii="Arial Black" w:hAnsi="Arial Black"/>
          <w:b/>
          <w:sz w:val="24"/>
          <w:szCs w:val="24"/>
        </w:rPr>
      </w:pPr>
    </w:p>
    <w:p w14:paraId="6968C5B4" w14:textId="3C2D78DC" w:rsidR="005B0774" w:rsidRDefault="005B0774" w:rsidP="00F326E5">
      <w:pPr>
        <w:rPr>
          <w:rFonts w:ascii="Arial Black" w:hAnsi="Arial Black"/>
          <w:b/>
          <w:sz w:val="24"/>
          <w:szCs w:val="24"/>
        </w:rPr>
      </w:pPr>
      <w:r>
        <w:rPr>
          <w:rFonts w:ascii="Arial Black" w:hAnsi="Arial Black"/>
          <w:b/>
          <w:sz w:val="24"/>
          <w:szCs w:val="24"/>
        </w:rPr>
        <w:t>11-5</w:t>
      </w:r>
    </w:p>
    <w:p w14:paraId="16813B02" w14:textId="2766604B" w:rsidR="005B0774" w:rsidRPr="00E9307E" w:rsidRDefault="005B0774" w:rsidP="00F326E5">
      <w:pPr>
        <w:rPr>
          <w:rFonts w:ascii="Arial Black" w:hAnsi="Arial Black"/>
          <w:sz w:val="28"/>
          <w:szCs w:val="28"/>
        </w:rPr>
      </w:pPr>
      <w:r w:rsidRPr="00E9307E">
        <w:rPr>
          <w:rFonts w:ascii="Arial Black" w:hAnsi="Arial Black" w:cs="Arial"/>
          <w:sz w:val="28"/>
          <w:szCs w:val="28"/>
        </w:rPr>
        <w:t xml:space="preserve">WA: FED. JUDGE REFUSES DECLARATORY JUDGMENT – BATTALION </w:t>
      </w:r>
      <w:r w:rsidRPr="00E9307E">
        <w:rPr>
          <w:rFonts w:ascii="Arial Black" w:hAnsi="Arial Black"/>
          <w:sz w:val="28"/>
          <w:szCs w:val="28"/>
        </w:rPr>
        <w:t xml:space="preserve">CHIEFS / FIRE MARSHALS ARE “EXEMPT” FLSA </w:t>
      </w:r>
    </w:p>
    <w:p w14:paraId="195ACE47" w14:textId="77777777" w:rsidR="00E658E1" w:rsidRDefault="005B0774" w:rsidP="00F326E5">
      <w:pPr>
        <w:rPr>
          <w:rFonts w:ascii="Times New Roman" w:hAnsi="Times New Roman"/>
          <w:sz w:val="24"/>
          <w:szCs w:val="24"/>
        </w:rPr>
      </w:pPr>
      <w:r w:rsidRPr="0036327D">
        <w:rPr>
          <w:rFonts w:ascii="Times New Roman" w:hAnsi="Times New Roman"/>
          <w:sz w:val="24"/>
          <w:szCs w:val="24"/>
        </w:rPr>
        <w:t>On April 18, 2019, in Spokane Valley Fire Department v. IAFF Local 3701, U.S. District Court Judge Salvador Mendoza, Jr., held:</w:t>
      </w:r>
    </w:p>
    <w:p w14:paraId="7AACB06E" w14:textId="033EC010" w:rsidR="005B0774" w:rsidRPr="0036327D" w:rsidRDefault="005B0774" w:rsidP="00E658E1">
      <w:pPr>
        <w:ind w:left="720"/>
        <w:rPr>
          <w:rFonts w:ascii="Times New Roman" w:hAnsi="Times New Roman"/>
          <w:sz w:val="24"/>
          <w:szCs w:val="24"/>
        </w:rPr>
      </w:pPr>
      <w:r w:rsidRPr="0036327D">
        <w:rPr>
          <w:rFonts w:ascii="Times New Roman" w:hAnsi="Times New Roman"/>
          <w:sz w:val="24"/>
          <w:szCs w:val="24"/>
        </w:rPr>
        <w:t xml:space="preserve">“But the problem for the Department is that it fails to demonstrate any potential FLSA overtime claims have accrued or are certainly impending and pose an imminent threat, </w:t>
      </w:r>
      <w:proofErr w:type="gramStart"/>
      <w:r w:rsidRPr="0036327D">
        <w:rPr>
          <w:rFonts w:ascii="Times New Roman" w:hAnsi="Times New Roman"/>
          <w:sz w:val="24"/>
          <w:szCs w:val="24"/>
        </w:rPr>
        <w:t>so as to</w:t>
      </w:r>
      <w:proofErr w:type="gramEnd"/>
      <w:r w:rsidRPr="0036327D">
        <w:rPr>
          <w:rFonts w:ascii="Times New Roman" w:hAnsi="Times New Roman"/>
          <w:sz w:val="24"/>
          <w:szCs w:val="24"/>
        </w:rPr>
        <w:t xml:space="preserve"> establish standing and ripeness. By continuing to operate under the existing collective bargaining agreement, the Department is preserving an injury-free status quo.”</w:t>
      </w:r>
      <w:r w:rsidR="00C95AF6" w:rsidRPr="0036327D">
        <w:rPr>
          <w:rFonts w:ascii="Times New Roman" w:hAnsi="Times New Roman"/>
          <w:sz w:val="24"/>
          <w:szCs w:val="24"/>
        </w:rPr>
        <w:t xml:space="preserve"> </w:t>
      </w:r>
      <w:hyperlink r:id="rId1942" w:history="1">
        <w:r w:rsidR="00C95AF6" w:rsidRPr="0036327D">
          <w:rPr>
            <w:rStyle w:val="Hyperlink"/>
            <w:rFonts w:ascii="Times New Roman" w:hAnsi="Times New Roman"/>
            <w:sz w:val="24"/>
            <w:szCs w:val="24"/>
          </w:rPr>
          <w:t>http://41af3k34gprx4f6bg12df75i.wpengine.netdna-cdn.com/wp-content/uploads/sites/19/2019/04/Spokane-Valley-Fire-Department-v-IAFF-Local-3701-RULING.pdf</w:t>
        </w:r>
      </w:hyperlink>
      <w:r w:rsidR="00C95AF6" w:rsidRPr="0036327D">
        <w:rPr>
          <w:rFonts w:ascii="Times New Roman" w:hAnsi="Times New Roman"/>
          <w:sz w:val="24"/>
          <w:szCs w:val="24"/>
        </w:rPr>
        <w:t xml:space="preserve"> </w:t>
      </w:r>
    </w:p>
    <w:p w14:paraId="611A277B" w14:textId="77777777" w:rsidR="00C95AF6" w:rsidRPr="0036327D" w:rsidRDefault="00C95AF6" w:rsidP="00F326E5">
      <w:pPr>
        <w:rPr>
          <w:rFonts w:ascii="Times New Roman" w:hAnsi="Times New Roman"/>
          <w:b/>
          <w:bCs/>
          <w:sz w:val="24"/>
          <w:szCs w:val="24"/>
        </w:rPr>
      </w:pPr>
      <w:r w:rsidRPr="0036327D">
        <w:rPr>
          <w:rFonts w:ascii="Times New Roman" w:hAnsi="Times New Roman"/>
          <w:b/>
          <w:bCs/>
          <w:sz w:val="24"/>
          <w:szCs w:val="24"/>
        </w:rPr>
        <w:t>Legal Lessons Learned: The Fire Department can always consult with U.S. Department of Labor, Wage &amp; Hour Division, or seek a formal opinion letter concerning the proper classification of their Battalion Chiefs and Fire Marshals based on a detailed description of their job duties.</w:t>
      </w:r>
    </w:p>
    <w:p w14:paraId="7C470B39" w14:textId="0F5AB7AC" w:rsidR="00C95AF6" w:rsidRPr="0036327D" w:rsidRDefault="00C95AF6" w:rsidP="00C95AF6">
      <w:pPr>
        <w:ind w:left="720"/>
        <w:rPr>
          <w:rFonts w:ascii="Times New Roman" w:hAnsi="Times New Roman"/>
          <w:sz w:val="24"/>
          <w:szCs w:val="24"/>
        </w:rPr>
      </w:pPr>
      <w:r w:rsidRPr="0036327D">
        <w:rPr>
          <w:rFonts w:ascii="Times New Roman" w:hAnsi="Times New Roman"/>
          <w:sz w:val="24"/>
          <w:szCs w:val="24"/>
        </w:rPr>
        <w:t xml:space="preserve">For example, see Opinion Letter FLSA 2005-40: “Accordingly, the duties described in your letter are sufficient to qualify the City’s Police Lieutenants, Police Captains, and Fire Battalion Chiefs as exempt from the minimum wage and overtime provisions of the FLSA. Therefore, so long as the actual duties performed by these employees are consistent with those described, the referenced employees are exempt from these provisions of the FLSA.” </w:t>
      </w:r>
      <w:hyperlink r:id="rId1943" w:history="1">
        <w:r w:rsidRPr="0036327D">
          <w:rPr>
            <w:rStyle w:val="Hyperlink"/>
            <w:rFonts w:ascii="Times New Roman" w:hAnsi="Times New Roman"/>
            <w:sz w:val="24"/>
            <w:szCs w:val="24"/>
          </w:rPr>
          <w:t>https://www.dol.gov/whd/opinion/FLSA/2005/2005_10_14_40_FLSA.pdf</w:t>
        </w:r>
      </w:hyperlink>
      <w:r w:rsidRPr="0036327D">
        <w:rPr>
          <w:rFonts w:ascii="Times New Roman" w:hAnsi="Times New Roman"/>
          <w:sz w:val="24"/>
          <w:szCs w:val="24"/>
        </w:rPr>
        <w:t xml:space="preserve"> </w:t>
      </w:r>
    </w:p>
    <w:p w14:paraId="719DFCB2" w14:textId="77777777" w:rsidR="005B0774" w:rsidRPr="0036327D" w:rsidRDefault="005B0774" w:rsidP="00F326E5">
      <w:pPr>
        <w:rPr>
          <w:rFonts w:ascii="Times New Roman" w:hAnsi="Times New Roman"/>
          <w:b/>
          <w:sz w:val="24"/>
          <w:szCs w:val="24"/>
        </w:rPr>
      </w:pPr>
    </w:p>
    <w:p w14:paraId="6D127516" w14:textId="4DF9577C" w:rsidR="00DE0F03" w:rsidRDefault="00DE0F03" w:rsidP="00F326E5">
      <w:pPr>
        <w:rPr>
          <w:rFonts w:ascii="Arial Black" w:hAnsi="Arial Black"/>
          <w:sz w:val="40"/>
          <w:szCs w:val="40"/>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4</w:t>
      </w:r>
    </w:p>
    <w:p w14:paraId="1C7DB8BA" w14:textId="0633FCA0" w:rsidR="00F326E5" w:rsidRDefault="00F326E5" w:rsidP="00F326E5">
      <w:pPr>
        <w:pStyle w:val="NoSpacing"/>
        <w:rPr>
          <w:rFonts w:ascii="Arial Black" w:hAnsi="Arial Black"/>
          <w:sz w:val="28"/>
          <w:szCs w:val="28"/>
        </w:rPr>
      </w:pPr>
      <w:bookmarkStart w:id="409" w:name="_Hlk7345398"/>
      <w:r>
        <w:rPr>
          <w:rFonts w:ascii="Arial Black" w:hAnsi="Arial Black"/>
          <w:sz w:val="28"/>
          <w:szCs w:val="28"/>
        </w:rPr>
        <w:t>U.S. DEPT. OF LABOR: PROPOSED NEW RULE –</w:t>
      </w:r>
      <w:r w:rsidR="008F1BBB">
        <w:rPr>
          <w:rFonts w:ascii="Arial Black" w:hAnsi="Arial Black"/>
          <w:sz w:val="28"/>
          <w:szCs w:val="28"/>
        </w:rPr>
        <w:t xml:space="preserve"> </w:t>
      </w:r>
      <w:r>
        <w:rPr>
          <w:rFonts w:ascii="Arial Black" w:hAnsi="Arial Black"/>
          <w:sz w:val="28"/>
          <w:szCs w:val="28"/>
        </w:rPr>
        <w:t xml:space="preserve">ITEMS NOT INCLUDED IN “REGULAR RATE OF PAY” </w:t>
      </w:r>
    </w:p>
    <w:p w14:paraId="1E24790F" w14:textId="77777777" w:rsidR="00F326E5" w:rsidRPr="00E658E1" w:rsidRDefault="00F326E5" w:rsidP="00F326E5">
      <w:pPr>
        <w:spacing w:before="100" w:beforeAutospacing="1" w:after="100" w:afterAutospacing="1"/>
        <w:rPr>
          <w:rFonts w:ascii="Times New Roman" w:eastAsia="Times New Roman" w:hAnsi="Times New Roman"/>
          <w:sz w:val="24"/>
          <w:szCs w:val="24"/>
        </w:rPr>
      </w:pPr>
      <w:r w:rsidRPr="00E658E1">
        <w:rPr>
          <w:rFonts w:ascii="Times New Roman" w:eastAsia="Times New Roman" w:hAnsi="Times New Roman"/>
          <w:sz w:val="24"/>
          <w:szCs w:val="24"/>
        </w:rPr>
        <w:t xml:space="preserve">On March 28, 2019, the U.S. Department of Labor (Department) announced a proposed rule to amend 29 CFR part 778 to clarify and update regular rate requirements under section 7(e) of the Fair Labor Standards Act (FLSA).  </w:t>
      </w:r>
      <w:hyperlink r:id="rId1944" w:history="1">
        <w:r w:rsidRPr="00E658E1">
          <w:rPr>
            <w:rStyle w:val="Hyperlink"/>
            <w:rFonts w:ascii="Times New Roman" w:hAnsi="Times New Roman"/>
            <w:sz w:val="24"/>
            <w:szCs w:val="24"/>
          </w:rPr>
          <w:t>https://www.dol.gov/whd/overtime/regularrate2019.htm</w:t>
        </w:r>
      </w:hyperlink>
      <w:r w:rsidRPr="00E658E1">
        <w:rPr>
          <w:rFonts w:ascii="Times New Roman" w:eastAsia="Times New Roman" w:hAnsi="Times New Roman"/>
          <w:sz w:val="24"/>
          <w:szCs w:val="24"/>
        </w:rPr>
        <w:t xml:space="preserve"> </w:t>
      </w:r>
    </w:p>
    <w:p w14:paraId="784504D8" w14:textId="77777777" w:rsidR="00F326E5" w:rsidRPr="00E658E1" w:rsidRDefault="00F326E5" w:rsidP="00F326E5">
      <w:pPr>
        <w:spacing w:before="100" w:beforeAutospacing="1" w:after="100" w:afterAutospacing="1"/>
        <w:ind w:left="720"/>
        <w:rPr>
          <w:rFonts w:ascii="Times New Roman" w:eastAsia="Times New Roman" w:hAnsi="Times New Roman"/>
          <w:sz w:val="24"/>
          <w:szCs w:val="24"/>
        </w:rPr>
      </w:pPr>
      <w:r w:rsidRPr="00E658E1">
        <w:rPr>
          <w:rFonts w:ascii="Times New Roman" w:eastAsia="Times New Roman" w:hAnsi="Times New Roman"/>
          <w:sz w:val="24"/>
          <w:szCs w:val="24"/>
        </w:rPr>
        <w:t xml:space="preserve">“The FLSA generally requires overtime pay of at least one and one-half times the regular rate of pay for hours worked </w:t>
      </w:r>
      <w:proofErr w:type="gramStart"/>
      <w:r w:rsidRPr="00E658E1">
        <w:rPr>
          <w:rFonts w:ascii="Times New Roman" w:eastAsia="Times New Roman" w:hAnsi="Times New Roman"/>
          <w:sz w:val="24"/>
          <w:szCs w:val="24"/>
        </w:rPr>
        <w:t>in excess of</w:t>
      </w:r>
      <w:proofErr w:type="gramEnd"/>
      <w:r w:rsidRPr="00E658E1">
        <w:rPr>
          <w:rFonts w:ascii="Times New Roman" w:eastAsia="Times New Roman" w:hAnsi="Times New Roman"/>
          <w:sz w:val="24"/>
          <w:szCs w:val="24"/>
        </w:rPr>
        <w:t xml:space="preserve"> 40 hours per workweek. Regular rate requirements define what forms of payment employers include and exclude in the “time and one-half” calculation when determining workers’ overtime rates. Under current rules, employers are discouraged from offering more perks to their employees as it may be unclear whether those perks must be included in the calculation of an employees’ regular rate of pay. The proposed rule focuses primarily on clarifying whether certain kinds of perks, benefits, or other miscellaneous items must be included in the regular rate. Because these regulations have not been updated in decades, the proposal would better define the regular rate for today’s workplace practices.</w:t>
      </w:r>
    </w:p>
    <w:p w14:paraId="0AD7CEDA" w14:textId="77777777" w:rsidR="00F326E5" w:rsidRPr="00E658E1" w:rsidRDefault="00F326E5" w:rsidP="00F326E5">
      <w:pPr>
        <w:spacing w:before="100" w:beforeAutospacing="1" w:after="100" w:afterAutospacing="1"/>
        <w:ind w:left="720"/>
        <w:rPr>
          <w:rFonts w:ascii="Times New Roman" w:eastAsia="Times New Roman" w:hAnsi="Times New Roman"/>
          <w:sz w:val="24"/>
          <w:szCs w:val="24"/>
        </w:rPr>
      </w:pPr>
      <w:r w:rsidRPr="00E658E1">
        <w:rPr>
          <w:rFonts w:ascii="Times New Roman" w:eastAsia="Times New Roman" w:hAnsi="Times New Roman"/>
          <w:sz w:val="24"/>
          <w:szCs w:val="24"/>
        </w:rPr>
        <w:t>The Department proposes clarifications to the regulations to confirm that employers may exclude the following from an employee’s regular rate of pay:</w:t>
      </w:r>
    </w:p>
    <w:p w14:paraId="142748C1"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the cost of providing wellness programs, onsite specialist treatment, gym access and fitness classes, and employee discounts on retail goods and services;</w:t>
      </w:r>
    </w:p>
    <w:p w14:paraId="421ED97F"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payments for unused paid leave, including paid sick leave;</w:t>
      </w:r>
    </w:p>
    <w:p w14:paraId="348ABE9F"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reimbursed expenses, even if not incurred “solely” for the employer’s benefit;</w:t>
      </w:r>
    </w:p>
    <w:p w14:paraId="49BF994D"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reimbursed travel expenses that do not exceed the maximum travel reimbursement permitted under the Federal Travel Regulation System regulations and that satisfy other regulatory requirements;</w:t>
      </w:r>
    </w:p>
    <w:p w14:paraId="5668FA02"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discretionary bonuses;</w:t>
      </w:r>
    </w:p>
    <w:p w14:paraId="144C132B"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Benefit plans, including accident, unemployment, and legal services; and</w:t>
      </w:r>
    </w:p>
    <w:p w14:paraId="45881670"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 xml:space="preserve">Tuition programs, such as reimbursement programs or repayment of educational </w:t>
      </w:r>
      <w:proofErr w:type="gramStart"/>
      <w:r w:rsidRPr="00E658E1">
        <w:rPr>
          <w:rFonts w:ascii="Times New Roman" w:eastAsia="Times New Roman" w:hAnsi="Times New Roman"/>
          <w:sz w:val="24"/>
          <w:szCs w:val="24"/>
        </w:rPr>
        <w:t>deb</w:t>
      </w:r>
      <w:proofErr w:type="gramEnd"/>
    </w:p>
    <w:p w14:paraId="10D19AE9" w14:textId="77777777" w:rsidR="00F326E5" w:rsidRPr="00E658E1" w:rsidRDefault="00F326E5" w:rsidP="00F326E5">
      <w:pPr>
        <w:spacing w:before="100" w:beforeAutospacing="1" w:after="100" w:afterAutospacing="1"/>
        <w:ind w:left="360"/>
        <w:rPr>
          <w:rFonts w:ascii="Times New Roman" w:eastAsia="Times New Roman" w:hAnsi="Times New Roman"/>
          <w:sz w:val="24"/>
          <w:szCs w:val="24"/>
        </w:rPr>
      </w:pPr>
      <w:r w:rsidRPr="00E658E1">
        <w:rPr>
          <w:rFonts w:ascii="Times New Roman" w:eastAsia="Times New Roman" w:hAnsi="Times New Roman"/>
          <w:sz w:val="24"/>
          <w:szCs w:val="24"/>
        </w:rPr>
        <w:t xml:space="preserve">The proposed rule also includes additional clarification about other forms of compensation, including payment for meal </w:t>
      </w:r>
      <w:proofErr w:type="gramStart"/>
      <w:r w:rsidRPr="00E658E1">
        <w:rPr>
          <w:rFonts w:ascii="Times New Roman" w:eastAsia="Times New Roman" w:hAnsi="Times New Roman"/>
          <w:sz w:val="24"/>
          <w:szCs w:val="24"/>
        </w:rPr>
        <w:t>periods, ‘</w:t>
      </w:r>
      <w:proofErr w:type="gramEnd"/>
      <w:r w:rsidRPr="00E658E1">
        <w:rPr>
          <w:rFonts w:ascii="Times New Roman" w:eastAsia="Times New Roman" w:hAnsi="Times New Roman"/>
          <w:sz w:val="24"/>
          <w:szCs w:val="24"/>
        </w:rPr>
        <w:t>call back’ pay, and others.</w:t>
      </w:r>
    </w:p>
    <w:p w14:paraId="5430966A" w14:textId="77777777" w:rsidR="00F326E5" w:rsidRPr="00E658E1" w:rsidRDefault="00F326E5" w:rsidP="00F326E5">
      <w:pPr>
        <w:spacing w:before="100" w:beforeAutospacing="1" w:after="100" w:afterAutospacing="1"/>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This new rule will hopefully provide more clarification for Fire &amp; EMS Departments and avoid litigation about “regular rate” of pay. </w:t>
      </w:r>
    </w:p>
    <w:p w14:paraId="67073C11" w14:textId="77777777" w:rsidR="00F326E5" w:rsidRPr="00E658E1" w:rsidRDefault="00F326E5" w:rsidP="00F326E5">
      <w:pPr>
        <w:spacing w:before="100" w:beforeAutospacing="1" w:after="100" w:afterAutospacing="1"/>
        <w:ind w:left="720"/>
        <w:rPr>
          <w:rFonts w:ascii="Times New Roman" w:hAnsi="Times New Roman"/>
          <w:sz w:val="24"/>
          <w:szCs w:val="24"/>
        </w:rPr>
      </w:pPr>
      <w:r w:rsidRPr="00E658E1">
        <w:rPr>
          <w:rFonts w:ascii="Times New Roman" w:eastAsia="Times New Roman" w:hAnsi="Times New Roman"/>
          <w:sz w:val="24"/>
          <w:szCs w:val="24"/>
        </w:rPr>
        <w:t xml:space="preserve">See, for example, </w:t>
      </w:r>
      <w:proofErr w:type="spellStart"/>
      <w:r w:rsidRPr="00E658E1">
        <w:rPr>
          <w:rFonts w:ascii="Times New Roman" w:eastAsia="Times New Roman" w:hAnsi="Times New Roman"/>
          <w:sz w:val="24"/>
          <w:szCs w:val="24"/>
        </w:rPr>
        <w:t>DoL</w:t>
      </w:r>
      <w:proofErr w:type="spellEnd"/>
      <w:r w:rsidRPr="00E658E1">
        <w:rPr>
          <w:rFonts w:ascii="Times New Roman" w:eastAsia="Times New Roman" w:hAnsi="Times New Roman"/>
          <w:sz w:val="24"/>
          <w:szCs w:val="24"/>
        </w:rPr>
        <w:t xml:space="preserve"> Advisory Opinion </w:t>
      </w:r>
      <w:r w:rsidRPr="00E658E1">
        <w:rPr>
          <w:rFonts w:ascii="Times New Roman" w:hAnsi="Times New Roman"/>
          <w:sz w:val="24"/>
          <w:szCs w:val="24"/>
        </w:rPr>
        <w:t xml:space="preserve">FLSA2018-5 (Jan. 5, 2018) regarding a Fire Department’s calculation of “regular rate of pay” concerning annual bonuses, such as certification pay, education pay, and longevity pay: </w:t>
      </w:r>
      <w:hyperlink r:id="rId1945" w:history="1">
        <w:r w:rsidRPr="00E658E1">
          <w:rPr>
            <w:rStyle w:val="Hyperlink"/>
            <w:rFonts w:ascii="Times New Roman" w:hAnsi="Times New Roman"/>
            <w:sz w:val="24"/>
            <w:szCs w:val="24"/>
          </w:rPr>
          <w:t>https://www.dol.gov/whd/opinion/FLSA/2018/2018_01_05_05_FLSA.pdf</w:t>
        </w:r>
      </w:hyperlink>
      <w:r w:rsidRPr="00E658E1">
        <w:rPr>
          <w:rFonts w:ascii="Times New Roman" w:hAnsi="Times New Roman"/>
          <w:sz w:val="24"/>
          <w:szCs w:val="24"/>
        </w:rPr>
        <w:t xml:space="preserve"> </w:t>
      </w:r>
      <w:bookmarkEnd w:id="409"/>
    </w:p>
    <w:p w14:paraId="350BF387" w14:textId="77777777" w:rsidR="005B0774" w:rsidRDefault="005B0774" w:rsidP="00F326E5">
      <w:pPr>
        <w:rPr>
          <w:rFonts w:ascii="Arial Black" w:hAnsi="Arial Black"/>
          <w:b/>
          <w:sz w:val="24"/>
          <w:szCs w:val="24"/>
        </w:rPr>
      </w:pPr>
    </w:p>
    <w:p w14:paraId="3E4F953D" w14:textId="5D30D298" w:rsidR="00F326E5" w:rsidRDefault="00DE0F03" w:rsidP="00F326E5">
      <w:pPr>
        <w:rPr>
          <w:rFonts w:ascii="Arial Black" w:hAnsi="Arial Black"/>
          <w:sz w:val="40"/>
          <w:szCs w:val="40"/>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3</w:t>
      </w:r>
    </w:p>
    <w:p w14:paraId="0E1D1C01" w14:textId="136F4CB6" w:rsidR="00F326E5" w:rsidRDefault="00F326E5" w:rsidP="00F326E5">
      <w:pPr>
        <w:pStyle w:val="NoSpacing"/>
        <w:rPr>
          <w:rFonts w:ascii="Arial Black" w:eastAsia="Times New Roman" w:hAnsi="Arial Black"/>
          <w:sz w:val="28"/>
          <w:szCs w:val="28"/>
        </w:rPr>
      </w:pPr>
      <w:bookmarkStart w:id="410" w:name="_Hlk7345530"/>
      <w:r>
        <w:rPr>
          <w:rFonts w:ascii="Arial Black" w:eastAsia="Times New Roman" w:hAnsi="Arial Black"/>
          <w:sz w:val="28"/>
          <w:szCs w:val="28"/>
        </w:rPr>
        <w:t xml:space="preserve">NC: FLSA – NONPROFIT, PRIVATE VOL. FD – NOT ELIGIBLE OVERTIME EXEMPTION – NOT “PUBLIC AGENCY” </w:t>
      </w:r>
    </w:p>
    <w:p w14:paraId="0DC819D9" w14:textId="77777777" w:rsidR="00F326E5" w:rsidRP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Nov. 8, 2018, the U.S. Department of Labor issued Opinion Letter FLSA 2018-24, concluding: “Based on the facts you have provided, the nonprofit, privately owned fire departments that you describe are not public agencies within the meaning of Section 7(k) and are therefore not entitled to its partial overtime exemption.” </w:t>
      </w:r>
      <w:hyperlink r:id="rId1946" w:history="1">
        <w:r w:rsidRPr="00E658E1">
          <w:rPr>
            <w:rStyle w:val="Hyperlink"/>
            <w:rFonts w:ascii="Times New Roman" w:hAnsi="Times New Roman"/>
            <w:sz w:val="24"/>
            <w:szCs w:val="24"/>
          </w:rPr>
          <w:t>https://www.dol.gov/whd/opinion/FLSA/2018/2018_11_08_24_FLSA.pdf</w:t>
        </w:r>
      </w:hyperlink>
      <w:r w:rsidRPr="00E658E1">
        <w:rPr>
          <w:rFonts w:ascii="Times New Roman" w:eastAsia="Times New Roman" w:hAnsi="Times New Roman"/>
          <w:sz w:val="24"/>
          <w:szCs w:val="24"/>
        </w:rPr>
        <w:t xml:space="preserve"> </w:t>
      </w:r>
    </w:p>
    <w:p w14:paraId="5094583F" w14:textId="77777777" w:rsidR="00F326E5" w:rsidRPr="00E658E1" w:rsidRDefault="00F326E5" w:rsidP="00F326E5">
      <w:pPr>
        <w:jc w:val="both"/>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When in doubt, it is helpful to seek an “official” Opinion Letter;   helps avoid litigation. These North Carolina nonprofit FDs must therefore continue to  pay overtime to employees working over 40 hours in a work week.  They don’t enjoy the “7(k) exemption” which allows public-sector FDs, for example, to pay overtime after 212 hours in a 28-day pay period (after 53 hours in a work week). </w:t>
      </w:r>
    </w:p>
    <w:p w14:paraId="131B33C0" w14:textId="77777777" w:rsidR="00F326E5" w:rsidRPr="00071B42" w:rsidRDefault="00F326E5" w:rsidP="00F326E5">
      <w:pPr>
        <w:ind w:firstLine="720"/>
        <w:jc w:val="both"/>
        <w:rPr>
          <w:rFonts w:eastAsia="Times New Roman"/>
          <w:sz w:val="24"/>
          <w:szCs w:val="24"/>
        </w:rPr>
      </w:pPr>
      <w:r w:rsidRPr="00071B42">
        <w:rPr>
          <w:rFonts w:eastAsia="Times New Roman"/>
          <w:sz w:val="24"/>
          <w:szCs w:val="24"/>
        </w:rPr>
        <w:t xml:space="preserve">See IAFF Manual (page 8); court cases involving 7k exemption: </w:t>
      </w:r>
    </w:p>
    <w:p w14:paraId="159D0912" w14:textId="77777777" w:rsidR="00F326E5" w:rsidRPr="00071B42" w:rsidRDefault="00F326E5" w:rsidP="00F326E5">
      <w:pPr>
        <w:ind w:firstLine="720"/>
        <w:jc w:val="both"/>
        <w:rPr>
          <w:rFonts w:eastAsia="Times New Roman"/>
          <w:sz w:val="24"/>
          <w:szCs w:val="24"/>
        </w:rPr>
      </w:pPr>
      <w:hyperlink r:id="rId1947" w:history="1">
        <w:r w:rsidRPr="00071B42">
          <w:rPr>
            <w:rStyle w:val="Hyperlink"/>
            <w:sz w:val="24"/>
            <w:szCs w:val="24"/>
          </w:rPr>
          <w:t>http://www.iaff.org/Legal/PDF/1996FLSAManual.pdf</w:t>
        </w:r>
      </w:hyperlink>
      <w:r w:rsidRPr="00071B42">
        <w:rPr>
          <w:rFonts w:eastAsia="Times New Roman"/>
          <w:sz w:val="24"/>
          <w:szCs w:val="24"/>
        </w:rPr>
        <w:t xml:space="preserve"> </w:t>
      </w:r>
    </w:p>
    <w:bookmarkEnd w:id="410"/>
    <w:p w14:paraId="4471B37B" w14:textId="77777777" w:rsidR="00F326E5" w:rsidRPr="00071B42" w:rsidRDefault="00F326E5" w:rsidP="00F326E5">
      <w:pPr>
        <w:rPr>
          <w:rFonts w:eastAsia="Times New Roman"/>
          <w:sz w:val="24"/>
          <w:szCs w:val="24"/>
        </w:rPr>
      </w:pPr>
    </w:p>
    <w:p w14:paraId="6C6E99A8" w14:textId="77777777" w:rsidR="00F326E5" w:rsidRDefault="00F326E5" w:rsidP="00F326E5">
      <w:pPr>
        <w:pStyle w:val="NoSpacing"/>
        <w:rPr>
          <w:sz w:val="24"/>
          <w:szCs w:val="24"/>
        </w:rPr>
      </w:pPr>
    </w:p>
    <w:p w14:paraId="365AB88B" w14:textId="6E96CDB6" w:rsidR="00DE0F03" w:rsidRDefault="00DE0F03" w:rsidP="00DE0F03">
      <w:pPr>
        <w:rPr>
          <w:sz w:val="24"/>
          <w:szCs w:val="24"/>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2</w:t>
      </w:r>
    </w:p>
    <w:p w14:paraId="6A09C022" w14:textId="77777777" w:rsidR="00F326E5" w:rsidRDefault="00F326E5" w:rsidP="00F326E5">
      <w:pPr>
        <w:pStyle w:val="NoSpacing"/>
        <w:rPr>
          <w:sz w:val="24"/>
          <w:szCs w:val="24"/>
        </w:rPr>
      </w:pPr>
    </w:p>
    <w:p w14:paraId="131CCD2B" w14:textId="2FDE99A4" w:rsidR="00F326E5" w:rsidRDefault="00F326E5" w:rsidP="00F326E5">
      <w:pPr>
        <w:pStyle w:val="NoSpacing"/>
        <w:rPr>
          <w:b/>
          <w:sz w:val="24"/>
          <w:szCs w:val="24"/>
        </w:rPr>
      </w:pPr>
      <w:bookmarkStart w:id="411" w:name="_Hlk7345571"/>
      <w:r w:rsidRPr="00B018B0">
        <w:rPr>
          <w:rFonts w:ascii="Arial Black" w:hAnsi="Arial Black"/>
          <w:b/>
          <w:sz w:val="28"/>
          <w:szCs w:val="28"/>
        </w:rPr>
        <w:t xml:space="preserve">NY:  MEAL ALLOWANCES FOR FDNY EMS – MUST BE INCLUDED IN CALCULATING </w:t>
      </w:r>
      <w:r>
        <w:rPr>
          <w:rFonts w:ascii="Arial Black" w:hAnsi="Arial Black"/>
          <w:b/>
          <w:sz w:val="28"/>
          <w:szCs w:val="28"/>
        </w:rPr>
        <w:t>“REGUL</w:t>
      </w:r>
      <w:r w:rsidR="000F0910">
        <w:rPr>
          <w:rFonts w:ascii="Arial Black" w:hAnsi="Arial Black"/>
          <w:b/>
          <w:sz w:val="28"/>
          <w:szCs w:val="28"/>
        </w:rPr>
        <w:t>A</w:t>
      </w:r>
      <w:r>
        <w:rPr>
          <w:rFonts w:ascii="Arial Black" w:hAnsi="Arial Black"/>
          <w:b/>
          <w:sz w:val="28"/>
          <w:szCs w:val="28"/>
        </w:rPr>
        <w:t xml:space="preserve">R </w:t>
      </w:r>
      <w:r w:rsidRPr="00B018B0">
        <w:rPr>
          <w:rFonts w:ascii="Arial Black" w:hAnsi="Arial Black"/>
          <w:b/>
          <w:sz w:val="28"/>
          <w:szCs w:val="28"/>
        </w:rPr>
        <w:t>RATE OF PAY</w:t>
      </w:r>
      <w:r>
        <w:rPr>
          <w:rFonts w:ascii="Arial Black" w:hAnsi="Arial Black"/>
          <w:b/>
          <w:sz w:val="28"/>
          <w:szCs w:val="28"/>
        </w:rPr>
        <w:t>”</w:t>
      </w:r>
    </w:p>
    <w:p w14:paraId="52F7A4EA" w14:textId="77777777" w:rsidR="00F326E5" w:rsidRPr="00E658E1" w:rsidRDefault="00F326E5" w:rsidP="00F326E5">
      <w:pPr>
        <w:pStyle w:val="NoSpacing"/>
        <w:rPr>
          <w:rFonts w:ascii="Times New Roman" w:hAnsi="Times New Roman"/>
          <w:sz w:val="24"/>
          <w:szCs w:val="24"/>
        </w:rPr>
      </w:pPr>
      <w:r w:rsidRPr="00E658E1">
        <w:rPr>
          <w:rFonts w:ascii="Times New Roman" w:hAnsi="Times New Roman"/>
          <w:sz w:val="24"/>
          <w:szCs w:val="24"/>
        </w:rPr>
        <w:t xml:space="preserve">On March 26, 2018, in </w:t>
      </w:r>
      <w:r w:rsidRPr="00E658E1">
        <w:rPr>
          <w:rFonts w:ascii="Times New Roman" w:hAnsi="Times New Roman"/>
          <w:sz w:val="24"/>
          <w:szCs w:val="24"/>
          <w:u w:val="single"/>
        </w:rPr>
        <w:t>Chaz Perry et al. v. City of New York</w:t>
      </w:r>
      <w:r w:rsidRPr="00E658E1">
        <w:rPr>
          <w:rFonts w:ascii="Times New Roman" w:hAnsi="Times New Roman"/>
          <w:sz w:val="24"/>
          <w:szCs w:val="24"/>
        </w:rPr>
        <w:t xml:space="preserve">, U.S. District Court for Southern District of New York, Federal District Judge Vernon S. Broderick held that the </w:t>
      </w:r>
      <w:proofErr w:type="gramStart"/>
      <w:r w:rsidRPr="00E658E1">
        <w:rPr>
          <w:rFonts w:ascii="Times New Roman" w:hAnsi="Times New Roman"/>
          <w:sz w:val="24"/>
          <w:szCs w:val="24"/>
        </w:rPr>
        <w:t>City</w:t>
      </w:r>
      <w:proofErr w:type="gramEnd"/>
      <w:r w:rsidRPr="00E658E1">
        <w:rPr>
          <w:rFonts w:ascii="Times New Roman" w:hAnsi="Times New Roman"/>
          <w:sz w:val="24"/>
          <w:szCs w:val="24"/>
        </w:rPr>
        <w:t xml:space="preserve"> must include meal allowances when calculating the “regular rate” of pay for overtime, just as City does for night shift differential pay.  In this lawsuit by over 2,600 FDNY paramedics, EMTs and Fire Inspectors, other claims in the lawsuit, including compensable work performed before and after Plaintiffs’ shifts, will go to trial. </w:t>
      </w:r>
      <w:hyperlink r:id="rId1948" w:history="1">
        <w:r w:rsidRPr="00E658E1">
          <w:rPr>
            <w:rStyle w:val="Hyperlink"/>
            <w:rFonts w:ascii="Times New Roman" w:hAnsi="Times New Roman"/>
            <w:sz w:val="24"/>
            <w:szCs w:val="24"/>
          </w:rPr>
          <w:t>https://law.justia.com/cases/federal/district-courts/new-york/nysdce/1:2013cv01015/407972/168/</w:t>
        </w:r>
      </w:hyperlink>
      <w:r w:rsidRPr="00E658E1">
        <w:rPr>
          <w:rFonts w:ascii="Times New Roman" w:hAnsi="Times New Roman"/>
          <w:sz w:val="24"/>
          <w:szCs w:val="24"/>
        </w:rPr>
        <w:t xml:space="preserve"> </w:t>
      </w:r>
    </w:p>
    <w:p w14:paraId="351228D4" w14:textId="77777777" w:rsidR="00E658E1" w:rsidRDefault="00E658E1" w:rsidP="00F326E5">
      <w:pPr>
        <w:rPr>
          <w:rFonts w:ascii="Times New Roman" w:hAnsi="Times New Roman"/>
          <w:b/>
          <w:sz w:val="24"/>
          <w:szCs w:val="24"/>
        </w:rPr>
      </w:pPr>
    </w:p>
    <w:p w14:paraId="017E8AFD" w14:textId="64B2A934" w:rsidR="00F326E5" w:rsidRPr="00E658E1" w:rsidRDefault="00F326E5" w:rsidP="00F326E5">
      <w:pPr>
        <w:rPr>
          <w:rFonts w:ascii="Times New Roman" w:hAnsi="Times New Roman"/>
          <w:b/>
          <w:sz w:val="24"/>
          <w:szCs w:val="24"/>
        </w:rPr>
      </w:pPr>
      <w:r w:rsidRPr="00E658E1">
        <w:rPr>
          <w:rFonts w:ascii="Times New Roman" w:hAnsi="Times New Roman"/>
          <w:b/>
          <w:sz w:val="24"/>
          <w:szCs w:val="24"/>
        </w:rPr>
        <w:t xml:space="preserve">Legal Lessons Learned:  Overtime pay is calculated by not only your hourly rate, but also other bonuses received, such as paramedic </w:t>
      </w:r>
      <w:proofErr w:type="gramStart"/>
      <w:r w:rsidRPr="00E658E1">
        <w:rPr>
          <w:rFonts w:ascii="Times New Roman" w:hAnsi="Times New Roman"/>
          <w:b/>
          <w:sz w:val="24"/>
          <w:szCs w:val="24"/>
        </w:rPr>
        <w:t>bonus</w:t>
      </w:r>
      <w:proofErr w:type="gramEnd"/>
      <w:r w:rsidRPr="00E658E1">
        <w:rPr>
          <w:rFonts w:ascii="Times New Roman" w:hAnsi="Times New Roman"/>
          <w:b/>
          <w:sz w:val="24"/>
          <w:szCs w:val="24"/>
        </w:rPr>
        <w:t xml:space="preserve"> and night shift differential. </w:t>
      </w:r>
    </w:p>
    <w:p w14:paraId="6EA6C78D" w14:textId="225D146E" w:rsidR="00F326E5" w:rsidRPr="00E658E1" w:rsidRDefault="00F326E5" w:rsidP="00F326E5">
      <w:pPr>
        <w:ind w:left="720"/>
        <w:rPr>
          <w:rFonts w:ascii="Times New Roman" w:hAnsi="Times New Roman"/>
          <w:sz w:val="24"/>
          <w:szCs w:val="24"/>
        </w:rPr>
      </w:pPr>
      <w:r w:rsidRPr="00E658E1">
        <w:rPr>
          <w:rFonts w:ascii="Times New Roman" w:hAnsi="Times New Roman"/>
          <w:sz w:val="24"/>
          <w:szCs w:val="24"/>
        </w:rPr>
        <w:t xml:space="preserve">See U.S. Department of Labor, Fact Sheet No. 23, and regulations. </w:t>
      </w:r>
      <w:hyperlink r:id="rId1949" w:history="1">
        <w:r w:rsidRPr="00E658E1">
          <w:rPr>
            <w:rStyle w:val="Hyperlink"/>
            <w:rFonts w:ascii="Times New Roman" w:hAnsi="Times New Roman"/>
            <w:sz w:val="24"/>
            <w:szCs w:val="24"/>
          </w:rPr>
          <w:t>file:///C:/Users/lawre/AppData/Local/Microsoft/Windows/INetCache/IE/CTCRXJ99/whdfs23.pdf</w:t>
        </w:r>
      </w:hyperlink>
      <w:r w:rsidRPr="00E658E1">
        <w:rPr>
          <w:rFonts w:ascii="Times New Roman" w:hAnsi="Times New Roman"/>
          <w:sz w:val="24"/>
          <w:szCs w:val="24"/>
        </w:rPr>
        <w:t xml:space="preserve">  </w:t>
      </w:r>
    </w:p>
    <w:p w14:paraId="6EA47649" w14:textId="77777777" w:rsidR="00DE0F03" w:rsidRPr="00E658E1" w:rsidRDefault="00DE0F03" w:rsidP="00DE0F03">
      <w:pPr>
        <w:rPr>
          <w:rFonts w:ascii="Times New Roman" w:hAnsi="Times New Roman"/>
          <w:b/>
          <w:sz w:val="24"/>
          <w:szCs w:val="24"/>
        </w:rPr>
      </w:pPr>
    </w:p>
    <w:p w14:paraId="5BEB22CC" w14:textId="7C98027D" w:rsidR="00DE0F03" w:rsidRDefault="00DE0F03" w:rsidP="00DE0F03">
      <w:pPr>
        <w:rPr>
          <w:sz w:val="24"/>
          <w:szCs w:val="24"/>
        </w:rPr>
      </w:pPr>
      <w:r>
        <w:rPr>
          <w:rFonts w:ascii="Arial Black" w:hAnsi="Arial Black"/>
          <w:b/>
          <w:sz w:val="24"/>
          <w:szCs w:val="24"/>
        </w:rPr>
        <w:t>11</w:t>
      </w:r>
      <w:r w:rsidRPr="00EF1133">
        <w:rPr>
          <w:rFonts w:ascii="Arial Black" w:hAnsi="Arial Black"/>
          <w:b/>
          <w:sz w:val="24"/>
          <w:szCs w:val="24"/>
        </w:rPr>
        <w:t>-1</w:t>
      </w:r>
    </w:p>
    <w:p w14:paraId="7FE50A4C" w14:textId="09B8F2E9" w:rsidR="00F326E5" w:rsidRPr="0000463F" w:rsidRDefault="00F326E5" w:rsidP="00F326E5">
      <w:pPr>
        <w:rPr>
          <w:rFonts w:ascii="Arial Black" w:hAnsi="Arial Black"/>
          <w:sz w:val="28"/>
          <w:szCs w:val="28"/>
        </w:rPr>
      </w:pPr>
      <w:bookmarkStart w:id="412" w:name="_Hlk7345626"/>
      <w:bookmarkEnd w:id="411"/>
      <w:r w:rsidRPr="0000463F">
        <w:rPr>
          <w:rFonts w:ascii="Arial Black" w:hAnsi="Arial Black"/>
          <w:sz w:val="28"/>
          <w:szCs w:val="28"/>
        </w:rPr>
        <w:t xml:space="preserve">U.S. </w:t>
      </w:r>
      <w:r>
        <w:rPr>
          <w:rFonts w:ascii="Arial Black" w:hAnsi="Arial Black"/>
          <w:sz w:val="28"/>
          <w:szCs w:val="28"/>
        </w:rPr>
        <w:t xml:space="preserve">DOL:  FD CONTRACTS WITH PRIVATE COMPANY FOR EMS – </w:t>
      </w:r>
      <w:r w:rsidR="008F1BBB">
        <w:rPr>
          <w:rFonts w:ascii="Arial Black" w:hAnsi="Arial Black"/>
          <w:sz w:val="28"/>
          <w:szCs w:val="28"/>
        </w:rPr>
        <w:t xml:space="preserve">EMT </w:t>
      </w:r>
      <w:r>
        <w:rPr>
          <w:rFonts w:ascii="Arial Black" w:hAnsi="Arial Black"/>
          <w:sz w:val="28"/>
          <w:szCs w:val="28"/>
        </w:rPr>
        <w:t>CAN’T VOL</w:t>
      </w:r>
      <w:r w:rsidR="008F1BBB">
        <w:rPr>
          <w:rFonts w:ascii="Arial Black" w:hAnsi="Arial Black"/>
          <w:sz w:val="28"/>
          <w:szCs w:val="28"/>
        </w:rPr>
        <w:t xml:space="preserve">UNTEER </w:t>
      </w:r>
      <w:r>
        <w:rPr>
          <w:rFonts w:ascii="Arial Black" w:hAnsi="Arial Black"/>
          <w:sz w:val="28"/>
          <w:szCs w:val="28"/>
        </w:rPr>
        <w:t xml:space="preserve">IF </w:t>
      </w:r>
      <w:r w:rsidR="008F1BBB">
        <w:rPr>
          <w:rFonts w:ascii="Arial Black" w:hAnsi="Arial Black"/>
          <w:sz w:val="28"/>
          <w:szCs w:val="28"/>
        </w:rPr>
        <w:t xml:space="preserve">PERFORMING </w:t>
      </w:r>
      <w:r>
        <w:rPr>
          <w:rFonts w:ascii="Arial Black" w:hAnsi="Arial Black"/>
          <w:sz w:val="28"/>
          <w:szCs w:val="28"/>
        </w:rPr>
        <w:t>SAME SERVICES</w:t>
      </w:r>
    </w:p>
    <w:p w14:paraId="43E1D9EC" w14:textId="77777777" w:rsid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Jan. 5, 2018, the U.S. Department of Labor issued Opinion Letter FLSA 2018-16, re-affirmed a 2009 Opinion Letter: </w:t>
      </w:r>
    </w:p>
    <w:p w14:paraId="10C90298" w14:textId="7265BBC8" w:rsidR="00F326E5" w:rsidRPr="00E658E1" w:rsidRDefault="00F326E5" w:rsidP="00E658E1">
      <w:pPr>
        <w:ind w:left="720"/>
        <w:rPr>
          <w:rFonts w:ascii="Times New Roman" w:eastAsia="Times New Roman" w:hAnsi="Times New Roman"/>
          <w:sz w:val="24"/>
          <w:szCs w:val="24"/>
        </w:rPr>
      </w:pPr>
      <w:r w:rsidRPr="00E658E1">
        <w:rPr>
          <w:rFonts w:ascii="Times New Roman" w:eastAsia="Times New Roman" w:hAnsi="Times New Roman"/>
          <w:sz w:val="24"/>
          <w:szCs w:val="24"/>
        </w:rPr>
        <w:t xml:space="preserve">“You [ask] whether the EMTs paid by the VFC’s contractor may continue to ‘volunteer’ as EMTs for the VFC without being compensated in accordance with the FLSA. The answer to this question depends on whether the VFC </w:t>
      </w:r>
      <w:proofErr w:type="gramStart"/>
      <w:r w:rsidRPr="00E658E1">
        <w:rPr>
          <w:rFonts w:ascii="Times New Roman" w:eastAsia="Times New Roman" w:hAnsi="Times New Roman"/>
          <w:sz w:val="24"/>
          <w:szCs w:val="24"/>
        </w:rPr>
        <w:t>is considered to be</w:t>
      </w:r>
      <w:proofErr w:type="gramEnd"/>
      <w:r w:rsidRPr="00E658E1">
        <w:rPr>
          <w:rFonts w:ascii="Times New Roman" w:eastAsia="Times New Roman" w:hAnsi="Times New Roman"/>
          <w:sz w:val="24"/>
          <w:szCs w:val="24"/>
        </w:rPr>
        <w:t xml:space="preserve"> an employer of the paid staff members. If the VFC is in fact deemed to be an employer (along with the contractor) of the paid staff members, the EMTs could not ‘volunteer’ to the VFC the same services that they perform </w:t>
      </w:r>
      <w:proofErr w:type="gramStart"/>
      <w:r w:rsidRPr="00E658E1">
        <w:rPr>
          <w:rFonts w:ascii="Times New Roman" w:eastAsia="Times New Roman" w:hAnsi="Times New Roman"/>
          <w:sz w:val="24"/>
          <w:szCs w:val="24"/>
        </w:rPr>
        <w:t>for</w:t>
      </w:r>
      <w:proofErr w:type="gramEnd"/>
      <w:r w:rsidRPr="00E658E1">
        <w:rPr>
          <w:rFonts w:ascii="Times New Roman" w:eastAsia="Times New Roman" w:hAnsi="Times New Roman"/>
          <w:sz w:val="24"/>
          <w:szCs w:val="24"/>
        </w:rPr>
        <w:t xml:space="preserve"> pay for the contractor. </w:t>
      </w:r>
      <w:hyperlink r:id="rId1950" w:history="1">
        <w:r w:rsidRPr="00E658E1">
          <w:rPr>
            <w:rStyle w:val="Hyperlink"/>
            <w:rFonts w:ascii="Times New Roman" w:hAnsi="Times New Roman"/>
            <w:sz w:val="24"/>
            <w:szCs w:val="24"/>
          </w:rPr>
          <w:t>https://www.dol.gov/whd/opinion/FLSA/2018/2018_01_05_16_FLSA.pdf</w:t>
        </w:r>
      </w:hyperlink>
      <w:r w:rsidRPr="00E658E1">
        <w:rPr>
          <w:rFonts w:ascii="Times New Roman" w:eastAsia="Times New Roman" w:hAnsi="Times New Roman"/>
          <w:sz w:val="24"/>
          <w:szCs w:val="24"/>
        </w:rPr>
        <w:t xml:space="preserve"> </w:t>
      </w:r>
    </w:p>
    <w:p w14:paraId="4AAFD519" w14:textId="77777777" w:rsidR="00F44623" w:rsidRDefault="00F326E5" w:rsidP="00F326E5">
      <w:pPr>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FLSA Opinion Letters are helpful, but as in this matter are not always definitive.  Fire &amp; EMS Departments are also encouraged to meet “face to face” with Wage &amp; Hour staff and get their informal </w:t>
      </w:r>
      <w:proofErr w:type="gramStart"/>
      <w:r w:rsidRPr="00E658E1">
        <w:rPr>
          <w:rFonts w:ascii="Times New Roman" w:eastAsia="Times New Roman" w:hAnsi="Times New Roman"/>
          <w:b/>
          <w:sz w:val="24"/>
          <w:szCs w:val="24"/>
        </w:rPr>
        <w:t xml:space="preserve">feedback, </w:t>
      </w:r>
      <w:r w:rsidR="00E658E1">
        <w:rPr>
          <w:rFonts w:ascii="Times New Roman" w:eastAsia="Times New Roman" w:hAnsi="Times New Roman"/>
          <w:b/>
          <w:sz w:val="24"/>
          <w:szCs w:val="24"/>
        </w:rPr>
        <w:t xml:space="preserve"> </w:t>
      </w:r>
      <w:r w:rsidRPr="00E658E1">
        <w:rPr>
          <w:rFonts w:ascii="Times New Roman" w:eastAsia="Times New Roman" w:hAnsi="Times New Roman"/>
          <w:b/>
          <w:sz w:val="24"/>
          <w:szCs w:val="24"/>
        </w:rPr>
        <w:t>and</w:t>
      </w:r>
      <w:proofErr w:type="gramEnd"/>
      <w:r w:rsidRPr="00E658E1">
        <w:rPr>
          <w:rFonts w:ascii="Times New Roman" w:eastAsia="Times New Roman" w:hAnsi="Times New Roman"/>
          <w:b/>
          <w:sz w:val="24"/>
          <w:szCs w:val="24"/>
        </w:rPr>
        <w:t xml:space="preserve"> consider retaining Legal Counsel experienced with FLSA issues. </w:t>
      </w:r>
    </w:p>
    <w:bookmarkEnd w:id="412"/>
    <w:p w14:paraId="3ABE2BFD" w14:textId="77777777" w:rsidR="00F44623" w:rsidRDefault="00F44623" w:rsidP="00F326E5">
      <w:pPr>
        <w:pStyle w:val="NoSpacing"/>
        <w:rPr>
          <w:rFonts w:ascii="Arial Black" w:hAnsi="Arial Black"/>
          <w:sz w:val="40"/>
          <w:szCs w:val="40"/>
        </w:rPr>
      </w:pPr>
    </w:p>
    <w:p w14:paraId="0F6AF8AF" w14:textId="4C154D1E" w:rsidR="00F44623" w:rsidRDefault="00F44623" w:rsidP="00F326E5">
      <w:pPr>
        <w:pStyle w:val="NoSpacing"/>
        <w:rPr>
          <w:rFonts w:ascii="Arial Black" w:hAnsi="Arial Black"/>
          <w:sz w:val="40"/>
          <w:szCs w:val="40"/>
        </w:rPr>
      </w:pPr>
      <w:r w:rsidRPr="00F44623">
        <w:rPr>
          <w:rFonts w:ascii="Times New Roman" w:hAnsi="Times New Roman"/>
          <w:b/>
          <w:bCs/>
          <w:sz w:val="24"/>
          <w:szCs w:val="24"/>
        </w:rPr>
        <w:t>See also 2018 PowerPoints by David Comstock, Esq.:</w:t>
      </w:r>
      <w:r>
        <w:rPr>
          <w:rFonts w:ascii="Arial Black" w:hAnsi="Arial Black"/>
          <w:sz w:val="40"/>
          <w:szCs w:val="40"/>
        </w:rPr>
        <w:t xml:space="preserve"> </w:t>
      </w:r>
      <w:hyperlink r:id="rId1951" w:history="1">
        <w:r w:rsidRPr="00F44623">
          <w:rPr>
            <w:rStyle w:val="Hyperlink"/>
            <w:rFonts w:ascii="Times New Roman" w:hAnsi="Times New Roman"/>
            <w:sz w:val="24"/>
            <w:szCs w:val="24"/>
          </w:rPr>
          <w:t>https://www.ohioauditor.gov/trainings/lgoc/2018/Fair%20Labor%20Standards%20Act%20for%20Firefighters.pdf</w:t>
        </w:r>
      </w:hyperlink>
      <w:r>
        <w:rPr>
          <w:rFonts w:ascii="Arial Black" w:hAnsi="Arial Black"/>
          <w:sz w:val="40"/>
          <w:szCs w:val="40"/>
        </w:rPr>
        <w:t xml:space="preserve"> </w:t>
      </w:r>
    </w:p>
    <w:p w14:paraId="71E4CC93" w14:textId="71892566" w:rsidR="00F44623" w:rsidRDefault="00F44623" w:rsidP="00F326E5">
      <w:pPr>
        <w:pStyle w:val="NoSpacing"/>
        <w:rPr>
          <w:rFonts w:ascii="Arial Black" w:hAnsi="Arial Black"/>
          <w:sz w:val="40"/>
          <w:szCs w:val="40"/>
        </w:rPr>
      </w:pPr>
    </w:p>
    <w:p w14:paraId="0D2D6C43" w14:textId="6A77043A" w:rsidR="00F44623" w:rsidRPr="00F44623" w:rsidRDefault="00F44623" w:rsidP="00F326E5">
      <w:pPr>
        <w:pStyle w:val="NoSpacing"/>
        <w:rPr>
          <w:rFonts w:ascii="Times New Roman" w:hAnsi="Times New Roman"/>
          <w:sz w:val="24"/>
          <w:szCs w:val="24"/>
        </w:rPr>
      </w:pPr>
      <w:r>
        <w:rPr>
          <w:rFonts w:ascii="Times New Roman" w:hAnsi="Times New Roman"/>
          <w:sz w:val="24"/>
          <w:szCs w:val="24"/>
        </w:rPr>
        <w:t xml:space="preserve">Nov. 14, 2014: </w:t>
      </w:r>
      <w:r w:rsidRPr="00F44623">
        <w:rPr>
          <w:rFonts w:ascii="Times New Roman" w:hAnsi="Times New Roman"/>
          <w:sz w:val="24"/>
          <w:szCs w:val="24"/>
          <w:u w:val="single"/>
        </w:rPr>
        <w:t>Jon Misewicz, et al. v. City of Memphis</w:t>
      </w:r>
      <w:r w:rsidRPr="00F44623">
        <w:rPr>
          <w:rFonts w:ascii="Times New Roman" w:hAnsi="Times New Roman"/>
          <w:sz w:val="24"/>
          <w:szCs w:val="24"/>
        </w:rPr>
        <w:t xml:space="preserve"> (6</w:t>
      </w:r>
      <w:r w:rsidRPr="00F44623">
        <w:rPr>
          <w:rFonts w:ascii="Times New Roman" w:hAnsi="Times New Roman"/>
          <w:sz w:val="24"/>
          <w:szCs w:val="24"/>
          <w:vertAlign w:val="superscript"/>
        </w:rPr>
        <w:t>th</w:t>
      </w:r>
      <w:r w:rsidRPr="00F44623">
        <w:rPr>
          <w:rFonts w:ascii="Times New Roman" w:hAnsi="Times New Roman"/>
          <w:sz w:val="24"/>
          <w:szCs w:val="24"/>
        </w:rPr>
        <w:t xml:space="preserve"> Circuit)</w:t>
      </w:r>
    </w:p>
    <w:p w14:paraId="19A23741" w14:textId="77777777" w:rsidR="00F44623" w:rsidRDefault="00F44623" w:rsidP="00F326E5">
      <w:pPr>
        <w:pStyle w:val="NoSpacing"/>
        <w:rPr>
          <w:rFonts w:ascii="Times New Roman" w:hAnsi="Times New Roman"/>
          <w:sz w:val="24"/>
          <w:szCs w:val="24"/>
        </w:rPr>
      </w:pPr>
    </w:p>
    <w:p w14:paraId="356CBFF4" w14:textId="3FACB675" w:rsidR="00F44623" w:rsidRPr="00F44623" w:rsidRDefault="00F44623" w:rsidP="00F44623">
      <w:pPr>
        <w:pStyle w:val="NoSpacing"/>
        <w:ind w:left="720"/>
        <w:rPr>
          <w:rFonts w:ascii="Times New Roman" w:hAnsi="Times New Roman"/>
          <w:sz w:val="24"/>
          <w:szCs w:val="24"/>
        </w:rPr>
      </w:pPr>
      <w:r>
        <w:rPr>
          <w:rFonts w:ascii="Times New Roman" w:hAnsi="Times New Roman"/>
          <w:sz w:val="24"/>
          <w:szCs w:val="24"/>
        </w:rPr>
        <w:t>“</w:t>
      </w:r>
      <w:r w:rsidRPr="00F44623">
        <w:rPr>
          <w:rFonts w:ascii="Times New Roman" w:hAnsi="Times New Roman"/>
          <w:sz w:val="24"/>
          <w:szCs w:val="24"/>
        </w:rPr>
        <w:t xml:space="preserve">In this case alleging violations of § 207 of the Fair Labor Standards Act, 29 U.S.C. § 207, plaintiffs-appellants (hereinafter </w:t>
      </w:r>
      <w:r w:rsidR="00AE3176">
        <w:rPr>
          <w:rFonts w:ascii="Times New Roman" w:hAnsi="Times New Roman"/>
          <w:sz w:val="24"/>
          <w:szCs w:val="24"/>
        </w:rPr>
        <w:t>‘</w:t>
      </w:r>
      <w:r w:rsidRPr="00F44623">
        <w:rPr>
          <w:rFonts w:ascii="Times New Roman" w:hAnsi="Times New Roman"/>
          <w:sz w:val="24"/>
          <w:szCs w:val="24"/>
        </w:rPr>
        <w:t>Plaintiffs</w:t>
      </w:r>
      <w:r w:rsidR="00AE3176">
        <w:rPr>
          <w:rFonts w:ascii="Times New Roman" w:hAnsi="Times New Roman"/>
          <w:sz w:val="24"/>
          <w:szCs w:val="24"/>
        </w:rPr>
        <w:t>’</w:t>
      </w:r>
      <w:r w:rsidRPr="00F44623">
        <w:rPr>
          <w:rFonts w:ascii="Times New Roman" w:hAnsi="Times New Roman"/>
          <w:sz w:val="24"/>
          <w:szCs w:val="24"/>
        </w:rPr>
        <w:t xml:space="preserve">), fire fighters employed by the Memphis Fire Department, appeal the district court’s grant of summary judgment to defendant-appellee the City of Memphis, Tennessee on their complaint asserting overtime pay for paramedic training time. For the reasons set forth below, we AFFIRM the district court’s grant of summary judgment to the City of Memphis. *** In relevant part, the form required an applicant to agree that </w:t>
      </w:r>
      <w:r w:rsidR="00AE3176">
        <w:rPr>
          <w:rFonts w:ascii="Times New Roman" w:hAnsi="Times New Roman"/>
          <w:sz w:val="24"/>
          <w:szCs w:val="24"/>
        </w:rPr>
        <w:t>‘</w:t>
      </w:r>
      <w:r w:rsidRPr="00F44623">
        <w:rPr>
          <w:rFonts w:ascii="Times New Roman" w:hAnsi="Times New Roman"/>
          <w:sz w:val="24"/>
          <w:szCs w:val="24"/>
        </w:rPr>
        <w:t>[w]</w:t>
      </w:r>
      <w:proofErr w:type="spellStart"/>
      <w:r w:rsidRPr="00F44623">
        <w:rPr>
          <w:rFonts w:ascii="Times New Roman" w:hAnsi="Times New Roman"/>
          <w:sz w:val="24"/>
          <w:szCs w:val="24"/>
        </w:rPr>
        <w:t>ithin</w:t>
      </w:r>
      <w:proofErr w:type="spellEnd"/>
      <w:r w:rsidRPr="00F44623">
        <w:rPr>
          <w:rFonts w:ascii="Times New Roman" w:hAnsi="Times New Roman"/>
          <w:sz w:val="24"/>
          <w:szCs w:val="24"/>
        </w:rPr>
        <w:t xml:space="preserve"> three (3) years of employment with the Memphis Fire Department, you must become licensed by the State of Tennessee as a Paramedic (EMT-Advanced), as a condition of continued employment.</w:t>
      </w:r>
      <w:r w:rsidR="00AE3176">
        <w:rPr>
          <w:rFonts w:ascii="Times New Roman" w:hAnsi="Times New Roman"/>
          <w:sz w:val="24"/>
          <w:szCs w:val="24"/>
        </w:rPr>
        <w:t>’</w:t>
      </w:r>
      <w:r w:rsidRPr="00F44623">
        <w:rPr>
          <w:rFonts w:ascii="Times New Roman" w:hAnsi="Times New Roman"/>
          <w:sz w:val="24"/>
          <w:szCs w:val="24"/>
        </w:rPr>
        <w:t xml:space="preserve">1Id. One hundred and eleven Plaintiffs signed the forms, and </w:t>
      </w:r>
      <w:r w:rsidR="00AE3176">
        <w:rPr>
          <w:rFonts w:ascii="Times New Roman" w:hAnsi="Times New Roman"/>
          <w:sz w:val="24"/>
          <w:szCs w:val="24"/>
        </w:rPr>
        <w:t>‘</w:t>
      </w:r>
      <w:r w:rsidRPr="00F44623">
        <w:rPr>
          <w:rFonts w:ascii="Times New Roman" w:hAnsi="Times New Roman"/>
          <w:sz w:val="24"/>
          <w:szCs w:val="24"/>
        </w:rPr>
        <w:t>[a]</w:t>
      </w:r>
      <w:proofErr w:type="spellStart"/>
      <w:r w:rsidRPr="00F44623">
        <w:rPr>
          <w:rFonts w:ascii="Times New Roman" w:hAnsi="Times New Roman"/>
          <w:sz w:val="24"/>
          <w:szCs w:val="24"/>
        </w:rPr>
        <w:t>ll</w:t>
      </w:r>
      <w:proofErr w:type="spellEnd"/>
      <w:r w:rsidRPr="00F44623">
        <w:rPr>
          <w:rFonts w:ascii="Times New Roman" w:hAnsi="Times New Roman"/>
          <w:sz w:val="24"/>
          <w:szCs w:val="24"/>
        </w:rPr>
        <w:t xml:space="preserve"> but four . . . signed in January or February 2007.</w:t>
      </w:r>
      <w:r w:rsidR="00AE3176">
        <w:rPr>
          <w:rFonts w:ascii="Times New Roman" w:hAnsi="Times New Roman"/>
          <w:sz w:val="24"/>
          <w:szCs w:val="24"/>
        </w:rPr>
        <w:t>’</w:t>
      </w:r>
      <w:r w:rsidRPr="00F44623">
        <w:rPr>
          <w:rFonts w:ascii="Times New Roman" w:hAnsi="Times New Roman"/>
          <w:sz w:val="24"/>
          <w:szCs w:val="24"/>
        </w:rPr>
        <w:t xml:space="preserve"> Id. ¶ 17 (Page ID #906). When Plaintiffs signed the forms, the MFD did not tell them that the training would be uncompensated or </w:t>
      </w:r>
      <w:proofErr w:type="gramStart"/>
      <w:r w:rsidRPr="00F44623">
        <w:rPr>
          <w:rFonts w:ascii="Times New Roman" w:hAnsi="Times New Roman"/>
          <w:sz w:val="24"/>
          <w:szCs w:val="24"/>
        </w:rPr>
        <w:t>off-duty</w:t>
      </w:r>
      <w:proofErr w:type="gramEnd"/>
      <w:r w:rsidRPr="00F44623">
        <w:rPr>
          <w:rFonts w:ascii="Times New Roman" w:hAnsi="Times New Roman"/>
          <w:sz w:val="24"/>
          <w:szCs w:val="24"/>
        </w:rPr>
        <w:t xml:space="preserve">. Id. ¶ 16 (Page ID #906). </w:t>
      </w:r>
      <w:hyperlink r:id="rId1952" w:history="1">
        <w:r w:rsidRPr="00F44623">
          <w:rPr>
            <w:rStyle w:val="Hyperlink"/>
            <w:rFonts w:ascii="Times New Roman" w:hAnsi="Times New Roman"/>
            <w:sz w:val="24"/>
            <w:szCs w:val="24"/>
          </w:rPr>
          <w:t>https://cases.justia.com/federal/appellate-courts/ca6/14-5053/14-5053-2014-11-14.pdf?ts=1415984433</w:t>
        </w:r>
      </w:hyperlink>
      <w:r w:rsidRPr="00F44623">
        <w:rPr>
          <w:rFonts w:ascii="Times New Roman" w:hAnsi="Times New Roman"/>
          <w:sz w:val="24"/>
          <w:szCs w:val="24"/>
        </w:rPr>
        <w:t xml:space="preserve"> </w:t>
      </w:r>
    </w:p>
    <w:p w14:paraId="0BDDD442" w14:textId="5824A830" w:rsidR="00F44623" w:rsidRDefault="00F44623">
      <w:pPr>
        <w:spacing w:after="0" w:line="240" w:lineRule="auto"/>
        <w:rPr>
          <w:rFonts w:ascii="Arial Black" w:hAnsi="Arial Black"/>
          <w:sz w:val="40"/>
          <w:szCs w:val="40"/>
        </w:rPr>
      </w:pPr>
      <w:r>
        <w:rPr>
          <w:rFonts w:ascii="Arial Black" w:hAnsi="Arial Black"/>
          <w:sz w:val="40"/>
          <w:szCs w:val="40"/>
        </w:rPr>
        <w:br w:type="page"/>
      </w:r>
    </w:p>
    <w:p w14:paraId="1ABCC0DD" w14:textId="098F2555" w:rsidR="00411E0E" w:rsidRDefault="00411E0E" w:rsidP="00411E0E">
      <w:pPr>
        <w:rPr>
          <w:rFonts w:ascii="Arial Black" w:hAnsi="Arial Black"/>
          <w:b/>
          <w:sz w:val="24"/>
          <w:szCs w:val="24"/>
        </w:rPr>
      </w:pPr>
    </w:p>
    <w:p w14:paraId="563FADC8" w14:textId="77777777" w:rsidR="00411E0E" w:rsidRDefault="00411E0E" w:rsidP="00411E0E">
      <w:pPr>
        <w:rPr>
          <w:rFonts w:ascii="Arial Black" w:hAnsi="Arial Black"/>
          <w:b/>
          <w:sz w:val="28"/>
          <w:szCs w:val="28"/>
        </w:rPr>
      </w:pPr>
    </w:p>
    <w:p w14:paraId="7B0D7F06" w14:textId="77777777" w:rsidR="00411E0E" w:rsidRDefault="00411E0E">
      <w:pPr>
        <w:spacing w:after="0" w:line="240" w:lineRule="auto"/>
        <w:rPr>
          <w:rFonts w:ascii="Arial Black" w:hAnsi="Arial Black"/>
          <w:sz w:val="40"/>
          <w:szCs w:val="40"/>
        </w:rPr>
      </w:pPr>
    </w:p>
    <w:p w14:paraId="11552CD5" w14:textId="77777777" w:rsidR="00F44623" w:rsidRDefault="00F44623" w:rsidP="00F326E5">
      <w:pPr>
        <w:pStyle w:val="NoSpacing"/>
        <w:rPr>
          <w:rFonts w:ascii="Arial Black" w:hAnsi="Arial Black"/>
          <w:sz w:val="40"/>
          <w:szCs w:val="40"/>
        </w:rPr>
      </w:pPr>
    </w:p>
    <w:p w14:paraId="588CE49C" w14:textId="77777777" w:rsidR="00020106" w:rsidRDefault="00020106" w:rsidP="00F326E5">
      <w:pPr>
        <w:pStyle w:val="NoSpacing"/>
        <w:rPr>
          <w:rFonts w:ascii="Arial Black" w:hAnsi="Arial Black"/>
          <w:sz w:val="40"/>
          <w:szCs w:val="40"/>
        </w:rPr>
      </w:pPr>
    </w:p>
    <w:p w14:paraId="030B98E6" w14:textId="77777777" w:rsidR="00020106" w:rsidRDefault="00020106" w:rsidP="00F326E5">
      <w:pPr>
        <w:pStyle w:val="NoSpacing"/>
        <w:rPr>
          <w:rFonts w:ascii="Arial Black" w:hAnsi="Arial Black"/>
          <w:sz w:val="40"/>
          <w:szCs w:val="40"/>
        </w:rPr>
      </w:pPr>
    </w:p>
    <w:p w14:paraId="55D107FF" w14:textId="77777777" w:rsidR="00020106" w:rsidRDefault="00020106" w:rsidP="00F326E5">
      <w:pPr>
        <w:pStyle w:val="NoSpacing"/>
        <w:rPr>
          <w:rFonts w:ascii="Arial Black" w:hAnsi="Arial Black"/>
          <w:sz w:val="40"/>
          <w:szCs w:val="40"/>
        </w:rPr>
      </w:pPr>
    </w:p>
    <w:p w14:paraId="7CC5AF74" w14:textId="77777777" w:rsidR="00020106" w:rsidRDefault="00020106" w:rsidP="00F326E5">
      <w:pPr>
        <w:pStyle w:val="NoSpacing"/>
        <w:rPr>
          <w:rFonts w:ascii="Arial Black" w:hAnsi="Arial Black"/>
          <w:sz w:val="40"/>
          <w:szCs w:val="40"/>
        </w:rPr>
      </w:pPr>
    </w:p>
    <w:p w14:paraId="7429EAEB" w14:textId="77777777" w:rsidR="00020106" w:rsidRDefault="00020106" w:rsidP="00F326E5">
      <w:pPr>
        <w:pStyle w:val="NoSpacing"/>
        <w:rPr>
          <w:rFonts w:ascii="Arial Black" w:hAnsi="Arial Black"/>
          <w:sz w:val="40"/>
          <w:szCs w:val="40"/>
        </w:rPr>
      </w:pPr>
    </w:p>
    <w:p w14:paraId="5D0ED5AB" w14:textId="77777777" w:rsidR="00020106" w:rsidRDefault="00020106" w:rsidP="00F326E5">
      <w:pPr>
        <w:pStyle w:val="NoSpacing"/>
        <w:rPr>
          <w:rFonts w:ascii="Arial Black" w:hAnsi="Arial Black"/>
          <w:sz w:val="40"/>
          <w:szCs w:val="40"/>
        </w:rPr>
      </w:pPr>
    </w:p>
    <w:p w14:paraId="1DB17969" w14:textId="77777777" w:rsidR="00020106" w:rsidRDefault="00020106" w:rsidP="00F326E5">
      <w:pPr>
        <w:pStyle w:val="NoSpacing"/>
        <w:rPr>
          <w:rFonts w:ascii="Arial Black" w:hAnsi="Arial Black"/>
          <w:sz w:val="40"/>
          <w:szCs w:val="40"/>
        </w:rPr>
      </w:pPr>
    </w:p>
    <w:p w14:paraId="4E5D2E5E" w14:textId="77777777" w:rsidR="00020106" w:rsidRDefault="00020106" w:rsidP="00F326E5">
      <w:pPr>
        <w:pStyle w:val="NoSpacing"/>
        <w:rPr>
          <w:rFonts w:ascii="Arial Black" w:hAnsi="Arial Black"/>
          <w:sz w:val="40"/>
          <w:szCs w:val="40"/>
        </w:rPr>
      </w:pPr>
    </w:p>
    <w:p w14:paraId="18D3BE3B" w14:textId="77777777" w:rsidR="00020106" w:rsidRDefault="00020106" w:rsidP="00F326E5">
      <w:pPr>
        <w:pStyle w:val="NoSpacing"/>
        <w:rPr>
          <w:rFonts w:ascii="Arial Black" w:hAnsi="Arial Black"/>
          <w:sz w:val="40"/>
          <w:szCs w:val="40"/>
        </w:rPr>
      </w:pPr>
    </w:p>
    <w:p w14:paraId="3863E80D" w14:textId="77777777" w:rsidR="00020106" w:rsidRDefault="00020106" w:rsidP="00F326E5">
      <w:pPr>
        <w:pStyle w:val="NoSpacing"/>
        <w:rPr>
          <w:rFonts w:ascii="Arial Black" w:hAnsi="Arial Black"/>
          <w:sz w:val="40"/>
          <w:szCs w:val="40"/>
        </w:rPr>
      </w:pPr>
    </w:p>
    <w:p w14:paraId="3F506ED8" w14:textId="77777777" w:rsidR="00020106" w:rsidRDefault="00020106" w:rsidP="00F326E5">
      <w:pPr>
        <w:pStyle w:val="NoSpacing"/>
        <w:rPr>
          <w:rFonts w:ascii="Arial Black" w:hAnsi="Arial Black"/>
          <w:sz w:val="40"/>
          <w:szCs w:val="40"/>
        </w:rPr>
      </w:pPr>
    </w:p>
    <w:p w14:paraId="57EDB87E" w14:textId="77777777" w:rsidR="00020106" w:rsidRDefault="00020106" w:rsidP="00F326E5">
      <w:pPr>
        <w:pStyle w:val="NoSpacing"/>
        <w:rPr>
          <w:rFonts w:ascii="Arial Black" w:hAnsi="Arial Black"/>
          <w:sz w:val="40"/>
          <w:szCs w:val="40"/>
        </w:rPr>
      </w:pPr>
    </w:p>
    <w:p w14:paraId="01DE9230" w14:textId="77777777" w:rsidR="00020106" w:rsidRDefault="00020106" w:rsidP="00F326E5">
      <w:pPr>
        <w:pStyle w:val="NoSpacing"/>
        <w:rPr>
          <w:rFonts w:ascii="Arial Black" w:hAnsi="Arial Black"/>
          <w:sz w:val="40"/>
          <w:szCs w:val="40"/>
        </w:rPr>
      </w:pPr>
    </w:p>
    <w:p w14:paraId="1DCF0D0C" w14:textId="77777777" w:rsidR="00020106" w:rsidRDefault="00020106" w:rsidP="00F326E5">
      <w:pPr>
        <w:pStyle w:val="NoSpacing"/>
        <w:rPr>
          <w:rFonts w:ascii="Arial Black" w:hAnsi="Arial Black"/>
          <w:sz w:val="40"/>
          <w:szCs w:val="40"/>
        </w:rPr>
      </w:pPr>
    </w:p>
    <w:p w14:paraId="0CFF60B8" w14:textId="77777777" w:rsidR="00020106" w:rsidRDefault="00020106" w:rsidP="00F326E5">
      <w:pPr>
        <w:pStyle w:val="NoSpacing"/>
        <w:rPr>
          <w:rFonts w:ascii="Arial Black" w:hAnsi="Arial Black"/>
          <w:sz w:val="40"/>
          <w:szCs w:val="40"/>
        </w:rPr>
      </w:pPr>
    </w:p>
    <w:p w14:paraId="53C2AF77" w14:textId="77777777" w:rsidR="00020106" w:rsidRDefault="00020106" w:rsidP="00F326E5">
      <w:pPr>
        <w:pStyle w:val="NoSpacing"/>
        <w:rPr>
          <w:rFonts w:ascii="Arial Black" w:hAnsi="Arial Black"/>
          <w:sz w:val="40"/>
          <w:szCs w:val="40"/>
        </w:rPr>
      </w:pPr>
    </w:p>
    <w:p w14:paraId="158503F6" w14:textId="77777777" w:rsidR="00020106" w:rsidRDefault="00020106" w:rsidP="00F326E5">
      <w:pPr>
        <w:pStyle w:val="NoSpacing"/>
        <w:rPr>
          <w:rFonts w:ascii="Arial Black" w:hAnsi="Arial Black"/>
          <w:sz w:val="40"/>
          <w:szCs w:val="40"/>
        </w:rPr>
      </w:pPr>
    </w:p>
    <w:p w14:paraId="2E430EFC" w14:textId="77777777" w:rsidR="00020106" w:rsidRDefault="00020106" w:rsidP="00F326E5">
      <w:pPr>
        <w:pStyle w:val="NoSpacing"/>
        <w:rPr>
          <w:rFonts w:ascii="Arial Black" w:hAnsi="Arial Black"/>
          <w:sz w:val="40"/>
          <w:szCs w:val="40"/>
        </w:rPr>
      </w:pPr>
    </w:p>
    <w:p w14:paraId="4527B5E1" w14:textId="77777777" w:rsidR="00020106" w:rsidRDefault="00020106" w:rsidP="00F326E5">
      <w:pPr>
        <w:pStyle w:val="NoSpacing"/>
        <w:rPr>
          <w:rFonts w:ascii="Arial Black" w:hAnsi="Arial Black"/>
          <w:sz w:val="40"/>
          <w:szCs w:val="40"/>
        </w:rPr>
      </w:pPr>
    </w:p>
    <w:p w14:paraId="0C67892F" w14:textId="77777777" w:rsidR="00020106" w:rsidRDefault="00020106" w:rsidP="00F326E5">
      <w:pPr>
        <w:pStyle w:val="NoSpacing"/>
        <w:rPr>
          <w:rFonts w:ascii="Arial Black" w:hAnsi="Arial Black"/>
          <w:sz w:val="40"/>
          <w:szCs w:val="40"/>
        </w:rPr>
      </w:pPr>
    </w:p>
    <w:p w14:paraId="42A418E5" w14:textId="77777777" w:rsidR="00020106" w:rsidRDefault="00020106" w:rsidP="00F326E5">
      <w:pPr>
        <w:pStyle w:val="NoSpacing"/>
        <w:rPr>
          <w:rFonts w:ascii="Arial Black" w:hAnsi="Arial Black"/>
          <w:sz w:val="40"/>
          <w:szCs w:val="40"/>
        </w:rPr>
      </w:pPr>
    </w:p>
    <w:p w14:paraId="21EDD998" w14:textId="76740DD5" w:rsidR="00F326E5" w:rsidRDefault="00F326E5" w:rsidP="00F326E5">
      <w:pPr>
        <w:pStyle w:val="NoSpacing"/>
        <w:rPr>
          <w:rFonts w:ascii="Arial Black" w:hAnsi="Arial Black"/>
          <w:sz w:val="40"/>
          <w:szCs w:val="40"/>
        </w:rPr>
      </w:pPr>
      <w:r w:rsidRPr="007732FA">
        <w:rPr>
          <w:rFonts w:ascii="Arial Black" w:hAnsi="Arial Black"/>
          <w:sz w:val="40"/>
          <w:szCs w:val="40"/>
        </w:rPr>
        <w:t>Chap. 12</w:t>
      </w:r>
      <w:r w:rsidRPr="007732FA">
        <w:rPr>
          <w:rFonts w:ascii="Arial Black" w:hAnsi="Arial Black"/>
          <w:sz w:val="40"/>
          <w:szCs w:val="40"/>
        </w:rPr>
        <w:tab/>
        <w:t>Drug-Free Workplace</w:t>
      </w:r>
    </w:p>
    <w:p w14:paraId="23B984FE" w14:textId="77777777" w:rsidR="00743B05" w:rsidRDefault="00743B05" w:rsidP="00F326E5">
      <w:pPr>
        <w:rPr>
          <w:rFonts w:ascii="Arial Black" w:hAnsi="Arial Black"/>
          <w:b/>
          <w:sz w:val="24"/>
          <w:szCs w:val="24"/>
        </w:rPr>
      </w:pPr>
    </w:p>
    <w:p w14:paraId="415BFC01" w14:textId="1FE07E88" w:rsidR="000E119C" w:rsidRDefault="000E119C" w:rsidP="000E119C">
      <w:pPr>
        <w:pStyle w:val="NoSpacing"/>
        <w:rPr>
          <w:rFonts w:ascii="Arial Black" w:hAnsi="Arial Black"/>
          <w:b/>
          <w:sz w:val="24"/>
          <w:szCs w:val="24"/>
        </w:rPr>
      </w:pPr>
      <w:r>
        <w:rPr>
          <w:rFonts w:ascii="Arial Black" w:hAnsi="Arial Black"/>
          <w:sz w:val="28"/>
          <w:szCs w:val="28"/>
        </w:rPr>
        <w:t>12-4</w:t>
      </w:r>
      <w:r>
        <w:rPr>
          <w:rFonts w:ascii="Arial Black" w:hAnsi="Arial Black"/>
          <w:sz w:val="28"/>
          <w:szCs w:val="28"/>
        </w:rPr>
        <w:t>2</w:t>
      </w:r>
    </w:p>
    <w:p w14:paraId="03A89D6B" w14:textId="77777777" w:rsidR="004C1651" w:rsidRDefault="004C1651" w:rsidP="003D4642">
      <w:pPr>
        <w:pStyle w:val="NoSpacing"/>
        <w:rPr>
          <w:rFonts w:ascii="Arial Black" w:hAnsi="Arial Black"/>
          <w:sz w:val="28"/>
          <w:szCs w:val="28"/>
        </w:rPr>
      </w:pPr>
    </w:p>
    <w:p w14:paraId="1263DF46" w14:textId="77777777" w:rsidR="004C1651" w:rsidRDefault="004C1651" w:rsidP="004C1651">
      <w:pPr>
        <w:rPr>
          <w:rFonts w:ascii="Arial Black" w:hAnsi="Arial Black"/>
          <w:sz w:val="28"/>
          <w:szCs w:val="28"/>
        </w:rPr>
      </w:pPr>
      <w:r>
        <w:rPr>
          <w:rFonts w:ascii="Arial Black" w:hAnsi="Arial Black"/>
          <w:sz w:val="28"/>
          <w:szCs w:val="28"/>
        </w:rPr>
        <w:t>CT: FF TERMIN UPHELD – PTSD - USED MJ STATE CARD</w:t>
      </w:r>
    </w:p>
    <w:p w14:paraId="1C793B7A" w14:textId="77777777" w:rsidR="004C1651" w:rsidRPr="00405DE5" w:rsidRDefault="004C1651" w:rsidP="004C1651">
      <w:r>
        <w:t xml:space="preserve">On September 22, 2026, in </w:t>
      </w:r>
      <w:r w:rsidRPr="0001488F">
        <w:rPr>
          <w:u w:val="single"/>
        </w:rPr>
        <w:t>Thomas Eccleston v. City of Waterbury</w:t>
      </w:r>
      <w:r>
        <w:t xml:space="preserve">, the </w:t>
      </w:r>
      <w:r w:rsidRPr="00837088">
        <w:t>Appellate Court of Connecticut</w:t>
      </w:r>
      <w:r>
        <w:t xml:space="preserve"> held (3 to 0) that trial court judge, after a bench trial, properly granted the city’s motion to dismiss the lawsuit alleging violation of the Palliative Use of Marijuana Act.  He tested positive for marijuana after random drug test on March 20, 2018, and fired on April 23, 2018, for violation of drug-free workplace policy (and breach of a  November 2015 “last chance agreement” apparently not involving marijuana). “</w:t>
      </w:r>
      <w:r w:rsidRPr="008E6434">
        <w:t>The plaintiff has not addressed</w:t>
      </w:r>
      <w:r>
        <w:t xml:space="preserve"> </w:t>
      </w:r>
      <w:r w:rsidRPr="008E6434">
        <w:t>the court’s analysis of PUMA, or its conclusion, based</w:t>
      </w:r>
      <w:r>
        <w:t xml:space="preserve"> </w:t>
      </w:r>
      <w:r w:rsidRPr="008E6434">
        <w:t xml:space="preserve">on the text of PUMA, that </w:t>
      </w:r>
      <w:r>
        <w:t>‘</w:t>
      </w:r>
      <w:r w:rsidRPr="008E6434">
        <w:t>[t]he cause of action under</w:t>
      </w:r>
      <w:r>
        <w:t xml:space="preserve"> </w:t>
      </w:r>
      <w:r w:rsidRPr="008E6434">
        <w:t xml:space="preserve">PUMA places the burden of persuasion and </w:t>
      </w:r>
      <w:r>
        <w:t>p</w:t>
      </w:r>
      <w:r w:rsidRPr="008E6434">
        <w:t>roduction</w:t>
      </w:r>
      <w:r>
        <w:t xml:space="preserve"> </w:t>
      </w:r>
      <w:r w:rsidRPr="008E6434">
        <w:t>on the plaintiff for each element of the plaintiff’s claim,</w:t>
      </w:r>
      <w:r>
        <w:t xml:space="preserve">’ </w:t>
      </w:r>
      <w:r w:rsidRPr="008E6434">
        <w:t>including demonstrating that he was terminated solely</w:t>
      </w:r>
      <w:r>
        <w:t xml:space="preserve"> </w:t>
      </w:r>
      <w:r w:rsidRPr="008E6434">
        <w:t>on the basis of his status as a qualifying patient, thereby</w:t>
      </w:r>
      <w:r>
        <w:t xml:space="preserve"> ‘</w:t>
      </w:r>
      <w:proofErr w:type="spellStart"/>
      <w:r w:rsidRPr="008E6434">
        <w:t>eliminat</w:t>
      </w:r>
      <w:proofErr w:type="spellEnd"/>
      <w:r w:rsidRPr="008E6434">
        <w:t>[</w:t>
      </w:r>
      <w:proofErr w:type="spellStart"/>
      <w:r w:rsidRPr="008E6434">
        <w:t>ing</w:t>
      </w:r>
      <w:proofErr w:type="spellEnd"/>
      <w:r w:rsidRPr="008E6434">
        <w:t>] the possibility of burden shifting.</w:t>
      </w:r>
      <w:r>
        <w:t xml:space="preserve">’” </w:t>
      </w:r>
      <w:hyperlink r:id="rId1953" w:history="1">
        <w:r w:rsidRPr="00405DE5">
          <w:rPr>
            <w:rStyle w:val="Hyperlink"/>
          </w:rPr>
          <w:t>https://www.jud.ct.gov/external/supapp/Cases/AROap/AP241/AP241.354.pdf</w:t>
        </w:r>
      </w:hyperlink>
      <w:r w:rsidRPr="00405DE5">
        <w:t xml:space="preserve"> </w:t>
      </w:r>
    </w:p>
    <w:p w14:paraId="71EB6FE3" w14:textId="77777777" w:rsidR="004C1651" w:rsidRPr="00837088" w:rsidRDefault="004C1651" w:rsidP="004C1651">
      <w:pPr>
        <w:pStyle w:val="NoSpacing"/>
      </w:pPr>
    </w:p>
    <w:p w14:paraId="70305CFC" w14:textId="77777777" w:rsidR="004C1651" w:rsidRDefault="004C1651" w:rsidP="004C1651">
      <w:r>
        <w:t xml:space="preserve">THE COURT WROTE: </w:t>
      </w:r>
    </w:p>
    <w:p w14:paraId="0A6C23C4" w14:textId="77777777" w:rsidR="004C1651" w:rsidRDefault="004C1651" w:rsidP="004C1651">
      <w:pPr>
        <w:pStyle w:val="NoSpacing"/>
        <w:ind w:left="720"/>
      </w:pPr>
      <w:r>
        <w:t>“</w:t>
      </w:r>
      <w:r w:rsidRPr="009679E8">
        <w:t>The plaintiff</w:t>
      </w:r>
      <w:r>
        <w:t xml:space="preserve"> </w:t>
      </w:r>
      <w:r w:rsidRPr="009679E8">
        <w:t>was employed by the defendant as a firefighter with the</w:t>
      </w:r>
      <w:r>
        <w:t xml:space="preserve"> </w:t>
      </w:r>
      <w:r w:rsidRPr="009679E8">
        <w:t>Waterbury Fire Department (fire department) in 1995.</w:t>
      </w:r>
      <w:r>
        <w:t xml:space="preserve"> </w:t>
      </w:r>
      <w:r w:rsidRPr="009679E8">
        <w:t xml:space="preserve">In November 2015, the plaintiff </w:t>
      </w:r>
      <w:proofErr w:type="gramStart"/>
      <w:r w:rsidRPr="009679E8">
        <w:t>entered into</w:t>
      </w:r>
      <w:proofErr w:type="gramEnd"/>
      <w:r w:rsidRPr="009679E8">
        <w:t xml:space="preserve"> a </w:t>
      </w:r>
      <w:r>
        <w:t>‘</w:t>
      </w:r>
      <w:r w:rsidRPr="009679E8">
        <w:t>last</w:t>
      </w:r>
      <w:r>
        <w:t xml:space="preserve"> </w:t>
      </w:r>
      <w:r w:rsidRPr="009679E8">
        <w:t>chance agreement</w:t>
      </w:r>
      <w:r>
        <w:t>’</w:t>
      </w:r>
      <w:r w:rsidRPr="009679E8">
        <w:t xml:space="preserve"> with the defendant </w:t>
      </w:r>
      <w:proofErr w:type="gramStart"/>
      <w:r w:rsidRPr="009679E8">
        <w:t>in order to</w:t>
      </w:r>
      <w:proofErr w:type="gramEnd"/>
      <w:r w:rsidRPr="009679E8">
        <w:t xml:space="preserve"> avoid</w:t>
      </w:r>
      <w:r>
        <w:t xml:space="preserve"> </w:t>
      </w:r>
      <w:r w:rsidRPr="009679E8">
        <w:t>termination of his employment for conduct unrelated to</w:t>
      </w:r>
      <w:r>
        <w:t xml:space="preserve"> </w:t>
      </w:r>
      <w:r w:rsidRPr="009679E8">
        <w:t>the present case. The last chance agreement provided,</w:t>
      </w:r>
      <w:r>
        <w:t xml:space="preserve"> </w:t>
      </w:r>
      <w:r w:rsidRPr="009679E8">
        <w:t xml:space="preserve">inter alia, that the plaintiff </w:t>
      </w:r>
      <w:r>
        <w:t>‘</w:t>
      </w:r>
      <w:r w:rsidRPr="009679E8">
        <w:t>may be subject to immediate termination . . . [</w:t>
      </w:r>
      <w:proofErr w:type="spellStart"/>
      <w:r w:rsidRPr="009679E8">
        <w:t>i</w:t>
      </w:r>
      <w:proofErr w:type="spellEnd"/>
      <w:r w:rsidRPr="009679E8">
        <w:t>]f [he] tests positive for alcohol (at</w:t>
      </w:r>
      <w:r>
        <w:t xml:space="preserve"> </w:t>
      </w:r>
      <w:r w:rsidRPr="009679E8">
        <w:t>the level of 0.04 or above) or a controlled substance.</w:t>
      </w:r>
      <w:r>
        <w:t xml:space="preserve">’ </w:t>
      </w:r>
      <w:r w:rsidRPr="009679E8">
        <w:t>(Internal quotation marks omitted.)</w:t>
      </w:r>
    </w:p>
    <w:p w14:paraId="71A4BF30" w14:textId="77777777" w:rsidR="004C1651" w:rsidRDefault="004C1651" w:rsidP="004C1651">
      <w:pPr>
        <w:pStyle w:val="NoSpacing"/>
      </w:pPr>
    </w:p>
    <w:p w14:paraId="58477BFD" w14:textId="77777777" w:rsidR="004C1651" w:rsidRDefault="004C1651" w:rsidP="004C1651">
      <w:pPr>
        <w:pStyle w:val="NoSpacing"/>
        <w:ind w:left="720"/>
      </w:pPr>
      <w:r>
        <w:t xml:space="preserve">In September 2017, the plaintiff was diagnosed with post-traumatic stress disorder. The diagnosing physician recommended medical marijuana as a treatment. The plaintiff thereafter sought opinions from two additional physicians, including Leela A. </w:t>
      </w:r>
      <w:proofErr w:type="spellStart"/>
      <w:r>
        <w:t>Panoor</w:t>
      </w:r>
      <w:proofErr w:type="spellEnd"/>
      <w:r>
        <w:t xml:space="preserve">, who ultimately prescribed him medical marijuana. On March 6, 2018, the plaintiff obtained his medical marijuana card from the Department of Consumer Protection. On March 20, 2018, the plaintiff was called for a random drug test, and the result was positive for marijuana. When the medical review officer informed the plaintiff that he had tested positive for marijuana use, the  plaintiff did not dispute the results and instead informed the officer that he was a medical marijuana patient. The plaintiff thereafter provided the defendant with his medical marijuana card. At the recommendation of the defendant’s department of human resources, the plaintiff was placed on light duty status and directed to obtain “a note from his physician that he was fit for duty as a firefighter with his current card.” In a fitness for duty certification dated March 30, 2018, </w:t>
      </w:r>
      <w:proofErr w:type="spellStart"/>
      <w:r>
        <w:t>Panoor</w:t>
      </w:r>
      <w:proofErr w:type="spellEnd"/>
      <w:r>
        <w:t xml:space="preserve"> certified that the plaintiff was fit for full duty with no restrictions.</w:t>
      </w:r>
    </w:p>
    <w:p w14:paraId="496C73F3" w14:textId="77777777" w:rsidR="004C1651" w:rsidRDefault="004C1651" w:rsidP="004C1651">
      <w:pPr>
        <w:pStyle w:val="NoSpacing"/>
      </w:pPr>
    </w:p>
    <w:p w14:paraId="60A8FF5A" w14:textId="77777777" w:rsidR="004C1651" w:rsidRDefault="004C1651" w:rsidP="004C1651">
      <w:pPr>
        <w:pStyle w:val="NoSpacing"/>
        <w:ind w:left="720"/>
      </w:pPr>
      <w:r>
        <w:t>On April 23, 2018, the plaintiff received a letter from David J. Martin, then chief of the fire department, informing the plaintiff that his employment was terminated (termination letter). The termination letter summarized five reasons for the plaintiff’s termination, namely, violating the last chance agreement, two workplace drug testing policies, and the substance abuse testing policy of the collective bargaining agreement between the city and the Waterbury firefighters association, Local L1339 (union), as well as ‘[e]</w:t>
      </w:r>
      <w:proofErr w:type="spellStart"/>
      <w:r>
        <w:t>ngaging</w:t>
      </w:r>
      <w:proofErr w:type="spellEnd"/>
      <w:r>
        <w:t xml:space="preserve"> in the use of marijuana such that it has endangered the health and wellbeing of others.’ The plaintiff was never accused of being under the influence of or consuming marijuana while at work. The termination letter was courtesy copied to Scott Morgan, the defendant’s human resources director; Linda Whibey, the defendant’s corporation counsel; and John Schultz, the president of the union.”</w:t>
      </w:r>
    </w:p>
    <w:p w14:paraId="4E5903E0" w14:textId="77777777" w:rsidR="004C1651" w:rsidRDefault="004C1651" w:rsidP="004C1651">
      <w:pPr>
        <w:pStyle w:val="NoSpacing"/>
        <w:ind w:left="720"/>
      </w:pPr>
    </w:p>
    <w:p w14:paraId="47F67C98" w14:textId="77777777" w:rsidR="004C1651" w:rsidRPr="00B73356" w:rsidRDefault="004C1651" w:rsidP="004C1651">
      <w:pPr>
        <w:rPr>
          <w:b/>
          <w:bCs/>
        </w:rPr>
      </w:pPr>
      <w:r>
        <w:rPr>
          <w:b/>
        </w:rPr>
        <w:t xml:space="preserve">Legal lesson learned: Another case involving PTSD and proscribed marijuana; it would be helpful if Drug-Free Workplace policies and Collective Bargaining Agreements would address this issue. </w:t>
      </w:r>
    </w:p>
    <w:p w14:paraId="394E1B85" w14:textId="77777777" w:rsidR="004C1651" w:rsidRDefault="004C1651" w:rsidP="003D4642">
      <w:pPr>
        <w:pStyle w:val="NoSpacing"/>
        <w:rPr>
          <w:rFonts w:ascii="Arial Black" w:hAnsi="Arial Black"/>
          <w:sz w:val="28"/>
          <w:szCs w:val="28"/>
        </w:rPr>
      </w:pPr>
    </w:p>
    <w:p w14:paraId="1E0DCC50" w14:textId="77777777" w:rsidR="004C1651" w:rsidRDefault="004C1651" w:rsidP="003D4642">
      <w:pPr>
        <w:pStyle w:val="NoSpacing"/>
        <w:rPr>
          <w:rFonts w:ascii="Arial Black" w:hAnsi="Arial Black"/>
          <w:sz w:val="28"/>
          <w:szCs w:val="28"/>
        </w:rPr>
      </w:pPr>
    </w:p>
    <w:p w14:paraId="206B54B8" w14:textId="048283FA" w:rsidR="003D4642" w:rsidRDefault="003D4642" w:rsidP="003D4642">
      <w:pPr>
        <w:pStyle w:val="NoSpacing"/>
        <w:rPr>
          <w:rFonts w:ascii="Arial Black" w:hAnsi="Arial Black"/>
          <w:sz w:val="28"/>
          <w:szCs w:val="28"/>
        </w:rPr>
      </w:pPr>
      <w:r>
        <w:rPr>
          <w:rFonts w:ascii="Arial Black" w:hAnsi="Arial Black"/>
          <w:sz w:val="28"/>
          <w:szCs w:val="28"/>
        </w:rPr>
        <w:t>12-41</w:t>
      </w:r>
    </w:p>
    <w:p w14:paraId="0A8160CD" w14:textId="77777777" w:rsidR="003D4642" w:rsidRDefault="003D4642" w:rsidP="00F326E5">
      <w:pPr>
        <w:rPr>
          <w:rFonts w:ascii="Arial Black" w:hAnsi="Arial Black"/>
          <w:b/>
          <w:sz w:val="24"/>
          <w:szCs w:val="24"/>
        </w:rPr>
      </w:pPr>
    </w:p>
    <w:p w14:paraId="0BF75B15" w14:textId="77777777" w:rsidR="006A2254" w:rsidRPr="00F02835" w:rsidRDefault="006A2254" w:rsidP="006A2254">
      <w:pPr>
        <w:pStyle w:val="NoSpacing"/>
        <w:rPr>
          <w:rFonts w:ascii="Arial Black" w:hAnsi="Arial Black"/>
          <w:sz w:val="28"/>
          <w:szCs w:val="28"/>
        </w:rPr>
      </w:pPr>
      <w:r>
        <w:rPr>
          <w:rFonts w:ascii="Arial Black" w:hAnsi="Arial Black"/>
          <w:sz w:val="28"/>
          <w:szCs w:val="28"/>
        </w:rPr>
        <w:t xml:space="preserve">FL: FF WITH STATE MJ CARD - ANXIETY – BUT VIOL. OF CBA </w:t>
      </w:r>
    </w:p>
    <w:p w14:paraId="2B6DF13F" w14:textId="77777777" w:rsidR="006A2254" w:rsidRDefault="006A2254" w:rsidP="006A2254">
      <w:pPr>
        <w:pStyle w:val="NoSpacing"/>
      </w:pPr>
    </w:p>
    <w:p w14:paraId="33CCD5B4" w14:textId="77777777" w:rsidR="006A2254" w:rsidRDefault="006A2254" w:rsidP="006A2254">
      <w:pPr>
        <w:pStyle w:val="NoSpacing"/>
      </w:pPr>
      <w:r>
        <w:t xml:space="preserve">On July 29, 2026, in </w:t>
      </w:r>
      <w:r w:rsidRPr="0092092D">
        <w:rPr>
          <w:u w:val="single"/>
        </w:rPr>
        <w:t>Hillsborough County v. Angelo Giambrone</w:t>
      </w:r>
      <w:r>
        <w:t xml:space="preserve">, the District Court of Appeal of Florida, Second District, held (3 to 0) that trial court improperly ordered the County to accommodate the firefighter/ paramedic, who was issued a state marijuana card for his anxiety and insomnia.   He tested positive in random drug test on February 26, 2019, and has been suspended without pay.  He testified that, during the time he was actively employed, he smoked "a half a joint to a joint two to three times a day." </w:t>
      </w:r>
      <w:hyperlink r:id="rId1954" w:history="1">
        <w:r w:rsidRPr="006F2115">
          <w:rPr>
            <w:rStyle w:val="Hyperlink"/>
          </w:rPr>
          <w:t>https://flcourts-media.flcourts.gov/content/download/2492932/opinion/Opinion_2025-0115.pdf</w:t>
        </w:r>
      </w:hyperlink>
      <w:r>
        <w:t xml:space="preserve"> </w:t>
      </w:r>
    </w:p>
    <w:p w14:paraId="542F2FBC" w14:textId="77777777" w:rsidR="006A2254" w:rsidRDefault="006A2254" w:rsidP="006A2254">
      <w:pPr>
        <w:pStyle w:val="NoSpacing"/>
      </w:pPr>
    </w:p>
    <w:p w14:paraId="314714DE" w14:textId="77777777" w:rsidR="006A2254" w:rsidRDefault="006A2254" w:rsidP="006A2254">
      <w:pPr>
        <w:pStyle w:val="NoSpacing"/>
      </w:pPr>
      <w:r>
        <w:t>THE COURT WROTE:</w:t>
      </w:r>
    </w:p>
    <w:p w14:paraId="0EF84CC3" w14:textId="77777777" w:rsidR="006A2254" w:rsidRDefault="006A2254" w:rsidP="006A2254">
      <w:pPr>
        <w:pStyle w:val="NoSpacing"/>
      </w:pPr>
    </w:p>
    <w:p w14:paraId="66A58C96" w14:textId="77777777" w:rsidR="006A2254" w:rsidRDefault="006A2254" w:rsidP="006A2254">
      <w:pPr>
        <w:pStyle w:val="NoSpacing"/>
        <w:ind w:left="720"/>
      </w:pPr>
      <w:r>
        <w:t>“</w:t>
      </w:r>
      <w:r w:rsidRPr="00643275">
        <w:t xml:space="preserve">The trial court determined that medical marijuana is </w:t>
      </w:r>
      <w:r>
        <w:t>‘</w:t>
      </w:r>
      <w:r w:rsidRPr="00643275">
        <w:t>considered a</w:t>
      </w:r>
      <w:r>
        <w:t xml:space="preserve"> </w:t>
      </w:r>
      <w:r w:rsidRPr="00643275">
        <w:t>prescription or akin to a prescription, as it is an order for drugs written</w:t>
      </w:r>
      <w:r>
        <w:t xml:space="preserve"> </w:t>
      </w:r>
      <w:r w:rsidRPr="00643275">
        <w:t>by a licensed doctor . . . [and] nowhere in [the CBA] is medical marijuana</w:t>
      </w:r>
      <w:r>
        <w:t xml:space="preserve"> </w:t>
      </w:r>
      <w:r w:rsidRPr="00643275">
        <w:t>enumerated as distinct from all other prescribed medications.</w:t>
      </w:r>
      <w:r>
        <w:t>’</w:t>
      </w:r>
      <w:r w:rsidRPr="00643275">
        <w:t xml:space="preserve"> As the</w:t>
      </w:r>
      <w:r>
        <w:t xml:space="preserve"> </w:t>
      </w:r>
      <w:r w:rsidRPr="00643275">
        <w:t>County correctly argues, the trial court reversibly erred in so concluding,</w:t>
      </w:r>
      <w:r>
        <w:t xml:space="preserve"> </w:t>
      </w:r>
      <w:r w:rsidRPr="00643275">
        <w:t xml:space="preserve">and that error </w:t>
      </w:r>
      <w:r>
        <w:t>p</w:t>
      </w:r>
      <w:r w:rsidRPr="00643275">
        <w:t>ermeates the order on review</w:t>
      </w:r>
      <w:r>
        <w:t>…. Treating this provision as a ‘broad definition’ that ‘encompasses medications authorized under federal or Florida law,’ the trial court ultimately concluded that medical marijuana is a medication authorized for general distribution because Florida has ‘over 880 thousand [medical marijuana] patients’ and ‘over 650 retail stores to distribute medical marijuana.’ As we will explain, marijuana is neither a medication ‘obtained pursuant to a prescription as defined by s[</w:t>
      </w:r>
      <w:proofErr w:type="spellStart"/>
      <w:r>
        <w:t>ection</w:t>
      </w:r>
      <w:proofErr w:type="spellEnd"/>
      <w:r>
        <w:t xml:space="preserve">] 893.02,’ nor one that is authorized by ‘federal or state law for general distribution and use without a prescription.’ … In sum, the trial court's conclusion that the County was contractually obligated to treat a positive test as negative rests on a premise that is wholly unsupported and is in fact contradicted by the CBA's text. Judgment cannot be sustained on a judicial rewriting of unambiguous definitions…. The better reading—and the one consistent with the statute's plain text and structure—is that the legislature preserved an employer's discretion to refuse accommodation of medical marijuana </w:t>
      </w:r>
      <w:r w:rsidRPr="00896754">
        <w:rPr>
          <w:i/>
          <w:iCs/>
        </w:rPr>
        <w:t>at all</w:t>
      </w:r>
      <w:r>
        <w:t xml:space="preserve"> in the workplace and separately preserved an employer's discretion to refuse accommodation for an employee working under the influence…. The trial court's countywide, prospective command that the County must ‘provide </w:t>
      </w:r>
      <w:proofErr w:type="gramStart"/>
      <w:r>
        <w:t>an accommodation’</w:t>
      </w:r>
      <w:proofErr w:type="gramEnd"/>
      <w:r>
        <w:t xml:space="preserve"> </w:t>
      </w:r>
      <w:proofErr w:type="gramStart"/>
      <w:r>
        <w:t>to</w:t>
      </w:r>
      <w:proofErr w:type="gramEnd"/>
      <w:r>
        <w:t xml:space="preserve"> any employee who produces a medical marijuana card after testing positive is not statutory interpretation; it is policymaking of the most direct kind. And it is absolutely forbidden by our constitution.”</w:t>
      </w:r>
    </w:p>
    <w:p w14:paraId="780F35B9" w14:textId="77777777" w:rsidR="006A2254" w:rsidRDefault="006A2254" w:rsidP="006A2254">
      <w:pPr>
        <w:pStyle w:val="NoSpacing"/>
        <w:ind w:left="720"/>
      </w:pPr>
    </w:p>
    <w:p w14:paraId="7A8CF53C" w14:textId="77777777" w:rsidR="006A2254" w:rsidRPr="002E731D" w:rsidRDefault="006A2254" w:rsidP="006A2254">
      <w:pPr>
        <w:pStyle w:val="NoSpacing"/>
        <w:rPr>
          <w:b/>
          <w:bCs/>
        </w:rPr>
      </w:pPr>
      <w:r>
        <w:rPr>
          <w:b/>
        </w:rPr>
        <w:t xml:space="preserve">Legal lesson learned:  The CBA was negotiated prior to Florida authorizing medical marijuana; hopefully a future CBA will address when firefighters can use marijuana for medical reasons. </w:t>
      </w:r>
    </w:p>
    <w:p w14:paraId="0CA908E5" w14:textId="77777777" w:rsidR="006A2254" w:rsidRDefault="006A2254" w:rsidP="006A2254">
      <w:pPr>
        <w:ind w:left="720"/>
        <w:rPr>
          <w:b/>
        </w:rPr>
      </w:pPr>
      <w:r w:rsidRPr="00386583">
        <w:t xml:space="preserve">Note: See this Aug. 6, </w:t>
      </w:r>
      <w:proofErr w:type="gramStart"/>
      <w:r w:rsidRPr="00386583">
        <w:t>2026</w:t>
      </w:r>
      <w:proofErr w:type="gramEnd"/>
      <w:r w:rsidRPr="00386583">
        <w:t xml:space="preserve"> article.</w:t>
      </w:r>
      <w:r>
        <w:rPr>
          <w:b/>
        </w:rPr>
        <w:t xml:space="preserve"> </w:t>
      </w:r>
      <w:r w:rsidRPr="00FA0D64">
        <w:t xml:space="preserve">Medical Marijuana Is Legal in FL. Why Is </w:t>
      </w:r>
      <w:proofErr w:type="gramStart"/>
      <w:r w:rsidRPr="00FA0D64">
        <w:t>A</w:t>
      </w:r>
      <w:proofErr w:type="gramEnd"/>
      <w:r w:rsidRPr="00FA0D64">
        <w:t xml:space="preserve"> Paramedic Being Punished? </w:t>
      </w:r>
      <w:r>
        <w:t xml:space="preserve">… </w:t>
      </w:r>
      <w:r w:rsidRPr="00FA0D64">
        <w:t>Giambrone plans to appeal the decision to the Florida Supreme Court, his attorney Michael Minardi said.</w:t>
      </w:r>
      <w:r>
        <w:t xml:space="preserve"> </w:t>
      </w:r>
      <w:hyperlink r:id="rId1955" w:history="1">
        <w:r w:rsidRPr="00634671">
          <w:rPr>
            <w:rStyle w:val="Hyperlink"/>
          </w:rPr>
          <w:t>https://www.jems.com/ems-management/medical-marijuana-is-legal-in-fl-why-is-a-paramedic-being-punished/?utm_source=fe_daily_newsletter&amp;utm_medium=email&amp;utm_campaign=2026-8-6&amp;oly_enc_id=0573H1103045H2E</w:t>
        </w:r>
      </w:hyperlink>
    </w:p>
    <w:p w14:paraId="295C4DF8" w14:textId="77777777" w:rsidR="006A2254" w:rsidRDefault="006A2254" w:rsidP="00C37020">
      <w:pPr>
        <w:pStyle w:val="NoSpacing"/>
        <w:rPr>
          <w:rFonts w:ascii="Arial Black" w:hAnsi="Arial Black"/>
          <w:sz w:val="28"/>
          <w:szCs w:val="28"/>
        </w:rPr>
      </w:pPr>
    </w:p>
    <w:p w14:paraId="774ACF15" w14:textId="77777777" w:rsidR="006A2254" w:rsidRDefault="006A2254" w:rsidP="00C37020">
      <w:pPr>
        <w:pStyle w:val="NoSpacing"/>
        <w:rPr>
          <w:rFonts w:ascii="Arial Black" w:hAnsi="Arial Black"/>
          <w:sz w:val="28"/>
          <w:szCs w:val="28"/>
        </w:rPr>
      </w:pPr>
    </w:p>
    <w:p w14:paraId="57538EED" w14:textId="5527EA0D" w:rsidR="00C37020" w:rsidRDefault="00C37020" w:rsidP="00C37020">
      <w:pPr>
        <w:pStyle w:val="NoSpacing"/>
        <w:rPr>
          <w:rFonts w:ascii="Arial Black" w:hAnsi="Arial Black"/>
          <w:sz w:val="28"/>
          <w:szCs w:val="28"/>
        </w:rPr>
      </w:pPr>
      <w:r>
        <w:rPr>
          <w:rFonts w:ascii="Arial Black" w:hAnsi="Arial Black"/>
          <w:sz w:val="28"/>
          <w:szCs w:val="28"/>
        </w:rPr>
        <w:t>12-40</w:t>
      </w:r>
    </w:p>
    <w:p w14:paraId="5C238E4E" w14:textId="77777777" w:rsidR="00C37020" w:rsidRDefault="00C37020" w:rsidP="00C37020">
      <w:pPr>
        <w:pStyle w:val="NoSpacing"/>
        <w:rPr>
          <w:rFonts w:ascii="Arial Black" w:hAnsi="Arial Black"/>
          <w:sz w:val="28"/>
          <w:szCs w:val="28"/>
        </w:rPr>
      </w:pPr>
    </w:p>
    <w:p w14:paraId="687744A9" w14:textId="3B9EF4D6" w:rsidR="00C37020" w:rsidRDefault="00C37020" w:rsidP="00C37020">
      <w:pPr>
        <w:pStyle w:val="NoSpacing"/>
        <w:rPr>
          <w:rFonts w:ascii="Arial Black" w:hAnsi="Arial Black"/>
          <w:sz w:val="28"/>
          <w:szCs w:val="28"/>
        </w:rPr>
      </w:pPr>
      <w:r>
        <w:rPr>
          <w:rFonts w:ascii="Arial Black" w:hAnsi="Arial Black"/>
          <w:sz w:val="28"/>
          <w:szCs w:val="28"/>
        </w:rPr>
        <w:t xml:space="preserve">CA: POSITIVE DRUG – ARMY - NOT DISAB IF ACTIVE USER </w:t>
      </w:r>
    </w:p>
    <w:p w14:paraId="4291E98D" w14:textId="77777777" w:rsidR="00C37020" w:rsidRDefault="00C37020" w:rsidP="00C37020">
      <w:pPr>
        <w:pStyle w:val="NoSpacing"/>
        <w:rPr>
          <w:rFonts w:ascii="Arial Black" w:hAnsi="Arial Black"/>
          <w:sz w:val="28"/>
          <w:szCs w:val="28"/>
        </w:rPr>
      </w:pPr>
    </w:p>
    <w:p w14:paraId="72B99E1C" w14:textId="77777777" w:rsidR="00C37020" w:rsidRDefault="00C37020" w:rsidP="00C37020">
      <w:pPr>
        <w:pStyle w:val="NoSpacing"/>
      </w:pPr>
      <w:r>
        <w:t xml:space="preserve">On July 21, 2026, in </w:t>
      </w:r>
      <w:r w:rsidRPr="00BB5886">
        <w:rPr>
          <w:u w:val="single"/>
        </w:rPr>
        <w:t>Roger E. Greer v. Christine Wormuth, Secretary, U.S. Department of the Army, et al</w:t>
      </w:r>
      <w:r>
        <w:t>., the United States Court of Appeals for the Ninth Circuit (San Francisco) held (3 to 0; unpublished decision) that the trial court judge properly dismissed his lawsuit.  He filed the case pro se [no attorney] and was fired for “</w:t>
      </w:r>
      <w:r w:rsidRPr="00A078DA">
        <w:t>testing positive for illegal substances</w:t>
      </w:r>
      <w:r>
        <w:t xml:space="preserve">’ [drugs not identified]. </w:t>
      </w:r>
      <w:hyperlink r:id="rId1956" w:history="1">
        <w:r w:rsidRPr="002E6E7A">
          <w:rPr>
            <w:rStyle w:val="Hyperlink"/>
          </w:rPr>
          <w:t>https://cdn.ca9.uscourts.gov/datastore/memoranda/2026/07/21/24-6425.pdf</w:t>
        </w:r>
      </w:hyperlink>
      <w:r>
        <w:t xml:space="preserve"> </w:t>
      </w:r>
    </w:p>
    <w:p w14:paraId="55F39AD9" w14:textId="77777777" w:rsidR="00C37020" w:rsidRDefault="00C37020" w:rsidP="00C37020">
      <w:pPr>
        <w:pStyle w:val="NoSpacing"/>
      </w:pPr>
    </w:p>
    <w:p w14:paraId="7D884847" w14:textId="77777777" w:rsidR="00C37020" w:rsidRDefault="00C37020" w:rsidP="00C37020">
      <w:pPr>
        <w:pStyle w:val="NoSpacing"/>
      </w:pPr>
      <w:r>
        <w:t>THE COURT WROTE:</w:t>
      </w:r>
    </w:p>
    <w:p w14:paraId="7049B6A3" w14:textId="77777777" w:rsidR="00C37020" w:rsidRDefault="00C37020" w:rsidP="00C37020">
      <w:pPr>
        <w:pStyle w:val="NoSpacing"/>
      </w:pPr>
    </w:p>
    <w:p w14:paraId="56F08C51" w14:textId="77777777" w:rsidR="00C37020" w:rsidRDefault="00C37020" w:rsidP="00C37020">
      <w:pPr>
        <w:pStyle w:val="NoSpacing"/>
      </w:pPr>
      <w:r>
        <w:rPr>
          <w:i/>
          <w:iCs/>
        </w:rPr>
        <w:t>“</w:t>
      </w:r>
      <w:r w:rsidRPr="000C7CAC">
        <w:rPr>
          <w:i/>
          <w:iCs/>
        </w:rPr>
        <w:t>Rehabilitation Act discrimination claim</w:t>
      </w:r>
      <w:r w:rsidRPr="000C7CAC">
        <w:t>. Greer also failed to state a disability discrimination claim under the Rehabilitation Act. To bring a successful claim under the Rehabilitation Act, a plaintiff must show that he (1) has a disability; (2) is otherwise qualified for employment; and (3) was discriminated against because of his disability</w:t>
      </w:r>
      <w:r>
        <w:t xml:space="preserve">…. </w:t>
      </w:r>
      <w:r w:rsidRPr="000C7CAC">
        <w:t xml:space="preserve">Greer's claim fails to allege the threshold requirement that he is </w:t>
      </w:r>
      <w:r>
        <w:t>‘</w:t>
      </w:r>
      <w:r w:rsidRPr="000C7CAC">
        <w:t>disabled</w:t>
      </w:r>
      <w:r>
        <w:t>’</w:t>
      </w:r>
      <w:r w:rsidRPr="000C7CAC">
        <w:t xml:space="preserve"> because the FAC </w:t>
      </w:r>
      <w:r>
        <w:t xml:space="preserve">[First Amended Complaint] </w:t>
      </w:r>
      <w:r w:rsidRPr="000C7CAC">
        <w:t xml:space="preserve">does not describe the nature of his impairment with sufficient particularity. Greer merely alleges that he was </w:t>
      </w:r>
      <w:r>
        <w:t>‘</w:t>
      </w:r>
      <w:r w:rsidRPr="000C7CAC">
        <w:t>perceived to have an actual or perceived physical or mental impairment</w:t>
      </w:r>
      <w:r>
        <w:t>’</w:t>
      </w:r>
      <w:r w:rsidRPr="000C7CAC">
        <w:t xml:space="preserve"> without any additional factual details</w:t>
      </w:r>
      <w:r>
        <w:t xml:space="preserve">….  </w:t>
      </w:r>
    </w:p>
    <w:p w14:paraId="6543D810" w14:textId="77777777" w:rsidR="00C37020" w:rsidRDefault="00C37020" w:rsidP="00C37020">
      <w:pPr>
        <w:pStyle w:val="NoSpacing"/>
      </w:pPr>
    </w:p>
    <w:p w14:paraId="76C4D971" w14:textId="77777777" w:rsidR="00C37020" w:rsidRDefault="00C37020" w:rsidP="00C37020">
      <w:pPr>
        <w:pStyle w:val="NoSpacing"/>
      </w:pPr>
      <w:r>
        <w:t>***</w:t>
      </w:r>
    </w:p>
    <w:p w14:paraId="78D6B903" w14:textId="77777777" w:rsidR="00C37020" w:rsidRDefault="00C37020" w:rsidP="00C37020">
      <w:pPr>
        <w:pStyle w:val="NoSpacing"/>
      </w:pPr>
    </w:p>
    <w:p w14:paraId="608496C2" w14:textId="77777777" w:rsidR="00C37020" w:rsidRDefault="00C37020" w:rsidP="00C37020">
      <w:pPr>
        <w:pStyle w:val="NoSpacing"/>
      </w:pPr>
      <w:r>
        <w:t xml:space="preserve">[Footnote 3] </w:t>
      </w:r>
      <w:r>
        <w:rPr>
          <w:vertAlign w:val="superscript"/>
        </w:rPr>
        <w:t xml:space="preserve"> </w:t>
      </w:r>
      <w:r>
        <w:t xml:space="preserve">Even if </w:t>
      </w:r>
      <w:r w:rsidRPr="00C90419">
        <w:t xml:space="preserve">we infer that Greer's </w:t>
      </w:r>
      <w:r>
        <w:t>‘</w:t>
      </w:r>
      <w:r w:rsidRPr="00C90419">
        <w:t>disability</w:t>
      </w:r>
      <w:r>
        <w:t xml:space="preserve">’ </w:t>
      </w:r>
      <w:r w:rsidRPr="00C90419">
        <w:t xml:space="preserve">was a perceived substance-use impairment, the Rehabilitation Act expressly states that </w:t>
      </w:r>
      <w:r>
        <w:t>‘</w:t>
      </w:r>
      <w:r w:rsidRPr="00C90419">
        <w:t>the term 'individual with a disability' does not include an individual who is currently engaging in the illegal use of drugs, when a covered entity acts on the basis of such use.</w:t>
      </w:r>
      <w:r>
        <w:t xml:space="preserve">’ </w:t>
      </w:r>
      <w:r w:rsidRPr="00C90419">
        <w:t>29 U.S.C. § 705(20)(C)(</w:t>
      </w:r>
      <w:proofErr w:type="spellStart"/>
      <w:r w:rsidRPr="00C90419">
        <w:t>i</w:t>
      </w:r>
      <w:proofErr w:type="spellEnd"/>
      <w:r w:rsidRPr="00C90419">
        <w:t>).</w:t>
      </w:r>
      <w:r>
        <w:t>”</w:t>
      </w:r>
    </w:p>
    <w:p w14:paraId="59987541" w14:textId="77777777" w:rsidR="00C37020" w:rsidRDefault="00C37020" w:rsidP="00C37020">
      <w:pPr>
        <w:pStyle w:val="NoSpacing"/>
      </w:pPr>
    </w:p>
    <w:p w14:paraId="48D72437" w14:textId="77777777" w:rsidR="00C37020" w:rsidRPr="00D266A9" w:rsidRDefault="00C37020" w:rsidP="00C37020">
      <w:pPr>
        <w:pStyle w:val="NoSpacing"/>
        <w:rPr>
          <w:b/>
          <w:bCs/>
        </w:rPr>
      </w:pPr>
      <w:r w:rsidRPr="00D266A9">
        <w:rPr>
          <w:b/>
        </w:rPr>
        <w:t xml:space="preserve">Legal lesson learned: </w:t>
      </w:r>
      <w:r>
        <w:rPr>
          <w:b/>
        </w:rPr>
        <w:t xml:space="preserve">Current users of illegal drugs are not “individuals with a disability.” </w:t>
      </w:r>
    </w:p>
    <w:p w14:paraId="00953783" w14:textId="77777777" w:rsidR="00C37020" w:rsidRPr="00D266A9" w:rsidRDefault="00C37020" w:rsidP="00C37020">
      <w:pPr>
        <w:pStyle w:val="NoSpacing"/>
        <w:rPr>
          <w:b/>
          <w:bCs/>
        </w:rPr>
      </w:pPr>
    </w:p>
    <w:p w14:paraId="777F54C8" w14:textId="77777777" w:rsidR="00C37020" w:rsidRDefault="00C37020" w:rsidP="00C37020">
      <w:pPr>
        <w:pStyle w:val="NoSpacing"/>
        <w:rPr>
          <w:b/>
          <w:sz w:val="20"/>
          <w:szCs w:val="20"/>
        </w:rPr>
      </w:pPr>
    </w:p>
    <w:p w14:paraId="6AE485B3" w14:textId="77777777" w:rsidR="00C37020" w:rsidRDefault="00C37020" w:rsidP="00C37020">
      <w:pPr>
        <w:pStyle w:val="NoSpacing"/>
        <w:rPr>
          <w:b/>
          <w:sz w:val="20"/>
          <w:szCs w:val="20"/>
        </w:rPr>
      </w:pPr>
    </w:p>
    <w:p w14:paraId="5BEA11F2" w14:textId="77777777" w:rsidR="00C37020" w:rsidRDefault="00C37020" w:rsidP="00C37020">
      <w:pPr>
        <w:pStyle w:val="NoSpacing"/>
        <w:rPr>
          <w:b/>
          <w:sz w:val="20"/>
          <w:szCs w:val="20"/>
        </w:rPr>
      </w:pPr>
    </w:p>
    <w:p w14:paraId="3DBF5CBD" w14:textId="77777777" w:rsidR="00C37020" w:rsidRDefault="00C37020" w:rsidP="00C37020">
      <w:pPr>
        <w:pStyle w:val="NoSpacing"/>
        <w:rPr>
          <w:b/>
          <w:sz w:val="20"/>
          <w:szCs w:val="20"/>
        </w:rPr>
      </w:pPr>
    </w:p>
    <w:p w14:paraId="715580BF" w14:textId="77777777" w:rsidR="00C37020" w:rsidRDefault="00C37020" w:rsidP="00C37020">
      <w:pPr>
        <w:pStyle w:val="NoSpacing"/>
        <w:rPr>
          <w:b/>
          <w:sz w:val="20"/>
          <w:szCs w:val="20"/>
        </w:rPr>
      </w:pPr>
    </w:p>
    <w:p w14:paraId="3DEEAA1C" w14:textId="43BF6BD7" w:rsidR="00C37020" w:rsidRDefault="00C37020" w:rsidP="00C37020">
      <w:pPr>
        <w:pStyle w:val="NoSpacing"/>
        <w:rPr>
          <w:rFonts w:ascii="Arial Black" w:hAnsi="Arial Black"/>
          <w:b/>
          <w:sz w:val="28"/>
          <w:szCs w:val="28"/>
        </w:rPr>
      </w:pPr>
      <w:r>
        <w:rPr>
          <w:rFonts w:ascii="Arial Black" w:hAnsi="Arial Black"/>
          <w:b/>
          <w:sz w:val="28"/>
          <w:szCs w:val="28"/>
        </w:rPr>
        <w:t>12-39</w:t>
      </w:r>
    </w:p>
    <w:p w14:paraId="042F3C47" w14:textId="77777777" w:rsidR="00C37020" w:rsidRDefault="00C37020" w:rsidP="00C37020">
      <w:pPr>
        <w:pStyle w:val="NoSpacing"/>
        <w:rPr>
          <w:rFonts w:ascii="Arial Black" w:hAnsi="Arial Black"/>
          <w:b/>
          <w:sz w:val="28"/>
          <w:szCs w:val="28"/>
        </w:rPr>
      </w:pPr>
    </w:p>
    <w:p w14:paraId="0800C5C6" w14:textId="77777777" w:rsidR="00C37020" w:rsidRPr="00FD6FBD" w:rsidRDefault="00C37020" w:rsidP="00C37020">
      <w:pPr>
        <w:pStyle w:val="NoSpacing"/>
        <w:rPr>
          <w:rFonts w:ascii="Arial Black" w:hAnsi="Arial Black"/>
          <w:b/>
          <w:sz w:val="28"/>
          <w:szCs w:val="28"/>
        </w:rPr>
      </w:pPr>
      <w:r>
        <w:rPr>
          <w:rFonts w:ascii="Arial Black" w:hAnsi="Arial Black"/>
          <w:b/>
          <w:sz w:val="28"/>
          <w:szCs w:val="28"/>
        </w:rPr>
        <w:t xml:space="preserve">NJ: OFF-DUTY MJ USE – PD – LAWFUL 2021 STATUTE </w:t>
      </w:r>
    </w:p>
    <w:p w14:paraId="20AFE8FD" w14:textId="77777777" w:rsidR="00C37020" w:rsidRDefault="00C37020" w:rsidP="00C37020">
      <w:pPr>
        <w:pStyle w:val="NoSpacing"/>
      </w:pPr>
    </w:p>
    <w:p w14:paraId="178A0442" w14:textId="77777777" w:rsidR="00C37020" w:rsidRDefault="00C37020" w:rsidP="00C37020">
      <w:pPr>
        <w:pStyle w:val="NoSpacing"/>
      </w:pPr>
      <w:r>
        <w:t xml:space="preserve">On May 1, 2026, in two combined cases – </w:t>
      </w:r>
      <w:r w:rsidRPr="003A18C8">
        <w:rPr>
          <w:u w:val="single"/>
        </w:rPr>
        <w:t xml:space="preserve">In </w:t>
      </w:r>
      <w:proofErr w:type="gramStart"/>
      <w:r w:rsidRPr="003A18C8">
        <w:rPr>
          <w:u w:val="single"/>
        </w:rPr>
        <w:t>The</w:t>
      </w:r>
      <w:proofErr w:type="gramEnd"/>
      <w:r w:rsidRPr="003A18C8">
        <w:rPr>
          <w:u w:val="single"/>
        </w:rPr>
        <w:t xml:space="preserve"> Matter </w:t>
      </w:r>
      <w:proofErr w:type="gramStart"/>
      <w:r w:rsidRPr="003A18C8">
        <w:rPr>
          <w:u w:val="single"/>
        </w:rPr>
        <w:t>Of</w:t>
      </w:r>
      <w:proofErr w:type="gramEnd"/>
      <w:r w:rsidRPr="003A18C8">
        <w:rPr>
          <w:u w:val="single"/>
        </w:rPr>
        <w:t xml:space="preserve"> Norman Mansor, Jersey City Police Department</w:t>
      </w:r>
      <w:r>
        <w:t xml:space="preserve">; and </w:t>
      </w:r>
      <w:r w:rsidRPr="003A18C8">
        <w:rPr>
          <w:u w:val="single"/>
        </w:rPr>
        <w:t xml:space="preserve">In </w:t>
      </w:r>
      <w:proofErr w:type="gramStart"/>
      <w:r w:rsidRPr="003A18C8">
        <w:rPr>
          <w:u w:val="single"/>
        </w:rPr>
        <w:t>The</w:t>
      </w:r>
      <w:proofErr w:type="gramEnd"/>
      <w:r w:rsidRPr="003A18C8">
        <w:rPr>
          <w:u w:val="single"/>
        </w:rPr>
        <w:t xml:space="preserve"> Matter </w:t>
      </w:r>
      <w:proofErr w:type="gramStart"/>
      <w:r w:rsidRPr="003A18C8">
        <w:rPr>
          <w:u w:val="single"/>
        </w:rPr>
        <w:t>Of</w:t>
      </w:r>
      <w:proofErr w:type="gramEnd"/>
      <w:r w:rsidRPr="003A18C8">
        <w:rPr>
          <w:u w:val="single"/>
        </w:rPr>
        <w:t xml:space="preserve"> Omar Polanco, Jersey City Police Department</w:t>
      </w:r>
      <w:r>
        <w:t xml:space="preserve"> – the Superior Court of New Jersey, Appellate Division, held (3 to 0) that the Civil Service Commission properly upheld the decision of two Administrative Law Judges reinstating the police officers (including back pay and reasonable attorney fees).  [See note below - Maryland has now enacted a similar law, effective October 1, 2026].  </w:t>
      </w:r>
      <w:hyperlink r:id="rId1957" w:history="1">
        <w:r w:rsidRPr="00841548">
          <w:rPr>
            <w:rStyle w:val="Hyperlink"/>
          </w:rPr>
          <w:t>https://www.njcourts.gov/system/files/court-opinions/2026/a3876-23a3886-23.pdf</w:t>
        </w:r>
      </w:hyperlink>
      <w:r>
        <w:t xml:space="preserve"> </w:t>
      </w:r>
    </w:p>
    <w:p w14:paraId="24D2235B" w14:textId="77777777" w:rsidR="00C37020" w:rsidRDefault="00C37020" w:rsidP="00C37020">
      <w:pPr>
        <w:pStyle w:val="NoSpacing"/>
      </w:pPr>
    </w:p>
    <w:p w14:paraId="2CA3298F" w14:textId="77777777" w:rsidR="00C37020" w:rsidRDefault="00C37020" w:rsidP="00C37020">
      <w:pPr>
        <w:pStyle w:val="NoSpacing"/>
      </w:pPr>
      <w:r>
        <w:t xml:space="preserve">THE COURT WROTE: </w:t>
      </w:r>
    </w:p>
    <w:p w14:paraId="0A7E2214" w14:textId="77777777" w:rsidR="00C37020" w:rsidRDefault="00C37020" w:rsidP="00C37020">
      <w:pPr>
        <w:pStyle w:val="NoSpacing"/>
      </w:pPr>
    </w:p>
    <w:p w14:paraId="23EE058D" w14:textId="77777777" w:rsidR="00C37020" w:rsidRDefault="00C37020" w:rsidP="00C37020">
      <w:pPr>
        <w:pStyle w:val="NoSpacing"/>
      </w:pPr>
      <w:r>
        <w:t>“In her decision, the ALJ summarized the facts that led to the charges against Mansour. The ALJ also recognized, ‘In April 2022, [the] JCPD Police Director and Deputy Chief issued an order stating that officers were prohibited from using cannabis on or off duty as it is illegal under federal law for cannabis users to possess, carry or use firearms.’ The ALJ further observed when</w:t>
      </w:r>
    </w:p>
    <w:p w14:paraId="7D57B31B" w14:textId="77777777" w:rsidR="00C37020" w:rsidRDefault="00C37020" w:rsidP="00C37020">
      <w:pPr>
        <w:pStyle w:val="NoSpacing"/>
      </w:pPr>
      <w:r>
        <w:t>Mansour was tested ‘[</w:t>
      </w:r>
      <w:proofErr w:type="spellStart"/>
      <w:r>
        <w:t>i</w:t>
      </w:r>
      <w:proofErr w:type="spellEnd"/>
      <w:r>
        <w:t xml:space="preserve">]n September 2022[,] regulated marijuana, cannabis was legal in New Jersey and available for purchase from in[-]state cannabis dispensaries.’ She further noted the JCPD did not allege Mansour used cannabis or was impaired while on </w:t>
      </w:r>
      <w:proofErr w:type="gramStart"/>
      <w:r>
        <w:t>duty, or</w:t>
      </w:r>
      <w:proofErr w:type="gramEnd"/>
      <w:r>
        <w:t xml:space="preserve"> used unregulated cannabis…. The ALJ recognized in August 2021, prior to Mansour's random drug screening, ‘N.J.S.A. 24:6I-52 became operative’ and states, in relevant part:</w:t>
      </w:r>
    </w:p>
    <w:p w14:paraId="287F1E8D" w14:textId="77777777" w:rsidR="00C37020" w:rsidRDefault="00C37020" w:rsidP="00C37020">
      <w:pPr>
        <w:pStyle w:val="NoSpacing"/>
        <w:ind w:left="720"/>
      </w:pPr>
    </w:p>
    <w:p w14:paraId="2FC3D7EC" w14:textId="77777777" w:rsidR="00C37020" w:rsidRDefault="00C37020" w:rsidP="00C37020">
      <w:pPr>
        <w:pStyle w:val="NoSpacing"/>
        <w:ind w:left="720"/>
      </w:pPr>
      <w:r>
        <w:t>No employer shall refuse to hire or employ any person</w:t>
      </w:r>
    </w:p>
    <w:p w14:paraId="073F4444" w14:textId="77777777" w:rsidR="00C37020" w:rsidRDefault="00C37020" w:rsidP="00C37020">
      <w:pPr>
        <w:pStyle w:val="NoSpacing"/>
        <w:ind w:firstLine="720"/>
      </w:pPr>
      <w:r>
        <w:t>or shall discharge from employment or take any adverse</w:t>
      </w:r>
    </w:p>
    <w:p w14:paraId="212A9BC7" w14:textId="77777777" w:rsidR="00C37020" w:rsidRDefault="00C37020" w:rsidP="00C37020">
      <w:pPr>
        <w:pStyle w:val="NoSpacing"/>
        <w:ind w:firstLine="720"/>
      </w:pPr>
      <w:r>
        <w:t>action against any employee with respect to</w:t>
      </w:r>
    </w:p>
    <w:p w14:paraId="7AA6E82C" w14:textId="77777777" w:rsidR="00C37020" w:rsidRDefault="00C37020" w:rsidP="00C37020">
      <w:pPr>
        <w:pStyle w:val="NoSpacing"/>
        <w:ind w:firstLine="720"/>
      </w:pPr>
      <w:r>
        <w:t>compensation, terms, conditions, or other privileges of</w:t>
      </w:r>
    </w:p>
    <w:p w14:paraId="7025D9BE" w14:textId="77777777" w:rsidR="00C37020" w:rsidRDefault="00C37020" w:rsidP="00C37020">
      <w:pPr>
        <w:pStyle w:val="NoSpacing"/>
        <w:ind w:firstLine="720"/>
      </w:pPr>
      <w:r>
        <w:t>employment because that person does or does not</w:t>
      </w:r>
    </w:p>
    <w:p w14:paraId="771F2E4E" w14:textId="77777777" w:rsidR="00C37020" w:rsidRDefault="00C37020" w:rsidP="00C37020">
      <w:pPr>
        <w:pStyle w:val="NoSpacing"/>
        <w:ind w:firstLine="720"/>
      </w:pPr>
      <w:r>
        <w:t>smoke, . . . or otherwise use cannabis items, and an</w:t>
      </w:r>
    </w:p>
    <w:p w14:paraId="02404FEA" w14:textId="77777777" w:rsidR="00C37020" w:rsidRDefault="00C37020" w:rsidP="00C37020">
      <w:pPr>
        <w:pStyle w:val="NoSpacing"/>
        <w:ind w:firstLine="720"/>
      </w:pPr>
      <w:r>
        <w:t>employee shall not be subject to any adverse action by</w:t>
      </w:r>
    </w:p>
    <w:p w14:paraId="784674EF" w14:textId="77777777" w:rsidR="00C37020" w:rsidRDefault="00C37020" w:rsidP="00C37020">
      <w:pPr>
        <w:pStyle w:val="NoSpacing"/>
        <w:ind w:firstLine="720"/>
      </w:pPr>
      <w:r>
        <w:t>an employer solely due to the presence of cannabinoid</w:t>
      </w:r>
    </w:p>
    <w:p w14:paraId="4200E61E" w14:textId="77777777" w:rsidR="00C37020" w:rsidRDefault="00C37020" w:rsidP="00C37020">
      <w:pPr>
        <w:pStyle w:val="NoSpacing"/>
        <w:ind w:firstLine="720"/>
      </w:pPr>
      <w:r>
        <w:t>metabolites in the employee's bodily fluid from</w:t>
      </w:r>
    </w:p>
    <w:p w14:paraId="3788F008" w14:textId="77777777" w:rsidR="00C37020" w:rsidRDefault="00C37020" w:rsidP="00C37020">
      <w:pPr>
        <w:pStyle w:val="NoSpacing"/>
        <w:ind w:firstLine="720"/>
      </w:pPr>
      <w:r>
        <w:t>engaging in conduct permitted under [CREAMMA].</w:t>
      </w:r>
    </w:p>
    <w:p w14:paraId="1B6D224C" w14:textId="77777777" w:rsidR="00C37020" w:rsidRDefault="00C37020" w:rsidP="00C37020">
      <w:pPr>
        <w:pStyle w:val="NoSpacing"/>
      </w:pPr>
      <w:r>
        <w:t>***</w:t>
      </w:r>
    </w:p>
    <w:p w14:paraId="44C98AB6" w14:textId="77777777" w:rsidR="00C37020" w:rsidRDefault="00C37020" w:rsidP="00C37020">
      <w:pPr>
        <w:pStyle w:val="NoSpacing"/>
      </w:pPr>
      <w:r w:rsidRPr="00C04A88">
        <w:t xml:space="preserve">In summary, we conclude the JCPD may comply with both the GCA </w:t>
      </w:r>
      <w:r>
        <w:t>[</w:t>
      </w:r>
      <w:r w:rsidRPr="00496437">
        <w:t>federal Gun Control Act (GCA), 18 U.S.C. §§ 921-934</w:t>
      </w:r>
      <w:r>
        <w:t xml:space="preserve">] </w:t>
      </w:r>
      <w:r w:rsidRPr="00C04A88">
        <w:t>and</w:t>
      </w:r>
      <w:r>
        <w:t xml:space="preserve"> </w:t>
      </w:r>
      <w:r w:rsidRPr="00C04A88">
        <w:t>CREAMMA</w:t>
      </w:r>
      <w:r>
        <w:t xml:space="preserve"> [PA Cannabis Regulatory, Enforcement Assistance, and Marketplace Modernization Act, N.J.S.A. 24:6I-31 to -56.] </w:t>
      </w:r>
      <w:r w:rsidRPr="00C04A88">
        <w:t xml:space="preserve"> Because the GCA does not preempt CREAMMA, we discern no</w:t>
      </w:r>
      <w:r>
        <w:t xml:space="preserve"> </w:t>
      </w:r>
      <w:r w:rsidRPr="00C04A88">
        <w:t>error in the CSC's decision that Mansour's and Polanco's use of regulated</w:t>
      </w:r>
      <w:r>
        <w:t xml:space="preserve"> </w:t>
      </w:r>
      <w:r w:rsidRPr="00C04A88">
        <w:t>cannabis, off duty, could not sustain the JCPD's removal decisions. We</w:t>
      </w:r>
      <w:r>
        <w:t xml:space="preserve"> </w:t>
      </w:r>
      <w:r w:rsidRPr="00C04A88">
        <w:t xml:space="preserve">therefore affirm the CSC's July 24, </w:t>
      </w:r>
      <w:proofErr w:type="gramStart"/>
      <w:r w:rsidRPr="00C04A88">
        <w:t>2024</w:t>
      </w:r>
      <w:proofErr w:type="gramEnd"/>
      <w:r w:rsidRPr="00C04A88">
        <w:t xml:space="preserve"> decisions in both matters.</w:t>
      </w:r>
      <w:r>
        <w:t>”</w:t>
      </w:r>
    </w:p>
    <w:p w14:paraId="02DB3E70" w14:textId="77777777" w:rsidR="00C37020" w:rsidRDefault="00C37020" w:rsidP="00C37020">
      <w:pPr>
        <w:pStyle w:val="NoSpacing"/>
      </w:pPr>
    </w:p>
    <w:p w14:paraId="2FF70BC1" w14:textId="77777777" w:rsidR="00C37020" w:rsidRDefault="00C37020" w:rsidP="00C37020">
      <w:pPr>
        <w:pStyle w:val="NoSpacing"/>
        <w:rPr>
          <w:b/>
          <w:bCs/>
        </w:rPr>
      </w:pPr>
      <w:r>
        <w:rPr>
          <w:b/>
        </w:rPr>
        <w:t xml:space="preserve">Legal lesson learned:  Fire &amp; EMS departments, in states where marijuana may be purchased lawfully, should carefully review </w:t>
      </w:r>
      <w:proofErr w:type="gramStart"/>
      <w:r>
        <w:rPr>
          <w:b/>
        </w:rPr>
        <w:t>there</w:t>
      </w:r>
      <w:proofErr w:type="gramEnd"/>
      <w:r>
        <w:rPr>
          <w:b/>
        </w:rPr>
        <w:t xml:space="preserve"> policy; in states </w:t>
      </w:r>
      <w:proofErr w:type="spellStart"/>
      <w:r>
        <w:rPr>
          <w:b/>
        </w:rPr>
        <w:t>kike</w:t>
      </w:r>
      <w:proofErr w:type="spellEnd"/>
      <w:r>
        <w:rPr>
          <w:b/>
        </w:rPr>
        <w:t xml:space="preserve"> New Jersey where legislature has enacted a statute prohibiting employer discipline, the policy may need to be modified. </w:t>
      </w:r>
    </w:p>
    <w:p w14:paraId="338AC661" w14:textId="77777777" w:rsidR="00C37020" w:rsidRDefault="00C37020" w:rsidP="00C37020">
      <w:pPr>
        <w:pStyle w:val="NoSpacing"/>
        <w:rPr>
          <w:b/>
          <w:bCs/>
        </w:rPr>
      </w:pPr>
    </w:p>
    <w:p w14:paraId="6DE94ADB" w14:textId="77777777" w:rsidR="00C37020" w:rsidRPr="003D4E4A" w:rsidRDefault="00C37020" w:rsidP="00C37020">
      <w:pPr>
        <w:pStyle w:val="NoSpacing"/>
        <w:ind w:left="720"/>
      </w:pPr>
      <w:r w:rsidRPr="003D4E4A">
        <w:t xml:space="preserve">Note: See the new Maryland statute for public safety employees, effective Oct. 1, 2026. </w:t>
      </w:r>
    </w:p>
    <w:p w14:paraId="29E9A8AC" w14:textId="77777777" w:rsidR="00C37020" w:rsidRPr="00556B50" w:rsidRDefault="00C37020" w:rsidP="00C37020">
      <w:pPr>
        <w:ind w:firstLine="720"/>
      </w:pPr>
      <w:hyperlink r:id="rId1958" w:history="1">
        <w:r w:rsidRPr="00556B50">
          <w:rPr>
            <w:rStyle w:val="Hyperlink"/>
          </w:rPr>
          <w:t>https://mgaleg.maryland.gov/mgawebsite/Legislation/Details/sb0439/?ys=2026rs</w:t>
        </w:r>
      </w:hyperlink>
    </w:p>
    <w:p w14:paraId="03F8A4BB" w14:textId="77777777" w:rsidR="00C37020" w:rsidRPr="00392CD0" w:rsidRDefault="00C37020" w:rsidP="00C37020">
      <w:pPr>
        <w:pStyle w:val="NoSpacing"/>
        <w:ind w:left="720"/>
        <w:rPr>
          <w:b/>
          <w:bCs/>
        </w:rPr>
      </w:pPr>
      <w:r>
        <w:t xml:space="preserve">Here are some key provisions of the bill: </w:t>
      </w:r>
      <w:hyperlink r:id="rId1959" w:history="1">
        <w:r w:rsidRPr="00841548">
          <w:rPr>
            <w:rStyle w:val="Hyperlink"/>
            <w:b/>
          </w:rPr>
          <w:t>https://mgaleg.maryland.gov/2026RS/bills/sb/sb0439T.pdf</w:t>
        </w:r>
      </w:hyperlink>
      <w:r>
        <w:rPr>
          <w:b/>
        </w:rPr>
        <w:t xml:space="preserve"> </w:t>
      </w:r>
    </w:p>
    <w:p w14:paraId="74D45007" w14:textId="77777777" w:rsidR="00C37020" w:rsidRDefault="00C37020" w:rsidP="00C37020">
      <w:pPr>
        <w:pStyle w:val="NoSpacing"/>
        <w:rPr>
          <w:b/>
        </w:rPr>
      </w:pPr>
    </w:p>
    <w:p w14:paraId="100F224B" w14:textId="77777777" w:rsidR="00C37020" w:rsidRPr="00FB438A" w:rsidRDefault="00C37020" w:rsidP="00C37020">
      <w:pPr>
        <w:pStyle w:val="NoSpacing"/>
        <w:ind w:left="720"/>
        <w:rPr>
          <w:b/>
          <w:bCs/>
        </w:rPr>
      </w:pPr>
      <w:r>
        <w:t xml:space="preserve">See this YouTube video with fire union members celebrating passage of the law. </w:t>
      </w:r>
      <w:hyperlink r:id="rId1960" w:history="1">
        <w:r w:rsidRPr="00841548">
          <w:rPr>
            <w:rStyle w:val="Hyperlink"/>
          </w:rPr>
          <w:t>https://www.facebook.com/watch/?v=2023629185244531</w:t>
        </w:r>
      </w:hyperlink>
    </w:p>
    <w:p w14:paraId="2FA35391" w14:textId="77777777" w:rsidR="00C37020" w:rsidRPr="00C04A88" w:rsidRDefault="00C37020" w:rsidP="00C37020">
      <w:pPr>
        <w:pStyle w:val="NoSpacing"/>
      </w:pPr>
    </w:p>
    <w:p w14:paraId="517D4831" w14:textId="77777777" w:rsidR="0062797C" w:rsidRDefault="0062797C" w:rsidP="00986B93">
      <w:pPr>
        <w:rPr>
          <w:rFonts w:ascii="Arial Black" w:hAnsi="Arial Black"/>
          <w:b/>
          <w:sz w:val="28"/>
          <w:szCs w:val="28"/>
        </w:rPr>
      </w:pPr>
    </w:p>
    <w:p w14:paraId="25A52A75" w14:textId="77777777" w:rsidR="0062797C" w:rsidRDefault="0062797C" w:rsidP="00986B93">
      <w:pPr>
        <w:rPr>
          <w:rFonts w:ascii="Arial Black" w:hAnsi="Arial Black"/>
          <w:b/>
          <w:sz w:val="28"/>
          <w:szCs w:val="28"/>
        </w:rPr>
      </w:pPr>
    </w:p>
    <w:p w14:paraId="49A51511" w14:textId="77777777" w:rsidR="0062797C" w:rsidRDefault="0062797C" w:rsidP="00986B93">
      <w:pPr>
        <w:rPr>
          <w:rFonts w:ascii="Arial Black" w:hAnsi="Arial Black"/>
          <w:b/>
          <w:sz w:val="28"/>
          <w:szCs w:val="28"/>
        </w:rPr>
      </w:pPr>
    </w:p>
    <w:p w14:paraId="5E682FA1" w14:textId="4C5A9223" w:rsidR="00E147E0" w:rsidRDefault="00E147E0" w:rsidP="00986B93">
      <w:pPr>
        <w:rPr>
          <w:rFonts w:ascii="Arial Black" w:hAnsi="Arial Black"/>
          <w:b/>
          <w:sz w:val="28"/>
          <w:szCs w:val="28"/>
        </w:rPr>
      </w:pPr>
      <w:r>
        <w:rPr>
          <w:rFonts w:ascii="Arial Black" w:hAnsi="Arial Black"/>
          <w:b/>
          <w:sz w:val="28"/>
          <w:szCs w:val="28"/>
        </w:rPr>
        <w:t>12-38</w:t>
      </w:r>
    </w:p>
    <w:p w14:paraId="5E348CFC" w14:textId="3BF5C3E0" w:rsidR="00986B93" w:rsidRPr="00D52490" w:rsidRDefault="00986B93" w:rsidP="00986B93">
      <w:pPr>
        <w:rPr>
          <w:rFonts w:ascii="Arial Black" w:hAnsi="Arial Black"/>
          <w:b/>
          <w:sz w:val="28"/>
          <w:szCs w:val="28"/>
        </w:rPr>
      </w:pPr>
      <w:r>
        <w:rPr>
          <w:rFonts w:ascii="Arial Black" w:hAnsi="Arial Black"/>
          <w:b/>
          <w:sz w:val="28"/>
          <w:szCs w:val="28"/>
        </w:rPr>
        <w:t>U.S. SUP. CT. – MARIJUANA LEGAL 40 STATES – OWN GUN</w:t>
      </w:r>
    </w:p>
    <w:p w14:paraId="2111969C" w14:textId="77777777" w:rsidR="00986B93" w:rsidRDefault="00986B93" w:rsidP="00986B93">
      <w:pPr>
        <w:pStyle w:val="NoSpacing"/>
      </w:pPr>
      <w:r>
        <w:t xml:space="preserve">On June 18, 2026, in </w:t>
      </w:r>
      <w:r w:rsidRPr="00270B86">
        <w:rPr>
          <w:u w:val="single"/>
        </w:rPr>
        <w:t>United States v. Ali Hemani</w:t>
      </w:r>
      <w:r>
        <w:t>, the United States Supreme Court held (9 to 0) that federal law banning possession of a firearm for someone who regularly smokes marijuana is violation of Second Amendment; recognizing that millions of Americans now regularly use marijuana. The opinion by Justice Neil, the Court held unconstitutional a provision in the federal Gun Control Act, §922(g)(3): anyone who is an “unlawful user of ” or “addicted to” a “controlled substance” is automatically banned from possessing a gun. In future litigation, this case may impact Fire Departments that seek to prohibit (rather than impose restrictions) the use of proscribed marijuana. The Court wrote: “Whatever one thinks of these developments, the federal government has not just tolerated them; it helped fuel them. All of which leaves it awkwardly positioned to suggest that the millions of Americans who now regularly use marijuana are categorically and unusually dangerous.”</w:t>
      </w:r>
    </w:p>
    <w:p w14:paraId="3ACBAA33" w14:textId="77777777" w:rsidR="00986B93" w:rsidRPr="00270B86" w:rsidRDefault="00986B93" w:rsidP="00986B93">
      <w:pPr>
        <w:rPr>
          <w:bCs/>
        </w:rPr>
      </w:pPr>
      <w:r>
        <w:t xml:space="preserve"> </w:t>
      </w:r>
      <w:hyperlink r:id="rId1961" w:history="1">
        <w:r w:rsidRPr="004E2277">
          <w:rPr>
            <w:rStyle w:val="Hyperlink"/>
          </w:rPr>
          <w:t>https://www.supremecourt.gov/opinions/25pdf/24-1234_g2bh.pdf</w:t>
        </w:r>
      </w:hyperlink>
      <w:r>
        <w:t xml:space="preserve"> </w:t>
      </w:r>
    </w:p>
    <w:p w14:paraId="324D43F7" w14:textId="77777777" w:rsidR="00986B93" w:rsidRDefault="00986B93" w:rsidP="00986B93">
      <w:pPr>
        <w:rPr>
          <w:b/>
        </w:rPr>
      </w:pPr>
      <w:r>
        <w:rPr>
          <w:b/>
        </w:rPr>
        <w:t>FACTS:</w:t>
      </w:r>
    </w:p>
    <w:p w14:paraId="5935219D" w14:textId="77777777" w:rsidR="00986B93" w:rsidRDefault="00986B93" w:rsidP="00986B93">
      <w:pPr>
        <w:pStyle w:val="NoSpacing"/>
      </w:pPr>
      <w:r>
        <w:t>“</w:t>
      </w:r>
      <w:r w:rsidRPr="00AF0E8D">
        <w:t>Ali Hemani uses marijuana a few times a week. That fact</w:t>
      </w:r>
      <w:r>
        <w:t xml:space="preserve"> </w:t>
      </w:r>
      <w:r w:rsidRPr="00AF0E8D">
        <w:t>alone, the government says, means he is automatically</w:t>
      </w:r>
      <w:r>
        <w:t xml:space="preserve"> </w:t>
      </w:r>
      <w:r w:rsidRPr="00AF0E8D">
        <w:t>banned from possessing a firearm under federal law. And</w:t>
      </w:r>
      <w:r>
        <w:t xml:space="preserve"> </w:t>
      </w:r>
      <w:r w:rsidRPr="00AF0E8D">
        <w:t>because Mr. Hemani admits he owns a gun despite this ban,</w:t>
      </w:r>
      <w:r>
        <w:t xml:space="preserve"> </w:t>
      </w:r>
      <w:r w:rsidRPr="00AF0E8D">
        <w:t>the government now seeks to prosecute him, imprison him</w:t>
      </w:r>
      <w:r>
        <w:t xml:space="preserve"> </w:t>
      </w:r>
      <w:r w:rsidRPr="00AF0E8D">
        <w:t>for up to 15 years, and disarm him for life. This case poses</w:t>
      </w:r>
      <w:r>
        <w:t xml:space="preserve"> </w:t>
      </w:r>
      <w:r w:rsidRPr="00AF0E8D">
        <w:t>the question whether the government’s prosecution of Mr.</w:t>
      </w:r>
      <w:r>
        <w:t xml:space="preserve"> </w:t>
      </w:r>
      <w:r w:rsidRPr="00AF0E8D">
        <w:t>Hemani is consistent with the Second Amendment.</w:t>
      </w:r>
    </w:p>
    <w:p w14:paraId="6657576E" w14:textId="77777777" w:rsidR="00986B93" w:rsidRDefault="00986B93" w:rsidP="00986B93">
      <w:pPr>
        <w:pStyle w:val="NoSpacing"/>
      </w:pPr>
    </w:p>
    <w:p w14:paraId="3FC1F72B" w14:textId="77777777" w:rsidR="00986B93" w:rsidRDefault="00986B93" w:rsidP="00986B93">
      <w:pPr>
        <w:pStyle w:val="NoSpacing"/>
      </w:pPr>
      <w:r>
        <w:t>***</w:t>
      </w:r>
    </w:p>
    <w:p w14:paraId="0F340F28" w14:textId="77777777" w:rsidR="00986B93" w:rsidRDefault="00986B93" w:rsidP="00986B93">
      <w:pPr>
        <w:pStyle w:val="NoSpacing"/>
      </w:pPr>
      <w:r>
        <w:t xml:space="preserve">Mr. Hemani is a dual citizen of the United States and Pakistan who was born in Texas and has spent most of his life there. In recent years, he has lived in the Dallas area with his parents and worked a stable job. But, suspecting Mr. Hemani and his family members of terrorism-related activities, the government conducted a search </w:t>
      </w:r>
      <w:proofErr w:type="gramStart"/>
      <w:r>
        <w:t>of</w:t>
      </w:r>
      <w:proofErr w:type="gramEnd"/>
      <w:r>
        <w:t xml:space="preserve"> the family home in 2022. Throughout the process, Mr. Hemani proved cooperative. He surrendered a gun he kept in the house and </w:t>
      </w:r>
      <w:proofErr w:type="gramStart"/>
      <w:r>
        <w:t>pointed agents to</w:t>
      </w:r>
      <w:proofErr w:type="gramEnd"/>
      <w:r>
        <w:t xml:space="preserve"> some marijuana on the property. He also consented to an interview, telling law enforcement agents that he used marijuana ‘about every other </w:t>
      </w:r>
      <w:proofErr w:type="gramStart"/>
      <w:r>
        <w:t>day.”’</w:t>
      </w:r>
      <w:proofErr w:type="gramEnd"/>
      <w:r>
        <w:t xml:space="preserve"> …  After the agents found cocaine in his parents’ closet, Mr. Hemani claimed ownership of that as well, though he maintained that his mother had hidden it from him and that he had not used any recently.</w:t>
      </w:r>
    </w:p>
    <w:p w14:paraId="5B361F89" w14:textId="77777777" w:rsidR="00986B93" w:rsidRDefault="00986B93" w:rsidP="00986B93">
      <w:pPr>
        <w:pStyle w:val="NoSpacing"/>
      </w:pPr>
    </w:p>
    <w:p w14:paraId="4664B8D7" w14:textId="77777777" w:rsidR="00986B93" w:rsidRDefault="00986B93" w:rsidP="00986B93">
      <w:pPr>
        <w:pStyle w:val="NoSpacing"/>
      </w:pPr>
      <w:r>
        <w:t xml:space="preserve">More than six months after the search, the government brought a single-charge indictment against Mr. Hemani. The charge had nothing to do with </w:t>
      </w:r>
      <w:proofErr w:type="gramStart"/>
      <w:r>
        <w:t>terrorism—</w:t>
      </w:r>
      <w:proofErr w:type="gramEnd"/>
      <w:r>
        <w:t>the reason for the search in the first place. Nor did the charge involve possession of cocaine, drug trafficking, or anything like that. Instead, relying solely on his admitted use of marijuana about every other day, the government prosecuted Mr. Hemani for knowingly possessing a gun in his home while being an ‘unlawful user’ of a controlled substance…. For that alone, the government claimed, Mr. Hemani</w:t>
      </w:r>
    </w:p>
    <w:p w14:paraId="2113E36E" w14:textId="77777777" w:rsidR="00986B93" w:rsidRDefault="00986B93" w:rsidP="00986B93">
      <w:pPr>
        <w:pStyle w:val="NoSpacing"/>
      </w:pPr>
      <w:r>
        <w:t>faced up to 15 years in prison and disarmament for life.</w:t>
      </w:r>
    </w:p>
    <w:p w14:paraId="1308A5D7" w14:textId="77777777" w:rsidR="00986B93" w:rsidRDefault="00986B93" w:rsidP="00986B93">
      <w:pPr>
        <w:pStyle w:val="NoSpacing"/>
      </w:pPr>
    </w:p>
    <w:p w14:paraId="4DCEE965" w14:textId="77777777" w:rsidR="00986B93" w:rsidRDefault="00986B93" w:rsidP="00986B93">
      <w:pPr>
        <w:pStyle w:val="NoSpacing"/>
      </w:pPr>
      <w:r>
        <w:t>***</w:t>
      </w:r>
    </w:p>
    <w:p w14:paraId="15DC9BB0" w14:textId="77777777" w:rsidR="00986B93" w:rsidRDefault="00986B93" w:rsidP="00986B93">
      <w:pPr>
        <w:pStyle w:val="NoSpacing"/>
      </w:pPr>
      <w:r>
        <w:t>Mr. Hemani moved to dismiss the indictment, arguing that the government’s effort to enforce §922(g)(3) against him violated the Second Amendment. The district court granted the motion and, after an unsuccessful appeal to the Fifth Circuit, the government asked us to review the case. We agreed to do so.</w:t>
      </w:r>
    </w:p>
    <w:p w14:paraId="4B4D7A2A" w14:textId="77777777" w:rsidR="00986B93" w:rsidRDefault="00986B93" w:rsidP="00986B93">
      <w:pPr>
        <w:pStyle w:val="NoSpacing"/>
      </w:pPr>
    </w:p>
    <w:p w14:paraId="7654852E" w14:textId="77777777" w:rsidR="00986B93" w:rsidRDefault="00986B93" w:rsidP="00986B93">
      <w:pPr>
        <w:pStyle w:val="NoSpacing"/>
        <w:rPr>
          <w:b/>
          <w:bCs/>
        </w:rPr>
      </w:pPr>
      <w:r w:rsidRPr="00B1025D">
        <w:rPr>
          <w:b/>
        </w:rPr>
        <w:t xml:space="preserve">COURT HELD: </w:t>
      </w:r>
    </w:p>
    <w:p w14:paraId="23863371" w14:textId="77777777" w:rsidR="00986B93" w:rsidRDefault="00986B93" w:rsidP="00986B93">
      <w:pPr>
        <w:pStyle w:val="NoSpacing"/>
        <w:rPr>
          <w:b/>
          <w:bCs/>
        </w:rPr>
      </w:pPr>
    </w:p>
    <w:p w14:paraId="6E704818" w14:textId="77777777" w:rsidR="00986B93" w:rsidRPr="00CB01DE" w:rsidRDefault="00986B93" w:rsidP="00986B93">
      <w:pPr>
        <w:pStyle w:val="NoSpacing"/>
      </w:pPr>
      <w:r>
        <w:t>“</w:t>
      </w:r>
      <w:r w:rsidRPr="00CB01DE">
        <w:t>The law, says the government, doesn’t</w:t>
      </w:r>
      <w:r>
        <w:t xml:space="preserve"> </w:t>
      </w:r>
      <w:r w:rsidRPr="00CB01DE">
        <w:t>require anything more. It doesn’t matter what controlled</w:t>
      </w:r>
    </w:p>
    <w:p w14:paraId="648ABCF3" w14:textId="77777777" w:rsidR="00986B93" w:rsidRDefault="00986B93" w:rsidP="00986B93">
      <w:pPr>
        <w:pStyle w:val="NoSpacing"/>
      </w:pPr>
      <w:r w:rsidRPr="00CB01DE">
        <w:t>substance an individual uses, in what amounts he does so,</w:t>
      </w:r>
      <w:r>
        <w:t xml:space="preserve"> </w:t>
      </w:r>
      <w:r w:rsidRPr="00CB01DE">
        <w:t>or whether his drug use has ever made him a danger to himself or others. It doesn’t even matter why he keeps a gun or</w:t>
      </w:r>
      <w:r>
        <w:t xml:space="preserve"> </w:t>
      </w:r>
      <w:r w:rsidRPr="00CB01DE">
        <w:t>how safely he does so. And for violating this automatic ban,</w:t>
      </w:r>
      <w:r>
        <w:t xml:space="preserve"> </w:t>
      </w:r>
      <w:r w:rsidRPr="00CB01DE">
        <w:t xml:space="preserve">the government </w:t>
      </w:r>
      <w:proofErr w:type="gramStart"/>
      <w:r w:rsidRPr="00CB01DE">
        <w:t>insists,</w:t>
      </w:r>
      <w:proofErr w:type="gramEnd"/>
      <w:r w:rsidRPr="00CB01DE">
        <w:t xml:space="preserve"> an individual like Mr. Hemani may</w:t>
      </w:r>
      <w:r>
        <w:t xml:space="preserve"> </w:t>
      </w:r>
      <w:r w:rsidRPr="00CB01DE">
        <w:t>be sent to prison for up to 15 years and disarmed for life.</w:t>
      </w:r>
    </w:p>
    <w:p w14:paraId="397F9669" w14:textId="77777777" w:rsidR="00986B93" w:rsidRDefault="00986B93" w:rsidP="00986B93">
      <w:pPr>
        <w:pStyle w:val="NoSpacing"/>
      </w:pPr>
    </w:p>
    <w:p w14:paraId="6EBA15B4" w14:textId="77777777" w:rsidR="00986B93" w:rsidRDefault="00986B93" w:rsidP="00986B93">
      <w:pPr>
        <w:pStyle w:val="NoSpacing"/>
      </w:pPr>
      <w:r>
        <w:t>***</w:t>
      </w:r>
    </w:p>
    <w:p w14:paraId="73DF993E" w14:textId="77777777" w:rsidR="00986B93" w:rsidRDefault="00986B93" w:rsidP="00986B93">
      <w:pPr>
        <w:pStyle w:val="NoSpacing"/>
      </w:pPr>
      <w:r>
        <w:t xml:space="preserve">The second reason has to do with the government’s approach to the drug at issue here. As this case came to us, marijuana was listed on Schedule I—a schedule reserved for drugs with ‘a high potential for abuse’ with ‘no currently accepted medical use.’ 21 U. S. C. §812(b)(1). But after we heard oral argument, the government moved some marijuana products to Schedule III, 91 Fed. Reg. 22714 (2026), a schedule that applies to drugs with a lower potential for dependence and abuse and for which a ‘currently accepted medical use’ exists, §812(b)(3). </w:t>
      </w:r>
    </w:p>
    <w:p w14:paraId="6406CD4B" w14:textId="77777777" w:rsidR="00986B93" w:rsidRDefault="00986B93" w:rsidP="00986B93">
      <w:pPr>
        <w:pStyle w:val="NoSpacing"/>
      </w:pPr>
    </w:p>
    <w:p w14:paraId="73FE9421" w14:textId="77777777" w:rsidR="00986B93" w:rsidRDefault="00986B93" w:rsidP="00986B93">
      <w:pPr>
        <w:pStyle w:val="NoSpacing"/>
      </w:pPr>
      <w:r>
        <w:t>Years before that, too, the Department of Justice issued a memorandum directing federal prosecutors nationwide to curtail their enforcement efforts against marijuana users even while all</w:t>
      </w:r>
    </w:p>
    <w:p w14:paraId="0885A6AF" w14:textId="77777777" w:rsidR="00986B93" w:rsidRDefault="00986B93" w:rsidP="00986B93">
      <w:pPr>
        <w:pStyle w:val="NoSpacing"/>
      </w:pPr>
      <w:proofErr w:type="gramStart"/>
      <w:r>
        <w:t>marijuana</w:t>
      </w:r>
      <w:proofErr w:type="gramEnd"/>
      <w:r>
        <w:t xml:space="preserve"> products remained on Schedule I. Attorney General Memo (Aug. 29, 2013).</w:t>
      </w:r>
    </w:p>
    <w:p w14:paraId="0A58423F" w14:textId="77777777" w:rsidR="00986B93" w:rsidRDefault="00986B93" w:rsidP="00986B93">
      <w:pPr>
        <w:pStyle w:val="NoSpacing"/>
      </w:pPr>
    </w:p>
    <w:p w14:paraId="76F226FA" w14:textId="77777777" w:rsidR="00986B93" w:rsidRDefault="00986B93" w:rsidP="00986B93">
      <w:pPr>
        <w:pStyle w:val="NoSpacing"/>
      </w:pPr>
      <w:r>
        <w:t>Seismic changes followed that memorandum. While marijuana use largely remained unlawful under federal law, the number of federal offenders sentenced for possession of marijuana dwindled. See United States Sentencing Commission, Interactive Data Analyzer. And most States responded by legalizing marijuana use to one degree or another as a matter of state law. See Nat. Conf. of State Legislatures, State Medical Cannabis Laws (June 27, 2025)(‘Forty states, three territories and the District of Columbia’ have legalized some marijuana use). As a result, some</w:t>
      </w:r>
    </w:p>
    <w:p w14:paraId="42CE3896" w14:textId="77777777" w:rsidR="00986B93" w:rsidRDefault="00986B93" w:rsidP="00986B93">
      <w:pPr>
        <w:pStyle w:val="NoSpacing"/>
      </w:pPr>
      <w:r>
        <w:t>surveys suggest there now may be more adults in this country who regularly use marijuana than consume alcohol. See, e.g., J. Caulkins, Changes in Self-Reported Cannabis Use in the United States from 1979 to 2022, 119 Addiction 1648 (2024) (finding, for the first time in 2022, more individuals who self-report daily or near-daily marijuana use than alcohol use). Whatever one thinks of these developments, the federal government has not just tolerated them; it helped fuel them. All of which leaves it awkwardly positioned to suggest that the millions of Americans who now regularly use marijuana are categorically and unusually dangerous.”</w:t>
      </w:r>
    </w:p>
    <w:p w14:paraId="7C5D9E64" w14:textId="77777777" w:rsidR="00986B93" w:rsidRDefault="00986B93" w:rsidP="00986B93">
      <w:pPr>
        <w:pStyle w:val="NoSpacing"/>
      </w:pPr>
    </w:p>
    <w:p w14:paraId="2E92629B" w14:textId="77777777" w:rsidR="00986B93" w:rsidRPr="00AD5B03" w:rsidRDefault="00986B93" w:rsidP="00986B93">
      <w:pPr>
        <w:pStyle w:val="NoSpacing"/>
        <w:rPr>
          <w:b/>
          <w:bCs/>
        </w:rPr>
      </w:pPr>
      <w:r>
        <w:rPr>
          <w:b/>
        </w:rPr>
        <w:t xml:space="preserve">Legal lesson learned: The unanimous decision may be cited in future litigation against fire departments that prohibit use of proscribed marijuana. </w:t>
      </w:r>
    </w:p>
    <w:p w14:paraId="40DDACF3" w14:textId="77777777" w:rsidR="00986B93" w:rsidRDefault="00986B93" w:rsidP="00986B93">
      <w:pPr>
        <w:pStyle w:val="NoSpacing"/>
        <w:rPr>
          <w:sz w:val="20"/>
          <w:szCs w:val="20"/>
        </w:rPr>
      </w:pPr>
    </w:p>
    <w:p w14:paraId="71A7F468" w14:textId="77777777" w:rsidR="00986B93" w:rsidRDefault="00986B93" w:rsidP="00A13485">
      <w:pPr>
        <w:rPr>
          <w:rFonts w:ascii="Arial Black" w:hAnsi="Arial Black"/>
          <w:b/>
          <w:sz w:val="24"/>
          <w:szCs w:val="24"/>
        </w:rPr>
      </w:pPr>
    </w:p>
    <w:p w14:paraId="775F90C6" w14:textId="77777777" w:rsidR="00986B93" w:rsidRDefault="00986B93" w:rsidP="00A13485">
      <w:pPr>
        <w:rPr>
          <w:rFonts w:ascii="Arial Black" w:hAnsi="Arial Black"/>
          <w:b/>
          <w:sz w:val="24"/>
          <w:szCs w:val="24"/>
        </w:rPr>
      </w:pPr>
    </w:p>
    <w:p w14:paraId="07EB053C" w14:textId="77777777" w:rsidR="00986B93" w:rsidRDefault="00986B93" w:rsidP="00A13485">
      <w:pPr>
        <w:rPr>
          <w:rFonts w:ascii="Arial Black" w:hAnsi="Arial Black"/>
          <w:b/>
          <w:sz w:val="24"/>
          <w:szCs w:val="24"/>
        </w:rPr>
      </w:pPr>
    </w:p>
    <w:p w14:paraId="75398E76" w14:textId="284205F3" w:rsidR="00A13485" w:rsidRDefault="00A13485" w:rsidP="00A13485">
      <w:pPr>
        <w:rPr>
          <w:rFonts w:ascii="Arial Black" w:hAnsi="Arial Black"/>
          <w:b/>
          <w:sz w:val="28"/>
          <w:szCs w:val="28"/>
        </w:rPr>
      </w:pPr>
      <w:r>
        <w:rPr>
          <w:rFonts w:ascii="Arial Black" w:hAnsi="Arial Black"/>
          <w:b/>
          <w:sz w:val="24"/>
          <w:szCs w:val="24"/>
        </w:rPr>
        <w:t>12-37</w:t>
      </w:r>
    </w:p>
    <w:p w14:paraId="7D8E5026" w14:textId="4BF0F025" w:rsidR="00A13485" w:rsidRPr="0086572F" w:rsidRDefault="00A13485" w:rsidP="00A13485">
      <w:pPr>
        <w:pStyle w:val="NoSpacing"/>
        <w:rPr>
          <w:rFonts w:ascii="Arial Black" w:hAnsi="Arial Black"/>
          <w:b/>
          <w:sz w:val="28"/>
          <w:szCs w:val="28"/>
        </w:rPr>
      </w:pPr>
      <w:r>
        <w:rPr>
          <w:rFonts w:ascii="Arial Black" w:hAnsi="Arial Black"/>
          <w:b/>
          <w:sz w:val="28"/>
          <w:szCs w:val="28"/>
        </w:rPr>
        <w:t>LA: CAPT PTSD – 2</w:t>
      </w:r>
      <w:r w:rsidRPr="00DC1547">
        <w:rPr>
          <w:rFonts w:ascii="Arial Black" w:hAnsi="Arial Black"/>
          <w:b/>
          <w:sz w:val="28"/>
          <w:szCs w:val="28"/>
          <w:vertAlign w:val="superscript"/>
        </w:rPr>
        <w:t>nd</w:t>
      </w:r>
      <w:r>
        <w:rPr>
          <w:rFonts w:ascii="Arial Black" w:hAnsi="Arial Black"/>
          <w:b/>
          <w:sz w:val="28"/>
          <w:szCs w:val="28"/>
        </w:rPr>
        <w:t xml:space="preserve"> POSITIVE MJ – TERMINATION UPHELD</w:t>
      </w:r>
    </w:p>
    <w:p w14:paraId="57A5BA10" w14:textId="77777777" w:rsidR="00A13485" w:rsidRDefault="00A13485" w:rsidP="00A13485">
      <w:pPr>
        <w:pStyle w:val="NoSpacing"/>
      </w:pPr>
    </w:p>
    <w:p w14:paraId="0BDFE62F" w14:textId="77777777" w:rsidR="00A13485" w:rsidRDefault="00A13485" w:rsidP="00A13485">
      <w:pPr>
        <w:pStyle w:val="NoSpacing"/>
        <w:rPr>
          <w:b/>
        </w:rPr>
      </w:pPr>
      <w:r>
        <w:t xml:space="preserve">On April 23, 2026, </w:t>
      </w:r>
      <w:r w:rsidRPr="001627E8">
        <w:rPr>
          <w:u w:val="single"/>
        </w:rPr>
        <w:t>In Re Appeal of Todd David</w:t>
      </w:r>
      <w:r>
        <w:t xml:space="preserve">, the </w:t>
      </w:r>
      <w:r w:rsidRPr="004D370E">
        <w:t>Court of Appeals of Louisiana, First Circuit</w:t>
      </w:r>
      <w:r>
        <w:t xml:space="preserve"> held (3 to 0) that the Fire &amp; Police Board had reasonable basis for the termination, and trial court judge improperly reversed the Board.  On September 14, 2022, the firefighter tested positive for marijuana; at the pre-termination hearing he stated that a doctor gave him the marijuana recommendation because he experienced issues during his sleep due to PTSD.  This was his second positive for marijuana; 1999 he testified positive and signed a rehabilitation agreement that under Board’s ordinance, police and firefighters, as ‘safety-sensitive” employees, can only have one positive in their employment.  The City of Baton Rouge has more lenient policy.  </w:t>
      </w:r>
      <w:hyperlink r:id="rId1962" w:history="1">
        <w:r w:rsidRPr="006400E9">
          <w:rPr>
            <w:rStyle w:val="Hyperlink"/>
            <w:b/>
          </w:rPr>
          <w:t>https://cases.justia.com/louisiana/first-circuit-court-of-appeal/2026-2025cw0332.pdf?ts=1776975731</w:t>
        </w:r>
      </w:hyperlink>
      <w:r>
        <w:rPr>
          <w:b/>
        </w:rPr>
        <w:t xml:space="preserve"> </w:t>
      </w:r>
    </w:p>
    <w:p w14:paraId="278E61E8" w14:textId="77777777" w:rsidR="00A13485" w:rsidRDefault="00A13485" w:rsidP="00A13485">
      <w:pPr>
        <w:pStyle w:val="NoSpacing"/>
        <w:rPr>
          <w:b/>
        </w:rPr>
      </w:pPr>
    </w:p>
    <w:p w14:paraId="1C4ECA0A" w14:textId="77777777" w:rsidR="00A13485" w:rsidRPr="004D370E" w:rsidRDefault="00A13485" w:rsidP="00A13485">
      <w:pPr>
        <w:pStyle w:val="NoSpacing"/>
        <w:rPr>
          <w:bCs/>
        </w:rPr>
      </w:pPr>
      <w:r>
        <w:t>THE COURT HELD:</w:t>
      </w:r>
    </w:p>
    <w:p w14:paraId="15A9A36C" w14:textId="77777777" w:rsidR="00A13485" w:rsidRDefault="00A13485" w:rsidP="00A13485">
      <w:pPr>
        <w:pStyle w:val="NoSpacing"/>
      </w:pPr>
    </w:p>
    <w:p w14:paraId="27EF2C25" w14:textId="77777777" w:rsidR="00A13485" w:rsidRDefault="00A13485" w:rsidP="00A13485">
      <w:pPr>
        <w:pStyle w:val="NoSpacing"/>
        <w:ind w:firstLine="720"/>
      </w:pPr>
      <w:r>
        <w:t>“The district court exceeded its authority by reversing the board's decision in this</w:t>
      </w:r>
    </w:p>
    <w:p w14:paraId="1D7D4CFA" w14:textId="77777777" w:rsidR="00A13485" w:rsidRDefault="00A13485" w:rsidP="00A13485">
      <w:pPr>
        <w:pStyle w:val="NoSpacing"/>
        <w:ind w:firstLine="720"/>
      </w:pPr>
      <w:r>
        <w:t>matter…. [T</w:t>
      </w:r>
      <w:proofErr w:type="gramStart"/>
      <w:r>
        <w:t xml:space="preserve">]he </w:t>
      </w:r>
      <w:proofErr w:type="gramEnd"/>
      <w:r>
        <w:t xml:space="preserve">evidence in the administrative record establishes </w:t>
      </w:r>
      <w:proofErr w:type="gramStart"/>
      <w:r>
        <w:t>the reasonableness</w:t>
      </w:r>
      <w:proofErr w:type="gramEnd"/>
    </w:p>
    <w:p w14:paraId="6AFEDBE0" w14:textId="77777777" w:rsidR="00A13485" w:rsidRDefault="00A13485" w:rsidP="00A13485">
      <w:pPr>
        <w:pStyle w:val="NoSpacing"/>
        <w:ind w:firstLine="720"/>
      </w:pPr>
      <w:r>
        <w:t>of the board' s determination. After all, David' s attorney did not dispute that there was a</w:t>
      </w:r>
    </w:p>
    <w:p w14:paraId="4E45FE09" w14:textId="77777777" w:rsidR="00A13485" w:rsidRDefault="00A13485" w:rsidP="00A13485">
      <w:pPr>
        <w:pStyle w:val="NoSpacing"/>
        <w:ind w:firstLine="720"/>
      </w:pPr>
      <w:r>
        <w:t>“</w:t>
      </w:r>
      <w:proofErr w:type="gramStart"/>
      <w:r>
        <w:t>positive</w:t>
      </w:r>
      <w:proofErr w:type="gramEnd"/>
      <w:r>
        <w:t xml:space="preserve"> test" at the hearing. Instead, David argued that he did not know his use of</w:t>
      </w:r>
    </w:p>
    <w:p w14:paraId="6E2F7B34" w14:textId="77777777" w:rsidR="00A13485" w:rsidRDefault="00A13485" w:rsidP="00A13485">
      <w:pPr>
        <w:pStyle w:val="NoSpacing"/>
        <w:ind w:left="720"/>
      </w:pPr>
      <w:proofErr w:type="gramStart"/>
      <w:r>
        <w:t>marijuana</w:t>
      </w:r>
      <w:proofErr w:type="gramEnd"/>
      <w:r>
        <w:t xml:space="preserve"> under these circumstances would jeopardize his employment.</w:t>
      </w:r>
    </w:p>
    <w:p w14:paraId="2E967539" w14:textId="77777777" w:rsidR="00A13485" w:rsidRDefault="00A13485" w:rsidP="00A13485">
      <w:pPr>
        <w:pStyle w:val="NoSpacing"/>
        <w:ind w:left="720"/>
      </w:pPr>
    </w:p>
    <w:p w14:paraId="5D1BE4F2" w14:textId="77777777" w:rsidR="00A13485" w:rsidRDefault="00A13485" w:rsidP="00A13485">
      <w:pPr>
        <w:pStyle w:val="NoSpacing"/>
        <w:ind w:left="720"/>
      </w:pPr>
      <w:r>
        <w:t>***</w:t>
      </w:r>
    </w:p>
    <w:p w14:paraId="122AFE92" w14:textId="77777777" w:rsidR="00A13485" w:rsidRDefault="00A13485" w:rsidP="00A13485">
      <w:pPr>
        <w:pStyle w:val="NoSpacing"/>
        <w:ind w:left="720"/>
      </w:pPr>
      <w:r>
        <w:t>Chief Kimble' s termination letter did not find David's actions were justified, stating:</w:t>
      </w:r>
    </w:p>
    <w:p w14:paraId="1674D4AC" w14:textId="77777777" w:rsidR="00A13485" w:rsidRDefault="00A13485" w:rsidP="00A13485">
      <w:pPr>
        <w:pStyle w:val="NoSpacing"/>
        <w:ind w:left="720"/>
      </w:pPr>
      <w:r>
        <w:t>“</w:t>
      </w:r>
      <w:proofErr w:type="gramStart"/>
      <w:r>
        <w:t>particularly</w:t>
      </w:r>
      <w:proofErr w:type="gramEnd"/>
      <w:r>
        <w:t xml:space="preserve"> since you [ David] previously acknowledged to me [ Chief Kimble] that you</w:t>
      </w:r>
    </w:p>
    <w:p w14:paraId="1B0F95B7" w14:textId="77777777" w:rsidR="00A13485" w:rsidRDefault="00A13485" w:rsidP="00A13485">
      <w:pPr>
        <w:pStyle w:val="NoSpacing"/>
        <w:ind w:left="720"/>
      </w:pPr>
      <w:r>
        <w:t>were aware [ taking] medical marijuana would place me in the difficult position to have</w:t>
      </w:r>
    </w:p>
    <w:p w14:paraId="3FEF4F0B" w14:textId="77777777" w:rsidR="00A13485" w:rsidRDefault="00A13485" w:rsidP="00A13485">
      <w:pPr>
        <w:pStyle w:val="NoSpacing"/>
        <w:ind w:left="720"/>
      </w:pPr>
      <w:r>
        <w:t xml:space="preserve">to make a decision regarding your employment." </w:t>
      </w:r>
    </w:p>
    <w:p w14:paraId="5AB8305C" w14:textId="77777777" w:rsidR="00A13485" w:rsidRDefault="00A13485" w:rsidP="00A13485">
      <w:pPr>
        <w:pStyle w:val="NoSpacing"/>
        <w:ind w:left="720"/>
      </w:pPr>
    </w:p>
    <w:p w14:paraId="672431AE" w14:textId="77777777" w:rsidR="00A13485" w:rsidRDefault="00A13485" w:rsidP="00A13485">
      <w:pPr>
        <w:pStyle w:val="NoSpacing"/>
        <w:ind w:left="720"/>
      </w:pPr>
      <w:r>
        <w:t>***</w:t>
      </w:r>
    </w:p>
    <w:p w14:paraId="7292CE81" w14:textId="77777777" w:rsidR="00A13485" w:rsidRDefault="00A13485" w:rsidP="00A13485">
      <w:pPr>
        <w:pStyle w:val="NoSpacing"/>
        <w:ind w:left="720"/>
      </w:pPr>
      <w:r>
        <w:t>David suggested that it would be unfair to terminate him for violating a rule that he was unable to find-- either on his employer's website, the State Examiner's website, or in the BRFD policy manual. In response, BRFD pointed out that the rehabilitation agreement David signed in 1999 specifically cited the Fire and Police Board' s Drug -Free Ordinance. BRFD also pointed out that its policy manual was implemented in 1997, when there were no valid recommendations for medical marijuana.”</w:t>
      </w:r>
    </w:p>
    <w:p w14:paraId="05091318" w14:textId="77777777" w:rsidR="00A13485" w:rsidRDefault="00A13485" w:rsidP="00A13485">
      <w:pPr>
        <w:pStyle w:val="NoSpacing"/>
        <w:ind w:left="720"/>
      </w:pPr>
    </w:p>
    <w:p w14:paraId="482E264F" w14:textId="77777777" w:rsidR="00A13485" w:rsidRPr="00AC3281" w:rsidRDefault="00A13485" w:rsidP="00A13485">
      <w:pPr>
        <w:pStyle w:val="NoSpacing"/>
        <w:rPr>
          <w:b/>
          <w:bCs/>
        </w:rPr>
      </w:pPr>
      <w:r>
        <w:rPr>
          <w:b/>
        </w:rPr>
        <w:t xml:space="preserve">Legal lesson learned: Fire Boards can implement tougher drug-free policy than city policy; it would also be helpful to update FD policy manual with the policy. </w:t>
      </w:r>
    </w:p>
    <w:p w14:paraId="2D806D15" w14:textId="77777777" w:rsidR="00A13485" w:rsidRDefault="00A13485" w:rsidP="00A13485">
      <w:pPr>
        <w:pStyle w:val="NoSpacing"/>
        <w:rPr>
          <w:bCs/>
        </w:rPr>
      </w:pPr>
    </w:p>
    <w:p w14:paraId="35FD28BA" w14:textId="77777777" w:rsidR="001C5665" w:rsidRDefault="001C5665" w:rsidP="00800ACD">
      <w:pPr>
        <w:rPr>
          <w:rFonts w:ascii="Arial Black" w:hAnsi="Arial Black"/>
          <w:b/>
          <w:sz w:val="24"/>
          <w:szCs w:val="24"/>
        </w:rPr>
      </w:pPr>
    </w:p>
    <w:p w14:paraId="231DD3AF" w14:textId="77777777" w:rsidR="001C5665" w:rsidRDefault="001C5665" w:rsidP="00800ACD">
      <w:pPr>
        <w:rPr>
          <w:rFonts w:ascii="Arial Black" w:hAnsi="Arial Black"/>
          <w:b/>
          <w:sz w:val="24"/>
          <w:szCs w:val="24"/>
        </w:rPr>
      </w:pPr>
    </w:p>
    <w:p w14:paraId="630D72B0" w14:textId="4C1029BB" w:rsidR="006C0A0C" w:rsidRDefault="006C0A0C" w:rsidP="00800ACD">
      <w:pPr>
        <w:rPr>
          <w:rFonts w:ascii="Arial Black" w:hAnsi="Arial Black"/>
          <w:b/>
          <w:sz w:val="24"/>
          <w:szCs w:val="24"/>
        </w:rPr>
      </w:pPr>
      <w:r>
        <w:rPr>
          <w:rFonts w:ascii="Arial Black" w:hAnsi="Arial Black"/>
          <w:b/>
          <w:sz w:val="24"/>
          <w:szCs w:val="24"/>
        </w:rPr>
        <w:t>12-36</w:t>
      </w:r>
    </w:p>
    <w:p w14:paraId="4D4EEE90" w14:textId="77777777" w:rsidR="00B170D7" w:rsidRDefault="00B170D7" w:rsidP="00B170D7">
      <w:pPr>
        <w:pStyle w:val="NoSpacing"/>
        <w:rPr>
          <w:rFonts w:ascii="Arial Black" w:hAnsi="Arial Black"/>
          <w:b/>
          <w:sz w:val="28"/>
          <w:szCs w:val="28"/>
        </w:rPr>
      </w:pPr>
      <w:r>
        <w:rPr>
          <w:rFonts w:ascii="Arial Black" w:hAnsi="Arial Black"/>
          <w:b/>
          <w:sz w:val="28"/>
          <w:szCs w:val="28"/>
        </w:rPr>
        <w:t>FL: DRUG-TEST - FF/EMT TOOK HUSBAND’S DRUG – FIRED</w:t>
      </w:r>
    </w:p>
    <w:p w14:paraId="6822E340" w14:textId="77777777" w:rsidR="00B170D7" w:rsidRDefault="00B170D7" w:rsidP="00B170D7">
      <w:pPr>
        <w:pStyle w:val="NoSpacing"/>
        <w:rPr>
          <w:bCs/>
        </w:rPr>
      </w:pPr>
    </w:p>
    <w:p w14:paraId="1D74FF65" w14:textId="77777777" w:rsidR="00B170D7" w:rsidRDefault="00B170D7" w:rsidP="00B170D7">
      <w:pPr>
        <w:pStyle w:val="NoSpacing"/>
      </w:pPr>
      <w:r w:rsidRPr="00442D02">
        <w:t xml:space="preserve">On March 4, 2026, in </w:t>
      </w:r>
      <w:r w:rsidRPr="00442D02">
        <w:rPr>
          <w:u w:val="single"/>
        </w:rPr>
        <w:t>Dawn Oakley v. Polk County Board of Commissioners</w:t>
      </w:r>
      <w:r>
        <w:rPr>
          <w:b/>
        </w:rPr>
        <w:t xml:space="preserve">,  </w:t>
      </w:r>
      <w:r w:rsidRPr="008864DD">
        <w:t>U.S. District Court Judge</w:t>
      </w:r>
      <w:r>
        <w:t xml:space="preserve"> Virginia M. Hernandez Covington</w:t>
      </w:r>
      <w:r w:rsidRPr="008864DD">
        <w:t>, United States District Court, Middle District of Florida, Tampa Division</w:t>
      </w:r>
      <w:r>
        <w:t xml:space="preserve">, granted the County’s motion for summary judgment. </w:t>
      </w:r>
      <w:r w:rsidRPr="00430AF4">
        <w:t> </w:t>
      </w:r>
      <w:r>
        <w:t>The Court wrote: “</w:t>
      </w:r>
      <w:r w:rsidRPr="00430AF4">
        <w:t xml:space="preserve">Ms. Oakley argues that termination was a draconian punishment for a good employee who made a mistake. The Court tends to agree and has sympathy for Ms. Oakley. But this Court cannot second guess whether the County's decision was </w:t>
      </w:r>
      <w:r>
        <w:t>“</w:t>
      </w:r>
      <w:r w:rsidRPr="00430AF4">
        <w:t>prudent or fair.</w:t>
      </w:r>
      <w:r>
        <w:t xml:space="preserve">”… </w:t>
      </w:r>
      <w:r w:rsidRPr="00E97B54">
        <w:t> This Court does “not sit as a super-personnel department that reexamines an entity's business decisions.</w:t>
      </w:r>
      <w:r>
        <w:t xml:space="preserve">” </w:t>
      </w:r>
      <w:hyperlink r:id="rId1963" w:history="1">
        <w:r w:rsidRPr="00502BCE">
          <w:rPr>
            <w:rStyle w:val="Hyperlink"/>
          </w:rPr>
          <w:t>https://ecf.flmd.uscourts.gov/cgi-bin/show_public_doc?2025-00120-37-8-cv</w:t>
        </w:r>
      </w:hyperlink>
      <w:r>
        <w:t xml:space="preserve"> </w:t>
      </w:r>
    </w:p>
    <w:p w14:paraId="2C7683CF" w14:textId="77777777" w:rsidR="00B170D7" w:rsidRDefault="00B170D7" w:rsidP="00B170D7">
      <w:pPr>
        <w:pStyle w:val="NoSpacing"/>
      </w:pPr>
    </w:p>
    <w:p w14:paraId="59AB65ED" w14:textId="77777777" w:rsidR="00B170D7" w:rsidRDefault="00B170D7" w:rsidP="00B170D7">
      <w:pPr>
        <w:pStyle w:val="NoSpacing"/>
      </w:pPr>
      <w:r>
        <w:t>THE COURT HELD: “</w:t>
      </w:r>
      <w:r w:rsidRPr="002965D8">
        <w:t>On March 28, 2022, Ms. Oakley was selected to undergo a random drug test</w:t>
      </w:r>
      <w:r>
        <w:t xml:space="preserve">…. </w:t>
      </w:r>
      <w:r w:rsidRPr="002965D8">
        <w:t>Before she drove to Bartow where the test would be administered, Ms. Oakley took two pills from her to-go pill bottle that she believed were Tylenol to alleviate her back pain</w:t>
      </w:r>
      <w:r>
        <w:t>….</w:t>
      </w:r>
      <w:r w:rsidRPr="002965D8">
        <w:t>But Ms. Oakley accidentally ingested her husband's Vyvanse, which she mistook for Tylenol</w:t>
      </w:r>
      <w:r>
        <w:t>….</w:t>
      </w:r>
      <w:r w:rsidRPr="002965D8">
        <w:t xml:space="preserve"> The weekend before her drug test, Ms. Oakley put one of her husband's Vyvanse pills in her to-go pill bottle in case they decided to spend the night in Orlando after a concert</w:t>
      </w:r>
      <w:r>
        <w:t xml:space="preserve">…. </w:t>
      </w:r>
      <w:r w:rsidRPr="002965D8">
        <w:t>Ms. Oakley had forgotten about her husband's Vyvanse, failing to remove it from her to-go bottle</w:t>
      </w:r>
      <w:r>
        <w:t xml:space="preserve">…. </w:t>
      </w:r>
      <w:r w:rsidRPr="002965D8">
        <w:t>Ms. Oakley completed a breathalyzer test and provided a urine sample</w:t>
      </w:r>
      <w:r>
        <w:t xml:space="preserve">…. </w:t>
      </w:r>
      <w:r w:rsidRPr="007803F7">
        <w:t>Ms. Oakley admitted to taking 70 milligrams of Vyvanse, and, although she did not feel any effects from the medication, she was still under its influence during her shift.</w:t>
      </w:r>
    </w:p>
    <w:p w14:paraId="1F722B1D" w14:textId="77777777" w:rsidR="00B170D7" w:rsidRDefault="00B170D7" w:rsidP="00B170D7">
      <w:pPr>
        <w:pStyle w:val="NoSpacing"/>
      </w:pPr>
    </w:p>
    <w:p w14:paraId="79ECAE3B" w14:textId="77777777" w:rsidR="00B170D7" w:rsidRDefault="00B170D7" w:rsidP="00B170D7">
      <w:pPr>
        <w:pStyle w:val="NoSpacing"/>
      </w:pPr>
      <w:r>
        <w:t>***</w:t>
      </w:r>
    </w:p>
    <w:p w14:paraId="07E4FE34" w14:textId="77777777" w:rsidR="00B170D7" w:rsidRDefault="00B170D7" w:rsidP="00B170D7">
      <w:pPr>
        <w:pStyle w:val="NoSpacing"/>
      </w:pPr>
    </w:p>
    <w:p w14:paraId="76F8D29A" w14:textId="77777777" w:rsidR="00B170D7" w:rsidRDefault="00B170D7" w:rsidP="00B170D7">
      <w:pPr>
        <w:pStyle w:val="NoSpacing"/>
      </w:pPr>
      <w:r w:rsidRPr="00F97586">
        <w:t>From January 2015 through December 2023, Polk County either terminated or allowed resignation in lieu of termination for 14 employees after positive random drug tests</w:t>
      </w:r>
      <w:r>
        <w:t>….</w:t>
      </w:r>
      <w:r w:rsidRPr="00F97586">
        <w:t>Eight of these employees, including Ms. Oakley, worked for PCFR</w:t>
      </w:r>
      <w:r>
        <w:t xml:space="preserve">…. </w:t>
      </w:r>
      <w:r w:rsidRPr="00F97586">
        <w:t xml:space="preserve">The group included two African American males, one Hispanic </w:t>
      </w:r>
      <w:r>
        <w:t xml:space="preserve"> </w:t>
      </w:r>
      <w:r w:rsidRPr="00F97586">
        <w:t>male, and one white male</w:t>
      </w:r>
      <w:r>
        <w:t xml:space="preserve">…. </w:t>
      </w:r>
      <w:r w:rsidRPr="00F97586">
        <w:t>The fifth male did not disclose his racial identity, so that remains unknown</w:t>
      </w:r>
      <w:r>
        <w:t xml:space="preserve">…. </w:t>
      </w:r>
      <w:r w:rsidRPr="00F97586">
        <w:t>In addition to Ms. Oakley, two white females have also been terminated for positive drug tests</w:t>
      </w:r>
      <w:r>
        <w:t xml:space="preserve">…. </w:t>
      </w:r>
      <w:r w:rsidRPr="00F97586">
        <w:t>Four white males and two Hispanic males who worked in the County's other divisions also lost their jobs after positive drug tests.</w:t>
      </w:r>
      <w:r>
        <w:t>”</w:t>
      </w:r>
    </w:p>
    <w:p w14:paraId="42B44340" w14:textId="77777777" w:rsidR="00B170D7" w:rsidRDefault="00B170D7" w:rsidP="00B170D7">
      <w:pPr>
        <w:pStyle w:val="NoSpacing"/>
      </w:pPr>
    </w:p>
    <w:p w14:paraId="1884B7E8" w14:textId="77777777" w:rsidR="00B170D7" w:rsidRPr="00F97586" w:rsidRDefault="00B170D7" w:rsidP="00B170D7">
      <w:pPr>
        <w:pStyle w:val="NoSpacing"/>
        <w:rPr>
          <w:b/>
          <w:bCs/>
        </w:rPr>
      </w:pPr>
      <w:r w:rsidRPr="003E0542">
        <w:rPr>
          <w:b/>
        </w:rPr>
        <w:t xml:space="preserve">Legal lesson learned: </w:t>
      </w:r>
      <w:r>
        <w:rPr>
          <w:b/>
        </w:rPr>
        <w:t xml:space="preserve">The County has consistently followed its drug free workplace policy (even if it may be called “harsh”). </w:t>
      </w:r>
    </w:p>
    <w:p w14:paraId="1E9A86A8" w14:textId="77777777" w:rsidR="006C0A0C" w:rsidRDefault="006C0A0C" w:rsidP="00800ACD">
      <w:pPr>
        <w:rPr>
          <w:rFonts w:ascii="Arial Black" w:hAnsi="Arial Black"/>
          <w:b/>
          <w:sz w:val="24"/>
          <w:szCs w:val="24"/>
        </w:rPr>
      </w:pPr>
    </w:p>
    <w:p w14:paraId="0D4247D4" w14:textId="77777777" w:rsidR="006C0A0C" w:rsidRDefault="006C0A0C" w:rsidP="00800ACD">
      <w:pPr>
        <w:rPr>
          <w:rFonts w:ascii="Arial Black" w:hAnsi="Arial Black"/>
          <w:b/>
          <w:sz w:val="24"/>
          <w:szCs w:val="24"/>
        </w:rPr>
      </w:pPr>
    </w:p>
    <w:p w14:paraId="7FCA3057" w14:textId="15F5AEDE" w:rsidR="005F4889" w:rsidRDefault="005F4889" w:rsidP="00800ACD">
      <w:pPr>
        <w:rPr>
          <w:rFonts w:ascii="Arial Black" w:hAnsi="Arial Black"/>
          <w:b/>
          <w:sz w:val="24"/>
          <w:szCs w:val="24"/>
        </w:rPr>
      </w:pPr>
      <w:r>
        <w:rPr>
          <w:rFonts w:ascii="Arial Black" w:hAnsi="Arial Black"/>
          <w:b/>
          <w:sz w:val="24"/>
          <w:szCs w:val="24"/>
        </w:rPr>
        <w:t>12-35</w:t>
      </w:r>
    </w:p>
    <w:p w14:paraId="5599C142" w14:textId="77777777" w:rsidR="00C812C2" w:rsidRPr="00E361DB" w:rsidRDefault="00C812C2" w:rsidP="00C812C2">
      <w:pPr>
        <w:rPr>
          <w:rFonts w:ascii="Arial Black" w:hAnsi="Arial Black"/>
          <w:b/>
          <w:sz w:val="28"/>
          <w:szCs w:val="28"/>
        </w:rPr>
      </w:pPr>
      <w:r>
        <w:rPr>
          <w:rFonts w:ascii="Arial Black" w:hAnsi="Arial Black"/>
          <w:b/>
          <w:sz w:val="28"/>
          <w:szCs w:val="28"/>
        </w:rPr>
        <w:t xml:space="preserve">FL: B/C MJ MEDICAL USE – DEMOTED -  NOT COVERED ADA </w:t>
      </w:r>
    </w:p>
    <w:p w14:paraId="0697D919" w14:textId="77777777" w:rsidR="00C812C2" w:rsidRDefault="00C812C2" w:rsidP="00C812C2">
      <w:pPr>
        <w:pStyle w:val="NoSpacing"/>
      </w:pPr>
      <w:r>
        <w:t>On January 13, 2026</w:t>
      </w:r>
      <w:proofErr w:type="gramStart"/>
      <w:r>
        <w:t>, in</w:t>
      </w:r>
      <w:proofErr w:type="gramEnd"/>
      <w:r>
        <w:t xml:space="preserve"> </w:t>
      </w:r>
      <w:r w:rsidRPr="005515CC">
        <w:rPr>
          <w:u w:val="single"/>
        </w:rPr>
        <w:t>John Beckman v. The Collier County Board of Commissioners</w:t>
      </w:r>
      <w:r>
        <w:t xml:space="preserve">, Senior U.S. District Court Judge John E. Steele, United States District Court for the Middle District of Florida, Fort Myers Division, granted summary judgment to the County; even though Florida allows medically prescribed marijuana, it is still an illegal Federal drug and under ADA persons using illegal drugs are not “qualified individual.” The record shows that Beckman’s disability disclosures to Fire Department occurred in October 2020, April 2021, and September 2022. He  was selected for random drug testing on September 1, 2023, and after testing positive, placed on unpaid administrative leave, returned to work on October 17, </w:t>
      </w:r>
      <w:proofErr w:type="gramStart"/>
      <w:r>
        <w:t>2023</w:t>
      </w:r>
      <w:proofErr w:type="gramEnd"/>
      <w:r>
        <w:t xml:space="preserve"> he was demoted.  He </w:t>
      </w:r>
      <w:proofErr w:type="gramStart"/>
      <w:r>
        <w:t>resigned</w:t>
      </w:r>
      <w:proofErr w:type="gramEnd"/>
      <w:r>
        <w:t xml:space="preserve"> November 9, 2023.  </w:t>
      </w:r>
      <w:hyperlink r:id="rId1964" w:history="1">
        <w:r w:rsidRPr="00EB79A3">
          <w:rPr>
            <w:rStyle w:val="Hyperlink"/>
          </w:rPr>
          <w:t>https://cases.justia.com/federal/district-courts/florida/flmdce/2:2024cv00585/429227/35/0.pdf?ts=1768388107</w:t>
        </w:r>
      </w:hyperlink>
      <w:r>
        <w:t xml:space="preserve"> </w:t>
      </w:r>
    </w:p>
    <w:p w14:paraId="0A703893" w14:textId="77777777" w:rsidR="00C812C2" w:rsidRDefault="00C812C2" w:rsidP="00C812C2">
      <w:pPr>
        <w:pStyle w:val="NoSpacing"/>
      </w:pPr>
    </w:p>
    <w:p w14:paraId="0E37247D" w14:textId="77777777" w:rsidR="00C812C2" w:rsidRDefault="00C812C2" w:rsidP="00C812C2">
      <w:pPr>
        <w:pStyle w:val="NoSpacing"/>
      </w:pPr>
      <w:r>
        <w:t>THE COURT HELD:</w:t>
      </w:r>
    </w:p>
    <w:p w14:paraId="747F9504" w14:textId="77777777" w:rsidR="00C812C2" w:rsidRDefault="00C812C2" w:rsidP="00C812C2">
      <w:pPr>
        <w:pStyle w:val="NoSpacing"/>
      </w:pPr>
    </w:p>
    <w:p w14:paraId="5D84B0D7" w14:textId="77777777" w:rsidR="00C812C2" w:rsidRDefault="00C812C2" w:rsidP="00C812C2">
      <w:pPr>
        <w:pStyle w:val="NoSpacing"/>
        <w:ind w:left="720"/>
      </w:pPr>
      <w:r>
        <w:t>“</w:t>
      </w:r>
      <w:r w:rsidRPr="00AF601A">
        <w:t>Beckman began his employment with the County in 2006 as an</w:t>
      </w:r>
      <w:r>
        <w:t xml:space="preserve"> </w:t>
      </w:r>
      <w:r w:rsidRPr="00AF601A">
        <w:t>Emergency Medical Technician. Beckman enjoyed a successful career</w:t>
      </w:r>
      <w:r>
        <w:t xml:space="preserve"> </w:t>
      </w:r>
      <w:r w:rsidRPr="00AF601A">
        <w:t>with the County, and by 2016 had been promoted to Battalion Chief.</w:t>
      </w:r>
      <w:r>
        <w:t xml:space="preserve"> </w:t>
      </w:r>
      <w:r w:rsidRPr="00AF601A">
        <w:t>At all relevant times Beckman had been able to perform the</w:t>
      </w:r>
      <w:r>
        <w:t xml:space="preserve"> </w:t>
      </w:r>
      <w:r w:rsidRPr="00AF601A">
        <w:t xml:space="preserve">essential functions of his employment position with </w:t>
      </w:r>
      <w:proofErr w:type="gramStart"/>
      <w:r w:rsidRPr="00AF601A">
        <w:t>an</w:t>
      </w:r>
      <w:r>
        <w:t xml:space="preserve"> </w:t>
      </w:r>
      <w:r w:rsidRPr="00AF601A">
        <w:t>accommodation</w:t>
      </w:r>
      <w:proofErr w:type="gramEnd"/>
      <w:r w:rsidRPr="00AF601A">
        <w:t xml:space="preserve"> for a gastrointestinal condition that substantially</w:t>
      </w:r>
      <w:r>
        <w:t xml:space="preserve"> </w:t>
      </w:r>
      <w:r w:rsidRPr="00AF601A">
        <w:t>limits his major life activities. After multiple medications</w:t>
      </w:r>
      <w:r>
        <w:t xml:space="preserve"> </w:t>
      </w:r>
      <w:r w:rsidRPr="00AF601A">
        <w:t>proved unsuccessful in managing the condition, on September 12,</w:t>
      </w:r>
      <w:r>
        <w:t xml:space="preserve"> </w:t>
      </w:r>
      <w:r w:rsidRPr="00AF601A">
        <w:t>2020, Beckman obtained a certification for medical marijuana use</w:t>
      </w:r>
      <w:r>
        <w:t xml:space="preserve"> </w:t>
      </w:r>
      <w:r w:rsidRPr="00AF601A">
        <w:t>from the State of Florida.</w:t>
      </w:r>
    </w:p>
    <w:p w14:paraId="468101A5" w14:textId="77777777" w:rsidR="00C812C2" w:rsidRDefault="00C812C2" w:rsidP="00C812C2">
      <w:pPr>
        <w:pStyle w:val="NoSpacing"/>
        <w:ind w:left="720"/>
      </w:pPr>
    </w:p>
    <w:p w14:paraId="5E28F31A" w14:textId="77777777" w:rsidR="00C812C2" w:rsidRDefault="00C812C2" w:rsidP="00C812C2">
      <w:pPr>
        <w:pStyle w:val="NoSpacing"/>
        <w:ind w:left="720"/>
      </w:pPr>
      <w:r>
        <w:t>***</w:t>
      </w:r>
    </w:p>
    <w:p w14:paraId="64031651" w14:textId="77777777" w:rsidR="00C812C2" w:rsidRDefault="00C812C2" w:rsidP="00C812C2">
      <w:pPr>
        <w:pStyle w:val="NoSpacing"/>
        <w:ind w:left="720"/>
      </w:pPr>
    </w:p>
    <w:p w14:paraId="657C1484" w14:textId="77777777" w:rsidR="00C812C2" w:rsidRDefault="00C812C2" w:rsidP="00C812C2">
      <w:pPr>
        <w:pStyle w:val="NoSpacing"/>
        <w:ind w:left="720"/>
      </w:pPr>
      <w:r>
        <w:t>In October 2020 Beckman notified both Deputy Chief Tony Camps (‘Deputy Chief Camps’) and Chief Tabatha Butcher (‘Chief Butcher’)about his medical marijuana use certification…. Beckman would periodically request and receive paid time off because of his medical condition. There were no issues about Beckman’s work performance, and Beckman continued to use the medical marijuana on and off as needed. Beckman was only tested at work because of the random drug testing protocol, and until September 1, 2023, he had never tested positive for the presence of marijuana in his system.</w:t>
      </w:r>
    </w:p>
    <w:p w14:paraId="642BE5CA" w14:textId="77777777" w:rsidR="00C812C2" w:rsidRDefault="00C812C2" w:rsidP="00C812C2">
      <w:pPr>
        <w:pStyle w:val="NoSpacing"/>
        <w:ind w:left="720"/>
      </w:pPr>
    </w:p>
    <w:p w14:paraId="031B6E6C" w14:textId="77777777" w:rsidR="00C812C2" w:rsidRDefault="00C812C2" w:rsidP="00C812C2">
      <w:pPr>
        <w:pStyle w:val="NoSpacing"/>
        <w:ind w:left="720"/>
      </w:pPr>
      <w:r>
        <w:t>On September 1, 2023, Beckman was selected for random drug testing as part of the County’s testing protocol. The test came back positive for the presence of marijuana in Beckman’s system, and he was immediately placed on unpaid administrative leave until completing counseling with a substance abuse professional and returning a negative drug screening.</w:t>
      </w:r>
    </w:p>
    <w:p w14:paraId="4E67D843" w14:textId="77777777" w:rsidR="00C812C2" w:rsidRDefault="00C812C2" w:rsidP="00C812C2">
      <w:pPr>
        <w:pStyle w:val="NoSpacing"/>
        <w:ind w:left="720"/>
      </w:pPr>
    </w:p>
    <w:p w14:paraId="00E05092" w14:textId="77777777" w:rsidR="00C812C2" w:rsidRDefault="00C812C2" w:rsidP="00C812C2">
      <w:pPr>
        <w:pStyle w:val="NoSpacing"/>
        <w:ind w:left="720"/>
      </w:pPr>
      <w:r>
        <w:t xml:space="preserve">Beckman was cleared to return to work after testing negative for illegal substances on October 17, 2023. By October 24, 2023, Beckman received and signed a Behavioral Action Plan (‘BAP’) which included: (1) a thirty-day suspension credited as time served, (2) demotion from Battalion Chief II to Paramedic II with an approximate 24.5% pay cut, (3) a six-month driving prohibition, (4) a six-month probationary period, and (5) ineligibility for promotional opportunities for up to twenty-four months. Beckman did not appeal this </w:t>
      </w:r>
      <w:proofErr w:type="gramStart"/>
      <w:r>
        <w:t>discipline, but</w:t>
      </w:r>
      <w:proofErr w:type="gramEnd"/>
      <w:r>
        <w:t xml:space="preserve"> was unwilling to accept the demotion in rank. Beckman submitted a letter of resignation on October 26, 2023, and terminated his employment with the County on November 9, 2023. Beckman characterizes this as a constructive discharge by the County.</w:t>
      </w:r>
    </w:p>
    <w:p w14:paraId="387FAD6F" w14:textId="77777777" w:rsidR="00C812C2" w:rsidRDefault="00C812C2" w:rsidP="00C812C2">
      <w:pPr>
        <w:pStyle w:val="NoSpacing"/>
        <w:ind w:left="720"/>
      </w:pPr>
    </w:p>
    <w:p w14:paraId="152D3E3D" w14:textId="77777777" w:rsidR="00C812C2" w:rsidRDefault="00C812C2" w:rsidP="00C812C2">
      <w:pPr>
        <w:pStyle w:val="NoSpacing"/>
        <w:ind w:left="720"/>
      </w:pPr>
      <w:r>
        <w:t>***</w:t>
      </w:r>
    </w:p>
    <w:p w14:paraId="03B970F9" w14:textId="77777777" w:rsidR="00C812C2" w:rsidRDefault="00C812C2" w:rsidP="00C812C2">
      <w:pPr>
        <w:pStyle w:val="NoSpacing"/>
        <w:ind w:left="720"/>
      </w:pPr>
      <w:r>
        <w:t xml:space="preserve">Beckman’s use of marijuana, even pursuant to his Florida certificate, was illegal under federal law, and the statutory exclusion is not satisfied by the Florida medical marijuana program. Accordingly, Beckman was not a qualified individual with a disability under the ADA…. But even construing this conduct as being a requested accommodation to allow the use of marijuana, it was not reasonable under the ADA because medical marijuana use was and still is illegal under federal law. Accordingly, any failure to accommodate claim based on the underlying facts fails as a matter of </w:t>
      </w:r>
      <w:proofErr w:type="gramStart"/>
      <w:r>
        <w:t>law.”</w:t>
      </w:r>
      <w:proofErr w:type="gramEnd"/>
    </w:p>
    <w:p w14:paraId="7C2FA684" w14:textId="77777777" w:rsidR="00C812C2" w:rsidRDefault="00C812C2" w:rsidP="00C812C2">
      <w:pPr>
        <w:pStyle w:val="NoSpacing"/>
        <w:ind w:left="720"/>
      </w:pPr>
    </w:p>
    <w:p w14:paraId="4B1420A5" w14:textId="77777777" w:rsidR="00C812C2" w:rsidRPr="003032F5" w:rsidRDefault="00C812C2" w:rsidP="00C812C2">
      <w:pPr>
        <w:pStyle w:val="NoSpacing"/>
        <w:rPr>
          <w:b/>
          <w:bCs/>
        </w:rPr>
      </w:pPr>
      <w:r>
        <w:rPr>
          <w:b/>
        </w:rPr>
        <w:t xml:space="preserve">Legal lesson learned: Unfortunate to discipline a Battalion Chief for use of proscribed medical marijuana; numerous fire departments have in their </w:t>
      </w:r>
      <w:proofErr w:type="gramStart"/>
      <w:r>
        <w:rPr>
          <w:b/>
        </w:rPr>
        <w:t>policies</w:t>
      </w:r>
      <w:proofErr w:type="gramEnd"/>
      <w:r>
        <w:rPr>
          <w:b/>
        </w:rPr>
        <w:t xml:space="preserve"> or Collective Bargaining Agreements recognized the use of proscribed medical marijuana.</w:t>
      </w:r>
    </w:p>
    <w:p w14:paraId="5E353C2C" w14:textId="77777777" w:rsidR="00C812C2" w:rsidRDefault="00C812C2" w:rsidP="00C812C2">
      <w:pPr>
        <w:pStyle w:val="NoSpacing"/>
      </w:pPr>
    </w:p>
    <w:p w14:paraId="3B5242D8" w14:textId="77777777" w:rsidR="00C812C2" w:rsidRDefault="00C812C2" w:rsidP="00C812C2">
      <w:pPr>
        <w:pStyle w:val="NoSpacing"/>
        <w:ind w:left="720"/>
      </w:pPr>
      <w:r>
        <w:t xml:space="preserve">Note: The Drug Enforcement Administration (DEA) recently proposed a new rule to reclassify Marijuana as a Schedule III drug, which would allow use of marijuana for medical treatment. On December 18, </w:t>
      </w:r>
      <w:proofErr w:type="gramStart"/>
      <w:r>
        <w:t>2025</w:t>
      </w:r>
      <w:proofErr w:type="gramEnd"/>
      <w:r>
        <w:t xml:space="preserve"> President Donald J. Trump has issued an Executive Order to speed up consideration of the reclassification of marijuana. Increasing</w:t>
      </w:r>
    </w:p>
    <w:p w14:paraId="5DDB30A8" w14:textId="77777777" w:rsidR="00C812C2" w:rsidRDefault="00C812C2" w:rsidP="00C812C2">
      <w:pPr>
        <w:pStyle w:val="NoSpacing"/>
        <w:ind w:left="720"/>
      </w:pPr>
      <w:r>
        <w:t xml:space="preserve">Medical Marijuana and Cannabidiol Research, 90 FR 60541. </w:t>
      </w:r>
      <w:hyperlink r:id="rId1965" w:history="1">
        <w:r w:rsidRPr="00EB79A3">
          <w:rPr>
            <w:rStyle w:val="Hyperlink"/>
          </w:rPr>
          <w:t>https://www.federalregister.gov/documents/2025/12/23/2025-23846/increasing-medical-marijuana-and-cannabidiol-research</w:t>
        </w:r>
      </w:hyperlink>
      <w:r>
        <w:t xml:space="preserve"> </w:t>
      </w:r>
    </w:p>
    <w:p w14:paraId="3CE69537" w14:textId="77777777" w:rsidR="00C812C2" w:rsidRDefault="00C812C2" w:rsidP="00C812C2">
      <w:pPr>
        <w:pStyle w:val="NoSpacing"/>
        <w:ind w:left="720"/>
      </w:pPr>
    </w:p>
    <w:p w14:paraId="74F7464E" w14:textId="77777777" w:rsidR="00C812C2" w:rsidRDefault="00C812C2" w:rsidP="00C812C2">
      <w:pPr>
        <w:pStyle w:val="NoSpacing"/>
        <w:ind w:left="720"/>
        <w:rPr>
          <w:bCs/>
        </w:rPr>
      </w:pPr>
      <w:r>
        <w:t xml:space="preserve">See also: Dec. 22, 2025: MD – </w:t>
      </w:r>
      <w:r w:rsidRPr="005841E1">
        <w:t xml:space="preserve">Howard County firefighters may use medical cannabis during off-hours, starting soon. </w:t>
      </w:r>
      <w:hyperlink r:id="rId1966" w:history="1">
        <w:r w:rsidRPr="00815351">
          <w:rPr>
            <w:rStyle w:val="Hyperlink"/>
          </w:rPr>
          <w:t>https://baltimorefishbowl.com/stories/howard-county-firefighters-medical-cannabis/</w:t>
        </w:r>
      </w:hyperlink>
      <w:r>
        <w:t xml:space="preserve"> </w:t>
      </w:r>
    </w:p>
    <w:p w14:paraId="4D510AAF" w14:textId="77777777" w:rsidR="00C812C2" w:rsidRPr="005841E1" w:rsidRDefault="00C812C2" w:rsidP="00C812C2">
      <w:pPr>
        <w:pStyle w:val="NoSpacing"/>
        <w:ind w:left="720"/>
        <w:rPr>
          <w:bCs/>
        </w:rPr>
      </w:pPr>
      <w:r w:rsidRPr="00BC6E53">
        <w:t>Howard County Executive Calvin Ball on Friday announced an agreement between Howard County Government and the Howard County International Association of Fire Fighters (IAFF) Local 2000 to allow County Department of Fire and Rescue Services (DFRS) uniformed personnel off-duty usage of medical cannabis. The employees may not use the substance 12 hours before reporting to work, and they must present a valid medical cannabis authorization form to the County’s Office of Human Resources.</w:t>
      </w:r>
    </w:p>
    <w:p w14:paraId="3913A83A" w14:textId="77777777" w:rsidR="00C812C2" w:rsidRDefault="00C812C2" w:rsidP="00C812C2">
      <w:pPr>
        <w:pStyle w:val="NoSpacing"/>
        <w:ind w:left="720"/>
      </w:pPr>
    </w:p>
    <w:p w14:paraId="42298BF1" w14:textId="77777777" w:rsidR="00C812C2" w:rsidRPr="00C83C95" w:rsidRDefault="00C812C2" w:rsidP="00C812C2">
      <w:pPr>
        <w:pStyle w:val="NoSpacing"/>
        <w:ind w:left="720"/>
        <w:rPr>
          <w:b/>
        </w:rPr>
      </w:pPr>
      <w:r w:rsidRPr="00C83C95">
        <w:t>New policy allows Howard County firefighters to use medical cannabis</w:t>
      </w:r>
      <w:r>
        <w:t xml:space="preserve">. </w:t>
      </w:r>
      <w:hyperlink r:id="rId1967" w:history="1">
        <w:r w:rsidRPr="00815351">
          <w:rPr>
            <w:rStyle w:val="Hyperlink"/>
          </w:rPr>
          <w:t>https://www.youtube.com/watch?v=wVEUB8WSdp8</w:t>
        </w:r>
      </w:hyperlink>
      <w:r>
        <w:t xml:space="preserve"> </w:t>
      </w:r>
    </w:p>
    <w:p w14:paraId="4EEA7258" w14:textId="77777777" w:rsidR="00C812C2" w:rsidRDefault="00C812C2" w:rsidP="00C812C2">
      <w:pPr>
        <w:pStyle w:val="NoSpacing"/>
        <w:ind w:left="720"/>
      </w:pPr>
    </w:p>
    <w:p w14:paraId="133172FD" w14:textId="77777777" w:rsidR="00C812C2" w:rsidRPr="00F71B22" w:rsidRDefault="00C812C2" w:rsidP="00C812C2">
      <w:pPr>
        <w:pStyle w:val="NoSpacing"/>
        <w:ind w:left="720"/>
        <w:rPr>
          <w:bCs/>
        </w:rPr>
      </w:pPr>
      <w:r>
        <w:t xml:space="preserve">Dec. 19, 2025: </w:t>
      </w:r>
      <w:r w:rsidRPr="00F71B22">
        <w:t>What Does President Trump’s New Marijuana Directive Mean for You as a Fire Chief?</w:t>
      </w:r>
      <w:r>
        <w:t xml:space="preserve"> </w:t>
      </w:r>
      <w:hyperlink r:id="rId1968" w:history="1">
        <w:r w:rsidRPr="00815351">
          <w:rPr>
            <w:rStyle w:val="Hyperlink"/>
          </w:rPr>
          <w:t>https://www.firefighternation.com/fire-leadership/what-does-president-trumps-new-marijuana-directive-mean-for-you-as-a-fire-chief/</w:t>
        </w:r>
      </w:hyperlink>
      <w:r>
        <w:t xml:space="preserve"> </w:t>
      </w:r>
    </w:p>
    <w:p w14:paraId="6B14FF4B" w14:textId="77777777" w:rsidR="00C812C2" w:rsidRDefault="00C812C2" w:rsidP="00C812C2">
      <w:pPr>
        <w:pStyle w:val="NoSpacing"/>
        <w:ind w:left="720"/>
      </w:pPr>
    </w:p>
    <w:p w14:paraId="1F92C09B" w14:textId="77777777" w:rsidR="00C812C2" w:rsidRPr="001B7700" w:rsidRDefault="00C812C2" w:rsidP="00C812C2">
      <w:pPr>
        <w:pStyle w:val="NoSpacing"/>
        <w:ind w:left="720"/>
        <w:rPr>
          <w:vanish/>
        </w:rPr>
      </w:pPr>
      <w:r>
        <w:t xml:space="preserve">Jan. 2025: KY - </w:t>
      </w:r>
      <w:r w:rsidRPr="00FE3452">
        <w:t xml:space="preserve">Louisville union sues city to allow firefighters to use medical cannabis. </w:t>
      </w:r>
      <w:hyperlink r:id="rId1969" w:history="1">
        <w:r w:rsidRPr="00FE3452">
          <w:rPr>
            <w:rStyle w:val="Hyperlink"/>
          </w:rPr>
          <w:t>https://www.youtube.com/watch?v=1jL6w0_sguI</w:t>
        </w:r>
      </w:hyperlink>
      <w:r w:rsidRPr="00FE3452">
        <w:t xml:space="preserve"> </w:t>
      </w:r>
    </w:p>
    <w:p w14:paraId="5BF3C490" w14:textId="77777777" w:rsidR="00C812C2" w:rsidRPr="001B7700" w:rsidRDefault="00C812C2" w:rsidP="00C812C2">
      <w:pPr>
        <w:ind w:left="720"/>
        <w:rPr>
          <w:vanish/>
        </w:rPr>
      </w:pPr>
      <w:r w:rsidRPr="001B7700">
        <w:rPr>
          <w:vanish/>
        </w:rPr>
        <w:t>Bottom of Form</w:t>
      </w:r>
    </w:p>
    <w:p w14:paraId="31C8A261" w14:textId="77777777" w:rsidR="00C812C2" w:rsidRPr="001B7700" w:rsidRDefault="00C812C2" w:rsidP="00C812C2">
      <w:pPr>
        <w:ind w:left="720"/>
        <w:rPr>
          <w:rStyle w:val="Hyperlink"/>
        </w:rPr>
      </w:pPr>
      <w:r w:rsidRPr="001B7700">
        <w:fldChar w:fldCharType="begin"/>
      </w:r>
      <w:r w:rsidRPr="001B7700">
        <w:instrText>HYPERLINK "https://www.youtube.com/" \o "YouTube Home"</w:instrText>
      </w:r>
      <w:r w:rsidRPr="001B7700">
        <w:fldChar w:fldCharType="separate"/>
      </w:r>
    </w:p>
    <w:p w14:paraId="44D30990" w14:textId="790A2373" w:rsidR="005F4889" w:rsidRDefault="00C812C2" w:rsidP="00C812C2">
      <w:pPr>
        <w:rPr>
          <w:rFonts w:ascii="Arial Black" w:hAnsi="Arial Black"/>
          <w:b/>
          <w:sz w:val="24"/>
          <w:szCs w:val="24"/>
        </w:rPr>
      </w:pPr>
      <w:r w:rsidRPr="001B7700">
        <w:fldChar w:fldCharType="end"/>
      </w:r>
    </w:p>
    <w:p w14:paraId="3BEA6EBD" w14:textId="77777777" w:rsidR="005F4889" w:rsidRDefault="005F4889" w:rsidP="00800ACD">
      <w:pPr>
        <w:rPr>
          <w:rFonts w:ascii="Arial Black" w:hAnsi="Arial Black"/>
          <w:b/>
          <w:sz w:val="24"/>
          <w:szCs w:val="24"/>
        </w:rPr>
      </w:pPr>
    </w:p>
    <w:p w14:paraId="43A1942B" w14:textId="77777777" w:rsidR="005F4889" w:rsidRDefault="005F4889" w:rsidP="00800ACD">
      <w:pPr>
        <w:rPr>
          <w:rFonts w:ascii="Arial Black" w:hAnsi="Arial Black"/>
          <w:b/>
          <w:sz w:val="24"/>
          <w:szCs w:val="24"/>
        </w:rPr>
      </w:pPr>
    </w:p>
    <w:p w14:paraId="08BAB7EB" w14:textId="2BA71371" w:rsidR="008E743B" w:rsidRDefault="00A34683" w:rsidP="00800ACD">
      <w:pPr>
        <w:rPr>
          <w:rFonts w:ascii="Arial Black" w:hAnsi="Arial Black"/>
          <w:b/>
          <w:sz w:val="24"/>
          <w:szCs w:val="24"/>
        </w:rPr>
      </w:pPr>
      <w:r>
        <w:rPr>
          <w:rFonts w:ascii="Arial Black" w:hAnsi="Arial Black"/>
          <w:b/>
          <w:sz w:val="24"/>
          <w:szCs w:val="24"/>
        </w:rPr>
        <w:t>12-34</w:t>
      </w:r>
    </w:p>
    <w:p w14:paraId="15394B7C" w14:textId="77777777" w:rsidR="00A34683" w:rsidRPr="005F4150" w:rsidRDefault="00A34683" w:rsidP="00A34683">
      <w:pPr>
        <w:rPr>
          <w:rFonts w:ascii="Arial Black" w:hAnsi="Arial Black"/>
          <w:b/>
          <w:sz w:val="28"/>
          <w:szCs w:val="28"/>
        </w:rPr>
      </w:pPr>
      <w:r>
        <w:rPr>
          <w:rFonts w:ascii="Arial Black" w:hAnsi="Arial Black"/>
          <w:b/>
          <w:sz w:val="28"/>
          <w:szCs w:val="28"/>
        </w:rPr>
        <w:t>CT: MEDICAL MJ – FF VIOL. LAST CHANCE AGREEMENT</w:t>
      </w:r>
    </w:p>
    <w:p w14:paraId="61FF3C09" w14:textId="77777777" w:rsidR="00D104F2" w:rsidRDefault="00A34683" w:rsidP="00D104F2">
      <w:pPr>
        <w:pStyle w:val="NoSpacing"/>
      </w:pPr>
      <w:r>
        <w:t xml:space="preserve">On June 11, 2025, in </w:t>
      </w:r>
      <w:r w:rsidRPr="00BC5D65">
        <w:rPr>
          <w:u w:val="single"/>
        </w:rPr>
        <w:t>Thomas Eccleston, III v. City of Waterbury</w:t>
      </w:r>
      <w:r>
        <w:t xml:space="preserve">, Judge Kiberly P. Massicotte, </w:t>
      </w:r>
      <w:r w:rsidRPr="00270B5A">
        <w:t>Superior Court of Connecticut, Judicial District of Waterbury, Waterbury</w:t>
      </w:r>
      <w:r>
        <w:t xml:space="preserve">, held after a bench </w:t>
      </w:r>
      <w:r w:rsidRPr="007F5AEF">
        <w:t xml:space="preserve">trial on February 20, </w:t>
      </w:r>
      <w:proofErr w:type="gramStart"/>
      <w:r w:rsidRPr="007F5AEF">
        <w:t>2025</w:t>
      </w:r>
      <w:proofErr w:type="gramEnd"/>
      <w:r>
        <w:t xml:space="preserve"> that the city properly fired the firefighter for violation of Las Chance agreement.   On </w:t>
      </w:r>
      <w:r w:rsidRPr="00CA655F">
        <w:t>November 19, 2015, to avoid termination, the plaintiff signed a "last chance agreement" after the plaintiff was arrested for domestic violence</w:t>
      </w:r>
      <w:r>
        <w:t xml:space="preserve">; the agreement prohibits use of alcohol or a controlled substance.  He tested positive in random drug test on </w:t>
      </w:r>
      <w:r w:rsidRPr="0094669A">
        <w:t>March 20, 2018</w:t>
      </w:r>
      <w:r>
        <w:t xml:space="preserve"> (obtained medical marijuana card March 6, 2018).  </w:t>
      </w:r>
      <w:hyperlink r:id="rId1970" w:history="1">
        <w:r w:rsidR="00D104F2" w:rsidRPr="00774087">
          <w:rPr>
            <w:rStyle w:val="Hyperlink"/>
          </w:rPr>
          <w: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w:t>
        </w:r>
      </w:hyperlink>
      <w:r w:rsidR="00D104F2">
        <w:t xml:space="preserve"> </w:t>
      </w:r>
    </w:p>
    <w:p w14:paraId="52119EE6" w14:textId="17AF1E5B" w:rsidR="00A34683" w:rsidRDefault="00A34683" w:rsidP="00A34683"/>
    <w:p w14:paraId="0909C901" w14:textId="77777777" w:rsidR="00A34683" w:rsidRPr="00FF6498" w:rsidRDefault="00A34683" w:rsidP="00A34683">
      <w:pPr>
        <w:rPr>
          <w:b/>
          <w:bCs/>
        </w:rPr>
      </w:pPr>
      <w:r w:rsidRPr="00FF6498">
        <w:rPr>
          <w:b/>
        </w:rPr>
        <w:t>THE COURT HELD:</w:t>
      </w:r>
    </w:p>
    <w:p w14:paraId="5770F0F8" w14:textId="77777777" w:rsidR="00A34683" w:rsidRDefault="00A34683" w:rsidP="00A34683">
      <w:pPr>
        <w:pStyle w:val="NoSpacing"/>
        <w:ind w:left="720"/>
      </w:pPr>
      <w:r>
        <w:t>“</w:t>
      </w:r>
      <w:r w:rsidRPr="002321AE">
        <w:t xml:space="preserve">The </w:t>
      </w:r>
      <w:r>
        <w:t xml:space="preserve">[Last Chance] </w:t>
      </w:r>
      <w:r w:rsidRPr="002321AE">
        <w:t xml:space="preserve">Agreement provides: </w:t>
      </w:r>
      <w:r>
        <w:t>‘</w:t>
      </w:r>
      <w:r w:rsidRPr="002321AE">
        <w:t>WHEREAS, Thomas F. Eccleston has issues with alcohol abuse and domestic violence; WHEREAS, the parties wish to enter into this stipulated agreement, in lieu of Thomas F. Eccleston's termination, setting forth the terms and conditions of Thomas F. Eccleston's continued employment with the City; and WHEREAS, Thomas F. Eccleston accepts responsibility for the issues and acknowledges the need for immediate improvement.</w:t>
      </w:r>
      <w:r>
        <w:t xml:space="preserve">’ … </w:t>
      </w:r>
      <w:r w:rsidRPr="002321AE">
        <w:t xml:space="preserve">The condition relevant to this case is that the plaintiff agreed that he may be subject to immediate termination </w:t>
      </w:r>
      <w:r>
        <w:t>‘</w:t>
      </w:r>
      <w:r w:rsidRPr="002321AE">
        <w:t>[</w:t>
      </w:r>
      <w:proofErr w:type="spellStart"/>
      <w:r w:rsidRPr="002321AE">
        <w:t>i</w:t>
      </w:r>
      <w:proofErr w:type="spellEnd"/>
      <w:r w:rsidRPr="002321AE">
        <w:t>]f Thomas F. Eccleston tests positive for alcohol (at the level of 0.04 or above) or a controlled substance.</w:t>
      </w:r>
      <w:r>
        <w:t>’</w:t>
      </w:r>
    </w:p>
    <w:p w14:paraId="22D9507C" w14:textId="77777777" w:rsidR="00A34683" w:rsidRDefault="00A34683" w:rsidP="00A34683">
      <w:pPr>
        <w:pStyle w:val="NoSpacing"/>
        <w:ind w:left="720"/>
      </w:pPr>
    </w:p>
    <w:p w14:paraId="05F1583A" w14:textId="77777777" w:rsidR="00A34683" w:rsidRDefault="00A34683" w:rsidP="00A34683">
      <w:pPr>
        <w:pStyle w:val="NoSpacing"/>
        <w:ind w:left="720"/>
      </w:pPr>
      <w:r>
        <w:t>***</w:t>
      </w:r>
    </w:p>
    <w:p w14:paraId="16D25EDF" w14:textId="77777777" w:rsidR="00A34683" w:rsidRDefault="00A34683" w:rsidP="00A34683">
      <w:pPr>
        <w:pStyle w:val="NoSpacing"/>
        <w:ind w:left="720"/>
      </w:pPr>
      <w:r w:rsidRPr="008036C4">
        <w:t>This can only mean that the plaintiff waived his rights under PUMA.</w:t>
      </w:r>
      <w:r>
        <w:t xml:space="preserve"> </w:t>
      </w:r>
      <w:r w:rsidRPr="00DC3909">
        <w:t>His agreement to waive his rights under PUMA did not run contrary to state law because the sound reasons for prohibiting the use of marijuana under the circumstances leave no room, without more, for the claim that the plaintiff's status as a qualifying patient was the sole reason for discharge pursuant to the Agreement. The plaintiff contractually agreed that he could be terminated for testing positive for the use of marijuana. He did so to save himself for other alleged and cumulative misconduct including substance abuse. Having done so, he cannot now invoke the statutory protections of PUMA which he effectively surrendered.</w:t>
      </w:r>
      <w:r>
        <w:t>”</w:t>
      </w:r>
      <w:r w:rsidRPr="00D8111A">
        <w:t xml:space="preserve"> </w:t>
      </w:r>
      <w:hyperlink r:id="rId1971" w:history="1">
        <w:r w:rsidRPr="00774087">
          <w:rPr>
            <w:rStyle w:val="Hyperlink"/>
          </w:rPr>
          <w: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w:t>
        </w:r>
      </w:hyperlink>
      <w:r>
        <w:t xml:space="preserve"> </w:t>
      </w:r>
    </w:p>
    <w:p w14:paraId="1F8E5486" w14:textId="77777777" w:rsidR="00A34683" w:rsidRDefault="00A34683" w:rsidP="00A34683">
      <w:pPr>
        <w:pStyle w:val="NoSpacing"/>
        <w:ind w:left="720"/>
      </w:pPr>
    </w:p>
    <w:p w14:paraId="324D6568" w14:textId="77777777" w:rsidR="00A34683" w:rsidRDefault="00A34683" w:rsidP="00A34683">
      <w:pPr>
        <w:pStyle w:val="NoSpacing"/>
        <w:rPr>
          <w:b/>
          <w:bCs/>
        </w:rPr>
      </w:pPr>
      <w:r>
        <w:rPr>
          <w:b/>
        </w:rPr>
        <w:t xml:space="preserve">KEY FACTS: </w:t>
      </w:r>
    </w:p>
    <w:p w14:paraId="5E38209E" w14:textId="77777777" w:rsidR="00A34683" w:rsidRDefault="00A34683" w:rsidP="00A34683">
      <w:pPr>
        <w:pStyle w:val="NoSpacing"/>
        <w:rPr>
          <w:b/>
          <w:bCs/>
        </w:rPr>
      </w:pPr>
    </w:p>
    <w:p w14:paraId="2A48456F" w14:textId="77777777" w:rsidR="00A34683" w:rsidRDefault="00A34683" w:rsidP="00A34683">
      <w:pPr>
        <w:pStyle w:val="NoSpacing"/>
        <w:ind w:left="720"/>
      </w:pPr>
      <w:r>
        <w:rPr>
          <w:b/>
        </w:rPr>
        <w:t>“</w:t>
      </w:r>
      <w:r w:rsidRPr="00C30B72">
        <w:t xml:space="preserve">The plaintiff obtained a medical marijuana card on March 6, 2018. During a random drug test on March 20, 2018, the plaintiff tested positive for marijuana. On March 30, 2018, Dr. Leela </w:t>
      </w:r>
      <w:proofErr w:type="spellStart"/>
      <w:r w:rsidRPr="00C30B72">
        <w:t>Panoor</w:t>
      </w:r>
      <w:proofErr w:type="spellEnd"/>
      <w:r w:rsidRPr="00C30B72">
        <w:t xml:space="preserve"> declared him fit for duty. On April 23, 2018, the plaintiff was terminated. The parties stipulated that the plaintiff obtained a valid medical marijuana card under PUMA, but the plaintiff did not tell his employer that he had the card until after he tested positive for marijuana and before he was terminated.</w:t>
      </w:r>
    </w:p>
    <w:p w14:paraId="319C8CB7" w14:textId="77777777" w:rsidR="00A34683" w:rsidRDefault="00A34683" w:rsidP="00A34683">
      <w:pPr>
        <w:pStyle w:val="NoSpacing"/>
        <w:ind w:left="720"/>
      </w:pPr>
    </w:p>
    <w:p w14:paraId="5DCF16B4" w14:textId="77777777" w:rsidR="00A34683" w:rsidRDefault="00A34683" w:rsidP="00A34683">
      <w:pPr>
        <w:pStyle w:val="NoSpacing"/>
        <w:ind w:left="720"/>
      </w:pPr>
      <w:r>
        <w:t>***</w:t>
      </w:r>
    </w:p>
    <w:p w14:paraId="6CA6E981" w14:textId="77777777" w:rsidR="00A34683" w:rsidRDefault="00A34683" w:rsidP="00A34683">
      <w:pPr>
        <w:pStyle w:val="NoSpacing"/>
      </w:pPr>
    </w:p>
    <w:p w14:paraId="5A58EC34" w14:textId="77777777" w:rsidR="00A34683" w:rsidRDefault="00A34683" w:rsidP="00A34683">
      <w:pPr>
        <w:pStyle w:val="NoSpacing"/>
        <w:ind w:left="720"/>
        <w:rPr>
          <w:vertAlign w:val="superscript"/>
        </w:rPr>
      </w:pPr>
      <w:r w:rsidRPr="00416AA3">
        <w:t xml:space="preserve">The plaintiff testified, and the court takes as true for the purpose of this motion, that he was diagnosed with PTSD on September 20, 2017. His doctor recommended medical marijuana as a treatment. He obtained two additional opinions. He talked to his crew about taking marijuana for medical treatment. He subsequently received all state law requirements necessary to obtain prescribed marijuana for the treatment of his PTSD on March 6, 2018. He took measures to prevent the possibility of being under the influence at work by not taking the prescribed marijuana the day before or the day of work. As an added measure, he asked his immediate supervisor to keep an eye on him because </w:t>
      </w:r>
      <w:r>
        <w:t>‘</w:t>
      </w:r>
      <w:r w:rsidRPr="00416AA3">
        <w:t>if he was under the influence, how would he know?</w:t>
      </w:r>
      <w:r>
        <w:t>’</w:t>
      </w:r>
      <w:r w:rsidRPr="00416AA3">
        <w:t xml:space="preserve"> Testimony, Thomas Eccleston, 2/20/25. He was not accused of being under the influence at work, nor was he accused of taking marijuana during work hours. The plaintiff testified that it was his understanding that if one ingested marijuana, one could test positive for it up to 30 days later. The plaintiff challenged his termination through administrative processes available to him. He was unsuccessful in his challenge and the termination was upheld. When he appealed the administrative decision upholding his termination to court, the case was dismissed because the union named the wrong party.</w:t>
      </w:r>
      <w:r>
        <w:rPr>
          <w:vertAlign w:val="superscript"/>
        </w:rPr>
        <w:t>”</w:t>
      </w:r>
    </w:p>
    <w:p w14:paraId="206A67ED" w14:textId="77777777" w:rsidR="00A34683" w:rsidRDefault="00A34683" w:rsidP="00A34683">
      <w:pPr>
        <w:pStyle w:val="NoSpacing"/>
        <w:ind w:left="720"/>
        <w:rPr>
          <w:vertAlign w:val="superscript"/>
        </w:rPr>
      </w:pPr>
    </w:p>
    <w:p w14:paraId="2D21AB31" w14:textId="77777777" w:rsidR="00A34683" w:rsidRPr="00416AA3" w:rsidRDefault="00A34683" w:rsidP="00A34683">
      <w:pPr>
        <w:pStyle w:val="NoSpacing"/>
      </w:pPr>
      <w:r>
        <w:rPr>
          <w:b/>
        </w:rPr>
        <w:t xml:space="preserve">Legal lesson learned: The firefighter might have avoided termination if he informed the fire department of his medical condition and need for prescribed marijuana, and they worked out a reasonable accommodation plan (including no use of marijuana for specific </w:t>
      </w:r>
      <w:proofErr w:type="gramStart"/>
      <w:r>
        <w:rPr>
          <w:b/>
        </w:rPr>
        <w:t>period of time</w:t>
      </w:r>
      <w:proofErr w:type="gramEnd"/>
      <w:r>
        <w:rPr>
          <w:b/>
        </w:rPr>
        <w:t xml:space="preserve"> before reporting for duty). </w:t>
      </w:r>
    </w:p>
    <w:p w14:paraId="7FB14433" w14:textId="77777777" w:rsidR="00A34683" w:rsidRDefault="00A34683" w:rsidP="00A34683">
      <w:pPr>
        <w:pStyle w:val="NoSpacing"/>
        <w:rPr>
          <w:b/>
          <w:bCs/>
        </w:rPr>
      </w:pPr>
    </w:p>
    <w:p w14:paraId="4E924AB8" w14:textId="77777777" w:rsidR="00A34683" w:rsidRPr="00914A87" w:rsidRDefault="00A34683" w:rsidP="00A34683">
      <w:pPr>
        <w:pStyle w:val="NoSpacing"/>
        <w:ind w:left="720"/>
      </w:pPr>
      <w:r w:rsidRPr="00914A87">
        <w:t xml:space="preserve">Note: See this article, “Medical Marijuana and Firefighters: Creating a Medical Marijuana Use Policy” Dec. 15, 2022; </w:t>
      </w:r>
      <w:hyperlink r:id="rId1972" w:history="1">
        <w:r w:rsidRPr="00914A87">
          <w:rPr>
            <w:rStyle w:val="Hyperlink"/>
          </w:rPr>
          <w:t>https://www.fireengineering.com/firefighting/medical-marijuana-and-firefighters-creating-a-medical-marijuana-use-policy/</w:t>
        </w:r>
      </w:hyperlink>
      <w:r w:rsidRPr="00914A87">
        <w:t xml:space="preserve"> </w:t>
      </w:r>
    </w:p>
    <w:p w14:paraId="2BC08EF6" w14:textId="77777777" w:rsidR="00A34683" w:rsidRDefault="00A34683" w:rsidP="00800ACD">
      <w:pPr>
        <w:rPr>
          <w:rFonts w:ascii="Arial Black" w:hAnsi="Arial Black"/>
          <w:b/>
          <w:sz w:val="24"/>
          <w:szCs w:val="24"/>
        </w:rPr>
      </w:pPr>
    </w:p>
    <w:p w14:paraId="57FA10FE" w14:textId="77777777" w:rsidR="008E743B" w:rsidRDefault="008E743B" w:rsidP="00800ACD">
      <w:pPr>
        <w:rPr>
          <w:rFonts w:ascii="Arial Black" w:hAnsi="Arial Black"/>
          <w:b/>
          <w:sz w:val="24"/>
          <w:szCs w:val="24"/>
        </w:rPr>
      </w:pPr>
    </w:p>
    <w:p w14:paraId="67DDF5FB" w14:textId="7E2E798D" w:rsidR="00800ACD" w:rsidRDefault="00800ACD" w:rsidP="00800ACD">
      <w:pPr>
        <w:rPr>
          <w:rFonts w:ascii="Arial Black" w:hAnsi="Arial Black"/>
          <w:b/>
          <w:sz w:val="24"/>
          <w:szCs w:val="24"/>
        </w:rPr>
      </w:pPr>
      <w:r>
        <w:rPr>
          <w:rFonts w:ascii="Arial Black" w:hAnsi="Arial Black"/>
          <w:b/>
          <w:sz w:val="24"/>
          <w:szCs w:val="24"/>
        </w:rPr>
        <w:t>12-33</w:t>
      </w:r>
    </w:p>
    <w:p w14:paraId="12FDA850" w14:textId="695C5977" w:rsidR="00985434" w:rsidRPr="00C707AE" w:rsidRDefault="00985434" w:rsidP="00985434">
      <w:pPr>
        <w:pStyle w:val="NoSpacing"/>
        <w:rPr>
          <w:rFonts w:ascii="Arial Black" w:hAnsi="Arial Black"/>
          <w:sz w:val="28"/>
          <w:szCs w:val="28"/>
        </w:rPr>
      </w:pPr>
      <w:r>
        <w:rPr>
          <w:rFonts w:ascii="Arial Black" w:hAnsi="Arial Black"/>
          <w:sz w:val="28"/>
          <w:szCs w:val="28"/>
        </w:rPr>
        <w:t xml:space="preserve">LA: AMBULANCE DAMAGED – DRUG TEST - COCAINE / METH </w:t>
      </w:r>
      <w:r w:rsidR="006D37B6">
        <w:rPr>
          <w:rFonts w:ascii="Arial Black" w:hAnsi="Arial Black"/>
          <w:sz w:val="28"/>
          <w:szCs w:val="28"/>
        </w:rPr>
        <w:t>- FIRED</w:t>
      </w:r>
    </w:p>
    <w:p w14:paraId="282EBF35" w14:textId="77777777" w:rsidR="00985434" w:rsidRDefault="00985434" w:rsidP="00985434">
      <w:pPr>
        <w:pStyle w:val="NoSpacing"/>
      </w:pPr>
    </w:p>
    <w:p w14:paraId="246A2C4C" w14:textId="77777777" w:rsidR="00985434" w:rsidRPr="00826327" w:rsidRDefault="00985434" w:rsidP="00985434">
      <w:pPr>
        <w:rPr>
          <w:rFonts w:ascii="Times New Roman" w:hAnsi="Times New Roman"/>
          <w:sz w:val="24"/>
          <w:szCs w:val="24"/>
        </w:rPr>
      </w:pPr>
      <w:r w:rsidRPr="00826327">
        <w:rPr>
          <w:rFonts w:ascii="Times New Roman" w:hAnsi="Times New Roman"/>
          <w:sz w:val="24"/>
          <w:szCs w:val="24"/>
        </w:rPr>
        <w:t xml:space="preserve">On June 13, 2025, </w:t>
      </w:r>
      <w:r w:rsidRPr="00826327">
        <w:rPr>
          <w:rFonts w:ascii="Times New Roman" w:hAnsi="Times New Roman"/>
          <w:sz w:val="24"/>
          <w:szCs w:val="24"/>
          <w:u w:val="single"/>
        </w:rPr>
        <w:t>in Benjamin Woods v. City of Baton Rouge, through the Department of Emergency Medical Services</w:t>
      </w:r>
      <w:r w:rsidRPr="00826327">
        <w:rPr>
          <w:rFonts w:ascii="Times New Roman" w:hAnsi="Times New Roman"/>
          <w:sz w:val="24"/>
          <w:szCs w:val="24"/>
        </w:rPr>
        <w:t xml:space="preserve">, the Court of Appeals of Louisiana, First Circuit held (3 to 0) that the Paramedic was properly fired by the Department and the City Personnel Board – tested positive for meth and cocaine after telling supervisor had no knowledge of how the </w:t>
      </w:r>
      <w:proofErr w:type="gramStart"/>
      <w:r w:rsidRPr="00826327">
        <w:rPr>
          <w:rFonts w:ascii="Times New Roman" w:hAnsi="Times New Roman"/>
          <w:sz w:val="24"/>
          <w:szCs w:val="24"/>
        </w:rPr>
        <w:t>ambulance</w:t>
      </w:r>
      <w:proofErr w:type="gramEnd"/>
      <w:r w:rsidRPr="00826327">
        <w:rPr>
          <w:rFonts w:ascii="Times New Roman" w:hAnsi="Times New Roman"/>
          <w:sz w:val="24"/>
          <w:szCs w:val="24"/>
        </w:rPr>
        <w:t xml:space="preserve"> he was driving was damaged. The Court reversed the trial court, which found that the administration of the drug test to Mr. Woods was unreasonable ($2,060 in damage in ambulance; “serious incident” was $2,500 or more damage).  The Court of Appeals found that management had “reasonable suspicion” to drug test, not because of the amount of damage, but because the Paramedic transporting a patient non-emergency to hospital on July 5, </w:t>
      </w:r>
      <w:proofErr w:type="gramStart"/>
      <w:r w:rsidRPr="00826327">
        <w:rPr>
          <w:rFonts w:ascii="Times New Roman" w:hAnsi="Times New Roman"/>
          <w:sz w:val="24"/>
          <w:szCs w:val="24"/>
        </w:rPr>
        <w:t>2018</w:t>
      </w:r>
      <w:proofErr w:type="gramEnd"/>
      <w:r w:rsidRPr="00826327">
        <w:rPr>
          <w:rFonts w:ascii="Times New Roman" w:hAnsi="Times New Roman"/>
          <w:sz w:val="24"/>
          <w:szCs w:val="24"/>
        </w:rPr>
        <w:t xml:space="preserve">  did not immediately stop when he reportedly felt a bump and heard a “pop.” He didn’t immediately inspect the ambulance for damage, initially denied any knowledge of damages, and had no explanation for how “one and a half to two feet of rub rail broke off.”  THE COURT HELD: “We find these circumstances sufficient to support a reasonable suspicion that the Mr. Wood' s behavior indicated that he may have been under the influence of drugs or alcohol while working for the City/Parish such that the administration of a drug test was reasonable and warranted.” </w:t>
      </w:r>
      <w:hyperlink r:id="rId1973" w:history="1">
        <w:r w:rsidRPr="00826327">
          <w:rPr>
            <w:rStyle w:val="Hyperlink"/>
            <w:rFonts w:ascii="Times New Roman" w:hAnsi="Times New Roman"/>
            <w:sz w:val="24"/>
            <w:szCs w:val="24"/>
          </w:rPr>
          <w:t>https://cases.justia.com/louisiana/first-circuit-court-of-appeal/2025-2023ca0459.pdf?ts=1749828408</w:t>
        </w:r>
      </w:hyperlink>
      <w:r w:rsidRPr="00826327">
        <w:rPr>
          <w:rFonts w:ascii="Times New Roman" w:hAnsi="Times New Roman"/>
          <w:sz w:val="24"/>
          <w:szCs w:val="24"/>
        </w:rPr>
        <w:t xml:space="preserve"> </w:t>
      </w:r>
    </w:p>
    <w:p w14:paraId="4AC7CBF3" w14:textId="77777777" w:rsidR="00826327" w:rsidRPr="00826327" w:rsidRDefault="00826327" w:rsidP="00826327">
      <w:pPr>
        <w:rPr>
          <w:rFonts w:ascii="Times New Roman" w:hAnsi="Times New Roman"/>
          <w:b/>
          <w:bCs/>
          <w:sz w:val="24"/>
          <w:szCs w:val="24"/>
        </w:rPr>
      </w:pPr>
      <w:r w:rsidRPr="00826327">
        <w:rPr>
          <w:rFonts w:ascii="Times New Roman" w:hAnsi="Times New Roman"/>
          <w:b/>
          <w:sz w:val="24"/>
          <w:szCs w:val="24"/>
        </w:rPr>
        <w:t xml:space="preserve">Legal lesson learned:  “Reasonable suspicion” includes questionable responses by ambulance driver concerning how ambulance was seriously damaged. </w:t>
      </w:r>
    </w:p>
    <w:p w14:paraId="136B016B" w14:textId="77777777" w:rsidR="00020106" w:rsidRDefault="00020106" w:rsidP="00F326E5">
      <w:pPr>
        <w:rPr>
          <w:rFonts w:ascii="Arial Black" w:hAnsi="Arial Black"/>
          <w:b/>
          <w:sz w:val="24"/>
          <w:szCs w:val="24"/>
        </w:rPr>
      </w:pPr>
    </w:p>
    <w:p w14:paraId="2286877B" w14:textId="6721B6B4" w:rsidR="00707821" w:rsidRDefault="00707821" w:rsidP="00F326E5">
      <w:pPr>
        <w:rPr>
          <w:rFonts w:ascii="Arial Black" w:hAnsi="Arial Black"/>
          <w:b/>
          <w:sz w:val="24"/>
          <w:szCs w:val="24"/>
        </w:rPr>
      </w:pPr>
      <w:r>
        <w:rPr>
          <w:rFonts w:ascii="Arial Black" w:hAnsi="Arial Black"/>
          <w:b/>
          <w:sz w:val="24"/>
          <w:szCs w:val="24"/>
        </w:rPr>
        <w:t>12-32</w:t>
      </w:r>
    </w:p>
    <w:p w14:paraId="244AD6AC" w14:textId="5D4CF884" w:rsidR="00707821" w:rsidRPr="009B58E5" w:rsidRDefault="00707821" w:rsidP="00707821">
      <w:pPr>
        <w:pStyle w:val="NoSpacing"/>
        <w:rPr>
          <w:rFonts w:ascii="Arial Black" w:hAnsi="Arial Black"/>
          <w:b/>
          <w:sz w:val="28"/>
          <w:szCs w:val="28"/>
        </w:rPr>
      </w:pPr>
      <w:r>
        <w:rPr>
          <w:rFonts w:ascii="Arial Black" w:hAnsi="Arial Black"/>
          <w:b/>
          <w:sz w:val="28"/>
          <w:szCs w:val="28"/>
        </w:rPr>
        <w:t xml:space="preserve">AL: FLIGHT RN - TAMPERED KETAMINE – </w:t>
      </w:r>
      <w:r w:rsidR="0017434A">
        <w:rPr>
          <w:rFonts w:ascii="Arial Black" w:hAnsi="Arial Black"/>
          <w:b/>
          <w:sz w:val="28"/>
          <w:szCs w:val="28"/>
        </w:rPr>
        <w:t>ONE YR FEDERAL PRISON</w:t>
      </w:r>
    </w:p>
    <w:p w14:paraId="661A44EC" w14:textId="77777777" w:rsidR="00707821" w:rsidRDefault="00707821" w:rsidP="00707821">
      <w:pPr>
        <w:pStyle w:val="NoSpacing"/>
        <w:rPr>
          <w:b/>
        </w:rPr>
      </w:pPr>
    </w:p>
    <w:p w14:paraId="18D2F3AB" w14:textId="77777777" w:rsidR="00707821" w:rsidRPr="00F065F7" w:rsidRDefault="00707821" w:rsidP="00707821">
      <w:pPr>
        <w:pStyle w:val="NoSpacing"/>
        <w:rPr>
          <w:rFonts w:ascii="Times New Roman" w:hAnsi="Times New Roman"/>
          <w:bCs/>
          <w:sz w:val="24"/>
          <w:szCs w:val="24"/>
        </w:rPr>
      </w:pPr>
      <w:r w:rsidRPr="00F065F7">
        <w:rPr>
          <w:rFonts w:ascii="Times New Roman" w:hAnsi="Times New Roman"/>
          <w:sz w:val="24"/>
          <w:szCs w:val="24"/>
        </w:rPr>
        <w:t xml:space="preserve">On March 21, 2025, </w:t>
      </w:r>
      <w:proofErr w:type="gramStart"/>
      <w:r w:rsidRPr="00F065F7">
        <w:rPr>
          <w:rFonts w:ascii="Times New Roman" w:hAnsi="Times New Roman"/>
          <w:sz w:val="24"/>
          <w:szCs w:val="24"/>
        </w:rPr>
        <w:t>in</w:t>
      </w:r>
      <w:proofErr w:type="gramEnd"/>
      <w:r w:rsidRPr="00F065F7">
        <w:rPr>
          <w:rFonts w:ascii="Times New Roman" w:hAnsi="Times New Roman"/>
          <w:sz w:val="24"/>
          <w:szCs w:val="24"/>
        </w:rPr>
        <w:t xml:space="preserve"> </w:t>
      </w:r>
      <w:r w:rsidRPr="00F065F7">
        <w:rPr>
          <w:rFonts w:ascii="Times New Roman" w:hAnsi="Times New Roman"/>
          <w:sz w:val="24"/>
          <w:szCs w:val="24"/>
          <w:u w:val="single"/>
        </w:rPr>
        <w:t xml:space="preserve">Ex </w:t>
      </w:r>
      <w:proofErr w:type="spellStart"/>
      <w:r w:rsidRPr="00F065F7">
        <w:rPr>
          <w:rFonts w:ascii="Times New Roman" w:hAnsi="Times New Roman"/>
          <w:sz w:val="24"/>
          <w:szCs w:val="24"/>
          <w:u w:val="single"/>
        </w:rPr>
        <w:t>parte</w:t>
      </w:r>
      <w:proofErr w:type="spellEnd"/>
      <w:r w:rsidRPr="00F065F7">
        <w:rPr>
          <w:rFonts w:ascii="Times New Roman" w:hAnsi="Times New Roman"/>
          <w:sz w:val="24"/>
          <w:szCs w:val="24"/>
          <w:u w:val="single"/>
        </w:rPr>
        <w:t xml:space="preserve"> Air Evac EMS, Inc. (In re: Ernest Charles Jones, by and through Ovetta Jones, as spouse and next friend) v. Bryan Heath Webster, et al.</w:t>
      </w:r>
      <w:r w:rsidRPr="00F065F7">
        <w:rPr>
          <w:rFonts w:ascii="Times New Roman" w:hAnsi="Times New Roman"/>
          <w:sz w:val="24"/>
          <w:szCs w:val="24"/>
        </w:rPr>
        <w:t xml:space="preserve">, the Supreme Court of Alabama held (7 to 0) that Air Evac’s motion for summary judgment on plaintiff’s amended complaint should have been granted; it was filed 6 years after the patient’s transport on Aug. 18, 2018 (well beyond the two-year statute of limitation) and dealt with flight nurse tampering with two vials of ketamine the day prior to the transport. The flight nurse, Bryan Heath Wester, pled guilty and was sentenced on Aug. 5, </w:t>
      </w:r>
      <w:proofErr w:type="gramStart"/>
      <w:r w:rsidRPr="00F065F7">
        <w:rPr>
          <w:rFonts w:ascii="Times New Roman" w:hAnsi="Times New Roman"/>
          <w:sz w:val="24"/>
          <w:szCs w:val="24"/>
        </w:rPr>
        <w:t>2019</w:t>
      </w:r>
      <w:proofErr w:type="gramEnd"/>
      <w:r w:rsidRPr="00F065F7">
        <w:rPr>
          <w:rFonts w:ascii="Times New Roman" w:hAnsi="Times New Roman"/>
          <w:sz w:val="24"/>
          <w:szCs w:val="24"/>
        </w:rPr>
        <w:t xml:space="preserve"> </w:t>
      </w:r>
      <w:proofErr w:type="gramStart"/>
      <w:r w:rsidRPr="00F065F7">
        <w:rPr>
          <w:rFonts w:ascii="Times New Roman" w:hAnsi="Times New Roman"/>
          <w:sz w:val="24"/>
          <w:szCs w:val="24"/>
        </w:rPr>
        <w:t>in</w:t>
      </w:r>
      <w:proofErr w:type="gramEnd"/>
      <w:r w:rsidRPr="00F065F7">
        <w:rPr>
          <w:rFonts w:ascii="Times New Roman" w:hAnsi="Times New Roman"/>
          <w:sz w:val="24"/>
          <w:szCs w:val="24"/>
        </w:rPr>
        <w:t xml:space="preserve"> federal court to one year in prison [see details in Note below]. “Because the Joneses’ amended complaint ‘clearly addresses conduct distinct in kind and in time from the conduct alleged in [their] original complaint,’ … and ‘listed several actions by [the defendants] that [the Joneses] alleged had breached the applicable standard of care owed to [Earnest] that were entirely different than some of the actions listed in the original complaint,’ their amended complaint cannot relate back to the filing of their initial complaint.” </w:t>
      </w:r>
      <w:hyperlink r:id="rId1974" w:history="1">
        <w:r w:rsidRPr="00F065F7">
          <w:rPr>
            <w:rStyle w:val="Hyperlink"/>
            <w:rFonts w:ascii="Times New Roman" w:hAnsi="Times New Roman"/>
            <w:sz w:val="24"/>
            <w:szCs w:val="24"/>
          </w:rPr>
          <w:t>https://caselaw.findlaw.com/court/al-supreme-court/117080306.html</w:t>
        </w:r>
      </w:hyperlink>
      <w:r w:rsidRPr="00F065F7">
        <w:rPr>
          <w:rFonts w:ascii="Times New Roman" w:hAnsi="Times New Roman"/>
          <w:sz w:val="24"/>
          <w:szCs w:val="24"/>
        </w:rPr>
        <w:t xml:space="preserve"> </w:t>
      </w:r>
    </w:p>
    <w:p w14:paraId="0A1D6225" w14:textId="77777777" w:rsidR="00707821" w:rsidRPr="00F065F7" w:rsidRDefault="00707821" w:rsidP="00F326E5">
      <w:pPr>
        <w:rPr>
          <w:rFonts w:ascii="Times New Roman" w:hAnsi="Times New Roman"/>
          <w:b/>
          <w:sz w:val="24"/>
          <w:szCs w:val="24"/>
        </w:rPr>
      </w:pPr>
    </w:p>
    <w:p w14:paraId="67A00B31" w14:textId="77777777" w:rsidR="00012C74" w:rsidRPr="00F065F7" w:rsidRDefault="00012C74" w:rsidP="00012C74">
      <w:pPr>
        <w:pStyle w:val="NoSpacing"/>
        <w:rPr>
          <w:rFonts w:ascii="Times New Roman" w:hAnsi="Times New Roman"/>
          <w:b/>
          <w:bCs/>
          <w:sz w:val="24"/>
          <w:szCs w:val="24"/>
        </w:rPr>
      </w:pPr>
      <w:r w:rsidRPr="00F065F7">
        <w:rPr>
          <w:rFonts w:ascii="Times New Roman" w:hAnsi="Times New Roman"/>
          <w:b/>
          <w:sz w:val="24"/>
          <w:szCs w:val="24"/>
        </w:rPr>
        <w:t xml:space="preserve">Legal Lesson Learned: Read below details of how the tampering occurred; share with your </w:t>
      </w:r>
      <w:proofErr w:type="gramStart"/>
      <w:r w:rsidRPr="00F065F7">
        <w:rPr>
          <w:rFonts w:ascii="Times New Roman" w:hAnsi="Times New Roman"/>
          <w:b/>
          <w:sz w:val="24"/>
          <w:szCs w:val="24"/>
        </w:rPr>
        <w:t>crews</w:t>
      </w:r>
      <w:proofErr w:type="gramEnd"/>
      <w:r w:rsidRPr="00F065F7">
        <w:rPr>
          <w:rFonts w:ascii="Times New Roman" w:hAnsi="Times New Roman"/>
          <w:b/>
          <w:sz w:val="24"/>
          <w:szCs w:val="24"/>
        </w:rPr>
        <w:t xml:space="preserve">. </w:t>
      </w:r>
    </w:p>
    <w:p w14:paraId="01DA3344" w14:textId="77777777" w:rsidR="00012C74" w:rsidRPr="00F065F7" w:rsidRDefault="00012C74" w:rsidP="00012C74">
      <w:pPr>
        <w:pStyle w:val="NoSpacing"/>
        <w:rPr>
          <w:rFonts w:ascii="Times New Roman" w:hAnsi="Times New Roman"/>
          <w:bCs/>
          <w:sz w:val="24"/>
          <w:szCs w:val="24"/>
        </w:rPr>
      </w:pPr>
    </w:p>
    <w:p w14:paraId="2AED70BA" w14:textId="77777777" w:rsidR="00012C74" w:rsidRPr="00F065F7" w:rsidRDefault="00012C74" w:rsidP="00012C74">
      <w:pPr>
        <w:pStyle w:val="NoSpacing"/>
        <w:rPr>
          <w:rFonts w:ascii="Times New Roman" w:hAnsi="Times New Roman"/>
          <w:bCs/>
          <w:sz w:val="24"/>
          <w:szCs w:val="24"/>
        </w:rPr>
      </w:pPr>
      <w:r w:rsidRPr="00F065F7">
        <w:rPr>
          <w:rFonts w:ascii="Times New Roman" w:hAnsi="Times New Roman"/>
          <w:sz w:val="24"/>
          <w:szCs w:val="24"/>
        </w:rPr>
        <w:tab/>
        <w:t>Note: Aug. 5, 2019: U.S. Department of Justice / Press Release.</w:t>
      </w:r>
    </w:p>
    <w:p w14:paraId="720A4BD0" w14:textId="77777777" w:rsidR="00012C74" w:rsidRPr="00F065F7" w:rsidRDefault="00012C74" w:rsidP="00012C74">
      <w:pPr>
        <w:pStyle w:val="NoSpacing"/>
        <w:rPr>
          <w:rFonts w:ascii="Times New Roman" w:hAnsi="Times New Roman"/>
          <w:bCs/>
          <w:sz w:val="24"/>
          <w:szCs w:val="24"/>
        </w:rPr>
      </w:pPr>
    </w:p>
    <w:p w14:paraId="100B5CE8"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Former Paramedic and Flight Nurse Receives One Year in Prison for Tampering with Ketamine Vials. </w:t>
      </w:r>
    </w:p>
    <w:p w14:paraId="1EF7EAF4" w14:textId="77777777" w:rsidR="00012C74" w:rsidRPr="00F065F7" w:rsidRDefault="00012C74" w:rsidP="00012C74">
      <w:pPr>
        <w:pStyle w:val="NoSpacing"/>
        <w:rPr>
          <w:rFonts w:ascii="Times New Roman" w:hAnsi="Times New Roman"/>
          <w:b/>
          <w:sz w:val="24"/>
          <w:szCs w:val="24"/>
        </w:rPr>
      </w:pPr>
    </w:p>
    <w:p w14:paraId="27FD4EBC"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United States Attorney Richard W. Moore of the Southern District of Alabama announces today that United States District Judge Jeffrey U. </w:t>
      </w:r>
      <w:proofErr w:type="spellStart"/>
      <w:r w:rsidRPr="00F065F7">
        <w:rPr>
          <w:rFonts w:ascii="Times New Roman" w:hAnsi="Times New Roman"/>
          <w:sz w:val="24"/>
          <w:szCs w:val="24"/>
        </w:rPr>
        <w:t>Beaverstock</w:t>
      </w:r>
      <w:proofErr w:type="spellEnd"/>
      <w:r w:rsidRPr="00F065F7">
        <w:rPr>
          <w:rFonts w:ascii="Times New Roman" w:hAnsi="Times New Roman"/>
          <w:sz w:val="24"/>
          <w:szCs w:val="24"/>
        </w:rPr>
        <w:t xml:space="preserve"> sentenced defendant Bryan Heath Wester, 43, a resident of Springville, Alabama, to imprisonment for 12 months and one day for tampering with a consumer product. As part of the sentence, the judge ordered that Wester undergo three years of supervised release after finishing his term of imprisonment, pay a $100 mandatory special assessment, receive substance abuse and mental health treatment as directed by the U.S. Probation Office, and pay restitution totaling $511.48 to a patient-victim in the case.</w:t>
      </w:r>
    </w:p>
    <w:p w14:paraId="3BC24FB3" w14:textId="77777777" w:rsidR="00012C74" w:rsidRPr="00F065F7" w:rsidRDefault="00012C74" w:rsidP="00012C74">
      <w:pPr>
        <w:pStyle w:val="NoSpacing"/>
        <w:rPr>
          <w:rFonts w:ascii="Times New Roman" w:hAnsi="Times New Roman"/>
          <w:b/>
          <w:sz w:val="24"/>
          <w:szCs w:val="24"/>
        </w:rPr>
      </w:pPr>
    </w:p>
    <w:p w14:paraId="287851DB" w14:textId="77777777" w:rsidR="00012C74" w:rsidRPr="00F065F7" w:rsidRDefault="00012C74" w:rsidP="00012C74">
      <w:pPr>
        <w:pStyle w:val="NoSpacing"/>
        <w:ind w:firstLine="720"/>
        <w:rPr>
          <w:rFonts w:ascii="Times New Roman" w:hAnsi="Times New Roman"/>
          <w:b/>
          <w:sz w:val="24"/>
          <w:szCs w:val="24"/>
        </w:rPr>
      </w:pPr>
      <w:r w:rsidRPr="00F065F7">
        <w:rPr>
          <w:rFonts w:ascii="Times New Roman" w:hAnsi="Times New Roman"/>
          <w:b/>
          <w:sz w:val="24"/>
          <w:szCs w:val="24"/>
        </w:rPr>
        <w:t>***</w:t>
      </w:r>
    </w:p>
    <w:p w14:paraId="2AE91181" w14:textId="77777777" w:rsidR="00012C74" w:rsidRPr="00F065F7" w:rsidRDefault="00012C74" w:rsidP="00012C74">
      <w:pPr>
        <w:pStyle w:val="NoSpacing"/>
        <w:rPr>
          <w:rFonts w:ascii="Times New Roman" w:hAnsi="Times New Roman"/>
          <w:b/>
          <w:sz w:val="24"/>
          <w:szCs w:val="24"/>
        </w:rPr>
      </w:pPr>
    </w:p>
    <w:p w14:paraId="4A515EA0"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Wester </w:t>
      </w:r>
      <w:proofErr w:type="gramStart"/>
      <w:r w:rsidRPr="00F065F7">
        <w:rPr>
          <w:rFonts w:ascii="Times New Roman" w:hAnsi="Times New Roman"/>
          <w:sz w:val="24"/>
          <w:szCs w:val="24"/>
        </w:rPr>
        <w:t>admitted to</w:t>
      </w:r>
      <w:proofErr w:type="gramEnd"/>
      <w:r w:rsidRPr="00F065F7">
        <w:rPr>
          <w:rFonts w:ascii="Times New Roman" w:hAnsi="Times New Roman"/>
          <w:sz w:val="24"/>
          <w:szCs w:val="24"/>
        </w:rPr>
        <w:t xml:space="preserve"> the following facts at his plea hearing. He was previously a licensed nurse and a paramedic who worked for an air ambulance service in Demopolis, Alabama. On August 26, 2018, Wester, with reckless disregard for the risk that another person would be placed in danger of death and bodily injury, and under circumstances manifesting extreme indifference to such risk, tampered with ketamine hydrochloride (ketamine), a consumer product that was manufactured outside of Alabama and affected interstate commerce. Wester accessed the controlled substances box inside a locked safe located on board an emergency helicopter, removed ketamine from two vials, and replaced the removed ketamine with saline, knowing that the ketamine was intended to be administered via injection to critically ill and injured patients being transported by helicopter for emergency treatment. </w:t>
      </w:r>
    </w:p>
    <w:p w14:paraId="2EA7F505" w14:textId="77777777" w:rsidR="00012C74" w:rsidRPr="00F065F7" w:rsidRDefault="00012C74" w:rsidP="00012C74">
      <w:pPr>
        <w:pStyle w:val="NoSpacing"/>
        <w:rPr>
          <w:rFonts w:ascii="Times New Roman" w:hAnsi="Times New Roman"/>
          <w:bCs/>
          <w:sz w:val="24"/>
          <w:szCs w:val="24"/>
        </w:rPr>
      </w:pPr>
    </w:p>
    <w:p w14:paraId="7C6F92EF"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On August 27, 2018, a critically injured patient required air transport to Mobile, Alabama. The patient had been run over by a cow and suffered head trauma and loss of consciousness. The on-board nurse attempted to administer ketamine. The vial appeared to have a blue glue on the cap. When the needle was inserted, the vial did not appear to be vacuum sealed. The nurse administered the </w:t>
      </w:r>
      <w:proofErr w:type="gramStart"/>
      <w:r w:rsidRPr="00F065F7">
        <w:rPr>
          <w:rFonts w:ascii="Times New Roman" w:hAnsi="Times New Roman"/>
          <w:sz w:val="24"/>
          <w:szCs w:val="24"/>
        </w:rPr>
        <w:t>dose</w:t>
      </w:r>
      <w:proofErr w:type="gramEnd"/>
      <w:r w:rsidRPr="00F065F7">
        <w:rPr>
          <w:rFonts w:ascii="Times New Roman" w:hAnsi="Times New Roman"/>
          <w:sz w:val="24"/>
          <w:szCs w:val="24"/>
        </w:rPr>
        <w:t xml:space="preserve"> but it did not have the anticipated effect. The nurse then obtained a second vial of ketamine and found that the cap had been glued on. </w:t>
      </w:r>
    </w:p>
    <w:p w14:paraId="5F64DE06" w14:textId="77777777" w:rsidR="00012C74" w:rsidRPr="00F065F7" w:rsidRDefault="00012C74" w:rsidP="00012C74">
      <w:pPr>
        <w:pStyle w:val="NoSpacing"/>
        <w:rPr>
          <w:rFonts w:ascii="Times New Roman" w:hAnsi="Times New Roman"/>
          <w:bCs/>
          <w:sz w:val="24"/>
          <w:szCs w:val="24"/>
        </w:rPr>
      </w:pPr>
    </w:p>
    <w:p w14:paraId="3BA6681E"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On August 30, 2018, a special agent with the Food and Drug Administration (FDA)’s Office of Criminal Investigations interviewed Wester, who admitted to removing ketamine from two vials on August 26. According to his statements, around midday on August 26 Wester asked another nurse on duty for the nurse’s set of keys to the locked narcotics on the helicopter, telling the other nurse that he would do the equipment check. The nurse gave Wester the keys. Wester opened the safe and did not lock one side back. The two-key lock system allowed Wester to return later with his own keys and access the safe. Later that evening, Wester went out to the helicopter, withdrew the ketamine from two vials, and replaced it with saline. Wester re-glued the tops of the vials with </w:t>
      </w:r>
      <w:proofErr w:type="spellStart"/>
      <w:r w:rsidRPr="00F065F7">
        <w:rPr>
          <w:rFonts w:ascii="Times New Roman" w:hAnsi="Times New Roman"/>
          <w:sz w:val="24"/>
          <w:szCs w:val="24"/>
        </w:rPr>
        <w:t>dermabond</w:t>
      </w:r>
      <w:proofErr w:type="spellEnd"/>
      <w:r w:rsidRPr="00F065F7">
        <w:rPr>
          <w:rFonts w:ascii="Times New Roman" w:hAnsi="Times New Roman"/>
          <w:sz w:val="24"/>
          <w:szCs w:val="24"/>
        </w:rPr>
        <w:t>. There was a zip-tie securing the plastic narcotics box inside the safe; Wester cut the zip-tie off and replaced it with a new one. Wester also changed the number in the logbook to reflect the new number. The old number ended in a “2.” Wester changed it to a “1.”</w:t>
      </w:r>
    </w:p>
    <w:p w14:paraId="79F51BDD" w14:textId="77777777" w:rsidR="00012C74" w:rsidRPr="003D63D9" w:rsidRDefault="00012C74" w:rsidP="00012C74">
      <w:pPr>
        <w:pStyle w:val="NoSpacing"/>
        <w:rPr>
          <w:bCs/>
        </w:rPr>
      </w:pPr>
    </w:p>
    <w:p w14:paraId="4B3AECBD" w14:textId="77777777" w:rsidR="00012C74" w:rsidRDefault="00012C74" w:rsidP="00012C74">
      <w:pPr>
        <w:pStyle w:val="NoSpacing"/>
        <w:rPr>
          <w:b/>
        </w:rPr>
      </w:pPr>
    </w:p>
    <w:p w14:paraId="302A738F" w14:textId="77777777" w:rsidR="00012C74" w:rsidRDefault="00012C74" w:rsidP="00F326E5">
      <w:pPr>
        <w:rPr>
          <w:rFonts w:ascii="Arial Black" w:hAnsi="Arial Black"/>
          <w:b/>
          <w:sz w:val="24"/>
          <w:szCs w:val="24"/>
        </w:rPr>
      </w:pPr>
    </w:p>
    <w:p w14:paraId="3EE69F75" w14:textId="77777777" w:rsidR="00707821" w:rsidRDefault="00707821" w:rsidP="00F326E5">
      <w:pPr>
        <w:rPr>
          <w:rFonts w:ascii="Arial Black" w:hAnsi="Arial Black"/>
          <w:b/>
          <w:sz w:val="24"/>
          <w:szCs w:val="24"/>
        </w:rPr>
      </w:pPr>
    </w:p>
    <w:p w14:paraId="3F4DB0D5" w14:textId="77777777" w:rsidR="00707821" w:rsidRDefault="00707821" w:rsidP="00F326E5">
      <w:pPr>
        <w:rPr>
          <w:rFonts w:ascii="Arial Black" w:hAnsi="Arial Black"/>
          <w:b/>
          <w:sz w:val="24"/>
          <w:szCs w:val="24"/>
        </w:rPr>
      </w:pPr>
    </w:p>
    <w:p w14:paraId="6A5A9D4D" w14:textId="30802665" w:rsidR="00131912" w:rsidRDefault="00131912" w:rsidP="00F326E5">
      <w:pPr>
        <w:rPr>
          <w:rFonts w:ascii="Arial Black" w:hAnsi="Arial Black"/>
          <w:b/>
          <w:sz w:val="24"/>
          <w:szCs w:val="24"/>
        </w:rPr>
      </w:pPr>
      <w:r>
        <w:rPr>
          <w:rFonts w:ascii="Arial Black" w:hAnsi="Arial Black"/>
          <w:b/>
          <w:sz w:val="24"/>
          <w:szCs w:val="24"/>
        </w:rPr>
        <w:t>12-31</w:t>
      </w:r>
    </w:p>
    <w:p w14:paraId="22710BCE" w14:textId="77777777" w:rsidR="00131912" w:rsidRPr="0089400B" w:rsidRDefault="00131912" w:rsidP="00131912">
      <w:pPr>
        <w:pStyle w:val="NoSpacing"/>
        <w:rPr>
          <w:rFonts w:ascii="Arial Black" w:hAnsi="Arial Black"/>
          <w:sz w:val="28"/>
          <w:szCs w:val="28"/>
        </w:rPr>
      </w:pPr>
      <w:r w:rsidRPr="0089400B">
        <w:rPr>
          <w:rFonts w:ascii="Arial Black" w:hAnsi="Arial Black"/>
          <w:sz w:val="28"/>
          <w:szCs w:val="28"/>
        </w:rPr>
        <w:t>MA: FF PINPOINT PUPILS – DELAY DRUG TEST / CBD - FIRED</w:t>
      </w:r>
    </w:p>
    <w:p w14:paraId="65DE9069" w14:textId="77777777" w:rsidR="00131912" w:rsidRPr="0089400B" w:rsidRDefault="00131912" w:rsidP="00131912">
      <w:pPr>
        <w:pStyle w:val="NoSpacing"/>
        <w:rPr>
          <w:rFonts w:ascii="Times New Roman" w:hAnsi="Times New Roman"/>
          <w:sz w:val="24"/>
          <w:szCs w:val="24"/>
        </w:rPr>
      </w:pPr>
    </w:p>
    <w:p w14:paraId="36950906" w14:textId="77777777" w:rsidR="003E0872" w:rsidRDefault="00131912" w:rsidP="003E0872">
      <w:pPr>
        <w:pStyle w:val="NoSpacing"/>
      </w:pPr>
      <w:r w:rsidRPr="0089400B">
        <w:rPr>
          <w:rFonts w:ascii="Times New Roman" w:hAnsi="Times New Roman"/>
          <w:sz w:val="24"/>
          <w:szCs w:val="24"/>
        </w:rPr>
        <w:t xml:space="preserve">On March 20, 2025, in </w:t>
      </w:r>
      <w:r w:rsidRPr="0089400B">
        <w:rPr>
          <w:rFonts w:ascii="Times New Roman" w:hAnsi="Times New Roman"/>
          <w:sz w:val="24"/>
          <w:szCs w:val="24"/>
          <w:u w:val="single"/>
        </w:rPr>
        <w:t>Patrick F. Burns, Sr, v. The City of Worchester, et al</w:t>
      </w:r>
      <w:r w:rsidRPr="0089400B">
        <w:rPr>
          <w:rFonts w:ascii="Times New Roman" w:hAnsi="Times New Roman"/>
          <w:sz w:val="24"/>
          <w:szCs w:val="24"/>
        </w:rPr>
        <w:t xml:space="preserve">., U.S. District Court Judge Margaret R. Guzman, U.S. District Court for the District of Massachusetts, granted the city’s motion to dismiss.  A Deputy Fire Chief observed the firefighter with “pinpoint” pupils during Recue 1 training on September 7, </w:t>
      </w:r>
      <w:proofErr w:type="gramStart"/>
      <w:r w:rsidRPr="0089400B">
        <w:rPr>
          <w:rFonts w:ascii="Times New Roman" w:hAnsi="Times New Roman"/>
          <w:sz w:val="24"/>
          <w:szCs w:val="24"/>
        </w:rPr>
        <w:t>2023</w:t>
      </w:r>
      <w:proofErr w:type="gramEnd"/>
      <w:r w:rsidRPr="0089400B">
        <w:rPr>
          <w:rFonts w:ascii="Times New Roman" w:hAnsi="Times New Roman"/>
          <w:sz w:val="24"/>
          <w:szCs w:val="24"/>
        </w:rPr>
        <w:t xml:space="preserve"> and ordered him to take drug test.  The firefighter didn’t take urine test until Nov. 8.  “Burns had recently begun the lawful off-duty use of prescribed oral cannabidiol (CBD), a non-intoxicating derivative of cannabis, as a sleep aid; he was unsure how this could affect drug test results or how such results might be interpreted or portrayed. He was suspended without pay since Oct. 8, 2023, and on Jan. 21, </w:t>
      </w:r>
      <w:proofErr w:type="gramStart"/>
      <w:r w:rsidRPr="0089400B">
        <w:rPr>
          <w:rFonts w:ascii="Times New Roman" w:hAnsi="Times New Roman"/>
          <w:sz w:val="24"/>
          <w:szCs w:val="24"/>
        </w:rPr>
        <w:t>2024</w:t>
      </w:r>
      <w:proofErr w:type="gramEnd"/>
      <w:r w:rsidRPr="0089400B">
        <w:rPr>
          <w:rFonts w:ascii="Times New Roman" w:hAnsi="Times New Roman"/>
          <w:sz w:val="24"/>
          <w:szCs w:val="24"/>
        </w:rPr>
        <w:t xml:space="preserve"> the FD offered him a substance abuse agreement [which he rejected].  The agreement “required Burns to accept its premise that he was an admitted drug abuser…. The agreement called for Burns to complete treatment with a licensed substance abuse rehabilitation program and provide negative results from hair, urine, and breathalyzer tests, or to accept a ‘last chance agreement’ requiring three years of highly intrusive drug testing on demand with ‘physical inspection’ before providing a urine sample and provision of each sample ‘under direct observation.’ …  The agreement also included ‘permanent transfer off the Rescue [unit] and outside the Franklin Street Fire Station’ with Burns to be barred from assignment to that station ‘even on a temporary basis.’ The letter stated the </w:t>
      </w:r>
      <w:proofErr w:type="gramStart"/>
      <w:r w:rsidRPr="0089400B">
        <w:rPr>
          <w:rFonts w:ascii="Times New Roman" w:hAnsi="Times New Roman"/>
          <w:sz w:val="24"/>
          <w:szCs w:val="24"/>
        </w:rPr>
        <w:t>City</w:t>
      </w:r>
      <w:proofErr w:type="gramEnd"/>
      <w:r w:rsidRPr="0089400B">
        <w:rPr>
          <w:rFonts w:ascii="Times New Roman" w:hAnsi="Times New Roman"/>
          <w:sz w:val="24"/>
          <w:szCs w:val="24"/>
        </w:rPr>
        <w:t xml:space="preserve"> would ‘move for your termination’ if Burns did not return the signed agreement within 10 days.”  His termination was upheld by a city Hearing Officer upheld after full hearing on June 7, 2023; and by Civil Service Commission on June 27, </w:t>
      </w:r>
      <w:proofErr w:type="gramStart"/>
      <w:r w:rsidRPr="0089400B">
        <w:rPr>
          <w:rFonts w:ascii="Times New Roman" w:hAnsi="Times New Roman"/>
          <w:sz w:val="24"/>
          <w:szCs w:val="24"/>
        </w:rPr>
        <w:t>2024</w:t>
      </w:r>
      <w:proofErr w:type="gramEnd"/>
      <w:r w:rsidRPr="0089400B">
        <w:rPr>
          <w:rFonts w:ascii="Times New Roman" w:hAnsi="Times New Roman"/>
          <w:sz w:val="24"/>
          <w:szCs w:val="24"/>
        </w:rPr>
        <w:t xml:space="preserve"> after a hearing.”</w:t>
      </w:r>
      <w:r w:rsidR="003E0872">
        <w:rPr>
          <w:rFonts w:ascii="Times New Roman" w:hAnsi="Times New Roman"/>
          <w:sz w:val="24"/>
          <w:szCs w:val="24"/>
        </w:rPr>
        <w:t xml:space="preserve"> </w:t>
      </w:r>
      <w:hyperlink r:id="rId1975" w:history="1">
        <w:r w:rsidR="003E0872" w:rsidRPr="00A02498">
          <w:rPr>
            <w:rStyle w:val="Hyperlink"/>
          </w:rPr>
          <w:t>https://public.fastcase.com/jaEE2PXzRXmZ99jOLMt1IkwLjDIafZivsAf6axO%2B3QZjm6x80NhvTxxrXJiS64do?utm_medium=email&amp;_hsenc=p2ANqtz-_ZLiMFX9yN1wO2MCWrhyQko1U4dUXhzxPQAtrBDBjCrjbe9Dh7_kNIbfrc-1zaAPZ0Y1FmrwNmXCeWeaeUVjh5p5R-nw&amp;_hsmi=226712652&amp;utm_content=226712652&amp;utm_source=hs_email</w:t>
        </w:r>
      </w:hyperlink>
      <w:r w:rsidR="003E0872">
        <w:t xml:space="preserve"> </w:t>
      </w:r>
    </w:p>
    <w:p w14:paraId="0E880446" w14:textId="77777777" w:rsidR="003E0872" w:rsidRDefault="003E0872" w:rsidP="003E0872">
      <w:pPr>
        <w:pStyle w:val="NoSpacing"/>
      </w:pPr>
    </w:p>
    <w:p w14:paraId="2656FD4A" w14:textId="1318A3C9" w:rsidR="00131912" w:rsidRPr="0089400B" w:rsidRDefault="00131912" w:rsidP="00131912">
      <w:pPr>
        <w:pStyle w:val="NoSpacing"/>
        <w:rPr>
          <w:rFonts w:ascii="Times New Roman" w:hAnsi="Times New Roman"/>
          <w:sz w:val="24"/>
          <w:szCs w:val="24"/>
        </w:rPr>
      </w:pPr>
    </w:p>
    <w:p w14:paraId="56CACE56" w14:textId="77777777" w:rsidR="0089400B" w:rsidRPr="0089400B" w:rsidRDefault="0089400B" w:rsidP="0089400B">
      <w:pPr>
        <w:pStyle w:val="NoSpacing"/>
        <w:rPr>
          <w:rFonts w:ascii="Times New Roman" w:hAnsi="Times New Roman"/>
          <w:b/>
          <w:sz w:val="24"/>
          <w:szCs w:val="24"/>
        </w:rPr>
      </w:pPr>
    </w:p>
    <w:p w14:paraId="6E5747C4" w14:textId="07DA2504" w:rsidR="0089400B" w:rsidRPr="0089400B" w:rsidRDefault="0089400B" w:rsidP="0089400B">
      <w:pPr>
        <w:pStyle w:val="NoSpacing"/>
        <w:rPr>
          <w:rFonts w:ascii="Times New Roman" w:hAnsi="Times New Roman"/>
          <w:b/>
          <w:bCs/>
          <w:sz w:val="24"/>
          <w:szCs w:val="24"/>
        </w:rPr>
      </w:pPr>
      <w:r w:rsidRPr="0089400B">
        <w:rPr>
          <w:rFonts w:ascii="Times New Roman" w:hAnsi="Times New Roman"/>
          <w:b/>
          <w:sz w:val="24"/>
          <w:szCs w:val="24"/>
        </w:rPr>
        <w:t xml:space="preserve">Legal Lesson Learned: Firefighting is a “safety-sensitive” job and employer may order drug test if there is reasonable suspicion.  </w:t>
      </w:r>
    </w:p>
    <w:p w14:paraId="25692397" w14:textId="77777777" w:rsidR="0089400B" w:rsidRPr="0089400B" w:rsidRDefault="0089400B" w:rsidP="0089400B">
      <w:pPr>
        <w:pStyle w:val="NoSpacing"/>
        <w:rPr>
          <w:rFonts w:ascii="Times New Roman" w:hAnsi="Times New Roman"/>
          <w:sz w:val="24"/>
          <w:szCs w:val="24"/>
        </w:rPr>
      </w:pPr>
    </w:p>
    <w:p w14:paraId="38429B94" w14:textId="77777777" w:rsidR="0089400B" w:rsidRDefault="0089400B" w:rsidP="00131912">
      <w:pPr>
        <w:pStyle w:val="NoSpacing"/>
      </w:pPr>
    </w:p>
    <w:p w14:paraId="101F78FC" w14:textId="77777777" w:rsidR="00131912" w:rsidRDefault="00131912" w:rsidP="00F326E5">
      <w:pPr>
        <w:rPr>
          <w:rFonts w:ascii="Arial Black" w:hAnsi="Arial Black"/>
          <w:b/>
          <w:sz w:val="24"/>
          <w:szCs w:val="24"/>
        </w:rPr>
      </w:pPr>
    </w:p>
    <w:p w14:paraId="1D88A510" w14:textId="77777777" w:rsidR="00131912" w:rsidRDefault="00131912" w:rsidP="00F326E5">
      <w:pPr>
        <w:rPr>
          <w:rFonts w:ascii="Arial Black" w:hAnsi="Arial Black"/>
          <w:b/>
          <w:sz w:val="24"/>
          <w:szCs w:val="24"/>
        </w:rPr>
      </w:pPr>
    </w:p>
    <w:p w14:paraId="5BB7BB4B" w14:textId="77777777" w:rsidR="00131912" w:rsidRDefault="00131912" w:rsidP="00F326E5">
      <w:pPr>
        <w:rPr>
          <w:rFonts w:ascii="Arial Black" w:hAnsi="Arial Black"/>
          <w:b/>
          <w:sz w:val="24"/>
          <w:szCs w:val="24"/>
        </w:rPr>
      </w:pPr>
    </w:p>
    <w:p w14:paraId="08E6AC15" w14:textId="1E311322" w:rsidR="00EE6BDE" w:rsidRDefault="00EE6BDE" w:rsidP="00F326E5">
      <w:pPr>
        <w:rPr>
          <w:rFonts w:ascii="Arial Black" w:hAnsi="Arial Black"/>
          <w:b/>
          <w:sz w:val="24"/>
          <w:szCs w:val="24"/>
        </w:rPr>
      </w:pPr>
      <w:r>
        <w:rPr>
          <w:rFonts w:ascii="Arial Black" w:hAnsi="Arial Black"/>
          <w:b/>
          <w:sz w:val="24"/>
          <w:szCs w:val="24"/>
        </w:rPr>
        <w:t>12-30</w:t>
      </w:r>
    </w:p>
    <w:p w14:paraId="10BA2680" w14:textId="77777777" w:rsidR="00EE6BDE" w:rsidRPr="000B7F2C" w:rsidRDefault="00EE6BDE" w:rsidP="00EE6BDE">
      <w:pPr>
        <w:rPr>
          <w:rFonts w:ascii="Arial Black" w:hAnsi="Arial Black"/>
          <w:sz w:val="28"/>
          <w:szCs w:val="28"/>
        </w:rPr>
      </w:pPr>
      <w:r w:rsidRPr="000B7F2C">
        <w:rPr>
          <w:rFonts w:ascii="Arial Black" w:hAnsi="Arial Black"/>
          <w:sz w:val="28"/>
          <w:szCs w:val="28"/>
        </w:rPr>
        <w:t xml:space="preserve">PA: MEDICAL MJ – PTSD – LAB HIRE DEMOTED – NO ADA </w:t>
      </w:r>
    </w:p>
    <w:p w14:paraId="5063C9C0" w14:textId="77777777" w:rsidR="00EE6BDE" w:rsidRPr="00BA592A" w:rsidRDefault="00EE6BDE" w:rsidP="00EE6BDE">
      <w:pPr>
        <w:rPr>
          <w:rFonts w:ascii="Times New Roman" w:hAnsi="Times New Roman"/>
          <w:sz w:val="24"/>
          <w:szCs w:val="24"/>
        </w:rPr>
      </w:pPr>
      <w:r w:rsidRPr="00BA592A">
        <w:rPr>
          <w:rFonts w:ascii="Times New Roman" w:hAnsi="Times New Roman"/>
          <w:sz w:val="24"/>
          <w:szCs w:val="24"/>
        </w:rPr>
        <w:t xml:space="preserve">On Feb. 12, 2025, in </w:t>
      </w:r>
      <w:r w:rsidRPr="00BA592A">
        <w:rPr>
          <w:rFonts w:ascii="Times New Roman" w:hAnsi="Times New Roman"/>
          <w:sz w:val="24"/>
          <w:szCs w:val="24"/>
          <w:u w:val="single"/>
        </w:rPr>
        <w:t>Nicole Zimmerman v. Health Network Laboratories, L.P</w:t>
      </w:r>
      <w:r w:rsidRPr="00BA592A">
        <w:rPr>
          <w:rFonts w:ascii="Times New Roman" w:hAnsi="Times New Roman"/>
          <w:sz w:val="24"/>
          <w:szCs w:val="24"/>
        </w:rPr>
        <w:t xml:space="preserve">., United States District Court Judge Gail A. Weilheimer, U.S. District Court for Eastern District of Pennsylvania, granted defense motion for summary judgment’ medical marijuana use is not protected under the Americans with Disabilities Act (ADA).   The company (50 locations; 1,500 employees) hired the plaintiff on March 3, </w:t>
      </w:r>
      <w:proofErr w:type="gramStart"/>
      <w:r w:rsidRPr="00BA592A">
        <w:rPr>
          <w:rFonts w:ascii="Times New Roman" w:hAnsi="Times New Roman"/>
          <w:sz w:val="24"/>
          <w:szCs w:val="24"/>
        </w:rPr>
        <w:t>2022</w:t>
      </w:r>
      <w:proofErr w:type="gramEnd"/>
      <w:r w:rsidRPr="00BA592A">
        <w:rPr>
          <w:rFonts w:ascii="Times New Roman" w:hAnsi="Times New Roman"/>
          <w:sz w:val="24"/>
          <w:szCs w:val="24"/>
        </w:rPr>
        <w:t xml:space="preserve"> as a </w:t>
      </w:r>
      <w:proofErr w:type="gramStart"/>
      <w:r w:rsidRPr="00BA592A">
        <w:rPr>
          <w:rFonts w:ascii="Times New Roman" w:hAnsi="Times New Roman"/>
          <w:sz w:val="24"/>
          <w:szCs w:val="24"/>
        </w:rPr>
        <w:t>Phlebotomist</w:t>
      </w:r>
      <w:proofErr w:type="gramEnd"/>
      <w:r w:rsidRPr="00BA592A">
        <w:rPr>
          <w:rFonts w:ascii="Times New Roman" w:hAnsi="Times New Roman"/>
          <w:sz w:val="24"/>
          <w:szCs w:val="24"/>
        </w:rPr>
        <w:t xml:space="preserve"> II.  She suffers from Post-Traumatic Stress Disorder ("PTSD") and Generalized Anxiety Disorder ("GAD") and uses medical marijuana to support her treatment for these diagnoses.  On April 13, 2022, Ms. Zimmerman was instead offered a position as a Laboratory Assistant</w:t>
      </w:r>
      <w:r w:rsidRPr="00BA592A">
        <w:rPr>
          <w:rFonts w:ascii="Times New Roman" w:hAnsi="Times New Roman"/>
          <w:sz w:val="24"/>
          <w:szCs w:val="24"/>
          <w:vertAlign w:val="superscript"/>
        </w:rPr>
        <w:t xml:space="preserve"> </w:t>
      </w:r>
      <w:r w:rsidRPr="00BA592A">
        <w:rPr>
          <w:rFonts w:ascii="Times New Roman" w:hAnsi="Times New Roman"/>
          <w:sz w:val="24"/>
          <w:szCs w:val="24"/>
        </w:rPr>
        <w:t xml:space="preserve">[classified as non-safety sensitive] which constituted a demotion with a lower hourly rate of pay.  </w:t>
      </w:r>
      <w:hyperlink r:id="rId1976" w:history="1">
        <w:r w:rsidRPr="00BA592A">
          <w:rPr>
            <w:rStyle w:val="Hyperlink"/>
            <w:rFonts w:ascii="Times New Roman" w:hAnsi="Times New Roman"/>
            <w:sz w:val="24"/>
            <w:szCs w:val="24"/>
          </w:rPr>
          <w:t>https://public.fastcase.com/jaEE2PXzRXmZ99jOLMt1IkeXMb88bktridCVT2cNJQMzpCQ6GgqcAq9z2DsPb3SV?utm_medium=email&amp;_hsenc=p2ANqtz-85xVo1nyN3HdtXmyEBbnKz3steTpDAfhmpvG3xr6TrZ9DYf7Sn2b546JhEk92EHRSHghCxIzSuD7PvUX919GE5tGfx5g&amp;_hsmi=226712652&amp;utm_content=226712652&amp;utm_source=hs_email</w:t>
        </w:r>
      </w:hyperlink>
      <w:r w:rsidRPr="00BA592A">
        <w:rPr>
          <w:rFonts w:ascii="Times New Roman" w:hAnsi="Times New Roman"/>
          <w:sz w:val="24"/>
          <w:szCs w:val="24"/>
        </w:rPr>
        <w:t xml:space="preserve"> </w:t>
      </w:r>
    </w:p>
    <w:p w14:paraId="1F3FAF02" w14:textId="77777777" w:rsidR="00EE6BDE" w:rsidRPr="00BA592A" w:rsidRDefault="00EE6BDE" w:rsidP="00EE6BDE">
      <w:pPr>
        <w:pStyle w:val="NoSpacing"/>
        <w:rPr>
          <w:rFonts w:ascii="Times New Roman" w:hAnsi="Times New Roman"/>
          <w:sz w:val="24"/>
          <w:szCs w:val="24"/>
        </w:rPr>
      </w:pPr>
      <w:r w:rsidRPr="00BA592A">
        <w:rPr>
          <w:rFonts w:ascii="Times New Roman" w:hAnsi="Times New Roman"/>
          <w:sz w:val="24"/>
          <w:szCs w:val="24"/>
        </w:rPr>
        <w:t>The Court wrote:</w:t>
      </w:r>
    </w:p>
    <w:p w14:paraId="6929948C" w14:textId="77777777" w:rsidR="00EE6BDE" w:rsidRPr="00BA592A" w:rsidRDefault="00EE6BDE" w:rsidP="00EE6BDE">
      <w:pPr>
        <w:pStyle w:val="NoSpacing"/>
        <w:rPr>
          <w:rFonts w:ascii="Times New Roman" w:hAnsi="Times New Roman"/>
          <w:sz w:val="24"/>
          <w:szCs w:val="24"/>
        </w:rPr>
      </w:pPr>
    </w:p>
    <w:p w14:paraId="7B34C13B"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“Because the adverse employment action here was precipitated by Ms. Zimmerman's use of medical marijuana, she is not a qualified individual per the ADA. </w:t>
      </w:r>
    </w:p>
    <w:p w14:paraId="31E5F6BC" w14:textId="77777777" w:rsidR="00EE6BDE" w:rsidRPr="00BA592A" w:rsidRDefault="00EE6BDE" w:rsidP="00EE6BDE">
      <w:pPr>
        <w:pStyle w:val="NoSpacing"/>
        <w:rPr>
          <w:rFonts w:ascii="Times New Roman" w:hAnsi="Times New Roman"/>
          <w:sz w:val="24"/>
          <w:szCs w:val="24"/>
        </w:rPr>
      </w:pPr>
    </w:p>
    <w:p w14:paraId="5E375F57"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[Fire Department case – in] </w:t>
      </w:r>
      <w:r w:rsidRPr="00BA592A">
        <w:rPr>
          <w:rFonts w:ascii="Times New Roman" w:hAnsi="Times New Roman"/>
          <w:i/>
          <w:iCs/>
          <w:sz w:val="24"/>
          <w:szCs w:val="24"/>
        </w:rPr>
        <w:t>Eccleston v. City of Waterbury,</w:t>
      </w:r>
      <w:r w:rsidRPr="00BA592A">
        <w:rPr>
          <w:rFonts w:ascii="Times New Roman" w:hAnsi="Times New Roman"/>
          <w:sz w:val="24"/>
          <w:szCs w:val="24"/>
        </w:rPr>
        <w:t xml:space="preserve"> No. 3:19-cv-1614, 2021 WL 1090754, at *6 (D. Conn. Mar. 22, 2021). In </w:t>
      </w:r>
      <w:r w:rsidRPr="00BA592A">
        <w:rPr>
          <w:rFonts w:ascii="Times New Roman" w:hAnsi="Times New Roman"/>
          <w:i/>
          <w:iCs/>
          <w:sz w:val="24"/>
          <w:szCs w:val="24"/>
        </w:rPr>
        <w:t>Eccleston,</w:t>
      </w:r>
      <w:r w:rsidRPr="00BA592A">
        <w:rPr>
          <w:rFonts w:ascii="Times New Roman" w:hAnsi="Times New Roman"/>
          <w:sz w:val="24"/>
          <w:szCs w:val="24"/>
        </w:rPr>
        <w:t xml:space="preserve"> the District Court of Connecticut held that a firefighter, lawfully prescribed medical marijuana under Connecticut state law, was not protected as a qualified individual under the ADA. </w:t>
      </w:r>
      <w:r w:rsidRPr="00BA592A">
        <w:rPr>
          <w:rFonts w:ascii="Times New Roman" w:hAnsi="Times New Roman"/>
          <w:i/>
          <w:iCs/>
          <w:sz w:val="24"/>
          <w:szCs w:val="24"/>
        </w:rPr>
        <w:t>See Eccleston,</w:t>
      </w:r>
      <w:r w:rsidRPr="00BA592A">
        <w:rPr>
          <w:rFonts w:ascii="Times New Roman" w:hAnsi="Times New Roman"/>
          <w:sz w:val="24"/>
          <w:szCs w:val="24"/>
        </w:rPr>
        <w:t xml:space="preserve"> at *6. The Court explained that to hold ‘otherwise would place [the ADA] in direct tension with the clear provisions of the CSA-a statute the ADA relies upon </w:t>
      </w:r>
      <w:proofErr w:type="gramStart"/>
      <w:r w:rsidRPr="00BA592A">
        <w:rPr>
          <w:rFonts w:ascii="Times New Roman" w:hAnsi="Times New Roman"/>
          <w:sz w:val="24"/>
          <w:szCs w:val="24"/>
        </w:rPr>
        <w:t>to define</w:t>
      </w:r>
      <w:proofErr w:type="gramEnd"/>
      <w:r w:rsidRPr="00BA592A">
        <w:rPr>
          <w:rFonts w:ascii="Times New Roman" w:hAnsi="Times New Roman"/>
          <w:sz w:val="24"/>
          <w:szCs w:val="24"/>
        </w:rPr>
        <w:t xml:space="preserve"> the term "illegal drug use.’ </w:t>
      </w:r>
    </w:p>
    <w:p w14:paraId="0D516CAB" w14:textId="77777777" w:rsidR="00EE6BDE" w:rsidRPr="00BA592A" w:rsidRDefault="00EE6BDE" w:rsidP="00EE6BDE">
      <w:pPr>
        <w:pStyle w:val="NoSpacing"/>
        <w:rPr>
          <w:rFonts w:ascii="Times New Roman" w:hAnsi="Times New Roman"/>
          <w:sz w:val="24"/>
          <w:szCs w:val="24"/>
        </w:rPr>
      </w:pPr>
    </w:p>
    <w:p w14:paraId="07C28A5B" w14:textId="77777777" w:rsidR="00EE6BDE" w:rsidRPr="00BA592A" w:rsidRDefault="00EE6BDE" w:rsidP="00EE6BDE">
      <w:pPr>
        <w:pStyle w:val="NoSpacing"/>
        <w:ind w:firstLine="720"/>
        <w:rPr>
          <w:rFonts w:ascii="Times New Roman" w:hAnsi="Times New Roman"/>
          <w:sz w:val="24"/>
          <w:szCs w:val="24"/>
        </w:rPr>
      </w:pPr>
      <w:r w:rsidRPr="00BA592A">
        <w:rPr>
          <w:rFonts w:ascii="Times New Roman" w:hAnsi="Times New Roman"/>
          <w:sz w:val="24"/>
          <w:szCs w:val="24"/>
        </w:rPr>
        <w:t>***</w:t>
      </w:r>
    </w:p>
    <w:p w14:paraId="4D427B4E" w14:textId="77777777" w:rsidR="00EE6BDE" w:rsidRPr="00BA592A" w:rsidRDefault="00EE6BDE" w:rsidP="00EE6BDE">
      <w:pPr>
        <w:pStyle w:val="NoSpacing"/>
        <w:rPr>
          <w:rFonts w:ascii="Times New Roman" w:hAnsi="Times New Roman"/>
          <w:sz w:val="24"/>
          <w:szCs w:val="24"/>
        </w:rPr>
      </w:pPr>
    </w:p>
    <w:p w14:paraId="0A814CA9"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Similarly, the District Court of Colorado held termination on account of complainant's medical marijuana use did not constitute discrimination under the ADA. </w:t>
      </w:r>
      <w:r w:rsidRPr="00BA592A">
        <w:rPr>
          <w:rFonts w:ascii="Times New Roman" w:hAnsi="Times New Roman"/>
          <w:i/>
          <w:iCs/>
          <w:sz w:val="24"/>
          <w:szCs w:val="24"/>
        </w:rPr>
        <w:t>Steele v. Stallion Rockies Ltd,</w:t>
      </w:r>
      <w:r w:rsidRPr="00BA592A">
        <w:rPr>
          <w:rFonts w:ascii="Times New Roman" w:hAnsi="Times New Roman"/>
          <w:sz w:val="24"/>
          <w:szCs w:val="24"/>
        </w:rPr>
        <w:t xml:space="preserve"> 106 F.Supp.3d 1205, 1218 (D. Colo. 2015); </w:t>
      </w:r>
      <w:r w:rsidRPr="00BA592A">
        <w:rPr>
          <w:rFonts w:ascii="Times New Roman" w:hAnsi="Times New Roman"/>
          <w:i/>
          <w:iCs/>
          <w:sz w:val="24"/>
          <w:szCs w:val="24"/>
        </w:rPr>
        <w:t xml:space="preserve">see also </w:t>
      </w:r>
      <w:proofErr w:type="spellStart"/>
      <w:r w:rsidRPr="00BA592A">
        <w:rPr>
          <w:rFonts w:ascii="Times New Roman" w:hAnsi="Times New Roman"/>
          <w:i/>
          <w:iCs/>
          <w:sz w:val="24"/>
          <w:szCs w:val="24"/>
        </w:rPr>
        <w:t>Aiiderson</w:t>
      </w:r>
      <w:proofErr w:type="spellEnd"/>
      <w:r w:rsidRPr="00BA592A">
        <w:rPr>
          <w:rFonts w:ascii="Times New Roman" w:hAnsi="Times New Roman"/>
          <w:i/>
          <w:iCs/>
          <w:sz w:val="24"/>
          <w:szCs w:val="24"/>
        </w:rPr>
        <w:t xml:space="preserve"> v. Diamondback Investment Group,</w:t>
      </w:r>
      <w:r w:rsidRPr="00BA592A">
        <w:rPr>
          <w:rFonts w:ascii="Times New Roman" w:hAnsi="Times New Roman"/>
          <w:sz w:val="24"/>
          <w:szCs w:val="24"/>
        </w:rPr>
        <w:t xml:space="preserve"> 117 F.4</w:t>
      </w:r>
      <w:r w:rsidRPr="00BA592A">
        <w:rPr>
          <w:rFonts w:ascii="Times New Roman" w:hAnsi="Times New Roman"/>
          <w:sz w:val="24"/>
          <w:szCs w:val="24"/>
          <w:vertAlign w:val="superscript"/>
        </w:rPr>
        <w:t>th</w:t>
      </w:r>
      <w:r w:rsidRPr="00BA592A">
        <w:rPr>
          <w:rFonts w:ascii="Times New Roman" w:hAnsi="Times New Roman"/>
          <w:sz w:val="24"/>
          <w:szCs w:val="24"/>
        </w:rPr>
        <w:t xml:space="preserve"> 165 (4th Cir. 2024) (terminating individuals taking illegal drugs to treat a disability is permissible, so long as the goal of the drug testing scheme does not intentionally exclude any individual taking a </w:t>
      </w:r>
      <w:r w:rsidRPr="00BA592A">
        <w:rPr>
          <w:rFonts w:ascii="Times New Roman" w:hAnsi="Times New Roman"/>
          <w:i/>
          <w:iCs/>
          <w:sz w:val="24"/>
          <w:szCs w:val="24"/>
        </w:rPr>
        <w:t>lawfully prescribed</w:t>
      </w:r>
      <w:r w:rsidRPr="00BA592A">
        <w:rPr>
          <w:rFonts w:ascii="Times New Roman" w:hAnsi="Times New Roman"/>
          <w:sz w:val="24"/>
          <w:szCs w:val="24"/>
        </w:rPr>
        <w:t xml:space="preserve"> drug to treat a disability); </w:t>
      </w:r>
      <w:r w:rsidRPr="00BA592A">
        <w:rPr>
          <w:rFonts w:ascii="Times New Roman" w:hAnsi="Times New Roman"/>
          <w:i/>
          <w:iCs/>
          <w:sz w:val="24"/>
          <w:szCs w:val="24"/>
        </w:rPr>
        <w:t>Zarazua v. Ricketts,</w:t>
      </w:r>
      <w:r w:rsidRPr="00BA592A">
        <w:rPr>
          <w:rFonts w:ascii="Times New Roman" w:hAnsi="Times New Roman"/>
          <w:sz w:val="24"/>
          <w:szCs w:val="24"/>
        </w:rPr>
        <w:t xml:space="preserve"> 8:17CV318, 2017 WL 6503395, at *2 (D. Neb. Oct. 2, 2017) (exception for medical marijuana in state law is not a reasonable accommodation under the ADA); </w:t>
      </w:r>
      <w:r w:rsidRPr="00BA592A">
        <w:rPr>
          <w:rFonts w:ascii="Times New Roman" w:hAnsi="Times New Roman"/>
          <w:i/>
          <w:iCs/>
          <w:sz w:val="24"/>
          <w:szCs w:val="24"/>
        </w:rPr>
        <w:t>Barber v. Gonzalez</w:t>
      </w:r>
      <w:r w:rsidRPr="00BA592A">
        <w:rPr>
          <w:rFonts w:ascii="Times New Roman" w:hAnsi="Times New Roman"/>
          <w:sz w:val="24"/>
          <w:szCs w:val="24"/>
        </w:rPr>
        <w:t xml:space="preserve"> No. CV-05-0173, 2005 WL 1607189, at *1 (E.D. Wash. Jul. 1, 2005) (physician supervised drug use must be authorized under the Controlled Substances Act or other provisions of Federal law, regardless of any state law authorization).</w:t>
      </w:r>
    </w:p>
    <w:p w14:paraId="1D66A366" w14:textId="77777777" w:rsidR="00EE6BDE" w:rsidRPr="00BA592A" w:rsidRDefault="00EE6BDE" w:rsidP="00EE6BDE">
      <w:pPr>
        <w:pStyle w:val="NoSpacing"/>
        <w:rPr>
          <w:rFonts w:ascii="Times New Roman" w:hAnsi="Times New Roman"/>
          <w:sz w:val="24"/>
          <w:szCs w:val="24"/>
        </w:rPr>
      </w:pPr>
    </w:p>
    <w:p w14:paraId="059735C8" w14:textId="77777777" w:rsidR="00EE6BDE" w:rsidRPr="00BA592A" w:rsidRDefault="00EE6BDE" w:rsidP="00EE6BDE">
      <w:pPr>
        <w:pStyle w:val="NoSpacing"/>
        <w:ind w:firstLine="720"/>
        <w:rPr>
          <w:rFonts w:ascii="Times New Roman" w:hAnsi="Times New Roman"/>
          <w:sz w:val="24"/>
          <w:szCs w:val="24"/>
        </w:rPr>
      </w:pPr>
      <w:r w:rsidRPr="00BA592A">
        <w:rPr>
          <w:rFonts w:ascii="Times New Roman" w:hAnsi="Times New Roman"/>
          <w:sz w:val="24"/>
          <w:szCs w:val="24"/>
        </w:rPr>
        <w:t>***</w:t>
      </w:r>
    </w:p>
    <w:p w14:paraId="14F6F634" w14:textId="77777777" w:rsidR="00EE6BDE" w:rsidRPr="00BA592A" w:rsidRDefault="00EE6BDE" w:rsidP="00EE6BDE">
      <w:pPr>
        <w:pStyle w:val="NoSpacing"/>
        <w:rPr>
          <w:rFonts w:ascii="Times New Roman" w:hAnsi="Times New Roman"/>
          <w:sz w:val="24"/>
          <w:szCs w:val="24"/>
        </w:rPr>
      </w:pPr>
    </w:p>
    <w:p w14:paraId="614FD360"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Accordingly, this Court concludes that employees properly prescribed marijuana in compliance with Pennsylvania law, who then experience adverse employment determinations based on that use, are not "qualified individuals" contemplated at 42 U.S.C, § 12101, et seq. Although this specific issue has not been decided by the Third Circuit, this Court's conclusion accords with case law within the Circuit examining failed drug tests in slightly different factual contexts. </w:t>
      </w:r>
      <w:r w:rsidRPr="00BA592A">
        <w:rPr>
          <w:rFonts w:ascii="Times New Roman" w:hAnsi="Times New Roman"/>
          <w:i/>
          <w:iCs/>
          <w:sz w:val="24"/>
          <w:szCs w:val="24"/>
        </w:rPr>
        <w:t>See Drift, supra</w:t>
      </w:r>
      <w:r w:rsidRPr="00BA592A">
        <w:rPr>
          <w:rFonts w:ascii="Times New Roman" w:hAnsi="Times New Roman"/>
          <w:sz w:val="24"/>
          <w:szCs w:val="24"/>
        </w:rPr>
        <w:t xml:space="preserve"> (use of marijuana precludes and individual from being "qualified" under the ADA if the employer acts on this use); </w:t>
      </w:r>
      <w:proofErr w:type="spellStart"/>
      <w:r w:rsidRPr="00BA592A">
        <w:rPr>
          <w:rFonts w:ascii="Times New Roman" w:hAnsi="Times New Roman"/>
          <w:i/>
          <w:iCs/>
          <w:sz w:val="24"/>
          <w:szCs w:val="24"/>
        </w:rPr>
        <w:t>Lehenky</w:t>
      </w:r>
      <w:proofErr w:type="spellEnd"/>
      <w:r w:rsidRPr="00BA592A">
        <w:rPr>
          <w:rFonts w:ascii="Times New Roman" w:hAnsi="Times New Roman"/>
          <w:i/>
          <w:iCs/>
          <w:sz w:val="24"/>
          <w:szCs w:val="24"/>
        </w:rPr>
        <w:t xml:space="preserve"> v. Toshiba America Energy Systems Corp.,</w:t>
      </w:r>
      <w:r w:rsidRPr="00BA592A">
        <w:rPr>
          <w:rFonts w:ascii="Times New Roman" w:hAnsi="Times New Roman"/>
          <w:sz w:val="24"/>
          <w:szCs w:val="24"/>
        </w:rPr>
        <w:t xml:space="preserve"> No. 20-4573, 2022 WL 523739, at *3 (E.D. Pa. 2022) (over-the-counter CBD product resulting in positive drug test and subsequent termination not covered by ADA), </w:t>
      </w:r>
      <w:r w:rsidRPr="00BA592A">
        <w:rPr>
          <w:rFonts w:ascii="Times New Roman" w:hAnsi="Times New Roman"/>
          <w:i/>
          <w:iCs/>
          <w:sz w:val="24"/>
          <w:szCs w:val="24"/>
        </w:rPr>
        <w:t>aff'd,</w:t>
      </w:r>
      <w:r w:rsidRPr="00BA592A">
        <w:rPr>
          <w:rFonts w:ascii="Times New Roman" w:hAnsi="Times New Roman"/>
          <w:sz w:val="24"/>
          <w:szCs w:val="24"/>
        </w:rPr>
        <w:t xml:space="preserve"> 2023 WL 3562981 (3d Cir. May 19, 2023). As such, Plaintiff cannot make </w:t>
      </w:r>
      <w:r w:rsidRPr="00BA592A">
        <w:rPr>
          <w:rFonts w:ascii="Times New Roman" w:hAnsi="Times New Roman"/>
          <w:i/>
          <w:iCs/>
          <w:sz w:val="24"/>
          <w:szCs w:val="24"/>
        </w:rPr>
        <w:t>a prima facie</w:t>
      </w:r>
      <w:r w:rsidRPr="00BA592A">
        <w:rPr>
          <w:rFonts w:ascii="Times New Roman" w:hAnsi="Times New Roman"/>
          <w:sz w:val="24"/>
          <w:szCs w:val="24"/>
        </w:rPr>
        <w:t xml:space="preserve"> showing of discrimination to even engage the </w:t>
      </w:r>
      <w:r w:rsidRPr="00BA592A">
        <w:rPr>
          <w:rFonts w:ascii="Times New Roman" w:hAnsi="Times New Roman"/>
          <w:i/>
          <w:iCs/>
          <w:sz w:val="24"/>
          <w:szCs w:val="24"/>
        </w:rPr>
        <w:t>McDonnell Douglas</w:t>
      </w:r>
      <w:r w:rsidRPr="00BA592A">
        <w:rPr>
          <w:rFonts w:ascii="Times New Roman" w:hAnsi="Times New Roman"/>
          <w:sz w:val="24"/>
          <w:szCs w:val="24"/>
        </w:rPr>
        <w:t xml:space="preserve"> burden shifting framework in the first place.”</w:t>
      </w:r>
    </w:p>
    <w:p w14:paraId="4E6CE357" w14:textId="77777777" w:rsidR="00EE6BDE" w:rsidRPr="00BA592A" w:rsidRDefault="00EE6BDE" w:rsidP="00EE6BDE">
      <w:pPr>
        <w:pStyle w:val="NoSpacing"/>
        <w:rPr>
          <w:rFonts w:ascii="Times New Roman" w:hAnsi="Times New Roman"/>
          <w:sz w:val="24"/>
          <w:szCs w:val="24"/>
        </w:rPr>
      </w:pPr>
    </w:p>
    <w:p w14:paraId="425A55CD" w14:textId="77777777" w:rsidR="00EE6BDE" w:rsidRPr="00BA592A" w:rsidRDefault="00EE6BDE" w:rsidP="00EE6BDE">
      <w:pPr>
        <w:pStyle w:val="NoSpacing"/>
        <w:rPr>
          <w:rFonts w:ascii="Times New Roman" w:hAnsi="Times New Roman"/>
          <w:b/>
          <w:sz w:val="24"/>
          <w:szCs w:val="24"/>
        </w:rPr>
      </w:pPr>
      <w:r w:rsidRPr="00BA592A">
        <w:rPr>
          <w:rFonts w:ascii="Times New Roman" w:hAnsi="Times New Roman"/>
          <w:b/>
          <w:sz w:val="24"/>
          <w:szCs w:val="24"/>
        </w:rPr>
        <w:t xml:space="preserve">Legal Lesson Learned:  Fire &amp; EMS department dug use policies should address medical marijuana and recreational marijuana. </w:t>
      </w:r>
    </w:p>
    <w:p w14:paraId="4AE6BBA9" w14:textId="77777777" w:rsidR="00EE6BDE" w:rsidRDefault="00EE6BDE" w:rsidP="00F326E5">
      <w:pPr>
        <w:rPr>
          <w:rFonts w:ascii="Arial Black" w:hAnsi="Arial Black"/>
          <w:b/>
          <w:sz w:val="24"/>
          <w:szCs w:val="24"/>
        </w:rPr>
      </w:pPr>
    </w:p>
    <w:p w14:paraId="67D701D7" w14:textId="77777777" w:rsidR="00EE6BDE" w:rsidRDefault="00EE6BDE" w:rsidP="00F326E5">
      <w:pPr>
        <w:rPr>
          <w:rFonts w:ascii="Arial Black" w:hAnsi="Arial Black"/>
          <w:b/>
          <w:sz w:val="24"/>
          <w:szCs w:val="24"/>
        </w:rPr>
      </w:pPr>
    </w:p>
    <w:p w14:paraId="188AF957" w14:textId="14645329" w:rsidR="00743B05" w:rsidRDefault="00743B05" w:rsidP="00F326E5">
      <w:pPr>
        <w:rPr>
          <w:rFonts w:ascii="Arial Black" w:hAnsi="Arial Black"/>
          <w:b/>
          <w:sz w:val="24"/>
          <w:szCs w:val="24"/>
        </w:rPr>
      </w:pPr>
      <w:r>
        <w:rPr>
          <w:rFonts w:ascii="Arial Black" w:hAnsi="Arial Black"/>
          <w:b/>
          <w:sz w:val="24"/>
          <w:szCs w:val="24"/>
        </w:rPr>
        <w:t>12-29</w:t>
      </w:r>
    </w:p>
    <w:p w14:paraId="57BA6686" w14:textId="77777777" w:rsidR="00743B05" w:rsidRPr="00444233" w:rsidRDefault="00743B05" w:rsidP="00743B05">
      <w:pPr>
        <w:rPr>
          <w:rFonts w:ascii="Arial Black" w:hAnsi="Arial Black"/>
          <w:b/>
          <w:sz w:val="28"/>
          <w:szCs w:val="28"/>
        </w:rPr>
      </w:pPr>
      <w:r>
        <w:rPr>
          <w:rFonts w:ascii="Arial Black" w:hAnsi="Arial Black"/>
          <w:b/>
          <w:sz w:val="28"/>
          <w:szCs w:val="28"/>
        </w:rPr>
        <w:t xml:space="preserve">WA: ALCOHOL – FRAT - STUDENT DEAD – CAN SUE UNIV. </w:t>
      </w:r>
    </w:p>
    <w:p w14:paraId="4F9EEA30" w14:textId="0711D694" w:rsidR="00151EBE" w:rsidRDefault="00743B05" w:rsidP="00151EBE">
      <w:pPr>
        <w:pStyle w:val="NoSpacing"/>
        <w:rPr>
          <w:rFonts w:ascii="Times New Roman" w:hAnsi="Times New Roman"/>
          <w:sz w:val="24"/>
          <w:szCs w:val="24"/>
        </w:rPr>
      </w:pPr>
      <w:r w:rsidRPr="00151EBE">
        <w:rPr>
          <w:rFonts w:ascii="Times New Roman" w:hAnsi="Times New Roman"/>
          <w:sz w:val="24"/>
          <w:szCs w:val="24"/>
        </w:rPr>
        <w:t xml:space="preserve">On Jan. 21, 2025, in </w:t>
      </w:r>
      <w:r w:rsidRPr="00151EBE">
        <w:rPr>
          <w:rFonts w:ascii="Times New Roman" w:hAnsi="Times New Roman"/>
          <w:sz w:val="24"/>
          <w:szCs w:val="24"/>
          <w:u w:val="single"/>
        </w:rPr>
        <w:t xml:space="preserve">Hector Martinez and Jolayne Houtz, husband and wife and co-personal representatives of the Estate of Samuel H. Marinez v. Washington State University, Gamma Chi Chapter of Alpha Tau Omega Fraternity, et al., </w:t>
      </w:r>
      <w:r w:rsidRPr="00151EBE">
        <w:rPr>
          <w:rFonts w:ascii="Times New Roman" w:hAnsi="Times New Roman"/>
          <w:sz w:val="24"/>
          <w:szCs w:val="24"/>
        </w:rPr>
        <w:t xml:space="preserve">the Court of Appeals of Washington, Division 1 held (3 to 0) that the lawsuit should be reinstated against the University, and not just against the Gamma Chi fraternity.  The university can be sued because it has a “special relationship” with its recognized fraternal organizations – a similar legal doctrine to the duty of EMS when transporting a patient, or a jail holding a prisoner.  </w:t>
      </w:r>
      <w:hyperlink r:id="rId1977" w:history="1">
        <w:r w:rsidRPr="00151EBE">
          <w:rPr>
            <w:rStyle w:val="Hyperlink"/>
            <w:rFonts w:ascii="Times New Roman" w:hAnsi="Times New Roman"/>
            <w:sz w:val="24"/>
            <w:szCs w:val="24"/>
          </w:rPr>
          <w:t>https://cases.justia.com/washington/court-of-appeals-division-i/2025-83853-9.pdf?ts=1737494121</w:t>
        </w:r>
      </w:hyperlink>
      <w:r w:rsidRPr="00151EBE">
        <w:rPr>
          <w:rFonts w:ascii="Times New Roman" w:hAnsi="Times New Roman"/>
          <w:sz w:val="24"/>
          <w:szCs w:val="24"/>
        </w:rPr>
        <w:t xml:space="preserve"> </w:t>
      </w:r>
    </w:p>
    <w:p w14:paraId="07C1ECB5" w14:textId="77777777" w:rsidR="00151EBE" w:rsidRPr="00151EBE" w:rsidRDefault="00151EBE" w:rsidP="00151EBE">
      <w:pPr>
        <w:pStyle w:val="NoSpacing"/>
        <w:rPr>
          <w:rFonts w:ascii="Times New Roman" w:hAnsi="Times New Roman"/>
          <w:bCs/>
          <w:sz w:val="24"/>
          <w:szCs w:val="24"/>
        </w:rPr>
      </w:pPr>
    </w:p>
    <w:p w14:paraId="129DF7D2" w14:textId="77777777" w:rsidR="00743B05" w:rsidRPr="00151EBE" w:rsidRDefault="00743B05" w:rsidP="00743B05">
      <w:pPr>
        <w:rPr>
          <w:rFonts w:ascii="Times New Roman" w:hAnsi="Times New Roman"/>
          <w:bCs/>
          <w:sz w:val="24"/>
          <w:szCs w:val="24"/>
        </w:rPr>
      </w:pPr>
      <w:r w:rsidRPr="00151EBE">
        <w:rPr>
          <w:rFonts w:ascii="Times New Roman" w:hAnsi="Times New Roman"/>
          <w:sz w:val="24"/>
          <w:szCs w:val="24"/>
        </w:rPr>
        <w:t>The Court wrote:</w:t>
      </w:r>
    </w:p>
    <w:p w14:paraId="5138EAA9"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 xml:space="preserve">“Samuel ‘Sam’ Martinez died of acute alcohol poisoning in November 2019 following a hazing ritual at a fraternity house located near the Pullman campus of Washington State University (WSU). Sam’s estate representatives and parents Hector Martinez and Jolayne Houtz (collectively Estate) appeal summary judgment dismissal of their lawsuit against WSU. WSU contends that it </w:t>
      </w:r>
      <w:proofErr w:type="gramStart"/>
      <w:r w:rsidRPr="00151EBE">
        <w:rPr>
          <w:rFonts w:ascii="Times New Roman" w:hAnsi="Times New Roman"/>
          <w:sz w:val="24"/>
          <w:szCs w:val="24"/>
        </w:rPr>
        <w:t>owed</w:t>
      </w:r>
      <w:proofErr w:type="gramEnd"/>
      <w:r w:rsidRPr="00151EBE">
        <w:rPr>
          <w:rFonts w:ascii="Times New Roman" w:hAnsi="Times New Roman"/>
          <w:sz w:val="24"/>
          <w:szCs w:val="24"/>
        </w:rPr>
        <w:t xml:space="preserve"> no duty to protect Sam. Because WSU has a special</w:t>
      </w:r>
    </w:p>
    <w:p w14:paraId="0F8F3827"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relationship with its recognized fraternal organizations, we conclude that it owed a duty to use reasonable care to control the fraternity and protect Sam from the foreseeable harms of fraternal hazing and alcohol misuse. We reverse and remand.</w:t>
      </w:r>
    </w:p>
    <w:p w14:paraId="0469F315" w14:textId="77777777" w:rsidR="00743B05" w:rsidRPr="00151EBE" w:rsidRDefault="00743B05" w:rsidP="00743B05">
      <w:pPr>
        <w:rPr>
          <w:rFonts w:ascii="Times New Roman" w:hAnsi="Times New Roman"/>
          <w:bCs/>
          <w:sz w:val="24"/>
          <w:szCs w:val="24"/>
        </w:rPr>
      </w:pPr>
    </w:p>
    <w:p w14:paraId="6F9F27F8" w14:textId="77777777" w:rsidR="00743B05" w:rsidRPr="00151EBE" w:rsidRDefault="00743B05" w:rsidP="00743B05">
      <w:pPr>
        <w:rPr>
          <w:rFonts w:ascii="Times New Roman" w:hAnsi="Times New Roman"/>
          <w:bCs/>
          <w:sz w:val="24"/>
          <w:szCs w:val="24"/>
        </w:rPr>
      </w:pPr>
      <w:r w:rsidRPr="00151EBE">
        <w:rPr>
          <w:rFonts w:ascii="Times New Roman" w:hAnsi="Times New Roman"/>
          <w:sz w:val="24"/>
          <w:szCs w:val="24"/>
        </w:rPr>
        <w:tab/>
        <w:t>***</w:t>
      </w:r>
    </w:p>
    <w:p w14:paraId="47CD4FE7"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During the ritual [on Nov. 11, 2019] Sam drank straight from the bottle. After 30 to 45 minutes in the live-out house, the event moved to Gamma Chi’s chapter house, where the drinking continued. Sam ‘tried to shotgun a beer’ and drank ‘clear hard alcohol.’ He began ‘slurring his words’ and ‘lost coordination.’ After seeing Sam ‘getting visibly more intoxicated,’ Oswald ‘cut him off’ around 11:00 p.m., telling Sam, ‘Hey, let’s take a break for a little bit.’ Sam eventually passed out on a couch in Oswald’s room. ‘He was asleep</w:t>
      </w:r>
    </w:p>
    <w:p w14:paraId="2A7F1FAB"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 xml:space="preserve">for a while, woke back up, and was still visibly drunk.’ So, Oswald and another fraternity member carried Sam to the bathroom and tried to force him to vomit for 5 to 10 minutes. Their efforts failed. A few people then helped Oswald move Sam to the </w:t>
      </w:r>
      <w:proofErr w:type="gramStart"/>
      <w:r w:rsidRPr="00151EBE">
        <w:rPr>
          <w:rFonts w:ascii="Times New Roman" w:hAnsi="Times New Roman"/>
          <w:sz w:val="24"/>
          <w:szCs w:val="24"/>
        </w:rPr>
        <w:t>basement, ‘</w:t>
      </w:r>
      <w:proofErr w:type="gramEnd"/>
      <w:r w:rsidRPr="00151EBE">
        <w:rPr>
          <w:rFonts w:ascii="Times New Roman" w:hAnsi="Times New Roman"/>
          <w:sz w:val="24"/>
          <w:szCs w:val="24"/>
        </w:rPr>
        <w:t xml:space="preserve">where a variety of pledges were already asleep.’ They placed Sam on a couch, where he remained ‘for the rest of the night.’ Oswald said he checked on Sam ‘two to three </w:t>
      </w:r>
      <w:proofErr w:type="gramStart"/>
      <w:r w:rsidRPr="00151EBE">
        <w:rPr>
          <w:rFonts w:ascii="Times New Roman" w:hAnsi="Times New Roman"/>
          <w:sz w:val="24"/>
          <w:szCs w:val="24"/>
        </w:rPr>
        <w:t>times’</w:t>
      </w:r>
      <w:proofErr w:type="gramEnd"/>
      <w:r w:rsidRPr="00151EBE">
        <w:rPr>
          <w:rFonts w:ascii="Times New Roman" w:hAnsi="Times New Roman"/>
          <w:sz w:val="24"/>
          <w:szCs w:val="24"/>
        </w:rPr>
        <w:t xml:space="preserve"> before going to bed around 3:00 a.m. on November 12. Hours later at about 9:00 a.m., Gamma Chi member Soreano found Sam face down on the couch with </w:t>
      </w:r>
      <w:proofErr w:type="gramStart"/>
      <w:r w:rsidRPr="00151EBE">
        <w:rPr>
          <w:rFonts w:ascii="Times New Roman" w:hAnsi="Times New Roman"/>
          <w:sz w:val="24"/>
          <w:szCs w:val="24"/>
        </w:rPr>
        <w:t>vomit</w:t>
      </w:r>
      <w:proofErr w:type="gramEnd"/>
      <w:r w:rsidRPr="00151EBE">
        <w:rPr>
          <w:rFonts w:ascii="Times New Roman" w:hAnsi="Times New Roman"/>
          <w:sz w:val="24"/>
          <w:szCs w:val="24"/>
        </w:rPr>
        <w:t xml:space="preserve"> in his mouth and unresponsive. He called 911 and tried to resuscitate Sam. Paramedics arrived but ceased their efforts to resuscitate Sam soon after. The medical examiner determined Sam died from ‘acute ethanol intoxication’ at about 4:30 a.m. on November 12, 2019. His</w:t>
      </w:r>
    </w:p>
    <w:p w14:paraId="69EEB949"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femoral blood alcohol concentration measured 0.372. Sam had just turned 19 years old in October.”</w:t>
      </w:r>
    </w:p>
    <w:p w14:paraId="06472161" w14:textId="77777777" w:rsidR="00743B05" w:rsidRPr="00151EBE" w:rsidRDefault="00743B05" w:rsidP="00743B05">
      <w:pPr>
        <w:rPr>
          <w:rFonts w:ascii="Times New Roman" w:hAnsi="Times New Roman"/>
          <w:b/>
          <w:sz w:val="24"/>
          <w:szCs w:val="24"/>
        </w:rPr>
      </w:pPr>
    </w:p>
    <w:p w14:paraId="71D84361" w14:textId="57D37232" w:rsidR="00743B05" w:rsidRPr="00151EBE" w:rsidRDefault="00743B05" w:rsidP="00743B05">
      <w:pPr>
        <w:rPr>
          <w:rFonts w:ascii="Times New Roman" w:hAnsi="Times New Roman"/>
          <w:b/>
          <w:sz w:val="24"/>
          <w:szCs w:val="24"/>
        </w:rPr>
      </w:pPr>
      <w:r w:rsidRPr="00151EBE">
        <w:rPr>
          <w:rFonts w:ascii="Times New Roman" w:hAnsi="Times New Roman"/>
          <w:b/>
          <w:sz w:val="24"/>
          <w:szCs w:val="24"/>
        </w:rPr>
        <w:t>Legal Lesson Learned: Fire &amp; EMS responders are all too familiar with deaths by students in fraternities and elsewhere from acute ethanol intoxication.</w:t>
      </w:r>
      <w:r w:rsidR="00151EBE">
        <w:rPr>
          <w:rFonts w:ascii="Times New Roman" w:hAnsi="Times New Roman"/>
          <w:b/>
          <w:sz w:val="24"/>
          <w:szCs w:val="24"/>
        </w:rPr>
        <w:t xml:space="preserve"> Perhaps this decision will “get the attention” of </w:t>
      </w:r>
      <w:proofErr w:type="gramStart"/>
      <w:r w:rsidR="00CC049C">
        <w:rPr>
          <w:rFonts w:ascii="Times New Roman" w:hAnsi="Times New Roman"/>
          <w:b/>
          <w:sz w:val="24"/>
          <w:szCs w:val="24"/>
        </w:rPr>
        <w:t>University</w:t>
      </w:r>
      <w:proofErr w:type="gramEnd"/>
      <w:r w:rsidR="00CC049C">
        <w:rPr>
          <w:rFonts w:ascii="Times New Roman" w:hAnsi="Times New Roman"/>
          <w:b/>
          <w:sz w:val="24"/>
          <w:szCs w:val="24"/>
        </w:rPr>
        <w:t xml:space="preserve"> officials who </w:t>
      </w:r>
      <w:r w:rsidR="00896888">
        <w:rPr>
          <w:rFonts w:ascii="Times New Roman" w:hAnsi="Times New Roman"/>
          <w:b/>
          <w:sz w:val="24"/>
          <w:szCs w:val="24"/>
        </w:rPr>
        <w:t xml:space="preserve">have responsibilities </w:t>
      </w:r>
      <w:r w:rsidR="00275738">
        <w:rPr>
          <w:rFonts w:ascii="Times New Roman" w:hAnsi="Times New Roman"/>
          <w:b/>
          <w:sz w:val="24"/>
          <w:szCs w:val="24"/>
        </w:rPr>
        <w:t xml:space="preserve">concerning </w:t>
      </w:r>
      <w:r w:rsidR="00CC049C">
        <w:rPr>
          <w:rFonts w:ascii="Times New Roman" w:hAnsi="Times New Roman"/>
          <w:b/>
          <w:sz w:val="24"/>
          <w:szCs w:val="24"/>
        </w:rPr>
        <w:t xml:space="preserve">fraternities. </w:t>
      </w:r>
    </w:p>
    <w:p w14:paraId="61ECE281" w14:textId="77777777" w:rsidR="00743B05" w:rsidRDefault="00743B05" w:rsidP="00F326E5">
      <w:pPr>
        <w:rPr>
          <w:rFonts w:ascii="Arial Black" w:hAnsi="Arial Black"/>
          <w:b/>
          <w:sz w:val="24"/>
          <w:szCs w:val="24"/>
        </w:rPr>
      </w:pPr>
    </w:p>
    <w:p w14:paraId="56C1FBB0" w14:textId="7C074363" w:rsidR="00BF78AE" w:rsidRDefault="00BF78AE" w:rsidP="00F326E5">
      <w:pPr>
        <w:rPr>
          <w:rFonts w:ascii="Arial Black" w:hAnsi="Arial Black"/>
          <w:b/>
          <w:sz w:val="24"/>
          <w:szCs w:val="24"/>
        </w:rPr>
      </w:pPr>
      <w:r>
        <w:rPr>
          <w:rFonts w:ascii="Arial Black" w:hAnsi="Arial Black"/>
          <w:b/>
          <w:sz w:val="24"/>
          <w:szCs w:val="24"/>
        </w:rPr>
        <w:t>12-28</w:t>
      </w:r>
    </w:p>
    <w:p w14:paraId="3C188998" w14:textId="77777777" w:rsidR="00BF78AE" w:rsidRPr="00E17720" w:rsidRDefault="00BF78AE" w:rsidP="00BF78AE">
      <w:pPr>
        <w:pStyle w:val="NoSpacing"/>
        <w:rPr>
          <w:rFonts w:ascii="Arial Black" w:hAnsi="Arial Black"/>
          <w:b/>
          <w:sz w:val="28"/>
          <w:szCs w:val="28"/>
        </w:rPr>
      </w:pPr>
      <w:r>
        <w:rPr>
          <w:rFonts w:ascii="Arial Black" w:hAnsi="Arial Black"/>
          <w:b/>
          <w:sz w:val="28"/>
          <w:szCs w:val="28"/>
        </w:rPr>
        <w:t>MT: NEW RANDOM POLICY – MUST BARGAIN</w:t>
      </w:r>
    </w:p>
    <w:p w14:paraId="14635188" w14:textId="77777777" w:rsidR="00BF78AE" w:rsidRDefault="00BF78AE" w:rsidP="00BF78AE">
      <w:pPr>
        <w:pStyle w:val="NoSpacing"/>
        <w:rPr>
          <w:b/>
        </w:rPr>
      </w:pPr>
      <w:r>
        <w:rPr>
          <w:b/>
        </w:rPr>
        <w:t xml:space="preserve"> </w:t>
      </w:r>
    </w:p>
    <w:p w14:paraId="470B9448" w14:textId="0927FC7E" w:rsidR="0026092A" w:rsidRPr="0026092A" w:rsidRDefault="0026092A" w:rsidP="00BF78AE">
      <w:pPr>
        <w:pStyle w:val="NoSpacing"/>
        <w:rPr>
          <w:rFonts w:ascii="Times New Roman" w:hAnsi="Times New Roman"/>
          <w:sz w:val="24"/>
          <w:szCs w:val="24"/>
        </w:rPr>
      </w:pPr>
      <w:r w:rsidRPr="0026092A">
        <w:rPr>
          <w:rFonts w:ascii="Times New Roman" w:hAnsi="Times New Roman"/>
          <w:sz w:val="24"/>
          <w:szCs w:val="24"/>
        </w:rPr>
        <w:t xml:space="preserve">On Dec. 10, 2024, in </w:t>
      </w:r>
      <w:r w:rsidRPr="0026092A">
        <w:rPr>
          <w:rFonts w:ascii="Times New Roman" w:hAnsi="Times New Roman"/>
          <w:sz w:val="24"/>
          <w:szCs w:val="24"/>
          <w:u w:val="single"/>
        </w:rPr>
        <w:t xml:space="preserve">City of Great Falls v. Int'l </w:t>
      </w:r>
      <w:proofErr w:type="spellStart"/>
      <w:r w:rsidRPr="0026092A">
        <w:rPr>
          <w:rFonts w:ascii="Times New Roman" w:hAnsi="Times New Roman"/>
          <w:sz w:val="24"/>
          <w:szCs w:val="24"/>
          <w:u w:val="single"/>
        </w:rPr>
        <w:t>Ass'n</w:t>
      </w:r>
      <w:proofErr w:type="spellEnd"/>
      <w:r w:rsidRPr="0026092A">
        <w:rPr>
          <w:rFonts w:ascii="Times New Roman" w:hAnsi="Times New Roman"/>
          <w:sz w:val="24"/>
          <w:szCs w:val="24"/>
          <w:u w:val="single"/>
        </w:rPr>
        <w:t xml:space="preserve"> of Fire Fighters, Local #8</w:t>
      </w:r>
      <w:r w:rsidRPr="0026092A">
        <w:rPr>
          <w:rFonts w:ascii="Times New Roman" w:hAnsi="Times New Roman"/>
          <w:sz w:val="24"/>
          <w:szCs w:val="24"/>
        </w:rPr>
        <w:t xml:space="preserve">, the Supreme Court of Montana held (5 to 0) that the city failed to collectively bargain the new policy and failed to exhaust its administrative remedies. The pre-2019 collectively bargained random drug testing policy applied only to employees with CDLs [commercial driver licenses] and specific “safety-sensitive positions.”   The new policy included all city drivers of city vehicles, including firefighters. Multiple city unions filed unfair labor practice charges with the Montana Board of Personnel Appeals (MBPA), and on October 22, </w:t>
      </w:r>
      <w:proofErr w:type="gramStart"/>
      <w:r w:rsidRPr="0026092A">
        <w:rPr>
          <w:rFonts w:ascii="Times New Roman" w:hAnsi="Times New Roman"/>
          <w:sz w:val="24"/>
          <w:szCs w:val="24"/>
        </w:rPr>
        <w:t>2020</w:t>
      </w:r>
      <w:proofErr w:type="gramEnd"/>
      <w:r w:rsidRPr="0026092A">
        <w:rPr>
          <w:rFonts w:ascii="Times New Roman" w:hAnsi="Times New Roman"/>
          <w:sz w:val="24"/>
          <w:szCs w:val="24"/>
        </w:rPr>
        <w:t xml:space="preserve"> the hearing officer found for the unions. The city did not appeal to the MBPA, but instead on November 20, 2020, petitioned for district court judicial review. The District Court judge denied the petition since the city failed to exhaust administrative rights. </w:t>
      </w:r>
      <w:hyperlink r:id="rId1978" w:history="1">
        <w:r w:rsidRPr="0026092A">
          <w:rPr>
            <w:rStyle w:val="Hyperlink"/>
            <w:rFonts w:ascii="Times New Roman" w:hAnsi="Times New Roman"/>
            <w:sz w:val="24"/>
            <w:szCs w:val="24"/>
          </w:rPr>
          <w:t>https://casetext.com/case/city-of-great-falls-v-intl-assn-of-fire-fighters-loca</w:t>
        </w:r>
      </w:hyperlink>
    </w:p>
    <w:p w14:paraId="37F1554E" w14:textId="77777777" w:rsidR="0026092A" w:rsidRPr="0026092A" w:rsidRDefault="0026092A" w:rsidP="00BF78AE">
      <w:pPr>
        <w:pStyle w:val="NoSpacing"/>
        <w:rPr>
          <w:rFonts w:ascii="Times New Roman" w:hAnsi="Times New Roman"/>
          <w:sz w:val="24"/>
          <w:szCs w:val="24"/>
        </w:rPr>
      </w:pPr>
    </w:p>
    <w:p w14:paraId="413B828E" w14:textId="014F1AB3" w:rsidR="00BF78AE" w:rsidRPr="005A220C" w:rsidRDefault="00BF78AE" w:rsidP="00BF78AE">
      <w:pPr>
        <w:pStyle w:val="NoSpacing"/>
        <w:rPr>
          <w:rFonts w:ascii="Times New Roman" w:hAnsi="Times New Roman"/>
          <w:sz w:val="24"/>
          <w:szCs w:val="24"/>
        </w:rPr>
      </w:pPr>
      <w:r w:rsidRPr="005A220C">
        <w:rPr>
          <w:rFonts w:ascii="Times New Roman" w:hAnsi="Times New Roman"/>
          <w:sz w:val="24"/>
          <w:szCs w:val="24"/>
        </w:rPr>
        <w:t xml:space="preserve">The </w:t>
      </w:r>
      <w:r w:rsidR="0026092A">
        <w:rPr>
          <w:rFonts w:ascii="Times New Roman" w:hAnsi="Times New Roman"/>
          <w:sz w:val="24"/>
          <w:szCs w:val="24"/>
        </w:rPr>
        <w:t xml:space="preserve">MT </w:t>
      </w:r>
      <w:r w:rsidRPr="005A220C">
        <w:rPr>
          <w:rFonts w:ascii="Times New Roman" w:hAnsi="Times New Roman"/>
          <w:sz w:val="24"/>
          <w:szCs w:val="24"/>
        </w:rPr>
        <w:t>Supreme Court wrote:</w:t>
      </w:r>
    </w:p>
    <w:p w14:paraId="230C6B9D" w14:textId="77777777" w:rsidR="00BF78AE" w:rsidRPr="005A220C" w:rsidRDefault="00BF78AE" w:rsidP="00BF78AE">
      <w:pPr>
        <w:pStyle w:val="NoSpacing"/>
        <w:rPr>
          <w:rFonts w:ascii="Times New Roman" w:hAnsi="Times New Roman"/>
          <w:sz w:val="24"/>
          <w:szCs w:val="24"/>
        </w:rPr>
      </w:pPr>
    </w:p>
    <w:p w14:paraId="2E891A56" w14:textId="77777777" w:rsidR="00BF78AE" w:rsidRPr="005A220C" w:rsidRDefault="00BF78AE" w:rsidP="00BF78AE">
      <w:pPr>
        <w:pStyle w:val="NoSpacing"/>
        <w:ind w:left="720"/>
        <w:rPr>
          <w:rFonts w:ascii="Times New Roman" w:hAnsi="Times New Roman"/>
          <w:sz w:val="24"/>
          <w:szCs w:val="24"/>
        </w:rPr>
      </w:pPr>
      <w:r w:rsidRPr="005A220C">
        <w:rPr>
          <w:rFonts w:ascii="Times New Roman" w:hAnsi="Times New Roman"/>
          <w:sz w:val="24"/>
          <w:szCs w:val="24"/>
        </w:rPr>
        <w:t xml:space="preserve">“We must thus consider whether the District Court correctly concluded that the October 2020 hearing examiner's decision and order was not eligible for judicial review under </w:t>
      </w:r>
      <w:hyperlink r:id="rId1979" w:history="1">
        <w:r w:rsidRPr="005A220C">
          <w:rPr>
            <w:rStyle w:val="Hyperlink"/>
            <w:rFonts w:ascii="Times New Roman" w:hAnsi="Times New Roman"/>
            <w:sz w:val="24"/>
            <w:szCs w:val="24"/>
          </w:rPr>
          <w:t>§ 2-4-702(1)(a), MCA</w:t>
        </w:r>
      </w:hyperlink>
      <w:r w:rsidRPr="005A220C">
        <w:rPr>
          <w:rFonts w:ascii="Times New Roman" w:hAnsi="Times New Roman"/>
          <w:sz w:val="24"/>
          <w:szCs w:val="24"/>
        </w:rPr>
        <w:t xml:space="preserve">, due to the City's failure to exhaust the administrative ‘exceptions’ and final agency review remedy provided by </w:t>
      </w:r>
      <w:hyperlink r:id="rId1980" w:history="1">
        <w:r w:rsidRPr="005A220C">
          <w:rPr>
            <w:rStyle w:val="Hyperlink"/>
            <w:rFonts w:ascii="Times New Roman" w:hAnsi="Times New Roman"/>
            <w:sz w:val="24"/>
            <w:szCs w:val="24"/>
          </w:rPr>
          <w:t>§§ 39-31-406(6)</w:t>
        </w:r>
      </w:hyperlink>
      <w:r w:rsidRPr="005A220C">
        <w:rPr>
          <w:rFonts w:ascii="Times New Roman" w:hAnsi="Times New Roman"/>
          <w:sz w:val="24"/>
          <w:szCs w:val="24"/>
        </w:rPr>
        <w:t xml:space="preserve">, </w:t>
      </w:r>
      <w:hyperlink r:id="rId1981" w:history="1">
        <w:r w:rsidRPr="005A220C">
          <w:rPr>
            <w:rStyle w:val="Hyperlink"/>
            <w:rFonts w:ascii="Times New Roman" w:hAnsi="Times New Roman"/>
            <w:sz w:val="24"/>
            <w:szCs w:val="24"/>
          </w:rPr>
          <w:t>2-4-621(1)</w:t>
        </w:r>
      </w:hyperlink>
      <w:r w:rsidRPr="005A220C">
        <w:rPr>
          <w:rFonts w:ascii="Times New Roman" w:hAnsi="Times New Roman"/>
          <w:sz w:val="24"/>
          <w:szCs w:val="24"/>
        </w:rPr>
        <w:t xml:space="preserve">-(3), and -623(1)(a), MCA. *** We hold that the District Court correctly concluded that the hearing examiner's October 2020 proposed agency/MBPA decision and order was not eligible for judicial review as a preliminary order under </w:t>
      </w:r>
      <w:hyperlink r:id="rId1982" w:history="1">
        <w:r w:rsidRPr="005A220C">
          <w:rPr>
            <w:rStyle w:val="Hyperlink"/>
            <w:rFonts w:ascii="Times New Roman" w:hAnsi="Times New Roman"/>
            <w:sz w:val="24"/>
            <w:szCs w:val="24"/>
          </w:rPr>
          <w:t>§ 2-4-701, MCA.</w:t>
        </w:r>
      </w:hyperlink>
      <w:r w:rsidRPr="005A220C">
        <w:rPr>
          <w:rFonts w:ascii="Times New Roman" w:hAnsi="Times New Roman"/>
          <w:sz w:val="24"/>
          <w:szCs w:val="24"/>
        </w:rPr>
        <w:t xml:space="preserve"> We hold further that the District Court also correctly concluded that the resulting October 2020 final agency/MBPA decision and order was not eligible for judicial review under </w:t>
      </w:r>
      <w:hyperlink r:id="rId1983" w:history="1">
        <w:r w:rsidRPr="005A220C">
          <w:rPr>
            <w:rStyle w:val="Hyperlink"/>
            <w:rFonts w:ascii="Times New Roman" w:hAnsi="Times New Roman"/>
            <w:sz w:val="24"/>
            <w:szCs w:val="24"/>
          </w:rPr>
          <w:t>§ 2-4-702(1)(a), MCA</w:t>
        </w:r>
      </w:hyperlink>
      <w:r w:rsidRPr="005A220C">
        <w:rPr>
          <w:rFonts w:ascii="Times New Roman" w:hAnsi="Times New Roman"/>
          <w:sz w:val="24"/>
          <w:szCs w:val="24"/>
        </w:rPr>
        <w:t xml:space="preserve">, due to the City's failure to exhaust the ‘exceptions’ and final agency review remedy available under </w:t>
      </w:r>
      <w:hyperlink r:id="rId1984" w:history="1">
        <w:r w:rsidRPr="005A220C">
          <w:rPr>
            <w:rStyle w:val="Hyperlink"/>
            <w:rFonts w:ascii="Times New Roman" w:hAnsi="Times New Roman"/>
            <w:sz w:val="24"/>
            <w:szCs w:val="24"/>
          </w:rPr>
          <w:t>§§ 39-31-406(6)</w:t>
        </w:r>
      </w:hyperlink>
      <w:r w:rsidRPr="005A220C">
        <w:rPr>
          <w:rFonts w:ascii="Times New Roman" w:hAnsi="Times New Roman"/>
          <w:sz w:val="24"/>
          <w:szCs w:val="24"/>
        </w:rPr>
        <w:t xml:space="preserve">, </w:t>
      </w:r>
      <w:hyperlink r:id="rId1985" w:history="1">
        <w:r w:rsidRPr="005A220C">
          <w:rPr>
            <w:rStyle w:val="Hyperlink"/>
            <w:rFonts w:ascii="Times New Roman" w:hAnsi="Times New Roman"/>
            <w:sz w:val="24"/>
            <w:szCs w:val="24"/>
          </w:rPr>
          <w:t>2-4-621(1)</w:t>
        </w:r>
      </w:hyperlink>
      <w:r w:rsidRPr="005A220C">
        <w:rPr>
          <w:rFonts w:ascii="Times New Roman" w:hAnsi="Times New Roman"/>
          <w:sz w:val="24"/>
          <w:szCs w:val="24"/>
        </w:rPr>
        <w:t>-(3), and -623(1)(a), MCA. The District Court's 2022 order and judgment denying the City's petition for judicial review of the October 2020 MBPA hearing examiner decision and order is therefore AFFIRMED.”</w:t>
      </w:r>
    </w:p>
    <w:p w14:paraId="6C12D886" w14:textId="0D77E60D" w:rsidR="00BF78AE" w:rsidRDefault="00BF78AE" w:rsidP="0026092A">
      <w:pPr>
        <w:pStyle w:val="NoSpacing"/>
        <w:ind w:left="720"/>
      </w:pPr>
      <w:r w:rsidRPr="005A220C">
        <w:rPr>
          <w:rFonts w:ascii="Times New Roman" w:hAnsi="Times New Roman"/>
          <w:sz w:val="24"/>
          <w:szCs w:val="24"/>
        </w:rPr>
        <w:t xml:space="preserve"> </w:t>
      </w:r>
    </w:p>
    <w:p w14:paraId="5A0B81C0" w14:textId="77777777" w:rsidR="003923C6" w:rsidRPr="003923C6" w:rsidRDefault="003923C6" w:rsidP="003923C6">
      <w:pPr>
        <w:pStyle w:val="NoSpacing"/>
        <w:rPr>
          <w:rFonts w:ascii="Times New Roman" w:hAnsi="Times New Roman"/>
          <w:bCs/>
          <w:sz w:val="24"/>
          <w:szCs w:val="24"/>
        </w:rPr>
      </w:pPr>
      <w:r w:rsidRPr="003923C6">
        <w:rPr>
          <w:rFonts w:ascii="Times New Roman" w:hAnsi="Times New Roman"/>
          <w:sz w:val="24"/>
          <w:szCs w:val="24"/>
        </w:rPr>
        <w:t>HOLDING:</w:t>
      </w:r>
    </w:p>
    <w:p w14:paraId="067D8DC0" w14:textId="77777777" w:rsidR="003923C6" w:rsidRPr="003923C6" w:rsidRDefault="003923C6" w:rsidP="003923C6">
      <w:pPr>
        <w:pStyle w:val="NoSpacing"/>
        <w:rPr>
          <w:rFonts w:ascii="Times New Roman" w:hAnsi="Times New Roman"/>
          <w:bCs/>
          <w:sz w:val="24"/>
          <w:szCs w:val="24"/>
        </w:rPr>
      </w:pPr>
    </w:p>
    <w:p w14:paraId="19B3C0EA" w14:textId="77777777" w:rsidR="003923C6" w:rsidRPr="003923C6" w:rsidRDefault="003923C6" w:rsidP="003923C6">
      <w:pPr>
        <w:pStyle w:val="NoSpacing"/>
        <w:ind w:left="720"/>
        <w:rPr>
          <w:rFonts w:ascii="Times New Roman" w:hAnsi="Times New Roman"/>
          <w:bCs/>
          <w:sz w:val="24"/>
          <w:szCs w:val="24"/>
        </w:rPr>
      </w:pPr>
      <w:r w:rsidRPr="003923C6">
        <w:rPr>
          <w:rFonts w:ascii="Times New Roman" w:hAnsi="Times New Roman"/>
          <w:sz w:val="24"/>
          <w:szCs w:val="24"/>
        </w:rPr>
        <w:t xml:space="preserve">“We hold that the District Court correctly concluded that the hearing examiner's October 2020 proposed agency/MBPA decision and order was not eligible for judicial review as a preliminary order under </w:t>
      </w:r>
      <w:hyperlink r:id="rId1986" w:history="1">
        <w:r w:rsidRPr="003923C6">
          <w:rPr>
            <w:rStyle w:val="Hyperlink"/>
            <w:rFonts w:ascii="Times New Roman" w:hAnsi="Times New Roman"/>
            <w:sz w:val="24"/>
            <w:szCs w:val="24"/>
          </w:rPr>
          <w:t>§ 2-4-701, MCA.</w:t>
        </w:r>
      </w:hyperlink>
      <w:r w:rsidRPr="003923C6">
        <w:rPr>
          <w:rFonts w:ascii="Times New Roman" w:hAnsi="Times New Roman"/>
          <w:sz w:val="24"/>
          <w:szCs w:val="24"/>
        </w:rPr>
        <w:t>”</w:t>
      </w:r>
    </w:p>
    <w:p w14:paraId="1FFC9366" w14:textId="77777777" w:rsidR="003923C6" w:rsidRPr="003923C6" w:rsidRDefault="003923C6" w:rsidP="003923C6">
      <w:pPr>
        <w:pStyle w:val="NoSpacing"/>
        <w:ind w:left="720"/>
        <w:rPr>
          <w:rFonts w:ascii="Times New Roman" w:hAnsi="Times New Roman"/>
          <w:bCs/>
          <w:sz w:val="24"/>
          <w:szCs w:val="24"/>
        </w:rPr>
      </w:pPr>
    </w:p>
    <w:p w14:paraId="37AF60FC" w14:textId="77777777" w:rsidR="003923C6" w:rsidRPr="003923C6" w:rsidRDefault="003923C6" w:rsidP="003923C6">
      <w:pPr>
        <w:pStyle w:val="NoSpacing"/>
        <w:rPr>
          <w:rFonts w:ascii="Times New Roman" w:hAnsi="Times New Roman"/>
          <w:b/>
          <w:sz w:val="24"/>
          <w:szCs w:val="24"/>
        </w:rPr>
      </w:pPr>
      <w:r w:rsidRPr="003923C6">
        <w:rPr>
          <w:rFonts w:ascii="Times New Roman" w:hAnsi="Times New Roman"/>
          <w:b/>
          <w:sz w:val="24"/>
          <w:szCs w:val="24"/>
        </w:rPr>
        <w:t xml:space="preserve">Legal Lesson Learned:  A collectively bargained random drug testing policy can be modified through additional collective bargaining. </w:t>
      </w:r>
    </w:p>
    <w:p w14:paraId="188186AE" w14:textId="77777777" w:rsidR="00BF78AE" w:rsidRDefault="00BF78AE" w:rsidP="00F326E5">
      <w:pPr>
        <w:rPr>
          <w:rFonts w:ascii="Arial Black" w:hAnsi="Arial Black"/>
          <w:b/>
          <w:sz w:val="24"/>
          <w:szCs w:val="24"/>
        </w:rPr>
      </w:pPr>
    </w:p>
    <w:p w14:paraId="63CE13DA" w14:textId="77777777" w:rsidR="00BF78AE" w:rsidRDefault="00BF78AE" w:rsidP="00F326E5">
      <w:pPr>
        <w:rPr>
          <w:rFonts w:ascii="Arial Black" w:hAnsi="Arial Black"/>
          <w:b/>
          <w:sz w:val="24"/>
          <w:szCs w:val="24"/>
        </w:rPr>
      </w:pPr>
    </w:p>
    <w:p w14:paraId="6D4882FD" w14:textId="77777777" w:rsidR="00BF78AE" w:rsidRDefault="00BF78AE" w:rsidP="00F326E5">
      <w:pPr>
        <w:rPr>
          <w:rFonts w:ascii="Arial Black" w:hAnsi="Arial Black"/>
          <w:b/>
          <w:sz w:val="24"/>
          <w:szCs w:val="24"/>
        </w:rPr>
      </w:pPr>
    </w:p>
    <w:p w14:paraId="0F8553BF" w14:textId="73DC80DD" w:rsidR="00081AD1" w:rsidRDefault="00081AD1" w:rsidP="00F326E5">
      <w:pPr>
        <w:rPr>
          <w:rFonts w:ascii="Arial Black" w:hAnsi="Arial Black"/>
          <w:b/>
          <w:sz w:val="24"/>
          <w:szCs w:val="24"/>
        </w:rPr>
      </w:pPr>
      <w:r>
        <w:rPr>
          <w:rFonts w:ascii="Arial Black" w:hAnsi="Arial Black"/>
          <w:b/>
          <w:sz w:val="24"/>
          <w:szCs w:val="24"/>
        </w:rPr>
        <w:t>12-27</w:t>
      </w:r>
    </w:p>
    <w:p w14:paraId="49253D6F" w14:textId="77777777" w:rsidR="003378B6" w:rsidRPr="00340F44" w:rsidRDefault="003378B6" w:rsidP="003378B6">
      <w:pPr>
        <w:rPr>
          <w:rFonts w:ascii="Arial Black" w:hAnsi="Arial Black"/>
          <w:b/>
          <w:bCs/>
          <w:sz w:val="28"/>
        </w:rPr>
      </w:pPr>
      <w:r>
        <w:rPr>
          <w:rFonts w:ascii="Arial Black" w:hAnsi="Arial Black"/>
          <w:b/>
          <w:bCs/>
          <w:sz w:val="28"/>
        </w:rPr>
        <w:t>IN: FF DRUG TEST - MARIJUANA – ADMIN. INVEST. STOPPED, MIGHT NOT HAVE USED – CANNOT SUE CITY</w:t>
      </w:r>
    </w:p>
    <w:p w14:paraId="34B2A16B" w14:textId="77777777" w:rsidR="003378B6" w:rsidRPr="003378B6" w:rsidRDefault="003378B6" w:rsidP="003378B6">
      <w:pPr>
        <w:rPr>
          <w:rFonts w:ascii="Times New Roman" w:hAnsi="Times New Roman"/>
          <w:sz w:val="24"/>
          <w:szCs w:val="24"/>
        </w:rPr>
      </w:pPr>
      <w:r w:rsidRPr="003378B6">
        <w:rPr>
          <w:rFonts w:ascii="Times New Roman" w:hAnsi="Times New Roman"/>
          <w:sz w:val="24"/>
          <w:szCs w:val="24"/>
        </w:rPr>
        <w:t xml:space="preserve">On Aug. 8, 2024, in </w:t>
      </w:r>
      <w:r w:rsidRPr="003378B6">
        <w:rPr>
          <w:rFonts w:ascii="Times New Roman" w:hAnsi="Times New Roman"/>
          <w:sz w:val="24"/>
          <w:szCs w:val="24"/>
          <w:u w:val="single"/>
        </w:rPr>
        <w:t xml:space="preserve">Paul Russell v. John Doe, M.D., John Doe Hospital, John Doe Retracted Network, Inc. d/b/a John Doe Redacted Health, Omega Laboratories Inc., and City of East Chicago, </w:t>
      </w:r>
      <w:r w:rsidRPr="003378B6">
        <w:rPr>
          <w:rFonts w:ascii="Times New Roman" w:hAnsi="Times New Roman"/>
          <w:sz w:val="24"/>
          <w:szCs w:val="24"/>
        </w:rPr>
        <w:t xml:space="preserve">the Court of Appeals of Indiana held (3 to 0) that trial court properly dismissed his complaint against the City of East Chicago. The Court wrote: “In his complaint, Russell made clear that he was ‘not alleging that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wrongly or negligently initiated an administrative process’ but that ‘there came a point in [that] administrative process when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knew or had reason to know that [Russell] had not ingested marijuana.’ Appellant's App. Vol. 2, p. 40; </w:t>
      </w:r>
      <w:r w:rsidRPr="003378B6">
        <w:rPr>
          <w:rFonts w:ascii="Times New Roman" w:hAnsi="Times New Roman"/>
          <w:i/>
          <w:iCs/>
          <w:sz w:val="24"/>
          <w:szCs w:val="24"/>
        </w:rPr>
        <w:t>see also</w:t>
      </w:r>
      <w:r w:rsidRPr="003378B6">
        <w:rPr>
          <w:rFonts w:ascii="Times New Roman" w:hAnsi="Times New Roman"/>
          <w:sz w:val="24"/>
          <w:szCs w:val="24"/>
        </w:rPr>
        <w:t xml:space="preserve"> Appellant's Br. at 45. Russell thus alleged that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had caused him monetary harm by continuing with the administrative process after having received the conflicting evidence. *** Indiana Code section 34-13-3-3(a)(6) provides that a governmental entity "is not liable if a loss </w:t>
      </w:r>
      <w:r w:rsidRPr="003378B6">
        <w:rPr>
          <w:rFonts w:ascii="Times New Roman" w:hAnsi="Times New Roman"/>
          <w:i/>
          <w:iCs/>
          <w:sz w:val="24"/>
          <w:szCs w:val="24"/>
        </w:rPr>
        <w:t>results from</w:t>
      </w:r>
      <w:r w:rsidRPr="003378B6">
        <w:rPr>
          <w:rFonts w:ascii="Times New Roman" w:hAnsi="Times New Roman"/>
          <w:sz w:val="24"/>
          <w:szCs w:val="24"/>
        </w:rPr>
        <w:t xml:space="preserve"> . . . [t]</w:t>
      </w:r>
      <w:proofErr w:type="gramStart"/>
      <w:r w:rsidRPr="003378B6">
        <w:rPr>
          <w:rFonts w:ascii="Times New Roman" w:hAnsi="Times New Roman"/>
          <w:sz w:val="24"/>
          <w:szCs w:val="24"/>
        </w:rPr>
        <w:t>he</w:t>
      </w:r>
      <w:proofErr w:type="gramEnd"/>
      <w:r w:rsidRPr="003378B6">
        <w:rPr>
          <w:rFonts w:ascii="Times New Roman" w:hAnsi="Times New Roman"/>
          <w:sz w:val="24"/>
          <w:szCs w:val="24"/>
        </w:rPr>
        <w:t xml:space="preserve"> initiation of a judicial or an administrative proceeding." (Emphasis added.) We think that language is clear: a governmental entity is not liable for any loss that arises from the initiation of an administrative proceeding or "results from" the initiation of that proceeding. A loss plainly "results from" the initiation of a proceeding if it occurred </w:t>
      </w:r>
      <w:r w:rsidRPr="003378B6">
        <w:rPr>
          <w:rFonts w:ascii="Times New Roman" w:hAnsi="Times New Roman"/>
          <w:i/>
          <w:iCs/>
          <w:sz w:val="24"/>
          <w:szCs w:val="24"/>
        </w:rPr>
        <w:t>during</w:t>
      </w:r>
      <w:r w:rsidRPr="003378B6">
        <w:rPr>
          <w:rFonts w:ascii="Times New Roman" w:hAnsi="Times New Roman"/>
          <w:sz w:val="24"/>
          <w:szCs w:val="24"/>
        </w:rPr>
        <w:t xml:space="preserve"> the proceeding and </w:t>
      </w:r>
      <w:r w:rsidRPr="003378B6">
        <w:rPr>
          <w:rFonts w:ascii="Times New Roman" w:hAnsi="Times New Roman"/>
          <w:i/>
          <w:iCs/>
          <w:sz w:val="24"/>
          <w:szCs w:val="24"/>
        </w:rPr>
        <w:t>after</w:t>
      </w:r>
      <w:r w:rsidRPr="003378B6">
        <w:rPr>
          <w:rFonts w:ascii="Times New Roman" w:hAnsi="Times New Roman"/>
          <w:sz w:val="24"/>
          <w:szCs w:val="24"/>
        </w:rPr>
        <w:t xml:space="preserve"> its initiation.” </w:t>
      </w:r>
      <w:hyperlink r:id="rId1987" w:history="1">
        <w:r w:rsidRPr="003378B6">
          <w:rPr>
            <w:rStyle w:val="Hyperlink"/>
            <w:rFonts w:ascii="Times New Roman" w:hAnsi="Times New Roman"/>
            <w:sz w:val="24"/>
            <w:szCs w:val="24"/>
          </w:rPr>
          <w:t>https://caselaw.findlaw.com/court/in-court-of-appeals/116468399.html</w:t>
        </w:r>
      </w:hyperlink>
      <w:r w:rsidRPr="003378B6">
        <w:rPr>
          <w:rFonts w:ascii="Times New Roman" w:hAnsi="Times New Roman"/>
          <w:sz w:val="24"/>
          <w:szCs w:val="24"/>
        </w:rPr>
        <w:t xml:space="preserve"> </w:t>
      </w:r>
    </w:p>
    <w:p w14:paraId="43E75465" w14:textId="77777777" w:rsidR="003378B6" w:rsidRPr="003378B6" w:rsidRDefault="003378B6" w:rsidP="003378B6">
      <w:pPr>
        <w:rPr>
          <w:rFonts w:ascii="Times New Roman" w:hAnsi="Times New Roman"/>
          <w:sz w:val="24"/>
          <w:szCs w:val="24"/>
        </w:rPr>
      </w:pPr>
      <w:r w:rsidRPr="003378B6">
        <w:rPr>
          <w:rFonts w:ascii="Times New Roman" w:hAnsi="Times New Roman"/>
          <w:sz w:val="24"/>
          <w:szCs w:val="24"/>
        </w:rPr>
        <w:t>THE COURT HELD:</w:t>
      </w:r>
    </w:p>
    <w:p w14:paraId="1C9D8E52"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 xml:space="preserve">“Russell's claims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are expressly premised on information obtained by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after it had initiated the administrative proceedings against him and while those administrative proceedings were ongoing. Russell's claims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therefore seek to hold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liable for losses that ‘result from’ the City's initiation of the administrative proceedings against Russell.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is therefore immune from Russell's claims, and the trial court properly dismissed them. </w:t>
      </w:r>
    </w:p>
    <w:p w14:paraId="63699B48"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Still, Russell asserts that, insofar as his claims against the City are premised on ‘intentional misrepresentation’ by the City, they should proceed because Indiana Code section 34-</w:t>
      </w:r>
      <w:proofErr w:type="gramStart"/>
      <w:r w:rsidRPr="003378B6">
        <w:rPr>
          <w:rFonts w:ascii="Times New Roman" w:hAnsi="Times New Roman"/>
          <w:sz w:val="24"/>
          <w:szCs w:val="24"/>
        </w:rPr>
        <w:t>13-3-3</w:t>
      </w:r>
      <w:proofErr w:type="gramEnd"/>
      <w:r w:rsidRPr="003378B6">
        <w:rPr>
          <w:rFonts w:ascii="Times New Roman" w:hAnsi="Times New Roman"/>
          <w:sz w:val="24"/>
          <w:szCs w:val="24"/>
        </w:rPr>
        <w:t xml:space="preserve">(a)(14) provides that a governmental entity is not liable for only ‘unintentional’ misrepresentations. Appellant's Br. at 10-11. But we conclude that section 34-13-3-3(a)(14) is irrelevant where, as here, the governmental entity has established that it is entitled to immunity under a different subsection of the ITCA on the same facts. </w:t>
      </w:r>
    </w:p>
    <w:p w14:paraId="6576FB89"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 xml:space="preserve">For </w:t>
      </w:r>
      <w:proofErr w:type="gramStart"/>
      <w:r w:rsidRPr="003378B6">
        <w:rPr>
          <w:rFonts w:ascii="Times New Roman" w:hAnsi="Times New Roman"/>
          <w:sz w:val="24"/>
          <w:szCs w:val="24"/>
        </w:rPr>
        <w:t>all of</w:t>
      </w:r>
      <w:proofErr w:type="gramEnd"/>
      <w:r w:rsidRPr="003378B6">
        <w:rPr>
          <w:rFonts w:ascii="Times New Roman" w:hAnsi="Times New Roman"/>
          <w:sz w:val="24"/>
          <w:szCs w:val="24"/>
        </w:rPr>
        <w:t xml:space="preserve"> these reasons, we affirm the trial court's dismissal of Russell's complaint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w:t>
      </w:r>
    </w:p>
    <w:p w14:paraId="0D3531F3" w14:textId="77777777" w:rsidR="003378B6" w:rsidRPr="003378B6" w:rsidRDefault="003378B6" w:rsidP="003378B6">
      <w:pPr>
        <w:rPr>
          <w:rFonts w:ascii="Times New Roman" w:hAnsi="Times New Roman"/>
          <w:b/>
          <w:bCs/>
          <w:sz w:val="24"/>
          <w:szCs w:val="24"/>
        </w:rPr>
      </w:pPr>
      <w:r w:rsidRPr="003378B6">
        <w:rPr>
          <w:rFonts w:ascii="Times New Roman" w:hAnsi="Times New Roman"/>
          <w:b/>
          <w:bCs/>
          <w:sz w:val="24"/>
          <w:szCs w:val="24"/>
        </w:rPr>
        <w:t xml:space="preserve">Legal Lesson Learned: City not liable for bringing administrative charges; </w:t>
      </w:r>
      <w:proofErr w:type="gramStart"/>
      <w:r w:rsidRPr="003378B6">
        <w:rPr>
          <w:rFonts w:ascii="Times New Roman" w:hAnsi="Times New Roman"/>
          <w:b/>
          <w:bCs/>
          <w:sz w:val="24"/>
          <w:szCs w:val="24"/>
        </w:rPr>
        <w:t>firefighter</w:t>
      </w:r>
      <w:proofErr w:type="gramEnd"/>
      <w:r w:rsidRPr="003378B6">
        <w:rPr>
          <w:rFonts w:ascii="Times New Roman" w:hAnsi="Times New Roman"/>
          <w:b/>
          <w:bCs/>
          <w:sz w:val="24"/>
          <w:szCs w:val="24"/>
        </w:rPr>
        <w:t xml:space="preserve"> however can still bring lawsuit against drug testing facility. </w:t>
      </w:r>
    </w:p>
    <w:p w14:paraId="0572A433" w14:textId="77777777" w:rsidR="00081AD1" w:rsidRDefault="00081AD1" w:rsidP="00F326E5">
      <w:pPr>
        <w:rPr>
          <w:rFonts w:ascii="Arial Black" w:hAnsi="Arial Black"/>
          <w:b/>
          <w:sz w:val="24"/>
          <w:szCs w:val="24"/>
        </w:rPr>
      </w:pPr>
    </w:p>
    <w:p w14:paraId="27715807" w14:textId="77777777" w:rsidR="00081AD1" w:rsidRDefault="00081AD1" w:rsidP="00F326E5">
      <w:pPr>
        <w:rPr>
          <w:rFonts w:ascii="Arial Black" w:hAnsi="Arial Black"/>
          <w:b/>
          <w:sz w:val="24"/>
          <w:szCs w:val="24"/>
        </w:rPr>
      </w:pPr>
    </w:p>
    <w:p w14:paraId="2109E1A9" w14:textId="08EA815C" w:rsidR="00CF5424" w:rsidRDefault="00CF5424" w:rsidP="00F326E5">
      <w:pPr>
        <w:rPr>
          <w:rFonts w:ascii="Arial Black" w:hAnsi="Arial Black"/>
          <w:b/>
          <w:sz w:val="24"/>
          <w:szCs w:val="24"/>
        </w:rPr>
      </w:pPr>
      <w:r>
        <w:rPr>
          <w:rFonts w:ascii="Arial Black" w:hAnsi="Arial Black"/>
          <w:b/>
          <w:sz w:val="24"/>
          <w:szCs w:val="24"/>
        </w:rPr>
        <w:t>12-26</w:t>
      </w:r>
    </w:p>
    <w:p w14:paraId="337444A1" w14:textId="77777777" w:rsidR="0041296B" w:rsidRPr="00767FB4" w:rsidRDefault="0041296B" w:rsidP="0041296B">
      <w:pPr>
        <w:pStyle w:val="NormalWeb"/>
        <w:spacing w:before="0" w:beforeAutospacing="0"/>
        <w:rPr>
          <w:rFonts w:ascii="Arial Black" w:hAnsi="Arial Black"/>
          <w:sz w:val="28"/>
          <w:szCs w:val="28"/>
        </w:rPr>
      </w:pPr>
      <w:r>
        <w:rPr>
          <w:rFonts w:ascii="Arial Black" w:hAnsi="Arial Black"/>
          <w:sz w:val="28"/>
          <w:szCs w:val="28"/>
        </w:rPr>
        <w:t xml:space="preserve">CA: FIREFIGHTER - U.S. ARMY - FIRED POSITIVE RANDOM DRUG TEST METH – WAS IN TREATMENT - NO CASE </w:t>
      </w:r>
    </w:p>
    <w:p w14:paraId="0E799514" w14:textId="20378D7F" w:rsidR="0041296B" w:rsidRPr="0041296B" w:rsidRDefault="0041296B" w:rsidP="0041296B">
      <w:pPr>
        <w:pStyle w:val="NormalWeb"/>
      </w:pPr>
      <w:r w:rsidRPr="0041296B">
        <w:t xml:space="preserve">On May 22, 2024, in </w:t>
      </w:r>
      <w:r w:rsidRPr="0041296B">
        <w:rPr>
          <w:u w:val="single"/>
        </w:rPr>
        <w:t xml:space="preserve">Roger E. Greer v. Christine Wormuth </w:t>
      </w:r>
      <w:r w:rsidRPr="0041296B">
        <w:t>(Secretary of U.S. Army), United States District Court Judge Maxine M. Chesney, U.S. District Court for Northern District of California, granted defense motion to dismiss (firefighter filed lawsuit pro se; without an attorney).  Ten months (Aug. 2014) prior to his notice of removal (June 26, 2015), he told Supervisor he was in treatment and detoxification for drug use under 'Safe Harbor' under the government's DFWP [Drug-Free Workplace Program. On April 16, 2015, he tested positive for tested positive for amphetamine and methamphetamine</w:t>
      </w:r>
      <w:proofErr w:type="gramStart"/>
      <w:r w:rsidRPr="0041296B">
        <w:t>/d-</w:t>
      </w:r>
      <w:proofErr w:type="gramEnd"/>
      <w:r w:rsidRPr="0041296B">
        <w:t>methamphetamine. The Court held:</w:t>
      </w:r>
    </w:p>
    <w:p w14:paraId="5688E531" w14:textId="6958E9C5" w:rsidR="00CF5424" w:rsidRPr="0041296B" w:rsidRDefault="0041296B" w:rsidP="0041296B">
      <w:pPr>
        <w:ind w:left="720"/>
        <w:rPr>
          <w:rFonts w:ascii="Times New Roman" w:hAnsi="Times New Roman"/>
          <w:b/>
          <w:sz w:val="24"/>
          <w:szCs w:val="24"/>
        </w:rPr>
      </w:pPr>
      <w:r w:rsidRPr="0041296B">
        <w:rPr>
          <w:rFonts w:ascii="Times New Roman" w:hAnsi="Times New Roman"/>
          <w:sz w:val="24"/>
          <w:szCs w:val="24"/>
        </w:rPr>
        <w:t xml:space="preserve">“Further, even assuming Greer is, in some manner, disabled, his reliance on the Rehabilitation Act's ‘safe harbor’ provision is unavailing. </w:t>
      </w:r>
      <w:proofErr w:type="gramStart"/>
      <w:r w:rsidRPr="0041296B">
        <w:rPr>
          <w:rFonts w:ascii="Times New Roman" w:hAnsi="Times New Roman"/>
          <w:sz w:val="24"/>
          <w:szCs w:val="24"/>
        </w:rPr>
        <w:t>In particular, said</w:t>
      </w:r>
      <w:proofErr w:type="gramEnd"/>
      <w:r w:rsidRPr="0041296B">
        <w:rPr>
          <w:rFonts w:ascii="Times New Roman" w:hAnsi="Times New Roman"/>
          <w:sz w:val="24"/>
          <w:szCs w:val="24"/>
        </w:rPr>
        <w:t xml:space="preserve"> statutory provision sets forth three ‘exceptions’ to the general rule that, if ‘currently engaged in the illegal use of drugs,’ an employee is not disabled where the employer ‘acts on the basis of such use.’ </w:t>
      </w:r>
      <w:r w:rsidRPr="0041296B">
        <w:rPr>
          <w:rStyle w:val="Emphasis"/>
          <w:rFonts w:ascii="Times New Roman" w:eastAsiaTheme="majorEastAsia" w:hAnsi="Times New Roman"/>
          <w:sz w:val="24"/>
          <w:szCs w:val="24"/>
        </w:rPr>
        <w:t>See</w:t>
      </w:r>
      <w:r w:rsidRPr="0041296B">
        <w:rPr>
          <w:rFonts w:ascii="Times New Roman" w:hAnsi="Times New Roman"/>
          <w:sz w:val="24"/>
          <w:szCs w:val="24"/>
        </w:rPr>
        <w:t xml:space="preserve"> 29 U.S.C. § 705(20)(C)(</w:t>
      </w:r>
      <w:proofErr w:type="spellStart"/>
      <w:r w:rsidRPr="0041296B">
        <w:rPr>
          <w:rFonts w:ascii="Times New Roman" w:hAnsi="Times New Roman"/>
          <w:sz w:val="24"/>
          <w:szCs w:val="24"/>
        </w:rPr>
        <w:t>i</w:t>
      </w:r>
      <w:proofErr w:type="spellEnd"/>
      <w:r w:rsidRPr="0041296B">
        <w:rPr>
          <w:rFonts w:ascii="Times New Roman" w:hAnsi="Times New Roman"/>
          <w:sz w:val="24"/>
          <w:szCs w:val="24"/>
        </w:rPr>
        <w:t xml:space="preserve">). Each such exception, however, requires a showing that the employee ‘is no longer’ or ‘is not’ engaging in the illegal use of drugs, </w:t>
      </w:r>
      <w:r w:rsidRPr="0041296B">
        <w:rPr>
          <w:rStyle w:val="Emphasis"/>
          <w:rFonts w:ascii="Times New Roman" w:eastAsiaTheme="majorEastAsia" w:hAnsi="Times New Roman"/>
          <w:sz w:val="24"/>
          <w:szCs w:val="24"/>
        </w:rPr>
        <w:t>see</w:t>
      </w:r>
      <w:r w:rsidRPr="0041296B">
        <w:rPr>
          <w:rFonts w:ascii="Times New Roman" w:hAnsi="Times New Roman"/>
          <w:sz w:val="24"/>
          <w:szCs w:val="24"/>
        </w:rPr>
        <w:t xml:space="preserve"> 29 U.S.C. § 705(20)(C)(ii),</w:t>
      </w:r>
      <w:r w:rsidRPr="0041296B">
        <w:rPr>
          <w:rFonts w:ascii="Times New Roman" w:hAnsi="Times New Roman"/>
          <w:sz w:val="24"/>
          <w:szCs w:val="24"/>
          <w:vertAlign w:val="superscript"/>
        </w:rPr>
        <w:t>[</w:t>
      </w:r>
      <w:bookmarkStart w:id="413" w:name="FN1"/>
      <w:r w:rsidRPr="0041296B">
        <w:rPr>
          <w:rFonts w:ascii="Times New Roman" w:hAnsi="Times New Roman"/>
          <w:sz w:val="24"/>
          <w:szCs w:val="24"/>
          <w:vertAlign w:val="superscript"/>
        </w:rPr>
        <w:fldChar w:fldCharType="begin"/>
      </w:r>
      <w:r w:rsidRPr="0041296B">
        <w:rPr>
          <w:rFonts w:ascii="Times New Roman" w:hAnsi="Times New Roman"/>
          <w:sz w:val="24"/>
          <w:szCs w:val="24"/>
          <w:vertAlign w:val="superscript"/>
        </w:rPr>
        <w:instrText>HYPERLINK "https://public.fastcase.com/" \l "ftn.FN1"</w:instrText>
      </w:r>
      <w:r w:rsidRPr="0041296B">
        <w:rPr>
          <w:rFonts w:ascii="Times New Roman" w:hAnsi="Times New Roman"/>
          <w:sz w:val="24"/>
          <w:szCs w:val="24"/>
          <w:vertAlign w:val="superscript"/>
        </w:rPr>
      </w:r>
      <w:r w:rsidRPr="0041296B">
        <w:rPr>
          <w:rFonts w:ascii="Times New Roman" w:hAnsi="Times New Roman"/>
          <w:sz w:val="24"/>
          <w:szCs w:val="24"/>
          <w:vertAlign w:val="superscript"/>
        </w:rPr>
        <w:fldChar w:fldCharType="separate"/>
      </w:r>
      <w:r w:rsidRPr="0041296B">
        <w:rPr>
          <w:rStyle w:val="Hyperlink"/>
          <w:rFonts w:ascii="Times New Roman" w:eastAsiaTheme="majorEastAsia" w:hAnsi="Times New Roman"/>
          <w:sz w:val="24"/>
          <w:szCs w:val="24"/>
          <w:vertAlign w:val="superscript"/>
        </w:rPr>
        <w:t>1</w:t>
      </w:r>
      <w:r w:rsidRPr="0041296B">
        <w:rPr>
          <w:rFonts w:ascii="Times New Roman" w:hAnsi="Times New Roman"/>
          <w:sz w:val="24"/>
          <w:szCs w:val="24"/>
          <w:vertAlign w:val="superscript"/>
        </w:rPr>
        <w:fldChar w:fldCharType="end"/>
      </w:r>
      <w:bookmarkEnd w:id="413"/>
      <w:r w:rsidRPr="0041296B">
        <w:rPr>
          <w:rFonts w:ascii="Times New Roman" w:hAnsi="Times New Roman"/>
          <w:sz w:val="24"/>
          <w:szCs w:val="24"/>
          <w:vertAlign w:val="superscript"/>
        </w:rPr>
        <w:t>]</w:t>
      </w:r>
      <w:r w:rsidRPr="0041296B">
        <w:rPr>
          <w:rFonts w:ascii="Times New Roman" w:hAnsi="Times New Roman"/>
          <w:sz w:val="24"/>
          <w:szCs w:val="24"/>
        </w:rPr>
        <w:t xml:space="preserve"> and Greer, at best, alleges he stated to his supervisor that he was ‘seeking treatment and detoxification,’ not that he was no longer using illegal drugs.” </w:t>
      </w:r>
      <w:hyperlink r:id="rId1988" w:history="1">
        <w:r w:rsidRPr="0041296B">
          <w:rPr>
            <w:rStyle w:val="Hyperlink"/>
            <w:rFonts w:ascii="Times New Roman" w:hAnsi="Times New Roman"/>
            <w:sz w:val="24"/>
            <w:szCs w:val="24"/>
          </w:rPr>
          <w:t>https://cases.justia.com/federal/district-courts/california/candce/3:2024cv00614/424391/24/0.pdf</w:t>
        </w:r>
      </w:hyperlink>
    </w:p>
    <w:p w14:paraId="146E6E78" w14:textId="77777777" w:rsidR="00303E7B" w:rsidRDefault="00303E7B" w:rsidP="00303E7B">
      <w:pPr>
        <w:spacing w:after="100" w:line="240" w:lineRule="auto"/>
        <w:rPr>
          <w:rFonts w:ascii="Times New Roman" w:eastAsia="Times New Roman" w:hAnsi="Times New Roman"/>
          <w:b/>
          <w:bCs/>
          <w:sz w:val="24"/>
          <w:szCs w:val="24"/>
        </w:rPr>
      </w:pPr>
      <w:r w:rsidRPr="00A92D10">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 “Safe Harbor” provisions of the federal Rehabilitation Act, </w:t>
      </w:r>
      <w:proofErr w:type="gramStart"/>
      <w:r>
        <w:rPr>
          <w:rFonts w:ascii="Times New Roman" w:eastAsia="Times New Roman" w:hAnsi="Times New Roman"/>
          <w:b/>
          <w:bCs/>
          <w:sz w:val="24"/>
          <w:szCs w:val="24"/>
        </w:rPr>
        <w:t>similar to</w:t>
      </w:r>
      <w:proofErr w:type="gramEnd"/>
      <w:r>
        <w:rPr>
          <w:rFonts w:ascii="Times New Roman" w:eastAsia="Times New Roman" w:hAnsi="Times New Roman"/>
          <w:b/>
          <w:bCs/>
          <w:sz w:val="24"/>
          <w:szCs w:val="24"/>
        </w:rPr>
        <w:t xml:space="preserve"> ADA, does not protect employees who continue to use illegal drugs. </w:t>
      </w:r>
    </w:p>
    <w:p w14:paraId="25A0E628" w14:textId="47C19348" w:rsidR="00303E7B" w:rsidRPr="00303E7B" w:rsidRDefault="00303E7B" w:rsidP="00303E7B">
      <w:pPr>
        <w:pStyle w:val="Heading1"/>
        <w:ind w:left="720"/>
        <w:rPr>
          <w:b w:val="0"/>
          <w:bCs w:val="0"/>
          <w:sz w:val="24"/>
          <w:szCs w:val="24"/>
        </w:rPr>
      </w:pPr>
      <w:r w:rsidRPr="00303E7B">
        <w:rPr>
          <w:b w:val="0"/>
          <w:bCs w:val="0"/>
          <w:kern w:val="0"/>
          <w:sz w:val="24"/>
          <w:szCs w:val="24"/>
        </w:rPr>
        <w:t>Note: “</w:t>
      </w:r>
      <w:r w:rsidRPr="00303E7B">
        <w:rPr>
          <w:b w:val="0"/>
          <w:bCs w:val="0"/>
          <w:sz w:val="24"/>
          <w:szCs w:val="24"/>
        </w:rPr>
        <w:t xml:space="preserve">Addiction and the ADA: The “Current User,” Safe Harbor.” </w:t>
      </w:r>
      <w:hyperlink r:id="rId1989" w:history="1">
        <w:r w:rsidRPr="00303E7B">
          <w:rPr>
            <w:rStyle w:val="Hyperlink"/>
            <w:b w:val="0"/>
            <w:bCs w:val="0"/>
            <w:sz w:val="24"/>
            <w:szCs w:val="24"/>
          </w:rPr>
          <w:t>https://www.understandingtheada.com/blog/2015/02/03/addiction-ada-current-user-safe-harbor/</w:t>
        </w:r>
      </w:hyperlink>
      <w:r w:rsidRPr="00303E7B">
        <w:rPr>
          <w:b w:val="0"/>
          <w:bCs w:val="0"/>
          <w:sz w:val="24"/>
          <w:szCs w:val="24"/>
        </w:rPr>
        <w:t xml:space="preserve">  </w:t>
      </w:r>
    </w:p>
    <w:p w14:paraId="28AA4268" w14:textId="77777777" w:rsidR="00303E7B" w:rsidRPr="003F5245" w:rsidRDefault="00303E7B" w:rsidP="00303E7B">
      <w:pPr>
        <w:spacing w:after="100" w:line="240" w:lineRule="auto"/>
        <w:ind w:left="720"/>
        <w:rPr>
          <w:rFonts w:ascii="Times New Roman" w:eastAsia="Times New Roman" w:hAnsi="Times New Roman"/>
          <w:b/>
          <w:bCs/>
          <w:sz w:val="24"/>
          <w:szCs w:val="24"/>
        </w:rPr>
      </w:pPr>
      <w:r>
        <w:rPr>
          <w:rFonts w:ascii="Times New Roman" w:hAnsi="Times New Roman"/>
          <w:sz w:val="24"/>
          <w:szCs w:val="24"/>
        </w:rPr>
        <w:t>“</w:t>
      </w:r>
      <w:r w:rsidRPr="005C7112">
        <w:rPr>
          <w:rFonts w:ascii="Times New Roman" w:hAnsi="Times New Roman"/>
          <w:sz w:val="24"/>
          <w:szCs w:val="24"/>
        </w:rPr>
        <w:t xml:space="preserve">When it comes to drugs and alcohol, those addicted to drugs and alcohol are not treated the same way as persons with other disabilities. For example, an employer has the right to evaluate an alcoholic employee or an employee addicted to drugs as if the disability didn’t exist. 42 U.S.C. § 12114(c)(4); EEOC interpretive guidance on 29 C.F.R. § 1630.16(b). Also, under </w:t>
      </w:r>
      <w:hyperlink r:id="rId1990" w:tooltip="42 U.S.C. § 12114" w:history="1">
        <w:r w:rsidRPr="005C7112">
          <w:rPr>
            <w:rStyle w:val="Hyperlink"/>
            <w:rFonts w:ascii="Times New Roman" w:hAnsi="Times New Roman"/>
            <w:sz w:val="24"/>
            <w:szCs w:val="24"/>
          </w:rPr>
          <w:t>42 U.S.C. § 12114(a)</w:t>
        </w:r>
      </w:hyperlink>
      <w:r w:rsidRPr="005C7112">
        <w:rPr>
          <w:rFonts w:ascii="Times New Roman" w:hAnsi="Times New Roman"/>
          <w:sz w:val="24"/>
          <w:szCs w:val="24"/>
        </w:rPr>
        <w:t xml:space="preserve"> a person currently using illegal drugs or alcohol is not protected. Finally, a person who is in a rehabilitation program or has completed a rehabilitation program and is no longer engaging in the use of alcohol or drugs can be protected under the ADA. 42 U.S.C. § 12114(b)(1),(2). In short, a person using drugs or alcohol is not protected, but a person with a record of using drugs or alcohol can be. Case law often refers to this as a safe harbor. Case law may also refer to it as a person not being qualified since that is the statutory language.</w:t>
      </w:r>
      <w:r>
        <w:rPr>
          <w:rFonts w:ascii="Times New Roman" w:hAnsi="Times New Roman"/>
          <w:sz w:val="24"/>
          <w:szCs w:val="24"/>
        </w:rPr>
        <w:t>”</w:t>
      </w:r>
    </w:p>
    <w:p w14:paraId="399E3E37" w14:textId="77777777" w:rsidR="00CF5424" w:rsidRDefault="00CF5424" w:rsidP="00F326E5">
      <w:pPr>
        <w:rPr>
          <w:rFonts w:ascii="Arial Black" w:hAnsi="Arial Black"/>
          <w:b/>
          <w:sz w:val="24"/>
          <w:szCs w:val="24"/>
        </w:rPr>
      </w:pPr>
    </w:p>
    <w:p w14:paraId="672A489D" w14:textId="77777777" w:rsidR="00CF5424" w:rsidRDefault="00CF5424" w:rsidP="00F326E5">
      <w:pPr>
        <w:rPr>
          <w:rFonts w:ascii="Arial Black" w:hAnsi="Arial Black"/>
          <w:b/>
          <w:sz w:val="24"/>
          <w:szCs w:val="24"/>
        </w:rPr>
      </w:pPr>
    </w:p>
    <w:p w14:paraId="18134E19" w14:textId="06C5A3D1" w:rsidR="005677A6" w:rsidRDefault="005677A6" w:rsidP="00F326E5">
      <w:pPr>
        <w:rPr>
          <w:rFonts w:ascii="Arial Black" w:hAnsi="Arial Black"/>
          <w:b/>
          <w:sz w:val="24"/>
          <w:szCs w:val="24"/>
        </w:rPr>
      </w:pPr>
      <w:r>
        <w:rPr>
          <w:rFonts w:ascii="Arial Black" w:hAnsi="Arial Black"/>
          <w:b/>
          <w:sz w:val="24"/>
          <w:szCs w:val="24"/>
        </w:rPr>
        <w:t>12-25</w:t>
      </w:r>
    </w:p>
    <w:p w14:paraId="192FE1E1" w14:textId="77777777" w:rsidR="005677A6" w:rsidRPr="00057368" w:rsidRDefault="005677A6" w:rsidP="005677A6">
      <w:pPr>
        <w:pStyle w:val="NormalWeb"/>
        <w:rPr>
          <w:rFonts w:ascii="Arial Black" w:hAnsi="Arial Black"/>
          <w:sz w:val="28"/>
          <w:szCs w:val="28"/>
        </w:rPr>
      </w:pPr>
      <w:r>
        <w:rPr>
          <w:rFonts w:ascii="Arial Black" w:hAnsi="Arial Black"/>
          <w:sz w:val="28"/>
          <w:szCs w:val="28"/>
        </w:rPr>
        <w:t>MD: FF SUPPORTIVE 1</w:t>
      </w:r>
      <w:r w:rsidRPr="00DA29D6">
        <w:rPr>
          <w:rFonts w:ascii="Arial Black" w:hAnsi="Arial Black"/>
          <w:sz w:val="28"/>
          <w:szCs w:val="28"/>
          <w:vertAlign w:val="superscript"/>
        </w:rPr>
        <w:t>st</w:t>
      </w:r>
      <w:r>
        <w:rPr>
          <w:rFonts w:ascii="Arial Black" w:hAnsi="Arial Black"/>
          <w:sz w:val="28"/>
          <w:szCs w:val="28"/>
        </w:rPr>
        <w:t xml:space="preserve"> DUI - WENT TO IAFF CENTER OF EXCELLENCE – 2</w:t>
      </w:r>
      <w:r w:rsidRPr="00025810">
        <w:rPr>
          <w:rFonts w:ascii="Arial Black" w:hAnsi="Arial Black"/>
          <w:sz w:val="28"/>
          <w:szCs w:val="28"/>
          <w:vertAlign w:val="superscript"/>
        </w:rPr>
        <w:t>nd</w:t>
      </w:r>
      <w:r>
        <w:rPr>
          <w:rFonts w:ascii="Arial Black" w:hAnsi="Arial Black"/>
          <w:sz w:val="28"/>
          <w:szCs w:val="28"/>
        </w:rPr>
        <w:t xml:space="preserve"> DUI / FIRED, NOT BECAUSE PTSD</w:t>
      </w:r>
    </w:p>
    <w:p w14:paraId="5CF93CE5" w14:textId="77777777" w:rsidR="005677A6" w:rsidRDefault="005677A6" w:rsidP="005677A6">
      <w:pPr>
        <w:pStyle w:val="NormalWeb"/>
      </w:pPr>
      <w:r>
        <w:t xml:space="preserve">On March 28, </w:t>
      </w:r>
      <w:proofErr w:type="gramStart"/>
      <w:r>
        <w:t>2024</w:t>
      </w:r>
      <w:proofErr w:type="gramEnd"/>
      <w:r>
        <w:t xml:space="preserve"> in </w:t>
      </w:r>
      <w:r w:rsidRPr="00546246">
        <w:rPr>
          <w:u w:val="single"/>
        </w:rPr>
        <w:t>Deanna Jones v. Cecil County, Maryland</w:t>
      </w:r>
      <w:r>
        <w:t xml:space="preserve">, United States District Court Judge Richard D. Bennett, U.S. District Court for District of Maryland, granted County’s motion for summary judgment. </w:t>
      </w:r>
    </w:p>
    <w:p w14:paraId="5BF8AA74"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0A1F3F5" w14:textId="77777777" w:rsidR="005677A6" w:rsidRDefault="005677A6" w:rsidP="005677A6">
      <w:pPr>
        <w:pStyle w:val="NormalWeb"/>
        <w:ind w:left="720"/>
      </w:pPr>
      <w:r>
        <w:t xml:space="preserve">“Even assuming arguendo that Jones is a qualified individual with a disability under the meaning of the ADA, she has not plausibly stated that she was terminated because of her disability. Jones provides nothing more than conclusory statements that she was terminated because of her alcohol use disorder. As discussed, the facts alleged by Jones indicate that she was terminated because of her second DUI, not because of her disability. Moreover, the Department's support of Jones after her first DUI undermines her claim of discrimination. Jones admits that the Department was supportive of her following her first DUI and that it was only after her second DUI that she was terminated.” </w:t>
      </w:r>
      <w:hyperlink r:id="rId1991" w:history="1">
        <w:r w:rsidRPr="007E7996">
          <w:rPr>
            <w:rStyle w:val="Hyperlink"/>
          </w:rPr>
          <w:t>https://public.fastcase.com/H1P9uiW3J20SFp%2BGCG%2BxLWxsjT87vgsYeUyD6XhJjN4sWvyHUDi1iD6eePPdFLtF?utm_medium=email&amp;_hsmi=226712652&amp;_hsenc=p2ANqtz-_iI2JExLit36jQEG92m9s-4sdtZgfob1tVRc-o7xFd5g7DvtyOGh3o-vGJ1z88YzXriHS74jMuVuWJoviL5aHAnGRzpg&amp;utm_content=226712652&amp;utm_source=hs_email</w:t>
        </w:r>
      </w:hyperlink>
      <w:r>
        <w:t xml:space="preserve"> </w:t>
      </w:r>
    </w:p>
    <w:p w14:paraId="4F3D12BE" w14:textId="77777777" w:rsidR="005677A6" w:rsidRPr="009614DD" w:rsidRDefault="005677A6" w:rsidP="005677A6">
      <w:pPr>
        <w:pStyle w:val="NormalWeb"/>
        <w:rPr>
          <w:b/>
          <w:bCs/>
        </w:rPr>
      </w:pPr>
      <w:r>
        <w:rPr>
          <w:b/>
          <w:bCs/>
        </w:rPr>
        <w:t xml:space="preserve">Legal Lesson Learned: Fire &amp; EMS departments should require in their policies an immediate written notice of DUI arrests, not just convictions. </w:t>
      </w:r>
    </w:p>
    <w:p w14:paraId="5272CD04" w14:textId="77777777" w:rsidR="005677A6" w:rsidRDefault="005677A6" w:rsidP="00F326E5">
      <w:pPr>
        <w:rPr>
          <w:rFonts w:ascii="Arial Black" w:hAnsi="Arial Black"/>
          <w:b/>
          <w:sz w:val="24"/>
          <w:szCs w:val="24"/>
        </w:rPr>
      </w:pPr>
    </w:p>
    <w:p w14:paraId="3B839F16" w14:textId="77777777" w:rsidR="005677A6" w:rsidRDefault="005677A6" w:rsidP="00F326E5">
      <w:pPr>
        <w:rPr>
          <w:rFonts w:ascii="Arial Black" w:hAnsi="Arial Black"/>
          <w:b/>
          <w:sz w:val="24"/>
          <w:szCs w:val="24"/>
        </w:rPr>
      </w:pPr>
    </w:p>
    <w:p w14:paraId="2602E47B" w14:textId="37A7CD81" w:rsidR="009C19A1" w:rsidRDefault="009C19A1" w:rsidP="00F326E5">
      <w:pPr>
        <w:rPr>
          <w:rFonts w:ascii="Arial Black" w:hAnsi="Arial Black"/>
          <w:b/>
          <w:sz w:val="24"/>
          <w:szCs w:val="24"/>
        </w:rPr>
      </w:pPr>
      <w:r>
        <w:rPr>
          <w:rFonts w:ascii="Arial Black" w:hAnsi="Arial Black"/>
          <w:b/>
          <w:sz w:val="24"/>
          <w:szCs w:val="24"/>
        </w:rPr>
        <w:t>12-24</w:t>
      </w:r>
    </w:p>
    <w:p w14:paraId="7F14028C" w14:textId="77777777" w:rsidR="00C72905" w:rsidRDefault="00C72905" w:rsidP="00C72905">
      <w:pPr>
        <w:pStyle w:val="NormalWeb"/>
        <w:rPr>
          <w:b/>
          <w:bCs/>
        </w:rPr>
      </w:pPr>
      <w:r>
        <w:rPr>
          <w:rFonts w:ascii="Arial Black" w:hAnsi="Arial Black"/>
          <w:b/>
          <w:bCs/>
          <w:sz w:val="28"/>
          <w:szCs w:val="28"/>
        </w:rPr>
        <w:t>TX: OFF DUTY DALLAS FF – DRUNK DRIVING, KILLED PREGNANT TEEN – 12 YRS, PLED GUILTY AVOID 40 YRS</w:t>
      </w:r>
      <w:r>
        <w:rPr>
          <w:b/>
          <w:bCs/>
        </w:rPr>
        <w:t xml:space="preserve"> </w:t>
      </w:r>
    </w:p>
    <w:p w14:paraId="3DB2B4C3" w14:textId="77777777" w:rsidR="00C72905" w:rsidRDefault="00C72905" w:rsidP="00C72905">
      <w:pPr>
        <w:pStyle w:val="NoSpacing"/>
        <w:rPr>
          <w:rFonts w:ascii="Times New Roman" w:hAnsi="Times New Roman"/>
          <w:sz w:val="24"/>
          <w:szCs w:val="24"/>
        </w:rPr>
      </w:pPr>
      <w:r>
        <w:rPr>
          <w:rFonts w:ascii="Times New Roman" w:hAnsi="Times New Roman"/>
          <w:sz w:val="24"/>
          <w:szCs w:val="24"/>
        </w:rPr>
        <w:t xml:space="preserve">On Feb. 20, 2024, in </w:t>
      </w:r>
      <w:r w:rsidRPr="00461ABE">
        <w:rPr>
          <w:rFonts w:ascii="Times New Roman" w:hAnsi="Times New Roman"/>
          <w:sz w:val="24"/>
          <w:szCs w:val="24"/>
          <w:u w:val="single"/>
        </w:rPr>
        <w:t>Horace Shaw v. The State of Texas</w:t>
      </w:r>
      <w:r>
        <w:rPr>
          <w:rFonts w:ascii="Times New Roman" w:hAnsi="Times New Roman"/>
          <w:sz w:val="24"/>
          <w:szCs w:val="24"/>
        </w:rPr>
        <w:t xml:space="preserve">, the </w:t>
      </w:r>
      <w:r w:rsidRPr="003A17CB">
        <w:rPr>
          <w:rFonts w:ascii="Times New Roman" w:hAnsi="Times New Roman"/>
          <w:sz w:val="24"/>
          <w:szCs w:val="24"/>
        </w:rPr>
        <w:t>Court of Appeals</w:t>
      </w:r>
      <w:r>
        <w:rPr>
          <w:rFonts w:ascii="Times New Roman" w:hAnsi="Times New Roman"/>
          <w:sz w:val="24"/>
          <w:szCs w:val="24"/>
        </w:rPr>
        <w:t xml:space="preserve">, </w:t>
      </w:r>
      <w:r w:rsidRPr="003A17CB">
        <w:rPr>
          <w:rFonts w:ascii="Times New Roman" w:hAnsi="Times New Roman"/>
          <w:sz w:val="24"/>
          <w:szCs w:val="24"/>
        </w:rPr>
        <w:t>Fifth District of Texas at Dallas</w:t>
      </w:r>
      <w:r>
        <w:rPr>
          <w:rFonts w:ascii="Times New Roman" w:hAnsi="Times New Roman"/>
          <w:sz w:val="24"/>
          <w:szCs w:val="24"/>
        </w:rPr>
        <w:t xml:space="preserve"> held (3 to 0; unpublished opinion) denied the defendant’s appeal based on alleged in effective of counsel; he pled guilty to manslaughter, and if convicted of intoxicated manslaughter he could have sentenced up to 40 years. </w:t>
      </w:r>
    </w:p>
    <w:p w14:paraId="0BCD7915" w14:textId="77777777" w:rsidR="00C72905" w:rsidRDefault="00C72905" w:rsidP="00C72905">
      <w:pPr>
        <w:pStyle w:val="NoSpacing"/>
        <w:rPr>
          <w:rFonts w:ascii="Times New Roman" w:hAnsi="Times New Roman"/>
          <w:sz w:val="24"/>
          <w:szCs w:val="24"/>
        </w:rPr>
      </w:pPr>
    </w:p>
    <w:p w14:paraId="64AABEBE" w14:textId="77777777" w:rsidR="00C72905" w:rsidRDefault="00C72905" w:rsidP="00C72905">
      <w:pPr>
        <w:pStyle w:val="NoSpacing"/>
        <w:rPr>
          <w:rFonts w:ascii="Times New Roman" w:hAnsi="Times New Roman"/>
          <w:sz w:val="24"/>
          <w:szCs w:val="24"/>
        </w:rPr>
      </w:pPr>
      <w:r>
        <w:rPr>
          <w:rFonts w:ascii="Times New Roman" w:hAnsi="Times New Roman"/>
          <w:sz w:val="24"/>
          <w:szCs w:val="24"/>
        </w:rPr>
        <w:t>The Court held:</w:t>
      </w:r>
    </w:p>
    <w:p w14:paraId="05646DFF" w14:textId="77777777" w:rsidR="00C72905" w:rsidRDefault="00C72905" w:rsidP="00C72905">
      <w:pPr>
        <w:pStyle w:val="NoSpacing"/>
        <w:rPr>
          <w:rFonts w:ascii="Times New Roman" w:hAnsi="Times New Roman"/>
          <w:sz w:val="24"/>
          <w:szCs w:val="24"/>
        </w:rPr>
      </w:pPr>
    </w:p>
    <w:p w14:paraId="78DC837C" w14:textId="77777777" w:rsidR="00C72905" w:rsidRPr="00527850" w:rsidRDefault="00C72905" w:rsidP="00C72905">
      <w:pPr>
        <w:pStyle w:val="NoSpacing"/>
        <w:ind w:firstLine="720"/>
        <w:rPr>
          <w:rFonts w:ascii="Times New Roman" w:hAnsi="Times New Roman"/>
          <w:sz w:val="24"/>
          <w:szCs w:val="24"/>
        </w:rPr>
      </w:pPr>
      <w:r>
        <w:rPr>
          <w:rFonts w:ascii="Times New Roman" w:hAnsi="Times New Roman"/>
          <w:sz w:val="24"/>
          <w:szCs w:val="24"/>
        </w:rPr>
        <w:t>“</w:t>
      </w:r>
      <w:r w:rsidRPr="00527850">
        <w:rPr>
          <w:rFonts w:ascii="Times New Roman" w:hAnsi="Times New Roman"/>
          <w:sz w:val="24"/>
          <w:szCs w:val="24"/>
        </w:rPr>
        <w:t>Notably, the record shows these cases were filed by information and the state</w:t>
      </w:r>
    </w:p>
    <w:p w14:paraId="3EAD2090"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only charged Mr. Shaw with manslaughter for which the sentences could only run</w:t>
      </w:r>
    </w:p>
    <w:p w14:paraId="12C6F92D"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concurrently. See TEX. PENAL CODE § 3.03(a). Had the state charged Mr. Shaw with</w:t>
      </w:r>
    </w:p>
    <w:p w14:paraId="7651E40C"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intoxication manslaughter, also a second-degree felony, the judge could have</w:t>
      </w:r>
    </w:p>
    <w:p w14:paraId="3EA6A31C"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ordered the sentences to run consecutively, opening Mr. Shaw up to a potential forty</w:t>
      </w:r>
    </w:p>
    <w:p w14:paraId="19CC41AA" w14:textId="77777777" w:rsidR="00C72905" w:rsidRDefault="00C72905" w:rsidP="00C72905">
      <w:pPr>
        <w:pStyle w:val="NoSpacing"/>
        <w:ind w:left="720"/>
        <w:rPr>
          <w:rFonts w:ascii="Times New Roman" w:hAnsi="Times New Roman"/>
          <w:sz w:val="24"/>
          <w:szCs w:val="24"/>
        </w:rPr>
      </w:pPr>
      <w:r w:rsidRPr="00527850">
        <w:rPr>
          <w:rFonts w:ascii="Times New Roman" w:hAnsi="Times New Roman"/>
          <w:sz w:val="24"/>
          <w:szCs w:val="24"/>
        </w:rPr>
        <w:t>years in prison.</w:t>
      </w:r>
      <w:r>
        <w:rPr>
          <w:rFonts w:ascii="Times New Roman" w:hAnsi="Times New Roman"/>
          <w:sz w:val="24"/>
          <w:szCs w:val="24"/>
        </w:rPr>
        <w:t xml:space="preserve"> *** </w:t>
      </w:r>
      <w:r w:rsidRPr="006C19C6">
        <w:rPr>
          <w:rFonts w:ascii="Times New Roman" w:hAnsi="Times New Roman"/>
          <w:sz w:val="24"/>
          <w:szCs w:val="24"/>
        </w:rPr>
        <w:t>We agree the appeal is frivolous and</w:t>
      </w:r>
      <w:r>
        <w:rPr>
          <w:rFonts w:ascii="Times New Roman" w:hAnsi="Times New Roman"/>
          <w:sz w:val="24"/>
          <w:szCs w:val="24"/>
        </w:rPr>
        <w:t xml:space="preserve"> </w:t>
      </w:r>
      <w:r w:rsidRPr="006C19C6">
        <w:rPr>
          <w:rFonts w:ascii="Times New Roman" w:hAnsi="Times New Roman"/>
          <w:sz w:val="24"/>
          <w:szCs w:val="24"/>
        </w:rPr>
        <w:t>without merit, and we find nothing in the record that might arguably support the</w:t>
      </w:r>
      <w:r>
        <w:rPr>
          <w:rFonts w:ascii="Times New Roman" w:hAnsi="Times New Roman"/>
          <w:sz w:val="24"/>
          <w:szCs w:val="24"/>
        </w:rPr>
        <w:t xml:space="preserve"> </w:t>
      </w:r>
      <w:r w:rsidRPr="006C19C6">
        <w:rPr>
          <w:rFonts w:ascii="Times New Roman" w:hAnsi="Times New Roman"/>
          <w:sz w:val="24"/>
          <w:szCs w:val="24"/>
        </w:rPr>
        <w:t>appea</w:t>
      </w:r>
      <w:r>
        <w:rPr>
          <w:rFonts w:ascii="Times New Roman" w:hAnsi="Times New Roman"/>
          <w:sz w:val="24"/>
          <w:szCs w:val="24"/>
        </w:rPr>
        <w:t xml:space="preserve">l.” </w:t>
      </w:r>
      <w:hyperlink r:id="rId1992" w:history="1">
        <w:r w:rsidRPr="00216BB3">
          <w:rPr>
            <w:rStyle w:val="Hyperlink"/>
            <w:rFonts w:ascii="Times New Roman" w:hAnsi="Times New Roman"/>
            <w:sz w:val="24"/>
            <w:szCs w:val="24"/>
          </w:rPr>
          <w:t>https://cases.justia.com/texas/fifth-court-of-appeals/2024-05-22-01220-cr.pdf?ts=1708523726</w:t>
        </w:r>
      </w:hyperlink>
      <w:r>
        <w:rPr>
          <w:rFonts w:ascii="Times New Roman" w:hAnsi="Times New Roman"/>
          <w:sz w:val="24"/>
          <w:szCs w:val="24"/>
        </w:rPr>
        <w:t xml:space="preserve"> </w:t>
      </w:r>
    </w:p>
    <w:p w14:paraId="4BFFDE17" w14:textId="77777777" w:rsidR="00C72905" w:rsidRDefault="00C72905" w:rsidP="00C72905">
      <w:pPr>
        <w:jc w:val="center"/>
        <w:rPr>
          <w:rFonts w:cs="Calibri"/>
        </w:rPr>
      </w:pPr>
    </w:p>
    <w:p w14:paraId="345180C2" w14:textId="77777777" w:rsidR="00C72905" w:rsidRDefault="00C72905" w:rsidP="00C72905">
      <w:pPr>
        <w:pStyle w:val="NoSpacing"/>
        <w:rPr>
          <w:rFonts w:ascii="Times New Roman" w:hAnsi="Times New Roman"/>
          <w:b/>
          <w:bCs/>
          <w:sz w:val="24"/>
          <w:szCs w:val="24"/>
        </w:rPr>
      </w:pPr>
      <w:r w:rsidRPr="00A15543">
        <w:rPr>
          <w:rFonts w:ascii="Times New Roman" w:hAnsi="Times New Roman"/>
          <w:b/>
          <w:bCs/>
          <w:sz w:val="24"/>
          <w:szCs w:val="24"/>
        </w:rPr>
        <w:t>Legal Lesson Learned:</w:t>
      </w:r>
      <w:r>
        <w:rPr>
          <w:rFonts w:ascii="Times New Roman" w:hAnsi="Times New Roman"/>
          <w:b/>
          <w:bCs/>
          <w:sz w:val="24"/>
          <w:szCs w:val="24"/>
        </w:rPr>
        <w:t xml:space="preserve"> If you plead guilty to a lesser offense to avoid much longer prison sentence, with advice of legal counsel, then </w:t>
      </w:r>
      <w:proofErr w:type="gramStart"/>
      <w:r>
        <w:rPr>
          <w:rFonts w:ascii="Times New Roman" w:hAnsi="Times New Roman"/>
          <w:b/>
          <w:bCs/>
          <w:sz w:val="24"/>
          <w:szCs w:val="24"/>
        </w:rPr>
        <w:t>very</w:t>
      </w:r>
      <w:proofErr w:type="gramEnd"/>
      <w:r>
        <w:rPr>
          <w:rFonts w:ascii="Times New Roman" w:hAnsi="Times New Roman"/>
          <w:b/>
          <w:bCs/>
          <w:sz w:val="24"/>
          <w:szCs w:val="24"/>
        </w:rPr>
        <w:t xml:space="preserve"> difficult to appeal on basis of ineffective legal counsel. </w:t>
      </w:r>
    </w:p>
    <w:p w14:paraId="35C5711D" w14:textId="77777777" w:rsidR="00C72905" w:rsidRDefault="00C72905" w:rsidP="00C72905">
      <w:pPr>
        <w:pStyle w:val="NoSpacing"/>
        <w:rPr>
          <w:rFonts w:ascii="Times New Roman" w:hAnsi="Times New Roman"/>
          <w:b/>
          <w:bCs/>
          <w:sz w:val="24"/>
          <w:szCs w:val="24"/>
        </w:rPr>
      </w:pPr>
    </w:p>
    <w:p w14:paraId="729128D1" w14:textId="77777777" w:rsidR="00C72905" w:rsidRPr="00A15543" w:rsidRDefault="00C72905" w:rsidP="00C72905">
      <w:pPr>
        <w:pStyle w:val="NoSpacing"/>
        <w:rPr>
          <w:rFonts w:ascii="Times New Roman" w:hAnsi="Times New Roman"/>
          <w:b/>
          <w:bCs/>
          <w:sz w:val="24"/>
          <w:szCs w:val="24"/>
        </w:rPr>
      </w:pPr>
      <w:r>
        <w:rPr>
          <w:rFonts w:ascii="Times New Roman" w:hAnsi="Times New Roman"/>
          <w:b/>
          <w:bCs/>
          <w:sz w:val="24"/>
          <w:szCs w:val="24"/>
        </w:rPr>
        <w:tab/>
      </w:r>
      <w:r w:rsidRPr="00F3105C">
        <w:rPr>
          <w:rFonts w:ascii="Times New Roman" w:hAnsi="Times New Roman"/>
          <w:sz w:val="24"/>
          <w:szCs w:val="24"/>
        </w:rPr>
        <w:t>Note: See articles on this tragic event</w:t>
      </w:r>
      <w:r>
        <w:rPr>
          <w:rFonts w:ascii="Times New Roman" w:hAnsi="Times New Roman"/>
          <w:b/>
          <w:bCs/>
          <w:sz w:val="24"/>
          <w:szCs w:val="24"/>
        </w:rPr>
        <w:t xml:space="preserve">.  </w:t>
      </w:r>
    </w:p>
    <w:p w14:paraId="45D7DE79" w14:textId="77777777" w:rsidR="00C72905" w:rsidRPr="00F3105C" w:rsidRDefault="00C72905" w:rsidP="00C72905">
      <w:pPr>
        <w:pStyle w:val="NoSpacing"/>
        <w:ind w:left="720"/>
        <w:rPr>
          <w:rFonts w:ascii="Times New Roman" w:eastAsia="Times New Roman" w:hAnsi="Times New Roman"/>
          <w:sz w:val="24"/>
          <w:szCs w:val="24"/>
        </w:rPr>
      </w:pPr>
      <w:r>
        <w:rPr>
          <w:rFonts w:ascii="Times New Roman" w:eastAsia="Times New Roman" w:hAnsi="Times New Roman"/>
          <w:kern w:val="36"/>
          <w:sz w:val="24"/>
          <w:szCs w:val="24"/>
        </w:rPr>
        <w:t xml:space="preserve">Dec. 14, 2017: </w:t>
      </w:r>
      <w:r w:rsidRPr="00F3105C">
        <w:rPr>
          <w:rFonts w:ascii="Times New Roman" w:eastAsia="Times New Roman" w:hAnsi="Times New Roman"/>
          <w:kern w:val="36"/>
          <w:sz w:val="24"/>
          <w:szCs w:val="24"/>
        </w:rPr>
        <w:t>“Firefighter charged with killing pregnant teen in DUI crash</w:t>
      </w:r>
      <w:r>
        <w:rPr>
          <w:rFonts w:ascii="Times New Roman" w:eastAsia="Times New Roman" w:hAnsi="Times New Roman"/>
          <w:kern w:val="36"/>
          <w:sz w:val="24"/>
          <w:szCs w:val="24"/>
        </w:rPr>
        <w:t xml:space="preserve">.” </w:t>
      </w:r>
      <w:hyperlink r:id="rId1993" w:history="1">
        <w:r w:rsidRPr="00216BB3">
          <w:rPr>
            <w:rStyle w:val="Hyperlink"/>
            <w:rFonts w:ascii="Times New Roman" w:eastAsia="Times New Roman" w:hAnsi="Times New Roman"/>
            <w:sz w:val="24"/>
            <w:szCs w:val="24"/>
          </w:rPr>
          <w:t>https://www.10tv.com/article/news/nation-world/firefighter-charged-killing-pregnant-teen-dui-crash/530-c59458ea-0d76-4ce2-8b1e-022640f424f8</w:t>
        </w:r>
      </w:hyperlink>
      <w:r w:rsidRPr="00F3105C">
        <w:rPr>
          <w:rFonts w:ascii="Times New Roman" w:eastAsia="Times New Roman" w:hAnsi="Times New Roman"/>
          <w:sz w:val="24"/>
          <w:szCs w:val="24"/>
        </w:rPr>
        <w:t xml:space="preserve"> </w:t>
      </w:r>
    </w:p>
    <w:p w14:paraId="057EAE3D" w14:textId="77777777" w:rsidR="00C72905" w:rsidRDefault="00C72905" w:rsidP="00C72905">
      <w:pPr>
        <w:spacing w:after="0" w:line="240" w:lineRule="auto"/>
        <w:rPr>
          <w:rFonts w:ascii="Times New Roman" w:eastAsia="Times New Roman" w:hAnsi="Times New Roman"/>
          <w:sz w:val="24"/>
          <w:szCs w:val="24"/>
        </w:rPr>
      </w:pPr>
    </w:p>
    <w:p w14:paraId="67EF0B50" w14:textId="77777777" w:rsidR="00C72905" w:rsidRPr="00A870A8" w:rsidRDefault="00C72905" w:rsidP="00C72905">
      <w:pPr>
        <w:pStyle w:val="Heading1"/>
        <w:ind w:left="720"/>
        <w:rPr>
          <w:b w:val="0"/>
          <w:bCs w:val="0"/>
          <w:kern w:val="0"/>
          <w:sz w:val="24"/>
          <w:szCs w:val="24"/>
        </w:rPr>
      </w:pPr>
      <w:r>
        <w:rPr>
          <w:b w:val="0"/>
          <w:bCs w:val="0"/>
          <w:sz w:val="24"/>
          <w:szCs w:val="24"/>
        </w:rPr>
        <w:t xml:space="preserve">Nov. 7, 2022: </w:t>
      </w:r>
      <w:r w:rsidRPr="00A870A8">
        <w:rPr>
          <w:b w:val="0"/>
          <w:bCs w:val="0"/>
          <w:sz w:val="24"/>
          <w:szCs w:val="24"/>
        </w:rPr>
        <w:t>“Former DFR firefighter sent to prison for DWI accident</w:t>
      </w:r>
      <w:r>
        <w:rPr>
          <w:b w:val="0"/>
          <w:bCs w:val="0"/>
          <w:sz w:val="24"/>
          <w:szCs w:val="24"/>
        </w:rPr>
        <w:t xml:space="preserve">. </w:t>
      </w:r>
      <w:r w:rsidRPr="00A870A8">
        <w:rPr>
          <w:b w:val="0"/>
          <w:bCs w:val="0"/>
          <w:sz w:val="24"/>
          <w:szCs w:val="24"/>
        </w:rPr>
        <w:t xml:space="preserve"> </w:t>
      </w:r>
      <w:hyperlink r:id="rId1994" w:history="1">
        <w:r w:rsidRPr="00216BB3">
          <w:rPr>
            <w:rStyle w:val="Hyperlink"/>
            <w:b w:val="0"/>
            <w:bCs w:val="0"/>
            <w:kern w:val="0"/>
            <w:sz w:val="24"/>
            <w:szCs w:val="24"/>
          </w:rPr>
          <w:t>https://www.audacy.com/krld/news/local/former-dfr-firefighter-sent-to-prison-for-dwi-accident</w:t>
        </w:r>
      </w:hyperlink>
      <w:r w:rsidRPr="00A870A8">
        <w:rPr>
          <w:b w:val="0"/>
          <w:bCs w:val="0"/>
          <w:kern w:val="0"/>
          <w:sz w:val="24"/>
          <w:szCs w:val="24"/>
        </w:rPr>
        <w:t xml:space="preserve"> </w:t>
      </w:r>
    </w:p>
    <w:p w14:paraId="44678573" w14:textId="77777777" w:rsidR="009C19A1" w:rsidRDefault="009C19A1" w:rsidP="00F326E5">
      <w:pPr>
        <w:rPr>
          <w:rFonts w:ascii="Arial Black" w:hAnsi="Arial Black"/>
          <w:b/>
          <w:sz w:val="24"/>
          <w:szCs w:val="24"/>
        </w:rPr>
      </w:pPr>
    </w:p>
    <w:p w14:paraId="2ED008FC" w14:textId="77777777" w:rsidR="009C19A1" w:rsidRDefault="009C19A1" w:rsidP="00F326E5">
      <w:pPr>
        <w:rPr>
          <w:rFonts w:ascii="Arial Black" w:hAnsi="Arial Black"/>
          <w:b/>
          <w:sz w:val="24"/>
          <w:szCs w:val="24"/>
        </w:rPr>
      </w:pPr>
    </w:p>
    <w:p w14:paraId="70FD9879" w14:textId="58040F69" w:rsidR="000644B6" w:rsidRDefault="000644B6" w:rsidP="00F326E5">
      <w:pPr>
        <w:rPr>
          <w:rFonts w:ascii="Arial Black" w:hAnsi="Arial Black"/>
          <w:b/>
          <w:sz w:val="24"/>
          <w:szCs w:val="24"/>
        </w:rPr>
      </w:pPr>
      <w:r>
        <w:rPr>
          <w:rFonts w:ascii="Arial Black" w:hAnsi="Arial Black"/>
          <w:b/>
          <w:sz w:val="24"/>
          <w:szCs w:val="24"/>
        </w:rPr>
        <w:t>12-23</w:t>
      </w:r>
    </w:p>
    <w:p w14:paraId="3B39510E" w14:textId="77777777" w:rsidR="000644B6" w:rsidRDefault="000644B6" w:rsidP="000644B6">
      <w:pPr>
        <w:pStyle w:val="NormalWeb"/>
        <w:rPr>
          <w:rFonts w:ascii="Arial Black" w:hAnsi="Arial Black"/>
          <w:b/>
          <w:bCs/>
          <w:sz w:val="28"/>
          <w:szCs w:val="28"/>
        </w:rPr>
      </w:pPr>
      <w:r>
        <w:rPr>
          <w:rFonts w:ascii="Arial Black" w:hAnsi="Arial Black"/>
          <w:b/>
          <w:bCs/>
          <w:sz w:val="28"/>
          <w:szCs w:val="28"/>
        </w:rPr>
        <w:t>TX: OFF DUTY FF AT CITY HALL TO COPY EEOC DOCUMENT – APPEARED INTOXICATED – REFUSED BE TESTED – FIRED</w:t>
      </w:r>
    </w:p>
    <w:p w14:paraId="20E748A0" w14:textId="77777777" w:rsidR="000644B6" w:rsidRDefault="000644B6" w:rsidP="000644B6">
      <w:pPr>
        <w:pStyle w:val="NormalWeb"/>
      </w:pPr>
      <w:r w:rsidRPr="00A65A26">
        <w:t xml:space="preserve">On </w:t>
      </w:r>
      <w:r>
        <w:t xml:space="preserve">July 24, 2023, in </w:t>
      </w:r>
      <w:r w:rsidRPr="00A65A26">
        <w:rPr>
          <w:u w:val="single"/>
        </w:rPr>
        <w:t>Jason January v. City of Huntsville</w:t>
      </w:r>
      <w:r>
        <w:t>, the U.S. Court of Appeals for 5</w:t>
      </w:r>
      <w:r w:rsidRPr="00A65A26">
        <w:rPr>
          <w:vertAlign w:val="superscript"/>
        </w:rPr>
        <w:t>th</w:t>
      </w:r>
      <w:r>
        <w:t xml:space="preserve"> Circuit (New Orleans), held (2 to 1) that the City was properly granted summary judgment since the FF could not prove City’s explication for firing him was a pretext.  According to secretary in City Hall, the FF boxed her in and blocked the copy room </w:t>
      </w:r>
      <w:proofErr w:type="gramStart"/>
      <w:r>
        <w:t>exit, and</w:t>
      </w:r>
      <w:proofErr w:type="gramEnd"/>
      <w:r>
        <w:t xml:space="preserve"> told her that “when all of this comes out, they're going to be sorry that they messed with me." Ms. Poe, feeling threatened, escaped past him when she could and ran to hide in the women's bathroom nearby.  A video camera in the City Manager’s office showed the City Manager, with several other officials, ordering him to stay until his wife could drive him home.  He repeatedly refused to take a drug test (took test the following day). </w:t>
      </w:r>
    </w:p>
    <w:p w14:paraId="63D9E0FD" w14:textId="77777777" w:rsidR="000644B6" w:rsidRDefault="000644B6" w:rsidP="000644B6">
      <w:pPr>
        <w:pStyle w:val="NormalWeb"/>
      </w:pPr>
      <w:r>
        <w:t xml:space="preserve">The Court noted: “All told then, beyond temporal proximity, January produces no evidence that Lunsford's reasoning concerning his intoxication was false (such that he was not actually intoxicated at the time) or pretextual (such that January's protected activities were the real reason for his firing).  *** [The City’s explanation was as follows.] The </w:t>
      </w:r>
      <w:proofErr w:type="gramStart"/>
      <w:r>
        <w:t>City</w:t>
      </w:r>
      <w:proofErr w:type="gramEnd"/>
      <w:r>
        <w:t xml:space="preserve"> placed January on administrative leave and investigated. Two weeks later, it fired him. Director of Public Safety Kevin Lunsford, the decisionmaker, explained that January was fired because: 1) despite a drug test taken the next day showing no intoxication, there remained a ‘high probability’ that January was impaired at City Hall; 2) January was insubordinate because he refused to leave City Hall when told to do so; 3) January's lack of cooperation and intoxication harmed the City's reputation; and 4) January was disrespectful in intimidating and scaring Poe. Given January's past warning that any further violation could end his employment, the </w:t>
      </w:r>
      <w:proofErr w:type="gramStart"/>
      <w:r>
        <w:t>City</w:t>
      </w:r>
      <w:proofErr w:type="gramEnd"/>
      <w:r>
        <w:t xml:space="preserve"> terminated him. </w:t>
      </w:r>
      <w:hyperlink r:id="rId1995" w:history="1">
        <w:r w:rsidRPr="00B46EE7">
          <w:rPr>
            <w:rStyle w:val="Hyperlink"/>
            <w:rFonts w:eastAsiaTheme="majorEastAsia"/>
          </w:rPr>
          <w:t>https://cases.justia.com/federal/appellate-courts/ca5/22-20380/22-20380-2023-07-24.pdf?ts=1690219861</w:t>
        </w:r>
      </w:hyperlink>
      <w:r>
        <w:t xml:space="preserve"> </w:t>
      </w:r>
    </w:p>
    <w:p w14:paraId="18BF19E3" w14:textId="77777777" w:rsidR="000644B6" w:rsidRDefault="000644B6" w:rsidP="000644B6">
      <w:pPr>
        <w:pStyle w:val="NormalWeb"/>
      </w:pPr>
      <w:r>
        <w:t xml:space="preserve">Dissent:  </w:t>
      </w:r>
    </w:p>
    <w:p w14:paraId="7650D2A2" w14:textId="77777777" w:rsidR="000644B6" w:rsidRDefault="000644B6" w:rsidP="000644B6">
      <w:pPr>
        <w:pStyle w:val="NormalWeb"/>
        <w:ind w:left="720"/>
      </w:pPr>
      <w:r>
        <w:t>“As [</w:t>
      </w:r>
      <w:proofErr w:type="gramStart"/>
      <w:r>
        <w:t>secretary</w:t>
      </w:r>
      <w:proofErr w:type="gramEnd"/>
      <w:r>
        <w:t xml:space="preserve"> Ms.] Poe acknowledged, it was entirely normal for January to wait in the copy machine room with her while she was making copies. That is what most people do, so there is nothing to support the notion that he was threatening her by doing so. At some point January made his allegedly threatening statement, but, as Poe also admitted, she understood this statement to be directed </w:t>
      </w:r>
      <w:r>
        <w:rPr>
          <w:rStyle w:val="Emphasis"/>
        </w:rPr>
        <w:t>at Huntsville</w:t>
      </w:r>
      <w:r>
        <w:t xml:space="preserve">, rather than </w:t>
      </w:r>
      <w:r>
        <w:rPr>
          <w:rStyle w:val="Emphasis"/>
        </w:rPr>
        <w:t>herself</w:t>
      </w:r>
      <w:r>
        <w:t xml:space="preserve">. Put another way, he was threatening to sue the </w:t>
      </w:r>
      <w:proofErr w:type="gramStart"/>
      <w:r>
        <w:t>City</w:t>
      </w:r>
      <w:proofErr w:type="gramEnd"/>
      <w:r>
        <w:t>, not to hurt her physically (or otherwise). If telling one of the employees of a company or city that you are going to sue their employer is a threat that allows firing, that would be the opposite of the exact point of the retaliation clause: to preserve the protected activities of employees to file EEOC claims.”</w:t>
      </w:r>
    </w:p>
    <w:p w14:paraId="15AD8166" w14:textId="77777777" w:rsidR="000644B6" w:rsidRPr="006B356E" w:rsidRDefault="000644B6" w:rsidP="000644B6">
      <w:pPr>
        <w:pStyle w:val="NormalWeb"/>
        <w:rPr>
          <w:b/>
          <w:bCs/>
        </w:rPr>
      </w:pPr>
      <w:r w:rsidRPr="006B356E">
        <w:rPr>
          <w:b/>
          <w:bCs/>
        </w:rPr>
        <w:t xml:space="preserve">Legal Lesson Learned: </w:t>
      </w:r>
      <w:r>
        <w:rPr>
          <w:b/>
          <w:bCs/>
        </w:rPr>
        <w:t xml:space="preserve">The City officials had a reasonable basis to order a drug test; no retaliation for filing EEOC complaint was proven.  </w:t>
      </w:r>
    </w:p>
    <w:p w14:paraId="7D319C06" w14:textId="77777777" w:rsidR="000644B6" w:rsidRDefault="000644B6" w:rsidP="00F326E5">
      <w:pPr>
        <w:rPr>
          <w:rFonts w:ascii="Arial Black" w:hAnsi="Arial Black"/>
          <w:b/>
          <w:sz w:val="24"/>
          <w:szCs w:val="24"/>
        </w:rPr>
      </w:pPr>
    </w:p>
    <w:p w14:paraId="687B79FD" w14:textId="77777777" w:rsidR="000644B6" w:rsidRDefault="000644B6" w:rsidP="00F326E5">
      <w:pPr>
        <w:rPr>
          <w:rFonts w:ascii="Arial Black" w:hAnsi="Arial Black"/>
          <w:b/>
          <w:sz w:val="24"/>
          <w:szCs w:val="24"/>
        </w:rPr>
      </w:pPr>
    </w:p>
    <w:p w14:paraId="7F6E7CED" w14:textId="77777777" w:rsidR="000644B6" w:rsidRDefault="000644B6" w:rsidP="00F326E5">
      <w:pPr>
        <w:rPr>
          <w:rFonts w:ascii="Arial Black" w:hAnsi="Arial Black"/>
          <w:b/>
          <w:sz w:val="24"/>
          <w:szCs w:val="24"/>
        </w:rPr>
      </w:pPr>
    </w:p>
    <w:p w14:paraId="5C9B86D8" w14:textId="6403C376" w:rsidR="00237599" w:rsidRDefault="00237599" w:rsidP="00F326E5">
      <w:pPr>
        <w:rPr>
          <w:rFonts w:ascii="Arial Black" w:hAnsi="Arial Black"/>
          <w:b/>
          <w:sz w:val="24"/>
          <w:szCs w:val="24"/>
        </w:rPr>
      </w:pPr>
      <w:r>
        <w:rPr>
          <w:rFonts w:ascii="Arial Black" w:hAnsi="Arial Black"/>
          <w:b/>
          <w:sz w:val="24"/>
          <w:szCs w:val="24"/>
        </w:rPr>
        <w:t>12-22</w:t>
      </w:r>
    </w:p>
    <w:p w14:paraId="5CCE0507" w14:textId="77777777" w:rsidR="00237599" w:rsidRDefault="00237599" w:rsidP="00237599">
      <w:pPr>
        <w:pStyle w:val="NormalWeb"/>
        <w:rPr>
          <w:rFonts w:ascii="Arial Black" w:hAnsi="Arial Black"/>
          <w:sz w:val="28"/>
          <w:szCs w:val="28"/>
        </w:rPr>
      </w:pPr>
      <w:bookmarkStart w:id="414" w:name="_Hlk136860476"/>
      <w:r>
        <w:rPr>
          <w:rFonts w:ascii="Arial Black" w:hAnsi="Arial Black"/>
          <w:sz w:val="28"/>
          <w:szCs w:val="28"/>
        </w:rPr>
        <w:t>NY: OXYCONTIN – CO. BANKRUPTCY APPROVED, ALONG WITH SACKLER FAMILY RELEASE - $5 - $6B TO STATES</w:t>
      </w:r>
    </w:p>
    <w:bookmarkEnd w:id="414"/>
    <w:p w14:paraId="66A3C9AA" w14:textId="77777777" w:rsidR="00237599" w:rsidRPr="005B0088" w:rsidRDefault="00237599" w:rsidP="00237599">
      <w:pPr>
        <w:pStyle w:val="NormalWeb"/>
        <w:rPr>
          <w:rFonts w:ascii="Arial Black" w:hAnsi="Arial Black"/>
          <w:sz w:val="28"/>
          <w:szCs w:val="28"/>
        </w:rPr>
      </w:pPr>
      <w:r>
        <w:t xml:space="preserve">On May 30, 2023, in bankruptcy case </w:t>
      </w:r>
      <w:r w:rsidRPr="002F4F98">
        <w:rPr>
          <w:rStyle w:val="markedcontent"/>
          <w:u w:val="single"/>
        </w:rPr>
        <w:t>In Re: Purdue Pharma L.P., et a</w:t>
      </w:r>
      <w:r>
        <w:rPr>
          <w:rStyle w:val="markedcontent"/>
        </w:rPr>
        <w:t xml:space="preserve">l., </w:t>
      </w:r>
      <w:r>
        <w:t>the U.S. Court of Appeals for Second Circuit (in New York City), approved (3 to 0) settlement of mass tort litigation from overdose deaths from OxyContin, and the Sackler family owners will pay about $5 to $6 billion to state and local governments and others and give up control of Purdue Pharma (based in Stamford, CT) , and about $750 million will go to individuals (ranging from $3,500 to $48,000). Several states had opposed the plan, but with revisions all agreed to the plan. In 2021, U.S. District Judge Colleen McMahon in New York found that federal bankruptcy law does not give the bankruptcy judge who had accepted the plan the authority to grant that kind of release to Sackler family; the 2</w:t>
      </w:r>
      <w:r w:rsidRPr="007A5B02">
        <w:rPr>
          <w:vertAlign w:val="superscript"/>
        </w:rPr>
        <w:t>nd</w:t>
      </w:r>
      <w:r>
        <w:t xml:space="preserve"> Circuit reversed that ruling.  </w:t>
      </w:r>
      <w:hyperlink r:id="rId1996" w:anchor="xml=https://www.ca2.uscourts.gov/decisions/isysquery/8c1d712c-7872-4b25-a064-fe1fbb801f2a/1/hilite/" w:history="1">
        <w:r w:rsidRPr="00BA70FB">
          <w:rPr>
            <w:rStyle w:val="Hyperlink"/>
            <w:rFonts w:eastAsiaTheme="majorEastAsia"/>
          </w:rPr>
          <w:t>https://www.ca2.uscourts.gov/decisions/isysquery/8c1d712c-7872-4b25-a064-fe1fbb801f2a/1/doc/22-110_complete_opn.pdf#xml=https://www.ca2.uscourts.gov/decisions/isysquery/8c1d712c-7872-4b25-a064-fe1fbb801f2a/1/hilite/</w:t>
        </w:r>
      </w:hyperlink>
      <w:r>
        <w:t xml:space="preserve">  </w:t>
      </w:r>
    </w:p>
    <w:p w14:paraId="347C5CB8" w14:textId="77777777" w:rsidR="00237599" w:rsidRPr="005B0088" w:rsidRDefault="00237599" w:rsidP="00237599">
      <w:pPr>
        <w:pStyle w:val="NormalWeb"/>
        <w:ind w:left="720"/>
        <w:jc w:val="both"/>
        <w:rPr>
          <w:rFonts w:ascii="Arial Black" w:hAnsi="Arial Black"/>
          <w:sz w:val="28"/>
          <w:szCs w:val="28"/>
        </w:rPr>
      </w:pPr>
      <w:r>
        <w:t>“</w:t>
      </w:r>
      <w:r>
        <w:rPr>
          <w:rStyle w:val="markedcontent"/>
        </w:rPr>
        <w:t xml:space="preserve">In sum, we reverse the district court’s holding that the bankruptcy court lacked the authority to approve the Plan that included the nonconsensual third-party releases. We instead hold that the bankruptcy court properly approved the Plan and made the requisite detailed factual findings to approve of the Shareholder Releases.” </w:t>
      </w:r>
    </w:p>
    <w:p w14:paraId="2863C9AB" w14:textId="77777777" w:rsidR="00237599" w:rsidRPr="001F18CE" w:rsidRDefault="00237599" w:rsidP="00237599">
      <w:pPr>
        <w:pStyle w:val="NormalWeb"/>
        <w:rPr>
          <w:rStyle w:val="markedcontent"/>
          <w:b/>
          <w:bCs/>
        </w:rPr>
      </w:pPr>
      <w:r w:rsidRPr="001F18CE">
        <w:rPr>
          <w:rStyle w:val="markedcontent"/>
          <w:b/>
          <w:bCs/>
        </w:rPr>
        <w:t xml:space="preserve">Legal Lesson Learned: </w:t>
      </w:r>
      <w:r>
        <w:rPr>
          <w:rStyle w:val="markedcontent"/>
          <w:b/>
          <w:bCs/>
        </w:rPr>
        <w:t xml:space="preserve">OxyContin has led to death of many; this bankruptcy ends numerous mass tort cases.  </w:t>
      </w:r>
    </w:p>
    <w:p w14:paraId="173C6EB4" w14:textId="77777777" w:rsidR="00237599" w:rsidRDefault="00237599" w:rsidP="00237599">
      <w:pPr>
        <w:pStyle w:val="NormalWeb"/>
        <w:ind w:left="720"/>
        <w:rPr>
          <w:b/>
          <w:bCs/>
        </w:rPr>
      </w:pPr>
      <w:r>
        <w:rPr>
          <w:rStyle w:val="markedcontent"/>
        </w:rPr>
        <w:t xml:space="preserve">Note: </w:t>
      </w:r>
      <w:r w:rsidRPr="005B0088">
        <w:t xml:space="preserve">See May 30, </w:t>
      </w:r>
      <w:proofErr w:type="gramStart"/>
      <w:r w:rsidRPr="005B0088">
        <w:t>2023</w:t>
      </w:r>
      <w:proofErr w:type="gramEnd"/>
      <w:r w:rsidRPr="005B0088">
        <w:t xml:space="preserve"> article, “A landmark appeals court ruling clears way for Purdue Pharma-Sackler bankruptcy deal.”</w:t>
      </w:r>
      <w:r>
        <w:rPr>
          <w:b/>
          <w:bCs/>
        </w:rPr>
        <w:t xml:space="preserve"> </w:t>
      </w:r>
      <w:hyperlink r:id="rId1997" w:history="1">
        <w:r w:rsidRPr="00BA70FB">
          <w:rPr>
            <w:rStyle w:val="Hyperlink"/>
            <w:rFonts w:eastAsiaTheme="majorEastAsia"/>
          </w:rPr>
          <w:t>https://www.npr.org/2023/05/30/1178850879/sackler-family-purdue-pharma-immunity-lawsuits-oxycontin-opioid</w:t>
        </w:r>
      </w:hyperlink>
      <w:r>
        <w:rPr>
          <w:b/>
          <w:bCs/>
        </w:rPr>
        <w:t xml:space="preserve"> </w:t>
      </w:r>
    </w:p>
    <w:p w14:paraId="046FBC9C" w14:textId="77777777" w:rsidR="00237599" w:rsidRPr="005B0088" w:rsidRDefault="00237599" w:rsidP="00237599">
      <w:pPr>
        <w:pStyle w:val="NormalWeb"/>
        <w:ind w:left="1440"/>
        <w:rPr>
          <w:color w:val="000000" w:themeColor="text1"/>
        </w:rPr>
      </w:pPr>
      <w:r w:rsidRPr="005B0088">
        <w:rPr>
          <w:color w:val="000000" w:themeColor="text1"/>
        </w:rPr>
        <w:t xml:space="preserve">“As part of the bankruptcy settlement, the </w:t>
      </w:r>
      <w:proofErr w:type="spellStart"/>
      <w:r w:rsidRPr="005B0088">
        <w:rPr>
          <w:color w:val="000000" w:themeColor="text1"/>
        </w:rPr>
        <w:t>Sacklers</w:t>
      </w:r>
      <w:proofErr w:type="spellEnd"/>
      <w:r w:rsidRPr="005B0088">
        <w:rPr>
          <w:color w:val="000000" w:themeColor="text1"/>
        </w:rPr>
        <w:t xml:space="preserve"> are </w:t>
      </w:r>
      <w:hyperlink r:id="rId1998" w:anchor=":~:text=The%20Sackler%20families%20must%20pay,to%20the%20previous%20bankruptcy%20plan." w:history="1">
        <w:r w:rsidRPr="005B0088">
          <w:rPr>
            <w:rStyle w:val="Hyperlink"/>
            <w:rFonts w:eastAsiaTheme="majorEastAsia"/>
            <w:color w:val="000000" w:themeColor="text1"/>
          </w:rPr>
          <w:t>expected to pay roughly $5 to $6 billion and give up control of Purdue Pharma</w:t>
        </w:r>
      </w:hyperlink>
      <w:r w:rsidRPr="005B0088">
        <w:rPr>
          <w:color w:val="000000" w:themeColor="text1"/>
        </w:rPr>
        <w:t>. Roughly $750 million from that payout will go to individuals across the U.S. who became addicted to OxyContin and to the families of those who died from overdoses.”</w:t>
      </w:r>
    </w:p>
    <w:p w14:paraId="4DA353E5" w14:textId="77777777" w:rsidR="00237599" w:rsidRPr="00BD34DC" w:rsidRDefault="00237599" w:rsidP="00237599">
      <w:pPr>
        <w:pStyle w:val="Heading1"/>
        <w:ind w:left="720"/>
        <w:rPr>
          <w:b w:val="0"/>
          <w:bCs w:val="0"/>
          <w:sz w:val="24"/>
          <w:szCs w:val="24"/>
        </w:rPr>
      </w:pPr>
      <w:r w:rsidRPr="00BD34DC">
        <w:rPr>
          <w:b w:val="0"/>
          <w:bCs w:val="0"/>
          <w:sz w:val="24"/>
          <w:szCs w:val="24"/>
        </w:rPr>
        <w:t xml:space="preserve">See March 3, </w:t>
      </w:r>
      <w:proofErr w:type="gramStart"/>
      <w:r w:rsidRPr="00BD34DC">
        <w:rPr>
          <w:b w:val="0"/>
          <w:bCs w:val="0"/>
          <w:sz w:val="24"/>
          <w:szCs w:val="24"/>
        </w:rPr>
        <w:t>2022</w:t>
      </w:r>
      <w:proofErr w:type="gramEnd"/>
      <w:r w:rsidRPr="00BD34DC">
        <w:rPr>
          <w:b w:val="0"/>
          <w:bCs w:val="0"/>
          <w:sz w:val="24"/>
          <w:szCs w:val="24"/>
        </w:rPr>
        <w:t xml:space="preserve"> New York Times article, </w:t>
      </w:r>
      <w:r>
        <w:rPr>
          <w:b w:val="0"/>
          <w:bCs w:val="0"/>
          <w:sz w:val="24"/>
          <w:szCs w:val="24"/>
        </w:rPr>
        <w:t>“</w:t>
      </w:r>
      <w:proofErr w:type="spellStart"/>
      <w:r w:rsidRPr="00BD34DC">
        <w:rPr>
          <w:b w:val="0"/>
          <w:bCs w:val="0"/>
          <w:sz w:val="24"/>
          <w:szCs w:val="24"/>
        </w:rPr>
        <w:t>Sacklers</w:t>
      </w:r>
      <w:proofErr w:type="spellEnd"/>
      <w:r w:rsidRPr="00BD34DC">
        <w:rPr>
          <w:b w:val="0"/>
          <w:bCs w:val="0"/>
          <w:sz w:val="24"/>
          <w:szCs w:val="24"/>
        </w:rPr>
        <w:t xml:space="preserve"> and Purdue Pharma Reach New Deal </w:t>
      </w:r>
      <w:proofErr w:type="gramStart"/>
      <w:r w:rsidRPr="00BD34DC">
        <w:rPr>
          <w:b w:val="0"/>
          <w:bCs w:val="0"/>
          <w:sz w:val="24"/>
          <w:szCs w:val="24"/>
        </w:rPr>
        <w:t>With</w:t>
      </w:r>
      <w:proofErr w:type="gramEnd"/>
      <w:r w:rsidRPr="00BD34DC">
        <w:rPr>
          <w:b w:val="0"/>
          <w:bCs w:val="0"/>
          <w:sz w:val="24"/>
          <w:szCs w:val="24"/>
        </w:rPr>
        <w:t xml:space="preserve"> States Over Opioids</w:t>
      </w:r>
      <w:r>
        <w:rPr>
          <w:b w:val="0"/>
          <w:bCs w:val="0"/>
          <w:sz w:val="24"/>
          <w:szCs w:val="24"/>
        </w:rPr>
        <w:t xml:space="preserve">.” </w:t>
      </w:r>
      <w:hyperlink r:id="rId1999" w:history="1">
        <w:r w:rsidRPr="006E17D1">
          <w:rPr>
            <w:rStyle w:val="Hyperlink"/>
            <w:rFonts w:eastAsiaTheme="majorEastAsia"/>
            <w:b w:val="0"/>
            <w:bCs w:val="0"/>
            <w:sz w:val="24"/>
            <w:szCs w:val="24"/>
          </w:rPr>
          <w:t>https://www.nytimes.com/2022/03/03/health/sacklers-purdue-oxycontin-settlement.html</w:t>
        </w:r>
      </w:hyperlink>
      <w:r>
        <w:rPr>
          <w:b w:val="0"/>
          <w:bCs w:val="0"/>
          <w:sz w:val="24"/>
          <w:szCs w:val="24"/>
        </w:rPr>
        <w:t xml:space="preserve"> </w:t>
      </w:r>
    </w:p>
    <w:p w14:paraId="0DD668A0" w14:textId="77777777" w:rsidR="00237599" w:rsidRDefault="00237599" w:rsidP="00237599">
      <w:pPr>
        <w:pStyle w:val="css-1n0orw4"/>
        <w:ind w:left="1440"/>
      </w:pPr>
      <w:r>
        <w:t xml:space="preserve">“The agreement brought holdout states on </w:t>
      </w:r>
      <w:proofErr w:type="gramStart"/>
      <w:r>
        <w:t>board, and</w:t>
      </w:r>
      <w:proofErr w:type="gramEnd"/>
      <w:r>
        <w:t xml:space="preserve"> would settle thousands of lawsuits over the company’s and family’s roles in the opioid epidemic. The </w:t>
      </w:r>
      <w:proofErr w:type="spellStart"/>
      <w:r>
        <w:t>Sacklers</w:t>
      </w:r>
      <w:proofErr w:type="spellEnd"/>
      <w:r>
        <w:t xml:space="preserve"> agreed to pay an extra $1 billion. Members of the billionaire Sackler family and their company, Purdue Pharma, have reached a deal with a group of states that had long resisted the company’s bankruptcy plan — a crucial step toward funneling billions of dollars from the family’s fortune to addiction treatment programs nationwide, according to a </w:t>
      </w:r>
      <w:hyperlink r:id="rId2000" w:tgtFrame="_blank" w:history="1">
        <w:r>
          <w:rPr>
            <w:rStyle w:val="Hyperlink"/>
            <w:rFonts w:eastAsiaTheme="majorEastAsia"/>
          </w:rPr>
          <w:t>court filing</w:t>
        </w:r>
      </w:hyperlink>
      <w:r>
        <w:t xml:space="preserve"> on Thursday. If Judge Robert Drain, who has presided over Purdue’s bankruptcy proceedings in White Plains, N.Y., approves the agreement, the </w:t>
      </w:r>
      <w:proofErr w:type="spellStart"/>
      <w:r>
        <w:t>Sacklers</w:t>
      </w:r>
      <w:proofErr w:type="spellEnd"/>
      <w:r>
        <w:t xml:space="preserve"> would pay as much as $6 billion to help communities address the damage from the opioid crisis. In return, Sackler family members would get the</w:t>
      </w:r>
      <w:hyperlink r:id="rId2001" w:history="1">
        <w:r>
          <w:rPr>
            <w:rStyle w:val="Hyperlink"/>
            <w:rFonts w:eastAsiaTheme="majorEastAsia"/>
          </w:rPr>
          <w:t xml:space="preserve"> prize they insisted upon for nearly three years</w:t>
        </w:r>
      </w:hyperlink>
      <w:r>
        <w:t xml:space="preserve">: an end to all current and future civil claims against them over the company’s prescription opioid </w:t>
      </w:r>
      <w:proofErr w:type="gramStart"/>
      <w:r>
        <w:t>business.”</w:t>
      </w:r>
      <w:proofErr w:type="gramEnd"/>
    </w:p>
    <w:p w14:paraId="7578779F" w14:textId="77777777" w:rsidR="00237599" w:rsidRDefault="00237599" w:rsidP="00237599">
      <w:pPr>
        <w:pStyle w:val="Heading1"/>
        <w:ind w:left="720"/>
        <w:rPr>
          <w:b w:val="0"/>
          <w:bCs w:val="0"/>
          <w:sz w:val="24"/>
          <w:szCs w:val="24"/>
        </w:rPr>
      </w:pPr>
      <w:r>
        <w:rPr>
          <w:b w:val="0"/>
          <w:bCs w:val="0"/>
          <w:sz w:val="24"/>
          <w:szCs w:val="24"/>
        </w:rPr>
        <w:t xml:space="preserve">See </w:t>
      </w:r>
      <w:r w:rsidRPr="00022A47">
        <w:rPr>
          <w:b w:val="0"/>
          <w:bCs w:val="0"/>
          <w:sz w:val="24"/>
          <w:szCs w:val="24"/>
        </w:rPr>
        <w:t xml:space="preserve">Oct. 21, </w:t>
      </w:r>
      <w:proofErr w:type="gramStart"/>
      <w:r w:rsidRPr="00022A47">
        <w:rPr>
          <w:b w:val="0"/>
          <w:bCs w:val="0"/>
          <w:sz w:val="24"/>
          <w:szCs w:val="24"/>
        </w:rPr>
        <w:t>20</w:t>
      </w:r>
      <w:r>
        <w:rPr>
          <w:b w:val="0"/>
          <w:bCs w:val="0"/>
          <w:sz w:val="24"/>
          <w:szCs w:val="24"/>
        </w:rPr>
        <w:t>20</w:t>
      </w:r>
      <w:proofErr w:type="gramEnd"/>
      <w:r>
        <w:rPr>
          <w:b w:val="0"/>
          <w:bCs w:val="0"/>
          <w:sz w:val="24"/>
          <w:szCs w:val="24"/>
        </w:rPr>
        <w:t xml:space="preserve"> Press Release, “</w:t>
      </w:r>
      <w:r w:rsidRPr="00022A47">
        <w:rPr>
          <w:b w:val="0"/>
          <w:bCs w:val="0"/>
          <w:sz w:val="24"/>
          <w:szCs w:val="24"/>
        </w:rPr>
        <w:t>Justice Department Announces Global Resolution of Criminal and Civil Investigations with Opioid Manufacturer Purdue Pharma and Civil Settlement with Members of the Sackler Family</w:t>
      </w:r>
      <w:r>
        <w:rPr>
          <w:b w:val="0"/>
          <w:bCs w:val="0"/>
          <w:sz w:val="24"/>
          <w:szCs w:val="24"/>
        </w:rPr>
        <w:t>.”</w:t>
      </w:r>
      <w:r w:rsidRPr="00022A47">
        <w:t xml:space="preserve"> </w:t>
      </w:r>
      <w:hyperlink r:id="rId2002" w:history="1">
        <w:r w:rsidRPr="005639A2">
          <w:rPr>
            <w:rStyle w:val="Hyperlink"/>
            <w:rFonts w:eastAsiaTheme="majorEastAsia"/>
            <w:b w:val="0"/>
            <w:bCs w:val="0"/>
            <w:sz w:val="24"/>
            <w:szCs w:val="24"/>
          </w:rPr>
          <w:t>https://www.justice.gov/opa/pr/justice-department-announces-global-resolution-criminal-and-civil-investigations-opioid</w:t>
        </w:r>
      </w:hyperlink>
      <w:r>
        <w:rPr>
          <w:b w:val="0"/>
          <w:bCs w:val="0"/>
          <w:sz w:val="24"/>
          <w:szCs w:val="24"/>
        </w:rPr>
        <w:t xml:space="preserve"> </w:t>
      </w:r>
    </w:p>
    <w:p w14:paraId="29920321" w14:textId="77777777" w:rsidR="00237599" w:rsidRPr="00022A47" w:rsidRDefault="00237599" w:rsidP="00237599">
      <w:pPr>
        <w:pStyle w:val="Heading1"/>
        <w:ind w:left="1440"/>
        <w:rPr>
          <w:b w:val="0"/>
          <w:bCs w:val="0"/>
          <w:sz w:val="24"/>
          <w:szCs w:val="24"/>
        </w:rPr>
      </w:pPr>
      <w:r>
        <w:rPr>
          <w:b w:val="0"/>
          <w:bCs w:val="0"/>
          <w:sz w:val="24"/>
          <w:szCs w:val="24"/>
        </w:rPr>
        <w:t>“</w:t>
      </w:r>
      <w:r w:rsidRPr="00022A47">
        <w:rPr>
          <w:b w:val="0"/>
          <w:bCs w:val="0"/>
          <w:sz w:val="24"/>
          <w:szCs w:val="24"/>
        </w:rPr>
        <w:t xml:space="preserve">Under a separate civil settlement, individual members of the Sackler family will pay the United States $225 million arising from the alleged conduct of Dr. Richard Sackler, David Sackler, Mortimer D.A. Sackler, Dr. Kathe Sackler, and Jonathan Sackler (the Named </w:t>
      </w:r>
      <w:proofErr w:type="spellStart"/>
      <w:r w:rsidRPr="00022A47">
        <w:rPr>
          <w:b w:val="0"/>
          <w:bCs w:val="0"/>
          <w:sz w:val="24"/>
          <w:szCs w:val="24"/>
        </w:rPr>
        <w:t>Sacklers</w:t>
      </w:r>
      <w:proofErr w:type="spellEnd"/>
      <w:r w:rsidRPr="00022A47">
        <w:rPr>
          <w:b w:val="0"/>
          <w:bCs w:val="0"/>
          <w:sz w:val="24"/>
          <w:szCs w:val="24"/>
        </w:rPr>
        <w:t xml:space="preserve">).  This settlement resolves allegations that, in 2012, the Named </w:t>
      </w:r>
      <w:proofErr w:type="spellStart"/>
      <w:r w:rsidRPr="00022A47">
        <w:rPr>
          <w:b w:val="0"/>
          <w:bCs w:val="0"/>
          <w:sz w:val="24"/>
          <w:szCs w:val="24"/>
        </w:rPr>
        <w:t>Sacklers</w:t>
      </w:r>
      <w:proofErr w:type="spellEnd"/>
      <w:r w:rsidRPr="00022A47">
        <w:rPr>
          <w:b w:val="0"/>
          <w:bCs w:val="0"/>
          <w:sz w:val="24"/>
          <w:szCs w:val="24"/>
        </w:rPr>
        <w:t xml:space="preserve"> knew that the legitimate market for Purdue’s opioids had contracted.  Nevertheless, they requested that Purdue executives recapture lost sales and increase Purdue’s share of the opioid market.  The Named </w:t>
      </w:r>
      <w:proofErr w:type="spellStart"/>
      <w:r w:rsidRPr="00022A47">
        <w:rPr>
          <w:b w:val="0"/>
          <w:bCs w:val="0"/>
          <w:sz w:val="24"/>
          <w:szCs w:val="24"/>
        </w:rPr>
        <w:t>Sacklers</w:t>
      </w:r>
      <w:proofErr w:type="spellEnd"/>
      <w:r w:rsidRPr="00022A47">
        <w:rPr>
          <w:b w:val="0"/>
          <w:bCs w:val="0"/>
          <w:sz w:val="24"/>
          <w:szCs w:val="24"/>
        </w:rPr>
        <w:t xml:space="preserve"> then approved a new marketing program beginning in 2013 called </w:t>
      </w:r>
      <w:r>
        <w:rPr>
          <w:b w:val="0"/>
          <w:bCs w:val="0"/>
          <w:sz w:val="24"/>
          <w:szCs w:val="24"/>
        </w:rPr>
        <w:t>‘</w:t>
      </w:r>
      <w:r w:rsidRPr="00022A47">
        <w:rPr>
          <w:b w:val="0"/>
          <w:bCs w:val="0"/>
          <w:sz w:val="24"/>
          <w:szCs w:val="24"/>
        </w:rPr>
        <w:t>Evolve to Excellence,</w:t>
      </w:r>
      <w:r>
        <w:rPr>
          <w:b w:val="0"/>
          <w:bCs w:val="0"/>
          <w:sz w:val="24"/>
          <w:szCs w:val="24"/>
        </w:rPr>
        <w:t>’</w:t>
      </w:r>
      <w:r w:rsidRPr="00022A47">
        <w:rPr>
          <w:b w:val="0"/>
          <w:bCs w:val="0"/>
          <w:sz w:val="24"/>
          <w:szCs w:val="24"/>
        </w:rPr>
        <w:t xml:space="preserve"> through which Purdue sales representatives intensified their marketing of OxyContin to extreme, high-volume prescribers who were already writing “25 times as many OxyContin scripts” as their peers, causing health care providers to prescribe opioids for uses that were unsafe, ineffective, and medically unnecessary, and that often led to abuse and diversion.</w:t>
      </w:r>
      <w:r>
        <w:rPr>
          <w:b w:val="0"/>
          <w:bCs w:val="0"/>
          <w:sz w:val="24"/>
          <w:szCs w:val="24"/>
        </w:rPr>
        <w:t>”</w:t>
      </w:r>
      <w:r w:rsidRPr="00022A47">
        <w:rPr>
          <w:b w:val="0"/>
          <w:bCs w:val="0"/>
          <w:sz w:val="24"/>
          <w:szCs w:val="24"/>
        </w:rPr>
        <w:t xml:space="preserve">    </w:t>
      </w:r>
    </w:p>
    <w:p w14:paraId="6BD81C99" w14:textId="77777777" w:rsidR="00237599" w:rsidRDefault="00237599" w:rsidP="00F326E5">
      <w:pPr>
        <w:rPr>
          <w:rFonts w:ascii="Arial Black" w:hAnsi="Arial Black"/>
          <w:b/>
          <w:sz w:val="24"/>
          <w:szCs w:val="24"/>
        </w:rPr>
      </w:pPr>
    </w:p>
    <w:p w14:paraId="37276519" w14:textId="77777777" w:rsidR="00237599" w:rsidRDefault="00237599" w:rsidP="00F326E5">
      <w:pPr>
        <w:rPr>
          <w:rFonts w:ascii="Arial Black" w:hAnsi="Arial Black"/>
          <w:b/>
          <w:sz w:val="24"/>
          <w:szCs w:val="24"/>
        </w:rPr>
      </w:pPr>
    </w:p>
    <w:p w14:paraId="73A66DE2" w14:textId="559102DB" w:rsidR="00F55395" w:rsidRDefault="00F55395" w:rsidP="00F326E5">
      <w:pPr>
        <w:rPr>
          <w:rFonts w:ascii="Arial Black" w:hAnsi="Arial Black"/>
          <w:b/>
          <w:sz w:val="24"/>
          <w:szCs w:val="24"/>
        </w:rPr>
      </w:pPr>
      <w:r>
        <w:rPr>
          <w:rFonts w:ascii="Arial Black" w:hAnsi="Arial Black"/>
          <w:b/>
          <w:sz w:val="24"/>
          <w:szCs w:val="24"/>
        </w:rPr>
        <w:t>12-21</w:t>
      </w:r>
    </w:p>
    <w:p w14:paraId="6EA76482" w14:textId="77777777" w:rsidR="00F55395" w:rsidRDefault="00F55395" w:rsidP="00F55395">
      <w:pPr>
        <w:pStyle w:val="NormalWeb"/>
        <w:rPr>
          <w:rFonts w:ascii="Arial Black" w:hAnsi="Arial Black"/>
          <w:sz w:val="28"/>
          <w:szCs w:val="28"/>
        </w:rPr>
      </w:pPr>
      <w:r>
        <w:rPr>
          <w:rFonts w:ascii="Arial Black" w:hAnsi="Arial Black"/>
          <w:sz w:val="28"/>
          <w:szCs w:val="28"/>
        </w:rPr>
        <w:t>PA: 7 DISPATCHERS FIRED – EGG NOG / ALCOHOL – THEIR PRIOR CALL CENTER ISSUES NOT “CITIZEN SPEECH”</w:t>
      </w:r>
    </w:p>
    <w:p w14:paraId="26C7C252" w14:textId="77777777" w:rsidR="00F55395" w:rsidRDefault="00F55395" w:rsidP="00F55395">
      <w:pPr>
        <w:pStyle w:val="NormalWeb"/>
      </w:pPr>
      <w:r>
        <w:t xml:space="preserve">On March 9, 2023, in </w:t>
      </w:r>
      <w:r w:rsidRPr="00D85D57">
        <w:rPr>
          <w:u w:val="single"/>
        </w:rPr>
        <w:t>Justin Zucal, et al. v. County of Lehigh, et al</w:t>
      </w:r>
      <w:r>
        <w:t xml:space="preserve">., U.S. District Court Judge John M. Gallaher, Eastern District of Pennsylvania, granted the defense motion to dismiss the lawsuit filed by seven dispatchers who were fired on Jan. 21, </w:t>
      </w:r>
      <w:proofErr w:type="gramStart"/>
      <w:r>
        <w:t>2020</w:t>
      </w:r>
      <w:proofErr w:type="gramEnd"/>
      <w:r>
        <w:t xml:space="preserve"> after the New Year’s Eve toast.  In January 2019, the Allentown 911 Emergency Call Center merged with the Lehigh County 911 Emergency Call Center; some dispatchers complained to County officials, and police and fire agencies about call center issues, and alleged discrimination against a Latino dispatcher.  The Court rejected their claim that they were fired in retaliation for exercising their First Amendment rights to complain to public.  “[T]he Court finds that Plaintiffs' complaints that serve as the basis for their retaliation claim are not protected by the First Amendment as citizen speech. And because the Plaintiffs' statements were made within their duties as government employees, the Court need not address whether their statements involved a matter of public concern or whether the government lacked an ‘adequate justification' for treating the employee differently than the general public based on its needs as an employer under the </w:t>
      </w:r>
      <w:r>
        <w:rPr>
          <w:rStyle w:val="Emphasis"/>
        </w:rPr>
        <w:t>Pickering</w:t>
      </w:r>
      <w:r>
        <w:t xml:space="preserve"> balancing test.’ </w:t>
      </w:r>
      <w:r>
        <w:rPr>
          <w:rStyle w:val="Emphasis"/>
        </w:rPr>
        <w:t>Dougherty</w:t>
      </w:r>
      <w:r>
        <w:t xml:space="preserve">, 772 F.3d at 987 (quoting </w:t>
      </w:r>
      <w:r>
        <w:rPr>
          <w:rStyle w:val="Emphasis"/>
        </w:rPr>
        <w:t>Gorum</w:t>
      </w:r>
      <w:r>
        <w:t xml:space="preserve">, 561 F.3d at 185). Accordingly, Defendants' motion to dismiss this claim is granted.” </w:t>
      </w:r>
      <w:hyperlink r:id="rId2003" w:history="1">
        <w:r w:rsidRPr="005C1F1B">
          <w:rPr>
            <w:rStyle w:val="Hyperlink"/>
            <w:rFonts w:eastAsiaTheme="majorEastAsia"/>
          </w:rPr>
          <w:t>https://public.fastcase.com/J%2FJP6pdidelsXxEE4k%2BLMjguDlksD8dKELdpfFWP9cYBmH83FdbmlTzl%2FYR%2FGHKVJmTrfPX2dR0kqVK5JcTrQwWj0Xyj7G2BHa1wkLBWvR8%3D?utm_medium=email&amp;_hsmi=226712652&amp;_hsenc=p2ANqtz-8X8hd1OyKx9xBVWTYyyRcKWZqDrqGklavKHA9oFy03k-3f0cMxPP9GwSn13jNQOldot2axaAKjxlo1irLgFnquT2grYg&amp;utm_content=226712652&amp;utm_source=hs_email</w:t>
        </w:r>
      </w:hyperlink>
      <w:r>
        <w:t xml:space="preserve"> </w:t>
      </w:r>
    </w:p>
    <w:p w14:paraId="587682CD" w14:textId="77777777" w:rsidR="00F55395" w:rsidRDefault="00F55395" w:rsidP="00F55395">
      <w:pPr>
        <w:pStyle w:val="NormalWeb"/>
      </w:pPr>
      <w:r>
        <w:t xml:space="preserve">The Court described the “Fact Finding” meeting that led to their termination. </w:t>
      </w:r>
    </w:p>
    <w:p w14:paraId="5584E975" w14:textId="77777777" w:rsidR="00F55395" w:rsidRDefault="00F55395" w:rsidP="00F55395">
      <w:pPr>
        <w:pStyle w:val="NormalWeb"/>
        <w:ind w:left="720"/>
      </w:pPr>
      <w:r>
        <w:t>On December 31, 2019, Alvarez-Carril, Plaintiffs and other 911 dispatchers shared a New Year's Eve toast over small cups of eggnog….Plaintiffs claim that Gieringer granted permission to Alvarez-Carril to use alcohol for the toast….Plaintiffs also claim that prior to the toast, they had observed supervisors and other Lehigh County employees use, possess, or distribute alcohol on county property without any discipline….</w:t>
      </w:r>
    </w:p>
    <w:p w14:paraId="66FD186D" w14:textId="77777777" w:rsidR="00F55395" w:rsidRDefault="00F55395" w:rsidP="00F55395">
      <w:pPr>
        <w:pStyle w:val="NormalWeb"/>
        <w:ind w:left="720"/>
      </w:pPr>
      <w:r>
        <w:t>***</w:t>
      </w:r>
    </w:p>
    <w:p w14:paraId="169EEF28" w14:textId="77777777" w:rsidR="00F55395" w:rsidRDefault="00F55395" w:rsidP="00F55395">
      <w:pPr>
        <w:pStyle w:val="NormalWeb"/>
        <w:ind w:left="720"/>
      </w:pPr>
      <w:r>
        <w:t>On January 21, 2020, Plaintiffs were all ordered to attend individual meetings with Redding the next day…. Plaintiffs claim that during these meetings with Redding, they learned that county supervisors were alleging they had “drinking problems….” During these meetings, Plaintiffs Zucal, Francis C. Gatens, Geiger, Landis and Palmer were told their positions were being terminated and they were given an opportunity to resign….These plaintiffs claim Redding told them they could reapply for their positions, and that resignation would look better than termination…. They subsequently resigned, wrote a resignation letter, and immediately applied for reinstatement…. Plaintiffs claim the applications for reinstatement were ignored and dismissed….During their meetings with Redding that day, Plaintiffs David M. Gatens and Kirchner were informed their employment was being terminated and were subsequently escorted from the premises.”</w:t>
      </w:r>
    </w:p>
    <w:p w14:paraId="6A499809" w14:textId="77777777" w:rsidR="00F55395" w:rsidRPr="00D35EF0" w:rsidRDefault="00F55395" w:rsidP="00F55395">
      <w:pPr>
        <w:pStyle w:val="NormalWeb"/>
        <w:rPr>
          <w:b/>
          <w:bCs/>
        </w:rPr>
      </w:pPr>
      <w:r w:rsidRPr="00D35EF0">
        <w:rPr>
          <w:b/>
          <w:bCs/>
        </w:rPr>
        <w:t xml:space="preserve">Legal Lesson Learned:  </w:t>
      </w:r>
      <w:r>
        <w:rPr>
          <w:b/>
          <w:bCs/>
        </w:rPr>
        <w:t xml:space="preserve">Dispatchers drinking alcohol on duty, of any amount, can lead to termination. </w:t>
      </w:r>
    </w:p>
    <w:p w14:paraId="245A8E8D" w14:textId="77777777" w:rsidR="00F55395" w:rsidRPr="00D35EF0" w:rsidRDefault="00F55395" w:rsidP="00F55395">
      <w:pPr>
        <w:pStyle w:val="Heading1"/>
        <w:ind w:left="720"/>
        <w:rPr>
          <w:b w:val="0"/>
          <w:bCs w:val="0"/>
          <w:sz w:val="24"/>
          <w:szCs w:val="24"/>
        </w:rPr>
      </w:pPr>
      <w:r w:rsidRPr="00D35EF0">
        <w:rPr>
          <w:b w:val="0"/>
          <w:bCs w:val="0"/>
          <w:sz w:val="24"/>
          <w:szCs w:val="24"/>
        </w:rPr>
        <w:t xml:space="preserve">Note: See </w:t>
      </w:r>
      <w:r>
        <w:rPr>
          <w:b w:val="0"/>
          <w:bCs w:val="0"/>
          <w:sz w:val="24"/>
          <w:szCs w:val="24"/>
        </w:rPr>
        <w:t xml:space="preserve">Oct. 22, </w:t>
      </w:r>
      <w:proofErr w:type="gramStart"/>
      <w:r>
        <w:rPr>
          <w:b w:val="0"/>
          <w:bCs w:val="0"/>
          <w:sz w:val="24"/>
          <w:szCs w:val="24"/>
        </w:rPr>
        <w:t>2021</w:t>
      </w:r>
      <w:proofErr w:type="gramEnd"/>
      <w:r>
        <w:rPr>
          <w:b w:val="0"/>
          <w:bCs w:val="0"/>
          <w:sz w:val="24"/>
          <w:szCs w:val="24"/>
        </w:rPr>
        <w:t xml:space="preserve"> </w:t>
      </w:r>
      <w:r w:rsidRPr="00D35EF0">
        <w:rPr>
          <w:b w:val="0"/>
          <w:bCs w:val="0"/>
          <w:sz w:val="24"/>
          <w:szCs w:val="24"/>
        </w:rPr>
        <w:t>article</w:t>
      </w:r>
      <w:r>
        <w:rPr>
          <w:b w:val="0"/>
          <w:bCs w:val="0"/>
          <w:sz w:val="24"/>
          <w:szCs w:val="24"/>
        </w:rPr>
        <w:t>, “</w:t>
      </w:r>
      <w:r w:rsidRPr="00D35EF0">
        <w:rPr>
          <w:b w:val="0"/>
          <w:bCs w:val="0"/>
          <w:sz w:val="24"/>
          <w:szCs w:val="24"/>
        </w:rPr>
        <w:t>Lehigh County Pushes Back Against Lawsuit Alleging that Racism, Negligence at Emergency Call Center Led to Deaths</w:t>
      </w:r>
      <w:r>
        <w:rPr>
          <w:b w:val="0"/>
          <w:bCs w:val="0"/>
          <w:sz w:val="24"/>
          <w:szCs w:val="24"/>
        </w:rPr>
        <w:t xml:space="preserve">.” </w:t>
      </w:r>
      <w:hyperlink r:id="rId2004" w:history="1">
        <w:r w:rsidRPr="005C1F1B">
          <w:rPr>
            <w:rStyle w:val="Hyperlink"/>
            <w:rFonts w:eastAsiaTheme="majorEastAsia"/>
            <w:b w:val="0"/>
            <w:bCs w:val="0"/>
            <w:sz w:val="24"/>
            <w:szCs w:val="24"/>
          </w:rPr>
          <w:t>https://lawandcrime.com/lawsuit/racism-negligence-at-pennsylvania-emergency-call-center-led-to-deaths-lawsuit/</w:t>
        </w:r>
      </w:hyperlink>
      <w:r>
        <w:rPr>
          <w:b w:val="0"/>
          <w:bCs w:val="0"/>
          <w:sz w:val="24"/>
          <w:szCs w:val="24"/>
        </w:rPr>
        <w:t xml:space="preserve"> </w:t>
      </w:r>
    </w:p>
    <w:p w14:paraId="00F91500" w14:textId="77777777" w:rsidR="00F55395" w:rsidRDefault="00F55395" w:rsidP="00F326E5">
      <w:pPr>
        <w:rPr>
          <w:rFonts w:ascii="Arial Black" w:hAnsi="Arial Black"/>
          <w:b/>
          <w:sz w:val="24"/>
          <w:szCs w:val="24"/>
        </w:rPr>
      </w:pPr>
    </w:p>
    <w:p w14:paraId="6F3D7CD2" w14:textId="77777777" w:rsidR="00F55395" w:rsidRDefault="00F55395" w:rsidP="00F326E5">
      <w:pPr>
        <w:rPr>
          <w:rFonts w:ascii="Arial Black" w:hAnsi="Arial Black"/>
          <w:b/>
          <w:sz w:val="24"/>
          <w:szCs w:val="24"/>
        </w:rPr>
      </w:pPr>
    </w:p>
    <w:p w14:paraId="74BE185E" w14:textId="52D27774" w:rsidR="00D47B53" w:rsidRDefault="00D47B53" w:rsidP="00F326E5">
      <w:pPr>
        <w:rPr>
          <w:rFonts w:ascii="Arial Black" w:hAnsi="Arial Black"/>
          <w:b/>
          <w:sz w:val="24"/>
          <w:szCs w:val="24"/>
        </w:rPr>
      </w:pPr>
      <w:r>
        <w:rPr>
          <w:rFonts w:ascii="Arial Black" w:hAnsi="Arial Black"/>
          <w:b/>
          <w:sz w:val="24"/>
          <w:szCs w:val="24"/>
        </w:rPr>
        <w:t>12-20</w:t>
      </w:r>
    </w:p>
    <w:p w14:paraId="75EA4B90" w14:textId="77777777" w:rsidR="00D47B53" w:rsidRDefault="00D47B53" w:rsidP="00D47B53">
      <w:pPr>
        <w:pStyle w:val="NormalWeb"/>
      </w:pPr>
      <w:bookmarkStart w:id="415" w:name="_Hlk120878043"/>
      <w:r>
        <w:rPr>
          <w:rFonts w:ascii="Arial Black" w:hAnsi="Arial Black"/>
          <w:sz w:val="28"/>
          <w:szCs w:val="28"/>
        </w:rPr>
        <w:t>CT: FF BREACHED LAST CHANCE AGREEMENT – FIRED – PRESCRIPTION MARIJUANA – WINS UNEMPLOYMENT</w:t>
      </w:r>
      <w:r>
        <w:t xml:space="preserve"> </w:t>
      </w:r>
    </w:p>
    <w:p w14:paraId="3861BE3C" w14:textId="77777777" w:rsidR="00D47B53" w:rsidRDefault="00D47B53" w:rsidP="00D47B53">
      <w:pPr>
        <w:pStyle w:val="NormalWeb"/>
      </w:pPr>
      <w:r>
        <w:t xml:space="preserve">On Nov. 29, 2022, in </w:t>
      </w:r>
      <w:r w:rsidRPr="00544DBB">
        <w:rPr>
          <w:u w:val="single"/>
        </w:rPr>
        <w:t>City of Waterbury v. Administrator, Unemployment Compensation Act, et al.</w:t>
      </w:r>
      <w:r>
        <w:t xml:space="preserve">, the Court of Appeals of Connecticut held (3 to 0) that the referee decision and the Board of Review correctly held that firefighter </w:t>
      </w:r>
      <w:r w:rsidRPr="00AC0FB0">
        <w:t>Thomas F. Eccleston II, fired for use of marijuana, was</w:t>
      </w:r>
      <w:r>
        <w:t xml:space="preserve"> entitled to unemployment compensation. He was using prescribed marijuana under the state’s Palliative Use of Marijuana Act (PUMA); the Last Chance Agreement was signed prior to new marijuana prescription statute.   Under state law, employees may receive unemployment unless not discharged for “</w:t>
      </w:r>
      <w:proofErr w:type="spellStart"/>
      <w:r>
        <w:t>wilful</w:t>
      </w:r>
      <w:proofErr w:type="spellEnd"/>
      <w:r>
        <w:t xml:space="preserve"> misconduct.” </w:t>
      </w:r>
    </w:p>
    <w:p w14:paraId="18CBE56E" w14:textId="77777777" w:rsidR="00D47B53" w:rsidRDefault="00D47B53" w:rsidP="00D47B53">
      <w:pPr>
        <w:pStyle w:val="NormalWeb"/>
        <w:ind w:left="720"/>
      </w:pPr>
      <w:r>
        <w:t xml:space="preserve">“It is undisputed that the claimant is a qualifying patient entitled to protections under PUMA, which likewise entails protection against employment penalties resulting from the claimant's legal, off-duty use of medical marijuana. General Statutes § 21a-408p (b) (3); see also General Statutes § 21a-408a (a) (‘ [a] qualifying patient who has a valid registration certificate from the Department of Consumer Protection . . . and complies with the requirements of [PUMA] . . . shall not be subject to arrest or prosecution, penalized in any manner, including, but not limited to, being subject to any civil penalty, or denied any right or privilege, including, but not limited to, being subject to any disciplinary action by a professional licensing board, for the palliative </w:t>
      </w:r>
      <w:r>
        <w:rPr>
          <w:rStyle w:val="Emphasis"/>
        </w:rPr>
        <w:t>use</w:t>
      </w:r>
      <w:r>
        <w:t xml:space="preserve"> of marijuana’ (emphasis added)). Consequently, the board reasonably concluded that, insofar as the last chance agreement operated to allow the plaintiff to terminate the claimant's employment for his palliative use of marijuana, it was unreasonable. See Regs., Conn. State Agencies § 31-236-26b (d). Further, the unreasonable application of the last chance agreement to the claimant's palliative marijuana use forecloses the possibility that the claimant's employment was terminated for </w:t>
      </w:r>
      <w:proofErr w:type="spellStart"/>
      <w:r>
        <w:t>wilful</w:t>
      </w:r>
      <w:proofErr w:type="spellEnd"/>
      <w:r>
        <w:t xml:space="preserve"> misconduct. See General Statutes § 31-236 (a) (16).</w:t>
      </w:r>
      <w:r>
        <w:rPr>
          <w:vertAlign w:val="superscript"/>
        </w:rPr>
        <w:t xml:space="preserve">” </w:t>
      </w:r>
      <w:hyperlink r:id="rId2005" w:history="1">
        <w:r w:rsidRPr="00AF231E">
          <w:rPr>
            <w:rStyle w:val="Hyperlink"/>
            <w:rFonts w:eastAsiaTheme="majorEastAsia"/>
          </w:rPr>
          <w:t>https://www.jud.ct.gov/external/supapp/Cases/AROap/AP216/216AP25.pdf</w:t>
        </w:r>
      </w:hyperlink>
      <w:r>
        <w:t xml:space="preserve"> </w:t>
      </w:r>
    </w:p>
    <w:bookmarkEnd w:id="415"/>
    <w:p w14:paraId="1D75FEF6" w14:textId="77777777" w:rsidR="00D47B53" w:rsidRPr="00F5602A" w:rsidRDefault="00D47B53" w:rsidP="00D47B53">
      <w:pPr>
        <w:pStyle w:val="NormalWeb"/>
        <w:rPr>
          <w:b/>
          <w:bCs/>
        </w:rPr>
      </w:pPr>
      <w:r w:rsidRPr="00F5602A">
        <w:rPr>
          <w:b/>
          <w:bCs/>
        </w:rPr>
        <w:t>Legal Lesson Learned:</w:t>
      </w:r>
      <w:r>
        <w:rPr>
          <w:b/>
          <w:bCs/>
        </w:rPr>
        <w:t xml:space="preserve"> The last chance agreement was signed prior to the State’s new palliative marijuana legislation; future last chance agreements should address prescription marijuana. </w:t>
      </w:r>
    </w:p>
    <w:p w14:paraId="79CB2FF6" w14:textId="77777777" w:rsidR="00D47B53" w:rsidRDefault="00D47B53" w:rsidP="00F326E5">
      <w:pPr>
        <w:rPr>
          <w:rFonts w:ascii="Arial Black" w:hAnsi="Arial Black"/>
          <w:b/>
          <w:sz w:val="24"/>
          <w:szCs w:val="24"/>
        </w:rPr>
      </w:pPr>
    </w:p>
    <w:p w14:paraId="5E27A2D7" w14:textId="77777777" w:rsidR="00D47B53" w:rsidRDefault="00D47B53" w:rsidP="00F326E5">
      <w:pPr>
        <w:rPr>
          <w:rFonts w:ascii="Arial Black" w:hAnsi="Arial Black"/>
          <w:b/>
          <w:sz w:val="24"/>
          <w:szCs w:val="24"/>
        </w:rPr>
      </w:pPr>
    </w:p>
    <w:p w14:paraId="28A59F4E" w14:textId="3BB9B37D" w:rsidR="00AC5FED" w:rsidRDefault="00AC5FED" w:rsidP="00F326E5">
      <w:pPr>
        <w:rPr>
          <w:rFonts w:ascii="Arial Black" w:hAnsi="Arial Black"/>
          <w:b/>
          <w:sz w:val="24"/>
          <w:szCs w:val="24"/>
        </w:rPr>
      </w:pPr>
      <w:r>
        <w:rPr>
          <w:rFonts w:ascii="Arial Black" w:hAnsi="Arial Black"/>
          <w:b/>
          <w:sz w:val="24"/>
          <w:szCs w:val="24"/>
        </w:rPr>
        <w:t>12-19</w:t>
      </w:r>
    </w:p>
    <w:p w14:paraId="7A191B74"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FL: DRUG OVERDOSE / 911 CALLED - GOOD SAMARITAN ACT DOES NOT PREVENT PD ARREST OUTSTANDING WARRANT</w:t>
      </w:r>
    </w:p>
    <w:p w14:paraId="303F189E" w14:textId="77777777" w:rsidR="00AC5FED" w:rsidRDefault="00AC5FED" w:rsidP="00AC5FED">
      <w:pPr>
        <w:pStyle w:val="NormalWeb"/>
        <w:rPr>
          <w:rFonts w:eastAsiaTheme="minorHAnsi"/>
        </w:rPr>
      </w:pPr>
      <w:r>
        <w:t xml:space="preserve">On Sept. 23, 2022, in </w:t>
      </w:r>
      <w:r>
        <w:rPr>
          <w:u w:val="single"/>
        </w:rPr>
        <w:t>State of Florida v. Anthony L. Waiters</w:t>
      </w:r>
      <w:r>
        <w:t xml:space="preserve">, the Florida Court of Appeals, Second District, held (3 to 0) that the trial court improperly dismissed </w:t>
      </w:r>
      <w:r>
        <w:rPr>
          <w:rFonts w:eastAsiaTheme="minorHAnsi"/>
        </w:rPr>
        <w:t xml:space="preserve">the drug-related offenses under the 911 Good Samaritan Act, § 893.21(2), Fla. Stat. (2020). </w:t>
      </w:r>
    </w:p>
    <w:p w14:paraId="72DF42F8" w14:textId="29F24255" w:rsidR="00AC5FED" w:rsidRPr="00AC5FED" w:rsidRDefault="00AC5FED" w:rsidP="00AC5FED">
      <w:pPr>
        <w:ind w:left="720"/>
        <w:rPr>
          <w:rStyle w:val="Hyperlink"/>
          <w:rFonts w:ascii="Times New Roman" w:hAnsi="Times New Roman"/>
          <w:sz w:val="24"/>
          <w:szCs w:val="24"/>
        </w:rPr>
      </w:pPr>
      <w:r w:rsidRPr="00AC5FED">
        <w:rPr>
          <w:rFonts w:ascii="Times New Roman" w:eastAsiaTheme="minorHAnsi" w:hAnsi="Times New Roman"/>
          <w:sz w:val="24"/>
          <w:szCs w:val="24"/>
        </w:rPr>
        <w:t>“[T]</w:t>
      </w:r>
      <w:r w:rsidRPr="00AC5FED">
        <w:rPr>
          <w:rFonts w:ascii="Times New Roman" w:hAnsi="Times New Roman"/>
          <w:sz w:val="24"/>
          <w:szCs w:val="24"/>
        </w:rPr>
        <w:t xml:space="preserve">he legislature did not intend to immunize individuals seeking medical assistance for a drug overdose from arrest pursuant to an outstanding arrest warrant.” </w:t>
      </w:r>
      <w:hyperlink r:id="rId2006" w:history="1">
        <w:r w:rsidRPr="00AC5FED">
          <w:rPr>
            <w:rStyle w:val="Hyperlink"/>
            <w:rFonts w:ascii="Times New Roman" w:hAnsi="Times New Roman"/>
            <w:sz w:val="24"/>
            <w:szCs w:val="24"/>
          </w:rPr>
          <w:t>https://www.2dca.org/content/download/849844/opinion/211477_DC13_09232022_081840_i.pdf</w:t>
        </w:r>
      </w:hyperlink>
    </w:p>
    <w:p w14:paraId="0502456E" w14:textId="77777777" w:rsidR="00AC5FED" w:rsidRDefault="00AC5FED" w:rsidP="00AC5FED">
      <w:pPr>
        <w:pStyle w:val="NormalWeb"/>
        <w:rPr>
          <w:b/>
          <w:bCs/>
        </w:rPr>
      </w:pPr>
      <w:r>
        <w:rPr>
          <w:b/>
          <w:bCs/>
        </w:rPr>
        <w:t>Legal Lesson Learned: Several states have enacted drug overdose “Good Samaritan Acts.”  In Florida, you are still subject to arrest for an outstanding warrant.</w:t>
      </w:r>
    </w:p>
    <w:p w14:paraId="432E2EE7" w14:textId="77777777" w:rsidR="00AC5FED" w:rsidRPr="00AC5FED" w:rsidRDefault="00AC5FED" w:rsidP="00AC5FED">
      <w:pPr>
        <w:pStyle w:val="NormalWeb"/>
      </w:pPr>
      <w:r>
        <w:rPr>
          <w:b/>
          <w:bCs/>
        </w:rPr>
        <w:tab/>
      </w:r>
      <w:r w:rsidRPr="00AC5FED">
        <w:t>Note: See Court’s Opinion, footnote 4:</w:t>
      </w:r>
    </w:p>
    <w:p w14:paraId="4B1BCFDE" w14:textId="5DCA389F" w:rsidR="00AC5FED" w:rsidRPr="00AC5FED" w:rsidRDefault="00AC5FED" w:rsidP="00AC5FED">
      <w:pPr>
        <w:ind w:left="720"/>
        <w:rPr>
          <w:rFonts w:ascii="Times New Roman" w:hAnsi="Times New Roman"/>
          <w:b/>
          <w:sz w:val="24"/>
          <w:szCs w:val="24"/>
        </w:rPr>
      </w:pPr>
      <w:r w:rsidRPr="00AC5FED">
        <w:rPr>
          <w:rFonts w:ascii="Times New Roman" w:eastAsiaTheme="minorHAnsi" w:hAnsi="Times New Roman"/>
          <w:sz w:val="24"/>
          <w:szCs w:val="24"/>
        </w:rPr>
        <w:t xml:space="preserve">“Other states have adopted similar laws; however, the statutory language in some is more explicit. </w:t>
      </w:r>
      <w:r w:rsidRPr="00AC5FED">
        <w:rPr>
          <w:rFonts w:ascii="Times New Roman" w:eastAsiaTheme="minorHAnsi" w:hAnsi="Times New Roman"/>
          <w:i/>
          <w:iCs/>
          <w:sz w:val="24"/>
          <w:szCs w:val="24"/>
        </w:rPr>
        <w:t>See</w:t>
      </w:r>
      <w:r w:rsidRPr="00AC5FED">
        <w:rPr>
          <w:rFonts w:ascii="Times New Roman" w:eastAsiaTheme="minorHAnsi" w:hAnsi="Times New Roman"/>
          <w:sz w:val="24"/>
          <w:szCs w:val="24"/>
        </w:rPr>
        <w:t xml:space="preserve">, </w:t>
      </w:r>
      <w:r w:rsidRPr="00AC5FED">
        <w:rPr>
          <w:rFonts w:ascii="Times New Roman" w:eastAsiaTheme="minorHAnsi" w:hAnsi="Times New Roman"/>
          <w:i/>
          <w:iCs/>
          <w:sz w:val="24"/>
          <w:szCs w:val="24"/>
        </w:rPr>
        <w:t>e.g.</w:t>
      </w:r>
      <w:r w:rsidRPr="00AC5FED">
        <w:rPr>
          <w:rFonts w:ascii="Times New Roman" w:eastAsiaTheme="minorHAnsi" w:hAnsi="Times New Roman"/>
          <w:sz w:val="24"/>
          <w:szCs w:val="24"/>
        </w:rPr>
        <w:t xml:space="preserve">, Ga. Code Ann. § 16-13-5(b) (West 2014) (‘Any person who is experiencing a drug overdose and, in good faith, seeks medical assistance for himself or herself or is the subject of such a request shall not be arrested, charged, or prosecuted for a drug violation if the evidence for the arrest, charge, or prosecution of such drug violation </w:t>
      </w:r>
      <w:r w:rsidRPr="00AC5FED">
        <w:rPr>
          <w:rFonts w:ascii="Times New Roman" w:eastAsiaTheme="minorHAnsi" w:hAnsi="Times New Roman"/>
          <w:i/>
          <w:iCs/>
          <w:sz w:val="24"/>
          <w:szCs w:val="24"/>
        </w:rPr>
        <w:t>resulted solely from</w:t>
      </w:r>
      <w:r w:rsidRPr="00AC5FED">
        <w:rPr>
          <w:rFonts w:ascii="Times New Roman" w:eastAsiaTheme="minorHAnsi" w:hAnsi="Times New Roman"/>
          <w:sz w:val="24"/>
          <w:szCs w:val="24"/>
        </w:rPr>
        <w:t xml:space="preserve"> seeking such medical assistance.’ (emphasis added)); Md. Code Ann., Crim. Proc. § 1-210(b) (West 2016) (‘A person who, in good faith, seeks, provides, or assists with the provision of medical assistance for a person reasonably believed to be experiencing a medical emergency after ingesting or using alcohol or drugs shall be immune from criminal arrest, charge, or prosecution for a violation of § 5-601, § 5-619, § 5-620, § 10-114, § 10-116, or § 10-117 of the Criminal Law Article if the evidence for the criminal arrest, charge, or prosecution was obtained </w:t>
      </w:r>
      <w:r w:rsidRPr="00AC5FED">
        <w:rPr>
          <w:rFonts w:ascii="Times New Roman" w:eastAsiaTheme="minorHAnsi" w:hAnsi="Times New Roman"/>
          <w:i/>
          <w:iCs/>
          <w:sz w:val="24"/>
          <w:szCs w:val="24"/>
        </w:rPr>
        <w:t>solely as a result</w:t>
      </w:r>
      <w:r w:rsidRPr="00AC5FED">
        <w:rPr>
          <w:rFonts w:ascii="Times New Roman" w:eastAsiaTheme="minorHAnsi" w:hAnsi="Times New Roman"/>
          <w:sz w:val="24"/>
          <w:szCs w:val="24"/>
        </w:rPr>
        <w:t xml:space="preserve"> of the person's seeking, providing, or assisting with the provision of medical assistance.’ (emphasis added)); N.H. Rev. Stat. Ann. § 318-B:28-b (2021) (creating a defense to enumerated drug possession charges ‘if the evidence for the charge was gained as a </w:t>
      </w:r>
      <w:r w:rsidRPr="00AC5FED">
        <w:rPr>
          <w:rFonts w:ascii="Times New Roman" w:eastAsiaTheme="minorHAnsi" w:hAnsi="Times New Roman"/>
          <w:i/>
          <w:iCs/>
          <w:sz w:val="24"/>
          <w:szCs w:val="24"/>
        </w:rPr>
        <w:t>proximate result</w:t>
      </w:r>
      <w:r w:rsidRPr="00AC5FED">
        <w:rPr>
          <w:rFonts w:ascii="Times New Roman" w:eastAsiaTheme="minorHAnsi" w:hAnsi="Times New Roman"/>
          <w:sz w:val="24"/>
          <w:szCs w:val="24"/>
        </w:rPr>
        <w:t xml:space="preserve"> of the request for medical assistance or the report to law enforcement’ (emphasis added)).”</w:t>
      </w:r>
    </w:p>
    <w:p w14:paraId="66DE406D" w14:textId="77777777" w:rsidR="00AC5FED" w:rsidRDefault="00AC5FED" w:rsidP="00F326E5">
      <w:pPr>
        <w:rPr>
          <w:rFonts w:ascii="Arial Black" w:hAnsi="Arial Black"/>
          <w:b/>
          <w:sz w:val="24"/>
          <w:szCs w:val="24"/>
        </w:rPr>
      </w:pPr>
    </w:p>
    <w:p w14:paraId="65F010A6" w14:textId="77777777" w:rsidR="00AC5FED" w:rsidRDefault="00AC5FED" w:rsidP="00F326E5">
      <w:pPr>
        <w:rPr>
          <w:rFonts w:ascii="Arial Black" w:hAnsi="Arial Black"/>
          <w:b/>
          <w:sz w:val="24"/>
          <w:szCs w:val="24"/>
        </w:rPr>
      </w:pPr>
    </w:p>
    <w:p w14:paraId="55F8EA15" w14:textId="775A8011" w:rsidR="007F3F5A" w:rsidRDefault="00A707E2" w:rsidP="00F326E5">
      <w:pPr>
        <w:rPr>
          <w:rFonts w:ascii="Arial Black" w:hAnsi="Arial Black"/>
          <w:b/>
          <w:sz w:val="24"/>
          <w:szCs w:val="24"/>
        </w:rPr>
      </w:pPr>
      <w:r>
        <w:rPr>
          <w:rFonts w:ascii="Arial Black" w:hAnsi="Arial Black"/>
          <w:b/>
          <w:sz w:val="24"/>
          <w:szCs w:val="24"/>
        </w:rPr>
        <w:t>12-18</w:t>
      </w:r>
    </w:p>
    <w:p w14:paraId="368F49EB" w14:textId="77777777" w:rsidR="00A707E2" w:rsidRDefault="00A707E2" w:rsidP="00A707E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NJ: RANDOM DRUG TEST - “INDUSTRY STANDARDS” FOR EQUIPMENT CALIBRATION UNCLEAR - FF REINSTATED</w:t>
      </w:r>
    </w:p>
    <w:p w14:paraId="1D63D7C4" w14:textId="6B4AC4C6" w:rsidR="00A707E2" w:rsidRDefault="00A707E2" w:rsidP="00A707E2">
      <w:pPr>
        <w:rPr>
          <w:rStyle w:val="Hyperlink"/>
          <w:sz w:val="24"/>
          <w:szCs w:val="24"/>
        </w:rPr>
      </w:pPr>
      <w:r>
        <w:rPr>
          <w:rFonts w:ascii="Times New Roman" w:eastAsia="Times New Roman" w:hAnsi="Times New Roman"/>
          <w:sz w:val="24"/>
          <w:szCs w:val="24"/>
        </w:rPr>
        <w:t xml:space="preserve">On June 28, 2022, </w:t>
      </w:r>
      <w:r>
        <w:rPr>
          <w:rFonts w:ascii="Times New Roman" w:eastAsia="Times New Roman" w:hAnsi="Times New Roman"/>
          <w:sz w:val="24"/>
          <w:szCs w:val="24"/>
          <w:u w:val="single"/>
        </w:rPr>
        <w:t xml:space="preserve">In </w:t>
      </w:r>
      <w:proofErr w:type="gramStart"/>
      <w:r>
        <w:rPr>
          <w:rFonts w:ascii="Times New Roman" w:eastAsia="Times New Roman" w:hAnsi="Times New Roman"/>
          <w:sz w:val="24"/>
          <w:szCs w:val="24"/>
          <w:u w:val="single"/>
        </w:rPr>
        <w:t>The</w:t>
      </w:r>
      <w:proofErr w:type="gramEnd"/>
      <w:r>
        <w:rPr>
          <w:rFonts w:ascii="Times New Roman" w:eastAsia="Times New Roman" w:hAnsi="Times New Roman"/>
          <w:sz w:val="24"/>
          <w:szCs w:val="24"/>
          <w:u w:val="single"/>
        </w:rPr>
        <w:t xml:space="preserve"> Matter </w:t>
      </w:r>
      <w:proofErr w:type="gramStart"/>
      <w:r>
        <w:rPr>
          <w:rFonts w:ascii="Times New Roman" w:eastAsia="Times New Roman" w:hAnsi="Times New Roman"/>
          <w:sz w:val="24"/>
          <w:szCs w:val="24"/>
          <w:u w:val="single"/>
        </w:rPr>
        <w:t>Of</w:t>
      </w:r>
      <w:proofErr w:type="gramEnd"/>
      <w:r>
        <w:rPr>
          <w:rFonts w:ascii="Times New Roman" w:eastAsia="Times New Roman" w:hAnsi="Times New Roman"/>
          <w:sz w:val="24"/>
          <w:szCs w:val="24"/>
          <w:u w:val="single"/>
        </w:rPr>
        <w:t xml:space="preserve"> Eric Beagin, City of Paterson, Fire Department</w:t>
      </w:r>
      <w:r>
        <w:rPr>
          <w:rFonts w:ascii="Times New Roman" w:eastAsia="Times New Roman" w:hAnsi="Times New Roman"/>
          <w:sz w:val="24"/>
          <w:szCs w:val="24"/>
        </w:rPr>
        <w:t>, the Superior Court of New Jersey, Appellate Division, held (2 to 0) the Court stated that the Civil Service Commission’s decisions [reversing Administrative Law Judge who found calibrations of drug testing equipment questionable] “</w:t>
      </w:r>
      <w:r>
        <w:rPr>
          <w:rFonts w:ascii="Times New Roman" w:hAnsi="Times New Roman"/>
          <w:sz w:val="24"/>
          <w:szCs w:val="24"/>
        </w:rPr>
        <w:t xml:space="preserve">are not supported by sufficient, credible evidence in the record and are arbitrary, capricious, and unreasonable. The urine sample was sent to the New Jersey State Toxicology Laboratory (State Lab) and on July 17, 2015, the State Lab reported </w:t>
      </w:r>
      <w:proofErr w:type="spellStart"/>
      <w:r>
        <w:rPr>
          <w:rFonts w:ascii="Times New Roman" w:hAnsi="Times New Roman"/>
          <w:sz w:val="24"/>
          <w:szCs w:val="24"/>
        </w:rPr>
        <w:t>Beagin's</w:t>
      </w:r>
      <w:proofErr w:type="spellEnd"/>
      <w:r>
        <w:rPr>
          <w:rFonts w:ascii="Times New Roman" w:hAnsi="Times New Roman"/>
          <w:sz w:val="24"/>
          <w:szCs w:val="24"/>
        </w:rPr>
        <w:t xml:space="preserve"> random urine screen positive for oxycodone at 114 ng/mL, 14 nanograms over the State Lab's defined cutoff of 100 ng/</w:t>
      </w:r>
      <w:proofErr w:type="spellStart"/>
      <w:r>
        <w:rPr>
          <w:rFonts w:ascii="Times New Roman" w:hAnsi="Times New Roman"/>
          <w:sz w:val="24"/>
          <w:szCs w:val="24"/>
        </w:rPr>
        <w:t>mL.</w:t>
      </w:r>
      <w:proofErr w:type="spellEnd"/>
      <w:r>
        <w:rPr>
          <w:rFonts w:ascii="Times New Roman" w:hAnsi="Times New Roman"/>
          <w:sz w:val="24"/>
          <w:szCs w:val="24"/>
        </w:rPr>
        <w:t xml:space="preserve">  He was immediately suspended.  On March 11 and 15, 2019, a hearing was held before ALJ Celentano. Dr. Robert  Havier, with State Lab for 40 years and Acting Director for 8 years, was cross examined about “industry standards” on calibrating testing equipment used by federal government in testing military, but FD never had him write a report on those standards. The ALJ recommended </w:t>
      </w:r>
      <w:proofErr w:type="spellStart"/>
      <w:r>
        <w:rPr>
          <w:rFonts w:ascii="Times New Roman" w:hAnsi="Times New Roman"/>
          <w:sz w:val="24"/>
          <w:szCs w:val="24"/>
        </w:rPr>
        <w:t>Beagin</w:t>
      </w:r>
      <w:proofErr w:type="spellEnd"/>
      <w:r>
        <w:rPr>
          <w:rFonts w:ascii="Times New Roman" w:hAnsi="Times New Roman"/>
          <w:sz w:val="24"/>
          <w:szCs w:val="24"/>
        </w:rPr>
        <w:t xml:space="preserve"> be reinstated to the position of firefighter. The Civil Service Commission rejected the ALJ’s recommendation, placing burden on the firefighter to prove “industry standards” were not followed.  </w:t>
      </w:r>
      <w:hyperlink r:id="rId2007" w:history="1">
        <w:r>
          <w:rPr>
            <w:rStyle w:val="Hyperlink"/>
            <w:sz w:val="24"/>
            <w:szCs w:val="24"/>
          </w:rPr>
          <w:t>https://public.fastcase.com/J%2FJP6pdidelsXxEE4k%2BLMm7PttKNvW62%2BDA0%2BSJrBHAICFIaFusuxX5Jb%2BuxRPK6Bzlob%2BslGSm9QeXJwFgRUwDQqdPl09RLYbpqdskqtWk%3D</w:t>
        </w:r>
      </w:hyperlink>
    </w:p>
    <w:p w14:paraId="1D1093FF" w14:textId="77777777" w:rsidR="00936792" w:rsidRDefault="00936792" w:rsidP="00936792">
      <w:pPr>
        <w:spacing w:after="100" w:line="240" w:lineRule="auto"/>
        <w:rPr>
          <w:rFonts w:ascii="Times New Roman" w:hAnsi="Times New Roman"/>
          <w:sz w:val="24"/>
          <w:szCs w:val="24"/>
        </w:rPr>
      </w:pPr>
      <w:r>
        <w:rPr>
          <w:rFonts w:ascii="Times New Roman" w:hAnsi="Times New Roman"/>
          <w:b/>
          <w:bCs/>
          <w:sz w:val="24"/>
          <w:szCs w:val="24"/>
        </w:rPr>
        <w:t xml:space="preserve">Legal Lesson Learned: Since the main issue was “industry standards” on calibration of testing equipment, the State Lab expert should have been asked to provide a report to the ALJ on those standards.  </w:t>
      </w:r>
    </w:p>
    <w:p w14:paraId="200A6472" w14:textId="77777777" w:rsidR="00936792" w:rsidRPr="004535AA" w:rsidRDefault="00936792" w:rsidP="00936792">
      <w:pPr>
        <w:pStyle w:val="Heading1"/>
        <w:ind w:left="720"/>
        <w:rPr>
          <w:b w:val="0"/>
          <w:bCs w:val="0"/>
          <w:sz w:val="24"/>
          <w:szCs w:val="24"/>
        </w:rPr>
      </w:pPr>
      <w:r>
        <w:rPr>
          <w:b w:val="0"/>
          <w:bCs w:val="0"/>
          <w:sz w:val="24"/>
          <w:szCs w:val="24"/>
        </w:rPr>
        <w:t xml:space="preserve">Note: See article after ALJ decision: “Judge orders Paterson firefighter terminated for failing drug test reinstated” (Dec. 9, 2019): </w:t>
      </w:r>
      <w:hyperlink r:id="rId2008" w:history="1">
        <w:r w:rsidRPr="004535AA">
          <w:rPr>
            <w:rStyle w:val="Hyperlink"/>
            <w:b w:val="0"/>
            <w:bCs w:val="0"/>
            <w:sz w:val="24"/>
            <w:szCs w:val="24"/>
          </w:rPr>
          <w:t>https://patersontimes.com/2019/12/09/judge-orders-paterson-firefighter-terminated-for-failing-drug-test-reinstated/</w:t>
        </w:r>
      </w:hyperlink>
      <w:r w:rsidRPr="004535AA">
        <w:rPr>
          <w:b w:val="0"/>
          <w:bCs w:val="0"/>
          <w:sz w:val="24"/>
          <w:szCs w:val="24"/>
        </w:rPr>
        <w:t xml:space="preserve"> </w:t>
      </w:r>
    </w:p>
    <w:p w14:paraId="49CE837F" w14:textId="77777777" w:rsidR="00A707E2" w:rsidRDefault="00A707E2" w:rsidP="00A707E2">
      <w:pPr>
        <w:rPr>
          <w:rFonts w:ascii="Arial Black" w:hAnsi="Arial Black"/>
          <w:b/>
          <w:sz w:val="24"/>
          <w:szCs w:val="24"/>
        </w:rPr>
      </w:pPr>
    </w:p>
    <w:p w14:paraId="2D2D90EB" w14:textId="1E43D974" w:rsidR="007F3F5A" w:rsidRDefault="007F3F5A" w:rsidP="00F326E5">
      <w:pPr>
        <w:rPr>
          <w:rFonts w:ascii="Arial Black" w:hAnsi="Arial Black"/>
          <w:b/>
          <w:sz w:val="24"/>
          <w:szCs w:val="24"/>
        </w:rPr>
      </w:pPr>
      <w:r>
        <w:rPr>
          <w:rFonts w:ascii="Arial Black" w:hAnsi="Arial Black"/>
          <w:b/>
          <w:sz w:val="24"/>
          <w:szCs w:val="24"/>
        </w:rPr>
        <w:t>12-17</w:t>
      </w:r>
    </w:p>
    <w:p w14:paraId="0244E688" w14:textId="77777777" w:rsidR="00A707E2" w:rsidRDefault="00A707E2" w:rsidP="00A707E2">
      <w:pPr>
        <w:pStyle w:val="Heading1"/>
        <w:jc w:val="both"/>
        <w:rPr>
          <w:rFonts w:ascii="Arial Black" w:hAnsi="Arial Black"/>
          <w:b w:val="0"/>
          <w:bCs w:val="0"/>
          <w:sz w:val="28"/>
          <w:szCs w:val="28"/>
        </w:rPr>
      </w:pPr>
      <w:bookmarkStart w:id="416" w:name="_Hlk107815505"/>
      <w:r>
        <w:rPr>
          <w:rFonts w:ascii="Arial Black" w:hAnsi="Arial Black"/>
          <w:b w:val="0"/>
          <w:bCs w:val="0"/>
          <w:sz w:val="28"/>
          <w:szCs w:val="28"/>
        </w:rPr>
        <w:t xml:space="preserve">U.S. SUP. COURT: THREE “PAIN MILL” DOCTORS – RE-TRIAL - MUST PROVE KNEW ACTING IN “UNAUHORIZED MANNER” </w:t>
      </w:r>
    </w:p>
    <w:p w14:paraId="284C940C" w14:textId="109E851B" w:rsidR="00A707E2" w:rsidRDefault="00A707E2" w:rsidP="00A707E2">
      <w:pPr>
        <w:pStyle w:val="Heading1"/>
        <w:rPr>
          <w:rStyle w:val="markedcontent"/>
          <w:sz w:val="24"/>
          <w:szCs w:val="24"/>
        </w:rPr>
      </w:pPr>
      <w:r>
        <w:rPr>
          <w:b w:val="0"/>
          <w:bCs w:val="0"/>
          <w:sz w:val="24"/>
          <w:szCs w:val="24"/>
        </w:rPr>
        <w:t xml:space="preserve">On June 27, 2022, in </w:t>
      </w:r>
      <w:proofErr w:type="spellStart"/>
      <w:r>
        <w:rPr>
          <w:b w:val="0"/>
          <w:bCs w:val="0"/>
          <w:sz w:val="24"/>
          <w:szCs w:val="24"/>
          <w:u w:val="single"/>
        </w:rPr>
        <w:t>Xiulu</w:t>
      </w:r>
      <w:proofErr w:type="spellEnd"/>
      <w:r>
        <w:rPr>
          <w:b w:val="0"/>
          <w:bCs w:val="0"/>
          <w:sz w:val="24"/>
          <w:szCs w:val="24"/>
          <w:u w:val="single"/>
        </w:rPr>
        <w:t xml:space="preserve"> Ruan v. United States</w:t>
      </w:r>
      <w:r>
        <w:rPr>
          <w:b w:val="0"/>
          <w:bCs w:val="0"/>
          <w:sz w:val="24"/>
          <w:szCs w:val="24"/>
        </w:rPr>
        <w:t xml:space="preserve">, the U.S. Supreme Court held (9 to 0) that a Mobile, Alabama pain mill doctor, </w:t>
      </w:r>
      <w:proofErr w:type="spellStart"/>
      <w:r>
        <w:rPr>
          <w:rStyle w:val="markedcontent"/>
          <w:b w:val="0"/>
          <w:bCs w:val="0"/>
          <w:sz w:val="24"/>
          <w:szCs w:val="24"/>
        </w:rPr>
        <w:t>Xiulu</w:t>
      </w:r>
      <w:proofErr w:type="spellEnd"/>
      <w:r>
        <w:rPr>
          <w:rStyle w:val="markedcontent"/>
          <w:b w:val="0"/>
          <w:bCs w:val="0"/>
          <w:sz w:val="24"/>
          <w:szCs w:val="24"/>
        </w:rPr>
        <w:t xml:space="preserve"> Ruan, who was sentenced in to 21 years in federal prison in 2017 and pain mill doctor from Arizona and Wyoming, Dr. Shakeel Kahn, 25 years in prison, may be entitled to new trials because the jury instructions did not clearly state the Government must prove they were acting in an “unauthorized manner” when issuing thousands of proscriptions, including for fentanyl. </w:t>
      </w:r>
      <w:hyperlink r:id="rId2009" w:history="1">
        <w:r>
          <w:rPr>
            <w:rStyle w:val="Hyperlink"/>
            <w:sz w:val="24"/>
            <w:szCs w:val="24"/>
          </w:rPr>
          <w:t>https://www.supremecourt.gov/opinions/21pdf/20-1410_1an2.pdf</w:t>
        </w:r>
      </w:hyperlink>
      <w:r>
        <w:rPr>
          <w:rStyle w:val="markedcontent"/>
          <w:b w:val="0"/>
          <w:bCs w:val="0"/>
          <w:sz w:val="24"/>
          <w:szCs w:val="24"/>
        </w:rPr>
        <w:t xml:space="preserve">.  Dr. Ruan’s partner, Dr. Patrick Couch, 20 years in prison, had his conviction also set aside, by separate Court order, and will likely also get a new trial. </w:t>
      </w:r>
      <w:hyperlink r:id="rId2010" w:history="1">
        <w:r>
          <w:rPr>
            <w:rStyle w:val="Hyperlink"/>
            <w:sz w:val="24"/>
            <w:szCs w:val="24"/>
          </w:rPr>
          <w:t>https://www.supremecourt.gov/docket/docketfiles/html/public/20-7934.html</w:t>
        </w:r>
      </w:hyperlink>
      <w:r>
        <w:rPr>
          <w:rStyle w:val="markedcontent"/>
          <w:b w:val="0"/>
          <w:bCs w:val="0"/>
          <w:sz w:val="24"/>
          <w:szCs w:val="24"/>
        </w:rPr>
        <w:t xml:space="preserve"> </w:t>
      </w:r>
    </w:p>
    <w:p w14:paraId="1D407EBB" w14:textId="44B1A327" w:rsidR="00A707E2" w:rsidRDefault="00A707E2" w:rsidP="00A707E2">
      <w:pPr>
        <w:pStyle w:val="Heading1"/>
        <w:rPr>
          <w:rStyle w:val="markedcontent"/>
          <w:sz w:val="24"/>
          <w:szCs w:val="24"/>
        </w:rPr>
      </w:pPr>
      <w:bookmarkStart w:id="417" w:name="_Hlk107815724"/>
      <w:bookmarkEnd w:id="416"/>
      <w:r>
        <w:rPr>
          <w:rStyle w:val="markedcontent"/>
          <w:sz w:val="24"/>
          <w:szCs w:val="24"/>
        </w:rPr>
        <w:t xml:space="preserve">Legal Lesson Learned: This decision may impact numerous other “pain mill” physicians. </w:t>
      </w:r>
    </w:p>
    <w:bookmarkEnd w:id="417"/>
    <w:p w14:paraId="3531F9CE" w14:textId="77777777" w:rsidR="00A707E2" w:rsidRDefault="007F3F5A" w:rsidP="00A707E2">
      <w:pPr>
        <w:pStyle w:val="Heading1"/>
        <w:ind w:left="720"/>
        <w:rPr>
          <w:b w:val="0"/>
          <w:bCs w:val="0"/>
        </w:rPr>
      </w:pPr>
      <w:r>
        <w:rPr>
          <w:rStyle w:val="markedcontent"/>
          <w:b w:val="0"/>
          <w:bCs w:val="0"/>
          <w:sz w:val="24"/>
          <w:szCs w:val="24"/>
        </w:rPr>
        <w:t xml:space="preserve"> </w:t>
      </w:r>
      <w:r w:rsidR="00A707E2">
        <w:rPr>
          <w:b w:val="0"/>
          <w:bCs w:val="0"/>
          <w:sz w:val="24"/>
          <w:szCs w:val="24"/>
        </w:rPr>
        <w:t xml:space="preserve">Note: “Mobile doctor’s Supreme Court win could impact other ‘pill mill’ convictions” (June 27, 2022) – VIDEO: </w:t>
      </w:r>
      <w:hyperlink r:id="rId2011" w:history="1">
        <w:r w:rsidR="00A707E2">
          <w:rPr>
            <w:rStyle w:val="Hyperlink"/>
            <w:sz w:val="24"/>
            <w:szCs w:val="24"/>
          </w:rPr>
          <w:t>https://www.fox10tv.com/2022/06/27/mobile-doctors-supreme-court-win-could-impact-other-pill-mill-convictions/</w:t>
        </w:r>
      </w:hyperlink>
      <w:r w:rsidR="00A707E2">
        <w:rPr>
          <w:b w:val="0"/>
          <w:bCs w:val="0"/>
          <w:sz w:val="24"/>
          <w:szCs w:val="24"/>
        </w:rPr>
        <w:t xml:space="preserve"> . “The justices sent the case against Dr. </w:t>
      </w:r>
      <w:proofErr w:type="spellStart"/>
      <w:r w:rsidR="00A707E2">
        <w:rPr>
          <w:b w:val="0"/>
          <w:bCs w:val="0"/>
          <w:sz w:val="24"/>
          <w:szCs w:val="24"/>
        </w:rPr>
        <w:t>Xiulu</w:t>
      </w:r>
      <w:proofErr w:type="spellEnd"/>
      <w:r w:rsidR="00A707E2">
        <w:rPr>
          <w:b w:val="0"/>
          <w:bCs w:val="0"/>
          <w:sz w:val="24"/>
          <w:szCs w:val="24"/>
        </w:rPr>
        <w:t xml:space="preserve"> Ruan back to the Atlanta-based 11th U.S. Circuit Court of Appeals, which likely will instruct a federal judge in Mobile to order a new trial. A spokesman for the U.S. Attorney’s Office in Mobile declined to comment.”</w:t>
      </w:r>
    </w:p>
    <w:p w14:paraId="713499C6" w14:textId="5949159F" w:rsidR="007F3F5A" w:rsidRPr="00A707E2" w:rsidRDefault="00A707E2" w:rsidP="00A707E2">
      <w:pPr>
        <w:pStyle w:val="Heading1"/>
        <w:ind w:left="720"/>
        <w:rPr>
          <w:rStyle w:val="markedcontent"/>
          <w:b w:val="0"/>
          <w:bCs w:val="0"/>
          <w:sz w:val="24"/>
          <w:szCs w:val="24"/>
        </w:rPr>
      </w:pPr>
      <w:r w:rsidRPr="00A707E2">
        <w:rPr>
          <w:b w:val="0"/>
          <w:bCs w:val="0"/>
          <w:sz w:val="24"/>
          <w:szCs w:val="24"/>
        </w:rPr>
        <w:t xml:space="preserve">Regarding Dr. </w:t>
      </w:r>
      <w:r w:rsidRPr="00A707E2">
        <w:rPr>
          <w:rStyle w:val="markedcontent"/>
          <w:b w:val="0"/>
          <w:bCs w:val="0"/>
          <w:sz w:val="24"/>
          <w:szCs w:val="24"/>
        </w:rPr>
        <w:t xml:space="preserve">Shakeel Kahn in Wyoming, see this article: </w:t>
      </w:r>
      <w:r w:rsidRPr="00A707E2">
        <w:rPr>
          <w:b w:val="0"/>
          <w:bCs w:val="0"/>
          <w:sz w:val="24"/>
          <w:szCs w:val="24"/>
        </w:rPr>
        <w:t xml:space="preserve"> “Federal Appellate Court Upholds Former Casper Doctor’s Drug Conspiracy Verdict” (Feb. 23, 2021): </w:t>
      </w:r>
      <w:hyperlink r:id="rId2012" w:history="1">
        <w:r w:rsidRPr="00A707E2">
          <w:rPr>
            <w:rStyle w:val="Hyperlink"/>
            <w:b w:val="0"/>
            <w:bCs w:val="0"/>
            <w:sz w:val="24"/>
            <w:szCs w:val="24"/>
          </w:rPr>
          <w:t>https://k2radio.com/federal-appellate-court-upholds-former-casper-doctors-drug-conspiracy-verdict/</w:t>
        </w:r>
      </w:hyperlink>
      <w:r w:rsidRPr="00A707E2">
        <w:rPr>
          <w:b w:val="0"/>
          <w:bCs w:val="0"/>
          <w:sz w:val="24"/>
          <w:szCs w:val="24"/>
        </w:rPr>
        <w:t xml:space="preserve">.  In late 2016, federal authorities </w:t>
      </w:r>
      <w:proofErr w:type="gramStart"/>
      <w:r w:rsidRPr="00A707E2">
        <w:rPr>
          <w:b w:val="0"/>
          <w:bCs w:val="0"/>
          <w:sz w:val="24"/>
          <w:szCs w:val="24"/>
        </w:rPr>
        <w:t>searched</w:t>
      </w:r>
      <w:proofErr w:type="gramEnd"/>
      <w:r w:rsidRPr="00A707E2">
        <w:rPr>
          <w:b w:val="0"/>
          <w:bCs w:val="0"/>
          <w:sz w:val="24"/>
          <w:szCs w:val="24"/>
        </w:rPr>
        <w:t xml:space="preserve"> the Kahns’ properties in Casper and Arizona, and seized financial and business records, cars, firearms and more than $1 million in cash.</w:t>
      </w:r>
      <w:r w:rsidRPr="00A707E2">
        <w:rPr>
          <w:b w:val="0"/>
          <w:bCs w:val="0"/>
          <w:sz w:val="24"/>
          <w:szCs w:val="24"/>
        </w:rPr>
        <w:br/>
      </w:r>
    </w:p>
    <w:p w14:paraId="2BF9F243" w14:textId="77777777" w:rsidR="007F3F5A" w:rsidRDefault="007F3F5A" w:rsidP="00F326E5">
      <w:pPr>
        <w:rPr>
          <w:rFonts w:ascii="Arial Black" w:hAnsi="Arial Black"/>
          <w:b/>
          <w:sz w:val="24"/>
          <w:szCs w:val="24"/>
        </w:rPr>
      </w:pPr>
    </w:p>
    <w:p w14:paraId="29C56AB0" w14:textId="77777777" w:rsidR="007F3F5A" w:rsidRDefault="007F3F5A" w:rsidP="00F326E5">
      <w:pPr>
        <w:rPr>
          <w:rFonts w:ascii="Arial Black" w:hAnsi="Arial Black"/>
          <w:b/>
          <w:sz w:val="24"/>
          <w:szCs w:val="24"/>
        </w:rPr>
      </w:pPr>
    </w:p>
    <w:p w14:paraId="113351E4" w14:textId="481D5EAA" w:rsidR="00174109" w:rsidRDefault="00174109" w:rsidP="00F326E5">
      <w:pPr>
        <w:rPr>
          <w:rFonts w:ascii="Arial Black" w:hAnsi="Arial Black"/>
          <w:b/>
          <w:sz w:val="24"/>
          <w:szCs w:val="24"/>
        </w:rPr>
      </w:pPr>
      <w:r>
        <w:rPr>
          <w:rFonts w:ascii="Arial Black" w:hAnsi="Arial Black"/>
          <w:b/>
          <w:sz w:val="24"/>
          <w:szCs w:val="24"/>
        </w:rPr>
        <w:t>12-16</w:t>
      </w:r>
    </w:p>
    <w:p w14:paraId="4911B6F8" w14:textId="77777777" w:rsidR="00174109" w:rsidRDefault="00174109" w:rsidP="0017410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LA: DRUG TEST - EMT FAILED / FIRED - INJURED BACK WITH PATIENT – TOOK WIFE’S BARBITURATE PILLS BEFORE TEST </w:t>
      </w:r>
    </w:p>
    <w:p w14:paraId="47A523BB" w14:textId="77777777" w:rsidR="00174109" w:rsidRPr="00021FC8" w:rsidRDefault="00174109" w:rsidP="00174109">
      <w:pPr>
        <w:spacing w:before="100" w:beforeAutospacing="1" w:after="100" w:afterAutospacing="1" w:line="240" w:lineRule="auto"/>
        <w:rPr>
          <w:rFonts w:ascii="Times New Roman" w:eastAsia="Times New Roman" w:hAnsi="Times New Roman"/>
          <w:sz w:val="24"/>
          <w:szCs w:val="24"/>
        </w:rPr>
      </w:pPr>
      <w:r w:rsidRPr="00021FC8">
        <w:rPr>
          <w:rFonts w:ascii="Times New Roman" w:eastAsia="Times New Roman" w:hAnsi="Times New Roman"/>
          <w:sz w:val="24"/>
          <w:szCs w:val="24"/>
        </w:rPr>
        <w:t xml:space="preserve">On </w:t>
      </w:r>
      <w:r>
        <w:rPr>
          <w:rFonts w:ascii="Times New Roman" w:eastAsia="Times New Roman" w:hAnsi="Times New Roman"/>
          <w:sz w:val="24"/>
          <w:szCs w:val="24"/>
        </w:rPr>
        <w:t xml:space="preserve">Dec. 22, 2021, in </w:t>
      </w:r>
      <w:r w:rsidRPr="00021FC8">
        <w:rPr>
          <w:rFonts w:ascii="Times New Roman" w:eastAsia="Times New Roman" w:hAnsi="Times New Roman"/>
          <w:sz w:val="24"/>
          <w:szCs w:val="24"/>
          <w:u w:val="single"/>
        </w:rPr>
        <w:t>Antoine Dufrene v. Northshore EMS, LLC</w:t>
      </w:r>
      <w:r>
        <w:rPr>
          <w:rFonts w:ascii="Times New Roman" w:eastAsia="Times New Roman" w:hAnsi="Times New Roman"/>
          <w:sz w:val="24"/>
          <w:szCs w:val="24"/>
        </w:rPr>
        <w:t xml:space="preserve">, Court of Appeals of Louisiana, Fire Circuit, held (3 to 0) that trial judge properly granted summary judgment to the employer which terminated the EMT for breach of Drug-Free Workplace policy; plaintiff failed to that he  was fired in retaliation for filing workers comp claim. </w:t>
      </w:r>
    </w:p>
    <w:p w14:paraId="25589C65" w14:textId="77777777" w:rsidR="00174109" w:rsidRPr="00021FC8" w:rsidRDefault="00174109" w:rsidP="00174109">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w:t>
      </w:r>
      <w:r w:rsidRPr="00021FC8">
        <w:rPr>
          <w:rFonts w:ascii="Times New Roman" w:hAnsi="Times New Roman"/>
          <w:sz w:val="24"/>
          <w:szCs w:val="24"/>
        </w:rPr>
        <w:t>e find that the plaintiff failed to produce sufficient factual support demonstrating the existence of a genuine issue of material fact on the question of whether he was terminated from his employment due to him filing a workers' compensation claim. The evidence offered by the plaintiff in opposition to the motion for summary judgment did not establish that he could demonstrate a causal connection between his termination of employment and his workers' compensation claim with any reasonable probability. In fact, the plaintiff offered no evidence to rebut the defendant's claim that his employment was terminated due to the plaintiff</w:t>
      </w:r>
      <w:r>
        <w:rPr>
          <w:rFonts w:ascii="Times New Roman" w:hAnsi="Times New Roman"/>
          <w:sz w:val="24"/>
          <w:szCs w:val="24"/>
        </w:rPr>
        <w:t>’</w:t>
      </w:r>
      <w:r w:rsidRPr="00021FC8">
        <w:rPr>
          <w:rFonts w:ascii="Times New Roman" w:hAnsi="Times New Roman"/>
          <w:sz w:val="24"/>
          <w:szCs w:val="24"/>
        </w:rPr>
        <w:t>s violation of the defendant's Drug-Free Workplace policy. Therefore, the trial court correctly granted summary judgment in favor of the</w:t>
      </w:r>
      <w:r>
        <w:rPr>
          <w:rFonts w:ascii="Times New Roman" w:hAnsi="Times New Roman"/>
          <w:sz w:val="24"/>
          <w:szCs w:val="24"/>
        </w:rPr>
        <w:t xml:space="preserve"> </w:t>
      </w:r>
      <w:proofErr w:type="gramStart"/>
      <w:r w:rsidRPr="00021FC8">
        <w:rPr>
          <w:rFonts w:ascii="Times New Roman" w:hAnsi="Times New Roman"/>
          <w:sz w:val="24"/>
          <w:szCs w:val="24"/>
        </w:rPr>
        <w:t>defendant.</w:t>
      </w:r>
      <w:r>
        <w:rPr>
          <w:rFonts w:ascii="Times New Roman" w:hAnsi="Times New Roman"/>
          <w:sz w:val="24"/>
          <w:szCs w:val="24"/>
        </w:rPr>
        <w:t>”</w:t>
      </w:r>
      <w:proofErr w:type="gramEnd"/>
      <w:r>
        <w:rPr>
          <w:rFonts w:ascii="Times New Roman" w:hAnsi="Times New Roman"/>
          <w:sz w:val="24"/>
          <w:szCs w:val="24"/>
        </w:rPr>
        <w:t xml:space="preserve"> </w:t>
      </w:r>
      <w:hyperlink r:id="rId2013" w:history="1">
        <w:r w:rsidRPr="00EC5853">
          <w:rPr>
            <w:rStyle w:val="Hyperlink"/>
            <w:rFonts w:ascii="Times New Roman" w:hAnsi="Times New Roman"/>
            <w:sz w:val="24"/>
            <w:szCs w:val="24"/>
          </w:rPr>
          <w:t>https://casetext.com/case/dufrene-v-northshore-ems-llc</w:t>
        </w:r>
      </w:hyperlink>
      <w:r>
        <w:rPr>
          <w:rFonts w:ascii="Times New Roman" w:hAnsi="Times New Roman"/>
          <w:sz w:val="24"/>
          <w:szCs w:val="24"/>
        </w:rPr>
        <w:t xml:space="preserve"> </w:t>
      </w:r>
    </w:p>
    <w:p w14:paraId="481ABC2A" w14:textId="77777777" w:rsidR="00001D9A" w:rsidRDefault="00001D9A" w:rsidP="00001D9A">
      <w:pPr>
        <w:spacing w:before="100" w:beforeAutospacing="1" w:after="100" w:afterAutospacing="1" w:line="240" w:lineRule="auto"/>
        <w:rPr>
          <w:rFonts w:ascii="Times New Roman" w:hAnsi="Times New Roman"/>
          <w:b/>
          <w:bCs/>
          <w:sz w:val="24"/>
          <w:szCs w:val="24"/>
        </w:rPr>
      </w:pPr>
      <w:r w:rsidRPr="00B27F71">
        <w:rPr>
          <w:rFonts w:ascii="Times New Roman" w:hAnsi="Times New Roman"/>
          <w:b/>
          <w:bCs/>
          <w:sz w:val="24"/>
          <w:szCs w:val="24"/>
        </w:rPr>
        <w:t>Legal Lesson Learned:</w:t>
      </w:r>
      <w:r>
        <w:rPr>
          <w:rFonts w:ascii="Times New Roman" w:hAnsi="Times New Roman"/>
          <w:b/>
          <w:bCs/>
          <w:sz w:val="24"/>
          <w:szCs w:val="24"/>
        </w:rPr>
        <w:t xml:space="preserve"> Drug-Free Workplace policies, including post injury drug testing, are lawful for EMS and other emergency responders. </w:t>
      </w:r>
    </w:p>
    <w:p w14:paraId="44B174D8" w14:textId="77777777" w:rsidR="00001D9A" w:rsidRDefault="00001D9A" w:rsidP="00001D9A">
      <w:pPr>
        <w:spacing w:before="100" w:beforeAutospacing="1" w:after="100" w:afterAutospacing="1" w:line="240" w:lineRule="auto"/>
        <w:ind w:left="720"/>
        <w:rPr>
          <w:rFonts w:ascii="Times New Roman" w:hAnsi="Times New Roman"/>
          <w:sz w:val="24"/>
          <w:szCs w:val="24"/>
        </w:rPr>
      </w:pPr>
      <w:r w:rsidRPr="00D456FB">
        <w:rPr>
          <w:rFonts w:ascii="Times New Roman" w:hAnsi="Times New Roman"/>
          <w:sz w:val="24"/>
          <w:szCs w:val="24"/>
        </w:rPr>
        <w:t xml:space="preserve">Note: Drug-Free Workplace policies should require all personnel to report in writing if they are on prescribed medication. </w:t>
      </w:r>
    </w:p>
    <w:p w14:paraId="66DC5749" w14:textId="77777777" w:rsidR="00001D9A" w:rsidRDefault="00001D9A" w:rsidP="00001D9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For example, s</w:t>
      </w:r>
      <w:r w:rsidRPr="00D456FB">
        <w:rPr>
          <w:rFonts w:ascii="Times New Roman" w:hAnsi="Times New Roman"/>
          <w:sz w:val="24"/>
          <w:szCs w:val="24"/>
        </w:rPr>
        <w:t xml:space="preserve">ee </w:t>
      </w:r>
      <w:r>
        <w:rPr>
          <w:rFonts w:ascii="Times New Roman" w:hAnsi="Times New Roman"/>
          <w:sz w:val="24"/>
          <w:szCs w:val="24"/>
        </w:rPr>
        <w:t xml:space="preserve">Court’s comment in this case. </w:t>
      </w:r>
    </w:p>
    <w:p w14:paraId="2E0D7D0A" w14:textId="77777777" w:rsidR="00001D9A" w:rsidRPr="00021FC8" w:rsidRDefault="00001D9A" w:rsidP="00001D9A">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D456FB">
        <w:rPr>
          <w:rFonts w:ascii="Times New Roman" w:hAnsi="Times New Roman"/>
          <w:sz w:val="24"/>
          <w:szCs w:val="24"/>
        </w:rPr>
        <w:t>Dr. Jasmin further stated that the plaintiff was undergoing opioid treatment with suboxone, which is buprenorphine. The plaintiff had been treated for his opioid addiction with suboxone for over five years.</w:t>
      </w:r>
      <w:r>
        <w:rPr>
          <w:rFonts w:ascii="Times New Roman" w:hAnsi="Times New Roman"/>
          <w:sz w:val="24"/>
          <w:szCs w:val="24"/>
        </w:rPr>
        <w:t>”</w:t>
      </w:r>
      <w:r w:rsidRPr="00D456FB">
        <w:rPr>
          <w:rFonts w:ascii="Times New Roman" w:hAnsi="Times New Roman"/>
          <w:sz w:val="24"/>
          <w:szCs w:val="24"/>
        </w:rPr>
        <w:t xml:space="preserve"> </w:t>
      </w:r>
      <w:hyperlink r:id="rId2014" w:history="1">
        <w:r w:rsidRPr="004065C6">
          <w:rPr>
            <w:rStyle w:val="Hyperlink"/>
            <w:rFonts w:ascii="Times New Roman" w:hAnsi="Times New Roman"/>
            <w:sz w:val="24"/>
            <w:szCs w:val="24"/>
          </w:rPr>
          <w:t>https://casetext.com/case/dufrene-v-northshore-ems-llc</w:t>
        </w:r>
      </w:hyperlink>
      <w:r>
        <w:rPr>
          <w:rFonts w:ascii="Times New Roman" w:hAnsi="Times New Roman"/>
          <w:sz w:val="24"/>
          <w:szCs w:val="24"/>
        </w:rPr>
        <w:t xml:space="preserve"> </w:t>
      </w:r>
    </w:p>
    <w:p w14:paraId="5682A33A" w14:textId="77777777" w:rsidR="00001D9A" w:rsidRDefault="00001D9A" w:rsidP="00001D9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See also this info on suboxone: </w:t>
      </w:r>
    </w:p>
    <w:p w14:paraId="6CBCC38E" w14:textId="77777777" w:rsidR="00001D9A" w:rsidRDefault="00001D9A" w:rsidP="00001D9A">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914C9">
        <w:rPr>
          <w:rFonts w:ascii="Times New Roman" w:eastAsia="Times New Roman" w:hAnsi="Times New Roman"/>
          <w:sz w:val="24"/>
          <w:szCs w:val="24"/>
        </w:rPr>
        <w:t>Suboxone does sometimes create mild side effects such as dizziness that could affect your ability to do certain types of work. You will begin using suboxone while you are in the treatment center and under the care of your medical team. This allows you to learn how your body responds to the suboxone before you ever return home and go back to work.</w:t>
      </w:r>
      <w:r>
        <w:rPr>
          <w:rFonts w:ascii="Times New Roman" w:eastAsia="Times New Roman" w:hAnsi="Times New Roman"/>
          <w:sz w:val="24"/>
          <w:szCs w:val="24"/>
        </w:rPr>
        <w:t xml:space="preserve"> </w:t>
      </w:r>
      <w:r w:rsidRPr="00C914C9">
        <w:rPr>
          <w:rFonts w:ascii="Times New Roman" w:eastAsia="Times New Roman" w:hAnsi="Times New Roman"/>
          <w:sz w:val="24"/>
          <w:szCs w:val="24"/>
        </w:rPr>
        <w:t>In most cases, you will find that any side effects that you experience are mild enough that they do not affect your ability to perform your job duties. In fact, you will be better able to maintain a career when you are not stuck in the throes of dealing with addiction. Keep in mind that adjustments to your dosage could alter your reaction so always follow the medication instructions and be cautious about activities such as driving until you know how you react.</w:t>
      </w:r>
      <w:r>
        <w:rPr>
          <w:rFonts w:ascii="Times New Roman" w:eastAsia="Times New Roman" w:hAnsi="Times New Roman"/>
          <w:sz w:val="24"/>
          <w:szCs w:val="24"/>
        </w:rPr>
        <w:t xml:space="preserve">” </w:t>
      </w:r>
      <w:hyperlink r:id="rId2015" w:history="1">
        <w:r w:rsidRPr="004065C6">
          <w:rPr>
            <w:rStyle w:val="Hyperlink"/>
            <w:rFonts w:ascii="Times New Roman" w:eastAsia="Times New Roman" w:hAnsi="Times New Roman"/>
            <w:sz w:val="24"/>
            <w:szCs w:val="24"/>
          </w:rPr>
          <w:t>https://dreamcenterforrecovery.com/can-take-suboxone-still-go-work/</w:t>
        </w:r>
      </w:hyperlink>
      <w:r>
        <w:rPr>
          <w:rFonts w:ascii="Times New Roman" w:eastAsia="Times New Roman" w:hAnsi="Times New Roman"/>
          <w:sz w:val="24"/>
          <w:szCs w:val="24"/>
        </w:rPr>
        <w:t xml:space="preserve"> </w:t>
      </w:r>
    </w:p>
    <w:p w14:paraId="20A71679" w14:textId="77777777" w:rsidR="00001D9A" w:rsidRDefault="00001D9A" w:rsidP="00001D9A">
      <w:pPr>
        <w:spacing w:before="100" w:beforeAutospacing="1" w:after="100" w:afterAutospacing="1" w:line="240" w:lineRule="auto"/>
        <w:rPr>
          <w:rFonts w:ascii="Arial Black" w:eastAsia="Times New Roman" w:hAnsi="Arial Black"/>
          <w:sz w:val="28"/>
          <w:szCs w:val="28"/>
        </w:rPr>
      </w:pPr>
    </w:p>
    <w:p w14:paraId="3E34AC99" w14:textId="77777777" w:rsidR="00174109" w:rsidRDefault="00174109" w:rsidP="00F326E5">
      <w:pPr>
        <w:rPr>
          <w:rFonts w:ascii="Arial Black" w:hAnsi="Arial Black"/>
          <w:b/>
          <w:sz w:val="24"/>
          <w:szCs w:val="24"/>
        </w:rPr>
      </w:pPr>
    </w:p>
    <w:p w14:paraId="4563E767" w14:textId="77777777" w:rsidR="00174109" w:rsidRDefault="00174109" w:rsidP="00F326E5">
      <w:pPr>
        <w:rPr>
          <w:rFonts w:ascii="Arial Black" w:hAnsi="Arial Black"/>
          <w:b/>
          <w:sz w:val="24"/>
          <w:szCs w:val="24"/>
        </w:rPr>
      </w:pPr>
    </w:p>
    <w:p w14:paraId="5DD01093" w14:textId="78D95A23" w:rsidR="00174109" w:rsidRDefault="00174109" w:rsidP="00F326E5">
      <w:pPr>
        <w:rPr>
          <w:rFonts w:ascii="Arial Black" w:hAnsi="Arial Black"/>
          <w:b/>
          <w:sz w:val="24"/>
          <w:szCs w:val="24"/>
        </w:rPr>
      </w:pPr>
      <w:r>
        <w:rPr>
          <w:rFonts w:ascii="Arial Black" w:hAnsi="Arial Black"/>
          <w:b/>
          <w:sz w:val="24"/>
          <w:szCs w:val="24"/>
        </w:rPr>
        <w:t>12-15</w:t>
      </w:r>
    </w:p>
    <w:p w14:paraId="7A969389" w14:textId="77777777" w:rsidR="00174109" w:rsidRDefault="00174109" w:rsidP="00174109">
      <w:pPr>
        <w:ind w:left="90"/>
        <w:rPr>
          <w:rFonts w:ascii="Arial Black" w:hAnsi="Arial Black"/>
          <w:sz w:val="28"/>
          <w:szCs w:val="28"/>
        </w:rPr>
      </w:pPr>
      <w:r>
        <w:rPr>
          <w:rFonts w:ascii="Arial Black" w:hAnsi="Arial Black"/>
          <w:sz w:val="28"/>
          <w:szCs w:val="28"/>
        </w:rPr>
        <w:t>LA: URINE TEST – “SHY BLADDER” - 1</w:t>
      </w:r>
      <w:r w:rsidRPr="00D20B2B">
        <w:rPr>
          <w:rFonts w:ascii="Arial Black" w:hAnsi="Arial Black"/>
          <w:sz w:val="28"/>
          <w:szCs w:val="28"/>
          <w:vertAlign w:val="superscript"/>
        </w:rPr>
        <w:t>st</w:t>
      </w:r>
      <w:r>
        <w:rPr>
          <w:rFonts w:ascii="Arial Black" w:hAnsi="Arial Black"/>
          <w:sz w:val="28"/>
          <w:szCs w:val="28"/>
        </w:rPr>
        <w:t xml:space="preserve"> SAMPLE TOO COLD - 3 HRS NO SAMPLES – REHIRED – BREACH FED. PROTOCOL  </w:t>
      </w:r>
    </w:p>
    <w:p w14:paraId="7DA6F4BD" w14:textId="77777777" w:rsidR="00174109" w:rsidRPr="00EF39AB" w:rsidRDefault="00174109" w:rsidP="00174109">
      <w:pPr>
        <w:ind w:left="90"/>
        <w:rPr>
          <w:rFonts w:ascii="Times New Roman" w:hAnsi="Times New Roman"/>
          <w:sz w:val="24"/>
          <w:szCs w:val="24"/>
        </w:rPr>
      </w:pPr>
      <w:r w:rsidRPr="00EF39AB">
        <w:rPr>
          <w:rFonts w:ascii="Times New Roman" w:hAnsi="Times New Roman"/>
          <w:sz w:val="24"/>
          <w:szCs w:val="24"/>
        </w:rPr>
        <w:t xml:space="preserve">On Dec. 1, 2021, in </w:t>
      </w:r>
      <w:r w:rsidRPr="00EF39AB">
        <w:rPr>
          <w:rFonts w:ascii="Times New Roman" w:hAnsi="Times New Roman"/>
          <w:sz w:val="24"/>
          <w:szCs w:val="24"/>
          <w:u w:val="single"/>
        </w:rPr>
        <w:t>Roy Neely v. Department of Fire [New Orleans]</w:t>
      </w:r>
      <w:r w:rsidRPr="00EF39AB">
        <w:rPr>
          <w:rFonts w:ascii="Times New Roman" w:hAnsi="Times New Roman"/>
          <w:sz w:val="24"/>
          <w:szCs w:val="24"/>
        </w:rPr>
        <w:t xml:space="preserve">, the Court of Appeals of Louisiana, Fourth Circuit, held (3 to 0) that the City Civil Service Commission properly ordered the 11-year firefighter (no prior discipline) reinstated. “Had the SAMHSA [federal Substance Abuse and Mental Health Services Administration] guidelines been followed, an alternate specimen would have been quickly </w:t>
      </w:r>
      <w:proofErr w:type="gramStart"/>
      <w:r w:rsidRPr="00EF39AB">
        <w:rPr>
          <w:rFonts w:ascii="Times New Roman" w:hAnsi="Times New Roman"/>
          <w:sz w:val="24"/>
          <w:szCs w:val="24"/>
        </w:rPr>
        <w:t>collected</w:t>
      </w:r>
      <w:proofErr w:type="gramEnd"/>
      <w:r w:rsidRPr="00EF39AB">
        <w:rPr>
          <w:rFonts w:ascii="Times New Roman" w:hAnsi="Times New Roman"/>
          <w:sz w:val="24"/>
          <w:szCs w:val="24"/>
        </w:rPr>
        <w:t xml:space="preserve"> or a medical evaluation would have occurred within five days, thereby facilitating the agency's efficient operation.” The Court noted that the FD could have provided in its protocol for hair or blood testing for “shy bladder” cases. </w:t>
      </w:r>
    </w:p>
    <w:p w14:paraId="0907EE2D" w14:textId="77777777" w:rsidR="00174109" w:rsidRPr="00EF39AB" w:rsidRDefault="00174109" w:rsidP="00174109">
      <w:pPr>
        <w:spacing w:before="100" w:beforeAutospacing="1" w:after="100" w:afterAutospacing="1" w:line="240" w:lineRule="auto"/>
        <w:ind w:left="720"/>
        <w:rPr>
          <w:rFonts w:ascii="Times New Roman" w:eastAsia="Times New Roman" w:hAnsi="Times New Roman"/>
          <w:b/>
          <w:bCs/>
          <w:sz w:val="24"/>
          <w:szCs w:val="24"/>
        </w:rPr>
      </w:pPr>
      <w:r w:rsidRPr="00EF39AB">
        <w:rPr>
          <w:rFonts w:ascii="Times New Roman" w:hAnsi="Times New Roman"/>
          <w:sz w:val="24"/>
          <w:szCs w:val="24"/>
        </w:rPr>
        <w:t xml:space="preserve">“Analyzing these guidelines together, it is evident that the appellee's conduct did not characterize a refusal to test. He appeared for the test, underwent and passed the first portion of it, stayed on the premises for the duration of the test, drank more than the minimum amount of fluid to facilitate urination, made three observed attempts to provide a sample, and expressed a willingness to undergo additional testing when he was unable to provide a second specimen. The appellee believed that he would have an opportunity to provide an alternate specimen, and when one was not requested, he paid for an additional test himself. The appellant failed to follow the mandatory testing protocol set forth in SAMHSA by not requesting an alternate sample or ordering a medical </w:t>
      </w:r>
      <w:proofErr w:type="gramStart"/>
      <w:r w:rsidRPr="00EF39AB">
        <w:rPr>
          <w:rFonts w:ascii="Times New Roman" w:hAnsi="Times New Roman"/>
          <w:sz w:val="24"/>
          <w:szCs w:val="24"/>
        </w:rPr>
        <w:t>evaluation, and</w:t>
      </w:r>
      <w:proofErr w:type="gramEnd"/>
      <w:r w:rsidRPr="00EF39AB">
        <w:rPr>
          <w:rFonts w:ascii="Times New Roman" w:hAnsi="Times New Roman"/>
          <w:sz w:val="24"/>
          <w:szCs w:val="24"/>
        </w:rPr>
        <w:t xml:space="preserve"> incorrectly concluded that the appellee's behavior constituted a refusal to test. *** The comments reveal that in drafting updates to the guidelines, a commenter requested that immediate alternate collections be made mandatory, to avoid additional costs associated with medical evaluations of "shy bladder" that would otherwise be necessary. Instead, the Department gave agencies the authority to decide whether to implement a standard protocol requiring an immediate alternate specimen, or to decide on a case-by-case basis whether to request an alternate specimen. This commentary illustrates a collective understanding that a ‘shy bladder’ is a condition requiring further evaluation.” </w:t>
      </w:r>
      <w:hyperlink r:id="rId2016" w:history="1">
        <w:r w:rsidRPr="00EC5853">
          <w:rPr>
            <w:rStyle w:val="Hyperlink"/>
            <w:rFonts w:ascii="Times New Roman" w:hAnsi="Times New Roman"/>
            <w:sz w:val="24"/>
            <w:szCs w:val="24"/>
          </w:rPr>
          <w:t>https://law.justia.com/cases/louisiana/fourth-circuit-court-of-appeal/2021/2021-ca-0454.html</w:t>
        </w:r>
      </w:hyperlink>
      <w:r>
        <w:rPr>
          <w:rFonts w:ascii="Times New Roman" w:hAnsi="Times New Roman"/>
          <w:sz w:val="24"/>
          <w:szCs w:val="24"/>
        </w:rPr>
        <w:t xml:space="preserve"> </w:t>
      </w:r>
    </w:p>
    <w:p w14:paraId="38B27D86" w14:textId="77777777" w:rsidR="00174109" w:rsidRPr="00131B6D" w:rsidRDefault="00174109" w:rsidP="00174109">
      <w:pPr>
        <w:spacing w:before="100" w:beforeAutospacing="1" w:after="100" w:afterAutospacing="1" w:line="240" w:lineRule="auto"/>
        <w:rPr>
          <w:rFonts w:ascii="Times New Roman" w:eastAsia="Times New Roman" w:hAnsi="Times New Roman"/>
          <w:b/>
          <w:bCs/>
          <w:sz w:val="24"/>
          <w:szCs w:val="24"/>
        </w:rPr>
      </w:pPr>
      <w:r w:rsidRPr="00131B6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To avoid similar litigation, FDs should adopt a policy that gives firefighters with a “shy bladder” the option taking a hair or blood test, or a medical exam at the firefighter’s expense. </w:t>
      </w:r>
    </w:p>
    <w:p w14:paraId="5CDAD513" w14:textId="77777777" w:rsidR="00174109" w:rsidRDefault="00174109" w:rsidP="00F326E5">
      <w:pPr>
        <w:rPr>
          <w:rFonts w:ascii="Arial Black" w:hAnsi="Arial Black"/>
          <w:b/>
          <w:sz w:val="24"/>
          <w:szCs w:val="24"/>
        </w:rPr>
      </w:pPr>
    </w:p>
    <w:p w14:paraId="4C38BEE5" w14:textId="1218CF71" w:rsidR="00885321" w:rsidRDefault="00885321" w:rsidP="00F326E5">
      <w:pPr>
        <w:rPr>
          <w:rFonts w:ascii="Arial Black" w:hAnsi="Arial Black"/>
          <w:b/>
          <w:sz w:val="24"/>
          <w:szCs w:val="24"/>
        </w:rPr>
      </w:pPr>
      <w:r>
        <w:rPr>
          <w:rFonts w:ascii="Arial Black" w:hAnsi="Arial Black"/>
          <w:b/>
          <w:sz w:val="24"/>
          <w:szCs w:val="24"/>
        </w:rPr>
        <w:t>12-14</w:t>
      </w:r>
    </w:p>
    <w:p w14:paraId="1FBB9DF8" w14:textId="77777777" w:rsidR="00885321" w:rsidRDefault="00885321" w:rsidP="00885321">
      <w:pPr>
        <w:pStyle w:val="NormalWeb"/>
        <w:rPr>
          <w:rFonts w:ascii="Arial Black" w:hAnsi="Arial Black"/>
          <w:sz w:val="28"/>
          <w:szCs w:val="28"/>
        </w:rPr>
      </w:pPr>
      <w:r>
        <w:rPr>
          <w:rFonts w:ascii="Arial Black" w:hAnsi="Arial Black"/>
          <w:sz w:val="28"/>
          <w:szCs w:val="28"/>
        </w:rPr>
        <w:t>OK: STATE AG SUES OPIOID MANUFACTURERS – MARKETING DRUGS - $465M VERDICT SET ASIDE – J&amp;J</w:t>
      </w:r>
    </w:p>
    <w:p w14:paraId="7BA7E78A" w14:textId="77777777" w:rsidR="00885321" w:rsidRDefault="00885321" w:rsidP="00885321">
      <w:pPr>
        <w:pStyle w:val="NormalWeb"/>
      </w:pPr>
      <w:r>
        <w:t xml:space="preserve">On Nov. 9, 2021, in </w:t>
      </w:r>
      <w:r w:rsidRPr="00CA6C2D">
        <w:rPr>
          <w:u w:val="single"/>
        </w:rPr>
        <w:t>State ex rel. Attorney General of Oklahoma v. Johnson &amp; Johnson</w:t>
      </w:r>
      <w:r>
        <w:t>, the Supreme Court of the State of Oklahoma (5 to 1) overturned $465 million judgment won by the State.  In 2019, state District Judge Thad Balkman ruled in a bench trial supporting the State’s argument that J&amp;J created a "public nuisance" through its marketing of prescription pain pills.</w:t>
      </w:r>
    </w:p>
    <w:p w14:paraId="736A9F07" w14:textId="77777777" w:rsidR="00885321" w:rsidRDefault="00885321" w:rsidP="00885321">
      <w:pPr>
        <w:pStyle w:val="NormalWeb"/>
        <w:ind w:left="720"/>
      </w:pPr>
      <w:r>
        <w:t xml:space="preserve">“To address this problem, the State of Oklahoma ex rel. Mike Hunter, Attorney General of Oklahoma ("State"), sued three prescription opioid manufacturers and requested that the district court hold opioid manufacturers liable for violating Oklahoma's public nuisance statute. The question before the Court is whether the conduct of an opioid manufacturer in marketing and selling its products constituted a public nuisance under 50 O.S.2011, §§ 1 &amp; 2. We hold that the district court's expansion of public nuisance law went too far. Oklahoma public nuisance law does not extend to the manufacturing, marketing, and selling of prescription opioids.” </w:t>
      </w:r>
      <w:hyperlink r:id="rId2017" w:history="1">
        <w:r w:rsidRPr="0085682C">
          <w:rPr>
            <w:rStyle w:val="Hyperlink"/>
          </w:rPr>
          <w:t>https://law.justia.com/cases/oklahoma/supreme-court/2021/118474.html</w:t>
        </w:r>
      </w:hyperlink>
      <w:r>
        <w:t xml:space="preserve"> </w:t>
      </w:r>
    </w:p>
    <w:p w14:paraId="4270A239" w14:textId="77777777" w:rsidR="00885321" w:rsidRPr="00D37C80" w:rsidRDefault="00885321" w:rsidP="00885321">
      <w:pPr>
        <w:spacing w:before="100" w:beforeAutospacing="1" w:after="100" w:afterAutospacing="1" w:line="240" w:lineRule="auto"/>
        <w:rPr>
          <w:rFonts w:ascii="Times New Roman" w:eastAsia="Times New Roman" w:hAnsi="Times New Roman"/>
          <w:b/>
          <w:bCs/>
          <w:sz w:val="24"/>
          <w:szCs w:val="24"/>
        </w:rPr>
      </w:pPr>
      <w:r w:rsidRPr="00D37C8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Numerous states have sued drug manufacturers and drug retail stores; the Oklahoma Supreme Court decision applies only to Oklahoma.</w:t>
      </w:r>
    </w:p>
    <w:p w14:paraId="760C2990" w14:textId="77777777" w:rsidR="00885321" w:rsidRDefault="00885321" w:rsidP="00885321">
      <w:pPr>
        <w:pStyle w:val="Heading1"/>
        <w:ind w:left="720"/>
        <w:rPr>
          <w:b w:val="0"/>
          <w:bCs w:val="0"/>
          <w:sz w:val="24"/>
          <w:szCs w:val="24"/>
        </w:rPr>
      </w:pPr>
      <w:r>
        <w:rPr>
          <w:b w:val="0"/>
          <w:bCs w:val="0"/>
          <w:sz w:val="24"/>
          <w:szCs w:val="24"/>
        </w:rPr>
        <w:t>See article on this decision:</w:t>
      </w:r>
      <w:r w:rsidRPr="00190C74">
        <w:rPr>
          <w:b w:val="0"/>
          <w:bCs w:val="0"/>
          <w:sz w:val="24"/>
          <w:szCs w:val="24"/>
        </w:rPr>
        <w:t xml:space="preserve"> </w:t>
      </w:r>
    </w:p>
    <w:p w14:paraId="4BA376BE" w14:textId="77777777" w:rsidR="00885321" w:rsidRDefault="00885321" w:rsidP="00885321">
      <w:pPr>
        <w:pStyle w:val="Heading1"/>
        <w:ind w:left="720"/>
        <w:rPr>
          <w:b w:val="0"/>
          <w:bCs w:val="0"/>
          <w:sz w:val="24"/>
          <w:szCs w:val="24"/>
        </w:rPr>
      </w:pPr>
      <w:r>
        <w:rPr>
          <w:b w:val="0"/>
          <w:bCs w:val="0"/>
          <w:sz w:val="24"/>
          <w:szCs w:val="24"/>
        </w:rPr>
        <w:t>Nov. 9, 2021: “</w:t>
      </w:r>
      <w:r w:rsidRPr="00190C74">
        <w:rPr>
          <w:b w:val="0"/>
          <w:bCs w:val="0"/>
          <w:sz w:val="24"/>
          <w:szCs w:val="24"/>
        </w:rPr>
        <w:t>Oklahoma's Supreme Court tossed out a landmark $465 million opioid ruling</w:t>
      </w:r>
      <w:r>
        <w:rPr>
          <w:b w:val="0"/>
          <w:bCs w:val="0"/>
          <w:sz w:val="24"/>
          <w:szCs w:val="24"/>
        </w:rPr>
        <w:t xml:space="preserve">.” </w:t>
      </w:r>
      <w:r w:rsidRPr="00190C74">
        <w:rPr>
          <w:b w:val="0"/>
          <w:bCs w:val="0"/>
          <w:sz w:val="24"/>
          <w:szCs w:val="24"/>
        </w:rPr>
        <w:t xml:space="preserve"> </w:t>
      </w:r>
      <w:hyperlink r:id="rId2018" w:history="1">
        <w:r w:rsidRPr="0085682C">
          <w:rPr>
            <w:rStyle w:val="Hyperlink"/>
            <w:b w:val="0"/>
            <w:bCs w:val="0"/>
            <w:sz w:val="24"/>
            <w:szCs w:val="24"/>
          </w:rPr>
          <w:t>https://www.npr.org/2021/11/09/1054000996/oklahoma-supreme-court-465-million-opioid-ruling</w:t>
        </w:r>
      </w:hyperlink>
      <w:r w:rsidRPr="00190C74">
        <w:rPr>
          <w:b w:val="0"/>
          <w:bCs w:val="0"/>
          <w:sz w:val="24"/>
          <w:szCs w:val="24"/>
        </w:rPr>
        <w:t xml:space="preserve"> </w:t>
      </w:r>
    </w:p>
    <w:p w14:paraId="590F338F" w14:textId="77777777" w:rsidR="00885321" w:rsidRDefault="00885321" w:rsidP="00885321">
      <w:pPr>
        <w:pStyle w:val="Heading1"/>
        <w:ind w:left="720"/>
        <w:rPr>
          <w:b w:val="0"/>
          <w:bCs w:val="0"/>
          <w:sz w:val="24"/>
          <w:szCs w:val="24"/>
        </w:rPr>
      </w:pPr>
      <w:r>
        <w:rPr>
          <w:b w:val="0"/>
          <w:bCs w:val="0"/>
          <w:sz w:val="24"/>
          <w:szCs w:val="24"/>
        </w:rPr>
        <w:t xml:space="preserve">But see other Court decisions: </w:t>
      </w:r>
    </w:p>
    <w:p w14:paraId="3739DB4D" w14:textId="77777777" w:rsidR="00885321" w:rsidRDefault="00885321" w:rsidP="00885321">
      <w:pPr>
        <w:pStyle w:val="Heading1"/>
        <w:ind w:left="720"/>
        <w:rPr>
          <w:b w:val="0"/>
          <w:bCs w:val="0"/>
          <w:sz w:val="24"/>
          <w:szCs w:val="24"/>
        </w:rPr>
      </w:pPr>
      <w:r>
        <w:rPr>
          <w:b w:val="0"/>
          <w:bCs w:val="0"/>
          <w:sz w:val="24"/>
          <w:szCs w:val="24"/>
        </w:rPr>
        <w:t xml:space="preserve">Nov. 23, 2021: </w:t>
      </w:r>
      <w:r w:rsidRPr="00C201AC">
        <w:rPr>
          <w:b w:val="0"/>
          <w:bCs w:val="0"/>
          <w:sz w:val="24"/>
          <w:szCs w:val="24"/>
        </w:rPr>
        <w:t xml:space="preserve">“3 of America's biggest pharmacy chains </w:t>
      </w:r>
      <w:proofErr w:type="gramStart"/>
      <w:r w:rsidRPr="00C201AC">
        <w:rPr>
          <w:b w:val="0"/>
          <w:bCs w:val="0"/>
          <w:sz w:val="24"/>
          <w:szCs w:val="24"/>
        </w:rPr>
        <w:t>have</w:t>
      </w:r>
      <w:proofErr w:type="gramEnd"/>
      <w:r w:rsidRPr="00C201AC">
        <w:rPr>
          <w:b w:val="0"/>
          <w:bCs w:val="0"/>
          <w:sz w:val="24"/>
          <w:szCs w:val="24"/>
        </w:rPr>
        <w:t xml:space="preserve"> been found liable for the opioid crisis.” </w:t>
      </w:r>
      <w:hyperlink r:id="rId2019" w:history="1">
        <w:r w:rsidRPr="0085682C">
          <w:rPr>
            <w:rStyle w:val="Hyperlink"/>
            <w:b w:val="0"/>
            <w:bCs w:val="0"/>
            <w:sz w:val="24"/>
            <w:szCs w:val="24"/>
          </w:rPr>
          <w:t>https://www.npr.org/2021/11/23/1058539458/a-jury-in-ohio-says-americas-big-pharmacy-chains-are-liable-for-the-opioid-epide</w:t>
        </w:r>
      </w:hyperlink>
      <w:r w:rsidRPr="00C201AC">
        <w:rPr>
          <w:b w:val="0"/>
          <w:bCs w:val="0"/>
          <w:sz w:val="24"/>
          <w:szCs w:val="24"/>
        </w:rPr>
        <w:t xml:space="preserve"> </w:t>
      </w:r>
    </w:p>
    <w:p w14:paraId="419EF775" w14:textId="77777777" w:rsidR="00885321" w:rsidRPr="00C201AC" w:rsidRDefault="00885321" w:rsidP="00885321">
      <w:pPr>
        <w:pStyle w:val="Heading1"/>
        <w:ind w:left="1440"/>
        <w:rPr>
          <w:b w:val="0"/>
          <w:bCs w:val="0"/>
          <w:sz w:val="24"/>
          <w:szCs w:val="24"/>
        </w:rPr>
      </w:pPr>
      <w:r>
        <w:rPr>
          <w:b w:val="0"/>
          <w:bCs w:val="0"/>
          <w:sz w:val="24"/>
          <w:szCs w:val="24"/>
        </w:rPr>
        <w:t>“</w:t>
      </w:r>
      <w:r w:rsidRPr="00C201AC">
        <w:rPr>
          <w:b w:val="0"/>
          <w:bCs w:val="0"/>
          <w:sz w:val="24"/>
          <w:szCs w:val="24"/>
        </w:rPr>
        <w:t>A federal jury on Tuesday found three of the nation's biggest pharmacy chains, CVS, Walgreens and Walmart, liable for helping to fuel the U.S. opioid crisis — a decision that's expected to have legal repercussions as thousands of similar lawsuits move forward in courts across the country.</w:t>
      </w:r>
      <w:r>
        <w:rPr>
          <w:b w:val="0"/>
          <w:bCs w:val="0"/>
          <w:sz w:val="24"/>
          <w:szCs w:val="24"/>
        </w:rPr>
        <w:t>”</w:t>
      </w:r>
    </w:p>
    <w:p w14:paraId="0A881F38" w14:textId="77777777" w:rsidR="00885321" w:rsidRPr="00190C74" w:rsidRDefault="00885321" w:rsidP="00885321">
      <w:pPr>
        <w:pStyle w:val="Heading1"/>
        <w:ind w:left="720"/>
        <w:rPr>
          <w:b w:val="0"/>
          <w:bCs w:val="0"/>
          <w:sz w:val="24"/>
          <w:szCs w:val="24"/>
        </w:rPr>
      </w:pPr>
      <w:r>
        <w:rPr>
          <w:b w:val="0"/>
          <w:bCs w:val="0"/>
          <w:sz w:val="24"/>
          <w:szCs w:val="24"/>
        </w:rPr>
        <w:t xml:space="preserve"> Nov. 1, 2021: “</w:t>
      </w:r>
      <w:r w:rsidRPr="00190C74">
        <w:rPr>
          <w:b w:val="0"/>
          <w:bCs w:val="0"/>
          <w:sz w:val="24"/>
          <w:szCs w:val="24"/>
        </w:rPr>
        <w:t xml:space="preserve">A California court says drug companies aren't liable for the state's opioid crisis. </w:t>
      </w:r>
      <w:hyperlink r:id="rId2020" w:history="1">
        <w:r w:rsidRPr="0085682C">
          <w:rPr>
            <w:rStyle w:val="Hyperlink"/>
            <w:b w:val="0"/>
            <w:bCs w:val="0"/>
            <w:sz w:val="24"/>
            <w:szCs w:val="24"/>
          </w:rPr>
          <w:t>https://www.npr.org/2021/11/01/1051321580/california-judge-drug-companies-opioid-crisis-allergan-endo-johnson-teva</w:t>
        </w:r>
      </w:hyperlink>
      <w:r w:rsidRPr="00190C74">
        <w:rPr>
          <w:b w:val="0"/>
          <w:bCs w:val="0"/>
          <w:sz w:val="24"/>
          <w:szCs w:val="24"/>
        </w:rPr>
        <w:t xml:space="preserve"> </w:t>
      </w:r>
    </w:p>
    <w:p w14:paraId="23226769" w14:textId="77777777" w:rsidR="00885321" w:rsidRPr="00C201AC" w:rsidRDefault="00885321" w:rsidP="0088532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201AC">
        <w:rPr>
          <w:rFonts w:ascii="Times New Roman" w:eastAsia="Times New Roman" w:hAnsi="Times New Roman"/>
          <w:sz w:val="24"/>
          <w:szCs w:val="24"/>
        </w:rPr>
        <w:t xml:space="preserve">A state judge in California ruled late Monday that four drug companies can't be held liable for that state's opioid epidemic. Communities had hoped for tens of billions of dollars in compensation to help ease the addiction crisis. </w:t>
      </w:r>
      <w:r>
        <w:rPr>
          <w:rFonts w:ascii="Times New Roman" w:eastAsia="Times New Roman" w:hAnsi="Times New Roman"/>
          <w:sz w:val="24"/>
          <w:szCs w:val="24"/>
        </w:rPr>
        <w:t xml:space="preserve"> </w:t>
      </w:r>
      <w:r w:rsidRPr="00C201AC">
        <w:rPr>
          <w:rFonts w:ascii="Times New Roman" w:eastAsia="Times New Roman" w:hAnsi="Times New Roman"/>
          <w:sz w:val="24"/>
          <w:szCs w:val="24"/>
        </w:rPr>
        <w:t>Attorneys representing four California counties argued the drug companies Allergan, Endo, Johnson &amp; Johnson and Teva used false and misleading marketing to push up the sale of prescription opioids.</w:t>
      </w:r>
      <w:r>
        <w:rPr>
          <w:rFonts w:ascii="Times New Roman" w:eastAsia="Times New Roman" w:hAnsi="Times New Roman"/>
          <w:sz w:val="24"/>
          <w:szCs w:val="24"/>
        </w:rPr>
        <w:t>”</w:t>
      </w:r>
    </w:p>
    <w:p w14:paraId="5CAE2483" w14:textId="77777777" w:rsidR="00885321" w:rsidRDefault="00885321" w:rsidP="00F326E5">
      <w:pPr>
        <w:rPr>
          <w:rFonts w:ascii="Arial Black" w:hAnsi="Arial Black"/>
          <w:b/>
          <w:sz w:val="24"/>
          <w:szCs w:val="24"/>
        </w:rPr>
      </w:pPr>
    </w:p>
    <w:p w14:paraId="7ECE1CD5" w14:textId="357215CC" w:rsidR="00774A91" w:rsidRDefault="00774A91" w:rsidP="00F326E5">
      <w:pPr>
        <w:rPr>
          <w:rFonts w:ascii="Arial Black" w:hAnsi="Arial Black"/>
          <w:b/>
          <w:sz w:val="24"/>
          <w:szCs w:val="24"/>
        </w:rPr>
      </w:pPr>
      <w:r>
        <w:rPr>
          <w:rFonts w:ascii="Arial Black" w:hAnsi="Arial Black"/>
          <w:b/>
          <w:sz w:val="24"/>
          <w:szCs w:val="24"/>
        </w:rPr>
        <w:t>12-13</w:t>
      </w:r>
    </w:p>
    <w:p w14:paraId="3D0AFAC3" w14:textId="77777777" w:rsidR="00774A91" w:rsidRPr="005C4D5B" w:rsidRDefault="00774A91" w:rsidP="00774A91">
      <w:pPr>
        <w:spacing w:before="100" w:beforeAutospacing="1" w:after="100" w:afterAutospacing="1" w:line="240" w:lineRule="auto"/>
        <w:rPr>
          <w:rFonts w:ascii="Arial Black" w:eastAsia="Times New Roman" w:hAnsi="Arial Black"/>
          <w:b/>
          <w:bCs/>
          <w:sz w:val="28"/>
          <w:szCs w:val="28"/>
        </w:rPr>
      </w:pPr>
      <w:r w:rsidRPr="005C4D5B">
        <w:rPr>
          <w:rFonts w:ascii="Arial Black" w:eastAsia="Times New Roman" w:hAnsi="Arial Black"/>
          <w:b/>
          <w:bCs/>
          <w:sz w:val="28"/>
          <w:szCs w:val="28"/>
        </w:rPr>
        <w:t>MI: FREELANCE PHOTOGRAPHER –</w:t>
      </w:r>
      <w:r>
        <w:rPr>
          <w:rFonts w:ascii="Arial Black" w:eastAsia="Times New Roman" w:hAnsi="Arial Black"/>
          <w:b/>
          <w:bCs/>
          <w:sz w:val="28"/>
          <w:szCs w:val="28"/>
        </w:rPr>
        <w:t xml:space="preserve"> LAWFULLY BANNED FROM FIREHOUSES FOR DRINKING – NOT RETALIATION</w:t>
      </w:r>
    </w:p>
    <w:p w14:paraId="6942F097" w14:textId="77777777" w:rsidR="00774A91" w:rsidRDefault="00774A91" w:rsidP="00774A91">
      <w:pPr>
        <w:pStyle w:val="NormalWeb"/>
      </w:pPr>
      <w:r>
        <w:t xml:space="preserve">On Oct. 27, 2021, in </w:t>
      </w:r>
      <w:r w:rsidRPr="005C4D5B">
        <w:rPr>
          <w:u w:val="single"/>
        </w:rPr>
        <w:t>Alexander Haggart v. City of Detroit, et al</w:t>
      </w:r>
      <w:r>
        <w:t xml:space="preserve">., U.S. District Court Judge Steven J. Murphy, U.S. District Court, Eastern District of Michigan (Southern Division) granted defendants’ motion for summary judgment, </w:t>
      </w:r>
      <w:r w:rsidRPr="00B97D8A">
        <w:t xml:space="preserve">including </w:t>
      </w:r>
      <w:r>
        <w:t xml:space="preserve">Fire </w:t>
      </w:r>
      <w:r w:rsidRPr="00B97D8A">
        <w:t>Chief Patrick McNulty</w:t>
      </w:r>
      <w:r>
        <w:t xml:space="preserve"> and </w:t>
      </w:r>
      <w:r w:rsidRPr="00B97D8A">
        <w:t>Deputy Chief Robert Shinske</w:t>
      </w:r>
      <w:r>
        <w:t xml:space="preserve">.  The Court held the </w:t>
      </w:r>
      <w:proofErr w:type="gramStart"/>
      <w:r>
        <w:t>banning</w:t>
      </w:r>
      <w:proofErr w:type="gramEnd"/>
      <w:r>
        <w:t xml:space="preserve"> was not in retaliation for taking photo of Deputy Chief Shinske’s command vehicle at bar 18 months earlier, where Deputy Chief received a 5-day suspension. Note: the photo was picked up by press and “went viral.”  See Oct. 18, </w:t>
      </w:r>
      <w:proofErr w:type="gramStart"/>
      <w:r>
        <w:t>2017</w:t>
      </w:r>
      <w:proofErr w:type="gramEnd"/>
      <w:r>
        <w:t xml:space="preserve"> article, “Detroit fire chief investigated for taking department car to bar.” </w:t>
      </w:r>
      <w:hyperlink r:id="rId2021" w:history="1">
        <w:r w:rsidRPr="00EF1618">
          <w:rPr>
            <w:rStyle w:val="Hyperlink"/>
          </w:rPr>
          <w:t>https://www.fox2detroit.com/news/detroit-fire-chief-investigated-for-taking-department-car-to-bar</w:t>
        </w:r>
      </w:hyperlink>
      <w:r>
        <w:t xml:space="preserve"> </w:t>
      </w:r>
    </w:p>
    <w:p w14:paraId="4814C452" w14:textId="77777777" w:rsidR="00774A91" w:rsidRDefault="00774A91" w:rsidP="00774A91">
      <w:pPr>
        <w:pStyle w:val="NormalWeb"/>
        <w:ind w:left="720"/>
      </w:pPr>
      <w:r>
        <w:t xml:space="preserve">“And the evidence shows that Deputy Chief Shinske had a legitimate reason to ban Plaintiff from firehouses based on Plaintiff's drinking and horsing around on department equipment. </w:t>
      </w:r>
      <w:r w:rsidRPr="005C4D5B">
        <w:t xml:space="preserve">In all, Plaintiff has failed to show that Deputy Chief Shinske would not have banned him but for posting </w:t>
      </w:r>
      <w:proofErr w:type="gramStart"/>
      <w:r w:rsidRPr="005C4D5B">
        <w:t>the photos</w:t>
      </w:r>
      <w:proofErr w:type="gramEnd"/>
      <w:r w:rsidRPr="005C4D5B">
        <w:t xml:space="preserve"> on social media. Because no evidence shows a </w:t>
      </w:r>
      <w:proofErr w:type="spellStart"/>
      <w:r w:rsidRPr="005C4D5B">
        <w:t>but</w:t>
      </w:r>
      <w:proofErr w:type="spellEnd"/>
      <w:r w:rsidRPr="005C4D5B">
        <w:t>-for causation, Deputy Chief Shinske did not violate Plaintiff's constitutional rights and is therefore entitled to qualified immunity.</w:t>
      </w:r>
      <w:r>
        <w:t xml:space="preserve">” </w:t>
      </w:r>
      <w:hyperlink r:id="rId2022" w:history="1">
        <w:r w:rsidRPr="009545D0">
          <w:rPr>
            <w:rStyle w:val="Hyperlink"/>
          </w:rPr>
          <w:t>https://public.fastcase.com/9SKwsfNqTc6OieYDhNMyM8QDIumtbytcTIYRS7vEe0pQ3%2BAszz%2FAIWxBBPTdhGkJW%2FsZnkZT639gd%2FCKUheamGpg8tPb2WiD4LZsCmDtik8%3D</w:t>
        </w:r>
      </w:hyperlink>
      <w:r>
        <w:t xml:space="preserve"> </w:t>
      </w:r>
    </w:p>
    <w:p w14:paraId="74BB0873" w14:textId="77777777" w:rsidR="00774A91" w:rsidRDefault="00774A91" w:rsidP="00774A91">
      <w:pPr>
        <w:pStyle w:val="NormalWeb"/>
        <w:rPr>
          <w:b/>
          <w:bCs/>
        </w:rPr>
      </w:pPr>
      <w:r w:rsidRPr="00FC31F8">
        <w:rPr>
          <w:b/>
          <w:bCs/>
        </w:rPr>
        <w:t>Legal Lesson Learned:</w:t>
      </w:r>
      <w:r>
        <w:rPr>
          <w:b/>
          <w:bCs/>
        </w:rPr>
        <w:t xml:space="preserve"> (1) Even if off duty, don’t drive your marked FD vehicle to bar unless conducting official business; (2) station officers who allow </w:t>
      </w:r>
      <w:proofErr w:type="gramStart"/>
      <w:r>
        <w:rPr>
          <w:b/>
          <w:bCs/>
        </w:rPr>
        <w:t>civilian</w:t>
      </w:r>
      <w:proofErr w:type="gramEnd"/>
      <w:r>
        <w:rPr>
          <w:b/>
          <w:bCs/>
        </w:rPr>
        <w:t xml:space="preserve"> to drink </w:t>
      </w:r>
      <w:proofErr w:type="gramStart"/>
      <w:r>
        <w:rPr>
          <w:b/>
          <w:bCs/>
        </w:rPr>
        <w:t>a beer</w:t>
      </w:r>
      <w:proofErr w:type="gramEnd"/>
      <w:r>
        <w:rPr>
          <w:b/>
          <w:bCs/>
        </w:rPr>
        <w:t xml:space="preserve"> at the station should also face discipline. </w:t>
      </w:r>
    </w:p>
    <w:p w14:paraId="2DF5780B" w14:textId="0A5E47ED" w:rsidR="00774A91" w:rsidRDefault="00774A91" w:rsidP="00F326E5">
      <w:pPr>
        <w:rPr>
          <w:rFonts w:ascii="Arial Black" w:hAnsi="Arial Black"/>
          <w:b/>
          <w:sz w:val="24"/>
          <w:szCs w:val="24"/>
        </w:rPr>
      </w:pPr>
    </w:p>
    <w:p w14:paraId="1F406173" w14:textId="666A1562" w:rsidR="00774A91" w:rsidRDefault="00774A91" w:rsidP="00F326E5">
      <w:pPr>
        <w:rPr>
          <w:rFonts w:ascii="Arial Black" w:hAnsi="Arial Black"/>
          <w:b/>
          <w:sz w:val="24"/>
          <w:szCs w:val="24"/>
        </w:rPr>
      </w:pPr>
      <w:r>
        <w:rPr>
          <w:rFonts w:ascii="Arial Black" w:hAnsi="Arial Black"/>
          <w:b/>
          <w:sz w:val="24"/>
          <w:szCs w:val="24"/>
        </w:rPr>
        <w:t>12-12</w:t>
      </w:r>
    </w:p>
    <w:p w14:paraId="15F7599E" w14:textId="77777777" w:rsidR="00774A91" w:rsidRPr="002B1B5D" w:rsidRDefault="00774A91" w:rsidP="00774A9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LA: FF 3rd DUI – AFTER FIRST DUI SIGNED “RETURN TO WORK AGREEMENT” - TERMINATION UPHELD </w:t>
      </w:r>
    </w:p>
    <w:p w14:paraId="4D35CBAE" w14:textId="77777777" w:rsidR="00774A91" w:rsidRDefault="00774A91" w:rsidP="00774A9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20, 2021, in </w:t>
      </w:r>
      <w:r w:rsidRPr="00C0791C">
        <w:rPr>
          <w:rFonts w:ascii="Times New Roman" w:eastAsia="Times New Roman" w:hAnsi="Times New Roman"/>
          <w:sz w:val="24"/>
          <w:szCs w:val="24"/>
          <w:u w:val="single"/>
        </w:rPr>
        <w:t>Lance Martin v. Department of Fire [New Orleans]</w:t>
      </w:r>
      <w:r>
        <w:rPr>
          <w:rFonts w:ascii="Times New Roman" w:eastAsia="Times New Roman" w:hAnsi="Times New Roman"/>
          <w:sz w:val="24"/>
          <w:szCs w:val="24"/>
        </w:rPr>
        <w:t>, the Court of Appeals of Louisiana, Fourth Circuit, held (3 to 0) that the Civil Service Commission properly upheld the  firefighter’s termination.  After his first DUI (July 18, 2018), he agreed to seek help from EAP and signed a “</w:t>
      </w:r>
      <w:r w:rsidRPr="00C0791C">
        <w:rPr>
          <w:rFonts w:ascii="Times New Roman" w:hAnsi="Times New Roman"/>
          <w:sz w:val="24"/>
          <w:szCs w:val="24"/>
        </w:rPr>
        <w:t>Return to Work Consent for Information Disclosure</w:t>
      </w:r>
      <w:r>
        <w:rPr>
          <w:rFonts w:ascii="Times New Roman" w:hAnsi="Times New Roman"/>
          <w:sz w:val="24"/>
          <w:szCs w:val="24"/>
        </w:rPr>
        <w:t>’</w:t>
      </w:r>
      <w:r w:rsidRPr="00C0791C">
        <w:rPr>
          <w:rFonts w:ascii="Times New Roman" w:hAnsi="Times New Roman"/>
          <w:sz w:val="24"/>
          <w:szCs w:val="24"/>
        </w:rPr>
        <w:t xml:space="preserve"> </w:t>
      </w:r>
      <w:r>
        <w:rPr>
          <w:rFonts w:ascii="Times New Roman" w:hAnsi="Times New Roman"/>
          <w:sz w:val="24"/>
          <w:szCs w:val="24"/>
        </w:rPr>
        <w:t>A</w:t>
      </w:r>
      <w:r w:rsidRPr="00C0791C">
        <w:rPr>
          <w:rFonts w:ascii="Times New Roman" w:hAnsi="Times New Roman"/>
          <w:sz w:val="24"/>
          <w:szCs w:val="24"/>
        </w:rPr>
        <w:t>greement</w:t>
      </w:r>
      <w:r>
        <w:rPr>
          <w:rFonts w:ascii="Times New Roman" w:hAnsi="Times New Roman"/>
          <w:sz w:val="24"/>
          <w:szCs w:val="24"/>
        </w:rPr>
        <w:t xml:space="preserve"> </w:t>
      </w:r>
      <w:r w:rsidRPr="00D431D9">
        <w:rPr>
          <w:rFonts w:ascii="Times New Roman" w:hAnsi="Times New Roman"/>
          <w:sz w:val="24"/>
          <w:szCs w:val="24"/>
        </w:rPr>
        <w:t>which obligated him to abstain from alcohol consumption during the term of his employment</w:t>
      </w:r>
      <w:r>
        <w:rPr>
          <w:rFonts w:ascii="Times New Roman" w:hAnsi="Times New Roman"/>
          <w:sz w:val="24"/>
          <w:szCs w:val="24"/>
        </w:rPr>
        <w:t>.  Thereafter he had two more DUIs: Oct. 10, 2018, and July 12, 2019.</w:t>
      </w:r>
    </w:p>
    <w:p w14:paraId="23D3B56B" w14:textId="77777777" w:rsidR="00774A91" w:rsidRDefault="00774A91" w:rsidP="00774A9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2B1B5D">
        <w:rPr>
          <w:rFonts w:ascii="Times New Roman" w:eastAsia="Times New Roman" w:hAnsi="Times New Roman"/>
          <w:sz w:val="24"/>
          <w:szCs w:val="24"/>
        </w:rPr>
        <w:t xml:space="preserve">Upon review of the record, we find the Commission's decision to uphold Mr. Martin's termination is rationally based on the facts established in the record. The record reflects that after </w:t>
      </w:r>
      <w:proofErr w:type="gramStart"/>
      <w:r w:rsidRPr="002B1B5D">
        <w:rPr>
          <w:rFonts w:ascii="Times New Roman" w:eastAsia="Times New Roman" w:hAnsi="Times New Roman"/>
          <w:sz w:val="24"/>
          <w:szCs w:val="24"/>
        </w:rPr>
        <w:t>entering into</w:t>
      </w:r>
      <w:proofErr w:type="gramEnd"/>
      <w:r w:rsidRPr="002B1B5D">
        <w:rPr>
          <w:rFonts w:ascii="Times New Roman" w:eastAsia="Times New Roman" w:hAnsi="Times New Roman"/>
          <w:sz w:val="24"/>
          <w:szCs w:val="24"/>
        </w:rPr>
        <w:t xml:space="preserve"> the </w:t>
      </w:r>
      <w:proofErr w:type="gramStart"/>
      <w:r w:rsidRPr="002B1B5D">
        <w:rPr>
          <w:rFonts w:ascii="Times New Roman" w:eastAsia="Times New Roman" w:hAnsi="Times New Roman"/>
          <w:sz w:val="24"/>
          <w:szCs w:val="24"/>
        </w:rPr>
        <w:t>return to work</w:t>
      </w:r>
      <w:proofErr w:type="gramEnd"/>
      <w:r w:rsidRPr="002B1B5D">
        <w:rPr>
          <w:rFonts w:ascii="Times New Roman" w:eastAsia="Times New Roman" w:hAnsi="Times New Roman"/>
          <w:sz w:val="24"/>
          <w:szCs w:val="24"/>
        </w:rPr>
        <w:t xml:space="preserve"> agreement, Mr. Martin had two additional incidents of alcohol misuse, which led to him being arrested. Consequently, he violated his </w:t>
      </w:r>
      <w:proofErr w:type="gramStart"/>
      <w:r w:rsidRPr="002B1B5D">
        <w:rPr>
          <w:rFonts w:ascii="Times New Roman" w:eastAsia="Times New Roman" w:hAnsi="Times New Roman"/>
          <w:sz w:val="24"/>
          <w:szCs w:val="24"/>
        </w:rPr>
        <w:t>return to work</w:t>
      </w:r>
      <w:proofErr w:type="gramEnd"/>
      <w:r w:rsidRPr="002B1B5D">
        <w:rPr>
          <w:rFonts w:ascii="Times New Roman" w:eastAsia="Times New Roman" w:hAnsi="Times New Roman"/>
          <w:sz w:val="24"/>
          <w:szCs w:val="24"/>
        </w:rPr>
        <w:t xml:space="preserve"> agreement. While we acknowledge that termination from permanent employment is the most extreme form of disciplinary action taken against an employee, we cannot say the Commission's decision to uphold the termination in this case was arbitrary, capricious, or an abuse of discretion.</w:t>
      </w:r>
      <w:r>
        <w:rPr>
          <w:rFonts w:ascii="Times New Roman" w:eastAsia="Times New Roman" w:hAnsi="Times New Roman"/>
          <w:sz w:val="24"/>
          <w:szCs w:val="24"/>
        </w:rPr>
        <w:t xml:space="preserve">” </w:t>
      </w:r>
      <w:hyperlink r:id="rId2023" w:history="1">
        <w:r w:rsidRPr="00ED2C8C">
          <w:rPr>
            <w:rStyle w:val="Hyperlink"/>
            <w:sz w:val="24"/>
            <w:szCs w:val="24"/>
          </w:rPr>
          <w:t>https://law.justia.com/cases/louisiana/fourth-circuit-court-of-appeal/2021/2021-ca-0070.html</w:t>
        </w:r>
      </w:hyperlink>
      <w:r>
        <w:rPr>
          <w:rFonts w:ascii="Times New Roman" w:eastAsia="Times New Roman" w:hAnsi="Times New Roman"/>
          <w:sz w:val="24"/>
          <w:szCs w:val="24"/>
        </w:rPr>
        <w:t xml:space="preserve"> </w:t>
      </w:r>
    </w:p>
    <w:p w14:paraId="07062970" w14:textId="77777777" w:rsidR="00774A91" w:rsidRPr="00C0791C" w:rsidRDefault="00774A91" w:rsidP="00774A91">
      <w:pPr>
        <w:spacing w:before="100" w:beforeAutospacing="1" w:after="100" w:afterAutospacing="1" w:line="240" w:lineRule="auto"/>
        <w:rPr>
          <w:rFonts w:ascii="Times New Roman" w:eastAsia="Times New Roman" w:hAnsi="Times New Roman"/>
          <w:b/>
          <w:bCs/>
          <w:sz w:val="24"/>
          <w:szCs w:val="24"/>
        </w:rPr>
      </w:pPr>
      <w:r w:rsidRPr="00D431D9">
        <w:rPr>
          <w:rFonts w:ascii="Times New Roman" w:hAnsi="Times New Roman"/>
          <w:b/>
          <w:bCs/>
          <w:sz w:val="24"/>
          <w:szCs w:val="24"/>
        </w:rPr>
        <w:t>Legal Lesson Learned:</w:t>
      </w:r>
      <w:r>
        <w:rPr>
          <w:rFonts w:ascii="Times New Roman" w:hAnsi="Times New Roman"/>
          <w:b/>
          <w:bCs/>
          <w:sz w:val="24"/>
          <w:szCs w:val="24"/>
        </w:rPr>
        <w:t xml:space="preserve"> Return to work agreements and other “last chance agreements” are enforceable. </w:t>
      </w:r>
    </w:p>
    <w:p w14:paraId="41723C7F" w14:textId="77777777" w:rsidR="00774A91" w:rsidRDefault="00774A91" w:rsidP="00F326E5">
      <w:pPr>
        <w:rPr>
          <w:rFonts w:ascii="Arial Black" w:hAnsi="Arial Black"/>
          <w:b/>
          <w:sz w:val="24"/>
          <w:szCs w:val="24"/>
        </w:rPr>
      </w:pPr>
    </w:p>
    <w:p w14:paraId="2D0D6631" w14:textId="4435079F" w:rsidR="003E0A22" w:rsidRDefault="00A82898" w:rsidP="00F326E5">
      <w:pPr>
        <w:rPr>
          <w:rFonts w:ascii="Arial Black" w:hAnsi="Arial Black"/>
          <w:b/>
          <w:sz w:val="24"/>
          <w:szCs w:val="24"/>
        </w:rPr>
      </w:pPr>
      <w:r>
        <w:rPr>
          <w:rFonts w:ascii="Arial Black" w:hAnsi="Arial Black"/>
          <w:b/>
          <w:sz w:val="24"/>
          <w:szCs w:val="24"/>
        </w:rPr>
        <w:t>12-11</w:t>
      </w:r>
    </w:p>
    <w:p w14:paraId="16D4701E"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r>
        <w:rPr>
          <w:rStyle w:val="markedcontent"/>
          <w:rFonts w:ascii="Arial Black" w:hAnsi="Arial Black"/>
          <w:sz w:val="28"/>
          <w:szCs w:val="28"/>
        </w:rPr>
        <w:t xml:space="preserve">CO: MARIJUANA - 44 STATES ALLOW USE – U.S. SUPREME COURT JUSTICE THOMAS: FEDS ARE “HALF-IN, HALF OUT” </w:t>
      </w:r>
    </w:p>
    <w:p w14:paraId="6EDDF135"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p>
    <w:p w14:paraId="537B74F1" w14:textId="77777777" w:rsidR="00A82898" w:rsidRPr="005B0F3E" w:rsidRDefault="00A82898" w:rsidP="00A82898">
      <w:pPr>
        <w:pStyle w:val="NormalWeb"/>
        <w:spacing w:before="0" w:beforeAutospacing="0" w:after="0" w:afterAutospacing="0" w:line="255" w:lineRule="atLeast"/>
        <w:rPr>
          <w:rStyle w:val="markedcontent"/>
        </w:rPr>
      </w:pPr>
      <w:r w:rsidRPr="00C13F94">
        <w:rPr>
          <w:rStyle w:val="markedcontent"/>
        </w:rPr>
        <w:t xml:space="preserve">On June 28, 2021, in </w:t>
      </w:r>
      <w:r w:rsidRPr="00C13F94">
        <w:rPr>
          <w:rStyle w:val="markedcontent"/>
          <w:u w:val="single"/>
        </w:rPr>
        <w:t>Standing Akimbo, LLC et al. v. United States</w:t>
      </w:r>
      <w:r w:rsidRPr="00C13F94">
        <w:rPr>
          <w:rStyle w:val="markedcontent"/>
        </w:rPr>
        <w:t xml:space="preserve">, filed a dissent when the </w:t>
      </w:r>
      <w:r w:rsidRPr="005B0F3E">
        <w:rPr>
          <w:rStyle w:val="markedcontent"/>
        </w:rPr>
        <w:t xml:space="preserve">Court declined to hear appeal (requires 4 Justices to hear an appeal) of a medical marijuana dispensary in Colorado, that under Federal law cannot deduct cost of doing business from IRS taxes.  His dissent pointed out that “36 States allow medicinal marijuana use and 18 of those States also allow recreational use.”  </w:t>
      </w:r>
    </w:p>
    <w:p w14:paraId="4242109A" w14:textId="77777777" w:rsidR="00A82898" w:rsidRPr="005B0F3E" w:rsidRDefault="00A82898" w:rsidP="00A82898">
      <w:pPr>
        <w:pStyle w:val="NormalWeb"/>
        <w:spacing w:before="0" w:beforeAutospacing="0" w:after="0" w:afterAutospacing="0" w:line="255" w:lineRule="atLeast"/>
        <w:rPr>
          <w:rStyle w:val="markedcontent"/>
        </w:rPr>
      </w:pPr>
    </w:p>
    <w:p w14:paraId="7B83AF9F" w14:textId="77777777" w:rsidR="00A82898" w:rsidRPr="005B0F3E" w:rsidRDefault="00A82898" w:rsidP="00A82898">
      <w:pPr>
        <w:pStyle w:val="NormalWeb"/>
        <w:spacing w:before="0" w:beforeAutospacing="0" w:after="0" w:afterAutospacing="0" w:line="255" w:lineRule="atLeast"/>
        <w:ind w:left="720"/>
        <w:rPr>
          <w:rStyle w:val="Strong"/>
          <w:rFonts w:ascii="Arial" w:eastAsiaTheme="majorEastAsia" w:hAnsi="Arial" w:cs="Arial"/>
          <w:color w:val="555555"/>
        </w:rPr>
      </w:pPr>
      <w:r w:rsidRPr="005B0F3E">
        <w:rPr>
          <w:rStyle w:val="markedcontent"/>
        </w:rPr>
        <w:t xml:space="preserve">“Once comprehensive, the Federal Government’s current approach is a half-in, half-out regime that simultaneously tolerates and forbids local use of marijuana. This contradictory and unstable </w:t>
      </w:r>
      <w:proofErr w:type="gramStart"/>
      <w:r w:rsidRPr="005B0F3E">
        <w:rPr>
          <w:rStyle w:val="markedcontent"/>
        </w:rPr>
        <w:t>state of affairs</w:t>
      </w:r>
      <w:proofErr w:type="gramEnd"/>
      <w:r w:rsidRPr="005B0F3E">
        <w:rPr>
          <w:rStyle w:val="markedcontent"/>
        </w:rPr>
        <w:t xml:space="preserve"> strains basic principles of federalism and conceals traps for the unwary.  ***A prohibition on intrastate use or cultivation of marijuana may no longer be necessary or proper to support the Federal Government’s piecemeal approach.” </w:t>
      </w:r>
      <w:hyperlink r:id="rId2024" w:history="1">
        <w:r w:rsidRPr="005B0F3E">
          <w:rPr>
            <w:rStyle w:val="Hyperlink"/>
          </w:rPr>
          <w:t>https://www.supremecourt.gov/opinions/20pdf/20-645_9p6b.pdf</w:t>
        </w:r>
      </w:hyperlink>
      <w:r w:rsidRPr="005B0F3E">
        <w:rPr>
          <w:rStyle w:val="markedcontent"/>
        </w:rPr>
        <w:t xml:space="preserve"> </w:t>
      </w:r>
    </w:p>
    <w:p w14:paraId="05F55223" w14:textId="77777777" w:rsidR="00A82898" w:rsidRPr="005B0F3E" w:rsidRDefault="00A82898" w:rsidP="00A82898">
      <w:pPr>
        <w:pStyle w:val="NormalWeb"/>
        <w:spacing w:before="0" w:beforeAutospacing="0" w:after="0" w:afterAutospacing="0" w:line="255" w:lineRule="atLeast"/>
        <w:rPr>
          <w:rStyle w:val="markedcontent"/>
        </w:rPr>
      </w:pPr>
    </w:p>
    <w:p w14:paraId="2F5CC76E" w14:textId="77777777" w:rsidR="00A82898" w:rsidRPr="005B0F3E" w:rsidRDefault="00A82898" w:rsidP="00A82898">
      <w:pPr>
        <w:pStyle w:val="NormalWeb"/>
        <w:spacing w:before="0" w:beforeAutospacing="0" w:after="0" w:afterAutospacing="0" w:line="255" w:lineRule="atLeast"/>
        <w:rPr>
          <w:rStyle w:val="markedcontent"/>
        </w:rPr>
      </w:pPr>
      <w:r w:rsidRPr="005B0F3E">
        <w:rPr>
          <w:rStyle w:val="markedcontent"/>
        </w:rPr>
        <w:t>Facts [from 10</w:t>
      </w:r>
      <w:r w:rsidRPr="005B0F3E">
        <w:rPr>
          <w:rStyle w:val="markedcontent"/>
          <w:vertAlign w:val="superscript"/>
        </w:rPr>
        <w:t>th</w:t>
      </w:r>
      <w:r w:rsidRPr="005B0F3E">
        <w:rPr>
          <w:rStyle w:val="markedcontent"/>
        </w:rPr>
        <w:t xml:space="preserve"> Circuit decision, April 7, 2020: </w:t>
      </w:r>
    </w:p>
    <w:p w14:paraId="155BA214" w14:textId="77777777" w:rsidR="00A82898" w:rsidRPr="005B0F3E" w:rsidRDefault="00A82898" w:rsidP="00A82898">
      <w:pPr>
        <w:pStyle w:val="NormalWeb"/>
        <w:spacing w:before="0" w:beforeAutospacing="0" w:after="0" w:afterAutospacing="0" w:line="255" w:lineRule="atLeast"/>
        <w:rPr>
          <w:rStyle w:val="markedcontent"/>
        </w:rPr>
      </w:pPr>
    </w:p>
    <w:p w14:paraId="776587F1" w14:textId="77777777" w:rsidR="00A82898" w:rsidRPr="005B0F3E" w:rsidRDefault="00A82898" w:rsidP="00A82898">
      <w:pPr>
        <w:pStyle w:val="NormalWeb"/>
        <w:spacing w:before="0" w:beforeAutospacing="0" w:after="0" w:afterAutospacing="0" w:line="255" w:lineRule="atLeast"/>
        <w:ind w:left="720"/>
      </w:pPr>
      <w:r w:rsidRPr="005B0F3E">
        <w:t>“The Internal Revenue Service (IRS) is responsible to enforce the federal tax code against marijuana businesses operating legally under state law. This led to a civil audit of Peter Hermes, Kevin Desilet, Samantha Murphy, and John Murphy (collectively, the ‘Taxpayers’) to verify their tax liabilities for their medical-marijuana dispensary, Standing Akimbo, LLC. The IRS was investigating whether the Taxpayers had taken improper deductions for business expenses arising from a ‘trade or business’ that ‘consists of trafficking in controlled substances.’ 26 U.S.C. § 280E. But claiming to fear criminal prosecution, the Taxpayers declined to provide the audit information to the IRS. This left the IRS to seek the information elsewhere—it issued four summonses for plant reports, gross-sales reports and license information to the Colorado Department of Revenue’s Marijuana Enforcement Division (the ‘Enforcement Division’), which is the state entity responsible for regulating licensed marijuana sales.</w:t>
      </w:r>
    </w:p>
    <w:p w14:paraId="0D1D2EFA" w14:textId="77777777" w:rsidR="00A82898" w:rsidRPr="005B0F3E" w:rsidRDefault="00A82898" w:rsidP="00A82898">
      <w:pPr>
        <w:pStyle w:val="NormalWeb"/>
        <w:spacing w:before="0" w:beforeAutospacing="0" w:after="0" w:afterAutospacing="0" w:line="255" w:lineRule="atLeast"/>
        <w:ind w:left="720"/>
      </w:pPr>
    </w:p>
    <w:p w14:paraId="339FDB34" w14:textId="77777777" w:rsidR="00A82898" w:rsidRDefault="00A82898" w:rsidP="00A82898">
      <w:pPr>
        <w:pStyle w:val="NormalWeb"/>
        <w:spacing w:before="0" w:beforeAutospacing="0" w:after="0" w:afterAutospacing="0" w:line="255" w:lineRule="atLeast"/>
        <w:ind w:left="720"/>
        <w:rPr>
          <w:rStyle w:val="markedcontent"/>
          <w:sz w:val="27"/>
          <w:szCs w:val="27"/>
        </w:rPr>
      </w:pPr>
      <w:r w:rsidRPr="005B0F3E">
        <w:t>In Colorado federal district court, the Taxpayers filed a petition to quash the summonses. The government moved to dismiss the petition and to enforce the summonses. The district court granted the motion to dismiss and ordered the summonses enforced. Exercising jurisdiction under 28 U.S.C. § 1291, we affirm.”</w:t>
      </w:r>
      <w:r w:rsidRPr="005B0F3E">
        <w:rPr>
          <w:rStyle w:val="markedcontent"/>
        </w:rPr>
        <w:t xml:space="preserve"> </w:t>
      </w:r>
      <w:hyperlink r:id="rId2025" w:history="1">
        <w:r w:rsidRPr="005B0F3E">
          <w:rPr>
            <w:rStyle w:val="Hyperlink"/>
          </w:rPr>
          <w:t>https://cases.justia.com/federal/appellate-courts/ca10/19-1049/19-1049-2020-04-07.pdf?ts=1586277066</w:t>
        </w:r>
      </w:hyperlink>
      <w:r>
        <w:rPr>
          <w:rStyle w:val="markedcontent"/>
          <w:sz w:val="27"/>
          <w:szCs w:val="27"/>
        </w:rPr>
        <w:t xml:space="preserve"> ]</w:t>
      </w:r>
    </w:p>
    <w:p w14:paraId="16A91E14" w14:textId="77777777" w:rsidR="00A82898" w:rsidRPr="00AE19EB" w:rsidRDefault="00A82898" w:rsidP="00A82898">
      <w:pPr>
        <w:pStyle w:val="NormalWeb"/>
        <w:spacing w:before="0" w:beforeAutospacing="0" w:after="0" w:afterAutospacing="0" w:line="255" w:lineRule="atLeast"/>
        <w:ind w:left="720"/>
        <w:rPr>
          <w:rStyle w:val="markedcontent"/>
        </w:rPr>
      </w:pPr>
    </w:p>
    <w:p w14:paraId="70F3A3FA" w14:textId="77777777" w:rsidR="00A82898" w:rsidRPr="00AE19EB" w:rsidRDefault="00A82898" w:rsidP="00A82898">
      <w:pPr>
        <w:pStyle w:val="NormalWeb"/>
        <w:spacing w:before="0" w:beforeAutospacing="0" w:after="0" w:afterAutospacing="0" w:line="255" w:lineRule="atLeast"/>
        <w:rPr>
          <w:rStyle w:val="markedcontent"/>
          <w:b/>
          <w:bCs/>
        </w:rPr>
      </w:pPr>
      <w:r w:rsidRPr="00AE19EB">
        <w:rPr>
          <w:rStyle w:val="markedcontent"/>
          <w:b/>
          <w:bCs/>
        </w:rPr>
        <w:t xml:space="preserve">Legal Lesson Learned: Fire Departments should </w:t>
      </w:r>
      <w:r>
        <w:rPr>
          <w:rStyle w:val="markedcontent"/>
          <w:b/>
          <w:bCs/>
        </w:rPr>
        <w:t xml:space="preserve">consider </w:t>
      </w:r>
      <w:proofErr w:type="gramStart"/>
      <w:r w:rsidRPr="00AE19EB">
        <w:rPr>
          <w:rStyle w:val="markedcontent"/>
          <w:b/>
          <w:bCs/>
        </w:rPr>
        <w:t>adopt</w:t>
      </w:r>
      <w:proofErr w:type="gramEnd"/>
      <w:r w:rsidRPr="00AE19EB">
        <w:rPr>
          <w:rStyle w:val="markedcontent"/>
          <w:b/>
          <w:bCs/>
        </w:rPr>
        <w:t xml:space="preserve"> policies that </w:t>
      </w:r>
      <w:proofErr w:type="gramStart"/>
      <w:r w:rsidRPr="00AE19EB">
        <w:rPr>
          <w:rStyle w:val="markedcontent"/>
          <w:b/>
          <w:bCs/>
        </w:rPr>
        <w:t>requires</w:t>
      </w:r>
      <w:proofErr w:type="gramEnd"/>
      <w:r w:rsidRPr="00AE19EB">
        <w:rPr>
          <w:rStyle w:val="markedcontent"/>
          <w:b/>
          <w:bCs/>
        </w:rPr>
        <w:t xml:space="preserve"> firefighters to disclose any prescription for medicinal marijuana use, and </w:t>
      </w:r>
      <w:r>
        <w:rPr>
          <w:rStyle w:val="markedcontent"/>
          <w:b/>
          <w:bCs/>
        </w:rPr>
        <w:t xml:space="preserve">the </w:t>
      </w:r>
      <w:r w:rsidRPr="00AE19EB">
        <w:rPr>
          <w:rStyle w:val="markedcontent"/>
          <w:b/>
          <w:bCs/>
        </w:rPr>
        <w:t>duty restrictions</w:t>
      </w:r>
      <w:r>
        <w:rPr>
          <w:rStyle w:val="markedcontent"/>
          <w:b/>
          <w:bCs/>
        </w:rPr>
        <w:t xml:space="preserve"> for such firefighters. </w:t>
      </w:r>
    </w:p>
    <w:p w14:paraId="4DE6AF4C" w14:textId="77777777" w:rsidR="00A82898" w:rsidRDefault="00A82898" w:rsidP="00A82898">
      <w:pPr>
        <w:pStyle w:val="NoSpacing"/>
        <w:rPr>
          <w:rStyle w:val="markedcontent"/>
          <w:rFonts w:ascii="Times New Roman" w:hAnsi="Times New Roman"/>
          <w:sz w:val="24"/>
          <w:szCs w:val="24"/>
        </w:rPr>
      </w:pPr>
      <w:r w:rsidRPr="0041393A">
        <w:rPr>
          <w:rStyle w:val="markedcontent"/>
          <w:rFonts w:ascii="Times New Roman" w:hAnsi="Times New Roman"/>
          <w:sz w:val="24"/>
          <w:szCs w:val="24"/>
        </w:rPr>
        <w:tab/>
        <w:t>Note:</w:t>
      </w:r>
    </w:p>
    <w:p w14:paraId="25DFCBA8" w14:textId="77777777" w:rsidR="00A82898" w:rsidRDefault="00A82898" w:rsidP="00A82898">
      <w:pPr>
        <w:pStyle w:val="NoSpacing"/>
        <w:rPr>
          <w:rStyle w:val="markedcontent"/>
        </w:rPr>
      </w:pPr>
    </w:p>
    <w:p w14:paraId="1594A5BB" w14:textId="77777777" w:rsidR="00A82898" w:rsidRPr="0041393A" w:rsidRDefault="00A82898" w:rsidP="00A82898">
      <w:pPr>
        <w:pStyle w:val="NoSpacing"/>
        <w:ind w:firstLine="720"/>
        <w:rPr>
          <w:rFonts w:ascii="Times New Roman" w:hAnsi="Times New Roman"/>
          <w:sz w:val="24"/>
          <w:szCs w:val="24"/>
        </w:rPr>
      </w:pPr>
      <w:r w:rsidRPr="0041393A">
        <w:rPr>
          <w:rStyle w:val="markedcontent"/>
          <w:rFonts w:ascii="Times New Roman" w:hAnsi="Times New Roman"/>
          <w:sz w:val="24"/>
          <w:szCs w:val="24"/>
        </w:rPr>
        <w:t xml:space="preserve">June 29, 2021: </w:t>
      </w:r>
      <w:r w:rsidRPr="0041393A">
        <w:rPr>
          <w:rFonts w:ascii="Times New Roman" w:hAnsi="Times New Roman"/>
          <w:sz w:val="24"/>
          <w:szCs w:val="24"/>
        </w:rPr>
        <w:t>Mexico's supreme court decriminalizes recreational use of cannabis</w:t>
      </w:r>
    </w:p>
    <w:p w14:paraId="02A6A52B" w14:textId="77777777" w:rsidR="00A82898" w:rsidRDefault="00A82898" w:rsidP="00A82898">
      <w:pPr>
        <w:pStyle w:val="NoSpacing"/>
        <w:ind w:left="720"/>
      </w:pPr>
      <w:hyperlink r:id="rId2026" w:history="1">
        <w:r w:rsidRPr="004E5B98">
          <w:rPr>
            <w:rStyle w:val="Hyperlink"/>
            <w:sz w:val="24"/>
            <w:szCs w:val="24"/>
          </w:rPr>
          <w:t>https://www.cnn.com/2021/06/29/americas/mexico-cannabis-decriminalization-intl/index.html?utm_content=2021-06-29T08%3A51%3A14&amp;utm_term=link&amp;utm_source=twcnnbrk&amp;utm_medium=social</w:t>
        </w:r>
      </w:hyperlink>
      <w:r>
        <w:t xml:space="preserve"> </w:t>
      </w:r>
    </w:p>
    <w:p w14:paraId="4E1B18DE" w14:textId="77777777" w:rsidR="00A82898" w:rsidRPr="007E3D25" w:rsidRDefault="00A82898" w:rsidP="00A82898">
      <w:pPr>
        <w:pStyle w:val="NormalWeb"/>
        <w:spacing w:before="0" w:beforeAutospacing="0" w:after="0" w:afterAutospacing="0" w:line="255" w:lineRule="atLeast"/>
        <w:rPr>
          <w:rStyle w:val="markedcontent"/>
        </w:rPr>
      </w:pPr>
    </w:p>
    <w:p w14:paraId="0095E9FA" w14:textId="77777777" w:rsidR="00A82898" w:rsidRPr="00A82898" w:rsidRDefault="00A82898" w:rsidP="00A82898">
      <w:pPr>
        <w:pStyle w:val="Heading1"/>
        <w:ind w:left="720"/>
        <w:rPr>
          <w:b w:val="0"/>
          <w:bCs w:val="0"/>
          <w:sz w:val="24"/>
          <w:szCs w:val="24"/>
        </w:rPr>
      </w:pPr>
      <w:r>
        <w:rPr>
          <w:b w:val="0"/>
          <w:bCs w:val="0"/>
          <w:sz w:val="24"/>
          <w:szCs w:val="24"/>
        </w:rPr>
        <w:t>Sept. 23, 2020: “</w:t>
      </w:r>
      <w:r w:rsidRPr="00AE19EB">
        <w:rPr>
          <w:b w:val="0"/>
          <w:bCs w:val="0"/>
          <w:sz w:val="24"/>
          <w:szCs w:val="24"/>
        </w:rPr>
        <w:t>Can Fire Departments Prohibit Firefighter Off-Duty Medical Marijuana Use?</w:t>
      </w:r>
      <w:r>
        <w:rPr>
          <w:b w:val="0"/>
          <w:bCs w:val="0"/>
          <w:sz w:val="24"/>
          <w:szCs w:val="24"/>
        </w:rPr>
        <w:t xml:space="preserve">” </w:t>
      </w:r>
      <w:hyperlink r:id="rId2027" w:history="1">
        <w:r w:rsidRPr="00A82898">
          <w:rPr>
            <w:rStyle w:val="Hyperlink"/>
            <w:b w:val="0"/>
            <w:bCs w:val="0"/>
            <w:sz w:val="24"/>
            <w:szCs w:val="24"/>
          </w:rPr>
          <w:t>https://www.lexipol.com/resources/blog/can-fire-departments-prohibit-firefighter-off-duty-medical-marijuana-use/</w:t>
        </w:r>
      </w:hyperlink>
      <w:r w:rsidRPr="00A82898">
        <w:rPr>
          <w:b w:val="0"/>
          <w:bCs w:val="0"/>
          <w:sz w:val="24"/>
          <w:szCs w:val="24"/>
        </w:rPr>
        <w:t xml:space="preserve"> </w:t>
      </w:r>
    </w:p>
    <w:p w14:paraId="123DC077" w14:textId="77777777" w:rsidR="00A82898" w:rsidRPr="003D5D8C" w:rsidRDefault="00A82898" w:rsidP="00A82898">
      <w:pPr>
        <w:pStyle w:val="Heading1"/>
        <w:ind w:left="720"/>
        <w:rPr>
          <w:b w:val="0"/>
          <w:bCs w:val="0"/>
          <w:sz w:val="24"/>
          <w:szCs w:val="24"/>
        </w:rPr>
      </w:pPr>
      <w:r>
        <w:rPr>
          <w:b w:val="0"/>
          <w:bCs w:val="0"/>
          <w:sz w:val="24"/>
          <w:szCs w:val="24"/>
        </w:rPr>
        <w:t>Feb. 5, 2020: “</w:t>
      </w:r>
      <w:r w:rsidRPr="00434B0D">
        <w:rPr>
          <w:b w:val="0"/>
          <w:bCs w:val="0"/>
          <w:sz w:val="24"/>
          <w:szCs w:val="24"/>
        </w:rPr>
        <w:t>Marijuana in the Fire Service: Up in Smoke, Part II</w:t>
      </w:r>
      <w:r>
        <w:rPr>
          <w:b w:val="0"/>
          <w:bCs w:val="0"/>
          <w:sz w:val="24"/>
          <w:szCs w:val="24"/>
        </w:rPr>
        <w:t xml:space="preserve">.” </w:t>
      </w:r>
      <w:hyperlink r:id="rId2028" w:anchor="gref" w:history="1">
        <w:r w:rsidRPr="00A82898">
          <w:rPr>
            <w:rStyle w:val="Hyperlink"/>
            <w:b w:val="0"/>
            <w:bCs w:val="0"/>
            <w:sz w:val="24"/>
            <w:szCs w:val="24"/>
          </w:rPr>
          <w:t>https://www.fireengineering.com/leadership/marijuana-in-the-fire-service-up-in-smoke-part-ii/#gref</w:t>
        </w:r>
      </w:hyperlink>
      <w:r w:rsidRPr="00A82898">
        <w:rPr>
          <w:b w:val="0"/>
          <w:bCs w:val="0"/>
          <w:sz w:val="24"/>
          <w:szCs w:val="24"/>
        </w:rPr>
        <w:t xml:space="preserve"> </w:t>
      </w:r>
    </w:p>
    <w:p w14:paraId="427E286B" w14:textId="7CE17B31" w:rsidR="00A82898" w:rsidRDefault="00A82898" w:rsidP="00F326E5">
      <w:pPr>
        <w:rPr>
          <w:rFonts w:ascii="Arial Black" w:hAnsi="Arial Black"/>
          <w:b/>
          <w:sz w:val="24"/>
          <w:szCs w:val="24"/>
        </w:rPr>
      </w:pPr>
    </w:p>
    <w:p w14:paraId="338F2D95" w14:textId="77777777" w:rsidR="00A82898" w:rsidRDefault="00A82898" w:rsidP="00F326E5">
      <w:pPr>
        <w:rPr>
          <w:rFonts w:ascii="Arial Black" w:hAnsi="Arial Black"/>
          <w:b/>
          <w:sz w:val="24"/>
          <w:szCs w:val="24"/>
        </w:rPr>
      </w:pPr>
    </w:p>
    <w:p w14:paraId="4AAED520" w14:textId="37F24BB6" w:rsidR="003E0A22" w:rsidRDefault="003E0A22" w:rsidP="00F326E5">
      <w:pPr>
        <w:rPr>
          <w:rFonts w:ascii="Arial Black" w:hAnsi="Arial Black"/>
          <w:b/>
          <w:sz w:val="24"/>
          <w:szCs w:val="24"/>
        </w:rPr>
      </w:pPr>
      <w:r>
        <w:rPr>
          <w:rFonts w:ascii="Arial Black" w:hAnsi="Arial Black"/>
          <w:b/>
          <w:sz w:val="24"/>
          <w:szCs w:val="24"/>
        </w:rPr>
        <w:t>12-10</w:t>
      </w:r>
    </w:p>
    <w:p w14:paraId="11740AD7" w14:textId="77777777" w:rsidR="003E0A22" w:rsidRDefault="003E0A22" w:rsidP="003E0A22">
      <w:pPr>
        <w:rPr>
          <w:rFonts w:ascii="Arial Black" w:hAnsi="Arial Black"/>
          <w:b/>
          <w:sz w:val="28"/>
          <w:szCs w:val="28"/>
        </w:rPr>
      </w:pPr>
      <w:r>
        <w:rPr>
          <w:rFonts w:ascii="Arial Black" w:hAnsi="Arial Black"/>
          <w:b/>
          <w:sz w:val="28"/>
          <w:szCs w:val="28"/>
        </w:rPr>
        <w:t>NC: DIVISION CHIEF’S DUI CONVICTION – NOT ELIGIBLE TWO PROMOTIONS 2019 – TITLE VII (RACE) DISMISSED</w:t>
      </w:r>
    </w:p>
    <w:p w14:paraId="2BD0929A" w14:textId="77777777" w:rsidR="003E0A22" w:rsidRDefault="003E0A22" w:rsidP="003E0A22">
      <w:pPr>
        <w:rPr>
          <w:rFonts w:ascii="Times New Roman" w:hAnsi="Times New Roman"/>
          <w:bCs/>
          <w:sz w:val="24"/>
          <w:szCs w:val="24"/>
        </w:rPr>
      </w:pPr>
      <w:r>
        <w:rPr>
          <w:rFonts w:ascii="Times New Roman" w:hAnsi="Times New Roman"/>
          <w:bCs/>
          <w:sz w:val="24"/>
          <w:szCs w:val="24"/>
        </w:rPr>
        <w:t xml:space="preserve">On April 1, 2021, in </w:t>
      </w:r>
      <w:r>
        <w:rPr>
          <w:rFonts w:ascii="Times New Roman" w:hAnsi="Times New Roman"/>
          <w:bCs/>
          <w:sz w:val="24"/>
          <w:szCs w:val="24"/>
          <w:u w:val="single"/>
        </w:rPr>
        <w:t>Kevin Coppage v. City of Raleigh</w:t>
      </w:r>
      <w:r>
        <w:rPr>
          <w:rFonts w:ascii="Times New Roman" w:hAnsi="Times New Roman"/>
          <w:bCs/>
          <w:sz w:val="24"/>
          <w:szCs w:val="24"/>
        </w:rPr>
        <w:t xml:space="preserve">, U.S. District Court Chief Judge Richard E, Myers, II, </w:t>
      </w:r>
      <w:r>
        <w:rPr>
          <w:rFonts w:ascii="Times New Roman" w:hAnsi="Times New Roman"/>
          <w:sz w:val="24"/>
          <w:szCs w:val="24"/>
        </w:rPr>
        <w:t xml:space="preserve">United States District Court for the Eastern District of North Carolina, </w:t>
      </w:r>
      <w:r>
        <w:rPr>
          <w:rFonts w:ascii="Times New Roman" w:hAnsi="Times New Roman"/>
          <w:bCs/>
          <w:sz w:val="24"/>
          <w:szCs w:val="24"/>
        </w:rPr>
        <w:t xml:space="preserve">granted the City’s motion to for partial dismissal of the Amended Complaint. The plaintiff, a Division Chief (highest ranking </w:t>
      </w:r>
      <w:proofErr w:type="gramStart"/>
      <w:r>
        <w:rPr>
          <w:rFonts w:ascii="Times New Roman" w:hAnsi="Times New Roman"/>
          <w:bCs/>
          <w:sz w:val="24"/>
          <w:szCs w:val="24"/>
        </w:rPr>
        <w:t>African-American</w:t>
      </w:r>
      <w:proofErr w:type="gramEnd"/>
      <w:r>
        <w:rPr>
          <w:rFonts w:ascii="Times New Roman" w:hAnsi="Times New Roman"/>
          <w:bCs/>
          <w:sz w:val="24"/>
          <w:szCs w:val="24"/>
        </w:rPr>
        <w:t xml:space="preserve"> on the fire department), was convicted of an off-duty DUI on July 10, 2019.  In Oct. 2019, he was denied promotion to Assistant Fire </w:t>
      </w:r>
      <w:proofErr w:type="gramStart"/>
      <w:r>
        <w:rPr>
          <w:rFonts w:ascii="Times New Roman" w:hAnsi="Times New Roman"/>
          <w:bCs/>
          <w:sz w:val="24"/>
          <w:szCs w:val="24"/>
        </w:rPr>
        <w:t>based</w:t>
      </w:r>
      <w:proofErr w:type="gramEnd"/>
      <w:r>
        <w:rPr>
          <w:rFonts w:ascii="Times New Roman" w:hAnsi="Times New Roman"/>
          <w:bCs/>
          <w:sz w:val="24"/>
          <w:szCs w:val="24"/>
        </w:rPr>
        <w:t xml:space="preserve"> the FD’s Administrative Directive of March 21, </w:t>
      </w:r>
      <w:proofErr w:type="gramStart"/>
      <w:r>
        <w:rPr>
          <w:rFonts w:ascii="Times New Roman" w:hAnsi="Times New Roman"/>
          <w:bCs/>
          <w:sz w:val="24"/>
          <w:szCs w:val="24"/>
        </w:rPr>
        <w:t>2019</w:t>
      </w:r>
      <w:proofErr w:type="gramEnd"/>
      <w:r>
        <w:rPr>
          <w:rFonts w:ascii="Times New Roman" w:hAnsi="Times New Roman"/>
          <w:bCs/>
          <w:sz w:val="24"/>
          <w:szCs w:val="24"/>
        </w:rPr>
        <w:t xml:space="preserve"> that </w:t>
      </w:r>
      <w:proofErr w:type="gramStart"/>
      <w:r>
        <w:rPr>
          <w:rFonts w:ascii="Times New Roman" w:hAnsi="Times New Roman"/>
          <w:bCs/>
          <w:sz w:val="24"/>
          <w:szCs w:val="24"/>
        </w:rPr>
        <w:t>employees are current promotion lists</w:t>
      </w:r>
      <w:proofErr w:type="gramEnd"/>
      <w:r>
        <w:rPr>
          <w:rFonts w:ascii="Times New Roman" w:hAnsi="Times New Roman"/>
          <w:bCs/>
          <w:sz w:val="24"/>
          <w:szCs w:val="24"/>
        </w:rPr>
        <w:t xml:space="preserve"> are ineligible upon conviction. On </w:t>
      </w:r>
      <w:r>
        <w:rPr>
          <w:rFonts w:ascii="Times New Roman" w:hAnsi="Times New Roman"/>
          <w:sz w:val="24"/>
          <w:szCs w:val="24"/>
        </w:rPr>
        <w:t>November 29, 2019, plaintiff applied for the position of Division Chief of Service and was again denied based on his DUI conviction.  In Dec. 2019, he filed EEOC charge claiming he was denied seven (7) promotions because of his race.</w:t>
      </w:r>
    </w:p>
    <w:p w14:paraId="7B94F622" w14:textId="77777777" w:rsidR="003E0A22" w:rsidRDefault="003E0A22" w:rsidP="003E0A22">
      <w:pPr>
        <w:ind w:left="1440"/>
        <w:rPr>
          <w:rFonts w:ascii="Times New Roman" w:hAnsi="Times New Roman"/>
          <w:sz w:val="24"/>
          <w:szCs w:val="24"/>
        </w:rPr>
      </w:pPr>
      <w:r>
        <w:rPr>
          <w:rFonts w:ascii="Times New Roman" w:hAnsi="Times New Roman"/>
          <w:sz w:val="24"/>
          <w:szCs w:val="24"/>
        </w:rPr>
        <w:t xml:space="preserve">“On or about March 4, 2019, when Plaintiff was off duty, he was charged with ‘driving under the influence’ (‘DUI’); he was eventually convicted of the charge on or about July 10, 2019. On or about March 21, 2019, the Fire Department's Office of the Fire Chief published an Administrative Directive titled, ‘Impaired Driving Offenses,’ which directed that ‘[a]n employee . . . [who] is eligible for promotion on a concurrent promotional list will be ineligible for the current promotion if charged and convicted with an impaired driving offense.’ While the Administrative Directive was published with an effective date of March 1, 2019, the Office of the Fire Chief issued two other policies on March 21, </w:t>
      </w:r>
      <w:proofErr w:type="gramStart"/>
      <w:r>
        <w:rPr>
          <w:rFonts w:ascii="Times New Roman" w:hAnsi="Times New Roman"/>
          <w:sz w:val="24"/>
          <w:szCs w:val="24"/>
        </w:rPr>
        <w:t>2019</w:t>
      </w:r>
      <w:proofErr w:type="gramEnd"/>
      <w:r>
        <w:rPr>
          <w:rFonts w:ascii="Times New Roman" w:hAnsi="Times New Roman"/>
          <w:sz w:val="24"/>
          <w:szCs w:val="24"/>
        </w:rPr>
        <w:t xml:space="preserve"> that had effective dates of March 21, 2019. Plaintiff believes that the Office of </w:t>
      </w:r>
      <w:proofErr w:type="gramStart"/>
      <w:r>
        <w:rPr>
          <w:rFonts w:ascii="Times New Roman" w:hAnsi="Times New Roman"/>
          <w:sz w:val="24"/>
          <w:szCs w:val="24"/>
        </w:rPr>
        <w:t>the Fire</w:t>
      </w:r>
      <w:proofErr w:type="gramEnd"/>
      <w:r>
        <w:rPr>
          <w:rFonts w:ascii="Times New Roman" w:hAnsi="Times New Roman"/>
          <w:sz w:val="24"/>
          <w:szCs w:val="24"/>
        </w:rPr>
        <w:t xml:space="preserve"> Chief had never issued new policies with effective dates prior to the publication date and that the purpose of backdating the ‘Impaired Driving Offenses’ Administrative Directive was to provide a racially neutral pretext for denying Plaintiff further promotions. Plaintiff also believes that the Fire Department has promoted white firefighters who have been subject to the March 2019 Administrative Directive.</w:t>
      </w:r>
    </w:p>
    <w:p w14:paraId="1CB36E8A" w14:textId="77777777" w:rsidR="003E0A22" w:rsidRDefault="003E0A22" w:rsidP="003E0A22">
      <w:pPr>
        <w:ind w:left="720"/>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ab/>
        <w:t>***</w:t>
      </w:r>
    </w:p>
    <w:p w14:paraId="2AA46519" w14:textId="77777777" w:rsidR="003E0A22" w:rsidRDefault="003E0A22" w:rsidP="003E0A22">
      <w:pPr>
        <w:ind w:left="1440"/>
        <w:rPr>
          <w:rFonts w:ascii="Times New Roman" w:hAnsi="Times New Roman"/>
          <w:sz w:val="24"/>
          <w:szCs w:val="24"/>
        </w:rPr>
      </w:pPr>
      <w:r>
        <w:rPr>
          <w:rFonts w:ascii="Times New Roman" w:hAnsi="Times New Roman"/>
          <w:sz w:val="24"/>
          <w:szCs w:val="24"/>
        </w:rPr>
        <w:t>Plaintiff's [Dec. 2019 EEOC] charge of discrimination lists only the discrete acts of failures to promote [on 7 occasions] and does not mention Defendant's treatment of other non-white firefighters, statistics concerning non-white employees in the Department, or the application of the Administrative Directive to Plaintiff or any other employee.</w:t>
      </w:r>
    </w:p>
    <w:p w14:paraId="7FC73610" w14:textId="77777777" w:rsidR="003E0A22" w:rsidRDefault="003E0A22" w:rsidP="003E0A22">
      <w:pPr>
        <w:ind w:left="1440"/>
        <w:rPr>
          <w:rFonts w:ascii="Times New Roman" w:hAnsi="Times New Roman"/>
          <w:sz w:val="24"/>
          <w:szCs w:val="24"/>
        </w:rPr>
      </w:pPr>
      <w:r>
        <w:rPr>
          <w:rFonts w:ascii="Times New Roman" w:hAnsi="Times New Roman"/>
          <w:sz w:val="24"/>
          <w:szCs w:val="24"/>
        </w:rPr>
        <w:t>***</w:t>
      </w:r>
    </w:p>
    <w:p w14:paraId="1871F6AE" w14:textId="77777777" w:rsidR="003E0A22" w:rsidRDefault="003E0A22" w:rsidP="003E0A22">
      <w:pPr>
        <w:ind w:left="1440"/>
        <w:rPr>
          <w:rFonts w:ascii="Times New Roman" w:hAnsi="Times New Roman"/>
          <w:bCs/>
          <w:sz w:val="24"/>
          <w:szCs w:val="24"/>
        </w:rPr>
      </w:pPr>
      <w:r>
        <w:rPr>
          <w:rFonts w:ascii="Times New Roman" w:hAnsi="Times New Roman"/>
          <w:sz w:val="24"/>
          <w:szCs w:val="24"/>
        </w:rPr>
        <w:t xml:space="preserve">The court must conclude that the factual allegations in the Amended Complaint are not reasonably related to the factual allegations in </w:t>
      </w:r>
      <w:proofErr w:type="gramStart"/>
      <w:r>
        <w:rPr>
          <w:rFonts w:ascii="Times New Roman" w:hAnsi="Times New Roman"/>
          <w:sz w:val="24"/>
          <w:szCs w:val="24"/>
        </w:rPr>
        <w:t>the charge</w:t>
      </w:r>
      <w:proofErr w:type="gramEnd"/>
      <w:r>
        <w:rPr>
          <w:rFonts w:ascii="Times New Roman" w:hAnsi="Times New Roman"/>
          <w:sz w:val="24"/>
          <w:szCs w:val="24"/>
        </w:rPr>
        <w:t xml:space="preserve"> of discrimination and, therefore, the Plaintiff's hostile work environment claim has exceeded the scope of the EEOC charge. As such, Plaintiff fails to state a plausible second claim for relief having failed to exhaust required administrative remedies.” </w:t>
      </w:r>
      <w:hyperlink r:id="rId2029" w:history="1">
        <w:r w:rsidRPr="0041276B">
          <w:rPr>
            <w:rStyle w:val="Hyperlink"/>
            <w:rFonts w:ascii="Times New Roman" w:hAnsi="Times New Roman"/>
            <w:sz w:val="24"/>
            <w:szCs w:val="24"/>
          </w:rPr>
          <w:t>https://casetext.com/case/coppage-v-city-of-raleigh-1</w:t>
        </w:r>
      </w:hyperlink>
      <w:r>
        <w:rPr>
          <w:rFonts w:ascii="Times New Roman" w:hAnsi="Times New Roman"/>
          <w:sz w:val="24"/>
          <w:szCs w:val="24"/>
        </w:rPr>
        <w:t xml:space="preserve"> </w:t>
      </w:r>
    </w:p>
    <w:p w14:paraId="3F8D963A" w14:textId="77777777" w:rsidR="003E0A22" w:rsidRDefault="003E0A22" w:rsidP="003E0A22">
      <w:pPr>
        <w:rPr>
          <w:rFonts w:ascii="Times New Roman" w:hAnsi="Times New Roman"/>
          <w:b/>
          <w:bCs/>
          <w:sz w:val="24"/>
          <w:szCs w:val="24"/>
        </w:rPr>
      </w:pPr>
      <w:r>
        <w:rPr>
          <w:rFonts w:ascii="Times New Roman" w:hAnsi="Times New Roman"/>
          <w:b/>
          <w:bCs/>
          <w:sz w:val="24"/>
          <w:szCs w:val="24"/>
        </w:rPr>
        <w:t xml:space="preserve">Legal Lesson Learned: FDs may adopt DUI policy prohibiting promotion based on a DUI conviction. </w:t>
      </w:r>
    </w:p>
    <w:p w14:paraId="35C8FF2B" w14:textId="77777777" w:rsidR="003E0A22" w:rsidRPr="0026670B" w:rsidRDefault="003E0A22" w:rsidP="003E0A22">
      <w:pPr>
        <w:ind w:left="720"/>
        <w:rPr>
          <w:rFonts w:ascii="Times New Roman" w:hAnsi="Times New Roman"/>
          <w:b/>
          <w:bCs/>
          <w:sz w:val="24"/>
          <w:szCs w:val="24"/>
        </w:rPr>
      </w:pPr>
      <w:r>
        <w:rPr>
          <w:rFonts w:ascii="Times New Roman" w:hAnsi="Times New Roman"/>
          <w:sz w:val="24"/>
          <w:szCs w:val="24"/>
        </w:rPr>
        <w:t xml:space="preserve">Note:  See article on San Antonio policy (Jan. 15, 2015): “Fire dept. changes rules after firefighter DWI arrests. The change in protocol comes after three firefighters were arrested for suspected drunk driving during a seven-week period last summer.” </w:t>
      </w:r>
      <w:hyperlink r:id="rId2030" w:history="1">
        <w:r w:rsidRPr="0026670B">
          <w:rPr>
            <w:rStyle w:val="Hyperlink"/>
            <w:sz w:val="24"/>
            <w:szCs w:val="24"/>
          </w:rPr>
          <w:t>https://www.firerescue1.com/dwi/articles/fire-dept-changes-rules-after-firefighter-dwi-arrests-rmaW6QcL6R9YmTqf/</w:t>
        </w:r>
      </w:hyperlink>
      <w:r w:rsidRPr="0026670B">
        <w:rPr>
          <w:rFonts w:ascii="Times New Roman" w:hAnsi="Times New Roman"/>
          <w:sz w:val="24"/>
          <w:szCs w:val="24"/>
        </w:rPr>
        <w:t xml:space="preserve"> </w:t>
      </w:r>
    </w:p>
    <w:p w14:paraId="7AF1F520" w14:textId="77777777" w:rsidR="003E0A22" w:rsidRDefault="003E0A22" w:rsidP="003E0A22">
      <w:pPr>
        <w:ind w:left="1440"/>
        <w:rPr>
          <w:rFonts w:ascii="Times New Roman" w:hAnsi="Times New Roman"/>
          <w:b/>
          <w:bCs/>
          <w:sz w:val="24"/>
          <w:szCs w:val="24"/>
        </w:rPr>
      </w:pPr>
      <w:r>
        <w:rPr>
          <w:rFonts w:ascii="Times New Roman" w:hAnsi="Times New Roman"/>
          <w:sz w:val="24"/>
          <w:szCs w:val="24"/>
        </w:rPr>
        <w:t xml:space="preserve">“SAFD has increased suspension lengths for firefighters arrested for Driving While Intoxicated. </w:t>
      </w:r>
      <w:proofErr w:type="gramStart"/>
      <w:r>
        <w:rPr>
          <w:rFonts w:ascii="Times New Roman" w:hAnsi="Times New Roman"/>
          <w:sz w:val="24"/>
          <w:szCs w:val="24"/>
        </w:rPr>
        <w:t>A first</w:t>
      </w:r>
      <w:proofErr w:type="gramEnd"/>
      <w:r>
        <w:rPr>
          <w:rFonts w:ascii="Times New Roman" w:hAnsi="Times New Roman"/>
          <w:sz w:val="24"/>
          <w:szCs w:val="24"/>
        </w:rPr>
        <w:t xml:space="preserve"> DWI arrest now results in a 60-day suspension and mandatory alcohol abuse counseling. This suspension length is four times longer than the 15-day suspension previously given for a first offense. A second DWI arrest results in termination.” </w:t>
      </w:r>
    </w:p>
    <w:p w14:paraId="2F55CB08" w14:textId="77777777" w:rsidR="003E0A22" w:rsidRPr="0078387A" w:rsidRDefault="003E0A22" w:rsidP="003E0A22">
      <w:pPr>
        <w:pStyle w:val="Heading1"/>
        <w:ind w:left="720"/>
        <w:rPr>
          <w:b w:val="0"/>
          <w:bCs w:val="0"/>
          <w:sz w:val="24"/>
          <w:szCs w:val="24"/>
        </w:rPr>
      </w:pPr>
      <w:r w:rsidRPr="0078387A">
        <w:rPr>
          <w:b w:val="0"/>
          <w:bCs w:val="0"/>
          <w:sz w:val="24"/>
          <w:szCs w:val="24"/>
        </w:rPr>
        <w:t xml:space="preserve">See this article on firefighter DUIs in California, written by Retired Captain Rafael Ortiz, Los Angeles County Fire Department.  “What Happens if a Firefighter Drinks/Drives in their Personal Life?”  </w:t>
      </w:r>
      <w:hyperlink r:id="rId2031" w:history="1">
        <w:r w:rsidRPr="003E0A22">
          <w:rPr>
            <w:rStyle w:val="Hyperlink"/>
            <w:b w:val="0"/>
            <w:bCs w:val="0"/>
            <w:sz w:val="24"/>
            <w:szCs w:val="24"/>
          </w:rPr>
          <w:t>http://futurefirefighters.org/firefighter-drinking-driving/</w:t>
        </w:r>
      </w:hyperlink>
      <w:r w:rsidRPr="003E0A22">
        <w:rPr>
          <w:b w:val="0"/>
          <w:bCs w:val="0"/>
          <w:sz w:val="24"/>
          <w:szCs w:val="24"/>
        </w:rPr>
        <w:t xml:space="preserve"> </w:t>
      </w:r>
    </w:p>
    <w:p w14:paraId="095AB5DF" w14:textId="77777777" w:rsidR="003E0A22" w:rsidRDefault="003E0A22" w:rsidP="003E0A22">
      <w:pPr>
        <w:pStyle w:val="Heading3"/>
        <w:ind w:left="720" w:firstLine="720"/>
        <w:rPr>
          <w:rFonts w:ascii="Times New Roman" w:hAnsi="Times New Roman" w:cs="Times New Roman"/>
          <w:color w:val="auto"/>
        </w:rPr>
      </w:pPr>
      <w:r>
        <w:rPr>
          <w:rFonts w:ascii="Times New Roman" w:hAnsi="Times New Roman" w:cs="Times New Roman"/>
          <w:color w:val="auto"/>
        </w:rPr>
        <w:t xml:space="preserve">“Typical Costs and Consequences of First Offense DUI. </w:t>
      </w:r>
    </w:p>
    <w:p w14:paraId="77FFD5D2" w14:textId="77777777" w:rsidR="003E0A22" w:rsidRDefault="003E0A22" w:rsidP="003E0A22">
      <w:pPr>
        <w:pStyle w:val="NormalWeb"/>
        <w:ind w:left="1440"/>
      </w:pPr>
      <w:r>
        <w:t>These would be without any aggravated circumstances, such as collision, injury, etc.</w:t>
      </w:r>
    </w:p>
    <w:p w14:paraId="2CBAC0C4" w14:textId="77777777" w:rsidR="003E0A22" w:rsidRDefault="003E0A22" w:rsidP="003E0A22">
      <w:pPr>
        <w:pStyle w:val="NormalWeb"/>
        <w:ind w:left="1440"/>
      </w:pPr>
      <w:r>
        <w:t>• Attorney Fees: $8,500.00</w:t>
      </w:r>
      <w:r>
        <w:br/>
        <w:t>• Court fines/fees: $1,500.00</w:t>
      </w:r>
      <w:r>
        <w:br/>
        <w:t>• Court mandated classes: $500.00</w:t>
      </w:r>
      <w:r>
        <w:br/>
        <w:t xml:space="preserve">• Additional insurance </w:t>
      </w:r>
      <w:proofErr w:type="gramStart"/>
      <w:r>
        <w:t>of:</w:t>
      </w:r>
      <w:proofErr w:type="gramEnd"/>
      <w:r>
        <w:t xml:space="preserve"> $1200.00 (per year for three years)</w:t>
      </w:r>
      <w:r>
        <w:br/>
        <w:t>• 6 months restricted license</w:t>
      </w:r>
      <w:r>
        <w:br/>
        <w:t>• Time off work during DMV license suspension (typically 30 days)</w:t>
      </w:r>
      <w:r>
        <w:br/>
        <w:t>• Attend eight classes at Alcohol Anonymous – 12 hours</w:t>
      </w:r>
      <w:r>
        <w:br/>
        <w:t>• Attend ten classes for Alcohol Awareness – 30 hours</w:t>
      </w:r>
      <w:r>
        <w:br/>
        <w:t>• Suspension or discharges from Fire Department or various lesser charges</w:t>
      </w:r>
    </w:p>
    <w:p w14:paraId="1381F333" w14:textId="77777777" w:rsidR="003E0A22" w:rsidRDefault="003E0A22" w:rsidP="003E0A22">
      <w:pPr>
        <w:pStyle w:val="NormalWeb"/>
        <w:ind w:left="1440"/>
        <w:rPr>
          <w:rFonts w:ascii="Arial Black" w:hAnsi="Arial Black"/>
          <w:b/>
          <w:bCs/>
          <w:sz w:val="40"/>
          <w:szCs w:val="40"/>
        </w:rPr>
      </w:pPr>
      <w:r>
        <w:t xml:space="preserve">The point is, if you want to be a firefighter (or remain a firefighter), don’t drink and drive.”  </w:t>
      </w:r>
    </w:p>
    <w:p w14:paraId="654F51C4" w14:textId="77777777" w:rsidR="003E0A22" w:rsidRDefault="003E0A22" w:rsidP="00F326E5">
      <w:pPr>
        <w:rPr>
          <w:rFonts w:ascii="Arial Black" w:hAnsi="Arial Black"/>
          <w:b/>
          <w:sz w:val="24"/>
          <w:szCs w:val="24"/>
        </w:rPr>
      </w:pPr>
    </w:p>
    <w:p w14:paraId="3212C351" w14:textId="77777777" w:rsidR="003E0A22" w:rsidRDefault="003E0A22" w:rsidP="00F326E5">
      <w:pPr>
        <w:rPr>
          <w:rFonts w:ascii="Arial Black" w:hAnsi="Arial Black"/>
          <w:b/>
          <w:sz w:val="24"/>
          <w:szCs w:val="24"/>
        </w:rPr>
      </w:pPr>
    </w:p>
    <w:p w14:paraId="32A05B25" w14:textId="303310A8" w:rsidR="00AD5461" w:rsidRDefault="00AD5461" w:rsidP="00F326E5">
      <w:pPr>
        <w:rPr>
          <w:rFonts w:ascii="Arial Black" w:hAnsi="Arial Black"/>
          <w:b/>
          <w:sz w:val="24"/>
          <w:szCs w:val="24"/>
        </w:rPr>
      </w:pPr>
      <w:r>
        <w:rPr>
          <w:rFonts w:ascii="Arial Black" w:hAnsi="Arial Black"/>
          <w:b/>
          <w:sz w:val="24"/>
          <w:szCs w:val="24"/>
        </w:rPr>
        <w:t>12-9</w:t>
      </w:r>
    </w:p>
    <w:p w14:paraId="0C5E5BF4" w14:textId="77777777" w:rsidR="00AD5461" w:rsidRPr="006C3DB9" w:rsidRDefault="00AD5461" w:rsidP="00AD5461">
      <w:pPr>
        <w:pStyle w:val="NoSpacing"/>
        <w:rPr>
          <w:rFonts w:ascii="Arial Black" w:hAnsi="Arial Black"/>
          <w:sz w:val="28"/>
          <w:szCs w:val="28"/>
        </w:rPr>
      </w:pPr>
      <w:r>
        <w:rPr>
          <w:rFonts w:ascii="Arial Black" w:hAnsi="Arial Black"/>
          <w:sz w:val="28"/>
          <w:szCs w:val="28"/>
        </w:rPr>
        <w:t>PA: PHILADELPHIA CANNOT OPEN A “SAFEHOUSE” WHERE DRUG ADDICTS CAN USE DRUGS – VIOL. FEDERAL LAW</w:t>
      </w:r>
    </w:p>
    <w:p w14:paraId="1AFA66E6" w14:textId="77777777" w:rsidR="00AD5461" w:rsidRPr="0043365C" w:rsidRDefault="00AD5461" w:rsidP="00AD5461">
      <w:pPr>
        <w:tabs>
          <w:tab w:val="left" w:pos="3820"/>
        </w:tabs>
        <w:spacing w:before="100" w:beforeAutospacing="1" w:after="100" w:afterAutospacing="1" w:line="240" w:lineRule="auto"/>
        <w:rPr>
          <w:rFonts w:ascii="Times New Roman" w:hAnsi="Times New Roman"/>
          <w:sz w:val="24"/>
          <w:szCs w:val="24"/>
        </w:rPr>
      </w:pPr>
      <w:r w:rsidRPr="0043365C">
        <w:rPr>
          <w:rFonts w:ascii="Times New Roman" w:hAnsi="Times New Roman"/>
          <w:sz w:val="24"/>
          <w:szCs w:val="24"/>
        </w:rPr>
        <w:t xml:space="preserve">On Jan. 12, 2021, in </w:t>
      </w:r>
      <w:r w:rsidRPr="0043365C">
        <w:rPr>
          <w:rFonts w:ascii="Times New Roman" w:hAnsi="Times New Roman"/>
          <w:sz w:val="24"/>
          <w:szCs w:val="24"/>
          <w:u w:val="single"/>
        </w:rPr>
        <w:t>Safehouse, a Pennsylvania nonprofit corporation, et al. v. U.S. Department of Justice</w:t>
      </w:r>
      <w:r w:rsidRPr="0043365C">
        <w:rPr>
          <w:rFonts w:ascii="Times New Roman" w:hAnsi="Times New Roman"/>
          <w:sz w:val="24"/>
          <w:szCs w:val="24"/>
        </w:rPr>
        <w:t xml:space="preserve">, </w:t>
      </w:r>
      <w:r>
        <w:rPr>
          <w:rFonts w:ascii="Times New Roman" w:hAnsi="Times New Roman"/>
          <w:sz w:val="24"/>
          <w:szCs w:val="24"/>
        </w:rPr>
        <w:t xml:space="preserve">the U.S. Court of Appeals for the Third Circuit, held (2 to 1) that the U.S. District Court improperly held that Safehouses conduct would not violate the Controlled Substance Act of 1970, and denied the Government’s motion for declaratory judgment.  </w:t>
      </w:r>
    </w:p>
    <w:p w14:paraId="134A556E" w14:textId="77777777" w:rsidR="00AD5461" w:rsidRDefault="00AD5461" w:rsidP="00AD5461">
      <w:pPr>
        <w:pStyle w:val="NoSpacing"/>
        <w:ind w:left="720"/>
        <w:rPr>
          <w:rFonts w:ascii="Times New Roman" w:hAnsi="Times New Roman"/>
          <w:sz w:val="24"/>
          <w:szCs w:val="24"/>
        </w:rPr>
      </w:pPr>
      <w:r w:rsidRPr="0043365C">
        <w:rPr>
          <w:rFonts w:ascii="Times New Roman" w:hAnsi="Times New Roman"/>
          <w:sz w:val="24"/>
          <w:szCs w:val="24"/>
        </w:rPr>
        <w:t xml:space="preserve">“The opioid crisis is a grave problem that calls for creative solutions. Safehouse wants to experiment with one. Its goal, saving lives, is laudable. But it is not our job to </w:t>
      </w:r>
      <w:proofErr w:type="gramStart"/>
      <w:r w:rsidRPr="0043365C">
        <w:rPr>
          <w:rFonts w:ascii="Times New Roman" w:hAnsi="Times New Roman"/>
          <w:sz w:val="24"/>
          <w:szCs w:val="24"/>
        </w:rPr>
        <w:t>opine on</w:t>
      </w:r>
      <w:proofErr w:type="gramEnd"/>
      <w:r w:rsidRPr="0043365C">
        <w:rPr>
          <w:rFonts w:ascii="Times New Roman" w:hAnsi="Times New Roman"/>
          <w:sz w:val="24"/>
          <w:szCs w:val="24"/>
        </w:rPr>
        <w:t xml:space="preserve"> whether its experiment is wise. The statute forbids opening and maintaining any place for visitors to come use drugs. Its words are not limited to crack houses. Congress has chosen one rational approach to reducing drug use and trafficking: a flat ban. We cannot rewrite the statute. Only Congress can. </w:t>
      </w:r>
      <w:proofErr w:type="gramStart"/>
      <w:r w:rsidRPr="0043365C">
        <w:rPr>
          <w:rFonts w:ascii="Times New Roman" w:hAnsi="Times New Roman"/>
          <w:sz w:val="24"/>
          <w:szCs w:val="24"/>
        </w:rPr>
        <w:t>So</w:t>
      </w:r>
      <w:proofErr w:type="gramEnd"/>
      <w:r w:rsidRPr="0043365C">
        <w:rPr>
          <w:rFonts w:ascii="Times New Roman" w:hAnsi="Times New Roman"/>
          <w:sz w:val="24"/>
          <w:szCs w:val="24"/>
        </w:rPr>
        <w:t xml:space="preserve"> we will reverse and remand for the District Court to consider the RFRA counterclaim.”  </w:t>
      </w:r>
      <w:hyperlink r:id="rId2032" w:history="1">
        <w:r w:rsidRPr="00AA6AFA">
          <w:rPr>
            <w:rStyle w:val="Hyperlink"/>
            <w:rFonts w:ascii="Times New Roman" w:hAnsi="Times New Roman"/>
            <w:sz w:val="24"/>
            <w:szCs w:val="24"/>
          </w:rPr>
          <w:t>https://law.justia.com/cases/federal/appellate-courts/ca3/20-1422/20-1422-2021-01-12.html</w:t>
        </w:r>
      </w:hyperlink>
      <w:r>
        <w:rPr>
          <w:rFonts w:ascii="Times New Roman" w:hAnsi="Times New Roman"/>
          <w:sz w:val="24"/>
          <w:szCs w:val="24"/>
        </w:rPr>
        <w:t xml:space="preserve"> </w:t>
      </w:r>
    </w:p>
    <w:p w14:paraId="0206A222" w14:textId="77777777" w:rsidR="00AD5461" w:rsidRDefault="00AD5461" w:rsidP="00AD5461">
      <w:pPr>
        <w:spacing w:before="100" w:beforeAutospacing="1" w:after="100" w:afterAutospacing="1" w:line="240" w:lineRule="auto"/>
        <w:rPr>
          <w:rFonts w:ascii="Times New Roman" w:eastAsia="Times New Roman" w:hAnsi="Times New Roman"/>
          <w:b/>
          <w:bCs/>
          <w:sz w:val="24"/>
          <w:szCs w:val="24"/>
        </w:rPr>
      </w:pPr>
      <w:r w:rsidRPr="0015227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Amsterdam and other locations in Europe proved “safe sites” for drug use, but in U.S. this violates federal law.</w:t>
      </w:r>
    </w:p>
    <w:p w14:paraId="5386A4B4" w14:textId="77777777" w:rsidR="00AD5461" w:rsidRDefault="00AD5461" w:rsidP="00AD546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Report – “Drug Consumption Rooms </w:t>
      </w:r>
      <w:proofErr w:type="gramStart"/>
      <w:r>
        <w:rPr>
          <w:rFonts w:ascii="Times New Roman" w:eastAsia="Times New Roman" w:hAnsi="Times New Roman"/>
          <w:sz w:val="24"/>
          <w:szCs w:val="24"/>
        </w:rPr>
        <w:t>In</w:t>
      </w:r>
      <w:proofErr w:type="gramEnd"/>
      <w:r>
        <w:rPr>
          <w:rFonts w:ascii="Times New Roman" w:eastAsia="Times New Roman" w:hAnsi="Times New Roman"/>
          <w:sz w:val="24"/>
          <w:szCs w:val="24"/>
        </w:rPr>
        <w:t xml:space="preserve"> Europe.” </w:t>
      </w:r>
    </w:p>
    <w:p w14:paraId="6F6969A1" w14:textId="77777777" w:rsidR="00AD5461" w:rsidRPr="0015227C" w:rsidRDefault="00AD5461" w:rsidP="00AD546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15227C">
        <w:rPr>
          <w:rFonts w:ascii="Times New Roman" w:hAnsi="Times New Roman"/>
          <w:sz w:val="24"/>
          <w:szCs w:val="24"/>
        </w:rPr>
        <w:t>Clients generally report low levels of public drug use, particularly during the hours when DCR [drug consumption room] facilities are open. Respondents indicated that the main reasons for</w:t>
      </w:r>
      <w:r>
        <w:rPr>
          <w:rFonts w:ascii="Times New Roman" w:hAnsi="Times New Roman"/>
          <w:sz w:val="24"/>
          <w:szCs w:val="24"/>
        </w:rPr>
        <w:t xml:space="preserve"> </w:t>
      </w:r>
      <w:r w:rsidRPr="0015227C">
        <w:rPr>
          <w:rFonts w:ascii="Times New Roman" w:hAnsi="Times New Roman"/>
          <w:sz w:val="24"/>
          <w:szCs w:val="24"/>
        </w:rPr>
        <w:t>attending DCR facilities included safety, social interaction, and police avoidance. Clients rely heavily on the social functions of the DCR –many clients who have their own home or other private place to use their drugs still choose to regularly access DCR services and to maintain contact with peers.</w:t>
      </w:r>
      <w:r>
        <w:rPr>
          <w:rFonts w:ascii="Times New Roman" w:hAnsi="Times New Roman"/>
          <w:sz w:val="24"/>
          <w:szCs w:val="24"/>
        </w:rPr>
        <w:t xml:space="preserve">” </w:t>
      </w:r>
      <w:hyperlink r:id="rId2033" w:history="1">
        <w:r w:rsidRPr="00AA6AFA">
          <w:rPr>
            <w:rStyle w:val="Hyperlink"/>
            <w:rFonts w:ascii="Times New Roman" w:eastAsia="Times New Roman" w:hAnsi="Times New Roman"/>
            <w:sz w:val="24"/>
            <w:szCs w:val="24"/>
          </w:rPr>
          <w:t>http://www.drugconsumptionroom-international.org/images/pdf/dcr_in_rotterdam_amsterdam.pdf</w:t>
        </w:r>
      </w:hyperlink>
      <w:r>
        <w:rPr>
          <w:rFonts w:ascii="Times New Roman" w:eastAsia="Times New Roman" w:hAnsi="Times New Roman"/>
          <w:sz w:val="24"/>
          <w:szCs w:val="24"/>
        </w:rPr>
        <w:t xml:space="preserve"> </w:t>
      </w:r>
    </w:p>
    <w:p w14:paraId="1F650893" w14:textId="77777777" w:rsidR="00AD5461" w:rsidRDefault="00AD5461" w:rsidP="00F326E5">
      <w:pPr>
        <w:rPr>
          <w:rFonts w:ascii="Arial Black" w:hAnsi="Arial Black"/>
          <w:b/>
          <w:sz w:val="24"/>
          <w:szCs w:val="24"/>
        </w:rPr>
      </w:pPr>
    </w:p>
    <w:p w14:paraId="2B8A163C" w14:textId="561F4D04" w:rsidR="00557CA2" w:rsidRDefault="00557CA2" w:rsidP="00F326E5">
      <w:pPr>
        <w:rPr>
          <w:rFonts w:ascii="Arial Black" w:hAnsi="Arial Black"/>
          <w:b/>
          <w:sz w:val="24"/>
          <w:szCs w:val="24"/>
        </w:rPr>
      </w:pPr>
      <w:r>
        <w:rPr>
          <w:rFonts w:ascii="Arial Black" w:hAnsi="Arial Black"/>
          <w:b/>
          <w:sz w:val="24"/>
          <w:szCs w:val="24"/>
        </w:rPr>
        <w:t>12-8</w:t>
      </w:r>
    </w:p>
    <w:p w14:paraId="40883192" w14:textId="77777777" w:rsidR="00557CA2" w:rsidRDefault="00557CA2" w:rsidP="00557CA2">
      <w:pPr>
        <w:pStyle w:val="Heading1"/>
        <w:rPr>
          <w:rFonts w:ascii="Arial Black" w:hAnsi="Arial Black"/>
          <w:sz w:val="28"/>
          <w:szCs w:val="28"/>
        </w:rPr>
      </w:pPr>
      <w:r>
        <w:rPr>
          <w:rFonts w:ascii="Arial Black" w:hAnsi="Arial Black"/>
          <w:sz w:val="28"/>
          <w:szCs w:val="28"/>
        </w:rPr>
        <w:t xml:space="preserve">PA: TACO BELL MANAGER CALLS 911 – CUSTOMER “ASLEEP STANDING UP” – PD FIND DRUGS – CUSTOMER CONVICTED </w:t>
      </w:r>
    </w:p>
    <w:p w14:paraId="43E28C99" w14:textId="77777777" w:rsidR="00557CA2" w:rsidRDefault="00557CA2" w:rsidP="00557CA2">
      <w:pPr>
        <w:pStyle w:val="Heading1"/>
        <w:rPr>
          <w:b w:val="0"/>
          <w:bCs w:val="0"/>
          <w:sz w:val="24"/>
          <w:szCs w:val="24"/>
        </w:rPr>
      </w:pPr>
      <w:r>
        <w:rPr>
          <w:b w:val="0"/>
          <w:bCs w:val="0"/>
          <w:sz w:val="24"/>
          <w:szCs w:val="24"/>
        </w:rPr>
        <w:t xml:space="preserve">On Aug. 14, 2020, in </w:t>
      </w:r>
      <w:r>
        <w:rPr>
          <w:b w:val="0"/>
          <w:bCs w:val="0"/>
          <w:sz w:val="24"/>
          <w:szCs w:val="24"/>
          <w:u w:val="single"/>
        </w:rPr>
        <w:t>Commonwealth of Pennsylvania v. Obed Nunez</w:t>
      </w:r>
      <w:r>
        <w:rPr>
          <w:b w:val="0"/>
          <w:bCs w:val="0"/>
          <w:sz w:val="24"/>
          <w:szCs w:val="24"/>
        </w:rPr>
        <w:t xml:space="preserve">, Superior Court of Pennsylvania, 2020 PA Super 198, held (3 to 0) that the trial court judge properly held that the PA Overdose Immunity statute does not apply since the Taco Bell Manager William Jay called 911 because a customer was “asleep standing up,” not because the customer was necessarily having an overdose.  </w:t>
      </w:r>
      <w:proofErr w:type="gramStart"/>
      <w:r>
        <w:rPr>
          <w:b w:val="0"/>
          <w:bCs w:val="0"/>
          <w:sz w:val="24"/>
          <w:szCs w:val="24"/>
        </w:rPr>
        <w:t>Also</w:t>
      </w:r>
      <w:proofErr w:type="gramEnd"/>
      <w:r>
        <w:rPr>
          <w:b w:val="0"/>
          <w:bCs w:val="0"/>
          <w:sz w:val="24"/>
          <w:szCs w:val="24"/>
        </w:rPr>
        <w:t xml:space="preserve"> PA statute requires 911 </w:t>
      </w:r>
      <w:proofErr w:type="gramStart"/>
      <w:r>
        <w:rPr>
          <w:b w:val="0"/>
          <w:bCs w:val="0"/>
          <w:sz w:val="24"/>
          <w:szCs w:val="24"/>
        </w:rPr>
        <w:t>caller</w:t>
      </w:r>
      <w:proofErr w:type="gramEnd"/>
      <w:r>
        <w:rPr>
          <w:b w:val="0"/>
          <w:bCs w:val="0"/>
          <w:sz w:val="24"/>
          <w:szCs w:val="24"/>
        </w:rPr>
        <w:t xml:space="preserve"> to remain with overdose person. </w:t>
      </w:r>
    </w:p>
    <w:p w14:paraId="6538AC43" w14:textId="27055F52" w:rsidR="00557CA2" w:rsidRDefault="00557CA2" w:rsidP="00557CA2">
      <w:pPr>
        <w:spacing w:after="100" w:line="240" w:lineRule="auto"/>
        <w:ind w:left="720"/>
        <w:rPr>
          <w:rFonts w:ascii="Times New Roman" w:hAnsi="Times New Roman"/>
          <w:sz w:val="24"/>
          <w:szCs w:val="24"/>
        </w:rPr>
      </w:pPr>
      <w:r>
        <w:rPr>
          <w:rFonts w:ascii="Times New Roman" w:hAnsi="Times New Roman"/>
          <w:sz w:val="24"/>
          <w:szCs w:val="24"/>
        </w:rPr>
        <w:t xml:space="preserve">“However, Mr. Jay [Taco Bell Manager] did not make any statement during this call that he reasonably believed Appellant required immediate medical attention, </w:t>
      </w:r>
      <w:r>
        <w:rPr>
          <w:rFonts w:ascii="Times New Roman" w:hAnsi="Times New Roman"/>
          <w:i/>
          <w:iCs/>
          <w:sz w:val="24"/>
          <w:szCs w:val="24"/>
        </w:rPr>
        <w:t>see id.,</w:t>
      </w:r>
      <w:r>
        <w:rPr>
          <w:rFonts w:ascii="Times New Roman" w:hAnsi="Times New Roman"/>
          <w:sz w:val="24"/>
          <w:szCs w:val="24"/>
        </w:rPr>
        <w:t xml:space="preserve"> nor did Mr. Jay relay to the dispatcher that he reasonably believed Appellant was experiencing a drug overdose event, as defined by the Act.” </w:t>
      </w:r>
      <w:hyperlink r:id="rId2034" w:history="1">
        <w:r>
          <w:rPr>
            <w:rStyle w:val="Hyperlink"/>
            <w:sz w:val="24"/>
            <w:szCs w:val="24"/>
          </w:rPr>
          <w:t>https://scholar.google.com/scholar_case?case=14934683326774120071&amp;q=Pennsylvania+%22overdose+response%22&amp;hl=en&amp;scisbd=2&amp;as_sdt=6,36&amp;as_ylo=2020</w:t>
        </w:r>
      </w:hyperlink>
      <w:r>
        <w:rPr>
          <w:rFonts w:ascii="Times New Roman" w:hAnsi="Times New Roman"/>
          <w:sz w:val="24"/>
          <w:szCs w:val="24"/>
        </w:rPr>
        <w:t xml:space="preserve"> </w:t>
      </w:r>
    </w:p>
    <w:p w14:paraId="273E1DE8" w14:textId="77777777" w:rsidR="00557CA2" w:rsidRDefault="00557CA2" w:rsidP="00557CA2">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Over 40 states have enacted Drug Overdose Immunity statutes, designed to encourage fellow drug users to call 911, without fear of their own arrest.   </w:t>
      </w:r>
    </w:p>
    <w:p w14:paraId="150E1B6F" w14:textId="77777777" w:rsidR="00557CA2" w:rsidRDefault="00557CA2" w:rsidP="00557CA2">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A similar decision involving a customer in a McDonald’s restaurant, Aug. 13, 2020: Commonwealth of Pennsylvania v. Francis South, 2020 PA Super 194: </w:t>
      </w:r>
    </w:p>
    <w:p w14:paraId="593F361B" w14:textId="77777777" w:rsidR="00557CA2" w:rsidRDefault="00557CA2" w:rsidP="00557CA2">
      <w:pPr>
        <w:spacing w:after="100" w:line="240" w:lineRule="auto"/>
        <w:ind w:left="720"/>
        <w:rPr>
          <w:rFonts w:ascii="Times New Roman" w:eastAsia="Times New Roman" w:hAnsi="Times New Roman"/>
          <w:sz w:val="24"/>
          <w:szCs w:val="24"/>
        </w:rPr>
      </w:pPr>
      <w:r>
        <w:rPr>
          <w:rFonts w:ascii="Times New Roman" w:hAnsi="Times New Roman"/>
          <w:sz w:val="24"/>
          <w:szCs w:val="24"/>
        </w:rPr>
        <w:t>“During her shift, Ms. Glass called 911 and [reported that an adult white male was passed out in the restaurant, and during the call, he got up and proceeded to exit the building and stumble through the parking lot….  To qualify for immunity, it was Appellant's burden to show that Ms. Glass reasonably believed he required emergency medical care due to a drug overdose. 35 P.S. § 780-113.7(2)(</w:t>
      </w:r>
      <w:proofErr w:type="spellStart"/>
      <w:r>
        <w:rPr>
          <w:rFonts w:ascii="Times New Roman" w:hAnsi="Times New Roman"/>
          <w:sz w:val="24"/>
          <w:szCs w:val="24"/>
        </w:rPr>
        <w:t>i</w:t>
      </w:r>
      <w:proofErr w:type="spellEnd"/>
      <w:r>
        <w:rPr>
          <w:rFonts w:ascii="Times New Roman" w:hAnsi="Times New Roman"/>
          <w:sz w:val="24"/>
          <w:szCs w:val="24"/>
        </w:rPr>
        <w:t xml:space="preserve">); </w:t>
      </w:r>
      <w:hyperlink r:id="rId2035" w:history="1">
        <w:r>
          <w:rPr>
            <w:rStyle w:val="Hyperlink"/>
            <w:i/>
            <w:iCs/>
            <w:sz w:val="24"/>
            <w:szCs w:val="24"/>
          </w:rPr>
          <w:t>Lewis,</w:t>
        </w:r>
        <w:r>
          <w:rPr>
            <w:rStyle w:val="Hyperlink"/>
            <w:sz w:val="24"/>
            <w:szCs w:val="24"/>
          </w:rPr>
          <w:t xml:space="preserve"> 180 A.3d at 791</w:t>
        </w:r>
      </w:hyperlink>
      <w:r>
        <w:rPr>
          <w:rFonts w:ascii="Times New Roman" w:hAnsi="Times New Roman"/>
          <w:sz w:val="24"/>
          <w:szCs w:val="24"/>
        </w:rPr>
        <w:t xml:space="preserve">. We agree with the trial court's conclusion that there was no evidence submitted at Appellant's trial ‘which would support that Ms. Glass, as the reporter, had any reasonable belief that Appellant was in need of immediate medical attention to prevent death or serious bodily injury from a drug overdose." Trial Court Opinion, 1/10/20, at 8.’”  </w:t>
      </w:r>
      <w:hyperlink r:id="rId2036" w:history="1">
        <w:r>
          <w:rPr>
            <w:rStyle w:val="Hyperlink"/>
            <w:sz w:val="24"/>
            <w:szCs w:val="24"/>
          </w:rPr>
          <w:t>https://scholar.google.com/scholar_case?case=1228128574784444684&amp;q=Pennsylvania+%22overdose+response%22&amp;hl=en&amp;scisbd=2&amp;as_sdt=6,36&amp;as_ylo=2020</w:t>
        </w:r>
      </w:hyperlink>
      <w:r>
        <w:rPr>
          <w:rFonts w:ascii="Times New Roman" w:eastAsia="Times New Roman" w:hAnsi="Times New Roman"/>
          <w:sz w:val="24"/>
          <w:szCs w:val="24"/>
        </w:rPr>
        <w:t xml:space="preserve"> </w:t>
      </w:r>
    </w:p>
    <w:p w14:paraId="690BA045" w14:textId="77777777" w:rsidR="00557CA2" w:rsidRDefault="00557CA2" w:rsidP="00557CA2">
      <w:pPr>
        <w:spacing w:after="100" w:line="240" w:lineRule="auto"/>
        <w:ind w:left="720"/>
        <w:rPr>
          <w:rFonts w:ascii="Times New Roman" w:eastAsia="Times New Roman" w:hAnsi="Times New Roman"/>
          <w:b/>
          <w:bCs/>
          <w:sz w:val="24"/>
          <w:szCs w:val="24"/>
        </w:rPr>
      </w:pPr>
    </w:p>
    <w:p w14:paraId="7E105792" w14:textId="77777777" w:rsidR="00557CA2" w:rsidRPr="007C158F" w:rsidRDefault="00557CA2" w:rsidP="00557CA2">
      <w:pPr>
        <w:pStyle w:val="Heading2"/>
        <w:ind w:left="720"/>
        <w:rPr>
          <w:rFonts w:ascii="Times New Roman" w:eastAsiaTheme="majorEastAsia" w:hAnsi="Times New Roman"/>
          <w:b w:val="0"/>
          <w:bCs w:val="0"/>
          <w:i w:val="0"/>
          <w:iCs w:val="0"/>
          <w:sz w:val="24"/>
          <w:szCs w:val="24"/>
        </w:rPr>
      </w:pPr>
      <w:r w:rsidRPr="007C158F">
        <w:rPr>
          <w:rFonts w:ascii="Times New Roman" w:hAnsi="Times New Roman"/>
          <w:b w:val="0"/>
          <w:bCs w:val="0"/>
          <w:i w:val="0"/>
          <w:iCs w:val="0"/>
          <w:sz w:val="24"/>
          <w:szCs w:val="24"/>
        </w:rPr>
        <w:t xml:space="preserve">See also Ohio law – ORC 2925.11 Possession of controlled substances. </w:t>
      </w:r>
      <w:hyperlink r:id="rId2037" w:history="1">
        <w:r w:rsidRPr="007C158F">
          <w:rPr>
            <w:rStyle w:val="Hyperlink"/>
            <w:rFonts w:ascii="Times New Roman" w:hAnsi="Times New Roman"/>
            <w:b w:val="0"/>
            <w:bCs w:val="0"/>
            <w:i w:val="0"/>
            <w:iCs w:val="0"/>
            <w:sz w:val="24"/>
            <w:szCs w:val="24"/>
          </w:rPr>
          <w:t>https://codes.ohio.gov/orc/2925.11</w:t>
        </w:r>
      </w:hyperlink>
      <w:r w:rsidRPr="007C158F">
        <w:rPr>
          <w:rFonts w:ascii="Times New Roman" w:hAnsi="Times New Roman"/>
          <w:b w:val="0"/>
          <w:bCs w:val="0"/>
          <w:i w:val="0"/>
          <w:iCs w:val="0"/>
          <w:sz w:val="24"/>
          <w:szCs w:val="24"/>
        </w:rPr>
        <w:t xml:space="preserve"> </w:t>
      </w:r>
    </w:p>
    <w:p w14:paraId="53FC7A71" w14:textId="77777777" w:rsidR="00557CA2" w:rsidRDefault="00557CA2" w:rsidP="00557CA2">
      <w:pPr>
        <w:pStyle w:val="Heading1"/>
        <w:ind w:left="1440"/>
        <w:rPr>
          <w:b w:val="0"/>
          <w:bCs w:val="0"/>
          <w:sz w:val="24"/>
          <w:szCs w:val="24"/>
        </w:rPr>
      </w:pPr>
      <w:r>
        <w:rPr>
          <w:b w:val="0"/>
          <w:bCs w:val="0"/>
          <w:sz w:val="24"/>
          <w:szCs w:val="24"/>
        </w:rPr>
        <w:t>(viii) "Qualified individual" means a person who is not on community control or post-release control and is a person acting in good faith who seeks or obtains medical assistance for another person who is experiencing a drug overdose, a person who experiences a drug overdose and who seeks medical assistance for that overdose, or a person who is the subject of another person seeking or obtaining medical assistance for that overdose as described in division (B)(2)(b) of  this section</w:t>
      </w:r>
      <w:r>
        <w:rPr>
          <w:sz w:val="24"/>
          <w:szCs w:val="24"/>
        </w:rPr>
        <w:t>.</w:t>
      </w:r>
    </w:p>
    <w:p w14:paraId="17F22B60" w14:textId="77777777" w:rsidR="00557CA2" w:rsidRDefault="00557CA2" w:rsidP="00557CA2">
      <w:pPr>
        <w:pStyle w:val="Heading1"/>
        <w:rPr>
          <w:b w:val="0"/>
          <w:bCs w:val="0"/>
          <w:sz w:val="24"/>
          <w:szCs w:val="24"/>
        </w:rPr>
      </w:pPr>
      <w:r>
        <w:rPr>
          <w:b w:val="0"/>
          <w:bCs w:val="0"/>
          <w:sz w:val="24"/>
          <w:szCs w:val="24"/>
        </w:rPr>
        <w:tab/>
        <w:t>But there is a treatment requirement:</w:t>
      </w:r>
    </w:p>
    <w:p w14:paraId="226ACEAA" w14:textId="4AAD1061" w:rsidR="00557CA2" w:rsidRDefault="00557CA2" w:rsidP="00557CA2">
      <w:pPr>
        <w:pStyle w:val="Heading1"/>
        <w:ind w:left="1440"/>
        <w:rPr>
          <w:b w:val="0"/>
          <w:bCs w:val="0"/>
          <w:sz w:val="24"/>
          <w:szCs w:val="24"/>
        </w:rPr>
      </w:pPr>
      <w:r>
        <w:rPr>
          <w:b w:val="0"/>
          <w:bCs w:val="0"/>
          <w:sz w:val="24"/>
          <w:szCs w:val="24"/>
        </w:rPr>
        <w:t xml:space="preserve">(ii) Subject to division (B)(2)(g) of this section, within thirty days after seeking or obtaining </w:t>
      </w:r>
      <w:proofErr w:type="gramStart"/>
      <w:r>
        <w:rPr>
          <w:b w:val="0"/>
          <w:bCs w:val="0"/>
          <w:sz w:val="24"/>
          <w:szCs w:val="24"/>
        </w:rPr>
        <w:t>the medical</w:t>
      </w:r>
      <w:proofErr w:type="gramEnd"/>
      <w:r>
        <w:rPr>
          <w:b w:val="0"/>
          <w:bCs w:val="0"/>
          <w:sz w:val="24"/>
          <w:szCs w:val="24"/>
        </w:rPr>
        <w:t xml:space="preserve"> assistance, the qualified individual seeks and obtains a screening and receives a referral for treatment from a community addiction services provider or a properly credentialed addiction treatment professional.</w:t>
      </w:r>
    </w:p>
    <w:p w14:paraId="76871404" w14:textId="77777777" w:rsidR="00557CA2" w:rsidRDefault="00557CA2" w:rsidP="00557CA2">
      <w:pPr>
        <w:pStyle w:val="Heading1"/>
        <w:ind w:left="720"/>
      </w:pPr>
      <w:r>
        <w:rPr>
          <w:b w:val="0"/>
          <w:bCs w:val="0"/>
          <w:sz w:val="24"/>
          <w:szCs w:val="24"/>
        </w:rPr>
        <w:t xml:space="preserve">But see criticism: The Network </w:t>
      </w:r>
      <w:proofErr w:type="gramStart"/>
      <w:r>
        <w:rPr>
          <w:b w:val="0"/>
          <w:bCs w:val="0"/>
          <w:sz w:val="24"/>
          <w:szCs w:val="24"/>
        </w:rPr>
        <w:t>For</w:t>
      </w:r>
      <w:proofErr w:type="gramEnd"/>
      <w:r>
        <w:rPr>
          <w:b w:val="0"/>
          <w:bCs w:val="0"/>
          <w:sz w:val="24"/>
          <w:szCs w:val="24"/>
        </w:rPr>
        <w:t xml:space="preserve"> Public Health Law - “Overdose ‘Good Samaritan’ Laws Should Protect, Not Punish” (Jan. 26, 2020): </w:t>
      </w:r>
      <w:hyperlink r:id="rId2038" w:history="1">
        <w:r>
          <w:rPr>
            <w:rStyle w:val="Hyperlink"/>
            <w:rFonts w:eastAsiaTheme="majorEastAsia"/>
            <w:b w:val="0"/>
            <w:bCs w:val="0"/>
            <w:sz w:val="24"/>
            <w:szCs w:val="24"/>
          </w:rPr>
          <w:t>https://www.networkforphl.org/news-insights/overdose-good-samaritan-laws-should-protect-not-punish/</w:t>
        </w:r>
      </w:hyperlink>
      <w:r>
        <w:rPr>
          <w:b w:val="0"/>
          <w:bCs w:val="0"/>
          <w:sz w:val="24"/>
          <w:szCs w:val="24"/>
        </w:rPr>
        <w:t xml:space="preserve"> </w:t>
      </w:r>
    </w:p>
    <w:p w14:paraId="3717C980" w14:textId="77777777" w:rsidR="00557CA2" w:rsidRDefault="00557CA2" w:rsidP="00557CA2">
      <w:pPr>
        <w:pStyle w:val="NormalWeb"/>
        <w:ind w:left="1440"/>
      </w:pPr>
      <w:r>
        <w:t xml:space="preserve">“These laws have further limitations as well. In at least a </w:t>
      </w:r>
      <w:hyperlink r:id="rId2039" w:history="1">
        <w:r>
          <w:rPr>
            <w:rStyle w:val="Hyperlink"/>
            <w:rFonts w:eastAsiaTheme="majorEastAsia"/>
          </w:rPr>
          <w:t>dozen states</w:t>
        </w:r>
      </w:hyperlink>
      <w:r>
        <w:t>, the Good Samaritan is required not only to call for help but also to jump through additional hoops such as providing their full name to law enforcement, staying on the scene, and cooperating with responding officers. None of those requirements are necessary to help the person suffering from an overdose; all are likely to discourage people from calling for help.”</w:t>
      </w:r>
    </w:p>
    <w:p w14:paraId="269A0AA5" w14:textId="77777777" w:rsidR="00557CA2" w:rsidRDefault="00557CA2" w:rsidP="00557CA2">
      <w:pPr>
        <w:rPr>
          <w:rFonts w:ascii="Times New Roman" w:hAnsi="Times New Roman"/>
          <w:b/>
          <w:sz w:val="20"/>
          <w:szCs w:val="20"/>
        </w:rPr>
      </w:pPr>
    </w:p>
    <w:p w14:paraId="3B3D44AC" w14:textId="77777777" w:rsidR="00557CA2" w:rsidRDefault="00557CA2" w:rsidP="00F326E5">
      <w:pPr>
        <w:rPr>
          <w:rFonts w:ascii="Arial Black" w:hAnsi="Arial Black"/>
          <w:b/>
          <w:sz w:val="24"/>
          <w:szCs w:val="24"/>
        </w:rPr>
      </w:pPr>
    </w:p>
    <w:p w14:paraId="605C3CF9" w14:textId="6B83D2DC" w:rsidR="007105B3" w:rsidRDefault="007105B3" w:rsidP="00F326E5">
      <w:pPr>
        <w:rPr>
          <w:rFonts w:ascii="Arial Black" w:hAnsi="Arial Black"/>
          <w:b/>
          <w:sz w:val="24"/>
          <w:szCs w:val="24"/>
        </w:rPr>
      </w:pPr>
      <w:r>
        <w:rPr>
          <w:rFonts w:ascii="Arial Black" w:hAnsi="Arial Black"/>
          <w:b/>
          <w:sz w:val="24"/>
          <w:szCs w:val="24"/>
        </w:rPr>
        <w:t>12-7</w:t>
      </w:r>
    </w:p>
    <w:p w14:paraId="131EB7B1" w14:textId="77777777" w:rsidR="001C563D" w:rsidRDefault="001C563D" w:rsidP="001C563D">
      <w:pPr>
        <w:pStyle w:val="Heading1"/>
        <w:rPr>
          <w:rFonts w:ascii="Arial Black" w:hAnsi="Arial Black"/>
          <w:sz w:val="28"/>
          <w:szCs w:val="28"/>
        </w:rPr>
      </w:pPr>
      <w:r w:rsidRPr="003B2D7D">
        <w:rPr>
          <w:rFonts w:ascii="Arial Black" w:hAnsi="Arial Black"/>
          <w:sz w:val="28"/>
          <w:szCs w:val="28"/>
        </w:rPr>
        <w:t xml:space="preserve">PA: </w:t>
      </w:r>
      <w:r>
        <w:rPr>
          <w:rFonts w:ascii="Arial Black" w:hAnsi="Arial Black"/>
          <w:sz w:val="28"/>
          <w:szCs w:val="28"/>
        </w:rPr>
        <w:t>PHILADELPHIA NEW “SAFE INJECTION SITE” PROGRAM – INJUNCTION DURING COVID-19 &amp; NATIONWIDE PROTESTS</w:t>
      </w:r>
    </w:p>
    <w:p w14:paraId="1C79BBE6" w14:textId="77777777" w:rsidR="001C563D" w:rsidRPr="00F72F3E" w:rsidRDefault="001C563D" w:rsidP="001C563D">
      <w:pPr>
        <w:pStyle w:val="NoSpacing"/>
        <w:rPr>
          <w:rFonts w:ascii="Times New Roman" w:hAnsi="Times New Roman"/>
          <w:sz w:val="24"/>
          <w:szCs w:val="24"/>
        </w:rPr>
      </w:pPr>
      <w:r w:rsidRPr="003B2D7D">
        <w:rPr>
          <w:rFonts w:ascii="Times New Roman" w:hAnsi="Times New Roman"/>
          <w:sz w:val="24"/>
          <w:szCs w:val="24"/>
        </w:rPr>
        <w:t xml:space="preserve">On </w:t>
      </w:r>
      <w:r>
        <w:rPr>
          <w:rFonts w:ascii="Times New Roman" w:hAnsi="Times New Roman"/>
          <w:sz w:val="24"/>
          <w:szCs w:val="24"/>
        </w:rPr>
        <w:t xml:space="preserve">June 24, 2020, in </w:t>
      </w:r>
      <w:r w:rsidRPr="003B2D7D">
        <w:rPr>
          <w:rFonts w:ascii="Times New Roman" w:hAnsi="Times New Roman"/>
          <w:sz w:val="24"/>
          <w:szCs w:val="24"/>
          <w:u w:val="single"/>
        </w:rPr>
        <w:t>United States of America v. SAFEHOUSE</w:t>
      </w:r>
      <w:r>
        <w:rPr>
          <w:rFonts w:ascii="Times New Roman" w:hAnsi="Times New Roman"/>
          <w:sz w:val="24"/>
          <w:szCs w:val="24"/>
        </w:rPr>
        <w:t>, U.S. District Court Judge George Austin McHugh, U.S. District Court for Eastern District of Pennsylvania, ordered that the injection program in South Philadelphia be stayed.  “</w:t>
      </w:r>
      <w:r w:rsidRPr="00F72F3E">
        <w:rPr>
          <w:rFonts w:ascii="Times New Roman" w:hAnsi="Times New Roman"/>
          <w:sz w:val="24"/>
          <w:szCs w:val="24"/>
        </w:rPr>
        <w:t>Although the Government has failed to show that it will suffer harms that cannot be prevented or fully rectified by a successful appeal, the ongoing challenges posed by COVID-19 and the deep social currents and introspection following the tragic killing of Mr. Floyd make this the wrong moment for another change in the status quo. Accordingly, the Government’s request for a stay will be granted.</w:t>
      </w:r>
      <w:r>
        <w:rPr>
          <w:rFonts w:ascii="Times New Roman" w:hAnsi="Times New Roman"/>
          <w:sz w:val="24"/>
          <w:szCs w:val="24"/>
        </w:rPr>
        <w:t>”</w:t>
      </w:r>
      <w:r w:rsidRPr="00F72F3E">
        <w:t xml:space="preserve"> </w:t>
      </w:r>
      <w:hyperlink r:id="rId2040" w:history="1">
        <w:r w:rsidRPr="003B7380">
          <w:rPr>
            <w:rStyle w:val="Hyperlink"/>
            <w:rFonts w:ascii="Times New Roman" w:hAnsi="Times New Roman"/>
            <w:sz w:val="24"/>
            <w:szCs w:val="24"/>
          </w:rPr>
          <w:t>https://www.courthousenews.com/wp-content/uploads/2020/06/safehouse-pa.pdf</w:t>
        </w:r>
      </w:hyperlink>
      <w:r>
        <w:rPr>
          <w:rFonts w:ascii="Times New Roman" w:hAnsi="Times New Roman"/>
          <w:sz w:val="24"/>
          <w:szCs w:val="24"/>
        </w:rPr>
        <w:t xml:space="preserve"> </w:t>
      </w:r>
    </w:p>
    <w:p w14:paraId="15CF32E1" w14:textId="77777777" w:rsidR="001C563D" w:rsidRDefault="001C563D" w:rsidP="001C563D">
      <w:pPr>
        <w:pStyle w:val="NoSpacing"/>
        <w:rPr>
          <w:rFonts w:ascii="Times New Roman" w:hAnsi="Times New Roman"/>
          <w:b/>
          <w:bCs/>
          <w:sz w:val="24"/>
          <w:szCs w:val="24"/>
        </w:rPr>
      </w:pPr>
    </w:p>
    <w:p w14:paraId="538C0A36" w14:textId="5D68BAB2" w:rsidR="001C563D" w:rsidRPr="002B1D2F" w:rsidRDefault="001C563D" w:rsidP="001C563D">
      <w:pPr>
        <w:pStyle w:val="NoSpacing"/>
        <w:rPr>
          <w:rFonts w:ascii="Times New Roman" w:hAnsi="Times New Roman"/>
          <w:b/>
          <w:bCs/>
          <w:sz w:val="24"/>
          <w:szCs w:val="24"/>
        </w:rPr>
      </w:pPr>
      <w:r w:rsidRPr="002B1D2F">
        <w:rPr>
          <w:rFonts w:ascii="Times New Roman" w:hAnsi="Times New Roman"/>
          <w:b/>
          <w:bCs/>
          <w:sz w:val="24"/>
          <w:szCs w:val="24"/>
        </w:rPr>
        <w:t xml:space="preserve">Legal Lessons Learned: The Court has wise issued an injunction preventing the opening a “safe injection site” during the COVID-19 pandemic.  </w:t>
      </w:r>
    </w:p>
    <w:p w14:paraId="3E70ACC8" w14:textId="77777777" w:rsidR="001C563D" w:rsidRDefault="001C563D" w:rsidP="001C563D">
      <w:pPr>
        <w:pStyle w:val="NoSpacing"/>
        <w:ind w:left="720"/>
        <w:rPr>
          <w:rFonts w:ascii="Times New Roman" w:hAnsi="Times New Roman"/>
          <w:sz w:val="24"/>
          <w:szCs w:val="24"/>
        </w:rPr>
      </w:pPr>
    </w:p>
    <w:p w14:paraId="03A15578" w14:textId="77777777" w:rsidR="001C563D" w:rsidRPr="002B1D2F" w:rsidRDefault="001C563D" w:rsidP="001C563D">
      <w:pPr>
        <w:pStyle w:val="NoSpacing"/>
        <w:ind w:left="720"/>
        <w:rPr>
          <w:rFonts w:ascii="Times New Roman" w:hAnsi="Times New Roman"/>
          <w:sz w:val="24"/>
          <w:szCs w:val="24"/>
        </w:rPr>
      </w:pPr>
      <w:r w:rsidRPr="002B1D2F">
        <w:rPr>
          <w:rFonts w:ascii="Times New Roman" w:hAnsi="Times New Roman"/>
          <w:sz w:val="24"/>
          <w:szCs w:val="24"/>
        </w:rPr>
        <w:t xml:space="preserve">Note: See June 25, 2020 article, </w:t>
      </w:r>
      <w:r>
        <w:rPr>
          <w:rFonts w:ascii="Times New Roman" w:hAnsi="Times New Roman"/>
          <w:sz w:val="24"/>
          <w:szCs w:val="24"/>
        </w:rPr>
        <w:t>“</w:t>
      </w:r>
      <w:r w:rsidRPr="002B1D2F">
        <w:rPr>
          <w:rFonts w:ascii="Times New Roman" w:hAnsi="Times New Roman"/>
          <w:sz w:val="24"/>
          <w:szCs w:val="24"/>
        </w:rPr>
        <w:t>Judge Halts Opening of Safe Injection Site, Citing COVID-19 Pandemic and Protests</w:t>
      </w:r>
      <w:r>
        <w:rPr>
          <w:rFonts w:ascii="Times New Roman" w:hAnsi="Times New Roman"/>
          <w:sz w:val="24"/>
          <w:szCs w:val="24"/>
        </w:rPr>
        <w:t xml:space="preserve">” </w:t>
      </w:r>
      <w:r w:rsidRPr="002B1D2F">
        <w:rPr>
          <w:rFonts w:ascii="Times New Roman" w:hAnsi="Times New Roman"/>
          <w:sz w:val="24"/>
          <w:szCs w:val="24"/>
        </w:rPr>
        <w:t xml:space="preserve">-  A federal judge has hit pause on efforts to open the nation’s first so-called </w:t>
      </w:r>
      <w:hyperlink r:id="rId2041" w:history="1">
        <w:r w:rsidRPr="002B1D2F">
          <w:rPr>
            <w:rStyle w:val="Hyperlink"/>
            <w:rFonts w:ascii="Times New Roman" w:hAnsi="Times New Roman"/>
            <w:sz w:val="24"/>
            <w:szCs w:val="24"/>
          </w:rPr>
          <w:t>safe injection</w:t>
        </w:r>
      </w:hyperlink>
      <w:r w:rsidRPr="002B1D2F">
        <w:rPr>
          <w:rFonts w:ascii="Times New Roman" w:hAnsi="Times New Roman"/>
          <w:sz w:val="24"/>
          <w:szCs w:val="24"/>
        </w:rPr>
        <w:t xml:space="preserve"> site, where heroin users would be able to inject the drug under </w:t>
      </w:r>
      <w:hyperlink r:id="rId2042" w:history="1">
        <w:r w:rsidRPr="002B1D2F">
          <w:rPr>
            <w:rStyle w:val="Hyperlink"/>
            <w:rFonts w:ascii="Times New Roman" w:hAnsi="Times New Roman"/>
            <w:sz w:val="24"/>
            <w:szCs w:val="24"/>
          </w:rPr>
          <w:t>medical supervision</w:t>
        </w:r>
      </w:hyperlink>
      <w:r w:rsidRPr="002B1D2F">
        <w:rPr>
          <w:rFonts w:ascii="Times New Roman" w:hAnsi="Times New Roman"/>
          <w:sz w:val="24"/>
          <w:szCs w:val="24"/>
        </w:rPr>
        <w:t>, citing Philadelphia’s “frayed” nerves in the midst of a global pandemic and mounting protests for social justice reform.</w:t>
      </w:r>
    </w:p>
    <w:p w14:paraId="5F5883C8" w14:textId="77777777" w:rsidR="001C563D" w:rsidRPr="002B1D2F" w:rsidRDefault="001C563D" w:rsidP="001C563D">
      <w:pPr>
        <w:pStyle w:val="NoSpacing"/>
        <w:ind w:left="720"/>
        <w:rPr>
          <w:rFonts w:ascii="Times New Roman" w:hAnsi="Times New Roman"/>
          <w:sz w:val="24"/>
          <w:szCs w:val="24"/>
        </w:rPr>
      </w:pPr>
      <w:hyperlink r:id="rId2043" w:history="1">
        <w:r w:rsidRPr="003B7380">
          <w:rPr>
            <w:rStyle w:val="Hyperlink"/>
            <w:rFonts w:ascii="Times New Roman" w:hAnsi="Times New Roman"/>
            <w:sz w:val="24"/>
            <w:szCs w:val="24"/>
          </w:rPr>
          <w:t>https://www.law.com/thelegalintelligencer/2020/06/25/judge-halts-opening-of-safe-injection-site-citing-covid-19-pandemic-and-protests/</w:t>
        </w:r>
      </w:hyperlink>
      <w:r w:rsidRPr="002B1D2F">
        <w:rPr>
          <w:rFonts w:ascii="Times New Roman" w:hAnsi="Times New Roman"/>
          <w:sz w:val="24"/>
          <w:szCs w:val="24"/>
        </w:rPr>
        <w:t xml:space="preserve"> </w:t>
      </w:r>
    </w:p>
    <w:p w14:paraId="720C0E43" w14:textId="77777777" w:rsidR="001C563D" w:rsidRDefault="001C563D" w:rsidP="00F326E5">
      <w:pPr>
        <w:rPr>
          <w:rFonts w:ascii="Arial Black" w:hAnsi="Arial Black"/>
          <w:b/>
          <w:sz w:val="24"/>
          <w:szCs w:val="24"/>
        </w:rPr>
      </w:pPr>
    </w:p>
    <w:p w14:paraId="746F85D4" w14:textId="77777777" w:rsidR="007105B3" w:rsidRDefault="007105B3" w:rsidP="00F326E5">
      <w:pPr>
        <w:rPr>
          <w:rFonts w:ascii="Arial Black" w:hAnsi="Arial Black"/>
          <w:b/>
          <w:sz w:val="24"/>
          <w:szCs w:val="24"/>
        </w:rPr>
      </w:pPr>
    </w:p>
    <w:p w14:paraId="423860FC" w14:textId="4D9BFE17" w:rsidR="00FA7B26" w:rsidRDefault="00FA7B26" w:rsidP="00F326E5">
      <w:pPr>
        <w:rPr>
          <w:rFonts w:ascii="Arial Black" w:hAnsi="Arial Black"/>
          <w:b/>
          <w:sz w:val="24"/>
          <w:szCs w:val="24"/>
        </w:rPr>
      </w:pPr>
      <w:r>
        <w:rPr>
          <w:rFonts w:ascii="Arial Black" w:hAnsi="Arial Black"/>
          <w:b/>
          <w:sz w:val="24"/>
          <w:szCs w:val="24"/>
        </w:rPr>
        <w:t>12-6</w:t>
      </w:r>
    </w:p>
    <w:p w14:paraId="4DF99FA8" w14:textId="77777777" w:rsidR="00FA7B26" w:rsidRPr="00BE492A" w:rsidRDefault="00FA7B26" w:rsidP="00FA7B26">
      <w:pPr>
        <w:spacing w:before="100" w:beforeAutospacing="1" w:after="100" w:afterAutospacing="1" w:line="240" w:lineRule="auto"/>
        <w:rPr>
          <w:rFonts w:ascii="Arial Black" w:eastAsia="Times New Roman" w:hAnsi="Arial Black"/>
          <w:b/>
          <w:bCs/>
          <w:sz w:val="28"/>
          <w:szCs w:val="28"/>
        </w:rPr>
      </w:pPr>
      <w:bookmarkStart w:id="418" w:name="_Hlk66949143"/>
      <w:r w:rsidRPr="00BE492A">
        <w:rPr>
          <w:rFonts w:ascii="Arial Black" w:eastAsia="Times New Roman" w:hAnsi="Arial Black"/>
          <w:b/>
          <w:bCs/>
          <w:sz w:val="28"/>
          <w:szCs w:val="28"/>
        </w:rPr>
        <w:t xml:space="preserve">LA: </w:t>
      </w:r>
      <w:r>
        <w:rPr>
          <w:rFonts w:ascii="Arial Black" w:eastAsia="Times New Roman" w:hAnsi="Arial Black"/>
          <w:b/>
          <w:bCs/>
          <w:sz w:val="28"/>
          <w:szCs w:val="28"/>
        </w:rPr>
        <w:t>FF REINSTATED – FIRED FOR POSITIVE MARIJUANA – HIS DOCTOR HAD APPROVED USE OF OVER-THE-COUNTER CANNABIODAL (CBD) FOR PAIN</w:t>
      </w:r>
    </w:p>
    <w:p w14:paraId="7C6EE212" w14:textId="77777777" w:rsidR="00FA7B26" w:rsidRDefault="00FA7B26" w:rsidP="00FA7B26">
      <w:pPr>
        <w:spacing w:before="100" w:beforeAutospacing="1" w:after="100" w:afterAutospacing="1" w:line="240" w:lineRule="auto"/>
        <w:jc w:val="both"/>
        <w:rPr>
          <w:rFonts w:ascii="Times New Roman" w:hAnsi="Times New Roman"/>
          <w:sz w:val="24"/>
          <w:szCs w:val="24"/>
        </w:rPr>
      </w:pPr>
      <w:r w:rsidRPr="00BE492A">
        <w:rPr>
          <w:rFonts w:ascii="Times New Roman" w:hAnsi="Times New Roman"/>
          <w:sz w:val="24"/>
          <w:szCs w:val="24"/>
        </w:rPr>
        <w:t xml:space="preserve">On May 20, 2020, in </w:t>
      </w:r>
      <w:r w:rsidRPr="00BE492A">
        <w:rPr>
          <w:rFonts w:ascii="Times New Roman" w:hAnsi="Times New Roman"/>
          <w:sz w:val="24"/>
          <w:szCs w:val="24"/>
          <w:u w:val="single"/>
        </w:rPr>
        <w:t>Gregory Matusoff v. New Orleans Department of Fire</w:t>
      </w:r>
      <w:r>
        <w:rPr>
          <w:rFonts w:ascii="Times New Roman" w:hAnsi="Times New Roman"/>
          <w:sz w:val="24"/>
          <w:szCs w:val="24"/>
        </w:rPr>
        <w:t xml:space="preserve">, the Court of Appeal, Fourth Circuit, State of Louisiana, held (3 to 0) that City’s Civil Service Commission abused its discretion in deny the firefighter’s appeal. </w:t>
      </w:r>
      <w:hyperlink r:id="rId2044" w:history="1">
        <w:r w:rsidRPr="004A7721">
          <w:rPr>
            <w:rStyle w:val="Hyperlink"/>
            <w:sz w:val="24"/>
            <w:szCs w:val="24"/>
          </w:rPr>
          <w:t>https://www.la4th.org/opinion/2019/486077.pdf</w:t>
        </w:r>
      </w:hyperlink>
      <w:r>
        <w:rPr>
          <w:rFonts w:ascii="Times New Roman" w:hAnsi="Times New Roman"/>
          <w:sz w:val="24"/>
          <w:szCs w:val="24"/>
        </w:rPr>
        <w:t xml:space="preserve"> </w:t>
      </w:r>
    </w:p>
    <w:p w14:paraId="2895FCD6" w14:textId="1BE1D3DE" w:rsidR="00FA7B26" w:rsidRPr="00B53124"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B53124">
        <w:rPr>
          <w:rFonts w:ascii="Times New Roman" w:hAnsi="Times New Roman"/>
          <w:b/>
          <w:bCs/>
          <w:sz w:val="24"/>
          <w:szCs w:val="24"/>
        </w:rPr>
        <w:t>Legal Lessons Learned:</w:t>
      </w:r>
      <w:r>
        <w:rPr>
          <w:rFonts w:ascii="Times New Roman" w:hAnsi="Times New Roman"/>
          <w:b/>
          <w:bCs/>
          <w:sz w:val="24"/>
          <w:szCs w:val="24"/>
        </w:rPr>
        <w:t xml:space="preserve">  This termination makes one wonder what the FD and the Civil Service Commission were thinking.  Suggestion to FF using CBD; ask your physician for a “prescription” or other written authorization, that you can then </w:t>
      </w:r>
      <w:r w:rsidR="00D44294">
        <w:rPr>
          <w:rFonts w:ascii="Times New Roman" w:hAnsi="Times New Roman"/>
          <w:b/>
          <w:bCs/>
          <w:sz w:val="24"/>
          <w:szCs w:val="24"/>
        </w:rPr>
        <w:t xml:space="preserve">provide to </w:t>
      </w:r>
      <w:r>
        <w:rPr>
          <w:rFonts w:ascii="Times New Roman" w:hAnsi="Times New Roman"/>
          <w:b/>
          <w:bCs/>
          <w:sz w:val="24"/>
          <w:szCs w:val="24"/>
        </w:rPr>
        <w:t xml:space="preserve">your FD. </w:t>
      </w:r>
    </w:p>
    <w:bookmarkEnd w:id="418"/>
    <w:p w14:paraId="3B830110" w14:textId="77777777" w:rsidR="00FA7B26" w:rsidRDefault="00FA7B26" w:rsidP="00F326E5">
      <w:pPr>
        <w:rPr>
          <w:rFonts w:ascii="Arial Black" w:hAnsi="Arial Black"/>
          <w:b/>
          <w:sz w:val="24"/>
          <w:szCs w:val="24"/>
        </w:rPr>
      </w:pPr>
    </w:p>
    <w:p w14:paraId="0249E464" w14:textId="07ED73E0" w:rsidR="005C30A4" w:rsidRDefault="005C30A4" w:rsidP="00F326E5">
      <w:pPr>
        <w:rPr>
          <w:rFonts w:ascii="Arial Black" w:hAnsi="Arial Black"/>
          <w:b/>
          <w:sz w:val="24"/>
          <w:szCs w:val="24"/>
        </w:rPr>
      </w:pPr>
      <w:r>
        <w:rPr>
          <w:rFonts w:ascii="Arial Black" w:hAnsi="Arial Black"/>
          <w:b/>
          <w:sz w:val="24"/>
          <w:szCs w:val="24"/>
        </w:rPr>
        <w:t>12-5</w:t>
      </w:r>
    </w:p>
    <w:p w14:paraId="197B1E2A" w14:textId="77777777" w:rsidR="005C30A4" w:rsidRPr="00514F51" w:rsidRDefault="005C30A4" w:rsidP="005C30A4">
      <w:pPr>
        <w:pStyle w:val="NoSpacing"/>
        <w:rPr>
          <w:rFonts w:ascii="Arial Black" w:hAnsi="Arial Black"/>
          <w:sz w:val="28"/>
          <w:szCs w:val="28"/>
        </w:rPr>
      </w:pPr>
      <w:bookmarkStart w:id="419" w:name="_Hlk39772175"/>
      <w:r w:rsidRPr="00514F51">
        <w:rPr>
          <w:rFonts w:ascii="Arial Black" w:hAnsi="Arial Black"/>
          <w:sz w:val="28"/>
          <w:szCs w:val="28"/>
        </w:rPr>
        <w:t>KY:</w:t>
      </w:r>
      <w:r>
        <w:rPr>
          <w:rFonts w:ascii="Arial Black" w:hAnsi="Arial Black"/>
          <w:sz w:val="28"/>
          <w:szCs w:val="28"/>
        </w:rPr>
        <w:t xml:space="preserve"> DRUG USER - GOOD SAMARITAN STATUTE – IMMUNITY FROM PROSECUTION – EVEN IF 911 CALLER LEAVES</w:t>
      </w:r>
    </w:p>
    <w:p w14:paraId="2340F6DE" w14:textId="77777777" w:rsidR="005C30A4" w:rsidRDefault="005C30A4" w:rsidP="005C30A4">
      <w:pPr>
        <w:pStyle w:val="NoSpacing"/>
        <w:ind w:left="720"/>
        <w:rPr>
          <w:rFonts w:ascii="KYArial Black" w:hAnsi="KYArial Black"/>
          <w:sz w:val="28"/>
          <w:szCs w:val="28"/>
        </w:rPr>
      </w:pPr>
    </w:p>
    <w:p w14:paraId="0E4B72AD"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Cs/>
          <w:sz w:val="24"/>
          <w:szCs w:val="24"/>
        </w:rPr>
        <w:t xml:space="preserve">On </w:t>
      </w:r>
      <w:bookmarkStart w:id="420" w:name="_Hlk39848381"/>
      <w:r w:rsidRPr="00465FB3">
        <w:rPr>
          <w:rFonts w:ascii="Times New Roman" w:hAnsi="Times New Roman"/>
          <w:bCs/>
          <w:sz w:val="24"/>
          <w:szCs w:val="24"/>
        </w:rPr>
        <w:t xml:space="preserve">Feb. 21, 2020, in </w:t>
      </w:r>
      <w:r w:rsidRPr="00465FB3">
        <w:rPr>
          <w:rFonts w:ascii="Times New Roman" w:hAnsi="Times New Roman"/>
          <w:bCs/>
          <w:sz w:val="24"/>
          <w:szCs w:val="24"/>
          <w:u w:val="single"/>
        </w:rPr>
        <w:t>Jeremy Logsdon v. Commonwealth of Kentucky</w:t>
      </w:r>
      <w:bookmarkEnd w:id="420"/>
      <w:r w:rsidRPr="00465FB3">
        <w:rPr>
          <w:rFonts w:ascii="Times New Roman" w:hAnsi="Times New Roman"/>
          <w:bCs/>
          <w:sz w:val="24"/>
          <w:szCs w:val="24"/>
        </w:rPr>
        <w:t>, the Kentucky Court of Appeals held (3 to 0) that the defendant enjoys immunity from prosecution, even if the 911 caller took off (had outstanding warrants) before police &amp; EMS arrived, reversing the decision of the [Boone Circuit Court] judge.</w:t>
      </w:r>
    </w:p>
    <w:p w14:paraId="7F7B0A05" w14:textId="77777777" w:rsidR="005C30A4" w:rsidRPr="00465FB3" w:rsidRDefault="005C30A4" w:rsidP="005C30A4">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“We agree with both Appellant … that the Boone Circuit Court's ruling is not supported by a strict interpretation of KRS 218A.133(2). Throughout this </w:t>
      </w:r>
      <w:proofErr w:type="gramStart"/>
      <w:r w:rsidRPr="00465FB3">
        <w:rPr>
          <w:rFonts w:ascii="Times New Roman" w:eastAsia="Times New Roman" w:hAnsi="Times New Roman"/>
          <w:sz w:val="24"/>
          <w:szCs w:val="24"/>
        </w:rPr>
        <w:t>statute, ‘</w:t>
      </w:r>
      <w:proofErr w:type="gramEnd"/>
      <w:r w:rsidRPr="00465FB3">
        <w:rPr>
          <w:rFonts w:ascii="Times New Roman" w:eastAsia="Times New Roman" w:hAnsi="Times New Roman"/>
          <w:sz w:val="24"/>
          <w:szCs w:val="24"/>
        </w:rPr>
        <w:t>the person’ may reasonably be construed as the individual experiencing a drug overdose, and for whom a third-party caller requested medical assistance. When read in this light, KRS 218A.133(2) does not require a third-party caller to be present with the individual experiencing a drug overdose when medical personnel arrive. As such, the circuit court erred in concluding that Appellant was not entitled to the KRS 218A.133(2) exemption from prosecution. Accordingly, we REVERSE the judgment of the Boone Circuit Court.”</w:t>
      </w:r>
      <w:r w:rsidRPr="00465FB3">
        <w:rPr>
          <w:rFonts w:ascii="Times New Roman" w:hAnsi="Times New Roman"/>
          <w:sz w:val="24"/>
          <w:szCs w:val="24"/>
        </w:rPr>
        <w:t xml:space="preserve"> </w:t>
      </w:r>
      <w:bookmarkStart w:id="421" w:name="_Hlk39848396"/>
      <w:r w:rsidR="00BC38B6">
        <w:fldChar w:fldCharType="begin"/>
      </w:r>
      <w:r w:rsidR="00BC38B6">
        <w:instrText xml:space="preserve"> HYPERLINK "https://public.fastcase.com/Wl%2B2t%2BeVuI35%2FN70vAMFZhWagCVrrnIVHI5ze3ezrqb5nbCRO4xyuBvAFcv5WsVX" </w:instrText>
      </w:r>
      <w:r w:rsidR="00BC38B6">
        <w:fldChar w:fldCharType="separate"/>
      </w:r>
      <w:r w:rsidRPr="00465FB3">
        <w:rPr>
          <w:rStyle w:val="Hyperlink"/>
          <w:rFonts w:ascii="Times New Roman" w:eastAsia="Times New Roman" w:hAnsi="Times New Roman"/>
          <w:sz w:val="24"/>
          <w:szCs w:val="24"/>
        </w:rPr>
        <w:t>https://public.fastcase.com/Wl%2B2t%2BeVuI35%2FN70vAMFZhWagCVrrnIVHI5ze3ezrqb5nbCRO4xyuBvAFcv5WsVX</w:t>
      </w:r>
      <w:r w:rsidR="00BC38B6">
        <w:rPr>
          <w:rStyle w:val="Hyperlink"/>
          <w:rFonts w:ascii="Times New Roman" w:eastAsia="Times New Roman" w:hAnsi="Times New Roman"/>
          <w:sz w:val="24"/>
          <w:szCs w:val="24"/>
        </w:rPr>
        <w:fldChar w:fldCharType="end"/>
      </w:r>
      <w:bookmarkEnd w:id="419"/>
      <w:r w:rsidRPr="00465FB3">
        <w:rPr>
          <w:rFonts w:ascii="Times New Roman" w:eastAsia="Times New Roman" w:hAnsi="Times New Roman"/>
          <w:sz w:val="24"/>
          <w:szCs w:val="24"/>
        </w:rPr>
        <w:t xml:space="preserve"> </w:t>
      </w:r>
      <w:bookmarkEnd w:id="421"/>
    </w:p>
    <w:p w14:paraId="5DE247A1" w14:textId="15558E64" w:rsidR="005C30A4" w:rsidRPr="00465FB3" w:rsidRDefault="005C30A4" w:rsidP="005C30A4">
      <w:pPr>
        <w:pStyle w:val="NoSpacing"/>
        <w:rPr>
          <w:rFonts w:ascii="Times New Roman" w:eastAsia="Times New Roman" w:hAnsi="Times New Roman"/>
          <w:b/>
          <w:bCs/>
          <w:sz w:val="24"/>
          <w:szCs w:val="24"/>
        </w:rPr>
      </w:pPr>
      <w:bookmarkStart w:id="422" w:name="_Hlk40513640"/>
      <w:r w:rsidRPr="00465FB3">
        <w:rPr>
          <w:rFonts w:ascii="Times New Roman" w:hAnsi="Times New Roman"/>
          <w:b/>
          <w:bCs/>
          <w:sz w:val="24"/>
          <w:szCs w:val="24"/>
        </w:rPr>
        <w:t>Legal Lesson</w:t>
      </w:r>
      <w:r w:rsidR="00E71BA9">
        <w:rPr>
          <w:rFonts w:ascii="Times New Roman" w:hAnsi="Times New Roman"/>
          <w:b/>
          <w:bCs/>
          <w:sz w:val="24"/>
          <w:szCs w:val="24"/>
        </w:rPr>
        <w:t xml:space="preserve"> </w:t>
      </w:r>
      <w:r w:rsidRPr="00465FB3">
        <w:rPr>
          <w:rFonts w:ascii="Times New Roman" w:hAnsi="Times New Roman"/>
          <w:b/>
          <w:bCs/>
          <w:sz w:val="24"/>
          <w:szCs w:val="24"/>
        </w:rPr>
        <w:t xml:space="preserve">Learned: Many states have enacted drug-user Good Samaritan statutes, to encourage the user or friend to call 911. </w:t>
      </w:r>
    </w:p>
    <w:bookmarkEnd w:id="422"/>
    <w:p w14:paraId="02A5BE40" w14:textId="77777777" w:rsidR="005C30A4" w:rsidRDefault="005C30A4" w:rsidP="00F326E5">
      <w:pPr>
        <w:rPr>
          <w:rFonts w:ascii="Arial Black" w:hAnsi="Arial Black"/>
          <w:b/>
          <w:sz w:val="24"/>
          <w:szCs w:val="24"/>
        </w:rPr>
      </w:pPr>
    </w:p>
    <w:p w14:paraId="065B3E34" w14:textId="77777777" w:rsidR="005C30A4" w:rsidRDefault="005C30A4" w:rsidP="00F326E5">
      <w:pPr>
        <w:rPr>
          <w:rFonts w:ascii="Arial Black" w:hAnsi="Arial Black"/>
          <w:b/>
          <w:sz w:val="24"/>
          <w:szCs w:val="24"/>
        </w:rPr>
      </w:pPr>
    </w:p>
    <w:p w14:paraId="7B9EE014" w14:textId="67CB8932" w:rsidR="005C30A4" w:rsidRDefault="005C30A4" w:rsidP="00F326E5">
      <w:pPr>
        <w:rPr>
          <w:rFonts w:ascii="Arial Black" w:hAnsi="Arial Black"/>
          <w:b/>
          <w:sz w:val="24"/>
          <w:szCs w:val="24"/>
        </w:rPr>
      </w:pPr>
      <w:r>
        <w:rPr>
          <w:rFonts w:ascii="Arial Black" w:hAnsi="Arial Black"/>
          <w:b/>
          <w:sz w:val="24"/>
          <w:szCs w:val="24"/>
        </w:rPr>
        <w:t>12-4</w:t>
      </w:r>
    </w:p>
    <w:p w14:paraId="1777747A" w14:textId="77777777" w:rsidR="005C30A4" w:rsidRPr="00021226" w:rsidRDefault="005C30A4" w:rsidP="005C30A4">
      <w:pPr>
        <w:pStyle w:val="NoSpacing"/>
        <w:rPr>
          <w:rFonts w:ascii="Arial Black" w:hAnsi="Arial Black"/>
          <w:sz w:val="28"/>
          <w:szCs w:val="28"/>
        </w:rPr>
      </w:pPr>
      <w:r>
        <w:rPr>
          <w:rFonts w:ascii="Arial Black" w:hAnsi="Arial Black"/>
          <w:sz w:val="28"/>
          <w:szCs w:val="28"/>
        </w:rPr>
        <w:t>RI: DRUG USER - GOOD SAMARITAN ACT - PD FOUND 6 MARIJUANA PLANTS – IMMUNITY EVEN IF DEALER</w:t>
      </w:r>
    </w:p>
    <w:p w14:paraId="5CBC19BA" w14:textId="77777777" w:rsidR="005C30A4" w:rsidRDefault="005C30A4" w:rsidP="005C30A4">
      <w:pPr>
        <w:pStyle w:val="NoSpacing"/>
        <w:rPr>
          <w:b/>
          <w:bCs/>
          <w:sz w:val="24"/>
          <w:szCs w:val="24"/>
        </w:rPr>
      </w:pPr>
    </w:p>
    <w:p w14:paraId="3733D142"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Cs/>
          <w:sz w:val="24"/>
          <w:szCs w:val="24"/>
        </w:rPr>
        <w:t xml:space="preserve">On </w:t>
      </w:r>
      <w:bookmarkStart w:id="423" w:name="_Hlk39848608"/>
      <w:r w:rsidRPr="00465FB3">
        <w:rPr>
          <w:rFonts w:ascii="Times New Roman" w:hAnsi="Times New Roman"/>
          <w:bCs/>
          <w:sz w:val="24"/>
          <w:szCs w:val="24"/>
        </w:rPr>
        <w:t xml:space="preserve">Feb. 7, 2020, in </w:t>
      </w:r>
      <w:r w:rsidRPr="00465FB3">
        <w:rPr>
          <w:rFonts w:ascii="Times New Roman" w:hAnsi="Times New Roman"/>
          <w:bCs/>
          <w:sz w:val="24"/>
          <w:szCs w:val="24"/>
          <w:u w:val="single"/>
        </w:rPr>
        <w:t xml:space="preserve">State of Rhode Island v. Daniel </w:t>
      </w:r>
      <w:proofErr w:type="spellStart"/>
      <w:r w:rsidRPr="00465FB3">
        <w:rPr>
          <w:rFonts w:ascii="Times New Roman" w:hAnsi="Times New Roman"/>
          <w:bCs/>
          <w:sz w:val="24"/>
          <w:szCs w:val="24"/>
          <w:u w:val="single"/>
        </w:rPr>
        <w:t>Disalvo</w:t>
      </w:r>
      <w:proofErr w:type="spellEnd"/>
      <w:r w:rsidRPr="00465FB3">
        <w:rPr>
          <w:rFonts w:ascii="Times New Roman" w:hAnsi="Times New Roman"/>
          <w:bCs/>
          <w:sz w:val="24"/>
          <w:szCs w:val="24"/>
        </w:rPr>
        <w:t xml:space="preserve">, </w:t>
      </w:r>
      <w:bookmarkEnd w:id="423"/>
      <w:r w:rsidRPr="00465FB3">
        <w:rPr>
          <w:rFonts w:ascii="Times New Roman" w:hAnsi="Times New Roman"/>
          <w:bCs/>
          <w:sz w:val="24"/>
          <w:szCs w:val="24"/>
        </w:rPr>
        <w:t>the Superior Court (Washington County) Judge Melanie Thunberg held that the criminal complaint must be dismissed, since the defendant is covered by the Good Samaritan Act even though he appears to be a dealer.</w:t>
      </w:r>
    </w:p>
    <w:p w14:paraId="59EF9EE7" w14:textId="77777777" w:rsidR="005C30A4" w:rsidRPr="00465FB3" w:rsidRDefault="005C30A4" w:rsidP="005C30A4">
      <w:pPr>
        <w:pStyle w:val="NoSpacing"/>
        <w:rPr>
          <w:rFonts w:ascii="Times New Roman" w:hAnsi="Times New Roman"/>
          <w:b/>
          <w:bCs/>
          <w:sz w:val="24"/>
          <w:szCs w:val="24"/>
        </w:rPr>
      </w:pPr>
    </w:p>
    <w:p w14:paraId="58AFDA29" w14:textId="77777777" w:rsidR="005C30A4" w:rsidRPr="00465FB3" w:rsidRDefault="005C30A4" w:rsidP="005C30A4">
      <w:pPr>
        <w:pStyle w:val="NoSpacing"/>
        <w:ind w:left="720"/>
        <w:rPr>
          <w:rFonts w:ascii="Times New Roman" w:hAnsi="Times New Roman"/>
          <w:b/>
          <w:bCs/>
          <w:sz w:val="24"/>
          <w:szCs w:val="24"/>
        </w:rPr>
      </w:pPr>
      <w:r w:rsidRPr="00465FB3">
        <w:rPr>
          <w:rFonts w:ascii="Times New Roman" w:hAnsi="Times New Roman"/>
          <w:bCs/>
          <w:sz w:val="24"/>
          <w:szCs w:val="24"/>
        </w:rPr>
        <w:t xml:space="preserve">“At issue here is whether the State may prosecute Defendant for possession of controlled substances with the intent to deliver </w:t>
      </w:r>
      <w:proofErr w:type="gramStart"/>
      <w:r w:rsidRPr="00465FB3">
        <w:rPr>
          <w:rFonts w:ascii="Times New Roman" w:hAnsi="Times New Roman"/>
          <w:bCs/>
          <w:sz w:val="24"/>
          <w:szCs w:val="24"/>
        </w:rPr>
        <w:t>despite the fact that</w:t>
      </w:r>
      <w:proofErr w:type="gramEnd"/>
      <w:r w:rsidRPr="00465FB3">
        <w:rPr>
          <w:rFonts w:ascii="Times New Roman" w:hAnsi="Times New Roman"/>
          <w:bCs/>
          <w:sz w:val="24"/>
          <w:szCs w:val="24"/>
        </w:rPr>
        <w:t xml:space="preserve"> law enforcement would not have discovered the contraband but for Defendant’s need for medical attention. The parties dispute the application of G.L. 1956 § 21-28.9-4, the Good Samaritan Overdose Prevention Act of 2016 (the Act). Their arguments turn on whether the individual who experiences an overdose may seek immunity under the Act; whether the drug or alcohol user needs to actually overdose in order for the protections of the Act to apply; and whether the Act immunizes only possession related crimes—not the crime of possession with the intent to deliver.  *** Again, the language contained in § 21-28.9-4(b) is dispositive. This section provides that qualifying individuals ‘shall not be charged or prosecuted for any crime related to the possession of a controlled substance or drug paraphernalia, possession or transportation of alcohol by an underage person, or the operation of a drug-involved premises, if the evidence. . .was gained as a result of the overdose and the need for medical assistance.’Section21-28.9-4(b) (emphasis added). *** The outcome of this dispute turns on whether the crime of unlawful possession of a controlled substance with the intent to distribute is a crime ‘related to the possession of a controlled substance.’ Id. Clearly, it is.  An individual must possess the controlled substances with which he or she intends to distribute </w:t>
      </w:r>
      <w:proofErr w:type="gramStart"/>
      <w:r w:rsidRPr="00465FB3">
        <w:rPr>
          <w:rFonts w:ascii="Times New Roman" w:hAnsi="Times New Roman"/>
          <w:bCs/>
          <w:sz w:val="24"/>
          <w:szCs w:val="24"/>
        </w:rPr>
        <w:t>in order to</w:t>
      </w:r>
      <w:proofErr w:type="gramEnd"/>
      <w:r w:rsidRPr="00465FB3">
        <w:rPr>
          <w:rFonts w:ascii="Times New Roman" w:hAnsi="Times New Roman"/>
          <w:bCs/>
          <w:sz w:val="24"/>
          <w:szCs w:val="24"/>
        </w:rPr>
        <w:t xml:space="preserve"> be guilty of possession with the intent to deliver. Moreover, the unambiguous language of § 21-28.9-4(b) establishes that the Legislature intended that the individual who </w:t>
      </w:r>
      <w:proofErr w:type="gramStart"/>
      <w:r w:rsidRPr="00465FB3">
        <w:rPr>
          <w:rFonts w:ascii="Times New Roman" w:hAnsi="Times New Roman"/>
          <w:bCs/>
          <w:sz w:val="24"/>
          <w:szCs w:val="24"/>
        </w:rPr>
        <w:t>overdoses</w:t>
      </w:r>
      <w:proofErr w:type="gramEnd"/>
      <w:r w:rsidRPr="00465FB3">
        <w:rPr>
          <w:rFonts w:ascii="Times New Roman" w:hAnsi="Times New Roman"/>
          <w:bCs/>
          <w:sz w:val="24"/>
          <w:szCs w:val="24"/>
        </w:rPr>
        <w:t xml:space="preserve"> or experiences a drug-or alcohol-related medical emergency receive immunity for ‘any crime related to the possession of a controlled substance or drug paraphernalia. . . .’ Section 21-28.9-4(b) (emphasis added). The Legislature chose to use the words ‘any crime related to the possession of a controlled substance’ to delineate the crimes that would fall under the umbrella of protection afforded by the Act. The Legislature could have carved out crimes related to the delivery or distribution of controlled substances; however, as demonstrated by the existing statute, it did not.</w:t>
      </w:r>
    </w:p>
    <w:bookmarkStart w:id="424" w:name="_Hlk39848627"/>
    <w:p w14:paraId="6D51335B" w14:textId="77777777" w:rsidR="005C30A4" w:rsidRPr="00465FB3" w:rsidRDefault="00BC38B6" w:rsidP="005C30A4">
      <w:pPr>
        <w:pStyle w:val="NoSpacing"/>
        <w:ind w:left="720"/>
        <w:rPr>
          <w:rFonts w:ascii="Times New Roman" w:hAnsi="Times New Roman"/>
          <w:b/>
          <w:bCs/>
          <w:sz w:val="24"/>
          <w:szCs w:val="24"/>
        </w:rPr>
      </w:pPr>
      <w:r>
        <w:fldChar w:fldCharType="begin"/>
      </w:r>
      <w:r>
        <w:instrText xml:space="preserve"> HYPERLINK "https://cases.justia.com/rhode-island/superior-court/2020-18-0273.pdf?ts=1581362174" </w:instrText>
      </w:r>
      <w:r>
        <w:fldChar w:fldCharType="separate"/>
      </w:r>
      <w:r w:rsidR="005C30A4" w:rsidRPr="00465FB3">
        <w:rPr>
          <w:rStyle w:val="Hyperlink"/>
          <w:rFonts w:ascii="Times New Roman" w:hAnsi="Times New Roman"/>
          <w:bCs/>
          <w:sz w:val="24"/>
          <w:szCs w:val="24"/>
        </w:rPr>
        <w:t>https://cases.justia.com/rhode-island/superior-court/2020-18-0273.pdf?ts=1581362174</w:t>
      </w:r>
      <w:r>
        <w:rPr>
          <w:rStyle w:val="Hyperlink"/>
          <w:rFonts w:ascii="Times New Roman" w:hAnsi="Times New Roman"/>
          <w:bCs/>
          <w:sz w:val="24"/>
          <w:szCs w:val="24"/>
        </w:rPr>
        <w:fldChar w:fldCharType="end"/>
      </w:r>
      <w:r w:rsidR="005C30A4" w:rsidRPr="00465FB3">
        <w:rPr>
          <w:rFonts w:ascii="Times New Roman" w:hAnsi="Times New Roman"/>
          <w:bCs/>
          <w:sz w:val="24"/>
          <w:szCs w:val="24"/>
        </w:rPr>
        <w:t xml:space="preserve"> </w:t>
      </w:r>
    </w:p>
    <w:bookmarkEnd w:id="424"/>
    <w:p w14:paraId="5F2C0971" w14:textId="77777777" w:rsidR="005C30A4" w:rsidRPr="00465FB3" w:rsidRDefault="005C30A4" w:rsidP="005C30A4">
      <w:pPr>
        <w:pStyle w:val="NoSpacing"/>
        <w:ind w:left="720"/>
        <w:rPr>
          <w:rFonts w:ascii="Times New Roman" w:hAnsi="Times New Roman"/>
          <w:b/>
          <w:bCs/>
          <w:sz w:val="24"/>
          <w:szCs w:val="24"/>
        </w:rPr>
      </w:pPr>
    </w:p>
    <w:p w14:paraId="553BE63D"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
          <w:bCs/>
          <w:sz w:val="24"/>
          <w:szCs w:val="24"/>
        </w:rPr>
        <w:t xml:space="preserve">Legal Lessons Learned: This Good Samaritan Act was written to broadly protect drug users and others who call 911 for help. </w:t>
      </w:r>
    </w:p>
    <w:p w14:paraId="607C312D" w14:textId="77777777" w:rsidR="005C30A4" w:rsidRDefault="005C30A4" w:rsidP="00F326E5">
      <w:pPr>
        <w:rPr>
          <w:rFonts w:ascii="Arial Black" w:hAnsi="Arial Black"/>
          <w:b/>
          <w:sz w:val="24"/>
          <w:szCs w:val="24"/>
        </w:rPr>
      </w:pPr>
    </w:p>
    <w:p w14:paraId="483A2F1F" w14:textId="77777777" w:rsidR="005C30A4" w:rsidRDefault="005C30A4" w:rsidP="00F326E5">
      <w:pPr>
        <w:rPr>
          <w:rFonts w:ascii="Arial Black" w:hAnsi="Arial Black"/>
          <w:b/>
          <w:sz w:val="24"/>
          <w:szCs w:val="24"/>
        </w:rPr>
      </w:pPr>
    </w:p>
    <w:p w14:paraId="4323B294" w14:textId="77777777" w:rsidR="005C30A4" w:rsidRDefault="005C30A4" w:rsidP="00F326E5">
      <w:pPr>
        <w:rPr>
          <w:rFonts w:ascii="Arial Black" w:hAnsi="Arial Black"/>
          <w:b/>
          <w:sz w:val="24"/>
          <w:szCs w:val="24"/>
        </w:rPr>
      </w:pPr>
    </w:p>
    <w:p w14:paraId="2E040259" w14:textId="7B2E87FB" w:rsidR="00A52325" w:rsidRDefault="00A52325" w:rsidP="00F326E5">
      <w:pPr>
        <w:rPr>
          <w:rFonts w:ascii="Arial Black" w:hAnsi="Arial Black"/>
          <w:b/>
          <w:sz w:val="24"/>
          <w:szCs w:val="24"/>
        </w:rPr>
      </w:pPr>
      <w:r>
        <w:rPr>
          <w:rFonts w:ascii="Arial Black" w:hAnsi="Arial Black"/>
          <w:b/>
          <w:sz w:val="24"/>
          <w:szCs w:val="24"/>
        </w:rPr>
        <w:t>12-3</w:t>
      </w:r>
    </w:p>
    <w:p w14:paraId="6C5A2033" w14:textId="77777777" w:rsidR="00A52325" w:rsidRDefault="00A52325" w:rsidP="00A52325">
      <w:pPr>
        <w:pStyle w:val="NoSpacing"/>
        <w:rPr>
          <w:rFonts w:ascii="Arial Black" w:hAnsi="Arial Black"/>
          <w:sz w:val="28"/>
          <w:szCs w:val="28"/>
        </w:rPr>
      </w:pPr>
      <w:bookmarkStart w:id="425" w:name="_Hlk39772024"/>
      <w:bookmarkStart w:id="426" w:name="_Hlk41155561"/>
      <w:r>
        <w:rPr>
          <w:rFonts w:ascii="Arial Black" w:hAnsi="Arial Black"/>
          <w:sz w:val="28"/>
          <w:szCs w:val="28"/>
        </w:rPr>
        <w:t>IL: PARAMEDIC USING SQUAD FENTANYL – HOSPITAL FOUND PIN HOLES IN VIALS – CONVICTION UPHELD</w:t>
      </w:r>
    </w:p>
    <w:p w14:paraId="58922B2E" w14:textId="77777777" w:rsidR="00A52325" w:rsidRDefault="00A52325" w:rsidP="00A52325">
      <w:pPr>
        <w:pStyle w:val="NoSpacing"/>
        <w:rPr>
          <w:rFonts w:ascii="Times New Roman" w:hAnsi="Times New Roman"/>
          <w:sz w:val="24"/>
          <w:szCs w:val="24"/>
        </w:rPr>
      </w:pPr>
    </w:p>
    <w:p w14:paraId="7A8F57DA"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w:t>
      </w:r>
      <w:bookmarkStart w:id="427" w:name="_Hlk39849052"/>
      <w:r>
        <w:rPr>
          <w:rFonts w:ascii="Times New Roman" w:hAnsi="Times New Roman"/>
          <w:sz w:val="24"/>
          <w:szCs w:val="24"/>
        </w:rPr>
        <w:t xml:space="preserve">Dec. 6, 2019, in </w:t>
      </w:r>
      <w:r>
        <w:rPr>
          <w:rFonts w:ascii="Times New Roman" w:hAnsi="Times New Roman"/>
          <w:sz w:val="24"/>
          <w:szCs w:val="24"/>
          <w:u w:val="single"/>
        </w:rPr>
        <w:t>United States v. Jason Laut</w:t>
      </w:r>
      <w:bookmarkEnd w:id="427"/>
      <w:r>
        <w:rPr>
          <w:rFonts w:ascii="Times New Roman" w:hAnsi="Times New Roman"/>
          <w:sz w:val="24"/>
          <w:szCs w:val="24"/>
        </w:rPr>
        <w:t>, the U.S. Court of Appeals for the 7</w:t>
      </w:r>
      <w:r>
        <w:rPr>
          <w:rFonts w:ascii="Times New Roman" w:hAnsi="Times New Roman"/>
          <w:sz w:val="24"/>
          <w:szCs w:val="24"/>
          <w:vertAlign w:val="superscript"/>
        </w:rPr>
        <w:t>th</w:t>
      </w:r>
      <w:r>
        <w:rPr>
          <w:rFonts w:ascii="Times New Roman" w:hAnsi="Times New Roman"/>
          <w:sz w:val="24"/>
          <w:szCs w:val="24"/>
        </w:rPr>
        <w:t xml:space="preserve"> Circuit (Chicago), held (3 to 0) that in a nonprecedential disposition that his jury conviction was affirmed. </w:t>
      </w:r>
    </w:p>
    <w:p w14:paraId="682A45B9" w14:textId="77777777" w:rsidR="00A52325" w:rsidRDefault="00A52325" w:rsidP="00A52325">
      <w:pPr>
        <w:pStyle w:val="NoSpacing"/>
        <w:rPr>
          <w:rFonts w:ascii="Times New Roman" w:hAnsi="Times New Roman"/>
          <w:sz w:val="24"/>
          <w:szCs w:val="24"/>
        </w:rPr>
      </w:pPr>
    </w:p>
    <w:p w14:paraId="38C1AA0B" w14:textId="77777777" w:rsidR="00A52325" w:rsidRDefault="00A52325" w:rsidP="00A52325">
      <w:pPr>
        <w:pStyle w:val="NoSpacing"/>
        <w:ind w:left="720"/>
        <w:rPr>
          <w:rFonts w:ascii="Times New Roman" w:hAnsi="Times New Roman"/>
          <w:sz w:val="24"/>
          <w:szCs w:val="24"/>
        </w:rPr>
      </w:pPr>
      <w:r>
        <w:rPr>
          <w:rFonts w:ascii="Times New Roman" w:hAnsi="Times New Roman"/>
          <w:sz w:val="24"/>
          <w:szCs w:val="24"/>
        </w:rPr>
        <w:t>“Specifically, the government stated that Laut had tampered with fentanyl vials ‘57 times in 2014, 28 times in 2015; and repeatedly referred to the ‘85 tampered vials.’ Also, when describing the 2015 tampering, the government stated that pharmacists discovered the tampered vials ‘after Jason Laut’s tampering had already been caught once ... but he got away with it.’ *** The jury found Laut guilty on all 38 counts.</w:t>
      </w:r>
    </w:p>
    <w:bookmarkStart w:id="428" w:name="_Hlk39849070"/>
    <w:p w14:paraId="78A527AF" w14:textId="77777777" w:rsidR="00A52325" w:rsidRDefault="00BC38B6" w:rsidP="00A52325">
      <w:pPr>
        <w:pStyle w:val="NoSpacing"/>
        <w:ind w:left="720"/>
        <w:rPr>
          <w:rFonts w:ascii="Times New Roman" w:hAnsi="Times New Roman"/>
          <w:sz w:val="24"/>
          <w:szCs w:val="24"/>
        </w:rPr>
      </w:pPr>
      <w:r>
        <w:fldChar w:fldCharType="begin"/>
      </w:r>
      <w:r>
        <w:instrText xml:space="preserve"> HYPERLINK "http://media.ca7.uscourts.gov/cgi-bin/rssExec.pl?Submit=Display&amp;Path=Y2019/D12-06/C:18-2843:J:PerCuriam:aut:T:npDp:N:2440892:S:0" </w:instrText>
      </w:r>
      <w:r>
        <w:fldChar w:fldCharType="separate"/>
      </w:r>
      <w:r w:rsidR="00A52325">
        <w:rPr>
          <w:rStyle w:val="Hyperlink"/>
          <w:rFonts w:ascii="Times New Roman" w:hAnsi="Times New Roman"/>
          <w:sz w:val="24"/>
          <w:szCs w:val="24"/>
        </w:rPr>
        <w:t>http://media.ca7.uscourts.gov/cgi-bin/rssExec.pl?Submit=Display&amp;Path=Y2019/D12-06/C:18-2843:J:PerCuriam:aut:T:npDp:N:2440892:S:0</w:t>
      </w:r>
      <w:r>
        <w:rPr>
          <w:rStyle w:val="Hyperlink"/>
          <w:rFonts w:ascii="Times New Roman" w:hAnsi="Times New Roman"/>
          <w:sz w:val="24"/>
          <w:szCs w:val="24"/>
        </w:rPr>
        <w:fldChar w:fldCharType="end"/>
      </w:r>
      <w:r w:rsidR="00A52325">
        <w:rPr>
          <w:rFonts w:ascii="Times New Roman" w:hAnsi="Times New Roman"/>
          <w:sz w:val="24"/>
          <w:szCs w:val="24"/>
        </w:rPr>
        <w:t xml:space="preserve"> </w:t>
      </w:r>
    </w:p>
    <w:p w14:paraId="208CA5FC" w14:textId="56C65859" w:rsidR="00A52325" w:rsidRPr="00E71BA9" w:rsidRDefault="00A52325" w:rsidP="00A52325">
      <w:pPr>
        <w:spacing w:before="100" w:beforeAutospacing="1" w:after="100" w:afterAutospacing="1" w:line="240" w:lineRule="auto"/>
        <w:rPr>
          <w:rFonts w:ascii="Times New Roman" w:hAnsi="Times New Roman"/>
          <w:b/>
          <w:bCs/>
          <w:sz w:val="24"/>
          <w:szCs w:val="24"/>
        </w:rPr>
      </w:pPr>
      <w:bookmarkStart w:id="429" w:name="_Hlk40513758"/>
      <w:bookmarkEnd w:id="425"/>
      <w:bookmarkEnd w:id="428"/>
      <w:r>
        <w:rPr>
          <w:rFonts w:ascii="Times New Roman" w:hAnsi="Times New Roman"/>
          <w:b/>
          <w:bCs/>
          <w:sz w:val="24"/>
          <w:szCs w:val="24"/>
        </w:rPr>
        <w:t xml:space="preserve">Legal Lesson Learned: Conduct training of all </w:t>
      </w:r>
      <w:r w:rsidR="00E71BA9">
        <w:rPr>
          <w:rFonts w:ascii="Times New Roman" w:hAnsi="Times New Roman"/>
          <w:b/>
          <w:bCs/>
          <w:sz w:val="24"/>
          <w:szCs w:val="24"/>
        </w:rPr>
        <w:t xml:space="preserve">FD </w:t>
      </w:r>
      <w:r>
        <w:rPr>
          <w:rFonts w:ascii="Times New Roman" w:hAnsi="Times New Roman"/>
          <w:b/>
          <w:bCs/>
          <w:sz w:val="24"/>
          <w:szCs w:val="24"/>
        </w:rPr>
        <w:t>personnel on tamperin</w:t>
      </w:r>
      <w:r w:rsidR="00E71BA9">
        <w:rPr>
          <w:rFonts w:ascii="Times New Roman" w:hAnsi="Times New Roman"/>
          <w:b/>
          <w:bCs/>
          <w:sz w:val="24"/>
          <w:szCs w:val="24"/>
        </w:rPr>
        <w:t xml:space="preserve">g.   </w:t>
      </w:r>
      <w:r w:rsidR="00E71BA9" w:rsidRPr="00E71BA9">
        <w:rPr>
          <w:rFonts w:ascii="Times New Roman" w:hAnsi="Times New Roman"/>
          <w:sz w:val="24"/>
          <w:szCs w:val="24"/>
        </w:rPr>
        <w:t xml:space="preserve">Note:  See this web site: </w:t>
      </w:r>
      <w:hyperlink r:id="rId2045" w:history="1">
        <w:r w:rsidRPr="00E71BA9">
          <w:rPr>
            <w:rStyle w:val="Hyperlink"/>
            <w:rFonts w:ascii="Times New Roman" w:hAnsi="Times New Roman"/>
            <w:sz w:val="24"/>
            <w:szCs w:val="24"/>
          </w:rPr>
          <w:t>http://www.diversionspecialists.com/wp-content/uploads/Considerations-When-Tampering-Occurs.pdf</w:t>
        </w:r>
      </w:hyperlink>
      <w:r w:rsidRPr="00E71BA9">
        <w:rPr>
          <w:rFonts w:ascii="Times New Roman" w:hAnsi="Times New Roman"/>
          <w:b/>
          <w:bCs/>
          <w:sz w:val="24"/>
          <w:szCs w:val="24"/>
        </w:rPr>
        <w:t xml:space="preserve"> </w:t>
      </w:r>
    </w:p>
    <w:bookmarkEnd w:id="426"/>
    <w:bookmarkEnd w:id="429"/>
    <w:p w14:paraId="160E7F52" w14:textId="2BFBF2E1" w:rsidR="00A52325" w:rsidRDefault="00A52325" w:rsidP="00F326E5">
      <w:pPr>
        <w:rPr>
          <w:rFonts w:ascii="Times New Roman" w:hAnsi="Times New Roman"/>
          <w:bCs/>
          <w:sz w:val="24"/>
          <w:szCs w:val="24"/>
        </w:rPr>
      </w:pPr>
    </w:p>
    <w:p w14:paraId="7BA16672" w14:textId="77777777" w:rsidR="00E658E1" w:rsidRPr="00A52325" w:rsidRDefault="00E658E1" w:rsidP="00F326E5">
      <w:pPr>
        <w:rPr>
          <w:rFonts w:ascii="Times New Roman" w:hAnsi="Times New Roman"/>
          <w:bCs/>
          <w:sz w:val="24"/>
          <w:szCs w:val="24"/>
        </w:rPr>
      </w:pPr>
    </w:p>
    <w:p w14:paraId="6C0B8382" w14:textId="77777777" w:rsidR="00A52325" w:rsidRDefault="00A52325" w:rsidP="00F326E5">
      <w:pPr>
        <w:rPr>
          <w:rFonts w:ascii="Arial Black" w:hAnsi="Arial Black"/>
          <w:b/>
          <w:sz w:val="24"/>
          <w:szCs w:val="24"/>
        </w:rPr>
      </w:pPr>
    </w:p>
    <w:p w14:paraId="689E5B5E" w14:textId="6ADAEEE4" w:rsidR="009F0F05" w:rsidRDefault="009F0F05" w:rsidP="00F326E5">
      <w:pPr>
        <w:rPr>
          <w:rFonts w:ascii="Arial Black" w:hAnsi="Arial Black"/>
          <w:b/>
          <w:sz w:val="24"/>
          <w:szCs w:val="24"/>
        </w:rPr>
      </w:pPr>
      <w:r>
        <w:rPr>
          <w:rFonts w:ascii="Arial Black" w:hAnsi="Arial Black"/>
          <w:b/>
          <w:sz w:val="24"/>
          <w:szCs w:val="24"/>
        </w:rPr>
        <w:t>12-2</w:t>
      </w:r>
    </w:p>
    <w:p w14:paraId="511B0FF8" w14:textId="77777777" w:rsidR="009F0F05" w:rsidRPr="00412490" w:rsidRDefault="009F0F05" w:rsidP="009F0F05">
      <w:pPr>
        <w:rPr>
          <w:rFonts w:ascii="Arial Black" w:hAnsi="Arial Black"/>
          <w:sz w:val="28"/>
          <w:szCs w:val="28"/>
        </w:rPr>
      </w:pPr>
      <w:r w:rsidRPr="00412490">
        <w:rPr>
          <w:rFonts w:ascii="Arial Black" w:hAnsi="Arial Black"/>
          <w:sz w:val="28"/>
          <w:szCs w:val="28"/>
        </w:rPr>
        <w:t xml:space="preserve">NY: </w:t>
      </w:r>
      <w:r>
        <w:rPr>
          <w:rFonts w:ascii="Arial Black" w:hAnsi="Arial Black"/>
          <w:sz w:val="28"/>
          <w:szCs w:val="28"/>
        </w:rPr>
        <w:t xml:space="preserve">COURT REFUSES TO DROP DUI CHARGES AGAINST POLICE OFFICER / EMT – NOT “INTEREST OF JUSTICE” </w:t>
      </w:r>
    </w:p>
    <w:p w14:paraId="1640859F" w14:textId="77777777" w:rsidR="009F0F05" w:rsidRPr="00412490" w:rsidRDefault="009F0F05" w:rsidP="009F0F05">
      <w:pPr>
        <w:rPr>
          <w:rFonts w:ascii="Times New Roman" w:hAnsi="Times New Roman"/>
          <w:sz w:val="24"/>
          <w:szCs w:val="24"/>
        </w:rPr>
      </w:pPr>
      <w:r w:rsidRPr="00412490">
        <w:rPr>
          <w:rFonts w:ascii="Times New Roman" w:hAnsi="Times New Roman"/>
          <w:sz w:val="24"/>
          <w:szCs w:val="24"/>
        </w:rPr>
        <w:t xml:space="preserve">On </w:t>
      </w:r>
      <w:r>
        <w:rPr>
          <w:rFonts w:ascii="Times New Roman" w:hAnsi="Times New Roman"/>
          <w:sz w:val="24"/>
          <w:szCs w:val="24"/>
        </w:rPr>
        <w:t xml:space="preserve">Aug. 13, 2019, in </w:t>
      </w:r>
      <w:r w:rsidRPr="00412490">
        <w:rPr>
          <w:rFonts w:ascii="Times New Roman" w:hAnsi="Times New Roman"/>
          <w:sz w:val="24"/>
          <w:szCs w:val="24"/>
          <w:u w:val="single"/>
        </w:rPr>
        <w:t xml:space="preserve">The People </w:t>
      </w:r>
      <w:proofErr w:type="gramStart"/>
      <w:r w:rsidRPr="00412490">
        <w:rPr>
          <w:rFonts w:ascii="Times New Roman" w:hAnsi="Times New Roman"/>
          <w:sz w:val="24"/>
          <w:szCs w:val="24"/>
          <w:u w:val="single"/>
        </w:rPr>
        <w:t>Of</w:t>
      </w:r>
      <w:proofErr w:type="gramEnd"/>
      <w:r w:rsidRPr="00412490">
        <w:rPr>
          <w:rFonts w:ascii="Times New Roman" w:hAnsi="Times New Roman"/>
          <w:sz w:val="24"/>
          <w:szCs w:val="24"/>
          <w:u w:val="single"/>
        </w:rPr>
        <w:t xml:space="preserve"> </w:t>
      </w:r>
      <w:proofErr w:type="gramStart"/>
      <w:r w:rsidRPr="00412490">
        <w:rPr>
          <w:rFonts w:ascii="Times New Roman" w:hAnsi="Times New Roman"/>
          <w:sz w:val="24"/>
          <w:szCs w:val="24"/>
          <w:u w:val="single"/>
        </w:rPr>
        <w:t>The</w:t>
      </w:r>
      <w:proofErr w:type="gramEnd"/>
      <w:r w:rsidRPr="00412490">
        <w:rPr>
          <w:rFonts w:ascii="Times New Roman" w:hAnsi="Times New Roman"/>
          <w:sz w:val="24"/>
          <w:szCs w:val="24"/>
          <w:u w:val="single"/>
        </w:rPr>
        <w:t xml:space="preserve"> State Of New York v. Shreeganes Meade</w:t>
      </w:r>
      <w:r>
        <w:rPr>
          <w:rFonts w:ascii="Times New Roman" w:hAnsi="Times New Roman"/>
          <w:sz w:val="24"/>
          <w:szCs w:val="24"/>
        </w:rPr>
        <w:t xml:space="preserve">, </w:t>
      </w:r>
      <w:r w:rsidRPr="00A31BF5">
        <w:rPr>
          <w:rFonts w:ascii="Times New Roman" w:hAnsi="Times New Roman"/>
          <w:sz w:val="24"/>
          <w:szCs w:val="24"/>
        </w:rPr>
        <w:t>2019 NY Slip Op 51419(U)</w:t>
      </w:r>
      <w:r>
        <w:rPr>
          <w:rFonts w:ascii="Times New Roman" w:hAnsi="Times New Roman"/>
          <w:sz w:val="24"/>
          <w:szCs w:val="24"/>
        </w:rPr>
        <w:t>,</w:t>
      </w:r>
      <w:r>
        <w:t xml:space="preserve"> </w:t>
      </w:r>
      <w:r w:rsidRPr="00A31BF5">
        <w:rPr>
          <w:rFonts w:ascii="Times New Roman" w:hAnsi="Times New Roman"/>
          <w:sz w:val="24"/>
          <w:szCs w:val="24"/>
        </w:rPr>
        <w:t>N.Y. Crim. Ct., 2019</w:t>
      </w:r>
      <w:r>
        <w:t xml:space="preserve">, </w:t>
      </w:r>
      <w:r>
        <w:rPr>
          <w:rFonts w:ascii="Times New Roman" w:hAnsi="Times New Roman"/>
          <w:sz w:val="24"/>
          <w:szCs w:val="24"/>
        </w:rPr>
        <w:t xml:space="preserve"> trial judge Kate Paek, Criminal Court of the City of New York, denied the defense motion to dismiss the two misdemeanor counts “in the interest of justice.”  </w:t>
      </w:r>
      <w:hyperlink r:id="rId2046" w:history="1">
        <w:r w:rsidRPr="00412490">
          <w:rPr>
            <w:rStyle w:val="Hyperlink"/>
            <w:rFonts w:ascii="Times New Roman" w:hAnsi="Times New Roman"/>
            <w:sz w:val="24"/>
            <w:szCs w:val="24"/>
          </w:rPr>
          <w:t>https://law.justia.com/cases/new-york/other-courts/2019/2019-ny-slip-op-51419-u.html</w:t>
        </w:r>
      </w:hyperlink>
      <w:r w:rsidRPr="00412490">
        <w:rPr>
          <w:rFonts w:ascii="Times New Roman" w:hAnsi="Times New Roman"/>
          <w:sz w:val="24"/>
          <w:szCs w:val="24"/>
        </w:rPr>
        <w:t xml:space="preserve"> </w:t>
      </w:r>
    </w:p>
    <w:p w14:paraId="4452E726" w14:textId="77777777" w:rsidR="009F0F05" w:rsidRDefault="009F0F05" w:rsidP="009F0F05">
      <w:pPr>
        <w:ind w:firstLine="720"/>
        <w:rPr>
          <w:rFonts w:ascii="Times New Roman" w:hAnsi="Times New Roman"/>
          <w:sz w:val="24"/>
          <w:szCs w:val="24"/>
        </w:rPr>
      </w:pPr>
      <w:r>
        <w:rPr>
          <w:rFonts w:ascii="Times New Roman" w:hAnsi="Times New Roman"/>
          <w:sz w:val="24"/>
          <w:szCs w:val="24"/>
        </w:rPr>
        <w:t>The judge held:</w:t>
      </w:r>
    </w:p>
    <w:p w14:paraId="3B7A7419" w14:textId="77777777" w:rsidR="009F0F05" w:rsidRPr="00412490" w:rsidRDefault="009F0F05" w:rsidP="009F0F05">
      <w:pPr>
        <w:ind w:left="720"/>
        <w:rPr>
          <w:rFonts w:ascii="Times New Roman" w:hAnsi="Times New Roman"/>
          <w:sz w:val="24"/>
          <w:szCs w:val="24"/>
        </w:rPr>
      </w:pPr>
      <w:r>
        <w:rPr>
          <w:rFonts w:ascii="Times New Roman" w:hAnsi="Times New Roman"/>
          <w:sz w:val="24"/>
          <w:szCs w:val="24"/>
        </w:rPr>
        <w:t>“</w:t>
      </w:r>
      <w:r w:rsidRPr="00412490">
        <w:rPr>
          <w:rFonts w:ascii="Times New Roman" w:hAnsi="Times New Roman"/>
          <w:sz w:val="24"/>
          <w:szCs w:val="24"/>
        </w:rPr>
        <w:t xml:space="preserve">The defendant asserts that he will face discipline, including possible termination from the NYPD, if he is convicted of a misdemeanor DWI offense. He also states that he will face removal from the New York State Guard and could lose his license to work as an Emergency Medical Technician. Defense counsel asserts that these consequences would not only impact the defendant </w:t>
      </w:r>
      <w:proofErr w:type="gramStart"/>
      <w:r w:rsidRPr="00412490">
        <w:rPr>
          <w:rFonts w:ascii="Times New Roman" w:hAnsi="Times New Roman"/>
          <w:sz w:val="24"/>
          <w:szCs w:val="24"/>
        </w:rPr>
        <w:t>personally,</w:t>
      </w:r>
      <w:r>
        <w:rPr>
          <w:rFonts w:ascii="Times New Roman" w:hAnsi="Times New Roman"/>
          <w:sz w:val="24"/>
          <w:szCs w:val="24"/>
        </w:rPr>
        <w:t xml:space="preserve"> </w:t>
      </w:r>
      <w:r w:rsidRPr="00412490">
        <w:rPr>
          <w:rFonts w:ascii="Times New Roman" w:hAnsi="Times New Roman"/>
          <w:sz w:val="24"/>
          <w:szCs w:val="24"/>
        </w:rPr>
        <w:t>but</w:t>
      </w:r>
      <w:proofErr w:type="gramEnd"/>
      <w:r w:rsidRPr="00412490">
        <w:rPr>
          <w:rFonts w:ascii="Times New Roman" w:hAnsi="Times New Roman"/>
          <w:sz w:val="24"/>
          <w:szCs w:val="24"/>
        </w:rPr>
        <w:t xml:space="preserve"> would deprive the community of the defendant's service in those roles. The court is mindful of these potential collateral </w:t>
      </w:r>
      <w:proofErr w:type="gramStart"/>
      <w:r w:rsidRPr="00412490">
        <w:rPr>
          <w:rFonts w:ascii="Times New Roman" w:hAnsi="Times New Roman"/>
          <w:sz w:val="24"/>
          <w:szCs w:val="24"/>
        </w:rPr>
        <w:t>consequences, but</w:t>
      </w:r>
      <w:proofErr w:type="gramEnd"/>
      <w:r w:rsidRPr="00412490">
        <w:rPr>
          <w:rFonts w:ascii="Times New Roman" w:hAnsi="Times New Roman"/>
          <w:sz w:val="24"/>
          <w:szCs w:val="24"/>
        </w:rPr>
        <w:t xml:space="preserve"> finds that they do not mandate dismissal in this case.</w:t>
      </w:r>
      <w:r>
        <w:rPr>
          <w:rFonts w:ascii="Times New Roman" w:hAnsi="Times New Roman"/>
          <w:sz w:val="24"/>
          <w:szCs w:val="24"/>
        </w:rPr>
        <w:t>”</w:t>
      </w:r>
    </w:p>
    <w:p w14:paraId="0B547525" w14:textId="77777777" w:rsidR="009F0F05" w:rsidRDefault="009F0F05" w:rsidP="009F0F05">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job consequences of an emergency responder being convicted of driving while intoxicated can be very severe.  The case will now go to a jury, unless the police officer elects to have a “bench trial” or pleads guilty.   </w:t>
      </w:r>
    </w:p>
    <w:p w14:paraId="3DB632E9" w14:textId="77777777" w:rsidR="00E658E1" w:rsidRDefault="00E658E1" w:rsidP="00F326E5">
      <w:pPr>
        <w:rPr>
          <w:rFonts w:ascii="Arial Black" w:hAnsi="Arial Black"/>
          <w:b/>
          <w:sz w:val="24"/>
          <w:szCs w:val="24"/>
        </w:rPr>
      </w:pPr>
    </w:p>
    <w:p w14:paraId="3CC152EB" w14:textId="79E412E7" w:rsidR="00F326E5" w:rsidRDefault="00DE0F03" w:rsidP="00F326E5">
      <w:pPr>
        <w:rPr>
          <w:rFonts w:ascii="Arial Black" w:hAnsi="Arial Black"/>
          <w:sz w:val="40"/>
          <w:szCs w:val="40"/>
        </w:rPr>
      </w:pPr>
      <w:r>
        <w:rPr>
          <w:rFonts w:ascii="Arial Black" w:hAnsi="Arial Black"/>
          <w:b/>
          <w:sz w:val="24"/>
          <w:szCs w:val="24"/>
        </w:rPr>
        <w:t xml:space="preserve">12-1 </w:t>
      </w:r>
    </w:p>
    <w:p w14:paraId="5F96CBC6" w14:textId="174B8F51" w:rsidR="00F326E5" w:rsidRDefault="00F326E5" w:rsidP="00F326E5">
      <w:pPr>
        <w:pStyle w:val="NoSpacing"/>
        <w:rPr>
          <w:rFonts w:ascii="Arial Black" w:hAnsi="Arial Black"/>
          <w:sz w:val="28"/>
          <w:szCs w:val="28"/>
        </w:rPr>
      </w:pPr>
      <w:bookmarkStart w:id="430" w:name="_Hlk39772079"/>
      <w:bookmarkStart w:id="431" w:name="_Hlk7345754"/>
      <w:r w:rsidRPr="00541B0F">
        <w:rPr>
          <w:rFonts w:ascii="Arial Black" w:hAnsi="Arial Black"/>
          <w:b/>
          <w:sz w:val="28"/>
          <w:szCs w:val="28"/>
        </w:rPr>
        <w:t>MD</w:t>
      </w:r>
      <w:r>
        <w:rPr>
          <w:rFonts w:ascii="Arial Black" w:hAnsi="Arial Black"/>
          <w:b/>
          <w:sz w:val="28"/>
          <w:szCs w:val="28"/>
        </w:rPr>
        <w:t xml:space="preserve">: </w:t>
      </w:r>
      <w:r w:rsidRPr="00541B0F">
        <w:rPr>
          <w:rFonts w:ascii="Arial Black" w:hAnsi="Arial Black"/>
          <w:b/>
          <w:sz w:val="28"/>
          <w:szCs w:val="28"/>
        </w:rPr>
        <w:t>F</w:t>
      </w:r>
      <w:r>
        <w:rPr>
          <w:rFonts w:ascii="Arial Black" w:hAnsi="Arial Black"/>
          <w:b/>
          <w:sz w:val="28"/>
          <w:szCs w:val="28"/>
        </w:rPr>
        <w:t xml:space="preserve">F </w:t>
      </w:r>
      <w:r w:rsidRPr="00541B0F">
        <w:rPr>
          <w:rFonts w:ascii="Arial Black" w:hAnsi="Arial Black"/>
          <w:b/>
          <w:sz w:val="28"/>
          <w:szCs w:val="28"/>
        </w:rPr>
        <w:t>TERMINATED FOR ALCOHOL</w:t>
      </w:r>
      <w:r>
        <w:rPr>
          <w:rFonts w:ascii="Arial Black" w:hAnsi="Arial Black"/>
          <w:sz w:val="28"/>
          <w:szCs w:val="28"/>
        </w:rPr>
        <w:t xml:space="preserve"> – GIVEN SECOND CHANCE – PRE-TERMINATION HEARING</w:t>
      </w:r>
    </w:p>
    <w:p w14:paraId="09636522" w14:textId="77777777" w:rsidR="00E658E1" w:rsidRDefault="00F326E5" w:rsidP="00F326E5">
      <w:pPr>
        <w:pStyle w:val="NoSpacing"/>
        <w:rPr>
          <w:rFonts w:ascii="Times New Roman" w:hAnsi="Times New Roman"/>
          <w:sz w:val="24"/>
          <w:szCs w:val="24"/>
        </w:rPr>
      </w:pPr>
      <w:r w:rsidRPr="00E658E1">
        <w:rPr>
          <w:rFonts w:ascii="Times New Roman" w:hAnsi="Times New Roman"/>
          <w:sz w:val="24"/>
          <w:szCs w:val="24"/>
        </w:rPr>
        <w:t xml:space="preserve">On Oct. 19, 2018, in </w:t>
      </w:r>
      <w:r w:rsidRPr="00E658E1">
        <w:rPr>
          <w:rFonts w:ascii="Times New Roman" w:hAnsi="Times New Roman"/>
          <w:sz w:val="24"/>
          <w:szCs w:val="24"/>
          <w:u w:val="single"/>
        </w:rPr>
        <w:t>Darryl K. Lewis, Jr. v. City of Baltimore Civil Service Commission, et al</w:t>
      </w:r>
      <w:r w:rsidRPr="00E658E1">
        <w:rPr>
          <w:rFonts w:ascii="Times New Roman" w:hAnsi="Times New Roman"/>
          <w:sz w:val="24"/>
          <w:szCs w:val="24"/>
        </w:rPr>
        <w:t xml:space="preserve">, the Circuit Court for Baltimore City, held (3 to 0) in unreported decision that the firefighter was provided due process, affirming the Hearing Officer’s findings: </w:t>
      </w:r>
    </w:p>
    <w:p w14:paraId="2EBA2134" w14:textId="77777777" w:rsidR="00E658E1" w:rsidRDefault="00E658E1" w:rsidP="00F326E5">
      <w:pPr>
        <w:pStyle w:val="NoSpacing"/>
        <w:rPr>
          <w:rFonts w:ascii="Times New Roman" w:hAnsi="Times New Roman"/>
          <w:sz w:val="24"/>
          <w:szCs w:val="24"/>
        </w:rPr>
      </w:pPr>
    </w:p>
    <w:p w14:paraId="371452EE" w14:textId="452B71D0" w:rsidR="00F326E5" w:rsidRPr="00E658E1" w:rsidRDefault="00F326E5" w:rsidP="00E658E1">
      <w:pPr>
        <w:pStyle w:val="NoSpacing"/>
        <w:ind w:left="720"/>
        <w:rPr>
          <w:rFonts w:ascii="Times New Roman" w:eastAsia="Times New Roman" w:hAnsi="Times New Roman"/>
          <w:sz w:val="24"/>
          <w:szCs w:val="24"/>
        </w:rPr>
      </w:pPr>
      <w:r w:rsidRPr="00E658E1">
        <w:rPr>
          <w:rFonts w:ascii="Times New Roman" w:hAnsi="Times New Roman"/>
          <w:sz w:val="24"/>
          <w:szCs w:val="24"/>
        </w:rPr>
        <w:t>“</w:t>
      </w:r>
      <w:r w:rsidRPr="00E658E1">
        <w:rPr>
          <w:rFonts w:ascii="Times New Roman" w:eastAsia="Times New Roman" w:hAnsi="Times New Roman"/>
          <w:sz w:val="24"/>
          <w:szCs w:val="24"/>
        </w:rPr>
        <w:t xml:space="preserve">The Hearing Officer’s Recommendation states, ‘Procedural due process was afforded in that Lewis received notice of the underlying charges and an opportunity to be heard at a pre-termination hearing. He received sufficient notification of the outcome of that hearing and was advised of his right to this investigation.’” </w:t>
      </w:r>
      <w:hyperlink r:id="rId2047" w:history="1">
        <w:r w:rsidRPr="00E658E1">
          <w:rPr>
            <w:rStyle w:val="Hyperlink"/>
            <w:rFonts w:ascii="Times New Roman" w:hAnsi="Times New Roman"/>
            <w:sz w:val="24"/>
            <w:szCs w:val="24"/>
          </w:rPr>
          <w:t>https://www.courts.state.md.us/sites/default/files/unreported-opinions/2605s16.pdf</w:t>
        </w:r>
      </w:hyperlink>
      <w:r w:rsidRPr="00E658E1">
        <w:rPr>
          <w:rFonts w:ascii="Times New Roman" w:eastAsia="Times New Roman" w:hAnsi="Times New Roman"/>
          <w:sz w:val="24"/>
          <w:szCs w:val="24"/>
        </w:rPr>
        <w:t xml:space="preserve"> </w:t>
      </w:r>
    </w:p>
    <w:p w14:paraId="4E968E6B" w14:textId="77777777" w:rsidR="00E658E1" w:rsidRDefault="00E658E1" w:rsidP="00F326E5">
      <w:pPr>
        <w:pStyle w:val="NoSpacing"/>
        <w:rPr>
          <w:rFonts w:ascii="Times New Roman" w:hAnsi="Times New Roman"/>
          <w:b/>
          <w:sz w:val="24"/>
          <w:szCs w:val="24"/>
        </w:rPr>
      </w:pPr>
    </w:p>
    <w:p w14:paraId="21BE52CC" w14:textId="3494E15D" w:rsidR="00F326E5" w:rsidRPr="00E658E1" w:rsidRDefault="00F326E5" w:rsidP="00F326E5">
      <w:pPr>
        <w:pStyle w:val="NoSpacing"/>
        <w:rPr>
          <w:rFonts w:ascii="Times New Roman" w:hAnsi="Times New Roman"/>
          <w:b/>
          <w:sz w:val="24"/>
          <w:szCs w:val="24"/>
        </w:rPr>
      </w:pPr>
      <w:bookmarkStart w:id="432" w:name="_Hlk40513865"/>
      <w:bookmarkEnd w:id="430"/>
      <w:r w:rsidRPr="00E658E1">
        <w:rPr>
          <w:rFonts w:ascii="Times New Roman" w:hAnsi="Times New Roman"/>
          <w:b/>
          <w:sz w:val="24"/>
          <w:szCs w:val="24"/>
        </w:rPr>
        <w:t xml:space="preserve">Legal Lesson Learned: “After Care Contracts” and other forms of last chance agreements are enforceable, and procedural due process rights were followed in this case.   </w:t>
      </w:r>
    </w:p>
    <w:p w14:paraId="79D791FF" w14:textId="0B8F9210" w:rsidR="000F0910" w:rsidRPr="00E658E1" w:rsidRDefault="00F326E5" w:rsidP="00E71BA9">
      <w:pPr>
        <w:pStyle w:val="NoSpacing"/>
        <w:ind w:left="720"/>
        <w:rPr>
          <w:rFonts w:ascii="Times New Roman" w:hAnsi="Times New Roman"/>
          <w:sz w:val="24"/>
          <w:szCs w:val="24"/>
        </w:rPr>
      </w:pPr>
      <w:r w:rsidRPr="00E658E1">
        <w:rPr>
          <w:rFonts w:ascii="Times New Roman" w:hAnsi="Times New Roman"/>
          <w:sz w:val="24"/>
          <w:szCs w:val="24"/>
        </w:rPr>
        <w:t>Note:  Consider in such agreements a requirement that the employee enroll in a continuing care program</w:t>
      </w:r>
      <w:bookmarkEnd w:id="431"/>
      <w:bookmarkEnd w:id="432"/>
      <w:r w:rsidR="00E71BA9">
        <w:rPr>
          <w:rFonts w:ascii="Times New Roman" w:hAnsi="Times New Roman"/>
          <w:sz w:val="24"/>
          <w:szCs w:val="24"/>
        </w:rPr>
        <w:t>.</w:t>
      </w:r>
    </w:p>
    <w:p w14:paraId="10F8BFED" w14:textId="77777777" w:rsidR="000F0910" w:rsidRDefault="000F0910" w:rsidP="00F326E5">
      <w:pPr>
        <w:pStyle w:val="NoSpacing"/>
        <w:rPr>
          <w:rFonts w:ascii="Arial Black" w:hAnsi="Arial Black"/>
          <w:sz w:val="40"/>
          <w:szCs w:val="40"/>
        </w:rPr>
      </w:pPr>
    </w:p>
    <w:p w14:paraId="4E25EFB5" w14:textId="2D2AEA7B" w:rsidR="00FA7B26" w:rsidRDefault="00FA7B26">
      <w:pPr>
        <w:spacing w:after="0" w:line="240" w:lineRule="auto"/>
        <w:rPr>
          <w:rFonts w:ascii="Arial Black" w:hAnsi="Arial Black"/>
          <w:sz w:val="40"/>
          <w:szCs w:val="40"/>
        </w:rPr>
      </w:pPr>
      <w:r>
        <w:rPr>
          <w:rFonts w:ascii="Arial Black" w:hAnsi="Arial Black"/>
          <w:sz w:val="40"/>
          <w:szCs w:val="40"/>
        </w:rPr>
        <w:br w:type="page"/>
      </w:r>
    </w:p>
    <w:p w14:paraId="18E891B7" w14:textId="77777777" w:rsidR="00FA7B26" w:rsidRDefault="00FA7B26" w:rsidP="00F326E5">
      <w:pPr>
        <w:pStyle w:val="NoSpacing"/>
        <w:rPr>
          <w:rFonts w:ascii="Arial Black" w:hAnsi="Arial Black"/>
          <w:sz w:val="40"/>
          <w:szCs w:val="40"/>
        </w:rPr>
      </w:pPr>
    </w:p>
    <w:p w14:paraId="6111C988" w14:textId="77777777" w:rsidR="00F55DAF" w:rsidRDefault="00F55DAF" w:rsidP="00F326E5">
      <w:pPr>
        <w:pStyle w:val="NoSpacing"/>
        <w:rPr>
          <w:rFonts w:ascii="Arial Black" w:hAnsi="Arial Black"/>
          <w:sz w:val="40"/>
          <w:szCs w:val="40"/>
        </w:rPr>
      </w:pPr>
    </w:p>
    <w:p w14:paraId="3485BFB7" w14:textId="77777777" w:rsidR="00F55DAF" w:rsidRDefault="00F55DAF" w:rsidP="00F326E5">
      <w:pPr>
        <w:pStyle w:val="NoSpacing"/>
        <w:rPr>
          <w:rFonts w:ascii="Arial Black" w:hAnsi="Arial Black"/>
          <w:sz w:val="40"/>
          <w:szCs w:val="40"/>
        </w:rPr>
      </w:pPr>
    </w:p>
    <w:p w14:paraId="6CFCB04B" w14:textId="77777777" w:rsidR="00F55DAF" w:rsidRDefault="00F55DAF" w:rsidP="00F326E5">
      <w:pPr>
        <w:pStyle w:val="NoSpacing"/>
        <w:rPr>
          <w:rFonts w:ascii="Arial Black" w:hAnsi="Arial Black"/>
          <w:sz w:val="40"/>
          <w:szCs w:val="40"/>
        </w:rPr>
      </w:pPr>
    </w:p>
    <w:p w14:paraId="78BB6FB3" w14:textId="77777777" w:rsidR="00F55DAF" w:rsidRDefault="00F55DAF" w:rsidP="00F326E5">
      <w:pPr>
        <w:pStyle w:val="NoSpacing"/>
        <w:rPr>
          <w:rFonts w:ascii="Arial Black" w:hAnsi="Arial Black"/>
          <w:sz w:val="40"/>
          <w:szCs w:val="40"/>
        </w:rPr>
      </w:pPr>
    </w:p>
    <w:p w14:paraId="60750650" w14:textId="77777777" w:rsidR="00F55DAF" w:rsidRDefault="00F55DAF" w:rsidP="00F326E5">
      <w:pPr>
        <w:pStyle w:val="NoSpacing"/>
        <w:rPr>
          <w:rFonts w:ascii="Arial Black" w:hAnsi="Arial Black"/>
          <w:sz w:val="40"/>
          <w:szCs w:val="40"/>
        </w:rPr>
      </w:pPr>
    </w:p>
    <w:p w14:paraId="3FE3F119" w14:textId="77777777" w:rsidR="00F55DAF" w:rsidRDefault="00F55DAF" w:rsidP="00F326E5">
      <w:pPr>
        <w:pStyle w:val="NoSpacing"/>
        <w:rPr>
          <w:rFonts w:ascii="Arial Black" w:hAnsi="Arial Black"/>
          <w:sz w:val="40"/>
          <w:szCs w:val="40"/>
        </w:rPr>
      </w:pPr>
    </w:p>
    <w:p w14:paraId="2687991C" w14:textId="77777777" w:rsidR="00F55DAF" w:rsidRDefault="00F55DAF" w:rsidP="00F326E5">
      <w:pPr>
        <w:pStyle w:val="NoSpacing"/>
        <w:rPr>
          <w:rFonts w:ascii="Arial Black" w:hAnsi="Arial Black"/>
          <w:sz w:val="40"/>
          <w:szCs w:val="40"/>
        </w:rPr>
      </w:pPr>
    </w:p>
    <w:p w14:paraId="789B827A" w14:textId="77777777" w:rsidR="00F55DAF" w:rsidRDefault="00F55DAF" w:rsidP="00F326E5">
      <w:pPr>
        <w:pStyle w:val="NoSpacing"/>
        <w:rPr>
          <w:rFonts w:ascii="Arial Black" w:hAnsi="Arial Black"/>
          <w:sz w:val="40"/>
          <w:szCs w:val="40"/>
        </w:rPr>
      </w:pPr>
    </w:p>
    <w:p w14:paraId="1A35755D" w14:textId="77777777" w:rsidR="00F55DAF" w:rsidRDefault="00F55DAF" w:rsidP="00F326E5">
      <w:pPr>
        <w:pStyle w:val="NoSpacing"/>
        <w:rPr>
          <w:rFonts w:ascii="Arial Black" w:hAnsi="Arial Black"/>
          <w:sz w:val="40"/>
          <w:szCs w:val="40"/>
        </w:rPr>
      </w:pPr>
    </w:p>
    <w:p w14:paraId="3D7E24F4" w14:textId="77777777" w:rsidR="00F55DAF" w:rsidRDefault="00F55DAF" w:rsidP="00F326E5">
      <w:pPr>
        <w:pStyle w:val="NoSpacing"/>
        <w:rPr>
          <w:rFonts w:ascii="Arial Black" w:hAnsi="Arial Black"/>
          <w:sz w:val="40"/>
          <w:szCs w:val="40"/>
        </w:rPr>
      </w:pPr>
    </w:p>
    <w:p w14:paraId="17A4E84A" w14:textId="77777777" w:rsidR="00F55DAF" w:rsidRDefault="00F55DAF" w:rsidP="00F326E5">
      <w:pPr>
        <w:pStyle w:val="NoSpacing"/>
        <w:rPr>
          <w:rFonts w:ascii="Arial Black" w:hAnsi="Arial Black"/>
          <w:sz w:val="40"/>
          <w:szCs w:val="40"/>
        </w:rPr>
      </w:pPr>
    </w:p>
    <w:p w14:paraId="63E1950E" w14:textId="77777777" w:rsidR="00F55DAF" w:rsidRDefault="00F55DAF" w:rsidP="00F326E5">
      <w:pPr>
        <w:pStyle w:val="NoSpacing"/>
        <w:rPr>
          <w:rFonts w:ascii="Arial Black" w:hAnsi="Arial Black"/>
          <w:sz w:val="40"/>
          <w:szCs w:val="40"/>
        </w:rPr>
      </w:pPr>
    </w:p>
    <w:p w14:paraId="4D80508A" w14:textId="77777777" w:rsidR="00F55DAF" w:rsidRDefault="00F55DAF" w:rsidP="00F326E5">
      <w:pPr>
        <w:pStyle w:val="NoSpacing"/>
        <w:rPr>
          <w:rFonts w:ascii="Arial Black" w:hAnsi="Arial Black"/>
          <w:sz w:val="40"/>
          <w:szCs w:val="40"/>
        </w:rPr>
      </w:pPr>
    </w:p>
    <w:p w14:paraId="36A8EC93" w14:textId="77777777" w:rsidR="00F55DAF" w:rsidRDefault="00F55DAF" w:rsidP="00F326E5">
      <w:pPr>
        <w:pStyle w:val="NoSpacing"/>
        <w:rPr>
          <w:rFonts w:ascii="Arial Black" w:hAnsi="Arial Black"/>
          <w:sz w:val="40"/>
          <w:szCs w:val="40"/>
        </w:rPr>
      </w:pPr>
    </w:p>
    <w:p w14:paraId="5A63D56B" w14:textId="77777777" w:rsidR="00F55DAF" w:rsidRDefault="00F55DAF" w:rsidP="00F326E5">
      <w:pPr>
        <w:pStyle w:val="NoSpacing"/>
        <w:rPr>
          <w:rFonts w:ascii="Arial Black" w:hAnsi="Arial Black"/>
          <w:sz w:val="40"/>
          <w:szCs w:val="40"/>
        </w:rPr>
      </w:pPr>
    </w:p>
    <w:p w14:paraId="5528F68C" w14:textId="77777777" w:rsidR="00F55DAF" w:rsidRDefault="00F55DAF" w:rsidP="00F326E5">
      <w:pPr>
        <w:pStyle w:val="NoSpacing"/>
        <w:rPr>
          <w:rFonts w:ascii="Arial Black" w:hAnsi="Arial Black"/>
          <w:sz w:val="40"/>
          <w:szCs w:val="40"/>
        </w:rPr>
      </w:pPr>
    </w:p>
    <w:p w14:paraId="232EF1FE" w14:textId="77777777" w:rsidR="00F55DAF" w:rsidRDefault="00F55DAF" w:rsidP="00F326E5">
      <w:pPr>
        <w:pStyle w:val="NoSpacing"/>
        <w:rPr>
          <w:rFonts w:ascii="Arial Black" w:hAnsi="Arial Black"/>
          <w:sz w:val="40"/>
          <w:szCs w:val="40"/>
        </w:rPr>
      </w:pPr>
    </w:p>
    <w:p w14:paraId="1D239E1D" w14:textId="77777777" w:rsidR="00F55DAF" w:rsidRDefault="00F55DAF" w:rsidP="00F326E5">
      <w:pPr>
        <w:pStyle w:val="NoSpacing"/>
        <w:rPr>
          <w:rFonts w:ascii="Arial Black" w:hAnsi="Arial Black"/>
          <w:sz w:val="40"/>
          <w:szCs w:val="40"/>
        </w:rPr>
      </w:pPr>
    </w:p>
    <w:p w14:paraId="08195DF4" w14:textId="77777777" w:rsidR="00F55DAF" w:rsidRDefault="00F55DAF" w:rsidP="00F326E5">
      <w:pPr>
        <w:pStyle w:val="NoSpacing"/>
        <w:rPr>
          <w:rFonts w:ascii="Arial Black" w:hAnsi="Arial Black"/>
          <w:sz w:val="40"/>
          <w:szCs w:val="40"/>
        </w:rPr>
      </w:pPr>
    </w:p>
    <w:p w14:paraId="44C48805" w14:textId="77777777" w:rsidR="00F55DAF" w:rsidRDefault="00F55DAF" w:rsidP="00F326E5">
      <w:pPr>
        <w:pStyle w:val="NoSpacing"/>
        <w:rPr>
          <w:rFonts w:ascii="Arial Black" w:hAnsi="Arial Black"/>
          <w:sz w:val="40"/>
          <w:szCs w:val="40"/>
        </w:rPr>
      </w:pPr>
    </w:p>
    <w:p w14:paraId="00C8AFA0" w14:textId="77777777" w:rsidR="00F55DAF" w:rsidRDefault="00F55DAF" w:rsidP="00F326E5">
      <w:pPr>
        <w:pStyle w:val="NoSpacing"/>
        <w:rPr>
          <w:rFonts w:ascii="Arial Black" w:hAnsi="Arial Black"/>
          <w:sz w:val="40"/>
          <w:szCs w:val="40"/>
        </w:rPr>
      </w:pPr>
    </w:p>
    <w:p w14:paraId="3E3744A8" w14:textId="77777777" w:rsidR="00F55DAF" w:rsidRDefault="00F55DAF" w:rsidP="00F326E5">
      <w:pPr>
        <w:pStyle w:val="NoSpacing"/>
        <w:rPr>
          <w:rFonts w:ascii="Arial Black" w:hAnsi="Arial Black"/>
          <w:sz w:val="40"/>
          <w:szCs w:val="40"/>
        </w:rPr>
      </w:pPr>
    </w:p>
    <w:p w14:paraId="7FE0DA20" w14:textId="77777777" w:rsidR="00F55DAF" w:rsidRDefault="00F55DAF" w:rsidP="00F326E5">
      <w:pPr>
        <w:pStyle w:val="NoSpacing"/>
        <w:rPr>
          <w:rFonts w:ascii="Arial Black" w:hAnsi="Arial Black"/>
          <w:sz w:val="40"/>
          <w:szCs w:val="40"/>
        </w:rPr>
      </w:pPr>
    </w:p>
    <w:p w14:paraId="50B99505" w14:textId="6951BD87" w:rsidR="00F326E5" w:rsidRDefault="00F326E5" w:rsidP="00F326E5">
      <w:pPr>
        <w:pStyle w:val="NoSpacing"/>
        <w:rPr>
          <w:rFonts w:ascii="Arial Black" w:hAnsi="Arial Black"/>
          <w:sz w:val="40"/>
          <w:szCs w:val="40"/>
        </w:rPr>
      </w:pPr>
      <w:r w:rsidRPr="007732FA">
        <w:rPr>
          <w:rFonts w:ascii="Arial Black" w:hAnsi="Arial Black"/>
          <w:sz w:val="40"/>
          <w:szCs w:val="40"/>
        </w:rPr>
        <w:t>Chap. 13</w:t>
      </w:r>
      <w:r w:rsidRPr="007732FA">
        <w:rPr>
          <w:rFonts w:ascii="Arial Black" w:hAnsi="Arial Black"/>
          <w:sz w:val="40"/>
          <w:szCs w:val="40"/>
        </w:rPr>
        <w:tab/>
        <w:t>EMS</w:t>
      </w:r>
      <w:r w:rsidR="003F660F">
        <w:rPr>
          <w:rFonts w:ascii="Arial Black" w:hAnsi="Arial Black"/>
          <w:sz w:val="40"/>
          <w:szCs w:val="40"/>
        </w:rPr>
        <w:t xml:space="preserve">, including </w:t>
      </w:r>
      <w:r w:rsidR="00636395">
        <w:rPr>
          <w:rFonts w:ascii="Arial Black" w:hAnsi="Arial Black"/>
          <w:sz w:val="40"/>
          <w:szCs w:val="40"/>
        </w:rPr>
        <w:t>Community Paramedicine</w:t>
      </w:r>
      <w:r w:rsidR="003F660F">
        <w:rPr>
          <w:rFonts w:ascii="Arial Black" w:hAnsi="Arial Black"/>
          <w:sz w:val="40"/>
          <w:szCs w:val="40"/>
        </w:rPr>
        <w:t>, Corona Virus</w:t>
      </w:r>
      <w:r w:rsidRPr="007732FA">
        <w:rPr>
          <w:rFonts w:ascii="Arial Black" w:hAnsi="Arial Black"/>
          <w:sz w:val="40"/>
          <w:szCs w:val="40"/>
        </w:rPr>
        <w:tab/>
      </w:r>
    </w:p>
    <w:p w14:paraId="4145B648" w14:textId="77777777" w:rsidR="00AC1F80" w:rsidRDefault="00AC1F80" w:rsidP="002B1283">
      <w:pPr>
        <w:rPr>
          <w:rFonts w:ascii="Arial Black" w:hAnsi="Arial Black"/>
          <w:b/>
          <w:bCs/>
          <w:sz w:val="28"/>
          <w:szCs w:val="28"/>
        </w:rPr>
      </w:pPr>
      <w:bookmarkStart w:id="433" w:name="_Hlk7346153"/>
    </w:p>
    <w:p w14:paraId="1289A04C" w14:textId="4A4CF56E" w:rsidR="00C63F54" w:rsidRDefault="00C63F54" w:rsidP="00C63F54">
      <w:pPr>
        <w:rPr>
          <w:rFonts w:ascii="Arial Black" w:hAnsi="Arial Black"/>
          <w:sz w:val="28"/>
          <w:szCs w:val="28"/>
        </w:rPr>
      </w:pPr>
      <w:r>
        <w:rPr>
          <w:rFonts w:ascii="Arial Black" w:hAnsi="Arial Black"/>
          <w:b/>
          <w:bCs/>
          <w:sz w:val="28"/>
          <w:szCs w:val="28"/>
        </w:rPr>
        <w:t>13-27</w:t>
      </w:r>
      <w:r>
        <w:rPr>
          <w:rFonts w:ascii="Arial Black" w:hAnsi="Arial Black"/>
          <w:b/>
          <w:bCs/>
          <w:sz w:val="28"/>
          <w:szCs w:val="28"/>
        </w:rPr>
        <w:t>8</w:t>
      </w:r>
    </w:p>
    <w:p w14:paraId="0FF5F255" w14:textId="77777777" w:rsidR="00C63F54" w:rsidRDefault="00C63F54" w:rsidP="009857A7">
      <w:pPr>
        <w:pStyle w:val="NoSpacing"/>
        <w:rPr>
          <w:rFonts w:ascii="Arial Black" w:hAnsi="Arial Black"/>
          <w:sz w:val="28"/>
          <w:szCs w:val="28"/>
        </w:rPr>
      </w:pPr>
    </w:p>
    <w:p w14:paraId="4F6ED607" w14:textId="44D73AC2" w:rsidR="009857A7" w:rsidRPr="00AD1CD4" w:rsidRDefault="009857A7" w:rsidP="009857A7">
      <w:pPr>
        <w:pStyle w:val="NoSpacing"/>
        <w:rPr>
          <w:rFonts w:ascii="Arial Black" w:hAnsi="Arial Black"/>
          <w:sz w:val="28"/>
          <w:szCs w:val="28"/>
        </w:rPr>
      </w:pPr>
      <w:r>
        <w:rPr>
          <w:rFonts w:ascii="Arial Black" w:hAnsi="Arial Black"/>
          <w:sz w:val="28"/>
          <w:szCs w:val="28"/>
        </w:rPr>
        <w:t>NY: BIRTH TWINS - 10 MIN PROTOCOL – DENIED IMMUNITY</w:t>
      </w:r>
    </w:p>
    <w:p w14:paraId="6A15B5C3" w14:textId="77777777" w:rsidR="009857A7" w:rsidRDefault="009857A7" w:rsidP="009857A7">
      <w:pPr>
        <w:pStyle w:val="NoSpacing"/>
      </w:pPr>
    </w:p>
    <w:p w14:paraId="5DEAF745" w14:textId="77777777" w:rsidR="009857A7" w:rsidRPr="0044559D" w:rsidRDefault="009857A7" w:rsidP="009857A7">
      <w:r>
        <w:t xml:space="preserve">On September 22, 2026, in </w:t>
      </w:r>
      <w:r w:rsidRPr="009E47A4">
        <w:rPr>
          <w:u w:val="single"/>
        </w:rPr>
        <w:t>I.M., an Infant by his Parent and Natural Guardian, Denise Bryant, et al. v. The City of New York and Empress Ambulance Service, LLC</w:t>
      </w:r>
      <w:r w:rsidRPr="009E47A4">
        <w:t>,</w:t>
      </w:r>
      <w:r>
        <w:t xml:space="preserve"> the </w:t>
      </w:r>
      <w:r w:rsidRPr="005E1F15">
        <w:t>Supreme Court of New York, First Department</w:t>
      </w:r>
      <w:r>
        <w:t xml:space="preserve"> held (4 to 1) that the trial court properly denied the City’s motion to dismiss.  “</w:t>
      </w:r>
      <w:r w:rsidRPr="00BF4F2C">
        <w:t>We agree with Supreme Court that issues of fact remain as to whether the EMTs correctly followed the REMAC protocols and whether their decisions were discretionary.</w:t>
      </w:r>
      <w:r>
        <w:t>” … “</w:t>
      </w:r>
      <w:r w:rsidRPr="00BD7F6B">
        <w:t>Although the record does not contain any explicit evidence that the EMTs knew their inaction could lead to harm, plaintiffs may prove this element by circumstantial evidence as to what the EMTs should have known at the time that they responded to Bryant's 911 call</w:t>
      </w:r>
      <w:r>
        <w:t xml:space="preserve">.”  </w:t>
      </w:r>
      <w:hyperlink r:id="rId2048" w:history="1">
        <w:r w:rsidRPr="00827AD7">
          <w:rPr>
            <w:rStyle w:val="Hyperlink"/>
          </w:rPr>
          <w:t>https://law.justia.com/cases/new-york/appellate-division-first-department/2026/index-no-814899-21-appeal-no-6960-case-no-2025-06945.html</w:t>
        </w:r>
      </w:hyperlink>
      <w:r w:rsidRPr="0044559D">
        <w:t xml:space="preserve"> </w:t>
      </w:r>
    </w:p>
    <w:p w14:paraId="1A1CEE75" w14:textId="77777777" w:rsidR="009857A7" w:rsidRDefault="009857A7" w:rsidP="009857A7">
      <w:pPr>
        <w:pStyle w:val="NoSpacing"/>
      </w:pPr>
      <w:r>
        <w:t>THE COURT WROTE:</w:t>
      </w:r>
    </w:p>
    <w:p w14:paraId="62F4B08E" w14:textId="77777777" w:rsidR="009857A7" w:rsidRDefault="009857A7" w:rsidP="009857A7">
      <w:pPr>
        <w:pStyle w:val="NoSpacing"/>
      </w:pPr>
      <w:r>
        <w:tab/>
      </w:r>
    </w:p>
    <w:p w14:paraId="60261E50" w14:textId="77777777" w:rsidR="009857A7" w:rsidRDefault="009857A7" w:rsidP="009857A7">
      <w:pPr>
        <w:ind w:left="720"/>
      </w:pPr>
      <w:r>
        <w:t xml:space="preserve">“The </w:t>
      </w:r>
      <w:r w:rsidRPr="00AC4687">
        <w:t>Regional Emergency Medical Advisory Committee (REMAC) protocols, which govern emergency medical services in New York City</w:t>
      </w:r>
      <w:r>
        <w:t xml:space="preserve">, provides: </w:t>
      </w:r>
    </w:p>
    <w:p w14:paraId="3165BE07" w14:textId="77777777" w:rsidR="009857A7" w:rsidRDefault="009857A7" w:rsidP="009857A7">
      <w:pPr>
        <w:pStyle w:val="NoSpacing"/>
        <w:ind w:left="1440"/>
      </w:pPr>
      <w:r w:rsidRPr="00A62DE4">
        <w:t xml:space="preserve">Under the REMAC protocols, when responding to a call involving multiple births, the EMTs are to </w:t>
      </w:r>
      <w:r>
        <w:t>“</w:t>
      </w:r>
      <w:r w:rsidRPr="00A62DE4">
        <w:t>(1) [d]</w:t>
      </w:r>
      <w:proofErr w:type="spellStart"/>
      <w:r w:rsidRPr="00A62DE4">
        <w:t>eliver</w:t>
      </w:r>
      <w:proofErr w:type="spellEnd"/>
      <w:r w:rsidRPr="00A62DE4">
        <w:t xml:space="preserve"> each multiple birth according to the protocol for emergency childbirth, making sure to tie each umbilical cord between births</w:t>
      </w:r>
      <w:r>
        <w:t>”</w:t>
      </w:r>
      <w:r w:rsidRPr="00A62DE4">
        <w:t xml:space="preserve">; </w:t>
      </w:r>
      <w:r>
        <w:t>“</w:t>
      </w:r>
      <w:r w:rsidRPr="00A62DE4">
        <w:t>(2) [c]lamp and cut the cord of the first neonate prior to the next birth</w:t>
      </w:r>
      <w:r>
        <w:t>”</w:t>
      </w:r>
      <w:r w:rsidRPr="00A62DE4">
        <w:t>; and</w:t>
      </w:r>
      <w:r>
        <w:t>”‘</w:t>
      </w:r>
      <w:r w:rsidRPr="00A62DE4">
        <w:t>(3) [</w:t>
      </w:r>
      <w:proofErr w:type="spellStart"/>
      <w:r w:rsidRPr="00A62DE4">
        <w:t>i</w:t>
      </w:r>
      <w:proofErr w:type="spellEnd"/>
      <w:r w:rsidRPr="00A62DE4">
        <w:t>]f the second birth does not occur within 10 minutes, begin transport.</w:t>
      </w:r>
      <w:r>
        <w:t xml:space="preserve">” </w:t>
      </w:r>
    </w:p>
    <w:p w14:paraId="2737D9A7" w14:textId="77777777" w:rsidR="009857A7" w:rsidRDefault="009857A7" w:rsidP="009857A7">
      <w:pPr>
        <w:pStyle w:val="NoSpacing"/>
        <w:ind w:left="720"/>
      </w:pPr>
      <w:r>
        <w:t>***</w:t>
      </w:r>
    </w:p>
    <w:p w14:paraId="24A59D9B" w14:textId="77777777" w:rsidR="009857A7" w:rsidRDefault="009857A7" w:rsidP="009857A7">
      <w:pPr>
        <w:pStyle w:val="NoSpacing"/>
        <w:ind w:left="720"/>
      </w:pPr>
    </w:p>
    <w:p w14:paraId="009C1728" w14:textId="77777777" w:rsidR="009857A7" w:rsidRDefault="009857A7" w:rsidP="009857A7">
      <w:pPr>
        <w:pStyle w:val="NoSpacing"/>
        <w:ind w:left="720"/>
      </w:pPr>
      <w:r w:rsidRPr="00D17F8C">
        <w:t xml:space="preserve">This medical malpractice action stems from defendants' alleged negligence during infant plaintiff I.M.'s birth. On June 26, 2020, plaintiff Denise Bryant learned that she was pregnant with twins. In the early morning hours of August 30, 2020, at approximately 2 a.m., Bryant went into labor and called 911. EMTs from </w:t>
      </w:r>
      <w:proofErr w:type="gramStart"/>
      <w:r w:rsidRPr="00D17F8C">
        <w:t>the FDNY</w:t>
      </w:r>
      <w:proofErr w:type="gramEnd"/>
      <w:r w:rsidRPr="00D17F8C">
        <w:t xml:space="preserve"> arrived at 2:04 a.m. The first twin, E.M., was delivered at 2:10 a.m., shortly after arrival of the EMTs. Paramedics from Empress arrived at the scene at approximately 2:14 a.m. The parties and witnesses disagree about the events and conversations that took place after 2:10 a.m. The EMTs and the Empress paramedics ultimately transported Bryant and E.M. to North Central Bronx Hospital, where Bryant delivered I.M. at approximately 2:50 a.m. I.M. was immediately transferred to the neonatal intensive care unit where doctors determined that he suffered from multiple birth defects, including hypoxic ischemic encephalopathy, a brain injury caused from insufficient oxygen in utero.</w:t>
      </w:r>
    </w:p>
    <w:p w14:paraId="7F3116D2" w14:textId="77777777" w:rsidR="009857A7" w:rsidRDefault="009857A7" w:rsidP="009857A7">
      <w:pPr>
        <w:pStyle w:val="NoSpacing"/>
        <w:ind w:left="720"/>
      </w:pPr>
    </w:p>
    <w:p w14:paraId="19456676" w14:textId="77777777" w:rsidR="009857A7" w:rsidRDefault="009857A7" w:rsidP="009857A7">
      <w:pPr>
        <w:pStyle w:val="NoSpacing"/>
        <w:ind w:left="720"/>
      </w:pPr>
      <w:r w:rsidRPr="009255F3">
        <w:t xml:space="preserve">Plaintiffs sued Empress and the City, alleging that defendants deviated from good and accepted practice by failing to deliver I.M. either in Bryant's home or in the ambulance, and by either instructing Bryant not to push or failing to instruct her to push. They further alleged that these deviations delayed I.M.'s delivery, causing serious injuries to the infant and loss of chance at a better outcome. </w:t>
      </w:r>
    </w:p>
    <w:p w14:paraId="167878BD" w14:textId="77777777" w:rsidR="009857A7" w:rsidRDefault="009857A7" w:rsidP="009857A7">
      <w:pPr>
        <w:pStyle w:val="NoSpacing"/>
        <w:ind w:left="720"/>
      </w:pPr>
    </w:p>
    <w:p w14:paraId="26BCA328" w14:textId="77777777" w:rsidR="009857A7" w:rsidRDefault="009857A7" w:rsidP="009857A7">
      <w:pPr>
        <w:pStyle w:val="NoSpacing"/>
        <w:ind w:left="720"/>
        <w:rPr>
          <w:rFonts w:ascii="Arial Black" w:hAnsi="Arial Black"/>
          <w:sz w:val="28"/>
          <w:szCs w:val="28"/>
        </w:rPr>
      </w:pPr>
      <w:r>
        <w:t>***</w:t>
      </w:r>
    </w:p>
    <w:p w14:paraId="2DCC0DB9" w14:textId="77777777" w:rsidR="009857A7" w:rsidRDefault="009857A7" w:rsidP="009857A7">
      <w:pPr>
        <w:pStyle w:val="NoSpacing"/>
        <w:ind w:left="720"/>
      </w:pPr>
      <w:r w:rsidRPr="00BD7F6B">
        <w:t>Supreme Court correctly held that there are issues of fact as to whether the EMTs who first responded to Bryant's 911 call knew that their inaction - specifically, instructing Bryant not to push, and not attempting to deliver I.M. in Bryant's home - could lead to harm, and thus whether the City owed plaintiffs a special duty</w:t>
      </w:r>
      <w:r>
        <w:t xml:space="preserve">…. </w:t>
      </w:r>
      <w:r w:rsidRPr="00BD7F6B">
        <w:t xml:space="preserve"> The EMTs both testified that they were aware of the applicable Regional Emergency Medical Advisory Committee (REMAC) protocols, which govern emergency medical services in New York City. The parties' competing expert opinions as to what the EMTs were required to do in accordance with those protocols raise an issue of fact as to the EMTs' knowledge at the time of the underlying events (</w:t>
      </w:r>
      <w:r w:rsidRPr="00BD7F6B">
        <w:rPr>
          <w:i/>
          <w:iCs/>
        </w:rPr>
        <w:t xml:space="preserve">see e.g. </w:t>
      </w:r>
      <w:proofErr w:type="spellStart"/>
      <w:r w:rsidRPr="00BD7F6B">
        <w:rPr>
          <w:i/>
          <w:iCs/>
        </w:rPr>
        <w:t>Artemiou</w:t>
      </w:r>
      <w:proofErr w:type="spellEnd"/>
      <w:r w:rsidRPr="00BD7F6B">
        <w:rPr>
          <w:i/>
          <w:iCs/>
        </w:rPr>
        <w:t xml:space="preserve"> v City of New York</w:t>
      </w:r>
      <w:r w:rsidRPr="00BD7F6B">
        <w:t>, 220 A.D.3d 437, 439 [1st Dept 2023]). Although the record does not contain any explicit evidence that the EMTs knew their inaction could lead to harm, plaintiffs may prove this element by circumstantial evidence as to what the EMTs should have known at the time that they responded to Bryant's 911 call (</w:t>
      </w:r>
      <w:r w:rsidRPr="00BD7F6B">
        <w:rPr>
          <w:i/>
          <w:iCs/>
        </w:rPr>
        <w:t>see Coleson v City of New York</w:t>
      </w:r>
      <w:r w:rsidRPr="00BD7F6B">
        <w:t xml:space="preserve">, 24 N.Y.3d 476, 482 [2014]; </w:t>
      </w:r>
      <w:r w:rsidRPr="00BD7F6B">
        <w:rPr>
          <w:i/>
          <w:iCs/>
        </w:rPr>
        <w:t>Sciortino v Leo</w:t>
      </w:r>
      <w:r w:rsidRPr="00BD7F6B">
        <w:t xml:space="preserve">, 60 A.D.3d 1470, 1471 [4th Dept 2009], </w:t>
      </w:r>
      <w:r w:rsidRPr="00BD7F6B">
        <w:rPr>
          <w:i/>
          <w:iCs/>
        </w:rPr>
        <w:t>lv denied</w:t>
      </w:r>
      <w:r w:rsidRPr="00BD7F6B">
        <w:t xml:space="preserve"> 13 N.Y.3d 706 [2009]).</w:t>
      </w:r>
    </w:p>
    <w:p w14:paraId="08374408" w14:textId="77777777" w:rsidR="009857A7" w:rsidRDefault="009857A7" w:rsidP="009857A7">
      <w:pPr>
        <w:pStyle w:val="NoSpacing"/>
        <w:ind w:left="720"/>
      </w:pPr>
    </w:p>
    <w:p w14:paraId="4B39A7DE" w14:textId="77777777" w:rsidR="009857A7" w:rsidRDefault="009857A7" w:rsidP="009857A7">
      <w:pPr>
        <w:pStyle w:val="NoSpacing"/>
      </w:pPr>
      <w:r>
        <w:t>DIRRENT [Justice Pitt-Burke]</w:t>
      </w:r>
    </w:p>
    <w:p w14:paraId="7DE9DBFE" w14:textId="77777777" w:rsidR="009857A7" w:rsidRDefault="009857A7" w:rsidP="009857A7">
      <w:pPr>
        <w:pStyle w:val="NoSpacing"/>
      </w:pPr>
    </w:p>
    <w:p w14:paraId="0FA99224" w14:textId="77777777" w:rsidR="009857A7" w:rsidRDefault="009857A7" w:rsidP="009857A7">
      <w:pPr>
        <w:pStyle w:val="NoSpacing"/>
        <w:ind w:left="720"/>
      </w:pPr>
      <w:r>
        <w:t>“</w:t>
      </w:r>
      <w:r w:rsidRPr="005F09A6">
        <w:t>Assuming without conceding that the majority is correct in stating that issues of fact remain as to whether a special duty exists, the City has nevertheless established entitlement to governmental function immunity precluding liability, as the actions taken by the EMTs were discretionary.</w:t>
      </w:r>
      <w:r>
        <w:t>”</w:t>
      </w:r>
    </w:p>
    <w:p w14:paraId="77583416" w14:textId="77777777" w:rsidR="009857A7" w:rsidRDefault="009857A7" w:rsidP="009857A7">
      <w:pPr>
        <w:pStyle w:val="NoSpacing"/>
        <w:ind w:left="720"/>
      </w:pPr>
    </w:p>
    <w:p w14:paraId="0DD31500" w14:textId="77777777" w:rsidR="009857A7" w:rsidRPr="009D65F9" w:rsidRDefault="009857A7" w:rsidP="009857A7">
      <w:pPr>
        <w:rPr>
          <w:b/>
          <w:bCs/>
        </w:rPr>
      </w:pPr>
      <w:r>
        <w:rPr>
          <w:b/>
        </w:rPr>
        <w:t xml:space="preserve">Legal lesson learned: Review your protocols regarding delivery of twins; discuss with your Medical Director the New York City  “10 minutes” protocol. </w:t>
      </w:r>
    </w:p>
    <w:p w14:paraId="75D94EC7" w14:textId="77777777" w:rsidR="009857A7" w:rsidRDefault="009857A7" w:rsidP="009857A7">
      <w:pPr>
        <w:pStyle w:val="NoSpacing"/>
      </w:pPr>
    </w:p>
    <w:p w14:paraId="2CB027D3" w14:textId="77777777" w:rsidR="009857A7" w:rsidRDefault="009857A7" w:rsidP="009857A7">
      <w:pPr>
        <w:pStyle w:val="NoSpacing"/>
      </w:pPr>
    </w:p>
    <w:p w14:paraId="7CF4831E" w14:textId="77777777" w:rsidR="009857A7" w:rsidRDefault="009857A7" w:rsidP="009857A7">
      <w:pPr>
        <w:pStyle w:val="NoSpacing"/>
      </w:pPr>
    </w:p>
    <w:p w14:paraId="4B572250" w14:textId="77777777" w:rsidR="009857A7" w:rsidRDefault="009857A7" w:rsidP="009857A7">
      <w:pPr>
        <w:pStyle w:val="NoSpacing"/>
      </w:pPr>
    </w:p>
    <w:p w14:paraId="6922C09D" w14:textId="34AF8BCB" w:rsidR="00C63F54" w:rsidRDefault="00C63F54" w:rsidP="00C63F54">
      <w:pPr>
        <w:rPr>
          <w:rFonts w:ascii="Arial Black" w:hAnsi="Arial Black"/>
          <w:b/>
          <w:bCs/>
          <w:sz w:val="28"/>
          <w:szCs w:val="28"/>
        </w:rPr>
      </w:pPr>
      <w:r>
        <w:rPr>
          <w:rFonts w:ascii="Arial Black" w:hAnsi="Arial Black"/>
          <w:b/>
          <w:bCs/>
          <w:sz w:val="28"/>
          <w:szCs w:val="28"/>
        </w:rPr>
        <w:t>13-27</w:t>
      </w:r>
      <w:r>
        <w:rPr>
          <w:rFonts w:ascii="Arial Black" w:hAnsi="Arial Black"/>
          <w:b/>
          <w:bCs/>
          <w:sz w:val="28"/>
          <w:szCs w:val="28"/>
        </w:rPr>
        <w:t>7</w:t>
      </w:r>
    </w:p>
    <w:p w14:paraId="7EC74534" w14:textId="77777777" w:rsidR="009857A7" w:rsidRDefault="009857A7" w:rsidP="009857A7">
      <w:pPr>
        <w:pStyle w:val="NoSpacing"/>
      </w:pPr>
    </w:p>
    <w:p w14:paraId="3DB6DEF1" w14:textId="77777777" w:rsidR="009857A7" w:rsidRDefault="009857A7" w:rsidP="009857A7">
      <w:pPr>
        <w:pStyle w:val="NoSpacing"/>
        <w:rPr>
          <w:rFonts w:ascii="Arial Black" w:hAnsi="Arial Black"/>
          <w:sz w:val="28"/>
          <w:szCs w:val="28"/>
        </w:rPr>
      </w:pPr>
      <w:r>
        <w:rPr>
          <w:rFonts w:ascii="Arial Black" w:hAnsi="Arial Black"/>
          <w:sz w:val="28"/>
          <w:szCs w:val="28"/>
        </w:rPr>
        <w:t>KY: EMS CAN TESTIFY – PT EX-BOYFRIEND CHOCKED HER</w:t>
      </w:r>
    </w:p>
    <w:p w14:paraId="2B93918D" w14:textId="77777777" w:rsidR="009857A7" w:rsidRDefault="009857A7" w:rsidP="009857A7"/>
    <w:p w14:paraId="5743AB6F" w14:textId="77777777" w:rsidR="009857A7" w:rsidRDefault="009857A7" w:rsidP="009857A7">
      <w:r>
        <w:t xml:space="preserve">On September 4, 2026, in </w:t>
      </w:r>
      <w:r w:rsidRPr="002E2815">
        <w:rPr>
          <w:u w:val="single"/>
        </w:rPr>
        <w:t>Commonwealth of Kentucky v. Cory Moss</w:t>
      </w:r>
      <w:r>
        <w:t xml:space="preserve">, the </w:t>
      </w:r>
      <w:r w:rsidRPr="002E2815">
        <w:t>Court of Appeals of Kentucky</w:t>
      </w:r>
      <w:r>
        <w:t xml:space="preserve"> held (3 to 0; unpublished decision) that the trial court judge improperly held that EMS and emergency room personnel cannot testify at trial about comments of the victim </w:t>
      </w:r>
      <w:r w:rsidRPr="0011489C">
        <w:t>Maurissa Robinson</w:t>
      </w:r>
      <w:r>
        <w:t xml:space="preserve"> (who is now uncooperative with prosecution).  “</w:t>
      </w:r>
      <w:r w:rsidRPr="0011489C">
        <w:t>After careful review, we conclude that Robinson's statements were made for the purpose of medical diagnosis and treatment; therefore, they were nontestimonial and potentially admissible if they fall within a relevant hearsay exception.</w:t>
      </w:r>
      <w:r>
        <w:t xml:space="preserve">” </w:t>
      </w:r>
      <w:hyperlink r:id="rId2049" w:history="1">
        <w:r w:rsidRPr="00782F3B">
          <w:rPr>
            <w:rStyle w:val="Hyperlink"/>
          </w:rPr>
          <w:t>https://cases.justia.com/kentucky/court-of-appeals/2026-2025-ca-1345-mr.pdf?ts=1788530681</w:t>
        </w:r>
      </w:hyperlink>
      <w:r>
        <w:t xml:space="preserve"> </w:t>
      </w:r>
    </w:p>
    <w:p w14:paraId="5A1499AA" w14:textId="77777777" w:rsidR="009857A7" w:rsidRDefault="009857A7" w:rsidP="009857A7">
      <w:r>
        <w:t>THE COURT WROTE:</w:t>
      </w:r>
    </w:p>
    <w:p w14:paraId="6357EE84" w14:textId="77777777" w:rsidR="009857A7" w:rsidRDefault="009857A7" w:rsidP="009857A7">
      <w:pPr>
        <w:ind w:left="720"/>
      </w:pPr>
      <w:r>
        <w:t>“</w:t>
      </w:r>
      <w:r w:rsidRPr="00036570">
        <w:t xml:space="preserve">In 2025, a Jefferson County grand jury indicted Cory Moss (Appellee) on one count each of burglary in the first degree, strangulation in the first degree, assault in the fourth degree, and criminal mischief in the second degree for conduct alleged to have occurred on May 20, </w:t>
      </w:r>
      <w:proofErr w:type="gramStart"/>
      <w:r w:rsidRPr="00036570">
        <w:t>2024</w:t>
      </w:r>
      <w:proofErr w:type="gramEnd"/>
      <w:r>
        <w:t xml:space="preserve"> </w:t>
      </w:r>
      <w:r w:rsidRPr="00036570">
        <w:t xml:space="preserve"> It was alleged that Appellee broke into Robinson's apartment and strangled her causing physical injury. Robinson is described in the record as Appellee's ex-girlfriend. At the time of Appellee's alleged entry into Robinson's apartment, she was on the phone using the Facetime app with a third party who heard Robinson screaming for help and called the police. The officers from the Jeffersontown Police Department (JPD) arrived and arrested Appellee.</w:t>
      </w:r>
    </w:p>
    <w:p w14:paraId="3F661D0A" w14:textId="77777777" w:rsidR="009857A7" w:rsidRDefault="009857A7" w:rsidP="009857A7">
      <w:pPr>
        <w:ind w:left="720"/>
      </w:pPr>
      <w:r>
        <w:t>***</w:t>
      </w:r>
    </w:p>
    <w:p w14:paraId="4B74CF5D" w14:textId="77777777" w:rsidR="009857A7" w:rsidRDefault="009857A7" w:rsidP="009857A7">
      <w:pPr>
        <w:ind w:left="720"/>
      </w:pPr>
      <w:r w:rsidRPr="00C0057F">
        <w:t>When police officers placed Appellee in the back of a police car, he allegedly damaged it by kicking the interior rear passenger door. The police summoned EMS to the scene to evaluate both Appellee's and Robinson's injuries. Robinson allegedly told EMS personnel that Moss had climbed through her apartment window and assaulted her. When Robinson arrived at the ER, she again allegedly told medical personnel that Appellee had strangled her. One of those personnel included a Sexual Assault Nurse Examiner (SANE) nurse.</w:t>
      </w:r>
    </w:p>
    <w:p w14:paraId="5B440E9B" w14:textId="77777777" w:rsidR="009857A7" w:rsidRDefault="009857A7" w:rsidP="009857A7">
      <w:pPr>
        <w:ind w:left="720"/>
      </w:pPr>
      <w:r>
        <w:t>***</w:t>
      </w:r>
    </w:p>
    <w:p w14:paraId="5CF138C2" w14:textId="77777777" w:rsidR="009857A7" w:rsidRDefault="009857A7" w:rsidP="009857A7">
      <w:pPr>
        <w:ind w:left="720"/>
      </w:pPr>
      <w:r w:rsidRPr="006413A9">
        <w:t> The circuit court based its conclusion that Robinson's statements to EMS and ER personnel were testimonial rather than nontestimonial on its finding that there was no ongoing emergency when Robinson made the statements. The question for our consideration, then, is whether the Jefferson Circuit Court properly determined that Robinson's statements were testimonial and not admissible</w:t>
      </w:r>
      <w:r>
        <w:t xml:space="preserve">…. </w:t>
      </w:r>
      <w:r w:rsidRPr="00F52ADC">
        <w:t xml:space="preserve">Returning to the matter before us, when applying the four </w:t>
      </w:r>
      <w:r w:rsidRPr="00F52ADC">
        <w:rPr>
          <w:i/>
          <w:iCs/>
        </w:rPr>
        <w:t>Grady</w:t>
      </w:r>
      <w:r w:rsidRPr="00F52ADC">
        <w:t xml:space="preserve"> factors, we conclude that Robinson's statements to medical personnel were nontestimonial because they were made for the purpose of medical evaluation and treatment. That is to say, (1) though Robinson was describing a choking event from the past, the statements were made as the medical evaluations were actually happening; (2) the medical evaluation was emergent; (3) the statements were made for the purpose of resolving Robinson's medical situation, rather than simply learning what had happened in the past; and, (4) Robinson was not being formally interviewed.</w:t>
      </w:r>
      <w:r>
        <w:t>”</w:t>
      </w:r>
    </w:p>
    <w:p w14:paraId="2D1B4C42" w14:textId="77777777" w:rsidR="009857A7" w:rsidRPr="00F52ADC" w:rsidRDefault="009857A7" w:rsidP="009857A7">
      <w:pPr>
        <w:rPr>
          <w:b/>
          <w:bCs/>
        </w:rPr>
      </w:pPr>
      <w:r>
        <w:rPr>
          <w:b/>
        </w:rPr>
        <w:t xml:space="preserve">Legal lesson learned: Hearsay rule exception – victim comments to emergency medical care providers. Document in the EMS run </w:t>
      </w:r>
      <w:proofErr w:type="gramStart"/>
      <w:r>
        <w:rPr>
          <w:b/>
        </w:rPr>
        <w:t>report</w:t>
      </w:r>
      <w:proofErr w:type="gramEnd"/>
      <w:r>
        <w:rPr>
          <w:b/>
        </w:rPr>
        <w:t xml:space="preserve"> the comments by the victim about how she was injured.</w:t>
      </w:r>
    </w:p>
    <w:p w14:paraId="0B495B65" w14:textId="77777777" w:rsidR="009857A7" w:rsidRDefault="009857A7" w:rsidP="009857A7">
      <w:pPr>
        <w:pStyle w:val="NoSpacing"/>
      </w:pPr>
    </w:p>
    <w:p w14:paraId="1843D5E2" w14:textId="77777777" w:rsidR="009857A7" w:rsidRDefault="009857A7" w:rsidP="009857A7">
      <w:pPr>
        <w:pStyle w:val="NoSpacing"/>
      </w:pPr>
    </w:p>
    <w:p w14:paraId="7D710EAC" w14:textId="77777777" w:rsidR="009857A7" w:rsidRDefault="009857A7" w:rsidP="009857A7">
      <w:pPr>
        <w:pStyle w:val="NoSpacing"/>
      </w:pPr>
    </w:p>
    <w:p w14:paraId="754CD8F0" w14:textId="77777777" w:rsidR="009857A7" w:rsidRDefault="009857A7" w:rsidP="009857A7">
      <w:pPr>
        <w:pStyle w:val="NoSpacing"/>
      </w:pPr>
    </w:p>
    <w:p w14:paraId="4347DE9B" w14:textId="77777777" w:rsidR="009857A7" w:rsidRDefault="009857A7" w:rsidP="00E47580">
      <w:pPr>
        <w:rPr>
          <w:rFonts w:ascii="Arial Black" w:hAnsi="Arial Black"/>
          <w:b/>
          <w:bCs/>
          <w:sz w:val="28"/>
          <w:szCs w:val="28"/>
        </w:rPr>
      </w:pPr>
    </w:p>
    <w:p w14:paraId="5442CEF4" w14:textId="77777777" w:rsidR="009857A7" w:rsidRDefault="009857A7" w:rsidP="00E47580">
      <w:pPr>
        <w:rPr>
          <w:rFonts w:ascii="Arial Black" w:hAnsi="Arial Black"/>
          <w:b/>
          <w:bCs/>
          <w:sz w:val="28"/>
          <w:szCs w:val="28"/>
        </w:rPr>
      </w:pPr>
    </w:p>
    <w:p w14:paraId="7F35D665" w14:textId="77777777" w:rsidR="009857A7" w:rsidRDefault="009857A7" w:rsidP="00E47580">
      <w:pPr>
        <w:rPr>
          <w:rFonts w:ascii="Arial Black" w:hAnsi="Arial Black"/>
          <w:b/>
          <w:bCs/>
          <w:sz w:val="28"/>
          <w:szCs w:val="28"/>
        </w:rPr>
      </w:pPr>
    </w:p>
    <w:p w14:paraId="7EA58841" w14:textId="220A4640" w:rsidR="00E47580" w:rsidRDefault="00E47580" w:rsidP="00E47580">
      <w:pPr>
        <w:rPr>
          <w:rFonts w:ascii="Arial Black" w:hAnsi="Arial Black"/>
          <w:b/>
          <w:bCs/>
          <w:sz w:val="28"/>
          <w:szCs w:val="28"/>
        </w:rPr>
      </w:pPr>
      <w:r>
        <w:rPr>
          <w:rFonts w:ascii="Arial Black" w:hAnsi="Arial Black"/>
          <w:b/>
          <w:bCs/>
          <w:sz w:val="28"/>
          <w:szCs w:val="28"/>
        </w:rPr>
        <w:t>13-276</w:t>
      </w:r>
    </w:p>
    <w:p w14:paraId="044EAFF5" w14:textId="77777777" w:rsidR="002E67EB" w:rsidRPr="0074337E" w:rsidRDefault="002E67EB" w:rsidP="002E67EB">
      <w:pPr>
        <w:rPr>
          <w:rFonts w:ascii="Arial Black" w:hAnsi="Arial Black"/>
          <w:b/>
          <w:sz w:val="28"/>
          <w:szCs w:val="28"/>
        </w:rPr>
      </w:pPr>
      <w:r>
        <w:rPr>
          <w:rFonts w:ascii="Arial Black" w:hAnsi="Arial Black"/>
          <w:b/>
          <w:sz w:val="28"/>
          <w:szCs w:val="28"/>
        </w:rPr>
        <w:t xml:space="preserve">KS: PT WELFARE CHECK – ARRESTED ON WARRANT </w:t>
      </w:r>
    </w:p>
    <w:p w14:paraId="59C10A5E" w14:textId="77777777" w:rsidR="002E67EB" w:rsidRDefault="002E67EB" w:rsidP="002E67EB">
      <w:pPr>
        <w:pStyle w:val="NoSpacing"/>
      </w:pPr>
      <w:r>
        <w:t xml:space="preserve">On August 21, 2026, in </w:t>
      </w:r>
      <w:r w:rsidRPr="00397193">
        <w:rPr>
          <w:u w:val="single"/>
        </w:rPr>
        <w:t>State of Kansas v. Nicole Willard</w:t>
      </w:r>
      <w:r>
        <w:t xml:space="preserve">, the Supreme Court of Kansas held 96 to 1) that the trial court properly denied her motion to suppress since fire &amp; EMS responded to call for unconscious person under a bridge.  The Court of Appeals improperly held (2 to 1) that she was “seized” because police when she revealed her name to </w:t>
      </w:r>
      <w:proofErr w:type="gramStart"/>
      <w:r>
        <w:t>firefighters</w:t>
      </w:r>
      <w:proofErr w:type="gramEnd"/>
      <w:r>
        <w:t xml:space="preserve"> police ran a warrant check.  A search after her arrest on the warrant revealed </w:t>
      </w:r>
      <w:r w:rsidRPr="00915043">
        <w:t>plastic bag of methamphetamine</w:t>
      </w:r>
      <w:r>
        <w:t xml:space="preserve"> (18 months’ probation). </w:t>
      </w:r>
      <w:hyperlink r:id="rId2050" w:history="1">
        <w:r w:rsidRPr="00515AC5">
          <w:rPr>
            <w:rStyle w:val="Hyperlink"/>
          </w:rPr>
          <w:t>https://cases.justia.com/kansas/supreme-court/2026-125812.pdf?ts=1787323095</w:t>
        </w:r>
      </w:hyperlink>
      <w:r>
        <w:t xml:space="preserve"> </w:t>
      </w:r>
    </w:p>
    <w:p w14:paraId="5DB7931C" w14:textId="77777777" w:rsidR="002E67EB" w:rsidRDefault="002E67EB" w:rsidP="002E67EB">
      <w:pPr>
        <w:pStyle w:val="NoSpacing"/>
      </w:pPr>
    </w:p>
    <w:p w14:paraId="669386A4" w14:textId="77777777" w:rsidR="002E67EB" w:rsidRDefault="002E67EB" w:rsidP="002E67EB">
      <w:pPr>
        <w:pStyle w:val="NoSpacing"/>
      </w:pPr>
      <w:r>
        <w:t xml:space="preserve"> THE COURT WROTE: </w:t>
      </w:r>
    </w:p>
    <w:p w14:paraId="44A129E1" w14:textId="77777777" w:rsidR="002E67EB" w:rsidRDefault="002E67EB" w:rsidP="002E67EB">
      <w:pPr>
        <w:pStyle w:val="NoSpacing"/>
        <w:rPr>
          <w:bCs/>
        </w:rPr>
      </w:pPr>
    </w:p>
    <w:p w14:paraId="75D07095" w14:textId="77777777" w:rsidR="002E67EB" w:rsidRDefault="002E67EB" w:rsidP="002E67EB">
      <w:pPr>
        <w:pStyle w:val="NoSpacing"/>
        <w:ind w:left="720"/>
      </w:pPr>
      <w:r>
        <w:t xml:space="preserve">“On May 13, 2021, Captain Ian Arndt of the Hutchinson Fire Department and two other firefighters responded to a civilian's call there was an unconscious person under a bridge. When they arrived, they found a person lying under a bridge and not moving. Captain Arndt shook her awake. Once awake, she did not want to provide any information and turned down any care. She eventually told the firefighters her name was Nicole Willard. Three to five minutes after the firefighters arrived, Sergeant Cole Long arrived on the scene in response to a request for a ‘welfare check.’ Sergeant Long's bodycam footage shows Willard sitting against the bridge wall with three firefighters around her in a semi-circle. Willard told Long that the firefighters would not let her call her friend. The firefighters told Willard her phone was behind her, and she could call whoever she wanted. She asked the firefighters to call Christopher Shane Douglas; the firefighters handed her the </w:t>
      </w:r>
      <w:proofErr w:type="gramStart"/>
      <w:r>
        <w:t>phone</w:t>
      </w:r>
      <w:proofErr w:type="gramEnd"/>
      <w:r>
        <w:t xml:space="preserve"> and she made the call herself…. Long responded ‘she's got a warrant, so.’ A second officer arrived, and three minutes later, Long told Willard there was a warrant out for her arrest and took her into custody. Officers performed a search at the jail and located a plastic baggie containing methamphetamine. The State charged Willard with possession of paraphernalia and possession of methamphetamine.</w:t>
      </w:r>
    </w:p>
    <w:p w14:paraId="587BE7C8" w14:textId="77777777" w:rsidR="002E67EB" w:rsidRDefault="002E67EB" w:rsidP="002E67EB">
      <w:pPr>
        <w:pStyle w:val="NoSpacing"/>
        <w:ind w:left="720"/>
      </w:pPr>
    </w:p>
    <w:p w14:paraId="2477D3FA" w14:textId="77777777" w:rsidR="002E67EB" w:rsidRDefault="002E67EB" w:rsidP="002E67EB">
      <w:pPr>
        <w:pStyle w:val="NoSpacing"/>
        <w:ind w:left="720"/>
      </w:pPr>
      <w:r>
        <w:t>***</w:t>
      </w:r>
    </w:p>
    <w:p w14:paraId="240BDC03" w14:textId="77777777" w:rsidR="002E67EB" w:rsidRDefault="002E67EB" w:rsidP="002E67EB">
      <w:pPr>
        <w:pStyle w:val="NoSpacing"/>
        <w:ind w:left="720"/>
      </w:pPr>
      <w:r>
        <w:t xml:space="preserve">In some instances, an encounter described as a public safety or welfare encounter does not rise to the level of a seizure because a reasonable person would understand they can end an encounter. In that case, the official's engagement with a civilian for safety purposes is simply a voluntary encounter that does not violate the Fourth Amendment.  … We agree with this assessment and move on to consider whether </w:t>
      </w:r>
      <w:proofErr w:type="gramStart"/>
      <w:r>
        <w:t>all of</w:t>
      </w:r>
      <w:proofErr w:type="gramEnd"/>
      <w:r>
        <w:t xml:space="preserve"> the circumstances, including the actions of the firefighters and EMTs, communicated to a reasonable person in Willard's position that she was free to end the encounter. We conclude they did…. Because Willard was never seized, the district court made no error in denying her motion to suppress. Willard has not claimed that the warrant check or the search incident to arrest, on their own, constituted an unlawful search or seizure. She argued only that the unlawful seizure facilitated the warrant check, which facilitated the arrest and the eventual search. Because we reject that premise, her argument fails.”</w:t>
      </w:r>
    </w:p>
    <w:p w14:paraId="76042FC9" w14:textId="77777777" w:rsidR="002E67EB" w:rsidRDefault="002E67EB" w:rsidP="002E67EB">
      <w:pPr>
        <w:pStyle w:val="NoSpacing"/>
        <w:ind w:left="720"/>
      </w:pPr>
    </w:p>
    <w:p w14:paraId="19AA23EA" w14:textId="77777777" w:rsidR="002E67EB" w:rsidRDefault="002E67EB" w:rsidP="002E67EB">
      <w:pPr>
        <w:pStyle w:val="NoSpacing"/>
        <w:jc w:val="both"/>
      </w:pPr>
      <w:r>
        <w:t>Dissent: “Because the officials continued Willard's welfare-based seizure and used it to facilitate a warrant check after the record disclosed no remaining welfare need, transportation-related safety concern, or reasonable suspicion of criminal activity, discovery of the warrant and resulting search were fruits of the unlawful detention.”</w:t>
      </w:r>
    </w:p>
    <w:p w14:paraId="2F307F15" w14:textId="77777777" w:rsidR="002E67EB" w:rsidRDefault="002E67EB" w:rsidP="002E67EB">
      <w:pPr>
        <w:pStyle w:val="NoSpacing"/>
        <w:ind w:left="720"/>
      </w:pPr>
    </w:p>
    <w:p w14:paraId="72880F82" w14:textId="77777777" w:rsidR="002E67EB" w:rsidRPr="005F1FAF" w:rsidRDefault="002E67EB" w:rsidP="002E67EB">
      <w:pPr>
        <w:pStyle w:val="NoSpacing"/>
        <w:rPr>
          <w:b/>
          <w:bCs/>
        </w:rPr>
      </w:pPr>
      <w:r>
        <w:rPr>
          <w:b/>
        </w:rPr>
        <w:t xml:space="preserve">Legal lesson learned: Welfare checks can result in lawful arrests if wanted on a warrant. </w:t>
      </w:r>
    </w:p>
    <w:p w14:paraId="4777D97F" w14:textId="77777777" w:rsidR="002E67EB" w:rsidRDefault="002E67EB" w:rsidP="002B1283">
      <w:pPr>
        <w:rPr>
          <w:rFonts w:ascii="Arial Black" w:hAnsi="Arial Black"/>
          <w:b/>
          <w:bCs/>
          <w:sz w:val="28"/>
          <w:szCs w:val="28"/>
        </w:rPr>
      </w:pPr>
    </w:p>
    <w:p w14:paraId="69EBA5D2" w14:textId="77777777" w:rsidR="00083814" w:rsidRDefault="00083814" w:rsidP="002B1283">
      <w:pPr>
        <w:rPr>
          <w:rFonts w:ascii="Arial Black" w:hAnsi="Arial Black"/>
          <w:b/>
          <w:bCs/>
          <w:sz w:val="28"/>
          <w:szCs w:val="28"/>
        </w:rPr>
      </w:pPr>
    </w:p>
    <w:p w14:paraId="22785E10" w14:textId="77777777" w:rsidR="00E47580" w:rsidRDefault="00E47580" w:rsidP="00083814">
      <w:pPr>
        <w:rPr>
          <w:rFonts w:ascii="Arial Black" w:hAnsi="Arial Black"/>
          <w:b/>
          <w:sz w:val="28"/>
          <w:szCs w:val="28"/>
        </w:rPr>
      </w:pPr>
    </w:p>
    <w:p w14:paraId="6A41698E" w14:textId="2B28BA7B" w:rsidR="00E47580" w:rsidRDefault="00E47580" w:rsidP="00083814">
      <w:pPr>
        <w:rPr>
          <w:rFonts w:ascii="Arial Black" w:hAnsi="Arial Black"/>
          <w:b/>
          <w:sz w:val="28"/>
          <w:szCs w:val="28"/>
        </w:rPr>
      </w:pPr>
      <w:r>
        <w:rPr>
          <w:rFonts w:ascii="Arial Black" w:hAnsi="Arial Black"/>
          <w:b/>
          <w:bCs/>
          <w:sz w:val="28"/>
          <w:szCs w:val="28"/>
        </w:rPr>
        <w:t>13-275</w:t>
      </w:r>
    </w:p>
    <w:p w14:paraId="4B18BE12" w14:textId="3448DC8A" w:rsidR="00083814" w:rsidRPr="009B6D73" w:rsidRDefault="00083814" w:rsidP="00083814">
      <w:pPr>
        <w:rPr>
          <w:rFonts w:ascii="Arial Black" w:hAnsi="Arial Black"/>
          <w:b/>
          <w:sz w:val="28"/>
          <w:szCs w:val="28"/>
        </w:rPr>
      </w:pPr>
      <w:r>
        <w:rPr>
          <w:rFonts w:ascii="Arial Black" w:hAnsi="Arial Black"/>
          <w:b/>
          <w:sz w:val="28"/>
          <w:szCs w:val="28"/>
        </w:rPr>
        <w:t>OH: CHILD SEIZURES – PARENTS COMPLAIN - PD WITH EMS</w:t>
      </w:r>
    </w:p>
    <w:p w14:paraId="0F409022" w14:textId="77777777" w:rsidR="00083814" w:rsidRDefault="00083814" w:rsidP="00083814">
      <w:pPr>
        <w:rPr>
          <w:bCs/>
        </w:rPr>
      </w:pPr>
      <w:r>
        <w:t xml:space="preserve">On August 7, 2026, in </w:t>
      </w:r>
      <w:r w:rsidRPr="002052F3">
        <w:rPr>
          <w:u w:val="single"/>
        </w:rPr>
        <w:t>Timothy W. Kovach, et al. v. City of Lakewood, Ohio, et al.</w:t>
      </w:r>
      <w:r>
        <w:t xml:space="preserve">, U.S. District Court Judge Charles E. Fleming, United States District Court for the Northern District of Ohio, dismissed the lawsuit by parents of three-year old child who suffers from seizures.  Their repeated complaints about EMS conduct in administering medications led the Fire Chief to issue a Directive that Lakewood PD will be requested to accompany PD to their home and during transport.  </w:t>
      </w:r>
      <w:hyperlink r:id="rId2051" w:history="1">
        <w:r w:rsidRPr="00657688">
          <w:rPr>
            <w:rStyle w:val="Hyperlink"/>
          </w:rPr>
          <w:t>https://cases.justia.com/federal/district-courts/ohio/ohndce/1:2024cv01780/310775/29/0.pdf?ts=1786388028</w:t>
        </w:r>
      </w:hyperlink>
      <w:r>
        <w:t xml:space="preserve"> </w:t>
      </w:r>
    </w:p>
    <w:p w14:paraId="3AE628CA" w14:textId="77777777" w:rsidR="00083814" w:rsidRDefault="00083814" w:rsidP="00083814">
      <w:pPr>
        <w:rPr>
          <w:bCs/>
        </w:rPr>
      </w:pPr>
      <w:r>
        <w:t>THE COURT WROTE:</w:t>
      </w:r>
    </w:p>
    <w:p w14:paraId="2AB7AF51" w14:textId="77777777" w:rsidR="00083814" w:rsidRDefault="00083814" w:rsidP="00083814">
      <w:pPr>
        <w:ind w:left="720"/>
      </w:pPr>
      <w:r>
        <w:t>“</w:t>
      </w:r>
      <w:r w:rsidRPr="00914282">
        <w:t xml:space="preserve">Plaintiffs Timothy Kovach and Ashley </w:t>
      </w:r>
      <w:proofErr w:type="spellStart"/>
      <w:r w:rsidRPr="00914282">
        <w:t>Ziganti</w:t>
      </w:r>
      <w:proofErr w:type="spellEnd"/>
      <w:r w:rsidRPr="00914282">
        <w:t xml:space="preserve"> (</w:t>
      </w:r>
      <w:r>
        <w:t>‘</w:t>
      </w:r>
      <w:r w:rsidRPr="00914282">
        <w:t>Plaintiffs</w:t>
      </w:r>
      <w:r>
        <w:t>’</w:t>
      </w:r>
      <w:r w:rsidRPr="00914282">
        <w:t>) are spouses and the parents of three minor children, including EK-Z who suffers from seizures</w:t>
      </w:r>
      <w:r>
        <w:t xml:space="preserve">…. </w:t>
      </w:r>
      <w:r w:rsidRPr="00914282">
        <w:t xml:space="preserve"> After moving to Lakewood, Ohio, Plaintiffs called 911 to request emergency assistance from the Emergency Medical Services of </w:t>
      </w:r>
      <w:proofErr w:type="gramStart"/>
      <w:r w:rsidRPr="00914282">
        <w:t>Lakewood (</w:t>
      </w:r>
      <w:r>
        <w:t>‘</w:t>
      </w:r>
      <w:proofErr w:type="gramEnd"/>
      <w:r w:rsidRPr="00914282">
        <w:t>EMS</w:t>
      </w:r>
      <w:r>
        <w:t>’</w:t>
      </w:r>
      <w:r w:rsidRPr="00914282">
        <w:t>) for EK-Z's seizures on the five occasions at issue: February 13, 2022, July 20, 2022, October 12, 2022, December 30, 2022, and August 30, 2023.</w:t>
      </w:r>
    </w:p>
    <w:p w14:paraId="63CD7969" w14:textId="77777777" w:rsidR="00083814" w:rsidRDefault="00083814" w:rsidP="00083814">
      <w:pPr>
        <w:ind w:left="720"/>
      </w:pPr>
      <w:r>
        <w:t>***</w:t>
      </w:r>
    </w:p>
    <w:p w14:paraId="5CB799D1" w14:textId="77777777" w:rsidR="00083814" w:rsidRDefault="00083814" w:rsidP="00083814">
      <w:pPr>
        <w:ind w:left="720"/>
      </w:pPr>
      <w:r>
        <w:t xml:space="preserve">[February 13, </w:t>
      </w:r>
      <w:proofErr w:type="gramStart"/>
      <w:r>
        <w:t>2022</w:t>
      </w:r>
      <w:proofErr w:type="gramEnd"/>
      <w:r>
        <w:t xml:space="preserve"> run} </w:t>
      </w:r>
      <w:r w:rsidRPr="009351D0">
        <w:t>EMS personnel administered 2.5 mg of midazolam (</w:t>
      </w:r>
      <w:r>
        <w:t>‘</w:t>
      </w:r>
      <w:r w:rsidRPr="009351D0">
        <w:t>Versed</w:t>
      </w:r>
      <w:r>
        <w:t>’</w:t>
      </w:r>
      <w:r w:rsidRPr="009351D0">
        <w:t>) to EK-Z, who was three years old and weighed 35 pounds at the time</w:t>
      </w:r>
      <w:r>
        <w:t>…. Plain</w:t>
      </w:r>
      <w:r w:rsidRPr="009351D0">
        <w:t>tiffs allege that on February 13, 2022, 2.5 mg of Versed was listed as an adult dosage in the regional EMS protocols (</w:t>
      </w:r>
      <w:r>
        <w:t>‘</w:t>
      </w:r>
      <w:r w:rsidRPr="009351D0">
        <w:t>Regional Protocols</w:t>
      </w:r>
      <w:r>
        <w:t>’</w:t>
      </w:r>
      <w:r w:rsidRPr="009351D0">
        <w:t>)</w:t>
      </w:r>
      <w:r>
        <w:t xml:space="preserve">… </w:t>
      </w:r>
      <w:r w:rsidRPr="00224E7A">
        <w:t>instead of the 1.6 mg dose for a minor of 35 pounds Plaintiff had interpreted the Regional Protocols to recommend</w:t>
      </w:r>
      <w:r>
        <w:t xml:space="preserve">…. </w:t>
      </w:r>
      <w:r w:rsidRPr="007A309A">
        <w:t>Assistant Law Director Jennifer Swallow (</w:t>
      </w:r>
      <w:r>
        <w:t>‘</w:t>
      </w:r>
      <w:r w:rsidRPr="007A309A">
        <w:t>Swallow</w:t>
      </w:r>
      <w:r>
        <w:t>’</w:t>
      </w:r>
      <w:r w:rsidRPr="007A309A">
        <w:t xml:space="preserve">) emailed Plaintiffs that Dr. Lally, the Medical Director of the Lakewood Division of Fire, reviewed the run reports for the incidents that Plaintiffs raised and found that </w:t>
      </w:r>
      <w:r>
        <w:t>‘</w:t>
      </w:r>
      <w:r w:rsidRPr="007A309A">
        <w:t>all medications administered were within protocol and within proper dosing ranges for a child the age and weight of [Plaintiffs'] daughter.</w:t>
      </w:r>
      <w:r>
        <w:t>’</w:t>
      </w:r>
    </w:p>
    <w:p w14:paraId="0A94DD9E" w14:textId="77777777" w:rsidR="00083814" w:rsidRDefault="00083814" w:rsidP="00083814">
      <w:pPr>
        <w:ind w:left="720"/>
      </w:pPr>
      <w:r>
        <w:t>***</w:t>
      </w:r>
    </w:p>
    <w:p w14:paraId="0C069F17" w14:textId="77777777" w:rsidR="00083814" w:rsidRPr="006863F0" w:rsidRDefault="00083814" w:rsidP="00083814">
      <w:pPr>
        <w:ind w:left="720"/>
      </w:pPr>
      <w:r w:rsidRPr="00754FDA">
        <w:t>On July 20, 2022, EK-Z suffered another seizure, prompting Plaintiffs to call 911 for EMS services</w:t>
      </w:r>
      <w:r>
        <w:t xml:space="preserve">….  </w:t>
      </w:r>
      <w:r w:rsidRPr="00754FDA">
        <w:t xml:space="preserve">After that EMS run, in an August 12, </w:t>
      </w:r>
      <w:proofErr w:type="gramStart"/>
      <w:r w:rsidRPr="00754FDA">
        <w:t>2022</w:t>
      </w:r>
      <w:proofErr w:type="gramEnd"/>
      <w:r w:rsidRPr="00754FDA">
        <w:t xml:space="preserve"> email, </w:t>
      </w:r>
      <w:r>
        <w:t xml:space="preserve">[Assistant Law Director Jennifer] </w:t>
      </w:r>
      <w:r w:rsidRPr="00754FDA">
        <w:t xml:space="preserve">Swallow </w:t>
      </w:r>
      <w:r>
        <w:t>‘</w:t>
      </w:r>
      <w:r w:rsidRPr="00754FDA">
        <w:t>accused Plaintiffs of ‘</w:t>
      </w:r>
      <w:proofErr w:type="spellStart"/>
      <w:r w:rsidRPr="00754FDA">
        <w:t>refus</w:t>
      </w:r>
      <w:proofErr w:type="spellEnd"/>
      <w:r w:rsidRPr="00754FDA">
        <w:t>[</w:t>
      </w:r>
      <w:proofErr w:type="spellStart"/>
      <w:r w:rsidRPr="00754FDA">
        <w:t>ing</w:t>
      </w:r>
      <w:proofErr w:type="spellEnd"/>
      <w:r w:rsidRPr="00754FDA">
        <w:t>] to allow paramedics to provide any pre-medical care to [their] daughter, resulting in her seizing for the entire trip to Metro Health'” hospital.</w:t>
      </w:r>
      <w:r>
        <w:t xml:space="preserve"> </w:t>
      </w:r>
      <w:r w:rsidRPr="006863F0">
        <w:t xml:space="preserve">Swallow emailed Plaintiffs: </w:t>
      </w:r>
    </w:p>
    <w:p w14:paraId="7511DAAB" w14:textId="77777777" w:rsidR="00083814" w:rsidRPr="006863F0" w:rsidRDefault="00083814" w:rsidP="00083814">
      <w:pPr>
        <w:ind w:left="1440"/>
      </w:pPr>
      <w:r w:rsidRPr="006863F0">
        <w:t xml:space="preserve">[I]f you call 911 for transport of your daughter due to a seizure, all regular protocol will be </w:t>
      </w:r>
      <w:proofErr w:type="gramStart"/>
      <w:r w:rsidRPr="006863F0">
        <w:t>implemented</w:t>
      </w:r>
      <w:proofErr w:type="gramEnd"/>
      <w:r w:rsidRPr="006863F0">
        <w:t xml:space="preserve"> and she will be treated for her seizure and any other emergent symptoms. Not only does failure to treat your daughter put her at risk, but it also places our EMS staff at risk for failure to act in such circumstances. </w:t>
      </w:r>
    </w:p>
    <w:p w14:paraId="48FEBD7E" w14:textId="77777777" w:rsidR="00083814" w:rsidRDefault="00083814" w:rsidP="00083814">
      <w:pPr>
        <w:ind w:left="720"/>
      </w:pPr>
      <w:r>
        <w:t>***</w:t>
      </w:r>
    </w:p>
    <w:p w14:paraId="6FB86FD9" w14:textId="77777777" w:rsidR="00083814" w:rsidRDefault="00083814" w:rsidP="00083814">
      <w:pPr>
        <w:ind w:left="720"/>
        <w:rPr>
          <w:i/>
          <w:iCs/>
        </w:rPr>
      </w:pPr>
      <w:r w:rsidRPr="003F2541">
        <w:rPr>
          <w:i/>
          <w:iCs/>
        </w:rPr>
        <w:t>The “Dunphy Directive”</w:t>
      </w:r>
    </w:p>
    <w:p w14:paraId="11A7D950" w14:textId="77777777" w:rsidR="00083814" w:rsidRDefault="00083814" w:rsidP="00083814">
      <w:pPr>
        <w:ind w:left="720"/>
      </w:pPr>
      <w:r w:rsidRPr="00D55385">
        <w:t xml:space="preserve">On August 30, 2022, </w:t>
      </w:r>
      <w:r>
        <w:t xml:space="preserve">[Fire Chief Timothy] </w:t>
      </w:r>
      <w:r w:rsidRPr="00D55385">
        <w:t>Dunphy emailed Swallow, Assistant Fire Chief Nicholas Sambula (</w:t>
      </w:r>
      <w:r>
        <w:t>‘</w:t>
      </w:r>
      <w:r w:rsidRPr="00D55385">
        <w:t>Sambula</w:t>
      </w:r>
      <w:r>
        <w:t>’</w:t>
      </w:r>
      <w:r w:rsidRPr="00D55385">
        <w:t>), and members of the Lakewood Fire Department</w:t>
      </w:r>
      <w:r>
        <w:t xml:space="preserve">…. </w:t>
      </w:r>
      <w:r w:rsidRPr="00D55385">
        <w:t xml:space="preserve"> In that email, Dunphy stated Lakewood police would accompany EMS on future calls to Plaintiffs' residence </w:t>
      </w:r>
      <w:r>
        <w:t>‘</w:t>
      </w:r>
      <w:r w:rsidRPr="00D55385">
        <w:t>‘to allow for [them] to do [their] job[,]'</w:t>
      </w:r>
      <w:r>
        <w:t>’</w:t>
      </w:r>
      <w:r w:rsidRPr="00D55385">
        <w:t xml:space="preserve"> including </w:t>
      </w:r>
      <w:r>
        <w:t>‘</w:t>
      </w:r>
      <w:r w:rsidRPr="00D55385">
        <w:t>riding to the hospital with the medic in the back if needed.</w:t>
      </w:r>
      <w:r>
        <w:t xml:space="preserve">’ … </w:t>
      </w:r>
      <w:r w:rsidRPr="00D55385">
        <w:t xml:space="preserve">The Dunphy Directive also advised EMS personnel to </w:t>
      </w:r>
      <w:r>
        <w:t>‘</w:t>
      </w:r>
      <w:r w:rsidRPr="00D55385">
        <w:t>consider having the parents ride upfront, especially when rendering patient care.</w:t>
      </w:r>
      <w:r>
        <w:t>’ …</w:t>
      </w:r>
      <w:r w:rsidRPr="00D55385">
        <w:t xml:space="preserve"> The Dunphy Directive concluded with informing EMS that they </w:t>
      </w:r>
      <w:proofErr w:type="spellStart"/>
      <w:r w:rsidRPr="00D55385">
        <w:t>can</w:t>
      </w:r>
      <w:r>
        <w:t>’</w:t>
      </w:r>
      <w:r w:rsidRPr="00D55385">
        <w:t>feel</w:t>
      </w:r>
      <w:proofErr w:type="spellEnd"/>
      <w:r w:rsidRPr="00D55385">
        <w:t xml:space="preserve"> free to have LPD assist in anyway</w:t>
      </w:r>
      <w:r>
        <w:t>’</w:t>
      </w:r>
      <w:r w:rsidRPr="00D55385">
        <w:t xml:space="preserve"> and that</w:t>
      </w:r>
      <w:r>
        <w:t xml:space="preserve"> ‘</w:t>
      </w:r>
      <w:r w:rsidRPr="00D55385">
        <w:t>if the parents refuse medical treatment, we will have them sign a refusal form and still transport the patient.</w:t>
      </w:r>
      <w:r>
        <w:t>’</w:t>
      </w:r>
    </w:p>
    <w:p w14:paraId="6F4880BE" w14:textId="77777777" w:rsidR="00083814" w:rsidRDefault="00083814" w:rsidP="00083814">
      <w:pPr>
        <w:ind w:left="720"/>
      </w:pPr>
      <w:r>
        <w:t>***</w:t>
      </w:r>
    </w:p>
    <w:p w14:paraId="4B7FD915" w14:textId="77777777" w:rsidR="00083814" w:rsidRDefault="00083814" w:rsidP="00083814">
      <w:pPr>
        <w:ind w:left="720"/>
      </w:pPr>
      <w:r w:rsidRPr="0043354A">
        <w:t>On October 12, 2022, EK-Z had her next seizure, prompting Plaintiffs to call 911 for EMS services</w:t>
      </w:r>
      <w:r>
        <w:t xml:space="preserve">…. </w:t>
      </w:r>
      <w:r w:rsidRPr="0043354A">
        <w:t>Two police officers accompanied EMS personnel to respond to Plaintiffs' 911 call</w:t>
      </w:r>
      <w:r>
        <w:t xml:space="preserve">…. </w:t>
      </w:r>
      <w:r w:rsidRPr="00122B84">
        <w:t>On December 30, 2022, Plaintiffs called 911 for another medical emergency</w:t>
      </w:r>
      <w:r>
        <w:t xml:space="preserve">…. </w:t>
      </w:r>
      <w:r w:rsidRPr="00122B84">
        <w:t>Upon arrival, EMS personnel examined EK-Z and determined that EK-Z did not require treatment or transportation</w:t>
      </w:r>
      <w:r>
        <w:t xml:space="preserve">…. </w:t>
      </w:r>
      <w:r w:rsidRPr="00122B84">
        <w:t xml:space="preserve"> During that run, police officers accompanied EMS personnel to the residence but did not enter. </w:t>
      </w:r>
      <w:r>
        <w:t xml:space="preserve"> </w:t>
      </w:r>
      <w:r w:rsidRPr="00F66AAC">
        <w:t xml:space="preserve">On August 30, 2023, EK-Z had another seizure, which prompted Plaintiffs to call 911, but Plaintiff </w:t>
      </w:r>
      <w:proofErr w:type="spellStart"/>
      <w:r w:rsidRPr="00F66AAC">
        <w:t>Ziganti</w:t>
      </w:r>
      <w:proofErr w:type="spellEnd"/>
      <w:r w:rsidRPr="00F66AAC">
        <w:t xml:space="preserve"> </w:t>
      </w:r>
      <w:r>
        <w:t>‘</w:t>
      </w:r>
      <w:r w:rsidRPr="00F66AAC">
        <w:t>requested that police not accompany EMS to the residence.</w:t>
      </w:r>
      <w:r>
        <w:t xml:space="preserve">’…  </w:t>
      </w:r>
      <w:r w:rsidRPr="004D264F">
        <w:t xml:space="preserve">None of the police officers entered the residence or </w:t>
      </w:r>
      <w:r>
        <w:t>‘</w:t>
      </w:r>
      <w:r w:rsidRPr="004D264F">
        <w:t>detained or threatened to detain or took any law enforcement action against Plaintiffs.</w:t>
      </w:r>
      <w:r>
        <w:t xml:space="preserve">’… </w:t>
      </w:r>
      <w:r w:rsidRPr="009C7BA0">
        <w:t xml:space="preserve">Between October 6, </w:t>
      </w:r>
      <w:proofErr w:type="gramStart"/>
      <w:r w:rsidRPr="009C7BA0">
        <w:t>2023</w:t>
      </w:r>
      <w:proofErr w:type="gramEnd"/>
      <w:r w:rsidRPr="009C7BA0">
        <w:t xml:space="preserve"> and March 19, 2024, Plaintiffs have, through their attorney, attempted to secure a rescission of the Dunphy Directive</w:t>
      </w:r>
      <w:r>
        <w:t xml:space="preserve">…. </w:t>
      </w:r>
      <w:r w:rsidRPr="009C7BA0">
        <w:t xml:space="preserve"> Plaintiffs, with one exception</w:t>
      </w:r>
      <w:r>
        <w:t xml:space="preserve"> [footnote 2]. h</w:t>
      </w:r>
      <w:r w:rsidRPr="006D0F95">
        <w:t>ave since chosen not to call 911 for EMS services when EK-Z seizes</w:t>
      </w:r>
      <w:r>
        <w:t>….</w:t>
      </w:r>
      <w:r w:rsidRPr="006D0F95">
        <w:t xml:space="preserve">Instead, Plaintiff Kovach uses his own car to drive EK-Z to the hospital. </w:t>
      </w:r>
      <w:r>
        <w:t xml:space="preserve">[Footnote 2: </w:t>
      </w:r>
      <w:r w:rsidRPr="005305F6">
        <w:t>That one exception occurred in November 2023, when EK-Z seized while at physical therapy in Westlake, Ohio</w:t>
      </w:r>
      <w:r>
        <w:t xml:space="preserve">; </w:t>
      </w:r>
      <w:r w:rsidRPr="005305F6">
        <w:t xml:space="preserve"> Police officers did not accompany Westlake emergency services while EK-Z was transported to the hospital</w:t>
      </w:r>
      <w:r>
        <w:t>.]</w:t>
      </w:r>
      <w:r w:rsidRPr="005305F6">
        <w:t xml:space="preserve"> </w:t>
      </w:r>
    </w:p>
    <w:p w14:paraId="02B7CF60" w14:textId="77777777" w:rsidR="00083814" w:rsidRDefault="00083814" w:rsidP="00083814">
      <w:pPr>
        <w:ind w:left="720"/>
      </w:pPr>
      <w:r>
        <w:t>***</w:t>
      </w:r>
    </w:p>
    <w:p w14:paraId="609B5A0F" w14:textId="77777777" w:rsidR="00083814" w:rsidRDefault="00083814" w:rsidP="00083814">
      <w:pPr>
        <w:ind w:left="720"/>
      </w:pPr>
      <w:r w:rsidRPr="000C6EE1">
        <w:t xml:space="preserve">Accordingly, absent allegations of a sufficient adverse action, Plaintiffs have not pled a First Amendment retaliation claim against Defendants. Plaintiffs' claims must be dismissed </w:t>
      </w:r>
      <w:proofErr w:type="gramStart"/>
      <w:r w:rsidRPr="000C6EE1">
        <w:t>on</w:t>
      </w:r>
      <w:proofErr w:type="gramEnd"/>
      <w:r w:rsidRPr="000C6EE1">
        <w:t xml:space="preserve"> this reason alone. But even if Plaintiffs adequately pled a First Amendment retaliation claim against Defendants, Plaintiffs claims still fail. Plaintiffs have not pled sufficient facts to infer a retaliatory motive as to Dr. Lally, nor overcome qualified immunity as to Dunphy.</w:t>
      </w:r>
      <w:r>
        <w:t>”</w:t>
      </w:r>
    </w:p>
    <w:p w14:paraId="42DAD688" w14:textId="77777777" w:rsidR="00083814" w:rsidRPr="00B33C87" w:rsidRDefault="00083814" w:rsidP="00083814">
      <w:pPr>
        <w:rPr>
          <w:b/>
          <w:bCs/>
        </w:rPr>
      </w:pPr>
      <w:r>
        <w:rPr>
          <w:b/>
        </w:rPr>
        <w:t xml:space="preserve">Legal lesson learned: The Fire Department wisely had police accompany EMS on these complaining parents. </w:t>
      </w:r>
    </w:p>
    <w:p w14:paraId="5234B536" w14:textId="77777777" w:rsidR="00083814" w:rsidRDefault="00083814" w:rsidP="002B1283">
      <w:pPr>
        <w:rPr>
          <w:rFonts w:ascii="Arial Black" w:hAnsi="Arial Black"/>
          <w:b/>
          <w:bCs/>
          <w:sz w:val="28"/>
          <w:szCs w:val="28"/>
        </w:rPr>
      </w:pPr>
    </w:p>
    <w:p w14:paraId="2ED4D981" w14:textId="77777777" w:rsidR="002E67EB" w:rsidRDefault="002E67EB" w:rsidP="002B1283">
      <w:pPr>
        <w:rPr>
          <w:rFonts w:ascii="Arial Black" w:hAnsi="Arial Black"/>
          <w:b/>
          <w:bCs/>
          <w:sz w:val="28"/>
          <w:szCs w:val="28"/>
        </w:rPr>
      </w:pPr>
    </w:p>
    <w:p w14:paraId="0BBB10AE" w14:textId="77777777" w:rsidR="002E67EB" w:rsidRDefault="002E67EB" w:rsidP="002B1283">
      <w:pPr>
        <w:rPr>
          <w:rFonts w:ascii="Arial Black" w:hAnsi="Arial Black"/>
          <w:b/>
          <w:bCs/>
          <w:sz w:val="28"/>
          <w:szCs w:val="28"/>
        </w:rPr>
      </w:pPr>
    </w:p>
    <w:p w14:paraId="7B0B8733" w14:textId="77777777" w:rsidR="002E67EB" w:rsidRDefault="002E67EB" w:rsidP="002B1283">
      <w:pPr>
        <w:rPr>
          <w:rFonts w:ascii="Arial Black" w:hAnsi="Arial Black"/>
          <w:b/>
          <w:bCs/>
          <w:sz w:val="28"/>
          <w:szCs w:val="28"/>
        </w:rPr>
      </w:pPr>
    </w:p>
    <w:p w14:paraId="7D41EBB3" w14:textId="227B9B8F" w:rsidR="00A971EA" w:rsidRDefault="00A971EA" w:rsidP="002B1283">
      <w:pPr>
        <w:rPr>
          <w:rFonts w:ascii="Arial Black" w:hAnsi="Arial Black"/>
          <w:b/>
          <w:bCs/>
          <w:sz w:val="28"/>
          <w:szCs w:val="28"/>
        </w:rPr>
      </w:pPr>
      <w:r>
        <w:rPr>
          <w:rFonts w:ascii="Arial Black" w:hAnsi="Arial Black"/>
          <w:b/>
          <w:bCs/>
          <w:sz w:val="28"/>
          <w:szCs w:val="28"/>
        </w:rPr>
        <w:t>13-274</w:t>
      </w:r>
    </w:p>
    <w:p w14:paraId="0C96EF7A" w14:textId="77777777" w:rsidR="00C37020" w:rsidRDefault="00C37020" w:rsidP="00752531">
      <w:pPr>
        <w:pStyle w:val="NoSpacing"/>
        <w:rPr>
          <w:rFonts w:ascii="Arial Black" w:hAnsi="Arial Black"/>
          <w:sz w:val="24"/>
          <w:szCs w:val="24"/>
        </w:rPr>
      </w:pPr>
    </w:p>
    <w:p w14:paraId="28E03A2A" w14:textId="77777777" w:rsidR="002D139D" w:rsidRPr="005212AF" w:rsidRDefault="002D139D" w:rsidP="002D139D">
      <w:pPr>
        <w:pStyle w:val="NoSpacing"/>
        <w:rPr>
          <w:rFonts w:ascii="Arial Black" w:hAnsi="Arial Black"/>
          <w:sz w:val="28"/>
          <w:szCs w:val="28"/>
        </w:rPr>
      </w:pPr>
      <w:r>
        <w:rPr>
          <w:rFonts w:ascii="Arial Black" w:hAnsi="Arial Black"/>
          <w:sz w:val="28"/>
          <w:szCs w:val="28"/>
        </w:rPr>
        <w:t xml:space="preserve">WA: COVID – 26 SEATTLE FF – GOT </w:t>
      </w:r>
      <w:r w:rsidRPr="00D73FE2">
        <w:rPr>
          <w:rFonts w:ascii="Arial Black" w:hAnsi="Arial Black"/>
          <w:i/>
          <w:iCs/>
          <w:sz w:val="28"/>
          <w:szCs w:val="28"/>
        </w:rPr>
        <w:t xml:space="preserve">LOUDERMILL </w:t>
      </w:r>
      <w:r>
        <w:rPr>
          <w:rFonts w:ascii="Arial Black" w:hAnsi="Arial Black"/>
          <w:sz w:val="28"/>
          <w:szCs w:val="28"/>
        </w:rPr>
        <w:t xml:space="preserve">HEARINGS </w:t>
      </w:r>
    </w:p>
    <w:p w14:paraId="3D2422CB" w14:textId="77777777" w:rsidR="002D139D" w:rsidRDefault="002D139D" w:rsidP="002D139D">
      <w:pPr>
        <w:pStyle w:val="NoSpacing"/>
      </w:pPr>
    </w:p>
    <w:p w14:paraId="2E578ECD" w14:textId="77777777" w:rsidR="002D139D" w:rsidRDefault="002D139D" w:rsidP="002D139D">
      <w:pPr>
        <w:pStyle w:val="NoSpacing"/>
      </w:pPr>
      <w:r>
        <w:t xml:space="preserve">On July 24, 2026, in </w:t>
      </w:r>
      <w:r w:rsidRPr="00F341B4">
        <w:rPr>
          <w:u w:val="single"/>
        </w:rPr>
        <w:t>Jeffrey Vale, et al. v. City of Seattle</w:t>
      </w:r>
      <w:r>
        <w:t xml:space="preserve">, U.S. Magistrate Judge Theresa L. Fricke denied the former firefighters’ motion for summary judgment claiming city violated their Free Exercise Clause claim of religious </w:t>
      </w:r>
      <w:proofErr w:type="gramStart"/>
      <w:r>
        <w:t>discrimination, and</w:t>
      </w:r>
      <w:proofErr w:type="gramEnd"/>
      <w:r>
        <w:t xml:space="preserve"> also granted the City’s motion for summary judgment on providing due process prior to termination. The firefighters each received pre-termination </w:t>
      </w:r>
      <w:r w:rsidRPr="007B2004">
        <w:rPr>
          <w:i/>
          <w:iCs/>
        </w:rPr>
        <w:t xml:space="preserve">Loudermill </w:t>
      </w:r>
      <w:r>
        <w:t>hearing; and 9</w:t>
      </w:r>
      <w:r w:rsidRPr="0065019E">
        <w:rPr>
          <w:vertAlign w:val="superscript"/>
        </w:rPr>
        <w:t>th</w:t>
      </w:r>
      <w:r>
        <w:t xml:space="preserve"> Circuit later held in another case that </w:t>
      </w:r>
      <w:r w:rsidRPr="00B6146C">
        <w:rPr>
          <w:i/>
          <w:iCs/>
        </w:rPr>
        <w:t xml:space="preserve">Loudermill </w:t>
      </w:r>
      <w:r>
        <w:t xml:space="preserve">hearings were not required in Covid cases where firefighters receive notice of need to vaccinate). decision </w:t>
      </w:r>
      <w:proofErr w:type="gramStart"/>
      <w:r>
        <w:t>are</w:t>
      </w:r>
      <w:proofErr w:type="gramEnd"/>
      <w:r>
        <w:t xml:space="preserve"> not required).</w:t>
      </w:r>
      <w:r w:rsidRPr="00F40CB1">
        <w:t xml:space="preserve"> </w:t>
      </w:r>
      <w:hyperlink r:id="rId2052" w:history="1">
        <w:r w:rsidRPr="009C317C">
          <w:rPr>
            <w:rStyle w:val="Hyperlink"/>
          </w:rPr>
          <w:t>https://cases.justia.com/federal/district-courts/washington/wawdce/2:2023cv01095/324497/258/0.pdf?ts=1785113252</w:t>
        </w:r>
      </w:hyperlink>
      <w:r>
        <w:t xml:space="preserve"> </w:t>
      </w:r>
    </w:p>
    <w:p w14:paraId="700E2C21" w14:textId="77777777" w:rsidR="002D139D" w:rsidRDefault="002D139D" w:rsidP="002D139D">
      <w:pPr>
        <w:pStyle w:val="NoSpacing"/>
      </w:pPr>
    </w:p>
    <w:p w14:paraId="6ABFF023" w14:textId="77777777" w:rsidR="002D139D" w:rsidRPr="007B2004" w:rsidRDefault="002D139D" w:rsidP="002D139D">
      <w:pPr>
        <w:pStyle w:val="NoSpacing"/>
      </w:pPr>
      <w:r>
        <w:t xml:space="preserve">THE COURT WROTE: </w:t>
      </w:r>
    </w:p>
    <w:p w14:paraId="606C5C2F" w14:textId="77777777" w:rsidR="002D139D" w:rsidRDefault="002D139D" w:rsidP="002D139D">
      <w:pPr>
        <w:pStyle w:val="NoSpacing"/>
      </w:pPr>
    </w:p>
    <w:p w14:paraId="38195F60" w14:textId="77777777" w:rsidR="002D139D" w:rsidRDefault="002D139D" w:rsidP="002D139D">
      <w:pPr>
        <w:pStyle w:val="NoSpacing"/>
      </w:pPr>
      <w:r>
        <w:t>“This matter concerns thirty Plaintiffs challenge their separation from the SFD due to their non-compliance with the COVID-19 vaccination mandate of defendant City of Seattle (hereinafter the ‘City’). On August 9, 2021, Mayor Jenny Durkan issued Mayoral Directive No. 9, which</w:t>
      </w:r>
    </w:p>
    <w:p w14:paraId="406CB9B8" w14:textId="77777777" w:rsidR="002D139D" w:rsidRDefault="002D139D" w:rsidP="002D139D">
      <w:pPr>
        <w:pStyle w:val="NoSpacing"/>
      </w:pPr>
      <w:r>
        <w:t>required City employees to be vaccinated against COVID-19 by October 18, 2021….The directive allowed employees to seek medical or religious exemptions from the vaccination mandate…. For [the 26] employees who were granted exemptions, the City later issued final</w:t>
      </w:r>
    </w:p>
    <w:p w14:paraId="261DAB80" w14:textId="77777777" w:rsidR="002D139D" w:rsidRDefault="002D139D" w:rsidP="002D139D">
      <w:pPr>
        <w:pStyle w:val="NoSpacing"/>
      </w:pPr>
      <w:r>
        <w:t xml:space="preserve">determination letters stating that it was unable to identify any reasonable accommodation that would allow the employees to perform the essential functions of their positions while unvaccinated…. The </w:t>
      </w:r>
      <w:proofErr w:type="gramStart"/>
      <w:r>
        <w:t>City</w:t>
      </w:r>
      <w:proofErr w:type="gramEnd"/>
      <w:r>
        <w:t xml:space="preserve"> states employees who remained unvaccinated and were recommended</w:t>
      </w:r>
    </w:p>
    <w:p w14:paraId="5B49174E" w14:textId="77777777" w:rsidR="002D139D" w:rsidRDefault="002D139D" w:rsidP="002D139D">
      <w:pPr>
        <w:pStyle w:val="NoSpacing"/>
      </w:pPr>
      <w:r>
        <w:t xml:space="preserve">for separation were provided an opportunity to participate in </w:t>
      </w:r>
      <w:r w:rsidRPr="00D80CE1">
        <w:rPr>
          <w:i/>
          <w:iCs/>
        </w:rPr>
        <w:t>Loudermill</w:t>
      </w:r>
      <w:r>
        <w:t xml:space="preserve"> hearings before</w:t>
      </w:r>
    </w:p>
    <w:p w14:paraId="1E0FE1F5" w14:textId="77777777" w:rsidR="002D139D" w:rsidRDefault="002D139D" w:rsidP="002D139D">
      <w:pPr>
        <w:pStyle w:val="NoSpacing"/>
      </w:pPr>
      <w:r>
        <w:t>separation from employment.</w:t>
      </w:r>
    </w:p>
    <w:p w14:paraId="625C2694" w14:textId="77777777" w:rsidR="002D139D" w:rsidRDefault="002D139D" w:rsidP="002D139D">
      <w:pPr>
        <w:pStyle w:val="NoSpacing"/>
      </w:pPr>
    </w:p>
    <w:p w14:paraId="0440ECE9" w14:textId="77777777" w:rsidR="002D139D" w:rsidRDefault="002D139D" w:rsidP="002D139D">
      <w:pPr>
        <w:pStyle w:val="NoSpacing"/>
      </w:pPr>
      <w:r>
        <w:t>***</w:t>
      </w:r>
    </w:p>
    <w:p w14:paraId="49CD64C3" w14:textId="77777777" w:rsidR="002D139D" w:rsidRDefault="002D139D" w:rsidP="002D139D">
      <w:pPr>
        <w:pStyle w:val="NoSpacing"/>
      </w:pPr>
    </w:p>
    <w:p w14:paraId="679F5691" w14:textId="77777777" w:rsidR="002D139D" w:rsidRDefault="002D139D" w:rsidP="002D139D">
      <w:pPr>
        <w:pStyle w:val="NoSpacing"/>
      </w:pPr>
      <w:r>
        <w:t xml:space="preserve">[FREE EXERCISE CLAIM] Plaintiffs assert that evidence concerning non-City firefighters and emergency personnel (such as those from Boeing, South Snohomish County, Central Pierce, and South Pierce) shows the </w:t>
      </w:r>
      <w:proofErr w:type="gramStart"/>
      <w:r>
        <w:t>City</w:t>
      </w:r>
      <w:proofErr w:type="gramEnd"/>
      <w:r>
        <w:t xml:space="preserve"> applied its mandate in an underinclusive manner…. </w:t>
      </w:r>
      <w:proofErr w:type="gramStart"/>
      <w:r>
        <w:t>But,</w:t>
      </w:r>
      <w:proofErr w:type="gramEnd"/>
      <w:r>
        <w:t xml:space="preserve"> defendants assert that from October 2021 to February 2023, the </w:t>
      </w:r>
      <w:proofErr w:type="gramStart"/>
      <w:r>
        <w:t>City</w:t>
      </w:r>
      <w:proofErr w:type="gramEnd"/>
      <w:r>
        <w:t xml:space="preserve"> did not use automatic-aid responses or agreements to supplement or replace its unvaccinated employees from neighboring cities…. Defendants also point to the City’s contractor mandate and attestation requirements for covered onsite or in-person City work…. Plaintiffs also rely on public events and gatherings, including SFD Neighbor Day events, station tours, a King County Fire Chiefs Association event, and a summer</w:t>
      </w:r>
    </w:p>
    <w:p w14:paraId="66C8EEB0" w14:textId="77777777" w:rsidR="002D139D" w:rsidRDefault="002D139D" w:rsidP="002D139D">
      <w:pPr>
        <w:pStyle w:val="NoSpacing"/>
      </w:pPr>
      <w:r>
        <w:t>potluck…. Plaintiffs argue these events exposed SFD personnel to unvaccinated members of the public while religious- objector employees were denied accommodations….Viewing the record in the light most favorable to defendants, a reasonable factfinder could conclude that transient public contact at events is not comparable to unvaccinated firefighters working regular shifts, sharing station living spaces, using City vehicles, responding to emergency calls, and providing patient care.</w:t>
      </w:r>
    </w:p>
    <w:p w14:paraId="4579B300" w14:textId="77777777" w:rsidR="002D139D" w:rsidRDefault="002D139D" w:rsidP="002D139D">
      <w:pPr>
        <w:pStyle w:val="NoSpacing"/>
      </w:pPr>
    </w:p>
    <w:p w14:paraId="68D4D167" w14:textId="77777777" w:rsidR="002D139D" w:rsidRDefault="002D139D" w:rsidP="002D139D">
      <w:pPr>
        <w:pStyle w:val="NoSpacing"/>
      </w:pPr>
      <w:r>
        <w:t>[DUE PROCESS CLAIM] The Court thus finds defendants are entitled to judgment as a matter of law on</w:t>
      </w:r>
    </w:p>
    <w:p w14:paraId="4772446B" w14:textId="77777777" w:rsidR="002D139D" w:rsidRDefault="002D139D" w:rsidP="002D139D">
      <w:pPr>
        <w:pStyle w:val="NoSpacing"/>
      </w:pPr>
      <w:r>
        <w:t xml:space="preserve">plaintiffs’ due process </w:t>
      </w:r>
      <w:proofErr w:type="gramStart"/>
      <w:r>
        <w:t>claim</w:t>
      </w:r>
      <w:proofErr w:type="gramEnd"/>
      <w:r>
        <w:t xml:space="preserve"> under the above-described authorities. On the same day however, the Ninth Circuit issued its decision in Bacon v. Woodward, No. 22-35611, 2024 WL 3041850 (9th Cir. Jun. 18, 2024) (hereinafter “Bacon II”). The matter addressed Washington’s Proclamation that “required firefighters in Washington State to be fully vaccinated against COVID-19.” Id. at *1. The Bacon II Court affirmed the dismissal of the firefighters’ due process claim. Id. at *1-*2. The Court rejected the firefighters’ reliance on Loudermill to assert “</w:t>
      </w:r>
      <w:proofErr w:type="gramStart"/>
      <w:r>
        <w:t>their</w:t>
      </w:r>
      <w:proofErr w:type="gramEnd"/>
    </w:p>
    <w:p w14:paraId="05B79B36" w14:textId="77777777" w:rsidR="002D139D" w:rsidRDefault="002D139D" w:rsidP="002D139D">
      <w:pPr>
        <w:pStyle w:val="NoSpacing"/>
      </w:pPr>
      <w:r>
        <w:t>due process rights were violated when they were denied religious and medical accommodations after what they considered to be sham hearings.” Id. at *1-*2”</w:t>
      </w:r>
    </w:p>
    <w:p w14:paraId="6FCA0E07" w14:textId="77777777" w:rsidR="002D139D" w:rsidRDefault="002D139D" w:rsidP="002D139D">
      <w:pPr>
        <w:pStyle w:val="NoSpacing"/>
      </w:pPr>
    </w:p>
    <w:p w14:paraId="35891137" w14:textId="77777777" w:rsidR="002D139D" w:rsidRPr="00121C86" w:rsidRDefault="002D139D" w:rsidP="002D139D">
      <w:pPr>
        <w:pStyle w:val="NoSpacing"/>
        <w:rPr>
          <w:b/>
          <w:bCs/>
        </w:rPr>
      </w:pPr>
      <w:r>
        <w:rPr>
          <w:b/>
        </w:rPr>
        <w:t xml:space="preserve">Legal lesson learned: FD followed due process procedures prior to termination. </w:t>
      </w:r>
    </w:p>
    <w:p w14:paraId="66662965" w14:textId="77777777" w:rsidR="002D139D" w:rsidRDefault="002D139D" w:rsidP="002D139D">
      <w:pPr>
        <w:pStyle w:val="NoSpacing"/>
      </w:pPr>
    </w:p>
    <w:p w14:paraId="784EED4B" w14:textId="77777777" w:rsidR="002D139D" w:rsidRDefault="002D139D" w:rsidP="002D139D">
      <w:pPr>
        <w:pStyle w:val="NoSpacing"/>
        <w:rPr>
          <w:b/>
          <w:sz w:val="20"/>
          <w:szCs w:val="20"/>
        </w:rPr>
      </w:pPr>
    </w:p>
    <w:p w14:paraId="06F23BC7" w14:textId="77777777" w:rsidR="002D139D" w:rsidRDefault="002D139D" w:rsidP="002D139D">
      <w:pPr>
        <w:pStyle w:val="NoSpacing"/>
        <w:rPr>
          <w:b/>
          <w:sz w:val="20"/>
          <w:szCs w:val="20"/>
        </w:rPr>
      </w:pPr>
    </w:p>
    <w:p w14:paraId="15EBF991" w14:textId="673D18B2" w:rsidR="002D139D" w:rsidRPr="00A971EA" w:rsidRDefault="00A971EA" w:rsidP="002D139D">
      <w:pPr>
        <w:pStyle w:val="NoSpacing"/>
        <w:rPr>
          <w:rFonts w:ascii="Arial Black" w:hAnsi="Arial Black"/>
          <w:b/>
          <w:sz w:val="24"/>
          <w:szCs w:val="24"/>
        </w:rPr>
      </w:pPr>
      <w:r w:rsidRPr="00A971EA">
        <w:rPr>
          <w:rFonts w:ascii="Arial Black" w:hAnsi="Arial Black"/>
          <w:b/>
          <w:sz w:val="24"/>
          <w:szCs w:val="24"/>
        </w:rPr>
        <w:t>13-273</w:t>
      </w:r>
    </w:p>
    <w:p w14:paraId="18D1F2F7" w14:textId="77777777" w:rsidR="002D139D" w:rsidRDefault="002D139D" w:rsidP="002D139D">
      <w:pPr>
        <w:pStyle w:val="NoSpacing"/>
        <w:rPr>
          <w:b/>
        </w:rPr>
      </w:pPr>
    </w:p>
    <w:p w14:paraId="4962A58D" w14:textId="77777777" w:rsidR="002D139D" w:rsidRDefault="002D139D" w:rsidP="002D139D">
      <w:pPr>
        <w:pStyle w:val="NoSpacing"/>
        <w:rPr>
          <w:rFonts w:ascii="Arial Black" w:hAnsi="Arial Black"/>
          <w:b/>
          <w:sz w:val="28"/>
          <w:szCs w:val="28"/>
        </w:rPr>
      </w:pPr>
      <w:r>
        <w:rPr>
          <w:rFonts w:ascii="Arial Black" w:hAnsi="Arial Black"/>
          <w:b/>
          <w:sz w:val="28"/>
          <w:szCs w:val="28"/>
        </w:rPr>
        <w:t>OR: DEF. CONV. INTERFERING EMS - NO CIVIL COMPROMISE</w:t>
      </w:r>
    </w:p>
    <w:p w14:paraId="6875F86C" w14:textId="77777777" w:rsidR="002D139D" w:rsidRDefault="002D139D" w:rsidP="002D139D">
      <w:pPr>
        <w:pStyle w:val="NoSpacing"/>
        <w:rPr>
          <w:rFonts w:ascii="Arial Black" w:hAnsi="Arial Black"/>
          <w:b/>
          <w:sz w:val="28"/>
          <w:szCs w:val="28"/>
        </w:rPr>
      </w:pPr>
    </w:p>
    <w:p w14:paraId="10C83E26" w14:textId="77777777" w:rsidR="002D139D" w:rsidRPr="00DA6AC7" w:rsidRDefault="002D139D" w:rsidP="002D139D">
      <w:pPr>
        <w:pStyle w:val="NoSpacing"/>
        <w:rPr>
          <w:bCs/>
        </w:rPr>
      </w:pPr>
      <w:r w:rsidRPr="00F32109">
        <w:t xml:space="preserve">On July 22, 2026, in </w:t>
      </w:r>
      <w:r w:rsidRPr="00F32109">
        <w:rPr>
          <w:u w:val="single"/>
        </w:rPr>
        <w:t>State of Oregon v. Roberto Hernandez</w:t>
      </w:r>
      <w:r w:rsidRPr="00F32109">
        <w:t xml:space="preserve">, </w:t>
      </w:r>
      <w:r>
        <w:t xml:space="preserve">the </w:t>
      </w:r>
      <w:r w:rsidRPr="008B3DCE">
        <w:t>Court of Appeals of Oregon</w:t>
      </w:r>
      <w:r>
        <w:t xml:space="preserve"> held (3 to 0) that trial court properly found defendant guilty and refused to drop the misdemeanor charges, since the offense of </w:t>
      </w:r>
      <w:r w:rsidRPr="00E46D74">
        <w:t>interfering with emergency medical service (EMS)</w:t>
      </w:r>
      <w:r>
        <w:t xml:space="preserve">, </w:t>
      </w:r>
      <w:r w:rsidRPr="00E46D74">
        <w:t>ORS 162.257</w:t>
      </w:r>
      <w:r>
        <w:t>, is an offense against the public at large. Under Oregon’s  “civilly compromise” statute a misdemeanor can be privately resolved if the injured party has a civil cause of action for the injury, and “</w:t>
      </w:r>
      <w:r w:rsidRPr="00DA6AC7">
        <w:t>the</w:t>
      </w:r>
      <w:r>
        <w:t xml:space="preserve"> </w:t>
      </w:r>
      <w:r w:rsidRPr="00DA6AC7">
        <w:t>injured party acknowledges in writing before trial that they</w:t>
      </w:r>
      <w:r>
        <w:t xml:space="preserve"> </w:t>
      </w:r>
      <w:r w:rsidRPr="00DA6AC7">
        <w:t>have received satisfaction for their injury, and (4) the defendant pays the cost of any incurred expenses.</w:t>
      </w:r>
      <w:r>
        <w:t xml:space="preserve">”  The EMT had signed that he had received satisfaction. </w:t>
      </w:r>
      <w:hyperlink r:id="rId2053" w:history="1">
        <w:r w:rsidRPr="005B5770">
          <w:rPr>
            <w:rStyle w:val="Hyperlink"/>
          </w:rPr>
          <w:t>https://cases.justia.com/oregon/court-of-appeals/2026-a185059.pdf?ts=1784734294</w:t>
        </w:r>
      </w:hyperlink>
      <w:r>
        <w:t xml:space="preserve"> </w:t>
      </w:r>
    </w:p>
    <w:p w14:paraId="6D04F565" w14:textId="77777777" w:rsidR="002D139D" w:rsidRDefault="002D139D" w:rsidP="002D139D">
      <w:pPr>
        <w:pStyle w:val="NoSpacing"/>
        <w:rPr>
          <w:bCs/>
        </w:rPr>
      </w:pPr>
    </w:p>
    <w:p w14:paraId="7247095E" w14:textId="77777777" w:rsidR="002D139D" w:rsidRDefault="002D139D" w:rsidP="002D139D">
      <w:pPr>
        <w:pStyle w:val="NoSpacing"/>
      </w:pPr>
      <w:r>
        <w:t xml:space="preserve">THE COURT WROTE: </w:t>
      </w:r>
    </w:p>
    <w:p w14:paraId="2A3F47B9" w14:textId="77777777" w:rsidR="002D139D" w:rsidRDefault="002D139D" w:rsidP="002D139D">
      <w:pPr>
        <w:pStyle w:val="NoSpacing"/>
      </w:pPr>
    </w:p>
    <w:p w14:paraId="58AF3F53" w14:textId="77777777" w:rsidR="002D139D" w:rsidRDefault="002D139D" w:rsidP="002D139D">
      <w:pPr>
        <w:pStyle w:val="NoSpacing"/>
      </w:pPr>
      <w:r>
        <w:t>“</w:t>
      </w:r>
      <w:r w:rsidRPr="00D26819">
        <w:t>Defendant was charged with interfering with EMS</w:t>
      </w:r>
      <w:r>
        <w:t xml:space="preserve"> </w:t>
      </w:r>
      <w:r w:rsidRPr="00D26819">
        <w:t>providers after he prevented EMS from rendering aid to an</w:t>
      </w:r>
      <w:r>
        <w:t xml:space="preserve"> </w:t>
      </w:r>
      <w:r w:rsidRPr="00D26819">
        <w:t>injured woman following a vehicular accident.</w:t>
      </w:r>
      <w:r>
        <w:t xml:space="preserve"> </w:t>
      </w:r>
      <w:r w:rsidRPr="00D26819">
        <w:t>The woman</w:t>
      </w:r>
      <w:r>
        <w:t xml:space="preserve"> </w:t>
      </w:r>
      <w:r w:rsidRPr="00D26819">
        <w:t>had been driving, and defendant was a passenger. At the</w:t>
      </w:r>
      <w:r>
        <w:t xml:space="preserve"> </w:t>
      </w:r>
      <w:r w:rsidRPr="00D26819">
        <w:t xml:space="preserve">crash site, defendant lay on top of the woman and </w:t>
      </w:r>
    </w:p>
    <w:p w14:paraId="561D390E" w14:textId="77777777" w:rsidR="002D139D" w:rsidRPr="00D26819" w:rsidRDefault="002D139D" w:rsidP="002D139D">
      <w:pPr>
        <w:pStyle w:val="NoSpacing"/>
      </w:pPr>
      <w:r w:rsidRPr="00D26819">
        <w:t>continuously screamed that she needed help.</w:t>
      </w:r>
      <w:r>
        <w:t xml:space="preserve">  </w:t>
      </w:r>
      <w:r w:rsidRPr="00D26819">
        <w:t>However, when EMS</w:t>
      </w:r>
      <w:r>
        <w:t xml:space="preserve"> </w:t>
      </w:r>
      <w:r w:rsidRPr="00D26819">
        <w:t>providers tried to render her aid, defendant refused to move</w:t>
      </w:r>
      <w:r>
        <w:t xml:space="preserve"> </w:t>
      </w:r>
      <w:r w:rsidRPr="00D26819">
        <w:t>and punched an EMS provider once in the chest—though no</w:t>
      </w:r>
    </w:p>
    <w:p w14:paraId="3A22A920" w14:textId="77777777" w:rsidR="002D139D" w:rsidRDefault="002D139D" w:rsidP="002D139D">
      <w:pPr>
        <w:pStyle w:val="NoSpacing"/>
      </w:pPr>
      <w:proofErr w:type="gramStart"/>
      <w:r w:rsidRPr="00D26819">
        <w:t>injury</w:t>
      </w:r>
      <w:proofErr w:type="gramEnd"/>
      <w:r w:rsidRPr="00D26819">
        <w:t xml:space="preserve"> resulted. Defendant was subsequently detained.</w:t>
      </w:r>
      <w:r>
        <w:t xml:space="preserve"> [Footnote 2: Prior to the accident, defendant and the woman had been drinking. When EMS providers arrived, the woman was lying on the ground profusely bleeding and screaming for help. She was later transported to the hospital. Her injuries required four surgeries and being airlifted to an intensive care unit.] </w:t>
      </w:r>
    </w:p>
    <w:p w14:paraId="5EBEFEB3" w14:textId="77777777" w:rsidR="002D139D" w:rsidRDefault="002D139D" w:rsidP="002D139D">
      <w:pPr>
        <w:pStyle w:val="NoSpacing"/>
      </w:pPr>
      <w:r>
        <w:t xml:space="preserve">Before trial, defendant wrote the EMS provider an apology, and the EMS provider acknowledged in writing that he had received satisfaction for his injuries and agreed to a civil compromise. Defendant moved to dismiss the charge pursuant to that civil compromise, but the trial court denied the motion, reasoning that civil compromise requires that the injured party have a civil cause of action against the defendant for the conduct prohibited by the criminal statute and that no such civil cause of action existed for the conduct prohibited by the offense of interfering with EMS providers. Defendant was convicted at trial.  [Footnote 1: Defendant was also charged with second-degree disorderly conduct, ORS 166.025, but was acquitted of that charge at trial.] </w:t>
      </w:r>
    </w:p>
    <w:p w14:paraId="603DFD34" w14:textId="77777777" w:rsidR="002D139D" w:rsidRDefault="002D139D" w:rsidP="002D139D">
      <w:pPr>
        <w:pStyle w:val="NoSpacing"/>
      </w:pPr>
    </w:p>
    <w:p w14:paraId="4527AE79" w14:textId="77777777" w:rsidR="002D139D" w:rsidRDefault="002D139D" w:rsidP="002D139D">
      <w:pPr>
        <w:pStyle w:val="NoSpacing"/>
      </w:pPr>
      <w:r>
        <w:t>***</w:t>
      </w:r>
    </w:p>
    <w:p w14:paraId="1E5D3818" w14:textId="77777777" w:rsidR="002D139D" w:rsidRDefault="002D139D" w:rsidP="002D139D">
      <w:pPr>
        <w:pStyle w:val="NoSpacing"/>
      </w:pPr>
    </w:p>
    <w:p w14:paraId="793DA5EA" w14:textId="77777777" w:rsidR="002D139D" w:rsidRDefault="002D139D" w:rsidP="002D139D">
      <w:pPr>
        <w:pStyle w:val="NoSpacing"/>
      </w:pPr>
      <w:r>
        <w:t>On appeal, defendant argues that the trial court erred by denying his motion to dismiss pursuant to a civil compromise. Defendant argues that the EMS provider had a civilly actionable battery claim, and therefore, the acknowledgement of satisfaction of injury between defendant and</w:t>
      </w:r>
    </w:p>
    <w:p w14:paraId="4D1300DC" w14:textId="77777777" w:rsidR="002D139D" w:rsidRDefault="002D139D" w:rsidP="002D139D">
      <w:pPr>
        <w:pStyle w:val="NoSpacing"/>
      </w:pPr>
      <w:proofErr w:type="gramStart"/>
      <w:r>
        <w:t>the</w:t>
      </w:r>
      <w:proofErr w:type="gramEnd"/>
      <w:r>
        <w:t xml:space="preserve"> EMS provider satisfied the statutory requirements for a civil compromise. In response, the state argues that the public at large, not the EMS provider, is the “injured person,” and therefore, an individual EMS provider does not have a civil cause of action for the criminal conduct </w:t>
      </w:r>
    </w:p>
    <w:p w14:paraId="6D14E5B0" w14:textId="77777777" w:rsidR="002D139D" w:rsidRDefault="002D139D" w:rsidP="002D139D">
      <w:pPr>
        <w:pStyle w:val="NoSpacing"/>
      </w:pPr>
      <w:r>
        <w:t>prohibited by the offense of interfering with EMS providers. We agree with the state that the public is the ‘injured person’ under ORS 162.257 and, thus, affirm…. ORS 162.257 is an offense that primarily injures the public at large and, therefore, cannot be civilly compromised. The trial court did not err in denying defendant’s motion.</w:t>
      </w:r>
    </w:p>
    <w:p w14:paraId="55BC951C" w14:textId="77777777" w:rsidR="002D139D" w:rsidRDefault="002D139D" w:rsidP="002D139D">
      <w:pPr>
        <w:pStyle w:val="NoSpacing"/>
      </w:pPr>
    </w:p>
    <w:p w14:paraId="3EB13CE5" w14:textId="77777777" w:rsidR="002D139D" w:rsidRPr="00FF74A3" w:rsidRDefault="002D139D" w:rsidP="002D139D">
      <w:pPr>
        <w:pStyle w:val="NoSpacing"/>
        <w:rPr>
          <w:b/>
          <w:bCs/>
        </w:rPr>
      </w:pPr>
      <w:r>
        <w:rPr>
          <w:b/>
        </w:rPr>
        <w:t xml:space="preserve">Legal lesson learned: Interfering with EMS is not subject to civil compromise between the EMS and the offender. </w:t>
      </w:r>
    </w:p>
    <w:p w14:paraId="307A0259" w14:textId="77777777" w:rsidR="002D139D" w:rsidRDefault="002D139D" w:rsidP="002D139D">
      <w:pPr>
        <w:pStyle w:val="NoSpacing"/>
        <w:rPr>
          <w:b/>
          <w:sz w:val="20"/>
          <w:szCs w:val="20"/>
        </w:rPr>
      </w:pPr>
    </w:p>
    <w:p w14:paraId="53B8CC0D" w14:textId="77777777" w:rsidR="002D139D" w:rsidRDefault="002D139D" w:rsidP="002D139D">
      <w:pPr>
        <w:pStyle w:val="NoSpacing"/>
        <w:rPr>
          <w:b/>
          <w:sz w:val="20"/>
          <w:szCs w:val="20"/>
        </w:rPr>
      </w:pPr>
    </w:p>
    <w:p w14:paraId="7378DFA4" w14:textId="77777777" w:rsidR="002D139D" w:rsidRDefault="002D139D" w:rsidP="002D139D">
      <w:pPr>
        <w:pStyle w:val="NoSpacing"/>
        <w:rPr>
          <w:b/>
          <w:sz w:val="20"/>
          <w:szCs w:val="20"/>
        </w:rPr>
      </w:pPr>
    </w:p>
    <w:p w14:paraId="542A3D05" w14:textId="5D5B04C1" w:rsidR="002D139D" w:rsidRDefault="00A971EA" w:rsidP="002D139D">
      <w:pPr>
        <w:pStyle w:val="NoSpacing"/>
        <w:rPr>
          <w:rFonts w:ascii="Arial Black" w:hAnsi="Arial Black"/>
          <w:b/>
          <w:sz w:val="28"/>
          <w:szCs w:val="28"/>
        </w:rPr>
      </w:pPr>
      <w:r>
        <w:rPr>
          <w:rFonts w:ascii="Arial Black" w:hAnsi="Arial Black"/>
          <w:b/>
          <w:sz w:val="28"/>
          <w:szCs w:val="28"/>
        </w:rPr>
        <w:t xml:space="preserve">13-272 </w:t>
      </w:r>
    </w:p>
    <w:p w14:paraId="2916FF85" w14:textId="77777777" w:rsidR="00A971EA" w:rsidRDefault="00A971EA" w:rsidP="002D139D">
      <w:pPr>
        <w:pStyle w:val="NoSpacing"/>
        <w:rPr>
          <w:rFonts w:ascii="Arial Black" w:hAnsi="Arial Black"/>
          <w:b/>
          <w:sz w:val="28"/>
          <w:szCs w:val="28"/>
        </w:rPr>
      </w:pPr>
    </w:p>
    <w:p w14:paraId="7373DE3A" w14:textId="77777777" w:rsidR="002D139D" w:rsidRDefault="002D139D" w:rsidP="002D139D">
      <w:pPr>
        <w:pStyle w:val="NoSpacing"/>
        <w:rPr>
          <w:rFonts w:ascii="Arial Black" w:hAnsi="Arial Black"/>
          <w:b/>
          <w:sz w:val="28"/>
          <w:szCs w:val="28"/>
        </w:rPr>
      </w:pPr>
      <w:r>
        <w:rPr>
          <w:rFonts w:ascii="Arial Black" w:hAnsi="Arial Black"/>
          <w:b/>
          <w:sz w:val="28"/>
          <w:szCs w:val="28"/>
        </w:rPr>
        <w:t xml:space="preserve">NJ: EMS SUPER SUED BY EMT – TOLD OTHERS EMT CONV  </w:t>
      </w:r>
    </w:p>
    <w:p w14:paraId="3F21491D" w14:textId="77777777" w:rsidR="002D139D" w:rsidRDefault="002D139D" w:rsidP="002D139D">
      <w:pPr>
        <w:pStyle w:val="NoSpacing"/>
        <w:rPr>
          <w:rFonts w:ascii="Arial Black" w:hAnsi="Arial Black"/>
          <w:b/>
          <w:sz w:val="28"/>
          <w:szCs w:val="28"/>
        </w:rPr>
      </w:pPr>
    </w:p>
    <w:p w14:paraId="7AFEA2B1" w14:textId="77777777" w:rsidR="002D139D" w:rsidRDefault="002D139D" w:rsidP="002D139D">
      <w:pPr>
        <w:pStyle w:val="NoSpacing"/>
        <w:rPr>
          <w:bCs/>
        </w:rPr>
      </w:pPr>
      <w:r w:rsidRPr="00AC2490">
        <w:t xml:space="preserve">On July 21, 2026, in </w:t>
      </w:r>
      <w:r w:rsidRPr="00AC2490">
        <w:rPr>
          <w:u w:val="single"/>
        </w:rPr>
        <w:t>L.R. Jr. v. J.R.B</w:t>
      </w:r>
      <w:r w:rsidRPr="00AC2490">
        <w:t xml:space="preserve">., </w:t>
      </w:r>
      <w:r>
        <w:t xml:space="preserve">the </w:t>
      </w:r>
      <w:r w:rsidRPr="00AC2490">
        <w:t>Superior Court of New Jersey, Appellate Division</w:t>
      </w:r>
      <w:r>
        <w:t xml:space="preserve"> held (2 to 0; unpublished decision) that the former EMT Supervisor (initials J.R.B.) is entitled to a new hearing, before a new judge; the original judge issued a final protective order against him to stop his publicly sharing EMT’s conviction, without first advising him of right to counsel and the consequences of a final protective order.  </w:t>
      </w:r>
    </w:p>
    <w:p w14:paraId="15B4533E" w14:textId="77777777" w:rsidR="002D139D" w:rsidRDefault="002D139D" w:rsidP="002D139D">
      <w:pPr>
        <w:pStyle w:val="NoSpacing"/>
        <w:rPr>
          <w:bCs/>
        </w:rPr>
      </w:pPr>
      <w:hyperlink r:id="rId2054" w:history="1">
        <w:r w:rsidRPr="0044034D">
          <w:rPr>
            <w:rStyle w:val="Hyperlink"/>
          </w:rPr>
          <w:t>https://www.njcourts.gov/system/files/court-opinions/2026/a1374-24.pdf</w:t>
        </w:r>
      </w:hyperlink>
      <w:r>
        <w:t xml:space="preserve"> </w:t>
      </w:r>
    </w:p>
    <w:p w14:paraId="41EA3D93" w14:textId="77777777" w:rsidR="002D139D" w:rsidRDefault="002D139D" w:rsidP="002D139D">
      <w:pPr>
        <w:pStyle w:val="NoSpacing"/>
        <w:rPr>
          <w:bCs/>
        </w:rPr>
      </w:pPr>
    </w:p>
    <w:p w14:paraId="52491841" w14:textId="77777777" w:rsidR="002D139D" w:rsidRDefault="002D139D" w:rsidP="002D139D">
      <w:pPr>
        <w:pStyle w:val="NoSpacing"/>
        <w:rPr>
          <w:bCs/>
        </w:rPr>
      </w:pPr>
      <w:r>
        <w:t>THE COURT WROTE:</w:t>
      </w:r>
    </w:p>
    <w:p w14:paraId="59344603" w14:textId="77777777" w:rsidR="002D139D" w:rsidRDefault="002D139D" w:rsidP="002D139D">
      <w:pPr>
        <w:pStyle w:val="NoSpacing"/>
        <w:rPr>
          <w:bCs/>
        </w:rPr>
      </w:pPr>
    </w:p>
    <w:p w14:paraId="456EB71C" w14:textId="77777777" w:rsidR="002D139D" w:rsidRPr="00557E89" w:rsidRDefault="002D139D" w:rsidP="002D139D">
      <w:pPr>
        <w:pStyle w:val="NoSpacing"/>
        <w:rPr>
          <w:bCs/>
        </w:rPr>
      </w:pPr>
      <w:r>
        <w:t>“</w:t>
      </w:r>
      <w:r w:rsidRPr="00557E89">
        <w:t>Plaintiff pled</w:t>
      </w:r>
      <w:r>
        <w:t xml:space="preserve"> </w:t>
      </w:r>
      <w:r w:rsidRPr="00557E89">
        <w:t>guilty to endangering the welfare of a child in 2001 and was subject to Megan 's</w:t>
      </w:r>
    </w:p>
    <w:p w14:paraId="437374BA" w14:textId="77777777" w:rsidR="002D139D" w:rsidRPr="00F23DB2" w:rsidRDefault="002D139D" w:rsidP="002D139D">
      <w:pPr>
        <w:pStyle w:val="NoSpacing"/>
        <w:rPr>
          <w:bCs/>
        </w:rPr>
      </w:pPr>
      <w:r w:rsidRPr="00557E89">
        <w:t xml:space="preserve">Law and parole supervision for </w:t>
      </w:r>
      <w:proofErr w:type="gramStart"/>
      <w:r w:rsidRPr="00557E89">
        <w:t>life (</w:t>
      </w:r>
      <w:r>
        <w:t>‘</w:t>
      </w:r>
      <w:proofErr w:type="gramEnd"/>
      <w:r w:rsidRPr="00557E89">
        <w:t>PSL</w:t>
      </w:r>
      <w:r>
        <w:t>’</w:t>
      </w:r>
      <w:r w:rsidRPr="00557E89">
        <w:t>). In 2011, plaintiff and defendant</w:t>
      </w:r>
      <w:r>
        <w:t xml:space="preserve"> </w:t>
      </w:r>
      <w:r w:rsidRPr="00557E89">
        <w:t xml:space="preserve">worked together as volunteer emergency medical </w:t>
      </w:r>
      <w:proofErr w:type="gramStart"/>
      <w:r w:rsidRPr="00557E89">
        <w:t>technicians (</w:t>
      </w:r>
      <w:r>
        <w:t>‘</w:t>
      </w:r>
      <w:proofErr w:type="gramEnd"/>
      <w:r w:rsidRPr="00557E89">
        <w:t>EMTs</w:t>
      </w:r>
      <w:r>
        <w:t>’</w:t>
      </w:r>
      <w:r w:rsidRPr="00557E89">
        <w:t>).</w:t>
      </w:r>
      <w:r>
        <w:t xml:space="preserve"> </w:t>
      </w:r>
      <w:r w:rsidRPr="00557E89">
        <w:t>Plaintiff served as defendant's supervisor. After plaintiff filed a complaint,</w:t>
      </w:r>
      <w:r>
        <w:t xml:space="preserve"> </w:t>
      </w:r>
      <w:r w:rsidRPr="00557E89">
        <w:t>defendant received a thirty-day suspension. Defendant then voluntarily left his</w:t>
      </w:r>
      <w:r>
        <w:t xml:space="preserve"> </w:t>
      </w:r>
      <w:r w:rsidRPr="00557E89">
        <w:t>position.</w:t>
      </w:r>
      <w:r>
        <w:t xml:space="preserve"> </w:t>
      </w:r>
      <w:r w:rsidRPr="00557E89">
        <w:t>Plaintiff claimed that his record was expunged in April 2016. Plaintiff</w:t>
      </w:r>
      <w:r>
        <w:t xml:space="preserve"> </w:t>
      </w:r>
      <w:r w:rsidRPr="00557E89">
        <w:t>moved to Florida in 2018. In 2019, defendant discovered plaintiff's LinkedIn</w:t>
      </w:r>
      <w:r>
        <w:t xml:space="preserve"> </w:t>
      </w:r>
      <w:r w:rsidRPr="00557E89">
        <w:t>account and saw that plaintiff worked as an EMT in Florida. Defendant then</w:t>
      </w:r>
      <w:r>
        <w:t xml:space="preserve"> </w:t>
      </w:r>
      <w:r w:rsidRPr="00557E89">
        <w:t xml:space="preserve">submitted an Open Public Records </w:t>
      </w:r>
      <w:proofErr w:type="gramStart"/>
      <w:r w:rsidRPr="00557E89">
        <w:t>Act (</w:t>
      </w:r>
      <w:r>
        <w:t>‘</w:t>
      </w:r>
      <w:proofErr w:type="gramEnd"/>
      <w:r w:rsidRPr="00557E89">
        <w:t>OPRA</w:t>
      </w:r>
      <w:r>
        <w:t>’</w:t>
      </w:r>
      <w:r w:rsidRPr="00557E89">
        <w:t>) request to the State Parole</w:t>
      </w:r>
      <w:r>
        <w:t xml:space="preserve"> </w:t>
      </w:r>
      <w:r w:rsidRPr="00F23DB2">
        <w:t>Board and obtained plaintiff's judgment of conviction, which included Megan's</w:t>
      </w:r>
      <w:r>
        <w:t xml:space="preserve"> </w:t>
      </w:r>
      <w:r w:rsidRPr="00F23DB2">
        <w:t>Law and PSL requirements. After receiving these documents, defendant notified</w:t>
      </w:r>
      <w:r>
        <w:t xml:space="preserve"> </w:t>
      </w:r>
      <w:r w:rsidRPr="00F23DB2">
        <w:t>Florida authorities that plaintiff resided in Florida and was required to register</w:t>
      </w:r>
      <w:r>
        <w:t xml:space="preserve"> </w:t>
      </w:r>
      <w:r w:rsidRPr="00F23DB2">
        <w:t>under Megan's Law. In November 2019, Florida law enforcement officers</w:t>
      </w:r>
    </w:p>
    <w:p w14:paraId="3F51EF51" w14:textId="77777777" w:rsidR="002D139D" w:rsidRPr="002515CB" w:rsidRDefault="002D139D" w:rsidP="002D139D">
      <w:pPr>
        <w:pStyle w:val="NoSpacing"/>
        <w:rPr>
          <w:bCs/>
        </w:rPr>
      </w:pPr>
      <w:r w:rsidRPr="00F23DB2">
        <w:t>visited plaintiff's residence and informed him that he must register as a sex</w:t>
      </w:r>
      <w:r>
        <w:t xml:space="preserve"> </w:t>
      </w:r>
      <w:r w:rsidRPr="00F23DB2">
        <w:t>offender because of his New Jersey conviction. Plaintiff subsequently returned</w:t>
      </w:r>
      <w:r>
        <w:t xml:space="preserve"> </w:t>
      </w:r>
      <w:r w:rsidRPr="00F23DB2">
        <w:t>to New Jersey and started to work here again as an EMT.</w:t>
      </w:r>
      <w:r>
        <w:t xml:space="preserve"> </w:t>
      </w:r>
      <w:r w:rsidRPr="002515CB">
        <w:t>In February 2020, defendant posted the documents obtained through the</w:t>
      </w:r>
    </w:p>
    <w:p w14:paraId="4556D7E8" w14:textId="77777777" w:rsidR="002D139D" w:rsidRPr="00F036F0" w:rsidRDefault="002D139D" w:rsidP="002D139D">
      <w:pPr>
        <w:pStyle w:val="NoSpacing"/>
        <w:rPr>
          <w:bCs/>
        </w:rPr>
      </w:pPr>
      <w:r w:rsidRPr="002515CB">
        <w:t>OPRA request on Facebook. Plaintiff testified that defendant then made</w:t>
      </w:r>
      <w:r>
        <w:t xml:space="preserve"> </w:t>
      </w:r>
      <w:r w:rsidRPr="002515CB">
        <w:t xml:space="preserve">additional posts about his past but plaintiff </w:t>
      </w:r>
      <w:r>
        <w:t>‘</w:t>
      </w:r>
      <w:r w:rsidRPr="002515CB">
        <w:t xml:space="preserve">let it go, </w:t>
      </w:r>
      <w:proofErr w:type="gramStart"/>
      <w:r w:rsidRPr="002515CB">
        <w:t>cause</w:t>
      </w:r>
      <w:proofErr w:type="gramEnd"/>
      <w:r w:rsidRPr="002515CB">
        <w:t xml:space="preserve"> I was hoping if I let</w:t>
      </w:r>
      <w:r>
        <w:t xml:space="preserve"> </w:t>
      </w:r>
      <w:r w:rsidRPr="002515CB">
        <w:t>it go it would just stop.</w:t>
      </w:r>
      <w:r>
        <w:t xml:space="preserve">’ </w:t>
      </w:r>
      <w:r w:rsidRPr="00F036F0">
        <w:t>In November 2024, defendant emailed the New Jersey State Emergency</w:t>
      </w:r>
      <w:r>
        <w:t xml:space="preserve"> </w:t>
      </w:r>
      <w:r w:rsidRPr="00F036F0">
        <w:t xml:space="preserve">Medical Services Task </w:t>
      </w:r>
      <w:proofErr w:type="gramStart"/>
      <w:r w:rsidRPr="00F036F0">
        <w:t>Force (</w:t>
      </w:r>
      <w:r>
        <w:t>‘</w:t>
      </w:r>
      <w:proofErr w:type="gramEnd"/>
      <w:r w:rsidRPr="00F036F0">
        <w:t>EMSTF</w:t>
      </w:r>
      <w:r>
        <w:t>’</w:t>
      </w:r>
      <w:r w:rsidRPr="00F036F0">
        <w:t>), stating that he knew of an employee</w:t>
      </w:r>
      <w:r>
        <w:t xml:space="preserve"> </w:t>
      </w:r>
      <w:r w:rsidRPr="00F036F0">
        <w:t>with a child endangerment conviction. That same month, defendant posted on</w:t>
      </w:r>
      <w:r>
        <w:t xml:space="preserve"> </w:t>
      </w:r>
      <w:r w:rsidRPr="00F036F0">
        <w:t xml:space="preserve">the New Jersey Forest Fire Department's webpage, </w:t>
      </w:r>
      <w:r>
        <w:t>‘</w:t>
      </w:r>
      <w:r w:rsidRPr="00F036F0">
        <w:t>[w]hy does the Department</w:t>
      </w:r>
      <w:r>
        <w:t xml:space="preserve"> </w:t>
      </w:r>
      <w:r w:rsidRPr="00F036F0">
        <w:t>allow sex offenders on the crew?</w:t>
      </w:r>
      <w:r>
        <w:t>’</w:t>
      </w:r>
      <w:r w:rsidRPr="00F036F0">
        <w:t xml:space="preserve"> He also linked plaintiff's payroll information</w:t>
      </w:r>
      <w:r>
        <w:t xml:space="preserve"> </w:t>
      </w:r>
      <w:r w:rsidRPr="00F036F0">
        <w:t>from the State Department of Treasury. In December 2024, defendant posted</w:t>
      </w:r>
    </w:p>
    <w:p w14:paraId="2FA5C52F" w14:textId="77777777" w:rsidR="002D139D" w:rsidRDefault="002D139D" w:rsidP="002D139D">
      <w:pPr>
        <w:pStyle w:val="NoSpacing"/>
        <w:rPr>
          <w:bCs/>
        </w:rPr>
      </w:pPr>
      <w:r w:rsidRPr="00F036F0">
        <w:t xml:space="preserve">on the EMSTF webpage, </w:t>
      </w:r>
      <w:r>
        <w:t>‘</w:t>
      </w:r>
      <w:r w:rsidRPr="00F036F0">
        <w:t>[w]hy does the [EMSTF] have people who pled to</w:t>
      </w:r>
      <w:r>
        <w:t xml:space="preserve"> </w:t>
      </w:r>
      <w:proofErr w:type="gramStart"/>
      <w:r w:rsidRPr="00F036F0">
        <w:t>endangering</w:t>
      </w:r>
      <w:proofErr w:type="gramEnd"/>
      <w:r w:rsidRPr="00F036F0">
        <w:t xml:space="preserve"> the welfare of a child?</w:t>
      </w:r>
      <w:r>
        <w:t>’</w:t>
      </w:r>
    </w:p>
    <w:p w14:paraId="058A771E" w14:textId="77777777" w:rsidR="002D139D" w:rsidRDefault="002D139D" w:rsidP="002D139D">
      <w:pPr>
        <w:pStyle w:val="NoSpacing"/>
        <w:rPr>
          <w:bCs/>
        </w:rPr>
      </w:pPr>
    </w:p>
    <w:p w14:paraId="2C08619D" w14:textId="77777777" w:rsidR="002D139D" w:rsidRDefault="002D139D" w:rsidP="002D139D">
      <w:pPr>
        <w:pStyle w:val="NoSpacing"/>
        <w:rPr>
          <w:bCs/>
        </w:rPr>
      </w:pPr>
      <w:r>
        <w:t>***</w:t>
      </w:r>
    </w:p>
    <w:p w14:paraId="589581DA" w14:textId="77777777" w:rsidR="002D139D" w:rsidRPr="00794B93" w:rsidRDefault="002D139D" w:rsidP="002D139D">
      <w:pPr>
        <w:pStyle w:val="NoSpacing"/>
        <w:rPr>
          <w:bCs/>
        </w:rPr>
      </w:pPr>
      <w:r w:rsidRPr="00B37DFD">
        <w:t>As noted above, the record neither demonstrates that the judge informed</w:t>
      </w:r>
      <w:r>
        <w:t xml:space="preserve"> </w:t>
      </w:r>
      <w:r w:rsidRPr="00B37DFD">
        <w:t>defendant of his right to be represented by legal counsel in advance of trial, nor</w:t>
      </w:r>
      <w:r>
        <w:t xml:space="preserve"> </w:t>
      </w:r>
      <w:r w:rsidRPr="00B37DFD">
        <w:t>that defendant voluntarily and knowingly waived his right to counsel. Guided</w:t>
      </w:r>
      <w:r>
        <w:t xml:space="preserve"> </w:t>
      </w:r>
      <w:r w:rsidRPr="00B37DFD">
        <w:t>by the noted principles, we conclude the court mistakenly applied its discretion</w:t>
      </w:r>
      <w:r>
        <w:t xml:space="preserve"> </w:t>
      </w:r>
      <w:r w:rsidRPr="00B37DFD">
        <w:t>by its failure to instruct defendant of his right to be represented by legal counsel</w:t>
      </w:r>
      <w:r>
        <w:t xml:space="preserve"> </w:t>
      </w:r>
      <w:r w:rsidRPr="00B37DFD">
        <w:t>in advance of trial and by not taking testimony concerning whether defendant</w:t>
      </w:r>
      <w:r>
        <w:t xml:space="preserve"> </w:t>
      </w:r>
      <w:r w:rsidRPr="00794B93">
        <w:t>knowingly and voluntarily waived his right to counsel. Although we can</w:t>
      </w:r>
      <w:r>
        <w:t xml:space="preserve"> </w:t>
      </w:r>
      <w:r w:rsidRPr="00794B93">
        <w:t>appreciate the need for the court to have control over management of its trial</w:t>
      </w:r>
      <w:r>
        <w:t xml:space="preserve"> </w:t>
      </w:r>
      <w:r w:rsidRPr="00794B93">
        <w:t>list, we discern there would have been no undue prejudice to plaintiff if</w:t>
      </w:r>
      <w:r>
        <w:t xml:space="preserve"> </w:t>
      </w:r>
      <w:r w:rsidRPr="00794B93">
        <w:t>defendant sought an adjournment to obtain counsel as the TPO protections</w:t>
      </w:r>
      <w:r>
        <w:t xml:space="preserve"> </w:t>
      </w:r>
      <w:r w:rsidRPr="00794B93">
        <w:t>would have remained in effect. Therefore, we are constrained to vacate the FPO,</w:t>
      </w:r>
    </w:p>
    <w:p w14:paraId="7AA35C69" w14:textId="77777777" w:rsidR="002D139D" w:rsidRDefault="002D139D" w:rsidP="002D139D">
      <w:pPr>
        <w:pStyle w:val="NoSpacing"/>
        <w:rPr>
          <w:bCs/>
        </w:rPr>
      </w:pPr>
      <w:r w:rsidRPr="00794B93">
        <w:t>reinstate the TPO, and remand for a new trial.</w:t>
      </w:r>
      <w:r>
        <w:t>”</w:t>
      </w:r>
    </w:p>
    <w:p w14:paraId="681D2EA4" w14:textId="77777777" w:rsidR="002D139D" w:rsidRDefault="002D139D" w:rsidP="002D139D">
      <w:pPr>
        <w:pStyle w:val="NoSpacing"/>
        <w:rPr>
          <w:bCs/>
        </w:rPr>
      </w:pPr>
    </w:p>
    <w:p w14:paraId="42932537" w14:textId="77777777" w:rsidR="002D139D" w:rsidRPr="00091D5C" w:rsidRDefault="002D139D" w:rsidP="002D139D">
      <w:pPr>
        <w:pStyle w:val="NoSpacing"/>
        <w:rPr>
          <w:b/>
        </w:rPr>
      </w:pPr>
      <w:r w:rsidRPr="00091D5C">
        <w:rPr>
          <w:b/>
        </w:rPr>
        <w:t xml:space="preserve">Legal lesson learned: </w:t>
      </w:r>
      <w:r>
        <w:rPr>
          <w:b/>
        </w:rPr>
        <w:t xml:space="preserve">The EMT’s conviction is a public record, but posting documents on Facebook can lead to “cyber harassment” litigation. </w:t>
      </w:r>
    </w:p>
    <w:p w14:paraId="22078E71" w14:textId="77777777" w:rsidR="002D139D" w:rsidRDefault="002D139D" w:rsidP="002D139D">
      <w:pPr>
        <w:pStyle w:val="NoSpacing"/>
        <w:rPr>
          <w:bCs/>
        </w:rPr>
      </w:pPr>
    </w:p>
    <w:p w14:paraId="16F04844" w14:textId="77777777" w:rsidR="002D139D" w:rsidRDefault="002D139D" w:rsidP="002D139D">
      <w:pPr>
        <w:pStyle w:val="NoSpacing"/>
      </w:pPr>
    </w:p>
    <w:p w14:paraId="1B11098F" w14:textId="77777777" w:rsidR="002D139D" w:rsidRDefault="002D139D" w:rsidP="002D139D">
      <w:pPr>
        <w:pStyle w:val="NoSpacing"/>
      </w:pPr>
    </w:p>
    <w:p w14:paraId="14E698D2" w14:textId="654D6CED" w:rsidR="002D139D" w:rsidRDefault="00A971EA" w:rsidP="002D139D">
      <w:pPr>
        <w:rPr>
          <w:rFonts w:ascii="Arial Black" w:hAnsi="Arial Black"/>
          <w:b/>
          <w:sz w:val="28"/>
          <w:szCs w:val="28"/>
        </w:rPr>
      </w:pPr>
      <w:r>
        <w:rPr>
          <w:rFonts w:ascii="Arial Black" w:hAnsi="Arial Black"/>
          <w:b/>
          <w:sz w:val="28"/>
          <w:szCs w:val="28"/>
        </w:rPr>
        <w:t>13-271</w:t>
      </w:r>
    </w:p>
    <w:p w14:paraId="6D81718D" w14:textId="77777777" w:rsidR="002D139D" w:rsidRPr="00C46E5F" w:rsidRDefault="002D139D" w:rsidP="002D139D">
      <w:pPr>
        <w:rPr>
          <w:b/>
          <w:sz w:val="40"/>
          <w:szCs w:val="40"/>
        </w:rPr>
      </w:pPr>
      <w:r>
        <w:rPr>
          <w:rFonts w:ascii="Arial Black" w:hAnsi="Arial Black"/>
          <w:b/>
          <w:sz w:val="28"/>
          <w:szCs w:val="28"/>
        </w:rPr>
        <w:t xml:space="preserve">MI: PT TOLD MEDIC DEF HURT HER - HEARSAY EXCEPTION </w:t>
      </w:r>
    </w:p>
    <w:p w14:paraId="19EE1015" w14:textId="77777777" w:rsidR="002D139D" w:rsidRDefault="002D139D" w:rsidP="002D139D">
      <w:pPr>
        <w:pStyle w:val="NoSpacing"/>
        <w:rPr>
          <w:bCs/>
        </w:rPr>
      </w:pPr>
      <w:r w:rsidRPr="00012298">
        <w:t xml:space="preserve">On July 16, 2026, in </w:t>
      </w:r>
      <w:r w:rsidRPr="0059572D">
        <w:rPr>
          <w:u w:val="single"/>
        </w:rPr>
        <w:t>People of the</w:t>
      </w:r>
      <w:r w:rsidRPr="00012298">
        <w:t xml:space="preserve"> </w:t>
      </w:r>
      <w:r w:rsidRPr="00012298">
        <w:rPr>
          <w:u w:val="single"/>
        </w:rPr>
        <w:t>State of Michigan v. Robert A. Hollon</w:t>
      </w:r>
      <w:r w:rsidRPr="00012298">
        <w:t xml:space="preserve">, </w:t>
      </w:r>
      <w:r>
        <w:t xml:space="preserve">the </w:t>
      </w:r>
      <w:r w:rsidRPr="0059572D">
        <w:t>Court of Appeals of Michigan</w:t>
      </w:r>
      <w:r>
        <w:t xml:space="preserve"> held (3 to 0; unpublished decision) that prior to trial court allowing Medic and ER doctor to testify in murder trial, court should first hold hearing on defendant’s </w:t>
      </w:r>
      <w:r w:rsidRPr="00164115">
        <w:t xml:space="preserve">motion to exclude evidence. </w:t>
      </w:r>
      <w:r>
        <w:t xml:space="preserve"> The patient [identified by her initials “WP”], who later died, told Medic in ambulance and ER doctor that her boyfriend had pushed her down the stairs. </w:t>
      </w:r>
      <w:hyperlink r:id="rId2055" w:history="1">
        <w:r w:rsidRPr="001C4F77">
          <w:rPr>
            <w:rStyle w:val="Hyperlink"/>
          </w:rPr>
          <w:t>https://cases.justia.com/michigan/court-of-appeals-unpublished/2026-377838.pdf?ts=1784293205</w:t>
        </w:r>
      </w:hyperlink>
      <w:r>
        <w:t xml:space="preserve"> </w:t>
      </w:r>
    </w:p>
    <w:p w14:paraId="5CEBB1CB" w14:textId="77777777" w:rsidR="002D139D" w:rsidRDefault="002D139D" w:rsidP="002D139D">
      <w:pPr>
        <w:pStyle w:val="NoSpacing"/>
        <w:rPr>
          <w:bCs/>
        </w:rPr>
      </w:pPr>
    </w:p>
    <w:p w14:paraId="5910B37A" w14:textId="77777777" w:rsidR="002D139D" w:rsidRDefault="002D139D" w:rsidP="002D139D">
      <w:pPr>
        <w:pStyle w:val="NoSpacing"/>
      </w:pPr>
      <w:r>
        <w:t>THE COURT WROTE: “</w:t>
      </w:r>
      <w:r w:rsidRPr="00066976">
        <w:t xml:space="preserve">Therefore, on remand, if the prosecution continues to seek to elicit testimony at trial from the paramedic or ER doctor as to WP's statements identifying her assailant (either by name or otherwise), the trial court must first hold an evidentiary hearing at which the prospective witness testifies, and the trial court must apply this evidence to the </w:t>
      </w:r>
      <w:r w:rsidRPr="00827032">
        <w:rPr>
          <w:i/>
          <w:iCs/>
        </w:rPr>
        <w:t xml:space="preserve">Meeboer </w:t>
      </w:r>
      <w:r w:rsidRPr="00066976">
        <w:t>factors to determine its possible admissibility under MRE 803(4)</w:t>
      </w:r>
      <w:r>
        <w:t xml:space="preserve">…. In </w:t>
      </w:r>
      <w:r w:rsidRPr="004C1020">
        <w:rPr>
          <w:i/>
          <w:iCs/>
        </w:rPr>
        <w:t>People v Meeboer (After Remand)</w:t>
      </w:r>
      <w:r w:rsidRPr="004C1020">
        <w:t>, 439 Mich. 310, 322; 484 N.W.2d 621 (1992), the Michigan Supreme Court held that a child sexual assault victim's hearsay statement identifying the child's assailant made to a physician-as opposed to a psychologist- was admissible under MRE 803(4).</w:t>
      </w:r>
      <w:r>
        <w:t xml:space="preserve"> </w:t>
      </w:r>
      <w:r w:rsidRPr="00D75B8B">
        <w:t xml:space="preserve">Instead, </w:t>
      </w:r>
      <w:r w:rsidRPr="00D75B8B">
        <w:rPr>
          <w:i/>
          <w:iCs/>
        </w:rPr>
        <w:t>Meeboer</w:t>
      </w:r>
      <w:r w:rsidRPr="00D75B8B">
        <w:t xml:space="preserve"> held that, when deciding the admissibility of a hearsay statement of identification under MRE 803(4), courts look to the trustworthiness and necessity of the statement in light of MRE 803(4)'s underlying rationale: </w:t>
      </w:r>
      <w:r>
        <w:t>‘</w:t>
      </w:r>
      <w:r w:rsidRPr="00D75B8B">
        <w:t>(1) the self-interested motivation to speak the truth to treating physicians in order to receive proper medical care, and (2) the reasonable necessity of the statement to the diagnosis and treatment of the patient.</w:t>
      </w:r>
      <w:r>
        <w:t>’</w:t>
      </w:r>
      <w:r w:rsidRPr="00D75B8B">
        <w:t xml:space="preserve"> </w:t>
      </w:r>
      <w:r w:rsidRPr="00D75B8B">
        <w:rPr>
          <w:i/>
          <w:iCs/>
        </w:rPr>
        <w:t>Id</w:t>
      </w:r>
      <w:r w:rsidRPr="00D75B8B">
        <w:t>. at 322-30.</w:t>
      </w:r>
      <w:r>
        <w:t>”</w:t>
      </w:r>
    </w:p>
    <w:p w14:paraId="70C23D63" w14:textId="77777777" w:rsidR="002D139D" w:rsidRDefault="002D139D" w:rsidP="002D139D">
      <w:pPr>
        <w:pStyle w:val="NoSpacing"/>
      </w:pPr>
    </w:p>
    <w:p w14:paraId="66B9F8A5" w14:textId="77777777" w:rsidR="002D139D" w:rsidRPr="004C1020" w:rsidRDefault="002D139D" w:rsidP="002D139D">
      <w:pPr>
        <w:pStyle w:val="NoSpacing"/>
      </w:pPr>
      <w:r>
        <w:t>***</w:t>
      </w:r>
    </w:p>
    <w:p w14:paraId="0784D18C" w14:textId="77777777" w:rsidR="002D139D" w:rsidRDefault="002D139D" w:rsidP="002D139D">
      <w:pPr>
        <w:pStyle w:val="NoSpacing"/>
      </w:pPr>
    </w:p>
    <w:p w14:paraId="0D67A827" w14:textId="77777777" w:rsidR="002D139D" w:rsidRDefault="002D139D" w:rsidP="002D139D">
      <w:pPr>
        <w:pStyle w:val="NoSpacing"/>
      </w:pPr>
      <w:r>
        <w:t xml:space="preserve">Concurring Judge: “The urgency of her medical condition, that the statements were made in the back of an ambulance, and while receiving emergency medical care at a hospital align well with the trustworthiness factor to be considered under </w:t>
      </w:r>
      <w:r w:rsidRPr="00BB3761">
        <w:rPr>
          <w:i/>
          <w:iCs/>
        </w:rPr>
        <w:t>Meeboer</w:t>
      </w:r>
      <w:r>
        <w:t xml:space="preserve">.” </w:t>
      </w:r>
      <w:hyperlink r:id="rId2056" w:history="1">
        <w:r w:rsidRPr="002B5610">
          <w:rPr>
            <w:rStyle w:val="Hyperlink"/>
          </w:rPr>
          <w:t>https://cases.justia.com/michigan/court-of-appeals-unpublished/2026-377838.pdf?ts=1784293205</w:t>
        </w:r>
      </w:hyperlink>
      <w:r>
        <w:t xml:space="preserve"> </w:t>
      </w:r>
    </w:p>
    <w:p w14:paraId="5CAA8DCC" w14:textId="77777777" w:rsidR="002D139D" w:rsidRDefault="002D139D" w:rsidP="002D139D">
      <w:pPr>
        <w:pStyle w:val="NoSpacing"/>
        <w:rPr>
          <w:b/>
          <w:bCs/>
        </w:rPr>
      </w:pPr>
    </w:p>
    <w:p w14:paraId="160EBCB4" w14:textId="77777777" w:rsidR="002D139D" w:rsidRDefault="002D139D" w:rsidP="002D139D">
      <w:pPr>
        <w:pStyle w:val="NoSpacing"/>
        <w:rPr>
          <w:b/>
          <w:bCs/>
        </w:rPr>
      </w:pPr>
      <w:r>
        <w:rPr>
          <w:b/>
        </w:rPr>
        <w:t xml:space="preserve">Legal lesson learned: Patient’s comments to EMS while receiving emergency medical care can be admissible at trial.  EMS should document the comments in the </w:t>
      </w:r>
      <w:proofErr w:type="gramStart"/>
      <w:r>
        <w:rPr>
          <w:b/>
        </w:rPr>
        <w:t>run</w:t>
      </w:r>
      <w:proofErr w:type="gramEnd"/>
      <w:r>
        <w:rPr>
          <w:b/>
        </w:rPr>
        <w:t xml:space="preserve"> report </w:t>
      </w:r>
    </w:p>
    <w:p w14:paraId="4E6A06F4" w14:textId="77777777" w:rsidR="002D139D" w:rsidRDefault="002D139D" w:rsidP="002D139D">
      <w:pPr>
        <w:pStyle w:val="NoSpacing"/>
        <w:rPr>
          <w:b/>
          <w:bCs/>
        </w:rPr>
      </w:pPr>
    </w:p>
    <w:p w14:paraId="54999602" w14:textId="77777777" w:rsidR="002D139D" w:rsidRDefault="002D139D" w:rsidP="002D139D">
      <w:pPr>
        <w:pStyle w:val="NoSpacing"/>
      </w:pPr>
      <w:r>
        <w:rPr>
          <w:b/>
        </w:rPr>
        <w:tab/>
      </w:r>
      <w:r w:rsidRPr="003E7066">
        <w:t>See Michigan Rule of Evidence 803(4)</w:t>
      </w:r>
      <w:r>
        <w:t xml:space="preserve">. </w:t>
      </w:r>
      <w:hyperlink r:id="rId2057" w:history="1">
        <w:r w:rsidRPr="002B5610">
          <w:rPr>
            <w:rStyle w:val="Hyperlink"/>
          </w:rPr>
          <w:t>https://www.law.cornell.edu/rules/fre/rule_803</w:t>
        </w:r>
      </w:hyperlink>
      <w:r>
        <w:t xml:space="preserve"> </w:t>
      </w:r>
    </w:p>
    <w:p w14:paraId="231C9CA0" w14:textId="77777777" w:rsidR="002D139D" w:rsidRPr="003E7066" w:rsidRDefault="002D139D" w:rsidP="002D139D">
      <w:pPr>
        <w:pStyle w:val="NoSpacing"/>
        <w:ind w:left="720"/>
      </w:pPr>
      <w:r w:rsidRPr="003E7066">
        <w:t>Exceptions to the Rule Against Hearsay:</w:t>
      </w:r>
    </w:p>
    <w:p w14:paraId="1BB16E0F" w14:textId="77777777" w:rsidR="002D139D" w:rsidRPr="003E7066" w:rsidRDefault="002D139D" w:rsidP="002D139D">
      <w:pPr>
        <w:pStyle w:val="NoSpacing"/>
        <w:ind w:left="720"/>
      </w:pPr>
      <w:r w:rsidRPr="003E7066">
        <w:t>The following are not excluded by the rule against hearsay, regardless of whether the declarant is available as a witness:</w:t>
      </w:r>
      <w:r>
        <w:t xml:space="preserve"> ***</w:t>
      </w:r>
    </w:p>
    <w:p w14:paraId="00D7F751" w14:textId="77777777" w:rsidR="002D139D" w:rsidRPr="003E7066" w:rsidRDefault="002D139D" w:rsidP="002D139D">
      <w:pPr>
        <w:pStyle w:val="NoSpacing"/>
        <w:ind w:firstLine="720"/>
      </w:pPr>
      <w:r w:rsidRPr="003E7066">
        <w:t xml:space="preserve">(4) </w:t>
      </w:r>
      <w:r w:rsidRPr="003E7066">
        <w:rPr>
          <w:i/>
          <w:iCs/>
        </w:rPr>
        <w:t>Statement Made for Medical Diagnosis or Treatment</w:t>
      </w:r>
      <w:r w:rsidRPr="003E7066">
        <w:t>. A statement that:</w:t>
      </w:r>
    </w:p>
    <w:p w14:paraId="783784F0" w14:textId="77777777" w:rsidR="002D139D" w:rsidRPr="003E7066" w:rsidRDefault="002D139D" w:rsidP="002D139D">
      <w:pPr>
        <w:pStyle w:val="NoSpacing"/>
        <w:ind w:left="720"/>
      </w:pPr>
      <w:r w:rsidRPr="003E7066">
        <w:t>(A) is made for — and is reasonably pertinent to — medical diagnosis or treatment; and (B) describes medical history; past or present symptoms or sensations; their inception; or their general cause.</w:t>
      </w:r>
    </w:p>
    <w:p w14:paraId="04F3D2F8" w14:textId="77777777" w:rsidR="002D139D" w:rsidRDefault="002D139D" w:rsidP="002D139D">
      <w:pPr>
        <w:pStyle w:val="NoSpacing"/>
        <w:rPr>
          <w:b/>
        </w:rPr>
      </w:pPr>
    </w:p>
    <w:p w14:paraId="18F122C7" w14:textId="77777777" w:rsidR="002D139D" w:rsidRDefault="002D139D" w:rsidP="002D139D">
      <w:pPr>
        <w:pStyle w:val="NoSpacing"/>
        <w:rPr>
          <w:b/>
        </w:rPr>
      </w:pPr>
    </w:p>
    <w:p w14:paraId="75CFE5FC" w14:textId="77777777" w:rsidR="002D139D" w:rsidRDefault="002D139D" w:rsidP="002D139D">
      <w:pPr>
        <w:pStyle w:val="NoSpacing"/>
        <w:rPr>
          <w:rFonts w:ascii="Arial Black" w:hAnsi="Arial Black"/>
          <w:sz w:val="28"/>
          <w:szCs w:val="28"/>
        </w:rPr>
      </w:pPr>
    </w:p>
    <w:p w14:paraId="5C0F048C" w14:textId="014EC2D5" w:rsidR="002D139D" w:rsidRDefault="00A971EA" w:rsidP="002D139D">
      <w:pPr>
        <w:pStyle w:val="NoSpacing"/>
        <w:rPr>
          <w:rFonts w:ascii="Arial Black" w:hAnsi="Arial Black"/>
          <w:sz w:val="28"/>
          <w:szCs w:val="28"/>
        </w:rPr>
      </w:pPr>
      <w:r>
        <w:rPr>
          <w:rFonts w:ascii="Arial Black" w:hAnsi="Arial Black"/>
          <w:sz w:val="28"/>
          <w:szCs w:val="28"/>
        </w:rPr>
        <w:t xml:space="preserve">13-270 </w:t>
      </w:r>
    </w:p>
    <w:p w14:paraId="04183909" w14:textId="77777777" w:rsidR="00A971EA" w:rsidRDefault="00A971EA" w:rsidP="002D139D">
      <w:pPr>
        <w:pStyle w:val="NoSpacing"/>
        <w:rPr>
          <w:rFonts w:ascii="Arial Black" w:hAnsi="Arial Black"/>
          <w:sz w:val="28"/>
          <w:szCs w:val="28"/>
        </w:rPr>
      </w:pPr>
    </w:p>
    <w:p w14:paraId="472E6326" w14:textId="77777777" w:rsidR="002D139D" w:rsidRPr="003A5B53" w:rsidRDefault="002D139D" w:rsidP="002D139D">
      <w:pPr>
        <w:pStyle w:val="NoSpacing"/>
        <w:rPr>
          <w:rFonts w:ascii="Arial Black" w:hAnsi="Arial Black"/>
          <w:sz w:val="28"/>
          <w:szCs w:val="28"/>
        </w:rPr>
      </w:pPr>
      <w:r>
        <w:rPr>
          <w:rFonts w:ascii="Arial Black" w:hAnsi="Arial Black"/>
          <w:sz w:val="28"/>
          <w:szCs w:val="28"/>
        </w:rPr>
        <w:t>WA: COVID – CHRISTIAN FFs – ADMIN DUTY 4 MOS / FIRED</w:t>
      </w:r>
    </w:p>
    <w:p w14:paraId="599E7F0C" w14:textId="77777777" w:rsidR="002D139D" w:rsidRDefault="002D139D" w:rsidP="002D139D">
      <w:pPr>
        <w:pStyle w:val="NoSpacing"/>
      </w:pPr>
    </w:p>
    <w:p w14:paraId="307CCBD2" w14:textId="77777777" w:rsidR="002D139D" w:rsidRDefault="002D139D" w:rsidP="002D139D">
      <w:pPr>
        <w:pStyle w:val="NoSpacing"/>
      </w:pPr>
      <w:r>
        <w:t xml:space="preserve">On July 14, 2026, in </w:t>
      </w:r>
      <w:r w:rsidRPr="008A2380">
        <w:rPr>
          <w:u w:val="single"/>
        </w:rPr>
        <w:t>Erik Gustafson, et al. v. City of Kirkland, et al</w:t>
      </w:r>
      <w:r>
        <w:t xml:space="preserve">., U.S. District Court Judge Robert S. </w:t>
      </w:r>
      <w:proofErr w:type="spellStart"/>
      <w:r>
        <w:t>Lasnik</w:t>
      </w:r>
      <w:proofErr w:type="spellEnd"/>
      <w:r>
        <w:t xml:space="preserve">, United States District Court, Western District of Washinton (Seattle) granted City’s motion to dismiss.  The city implemented the Governor’s COVID vaccination requirement; City granted temporary administrative positions from August 20, </w:t>
      </w:r>
      <w:proofErr w:type="gramStart"/>
      <w:r>
        <w:t>2021</w:t>
      </w:r>
      <w:proofErr w:type="gramEnd"/>
      <w:r>
        <w:t xml:space="preserve"> until Dec. 31, 2021, and then terminated unvaccinated firefighters of all religious faiths.   </w:t>
      </w:r>
      <w:hyperlink r:id="rId2058" w:history="1">
        <w:r w:rsidRPr="00CE452D">
          <w:rPr>
            <w:rStyle w:val="Hyperlink"/>
          </w:rPr>
          <w:t>https://cases.justia.com/federal/district-courts/washington/wawdce/2:2025cv00367/345154/49/0.pdf?ts=1784314094</w:t>
        </w:r>
      </w:hyperlink>
      <w:r>
        <w:t xml:space="preserve"> </w:t>
      </w:r>
    </w:p>
    <w:p w14:paraId="3EA416AC" w14:textId="77777777" w:rsidR="002D139D" w:rsidRDefault="002D139D" w:rsidP="002D139D">
      <w:pPr>
        <w:pStyle w:val="NoSpacing"/>
      </w:pPr>
    </w:p>
    <w:p w14:paraId="3806A717" w14:textId="77777777" w:rsidR="002D139D" w:rsidRDefault="002D139D" w:rsidP="002D139D">
      <w:pPr>
        <w:pStyle w:val="NoSpacing"/>
      </w:pPr>
      <w:r>
        <w:t>THE COURT WROTE: “Plaintiffs ‘are devout, practicing Christians’ who allege they ‘were terminated from their employment by the City of Kirkland Fire Department, after exercising their rights to religious freedom and declining to receive the COVID-19 vaccine.’ … After submitting requests for religious exemptions to a vaccination requirement that was in effect for firefighters beginning Aug. 20, 2021, plaintiffs allege that their “requests for religious exemptions were approved by their employers, the Defendants, based on Plaintiffs’ sincerely held religious beliefs.’ … With their religious exemptions approved, plaintiffs were offered accommodations through Dec. 31, 2021…. After that, plaintiffs’ employment with the City of Kirkland Fire Department was terminated.</w:t>
      </w:r>
    </w:p>
    <w:p w14:paraId="7244F8B1" w14:textId="77777777" w:rsidR="002D139D" w:rsidRDefault="002D139D" w:rsidP="002D139D">
      <w:pPr>
        <w:pStyle w:val="NoSpacing"/>
      </w:pPr>
    </w:p>
    <w:p w14:paraId="5B058840" w14:textId="77777777" w:rsidR="002D139D" w:rsidRDefault="002D139D" w:rsidP="002D139D">
      <w:pPr>
        <w:pStyle w:val="NoSpacing"/>
      </w:pPr>
      <w:r>
        <w:t>***</w:t>
      </w:r>
    </w:p>
    <w:p w14:paraId="7E48D317" w14:textId="77777777" w:rsidR="002D139D" w:rsidRDefault="002D139D" w:rsidP="002D139D">
      <w:pPr>
        <w:pStyle w:val="NoSpacing"/>
      </w:pPr>
    </w:p>
    <w:p w14:paraId="4AD72360" w14:textId="77777777" w:rsidR="002D139D" w:rsidRDefault="002D139D" w:rsidP="002D139D">
      <w:pPr>
        <w:pStyle w:val="NoSpacing"/>
      </w:pPr>
      <w:r w:rsidRPr="000F69B7">
        <w:t xml:space="preserve">Plaintiffs allege that </w:t>
      </w:r>
      <w:r>
        <w:t>‘</w:t>
      </w:r>
      <w:r w:rsidRPr="000F69B7">
        <w:t>day shift</w:t>
      </w:r>
      <w:r>
        <w:t>’</w:t>
      </w:r>
      <w:r w:rsidRPr="000F69B7">
        <w:t xml:space="preserve"> accommodations, in which accommodated firefighters</w:t>
      </w:r>
      <w:r>
        <w:t xml:space="preserve"> </w:t>
      </w:r>
      <w:r w:rsidRPr="000F69B7">
        <w:t xml:space="preserve">were allowed to perform </w:t>
      </w:r>
      <w:r>
        <w:t>‘</w:t>
      </w:r>
      <w:r w:rsidRPr="000F69B7">
        <w:t>administrative functions</w:t>
      </w:r>
      <w:r>
        <w:t>’</w:t>
      </w:r>
      <w:r w:rsidRPr="000F69B7">
        <w:t xml:space="preserve"> that didn’t require contact with the public,</w:t>
      </w:r>
      <w:r>
        <w:t xml:space="preserve"> </w:t>
      </w:r>
      <w:r w:rsidRPr="000F69B7">
        <w:t xml:space="preserve">were given </w:t>
      </w:r>
      <w:r>
        <w:t>‘</w:t>
      </w:r>
      <w:r w:rsidRPr="000F69B7">
        <w:t>only</w:t>
      </w:r>
      <w:r>
        <w:t>’</w:t>
      </w:r>
      <w:r w:rsidRPr="000F69B7">
        <w:t xml:space="preserve"> to those firefighters who requested a vaccination exemption on religious</w:t>
      </w:r>
      <w:r>
        <w:t xml:space="preserve"> </w:t>
      </w:r>
      <w:r w:rsidRPr="000F69B7">
        <w:t>grounds</w:t>
      </w:r>
      <w:r>
        <w:t xml:space="preserve">…. </w:t>
      </w:r>
      <w:r w:rsidRPr="000F69B7">
        <w:t>But exhibits attached to plaintiffs’ complaint only support a claim</w:t>
      </w:r>
      <w:r>
        <w:t xml:space="preserve"> </w:t>
      </w:r>
      <w:r w:rsidRPr="000F69B7">
        <w:t xml:space="preserve">that day shift </w:t>
      </w:r>
      <w:proofErr w:type="gramStart"/>
      <w:r w:rsidRPr="000F69B7">
        <w:t>accommodations were</w:t>
      </w:r>
      <w:proofErr w:type="gramEnd"/>
      <w:r w:rsidRPr="000F69B7">
        <w:t xml:space="preserve"> given to a broader category of </w:t>
      </w:r>
      <w:proofErr w:type="gramStart"/>
      <w:r w:rsidRPr="000F69B7">
        <w:t xml:space="preserve">individuals: </w:t>
      </w:r>
      <w:r>
        <w:t>‘</w:t>
      </w:r>
      <w:proofErr w:type="gramEnd"/>
      <w:r w:rsidRPr="000F69B7">
        <w:t>unvaccinated</w:t>
      </w:r>
      <w:r>
        <w:t xml:space="preserve"> </w:t>
      </w:r>
      <w:r w:rsidRPr="000F69B7">
        <w:t>firefighters.</w:t>
      </w:r>
      <w:r>
        <w:t>’ …</w:t>
      </w:r>
      <w:r w:rsidRPr="000F69B7">
        <w:t>Even taking as true plaintiffs’ claim that day shift accommodations were given only to those requesting religious exemptions</w:t>
      </w:r>
      <w:r>
        <w:t xml:space="preserve"> … </w:t>
      </w:r>
      <w:r w:rsidRPr="000F69B7">
        <w:t xml:space="preserve">those claims do not support a specific inference that animus against </w:t>
      </w:r>
      <w:r w:rsidRPr="000F69B7">
        <w:rPr>
          <w:i/>
          <w:iCs/>
        </w:rPr>
        <w:t>Christians</w:t>
      </w:r>
      <w:r w:rsidRPr="000F69B7">
        <w:t xml:space="preserve"> motivated the</w:t>
      </w:r>
      <w:r>
        <w:t xml:space="preserve"> </w:t>
      </w:r>
      <w:r w:rsidRPr="000F69B7">
        <w:t>implementation of defendants’ vaccination policy.</w:t>
      </w:r>
      <w:r>
        <w:t>”</w:t>
      </w:r>
      <w:r w:rsidRPr="00242674">
        <w:t xml:space="preserve"> </w:t>
      </w:r>
    </w:p>
    <w:p w14:paraId="3A74E3D4" w14:textId="77777777" w:rsidR="002D139D" w:rsidRDefault="002D139D" w:rsidP="002D139D">
      <w:pPr>
        <w:pStyle w:val="NoSpacing"/>
      </w:pPr>
    </w:p>
    <w:p w14:paraId="31552092" w14:textId="77777777" w:rsidR="002D139D" w:rsidRPr="00242674" w:rsidRDefault="002D139D" w:rsidP="002D139D">
      <w:pPr>
        <w:pStyle w:val="NoSpacing"/>
        <w:rPr>
          <w:b/>
          <w:bCs/>
        </w:rPr>
      </w:pPr>
      <w:r>
        <w:rPr>
          <w:b/>
        </w:rPr>
        <w:t>Legal lesson learned: No animus shown to Christian firefighters; no obligation to continue to offer administrative positions with no patient contact.</w:t>
      </w:r>
    </w:p>
    <w:p w14:paraId="29CF51BD" w14:textId="77777777" w:rsidR="002D139D" w:rsidRPr="000F69B7" w:rsidRDefault="002D139D" w:rsidP="002D139D">
      <w:pPr>
        <w:pStyle w:val="NoSpacing"/>
      </w:pPr>
    </w:p>
    <w:p w14:paraId="117F8B31" w14:textId="77777777" w:rsidR="002D139D" w:rsidRPr="00BB2BFD" w:rsidRDefault="002D139D" w:rsidP="002D139D">
      <w:pPr>
        <w:pStyle w:val="NoSpacing"/>
        <w:rPr>
          <w:b/>
        </w:rPr>
      </w:pPr>
    </w:p>
    <w:p w14:paraId="6C27645F" w14:textId="490E9E1D" w:rsidR="002D139D" w:rsidRPr="00A971EA" w:rsidRDefault="00A971EA" w:rsidP="002D139D">
      <w:pPr>
        <w:pStyle w:val="NoSpacing"/>
        <w:rPr>
          <w:rFonts w:ascii="Arial Black" w:hAnsi="Arial Black"/>
          <w:sz w:val="24"/>
          <w:szCs w:val="24"/>
        </w:rPr>
      </w:pPr>
      <w:r w:rsidRPr="00A971EA">
        <w:rPr>
          <w:rFonts w:ascii="Arial Black" w:hAnsi="Arial Black"/>
          <w:sz w:val="24"/>
          <w:szCs w:val="24"/>
        </w:rPr>
        <w:t>13-269</w:t>
      </w:r>
    </w:p>
    <w:p w14:paraId="05F7D749" w14:textId="77777777" w:rsidR="00A971EA" w:rsidRDefault="00A971EA" w:rsidP="002D139D">
      <w:pPr>
        <w:pStyle w:val="NoSpacing"/>
      </w:pPr>
    </w:p>
    <w:p w14:paraId="3E4270B8" w14:textId="77777777" w:rsidR="002D139D" w:rsidRPr="00254CC1" w:rsidRDefault="002D139D" w:rsidP="002D139D">
      <w:pPr>
        <w:pStyle w:val="NoSpacing"/>
        <w:rPr>
          <w:rFonts w:ascii="Arial Black" w:hAnsi="Arial Black"/>
          <w:sz w:val="28"/>
          <w:szCs w:val="28"/>
        </w:rPr>
      </w:pPr>
      <w:r>
        <w:rPr>
          <w:rFonts w:ascii="Arial Black" w:hAnsi="Arial Black"/>
          <w:sz w:val="28"/>
          <w:szCs w:val="28"/>
        </w:rPr>
        <w:t xml:space="preserve">WA: COVID – 15 FF – DUE PROCESS – NOTICE / NO HEARING </w:t>
      </w:r>
    </w:p>
    <w:p w14:paraId="15EB2561" w14:textId="77777777" w:rsidR="002D139D" w:rsidRDefault="002D139D" w:rsidP="002D139D">
      <w:pPr>
        <w:pStyle w:val="NoSpacing"/>
      </w:pPr>
    </w:p>
    <w:p w14:paraId="7905A83E" w14:textId="77777777" w:rsidR="002D139D" w:rsidRDefault="002D139D" w:rsidP="002D139D">
      <w:pPr>
        <w:pStyle w:val="NoSpacing"/>
      </w:pPr>
      <w:r>
        <w:t xml:space="preserve">On July 10, 2026, in </w:t>
      </w:r>
      <w:r w:rsidRPr="008D59DD">
        <w:rPr>
          <w:u w:val="single"/>
        </w:rPr>
        <w:t>Monroe Hill et al. v. Washington Department of Natural Resources</w:t>
      </w:r>
      <w:r>
        <w:t xml:space="preserve">, the United States Court of Appeals for Ninth Circuit (sitting in Seattle) held (3 to 0; unpublished decision) that the trial court judge properly dismissed the lawsuit by 15 firefighters, who refused to be vaccinated on account of their religious beliefs and were subsequently terminated. They were provided due process through the vaccination notice and response process and were not entitled to a </w:t>
      </w:r>
      <w:r w:rsidRPr="00BA6BCD">
        <w:rPr>
          <w:i/>
          <w:iCs/>
        </w:rPr>
        <w:t xml:space="preserve">Loudermill </w:t>
      </w:r>
      <w:r>
        <w:t xml:space="preserve">pre-termination hearing. </w:t>
      </w:r>
      <w:hyperlink r:id="rId2059" w:history="1">
        <w:r w:rsidRPr="00237C6E">
          <w:rPr>
            <w:rStyle w:val="Hyperlink"/>
          </w:rPr>
          <w:t>https://cdn.ca9.uscourts.gov/datastore/memoranda/2026/07/10/25-3863.pdf</w:t>
        </w:r>
      </w:hyperlink>
    </w:p>
    <w:p w14:paraId="69144097" w14:textId="77777777" w:rsidR="002D139D" w:rsidRDefault="002D139D" w:rsidP="002D139D">
      <w:pPr>
        <w:pStyle w:val="NoSpacing"/>
      </w:pPr>
    </w:p>
    <w:p w14:paraId="48FEDA9D" w14:textId="77777777" w:rsidR="002D139D" w:rsidRDefault="002D139D" w:rsidP="002D139D">
      <w:pPr>
        <w:pStyle w:val="NoSpacing"/>
      </w:pPr>
      <w:r>
        <w:t xml:space="preserve">THE COURT WROTE: </w:t>
      </w:r>
    </w:p>
    <w:p w14:paraId="7415993D" w14:textId="77777777" w:rsidR="002D139D" w:rsidRDefault="002D139D" w:rsidP="002D139D">
      <w:pPr>
        <w:pStyle w:val="NoSpacing"/>
      </w:pPr>
      <w:r>
        <w:t>“Defendants-Appellees Washington Department of Natural Resources (‘WDNR’) and Commissioner of Public Lands Hilary Franz (‘Franz’) (together, ‘Defendants’) enacted a department-wide policy requiring employees to be vaccinated against COVID-19. Plaintiffs-Appellants (‘Plaintiffs’) WDNR firefighters declined to be vaccinated on account of their religious beliefs and were subsequently terminated. Plaintiffs appeal the district court’s order dismissing with prejudice three claims brought under 42 U.S.C. § 1983 alleging violations of the</w:t>
      </w:r>
    </w:p>
    <w:p w14:paraId="7BA4C20D" w14:textId="77777777" w:rsidR="002D139D" w:rsidRDefault="002D139D" w:rsidP="002D139D">
      <w:pPr>
        <w:pStyle w:val="NoSpacing"/>
      </w:pPr>
      <w:r>
        <w:t>Free Exercise Clause, Equal Protection Clause, and Due Process Clause…. The vaccine mandate was rescinded on or about May 11, 2023.</w:t>
      </w:r>
    </w:p>
    <w:p w14:paraId="7AB56787" w14:textId="77777777" w:rsidR="002D139D" w:rsidRDefault="002D139D" w:rsidP="002D139D">
      <w:pPr>
        <w:pStyle w:val="NoSpacing"/>
      </w:pPr>
    </w:p>
    <w:p w14:paraId="1C519B29" w14:textId="77777777" w:rsidR="002D139D" w:rsidRDefault="002D139D" w:rsidP="002D139D">
      <w:pPr>
        <w:pStyle w:val="NoSpacing"/>
      </w:pPr>
      <w:r>
        <w:t>***</w:t>
      </w:r>
    </w:p>
    <w:p w14:paraId="01BA23C7" w14:textId="77777777" w:rsidR="002D139D" w:rsidRDefault="002D139D" w:rsidP="002D139D">
      <w:pPr>
        <w:pStyle w:val="NoSpacing"/>
      </w:pPr>
    </w:p>
    <w:p w14:paraId="5CFB3F64" w14:textId="77777777" w:rsidR="002D139D" w:rsidRDefault="002D139D" w:rsidP="002D139D">
      <w:pPr>
        <w:pStyle w:val="NoSpacing"/>
      </w:pPr>
      <w:r w:rsidRPr="004D5F03">
        <w:t>Plaintiffs point to Cleveland Board of Education v. Loudermill, 470 U.S. 532</w:t>
      </w:r>
      <w:r>
        <w:t xml:space="preserve"> </w:t>
      </w:r>
      <w:r w:rsidRPr="004D5F03">
        <w:t>(1985) to support a clearly established right to a pre-termination hearing. In</w:t>
      </w:r>
      <w:r>
        <w:t xml:space="preserve"> </w:t>
      </w:r>
      <w:r w:rsidRPr="004D5F03">
        <w:t xml:space="preserve">Loudermill, the Court determined that </w:t>
      </w:r>
      <w:r>
        <w:t>‘</w:t>
      </w:r>
      <w:r w:rsidRPr="004D5F03">
        <w:t>[t]he essential requirements of due process</w:t>
      </w:r>
      <w:r>
        <w:t xml:space="preserve"> </w:t>
      </w:r>
      <w:r w:rsidRPr="004D5F03">
        <w:t>. . . are notice and an opportunity to respond.” 470 U.S. at 546. WDNR’s</w:t>
      </w:r>
      <w:r>
        <w:t xml:space="preserve"> </w:t>
      </w:r>
      <w:r w:rsidRPr="004D5F03">
        <w:t>accommodation and exemption process</w:t>
      </w:r>
      <w:proofErr w:type="gramStart"/>
      <w:r w:rsidRPr="004D5F03">
        <w:t>, in itself, provided</w:t>
      </w:r>
      <w:proofErr w:type="gramEnd"/>
      <w:r w:rsidRPr="004D5F03">
        <w:t xml:space="preserve"> as much notice and</w:t>
      </w:r>
      <w:r>
        <w:t xml:space="preserve"> </w:t>
      </w:r>
      <w:r w:rsidRPr="004D5F03">
        <w:t>process as the law required. WDNR notified employees that they would be terminated if they did not get vaccinated and the exemption and accommodation</w:t>
      </w:r>
      <w:r>
        <w:t xml:space="preserve"> </w:t>
      </w:r>
      <w:r w:rsidRPr="004D5F03">
        <w:t>process provided an opportunity for employees to present their reasons for</w:t>
      </w:r>
      <w:r>
        <w:t xml:space="preserve"> </w:t>
      </w:r>
      <w:r w:rsidRPr="004D5F03">
        <w:t>noncompliance. We affirm the district court’s dismissal of their Due Process claim</w:t>
      </w:r>
      <w:r>
        <w:t xml:space="preserve"> </w:t>
      </w:r>
      <w:r w:rsidRPr="004D5F03">
        <w:t>with prejudice.</w:t>
      </w:r>
      <w:r>
        <w:t>”</w:t>
      </w:r>
    </w:p>
    <w:p w14:paraId="2DBBBEB7" w14:textId="77777777" w:rsidR="002D139D" w:rsidRDefault="002D139D" w:rsidP="002D139D">
      <w:pPr>
        <w:pStyle w:val="NoSpacing"/>
      </w:pPr>
    </w:p>
    <w:p w14:paraId="169045BB" w14:textId="77777777" w:rsidR="002D139D" w:rsidRDefault="002D139D" w:rsidP="002D139D">
      <w:pPr>
        <w:pStyle w:val="NoSpacing"/>
        <w:rPr>
          <w:b/>
          <w:bCs/>
        </w:rPr>
      </w:pPr>
      <w:r w:rsidRPr="000F7471">
        <w:rPr>
          <w:b/>
        </w:rPr>
        <w:t xml:space="preserve">Legal lesson learned: </w:t>
      </w:r>
      <w:r>
        <w:rPr>
          <w:b/>
        </w:rPr>
        <w:t xml:space="preserve">The notice and opportunity to respond was adequate due process. </w:t>
      </w:r>
    </w:p>
    <w:p w14:paraId="37CFC2D8" w14:textId="77777777" w:rsidR="002D139D" w:rsidRDefault="002D139D" w:rsidP="002D139D">
      <w:pPr>
        <w:pStyle w:val="NoSpacing"/>
        <w:rPr>
          <w:b/>
          <w:bCs/>
        </w:rPr>
      </w:pPr>
    </w:p>
    <w:p w14:paraId="38729CE1" w14:textId="77777777" w:rsidR="002D139D" w:rsidRDefault="002D139D" w:rsidP="002D139D">
      <w:pPr>
        <w:pStyle w:val="NoSpacing"/>
        <w:ind w:left="720"/>
      </w:pPr>
      <w:r>
        <w:t xml:space="preserve">Note:  The U.S. Supreme Court </w:t>
      </w:r>
      <w:r w:rsidRPr="00C70286">
        <w:t xml:space="preserve">in </w:t>
      </w:r>
      <w:r w:rsidRPr="00186123">
        <w:rPr>
          <w:u w:val="single"/>
        </w:rPr>
        <w:t>Cleveland Bd. of Educ. v. Loudermill</w:t>
      </w:r>
      <w:r w:rsidRPr="00C70286">
        <w:t xml:space="preserve">, </w:t>
      </w:r>
      <w:hyperlink r:id="rId2060" w:history="1">
        <w:r w:rsidRPr="00C70286">
          <w:rPr>
            <w:rStyle w:val="Hyperlink"/>
          </w:rPr>
          <w:t>470 U.S. 532</w:t>
        </w:r>
      </w:hyperlink>
      <w:r w:rsidRPr="00C70286">
        <w:t xml:space="preserve"> (1985)</w:t>
      </w:r>
      <w:r>
        <w:t xml:space="preserve"> held (6 to 3) that the Board was required to provide a pre-termination hearing before firing a security guard about an undisclosed felony. </w:t>
      </w:r>
      <w:hyperlink r:id="rId2061" w:anchor="top" w:history="1">
        <w:r w:rsidRPr="00743E29">
          <w:rPr>
            <w:rStyle w:val="Hyperlink"/>
          </w:rPr>
          <w:t>https://supreme.justia.com/cases/federal/us/470/532/#top</w:t>
        </w:r>
      </w:hyperlink>
    </w:p>
    <w:p w14:paraId="1FF9375C" w14:textId="77777777" w:rsidR="002D139D" w:rsidRDefault="002D139D" w:rsidP="002D139D">
      <w:pPr>
        <w:pStyle w:val="NoSpacing"/>
      </w:pPr>
    </w:p>
    <w:p w14:paraId="36CD932C" w14:textId="77777777" w:rsidR="002D139D" w:rsidRDefault="002D139D" w:rsidP="002D139D">
      <w:pPr>
        <w:pStyle w:val="NoSpacing"/>
        <w:rPr>
          <w:b/>
          <w:sz w:val="20"/>
          <w:szCs w:val="20"/>
        </w:rPr>
      </w:pPr>
    </w:p>
    <w:p w14:paraId="38F04CE6" w14:textId="0C1C36E7" w:rsidR="002D139D" w:rsidRPr="00A971EA" w:rsidRDefault="00A971EA" w:rsidP="002D139D">
      <w:pPr>
        <w:pStyle w:val="NoSpacing"/>
        <w:rPr>
          <w:rFonts w:ascii="Arial Black" w:hAnsi="Arial Black"/>
          <w:bCs/>
          <w:sz w:val="24"/>
          <w:szCs w:val="24"/>
        </w:rPr>
      </w:pPr>
      <w:r w:rsidRPr="00A971EA">
        <w:rPr>
          <w:rFonts w:ascii="Arial Black" w:hAnsi="Arial Black"/>
          <w:bCs/>
          <w:sz w:val="24"/>
          <w:szCs w:val="24"/>
        </w:rPr>
        <w:t>13-268</w:t>
      </w:r>
    </w:p>
    <w:p w14:paraId="21486803" w14:textId="77777777" w:rsidR="00A971EA" w:rsidRPr="00E5565B" w:rsidRDefault="00A971EA" w:rsidP="002D139D">
      <w:pPr>
        <w:pStyle w:val="NoSpacing"/>
        <w:rPr>
          <w:bCs/>
        </w:rPr>
      </w:pPr>
    </w:p>
    <w:p w14:paraId="75C2F5C8" w14:textId="77777777" w:rsidR="002D139D" w:rsidRDefault="002D139D" w:rsidP="002D139D">
      <w:pPr>
        <w:pStyle w:val="NoSpacing"/>
        <w:rPr>
          <w:rFonts w:ascii="Arial Black" w:hAnsi="Arial Black"/>
          <w:b/>
          <w:sz w:val="28"/>
          <w:szCs w:val="28"/>
        </w:rPr>
      </w:pPr>
      <w:r>
        <w:rPr>
          <w:rFonts w:ascii="Arial Black" w:hAnsi="Arial Black"/>
          <w:b/>
          <w:sz w:val="28"/>
          <w:szCs w:val="28"/>
        </w:rPr>
        <w:t>NY: PRIVATE AMBUL CO – DENIED LICENSE – NO “NEED”</w:t>
      </w:r>
    </w:p>
    <w:p w14:paraId="535BFEE1" w14:textId="77777777" w:rsidR="002D139D" w:rsidRPr="00AD2D8A" w:rsidRDefault="002D139D" w:rsidP="002D139D">
      <w:pPr>
        <w:pStyle w:val="NoSpacing"/>
        <w:rPr>
          <w:rFonts w:ascii="Arial Black" w:hAnsi="Arial Black"/>
          <w:b/>
          <w:sz w:val="28"/>
          <w:szCs w:val="28"/>
        </w:rPr>
      </w:pPr>
    </w:p>
    <w:p w14:paraId="0B4DD615" w14:textId="77777777" w:rsidR="002D139D" w:rsidRPr="00196850" w:rsidRDefault="002D139D" w:rsidP="002D139D">
      <w:pPr>
        <w:pStyle w:val="NoSpacing"/>
        <w:rPr>
          <w:bCs/>
        </w:rPr>
      </w:pPr>
      <w:r>
        <w:t xml:space="preserve">On July 10, 2026, in </w:t>
      </w:r>
      <w:r w:rsidRPr="00196850">
        <w:rPr>
          <w:u w:val="single"/>
        </w:rPr>
        <w:t>Blue Care, Inc. v. The New York State Department of Health</w:t>
      </w:r>
      <w:r>
        <w:t xml:space="preserve">, Judge </w:t>
      </w:r>
      <w:r w:rsidRPr="00066677">
        <w:t>John P. Collins, Jr.</w:t>
      </w:r>
      <w:r>
        <w:t xml:space="preserve">, the </w:t>
      </w:r>
      <w:r w:rsidRPr="00196850">
        <w:t>Supreme Court, Rockland County</w:t>
      </w:r>
      <w:r>
        <w:t xml:space="preserve"> held (unpublished opinion) that the State’s Emergency Medical Services Council properly denied an </w:t>
      </w:r>
      <w:r w:rsidRPr="00E16227">
        <w:t>ambulance service certificate for Rockland County, New York</w:t>
      </w:r>
      <w:r>
        <w:t xml:space="preserve">; there was no “need” for another ambulance service per 2024 hearing before the </w:t>
      </w:r>
      <w:r w:rsidRPr="00E16227">
        <w:t>Hudson Valley Regional Emergency Medical Services Council</w:t>
      </w:r>
      <w:r>
        <w:t xml:space="preserve">. The Ambulance company presented testimony at the hearing about hospitals and nursing facilities needing more services, but failed to present any statistical evidence. </w:t>
      </w:r>
      <w:hyperlink r:id="rId2062" w:history="1">
        <w:r w:rsidRPr="000F5D15">
          <w:rPr>
            <w:rStyle w:val="Hyperlink"/>
          </w:rPr>
          <w:t>https://public.fastcase.com/Jhe1Qn%2BmJndQYQU6z%2FeNm1ngVbZVwfb9i9nq%2ByxsJt7eYa6Yri%2FXr9veF2mIoPRbBYalWXjl02DPpQ9AYC5%2BzkBbUV9CJV65Gz31ZPaNAhA%3D?utm_medium=email&amp;_hsenc=p2ANqtz--v_X0_ty2KgZc4cuUGDg0UHRgKtD60M90IuqE8DpMJ6uO5aXr8LyUQmZOmsR5mb8hE3f734Ge27BP-t9ynHj9iUX7jKQ&amp;_hsmi=226712652&amp;utm_content=226712652&amp;utm_source=hs_email</w:t>
        </w:r>
      </w:hyperlink>
      <w:r>
        <w:t xml:space="preserve"> </w:t>
      </w:r>
    </w:p>
    <w:p w14:paraId="441A9D06" w14:textId="77777777" w:rsidR="002D139D" w:rsidRPr="00196850" w:rsidRDefault="002D139D" w:rsidP="002D139D">
      <w:pPr>
        <w:pStyle w:val="NoSpacing"/>
        <w:rPr>
          <w:bCs/>
        </w:rPr>
      </w:pPr>
    </w:p>
    <w:p w14:paraId="4C06CE43" w14:textId="77777777" w:rsidR="002D139D" w:rsidRDefault="002D139D" w:rsidP="002D139D">
      <w:pPr>
        <w:pStyle w:val="NoSpacing"/>
        <w:rPr>
          <w:bCs/>
        </w:rPr>
      </w:pPr>
    </w:p>
    <w:p w14:paraId="3C23CD70" w14:textId="77777777" w:rsidR="002D139D" w:rsidRDefault="002D139D" w:rsidP="002D139D">
      <w:pPr>
        <w:pStyle w:val="NoSpacing"/>
        <w:rPr>
          <w:bCs/>
        </w:rPr>
      </w:pPr>
      <w:r>
        <w:t>THE COURT WROTE:</w:t>
      </w:r>
    </w:p>
    <w:p w14:paraId="448D0725" w14:textId="77777777" w:rsidR="002D139D" w:rsidRDefault="002D139D" w:rsidP="002D139D">
      <w:pPr>
        <w:pStyle w:val="NoSpacing"/>
        <w:rPr>
          <w:bCs/>
        </w:rPr>
      </w:pPr>
    </w:p>
    <w:p w14:paraId="7157FEE4" w14:textId="77777777" w:rsidR="002D139D" w:rsidRDefault="002D139D" w:rsidP="002D139D">
      <w:pPr>
        <w:pStyle w:val="NoSpacing"/>
      </w:pPr>
      <w:r>
        <w:t>“</w:t>
      </w:r>
      <w:r w:rsidRPr="00865DE0">
        <w:t>The Petitioner was informed on January 27, 2026, that the State Emergency Medical Services Council voted to uphold the Hudson Valley Regional Emergency Medical Services Council's decision to deny Petitioner's application for new service</w:t>
      </w:r>
      <w:r>
        <w:t xml:space="preserve">…. </w:t>
      </w:r>
      <w:proofErr w:type="gramStart"/>
      <w:r w:rsidRPr="00865DE0">
        <w:t>Petitioner</w:t>
      </w:r>
      <w:proofErr w:type="gramEnd"/>
      <w:r w:rsidRPr="00865DE0">
        <w:t xml:space="preserve"> commenced the instant Article 78 proceeding within sixty (60) days of </w:t>
      </w:r>
      <w:proofErr w:type="gramStart"/>
      <w:r w:rsidRPr="00865DE0">
        <w:t>the January</w:t>
      </w:r>
      <w:proofErr w:type="gramEnd"/>
      <w:r w:rsidRPr="00865DE0">
        <w:t xml:space="preserve"> 27, 2026, determination, as required by </w:t>
      </w:r>
      <w:r w:rsidRPr="00865DE0">
        <w:rPr>
          <w:i/>
          <w:iCs/>
        </w:rPr>
        <w:t>Public Health Law</w:t>
      </w:r>
      <w:r w:rsidRPr="00865DE0">
        <w:t xml:space="preserve"> § 3002.</w:t>
      </w:r>
    </w:p>
    <w:p w14:paraId="57DA529C" w14:textId="77777777" w:rsidR="002D139D" w:rsidRDefault="002D139D" w:rsidP="002D139D">
      <w:pPr>
        <w:pStyle w:val="NoSpacing"/>
      </w:pPr>
    </w:p>
    <w:p w14:paraId="6DA00628" w14:textId="77777777" w:rsidR="002D139D" w:rsidRDefault="002D139D" w:rsidP="002D139D">
      <w:pPr>
        <w:pStyle w:val="NoSpacing"/>
      </w:pPr>
      <w:r>
        <w:t>***</w:t>
      </w:r>
    </w:p>
    <w:p w14:paraId="2F19246B" w14:textId="77777777" w:rsidR="002D139D" w:rsidRDefault="002D139D" w:rsidP="002D139D">
      <w:pPr>
        <w:pStyle w:val="NoSpacing"/>
      </w:pPr>
      <w:r w:rsidRPr="00956D99">
        <w:t xml:space="preserve">Petitioner contends the question before the Court is whether it established a need for ambulance services in Rockland County and whether he Respondent's determination that the Petition failed to prove </w:t>
      </w:r>
      <w:r>
        <w:t>‘</w:t>
      </w:r>
      <w:r w:rsidRPr="00956D99">
        <w:t>need</w:t>
      </w:r>
      <w:r>
        <w:t xml:space="preserve">’ </w:t>
      </w:r>
      <w:r w:rsidRPr="00956D99">
        <w:t xml:space="preserve">of services through </w:t>
      </w:r>
      <w:r>
        <w:t>‘</w:t>
      </w:r>
      <w:r w:rsidRPr="00956D99">
        <w:t>quantifiable date</w:t>
      </w:r>
      <w:r>
        <w:t>’</w:t>
      </w:r>
      <w:r w:rsidRPr="00956D99">
        <w:t xml:space="preserve"> was arbitrary and capricious. Specifically, the Petitioner challenges the requirement that a Petitioner can only establish </w:t>
      </w:r>
      <w:r>
        <w:t>‘</w:t>
      </w:r>
      <w:r w:rsidRPr="00956D99">
        <w:t>need,</w:t>
      </w:r>
      <w:r>
        <w:t>’</w:t>
      </w:r>
      <w:r w:rsidRPr="00956D99">
        <w:t xml:space="preserve"> as it is defined in Department of Health Policy 06-06, through statistics instead of through testimony and written support from affected hospitals and nursing homes.</w:t>
      </w:r>
      <w:r w:rsidRPr="00160BD1">
        <w:t xml:space="preserve"> </w:t>
      </w:r>
      <w:proofErr w:type="gramStart"/>
      <w:r w:rsidRPr="00160BD1">
        <w:t>Petitioner contends</w:t>
      </w:r>
      <w:proofErr w:type="gramEnd"/>
      <w:r w:rsidRPr="00160BD1">
        <w:t xml:space="preserve"> that there is no statute, regulation or policy that requires use of statistics as a means of establishing </w:t>
      </w:r>
      <w:r>
        <w:t>‘</w:t>
      </w:r>
      <w:r w:rsidRPr="00160BD1">
        <w:t>need.</w:t>
      </w:r>
      <w:r>
        <w:t>’</w:t>
      </w:r>
      <w:r w:rsidRPr="00160BD1">
        <w:t xml:space="preserve"> Petitioner notes that neither </w:t>
      </w:r>
      <w:r w:rsidRPr="00160BD1">
        <w:rPr>
          <w:i/>
          <w:iCs/>
        </w:rPr>
        <w:t>Public Health Law</w:t>
      </w:r>
      <w:r w:rsidRPr="00160BD1">
        <w:t xml:space="preserve"> § 30, 29 NYCRR Part 800 nor Department of Health Policy 06-6 require an applicant to submit statistics from hospitals and nursing homes of the need for additional ambulance services. According to Petitioner, these types of statistics are not required -- as the records that would support these statistics are not maintained by the hospitals and nursing homes. Instead, Petitioner contends that this </w:t>
      </w:r>
      <w:r>
        <w:t>‘</w:t>
      </w:r>
      <w:r w:rsidRPr="00160BD1">
        <w:t>need</w:t>
      </w:r>
      <w:r>
        <w:t>’</w:t>
      </w:r>
      <w:r w:rsidRPr="00160BD1">
        <w:t xml:space="preserve"> is determined through anecdotal testimony from representatives of the hospitals and nursing homes, which is sufficient. Also, Petitioner asserts that there is no requirement that statistics are the only method of establishing </w:t>
      </w:r>
      <w:r>
        <w:t>‘</w:t>
      </w:r>
      <w:r w:rsidRPr="00160BD1">
        <w:t>need.</w:t>
      </w:r>
      <w:r>
        <w:t xml:space="preserve">’… </w:t>
      </w:r>
      <w:r w:rsidRPr="00EE4454">
        <w:t>Accordingly, it is hereby ORDERED that the Declaratory Judgment action pursuant to Civil Practice Law and Rules § 3001 is dismissed consistent with the foregoing Decisio</w:t>
      </w:r>
      <w:r>
        <w:t xml:space="preserve">n; </w:t>
      </w:r>
      <w:r w:rsidRPr="0049391F">
        <w:t xml:space="preserve">it is further ORDERED that the Article 78 action is transferred to the Appellate Division, Second Department pursuant to </w:t>
      </w:r>
      <w:r w:rsidRPr="0049391F">
        <w:rPr>
          <w:i/>
          <w:iCs/>
        </w:rPr>
        <w:t>Civil Practice Law and Rules</w:t>
      </w:r>
      <w:r w:rsidRPr="0049391F">
        <w:t xml:space="preserve"> § 7804(g).</w:t>
      </w:r>
      <w:r>
        <w:t>”</w:t>
      </w:r>
    </w:p>
    <w:p w14:paraId="7296E852" w14:textId="77777777" w:rsidR="002D139D" w:rsidRDefault="002D139D" w:rsidP="002D139D">
      <w:pPr>
        <w:pStyle w:val="NoSpacing"/>
      </w:pPr>
    </w:p>
    <w:p w14:paraId="225B8E9F" w14:textId="77777777" w:rsidR="002D139D" w:rsidRPr="0049391F" w:rsidRDefault="002D139D" w:rsidP="002D139D">
      <w:pPr>
        <w:pStyle w:val="NoSpacing"/>
        <w:rPr>
          <w:b/>
          <w:bCs/>
        </w:rPr>
      </w:pPr>
      <w:r>
        <w:rPr>
          <w:b/>
        </w:rPr>
        <w:t xml:space="preserve">Legal lesson learned: Statistical evidence of a need for another ambulance company can be important in a hearing; you would expect the company </w:t>
      </w:r>
      <w:proofErr w:type="gramStart"/>
      <w:r>
        <w:rPr>
          <w:b/>
        </w:rPr>
        <w:t>had</w:t>
      </w:r>
      <w:proofErr w:type="gramEnd"/>
      <w:r>
        <w:rPr>
          <w:b/>
        </w:rPr>
        <w:t xml:space="preserve"> conducted some survey of need in its business plan prior to submitting its petition.</w:t>
      </w:r>
    </w:p>
    <w:p w14:paraId="2D7B34EB" w14:textId="77777777" w:rsidR="002D139D" w:rsidRPr="00EE4454" w:rsidRDefault="002D139D" w:rsidP="002D139D">
      <w:pPr>
        <w:pStyle w:val="NoSpacing"/>
      </w:pPr>
    </w:p>
    <w:p w14:paraId="6AA9D5F6" w14:textId="77777777" w:rsidR="002D139D" w:rsidRDefault="002D139D" w:rsidP="002D139D">
      <w:pPr>
        <w:pStyle w:val="NoSpacing"/>
        <w:rPr>
          <w:bCs/>
        </w:rPr>
      </w:pPr>
    </w:p>
    <w:p w14:paraId="10824039" w14:textId="77777777" w:rsidR="002D139D" w:rsidRDefault="002D139D" w:rsidP="002D139D">
      <w:pPr>
        <w:pStyle w:val="NoSpacing"/>
        <w:rPr>
          <w:b/>
          <w:sz w:val="20"/>
          <w:szCs w:val="20"/>
        </w:rPr>
      </w:pPr>
    </w:p>
    <w:p w14:paraId="6FE675DD" w14:textId="77777777" w:rsidR="002D139D" w:rsidRDefault="002D139D" w:rsidP="002D139D">
      <w:pPr>
        <w:pStyle w:val="NoSpacing"/>
        <w:rPr>
          <w:b/>
          <w:sz w:val="20"/>
          <w:szCs w:val="20"/>
        </w:rPr>
      </w:pPr>
    </w:p>
    <w:p w14:paraId="77449119" w14:textId="77777777" w:rsidR="002D139D" w:rsidRDefault="002D139D" w:rsidP="002D139D">
      <w:pPr>
        <w:pStyle w:val="NoSpacing"/>
        <w:rPr>
          <w:b/>
          <w:sz w:val="20"/>
          <w:szCs w:val="20"/>
        </w:rPr>
      </w:pPr>
    </w:p>
    <w:p w14:paraId="1C7F68FD" w14:textId="77777777" w:rsidR="002D139D" w:rsidRDefault="002D139D" w:rsidP="002D139D">
      <w:pPr>
        <w:pStyle w:val="NoSpacing"/>
        <w:rPr>
          <w:b/>
          <w:sz w:val="20"/>
          <w:szCs w:val="20"/>
        </w:rPr>
      </w:pPr>
    </w:p>
    <w:p w14:paraId="5EEB83F4" w14:textId="77777777" w:rsidR="002D139D" w:rsidRDefault="002D139D" w:rsidP="002D139D">
      <w:pPr>
        <w:pStyle w:val="NoSpacing"/>
        <w:rPr>
          <w:b/>
          <w:sz w:val="20"/>
          <w:szCs w:val="20"/>
        </w:rPr>
      </w:pPr>
    </w:p>
    <w:p w14:paraId="0C3223E0" w14:textId="77777777" w:rsidR="002D139D" w:rsidRDefault="002D139D" w:rsidP="002D139D">
      <w:pPr>
        <w:pStyle w:val="NoSpacing"/>
        <w:rPr>
          <w:b/>
          <w:sz w:val="20"/>
          <w:szCs w:val="20"/>
        </w:rPr>
      </w:pPr>
    </w:p>
    <w:p w14:paraId="7A9701FE" w14:textId="77777777" w:rsidR="002D139D" w:rsidRDefault="002D139D" w:rsidP="002D139D">
      <w:pPr>
        <w:pStyle w:val="NoSpacing"/>
        <w:rPr>
          <w:b/>
          <w:sz w:val="20"/>
          <w:szCs w:val="20"/>
        </w:rPr>
      </w:pPr>
    </w:p>
    <w:p w14:paraId="0B02277D" w14:textId="00F49392" w:rsidR="002D139D" w:rsidRDefault="00A971EA" w:rsidP="002D139D">
      <w:pPr>
        <w:pStyle w:val="NoSpacing"/>
        <w:rPr>
          <w:rFonts w:ascii="Arial Black" w:hAnsi="Arial Black"/>
          <w:b/>
          <w:sz w:val="24"/>
          <w:szCs w:val="24"/>
        </w:rPr>
      </w:pPr>
      <w:r w:rsidRPr="00A971EA">
        <w:rPr>
          <w:rFonts w:ascii="Arial Black" w:hAnsi="Arial Black"/>
          <w:b/>
          <w:sz w:val="24"/>
          <w:szCs w:val="24"/>
        </w:rPr>
        <w:t>13-267</w:t>
      </w:r>
    </w:p>
    <w:p w14:paraId="5A3AF5C0" w14:textId="77777777" w:rsidR="00A971EA" w:rsidRPr="00A971EA" w:rsidRDefault="00A971EA" w:rsidP="002D139D">
      <w:pPr>
        <w:pStyle w:val="NoSpacing"/>
        <w:rPr>
          <w:rFonts w:ascii="Arial Black" w:hAnsi="Arial Black"/>
          <w:b/>
          <w:sz w:val="24"/>
          <w:szCs w:val="24"/>
        </w:rPr>
      </w:pPr>
    </w:p>
    <w:p w14:paraId="6CB19DEE" w14:textId="77777777" w:rsidR="002D139D" w:rsidRDefault="002D139D" w:rsidP="002D139D">
      <w:pPr>
        <w:pStyle w:val="NoSpacing"/>
        <w:rPr>
          <w:rFonts w:ascii="Arial Black" w:hAnsi="Arial Black"/>
          <w:b/>
          <w:sz w:val="28"/>
          <w:szCs w:val="28"/>
        </w:rPr>
      </w:pPr>
      <w:r>
        <w:rPr>
          <w:rFonts w:ascii="Arial Black" w:hAnsi="Arial Black"/>
          <w:b/>
          <w:sz w:val="28"/>
          <w:szCs w:val="28"/>
        </w:rPr>
        <w:t>CO: CRISIS RESP - MEDIC TAKLED PT / DIED - IMMUNITY</w:t>
      </w:r>
    </w:p>
    <w:p w14:paraId="7504A426" w14:textId="77777777" w:rsidR="002D139D" w:rsidRDefault="002D139D" w:rsidP="002D139D">
      <w:pPr>
        <w:pStyle w:val="NoSpacing"/>
        <w:rPr>
          <w:rFonts w:ascii="Arial Black" w:hAnsi="Arial Black"/>
          <w:b/>
          <w:sz w:val="28"/>
          <w:szCs w:val="28"/>
        </w:rPr>
      </w:pPr>
    </w:p>
    <w:p w14:paraId="4E1A4D33" w14:textId="77777777" w:rsidR="002D139D" w:rsidRDefault="002D139D" w:rsidP="002D139D">
      <w:pPr>
        <w:pStyle w:val="NoSpacing"/>
        <w:rPr>
          <w:b/>
        </w:rPr>
      </w:pPr>
      <w:r w:rsidRPr="00F1416F">
        <w:t xml:space="preserve">On July 6, 2026, in </w:t>
      </w:r>
      <w:r w:rsidRPr="00757F6B">
        <w:rPr>
          <w:u w:val="single"/>
        </w:rPr>
        <w:t>Estate of Kevin Dizmang v. Sean Reed, a Colorado Springs Police Officer</w:t>
      </w:r>
      <w:r>
        <w:rPr>
          <w:u w:val="single"/>
        </w:rPr>
        <w:t>, and Nick Fischer, a Colorado Springs Fire Department Paramedic</w:t>
      </w:r>
      <w:r>
        <w:t xml:space="preserve">, the </w:t>
      </w:r>
      <w:r w:rsidRPr="0050642F">
        <w:t>United States Court of Appeals, Tenth Circuit</w:t>
      </w:r>
      <w:r>
        <w:t xml:space="preserve"> (Denver) held (3 to 0) that trial court properly held both members of crisis response unit are entitled to qualified immunity.  </w:t>
      </w:r>
      <w:hyperlink r:id="rId2063" w:history="1">
        <w:r w:rsidRPr="003158CB">
          <w:rPr>
            <w:rStyle w:val="Hyperlink"/>
            <w:b/>
          </w:rPr>
          <w:t>https://cases.justia.com/federal/appellate-courts/ca10/25-1118/25-1118-2026-07-06.pdf?ts=1783359113</w:t>
        </w:r>
      </w:hyperlink>
      <w:r>
        <w:rPr>
          <w:b/>
        </w:rPr>
        <w:t xml:space="preserve"> </w:t>
      </w:r>
    </w:p>
    <w:p w14:paraId="6210800E" w14:textId="77777777" w:rsidR="002D139D" w:rsidRDefault="002D139D" w:rsidP="002D139D">
      <w:pPr>
        <w:pStyle w:val="NoSpacing"/>
        <w:rPr>
          <w:bCs/>
        </w:rPr>
      </w:pPr>
    </w:p>
    <w:p w14:paraId="2E0D93D2" w14:textId="77777777" w:rsidR="002D139D" w:rsidRPr="0050642F" w:rsidRDefault="002D139D" w:rsidP="002D139D">
      <w:pPr>
        <w:pStyle w:val="NoSpacing"/>
        <w:rPr>
          <w:bCs/>
        </w:rPr>
      </w:pPr>
      <w:r>
        <w:t xml:space="preserve">THE COURT WROTE: </w:t>
      </w:r>
    </w:p>
    <w:p w14:paraId="59ECA6FF" w14:textId="77777777" w:rsidR="002D139D" w:rsidRPr="00757F6B" w:rsidRDefault="002D139D" w:rsidP="002D139D">
      <w:pPr>
        <w:pStyle w:val="NoSpacing"/>
        <w:rPr>
          <w:bCs/>
        </w:rPr>
      </w:pPr>
    </w:p>
    <w:p w14:paraId="66CF57F4" w14:textId="77777777" w:rsidR="002D139D" w:rsidRDefault="002D139D" w:rsidP="002D139D">
      <w:pPr>
        <w:pStyle w:val="NoSpacing"/>
      </w:pPr>
      <w:r>
        <w:t>“</w:t>
      </w:r>
      <w:r w:rsidRPr="00CB5F0D">
        <w:t>On November 15, 2022, CSPD received reports that Dizmang was displaying symptoms of schizophrenia and post-traumatic stress disorder, damaging his residential vehicle, and walking in traffic. CSPD dispatched Reed, Fischer, and a clinician named Andrea Alban to the scene</w:t>
      </w:r>
      <w:r>
        <w:t xml:space="preserve">…. </w:t>
      </w:r>
      <w:r w:rsidRPr="004E2640">
        <w:t xml:space="preserve">Reed eventually got ahold of Dizmang, walked him towards the sidewalk, and attempted to handcuff him. Dizmang broke free and walked away from the sidewalk, towards the middle of the road. Reed again got ahold of Dizmang, moved him onto the sidewalk, and attempted to handcuff him a second time. Dizmang again broke free, but this time he fled toward a line of trees in front of a mobile-home park. As Reed caught up and attempted to handcuff Dizmang for a third time, Alban told Fischer to help restrain Dizmang. </w:t>
      </w:r>
      <w:r>
        <w:t xml:space="preserve"> [Per the plaintiff’s complaint] </w:t>
      </w:r>
      <w:r w:rsidRPr="004E2640">
        <w:t xml:space="preserve">Fischer then </w:t>
      </w:r>
      <w:r>
        <w:t>‘</w:t>
      </w:r>
      <w:r w:rsidRPr="004E2640">
        <w:t>suddenly and violently tackled</w:t>
      </w:r>
      <w:r>
        <w:t>’</w:t>
      </w:r>
      <w:r w:rsidRPr="004E2640">
        <w:t xml:space="preserve"> Dizmang and drove him into the ground, where Dizmang landed on his right side</w:t>
      </w:r>
      <w:r>
        <w:t xml:space="preserve">…. </w:t>
      </w:r>
      <w:r w:rsidRPr="004E2640">
        <w:t xml:space="preserve"> Fischer then put Dizmang in a chokehold for approximately 30 seconds. During this time, Dizmang </w:t>
      </w:r>
      <w:r>
        <w:t>‘</w:t>
      </w:r>
      <w:r w:rsidRPr="004E2640">
        <w:t>quit moving.</w:t>
      </w:r>
      <w:r>
        <w:t xml:space="preserve">’ … </w:t>
      </w:r>
      <w:r w:rsidRPr="004E2640">
        <w:t xml:space="preserve">Then, Fischer </w:t>
      </w:r>
      <w:r>
        <w:t>‘</w:t>
      </w:r>
      <w:r w:rsidRPr="004E2640">
        <w:t>rolled [Dizmang] face down onto the ground, . . . placed his hands on the back of [Dizmang's] neck and dr[</w:t>
      </w:r>
      <w:proofErr w:type="spellStart"/>
      <w:r w:rsidRPr="004E2640">
        <w:t>ove</w:t>
      </w:r>
      <w:proofErr w:type="spellEnd"/>
      <w:r w:rsidRPr="004E2640">
        <w:t>] his body weight downward, pushing [Dizmang's] neck and face into the ground. At this point, [Dizmang] remained completely motionless.</w:t>
      </w:r>
      <w:r>
        <w:t xml:space="preserve">’ … </w:t>
      </w:r>
      <w:r w:rsidRPr="004E2640">
        <w:t>Fischer maintained this position for approximately 45 seconds, long enough for Reed to finish handcuffing Dizmang. Fischer and Reed then rolled Dizmang onto his back and seated him upright</w:t>
      </w:r>
      <w:r>
        <w:t xml:space="preserve">…. </w:t>
      </w:r>
      <w:r w:rsidRPr="007356F6">
        <w:t xml:space="preserve">By this time, Dizmang was unresponsive. Fischer noted that Dizmang was not aspirating and stated that he wanted to </w:t>
      </w:r>
      <w:r>
        <w:t>‘</w:t>
      </w:r>
      <w:r w:rsidRPr="007356F6">
        <w:t>attempt a nasal airway,</w:t>
      </w:r>
      <w:r>
        <w:t>’</w:t>
      </w:r>
      <w:r w:rsidRPr="007356F6">
        <w:t xml:space="preserve"> and Reed called for an ambulance</w:t>
      </w:r>
      <w:r>
        <w:t xml:space="preserve">…. </w:t>
      </w:r>
      <w:r w:rsidRPr="007356F6">
        <w:t xml:space="preserve">Once the ambulance arrived, Fischer and other medical professionals tried to resuscitate Dizmang </w:t>
      </w:r>
      <w:proofErr w:type="spellStart"/>
      <w:r w:rsidRPr="007356F6">
        <w:t>en</w:t>
      </w:r>
      <w:proofErr w:type="spellEnd"/>
      <w:r w:rsidRPr="007356F6">
        <w:t xml:space="preserve"> route to a hospital. These efforts continued once Dizmang arrived at the hospital. However, Dizmang was pronounced dead in the emergency room.</w:t>
      </w:r>
      <w:r>
        <w:t xml:space="preserve"> </w:t>
      </w:r>
    </w:p>
    <w:p w14:paraId="3B6E2B3E" w14:textId="77777777" w:rsidR="002D139D" w:rsidRDefault="002D139D" w:rsidP="002D139D">
      <w:pPr>
        <w:pStyle w:val="NoSpacing"/>
      </w:pPr>
    </w:p>
    <w:p w14:paraId="0C7DD02E" w14:textId="77777777" w:rsidR="002D139D" w:rsidRDefault="002D139D" w:rsidP="002D139D">
      <w:pPr>
        <w:pStyle w:val="NoSpacing"/>
      </w:pPr>
      <w:r>
        <w:t xml:space="preserve">*** </w:t>
      </w:r>
    </w:p>
    <w:p w14:paraId="51A82257" w14:textId="77777777" w:rsidR="002D139D" w:rsidRDefault="002D139D" w:rsidP="002D139D">
      <w:pPr>
        <w:pStyle w:val="NoSpacing"/>
        <w:rPr>
          <w:bCs/>
        </w:rPr>
      </w:pPr>
    </w:p>
    <w:p w14:paraId="3A3A5533" w14:textId="77777777" w:rsidR="002D139D" w:rsidRDefault="002D139D" w:rsidP="002D139D">
      <w:pPr>
        <w:pStyle w:val="NoSpacing"/>
      </w:pPr>
      <w:r w:rsidRPr="00A65E70">
        <w:t xml:space="preserve">These facts do not support the Estate's theory that Fischer used </w:t>
      </w:r>
      <w:r>
        <w:t>‘</w:t>
      </w:r>
      <w:r w:rsidRPr="00A65E70">
        <w:t>totally unnecessary</w:t>
      </w:r>
      <w:r>
        <w:t>’</w:t>
      </w:r>
      <w:r w:rsidRPr="00A65E70">
        <w:t xml:space="preserve"> force to restrain Dizmang and differ substantially from the unnecessary force applied in </w:t>
      </w:r>
      <w:r w:rsidRPr="00A65E70">
        <w:rPr>
          <w:i/>
          <w:iCs/>
        </w:rPr>
        <w:t>Weigel</w:t>
      </w:r>
      <w:r w:rsidRPr="00A65E70">
        <w:t xml:space="preserve">. </w:t>
      </w:r>
      <w:r w:rsidRPr="00A65E70">
        <w:rPr>
          <w:i/>
          <w:iCs/>
        </w:rPr>
        <w:t>Id.</w:t>
      </w:r>
      <w:r w:rsidRPr="00A65E70">
        <w:t xml:space="preserve"> at 1154. Thus, </w:t>
      </w:r>
      <w:r w:rsidRPr="00A65E70">
        <w:rPr>
          <w:i/>
          <w:iCs/>
        </w:rPr>
        <w:t>Weigel</w:t>
      </w:r>
      <w:r w:rsidRPr="00A65E70">
        <w:t xml:space="preserve"> did not place Fischer on notice that his use of force would subject him to constitutional liability</w:t>
      </w:r>
      <w:r>
        <w:t xml:space="preserve">…. </w:t>
      </w:r>
      <w:r w:rsidRPr="00B66519">
        <w:t xml:space="preserve">Fischer's conduct was not particularly egregious, at least when compared to the incidents in </w:t>
      </w:r>
      <w:r w:rsidRPr="00B66519">
        <w:rPr>
          <w:i/>
          <w:iCs/>
        </w:rPr>
        <w:t>Weigel</w:t>
      </w:r>
      <w:r w:rsidRPr="00B66519">
        <w:t xml:space="preserve">, </w:t>
      </w:r>
      <w:r w:rsidRPr="00B66519">
        <w:rPr>
          <w:i/>
          <w:iCs/>
        </w:rPr>
        <w:t>Teetz</w:t>
      </w:r>
      <w:r w:rsidRPr="00B66519">
        <w:t xml:space="preserve">, and </w:t>
      </w:r>
      <w:r w:rsidRPr="00B66519">
        <w:rPr>
          <w:i/>
          <w:iCs/>
        </w:rPr>
        <w:t>Estate of Booker</w:t>
      </w:r>
      <w:r w:rsidRPr="00B66519">
        <w:t>; we certainly cannot say he committed an obvious constitutional violation by restraining Dizmang so that Reed could apply handcuffs. Therefore, the Estate has not overcome Fischer's assertion of qualified immunity.</w:t>
      </w:r>
      <w:r>
        <w:t>”</w:t>
      </w:r>
    </w:p>
    <w:p w14:paraId="6AE34716" w14:textId="77777777" w:rsidR="002D139D" w:rsidRDefault="002D139D" w:rsidP="002D139D">
      <w:pPr>
        <w:pStyle w:val="NoSpacing"/>
      </w:pPr>
    </w:p>
    <w:p w14:paraId="2C2B14B9" w14:textId="77777777" w:rsidR="002D139D" w:rsidRDefault="002D139D" w:rsidP="002D139D">
      <w:pPr>
        <w:pStyle w:val="NoSpacing"/>
        <w:rPr>
          <w:b/>
        </w:rPr>
      </w:pPr>
      <w:r w:rsidRPr="0054722F">
        <w:rPr>
          <w:b/>
        </w:rPr>
        <w:t>Legal lesson learned:</w:t>
      </w:r>
      <w:r>
        <w:rPr>
          <w:b/>
        </w:rPr>
        <w:t xml:space="preserve"> There was no proof of “unnecessary force” being applied.  </w:t>
      </w:r>
    </w:p>
    <w:p w14:paraId="0BC6CF42" w14:textId="77777777" w:rsidR="002D139D" w:rsidRPr="009F63E1" w:rsidRDefault="002D139D" w:rsidP="002D139D">
      <w:pPr>
        <w:pStyle w:val="NoSpacing"/>
        <w:rPr>
          <w:b/>
          <w:bCs/>
        </w:rPr>
      </w:pPr>
    </w:p>
    <w:p w14:paraId="6509C67B" w14:textId="77777777" w:rsidR="002D139D" w:rsidRDefault="002D139D" w:rsidP="002D139D">
      <w:pPr>
        <w:pStyle w:val="NoSpacing"/>
      </w:pPr>
    </w:p>
    <w:p w14:paraId="43103CAB" w14:textId="77777777" w:rsidR="002D139D" w:rsidRDefault="002D139D" w:rsidP="002D139D">
      <w:pPr>
        <w:pStyle w:val="NoSpacing"/>
      </w:pPr>
    </w:p>
    <w:p w14:paraId="1458351F" w14:textId="338483F0" w:rsidR="002D139D" w:rsidRPr="00A971EA" w:rsidRDefault="00A971EA" w:rsidP="002D139D">
      <w:pPr>
        <w:rPr>
          <w:rFonts w:ascii="Arial Black" w:hAnsi="Arial Black"/>
          <w:b/>
          <w:sz w:val="24"/>
          <w:szCs w:val="24"/>
        </w:rPr>
      </w:pPr>
      <w:r w:rsidRPr="00A971EA">
        <w:rPr>
          <w:rFonts w:ascii="Arial Black" w:hAnsi="Arial Black"/>
          <w:b/>
          <w:sz w:val="24"/>
          <w:szCs w:val="24"/>
        </w:rPr>
        <w:t>13-266</w:t>
      </w:r>
    </w:p>
    <w:p w14:paraId="16FAACD9" w14:textId="77777777" w:rsidR="002D139D" w:rsidRPr="00906FE0" w:rsidRDefault="002D139D" w:rsidP="002D139D">
      <w:pPr>
        <w:rPr>
          <w:rFonts w:ascii="Arial Black" w:hAnsi="Arial Black"/>
          <w:b/>
          <w:sz w:val="28"/>
          <w:szCs w:val="28"/>
        </w:rPr>
      </w:pPr>
      <w:r>
        <w:rPr>
          <w:rFonts w:ascii="Arial Black" w:hAnsi="Arial Black"/>
          <w:b/>
          <w:sz w:val="28"/>
          <w:szCs w:val="28"/>
        </w:rPr>
        <w:t xml:space="preserve">NY: TOWN – USE NEW COUNTY-WIDE EMS – OLD SINCE 1949   </w:t>
      </w:r>
    </w:p>
    <w:p w14:paraId="29C5B85B" w14:textId="77777777" w:rsidR="002D139D" w:rsidRDefault="002D139D" w:rsidP="002D139D">
      <w:r>
        <w:t>On June 29, 2026</w:t>
      </w:r>
      <w:r w:rsidRPr="007653F9">
        <w:rPr>
          <w:u w:val="single"/>
        </w:rPr>
        <w:t xml:space="preserve">, In the Matter of the Application of Western Wayne Ambulance, Inc d/b/a </w:t>
      </w:r>
      <w:proofErr w:type="spellStart"/>
      <w:r w:rsidRPr="007653F9">
        <w:rPr>
          <w:u w:val="single"/>
        </w:rPr>
        <w:t>Walmorth</w:t>
      </w:r>
      <w:proofErr w:type="spellEnd"/>
      <w:r w:rsidRPr="007653F9">
        <w:rPr>
          <w:u w:val="single"/>
        </w:rPr>
        <w:t xml:space="preserve"> Ambulance v. Town of Walworth</w:t>
      </w:r>
      <w:r>
        <w:t xml:space="preserve">, Judge </w:t>
      </w:r>
      <w:r w:rsidRPr="00C40154">
        <w:t>Arthur B. Williams, Supreme Court</w:t>
      </w:r>
      <w:r>
        <w:t xml:space="preserve">, Wayne County, granted the Town’s </w:t>
      </w:r>
      <w:r w:rsidRPr="004D379A">
        <w:t xml:space="preserve">motion to dismiss the </w:t>
      </w:r>
      <w:r>
        <w:t>p</w:t>
      </w:r>
      <w:r w:rsidRPr="004D379A">
        <w:t>etition</w:t>
      </w:r>
      <w:r>
        <w:t xml:space="preserve"> to set aside the Town’s decision to change EMS provider.  On </w:t>
      </w:r>
      <w:r w:rsidRPr="00A57E79">
        <w:t xml:space="preserve">November 6, </w:t>
      </w:r>
      <w:proofErr w:type="gramStart"/>
      <w:r w:rsidRPr="00A57E79">
        <w:t>2025</w:t>
      </w:r>
      <w:proofErr w:type="gramEnd"/>
      <w:r w:rsidRPr="00A57E79">
        <w:t xml:space="preserve"> </w:t>
      </w:r>
      <w:r>
        <w:t xml:space="preserve">the Town </w:t>
      </w:r>
      <w:r w:rsidRPr="00A57E79">
        <w:t>recogni</w:t>
      </w:r>
      <w:r>
        <w:t>zed newly formed county-wide</w:t>
      </w:r>
      <w:r w:rsidRPr="00A57E79">
        <w:t xml:space="preserve"> Wayne County Emergency Medical Services as the Town's primary provider of emergency medical services</w:t>
      </w:r>
      <w:r>
        <w:t xml:space="preserve">; this </w:t>
      </w:r>
      <w:r w:rsidRPr="00A57E79">
        <w:t>effectively remov</w:t>
      </w:r>
      <w:r>
        <w:t>ed</w:t>
      </w:r>
      <w:r w:rsidRPr="00A57E79">
        <w:t xml:space="preserve"> Petitioner from that role</w:t>
      </w:r>
      <w:r>
        <w:t xml:space="preserve"> which it provided since 1949.</w:t>
      </w:r>
      <w:r w:rsidRPr="003B0877">
        <w:t xml:space="preserve"> </w:t>
      </w:r>
      <w:r w:rsidRPr="0034278C">
        <w:t xml:space="preserve">At the Board meeting of November 6, 2025, it was discussed that WWA would still be available to provide second call out ambulance services. </w:t>
      </w:r>
      <w:hyperlink r:id="rId2064" w:history="1">
        <w:r w:rsidRPr="00305A77">
          <w:rPr>
            <w:rStyle w:val="Hyperlink"/>
          </w:rPr>
          <w:t>https://public.fastcase.com/Jhe1Qn%2BmJndQYQU6z%2FeNm6ju%2Bd0XMiKIQG0dYFr7cgUzgsifv99YXHK%2BxnD66TJoHk4g2WwtQKDS%2BvASTYn2UbNIVhBuboQ2Vfvy9hViY%2Bk%3D?utm_medium=email&amp;_hsenc=p2ANqtz-8NHhkkKcWj0_qee_n9oiHaTk7VwtWB_afCW5GLhqKW_ltr3Dza-rNcLPsWMOqNw3cx9q-xKyAAVyV_SrzeJvBmwADJtg&amp;_hsmi=226712652&amp;utm_content=226712652&amp;utm_source=hs_email</w:t>
        </w:r>
      </w:hyperlink>
      <w:r>
        <w:t xml:space="preserve"> </w:t>
      </w:r>
    </w:p>
    <w:p w14:paraId="213E4564" w14:textId="77777777" w:rsidR="002D139D" w:rsidRDefault="002D139D" w:rsidP="002D139D">
      <w:pPr>
        <w:rPr>
          <w:bCs/>
        </w:rPr>
      </w:pPr>
      <w:r>
        <w:t xml:space="preserve">THE COURT WROTE:   </w:t>
      </w:r>
    </w:p>
    <w:p w14:paraId="6CF8C7FF" w14:textId="77777777" w:rsidR="002D139D" w:rsidRDefault="002D139D" w:rsidP="002D139D">
      <w:pPr>
        <w:pStyle w:val="NoSpacing"/>
      </w:pPr>
      <w:r>
        <w:t>“</w:t>
      </w:r>
      <w:r w:rsidRPr="00830F8E">
        <w:t xml:space="preserve">Respondents state that between 2022 and 2025 they were made aware of numerous complaints of exorbitant bills submitted to individuals receiving services from WWA. The Town further states that they repeatedly requested certain detailed financial information from WWA which was only partially provided. Petitioner asserts that at a regular Town Board meeting it did provide information regarding WWA's coverage statistics, payments and staffing. </w:t>
      </w:r>
      <w:proofErr w:type="gramStart"/>
      <w:r w:rsidRPr="00830F8E">
        <w:t>Petitioner claims</w:t>
      </w:r>
      <w:proofErr w:type="gramEnd"/>
      <w:r w:rsidRPr="00830F8E">
        <w:t xml:space="preserve"> that on multiple occasions it was assured that the Town would continue to support WWA. During this time there was also discussion regarding the costs and rationale for WWA expanding its services from providing basic life support services (BLS) to </w:t>
      </w:r>
      <w:proofErr w:type="gramStart"/>
      <w:r w:rsidRPr="00830F8E">
        <w:t>include</w:t>
      </w:r>
      <w:proofErr w:type="gramEnd"/>
      <w:r w:rsidRPr="00830F8E">
        <w:t xml:space="preserve"> advanced life support services (ALS). In 2023 WWA approached the Walworth Town Board for the purpose of seeking approval for construction of an addition to the ambulance base which was approved by the Town and funded exclusively by WWA. All during this time there was discussion throughout Wayne County regarding the establishment of a county-wide EMS service. Wayne County EMS became operational during 2023. Thereafter on October 17, </w:t>
      </w:r>
      <w:proofErr w:type="gramStart"/>
      <w:r w:rsidRPr="00830F8E">
        <w:t>2024</w:t>
      </w:r>
      <w:proofErr w:type="gramEnd"/>
      <w:r w:rsidRPr="00830F8E">
        <w:t xml:space="preserve"> citing a lack of information from WWA, the Town Board voted to not provide financial support for WWA for the year 2025. On November 6, 2025, the Town Board resolved to recognize Wayne County EMS as the primary provider of emergency medical services for the Town of Walworth.</w:t>
      </w:r>
      <w:r>
        <w:t>”</w:t>
      </w:r>
    </w:p>
    <w:p w14:paraId="1F1D6418" w14:textId="77777777" w:rsidR="002D139D" w:rsidRDefault="002D139D" w:rsidP="002D139D">
      <w:pPr>
        <w:pStyle w:val="NoSpacing"/>
      </w:pPr>
    </w:p>
    <w:p w14:paraId="4595BA45" w14:textId="77777777" w:rsidR="002D139D" w:rsidRDefault="002D139D" w:rsidP="002D139D">
      <w:pPr>
        <w:pStyle w:val="NoSpacing"/>
      </w:pPr>
      <w:r>
        <w:t>***</w:t>
      </w:r>
    </w:p>
    <w:p w14:paraId="1C17C2D5" w14:textId="77777777" w:rsidR="002D139D" w:rsidRDefault="002D139D" w:rsidP="002D139D">
      <w:pPr>
        <w:pStyle w:val="NoSpacing"/>
      </w:pPr>
    </w:p>
    <w:p w14:paraId="569A3015" w14:textId="77777777" w:rsidR="002D139D" w:rsidRPr="00AD636C" w:rsidRDefault="002D139D" w:rsidP="002D139D">
      <w:pPr>
        <w:pStyle w:val="NoSpacing"/>
      </w:pPr>
      <w:r w:rsidRPr="00AD636C">
        <w:t>Likewise, at the Town Board meeting held on November 6, 2025</w:t>
      </w:r>
      <w:proofErr w:type="gramStart"/>
      <w:r w:rsidRPr="00AD636C">
        <w:t>, wherein</w:t>
      </w:r>
      <w:proofErr w:type="gramEnd"/>
      <w:r w:rsidRPr="00AD636C">
        <w:t xml:space="preserve"> the Board named Wayne County EMS as the primary ambulance provider discussion was had in support of the Board's decision. The relevant minutes read as follows: </w:t>
      </w:r>
    </w:p>
    <w:p w14:paraId="74337323" w14:textId="77777777" w:rsidR="002D139D" w:rsidRDefault="002D139D" w:rsidP="002D139D">
      <w:pPr>
        <w:pStyle w:val="NoSpacing"/>
        <w:rPr>
          <w:i/>
          <w:iCs/>
        </w:rPr>
      </w:pPr>
    </w:p>
    <w:p w14:paraId="74D4F9ED" w14:textId="77777777" w:rsidR="002D139D" w:rsidRPr="00AD636C" w:rsidRDefault="002D139D" w:rsidP="002D139D">
      <w:pPr>
        <w:pStyle w:val="NoSpacing"/>
        <w:ind w:left="720"/>
      </w:pPr>
      <w:r w:rsidRPr="00AD636C">
        <w:rPr>
          <w:i/>
          <w:iCs/>
        </w:rPr>
        <w:t>Discussion - Councilman Kelly stated that we have been having conversations for a couple of years now with our ambulance provider and the county is opening on November 15</w:t>
      </w:r>
      <w:r w:rsidRPr="00AD636C">
        <w:rPr>
          <w:i/>
          <w:iCs/>
          <w:vertAlign w:val="superscript"/>
        </w:rPr>
        <w:t>th</w:t>
      </w:r>
      <w:r w:rsidRPr="00AD636C">
        <w:rPr>
          <w:i/>
          <w:iCs/>
        </w:rPr>
        <w:t>, it's going to be the best choice for the Town and the protection of our citizens. But just so everyone knows Western Wayne is not going away, they are still an ambulance agency within the Town of Walworth, they will still be providing</w:t>
      </w:r>
      <w:r w:rsidRPr="00AD636C">
        <w:t xml:space="preserve"> </w:t>
      </w:r>
      <w:r>
        <w:t xml:space="preserve"> </w:t>
      </w:r>
      <w:r w:rsidRPr="00AD636C">
        <w:rPr>
          <w:i/>
          <w:iCs/>
        </w:rPr>
        <w:t xml:space="preserve">services, they will just be second out. </w:t>
      </w:r>
      <w:proofErr w:type="gramStart"/>
      <w:r w:rsidRPr="00AD636C">
        <w:rPr>
          <w:i/>
          <w:iCs/>
        </w:rPr>
        <w:t>So</w:t>
      </w:r>
      <w:proofErr w:type="gramEnd"/>
      <w:r w:rsidRPr="00AD636C">
        <w:rPr>
          <w:i/>
          <w:iCs/>
        </w:rPr>
        <w:t xml:space="preserve"> if there is a second emergency with the Town of Walworth and they are available they will come and assist you.</w:t>
      </w:r>
      <w:r w:rsidRPr="00AD636C">
        <w:t xml:space="preserve"> </w:t>
      </w:r>
    </w:p>
    <w:p w14:paraId="2984EED0" w14:textId="77777777" w:rsidR="002D139D" w:rsidRDefault="002D139D" w:rsidP="002D139D">
      <w:pPr>
        <w:pStyle w:val="NoSpacing"/>
      </w:pPr>
    </w:p>
    <w:p w14:paraId="6BCA62D3" w14:textId="77777777" w:rsidR="002D139D" w:rsidRPr="00D979B3" w:rsidRDefault="002D139D" w:rsidP="002D139D">
      <w:pPr>
        <w:pStyle w:val="NoSpacing"/>
      </w:pPr>
      <w:r w:rsidRPr="00D979B3">
        <w:t xml:space="preserve">There was also public discussion at the November 21, 2024, Town Board meeting wherein the difference in the fee structure between WWA and Wayne County EMS was considered as reflected in the following minutes: </w:t>
      </w:r>
    </w:p>
    <w:p w14:paraId="4E3E1A82" w14:textId="77777777" w:rsidR="002D139D" w:rsidRDefault="002D139D" w:rsidP="002D139D">
      <w:pPr>
        <w:pStyle w:val="NoSpacing"/>
        <w:rPr>
          <w:i/>
          <w:iCs/>
        </w:rPr>
      </w:pPr>
    </w:p>
    <w:p w14:paraId="3F8BCFC2" w14:textId="77777777" w:rsidR="002D139D" w:rsidRPr="00D979B3" w:rsidRDefault="002D139D" w:rsidP="002D139D">
      <w:pPr>
        <w:pStyle w:val="NoSpacing"/>
        <w:ind w:left="720"/>
      </w:pPr>
      <w:r w:rsidRPr="00D979B3">
        <w:rPr>
          <w:i/>
          <w:iCs/>
        </w:rPr>
        <w:t>Councilman Linson wanted to discuss Western Wayne Ambulance and their charges. She would like to see an Ambulance provide quality service to our residents. Councilman Kelly received some information regarding pricing for Western Wayne charges around $2,000 whereas the County charges around $400.00for basic services.</w:t>
      </w:r>
      <w:r w:rsidRPr="00D979B3">
        <w:t xml:space="preserve"> </w:t>
      </w:r>
    </w:p>
    <w:p w14:paraId="71AE19D8" w14:textId="77777777" w:rsidR="002D139D" w:rsidRDefault="002D139D" w:rsidP="002D139D">
      <w:pPr>
        <w:pStyle w:val="NoSpacing"/>
      </w:pPr>
    </w:p>
    <w:p w14:paraId="3F22618A" w14:textId="77777777" w:rsidR="002D139D" w:rsidRDefault="002D139D" w:rsidP="002D139D">
      <w:pPr>
        <w:pStyle w:val="NoSpacing"/>
      </w:pPr>
      <w:r w:rsidRPr="00B81758">
        <w:t>The Court finds that the decisions of the Town Board regarding continued funding for WWA and the designation of Wayne County EMS as a primary ambulance service provider were rationally determined on the facts and were thus not arbitrary and capricious</w:t>
      </w:r>
      <w:r>
        <w:t xml:space="preserve">…. </w:t>
      </w:r>
      <w:r w:rsidRPr="0007308E">
        <w:t>Given the issues leading up to the Town Board's decisions in this matter, albeit abrupt, the Court does not find that the actions of the Town Board give rise to a prospective enforceable contract right nor does it find a basis for which declaratory judgment can be granted.</w:t>
      </w:r>
      <w:r>
        <w:t>”</w:t>
      </w:r>
    </w:p>
    <w:p w14:paraId="2504BE88" w14:textId="77777777" w:rsidR="002D139D" w:rsidRDefault="002D139D" w:rsidP="002D139D">
      <w:pPr>
        <w:pStyle w:val="NoSpacing"/>
      </w:pPr>
    </w:p>
    <w:p w14:paraId="420E2140" w14:textId="77777777" w:rsidR="002D139D" w:rsidRDefault="002D139D" w:rsidP="002D139D">
      <w:pPr>
        <w:pStyle w:val="NoSpacing"/>
      </w:pPr>
      <w:r>
        <w:rPr>
          <w:b/>
        </w:rPr>
        <w:t>Legal lesson learned: Town had lawful right to switch primary EMS provider.</w:t>
      </w:r>
    </w:p>
    <w:p w14:paraId="331E76C8" w14:textId="77777777" w:rsidR="002D139D" w:rsidRDefault="002D139D" w:rsidP="002D139D">
      <w:pPr>
        <w:pStyle w:val="NoSpacing"/>
      </w:pPr>
    </w:p>
    <w:p w14:paraId="32160919" w14:textId="77777777" w:rsidR="00C37020" w:rsidRDefault="00C37020" w:rsidP="00752531">
      <w:pPr>
        <w:pStyle w:val="NoSpacing"/>
        <w:rPr>
          <w:rFonts w:ascii="Arial Black" w:hAnsi="Arial Black"/>
          <w:sz w:val="24"/>
          <w:szCs w:val="24"/>
        </w:rPr>
      </w:pPr>
    </w:p>
    <w:p w14:paraId="367A0FBE" w14:textId="77777777" w:rsidR="00C37020" w:rsidRDefault="00C37020" w:rsidP="00752531">
      <w:pPr>
        <w:pStyle w:val="NoSpacing"/>
        <w:rPr>
          <w:rFonts w:ascii="Arial Black" w:hAnsi="Arial Black"/>
          <w:sz w:val="24"/>
          <w:szCs w:val="24"/>
        </w:rPr>
      </w:pPr>
    </w:p>
    <w:p w14:paraId="2E11EECC" w14:textId="77777777" w:rsidR="00C37020" w:rsidRDefault="00C37020" w:rsidP="00752531">
      <w:pPr>
        <w:pStyle w:val="NoSpacing"/>
        <w:rPr>
          <w:rFonts w:ascii="Arial Black" w:hAnsi="Arial Black"/>
          <w:sz w:val="24"/>
          <w:szCs w:val="24"/>
        </w:rPr>
      </w:pPr>
    </w:p>
    <w:p w14:paraId="63A93B38" w14:textId="77777777" w:rsidR="00C37020" w:rsidRDefault="00C37020" w:rsidP="00752531">
      <w:pPr>
        <w:pStyle w:val="NoSpacing"/>
        <w:rPr>
          <w:rFonts w:ascii="Arial Black" w:hAnsi="Arial Black"/>
          <w:sz w:val="24"/>
          <w:szCs w:val="24"/>
        </w:rPr>
      </w:pPr>
    </w:p>
    <w:p w14:paraId="510B8314" w14:textId="77777777" w:rsidR="00C37020" w:rsidRDefault="00C37020" w:rsidP="00752531">
      <w:pPr>
        <w:pStyle w:val="NoSpacing"/>
        <w:rPr>
          <w:rFonts w:ascii="Arial Black" w:hAnsi="Arial Black"/>
          <w:sz w:val="24"/>
          <w:szCs w:val="24"/>
        </w:rPr>
      </w:pPr>
    </w:p>
    <w:p w14:paraId="733571F4" w14:textId="6E51BEA4" w:rsidR="00752531" w:rsidRPr="00DA5EE8" w:rsidRDefault="00752531" w:rsidP="00752531">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65</w:t>
      </w:r>
    </w:p>
    <w:p w14:paraId="391A2C8D" w14:textId="77777777" w:rsidR="00EB0265" w:rsidRDefault="00EB0265" w:rsidP="00824E5F">
      <w:pPr>
        <w:pStyle w:val="NoSpacing"/>
        <w:rPr>
          <w:rFonts w:ascii="Arial Black" w:hAnsi="Arial Black"/>
          <w:sz w:val="24"/>
          <w:szCs w:val="24"/>
        </w:rPr>
      </w:pPr>
    </w:p>
    <w:p w14:paraId="052A904C" w14:textId="77777777" w:rsidR="00EB0265" w:rsidRPr="00805D73" w:rsidRDefault="00EB0265" w:rsidP="00EB0265">
      <w:pPr>
        <w:pStyle w:val="NoSpacing"/>
        <w:rPr>
          <w:rFonts w:ascii="Arial Black" w:hAnsi="Arial Black"/>
          <w:bCs/>
          <w:sz w:val="28"/>
          <w:szCs w:val="28"/>
        </w:rPr>
      </w:pPr>
      <w:r>
        <w:rPr>
          <w:rFonts w:ascii="Arial Black" w:hAnsi="Arial Black"/>
          <w:sz w:val="28"/>
          <w:szCs w:val="28"/>
        </w:rPr>
        <w:t xml:space="preserve">NJ: HOSP. MD OK’D DRUG / INTUBATION – EMS IMMUNITY </w:t>
      </w:r>
    </w:p>
    <w:p w14:paraId="4CEE6CDB" w14:textId="77777777" w:rsidR="00EB0265" w:rsidRDefault="00EB0265" w:rsidP="00EB0265">
      <w:pPr>
        <w:pStyle w:val="NoSpacing"/>
        <w:rPr>
          <w:bCs/>
        </w:rPr>
      </w:pPr>
    </w:p>
    <w:p w14:paraId="71D2DEB4" w14:textId="77777777" w:rsidR="00EB0265" w:rsidRPr="002B7C2B" w:rsidRDefault="00EB0265" w:rsidP="00EB0265">
      <w:pPr>
        <w:pStyle w:val="NoSpacing"/>
        <w:rPr>
          <w:bCs/>
          <w:u w:val="single"/>
        </w:rPr>
      </w:pPr>
      <w:r>
        <w:t xml:space="preserve">On June 25, 2026, in </w:t>
      </w:r>
      <w:r w:rsidRPr="002B7C2B">
        <w:rPr>
          <w:u w:val="single"/>
        </w:rPr>
        <w:t>Jari Almonte and Yahaira Almanzar, individually and as parents and</w:t>
      </w:r>
    </w:p>
    <w:p w14:paraId="41B694BB" w14:textId="77777777" w:rsidR="00EB0265" w:rsidRPr="006A0694" w:rsidRDefault="00EB0265" w:rsidP="00EB0265">
      <w:pPr>
        <w:pStyle w:val="NoSpacing"/>
        <w:rPr>
          <w:bCs/>
        </w:rPr>
      </w:pPr>
      <w:r w:rsidRPr="002B7C2B">
        <w:rPr>
          <w:u w:val="single"/>
        </w:rPr>
        <w:t>natural guardians of Jeremy Almonte, an infant v. Township of Union, Township of Union Fire Department, et al</w:t>
      </w:r>
      <w:r w:rsidRPr="002B7C2B">
        <w:t xml:space="preserve">., </w:t>
      </w:r>
      <w:r>
        <w:t xml:space="preserve">the Supreme Court of New Jersey held (7 to 0) that trial court judge, and the Appellate Court properly held that the paramedics and their employer </w:t>
      </w:r>
      <w:r w:rsidRPr="006A0694">
        <w:t xml:space="preserve">have immunity under </w:t>
      </w:r>
      <w:r>
        <w:t xml:space="preserve">NJ statute, failed intubations, but made two calls to hospital doctor and there is no requirement they have “constant, live stream” with the physician. </w:t>
      </w:r>
      <w:r w:rsidRPr="005B4CCA">
        <w:t>The version of the EMSA that controls this appeal was</w:t>
      </w:r>
      <w:r>
        <w:t xml:space="preserve"> </w:t>
      </w:r>
      <w:r w:rsidRPr="005B4CCA">
        <w:t>adopted in 1984. At that time, N.J.S.A. 26:2K-14 immunized paramedics who</w:t>
      </w:r>
      <w:r>
        <w:t xml:space="preserve"> </w:t>
      </w:r>
      <w:r w:rsidRPr="005B4CCA">
        <w:t xml:space="preserve">perform advanced life support services </w:t>
      </w:r>
      <w:r>
        <w:t>‘</w:t>
      </w:r>
      <w:r w:rsidRPr="005B4CCA">
        <w:t>in good faith</w:t>
      </w:r>
      <w:r>
        <w:t>’</w:t>
      </w:r>
      <w:r w:rsidRPr="005B4CCA">
        <w:t xml:space="preserve"> and </w:t>
      </w:r>
      <w:r>
        <w:t>‘</w:t>
      </w:r>
      <w:r w:rsidRPr="005B4CCA">
        <w:t>in accordance with [the</w:t>
      </w:r>
      <w:r>
        <w:t xml:space="preserve"> </w:t>
      </w:r>
      <w:r w:rsidRPr="005B4CCA">
        <w:t xml:space="preserve">EMSA].” </w:t>
      </w:r>
      <w:r>
        <w:t>The Court wrote: “</w:t>
      </w:r>
      <w:r w:rsidRPr="005B4CCA">
        <w:t>The latter requirement, which is at issue in plaintiffs’ challenge, is</w:t>
      </w:r>
      <w:r>
        <w:t xml:space="preserve"> </w:t>
      </w:r>
      <w:r w:rsidRPr="005B4CCA">
        <w:t xml:space="preserve">fulfilled if paramedics (1) </w:t>
      </w:r>
      <w:r>
        <w:t>‘</w:t>
      </w:r>
      <w:r w:rsidRPr="005B4CCA">
        <w:t>maintain direct voice communication with</w:t>
      </w:r>
      <w:r>
        <w:t>’</w:t>
      </w:r>
      <w:r w:rsidRPr="005B4CCA">
        <w:t xml:space="preserve"> and (2) </w:t>
      </w:r>
      <w:r>
        <w:t>‘</w:t>
      </w:r>
      <w:r w:rsidRPr="005B4CCA">
        <w:t>are</w:t>
      </w:r>
      <w:r>
        <w:t xml:space="preserve"> </w:t>
      </w:r>
      <w:r w:rsidRPr="005B4CCA">
        <w:t>taking orders from a licensed physician</w:t>
      </w:r>
      <w:r>
        <w:t>’</w:t>
      </w:r>
      <w:r w:rsidRPr="005B4CCA">
        <w:t xml:space="preserve"> while providing ALS.</w:t>
      </w:r>
      <w:r>
        <w:t xml:space="preserve">” </w:t>
      </w:r>
      <w:hyperlink r:id="rId2065" w:history="1">
        <w:r w:rsidRPr="005431AD">
          <w:rPr>
            <w:rStyle w:val="Hyperlink"/>
          </w:rPr>
          <w:t>https://www.njcourts.gov/system/files/court-opinions/2026/a_73_24.pdf</w:t>
        </w:r>
      </w:hyperlink>
      <w:r>
        <w:t xml:space="preserve"> </w:t>
      </w:r>
    </w:p>
    <w:p w14:paraId="14748ECC" w14:textId="77777777" w:rsidR="00EB0265" w:rsidRDefault="00EB0265" w:rsidP="00EB0265">
      <w:pPr>
        <w:pStyle w:val="NoSpacing"/>
        <w:rPr>
          <w:b/>
        </w:rPr>
      </w:pPr>
    </w:p>
    <w:p w14:paraId="5696D8D0" w14:textId="77777777" w:rsidR="00EB0265" w:rsidRPr="00F26F6D" w:rsidRDefault="00EB0265" w:rsidP="00EB0265">
      <w:pPr>
        <w:pStyle w:val="NoSpacing"/>
        <w:rPr>
          <w:b/>
        </w:rPr>
      </w:pPr>
      <w:r w:rsidRPr="00F26F6D">
        <w:rPr>
          <w:b/>
        </w:rPr>
        <w:t xml:space="preserve">FACTS: </w:t>
      </w:r>
    </w:p>
    <w:p w14:paraId="74087FF2" w14:textId="77777777" w:rsidR="00EB0265" w:rsidRDefault="00EB0265" w:rsidP="00EB0265">
      <w:pPr>
        <w:pStyle w:val="NoSpacing"/>
        <w:rPr>
          <w:b/>
        </w:rPr>
      </w:pPr>
    </w:p>
    <w:p w14:paraId="052165B2" w14:textId="77777777" w:rsidR="00EB0265" w:rsidRDefault="00EB0265" w:rsidP="00EB0265">
      <w:pPr>
        <w:pStyle w:val="NoSpacing"/>
      </w:pPr>
      <w:r>
        <w:t>“8:56 p.m. Jeremy Almonte’s mother called 9-1-1 immediately after observing her twenty-one-month-old son fall and strike his head on a hardwood floor while running and playing in their Vauxhall home. After the fall, Almonte’s face and neck began ‘twitching</w:t>
      </w:r>
      <w:proofErr w:type="gramStart"/>
      <w:r>
        <w:t>,’ ‘</w:t>
      </w:r>
      <w:proofErr w:type="gramEnd"/>
      <w:r>
        <w:t>which rapidly</w:t>
      </w:r>
    </w:p>
    <w:p w14:paraId="6D471E06" w14:textId="77777777" w:rsidR="00EB0265" w:rsidRDefault="00EB0265" w:rsidP="00EB0265">
      <w:pPr>
        <w:pStyle w:val="NoSpacing"/>
      </w:pPr>
      <w:r>
        <w:t>progressed into full body convulsions.’</w:t>
      </w:r>
    </w:p>
    <w:p w14:paraId="5C57CD81" w14:textId="77777777" w:rsidR="00EB0265" w:rsidRDefault="00EB0265" w:rsidP="00EB0265">
      <w:pPr>
        <w:pStyle w:val="NoSpacing"/>
      </w:pPr>
    </w:p>
    <w:p w14:paraId="2F73BB7C" w14:textId="77777777" w:rsidR="00EB0265" w:rsidRDefault="00EB0265" w:rsidP="00EB0265">
      <w:pPr>
        <w:pStyle w:val="NoSpacing"/>
      </w:pPr>
      <w:r>
        <w:t>9:00 p.m. Basic life support (BLS) Emergency Medical Technicians (EMTs) arrived at the Almonte home. They found Almonte with a fist-sized lump on the rear of his head and reported that he was actively seizing and ‘unresponsive’ but breathing on his own. Almonte was</w:t>
      </w:r>
    </w:p>
    <w:p w14:paraId="05EC53ED" w14:textId="77777777" w:rsidR="00EB0265" w:rsidRDefault="00EB0265" w:rsidP="00EB0265">
      <w:pPr>
        <w:pStyle w:val="NoSpacing"/>
      </w:pPr>
      <w:r>
        <w:t>‘</w:t>
      </w:r>
      <w:proofErr w:type="gramStart"/>
      <w:r>
        <w:t>vomiting</w:t>
      </w:r>
      <w:proofErr w:type="gramEnd"/>
      <w:r>
        <w:t xml:space="preserve"> large amounts of fluid from his oral and nasal airway.’ The BLS EMTs administered oxygen, suctioned fluid from Almonte’s airway, and loaded him into an ambulance.</w:t>
      </w:r>
    </w:p>
    <w:p w14:paraId="565C5056" w14:textId="77777777" w:rsidR="00EB0265" w:rsidRDefault="00EB0265" w:rsidP="00EB0265">
      <w:pPr>
        <w:pStyle w:val="NoSpacing"/>
      </w:pPr>
    </w:p>
    <w:p w14:paraId="2E82D7A6" w14:textId="77777777" w:rsidR="00EB0265" w:rsidRDefault="00EB0265" w:rsidP="00EB0265">
      <w:pPr>
        <w:pStyle w:val="NoSpacing"/>
      </w:pPr>
      <w:r>
        <w:t xml:space="preserve">9:10 p.m. Advanced life support (ALS) paramedics employed by the Atlantic Ambulance Corporation, David Pernell and Denyel Cusimano (the paramedics), arrived and assumed care of Almonte. Almonte remained ‘unresponsive,’ with his </w:t>
      </w:r>
      <w:proofErr w:type="gramStart"/>
      <w:r>
        <w:t>lips blue</w:t>
      </w:r>
      <w:proofErr w:type="gramEnd"/>
      <w:r>
        <w:t xml:space="preserve">, extremities cool </w:t>
      </w:r>
      <w:proofErr w:type="gramStart"/>
      <w:r>
        <w:t>to</w:t>
      </w:r>
      <w:proofErr w:type="gramEnd"/>
      <w:r>
        <w:t xml:space="preserve"> the</w:t>
      </w:r>
    </w:p>
    <w:p w14:paraId="6C97BE10" w14:textId="77777777" w:rsidR="00EB0265" w:rsidRDefault="00EB0265" w:rsidP="00EB0265">
      <w:pPr>
        <w:pStyle w:val="NoSpacing"/>
      </w:pPr>
      <w:r>
        <w:t>touch, and jaw clenched shut; his breathing became ‘labored’ and he continued to actively seize.</w:t>
      </w:r>
    </w:p>
    <w:p w14:paraId="146365F3" w14:textId="77777777" w:rsidR="00EB0265" w:rsidRDefault="00EB0265" w:rsidP="00EB0265">
      <w:pPr>
        <w:pStyle w:val="NoSpacing"/>
      </w:pPr>
    </w:p>
    <w:p w14:paraId="444AD1C0" w14:textId="77777777" w:rsidR="00EB0265" w:rsidRDefault="00EB0265" w:rsidP="00EB0265">
      <w:pPr>
        <w:pStyle w:val="NoSpacing"/>
      </w:pPr>
      <w:r w:rsidRPr="00722122">
        <w:t>9:17 p.m. Pernell placed the first cellular phone call to Dr. Sharma</w:t>
      </w:r>
      <w:r>
        <w:t xml:space="preserve"> [Dr. Niti Sharma, M.D., a licensed physician working in the Emergency Department at Overlook Medical Center]…. DR. SHARMA: You can give him . . . one milligram [of Valium]….</w:t>
      </w:r>
    </w:p>
    <w:p w14:paraId="055D8E9E" w14:textId="77777777" w:rsidR="00EB0265" w:rsidRDefault="00EB0265" w:rsidP="00EB0265">
      <w:pPr>
        <w:pStyle w:val="NoSpacing"/>
      </w:pPr>
    </w:p>
    <w:p w14:paraId="7134EB08" w14:textId="77777777" w:rsidR="00EB0265" w:rsidRDefault="00EB0265" w:rsidP="00EB0265">
      <w:pPr>
        <w:pStyle w:val="NoSpacing"/>
      </w:pPr>
      <w:r>
        <w:t>9:29 p.m. Almonte’s ‘respiratory drive had decreased’ and his heart rate declined to 158 beats per minute (bpm). The paramedics suctioned ‘large amount[s] of fluid’ from Almonte’s ‘oral and nasal airways. Cusimano was able to open Almonte’s airway enough to insert a device to perform ventilation through a bag-valve-mask.</w:t>
      </w:r>
    </w:p>
    <w:p w14:paraId="1629957C" w14:textId="77777777" w:rsidR="00EB0265" w:rsidRDefault="00EB0265" w:rsidP="00EB0265">
      <w:pPr>
        <w:pStyle w:val="NoSpacing"/>
      </w:pPr>
    </w:p>
    <w:p w14:paraId="54586806" w14:textId="77777777" w:rsidR="00EB0265" w:rsidRDefault="00EB0265" w:rsidP="00EB0265">
      <w:pPr>
        <w:pStyle w:val="NoSpacing"/>
      </w:pPr>
      <w:r>
        <w:t>9:30 p.m. Pernell made the second cellular phone call to Dr. Sharma, during which the following exchange occurred:</w:t>
      </w:r>
    </w:p>
    <w:p w14:paraId="5E9B8DF0" w14:textId="77777777" w:rsidR="00EB0265" w:rsidRDefault="00EB0265" w:rsidP="00EB0265">
      <w:pPr>
        <w:pStyle w:val="NoSpacing"/>
        <w:ind w:left="720"/>
      </w:pPr>
    </w:p>
    <w:p w14:paraId="10A10F46" w14:textId="77777777" w:rsidR="00EB0265" w:rsidRDefault="00EB0265" w:rsidP="00EB0265">
      <w:pPr>
        <w:pStyle w:val="NoSpacing"/>
        <w:ind w:left="720"/>
      </w:pPr>
      <w:r>
        <w:t xml:space="preserve">PERNELL: This kid needs to be intubated. I need to get some orders for </w:t>
      </w:r>
      <w:proofErr w:type="spellStart"/>
      <w:r>
        <w:t>Succ</w:t>
      </w:r>
      <w:proofErr w:type="spellEnd"/>
      <w:r>
        <w:t xml:space="preserve"> and Etomidate. . . .</w:t>
      </w:r>
    </w:p>
    <w:p w14:paraId="0DD3B72A" w14:textId="77777777" w:rsidR="00EB0265" w:rsidRDefault="00EB0265" w:rsidP="00EB0265">
      <w:pPr>
        <w:pStyle w:val="NoSpacing"/>
      </w:pPr>
    </w:p>
    <w:p w14:paraId="0E268BB8" w14:textId="77777777" w:rsidR="00EB0265" w:rsidRDefault="00EB0265" w:rsidP="00EB0265">
      <w:pPr>
        <w:pStyle w:val="NoSpacing"/>
        <w:ind w:left="720"/>
      </w:pPr>
      <w:r>
        <w:t>DR. SHARMA: Etomidate . . . would be around four milligrams . . . And Succinylcholine . . . you can give him about [twenty-four] milligrams</w:t>
      </w:r>
      <w:proofErr w:type="gramStart"/>
      <w:r>
        <w:t>…..</w:t>
      </w:r>
      <w:proofErr w:type="gramEnd"/>
    </w:p>
    <w:p w14:paraId="77CAD3ED" w14:textId="77777777" w:rsidR="00EB0265" w:rsidRDefault="00EB0265" w:rsidP="00EB0265">
      <w:pPr>
        <w:pStyle w:val="NoSpacing"/>
        <w:ind w:left="720"/>
      </w:pPr>
    </w:p>
    <w:p w14:paraId="3B31333E" w14:textId="77777777" w:rsidR="00EB0265" w:rsidRDefault="00EB0265" w:rsidP="00EB0265">
      <w:pPr>
        <w:pStyle w:val="NoSpacing"/>
      </w:pPr>
      <w:r>
        <w:t>***</w:t>
      </w:r>
    </w:p>
    <w:p w14:paraId="6987AD02" w14:textId="77777777" w:rsidR="00EB0265" w:rsidRDefault="00EB0265" w:rsidP="00EB0265">
      <w:pPr>
        <w:pStyle w:val="NoSpacing"/>
      </w:pPr>
    </w:p>
    <w:p w14:paraId="15051D9D" w14:textId="77777777" w:rsidR="00EB0265" w:rsidRDefault="00EB0265" w:rsidP="00EB0265">
      <w:pPr>
        <w:pStyle w:val="NoSpacing"/>
      </w:pPr>
      <w:r>
        <w:t>9:37 p.m. The ambulance arrived at University Hospital. The paramedics remained with Almonte in the ambulance to continue their attempts to intubate him.</w:t>
      </w:r>
    </w:p>
    <w:p w14:paraId="004DDB7E" w14:textId="77777777" w:rsidR="00EB0265" w:rsidRDefault="00EB0265" w:rsidP="00EB0265">
      <w:pPr>
        <w:pStyle w:val="NoSpacing"/>
      </w:pPr>
    </w:p>
    <w:p w14:paraId="45EA20E1" w14:textId="77777777" w:rsidR="00EB0265" w:rsidRDefault="00EB0265" w:rsidP="00EB0265">
      <w:pPr>
        <w:pStyle w:val="NoSpacing"/>
      </w:pPr>
      <w:r>
        <w:t>9:42 p.m. Pernell began the third intubation attempt. Almonte’s ‘airway [was] cleared via suction while intubating.’ The ‘[p]</w:t>
      </w:r>
      <w:proofErr w:type="spellStart"/>
      <w:r>
        <w:t>lacement</w:t>
      </w:r>
      <w:proofErr w:type="spellEnd"/>
      <w:r>
        <w:t xml:space="preserve"> of [the] tube [was] successful’ and was ‘verified by’ measuring Almonte’s breathing and </w:t>
      </w:r>
      <w:proofErr w:type="gramStart"/>
      <w:r>
        <w:t>through ‘[</w:t>
      </w:r>
      <w:proofErr w:type="gramEnd"/>
      <w:r>
        <w:t>d]</w:t>
      </w:r>
      <w:proofErr w:type="spellStart"/>
      <w:r>
        <w:t>irect</w:t>
      </w:r>
      <w:proofErr w:type="spellEnd"/>
      <w:r>
        <w:t xml:space="preserve"> [v]</w:t>
      </w:r>
      <w:proofErr w:type="spellStart"/>
      <w:r>
        <w:t>isualization</w:t>
      </w:r>
      <w:proofErr w:type="spellEnd"/>
      <w:r>
        <w:t>.’ At this point, Almonte’s heart rate decreased to 71 bpm.</w:t>
      </w:r>
    </w:p>
    <w:p w14:paraId="41FC22BE" w14:textId="77777777" w:rsidR="00EB0265" w:rsidRDefault="00EB0265" w:rsidP="00EB0265">
      <w:pPr>
        <w:pStyle w:val="NoSpacing"/>
      </w:pPr>
    </w:p>
    <w:p w14:paraId="00CDB46F" w14:textId="77777777" w:rsidR="00EB0265" w:rsidRDefault="00EB0265" w:rsidP="00EB0265">
      <w:pPr>
        <w:pStyle w:val="NoSpacing"/>
      </w:pPr>
      <w:r>
        <w:t>9:47 p.m. Almonte was transferred to the Trauma Center by stretcher. When Almonte arrived, he was in cardiac arrest. The trauma physician found that the endotracheal tube was not in Almonte’s trachea. Almonte was then reintubated and resuscitated.</w:t>
      </w:r>
    </w:p>
    <w:p w14:paraId="6E8FBEE4" w14:textId="77777777" w:rsidR="00EB0265" w:rsidRDefault="00EB0265" w:rsidP="00EB0265">
      <w:pPr>
        <w:pStyle w:val="NoSpacing"/>
      </w:pPr>
    </w:p>
    <w:p w14:paraId="1B9B365B" w14:textId="77777777" w:rsidR="00EB0265" w:rsidRDefault="00EB0265" w:rsidP="00EB0265">
      <w:pPr>
        <w:pStyle w:val="NoSpacing"/>
      </w:pPr>
      <w:r>
        <w:t>9:57 p.m. Almonte’s breathing returned.”</w:t>
      </w:r>
    </w:p>
    <w:p w14:paraId="2C80F3F0" w14:textId="77777777" w:rsidR="00EB0265" w:rsidRDefault="00EB0265" w:rsidP="00EB0265">
      <w:pPr>
        <w:pStyle w:val="NoSpacing"/>
      </w:pPr>
    </w:p>
    <w:p w14:paraId="6A1AFE79" w14:textId="77777777" w:rsidR="00EB0265" w:rsidRDefault="00EB0265" w:rsidP="00EB0265">
      <w:pPr>
        <w:pStyle w:val="NoSpacing"/>
      </w:pPr>
    </w:p>
    <w:p w14:paraId="28A16251" w14:textId="77777777" w:rsidR="00EB0265" w:rsidRDefault="00EB0265" w:rsidP="00EB0265">
      <w:pPr>
        <w:pStyle w:val="NoSpacing"/>
        <w:rPr>
          <w:b/>
          <w:bCs/>
        </w:rPr>
      </w:pPr>
      <w:r w:rsidRPr="003D3633">
        <w:rPr>
          <w:b/>
        </w:rPr>
        <w:t>COURT HELD:</w:t>
      </w:r>
    </w:p>
    <w:p w14:paraId="524588A7" w14:textId="77777777" w:rsidR="00EB0265" w:rsidRDefault="00EB0265" w:rsidP="00EB0265">
      <w:pPr>
        <w:pStyle w:val="NoSpacing"/>
        <w:rPr>
          <w:b/>
          <w:bCs/>
        </w:rPr>
      </w:pPr>
    </w:p>
    <w:p w14:paraId="50985698" w14:textId="77777777" w:rsidR="00EB0265" w:rsidRPr="00B554DF" w:rsidRDefault="00EB0265" w:rsidP="00EB0265">
      <w:pPr>
        <w:pStyle w:val="NoSpacing"/>
      </w:pPr>
      <w:r>
        <w:t>“</w:t>
      </w:r>
      <w:r w:rsidRPr="00B554DF">
        <w:t>We conclude that the paramedics who provided care to Jeremy Almonte</w:t>
      </w:r>
      <w:r>
        <w:t xml:space="preserve"> </w:t>
      </w:r>
      <w:r w:rsidRPr="00B554DF">
        <w:t xml:space="preserve">acted under the </w:t>
      </w:r>
      <w:r>
        <w:t>‘</w:t>
      </w:r>
      <w:r w:rsidRPr="00B554DF">
        <w:t>orders</w:t>
      </w:r>
      <w:r>
        <w:t>’</w:t>
      </w:r>
      <w:r w:rsidRPr="00B554DF">
        <w:t xml:space="preserve"> of Dr. Niti Sharma, M.D., a licensed physician</w:t>
      </w:r>
      <w:r>
        <w:t xml:space="preserve"> </w:t>
      </w:r>
      <w:r w:rsidRPr="00B554DF">
        <w:t>working in the Emergency Department at Overlook Medical Center in Summit,</w:t>
      </w:r>
      <w:r>
        <w:t xml:space="preserve"> </w:t>
      </w:r>
      <w:r w:rsidRPr="00B554DF">
        <w:t>to intubate Almonte in an effort to open his airway; we also have determined</w:t>
      </w:r>
      <w:r>
        <w:t xml:space="preserve"> </w:t>
      </w:r>
      <w:r w:rsidRPr="00B554DF">
        <w:t xml:space="preserve">that those orders were conveyed during </w:t>
      </w:r>
      <w:r>
        <w:t>‘</w:t>
      </w:r>
      <w:r w:rsidRPr="00B554DF">
        <w:t>direct voice communication[s]</w:t>
      </w:r>
      <w:r>
        <w:t>’</w:t>
      </w:r>
      <w:r w:rsidRPr="00B554DF">
        <w:t xml:space="preserve"> with</w:t>
      </w:r>
    </w:p>
    <w:p w14:paraId="7F3EDC95" w14:textId="77777777" w:rsidR="00EB0265" w:rsidRDefault="00EB0265" w:rsidP="00EB0265">
      <w:pPr>
        <w:pStyle w:val="NoSpacing"/>
      </w:pPr>
      <w:r w:rsidRPr="00B554DF">
        <w:t>Dr. Sharma. Accordingly, we hold that defendants are entitled to immunity.</w:t>
      </w:r>
      <w:r>
        <w:t xml:space="preserve"> </w:t>
      </w:r>
      <w:r w:rsidRPr="00B554DF">
        <w:t>We reach this holding based on N.J.S.A. 26:2K-10’s plain language, aided by</w:t>
      </w:r>
      <w:r>
        <w:t xml:space="preserve"> </w:t>
      </w:r>
      <w:r w:rsidRPr="00B554DF">
        <w:t>legislative intent.</w:t>
      </w:r>
    </w:p>
    <w:p w14:paraId="29A13864" w14:textId="77777777" w:rsidR="00EB0265" w:rsidRDefault="00EB0265" w:rsidP="00EB0265">
      <w:pPr>
        <w:pStyle w:val="NoSpacing"/>
      </w:pPr>
    </w:p>
    <w:p w14:paraId="28FD1C56" w14:textId="77777777" w:rsidR="00EB0265" w:rsidRDefault="00EB0265" w:rsidP="00EB0265">
      <w:pPr>
        <w:pStyle w:val="NoSpacing"/>
      </w:pPr>
      <w:r>
        <w:t>***</w:t>
      </w:r>
    </w:p>
    <w:p w14:paraId="1134D813" w14:textId="77777777" w:rsidR="00EB0265" w:rsidRPr="00B554DF" w:rsidRDefault="00EB0265" w:rsidP="00EB0265">
      <w:pPr>
        <w:pStyle w:val="NoSpacing"/>
      </w:pPr>
      <w:r>
        <w:t>The appellate court noted that the statute itself does not define ‘maintain direct voice communication’ and credited the testimony of plaintiffs’ expert, Dr. Brown, that such communication need not be a ‘</w:t>
      </w:r>
      <w:r w:rsidRPr="00907730">
        <w:t>constant, live stream.</w:t>
      </w:r>
      <w:r>
        <w:t>’”</w:t>
      </w:r>
    </w:p>
    <w:p w14:paraId="335219A9" w14:textId="77777777" w:rsidR="00EB0265" w:rsidRDefault="00EB0265" w:rsidP="00EB0265">
      <w:pPr>
        <w:pStyle w:val="NoSpacing"/>
      </w:pPr>
    </w:p>
    <w:p w14:paraId="6FAF2A2E" w14:textId="77777777" w:rsidR="00EB0265" w:rsidRPr="00F010AA" w:rsidRDefault="00EB0265" w:rsidP="00EB0265">
      <w:pPr>
        <w:pStyle w:val="NoSpacing"/>
        <w:rPr>
          <w:b/>
          <w:bCs/>
        </w:rPr>
      </w:pPr>
      <w:r>
        <w:rPr>
          <w:b/>
        </w:rPr>
        <w:t xml:space="preserve">Legal lesson learned: Medics have immunity under the NJ law (now broadened) since they called hospital </w:t>
      </w:r>
      <w:proofErr w:type="gramStart"/>
      <w:r>
        <w:rPr>
          <w:b/>
        </w:rPr>
        <w:t>physician</w:t>
      </w:r>
      <w:proofErr w:type="gramEnd"/>
      <w:r>
        <w:rPr>
          <w:b/>
        </w:rPr>
        <w:t xml:space="preserve"> before intubation and administration of meds; check the law and your protocol in your state on when must contact Medical Control.</w:t>
      </w:r>
    </w:p>
    <w:p w14:paraId="3AFD0224" w14:textId="77777777" w:rsidR="00752531" w:rsidRDefault="00752531" w:rsidP="00752531">
      <w:pPr>
        <w:pStyle w:val="NoSpacing"/>
        <w:rPr>
          <w:rFonts w:ascii="Arial Black" w:hAnsi="Arial Black"/>
          <w:sz w:val="24"/>
          <w:szCs w:val="24"/>
        </w:rPr>
      </w:pPr>
    </w:p>
    <w:p w14:paraId="3D229831" w14:textId="77777777" w:rsidR="00752531" w:rsidRDefault="00752531" w:rsidP="00752531">
      <w:pPr>
        <w:pStyle w:val="NoSpacing"/>
        <w:rPr>
          <w:rFonts w:ascii="Arial Black" w:hAnsi="Arial Black"/>
          <w:sz w:val="24"/>
          <w:szCs w:val="24"/>
        </w:rPr>
      </w:pPr>
    </w:p>
    <w:p w14:paraId="027546E3" w14:textId="1747EB82" w:rsidR="00752531" w:rsidRPr="00DA5EE8" w:rsidRDefault="00752531" w:rsidP="00752531">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64</w:t>
      </w:r>
    </w:p>
    <w:p w14:paraId="351EB58E" w14:textId="4C9B721B" w:rsidR="00EB0265" w:rsidRDefault="00EB0265" w:rsidP="00EB0265">
      <w:pPr>
        <w:pStyle w:val="NoSpacing"/>
        <w:rPr>
          <w:sz w:val="20"/>
          <w:szCs w:val="20"/>
        </w:rPr>
      </w:pPr>
      <w:r w:rsidRPr="00F922D6">
        <w:rPr>
          <w:sz w:val="20"/>
          <w:szCs w:val="20"/>
        </w:rPr>
        <w:tab/>
      </w:r>
    </w:p>
    <w:p w14:paraId="7627E21F" w14:textId="77777777" w:rsidR="00EB0265" w:rsidRDefault="00EB0265" w:rsidP="00EB0265">
      <w:pPr>
        <w:pStyle w:val="NoSpacing"/>
      </w:pPr>
    </w:p>
    <w:p w14:paraId="731AC1C9" w14:textId="77777777" w:rsidR="00EB0265" w:rsidRPr="000629C2" w:rsidRDefault="00EB0265" w:rsidP="00EB0265">
      <w:pPr>
        <w:pStyle w:val="NoSpacing"/>
        <w:rPr>
          <w:rFonts w:ascii="Arial Black" w:hAnsi="Arial Black"/>
          <w:sz w:val="28"/>
          <w:szCs w:val="28"/>
        </w:rPr>
      </w:pPr>
      <w:r>
        <w:rPr>
          <w:rFonts w:ascii="Arial Black" w:hAnsi="Arial Black"/>
          <w:sz w:val="28"/>
          <w:szCs w:val="28"/>
        </w:rPr>
        <w:t>TX: AMBUL OUT 02 TRANSP – P’s EXPERT RPT TOSSED</w:t>
      </w:r>
    </w:p>
    <w:p w14:paraId="6489260B" w14:textId="77777777" w:rsidR="00EB0265" w:rsidRDefault="00EB0265" w:rsidP="00EB0265">
      <w:pPr>
        <w:pStyle w:val="NoSpacing"/>
      </w:pPr>
    </w:p>
    <w:p w14:paraId="7C854EBB" w14:textId="77777777" w:rsidR="00EB0265" w:rsidRDefault="00EB0265" w:rsidP="00EB0265">
      <w:pPr>
        <w:pStyle w:val="NoSpacing"/>
      </w:pPr>
      <w:r>
        <w:t xml:space="preserve">On June 25, 2026, in </w:t>
      </w:r>
      <w:r w:rsidRPr="00FB68FB">
        <w:rPr>
          <w:u w:val="single"/>
        </w:rPr>
        <w:t>Chester Powell v. Jimmy Cruz Sanchez</w:t>
      </w:r>
      <w:r>
        <w:t xml:space="preserve">, the </w:t>
      </w:r>
      <w:r w:rsidRPr="00FB68FB">
        <w:t>Court of Appeals of Texas, Thirteenth District, Corpus Christi-Edinburg</w:t>
      </w:r>
      <w:r>
        <w:t xml:space="preserve"> held (3 to 0) that case was properly dismissed; trial court had discretion to either allow or prohibit plaintiff to file new report about EMT duties instead of paramedic duties. The EMT employed by </w:t>
      </w:r>
      <w:r w:rsidRPr="000B25EA">
        <w:t>Sacred Heart EMS</w:t>
      </w:r>
      <w:r>
        <w:t xml:space="preserve"> was driving a patient from </w:t>
      </w:r>
      <w:r w:rsidRPr="00B970BB">
        <w:t>DeTar Hospital in Victoria</w:t>
      </w:r>
      <w:r>
        <w:t>, Texas</w:t>
      </w:r>
      <w:r w:rsidRPr="00B970BB">
        <w:t xml:space="preserve"> to Methodist Hospital in San Antonio. During the transport, the oxygen supply ran out, and the ambulance diverted to the nearest hospital</w:t>
      </w:r>
      <w:r>
        <w:t xml:space="preserve">, where patient was admitted to intensive care. In a TX </w:t>
      </w:r>
      <w:r w:rsidRPr="000629C2">
        <w:t>health care liability case</w:t>
      </w:r>
      <w:r>
        <w:t>, the plaintiff must submit expert report with the lawsuit setting out breach of duty – in this case the MDs report was about paramedic duties.   Trial court dismissed the lawsuit, instead of granting 30 days to for plaintiff to file revised report;  Court of Appeals upheld the dismissal.  The Court wrote: “</w:t>
      </w:r>
      <w:r w:rsidRPr="00AB6B88">
        <w:t>Accordingly, the trial court did not abuse its discretion in granting Cruz's motion to dismiss with prejudice based on an inadequate report.</w:t>
      </w:r>
      <w:r>
        <w:t>”</w:t>
      </w:r>
    </w:p>
    <w:p w14:paraId="212A5ADD" w14:textId="77777777" w:rsidR="00EB0265" w:rsidRPr="003F2723" w:rsidRDefault="00EB0265" w:rsidP="00EB0265">
      <w:pPr>
        <w:pStyle w:val="NoSpacing"/>
        <w:rPr>
          <w:b/>
        </w:rPr>
      </w:pPr>
      <w:hyperlink r:id="rId2066" w:history="1">
        <w:r w:rsidRPr="00014504">
          <w:rPr>
            <w:rStyle w:val="Hyperlink"/>
            <w:b/>
          </w:rPr>
          <w:t>https://public.fastcase.com/Jhe1Qn%2BmJndQYQU6z%2FeNmxd3J8jpmxXxyeidb6WXrTEciJVACoDQGCX04YyoIKQxWs5hBfmCFqjSsPik5w4la1NJYiz6fo5tDOdYnNwjoT0%3D?utm_medium=email&amp;_hsenc=p2ANqtz-9LzrN1R9Pgrlzgu6Bjb006a7Y-7J4xKc7rzHzZp95cTtgFvjhjxyCpE0IXkHF1YdLpVWdu75zDjIRZyumRHM8CB80GGw&amp;_hsmi=226712652&amp;utm_content=226712652&amp;utm_source=hs_email</w:t>
        </w:r>
      </w:hyperlink>
      <w:r>
        <w:rPr>
          <w:b/>
        </w:rPr>
        <w:t xml:space="preserve"> </w:t>
      </w:r>
    </w:p>
    <w:p w14:paraId="70EC9EBB" w14:textId="77777777" w:rsidR="00EB0265" w:rsidRDefault="00EB0265" w:rsidP="00EB0265">
      <w:pPr>
        <w:pStyle w:val="NoSpacing"/>
      </w:pPr>
    </w:p>
    <w:p w14:paraId="409272F4" w14:textId="77777777" w:rsidR="00EB0265" w:rsidRPr="000629C2" w:rsidRDefault="00EB0265" w:rsidP="00EB0265">
      <w:pPr>
        <w:pStyle w:val="NoSpacing"/>
      </w:pPr>
    </w:p>
    <w:p w14:paraId="4D50E0C4" w14:textId="77777777" w:rsidR="00EB0265" w:rsidRDefault="00EB0265" w:rsidP="00EB0265">
      <w:pPr>
        <w:pStyle w:val="NoSpacing"/>
        <w:rPr>
          <w:b/>
          <w:bCs/>
        </w:rPr>
      </w:pPr>
      <w:r w:rsidRPr="00FC1481">
        <w:rPr>
          <w:b/>
        </w:rPr>
        <w:t>FACTS:</w:t>
      </w:r>
    </w:p>
    <w:p w14:paraId="32CBAF26" w14:textId="77777777" w:rsidR="00EB0265" w:rsidRDefault="00EB0265" w:rsidP="00EB0265">
      <w:pPr>
        <w:pStyle w:val="NoSpacing"/>
        <w:rPr>
          <w:b/>
          <w:bCs/>
        </w:rPr>
      </w:pPr>
    </w:p>
    <w:p w14:paraId="4B0B0684" w14:textId="77777777" w:rsidR="00EB0265" w:rsidRDefault="00EB0265" w:rsidP="00EB0265">
      <w:pPr>
        <w:pStyle w:val="NoSpacing"/>
      </w:pPr>
      <w:r>
        <w:t>“</w:t>
      </w:r>
      <w:r w:rsidRPr="00481044">
        <w:t>Powell asserted that he was transported in an ambulance "manned by" Cruz</w:t>
      </w:r>
      <w:r>
        <w:t xml:space="preserve"> [Jimmy Cruz Sanchez] from </w:t>
      </w:r>
      <w:r w:rsidRPr="00481044">
        <w:t xml:space="preserve">DeTar Hospital in Victoria to Methodist Hospital in San Antonio. During the transport, the oxygen supply ran out, and the ambulance diverted to the nearest hospital. Powell was admitted to the Intensive Care Unit, and he was placed on </w:t>
      </w:r>
      <w:r>
        <w:t>‘</w:t>
      </w:r>
      <w:proofErr w:type="spellStart"/>
      <w:r w:rsidRPr="00481044">
        <w:t>veno</w:t>
      </w:r>
      <w:proofErr w:type="spellEnd"/>
      <w:r w:rsidRPr="00481044">
        <w:t>-venous Extra Corporal Membrane Oxygenation</w:t>
      </w:r>
      <w:r>
        <w:t>’</w:t>
      </w:r>
      <w:r w:rsidRPr="00481044">
        <w:t xml:space="preserve"> for eighty-two days and suffered from adult respiratory distress syndrome. Powell stated that he could not recover from this incident and remains on a portable oxygen ventilator. Powell alleged that Cruz's conduct was a proximate cause of his resulting injuries.</w:t>
      </w:r>
    </w:p>
    <w:p w14:paraId="0105DB43" w14:textId="77777777" w:rsidR="00EB0265" w:rsidRDefault="00EB0265" w:rsidP="00EB0265">
      <w:pPr>
        <w:pStyle w:val="NoSpacing"/>
      </w:pPr>
    </w:p>
    <w:p w14:paraId="58B93CA1" w14:textId="77777777" w:rsidR="00EB0265" w:rsidRDefault="00EB0265" w:rsidP="00EB0265">
      <w:pPr>
        <w:pStyle w:val="NoSpacing"/>
      </w:pPr>
      <w:r>
        <w:t>***</w:t>
      </w:r>
    </w:p>
    <w:p w14:paraId="5557DB88" w14:textId="77777777" w:rsidR="00EB0265" w:rsidRDefault="00EB0265" w:rsidP="00EB0265">
      <w:pPr>
        <w:pStyle w:val="NoSpacing"/>
      </w:pPr>
      <w:r w:rsidRPr="005E585F">
        <w:t xml:space="preserve">On September 17, 2024, Cruz objected to the expert report, asserting Dr. Bedolla based his expert report on the roles and duties of a paramedic, which Cruz is not. In his motion, Cruz stated that he is merely an EMT, and he explained the difference between the two roles. Cruz moved to dismiss contending the expert report did not constitute a </w:t>
      </w:r>
      <w:r>
        <w:t>‘</w:t>
      </w:r>
      <w:r w:rsidRPr="005E585F">
        <w:t>good faith</w:t>
      </w:r>
      <w:r>
        <w:t>’</w:t>
      </w:r>
      <w:r w:rsidRPr="005E585F">
        <w:t xml:space="preserve"> effort to comply with section 74.351 because Dr. Bedolla only addressed the standard of care, breach, roles and duties of a paramedic and failed to address the appropriate standard of an EMT.</w:t>
      </w:r>
      <w:r>
        <w:t>”</w:t>
      </w:r>
    </w:p>
    <w:p w14:paraId="268DDD0E" w14:textId="77777777" w:rsidR="00EB0265" w:rsidRDefault="00EB0265" w:rsidP="00EB0265">
      <w:pPr>
        <w:pStyle w:val="NoSpacing"/>
      </w:pPr>
    </w:p>
    <w:p w14:paraId="2B662419" w14:textId="77777777" w:rsidR="00EB0265" w:rsidRDefault="00EB0265" w:rsidP="00EB0265">
      <w:pPr>
        <w:pStyle w:val="NoSpacing"/>
        <w:rPr>
          <w:b/>
          <w:bCs/>
        </w:rPr>
      </w:pPr>
      <w:r w:rsidRPr="005E585F">
        <w:rPr>
          <w:b/>
        </w:rPr>
        <w:t>COURT HELD:</w:t>
      </w:r>
    </w:p>
    <w:p w14:paraId="0883ADE6" w14:textId="77777777" w:rsidR="00EB0265" w:rsidRDefault="00EB0265" w:rsidP="00EB0265">
      <w:pPr>
        <w:pStyle w:val="NoSpacing"/>
        <w:rPr>
          <w:b/>
          <w:bCs/>
        </w:rPr>
      </w:pPr>
    </w:p>
    <w:p w14:paraId="3EB309BA" w14:textId="77777777" w:rsidR="00EB0265" w:rsidRDefault="00EB0265" w:rsidP="00EB0265">
      <w:pPr>
        <w:pStyle w:val="NoSpacing"/>
      </w:pPr>
      <w:r>
        <w:t>“</w:t>
      </w:r>
      <w:r w:rsidRPr="00094EF3">
        <w:t xml:space="preserve">Dr. Bedolla prefaced his expert report with the following: </w:t>
      </w:r>
      <w:r>
        <w:t>‘</w:t>
      </w:r>
      <w:r w:rsidRPr="00094EF3">
        <w:t xml:space="preserve">Thank you for the opportunity to review this case. It is a case of negligence involving EMS transport by </w:t>
      </w:r>
      <w:proofErr w:type="gramStart"/>
      <w:r w:rsidRPr="00094EF3">
        <w:t>Mr. [Cruz],</w:t>
      </w:r>
      <w:proofErr w:type="gramEnd"/>
      <w:r w:rsidRPr="00094EF3">
        <w:t xml:space="preserve"> a paramedic with Sacred Heart EMS.</w:t>
      </w:r>
      <w:r>
        <w:t>’</w:t>
      </w:r>
      <w:r w:rsidRPr="00094EF3">
        <w:t xml:space="preserve"> The report then details a paramedic's duties and roles and further opines how Cruz failed to adhere to a paramedic's standard of care and how he breached that standard.</w:t>
      </w:r>
    </w:p>
    <w:p w14:paraId="7588EEBF" w14:textId="77777777" w:rsidR="00EB0265" w:rsidRDefault="00EB0265" w:rsidP="00EB0265">
      <w:pPr>
        <w:pStyle w:val="NoSpacing"/>
      </w:pPr>
    </w:p>
    <w:p w14:paraId="213C0ED9" w14:textId="77777777" w:rsidR="00EB0265" w:rsidRDefault="00EB0265" w:rsidP="00EB0265">
      <w:pPr>
        <w:pStyle w:val="NoSpacing"/>
      </w:pPr>
      <w:r>
        <w:t>***</w:t>
      </w:r>
    </w:p>
    <w:p w14:paraId="18125F3F" w14:textId="77777777" w:rsidR="00EB0265" w:rsidRPr="00094EF3" w:rsidRDefault="00EB0265" w:rsidP="00EB0265">
      <w:pPr>
        <w:pStyle w:val="NoSpacing"/>
      </w:pPr>
      <w:r w:rsidRPr="0040133C">
        <w:t xml:space="preserve">We recognize that </w:t>
      </w:r>
      <w:r>
        <w:t>‘</w:t>
      </w:r>
      <w:r w:rsidRPr="0040133C">
        <w:t>even when a report is deemed not served because it is deficient, the trial court retains discretion to grant a thirty[-]day extension.</w:t>
      </w:r>
      <w:r>
        <w:t>’</w:t>
      </w:r>
      <w:r w:rsidRPr="0040133C">
        <w:t xml:space="preserve"> </w:t>
      </w:r>
      <w:r w:rsidRPr="0040133C">
        <w:rPr>
          <w:i/>
          <w:iCs/>
        </w:rPr>
        <w:t>Ogletree</w:t>
      </w:r>
      <w:r w:rsidRPr="0040133C">
        <w:t xml:space="preserve">, 262 S.W.3d at 320-321. </w:t>
      </w:r>
      <w:r>
        <w:t>‘</w:t>
      </w:r>
      <w:r w:rsidRPr="0040133C">
        <w:t>Although the distinction between 'no report' and a deficient-but-potentially curable report can be elusive,</w:t>
      </w:r>
      <w:r>
        <w:t>’</w:t>
      </w:r>
      <w:r w:rsidRPr="0040133C">
        <w:t xml:space="preserve"> we conclude that the expert report as to Cruz is "no report," as it does not address an applicable standard of care, such that a dismissal of the actions against him was required without an opportunity to cure the report</w:t>
      </w:r>
      <w:r>
        <w:t xml:space="preserve">…. </w:t>
      </w:r>
      <w:r w:rsidRPr="00AB6B88">
        <w:t>Accordingly, the trial court did not abuse its discretion in granting Cruz's motion to dismiss with prejudice based on an inadequate report. We overrule Powell's issue.</w:t>
      </w:r>
      <w:r>
        <w:t>”</w:t>
      </w:r>
    </w:p>
    <w:p w14:paraId="13DCA125" w14:textId="77777777" w:rsidR="00EB0265" w:rsidRPr="00094EF3" w:rsidRDefault="00EB0265" w:rsidP="00EB0265">
      <w:pPr>
        <w:pStyle w:val="NoSpacing"/>
      </w:pPr>
    </w:p>
    <w:p w14:paraId="121ED732" w14:textId="77777777" w:rsidR="00EB0265" w:rsidRDefault="00EB0265" w:rsidP="00EB0265">
      <w:pPr>
        <w:pStyle w:val="NoSpacing"/>
      </w:pPr>
      <w:r>
        <w:rPr>
          <w:b/>
        </w:rPr>
        <w:t xml:space="preserve">Legal lesson learned: Expert reports are required in healthcare liability cases when case is filed; expert must carefully describe duties that were allegedly breached.  Check your ambulance O2 should be checked every shift and prior to patient </w:t>
      </w:r>
      <w:proofErr w:type="gramStart"/>
      <w:r>
        <w:rPr>
          <w:b/>
        </w:rPr>
        <w:t>transports</w:t>
      </w:r>
      <w:proofErr w:type="gramEnd"/>
      <w:r>
        <w:rPr>
          <w:b/>
        </w:rPr>
        <w:t xml:space="preserve">. </w:t>
      </w:r>
    </w:p>
    <w:p w14:paraId="443248F8" w14:textId="77777777" w:rsidR="00EB0265" w:rsidRDefault="00EB0265" w:rsidP="00EB0265">
      <w:pPr>
        <w:pStyle w:val="NoSpacing"/>
      </w:pPr>
    </w:p>
    <w:p w14:paraId="2343161C" w14:textId="77777777" w:rsidR="00752531" w:rsidRDefault="00752531" w:rsidP="00752531">
      <w:pPr>
        <w:pStyle w:val="NoSpacing"/>
        <w:rPr>
          <w:rFonts w:ascii="Arial Black" w:hAnsi="Arial Black"/>
          <w:sz w:val="24"/>
          <w:szCs w:val="24"/>
        </w:rPr>
      </w:pPr>
    </w:p>
    <w:p w14:paraId="5AF079AC" w14:textId="58ED50D6" w:rsidR="00752531" w:rsidRPr="00DA5EE8" w:rsidRDefault="00752531" w:rsidP="00752531">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63</w:t>
      </w:r>
    </w:p>
    <w:p w14:paraId="309980DE" w14:textId="77777777" w:rsidR="00EB0265" w:rsidRDefault="00EB0265" w:rsidP="00EB0265">
      <w:pPr>
        <w:pStyle w:val="NoSpacing"/>
      </w:pPr>
    </w:p>
    <w:p w14:paraId="0BF1A383" w14:textId="77777777" w:rsidR="00EB0265" w:rsidRPr="00F7747C" w:rsidRDefault="00EB0265" w:rsidP="00EB0265">
      <w:pPr>
        <w:rPr>
          <w:rFonts w:ascii="Arial Black" w:hAnsi="Arial Black"/>
          <w:b/>
          <w:bCs/>
          <w:sz w:val="28"/>
          <w:szCs w:val="28"/>
        </w:rPr>
      </w:pPr>
      <w:r>
        <w:rPr>
          <w:rFonts w:ascii="Arial Black" w:hAnsi="Arial Black"/>
          <w:b/>
          <w:sz w:val="28"/>
          <w:szCs w:val="28"/>
        </w:rPr>
        <w:t>IL: COVID-19 – RELIGION – CITY PROH. FETUS CELL MEDS</w:t>
      </w:r>
    </w:p>
    <w:p w14:paraId="501A8A6B" w14:textId="77777777" w:rsidR="00EB0265" w:rsidRDefault="00EB0265" w:rsidP="00EB0265">
      <w:pPr>
        <w:pStyle w:val="NoSpacing"/>
      </w:pPr>
      <w:r>
        <w:t xml:space="preserve">On June 22, 2026, in </w:t>
      </w:r>
      <w:r w:rsidRPr="00FF6D9F">
        <w:rPr>
          <w:u w:val="single"/>
        </w:rPr>
        <w:t>Robert Morris v. The City of Chicago</w:t>
      </w:r>
      <w:r>
        <w:t xml:space="preserve">, U.S. District Court Judge </w:t>
      </w:r>
      <w:r w:rsidRPr="00A22E52">
        <w:t xml:space="preserve">Joan H. </w:t>
      </w:r>
      <w:proofErr w:type="spellStart"/>
      <w:r w:rsidRPr="00A22E52">
        <w:t>Lefkow</w:t>
      </w:r>
      <w:proofErr w:type="spellEnd"/>
      <w:r>
        <w:t xml:space="preserve">, </w:t>
      </w:r>
      <w:r w:rsidRPr="00A22E52">
        <w:t>United States District Court, Northern District of Illinois, Eastern Division</w:t>
      </w:r>
      <w:r>
        <w:t xml:space="preserve">, held that the fighter’s claim of religious discrimination may proceed – during COVID-19 vaccination period only firefighters seeking religious discrimination were required to sign a form certifying they would forgo certain medications that city claims </w:t>
      </w:r>
      <w:r w:rsidRPr="00E51E4E">
        <w:t>were developed using cells obtained from aborted fetuses.</w:t>
      </w:r>
      <w:r>
        <w:t xml:space="preserve"> The Court wrote: “</w:t>
      </w:r>
      <w:r w:rsidRPr="00551616">
        <w:t>Further, Morris alleges that no parallel requirement existed for individuals requesting non-religious accommodations—only those, like him, who opposed the use of fetal cell lines in the development of vaccines on religious grounds.</w:t>
      </w:r>
      <w:r>
        <w:t>”</w:t>
      </w:r>
    </w:p>
    <w:p w14:paraId="253CFCB2" w14:textId="77777777" w:rsidR="00EB0265" w:rsidRDefault="00EB0265" w:rsidP="00EB0265">
      <w:pPr>
        <w:pStyle w:val="NoSpacing"/>
      </w:pPr>
      <w:hyperlink r:id="rId2067" w:history="1">
        <w:r w:rsidRPr="001B1815">
          <w:rPr>
            <w:rStyle w:val="Hyperlink"/>
          </w:rPr>
          <w:t>https://public.fastcase.com/Jhe1Qn%2BmJndQYQU6z%2FeNm00La4tSCrrnQj5Y3npvm8fdoq4TeulewGlEW3bFFA7N?utm_medium=email&amp;_hsenc=p2ANqtz-8ThEk2xAXh6kES_woWZ5vNzcOTlPOgA5SAfsmD2YLCJ8ZqGGe3eNs5iYP9SOCvDgMCA2VIbcxNqC2sINqsn3X7XvkFGA&amp;_hsmi=226712652&amp;utm_content=226712652&amp;utm_source=hs_email</w:t>
        </w:r>
      </w:hyperlink>
      <w:r>
        <w:t xml:space="preserve"> </w:t>
      </w:r>
    </w:p>
    <w:p w14:paraId="2FB6F9A1" w14:textId="77777777" w:rsidR="00EB0265" w:rsidRDefault="00EB0265" w:rsidP="00EB0265">
      <w:pPr>
        <w:rPr>
          <w:bCs/>
        </w:rPr>
      </w:pPr>
    </w:p>
    <w:p w14:paraId="19935B79" w14:textId="77777777" w:rsidR="00EB0265" w:rsidRDefault="00EB0265" w:rsidP="00EB0265">
      <w:pPr>
        <w:rPr>
          <w:bCs/>
        </w:rPr>
      </w:pPr>
      <w:r w:rsidRPr="00F26F6D">
        <w:rPr>
          <w:b/>
        </w:rPr>
        <w:t>FACTS:</w:t>
      </w:r>
      <w:r>
        <w:t xml:space="preserve"> </w:t>
      </w:r>
    </w:p>
    <w:p w14:paraId="4528FD75" w14:textId="77777777" w:rsidR="00EB0265" w:rsidRDefault="00EB0265" w:rsidP="00EB0265">
      <w:r>
        <w:t>“</w:t>
      </w:r>
      <w:r w:rsidRPr="003E0DC7">
        <w:t xml:space="preserve">In August 2021, the City implemented a COVID-19 vaccination policy that required its employees to be vaccinated against the COVID-19 virus. Morris, a firefighter for the </w:t>
      </w:r>
      <w:proofErr w:type="gramStart"/>
      <w:r w:rsidRPr="003E0DC7">
        <w:t>City</w:t>
      </w:r>
      <w:proofErr w:type="gramEnd"/>
      <w:r w:rsidRPr="003E0DC7">
        <w:t xml:space="preserve"> and a devout Catholic deacon, refused to take the COVID-19 vaccine due to his religious beliefs. Morris opposes, on religious grounds, the use of vaccines derived from fetal cell lines. So, on October 13, 2021, he submitted a religious accommodation request, seeking an exemption from the COVID-19 vaccine requirement. His request included a multi-page explanation of his </w:t>
      </w:r>
      <w:r>
        <w:t xml:space="preserve"> </w:t>
      </w:r>
      <w:r w:rsidRPr="003E0DC7">
        <w:t>religious beliefs that addressed each of the questions outlined in the City's form. He had, however, deliberately omitted from the request the signature of a spiritual advisor, since he believed that requiring such a signature was unnecessary and illegal. As a Catholic deacon, he deemed his signature to be sufficient</w:t>
      </w:r>
      <w:r>
        <w:t xml:space="preserve">…. </w:t>
      </w:r>
      <w:r w:rsidRPr="00AF6F9F">
        <w:t xml:space="preserve">Eventually, on January 26, 2022, Morris signed the Attestation Form, since he feared repercussions from the </w:t>
      </w:r>
      <w:proofErr w:type="gramStart"/>
      <w:r w:rsidRPr="00AF6F9F">
        <w:t>City</w:t>
      </w:r>
      <w:proofErr w:type="gramEnd"/>
      <w:r w:rsidRPr="00AF6F9F">
        <w:t xml:space="preserve"> if he refused to do so. One day later, the </w:t>
      </w:r>
      <w:proofErr w:type="gramStart"/>
      <w:r w:rsidRPr="00AF6F9F">
        <w:t>City</w:t>
      </w:r>
      <w:proofErr w:type="gramEnd"/>
      <w:r w:rsidRPr="00AF6F9F">
        <w:t xml:space="preserve"> granted his accommodations request</w:t>
      </w:r>
      <w:r>
        <w:t xml:space="preserve">…. </w:t>
      </w:r>
      <w:r w:rsidRPr="00F7747C">
        <w:t xml:space="preserve">The City also introduced additional requirements for Morris to seek an exemption, including a new condition that he </w:t>
      </w:r>
      <w:proofErr w:type="gramStart"/>
      <w:r w:rsidRPr="00F7747C">
        <w:t>sign</w:t>
      </w:r>
      <w:proofErr w:type="gramEnd"/>
      <w:r w:rsidRPr="00F7747C">
        <w:t xml:space="preserve"> a medication follow-up attestation (the Attestation Form), which required Morris to agree that he would forgo using certain medications. Individuals who sought medical exemptions were not required to sign the Attestation Form or a comparable form. Only individuals seeking a religious exemption were required to sign this form.</w:t>
      </w:r>
      <w:r>
        <w:t>”</w:t>
      </w:r>
    </w:p>
    <w:p w14:paraId="50905CCD" w14:textId="77777777" w:rsidR="00EB0265" w:rsidRDefault="00EB0265" w:rsidP="00EB0265">
      <w:pPr>
        <w:pStyle w:val="NoSpacing"/>
      </w:pPr>
    </w:p>
    <w:p w14:paraId="4D450282" w14:textId="77777777" w:rsidR="00EB0265" w:rsidRDefault="00EB0265" w:rsidP="00EB0265">
      <w:pPr>
        <w:pStyle w:val="NoSpacing"/>
        <w:rPr>
          <w:b/>
          <w:bCs/>
        </w:rPr>
      </w:pPr>
      <w:r w:rsidRPr="00F26F6D">
        <w:rPr>
          <w:b/>
        </w:rPr>
        <w:t>COURT HELD:</w:t>
      </w:r>
    </w:p>
    <w:p w14:paraId="6B7E0D7D" w14:textId="77777777" w:rsidR="00EB0265" w:rsidRDefault="00EB0265" w:rsidP="00EB0265">
      <w:pPr>
        <w:pStyle w:val="NoSpacing"/>
      </w:pPr>
    </w:p>
    <w:p w14:paraId="5DD87390" w14:textId="77777777" w:rsidR="00EB0265" w:rsidRPr="00551616" w:rsidRDefault="00EB0265" w:rsidP="00EB0265">
      <w:pPr>
        <w:pStyle w:val="NoSpacing"/>
      </w:pPr>
      <w:r>
        <w:t xml:space="preserve"> </w:t>
      </w:r>
      <w:r w:rsidRPr="009E2CCD">
        <w:t>“Religious Discrimination (Count II)….</w:t>
      </w:r>
      <w:r>
        <w:t xml:space="preserve"> </w:t>
      </w:r>
      <w:r w:rsidRPr="008A0C1C">
        <w:t>Moreover, following the Supreme Court's decision in Muldrow v. City of St. Louis, Missouri, it is clear that a relatively minor adverse action suffices for pleading a Title VII disparate treatment claim: A plaintiff need only allege “some harm respecting an identifiable term or condition of employment.” 601 U.S. 346, 355 (2024) (emphasis added). There is no need to allege that the harm a plaintiff suffered is “serious, or substantial, or any similar adjective” for a such a claim to be well-pleaded. Id</w:t>
      </w:r>
      <w:r>
        <w:t xml:space="preserve">…. </w:t>
      </w:r>
      <w:r w:rsidRPr="00551616">
        <w:t xml:space="preserve">Morris has met the low threshold requirements for pleading disparate treatment and religious discrimination. The City argues that Morris has failed to allege an adverse action, but Morris alleges that as a precondition for receiving his vaccine exemption, the City required him to complete the Attestation Form, which prohibited him from taking a range of common medications or potentially face discipline. Since many of these were </w:t>
      </w:r>
      <w:proofErr w:type="gramStart"/>
      <w:r w:rsidRPr="00551616">
        <w:t>medications</w:t>
      </w:r>
      <w:proofErr w:type="gramEnd"/>
      <w:r w:rsidRPr="00551616">
        <w:t xml:space="preserve"> he did not have any religious opposition to, this not only changed the terms and conditions of Morris's employment but also required him to misrepresent his religious views </w:t>
      </w:r>
      <w:proofErr w:type="gramStart"/>
      <w:r w:rsidRPr="00551616">
        <w:t>in order to</w:t>
      </w:r>
      <w:proofErr w:type="gramEnd"/>
      <w:r w:rsidRPr="00551616">
        <w:t xml:space="preserve"> be exempt from the City's vaccination requirement. Accordingly, Morris has shown at least </w:t>
      </w:r>
      <w:r>
        <w:t>‘</w:t>
      </w:r>
      <w:r w:rsidRPr="00551616">
        <w:t>some harm</w:t>
      </w:r>
      <w:r>
        <w:t>’</w:t>
      </w:r>
      <w:r w:rsidRPr="00551616">
        <w:t xml:space="preserve"> for purposes of stating an adverse action. </w:t>
      </w:r>
      <w:r w:rsidRPr="00551616">
        <w:rPr>
          <w:i/>
          <w:iCs/>
        </w:rPr>
        <w:t>Muldrow</w:t>
      </w:r>
      <w:r w:rsidRPr="00551616">
        <w:t xml:space="preserve">, 601 U.S. at 355. Further, Morris alleges that no parallel requirement existed for individuals requesting non-religious accommodations—only </w:t>
      </w:r>
    </w:p>
    <w:p w14:paraId="53D63E97" w14:textId="77777777" w:rsidR="00EB0265" w:rsidRDefault="00EB0265" w:rsidP="00EB0265">
      <w:pPr>
        <w:pStyle w:val="NoSpacing"/>
      </w:pPr>
      <w:r w:rsidRPr="00551616">
        <w:t>those, like him, who opposed the use of fetal cell lines in the development of vaccines on religious grounds. In other words, Morris alleges that the changes to the terms and conditions of his employment were made on account of his religious beliefs. Under Title VII's generous pleading standards for disparate treatment claims, this is sufficient.</w:t>
      </w:r>
      <w:r>
        <w:t xml:space="preserve">”  </w:t>
      </w:r>
    </w:p>
    <w:p w14:paraId="5D2C1A8B" w14:textId="77777777" w:rsidR="00EB0265" w:rsidRDefault="00EB0265" w:rsidP="00EB0265">
      <w:pPr>
        <w:pStyle w:val="NoSpacing"/>
      </w:pPr>
    </w:p>
    <w:p w14:paraId="000331B9" w14:textId="77777777" w:rsidR="00EB0265" w:rsidRPr="003209C4" w:rsidRDefault="00EB0265" w:rsidP="00EB0265">
      <w:pPr>
        <w:pStyle w:val="NoSpacing"/>
        <w:rPr>
          <w:b/>
          <w:bCs/>
        </w:rPr>
      </w:pPr>
      <w:r>
        <w:rPr>
          <w:b/>
        </w:rPr>
        <w:t xml:space="preserve">Legal lesson learned: To avoid religious discrimination lawsuits, do not impose unique requirements on only those firefighters seeking religious accommodations. </w:t>
      </w:r>
    </w:p>
    <w:p w14:paraId="159736EA" w14:textId="77777777" w:rsidR="00EB0265" w:rsidRPr="008A0C1C" w:rsidRDefault="00EB0265" w:rsidP="00EB0265">
      <w:pPr>
        <w:pStyle w:val="NoSpacing"/>
      </w:pPr>
    </w:p>
    <w:p w14:paraId="65226508" w14:textId="77777777" w:rsidR="00EB0265" w:rsidRPr="008A0C1C" w:rsidRDefault="00EB0265" w:rsidP="00EB0265">
      <w:pPr>
        <w:pStyle w:val="NoSpacing"/>
      </w:pPr>
      <w:r>
        <w:tab/>
        <w:t xml:space="preserve">Note: See this Feb. 19, </w:t>
      </w:r>
      <w:proofErr w:type="gramStart"/>
      <w:r>
        <w:t>2024</w:t>
      </w:r>
      <w:proofErr w:type="gramEnd"/>
      <w:r>
        <w:t xml:space="preserve"> article:</w:t>
      </w:r>
    </w:p>
    <w:p w14:paraId="738ACA25" w14:textId="77777777" w:rsidR="00EB0265" w:rsidRDefault="00EB0265" w:rsidP="00EB0265">
      <w:pPr>
        <w:pStyle w:val="NoSpacing"/>
        <w:ind w:left="720"/>
        <w:rPr>
          <w:bCs/>
        </w:rPr>
      </w:pPr>
      <w:r w:rsidRPr="009D4AD6">
        <w:t>“Chicago firefighter says city forced him to refuse all other meds before granting Covid vax religious exemption</w:t>
      </w:r>
      <w:r w:rsidRPr="00024DD4">
        <w:t>. A Chicago firefighter has filed suit against the city, claiming his rights were violated when the city of Chicago forced him to sign a form agreeing not to take even the most basic of medications before granting him a religious exemption from the city's Covid vaccine mandate.</w:t>
      </w:r>
      <w:r>
        <w:t xml:space="preserve"> </w:t>
      </w:r>
      <w:hyperlink r:id="rId2068" w:history="1">
        <w:r w:rsidRPr="00D079ED">
          <w:rPr>
            <w:rStyle w:val="Hyperlink"/>
            <w:color w:val="auto"/>
            <w:u w:val="none"/>
          </w:rPr>
          <w:t>On Feb. 5, plaintiff Daniel Baumgartner filed suit in Chicago federal court against the city, accusing the city of religious discrimination.</w:t>
        </w:r>
      </w:hyperlink>
      <w:r>
        <w:t xml:space="preserve">... </w:t>
      </w:r>
      <w:r w:rsidRPr="00E51E4E">
        <w:t xml:space="preserve">The lawsuit asserts the form would all but bar Baumgartner from taking even basic over the counter medications, including Benadryl, ibuprofen and aspirin, because the city claims </w:t>
      </w:r>
      <w:proofErr w:type="gramStart"/>
      <w:r w:rsidRPr="00E51E4E">
        <w:t>all of</w:t>
      </w:r>
      <w:proofErr w:type="gramEnd"/>
      <w:r w:rsidRPr="00E51E4E">
        <w:t xml:space="preserve"> those medications were developed using cells obtained from aborted fetuses. Baumgartner's complaint asserts the forms are </w:t>
      </w:r>
      <w:r>
        <w:t>‘</w:t>
      </w:r>
      <w:r w:rsidRPr="00E51E4E">
        <w:t>riddled with inaccurate and flatly erroneous information about the listed medications and their connections to fetal cells.</w:t>
      </w:r>
      <w:r>
        <w:t>’”</w:t>
      </w:r>
    </w:p>
    <w:p w14:paraId="2E79D4B2" w14:textId="77777777" w:rsidR="00EB0265" w:rsidRPr="00D079ED" w:rsidRDefault="00EB0265" w:rsidP="00EB0265">
      <w:pPr>
        <w:pStyle w:val="NoSpacing"/>
        <w:ind w:left="720"/>
        <w:rPr>
          <w:bCs/>
        </w:rPr>
      </w:pPr>
      <w:hyperlink r:id="rId2069" w:history="1">
        <w:r w:rsidRPr="001B1815">
          <w:rPr>
            <w:rStyle w:val="Hyperlink"/>
          </w:rPr>
          <w:t>https://www.legalnewsline.com/cook-county-record/chicago-firefighter-says-city-forced-him-to-refuse-all-other-meds-before-granting-covid-vax/article_68ad87a4-9b1a-50d4-8779-f38508fd4aad.html</w:t>
        </w:r>
      </w:hyperlink>
      <w:r>
        <w:t xml:space="preserve"> </w:t>
      </w:r>
    </w:p>
    <w:p w14:paraId="12E16FD5" w14:textId="77777777" w:rsidR="00EB0265" w:rsidRDefault="00EB0265" w:rsidP="00EB0265">
      <w:pPr>
        <w:pStyle w:val="NoSpacing"/>
        <w:rPr>
          <w:b/>
        </w:rPr>
      </w:pPr>
    </w:p>
    <w:p w14:paraId="6D8BF693" w14:textId="77777777" w:rsidR="00EB0265" w:rsidRDefault="00EB0265" w:rsidP="00EB0265">
      <w:pPr>
        <w:pStyle w:val="NoSpacing"/>
        <w:rPr>
          <w:b/>
        </w:rPr>
      </w:pPr>
    </w:p>
    <w:p w14:paraId="1A3A062C" w14:textId="05A5978F" w:rsidR="007A053D" w:rsidRDefault="007A053D" w:rsidP="007A053D">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62</w:t>
      </w:r>
    </w:p>
    <w:p w14:paraId="68471CAF" w14:textId="77777777" w:rsidR="00752531" w:rsidRDefault="00752531" w:rsidP="00EB0265">
      <w:pPr>
        <w:rPr>
          <w:rFonts w:ascii="Arial Black" w:hAnsi="Arial Black"/>
          <w:b/>
          <w:sz w:val="28"/>
          <w:szCs w:val="28"/>
        </w:rPr>
      </w:pPr>
    </w:p>
    <w:p w14:paraId="1E9F49A1" w14:textId="410141D3" w:rsidR="00EB0265" w:rsidRPr="00C26528" w:rsidRDefault="00EB0265" w:rsidP="00EB0265">
      <w:pPr>
        <w:rPr>
          <w:rFonts w:ascii="Arial Black" w:hAnsi="Arial Black"/>
          <w:b/>
          <w:sz w:val="28"/>
          <w:szCs w:val="28"/>
        </w:rPr>
      </w:pPr>
      <w:r>
        <w:rPr>
          <w:rFonts w:ascii="Arial Black" w:hAnsi="Arial Black"/>
          <w:b/>
          <w:sz w:val="28"/>
          <w:szCs w:val="28"/>
        </w:rPr>
        <w:t>CO: MEDIC – CONV. REV. KETAMINE DEATH – NEW TRIAL</w:t>
      </w:r>
    </w:p>
    <w:p w14:paraId="5FD8780F" w14:textId="77777777" w:rsidR="00EB0265" w:rsidRDefault="00EB0265" w:rsidP="00EB0265">
      <w:pPr>
        <w:rPr>
          <w:b/>
        </w:rPr>
      </w:pPr>
      <w:r>
        <w:t xml:space="preserve">On June 4. 2026, in </w:t>
      </w:r>
      <w:r w:rsidRPr="00C94F16">
        <w:rPr>
          <w:u w:val="single"/>
        </w:rPr>
        <w:t>The People of the State of Colorado v. Jeremy Cooper</w:t>
      </w:r>
      <w:r>
        <w:t xml:space="preserve">, the </w:t>
      </w:r>
      <w:r w:rsidRPr="004E2276">
        <w:t>Court of Appeals of Colorado, First Division</w:t>
      </w:r>
      <w:r>
        <w:t xml:space="preserve"> held (3 to 0) that the trial court judge gave jury an improperly jury instruction on when a medic could be guilty of “criminally negligent homicide.”  The trial judge should have instructed the jury in 2023 trial that a paramedic </w:t>
      </w:r>
      <w:proofErr w:type="spellStart"/>
      <w:r>
        <w:t>isonly</w:t>
      </w:r>
      <w:proofErr w:type="spellEnd"/>
      <w:r>
        <w:t xml:space="preserve">  </w:t>
      </w:r>
      <w:r w:rsidRPr="0086124D">
        <w:t xml:space="preserve">guilty of </w:t>
      </w:r>
      <w:r>
        <w:t>“</w:t>
      </w:r>
      <w:r w:rsidRPr="0086124D">
        <w:t>criminally negligent homicide</w:t>
      </w:r>
      <w:r>
        <w:t>” only when his conduct in 2019 was a gross violation of the protocols to be followed by a reasonable medic in that community.  The Court wrote: The Court wrote: “</w:t>
      </w:r>
      <w:r w:rsidRPr="00F572CB">
        <w:t xml:space="preserve">A person acts 'with criminal negligence' when, through a gross deviation from the standard of care that a </w:t>
      </w:r>
      <w:r w:rsidRPr="00F572CB">
        <w:rPr>
          <w:i/>
          <w:iCs/>
        </w:rPr>
        <w:t>reasonable paramedic in Aurora, Colorado</w:t>
      </w:r>
      <w:r w:rsidRPr="00F572CB">
        <w:t xml:space="preserve"> would exercise in the same circumstance, he fails to perceive a substantial and unjustifiable risk that a result will occur or that a circumstance exists.</w:t>
      </w:r>
      <w:r>
        <w:t xml:space="preserve">’ </w:t>
      </w:r>
      <w:hyperlink r:id="rId2070" w:history="1">
        <w:r w:rsidRPr="00971037">
          <w:rPr>
            <w:rStyle w:val="Hyperlink"/>
          </w:rPr>
          <w:t>https://www.coloradojudicial.gov/system/files/opinions-2026-06/24CA1002.pdf</w:t>
        </w:r>
      </w:hyperlink>
      <w:r>
        <w:t xml:space="preserve"> </w:t>
      </w:r>
    </w:p>
    <w:p w14:paraId="0E82B7BC" w14:textId="77777777" w:rsidR="00EB0265" w:rsidRDefault="00EB0265" w:rsidP="00EB0265">
      <w:pPr>
        <w:rPr>
          <w:b/>
        </w:rPr>
      </w:pPr>
      <w:r>
        <w:rPr>
          <w:b/>
        </w:rPr>
        <w:t>FACTS:</w:t>
      </w:r>
    </w:p>
    <w:p w14:paraId="47CF6A6F" w14:textId="77777777" w:rsidR="00EB0265" w:rsidRDefault="00EB0265" w:rsidP="00EB0265">
      <w:pPr>
        <w:pStyle w:val="NoSpacing"/>
      </w:pPr>
      <w:r>
        <w:t>“</w:t>
      </w:r>
      <w:r w:rsidRPr="005C2B80">
        <w:t xml:space="preserve">This case arises out of the tragic death of Elijah McClain following an interaction with Aurora police officers and fire rescue paramedics. Defendant, Jeremy Cooper, is the paramedic who injected Mr. McClain with ketamine, which, the People contend, contributed to his death. Cooper appeals the district court's judgment of conviction entered on a jury's verdict finding him guilty of criminally negligent homicide. We conclude that the district court erred by failing to properly instruct the jury on the standard of care applicable to the criminally negligent homicide charge and that the error wasn't harmless. Accordingly, we reverse the judgment and </w:t>
      </w:r>
      <w:proofErr w:type="gramStart"/>
      <w:r w:rsidRPr="005C2B80">
        <w:t>remand</w:t>
      </w:r>
      <w:proofErr w:type="gramEnd"/>
      <w:r w:rsidRPr="005C2B80">
        <w:t xml:space="preserve"> the case for a new trial.</w:t>
      </w:r>
    </w:p>
    <w:p w14:paraId="7B32F492" w14:textId="77777777" w:rsidR="00EB0265" w:rsidRDefault="00EB0265" w:rsidP="00EB0265">
      <w:pPr>
        <w:pStyle w:val="NoSpacing"/>
      </w:pPr>
    </w:p>
    <w:p w14:paraId="6CDD737B" w14:textId="77777777" w:rsidR="00EB0265" w:rsidRDefault="00EB0265" w:rsidP="00EB0265">
      <w:pPr>
        <w:pStyle w:val="NoSpacing"/>
      </w:pPr>
      <w:r>
        <w:t>***</w:t>
      </w:r>
    </w:p>
    <w:p w14:paraId="06A42C00" w14:textId="77777777" w:rsidR="00EB0265" w:rsidRPr="00B97DA4" w:rsidRDefault="00EB0265" w:rsidP="00EB0265">
      <w:pPr>
        <w:pStyle w:val="NoSpacing"/>
      </w:pPr>
      <w:r w:rsidRPr="00B97DA4">
        <w:t xml:space="preserve">One summer evening, Mr. McClain walked to a convenience store and bought a few cans of iced tea. The store's security </w:t>
      </w:r>
      <w:proofErr w:type="gramStart"/>
      <w:r w:rsidRPr="00B97DA4">
        <w:t>cameras</w:t>
      </w:r>
      <w:proofErr w:type="gramEnd"/>
      <w:r w:rsidRPr="00B97DA4">
        <w:t xml:space="preserve"> showed him wearing a black ski mask and headphones, paying for his tea, and dancing with his arms raised in the parking lot. </w:t>
      </w:r>
    </w:p>
    <w:p w14:paraId="6338A848" w14:textId="77777777" w:rsidR="00EB0265" w:rsidRDefault="00EB0265" w:rsidP="00EB0265">
      <w:pPr>
        <w:pStyle w:val="NoSpacing"/>
      </w:pPr>
    </w:p>
    <w:p w14:paraId="0F9CB969" w14:textId="77777777" w:rsidR="00EB0265" w:rsidRPr="00B97DA4" w:rsidRDefault="00EB0265" w:rsidP="00EB0265">
      <w:pPr>
        <w:pStyle w:val="NoSpacing"/>
      </w:pPr>
      <w:r w:rsidRPr="00B97DA4">
        <w:t xml:space="preserve">Soon after Mr. McClain left the store, a 911 caller reported a "sketchy" looking black male </w:t>
      </w:r>
      <w:r>
        <w:t>‘</w:t>
      </w:r>
      <w:r w:rsidRPr="00B97DA4">
        <w:t>walking fast</w:t>
      </w:r>
      <w:r>
        <w:t>’</w:t>
      </w:r>
      <w:r w:rsidRPr="00B97DA4">
        <w:t xml:space="preserve"> down the street wearing a black ski mask and "moving his arms." </w:t>
      </w:r>
    </w:p>
    <w:p w14:paraId="0A81B02A" w14:textId="77777777" w:rsidR="00EB0265" w:rsidRPr="00B97DA4" w:rsidRDefault="00EB0265" w:rsidP="00EB0265">
      <w:pPr>
        <w:pStyle w:val="NoSpacing"/>
      </w:pPr>
    </w:p>
    <w:p w14:paraId="2C4FE585" w14:textId="77777777" w:rsidR="00EB0265" w:rsidRPr="00B97DA4" w:rsidRDefault="00EB0265" w:rsidP="00EB0265">
      <w:pPr>
        <w:pStyle w:val="NoSpacing"/>
      </w:pPr>
      <w:r w:rsidRPr="00B97DA4">
        <w:t xml:space="preserve">Aurora police officers saw Mr. McClain. Police body-worn cameras recorded the interaction. When the officers asked Mr. McClain to stop, he said he had a right to walk where he was going and continued walking. Three officers then tried to physically restrain Mr. McClain. One repeatedly told him to </w:t>
      </w:r>
      <w:r>
        <w:t>‘</w:t>
      </w:r>
      <w:r w:rsidRPr="00B97DA4">
        <w:t>stop tensing up,</w:t>
      </w:r>
      <w:r>
        <w:t>’</w:t>
      </w:r>
      <w:r w:rsidRPr="00B97DA4">
        <w:t xml:space="preserve"> and one told him to </w:t>
      </w:r>
      <w:r>
        <w:t>‘</w:t>
      </w:r>
      <w:r w:rsidRPr="00B97DA4">
        <w:t>relax or I'm going to have to change this situation.</w:t>
      </w:r>
      <w:r>
        <w:t>’</w:t>
      </w:r>
      <w:r w:rsidRPr="00B97DA4">
        <w:t xml:space="preserve"> Mr. McClain objected to being stopped, and the officers began to struggle with him. </w:t>
      </w:r>
    </w:p>
    <w:p w14:paraId="1024E3E1" w14:textId="77777777" w:rsidR="00EB0265" w:rsidRDefault="00EB0265" w:rsidP="00EB0265">
      <w:pPr>
        <w:pStyle w:val="NoSpacing"/>
      </w:pPr>
      <w:r w:rsidRPr="00B97DA4">
        <w:t>        </w:t>
      </w:r>
    </w:p>
    <w:p w14:paraId="7246E9EE" w14:textId="77777777" w:rsidR="00EB0265" w:rsidRPr="00B97DA4" w:rsidRDefault="00EB0265" w:rsidP="00EB0265">
      <w:pPr>
        <w:pStyle w:val="NoSpacing"/>
      </w:pPr>
      <w:r w:rsidRPr="00B97DA4">
        <w:t xml:space="preserve"> As the officers continued to struggle with Mr. McClain, one of them said, </w:t>
      </w:r>
      <w:r>
        <w:t>‘</w:t>
      </w:r>
      <w:r w:rsidRPr="00B97DA4">
        <w:t>He just grabbed your gun,</w:t>
      </w:r>
      <w:r>
        <w:t>’</w:t>
      </w:r>
      <w:r w:rsidRPr="00B97DA4">
        <w:t xml:space="preserve"> to one of the other officers. The officers pushed Mr. McClain to the ground. An officer tried to put Mr. McClain in a carotid control hold, whereby a person applies pressure on someone's neck with his bicep and forearm. When that effort failed, another officer put Mr. McClain in a carotid control hold. The second hold cut off blood flow to Mr. McClain's brain, causing him to temporarily lose consciousness. When Mr. McClain regained consciousness, he told the officers that he couldn't breathe. He later vomited. An officer asked a dispatcher to send paramedics to treat Mr. McClain because he had temporarily lost consciousness. </w:t>
      </w:r>
    </w:p>
    <w:p w14:paraId="25893C55" w14:textId="77777777" w:rsidR="00EB0265" w:rsidRPr="00B97DA4" w:rsidRDefault="00EB0265" w:rsidP="00EB0265">
      <w:pPr>
        <w:pStyle w:val="NoSpacing"/>
      </w:pPr>
    </w:p>
    <w:p w14:paraId="1CDC5FE0" w14:textId="77777777" w:rsidR="00EB0265" w:rsidRPr="00B97DA4" w:rsidRDefault="00EB0265" w:rsidP="00EB0265">
      <w:pPr>
        <w:pStyle w:val="NoSpacing"/>
      </w:pPr>
      <w:r w:rsidRPr="00B97DA4">
        <w:t xml:space="preserve">Cooper; his supervisor, Lieutenant Peter Cichuniec; and two </w:t>
      </w:r>
      <w:proofErr w:type="gramStart"/>
      <w:r w:rsidRPr="00B97DA4">
        <w:t>nonmedical</w:t>
      </w:r>
      <w:proofErr w:type="gramEnd"/>
      <w:r w:rsidRPr="00B97DA4">
        <w:t xml:space="preserve"> fire department personnel (an </w:t>
      </w:r>
      <w:r>
        <w:t>‘</w:t>
      </w:r>
      <w:r w:rsidRPr="00B97DA4">
        <w:t>engineer</w:t>
      </w:r>
      <w:r>
        <w:t>’</w:t>
      </w:r>
      <w:r w:rsidRPr="00B97DA4">
        <w:t xml:space="preserve"> and a firefighter) arrived a few minutes later. They saw two officers restraining Mr. McClain on the ground. The police officers told Cooper and </w:t>
      </w:r>
      <w:proofErr w:type="spellStart"/>
      <w:r w:rsidRPr="00B97DA4">
        <w:t>Cichuniec</w:t>
      </w:r>
      <w:proofErr w:type="spellEnd"/>
      <w:r w:rsidRPr="00B97DA4">
        <w:t xml:space="preserve"> that Mr. McClain had </w:t>
      </w:r>
      <w:r>
        <w:t>‘</w:t>
      </w:r>
      <w:r w:rsidRPr="00B97DA4">
        <w:t>passed out,</w:t>
      </w:r>
      <w:r>
        <w:t>’</w:t>
      </w:r>
      <w:r w:rsidRPr="00B97DA4">
        <w:t xml:space="preserve"> was </w:t>
      </w:r>
      <w:r>
        <w:t>‘</w:t>
      </w:r>
      <w:r w:rsidRPr="00B97DA4">
        <w:t>definitely on something,</w:t>
      </w:r>
      <w:r>
        <w:t>’</w:t>
      </w:r>
      <w:r w:rsidRPr="00B97DA4">
        <w:t xml:space="preserve"> and was </w:t>
      </w:r>
      <w:r>
        <w:t>‘</w:t>
      </w:r>
      <w:r w:rsidRPr="00B97DA4">
        <w:t>acting crazy.</w:t>
      </w:r>
      <w:r>
        <w:t>’</w:t>
      </w:r>
      <w:r w:rsidRPr="00B97DA4">
        <w:t xml:space="preserve"> One of the officers said that the officers had tried to </w:t>
      </w:r>
      <w:r>
        <w:t>‘</w:t>
      </w:r>
      <w:r w:rsidRPr="00B97DA4">
        <w:t>put a carotid on the guy</w:t>
      </w:r>
      <w:r>
        <w:t>’</w:t>
      </w:r>
      <w:r w:rsidRPr="00B97DA4">
        <w:t xml:space="preserve"> and had done so, which </w:t>
      </w:r>
      <w:r>
        <w:t>‘</w:t>
      </w:r>
      <w:r w:rsidRPr="00B97DA4">
        <w:t>put [Mr. McClain] out.</w:t>
      </w:r>
      <w:r>
        <w:t>’</w:t>
      </w:r>
      <w:r w:rsidRPr="00B97DA4">
        <w:t xml:space="preserve"> Officers also said Mr. McClain had shown </w:t>
      </w:r>
      <w:r>
        <w:t>‘</w:t>
      </w:r>
      <w:r w:rsidRPr="00B97DA4">
        <w:t>incredible</w:t>
      </w:r>
      <w:r>
        <w:t xml:space="preserve">’ </w:t>
      </w:r>
      <w:r w:rsidRPr="00B97DA4">
        <w:t xml:space="preserve">and </w:t>
      </w:r>
      <w:r>
        <w:t>‘</w:t>
      </w:r>
      <w:r w:rsidRPr="00B97DA4">
        <w:t>crazy</w:t>
      </w:r>
      <w:r>
        <w:t>’</w:t>
      </w:r>
      <w:r w:rsidRPr="00B97DA4">
        <w:t xml:space="preserve"> strength from </w:t>
      </w:r>
      <w:r>
        <w:t>‘</w:t>
      </w:r>
      <w:r w:rsidRPr="00B97DA4">
        <w:t>whatever he's on</w:t>
      </w:r>
      <w:r>
        <w:t>’</w:t>
      </w:r>
      <w:r w:rsidRPr="00B97DA4">
        <w:t xml:space="preserve"> and </w:t>
      </w:r>
      <w:r>
        <w:t>‘</w:t>
      </w:r>
      <w:r w:rsidRPr="00B97DA4">
        <w:t>almost did a pushup with all three of us on his back.</w:t>
      </w:r>
      <w:r>
        <w:t>’</w:t>
      </w:r>
      <w:r w:rsidRPr="00B97DA4">
        <w:t xml:space="preserve"> </w:t>
      </w:r>
    </w:p>
    <w:p w14:paraId="4D56C36E" w14:textId="77777777" w:rsidR="00EB0265" w:rsidRDefault="00EB0265" w:rsidP="00EB0265">
      <w:pPr>
        <w:pStyle w:val="NoSpacing"/>
      </w:pPr>
      <w:r w:rsidRPr="00B97DA4">
        <w:t>         </w:t>
      </w:r>
    </w:p>
    <w:p w14:paraId="14942F80" w14:textId="77777777" w:rsidR="00EB0265" w:rsidRDefault="00EB0265" w:rsidP="00EB0265">
      <w:pPr>
        <w:pStyle w:val="NoSpacing"/>
      </w:pPr>
      <w:r w:rsidRPr="00B97DA4">
        <w:t xml:space="preserve">Based on the information the officers had told them and their visual assessment of Mr. McClain, Cooper and </w:t>
      </w:r>
      <w:proofErr w:type="spellStart"/>
      <w:r w:rsidRPr="00B97DA4">
        <w:t>Cichuniec</w:t>
      </w:r>
      <w:proofErr w:type="spellEnd"/>
      <w:r w:rsidRPr="00B97DA4">
        <w:t xml:space="preserve"> concluded that Mr. McClain showed symptoms of a condition called </w:t>
      </w:r>
      <w:r>
        <w:t>‘</w:t>
      </w:r>
      <w:r w:rsidRPr="00B97DA4">
        <w:t>excited delirium</w:t>
      </w:r>
      <w:proofErr w:type="gramStart"/>
      <w:r w:rsidRPr="00B97DA4">
        <w:t>.</w:t>
      </w:r>
      <w:r>
        <w:t>’</w:t>
      </w:r>
      <w:proofErr w:type="gramEnd"/>
      <w:r>
        <w:t xml:space="preserve"> </w:t>
      </w:r>
      <w:r w:rsidRPr="00B97DA4">
        <w:t xml:space="preserve"> They agreed they would inject Mr. McClain with ketamine. Cooper told the officers that the paramedics would inject Mr. McClain with ketamine once the ambulance arrived with the drug. (An ambulance with two emergency medical technicians (EMTs) had also been dispatched to the scene.) </w:t>
      </w:r>
    </w:p>
    <w:p w14:paraId="13EF017E" w14:textId="77777777" w:rsidR="00EB0265" w:rsidRPr="00B97DA4" w:rsidRDefault="00EB0265" w:rsidP="00EB0265">
      <w:pPr>
        <w:pStyle w:val="NoSpacing"/>
      </w:pPr>
    </w:p>
    <w:p w14:paraId="5318F6E5" w14:textId="77777777" w:rsidR="00EB0265" w:rsidRDefault="00EB0265" w:rsidP="00EB0265">
      <w:pPr>
        <w:pStyle w:val="NoSpacing"/>
      </w:pPr>
      <w:r w:rsidRPr="00B97DA4">
        <w:t xml:space="preserve">Once the ambulance arrived, Cooper and </w:t>
      </w:r>
      <w:proofErr w:type="spellStart"/>
      <w:r w:rsidRPr="00B97DA4">
        <w:t>Cichuniec</w:t>
      </w:r>
      <w:proofErr w:type="spellEnd"/>
      <w:r w:rsidRPr="00B97DA4">
        <w:t xml:space="preserve"> determined that 500 mg of ketamine was the correct dosage to give to Mr. McClain based on his weight (which Cooper estimated at about 220 pounds (100 kg) and </w:t>
      </w:r>
      <w:proofErr w:type="spellStart"/>
      <w:r w:rsidRPr="00B97DA4">
        <w:t>Cichuniec</w:t>
      </w:r>
      <w:proofErr w:type="spellEnd"/>
      <w:r w:rsidRPr="00B97DA4">
        <w:t xml:space="preserve"> estimated at 187 pounds (85 kg)) and his degree of agitation. (In fact, Mr. McClain weighed only 143 pounds.) Either Cooper or </w:t>
      </w:r>
      <w:proofErr w:type="spellStart"/>
      <w:r w:rsidRPr="00B97DA4">
        <w:t>Cichuniec</w:t>
      </w:r>
      <w:proofErr w:type="spellEnd"/>
      <w:r w:rsidRPr="00B97DA4">
        <w:t xml:space="preserve"> told an EMT to prepare it. Once the EMT did so, Cooper injected it into Mr. McClain. </w:t>
      </w:r>
    </w:p>
    <w:p w14:paraId="7FC48AE6" w14:textId="77777777" w:rsidR="00EB0265" w:rsidRPr="00B97DA4" w:rsidRDefault="00EB0265" w:rsidP="00EB0265">
      <w:pPr>
        <w:pStyle w:val="NoSpacing"/>
      </w:pPr>
    </w:p>
    <w:p w14:paraId="3211A659" w14:textId="77777777" w:rsidR="00EB0265" w:rsidRDefault="00EB0265" w:rsidP="00EB0265">
      <w:pPr>
        <w:pStyle w:val="NoSpacing"/>
      </w:pPr>
      <w:r w:rsidRPr="00B97DA4">
        <w:t xml:space="preserve">Sometime after Mr. McClain was placed in the ambulance, </w:t>
      </w:r>
      <w:proofErr w:type="spellStart"/>
      <w:r w:rsidRPr="00B97DA4">
        <w:t>Cichuniec</w:t>
      </w:r>
      <w:proofErr w:type="spellEnd"/>
      <w:r w:rsidRPr="00B97DA4">
        <w:t xml:space="preserve"> noticed that he had stopped breathing. He told an EMT to check Mr. McClain's pulse. When the EMT couldn't find one, the EMTs began CPR. Mr. McClain was subsequently admitted to a hospital. Doctors declared </w:t>
      </w:r>
      <w:proofErr w:type="gramStart"/>
      <w:r w:rsidRPr="00B97DA4">
        <w:t>him</w:t>
      </w:r>
      <w:proofErr w:type="gramEnd"/>
      <w:r w:rsidRPr="00B97DA4">
        <w:t xml:space="preserve"> brain dead a few days later.</w:t>
      </w:r>
    </w:p>
    <w:p w14:paraId="6A27637F" w14:textId="77777777" w:rsidR="00EB0265" w:rsidRDefault="00EB0265" w:rsidP="00EB0265">
      <w:pPr>
        <w:pStyle w:val="NoSpacing"/>
      </w:pPr>
    </w:p>
    <w:p w14:paraId="0420DDB3" w14:textId="77777777" w:rsidR="00EB0265" w:rsidRDefault="00EB0265" w:rsidP="00EB0265">
      <w:pPr>
        <w:pStyle w:val="NoSpacing"/>
      </w:pPr>
      <w:r>
        <w:t>***</w:t>
      </w:r>
    </w:p>
    <w:p w14:paraId="7BE5D857" w14:textId="77777777" w:rsidR="00EB0265" w:rsidRPr="00AE6BA2" w:rsidRDefault="00EB0265" w:rsidP="00EB0265">
      <w:pPr>
        <w:pStyle w:val="NoSpacing"/>
      </w:pPr>
      <w:r w:rsidRPr="00AE6BA2">
        <w:t xml:space="preserve">A state grand jury subsequently indicted Cooper and </w:t>
      </w:r>
      <w:proofErr w:type="spellStart"/>
      <w:r w:rsidRPr="00AE6BA2">
        <w:t>Cichuniec</w:t>
      </w:r>
      <w:proofErr w:type="spellEnd"/>
      <w:r w:rsidRPr="00AE6BA2">
        <w:t xml:space="preserve"> on one count each of reckless manslaughter and criminally negligent homicide and three counts each of </w:t>
      </w:r>
      <w:proofErr w:type="gramStart"/>
      <w:r w:rsidRPr="00AE6BA2">
        <w:t>second degree</w:t>
      </w:r>
      <w:proofErr w:type="gramEnd"/>
      <w:r w:rsidRPr="00AE6BA2">
        <w:t xml:space="preserve"> assault. They were </w:t>
      </w:r>
      <w:proofErr w:type="gramStart"/>
      <w:r w:rsidRPr="00AE6BA2">
        <w:t>tried</w:t>
      </w:r>
      <w:proofErr w:type="gramEnd"/>
      <w:r w:rsidRPr="00AE6BA2">
        <w:t xml:space="preserve"> together. The prosecution's theory was that Cooper and </w:t>
      </w:r>
      <w:proofErr w:type="spellStart"/>
      <w:r w:rsidRPr="00AE6BA2">
        <w:t>Cichuniec</w:t>
      </w:r>
      <w:proofErr w:type="spellEnd"/>
      <w:r w:rsidRPr="00AE6BA2">
        <w:t xml:space="preserve"> had acted contrary to their medical training and proper protocols. And the prosecution charged that  </w:t>
      </w:r>
    </w:p>
    <w:p w14:paraId="3BA98A46" w14:textId="77777777" w:rsidR="00EB0265" w:rsidRDefault="00EB0265" w:rsidP="00EB0265">
      <w:pPr>
        <w:pStyle w:val="NoSpacing"/>
      </w:pPr>
      <w:proofErr w:type="gramStart"/>
      <w:r w:rsidRPr="00AE6BA2">
        <w:t>each</w:t>
      </w:r>
      <w:proofErr w:type="gramEnd"/>
      <w:r w:rsidRPr="00AE6BA2">
        <w:t xml:space="preserve"> could be found guilty of all the charges as either a principal or a </w:t>
      </w:r>
      <w:proofErr w:type="spellStart"/>
      <w:r w:rsidRPr="00AE6BA2">
        <w:t>complicitor</w:t>
      </w:r>
      <w:proofErr w:type="spellEnd"/>
      <w:r w:rsidRPr="00AE6BA2">
        <w:t xml:space="preserve">. </w:t>
      </w:r>
    </w:p>
    <w:p w14:paraId="722A8541" w14:textId="77777777" w:rsidR="00EB0265" w:rsidRDefault="00EB0265" w:rsidP="00EB0265">
      <w:pPr>
        <w:pStyle w:val="NoSpacing"/>
      </w:pPr>
    </w:p>
    <w:p w14:paraId="6447090B" w14:textId="77777777" w:rsidR="00EB0265" w:rsidRPr="00AE6BA2" w:rsidRDefault="00EB0265" w:rsidP="00EB0265">
      <w:pPr>
        <w:pStyle w:val="NoSpacing"/>
      </w:pPr>
      <w:r w:rsidRPr="0086124D">
        <w:t xml:space="preserve">A jury found Cooper guilty of criminally negligent homicide but acquitted him of all other charges. The same jury found </w:t>
      </w:r>
      <w:proofErr w:type="spellStart"/>
      <w:r w:rsidRPr="0086124D">
        <w:t>Cichuniec</w:t>
      </w:r>
      <w:proofErr w:type="spellEnd"/>
      <w:r w:rsidRPr="0086124D">
        <w:t xml:space="preserve"> guilty of criminally negligent homicide and one count of </w:t>
      </w:r>
      <w:proofErr w:type="gramStart"/>
      <w:r w:rsidRPr="0086124D">
        <w:t>second degree</w:t>
      </w:r>
      <w:proofErr w:type="gramEnd"/>
      <w:r w:rsidRPr="0086124D">
        <w:t xml:space="preserve"> assault (unlawful administration of drugs) but acquitted him of reckless manslaughter and the remaining count of </w:t>
      </w:r>
      <w:proofErr w:type="gramStart"/>
      <w:r w:rsidRPr="0086124D">
        <w:t>second degree</w:t>
      </w:r>
      <w:proofErr w:type="gramEnd"/>
      <w:r w:rsidRPr="0086124D">
        <w:t xml:space="preserve"> assault (causing serious bodily injury with intent to cause bodily injury). Cooper and </w:t>
      </w:r>
      <w:proofErr w:type="spellStart"/>
      <w:r w:rsidRPr="0086124D">
        <w:t>Cichuniec</w:t>
      </w:r>
      <w:proofErr w:type="spellEnd"/>
      <w:r w:rsidRPr="0086124D">
        <w:t xml:space="preserve"> separately appealed their convictions. This appeal is </w:t>
      </w:r>
      <w:proofErr w:type="gramStart"/>
      <w:r w:rsidRPr="0086124D">
        <w:t>Cooper's.</w:t>
      </w:r>
      <w:r>
        <w:t>”</w:t>
      </w:r>
      <w:proofErr w:type="gramEnd"/>
    </w:p>
    <w:p w14:paraId="1432E3B5" w14:textId="77777777" w:rsidR="00EB0265" w:rsidRPr="00B97DA4" w:rsidRDefault="00EB0265" w:rsidP="00EB0265">
      <w:pPr>
        <w:pStyle w:val="NoSpacing"/>
      </w:pPr>
    </w:p>
    <w:p w14:paraId="7F566221" w14:textId="77777777" w:rsidR="00EB0265" w:rsidRDefault="00EB0265" w:rsidP="00EB0265">
      <w:pPr>
        <w:pStyle w:val="NoSpacing"/>
      </w:pPr>
    </w:p>
    <w:p w14:paraId="2FFF81DA" w14:textId="77777777" w:rsidR="00EB0265" w:rsidRDefault="00EB0265" w:rsidP="00EB0265">
      <w:pPr>
        <w:pStyle w:val="NoSpacing"/>
        <w:rPr>
          <w:b/>
          <w:bCs/>
        </w:rPr>
      </w:pPr>
      <w:r w:rsidRPr="005C2B80">
        <w:rPr>
          <w:b/>
        </w:rPr>
        <w:t>COURT HELD:</w:t>
      </w:r>
    </w:p>
    <w:p w14:paraId="78255764" w14:textId="77777777" w:rsidR="00EB0265" w:rsidRDefault="00EB0265" w:rsidP="00EB0265">
      <w:pPr>
        <w:pStyle w:val="NoSpacing"/>
        <w:rPr>
          <w:b/>
          <w:bCs/>
        </w:rPr>
      </w:pPr>
    </w:p>
    <w:p w14:paraId="4B96974E" w14:textId="77777777" w:rsidR="00EB0265" w:rsidRDefault="00EB0265" w:rsidP="00EB0265">
      <w:pPr>
        <w:pStyle w:val="NoSpacing"/>
      </w:pPr>
      <w:r>
        <w:t>“</w:t>
      </w:r>
      <w:r w:rsidRPr="00064EE0">
        <w:t xml:space="preserve">Cooper contends that the district court erred by refusing his counsel's tendered instruction specifying the standard of care applicable to the charge of criminally negligent homicide and by refusing to adequately and accurately define that standard after the jurors affirmatively indicated that they didn't understand what standard to apply. We agree with Cooper. We also conclude that the errors weren't harmless. </w:t>
      </w:r>
    </w:p>
    <w:p w14:paraId="6B376E77" w14:textId="77777777" w:rsidR="00EB0265" w:rsidRDefault="00EB0265" w:rsidP="00EB0265">
      <w:pPr>
        <w:pStyle w:val="NoSpacing"/>
      </w:pPr>
    </w:p>
    <w:p w14:paraId="4895B0FC" w14:textId="77777777" w:rsidR="00EB0265" w:rsidRDefault="00EB0265" w:rsidP="00EB0265">
      <w:pPr>
        <w:pStyle w:val="NoSpacing"/>
      </w:pPr>
      <w:r>
        <w:t>***</w:t>
      </w:r>
    </w:p>
    <w:p w14:paraId="31B380CD" w14:textId="77777777" w:rsidR="00EB0265" w:rsidRDefault="00EB0265" w:rsidP="00EB0265">
      <w:pPr>
        <w:pStyle w:val="NoSpacing"/>
      </w:pPr>
    </w:p>
    <w:p w14:paraId="4E60F65D" w14:textId="77777777" w:rsidR="00EB0265" w:rsidRDefault="00EB0265" w:rsidP="00EB0265">
      <w:pPr>
        <w:pStyle w:val="NoSpacing"/>
      </w:pPr>
      <w:r w:rsidRPr="00F572CB">
        <w:t xml:space="preserve">Before closing arguments, based on the prosecution's theory of culpability, Cooper's counsel tendered a jury instruction that read, </w:t>
      </w:r>
      <w:r>
        <w:t>‘</w:t>
      </w:r>
      <w:r w:rsidRPr="00F572CB">
        <w:t xml:space="preserve">A person acts 'with criminal negligence' when, through a gross deviation from the standard of care that a </w:t>
      </w:r>
      <w:r w:rsidRPr="00F572CB">
        <w:rPr>
          <w:i/>
          <w:iCs/>
        </w:rPr>
        <w:t>reasonable paramedic in Aurora, Colorado</w:t>
      </w:r>
      <w:r w:rsidRPr="00F572CB">
        <w:t xml:space="preserve"> would exercise in the same circumstance, he fails to perceive a substantial and unjustifiable risk that a result will occur or that a circumstance exists.</w:t>
      </w:r>
      <w:r>
        <w:t>’</w:t>
      </w:r>
      <w:r w:rsidRPr="00F572CB">
        <w:t xml:space="preserve"> (Emphasis added.)</w:t>
      </w:r>
    </w:p>
    <w:p w14:paraId="78D828F8" w14:textId="77777777" w:rsidR="00EB0265" w:rsidRDefault="00EB0265" w:rsidP="00EB0265">
      <w:pPr>
        <w:pStyle w:val="NoSpacing"/>
      </w:pPr>
    </w:p>
    <w:p w14:paraId="17A8B479" w14:textId="77777777" w:rsidR="00EB0265" w:rsidRDefault="00EB0265" w:rsidP="00EB0265">
      <w:pPr>
        <w:pStyle w:val="NoSpacing"/>
      </w:pPr>
      <w:r>
        <w:t>***</w:t>
      </w:r>
    </w:p>
    <w:p w14:paraId="3E203B88" w14:textId="77777777" w:rsidR="00EB0265" w:rsidRDefault="00EB0265" w:rsidP="00EB0265">
      <w:pPr>
        <w:pStyle w:val="NoSpacing"/>
      </w:pPr>
      <w:r w:rsidRPr="00C06A25">
        <w:t xml:space="preserve">After the jurors began deliberating, the court received the following question from the jurors: </w:t>
      </w:r>
      <w:r>
        <w:t>‘</w:t>
      </w:r>
      <w:r w:rsidRPr="00C06A25">
        <w:t>May we have a definition of the standard of care</w:t>
      </w:r>
      <w:proofErr w:type="gramStart"/>
      <w:r w:rsidRPr="00C06A25">
        <w:t>?</w:t>
      </w:r>
      <w:proofErr w:type="gramEnd"/>
      <w:r w:rsidRPr="00C06A25">
        <w:t xml:space="preserve"> Or a description of it?</w:t>
      </w:r>
      <w:r>
        <w:t>’</w:t>
      </w:r>
      <w:r w:rsidRPr="00C06A25">
        <w:t xml:space="preserve"> Cooper's counsel reiterated the defense's position that </w:t>
      </w:r>
      <w:r>
        <w:t>‘</w:t>
      </w:r>
      <w:r w:rsidRPr="00C06A25">
        <w:t xml:space="preserve">the professional standard of care . . . in this case . . . would be reasonable paramedics in Aurora, Colorado." The prosecutor asked the court to just refer </w:t>
      </w:r>
      <w:proofErr w:type="gramStart"/>
      <w:r w:rsidRPr="00C06A25">
        <w:t>the jury back to the</w:t>
      </w:r>
      <w:proofErr w:type="gramEnd"/>
      <w:r w:rsidRPr="00C06A25">
        <w:t xml:space="preserve"> </w:t>
      </w:r>
      <w:proofErr w:type="gramStart"/>
      <w:r w:rsidRPr="00C06A25">
        <w:t>instructions as</w:t>
      </w:r>
      <w:proofErr w:type="gramEnd"/>
      <w:r w:rsidRPr="00C06A25">
        <w:t xml:space="preserve"> given. </w:t>
      </w:r>
    </w:p>
    <w:p w14:paraId="7598A55F" w14:textId="77777777" w:rsidR="00EB0265" w:rsidRDefault="00EB0265" w:rsidP="00EB0265">
      <w:pPr>
        <w:pStyle w:val="NoSpacing"/>
      </w:pPr>
    </w:p>
    <w:p w14:paraId="7C0D2CF6" w14:textId="77777777" w:rsidR="00EB0265" w:rsidRDefault="00EB0265" w:rsidP="00EB0265">
      <w:pPr>
        <w:pStyle w:val="NoSpacing"/>
      </w:pPr>
      <w:r>
        <w:t>***</w:t>
      </w:r>
    </w:p>
    <w:p w14:paraId="2082D886" w14:textId="77777777" w:rsidR="00EB0265" w:rsidRDefault="00EB0265" w:rsidP="00EB0265">
      <w:pPr>
        <w:pStyle w:val="NoSpacing"/>
      </w:pPr>
      <w:r w:rsidRPr="0061527B">
        <w:t>The relevant circumstances in this case were that a medical professional provided medical treatment to a person needing medical attention while under law enforcement's physical restraint. The standard of care was therefore that which would apply in a civil case involving such a situation - one applicable to a reasonable paramedic in Aurora, Colorado, in 2019 treating a person in Mr. McClain's condition</w:t>
      </w:r>
      <w:r>
        <w:t xml:space="preserve">…. </w:t>
      </w:r>
      <w:r w:rsidRPr="00320D42">
        <w:t>It follows, then, that the district court erred by refusing defense counsel's tendered instruction and by refusing to clarify the standard of care in response to the jurors' question.</w:t>
      </w:r>
    </w:p>
    <w:p w14:paraId="56B94998" w14:textId="77777777" w:rsidR="00EB0265" w:rsidRDefault="00EB0265" w:rsidP="00EB0265">
      <w:pPr>
        <w:pStyle w:val="NoSpacing"/>
      </w:pPr>
    </w:p>
    <w:p w14:paraId="1D493FE9" w14:textId="77777777" w:rsidR="00EB0265" w:rsidRDefault="00EB0265" w:rsidP="00EB0265">
      <w:pPr>
        <w:pStyle w:val="NoSpacing"/>
      </w:pPr>
      <w:r>
        <w:t>***</w:t>
      </w:r>
    </w:p>
    <w:p w14:paraId="1E259282" w14:textId="77777777" w:rsidR="00EB0265" w:rsidRDefault="00EB0265" w:rsidP="00EB0265">
      <w:pPr>
        <w:pStyle w:val="NoSpacing"/>
      </w:pPr>
      <w:r w:rsidRPr="00DB7856">
        <w:t>Under the facts of this case, the definitional instruction didn't adequately articulate the applicable standard of care but rather left the jury in the dark</w:t>
      </w:r>
      <w:r>
        <w:t xml:space="preserve">…. </w:t>
      </w:r>
      <w:r w:rsidRPr="0037576A">
        <w:t>Also, the jurors' question told the court that they didn't know what standard to apply. By telling the jurors to apply the "common and ordinary meanings" of the words in the instruction, the court failed to shine any light on the issue and in fact misled the jurors as to the applicable standard of care</w:t>
      </w:r>
      <w:r>
        <w:t>….”</w:t>
      </w:r>
    </w:p>
    <w:p w14:paraId="227235EF" w14:textId="77777777" w:rsidR="00EB0265" w:rsidRDefault="00EB0265" w:rsidP="00EB0265">
      <w:pPr>
        <w:pStyle w:val="NoSpacing"/>
      </w:pPr>
    </w:p>
    <w:p w14:paraId="128BC7DA" w14:textId="77777777" w:rsidR="00EB0265" w:rsidRDefault="00EB0265" w:rsidP="00EB0265">
      <w:pPr>
        <w:pStyle w:val="NoSpacing"/>
        <w:rPr>
          <w:b/>
          <w:bCs/>
        </w:rPr>
      </w:pPr>
      <w:r w:rsidRPr="00377720">
        <w:rPr>
          <w:b/>
        </w:rPr>
        <w:t xml:space="preserve">Legal lesson learned: </w:t>
      </w:r>
      <w:r>
        <w:rPr>
          <w:b/>
        </w:rPr>
        <w:t xml:space="preserve">The jury instructions were clearly wrong; but since .  Since the </w:t>
      </w:r>
    </w:p>
    <w:p w14:paraId="177EA840" w14:textId="77777777" w:rsidR="00EB0265" w:rsidRDefault="00EB0265" w:rsidP="00EB0265">
      <w:pPr>
        <w:pStyle w:val="NoSpacing"/>
        <w:rPr>
          <w:b/>
          <w:bCs/>
        </w:rPr>
      </w:pPr>
    </w:p>
    <w:p w14:paraId="71095F9C" w14:textId="77777777" w:rsidR="00EB0265" w:rsidRPr="00000ABC" w:rsidRDefault="00EB0265" w:rsidP="00EB0265">
      <w:pPr>
        <w:ind w:left="720"/>
      </w:pPr>
      <w:r>
        <w:t xml:space="preserve">Note: Cooper was sentenced to 14 </w:t>
      </w:r>
      <w:proofErr w:type="gramStart"/>
      <w:r>
        <w:t>months</w:t>
      </w:r>
      <w:proofErr w:type="gramEnd"/>
      <w:r>
        <w:t xml:space="preserve"> work release and probation, so doubtful he will be retired.  In a separate Court of Appeals decision (3 to 0), the lead medic</w:t>
      </w:r>
      <w:r w:rsidRPr="00273730">
        <w:t>, Peter Cichuniec</w:t>
      </w:r>
      <w:r>
        <w:t xml:space="preserve">, co-tried with Cooper also had his conviction for </w:t>
      </w:r>
      <w:r w:rsidRPr="0086124D">
        <w:t>criminally negligent homicide</w:t>
      </w:r>
      <w:r>
        <w:t xml:space="preserve"> reversed but his assault conviction was affirmed. </w:t>
      </w:r>
      <w:hyperlink r:id="rId2071" w:history="1">
        <w:r w:rsidRPr="00971037">
          <w:rPr>
            <w:rStyle w:val="Hyperlink"/>
          </w:rPr>
          <w:t>https://www.coloradojudicial.gov/system/files/opinions-2026-06/24CA0675.pdf</w:t>
        </w:r>
      </w:hyperlink>
      <w:r>
        <w:t xml:space="preserve"> It is doubtful he will be retried; he </w:t>
      </w:r>
      <w:r w:rsidRPr="00273A62">
        <w:t xml:space="preserve">received </w:t>
      </w:r>
      <w:r>
        <w:t xml:space="preserve">a sentence of </w:t>
      </w:r>
      <w:r w:rsidRPr="00273A62">
        <w:t xml:space="preserve">five years in </w:t>
      </w:r>
      <w:proofErr w:type="gramStart"/>
      <w:r w:rsidRPr="00273A62">
        <w:t>prison</w:t>
      </w:r>
      <w:r>
        <w:t>, but</w:t>
      </w:r>
      <w:proofErr w:type="gramEnd"/>
      <w:r>
        <w:t xml:space="preserve"> was </w:t>
      </w:r>
      <w:r w:rsidRPr="00CA2153">
        <w:t>released early from prison in 2024 after a judge reduced his sentence to four years of probation</w:t>
      </w:r>
      <w:r>
        <w:t xml:space="preserve">.  </w:t>
      </w:r>
      <w:r w:rsidRPr="0024472D">
        <w:t>The city of Aurora in 2021 agreed to pay $15 million to settle a federal civil rights lawsuit brought by McClain's parents.</w:t>
      </w:r>
      <w:r>
        <w:t xml:space="preserve"> </w:t>
      </w:r>
    </w:p>
    <w:p w14:paraId="0FA5E500" w14:textId="77777777" w:rsidR="00EB0265" w:rsidRDefault="00EB0265" w:rsidP="00EB0265">
      <w:pPr>
        <w:pStyle w:val="NoSpacing"/>
        <w:rPr>
          <w:b/>
          <w:bCs/>
        </w:rPr>
      </w:pPr>
    </w:p>
    <w:p w14:paraId="6A4EF841" w14:textId="77777777" w:rsidR="00EB0265" w:rsidRDefault="00EB0265" w:rsidP="00EB0265">
      <w:pPr>
        <w:pStyle w:val="NoSpacing"/>
        <w:rPr>
          <w:b/>
          <w:bCs/>
        </w:rPr>
      </w:pPr>
    </w:p>
    <w:p w14:paraId="7296CBD9" w14:textId="77777777" w:rsidR="00EB0265" w:rsidRDefault="00EB0265" w:rsidP="00EB0265">
      <w:pPr>
        <w:pStyle w:val="NoSpacing"/>
        <w:rPr>
          <w:b/>
          <w:bCs/>
        </w:rPr>
      </w:pPr>
    </w:p>
    <w:p w14:paraId="1E1735CD" w14:textId="77777777" w:rsidR="00EB0265" w:rsidRDefault="00EB0265" w:rsidP="00EB0265">
      <w:pPr>
        <w:pStyle w:val="NoSpacing"/>
        <w:rPr>
          <w:b/>
          <w:bCs/>
        </w:rPr>
      </w:pPr>
    </w:p>
    <w:p w14:paraId="2001654B" w14:textId="7967E3B0" w:rsidR="007A053D" w:rsidRPr="00DA5EE8" w:rsidRDefault="007A053D" w:rsidP="007A053D">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61</w:t>
      </w:r>
    </w:p>
    <w:p w14:paraId="3ACAE596" w14:textId="77777777" w:rsidR="00EB0265" w:rsidRDefault="00EB0265" w:rsidP="00EB0265">
      <w:pPr>
        <w:pStyle w:val="NoSpacing"/>
        <w:rPr>
          <w:rFonts w:ascii="Arial Black" w:hAnsi="Arial Black"/>
          <w:sz w:val="28"/>
          <w:szCs w:val="28"/>
        </w:rPr>
      </w:pPr>
    </w:p>
    <w:p w14:paraId="14D67B25" w14:textId="77777777" w:rsidR="00EB0265" w:rsidRDefault="00EB0265" w:rsidP="00EB0265">
      <w:pPr>
        <w:pStyle w:val="NoSpacing"/>
        <w:rPr>
          <w:rFonts w:ascii="Arial Black" w:hAnsi="Arial Black"/>
          <w:sz w:val="28"/>
          <w:szCs w:val="28"/>
        </w:rPr>
      </w:pPr>
      <w:r>
        <w:rPr>
          <w:rFonts w:ascii="Arial Black" w:hAnsi="Arial Black"/>
          <w:sz w:val="28"/>
          <w:szCs w:val="28"/>
        </w:rPr>
        <w:t xml:space="preserve">CO: LEAD MEDIC – NEW TRIAL </w:t>
      </w:r>
      <w:r>
        <w:rPr>
          <w:rFonts w:ascii="Arial Black" w:hAnsi="Arial Black"/>
          <w:b/>
          <w:sz w:val="28"/>
          <w:szCs w:val="28"/>
        </w:rPr>
        <w:t>KETAMINE</w:t>
      </w:r>
      <w:r>
        <w:rPr>
          <w:rFonts w:ascii="Arial Black" w:hAnsi="Arial Black"/>
          <w:sz w:val="28"/>
          <w:szCs w:val="28"/>
        </w:rPr>
        <w:t xml:space="preserve"> - GUITY ASSAULT</w:t>
      </w:r>
    </w:p>
    <w:p w14:paraId="033EF125" w14:textId="77777777" w:rsidR="00EB0265" w:rsidRDefault="00EB0265" w:rsidP="00EB0265">
      <w:pPr>
        <w:pStyle w:val="NoSpacing"/>
        <w:rPr>
          <w:rFonts w:ascii="Arial Black" w:hAnsi="Arial Black"/>
          <w:sz w:val="28"/>
          <w:szCs w:val="28"/>
        </w:rPr>
      </w:pPr>
    </w:p>
    <w:p w14:paraId="20B5BC7C" w14:textId="77777777" w:rsidR="00EB0265" w:rsidRDefault="00EB0265" w:rsidP="00EB0265">
      <w:r>
        <w:t xml:space="preserve">On June 4, 2026, in </w:t>
      </w:r>
      <w:r w:rsidRPr="00C40923">
        <w:rPr>
          <w:u w:val="single"/>
        </w:rPr>
        <w:t>The People of the State of Colorado v. Peter Cichuniec</w:t>
      </w:r>
      <w:r w:rsidRPr="00C40923">
        <w:t xml:space="preserve">, </w:t>
      </w:r>
      <w:r>
        <w:t xml:space="preserve">the </w:t>
      </w:r>
      <w:r w:rsidRPr="002F147B">
        <w:t>Court of Appeals of Colorado, First Division</w:t>
      </w:r>
      <w:r>
        <w:t xml:space="preserve"> held (3 to 0) that </w:t>
      </w:r>
      <w:r w:rsidRPr="00695527">
        <w:t>Peter Cichuniec</w:t>
      </w:r>
      <w:r>
        <w:t xml:space="preserve">, the lead Medic, had authorized Medic Jeremy Cooper to administer the ketamine that killed the patient, </w:t>
      </w:r>
      <w:r w:rsidRPr="0083787B">
        <w:t>Elijah McClain</w:t>
      </w:r>
      <w:r>
        <w:t xml:space="preserve">. </w:t>
      </w:r>
      <w:proofErr w:type="spellStart"/>
      <w:r w:rsidRPr="00273A62">
        <w:t>Cichuniec</w:t>
      </w:r>
      <w:proofErr w:type="spellEnd"/>
      <w:r w:rsidRPr="00273A62">
        <w:t xml:space="preserve"> received five years in prison</w:t>
      </w:r>
      <w:r>
        <w:t xml:space="preserve"> and</w:t>
      </w:r>
      <w:r w:rsidRPr="00CA2153">
        <w:t xml:space="preserve"> was released early from prison in 2024 after a judge reduced his sentence to four years of probation</w:t>
      </w:r>
      <w:r>
        <w:t>; his partner Jeremy</w:t>
      </w:r>
      <w:r w:rsidRPr="00273A62">
        <w:t xml:space="preserve"> Cooper avoided prison and was sentenced to 14 months work release and probation.</w:t>
      </w:r>
      <w:r>
        <w:t xml:space="preserve"> </w:t>
      </w:r>
      <w:r w:rsidRPr="0024472D">
        <w:t>The city of Aurora in 2021 agreed to pay $15 million to settle a federal civil rights lawsuit brought by McClain's parents.</w:t>
      </w:r>
      <w:r>
        <w:t xml:space="preserve"> The Court wrote:  The judgment of conviction on the charge of criminally negligent homicide is reversed, and the case is remanded for a new trial on that charge. The judgment of conviction on the charge of </w:t>
      </w:r>
      <w:proofErr w:type="gramStart"/>
      <w:r>
        <w:t>second degree</w:t>
      </w:r>
      <w:proofErr w:type="gramEnd"/>
      <w:r>
        <w:t xml:space="preserve"> assault is affirmed.”  </w:t>
      </w:r>
      <w:hyperlink r:id="rId2072" w:history="1">
        <w:r w:rsidRPr="00971037">
          <w:rPr>
            <w:rStyle w:val="Hyperlink"/>
          </w:rPr>
          <w:t>https://www.coloradojudicial.gov/system/files/opinions-2026-06/24CA0675.pdf</w:t>
        </w:r>
      </w:hyperlink>
      <w:r>
        <w:t xml:space="preserve"> </w:t>
      </w:r>
    </w:p>
    <w:p w14:paraId="770CA2AF" w14:textId="77777777" w:rsidR="00EB0265" w:rsidRDefault="00EB0265" w:rsidP="00EB0265">
      <w:pPr>
        <w:pStyle w:val="NoSpacing"/>
      </w:pPr>
    </w:p>
    <w:p w14:paraId="3ACA08EA" w14:textId="77777777" w:rsidR="00EB0265" w:rsidRDefault="00EB0265" w:rsidP="00EB0265">
      <w:pPr>
        <w:rPr>
          <w:b/>
        </w:rPr>
      </w:pPr>
      <w:r>
        <w:rPr>
          <w:b/>
        </w:rPr>
        <w:t>FACTS:</w:t>
      </w:r>
    </w:p>
    <w:p w14:paraId="73C4BDDD" w14:textId="77777777" w:rsidR="00EB0265" w:rsidRDefault="00EB0265" w:rsidP="00EB0265">
      <w:pPr>
        <w:pStyle w:val="NoSpacing"/>
      </w:pPr>
      <w:r>
        <w:t>“</w:t>
      </w:r>
      <w:r w:rsidRPr="006B39B1">
        <w:t>Based on the information the officers had told them and their</w:t>
      </w:r>
      <w:r>
        <w:t xml:space="preserve"> </w:t>
      </w:r>
      <w:r w:rsidRPr="006B39B1">
        <w:t xml:space="preserve">visual assessment of Mr. McClain, </w:t>
      </w:r>
      <w:proofErr w:type="spellStart"/>
      <w:r w:rsidRPr="006B39B1">
        <w:t>Cichuniec</w:t>
      </w:r>
      <w:proofErr w:type="spellEnd"/>
      <w:r w:rsidRPr="006B39B1">
        <w:t xml:space="preserve"> and Cooper concluded</w:t>
      </w:r>
      <w:r>
        <w:t xml:space="preserve"> </w:t>
      </w:r>
      <w:r w:rsidRPr="006B39B1">
        <w:t xml:space="preserve">that Mr. McClain showed symptoms of a condition called </w:t>
      </w:r>
      <w:r>
        <w:t>‘</w:t>
      </w:r>
      <w:r w:rsidRPr="006B39B1">
        <w:t>excited</w:t>
      </w:r>
      <w:r>
        <w:t xml:space="preserve"> </w:t>
      </w:r>
      <w:r w:rsidRPr="006B39B1">
        <w:t>delirium.</w:t>
      </w:r>
      <w:r>
        <w:t>’</w:t>
      </w:r>
      <w:r w:rsidRPr="006B39B1">
        <w:t xml:space="preserve"> They agreed they would inject Mr. McClain with</w:t>
      </w:r>
      <w:r>
        <w:t xml:space="preserve"> </w:t>
      </w:r>
      <w:r w:rsidRPr="006B39B1">
        <w:t>ketamine.</w:t>
      </w:r>
      <w:r>
        <w:t xml:space="preserve"> </w:t>
      </w:r>
      <w:r w:rsidRPr="006B39B1">
        <w:t>Cooper told the officers that the paramedics would</w:t>
      </w:r>
      <w:r>
        <w:t xml:space="preserve"> </w:t>
      </w:r>
      <w:r w:rsidRPr="006B39B1">
        <w:t>inject Mr. McClain with ketamine once the ambulance arrived with</w:t>
      </w:r>
      <w:r>
        <w:t xml:space="preserve"> the drug. (An ambulance with two emergency medical technicians (EMTs) had also been dispatched to the scene.)</w:t>
      </w:r>
    </w:p>
    <w:p w14:paraId="5DB4C4B7" w14:textId="77777777" w:rsidR="00EB0265" w:rsidRDefault="00EB0265" w:rsidP="00EB0265">
      <w:pPr>
        <w:pStyle w:val="NoSpacing"/>
      </w:pPr>
      <w:r>
        <w:t xml:space="preserve">Once the ambulance arrived, </w:t>
      </w:r>
      <w:proofErr w:type="spellStart"/>
      <w:r>
        <w:t>Cichuniec</w:t>
      </w:r>
      <w:proofErr w:type="spellEnd"/>
      <w:r>
        <w:t xml:space="preserve"> and Cooper determined that 500 mg of ketamine was the correct dosage to give to Mr. McClain based on his weight (which </w:t>
      </w:r>
      <w:proofErr w:type="spellStart"/>
      <w:r>
        <w:t>Cichuniec</w:t>
      </w:r>
      <w:proofErr w:type="spellEnd"/>
      <w:r>
        <w:t xml:space="preserve"> estimated at 187 pounds (85 kg) and Cooper estimated at about 220 pounds (100 kg)) and his degree of agitation. (In fact, Mr. McClain weighed only 143 pounds.) Either </w:t>
      </w:r>
      <w:proofErr w:type="spellStart"/>
      <w:r>
        <w:t>Cichuniec</w:t>
      </w:r>
      <w:proofErr w:type="spellEnd"/>
      <w:r>
        <w:t xml:space="preserve"> or Cooper told an EMT to</w:t>
      </w:r>
    </w:p>
    <w:p w14:paraId="7AEB7D03" w14:textId="77777777" w:rsidR="00EB0265" w:rsidRDefault="00EB0265" w:rsidP="00EB0265">
      <w:pPr>
        <w:pStyle w:val="NoSpacing"/>
      </w:pPr>
      <w:proofErr w:type="gramStart"/>
      <w:r>
        <w:t>prepare</w:t>
      </w:r>
      <w:proofErr w:type="gramEnd"/>
      <w:r>
        <w:t xml:space="preserve"> it. Once the EMT did so, Cooper injected it into Mr. McClain.</w:t>
      </w:r>
    </w:p>
    <w:p w14:paraId="3727E8CE" w14:textId="77777777" w:rsidR="00EB0265" w:rsidRDefault="00EB0265" w:rsidP="00EB0265">
      <w:pPr>
        <w:pStyle w:val="NoSpacing"/>
      </w:pPr>
    </w:p>
    <w:p w14:paraId="111B0579" w14:textId="77777777" w:rsidR="00EB0265" w:rsidRDefault="00EB0265" w:rsidP="00EB0265">
      <w:pPr>
        <w:pStyle w:val="NoSpacing"/>
      </w:pPr>
      <w:r>
        <w:t xml:space="preserve">Sometime after Mr. McClain was placed in the ambulance, </w:t>
      </w:r>
      <w:proofErr w:type="spellStart"/>
      <w:r>
        <w:t>Cichuniec</w:t>
      </w:r>
      <w:proofErr w:type="spellEnd"/>
      <w:r>
        <w:t xml:space="preserve"> noticed that he had stopped breathing. He told an EMT to check Mr. McClain’s pulse. When the EMT couldn’t find one, the EMTs began CPR. Mr. McClain was subsequently admitted to a hospital. Doctors declared him brain dead a few days later.”</w:t>
      </w:r>
    </w:p>
    <w:p w14:paraId="54ADB63E" w14:textId="77777777" w:rsidR="00EB0265" w:rsidRDefault="00EB0265" w:rsidP="00EB0265">
      <w:pPr>
        <w:pStyle w:val="NoSpacing"/>
      </w:pPr>
    </w:p>
    <w:p w14:paraId="273546B6" w14:textId="77777777" w:rsidR="00EB0265" w:rsidRPr="00C16E9C" w:rsidRDefault="00EB0265" w:rsidP="00EB0265">
      <w:pPr>
        <w:pStyle w:val="NoSpacing"/>
        <w:rPr>
          <w:b/>
          <w:bCs/>
        </w:rPr>
      </w:pPr>
      <w:r w:rsidRPr="00C16E9C">
        <w:rPr>
          <w:b/>
        </w:rPr>
        <w:t xml:space="preserve">COURT HELD: </w:t>
      </w:r>
    </w:p>
    <w:p w14:paraId="41E673F5" w14:textId="77777777" w:rsidR="00EB0265" w:rsidRDefault="00EB0265" w:rsidP="00EB0265">
      <w:pPr>
        <w:pStyle w:val="NoSpacing"/>
      </w:pPr>
    </w:p>
    <w:p w14:paraId="40FB4E8D" w14:textId="77777777" w:rsidR="00EB0265" w:rsidRDefault="00EB0265" w:rsidP="00EB0265">
      <w:r>
        <w:t>“</w:t>
      </w:r>
      <w:r w:rsidRPr="0083787B">
        <w:t>Defendant, Peter Cichuniec, appeals the district court’s</w:t>
      </w:r>
      <w:r>
        <w:t xml:space="preserve"> </w:t>
      </w:r>
      <w:r w:rsidRPr="0083787B">
        <w:t>judgment of conviction entered after a jury found him guilty of</w:t>
      </w:r>
      <w:r>
        <w:t xml:space="preserve"> </w:t>
      </w:r>
      <w:r w:rsidRPr="0083787B">
        <w:t xml:space="preserve">criminally negligent homicide and </w:t>
      </w:r>
      <w:proofErr w:type="gramStart"/>
      <w:r w:rsidRPr="0083787B">
        <w:t>second degree</w:t>
      </w:r>
      <w:proofErr w:type="gramEnd"/>
      <w:r w:rsidRPr="0083787B">
        <w:t xml:space="preserve"> assault.</w:t>
      </w:r>
      <w:r>
        <w:t xml:space="preserve"> </w:t>
      </w:r>
      <w:r w:rsidRPr="0083787B">
        <w:t xml:space="preserve">The People charged </w:t>
      </w:r>
      <w:proofErr w:type="spellStart"/>
      <w:r w:rsidRPr="0083787B">
        <w:t>Cichuniec</w:t>
      </w:r>
      <w:proofErr w:type="spellEnd"/>
      <w:r w:rsidRPr="0083787B">
        <w:t>, a paramedic, and his</w:t>
      </w:r>
      <w:r>
        <w:t xml:space="preserve"> </w:t>
      </w:r>
      <w:r w:rsidRPr="0083787B">
        <w:t>codefendant, Jeremy Cooper, also a paramedic, with various</w:t>
      </w:r>
      <w:r>
        <w:t xml:space="preserve"> </w:t>
      </w:r>
      <w:r w:rsidRPr="0083787B">
        <w:t>offenses arising out their medical treatment of Elijah McClain based</w:t>
      </w:r>
      <w:r>
        <w:t xml:space="preserve"> </w:t>
      </w:r>
      <w:r w:rsidRPr="0083787B">
        <w:t>on a theory that Cooper’s injection of Mr. McClain with ketamine</w:t>
      </w:r>
      <w:r>
        <w:t xml:space="preserve"> </w:t>
      </w:r>
      <w:r w:rsidRPr="0083787B">
        <w:t xml:space="preserve">contributed to Mr. McClain’s tragic death. A jury found </w:t>
      </w:r>
      <w:proofErr w:type="spellStart"/>
      <w:r w:rsidRPr="0083787B">
        <w:t>Cichuniec</w:t>
      </w:r>
      <w:proofErr w:type="spellEnd"/>
      <w:r>
        <w:t xml:space="preserve"> </w:t>
      </w:r>
      <w:r w:rsidRPr="0083787B">
        <w:t xml:space="preserve">guilty of both criminally negligent homicide and </w:t>
      </w:r>
      <w:proofErr w:type="gramStart"/>
      <w:r w:rsidRPr="0083787B">
        <w:t>second degree</w:t>
      </w:r>
      <w:proofErr w:type="gramEnd"/>
      <w:r>
        <w:t xml:space="preserve"> </w:t>
      </w:r>
      <w:r w:rsidRPr="0083787B">
        <w:t>assault. That same jury found Cooper guilty of criminally negligent</w:t>
      </w:r>
      <w:r>
        <w:t xml:space="preserve"> </w:t>
      </w:r>
      <w:r w:rsidRPr="0083787B">
        <w:t xml:space="preserve">homicide but not guilty of </w:t>
      </w:r>
      <w:proofErr w:type="gramStart"/>
      <w:r w:rsidRPr="0083787B">
        <w:t>second degree</w:t>
      </w:r>
      <w:proofErr w:type="gramEnd"/>
      <w:r w:rsidRPr="0083787B">
        <w:t xml:space="preserve"> assault. Cooper separately</w:t>
      </w:r>
      <w:r>
        <w:t xml:space="preserve"> </w:t>
      </w:r>
      <w:r w:rsidRPr="0083787B">
        <w:t>appealed, and this division (with Judge Berger substituting for</w:t>
      </w:r>
      <w:r>
        <w:t xml:space="preserve"> </w:t>
      </w:r>
      <w:r w:rsidRPr="0083787B">
        <w:t>Judge Lum) reversed Cooper’s conviction for criminally negligent</w:t>
      </w:r>
      <w:r>
        <w:t xml:space="preserve"> </w:t>
      </w:r>
      <w:r w:rsidRPr="0083787B">
        <w:t xml:space="preserve">homicide and </w:t>
      </w:r>
      <w:proofErr w:type="gramStart"/>
      <w:r w:rsidRPr="0083787B">
        <w:t>remanded</w:t>
      </w:r>
      <w:proofErr w:type="gramEnd"/>
      <w:r w:rsidRPr="0083787B">
        <w:t xml:space="preserve"> for a new trial on that charge. People v.</w:t>
      </w:r>
      <w:r>
        <w:t xml:space="preserve"> </w:t>
      </w:r>
      <w:r w:rsidRPr="0083787B">
        <w:t>Cooper, 2026 COA 44.</w:t>
      </w:r>
      <w:r>
        <w:t xml:space="preserve"> We now also reverse </w:t>
      </w:r>
      <w:proofErr w:type="spellStart"/>
      <w:r>
        <w:t>Cichuniec’s</w:t>
      </w:r>
      <w:proofErr w:type="spellEnd"/>
      <w:r>
        <w:t xml:space="preserve"> conviction for criminally negligent homicide and </w:t>
      </w:r>
      <w:proofErr w:type="gramStart"/>
      <w:r>
        <w:t>remand</w:t>
      </w:r>
      <w:proofErr w:type="gramEnd"/>
      <w:r>
        <w:t xml:space="preserve"> for a new trial on that charge. But we affirm </w:t>
      </w:r>
      <w:proofErr w:type="spellStart"/>
      <w:r>
        <w:t>Cichuniec’s</w:t>
      </w:r>
      <w:proofErr w:type="spellEnd"/>
      <w:r>
        <w:t xml:space="preserve"> conviction for second degree assault.</w:t>
      </w:r>
    </w:p>
    <w:p w14:paraId="04015B2E" w14:textId="77777777" w:rsidR="00EB0265" w:rsidRDefault="00EB0265" w:rsidP="00EB0265">
      <w:r>
        <w:t>***</w:t>
      </w:r>
    </w:p>
    <w:p w14:paraId="4313B307" w14:textId="77777777" w:rsidR="00EB0265" w:rsidRDefault="00EB0265" w:rsidP="00EB0265">
      <w:pPr>
        <w:pStyle w:val="NoSpacing"/>
      </w:pPr>
      <w:r w:rsidRPr="00483A61">
        <w:t xml:space="preserve">We therefore reverse </w:t>
      </w:r>
      <w:proofErr w:type="spellStart"/>
      <w:r w:rsidRPr="00483A61">
        <w:t>Cichuniec’s</w:t>
      </w:r>
      <w:proofErr w:type="spellEnd"/>
      <w:r w:rsidRPr="00483A61">
        <w:t xml:space="preserve"> conviction for criminally</w:t>
      </w:r>
      <w:r>
        <w:t xml:space="preserve"> </w:t>
      </w:r>
      <w:r w:rsidRPr="00483A61">
        <w:t>negligent homicide and remand the case for a new trial on that</w:t>
      </w:r>
      <w:r>
        <w:t xml:space="preserve"> </w:t>
      </w:r>
      <w:r w:rsidRPr="00483A61">
        <w:t>charge (should the People so elect).</w:t>
      </w:r>
      <w:r>
        <w:t>”</w:t>
      </w:r>
    </w:p>
    <w:p w14:paraId="65C7D9AD" w14:textId="77777777" w:rsidR="00EB0265" w:rsidRDefault="00EB0265" w:rsidP="00EB0265">
      <w:pPr>
        <w:pStyle w:val="NoSpacing"/>
      </w:pPr>
    </w:p>
    <w:p w14:paraId="3EF69C49" w14:textId="77777777" w:rsidR="00EB0265" w:rsidRPr="00377720" w:rsidRDefault="00EB0265" w:rsidP="00EB0265">
      <w:pPr>
        <w:pStyle w:val="NoSpacing"/>
        <w:rPr>
          <w:b/>
          <w:bCs/>
        </w:rPr>
      </w:pPr>
      <w:r w:rsidRPr="004E2529">
        <w:rPr>
          <w:b/>
        </w:rPr>
        <w:t xml:space="preserve">Legal lesson learned: </w:t>
      </w:r>
      <w:r>
        <w:rPr>
          <w:b/>
        </w:rPr>
        <w:t>The medic was never sentenced to prison for the assault conviction, so hopefully he will not be re-tried for that offense</w:t>
      </w:r>
    </w:p>
    <w:p w14:paraId="15D67F94" w14:textId="77777777" w:rsidR="00EB0265" w:rsidRPr="00C06A25" w:rsidRDefault="00EB0265" w:rsidP="00EB0265">
      <w:pPr>
        <w:pStyle w:val="NoSpacing"/>
      </w:pPr>
    </w:p>
    <w:p w14:paraId="60E9092F" w14:textId="77777777" w:rsidR="00EB0265" w:rsidRDefault="00EB0265" w:rsidP="00EB0265">
      <w:pPr>
        <w:pStyle w:val="NoSpacing"/>
      </w:pPr>
    </w:p>
    <w:p w14:paraId="671247A8" w14:textId="77777777" w:rsidR="00EB0265" w:rsidRDefault="00EB0265" w:rsidP="00EB0265">
      <w:pPr>
        <w:pStyle w:val="NoSpacing"/>
      </w:pPr>
    </w:p>
    <w:p w14:paraId="4353F456" w14:textId="77777777" w:rsidR="00EB0265" w:rsidRDefault="00EB0265" w:rsidP="00EB0265">
      <w:pPr>
        <w:pStyle w:val="NoSpacing"/>
        <w:rPr>
          <w:b/>
        </w:rPr>
      </w:pPr>
    </w:p>
    <w:p w14:paraId="1DD4A4D9" w14:textId="003A5C0D" w:rsidR="00824E5F" w:rsidRPr="00DA5EE8" w:rsidRDefault="00824E5F" w:rsidP="00824E5F">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60</w:t>
      </w:r>
    </w:p>
    <w:p w14:paraId="36857338" w14:textId="77777777" w:rsidR="00824E5F" w:rsidRDefault="00824E5F" w:rsidP="0087684E">
      <w:pPr>
        <w:pStyle w:val="NoSpacing"/>
        <w:rPr>
          <w:rFonts w:ascii="Arial Black" w:hAnsi="Arial Black"/>
          <w:sz w:val="28"/>
          <w:szCs w:val="28"/>
        </w:rPr>
      </w:pPr>
    </w:p>
    <w:p w14:paraId="4ABE72CF" w14:textId="15591C96" w:rsidR="0087684E" w:rsidRDefault="0087684E" w:rsidP="0087684E">
      <w:pPr>
        <w:pStyle w:val="NoSpacing"/>
      </w:pPr>
      <w:r>
        <w:rPr>
          <w:rFonts w:ascii="Arial Black" w:hAnsi="Arial Black"/>
          <w:sz w:val="28"/>
          <w:szCs w:val="28"/>
        </w:rPr>
        <w:t>TN: MEDIC CASE PROCEED – WHISTLEBLOWER /</w:t>
      </w:r>
      <w:r w:rsidR="00824E5F">
        <w:rPr>
          <w:rFonts w:ascii="Arial Black" w:hAnsi="Arial Black"/>
          <w:sz w:val="28"/>
          <w:szCs w:val="28"/>
        </w:rPr>
        <w:t xml:space="preserve"> </w:t>
      </w:r>
      <w:r>
        <w:rPr>
          <w:rFonts w:ascii="Arial Black" w:hAnsi="Arial Black"/>
          <w:sz w:val="28"/>
          <w:szCs w:val="28"/>
        </w:rPr>
        <w:t xml:space="preserve">PT REFUSAL </w:t>
      </w:r>
    </w:p>
    <w:p w14:paraId="0747497E" w14:textId="77777777" w:rsidR="0087684E" w:rsidRDefault="0087684E" w:rsidP="0087684E">
      <w:pPr>
        <w:pStyle w:val="NoSpacing"/>
      </w:pPr>
    </w:p>
    <w:p w14:paraId="54DB1587" w14:textId="77777777" w:rsidR="0087684E" w:rsidRDefault="0087684E" w:rsidP="0087684E">
      <w:pPr>
        <w:rPr>
          <w:b/>
        </w:rPr>
      </w:pPr>
      <w:r>
        <w:t xml:space="preserve">On May 26, 2026, in </w:t>
      </w:r>
      <w:r w:rsidRPr="00654575">
        <w:rPr>
          <w:u w:val="single"/>
        </w:rPr>
        <w:t>Adam Thomas v. Metropolitan Government of Nashville and Davidson County</w:t>
      </w:r>
      <w:r>
        <w:t xml:space="preserve">, the </w:t>
      </w:r>
      <w:r w:rsidRPr="00555F7A">
        <w:t>Court of Appeals of Tennessee, Nashville</w:t>
      </w:r>
      <w:r>
        <w:t xml:space="preserve"> held (3 to 0) that the former paramedic’s whistleblower lawsuit is </w:t>
      </w:r>
      <w:proofErr w:type="gramStart"/>
      <w:r>
        <w:t>reinstated, and</w:t>
      </w:r>
      <w:proofErr w:type="gramEnd"/>
      <w:r>
        <w:t xml:space="preserve"> will now proceed to pre-trial discovery.  THE COURT WROTE:  “</w:t>
      </w:r>
      <w:r w:rsidRPr="005F3752">
        <w:t>He</w:t>
      </w:r>
      <w:r>
        <w:t xml:space="preserve"> </w:t>
      </w:r>
      <w:r w:rsidRPr="005F3752">
        <w:t>asserted that in violation of the Tennessee Public Protection Act he was discharged by the</w:t>
      </w:r>
      <w:r>
        <w:t xml:space="preserve"> </w:t>
      </w:r>
      <w:r w:rsidRPr="005F3752">
        <w:t>Nashville Fire Department because he refused to participate in or remain silent about the</w:t>
      </w:r>
      <w:r>
        <w:t xml:space="preserve"> </w:t>
      </w:r>
      <w:r w:rsidRPr="005F3752">
        <w:t>department forcing mentally competent inmates to undergo medical treatment without their</w:t>
      </w:r>
      <w:r>
        <w:t xml:space="preserve"> </w:t>
      </w:r>
      <w:r w:rsidRPr="005F3752">
        <w:t>consent</w:t>
      </w:r>
      <w:r>
        <w:t xml:space="preserve">…. </w:t>
      </w:r>
      <w:r w:rsidRPr="00650425">
        <w:t>According to the complaint, Mr.</w:t>
      </w:r>
      <w:r>
        <w:t xml:space="preserve"> </w:t>
      </w:r>
      <w:r w:rsidRPr="00650425">
        <w:t xml:space="preserve">Thomas reported </w:t>
      </w:r>
      <w:proofErr w:type="gramStart"/>
      <w:r w:rsidRPr="00650425">
        <w:t>the illegal</w:t>
      </w:r>
      <w:proofErr w:type="gramEnd"/>
      <w:r w:rsidRPr="00650425">
        <w:t xml:space="preserve"> activity to </w:t>
      </w:r>
      <w:proofErr w:type="gramStart"/>
      <w:r w:rsidRPr="00650425">
        <w:t>persons</w:t>
      </w:r>
      <w:proofErr w:type="gramEnd"/>
      <w:r w:rsidRPr="00650425">
        <w:t xml:space="preserve"> outside of the fire department, including</w:t>
      </w:r>
      <w:r>
        <w:t xml:space="preserve"> </w:t>
      </w:r>
      <w:r w:rsidRPr="00650425">
        <w:t>doctors, nurses, and an inmate. As to the latter, he not only informed the inmate that his</w:t>
      </w:r>
      <w:r>
        <w:t xml:space="preserve"> </w:t>
      </w:r>
      <w:r w:rsidRPr="00650425">
        <w:t>legal rights may have been violated but also proceeded to document the violation</w:t>
      </w:r>
      <w:r>
        <w:t xml:space="preserve">…. </w:t>
      </w:r>
      <w:r w:rsidRPr="00650425">
        <w:t>See Tenn.</w:t>
      </w:r>
      <w:r>
        <w:t xml:space="preserve"> </w:t>
      </w:r>
      <w:r w:rsidRPr="00650425">
        <w:t>Code Ann. § 50-1-304 (b)</w:t>
      </w:r>
      <w:proofErr w:type="gramStart"/>
      <w:r w:rsidRPr="00650425">
        <w:t>) (</w:t>
      </w:r>
      <w:r>
        <w:t>‘</w:t>
      </w:r>
      <w:proofErr w:type="gramEnd"/>
      <w:r w:rsidRPr="00650425">
        <w:t>No employee shall be discharged or terminated solely for</w:t>
      </w:r>
      <w:r>
        <w:t xml:space="preserve"> </w:t>
      </w:r>
      <w:r w:rsidRPr="00650425">
        <w:t>refusing to participate in, or for refusing to remain silent about, illegal activities.</w:t>
      </w:r>
      <w:r>
        <w:t>’</w:t>
      </w:r>
      <w:r w:rsidRPr="003140C1">
        <w:t xml:space="preserve">). </w:t>
      </w:r>
      <w:hyperlink r:id="rId2073" w:history="1">
        <w:r w:rsidRPr="003140C1">
          <w:rPr>
            <w:rStyle w:val="Hyperlink"/>
          </w:rPr>
          <w:t>https://cases.justia.com/tennessee/court-of-appeals/2026-m2025-00288-coa-r3-cv.pdf?ts=1779919242</w:t>
        </w:r>
      </w:hyperlink>
      <w:r>
        <w:rPr>
          <w:b/>
        </w:rPr>
        <w:t xml:space="preserve"> </w:t>
      </w:r>
    </w:p>
    <w:p w14:paraId="73D5C311" w14:textId="77777777" w:rsidR="0087684E" w:rsidRDefault="0087684E" w:rsidP="0087684E">
      <w:pPr>
        <w:rPr>
          <w:bCs/>
        </w:rPr>
      </w:pPr>
      <w:r w:rsidRPr="003140C1">
        <w:t>THE COURT HELD:</w:t>
      </w:r>
    </w:p>
    <w:p w14:paraId="6AA95A03" w14:textId="77777777" w:rsidR="0087684E" w:rsidRPr="0076569D" w:rsidRDefault="0087684E" w:rsidP="0087684E">
      <w:pPr>
        <w:pStyle w:val="NoSpacing"/>
        <w:ind w:firstLine="720"/>
        <w:rPr>
          <w:bCs/>
        </w:rPr>
      </w:pPr>
      <w:r>
        <w:t>“</w:t>
      </w:r>
      <w:r w:rsidRPr="0076569D">
        <w:t>According to his amended complaint, Mr. Thomas began working for the Nashville</w:t>
      </w:r>
    </w:p>
    <w:p w14:paraId="7DEF0239" w14:textId="77777777" w:rsidR="0087684E" w:rsidRPr="0076569D" w:rsidRDefault="0087684E" w:rsidP="0087684E">
      <w:pPr>
        <w:pStyle w:val="NoSpacing"/>
        <w:ind w:firstLine="720"/>
        <w:rPr>
          <w:bCs/>
        </w:rPr>
      </w:pPr>
      <w:r w:rsidRPr="0076569D">
        <w:t>Fire Department in October 2023. He was not new to being a paramedic; rather, he had</w:t>
      </w:r>
    </w:p>
    <w:p w14:paraId="55353C71" w14:textId="77777777" w:rsidR="0087684E" w:rsidRPr="0076569D" w:rsidRDefault="0087684E" w:rsidP="0087684E">
      <w:pPr>
        <w:pStyle w:val="NoSpacing"/>
        <w:ind w:firstLine="720"/>
        <w:rPr>
          <w:bCs/>
        </w:rPr>
      </w:pPr>
      <w:r w:rsidRPr="0076569D">
        <w:t>eight years of experience in such a role. In his first six months with the Nashville Fire</w:t>
      </w:r>
    </w:p>
    <w:p w14:paraId="765C9F14" w14:textId="77777777" w:rsidR="0087684E" w:rsidRPr="0076569D" w:rsidRDefault="0087684E" w:rsidP="0087684E">
      <w:pPr>
        <w:pStyle w:val="NoSpacing"/>
        <w:ind w:firstLine="720"/>
        <w:rPr>
          <w:bCs/>
        </w:rPr>
      </w:pPr>
      <w:proofErr w:type="gramStart"/>
      <w:r w:rsidRPr="0076569D">
        <w:t>Department, Mr</w:t>
      </w:r>
      <w:proofErr w:type="gramEnd"/>
      <w:r w:rsidRPr="0076569D">
        <w:t>. Thomas was recognized with three awards for his outstanding job</w:t>
      </w:r>
    </w:p>
    <w:p w14:paraId="5A4FAEE9" w14:textId="77777777" w:rsidR="0087684E" w:rsidRPr="0076569D" w:rsidRDefault="0087684E" w:rsidP="0087684E">
      <w:pPr>
        <w:pStyle w:val="NoSpacing"/>
        <w:ind w:firstLine="720"/>
        <w:rPr>
          <w:bCs/>
        </w:rPr>
      </w:pPr>
      <w:r w:rsidRPr="0076569D">
        <w:t>performance.</w:t>
      </w:r>
    </w:p>
    <w:p w14:paraId="3DF6092C" w14:textId="77777777" w:rsidR="0087684E" w:rsidRDefault="0087684E" w:rsidP="0087684E">
      <w:pPr>
        <w:pStyle w:val="NoSpacing"/>
        <w:rPr>
          <w:bCs/>
        </w:rPr>
      </w:pPr>
    </w:p>
    <w:p w14:paraId="22CA9F5F" w14:textId="77777777" w:rsidR="0087684E" w:rsidRPr="0076569D" w:rsidRDefault="0087684E" w:rsidP="0087684E">
      <w:pPr>
        <w:pStyle w:val="NoSpacing"/>
        <w:ind w:firstLine="720"/>
        <w:rPr>
          <w:bCs/>
        </w:rPr>
      </w:pPr>
      <w:r w:rsidRPr="0076569D">
        <w:t>However, things turned for Mr. Thomas starting on January 23, 2024. On that date,</w:t>
      </w:r>
    </w:p>
    <w:p w14:paraId="5250D6CD" w14:textId="77777777" w:rsidR="0087684E" w:rsidRPr="0076569D" w:rsidRDefault="0087684E" w:rsidP="0087684E">
      <w:pPr>
        <w:pStyle w:val="NoSpacing"/>
        <w:ind w:firstLine="720"/>
        <w:rPr>
          <w:bCs/>
        </w:rPr>
      </w:pPr>
      <w:r w:rsidRPr="0076569D">
        <w:t>Mr. Thomas responded to a call indicating an inmate needed medical attention at the</w:t>
      </w:r>
    </w:p>
    <w:p w14:paraId="024D67C5" w14:textId="77777777" w:rsidR="0087684E" w:rsidRPr="0076569D" w:rsidRDefault="0087684E" w:rsidP="0087684E">
      <w:pPr>
        <w:pStyle w:val="NoSpacing"/>
        <w:ind w:firstLine="720"/>
        <w:rPr>
          <w:bCs/>
        </w:rPr>
      </w:pPr>
      <w:r w:rsidRPr="0076569D">
        <w:t>Davidson County Jail. Upon arriving, Mr. Thomas was informed the inmate was refusing</w:t>
      </w:r>
    </w:p>
    <w:p w14:paraId="6E929641" w14:textId="77777777" w:rsidR="0087684E" w:rsidRPr="0076569D" w:rsidRDefault="0087684E" w:rsidP="0087684E">
      <w:pPr>
        <w:pStyle w:val="NoSpacing"/>
        <w:ind w:firstLine="720"/>
        <w:rPr>
          <w:bCs/>
        </w:rPr>
      </w:pPr>
      <w:r w:rsidRPr="0076569D">
        <w:t>medical treatment and transport to the hospital. While Mr. Thomas maintained that the</w:t>
      </w:r>
    </w:p>
    <w:p w14:paraId="089B2378" w14:textId="77777777" w:rsidR="0087684E" w:rsidRPr="0076569D" w:rsidRDefault="0087684E" w:rsidP="0087684E">
      <w:pPr>
        <w:pStyle w:val="NoSpacing"/>
        <w:ind w:firstLine="720"/>
        <w:rPr>
          <w:bCs/>
        </w:rPr>
      </w:pPr>
      <w:r w:rsidRPr="0076569D">
        <w:t>inmate had a right to refuse medical treatment, a nurse at the jail remained steadfast that</w:t>
      </w:r>
    </w:p>
    <w:p w14:paraId="42AC73B5" w14:textId="77777777" w:rsidR="0087684E" w:rsidRPr="0076569D" w:rsidRDefault="0087684E" w:rsidP="0087684E">
      <w:pPr>
        <w:pStyle w:val="NoSpacing"/>
        <w:ind w:firstLine="720"/>
        <w:rPr>
          <w:bCs/>
        </w:rPr>
      </w:pPr>
      <w:proofErr w:type="gramStart"/>
      <w:r w:rsidRPr="0076569D">
        <w:t>the</w:t>
      </w:r>
      <w:proofErr w:type="gramEnd"/>
      <w:r w:rsidRPr="0076569D">
        <w:t xml:space="preserve"> inmate did not have a right to refuse care or medical transport because of his status as</w:t>
      </w:r>
    </w:p>
    <w:p w14:paraId="6CDFBAAC" w14:textId="77777777" w:rsidR="0087684E" w:rsidRPr="0076569D" w:rsidRDefault="0087684E" w:rsidP="0087684E">
      <w:pPr>
        <w:pStyle w:val="NoSpacing"/>
        <w:ind w:firstLine="720"/>
        <w:rPr>
          <w:bCs/>
        </w:rPr>
      </w:pPr>
      <w:r w:rsidRPr="0076569D">
        <w:t>an inmate. On this occasion, Mr. Thomas relented and transported the inmate to the</w:t>
      </w:r>
    </w:p>
    <w:p w14:paraId="5E09431B" w14:textId="77777777" w:rsidR="0087684E" w:rsidRPr="0076569D" w:rsidRDefault="0087684E" w:rsidP="0087684E">
      <w:pPr>
        <w:pStyle w:val="NoSpacing"/>
        <w:ind w:firstLine="720"/>
        <w:rPr>
          <w:bCs/>
        </w:rPr>
      </w:pPr>
      <w:r w:rsidRPr="0076569D">
        <w:t xml:space="preserve">hospital despite the inmate’s refusal to be treated. To fulfill his duty to </w:t>
      </w:r>
      <w:proofErr w:type="gramStart"/>
      <w:r w:rsidRPr="0076569D">
        <w:t>medically</w:t>
      </w:r>
      <w:proofErr w:type="gramEnd"/>
      <w:r w:rsidRPr="0076569D">
        <w:t xml:space="preserve"> monitor</w:t>
      </w:r>
    </w:p>
    <w:p w14:paraId="24604EEF" w14:textId="77777777" w:rsidR="0087684E" w:rsidRPr="0076569D" w:rsidRDefault="0087684E" w:rsidP="0087684E">
      <w:pPr>
        <w:pStyle w:val="NoSpacing"/>
        <w:ind w:firstLine="720"/>
        <w:rPr>
          <w:bCs/>
        </w:rPr>
      </w:pPr>
      <w:r w:rsidRPr="0076569D">
        <w:t>a patient during transport, he took the inmate’s vital signs and continued to monitor those</w:t>
      </w:r>
    </w:p>
    <w:p w14:paraId="1DC0DE6C" w14:textId="77777777" w:rsidR="0087684E" w:rsidRDefault="0087684E" w:rsidP="0087684E">
      <w:pPr>
        <w:pStyle w:val="NoSpacing"/>
        <w:ind w:firstLine="720"/>
        <w:rPr>
          <w:bCs/>
        </w:rPr>
      </w:pPr>
      <w:r w:rsidRPr="0076569D">
        <w:t>vitals until arriving at the hospital.</w:t>
      </w:r>
    </w:p>
    <w:p w14:paraId="0B21A689" w14:textId="77777777" w:rsidR="0087684E" w:rsidRDefault="0087684E" w:rsidP="0087684E">
      <w:pPr>
        <w:pStyle w:val="NoSpacing"/>
        <w:ind w:firstLine="720"/>
        <w:rPr>
          <w:bCs/>
        </w:rPr>
      </w:pPr>
    </w:p>
    <w:p w14:paraId="24FE8C52" w14:textId="77777777" w:rsidR="0087684E" w:rsidRDefault="0087684E" w:rsidP="0087684E">
      <w:pPr>
        <w:pStyle w:val="NoSpacing"/>
        <w:ind w:firstLine="720"/>
        <w:rPr>
          <w:bCs/>
        </w:rPr>
      </w:pPr>
      <w:r>
        <w:t>***</w:t>
      </w:r>
    </w:p>
    <w:p w14:paraId="5459E241" w14:textId="77777777" w:rsidR="0087684E" w:rsidRPr="002967D3" w:rsidRDefault="0087684E" w:rsidP="0087684E">
      <w:pPr>
        <w:pStyle w:val="NoSpacing"/>
        <w:ind w:firstLine="720"/>
        <w:rPr>
          <w:bCs/>
        </w:rPr>
      </w:pPr>
      <w:r w:rsidRPr="002967D3">
        <w:t>Mr. Thomas also conducted his own research. His research confirmed his understanding</w:t>
      </w:r>
    </w:p>
    <w:p w14:paraId="1749C7DC" w14:textId="77777777" w:rsidR="0087684E" w:rsidRPr="002967D3" w:rsidRDefault="0087684E" w:rsidP="0087684E">
      <w:pPr>
        <w:pStyle w:val="NoSpacing"/>
        <w:ind w:left="720"/>
        <w:rPr>
          <w:bCs/>
        </w:rPr>
      </w:pPr>
      <w:r w:rsidRPr="002967D3">
        <w:t>that a mentally competent inmate has a right to refuse medical treatment. Mr. Thomas filed</w:t>
      </w:r>
      <w:r>
        <w:t xml:space="preserve"> </w:t>
      </w:r>
      <w:r w:rsidRPr="002967D3">
        <w:t>a detailed report at the conclusion of his shift. In his report, Mr. Thomas cited Tennessee</w:t>
      </w:r>
      <w:r>
        <w:t xml:space="preserve"> </w:t>
      </w:r>
      <w:r w:rsidRPr="002967D3">
        <w:t>Department of Correction policies and Tennessee Corrections Institute guidelines,</w:t>
      </w:r>
      <w:r>
        <w:t xml:space="preserve"> </w:t>
      </w:r>
      <w:r w:rsidRPr="002967D3">
        <w:t>indicating that prisoners have a right to refuse medical treatment.</w:t>
      </w:r>
    </w:p>
    <w:p w14:paraId="0484FA26" w14:textId="77777777" w:rsidR="0087684E" w:rsidRDefault="0087684E" w:rsidP="0087684E">
      <w:pPr>
        <w:pStyle w:val="NoSpacing"/>
        <w:ind w:firstLine="720"/>
        <w:rPr>
          <w:bCs/>
        </w:rPr>
      </w:pPr>
    </w:p>
    <w:p w14:paraId="7C7D3242" w14:textId="77777777" w:rsidR="0087684E" w:rsidRPr="002967D3" w:rsidRDefault="0087684E" w:rsidP="0087684E">
      <w:pPr>
        <w:pStyle w:val="NoSpacing"/>
        <w:ind w:firstLine="720"/>
        <w:rPr>
          <w:bCs/>
        </w:rPr>
      </w:pPr>
      <w:r w:rsidRPr="002967D3">
        <w:t xml:space="preserve">Approximately a week later, Mr. Thomas was called into a meeting with several </w:t>
      </w:r>
      <w:proofErr w:type="gramStart"/>
      <w:r w:rsidRPr="002967D3">
        <w:t>fire</w:t>
      </w:r>
      <w:proofErr w:type="gramEnd"/>
    </w:p>
    <w:p w14:paraId="69FDFF7E" w14:textId="77777777" w:rsidR="0087684E" w:rsidRPr="002967D3" w:rsidRDefault="0087684E" w:rsidP="0087684E">
      <w:pPr>
        <w:pStyle w:val="NoSpacing"/>
        <w:ind w:firstLine="720"/>
        <w:rPr>
          <w:bCs/>
        </w:rPr>
      </w:pPr>
      <w:r w:rsidRPr="002967D3">
        <w:t>department Chiefs. Mr. Thomas alleges that in this meeting, he was reprimanded</w:t>
      </w:r>
    </w:p>
    <w:p w14:paraId="503F65CE" w14:textId="77777777" w:rsidR="0087684E" w:rsidRPr="002967D3" w:rsidRDefault="0087684E" w:rsidP="0087684E">
      <w:pPr>
        <w:pStyle w:val="NoSpacing"/>
        <w:ind w:firstLine="720"/>
        <w:rPr>
          <w:bCs/>
        </w:rPr>
      </w:pPr>
      <w:r w:rsidRPr="002967D3">
        <w:t xml:space="preserve">extensively for the report he filed regarding the January 23, </w:t>
      </w:r>
      <w:proofErr w:type="gramStart"/>
      <w:r w:rsidRPr="002967D3">
        <w:t>2024</w:t>
      </w:r>
      <w:proofErr w:type="gramEnd"/>
      <w:r w:rsidRPr="002967D3">
        <w:t xml:space="preserve"> transport of the inmate.</w:t>
      </w:r>
    </w:p>
    <w:p w14:paraId="2B31724B" w14:textId="77777777" w:rsidR="0087684E" w:rsidRPr="002967D3" w:rsidRDefault="0087684E" w:rsidP="0087684E">
      <w:pPr>
        <w:pStyle w:val="NoSpacing"/>
        <w:ind w:firstLine="720"/>
        <w:rPr>
          <w:bCs/>
        </w:rPr>
      </w:pPr>
      <w:r w:rsidRPr="002967D3">
        <w:t>The Chiefs indicated that he was correct that an inmate could refuse treatment, but they</w:t>
      </w:r>
    </w:p>
    <w:p w14:paraId="22FA74A6" w14:textId="77777777" w:rsidR="0087684E" w:rsidRPr="00C1245A" w:rsidRDefault="0087684E" w:rsidP="0087684E">
      <w:pPr>
        <w:pStyle w:val="NoSpacing"/>
        <w:ind w:left="720"/>
        <w:rPr>
          <w:bCs/>
        </w:rPr>
      </w:pPr>
      <w:r w:rsidRPr="002967D3">
        <w:t>could not believe that he had documented the incident. In the meeting, Mr. Thomas</w:t>
      </w:r>
      <w:r>
        <w:t xml:space="preserve"> </w:t>
      </w:r>
      <w:r w:rsidRPr="00C1245A">
        <w:t>indicated that he would not transport another competent inmate to the hospital without the</w:t>
      </w:r>
      <w:r>
        <w:t xml:space="preserve"> </w:t>
      </w:r>
      <w:r w:rsidRPr="00C1245A">
        <w:t>inmate’s consent.</w:t>
      </w:r>
    </w:p>
    <w:p w14:paraId="7D59D021" w14:textId="77777777" w:rsidR="0087684E" w:rsidRDefault="0087684E" w:rsidP="0087684E">
      <w:pPr>
        <w:pStyle w:val="NoSpacing"/>
        <w:ind w:firstLine="720"/>
        <w:rPr>
          <w:bCs/>
        </w:rPr>
      </w:pPr>
    </w:p>
    <w:p w14:paraId="79927B4B" w14:textId="77777777" w:rsidR="0087684E" w:rsidRPr="00C1245A" w:rsidRDefault="0087684E" w:rsidP="0087684E">
      <w:pPr>
        <w:pStyle w:val="NoSpacing"/>
        <w:ind w:firstLine="720"/>
        <w:rPr>
          <w:bCs/>
        </w:rPr>
      </w:pPr>
      <w:r w:rsidRPr="00C1245A">
        <w:t>Less than a month later, Mr. Thomas, who had previously served in the Marine</w:t>
      </w:r>
    </w:p>
    <w:p w14:paraId="0390EF73" w14:textId="77777777" w:rsidR="0087684E" w:rsidRPr="00C1245A" w:rsidRDefault="0087684E" w:rsidP="0087684E">
      <w:pPr>
        <w:pStyle w:val="NoSpacing"/>
        <w:ind w:firstLine="720"/>
        <w:rPr>
          <w:bCs/>
        </w:rPr>
      </w:pPr>
      <w:proofErr w:type="gramStart"/>
      <w:r w:rsidRPr="00C1245A">
        <w:t>Corps,</w:t>
      </w:r>
      <w:proofErr w:type="gramEnd"/>
      <w:r w:rsidRPr="00C1245A">
        <w:t xml:space="preserve"> was scheduled to be in Arlington. Members of his platoon annually gathered to</w:t>
      </w:r>
    </w:p>
    <w:p w14:paraId="6A3EC459" w14:textId="77777777" w:rsidR="0087684E" w:rsidRPr="00C1245A" w:rsidRDefault="0087684E" w:rsidP="0087684E">
      <w:pPr>
        <w:pStyle w:val="NoSpacing"/>
        <w:ind w:firstLine="720"/>
        <w:rPr>
          <w:bCs/>
        </w:rPr>
      </w:pPr>
      <w:r w:rsidRPr="00C1245A">
        <w:t>honor a fallen comrade who had died in Afghanistan. Mr. Thomas had been approved for</w:t>
      </w:r>
    </w:p>
    <w:p w14:paraId="04FF85AB" w14:textId="77777777" w:rsidR="0087684E" w:rsidRPr="00C1245A" w:rsidRDefault="0087684E" w:rsidP="0087684E">
      <w:pPr>
        <w:pStyle w:val="NoSpacing"/>
        <w:ind w:firstLine="720"/>
        <w:rPr>
          <w:bCs/>
        </w:rPr>
      </w:pPr>
      <w:r w:rsidRPr="00C1245A">
        <w:t xml:space="preserve">vacation time, and a coworker was going to cover his shift on February 16. </w:t>
      </w:r>
      <w:proofErr w:type="gramStart"/>
      <w:r w:rsidRPr="00C1245A">
        <w:t>The coworker</w:t>
      </w:r>
      <w:proofErr w:type="gramEnd"/>
      <w:r w:rsidRPr="00C1245A">
        <w:t>,</w:t>
      </w:r>
    </w:p>
    <w:p w14:paraId="59B7A3D9" w14:textId="77777777" w:rsidR="0087684E" w:rsidRPr="00C1245A" w:rsidRDefault="0087684E" w:rsidP="0087684E">
      <w:pPr>
        <w:pStyle w:val="NoSpacing"/>
        <w:ind w:firstLine="720"/>
        <w:rPr>
          <w:bCs/>
        </w:rPr>
      </w:pPr>
      <w:proofErr w:type="gramStart"/>
      <w:r w:rsidRPr="00C1245A">
        <w:t>however</w:t>
      </w:r>
      <w:proofErr w:type="gramEnd"/>
      <w:r w:rsidRPr="00C1245A">
        <w:t>, was forbidden by superiors from covering his February 16 shift, which went</w:t>
      </w:r>
    </w:p>
    <w:p w14:paraId="7515948B" w14:textId="77777777" w:rsidR="0087684E" w:rsidRDefault="0087684E" w:rsidP="0087684E">
      <w:pPr>
        <w:pStyle w:val="NoSpacing"/>
        <w:ind w:firstLine="720"/>
        <w:rPr>
          <w:bCs/>
        </w:rPr>
      </w:pPr>
      <w:r w:rsidRPr="00C1245A">
        <w:t>uncovered.</w:t>
      </w:r>
    </w:p>
    <w:p w14:paraId="57F09B18" w14:textId="77777777" w:rsidR="0087684E" w:rsidRDefault="0087684E" w:rsidP="0087684E">
      <w:pPr>
        <w:pStyle w:val="NoSpacing"/>
        <w:ind w:firstLine="720"/>
        <w:rPr>
          <w:bCs/>
        </w:rPr>
      </w:pPr>
    </w:p>
    <w:p w14:paraId="447AD8A3" w14:textId="77777777" w:rsidR="0087684E" w:rsidRPr="00F85597" w:rsidRDefault="0087684E" w:rsidP="0087684E">
      <w:pPr>
        <w:pStyle w:val="NoSpacing"/>
        <w:ind w:firstLine="720"/>
        <w:rPr>
          <w:bCs/>
        </w:rPr>
      </w:pPr>
      <w:r w:rsidRPr="00F85597">
        <w:t>On or around February 26, 2024, Nashville Fire Department Chief Fred Smith gave</w:t>
      </w:r>
    </w:p>
    <w:p w14:paraId="37D5B4CA" w14:textId="77777777" w:rsidR="0087684E" w:rsidRPr="00F85597" w:rsidRDefault="0087684E" w:rsidP="0087684E">
      <w:pPr>
        <w:pStyle w:val="NoSpacing"/>
        <w:ind w:firstLine="720"/>
        <w:rPr>
          <w:bCs/>
        </w:rPr>
      </w:pPr>
      <w:r w:rsidRPr="00F85597">
        <w:t>Mr. Thomas an ultimatum: “You can either resign, or I can fire you.” Metro contends this</w:t>
      </w:r>
    </w:p>
    <w:p w14:paraId="1C857F7A" w14:textId="77777777" w:rsidR="0087684E" w:rsidRPr="00F85597" w:rsidRDefault="0087684E" w:rsidP="0087684E">
      <w:pPr>
        <w:pStyle w:val="NoSpacing"/>
        <w:ind w:left="720"/>
        <w:rPr>
          <w:bCs/>
        </w:rPr>
      </w:pPr>
      <w:r w:rsidRPr="00F85597">
        <w:t>ultimatum was the result of Mr. Thomas missing a single shift and not finding coverage to</w:t>
      </w:r>
      <w:r>
        <w:t xml:space="preserve"> </w:t>
      </w:r>
      <w:r w:rsidRPr="00F85597">
        <w:t>replace him. Mr. Thomas chose to resign to prevent a termination from becoming part of</w:t>
      </w:r>
      <w:r>
        <w:t xml:space="preserve"> </w:t>
      </w:r>
      <w:r w:rsidRPr="00F85597">
        <w:t>his record. Thereafter, Mr. Thomas alleges he received a text message from another</w:t>
      </w:r>
    </w:p>
    <w:p w14:paraId="487839D8" w14:textId="77777777" w:rsidR="0087684E" w:rsidRPr="00F85597" w:rsidRDefault="0087684E" w:rsidP="0087684E">
      <w:pPr>
        <w:pStyle w:val="NoSpacing"/>
        <w:ind w:firstLine="720"/>
        <w:rPr>
          <w:bCs/>
        </w:rPr>
      </w:pPr>
      <w:r w:rsidRPr="00F85597">
        <w:t>paramedic employed by the fire department stating that, when that employee had</w:t>
      </w:r>
    </w:p>
    <w:p w14:paraId="474FFB18" w14:textId="77777777" w:rsidR="0087684E" w:rsidRDefault="0087684E" w:rsidP="0087684E">
      <w:pPr>
        <w:pStyle w:val="NoSpacing"/>
        <w:ind w:firstLine="720"/>
        <w:rPr>
          <w:bCs/>
        </w:rPr>
      </w:pPr>
      <w:r w:rsidRPr="00F85597">
        <w:t>previously missed a shift, the only consequence was a write-up</w:t>
      </w:r>
      <w:r>
        <w:t>.”</w:t>
      </w:r>
    </w:p>
    <w:p w14:paraId="6260A993" w14:textId="77777777" w:rsidR="0087684E" w:rsidRDefault="0087684E" w:rsidP="0087684E">
      <w:pPr>
        <w:pStyle w:val="NoSpacing"/>
        <w:ind w:firstLine="720"/>
        <w:rPr>
          <w:bCs/>
        </w:rPr>
      </w:pPr>
    </w:p>
    <w:p w14:paraId="31564EC9" w14:textId="77777777" w:rsidR="0087684E" w:rsidRPr="005936B4" w:rsidRDefault="0087684E" w:rsidP="0087684E">
      <w:pPr>
        <w:rPr>
          <w:b/>
        </w:rPr>
      </w:pPr>
      <w:r>
        <w:rPr>
          <w:b/>
        </w:rPr>
        <w:t xml:space="preserve">Legal lesson learned: </w:t>
      </w:r>
      <w:r w:rsidRPr="005936B4">
        <w:rPr>
          <w:b/>
        </w:rPr>
        <w:t>The Tennessee Public Protection Act protects whistleblowers; case will now proceed to pre-trial discovery; a jury may ultimately reward</w:t>
      </w:r>
      <w:r>
        <w:rPr>
          <w:b/>
        </w:rPr>
        <w:t xml:space="preserve"> Medic with </w:t>
      </w:r>
      <w:r w:rsidRPr="005936B4">
        <w:rPr>
          <w:b/>
        </w:rPr>
        <w:t xml:space="preserve">substantial damages. </w:t>
      </w:r>
    </w:p>
    <w:p w14:paraId="57193B73" w14:textId="77777777" w:rsidR="0087684E" w:rsidRDefault="0087684E" w:rsidP="0087684E">
      <w:pPr>
        <w:ind w:left="720"/>
        <w:rPr>
          <w:bCs/>
        </w:rPr>
      </w:pPr>
      <w:r w:rsidRPr="008B6EA3">
        <w:t>Note: The Tenn. Code</w:t>
      </w:r>
      <w:r>
        <w:t xml:space="preserve"> provides in </w:t>
      </w:r>
      <w:r w:rsidRPr="00FD65F6">
        <w:t>§ 50-1-304 (2024)</w:t>
      </w:r>
      <w:r>
        <w:t xml:space="preserve">: </w:t>
      </w:r>
      <w:hyperlink r:id="rId2074" w:history="1">
        <w:r w:rsidRPr="003971FA">
          <w:rPr>
            <w:rStyle w:val="Hyperlink"/>
          </w:rPr>
          <w:t>https://law.justia.com/codes/tennessee/title-50/chapter-1/part-3/section-50-1-304/</w:t>
        </w:r>
      </w:hyperlink>
      <w:r>
        <w:t xml:space="preserve"> </w:t>
      </w:r>
    </w:p>
    <w:p w14:paraId="7E0AA116" w14:textId="77777777" w:rsidR="0087684E" w:rsidRPr="008B6EA3" w:rsidRDefault="0087684E" w:rsidP="0087684E">
      <w:pPr>
        <w:ind w:left="720"/>
        <w:rPr>
          <w:bCs/>
        </w:rPr>
      </w:pPr>
      <w:r>
        <w:rPr>
          <w:b/>
        </w:rPr>
        <w:t>“</w:t>
      </w:r>
      <w:r w:rsidRPr="000F04F2">
        <w:rPr>
          <w:b/>
        </w:rPr>
        <w:t>(1)</w:t>
      </w:r>
      <w:r w:rsidRPr="000F04F2">
        <w:t xml:space="preserve"> Any employee terminated in violation of subsection (b) shall have a cause of action against the employer for retaliatory discharge and any other damages to which the employee may be entitled, subject to the limitations set out in § 4-21-313.</w:t>
      </w:r>
      <w:r>
        <w:t>”</w:t>
      </w:r>
    </w:p>
    <w:p w14:paraId="78D2C1EC" w14:textId="77777777" w:rsidR="0087684E" w:rsidRDefault="0087684E" w:rsidP="0087684E">
      <w:pPr>
        <w:rPr>
          <w:bCs/>
        </w:rPr>
      </w:pPr>
    </w:p>
    <w:p w14:paraId="0E47927F" w14:textId="185829FA" w:rsidR="00DA5EE8" w:rsidRPr="00DA5EE8" w:rsidRDefault="00DA5EE8" w:rsidP="00DA5EE8">
      <w:pPr>
        <w:pStyle w:val="NoSpacing"/>
        <w:rPr>
          <w:rFonts w:ascii="Arial Black" w:hAnsi="Arial Black"/>
          <w:sz w:val="24"/>
          <w:szCs w:val="24"/>
        </w:rPr>
      </w:pPr>
      <w:r w:rsidRPr="00DA5EE8">
        <w:rPr>
          <w:rFonts w:ascii="Arial Black" w:hAnsi="Arial Black"/>
          <w:sz w:val="24"/>
          <w:szCs w:val="24"/>
        </w:rPr>
        <w:t>13-25</w:t>
      </w:r>
      <w:r>
        <w:rPr>
          <w:rFonts w:ascii="Arial Black" w:hAnsi="Arial Black"/>
          <w:sz w:val="24"/>
          <w:szCs w:val="24"/>
        </w:rPr>
        <w:t>9</w:t>
      </w:r>
    </w:p>
    <w:p w14:paraId="48668188" w14:textId="77777777" w:rsidR="0087684E" w:rsidRDefault="0087684E" w:rsidP="0087684E">
      <w:pPr>
        <w:rPr>
          <w:bCs/>
        </w:rPr>
      </w:pPr>
    </w:p>
    <w:p w14:paraId="748B1E05" w14:textId="77777777" w:rsidR="0087684E" w:rsidRPr="00161BDB" w:rsidRDefault="0087684E" w:rsidP="0087684E">
      <w:pPr>
        <w:rPr>
          <w:rFonts w:ascii="Arial Black" w:hAnsi="Arial Black"/>
          <w:b/>
          <w:sz w:val="28"/>
          <w:szCs w:val="28"/>
        </w:rPr>
      </w:pPr>
      <w:r>
        <w:rPr>
          <w:rFonts w:ascii="Arial Black" w:hAnsi="Arial Black"/>
          <w:b/>
          <w:sz w:val="28"/>
          <w:szCs w:val="28"/>
        </w:rPr>
        <w:t>MI: PT GURNEY / UNLOADING – NO IMMUN. STATE MV LAW</w:t>
      </w:r>
    </w:p>
    <w:p w14:paraId="180B9550" w14:textId="77777777" w:rsidR="0087684E" w:rsidRDefault="0087684E" w:rsidP="0087684E">
      <w:pPr>
        <w:pStyle w:val="NoSpacing"/>
      </w:pPr>
      <w:r>
        <w:t xml:space="preserve">On May 19, 2026, in </w:t>
      </w:r>
      <w:r w:rsidRPr="0087386B">
        <w:rPr>
          <w:u w:val="single"/>
        </w:rPr>
        <w:t>Walter Winters v. City of Detroit</w:t>
      </w:r>
      <w:r>
        <w:t xml:space="preserve">, the State of Michigan Court of Appeals held (3 to 0) that the patient’s lawsuit may proceed, since this was an injury arising out of </w:t>
      </w:r>
      <w:proofErr w:type="spellStart"/>
      <w:proofErr w:type="gramStart"/>
      <w:r>
        <w:t>a</w:t>
      </w:r>
      <w:proofErr w:type="spellEnd"/>
      <w:proofErr w:type="gramEnd"/>
      <w:r>
        <w:t xml:space="preserve"> accident involving a motor vehicle (ambulance); trial court improperly dismissed the case under EMS immunity statute.  THE COURT WROTE: “</w:t>
      </w:r>
      <w:r w:rsidRPr="00F53EB6">
        <w:t>Winters appeals by right the trial court’s order granting the City’s motion for</w:t>
      </w:r>
      <w:r>
        <w:t xml:space="preserve"> </w:t>
      </w:r>
      <w:r w:rsidRPr="00F53EB6">
        <w:t xml:space="preserve">summary disposition. Because the trial court erroneously applied the EMSA </w:t>
      </w:r>
      <w:r>
        <w:t>[E</w:t>
      </w:r>
      <w:r w:rsidRPr="002147CE">
        <w:t xml:space="preserve">mergency </w:t>
      </w:r>
      <w:r>
        <w:t>M</w:t>
      </w:r>
      <w:r w:rsidRPr="002147CE">
        <w:t xml:space="preserve">edical </w:t>
      </w:r>
      <w:r>
        <w:t>S</w:t>
      </w:r>
      <w:r w:rsidRPr="002147CE">
        <w:t xml:space="preserve">ervices </w:t>
      </w:r>
      <w:r>
        <w:t>A</w:t>
      </w:r>
      <w:r w:rsidRPr="002147CE">
        <w:t>ct</w:t>
      </w:r>
      <w:r>
        <w:t>]</w:t>
      </w:r>
      <w:r w:rsidRPr="002147CE">
        <w:t xml:space="preserve"> </w:t>
      </w:r>
      <w:r w:rsidRPr="00F53EB6">
        <w:t>and Winters’s</w:t>
      </w:r>
      <w:r>
        <w:t xml:space="preserve"> </w:t>
      </w:r>
      <w:r w:rsidRPr="00F53EB6">
        <w:t>complaint asserted a claim under the motor-vehicle exception to governmental immunity, MCL</w:t>
      </w:r>
      <w:r>
        <w:t xml:space="preserve"> </w:t>
      </w:r>
      <w:r w:rsidRPr="00F53EB6">
        <w:t>691.1405, we reverse and remand for further proceedings</w:t>
      </w:r>
      <w:r>
        <w:t>.”</w:t>
      </w:r>
    </w:p>
    <w:p w14:paraId="0F6BDC55" w14:textId="77777777" w:rsidR="0087684E" w:rsidRDefault="0087684E" w:rsidP="0087684E">
      <w:pPr>
        <w:pStyle w:val="NoSpacing"/>
      </w:pPr>
      <w:r>
        <w:t xml:space="preserve"> </w:t>
      </w:r>
      <w:hyperlink r:id="rId2075" w:history="1">
        <w:r w:rsidRPr="00061A2D">
          <w:rPr>
            <w:rStyle w:val="Hyperlink"/>
          </w:rPr>
          <w:t>https://cases.justia.com/michigan/court-of-appeals-unpublished/2026-371690.pdf?ts=1779282004</w:t>
        </w:r>
      </w:hyperlink>
      <w:r>
        <w:t xml:space="preserve"> </w:t>
      </w:r>
    </w:p>
    <w:p w14:paraId="37F05A2F" w14:textId="77777777" w:rsidR="0087684E" w:rsidRDefault="0087684E" w:rsidP="0087684E">
      <w:pPr>
        <w:pStyle w:val="NoSpacing"/>
      </w:pPr>
    </w:p>
    <w:p w14:paraId="1AC0847C" w14:textId="77777777" w:rsidR="0087684E" w:rsidRDefault="0087684E" w:rsidP="0087684E">
      <w:pPr>
        <w:pStyle w:val="NoSpacing"/>
      </w:pPr>
      <w:r>
        <w:t>THE COURT HELD:</w:t>
      </w:r>
    </w:p>
    <w:p w14:paraId="66A7407E" w14:textId="77777777" w:rsidR="0087684E" w:rsidRDefault="0087684E" w:rsidP="0087684E">
      <w:pPr>
        <w:pStyle w:val="NoSpacing"/>
      </w:pPr>
    </w:p>
    <w:p w14:paraId="39620B7F" w14:textId="77777777" w:rsidR="0087684E" w:rsidRPr="00161BDB" w:rsidRDefault="0087684E" w:rsidP="0087684E">
      <w:pPr>
        <w:pStyle w:val="NoSpacing"/>
        <w:ind w:firstLine="720"/>
      </w:pPr>
      <w:r>
        <w:t>“</w:t>
      </w:r>
      <w:r w:rsidRPr="00161BDB">
        <w:t>In his complaint, Winters alleged that the City’s EMTs strapped him onto a gurney for</w:t>
      </w:r>
    </w:p>
    <w:p w14:paraId="015FEC4B" w14:textId="77777777" w:rsidR="0087684E" w:rsidRDefault="0087684E" w:rsidP="0087684E">
      <w:pPr>
        <w:pStyle w:val="NoSpacing"/>
        <w:ind w:left="720"/>
      </w:pPr>
      <w:r w:rsidRPr="00161BDB">
        <w:t xml:space="preserve">transport and negligently </w:t>
      </w:r>
      <w:r>
        <w:t>‘</w:t>
      </w:r>
      <w:r w:rsidRPr="00161BDB">
        <w:t>failed to keep the gurney upright</w:t>
      </w:r>
      <w:r>
        <w:t>’</w:t>
      </w:r>
      <w:r w:rsidRPr="00161BDB">
        <w:t xml:space="preserve"> which caused him to fall to the ground</w:t>
      </w:r>
      <w:r>
        <w:t xml:space="preserve"> </w:t>
      </w:r>
      <w:r w:rsidRPr="00161BDB">
        <w:t>and sustain injury while the EMTs unloaded him from the ambulance. Winters also alleged that</w:t>
      </w:r>
      <w:r>
        <w:t xml:space="preserve"> </w:t>
      </w:r>
      <w:r w:rsidRPr="00161BDB">
        <w:t xml:space="preserve">the </w:t>
      </w:r>
      <w:proofErr w:type="gramStart"/>
      <w:r w:rsidRPr="00161BDB">
        <w:t>City</w:t>
      </w:r>
      <w:proofErr w:type="gramEnd"/>
      <w:r w:rsidRPr="00161BDB">
        <w:t xml:space="preserve"> had a duty to ensure that its employees safely unload patients from an ambulance and that</w:t>
      </w:r>
      <w:r>
        <w:t xml:space="preserve"> </w:t>
      </w:r>
      <w:r w:rsidRPr="00161BDB">
        <w:t xml:space="preserve">the </w:t>
      </w:r>
      <w:proofErr w:type="gramStart"/>
      <w:r w:rsidRPr="00161BDB">
        <w:t>City</w:t>
      </w:r>
      <w:proofErr w:type="gramEnd"/>
      <w:r w:rsidRPr="00161BDB">
        <w:t xml:space="preserve"> was liable for its own negligence, and that of the EMTs, because the </w:t>
      </w:r>
      <w:proofErr w:type="gramStart"/>
      <w:r w:rsidRPr="00161BDB">
        <w:t>City</w:t>
      </w:r>
      <w:proofErr w:type="gramEnd"/>
      <w:r w:rsidRPr="00161BDB">
        <w:t xml:space="preserve"> owned the</w:t>
      </w:r>
      <w:r>
        <w:t xml:space="preserve"> </w:t>
      </w:r>
      <w:r w:rsidRPr="00161BDB">
        <w:t>ambulance. Winters cited the owner’s liability statute, MCL 257.401. Winters’s allegations were</w:t>
      </w:r>
      <w:r>
        <w:t xml:space="preserve"> </w:t>
      </w:r>
      <w:r w:rsidRPr="00161BDB">
        <w:t>sufficient to plead in avoidance of governmental immunity because they stated a claim that fit</w:t>
      </w:r>
      <w:r>
        <w:t xml:space="preserve"> </w:t>
      </w:r>
      <w:r w:rsidRPr="00161BDB">
        <w:t>within the motor-vehicle exception to governmental immunity. See Mount Clemens Recreational</w:t>
      </w:r>
      <w:r>
        <w:t xml:space="preserve"> </w:t>
      </w:r>
      <w:r w:rsidRPr="00161BDB">
        <w:t>Bowl, 344 Mich App at 245. The motor-vehicle exception requires that the governmental agency</w:t>
      </w:r>
      <w:r>
        <w:t xml:space="preserve"> </w:t>
      </w:r>
      <w:r w:rsidRPr="00161BDB">
        <w:t>owned the motor vehicle involved in the incident and that the plaintiff’s injuries resulted from the</w:t>
      </w:r>
      <w:r>
        <w:t xml:space="preserve"> </w:t>
      </w:r>
      <w:r w:rsidRPr="00161BDB">
        <w:t xml:space="preserve">negligent operation of the vehicle by the governmental agency’s employees. Further, as in </w:t>
      </w:r>
      <w:r w:rsidRPr="00AF59D3">
        <w:rPr>
          <w:i/>
          <w:iCs/>
        </w:rPr>
        <w:t>Martin,</w:t>
      </w:r>
      <w:r>
        <w:t xml:space="preserve"> </w:t>
      </w:r>
      <w:r w:rsidRPr="00161BDB">
        <w:t>the loading and unloading of patients is an action within the operation of an ambulance. Indeed,</w:t>
      </w:r>
      <w:r>
        <w:t xml:space="preserve"> </w:t>
      </w:r>
      <w:proofErr w:type="gramStart"/>
      <w:r w:rsidRPr="00161BDB">
        <w:t>similar to</w:t>
      </w:r>
      <w:proofErr w:type="gramEnd"/>
      <w:r w:rsidRPr="00161BDB">
        <w:t xml:space="preserve"> the garbage truck in Strozier, it is impossible for an ambulance to perform its intended</w:t>
      </w:r>
      <w:r>
        <w:t xml:space="preserve"> </w:t>
      </w:r>
      <w:proofErr w:type="gramStart"/>
      <w:r w:rsidRPr="00161BDB">
        <w:t>function</w:t>
      </w:r>
      <w:proofErr w:type="gramEnd"/>
      <w:r w:rsidRPr="00161BDB">
        <w:t xml:space="preserve"> absent the loading and unloading of patients. Accordingly, because Winters’s complaint</w:t>
      </w:r>
      <w:r>
        <w:t xml:space="preserve"> </w:t>
      </w:r>
      <w:r w:rsidRPr="00161BDB">
        <w:t>stated a claim within the motor-vehicle exception to governmental immunity, the trial court erred</w:t>
      </w:r>
      <w:r>
        <w:t xml:space="preserve"> </w:t>
      </w:r>
      <w:r w:rsidRPr="00161BDB">
        <w:t>by granting the City’s motion for summary disposition.</w:t>
      </w:r>
      <w:r>
        <w:t>:</w:t>
      </w:r>
    </w:p>
    <w:p w14:paraId="57F8B4F6" w14:textId="77777777" w:rsidR="0087684E" w:rsidRDefault="0087684E" w:rsidP="0087684E">
      <w:pPr>
        <w:pStyle w:val="NoSpacing"/>
        <w:ind w:left="720"/>
      </w:pPr>
    </w:p>
    <w:p w14:paraId="7B4338A7" w14:textId="77777777" w:rsidR="0087684E" w:rsidRPr="005F70EF" w:rsidRDefault="0087684E" w:rsidP="0087684E">
      <w:pPr>
        <w:pStyle w:val="NoSpacing"/>
        <w:rPr>
          <w:b/>
          <w:bCs/>
        </w:rPr>
      </w:pPr>
      <w:r>
        <w:rPr>
          <w:b/>
        </w:rPr>
        <w:t xml:space="preserve">Legal lesson learned: </w:t>
      </w:r>
      <w:r w:rsidRPr="005F70EF">
        <w:rPr>
          <w:b/>
        </w:rPr>
        <w:t>Novel decision – no immunity for an injury arising out of accident involving a motor vehicle (ambulance).</w:t>
      </w:r>
    </w:p>
    <w:p w14:paraId="5CE14A90" w14:textId="77777777" w:rsidR="0087684E" w:rsidRDefault="0087684E" w:rsidP="0087684E">
      <w:pPr>
        <w:pStyle w:val="NoSpacing"/>
        <w:rPr>
          <w:b/>
          <w:bCs/>
        </w:rPr>
      </w:pPr>
    </w:p>
    <w:p w14:paraId="49F665BB" w14:textId="77777777" w:rsidR="0087684E" w:rsidRDefault="0087684E" w:rsidP="0087684E">
      <w:pPr>
        <w:ind w:firstLine="720"/>
      </w:pPr>
      <w:r>
        <w:t>Note: See Michigan government agency motor vehicle liability statute.</w:t>
      </w:r>
    </w:p>
    <w:p w14:paraId="0CA99499" w14:textId="77777777" w:rsidR="0087684E" w:rsidRDefault="0087684E" w:rsidP="0087684E">
      <w:pPr>
        <w:pStyle w:val="NoSpacing"/>
        <w:ind w:left="720"/>
      </w:pPr>
      <w:r>
        <w:t>“</w:t>
      </w:r>
      <w:r w:rsidRPr="00E747BB">
        <w:t>Governmental agencies shall be liable for bodily injury and property damage resulting from the negligent operation by any officer, agent, or employee of the governmental agency, of a motor vehicle of which the governmental agency is owner, as defined in Act No. 300 of the Public Acts of 1949, as amended, being sections 257.1 to 257.923 of the Compiled Laws of 1948.</w:t>
      </w:r>
      <w:r>
        <w:t xml:space="preserve">” </w:t>
      </w:r>
      <w:hyperlink r:id="rId2076" w:history="1">
        <w:r w:rsidRPr="00966D1B">
          <w:rPr>
            <w:rStyle w:val="Hyperlink"/>
          </w:rPr>
          <w:t>https://www.legislature.mi.gov/Laws/MCL?objectName=MCL-691-1405</w:t>
        </w:r>
      </w:hyperlink>
    </w:p>
    <w:p w14:paraId="60B66701" w14:textId="77777777" w:rsidR="0087684E" w:rsidRDefault="0087684E" w:rsidP="0087684E">
      <w:pPr>
        <w:pStyle w:val="NoSpacing"/>
      </w:pPr>
    </w:p>
    <w:p w14:paraId="509A7EC2" w14:textId="77777777" w:rsidR="0087684E" w:rsidRDefault="0087684E" w:rsidP="0087684E">
      <w:pPr>
        <w:pStyle w:val="NoSpacing"/>
      </w:pPr>
    </w:p>
    <w:p w14:paraId="51FDB9CF" w14:textId="77777777" w:rsidR="0087684E" w:rsidRDefault="0087684E" w:rsidP="0087684E">
      <w:pPr>
        <w:rPr>
          <w:bCs/>
        </w:rPr>
      </w:pPr>
    </w:p>
    <w:p w14:paraId="0DCE122B" w14:textId="77777777" w:rsidR="0087684E" w:rsidRPr="00B46857" w:rsidRDefault="0087684E" w:rsidP="0087684E">
      <w:pPr>
        <w:rPr>
          <w:bCs/>
        </w:rPr>
      </w:pPr>
      <w:r w:rsidRPr="00B46857">
        <w:t>Chap. 13: EMS, incl. Community Paramedicine, Corona Virus</w:t>
      </w:r>
    </w:p>
    <w:p w14:paraId="359BB88A" w14:textId="77777777" w:rsidR="0087684E" w:rsidRPr="00505DF5" w:rsidRDefault="0087684E" w:rsidP="0087684E">
      <w:pPr>
        <w:rPr>
          <w:rFonts w:ascii="Arial Black" w:hAnsi="Arial Black"/>
          <w:b/>
          <w:sz w:val="28"/>
          <w:szCs w:val="28"/>
        </w:rPr>
      </w:pPr>
      <w:r>
        <w:rPr>
          <w:rFonts w:ascii="Arial Black" w:hAnsi="Arial Black"/>
          <w:b/>
          <w:sz w:val="28"/>
          <w:szCs w:val="28"/>
        </w:rPr>
        <w:t>WA: COVID – FF TURNED DOWN 3 FD JOBS - NO CASE</w:t>
      </w:r>
    </w:p>
    <w:p w14:paraId="32035376" w14:textId="77777777" w:rsidR="0087684E" w:rsidRDefault="0087684E" w:rsidP="0087684E">
      <w:pPr>
        <w:rPr>
          <w:b/>
        </w:rPr>
      </w:pPr>
      <w:r>
        <w:t xml:space="preserve">On May 17, 2026, in </w:t>
      </w:r>
      <w:r w:rsidRPr="00EA2931">
        <w:rPr>
          <w:u w:val="single"/>
        </w:rPr>
        <w:t>Justin Jobes v. City of Bellevue</w:t>
      </w:r>
      <w:r>
        <w:t xml:space="preserve">, </w:t>
      </w:r>
      <w:r w:rsidRPr="00F823BE">
        <w:t>the United States Court of Appeals, Ninth Circuit</w:t>
      </w:r>
      <w:r>
        <w:t xml:space="preserve"> (San Francisco) held (3 to 0; unpublished decision) that the trial court properly granted city summary judgment.  </w:t>
      </w:r>
      <w:r w:rsidRPr="00BB6C9C">
        <w:t xml:space="preserve">The </w:t>
      </w:r>
      <w:proofErr w:type="gramStart"/>
      <w:r w:rsidRPr="00BB6C9C">
        <w:t>City</w:t>
      </w:r>
      <w:proofErr w:type="gramEnd"/>
      <w:r w:rsidRPr="00BB6C9C">
        <w:t xml:space="preserve"> offered Jobes several reasonable accommodations. First, the </w:t>
      </w:r>
      <w:proofErr w:type="gramStart"/>
      <w:r w:rsidRPr="00BB6C9C">
        <w:t>City</w:t>
      </w:r>
      <w:proofErr w:type="gramEnd"/>
      <w:r>
        <w:t xml:space="preserve"> </w:t>
      </w:r>
      <w:r w:rsidRPr="00BB6C9C">
        <w:t>offered Jobes a utilities position, which Jobes rejected. Jobes requested paid medical</w:t>
      </w:r>
      <w:r>
        <w:t xml:space="preserve"> </w:t>
      </w:r>
      <w:r w:rsidRPr="00BB6C9C">
        <w:t xml:space="preserve">leave paid medical leave for stress related to the vaccine mandate, and the </w:t>
      </w:r>
      <w:proofErr w:type="gramStart"/>
      <w:r w:rsidRPr="00BB6C9C">
        <w:t>City</w:t>
      </w:r>
      <w:proofErr w:type="gramEnd"/>
      <w:r>
        <w:t xml:space="preserve"> </w:t>
      </w:r>
      <w:r w:rsidRPr="00BB6C9C">
        <w:t>granted it to him for five months.</w:t>
      </w:r>
      <w:r>
        <w:t xml:space="preserve"> </w:t>
      </w:r>
      <w:r w:rsidRPr="00222ECA">
        <w:t>When Jobes’ medical leave was set to end, the</w:t>
      </w:r>
      <w:r>
        <w:t xml:space="preserve"> </w:t>
      </w:r>
      <w:proofErr w:type="gramStart"/>
      <w:r w:rsidRPr="00222ECA">
        <w:t>City</w:t>
      </w:r>
      <w:proofErr w:type="gramEnd"/>
      <w:r w:rsidRPr="00222ECA">
        <w:t xml:space="preserve"> offered him three other potential positions</w:t>
      </w:r>
      <w:r>
        <w:t xml:space="preserve">, which he turned down. THE COURT WROTE:  </w:t>
      </w:r>
      <w:r w:rsidRPr="0062080F">
        <w:t>Jobes alleges religious</w:t>
      </w:r>
      <w:r>
        <w:t xml:space="preserve"> </w:t>
      </w:r>
      <w:r w:rsidRPr="0062080F">
        <w:t>discrimination and failure to accommodate under Title VII, 42 U.S.C. § 2000e et</w:t>
      </w:r>
      <w:r>
        <w:t xml:space="preserve">. </w:t>
      </w:r>
      <w:r w:rsidRPr="00981D4F">
        <w:t>seq, and the Washington Law Against Discrimination.1 Because the district court</w:t>
      </w:r>
      <w:r>
        <w:t xml:space="preserve"> </w:t>
      </w:r>
      <w:r w:rsidRPr="00981D4F">
        <w:t xml:space="preserve">correctly concluded that the </w:t>
      </w:r>
      <w:proofErr w:type="gramStart"/>
      <w:r w:rsidRPr="00981D4F">
        <w:t>City</w:t>
      </w:r>
      <w:proofErr w:type="gramEnd"/>
      <w:r w:rsidRPr="00981D4F">
        <w:t xml:space="preserve"> tried to reasonably accommodate Jobes, we affirm.</w:t>
      </w:r>
      <w:r>
        <w:t xml:space="preserve">” </w:t>
      </w:r>
      <w:hyperlink r:id="rId2077" w:history="1">
        <w:r w:rsidRPr="00C37C99">
          <w:rPr>
            <w:rStyle w:val="Hyperlink"/>
          </w:rPr>
          <w:t>https://cdn.ca9.uscourts.gov/datastore/memoranda/2026/05/27/24-6656.pdf</w:t>
        </w:r>
      </w:hyperlink>
      <w:r w:rsidRPr="00C37C99">
        <w:t xml:space="preserve"> </w:t>
      </w:r>
    </w:p>
    <w:p w14:paraId="44A59ABA" w14:textId="77777777" w:rsidR="0087684E" w:rsidRPr="00F823BE" w:rsidRDefault="0087684E" w:rsidP="0087684E">
      <w:pPr>
        <w:rPr>
          <w:bCs/>
        </w:rPr>
      </w:pPr>
      <w:r>
        <w:t>THE COURT HELD:</w:t>
      </w:r>
    </w:p>
    <w:p w14:paraId="202DA8A4" w14:textId="77777777" w:rsidR="0087684E" w:rsidRDefault="0087684E" w:rsidP="0087684E">
      <w:pPr>
        <w:pStyle w:val="NoSpacing"/>
        <w:ind w:left="720"/>
      </w:pPr>
      <w:r>
        <w:t>“</w:t>
      </w:r>
      <w:r w:rsidRPr="00C4416D">
        <w:t xml:space="preserve">The </w:t>
      </w:r>
      <w:proofErr w:type="gramStart"/>
      <w:r w:rsidRPr="00C4416D">
        <w:t>City</w:t>
      </w:r>
      <w:proofErr w:type="gramEnd"/>
      <w:r w:rsidRPr="00C4416D">
        <w:t xml:space="preserve"> offered Jobes several reasonable accommodations. First, the </w:t>
      </w:r>
      <w:proofErr w:type="gramStart"/>
      <w:r w:rsidRPr="00C4416D">
        <w:t>City</w:t>
      </w:r>
      <w:proofErr w:type="gramEnd"/>
      <w:r>
        <w:t xml:space="preserve"> </w:t>
      </w:r>
      <w:r w:rsidRPr="00C4416D">
        <w:t>offered Jobes a utilities position, which Jobes rejected. Jobes requested paid medical</w:t>
      </w:r>
      <w:r>
        <w:t xml:space="preserve"> </w:t>
      </w:r>
      <w:r w:rsidRPr="00C4416D">
        <w:t xml:space="preserve">leave paid medical leave for stress related to the vaccine mandate, and the </w:t>
      </w:r>
      <w:proofErr w:type="gramStart"/>
      <w:r w:rsidRPr="00C4416D">
        <w:t>City</w:t>
      </w:r>
      <w:proofErr w:type="gramEnd"/>
      <w:r>
        <w:t xml:space="preserve"> </w:t>
      </w:r>
      <w:r w:rsidRPr="00C4416D">
        <w:t>granted it to him for five months. When Jobes’ medical leave was set to end, the</w:t>
      </w:r>
      <w:r>
        <w:t xml:space="preserve"> </w:t>
      </w:r>
      <w:proofErr w:type="gramStart"/>
      <w:r w:rsidRPr="00C4416D">
        <w:t>City</w:t>
      </w:r>
      <w:proofErr w:type="gramEnd"/>
      <w:r w:rsidRPr="00C4416D">
        <w:t xml:space="preserve"> offered him three other potential positions—as an Emergency Management</w:t>
      </w:r>
      <w:r>
        <w:t xml:space="preserve"> </w:t>
      </w:r>
      <w:proofErr w:type="gramStart"/>
      <w:r w:rsidRPr="00C4416D">
        <w:t>Coordinator, as</w:t>
      </w:r>
      <w:proofErr w:type="gramEnd"/>
      <w:r w:rsidRPr="00C4416D">
        <w:t xml:space="preserve"> an LTE Grants Coordinator, and as a Fire Prevention Program</w:t>
      </w:r>
      <w:r>
        <w:t xml:space="preserve"> </w:t>
      </w:r>
      <w:r w:rsidRPr="00C4416D">
        <w:t>Analyst. None of these jobs required contact with patients, and the Fire Prevention</w:t>
      </w:r>
      <w:r>
        <w:t xml:space="preserve"> </w:t>
      </w:r>
      <w:r w:rsidRPr="00C4416D">
        <w:t>position allowed Jobes to remain within the City’s Fire Department. Jobes refused</w:t>
      </w:r>
      <w:r>
        <w:t xml:space="preserve"> </w:t>
      </w:r>
      <w:r w:rsidRPr="00C4416D">
        <w:t xml:space="preserve">these accommodations. The </w:t>
      </w:r>
      <w:proofErr w:type="gramStart"/>
      <w:r w:rsidRPr="00C4416D">
        <w:t>City</w:t>
      </w:r>
      <w:proofErr w:type="gramEnd"/>
      <w:r w:rsidRPr="00C4416D">
        <w:t xml:space="preserve"> contacted Jobes subsequently and offered him a</w:t>
      </w:r>
      <w:r>
        <w:t xml:space="preserve"> </w:t>
      </w:r>
      <w:r w:rsidRPr="00C4416D">
        <w:t>Fire Prevention Officer position within the Fire Department. Jobes declined this</w:t>
      </w:r>
      <w:r>
        <w:t xml:space="preserve"> accommodation as well. </w:t>
      </w:r>
    </w:p>
    <w:p w14:paraId="12AB519B" w14:textId="77777777" w:rsidR="0087684E" w:rsidRDefault="0087684E" w:rsidP="0087684E">
      <w:pPr>
        <w:pStyle w:val="NoSpacing"/>
        <w:ind w:left="720"/>
      </w:pPr>
    </w:p>
    <w:p w14:paraId="5166595C" w14:textId="77777777" w:rsidR="0087684E" w:rsidRDefault="0087684E" w:rsidP="0087684E">
      <w:pPr>
        <w:pStyle w:val="NoSpacing"/>
        <w:ind w:left="720"/>
      </w:pPr>
      <w:r>
        <w:t xml:space="preserve">And after Jobes voluntarily resigned and the vaccine mandate was lifted, the </w:t>
      </w:r>
      <w:proofErr w:type="gramStart"/>
      <w:r>
        <w:t>City</w:t>
      </w:r>
      <w:proofErr w:type="gramEnd"/>
      <w:r>
        <w:t xml:space="preserve"> later contacted Jobes through one of its Fire Chiefs and advised him there was a pathway for him to return to his old job as a Firefighter/EMT. Jobes declined this final offer as well.</w:t>
      </w:r>
    </w:p>
    <w:p w14:paraId="5E7F0526" w14:textId="77777777" w:rsidR="0087684E" w:rsidRDefault="0087684E" w:rsidP="0087684E">
      <w:pPr>
        <w:pStyle w:val="NoSpacing"/>
        <w:ind w:left="720"/>
      </w:pPr>
    </w:p>
    <w:p w14:paraId="49F55DC4" w14:textId="77777777" w:rsidR="0087684E" w:rsidRDefault="0087684E" w:rsidP="0087684E">
      <w:pPr>
        <w:pStyle w:val="NoSpacing"/>
        <w:ind w:left="720"/>
      </w:pPr>
      <w:r>
        <w:t>***</w:t>
      </w:r>
    </w:p>
    <w:p w14:paraId="651B15AC" w14:textId="77777777" w:rsidR="0087684E" w:rsidRDefault="0087684E" w:rsidP="0087684E">
      <w:pPr>
        <w:pStyle w:val="NoSpacing"/>
        <w:ind w:left="720"/>
      </w:pPr>
      <w:r>
        <w:t xml:space="preserve">The record shows that the </w:t>
      </w:r>
      <w:proofErr w:type="gramStart"/>
      <w:r>
        <w:t>City</w:t>
      </w:r>
      <w:proofErr w:type="gramEnd"/>
      <w:r>
        <w:t xml:space="preserve"> repeatedly offered reasonable </w:t>
      </w:r>
      <w:proofErr w:type="gramStart"/>
      <w:r>
        <w:t>accommodations</w:t>
      </w:r>
      <w:proofErr w:type="gramEnd"/>
      <w:r>
        <w:t xml:space="preserve"> to Jobes which he repeatedly declined. As such, the </w:t>
      </w:r>
      <w:proofErr w:type="gramStart"/>
      <w:r>
        <w:t>City</w:t>
      </w:r>
      <w:proofErr w:type="gramEnd"/>
      <w:r>
        <w:t xml:space="preserve"> carried its burden on the affirmative defense, and the district court did not err in granting summary judgment…. Moreover …  the </w:t>
      </w:r>
      <w:proofErr w:type="gramStart"/>
      <w:r>
        <w:t>City</w:t>
      </w:r>
      <w:proofErr w:type="gramEnd"/>
      <w:r>
        <w:t xml:space="preserve"> also would have prevailed on its affirmative defense of undue hardship as the district court </w:t>
      </w:r>
      <w:proofErr w:type="gramStart"/>
      <w:r>
        <w:t>concluded.”</w:t>
      </w:r>
      <w:proofErr w:type="gramEnd"/>
    </w:p>
    <w:p w14:paraId="5B1B4FC9" w14:textId="77777777" w:rsidR="0087684E" w:rsidRDefault="0087684E" w:rsidP="0087684E">
      <w:pPr>
        <w:pStyle w:val="NoSpacing"/>
        <w:ind w:left="720"/>
      </w:pPr>
    </w:p>
    <w:p w14:paraId="41D0A5DD" w14:textId="77777777" w:rsidR="0087684E" w:rsidRPr="00F26DBD" w:rsidRDefault="0087684E" w:rsidP="0087684E">
      <w:pPr>
        <w:rPr>
          <w:b/>
          <w:bCs/>
        </w:rPr>
      </w:pPr>
      <w:r>
        <w:rPr>
          <w:b/>
        </w:rPr>
        <w:t xml:space="preserve">Legal lesson learned: The City was very generous in offering numerous positions that avoided patient contact. </w:t>
      </w:r>
    </w:p>
    <w:p w14:paraId="7C77F2F0" w14:textId="77777777" w:rsidR="0087684E" w:rsidRDefault="0087684E" w:rsidP="0087684E">
      <w:pPr>
        <w:pStyle w:val="NoSpacing"/>
        <w:ind w:left="720"/>
      </w:pPr>
    </w:p>
    <w:p w14:paraId="20AFD15B" w14:textId="77777777" w:rsidR="0087684E" w:rsidRDefault="0087684E" w:rsidP="0087684E">
      <w:pPr>
        <w:rPr>
          <w:bCs/>
        </w:rPr>
      </w:pPr>
    </w:p>
    <w:p w14:paraId="13FF66C1" w14:textId="77777777" w:rsidR="0087684E" w:rsidRDefault="0087684E" w:rsidP="0087684E">
      <w:pPr>
        <w:rPr>
          <w:bCs/>
        </w:rPr>
      </w:pPr>
    </w:p>
    <w:p w14:paraId="039A210E" w14:textId="2BD35D4D" w:rsidR="0087684E" w:rsidRPr="00DA5EE8" w:rsidRDefault="00DA5EE8" w:rsidP="0087684E">
      <w:pPr>
        <w:pStyle w:val="NoSpacing"/>
        <w:rPr>
          <w:rFonts w:ascii="Arial Black" w:hAnsi="Arial Black"/>
          <w:sz w:val="24"/>
          <w:szCs w:val="24"/>
        </w:rPr>
      </w:pPr>
      <w:r w:rsidRPr="00DA5EE8">
        <w:rPr>
          <w:rFonts w:ascii="Arial Black" w:hAnsi="Arial Black"/>
          <w:sz w:val="24"/>
          <w:szCs w:val="24"/>
        </w:rPr>
        <w:t>13-258</w:t>
      </w:r>
    </w:p>
    <w:p w14:paraId="69D293AC" w14:textId="77777777" w:rsidR="00DA5EE8" w:rsidRDefault="00DA5EE8" w:rsidP="0087684E">
      <w:pPr>
        <w:pStyle w:val="NoSpacing"/>
      </w:pPr>
    </w:p>
    <w:p w14:paraId="4AF2D493" w14:textId="77777777" w:rsidR="0087684E" w:rsidRPr="003D0299" w:rsidRDefault="0087684E" w:rsidP="0087684E">
      <w:pPr>
        <w:pStyle w:val="NoSpacing"/>
        <w:rPr>
          <w:rFonts w:ascii="Arial Black" w:hAnsi="Arial Black"/>
          <w:sz w:val="28"/>
          <w:szCs w:val="28"/>
        </w:rPr>
      </w:pPr>
      <w:r>
        <w:rPr>
          <w:rFonts w:ascii="Arial Black" w:hAnsi="Arial Black"/>
          <w:sz w:val="28"/>
          <w:szCs w:val="28"/>
        </w:rPr>
        <w:t>ID: IMMUNITY LAW / OVERDOSE – DRUNK CAR NOT IMMUNE</w:t>
      </w:r>
    </w:p>
    <w:p w14:paraId="60D1F7F9" w14:textId="77777777" w:rsidR="0087684E" w:rsidRDefault="0087684E" w:rsidP="0087684E">
      <w:pPr>
        <w:pStyle w:val="NoSpacing"/>
      </w:pPr>
    </w:p>
    <w:p w14:paraId="7222ECDC" w14:textId="77777777" w:rsidR="0087684E" w:rsidRDefault="0087684E" w:rsidP="0087684E">
      <w:pPr>
        <w:rPr>
          <w:b/>
        </w:rPr>
      </w:pPr>
      <w:r>
        <w:t xml:space="preserve">On May 7, 2026, in </w:t>
      </w:r>
      <w:r w:rsidRPr="00150AE4">
        <w:rPr>
          <w:u w:val="single"/>
        </w:rPr>
        <w:t>State of Idaho v. Gannon Manuelito</w:t>
      </w:r>
      <w:r>
        <w:t xml:space="preserve">, the </w:t>
      </w:r>
      <w:r w:rsidRPr="00150AE4">
        <w:t>Supreme Court of Idaho</w:t>
      </w:r>
      <w:r>
        <w:t xml:space="preserve"> held (5 to 0) that trial court improperly dismissed drug charges against the defendant; he was drunk and not suffering a </w:t>
      </w:r>
      <w:r w:rsidRPr="008B0F56">
        <w:t>drug-related medical emergency</w:t>
      </w:r>
      <w:r>
        <w:t xml:space="preserve">.    </w:t>
      </w:r>
      <w:r w:rsidRPr="000B2D28">
        <w:t>On May 7, 2023, a Flying-J truck stop manager was informed by a customer that a person,</w:t>
      </w:r>
      <w:r>
        <w:t xml:space="preserve"> </w:t>
      </w:r>
      <w:r w:rsidRPr="000B2D28">
        <w:t>later identified as Manuelito, “may be . . . in distress in [the] parking lot.”</w:t>
      </w:r>
      <w:r>
        <w:t xml:space="preserve"> He thought the driver had overdosed and called 911, but police woke him </w:t>
      </w:r>
      <w:proofErr w:type="gramStart"/>
      <w:r>
        <w:t>up</w:t>
      </w:r>
      <w:proofErr w:type="gramEnd"/>
      <w:r>
        <w:t xml:space="preserve"> found he was intoxicated and EMS provided no treatment. THE COURT WROTE: “The only evidence offered to support that characterization is the manager’s observation that Manuelito might be overdosing or might have passed out from alcohol consumption or other drugs. Subsection (2) does not turn on a third party’s subjective belief—it turns on the defendant’s actual condition…. Further, no evidence in the record indicates that Manuelito required or even received medical intervention for a drug-related emergency. Officer Jaramillo testified that Manuelito was able to speak and repeatedly told him he was okay. Manuelito was not placed in an ambulance, was not transported to a hospital, and there is no evidence that any medical treatment was administered. The patient care record that was admitted into evidence confirms that Manuelito did not receive assistance beyond waking him up.” </w:t>
      </w:r>
      <w:hyperlink r:id="rId2078" w:history="1">
        <w:r w:rsidRPr="00A32209">
          <w:rPr>
            <w:rStyle w:val="Hyperlink"/>
          </w:rPr>
          <w:t>https://cases.justia.com/idaho/supreme-court-criminal/2026-51595.pdf?ts=1778169780</w:t>
        </w:r>
      </w:hyperlink>
      <w:r>
        <w:rPr>
          <w:b/>
        </w:rPr>
        <w:t xml:space="preserve"> </w:t>
      </w:r>
    </w:p>
    <w:p w14:paraId="40E5B938" w14:textId="77777777" w:rsidR="0087684E" w:rsidRDefault="0087684E" w:rsidP="0087684E">
      <w:pPr>
        <w:pStyle w:val="NoSpacing"/>
      </w:pPr>
      <w:r>
        <w:t xml:space="preserve">THE COURT HELD:  </w:t>
      </w:r>
    </w:p>
    <w:p w14:paraId="47FF7894" w14:textId="77777777" w:rsidR="0087684E" w:rsidRDefault="0087684E" w:rsidP="0087684E">
      <w:pPr>
        <w:pStyle w:val="NoSpacing"/>
      </w:pPr>
    </w:p>
    <w:p w14:paraId="2EC19A70" w14:textId="77777777" w:rsidR="0087684E" w:rsidRDefault="0087684E" w:rsidP="0087684E">
      <w:pPr>
        <w:pStyle w:val="NoSpacing"/>
        <w:ind w:left="720"/>
        <w:rPr>
          <w:bCs/>
        </w:rPr>
      </w:pPr>
      <w:r>
        <w:t>“</w:t>
      </w:r>
      <w:r w:rsidRPr="008E758B">
        <w:t>Officer Jaramillo conducted a DUI investigation. Manuelito provided two breath samples,</w:t>
      </w:r>
      <w:r>
        <w:t xml:space="preserve"> </w:t>
      </w:r>
      <w:r w:rsidRPr="008E758B">
        <w:t>which showed that his blood alcohol content (BAC) was nearly twice the legal limit. Officer</w:t>
      </w:r>
      <w:r>
        <w:t xml:space="preserve"> </w:t>
      </w:r>
      <w:r w:rsidRPr="008E758B">
        <w:t>Jaramillo also searched Manuelito’s vehicle and discovered drug paraphernalia, including a</w:t>
      </w:r>
      <w:r>
        <w:t xml:space="preserve"> </w:t>
      </w:r>
      <w:r w:rsidRPr="008E758B">
        <w:t>grinder with marijuana residue, a smoking bowl with burnt marijuana residue, and an empty THC</w:t>
      </w:r>
      <w:r>
        <w:t xml:space="preserve"> </w:t>
      </w:r>
      <w:r w:rsidRPr="008E758B">
        <w:t>cartridge. In the back seat, the officer found a cooler containing a bag of marijuana weighing</w:t>
      </w:r>
      <w:r>
        <w:t xml:space="preserve"> </w:t>
      </w:r>
      <w:r w:rsidRPr="008E758B">
        <w:t>approximately 12.29 ounces. Inside the cooler was a backpack with more marijuana and a bag that</w:t>
      </w:r>
      <w:r>
        <w:t xml:space="preserve"> </w:t>
      </w:r>
      <w:r w:rsidRPr="008E758B">
        <w:t>contained the hallucinogen dimethyltryptamine (DMT). The officer also discovered a THC vape</w:t>
      </w:r>
      <w:r>
        <w:t xml:space="preserve"> </w:t>
      </w:r>
      <w:r w:rsidRPr="008E758B">
        <w:t>pen in Manuelito’s pocket.</w:t>
      </w:r>
    </w:p>
    <w:p w14:paraId="544E77E7" w14:textId="77777777" w:rsidR="0087684E" w:rsidRDefault="0087684E" w:rsidP="0087684E">
      <w:pPr>
        <w:pStyle w:val="NoSpacing"/>
        <w:ind w:left="720"/>
        <w:rPr>
          <w:bCs/>
        </w:rPr>
      </w:pPr>
    </w:p>
    <w:p w14:paraId="615AC21E" w14:textId="77777777" w:rsidR="0087684E" w:rsidRDefault="0087684E" w:rsidP="0087684E">
      <w:pPr>
        <w:pStyle w:val="NoSpacing"/>
        <w:ind w:left="720"/>
        <w:rPr>
          <w:bCs/>
        </w:rPr>
      </w:pPr>
      <w:r>
        <w:t>***</w:t>
      </w:r>
    </w:p>
    <w:p w14:paraId="71D5D3A2" w14:textId="77777777" w:rsidR="0087684E" w:rsidRPr="00C227B7" w:rsidRDefault="0087684E" w:rsidP="0087684E">
      <w:pPr>
        <w:pStyle w:val="NoSpacing"/>
        <w:ind w:firstLine="720"/>
      </w:pPr>
      <w:r w:rsidRPr="00C227B7">
        <w:t>Following Manuelito’s motion to dismiss, the district court determined that Idaho’s</w:t>
      </w:r>
    </w:p>
    <w:p w14:paraId="3324ECC8" w14:textId="77777777" w:rsidR="0087684E" w:rsidRDefault="0087684E" w:rsidP="0087684E">
      <w:pPr>
        <w:pStyle w:val="NoSpacing"/>
        <w:ind w:left="720"/>
      </w:pPr>
      <w:r w:rsidRPr="00C227B7">
        <w:t>overdose immunity statute, Idaho Code section 37-2739C, applied to Manuelito, thereby granting</w:t>
      </w:r>
      <w:r>
        <w:t xml:space="preserve"> </w:t>
      </w:r>
      <w:r w:rsidRPr="00C227B7">
        <w:t xml:space="preserve">him immunity from prosecution for </w:t>
      </w:r>
      <w:proofErr w:type="gramStart"/>
      <w:r w:rsidRPr="00C227B7">
        <w:t>the possession</w:t>
      </w:r>
      <w:proofErr w:type="gramEnd"/>
      <w:r w:rsidRPr="00C227B7">
        <w:t xml:space="preserve"> offenses. We reverse the district court’s order</w:t>
      </w:r>
      <w:r>
        <w:t xml:space="preserve"> </w:t>
      </w:r>
      <w:r w:rsidRPr="00C227B7">
        <w:t>because the record contains no showing that Manuelito either experienced a drug-related medical</w:t>
      </w:r>
      <w:r>
        <w:t xml:space="preserve"> </w:t>
      </w:r>
      <w:r w:rsidRPr="00C227B7">
        <w:t xml:space="preserve">emergency or </w:t>
      </w:r>
      <w:proofErr w:type="gramStart"/>
      <w:r w:rsidRPr="00C227B7">
        <w:t>was in need of</w:t>
      </w:r>
      <w:proofErr w:type="gramEnd"/>
      <w:r w:rsidRPr="00C227B7">
        <w:t xml:space="preserve"> medical assistance.</w:t>
      </w:r>
    </w:p>
    <w:p w14:paraId="2A9C831C" w14:textId="77777777" w:rsidR="0087684E" w:rsidRDefault="0087684E" w:rsidP="0087684E">
      <w:pPr>
        <w:pStyle w:val="NoSpacing"/>
        <w:ind w:left="720"/>
      </w:pPr>
    </w:p>
    <w:p w14:paraId="515E8377" w14:textId="77777777" w:rsidR="0087684E" w:rsidRDefault="0087684E" w:rsidP="0087684E">
      <w:pPr>
        <w:pStyle w:val="NoSpacing"/>
        <w:ind w:left="720"/>
      </w:pPr>
      <w:r>
        <w:t>***</w:t>
      </w:r>
    </w:p>
    <w:p w14:paraId="31E65236" w14:textId="77777777" w:rsidR="0087684E" w:rsidRDefault="0087684E" w:rsidP="0087684E">
      <w:pPr>
        <w:pStyle w:val="NoSpacing"/>
      </w:pPr>
    </w:p>
    <w:p w14:paraId="6BEC9D42" w14:textId="77777777" w:rsidR="0087684E" w:rsidRDefault="0087684E" w:rsidP="0087684E">
      <w:pPr>
        <w:pStyle w:val="NoSpacing"/>
        <w:ind w:firstLine="720"/>
      </w:pPr>
      <w:r>
        <w:t>Based on legislative intent and policy considerations, the court adopted a broad</w:t>
      </w:r>
    </w:p>
    <w:p w14:paraId="6F59DD4B" w14:textId="77777777" w:rsidR="0087684E" w:rsidRDefault="0087684E" w:rsidP="0087684E">
      <w:pPr>
        <w:pStyle w:val="NoSpacing"/>
        <w:ind w:left="720"/>
      </w:pPr>
      <w:r>
        <w:t>interpretation of the statute, concluding that a ‘drug-related medical emergency’ encompasses situations where a person in good faith believes another is experiencing a drug- or alcohol-related medical issue requiring assistance. The court reasoned that this interpretation aligns with the legislature’s intent to encourage a request for emergency assistance without fear of prosecution. For those reasons, the court granted Manuelito’s motion to dismiss the three possession charges relating to controlled substances (marijuana and DMT) and paraphernalia.</w:t>
      </w:r>
    </w:p>
    <w:p w14:paraId="658B6ADF" w14:textId="77777777" w:rsidR="0087684E" w:rsidRDefault="0087684E" w:rsidP="0087684E">
      <w:pPr>
        <w:pStyle w:val="NoSpacing"/>
        <w:ind w:left="720"/>
      </w:pPr>
    </w:p>
    <w:p w14:paraId="308FEB1E" w14:textId="77777777" w:rsidR="0087684E" w:rsidRDefault="0087684E" w:rsidP="0087684E">
      <w:pPr>
        <w:pStyle w:val="NoSpacing"/>
        <w:ind w:left="720"/>
      </w:pPr>
      <w:r>
        <w:t>***</w:t>
      </w:r>
    </w:p>
    <w:p w14:paraId="1C3BAC47" w14:textId="77777777" w:rsidR="0087684E" w:rsidRDefault="0087684E" w:rsidP="0087684E">
      <w:pPr>
        <w:pStyle w:val="NoSpacing"/>
        <w:ind w:left="720"/>
      </w:pPr>
      <w:r>
        <w:t xml:space="preserve">Manuelito did not establish he was suffering a drug-related medical emergency at the time police obtained </w:t>
      </w:r>
      <w:proofErr w:type="gramStart"/>
      <w:r>
        <w:t>the evidence</w:t>
      </w:r>
      <w:proofErr w:type="gramEnd"/>
      <w:r>
        <w:t xml:space="preserve"> supporting his drug-related charges for immunity to apply under Idaho Code section 37-2739C(2). Therefore, the statute does not provide </w:t>
      </w:r>
      <w:proofErr w:type="gramStart"/>
      <w:r>
        <w:t>him</w:t>
      </w:r>
      <w:proofErr w:type="gramEnd"/>
      <w:r>
        <w:t xml:space="preserve"> immunity from prosecution on counts one through three. The district court erred in concluding otherwise.”</w:t>
      </w:r>
    </w:p>
    <w:p w14:paraId="384CD31F" w14:textId="77777777" w:rsidR="0087684E" w:rsidRDefault="0087684E" w:rsidP="0087684E">
      <w:pPr>
        <w:pStyle w:val="NoSpacing"/>
      </w:pPr>
    </w:p>
    <w:p w14:paraId="764C0FFE" w14:textId="77777777" w:rsidR="0087684E" w:rsidRPr="006841DB" w:rsidRDefault="0087684E" w:rsidP="0087684E">
      <w:pPr>
        <w:rPr>
          <w:b/>
        </w:rPr>
      </w:pPr>
      <w:r>
        <w:rPr>
          <w:b/>
        </w:rPr>
        <w:t xml:space="preserve">Legal lesson learned: Drug immunity statutes are designed to encourage third parties to call 911; Idaho’s statute only applies if the person is suffering a drug-related emergency.  </w:t>
      </w:r>
    </w:p>
    <w:p w14:paraId="5F0E8B44" w14:textId="77777777" w:rsidR="0087684E" w:rsidRDefault="0087684E" w:rsidP="0087684E">
      <w:pPr>
        <w:ind w:left="720"/>
      </w:pPr>
      <w:r>
        <w:t xml:space="preserve">Note: Idaho immunity law: </w:t>
      </w:r>
      <w:hyperlink r:id="rId2079" w:history="1">
        <w:r w:rsidRPr="00C109A8">
          <w:rPr>
            <w:rStyle w:val="Hyperlink"/>
          </w:rPr>
          <w:t>https://law.justia.com/codes/idaho/title-37/chapter-27/article-iv/section-37-2739c/</w:t>
        </w:r>
      </w:hyperlink>
      <w:r>
        <w:t xml:space="preserve"> </w:t>
      </w:r>
    </w:p>
    <w:p w14:paraId="4C01A39E" w14:textId="77777777" w:rsidR="0087684E" w:rsidRDefault="0087684E" w:rsidP="0087684E">
      <w:pPr>
        <w:ind w:left="720"/>
      </w:pPr>
      <w:r w:rsidRPr="008B0F56">
        <w:t>37-2739C. MEDICAL ASSISTANCE — DRUG-RELATED OVERDOSE — PROSECUTION FOR POSSESSION.</w:t>
      </w:r>
    </w:p>
    <w:p w14:paraId="75EEBE29" w14:textId="77777777" w:rsidR="0087684E" w:rsidRPr="008B0F56" w:rsidRDefault="0087684E" w:rsidP="0087684E">
      <w:pPr>
        <w:ind w:left="720"/>
      </w:pPr>
      <w:r w:rsidRPr="008B0F56">
        <w:t>(1) A person acting in good faith who seeks medical assistance for any person experiencing a drug-related medical emergency shall not be charged or prosecuted for possession of a controlled substance pursuant to section 37-2732(c) or (e), Idaho Code, for using or being under the influence of a controlled substance pursuant to section 37-2732C(a), Idaho Code, or for using or possessing with intent to use drug paraphernalia pursuant to section 37-2734A(1), Idaho Code, if the evidence for the charge of possession of or using or being under the influence of a controlled substance or using or possessing drug paraphernalia was obtained as a result of the person seeking medical assistance.</w:t>
      </w:r>
    </w:p>
    <w:p w14:paraId="63021BF6" w14:textId="77777777" w:rsidR="0087684E" w:rsidRPr="008B0F56" w:rsidRDefault="0087684E" w:rsidP="0087684E">
      <w:pPr>
        <w:ind w:left="720"/>
      </w:pPr>
      <w:r w:rsidRPr="008B0F56">
        <w:t>(2) A person who experiences a drug-related medical emergency and is in need of medical assistance shall not be charged or prosecuted for possession of a controlled substance pursuant to section 37-2732(c) or (e), Idaho Code, for using or being under the influence of a controlled substance pursuant to section 37-2732C(a), Idaho Code, or for using or possessing with intent to use drug paraphernalia pursuant to section 37-2734A(1), Idaho Code, if the evidence for the charge of possession of or using or being under the influence of a controlled substance or using or possessing drug paraphernalia was obtained as a result of the medical emergency and the need for medical assistance.</w:t>
      </w:r>
    </w:p>
    <w:p w14:paraId="62F789F3" w14:textId="77777777" w:rsidR="0087684E" w:rsidRPr="008B0F56" w:rsidRDefault="0087684E" w:rsidP="0087684E">
      <w:pPr>
        <w:ind w:left="720"/>
      </w:pPr>
      <w:r w:rsidRPr="008B0F56">
        <w:t>(3) The protections in this section from prosecution shall not be grounds for suppression of evidence in other criminal charges.</w:t>
      </w:r>
    </w:p>
    <w:p w14:paraId="4D742A75" w14:textId="77777777" w:rsidR="0087684E" w:rsidRDefault="0087684E" w:rsidP="0087684E">
      <w:pPr>
        <w:pStyle w:val="NoSpacing"/>
        <w:rPr>
          <w:bCs/>
        </w:rPr>
      </w:pPr>
    </w:p>
    <w:p w14:paraId="168EB01A" w14:textId="77777777" w:rsidR="0087684E" w:rsidRDefault="0087684E" w:rsidP="0087684E">
      <w:pPr>
        <w:pStyle w:val="NoSpacing"/>
      </w:pPr>
    </w:p>
    <w:p w14:paraId="7B068B9D" w14:textId="77777777" w:rsidR="0087684E" w:rsidRDefault="0087684E" w:rsidP="0087684E">
      <w:pPr>
        <w:pStyle w:val="NoSpacing"/>
      </w:pPr>
    </w:p>
    <w:p w14:paraId="452712C0" w14:textId="77777777" w:rsidR="0087684E" w:rsidRDefault="0087684E" w:rsidP="0087684E">
      <w:pPr>
        <w:rPr>
          <w:bCs/>
        </w:rPr>
      </w:pPr>
    </w:p>
    <w:p w14:paraId="07072E63" w14:textId="77777777" w:rsidR="0087684E" w:rsidRDefault="0087684E" w:rsidP="0087684E">
      <w:pPr>
        <w:rPr>
          <w:bCs/>
        </w:rPr>
      </w:pPr>
    </w:p>
    <w:p w14:paraId="2E63B2AA" w14:textId="77777777" w:rsidR="0036420D" w:rsidRDefault="0036420D" w:rsidP="0091755D">
      <w:pPr>
        <w:rPr>
          <w:rFonts w:ascii="Arial Black" w:hAnsi="Arial Black"/>
          <w:b/>
          <w:bCs/>
          <w:sz w:val="24"/>
          <w:szCs w:val="24"/>
        </w:rPr>
      </w:pPr>
    </w:p>
    <w:p w14:paraId="799D5015" w14:textId="77777777" w:rsidR="0036420D" w:rsidRDefault="0036420D" w:rsidP="0091755D">
      <w:pPr>
        <w:rPr>
          <w:rFonts w:ascii="Arial Black" w:hAnsi="Arial Black"/>
          <w:b/>
          <w:bCs/>
          <w:sz w:val="24"/>
          <w:szCs w:val="24"/>
        </w:rPr>
      </w:pPr>
    </w:p>
    <w:p w14:paraId="26893937" w14:textId="77777777" w:rsidR="0036420D" w:rsidRDefault="0036420D" w:rsidP="0091755D">
      <w:pPr>
        <w:rPr>
          <w:rFonts w:ascii="Arial Black" w:hAnsi="Arial Black"/>
          <w:b/>
          <w:bCs/>
          <w:sz w:val="24"/>
          <w:szCs w:val="24"/>
        </w:rPr>
      </w:pPr>
    </w:p>
    <w:p w14:paraId="660DFBA3" w14:textId="33BE0CF3" w:rsidR="0091755D" w:rsidRDefault="0091755D" w:rsidP="0091755D">
      <w:pPr>
        <w:rPr>
          <w:rFonts w:ascii="Arial Black" w:hAnsi="Arial Black"/>
          <w:b/>
          <w:bCs/>
          <w:sz w:val="24"/>
          <w:szCs w:val="24"/>
        </w:rPr>
      </w:pPr>
      <w:r>
        <w:rPr>
          <w:rFonts w:ascii="Arial Black" w:hAnsi="Arial Black"/>
          <w:b/>
          <w:bCs/>
          <w:sz w:val="24"/>
          <w:szCs w:val="24"/>
        </w:rPr>
        <w:t>13-25</w:t>
      </w:r>
      <w:r w:rsidR="00DA5EE8">
        <w:rPr>
          <w:rFonts w:ascii="Arial Black" w:hAnsi="Arial Black"/>
          <w:b/>
          <w:bCs/>
          <w:sz w:val="24"/>
          <w:szCs w:val="24"/>
        </w:rPr>
        <w:t>7</w:t>
      </w:r>
    </w:p>
    <w:p w14:paraId="65B951EF" w14:textId="77777777" w:rsidR="007F7423" w:rsidRDefault="007F7423" w:rsidP="007F7423">
      <w:pPr>
        <w:pStyle w:val="NoSpacing"/>
        <w:rPr>
          <w:rFonts w:ascii="Arial Black" w:hAnsi="Arial Black"/>
          <w:bCs/>
          <w:sz w:val="28"/>
          <w:szCs w:val="28"/>
        </w:rPr>
      </w:pPr>
      <w:r>
        <w:rPr>
          <w:rFonts w:ascii="Arial Black" w:hAnsi="Arial Black"/>
          <w:sz w:val="28"/>
          <w:szCs w:val="28"/>
        </w:rPr>
        <w:t>NY: EMT DISCIPLINE - STATE DPT HEALTH - NO JURY TRIAL</w:t>
      </w:r>
    </w:p>
    <w:p w14:paraId="118919D7" w14:textId="77777777" w:rsidR="007F7423" w:rsidRDefault="007F7423" w:rsidP="007F7423">
      <w:pPr>
        <w:pStyle w:val="NoSpacing"/>
        <w:rPr>
          <w:bCs/>
        </w:rPr>
      </w:pPr>
    </w:p>
    <w:p w14:paraId="53B102AE" w14:textId="77777777" w:rsidR="007F7423" w:rsidRPr="00BE66C3" w:rsidRDefault="007F7423" w:rsidP="007F7423">
      <w:pPr>
        <w:pStyle w:val="NoSpacing"/>
        <w:rPr>
          <w:b/>
        </w:rPr>
      </w:pPr>
      <w:r>
        <w:t xml:space="preserve">On April 23, 2026, in </w:t>
      </w:r>
      <w:r w:rsidRPr="00D17474">
        <w:rPr>
          <w:u w:val="single"/>
        </w:rPr>
        <w:t>Justin Ball v. New York State Department of Health</w:t>
      </w:r>
      <w:r w:rsidRPr="00D17474">
        <w:t xml:space="preserve">, </w:t>
      </w:r>
      <w:r>
        <w:t xml:space="preserve">the </w:t>
      </w:r>
      <w:r w:rsidRPr="00D17474">
        <w:t>Supreme Court of New York, Third Department</w:t>
      </w:r>
      <w:r>
        <w:t xml:space="preserve"> held (5 to 0) that a Supreme Court Judge for </w:t>
      </w:r>
      <w:r w:rsidRPr="00537671">
        <w:t>Schoharie County</w:t>
      </w:r>
      <w:r>
        <w:t xml:space="preserve"> improperly held the EMT was entitled </w:t>
      </w:r>
      <w:r w:rsidRPr="00537671">
        <w:t>to a civil jury trial in a pending administrative license revocation proceeding.</w:t>
      </w:r>
      <w:r>
        <w:t xml:space="preserve">  He is under investigation for a complaint that on a </w:t>
      </w:r>
      <w:r w:rsidRPr="00BB5F73">
        <w:t xml:space="preserve">call </w:t>
      </w:r>
      <w:r>
        <w:t xml:space="preserve">to help a </w:t>
      </w:r>
      <w:r w:rsidRPr="00BB5F73">
        <w:t>63-year-old man who was allegedly unable to get up after having fallen down</w:t>
      </w:r>
      <w:r>
        <w:t>, the EMT “</w:t>
      </w:r>
      <w:r w:rsidRPr="00BB5F73">
        <w:t>believed that the patient was faking his condition and, rather than providing any meaningful assistance to the patient, plaintiff ridiculed him and offered minimal, rough aid.</w:t>
      </w:r>
      <w:r>
        <w:t xml:space="preserve">” </w:t>
      </w:r>
      <w:hyperlink r:id="rId2080" w:history="1">
        <w:r w:rsidRPr="003A1948">
          <w:rPr>
            <w:rStyle w:val="Hyperlink"/>
          </w:rPr>
          <w:t>https://www.nycourts.gov/reporter/current/3dseries/2026/2026_02494.shtml</w:t>
        </w:r>
      </w:hyperlink>
      <w:r>
        <w:t xml:space="preserve"> </w:t>
      </w:r>
    </w:p>
    <w:p w14:paraId="48C0A22E" w14:textId="77777777" w:rsidR="007F7423" w:rsidRDefault="007F7423" w:rsidP="007F7423">
      <w:pPr>
        <w:pStyle w:val="NoSpacing"/>
      </w:pPr>
      <w:r>
        <w:t xml:space="preserve"> </w:t>
      </w:r>
    </w:p>
    <w:p w14:paraId="211A97CE" w14:textId="77777777" w:rsidR="007F7423" w:rsidRDefault="007F7423" w:rsidP="007F7423">
      <w:pPr>
        <w:pStyle w:val="NoSpacing"/>
      </w:pPr>
    </w:p>
    <w:p w14:paraId="143E6C31" w14:textId="77777777" w:rsidR="007F7423" w:rsidRDefault="007F7423" w:rsidP="007F7423">
      <w:pPr>
        <w:pStyle w:val="NoSpacing"/>
      </w:pPr>
      <w:r>
        <w:t>THE COURT HELD:</w:t>
      </w:r>
    </w:p>
    <w:p w14:paraId="39C949AD" w14:textId="77777777" w:rsidR="007F7423" w:rsidRDefault="007F7423" w:rsidP="007F7423">
      <w:pPr>
        <w:pStyle w:val="NoSpacing"/>
      </w:pPr>
    </w:p>
    <w:p w14:paraId="7A1C3C53" w14:textId="77777777" w:rsidR="007F7423" w:rsidRDefault="007F7423" w:rsidP="007F7423">
      <w:pPr>
        <w:pStyle w:val="NoSpacing"/>
        <w:ind w:left="720"/>
      </w:pPr>
      <w:r>
        <w:t>“</w:t>
      </w:r>
      <w:r w:rsidRPr="00152C4C">
        <w:t>Defendant argues that Supreme Court improperly disregarded binding precedent from the Supreme Court of the United States that the Seventh Amendment does not apply to the states. We agree. The Seventh Amendment to the US Constitution preserves the right of trial by jury in suits at common law where the value of the controversy exceeds $20 (</w:t>
      </w:r>
      <w:r w:rsidRPr="00152C4C">
        <w:rPr>
          <w:i/>
          <w:iCs/>
        </w:rPr>
        <w:t>see</w:t>
      </w:r>
      <w:r w:rsidRPr="00152C4C">
        <w:t xml:space="preserve"> US Const, 7th Amend). Longstanding precedent from the Supreme Court of the United States holds that the Seventh Amendment "applies only to proceedings in courts of the United States, and does not in any manner whatever govern or regulate trials by jury in state courts, or the standards which must be applied concerning the same"(</w:t>
      </w:r>
      <w:r w:rsidRPr="00152C4C">
        <w:rPr>
          <w:i/>
          <w:iCs/>
        </w:rPr>
        <w:t xml:space="preserve">Minneapolis &amp; St. Louis R. Co. v </w:t>
      </w:r>
      <w:proofErr w:type="spellStart"/>
      <w:r w:rsidRPr="00152C4C">
        <w:rPr>
          <w:i/>
          <w:iCs/>
        </w:rPr>
        <w:t>Bombolis</w:t>
      </w:r>
      <w:proofErr w:type="spellEnd"/>
      <w:r w:rsidRPr="00152C4C">
        <w:t xml:space="preserve">, 241 US 211, 217 [1916]; </w:t>
      </w:r>
      <w:r w:rsidRPr="00152C4C">
        <w:rPr>
          <w:i/>
          <w:iCs/>
        </w:rPr>
        <w:t>see</w:t>
      </w:r>
      <w:r w:rsidRPr="00152C4C">
        <w:t xml:space="preserve"> </w:t>
      </w:r>
      <w:r w:rsidRPr="00152C4C">
        <w:rPr>
          <w:i/>
          <w:iCs/>
        </w:rPr>
        <w:t xml:space="preserve">Walker v </w:t>
      </w:r>
      <w:proofErr w:type="spellStart"/>
      <w:r w:rsidRPr="00152C4C">
        <w:rPr>
          <w:i/>
          <w:iCs/>
        </w:rPr>
        <w:t>Sauvinet</w:t>
      </w:r>
      <w:proofErr w:type="spellEnd"/>
      <w:r w:rsidRPr="00152C4C">
        <w:t>, 92 US 90, 92 [1875]).</w:t>
      </w:r>
    </w:p>
    <w:p w14:paraId="28432B1F" w14:textId="77777777" w:rsidR="007F7423" w:rsidRDefault="007F7423" w:rsidP="007F7423">
      <w:pPr>
        <w:pStyle w:val="NoSpacing"/>
      </w:pPr>
    </w:p>
    <w:p w14:paraId="33DA1E8D" w14:textId="77777777" w:rsidR="007F7423" w:rsidRDefault="007F7423" w:rsidP="007F7423">
      <w:pPr>
        <w:pStyle w:val="NoSpacing"/>
        <w:ind w:firstLine="720"/>
      </w:pPr>
      <w:r>
        <w:t>***</w:t>
      </w:r>
    </w:p>
    <w:p w14:paraId="51D2DC57" w14:textId="77777777" w:rsidR="007F7423" w:rsidRDefault="007F7423" w:rsidP="007F7423">
      <w:pPr>
        <w:pStyle w:val="NoSpacing"/>
        <w:ind w:left="720"/>
      </w:pPr>
      <w:r w:rsidRPr="005D4F0C">
        <w:t xml:space="preserve">Indeed, the right to a trial by jury provided in the NY Constitution does not extend to those proceedings concerning professional licensure </w:t>
      </w:r>
      <w:r>
        <w:t>‘</w:t>
      </w:r>
      <w:r w:rsidRPr="005D4F0C">
        <w:t>where the object is not the punishment of the offender, but to purge of an unworthy member a profession in which purity of conduct and character are all important</w:t>
      </w:r>
      <w:r>
        <w:t>’</w:t>
      </w:r>
      <w:r w:rsidRPr="005D4F0C">
        <w:t xml:space="preserve"> (</w:t>
      </w:r>
      <w:r w:rsidRPr="005D4F0C">
        <w:rPr>
          <w:i/>
          <w:iCs/>
        </w:rPr>
        <w:t>Matter of Smith</w:t>
      </w:r>
      <w:r w:rsidRPr="005D4F0C">
        <w:t>, 10 Wend at 454). The fact that plaintiff's alleged conduct may also form the basis for common-law claims sounding in tort does not alter the fact that this proceeding arises through defendant's statutory obligation to regulate EMT licenses. Accordingly, because plaintiff has failed to establish that a regulatory revocation proceeding for an EMT license is analogous to common-law cases traditionally entitled to trial by jury before 1777, plaintiff is not entitled to a jury trial under the NY Constitution (</w:t>
      </w:r>
      <w:r w:rsidRPr="005D4F0C">
        <w:rPr>
          <w:i/>
          <w:iCs/>
        </w:rPr>
        <w:t>see Matter of DES Mkt. Share Litig.</w:t>
      </w:r>
      <w:r w:rsidRPr="005D4F0C">
        <w:t xml:space="preserve">, 79 NY2d at 304-305; </w:t>
      </w:r>
      <w:r w:rsidRPr="005D4F0C">
        <w:rPr>
          <w:i/>
          <w:iCs/>
        </w:rPr>
        <w:t>Matter of State of New York v Myron P.</w:t>
      </w:r>
      <w:r w:rsidRPr="005D4F0C">
        <w:t>, 86 AD3d at 29-30).</w:t>
      </w:r>
      <w:r>
        <w:t>”</w:t>
      </w:r>
    </w:p>
    <w:p w14:paraId="215BDCA2" w14:textId="77777777" w:rsidR="007F7423" w:rsidRDefault="007F7423" w:rsidP="007F7423">
      <w:pPr>
        <w:pStyle w:val="NoSpacing"/>
      </w:pPr>
    </w:p>
    <w:p w14:paraId="5C2C0353" w14:textId="77777777" w:rsidR="007F7423" w:rsidRPr="00CE4216" w:rsidRDefault="007F7423" w:rsidP="007F7423">
      <w:pPr>
        <w:pStyle w:val="NoSpacing"/>
        <w:rPr>
          <w:b/>
          <w:bCs/>
        </w:rPr>
      </w:pPr>
      <w:r>
        <w:rPr>
          <w:b/>
        </w:rPr>
        <w:t xml:space="preserve">Legal </w:t>
      </w:r>
      <w:proofErr w:type="gramStart"/>
      <w:r>
        <w:rPr>
          <w:b/>
        </w:rPr>
        <w:t>lesson</w:t>
      </w:r>
      <w:proofErr w:type="gramEnd"/>
      <w:r>
        <w:rPr>
          <w:b/>
        </w:rPr>
        <w:t xml:space="preserve"> learned: EMS are entitled to a hearing before the state board, but not a civil jury trial in state court.  If license is revoked, can then appeal to court.</w:t>
      </w:r>
    </w:p>
    <w:p w14:paraId="1F886424" w14:textId="77777777" w:rsidR="007F7423" w:rsidRDefault="007F7423" w:rsidP="007F7423">
      <w:pPr>
        <w:pStyle w:val="NoSpacing"/>
      </w:pPr>
    </w:p>
    <w:p w14:paraId="4E767C83" w14:textId="77777777" w:rsidR="007F7423" w:rsidRDefault="007F7423" w:rsidP="007F7423">
      <w:pPr>
        <w:pStyle w:val="NoSpacing"/>
        <w:ind w:left="720"/>
      </w:pPr>
      <w:r>
        <w:t xml:space="preserve">Note:  For example, </w:t>
      </w:r>
      <w:r w:rsidRPr="007B3D37">
        <w:t>see H</w:t>
      </w:r>
      <w:r>
        <w:t xml:space="preserve">olycross v. State Board of EMS (2005): </w:t>
      </w:r>
      <w:r>
        <w:rPr>
          <w:b/>
        </w:rPr>
        <w:t xml:space="preserve"> </w:t>
      </w:r>
      <w:hyperlink r:id="rId2081" w:history="1">
        <w:r w:rsidRPr="003C3573">
          <w:rPr>
            <w:rStyle w:val="Hyperlink"/>
            <w:b/>
          </w:rPr>
          <w:t>https://www.studicata.com/summaries/court-of-appeals-of-ohio/holycross-v-state-board-of-emergency-med-2005-oor7s1/</w:t>
        </w:r>
      </w:hyperlink>
      <w:r>
        <w:rPr>
          <w:b/>
        </w:rPr>
        <w:t xml:space="preserve">  </w:t>
      </w:r>
      <w:r>
        <w:t>“</w:t>
      </w:r>
      <w:r w:rsidRPr="0013381F">
        <w:t xml:space="preserve">We agree with Holycross that the board's decision to revoke his license is not supported by the probative, credible evidence in the record. </w:t>
      </w:r>
      <w:r w:rsidRPr="0013381F">
        <w:t> </w:t>
      </w:r>
      <w:r w:rsidRPr="0013381F">
        <w:t xml:space="preserve"> We therefore reverse the judgment of the trial court and remand this cause, without reaching his constitutional claim, which we find to be moot.</w:t>
      </w:r>
      <w:r>
        <w:t xml:space="preserve">” </w:t>
      </w:r>
    </w:p>
    <w:p w14:paraId="329399B6" w14:textId="77777777" w:rsidR="007F7423" w:rsidRDefault="007F7423" w:rsidP="007F7423">
      <w:pPr>
        <w:pStyle w:val="NoSpacing"/>
        <w:ind w:left="720"/>
      </w:pPr>
    </w:p>
    <w:p w14:paraId="02428C54" w14:textId="77777777" w:rsidR="0091755D" w:rsidRDefault="0091755D" w:rsidP="00756ACB">
      <w:pPr>
        <w:rPr>
          <w:rFonts w:ascii="Arial Black" w:hAnsi="Arial Black"/>
          <w:b/>
          <w:bCs/>
          <w:sz w:val="24"/>
          <w:szCs w:val="24"/>
        </w:rPr>
      </w:pPr>
    </w:p>
    <w:p w14:paraId="1080CB31" w14:textId="77777777" w:rsidR="0091755D" w:rsidRDefault="0091755D" w:rsidP="00756ACB">
      <w:pPr>
        <w:rPr>
          <w:rFonts w:ascii="Arial Black" w:hAnsi="Arial Black"/>
          <w:b/>
          <w:bCs/>
          <w:sz w:val="24"/>
          <w:szCs w:val="24"/>
        </w:rPr>
      </w:pPr>
    </w:p>
    <w:p w14:paraId="658809D2" w14:textId="4EB04F87" w:rsidR="00756ACB" w:rsidRDefault="00756ACB" w:rsidP="00756ACB">
      <w:pPr>
        <w:rPr>
          <w:rFonts w:ascii="Arial Black" w:hAnsi="Arial Black"/>
          <w:b/>
          <w:bCs/>
          <w:sz w:val="24"/>
          <w:szCs w:val="24"/>
        </w:rPr>
      </w:pPr>
      <w:r>
        <w:rPr>
          <w:rFonts w:ascii="Arial Black" w:hAnsi="Arial Black"/>
          <w:b/>
          <w:bCs/>
          <w:sz w:val="24"/>
          <w:szCs w:val="24"/>
        </w:rPr>
        <w:t>13-25</w:t>
      </w:r>
      <w:r w:rsidR="00DA5EE8">
        <w:rPr>
          <w:rFonts w:ascii="Arial Black" w:hAnsi="Arial Black"/>
          <w:b/>
          <w:bCs/>
          <w:sz w:val="24"/>
          <w:szCs w:val="24"/>
        </w:rPr>
        <w:t>6</w:t>
      </w:r>
    </w:p>
    <w:p w14:paraId="75158E20" w14:textId="77777777" w:rsidR="00E14BE6" w:rsidRPr="00EC03B8" w:rsidRDefault="00E14BE6" w:rsidP="00E14BE6">
      <w:pPr>
        <w:pStyle w:val="NoSpacing"/>
        <w:rPr>
          <w:rFonts w:ascii="Arial Black" w:hAnsi="Arial Black"/>
          <w:sz w:val="28"/>
          <w:szCs w:val="28"/>
        </w:rPr>
      </w:pPr>
      <w:r>
        <w:rPr>
          <w:rFonts w:ascii="Arial Black" w:hAnsi="Arial Black"/>
          <w:sz w:val="28"/>
          <w:szCs w:val="28"/>
        </w:rPr>
        <w:t>PA: MOTORCYCLE PT TO NON-TRAUMA HOSP - IMMUNITY</w:t>
      </w:r>
    </w:p>
    <w:p w14:paraId="56FA4893" w14:textId="77777777" w:rsidR="00E14BE6" w:rsidRDefault="00E14BE6" w:rsidP="00E14BE6">
      <w:pPr>
        <w:pStyle w:val="NoSpacing"/>
      </w:pPr>
    </w:p>
    <w:p w14:paraId="5ABF1F6B" w14:textId="77777777" w:rsidR="00E14BE6" w:rsidRPr="008F6F62" w:rsidRDefault="00E14BE6" w:rsidP="00E14BE6">
      <w:pPr>
        <w:pStyle w:val="NoSpacing"/>
        <w:rPr>
          <w:bCs/>
        </w:rPr>
      </w:pPr>
      <w:r>
        <w:t xml:space="preserve">On April 23, 2026, in </w:t>
      </w:r>
      <w:r w:rsidRPr="006C06CA">
        <w:rPr>
          <w:u w:val="single"/>
        </w:rPr>
        <w:t>Kristin Claypoole and Melissa Knepp as Co-Administrators of the Estate of Glenn M. Noel v. Altoona-Logan Township Mobile Medical Emergency Department Authority d/b/a AMED</w:t>
      </w:r>
      <w:r>
        <w:t xml:space="preserve">, the </w:t>
      </w:r>
      <w:r w:rsidRPr="008F6F62">
        <w:t>Commonwealth Court of Pennsylvania</w:t>
      </w:r>
      <w:r>
        <w:t xml:space="preserve"> held (3 to 0) that trial court judge properly dismissed the lawsuit; the local EMS agency enjoys broad immunity under state law, unless proof of gross negligence or willful </w:t>
      </w:r>
      <w:proofErr w:type="spellStart"/>
      <w:r>
        <w:t>miscondict</w:t>
      </w:r>
      <w:proofErr w:type="spellEnd"/>
      <w:r>
        <w:t xml:space="preserve">. Accident was on October 25, transported at </w:t>
      </w:r>
      <w:r w:rsidRPr="00AF132A">
        <w:t>6:49 a.m.</w:t>
      </w:r>
      <w:r>
        <w:t xml:space="preserve"> to local hospital (7 minutes); not to Level II trauma hospital !9 minutes).   Approximately 3 1/2 hours later was transferred by ground transport (Air Care not available due to weather) to UPMC Altoona, where he died at 2:04 p.m. on October 26, </w:t>
      </w:r>
      <w:proofErr w:type="gramStart"/>
      <w:r>
        <w:t>2022</w:t>
      </w:r>
      <w:proofErr w:type="gramEnd"/>
      <w:r>
        <w:t xml:space="preserve"> from traumatic brain injury.  </w:t>
      </w:r>
      <w:hyperlink r:id="rId2082" w:history="1">
        <w:r w:rsidRPr="003C3573">
          <w:rPr>
            <w:rStyle w:val="Hyperlink"/>
          </w:rPr>
          <w:t>https://www.pacourts.us/assets/opinions/Commonwealth/out/196CD25_4-23-26.pdf?cb=1</w:t>
        </w:r>
      </w:hyperlink>
      <w:r>
        <w:t xml:space="preserve"> </w:t>
      </w:r>
    </w:p>
    <w:p w14:paraId="71253AEA" w14:textId="77777777" w:rsidR="00E14BE6" w:rsidRDefault="00E14BE6" w:rsidP="00E14BE6">
      <w:pPr>
        <w:pStyle w:val="NoSpacing"/>
      </w:pPr>
    </w:p>
    <w:p w14:paraId="3C520431" w14:textId="77777777" w:rsidR="00E14BE6" w:rsidRDefault="00E14BE6" w:rsidP="00E14BE6">
      <w:pPr>
        <w:pStyle w:val="NoSpacing"/>
      </w:pPr>
      <w:r>
        <w:t>THE COURT HELD:</w:t>
      </w:r>
    </w:p>
    <w:p w14:paraId="317795E8" w14:textId="77777777" w:rsidR="00E14BE6" w:rsidRDefault="00E14BE6" w:rsidP="00E14BE6">
      <w:pPr>
        <w:pStyle w:val="NoSpacing"/>
      </w:pPr>
    </w:p>
    <w:p w14:paraId="53BEB168" w14:textId="77777777" w:rsidR="00E14BE6" w:rsidRDefault="00E14BE6" w:rsidP="00E14BE6">
      <w:pPr>
        <w:pStyle w:val="NoSpacing"/>
        <w:ind w:left="720"/>
      </w:pPr>
      <w:r>
        <w:t>“</w:t>
      </w:r>
      <w:r w:rsidRPr="00F118CC">
        <w:t>The Complaint asserts claims for negligence/gross negligence (survival)</w:t>
      </w:r>
      <w:r>
        <w:t xml:space="preserve"> </w:t>
      </w:r>
      <w:r w:rsidRPr="00F118CC">
        <w:t>(Count I) and wrongful death (Count II) against AMED, chiefly alleging that AMED’s</w:t>
      </w:r>
      <w:r>
        <w:t xml:space="preserve"> </w:t>
      </w:r>
      <w:r w:rsidRPr="00F118CC">
        <w:t>failure to immediately transport Decedent to a Level I or II trauma center was</w:t>
      </w:r>
      <w:r>
        <w:t xml:space="preserve"> ‘</w:t>
      </w:r>
      <w:r w:rsidRPr="00F118CC">
        <w:t>negligent, grossly negligent, and reckless.</w:t>
      </w:r>
      <w:r>
        <w:t xml:space="preserve">’ </w:t>
      </w:r>
    </w:p>
    <w:p w14:paraId="55A8D199" w14:textId="77777777" w:rsidR="00E14BE6" w:rsidRDefault="00E14BE6" w:rsidP="00E14BE6">
      <w:pPr>
        <w:pStyle w:val="NoSpacing"/>
        <w:ind w:left="720"/>
      </w:pPr>
    </w:p>
    <w:p w14:paraId="487DCD39" w14:textId="77777777" w:rsidR="00E14BE6" w:rsidRDefault="00E14BE6" w:rsidP="00E14BE6">
      <w:pPr>
        <w:pStyle w:val="NoSpacing"/>
        <w:ind w:left="720"/>
      </w:pPr>
      <w:r>
        <w:t>***</w:t>
      </w:r>
    </w:p>
    <w:p w14:paraId="1D36DA1A" w14:textId="77777777" w:rsidR="00E14BE6" w:rsidRPr="00F118CC" w:rsidRDefault="00E14BE6" w:rsidP="00E14BE6">
      <w:pPr>
        <w:pStyle w:val="NoSpacing"/>
        <w:ind w:left="720"/>
      </w:pPr>
    </w:p>
    <w:p w14:paraId="5C59DB7B" w14:textId="77777777" w:rsidR="00E14BE6" w:rsidRDefault="00E14BE6" w:rsidP="00E14BE6">
      <w:pPr>
        <w:pStyle w:val="NoSpacing"/>
        <w:ind w:left="720"/>
      </w:pPr>
      <w:r w:rsidRPr="002D328B">
        <w:t>Because it also is undisputed</w:t>
      </w:r>
      <w:r>
        <w:t xml:space="preserve"> </w:t>
      </w:r>
      <w:r w:rsidRPr="002D328B">
        <w:t>that none of those exceptions apply here, we must determine whether, as the Estate</w:t>
      </w:r>
      <w:r>
        <w:t xml:space="preserve"> </w:t>
      </w:r>
      <w:r w:rsidRPr="002D328B">
        <w:t>argues, the General Assembly specifically intended to abrogate immunity for local</w:t>
      </w:r>
      <w:r>
        <w:t xml:space="preserve"> </w:t>
      </w:r>
      <w:r w:rsidRPr="002D328B">
        <w:t>agencies via Section 8151(2) of the EMSSA and permit claims for gross negligence or</w:t>
      </w:r>
      <w:r>
        <w:t xml:space="preserve"> </w:t>
      </w:r>
      <w:r w:rsidRPr="002D328B">
        <w:t>willful misconduct arising out of the provision of EMS care. See Doe v. Franklin</w:t>
      </w:r>
      <w:r>
        <w:t xml:space="preserve"> </w:t>
      </w:r>
      <w:r w:rsidRPr="002D328B">
        <w:t>County, 174 A.3d 593, 605 (Pa. 2017). We conclude that it did not.</w:t>
      </w:r>
      <w:r>
        <w:t>’</w:t>
      </w:r>
    </w:p>
    <w:p w14:paraId="7E45D4D2" w14:textId="77777777" w:rsidR="00E14BE6" w:rsidRDefault="00E14BE6" w:rsidP="00E14BE6">
      <w:pPr>
        <w:pStyle w:val="NoSpacing"/>
        <w:ind w:left="720"/>
      </w:pPr>
    </w:p>
    <w:p w14:paraId="58028602" w14:textId="77777777" w:rsidR="00E14BE6" w:rsidRDefault="00E14BE6" w:rsidP="00E14BE6">
      <w:pPr>
        <w:pStyle w:val="NoSpacing"/>
        <w:ind w:left="720"/>
      </w:pPr>
      <w:r>
        <w:t>***</w:t>
      </w:r>
    </w:p>
    <w:p w14:paraId="73DBCF2B" w14:textId="77777777" w:rsidR="00E14BE6" w:rsidRDefault="00E14BE6" w:rsidP="00E14BE6">
      <w:pPr>
        <w:pStyle w:val="NoSpacing"/>
      </w:pPr>
    </w:p>
    <w:p w14:paraId="52A799A9" w14:textId="77777777" w:rsidR="00E14BE6" w:rsidRDefault="00E14BE6" w:rsidP="00E14BE6">
      <w:pPr>
        <w:pStyle w:val="NoSpacing"/>
        <w:ind w:left="720"/>
      </w:pPr>
      <w:r>
        <w:t>The EMSSA [E</w:t>
      </w:r>
      <w:r w:rsidRPr="00E472D0">
        <w:t>mergency Medical Services System Act</w:t>
      </w:r>
      <w:r>
        <w:t xml:space="preserve">] enacted in 2009, is a comprehensive statute that regulates the provision of EMS in Pennsylvania… a single miscellaneous provision of the EMSSA, Section 8151(2), prohibits the liability of EMS agencies related to the good faith rendering of EMS care unless gross negligence or willful misconduct is established. 35 </w:t>
      </w:r>
      <w:proofErr w:type="spellStart"/>
      <w:r>
        <w:t>Pa.C.S</w:t>
      </w:r>
      <w:proofErr w:type="spellEnd"/>
      <w:r>
        <w:t>. § 8151(2).</w:t>
      </w:r>
    </w:p>
    <w:p w14:paraId="02BEB7BF" w14:textId="77777777" w:rsidR="00E14BE6" w:rsidRDefault="00E14BE6" w:rsidP="00E14BE6">
      <w:pPr>
        <w:pStyle w:val="NoSpacing"/>
        <w:ind w:left="720"/>
      </w:pPr>
    </w:p>
    <w:p w14:paraId="699BDB92" w14:textId="77777777" w:rsidR="00E14BE6" w:rsidRPr="000573EE" w:rsidRDefault="00E14BE6" w:rsidP="00E14BE6">
      <w:pPr>
        <w:pStyle w:val="NoSpacing"/>
        <w:ind w:left="1440"/>
      </w:pPr>
      <w:r w:rsidRPr="000573EE">
        <w:t>(2) No EMS agency, EMS agency medical director or EMS</w:t>
      </w:r>
      <w:r>
        <w:t xml:space="preserve"> </w:t>
      </w:r>
      <w:r w:rsidRPr="000573EE">
        <w:t>provider[4] who in good faith attempts to render or facilitate</w:t>
      </w:r>
      <w:r>
        <w:t xml:space="preserve"> </w:t>
      </w:r>
      <w:r w:rsidRPr="000573EE">
        <w:t>emergency medical care authorized by this chapter shall be</w:t>
      </w:r>
      <w:r>
        <w:t xml:space="preserve"> </w:t>
      </w:r>
      <w:r w:rsidRPr="000573EE">
        <w:t xml:space="preserve">liable for civil damages </w:t>
      </w:r>
      <w:proofErr w:type="gramStart"/>
      <w:r w:rsidRPr="000573EE">
        <w:t>as a result of</w:t>
      </w:r>
      <w:proofErr w:type="gramEnd"/>
      <w:r w:rsidRPr="000573EE">
        <w:t xml:space="preserve"> an act or omission,</w:t>
      </w:r>
      <w:r>
        <w:t xml:space="preserve"> </w:t>
      </w:r>
      <w:r w:rsidRPr="000573EE">
        <w:t>absent a showing of gross negligence or willful</w:t>
      </w:r>
      <w:r>
        <w:t xml:space="preserve"> </w:t>
      </w:r>
      <w:r w:rsidRPr="000573EE">
        <w:t>misconduct. This paragraph shall also apply to students</w:t>
      </w:r>
      <w:r>
        <w:t xml:space="preserve"> </w:t>
      </w:r>
      <w:r w:rsidRPr="000573EE">
        <w:t>enrolled in approved courses of instruction and supervised</w:t>
      </w:r>
      <w:r>
        <w:t xml:space="preserve"> </w:t>
      </w:r>
      <w:r w:rsidRPr="000573EE">
        <w:t>pursuant to rules and regulations.</w:t>
      </w:r>
      <w:r>
        <w:t>”</w:t>
      </w:r>
    </w:p>
    <w:p w14:paraId="1B43714C" w14:textId="77777777" w:rsidR="00E14BE6" w:rsidRPr="000573EE" w:rsidRDefault="00E14BE6" w:rsidP="00E14BE6">
      <w:pPr>
        <w:pStyle w:val="NoSpacing"/>
      </w:pPr>
    </w:p>
    <w:p w14:paraId="055E2164" w14:textId="77777777" w:rsidR="00E14BE6" w:rsidRPr="00F71EF9" w:rsidRDefault="00E14BE6" w:rsidP="00E14BE6">
      <w:pPr>
        <w:pStyle w:val="NoSpacing"/>
        <w:rPr>
          <w:b/>
        </w:rPr>
      </w:pPr>
      <w:r>
        <w:rPr>
          <w:b/>
        </w:rPr>
        <w:t xml:space="preserve">Legal lesson learned: EMS agencies have broad immunity; follow your protocol on when to call Air Care for head trauma, and when to transport to Level I or II trauma hospital. </w:t>
      </w:r>
    </w:p>
    <w:p w14:paraId="4FA7D7FB" w14:textId="77777777" w:rsidR="00E14BE6" w:rsidRDefault="00E14BE6" w:rsidP="002B1283">
      <w:pPr>
        <w:rPr>
          <w:rFonts w:ascii="Arial Black" w:hAnsi="Arial Black"/>
          <w:b/>
          <w:bCs/>
          <w:sz w:val="28"/>
          <w:szCs w:val="28"/>
        </w:rPr>
      </w:pPr>
    </w:p>
    <w:p w14:paraId="740A7DFA" w14:textId="3C9BAF27" w:rsidR="00DA5EE8" w:rsidRDefault="00DA5EE8" w:rsidP="00756ACB">
      <w:pPr>
        <w:rPr>
          <w:rFonts w:ascii="Arial Black" w:hAnsi="Arial Black"/>
          <w:b/>
          <w:bCs/>
          <w:sz w:val="24"/>
          <w:szCs w:val="24"/>
        </w:rPr>
      </w:pPr>
      <w:r>
        <w:rPr>
          <w:rFonts w:ascii="Arial Black" w:hAnsi="Arial Black"/>
          <w:b/>
          <w:bCs/>
          <w:sz w:val="24"/>
          <w:szCs w:val="24"/>
        </w:rPr>
        <w:t>13-255</w:t>
      </w:r>
    </w:p>
    <w:p w14:paraId="06A5332C" w14:textId="77777777" w:rsidR="00DA5EE8" w:rsidRPr="00374D58" w:rsidRDefault="00DA5EE8" w:rsidP="00DA5EE8">
      <w:pPr>
        <w:rPr>
          <w:rFonts w:ascii="Arial Black" w:hAnsi="Arial Black"/>
          <w:b/>
          <w:sz w:val="28"/>
          <w:szCs w:val="28"/>
        </w:rPr>
      </w:pPr>
      <w:r>
        <w:rPr>
          <w:rFonts w:ascii="Arial Black" w:hAnsi="Arial Black"/>
          <w:b/>
          <w:sz w:val="28"/>
          <w:szCs w:val="28"/>
        </w:rPr>
        <w:t>DC: MEDICAL DIRECTOR - EMT-I FAILED TWICE - FIRED</w:t>
      </w:r>
    </w:p>
    <w:p w14:paraId="0AA8C02E" w14:textId="77777777" w:rsidR="00DA5EE8" w:rsidRDefault="00DA5EE8" w:rsidP="00DA5EE8">
      <w:pPr>
        <w:rPr>
          <w:b/>
        </w:rPr>
      </w:pPr>
      <w:r>
        <w:t xml:space="preserve">On April 17, 2026, in </w:t>
      </w:r>
      <w:r w:rsidRPr="00EA62C7">
        <w:rPr>
          <w:u w:val="single"/>
        </w:rPr>
        <w:t>Harold Dargan v. District of Columbia Office of Employee Appeals, et al.,</w:t>
      </w:r>
      <w:r>
        <w:rPr>
          <w:u w:val="single"/>
        </w:rPr>
        <w:t xml:space="preserve"> </w:t>
      </w:r>
      <w:r w:rsidRPr="00EA62C7">
        <w:t>the Court of Appeals of The District of Columbia</w:t>
      </w:r>
      <w:r>
        <w:t xml:space="preserve"> held (3 to 0) that the EMT-Intermediate, who declined to be reclassified at lower level as an EMT-Advanced, was properly terminated on May 3, 2013.   After an EMS run on June 14, </w:t>
      </w:r>
      <w:proofErr w:type="gramStart"/>
      <w:r>
        <w:t>2011</w:t>
      </w:r>
      <w:proofErr w:type="gramEnd"/>
      <w:r>
        <w:t xml:space="preserve"> where patient died and patient’s airway was unattended while he was retrieving additional equipment, he was immediately removed from the field and sent to Training Academy for six months.  The Medical Director then assessed his skills on February 2, 2012 (failed to </w:t>
      </w:r>
      <w:r w:rsidRPr="002572E6">
        <w:t>perform a cardiac life support scenario</w:t>
      </w:r>
      <w:r>
        <w:t>) and on February 14 (again failed).  THE COURT WROTE: “</w:t>
      </w:r>
      <w:r w:rsidRPr="008A58CB">
        <w:t>As Mr. Dargan himself concedes, Dr. Miramontes, as</w:t>
      </w:r>
      <w:r>
        <w:t xml:space="preserve"> </w:t>
      </w:r>
      <w:r w:rsidRPr="008A58CB">
        <w:t xml:space="preserve">the FEMS Medical Director, </w:t>
      </w:r>
      <w:r>
        <w:t>‘</w:t>
      </w:r>
      <w:r w:rsidRPr="008A58CB">
        <w:t>must have the absolute right—short of discriminatory</w:t>
      </w:r>
      <w:r>
        <w:t xml:space="preserve"> </w:t>
      </w:r>
      <w:r w:rsidRPr="008A58CB">
        <w:t>animus—to protect the public by designating which EMTs and Paramedics are to be</w:t>
      </w:r>
      <w:r>
        <w:t xml:space="preserve"> </w:t>
      </w:r>
      <w:r w:rsidRPr="008A58CB">
        <w:t xml:space="preserve">permitted to practice under his </w:t>
      </w:r>
      <w:proofErr w:type="spellStart"/>
      <w:r w:rsidRPr="008A58CB">
        <w:t>licens</w:t>
      </w:r>
      <w:proofErr w:type="spellEnd"/>
      <w:r w:rsidRPr="008A58CB">
        <w:t>[e].</w:t>
      </w:r>
      <w:r>
        <w:t xml:space="preserve">’”  </w:t>
      </w:r>
      <w:hyperlink r:id="rId2083" w:history="1">
        <w:r w:rsidRPr="003823BB">
          <w:rPr>
            <w:rStyle w:val="Hyperlink"/>
            <w:b/>
          </w:rPr>
          <w:t>https://www.dccourts.gov/sites/default/files/2026-05/Dargan%20%20v.%20D.C.%20Office%20of%20Employee%20Appeals.%2024-CV-1001.pdf</w:t>
        </w:r>
      </w:hyperlink>
      <w:r>
        <w:rPr>
          <w:b/>
        </w:rPr>
        <w:t xml:space="preserve"> </w:t>
      </w:r>
    </w:p>
    <w:p w14:paraId="06E16A19" w14:textId="77777777" w:rsidR="00DA5EE8" w:rsidRDefault="00DA5EE8" w:rsidP="00DA5EE8">
      <w:pPr>
        <w:pStyle w:val="NoSpacing"/>
      </w:pPr>
    </w:p>
    <w:p w14:paraId="10AFFC34" w14:textId="77777777" w:rsidR="00DA5EE8" w:rsidRDefault="00DA5EE8" w:rsidP="00DA5EE8">
      <w:pPr>
        <w:pStyle w:val="NoSpacing"/>
      </w:pPr>
    </w:p>
    <w:p w14:paraId="4A6B166E" w14:textId="77777777" w:rsidR="00DA5EE8" w:rsidRDefault="00DA5EE8" w:rsidP="00DA5EE8">
      <w:pPr>
        <w:pStyle w:val="NoSpacing"/>
      </w:pPr>
      <w:r>
        <w:t xml:space="preserve">THE COURT HELD: </w:t>
      </w:r>
    </w:p>
    <w:p w14:paraId="09485501" w14:textId="77777777" w:rsidR="00DA5EE8" w:rsidRDefault="00DA5EE8" w:rsidP="00DA5EE8">
      <w:pPr>
        <w:pStyle w:val="NoSpacing"/>
      </w:pPr>
    </w:p>
    <w:p w14:paraId="36F1AF13" w14:textId="77777777" w:rsidR="00DA5EE8" w:rsidRDefault="00DA5EE8" w:rsidP="00DA5EE8">
      <w:pPr>
        <w:pStyle w:val="NoSpacing"/>
        <w:ind w:firstLine="720"/>
      </w:pPr>
      <w:r>
        <w:t>“As such, Dr. Miramontes was responsible only for evaluating Mr. Dargan and</w:t>
      </w:r>
    </w:p>
    <w:p w14:paraId="70D65014" w14:textId="77777777" w:rsidR="00DA5EE8" w:rsidRDefault="00DA5EE8" w:rsidP="00DA5EE8">
      <w:pPr>
        <w:pStyle w:val="NoSpacing"/>
        <w:ind w:firstLine="720"/>
      </w:pPr>
      <w:r>
        <w:t>deciding whether to sign off on his recertification as an EMT-Intermediate based on</w:t>
      </w:r>
    </w:p>
    <w:p w14:paraId="68CB09D9" w14:textId="77777777" w:rsidR="00DA5EE8" w:rsidRDefault="00DA5EE8" w:rsidP="00DA5EE8">
      <w:pPr>
        <w:pStyle w:val="NoSpacing"/>
        <w:ind w:firstLine="720"/>
      </w:pPr>
      <w:r>
        <w:t>his evaluation of Mr. Dargan’s competency. Dr. Miramontes did just this. Following</w:t>
      </w:r>
    </w:p>
    <w:p w14:paraId="5045A9F7" w14:textId="77777777" w:rsidR="00DA5EE8" w:rsidRDefault="00DA5EE8" w:rsidP="00DA5EE8">
      <w:pPr>
        <w:pStyle w:val="NoSpacing"/>
        <w:ind w:firstLine="720"/>
      </w:pPr>
      <w:r>
        <w:t>Mr. Dargan’s extensive remediation, Dr. Miramontes administered two practical</w:t>
      </w:r>
    </w:p>
    <w:p w14:paraId="1B96444C" w14:textId="77777777" w:rsidR="00DA5EE8" w:rsidRDefault="00DA5EE8" w:rsidP="00DA5EE8">
      <w:pPr>
        <w:pStyle w:val="NoSpacing"/>
        <w:ind w:firstLine="720"/>
      </w:pPr>
      <w:r>
        <w:t>skills assessments to determine whether Mr. Dargan could perform at the level</w:t>
      </w:r>
    </w:p>
    <w:p w14:paraId="6EC6C9BC" w14:textId="77777777" w:rsidR="00DA5EE8" w:rsidRDefault="00DA5EE8" w:rsidP="00DA5EE8">
      <w:pPr>
        <w:pStyle w:val="NoSpacing"/>
        <w:ind w:firstLine="720"/>
      </w:pPr>
      <w:r>
        <w:t>expected for an EMT-Intermediate. After Mr. Dargan failed the first assessment, Dr.</w:t>
      </w:r>
    </w:p>
    <w:p w14:paraId="5B361EFE" w14:textId="77777777" w:rsidR="00DA5EE8" w:rsidRDefault="00DA5EE8" w:rsidP="00DA5EE8">
      <w:pPr>
        <w:pStyle w:val="NoSpacing"/>
        <w:ind w:firstLine="720"/>
      </w:pPr>
      <w:r>
        <w:t>Miramontes gave him an opportunity for additional remediation and offered to</w:t>
      </w:r>
    </w:p>
    <w:p w14:paraId="464FCD1E" w14:textId="77777777" w:rsidR="00DA5EE8" w:rsidRDefault="00DA5EE8" w:rsidP="00DA5EE8">
      <w:pPr>
        <w:pStyle w:val="NoSpacing"/>
        <w:ind w:firstLine="720"/>
      </w:pPr>
      <w:r>
        <w:t>sponsor him at the basic life support level as an EMT-Advanced. When Mr. Dargan</w:t>
      </w:r>
    </w:p>
    <w:p w14:paraId="7E7CBF60" w14:textId="77777777" w:rsidR="00DA5EE8" w:rsidRDefault="00DA5EE8" w:rsidP="00DA5EE8">
      <w:pPr>
        <w:pStyle w:val="NoSpacing"/>
        <w:ind w:firstLine="720"/>
      </w:pPr>
      <w:r>
        <w:t>failed the second assessment, Dr. Miramontes again told him that he would not</w:t>
      </w:r>
    </w:p>
    <w:p w14:paraId="12C6D105" w14:textId="77777777" w:rsidR="00DA5EE8" w:rsidRDefault="00DA5EE8" w:rsidP="00DA5EE8">
      <w:pPr>
        <w:pStyle w:val="NoSpacing"/>
        <w:ind w:firstLine="720"/>
      </w:pPr>
      <w:r>
        <w:t>sponsor him at the EMT-Intermediate level for his DOH recertification, but that he</w:t>
      </w:r>
    </w:p>
    <w:p w14:paraId="704D6C21" w14:textId="77777777" w:rsidR="00DA5EE8" w:rsidRDefault="00DA5EE8" w:rsidP="00DA5EE8">
      <w:pPr>
        <w:pStyle w:val="NoSpacing"/>
        <w:ind w:firstLine="720"/>
      </w:pPr>
      <w:r>
        <w:t>would sponsor him at the lower EMT-Advanced level. Despite this knowledge, Mr.</w:t>
      </w:r>
    </w:p>
    <w:p w14:paraId="653A1A7C" w14:textId="77777777" w:rsidR="00DA5EE8" w:rsidRDefault="00DA5EE8" w:rsidP="00DA5EE8">
      <w:pPr>
        <w:pStyle w:val="NoSpacing"/>
        <w:ind w:firstLine="720"/>
      </w:pPr>
      <w:r>
        <w:t>Dargan did not apply for the EMT-Advanced DOH certification, choosing instead</w:t>
      </w:r>
    </w:p>
    <w:p w14:paraId="0116E17D" w14:textId="77777777" w:rsidR="00DA5EE8" w:rsidRDefault="00DA5EE8" w:rsidP="00DA5EE8">
      <w:pPr>
        <w:pStyle w:val="NoSpacing"/>
        <w:ind w:left="720"/>
      </w:pPr>
      <w:r>
        <w:t>to submit to Dr. Miramontes his application for the EMT-Intermediate DOH certification. Dr. Miramontes refused to sign Mr. Dargan’s application, rendering it</w:t>
      </w:r>
    </w:p>
    <w:p w14:paraId="65D5351A" w14:textId="77777777" w:rsidR="00DA5EE8" w:rsidRDefault="00DA5EE8" w:rsidP="00DA5EE8">
      <w:pPr>
        <w:pStyle w:val="NoSpacing"/>
        <w:ind w:firstLine="720"/>
      </w:pPr>
      <w:r>
        <w:t>incomplete, and likewise refused to submit the application to DOH.”</w:t>
      </w:r>
    </w:p>
    <w:p w14:paraId="3F63053B" w14:textId="77777777" w:rsidR="00DA5EE8" w:rsidRDefault="00DA5EE8" w:rsidP="00DA5EE8">
      <w:pPr>
        <w:pStyle w:val="NoSpacing"/>
        <w:ind w:firstLine="720"/>
      </w:pPr>
    </w:p>
    <w:p w14:paraId="54CC851E" w14:textId="77777777" w:rsidR="00DA5EE8" w:rsidRPr="00A95FA3" w:rsidRDefault="00DA5EE8" w:rsidP="00DA5EE8">
      <w:pPr>
        <w:rPr>
          <w:b/>
          <w:bCs/>
        </w:rPr>
      </w:pPr>
      <w:r>
        <w:rPr>
          <w:b/>
        </w:rPr>
        <w:t xml:space="preserve">Legal lesson learned: EMS Medical Directors have the “absolute right” to designate appropriate level of EMS personnel. </w:t>
      </w:r>
    </w:p>
    <w:p w14:paraId="15561197" w14:textId="77777777" w:rsidR="00DA5EE8" w:rsidRDefault="00DA5EE8" w:rsidP="00756ACB">
      <w:pPr>
        <w:rPr>
          <w:rFonts w:ascii="Arial Black" w:hAnsi="Arial Black"/>
          <w:b/>
          <w:bCs/>
          <w:sz w:val="24"/>
          <w:szCs w:val="24"/>
        </w:rPr>
      </w:pPr>
    </w:p>
    <w:p w14:paraId="31A0F35E" w14:textId="77777777" w:rsidR="00DA5EE8" w:rsidRDefault="00DA5EE8" w:rsidP="00756ACB">
      <w:pPr>
        <w:rPr>
          <w:rFonts w:ascii="Arial Black" w:hAnsi="Arial Black"/>
          <w:b/>
          <w:bCs/>
          <w:sz w:val="24"/>
          <w:szCs w:val="24"/>
        </w:rPr>
      </w:pPr>
    </w:p>
    <w:p w14:paraId="5E665B1B" w14:textId="21ED8F58" w:rsidR="00756ACB" w:rsidRDefault="00756ACB" w:rsidP="00756ACB">
      <w:pPr>
        <w:rPr>
          <w:rFonts w:ascii="Arial Black" w:hAnsi="Arial Black"/>
          <w:b/>
          <w:bCs/>
          <w:sz w:val="24"/>
          <w:szCs w:val="24"/>
        </w:rPr>
      </w:pPr>
      <w:r>
        <w:rPr>
          <w:rFonts w:ascii="Arial Black" w:hAnsi="Arial Black"/>
          <w:b/>
          <w:bCs/>
          <w:sz w:val="24"/>
          <w:szCs w:val="24"/>
        </w:rPr>
        <w:t>13-254</w:t>
      </w:r>
    </w:p>
    <w:p w14:paraId="6B9A7B5F" w14:textId="77777777" w:rsidR="00A93BF7" w:rsidRPr="003E1686" w:rsidRDefault="00A93BF7" w:rsidP="00A93BF7">
      <w:pPr>
        <w:pStyle w:val="NoSpacing"/>
        <w:rPr>
          <w:rFonts w:ascii="Arial Black" w:hAnsi="Arial Black"/>
          <w:sz w:val="28"/>
          <w:szCs w:val="28"/>
        </w:rPr>
      </w:pPr>
      <w:r>
        <w:rPr>
          <w:rFonts w:ascii="Arial Black" w:hAnsi="Arial Black"/>
          <w:sz w:val="28"/>
          <w:szCs w:val="28"/>
        </w:rPr>
        <w:t xml:space="preserve">VA: MED RECORS – JUSTICE GINSBURG - 2 YRS PRISON </w:t>
      </w:r>
    </w:p>
    <w:p w14:paraId="207BD8D6" w14:textId="77777777" w:rsidR="00A93BF7" w:rsidRDefault="00A93BF7" w:rsidP="00A93BF7">
      <w:pPr>
        <w:pStyle w:val="NoSpacing"/>
      </w:pPr>
    </w:p>
    <w:p w14:paraId="4A3A3DD1" w14:textId="77777777" w:rsidR="00A93BF7" w:rsidRDefault="00A93BF7" w:rsidP="00A93BF7">
      <w:pPr>
        <w:pStyle w:val="NoSpacing"/>
      </w:pPr>
      <w:r>
        <w:t xml:space="preserve">On April 14, 2026 in </w:t>
      </w:r>
      <w:r w:rsidRPr="003E1686">
        <w:rPr>
          <w:u w:val="single"/>
        </w:rPr>
        <w:t>United States of America v. Trent James Russell</w:t>
      </w:r>
      <w:r>
        <w:t xml:space="preserve">, the U.S. Court of Appeals for the Fourth Circuit (Richmond, VA) held (3 to 0) that jury properly found Russell guilty of (1) destroying and altering records, and (2) obtaining individually identifiable health information, and trial court sentenced him to </w:t>
      </w:r>
      <w:r w:rsidRPr="00EE3E0E">
        <w:t>twenty-four months’ imprisonment</w:t>
      </w:r>
      <w:r>
        <w:t xml:space="preserve"> for posting on Twitter a screenshot of the George Washington University hospital’s patient search screen, which highlighted Justice Ginsburg’s name and showed the dates of ten visits, along with medical services she received (which included radiology, oncology, and surgery services). Based</w:t>
      </w:r>
    </w:p>
    <w:p w14:paraId="37625DFB" w14:textId="77777777" w:rsidR="00A93BF7" w:rsidRDefault="00A93BF7" w:rsidP="00A93BF7">
      <w:pPr>
        <w:pStyle w:val="NoSpacing"/>
      </w:pPr>
      <w:r>
        <w:t>on the dates captured in the screenshot, it was taken between December 31, 2018, and</w:t>
      </w:r>
    </w:p>
    <w:p w14:paraId="53BC44F8" w14:textId="77777777" w:rsidR="00A93BF7" w:rsidRDefault="00A93BF7" w:rsidP="00A93BF7">
      <w:pPr>
        <w:pStyle w:val="NoSpacing"/>
      </w:pPr>
      <w:r>
        <w:t xml:space="preserve">January 9, 2019. </w:t>
      </w:r>
      <w:hyperlink r:id="rId2084" w:history="1">
        <w:r w:rsidRPr="009126C9">
          <w:rPr>
            <w:rStyle w:val="Hyperlink"/>
          </w:rPr>
          <w:t>https://www.ca4.uscourts.gov/opinions/244620.P.pd</w:t>
        </w:r>
      </w:hyperlink>
      <w:r>
        <w:t xml:space="preserve"> </w:t>
      </w:r>
    </w:p>
    <w:p w14:paraId="78AEAF50" w14:textId="77777777" w:rsidR="00A93BF7" w:rsidRDefault="00A93BF7" w:rsidP="00A93BF7">
      <w:pPr>
        <w:pStyle w:val="NoSpacing"/>
      </w:pPr>
    </w:p>
    <w:p w14:paraId="60888C5E" w14:textId="77777777" w:rsidR="00A93BF7" w:rsidRDefault="00A93BF7" w:rsidP="00A93BF7">
      <w:pPr>
        <w:pStyle w:val="NoSpacing"/>
      </w:pPr>
      <w:r>
        <w:t>THE COURT WROTE:</w:t>
      </w:r>
    </w:p>
    <w:p w14:paraId="717DD92C" w14:textId="77777777" w:rsidR="00A93BF7" w:rsidRDefault="00A93BF7" w:rsidP="00A93BF7">
      <w:pPr>
        <w:pStyle w:val="NoSpacing"/>
        <w:ind w:firstLine="720"/>
      </w:pPr>
    </w:p>
    <w:p w14:paraId="040163D3" w14:textId="77777777" w:rsidR="00A93BF7" w:rsidRDefault="00A93BF7" w:rsidP="00A93BF7">
      <w:pPr>
        <w:pStyle w:val="NoSpacing"/>
        <w:ind w:firstLine="720"/>
      </w:pPr>
      <w:r>
        <w:t>“Before Supreme Court Justice Ruth Bader Ginsburg passed away, someone posted</w:t>
      </w:r>
    </w:p>
    <w:p w14:paraId="445F4C6D" w14:textId="77777777" w:rsidR="00A93BF7" w:rsidRDefault="00A93BF7" w:rsidP="00A93BF7">
      <w:pPr>
        <w:pStyle w:val="NoSpacing"/>
        <w:ind w:firstLine="720"/>
      </w:pPr>
      <w:r>
        <w:t>a screenshot of her private medical information on the internet. The information related to</w:t>
      </w:r>
    </w:p>
    <w:p w14:paraId="1703C2F9" w14:textId="77777777" w:rsidR="00A93BF7" w:rsidRDefault="00A93BF7" w:rsidP="00A93BF7">
      <w:pPr>
        <w:pStyle w:val="NoSpacing"/>
        <w:ind w:left="720"/>
      </w:pPr>
      <w:r>
        <w:t>treatment the Justice received at George Washington University Hospital. An investigation led federal agents to Trent Russell, who worked for a company with access to the hospital’s medical records.</w:t>
      </w:r>
    </w:p>
    <w:p w14:paraId="065B87FA" w14:textId="77777777" w:rsidR="00A93BF7" w:rsidRDefault="00A93BF7" w:rsidP="00A93BF7">
      <w:pPr>
        <w:pStyle w:val="NoSpacing"/>
        <w:ind w:left="720"/>
      </w:pPr>
    </w:p>
    <w:p w14:paraId="007C3A2C" w14:textId="77777777" w:rsidR="00A93BF7" w:rsidRDefault="00A93BF7" w:rsidP="00A93BF7">
      <w:pPr>
        <w:pStyle w:val="NoSpacing"/>
        <w:ind w:left="720"/>
      </w:pPr>
      <w:r>
        <w:t>***</w:t>
      </w:r>
    </w:p>
    <w:p w14:paraId="38D04DE0" w14:textId="77777777" w:rsidR="00A93BF7" w:rsidRDefault="00A93BF7" w:rsidP="00A93BF7">
      <w:pPr>
        <w:pStyle w:val="NoSpacing"/>
        <w:ind w:left="720"/>
      </w:pPr>
      <w:r>
        <w:t>That led him to Russell, who worked for a non-profit that facilitates organ donations.</w:t>
      </w:r>
    </w:p>
    <w:p w14:paraId="2A486471" w14:textId="77777777" w:rsidR="00A93BF7" w:rsidRDefault="00A93BF7" w:rsidP="00A93BF7">
      <w:pPr>
        <w:pStyle w:val="NoSpacing"/>
        <w:ind w:left="720"/>
      </w:pPr>
      <w:r>
        <w:t>Russell’s position gave him both on-site and remote access to patient medical records and</w:t>
      </w:r>
    </w:p>
    <w:p w14:paraId="36420EBB" w14:textId="77777777" w:rsidR="00A93BF7" w:rsidRDefault="00A93BF7" w:rsidP="00A93BF7">
      <w:pPr>
        <w:pStyle w:val="NoSpacing"/>
        <w:ind w:left="720"/>
      </w:pPr>
      <w:r>
        <w:t>other hospital data.”</w:t>
      </w:r>
    </w:p>
    <w:p w14:paraId="1F3BE0F2" w14:textId="77777777" w:rsidR="00A93BF7" w:rsidRDefault="00A93BF7" w:rsidP="00A93BF7">
      <w:pPr>
        <w:pStyle w:val="NoSpacing"/>
        <w:ind w:left="720"/>
      </w:pPr>
    </w:p>
    <w:p w14:paraId="5731628E" w14:textId="77777777" w:rsidR="00A93BF7" w:rsidRPr="00301C5F" w:rsidRDefault="00A93BF7" w:rsidP="00A93BF7">
      <w:pPr>
        <w:rPr>
          <w:b/>
          <w:bCs/>
        </w:rPr>
      </w:pPr>
      <w:r>
        <w:rPr>
          <w:b/>
        </w:rPr>
        <w:t xml:space="preserve">Legal lesson learned:  </w:t>
      </w:r>
      <w:r w:rsidRPr="00677791">
        <w:rPr>
          <w:b/>
        </w:rPr>
        <w:t>Disclosure of individually identifiable health information can lead to criminal indictment and prison</w:t>
      </w:r>
      <w:r>
        <w:rPr>
          <w:b/>
        </w:rPr>
        <w:t xml:space="preserve">. </w:t>
      </w:r>
    </w:p>
    <w:p w14:paraId="1C9EB5BC" w14:textId="77777777" w:rsidR="00A93BF7" w:rsidRDefault="00A93BF7" w:rsidP="00A93BF7">
      <w:pPr>
        <w:pStyle w:val="NoSpacing"/>
        <w:ind w:left="720"/>
      </w:pPr>
      <w:r>
        <w:t xml:space="preserve">Note: See HIPAA Violations – 2026.  </w:t>
      </w:r>
      <w:hyperlink r:id="rId2085" w:history="1">
        <w:r w:rsidRPr="009126C9">
          <w:rPr>
            <w:rStyle w:val="Hyperlink"/>
          </w:rPr>
          <w:t>https://www.hipaajournal.com/hipaa-violation-cases/</w:t>
        </w:r>
      </w:hyperlink>
      <w:r>
        <w:t xml:space="preserve"> </w:t>
      </w:r>
    </w:p>
    <w:p w14:paraId="2B0D70F5" w14:textId="77777777" w:rsidR="00A93BF7" w:rsidRDefault="00A93BF7" w:rsidP="002B1283">
      <w:pPr>
        <w:rPr>
          <w:rFonts w:ascii="Arial Black" w:hAnsi="Arial Black"/>
          <w:b/>
          <w:bCs/>
          <w:sz w:val="28"/>
          <w:szCs w:val="28"/>
        </w:rPr>
      </w:pPr>
    </w:p>
    <w:p w14:paraId="32F04E91" w14:textId="02048C69" w:rsidR="00756ACB" w:rsidRDefault="00756ACB" w:rsidP="00756ACB">
      <w:pPr>
        <w:rPr>
          <w:rFonts w:ascii="Arial Black" w:hAnsi="Arial Black"/>
          <w:b/>
          <w:bCs/>
          <w:sz w:val="24"/>
          <w:szCs w:val="24"/>
        </w:rPr>
      </w:pPr>
      <w:r>
        <w:rPr>
          <w:rFonts w:ascii="Arial Black" w:hAnsi="Arial Black"/>
          <w:b/>
          <w:bCs/>
          <w:sz w:val="24"/>
          <w:szCs w:val="24"/>
        </w:rPr>
        <w:t>13-253</w:t>
      </w:r>
    </w:p>
    <w:p w14:paraId="707A49E4" w14:textId="77777777" w:rsidR="00756ACB" w:rsidRDefault="00756ACB" w:rsidP="00756ACB">
      <w:pPr>
        <w:pStyle w:val="NoSpacing"/>
        <w:rPr>
          <w:rFonts w:ascii="Arial Black" w:hAnsi="Arial Black"/>
          <w:b/>
          <w:color w:val="000000" w:themeColor="text1"/>
          <w:sz w:val="28"/>
          <w:szCs w:val="28"/>
        </w:rPr>
      </w:pPr>
      <w:r>
        <w:rPr>
          <w:rFonts w:ascii="Arial Black" w:hAnsi="Arial Black"/>
          <w:b/>
          <w:color w:val="000000" w:themeColor="text1"/>
          <w:sz w:val="28"/>
          <w:szCs w:val="28"/>
        </w:rPr>
        <w:t>NV: EMS OPER MGR – FIRED / ALS CREW – NO RETALIATION</w:t>
      </w:r>
    </w:p>
    <w:p w14:paraId="1E71B341" w14:textId="77777777" w:rsidR="00756ACB" w:rsidRDefault="00756ACB" w:rsidP="00756ACB">
      <w:pPr>
        <w:pStyle w:val="NoSpacing"/>
        <w:rPr>
          <w:rFonts w:ascii="Arial Black" w:hAnsi="Arial Black"/>
          <w:b/>
          <w:color w:val="000000" w:themeColor="text1"/>
          <w:sz w:val="28"/>
          <w:szCs w:val="28"/>
        </w:rPr>
      </w:pPr>
    </w:p>
    <w:p w14:paraId="0AF68F2C" w14:textId="77777777" w:rsidR="00756ACB" w:rsidRDefault="00756ACB" w:rsidP="00756ACB">
      <w:pPr>
        <w:pStyle w:val="NoSpacing"/>
      </w:pPr>
      <w:r>
        <w:rPr>
          <w:color w:val="000000" w:themeColor="text1"/>
        </w:rPr>
        <w:t xml:space="preserve">On March 27, 2026, in </w:t>
      </w:r>
      <w:r w:rsidRPr="006D5B67">
        <w:rPr>
          <w:color w:val="000000" w:themeColor="text1"/>
          <w:u w:val="single"/>
        </w:rPr>
        <w:t>Dusty Allen v. Mercy, Inc</w:t>
      </w:r>
      <w:r>
        <w:rPr>
          <w:color w:val="000000" w:themeColor="text1"/>
        </w:rPr>
        <w:t xml:space="preserve">., U.S. District Court Judge </w:t>
      </w:r>
      <w:r w:rsidRPr="000F569F">
        <w:rPr>
          <w:color w:val="000000" w:themeColor="text1"/>
        </w:rPr>
        <w:t>Gloria M. Navarro,</w:t>
      </w:r>
      <w:r>
        <w:rPr>
          <w:color w:val="000000" w:themeColor="text1"/>
        </w:rPr>
        <w:t xml:space="preserve"> United States District Court for the District of Nevada, granted the employer’s motion for summary judgment; fired because of a weekend staffing shortage of ALS medics for one hour – a </w:t>
      </w:r>
      <w:r w:rsidRPr="00A92472">
        <w:rPr>
          <w:color w:val="000000" w:themeColor="text1"/>
        </w:rPr>
        <w:t>“critical system failure.”</w:t>
      </w:r>
      <w:r>
        <w:rPr>
          <w:color w:val="000000" w:themeColor="text1"/>
        </w:rPr>
        <w:t xml:space="preserve"> </w:t>
      </w:r>
      <w:r w:rsidRPr="00806927">
        <w:rPr>
          <w:color w:val="000000" w:themeColor="text1"/>
        </w:rPr>
        <w:t xml:space="preserve">Plaintiff </w:t>
      </w:r>
      <w:r>
        <w:rPr>
          <w:color w:val="000000" w:themeColor="text1"/>
        </w:rPr>
        <w:t>alleges</w:t>
      </w:r>
      <w:r w:rsidRPr="00806927">
        <w:rPr>
          <w:color w:val="000000" w:themeColor="text1"/>
        </w:rPr>
        <w:t xml:space="preserve"> he was terminated because </w:t>
      </w:r>
      <w:r>
        <w:rPr>
          <w:color w:val="000000" w:themeColor="text1"/>
        </w:rPr>
        <w:t xml:space="preserve">one month earlier </w:t>
      </w:r>
      <w:r w:rsidRPr="00806927">
        <w:rPr>
          <w:color w:val="000000" w:themeColor="text1"/>
        </w:rPr>
        <w:t>he confronted his supervisor, Kirk Schmitt, Regional Director of Southern Nevada, about two female coworkers</w:t>
      </w:r>
      <w:r>
        <w:rPr>
          <w:color w:val="000000" w:themeColor="text1"/>
        </w:rPr>
        <w:t xml:space="preserve"> uncomfortable with manager comments.  But Court referenced plaintiff’s deposition testimony -  he wasn’t making a formal report of sexual harassment complaints by two women, he was</w:t>
      </w:r>
      <w:r>
        <w:t xml:space="preserve"> merely trying to </w:t>
      </w:r>
      <w:r w:rsidRPr="00FF08F8">
        <w:t>“fix. . . a toxic work environment</w:t>
      </w:r>
      <w:r>
        <w:t xml:space="preserve">.” </w:t>
      </w:r>
      <w:hyperlink r:id="rId2086" w:history="1">
        <w:r w:rsidRPr="00A849F7">
          <w:rPr>
            <w:rStyle w:val="Hyperlink"/>
          </w:rPr>
          <w:t>https://public.fastcase.com/Jhe1Qn%2BmJndQYQU6z%2FeNm2IRLtoYkrU6PXL9o8jwzst%2FNdrzc21hLfx%2B7rIFE%2Fjg?utm_medium=email&amp;_hsenc=p2ANqtz--U5QylLiDrvLvgZPxLp1UD1XwB_7biW9lkq8qHdnYocPTAWXoAY4eWtL30hGAHlHHG6f150Lk3QwJZsSzIIPSSPKfBlQ&amp;_hsmi=226712652&amp;utm_content=226712652&amp;utm_source=hs_email</w:t>
        </w:r>
      </w:hyperlink>
      <w:r>
        <w:t xml:space="preserve"> </w:t>
      </w:r>
    </w:p>
    <w:p w14:paraId="2FDF3432" w14:textId="77777777" w:rsidR="00756ACB" w:rsidRDefault="00756ACB" w:rsidP="00756ACB">
      <w:pPr>
        <w:pStyle w:val="NoSpacing"/>
        <w:rPr>
          <w:color w:val="000000" w:themeColor="text1"/>
        </w:rPr>
      </w:pPr>
    </w:p>
    <w:p w14:paraId="20E23842" w14:textId="77777777" w:rsidR="00756ACB" w:rsidRDefault="00756ACB" w:rsidP="00756ACB">
      <w:pPr>
        <w:pStyle w:val="NoSpacing"/>
        <w:rPr>
          <w:color w:val="000000" w:themeColor="text1"/>
        </w:rPr>
      </w:pPr>
      <w:r>
        <w:rPr>
          <w:color w:val="000000" w:themeColor="text1"/>
        </w:rPr>
        <w:t xml:space="preserve">THE COURT HELD: </w:t>
      </w:r>
    </w:p>
    <w:p w14:paraId="21950A81" w14:textId="77777777" w:rsidR="00756ACB" w:rsidRDefault="00756ACB" w:rsidP="00756ACB">
      <w:pPr>
        <w:pStyle w:val="NoSpacing"/>
        <w:rPr>
          <w:color w:val="000000" w:themeColor="text1"/>
        </w:rPr>
      </w:pPr>
    </w:p>
    <w:p w14:paraId="6DC0B820" w14:textId="77777777" w:rsidR="00756ACB" w:rsidRDefault="00756ACB" w:rsidP="00756ACB">
      <w:pPr>
        <w:pStyle w:val="NoSpacing"/>
        <w:ind w:left="720"/>
      </w:pPr>
      <w:r>
        <w:rPr>
          <w:color w:val="000000" w:themeColor="text1"/>
        </w:rPr>
        <w:t xml:space="preserve">“Plaintiff’s job duties </w:t>
      </w:r>
      <w:r>
        <w:t>a</w:t>
      </w:r>
      <w:r w:rsidRPr="00F772E3">
        <w:t>s an Operations Manager, Plaintiff's job duties included working with the scheduling department and his team of operations supervisors to ensure that there was adequate employee coverage</w:t>
      </w:r>
      <w:r>
        <w:t xml:space="preserve"> for </w:t>
      </w:r>
      <w:r w:rsidRPr="00FB30E3">
        <w:t xml:space="preserve">has two locations in Las Vegas: </w:t>
      </w:r>
      <w:proofErr w:type="spellStart"/>
      <w:r w:rsidRPr="00FB30E3">
        <w:t>MedicWest</w:t>
      </w:r>
      <w:proofErr w:type="spellEnd"/>
      <w:r w:rsidRPr="00FB30E3">
        <w:t xml:space="preserve"> and American Medical Response (</w:t>
      </w:r>
      <w:r>
        <w:t>‘</w:t>
      </w:r>
      <w:r w:rsidRPr="00FB30E3">
        <w:t>AMR</w:t>
      </w:r>
      <w:r>
        <w:t>’</w:t>
      </w:r>
      <w:r w:rsidRPr="00FB30E3">
        <w:t>).</w:t>
      </w:r>
      <w:r>
        <w:t xml:space="preserve">  </w:t>
      </w:r>
    </w:p>
    <w:p w14:paraId="1564857C" w14:textId="77777777" w:rsidR="00756ACB" w:rsidRDefault="00756ACB" w:rsidP="00756ACB">
      <w:pPr>
        <w:pStyle w:val="NoSpacing"/>
        <w:ind w:left="720"/>
      </w:pPr>
    </w:p>
    <w:p w14:paraId="4C61A237" w14:textId="77777777" w:rsidR="00756ACB" w:rsidRDefault="00756ACB" w:rsidP="00756ACB">
      <w:pPr>
        <w:pStyle w:val="NoSpacing"/>
        <w:ind w:left="720"/>
      </w:pPr>
      <w:r>
        <w:t>***</w:t>
      </w:r>
    </w:p>
    <w:p w14:paraId="5898EC59" w14:textId="77777777" w:rsidR="00756ACB" w:rsidRDefault="00756ACB" w:rsidP="00756ACB">
      <w:pPr>
        <w:pStyle w:val="NoSpacing"/>
        <w:ind w:left="720"/>
      </w:pPr>
      <w:r w:rsidRPr="00211E94">
        <w:t xml:space="preserve">On September 25, 2023, Plaintiff had a conversation with a female coworker, Audra, who expressed to Plaintiff that she does not like Schmitt because he makes </w:t>
      </w:r>
      <w:r>
        <w:t>‘</w:t>
      </w:r>
      <w:r w:rsidRPr="00211E94">
        <w:t>comments that [are] sexist in nature,</w:t>
      </w:r>
      <w:r>
        <w:t>’</w:t>
      </w:r>
      <w:r w:rsidRPr="00211E94">
        <w:t xml:space="preserve"> and feels uncomfortable around him</w:t>
      </w:r>
      <w:r>
        <w:t xml:space="preserve">…. </w:t>
      </w:r>
      <w:r w:rsidRPr="00211E94">
        <w:t>Another female coworker, Stephanie, also expressed to Audra that she was uncomfortable being around Schmitt because of the sexist comments he makes</w:t>
      </w:r>
      <w:r>
        <w:t>…. Pla</w:t>
      </w:r>
      <w:r w:rsidRPr="00211E94">
        <w:t xml:space="preserve">intiff does not know what the sexist comments made were. </w:t>
      </w:r>
      <w:r w:rsidRPr="009B08C7">
        <w:t>But Plaintiff encouraged Audra to report the allegations to HR and told her to advise Stephanie to do the same.</w:t>
      </w:r>
    </w:p>
    <w:p w14:paraId="7DB00066" w14:textId="77777777" w:rsidR="00756ACB" w:rsidRDefault="00756ACB" w:rsidP="00756ACB">
      <w:pPr>
        <w:pStyle w:val="NoSpacing"/>
        <w:ind w:left="720"/>
      </w:pPr>
    </w:p>
    <w:p w14:paraId="640C42BD" w14:textId="77777777" w:rsidR="00756ACB" w:rsidRDefault="00756ACB" w:rsidP="00756ACB">
      <w:pPr>
        <w:pStyle w:val="NoSpacing"/>
        <w:ind w:left="720"/>
      </w:pPr>
      <w:r>
        <w:t>***</w:t>
      </w:r>
    </w:p>
    <w:p w14:paraId="456925E6" w14:textId="77777777" w:rsidR="00756ACB" w:rsidRDefault="00756ACB" w:rsidP="00756ACB">
      <w:pPr>
        <w:pStyle w:val="NoSpacing"/>
        <w:ind w:left="720"/>
      </w:pPr>
      <w:r>
        <w:t xml:space="preserve">[Two days later] </w:t>
      </w:r>
      <w:r w:rsidRPr="00B51821">
        <w:t>Plaintiff confronted Schmitt about the allegations two days after his conversation with Audra</w:t>
      </w:r>
      <w:r>
        <w:t xml:space="preserve">…. </w:t>
      </w:r>
      <w:r w:rsidRPr="00B51821">
        <w:t>Plaintiff also spoke with Schmitt about the way he generally spoke to people, both men and women</w:t>
      </w:r>
      <w:r>
        <w:t xml:space="preserve">…. </w:t>
      </w:r>
      <w:r w:rsidRPr="00B51821">
        <w:t>Plaintiff details that Schmitt was rude and condescending to a coworker, made another coworker cry, and raised his voice frequently</w:t>
      </w:r>
      <w:r>
        <w:t>….</w:t>
      </w:r>
      <w:r w:rsidRPr="00B51821">
        <w:t xml:space="preserve">Plaintiff's goal in speaking with Schmitt was to get him </w:t>
      </w:r>
      <w:r>
        <w:t>‘</w:t>
      </w:r>
      <w:r w:rsidRPr="00B51821">
        <w:t>to be a little bit more mindful of the interactions he had.</w:t>
      </w:r>
      <w:r>
        <w:t xml:space="preserve">’ </w:t>
      </w:r>
      <w:r w:rsidRPr="00B51821">
        <w:t xml:space="preserve">Plaintiff states that </w:t>
      </w:r>
      <w:r>
        <w:t>‘</w:t>
      </w:r>
      <w:r w:rsidRPr="00B51821">
        <w:t>the spirit of the conversation</w:t>
      </w:r>
      <w:r>
        <w:t>’</w:t>
      </w:r>
      <w:r w:rsidRPr="00B51821">
        <w:t xml:space="preserve"> with Schmitt was to </w:t>
      </w:r>
      <w:r>
        <w:t>‘</w:t>
      </w:r>
      <w:r w:rsidRPr="00B51821">
        <w:t>fix. . . a toxic work environment. . . [and] if there was any sort of inappropriate [sic] with the [sexist] comments, that was up for the corporate HR to discuss and investigate.</w:t>
      </w:r>
      <w:r>
        <w:t>’</w:t>
      </w:r>
    </w:p>
    <w:p w14:paraId="6DDFCF34" w14:textId="77777777" w:rsidR="00756ACB" w:rsidRDefault="00756ACB" w:rsidP="00756ACB">
      <w:pPr>
        <w:pStyle w:val="NoSpacing"/>
        <w:ind w:left="720"/>
      </w:pPr>
    </w:p>
    <w:p w14:paraId="3E1CF840" w14:textId="77777777" w:rsidR="00756ACB" w:rsidRDefault="00756ACB" w:rsidP="00756ACB">
      <w:pPr>
        <w:pStyle w:val="NoSpacing"/>
        <w:ind w:left="720"/>
      </w:pPr>
      <w:r>
        <w:t>***</w:t>
      </w:r>
    </w:p>
    <w:p w14:paraId="786C7A8D" w14:textId="77777777" w:rsidR="00756ACB" w:rsidRDefault="00756ACB" w:rsidP="00756ACB">
      <w:pPr>
        <w:pStyle w:val="NoSpacing"/>
        <w:ind w:left="720"/>
      </w:pPr>
      <w:r w:rsidRPr="00154A82">
        <w:t xml:space="preserve">Making an informal complaint to a supervisor can be considered a protected activity, </w:t>
      </w:r>
      <w:r w:rsidRPr="00154A82">
        <w:rPr>
          <w:i/>
          <w:iCs/>
        </w:rPr>
        <w:t>if</w:t>
      </w:r>
      <w:r w:rsidRPr="00154A82">
        <w:t xml:space="preserve"> Plaintiff was acting on a reasonable belief that an unlawful employment practice had occurred.</w:t>
      </w:r>
      <w:r>
        <w:t xml:space="preserve"> </w:t>
      </w:r>
      <w:r w:rsidRPr="00BA635F">
        <w:t>Indeed, Plaintiff did not know whether any unlawful employment practices had occurred, took no position on whether he thought an unlawful act occurred, and instead deferred to HR to investigate whether there was anything inappropriate about the sexist comments. Thus, Defendant meets its initial burden of negating an essential element of Plaintiff's claim-the element of protected activity.</w:t>
      </w:r>
      <w:r>
        <w:t>”</w:t>
      </w:r>
    </w:p>
    <w:p w14:paraId="74A6621D" w14:textId="77777777" w:rsidR="00756ACB" w:rsidRDefault="00756ACB" w:rsidP="00756ACB">
      <w:pPr>
        <w:pStyle w:val="NoSpacing"/>
        <w:ind w:left="720"/>
      </w:pPr>
    </w:p>
    <w:p w14:paraId="2E0EEC25" w14:textId="77777777" w:rsidR="00756ACB" w:rsidRPr="00BA635F" w:rsidRDefault="00756ACB" w:rsidP="00756ACB">
      <w:pPr>
        <w:rPr>
          <w:b/>
          <w:bCs/>
        </w:rPr>
      </w:pPr>
      <w:r>
        <w:rPr>
          <w:b/>
        </w:rPr>
        <w:t xml:space="preserve">Legal lesson learned:  Employer terminated plaintiff for gross misconduct. </w:t>
      </w:r>
    </w:p>
    <w:p w14:paraId="22AD614B" w14:textId="77777777" w:rsidR="00756ACB" w:rsidRDefault="00756ACB" w:rsidP="002B1283">
      <w:pPr>
        <w:rPr>
          <w:rFonts w:ascii="Arial Black" w:hAnsi="Arial Black"/>
          <w:b/>
          <w:bCs/>
          <w:sz w:val="28"/>
          <w:szCs w:val="28"/>
        </w:rPr>
      </w:pPr>
    </w:p>
    <w:p w14:paraId="38C4BEA5" w14:textId="77777777" w:rsidR="001150EA" w:rsidRDefault="001150EA" w:rsidP="00004498">
      <w:pPr>
        <w:rPr>
          <w:rFonts w:ascii="Arial Black" w:hAnsi="Arial Black"/>
          <w:b/>
          <w:bCs/>
          <w:sz w:val="24"/>
          <w:szCs w:val="24"/>
        </w:rPr>
      </w:pPr>
    </w:p>
    <w:p w14:paraId="1FC16693" w14:textId="77777777" w:rsidR="001150EA" w:rsidRDefault="001150EA" w:rsidP="00004498">
      <w:pPr>
        <w:rPr>
          <w:rFonts w:ascii="Arial Black" w:hAnsi="Arial Black"/>
          <w:b/>
          <w:bCs/>
          <w:sz w:val="24"/>
          <w:szCs w:val="24"/>
        </w:rPr>
      </w:pPr>
    </w:p>
    <w:p w14:paraId="6F9AB0E4" w14:textId="77777777" w:rsidR="001150EA" w:rsidRDefault="001150EA" w:rsidP="00004498">
      <w:pPr>
        <w:rPr>
          <w:rFonts w:ascii="Arial Black" w:hAnsi="Arial Black"/>
          <w:b/>
          <w:bCs/>
          <w:sz w:val="24"/>
          <w:szCs w:val="24"/>
        </w:rPr>
      </w:pPr>
    </w:p>
    <w:p w14:paraId="3C30CCCA" w14:textId="5988C92D" w:rsidR="00B170D7" w:rsidRDefault="00B170D7"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252</w:t>
      </w:r>
    </w:p>
    <w:p w14:paraId="00C9DBE0" w14:textId="77777777" w:rsidR="00DD2FCE" w:rsidRPr="00226169" w:rsidRDefault="00DD2FCE" w:rsidP="00DD2FCE">
      <w:pPr>
        <w:pStyle w:val="NoSpacing"/>
        <w:rPr>
          <w:rFonts w:ascii="Arial Black" w:hAnsi="Arial Black"/>
          <w:sz w:val="28"/>
          <w:szCs w:val="28"/>
        </w:rPr>
      </w:pPr>
      <w:r>
        <w:rPr>
          <w:rFonts w:ascii="Arial Black" w:hAnsi="Arial Black"/>
          <w:sz w:val="28"/>
          <w:szCs w:val="28"/>
        </w:rPr>
        <w:t xml:space="preserve">OK: COMBATIVE PT - “POSITIONAL ASPHYXIA” – DIED </w:t>
      </w:r>
    </w:p>
    <w:p w14:paraId="5B04D20D" w14:textId="77777777" w:rsidR="00DD2FCE" w:rsidRDefault="00DD2FCE" w:rsidP="00DD2FCE">
      <w:pPr>
        <w:pStyle w:val="NoSpacing"/>
        <w:ind w:left="720"/>
      </w:pPr>
    </w:p>
    <w:p w14:paraId="62FB26F8" w14:textId="77777777" w:rsidR="00DD2FCE" w:rsidRDefault="00DD2FCE" w:rsidP="00DD2FCE">
      <w:pPr>
        <w:pStyle w:val="NoSpacing"/>
      </w:pPr>
      <w:r>
        <w:t xml:space="preserve">On March 18, 2026, in </w:t>
      </w:r>
      <w:r w:rsidRPr="00C503C4">
        <w:rPr>
          <w:u w:val="single"/>
        </w:rPr>
        <w:t>Charles Kaleb Vanlandingham, Administrator for the Estate of Charles Lamar Vanlandingham v. The City of Oklahoma City, et al.</w:t>
      </w:r>
      <w:r>
        <w:t xml:space="preserve">, U.S. District Court Judge Timothy D. </w:t>
      </w:r>
      <w:proofErr w:type="spellStart"/>
      <w:r>
        <w:t>DeGiusti</w:t>
      </w:r>
      <w:proofErr w:type="spellEnd"/>
      <w:r>
        <w:t xml:space="preserve">, United States District Court for Western District of Oklahoma, denied the defense motion for summary judgment, finding that there was a lack of training by police officers and EMS/fire </w:t>
      </w:r>
      <w:r w:rsidRPr="009C398A">
        <w:t>of positional asphyxia</w:t>
      </w:r>
      <w:r>
        <w:t>. There is “</w:t>
      </w:r>
      <w:r w:rsidRPr="00BD5698">
        <w:t>sufficient evidence for a jury to conclude that the City acted with deliberate indifference.</w:t>
      </w:r>
      <w:r>
        <w:t xml:space="preserve">”  Court did </w:t>
      </w:r>
      <w:proofErr w:type="gramStart"/>
      <w:r>
        <w:t>dismiss</w:t>
      </w:r>
      <w:proofErr w:type="gramEnd"/>
      <w:r>
        <w:t xml:space="preserve"> claims that Officer Lee violated state negligence law. “</w:t>
      </w:r>
      <w:r w:rsidRPr="00854B99">
        <w:t>The body-worn camera footage shows Officer Lee entering the home, placing handcuffs on Mr. Vanlandingham, and placing his weight and shin on Plaintiff's back to restrain him. The Court finds these actions consistent with an officer taking an individual into protective custody.</w:t>
      </w:r>
      <w:r>
        <w:t>”</w:t>
      </w:r>
    </w:p>
    <w:p w14:paraId="5812F320" w14:textId="77777777" w:rsidR="00DD2FCE" w:rsidRDefault="00DD2FCE" w:rsidP="00DD2FCE">
      <w:pPr>
        <w:pStyle w:val="NoSpacing"/>
      </w:pPr>
      <w:hyperlink r:id="rId2087" w:history="1">
        <w:r w:rsidRPr="004C7C67">
          <w:rPr>
            <w:rStyle w:val="Hyperlink"/>
          </w:rPr>
          <w:t>https://public.fastcase.com/Jhe1Qn%2BmJndQYQU6z%2FeNm94x%2BjtPzHFQX2c8S%2Bx9Phdmrv4s2ioOEI%2FF1Ai%2FXC71?utm_medium=email&amp;_hsenc=p2ANqtz-9AeMkmBBV7ab-HOOGxYui1F4KaPFQMcLoSV_UpG8Q7nnWqxWkhxKerqRyhPDwCCdLiDrxj3K5C-zreoAE1nVCtmbRsSQ&amp;_hsmi=226712652&amp;utm_content=226712652&amp;utm_source=hs_email</w:t>
        </w:r>
      </w:hyperlink>
      <w:r>
        <w:t xml:space="preserve"> </w:t>
      </w:r>
    </w:p>
    <w:p w14:paraId="6A05F634" w14:textId="77777777" w:rsidR="00DD2FCE" w:rsidRDefault="00DD2FCE" w:rsidP="00DD2FCE">
      <w:pPr>
        <w:pStyle w:val="NoSpacing"/>
      </w:pPr>
    </w:p>
    <w:p w14:paraId="01C31218" w14:textId="77777777" w:rsidR="00DD2FCE" w:rsidRDefault="00DD2FCE" w:rsidP="00DD2FCE">
      <w:pPr>
        <w:pStyle w:val="NoSpacing"/>
      </w:pPr>
      <w:r>
        <w:t>THE COURT HELD:  “</w:t>
      </w:r>
      <w:r w:rsidRPr="00E033CA">
        <w:t>The Court finds there is evidence from which a reasonable jury could conclude that the need for additional training was so obvious as to support a finding of deliberate indifference. Although Defendant offers extensive evidence regarding its training for officers that has been accredited by a national accrediting organization, Plaintiff provides evidence that the OCPD has known of the dangers of positional asphyxia and has failed to update or change their use of force policy.</w:t>
      </w:r>
    </w:p>
    <w:p w14:paraId="3399D718" w14:textId="77777777" w:rsidR="00DD2FCE" w:rsidRDefault="00DD2FCE" w:rsidP="00DD2FCE">
      <w:pPr>
        <w:pStyle w:val="NoSpacing"/>
      </w:pPr>
    </w:p>
    <w:p w14:paraId="2FDD8C4A" w14:textId="77777777" w:rsidR="00DD2FCE" w:rsidRDefault="00DD2FCE" w:rsidP="00DD2FCE">
      <w:pPr>
        <w:pStyle w:val="NoSpacing"/>
      </w:pPr>
      <w:r>
        <w:t>***</w:t>
      </w:r>
    </w:p>
    <w:p w14:paraId="615BB1D2" w14:textId="77777777" w:rsidR="00DD2FCE" w:rsidRDefault="00DD2FCE" w:rsidP="00DD2FCE">
      <w:pPr>
        <w:pStyle w:val="NoSpacing"/>
      </w:pPr>
    </w:p>
    <w:p w14:paraId="15C1B54F" w14:textId="77777777" w:rsidR="00DD2FCE" w:rsidRDefault="00DD2FCE" w:rsidP="00DD2FCE">
      <w:pPr>
        <w:pStyle w:val="NoSpacing"/>
      </w:pPr>
      <w:r w:rsidRPr="00CD137A">
        <w:t>On September 15, 2019, at approximately 3:54 a.m., Theresa Hancock called 911 seeking help for her boyfriend, Charles Vanlandingham, who was having a medical emergency</w:t>
      </w:r>
      <w:r>
        <w:t xml:space="preserve"> ….</w:t>
      </w:r>
      <w:r w:rsidRPr="00CD137A">
        <w:t>Paramedics employed by American Medical Response Ambulance Service were dispatched to the home where they found Mr. Vanlandingham on a bed</w:t>
      </w:r>
      <w:r>
        <w:t xml:space="preserve"> ….</w:t>
      </w:r>
      <w:r w:rsidRPr="00CD137A">
        <w:t>One of the paramedics attempted to move him from the bed to a cot</w:t>
      </w:r>
      <w:r>
        <w:t>…. it i</w:t>
      </w:r>
      <w:r w:rsidRPr="00CD137A">
        <w:t>s undisputed that at some point during this attempt, the paramedic pushed his panic button and sent another paramedic to the ambulance to call for assistance from both the fire department and Oklahoma City police officers</w:t>
      </w:r>
      <w:r>
        <w:t xml:space="preserve">…. </w:t>
      </w:r>
      <w:r w:rsidRPr="00CD137A">
        <w:t>Shortly thereafter, four firefighters arrived at the scene</w:t>
      </w:r>
      <w:r>
        <w:t xml:space="preserve"> … t</w:t>
      </w:r>
      <w:r w:rsidRPr="00CD137A">
        <w:t>he first firefighter entered the home and found the paramedic struggling with Mr. Vanlandingham</w:t>
      </w:r>
      <w:r>
        <w:t xml:space="preserve">… </w:t>
      </w:r>
      <w:r w:rsidRPr="00CD137A">
        <w:t>After several minutes, the firefighter placed Mr. Vanlandingham on the ground in a prone position</w:t>
      </w:r>
      <w:r>
        <w:t xml:space="preserve">…. </w:t>
      </w:r>
      <w:r w:rsidRPr="00CD137A">
        <w:t>Upon entering the home, Officer Lee went to the room where Mr. Vanlandingham was located and saw him wheezing and experiencing labored breaching</w:t>
      </w:r>
      <w:r>
        <w:t xml:space="preserve">…. </w:t>
      </w:r>
      <w:r w:rsidRPr="00CD137A">
        <w:t>A paramedic asked Officer Lee if he had a set of handcuffs, to which Officer Lee immediately responded by securing two sets of handcuffs on Mr. Vanlandingham</w:t>
      </w:r>
      <w:r>
        <w:t xml:space="preserve"> …. </w:t>
      </w:r>
      <w:r w:rsidRPr="00CD137A">
        <w:t>Although someone on the scene asked whether soft restraints should be used, the paramedic stated that it was his call and he wanted Mr. Vanlandingham to remain handcuffed until he was in the ambulance</w:t>
      </w:r>
      <w:r>
        <w:t xml:space="preserve">…. </w:t>
      </w:r>
      <w:r w:rsidRPr="00CD137A">
        <w:t>Officer Lee told dispatch that he was in custody but needed the assistance of another officer</w:t>
      </w:r>
      <w:r>
        <w:t xml:space="preserve">…. </w:t>
      </w:r>
      <w:r w:rsidRPr="00CD137A">
        <w:t>He proceeded to place his shin across Mr. Vanlandingham's back while four other firefighters held him down</w:t>
      </w:r>
      <w:r>
        <w:t xml:space="preserve">…. </w:t>
      </w:r>
      <w:r w:rsidRPr="00CD137A">
        <w:t>Officer Lee estimates that he placed 10% to 20% of his total body weight on Mr. Vanlandingham for approximately 90 seconds</w:t>
      </w:r>
      <w:r>
        <w:t xml:space="preserve">…. </w:t>
      </w:r>
      <w:r w:rsidRPr="00CD137A">
        <w:t xml:space="preserve"> Another firefighter was holding and bending Mr. Vanlandingham's right leg to his buttocks while his other leg was held down by another firefighter</w:t>
      </w:r>
      <w:r>
        <w:t xml:space="preserve"> …. </w:t>
      </w:r>
      <w:r w:rsidRPr="00CD137A">
        <w:t>While Mr. Vanlandingham was still handcuffed, the paramedics administered 5mg of Versed, and within seconds he became unresponsive</w:t>
      </w:r>
      <w:r>
        <w:t xml:space="preserve">…. </w:t>
      </w:r>
      <w:r w:rsidRPr="00CD137A">
        <w:t>Officer Lee removed the handcuffs and left the room</w:t>
      </w:r>
      <w:r>
        <w:t xml:space="preserve"> …. </w:t>
      </w:r>
      <w:r w:rsidRPr="00CD137A">
        <w:t>Paramedics then began to render emergency aid for approximately 30 minutes, but it was unsuccessful and Mr. Vanlandingham was pronounced dead at the scene.</w:t>
      </w:r>
      <w:r>
        <w:t>”</w:t>
      </w:r>
    </w:p>
    <w:p w14:paraId="43556061" w14:textId="77777777" w:rsidR="00DD2FCE" w:rsidRDefault="00DD2FCE" w:rsidP="00DD2FCE">
      <w:pPr>
        <w:pStyle w:val="NoSpacing"/>
      </w:pPr>
    </w:p>
    <w:p w14:paraId="3D5F4A6C" w14:textId="77777777" w:rsidR="00DD2FCE" w:rsidRPr="00846D95" w:rsidRDefault="00DD2FCE" w:rsidP="00DD2FCE">
      <w:pPr>
        <w:pStyle w:val="NoSpacing"/>
        <w:rPr>
          <w:b/>
          <w:bCs/>
        </w:rPr>
      </w:pPr>
      <w:r>
        <w:rPr>
          <w:b/>
        </w:rPr>
        <w:t xml:space="preserve">Legal lesson learned: EMS should review their protocols, and conduct joint training with law enforcement, on handling a combative patient. </w:t>
      </w:r>
    </w:p>
    <w:p w14:paraId="0BB6DB44" w14:textId="77777777" w:rsidR="00DD2FCE" w:rsidRPr="00CD137A" w:rsidRDefault="00DD2FCE" w:rsidP="00DD2FCE">
      <w:pPr>
        <w:pStyle w:val="NoSpacing"/>
      </w:pPr>
    </w:p>
    <w:p w14:paraId="010684DE" w14:textId="77777777" w:rsidR="00DD2FCE" w:rsidRPr="00576F3F" w:rsidRDefault="00DD2FCE" w:rsidP="00DD2FCE">
      <w:pPr>
        <w:pStyle w:val="NoSpacing"/>
        <w:ind w:left="720"/>
      </w:pPr>
      <w:r>
        <w:t xml:space="preserve">Note: See 2025 YouTube video: </w:t>
      </w:r>
      <w:r w:rsidRPr="00576F3F">
        <w:t xml:space="preserve">“What Is Positional Asphyxia </w:t>
      </w:r>
      <w:proofErr w:type="gramStart"/>
      <w:r w:rsidRPr="00576F3F">
        <w:t>And</w:t>
      </w:r>
      <w:proofErr w:type="gramEnd"/>
      <w:r w:rsidRPr="00576F3F">
        <w:t xml:space="preserve"> How </w:t>
      </w:r>
      <w:proofErr w:type="gramStart"/>
      <w:r w:rsidRPr="00576F3F">
        <w:t>To</w:t>
      </w:r>
      <w:proofErr w:type="gramEnd"/>
      <w:r w:rsidRPr="00576F3F">
        <w:t xml:space="preserve"> Prevent It? - Law Enforcement Insider.”</w:t>
      </w:r>
      <w:r>
        <w:t xml:space="preserve"> </w:t>
      </w:r>
      <w:hyperlink r:id="rId2088" w:history="1">
        <w:r w:rsidRPr="004C7C67">
          <w:rPr>
            <w:rStyle w:val="Hyperlink"/>
          </w:rPr>
          <w:t>https://www.youtube.com/watch?v=_LFgzOE_WU8</w:t>
        </w:r>
      </w:hyperlink>
      <w:r>
        <w:t xml:space="preserve"> </w:t>
      </w:r>
    </w:p>
    <w:p w14:paraId="7223DEDC" w14:textId="77777777" w:rsidR="00DD2FCE" w:rsidRPr="00576F3F" w:rsidRDefault="00DD2FCE" w:rsidP="00DD2FCE">
      <w:pPr>
        <w:pStyle w:val="NoSpacing"/>
        <w:ind w:left="720"/>
      </w:pPr>
    </w:p>
    <w:p w14:paraId="65299030" w14:textId="77777777" w:rsidR="00DD2FCE" w:rsidRDefault="00DD2FCE" w:rsidP="00DD2FCE">
      <w:pPr>
        <w:pStyle w:val="NoSpacing"/>
        <w:ind w:left="720"/>
      </w:pPr>
      <w:r>
        <w:t>See also U.S. Department of Justice June 1995 bulletin: “</w:t>
      </w:r>
      <w:r w:rsidRPr="00C31F2D">
        <w:t>Positional Asphyxia—Sudden Death</w:t>
      </w:r>
      <w:r>
        <w:t xml:space="preserve">.” </w:t>
      </w:r>
      <w:hyperlink r:id="rId2089" w:history="1">
        <w:r w:rsidRPr="004C7C67">
          <w:rPr>
            <w:rStyle w:val="Hyperlink"/>
          </w:rPr>
          <w:t>https://www.ojp.gov/pdffiles/posasph.pdf</w:t>
        </w:r>
      </w:hyperlink>
      <w:r>
        <w:t xml:space="preserve"> </w:t>
      </w:r>
    </w:p>
    <w:p w14:paraId="068D66F8" w14:textId="77777777" w:rsidR="00DD2FCE" w:rsidRDefault="00DD2FCE" w:rsidP="00DD2FCE">
      <w:pPr>
        <w:pStyle w:val="NoSpacing"/>
      </w:pPr>
    </w:p>
    <w:p w14:paraId="79B3F049" w14:textId="77777777" w:rsidR="00DD2FCE" w:rsidRDefault="00DD2FCE" w:rsidP="00DD2FCE">
      <w:pPr>
        <w:pStyle w:val="NoSpacing"/>
      </w:pPr>
    </w:p>
    <w:p w14:paraId="34A9565A" w14:textId="77777777" w:rsidR="00B170D7" w:rsidRDefault="00B170D7" w:rsidP="00004498">
      <w:pPr>
        <w:rPr>
          <w:rFonts w:ascii="Arial Black" w:hAnsi="Arial Black"/>
          <w:b/>
          <w:bCs/>
          <w:sz w:val="24"/>
          <w:szCs w:val="24"/>
        </w:rPr>
      </w:pPr>
    </w:p>
    <w:p w14:paraId="6DE3A8F7" w14:textId="3633BCF4" w:rsidR="00DD2FCE" w:rsidRDefault="00DD2FCE"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251</w:t>
      </w:r>
    </w:p>
    <w:p w14:paraId="018D5317" w14:textId="77777777" w:rsidR="00552D25" w:rsidRPr="00C15F7A" w:rsidRDefault="00552D25" w:rsidP="00552D25">
      <w:pPr>
        <w:pStyle w:val="NoSpacing"/>
        <w:rPr>
          <w:rFonts w:ascii="Arial Black" w:hAnsi="Arial Black"/>
          <w:sz w:val="28"/>
          <w:szCs w:val="28"/>
        </w:rPr>
      </w:pPr>
      <w:r>
        <w:rPr>
          <w:rFonts w:ascii="Arial Black" w:hAnsi="Arial Black"/>
          <w:sz w:val="28"/>
          <w:szCs w:val="28"/>
        </w:rPr>
        <w:t xml:space="preserve">MN: PT TOLD MEDIC USING HEROIN – RUN RPT ADMISSIBLE </w:t>
      </w:r>
    </w:p>
    <w:p w14:paraId="25B94484" w14:textId="77777777" w:rsidR="00552D25" w:rsidRDefault="00552D25" w:rsidP="00552D25">
      <w:pPr>
        <w:pStyle w:val="NoSpacing"/>
      </w:pPr>
    </w:p>
    <w:p w14:paraId="4F864768" w14:textId="77777777" w:rsidR="00552D25" w:rsidRDefault="00552D25" w:rsidP="00552D25">
      <w:pPr>
        <w:pStyle w:val="NoSpacing"/>
      </w:pPr>
      <w:r>
        <w:t xml:space="preserve">On March 18, 2026, in </w:t>
      </w:r>
      <w:r w:rsidRPr="005442BF">
        <w:rPr>
          <w:u w:val="single"/>
        </w:rPr>
        <w:t>State of Minnesota v. Anthony Richard Smeby</w:t>
      </w:r>
      <w:r>
        <w:t xml:space="preserve">, the </w:t>
      </w:r>
      <w:r w:rsidRPr="00454086">
        <w:t>Supreme Court of Minnesota</w:t>
      </w:r>
      <w:r>
        <w:t xml:space="preserve"> held (6 to 1) that the trial court judge properly denied the defendant’s motion to suppress the EMS run record confirming that prior to the three-car crash Smeby told the paramedics and his girlfriend that he had used heroin. The jury convicted </w:t>
      </w:r>
      <w:proofErr w:type="gramStart"/>
      <w:r>
        <w:t>him</w:t>
      </w:r>
      <w:proofErr w:type="gramEnd"/>
      <w:r>
        <w:t xml:space="preserve"> driving while under the influence of a controlled substance.   The Court of Appeals rejected Smeby’s argument on appeal that the disclosure of his statements to the paramedics and his girlfriend violated the physician-patient privilege statute; holding that “paramedics are categorically excluded from the</w:t>
      </w:r>
    </w:p>
    <w:p w14:paraId="6D6E42BF" w14:textId="77777777" w:rsidR="00552D25" w:rsidRDefault="00552D25" w:rsidP="00552D25">
      <w:pPr>
        <w:pStyle w:val="NoSpacing"/>
      </w:pPr>
      <w:r>
        <w:t xml:space="preserve">physician-patient privilege statute” since EMS not mentioned in the statute.  Minnesota Supreme Court clarified that if EMS were performing activities are the specific direction of a physician [such as in Emergency Department] that a defendant’s comments about his heroin use could be privileged. </w:t>
      </w:r>
      <w:hyperlink r:id="rId2090" w:history="1">
        <w:r w:rsidRPr="004C7C67">
          <w:rPr>
            <w:rStyle w:val="Hyperlink"/>
          </w:rPr>
          <w:t>https://cases.justia.com/minnesota/supreme-court/2026-a23-0516.pdf?ts=1773911973</w:t>
        </w:r>
      </w:hyperlink>
      <w:r>
        <w:t xml:space="preserve"> </w:t>
      </w:r>
    </w:p>
    <w:p w14:paraId="3A03995D" w14:textId="77777777" w:rsidR="00552D25" w:rsidRDefault="00552D25" w:rsidP="00552D25">
      <w:pPr>
        <w:pStyle w:val="NoSpacing"/>
      </w:pPr>
      <w:r>
        <w:t xml:space="preserve"> </w:t>
      </w:r>
    </w:p>
    <w:p w14:paraId="371F67EB" w14:textId="77777777" w:rsidR="00552D25" w:rsidRDefault="00552D25" w:rsidP="00552D25">
      <w:pPr>
        <w:pStyle w:val="NoSpacing"/>
      </w:pPr>
    </w:p>
    <w:p w14:paraId="4AE261C3" w14:textId="77777777" w:rsidR="00552D25" w:rsidRDefault="00552D25" w:rsidP="00552D25">
      <w:pPr>
        <w:pStyle w:val="NoSpacing"/>
      </w:pPr>
      <w:r>
        <w:t>THE COURT HELD: “In August 2021, law enforcement officers responded to the scene of a three-car accident and found appellant Anthony Richard Smeby unconscious behind the wheel of</w:t>
      </w:r>
    </w:p>
    <w:p w14:paraId="69CD42F0" w14:textId="77777777" w:rsidR="00552D25" w:rsidRDefault="00552D25" w:rsidP="00552D25">
      <w:pPr>
        <w:pStyle w:val="NoSpacing"/>
      </w:pPr>
      <w:r>
        <w:t>one of the cars. After an officer administered two doses of Narcan,1 Smeby regained</w:t>
      </w:r>
    </w:p>
    <w:p w14:paraId="028DEDDF" w14:textId="77777777" w:rsidR="00552D25" w:rsidRDefault="00552D25" w:rsidP="00552D25">
      <w:pPr>
        <w:pStyle w:val="NoSpacing"/>
      </w:pPr>
      <w:r>
        <w:t>consciousness. Ambulance paramedics transported Smeby to a hospital. A district court</w:t>
      </w:r>
    </w:p>
    <w:p w14:paraId="19EB4115" w14:textId="77777777" w:rsidR="00552D25" w:rsidRDefault="00552D25" w:rsidP="00552D25">
      <w:pPr>
        <w:pStyle w:val="NoSpacing"/>
      </w:pPr>
      <w:r>
        <w:t>later signed a search warrant presented by law enforcement that authorized the State to</w:t>
      </w:r>
    </w:p>
    <w:p w14:paraId="712C7787" w14:textId="77777777" w:rsidR="00552D25" w:rsidRDefault="00552D25" w:rsidP="00552D25">
      <w:pPr>
        <w:pStyle w:val="NoSpacing"/>
      </w:pPr>
      <w:r>
        <w:t>search the medical records and ambulance run sheets related to Smeby from the date of the</w:t>
      </w:r>
    </w:p>
    <w:p w14:paraId="51F27007" w14:textId="77777777" w:rsidR="00552D25" w:rsidRDefault="00552D25" w:rsidP="00552D25">
      <w:pPr>
        <w:pStyle w:val="NoSpacing"/>
      </w:pPr>
      <w:r>
        <w:t>accident. The search revealed that Smeby told the paramedics and his girlfriend that he</w:t>
      </w:r>
    </w:p>
    <w:p w14:paraId="5CC08B4B" w14:textId="77777777" w:rsidR="00552D25" w:rsidRDefault="00552D25" w:rsidP="00552D25">
      <w:pPr>
        <w:pStyle w:val="NoSpacing"/>
      </w:pPr>
      <w:r>
        <w:t>had used heroin.</w:t>
      </w:r>
    </w:p>
    <w:p w14:paraId="61AC9269" w14:textId="77777777" w:rsidR="00552D25" w:rsidRDefault="00552D25" w:rsidP="00552D25">
      <w:pPr>
        <w:pStyle w:val="NoSpacing"/>
      </w:pPr>
    </w:p>
    <w:p w14:paraId="3479C201" w14:textId="77777777" w:rsidR="00552D25" w:rsidRDefault="00552D25" w:rsidP="00552D25">
      <w:pPr>
        <w:pStyle w:val="NoSpacing"/>
      </w:pPr>
      <w:r>
        <w:t>***</w:t>
      </w:r>
    </w:p>
    <w:p w14:paraId="3E145D81" w14:textId="77777777" w:rsidR="00552D25" w:rsidRDefault="00552D25" w:rsidP="00552D25">
      <w:pPr>
        <w:pStyle w:val="NoSpacing"/>
      </w:pPr>
      <w:r>
        <w:t>We now clarify that Minn. Stat. § 595.02, subd. 1(d), applies to communications between paramedics and patients if the paramedic is acting ‘under the direction’ of the treating physician such that there is an agency relationship with the physician….</w:t>
      </w:r>
    </w:p>
    <w:p w14:paraId="2E540018" w14:textId="77777777" w:rsidR="00552D25" w:rsidRDefault="00552D25" w:rsidP="00552D25">
      <w:pPr>
        <w:pStyle w:val="NoSpacing"/>
      </w:pPr>
    </w:p>
    <w:p w14:paraId="67947793" w14:textId="77777777" w:rsidR="00552D25" w:rsidRDefault="00552D25" w:rsidP="00552D25">
      <w:pPr>
        <w:pStyle w:val="NoSpacing"/>
      </w:pPr>
      <w:r>
        <w:t>The same is true for Smeby’s girlfriend’s statements to the nurse about his heroin use. For the reasons already explained, those statements are not protected by the physician-patient privilege or the nurse-patient privilege. The inclusion of the girlfriend’s comment in Smeby’s medical record does not render the girlfriend’s comment privileged.”</w:t>
      </w:r>
    </w:p>
    <w:p w14:paraId="45BC40F5" w14:textId="77777777" w:rsidR="00552D25" w:rsidRDefault="00552D25" w:rsidP="00552D25">
      <w:pPr>
        <w:pStyle w:val="NoSpacing"/>
      </w:pPr>
    </w:p>
    <w:p w14:paraId="6214C8D3" w14:textId="77777777" w:rsidR="00552D25" w:rsidRPr="00273001" w:rsidRDefault="00552D25" w:rsidP="00552D25">
      <w:pPr>
        <w:pStyle w:val="NoSpacing"/>
        <w:rPr>
          <w:b/>
          <w:bCs/>
        </w:rPr>
      </w:pPr>
      <w:r w:rsidRPr="00273001">
        <w:rPr>
          <w:b/>
        </w:rPr>
        <w:t xml:space="preserve">Legal lesson learned: </w:t>
      </w:r>
      <w:r>
        <w:rPr>
          <w:b/>
        </w:rPr>
        <w:t xml:space="preserve">EMS wisely documented in EMS run report that both the patient and his girlfriend stated he was using heroin prior to crash.  </w:t>
      </w:r>
    </w:p>
    <w:p w14:paraId="52692DFA" w14:textId="77777777" w:rsidR="00552D25" w:rsidRDefault="00552D25" w:rsidP="00552D25">
      <w:pPr>
        <w:pStyle w:val="NoSpacing"/>
      </w:pPr>
    </w:p>
    <w:p w14:paraId="2815BC2B" w14:textId="77777777" w:rsidR="00552D25" w:rsidRDefault="00552D25" w:rsidP="00552D25">
      <w:pPr>
        <w:pStyle w:val="NoSpacing"/>
      </w:pPr>
      <w:r>
        <w:tab/>
        <w:t>Note:  See the Minnesota privilege statue.</w:t>
      </w:r>
    </w:p>
    <w:p w14:paraId="64E08A1F" w14:textId="77777777" w:rsidR="00552D25" w:rsidRDefault="00552D25" w:rsidP="00552D25">
      <w:pPr>
        <w:pStyle w:val="NoSpacing"/>
        <w:ind w:firstLine="720"/>
      </w:pPr>
      <w:hyperlink r:id="rId2091" w:history="1">
        <w:r w:rsidRPr="004C7C67">
          <w:rPr>
            <w:rStyle w:val="Hyperlink"/>
          </w:rPr>
          <w:t>https://www.revisor.mn.gov/statutes/cite/595.02</w:t>
        </w:r>
      </w:hyperlink>
      <w:r>
        <w:t xml:space="preserve"> </w:t>
      </w:r>
    </w:p>
    <w:p w14:paraId="151FB290" w14:textId="77777777" w:rsidR="00552D25" w:rsidRDefault="00552D25" w:rsidP="00552D25">
      <w:pPr>
        <w:pStyle w:val="NoSpacing"/>
      </w:pPr>
    </w:p>
    <w:p w14:paraId="7C11F5FB" w14:textId="77777777" w:rsidR="00552D25" w:rsidRDefault="00552D25" w:rsidP="00552D25">
      <w:pPr>
        <w:pStyle w:val="NoSpacing"/>
        <w:ind w:left="720"/>
      </w:pPr>
      <w:r>
        <w:t>“</w:t>
      </w:r>
      <w:r w:rsidRPr="008235AE">
        <w:t>(d) A licensed physician or surgeon, dentist, or chiropractor shall not, without the consent of the patient, be allowed to disclose any information or any opinion based thereon which the professional acquired in attending the patient in a professional capacity, and which was necessary to enable the professional to act in that capacity; after the decease of the patient, in an action to recover insurance benefits, where the insurance has been in existence two years or more, the beneficiaries shall be deemed to be the personal representatives of the deceased person for the purpose of waiving this privilege, and no oral or written waiver of the privilege shall have any binding force or effect except when made upon the trial or examination where the evidence is offered or received.</w:t>
      </w:r>
      <w:r>
        <w:t>”</w:t>
      </w:r>
    </w:p>
    <w:p w14:paraId="58169CD0" w14:textId="77777777" w:rsidR="00552D25" w:rsidRPr="00BC4B85" w:rsidRDefault="00552D25" w:rsidP="00552D25">
      <w:pPr>
        <w:pStyle w:val="NoSpacing"/>
        <w:rPr>
          <w:b/>
          <w:bCs/>
        </w:rPr>
      </w:pPr>
    </w:p>
    <w:p w14:paraId="29447C2D" w14:textId="77777777" w:rsidR="00DD2FCE" w:rsidRDefault="00DD2FCE" w:rsidP="00004498">
      <w:pPr>
        <w:rPr>
          <w:rFonts w:ascii="Arial Black" w:hAnsi="Arial Black"/>
          <w:b/>
          <w:bCs/>
          <w:sz w:val="24"/>
          <w:szCs w:val="24"/>
        </w:rPr>
      </w:pPr>
    </w:p>
    <w:p w14:paraId="159D361F" w14:textId="066733D5" w:rsidR="00552D25" w:rsidRDefault="00552D25"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250</w:t>
      </w:r>
    </w:p>
    <w:p w14:paraId="05500C7A" w14:textId="77777777" w:rsidR="00E306E9" w:rsidRPr="00752ABB" w:rsidRDefault="00E306E9" w:rsidP="00E306E9">
      <w:pPr>
        <w:pStyle w:val="NoSpacing"/>
        <w:rPr>
          <w:rFonts w:ascii="Arial Black" w:hAnsi="Arial Black"/>
          <w:b/>
          <w:sz w:val="28"/>
          <w:szCs w:val="28"/>
        </w:rPr>
      </w:pPr>
      <w:r>
        <w:rPr>
          <w:rFonts w:ascii="Arial Black" w:hAnsi="Arial Black"/>
          <w:b/>
          <w:sz w:val="28"/>
          <w:szCs w:val="28"/>
        </w:rPr>
        <w:t>FL: EMS &amp; HOSP BLOOD DRAWS – SUBPOENA MURDER</w:t>
      </w:r>
    </w:p>
    <w:p w14:paraId="6AFB49B5" w14:textId="77777777" w:rsidR="00E306E9" w:rsidRDefault="00E306E9" w:rsidP="00E306E9">
      <w:pPr>
        <w:pStyle w:val="NoSpacing"/>
        <w:rPr>
          <w:b/>
        </w:rPr>
      </w:pPr>
    </w:p>
    <w:p w14:paraId="45479718" w14:textId="21CF744F" w:rsidR="00E306E9" w:rsidRDefault="00E306E9" w:rsidP="00E306E9">
      <w:pPr>
        <w:pStyle w:val="NoSpacing"/>
        <w:rPr>
          <w:b/>
        </w:rPr>
      </w:pPr>
      <w:r>
        <w:t xml:space="preserve">On March 18, 2026, in </w:t>
      </w:r>
      <w:r w:rsidRPr="007F0612">
        <w:rPr>
          <w:u w:val="single"/>
        </w:rPr>
        <w:t>Kyle Matthew Hill v. State of Florida</w:t>
      </w:r>
      <w:r>
        <w:t xml:space="preserve">, the </w:t>
      </w:r>
      <w:r w:rsidRPr="006D0767">
        <w:t>Florida Court of Appeals, Second District</w:t>
      </w:r>
      <w:r>
        <w:t xml:space="preserve">, held (3 to 0) that trial court judge properly refused the defendant’s motion to quash the state’s subpoena for EMS blood draw and EMS run report, and the Hospital’s blood draw records.  </w:t>
      </w:r>
      <w:r w:rsidRPr="00307C91">
        <w:t>The State indicted Mr. Hill for first-degree murder, attempted first-degree murder, DUI manslaughter, and DUI with serious bodily injury</w:t>
      </w:r>
      <w:r>
        <w:t xml:space="preserve">, and the </w:t>
      </w:r>
      <w:r w:rsidRPr="00307C91">
        <w:t>State seeks the death penalty</w:t>
      </w:r>
      <w:r>
        <w:t xml:space="preserve">.  </w:t>
      </w:r>
      <w:hyperlink r:id="rId2092" w:history="1">
        <w:r w:rsidRPr="004C7C67">
          <w:rPr>
            <w:rStyle w:val="Hyperlink"/>
            <w:b/>
          </w:rPr>
          <w:t>https://flcourts-media.flcourts.gov/content/download/2486201/opinion/Opinion_2025-1955.pdf</w:t>
        </w:r>
      </w:hyperlink>
      <w:r>
        <w:rPr>
          <w:b/>
        </w:rPr>
        <w:t xml:space="preserve"> </w:t>
      </w:r>
    </w:p>
    <w:p w14:paraId="667C54C0" w14:textId="77777777" w:rsidR="00E306E9" w:rsidRDefault="00E306E9" w:rsidP="00E306E9">
      <w:pPr>
        <w:pStyle w:val="NoSpacing"/>
        <w:rPr>
          <w:bCs/>
        </w:rPr>
      </w:pPr>
    </w:p>
    <w:p w14:paraId="4ACC2C35" w14:textId="77777777" w:rsidR="00E306E9" w:rsidRPr="00752ABB" w:rsidRDefault="00E306E9" w:rsidP="00E306E9">
      <w:pPr>
        <w:pStyle w:val="NoSpacing"/>
      </w:pPr>
      <w:r>
        <w:t>THE COURT HELD:  “</w:t>
      </w:r>
      <w:r w:rsidRPr="00752ABB">
        <w:t>Allegedly, Mr. Hill purposefully sideswiped another vehicle, causing</w:t>
      </w:r>
    </w:p>
    <w:p w14:paraId="15C8BAA8" w14:textId="77777777" w:rsidR="00E306E9" w:rsidRDefault="00E306E9" w:rsidP="00E306E9">
      <w:pPr>
        <w:pStyle w:val="NoSpacing"/>
      </w:pPr>
      <w:proofErr w:type="gramStart"/>
      <w:r w:rsidRPr="00752ABB">
        <w:t>it</w:t>
      </w:r>
      <w:proofErr w:type="gramEnd"/>
      <w:r w:rsidRPr="00752ABB">
        <w:t xml:space="preserve"> </w:t>
      </w:r>
      <w:proofErr w:type="gramStart"/>
      <w:r w:rsidRPr="00752ABB">
        <w:t>to</w:t>
      </w:r>
      <w:proofErr w:type="gramEnd"/>
      <w:r w:rsidRPr="00752ABB">
        <w:t xml:space="preserve"> leave the roadway and crash into a pole. The collision injured the</w:t>
      </w:r>
      <w:r>
        <w:t xml:space="preserve"> </w:t>
      </w:r>
      <w:r w:rsidRPr="00752ABB">
        <w:t>driver and killed her passenger.</w:t>
      </w:r>
      <w:r>
        <w:t xml:space="preserve"> </w:t>
      </w:r>
      <w:r w:rsidRPr="00752ABB">
        <w:t>Police suspected that Mr. Hill was driving under the influence of</w:t>
      </w:r>
      <w:r>
        <w:t xml:space="preserve"> </w:t>
      </w:r>
      <w:r w:rsidRPr="00752ABB">
        <w:t>alcohol. They directed emergency medical services (EMS) personnel to</w:t>
      </w:r>
      <w:r>
        <w:t xml:space="preserve"> </w:t>
      </w:r>
      <w:r w:rsidRPr="00752ABB">
        <w:t xml:space="preserve">conduct </w:t>
      </w:r>
      <w:proofErr w:type="gramStart"/>
      <w:r w:rsidRPr="00752ABB">
        <w:t>a blood</w:t>
      </w:r>
      <w:proofErr w:type="gramEnd"/>
      <w:r w:rsidRPr="00752ABB">
        <w:t xml:space="preserve"> draw. EMS personnel then took Mr. Hill to the hospital</w:t>
      </w:r>
      <w:r>
        <w:t xml:space="preserve"> </w:t>
      </w:r>
      <w:r w:rsidRPr="00752ABB">
        <w:t>where staff performed another blood draw.</w:t>
      </w:r>
    </w:p>
    <w:p w14:paraId="50AD8ADC" w14:textId="77777777" w:rsidR="00E306E9" w:rsidRDefault="00E306E9" w:rsidP="00E306E9">
      <w:pPr>
        <w:pStyle w:val="NoSpacing"/>
      </w:pPr>
    </w:p>
    <w:p w14:paraId="2CB4ECDE" w14:textId="77777777" w:rsidR="00E306E9" w:rsidRDefault="00E306E9" w:rsidP="00E306E9">
      <w:pPr>
        <w:pStyle w:val="NoSpacing"/>
      </w:pPr>
      <w:r>
        <w:t>***</w:t>
      </w:r>
    </w:p>
    <w:p w14:paraId="33EFDD69" w14:textId="77777777" w:rsidR="00E306E9" w:rsidRDefault="00E306E9" w:rsidP="00E306E9">
      <w:pPr>
        <w:pStyle w:val="NoSpacing"/>
        <w:rPr>
          <w:bCs/>
        </w:rPr>
      </w:pPr>
      <w:r w:rsidRPr="00104E34">
        <w:t>Thus, the charging documents indicate that Mr. Hill's medical</w:t>
      </w:r>
      <w:r>
        <w:t xml:space="preserve"> </w:t>
      </w:r>
      <w:r w:rsidRPr="00104E34">
        <w:t>records will provide evidence of intoxication.</w:t>
      </w:r>
      <w:r>
        <w:t xml:space="preserve"> </w:t>
      </w:r>
      <w:r w:rsidRPr="00104E34">
        <w:t>Mr. Hill contends that the State's quantum of evidence was</w:t>
      </w:r>
      <w:r>
        <w:t xml:space="preserve"> </w:t>
      </w:r>
      <w:r w:rsidRPr="00104E34">
        <w:t xml:space="preserve">insufficient to support issuance of the subpoenas. He laments </w:t>
      </w:r>
      <w:proofErr w:type="gramStart"/>
      <w:r w:rsidRPr="00104E34">
        <w:t xml:space="preserve">that </w:t>
      </w:r>
      <w:r>
        <w:t>‘</w:t>
      </w:r>
      <w:r w:rsidRPr="00104E34">
        <w:t>[t]he</w:t>
      </w:r>
      <w:proofErr w:type="gramEnd"/>
      <w:r>
        <w:t xml:space="preserve"> </w:t>
      </w:r>
      <w:r w:rsidRPr="00104E34">
        <w:t xml:space="preserve">State advanced a brief </w:t>
      </w:r>
      <w:proofErr w:type="gramStart"/>
      <w:r w:rsidRPr="00104E34">
        <w:t>argument, and</w:t>
      </w:r>
      <w:proofErr w:type="gramEnd"/>
      <w:r w:rsidRPr="00104E34">
        <w:t xml:space="preserve"> presented no evidence . . . other</w:t>
      </w:r>
      <w:r>
        <w:t xml:space="preserve"> </w:t>
      </w:r>
      <w:r w:rsidRPr="00104E34">
        <w:t>than the arrest affidavits.</w:t>
      </w:r>
      <w:r>
        <w:t>’</w:t>
      </w:r>
      <w:r w:rsidRPr="00104E34">
        <w:t xml:space="preserve"> We are unpersuaded</w:t>
      </w:r>
      <w:r>
        <w:t>.”</w:t>
      </w:r>
    </w:p>
    <w:p w14:paraId="140DDA0B" w14:textId="77777777" w:rsidR="00E306E9" w:rsidRDefault="00E306E9" w:rsidP="00E306E9">
      <w:pPr>
        <w:pStyle w:val="NoSpacing"/>
        <w:rPr>
          <w:bCs/>
        </w:rPr>
      </w:pPr>
    </w:p>
    <w:p w14:paraId="727283C0" w14:textId="77777777" w:rsidR="00E306E9" w:rsidRDefault="00E306E9" w:rsidP="00E306E9">
      <w:pPr>
        <w:pStyle w:val="NoSpacing"/>
        <w:rPr>
          <w:b/>
        </w:rPr>
      </w:pPr>
      <w:r w:rsidRPr="00B018C5">
        <w:rPr>
          <w:b/>
        </w:rPr>
        <w:t xml:space="preserve">Legal lesson learned: </w:t>
      </w:r>
      <w:r>
        <w:rPr>
          <w:b/>
        </w:rPr>
        <w:t xml:space="preserve">The defendant is facing death penalty, and the blood draw records will be provided to the jury. </w:t>
      </w:r>
    </w:p>
    <w:p w14:paraId="07F3F69F" w14:textId="77777777" w:rsidR="00552D25" w:rsidRDefault="00552D25" w:rsidP="00004498">
      <w:pPr>
        <w:rPr>
          <w:rFonts w:ascii="Arial Black" w:hAnsi="Arial Black"/>
          <w:b/>
          <w:bCs/>
          <w:sz w:val="24"/>
          <w:szCs w:val="24"/>
        </w:rPr>
      </w:pPr>
    </w:p>
    <w:p w14:paraId="5D850888" w14:textId="492F529D" w:rsidR="00B170D7" w:rsidRDefault="005127F9"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249</w:t>
      </w:r>
    </w:p>
    <w:p w14:paraId="73789317" w14:textId="77777777" w:rsidR="007C0834" w:rsidRPr="002870FF" w:rsidRDefault="007C0834" w:rsidP="007C0834">
      <w:pPr>
        <w:pStyle w:val="NoSpacing"/>
        <w:rPr>
          <w:rFonts w:ascii="Arial Black" w:hAnsi="Arial Black"/>
          <w:b/>
          <w:sz w:val="28"/>
          <w:szCs w:val="28"/>
        </w:rPr>
      </w:pPr>
      <w:r>
        <w:rPr>
          <w:rFonts w:ascii="Arial Black" w:hAnsi="Arial Black"/>
          <w:b/>
          <w:sz w:val="28"/>
          <w:szCs w:val="28"/>
        </w:rPr>
        <w:t xml:space="preserve">TN: SEIZURE PT - TASED - SPIT SOCK - FACE DOWN – DIED </w:t>
      </w:r>
    </w:p>
    <w:p w14:paraId="73AFC9BF" w14:textId="77777777" w:rsidR="007C0834" w:rsidRDefault="007C0834" w:rsidP="007C0834">
      <w:pPr>
        <w:pStyle w:val="NoSpacing"/>
        <w:rPr>
          <w:b/>
        </w:rPr>
      </w:pPr>
    </w:p>
    <w:p w14:paraId="39DB9B73" w14:textId="77777777" w:rsidR="007C0834" w:rsidRDefault="007C0834" w:rsidP="007C0834">
      <w:pPr>
        <w:pStyle w:val="NoSpacing"/>
        <w:rPr>
          <w:bCs/>
        </w:rPr>
      </w:pPr>
      <w:r w:rsidRPr="00E565A4">
        <w:t xml:space="preserve">On March 16, 2026, in </w:t>
      </w:r>
      <w:r w:rsidRPr="00E565A4">
        <w:rPr>
          <w:u w:val="single"/>
        </w:rPr>
        <w:t>Karen Goodwin, individually and on behalf of Austin Hunter Turner, deceased v. City of Bristol, Tennessee</w:t>
      </w:r>
      <w:r w:rsidRPr="00E565A4">
        <w:t xml:space="preserve">, </w:t>
      </w:r>
      <w:r>
        <w:t xml:space="preserve">U.S. District Court Judge Clifton L. Corker, United States District Court for the Eastern District of Tennessee, </w:t>
      </w:r>
      <w:r w:rsidRPr="00646F7A">
        <w:t>Greeneville Division</w:t>
      </w:r>
      <w:r>
        <w:t xml:space="preserve">, granted defense motion for summary judgment.  Combative patient, face down, restraints on hands and feet – died. Family did not file lawsuit within one year – August 30, </w:t>
      </w:r>
      <w:proofErr w:type="gramStart"/>
      <w:r>
        <w:t>2017</w:t>
      </w:r>
      <w:proofErr w:type="gramEnd"/>
      <w:r>
        <w:t xml:space="preserve"> death; case filed six years later.  </w:t>
      </w:r>
      <w:hyperlink r:id="rId2093" w:history="1">
        <w:r w:rsidRPr="00A9331C">
          <w:rPr>
            <w:rStyle w:val="Hyperlink"/>
          </w:rPr>
          <w:t>https://public.fastcase.com/Jhe1Qn%2BmJndQYQU6z%2FeNm%2BJGkZOBI%2FIR3xMI1hqgTrQGqCoob0t8sJ6Oq4%2B3vNWN?utm_medium=email&amp;_hsenc=p2ANqtz-9C5O8INd3-mOP0XdLpifj0NkMcgvHJMlYVXVlVDxFjxItyF7mxImlUcaWgD0DywBt6olIyvEknUS-SxKw_pSJ1xCMABg&amp;_hsmi=226712652&amp;utm_content=226712652&amp;utm_source=hs_email</w:t>
        </w:r>
      </w:hyperlink>
      <w:r>
        <w:t xml:space="preserve"> </w:t>
      </w:r>
    </w:p>
    <w:p w14:paraId="38E75661" w14:textId="77777777" w:rsidR="007C0834" w:rsidRDefault="007C0834" w:rsidP="007C0834">
      <w:pPr>
        <w:pStyle w:val="NoSpacing"/>
        <w:rPr>
          <w:bCs/>
        </w:rPr>
      </w:pPr>
    </w:p>
    <w:p w14:paraId="1DE9ABA5" w14:textId="77777777" w:rsidR="007C0834" w:rsidRDefault="007C0834" w:rsidP="007C0834">
      <w:pPr>
        <w:pStyle w:val="NoSpacing"/>
      </w:pPr>
      <w:r>
        <w:t>THE COURT HELD:  “</w:t>
      </w:r>
      <w:r w:rsidRPr="00EE41D8">
        <w:t>Tennessee's one-year statute of limitations therefore expired on August 30, 2018—nearly six years before this action was filed. Plaintiff's § 1983 claims must therefore be dismissed for failure to state a claim.</w:t>
      </w:r>
    </w:p>
    <w:p w14:paraId="286A9BB4" w14:textId="77777777" w:rsidR="007C0834" w:rsidRDefault="007C0834" w:rsidP="007C0834">
      <w:pPr>
        <w:pStyle w:val="NoSpacing"/>
      </w:pPr>
    </w:p>
    <w:p w14:paraId="1CE41C2A" w14:textId="77777777" w:rsidR="007C0834" w:rsidRDefault="007C0834" w:rsidP="007C0834">
      <w:pPr>
        <w:pStyle w:val="NoSpacing"/>
        <w:rPr>
          <w:bCs/>
        </w:rPr>
      </w:pPr>
      <w:r>
        <w:t>***</w:t>
      </w:r>
    </w:p>
    <w:p w14:paraId="76192D94" w14:textId="77777777" w:rsidR="007C0834" w:rsidRDefault="007C0834" w:rsidP="007C0834">
      <w:pPr>
        <w:pStyle w:val="NoSpacing"/>
        <w:rPr>
          <w:bCs/>
        </w:rPr>
      </w:pPr>
    </w:p>
    <w:p w14:paraId="3EF67B0E" w14:textId="77777777" w:rsidR="007C0834" w:rsidRDefault="007C0834" w:rsidP="007C0834">
      <w:pPr>
        <w:pStyle w:val="NoSpacing"/>
      </w:pPr>
      <w:r w:rsidRPr="00F1137B">
        <w:t xml:space="preserve">Though Plaintiff is not seen on camera when Turner was </w:t>
      </w:r>
      <w:proofErr w:type="gramStart"/>
      <w:r w:rsidRPr="00F1137B">
        <w:t>tased</w:t>
      </w:r>
      <w:proofErr w:type="gramEnd"/>
      <w:r w:rsidRPr="00F1137B">
        <w:t xml:space="preserve">, the footage makes clear that she was standing only a few feet away. </w:t>
      </w:r>
      <w:r>
        <w:t>[</w:t>
      </w:r>
      <w:r w:rsidRPr="00EC243A">
        <w:t xml:space="preserve">Bristol Police </w:t>
      </w:r>
      <w:r>
        <w:t xml:space="preserve">Officer Eric] </w:t>
      </w:r>
      <w:r w:rsidRPr="00F1137B">
        <w:t>Keller's warning, the sound of the taser, and Turner's audible reaction would have been plainly perceptible to anyone in the room. The struggle continued for roughly another minute as officers and paramedics attempted to secure Turner in handcuffs</w:t>
      </w:r>
      <w:r>
        <w:t xml:space="preserve">…. </w:t>
      </w:r>
      <w:r w:rsidRPr="00A91024">
        <w:t>The footage next shows Plaintiff outside after the paramedics moved Turner towards the ambulance. She got out of her car and walked towards Turner as he lay face down on the cot with a spit sock over his head and restraints on both his hands and feet</w:t>
      </w:r>
      <w:r>
        <w:t xml:space="preserve">…. </w:t>
      </w:r>
      <w:r w:rsidRPr="00A91024">
        <w:t>Plaintiff stood beside him facing the cot</w:t>
      </w:r>
      <w:r>
        <w:t xml:space="preserve">…. </w:t>
      </w:r>
      <w:r w:rsidRPr="00A91024">
        <w:t>She is also seen outside the ambulance looking inside while officers and paramedics applied pressure to Turner's head</w:t>
      </w:r>
      <w:r>
        <w:t xml:space="preserve">…. </w:t>
      </w:r>
      <w:r w:rsidRPr="00A91024">
        <w:t xml:space="preserve"> She was also outside the ambulance door seconds after someone shut the door.</w:t>
      </w:r>
      <w:r>
        <w:t>”</w:t>
      </w:r>
    </w:p>
    <w:p w14:paraId="10DB9E55" w14:textId="77777777" w:rsidR="007C0834" w:rsidRDefault="007C0834" w:rsidP="007C0834">
      <w:pPr>
        <w:pStyle w:val="NoSpacing"/>
      </w:pPr>
    </w:p>
    <w:p w14:paraId="5455D8FA" w14:textId="77777777" w:rsidR="007C0834" w:rsidRDefault="007C0834" w:rsidP="007C0834">
      <w:pPr>
        <w:pStyle w:val="NoSpacing"/>
        <w:rPr>
          <w:b/>
          <w:bCs/>
        </w:rPr>
      </w:pPr>
      <w:r w:rsidRPr="00BC4B85">
        <w:rPr>
          <w:b/>
        </w:rPr>
        <w:t xml:space="preserve">Legal lesson learned: </w:t>
      </w:r>
      <w:r>
        <w:rPr>
          <w:b/>
        </w:rPr>
        <w:t xml:space="preserve">Case was not timely filed.  Review your protocol about transporting combative patients, handcuffed, face down with spit sock. </w:t>
      </w:r>
    </w:p>
    <w:p w14:paraId="7C71CE33" w14:textId="77777777" w:rsidR="007C0834" w:rsidRDefault="007C0834" w:rsidP="007C0834">
      <w:pPr>
        <w:pStyle w:val="NoSpacing"/>
        <w:rPr>
          <w:b/>
          <w:bCs/>
        </w:rPr>
      </w:pPr>
    </w:p>
    <w:p w14:paraId="3500837F" w14:textId="77777777" w:rsidR="007C0834" w:rsidRDefault="007C0834" w:rsidP="007C0834">
      <w:pPr>
        <w:pStyle w:val="NoSpacing"/>
        <w:rPr>
          <w:rFonts w:ascii="Arial Black" w:hAnsi="Arial Black"/>
          <w:sz w:val="28"/>
          <w:szCs w:val="28"/>
        </w:rPr>
      </w:pPr>
    </w:p>
    <w:p w14:paraId="7F18D8ED" w14:textId="70E45617" w:rsidR="009256C3" w:rsidRDefault="007C0834"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248</w:t>
      </w:r>
    </w:p>
    <w:p w14:paraId="4ACA8CD6" w14:textId="77777777" w:rsidR="009256C3" w:rsidRPr="008A6E9C" w:rsidRDefault="009256C3" w:rsidP="009256C3">
      <w:pPr>
        <w:pStyle w:val="NoSpacing"/>
        <w:rPr>
          <w:rFonts w:ascii="Arial Black" w:hAnsi="Arial Black"/>
          <w:b/>
          <w:sz w:val="28"/>
          <w:szCs w:val="28"/>
        </w:rPr>
      </w:pPr>
      <w:r>
        <w:rPr>
          <w:rFonts w:ascii="Arial Black" w:hAnsi="Arial Black"/>
          <w:b/>
          <w:sz w:val="28"/>
          <w:szCs w:val="28"/>
        </w:rPr>
        <w:t xml:space="preserve">CA: EMS DIVERTED BY HOSP - PREGNANT PT – EMTALA </w:t>
      </w:r>
    </w:p>
    <w:p w14:paraId="5789CEC6" w14:textId="77777777" w:rsidR="009256C3" w:rsidRDefault="009256C3" w:rsidP="009256C3">
      <w:pPr>
        <w:pStyle w:val="NoSpacing"/>
        <w:rPr>
          <w:b/>
        </w:rPr>
      </w:pPr>
    </w:p>
    <w:p w14:paraId="5CCE6462" w14:textId="77777777" w:rsidR="009256C3" w:rsidRDefault="009256C3" w:rsidP="009256C3">
      <w:pPr>
        <w:pStyle w:val="NoSpacing"/>
        <w:rPr>
          <w:bCs/>
        </w:rPr>
      </w:pPr>
      <w:r>
        <w:t xml:space="preserve">On March 13, 2026 in </w:t>
      </w:r>
      <w:r w:rsidRPr="00134CC5">
        <w:rPr>
          <w:u w:val="single"/>
        </w:rPr>
        <w:t>Keiko Kawamura v. Mammoth Hospital, et al</w:t>
      </w:r>
      <w:r>
        <w:t xml:space="preserve">., U.S. Magistrate Judge has issued a Report and Recommendation to U.S. District Court judge, United States District Court for the Eastern District of California, that the lawsuit filed by pro se plaintiff (not represented by an attorney) may proceed against the Hospital under </w:t>
      </w:r>
      <w:r w:rsidRPr="008F7969">
        <w:t>Emergency Medical Treatment and Active Labor Act (EMTALA) because Mammoth Hospital failed to screen her under 42 U.S.C. § 1395dd(a) and failed to stabilize her under § 1395dd(b).</w:t>
      </w:r>
      <w:r>
        <w:t xml:space="preserve">  However, the EMTALA does not provide for litigation against any individual doctors.  She claims the ambulance was three minutes from the hospital, in third stage of labor and EMS were directed to take her to another hospital, </w:t>
      </w:r>
      <w:r w:rsidRPr="000F6DB1">
        <w:t>resulting in an almost 2-hour delay between when EMS personnel</w:t>
      </w:r>
      <w:r>
        <w:t xml:space="preserve"> first</w:t>
      </w:r>
      <w:r w:rsidRPr="000F6DB1">
        <w:t xml:space="preserve"> </w:t>
      </w:r>
      <w:proofErr w:type="gramStart"/>
      <w:r w:rsidRPr="000F6DB1">
        <w:t>made contact with</w:t>
      </w:r>
      <w:proofErr w:type="gramEnd"/>
      <w:r w:rsidRPr="000F6DB1">
        <w:t xml:space="preserve"> Plaintiff and the time </w:t>
      </w:r>
      <w:r>
        <w:t xml:space="preserve">physicians </w:t>
      </w:r>
      <w:r w:rsidRPr="000F6DB1">
        <w:t>evaluated her.</w:t>
      </w:r>
      <w:r>
        <w:t xml:space="preserve"> </w:t>
      </w:r>
      <w:hyperlink r:id="rId2094" w:history="1">
        <w:r w:rsidRPr="00502BCE">
          <w:rPr>
            <w:rStyle w:val="Hyperlink"/>
          </w:rPr>
          <w:t>https://cases.justia.com/federal/district-courts/california/caedce/1:2025cv00789/467494/25/0.pdf?ts=1773524860</w:t>
        </w:r>
      </w:hyperlink>
      <w:r>
        <w:t xml:space="preserve"> </w:t>
      </w:r>
    </w:p>
    <w:p w14:paraId="74EDF75D" w14:textId="77777777" w:rsidR="009256C3" w:rsidRDefault="009256C3" w:rsidP="009256C3">
      <w:pPr>
        <w:pStyle w:val="NoSpacing"/>
        <w:rPr>
          <w:bCs/>
        </w:rPr>
      </w:pPr>
    </w:p>
    <w:p w14:paraId="68379CF9" w14:textId="77777777" w:rsidR="009256C3" w:rsidRDefault="009256C3" w:rsidP="009256C3">
      <w:pPr>
        <w:pStyle w:val="NoSpacing"/>
        <w:rPr>
          <w:bCs/>
        </w:rPr>
      </w:pPr>
      <w:r>
        <w:t>THE COURT HELD: “</w:t>
      </w:r>
      <w:r w:rsidRPr="006A1EB3">
        <w:t>The Court has screened Plaintiff's second amended complaint and concludes that it sufficiently states a claim that Defendant Mammoth Hospital violated EMTALA, specifically that it failed to screen her under 42 U.S.C. § 1395dd(a) and failed to stabilize her under § 1395dd(b). However, the Court recommends that all other claims and Defendants be dismissed without further leave to amend.</w:t>
      </w:r>
    </w:p>
    <w:p w14:paraId="388DF5C4" w14:textId="77777777" w:rsidR="009256C3" w:rsidRDefault="009256C3" w:rsidP="009256C3">
      <w:pPr>
        <w:pStyle w:val="NoSpacing"/>
        <w:rPr>
          <w:bCs/>
        </w:rPr>
      </w:pPr>
    </w:p>
    <w:p w14:paraId="391A3CF7" w14:textId="77777777" w:rsidR="009256C3" w:rsidRDefault="009256C3" w:rsidP="009256C3">
      <w:pPr>
        <w:pStyle w:val="NoSpacing"/>
        <w:rPr>
          <w:bCs/>
        </w:rPr>
      </w:pPr>
      <w:r>
        <w:t>***</w:t>
      </w:r>
    </w:p>
    <w:p w14:paraId="3EA1A4A0" w14:textId="77777777" w:rsidR="009256C3" w:rsidRPr="000F6DB1" w:rsidRDefault="009256C3" w:rsidP="009256C3">
      <w:pPr>
        <w:pStyle w:val="NoSpacing"/>
      </w:pPr>
      <w:r w:rsidRPr="000F6DB1">
        <w:t>Moreover, Plaintiff's second amended complaint alleges that Plaintiff was approximately three minutes from Mammoth hospital while in labor</w:t>
      </w:r>
      <w:r>
        <w:t xml:space="preserve">…. </w:t>
      </w:r>
      <w:r w:rsidRPr="000F6DB1">
        <w:t xml:space="preserve">Communications between EMS services and Mammoth Hospital indicate that Mammoth Hospital knew that Plaintiff had an emergency medical condition, including “that Plaintiff was still in the third stage of labor, had not yet </w:t>
      </w:r>
    </w:p>
    <w:p w14:paraId="5A35603F" w14:textId="77777777" w:rsidR="009256C3" w:rsidRDefault="009256C3" w:rsidP="009256C3">
      <w:pPr>
        <w:pStyle w:val="NoSpacing"/>
        <w:rPr>
          <w:b/>
        </w:rPr>
      </w:pPr>
      <w:r w:rsidRPr="000F6DB1">
        <w:t>delivered the placenta, was actively hemorrhaging, and that the umbilical cord remained attached to the newborn.”</w:t>
      </w:r>
      <w:r>
        <w:t xml:space="preserve"> … </w:t>
      </w:r>
      <w:r w:rsidRPr="000F6DB1">
        <w:t xml:space="preserve">Despite knowing this, Mammoth Hospital declined to screen Plaintiff for medical care or provide stabilizing treatment, and instead diverted the ambulance that Plaintiff was </w:t>
      </w:r>
      <w:proofErr w:type="gramStart"/>
      <w:r w:rsidRPr="000F6DB1">
        <w:t>in to</w:t>
      </w:r>
      <w:proofErr w:type="gramEnd"/>
      <w:r w:rsidRPr="000F6DB1">
        <w:t xml:space="preserve"> NIHD,</w:t>
      </w:r>
      <w:r>
        <w:t xml:space="preserve"> [</w:t>
      </w:r>
      <w:r w:rsidRPr="00C45FE9">
        <w:t>Northern Inyo Healthcare District</w:t>
      </w:r>
      <w:r>
        <w:t xml:space="preserve">] </w:t>
      </w:r>
      <w:r w:rsidRPr="000F6DB1">
        <w:t>resulting in an almost 2-hour delay between when EMS personnel made contact with Plaintiff and the time NIHD evaluated her</w:t>
      </w:r>
      <w:r>
        <w:t xml:space="preserve">…. </w:t>
      </w:r>
      <w:r w:rsidRPr="000F6DB1">
        <w:t xml:space="preserve"> Liberally construing the allegations in Plaintiff's second amended complaint, the Court concludes that she has sufficiently stated a claim against Defendant Mammoth Hospital for violation of 42 U.S.C. § § 1395dd(a) and (b) to proceed past screening. </w:t>
      </w:r>
    </w:p>
    <w:p w14:paraId="4CBA2DB9" w14:textId="77777777" w:rsidR="009256C3" w:rsidRDefault="009256C3" w:rsidP="009256C3">
      <w:pPr>
        <w:pStyle w:val="NoSpacing"/>
        <w:rPr>
          <w:b/>
        </w:rPr>
      </w:pPr>
    </w:p>
    <w:p w14:paraId="1D78EE12" w14:textId="77777777" w:rsidR="009256C3" w:rsidRDefault="009256C3" w:rsidP="009256C3">
      <w:pPr>
        <w:pStyle w:val="NoSpacing"/>
      </w:pPr>
      <w:r w:rsidRPr="00F525DB">
        <w:t>However, as noted in the Court's previous screening order, because a private EMTALA right of action is authorized as to “a participating hospital's violation” under 42 U.S.C.A. § 1395dd(d)(2)(A), Plaintiff cannot sue non-hospital Defendants, i.e., Dr. Howell, Tom Parker, and Does 1-10.</w:t>
      </w:r>
      <w:r>
        <w:t>”</w:t>
      </w:r>
    </w:p>
    <w:p w14:paraId="4351F68A" w14:textId="77777777" w:rsidR="009256C3" w:rsidRDefault="009256C3" w:rsidP="009256C3">
      <w:pPr>
        <w:pStyle w:val="NoSpacing"/>
      </w:pPr>
    </w:p>
    <w:p w14:paraId="3A6BE958" w14:textId="77777777" w:rsidR="009256C3" w:rsidRDefault="009256C3" w:rsidP="009256C3">
      <w:pPr>
        <w:pStyle w:val="NoSpacing"/>
        <w:rPr>
          <w:b/>
          <w:bCs/>
        </w:rPr>
      </w:pPr>
      <w:r w:rsidRPr="00EA02A3">
        <w:rPr>
          <w:b/>
        </w:rPr>
        <w:t xml:space="preserve">Legal lesson learned: </w:t>
      </w:r>
      <w:r>
        <w:rPr>
          <w:b/>
        </w:rPr>
        <w:t>The case will now proceed to pre-trial discovery with the hospital.</w:t>
      </w:r>
    </w:p>
    <w:p w14:paraId="58E3AD4F" w14:textId="77777777" w:rsidR="009256C3" w:rsidRDefault="009256C3" w:rsidP="009256C3">
      <w:pPr>
        <w:pStyle w:val="NoSpacing"/>
        <w:rPr>
          <w:b/>
          <w:bCs/>
        </w:rPr>
      </w:pPr>
    </w:p>
    <w:p w14:paraId="317C8F75" w14:textId="77777777" w:rsidR="009256C3" w:rsidRPr="001F7B5B" w:rsidRDefault="009256C3" w:rsidP="009256C3">
      <w:pPr>
        <w:pStyle w:val="NoSpacing"/>
        <w:ind w:left="720"/>
      </w:pPr>
      <w:r w:rsidRPr="00BA4F71">
        <w:t>Note: Plaintiff also claimed a HIPAA violation.</w:t>
      </w:r>
      <w:r>
        <w:rPr>
          <w:b/>
        </w:rPr>
        <w:t xml:space="preserve"> “</w:t>
      </w:r>
      <w:r w:rsidRPr="001F7B5B">
        <w:t>In addition, Plaintiff's claims under HIPAA are subject to dismissal because, as the Court previously advised Plaintiff in the screening order, HIPAA does not authorize a private right of action for HIPAA violations.</w:t>
      </w:r>
      <w:r>
        <w:t>”</w:t>
      </w:r>
    </w:p>
    <w:p w14:paraId="789D6F7A" w14:textId="77777777" w:rsidR="009256C3" w:rsidRDefault="009256C3" w:rsidP="00004498">
      <w:pPr>
        <w:rPr>
          <w:rFonts w:ascii="Arial Black" w:hAnsi="Arial Black"/>
          <w:b/>
          <w:bCs/>
          <w:sz w:val="24"/>
          <w:szCs w:val="24"/>
        </w:rPr>
      </w:pPr>
    </w:p>
    <w:p w14:paraId="04DDD02E" w14:textId="77777777" w:rsidR="00B170D7" w:rsidRDefault="00B170D7" w:rsidP="00004498">
      <w:pPr>
        <w:rPr>
          <w:rFonts w:ascii="Arial Black" w:hAnsi="Arial Black"/>
          <w:b/>
          <w:bCs/>
          <w:sz w:val="24"/>
          <w:szCs w:val="24"/>
        </w:rPr>
      </w:pPr>
    </w:p>
    <w:p w14:paraId="1C4164B8" w14:textId="77777777" w:rsidR="00B170D7" w:rsidRDefault="00B170D7" w:rsidP="00004498">
      <w:pPr>
        <w:rPr>
          <w:rFonts w:ascii="Arial Black" w:hAnsi="Arial Black"/>
          <w:b/>
          <w:bCs/>
          <w:sz w:val="24"/>
          <w:szCs w:val="24"/>
        </w:rPr>
      </w:pPr>
    </w:p>
    <w:p w14:paraId="4EDE43A2" w14:textId="4C88195A" w:rsidR="0064577F" w:rsidRDefault="0064577F" w:rsidP="00004498">
      <w:pPr>
        <w:rPr>
          <w:rFonts w:ascii="Arial Black" w:hAnsi="Arial Black"/>
          <w:b/>
          <w:bCs/>
          <w:sz w:val="24"/>
          <w:szCs w:val="24"/>
        </w:rPr>
      </w:pPr>
      <w:r>
        <w:rPr>
          <w:rFonts w:ascii="Arial Black" w:hAnsi="Arial Black"/>
          <w:b/>
          <w:bCs/>
          <w:sz w:val="24"/>
          <w:szCs w:val="24"/>
        </w:rPr>
        <w:t>13-</w:t>
      </w:r>
      <w:r w:rsidR="00E6034E">
        <w:rPr>
          <w:rFonts w:ascii="Arial Black" w:hAnsi="Arial Black"/>
          <w:b/>
          <w:bCs/>
          <w:sz w:val="24"/>
          <w:szCs w:val="24"/>
        </w:rPr>
        <w:t>24</w:t>
      </w:r>
      <w:r w:rsidR="008D7CEA">
        <w:rPr>
          <w:rFonts w:ascii="Arial Black" w:hAnsi="Arial Black"/>
          <w:b/>
          <w:bCs/>
          <w:sz w:val="24"/>
          <w:szCs w:val="24"/>
        </w:rPr>
        <w:t>7</w:t>
      </w:r>
    </w:p>
    <w:p w14:paraId="096C4509" w14:textId="77777777" w:rsidR="00E6034E" w:rsidRPr="000E4586" w:rsidRDefault="00E6034E" w:rsidP="00E6034E">
      <w:pPr>
        <w:pStyle w:val="NoSpacing"/>
        <w:rPr>
          <w:rFonts w:ascii="Arial Black" w:hAnsi="Arial Black"/>
          <w:bCs/>
          <w:sz w:val="28"/>
          <w:szCs w:val="28"/>
        </w:rPr>
      </w:pPr>
      <w:r w:rsidRPr="000E4586">
        <w:rPr>
          <w:rFonts w:ascii="Arial Black" w:hAnsi="Arial Black"/>
          <w:sz w:val="28"/>
          <w:szCs w:val="28"/>
        </w:rPr>
        <w:t xml:space="preserve">NY: </w:t>
      </w:r>
      <w:r>
        <w:rPr>
          <w:rFonts w:ascii="Arial Black" w:hAnsi="Arial Black"/>
          <w:sz w:val="28"/>
          <w:szCs w:val="28"/>
        </w:rPr>
        <w:t>EMT LICENSE REVOKED – 26 PATIENTS / VITAL SIGNS</w:t>
      </w:r>
    </w:p>
    <w:p w14:paraId="19A112A9" w14:textId="77777777" w:rsidR="00E6034E" w:rsidRDefault="00E6034E" w:rsidP="00E6034E">
      <w:pPr>
        <w:pStyle w:val="NoSpacing"/>
      </w:pPr>
    </w:p>
    <w:p w14:paraId="53558D33" w14:textId="77777777" w:rsidR="00E6034E" w:rsidRDefault="00E6034E" w:rsidP="00E6034E">
      <w:pPr>
        <w:pStyle w:val="NoSpacing"/>
      </w:pPr>
      <w:r>
        <w:t xml:space="preserve">On February 26, 2026, in </w:t>
      </w:r>
      <w:r w:rsidRPr="0087051E">
        <w:rPr>
          <w:u w:val="single"/>
        </w:rPr>
        <w:t xml:space="preserve">In </w:t>
      </w:r>
      <w:proofErr w:type="gramStart"/>
      <w:r w:rsidRPr="0087051E">
        <w:rPr>
          <w:u w:val="single"/>
        </w:rPr>
        <w:t>The</w:t>
      </w:r>
      <w:proofErr w:type="gramEnd"/>
      <w:r w:rsidRPr="0087051E">
        <w:rPr>
          <w:u w:val="single"/>
        </w:rPr>
        <w:t xml:space="preserve"> Matter of Andrew P. DeWolf v. James McDonald, Commissioner of Health, et al</w:t>
      </w:r>
      <w:r>
        <w:t xml:space="preserve">., </w:t>
      </w:r>
      <w:r w:rsidRPr="001E064D">
        <w:t>the Supreme Court of New York, Third Department</w:t>
      </w:r>
      <w:r>
        <w:t xml:space="preserve"> held (5 to 0) that the revocation and $26,000 fine is supported by the administrative record (May 2024 and December 2024 final orders) and the appeal is moot.  </w:t>
      </w:r>
      <w:hyperlink r:id="rId2095" w:history="1">
        <w:r w:rsidRPr="000D51C6">
          <w:rPr>
            <w:rStyle w:val="Hyperlink"/>
          </w:rPr>
          <w:t>https://law.justia.com/cases/new-york/appellate-division-third-department/2026/cv-24-1117-cv-25-0151.html</w:t>
        </w:r>
      </w:hyperlink>
      <w:r>
        <w:t xml:space="preserve"> </w:t>
      </w:r>
    </w:p>
    <w:p w14:paraId="1416B306" w14:textId="77777777" w:rsidR="00E6034E" w:rsidRDefault="00E6034E" w:rsidP="00E6034E">
      <w:pPr>
        <w:pStyle w:val="NoSpacing"/>
      </w:pPr>
    </w:p>
    <w:p w14:paraId="45DEAA52" w14:textId="77777777" w:rsidR="00E6034E" w:rsidRDefault="00E6034E" w:rsidP="00E6034E">
      <w:pPr>
        <w:pStyle w:val="NoSpacing"/>
        <w:rPr>
          <w:bCs/>
        </w:rPr>
      </w:pPr>
      <w:r>
        <w:t>THE COURT HELD: “</w:t>
      </w:r>
      <w:r w:rsidRPr="00280636">
        <w:t xml:space="preserve">In June 2021, respondent Department of Health (hereinafter DOH) served petitioner with a notice of hearing and statement of charges, alleging that, between 2018 and 2019, petitioner endangered the lives of 26 patients in his care as an emergency medical technician (hereinafter EMT). </w:t>
      </w:r>
      <w:r w:rsidRPr="00280636">
        <w:rPr>
          <w:vertAlign w:val="superscript"/>
        </w:rPr>
        <w:t>[</w:t>
      </w:r>
      <w:bookmarkStart w:id="434" w:name="ftn.FN1"/>
      <w:r w:rsidRPr="00280636">
        <w:rPr>
          <w:bCs/>
          <w:vertAlign w:val="superscript"/>
        </w:rPr>
        <w:fldChar w:fldCharType="begin"/>
      </w:r>
      <w:r w:rsidRPr="00280636">
        <w:rPr>
          <w:vertAlign w:val="superscript"/>
        </w:rPr>
        <w:instrText>HYPERLINK "https://public.fastcase.com/" \l "FN1"</w:instrText>
      </w:r>
      <w:r w:rsidRPr="00280636">
        <w:rPr>
          <w:bCs/>
          <w:vertAlign w:val="superscript"/>
        </w:rPr>
      </w:r>
      <w:r w:rsidRPr="00280636">
        <w:rPr>
          <w:bCs/>
          <w:vertAlign w:val="superscript"/>
        </w:rPr>
        <w:fldChar w:fldCharType="separate"/>
      </w:r>
      <w:r w:rsidRPr="00280636">
        <w:rPr>
          <w:rStyle w:val="Hyperlink"/>
          <w:vertAlign w:val="superscript"/>
        </w:rPr>
        <w:t>1</w:t>
      </w:r>
      <w:r w:rsidRPr="00280636">
        <w:rPr>
          <w:bCs/>
        </w:rPr>
        <w:fldChar w:fldCharType="end"/>
      </w:r>
      <w:bookmarkEnd w:id="434"/>
      <w:r w:rsidRPr="00280636">
        <w:rPr>
          <w:vertAlign w:val="superscript"/>
        </w:rPr>
        <w:t>]</w:t>
      </w:r>
      <w:r w:rsidRPr="00280636">
        <w:t xml:space="preserve"> </w:t>
      </w:r>
    </w:p>
    <w:p w14:paraId="0A38EE06" w14:textId="77777777" w:rsidR="00E6034E" w:rsidRDefault="00E6034E" w:rsidP="00E6034E">
      <w:pPr>
        <w:pStyle w:val="NoSpacing"/>
        <w:rPr>
          <w:bCs/>
        </w:rPr>
      </w:pPr>
    </w:p>
    <w:p w14:paraId="451014AD" w14:textId="77777777" w:rsidR="00E6034E" w:rsidRPr="00280636" w:rsidRDefault="00E6034E" w:rsidP="00E6034E">
      <w:pPr>
        <w:pStyle w:val="NoSpacing"/>
        <w:ind w:left="720"/>
        <w:rPr>
          <w:bCs/>
        </w:rPr>
      </w:pPr>
      <w:r>
        <w:t xml:space="preserve">Footnote 1: </w:t>
      </w:r>
      <w:r w:rsidRPr="00280636">
        <w:t xml:space="preserve">DOH charged petitioner with 134 violations of basic and advanced life support treatment protocols; </w:t>
      </w:r>
      <w:proofErr w:type="gramStart"/>
      <w:r w:rsidRPr="00280636">
        <w:t>namely, that</w:t>
      </w:r>
      <w:proofErr w:type="gramEnd"/>
      <w:r w:rsidRPr="00280636">
        <w:t xml:space="preserve"> he failed to regularly monitor patients' vital signs, failed to follow instructions from supervising physicians and overdosed patients on various controlled substances.</w:t>
      </w:r>
    </w:p>
    <w:p w14:paraId="14F6090B" w14:textId="77777777" w:rsidR="00E6034E" w:rsidRDefault="00E6034E" w:rsidP="00E6034E">
      <w:pPr>
        <w:pStyle w:val="NoSpacing"/>
        <w:rPr>
          <w:bCs/>
        </w:rPr>
      </w:pPr>
    </w:p>
    <w:p w14:paraId="3DC59674" w14:textId="77777777" w:rsidR="00E6034E" w:rsidRDefault="00E6034E" w:rsidP="00E6034E">
      <w:pPr>
        <w:pStyle w:val="NoSpacing"/>
      </w:pPr>
      <w:r w:rsidRPr="00280636">
        <w:t>Petitioner contested the charges and, after an evidentiary hearing, an Administrative Law Judge (hereinafter ALJ) issued a report and recommendation that the charges be sustained, petitioner's EMT certification be revoked and he be fined $26,000</w:t>
      </w:r>
      <w:r>
        <w:t xml:space="preserve">…. </w:t>
      </w:r>
      <w:r w:rsidRPr="00F35C35">
        <w:t>Subsequently, in July 2024, respondent Commissioner of Health issued a final determination which adopted the ALJ's report and recommendation.</w:t>
      </w:r>
      <w:r>
        <w:t xml:space="preserve">” </w:t>
      </w:r>
    </w:p>
    <w:p w14:paraId="6029C777" w14:textId="77777777" w:rsidR="00E6034E" w:rsidRDefault="00E6034E" w:rsidP="00E6034E">
      <w:pPr>
        <w:pStyle w:val="NoSpacing"/>
      </w:pPr>
    </w:p>
    <w:p w14:paraId="3DD60C94" w14:textId="77777777" w:rsidR="00E6034E" w:rsidRPr="00BC60DC" w:rsidRDefault="00E6034E" w:rsidP="00E6034E">
      <w:pPr>
        <w:pStyle w:val="NoSpacing"/>
        <w:rPr>
          <w:b/>
          <w:bCs/>
        </w:rPr>
      </w:pPr>
      <w:r>
        <w:rPr>
          <w:b/>
        </w:rPr>
        <w:t xml:space="preserve">Legal lesson learned: EMTs must follow their protocol on monitoring patients’ vital signs </w:t>
      </w:r>
      <w:proofErr w:type="gramStart"/>
      <w:r>
        <w:rPr>
          <w:b/>
        </w:rPr>
        <w:t>and also</w:t>
      </w:r>
      <w:proofErr w:type="gramEnd"/>
      <w:r>
        <w:rPr>
          <w:b/>
        </w:rPr>
        <w:t xml:space="preserve"> follow medical directions.</w:t>
      </w:r>
    </w:p>
    <w:p w14:paraId="3E882E7D" w14:textId="77777777" w:rsidR="00E6034E" w:rsidRDefault="00E6034E" w:rsidP="00004498">
      <w:pPr>
        <w:rPr>
          <w:rFonts w:ascii="Arial Black" w:hAnsi="Arial Black"/>
          <w:b/>
          <w:bCs/>
          <w:sz w:val="24"/>
          <w:szCs w:val="24"/>
        </w:rPr>
      </w:pPr>
    </w:p>
    <w:p w14:paraId="7A6C1DD5" w14:textId="742EADA7" w:rsidR="0064577F" w:rsidRDefault="00A2043F" w:rsidP="00004498">
      <w:pPr>
        <w:rPr>
          <w:rFonts w:ascii="Arial Black" w:hAnsi="Arial Black"/>
          <w:b/>
          <w:bCs/>
          <w:sz w:val="24"/>
          <w:szCs w:val="24"/>
        </w:rPr>
      </w:pPr>
      <w:r>
        <w:rPr>
          <w:rFonts w:ascii="Arial Black" w:hAnsi="Arial Black"/>
          <w:b/>
          <w:bCs/>
          <w:sz w:val="24"/>
          <w:szCs w:val="24"/>
        </w:rPr>
        <w:t>13-24</w:t>
      </w:r>
      <w:r w:rsidR="008D7CEA">
        <w:rPr>
          <w:rFonts w:ascii="Arial Black" w:hAnsi="Arial Black"/>
          <w:b/>
          <w:bCs/>
          <w:sz w:val="24"/>
          <w:szCs w:val="24"/>
        </w:rPr>
        <w:t>6</w:t>
      </w:r>
    </w:p>
    <w:p w14:paraId="18E9DD20" w14:textId="77777777" w:rsidR="00A2043F" w:rsidRPr="00DB2B54" w:rsidRDefault="00A2043F" w:rsidP="00A2043F">
      <w:pPr>
        <w:pStyle w:val="NoSpacing"/>
        <w:rPr>
          <w:rFonts w:ascii="Arial Black" w:hAnsi="Arial Black"/>
          <w:b/>
          <w:sz w:val="28"/>
          <w:szCs w:val="28"/>
        </w:rPr>
      </w:pPr>
      <w:r>
        <w:rPr>
          <w:rFonts w:ascii="Arial Black" w:hAnsi="Arial Black"/>
          <w:b/>
          <w:sz w:val="28"/>
          <w:szCs w:val="28"/>
        </w:rPr>
        <w:t xml:space="preserve">TX: PATIENT FELL OFF COT – P’S EXPERT CAN BE A MEDIC </w:t>
      </w:r>
    </w:p>
    <w:p w14:paraId="5ED4DFB4" w14:textId="77777777" w:rsidR="00A2043F" w:rsidRDefault="00A2043F" w:rsidP="00A2043F">
      <w:pPr>
        <w:pStyle w:val="NoSpacing"/>
        <w:rPr>
          <w:b/>
        </w:rPr>
      </w:pPr>
    </w:p>
    <w:p w14:paraId="2796D662" w14:textId="77777777" w:rsidR="00A2043F" w:rsidRPr="000D6884" w:rsidRDefault="00A2043F" w:rsidP="00A2043F">
      <w:pPr>
        <w:pStyle w:val="NoSpacing"/>
        <w:rPr>
          <w:bCs/>
        </w:rPr>
      </w:pPr>
      <w:r>
        <w:t xml:space="preserve">On February 26, 2026, in </w:t>
      </w:r>
      <w:proofErr w:type="spellStart"/>
      <w:r w:rsidRPr="000D6884">
        <w:rPr>
          <w:u w:val="single"/>
        </w:rPr>
        <w:t>Medcare</w:t>
      </w:r>
      <w:proofErr w:type="spellEnd"/>
      <w:r w:rsidRPr="000D6884">
        <w:rPr>
          <w:u w:val="single"/>
        </w:rPr>
        <w:t xml:space="preserve"> EMS v. Carolina Flores</w:t>
      </w:r>
      <w:r>
        <w:t xml:space="preserve">, the </w:t>
      </w:r>
      <w:r w:rsidRPr="000D6884">
        <w:t>Court of Appeals of Texas, Thirteenth District, Corpus Christi-Edinburg</w:t>
      </w:r>
      <w:r>
        <w:t xml:space="preserve">, held (3 to 0) that the lawsuit may proceed since the plaintiff timely filed an expert’s report from a paramedic within the 120 days required under the Texas Medical Liability Act.  Trial court denied </w:t>
      </w:r>
      <w:proofErr w:type="spellStart"/>
      <w:r>
        <w:t>Medcare’s</w:t>
      </w:r>
      <w:proofErr w:type="spellEnd"/>
      <w:r>
        <w:t xml:space="preserve"> motion to dismiss, arguing the expert had to be a physician.  </w:t>
      </w:r>
      <w:hyperlink r:id="rId2096" w:history="1">
        <w:r w:rsidRPr="000D51C6">
          <w:rPr>
            <w:rStyle w:val="Hyperlink"/>
          </w:rPr>
          <w:t>https://cases.justia.com/texas/thirteenth-court-of-appeals/2026-13-25-00099-cv.pdf?ts=1772125541</w:t>
        </w:r>
      </w:hyperlink>
      <w:r>
        <w:t xml:space="preserve"> </w:t>
      </w:r>
    </w:p>
    <w:p w14:paraId="60AB26D8" w14:textId="77777777" w:rsidR="00A2043F" w:rsidRDefault="00A2043F" w:rsidP="00A2043F">
      <w:pPr>
        <w:pStyle w:val="NoSpacing"/>
        <w:rPr>
          <w:bCs/>
        </w:rPr>
      </w:pPr>
    </w:p>
    <w:p w14:paraId="20FE23FB" w14:textId="77777777" w:rsidR="00A2043F" w:rsidRDefault="00A2043F" w:rsidP="00A2043F">
      <w:pPr>
        <w:pStyle w:val="NoSpacing"/>
      </w:pPr>
      <w:r>
        <w:t>THE COURT HELD: “</w:t>
      </w:r>
      <w:r w:rsidRPr="00D3244C">
        <w:t xml:space="preserve">It is undisputed that </w:t>
      </w:r>
      <w:proofErr w:type="spellStart"/>
      <w:r w:rsidRPr="00D3244C">
        <w:t>Everlove</w:t>
      </w:r>
      <w:proofErr w:type="spellEnd"/>
      <w:r w:rsidRPr="00D3244C">
        <w:t xml:space="preserve"> was qualified to opine as to the standard of care</w:t>
      </w:r>
      <w:r>
        <w:t xml:space="preserve"> </w:t>
      </w:r>
      <w:r w:rsidRPr="00D3244C">
        <w:t xml:space="preserve">applicable to </w:t>
      </w:r>
      <w:proofErr w:type="spellStart"/>
      <w:r w:rsidRPr="00D3244C">
        <w:t>MedCare</w:t>
      </w:r>
      <w:proofErr w:type="spellEnd"/>
      <w:r>
        <w:t xml:space="preserve">…. </w:t>
      </w:r>
      <w:r w:rsidRPr="00C72FB6">
        <w:t xml:space="preserve">On December 9, 2021, Flores called emergency services after experiencing abdominal pain. A </w:t>
      </w:r>
      <w:proofErr w:type="spellStart"/>
      <w:r w:rsidRPr="00C72FB6">
        <w:t>MedCare</w:t>
      </w:r>
      <w:proofErr w:type="spellEnd"/>
      <w:r w:rsidRPr="00C72FB6">
        <w:t xml:space="preserve"> emergency medical technician (EMT) and paramedic arrived at her apartment and assessed her. Flores was subsequently placed and strapped onto a stretcher, which was wheeled from her apartment to the parking lot of Flores's apartment complex. Flores </w:t>
      </w:r>
      <w:proofErr w:type="gramStart"/>
      <w:r w:rsidRPr="00C72FB6">
        <w:t>was</w:t>
      </w:r>
      <w:proofErr w:type="gramEnd"/>
      <w:r w:rsidRPr="00C72FB6">
        <w:t xml:space="preserve"> left in the stretcher under the paramedic's supervision while the EMT moved the ambulance closer to Flores's location. Flores's stretcher ultimately tipped over, and she sustained injuries from the fall</w:t>
      </w:r>
      <w:r>
        <w:t xml:space="preserve">.  </w:t>
      </w:r>
      <w:r w:rsidRPr="00474CA1">
        <w:t xml:space="preserve">On December 20, 2022, Flores sent </w:t>
      </w:r>
      <w:proofErr w:type="spellStart"/>
      <w:r w:rsidRPr="00474CA1">
        <w:t>MedCare</w:t>
      </w:r>
      <w:proofErr w:type="spellEnd"/>
      <w:r w:rsidRPr="00474CA1">
        <w:t xml:space="preserve"> a pre-suit letter by certified mail which included an expert report authored by registered paramedic John B. </w:t>
      </w:r>
      <w:proofErr w:type="spellStart"/>
      <w:r w:rsidRPr="00474CA1">
        <w:t>Everlove</w:t>
      </w:r>
      <w:proofErr w:type="spellEnd"/>
      <w:r w:rsidRPr="00474CA1">
        <w:t xml:space="preserve">, as well as his curriculum vitae. In his report, </w:t>
      </w:r>
      <w:proofErr w:type="spellStart"/>
      <w:r w:rsidRPr="00474CA1">
        <w:t>Everlove</w:t>
      </w:r>
      <w:proofErr w:type="spellEnd"/>
      <w:r w:rsidRPr="00474CA1">
        <w:t xml:space="preserve"> described the standard of care applicable to </w:t>
      </w:r>
      <w:proofErr w:type="spellStart"/>
      <w:r w:rsidRPr="00474CA1">
        <w:t>MedCare</w:t>
      </w:r>
      <w:proofErr w:type="spellEnd"/>
      <w:r w:rsidRPr="00474CA1">
        <w:t xml:space="preserve"> and deviations from that standard by </w:t>
      </w:r>
      <w:proofErr w:type="spellStart"/>
      <w:r w:rsidRPr="00474CA1">
        <w:t>MedCare</w:t>
      </w:r>
      <w:proofErr w:type="spellEnd"/>
      <w:r w:rsidRPr="00474CA1">
        <w:t xml:space="preserve"> personnel concerning the </w:t>
      </w:r>
      <w:r>
        <w:t>‘</w:t>
      </w:r>
      <w:r w:rsidRPr="00474CA1">
        <w:t>care, treatment, and management of . . . Flores.</w:t>
      </w:r>
      <w:r>
        <w:t>’ ***</w:t>
      </w:r>
    </w:p>
    <w:p w14:paraId="50B72328" w14:textId="77777777" w:rsidR="00A2043F" w:rsidRPr="000D6884" w:rsidRDefault="00A2043F" w:rsidP="00A2043F">
      <w:pPr>
        <w:pStyle w:val="NoSpacing"/>
        <w:rPr>
          <w:bCs/>
        </w:rPr>
      </w:pPr>
      <w:r w:rsidRPr="009B7BDF">
        <w:t xml:space="preserve">It is undisputed that </w:t>
      </w:r>
      <w:proofErr w:type="spellStart"/>
      <w:r w:rsidRPr="009B7BDF">
        <w:t>Everlove</w:t>
      </w:r>
      <w:proofErr w:type="spellEnd"/>
      <w:r w:rsidRPr="009B7BDF">
        <w:t xml:space="preserve"> was qualified to opine as to the standard of care applicable to </w:t>
      </w:r>
      <w:proofErr w:type="spellStart"/>
      <w:r w:rsidRPr="009B7BDF">
        <w:t>MedCare</w:t>
      </w:r>
      <w:proofErr w:type="spellEnd"/>
      <w:r w:rsidRPr="009B7BDF">
        <w:t xml:space="preserve">. </w:t>
      </w:r>
      <w:r w:rsidRPr="009B7BDF">
        <w:rPr>
          <w:i/>
          <w:iCs/>
        </w:rPr>
        <w:t>See</w:t>
      </w:r>
      <w:r w:rsidRPr="009B7BDF">
        <w:t xml:space="preserve"> Tex. Civ. </w:t>
      </w:r>
      <w:proofErr w:type="spellStart"/>
      <w:r w:rsidRPr="009B7BDF">
        <w:t>Prac</w:t>
      </w:r>
      <w:proofErr w:type="spellEnd"/>
      <w:r w:rsidRPr="009B7BDF">
        <w:t xml:space="preserve">. &amp; Rem. Code § 74.402. Moreover, </w:t>
      </w:r>
      <w:proofErr w:type="spellStart"/>
      <w:r w:rsidRPr="009B7BDF">
        <w:t>Everlove</w:t>
      </w:r>
      <w:proofErr w:type="spellEnd"/>
      <w:r w:rsidRPr="009B7BDF">
        <w:t xml:space="preserve"> opined in his report that </w:t>
      </w:r>
      <w:proofErr w:type="spellStart"/>
      <w:r w:rsidRPr="009B7BDF">
        <w:t>MedCare</w:t>
      </w:r>
      <w:proofErr w:type="spellEnd"/>
      <w:r w:rsidRPr="009B7BDF">
        <w:t xml:space="preserve"> personnel deviated from that standard concerning their "care, treatment, and management of . . . Flores." In other words, </w:t>
      </w:r>
      <w:proofErr w:type="spellStart"/>
      <w:r w:rsidRPr="009B7BDF">
        <w:t>Everlove</w:t>
      </w:r>
      <w:proofErr w:type="spellEnd"/>
      <w:r w:rsidRPr="009B7BDF">
        <w:t xml:space="preserve"> opined that </w:t>
      </w:r>
      <w:proofErr w:type="spellStart"/>
      <w:r w:rsidRPr="009B7BDF">
        <w:t>MedCare</w:t>
      </w:r>
      <w:proofErr w:type="spellEnd"/>
      <w:r w:rsidRPr="009B7BDF">
        <w:t xml:space="preserve"> was negligent. Accordingly, we hold that </w:t>
      </w:r>
      <w:proofErr w:type="spellStart"/>
      <w:r w:rsidRPr="009B7BDF">
        <w:t>Everlove's</w:t>
      </w:r>
      <w:proofErr w:type="spellEnd"/>
      <w:r w:rsidRPr="009B7BDF">
        <w:t xml:space="preserve"> report constitutes a statement of opinion by an individual with expertise indicating that the claim asserted by Flores against </w:t>
      </w:r>
      <w:proofErr w:type="spellStart"/>
      <w:r w:rsidRPr="009B7BDF">
        <w:t>MedCare</w:t>
      </w:r>
      <w:proofErr w:type="spellEnd"/>
      <w:r w:rsidRPr="009B7BDF">
        <w:t xml:space="preserve"> has merit.</w:t>
      </w:r>
      <w:r>
        <w:t xml:space="preserve">”  </w:t>
      </w:r>
    </w:p>
    <w:p w14:paraId="1CCCA09B" w14:textId="77777777" w:rsidR="00A2043F" w:rsidRDefault="00A2043F" w:rsidP="00A2043F">
      <w:pPr>
        <w:pStyle w:val="NoSpacing"/>
        <w:rPr>
          <w:bCs/>
        </w:rPr>
      </w:pPr>
    </w:p>
    <w:p w14:paraId="713A2370" w14:textId="77777777" w:rsidR="00A2043F" w:rsidRDefault="00A2043F" w:rsidP="00A2043F">
      <w:pPr>
        <w:pStyle w:val="NoSpacing"/>
        <w:rPr>
          <w:b/>
        </w:rPr>
      </w:pPr>
      <w:r>
        <w:rPr>
          <w:b/>
        </w:rPr>
        <w:t xml:space="preserve">Legal lesson learned:  This is yet another case of a patient falling off a cot and being injured. </w:t>
      </w:r>
    </w:p>
    <w:p w14:paraId="5E6E6451" w14:textId="77777777" w:rsidR="00A2043F" w:rsidRDefault="00A2043F" w:rsidP="00A2043F">
      <w:pPr>
        <w:pStyle w:val="NoSpacing"/>
        <w:rPr>
          <w:b/>
        </w:rPr>
      </w:pPr>
    </w:p>
    <w:p w14:paraId="381857B7" w14:textId="77777777" w:rsidR="00A2043F" w:rsidRDefault="00A2043F" w:rsidP="00004498">
      <w:pPr>
        <w:rPr>
          <w:rFonts w:ascii="Arial Black" w:hAnsi="Arial Black"/>
          <w:b/>
          <w:bCs/>
          <w:sz w:val="24"/>
          <w:szCs w:val="24"/>
        </w:rPr>
      </w:pPr>
    </w:p>
    <w:p w14:paraId="3BD1F70E" w14:textId="2213E646" w:rsidR="008D7CEA" w:rsidRDefault="008D7CEA" w:rsidP="00004498">
      <w:pPr>
        <w:rPr>
          <w:rFonts w:ascii="Arial Black" w:hAnsi="Arial Black"/>
          <w:b/>
          <w:bCs/>
          <w:sz w:val="24"/>
          <w:szCs w:val="24"/>
        </w:rPr>
      </w:pPr>
      <w:r>
        <w:rPr>
          <w:rFonts w:ascii="Arial Black" w:hAnsi="Arial Black"/>
          <w:b/>
          <w:bCs/>
          <w:sz w:val="24"/>
          <w:szCs w:val="24"/>
        </w:rPr>
        <w:t>13-245</w:t>
      </w:r>
    </w:p>
    <w:p w14:paraId="01A6D54F" w14:textId="77777777" w:rsidR="008D7CEA" w:rsidRDefault="008D7CEA" w:rsidP="008D7CEA">
      <w:pPr>
        <w:pStyle w:val="NoSpacing"/>
        <w:rPr>
          <w:rFonts w:ascii="Arial Black" w:hAnsi="Arial Black"/>
          <w:b/>
          <w:sz w:val="28"/>
          <w:szCs w:val="28"/>
        </w:rPr>
      </w:pPr>
      <w:r>
        <w:rPr>
          <w:rFonts w:ascii="Arial Black" w:hAnsi="Arial Black"/>
          <w:b/>
          <w:sz w:val="28"/>
          <w:szCs w:val="28"/>
        </w:rPr>
        <w:t xml:space="preserve">FL: B/C FIRED – REFUSED TO ISSUE COVID REPRIMANDS </w:t>
      </w:r>
    </w:p>
    <w:p w14:paraId="7851E63A" w14:textId="77777777" w:rsidR="008D7CEA" w:rsidRDefault="008D7CEA" w:rsidP="008D7CEA">
      <w:pPr>
        <w:pStyle w:val="NoSpacing"/>
        <w:rPr>
          <w:rFonts w:ascii="Arial Black" w:hAnsi="Arial Black"/>
          <w:b/>
          <w:sz w:val="28"/>
          <w:szCs w:val="28"/>
        </w:rPr>
      </w:pPr>
    </w:p>
    <w:p w14:paraId="78FA378E" w14:textId="77777777" w:rsidR="008D7CEA" w:rsidRDefault="008D7CEA" w:rsidP="008D7CEA">
      <w:pPr>
        <w:pStyle w:val="NoSpacing"/>
        <w:rPr>
          <w:bCs/>
        </w:rPr>
      </w:pPr>
      <w:r>
        <w:t xml:space="preserve">On February 13, 2026, in </w:t>
      </w:r>
      <w:r w:rsidRPr="00805F39">
        <w:rPr>
          <w:u w:val="single"/>
        </w:rPr>
        <w:t>Stephen M. Davis v. Orange County</w:t>
      </w:r>
      <w:r>
        <w:t xml:space="preserve">, the United States Court of Appeals for the Eleventh Circuit (Atlanta) held (3 to 0; unpublished decision) that his lawsuit was properly dismissed.  </w:t>
      </w:r>
      <w:r w:rsidRPr="00CD2C4C">
        <w:t xml:space="preserve">Davis worked for the department for 15 years and advanced through the ranks to battalion chief. In 2021, Davis was terminated after he did not reprimand department personnel who refused the Orange County’s mandated COVID-19 vaccine. </w:t>
      </w:r>
      <w:r>
        <w:t xml:space="preserve"> Davis has failed to allege an” objectively reasonable” belief that issuing the written reprimands to firefighters who hadn’t timely provided a vaccination certificate or exemption request, because the union had negotiated an MOU with the County that COVID reprimands could not be considered or used in a union member’s performance evaluation, and that no further disciplinary action could be taken against employees who didn’t file a timely vaccination certificate or exemption request. </w:t>
      </w:r>
      <w:hyperlink r:id="rId2097" w:history="1">
        <w:r w:rsidRPr="002B0907">
          <w:rPr>
            <w:rStyle w:val="Hyperlink"/>
          </w:rPr>
          <w:t>https://www.govinfo.gov/content/pkg/USCOURTS-ca11-25-11434/pdf/USCOURTS-ca11-25-11434-0.pdf</w:t>
        </w:r>
      </w:hyperlink>
      <w:r>
        <w:t xml:space="preserve"> </w:t>
      </w:r>
    </w:p>
    <w:p w14:paraId="32322AF6" w14:textId="77777777" w:rsidR="008D7CEA" w:rsidRDefault="008D7CEA" w:rsidP="008D7CEA">
      <w:pPr>
        <w:pStyle w:val="NoSpacing"/>
        <w:rPr>
          <w:bCs/>
        </w:rPr>
      </w:pPr>
    </w:p>
    <w:p w14:paraId="49A6FA41" w14:textId="77777777" w:rsidR="008D7CEA" w:rsidRDefault="008D7CEA" w:rsidP="008D7CEA">
      <w:pPr>
        <w:pStyle w:val="NoSpacing"/>
      </w:pPr>
      <w:r>
        <w:t>THE COURT HELD: “It is undisputed that Davis’s termination was an adverse employment action caused by his refusal to issue reprimands for violations of the department’s COVID-19 policy, so this case comes down to whether that refusal was protected activity…. Here, Davis asserts that he believed the reprimands he was ordered to issue violated Title VII’s anti-discrimination provision. That belief wasn’t objectively reasonable….  The memorandum of understanding between the union representing Orange County firefighters and the county stated that the reprimands could not be considered or used in a union member’s performance</w:t>
      </w:r>
    </w:p>
    <w:p w14:paraId="25DB761E" w14:textId="77777777" w:rsidR="008D7CEA" w:rsidRDefault="008D7CEA" w:rsidP="008D7CEA">
      <w:pPr>
        <w:pStyle w:val="NoSpacing"/>
      </w:pPr>
      <w:r>
        <w:t xml:space="preserve">evaluation, and that no further disciplinary action could be taken against employees who didn’t file a timely vaccination certificate or exemption request. In other words, the reprimands were toothless—they themselves didn’t rise to the level of an adverse employment action, and a future adverse employment action couldn’t be based on them…. In other words, the reprimands were toothless—they themselves didn’t rise to the level of an adverse employment action, and a future adverse employment action couldn’t be based on them. </w:t>
      </w:r>
      <w:proofErr w:type="gramStart"/>
      <w:r>
        <w:t>So</w:t>
      </w:r>
      <w:proofErr w:type="gramEnd"/>
      <w:r>
        <w:t xml:space="preserve"> Davis has failed to allege an objectively reasonable belief that a written reprimand—that by its own terms could</w:t>
      </w:r>
    </w:p>
    <w:p w14:paraId="6F4F22F4" w14:textId="77777777" w:rsidR="008D7CEA" w:rsidRDefault="008D7CEA" w:rsidP="008D7CEA">
      <w:pPr>
        <w:pStyle w:val="NoSpacing"/>
      </w:pPr>
      <w:r>
        <w:t>not impact the terms or conditions of a firefighter’s employment— would disadvantage, harm, or make “worse off” his subordinates’ employment in any way.”</w:t>
      </w:r>
    </w:p>
    <w:p w14:paraId="49FCE479" w14:textId="77777777" w:rsidR="008D7CEA" w:rsidRDefault="008D7CEA" w:rsidP="008D7CEA">
      <w:pPr>
        <w:pStyle w:val="NoSpacing"/>
      </w:pPr>
    </w:p>
    <w:p w14:paraId="05D5DD49" w14:textId="77777777" w:rsidR="008D7CEA" w:rsidRDefault="008D7CEA" w:rsidP="008D7CEA">
      <w:pPr>
        <w:pStyle w:val="NoSpacing"/>
        <w:rPr>
          <w:b/>
          <w:bCs/>
        </w:rPr>
      </w:pPr>
      <w:r>
        <w:rPr>
          <w:b/>
        </w:rPr>
        <w:t>Legal lesson learned:  Davis should have consulted an employment layer before refusing to issue the COVID reprimands.</w:t>
      </w:r>
    </w:p>
    <w:p w14:paraId="7896FF80" w14:textId="77777777" w:rsidR="008D7CEA" w:rsidRDefault="008D7CEA" w:rsidP="008D7CEA">
      <w:pPr>
        <w:pStyle w:val="NoSpacing"/>
        <w:rPr>
          <w:b/>
          <w:bCs/>
        </w:rPr>
      </w:pPr>
    </w:p>
    <w:p w14:paraId="53D4C45D" w14:textId="77777777" w:rsidR="008D7CEA" w:rsidRDefault="008D7CEA" w:rsidP="008D7CEA">
      <w:pPr>
        <w:pStyle w:val="NoSpacing"/>
        <w:ind w:left="720"/>
      </w:pPr>
      <w:r>
        <w:t xml:space="preserve">Note: See June 15, </w:t>
      </w:r>
      <w:proofErr w:type="gramStart"/>
      <w:r>
        <w:t>2024</w:t>
      </w:r>
      <w:proofErr w:type="gramEnd"/>
      <w:r>
        <w:t xml:space="preserve"> article</w:t>
      </w:r>
      <w:r w:rsidRPr="001260AC">
        <w:rPr>
          <w:b/>
        </w:rPr>
        <w:t xml:space="preserve">: </w:t>
      </w:r>
      <w:r>
        <w:rPr>
          <w:b/>
        </w:rPr>
        <w:t>“</w:t>
      </w:r>
      <w:r w:rsidRPr="001260AC">
        <w:t>BREAKING: Former Orange County Fire Rescue battalion chief announces candidacy for County Commission District 1</w:t>
      </w:r>
      <w:r>
        <w:t xml:space="preserve">. </w:t>
      </w:r>
      <w:hyperlink r:id="rId2098" w:history="1">
        <w:r w:rsidRPr="002B0907">
          <w:rPr>
            <w:rStyle w:val="Hyperlink"/>
          </w:rPr>
          <w:t>https://www.orangeobserver.com/news/2024/jun/15/breaking-former-orange-county-fire-rescue-battalion-chief-announces-candidacy-for-county-commission-district-1/</w:t>
        </w:r>
      </w:hyperlink>
      <w:r>
        <w:t xml:space="preserve"> </w:t>
      </w:r>
    </w:p>
    <w:p w14:paraId="247E0F29" w14:textId="77777777" w:rsidR="008D7CEA" w:rsidRDefault="008D7CEA" w:rsidP="008D7CEA">
      <w:pPr>
        <w:pStyle w:val="NoSpacing"/>
        <w:ind w:left="720"/>
      </w:pPr>
    </w:p>
    <w:p w14:paraId="1318568A" w14:textId="77777777" w:rsidR="008D7CEA" w:rsidRPr="00A21182" w:rsidRDefault="008D7CEA" w:rsidP="008D7CEA">
      <w:pPr>
        <w:pStyle w:val="NoSpacing"/>
        <w:ind w:left="720"/>
      </w:pPr>
      <w:r>
        <w:t>“</w:t>
      </w:r>
      <w:r w:rsidRPr="00722EC8">
        <w:t xml:space="preserve">Stephen Davis, a former Orange County Fire Rescue battalion chief has filed as a qualified write-in candidate for the </w:t>
      </w:r>
      <w:proofErr w:type="gramStart"/>
      <w:r w:rsidRPr="00722EC8">
        <w:t>District</w:t>
      </w:r>
      <w:proofErr w:type="gramEnd"/>
      <w:r w:rsidRPr="00722EC8">
        <w:t xml:space="preserve"> 1 Orange County Commission seat.</w:t>
      </w:r>
      <w:r>
        <w:t xml:space="preserve"> </w:t>
      </w:r>
      <w:r w:rsidRPr="00722EC8">
        <w:t xml:space="preserve">Davis joins incumbent Nicole Wilson and challenger Austin Arthur in the race. </w:t>
      </w:r>
      <w:proofErr w:type="spellStart"/>
      <w:r w:rsidRPr="00722EC8">
        <w:t>Davis’</w:t>
      </w:r>
      <w:proofErr w:type="spellEnd"/>
      <w:r w:rsidRPr="00722EC8">
        <w:t xml:space="preserve"> candidacy also moves the race from November general election up to the primary ballot, Aug. 20.</w:t>
      </w:r>
      <w:r>
        <w:t xml:space="preserve"> </w:t>
      </w:r>
      <w:r w:rsidRPr="00722EC8">
        <w:t xml:space="preserve">If one candidate gets 50% plus one vote in the primary, that person wins the seat, Orange County Supervisor of Elections Public Information Officer Christopher Heath said. </w:t>
      </w:r>
      <w:r>
        <w:t xml:space="preserve"> </w:t>
      </w:r>
      <w:r w:rsidRPr="00722EC8">
        <w:t>Davis worked for the department for 15 years and advanced through the ranks to battalion chief. In 2021, Davis was terminated after he did not reprimand department personnel who refused the Orange County’s mandated COVID-19 vaccine.</w:t>
      </w:r>
      <w:r w:rsidRPr="00A21182">
        <w:rPr>
          <w:rFonts w:eastAsia="Times New Roman"/>
        </w:rPr>
        <w:t xml:space="preserve"> </w:t>
      </w:r>
      <w:r w:rsidRPr="00A21182">
        <w:t xml:space="preserve">He later filed a lawsuit against the county for wrongful termination </w:t>
      </w:r>
      <w:proofErr w:type="gramStart"/>
      <w:r w:rsidRPr="00A21182">
        <w:t>and also</w:t>
      </w:r>
      <w:proofErr w:type="gramEnd"/>
      <w:r w:rsidRPr="00A21182">
        <w:t xml:space="preserve"> has written a book about his experience.</w:t>
      </w:r>
      <w:r>
        <w:t xml:space="preserve"> ‘</w:t>
      </w:r>
      <w:r w:rsidRPr="00A21182">
        <w:t>History has now proven Orange County was wrong to mandate the so-called vaccine,</w:t>
      </w:r>
      <w:r>
        <w:t>’</w:t>
      </w:r>
      <w:r w:rsidRPr="00A21182">
        <w:t xml:space="preserve"> Davis said. </w:t>
      </w:r>
      <w:r>
        <w:t>‘</w:t>
      </w:r>
      <w:r w:rsidRPr="00A21182">
        <w:t>It did not stop the spread. Worse, Commissioner Nicole Wilson ridiculed and showed disdain for the firefighters who refused it. That’s why I’m running — to make sure this issue does not go away.</w:t>
      </w:r>
      <w:r>
        <w:t>’”</w:t>
      </w:r>
    </w:p>
    <w:p w14:paraId="7943B121" w14:textId="77777777" w:rsidR="00DB1FBE" w:rsidRDefault="00DB1FBE" w:rsidP="00004498">
      <w:pPr>
        <w:rPr>
          <w:rFonts w:ascii="Arial Black" w:hAnsi="Arial Black"/>
          <w:b/>
          <w:bCs/>
          <w:sz w:val="24"/>
          <w:szCs w:val="24"/>
        </w:rPr>
      </w:pPr>
    </w:p>
    <w:p w14:paraId="58697735" w14:textId="77777777" w:rsidR="00DB1FBE" w:rsidRDefault="00DB1FBE" w:rsidP="00004498">
      <w:pPr>
        <w:rPr>
          <w:rFonts w:ascii="Arial Black" w:hAnsi="Arial Black"/>
          <w:b/>
          <w:bCs/>
          <w:sz w:val="24"/>
          <w:szCs w:val="24"/>
        </w:rPr>
      </w:pPr>
    </w:p>
    <w:p w14:paraId="039E4D67" w14:textId="42AA3F76" w:rsidR="00F448F2" w:rsidRDefault="00F448F2" w:rsidP="00004498">
      <w:pPr>
        <w:rPr>
          <w:rFonts w:ascii="Arial Black" w:hAnsi="Arial Black"/>
          <w:b/>
          <w:bCs/>
          <w:sz w:val="24"/>
          <w:szCs w:val="24"/>
        </w:rPr>
      </w:pPr>
      <w:r>
        <w:rPr>
          <w:rFonts w:ascii="Arial Black" w:hAnsi="Arial Black"/>
          <w:b/>
          <w:bCs/>
          <w:sz w:val="24"/>
          <w:szCs w:val="24"/>
        </w:rPr>
        <w:t>13-244</w:t>
      </w:r>
    </w:p>
    <w:p w14:paraId="4FC97D69" w14:textId="77777777" w:rsidR="00F448F2" w:rsidRPr="005A0B1B" w:rsidRDefault="00F448F2" w:rsidP="00F448F2">
      <w:pPr>
        <w:pStyle w:val="NoSpacing"/>
        <w:rPr>
          <w:rFonts w:ascii="Arial Black" w:hAnsi="Arial Black"/>
          <w:b/>
          <w:sz w:val="28"/>
          <w:szCs w:val="28"/>
        </w:rPr>
      </w:pPr>
      <w:r>
        <w:rPr>
          <w:rFonts w:ascii="Arial Black" w:hAnsi="Arial Black"/>
          <w:b/>
          <w:sz w:val="28"/>
          <w:szCs w:val="28"/>
        </w:rPr>
        <w:t>MA: 8-MO CHILD – 2 EMTs DIDN’T CANCEL ALS – NO CASE</w:t>
      </w:r>
    </w:p>
    <w:p w14:paraId="7FDD11F0" w14:textId="77777777" w:rsidR="00F448F2" w:rsidRDefault="00F448F2" w:rsidP="00F448F2">
      <w:pPr>
        <w:pStyle w:val="NoSpacing"/>
        <w:rPr>
          <w:b/>
        </w:rPr>
      </w:pPr>
    </w:p>
    <w:p w14:paraId="5F061A7F" w14:textId="77777777" w:rsidR="00F448F2" w:rsidRDefault="00F448F2" w:rsidP="00F448F2">
      <w:pPr>
        <w:pStyle w:val="NoSpacing"/>
      </w:pPr>
      <w:r>
        <w:t xml:space="preserve">On February 6, 2026, in </w:t>
      </w:r>
      <w:r w:rsidRPr="00A658F9">
        <w:rPr>
          <w:u w:val="single"/>
        </w:rPr>
        <w:t>Matthew Lincoff and Taylor Lincoff, co-personal representatives of the estate of Landon Lincoff v. Town of Topsfield, et al</w:t>
      </w:r>
      <w:r>
        <w:t xml:space="preserve">., U.S. District Court Judge Brian E. Murphy, </w:t>
      </w:r>
    </w:p>
    <w:p w14:paraId="08337326" w14:textId="77777777" w:rsidR="00F448F2" w:rsidRDefault="00F448F2" w:rsidP="00F448F2">
      <w:pPr>
        <w:pStyle w:val="NoSpacing"/>
      </w:pPr>
      <w:r w:rsidRPr="00B672B3">
        <w:t>United States District Court for the District of Massachusetts</w:t>
      </w:r>
      <w:r>
        <w:t xml:space="preserve"> granted the defendants motion to dismiss federal case; there no proof that the Town’s policy in 2020 to handle their own EMS transports, with mutual aid ALS back up, led to a practice of cancelling ALS mutual aid. In the </w:t>
      </w:r>
      <w:r w:rsidRPr="00B73581">
        <w:t xml:space="preserve">early hours of June 5, 2021, eight-month-old Landon stopped breathing at </w:t>
      </w:r>
      <w:proofErr w:type="gramStart"/>
      <w:r w:rsidRPr="00B73581">
        <w:t>his home</w:t>
      </w:r>
      <w:proofErr w:type="gramEnd"/>
      <w:r w:rsidRPr="00B73581">
        <w:t xml:space="preserve"> after having been sick with a cough and respiratory illness in the preceding days.</w:t>
      </w:r>
      <w:r>
        <w:t xml:space="preserve"> </w:t>
      </w:r>
      <w:r w:rsidRPr="0005295A">
        <w:t xml:space="preserve">Two Topsfield </w:t>
      </w:r>
      <w:r>
        <w:t xml:space="preserve">police </w:t>
      </w:r>
      <w:r w:rsidRPr="0005295A">
        <w:t xml:space="preserve">officers arrived at the residence around 2:11 a.m. </w:t>
      </w:r>
      <w:r>
        <w:t xml:space="preserve">and </w:t>
      </w:r>
      <w:r w:rsidRPr="0005295A">
        <w:t>found Landon pulseless and not breathing.</w:t>
      </w:r>
      <w:r>
        <w:t xml:space="preserve">  At 2:12 am, off duty TDF paramedic </w:t>
      </w:r>
      <w:r w:rsidRPr="00064812">
        <w:t>Jonathan Hallina</w:t>
      </w:r>
      <w:r>
        <w:t xml:space="preserve">n heard the call at home, requested mutual aid and drove to the fire station, while two EMT-Basics at the station responded in ambulance and arrived at </w:t>
      </w:r>
      <w:r w:rsidRPr="00A24981">
        <w:t>2:16 a.m.</w:t>
      </w:r>
      <w:r>
        <w:t xml:space="preserve">, and departed for </w:t>
      </w:r>
      <w:r w:rsidRPr="009A12DF">
        <w:t xml:space="preserve">Beverly Hospital </w:t>
      </w:r>
      <w:r>
        <w:t xml:space="preserve">at 2:19 pm </w:t>
      </w:r>
      <w:r w:rsidRPr="009A12DF">
        <w:t>with a police escor</w:t>
      </w:r>
      <w:r>
        <w:t xml:space="preserve">t, along with Mrs. </w:t>
      </w:r>
      <w:proofErr w:type="spellStart"/>
      <w:r>
        <w:t>Lincoff</w:t>
      </w:r>
      <w:proofErr w:type="spellEnd"/>
      <w:r>
        <w:t xml:space="preserve"> on board. At 2:22 the ambulance picked up Paramedic </w:t>
      </w:r>
      <w:r w:rsidRPr="00064812">
        <w:t>Hallina</w:t>
      </w:r>
      <w:r>
        <w:t xml:space="preserve">n and at </w:t>
      </w:r>
      <w:r w:rsidRPr="00B62E7F">
        <w:t xml:space="preserve">2:23 a.m., picked up </w:t>
      </w:r>
      <w:r>
        <w:t xml:space="preserve">Lt. Paramedic </w:t>
      </w:r>
      <w:r w:rsidRPr="00472E7E">
        <w:t>John Boyle</w:t>
      </w:r>
      <w:r>
        <w:t xml:space="preserve"> and went to hospital. The mutual aid ambulance from </w:t>
      </w:r>
      <w:r w:rsidRPr="001C5499">
        <w:t>Northeast Regional Ambulance Service (</w:t>
      </w:r>
      <w:r>
        <w:t>‘</w:t>
      </w:r>
      <w:r w:rsidRPr="001C5499">
        <w:t>NRAS</w:t>
      </w:r>
      <w:r>
        <w:t>’</w:t>
      </w:r>
      <w:r w:rsidRPr="001C5499">
        <w:t>)</w:t>
      </w:r>
      <w:r>
        <w:t xml:space="preserve"> was not needed – but advised they w</w:t>
      </w:r>
      <w:r w:rsidRPr="006B140B">
        <w:t xml:space="preserve">ould “be coming down </w:t>
      </w:r>
      <w:r>
        <w:t>[R</w:t>
      </w:r>
      <w:r w:rsidRPr="006B140B">
        <w:t xml:space="preserve">oute] 97 also, we will intercept you as easy as possible. If you do not need to stop, </w:t>
      </w:r>
      <w:proofErr w:type="gramStart"/>
      <w:r w:rsidRPr="006B140B">
        <w:t>continue on</w:t>
      </w:r>
      <w:proofErr w:type="gramEnd"/>
      <w:r w:rsidRPr="006B140B">
        <w:t>, we will stop if you need to.”</w:t>
      </w:r>
      <w:r>
        <w:t xml:space="preserve"> </w:t>
      </w:r>
      <w:hyperlink r:id="rId2099" w:history="1">
        <w:r w:rsidRPr="00C72C21">
          <w:rPr>
            <w:rStyle w:val="Hyperlink"/>
          </w:rPr>
          <w:t>https://cases.justia.com/federal/district-courts/massachusetts/madce/1:2023cv12125/261357/75/0.pdf?ts=1770465752</w:t>
        </w:r>
      </w:hyperlink>
      <w:r>
        <w:t xml:space="preserve"> </w:t>
      </w:r>
    </w:p>
    <w:p w14:paraId="38D539B1" w14:textId="77777777" w:rsidR="00F448F2" w:rsidRDefault="00F448F2" w:rsidP="00F448F2">
      <w:pPr>
        <w:pStyle w:val="NoSpacing"/>
      </w:pPr>
    </w:p>
    <w:p w14:paraId="671320AD" w14:textId="77777777" w:rsidR="00F448F2" w:rsidRDefault="00F448F2" w:rsidP="00F448F2">
      <w:pPr>
        <w:pStyle w:val="NoSpacing"/>
      </w:pPr>
      <w:r>
        <w:t>THE COURT HELD: “</w:t>
      </w:r>
      <w:r w:rsidRPr="005C6982">
        <w:t>Since 2020, TFD has been the primary transport service, though the Town maintains agreements with other emergency first responder services to provide backup emergency services</w:t>
      </w:r>
      <w:r>
        <w:t xml:space="preserve">…. </w:t>
      </w:r>
      <w:r w:rsidRPr="005C6982">
        <w:t xml:space="preserve"> Backup emergency services are available via an </w:t>
      </w:r>
      <w:r>
        <w:t>‘</w:t>
      </w:r>
      <w:r w:rsidRPr="005C6982">
        <w:t>intercept,</w:t>
      </w:r>
      <w:r>
        <w:t>’</w:t>
      </w:r>
      <w:r w:rsidRPr="005C6982">
        <w:t xml:space="preserve"> which refers to any ambulance or individual dispatched for the purpose of supplementing staff</w:t>
      </w:r>
      <w:r>
        <w:t xml:space="preserve">…. </w:t>
      </w:r>
      <w:r w:rsidRPr="00A45B59">
        <w:t>One such service is Northeast Regional Ambulance Service (</w:t>
      </w:r>
      <w:r>
        <w:t>‘</w:t>
      </w:r>
      <w:r w:rsidRPr="00A45B59">
        <w:t>NRAS</w:t>
      </w:r>
      <w:r>
        <w:t>’</w:t>
      </w:r>
      <w:r w:rsidRPr="00A45B59">
        <w:t>)</w:t>
      </w:r>
      <w:r>
        <w:t xml:space="preserve">…. </w:t>
      </w:r>
      <w:r w:rsidRPr="00A45B59">
        <w:t>The Town claims to have decided to make TFD the primary transportation service because when NRAS was the primary transport provider, NRAS's delayed response time would result in TFD personnel arriving to provide services but then needing to wait for NRAS to arrive to make the transport</w:t>
      </w:r>
      <w:r>
        <w:t>….</w:t>
      </w:r>
      <w:r w:rsidRPr="00A45B59">
        <w:t>The Town experienced additional difficulties relying on NRAS's staffing of ambulances, including sending BLS services instead of ALS</w:t>
      </w:r>
      <w:r>
        <w:t xml:space="preserve">…. </w:t>
      </w:r>
      <w:r w:rsidRPr="00101460">
        <w:t>Around the same time, Collins-Brown expressed a desire to ensure that TFD paramedics gain more experience in the field, to provide better and faster care to Topsfield residents.</w:t>
      </w:r>
      <w:r>
        <w:t xml:space="preserve"> *** </w:t>
      </w:r>
      <w:r w:rsidRPr="00E502A2">
        <w:t xml:space="preserve"> The </w:t>
      </w:r>
      <w:proofErr w:type="spellStart"/>
      <w:r w:rsidRPr="00E502A2">
        <w:t>Lincoffs</w:t>
      </w:r>
      <w:proofErr w:type="spellEnd"/>
      <w:r w:rsidRPr="00E502A2">
        <w:t xml:space="preserve"> contend that this preference became a policy or practice of cancelling NRAS intercepts to allow the TFD paramedics to gain more experience</w:t>
      </w:r>
      <w:r>
        <w:t xml:space="preserve">…. </w:t>
      </w:r>
      <w:r w:rsidRPr="00E502A2">
        <w:t xml:space="preserve">However, none of the TFD personnel involved in this case were aware of a policy or practice of cancelling intercepts for any reason other than because it was deemed unnecessary for patient care. </w:t>
      </w:r>
      <w:r>
        <w:t xml:space="preserve">*** </w:t>
      </w:r>
      <w:r w:rsidRPr="001607ED">
        <w:t>Based on the undisputed record before the Court, Boyle's actions cannot be said to have been deliberately indifferent to a substantial risk of serious harm.</w:t>
      </w:r>
      <w:r>
        <w:t>”</w:t>
      </w:r>
    </w:p>
    <w:p w14:paraId="63D983D5" w14:textId="77777777" w:rsidR="00F448F2" w:rsidRDefault="00F448F2" w:rsidP="00F448F2">
      <w:pPr>
        <w:pStyle w:val="NoSpacing"/>
      </w:pPr>
    </w:p>
    <w:p w14:paraId="2AA36D4E" w14:textId="77777777" w:rsidR="00F448F2" w:rsidRPr="00E502A2" w:rsidRDefault="00F448F2" w:rsidP="00F448F2">
      <w:pPr>
        <w:pStyle w:val="NoSpacing"/>
        <w:rPr>
          <w:b/>
          <w:bCs/>
        </w:rPr>
      </w:pPr>
      <w:r w:rsidRPr="00AD2716">
        <w:rPr>
          <w:b/>
        </w:rPr>
        <w:t xml:space="preserve">Legal lesson learned: </w:t>
      </w:r>
      <w:r>
        <w:rPr>
          <w:b/>
        </w:rPr>
        <w:t xml:space="preserve">There was no evidence of any of the EMS being “deliberate indifferent” to the needs of the patient. </w:t>
      </w:r>
    </w:p>
    <w:p w14:paraId="5AA50487" w14:textId="77777777" w:rsidR="00F448F2" w:rsidRPr="00A45B59" w:rsidRDefault="00F448F2" w:rsidP="00F448F2">
      <w:pPr>
        <w:pStyle w:val="NoSpacing"/>
      </w:pPr>
    </w:p>
    <w:p w14:paraId="0D48D4C6" w14:textId="77777777" w:rsidR="00F448F2" w:rsidRDefault="00F448F2" w:rsidP="00004498">
      <w:pPr>
        <w:rPr>
          <w:rFonts w:ascii="Arial Black" w:hAnsi="Arial Black"/>
          <w:b/>
          <w:bCs/>
          <w:sz w:val="24"/>
          <w:szCs w:val="24"/>
        </w:rPr>
      </w:pPr>
    </w:p>
    <w:p w14:paraId="2A36AC61" w14:textId="3AF748A3" w:rsidR="00BF6824" w:rsidRDefault="00BF6824" w:rsidP="00004498">
      <w:pPr>
        <w:rPr>
          <w:rFonts w:ascii="Arial Black" w:hAnsi="Arial Black"/>
          <w:b/>
          <w:bCs/>
          <w:sz w:val="24"/>
          <w:szCs w:val="24"/>
        </w:rPr>
      </w:pPr>
      <w:r>
        <w:rPr>
          <w:rFonts w:ascii="Arial Black" w:hAnsi="Arial Black"/>
          <w:b/>
          <w:bCs/>
          <w:sz w:val="24"/>
          <w:szCs w:val="24"/>
        </w:rPr>
        <w:t>13-243</w:t>
      </w:r>
    </w:p>
    <w:p w14:paraId="2E90720B" w14:textId="77777777" w:rsidR="00BF6824" w:rsidRPr="005D5832" w:rsidRDefault="00BF6824" w:rsidP="00BF6824">
      <w:pPr>
        <w:pStyle w:val="NoSpacing"/>
        <w:rPr>
          <w:rFonts w:ascii="Arial Black" w:hAnsi="Arial Black"/>
          <w:sz w:val="28"/>
          <w:szCs w:val="28"/>
        </w:rPr>
      </w:pPr>
      <w:r>
        <w:rPr>
          <w:rFonts w:ascii="Arial Black" w:hAnsi="Arial Black"/>
          <w:sz w:val="28"/>
          <w:szCs w:val="28"/>
        </w:rPr>
        <w:t>NY: COVID – FF CLAIM VAC FETAL CELLS – CASE PROCEED</w:t>
      </w:r>
    </w:p>
    <w:p w14:paraId="7673D1EE" w14:textId="77777777" w:rsidR="00BF6824" w:rsidRDefault="00BF6824" w:rsidP="00BF6824">
      <w:pPr>
        <w:pStyle w:val="NoSpacing"/>
      </w:pPr>
    </w:p>
    <w:p w14:paraId="544991AB" w14:textId="77777777" w:rsidR="00BF6824" w:rsidRDefault="00BF6824" w:rsidP="00BF6824">
      <w:pPr>
        <w:pStyle w:val="NoSpacing"/>
      </w:pPr>
      <w:r>
        <w:t xml:space="preserve">On February 2, 2026, in Salvatore Maita v. City of New York, U.S. Magistrate Judge Vera M. Scanlon, </w:t>
      </w:r>
      <w:r w:rsidRPr="00914791">
        <w:t>United States District Court for Eastern District of New York</w:t>
      </w:r>
      <w:r>
        <w:rPr>
          <w:b/>
        </w:rPr>
        <w:t xml:space="preserve">, </w:t>
      </w:r>
      <w:r w:rsidRPr="001B0201">
        <w:t xml:space="preserve">issued a Report and Recommendation </w:t>
      </w:r>
      <w:r>
        <w:t xml:space="preserve">that the lawsuit proceed to pre-trial discovery.  FDNY on November 1, </w:t>
      </w:r>
      <w:proofErr w:type="gramStart"/>
      <w:r>
        <w:t>2021</w:t>
      </w:r>
      <w:proofErr w:type="gramEnd"/>
      <w:r>
        <w:t xml:space="preserve"> he was placed on leave without pay; his request for accommodation because it was not based on his religion – Catholic – but on his claim the vaccination was “produced </w:t>
      </w:r>
      <w:r w:rsidRPr="006E2758">
        <w:t>researched, manufactured, and/or tested using aborted fetal cell lines</w:t>
      </w:r>
      <w:r>
        <w:t>.</w:t>
      </w:r>
      <w:r w:rsidRPr="006E2758">
        <w:t>”</w:t>
      </w:r>
      <w:r>
        <w:t xml:space="preserve"> He was fired on February 11, 2022. In 2023 he requested reinstatement, but it was denied on April 17, 2023 when he refused to sign a waiver </w:t>
      </w:r>
      <w:r w:rsidRPr="00300A52">
        <w:t>waiving his right to all backpay from the time he was placed on Leave Without Pay</w:t>
      </w:r>
      <w:r>
        <w:t xml:space="preserve">.  </w:t>
      </w:r>
      <w:hyperlink r:id="rId2100" w:history="1">
        <w:r w:rsidRPr="00125CD1">
          <w:rPr>
            <w:rStyle w:val="Hyperlink"/>
          </w:rPr>
          <w:t>https://public.fastcase.com/Jhe1Qn%2BmJndQYQU6z%2FeNm1LICE259A5ulYHxnw3lcJtDWEaUq57rExGHQXd3hU8EgaPHTdGS%2FRk5aoRP0crRKmeZauTqc6nD5gh3xIKTEMg%3D?utm_medium=email&amp;_hsenc=p2ANqtz-9zYvhQr5QF-kHvOgqVEwwEjeDJW6aa7G89aGppWtTq6GnIfdSTK1neKuS-jEFNuUA2B3hULaVGvwBQIPV_0qoJel6h4w&amp;_hsmi=226712652&amp;utm_content=226712652&amp;utm_source=hs_email</w:t>
        </w:r>
      </w:hyperlink>
      <w:r>
        <w:t xml:space="preserve"> </w:t>
      </w:r>
    </w:p>
    <w:p w14:paraId="256630DA" w14:textId="77777777" w:rsidR="00BF6824" w:rsidRDefault="00BF6824" w:rsidP="00BF6824">
      <w:pPr>
        <w:pStyle w:val="NoSpacing"/>
      </w:pPr>
    </w:p>
    <w:p w14:paraId="5C6CEBF7" w14:textId="77777777" w:rsidR="00BF6824" w:rsidRDefault="00BF6824" w:rsidP="00BF6824">
      <w:pPr>
        <w:pStyle w:val="NoSpacing"/>
      </w:pPr>
      <w:r>
        <w:t>THE COURT HELD:  “[Plaintiff claims] that</w:t>
      </w:r>
      <w:r w:rsidRPr="00106892">
        <w:t xml:space="preserve"> Defendant granted approximately 105 religious and medical accommodations to other employees of the FDNY, including </w:t>
      </w:r>
      <w:r>
        <w:t>‘</w:t>
      </w:r>
      <w:r w:rsidRPr="00106892">
        <w:t>active-duty firefighters,</w:t>
      </w:r>
      <w:r>
        <w:t>’</w:t>
      </w:r>
      <w:r w:rsidRPr="00106892">
        <w:t xml:space="preserve"> as of January 11, 2022, including at least thirty medical accommodations and at least six religious accommodations, and permitted them </w:t>
      </w:r>
      <w:r>
        <w:t>‘</w:t>
      </w:r>
      <w:r w:rsidRPr="00106892">
        <w:t>to submit to weekly PCR testing</w:t>
      </w:r>
      <w:r>
        <w:t>’</w:t>
      </w:r>
      <w:r w:rsidRPr="00106892">
        <w:t xml:space="preserve"> in lieu of receiving the COVID-19 vaccine, such that providing this accommodation was not an undue hardship, particularly given that only the initial dose was required, that </w:t>
      </w:r>
      <w:r>
        <w:t>‘</w:t>
      </w:r>
      <w:r w:rsidRPr="00106892">
        <w:t>[t]he COVID-19 vaccine does not cause prevention or [sic] transmission of the COVID-19 virus,</w:t>
      </w:r>
      <w:r>
        <w:t xml:space="preserve">’ </w:t>
      </w:r>
      <w:r w:rsidRPr="00106892">
        <w:t xml:space="preserve"> and that </w:t>
      </w:r>
      <w:r>
        <w:t>‘</w:t>
      </w:r>
      <w:r w:rsidRPr="00106892">
        <w:t>vaccinated and unvaccinated people infected with COVID-19</w:t>
      </w:r>
      <w:r>
        <w:t>’</w:t>
      </w:r>
      <w:r w:rsidRPr="00106892">
        <w:t xml:space="preserve"> had </w:t>
      </w:r>
      <w:r>
        <w:t>‘</w:t>
      </w:r>
      <w:r w:rsidRPr="00106892">
        <w:t>similar viral loads.</w:t>
      </w:r>
      <w:r>
        <w:t xml:space="preserve">’ … </w:t>
      </w:r>
      <w:r w:rsidRPr="00106892">
        <w:t>Employees of the New York City Police Department were similarly accommodated</w:t>
      </w:r>
      <w:r>
        <w:t xml:space="preserve">…. *** </w:t>
      </w:r>
      <w:r w:rsidRPr="00823740">
        <w:t xml:space="preserve">Once Plaintiff has pleaded his claims, and the possible affirmative defenses are not evident on the face of the amended complaint, the claims may move forward. </w:t>
      </w:r>
      <w:proofErr w:type="gramStart"/>
      <w:r w:rsidRPr="00823740">
        <w:t>Defendant</w:t>
      </w:r>
      <w:proofErr w:type="gramEnd"/>
      <w:r w:rsidRPr="00823740">
        <w:t xml:space="preserve"> may, indeed, have valid defenses, but they require the presentation of facts beyond the amended complaint. For example, Plaintiff bases his claims on a claim that aborted fetal cell lines were used in the production, research, manufacture and/or testing of the COVID-19 vaccine. This is posited as a fact, not a religious belief in and of itself such that Plaintiff will have to prove such alleged fact at a later stage of the proceedings. This allegation cannot be resolved on the current record. By way of another factual dispute that cannot be resolved on the face of the amended complaint or as a matter of law is the defense of undue hardship. At this juncture, determination of whether accommodating Plaintiff would have been an undue hardship for Defendant would be premature.</w:t>
      </w:r>
      <w:r>
        <w:t>”</w:t>
      </w:r>
    </w:p>
    <w:p w14:paraId="59A55B97" w14:textId="77777777" w:rsidR="00BF6824" w:rsidRDefault="00BF6824" w:rsidP="00BF6824">
      <w:pPr>
        <w:pStyle w:val="NoSpacing"/>
      </w:pPr>
    </w:p>
    <w:p w14:paraId="37B7892C" w14:textId="77777777" w:rsidR="00BF6824" w:rsidRPr="00106892" w:rsidRDefault="00BF6824" w:rsidP="00BF6824">
      <w:pPr>
        <w:pStyle w:val="NoSpacing"/>
        <w:rPr>
          <w:b/>
          <w:bCs/>
        </w:rPr>
      </w:pPr>
      <w:r w:rsidRPr="00B57F27">
        <w:rPr>
          <w:b/>
        </w:rPr>
        <w:t xml:space="preserve">Legal lesson learned: </w:t>
      </w:r>
      <w:r>
        <w:rPr>
          <w:b/>
        </w:rPr>
        <w:t xml:space="preserve">Case will now proceed to pre-trial discovery; many COVID cases against FDNY have resulted in dismissal of the cases. </w:t>
      </w:r>
    </w:p>
    <w:p w14:paraId="10A1E9BB" w14:textId="77777777" w:rsidR="00BF6824" w:rsidRDefault="00BF6824" w:rsidP="00004498">
      <w:pPr>
        <w:rPr>
          <w:rFonts w:ascii="Arial Black" w:hAnsi="Arial Black"/>
          <w:b/>
          <w:bCs/>
          <w:sz w:val="24"/>
          <w:szCs w:val="24"/>
        </w:rPr>
      </w:pPr>
    </w:p>
    <w:p w14:paraId="541EAFB2" w14:textId="3FD57166" w:rsidR="00C812C2" w:rsidRDefault="00627649" w:rsidP="00004498">
      <w:pPr>
        <w:rPr>
          <w:rFonts w:ascii="Arial Black" w:hAnsi="Arial Black"/>
          <w:b/>
          <w:bCs/>
          <w:sz w:val="24"/>
          <w:szCs w:val="24"/>
        </w:rPr>
      </w:pPr>
      <w:r>
        <w:rPr>
          <w:rFonts w:ascii="Arial Black" w:hAnsi="Arial Black"/>
          <w:b/>
          <w:bCs/>
          <w:sz w:val="24"/>
          <w:szCs w:val="24"/>
        </w:rPr>
        <w:t>13-242</w:t>
      </w:r>
    </w:p>
    <w:p w14:paraId="39FB2AB2" w14:textId="0277EA31" w:rsidR="00627649" w:rsidRPr="00454803" w:rsidRDefault="00627649" w:rsidP="00627649">
      <w:pPr>
        <w:rPr>
          <w:rFonts w:ascii="Arial Black" w:hAnsi="Arial Black"/>
          <w:b/>
          <w:sz w:val="28"/>
          <w:szCs w:val="28"/>
        </w:rPr>
      </w:pPr>
      <w:r>
        <w:rPr>
          <w:rFonts w:ascii="Arial Black" w:hAnsi="Arial Black"/>
          <w:b/>
          <w:sz w:val="28"/>
          <w:szCs w:val="28"/>
        </w:rPr>
        <w:t>OH: ASHMA PT – 911 / HANG UP – DISPATCHERS NEG</w:t>
      </w:r>
      <w:r w:rsidR="005A04E2">
        <w:rPr>
          <w:rFonts w:ascii="Arial Black" w:hAnsi="Arial Black"/>
          <w:b/>
          <w:sz w:val="28"/>
          <w:szCs w:val="28"/>
        </w:rPr>
        <w:t>LIGENCE</w:t>
      </w:r>
      <w:r>
        <w:rPr>
          <w:rFonts w:ascii="Arial Black" w:hAnsi="Arial Black"/>
          <w:b/>
          <w:sz w:val="28"/>
          <w:szCs w:val="28"/>
        </w:rPr>
        <w:t xml:space="preserve"> </w:t>
      </w:r>
    </w:p>
    <w:p w14:paraId="73A1C282" w14:textId="77777777" w:rsidR="00627649" w:rsidRDefault="00627649" w:rsidP="00627649">
      <w:pPr>
        <w:pStyle w:val="NoSpacing"/>
      </w:pPr>
      <w:r>
        <w:t xml:space="preserve">On January 12, 2026, in </w:t>
      </w:r>
      <w:r w:rsidRPr="0005582E">
        <w:rPr>
          <w:u w:val="single"/>
        </w:rPr>
        <w:t>Clinton T. Widdowson, as Administrator of the Estate of Tyler Joe-Austin Widdowson, et al. v. Lake County, Ohio</w:t>
      </w:r>
      <w:r>
        <w:t xml:space="preserve">, the </w:t>
      </w:r>
      <w:r w:rsidRPr="0005582E">
        <w:t>Court of Appeals of Ohio, Eleventh District, Lake</w:t>
      </w:r>
      <w:r>
        <w:t xml:space="preserve"> County held (2 to 1) that trial court judge should not have dismissed the two dispatchers from this lawsuit for their alleged “</w:t>
      </w:r>
      <w:r w:rsidRPr="00C47724">
        <w:t>wanton and reckless conduct</w:t>
      </w:r>
      <w:r>
        <w:t>”</w:t>
      </w:r>
      <w:r w:rsidRPr="00C47724">
        <w:t xml:space="preserve"> </w:t>
      </w:r>
      <w:r>
        <w:t xml:space="preserve">- </w:t>
      </w:r>
      <w:r w:rsidRPr="00471BDC">
        <w:t>Angela King and Brandy</w:t>
      </w:r>
      <w:r>
        <w:t xml:space="preserve"> </w:t>
      </w:r>
      <w:r w:rsidRPr="00471BDC">
        <w:t xml:space="preserve">Catanese. </w:t>
      </w:r>
      <w:r>
        <w:t xml:space="preserve"> On </w:t>
      </w:r>
      <w:r w:rsidRPr="00CC1EE2">
        <w:t>Saturday, April 30, 2022, at 5:26 a.m.,</w:t>
      </w:r>
      <w:r>
        <w:t xml:space="preserve"> </w:t>
      </w:r>
      <w:r w:rsidRPr="00CC1EE2">
        <w:t xml:space="preserve">Tiler Widdowson </w:t>
      </w:r>
      <w:r>
        <w:t xml:space="preserve">(age 24) </w:t>
      </w:r>
      <w:r w:rsidRPr="00CC1EE2">
        <w:t>called 911 on his cell phone for assistance. The</w:t>
      </w:r>
      <w:r>
        <w:t xml:space="preserve"> </w:t>
      </w:r>
      <w:r w:rsidRPr="00CC1EE2">
        <w:t>call was received by Sgt. King who had difficulty discerning what</w:t>
      </w:r>
      <w:r>
        <w:t xml:space="preserve"> </w:t>
      </w:r>
      <w:r w:rsidRPr="00CC1EE2">
        <w:t>Widdowson was saying. She was only able to discern the word</w:t>
      </w:r>
      <w:r>
        <w:t xml:space="preserve"> '</w:t>
      </w:r>
      <w:r w:rsidRPr="00CC1EE2">
        <w:t xml:space="preserve">help.” She </w:t>
      </w:r>
      <w:proofErr w:type="gramStart"/>
      <w:r w:rsidRPr="00CC1EE2">
        <w:t>entered into</w:t>
      </w:r>
      <w:proofErr w:type="gramEnd"/>
      <w:r w:rsidRPr="00CC1EE2">
        <w:t xml:space="preserve"> the Computer Aided Dispatch (CAD) system</w:t>
      </w:r>
      <w:r>
        <w:t xml:space="preserve"> </w:t>
      </w:r>
      <w:r w:rsidRPr="00CC1EE2">
        <w:t>“Male just yelling help.” Despite her repeated requests, Widdowson</w:t>
      </w:r>
      <w:r>
        <w:t xml:space="preserve"> </w:t>
      </w:r>
      <w:r w:rsidRPr="00CC1EE2">
        <w:t>was unable to provide his location</w:t>
      </w:r>
      <w:r>
        <w:t xml:space="preserve">, and sent deputies to Cambridge Condominiums on low level welfare check. At 6:06 a.m., she relistened to the call and added in the CAD the comment “just says please help, please help, can’t breathe” and further commented “sounds like it’s not directly into the phone either.” She did not reclassify the call from a welfare check to a medical emergency and did send fire or </w:t>
      </w:r>
      <w:proofErr w:type="gramStart"/>
      <w:r>
        <w:t>EMS, and</w:t>
      </w:r>
      <w:proofErr w:type="gramEnd"/>
      <w:r>
        <w:t xml:space="preserve"> did have second dispatcher radio this information to the deputies. </w:t>
      </w:r>
      <w:hyperlink r:id="rId2101" w:history="1">
        <w:r w:rsidRPr="00815351">
          <w:rPr>
            <w:rStyle w:val="Hyperlink"/>
          </w:rPr>
          <w:t>https://www.supremecourt.ohio.gov/rod/docs/pdf/11/2026/2026-Ohio-67.pdf</w:t>
        </w:r>
      </w:hyperlink>
      <w:r>
        <w:t xml:space="preserve"> </w:t>
      </w:r>
    </w:p>
    <w:p w14:paraId="1FAFD8E2" w14:textId="77777777" w:rsidR="00627649" w:rsidRDefault="00627649" w:rsidP="00627649">
      <w:pPr>
        <w:pStyle w:val="NoSpacing"/>
      </w:pPr>
    </w:p>
    <w:p w14:paraId="3820200E" w14:textId="77777777" w:rsidR="00627649" w:rsidRDefault="00627649" w:rsidP="00627649">
      <w:pPr>
        <w:pStyle w:val="NoSpacing"/>
      </w:pPr>
      <w:r>
        <w:t>THE COURT HELD:</w:t>
      </w:r>
    </w:p>
    <w:p w14:paraId="437A9DA4" w14:textId="77777777" w:rsidR="00627649" w:rsidRDefault="00627649" w:rsidP="00627649">
      <w:pPr>
        <w:pStyle w:val="NoSpacing"/>
      </w:pPr>
    </w:p>
    <w:p w14:paraId="51FE6D46" w14:textId="77777777" w:rsidR="00627649" w:rsidRDefault="00627649" w:rsidP="00627649">
      <w:pPr>
        <w:pStyle w:val="NoSpacing"/>
        <w:ind w:firstLine="720"/>
      </w:pPr>
      <w:r>
        <w:t>“King was the fire and EMS dispatcher and could have directly dispatched</w:t>
      </w:r>
    </w:p>
    <w:p w14:paraId="28B30853" w14:textId="77777777" w:rsidR="00627649" w:rsidRDefault="00627649" w:rsidP="00627649">
      <w:pPr>
        <w:pStyle w:val="NoSpacing"/>
        <w:ind w:firstLine="720"/>
      </w:pPr>
      <w:r>
        <w:t>those units (located about two minutes away) to the scene or, at the least, staged them</w:t>
      </w:r>
    </w:p>
    <w:p w14:paraId="77530F39" w14:textId="77777777" w:rsidR="00627649" w:rsidRDefault="00627649" w:rsidP="00627649">
      <w:pPr>
        <w:pStyle w:val="NoSpacing"/>
        <w:ind w:firstLine="720"/>
      </w:pPr>
      <w:r>
        <w:t>(</w:t>
      </w:r>
      <w:proofErr w:type="gramStart"/>
      <w:r>
        <w:t>put</w:t>
      </w:r>
      <w:proofErr w:type="gramEnd"/>
      <w:r>
        <w:t xml:space="preserve"> them on notice</w:t>
      </w:r>
      <w:proofErr w:type="gramStart"/>
      <w:r>
        <w:t>), but</w:t>
      </w:r>
      <w:proofErr w:type="gramEnd"/>
      <w:r>
        <w:t xml:space="preserve"> did not do so. Nor did she reclassify the call as a medical</w:t>
      </w:r>
    </w:p>
    <w:p w14:paraId="487BEAF4" w14:textId="77777777" w:rsidR="00627649" w:rsidRDefault="00627649" w:rsidP="00627649">
      <w:pPr>
        <w:pStyle w:val="NoSpacing"/>
        <w:ind w:firstLine="720"/>
      </w:pPr>
      <w:r>
        <w:t>emergency. Although deputies were already on the scene, the deputies, according to</w:t>
      </w:r>
    </w:p>
    <w:p w14:paraId="54F1662F" w14:textId="77777777" w:rsidR="00627649" w:rsidRDefault="00627649" w:rsidP="00627649">
      <w:pPr>
        <w:pStyle w:val="NoSpacing"/>
        <w:ind w:firstLine="720"/>
      </w:pPr>
      <w:proofErr w:type="gramStart"/>
      <w:r>
        <w:t>Bowers,</w:t>
      </w:r>
      <w:proofErr w:type="gramEnd"/>
      <w:r>
        <w:t xml:space="preserve"> were not ‘trained medically’ to deal with a medical emergency.</w:t>
      </w:r>
    </w:p>
    <w:p w14:paraId="4BEA0738" w14:textId="77777777" w:rsidR="00627649" w:rsidRDefault="00627649" w:rsidP="00627649">
      <w:pPr>
        <w:pStyle w:val="NoSpacing"/>
        <w:ind w:firstLine="720"/>
      </w:pPr>
    </w:p>
    <w:p w14:paraId="6C23C9A1" w14:textId="77777777" w:rsidR="00627649" w:rsidRDefault="00627649" w:rsidP="00627649">
      <w:pPr>
        <w:pStyle w:val="NoSpacing"/>
        <w:ind w:firstLine="720"/>
      </w:pPr>
      <w:r>
        <w:t>We do find that the plaintiffs merit the opportunity of making that case to the</w:t>
      </w:r>
    </w:p>
    <w:p w14:paraId="33FB20F9" w14:textId="77777777" w:rsidR="00627649" w:rsidRDefault="00627649" w:rsidP="00627649">
      <w:pPr>
        <w:pStyle w:val="NoSpacing"/>
        <w:ind w:firstLine="720"/>
      </w:pPr>
      <w:r>
        <w:t>jury. Accordingly, summary judgment was improperly granted with respect to King.</w:t>
      </w:r>
    </w:p>
    <w:p w14:paraId="442CB11F" w14:textId="77777777" w:rsidR="00627649" w:rsidRDefault="00627649" w:rsidP="00627649">
      <w:pPr>
        <w:pStyle w:val="NoSpacing"/>
        <w:ind w:firstLine="720"/>
      </w:pPr>
    </w:p>
    <w:p w14:paraId="0193C2BD" w14:textId="77777777" w:rsidR="00627649" w:rsidRDefault="00627649" w:rsidP="00627649">
      <w:pPr>
        <w:pStyle w:val="NoSpacing"/>
        <w:ind w:firstLine="720"/>
      </w:pPr>
      <w:r>
        <w:t>***</w:t>
      </w:r>
    </w:p>
    <w:p w14:paraId="1CA28349" w14:textId="77777777" w:rsidR="00627649" w:rsidRDefault="00627649" w:rsidP="00627649">
      <w:pPr>
        <w:pStyle w:val="NoSpacing"/>
      </w:pPr>
    </w:p>
    <w:p w14:paraId="21934AF5" w14:textId="77777777" w:rsidR="00627649" w:rsidRDefault="00627649" w:rsidP="00627649">
      <w:pPr>
        <w:pStyle w:val="NoSpacing"/>
        <w:ind w:left="720"/>
      </w:pPr>
      <w:r>
        <w:t>We find that prior to hearing Tiler’s complaint that he could not breathe at about 6:06 a.m., King’s conduct was at most negligent. The initial classification of the call as a welfare check was in accordance with call center policies. In addition to classifying the event, King noted that the male caller was yelling ‘help’ and Catanese duly broadcast this information when dispatching Deputy Bowers.</w:t>
      </w:r>
    </w:p>
    <w:p w14:paraId="2AAF6A44" w14:textId="77777777" w:rsidR="00627649" w:rsidRDefault="00627649" w:rsidP="00627649">
      <w:pPr>
        <w:pStyle w:val="NoSpacing"/>
      </w:pPr>
    </w:p>
    <w:p w14:paraId="268C78F3" w14:textId="77777777" w:rsidR="00627649" w:rsidRDefault="00627649" w:rsidP="00627649">
      <w:pPr>
        <w:pStyle w:val="NoSpacing"/>
        <w:ind w:left="720"/>
      </w:pPr>
      <w:r>
        <w:t>After realizing the severity of the situation, however, King’s conduct could be described as the failure to exercise any care in circumstances in which there was a great probability of harm and/or the conscious disregard of or indifference to an obvious risk of harm. The critical issue of whether Tiler’s not being able to breathe constituted a medical emergency, i.e., a situation requiring an emergency medical response, is not one that needs to be resolved.”</w:t>
      </w:r>
    </w:p>
    <w:p w14:paraId="7608D3FC" w14:textId="77777777" w:rsidR="00627649" w:rsidRDefault="00627649" w:rsidP="00627649">
      <w:pPr>
        <w:pStyle w:val="NoSpacing"/>
        <w:ind w:left="720"/>
      </w:pPr>
    </w:p>
    <w:p w14:paraId="4BB95A9A" w14:textId="77777777" w:rsidR="00627649" w:rsidRPr="00EB0A64" w:rsidRDefault="00627649" w:rsidP="00627649">
      <w:pPr>
        <w:pStyle w:val="NoSpacing"/>
        <w:rPr>
          <w:b/>
          <w:bCs/>
        </w:rPr>
      </w:pPr>
      <w:r>
        <w:rPr>
          <w:b/>
        </w:rPr>
        <w:t xml:space="preserve">Legal lesson learned: Please share this case with your dispatchers; a 911 call for “can’t </w:t>
      </w:r>
      <w:proofErr w:type="spellStart"/>
      <w:proofErr w:type="gramStart"/>
      <w:r>
        <w:rPr>
          <w:b/>
        </w:rPr>
        <w:t>breath</w:t>
      </w:r>
      <w:proofErr w:type="spellEnd"/>
      <w:proofErr w:type="gramEnd"/>
      <w:r>
        <w:rPr>
          <w:b/>
        </w:rPr>
        <w:t xml:space="preserve">” should be handled as a medical emergency with EMS responding. </w:t>
      </w:r>
    </w:p>
    <w:p w14:paraId="20D5A555" w14:textId="77777777" w:rsidR="00627649" w:rsidRDefault="00627649" w:rsidP="00627649">
      <w:pPr>
        <w:pStyle w:val="NoSpacing"/>
      </w:pPr>
    </w:p>
    <w:p w14:paraId="3F346A1F" w14:textId="77777777" w:rsidR="00627649" w:rsidRDefault="00627649" w:rsidP="00627649">
      <w:pPr>
        <w:pStyle w:val="NoSpacing"/>
        <w:ind w:left="720"/>
      </w:pPr>
      <w:r>
        <w:t xml:space="preserve">Note: Dissenting Justice: “While Tiler Widdowson’s death is undeniably tragic, and while the emergency response may not have been perfect, the legal standards governing this case do not permit liability under these circumstances.” </w:t>
      </w:r>
    </w:p>
    <w:p w14:paraId="58D80299" w14:textId="77777777" w:rsidR="00627649" w:rsidRDefault="00627649" w:rsidP="00627649">
      <w:pPr>
        <w:pStyle w:val="NoSpacing"/>
      </w:pPr>
    </w:p>
    <w:p w14:paraId="631BBBA9" w14:textId="77777777" w:rsidR="00627649" w:rsidRDefault="00627649" w:rsidP="00004498">
      <w:pPr>
        <w:rPr>
          <w:rFonts w:ascii="Arial Black" w:hAnsi="Arial Black"/>
          <w:b/>
          <w:bCs/>
          <w:sz w:val="24"/>
          <w:szCs w:val="24"/>
        </w:rPr>
      </w:pPr>
    </w:p>
    <w:p w14:paraId="4125F5CB" w14:textId="2EC099D8" w:rsidR="009F546C" w:rsidRDefault="00424793" w:rsidP="00004498">
      <w:pPr>
        <w:rPr>
          <w:rFonts w:ascii="Arial Black" w:hAnsi="Arial Black"/>
          <w:b/>
          <w:bCs/>
          <w:sz w:val="24"/>
          <w:szCs w:val="24"/>
        </w:rPr>
      </w:pPr>
      <w:r>
        <w:rPr>
          <w:rFonts w:ascii="Arial Black" w:hAnsi="Arial Black"/>
          <w:b/>
          <w:bCs/>
          <w:sz w:val="24"/>
          <w:szCs w:val="24"/>
        </w:rPr>
        <w:t xml:space="preserve">13 – </w:t>
      </w:r>
      <w:r w:rsidR="002E2246">
        <w:rPr>
          <w:rFonts w:ascii="Arial Black" w:hAnsi="Arial Black"/>
          <w:b/>
          <w:bCs/>
          <w:sz w:val="24"/>
          <w:szCs w:val="24"/>
        </w:rPr>
        <w:t>24</w:t>
      </w:r>
      <w:r w:rsidR="00524647">
        <w:rPr>
          <w:rFonts w:ascii="Arial Black" w:hAnsi="Arial Black"/>
          <w:b/>
          <w:bCs/>
          <w:sz w:val="24"/>
          <w:szCs w:val="24"/>
        </w:rPr>
        <w:t>1</w:t>
      </w:r>
    </w:p>
    <w:p w14:paraId="42C17C39" w14:textId="61D17F23" w:rsidR="00424793" w:rsidRDefault="00424793" w:rsidP="00424793">
      <w:pPr>
        <w:rPr>
          <w:rFonts w:ascii="Arial Black" w:hAnsi="Arial Black"/>
          <w:b/>
          <w:sz w:val="28"/>
          <w:szCs w:val="28"/>
        </w:rPr>
      </w:pPr>
      <w:r>
        <w:rPr>
          <w:rFonts w:ascii="Arial Black" w:hAnsi="Arial Black"/>
          <w:b/>
          <w:sz w:val="28"/>
          <w:szCs w:val="28"/>
        </w:rPr>
        <w:t xml:space="preserve">IL: VICTIM DIED – MEDIC </w:t>
      </w:r>
      <w:r w:rsidR="00437034">
        <w:rPr>
          <w:rFonts w:ascii="Arial Black" w:hAnsi="Arial Black"/>
          <w:b/>
          <w:sz w:val="28"/>
          <w:szCs w:val="28"/>
        </w:rPr>
        <w:t xml:space="preserve">CAN TESTIFY </w:t>
      </w:r>
      <w:r w:rsidR="00014738">
        <w:rPr>
          <w:rFonts w:ascii="Arial Black" w:hAnsi="Arial Black"/>
          <w:b/>
          <w:sz w:val="28"/>
          <w:szCs w:val="28"/>
        </w:rPr>
        <w:t xml:space="preserve">TO </w:t>
      </w:r>
      <w:r>
        <w:rPr>
          <w:rFonts w:ascii="Arial Black" w:hAnsi="Arial Black"/>
          <w:b/>
          <w:sz w:val="28"/>
          <w:szCs w:val="28"/>
        </w:rPr>
        <w:t xml:space="preserve">JURY </w:t>
      </w:r>
      <w:r w:rsidR="00014738">
        <w:rPr>
          <w:rFonts w:ascii="Arial Black" w:hAnsi="Arial Black"/>
          <w:b/>
          <w:sz w:val="28"/>
          <w:szCs w:val="28"/>
        </w:rPr>
        <w:t xml:space="preserve">– PT’s </w:t>
      </w:r>
      <w:r>
        <w:rPr>
          <w:rFonts w:ascii="Arial Black" w:hAnsi="Arial Black"/>
          <w:b/>
          <w:sz w:val="28"/>
          <w:szCs w:val="28"/>
        </w:rPr>
        <w:t xml:space="preserve">“EXCITED UTTERANCE” </w:t>
      </w:r>
    </w:p>
    <w:p w14:paraId="13C761B7" w14:textId="77777777" w:rsidR="00424793" w:rsidRDefault="00424793" w:rsidP="00424793">
      <w:pPr>
        <w:rPr>
          <w:b/>
        </w:rPr>
      </w:pPr>
      <w:r>
        <w:t xml:space="preserve">On December 23, 2025, in </w:t>
      </w:r>
      <w:r w:rsidRPr="001D5214">
        <w:rPr>
          <w:u w:val="single"/>
        </w:rPr>
        <w:t>The People of the State of Illinois v. Londre Brown</w:t>
      </w:r>
      <w:r>
        <w:t xml:space="preserve">, the </w:t>
      </w:r>
      <w:r w:rsidRPr="001D5214">
        <w:t>Court of Appeals of Illinois, First District, Fifth Division</w:t>
      </w:r>
      <w:r>
        <w:t xml:space="preserve"> held (3 to 0) that the defendant was properly convicted by a jury of </w:t>
      </w:r>
      <w:r w:rsidRPr="00CD235D">
        <w:t>two counts of aggravated criminal</w:t>
      </w:r>
      <w:r>
        <w:t xml:space="preserve"> </w:t>
      </w:r>
      <w:r w:rsidRPr="00CD235D">
        <w:t>sexual assault and one count of aggravated battery of a person 60 years of age or older</w:t>
      </w:r>
      <w:r>
        <w:t xml:space="preserve">, and the sentence of 54 years.  The paramedic was properly allowed to testify about  the victim’s comments to her at the scene – excited utterance exception to hearsay rule and EMS run report was admissible as nontestimonial medical record (she died before trail, apparently from unrelated cause).   </w:t>
      </w:r>
      <w:hyperlink r:id="rId2102" w:history="1">
        <w:r w:rsidRPr="00D31421">
          <w:rPr>
            <w:rStyle w:val="Hyperlink"/>
            <w:b/>
          </w:rPr>
          <w:t>https://ilcourtsaudio.blob.core.windows.net/</w:t>
        </w:r>
      </w:hyperlink>
      <w:r>
        <w:rPr>
          <w:b/>
        </w:rPr>
        <w:t xml:space="preserve"> </w:t>
      </w:r>
    </w:p>
    <w:p w14:paraId="62FC5623" w14:textId="77777777" w:rsidR="00424793" w:rsidRDefault="00424793" w:rsidP="00424793">
      <w:pPr>
        <w:rPr>
          <w:bCs/>
        </w:rPr>
      </w:pPr>
      <w:r>
        <w:t>THE COURT HELD:</w:t>
      </w:r>
    </w:p>
    <w:p w14:paraId="05816073" w14:textId="77777777" w:rsidR="00424793" w:rsidRPr="001C2565" w:rsidRDefault="00424793" w:rsidP="00424793">
      <w:pPr>
        <w:pStyle w:val="NoSpacing"/>
        <w:ind w:firstLine="720"/>
        <w:rPr>
          <w:bCs/>
        </w:rPr>
      </w:pPr>
      <w:r>
        <w:t>“</w:t>
      </w:r>
      <w:r w:rsidRPr="001C2565">
        <w:t>Christopher Daly, a paramedic, testified that, on December 13, 2019, at approximately</w:t>
      </w:r>
    </w:p>
    <w:p w14:paraId="4F5DC630" w14:textId="77777777" w:rsidR="00424793" w:rsidRDefault="00424793" w:rsidP="00424793">
      <w:pPr>
        <w:pStyle w:val="NoSpacing"/>
        <w:ind w:left="720"/>
        <w:rPr>
          <w:bCs/>
        </w:rPr>
      </w:pPr>
      <w:r w:rsidRPr="001C2565">
        <w:t>8:30 p.m. when he arrived at the scene, he observed an elderly woman sitting at the top of the</w:t>
      </w:r>
      <w:r>
        <w:t xml:space="preserve"> </w:t>
      </w:r>
      <w:r w:rsidRPr="001C2565">
        <w:t xml:space="preserve">stairs, who was </w:t>
      </w:r>
      <w:r>
        <w:t>‘</w:t>
      </w:r>
      <w:r w:rsidRPr="001C2565">
        <w:t>stressed out</w:t>
      </w:r>
      <w:r>
        <w:t>’</w:t>
      </w:r>
      <w:r w:rsidRPr="001C2565">
        <w:t xml:space="preserve"> and </w:t>
      </w:r>
      <w:r>
        <w:t>‘</w:t>
      </w:r>
      <w:r w:rsidRPr="001C2565">
        <w:t>near hysterical.</w:t>
      </w:r>
      <w:r>
        <w:t>’</w:t>
      </w:r>
      <w:r w:rsidRPr="001C2565">
        <w:t xml:space="preserve"> The victim did not want anyone to touch her;</w:t>
      </w:r>
      <w:r>
        <w:t xml:space="preserve"> </w:t>
      </w:r>
      <w:r w:rsidRPr="001C2565">
        <w:t xml:space="preserve">she was </w:t>
      </w:r>
      <w:r>
        <w:t>‘</w:t>
      </w:r>
      <w:r w:rsidRPr="001C2565">
        <w:t>shaking</w:t>
      </w:r>
      <w:r>
        <w:t>’</w:t>
      </w:r>
      <w:r w:rsidRPr="001C2565">
        <w:t xml:space="preserve"> and </w:t>
      </w:r>
      <w:r>
        <w:t>‘</w:t>
      </w:r>
      <w:r w:rsidRPr="001C2565">
        <w:t>very scared.</w:t>
      </w:r>
      <w:r>
        <w:t>’</w:t>
      </w:r>
      <w:r w:rsidRPr="001C2565">
        <w:t xml:space="preserve"> Daly’s partner, Anthony Hoard, coaxed her down the stairs.</w:t>
      </w:r>
      <w:r>
        <w:t xml:space="preserve"> </w:t>
      </w:r>
      <w:r w:rsidRPr="001C2565">
        <w:t>After the victim stepped outside, she sat in a chair they had brought, and they took her to the</w:t>
      </w:r>
      <w:r>
        <w:t xml:space="preserve"> </w:t>
      </w:r>
      <w:r w:rsidRPr="001C2565">
        <w:t>ambulance. Her demeanor in the ambulance was the same as it had been at the top of stairs:</w:t>
      </w:r>
      <w:r>
        <w:t xml:space="preserve"> ‘</w:t>
      </w:r>
      <w:r w:rsidRPr="001C2565">
        <w:t>anxious, nervous, seemed very scared.</w:t>
      </w:r>
      <w:r>
        <w:t xml:space="preserve">’ </w:t>
      </w:r>
      <w:r w:rsidRPr="001C2565">
        <w:t>Daly explained that, because he was the paramedic, he</w:t>
      </w:r>
      <w:r>
        <w:t xml:space="preserve"> </w:t>
      </w:r>
      <w:r w:rsidRPr="001C2565">
        <w:t>assessed the patient while his partner did the documentation. While Daly was assessing her and</w:t>
      </w:r>
      <w:r>
        <w:t xml:space="preserve"> </w:t>
      </w:r>
      <w:r w:rsidRPr="001C2565">
        <w:t xml:space="preserve">asking, </w:t>
      </w:r>
      <w:r>
        <w:t>‘</w:t>
      </w:r>
      <w:r w:rsidRPr="001C2565">
        <w:t>what happened,</w:t>
      </w:r>
      <w:r>
        <w:t>’</w:t>
      </w:r>
      <w:r w:rsidRPr="001C2565">
        <w:t xml:space="preserve"> the victim said that defendant had bitten her and had </w:t>
      </w:r>
      <w:r>
        <w:t>‘</w:t>
      </w:r>
      <w:r w:rsidRPr="001C2565">
        <w:t>stuck his penis in</w:t>
      </w:r>
      <w:r>
        <w:t xml:space="preserve"> </w:t>
      </w:r>
      <w:r w:rsidRPr="001C2565">
        <w:t>her mouth.</w:t>
      </w:r>
      <w:r>
        <w:t>’</w:t>
      </w:r>
      <w:r w:rsidRPr="001C2565">
        <w:t xml:space="preserve"> The victim said defendant was holding her down and she was fighting him off and</w:t>
      </w:r>
      <w:r>
        <w:t xml:space="preserve"> ‘</w:t>
      </w:r>
      <w:r w:rsidRPr="001C2565">
        <w:t>that’s why she was hurt all over.”</w:t>
      </w:r>
      <w:r>
        <w:t xml:space="preserve"> </w:t>
      </w:r>
    </w:p>
    <w:p w14:paraId="5B88F1EF" w14:textId="77777777" w:rsidR="00424793" w:rsidRDefault="00424793" w:rsidP="00424793">
      <w:pPr>
        <w:pStyle w:val="NoSpacing"/>
        <w:rPr>
          <w:bCs/>
        </w:rPr>
      </w:pPr>
    </w:p>
    <w:p w14:paraId="2FB63724" w14:textId="77777777" w:rsidR="00424793" w:rsidRPr="00465B82" w:rsidRDefault="00424793" w:rsidP="00424793">
      <w:pPr>
        <w:pStyle w:val="NoSpacing"/>
        <w:ind w:firstLine="720"/>
        <w:rPr>
          <w:bCs/>
        </w:rPr>
      </w:pPr>
      <w:r w:rsidRPr="00465B82">
        <w:t>Daly described the injuries he observed, including a very deep cut in her right thigh</w:t>
      </w:r>
    </w:p>
    <w:p w14:paraId="7C6E2755" w14:textId="77777777" w:rsidR="00424793" w:rsidRDefault="00424793" w:rsidP="00424793">
      <w:pPr>
        <w:pStyle w:val="NoSpacing"/>
        <w:ind w:left="720"/>
        <w:rPr>
          <w:bCs/>
        </w:rPr>
      </w:pPr>
      <w:r w:rsidRPr="00465B82">
        <w:t xml:space="preserve">that seemed almost to </w:t>
      </w:r>
      <w:proofErr w:type="gramStart"/>
      <w:r w:rsidRPr="00465B82">
        <w:t>the</w:t>
      </w:r>
      <w:proofErr w:type="gramEnd"/>
      <w:r w:rsidRPr="00465B82">
        <w:t xml:space="preserve"> bone. Daly explained that doctors at the hospital would want to know</w:t>
      </w:r>
      <w:r>
        <w:t xml:space="preserve"> </w:t>
      </w:r>
      <w:r w:rsidRPr="00465B82">
        <w:t xml:space="preserve">how big the knife was, what kind of knife was used, and whether it was clean or dirty. </w:t>
      </w:r>
    </w:p>
    <w:p w14:paraId="28E7DE1E" w14:textId="77777777" w:rsidR="00424793" w:rsidRDefault="00424793" w:rsidP="00424793">
      <w:pPr>
        <w:pStyle w:val="NoSpacing"/>
        <w:ind w:left="720"/>
        <w:rPr>
          <w:bCs/>
        </w:rPr>
      </w:pPr>
    </w:p>
    <w:p w14:paraId="6240F0A6" w14:textId="77777777" w:rsidR="00424793" w:rsidRDefault="00424793" w:rsidP="00424793">
      <w:pPr>
        <w:pStyle w:val="NoSpacing"/>
        <w:ind w:left="720"/>
        <w:rPr>
          <w:bCs/>
        </w:rPr>
      </w:pPr>
      <w:r w:rsidRPr="00465B82">
        <w:t>For this</w:t>
      </w:r>
      <w:r>
        <w:t xml:space="preserve"> </w:t>
      </w:r>
      <w:r w:rsidRPr="00465B82">
        <w:t>reason, Daly went back inside the victim’s house and asked defendant ‘What kind of knife did</w:t>
      </w:r>
      <w:r>
        <w:t xml:space="preserve"> </w:t>
      </w:r>
      <w:r w:rsidRPr="00465B82">
        <w:t xml:space="preserve">you use to cut her?’ </w:t>
      </w:r>
      <w:r>
        <w:t>‘</w:t>
      </w:r>
      <w:r w:rsidRPr="00465B82">
        <w:t xml:space="preserve"> Defendant replied: ‘I didn’t use a knife</w:t>
      </w:r>
      <w:proofErr w:type="gramStart"/>
      <w:r w:rsidRPr="00465B82">
        <w:t>.</w:t>
      </w:r>
      <w:proofErr w:type="gramEnd"/>
      <w:r w:rsidRPr="00465B82">
        <w:t xml:space="preserve"> I bit her.’ Daly described</w:t>
      </w:r>
      <w:r>
        <w:t xml:space="preserve"> </w:t>
      </w:r>
      <w:r w:rsidRPr="00465B82">
        <w:t xml:space="preserve">defendant’s demeanor as </w:t>
      </w:r>
      <w:r>
        <w:t>‘</w:t>
      </w:r>
      <w:r w:rsidRPr="00465B82">
        <w:t>[a]</w:t>
      </w:r>
      <w:proofErr w:type="spellStart"/>
      <w:r w:rsidRPr="00465B82">
        <w:t>lmost</w:t>
      </w:r>
      <w:proofErr w:type="spellEnd"/>
      <w:r w:rsidRPr="00465B82">
        <w:t xml:space="preserve"> smug,</w:t>
      </w:r>
      <w:r>
        <w:t>’</w:t>
      </w:r>
      <w:r w:rsidRPr="00465B82">
        <w:t xml:space="preserve"> like he </w:t>
      </w:r>
      <w:r>
        <w:t>‘</w:t>
      </w:r>
      <w:r w:rsidRPr="00465B82">
        <w:t>didn’t care.</w:t>
      </w:r>
      <w:r>
        <w:t>’</w:t>
      </w:r>
      <w:r w:rsidRPr="00465B82">
        <w:t xml:space="preserve"> After speaking with defendant</w:t>
      </w:r>
      <w:r>
        <w:t>.</w:t>
      </w:r>
    </w:p>
    <w:p w14:paraId="705D02A5" w14:textId="77777777" w:rsidR="00424793" w:rsidRDefault="00424793" w:rsidP="00424793">
      <w:pPr>
        <w:pStyle w:val="NoSpacing"/>
        <w:ind w:left="720"/>
        <w:rPr>
          <w:bCs/>
        </w:rPr>
      </w:pPr>
    </w:p>
    <w:p w14:paraId="3B3B54D3" w14:textId="77777777" w:rsidR="00424793" w:rsidRDefault="00424793" w:rsidP="00424793">
      <w:pPr>
        <w:pStyle w:val="NoSpacing"/>
        <w:ind w:left="720"/>
        <w:rPr>
          <w:bCs/>
        </w:rPr>
      </w:pPr>
      <w:r>
        <w:t>***</w:t>
      </w:r>
    </w:p>
    <w:p w14:paraId="6E31F73E" w14:textId="77777777" w:rsidR="00424793" w:rsidRPr="00465B82" w:rsidRDefault="00424793" w:rsidP="00424793">
      <w:pPr>
        <w:pStyle w:val="NoSpacing"/>
        <w:ind w:left="720"/>
        <w:rPr>
          <w:bCs/>
        </w:rPr>
      </w:pPr>
    </w:p>
    <w:p w14:paraId="0DE70880" w14:textId="77777777" w:rsidR="00424793" w:rsidRPr="003A1E73" w:rsidRDefault="00424793" w:rsidP="00424793">
      <w:pPr>
        <w:pStyle w:val="NoSpacing"/>
        <w:ind w:firstLine="720"/>
        <w:rPr>
          <w:bCs/>
        </w:rPr>
      </w:pPr>
      <w:r w:rsidRPr="003A1E73">
        <w:t xml:space="preserve">The </w:t>
      </w:r>
      <w:r>
        <w:t>‘</w:t>
      </w:r>
      <w:r w:rsidRPr="003A1E73">
        <w:t>Excited Utterance</w:t>
      </w:r>
      <w:r>
        <w:t>’</w:t>
      </w:r>
      <w:r w:rsidRPr="003A1E73">
        <w:t xml:space="preserve"> exception permits the introduction of </w:t>
      </w:r>
      <w:r>
        <w:t>‘</w:t>
      </w:r>
      <w:r w:rsidRPr="003A1E73">
        <w:t>[a] statement relating</w:t>
      </w:r>
    </w:p>
    <w:p w14:paraId="733DDD74" w14:textId="77777777" w:rsidR="00424793" w:rsidRDefault="00424793" w:rsidP="00424793">
      <w:pPr>
        <w:pStyle w:val="NoSpacing"/>
        <w:ind w:left="720"/>
        <w:rPr>
          <w:bCs/>
        </w:rPr>
      </w:pPr>
      <w:r w:rsidRPr="003A1E73">
        <w:t>to a startling event or condition made while the declarant was under the stress of excitement caused</w:t>
      </w:r>
      <w:r>
        <w:t xml:space="preserve"> </w:t>
      </w:r>
      <w:r w:rsidRPr="003A1E73">
        <w:t>by the event or condition.</w:t>
      </w:r>
      <w:r>
        <w:t>’</w:t>
      </w:r>
      <w:r w:rsidRPr="003A1E73">
        <w:t xml:space="preserve"> Ill. R. Evid. 803(2) (eff. Jan. 25, 2023). For a hearsay statement to be</w:t>
      </w:r>
      <w:r>
        <w:t xml:space="preserve"> </w:t>
      </w:r>
      <w:r w:rsidRPr="003A1E73">
        <w:t xml:space="preserve">admissible under this exception, our supreme court has set forth three </w:t>
      </w:r>
      <w:r>
        <w:t>‘</w:t>
      </w:r>
      <w:r w:rsidRPr="003A1E73">
        <w:t>must</w:t>
      </w:r>
      <w:r>
        <w:t>’</w:t>
      </w:r>
      <w:r w:rsidRPr="003A1E73">
        <w:t xml:space="preserve"> requirements:</w:t>
      </w:r>
      <w:r>
        <w:t xml:space="preserve"> </w:t>
      </w:r>
      <w:r w:rsidRPr="003A1E73">
        <w:t xml:space="preserve">(1) </w:t>
      </w:r>
      <w:r>
        <w:t>‘</w:t>
      </w:r>
      <w:r w:rsidRPr="003A1E73">
        <w:t>there must be an occurrence sufficiently startling to produce a spontaneous and unreflecting</w:t>
      </w:r>
      <w:r>
        <w:t xml:space="preserve"> </w:t>
      </w:r>
      <w:r w:rsidRPr="003A1E73">
        <w:t>statement,</w:t>
      </w:r>
      <w:r>
        <w:t>’</w:t>
      </w:r>
      <w:r w:rsidRPr="003A1E73">
        <w:t xml:space="preserve">(2) </w:t>
      </w:r>
      <w:r>
        <w:t>‘</w:t>
      </w:r>
      <w:r w:rsidRPr="003A1E73">
        <w:t>there must be an absence of time for the declarant to fabricate the statement,</w:t>
      </w:r>
      <w:r>
        <w:t>’</w:t>
      </w:r>
      <w:r w:rsidRPr="003A1E73">
        <w:t xml:space="preserve"> and</w:t>
      </w:r>
      <w:r>
        <w:t xml:space="preserve"> </w:t>
      </w:r>
      <w:r w:rsidRPr="003A1E73">
        <w:t xml:space="preserve">(3) </w:t>
      </w:r>
      <w:r>
        <w:t>‘</w:t>
      </w:r>
      <w:r w:rsidRPr="003A1E73">
        <w:t>the statement must relate to the circumstances of the occurrence.</w:t>
      </w:r>
      <w:r>
        <w:t>’</w:t>
      </w:r>
      <w:r w:rsidRPr="003A1E73">
        <w:t xml:space="preserve"> (Emphases added.) People</w:t>
      </w:r>
      <w:r>
        <w:t xml:space="preserve"> </w:t>
      </w:r>
      <w:r w:rsidRPr="003A1E73">
        <w:t>v. Sutton, 233 Ill. 2d 89, 107 (2009); People v. Williams, 193 Ill. 2d 306, 352 (2000); Jones, 2025</w:t>
      </w:r>
      <w:r>
        <w:t xml:space="preserve"> </w:t>
      </w:r>
      <w:r w:rsidRPr="003A1E73">
        <w:t>IL App (1st) 230771, ¶ 114; People v. Morales, 2021 IL App (2d) 190408, ¶ 12.</w:t>
      </w:r>
    </w:p>
    <w:p w14:paraId="2765ABDF" w14:textId="77777777" w:rsidR="00424793" w:rsidRDefault="00424793" w:rsidP="00424793">
      <w:pPr>
        <w:pStyle w:val="NoSpacing"/>
        <w:ind w:left="720"/>
        <w:rPr>
          <w:bCs/>
        </w:rPr>
      </w:pPr>
    </w:p>
    <w:p w14:paraId="027F3FE4" w14:textId="77777777" w:rsidR="00424793" w:rsidRDefault="00424793" w:rsidP="00424793">
      <w:pPr>
        <w:pStyle w:val="NoSpacing"/>
        <w:ind w:left="720"/>
        <w:rPr>
          <w:bCs/>
        </w:rPr>
      </w:pPr>
      <w:r>
        <w:t>***</w:t>
      </w:r>
    </w:p>
    <w:p w14:paraId="66C2B1F1" w14:textId="77777777" w:rsidR="00424793" w:rsidRDefault="00424793" w:rsidP="00424793">
      <w:pPr>
        <w:pStyle w:val="NoSpacing"/>
        <w:ind w:left="720"/>
        <w:rPr>
          <w:bCs/>
        </w:rPr>
      </w:pPr>
    </w:p>
    <w:p w14:paraId="56315985" w14:textId="77777777" w:rsidR="00424793" w:rsidRDefault="00424793" w:rsidP="00424793">
      <w:pPr>
        <w:pStyle w:val="NoSpacing"/>
        <w:ind w:left="720"/>
        <w:rPr>
          <w:bCs/>
        </w:rPr>
      </w:pPr>
      <w:r>
        <w:t>[T]</w:t>
      </w:r>
      <w:r w:rsidRPr="000A6A49">
        <w:t xml:space="preserve">here is no indication that their </w:t>
      </w:r>
      <w:r>
        <w:t xml:space="preserve">[EMS] </w:t>
      </w:r>
      <w:r w:rsidRPr="000A6A49">
        <w:t>report was intended as a substitute for victim</w:t>
      </w:r>
      <w:r>
        <w:t xml:space="preserve"> </w:t>
      </w:r>
      <w:r w:rsidRPr="000A6A49">
        <w:t>testimony, as opposed to a medical record intended to enable accurate treatment once they reached</w:t>
      </w:r>
      <w:r>
        <w:t xml:space="preserve"> </w:t>
      </w:r>
      <w:r w:rsidRPr="000A6A49">
        <w:t>the hospital and doctors.</w:t>
      </w:r>
      <w:r>
        <w:t>”</w:t>
      </w:r>
    </w:p>
    <w:p w14:paraId="3E443489" w14:textId="77777777" w:rsidR="00424793" w:rsidRDefault="00424793" w:rsidP="00424793">
      <w:pPr>
        <w:pStyle w:val="NoSpacing"/>
        <w:ind w:left="720"/>
        <w:rPr>
          <w:bCs/>
        </w:rPr>
      </w:pPr>
    </w:p>
    <w:p w14:paraId="59A030DA" w14:textId="77777777" w:rsidR="00424793" w:rsidRPr="005D1520" w:rsidRDefault="00424793" w:rsidP="00424793">
      <w:pPr>
        <w:pStyle w:val="NoSpacing"/>
        <w:rPr>
          <w:b/>
        </w:rPr>
      </w:pPr>
      <w:r>
        <w:rPr>
          <w:b/>
        </w:rPr>
        <w:t xml:space="preserve">Legal lesson learned: Excited utterances are admissible as an exception to the Hearsay Rule; </w:t>
      </w:r>
      <w:proofErr w:type="gramStart"/>
      <w:r>
        <w:rPr>
          <w:b/>
        </w:rPr>
        <w:t>a best</w:t>
      </w:r>
      <w:proofErr w:type="gramEnd"/>
      <w:r>
        <w:rPr>
          <w:b/>
        </w:rPr>
        <w:t xml:space="preserve"> practice is to </w:t>
      </w:r>
      <w:proofErr w:type="gramStart"/>
      <w:r>
        <w:rPr>
          <w:b/>
        </w:rPr>
        <w:t>document to</w:t>
      </w:r>
      <w:proofErr w:type="gramEnd"/>
      <w:r>
        <w:rPr>
          <w:b/>
        </w:rPr>
        <w:t xml:space="preserve"> victim’s comments in the EMR run report. </w:t>
      </w:r>
    </w:p>
    <w:p w14:paraId="717F072A" w14:textId="77777777" w:rsidR="00424793" w:rsidRDefault="00424793" w:rsidP="00424793">
      <w:pPr>
        <w:pStyle w:val="NoSpacing"/>
        <w:ind w:left="720"/>
        <w:rPr>
          <w:bCs/>
        </w:rPr>
      </w:pPr>
    </w:p>
    <w:p w14:paraId="7219418B" w14:textId="77777777" w:rsidR="00424793" w:rsidRDefault="00424793" w:rsidP="00004498">
      <w:pPr>
        <w:rPr>
          <w:rFonts w:ascii="Arial Black" w:hAnsi="Arial Black"/>
          <w:b/>
          <w:bCs/>
          <w:sz w:val="24"/>
          <w:szCs w:val="24"/>
        </w:rPr>
      </w:pPr>
    </w:p>
    <w:p w14:paraId="7C5C0CC2" w14:textId="11759C71" w:rsidR="00424793" w:rsidRDefault="00424793"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24</w:t>
      </w:r>
      <w:r w:rsidR="00524647">
        <w:rPr>
          <w:rFonts w:ascii="Arial Black" w:hAnsi="Arial Black"/>
          <w:b/>
          <w:bCs/>
          <w:sz w:val="24"/>
          <w:szCs w:val="24"/>
        </w:rPr>
        <w:t>0</w:t>
      </w:r>
    </w:p>
    <w:p w14:paraId="60C44056" w14:textId="77777777" w:rsidR="006F6E5A" w:rsidRPr="00EA63F0" w:rsidRDefault="006F6E5A" w:rsidP="006F6E5A">
      <w:pPr>
        <w:rPr>
          <w:rFonts w:ascii="Arial Black" w:hAnsi="Arial Black"/>
          <w:b/>
          <w:sz w:val="28"/>
          <w:szCs w:val="28"/>
        </w:rPr>
      </w:pPr>
      <w:r>
        <w:rPr>
          <w:rFonts w:ascii="Arial Black" w:hAnsi="Arial Black"/>
          <w:b/>
          <w:sz w:val="28"/>
          <w:szCs w:val="28"/>
        </w:rPr>
        <w:t xml:space="preserve">NY: NO TRANSPORT – PT AGREED WITH EMS – IMMUNITY </w:t>
      </w:r>
    </w:p>
    <w:p w14:paraId="63E51B80" w14:textId="7F621EB5" w:rsidR="006F6E5A" w:rsidRDefault="006F6E5A" w:rsidP="006F6E5A">
      <w:pPr>
        <w:rPr>
          <w:bCs/>
        </w:rPr>
      </w:pPr>
      <w:r>
        <w:t xml:space="preserve">On December 23, 2025, in </w:t>
      </w:r>
      <w:r w:rsidRPr="000C240F">
        <w:rPr>
          <w:u w:val="single"/>
        </w:rPr>
        <w:t xml:space="preserve">Kathleen Gumkowski, Administrator </w:t>
      </w:r>
      <w:proofErr w:type="gramStart"/>
      <w:r w:rsidRPr="000C240F">
        <w:rPr>
          <w:u w:val="single"/>
        </w:rPr>
        <w:t>Of</w:t>
      </w:r>
      <w:proofErr w:type="gramEnd"/>
      <w:r w:rsidRPr="000C240F">
        <w:rPr>
          <w:u w:val="single"/>
        </w:rPr>
        <w:t xml:space="preserve"> </w:t>
      </w:r>
      <w:proofErr w:type="gramStart"/>
      <w:r w:rsidRPr="000C240F">
        <w:rPr>
          <w:u w:val="single"/>
        </w:rPr>
        <w:t>The</w:t>
      </w:r>
      <w:proofErr w:type="gramEnd"/>
      <w:r w:rsidRPr="000C240F">
        <w:rPr>
          <w:u w:val="single"/>
        </w:rPr>
        <w:t xml:space="preserve"> Estate </w:t>
      </w:r>
      <w:proofErr w:type="gramStart"/>
      <w:r w:rsidRPr="000C240F">
        <w:rPr>
          <w:u w:val="single"/>
        </w:rPr>
        <w:t>Of</w:t>
      </w:r>
      <w:proofErr w:type="gramEnd"/>
      <w:r w:rsidRPr="000C240F">
        <w:rPr>
          <w:u w:val="single"/>
        </w:rPr>
        <w:t xml:space="preserve"> Gregory Gumkowski, Deceased, et al. v. Thomas Shwaab, M.D., et al</w:t>
      </w:r>
      <w:r>
        <w:t xml:space="preserve">., the </w:t>
      </w:r>
      <w:r w:rsidRPr="000C240F">
        <w:t>Supreme Court of New York, Fourth Department</w:t>
      </w:r>
      <w:r>
        <w:t xml:space="preserve">, held (5 to 0) that the trial improperly denied summary judgment for the Town of Tonawanda, Town of Tonawanda EMS and two paramedics on the run.   EMS and the patient jointly </w:t>
      </w:r>
      <w:proofErr w:type="gramStart"/>
      <w:r>
        <w:t>agreed</w:t>
      </w:r>
      <w:proofErr w:type="gramEnd"/>
      <w:r>
        <w:t xml:space="preserve"> no transport was necessary. </w:t>
      </w:r>
      <w:hyperlink r:id="rId2103" w:history="1">
        <w:r w:rsidR="008343E2" w:rsidRPr="000F3B38">
          <w:rPr>
            <w:rStyle w:val="Hyperlink"/>
            <w:b/>
          </w:rPr>
          <w:t>https://law.justia.com/cases/new-york/appellate-division-fourth-department/2025/816-1-ca-24-01193.html</w:t>
        </w:r>
      </w:hyperlink>
    </w:p>
    <w:p w14:paraId="675CEBCB" w14:textId="77777777" w:rsidR="006F6E5A" w:rsidRDefault="006F6E5A" w:rsidP="006F6E5A">
      <w:pPr>
        <w:rPr>
          <w:bCs/>
        </w:rPr>
      </w:pPr>
      <w:r>
        <w:t>THE COURT HELD:</w:t>
      </w:r>
    </w:p>
    <w:p w14:paraId="72CEB2F8" w14:textId="77777777" w:rsidR="006F6E5A" w:rsidRDefault="006F6E5A" w:rsidP="006F6E5A">
      <w:pPr>
        <w:pStyle w:val="NoSpacing"/>
        <w:ind w:left="720"/>
      </w:pPr>
      <w:r>
        <w:t>“</w:t>
      </w:r>
      <w:r w:rsidRPr="00604A64">
        <w:t>Following his discharge</w:t>
      </w:r>
      <w:r>
        <w:t xml:space="preserve"> [on Jan. 11, </w:t>
      </w:r>
      <w:proofErr w:type="gramStart"/>
      <w:r>
        <w:t>2016</w:t>
      </w:r>
      <w:proofErr w:type="gramEnd"/>
      <w:r>
        <w:t xml:space="preserve"> from </w:t>
      </w:r>
      <w:r w:rsidRPr="001B33C6">
        <w:t>Roswell Park Cancer Institute</w:t>
      </w:r>
      <w:r>
        <w:t>]</w:t>
      </w:r>
      <w:r w:rsidRPr="00604A64">
        <w:t xml:space="preserve">, decedent called Roswell Park on several occasions, including a call to Pieri </w:t>
      </w:r>
      <w:r>
        <w:t>[</w:t>
      </w:r>
      <w:r w:rsidRPr="00DA5A83">
        <w:t>Christine Pieri, R.N</w:t>
      </w:r>
      <w:r>
        <w:t xml:space="preserve">.] </w:t>
      </w:r>
      <w:r w:rsidRPr="00604A64">
        <w:t xml:space="preserve">on January 13, 2016, wherein decedent reported shallow breathing and lightheadedness. A few hours later, decedent called 911 with a chief complaint of shortness of breath. </w:t>
      </w:r>
      <w:proofErr w:type="spellStart"/>
      <w:r w:rsidRPr="00604A64">
        <w:t>Rutenkroger</w:t>
      </w:r>
      <w:proofErr w:type="spellEnd"/>
      <w:r w:rsidRPr="00604A64">
        <w:t xml:space="preserve"> and Rice, paramedics employed by the Town of Tonawanda, arrived at the decedent's residence, took his vital signs, and assessed his condition. Given decedent's history of anxiety and the absence of any other clinical indications of respiratory distress, the paramedics concluded that decedent's shortness of breath was caused by anxiety. According to plaintiff's deposition testimony, decedent and the paramedics made "a joint decision" that decedent would not be taken to the emergency room that day, and decedent signed a treatment refusal acknowledgment.</w:t>
      </w:r>
    </w:p>
    <w:p w14:paraId="7EB4C754" w14:textId="77777777" w:rsidR="006F6E5A" w:rsidRDefault="006F6E5A" w:rsidP="006F6E5A">
      <w:pPr>
        <w:pStyle w:val="NoSpacing"/>
        <w:ind w:left="720"/>
      </w:pPr>
    </w:p>
    <w:p w14:paraId="784FEFCD" w14:textId="77777777" w:rsidR="006F6E5A" w:rsidRDefault="006F6E5A" w:rsidP="006F6E5A">
      <w:pPr>
        <w:pStyle w:val="NoSpacing"/>
        <w:ind w:left="720"/>
      </w:pPr>
      <w:r>
        <w:t>***</w:t>
      </w:r>
    </w:p>
    <w:p w14:paraId="2DAF8947" w14:textId="77777777" w:rsidR="006F6E5A" w:rsidRDefault="006F6E5A" w:rsidP="006F6E5A">
      <w:pPr>
        <w:pStyle w:val="NoSpacing"/>
        <w:ind w:left="720"/>
      </w:pPr>
    </w:p>
    <w:p w14:paraId="423241BC" w14:textId="77777777" w:rsidR="006F6E5A" w:rsidRDefault="006F6E5A" w:rsidP="006F6E5A">
      <w:pPr>
        <w:pStyle w:val="NoSpacing"/>
        <w:ind w:left="720"/>
      </w:pPr>
      <w:r w:rsidRPr="006D0006">
        <w:t xml:space="preserve">Under the circumstances presented here, we conclude that the Town defendants established that </w:t>
      </w:r>
      <w:proofErr w:type="spellStart"/>
      <w:r w:rsidRPr="006D0006">
        <w:t>Rutenkroger's</w:t>
      </w:r>
      <w:proofErr w:type="spellEnd"/>
      <w:r w:rsidRPr="006D0006">
        <w:t xml:space="preserve"> and Rice's actions were discretionary and, thus, the Town defendants are entitled to governmental function immunity.</w:t>
      </w:r>
    </w:p>
    <w:p w14:paraId="1D109414" w14:textId="77777777" w:rsidR="006F6E5A" w:rsidRDefault="006F6E5A" w:rsidP="006F6E5A">
      <w:pPr>
        <w:pStyle w:val="NoSpacing"/>
        <w:ind w:left="720"/>
      </w:pPr>
    </w:p>
    <w:p w14:paraId="200D8162" w14:textId="77777777" w:rsidR="006F6E5A" w:rsidRDefault="006F6E5A" w:rsidP="006F6E5A">
      <w:pPr>
        <w:pStyle w:val="NoSpacing"/>
        <w:ind w:left="720"/>
      </w:pPr>
      <w:r>
        <w:t>***</w:t>
      </w:r>
    </w:p>
    <w:p w14:paraId="41295655" w14:textId="77777777" w:rsidR="006F6E5A" w:rsidRDefault="006F6E5A" w:rsidP="006F6E5A">
      <w:pPr>
        <w:pStyle w:val="NoSpacing"/>
        <w:ind w:left="720"/>
      </w:pPr>
    </w:p>
    <w:p w14:paraId="69E1CA87" w14:textId="77777777" w:rsidR="006F6E5A" w:rsidRDefault="006F6E5A" w:rsidP="006F6E5A">
      <w:pPr>
        <w:ind w:left="720"/>
        <w:rPr>
          <w:b/>
        </w:rPr>
      </w:pPr>
      <w:r>
        <w:t>[W]</w:t>
      </w:r>
      <w:r w:rsidRPr="003E3A48">
        <w:t xml:space="preserve">e </w:t>
      </w:r>
      <w:proofErr w:type="gramStart"/>
      <w:r w:rsidRPr="003E3A48">
        <w:t>agree</w:t>
      </w:r>
      <w:proofErr w:type="gramEnd"/>
      <w:r w:rsidRPr="003E3A48">
        <w:t xml:space="preserve"> with the Town defendants that they are entitled to governmental function immunity and the court therefore erred in denying their motion for summary judgment dismissing the complaint and </w:t>
      </w:r>
      <w:proofErr w:type="gramStart"/>
      <w:r w:rsidRPr="003E3A48">
        <w:t>cross-claims</w:t>
      </w:r>
      <w:proofErr w:type="gramEnd"/>
      <w:r w:rsidRPr="003E3A48">
        <w:t xml:space="preserve"> against them. </w:t>
      </w:r>
      <w:r>
        <w:t>‘</w:t>
      </w:r>
      <w:r w:rsidRPr="003E3A48">
        <w:t>A municipality is immune from liability where the actions of its employees in performing governmental functions involve[ ] the exercise of discretion</w:t>
      </w:r>
      <w:r>
        <w:t>’</w:t>
      </w:r>
      <w:r w:rsidRPr="003E3A48">
        <w:t xml:space="preserve"> (</w:t>
      </w:r>
      <w:r w:rsidRPr="003E3A48">
        <w:rPr>
          <w:i/>
          <w:iCs/>
        </w:rPr>
        <w:t>Morales v City of New York</w:t>
      </w:r>
      <w:r w:rsidRPr="003E3A48">
        <w:t xml:space="preserve">, 235 AD3d 595, 597 [1st Dept 2025]; </w:t>
      </w:r>
      <w:r w:rsidRPr="003E3A48">
        <w:rPr>
          <w:i/>
          <w:iCs/>
        </w:rPr>
        <w:t>see McLean v City of New York</w:t>
      </w:r>
      <w:r w:rsidRPr="003E3A48">
        <w:t xml:space="preserve">, 12 NY3d 194, 202-203 [2009]). </w:t>
      </w:r>
      <w:r>
        <w:t>‘</w:t>
      </w:r>
      <w:r w:rsidRPr="003E3A48">
        <w:t>[A]</w:t>
      </w:r>
      <w:proofErr w:type="spellStart"/>
      <w:r w:rsidRPr="003E3A48">
        <w:t>mbulance</w:t>
      </w:r>
      <w:proofErr w:type="spellEnd"/>
      <w:r w:rsidRPr="003E3A48">
        <w:t xml:space="preserve"> assistance rendered by first responders . . . should be viewed as a classic governmental, rather than proprietary, function</w:t>
      </w:r>
      <w:r>
        <w:t>’</w:t>
      </w:r>
      <w:r w:rsidRPr="003E3A48">
        <w:t xml:space="preserve"> (</w:t>
      </w:r>
      <w:r w:rsidRPr="003E3A48">
        <w:rPr>
          <w:i/>
          <w:iCs/>
        </w:rPr>
        <w:t xml:space="preserve">Applewhite v </w:t>
      </w:r>
      <w:proofErr w:type="spellStart"/>
      <w:r w:rsidRPr="003E3A48">
        <w:rPr>
          <w:i/>
          <w:iCs/>
        </w:rPr>
        <w:t>Accuhealth</w:t>
      </w:r>
      <w:proofErr w:type="spellEnd"/>
      <w:r w:rsidRPr="003E3A48">
        <w:t>,</w:t>
      </w:r>
      <w:r w:rsidRPr="003E3A48">
        <w:rPr>
          <w:i/>
          <w:iCs/>
        </w:rPr>
        <w:t xml:space="preserve"> Inc</w:t>
      </w:r>
      <w:r w:rsidRPr="003E3A48">
        <w:t>., 21 NY3d 420, 430 [2013] [internal quotation marks omitted]).</w:t>
      </w:r>
      <w:r>
        <w:t xml:space="preserve">” </w:t>
      </w:r>
      <w:hyperlink r:id="rId2104" w:history="1">
        <w:r w:rsidRPr="009B6A10">
          <w:rPr>
            <w:rStyle w:val="Hyperlink"/>
            <w:b/>
          </w:rPr>
          <w:t>https://law.justia.com/cases/new-york/appellate-division-fourth-department/2025/816-1-ca-24-01193.html</w:t>
        </w:r>
      </w:hyperlink>
      <w:r>
        <w:rPr>
          <w:b/>
        </w:rPr>
        <w:t xml:space="preserve"> </w:t>
      </w:r>
    </w:p>
    <w:p w14:paraId="16237A1B" w14:textId="77777777" w:rsidR="006F6E5A" w:rsidRDefault="006F6E5A" w:rsidP="006F6E5A">
      <w:pPr>
        <w:pStyle w:val="NoSpacing"/>
        <w:ind w:left="720"/>
      </w:pPr>
    </w:p>
    <w:p w14:paraId="6A102836" w14:textId="77777777" w:rsidR="006F6E5A" w:rsidRPr="0080119F" w:rsidRDefault="006F6E5A" w:rsidP="006F6E5A">
      <w:pPr>
        <w:pStyle w:val="NoSpacing"/>
        <w:rPr>
          <w:b/>
          <w:bCs/>
        </w:rPr>
      </w:pPr>
      <w:r>
        <w:rPr>
          <w:b/>
        </w:rPr>
        <w:t>Legal lesson learned: Medics and patient made “joint decision” to not transport – hopefully they also had patient sign a refusal form.   When in doubt, also call Hospital Medical Control.</w:t>
      </w:r>
    </w:p>
    <w:p w14:paraId="08E3879F" w14:textId="77777777" w:rsidR="006F6E5A" w:rsidRDefault="006F6E5A" w:rsidP="006F6E5A">
      <w:pPr>
        <w:pStyle w:val="NoSpacing"/>
      </w:pPr>
    </w:p>
    <w:p w14:paraId="369F8F71" w14:textId="77777777" w:rsidR="00CD1570" w:rsidRDefault="00CD1570" w:rsidP="00004498">
      <w:pPr>
        <w:rPr>
          <w:rFonts w:ascii="Arial Black" w:hAnsi="Arial Black"/>
          <w:b/>
          <w:bCs/>
          <w:sz w:val="24"/>
          <w:szCs w:val="24"/>
        </w:rPr>
      </w:pPr>
    </w:p>
    <w:p w14:paraId="4DD3D089" w14:textId="1628CF26" w:rsidR="00424793" w:rsidRDefault="006F6E5A"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w:t>
      </w:r>
      <w:r w:rsidR="00524647">
        <w:rPr>
          <w:rFonts w:ascii="Arial Black" w:hAnsi="Arial Black"/>
          <w:b/>
          <w:bCs/>
          <w:sz w:val="24"/>
          <w:szCs w:val="24"/>
        </w:rPr>
        <w:t>39</w:t>
      </w:r>
    </w:p>
    <w:p w14:paraId="0887E386" w14:textId="77777777" w:rsidR="007D294B" w:rsidRDefault="007D294B" w:rsidP="00004498">
      <w:pPr>
        <w:rPr>
          <w:rFonts w:ascii="Arial Black" w:hAnsi="Arial Black"/>
          <w:b/>
          <w:bCs/>
          <w:sz w:val="24"/>
          <w:szCs w:val="24"/>
        </w:rPr>
      </w:pPr>
    </w:p>
    <w:p w14:paraId="25DF064C" w14:textId="77777777" w:rsidR="00092D5A" w:rsidRPr="008159A8" w:rsidRDefault="00092D5A" w:rsidP="00092D5A">
      <w:pPr>
        <w:rPr>
          <w:rFonts w:ascii="Arial Black" w:hAnsi="Arial Black"/>
          <w:b/>
          <w:sz w:val="28"/>
          <w:szCs w:val="28"/>
        </w:rPr>
      </w:pPr>
      <w:r>
        <w:rPr>
          <w:rFonts w:ascii="Arial Black" w:hAnsi="Arial Black"/>
          <w:b/>
          <w:sz w:val="28"/>
          <w:szCs w:val="28"/>
        </w:rPr>
        <w:t>NY: DISPATCH DID NOT TELL PT 1</w:t>
      </w:r>
      <w:r w:rsidRPr="001E7EF7">
        <w:rPr>
          <w:rFonts w:ascii="Arial Black" w:hAnsi="Arial Black"/>
          <w:b/>
          <w:sz w:val="28"/>
          <w:szCs w:val="28"/>
          <w:vertAlign w:val="superscript"/>
        </w:rPr>
        <w:t>st</w:t>
      </w:r>
      <w:r>
        <w:rPr>
          <w:rFonts w:ascii="Arial Black" w:hAnsi="Arial Black"/>
          <w:b/>
          <w:sz w:val="28"/>
          <w:szCs w:val="28"/>
        </w:rPr>
        <w:t xml:space="preserve"> UNIT ALS - IMMUNITY</w:t>
      </w:r>
    </w:p>
    <w:p w14:paraId="78016B85" w14:textId="3CF15A8B" w:rsidR="00092D5A" w:rsidRPr="00A528FE" w:rsidRDefault="00092D5A" w:rsidP="00092D5A">
      <w:pPr>
        <w:rPr>
          <w:bCs/>
        </w:rPr>
      </w:pPr>
      <w:r w:rsidRPr="00A528FE">
        <w:t xml:space="preserve">On December 18, 2025, in </w:t>
      </w:r>
      <w:r w:rsidRPr="00A528FE">
        <w:rPr>
          <w:u w:val="single"/>
        </w:rPr>
        <w:t>Ebony Hinkson, et al. v. New York-Presbyterian Queens, et al</w:t>
      </w:r>
      <w:r w:rsidRPr="00A528FE">
        <w:t xml:space="preserve">., </w:t>
      </w:r>
      <w:r>
        <w:t xml:space="preserve">the </w:t>
      </w:r>
      <w:r w:rsidRPr="00A528FE">
        <w:t>Supreme Court of New York, First Department</w:t>
      </w:r>
      <w:r>
        <w:t xml:space="preserve"> held (4 to ) that that trial court judge improperly denied motion to dismiss by </w:t>
      </w:r>
      <w:r w:rsidRPr="006D09AC">
        <w:t>City of New York and FDNY EMS</w:t>
      </w:r>
      <w:r>
        <w:t xml:space="preserve">.  Dispatch did not advise patient that ALS would be first on scene.  </w:t>
      </w:r>
      <w:hyperlink r:id="rId2105" w:history="1">
        <w:r w:rsidR="008343E2" w:rsidRPr="000F3B38">
          <w:rPr>
            <w:rStyle w:val="Hyperlink"/>
          </w:rPr>
          <w:t>https://law.justia.com/cases/new-york/appellate-division-first-department/2025/index-no-153104-18-appeal-no-5428-case-no-2024-01885.html</w:t>
        </w:r>
      </w:hyperlink>
      <w:r>
        <w:t xml:space="preserve"> </w:t>
      </w:r>
    </w:p>
    <w:p w14:paraId="6986CC51" w14:textId="77777777" w:rsidR="00092D5A" w:rsidRPr="00A528FE" w:rsidRDefault="00092D5A" w:rsidP="00092D5A">
      <w:pPr>
        <w:rPr>
          <w:bCs/>
        </w:rPr>
      </w:pPr>
      <w:r>
        <w:t>THE COURT HELD:</w:t>
      </w:r>
    </w:p>
    <w:p w14:paraId="73593B21" w14:textId="77777777" w:rsidR="00092D5A" w:rsidRDefault="00092D5A" w:rsidP="00092D5A">
      <w:pPr>
        <w:ind w:left="720"/>
      </w:pPr>
      <w:r>
        <w:rPr>
          <w:b/>
        </w:rPr>
        <w:t>“</w:t>
      </w:r>
      <w:r w:rsidRPr="006939D7">
        <w:t xml:space="preserve">To establish the requisite </w:t>
      </w:r>
      <w:r>
        <w:t>‘</w:t>
      </w:r>
      <w:r w:rsidRPr="006939D7">
        <w:t>assumption by the municipality, through promises or actions, of an affirmative duty to act on behalf of the party who was injured</w:t>
      </w:r>
      <w:r>
        <w:t>’ … p</w:t>
      </w:r>
      <w:r w:rsidRPr="006939D7">
        <w:t>laintiff relies solely on the 911 operator's purported assurance to the decedent's grandmother that an ambulance was on its way; the grandmother does not claim to have received any additional assurances from the FDNY paramedics themselves. It is not enough that they arrived and provided treatment because that is what emergency responders do for any member of the public (</w:t>
      </w:r>
      <w:r w:rsidRPr="006939D7">
        <w:rPr>
          <w:i/>
          <w:iCs/>
        </w:rPr>
        <w:t xml:space="preserve">see Estate of Kyle A. v New York City </w:t>
      </w:r>
      <w:proofErr w:type="spellStart"/>
      <w:r w:rsidRPr="006939D7">
        <w:rPr>
          <w:i/>
          <w:iCs/>
        </w:rPr>
        <w:t>Hous</w:t>
      </w:r>
      <w:proofErr w:type="spellEnd"/>
      <w:r w:rsidRPr="006939D7">
        <w:rPr>
          <w:i/>
          <w:iCs/>
        </w:rPr>
        <w:t>. Auth.</w:t>
      </w:r>
      <w:r w:rsidRPr="006939D7">
        <w:t>, 181 AD3d 492, 493 [1st Dept 2020]). Even ignoring any purported inconsistencies between the grandmother's deposition testimony and her summary judgment opposition affidavit with respect to what the 911 operator said, any special duty created by the 911 operator's purported assurance that the ambulance was on its way was fulfilled when the first ambulance (operated by defendant New York-Presbyterian d/b/a New York Presbyterian EMS [NYP-EMS]) arrived five minutes later.</w:t>
      </w:r>
    </w:p>
    <w:p w14:paraId="413E5CEC" w14:textId="77777777" w:rsidR="00092D5A" w:rsidRPr="006939D7" w:rsidRDefault="00092D5A" w:rsidP="00092D5A">
      <w:pPr>
        <w:ind w:left="720"/>
      </w:pPr>
      <w:r>
        <w:t>***</w:t>
      </w:r>
    </w:p>
    <w:p w14:paraId="107F8DFF" w14:textId="77777777" w:rsidR="00092D5A" w:rsidRPr="006939D7" w:rsidRDefault="00092D5A" w:rsidP="00092D5A">
      <w:pPr>
        <w:pStyle w:val="NoSpacing"/>
        <w:ind w:left="720"/>
      </w:pPr>
      <w:r w:rsidRPr="006939D7">
        <w:t>Plaintiff does not claim that the 911 operator promised that the ambulance would be capable of rendering advanced life support (ALS) rather than basic life support or that it would be operated by the FDNY as opposed to some other provider. The 911 operator at any rate also dispatched an FDNY ALS ambulance at the same time; it was just farther away and took longer (14 minutes) to arrive. Plaintiff does not claim that there was anything negligent about the amount of time it took the FDNY ambulance to arrive, challenging only the NYP-EMS ambulance's delay of transport (for which the City is not responsible) (</w:t>
      </w:r>
      <w:r w:rsidRPr="006939D7">
        <w:rPr>
          <w:i/>
          <w:iCs/>
        </w:rPr>
        <w:t xml:space="preserve">see Brown v </w:t>
      </w:r>
      <w:proofErr w:type="spellStart"/>
      <w:r w:rsidRPr="006939D7">
        <w:rPr>
          <w:i/>
          <w:iCs/>
        </w:rPr>
        <w:t>Transcare</w:t>
      </w:r>
      <w:proofErr w:type="spellEnd"/>
      <w:r w:rsidRPr="006939D7">
        <w:rPr>
          <w:i/>
          <w:iCs/>
        </w:rPr>
        <w:t xml:space="preserve"> N.Y., Inc.</w:t>
      </w:r>
      <w:r w:rsidRPr="006939D7">
        <w:t>, 27 AD3d 350, 351 [1st Dept 2006]), and the FDNY paramedics' failure to properly intubate the decedent (which had nothing to do with their time of arrival).</w:t>
      </w:r>
      <w:r>
        <w:t>”</w:t>
      </w:r>
    </w:p>
    <w:p w14:paraId="08773553" w14:textId="77777777" w:rsidR="00092D5A" w:rsidRDefault="00092D5A" w:rsidP="00092D5A">
      <w:pPr>
        <w:rPr>
          <w:b/>
        </w:rPr>
      </w:pPr>
    </w:p>
    <w:p w14:paraId="604561C7" w14:textId="2264219F" w:rsidR="00092D5A" w:rsidRPr="00F02ABA" w:rsidRDefault="00092D5A" w:rsidP="00092D5A">
      <w:pPr>
        <w:rPr>
          <w:b/>
        </w:rPr>
      </w:pPr>
      <w:r>
        <w:rPr>
          <w:b/>
        </w:rPr>
        <w:t>Legal lesson learned: Dispatchers and EMS enjoy immunity – owe no “special duty” t</w:t>
      </w:r>
      <w:r w:rsidR="00A33C55">
        <w:rPr>
          <w:b/>
        </w:rPr>
        <w:t>o</w:t>
      </w:r>
      <w:r>
        <w:rPr>
          <w:b/>
        </w:rPr>
        <w:t xml:space="preserve"> patients. </w:t>
      </w:r>
    </w:p>
    <w:p w14:paraId="60C50B13" w14:textId="77777777" w:rsidR="00092D5A" w:rsidRDefault="00092D5A" w:rsidP="00092D5A">
      <w:pPr>
        <w:pStyle w:val="NoSpacing"/>
      </w:pPr>
    </w:p>
    <w:p w14:paraId="0246B471" w14:textId="77777777" w:rsidR="00092D5A" w:rsidRDefault="00092D5A" w:rsidP="00092D5A">
      <w:pPr>
        <w:pStyle w:val="NoSpacing"/>
      </w:pPr>
    </w:p>
    <w:p w14:paraId="66D5347F" w14:textId="240E3528" w:rsidR="00BE2EF9" w:rsidRDefault="00092D5A" w:rsidP="00004498">
      <w:pPr>
        <w:rPr>
          <w:rFonts w:ascii="Arial Black" w:hAnsi="Arial Black"/>
          <w:b/>
          <w:bCs/>
          <w:sz w:val="24"/>
          <w:szCs w:val="24"/>
        </w:rPr>
      </w:pPr>
      <w:r>
        <w:rPr>
          <w:rFonts w:ascii="Arial Black" w:hAnsi="Arial Black"/>
          <w:b/>
          <w:bCs/>
          <w:sz w:val="24"/>
          <w:szCs w:val="24"/>
        </w:rPr>
        <w:t xml:space="preserve">13 </w:t>
      </w:r>
      <w:r w:rsidR="00BE2EF9">
        <w:rPr>
          <w:rFonts w:ascii="Arial Black" w:hAnsi="Arial Black"/>
          <w:b/>
          <w:bCs/>
          <w:sz w:val="24"/>
          <w:szCs w:val="24"/>
        </w:rPr>
        <w:t>–</w:t>
      </w:r>
      <w:r>
        <w:rPr>
          <w:rFonts w:ascii="Arial Black" w:hAnsi="Arial Black"/>
          <w:b/>
          <w:bCs/>
          <w:sz w:val="24"/>
          <w:szCs w:val="24"/>
        </w:rPr>
        <w:t xml:space="preserve"> </w:t>
      </w:r>
      <w:r w:rsidR="002E2246">
        <w:rPr>
          <w:rFonts w:ascii="Arial Black" w:hAnsi="Arial Black"/>
          <w:b/>
          <w:bCs/>
          <w:sz w:val="24"/>
          <w:szCs w:val="24"/>
        </w:rPr>
        <w:t>23</w:t>
      </w:r>
      <w:r w:rsidR="00524647">
        <w:rPr>
          <w:rFonts w:ascii="Arial Black" w:hAnsi="Arial Black"/>
          <w:b/>
          <w:bCs/>
          <w:sz w:val="24"/>
          <w:szCs w:val="24"/>
        </w:rPr>
        <w:t>8</w:t>
      </w:r>
    </w:p>
    <w:p w14:paraId="2A628E46" w14:textId="77777777" w:rsidR="00BE2EF9" w:rsidRDefault="00BE2EF9" w:rsidP="00BE2EF9">
      <w:pPr>
        <w:rPr>
          <w:rFonts w:ascii="Arial Black" w:hAnsi="Arial Black"/>
          <w:b/>
          <w:sz w:val="28"/>
          <w:szCs w:val="28"/>
        </w:rPr>
      </w:pPr>
      <w:r>
        <w:rPr>
          <w:rFonts w:ascii="Arial Black" w:hAnsi="Arial Black"/>
          <w:b/>
          <w:sz w:val="28"/>
          <w:szCs w:val="28"/>
        </w:rPr>
        <w:t xml:space="preserve">CA: AMR – WAS COUNTY EMS - </w:t>
      </w:r>
      <w:proofErr w:type="spellStart"/>
      <w:r>
        <w:rPr>
          <w:rFonts w:ascii="Arial Black" w:hAnsi="Arial Black"/>
          <w:b/>
          <w:sz w:val="28"/>
          <w:szCs w:val="28"/>
        </w:rPr>
        <w:t>ConFIRE</w:t>
      </w:r>
      <w:proofErr w:type="spellEnd"/>
      <w:r>
        <w:rPr>
          <w:rFonts w:ascii="Arial Black" w:hAnsi="Arial Black"/>
          <w:b/>
          <w:sz w:val="28"/>
          <w:szCs w:val="28"/>
        </w:rPr>
        <w:t xml:space="preserve"> WINS CONTRACT</w:t>
      </w:r>
    </w:p>
    <w:p w14:paraId="21F8D538" w14:textId="77777777" w:rsidR="00BE2EF9" w:rsidRPr="00E654C4" w:rsidRDefault="00BE2EF9" w:rsidP="00BE2EF9">
      <w:pPr>
        <w:rPr>
          <w:b/>
        </w:rPr>
      </w:pPr>
      <w:r w:rsidRPr="001079CA">
        <w:t xml:space="preserve">On December 18, 205 in </w:t>
      </w:r>
      <w:r w:rsidRPr="000020FF">
        <w:rPr>
          <w:u w:val="single"/>
        </w:rPr>
        <w:t>American Medical Response of Inland Empire v. County of San Bernardino, et al</w:t>
      </w:r>
      <w:r>
        <w:t xml:space="preserve">.; the </w:t>
      </w:r>
      <w:r w:rsidRPr="000020FF">
        <w:t>California Court of Appeals, Fourth District, First Division</w:t>
      </w:r>
      <w:r>
        <w:t xml:space="preserve"> held (3 to 0; unpublished decision) that trial court improperly granted AMR a preliminary injunction during the pendency of this lawsuit to stop the County from switching to </w:t>
      </w:r>
      <w:proofErr w:type="spellStart"/>
      <w:r>
        <w:t>ConFire</w:t>
      </w:r>
      <w:proofErr w:type="spellEnd"/>
      <w:r>
        <w:t xml:space="preserve"> as their new EMS provider. </w:t>
      </w:r>
      <w:hyperlink r:id="rId2106" w:history="1">
        <w:r w:rsidRPr="00FC78E3">
          <w:rPr>
            <w:rStyle w:val="Hyperlink"/>
            <w:b/>
          </w:rPr>
          <w:t>https://www4.courts.ca.gov/opinions/nonpub/D085716.PDF</w:t>
        </w:r>
      </w:hyperlink>
      <w:r>
        <w:rPr>
          <w:b/>
        </w:rPr>
        <w:t xml:space="preserve"> </w:t>
      </w:r>
    </w:p>
    <w:p w14:paraId="62188B40" w14:textId="77777777" w:rsidR="00BE2EF9" w:rsidRPr="00E654C4" w:rsidRDefault="00BE2EF9" w:rsidP="00BE2EF9">
      <w:pPr>
        <w:rPr>
          <w:b/>
        </w:rPr>
      </w:pPr>
      <w:r>
        <w:t xml:space="preserve">THE COURT HELD: </w:t>
      </w:r>
    </w:p>
    <w:p w14:paraId="62A30225" w14:textId="77777777" w:rsidR="00BE2EF9" w:rsidRDefault="00BE2EF9" w:rsidP="00BE2EF9">
      <w:pPr>
        <w:pStyle w:val="NoSpacing"/>
        <w:ind w:left="720"/>
      </w:pPr>
      <w:r>
        <w:t>“</w:t>
      </w:r>
      <w:r w:rsidRPr="00BF5999">
        <w:t>AMR began operating as the ambulance service provider for the County in the late 1970s. Since that time, the County has retained AMR as its exclusive EMS provider, grandfathered into its system in accordance with section 1797.224 of the EMS Act</w:t>
      </w:r>
      <w:r>
        <w:t>.</w:t>
      </w:r>
    </w:p>
    <w:p w14:paraId="229634DD" w14:textId="77777777" w:rsidR="00BE2EF9" w:rsidRDefault="00BE2EF9" w:rsidP="00BE2EF9">
      <w:pPr>
        <w:pStyle w:val="NoSpacing"/>
        <w:ind w:left="720"/>
      </w:pPr>
    </w:p>
    <w:p w14:paraId="7776B994" w14:textId="77777777" w:rsidR="00BE2EF9" w:rsidRDefault="00BE2EF9" w:rsidP="00BE2EF9">
      <w:pPr>
        <w:pStyle w:val="NoSpacing"/>
        <w:ind w:left="720"/>
      </w:pPr>
      <w:r>
        <w:t>***</w:t>
      </w:r>
    </w:p>
    <w:p w14:paraId="20BA64EB" w14:textId="77777777" w:rsidR="00BE2EF9" w:rsidRDefault="00BE2EF9" w:rsidP="00BE2EF9">
      <w:pPr>
        <w:pStyle w:val="NoSpacing"/>
        <w:ind w:left="720"/>
      </w:pPr>
      <w:r w:rsidRPr="00356A3B">
        <w:t>In 2022, the County initiated a competitive process to improve its EMS system and issued a request for proposal (RFP) seeking bidders for a new exclusive contract to provide EMS services. The RFP set forth three overarching goals for its procurement process-to improve service delivery to customers and partners, to establish a more efficient EMS system, and to make investments back into the system.</w:t>
      </w:r>
    </w:p>
    <w:p w14:paraId="29BE527B" w14:textId="77777777" w:rsidR="00BE2EF9" w:rsidRDefault="00BE2EF9" w:rsidP="00BE2EF9">
      <w:pPr>
        <w:pStyle w:val="NoSpacing"/>
        <w:ind w:left="720"/>
      </w:pPr>
    </w:p>
    <w:p w14:paraId="056EFAA0" w14:textId="77777777" w:rsidR="00BE2EF9" w:rsidRDefault="00BE2EF9" w:rsidP="00BE2EF9">
      <w:pPr>
        <w:pStyle w:val="NoSpacing"/>
        <w:ind w:left="720"/>
      </w:pPr>
      <w:r>
        <w:t>***</w:t>
      </w:r>
    </w:p>
    <w:p w14:paraId="0D91799C" w14:textId="77777777" w:rsidR="00BE2EF9" w:rsidRDefault="00BE2EF9" w:rsidP="00BE2EF9">
      <w:pPr>
        <w:pStyle w:val="NoSpacing"/>
        <w:ind w:left="720"/>
      </w:pPr>
      <w:r>
        <w:t>T</w:t>
      </w:r>
      <w:r w:rsidRPr="00476B0A">
        <w:t xml:space="preserve">he County and </w:t>
      </w:r>
      <w:proofErr w:type="spellStart"/>
      <w:r w:rsidRPr="00476B0A">
        <w:t>ConFire</w:t>
      </w:r>
      <w:proofErr w:type="spellEnd"/>
      <w:r w:rsidRPr="00476B0A">
        <w:t xml:space="preserve"> appeal from the preliminary injunction order, asserting the trial court improperly determined the County had a ministerial duty to advance only AMR's proposal to the County's Board of Supervisors because it was the </w:t>
      </w:r>
      <w:r>
        <w:t>‘</w:t>
      </w:r>
      <w:proofErr w:type="gramStart"/>
      <w:r w:rsidRPr="00476B0A">
        <w:t>highest-scoring</w:t>
      </w:r>
      <w:proofErr w:type="gramEnd"/>
      <w:r>
        <w:t xml:space="preserve">’ </w:t>
      </w:r>
      <w:r w:rsidRPr="00476B0A">
        <w:t xml:space="preserve">proposal. Further, the County and </w:t>
      </w:r>
      <w:proofErr w:type="spellStart"/>
      <w:r w:rsidRPr="00476B0A">
        <w:t>ConFire</w:t>
      </w:r>
      <w:proofErr w:type="spellEnd"/>
      <w:r w:rsidRPr="00476B0A">
        <w:t xml:space="preserve"> assert the County did not abuse its discretion by advancing both </w:t>
      </w:r>
      <w:proofErr w:type="spellStart"/>
      <w:r w:rsidRPr="00476B0A">
        <w:t>ConFire's</w:t>
      </w:r>
      <w:proofErr w:type="spellEnd"/>
      <w:r w:rsidRPr="00476B0A">
        <w:t xml:space="preserve"> and AMR's proposals to the Board and ultimately selecting </w:t>
      </w:r>
      <w:proofErr w:type="spellStart"/>
      <w:r w:rsidRPr="00476B0A">
        <w:t>ConFire</w:t>
      </w:r>
      <w:proofErr w:type="spellEnd"/>
      <w:r w:rsidRPr="00476B0A">
        <w:t xml:space="preserve"> as the provider.</w:t>
      </w:r>
      <w:r>
        <w:t>”</w:t>
      </w:r>
    </w:p>
    <w:p w14:paraId="20F312F7" w14:textId="77777777" w:rsidR="00BE2EF9" w:rsidRDefault="00BE2EF9" w:rsidP="00BE2EF9">
      <w:pPr>
        <w:pStyle w:val="NoSpacing"/>
        <w:ind w:left="720"/>
      </w:pPr>
    </w:p>
    <w:p w14:paraId="282B5789" w14:textId="77777777" w:rsidR="00BE2EF9" w:rsidRDefault="00BE2EF9" w:rsidP="00BE2EF9">
      <w:pPr>
        <w:pStyle w:val="NoSpacing"/>
        <w:ind w:left="720"/>
      </w:pPr>
      <w:r>
        <w:t>***</w:t>
      </w:r>
    </w:p>
    <w:p w14:paraId="21C9F964" w14:textId="77777777" w:rsidR="00BE2EF9" w:rsidRDefault="00BE2EF9" w:rsidP="00BE2EF9">
      <w:pPr>
        <w:pStyle w:val="NoSpacing"/>
        <w:ind w:left="720"/>
      </w:pPr>
      <w:r>
        <w:t xml:space="preserve">The County received responses to the RFP from AMR and </w:t>
      </w:r>
      <w:proofErr w:type="spellStart"/>
      <w:r>
        <w:t>ConFire</w:t>
      </w:r>
      <w:proofErr w:type="spellEnd"/>
      <w:r>
        <w:t xml:space="preserve">. Four evaluators scored both proposals. Three of the four evaluators gave </w:t>
      </w:r>
      <w:proofErr w:type="spellStart"/>
      <w:r>
        <w:t>ConFire</w:t>
      </w:r>
      <w:proofErr w:type="spellEnd"/>
      <w:r>
        <w:t xml:space="preserve"> a higher score. The total cumulative score for AMR, however, was higher by four points. </w:t>
      </w:r>
      <w:proofErr w:type="spellStart"/>
      <w:r>
        <w:t>ConFire</w:t>
      </w:r>
      <w:proofErr w:type="spellEnd"/>
      <w:r>
        <w:t xml:space="preserve"> received individual scores </w:t>
      </w:r>
      <w:proofErr w:type="gramStart"/>
      <w:r>
        <w:t>of:</w:t>
      </w:r>
      <w:proofErr w:type="gramEnd"/>
      <w:r>
        <w:t xml:space="preserve"> 383, 384, 363 and 385. AMR’s scores were: 373, 419, 346, 381. After the proposals were scored, in June 2023, the County sent a letter to both AMR and </w:t>
      </w:r>
      <w:proofErr w:type="spellStart"/>
      <w:r>
        <w:t>ConFire</w:t>
      </w:r>
      <w:proofErr w:type="spellEnd"/>
      <w:r>
        <w:t xml:space="preserve"> stating that because the scores for both proposers were ‘substantially </w:t>
      </w:r>
      <w:proofErr w:type="gramStart"/>
      <w:r>
        <w:t>equivalent’</w:t>
      </w:r>
      <w:proofErr w:type="gramEnd"/>
      <w:r>
        <w:t xml:space="preserve"> it intended to ‘move forward with </w:t>
      </w:r>
      <w:proofErr w:type="gramStart"/>
      <w:r>
        <w:t xml:space="preserve">negotiations’ </w:t>
      </w:r>
      <w:proofErr w:type="gramEnd"/>
      <w:r>
        <w:t xml:space="preserve"> with both entities.</w:t>
      </w:r>
    </w:p>
    <w:p w14:paraId="5C7123E7" w14:textId="77777777" w:rsidR="00BE2EF9" w:rsidRDefault="00BE2EF9" w:rsidP="00BE2EF9">
      <w:pPr>
        <w:pStyle w:val="NoSpacing"/>
        <w:ind w:left="720"/>
      </w:pPr>
    </w:p>
    <w:p w14:paraId="7B7B460E" w14:textId="77777777" w:rsidR="00BE2EF9" w:rsidRDefault="00BE2EF9" w:rsidP="00BE2EF9">
      <w:pPr>
        <w:pStyle w:val="NoSpacing"/>
        <w:ind w:left="720"/>
      </w:pPr>
      <w:r>
        <w:t>***</w:t>
      </w:r>
    </w:p>
    <w:p w14:paraId="433B91EE" w14:textId="77777777" w:rsidR="00BE2EF9" w:rsidRDefault="00BE2EF9" w:rsidP="00BE2EF9">
      <w:pPr>
        <w:pStyle w:val="NoSpacing"/>
        <w:ind w:left="720"/>
      </w:pPr>
      <w:r>
        <w:t>On November 3, 2023, AMR submitted a letter protesting the County’s decision to advance both proposals to the Board…. On November 28, 2023, the County sent a letter to AMR denying its protest.</w:t>
      </w:r>
    </w:p>
    <w:p w14:paraId="5F5A2144" w14:textId="77777777" w:rsidR="00BE2EF9" w:rsidRDefault="00BE2EF9" w:rsidP="00BE2EF9">
      <w:pPr>
        <w:pStyle w:val="NoSpacing"/>
        <w:ind w:left="720"/>
      </w:pPr>
    </w:p>
    <w:p w14:paraId="1FBB0453" w14:textId="77777777" w:rsidR="00BE2EF9" w:rsidRDefault="00BE2EF9" w:rsidP="00BE2EF9">
      <w:pPr>
        <w:pStyle w:val="NoSpacing"/>
        <w:ind w:left="720"/>
      </w:pPr>
      <w:r>
        <w:t>***</w:t>
      </w:r>
    </w:p>
    <w:p w14:paraId="64A196BA" w14:textId="77777777" w:rsidR="00BE2EF9" w:rsidRDefault="00BE2EF9" w:rsidP="00BE2EF9">
      <w:pPr>
        <w:pStyle w:val="NoSpacing"/>
        <w:ind w:left="720"/>
      </w:pPr>
      <w:r>
        <w:t xml:space="preserve">At a regular meeting of the County’s Board on December 5, 2023, AMR and </w:t>
      </w:r>
      <w:proofErr w:type="spellStart"/>
      <w:r>
        <w:t>ConFire</w:t>
      </w:r>
      <w:proofErr w:type="spellEnd"/>
      <w:r>
        <w:t xml:space="preserve"> each presented their proposals. Thereafter, the Board heard several public comments in support of each proposal, including from representatives of cities within the exclusive operation area for which the RFP was issued. At the conclusion of the hearing, the Board voted to deny AMR’s protest and award the service contract to </w:t>
      </w:r>
      <w:proofErr w:type="spellStart"/>
      <w:r>
        <w:t>ConFire</w:t>
      </w:r>
      <w:proofErr w:type="spellEnd"/>
      <w:r>
        <w:t>.</w:t>
      </w:r>
    </w:p>
    <w:p w14:paraId="26204EB7" w14:textId="77777777" w:rsidR="00BE2EF9" w:rsidRDefault="00BE2EF9" w:rsidP="00BE2EF9">
      <w:pPr>
        <w:pStyle w:val="NoSpacing"/>
        <w:ind w:left="720"/>
      </w:pPr>
    </w:p>
    <w:p w14:paraId="40788099" w14:textId="77777777" w:rsidR="00BE2EF9" w:rsidRDefault="00BE2EF9" w:rsidP="00BE2EF9">
      <w:pPr>
        <w:pStyle w:val="NoSpacing"/>
        <w:ind w:left="720"/>
      </w:pPr>
      <w:r>
        <w:t>***</w:t>
      </w:r>
    </w:p>
    <w:p w14:paraId="69EA374F" w14:textId="77777777" w:rsidR="00BE2EF9" w:rsidRDefault="00BE2EF9" w:rsidP="00BE2EF9">
      <w:pPr>
        <w:pStyle w:val="NoSpacing"/>
        <w:ind w:left="720"/>
      </w:pPr>
      <w:r>
        <w:t xml:space="preserve">In short, the RFP’s plain language provides that the County may negotiate with more than one proposer and that the final determination is left to the discretion of the Board based on the scoring, and the Board’s determination of the proposer’s ability to meet the needs of the County and provide the best value. Contrary to the trial court’s </w:t>
      </w:r>
      <w:proofErr w:type="gramStart"/>
      <w:r>
        <w:t>finding</w:t>
      </w:r>
      <w:proofErr w:type="gramEnd"/>
      <w:r>
        <w:t>, the RFP does not impose a ministerial duty on the County to negotiate solely with the proposer</w:t>
      </w:r>
    </w:p>
    <w:p w14:paraId="5958C7B6" w14:textId="77777777" w:rsidR="00BE2EF9" w:rsidRDefault="00BE2EF9" w:rsidP="00BE2EF9">
      <w:pPr>
        <w:pStyle w:val="NoSpacing"/>
        <w:ind w:left="720"/>
      </w:pPr>
      <w:r>
        <w:t>who received the highest total score…. Given our conclusion that AMR cannot show a</w:t>
      </w:r>
    </w:p>
    <w:p w14:paraId="3DF26E2E" w14:textId="77777777" w:rsidR="00BE2EF9" w:rsidRDefault="00BE2EF9" w:rsidP="00BE2EF9">
      <w:pPr>
        <w:pStyle w:val="NoSpacing"/>
        <w:ind w:left="720"/>
      </w:pPr>
      <w:r>
        <w:t>likelihood of prevailing on the merits of its mandate claim and the general rule against enjoining public agencies, AMR has not shown that its risk of injury supports the imposition of a preliminary injunction.”</w:t>
      </w:r>
    </w:p>
    <w:p w14:paraId="1879A51E" w14:textId="77777777" w:rsidR="00BE2EF9" w:rsidRDefault="00BE2EF9" w:rsidP="00BE2EF9">
      <w:pPr>
        <w:pStyle w:val="NoSpacing"/>
        <w:ind w:left="720"/>
      </w:pPr>
    </w:p>
    <w:p w14:paraId="0DC0318A" w14:textId="77777777" w:rsidR="00BE2EF9" w:rsidRPr="00E778FA" w:rsidRDefault="00BE2EF9" w:rsidP="00BE2EF9">
      <w:pPr>
        <w:pStyle w:val="NoSpacing"/>
        <w:rPr>
          <w:b/>
          <w:bCs/>
        </w:rPr>
      </w:pPr>
      <w:r>
        <w:rPr>
          <w:b/>
        </w:rPr>
        <w:t xml:space="preserve">Legal lesson learned:  The RFP was clear and Courts </w:t>
      </w:r>
      <w:proofErr w:type="gramStart"/>
      <w:r>
        <w:rPr>
          <w:b/>
        </w:rPr>
        <w:t>as a general rule</w:t>
      </w:r>
      <w:proofErr w:type="gramEnd"/>
      <w:r>
        <w:rPr>
          <w:b/>
        </w:rPr>
        <w:t xml:space="preserve"> oppose issuing injunctions against public agencies. </w:t>
      </w:r>
    </w:p>
    <w:p w14:paraId="2139331B" w14:textId="77777777" w:rsidR="00BE2EF9" w:rsidRDefault="00BE2EF9" w:rsidP="00BE2EF9">
      <w:pPr>
        <w:pStyle w:val="NoSpacing"/>
      </w:pPr>
    </w:p>
    <w:p w14:paraId="04510C60" w14:textId="77777777" w:rsidR="002E2246" w:rsidRDefault="002E2246" w:rsidP="00004498">
      <w:pPr>
        <w:rPr>
          <w:rFonts w:ascii="Arial Black" w:hAnsi="Arial Black"/>
          <w:b/>
          <w:bCs/>
          <w:sz w:val="24"/>
          <w:szCs w:val="24"/>
        </w:rPr>
      </w:pPr>
    </w:p>
    <w:p w14:paraId="269419CB" w14:textId="77777777" w:rsidR="002E2246" w:rsidRDefault="002E2246" w:rsidP="00004498">
      <w:pPr>
        <w:rPr>
          <w:rFonts w:ascii="Arial Black" w:hAnsi="Arial Black"/>
          <w:b/>
          <w:bCs/>
          <w:sz w:val="24"/>
          <w:szCs w:val="24"/>
        </w:rPr>
      </w:pPr>
    </w:p>
    <w:p w14:paraId="1D9CFB54" w14:textId="0A5DDDB2" w:rsidR="00BE2EF9" w:rsidRDefault="008E7464"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23</w:t>
      </w:r>
      <w:r w:rsidR="00524647">
        <w:rPr>
          <w:rFonts w:ascii="Arial Black" w:hAnsi="Arial Black"/>
          <w:b/>
          <w:bCs/>
          <w:sz w:val="24"/>
          <w:szCs w:val="24"/>
        </w:rPr>
        <w:t>7</w:t>
      </w:r>
    </w:p>
    <w:p w14:paraId="67E1B4F5" w14:textId="77777777" w:rsidR="00907B6A" w:rsidRDefault="00907B6A" w:rsidP="00004498">
      <w:pPr>
        <w:rPr>
          <w:rFonts w:ascii="Arial Black" w:hAnsi="Arial Black"/>
          <w:b/>
          <w:bCs/>
          <w:sz w:val="24"/>
          <w:szCs w:val="24"/>
        </w:rPr>
      </w:pPr>
    </w:p>
    <w:p w14:paraId="426FE7A2" w14:textId="77777777" w:rsidR="00907B6A" w:rsidRPr="00737DC2" w:rsidRDefault="00907B6A" w:rsidP="00907B6A">
      <w:pPr>
        <w:pStyle w:val="NoSpacing"/>
        <w:rPr>
          <w:rFonts w:ascii="Arial Black" w:hAnsi="Arial Black"/>
          <w:sz w:val="28"/>
          <w:szCs w:val="28"/>
        </w:rPr>
      </w:pPr>
      <w:r>
        <w:rPr>
          <w:rFonts w:ascii="Arial Black" w:hAnsi="Arial Black"/>
          <w:sz w:val="28"/>
          <w:szCs w:val="28"/>
        </w:rPr>
        <w:t xml:space="preserve">UT: EMS – SUES INSUR. CO. NOT PAYING STATE RATES </w:t>
      </w:r>
    </w:p>
    <w:p w14:paraId="5A161CFF" w14:textId="77777777" w:rsidR="00907B6A" w:rsidRDefault="00907B6A" w:rsidP="00907B6A">
      <w:pPr>
        <w:pStyle w:val="NoSpacing"/>
      </w:pPr>
    </w:p>
    <w:p w14:paraId="1D63591A" w14:textId="77777777" w:rsidR="00907B6A" w:rsidRDefault="00907B6A" w:rsidP="00907B6A">
      <w:pPr>
        <w:rPr>
          <w:b/>
        </w:rPr>
      </w:pPr>
      <w:r>
        <w:t xml:space="preserve">On December 12, 2025, </w:t>
      </w:r>
      <w:proofErr w:type="gramStart"/>
      <w:r>
        <w:t>in</w:t>
      </w:r>
      <w:proofErr w:type="gramEnd"/>
      <w:r>
        <w:t xml:space="preserve"> </w:t>
      </w:r>
      <w:r w:rsidRPr="005A464F">
        <w:rPr>
          <w:u w:val="single"/>
        </w:rPr>
        <w:t>Gold Cross Services, Inc. v</w:t>
      </w:r>
      <w:r>
        <w:rPr>
          <w:u w:val="single"/>
        </w:rPr>
        <w:t xml:space="preserve">. </w:t>
      </w:r>
      <w:r w:rsidRPr="005A464F">
        <w:rPr>
          <w:u w:val="single"/>
        </w:rPr>
        <w:t>The Cigna Group</w:t>
      </w:r>
      <w:r>
        <w:t xml:space="preserve">, U.S. District court Judge  Dale A. Kimball, </w:t>
      </w:r>
      <w:r w:rsidRPr="0057656F">
        <w:t>United States District Court, D. Utah</w:t>
      </w:r>
      <w:r>
        <w:t xml:space="preserve">, denied The Cigna Group’s motion to dismiss; the EMS services provided by Gold Cross to patients insured by Cigna were billed at State levels, and Cigna’s not paying full price is a breach of the “implied contract” claim.  As of July 1, </w:t>
      </w:r>
      <w:proofErr w:type="gramStart"/>
      <w:r>
        <w:t>2024</w:t>
      </w:r>
      <w:proofErr w:type="gramEnd"/>
      <w:r>
        <w:t xml:space="preserve"> the state’s </w:t>
      </w:r>
      <w:r w:rsidRPr="004F491B">
        <w:t>maximum ambulance base rate permitted for EMT services is $1,176.11, for</w:t>
      </w:r>
      <w:r>
        <w:t xml:space="preserve"> </w:t>
      </w:r>
      <w:r w:rsidRPr="004F491B">
        <w:t>AEMT services is $1,552.68, and for Paramedic services is $2,270.22. See Utah Admin. Code</w:t>
      </w:r>
      <w:r>
        <w:t xml:space="preserve"> </w:t>
      </w:r>
      <w:r w:rsidRPr="004F491B">
        <w:t>R911-8-200(6)</w:t>
      </w:r>
      <w:r>
        <w:t xml:space="preserve">.   The Cigna Group’s counterclaim of “up charging” is dismissed since they failed to provide any proof of a charge over the state’s rates (reviewed 50 claims and alleged </w:t>
      </w:r>
      <w:r w:rsidRPr="00FC6A24">
        <w:t>$406, 328.73 in overbillings</w:t>
      </w:r>
      <w:r>
        <w:t xml:space="preserve">.  Case will now go to pre-trial discovery. </w:t>
      </w:r>
      <w:hyperlink r:id="rId2107" w:history="1">
        <w:r w:rsidRPr="00AE4181">
          <w:rPr>
            <w:rStyle w:val="Hyperlink"/>
            <w:b/>
          </w:rPr>
          <w:t>https://cases.justia.com/federal/district-courts/utah/utdce/2:2025cv00111/154289/32/0.pdf?ts=1765634947</w:t>
        </w:r>
      </w:hyperlink>
      <w:r>
        <w:rPr>
          <w:b/>
        </w:rPr>
        <w:t xml:space="preserve"> </w:t>
      </w:r>
    </w:p>
    <w:p w14:paraId="075DF498" w14:textId="77777777" w:rsidR="00907B6A" w:rsidRDefault="00907B6A" w:rsidP="00907B6A">
      <w:pPr>
        <w:pStyle w:val="NoSpacing"/>
        <w:rPr>
          <w:bCs/>
        </w:rPr>
      </w:pPr>
      <w:r>
        <w:t xml:space="preserve"> THE COURT HELD:</w:t>
      </w:r>
    </w:p>
    <w:p w14:paraId="3A7D1CE6" w14:textId="77777777" w:rsidR="00907B6A" w:rsidRDefault="00907B6A" w:rsidP="00907B6A">
      <w:pPr>
        <w:pStyle w:val="NoSpacing"/>
        <w:rPr>
          <w:bCs/>
        </w:rPr>
      </w:pPr>
    </w:p>
    <w:p w14:paraId="6CCA6770" w14:textId="77777777" w:rsidR="00907B6A" w:rsidRPr="008544FB" w:rsidRDefault="00907B6A" w:rsidP="00907B6A">
      <w:pPr>
        <w:pStyle w:val="NoSpacing"/>
        <w:ind w:left="720"/>
        <w:rPr>
          <w:bCs/>
        </w:rPr>
      </w:pPr>
      <w:r>
        <w:t>“</w:t>
      </w:r>
      <w:r w:rsidRPr="008544FB">
        <w:t>Under this regulatory framework, an ambulance provider may not charge more than the</w:t>
      </w:r>
    </w:p>
    <w:p w14:paraId="2BEF2342" w14:textId="77777777" w:rsidR="00907B6A" w:rsidRDefault="00907B6A" w:rsidP="00907B6A">
      <w:pPr>
        <w:pStyle w:val="NoSpacing"/>
        <w:ind w:left="720"/>
        <w:rPr>
          <w:bCs/>
        </w:rPr>
      </w:pPr>
      <w:r w:rsidRPr="008544FB">
        <w:t xml:space="preserve">maximum base rate for </w:t>
      </w:r>
      <w:proofErr w:type="gramStart"/>
      <w:r w:rsidRPr="008544FB">
        <w:t>an ambulance</w:t>
      </w:r>
      <w:proofErr w:type="gramEnd"/>
      <w:r w:rsidRPr="008544FB">
        <w:t xml:space="preserve"> transfer and may not include costs for procedures or</w:t>
      </w:r>
      <w:r>
        <w:t xml:space="preserve"> </w:t>
      </w:r>
      <w:r w:rsidRPr="008544FB">
        <w:t xml:space="preserve">medications administered to patients </w:t>
      </w:r>
      <w:proofErr w:type="gramStart"/>
      <w:r w:rsidRPr="008544FB">
        <w:t>in</w:t>
      </w:r>
      <w:proofErr w:type="gramEnd"/>
      <w:r w:rsidRPr="008544FB">
        <w:t xml:space="preserve"> that base rate. Utah’s regulatory framework also</w:t>
      </w:r>
      <w:r>
        <w:t xml:space="preserve"> </w:t>
      </w:r>
      <w:r w:rsidRPr="008544FB">
        <w:t xml:space="preserve">recognizes that ambulance providers may incur additional costs during ambulance </w:t>
      </w:r>
      <w:proofErr w:type="gramStart"/>
      <w:r w:rsidRPr="008544FB">
        <w:t>transports</w:t>
      </w:r>
      <w:proofErr w:type="gramEnd"/>
      <w:r>
        <w:t xml:space="preserve"> </w:t>
      </w:r>
      <w:r w:rsidRPr="008544FB">
        <w:t>beyond what is covered by the maximum base rates. To account for these costs, an ambulance</w:t>
      </w:r>
      <w:r>
        <w:t xml:space="preserve"> </w:t>
      </w:r>
      <w:r w:rsidRPr="008544FB">
        <w:t>provider may charge for mileage, supplies, and medications as prescribed by law in addition to</w:t>
      </w:r>
      <w:r>
        <w:t xml:space="preserve"> </w:t>
      </w:r>
      <w:r w:rsidRPr="008544FB">
        <w:t>the base rate.</w:t>
      </w:r>
    </w:p>
    <w:p w14:paraId="1028604A" w14:textId="77777777" w:rsidR="00907B6A" w:rsidRDefault="00907B6A" w:rsidP="00907B6A">
      <w:pPr>
        <w:pStyle w:val="NoSpacing"/>
        <w:ind w:left="720"/>
        <w:rPr>
          <w:bCs/>
        </w:rPr>
      </w:pPr>
    </w:p>
    <w:p w14:paraId="7802AB08" w14:textId="77777777" w:rsidR="00907B6A" w:rsidRDefault="00907B6A" w:rsidP="00907B6A">
      <w:pPr>
        <w:pStyle w:val="NoSpacing"/>
        <w:ind w:left="720"/>
        <w:rPr>
          <w:bCs/>
        </w:rPr>
      </w:pPr>
      <w:r>
        <w:t>***</w:t>
      </w:r>
    </w:p>
    <w:p w14:paraId="19683BEF" w14:textId="77777777" w:rsidR="00907B6A" w:rsidRDefault="00907B6A" w:rsidP="00907B6A">
      <w:pPr>
        <w:pStyle w:val="NoSpacing"/>
        <w:ind w:left="720"/>
        <w:rPr>
          <w:bCs/>
        </w:rPr>
      </w:pPr>
    </w:p>
    <w:p w14:paraId="4ECFF433" w14:textId="77777777" w:rsidR="00907B6A" w:rsidRDefault="00907B6A" w:rsidP="00907B6A">
      <w:pPr>
        <w:pStyle w:val="NoSpacing"/>
        <w:ind w:left="720"/>
      </w:pPr>
      <w:r>
        <w:t xml:space="preserve">Utah law provides a rate for ambulance transport that is charged regardless of which HCPCS code is used. The statutory rate is what Gold Cross is entitled to charge. While Cigna claims that the use of certain HCPCS codes caused Cigna to incorrectly evaluate the claim under the respective insured’s policy, this is Cigna’s own </w:t>
      </w:r>
      <w:proofErr w:type="gramStart"/>
      <w:r>
        <w:t>mistake</w:t>
      </w:r>
      <w:proofErr w:type="gramEnd"/>
      <w:r>
        <w:t xml:space="preserve"> and it stems from Cigna’s failure to account for Utah’s statutory framework. Utah’s regulatory</w:t>
      </w:r>
    </w:p>
    <w:p w14:paraId="1AD82118" w14:textId="77777777" w:rsidR="00907B6A" w:rsidRDefault="00907B6A" w:rsidP="00907B6A">
      <w:pPr>
        <w:pStyle w:val="NoSpacing"/>
        <w:ind w:left="720"/>
      </w:pPr>
      <w:r>
        <w:t>framework allows ambulance providers to bill at the level of service dispatched, not the level of service rendered.</w:t>
      </w:r>
    </w:p>
    <w:p w14:paraId="707A6404" w14:textId="77777777" w:rsidR="00907B6A" w:rsidRDefault="00907B6A" w:rsidP="00907B6A">
      <w:pPr>
        <w:pStyle w:val="NoSpacing"/>
        <w:ind w:left="720"/>
      </w:pPr>
    </w:p>
    <w:p w14:paraId="225BE68A" w14:textId="77777777" w:rsidR="00907B6A" w:rsidRDefault="00907B6A" w:rsidP="00907B6A">
      <w:pPr>
        <w:pStyle w:val="NoSpacing"/>
        <w:ind w:left="720"/>
      </w:pPr>
      <w:r>
        <w:t>***</w:t>
      </w:r>
    </w:p>
    <w:p w14:paraId="3AA803FD" w14:textId="77777777" w:rsidR="00907B6A" w:rsidRDefault="00907B6A" w:rsidP="00907B6A">
      <w:pPr>
        <w:pStyle w:val="NoSpacing"/>
      </w:pPr>
    </w:p>
    <w:p w14:paraId="5AADE22A" w14:textId="77777777" w:rsidR="00907B6A" w:rsidRDefault="00907B6A" w:rsidP="00907B6A">
      <w:pPr>
        <w:pStyle w:val="NoSpacing"/>
        <w:ind w:left="720"/>
      </w:pPr>
      <w:r>
        <w:t xml:space="preserve">However, Cigna fails to appreciate that these duties [to pay state’s rates] were alleged to have been breached when Cigna inconsistently assigned different allowed amounts for the exact same HCPCS code and ambulance service. These duties were also allegedly breached when Cigna refused to consider Utah’s statutory framework when evaluating claims. As a result, Cigna has assigned different allowed amounts to identical HCPCS codes that are less than what are customary under Utah law. The parties can explore these duties and the alleged factual allegations in discovery. At the motion to dismiss stage, Gold Cross’ allegations are sufficiently </w:t>
      </w:r>
      <w:proofErr w:type="gramStart"/>
      <w:r>
        <w:t>pled</w:t>
      </w:r>
      <w:proofErr w:type="gramEnd"/>
      <w:r>
        <w:t xml:space="preserve">. The court, therefore, denies Cigna’s motion to dismiss the claim.”  </w:t>
      </w:r>
    </w:p>
    <w:p w14:paraId="5BCA5C9E" w14:textId="77777777" w:rsidR="00907B6A" w:rsidRDefault="00907B6A" w:rsidP="00907B6A">
      <w:pPr>
        <w:pStyle w:val="NoSpacing"/>
        <w:ind w:left="720"/>
      </w:pPr>
    </w:p>
    <w:p w14:paraId="7D5000CC" w14:textId="77777777" w:rsidR="00907B6A" w:rsidRDefault="00907B6A" w:rsidP="00907B6A">
      <w:pPr>
        <w:pStyle w:val="NoSpacing"/>
        <w:rPr>
          <w:b/>
        </w:rPr>
      </w:pPr>
      <w:r>
        <w:rPr>
          <w:b/>
        </w:rPr>
        <w:t xml:space="preserve">Legal lesson learned:  Pre-trial discovery will focus on any evidence of “up charging: by the ambulance company. </w:t>
      </w:r>
    </w:p>
    <w:p w14:paraId="58D36FAB" w14:textId="77777777" w:rsidR="00907B6A" w:rsidRDefault="00907B6A" w:rsidP="00004498">
      <w:pPr>
        <w:rPr>
          <w:rFonts w:ascii="Arial Black" w:hAnsi="Arial Black"/>
          <w:b/>
          <w:bCs/>
          <w:sz w:val="24"/>
          <w:szCs w:val="24"/>
        </w:rPr>
      </w:pPr>
    </w:p>
    <w:p w14:paraId="38E76735" w14:textId="7169D20F" w:rsidR="002C0B2A" w:rsidRDefault="002C0B2A" w:rsidP="00004498">
      <w:pPr>
        <w:rPr>
          <w:rFonts w:ascii="Arial Black" w:hAnsi="Arial Black"/>
          <w:b/>
          <w:bCs/>
          <w:sz w:val="24"/>
          <w:szCs w:val="24"/>
        </w:rPr>
      </w:pPr>
      <w:r>
        <w:rPr>
          <w:rFonts w:ascii="Arial Black" w:hAnsi="Arial Black"/>
          <w:b/>
          <w:bCs/>
          <w:sz w:val="24"/>
          <w:szCs w:val="24"/>
        </w:rPr>
        <w:t xml:space="preserve">13 – </w:t>
      </w:r>
      <w:r w:rsidR="00C16AA1">
        <w:rPr>
          <w:rFonts w:ascii="Arial Black" w:hAnsi="Arial Black"/>
          <w:b/>
          <w:bCs/>
          <w:sz w:val="24"/>
          <w:szCs w:val="24"/>
        </w:rPr>
        <w:t>23</w:t>
      </w:r>
      <w:r w:rsidR="00524647">
        <w:rPr>
          <w:rFonts w:ascii="Arial Black" w:hAnsi="Arial Black"/>
          <w:b/>
          <w:bCs/>
          <w:sz w:val="24"/>
          <w:szCs w:val="24"/>
        </w:rPr>
        <w:t>6</w:t>
      </w:r>
    </w:p>
    <w:p w14:paraId="2E2DE977" w14:textId="0A045C59" w:rsidR="002C0B2A" w:rsidRPr="008743D2" w:rsidRDefault="002C0B2A" w:rsidP="002C0B2A">
      <w:pPr>
        <w:rPr>
          <w:rFonts w:ascii="Arial Black" w:hAnsi="Arial Black"/>
          <w:b/>
          <w:sz w:val="28"/>
          <w:szCs w:val="28"/>
        </w:rPr>
      </w:pPr>
      <w:r>
        <w:rPr>
          <w:rFonts w:ascii="Arial Black" w:hAnsi="Arial Black"/>
          <w:b/>
          <w:sz w:val="28"/>
          <w:szCs w:val="28"/>
        </w:rPr>
        <w:t xml:space="preserve">MI: </w:t>
      </w:r>
      <w:r w:rsidR="002720DE">
        <w:rPr>
          <w:rFonts w:ascii="Arial Black" w:hAnsi="Arial Black"/>
          <w:b/>
          <w:sz w:val="28"/>
          <w:szCs w:val="28"/>
        </w:rPr>
        <w:t>DEFENDANT</w:t>
      </w:r>
      <w:r>
        <w:rPr>
          <w:rFonts w:ascii="Arial Black" w:hAnsi="Arial Black"/>
          <w:b/>
          <w:sz w:val="28"/>
          <w:szCs w:val="28"/>
        </w:rPr>
        <w:t xml:space="preserve"> IMPERSONATED EMT / FOOTBALL – CHILD PORN</w:t>
      </w:r>
    </w:p>
    <w:p w14:paraId="32625292" w14:textId="77777777" w:rsidR="002C0B2A" w:rsidRDefault="002C0B2A" w:rsidP="002C0B2A">
      <w:r>
        <w:t xml:space="preserve">On December 10, 2025, in </w:t>
      </w:r>
      <w:r w:rsidRPr="00A17D21">
        <w:rPr>
          <w:u w:val="single"/>
        </w:rPr>
        <w:t>United States of America v. Scott A. Lantzy</w:t>
      </w:r>
      <w:r>
        <w:t xml:space="preserve">, U.S. District Court Judge </w:t>
      </w:r>
      <w:r w:rsidRPr="00E8243B">
        <w:t>Thomas L. Ludington</w:t>
      </w:r>
      <w:r>
        <w:t xml:space="preserve">, </w:t>
      </w:r>
      <w:r w:rsidRPr="00DB542E">
        <w:t>United States District Court, E.D. Michigan, Northern Division</w:t>
      </w:r>
      <w:r>
        <w:t xml:space="preserve">. Denied new trial for the convicted child pornographer.  </w:t>
      </w:r>
      <w:r w:rsidRPr="002925B6">
        <w:t>On October 26, 2021, a jury convicted Defendant on all five counts</w:t>
      </w:r>
      <w:r>
        <w:t xml:space="preserve">, and he </w:t>
      </w:r>
      <w:r w:rsidRPr="002925B6">
        <w:t>was sentenced to 235 months of imprisonment, followed by a lifetime term</w:t>
      </w:r>
      <w:r>
        <w:t xml:space="preserve"> </w:t>
      </w:r>
      <w:r w:rsidRPr="002925B6">
        <w:t xml:space="preserve">of supervised release. </w:t>
      </w:r>
      <w:r>
        <w:t xml:space="preserve">On </w:t>
      </w:r>
      <w:r w:rsidRPr="002925B6">
        <w:t>October 4, 2023, the United States Court of Appeals for the Sixth Circuit affirmed his</w:t>
      </w:r>
      <w:r>
        <w:t xml:space="preserve"> </w:t>
      </w:r>
      <w:r w:rsidRPr="002925B6">
        <w:t xml:space="preserve">conviction. </w:t>
      </w:r>
      <w:r>
        <w:t xml:space="preserve">Two years after his </w:t>
      </w:r>
      <w:proofErr w:type="gramStart"/>
      <w:r>
        <w:t>trial, that</w:t>
      </w:r>
      <w:proofErr w:type="gramEnd"/>
      <w:r>
        <w:t xml:space="preserve"> he had ineffective defense attorney. </w:t>
      </w:r>
      <w:hyperlink r:id="rId2108" w:history="1">
        <w:r w:rsidRPr="00AE4181">
          <w:rPr>
            <w:rStyle w:val="Hyperlink"/>
          </w:rPr>
          <w:t>https://www.govinfo.gov/content/pkg/USCOURTS-mied-1_19-cr-20167/pdf/USCOURTS-mied-1_19-cr-20167-2.pdf</w:t>
        </w:r>
      </w:hyperlink>
      <w:r>
        <w:t xml:space="preserve"> </w:t>
      </w:r>
    </w:p>
    <w:p w14:paraId="01068ACD" w14:textId="77777777" w:rsidR="002C0B2A" w:rsidRDefault="002C0B2A" w:rsidP="002C0B2A">
      <w:r>
        <w:t>THE COURT HELD:</w:t>
      </w:r>
    </w:p>
    <w:p w14:paraId="73079331" w14:textId="77777777" w:rsidR="002C0B2A" w:rsidRPr="00096EC3" w:rsidRDefault="002C0B2A" w:rsidP="002C0B2A">
      <w:pPr>
        <w:pStyle w:val="NoSpacing"/>
        <w:ind w:firstLine="720"/>
      </w:pPr>
      <w:r>
        <w:t>“</w:t>
      </w:r>
      <w:r w:rsidRPr="00096EC3">
        <w:t>In 2018, Defendant Scott A. Lantzy impersonated an Emergency Medical Technician</w:t>
      </w:r>
    </w:p>
    <w:p w14:paraId="04A6ABE7" w14:textId="77777777" w:rsidR="002C0B2A" w:rsidRDefault="002C0B2A" w:rsidP="002C0B2A">
      <w:pPr>
        <w:pStyle w:val="NoSpacing"/>
        <w:ind w:left="720"/>
      </w:pPr>
      <w:r w:rsidRPr="00096EC3">
        <w:t>(EMT) at a high school football game</w:t>
      </w:r>
      <w:r>
        <w:t xml:space="preserve">…. </w:t>
      </w:r>
      <w:r w:rsidRPr="00096EC3">
        <w:t>In so doing, Defendant pretended to assist a player who had broken</w:t>
      </w:r>
      <w:r>
        <w:t xml:space="preserve"> </w:t>
      </w:r>
      <w:r w:rsidRPr="00096EC3">
        <w:t>his leg during that game and then followed him to the hospital</w:t>
      </w:r>
      <w:r>
        <w:t xml:space="preserve">…. </w:t>
      </w:r>
      <w:r w:rsidRPr="00096EC3">
        <w:t xml:space="preserve">  Once at the hospital, Defendant</w:t>
      </w:r>
      <w:r>
        <w:t xml:space="preserve"> ‘</w:t>
      </w:r>
      <w:r w:rsidRPr="00096EC3">
        <w:t>remained in the player’s</w:t>
      </w:r>
      <w:r>
        <w:t>’</w:t>
      </w:r>
      <w:r w:rsidRPr="00096EC3">
        <w:t xml:space="preserve"> room </w:t>
      </w:r>
      <w:r>
        <w:t>‘</w:t>
      </w:r>
      <w:r w:rsidRPr="00096EC3">
        <w:t>for over two hours before he was identified as an imposter.</w:t>
      </w:r>
      <w:r>
        <w:t>’</w:t>
      </w:r>
    </w:p>
    <w:p w14:paraId="091D678E" w14:textId="77777777" w:rsidR="002C0B2A" w:rsidRDefault="002C0B2A" w:rsidP="002C0B2A">
      <w:pPr>
        <w:pStyle w:val="NoSpacing"/>
        <w:ind w:left="720"/>
      </w:pPr>
    </w:p>
    <w:p w14:paraId="481A73A0" w14:textId="77777777" w:rsidR="002C0B2A" w:rsidRDefault="002C0B2A" w:rsidP="002C0B2A">
      <w:pPr>
        <w:pStyle w:val="NoSpacing"/>
        <w:ind w:left="720"/>
      </w:pPr>
      <w:r>
        <w:t>***</w:t>
      </w:r>
    </w:p>
    <w:p w14:paraId="39D28E14" w14:textId="77777777" w:rsidR="002C0B2A" w:rsidRPr="004C1AF9" w:rsidRDefault="002C0B2A" w:rsidP="002C0B2A">
      <w:pPr>
        <w:pStyle w:val="NoSpacing"/>
        <w:ind w:firstLine="720"/>
      </w:pPr>
      <w:r w:rsidRPr="004C1AF9">
        <w:t>As a part of the investigation into the EMT incident, law enforcement learned that before</w:t>
      </w:r>
    </w:p>
    <w:p w14:paraId="5DA15DA5" w14:textId="77777777" w:rsidR="002C0B2A" w:rsidRDefault="002C0B2A" w:rsidP="002C0B2A">
      <w:pPr>
        <w:pStyle w:val="NoSpacing"/>
        <w:ind w:left="720"/>
      </w:pPr>
      <w:r w:rsidRPr="004C1AF9">
        <w:t xml:space="preserve">that, Defendant had </w:t>
      </w:r>
      <w:r>
        <w:t>‘</w:t>
      </w:r>
      <w:r w:rsidRPr="004C1AF9">
        <w:t>developed a close relationship with another student.</w:t>
      </w:r>
      <w:r>
        <w:t xml:space="preserve">’ … </w:t>
      </w:r>
      <w:r w:rsidRPr="004C1AF9">
        <w:t>Defendant gave the</w:t>
      </w:r>
      <w:r>
        <w:t xml:space="preserve"> </w:t>
      </w:r>
      <w:r w:rsidRPr="004C1AF9">
        <w:t xml:space="preserve">student gifts and </w:t>
      </w:r>
      <w:r>
        <w:t>‘</w:t>
      </w:r>
      <w:r w:rsidRPr="004C1AF9">
        <w:t>asked the student and his friend to house sit for several days.</w:t>
      </w:r>
      <w:r>
        <w:t>’…</w:t>
      </w:r>
      <w:r w:rsidRPr="004C1AF9">
        <w:t>When the</w:t>
      </w:r>
      <w:r>
        <w:t xml:space="preserve"> </w:t>
      </w:r>
      <w:r w:rsidRPr="004C1AF9">
        <w:t>student agreed, Defendant gave him a camera and directed him to take pictures of what he and his</w:t>
      </w:r>
      <w:r>
        <w:t xml:space="preserve"> </w:t>
      </w:r>
      <w:r w:rsidRPr="004C1AF9">
        <w:t>friend did while housesitting</w:t>
      </w:r>
      <w:r>
        <w:t xml:space="preserve">…. </w:t>
      </w:r>
      <w:r w:rsidRPr="004C1AF9">
        <w:t>Defendant then texted the student daily to see if he had taken</w:t>
      </w:r>
      <w:r>
        <w:t xml:space="preserve"> </w:t>
      </w:r>
      <w:r w:rsidRPr="004C1AF9">
        <w:t xml:space="preserve">pictures and responded to one picture that it was </w:t>
      </w:r>
      <w:r>
        <w:t>‘</w:t>
      </w:r>
      <w:r w:rsidRPr="004C1AF9">
        <w:t>nice to see that</w:t>
      </w:r>
      <w:r>
        <w:t>’</w:t>
      </w:r>
      <w:r w:rsidRPr="004C1AF9">
        <w:t xml:space="preserve"> the student and his friend were</w:t>
      </w:r>
      <w:r>
        <w:t xml:space="preserve"> </w:t>
      </w:r>
      <w:r w:rsidRPr="00560EE7">
        <w:t>clothed</w:t>
      </w:r>
      <w:r>
        <w:t xml:space="preserve">…. </w:t>
      </w:r>
      <w:r w:rsidRPr="00560EE7">
        <w:t xml:space="preserve">In addition to that line of text messages, Defendant discussed </w:t>
      </w:r>
      <w:r>
        <w:t>‘</w:t>
      </w:r>
      <w:r w:rsidRPr="00560EE7">
        <w:t>sex</w:t>
      </w:r>
      <w:r>
        <w:t xml:space="preserve"> </w:t>
      </w:r>
      <w:r w:rsidRPr="00560EE7">
        <w:t>with the student.</w:t>
      </w:r>
      <w:r>
        <w:t>’</w:t>
      </w:r>
    </w:p>
    <w:p w14:paraId="12926E9E" w14:textId="77777777" w:rsidR="002C0B2A" w:rsidRDefault="002C0B2A" w:rsidP="002C0B2A">
      <w:pPr>
        <w:pStyle w:val="NoSpacing"/>
        <w:ind w:left="720"/>
      </w:pPr>
    </w:p>
    <w:p w14:paraId="16AA578D" w14:textId="77777777" w:rsidR="002C0B2A" w:rsidRDefault="002C0B2A" w:rsidP="002C0B2A">
      <w:pPr>
        <w:pStyle w:val="NoSpacing"/>
        <w:ind w:left="720"/>
      </w:pPr>
      <w:r>
        <w:t>***</w:t>
      </w:r>
    </w:p>
    <w:p w14:paraId="1FED7FE3" w14:textId="77777777" w:rsidR="002C0B2A" w:rsidRDefault="002C0B2A" w:rsidP="002C0B2A">
      <w:pPr>
        <w:pStyle w:val="NoSpacing"/>
        <w:ind w:left="720"/>
      </w:pPr>
      <w:r>
        <w:t xml:space="preserve">In sum, Defendant’s Motion is time-barred. Defendant moved for a new trial over two years after his 14-day deadline under Criminal Rule 33. And he does not </w:t>
      </w:r>
      <w:proofErr w:type="gramStart"/>
      <w:r>
        <w:t>argue—nor could he—</w:t>
      </w:r>
      <w:proofErr w:type="gramEnd"/>
      <w:r>
        <w:t xml:space="preserve">that this inordinate delay was the product of excusable neglect. As a result, Defendant’s Motion for a New Trial, ECF No. 125, will be </w:t>
      </w:r>
      <w:proofErr w:type="gramStart"/>
      <w:r>
        <w:t>denied.”</w:t>
      </w:r>
      <w:proofErr w:type="gramEnd"/>
    </w:p>
    <w:p w14:paraId="754FDBC3" w14:textId="77777777" w:rsidR="002C0B2A" w:rsidRDefault="002C0B2A" w:rsidP="002C0B2A">
      <w:pPr>
        <w:pStyle w:val="NoSpacing"/>
        <w:ind w:left="720"/>
      </w:pPr>
    </w:p>
    <w:p w14:paraId="13AEBFCE" w14:textId="77777777" w:rsidR="002C0B2A" w:rsidRPr="002B074F" w:rsidRDefault="002C0B2A" w:rsidP="002C0B2A">
      <w:pPr>
        <w:pStyle w:val="NoSpacing"/>
        <w:rPr>
          <w:b/>
          <w:bCs/>
        </w:rPr>
      </w:pPr>
      <w:r>
        <w:rPr>
          <w:b/>
        </w:rPr>
        <w:t>Legal lesson learned:  C</w:t>
      </w:r>
      <w:r w:rsidRPr="00EA74B9">
        <w:rPr>
          <w:b/>
        </w:rPr>
        <w:t>hild pornography</w:t>
      </w:r>
      <w:r>
        <w:rPr>
          <w:b/>
        </w:rPr>
        <w:t xml:space="preserve"> is a terrible offense; impersonating an EMT in pursuit of children is particularly offense. </w:t>
      </w:r>
    </w:p>
    <w:p w14:paraId="3200EDF8" w14:textId="77777777" w:rsidR="002C0B2A" w:rsidRDefault="002C0B2A" w:rsidP="002C0B2A">
      <w:pPr>
        <w:rPr>
          <w:b/>
        </w:rPr>
      </w:pPr>
    </w:p>
    <w:p w14:paraId="330B028C" w14:textId="07A80247" w:rsidR="002C0B2A" w:rsidRDefault="00182433" w:rsidP="00004498">
      <w:pPr>
        <w:rPr>
          <w:rFonts w:ascii="Arial Black" w:hAnsi="Arial Black"/>
          <w:b/>
          <w:bCs/>
          <w:sz w:val="24"/>
          <w:szCs w:val="24"/>
        </w:rPr>
      </w:pPr>
      <w:r>
        <w:rPr>
          <w:rFonts w:ascii="Arial Black" w:hAnsi="Arial Black"/>
          <w:b/>
          <w:bCs/>
          <w:sz w:val="24"/>
          <w:szCs w:val="24"/>
        </w:rPr>
        <w:t>13-</w:t>
      </w:r>
      <w:r w:rsidR="00C16AA1">
        <w:rPr>
          <w:rFonts w:ascii="Arial Black" w:hAnsi="Arial Black"/>
          <w:b/>
          <w:bCs/>
          <w:sz w:val="24"/>
          <w:szCs w:val="24"/>
        </w:rPr>
        <w:t>23</w:t>
      </w:r>
      <w:r w:rsidR="00524647">
        <w:rPr>
          <w:rFonts w:ascii="Arial Black" w:hAnsi="Arial Black"/>
          <w:b/>
          <w:bCs/>
          <w:sz w:val="24"/>
          <w:szCs w:val="24"/>
        </w:rPr>
        <w:t>5</w:t>
      </w:r>
    </w:p>
    <w:p w14:paraId="79D99B97" w14:textId="60410BC3" w:rsidR="009F725F" w:rsidRDefault="009F725F" w:rsidP="009F725F">
      <w:pPr>
        <w:rPr>
          <w:rFonts w:ascii="Arial Black" w:hAnsi="Arial Black"/>
          <w:bCs/>
          <w:sz w:val="28"/>
          <w:szCs w:val="28"/>
        </w:rPr>
      </w:pPr>
      <w:r>
        <w:rPr>
          <w:rFonts w:ascii="Arial Black" w:hAnsi="Arial Black"/>
          <w:sz w:val="28"/>
          <w:szCs w:val="28"/>
        </w:rPr>
        <w:t>GA: AGITATED PT – VERSED / PRONE / DIED – QUAL IMMUN</w:t>
      </w:r>
      <w:r w:rsidR="002F4ACE">
        <w:rPr>
          <w:rFonts w:ascii="Arial Black" w:hAnsi="Arial Black"/>
          <w:sz w:val="28"/>
          <w:szCs w:val="28"/>
        </w:rPr>
        <w:t>ITY</w:t>
      </w:r>
    </w:p>
    <w:p w14:paraId="2C32F48E" w14:textId="77777777" w:rsidR="009F725F" w:rsidRPr="003D3384" w:rsidRDefault="009F725F" w:rsidP="009F725F">
      <w:pPr>
        <w:pStyle w:val="NoSpacing"/>
        <w:rPr>
          <w:bCs/>
        </w:rPr>
      </w:pPr>
      <w:r>
        <w:t xml:space="preserve">On December 1, 2025, in </w:t>
      </w:r>
      <w:r w:rsidRPr="004F2FE9">
        <w:rPr>
          <w:u w:val="single"/>
        </w:rPr>
        <w:t>Yvonne M. West, individually and as administrator of the estate of Jamon West v. Dekalb County, Georgia, et al</w:t>
      </w:r>
      <w:r>
        <w:t>., the U.S. Court of Appeals for 11</w:t>
      </w:r>
      <w:r w:rsidRPr="00567FD4">
        <w:rPr>
          <w:vertAlign w:val="superscript"/>
        </w:rPr>
        <w:t>th</w:t>
      </w:r>
      <w:r>
        <w:t xml:space="preserve"> Circuit (Atlanta) held (3 to 0; unpublished opinion) that the trial court judge properly dismissed the lawsuit; no deliberate indifference to the needs of the patient and therefore firefighters have qualified immunity. While the fire department’s policy manual warns that </w:t>
      </w:r>
      <w:r w:rsidRPr="000F2663">
        <w:t>patients with excited delirium “should never be oriented in a prone</w:t>
      </w:r>
      <w:r>
        <w:t xml:space="preserve"> </w:t>
      </w:r>
      <w:r w:rsidRPr="000F2663">
        <w:t xml:space="preserve">position” and should only be restrained with “soft medical restraints” </w:t>
      </w:r>
      <w:r>
        <w:t xml:space="preserve">there was no proof that EMS violated  </w:t>
      </w:r>
      <w:r w:rsidRPr="003D3384">
        <w:t>any clearly established law regarding deliberate indifference to</w:t>
      </w:r>
      <w:r>
        <w:t xml:space="preserve"> </w:t>
      </w:r>
      <w:r w:rsidRPr="003D3384">
        <w:t>medical need</w:t>
      </w:r>
      <w:r>
        <w:t xml:space="preserve">. On August 16, 2019, the patient was at his mother’s home, she called 911 when he </w:t>
      </w:r>
      <w:r w:rsidRPr="000F055C">
        <w:t>suffered “an episode of behavioral crisis,”</w:t>
      </w:r>
      <w:r>
        <w:t xml:space="preserve"> </w:t>
      </w:r>
      <w:r w:rsidRPr="000F055C">
        <w:t>known as “excited delirium</w:t>
      </w:r>
      <w:r>
        <w:t>.</w:t>
      </w:r>
      <w:r w:rsidRPr="000F055C">
        <w:t>”</w:t>
      </w:r>
      <w:r>
        <w:t xml:space="preserve">  Firefighters held him prone in grass, administered Haldol and Versed, and when quieted down, police removed the handcuffs and soft restraints were used.  When moving him to ambulance, he went into cardia arrest, then a coma and died few days later.  </w:t>
      </w:r>
    </w:p>
    <w:p w14:paraId="39DCB970" w14:textId="77777777" w:rsidR="009F725F" w:rsidRDefault="009F725F" w:rsidP="009F725F">
      <w:pPr>
        <w:pStyle w:val="NoSpacing"/>
        <w:rPr>
          <w:bCs/>
        </w:rPr>
      </w:pPr>
      <w:hyperlink r:id="rId2109" w:history="1">
        <w:r w:rsidRPr="00E22D14">
          <w:rPr>
            <w:rStyle w:val="Hyperlink"/>
          </w:rPr>
          <w:t>https://media.ca11.uscourts.gov/opinions/unpub/files/202413197.pdf</w:t>
        </w:r>
      </w:hyperlink>
      <w:r>
        <w:t xml:space="preserve"> </w:t>
      </w:r>
    </w:p>
    <w:p w14:paraId="63C2CCF6" w14:textId="77777777" w:rsidR="009F725F" w:rsidRDefault="009F725F" w:rsidP="009F725F">
      <w:pPr>
        <w:pStyle w:val="NoSpacing"/>
        <w:rPr>
          <w:bCs/>
        </w:rPr>
      </w:pPr>
    </w:p>
    <w:p w14:paraId="433DD9F3" w14:textId="77777777" w:rsidR="009F725F" w:rsidRDefault="009F725F" w:rsidP="009F725F">
      <w:pPr>
        <w:rPr>
          <w:bCs/>
        </w:rPr>
      </w:pPr>
      <w:r>
        <w:t>THE COURT HELD:</w:t>
      </w:r>
    </w:p>
    <w:p w14:paraId="36DF1E4A" w14:textId="77777777" w:rsidR="009F725F" w:rsidRDefault="009F725F" w:rsidP="009F725F">
      <w:pPr>
        <w:pStyle w:val="NoSpacing"/>
        <w:ind w:left="720"/>
      </w:pPr>
      <w:r>
        <w:t>“When Firefighters Winkler and Lakatos initially responded to the call, West appeared ‘highly agitated, hyperactive, confused, and not in control of his behavior.’ Firefighters Winkler and Lakatos restrained West ‘in a prone position, face down on the ground’ with the help of fire department Captain Ditmore and Firefighters Kelly, Van Wie, and Fleming, who arrived shortly after Winkler and Lakatos had started  restraining West. ‘[F]</w:t>
      </w:r>
      <w:proofErr w:type="spellStart"/>
      <w:r>
        <w:t>our</w:t>
      </w:r>
      <w:proofErr w:type="spellEnd"/>
      <w:r>
        <w:t xml:space="preserve"> or five firefighters appl[</w:t>
      </w:r>
      <w:proofErr w:type="spellStart"/>
      <w:r>
        <w:t>ied</w:t>
      </w:r>
      <w:proofErr w:type="spellEnd"/>
      <w:proofErr w:type="gramStart"/>
      <w:r>
        <w:t>] force</w:t>
      </w:r>
      <w:proofErr w:type="gramEnd"/>
      <w:r>
        <w:t xml:space="preserve"> to all four [of West’s] extremities and to his back.’ West’s mother cried for the firefighters to stop because her son couldn’t breathe with his face pressed </w:t>
      </w:r>
      <w:proofErr w:type="gramStart"/>
      <w:r>
        <w:t>in</w:t>
      </w:r>
      <w:proofErr w:type="gramEnd"/>
      <w:r>
        <w:t xml:space="preserve"> the grass. One of the firefighters told West’s mother ‘that she would be arrested if she did not back away.’ Captain Ditmore then ‘took command of the scene,’ directing Firefighter Payne to inject West with a ‘chemical restraint.’ Firefighter Payne gave West the maximum dosage permitted by county policy of two sedatives, Haldol and Versed. </w:t>
      </w:r>
    </w:p>
    <w:p w14:paraId="2899BCA6" w14:textId="77777777" w:rsidR="009F725F" w:rsidRDefault="009F725F" w:rsidP="009F725F">
      <w:pPr>
        <w:pStyle w:val="NoSpacing"/>
        <w:ind w:left="720"/>
      </w:pPr>
    </w:p>
    <w:p w14:paraId="2CE6F5E3" w14:textId="77777777" w:rsidR="009F725F" w:rsidRDefault="009F725F" w:rsidP="009F725F">
      <w:pPr>
        <w:pStyle w:val="NoSpacing"/>
        <w:ind w:left="720"/>
      </w:pPr>
      <w:r>
        <w:t>***</w:t>
      </w:r>
    </w:p>
    <w:p w14:paraId="3373C72E" w14:textId="77777777" w:rsidR="009F725F" w:rsidRDefault="009F725F" w:rsidP="009F725F">
      <w:pPr>
        <w:pStyle w:val="NoSpacing"/>
        <w:ind w:left="720"/>
      </w:pPr>
      <w:r w:rsidRPr="00560F9E">
        <w:t>After the firefighters had given West the sedatives, county</w:t>
      </w:r>
      <w:r>
        <w:t xml:space="preserve"> </w:t>
      </w:r>
      <w:r w:rsidRPr="00560F9E">
        <w:t>police officers arrived. Captain Ditmore asked the police to handcuff West. Police Officers Lattimore and Williams handcuffed</w:t>
      </w:r>
      <w:r>
        <w:t xml:space="preserve"> </w:t>
      </w:r>
      <w:r w:rsidRPr="00560F9E">
        <w:t>West’s hands behind his back with Captain Ditmore’s assistance.</w:t>
      </w:r>
      <w:r>
        <w:t xml:space="preserve"> </w:t>
      </w:r>
      <w:r w:rsidRPr="00560F9E">
        <w:t xml:space="preserve">Captain Ditmore walked away to make a status report </w:t>
      </w:r>
      <w:proofErr w:type="gramStart"/>
      <w:r w:rsidRPr="00560F9E">
        <w:t>by radio</w:t>
      </w:r>
      <w:proofErr w:type="gramEnd"/>
      <w:r w:rsidRPr="00560F9E">
        <w:t>.</w:t>
      </w:r>
      <w:r>
        <w:t xml:space="preserve"> </w:t>
      </w:r>
      <w:r w:rsidRPr="00560F9E">
        <w:t xml:space="preserve">The officers left West </w:t>
      </w:r>
      <w:r>
        <w:t>‘</w:t>
      </w:r>
      <w:r w:rsidRPr="00560F9E">
        <w:t>in a prone position with his hands cuffed</w:t>
      </w:r>
      <w:r>
        <w:t xml:space="preserve"> </w:t>
      </w:r>
      <w:r w:rsidRPr="00560F9E">
        <w:t>behind his back,</w:t>
      </w:r>
      <w:r>
        <w:t>’</w:t>
      </w:r>
      <w:r w:rsidRPr="00560F9E">
        <w:t xml:space="preserve"> and West continued to be restrained </w:t>
      </w:r>
      <w:r>
        <w:t>‘</w:t>
      </w:r>
      <w:r w:rsidRPr="00560F9E">
        <w:t>in this manner long enough for the sedatives to take effect.</w:t>
      </w:r>
      <w:r>
        <w:t>’</w:t>
      </w:r>
      <w:r w:rsidRPr="00560F9E">
        <w:t xml:space="preserve"> After Captain</w:t>
      </w:r>
      <w:r>
        <w:t xml:space="preserve"> Ditmore finished his call and ‘observed that . . . West was calm,’ he ‘ordered the handcuffs removed and replaced with soft restraints.’ As the defendants began to transport West across his mother’s </w:t>
      </w:r>
      <w:proofErr w:type="gramStart"/>
      <w:r>
        <w:t>yard, ‘</w:t>
      </w:r>
      <w:proofErr w:type="gramEnd"/>
      <w:r>
        <w:t>his respiratory rate dropped and he went into cardiac arrest.’  West was transported to the hospital, fell into a coma, and died a few days later. After performing an autopsy, the county medical examiner concluded that West had ‘died of ‘[d]</w:t>
      </w:r>
      <w:proofErr w:type="spellStart"/>
      <w:r>
        <w:t>elayed</w:t>
      </w:r>
      <w:proofErr w:type="spellEnd"/>
      <w:r>
        <w:t xml:space="preserve"> complications of cardiorespiratory arrest due [to] probable excited delirium and physical restraint,’ describing West’s death as a homicide.</w:t>
      </w:r>
    </w:p>
    <w:p w14:paraId="7BACEEA6" w14:textId="77777777" w:rsidR="009F725F" w:rsidRDefault="009F725F" w:rsidP="009F725F">
      <w:pPr>
        <w:pStyle w:val="NoSpacing"/>
        <w:ind w:left="720"/>
      </w:pPr>
    </w:p>
    <w:p w14:paraId="344C4653" w14:textId="77777777" w:rsidR="009F725F" w:rsidRDefault="009F725F" w:rsidP="009F725F">
      <w:pPr>
        <w:pStyle w:val="NoSpacing"/>
        <w:ind w:left="720"/>
      </w:pPr>
      <w:r>
        <w:t>***</w:t>
      </w:r>
    </w:p>
    <w:p w14:paraId="6D32A6E8" w14:textId="77777777" w:rsidR="009F725F" w:rsidRDefault="009F725F" w:rsidP="009F725F">
      <w:pPr>
        <w:pStyle w:val="NoSpacing"/>
      </w:pPr>
    </w:p>
    <w:p w14:paraId="4B39FA6E" w14:textId="77777777" w:rsidR="009F725F" w:rsidRDefault="009F725F" w:rsidP="009F725F">
      <w:pPr>
        <w:pStyle w:val="NoSpacing"/>
        <w:ind w:left="720"/>
        <w:rPr>
          <w:bCs/>
        </w:rPr>
      </w:pPr>
      <w:r w:rsidRPr="000F2663">
        <w:t>DeKalb County officials</w:t>
      </w:r>
      <w:r>
        <w:t xml:space="preserve"> </w:t>
      </w:r>
      <w:r w:rsidRPr="000F2663">
        <w:t>conducted an internal investigation and determined that the first</w:t>
      </w:r>
      <w:r>
        <w:t xml:space="preserve"> </w:t>
      </w:r>
      <w:r w:rsidRPr="000F2663">
        <w:t>responders involved in West’s death had complied with county policy</w:t>
      </w:r>
      <w:r>
        <w:t>.</w:t>
      </w:r>
    </w:p>
    <w:p w14:paraId="0A493A63" w14:textId="77777777" w:rsidR="009F725F" w:rsidRDefault="009F725F" w:rsidP="009F725F">
      <w:pPr>
        <w:pStyle w:val="NoSpacing"/>
        <w:ind w:left="720"/>
        <w:rPr>
          <w:bCs/>
        </w:rPr>
      </w:pPr>
    </w:p>
    <w:p w14:paraId="36519513" w14:textId="77777777" w:rsidR="009F725F" w:rsidRDefault="009F725F" w:rsidP="009F725F">
      <w:pPr>
        <w:pStyle w:val="NoSpacing"/>
        <w:ind w:left="720"/>
        <w:rPr>
          <w:bCs/>
        </w:rPr>
      </w:pPr>
      <w:r>
        <w:t>***</w:t>
      </w:r>
    </w:p>
    <w:p w14:paraId="72D0BAB6" w14:textId="77777777" w:rsidR="009F725F" w:rsidRDefault="009F725F" w:rsidP="009F725F">
      <w:pPr>
        <w:pStyle w:val="NoSpacing"/>
        <w:ind w:left="720"/>
      </w:pPr>
      <w:r>
        <w:t xml:space="preserve">Turning to the specific practices at issue here, Ms. West does not actually allege that the use of prone restraints or behind-the-back handcuffing on individuals with excited delirium was ‘so obvious” that liability attaches for a single incident. See Weiland v. Palm Beach </w:t>
      </w:r>
      <w:proofErr w:type="spellStart"/>
      <w:r>
        <w:t>Cnty</w:t>
      </w:r>
      <w:proofErr w:type="spellEnd"/>
      <w:r>
        <w:t>. Sheriff’s Off., 792 F.3d 1313, 1329 (11th Cir. 2015) (rejecting failure-to-train claim where the complaint ‘d[id] not allege that the need for specialized training in the constitutional restrictions on the use of force when dealing with mentally ill citizens [</w:t>
      </w:r>
      <w:proofErr w:type="spellStart"/>
      <w:r>
        <w:t>wa</w:t>
      </w:r>
      <w:proofErr w:type="spellEnd"/>
      <w:r>
        <w:t xml:space="preserve">]s ‘so obvious’ that the failure to provide such training amounts to deliberate indifference’). And even if she did, training in the proper use of restraints on individuals with excited delirium ‘falls far short of the kind of ‘obvious’ need for training that would support </w:t>
      </w:r>
      <w:proofErr w:type="gramStart"/>
      <w:r>
        <w:t>a finding</w:t>
      </w:r>
      <w:proofErr w:type="gramEnd"/>
      <w:r>
        <w:t xml:space="preserve"> of deliberate indifference to constitutional rights on the part of the [county].’ Canton, 489 U.S. at 396–97 (O’Connor, J., concurring in part and dissenting in part) (finding no obvious need to train police in diagnosing mental illness)….</w:t>
      </w:r>
    </w:p>
    <w:p w14:paraId="4C97DCE4" w14:textId="77777777" w:rsidR="009F725F" w:rsidRDefault="009F725F" w:rsidP="009F725F">
      <w:pPr>
        <w:pStyle w:val="NoSpacing"/>
        <w:ind w:left="720"/>
      </w:pPr>
    </w:p>
    <w:p w14:paraId="7901EB92" w14:textId="77777777" w:rsidR="009F725F" w:rsidRDefault="009F725F" w:rsidP="009F725F">
      <w:pPr>
        <w:pStyle w:val="NoSpacing"/>
        <w:ind w:left="720"/>
      </w:pPr>
      <w:r>
        <w:t>***</w:t>
      </w:r>
    </w:p>
    <w:p w14:paraId="59B72A96" w14:textId="77777777" w:rsidR="009F725F" w:rsidRDefault="009F725F" w:rsidP="009F725F">
      <w:pPr>
        <w:pStyle w:val="NoSpacing"/>
        <w:ind w:left="720"/>
      </w:pPr>
      <w:r>
        <w:t xml:space="preserve">Because Captain Ditmore and Firefighter Payne did not violate any clearly established law regarding deliberate indifference to medical need, Ms. West cannot overcome their qualified immunity at the dismissal </w:t>
      </w:r>
      <w:proofErr w:type="gramStart"/>
      <w:r>
        <w:t>stage.”</w:t>
      </w:r>
      <w:proofErr w:type="gramEnd"/>
    </w:p>
    <w:p w14:paraId="62E9A1B8" w14:textId="77777777" w:rsidR="009F725F" w:rsidRDefault="009F725F" w:rsidP="009F725F">
      <w:pPr>
        <w:pStyle w:val="NoSpacing"/>
        <w:ind w:left="720"/>
      </w:pPr>
    </w:p>
    <w:p w14:paraId="37EDF8E5" w14:textId="77777777" w:rsidR="009F725F" w:rsidRPr="00F03ED4" w:rsidRDefault="009F725F" w:rsidP="009F725F">
      <w:pPr>
        <w:pStyle w:val="NoSpacing"/>
        <w:rPr>
          <w:b/>
          <w:bCs/>
        </w:rPr>
      </w:pPr>
      <w:r>
        <w:rPr>
          <w:b/>
        </w:rPr>
        <w:t>Legal lesson learned</w:t>
      </w:r>
      <w:r w:rsidRPr="00F03ED4">
        <w:rPr>
          <w:b/>
        </w:rPr>
        <w:t>:  Review your EMS protocols concerning holding combative patient in prone position after administering Haldol and Versed</w:t>
      </w:r>
    </w:p>
    <w:p w14:paraId="3F7235FE" w14:textId="77777777" w:rsidR="009F725F" w:rsidRPr="00F03ED4" w:rsidRDefault="009F725F" w:rsidP="009F725F">
      <w:pPr>
        <w:rPr>
          <w:b/>
          <w:bCs/>
        </w:rPr>
      </w:pPr>
    </w:p>
    <w:p w14:paraId="1BD7EE0F" w14:textId="1AA527A7" w:rsidR="00182433" w:rsidRDefault="009F725F" w:rsidP="00004498">
      <w:pPr>
        <w:rPr>
          <w:rFonts w:ascii="Arial Black" w:hAnsi="Arial Black"/>
          <w:b/>
          <w:bCs/>
          <w:sz w:val="24"/>
          <w:szCs w:val="24"/>
        </w:rPr>
      </w:pPr>
      <w:r>
        <w:rPr>
          <w:rFonts w:ascii="Arial Black" w:hAnsi="Arial Black"/>
          <w:b/>
          <w:bCs/>
          <w:sz w:val="24"/>
          <w:szCs w:val="24"/>
        </w:rPr>
        <w:t>13-</w:t>
      </w:r>
      <w:r w:rsidR="00C16AA1">
        <w:rPr>
          <w:rFonts w:ascii="Arial Black" w:hAnsi="Arial Black"/>
          <w:b/>
          <w:bCs/>
          <w:sz w:val="24"/>
          <w:szCs w:val="24"/>
        </w:rPr>
        <w:t>23</w:t>
      </w:r>
      <w:r w:rsidR="00524647">
        <w:rPr>
          <w:rFonts w:ascii="Arial Black" w:hAnsi="Arial Black"/>
          <w:b/>
          <w:bCs/>
          <w:sz w:val="24"/>
          <w:szCs w:val="24"/>
        </w:rPr>
        <w:t>4</w:t>
      </w:r>
    </w:p>
    <w:p w14:paraId="509B8F2A" w14:textId="66F291E9" w:rsidR="00C16AA1" w:rsidRPr="00C83248" w:rsidRDefault="00C16AA1" w:rsidP="00C16AA1">
      <w:pPr>
        <w:rPr>
          <w:rFonts w:ascii="Arial Black" w:hAnsi="Arial Black"/>
          <w:b/>
          <w:sz w:val="28"/>
          <w:szCs w:val="28"/>
        </w:rPr>
      </w:pPr>
      <w:r>
        <w:rPr>
          <w:rFonts w:ascii="Arial Black" w:hAnsi="Arial Black"/>
          <w:b/>
          <w:sz w:val="28"/>
          <w:szCs w:val="28"/>
        </w:rPr>
        <w:t xml:space="preserve">IL: </w:t>
      </w:r>
      <w:r>
        <w:rPr>
          <w:b/>
        </w:rPr>
        <w:t xml:space="preserve"> </w:t>
      </w:r>
      <w:r>
        <w:rPr>
          <w:rFonts w:ascii="Arial Black" w:hAnsi="Arial Black"/>
          <w:b/>
          <w:sz w:val="28"/>
          <w:szCs w:val="28"/>
        </w:rPr>
        <w:t>330 LB PATIENT – GURNEY F</w:t>
      </w:r>
      <w:r w:rsidR="00F92E13">
        <w:rPr>
          <w:rFonts w:ascii="Arial Black" w:hAnsi="Arial Black"/>
          <w:b/>
          <w:sz w:val="28"/>
          <w:szCs w:val="28"/>
        </w:rPr>
        <w:t>E</w:t>
      </w:r>
      <w:r>
        <w:rPr>
          <w:rFonts w:ascii="Arial Black" w:hAnsi="Arial Black"/>
          <w:b/>
          <w:sz w:val="28"/>
          <w:szCs w:val="28"/>
        </w:rPr>
        <w:t>LL</w:t>
      </w:r>
      <w:r w:rsidR="00F92E13">
        <w:rPr>
          <w:rFonts w:ascii="Arial Black" w:hAnsi="Arial Black"/>
          <w:b/>
          <w:sz w:val="28"/>
          <w:szCs w:val="28"/>
        </w:rPr>
        <w:t xml:space="preserve"> OVER</w:t>
      </w:r>
      <w:r>
        <w:rPr>
          <w:rFonts w:ascii="Arial Black" w:hAnsi="Arial Black"/>
          <w:b/>
          <w:sz w:val="28"/>
          <w:szCs w:val="28"/>
        </w:rPr>
        <w:t xml:space="preserve"> – QUAL. IMMUNITY </w:t>
      </w:r>
    </w:p>
    <w:p w14:paraId="7AD01D1D" w14:textId="1D70EA98" w:rsidR="00C16AA1" w:rsidRDefault="00C16AA1" w:rsidP="00C16AA1">
      <w:pPr>
        <w:rPr>
          <w:bCs/>
        </w:rPr>
      </w:pPr>
      <w:r>
        <w:t xml:space="preserve">On November 26, 2025, in </w:t>
      </w:r>
      <w:r w:rsidRPr="00A6056A">
        <w:rPr>
          <w:u w:val="single"/>
        </w:rPr>
        <w:t>Nancy Gabriel, Administrator of the Estate of James Gabriel v. Alton Memorial Hospital, et al</w:t>
      </w:r>
      <w:r>
        <w:t xml:space="preserve">., the </w:t>
      </w:r>
      <w:r w:rsidRPr="00A6056A">
        <w:t>Court of Appeals of Illinois, Fifth District</w:t>
      </w:r>
      <w:r>
        <w:t xml:space="preserve"> held (3 to 0) that the trial court properly granted summary judgment to the defendants; there was no evidence of willful and wanton misconduct by EMS.  On </w:t>
      </w:r>
      <w:r w:rsidRPr="007611BD">
        <w:t>February 2, 2019,</w:t>
      </w:r>
      <w:r>
        <w:t xml:space="preserve"> after</w:t>
      </w:r>
      <w:r w:rsidRPr="007611BD">
        <w:t xml:space="preserve"> ambulance transport from </w:t>
      </w:r>
      <w:r>
        <w:t xml:space="preserve">the </w:t>
      </w:r>
      <w:r w:rsidRPr="007611BD">
        <w:t>hospital to a</w:t>
      </w:r>
      <w:r>
        <w:t xml:space="preserve"> </w:t>
      </w:r>
      <w:r w:rsidRPr="007611BD">
        <w:t xml:space="preserve">nursing home, </w:t>
      </w:r>
      <w:r>
        <w:t xml:space="preserve">the EMS lost control of the gurney and the strapped patient fell on his </w:t>
      </w:r>
      <w:proofErr w:type="gramStart"/>
      <w:r>
        <w:t>head, and</w:t>
      </w:r>
      <w:proofErr w:type="gramEnd"/>
      <w:r>
        <w:t xml:space="preserve"> died March 23, 2019.  </w:t>
      </w:r>
      <w:hyperlink r:id="rId2110" w:history="1">
        <w:r w:rsidRPr="00347812">
          <w:rPr>
            <w:rStyle w:val="Hyperlink"/>
          </w:rPr>
          <w:t>https://cases.justia.com/illinois/court-of-appeals-fifth-appellate-district/2025-5-24-0729-0.pdf?ts=1764692248</w:t>
        </w:r>
      </w:hyperlink>
      <w:r>
        <w:t xml:space="preserve"> </w:t>
      </w:r>
    </w:p>
    <w:p w14:paraId="1CF9E017" w14:textId="77777777" w:rsidR="00C16AA1" w:rsidRDefault="00C16AA1" w:rsidP="00C16AA1">
      <w:pPr>
        <w:rPr>
          <w:bCs/>
        </w:rPr>
      </w:pPr>
      <w:r>
        <w:t>THE COURT HELD:</w:t>
      </w:r>
    </w:p>
    <w:p w14:paraId="3916A441" w14:textId="77777777" w:rsidR="00C16AA1" w:rsidRDefault="00C16AA1" w:rsidP="00C16AA1">
      <w:pPr>
        <w:pStyle w:val="NoSpacing"/>
        <w:ind w:left="720"/>
      </w:pPr>
      <w:r>
        <w:t>“</w:t>
      </w:r>
      <w:r w:rsidRPr="007B1F2E">
        <w:t>The sidewalk leading to the ambulance entrance of the nursing facility had a right-hand turn. As Brooks and Bell approached the turn, they slowed down. As they began the turn, Bell saw that</w:t>
      </w:r>
      <w:r>
        <w:t xml:space="preserve"> </w:t>
      </w:r>
      <w:proofErr w:type="gramStart"/>
      <w:r w:rsidRPr="007B1F2E">
        <w:t>The</w:t>
      </w:r>
      <w:proofErr w:type="gramEnd"/>
      <w:r w:rsidRPr="007B1F2E">
        <w:t xml:space="preserve"> sidewalk leading to the ambulance entrance of the nursing facility had a Bell saw that James had shifted his body, which tilted the gurney to the left. Bell attempted to balance the gurney and called out to Brooks for assistance. In Bell's deposition, he testified that James was </w:t>
      </w:r>
      <w:r>
        <w:t>‘</w:t>
      </w:r>
      <w:r w:rsidRPr="007B1F2E">
        <w:t>such a heavy guy, I can't do it by myself.</w:t>
      </w:r>
    </w:p>
    <w:p w14:paraId="34A8198C" w14:textId="77777777" w:rsidR="00C16AA1" w:rsidRDefault="00C16AA1" w:rsidP="00C16AA1">
      <w:pPr>
        <w:pStyle w:val="NoSpacing"/>
        <w:ind w:left="720"/>
      </w:pPr>
      <w:r>
        <w:t xml:space="preserve"> </w:t>
      </w:r>
      <w:r w:rsidRPr="007B1F2E">
        <w:t>Brooks started to turn around, and "felt the [gurney's]bar twist in [his] hand.</w:t>
      </w:r>
      <w:r>
        <w:t>’</w:t>
      </w:r>
      <w:r w:rsidRPr="007B1F2E">
        <w:t xml:space="preserve"> Brooks and Bell held onto the bars in a futile attempt to prevent th</w:t>
      </w:r>
      <w:r>
        <w:t>e fall.</w:t>
      </w:r>
    </w:p>
    <w:p w14:paraId="2FE8D1B9" w14:textId="77777777" w:rsidR="00C16AA1" w:rsidRDefault="00C16AA1" w:rsidP="00C16AA1">
      <w:pPr>
        <w:pStyle w:val="NoSpacing"/>
      </w:pPr>
    </w:p>
    <w:p w14:paraId="11C27316" w14:textId="77777777" w:rsidR="00C16AA1" w:rsidRDefault="00C16AA1" w:rsidP="00C16AA1">
      <w:pPr>
        <w:pStyle w:val="NoSpacing"/>
        <w:ind w:left="720"/>
      </w:pPr>
      <w:r w:rsidRPr="00671BAC">
        <w:t>James fell face down onto the ground but avoided striking the concrete. He remained strapped into the gurney, and with effort, Brooks and Bell were slowly able to get the gurney back into an upright position. Following his fall, the nursing facility refused to accept James, and Brooks and Bell transported him back to St. Anthony's Hospital. James sustained a laceration above his left eye from the fall.</w:t>
      </w:r>
    </w:p>
    <w:p w14:paraId="6BC5D467" w14:textId="77777777" w:rsidR="00C16AA1" w:rsidRDefault="00C16AA1" w:rsidP="00C16AA1">
      <w:pPr>
        <w:pStyle w:val="NoSpacing"/>
        <w:ind w:left="720"/>
      </w:pPr>
    </w:p>
    <w:p w14:paraId="1F726337" w14:textId="77777777" w:rsidR="00C16AA1" w:rsidRDefault="00C16AA1" w:rsidP="00C16AA1">
      <w:pPr>
        <w:pStyle w:val="NoSpacing"/>
        <w:ind w:left="720"/>
      </w:pPr>
      <w:r>
        <w:t>***</w:t>
      </w:r>
    </w:p>
    <w:p w14:paraId="0254E8C3" w14:textId="77777777" w:rsidR="00C16AA1" w:rsidRDefault="00C16AA1" w:rsidP="00C16AA1">
      <w:pPr>
        <w:pStyle w:val="NoSpacing"/>
        <w:ind w:left="720"/>
      </w:pPr>
      <w:r>
        <w:t>Alton Memorial can only be held liable for damages in this case pursuant to section</w:t>
      </w:r>
    </w:p>
    <w:p w14:paraId="0E7221A9" w14:textId="77777777" w:rsidR="00C16AA1" w:rsidRDefault="00C16AA1" w:rsidP="00C16AA1">
      <w:pPr>
        <w:pStyle w:val="NoSpacing"/>
        <w:ind w:left="720"/>
      </w:pPr>
      <w:r>
        <w:t>3.150(a) of the EMS Systems Act, which provides: ‘Any person, agency or governmental body certified, licensed or authorized pursuant to this Act … who in good faith provides emergency or non-emergency medical services …in the normal course of conducting their duties …shall not be civilly liable as a result of their acts or omissions in providing such services unless such acts or omissions … constitute willful and wanton misconduct.” 210 ILCS 50/3.150(a).</w:t>
      </w:r>
    </w:p>
    <w:p w14:paraId="4B82194D" w14:textId="77777777" w:rsidR="00C16AA1" w:rsidRDefault="00C16AA1" w:rsidP="00C16AA1">
      <w:pPr>
        <w:pStyle w:val="NoSpacing"/>
        <w:ind w:left="720"/>
      </w:pPr>
    </w:p>
    <w:p w14:paraId="591185B3" w14:textId="77777777" w:rsidR="00C16AA1" w:rsidRDefault="00C16AA1" w:rsidP="00C16AA1">
      <w:pPr>
        <w:pStyle w:val="NoSpacing"/>
        <w:ind w:left="720"/>
      </w:pPr>
      <w:r>
        <w:t>***</w:t>
      </w:r>
    </w:p>
    <w:p w14:paraId="1042FEFE" w14:textId="77777777" w:rsidR="00C16AA1" w:rsidRDefault="00C16AA1" w:rsidP="00C16AA1">
      <w:pPr>
        <w:pStyle w:val="NoSpacing"/>
        <w:ind w:left="720"/>
      </w:pPr>
      <w:r>
        <w:t>We find that summary judgment was appropriate where the pleadings, depositions and any admissions and/or affidavits on file, when viewed in the light most favorable to Nancy, established that there was no genuine issue of material fact to support an allegation of willful and wanton misconduct on behalf of Alton Memorial’s ambulance crew.”</w:t>
      </w:r>
    </w:p>
    <w:p w14:paraId="753D1D61" w14:textId="77777777" w:rsidR="00C16AA1" w:rsidRDefault="00C16AA1" w:rsidP="00C16AA1">
      <w:pPr>
        <w:rPr>
          <w:b/>
        </w:rPr>
      </w:pPr>
    </w:p>
    <w:p w14:paraId="449CFA8A" w14:textId="44AACF47" w:rsidR="00C16AA1" w:rsidRPr="00F5657D" w:rsidRDefault="00C16AA1" w:rsidP="00C16AA1">
      <w:pPr>
        <w:rPr>
          <w:b/>
        </w:rPr>
      </w:pPr>
      <w:r>
        <w:rPr>
          <w:b/>
        </w:rPr>
        <w:t xml:space="preserve">Legal lesson learned: Moving a </w:t>
      </w:r>
      <w:r w:rsidR="003271B2">
        <w:rPr>
          <w:b/>
        </w:rPr>
        <w:t>330-pound</w:t>
      </w:r>
      <w:r>
        <w:rPr>
          <w:b/>
        </w:rPr>
        <w:t xml:space="preserve"> patient </w:t>
      </w:r>
      <w:r w:rsidR="004348E5">
        <w:rPr>
          <w:b/>
        </w:rPr>
        <w:t xml:space="preserve">can be </w:t>
      </w:r>
      <w:r>
        <w:rPr>
          <w:b/>
        </w:rPr>
        <w:t xml:space="preserve">particularly challenging; no liability for negligent conduct that is not deemed willful and wanton misconduct. </w:t>
      </w:r>
    </w:p>
    <w:p w14:paraId="5E2C55A3" w14:textId="77777777" w:rsidR="009F546C" w:rsidRDefault="009F546C" w:rsidP="00004498">
      <w:pPr>
        <w:rPr>
          <w:rFonts w:ascii="Arial Black" w:hAnsi="Arial Black"/>
          <w:b/>
          <w:bCs/>
          <w:sz w:val="24"/>
          <w:szCs w:val="24"/>
        </w:rPr>
      </w:pPr>
    </w:p>
    <w:p w14:paraId="1803C3A1" w14:textId="77777777" w:rsidR="009F546C" w:rsidRDefault="009F546C" w:rsidP="00004498">
      <w:pPr>
        <w:rPr>
          <w:rFonts w:ascii="Arial Black" w:hAnsi="Arial Black"/>
          <w:b/>
          <w:bCs/>
          <w:sz w:val="24"/>
          <w:szCs w:val="24"/>
        </w:rPr>
      </w:pPr>
    </w:p>
    <w:p w14:paraId="256049CE" w14:textId="1300CE9C" w:rsidR="00C6504D" w:rsidRDefault="00C6504D" w:rsidP="00004498">
      <w:pPr>
        <w:rPr>
          <w:rFonts w:ascii="Arial Black" w:hAnsi="Arial Black"/>
          <w:b/>
          <w:bCs/>
          <w:sz w:val="24"/>
          <w:szCs w:val="24"/>
        </w:rPr>
      </w:pPr>
      <w:r>
        <w:rPr>
          <w:rFonts w:ascii="Arial Black" w:hAnsi="Arial Black"/>
          <w:b/>
          <w:bCs/>
          <w:sz w:val="24"/>
          <w:szCs w:val="24"/>
        </w:rPr>
        <w:t>13-23</w:t>
      </w:r>
      <w:r w:rsidR="00524647">
        <w:rPr>
          <w:rFonts w:ascii="Arial Black" w:hAnsi="Arial Black"/>
          <w:b/>
          <w:bCs/>
          <w:sz w:val="24"/>
          <w:szCs w:val="24"/>
        </w:rPr>
        <w:t>3</w:t>
      </w:r>
    </w:p>
    <w:p w14:paraId="73336DA4" w14:textId="77777777" w:rsidR="00C6504D" w:rsidRPr="00864A31" w:rsidRDefault="00C6504D" w:rsidP="00C6504D">
      <w:pPr>
        <w:pStyle w:val="NoSpacing"/>
        <w:rPr>
          <w:rFonts w:ascii="Arial Black" w:hAnsi="Arial Black"/>
          <w:sz w:val="28"/>
          <w:szCs w:val="28"/>
        </w:rPr>
      </w:pPr>
      <w:r>
        <w:rPr>
          <w:rFonts w:ascii="Arial Black" w:hAnsi="Arial Black"/>
          <w:sz w:val="28"/>
          <w:szCs w:val="28"/>
        </w:rPr>
        <w:t>CA: HANCUFFED PRONE PT – VERSED / DIED – LIAB CAP</w:t>
      </w:r>
    </w:p>
    <w:p w14:paraId="170233E7" w14:textId="77777777" w:rsidR="00C6504D" w:rsidRDefault="00C6504D" w:rsidP="00C6504D">
      <w:pPr>
        <w:pStyle w:val="NoSpacing"/>
      </w:pPr>
    </w:p>
    <w:p w14:paraId="4A8DDA31" w14:textId="0EEC163B" w:rsidR="00C6504D" w:rsidRDefault="00C6504D" w:rsidP="00C6504D">
      <w:pPr>
        <w:pStyle w:val="NoSpacing"/>
      </w:pPr>
      <w:r>
        <w:t xml:space="preserve">On November 25, 2025, in </w:t>
      </w:r>
      <w:r w:rsidRPr="00266691">
        <w:rPr>
          <w:u w:val="single"/>
        </w:rPr>
        <w:t>Ivan Gutzalenko, et al. v. City of Richmond, et al</w:t>
      </w:r>
      <w:r>
        <w:t xml:space="preserve">., U.S. District Court Judge Edward M. Chen, United States District Court for Northern District of California, held that the $500,000 caps on medical negligence claims under California state law applies to this medical negligence claim.  A paramedic injected the handcuffed prone patient with </w:t>
      </w:r>
      <w:proofErr w:type="gramStart"/>
      <w:r w:rsidR="002B5A76">
        <w:t>v</w:t>
      </w:r>
      <w:r>
        <w:t>ersed, and</w:t>
      </w:r>
      <w:proofErr w:type="gramEnd"/>
      <w:r>
        <w:t xml:space="preserve"> allegedly </w:t>
      </w:r>
      <w:r w:rsidRPr="002204F5">
        <w:t xml:space="preserve">did not “aspirate” the syringe when he administered the </w:t>
      </w:r>
      <w:r w:rsidR="002B5A76">
        <w:t>v</w:t>
      </w:r>
      <w:r w:rsidRPr="002204F5">
        <w:t xml:space="preserve">ersed to ensure it was not in the vein. </w:t>
      </w:r>
      <w:r>
        <w:t xml:space="preserve"> The Court rejected plaintiff’s attempt to recover more than the medical negligence caps by claiming “assault” and “battery.” THE COURT WROTE: “Although intentional torts are generally not subject to the section 3333.2 cap on noneconomic damages, see Perry, 88 Cal. App. 4th at 662, the gravamen of Plaintiffs’ assault and battery claim is essentially a claim of medical negligence such that MICRA applies….  Further, the MICRA cap on noneconomic damages does not apply to settlement awards. Finally, if Plaintiffs establish wrongful death and survival claims that include noneconomic damages, they are entitled to separate MICRA noneconomic damages caps for the wrongful death and survival claims.” </w:t>
      </w:r>
      <w:hyperlink r:id="rId2111" w:history="1">
        <w:r w:rsidRPr="0075505A">
          <w:rPr>
            <w:rStyle w:val="Hyperlink"/>
          </w:rPr>
          <w:t>https://cases.justia.com/federal/district-courts/california/candce/3:2022cv02130/394009/131/0.pdf</w:t>
        </w:r>
      </w:hyperlink>
      <w:r>
        <w:t xml:space="preserve"> </w:t>
      </w:r>
    </w:p>
    <w:p w14:paraId="3EF86943" w14:textId="77777777" w:rsidR="00C6504D" w:rsidRDefault="00C6504D" w:rsidP="00C6504D">
      <w:pPr>
        <w:pStyle w:val="NoSpacing"/>
      </w:pPr>
    </w:p>
    <w:p w14:paraId="5AEAF28D" w14:textId="77777777" w:rsidR="00C6504D" w:rsidRDefault="00C6504D" w:rsidP="00C6504D">
      <w:pPr>
        <w:pStyle w:val="NoSpacing"/>
      </w:pPr>
      <w:r>
        <w:t>THE COURT HELD:</w:t>
      </w:r>
    </w:p>
    <w:p w14:paraId="0267E271" w14:textId="77777777" w:rsidR="00C6504D" w:rsidRDefault="00C6504D" w:rsidP="00C6504D">
      <w:pPr>
        <w:pStyle w:val="NoSpacing"/>
      </w:pPr>
    </w:p>
    <w:p w14:paraId="6666CD02" w14:textId="77777777" w:rsidR="00C6504D" w:rsidRDefault="00C6504D" w:rsidP="00C6504D">
      <w:pPr>
        <w:pStyle w:val="NoSpacing"/>
        <w:ind w:left="720"/>
      </w:pPr>
      <w:r>
        <w:t xml:space="preserve">“On March 10, 2021, a Richmond police officer responded to a call for service about a man causing a disturbance in a furniture store on San Pablo Avenue in Richmond, California….  When the police officer arrived at the scene, he encountered Mr. Gutzalenko, the decedent. Id. Mr. </w:t>
      </w:r>
      <w:proofErr w:type="spellStart"/>
      <w:r>
        <w:t>Gutzalenko</w:t>
      </w:r>
      <w:proofErr w:type="spellEnd"/>
      <w:r>
        <w:t xml:space="preserve"> needed medical aid and was  ‘possibly intoxicated or experiencing a medical emergency.’ … Specifically, Mr. </w:t>
      </w:r>
      <w:proofErr w:type="spellStart"/>
      <w:r>
        <w:t>Gutzalenko</w:t>
      </w:r>
      <w:proofErr w:type="spellEnd"/>
    </w:p>
    <w:p w14:paraId="10D3BC45" w14:textId="77777777" w:rsidR="00C6504D" w:rsidRDefault="00C6504D" w:rsidP="00C6504D">
      <w:pPr>
        <w:pStyle w:val="NoSpacing"/>
        <w:ind w:left="720"/>
      </w:pPr>
      <w:r>
        <w:t xml:space="preserve">had a dark purple mark on his forehead, was bleeding profusely from one of his hands, and had difficulty focusing on and communicating with the police officer…. Mr. </w:t>
      </w:r>
      <w:proofErr w:type="spellStart"/>
      <w:r>
        <w:t>Gutzalenko</w:t>
      </w:r>
      <w:proofErr w:type="spellEnd"/>
      <w:r>
        <w:t xml:space="preserve"> was also having a hard time breathing. </w:t>
      </w:r>
    </w:p>
    <w:p w14:paraId="25EA54D2" w14:textId="77777777" w:rsidR="00C6504D" w:rsidRDefault="00C6504D" w:rsidP="00C6504D">
      <w:pPr>
        <w:pStyle w:val="NoSpacing"/>
        <w:ind w:left="720"/>
      </w:pPr>
    </w:p>
    <w:p w14:paraId="29C4C725" w14:textId="77777777" w:rsidR="00C6504D" w:rsidRDefault="00C6504D" w:rsidP="00C6504D">
      <w:pPr>
        <w:pStyle w:val="NoSpacing"/>
        <w:ind w:left="720"/>
      </w:pPr>
      <w:r>
        <w:t>***</w:t>
      </w:r>
    </w:p>
    <w:p w14:paraId="7D189B86" w14:textId="77777777" w:rsidR="00C6504D" w:rsidRDefault="00C6504D" w:rsidP="00C6504D">
      <w:pPr>
        <w:pStyle w:val="NoSpacing"/>
        <w:ind w:left="720"/>
      </w:pPr>
    </w:p>
    <w:p w14:paraId="34134FA7" w14:textId="77777777" w:rsidR="00C6504D" w:rsidRDefault="00C6504D" w:rsidP="00C6504D">
      <w:pPr>
        <w:pStyle w:val="NoSpacing"/>
        <w:ind w:left="720"/>
      </w:pPr>
      <w:r w:rsidRPr="002204F5">
        <w:t>Medical Defendants, AMR West and the paramedic Mr. Richardson, arrived in an ambulance and attempted to bandage Mr. Gutzalenko's hands</w:t>
      </w:r>
      <w:r>
        <w:t xml:space="preserve">…. </w:t>
      </w:r>
      <w:r w:rsidRPr="002204F5">
        <w:t xml:space="preserve">Mr. </w:t>
      </w:r>
      <w:proofErr w:type="spellStart"/>
      <w:r w:rsidRPr="002204F5">
        <w:t>Gutzalenko</w:t>
      </w:r>
      <w:proofErr w:type="spellEnd"/>
      <w:r w:rsidRPr="002204F5">
        <w:t xml:space="preserve"> became agitated and tried to keep his hands away</w:t>
      </w:r>
      <w:r>
        <w:t xml:space="preserve">…. </w:t>
      </w:r>
      <w:r w:rsidRPr="002204F5">
        <w:t xml:space="preserve">After Mr. </w:t>
      </w:r>
      <w:proofErr w:type="spellStart"/>
      <w:r w:rsidRPr="002204F5">
        <w:t>Gutzalenko</w:t>
      </w:r>
      <w:proofErr w:type="spellEnd"/>
      <w:r w:rsidRPr="002204F5">
        <w:t xml:space="preserve"> began to resist, the police officers attempted to handcuff him</w:t>
      </w:r>
      <w:r>
        <w:t xml:space="preserve">…. </w:t>
      </w:r>
      <w:r w:rsidRPr="002204F5">
        <w:t>During this struggle, Plaintiffs allege that Officer Tran applied his knee to Mr. Gutzalenko's back while he was in a prone position</w:t>
      </w:r>
      <w:r>
        <w:t xml:space="preserve">…. </w:t>
      </w:r>
      <w:r w:rsidRPr="002204F5">
        <w:t>By the time the handcuffs were placed on Mr. Gutzalenko, Plaintiffs claim that he had become non-responsive and no longer resistive. </w:t>
      </w:r>
    </w:p>
    <w:p w14:paraId="63E389C4" w14:textId="77777777" w:rsidR="00C6504D" w:rsidRDefault="00C6504D" w:rsidP="00C6504D">
      <w:pPr>
        <w:pStyle w:val="NoSpacing"/>
        <w:ind w:left="720"/>
      </w:pPr>
    </w:p>
    <w:p w14:paraId="2B2904B6" w14:textId="77777777" w:rsidR="00C6504D" w:rsidRDefault="00C6504D" w:rsidP="00C6504D">
      <w:pPr>
        <w:pStyle w:val="NoSpacing"/>
        <w:ind w:left="720"/>
      </w:pPr>
      <w:r w:rsidRPr="002204F5">
        <w:t xml:space="preserve">After Mr. </w:t>
      </w:r>
      <w:proofErr w:type="spellStart"/>
      <w:r w:rsidRPr="002204F5">
        <w:t>Gutzalenko</w:t>
      </w:r>
      <w:proofErr w:type="spellEnd"/>
      <w:r w:rsidRPr="002204F5">
        <w:t xml:space="preserve"> was handcuffed on the ground, Defendant Mr. Richardson injected Mr. </w:t>
      </w:r>
      <w:proofErr w:type="spellStart"/>
      <w:r w:rsidRPr="002204F5">
        <w:t>Gutzalenko</w:t>
      </w:r>
      <w:proofErr w:type="spellEnd"/>
      <w:r w:rsidRPr="002204F5">
        <w:t xml:space="preserve"> with Versed, a chemical restraint</w:t>
      </w:r>
      <w:r>
        <w:t xml:space="preserve">…. </w:t>
      </w:r>
      <w:r w:rsidRPr="002204F5">
        <w:t xml:space="preserve">At this juncture, there is no dispute that Mr. Richardson administered the chemical restraint for safety reasons, rather than to restrain Mr. </w:t>
      </w:r>
      <w:proofErr w:type="spellStart"/>
      <w:r w:rsidRPr="002204F5">
        <w:t>Gutzalenko</w:t>
      </w:r>
      <w:proofErr w:type="spellEnd"/>
      <w:r w:rsidRPr="002204F5">
        <w:t xml:space="preserve"> in a law enforcement capacity; he injected Mr. </w:t>
      </w:r>
      <w:proofErr w:type="spellStart"/>
      <w:r w:rsidRPr="002204F5">
        <w:t>Gutzalenko</w:t>
      </w:r>
      <w:proofErr w:type="spellEnd"/>
      <w:r w:rsidRPr="002204F5">
        <w:t xml:space="preserve"> to protect himself and others in the ambulance during transport of Mr. </w:t>
      </w:r>
      <w:proofErr w:type="spellStart"/>
      <w:r w:rsidRPr="002204F5">
        <w:t>Gutzalenko</w:t>
      </w:r>
      <w:proofErr w:type="spellEnd"/>
      <w:r w:rsidRPr="002204F5">
        <w:t xml:space="preserve"> to the hospital</w:t>
      </w:r>
      <w:r>
        <w:t xml:space="preserve">…. </w:t>
      </w:r>
    </w:p>
    <w:p w14:paraId="5FA69228" w14:textId="77777777" w:rsidR="00C6504D" w:rsidRDefault="00C6504D" w:rsidP="00C6504D">
      <w:pPr>
        <w:pStyle w:val="NoSpacing"/>
        <w:ind w:left="720"/>
      </w:pPr>
    </w:p>
    <w:p w14:paraId="1441F2C8" w14:textId="77777777" w:rsidR="00C6504D" w:rsidRDefault="00C6504D" w:rsidP="00C6504D">
      <w:pPr>
        <w:pStyle w:val="NoSpacing"/>
        <w:ind w:left="720"/>
      </w:pPr>
      <w:r w:rsidRPr="002204F5">
        <w:t xml:space="preserve">Plaintiffs claim that Mr. Richardson did not </w:t>
      </w:r>
      <w:r>
        <w:t>‘</w:t>
      </w:r>
      <w:r w:rsidRPr="002204F5">
        <w:t>aspirate</w:t>
      </w:r>
      <w:r>
        <w:t xml:space="preserve">’ </w:t>
      </w:r>
      <w:r w:rsidRPr="002204F5">
        <w:t>the syringe when he administered the Versed to ensure it was not in the vein</w:t>
      </w:r>
      <w:r>
        <w:t xml:space="preserve">…. </w:t>
      </w:r>
      <w:r w:rsidRPr="002204F5">
        <w:t xml:space="preserve">Plaintiffs allege that Mr. </w:t>
      </w:r>
      <w:proofErr w:type="spellStart"/>
      <w:r w:rsidRPr="002204F5">
        <w:t>Gutzalenko</w:t>
      </w:r>
      <w:proofErr w:type="spellEnd"/>
      <w:r w:rsidRPr="002204F5">
        <w:t xml:space="preserve"> stopped breathing within 90 seconds of the Versed administration</w:t>
      </w:r>
      <w:r>
        <w:t xml:space="preserve">… </w:t>
      </w:r>
      <w:r w:rsidRPr="002204F5">
        <w:t xml:space="preserve">Mr. </w:t>
      </w:r>
      <w:proofErr w:type="spellStart"/>
      <w:r w:rsidRPr="002204F5">
        <w:t>Gutzalenko</w:t>
      </w:r>
      <w:proofErr w:type="spellEnd"/>
      <w:r w:rsidRPr="002204F5">
        <w:t xml:space="preserve"> was pronounced dead after he was taken to Summit Hospital in Oakland</w:t>
      </w:r>
      <w:r>
        <w:t xml:space="preserve">…. </w:t>
      </w:r>
      <w:r w:rsidRPr="002204F5">
        <w:t xml:space="preserve"> An autopsy determined the cause of death was prone restraint asphyxia and cardiac arrest while under the influence of methamphetamine.</w:t>
      </w:r>
      <w:r>
        <w:t>”</w:t>
      </w:r>
    </w:p>
    <w:p w14:paraId="410BABDD" w14:textId="77777777" w:rsidR="00C6504D" w:rsidRDefault="00C6504D" w:rsidP="00C6504D">
      <w:pPr>
        <w:pStyle w:val="NoSpacing"/>
        <w:ind w:left="720"/>
      </w:pPr>
    </w:p>
    <w:p w14:paraId="77CD0284" w14:textId="16649AAD" w:rsidR="00C6504D" w:rsidRPr="004622D5" w:rsidRDefault="00C6504D" w:rsidP="00C6504D">
      <w:pPr>
        <w:pStyle w:val="NoSpacing"/>
        <w:rPr>
          <w:b/>
          <w:bCs/>
        </w:rPr>
      </w:pPr>
      <w:r>
        <w:rPr>
          <w:b/>
        </w:rPr>
        <w:t xml:space="preserve">Legal lesson learned: Follow your protocol on administering </w:t>
      </w:r>
      <w:r w:rsidR="002B5A76">
        <w:rPr>
          <w:b/>
        </w:rPr>
        <w:t>v</w:t>
      </w:r>
      <w:r>
        <w:rPr>
          <w:b/>
        </w:rPr>
        <w:t xml:space="preserve">ersed to a handcuffed prone patient. </w:t>
      </w:r>
    </w:p>
    <w:p w14:paraId="0EE67BDD" w14:textId="77777777" w:rsidR="00C6504D" w:rsidRDefault="00C6504D" w:rsidP="00C6504D">
      <w:pPr>
        <w:rPr>
          <w:b/>
        </w:rPr>
      </w:pPr>
    </w:p>
    <w:p w14:paraId="61FE4895" w14:textId="77777777" w:rsidR="00C6504D" w:rsidRDefault="00C6504D" w:rsidP="00004498">
      <w:pPr>
        <w:rPr>
          <w:rFonts w:ascii="Arial Black" w:hAnsi="Arial Black"/>
          <w:b/>
          <w:bCs/>
          <w:sz w:val="24"/>
          <w:szCs w:val="24"/>
        </w:rPr>
      </w:pPr>
    </w:p>
    <w:p w14:paraId="5C63ECB1" w14:textId="77777777" w:rsidR="00C6504D" w:rsidRDefault="00C6504D" w:rsidP="00004498">
      <w:pPr>
        <w:rPr>
          <w:rFonts w:ascii="Arial Black" w:hAnsi="Arial Black"/>
          <w:b/>
          <w:bCs/>
          <w:sz w:val="24"/>
          <w:szCs w:val="24"/>
        </w:rPr>
      </w:pPr>
    </w:p>
    <w:p w14:paraId="6BE7BD6D" w14:textId="5FF2DFBB" w:rsidR="004612E3" w:rsidRDefault="00F04117" w:rsidP="00004498">
      <w:pPr>
        <w:rPr>
          <w:rFonts w:ascii="Arial Black" w:hAnsi="Arial Black"/>
          <w:b/>
          <w:bCs/>
          <w:sz w:val="24"/>
          <w:szCs w:val="24"/>
        </w:rPr>
      </w:pPr>
      <w:r>
        <w:rPr>
          <w:rFonts w:ascii="Arial Black" w:hAnsi="Arial Black"/>
          <w:b/>
          <w:bCs/>
          <w:sz w:val="24"/>
          <w:szCs w:val="24"/>
        </w:rPr>
        <w:t>13-23</w:t>
      </w:r>
      <w:r w:rsidR="00524647">
        <w:rPr>
          <w:rFonts w:ascii="Arial Black" w:hAnsi="Arial Black"/>
          <w:b/>
          <w:bCs/>
          <w:sz w:val="24"/>
          <w:szCs w:val="24"/>
        </w:rPr>
        <w:t>2</w:t>
      </w:r>
    </w:p>
    <w:p w14:paraId="2FBEF3A7" w14:textId="4E484F18" w:rsidR="00F04117" w:rsidRDefault="00F04117" w:rsidP="00F04117">
      <w:pPr>
        <w:pStyle w:val="NoSpacing"/>
        <w:rPr>
          <w:rFonts w:ascii="Arial Black" w:hAnsi="Arial Black"/>
          <w:sz w:val="28"/>
          <w:szCs w:val="28"/>
        </w:rPr>
      </w:pPr>
      <w:r>
        <w:rPr>
          <w:rFonts w:ascii="Arial Black" w:hAnsi="Arial Black"/>
          <w:sz w:val="28"/>
          <w:szCs w:val="28"/>
        </w:rPr>
        <w:t xml:space="preserve">GA: PULSE OX MONITOR – NOT IN PCR – JURY </w:t>
      </w:r>
      <w:r w:rsidR="003054C5">
        <w:rPr>
          <w:rFonts w:ascii="Arial Black" w:hAnsi="Arial Black"/>
          <w:sz w:val="28"/>
          <w:szCs w:val="28"/>
        </w:rPr>
        <w:t>FINDS</w:t>
      </w:r>
      <w:r>
        <w:rPr>
          <w:rFonts w:ascii="Arial Black" w:hAnsi="Arial Black"/>
          <w:sz w:val="28"/>
          <w:szCs w:val="28"/>
        </w:rPr>
        <w:t xml:space="preserve"> NO LIAB </w:t>
      </w:r>
    </w:p>
    <w:p w14:paraId="4B962ABB" w14:textId="77777777" w:rsidR="00F04117" w:rsidRDefault="00F04117" w:rsidP="00F04117">
      <w:pPr>
        <w:pStyle w:val="NoSpacing"/>
        <w:rPr>
          <w:rFonts w:ascii="Arial Black" w:hAnsi="Arial Black"/>
          <w:sz w:val="28"/>
          <w:szCs w:val="28"/>
        </w:rPr>
      </w:pPr>
    </w:p>
    <w:p w14:paraId="464C2AC4" w14:textId="77777777" w:rsidR="007438A3" w:rsidRDefault="00F04117" w:rsidP="00F04117">
      <w:pPr>
        <w:pStyle w:val="NoSpacing"/>
      </w:pPr>
      <w:r>
        <w:t xml:space="preserve">On October 30, 2025, in </w:t>
      </w:r>
      <w:r w:rsidRPr="00062B36">
        <w:rPr>
          <w:u w:val="single"/>
        </w:rPr>
        <w:t>Wright v. Metro Ambulance Services, Inc</w:t>
      </w:r>
      <w:r>
        <w:t xml:space="preserve">., the </w:t>
      </w:r>
      <w:r w:rsidRPr="00B92007">
        <w:t>Court of Appeals of Georgia</w:t>
      </w:r>
      <w:r>
        <w:t xml:space="preserve"> held (3 to 0) that jury verdict for defense is affirmed. The lawsuit was brought by Dr. Joray Wright, as survivor and administrator of the Estate of Vanessa Banks.  Plaintiffs’ expert, cardiologist Dr. B</w:t>
      </w:r>
      <w:r w:rsidRPr="00B54144">
        <w:t>rian Swirsky,</w:t>
      </w:r>
      <w:r>
        <w:t xml:space="preserve"> testified by videotaped deposition that a patient’s oxygen saturation is a vital sign that must be taken by a pulse oximeter, and there was no such reading recorded </w:t>
      </w:r>
      <w:r w:rsidRPr="00E25A64">
        <w:t>as having been taken by Kern in Banks’s patient care record.</w:t>
      </w:r>
      <w:r>
        <w:t xml:space="preserve">  The cardiologist testified that Kern may have “fabricated” the 99% oxygen saturation level he reported to the hospital when requesting to administer a morphine 20 minutes from the hospital.  Defense expert, cardiologist Dr. </w:t>
      </w:r>
      <w:r w:rsidRPr="000B73D5">
        <w:t>Charles Wilmer</w:t>
      </w:r>
      <w:r>
        <w:t xml:space="preserve">, testified in person to the jury that paramedic continued speaking with </w:t>
      </w:r>
      <w:proofErr w:type="gramStart"/>
      <w:r>
        <w:t>patient</w:t>
      </w:r>
      <w:proofErr w:type="gramEnd"/>
      <w:r>
        <w:t xml:space="preserve"> during transport until she suddenly experienced respiratory depression leading to a fatal cardiac arrhythmia (VFIB).  The Court of Appeals rejected plaintiff’s argument that trial court abused its discretion by excluding the in-person testimony of their cardiologist (his videotaped testimony was shown to the jury) as a rebuttal witness after the defense cardiologist testified in person.  </w:t>
      </w:r>
    </w:p>
    <w:p w14:paraId="5AF21256" w14:textId="458B2C0F" w:rsidR="00F04117" w:rsidRPr="00B92007" w:rsidRDefault="005D3D7E" w:rsidP="00F04117">
      <w:pPr>
        <w:pStyle w:val="NoSpacing"/>
      </w:pPr>
      <w:hyperlink r:id="rId2112" w:history="1">
        <w:r w:rsidRPr="000F3B38">
          <w:rPr>
            <w:rStyle w:val="Hyperlink"/>
            <w:b/>
          </w:rPr>
          <w:t>https://cases.justia.com/georgia/court-of-appeals/2025-a25a1173.pdf?ts=1761847932</w:t>
        </w:r>
      </w:hyperlink>
    </w:p>
    <w:p w14:paraId="13B6553F" w14:textId="77777777" w:rsidR="00F04117" w:rsidRDefault="00F04117" w:rsidP="00F04117">
      <w:pPr>
        <w:pStyle w:val="NoSpacing"/>
      </w:pPr>
    </w:p>
    <w:p w14:paraId="54F109DB" w14:textId="77777777" w:rsidR="00F04117" w:rsidRDefault="00F04117" w:rsidP="00F04117">
      <w:pPr>
        <w:pStyle w:val="NoSpacing"/>
      </w:pPr>
      <w:r>
        <w:t>THE COURT HELD:</w:t>
      </w:r>
    </w:p>
    <w:p w14:paraId="3E140AB3" w14:textId="77777777" w:rsidR="00F04117" w:rsidRDefault="00F04117" w:rsidP="00F04117">
      <w:pPr>
        <w:pStyle w:val="NoSpacing"/>
      </w:pPr>
    </w:p>
    <w:p w14:paraId="21EB3D56" w14:textId="77777777" w:rsidR="00F04117" w:rsidRDefault="00F04117" w:rsidP="00F04117">
      <w:pPr>
        <w:pStyle w:val="NoSpacing"/>
        <w:ind w:left="720"/>
      </w:pPr>
      <w:r>
        <w:t xml:space="preserve">“The more prudent course in this case would have been for the trial court to allow Dr. Swirsky to testify in rebuttal to Dr. Wilmer’s theory regarding the GCS. Nevertheless, our de novo review of the full record does not evidence harm </w:t>
      </w:r>
      <w:proofErr w:type="gramStart"/>
      <w:r>
        <w:t>as a result of</w:t>
      </w:r>
      <w:proofErr w:type="gramEnd"/>
      <w:r>
        <w:t xml:space="preserve"> the trial court’s refusal to allow Swirsky’s testimony.</w:t>
      </w:r>
    </w:p>
    <w:p w14:paraId="589CCA95" w14:textId="77777777" w:rsidR="00F04117" w:rsidRDefault="00F04117" w:rsidP="00F04117">
      <w:pPr>
        <w:pStyle w:val="NoSpacing"/>
        <w:ind w:left="720"/>
      </w:pPr>
    </w:p>
    <w:p w14:paraId="121494C4" w14:textId="77777777" w:rsidR="00F04117" w:rsidRDefault="00F04117" w:rsidP="00F04117">
      <w:pPr>
        <w:pStyle w:val="NoSpacing"/>
        <w:ind w:left="720"/>
      </w:pPr>
      <w:r>
        <w:t>***</w:t>
      </w:r>
    </w:p>
    <w:p w14:paraId="3A9BE67D" w14:textId="77777777" w:rsidR="00F04117" w:rsidRDefault="00F04117" w:rsidP="00F04117">
      <w:pPr>
        <w:pStyle w:val="NoSpacing"/>
      </w:pPr>
    </w:p>
    <w:p w14:paraId="09E62799" w14:textId="77777777" w:rsidR="00F04117" w:rsidRDefault="00F04117" w:rsidP="00F04117">
      <w:pPr>
        <w:pStyle w:val="NoSpacing"/>
        <w:ind w:left="720"/>
      </w:pPr>
      <w:r>
        <w:t xml:space="preserve">[T]he </w:t>
      </w:r>
      <w:r w:rsidRPr="009433B1">
        <w:t>evidence showed that after the death of his mother, 63-year-old</w:t>
      </w:r>
      <w:r>
        <w:t xml:space="preserve"> </w:t>
      </w:r>
      <w:r w:rsidRPr="009433B1">
        <w:t>Vanessa Banks, Wright filed the instant wrongful death action against Metro on a</w:t>
      </w:r>
      <w:r>
        <w:t xml:space="preserve"> </w:t>
      </w:r>
      <w:r w:rsidRPr="009433B1">
        <w:t>theory of vicarious liability based on the negligence of its paramedic, Michael Kern.</w:t>
      </w:r>
      <w:r>
        <w:t xml:space="preserve"> </w:t>
      </w:r>
      <w:r w:rsidRPr="009433B1">
        <w:t>Testimony at trial showed that in the early morning hours of April 15, 2019, Banks was</w:t>
      </w:r>
      <w:r>
        <w:t xml:space="preserve"> </w:t>
      </w:r>
      <w:r w:rsidRPr="009433B1">
        <w:t>pushed from a second story window onto vegetation below. She survived the fall, and</w:t>
      </w:r>
      <w:r>
        <w:t xml:space="preserve"> </w:t>
      </w:r>
      <w:r w:rsidRPr="009433B1">
        <w:t>Metro’s ambulance arrived at 12:33 a.m. Banks was alert and oriented at the time of</w:t>
      </w:r>
      <w:r>
        <w:t xml:space="preserve"> </w:t>
      </w:r>
      <w:r w:rsidRPr="009433B1">
        <w:t xml:space="preserve">transport but complained of ten out of ten </w:t>
      </w:r>
      <w:proofErr w:type="gramStart"/>
      <w:r w:rsidRPr="009433B1">
        <w:t>pain</w:t>
      </w:r>
      <w:proofErr w:type="gramEnd"/>
      <w:r w:rsidRPr="009433B1">
        <w:t xml:space="preserve"> in her left side and abdomen.</w:t>
      </w:r>
    </w:p>
    <w:p w14:paraId="5D89D86B" w14:textId="77777777" w:rsidR="00F04117" w:rsidRDefault="00F04117" w:rsidP="00F04117">
      <w:pPr>
        <w:pStyle w:val="NoSpacing"/>
      </w:pPr>
    </w:p>
    <w:p w14:paraId="0C4077C9" w14:textId="77777777" w:rsidR="00F04117" w:rsidRDefault="00F04117" w:rsidP="00F04117">
      <w:pPr>
        <w:pStyle w:val="NoSpacing"/>
        <w:ind w:left="720"/>
      </w:pPr>
      <w:r>
        <w:t>Kern and technician Chayce Burton placed Banks on a backboard and collar to protect her spine. Kern testified that he took a baseline blood oxygen level with a handheld pulse oximeter prior to leaving the scene with Banks, and based on his observations of her, he did not consider her unstable. The ambulance left the scene around 12:45 a.m., and Kern treated Banks therein, attaching a four-line cardiac monitor and establishing an IV. Kern did not place a pulse oximeter to measure blood oxygen saturation during the trip.</w:t>
      </w:r>
    </w:p>
    <w:p w14:paraId="2040179D" w14:textId="77777777" w:rsidR="00F04117" w:rsidRDefault="00F04117" w:rsidP="00F04117">
      <w:pPr>
        <w:pStyle w:val="NoSpacing"/>
      </w:pPr>
    </w:p>
    <w:p w14:paraId="55D6A159" w14:textId="77777777" w:rsidR="00F04117" w:rsidRDefault="00F04117" w:rsidP="00F04117">
      <w:pPr>
        <w:pStyle w:val="NoSpacing"/>
        <w:ind w:left="720"/>
      </w:pPr>
      <w:r>
        <w:t xml:space="preserve">About 20 minutes away from the destination hospital, Kern sought approval from a doctor to give Banks morphine. Kern reported that Banks had a history of diabetes; was conscious, alert, and oriented with a Glasgow Coma Score (“GCS”) of 15; had pain in her lower lumbar and upper back; was tender on palpation; had a pulse rate of 88, normal sinus heart rhythm on the monitor, blood pressure of 150/90, and oxygen saturation of 99 percent on room air; and her breath was fast and shallow, which he scored at a 30 respiration rate. Instead of morphine, the doctor instructed Kern to administer 50 micrograms of fentanyl, which Kern gave Banks intravenously at 12:48 a.m. Kern testified the fentanyl did not reduce Banks’s pain, and she was alert and speaking after he administered it. The monitor recorded Banks’s heart rate approximately six times (12:42, 12:46, 12:51, 12:52, 12:56, and 1:02), and it recorded her blood pressure and </w:t>
      </w:r>
      <w:proofErr w:type="gramStart"/>
      <w:r>
        <w:t>mean</w:t>
      </w:r>
      <w:proofErr w:type="gramEnd"/>
      <w:r>
        <w:t xml:space="preserve"> arterial pressure three times (12:42, 12:52, and 1:02). Kern noted Banks’s respiratory rate, depth, and effort over the course of the ride.</w:t>
      </w:r>
    </w:p>
    <w:p w14:paraId="25F8BFD5" w14:textId="77777777" w:rsidR="00F04117" w:rsidRDefault="00F04117" w:rsidP="00F04117">
      <w:pPr>
        <w:pStyle w:val="NoSpacing"/>
      </w:pPr>
    </w:p>
    <w:p w14:paraId="52E40274" w14:textId="77777777" w:rsidR="00F04117" w:rsidRDefault="00F04117" w:rsidP="00F04117">
      <w:pPr>
        <w:pStyle w:val="NoSpacing"/>
        <w:ind w:left="720"/>
      </w:pPr>
      <w:r>
        <w:t xml:space="preserve">Around 1:06 a.m., Kern testified that they were about two minutes away from the hospital when Banks gasped, turned her head to the side, and became flushed and purple. Her breathing was agonal, she had no palpable pulse, and the heart monitor indicated that she was in ventricular fibrillation (“VFIB”). Kern started cardiopulmonary resuscitation (“CPR”), and after parking the ambulance (about two minutes after CPR began), Burton came back to assist </w:t>
      </w:r>
      <w:proofErr w:type="gramStart"/>
      <w:r>
        <w:t>in order for</w:t>
      </w:r>
      <w:proofErr w:type="gramEnd"/>
      <w:r>
        <w:t xml:space="preserve"> Kern to attempt to defibrillate Banks. Hospital </w:t>
      </w:r>
      <w:proofErr w:type="gramStart"/>
      <w:r>
        <w:t>personal</w:t>
      </w:r>
      <w:proofErr w:type="gramEnd"/>
      <w:r>
        <w:t xml:space="preserve"> from the ambulance bay joined the effort to resuscitate Banks, performing bag-assisted ventilation while Kern administered intravenous amiodarone, an antiarrhythmic medication, at 1:10 a.m. Metro’s crew turned care of Banks over to the hospital by 1:15 a.m. At 1:19 a.m., Banks was pronounced dead from what the medical examiner later determined to be ‘acute cardiac dysrhythmia complicating fall from height.’”</w:t>
      </w:r>
    </w:p>
    <w:p w14:paraId="103EFF33" w14:textId="77777777" w:rsidR="00F04117" w:rsidRDefault="00F04117" w:rsidP="00F04117">
      <w:pPr>
        <w:pStyle w:val="NoSpacing"/>
        <w:ind w:left="720"/>
      </w:pPr>
    </w:p>
    <w:p w14:paraId="5BD0FFF2" w14:textId="2D92B6E9" w:rsidR="00F04117" w:rsidRPr="006572CC" w:rsidRDefault="00F04117" w:rsidP="00F04117">
      <w:pPr>
        <w:pStyle w:val="NoSpacing"/>
        <w:rPr>
          <w:b/>
          <w:bCs/>
        </w:rPr>
      </w:pPr>
      <w:r>
        <w:rPr>
          <w:b/>
        </w:rPr>
        <w:t xml:space="preserve">Lesson learned: Avoid litigation, use pulse ox monitor during transport and record that in patient care report. </w:t>
      </w:r>
    </w:p>
    <w:p w14:paraId="0F7251F6" w14:textId="77777777" w:rsidR="00F04117" w:rsidRDefault="00F04117" w:rsidP="00004498">
      <w:pPr>
        <w:rPr>
          <w:rFonts w:ascii="Arial Black" w:hAnsi="Arial Black"/>
          <w:b/>
          <w:bCs/>
          <w:sz w:val="24"/>
          <w:szCs w:val="24"/>
        </w:rPr>
      </w:pPr>
    </w:p>
    <w:p w14:paraId="69141FB2" w14:textId="77777777" w:rsidR="00F04117" w:rsidRDefault="00F04117" w:rsidP="00004498">
      <w:pPr>
        <w:rPr>
          <w:rFonts w:ascii="Arial Black" w:hAnsi="Arial Black"/>
          <w:b/>
          <w:bCs/>
          <w:sz w:val="24"/>
          <w:szCs w:val="24"/>
        </w:rPr>
      </w:pPr>
    </w:p>
    <w:p w14:paraId="0EC8D52B" w14:textId="651436D8" w:rsidR="00F04117" w:rsidRDefault="00E42133" w:rsidP="00004498">
      <w:pPr>
        <w:rPr>
          <w:rFonts w:ascii="Arial Black" w:hAnsi="Arial Black"/>
          <w:b/>
          <w:bCs/>
          <w:sz w:val="24"/>
          <w:szCs w:val="24"/>
        </w:rPr>
      </w:pPr>
      <w:r>
        <w:rPr>
          <w:rFonts w:ascii="Arial Black" w:hAnsi="Arial Black"/>
          <w:b/>
          <w:bCs/>
          <w:sz w:val="24"/>
          <w:szCs w:val="24"/>
        </w:rPr>
        <w:t>13</w:t>
      </w:r>
      <w:r w:rsidR="002E67EB">
        <w:rPr>
          <w:rFonts w:ascii="Arial Black" w:hAnsi="Arial Black"/>
          <w:b/>
          <w:bCs/>
          <w:sz w:val="24"/>
          <w:szCs w:val="24"/>
        </w:rPr>
        <w:t>-</w:t>
      </w:r>
      <w:r w:rsidR="00B15D17">
        <w:rPr>
          <w:rFonts w:ascii="Arial Black" w:hAnsi="Arial Black"/>
          <w:b/>
          <w:bCs/>
          <w:sz w:val="24"/>
          <w:szCs w:val="24"/>
        </w:rPr>
        <w:t>23</w:t>
      </w:r>
      <w:r w:rsidR="00524647">
        <w:rPr>
          <w:rFonts w:ascii="Arial Black" w:hAnsi="Arial Black"/>
          <w:b/>
          <w:bCs/>
          <w:sz w:val="24"/>
          <w:szCs w:val="24"/>
        </w:rPr>
        <w:t>1</w:t>
      </w:r>
    </w:p>
    <w:p w14:paraId="6E8BA226" w14:textId="1E1BAAB0" w:rsidR="00E42133" w:rsidRDefault="00E42133" w:rsidP="00E42133">
      <w:pPr>
        <w:pStyle w:val="NoSpacing"/>
        <w:rPr>
          <w:rFonts w:ascii="Arial Black" w:hAnsi="Arial Black"/>
          <w:b/>
          <w:sz w:val="28"/>
          <w:szCs w:val="28"/>
        </w:rPr>
      </w:pPr>
      <w:r>
        <w:rPr>
          <w:rFonts w:ascii="Arial Black" w:hAnsi="Arial Black"/>
          <w:b/>
          <w:sz w:val="28"/>
          <w:szCs w:val="28"/>
        </w:rPr>
        <w:t xml:space="preserve">PA: PT PUNCHED MEDIC IN AMBULANCE </w:t>
      </w:r>
      <w:r w:rsidR="008019DB">
        <w:rPr>
          <w:rFonts w:ascii="Arial Black" w:hAnsi="Arial Black"/>
          <w:b/>
          <w:sz w:val="28"/>
          <w:szCs w:val="28"/>
        </w:rPr>
        <w:t xml:space="preserve">– </w:t>
      </w:r>
      <w:r w:rsidR="004B5399">
        <w:rPr>
          <w:rFonts w:ascii="Arial Black" w:hAnsi="Arial Black"/>
          <w:b/>
          <w:sz w:val="28"/>
          <w:szCs w:val="28"/>
        </w:rPr>
        <w:t>RETRIAL – STANDBY ATTY</w:t>
      </w:r>
    </w:p>
    <w:p w14:paraId="7DD87E5E" w14:textId="77777777" w:rsidR="00E42133" w:rsidRDefault="00E42133" w:rsidP="00E42133">
      <w:pPr>
        <w:pStyle w:val="NoSpacing"/>
        <w:rPr>
          <w:rFonts w:ascii="Arial Black" w:hAnsi="Arial Black"/>
          <w:b/>
          <w:sz w:val="28"/>
          <w:szCs w:val="28"/>
        </w:rPr>
      </w:pPr>
    </w:p>
    <w:p w14:paraId="2E10FAF5" w14:textId="77777777" w:rsidR="00A5402C" w:rsidRDefault="00E42133" w:rsidP="00E42133">
      <w:pPr>
        <w:pStyle w:val="NoSpacing"/>
      </w:pPr>
      <w:r w:rsidRPr="00FD0472">
        <w:t xml:space="preserve">On October 25, 2025, in </w:t>
      </w:r>
      <w:r w:rsidRPr="00A107E9">
        <w:rPr>
          <w:u w:val="single"/>
        </w:rPr>
        <w:t>Commonwealth of Pennsylvania v. Roger Dean Hornberger</w:t>
      </w:r>
      <w:r>
        <w:t xml:space="preserve">, the </w:t>
      </w:r>
      <w:r w:rsidRPr="000761B1">
        <w:t>Superior Court of Pennsylvania</w:t>
      </w:r>
      <w:r>
        <w:t xml:space="preserve"> held (3 to 0; non-precedential decision) that defendant’s conviction for assaulting the paramedic and sentence of 21-42 months in prison must be set aside for a new trial.  Defendant pro se - represented himself at trial (trial court did appoint a “standby attorney” during the trial) but prior to selection of a jury the trial court judge did review with him each charge and possible sentences if convicted.</w:t>
      </w:r>
    </w:p>
    <w:p w14:paraId="7574D202" w14:textId="17A4F328" w:rsidR="00E42133" w:rsidRDefault="00E42133" w:rsidP="00E42133">
      <w:pPr>
        <w:pStyle w:val="NoSpacing"/>
        <w:rPr>
          <w:b/>
        </w:rPr>
      </w:pPr>
      <w:r>
        <w:t xml:space="preserve"> </w:t>
      </w:r>
      <w:hyperlink r:id="rId2113" w:history="1">
        <w:r w:rsidRPr="00937559">
          <w:rPr>
            <w:rStyle w:val="Hyperlink"/>
            <w:b/>
          </w:rPr>
          <w:t>https://www.pacourts.us/assets/opinions/Superior/out/J-A19045-25m%20-%20106549181332513446.pdf?cb=1</w:t>
        </w:r>
      </w:hyperlink>
      <w:r>
        <w:rPr>
          <w:b/>
        </w:rPr>
        <w:t xml:space="preserve"> </w:t>
      </w:r>
    </w:p>
    <w:p w14:paraId="1DA98C4B" w14:textId="77777777" w:rsidR="00E42133" w:rsidRDefault="00E42133" w:rsidP="00E42133">
      <w:pPr>
        <w:pStyle w:val="NoSpacing"/>
        <w:rPr>
          <w:b/>
        </w:rPr>
      </w:pPr>
    </w:p>
    <w:p w14:paraId="0C77CC93" w14:textId="77777777" w:rsidR="00E42133" w:rsidRDefault="00E42133" w:rsidP="00E42133">
      <w:pPr>
        <w:pStyle w:val="NoSpacing"/>
        <w:rPr>
          <w:bCs/>
        </w:rPr>
      </w:pPr>
      <w:r w:rsidRPr="00073BE7">
        <w:t>THE COURT HELD:</w:t>
      </w:r>
    </w:p>
    <w:p w14:paraId="6AEFE723" w14:textId="77777777" w:rsidR="00E42133" w:rsidRDefault="00E42133" w:rsidP="00E42133">
      <w:pPr>
        <w:pStyle w:val="NoSpacing"/>
        <w:rPr>
          <w:bCs/>
        </w:rPr>
      </w:pPr>
    </w:p>
    <w:p w14:paraId="10830B5A" w14:textId="77777777" w:rsidR="00E42133" w:rsidRDefault="00E42133" w:rsidP="00E42133">
      <w:pPr>
        <w:pStyle w:val="NoSpacing"/>
        <w:ind w:left="720"/>
        <w:rPr>
          <w:bCs/>
        </w:rPr>
      </w:pPr>
      <w:r>
        <w:t>“</w:t>
      </w:r>
      <w:r w:rsidRPr="008028D9">
        <w:t>This matter arises from a domestic violence call on September 3, 2023.</w:t>
      </w:r>
      <w:r>
        <w:t xml:space="preserve"> </w:t>
      </w:r>
      <w:r w:rsidRPr="008028D9">
        <w:t>Trooper John Ryan Herold of the Pennsylvania State Police responded to</w:t>
      </w:r>
      <w:r>
        <w:t xml:space="preserve"> </w:t>
      </w:r>
      <w:r w:rsidRPr="008028D9">
        <w:t>Appellant’s house, where he and other troopers discovered that Appellant had</w:t>
      </w:r>
      <w:r>
        <w:t xml:space="preserve"> </w:t>
      </w:r>
      <w:r w:rsidRPr="008028D9">
        <w:t>fallen or jumped from the second story window. Upon contact with Appellant</w:t>
      </w:r>
      <w:r>
        <w:t xml:space="preserve"> </w:t>
      </w:r>
      <w:r w:rsidRPr="008028D9">
        <w:t>outside, Trooper Herold saw that he was holding a red container filled with a</w:t>
      </w:r>
      <w:r>
        <w:t xml:space="preserve"> </w:t>
      </w:r>
      <w:r w:rsidRPr="008028D9">
        <w:t xml:space="preserve">white powdery substance, later identified as </w:t>
      </w:r>
      <w:r>
        <w:t>m</w:t>
      </w:r>
      <w:r w:rsidRPr="008028D9">
        <w:t>ethamphetamine. Instead of</w:t>
      </w:r>
      <w:r>
        <w:t xml:space="preserve"> </w:t>
      </w:r>
      <w:r w:rsidRPr="008028D9">
        <w:t>immediately detaining Appellant and placing him in a cruiser, the troopers</w:t>
      </w:r>
      <w:r>
        <w:t xml:space="preserve"> </w:t>
      </w:r>
      <w:r w:rsidRPr="008028D9">
        <w:t>called an ambulance to transport him to the hospital based on a complaint of</w:t>
      </w:r>
      <w:r>
        <w:t xml:space="preserve"> </w:t>
      </w:r>
      <w:r w:rsidRPr="00FE6C43">
        <w:t xml:space="preserve">back pain. </w:t>
      </w:r>
    </w:p>
    <w:p w14:paraId="0E5722E3" w14:textId="77777777" w:rsidR="00E42133" w:rsidRDefault="00E42133" w:rsidP="00E42133">
      <w:pPr>
        <w:pStyle w:val="NoSpacing"/>
        <w:ind w:left="720"/>
        <w:rPr>
          <w:bCs/>
        </w:rPr>
      </w:pPr>
    </w:p>
    <w:p w14:paraId="3FE211DE" w14:textId="77777777" w:rsidR="00E42133" w:rsidRPr="00FE6C43" w:rsidRDefault="00E42133" w:rsidP="00E42133">
      <w:pPr>
        <w:pStyle w:val="NoSpacing"/>
        <w:ind w:left="720"/>
        <w:rPr>
          <w:bCs/>
        </w:rPr>
      </w:pPr>
      <w:r w:rsidRPr="00FE6C43">
        <w:t>He was strapped to a stretcher in the back of the ambulance and</w:t>
      </w:r>
      <w:r>
        <w:t xml:space="preserve"> </w:t>
      </w:r>
      <w:r w:rsidRPr="00FE6C43">
        <w:t>fell asleep.</w:t>
      </w:r>
      <w:r>
        <w:t xml:space="preserve"> </w:t>
      </w:r>
      <w:r w:rsidRPr="00FE6C43">
        <w:t>Once in motion, Tracy Finnefrach, a paramedic, began her diagnostics</w:t>
      </w:r>
      <w:r>
        <w:t xml:space="preserve"> </w:t>
      </w:r>
      <w:r w:rsidRPr="00FE6C43">
        <w:t>as Appellant awoke from his slumber. He suddenly broke free of his restraints,</w:t>
      </w:r>
      <w:r>
        <w:t xml:space="preserve"> </w:t>
      </w:r>
      <w:r w:rsidRPr="00FE6C43">
        <w:t xml:space="preserve">jumped up from the stretcher, and claimed that Ms. </w:t>
      </w:r>
      <w:proofErr w:type="spellStart"/>
      <w:r w:rsidRPr="00FE6C43">
        <w:t>Finnefrach</w:t>
      </w:r>
      <w:proofErr w:type="spellEnd"/>
      <w:r w:rsidRPr="00FE6C43">
        <w:t xml:space="preserve"> was trying to</w:t>
      </w:r>
      <w:r>
        <w:t xml:space="preserve"> </w:t>
      </w:r>
      <w:r w:rsidRPr="00FE6C43">
        <w:t>kill him. He eventually punched her once in the forehead and again in the</w:t>
      </w:r>
      <w:r>
        <w:t xml:space="preserve"> </w:t>
      </w:r>
      <w:r w:rsidRPr="00FE6C43">
        <w:t>jaw. The ambulance driver, Jayden Cornman, observed Appellant attacking</w:t>
      </w:r>
      <w:r>
        <w:t xml:space="preserve"> </w:t>
      </w:r>
      <w:r w:rsidRPr="00FE6C43">
        <w:t xml:space="preserve">Ms. </w:t>
      </w:r>
      <w:proofErr w:type="spellStart"/>
      <w:r w:rsidRPr="00FE6C43">
        <w:t>Finnefrach</w:t>
      </w:r>
      <w:proofErr w:type="spellEnd"/>
      <w:r w:rsidRPr="00FE6C43">
        <w:t>. He tried to pull the vehicle over, but Appellant reached</w:t>
      </w:r>
      <w:r>
        <w:t xml:space="preserve"> </w:t>
      </w:r>
      <w:r w:rsidRPr="00FE6C43">
        <w:t>through the partition window and pulled on the collar of Mr. Cornman’s shirt,</w:t>
      </w:r>
    </w:p>
    <w:p w14:paraId="5ED43C5A" w14:textId="77777777" w:rsidR="00E42133" w:rsidRDefault="00E42133" w:rsidP="00E42133">
      <w:pPr>
        <w:pStyle w:val="NoSpacing"/>
        <w:ind w:left="720"/>
        <w:rPr>
          <w:bCs/>
        </w:rPr>
      </w:pPr>
      <w:r w:rsidRPr="00FE6C43">
        <w:t>restricting his breathing. Once the driver finally stopped the vehicle, Appellant</w:t>
      </w:r>
      <w:r>
        <w:t xml:space="preserve"> </w:t>
      </w:r>
      <w:r w:rsidRPr="00FE6C43">
        <w:t>jumped through the divider opening and exited the driver’s side door.</w:t>
      </w:r>
      <w:r>
        <w:t xml:space="preserve"> </w:t>
      </w:r>
      <w:r w:rsidRPr="00FE6C43">
        <w:t>Troopers arrived shortly thereafter and transported him to the hospital in a</w:t>
      </w:r>
      <w:r>
        <w:t xml:space="preserve"> </w:t>
      </w:r>
      <w:r w:rsidRPr="00FE6C43">
        <w:t>patrol car.</w:t>
      </w:r>
    </w:p>
    <w:p w14:paraId="0F1C2636" w14:textId="77777777" w:rsidR="00E42133" w:rsidRDefault="00E42133" w:rsidP="00E42133">
      <w:pPr>
        <w:pStyle w:val="NoSpacing"/>
        <w:ind w:left="720"/>
        <w:rPr>
          <w:bCs/>
        </w:rPr>
      </w:pPr>
    </w:p>
    <w:p w14:paraId="45F28D1B" w14:textId="77777777" w:rsidR="00E42133" w:rsidRDefault="00E42133" w:rsidP="00E42133">
      <w:pPr>
        <w:pStyle w:val="NoSpacing"/>
        <w:ind w:left="720"/>
        <w:rPr>
          <w:bCs/>
        </w:rPr>
      </w:pPr>
      <w:r>
        <w:t>***</w:t>
      </w:r>
    </w:p>
    <w:p w14:paraId="051C1416" w14:textId="77777777" w:rsidR="00E42133" w:rsidRDefault="00E42133" w:rsidP="00E42133">
      <w:pPr>
        <w:pStyle w:val="NoSpacing"/>
        <w:ind w:left="720"/>
        <w:rPr>
          <w:bCs/>
        </w:rPr>
      </w:pPr>
      <w:r w:rsidRPr="00061D0A">
        <w:t xml:space="preserve">Based on the </w:t>
      </w:r>
      <w:proofErr w:type="gramStart"/>
      <w:r w:rsidRPr="00061D0A">
        <w:t>aforementioned events</w:t>
      </w:r>
      <w:proofErr w:type="gramEnd"/>
      <w:r w:rsidRPr="00061D0A">
        <w:t>, Appellant was charged with two</w:t>
      </w:r>
      <w:r>
        <w:t xml:space="preserve"> </w:t>
      </w:r>
      <w:r w:rsidRPr="00061D0A">
        <w:t>counts of recklessly endangering another person, and one count each of</w:t>
      </w:r>
      <w:r>
        <w:t xml:space="preserve"> </w:t>
      </w:r>
      <w:r w:rsidRPr="00061D0A">
        <w:t>aggravated assault, simple assault, resisting arrest, possession/use of drug</w:t>
      </w:r>
      <w:r>
        <w:t xml:space="preserve"> </w:t>
      </w:r>
      <w:r w:rsidRPr="00061D0A">
        <w:t>paraphernalia, and possession of a controlled substance. Appellant neglected</w:t>
      </w:r>
      <w:r>
        <w:t xml:space="preserve"> </w:t>
      </w:r>
      <w:r w:rsidRPr="00061D0A">
        <w:t>to appear at the pretrial conference. Consequently, the court issued a bench</w:t>
      </w:r>
      <w:r>
        <w:t xml:space="preserve"> </w:t>
      </w:r>
      <w:r w:rsidRPr="00061D0A">
        <w:t>warrant and Appellant was arrested.</w:t>
      </w:r>
    </w:p>
    <w:p w14:paraId="213B4A37" w14:textId="77777777" w:rsidR="00E42133" w:rsidRDefault="00E42133" w:rsidP="00E42133">
      <w:pPr>
        <w:pStyle w:val="NoSpacing"/>
        <w:ind w:left="720"/>
        <w:rPr>
          <w:bCs/>
        </w:rPr>
      </w:pPr>
    </w:p>
    <w:p w14:paraId="7A9AD89F" w14:textId="77777777" w:rsidR="00E42133" w:rsidRDefault="00E42133" w:rsidP="00E42133">
      <w:pPr>
        <w:pStyle w:val="NoSpacing"/>
        <w:ind w:left="720"/>
        <w:rPr>
          <w:bCs/>
        </w:rPr>
      </w:pPr>
      <w:r>
        <w:t>***</w:t>
      </w:r>
    </w:p>
    <w:p w14:paraId="21755841" w14:textId="77777777" w:rsidR="00E42133" w:rsidRPr="00073BE7" w:rsidRDefault="00E42133" w:rsidP="00E42133">
      <w:pPr>
        <w:pStyle w:val="NoSpacing"/>
        <w:ind w:left="720"/>
        <w:rPr>
          <w:bCs/>
        </w:rPr>
      </w:pPr>
    </w:p>
    <w:p w14:paraId="2DC77F45" w14:textId="77777777" w:rsidR="00E42133" w:rsidRPr="00716FF2" w:rsidRDefault="00E42133" w:rsidP="00E42133">
      <w:pPr>
        <w:pStyle w:val="NoSpacing"/>
        <w:ind w:left="720"/>
        <w:rPr>
          <w:bCs/>
        </w:rPr>
      </w:pPr>
      <w:r w:rsidRPr="004145EE">
        <w:t>The court failed to</w:t>
      </w:r>
      <w:r>
        <w:t xml:space="preserve"> </w:t>
      </w:r>
      <w:r w:rsidRPr="004145EE">
        <w:t>list the specific crimes, explain the nature of the charges, and identify the</w:t>
      </w:r>
      <w:r>
        <w:t xml:space="preserve"> </w:t>
      </w:r>
      <w:r w:rsidRPr="004145EE">
        <w:t>elements that constitute those offenses. We appreciate the Commonwealth’s</w:t>
      </w:r>
      <w:r>
        <w:t xml:space="preserve"> </w:t>
      </w:r>
      <w:r w:rsidRPr="004145EE">
        <w:t>effort to supplement the court’s colloquy by reiterating the name of the</w:t>
      </w:r>
      <w:r>
        <w:t xml:space="preserve"> </w:t>
      </w:r>
      <w:r w:rsidRPr="004145EE">
        <w:t>assault- and drug-related charges brought against Appellant. However, the</w:t>
      </w:r>
      <w:r>
        <w:t xml:space="preserve"> </w:t>
      </w:r>
      <w:r w:rsidRPr="004145EE">
        <w:t>Commonwealth also neglected to articulate the nature of those crimes or the</w:t>
      </w:r>
      <w:r>
        <w:t xml:space="preserve"> </w:t>
      </w:r>
      <w:r w:rsidRPr="004145EE">
        <w:t>elements thereof</w:t>
      </w:r>
      <w:r>
        <w:t xml:space="preserve">…. </w:t>
      </w:r>
      <w:r w:rsidRPr="008F6604">
        <w:t xml:space="preserve">Additionally, the court omitted from the colloquy the </w:t>
      </w:r>
      <w:r>
        <w:t>‘</w:t>
      </w:r>
      <w:r w:rsidRPr="008F6604">
        <w:t>permissible range</w:t>
      </w:r>
      <w:r>
        <w:t xml:space="preserve"> </w:t>
      </w:r>
      <w:r w:rsidRPr="008F6604">
        <w:t>of sentences and/or fines for the offenses charged[.]</w:t>
      </w:r>
      <w:r>
        <w:t>’</w:t>
      </w:r>
      <w:r w:rsidRPr="008F6604">
        <w:t xml:space="preserve"> See </w:t>
      </w:r>
      <w:proofErr w:type="spellStart"/>
      <w:r w:rsidRPr="008F6604">
        <w:t>Pa.R.Crim.P</w:t>
      </w:r>
      <w:proofErr w:type="spellEnd"/>
      <w:r w:rsidRPr="008F6604">
        <w:t>.</w:t>
      </w:r>
      <w:r>
        <w:t xml:space="preserve"> </w:t>
      </w:r>
      <w:r w:rsidRPr="00716FF2">
        <w:t>J-A19045-25</w:t>
      </w:r>
      <w:r>
        <w:t xml:space="preserve">.” </w:t>
      </w:r>
    </w:p>
    <w:p w14:paraId="596A42BF" w14:textId="77777777" w:rsidR="00E42133" w:rsidRDefault="00E42133" w:rsidP="00E42133">
      <w:pPr>
        <w:pStyle w:val="NoSpacing"/>
        <w:ind w:left="720"/>
        <w:rPr>
          <w:bCs/>
        </w:rPr>
      </w:pPr>
    </w:p>
    <w:p w14:paraId="5C8F7A91" w14:textId="1A7524F7" w:rsidR="00E42133" w:rsidRPr="00716FF2" w:rsidRDefault="00E42133" w:rsidP="00E42133">
      <w:pPr>
        <w:pStyle w:val="NoSpacing"/>
        <w:rPr>
          <w:b/>
        </w:rPr>
      </w:pPr>
      <w:r>
        <w:rPr>
          <w:b/>
        </w:rPr>
        <w:t xml:space="preserve">Lesson learned:  Helpful to have PD ride in the ambulance when transporting patient they arrested. </w:t>
      </w:r>
    </w:p>
    <w:p w14:paraId="075DFD12" w14:textId="77777777" w:rsidR="00E42133" w:rsidRDefault="00E42133" w:rsidP="00E42133">
      <w:pPr>
        <w:pStyle w:val="NoSpacing"/>
        <w:ind w:left="720"/>
        <w:rPr>
          <w:bCs/>
        </w:rPr>
      </w:pPr>
    </w:p>
    <w:p w14:paraId="3BC260B3" w14:textId="77777777" w:rsidR="00E42133" w:rsidRDefault="00E42133" w:rsidP="00E42133">
      <w:pPr>
        <w:pStyle w:val="NoSpacing"/>
        <w:rPr>
          <w:b/>
        </w:rPr>
      </w:pPr>
    </w:p>
    <w:p w14:paraId="6E55E687" w14:textId="58538B23" w:rsidR="00B15D17" w:rsidRDefault="00E42133" w:rsidP="00004498">
      <w:pPr>
        <w:rPr>
          <w:rFonts w:ascii="Arial Black" w:hAnsi="Arial Black"/>
          <w:b/>
          <w:bCs/>
          <w:sz w:val="24"/>
          <w:szCs w:val="24"/>
        </w:rPr>
      </w:pPr>
      <w:r>
        <w:rPr>
          <w:rFonts w:ascii="Arial Black" w:hAnsi="Arial Black"/>
          <w:b/>
          <w:bCs/>
          <w:sz w:val="24"/>
          <w:szCs w:val="24"/>
        </w:rPr>
        <w:t>13-2</w:t>
      </w:r>
      <w:r w:rsidR="00C519F1">
        <w:rPr>
          <w:rFonts w:ascii="Arial Black" w:hAnsi="Arial Black"/>
          <w:b/>
          <w:bCs/>
          <w:sz w:val="24"/>
          <w:szCs w:val="24"/>
        </w:rPr>
        <w:t>3</w:t>
      </w:r>
      <w:r w:rsidR="00524647">
        <w:rPr>
          <w:rFonts w:ascii="Arial Black" w:hAnsi="Arial Black"/>
          <w:b/>
          <w:bCs/>
          <w:sz w:val="24"/>
          <w:szCs w:val="24"/>
        </w:rPr>
        <w:t>0</w:t>
      </w:r>
    </w:p>
    <w:p w14:paraId="6B8526AA" w14:textId="378D3AD7" w:rsidR="006B067A" w:rsidRPr="008D675E" w:rsidRDefault="006B067A" w:rsidP="006B067A">
      <w:pPr>
        <w:pStyle w:val="NoSpacing"/>
        <w:rPr>
          <w:rFonts w:ascii="Arial Black" w:hAnsi="Arial Black"/>
          <w:sz w:val="28"/>
          <w:szCs w:val="28"/>
        </w:rPr>
      </w:pPr>
      <w:r>
        <w:rPr>
          <w:rFonts w:ascii="Arial Black" w:hAnsi="Arial Black"/>
          <w:sz w:val="28"/>
          <w:szCs w:val="28"/>
        </w:rPr>
        <w:t xml:space="preserve">KS: EMS WELFARE CHECK –  WARRANT / </w:t>
      </w:r>
      <w:r w:rsidR="00DD4DF6">
        <w:rPr>
          <w:rFonts w:ascii="Arial Black" w:hAnsi="Arial Black"/>
          <w:sz w:val="28"/>
          <w:szCs w:val="28"/>
        </w:rPr>
        <w:t>METH</w:t>
      </w:r>
      <w:r w:rsidR="009C6F45">
        <w:rPr>
          <w:rFonts w:ascii="Arial Black" w:hAnsi="Arial Black"/>
          <w:sz w:val="28"/>
          <w:szCs w:val="28"/>
        </w:rPr>
        <w:t xml:space="preserve"> CONV</w:t>
      </w:r>
      <w:r w:rsidR="00DD4DF6">
        <w:rPr>
          <w:rFonts w:ascii="Arial Black" w:hAnsi="Arial Black"/>
          <w:sz w:val="28"/>
          <w:szCs w:val="28"/>
        </w:rPr>
        <w:t xml:space="preserve"> </w:t>
      </w:r>
      <w:r>
        <w:rPr>
          <w:rFonts w:ascii="Arial Black" w:hAnsi="Arial Black"/>
          <w:sz w:val="28"/>
          <w:szCs w:val="28"/>
        </w:rPr>
        <w:t>SET ASIDE</w:t>
      </w:r>
    </w:p>
    <w:p w14:paraId="6E292CC2" w14:textId="77777777" w:rsidR="006B067A" w:rsidRDefault="006B067A" w:rsidP="006B067A">
      <w:pPr>
        <w:spacing w:after="0"/>
      </w:pPr>
    </w:p>
    <w:p w14:paraId="3CA708FC" w14:textId="77777777" w:rsidR="006B067A" w:rsidRDefault="006B067A" w:rsidP="006B067A">
      <w:pPr>
        <w:spacing w:after="0"/>
        <w:rPr>
          <w:b/>
        </w:rPr>
      </w:pPr>
      <w:r>
        <w:t xml:space="preserve">On Oct. 24, 2025, in </w:t>
      </w:r>
      <w:r w:rsidRPr="002D085A">
        <w:rPr>
          <w:u w:val="single"/>
        </w:rPr>
        <w:t>State of Kansas v. Nicole Willard</w:t>
      </w:r>
      <w:r>
        <w:t xml:space="preserve">, the </w:t>
      </w:r>
      <w:r w:rsidRPr="002D085A">
        <w:t>Court of Appeals of Kansas</w:t>
      </w:r>
      <w:r>
        <w:t xml:space="preserve"> held (2 to 1; unpublished decision) that the warrant check by police, after EMS vitals were checked, was a violation of 4</w:t>
      </w:r>
      <w:r w:rsidRPr="00AD4D18">
        <w:rPr>
          <w:vertAlign w:val="superscript"/>
        </w:rPr>
        <w:t>th</w:t>
      </w:r>
      <w:r>
        <w:t xml:space="preserve"> Amendment, and her conviction for possession of methamphetamine and drug paraphernalia, discovered at the jail, is reversed.  </w:t>
      </w:r>
      <w:hyperlink r:id="rId2114" w:history="1">
        <w:r w:rsidRPr="00E37B9B">
          <w:rPr>
            <w:rStyle w:val="Hyperlink"/>
            <w:b/>
          </w:rPr>
          <w:t>https://searchdro.kscourts.gov/documents/pdf/caseDecisions/d2d9aca8-0558-406d-9148-9139f4e8d305_125812.pdf</w:t>
        </w:r>
      </w:hyperlink>
      <w:r>
        <w:rPr>
          <w:b/>
        </w:rPr>
        <w:t xml:space="preserve"> </w:t>
      </w:r>
    </w:p>
    <w:p w14:paraId="6F1084C9" w14:textId="77777777" w:rsidR="006B067A" w:rsidRDefault="006B067A" w:rsidP="006B067A">
      <w:pPr>
        <w:spacing w:after="0"/>
      </w:pPr>
    </w:p>
    <w:p w14:paraId="67C2F9AB" w14:textId="77777777" w:rsidR="006B067A" w:rsidRDefault="006B067A" w:rsidP="006B067A">
      <w:pPr>
        <w:spacing w:after="0"/>
      </w:pPr>
      <w:r>
        <w:t>THE COURT HELD:</w:t>
      </w:r>
    </w:p>
    <w:p w14:paraId="3DF10FA1" w14:textId="77777777" w:rsidR="006B067A" w:rsidRDefault="006B067A" w:rsidP="006B067A">
      <w:pPr>
        <w:spacing w:after="0"/>
      </w:pPr>
    </w:p>
    <w:p w14:paraId="63F16CA7" w14:textId="77777777" w:rsidR="006B067A" w:rsidRDefault="006B067A" w:rsidP="006B067A">
      <w:pPr>
        <w:spacing w:after="0"/>
        <w:ind w:left="720"/>
      </w:pPr>
      <w:r>
        <w:t xml:space="preserve">“On May 13, 2021, Nicole Willard was the subject of a welfare check after a civilian reported that someone was unconscious under a bridge in Hutchinson, Kansas. Hutchinson Fire Department (HFD) firefighters initially responded, </w:t>
      </w:r>
      <w:proofErr w:type="gramStart"/>
      <w:r>
        <w:t>making contact with</w:t>
      </w:r>
      <w:proofErr w:type="gramEnd"/>
      <w:r>
        <w:t xml:space="preserve"> Willard and offering her aid, which she refused. A few minutes later, Sergeant Cole Long of the Hutchinson Police Department (HPD) arrived.</w:t>
      </w:r>
    </w:p>
    <w:p w14:paraId="3FE2225A" w14:textId="77777777" w:rsidR="006B067A" w:rsidRDefault="006B067A" w:rsidP="006B067A">
      <w:pPr>
        <w:spacing w:after="0"/>
      </w:pPr>
    </w:p>
    <w:p w14:paraId="614CAECF" w14:textId="77777777" w:rsidR="006B067A" w:rsidRDefault="006B067A" w:rsidP="006B067A">
      <w:pPr>
        <w:spacing w:after="0"/>
        <w:ind w:firstLine="720"/>
      </w:pPr>
      <w:r>
        <w:t>Less than three minutes after Long arrived on the scene, Captain Ian Arndt of the</w:t>
      </w:r>
    </w:p>
    <w:p w14:paraId="55DB2C6A" w14:textId="77777777" w:rsidR="006B067A" w:rsidRDefault="006B067A" w:rsidP="006B067A">
      <w:pPr>
        <w:spacing w:after="0"/>
        <w:ind w:left="720"/>
      </w:pPr>
      <w:r>
        <w:t>Hutchinson Fire Department provided Willard's name to Long, and Long immediately stepped away, contacted dispatch, and requested a warrant check. Long learned that Willard was the subject of a warrant.</w:t>
      </w:r>
    </w:p>
    <w:p w14:paraId="5443C9F4" w14:textId="77777777" w:rsidR="006B067A" w:rsidRDefault="006B067A" w:rsidP="006B067A">
      <w:pPr>
        <w:pStyle w:val="NoSpacing"/>
        <w:ind w:firstLine="720"/>
      </w:pPr>
    </w:p>
    <w:p w14:paraId="47A7819D" w14:textId="77777777" w:rsidR="006B067A" w:rsidRDefault="006B067A" w:rsidP="006B067A">
      <w:pPr>
        <w:pStyle w:val="NoSpacing"/>
        <w:ind w:firstLine="720"/>
      </w:pPr>
      <w:r>
        <w:t>***</w:t>
      </w:r>
    </w:p>
    <w:p w14:paraId="00243410" w14:textId="77777777" w:rsidR="006B067A" w:rsidRPr="00BD54FC" w:rsidRDefault="006B067A" w:rsidP="006B067A">
      <w:pPr>
        <w:pStyle w:val="NoSpacing"/>
        <w:ind w:firstLine="720"/>
      </w:pPr>
      <w:r w:rsidRPr="00BD54FC">
        <w:t>Thus, in Kansas, a welfare check cannot lawfully be extended by running a</w:t>
      </w:r>
    </w:p>
    <w:p w14:paraId="07EDFCFE" w14:textId="77777777" w:rsidR="006B067A" w:rsidRPr="00BD54FC" w:rsidRDefault="006B067A" w:rsidP="006B067A">
      <w:pPr>
        <w:pStyle w:val="NoSpacing"/>
        <w:ind w:firstLine="720"/>
      </w:pPr>
      <w:r w:rsidRPr="00BD54FC">
        <w:t xml:space="preserve">warrant check without good reason. </w:t>
      </w:r>
      <w:r>
        <w:t>‘</w:t>
      </w:r>
      <w:r w:rsidRPr="00BD54FC">
        <w:t>Our caselaw makes it clear that police may not</w:t>
      </w:r>
    </w:p>
    <w:p w14:paraId="500F5213" w14:textId="77777777" w:rsidR="006B067A" w:rsidRPr="00BD54FC" w:rsidRDefault="006B067A" w:rsidP="006B067A">
      <w:pPr>
        <w:pStyle w:val="NoSpacing"/>
        <w:ind w:firstLine="720"/>
      </w:pPr>
      <w:r w:rsidRPr="00BD54FC">
        <w:t>lawfully extend a welfare check by running a warrant check on an individual who is the</w:t>
      </w:r>
    </w:p>
    <w:p w14:paraId="76CC74C9" w14:textId="77777777" w:rsidR="006B067A" w:rsidRPr="00BD54FC" w:rsidRDefault="006B067A" w:rsidP="006B067A">
      <w:pPr>
        <w:pStyle w:val="NoSpacing"/>
        <w:ind w:firstLine="720"/>
      </w:pPr>
      <w:r w:rsidRPr="00BD54FC">
        <w:t>subject of the check unless some other circumstances support prolonging the check and</w:t>
      </w:r>
    </w:p>
    <w:p w14:paraId="1CA94865" w14:textId="77777777" w:rsidR="006B067A" w:rsidRDefault="006B067A" w:rsidP="006B067A">
      <w:pPr>
        <w:pStyle w:val="NoSpacing"/>
        <w:ind w:firstLine="720"/>
      </w:pPr>
      <w:r w:rsidRPr="00BD54FC">
        <w:t>converting it into a detention.</w:t>
      </w:r>
      <w:r>
        <w:t>’</w:t>
      </w:r>
      <w:r w:rsidRPr="00BD54FC">
        <w:t xml:space="preserve"> 311 Kan. at 932.</w:t>
      </w:r>
    </w:p>
    <w:p w14:paraId="254B0A75" w14:textId="77777777" w:rsidR="006B067A" w:rsidRDefault="006B067A" w:rsidP="006B067A">
      <w:pPr>
        <w:pStyle w:val="NoSpacing"/>
      </w:pPr>
    </w:p>
    <w:p w14:paraId="4ADCF415" w14:textId="77777777" w:rsidR="006B067A" w:rsidRDefault="006B067A" w:rsidP="006B067A">
      <w:pPr>
        <w:pStyle w:val="NoSpacing"/>
        <w:ind w:firstLine="720"/>
      </w:pPr>
      <w:r>
        <w:t>***</w:t>
      </w:r>
    </w:p>
    <w:p w14:paraId="198CB1B5" w14:textId="77777777" w:rsidR="006B067A" w:rsidRDefault="006B067A" w:rsidP="006B067A">
      <w:pPr>
        <w:pStyle w:val="NoSpacing"/>
        <w:ind w:firstLine="720"/>
      </w:pPr>
      <w:r>
        <w:t>This brings us to the third factor—once the officer is assured that the citizen is not</w:t>
      </w:r>
    </w:p>
    <w:p w14:paraId="458A2BB2" w14:textId="77777777" w:rsidR="006B067A" w:rsidRDefault="006B067A" w:rsidP="006B067A">
      <w:pPr>
        <w:pStyle w:val="NoSpacing"/>
        <w:ind w:firstLine="720"/>
      </w:pPr>
      <w:r>
        <w:t>in peril or is no longer in need of assistance, any actions beyond that constitute a seizure,</w:t>
      </w:r>
    </w:p>
    <w:p w14:paraId="60BB1551" w14:textId="77777777" w:rsidR="006B067A" w:rsidRDefault="006B067A" w:rsidP="006B067A">
      <w:pPr>
        <w:pStyle w:val="NoSpacing"/>
        <w:ind w:firstLine="720"/>
      </w:pPr>
      <w:r>
        <w:t>implicating the protections provided by the Fourth Amendment. Gonzales, 36 Kan. App.</w:t>
      </w:r>
    </w:p>
    <w:p w14:paraId="042DB379" w14:textId="77777777" w:rsidR="006B067A" w:rsidRDefault="006B067A" w:rsidP="006B067A">
      <w:pPr>
        <w:pStyle w:val="NoSpacing"/>
        <w:ind w:firstLine="720"/>
      </w:pPr>
      <w:r>
        <w:t xml:space="preserve">2d at 456. Once Willard refused care, and </w:t>
      </w:r>
      <w:proofErr w:type="gramStart"/>
      <w:r>
        <w:t>Long</w:t>
      </w:r>
      <w:proofErr w:type="gramEnd"/>
      <w:r>
        <w:t xml:space="preserve"> and the firefighters </w:t>
      </w:r>
      <w:proofErr w:type="gramStart"/>
      <w:r>
        <w:t>decided</w:t>
      </w:r>
      <w:proofErr w:type="gramEnd"/>
      <w:r>
        <w:t xml:space="preserve"> her friend</w:t>
      </w:r>
    </w:p>
    <w:p w14:paraId="684AE3C6" w14:textId="77777777" w:rsidR="006B067A" w:rsidRDefault="006B067A" w:rsidP="006B067A">
      <w:pPr>
        <w:pStyle w:val="NoSpacing"/>
        <w:ind w:firstLine="720"/>
      </w:pPr>
      <w:r>
        <w:t>could come pick her up, it was clear that she was not in peril and no longer in need of</w:t>
      </w:r>
    </w:p>
    <w:p w14:paraId="1C111353" w14:textId="77777777" w:rsidR="006B067A" w:rsidRDefault="006B067A" w:rsidP="006B067A">
      <w:pPr>
        <w:pStyle w:val="NoSpacing"/>
        <w:ind w:firstLine="720"/>
      </w:pPr>
      <w:r>
        <w:t>assistance. It was at this point the encounter should have ended.”</w:t>
      </w:r>
    </w:p>
    <w:p w14:paraId="561F1C4F" w14:textId="77777777" w:rsidR="006B067A" w:rsidRDefault="006B067A" w:rsidP="006B067A">
      <w:pPr>
        <w:pStyle w:val="NoSpacing"/>
      </w:pPr>
    </w:p>
    <w:p w14:paraId="028DF5A5" w14:textId="77777777" w:rsidR="006B067A" w:rsidRDefault="006B067A" w:rsidP="006B067A">
      <w:pPr>
        <w:pStyle w:val="NoSpacing"/>
      </w:pPr>
    </w:p>
    <w:p w14:paraId="1B15607C" w14:textId="77777777" w:rsidR="006B067A" w:rsidRPr="00EA0F8C" w:rsidRDefault="006B067A" w:rsidP="006B067A">
      <w:pPr>
        <w:pStyle w:val="NoSpacing"/>
        <w:rPr>
          <w:b/>
        </w:rPr>
      </w:pPr>
      <w:r>
        <w:t xml:space="preserve">DISSENT [Judge </w:t>
      </w:r>
      <w:r w:rsidRPr="00EA0F8C">
        <w:t>Kathryn A. Gardner</w:t>
      </w:r>
      <w:r>
        <w:t>]</w:t>
      </w:r>
    </w:p>
    <w:p w14:paraId="1E23289A" w14:textId="77777777" w:rsidR="006B067A" w:rsidRDefault="006B067A" w:rsidP="006B067A">
      <w:pPr>
        <w:pStyle w:val="NoSpacing"/>
      </w:pPr>
    </w:p>
    <w:p w14:paraId="45D9653A" w14:textId="77777777" w:rsidR="006B067A" w:rsidRDefault="006B067A" w:rsidP="006B067A">
      <w:pPr>
        <w:pStyle w:val="NoSpacing"/>
        <w:ind w:firstLine="720"/>
      </w:pPr>
      <w:r>
        <w:t xml:space="preserve"> “I would find that a seizure did not occur, so the Fourth Amendment to the United</w:t>
      </w:r>
    </w:p>
    <w:p w14:paraId="400D2E46" w14:textId="77777777" w:rsidR="006B067A" w:rsidRDefault="006B067A" w:rsidP="006B067A">
      <w:pPr>
        <w:pStyle w:val="NoSpacing"/>
        <w:ind w:firstLine="720"/>
      </w:pPr>
      <w:r>
        <w:t>States Constitution was not implicated. But even if a seizure did occur, all acts were</w:t>
      </w:r>
    </w:p>
    <w:p w14:paraId="54B502DA" w14:textId="77777777" w:rsidR="006B067A" w:rsidRDefault="006B067A" w:rsidP="006B067A">
      <w:pPr>
        <w:pStyle w:val="NoSpacing"/>
        <w:ind w:firstLine="720"/>
      </w:pPr>
      <w:r>
        <w:t>lawful. Officer Long's decision to run the warrant check was consistent with public safety</w:t>
      </w:r>
    </w:p>
    <w:p w14:paraId="3F3B53B7" w14:textId="77777777" w:rsidR="006B067A" w:rsidRDefault="006B067A" w:rsidP="006B067A">
      <w:pPr>
        <w:pStyle w:val="NoSpacing"/>
        <w:ind w:firstLine="720"/>
      </w:pPr>
      <w:r>
        <w:t>and did not unlawfully broaden or extend the scope of the encounter with Willard. Both</w:t>
      </w:r>
    </w:p>
    <w:p w14:paraId="62076A3F" w14:textId="77777777" w:rsidR="006B067A" w:rsidRDefault="006B067A" w:rsidP="006B067A">
      <w:pPr>
        <w:pStyle w:val="NoSpacing"/>
        <w:ind w:firstLine="720"/>
      </w:pPr>
      <w:proofErr w:type="gramStart"/>
      <w:r>
        <w:t>before</w:t>
      </w:r>
      <w:proofErr w:type="gramEnd"/>
      <w:r>
        <w:t xml:space="preserve"> and after the warrant check, Officer Long's contact with Willard was justified by</w:t>
      </w:r>
    </w:p>
    <w:p w14:paraId="5183D9C3" w14:textId="77777777" w:rsidR="006B067A" w:rsidRDefault="006B067A" w:rsidP="006B067A">
      <w:pPr>
        <w:pStyle w:val="NoSpacing"/>
        <w:ind w:firstLine="720"/>
      </w:pPr>
      <w:r>
        <w:t>safety reasons based on objective, specific, and articulable facts. The majority's</w:t>
      </w:r>
    </w:p>
    <w:p w14:paraId="4A45F6BD" w14:textId="77777777" w:rsidR="006B067A" w:rsidRDefault="006B067A" w:rsidP="006B067A">
      <w:pPr>
        <w:pStyle w:val="NoSpacing"/>
        <w:ind w:firstLine="720"/>
      </w:pPr>
      <w:r>
        <w:t>contention that the justification dissipated when Willard said she did not want assistance</w:t>
      </w:r>
    </w:p>
    <w:p w14:paraId="791795E3" w14:textId="77777777" w:rsidR="006B067A" w:rsidRDefault="006B067A" w:rsidP="006B067A">
      <w:pPr>
        <w:pStyle w:val="NoSpacing"/>
        <w:ind w:firstLine="720"/>
      </w:pPr>
      <w:r>
        <w:t>is unfounded.”</w:t>
      </w:r>
    </w:p>
    <w:p w14:paraId="18DE0E84" w14:textId="77777777" w:rsidR="006B067A" w:rsidRDefault="006B067A" w:rsidP="006B067A">
      <w:pPr>
        <w:pStyle w:val="NoSpacing"/>
        <w:ind w:firstLine="720"/>
      </w:pPr>
    </w:p>
    <w:p w14:paraId="19DFAAE8" w14:textId="31800470" w:rsidR="006B067A" w:rsidRPr="0057222C" w:rsidRDefault="006B067A" w:rsidP="006B067A">
      <w:pPr>
        <w:pStyle w:val="NoSpacing"/>
        <w:rPr>
          <w:b/>
          <w:bCs/>
        </w:rPr>
      </w:pPr>
      <w:r w:rsidRPr="00EA0F8C">
        <w:rPr>
          <w:b/>
        </w:rPr>
        <w:t>L</w:t>
      </w:r>
      <w:r>
        <w:rPr>
          <w:b/>
        </w:rPr>
        <w:t xml:space="preserve">esson learned:  </w:t>
      </w:r>
      <w:r w:rsidRPr="0057222C">
        <w:rPr>
          <w:b/>
        </w:rPr>
        <w:t>Powerful dissent – “warrant check was consistent with public safety.”</w:t>
      </w:r>
    </w:p>
    <w:p w14:paraId="34AC4EAA" w14:textId="77777777" w:rsidR="006B067A" w:rsidRDefault="006B067A" w:rsidP="006B067A">
      <w:pPr>
        <w:pStyle w:val="NoSpacing"/>
      </w:pPr>
    </w:p>
    <w:p w14:paraId="721EEB47" w14:textId="77777777" w:rsidR="006D545F" w:rsidRDefault="006D545F" w:rsidP="00004498">
      <w:pPr>
        <w:rPr>
          <w:rFonts w:ascii="Arial Black" w:hAnsi="Arial Black"/>
          <w:b/>
          <w:bCs/>
          <w:sz w:val="24"/>
          <w:szCs w:val="24"/>
        </w:rPr>
      </w:pPr>
    </w:p>
    <w:p w14:paraId="2DF4DAF2" w14:textId="7F819423" w:rsidR="00F515BD" w:rsidRDefault="00F62795" w:rsidP="00004498">
      <w:pPr>
        <w:rPr>
          <w:rFonts w:ascii="Arial Black" w:hAnsi="Arial Black"/>
          <w:b/>
          <w:bCs/>
          <w:sz w:val="24"/>
          <w:szCs w:val="24"/>
        </w:rPr>
      </w:pPr>
      <w:r>
        <w:rPr>
          <w:rFonts w:ascii="Arial Black" w:hAnsi="Arial Black"/>
          <w:b/>
          <w:bCs/>
          <w:sz w:val="24"/>
          <w:szCs w:val="24"/>
        </w:rPr>
        <w:t>13-2</w:t>
      </w:r>
      <w:r w:rsidR="00524647">
        <w:rPr>
          <w:rFonts w:ascii="Arial Black" w:hAnsi="Arial Black"/>
          <w:b/>
          <w:bCs/>
          <w:sz w:val="24"/>
          <w:szCs w:val="24"/>
        </w:rPr>
        <w:t>29</w:t>
      </w:r>
    </w:p>
    <w:p w14:paraId="7C30A87A" w14:textId="09BAA6F2" w:rsidR="00F515BD" w:rsidRDefault="00F515BD" w:rsidP="00F515BD">
      <w:pPr>
        <w:spacing w:after="0"/>
        <w:rPr>
          <w:rFonts w:ascii="Arial Black" w:hAnsi="Arial Black"/>
          <w:b/>
          <w:sz w:val="28"/>
          <w:szCs w:val="28"/>
        </w:rPr>
      </w:pPr>
      <w:r>
        <w:rPr>
          <w:rFonts w:ascii="Arial Black" w:hAnsi="Arial Black"/>
          <w:sz w:val="28"/>
          <w:szCs w:val="28"/>
        </w:rPr>
        <w:t xml:space="preserve">MI: COVID </w:t>
      </w:r>
      <w:r w:rsidRPr="001D2498">
        <w:rPr>
          <w:rFonts w:ascii="Arial Black" w:hAnsi="Arial Black"/>
          <w:b/>
          <w:sz w:val="28"/>
          <w:szCs w:val="28"/>
        </w:rPr>
        <w:t>PT</w:t>
      </w:r>
      <w:r>
        <w:rPr>
          <w:rFonts w:ascii="Arial Black" w:hAnsi="Arial Black"/>
          <w:b/>
          <w:sz w:val="28"/>
          <w:szCs w:val="28"/>
        </w:rPr>
        <w:t xml:space="preserve"> NOT TRANS (2X) – </w:t>
      </w:r>
      <w:r w:rsidR="006043BC">
        <w:rPr>
          <w:rFonts w:ascii="Arial Black" w:hAnsi="Arial Black"/>
          <w:b/>
          <w:sz w:val="28"/>
          <w:szCs w:val="28"/>
        </w:rPr>
        <w:t xml:space="preserve">GROSS NEG. </w:t>
      </w:r>
      <w:r w:rsidR="00054335">
        <w:rPr>
          <w:rFonts w:ascii="Arial Black" w:hAnsi="Arial Black"/>
          <w:b/>
          <w:sz w:val="28"/>
          <w:szCs w:val="28"/>
        </w:rPr>
        <w:t xml:space="preserve">LAWSUIT REINSTATED </w:t>
      </w:r>
    </w:p>
    <w:p w14:paraId="71BC52EB" w14:textId="77777777" w:rsidR="00F515BD" w:rsidRDefault="00F515BD" w:rsidP="00F515BD">
      <w:pPr>
        <w:spacing w:after="0"/>
      </w:pPr>
    </w:p>
    <w:p w14:paraId="60C5F249" w14:textId="77777777" w:rsidR="00F515BD" w:rsidRDefault="00F515BD" w:rsidP="00F515BD">
      <w:pPr>
        <w:spacing w:after="0"/>
      </w:pPr>
      <w:r>
        <w:t xml:space="preserve">On Oct. 23, 2025, in </w:t>
      </w:r>
      <w:r w:rsidRPr="00B851B0">
        <w:rPr>
          <w:u w:val="single"/>
        </w:rPr>
        <w:t>Daniel Wehner, Personal Representative of the Estate of Dale Wehner v. Tr-Hospital Emergency Medical Services Corporation, et al</w:t>
      </w:r>
      <w:r>
        <w:t xml:space="preserve">, the Court of Appeals of Michigan held (3 to 0) that lawsuit should be reinstated, since there is some evidence of “gross negligence” when EMS did not transport a COVID patient on two calls (Oct. 3, </w:t>
      </w:r>
      <w:proofErr w:type="gramStart"/>
      <w:r>
        <w:t>2021</w:t>
      </w:r>
      <w:proofErr w:type="gramEnd"/>
      <w:r>
        <w:t xml:space="preserve"> and Oct. 5, 2021). Whether Dale </w:t>
      </w:r>
      <w:proofErr w:type="gramStart"/>
      <w:r>
        <w:t>actually signed</w:t>
      </w:r>
      <w:proofErr w:type="gramEnd"/>
      <w:r>
        <w:t xml:space="preserve"> or initialed the refusal forms is in dispute; his name is badly misspelled on Oct. 3 report; and only initials were on the Oct. 5 report. </w:t>
      </w:r>
      <w:hyperlink r:id="rId2115" w:history="1">
        <w:r w:rsidRPr="00356365">
          <w:rPr>
            <w:rStyle w:val="Hyperlink"/>
          </w:rPr>
          <w:t>https://www.michbar.org/Portals/0/opinions/appeals/2025/102325/84576.pdf</w:t>
        </w:r>
      </w:hyperlink>
      <w:r>
        <w:t xml:space="preserve"> </w:t>
      </w:r>
    </w:p>
    <w:p w14:paraId="24ECD089" w14:textId="77777777" w:rsidR="00F515BD" w:rsidRDefault="00F515BD" w:rsidP="00F515BD">
      <w:pPr>
        <w:spacing w:after="0"/>
      </w:pPr>
    </w:p>
    <w:p w14:paraId="2C08CE78" w14:textId="77777777" w:rsidR="00F515BD" w:rsidRDefault="00F515BD" w:rsidP="00F515BD">
      <w:pPr>
        <w:spacing w:after="0"/>
      </w:pPr>
      <w:r>
        <w:t xml:space="preserve">COURT HELD:  </w:t>
      </w:r>
    </w:p>
    <w:p w14:paraId="68E59BFF" w14:textId="77777777" w:rsidR="00F515BD" w:rsidRDefault="00F515BD" w:rsidP="00F515BD">
      <w:pPr>
        <w:spacing w:after="0"/>
      </w:pPr>
    </w:p>
    <w:p w14:paraId="4B9E6DA3" w14:textId="77777777" w:rsidR="00F515BD" w:rsidRDefault="00F515BD" w:rsidP="00F515BD">
      <w:pPr>
        <w:spacing w:after="0"/>
        <w:ind w:left="720"/>
      </w:pPr>
      <w:r>
        <w:t xml:space="preserve">“Here, plaintiff alleges that defendants told Dale that he would be fine and that he should not go to the hospital because it was full. In contrast, each defendant [EMS] testified that Dale’s condition was so dire that it was imperative that he </w:t>
      </w:r>
      <w:proofErr w:type="gramStart"/>
      <w:r>
        <w:t>go</w:t>
      </w:r>
      <w:proofErr w:type="gramEnd"/>
      <w:r>
        <w:t xml:space="preserve"> to the hospital. In fact, they have consistently argued that Dale was advised of the risks of declining treatment, yet he voluntarily chose not to be transported to the hospital for further evaluation or treatment. In support, defendants [EMS] rely on their own testimony and the assertion that Dale, on October 3rd, purportedly signed his name in the signature box acknowledging that he was declining treatment and transport, and on October 5th, he purportedly placed his initials in the relevant signature box. Whether Dale </w:t>
      </w:r>
      <w:proofErr w:type="gramStart"/>
      <w:r>
        <w:t>actually signed</w:t>
      </w:r>
      <w:proofErr w:type="gramEnd"/>
      <w:r>
        <w:t xml:space="preserve"> or initialed the documents is in dispute. It is notable that Dale’s name is badly misspelled in the signature box of the Patient Care Report (PCR) generated for the October 3rd ambulance run (‘</w:t>
      </w:r>
      <w:proofErr w:type="spellStart"/>
      <w:r>
        <w:t>Sehren</w:t>
      </w:r>
      <w:proofErr w:type="spellEnd"/>
      <w:r>
        <w:t xml:space="preserve">’ rather than ‘Wehner’), and only the initials ‘DW; were placed in the signature box relative to the October 5th run. *** Added to these discrepancies, Grace Warmbier, a trained document examiner, examined the signature and initials in the signature boxes acknowledging the refusal of treatment or transport. She compared those signatures to known handwriting samples and concluded that Dale did not sign the refusal of services. The foregoing evidence casts sufficient doubt on the assertion that Dale placed his signature and initials in the signature boxes acknowledging that the risks had been explained and he was nonetheless refusing services and transportation to the hospital. If Dale did not sign the acknowledgments, then this would be a particularly relevant piece of </w:t>
      </w:r>
      <w:proofErr w:type="gramStart"/>
      <w:r>
        <w:t>evidence.”</w:t>
      </w:r>
      <w:proofErr w:type="gramEnd"/>
      <w:r>
        <w:t xml:space="preserve"> </w:t>
      </w:r>
    </w:p>
    <w:p w14:paraId="17E0E48D" w14:textId="77777777" w:rsidR="00F515BD" w:rsidRDefault="00F515BD" w:rsidP="00F515BD">
      <w:pPr>
        <w:spacing w:after="0"/>
        <w:rPr>
          <w:b/>
          <w:bCs/>
        </w:rPr>
      </w:pPr>
    </w:p>
    <w:p w14:paraId="29ACC300" w14:textId="50A84284" w:rsidR="00F515BD" w:rsidRDefault="00F515BD" w:rsidP="00F515BD">
      <w:pPr>
        <w:spacing w:after="0"/>
        <w:rPr>
          <w:b/>
          <w:bCs/>
        </w:rPr>
      </w:pPr>
      <w:r>
        <w:rPr>
          <w:b/>
        </w:rPr>
        <w:t>Lesson Learned: If patient signature is misspelled, or initials unclear, ask spouse to co-sign.</w:t>
      </w:r>
    </w:p>
    <w:p w14:paraId="63C19F4E" w14:textId="77777777" w:rsidR="00F515BD" w:rsidRDefault="00F515BD" w:rsidP="00F515BD">
      <w:pPr>
        <w:spacing w:after="0"/>
        <w:rPr>
          <w:b/>
          <w:bCs/>
        </w:rPr>
      </w:pPr>
    </w:p>
    <w:p w14:paraId="49DFB6BD" w14:textId="77777777" w:rsidR="00F515BD" w:rsidRDefault="00F515BD" w:rsidP="00004498">
      <w:pPr>
        <w:rPr>
          <w:rFonts w:ascii="Arial Black" w:hAnsi="Arial Black"/>
          <w:b/>
          <w:bCs/>
          <w:sz w:val="24"/>
          <w:szCs w:val="24"/>
        </w:rPr>
      </w:pPr>
    </w:p>
    <w:p w14:paraId="355C7E01" w14:textId="3CED3CB6" w:rsidR="006D545F" w:rsidRDefault="00F62795" w:rsidP="00004498">
      <w:pPr>
        <w:rPr>
          <w:rFonts w:ascii="Arial Black" w:hAnsi="Arial Black"/>
          <w:b/>
          <w:bCs/>
          <w:sz w:val="24"/>
          <w:szCs w:val="24"/>
        </w:rPr>
      </w:pPr>
      <w:r>
        <w:rPr>
          <w:rFonts w:ascii="Arial Black" w:hAnsi="Arial Black"/>
          <w:b/>
          <w:bCs/>
          <w:sz w:val="24"/>
          <w:szCs w:val="24"/>
        </w:rPr>
        <w:t>13-22</w:t>
      </w:r>
      <w:r w:rsidR="00524647">
        <w:rPr>
          <w:rFonts w:ascii="Arial Black" w:hAnsi="Arial Black"/>
          <w:b/>
          <w:bCs/>
          <w:sz w:val="24"/>
          <w:szCs w:val="24"/>
        </w:rPr>
        <w:t>8</w:t>
      </w:r>
    </w:p>
    <w:p w14:paraId="3798C4BA" w14:textId="5A41B9BD" w:rsidR="00550025" w:rsidRPr="0073614C" w:rsidRDefault="00550025" w:rsidP="00550025">
      <w:pPr>
        <w:pStyle w:val="NoSpacing"/>
        <w:rPr>
          <w:rFonts w:ascii="Arial Black" w:hAnsi="Arial Black"/>
          <w:b/>
          <w:sz w:val="28"/>
          <w:szCs w:val="28"/>
        </w:rPr>
      </w:pPr>
      <w:r>
        <w:rPr>
          <w:rFonts w:ascii="Arial Black" w:hAnsi="Arial Black"/>
          <w:b/>
          <w:sz w:val="28"/>
          <w:szCs w:val="28"/>
        </w:rPr>
        <w:t xml:space="preserve">NJ: PT TRIED JUMP </w:t>
      </w:r>
      <w:r w:rsidR="00FA7170">
        <w:rPr>
          <w:rFonts w:ascii="Arial Black" w:hAnsi="Arial Black"/>
          <w:b/>
          <w:sz w:val="28"/>
          <w:szCs w:val="28"/>
        </w:rPr>
        <w:t xml:space="preserve">OUT </w:t>
      </w:r>
      <w:r>
        <w:rPr>
          <w:rFonts w:ascii="Arial Black" w:hAnsi="Arial Black"/>
          <w:b/>
          <w:sz w:val="28"/>
          <w:szCs w:val="28"/>
        </w:rPr>
        <w:t>AMBUL – STOPPED – NO LIAB / ANKLE</w:t>
      </w:r>
    </w:p>
    <w:p w14:paraId="7ABFEEC1" w14:textId="77777777" w:rsidR="00550025" w:rsidRDefault="00550025" w:rsidP="00550025">
      <w:pPr>
        <w:pStyle w:val="NoSpacing"/>
        <w:rPr>
          <w:b/>
        </w:rPr>
      </w:pPr>
    </w:p>
    <w:p w14:paraId="3037647D" w14:textId="77777777" w:rsidR="00550025" w:rsidRDefault="00550025" w:rsidP="00550025">
      <w:pPr>
        <w:pStyle w:val="NoSpacing"/>
        <w:rPr>
          <w:b/>
        </w:rPr>
      </w:pPr>
      <w:r>
        <w:t xml:space="preserve">On Oct. 22, 2025, in </w:t>
      </w:r>
      <w:r w:rsidRPr="00741E4D">
        <w:rPr>
          <w:u w:val="single"/>
        </w:rPr>
        <w:t>Sandra Poling v. Atlantic Mobile Health, et al</w:t>
      </w:r>
      <w:r>
        <w:t xml:space="preserve">., the </w:t>
      </w:r>
      <w:r w:rsidRPr="00741E4D">
        <w:t>Superior Court of New Jersey, Appellate Division</w:t>
      </w:r>
      <w:r>
        <w:t xml:space="preserve"> held (3 to 0) that trial court properly granted summary judgment to the ambulance company and two EMTs.  The plaintiff claimed that EMT broke her ankle when preventing her from jumping out of a moving ambulance (MD testimony - doubtful he caused injury) and she provided no expert to testify that EMT acted inappropriately in retaining her by the ambulance side exert door.  </w:t>
      </w:r>
      <w:hyperlink r:id="rId2116" w:history="1">
        <w:r w:rsidRPr="00F346A5">
          <w:rPr>
            <w:rStyle w:val="Hyperlink"/>
            <w:b/>
          </w:rPr>
          <w:t>https://www.njcourts.gov/system/files/court-opinions/2025/a0275-24.pdf</w:t>
        </w:r>
      </w:hyperlink>
      <w:r>
        <w:rPr>
          <w:b/>
        </w:rPr>
        <w:t xml:space="preserve"> </w:t>
      </w:r>
    </w:p>
    <w:p w14:paraId="5816EB59" w14:textId="77777777" w:rsidR="00550025" w:rsidRDefault="00550025" w:rsidP="00550025">
      <w:pPr>
        <w:pStyle w:val="NoSpacing"/>
        <w:rPr>
          <w:b/>
        </w:rPr>
      </w:pPr>
    </w:p>
    <w:p w14:paraId="024F8A4E" w14:textId="77777777" w:rsidR="00550025" w:rsidRDefault="00550025" w:rsidP="00550025">
      <w:pPr>
        <w:pStyle w:val="NoSpacing"/>
        <w:rPr>
          <w:bCs/>
        </w:rPr>
      </w:pPr>
      <w:r w:rsidRPr="00BF18DF">
        <w:t xml:space="preserve">THE COURT HELD: </w:t>
      </w:r>
    </w:p>
    <w:p w14:paraId="40798510" w14:textId="77777777" w:rsidR="00550025" w:rsidRDefault="00550025" w:rsidP="00550025">
      <w:pPr>
        <w:pStyle w:val="NoSpacing"/>
        <w:rPr>
          <w:bCs/>
        </w:rPr>
      </w:pPr>
    </w:p>
    <w:p w14:paraId="10F28F88" w14:textId="77777777" w:rsidR="00550025" w:rsidRDefault="00550025" w:rsidP="00550025">
      <w:pPr>
        <w:pStyle w:val="NoSpacing"/>
        <w:ind w:left="720"/>
      </w:pPr>
      <w:r>
        <w:t>“The trial court dismissed plaintiff's complaint determining plaintiff raised claims of professional negligence for injuries sustained during ambulance transport but failed to</w:t>
      </w:r>
    </w:p>
    <w:p w14:paraId="44792148" w14:textId="77777777" w:rsidR="00550025" w:rsidRDefault="00550025" w:rsidP="00550025">
      <w:pPr>
        <w:pStyle w:val="NoSpacing"/>
        <w:ind w:left="720"/>
      </w:pPr>
      <w:r>
        <w:t>provide expert proof regarding the standard of care or breach by defendant emergency responders. We affirm.</w:t>
      </w:r>
    </w:p>
    <w:p w14:paraId="75FEAEEE" w14:textId="77777777" w:rsidR="00550025" w:rsidRDefault="00550025" w:rsidP="00550025">
      <w:pPr>
        <w:pStyle w:val="NoSpacing"/>
        <w:ind w:left="720"/>
      </w:pPr>
    </w:p>
    <w:p w14:paraId="4689D041" w14:textId="77777777" w:rsidR="00550025" w:rsidRDefault="00550025" w:rsidP="00550025">
      <w:pPr>
        <w:pStyle w:val="NoSpacing"/>
        <w:ind w:left="720"/>
      </w:pPr>
      <w:r>
        <w:t>***</w:t>
      </w:r>
    </w:p>
    <w:p w14:paraId="300727C1" w14:textId="77777777" w:rsidR="00550025" w:rsidRDefault="00550025" w:rsidP="00550025">
      <w:pPr>
        <w:pStyle w:val="NoSpacing"/>
        <w:ind w:left="720"/>
      </w:pPr>
      <w:r>
        <w:t>Although the precise movements utilized by [EMT] Vazquez to stabilize plaintiff were disputed, the critical material facts were not. Plaintiff was intoxicated, argumentative, and defiant of orders. She removed safety restraints, moved off the stretcher, and vaped all while the vehicle was moving on the roadway. This was a rapidly changing situation in which plaintiff's erratic conduct escalated and potentially threatened her safety. At the time plaintiff admittedly threatened to jump out of the moving ambulance, Vazquez, a licensed and trained emergency response professional, was faced ‘with a split-second decision,’ which implicated multiple complex factors and considerations. These included Vazquez's and Golightly's relevant prior training, applicable safety standards, plaintiff's unpredictable behavior and belligerence, her intoxication and unwillingness to comply with orders or maintain restraints for her own security, the EMTs' understanding of layout of the ambulance as it impacted the ability to control the situation to protect plaintiff from harm, and the options for most-safely subduing plaintiff and preventing her movement in light of all the failed attempts to gain her compliance.</w:t>
      </w:r>
    </w:p>
    <w:p w14:paraId="1D8CDE4C" w14:textId="77777777" w:rsidR="00550025" w:rsidRDefault="00550025" w:rsidP="00550025">
      <w:pPr>
        <w:pStyle w:val="NoSpacing"/>
        <w:ind w:left="720"/>
      </w:pPr>
    </w:p>
    <w:p w14:paraId="4038D284" w14:textId="77777777" w:rsidR="00550025" w:rsidRDefault="00550025" w:rsidP="00550025">
      <w:pPr>
        <w:pStyle w:val="NoSpacing"/>
        <w:ind w:left="720"/>
      </w:pPr>
      <w:r>
        <w:t>***</w:t>
      </w:r>
    </w:p>
    <w:p w14:paraId="5EF0E1AD" w14:textId="77777777" w:rsidR="00550025" w:rsidRDefault="00550025" w:rsidP="00550025">
      <w:pPr>
        <w:pStyle w:val="NoSpacing"/>
        <w:ind w:left="720"/>
      </w:pPr>
    </w:p>
    <w:p w14:paraId="5A0E8DE0" w14:textId="77777777" w:rsidR="00550025" w:rsidRDefault="00550025" w:rsidP="00550025">
      <w:pPr>
        <w:pStyle w:val="NoSpacing"/>
        <w:ind w:left="720"/>
      </w:pPr>
      <w:r>
        <w:t xml:space="preserve">Defendants also retained Paul A. Werfel, MS, NR-P, a professional paramedic and Assistant Professor of Clinical Emergency Medicine, as an expert on the standard of care for EMTs…. Professor Werfel recounted the details leading to the incident involving plaintiff. He noted that upon arrival, [EMT] Golightly and Vazquez encountered </w:t>
      </w:r>
      <w:proofErr w:type="gramStart"/>
      <w:r>
        <w:t>plaintiff</w:t>
      </w:r>
      <w:proofErr w:type="gramEnd"/>
      <w:r>
        <w:t xml:space="preserve"> accompanied by police and in a highly intoxicated state. Citing plaintiff's deposition, he found plaintiff became agitated, unbuckled the stretcher's straps, began vaping, became more upset as Vazquez attempted to calm her down, and ‘stated to EMT Vazquez 'you don't give a f[***] about me, I am jumping out of this ambulance.’</w:t>
      </w:r>
    </w:p>
    <w:p w14:paraId="7B65B705" w14:textId="77777777" w:rsidR="00550025" w:rsidRDefault="00550025" w:rsidP="00550025">
      <w:pPr>
        <w:pStyle w:val="NoSpacing"/>
      </w:pPr>
    </w:p>
    <w:p w14:paraId="082B2332" w14:textId="77777777" w:rsidR="00550025" w:rsidRDefault="00550025" w:rsidP="00550025">
      <w:pPr>
        <w:pStyle w:val="NoSpacing"/>
      </w:pPr>
    </w:p>
    <w:p w14:paraId="79F1E9B0" w14:textId="77777777" w:rsidR="00550025" w:rsidRDefault="00550025" w:rsidP="00550025">
      <w:pPr>
        <w:pStyle w:val="NoSpacing"/>
        <w:ind w:left="720"/>
      </w:pPr>
      <w:r>
        <w:t>The expert opined defendants' conduct was ‘what one should expect from an ambulance crew and [</w:t>
      </w:r>
      <w:proofErr w:type="spellStart"/>
      <w:proofErr w:type="gramStart"/>
      <w:r>
        <w:t>wa</w:t>
      </w:r>
      <w:proofErr w:type="spellEnd"/>
      <w:r>
        <w:t>]s</w:t>
      </w:r>
      <w:proofErr w:type="gramEnd"/>
      <w:r>
        <w:t xml:space="preserve"> well within the standard of care.’ He concluded Vazquez and Golightly ‘were faced with an intoxicated, and uncooperative patient [who] ultimately became verbally and physically abusive during transport.’ He determined that both Vazquez and Golightly were adequately trained and conducted themselves within the standard of care for EMTs throughout their interaction with plaintiff. Further, he found ‘Vazquez responded emergently to the fact that [plaintiff] created a very real threat to herself by attempting to open the door to the ambulance and jump out while the truck was moving’ and he ‘did very well to try and de-escalate the situation.’ </w:t>
      </w:r>
    </w:p>
    <w:p w14:paraId="509EEB70" w14:textId="77777777" w:rsidR="00550025" w:rsidRDefault="00550025" w:rsidP="00550025">
      <w:pPr>
        <w:pStyle w:val="NoSpacing"/>
        <w:ind w:left="720"/>
      </w:pPr>
    </w:p>
    <w:p w14:paraId="7BBB141B" w14:textId="77777777" w:rsidR="00550025" w:rsidRDefault="00550025" w:rsidP="00550025">
      <w:pPr>
        <w:pStyle w:val="NoSpacing"/>
        <w:ind w:left="720"/>
        <w:rPr>
          <w:b/>
        </w:rPr>
      </w:pPr>
      <w:r>
        <w:t>***</w:t>
      </w:r>
    </w:p>
    <w:p w14:paraId="52FF49A4" w14:textId="77777777" w:rsidR="00550025" w:rsidRDefault="00550025" w:rsidP="00550025">
      <w:pPr>
        <w:pStyle w:val="NoSpacing"/>
        <w:rPr>
          <w:b/>
        </w:rPr>
      </w:pPr>
    </w:p>
    <w:p w14:paraId="26B8FFE8" w14:textId="77777777" w:rsidR="00550025" w:rsidRDefault="00550025" w:rsidP="00550025">
      <w:pPr>
        <w:pStyle w:val="NoSpacing"/>
        <w:ind w:left="720"/>
      </w:pPr>
      <w:r>
        <w:t>Plaintiff neither presented an expert report nor attempted to depose defendants' expert. Thus, based on the record before it, the [trial] court properly dismissed plaintiff's claims.”</w:t>
      </w:r>
    </w:p>
    <w:p w14:paraId="223E2D44" w14:textId="77777777" w:rsidR="00550025" w:rsidRDefault="00550025" w:rsidP="00550025">
      <w:pPr>
        <w:pStyle w:val="NoSpacing"/>
        <w:ind w:left="720"/>
      </w:pPr>
    </w:p>
    <w:p w14:paraId="465B5634" w14:textId="43E68073" w:rsidR="00550025" w:rsidRPr="0075792F" w:rsidRDefault="00550025" w:rsidP="00550025">
      <w:pPr>
        <w:pStyle w:val="NoSpacing"/>
        <w:rPr>
          <w:b/>
          <w:bCs/>
        </w:rPr>
      </w:pPr>
      <w:r>
        <w:rPr>
          <w:b/>
        </w:rPr>
        <w:t xml:space="preserve">Lesson learned: The EMS run report thoroughly documented efforts to prevent the drunk and belligerent patient from jumping out of a moving ambulance. </w:t>
      </w:r>
    </w:p>
    <w:p w14:paraId="3906F430" w14:textId="77777777" w:rsidR="00550025" w:rsidRPr="00F02C51" w:rsidRDefault="00550025" w:rsidP="00550025">
      <w:pPr>
        <w:spacing w:after="0"/>
        <w:rPr>
          <w:b/>
          <w:bCs/>
        </w:rPr>
      </w:pPr>
    </w:p>
    <w:p w14:paraId="5AD2B379" w14:textId="77777777" w:rsidR="00550025" w:rsidRDefault="00550025" w:rsidP="00550025">
      <w:pPr>
        <w:spacing w:after="0"/>
      </w:pPr>
    </w:p>
    <w:p w14:paraId="28720B74" w14:textId="77777777" w:rsidR="004612E3" w:rsidRDefault="004612E3" w:rsidP="00004498">
      <w:pPr>
        <w:rPr>
          <w:rFonts w:ascii="Arial Black" w:hAnsi="Arial Black"/>
          <w:b/>
          <w:bCs/>
          <w:sz w:val="24"/>
          <w:szCs w:val="24"/>
        </w:rPr>
      </w:pPr>
    </w:p>
    <w:p w14:paraId="15B15960" w14:textId="77777777" w:rsidR="004612E3" w:rsidRDefault="004612E3" w:rsidP="00004498">
      <w:pPr>
        <w:rPr>
          <w:rFonts w:ascii="Arial Black" w:hAnsi="Arial Black"/>
          <w:b/>
          <w:bCs/>
          <w:sz w:val="24"/>
          <w:szCs w:val="24"/>
        </w:rPr>
      </w:pPr>
    </w:p>
    <w:p w14:paraId="56C491E4" w14:textId="77777777" w:rsidR="004612E3" w:rsidRDefault="004612E3" w:rsidP="00004498">
      <w:pPr>
        <w:rPr>
          <w:rFonts w:ascii="Arial Black" w:hAnsi="Arial Black"/>
          <w:b/>
          <w:bCs/>
          <w:sz w:val="24"/>
          <w:szCs w:val="24"/>
        </w:rPr>
      </w:pPr>
    </w:p>
    <w:p w14:paraId="7777C148" w14:textId="4455E4D2"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7</w:t>
      </w:r>
    </w:p>
    <w:p w14:paraId="5AEEA28F" w14:textId="3C114372" w:rsidR="00A96BBF" w:rsidRDefault="00A96BBF" w:rsidP="00A96BBF">
      <w:pPr>
        <w:pStyle w:val="NoSpacing"/>
        <w:rPr>
          <w:rFonts w:ascii="Arial Black" w:hAnsi="Arial Black"/>
          <w:bCs/>
          <w:sz w:val="28"/>
          <w:szCs w:val="28"/>
        </w:rPr>
      </w:pPr>
      <w:r>
        <w:rPr>
          <w:rFonts w:ascii="Arial Black" w:hAnsi="Arial Black"/>
          <w:sz w:val="28"/>
          <w:szCs w:val="28"/>
        </w:rPr>
        <w:t>A</w:t>
      </w:r>
      <w:r w:rsidR="00F95C6C">
        <w:rPr>
          <w:rFonts w:ascii="Arial Black" w:hAnsi="Arial Black"/>
          <w:sz w:val="28"/>
          <w:szCs w:val="28"/>
        </w:rPr>
        <w:t>Z</w:t>
      </w:r>
      <w:r>
        <w:rPr>
          <w:rFonts w:ascii="Arial Black" w:hAnsi="Arial Black"/>
          <w:sz w:val="28"/>
          <w:szCs w:val="28"/>
        </w:rPr>
        <w:t xml:space="preserve">: OVERDOSE – </w:t>
      </w:r>
      <w:r w:rsidR="008D3A9B">
        <w:rPr>
          <w:rFonts w:ascii="Arial Black" w:hAnsi="Arial Black"/>
          <w:sz w:val="28"/>
          <w:szCs w:val="28"/>
        </w:rPr>
        <w:t xml:space="preserve">PT </w:t>
      </w:r>
      <w:r>
        <w:rPr>
          <w:rFonts w:ascii="Arial Black" w:hAnsi="Arial Black"/>
          <w:sz w:val="28"/>
          <w:szCs w:val="28"/>
        </w:rPr>
        <w:t>CALL MEDICAL HELP – CAN’T PROSECUTE</w:t>
      </w:r>
    </w:p>
    <w:p w14:paraId="0FDF4036" w14:textId="77777777" w:rsidR="00A96BBF" w:rsidRDefault="00A96BBF" w:rsidP="00A96BBF">
      <w:pPr>
        <w:pStyle w:val="NoSpacing"/>
        <w:rPr>
          <w:bCs/>
        </w:rPr>
      </w:pPr>
    </w:p>
    <w:p w14:paraId="02AF1F8D" w14:textId="46D581CF" w:rsidR="00A96BBF" w:rsidRDefault="00A96BBF" w:rsidP="00A96BBF">
      <w:pPr>
        <w:pStyle w:val="NoSpacing"/>
        <w:rPr>
          <w:bCs/>
        </w:rPr>
      </w:pPr>
      <w:r>
        <w:t xml:space="preserve">On September 25, 2025, in </w:t>
      </w:r>
      <w:r w:rsidRPr="001470E9">
        <w:rPr>
          <w:u w:val="single"/>
        </w:rPr>
        <w:t>State of Arizona v. Corinthian Jerry Johnson</w:t>
      </w:r>
      <w:r>
        <w:t xml:space="preserve">, the </w:t>
      </w:r>
      <w:r w:rsidRPr="0069190C">
        <w:t>Court of Appeals of Arizona, First Division</w:t>
      </w:r>
      <w:r>
        <w:t xml:space="preserve"> held (3 to 0) that trial court properly dismissed possession and use of narcotic charges, since casino Security Guard called 911 when he observed the defendant passed out in his car.</w:t>
      </w:r>
      <w:r w:rsidR="00B9006C">
        <w:t xml:space="preserve"> </w:t>
      </w:r>
      <w:hyperlink r:id="rId2117" w:history="1">
        <w:r w:rsidR="00B9006C" w:rsidRPr="003870A5">
          <w:rPr>
            <w:rStyle w:val="Hyperlink"/>
          </w:rPr>
          <w:t>https://jpr.azcourts.gov/Portals/0/OpinionFiles/Div1/2025/1%20CA-CR%2024-0549%20Johnson.pdf</w:t>
        </w:r>
      </w:hyperlink>
      <w:r w:rsidR="00B9006C">
        <w:t xml:space="preserve"> </w:t>
      </w:r>
    </w:p>
    <w:p w14:paraId="135A2616" w14:textId="77777777" w:rsidR="00A96BBF" w:rsidRDefault="00A96BBF" w:rsidP="00A96BBF">
      <w:pPr>
        <w:pStyle w:val="NoSpacing"/>
        <w:rPr>
          <w:bCs/>
        </w:rPr>
      </w:pPr>
    </w:p>
    <w:p w14:paraId="0473E6E0" w14:textId="77777777" w:rsidR="00A96BBF" w:rsidRDefault="00A96BBF" w:rsidP="00A96BBF">
      <w:pPr>
        <w:pStyle w:val="NoSpacing"/>
      </w:pPr>
      <w:r w:rsidRPr="000E2BDC">
        <w:rPr>
          <w:b/>
        </w:rPr>
        <w:t>THE COURT HELD:</w:t>
      </w:r>
      <w:r>
        <w:rPr>
          <w:b/>
        </w:rPr>
        <w:t xml:space="preserve"> “</w:t>
      </w:r>
      <w:r w:rsidRPr="00686F6C">
        <w:t>In response to Johnson’s motion, the State insisted that A.R.S.</w:t>
      </w:r>
      <w:r>
        <w:t xml:space="preserve"> </w:t>
      </w:r>
      <w:r w:rsidRPr="00686F6C">
        <w:t>§ 13-3423(B) confers immunity only to defendants who are actively</w:t>
      </w:r>
      <w:r>
        <w:t xml:space="preserve"> </w:t>
      </w:r>
      <w:r w:rsidRPr="00686F6C">
        <w:t>overdosing at the time the evidence supporting their charges is discovered.</w:t>
      </w:r>
      <w:r>
        <w:t xml:space="preserve"> </w:t>
      </w:r>
      <w:r w:rsidRPr="00686F6C">
        <w:t xml:space="preserve">The State conceded that Johnson was </w:t>
      </w:r>
      <w:r>
        <w:t>o</w:t>
      </w:r>
      <w:r w:rsidRPr="00686F6C">
        <w:t>verdosing by the time he was treated</w:t>
      </w:r>
      <w:r>
        <w:t xml:space="preserve"> </w:t>
      </w:r>
      <w:r w:rsidRPr="00686F6C">
        <w:t>by the hospital, but it claimed that a question of fact still existed as to</w:t>
      </w:r>
      <w:r>
        <w:t xml:space="preserve"> </w:t>
      </w:r>
      <w:r w:rsidRPr="00686F6C">
        <w:t>whether Johnson was overdosing during the welfare check. The State</w:t>
      </w:r>
      <w:r>
        <w:t xml:space="preserve"> </w:t>
      </w:r>
      <w:r w:rsidRPr="00686F6C">
        <w:t>argued that dismissal would therefore be inappropriate without an</w:t>
      </w:r>
      <w:r>
        <w:t xml:space="preserve"> </w:t>
      </w:r>
      <w:r w:rsidRPr="00686F6C">
        <w:t>evidentiary hearing to determine the timing of Johnson’s overdose</w:t>
      </w:r>
      <w:r>
        <w:t>…. Here, undisputed facts established each element of A.R.S. §</w:t>
      </w:r>
    </w:p>
    <w:p w14:paraId="6D6CD16D" w14:textId="77777777" w:rsidR="00A96BBF" w:rsidRDefault="00A96BBF" w:rsidP="00A96BBF">
      <w:pPr>
        <w:pStyle w:val="NoSpacing"/>
      </w:pPr>
      <w:r>
        <w:t xml:space="preserve">13-3423(B). The police officer discovered Johnson’s drug paraphernalia due to the security guard’s request for a welfare check. The officer suspected that Johnson needed medical care for an overdose and sought medical care accordingly. And Johnson did experience an overdose and did need medical assistance, as his hospital treatment later confirmed.”  </w:t>
      </w:r>
      <w:hyperlink r:id="rId2118" w:history="1">
        <w:r w:rsidRPr="00313D33">
          <w:rPr>
            <w:rStyle w:val="Hyperlink"/>
          </w:rPr>
          <w:t>https://jpr.azcourts.gov/Portals/0/OpinionFiles/Div1/2025/1%20CA-CR%2024-0549%20Johnson.pdf</w:t>
        </w:r>
      </w:hyperlink>
      <w:r>
        <w:t xml:space="preserve"> </w:t>
      </w:r>
    </w:p>
    <w:p w14:paraId="02AB2954" w14:textId="77777777" w:rsidR="00A96BBF" w:rsidRDefault="00A96BBF" w:rsidP="00A96BBF">
      <w:pPr>
        <w:pStyle w:val="NoSpacing"/>
      </w:pPr>
    </w:p>
    <w:p w14:paraId="7B5D3030" w14:textId="77777777" w:rsidR="00A96BBF" w:rsidRDefault="00A96BBF" w:rsidP="00A96BBF">
      <w:pPr>
        <w:pStyle w:val="NoSpacing"/>
      </w:pPr>
      <w:r w:rsidRPr="00A044B1">
        <w:rPr>
          <w:b/>
        </w:rPr>
        <w:t>KEY FACTS</w:t>
      </w:r>
      <w:r>
        <w:t>:</w:t>
      </w:r>
    </w:p>
    <w:p w14:paraId="410E95E1" w14:textId="77777777" w:rsidR="00A96BBF" w:rsidRDefault="00A96BBF" w:rsidP="00A96BBF">
      <w:pPr>
        <w:pStyle w:val="NoSpacing"/>
      </w:pPr>
    </w:p>
    <w:p w14:paraId="6798ADA1" w14:textId="77777777" w:rsidR="00A96BBF" w:rsidRDefault="00A96BBF" w:rsidP="00A96BBF">
      <w:pPr>
        <w:pStyle w:val="NoSpacing"/>
        <w:ind w:left="720"/>
      </w:pPr>
      <w:r>
        <w:t>“In December 2022, a security guard was patrolling a casino’s parking garage at around 1:00 a.m. when he noticed Johnson ‘passed out’ in the front seat of a parked car with a glass pipe in his left hand and a lighter in his right hand. The guard requested a welfare check on Johnson. When a police officer arrived, an emergency medical technician (‘EMT’) from the casino advised him that Johnson was breathing but appeared to</w:t>
      </w:r>
    </w:p>
    <w:p w14:paraId="6749F1F9" w14:textId="77777777" w:rsidR="00A96BBF" w:rsidRDefault="00A96BBF" w:rsidP="00A96BBF">
      <w:pPr>
        <w:pStyle w:val="NoSpacing"/>
        <w:ind w:firstLine="720"/>
      </w:pPr>
      <w:proofErr w:type="gramStart"/>
      <w:r>
        <w:t>be</w:t>
      </w:r>
      <w:proofErr w:type="gramEnd"/>
      <w:r>
        <w:t xml:space="preserve"> asleep.</w:t>
      </w:r>
    </w:p>
    <w:p w14:paraId="1AD4BA4C" w14:textId="77777777" w:rsidR="00A96BBF" w:rsidRDefault="00A96BBF" w:rsidP="00A96BBF">
      <w:pPr>
        <w:pStyle w:val="NoSpacing"/>
        <w:ind w:firstLine="720"/>
      </w:pPr>
    </w:p>
    <w:p w14:paraId="6DFBAB1B" w14:textId="77777777" w:rsidR="00A96BBF" w:rsidRDefault="00A96BBF" w:rsidP="00A96BBF">
      <w:pPr>
        <w:pStyle w:val="NoSpacing"/>
        <w:ind w:left="720"/>
      </w:pPr>
      <w:r>
        <w:t>The officer opened the car’s unlocked passenger door and startled Johnson awake. As the officer helped Johnson step out of the car, he noticed Johnson ‘had very ridged [sic] muscle tone ([c]</w:t>
      </w:r>
      <w:proofErr w:type="spellStart"/>
      <w:r>
        <w:t>ommonly</w:t>
      </w:r>
      <w:proofErr w:type="spellEnd"/>
      <w:r>
        <w:t xml:space="preserve"> observed with </w:t>
      </w:r>
      <w:proofErr w:type="gramStart"/>
      <w:r>
        <w:t>persons</w:t>
      </w:r>
      <w:proofErr w:type="gramEnd"/>
      <w:r>
        <w:t xml:space="preserve"> that have used methamphetamine)’ and appeared to have trouble maintaining his balance.</w:t>
      </w:r>
    </w:p>
    <w:p w14:paraId="6AE01F2C" w14:textId="77777777" w:rsidR="00A96BBF" w:rsidRDefault="00A96BBF" w:rsidP="00A96BBF">
      <w:pPr>
        <w:pStyle w:val="NoSpacing"/>
        <w:ind w:left="720"/>
      </w:pPr>
    </w:p>
    <w:p w14:paraId="3318B845" w14:textId="77777777" w:rsidR="00A96BBF" w:rsidRDefault="00A96BBF" w:rsidP="00A96BBF">
      <w:pPr>
        <w:pStyle w:val="NoSpacing"/>
        <w:ind w:left="720"/>
      </w:pPr>
      <w:r>
        <w:t>The officer arrested Johnson and searched his pockets, finding a lighter, box cutter, glass tube, and piece of foil. The officer then placed Johnson in his patrol car and asked Johnson his name, but Johnson refused to answer and appeared to be incoherent. Suspecting Johnson was overdosing on fentanyl, the officer contacted the Peoria Fire Department and asked the EMT to continue monitoring Johnson’s medical condition. In</w:t>
      </w:r>
    </w:p>
    <w:p w14:paraId="56620E73" w14:textId="77777777" w:rsidR="00A96BBF" w:rsidRDefault="00A96BBF" w:rsidP="00A96BBF">
      <w:pPr>
        <w:pStyle w:val="NoSpacing"/>
        <w:ind w:left="720"/>
      </w:pPr>
      <w:r>
        <w:t>the meantime, the officer searched Johnson’s vehicle and found a pouch containing another glass pipe, several blue pills, several empty plastic baggies with residue, and pieces of foil. In the foil pieces, he found more blue pills and a white crystalline substance.”</w:t>
      </w:r>
    </w:p>
    <w:p w14:paraId="0AD13463" w14:textId="77777777" w:rsidR="00A96BBF" w:rsidRDefault="00A96BBF" w:rsidP="00A96BBF">
      <w:pPr>
        <w:pStyle w:val="NoSpacing"/>
        <w:ind w:left="720"/>
      </w:pPr>
    </w:p>
    <w:p w14:paraId="16D36EF1" w14:textId="77777777" w:rsidR="00A96BBF" w:rsidRDefault="00A96BBF" w:rsidP="00A96BBF">
      <w:pPr>
        <w:pStyle w:val="NoSpacing"/>
        <w:rPr>
          <w:b/>
          <w:bCs/>
        </w:rPr>
      </w:pPr>
      <w:r>
        <w:rPr>
          <w:b/>
        </w:rPr>
        <w:t>Legal lesson learned:  Many states have enacted statutes to encourage overdose victims and others to call 911.</w:t>
      </w:r>
    </w:p>
    <w:p w14:paraId="4853D723" w14:textId="77777777" w:rsidR="00A96BBF" w:rsidRDefault="00A96BBF" w:rsidP="00A96BBF">
      <w:pPr>
        <w:pStyle w:val="NoSpacing"/>
        <w:rPr>
          <w:b/>
          <w:bCs/>
        </w:rPr>
      </w:pPr>
    </w:p>
    <w:p w14:paraId="53712D69" w14:textId="77777777" w:rsidR="00A96BBF" w:rsidRPr="00766927" w:rsidRDefault="00A96BBF" w:rsidP="00A96BBF">
      <w:pPr>
        <w:pStyle w:val="NoSpacing"/>
      </w:pPr>
      <w:r>
        <w:rPr>
          <w:b/>
        </w:rPr>
        <w:tab/>
      </w:r>
      <w:r w:rsidRPr="00766927">
        <w:t>Note:  Arizona Revised Statutes</w:t>
      </w:r>
      <w:r>
        <w:t xml:space="preserve"> </w:t>
      </w:r>
      <w:r w:rsidRPr="00766927">
        <w:t>(“A.R.S.”) section 13-3423(B), states:</w:t>
      </w:r>
    </w:p>
    <w:p w14:paraId="37E7EADD" w14:textId="77777777" w:rsidR="00A96BBF" w:rsidRPr="00766927" w:rsidRDefault="00A96BBF" w:rsidP="00A96BBF">
      <w:pPr>
        <w:pStyle w:val="NoSpacing"/>
        <w:ind w:left="720"/>
      </w:pPr>
      <w:r>
        <w:t>“</w:t>
      </w:r>
      <w:r w:rsidRPr="00766927">
        <w:t>A person who experiences a drug-related overdose,</w:t>
      </w:r>
      <w:r>
        <w:t xml:space="preserve"> </w:t>
      </w:r>
      <w:r w:rsidRPr="00766927">
        <w:t xml:space="preserve">who </w:t>
      </w:r>
      <w:proofErr w:type="gramStart"/>
      <w:r w:rsidRPr="00766927">
        <w:t>is in need of</w:t>
      </w:r>
      <w:proofErr w:type="gramEnd"/>
      <w:r w:rsidRPr="00766927">
        <w:t xml:space="preserve"> medical assistance and for whom medical</w:t>
      </w:r>
      <w:r>
        <w:t xml:space="preserve"> </w:t>
      </w:r>
      <w:r w:rsidRPr="00766927">
        <w:t>assistance is sought . . . may not be charged or prosecuted for</w:t>
      </w:r>
    </w:p>
    <w:p w14:paraId="5729F255" w14:textId="77777777" w:rsidR="00A96BBF" w:rsidRPr="00766927" w:rsidRDefault="00A96BBF" w:rsidP="00A96BBF">
      <w:pPr>
        <w:pStyle w:val="NoSpacing"/>
        <w:ind w:left="720"/>
      </w:pPr>
      <w:r w:rsidRPr="00766927">
        <w:t>the possession or use of a controlled substance or drug</w:t>
      </w:r>
      <w:r>
        <w:t xml:space="preserve"> </w:t>
      </w:r>
      <w:r w:rsidRPr="00766927">
        <w:t xml:space="preserve">paraphernalia if the evidence for the violation was gained </w:t>
      </w:r>
      <w:proofErr w:type="gramStart"/>
      <w:r w:rsidRPr="00766927">
        <w:t>as</w:t>
      </w:r>
      <w:r>
        <w:t xml:space="preserve"> </w:t>
      </w:r>
      <w:r w:rsidRPr="00766927">
        <w:t>a result of</w:t>
      </w:r>
      <w:proofErr w:type="gramEnd"/>
      <w:r w:rsidRPr="00766927">
        <w:t xml:space="preserve"> the person’s overdose and need for medical</w:t>
      </w:r>
    </w:p>
    <w:p w14:paraId="7F427CBE" w14:textId="77777777" w:rsidR="00A96BBF" w:rsidRPr="00766927" w:rsidRDefault="00A96BBF" w:rsidP="00A96BBF">
      <w:pPr>
        <w:pStyle w:val="NoSpacing"/>
        <w:ind w:firstLine="720"/>
      </w:pPr>
      <w:r w:rsidRPr="00766927">
        <w:t>assistance.</w:t>
      </w:r>
      <w:r>
        <w:t>”</w:t>
      </w:r>
    </w:p>
    <w:p w14:paraId="34B88B5F" w14:textId="77777777" w:rsidR="00A96BBF" w:rsidRDefault="00A96BBF" w:rsidP="00A96BBF">
      <w:pPr>
        <w:pStyle w:val="NoSpacing"/>
      </w:pPr>
    </w:p>
    <w:p w14:paraId="5C73A0DA" w14:textId="77777777" w:rsidR="00A96BBF" w:rsidRDefault="00A96BBF" w:rsidP="002B1283">
      <w:pPr>
        <w:rPr>
          <w:rFonts w:ascii="Arial Black" w:hAnsi="Arial Black"/>
          <w:b/>
          <w:bCs/>
          <w:sz w:val="28"/>
          <w:szCs w:val="28"/>
        </w:rPr>
      </w:pPr>
    </w:p>
    <w:p w14:paraId="33BDB765" w14:textId="380FD4CB"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6</w:t>
      </w:r>
    </w:p>
    <w:p w14:paraId="0C90D742" w14:textId="536F18A5" w:rsidR="00177852" w:rsidRDefault="00177852" w:rsidP="00177852">
      <w:pPr>
        <w:pStyle w:val="NoSpacing"/>
        <w:rPr>
          <w:rFonts w:ascii="Arial Black" w:hAnsi="Arial Black"/>
          <w:bCs/>
          <w:sz w:val="28"/>
          <w:szCs w:val="28"/>
        </w:rPr>
      </w:pPr>
      <w:r>
        <w:rPr>
          <w:rFonts w:ascii="Arial Black" w:hAnsi="Arial Black"/>
          <w:sz w:val="28"/>
          <w:szCs w:val="28"/>
        </w:rPr>
        <w:t>PA: PD PAT-DOWN</w:t>
      </w:r>
      <w:r w:rsidR="0074334C">
        <w:rPr>
          <w:rFonts w:ascii="Arial Black" w:hAnsi="Arial Black"/>
          <w:sz w:val="28"/>
          <w:szCs w:val="28"/>
        </w:rPr>
        <w:t xml:space="preserve"> UNLAWFUL </w:t>
      </w:r>
      <w:r>
        <w:rPr>
          <w:rFonts w:ascii="Arial Black" w:hAnsi="Arial Black"/>
          <w:sz w:val="28"/>
          <w:szCs w:val="28"/>
        </w:rPr>
        <w:t xml:space="preserve">– PRIOR EMS </w:t>
      </w:r>
      <w:r w:rsidR="00BE5B68">
        <w:rPr>
          <w:rFonts w:ascii="Arial Black" w:hAnsi="Arial Black"/>
          <w:sz w:val="28"/>
          <w:szCs w:val="28"/>
        </w:rPr>
        <w:t xml:space="preserve">PT </w:t>
      </w:r>
      <w:r>
        <w:rPr>
          <w:rFonts w:ascii="Arial Black" w:hAnsi="Arial Black"/>
          <w:sz w:val="28"/>
          <w:szCs w:val="28"/>
        </w:rPr>
        <w:t xml:space="preserve">TRANS - DRUGS </w:t>
      </w:r>
    </w:p>
    <w:p w14:paraId="2B9EB72D" w14:textId="77777777" w:rsidR="00177852" w:rsidRDefault="00177852" w:rsidP="00177852">
      <w:pPr>
        <w:pStyle w:val="NoSpacing"/>
      </w:pPr>
    </w:p>
    <w:p w14:paraId="3D7CDB88" w14:textId="77777777" w:rsidR="0060697B" w:rsidRDefault="00177852" w:rsidP="0060697B">
      <w:pPr>
        <w:pStyle w:val="NoSpacing"/>
      </w:pPr>
      <w:r>
        <w:t xml:space="preserve">On September 19, 2025, in </w:t>
      </w:r>
      <w:r w:rsidRPr="0053267A">
        <w:rPr>
          <w:u w:val="single"/>
        </w:rPr>
        <w:t>Commonwealth of Pennsylvania v. Andre N. Fulton</w:t>
      </w:r>
      <w:r>
        <w:t xml:space="preserve">, the Superior Court of Pennsylvania held (3 to 0) that trial court properly granted defense motion to suppress a straw found in patient’s pocket during pat-down, and </w:t>
      </w:r>
      <w:r w:rsidRPr="006448AB">
        <w:t xml:space="preserve">narcotics found inside the </w:t>
      </w:r>
      <w:r>
        <w:t xml:space="preserve">black </w:t>
      </w:r>
      <w:r w:rsidRPr="006448AB">
        <w:t>plastic bag</w:t>
      </w:r>
      <w:r>
        <w:t xml:space="preserve"> in the patient’s vehicle.  Patient at PA Turnpike restaurant </w:t>
      </w:r>
      <w:proofErr w:type="gramStart"/>
      <w:r>
        <w:t>not</w:t>
      </w:r>
      <w:proofErr w:type="gramEnd"/>
      <w:r>
        <w:t xml:space="preserve"> feeling well; he consented to Troopers looking for his keys and cell phone in his car before EMS transport to hospital.  </w:t>
      </w:r>
      <w:hyperlink r:id="rId2119" w:history="1">
        <w:r w:rsidR="0060697B" w:rsidRPr="000F3B38">
          <w:rPr>
            <w:rStyle w:val="Hyperlink"/>
          </w:rPr>
          <w:t>https://www.pacourts.us/assets/opinions/Superior/out/J-S30019-25o%20-%20106515413327511102.pdf?cb=1</w:t>
        </w:r>
      </w:hyperlink>
      <w:r w:rsidR="0060697B">
        <w:t xml:space="preserve"> </w:t>
      </w:r>
    </w:p>
    <w:p w14:paraId="02E5F5AB" w14:textId="79FEC153" w:rsidR="00177852" w:rsidRDefault="00177852" w:rsidP="00177852">
      <w:pPr>
        <w:pStyle w:val="NoSpacing"/>
      </w:pPr>
    </w:p>
    <w:p w14:paraId="4B0E5D10" w14:textId="77777777" w:rsidR="00177852" w:rsidRDefault="00177852" w:rsidP="00177852">
      <w:pPr>
        <w:pStyle w:val="NoSpacing"/>
      </w:pPr>
    </w:p>
    <w:p w14:paraId="011514A6" w14:textId="77777777" w:rsidR="00177852" w:rsidRDefault="00177852" w:rsidP="00177852">
      <w:pPr>
        <w:pStyle w:val="NoSpacing"/>
      </w:pPr>
      <w:r w:rsidRPr="00913B5B">
        <w:rPr>
          <w:b/>
        </w:rPr>
        <w:t>THE COURT HELD</w:t>
      </w:r>
      <w:r>
        <w:t>: “The Commonwealth argues the suppression court erred by finding police unlawfully (1) performed a pat-down search of Appellee’s person, where he was not under arrest and police had no suspicion he was armed or dangerous; (2) exceeded the scope of Appellee’s consent, when conducting a warrantless search of Appellee’s vehicle for certain items that Appellee asked police to retrieve; and (3) seized contraband from an opaque plastic bag in Appellee’s vehicle that police discovered during the search. After careful review, we affirm.</w:t>
      </w:r>
    </w:p>
    <w:p w14:paraId="20C5C2A7" w14:textId="77777777" w:rsidR="00177852" w:rsidRDefault="00177852" w:rsidP="00177852">
      <w:pPr>
        <w:pStyle w:val="NoSpacing"/>
      </w:pPr>
    </w:p>
    <w:p w14:paraId="5DC949CC" w14:textId="77777777" w:rsidR="00177852" w:rsidRDefault="00177852" w:rsidP="00177852">
      <w:pPr>
        <w:pStyle w:val="NoSpacing"/>
      </w:pPr>
      <w:r>
        <w:t>***</w:t>
      </w:r>
    </w:p>
    <w:p w14:paraId="0886C257" w14:textId="77777777" w:rsidR="00D553CE" w:rsidRDefault="00177852" w:rsidP="00177852">
      <w:pPr>
        <w:pStyle w:val="NoSpacing"/>
      </w:pPr>
      <w:r>
        <w:t xml:space="preserve">ln this case, there was no reasonable belief that [Appellee] was armed and dangerous. Thus, the pat-down was unlawful. Without probable cause to arrest, or without reasonable suspicion that [Appellee] had weapons on him, the pat-down was illegal and unconstitutional[; accordingly,] the item seized, namely the straw, was properly suppressed. Suppression Court Opinion, 4/1/25, at 16-17….  The suppression court’s foregoing analysis is supported by the record and the law, and we agree with its </w:t>
      </w:r>
      <w:proofErr w:type="gramStart"/>
      <w:r>
        <w:t>determination.”</w:t>
      </w:r>
      <w:proofErr w:type="gramEnd"/>
      <w:r>
        <w:t xml:space="preserve"> </w:t>
      </w:r>
    </w:p>
    <w:p w14:paraId="241F9584" w14:textId="77777777" w:rsidR="00177852" w:rsidRDefault="00177852" w:rsidP="00177852">
      <w:pPr>
        <w:pStyle w:val="NoSpacing"/>
      </w:pPr>
    </w:p>
    <w:p w14:paraId="6AB7A112" w14:textId="77777777" w:rsidR="00177852" w:rsidRDefault="00177852" w:rsidP="00177852">
      <w:pPr>
        <w:pStyle w:val="NoSpacing"/>
      </w:pPr>
      <w:r w:rsidRPr="00913B5B">
        <w:rPr>
          <w:b/>
        </w:rPr>
        <w:t>KEY FACTS</w:t>
      </w:r>
      <w:r>
        <w:t xml:space="preserve">: </w:t>
      </w:r>
    </w:p>
    <w:p w14:paraId="21AB319E" w14:textId="77777777" w:rsidR="00177852" w:rsidRDefault="00177852" w:rsidP="00177852">
      <w:pPr>
        <w:pStyle w:val="NoSpacing"/>
      </w:pPr>
    </w:p>
    <w:p w14:paraId="3F9B3A76" w14:textId="77777777" w:rsidR="00177852" w:rsidRDefault="00177852" w:rsidP="00177852">
      <w:pPr>
        <w:pStyle w:val="NoSpacing"/>
        <w:ind w:firstLine="720"/>
      </w:pPr>
      <w:r>
        <w:t>“The suppression court summarized the evidence presented at Appellee’s</w:t>
      </w:r>
    </w:p>
    <w:p w14:paraId="411EA652" w14:textId="77777777" w:rsidR="00177852" w:rsidRDefault="00177852" w:rsidP="00177852">
      <w:pPr>
        <w:pStyle w:val="NoSpacing"/>
        <w:ind w:firstLine="720"/>
      </w:pPr>
      <w:r>
        <w:t>suppression hearing in its order granting suppression:</w:t>
      </w:r>
    </w:p>
    <w:p w14:paraId="4FDF6F61" w14:textId="77777777" w:rsidR="00177852" w:rsidRDefault="00177852" w:rsidP="00177852">
      <w:pPr>
        <w:pStyle w:val="NoSpacing"/>
      </w:pPr>
    </w:p>
    <w:p w14:paraId="49C0C30A" w14:textId="77777777" w:rsidR="00177852" w:rsidRDefault="00177852" w:rsidP="00177852">
      <w:pPr>
        <w:pStyle w:val="NoSpacing"/>
        <w:ind w:left="720"/>
      </w:pPr>
      <w:r>
        <w:t xml:space="preserve">On March 16, 2023, at 12:45 a.m., [Pennsylvania State Police] Trooper Adam Shutter [(Trooper Shutter)] and Trooper Curtis Matthews [(Trooper Matthews) (collectively, ‘the Troopers’)] received a report of a male having a medical emergency at the Peter J. Camiel Service Plaza, [a] Pennsylvania Turnpike rest area [(the Plaza). N.T. (suppression hearing), 2/10/25, at 6, 21]. [Appellee] was seated at a table inside the Plaza. [Id. at 6-7, 22.] Trooper Shutter testified at [the suppression hearing] … that [Appellee] was sweaty and said he had taken an ecstasy pill earlier in </w:t>
      </w:r>
      <w:proofErr w:type="gramStart"/>
      <w:r>
        <w:t>Philadelphia, and</w:t>
      </w:r>
      <w:proofErr w:type="gramEnd"/>
      <w:r>
        <w:t xml:space="preserve"> was not feeling well. [Id. at 22; see also id. at 8 (Trooper Matthews’s consistent testimony).] [Appellee] requested emergency medical [services</w:t>
      </w:r>
      <w:proofErr w:type="gramStart"/>
      <w:r>
        <w:t>] (‘</w:t>
      </w:r>
      <w:proofErr w:type="gramEnd"/>
      <w:r>
        <w:t xml:space="preserve">EMS’). [Id. at 8, 22.] EMS [personnel] arrived and determined that [Appellee] needed to be transported to Reading Hospital for treatment. [Id. at 8, 24.] Trooper Shutter testified that he [performed] a </w:t>
      </w:r>
      <w:proofErr w:type="spellStart"/>
      <w:r>
        <w:t>‘pat</w:t>
      </w:r>
      <w:proofErr w:type="spellEnd"/>
      <w:r>
        <w:t xml:space="preserve"> down’ of [Appellee’s] person to ensure he had no weapons before he got into the ambulance. [Id. at 24-25.]</w:t>
      </w:r>
    </w:p>
    <w:p w14:paraId="03073891" w14:textId="77777777" w:rsidR="00177852" w:rsidRDefault="00177852" w:rsidP="00177852">
      <w:pPr>
        <w:pStyle w:val="NoSpacing"/>
        <w:ind w:left="720"/>
      </w:pPr>
    </w:p>
    <w:p w14:paraId="4711D5A9" w14:textId="6AE85825" w:rsidR="00177852" w:rsidRDefault="00177852" w:rsidP="00177852">
      <w:pPr>
        <w:pStyle w:val="NoSpacing"/>
        <w:ind w:left="720"/>
      </w:pPr>
      <w:r>
        <w:t xml:space="preserve">Both Trooper Matthews and Trooper Shutter testified that [Appellee] stated he did not have his cell phone and keys [to his </w:t>
      </w:r>
      <w:proofErr w:type="gramStart"/>
      <w:r>
        <w:t>vehicle (‘keys’</w:t>
      </w:r>
      <w:proofErr w:type="gramEnd"/>
      <w:r>
        <w:t xml:space="preserve"> or ‘key’)] with him in the Plaza. [Id. at 10 (Trooper Matthews confirming that Appellee was ‘the first person to bring up his cell phone and his keys.’); id. at 26 (Trooper Shutter’s consistent testimony).] [Appellee] requested that [the Troopers] enter his vehicle to locate the cell phone and keys. [See id. at 11, 26-27.]2 [The Troopers walked to Appellee’s car, discovered it was unlocked, and opened the driver’s side door. Id. at 29.] [Trooper Matthews immediately] found [Appellee’s] cell phone on the [driver’s seat] floor. [Id.] [The Troopers continued] search[</w:t>
      </w:r>
      <w:proofErr w:type="spellStart"/>
      <w:r>
        <w:t>ing</w:t>
      </w:r>
      <w:proofErr w:type="spellEnd"/>
      <w:r>
        <w:t xml:space="preserve">] the vehicle for [Appellee’s] keys and found a [black] plastic [grocery] bag … on the rear floor. Id. at 30.]3 The contents of the bag were not visible. [Id. at 44.]4 Trooper Shutter [immediately] opened the bag and found white powder in the bag. Id. at 32. Trooper Shutter found the keys to [Appellee’s] vehicle underneath an ashtray in the center console. [Id.] The [white powder was] seized and </w:t>
      </w:r>
      <w:proofErr w:type="gramStart"/>
      <w:r>
        <w:t>entered into</w:t>
      </w:r>
      <w:proofErr w:type="gramEnd"/>
      <w:r>
        <w:t xml:space="preserve"> evidence. [Id. at 34.] [Appellee’s] vehicle was towed and </w:t>
      </w:r>
      <w:proofErr w:type="gramStart"/>
      <w:r>
        <w:t>entered into</w:t>
      </w:r>
      <w:proofErr w:type="gramEnd"/>
      <w:r>
        <w:t xml:space="preserve"> evidence. [Id. at 35.] On March 17, 2023, police obtained a search warrant to search [Appellee’s] vehicle. [Id. at 35-36.] The seized [white powder was subsequently] tested and identified as heroin,</w:t>
      </w:r>
      <w:r w:rsidR="000A35E0">
        <w:t xml:space="preserve"> </w:t>
      </w:r>
      <w:r>
        <w:t>fentanyl and xylazine.”</w:t>
      </w:r>
    </w:p>
    <w:p w14:paraId="123E9D13" w14:textId="77777777" w:rsidR="00177852" w:rsidRDefault="00177852" w:rsidP="00177852">
      <w:pPr>
        <w:pStyle w:val="NoSpacing"/>
      </w:pPr>
    </w:p>
    <w:p w14:paraId="071CA2DE" w14:textId="77777777" w:rsidR="00177852" w:rsidRDefault="00177852" w:rsidP="00177852">
      <w:pPr>
        <w:pStyle w:val="NoSpacing"/>
        <w:rPr>
          <w:b/>
          <w:bCs/>
        </w:rPr>
      </w:pPr>
      <w:r>
        <w:rPr>
          <w:b/>
        </w:rPr>
        <w:t xml:space="preserve">Legal lesson learned:  Pat-down by police prior to EMS transport is an excellent safety practice; PD and EMS should consider having a written protocol.  </w:t>
      </w:r>
    </w:p>
    <w:p w14:paraId="70A0E4A1" w14:textId="77777777" w:rsidR="00177852" w:rsidRDefault="00177852" w:rsidP="00177852">
      <w:pPr>
        <w:pStyle w:val="NoSpacing"/>
        <w:rPr>
          <w:b/>
          <w:bCs/>
        </w:rPr>
      </w:pPr>
    </w:p>
    <w:p w14:paraId="676FE75A" w14:textId="77777777" w:rsidR="00177852" w:rsidRDefault="00177852" w:rsidP="00177852">
      <w:pPr>
        <w:pStyle w:val="NoSpacing"/>
      </w:pPr>
      <w:r>
        <w:tab/>
        <w:t>Note: Pat downs can save EMS lives.</w:t>
      </w:r>
    </w:p>
    <w:p w14:paraId="4B0B5311" w14:textId="77777777" w:rsidR="00177852" w:rsidRDefault="00177852" w:rsidP="00177852">
      <w:pPr>
        <w:pStyle w:val="NoSpacing"/>
        <w:ind w:firstLine="720"/>
      </w:pPr>
      <w:r>
        <w:t>See Commonwealth of Massachusetts v. Raymond J. Verrier (September 8, 2025):</w:t>
      </w:r>
    </w:p>
    <w:p w14:paraId="0C7E982F" w14:textId="77777777" w:rsidR="00177852" w:rsidRPr="00D45DDD" w:rsidRDefault="00177852" w:rsidP="00177852">
      <w:pPr>
        <w:pStyle w:val="NoSpacing"/>
        <w:ind w:left="720"/>
      </w:pPr>
      <w:r>
        <w:t>Mental patient.  “</w:t>
      </w:r>
      <w:r w:rsidRPr="00D45DDD">
        <w:t>It is undisputed that before placing the defendant in an</w:t>
      </w:r>
      <w:r>
        <w:t xml:space="preserve"> </w:t>
      </w:r>
      <w:r w:rsidRPr="00D45DDD">
        <w:t>ambulance, Chelsea police officer Timothy McCarthy pat frisked</w:t>
      </w:r>
      <w:r>
        <w:t xml:space="preserve"> </w:t>
      </w:r>
      <w:r w:rsidRPr="00D45DDD">
        <w:t>the defendant, finding a loaded firearm. Officer McCarthy then</w:t>
      </w:r>
      <w:r>
        <w:t xml:space="preserve"> </w:t>
      </w:r>
      <w:r w:rsidRPr="00D45DDD">
        <w:t>placed the defendant under arrest and searched him incident to</w:t>
      </w:r>
      <w:r>
        <w:t xml:space="preserve"> </w:t>
      </w:r>
      <w:r w:rsidRPr="00D45DDD">
        <w:t>that arrest, finding drugs on his person.</w:t>
      </w:r>
      <w:r>
        <w:t xml:space="preserve">”  </w:t>
      </w:r>
      <w:hyperlink r:id="rId2120" w:history="1">
        <w:r w:rsidRPr="00FF39E5">
          <w:rPr>
            <w:rStyle w:val="Hyperlink"/>
          </w:rPr>
          <w:t>https://www.mass.gov/doc/commonwealth-v-verrier-ac-g24p446/download</w:t>
        </w:r>
      </w:hyperlink>
      <w:r>
        <w:t xml:space="preserve"> </w:t>
      </w:r>
    </w:p>
    <w:p w14:paraId="4D6DE902" w14:textId="77777777" w:rsidR="00177852" w:rsidRDefault="00177852" w:rsidP="00542851">
      <w:pPr>
        <w:rPr>
          <w:rFonts w:ascii="Times New Roman" w:hAnsi="Times New Roman"/>
          <w:b/>
          <w:bCs/>
          <w:sz w:val="24"/>
          <w:szCs w:val="24"/>
        </w:rPr>
      </w:pPr>
    </w:p>
    <w:p w14:paraId="30AE3843" w14:textId="3FF6BCFF"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5</w:t>
      </w:r>
    </w:p>
    <w:p w14:paraId="4C4AF662" w14:textId="4A92C62D" w:rsidR="00E930D2" w:rsidRDefault="00E930D2" w:rsidP="00E930D2">
      <w:pPr>
        <w:pStyle w:val="NoSpacing"/>
        <w:rPr>
          <w:rFonts w:ascii="Arial Black" w:hAnsi="Arial Black"/>
          <w:sz w:val="28"/>
          <w:szCs w:val="28"/>
        </w:rPr>
      </w:pPr>
      <w:r>
        <w:rPr>
          <w:rFonts w:ascii="Arial Black" w:hAnsi="Arial Black"/>
          <w:sz w:val="28"/>
          <w:szCs w:val="28"/>
        </w:rPr>
        <w:t xml:space="preserve">WA: COVID19 – RELIGIOUS ACCOMMODATION </w:t>
      </w:r>
      <w:r w:rsidR="00EC0577">
        <w:rPr>
          <w:rFonts w:ascii="Arial Black" w:hAnsi="Arial Black"/>
          <w:sz w:val="28"/>
          <w:szCs w:val="28"/>
        </w:rPr>
        <w:t>NOT REASONABLE</w:t>
      </w:r>
    </w:p>
    <w:p w14:paraId="72DAE56A" w14:textId="77777777" w:rsidR="00E930D2" w:rsidRDefault="00E930D2" w:rsidP="00E930D2">
      <w:pPr>
        <w:pStyle w:val="NoSpacing"/>
      </w:pPr>
    </w:p>
    <w:p w14:paraId="5EB0D1D5" w14:textId="77777777" w:rsidR="005D334E" w:rsidRDefault="00E930D2" w:rsidP="005D334E">
      <w:pPr>
        <w:pStyle w:val="NoSpacing"/>
      </w:pPr>
      <w:r>
        <w:t xml:space="preserve">On September 2, 2025, in </w:t>
      </w:r>
      <w:r w:rsidRPr="00D15CD1">
        <w:rPr>
          <w:u w:val="single"/>
        </w:rPr>
        <w:t>David Peterso, et al. v. Snohomish Regional Fire and Rescue; Kevin O’Brien, Chief,</w:t>
      </w:r>
      <w:r>
        <w:t xml:space="preserve"> the United States Court of Appeals for 9</w:t>
      </w:r>
      <w:r w:rsidRPr="00D15CD1">
        <w:rPr>
          <w:vertAlign w:val="superscript"/>
        </w:rPr>
        <w:t>th</w:t>
      </w:r>
      <w:r>
        <w:t xml:space="preserve"> Circuit (San Francisco) </w:t>
      </w:r>
      <w:r w:rsidRPr="003C5A0D">
        <w:t>affirmed the district court’s summary</w:t>
      </w:r>
      <w:r>
        <w:t xml:space="preserve"> </w:t>
      </w:r>
      <w:r w:rsidRPr="003C5A0D">
        <w:t>judgment in favor of Snohomish Regional Fire and Rescue</w:t>
      </w:r>
      <w:r>
        <w:t xml:space="preserve"> </w:t>
      </w:r>
      <w:r w:rsidRPr="003C5A0D">
        <w:t>(SRFR)</w:t>
      </w:r>
      <w:r>
        <w:t xml:space="preserve">.  The FD could not “reasonably accommodate” the 8-plaintiff firefighter’s proposed religious accommodation (no vaccination, frequent testing) “without undue hardship on the conduct of” its business. 42 U.S.C. § 2000e(j).  </w:t>
      </w:r>
      <w:hyperlink r:id="rId2121" w:history="1">
        <w:r w:rsidR="005D334E" w:rsidRPr="00FE798F">
          <w:rPr>
            <w:rStyle w:val="Hyperlink"/>
          </w:rPr>
          <w:t>https://cdn.ca9.uscourts.gov/datastore/opinions/2025/09/02/24-1044.pdf</w:t>
        </w:r>
      </w:hyperlink>
      <w:r w:rsidR="005D334E">
        <w:t xml:space="preserve"> </w:t>
      </w:r>
    </w:p>
    <w:p w14:paraId="406EC566" w14:textId="77777777" w:rsidR="005D334E" w:rsidRDefault="005D334E" w:rsidP="005D334E">
      <w:pPr>
        <w:pStyle w:val="NoSpacing"/>
      </w:pPr>
    </w:p>
    <w:p w14:paraId="52A00F37" w14:textId="7497BEE8" w:rsidR="00E930D2" w:rsidRDefault="00E930D2" w:rsidP="00E930D2">
      <w:pPr>
        <w:pStyle w:val="NoSpacing"/>
      </w:pPr>
    </w:p>
    <w:p w14:paraId="6174869F" w14:textId="77777777" w:rsidR="00E930D2" w:rsidRDefault="00E930D2" w:rsidP="00E930D2">
      <w:pPr>
        <w:pStyle w:val="NoSpacing"/>
      </w:pPr>
    </w:p>
    <w:p w14:paraId="72196BE0" w14:textId="5B6490A0" w:rsidR="00E930D2" w:rsidRDefault="00E930D2" w:rsidP="00E930D2">
      <w:pPr>
        <w:pStyle w:val="NoSpacing"/>
      </w:pPr>
      <w:r w:rsidRPr="005A5894">
        <w:rPr>
          <w:b/>
        </w:rPr>
        <w:t>THE COURT HELD:</w:t>
      </w:r>
      <w:r>
        <w:t xml:space="preserve">  “Dr. Lynch is a board-certified physician in infectious disease, Professor of Medicine at the University of Washington School of Medicine, and Associate Medical Director at Harborview Medical Center…. Dr. Lynch explained in some detail why Plaintiffs’ proposed accommodation—testing, masking, and social distancing in lieu of vaccination— was inadequate. Regular COVID-19 testing was ‘not sufficient’ because tests are not always accurate and unvaccinated people subject to testing were ‘among positive cases that . . . caused outbreaks in’ Washington. Dr. Lynch described PPE, like masks, as ‘complements, not substitutes, for getting vaccinated,’ since ‘[m]asks shore up protection on the outside,’ and vaccines do so on the ‘inside.’ According to Dr. Lynch, vaccines are ‘effective around the clock,’ and masks are not because ‘a work-based masking requirement applies only while employees are at work.’ He cited various studies that supported these conclusions.” </w:t>
      </w:r>
    </w:p>
    <w:p w14:paraId="544C7659" w14:textId="77777777" w:rsidR="00E930D2" w:rsidRPr="005A5894" w:rsidRDefault="00E930D2" w:rsidP="00E930D2">
      <w:pPr>
        <w:pStyle w:val="NoSpacing"/>
        <w:rPr>
          <w:b/>
          <w:bCs/>
        </w:rPr>
      </w:pPr>
      <w:r w:rsidRPr="005A5894">
        <w:rPr>
          <w:b/>
        </w:rPr>
        <w:t xml:space="preserve">KEY FACTS: </w:t>
      </w:r>
    </w:p>
    <w:p w14:paraId="1465057B" w14:textId="77777777" w:rsidR="00E930D2" w:rsidRDefault="00E930D2" w:rsidP="00E930D2">
      <w:pPr>
        <w:pStyle w:val="NoSpacing"/>
      </w:pPr>
    </w:p>
    <w:p w14:paraId="02900EA9" w14:textId="77777777" w:rsidR="00E930D2" w:rsidRDefault="00E930D2" w:rsidP="00E930D2">
      <w:pPr>
        <w:pStyle w:val="NoSpacing"/>
        <w:ind w:left="720"/>
      </w:pPr>
      <w:r>
        <w:t>“SRFR provided its firefighters with information about the vaccination requirement and the process for requesting exemptions. Forty-six of SRFR’s 192 firefighters requested</w:t>
      </w:r>
    </w:p>
    <w:p w14:paraId="6B8F2E1A" w14:textId="77777777" w:rsidR="00E930D2" w:rsidRDefault="00E930D2" w:rsidP="00E930D2">
      <w:pPr>
        <w:pStyle w:val="NoSpacing"/>
        <w:ind w:left="720"/>
      </w:pPr>
      <w:r>
        <w:t>exemptions, including the eight Plaintiffs. All the firefighters served in various firefighting and emergency medical technician (EMT) positions, and all held EMT or</w:t>
      </w:r>
    </w:p>
    <w:p w14:paraId="6EE88AF0" w14:textId="77777777" w:rsidR="00E930D2" w:rsidRDefault="00E930D2" w:rsidP="00E930D2">
      <w:pPr>
        <w:pStyle w:val="NoSpacing"/>
        <w:ind w:firstLine="720"/>
      </w:pPr>
      <w:r>
        <w:t>paramedic certifications. SRFR’s Human Resources staff met with each employee</w:t>
      </w:r>
    </w:p>
    <w:p w14:paraId="6A2714E4" w14:textId="77777777" w:rsidR="00E930D2" w:rsidRDefault="00E930D2" w:rsidP="00E930D2">
      <w:pPr>
        <w:pStyle w:val="NoSpacing"/>
        <w:ind w:left="720"/>
      </w:pPr>
      <w:r>
        <w:t>who requested an exemption to discuss their request and any possible accommodation. SRFR simultaneously negotiated with the International Association of Fire Fighters, Local 2781 (the Union) regarding the vaccination requirement, and eventually ‘approved a Memorandum of Understanding (‘MOU’) that modified the collective bargaining agreement to provide accommodation options for firefighters if [SRFR] determined they could not be accommodated in their healthcare roles.’</w:t>
      </w:r>
    </w:p>
    <w:p w14:paraId="78596AD5" w14:textId="77777777" w:rsidR="00E930D2" w:rsidRDefault="00E930D2" w:rsidP="00E930D2">
      <w:pPr>
        <w:pStyle w:val="NoSpacing"/>
        <w:ind w:left="720"/>
      </w:pPr>
    </w:p>
    <w:p w14:paraId="19645ED3" w14:textId="77777777" w:rsidR="00E930D2" w:rsidRDefault="00E930D2" w:rsidP="00E930D2">
      <w:pPr>
        <w:pStyle w:val="NoSpacing"/>
        <w:ind w:left="720"/>
      </w:pPr>
      <w:r>
        <w:t>In these circumstances, the MOU explained that unvaccinated firefighters could use their accrued paid leave while remaining employed. After exhausting that leave, firefighters could take a one-year leave of absence without pay. The MOU also provided that if any firefighters chose to leave SRFR, they could be added to the disability rehire list, which gave them ‘priority’—meaning that they would not lose their rank, seniority, or benefit accrual status if they returned to SRFR within two years. Additionally, the MOU</w:t>
      </w:r>
    </w:p>
    <w:p w14:paraId="3A96786E" w14:textId="77777777" w:rsidR="00E930D2" w:rsidRDefault="00E930D2" w:rsidP="00E930D2">
      <w:pPr>
        <w:pStyle w:val="NoSpacing"/>
        <w:ind w:left="720"/>
      </w:pPr>
      <w:r>
        <w:t>‘</w:t>
      </w:r>
      <w:proofErr w:type="gramStart"/>
      <w:r>
        <w:t>specified</w:t>
      </w:r>
      <w:proofErr w:type="gramEnd"/>
      <w:r>
        <w:t xml:space="preserve"> that the unvaccinated frontline employees could return to work during their period of absence if [the] Proclamation . . . was updated and amended to that effect. </w:t>
      </w:r>
    </w:p>
    <w:p w14:paraId="3996DB25" w14:textId="77777777" w:rsidR="00E930D2" w:rsidRDefault="00E930D2" w:rsidP="00E930D2">
      <w:pPr>
        <w:pStyle w:val="NoSpacing"/>
        <w:ind w:left="720"/>
      </w:pPr>
    </w:p>
    <w:p w14:paraId="6B61E358" w14:textId="77777777" w:rsidR="00E930D2" w:rsidRDefault="00E930D2" w:rsidP="00E930D2">
      <w:pPr>
        <w:pStyle w:val="NoSpacing"/>
        <w:ind w:left="720"/>
      </w:pPr>
      <w:r>
        <w:t>In October 2021, SRFR determined that it could not accommodate unvaccinated firefighters in their firefighting roles without imposing an undue hardship on its operations. SRFR explained that because a firefighter’s work requires interfacing with the public, it did not have alternative positions for those seeking exemptions, nor could it facilitate their requested accommodation—masking, testing, and social distancing. SRFR encouraged all forty-six employees to use their accumulated leave days first and then apply for a one-year leave of absence. SRFR approved all such requests.”</w:t>
      </w:r>
    </w:p>
    <w:p w14:paraId="255B9D0F" w14:textId="77777777" w:rsidR="00E930D2" w:rsidRDefault="00E930D2" w:rsidP="00E930D2">
      <w:pPr>
        <w:pStyle w:val="NoSpacing"/>
        <w:ind w:firstLine="720"/>
      </w:pPr>
    </w:p>
    <w:p w14:paraId="46A5061D" w14:textId="77777777" w:rsidR="00E930D2" w:rsidRPr="00880A98" w:rsidRDefault="00E930D2" w:rsidP="00E930D2">
      <w:pPr>
        <w:pStyle w:val="NoSpacing"/>
        <w:rPr>
          <w:b/>
          <w:bCs/>
        </w:rPr>
      </w:pPr>
      <w:r>
        <w:rPr>
          <w:b/>
        </w:rPr>
        <w:t xml:space="preserve">Legal lesson learned: Yet another case holding that undue hardship for FDs to accommodate firefighters who refused to get vaccinated. </w:t>
      </w:r>
    </w:p>
    <w:p w14:paraId="29AF7C94" w14:textId="77777777" w:rsidR="00E930D2" w:rsidRDefault="00E930D2" w:rsidP="00542851">
      <w:pPr>
        <w:rPr>
          <w:rFonts w:ascii="Times New Roman" w:hAnsi="Times New Roman"/>
          <w:b/>
          <w:bCs/>
          <w:sz w:val="24"/>
          <w:szCs w:val="24"/>
        </w:rPr>
      </w:pPr>
    </w:p>
    <w:p w14:paraId="18BB4D82" w14:textId="1AAA77AC"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4</w:t>
      </w:r>
    </w:p>
    <w:p w14:paraId="297D7CCF" w14:textId="7540BCE0" w:rsidR="004704EF" w:rsidRPr="001515BA" w:rsidRDefault="004704EF" w:rsidP="004704EF">
      <w:pPr>
        <w:rPr>
          <w:rFonts w:ascii="Arial Black" w:hAnsi="Arial Black"/>
          <w:b/>
          <w:sz w:val="28"/>
          <w:szCs w:val="28"/>
        </w:rPr>
      </w:pPr>
      <w:r>
        <w:rPr>
          <w:rFonts w:ascii="Arial Black" w:hAnsi="Arial Black"/>
          <w:b/>
          <w:sz w:val="28"/>
          <w:szCs w:val="28"/>
        </w:rPr>
        <w:t xml:space="preserve">AL: </w:t>
      </w:r>
      <w:r w:rsidR="0083128E">
        <w:rPr>
          <w:rFonts w:ascii="Arial Black" w:hAnsi="Arial Black"/>
          <w:b/>
          <w:sz w:val="28"/>
          <w:szCs w:val="28"/>
        </w:rPr>
        <w:t xml:space="preserve">VOL </w:t>
      </w:r>
      <w:r>
        <w:rPr>
          <w:rFonts w:ascii="Arial Black" w:hAnsi="Arial Black"/>
          <w:b/>
          <w:sz w:val="28"/>
          <w:szCs w:val="28"/>
        </w:rPr>
        <w:t>EM</w:t>
      </w:r>
      <w:r w:rsidR="0083128E">
        <w:rPr>
          <w:rFonts w:ascii="Arial Black" w:hAnsi="Arial Black"/>
          <w:b/>
          <w:sz w:val="28"/>
          <w:szCs w:val="28"/>
        </w:rPr>
        <w:t xml:space="preserve">T STOPPED CPR </w:t>
      </w:r>
      <w:r w:rsidR="000B5EEC">
        <w:rPr>
          <w:rFonts w:ascii="Arial Black" w:hAnsi="Arial Black"/>
          <w:b/>
          <w:sz w:val="28"/>
          <w:szCs w:val="28"/>
        </w:rPr>
        <w:t>–</w:t>
      </w:r>
      <w:r w:rsidR="0083128E">
        <w:rPr>
          <w:rFonts w:ascii="Arial Black" w:hAnsi="Arial Black"/>
          <w:b/>
          <w:sz w:val="28"/>
          <w:szCs w:val="28"/>
        </w:rPr>
        <w:t xml:space="preserve"> IMMUN</w:t>
      </w:r>
      <w:r w:rsidR="000B5EEC">
        <w:rPr>
          <w:rFonts w:ascii="Arial Black" w:hAnsi="Arial Black"/>
          <w:b/>
          <w:sz w:val="28"/>
          <w:szCs w:val="28"/>
        </w:rPr>
        <w:t xml:space="preserve">ITY - </w:t>
      </w:r>
      <w:r>
        <w:rPr>
          <w:rFonts w:ascii="Arial Black" w:hAnsi="Arial Black"/>
          <w:b/>
          <w:sz w:val="28"/>
          <w:szCs w:val="28"/>
        </w:rPr>
        <w:t>GOOD SAMAR</w:t>
      </w:r>
      <w:r w:rsidR="00D63907">
        <w:rPr>
          <w:rFonts w:ascii="Arial Black" w:hAnsi="Arial Black"/>
          <w:b/>
          <w:sz w:val="28"/>
          <w:szCs w:val="28"/>
        </w:rPr>
        <w:t>ITAN</w:t>
      </w:r>
      <w:r w:rsidR="00DE7A31">
        <w:rPr>
          <w:rFonts w:ascii="Arial Black" w:hAnsi="Arial Black"/>
          <w:b/>
          <w:sz w:val="28"/>
          <w:szCs w:val="28"/>
        </w:rPr>
        <w:t xml:space="preserve"> </w:t>
      </w:r>
      <w:r>
        <w:rPr>
          <w:rFonts w:ascii="Arial Black" w:hAnsi="Arial Black"/>
          <w:b/>
          <w:sz w:val="28"/>
          <w:szCs w:val="28"/>
        </w:rPr>
        <w:t xml:space="preserve">LAW </w:t>
      </w:r>
    </w:p>
    <w:p w14:paraId="4E29D2C3" w14:textId="0283FEB7" w:rsidR="004704EF" w:rsidRDefault="004704EF" w:rsidP="004704EF">
      <w:pPr>
        <w:pStyle w:val="NoSpacing"/>
      </w:pPr>
      <w:r>
        <w:t xml:space="preserve">On Aug. 29, 2025, in </w:t>
      </w:r>
      <w:r w:rsidRPr="002B4CFC">
        <w:rPr>
          <w:u w:val="single"/>
        </w:rPr>
        <w:t>Carol Rogers, as administratrix of the Estate of Susan Bonner, deceased v. Cedar Bluff Volunteer Fire Department</w:t>
      </w:r>
      <w:r>
        <w:rPr>
          <w:u w:val="single"/>
        </w:rPr>
        <w:t xml:space="preserve"> and the T</w:t>
      </w:r>
      <w:r w:rsidRPr="001B127E">
        <w:rPr>
          <w:u w:val="single"/>
        </w:rPr>
        <w:t>own of</w:t>
      </w:r>
      <w:r>
        <w:rPr>
          <w:u w:val="single"/>
        </w:rPr>
        <w:t xml:space="preserve"> </w:t>
      </w:r>
      <w:r w:rsidRPr="001B127E">
        <w:rPr>
          <w:u w:val="single"/>
        </w:rPr>
        <w:t>Cedar Bluff</w:t>
      </w:r>
      <w:r>
        <w:t xml:space="preserve">, the Alabama Supreme Court held (9 to 0) that trial court properly dismissed the lawsuit against the Town and its Volunteer Fire Department.  June 6, </w:t>
      </w:r>
      <w:proofErr w:type="gramStart"/>
      <w:r>
        <w:t>2017</w:t>
      </w:r>
      <w:proofErr w:type="gramEnd"/>
      <w:r>
        <w:t xml:space="preserve"> motor vehicle accident where drive was submerged in creek; bystander CPR; she died two days later.  Under the state’s </w:t>
      </w:r>
      <w:r w:rsidRPr="00340D54">
        <w:t>"Good Samaritan Act</w:t>
      </w:r>
      <w:r>
        <w:t xml:space="preserve">” the volunteer firefighter / EMT has immunity for negligence, as does his volunteer fire department which is deemed a </w:t>
      </w:r>
      <w:r w:rsidRPr="00786D98">
        <w:t>subordinate entity</w:t>
      </w:r>
      <w:r>
        <w:t xml:space="preserve"> of the Town.  If his conduct was deemed wanton misconduct, the Town and other governmental entities in Alabama are not liable for intentional misconduct of employees and agents.  </w:t>
      </w:r>
      <w:hyperlink r:id="rId2122" w:history="1">
        <w:r w:rsidR="000B5EEC" w:rsidRPr="00204094">
          <w:rPr>
            <w:rStyle w:val="Hyperlink"/>
          </w:rPr>
          <w:t>https://cases.justia.com/alabama/supreme-court/2025-sc-2025-0055.pdf?ts=1756474207</w:t>
        </w:r>
      </w:hyperlink>
    </w:p>
    <w:p w14:paraId="35875A35" w14:textId="77777777" w:rsidR="004704EF" w:rsidRDefault="004704EF" w:rsidP="004704EF">
      <w:pPr>
        <w:pStyle w:val="NoSpacing"/>
      </w:pPr>
    </w:p>
    <w:p w14:paraId="0A454198" w14:textId="77777777" w:rsidR="00957259" w:rsidRDefault="004704EF" w:rsidP="004704EF">
      <w:pPr>
        <w:pStyle w:val="NoSpacing"/>
      </w:pPr>
      <w:r w:rsidRPr="00474D47">
        <w:rPr>
          <w:b/>
        </w:rPr>
        <w:t xml:space="preserve">THE COURT HELD: </w:t>
      </w:r>
      <w:r>
        <w:rPr>
          <w:b/>
        </w:rPr>
        <w:t>“</w:t>
      </w:r>
      <w:r w:rsidRPr="00DF2DDA">
        <w:t>Based on the foregoing, Rogers failed to</w:t>
      </w:r>
      <w:r>
        <w:t xml:space="preserve"> demonstrate that a genuine issue of material fact existed as to whether the Town is vicariously immune from liability for Guice's allegedly wanton acts or omissions in this case, and, thus, the summary judgment in its favor is due to be affirmed…. Even if Guice's conduct was not done in ‘good faith’ and was not done within the ‘scope of [his] official functions and duties’ as a volunteer firefighter with the CBVFD, thereby preventing him from being entitled to immunity under § 6-5-3236(d)(1) of the VSA, § 11-47-190, which was raised in the Town's filings below, makes clear that the Town could not have been liable for that conduct because it would have been intentional, wrongful conduct.”</w:t>
      </w:r>
    </w:p>
    <w:p w14:paraId="249C7527" w14:textId="05BBA212" w:rsidR="004704EF" w:rsidRDefault="004704EF" w:rsidP="004704EF">
      <w:pPr>
        <w:pStyle w:val="NoSpacing"/>
      </w:pPr>
      <w:r>
        <w:t xml:space="preserve"> </w:t>
      </w:r>
      <w:hyperlink r:id="rId2123" w:history="1">
        <w:r w:rsidRPr="00204094">
          <w:rPr>
            <w:rStyle w:val="Hyperlink"/>
          </w:rPr>
          <w:t>https://cases.justia.com/alabama/supreme-court/2025-sc-2025-0055.pdf?ts=1756474207</w:t>
        </w:r>
      </w:hyperlink>
      <w:r>
        <w:t xml:space="preserve"> </w:t>
      </w:r>
    </w:p>
    <w:p w14:paraId="2147211A" w14:textId="77777777" w:rsidR="004704EF" w:rsidRDefault="004704EF" w:rsidP="004704EF">
      <w:pPr>
        <w:ind w:left="720"/>
      </w:pPr>
    </w:p>
    <w:p w14:paraId="40CDA44F" w14:textId="77777777" w:rsidR="004704EF" w:rsidRDefault="004704EF" w:rsidP="004704EF">
      <w:pPr>
        <w:rPr>
          <w:b/>
          <w:bCs/>
        </w:rPr>
      </w:pPr>
      <w:r>
        <w:rPr>
          <w:b/>
        </w:rPr>
        <w:t>KEY FACTS:</w:t>
      </w:r>
    </w:p>
    <w:p w14:paraId="2C253794" w14:textId="77777777" w:rsidR="004704EF" w:rsidRDefault="004704EF" w:rsidP="004704EF">
      <w:pPr>
        <w:pStyle w:val="NoSpacing"/>
        <w:ind w:left="720"/>
      </w:pPr>
      <w:r>
        <w:t>“</w:t>
      </w:r>
      <w:r w:rsidRPr="00443296">
        <w:t xml:space="preserve">On June 6, 2017, </w:t>
      </w:r>
      <w:r>
        <w:t xml:space="preserve">[Susan} </w:t>
      </w:r>
      <w:r w:rsidRPr="00443296">
        <w:t>Bonner was driving on County Road 45 in</w:t>
      </w:r>
      <w:r>
        <w:t xml:space="preserve"> </w:t>
      </w:r>
      <w:r w:rsidRPr="00443296">
        <w:t>Cherokee County when her vehicle left the roadway and ended up</w:t>
      </w:r>
      <w:r>
        <w:t xml:space="preserve"> </w:t>
      </w:r>
      <w:r w:rsidRPr="00443296">
        <w:t>submerged in a creek. After Bonner was rescued by passing motorists, a</w:t>
      </w:r>
      <w:r>
        <w:t xml:space="preserve"> </w:t>
      </w:r>
      <w:r w:rsidRPr="00443296">
        <w:t>bystander who also happened to be a volunteer firefighter with the</w:t>
      </w:r>
      <w:r>
        <w:t xml:space="preserve"> </w:t>
      </w:r>
      <w:r w:rsidRPr="00443296">
        <w:t xml:space="preserve">McCord's Crossroads Volunteer Fire </w:t>
      </w:r>
      <w:proofErr w:type="gramStart"/>
      <w:r w:rsidRPr="00443296">
        <w:t>Department (</w:t>
      </w:r>
      <w:r>
        <w:t>‘</w:t>
      </w:r>
      <w:proofErr w:type="gramEnd"/>
      <w:r w:rsidRPr="00443296">
        <w:t>the MCVFD</w:t>
      </w:r>
      <w:r>
        <w:t>’</w:t>
      </w:r>
      <w:r w:rsidRPr="00443296">
        <w:t>) began</w:t>
      </w:r>
      <w:r>
        <w:t xml:space="preserve"> </w:t>
      </w:r>
      <w:r w:rsidRPr="00493493">
        <w:t xml:space="preserve">performing cardiopulmonary </w:t>
      </w:r>
      <w:proofErr w:type="gramStart"/>
      <w:r w:rsidRPr="00493493">
        <w:t>resuscitation</w:t>
      </w:r>
      <w:r>
        <w:t xml:space="preserve"> </w:t>
      </w:r>
      <w:r w:rsidRPr="00493493">
        <w:t>(</w:t>
      </w:r>
      <w:r>
        <w:t>‘</w:t>
      </w:r>
      <w:proofErr w:type="gramEnd"/>
      <w:r w:rsidRPr="00493493">
        <w:t>CPR</w:t>
      </w:r>
      <w:r>
        <w:t>’</w:t>
      </w:r>
      <w:r w:rsidRPr="00493493">
        <w:t>) on Bonner. At some</w:t>
      </w:r>
      <w:r>
        <w:t xml:space="preserve"> </w:t>
      </w:r>
      <w:r w:rsidRPr="00493493">
        <w:t xml:space="preserve">point thereafter, Cherokee County Emergency Medical </w:t>
      </w:r>
      <w:proofErr w:type="gramStart"/>
      <w:r w:rsidRPr="00493493">
        <w:t>Services</w:t>
      </w:r>
      <w:r>
        <w:t xml:space="preserve"> </w:t>
      </w:r>
      <w:r w:rsidRPr="00493493">
        <w:t>(</w:t>
      </w:r>
      <w:r>
        <w:t>‘</w:t>
      </w:r>
      <w:proofErr w:type="gramEnd"/>
      <w:r w:rsidRPr="00493493">
        <w:t>Cherokee County EMS</w:t>
      </w:r>
      <w:r>
        <w:t>’</w:t>
      </w:r>
      <w:r w:rsidRPr="00493493">
        <w:t>) was notified of the accident, and paramedics</w:t>
      </w:r>
      <w:r>
        <w:t xml:space="preserve"> </w:t>
      </w:r>
      <w:r w:rsidRPr="00493493">
        <w:t>were dispatched to the scene.</w:t>
      </w:r>
    </w:p>
    <w:p w14:paraId="2AD1EA2E" w14:textId="77777777" w:rsidR="004704EF" w:rsidRDefault="004704EF" w:rsidP="004704EF">
      <w:pPr>
        <w:pStyle w:val="NoSpacing"/>
      </w:pPr>
    </w:p>
    <w:p w14:paraId="5211B024" w14:textId="77777777" w:rsidR="004704EF" w:rsidRDefault="004704EF" w:rsidP="004704EF">
      <w:pPr>
        <w:pStyle w:val="NoSpacing"/>
        <w:ind w:left="720"/>
      </w:pPr>
      <w:r>
        <w:t>Guice [Howard Guice, volunteer firefighter and emergency medical technician with the CBVFD]  was nearby, allegedly on a personal errand, and heard the call about the accident on a radio issued to him by the CBVFD. Even though the scene was not within the CBVFD's service area and even though the CBVFD had not dispatched him to the scene, Guice decided to go to the scene to see if he could assist the paramedics. After Guice arrived, the bystander who had been performing CPR on Bonner asked Guice to take over, but Guice declined. Instead, he advised that all resuscitative efforts should cease and stated over his CBVFD-issued radio that a death had occurred at the scene. Guice then allegedly entered the water to help other bystanders search for a possible second victim in Bonner's submerged vehicle.</w:t>
      </w:r>
    </w:p>
    <w:p w14:paraId="0B9F2F38" w14:textId="77777777" w:rsidR="004704EF" w:rsidRDefault="004704EF" w:rsidP="004704EF">
      <w:pPr>
        <w:pStyle w:val="NoSpacing"/>
      </w:pPr>
    </w:p>
    <w:p w14:paraId="74E33E86" w14:textId="77777777" w:rsidR="004704EF" w:rsidRDefault="004704EF" w:rsidP="004704EF">
      <w:pPr>
        <w:pStyle w:val="NoSpacing"/>
        <w:ind w:left="720"/>
      </w:pPr>
      <w:r w:rsidRPr="00464476">
        <w:t>Five minutes after the bystander ceased performing CPR on</w:t>
      </w:r>
      <w:r>
        <w:t xml:space="preserve"> </w:t>
      </w:r>
      <w:r w:rsidRPr="00464476">
        <w:t>Bonner, Cherokee County EMS paramedics arrived at the scene. They</w:t>
      </w:r>
      <w:r>
        <w:t xml:space="preserve"> </w:t>
      </w:r>
      <w:r w:rsidRPr="0004786C">
        <w:t xml:space="preserve">examined Bonner and found that she was warm to </w:t>
      </w:r>
      <w:proofErr w:type="gramStart"/>
      <w:r w:rsidRPr="0004786C">
        <w:t>the touch</w:t>
      </w:r>
      <w:proofErr w:type="gramEnd"/>
      <w:r w:rsidRPr="0004786C">
        <w:t>, had a pulse,</w:t>
      </w:r>
      <w:r>
        <w:t xml:space="preserve"> </w:t>
      </w:r>
      <w:r w:rsidRPr="0004786C">
        <w:t>and had responsive pupils. As a result, the paramedics performed CPR</w:t>
      </w:r>
      <w:r>
        <w:t xml:space="preserve"> </w:t>
      </w:r>
      <w:r w:rsidRPr="0004786C">
        <w:t>on her until she experienced a return of spontaneous circulation. Bonner</w:t>
      </w:r>
      <w:r>
        <w:t xml:space="preserve"> </w:t>
      </w:r>
      <w:r w:rsidRPr="0004786C">
        <w:t>was transported to the hospital for further treatment but died two days</w:t>
      </w:r>
      <w:r>
        <w:t xml:space="preserve"> </w:t>
      </w:r>
      <w:r w:rsidRPr="0004786C">
        <w:t xml:space="preserve">later </w:t>
      </w:r>
      <w:proofErr w:type="gramStart"/>
      <w:r w:rsidRPr="0004786C">
        <w:t>as a result of</w:t>
      </w:r>
      <w:proofErr w:type="gramEnd"/>
      <w:r w:rsidRPr="0004786C">
        <w:t xml:space="preserve"> anoxic </w:t>
      </w:r>
      <w:r w:rsidRPr="008225D6">
        <w:t>encephalopathy.4</w:t>
      </w:r>
    </w:p>
    <w:p w14:paraId="4CE289F3" w14:textId="77777777" w:rsidR="004704EF" w:rsidRDefault="004704EF" w:rsidP="004704EF">
      <w:pPr>
        <w:pStyle w:val="NoSpacing"/>
      </w:pPr>
    </w:p>
    <w:p w14:paraId="29D2FF14" w14:textId="77777777" w:rsidR="004704EF" w:rsidRDefault="004704EF" w:rsidP="004704EF">
      <w:pPr>
        <w:pStyle w:val="NoSpacing"/>
      </w:pPr>
      <w:r>
        <w:tab/>
      </w:r>
      <w:r>
        <w:tab/>
        <w:t>[Footnote 4.] According to the record, anoxic encephalopathy occurs when blood</w:t>
      </w:r>
    </w:p>
    <w:p w14:paraId="1E9066E7" w14:textId="77777777" w:rsidR="004704EF" w:rsidRDefault="004704EF" w:rsidP="004704EF">
      <w:pPr>
        <w:pStyle w:val="NoSpacing"/>
        <w:ind w:left="720" w:firstLine="720"/>
      </w:pPr>
      <w:r>
        <w:t>ceases to flow to the brain.</w:t>
      </w:r>
    </w:p>
    <w:p w14:paraId="24C86E15" w14:textId="77777777" w:rsidR="004704EF" w:rsidRDefault="004704EF" w:rsidP="004704EF">
      <w:r>
        <w:tab/>
        <w:t>***</w:t>
      </w:r>
    </w:p>
    <w:p w14:paraId="3833DE04" w14:textId="77777777" w:rsidR="004704EF" w:rsidRDefault="004704EF" w:rsidP="004704EF">
      <w:pPr>
        <w:pStyle w:val="NoSpacing"/>
        <w:ind w:left="720"/>
      </w:pPr>
      <w:r>
        <w:t xml:space="preserve">Furthermore, Steven Kimmons, the CBVFD's chief, testified during his deposition that he </w:t>
      </w:r>
      <w:proofErr w:type="gramStart"/>
      <w:r>
        <w:t>reports</w:t>
      </w:r>
      <w:proofErr w:type="gramEnd"/>
      <w:r>
        <w:t xml:space="preserve"> directly to the mayor of the Town. Our Court has recognized that this connection between a fire department and a municipality does not prevent that fire department from being deemed a ‘volunteer’ fire department, thus entitling the municipality to be vicariously immune from liability for the acts of the fire department's volunteer firefighters.”</w:t>
      </w:r>
      <w:r>
        <w:tab/>
      </w:r>
    </w:p>
    <w:p w14:paraId="38D916BF" w14:textId="77777777" w:rsidR="004704EF" w:rsidRDefault="004704EF" w:rsidP="004704EF">
      <w:pPr>
        <w:pStyle w:val="NoSpacing"/>
        <w:ind w:left="720"/>
      </w:pPr>
    </w:p>
    <w:p w14:paraId="7B4A6850" w14:textId="451EDCAD" w:rsidR="004704EF" w:rsidRDefault="004704EF" w:rsidP="004704EF">
      <w:pPr>
        <w:pStyle w:val="NoSpacing"/>
      </w:pPr>
      <w:r>
        <w:rPr>
          <w:b/>
        </w:rPr>
        <w:t xml:space="preserve">Legal lesson learned:  Continue CPR until ambulance arrives and takes vital signs. </w:t>
      </w:r>
    </w:p>
    <w:p w14:paraId="6EFD1BD6" w14:textId="77777777" w:rsidR="00004498" w:rsidRDefault="00004498" w:rsidP="00004498">
      <w:pPr>
        <w:rPr>
          <w:rFonts w:ascii="Arial Black" w:hAnsi="Arial Black"/>
          <w:b/>
          <w:bCs/>
          <w:sz w:val="24"/>
          <w:szCs w:val="24"/>
        </w:rPr>
      </w:pPr>
    </w:p>
    <w:p w14:paraId="5419F979" w14:textId="518237F9"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3</w:t>
      </w:r>
    </w:p>
    <w:p w14:paraId="0C724300" w14:textId="2D3B7019" w:rsidR="00004498" w:rsidRPr="002B6421" w:rsidRDefault="00004498" w:rsidP="00004498">
      <w:pPr>
        <w:pStyle w:val="NoSpacing"/>
        <w:rPr>
          <w:rFonts w:ascii="Arial Black" w:hAnsi="Arial Black"/>
          <w:sz w:val="28"/>
          <w:szCs w:val="28"/>
        </w:rPr>
      </w:pPr>
      <w:r>
        <w:rPr>
          <w:rFonts w:ascii="Arial Black" w:hAnsi="Arial Black"/>
          <w:sz w:val="28"/>
          <w:szCs w:val="28"/>
        </w:rPr>
        <w:t xml:space="preserve">WA: SHOULDER STRAPS NOT USED – PT DEATH </w:t>
      </w:r>
      <w:r w:rsidR="00345C8F">
        <w:rPr>
          <w:rFonts w:ascii="Arial Black" w:hAnsi="Arial Black"/>
          <w:sz w:val="28"/>
          <w:szCs w:val="28"/>
        </w:rPr>
        <w:t>–</w:t>
      </w:r>
      <w:r>
        <w:rPr>
          <w:rFonts w:ascii="Arial Black" w:hAnsi="Arial Black"/>
          <w:sz w:val="28"/>
          <w:szCs w:val="28"/>
        </w:rPr>
        <w:t xml:space="preserve"> </w:t>
      </w:r>
      <w:r w:rsidR="00345C8F">
        <w:rPr>
          <w:rFonts w:ascii="Arial Black" w:hAnsi="Arial Black"/>
          <w:sz w:val="28"/>
          <w:szCs w:val="28"/>
        </w:rPr>
        <w:t xml:space="preserve">JURY </w:t>
      </w:r>
      <w:r>
        <w:rPr>
          <w:rFonts w:ascii="Arial Black" w:hAnsi="Arial Black"/>
          <w:sz w:val="28"/>
          <w:szCs w:val="28"/>
        </w:rPr>
        <w:t>$2.3M</w:t>
      </w:r>
    </w:p>
    <w:p w14:paraId="16811C29" w14:textId="77777777" w:rsidR="00004498" w:rsidRDefault="00004498" w:rsidP="00004498">
      <w:pPr>
        <w:pStyle w:val="NoSpacing"/>
      </w:pPr>
    </w:p>
    <w:p w14:paraId="082E3C59" w14:textId="77777777" w:rsidR="00542F1E" w:rsidRPr="00D8032C" w:rsidRDefault="00004498" w:rsidP="00542F1E">
      <w:pPr>
        <w:rPr>
          <w:rFonts w:ascii="Times New Roman" w:hAnsi="Times New Roman"/>
          <w:sz w:val="24"/>
          <w:szCs w:val="24"/>
        </w:rPr>
      </w:pPr>
      <w:r w:rsidRPr="00D8032C">
        <w:rPr>
          <w:rFonts w:ascii="Times New Roman" w:hAnsi="Times New Roman"/>
          <w:sz w:val="24"/>
          <w:szCs w:val="24"/>
        </w:rPr>
        <w:t xml:space="preserve">On July 28, 2025, in </w:t>
      </w:r>
      <w:r w:rsidRPr="00D8032C">
        <w:rPr>
          <w:rFonts w:ascii="Times New Roman" w:hAnsi="Times New Roman"/>
          <w:sz w:val="24"/>
          <w:szCs w:val="24"/>
          <w:u w:val="single"/>
        </w:rPr>
        <w:t>Michael J. Lang, individually and as personal representative of the estate of Frank E. Costa, et al. v. Platinum Nine Holdings, LLC, a Washington Limited Liability Corporation, doing business as Northwest Ambulance, et al</w:t>
      </w:r>
      <w:r w:rsidRPr="00D8032C">
        <w:rPr>
          <w:rFonts w:ascii="Times New Roman" w:hAnsi="Times New Roman"/>
          <w:sz w:val="24"/>
          <w:szCs w:val="24"/>
        </w:rPr>
        <w:t xml:space="preserve">., the Court of Appeals of Washington, Division 1 held (3 to 0; unpublished decision) that the trial court judge correctly held that the state’s EMS immunity statute does not apply to negligence in securing the patient to the gurney or negligence in driving ambulance; the jury awarded the estate $2.3 million in non-economic damages.  </w:t>
      </w:r>
      <w:hyperlink r:id="rId2124" w:history="1">
        <w:r w:rsidR="00542F1E" w:rsidRPr="00D8032C">
          <w:rPr>
            <w:rStyle w:val="Hyperlink"/>
            <w:rFonts w:ascii="Times New Roman" w:hAnsi="Times New Roman"/>
            <w:sz w:val="24"/>
            <w:szCs w:val="24"/>
          </w:rPr>
          <w:t>https://www.courts.wa.gov/opinions/pdf/862057.pdf</w:t>
        </w:r>
      </w:hyperlink>
    </w:p>
    <w:p w14:paraId="38755442" w14:textId="34786882" w:rsidR="00542F1E" w:rsidRDefault="006967A6" w:rsidP="00004498">
      <w:pPr>
        <w:rPr>
          <w:rFonts w:ascii="Times New Roman" w:hAnsi="Times New Roman"/>
          <w:sz w:val="24"/>
          <w:szCs w:val="24"/>
        </w:rPr>
      </w:pPr>
      <w:r>
        <w:rPr>
          <w:rFonts w:ascii="Times New Roman" w:hAnsi="Times New Roman"/>
          <w:sz w:val="24"/>
          <w:szCs w:val="24"/>
        </w:rPr>
        <w:t>COURT HELD:</w:t>
      </w:r>
    </w:p>
    <w:p w14:paraId="72221D78" w14:textId="119C6903" w:rsidR="00004498" w:rsidRPr="00D8032C" w:rsidRDefault="00004498" w:rsidP="00004498">
      <w:pPr>
        <w:rPr>
          <w:rFonts w:ascii="Times New Roman" w:hAnsi="Times New Roman"/>
          <w:sz w:val="24"/>
          <w:szCs w:val="24"/>
        </w:rPr>
      </w:pPr>
      <w:r w:rsidRPr="00D8032C">
        <w:rPr>
          <w:rFonts w:ascii="Times New Roman" w:hAnsi="Times New Roman"/>
          <w:sz w:val="24"/>
          <w:szCs w:val="24"/>
        </w:rPr>
        <w:t xml:space="preserve">In Nov. 2020, the private ambulance with three EMS on board transported the 78-year-old patient with metastatic breast cancer from Genesis Care Center to the hospital for bloodwork.  The ambulance crew moved Costa from his bed to the ambulance stretcher and secured him with two lap belts and guardrails but did not use shoulder straps to secure Costa to the gurney. [Lead EMT Jack] Wilson later testified that shoulder straps were for ‘specific patients’ who ‘weren’t able to control their upper body;’ that he had rarely seen anyone use shoulder straps; and that he could not recall being trained on how to use them. During transport, Costa’s condition deteriorated…  [EMT Henry] Shaw, driving the ambulance, turned on the lights and sirens, and when garbage truck started to yield to right, but then moved left Shaw hit the brakes, lost control and hit a highway divider head-on at 53 miles per hour. During the crash, Costa came off the gurney and hit the ambulance wall, sustained injuries to his head and neck, and died later that day.  THE COURT HELD:  “Because, under the facts of this case, RCW 18.71.210 does not extend qualified immunity to ambulance transportation or the use of gurney restraints, we conclude that the trial court acted appropriately in granting Lang’s motion in part and denying NWA’s motion…. NWA contends that the trial court misconstrued RCW 18.71.210 in denying its motion for summary judgment because ambulance transportation of patients receiving treatment and care to a medical facility is part of ‘emergency medical service’ as a matter of law. Because the statute differentiates between emergency medical service and transportation, we disagree. *** But because the statute does not provide qualified immunity for the behavior at issue and NWA conceded negligence, Lang did not need to plead or offer evidence of gross negligence.”  </w:t>
      </w:r>
    </w:p>
    <w:p w14:paraId="21D176DD" w14:textId="77777777" w:rsidR="00004498" w:rsidRPr="00D8032C" w:rsidRDefault="00004498" w:rsidP="00004498">
      <w:pPr>
        <w:pStyle w:val="NoSpacing"/>
        <w:rPr>
          <w:rFonts w:ascii="Times New Roman" w:hAnsi="Times New Roman"/>
          <w:b/>
          <w:bCs/>
          <w:sz w:val="24"/>
          <w:szCs w:val="24"/>
        </w:rPr>
      </w:pPr>
      <w:r w:rsidRPr="00D8032C">
        <w:rPr>
          <w:rFonts w:ascii="Times New Roman" w:hAnsi="Times New Roman"/>
          <w:b/>
          <w:sz w:val="24"/>
          <w:szCs w:val="24"/>
        </w:rPr>
        <w:t xml:space="preserve">Legal lesson learned:  If your gurney has shoulder straps, write a policy that specifies when they are to be used.  </w:t>
      </w:r>
    </w:p>
    <w:p w14:paraId="7BC9AFE8" w14:textId="77777777" w:rsidR="00004498" w:rsidRDefault="00004498" w:rsidP="00004498">
      <w:pPr>
        <w:rPr>
          <w:rFonts w:ascii="Times New Roman" w:hAnsi="Times New Roman"/>
          <w:b/>
          <w:bCs/>
          <w:sz w:val="24"/>
          <w:szCs w:val="24"/>
        </w:rPr>
      </w:pPr>
    </w:p>
    <w:p w14:paraId="78ED5774" w14:textId="77777777" w:rsidR="00004498" w:rsidRDefault="00004498" w:rsidP="00004498">
      <w:pPr>
        <w:rPr>
          <w:rFonts w:ascii="Arial Black" w:hAnsi="Arial Black"/>
          <w:b/>
          <w:bCs/>
          <w:sz w:val="24"/>
          <w:szCs w:val="24"/>
        </w:rPr>
      </w:pPr>
    </w:p>
    <w:p w14:paraId="0DFBB6DB" w14:textId="77777777" w:rsidR="00004498" w:rsidRDefault="00004498" w:rsidP="00004498">
      <w:pPr>
        <w:rPr>
          <w:rFonts w:ascii="Arial Black" w:hAnsi="Arial Black"/>
          <w:b/>
          <w:bCs/>
          <w:sz w:val="24"/>
          <w:szCs w:val="24"/>
        </w:rPr>
      </w:pPr>
    </w:p>
    <w:p w14:paraId="5982DD57" w14:textId="77777777" w:rsidR="00004498" w:rsidRDefault="00004498" w:rsidP="00004498">
      <w:pPr>
        <w:rPr>
          <w:rFonts w:ascii="Arial Black" w:hAnsi="Arial Black"/>
          <w:b/>
          <w:bCs/>
          <w:sz w:val="24"/>
          <w:szCs w:val="24"/>
        </w:rPr>
      </w:pPr>
    </w:p>
    <w:p w14:paraId="126B1008" w14:textId="66930298"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2</w:t>
      </w:r>
    </w:p>
    <w:p w14:paraId="09199574" w14:textId="2AC019FC" w:rsidR="00EB5A84" w:rsidRPr="002C5E98" w:rsidRDefault="00EB5A84" w:rsidP="00EB5A84">
      <w:pPr>
        <w:pStyle w:val="NoSpacing"/>
        <w:rPr>
          <w:rFonts w:ascii="Arial Black" w:hAnsi="Arial Black"/>
          <w:b/>
          <w:bCs/>
          <w:sz w:val="28"/>
          <w:szCs w:val="28"/>
        </w:rPr>
      </w:pPr>
      <w:r>
        <w:rPr>
          <w:rFonts w:ascii="Arial Black" w:hAnsi="Arial Black"/>
          <w:b/>
          <w:sz w:val="28"/>
          <w:szCs w:val="28"/>
        </w:rPr>
        <w:t xml:space="preserve">NY: </w:t>
      </w:r>
      <w:r w:rsidR="003204A1">
        <w:rPr>
          <w:rFonts w:ascii="Arial Black" w:hAnsi="Arial Black"/>
          <w:b/>
          <w:sz w:val="28"/>
          <w:szCs w:val="28"/>
        </w:rPr>
        <w:t>EXCI</w:t>
      </w:r>
      <w:r w:rsidR="00D77B56">
        <w:rPr>
          <w:rFonts w:ascii="Arial Black" w:hAnsi="Arial Black"/>
          <w:b/>
          <w:sz w:val="28"/>
          <w:szCs w:val="28"/>
        </w:rPr>
        <w:t xml:space="preserve">TED UTTERANCE - </w:t>
      </w:r>
      <w:r>
        <w:rPr>
          <w:rFonts w:ascii="Arial Black" w:hAnsi="Arial Black"/>
          <w:b/>
          <w:sz w:val="28"/>
          <w:szCs w:val="28"/>
        </w:rPr>
        <w:t>EM</w:t>
      </w:r>
      <w:r w:rsidR="00D77B56">
        <w:rPr>
          <w:rFonts w:ascii="Arial Black" w:hAnsi="Arial Black"/>
          <w:b/>
          <w:sz w:val="28"/>
          <w:szCs w:val="28"/>
        </w:rPr>
        <w:t>T</w:t>
      </w:r>
      <w:r>
        <w:rPr>
          <w:rFonts w:ascii="Arial Black" w:hAnsi="Arial Black"/>
          <w:b/>
          <w:sz w:val="28"/>
          <w:szCs w:val="28"/>
        </w:rPr>
        <w:t xml:space="preserve"> CAN TESTIFY - “MY BROTHER DID IT” </w:t>
      </w:r>
    </w:p>
    <w:p w14:paraId="3587308C" w14:textId="77777777" w:rsidR="00EB5A84" w:rsidRPr="009948C1" w:rsidRDefault="00EB5A84" w:rsidP="00EB5A84">
      <w:pPr>
        <w:pStyle w:val="NoSpacing"/>
      </w:pPr>
    </w:p>
    <w:p w14:paraId="05A5E4B9" w14:textId="77777777" w:rsidR="00D77B56" w:rsidRDefault="00EB5A84" w:rsidP="00D77B56">
      <w:pPr>
        <w:pStyle w:val="NoSpacing"/>
      </w:pPr>
      <w:r>
        <w:t xml:space="preserve">On June 27, 2025, in </w:t>
      </w:r>
      <w:r w:rsidRPr="009948C1">
        <w:rPr>
          <w:u w:val="single"/>
        </w:rPr>
        <w:t>The People of the State of New York</w:t>
      </w:r>
      <w:r w:rsidRPr="006C6A5A">
        <w:rPr>
          <w:u w:val="single"/>
        </w:rPr>
        <w:t xml:space="preserve"> </w:t>
      </w:r>
      <w:r w:rsidRPr="009948C1">
        <w:rPr>
          <w:u w:val="single"/>
        </w:rPr>
        <w:t>v.</w:t>
      </w:r>
      <w:r w:rsidRPr="006C6A5A">
        <w:rPr>
          <w:u w:val="single"/>
        </w:rPr>
        <w:t xml:space="preserve"> </w:t>
      </w:r>
      <w:r w:rsidRPr="009948C1">
        <w:rPr>
          <w:u w:val="single"/>
        </w:rPr>
        <w:t>Bruce Biggs</w:t>
      </w:r>
      <w:r w:rsidRPr="009948C1">
        <w:t xml:space="preserve">, </w:t>
      </w:r>
      <w:r>
        <w:t xml:space="preserve">Judge Dineen Ann Riviezzo, Supreme Court, Kings County, held (unpublished decision) that the “exited utterance”  exception to the hearsay rule allows police and EMS to in Second-Degree Murder trial about the dying patient’s comments. </w:t>
      </w:r>
      <w:hyperlink r:id="rId2125" w:history="1">
        <w:r w:rsidR="00D77B56" w:rsidRPr="008C7245">
          <w:rPr>
            <w:rStyle w:val="Hyperlink"/>
          </w:rPr>
          <w:t>https://law.justia.com/cases/new-york/other-courts/2025/2025-ny-slip-op-51480-u.html</w:t>
        </w:r>
      </w:hyperlink>
      <w:r w:rsidR="00D77B56">
        <w:t xml:space="preserve"> </w:t>
      </w:r>
    </w:p>
    <w:p w14:paraId="1E5E478C" w14:textId="484450CB" w:rsidR="00EB5A84" w:rsidRDefault="00EB5A84" w:rsidP="00EB5A84">
      <w:pPr>
        <w:pStyle w:val="NoSpacing"/>
      </w:pPr>
    </w:p>
    <w:p w14:paraId="21EB93C9" w14:textId="77777777" w:rsidR="00EB5A84" w:rsidRDefault="00EB5A84" w:rsidP="00EB5A84">
      <w:pPr>
        <w:pStyle w:val="NoSpacing"/>
      </w:pPr>
    </w:p>
    <w:p w14:paraId="65915C43" w14:textId="77777777" w:rsidR="00EB5A84" w:rsidRDefault="00EB5A84" w:rsidP="00EB5A84">
      <w:pPr>
        <w:pStyle w:val="NoSpacing"/>
      </w:pPr>
      <w:r w:rsidRPr="005A464F">
        <w:rPr>
          <w:b/>
        </w:rPr>
        <w:t xml:space="preserve">THE COURT HELD: </w:t>
      </w:r>
      <w:r>
        <w:t>“</w:t>
      </w:r>
      <w:r w:rsidRPr="00B158EA">
        <w:t xml:space="preserve">Here, based on the above factors, the court finds that the statement qualifies as an excited utterance. Decedent was shot five times and was suffering from traumatic and serious injuries. He made a spontaneous statement only thirteen minutes after the shooting while he was in the ambulance and the EMTs were tending to his multiple injuries. The body worn camera demonstrates that decedent was </w:t>
      </w:r>
      <w:proofErr w:type="gramStart"/>
      <w:r w:rsidRPr="00B158EA">
        <w:t>in the midst of</w:t>
      </w:r>
      <w:proofErr w:type="gramEnd"/>
      <w:r w:rsidRPr="00B158EA">
        <w:t xml:space="preserve"> a serious medical event and had no time to reflect </w:t>
      </w:r>
      <w:proofErr w:type="gramStart"/>
      <w:r w:rsidRPr="00B158EA">
        <w:t>so as to</w:t>
      </w:r>
      <w:proofErr w:type="gramEnd"/>
      <w:r w:rsidRPr="00B158EA">
        <w:t xml:space="preserve"> deliberately deviate from the truth.</w:t>
      </w:r>
      <w:r>
        <w:t xml:space="preserve">” </w:t>
      </w:r>
      <w:hyperlink r:id="rId2126" w:history="1">
        <w:r w:rsidRPr="008C7245">
          <w:rPr>
            <w:rStyle w:val="Hyperlink"/>
          </w:rPr>
          <w:t>https://law.justia.com/cases/new-york/other-courts/2025/2025-ny-slip-op-51480-u.html</w:t>
        </w:r>
      </w:hyperlink>
      <w:r>
        <w:t xml:space="preserve"> </w:t>
      </w:r>
    </w:p>
    <w:p w14:paraId="148D52CE" w14:textId="77777777" w:rsidR="00EB5A84" w:rsidRDefault="00EB5A84" w:rsidP="00EB5A84">
      <w:pPr>
        <w:pStyle w:val="NoSpacing"/>
      </w:pPr>
      <w:r>
        <w:t xml:space="preserve"> </w:t>
      </w:r>
    </w:p>
    <w:p w14:paraId="0CAE61DC" w14:textId="77777777" w:rsidR="00EB5A84" w:rsidRPr="005A464F" w:rsidRDefault="00EB5A84" w:rsidP="00EB5A84">
      <w:pPr>
        <w:pStyle w:val="NoSpacing"/>
        <w:rPr>
          <w:b/>
          <w:bCs/>
        </w:rPr>
      </w:pPr>
      <w:r w:rsidRPr="005A464F">
        <w:rPr>
          <w:b/>
        </w:rPr>
        <w:t>KEY FACTS:</w:t>
      </w:r>
    </w:p>
    <w:p w14:paraId="18ECF12B" w14:textId="77777777" w:rsidR="00EB5A84" w:rsidRDefault="00EB5A84" w:rsidP="00EB5A84">
      <w:pPr>
        <w:pStyle w:val="NoSpacing"/>
      </w:pPr>
    </w:p>
    <w:p w14:paraId="54ECB398" w14:textId="77777777" w:rsidR="00EB5A84" w:rsidRDefault="00EB5A84" w:rsidP="00EB5A84">
      <w:pPr>
        <w:pStyle w:val="NoSpacing"/>
        <w:ind w:left="720"/>
      </w:pPr>
      <w:r>
        <w:t>“</w:t>
      </w:r>
      <w:r w:rsidRPr="005B601F">
        <w:t>On May 2, 2021, at approximately 8:26p.m., Police Officer Christopher Murphy responded to the corner of Putnam and Patchen Avenues in response to reports of a male shot. Officer Murphy was one of the first officers to respond. His body worn camera was activated and captured the entirety of his interaction with decedent at the crime scene, during transport to the hospital and at the hospital.</w:t>
      </w:r>
    </w:p>
    <w:p w14:paraId="17B2B82C" w14:textId="77777777" w:rsidR="00EB5A84" w:rsidRPr="005B601F" w:rsidRDefault="00EB5A84" w:rsidP="00EB5A84">
      <w:pPr>
        <w:pStyle w:val="NoSpacing"/>
        <w:ind w:left="720"/>
      </w:pPr>
    </w:p>
    <w:p w14:paraId="3E501D51" w14:textId="77777777" w:rsidR="00EB5A84" w:rsidRDefault="00EB5A84" w:rsidP="00EB5A84">
      <w:pPr>
        <w:pStyle w:val="NoSpacing"/>
        <w:ind w:left="720"/>
      </w:pPr>
      <w:r w:rsidRPr="005B601F">
        <w:t xml:space="preserve">Officer Murphy approached decedent, who was lying on his stomach, and assessed him for injuries. Decedent rolled over onto his back and Officer Murphy applied a torniquet to his left leg which was bleeding profusely. Officer Murphy placed pressure on a wound to decedent's stomach area. During this time, decedent repeatedly asked for an ambulance, expressed that he was in pain and requested water. Officer Murphy told him to stay awake and to keep breathing. At one point, it appeared that decedent passed out. Officer Murphy asked what had happened, but </w:t>
      </w:r>
      <w:proofErr w:type="gramStart"/>
      <w:r w:rsidRPr="005B601F">
        <w:t>decedent</w:t>
      </w:r>
      <w:proofErr w:type="gramEnd"/>
      <w:r w:rsidRPr="005B601F">
        <w:t xml:space="preserve"> was unable to answer the most basic questions due to his pain and injuries.</w:t>
      </w:r>
    </w:p>
    <w:p w14:paraId="22818225" w14:textId="77777777" w:rsidR="00EB5A84" w:rsidRPr="005B601F" w:rsidRDefault="00EB5A84" w:rsidP="00EB5A84">
      <w:pPr>
        <w:pStyle w:val="NoSpacing"/>
        <w:ind w:left="720"/>
      </w:pPr>
    </w:p>
    <w:p w14:paraId="5D6A977D" w14:textId="77777777" w:rsidR="00EB5A84" w:rsidRDefault="00EB5A84" w:rsidP="00EB5A84">
      <w:pPr>
        <w:pStyle w:val="NoSpacing"/>
        <w:ind w:left="720"/>
      </w:pPr>
      <w:r w:rsidRPr="005B601F">
        <w:t>While Officer Murphy was attending decedent's injuries, another officer asked his name, where the shooting occurred, and who shot him. Decedent was unable to answer any of the questions posed. The officers learned his name from someone else on the scene and stopped asking decedent questions.</w:t>
      </w:r>
    </w:p>
    <w:p w14:paraId="5D426C47" w14:textId="77777777" w:rsidR="00EB5A84" w:rsidRPr="005B601F" w:rsidRDefault="00EB5A84" w:rsidP="00EB5A84">
      <w:pPr>
        <w:pStyle w:val="NoSpacing"/>
        <w:ind w:left="720"/>
      </w:pPr>
    </w:p>
    <w:p w14:paraId="5840BFC6" w14:textId="77777777" w:rsidR="00EB5A84" w:rsidRDefault="00EB5A84" w:rsidP="00EB5A84">
      <w:pPr>
        <w:pStyle w:val="NoSpacing"/>
        <w:ind w:left="720"/>
      </w:pPr>
      <w:r w:rsidRPr="005B601F">
        <w:t xml:space="preserve">At approximately 8:33 p.m., an ambulance arrived and the EMTs noted decedent's diminished breathing and low blood pressure. The EMTs encouraged decedent to </w:t>
      </w:r>
      <w:r>
        <w:t>‘</w:t>
      </w:r>
      <w:r w:rsidRPr="005B601F">
        <w:t>stay with us, stay awake, stay with me.</w:t>
      </w:r>
      <w:r>
        <w:t>’</w:t>
      </w:r>
      <w:r w:rsidRPr="005B601F">
        <w:t xml:space="preserve"> Decedent was given oxygen and was encouraged to take deep breaths. Decedent requested more oxygen, but the EMTs stated that it was already at a high level. They suggested he breathe through his nose.</w:t>
      </w:r>
    </w:p>
    <w:p w14:paraId="470A02EB" w14:textId="77777777" w:rsidR="00EB5A84" w:rsidRDefault="00EB5A84" w:rsidP="00EB5A84">
      <w:pPr>
        <w:pStyle w:val="NoSpacing"/>
        <w:ind w:left="720"/>
      </w:pPr>
    </w:p>
    <w:p w14:paraId="661ED21A" w14:textId="77777777" w:rsidR="00EB5A84" w:rsidRDefault="00EB5A84" w:rsidP="00EB5A84">
      <w:pPr>
        <w:pStyle w:val="NoSpacing"/>
        <w:ind w:left="720"/>
      </w:pPr>
      <w:r w:rsidRPr="00944CA6">
        <w:t xml:space="preserve">At 8:39 p.m., while still inside the ambulance, Decedent stated </w:t>
      </w:r>
      <w:r>
        <w:t>‘</w:t>
      </w:r>
      <w:r w:rsidRPr="00944CA6">
        <w:t>my brother did it, Bruce Biggs. Bruce Biggs shot me.</w:t>
      </w:r>
      <w:r>
        <w:t>’</w:t>
      </w:r>
      <w:r w:rsidRPr="00944CA6">
        <w:t xml:space="preserve"> The statement was spontaneous and not made in response to any questioning by Officer Murphy or the EMTs. Decedent then stated, </w:t>
      </w:r>
      <w:r>
        <w:t>‘</w:t>
      </w:r>
      <w:r w:rsidRPr="00944CA6">
        <w:t>I went to the precinct the other day and told the cop at the desk, a Spanish dude, he wouldn't listen to me. I told him he's after me [inaudible</w:t>
      </w:r>
      <w:proofErr w:type="gramStart"/>
      <w:r w:rsidRPr="00944CA6">
        <w:t>]</w:t>
      </w:r>
      <w:proofErr w:type="gramEnd"/>
      <w:r w:rsidRPr="00944CA6">
        <w:t xml:space="preserve"> but he wouldn't listen.</w:t>
      </w:r>
      <w:r>
        <w:t>’</w:t>
      </w:r>
      <w:r w:rsidRPr="00944CA6">
        <w:t xml:space="preserve"> After this statement, Officer Murphy </w:t>
      </w:r>
      <w:proofErr w:type="gramStart"/>
      <w:r w:rsidRPr="00944CA6">
        <w:t>asked</w:t>
      </w:r>
      <w:proofErr w:type="gramEnd"/>
      <w:r w:rsidRPr="00944CA6">
        <w:t xml:space="preserve"> </w:t>
      </w:r>
      <w:r>
        <w:t>‘</w:t>
      </w:r>
      <w:r w:rsidRPr="00944CA6">
        <w:t>Who did it?</w:t>
      </w:r>
      <w:r>
        <w:t xml:space="preserve">’ </w:t>
      </w:r>
      <w:r w:rsidRPr="00944CA6">
        <w:t xml:space="preserve"> to which Biggs responded, </w:t>
      </w:r>
      <w:r>
        <w:t>‘</w:t>
      </w:r>
      <w:r w:rsidRPr="00944CA6">
        <w:t>Bruce Biggs.</w:t>
      </w:r>
      <w:r>
        <w:t>’</w:t>
      </w:r>
      <w:r w:rsidRPr="00944CA6">
        <w:t xml:space="preserve"> Officer Murphy clarified by asking </w:t>
      </w:r>
      <w:r>
        <w:t>‘</w:t>
      </w:r>
      <w:r w:rsidRPr="00944CA6">
        <w:t>Bruce Biggs?</w:t>
      </w:r>
      <w:r>
        <w:t>’</w:t>
      </w:r>
      <w:r w:rsidRPr="00944CA6">
        <w:t xml:space="preserve"> and Biggs responded, </w:t>
      </w:r>
      <w:r>
        <w:t>‘</w:t>
      </w:r>
      <w:r w:rsidRPr="00944CA6">
        <w:t>74 Bainbridge Street.</w:t>
      </w:r>
      <w:r>
        <w:t>’”</w:t>
      </w:r>
    </w:p>
    <w:p w14:paraId="476F1C64" w14:textId="77777777" w:rsidR="00EB5A84" w:rsidRDefault="00EB5A84" w:rsidP="00EB5A84">
      <w:pPr>
        <w:pStyle w:val="NoSpacing"/>
        <w:ind w:left="720"/>
      </w:pPr>
    </w:p>
    <w:p w14:paraId="0CA10637" w14:textId="77777777" w:rsidR="00EB5A84" w:rsidRPr="00F43962" w:rsidRDefault="00EB5A84" w:rsidP="00EB5A84">
      <w:pPr>
        <w:pStyle w:val="NoSpacing"/>
        <w:rPr>
          <w:b/>
          <w:bCs/>
        </w:rPr>
      </w:pPr>
      <w:r>
        <w:rPr>
          <w:b/>
        </w:rPr>
        <w:t xml:space="preserve">Legal lesson learned: EMS should document in their run report the comments by the patient that his brother shot him.  </w:t>
      </w:r>
    </w:p>
    <w:p w14:paraId="18783650" w14:textId="77777777" w:rsidR="00EB5A84" w:rsidRDefault="00EB5A84" w:rsidP="00EB5A84">
      <w:pPr>
        <w:pStyle w:val="NoSpacing"/>
        <w:ind w:left="720"/>
      </w:pPr>
    </w:p>
    <w:p w14:paraId="56C855BB" w14:textId="77777777" w:rsidR="00EB5A84" w:rsidRDefault="00EB5A84" w:rsidP="00EB5A84">
      <w:pPr>
        <w:pStyle w:val="NoSpacing"/>
        <w:ind w:left="720"/>
      </w:pPr>
    </w:p>
    <w:p w14:paraId="35D2BF59" w14:textId="4001BAA7" w:rsidR="002E2CF4" w:rsidRPr="002E2CF4" w:rsidRDefault="002E2CF4" w:rsidP="00542851">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1</w:t>
      </w:r>
    </w:p>
    <w:p w14:paraId="760ACA58" w14:textId="77777777" w:rsidR="00BA6717" w:rsidRPr="00204D78" w:rsidRDefault="00BA6717" w:rsidP="00BA6717">
      <w:pPr>
        <w:pStyle w:val="NoSpacing"/>
        <w:rPr>
          <w:rFonts w:ascii="Arial Black" w:hAnsi="Arial Black"/>
          <w:bCs/>
          <w:sz w:val="28"/>
          <w:szCs w:val="28"/>
        </w:rPr>
      </w:pPr>
      <w:r>
        <w:rPr>
          <w:rFonts w:ascii="Arial Black" w:hAnsi="Arial Black"/>
          <w:sz w:val="28"/>
          <w:szCs w:val="28"/>
        </w:rPr>
        <w:t>TX: “MD” TOLD EMS NOT TREAT PT - NOT A PHYSICIAN</w:t>
      </w:r>
    </w:p>
    <w:p w14:paraId="170191E0" w14:textId="77777777" w:rsidR="00BA6717" w:rsidRDefault="00BA6717" w:rsidP="00BA6717">
      <w:pPr>
        <w:pStyle w:val="NoSpacing"/>
        <w:rPr>
          <w:bCs/>
        </w:rPr>
      </w:pPr>
    </w:p>
    <w:p w14:paraId="40B805BB" w14:textId="3F99B353" w:rsidR="00BA6717" w:rsidRPr="00662E1A" w:rsidRDefault="00BA6717" w:rsidP="00BA6717">
      <w:pPr>
        <w:pStyle w:val="NoSpacing"/>
        <w:rPr>
          <w:rFonts w:ascii="Times New Roman" w:hAnsi="Times New Roman"/>
          <w:bCs/>
          <w:sz w:val="24"/>
          <w:szCs w:val="24"/>
        </w:rPr>
      </w:pPr>
      <w:r w:rsidRPr="00662E1A">
        <w:rPr>
          <w:rFonts w:ascii="Times New Roman" w:hAnsi="Times New Roman"/>
          <w:sz w:val="24"/>
          <w:szCs w:val="24"/>
        </w:rPr>
        <w:t xml:space="preserve">On July 24, 2025, in </w:t>
      </w:r>
      <w:r w:rsidRPr="00662E1A">
        <w:rPr>
          <w:rFonts w:ascii="Times New Roman" w:hAnsi="Times New Roman"/>
          <w:sz w:val="24"/>
          <w:szCs w:val="24"/>
          <w:u w:val="single"/>
        </w:rPr>
        <w:t>Texas Medical Board v. Grayce Yannuzzi</w:t>
      </w:r>
      <w:r w:rsidRPr="00662E1A">
        <w:rPr>
          <w:rFonts w:ascii="Times New Roman" w:hAnsi="Times New Roman"/>
          <w:sz w:val="24"/>
          <w:szCs w:val="24"/>
        </w:rPr>
        <w:t>, the Court of Appeals of Texas, Fifteenth District, held (3 to 0) that the Medical Board properly issued a cease-and-desist order</w:t>
      </w:r>
      <w:r w:rsidR="001F4349">
        <w:rPr>
          <w:rFonts w:ascii="Times New Roman" w:hAnsi="Times New Roman"/>
          <w:sz w:val="24"/>
          <w:szCs w:val="24"/>
        </w:rPr>
        <w:t xml:space="preserve"> </w:t>
      </w:r>
      <w:r w:rsidRPr="00662E1A">
        <w:rPr>
          <w:rFonts w:ascii="Times New Roman" w:hAnsi="Times New Roman"/>
          <w:sz w:val="24"/>
          <w:szCs w:val="24"/>
        </w:rPr>
        <w:t xml:space="preserve">prohibiting Grayce Yannuzzi from holding herself out to be a licensed physician.  She is a licensed laser hair professional who works at Ginger Allure </w:t>
      </w:r>
      <w:proofErr w:type="gramStart"/>
      <w:r w:rsidRPr="00662E1A">
        <w:rPr>
          <w:rFonts w:ascii="Times New Roman" w:hAnsi="Times New Roman"/>
          <w:sz w:val="24"/>
          <w:szCs w:val="24"/>
        </w:rPr>
        <w:t>MedSpa (‘</w:t>
      </w:r>
      <w:proofErr w:type="gramEnd"/>
      <w:r w:rsidRPr="00662E1A">
        <w:rPr>
          <w:rFonts w:ascii="Times New Roman" w:hAnsi="Times New Roman"/>
          <w:sz w:val="24"/>
          <w:szCs w:val="24"/>
        </w:rPr>
        <w:t xml:space="preserve">MedSpa’), under the direction of a Dr. Clark.  She claims that she was merely telling the medic and his Medical Director that Dr. Clark would see the patient.  Trial Court judge set aside the Board’s order; Court of Appeals disagreed and reinstated the order. THE COURT HELD: “[Paramedic Christopher] Stevens and Dr. Abraham’s testimony ‘demonstrates a reasonable basis for’ the Board’s decision.” </w:t>
      </w:r>
    </w:p>
    <w:p w14:paraId="6EC09F89" w14:textId="77777777" w:rsidR="00BA6717" w:rsidRPr="00662E1A" w:rsidRDefault="00BA6717" w:rsidP="00BA6717">
      <w:pPr>
        <w:pStyle w:val="NoSpacing"/>
        <w:rPr>
          <w:rFonts w:ascii="Times New Roman" w:hAnsi="Times New Roman"/>
          <w:bCs/>
          <w:sz w:val="24"/>
          <w:szCs w:val="24"/>
        </w:rPr>
      </w:pPr>
      <w:hyperlink r:id="rId2127" w:history="1">
        <w:r w:rsidRPr="00662E1A">
          <w:rPr>
            <w:rStyle w:val="Hyperlink"/>
            <w:rFonts w:ascii="Times New Roman" w:hAnsi="Times New Roman"/>
            <w:sz w:val="24"/>
            <w:szCs w:val="24"/>
          </w:rPr>
          <w:t>https://cases.justia.com/texas/fifteenth-court-of-appeals/2025-15-24-00048-cv.pdf?ts=1753365777</w:t>
        </w:r>
      </w:hyperlink>
    </w:p>
    <w:p w14:paraId="2A69C4BC" w14:textId="77777777" w:rsidR="00180F76" w:rsidRDefault="00180F76" w:rsidP="000A0CD1">
      <w:pPr>
        <w:pStyle w:val="NoSpacing"/>
        <w:rPr>
          <w:rFonts w:ascii="Times New Roman" w:hAnsi="Times New Roman"/>
          <w:b/>
          <w:sz w:val="24"/>
          <w:szCs w:val="24"/>
        </w:rPr>
      </w:pPr>
    </w:p>
    <w:p w14:paraId="0C36EFE3" w14:textId="1FF58E88" w:rsidR="000A0CD1" w:rsidRPr="00662E1A" w:rsidRDefault="000A0CD1" w:rsidP="000A0CD1">
      <w:pPr>
        <w:pStyle w:val="NoSpacing"/>
        <w:rPr>
          <w:rFonts w:ascii="Times New Roman" w:hAnsi="Times New Roman"/>
          <w:b/>
          <w:sz w:val="24"/>
          <w:szCs w:val="24"/>
        </w:rPr>
      </w:pPr>
      <w:r w:rsidRPr="00662E1A">
        <w:rPr>
          <w:rFonts w:ascii="Times New Roman" w:hAnsi="Times New Roman"/>
          <w:b/>
          <w:sz w:val="24"/>
          <w:szCs w:val="24"/>
        </w:rPr>
        <w:t xml:space="preserve">Legal Lesson Learned:  Paramedic wisely contacted Medical Director when person said she was a physician.  </w:t>
      </w:r>
    </w:p>
    <w:p w14:paraId="329D8C24" w14:textId="77777777" w:rsidR="000A0CD1" w:rsidRPr="00662E1A" w:rsidRDefault="000A0CD1" w:rsidP="000A0CD1">
      <w:pPr>
        <w:pStyle w:val="NoSpacing"/>
        <w:ind w:left="720"/>
        <w:rPr>
          <w:rFonts w:ascii="Times New Roman" w:hAnsi="Times New Roman"/>
          <w:b/>
          <w:sz w:val="24"/>
          <w:szCs w:val="24"/>
        </w:rPr>
      </w:pPr>
    </w:p>
    <w:p w14:paraId="03CC4008" w14:textId="77777777" w:rsidR="002E2CF4" w:rsidRDefault="002E2CF4" w:rsidP="00705D47">
      <w:pPr>
        <w:rPr>
          <w:rFonts w:ascii="Arial Black" w:hAnsi="Arial Black"/>
          <w:b/>
          <w:bCs/>
          <w:sz w:val="24"/>
          <w:szCs w:val="24"/>
        </w:rPr>
      </w:pPr>
    </w:p>
    <w:p w14:paraId="63F8D772" w14:textId="66187F28" w:rsidR="00542851" w:rsidRPr="002E2CF4" w:rsidRDefault="002E2CF4" w:rsidP="00705D47">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0</w:t>
      </w:r>
    </w:p>
    <w:p w14:paraId="009C54BD" w14:textId="444F67CF" w:rsidR="004E4AEF" w:rsidRDefault="004E4AEF" w:rsidP="004E4AEF">
      <w:pPr>
        <w:pStyle w:val="NoSpacing"/>
        <w:rPr>
          <w:rFonts w:ascii="Arial Black" w:hAnsi="Arial Black"/>
          <w:b/>
          <w:sz w:val="28"/>
          <w:szCs w:val="28"/>
        </w:rPr>
      </w:pPr>
      <w:r>
        <w:rPr>
          <w:rFonts w:ascii="Arial Black" w:hAnsi="Arial Black"/>
          <w:b/>
          <w:sz w:val="28"/>
          <w:szCs w:val="28"/>
        </w:rPr>
        <w:t xml:space="preserve">NY: EMS OFFICER – DIDN’T WRITE RPT </w:t>
      </w:r>
      <w:r w:rsidR="0039559E">
        <w:rPr>
          <w:rFonts w:ascii="Arial Black" w:hAnsi="Arial Black"/>
          <w:b/>
          <w:sz w:val="28"/>
          <w:szCs w:val="28"/>
        </w:rPr>
        <w:t xml:space="preserve">TO </w:t>
      </w:r>
      <w:r>
        <w:rPr>
          <w:rFonts w:ascii="Arial Black" w:hAnsi="Arial Black"/>
          <w:b/>
          <w:sz w:val="28"/>
          <w:szCs w:val="28"/>
        </w:rPr>
        <w:t xml:space="preserve">CHIEF – 1-YR SUSP  </w:t>
      </w:r>
    </w:p>
    <w:p w14:paraId="086B832C" w14:textId="77777777" w:rsidR="004E4AEF" w:rsidRDefault="004E4AEF" w:rsidP="004E4AEF">
      <w:pPr>
        <w:pStyle w:val="NoSpacing"/>
        <w:rPr>
          <w:rFonts w:ascii="Arial Black" w:hAnsi="Arial Black"/>
          <w:b/>
          <w:sz w:val="28"/>
          <w:szCs w:val="28"/>
        </w:rPr>
      </w:pPr>
    </w:p>
    <w:p w14:paraId="1F93DE6B" w14:textId="77777777" w:rsidR="004E4AEF" w:rsidRPr="003D20B2" w:rsidRDefault="004E4AEF" w:rsidP="004E4AEF">
      <w:pPr>
        <w:pStyle w:val="NoSpacing"/>
        <w:rPr>
          <w:rFonts w:ascii="Times New Roman" w:hAnsi="Times New Roman"/>
          <w:sz w:val="24"/>
          <w:szCs w:val="24"/>
        </w:rPr>
      </w:pPr>
      <w:r w:rsidRPr="003D20B2">
        <w:rPr>
          <w:rFonts w:ascii="Times New Roman" w:hAnsi="Times New Roman"/>
          <w:sz w:val="24"/>
          <w:szCs w:val="24"/>
        </w:rPr>
        <w:t xml:space="preserve">On July 24, 2025, in </w:t>
      </w:r>
      <w:r w:rsidRPr="003D20B2">
        <w:rPr>
          <w:rFonts w:ascii="Times New Roman" w:hAnsi="Times New Roman"/>
          <w:sz w:val="24"/>
          <w:szCs w:val="24"/>
          <w:u w:val="single"/>
        </w:rPr>
        <w:t>Joseph Oginski v. Vigilant Engine And Hook And Ladder Company, Inc, et al</w:t>
      </w:r>
      <w:r w:rsidRPr="003D20B2">
        <w:rPr>
          <w:rFonts w:ascii="Times New Roman" w:hAnsi="Times New Roman"/>
          <w:sz w:val="24"/>
          <w:szCs w:val="24"/>
        </w:rPr>
        <w:t xml:space="preserve">.,  U.S. District Court Judge Joan M. </w:t>
      </w:r>
      <w:proofErr w:type="spellStart"/>
      <w:r w:rsidRPr="003D20B2">
        <w:rPr>
          <w:rFonts w:ascii="Times New Roman" w:hAnsi="Times New Roman"/>
          <w:sz w:val="24"/>
          <w:szCs w:val="24"/>
        </w:rPr>
        <w:t>Azrack</w:t>
      </w:r>
      <w:proofErr w:type="spellEnd"/>
      <w:r w:rsidRPr="003D20B2">
        <w:rPr>
          <w:rFonts w:ascii="Times New Roman" w:hAnsi="Times New Roman"/>
          <w:sz w:val="24"/>
          <w:szCs w:val="24"/>
        </w:rPr>
        <w:t>, United States District Court for Eastern District of New York, dismissed the lawsuit alleging retaliation in violation of his Constitutional right to free speech since his communications were not as a citizen but as a member on the department.  The plaintiff was EMS 1</w:t>
      </w:r>
      <w:r w:rsidRPr="003D20B2">
        <w:rPr>
          <w:rFonts w:ascii="Times New Roman" w:hAnsi="Times New Roman"/>
          <w:sz w:val="24"/>
          <w:szCs w:val="24"/>
          <w:vertAlign w:val="superscript"/>
        </w:rPr>
        <w:t>st</w:t>
      </w:r>
      <w:r w:rsidRPr="003D20B2">
        <w:rPr>
          <w:rFonts w:ascii="Times New Roman" w:hAnsi="Times New Roman"/>
          <w:sz w:val="24"/>
          <w:szCs w:val="24"/>
        </w:rPr>
        <w:t xml:space="preserve"> Assistant Chief of the department and had repeatedly urged the Board, including in a lengthy e-mail of August 7, 2022, to direct the Fire Chief to have all members use of the County Communication’s </w:t>
      </w:r>
      <w:proofErr w:type="spellStart"/>
      <w:r w:rsidRPr="003D20B2">
        <w:rPr>
          <w:rFonts w:ascii="Times New Roman" w:hAnsi="Times New Roman"/>
          <w:sz w:val="24"/>
          <w:szCs w:val="24"/>
        </w:rPr>
        <w:t>Bryx</w:t>
      </w:r>
      <w:proofErr w:type="spellEnd"/>
      <w:r w:rsidRPr="003D20B2">
        <w:rPr>
          <w:rFonts w:ascii="Times New Roman" w:hAnsi="Times New Roman"/>
          <w:sz w:val="24"/>
          <w:szCs w:val="24"/>
        </w:rPr>
        <w:t xml:space="preserve"> 911 App for early notification of runs. The Board declined to do this.  On September 18,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the plaintiff responded to EMS call at nursing home for COVID patient; he refused to go in until fit tested COVID masks were brought from fire station to the ambulance.  The Fire Chief ordered him to submit a written report, which he refused to provide until meeting with Board’s Chair and attorney.  After a Board hearing on November 1,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he was suspended for one year.  The case was first submitted to a U.S. Magistrate Judge who concluded that Oginski’s communications with the FD Board were part of official duties, and not as a private citizen; Federal Judge </w:t>
      </w:r>
      <w:proofErr w:type="spellStart"/>
      <w:r w:rsidRPr="003D20B2">
        <w:rPr>
          <w:rFonts w:ascii="Times New Roman" w:hAnsi="Times New Roman"/>
          <w:sz w:val="24"/>
          <w:szCs w:val="24"/>
        </w:rPr>
        <w:t>Azrack</w:t>
      </w:r>
      <w:proofErr w:type="spellEnd"/>
      <w:r w:rsidRPr="003D20B2">
        <w:rPr>
          <w:rFonts w:ascii="Times New Roman" w:hAnsi="Times New Roman"/>
          <w:sz w:val="24"/>
          <w:szCs w:val="24"/>
        </w:rPr>
        <w:t xml:space="preserve"> agreed. THE COURT HELD: “Here, however, the  communications at issue were made in the context of his employment and pursuant to Plaintiff's official duties.” </w:t>
      </w:r>
      <w:hyperlink r:id="rId2128" w:history="1">
        <w:r w:rsidRPr="003D20B2">
          <w:rPr>
            <w:rStyle w:val="Hyperlink"/>
            <w:rFonts w:ascii="Times New Roman" w:hAnsi="Times New Roman"/>
            <w:sz w:val="24"/>
            <w:szCs w:val="24"/>
          </w:rPr>
          <w:t>https://public.fastcase.com/jaEE2PXzRXmZ99jOLMt1Iur66SqTUHCh2%2F6i5JSa4l6hU%2FvLi%2B5AObhTx2DvFKDq?utm_medium=email&amp;_hsenc=p2ANqtz--swmEKE2bBH1yxnsdN_yPFP1ssqGq5KgURTPyK4vIy-QrvDWKI9I9IkKVZfzKsNc7HzZR6NsXw-W4jNuqGESlXN6G9zw&amp;_hsmi=226712652&amp;utm_content=226712652&amp;utm_source=hs_email</w:t>
        </w:r>
      </w:hyperlink>
      <w:r w:rsidRPr="003D20B2">
        <w:rPr>
          <w:rFonts w:ascii="Times New Roman" w:hAnsi="Times New Roman"/>
          <w:sz w:val="24"/>
          <w:szCs w:val="24"/>
        </w:rPr>
        <w:t xml:space="preserve"> </w:t>
      </w:r>
    </w:p>
    <w:p w14:paraId="06C86D07" w14:textId="77777777" w:rsidR="004E4AEF" w:rsidRPr="003D20B2" w:rsidRDefault="004E4AEF" w:rsidP="004E4AEF">
      <w:pPr>
        <w:pStyle w:val="NoSpacing"/>
        <w:rPr>
          <w:rFonts w:ascii="Times New Roman" w:hAnsi="Times New Roman"/>
          <w:sz w:val="24"/>
          <w:szCs w:val="24"/>
        </w:rPr>
      </w:pPr>
    </w:p>
    <w:p w14:paraId="2EDBDB94" w14:textId="77777777" w:rsidR="00297B95" w:rsidRPr="003D20B2" w:rsidRDefault="00297B95" w:rsidP="00297B95">
      <w:pPr>
        <w:pStyle w:val="NoSpacing"/>
        <w:rPr>
          <w:rFonts w:ascii="Times New Roman" w:hAnsi="Times New Roman"/>
          <w:b/>
          <w:bCs/>
          <w:sz w:val="24"/>
          <w:szCs w:val="24"/>
        </w:rPr>
      </w:pPr>
      <w:r w:rsidRPr="003D20B2">
        <w:rPr>
          <w:rFonts w:ascii="Times New Roman" w:hAnsi="Times New Roman"/>
          <w:b/>
          <w:sz w:val="24"/>
          <w:szCs w:val="24"/>
        </w:rPr>
        <w:t>Legal lesson learned:  EMS officer’s e-mails and other communications with Fire Department Board are not protected by First Amendment; his refusal to complete a written report to the Fire Chief about an EMS run is basis for discipline.</w:t>
      </w:r>
    </w:p>
    <w:p w14:paraId="438390E9" w14:textId="77777777" w:rsidR="00297B95" w:rsidRPr="003D20B2" w:rsidRDefault="00297B95" w:rsidP="00297B95">
      <w:pPr>
        <w:pStyle w:val="NoSpacing"/>
        <w:rPr>
          <w:rFonts w:ascii="Times New Roman" w:hAnsi="Times New Roman"/>
          <w:sz w:val="24"/>
          <w:szCs w:val="24"/>
        </w:rPr>
      </w:pPr>
    </w:p>
    <w:p w14:paraId="295B13D0"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See June 18, </w:t>
      </w:r>
      <w:proofErr w:type="gramStart"/>
      <w:r w:rsidRPr="003D20B2">
        <w:rPr>
          <w:rFonts w:ascii="Times New Roman" w:hAnsi="Times New Roman"/>
          <w:sz w:val="24"/>
          <w:szCs w:val="24"/>
        </w:rPr>
        <w:t>2025</w:t>
      </w:r>
      <w:proofErr w:type="gramEnd"/>
      <w:r w:rsidRPr="003D20B2">
        <w:rPr>
          <w:rFonts w:ascii="Times New Roman" w:hAnsi="Times New Roman"/>
          <w:sz w:val="24"/>
          <w:szCs w:val="24"/>
        </w:rPr>
        <w:t xml:space="preserve"> Report and Recommendation of U.S. Magistrate Judge Shield. </w:t>
      </w:r>
      <w:hyperlink r:id="rId2129" w:history="1">
        <w:r w:rsidRPr="003D20B2">
          <w:rPr>
            <w:rStyle w:val="Hyperlink"/>
            <w:rFonts w:ascii="Times New Roman" w:hAnsi="Times New Roman"/>
            <w:sz w:val="24"/>
            <w:szCs w:val="24"/>
          </w:rPr>
          <w:t>https://public.fastcase.com/jaEE2PXzRXmZ99jOLMt1Ii3GHq1DqUk6JcIatDazVs2MT6qOPN%2BlSHCpyD6INecs?utm_medium=email&amp;_hsenc=p2ANqtz--mlDS8haOQgu8WvAgxTOdChC-L5bDfnY4D7GnlMH_0KI2lqvAqiMoF8QlUmIn8nD4qRtsgkZAeTqUVI7tJfHdW7459rg&amp;_hsmi=226712652&amp;utm_content=226712652&amp;utm_source=hs_email</w:t>
        </w:r>
      </w:hyperlink>
      <w:r w:rsidRPr="003D20B2">
        <w:rPr>
          <w:rFonts w:ascii="Times New Roman" w:hAnsi="Times New Roman"/>
          <w:sz w:val="24"/>
          <w:szCs w:val="24"/>
        </w:rPr>
        <w:t xml:space="preserve"> </w:t>
      </w:r>
    </w:p>
    <w:p w14:paraId="2613CBE2" w14:textId="77777777" w:rsidR="00297B95" w:rsidRPr="003D20B2" w:rsidRDefault="00297B95" w:rsidP="00297B95">
      <w:pPr>
        <w:pStyle w:val="NoSpacing"/>
        <w:rPr>
          <w:rFonts w:ascii="Times New Roman" w:hAnsi="Times New Roman"/>
          <w:sz w:val="24"/>
          <w:szCs w:val="24"/>
        </w:rPr>
      </w:pPr>
      <w:r w:rsidRPr="003D20B2">
        <w:rPr>
          <w:rFonts w:ascii="Times New Roman" w:hAnsi="Times New Roman"/>
          <w:sz w:val="24"/>
          <w:szCs w:val="24"/>
        </w:rPr>
        <w:t xml:space="preserve"> </w:t>
      </w:r>
    </w:p>
    <w:p w14:paraId="60817537"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“Oginski was, at all relevant times, a member of the Company…. He first joined Vigilant in 2008. </w:t>
      </w:r>
      <w:proofErr w:type="gramStart"/>
      <w:r w:rsidRPr="003D20B2">
        <w:rPr>
          <w:rFonts w:ascii="Times New Roman" w:hAnsi="Times New Roman"/>
          <w:sz w:val="24"/>
          <w:szCs w:val="24"/>
        </w:rPr>
        <w:t>During the course of</w:t>
      </w:r>
      <w:proofErr w:type="gramEnd"/>
      <w:r w:rsidRPr="003D20B2">
        <w:rPr>
          <w:rFonts w:ascii="Times New Roman" w:hAnsi="Times New Roman"/>
          <w:sz w:val="24"/>
          <w:szCs w:val="24"/>
        </w:rPr>
        <w:t xml:space="preserve"> his membership Oginski held numerous ‘operational and leadership’ positions. Such positions included serving as Sergeant at Arms, Financial Secretary, EMS Corporal, Fire Lieutenant, EMS Captain and EMS 1st Assistant Chief.</w:t>
      </w:r>
    </w:p>
    <w:p w14:paraId="617AB032" w14:textId="77777777" w:rsidR="00297B95" w:rsidRPr="003D20B2" w:rsidRDefault="00297B95" w:rsidP="00297B95">
      <w:pPr>
        <w:pStyle w:val="NoSpacing"/>
        <w:ind w:left="720"/>
        <w:rPr>
          <w:rFonts w:ascii="Times New Roman" w:hAnsi="Times New Roman"/>
          <w:sz w:val="24"/>
          <w:szCs w:val="24"/>
        </w:rPr>
      </w:pPr>
    </w:p>
    <w:p w14:paraId="3AC6599D"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w:t>
      </w:r>
    </w:p>
    <w:p w14:paraId="6668A1A4" w14:textId="77777777" w:rsidR="00297B95" w:rsidRPr="003D20B2" w:rsidRDefault="00297B95" w:rsidP="00297B95">
      <w:pPr>
        <w:pStyle w:val="NoSpacing"/>
        <w:ind w:left="720"/>
        <w:rPr>
          <w:rFonts w:ascii="Times New Roman" w:hAnsi="Times New Roman"/>
          <w:sz w:val="24"/>
          <w:szCs w:val="24"/>
        </w:rPr>
      </w:pPr>
    </w:p>
    <w:p w14:paraId="570E06F7"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On September 18,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Oginski and other Company members responded to an emergency call received from a nursing home (the ‘September 2022 Nursing Home Call’)…. That call requested an ambulance for a Covid patient. Oginski was the responding ambulance driver…. A paramedic was already on the scene…. Upon arrival at the nursing home Oginski and the other responders found that their N95 masks did not create a facial seal…. Oginski attributes this to the fact that the masks were not fit-tested as required by law. Oginski had previously complained about the lack of </w:t>
      </w:r>
      <w:proofErr w:type="gramStart"/>
      <w:r w:rsidRPr="003D20B2">
        <w:rPr>
          <w:rFonts w:ascii="Times New Roman" w:hAnsi="Times New Roman"/>
          <w:sz w:val="24"/>
          <w:szCs w:val="24"/>
        </w:rPr>
        <w:t>fit-testing</w:t>
      </w:r>
      <w:proofErr w:type="gramEnd"/>
      <w:r w:rsidRPr="003D20B2">
        <w:rPr>
          <w:rFonts w:ascii="Times New Roman" w:hAnsi="Times New Roman"/>
          <w:sz w:val="24"/>
          <w:szCs w:val="24"/>
        </w:rPr>
        <w:t xml:space="preserve"> to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and Cherry who ignored his complaints….  Upon arrival at the nursing home Oginski immediately contacted the firehouse and asked the dispatcher to send masks to the scene…. He also contacted Nassau County Medical </w:t>
      </w:r>
      <w:proofErr w:type="gramStart"/>
      <w:r w:rsidRPr="003D20B2">
        <w:rPr>
          <w:rFonts w:ascii="Times New Roman" w:hAnsi="Times New Roman"/>
          <w:sz w:val="24"/>
          <w:szCs w:val="24"/>
        </w:rPr>
        <w:t>Control (‘</w:t>
      </w:r>
      <w:proofErr w:type="gramEnd"/>
      <w:r w:rsidRPr="003D20B2">
        <w:rPr>
          <w:rFonts w:ascii="Times New Roman" w:hAnsi="Times New Roman"/>
          <w:sz w:val="24"/>
          <w:szCs w:val="24"/>
        </w:rPr>
        <w:t>Medical Control’) for guidance as to how to proceed. Medical Control advised Oginski that it was appropriate to wait at the scene for the arrival of masks before entering the nursing home…. Shortly thereafter, the responding crew was advised that the patient at issue was not Covid positive…. Once masks arrived, the Vigilant responders entered the nursing home to provide the requested emergency assistance.</w:t>
      </w:r>
    </w:p>
    <w:p w14:paraId="502E0B45" w14:textId="77777777" w:rsidR="00297B95" w:rsidRPr="003D20B2" w:rsidRDefault="00297B95" w:rsidP="00297B95">
      <w:pPr>
        <w:pStyle w:val="NoSpacing"/>
        <w:ind w:left="720"/>
        <w:rPr>
          <w:rFonts w:ascii="Times New Roman" w:hAnsi="Times New Roman"/>
          <w:sz w:val="24"/>
          <w:szCs w:val="24"/>
        </w:rPr>
      </w:pPr>
    </w:p>
    <w:p w14:paraId="1173323B"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w:t>
      </w:r>
    </w:p>
    <w:p w14:paraId="0B5AC4F3" w14:textId="77777777" w:rsidR="00297B95" w:rsidRPr="003D20B2" w:rsidRDefault="00297B95" w:rsidP="00297B95">
      <w:pPr>
        <w:pStyle w:val="NoSpacing"/>
        <w:rPr>
          <w:rFonts w:ascii="Times New Roman" w:hAnsi="Times New Roman"/>
          <w:sz w:val="24"/>
          <w:szCs w:val="24"/>
        </w:rPr>
      </w:pPr>
    </w:p>
    <w:p w14:paraId="344244A4"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Before they could meet, [Department Chief Justin]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is stated to have approached Oginski and ‘demanded’ that he write a statement about what happened at the nursing home…. Oginski told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that he did not wish to meet with him, and that he would provide statements to the Vigilant attorney and to the Chairman of the Board….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continued to ask Oginski to provide him with a </w:t>
      </w:r>
      <w:proofErr w:type="gramStart"/>
      <w:r w:rsidRPr="003D20B2">
        <w:rPr>
          <w:rFonts w:ascii="Times New Roman" w:hAnsi="Times New Roman"/>
          <w:sz w:val="24"/>
          <w:szCs w:val="24"/>
        </w:rPr>
        <w:t>statement, and</w:t>
      </w:r>
      <w:proofErr w:type="gramEnd"/>
      <w:r w:rsidRPr="003D20B2">
        <w:rPr>
          <w:rFonts w:ascii="Times New Roman" w:hAnsi="Times New Roman"/>
          <w:sz w:val="24"/>
          <w:szCs w:val="24"/>
        </w:rPr>
        <w:t xml:space="preserve"> threatened to suspend Oginski for failure to comply….  Oginski reiterated to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that he would provide a statement, but only after first speaking with Vigilant's counsel and the Board Chair….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responded by suspending Oginski for 10 days…. On September 20, 2022 (the next day) Vigilant's Recording Secretary emailed Oginski a statement of charges that was filed by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In that statement Oginski was charged with insubordination and conduct unbecoming a member.” </w:t>
      </w:r>
    </w:p>
    <w:p w14:paraId="6D50216A" w14:textId="77777777" w:rsidR="00297B95" w:rsidRPr="003D20B2" w:rsidRDefault="00297B95" w:rsidP="00297B95">
      <w:pPr>
        <w:pStyle w:val="NoSpacing"/>
        <w:rPr>
          <w:rFonts w:ascii="Times New Roman" w:hAnsi="Times New Roman"/>
          <w:sz w:val="24"/>
          <w:szCs w:val="24"/>
        </w:rPr>
      </w:pPr>
    </w:p>
    <w:p w14:paraId="361ED78B" w14:textId="77777777" w:rsidR="00297B95" w:rsidRPr="003D20B2" w:rsidRDefault="00297B95" w:rsidP="00297B95">
      <w:pPr>
        <w:pStyle w:val="NoSpacing"/>
        <w:rPr>
          <w:rFonts w:ascii="Times New Roman" w:hAnsi="Times New Roman"/>
          <w:sz w:val="24"/>
          <w:szCs w:val="24"/>
        </w:rPr>
      </w:pPr>
    </w:p>
    <w:p w14:paraId="6E31D346" w14:textId="77777777" w:rsidR="00542851" w:rsidRDefault="00542851" w:rsidP="00705D47">
      <w:pPr>
        <w:rPr>
          <w:rFonts w:ascii="Arial Black" w:hAnsi="Arial Black"/>
          <w:b/>
          <w:bCs/>
          <w:sz w:val="28"/>
          <w:szCs w:val="28"/>
        </w:rPr>
      </w:pPr>
    </w:p>
    <w:p w14:paraId="067EBEC6" w14:textId="77B92400" w:rsidR="00705D47" w:rsidRDefault="00705D47" w:rsidP="00705D47">
      <w:pPr>
        <w:rPr>
          <w:rFonts w:ascii="Arial Black" w:hAnsi="Arial Black"/>
          <w:b/>
          <w:bCs/>
          <w:sz w:val="28"/>
          <w:szCs w:val="28"/>
        </w:rPr>
      </w:pPr>
      <w:r>
        <w:rPr>
          <w:rFonts w:ascii="Arial Black" w:hAnsi="Arial Black"/>
          <w:b/>
          <w:bCs/>
          <w:sz w:val="28"/>
          <w:szCs w:val="28"/>
        </w:rPr>
        <w:t>13-2</w:t>
      </w:r>
      <w:r w:rsidR="00524647">
        <w:rPr>
          <w:rFonts w:ascii="Arial Black" w:hAnsi="Arial Black"/>
          <w:b/>
          <w:bCs/>
          <w:sz w:val="28"/>
          <w:szCs w:val="28"/>
        </w:rPr>
        <w:t>19</w:t>
      </w:r>
    </w:p>
    <w:p w14:paraId="7CA62011" w14:textId="77777777" w:rsidR="005B4276" w:rsidRPr="002E2CF3" w:rsidRDefault="005B4276" w:rsidP="005B4276">
      <w:pPr>
        <w:rPr>
          <w:rFonts w:ascii="Arial Black" w:hAnsi="Arial Black"/>
          <w:b/>
          <w:sz w:val="28"/>
          <w:szCs w:val="28"/>
        </w:rPr>
      </w:pPr>
      <w:r>
        <w:rPr>
          <w:rFonts w:ascii="Arial Black" w:hAnsi="Arial Black"/>
          <w:b/>
          <w:sz w:val="28"/>
          <w:szCs w:val="28"/>
        </w:rPr>
        <w:t xml:space="preserve">NY: FDNY / EMS PAY – CAN’T DEPOSE FDNY COMMISSIONER </w:t>
      </w:r>
    </w:p>
    <w:p w14:paraId="0C291D8C" w14:textId="77777777" w:rsidR="005B4276" w:rsidRPr="005C6596" w:rsidRDefault="005B4276" w:rsidP="005B4276">
      <w:pPr>
        <w:rPr>
          <w:rFonts w:ascii="Times New Roman" w:hAnsi="Times New Roman"/>
          <w:bCs/>
          <w:sz w:val="24"/>
          <w:szCs w:val="24"/>
        </w:rPr>
      </w:pPr>
      <w:r w:rsidRPr="005C6596">
        <w:rPr>
          <w:rFonts w:ascii="Times New Roman" w:hAnsi="Times New Roman"/>
          <w:sz w:val="24"/>
          <w:szCs w:val="24"/>
        </w:rPr>
        <w:t xml:space="preserve">On June 20, 2025, in </w:t>
      </w:r>
      <w:r w:rsidRPr="005C6596">
        <w:rPr>
          <w:rFonts w:ascii="Times New Roman" w:hAnsi="Times New Roman"/>
          <w:sz w:val="24"/>
          <w:szCs w:val="24"/>
          <w:u w:val="single"/>
        </w:rPr>
        <w:t>Local 2507, Uniformed EMTs, Paramedics &amp; Fire Inspectors, et al. v. City of New York</w:t>
      </w:r>
      <w:r w:rsidRPr="005C6596">
        <w:rPr>
          <w:rFonts w:ascii="Times New Roman" w:hAnsi="Times New Roman"/>
          <w:sz w:val="24"/>
          <w:szCs w:val="24"/>
        </w:rPr>
        <w:t xml:space="preserve">, U. S. Magistrate Judge Gabriel W. Gorenstein, United States District Court for Southern District of New York, denied the Union motion to compel the deposition of FDNY Commissioner Robert Tucker.  He is a “high-level” government </w:t>
      </w:r>
      <w:proofErr w:type="gramStart"/>
      <w:r w:rsidRPr="005C6596">
        <w:rPr>
          <w:rFonts w:ascii="Times New Roman" w:hAnsi="Times New Roman"/>
          <w:sz w:val="24"/>
          <w:szCs w:val="24"/>
        </w:rPr>
        <w:t>official</w:t>
      </w:r>
      <w:proofErr w:type="gramEnd"/>
      <w:r w:rsidRPr="005C6596">
        <w:rPr>
          <w:rFonts w:ascii="Times New Roman" w:hAnsi="Times New Roman"/>
          <w:sz w:val="24"/>
          <w:szCs w:val="24"/>
        </w:rPr>
        <w:t xml:space="preserve"> and courts protect such individuals from depositions unless “exceptional circumstances.” He was appointed less than a year ago, well after the lawsuit was filed, and has not been involved in collective bargaining on this issue. THE COURT HELD: “A deposition of a high-level governmental or corporate officer is commonly referred to as an ‘apex deposition’ and may not be ordered absent a special showing by the party seeking the deposition. With respect to governmental officials, the Second Circuit noted in </w:t>
      </w:r>
      <w:r w:rsidRPr="005C6596">
        <w:rPr>
          <w:rFonts w:ascii="Times New Roman" w:hAnsi="Times New Roman"/>
          <w:i/>
          <w:iCs/>
          <w:sz w:val="24"/>
          <w:szCs w:val="24"/>
        </w:rPr>
        <w:t>Lederman v. N.Y. City Dept. of Parks and Recreation</w:t>
      </w:r>
      <w:r w:rsidRPr="005C6596">
        <w:rPr>
          <w:rFonts w:ascii="Times New Roman" w:hAnsi="Times New Roman"/>
          <w:sz w:val="24"/>
          <w:szCs w:val="24"/>
        </w:rPr>
        <w:t>, 731 F.3d 199 (2d Cir. 2013), that courts have commonly held that ‘a high-ranking government official should not - absent exceptional circumstances - be deposed or called to testify regarding the reasons for taking official action, including the manner and extent of his study of the record and his consultation with subordinates.’”</w:t>
      </w:r>
      <w:hyperlink r:id="rId2130" w:history="1">
        <w:r w:rsidRPr="005C6596">
          <w:rPr>
            <w:rStyle w:val="Hyperlink"/>
            <w:rFonts w:ascii="Times New Roman" w:hAnsi="Times New Roman"/>
            <w:sz w:val="24"/>
            <w:szCs w:val="24"/>
          </w:rPr>
          <w:t>https://caselaw.findlaw.com/court/us-dis-crt-sd-new-yor/117411673.html</w:t>
        </w:r>
      </w:hyperlink>
      <w:r w:rsidRPr="005C6596">
        <w:rPr>
          <w:rFonts w:ascii="Times New Roman" w:hAnsi="Times New Roman"/>
          <w:sz w:val="24"/>
          <w:szCs w:val="24"/>
        </w:rPr>
        <w:t xml:space="preserve"> </w:t>
      </w:r>
    </w:p>
    <w:p w14:paraId="6CE04202" w14:textId="77777777" w:rsidR="00571DF6" w:rsidRPr="005C6596" w:rsidRDefault="00571DF6" w:rsidP="00571DF6">
      <w:pPr>
        <w:pStyle w:val="NoSpacing"/>
        <w:rPr>
          <w:rFonts w:ascii="Times New Roman" w:hAnsi="Times New Roman"/>
          <w:b/>
          <w:bCs/>
          <w:sz w:val="24"/>
          <w:szCs w:val="24"/>
        </w:rPr>
      </w:pPr>
      <w:r w:rsidRPr="005C6596">
        <w:rPr>
          <w:rFonts w:ascii="Times New Roman" w:hAnsi="Times New Roman"/>
          <w:b/>
          <w:sz w:val="24"/>
          <w:szCs w:val="24"/>
        </w:rPr>
        <w:t xml:space="preserve">Legal </w:t>
      </w:r>
      <w:proofErr w:type="gramStart"/>
      <w:r w:rsidRPr="005C6596">
        <w:rPr>
          <w:rFonts w:ascii="Times New Roman" w:hAnsi="Times New Roman"/>
          <w:b/>
          <w:sz w:val="24"/>
          <w:szCs w:val="24"/>
        </w:rPr>
        <w:t>lesson</w:t>
      </w:r>
      <w:proofErr w:type="gramEnd"/>
      <w:r w:rsidRPr="005C6596">
        <w:rPr>
          <w:rFonts w:ascii="Times New Roman" w:hAnsi="Times New Roman"/>
          <w:b/>
          <w:sz w:val="24"/>
          <w:szCs w:val="24"/>
        </w:rPr>
        <w:t xml:space="preserve"> learned: High </w:t>
      </w:r>
      <w:r w:rsidRPr="005C6596">
        <w:rPr>
          <w:rFonts w:ascii="Times New Roman" w:hAnsi="Times New Roman"/>
          <w:b/>
          <w:bCs/>
          <w:sz w:val="24"/>
          <w:szCs w:val="24"/>
        </w:rPr>
        <w:t xml:space="preserve">level government officials </w:t>
      </w:r>
      <w:r w:rsidRPr="005C6596">
        <w:rPr>
          <w:rFonts w:ascii="Times New Roman" w:hAnsi="Times New Roman"/>
          <w:b/>
          <w:sz w:val="24"/>
          <w:szCs w:val="24"/>
        </w:rPr>
        <w:t>are generally protected from depositions</w:t>
      </w:r>
      <w:r w:rsidRPr="005C6596">
        <w:rPr>
          <w:rFonts w:ascii="Times New Roman" w:hAnsi="Times New Roman"/>
          <w:b/>
          <w:bCs/>
          <w:sz w:val="24"/>
          <w:szCs w:val="24"/>
        </w:rPr>
        <w:t xml:space="preserve"> so they can do their jobs without disruption.</w:t>
      </w:r>
    </w:p>
    <w:p w14:paraId="24C96E2D" w14:textId="77777777" w:rsidR="00F55DAF" w:rsidRDefault="00F55DAF" w:rsidP="002B1283">
      <w:pPr>
        <w:rPr>
          <w:rFonts w:ascii="Arial Black" w:hAnsi="Arial Black"/>
          <w:b/>
          <w:bCs/>
          <w:sz w:val="28"/>
          <w:szCs w:val="28"/>
        </w:rPr>
      </w:pPr>
    </w:p>
    <w:p w14:paraId="7A792E84" w14:textId="521AAD57"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8</w:t>
      </w:r>
    </w:p>
    <w:p w14:paraId="54E2DAB6" w14:textId="30988BD6" w:rsidR="003F325A" w:rsidRDefault="003F325A" w:rsidP="003F325A">
      <w:pPr>
        <w:pStyle w:val="NoSpacing"/>
        <w:rPr>
          <w:rFonts w:ascii="Arial Black" w:hAnsi="Arial Black"/>
          <w:sz w:val="28"/>
          <w:szCs w:val="28"/>
        </w:rPr>
      </w:pPr>
      <w:r>
        <w:rPr>
          <w:rFonts w:ascii="Arial Black" w:hAnsi="Arial Black"/>
          <w:sz w:val="28"/>
          <w:szCs w:val="28"/>
        </w:rPr>
        <w:t xml:space="preserve">MO: HIPAA – FF PATIENT </w:t>
      </w:r>
      <w:r w:rsidR="00A10031">
        <w:rPr>
          <w:rFonts w:ascii="Arial Black" w:hAnsi="Arial Black"/>
          <w:sz w:val="28"/>
          <w:szCs w:val="28"/>
        </w:rPr>
        <w:t>–</w:t>
      </w:r>
      <w:r>
        <w:rPr>
          <w:rFonts w:ascii="Arial Black" w:hAnsi="Arial Black"/>
          <w:sz w:val="28"/>
          <w:szCs w:val="28"/>
        </w:rPr>
        <w:t xml:space="preserve"> INFO SHARED</w:t>
      </w:r>
      <w:r w:rsidR="00334308">
        <w:rPr>
          <w:rFonts w:ascii="Arial Black" w:hAnsi="Arial Black"/>
          <w:sz w:val="28"/>
          <w:szCs w:val="28"/>
        </w:rPr>
        <w:t xml:space="preserve"> IN FD</w:t>
      </w:r>
      <w:r>
        <w:rPr>
          <w:rFonts w:ascii="Arial Black" w:hAnsi="Arial Black"/>
          <w:sz w:val="28"/>
          <w:szCs w:val="28"/>
        </w:rPr>
        <w:t xml:space="preserve"> / </w:t>
      </w:r>
      <w:r w:rsidR="00A10031">
        <w:rPr>
          <w:rFonts w:ascii="Arial Black" w:hAnsi="Arial Black"/>
          <w:sz w:val="28"/>
          <w:szCs w:val="28"/>
        </w:rPr>
        <w:t xml:space="preserve">CAN’T SUE </w:t>
      </w:r>
      <w:r w:rsidR="00334308">
        <w:rPr>
          <w:rFonts w:ascii="Arial Black" w:hAnsi="Arial Black"/>
          <w:sz w:val="28"/>
          <w:szCs w:val="28"/>
        </w:rPr>
        <w:t>CITY</w:t>
      </w:r>
    </w:p>
    <w:p w14:paraId="1DED4825" w14:textId="77777777" w:rsidR="003F325A" w:rsidRDefault="003F325A" w:rsidP="003F325A">
      <w:pPr>
        <w:pStyle w:val="NoSpacing"/>
      </w:pPr>
    </w:p>
    <w:p w14:paraId="32F5669E" w14:textId="77777777" w:rsidR="003F325A" w:rsidRPr="0091209E" w:rsidRDefault="003F325A" w:rsidP="003F325A">
      <w:pPr>
        <w:pStyle w:val="NoSpacing"/>
        <w:rPr>
          <w:rFonts w:ascii="Times New Roman" w:hAnsi="Times New Roman"/>
          <w:sz w:val="24"/>
          <w:szCs w:val="24"/>
        </w:rPr>
      </w:pPr>
      <w:r w:rsidRPr="0091209E">
        <w:rPr>
          <w:rFonts w:ascii="Times New Roman" w:hAnsi="Times New Roman"/>
          <w:sz w:val="24"/>
          <w:szCs w:val="24"/>
        </w:rPr>
        <w:t xml:space="preserve">On June 17, 2025, in </w:t>
      </w:r>
      <w:r w:rsidRPr="0091209E">
        <w:rPr>
          <w:rFonts w:ascii="Times New Roman" w:hAnsi="Times New Roman"/>
          <w:sz w:val="24"/>
          <w:szCs w:val="24"/>
          <w:u w:val="single"/>
        </w:rPr>
        <w:t>Joseph Weixeldorfer v. City of Kansas City, Missouri, et al</w:t>
      </w:r>
      <w:r w:rsidRPr="0091209E">
        <w:rPr>
          <w:rFonts w:ascii="Times New Roman" w:hAnsi="Times New Roman"/>
          <w:sz w:val="24"/>
          <w:szCs w:val="24"/>
        </w:rPr>
        <w:t xml:space="preserve">., the Court of Appeals of Missouri, Western District, Second Division, held (3 to 0) that trial court properly granted City’s motion for summary judgment; as a patient when he signed a HIPAA acknowledgement, this did not constitute a “contract” for which he could sue the city.   On November 22, 2017, the plaintiff, a firefighter with the </w:t>
      </w:r>
      <w:proofErr w:type="gramStart"/>
      <w:r w:rsidRPr="0091209E">
        <w:rPr>
          <w:rFonts w:ascii="Times New Roman" w:hAnsi="Times New Roman"/>
          <w:sz w:val="24"/>
          <w:szCs w:val="24"/>
        </w:rPr>
        <w:t>City</w:t>
      </w:r>
      <w:proofErr w:type="gramEnd"/>
      <w:r w:rsidRPr="0091209E">
        <w:rPr>
          <w:rFonts w:ascii="Times New Roman" w:hAnsi="Times New Roman"/>
          <w:sz w:val="24"/>
          <w:szCs w:val="24"/>
        </w:rPr>
        <w:t xml:space="preserve">, was home and called 911 and was transported to the hospital.  Four years later, on November 12, 2021, he filed a lawsuit claiming he suffered humiliation and damage to his reputation when FD personnel and the dispatcher disclosed his “personal medical and mental health” information to both fellow personnel on the fire department, and to his father and others. The trial court judge also refused the plaintiff’s motion to file a Fifth Amended Complaint naming the lead paramedic on the run and the dispatcher – this was well after discovery was closed </w:t>
      </w:r>
      <w:proofErr w:type="gramStart"/>
      <w:r w:rsidRPr="0091209E">
        <w:rPr>
          <w:rFonts w:ascii="Times New Roman" w:hAnsi="Times New Roman"/>
          <w:sz w:val="24"/>
          <w:szCs w:val="24"/>
        </w:rPr>
        <w:t>and also</w:t>
      </w:r>
      <w:proofErr w:type="gramEnd"/>
      <w:r w:rsidRPr="0091209E">
        <w:rPr>
          <w:rFonts w:ascii="Times New Roman" w:hAnsi="Times New Roman"/>
          <w:sz w:val="24"/>
          <w:szCs w:val="24"/>
        </w:rPr>
        <w:t xml:space="preserve"> the 5-year statute of limitations. THE COURT HELD: "[T]he HIPAA Privacy Rule requires only that providers give patients a notice when it is practical to do so after the emergency situation has ended….The acknowledgment creates no duties other than those already required by HIPAA.” </w:t>
      </w:r>
    </w:p>
    <w:p w14:paraId="23F3A3E2" w14:textId="0B6E9790" w:rsidR="003F325A" w:rsidRPr="0091209E" w:rsidRDefault="003F325A" w:rsidP="003F325A">
      <w:pPr>
        <w:rPr>
          <w:rFonts w:ascii="Times New Roman" w:hAnsi="Times New Roman"/>
          <w:sz w:val="24"/>
          <w:szCs w:val="24"/>
        </w:rPr>
      </w:pPr>
      <w:hyperlink r:id="rId2131" w:history="1">
        <w:r w:rsidRPr="0091209E">
          <w:rPr>
            <w:rStyle w:val="Hyperlink"/>
            <w:rFonts w:ascii="Times New Roman" w:hAnsi="Times New Roman"/>
            <w:sz w:val="24"/>
            <w:szCs w:val="24"/>
          </w:rPr>
          <w:t>https://cases.justia.com/missouri/court-of-appeals/2025-wd87298.pdf?ts=1750174248</w:t>
        </w:r>
      </w:hyperlink>
    </w:p>
    <w:p w14:paraId="39BA91AC" w14:textId="77777777" w:rsidR="0091209E" w:rsidRPr="0091209E" w:rsidRDefault="0091209E" w:rsidP="0091209E">
      <w:pPr>
        <w:pStyle w:val="NoSpacing"/>
        <w:rPr>
          <w:rFonts w:ascii="Times New Roman" w:hAnsi="Times New Roman"/>
          <w:b/>
          <w:bCs/>
          <w:sz w:val="24"/>
          <w:szCs w:val="24"/>
        </w:rPr>
      </w:pPr>
      <w:r w:rsidRPr="0091209E">
        <w:rPr>
          <w:rFonts w:ascii="Times New Roman" w:hAnsi="Times New Roman"/>
          <w:b/>
          <w:sz w:val="24"/>
          <w:szCs w:val="24"/>
        </w:rPr>
        <w:t>Legal lesson learned. When transporting a patient who is also a member of the Fire Department special care must be exercised to not discuss the run with those who do not have an official need to know - particularly involving mental health.</w:t>
      </w:r>
    </w:p>
    <w:p w14:paraId="3F76557E" w14:textId="77777777" w:rsidR="0091209E" w:rsidRDefault="0091209E" w:rsidP="003F325A">
      <w:pPr>
        <w:rPr>
          <w:rFonts w:ascii="Arial Black" w:hAnsi="Arial Black"/>
          <w:b/>
          <w:bCs/>
          <w:sz w:val="28"/>
          <w:szCs w:val="28"/>
        </w:rPr>
      </w:pPr>
    </w:p>
    <w:p w14:paraId="241AF9C9" w14:textId="4552A2E7"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7</w:t>
      </w:r>
    </w:p>
    <w:p w14:paraId="42EAE140" w14:textId="73E8E2A5" w:rsidR="00815DD8" w:rsidRPr="00A11F37" w:rsidRDefault="00815DD8" w:rsidP="00815DD8">
      <w:pPr>
        <w:rPr>
          <w:rFonts w:ascii="Arial Black" w:hAnsi="Arial Black"/>
          <w:b/>
          <w:sz w:val="28"/>
          <w:szCs w:val="28"/>
        </w:rPr>
      </w:pPr>
      <w:r>
        <w:rPr>
          <w:rFonts w:ascii="Arial Black" w:hAnsi="Arial Black"/>
          <w:b/>
          <w:sz w:val="28"/>
          <w:szCs w:val="28"/>
        </w:rPr>
        <w:t>WV: CO EXPOSURE –</w:t>
      </w:r>
      <w:r w:rsidR="00B242F8">
        <w:rPr>
          <w:rFonts w:ascii="Arial Black" w:hAnsi="Arial Black"/>
          <w:b/>
          <w:sz w:val="28"/>
          <w:szCs w:val="28"/>
        </w:rPr>
        <w:t xml:space="preserve"> DISPATCH SENT FF / NOT EMS – IMMUNITY </w:t>
      </w:r>
    </w:p>
    <w:p w14:paraId="47D022A0" w14:textId="77777777" w:rsidR="00815DD8" w:rsidRPr="00420162" w:rsidRDefault="00815DD8" w:rsidP="00815DD8">
      <w:pPr>
        <w:pStyle w:val="NoSpacing"/>
        <w:rPr>
          <w:rFonts w:ascii="Times New Roman" w:hAnsi="Times New Roman"/>
          <w:bCs/>
          <w:sz w:val="24"/>
          <w:szCs w:val="24"/>
        </w:rPr>
      </w:pPr>
      <w:r w:rsidRPr="00420162">
        <w:rPr>
          <w:rFonts w:ascii="Times New Roman" w:hAnsi="Times New Roman"/>
          <w:sz w:val="24"/>
          <w:szCs w:val="24"/>
        </w:rPr>
        <w:t xml:space="preserve">On June 6, 2015 in </w:t>
      </w:r>
      <w:r w:rsidRPr="00420162">
        <w:rPr>
          <w:rFonts w:ascii="Times New Roman" w:hAnsi="Times New Roman"/>
          <w:sz w:val="24"/>
          <w:szCs w:val="24"/>
          <w:u w:val="single"/>
        </w:rPr>
        <w:t xml:space="preserve">Rhoda M. Marchant, Timothy E. </w:t>
      </w:r>
      <w:proofErr w:type="spellStart"/>
      <w:r w:rsidRPr="00420162">
        <w:rPr>
          <w:rFonts w:ascii="Times New Roman" w:hAnsi="Times New Roman"/>
          <w:sz w:val="24"/>
          <w:szCs w:val="24"/>
          <w:u w:val="single"/>
        </w:rPr>
        <w:t>Marchart</w:t>
      </w:r>
      <w:proofErr w:type="spellEnd"/>
      <w:r w:rsidRPr="00420162">
        <w:rPr>
          <w:rFonts w:ascii="Times New Roman" w:hAnsi="Times New Roman"/>
          <w:sz w:val="24"/>
          <w:szCs w:val="24"/>
          <w:u w:val="single"/>
        </w:rPr>
        <w:t xml:space="preserve"> and Timothy S. </w:t>
      </w:r>
      <w:proofErr w:type="spellStart"/>
      <w:r w:rsidRPr="00420162">
        <w:rPr>
          <w:rFonts w:ascii="Times New Roman" w:hAnsi="Times New Roman"/>
          <w:sz w:val="24"/>
          <w:szCs w:val="24"/>
          <w:u w:val="single"/>
        </w:rPr>
        <w:t>Marchart</w:t>
      </w:r>
      <w:proofErr w:type="spellEnd"/>
      <w:r w:rsidRPr="00420162">
        <w:rPr>
          <w:rFonts w:ascii="Times New Roman" w:hAnsi="Times New Roman"/>
          <w:sz w:val="24"/>
          <w:szCs w:val="24"/>
          <w:u w:val="single"/>
        </w:rPr>
        <w:t xml:space="preserve"> v. Preston County Office of Emergency Management / E911 and Preston County Commission</w:t>
      </w:r>
      <w:r w:rsidRPr="00420162">
        <w:rPr>
          <w:rFonts w:ascii="Times New Roman" w:hAnsi="Times New Roman"/>
          <w:sz w:val="24"/>
          <w:szCs w:val="24"/>
        </w:rPr>
        <w:t xml:space="preserve">, the West Virginia Intermediate Court of Appeals held (3 to 0) that the trial court properly granted the County’s motion to dismiss; there was no proof of willful or wanton misconduct by the dispatchers who sent a fire department on Feb. 7, 2018 to their home in response to their 911 call about carbon monoxide from an electrical generator.  After the Fire Department arrived, Timothy E. Marchant drove himself and his family from Independence to Morgantown’s Ruby Memorial Hospital; they allege that all members of the family suffered physical and mental injuries as a result of the delay in treatment, but that Rhoda suffered most severely, as she was rendered permanently legally blind and disabled and is unable to work. THE COURT HELD:  “The Marchants requested a status conference, which was held on July 29, 2024. Thereafter, by order entered on August 14, 2024, the circuit court granted the motion to dismiss, asserting that respondents were entitled to immunity under West Virginia Code § 24-6-8.... Notably, the Marchants have not expressed what amendments [to their complaint] could be made or facts could be alleged to demonstrate a valid claim for willful or wanton  misconduct </w:t>
      </w:r>
      <w:proofErr w:type="gramStart"/>
      <w:r w:rsidRPr="00420162">
        <w:rPr>
          <w:rFonts w:ascii="Times New Roman" w:hAnsi="Times New Roman"/>
          <w:sz w:val="24"/>
          <w:szCs w:val="24"/>
        </w:rPr>
        <w:t>in light of</w:t>
      </w:r>
      <w:proofErr w:type="gramEnd"/>
      <w:r w:rsidRPr="00420162">
        <w:rPr>
          <w:rFonts w:ascii="Times New Roman" w:hAnsi="Times New Roman"/>
          <w:sz w:val="24"/>
          <w:szCs w:val="24"/>
        </w:rPr>
        <w:t xml:space="preserve"> the facts asserted in the operative </w:t>
      </w:r>
      <w:proofErr w:type="gramStart"/>
      <w:r w:rsidRPr="00420162">
        <w:rPr>
          <w:rFonts w:ascii="Times New Roman" w:hAnsi="Times New Roman"/>
          <w:sz w:val="24"/>
          <w:szCs w:val="24"/>
        </w:rPr>
        <w:t>complaint.”</w:t>
      </w:r>
      <w:proofErr w:type="gramEnd"/>
    </w:p>
    <w:p w14:paraId="16CD2DD1" w14:textId="77777777" w:rsidR="00815DD8" w:rsidRPr="00420162" w:rsidRDefault="00815DD8" w:rsidP="00815DD8">
      <w:pPr>
        <w:pStyle w:val="NoSpacing"/>
        <w:rPr>
          <w:rFonts w:ascii="Times New Roman" w:hAnsi="Times New Roman"/>
          <w:b/>
          <w:sz w:val="24"/>
          <w:szCs w:val="24"/>
        </w:rPr>
      </w:pPr>
      <w:hyperlink r:id="rId2132" w:history="1">
        <w:r w:rsidRPr="00420162">
          <w:rPr>
            <w:rStyle w:val="Hyperlink"/>
            <w:rFonts w:ascii="Times New Roman" w:hAnsi="Times New Roman"/>
            <w:sz w:val="24"/>
            <w:szCs w:val="24"/>
          </w:rPr>
          <w:t>https://cases.justia.com/west-virginia/intermediate-court-of-appeals/2025-24-ica-364.pdf?ts=1749239242</w:t>
        </w:r>
      </w:hyperlink>
      <w:r w:rsidRPr="00420162">
        <w:rPr>
          <w:rFonts w:ascii="Times New Roman" w:hAnsi="Times New Roman"/>
          <w:b/>
          <w:sz w:val="24"/>
          <w:szCs w:val="24"/>
        </w:rPr>
        <w:t xml:space="preserve"> </w:t>
      </w:r>
    </w:p>
    <w:p w14:paraId="58636EA9" w14:textId="77777777" w:rsidR="00815DD8" w:rsidRPr="00420162" w:rsidRDefault="00815DD8" w:rsidP="00815DD8">
      <w:pPr>
        <w:pStyle w:val="NoSpacing"/>
        <w:rPr>
          <w:rFonts w:ascii="Times New Roman" w:hAnsi="Times New Roman"/>
          <w:bCs/>
          <w:sz w:val="24"/>
          <w:szCs w:val="24"/>
        </w:rPr>
      </w:pPr>
    </w:p>
    <w:p w14:paraId="4336281B" w14:textId="77777777" w:rsidR="00420162" w:rsidRPr="00420162" w:rsidRDefault="00420162" w:rsidP="00420162">
      <w:pPr>
        <w:pStyle w:val="NoSpacing"/>
        <w:rPr>
          <w:rFonts w:ascii="Times New Roman" w:hAnsi="Times New Roman"/>
          <w:b/>
          <w:bCs/>
          <w:sz w:val="24"/>
          <w:szCs w:val="24"/>
        </w:rPr>
      </w:pPr>
      <w:r w:rsidRPr="00420162">
        <w:rPr>
          <w:rFonts w:ascii="Times New Roman" w:hAnsi="Times New Roman"/>
          <w:b/>
          <w:sz w:val="24"/>
          <w:szCs w:val="24"/>
        </w:rPr>
        <w:t xml:space="preserve">Legal lesson learned: Dispatchers and their employer are not liable in West Virginia unless there is proof of “willful or wanton misconduct.”  It is </w:t>
      </w:r>
      <w:proofErr w:type="gramStart"/>
      <w:r w:rsidRPr="00420162">
        <w:rPr>
          <w:rFonts w:ascii="Times New Roman" w:hAnsi="Times New Roman"/>
          <w:b/>
          <w:sz w:val="24"/>
          <w:szCs w:val="24"/>
        </w:rPr>
        <w:t>a best</w:t>
      </w:r>
      <w:proofErr w:type="gramEnd"/>
      <w:r w:rsidRPr="00420162">
        <w:rPr>
          <w:rFonts w:ascii="Times New Roman" w:hAnsi="Times New Roman"/>
          <w:b/>
          <w:sz w:val="24"/>
          <w:szCs w:val="24"/>
        </w:rPr>
        <w:t xml:space="preserve"> practice that dispatchers have a protocol on carbon monoxide calls, including when to dispatch an ambulance. </w:t>
      </w:r>
    </w:p>
    <w:p w14:paraId="0FAD7F2F" w14:textId="77777777" w:rsidR="00420162" w:rsidRPr="00420162" w:rsidRDefault="00420162" w:rsidP="00420162">
      <w:pPr>
        <w:pStyle w:val="NoSpacing"/>
        <w:rPr>
          <w:rFonts w:ascii="Times New Roman" w:hAnsi="Times New Roman"/>
          <w:b/>
          <w:bCs/>
          <w:sz w:val="24"/>
          <w:szCs w:val="24"/>
        </w:rPr>
      </w:pPr>
    </w:p>
    <w:p w14:paraId="0DF4ECB8" w14:textId="77777777" w:rsidR="00420162" w:rsidRPr="00420162" w:rsidRDefault="00420162" w:rsidP="00420162">
      <w:pPr>
        <w:pStyle w:val="NoSpacing"/>
        <w:ind w:firstLine="720"/>
        <w:rPr>
          <w:rFonts w:ascii="Times New Roman" w:hAnsi="Times New Roman"/>
          <w:bCs/>
          <w:sz w:val="24"/>
          <w:szCs w:val="24"/>
        </w:rPr>
      </w:pPr>
      <w:r w:rsidRPr="00420162">
        <w:rPr>
          <w:rFonts w:ascii="Times New Roman" w:hAnsi="Times New Roman"/>
          <w:sz w:val="24"/>
          <w:szCs w:val="24"/>
        </w:rPr>
        <w:t xml:space="preserve">Note: See West Virginia Code §24-6-8. </w:t>
      </w:r>
      <w:hyperlink r:id="rId2133" w:history="1">
        <w:r w:rsidRPr="00420162">
          <w:rPr>
            <w:rStyle w:val="Hyperlink"/>
            <w:rFonts w:ascii="Times New Roman" w:hAnsi="Times New Roman"/>
            <w:sz w:val="24"/>
            <w:szCs w:val="24"/>
          </w:rPr>
          <w:t>https://code.wvlegislature.gov/email/24-6/</w:t>
        </w:r>
      </w:hyperlink>
      <w:r w:rsidRPr="00420162">
        <w:rPr>
          <w:rFonts w:ascii="Times New Roman" w:hAnsi="Times New Roman"/>
          <w:sz w:val="24"/>
          <w:szCs w:val="24"/>
        </w:rPr>
        <w:t xml:space="preserve"> </w:t>
      </w:r>
    </w:p>
    <w:p w14:paraId="0829FCA1" w14:textId="77777777" w:rsidR="00420162" w:rsidRPr="00420162" w:rsidRDefault="00420162" w:rsidP="00420162">
      <w:pPr>
        <w:pStyle w:val="NoSpacing"/>
        <w:ind w:firstLine="720"/>
        <w:rPr>
          <w:rFonts w:ascii="Times New Roman" w:hAnsi="Times New Roman"/>
          <w:bCs/>
          <w:sz w:val="24"/>
          <w:szCs w:val="24"/>
        </w:rPr>
      </w:pPr>
    </w:p>
    <w:p w14:paraId="4DCD5F4A" w14:textId="77777777" w:rsidR="00420162" w:rsidRPr="00420162" w:rsidRDefault="00420162" w:rsidP="00420162">
      <w:pPr>
        <w:pStyle w:val="NoSpacing"/>
        <w:ind w:left="720"/>
        <w:rPr>
          <w:rFonts w:ascii="Times New Roman" w:hAnsi="Times New Roman"/>
          <w:bCs/>
          <w:sz w:val="24"/>
          <w:szCs w:val="24"/>
        </w:rPr>
      </w:pPr>
      <w:r w:rsidRPr="00420162">
        <w:rPr>
          <w:rFonts w:ascii="Times New Roman" w:hAnsi="Times New Roman"/>
          <w:sz w:val="24"/>
          <w:szCs w:val="24"/>
        </w:rPr>
        <w:t>“Limitation of liability. A public agency or a telephone company participating in an emergency telephone system or a county which has established an enhanced emergency telephone system, and any officer, agent or employee of the public agency, telephone company or county is not liable for damages in a civil action for injuries, death or loss to persons or property arising from any act or omission, except willful or wanton misconduct, in connection with developing, adopting or approving any final plan or any agreement made pursuant to this article, or otherwise bringing into operation or participating in the operation of an emergency telephone system or an enhanced emergency telephone system pursuant to this article.”</w:t>
      </w:r>
    </w:p>
    <w:p w14:paraId="5ACD7991" w14:textId="77777777" w:rsidR="00420162" w:rsidRPr="00420162" w:rsidRDefault="00420162" w:rsidP="00420162">
      <w:pPr>
        <w:pStyle w:val="NoSpacing"/>
        <w:rPr>
          <w:rFonts w:ascii="Times New Roman" w:hAnsi="Times New Roman"/>
          <w:b/>
          <w:bCs/>
          <w:sz w:val="24"/>
          <w:szCs w:val="24"/>
        </w:rPr>
      </w:pPr>
    </w:p>
    <w:p w14:paraId="2528AA53" w14:textId="77777777" w:rsidR="00705D47" w:rsidRDefault="00705D47" w:rsidP="00705D47">
      <w:pPr>
        <w:rPr>
          <w:rFonts w:ascii="Arial Black" w:hAnsi="Arial Black"/>
          <w:b/>
          <w:bCs/>
          <w:sz w:val="28"/>
          <w:szCs w:val="28"/>
        </w:rPr>
      </w:pPr>
    </w:p>
    <w:p w14:paraId="58DECBEB" w14:textId="03B97FC1"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6</w:t>
      </w:r>
    </w:p>
    <w:p w14:paraId="322F1E3F" w14:textId="23ED63C5" w:rsidR="00DC020F" w:rsidRPr="00FD26B7" w:rsidRDefault="00DC020F" w:rsidP="00DC020F">
      <w:pPr>
        <w:rPr>
          <w:rFonts w:ascii="Arial Black" w:hAnsi="Arial Black"/>
          <w:b/>
          <w:sz w:val="28"/>
          <w:szCs w:val="28"/>
        </w:rPr>
      </w:pPr>
      <w:r>
        <w:rPr>
          <w:rFonts w:ascii="Arial Black" w:hAnsi="Arial Black"/>
          <w:b/>
          <w:sz w:val="28"/>
          <w:szCs w:val="28"/>
        </w:rPr>
        <w:t>OH: COMBATIVE P</w:t>
      </w:r>
      <w:r w:rsidR="006672D1">
        <w:rPr>
          <w:rFonts w:ascii="Arial Black" w:hAnsi="Arial Black"/>
          <w:b/>
          <w:sz w:val="28"/>
          <w:szCs w:val="28"/>
        </w:rPr>
        <w:t>T – HANDCUFFED TRANS</w:t>
      </w:r>
      <w:r w:rsidR="00F73364">
        <w:rPr>
          <w:rFonts w:ascii="Arial Black" w:hAnsi="Arial Black"/>
          <w:b/>
          <w:sz w:val="28"/>
          <w:szCs w:val="28"/>
        </w:rPr>
        <w:t xml:space="preserve"> - EMS / PD IMMUNITY </w:t>
      </w:r>
    </w:p>
    <w:p w14:paraId="54A8141A" w14:textId="628824E0" w:rsidR="00DC020F" w:rsidRPr="00705D47" w:rsidRDefault="00DC020F" w:rsidP="00DC020F">
      <w:pPr>
        <w:pStyle w:val="NoSpacing"/>
        <w:rPr>
          <w:rFonts w:ascii="Times New Roman" w:hAnsi="Times New Roman"/>
          <w:bCs/>
          <w:sz w:val="24"/>
          <w:szCs w:val="24"/>
        </w:rPr>
      </w:pPr>
      <w:r w:rsidRPr="00705D47">
        <w:rPr>
          <w:rFonts w:ascii="Times New Roman" w:hAnsi="Times New Roman"/>
          <w:sz w:val="24"/>
          <w:szCs w:val="24"/>
        </w:rPr>
        <w:t>On May 30, 2</w:t>
      </w:r>
      <w:r w:rsidR="003F4271">
        <w:rPr>
          <w:rFonts w:ascii="Times New Roman" w:hAnsi="Times New Roman"/>
          <w:sz w:val="24"/>
          <w:szCs w:val="24"/>
        </w:rPr>
        <w:t>0</w:t>
      </w:r>
      <w:r w:rsidRPr="00705D47">
        <w:rPr>
          <w:rFonts w:ascii="Times New Roman" w:hAnsi="Times New Roman"/>
          <w:sz w:val="24"/>
          <w:szCs w:val="24"/>
        </w:rPr>
        <w:t xml:space="preserve">25, in </w:t>
      </w:r>
      <w:r w:rsidRPr="00705D47">
        <w:rPr>
          <w:rFonts w:ascii="Times New Roman" w:hAnsi="Times New Roman"/>
          <w:sz w:val="24"/>
          <w:szCs w:val="24"/>
          <w:u w:val="single"/>
        </w:rPr>
        <w:t>Robert McGuire, et al. v. City of Mansfield, et al</w:t>
      </w:r>
      <w:r w:rsidRPr="00705D47">
        <w:rPr>
          <w:rFonts w:ascii="Times New Roman" w:hAnsi="Times New Roman"/>
          <w:sz w:val="24"/>
          <w:szCs w:val="24"/>
        </w:rPr>
        <w:t xml:space="preserve">., the Court of Appeals of Ohio, Fifth District, Richland held (3 to 0) that trial court erred in not dismissing the lawsuit; there was no evidence of willful or wanton misconduct by the EMS during transport on March 21, 2022, or of the Mansfield police officer at the hospital who handcuffed the combative patient as he was taken into the hospital. The entire encounter from arrival </w:t>
      </w:r>
      <w:proofErr w:type="gramStart"/>
      <w:r w:rsidRPr="00705D47">
        <w:rPr>
          <w:rFonts w:ascii="Times New Roman" w:hAnsi="Times New Roman"/>
          <w:sz w:val="24"/>
          <w:szCs w:val="24"/>
        </w:rPr>
        <w:t>to</w:t>
      </w:r>
      <w:proofErr w:type="gramEnd"/>
      <w:r w:rsidRPr="00705D47">
        <w:rPr>
          <w:rFonts w:ascii="Times New Roman" w:hAnsi="Times New Roman"/>
          <w:sz w:val="24"/>
          <w:szCs w:val="24"/>
        </w:rPr>
        <w:t xml:space="preserve"> McGuire's residence to taking McGuire into the emergency room was less than ten minutes. McGuire suffered injuries including cardiopulmonary arrest with consistent brain injury due to hypoxia and hypotension.  To use a medical malpractice standard for a first responder would basically eviscerate the immunity statutes; that is why the wanton standard is the “failure to exercise any care.” THE COURT HELD: “The evidence presented also does not show the firefighters' conduct was wanton. They did not fail ‘to exercise any care toward’ McGuire ‘whom a duty of care is owed in circumstances in which there is great probability that harm will result.’ … While experts can argue over the more correct care, that is a negligence issue that does not rise to the standard of wanton care… To use a medical malpractice standard for a first responder would basically eviscerate the immunity statutes; that is why the wanton standard is the ‘failure to exercise any care.’”</w:t>
      </w:r>
      <w:hyperlink r:id="rId2134" w:history="1">
        <w:r w:rsidRPr="00705D47">
          <w:rPr>
            <w:rStyle w:val="Hyperlink"/>
            <w:rFonts w:ascii="Times New Roman" w:hAnsi="Times New Roman"/>
            <w:sz w:val="24"/>
            <w:szCs w:val="24"/>
          </w:rPr>
          <w:t>https://www.supremecourt.ohio.gov/rod/docs/pdf/5/2025/2025-Ohio-1961.pdf</w:t>
        </w:r>
      </w:hyperlink>
      <w:r w:rsidRPr="00705D47">
        <w:rPr>
          <w:rFonts w:ascii="Times New Roman" w:hAnsi="Times New Roman"/>
          <w:sz w:val="24"/>
          <w:szCs w:val="24"/>
        </w:rPr>
        <w:t xml:space="preserve"> </w:t>
      </w:r>
    </w:p>
    <w:p w14:paraId="4F1812A5" w14:textId="77777777" w:rsidR="00DC020F" w:rsidRPr="00705D47" w:rsidRDefault="00DC020F" w:rsidP="00DC020F">
      <w:pPr>
        <w:pStyle w:val="NoSpacing"/>
        <w:rPr>
          <w:rFonts w:ascii="Times New Roman" w:hAnsi="Times New Roman"/>
          <w:sz w:val="24"/>
          <w:szCs w:val="24"/>
        </w:rPr>
      </w:pPr>
    </w:p>
    <w:p w14:paraId="29FBE521" w14:textId="77777777" w:rsidR="00705D47" w:rsidRPr="00705D47" w:rsidRDefault="00705D47" w:rsidP="00705D47">
      <w:pPr>
        <w:pStyle w:val="NoSpacing"/>
        <w:rPr>
          <w:rFonts w:ascii="Times New Roman" w:hAnsi="Times New Roman"/>
          <w:sz w:val="24"/>
          <w:szCs w:val="24"/>
        </w:rPr>
      </w:pPr>
      <w:r w:rsidRPr="00705D47">
        <w:rPr>
          <w:rFonts w:ascii="Times New Roman" w:hAnsi="Times New Roman"/>
          <w:b/>
          <w:sz w:val="24"/>
          <w:szCs w:val="24"/>
        </w:rPr>
        <w:t>Legal lesson learned: Excellent decision; no evidence of EMS or PD “failure to exercise any care.”</w:t>
      </w:r>
    </w:p>
    <w:p w14:paraId="108750B0" w14:textId="77777777" w:rsidR="00DC020F" w:rsidRPr="00705D47" w:rsidRDefault="00DC020F" w:rsidP="003F325A">
      <w:pPr>
        <w:rPr>
          <w:rFonts w:ascii="Times New Roman" w:hAnsi="Times New Roman"/>
          <w:b/>
          <w:bCs/>
          <w:sz w:val="24"/>
          <w:szCs w:val="24"/>
        </w:rPr>
      </w:pPr>
    </w:p>
    <w:p w14:paraId="095A1B9D" w14:textId="77777777" w:rsidR="00705D47" w:rsidRDefault="00705D47" w:rsidP="002B1283">
      <w:pPr>
        <w:rPr>
          <w:rFonts w:ascii="Arial Black" w:hAnsi="Arial Black"/>
          <w:b/>
          <w:bCs/>
          <w:sz w:val="28"/>
          <w:szCs w:val="28"/>
        </w:rPr>
      </w:pPr>
    </w:p>
    <w:p w14:paraId="1B9C17EA" w14:textId="54DD598F" w:rsidR="00254EDF" w:rsidRDefault="00254EDF" w:rsidP="002B1283">
      <w:pPr>
        <w:rPr>
          <w:rFonts w:ascii="Arial Black" w:hAnsi="Arial Black"/>
          <w:b/>
          <w:bCs/>
          <w:sz w:val="28"/>
          <w:szCs w:val="28"/>
        </w:rPr>
      </w:pPr>
      <w:r>
        <w:rPr>
          <w:rFonts w:ascii="Arial Black" w:hAnsi="Arial Black"/>
          <w:b/>
          <w:bCs/>
          <w:sz w:val="28"/>
          <w:szCs w:val="28"/>
        </w:rPr>
        <w:t>13-</w:t>
      </w:r>
      <w:r w:rsidR="00816988">
        <w:rPr>
          <w:rFonts w:ascii="Arial Black" w:hAnsi="Arial Black"/>
          <w:b/>
          <w:bCs/>
          <w:sz w:val="28"/>
          <w:szCs w:val="28"/>
        </w:rPr>
        <w:t>21</w:t>
      </w:r>
      <w:r w:rsidR="00524647">
        <w:rPr>
          <w:rFonts w:ascii="Arial Black" w:hAnsi="Arial Black"/>
          <w:b/>
          <w:bCs/>
          <w:sz w:val="28"/>
          <w:szCs w:val="28"/>
        </w:rPr>
        <w:t>5</w:t>
      </w:r>
    </w:p>
    <w:p w14:paraId="6B30168E" w14:textId="12DD2810" w:rsidR="007B7FD8" w:rsidRPr="000A6F07" w:rsidRDefault="007B7FD8" w:rsidP="007B7FD8">
      <w:pPr>
        <w:pStyle w:val="NoSpacing"/>
        <w:rPr>
          <w:rFonts w:ascii="Arial Black" w:hAnsi="Arial Black"/>
          <w:b/>
          <w:bCs/>
          <w:sz w:val="28"/>
          <w:szCs w:val="28"/>
        </w:rPr>
      </w:pPr>
      <w:r w:rsidRPr="000A6F07">
        <w:rPr>
          <w:rFonts w:ascii="Arial Black" w:hAnsi="Arial Black"/>
          <w:b/>
          <w:sz w:val="28"/>
          <w:szCs w:val="28"/>
        </w:rPr>
        <w:t>WA:</w:t>
      </w:r>
      <w:r>
        <w:rPr>
          <w:rFonts w:ascii="Arial Black" w:hAnsi="Arial Black"/>
          <w:b/>
          <w:sz w:val="28"/>
          <w:szCs w:val="28"/>
        </w:rPr>
        <w:t xml:space="preserve"> 15 MO. </w:t>
      </w:r>
      <w:r w:rsidR="00E844E5">
        <w:rPr>
          <w:rFonts w:ascii="Arial Black" w:hAnsi="Arial Black"/>
          <w:b/>
          <w:sz w:val="28"/>
          <w:szCs w:val="28"/>
        </w:rPr>
        <w:t xml:space="preserve">TO </w:t>
      </w:r>
      <w:r>
        <w:rPr>
          <w:rFonts w:ascii="Arial Black" w:hAnsi="Arial Black"/>
          <w:b/>
          <w:sz w:val="28"/>
          <w:szCs w:val="28"/>
        </w:rPr>
        <w:t xml:space="preserve">GET </w:t>
      </w:r>
      <w:r w:rsidR="004E5E7F">
        <w:rPr>
          <w:rFonts w:ascii="Arial Black" w:hAnsi="Arial Black"/>
          <w:b/>
          <w:sz w:val="28"/>
          <w:szCs w:val="28"/>
        </w:rPr>
        <w:t xml:space="preserve">EMT </w:t>
      </w:r>
      <w:r>
        <w:rPr>
          <w:rFonts w:ascii="Arial Black" w:hAnsi="Arial Black"/>
          <w:b/>
          <w:sz w:val="28"/>
          <w:szCs w:val="28"/>
        </w:rPr>
        <w:t>LICENSE – CRIM RECORD</w:t>
      </w:r>
      <w:r w:rsidR="005745F5">
        <w:rPr>
          <w:rFonts w:ascii="Arial Black" w:hAnsi="Arial Black"/>
          <w:b/>
          <w:sz w:val="28"/>
          <w:szCs w:val="28"/>
        </w:rPr>
        <w:t xml:space="preserve"> CHECK</w:t>
      </w:r>
    </w:p>
    <w:p w14:paraId="2EDE25DF" w14:textId="77777777" w:rsidR="007B7FD8" w:rsidRPr="006F2B87" w:rsidRDefault="007B7FD8" w:rsidP="007B7FD8">
      <w:pPr>
        <w:pStyle w:val="NoSpacing"/>
        <w:rPr>
          <w:b/>
          <w:bCs/>
        </w:rPr>
      </w:pPr>
    </w:p>
    <w:p w14:paraId="1B5F9F3A" w14:textId="11BECB4D" w:rsidR="007B7FD8" w:rsidRPr="00AA6324" w:rsidRDefault="007B7FD8" w:rsidP="007B7FD8">
      <w:pPr>
        <w:pStyle w:val="NoSpacing"/>
        <w:rPr>
          <w:rFonts w:ascii="Times New Roman" w:hAnsi="Times New Roman"/>
          <w:bCs/>
          <w:sz w:val="24"/>
          <w:szCs w:val="24"/>
        </w:rPr>
      </w:pPr>
      <w:r w:rsidRPr="00AA6324">
        <w:rPr>
          <w:rFonts w:ascii="Times New Roman" w:hAnsi="Times New Roman"/>
          <w:sz w:val="24"/>
          <w:szCs w:val="24"/>
        </w:rPr>
        <w:t xml:space="preserve">On May 21, 2025, in </w:t>
      </w:r>
      <w:r w:rsidRPr="00AA6324">
        <w:rPr>
          <w:rFonts w:ascii="Times New Roman" w:hAnsi="Times New Roman"/>
          <w:sz w:val="24"/>
          <w:szCs w:val="24"/>
          <w:u w:val="single"/>
        </w:rPr>
        <w:t>Brooklyn C. Clark v. Washington State Department of Health, et al.</w:t>
      </w:r>
      <w:r w:rsidRPr="00AA6324">
        <w:rPr>
          <w:rFonts w:ascii="Times New Roman" w:hAnsi="Times New Roman"/>
          <w:sz w:val="24"/>
          <w:szCs w:val="24"/>
        </w:rPr>
        <w:t xml:space="preserve">, U.S. District Court Judge Tiffany M. Cartwright, United States District Court for Western District of Washington (Tacoma) granted the State’s motion for summary judgment since the EMT license was granted; 15 months delay caused by applicant not getting </w:t>
      </w:r>
      <w:r w:rsidR="005745F5">
        <w:rPr>
          <w:rFonts w:ascii="Times New Roman" w:hAnsi="Times New Roman"/>
          <w:sz w:val="24"/>
          <w:szCs w:val="24"/>
        </w:rPr>
        <w:t xml:space="preserve">his criminal history </w:t>
      </w:r>
      <w:r w:rsidRPr="00AA6324">
        <w:rPr>
          <w:rFonts w:ascii="Times New Roman" w:hAnsi="Times New Roman"/>
          <w:sz w:val="24"/>
          <w:szCs w:val="24"/>
        </w:rPr>
        <w:t xml:space="preserve">records from Oregon court.  </w:t>
      </w:r>
    </w:p>
    <w:p w14:paraId="3E6C24ED" w14:textId="77777777" w:rsidR="007B7FD8" w:rsidRPr="00AA6324" w:rsidRDefault="007B7FD8" w:rsidP="007B7FD8">
      <w:pPr>
        <w:pStyle w:val="NoSpacing"/>
        <w:rPr>
          <w:rFonts w:ascii="Times New Roman" w:hAnsi="Times New Roman"/>
          <w:bCs/>
          <w:sz w:val="24"/>
          <w:szCs w:val="24"/>
        </w:rPr>
      </w:pPr>
    </w:p>
    <w:p w14:paraId="55D15C0E" w14:textId="77777777" w:rsidR="007B7FD8" w:rsidRPr="00AA6324" w:rsidRDefault="007B7FD8" w:rsidP="007B7FD8">
      <w:pPr>
        <w:pStyle w:val="NoSpacing"/>
        <w:rPr>
          <w:rFonts w:ascii="Times New Roman" w:hAnsi="Times New Roman"/>
          <w:sz w:val="24"/>
          <w:szCs w:val="24"/>
        </w:rPr>
      </w:pPr>
      <w:r w:rsidRPr="00AA6324">
        <w:rPr>
          <w:rFonts w:ascii="Times New Roman" w:hAnsi="Times New Roman"/>
          <w:sz w:val="24"/>
          <w:szCs w:val="24"/>
        </w:rPr>
        <w:t xml:space="preserve">The Court wrote: “On July 3, 2023, Ms. Clark </w:t>
      </w:r>
      <w:proofErr w:type="gramStart"/>
      <w:r w:rsidRPr="00AA6324">
        <w:rPr>
          <w:rFonts w:ascii="Times New Roman" w:hAnsi="Times New Roman"/>
          <w:sz w:val="24"/>
          <w:szCs w:val="24"/>
        </w:rPr>
        <w:t>submitted an application</w:t>
      </w:r>
      <w:proofErr w:type="gramEnd"/>
      <w:r w:rsidRPr="00AA6324">
        <w:rPr>
          <w:rFonts w:ascii="Times New Roman" w:hAnsi="Times New Roman"/>
          <w:sz w:val="24"/>
          <w:szCs w:val="24"/>
        </w:rPr>
        <w:t xml:space="preserve"> to be certified as an Emergency Medical Technician (‘EMT’) in Washington….  Ms. Clark, who is transgender, had ‘disclose[d] her previous name and gender’ to the Department as part of her application.  On her application, Ms. Clark attested that she had never been ‘convicted, entered a plea of guilty, no contest, or a similar plea, or had prosecution or a sentence deferred or [suspended] as an adult or [juvenile] in any state or jurisdiction[.]’ … Because Ms. Clark lived in Oregon … the Department ran an FBI National Fingerprint Database search…. The background check returned an out-of-state criminal history record for Ms. Clark…. Ms. Clark contested the results of the background check…. Defendant Scott Bramhall was the assigned investigator…. Because of Bramhall’s role, he was able to request the necessary information from the Court directly…. Ms. Clark eventually provided the necessary documentation about her criminal history….  On September 20, 2024, the Department issued Ms. Clark her certification to work as an EMT in the state.” </w:t>
      </w:r>
      <w:hyperlink r:id="rId2135" w:history="1">
        <w:r w:rsidRPr="00AA6324">
          <w:rPr>
            <w:rStyle w:val="Hyperlink"/>
            <w:rFonts w:ascii="Times New Roman" w:hAnsi="Times New Roman"/>
            <w:sz w:val="24"/>
            <w:szCs w:val="24"/>
          </w:rPr>
          <w:t>https://cases.justia.com/federal/district-courts/washington/wawdce/2:2023cv01558/327312/54/0.pdf?ts=1747918716</w:t>
        </w:r>
      </w:hyperlink>
      <w:r w:rsidRPr="00AA6324">
        <w:rPr>
          <w:rFonts w:ascii="Times New Roman" w:hAnsi="Times New Roman"/>
          <w:sz w:val="24"/>
          <w:szCs w:val="24"/>
        </w:rPr>
        <w:t xml:space="preserve"> </w:t>
      </w:r>
    </w:p>
    <w:p w14:paraId="5BC57B9F" w14:textId="77777777" w:rsidR="007B7FD8" w:rsidRPr="006F2B87" w:rsidRDefault="007B7FD8" w:rsidP="007B7FD8">
      <w:pPr>
        <w:pStyle w:val="NoSpacing"/>
      </w:pPr>
    </w:p>
    <w:p w14:paraId="637DEB2A" w14:textId="77777777" w:rsidR="001D1462" w:rsidRPr="00DC2632" w:rsidRDefault="001D1462" w:rsidP="001D1462">
      <w:pPr>
        <w:pStyle w:val="NoSpacing"/>
        <w:rPr>
          <w:rFonts w:ascii="Times New Roman" w:hAnsi="Times New Roman"/>
          <w:b/>
          <w:bCs/>
          <w:sz w:val="24"/>
          <w:szCs w:val="24"/>
        </w:rPr>
      </w:pPr>
      <w:r w:rsidRPr="00DC2632">
        <w:rPr>
          <w:rFonts w:ascii="Times New Roman" w:hAnsi="Times New Roman"/>
          <w:b/>
          <w:sz w:val="24"/>
          <w:szCs w:val="24"/>
        </w:rPr>
        <w:t xml:space="preserve">Legal Lesson Learned: EMT applicants must disclose details of prior criminal history. </w:t>
      </w:r>
    </w:p>
    <w:p w14:paraId="70B39853" w14:textId="77777777" w:rsidR="001D1462" w:rsidRPr="00DC2632" w:rsidRDefault="001D1462" w:rsidP="001D1462">
      <w:pPr>
        <w:pStyle w:val="NoSpacing"/>
        <w:rPr>
          <w:rFonts w:ascii="Times New Roman" w:hAnsi="Times New Roman"/>
          <w:b/>
          <w:bCs/>
          <w:sz w:val="24"/>
          <w:szCs w:val="24"/>
        </w:rPr>
      </w:pPr>
    </w:p>
    <w:p w14:paraId="34E7A1D6" w14:textId="77777777" w:rsidR="001D1462" w:rsidRPr="00DC2632" w:rsidRDefault="001D1462" w:rsidP="001D1462">
      <w:pPr>
        <w:pStyle w:val="NoSpacing"/>
        <w:ind w:left="720"/>
        <w:rPr>
          <w:rFonts w:ascii="Times New Roman" w:hAnsi="Times New Roman"/>
          <w:sz w:val="24"/>
          <w:szCs w:val="24"/>
        </w:rPr>
      </w:pPr>
      <w:r w:rsidRPr="00DC2632">
        <w:rPr>
          <w:rFonts w:ascii="Times New Roman" w:hAnsi="Times New Roman"/>
          <w:sz w:val="24"/>
          <w:szCs w:val="24"/>
        </w:rPr>
        <w:t>Note: The Court did not describe the prior criminal history that came up on the FBI record check.</w:t>
      </w:r>
    </w:p>
    <w:p w14:paraId="353867FC" w14:textId="77777777" w:rsidR="001D1462" w:rsidRPr="00DC2632" w:rsidRDefault="001D1462" w:rsidP="001D1462">
      <w:pPr>
        <w:pStyle w:val="NoSpacing"/>
        <w:rPr>
          <w:rFonts w:ascii="Times New Roman" w:hAnsi="Times New Roman"/>
          <w:bCs/>
          <w:sz w:val="24"/>
          <w:szCs w:val="24"/>
        </w:rPr>
      </w:pPr>
    </w:p>
    <w:p w14:paraId="42246A3D" w14:textId="77777777" w:rsidR="007B7FD8" w:rsidRDefault="007B7FD8" w:rsidP="007B7FD8">
      <w:pPr>
        <w:pStyle w:val="NoSpacing"/>
      </w:pPr>
    </w:p>
    <w:p w14:paraId="57BC4E06" w14:textId="41109464" w:rsidR="00DC2632" w:rsidRPr="00254EDF" w:rsidRDefault="00254EDF" w:rsidP="007B7FD8">
      <w:pPr>
        <w:pStyle w:val="NoSpacing"/>
        <w:rPr>
          <w:rFonts w:ascii="Arial Black" w:hAnsi="Arial Black"/>
          <w:sz w:val="24"/>
          <w:szCs w:val="24"/>
        </w:rPr>
      </w:pPr>
      <w:r w:rsidRPr="00254EDF">
        <w:rPr>
          <w:rFonts w:ascii="Arial Black" w:hAnsi="Arial Black"/>
          <w:sz w:val="24"/>
          <w:szCs w:val="24"/>
        </w:rPr>
        <w:t>13-21</w:t>
      </w:r>
      <w:r w:rsidR="00524647">
        <w:rPr>
          <w:rFonts w:ascii="Arial Black" w:hAnsi="Arial Black"/>
          <w:sz w:val="24"/>
          <w:szCs w:val="24"/>
        </w:rPr>
        <w:t>4</w:t>
      </w:r>
    </w:p>
    <w:p w14:paraId="5D26D2B2" w14:textId="77777777" w:rsidR="00254EDF" w:rsidRDefault="00254EDF" w:rsidP="007B7FD8">
      <w:pPr>
        <w:pStyle w:val="NoSpacing"/>
      </w:pPr>
    </w:p>
    <w:p w14:paraId="46EF38A8" w14:textId="77777777" w:rsidR="008F24E3" w:rsidRPr="006F2B87" w:rsidRDefault="008F24E3" w:rsidP="008F24E3">
      <w:pPr>
        <w:pStyle w:val="NoSpacing"/>
        <w:rPr>
          <w:rFonts w:ascii="Arial Black" w:hAnsi="Arial Black"/>
          <w:b/>
          <w:bCs/>
          <w:sz w:val="28"/>
          <w:szCs w:val="28"/>
        </w:rPr>
      </w:pPr>
      <w:r w:rsidRPr="006F2B87">
        <w:rPr>
          <w:rFonts w:ascii="Arial Black" w:hAnsi="Arial Black"/>
          <w:b/>
          <w:sz w:val="28"/>
          <w:szCs w:val="28"/>
        </w:rPr>
        <w:t xml:space="preserve">NY: </w:t>
      </w:r>
      <w:r>
        <w:rPr>
          <w:rFonts w:ascii="Arial Black" w:hAnsi="Arial Black"/>
          <w:b/>
          <w:sz w:val="28"/>
          <w:szCs w:val="28"/>
        </w:rPr>
        <w:t xml:space="preserve">CITY / </w:t>
      </w:r>
      <w:r w:rsidRPr="006F2B87">
        <w:rPr>
          <w:rFonts w:ascii="Arial Black" w:hAnsi="Arial Black"/>
          <w:b/>
          <w:sz w:val="28"/>
          <w:szCs w:val="28"/>
        </w:rPr>
        <w:t xml:space="preserve">EMS </w:t>
      </w:r>
      <w:r>
        <w:rPr>
          <w:rFonts w:ascii="Arial Black" w:hAnsi="Arial Black"/>
          <w:b/>
          <w:sz w:val="28"/>
          <w:szCs w:val="28"/>
        </w:rPr>
        <w:t xml:space="preserve">- </w:t>
      </w:r>
      <w:r w:rsidRPr="006F2B87">
        <w:rPr>
          <w:rFonts w:ascii="Arial Black" w:hAnsi="Arial Black"/>
          <w:b/>
          <w:sz w:val="28"/>
          <w:szCs w:val="28"/>
        </w:rPr>
        <w:t>NO “SPECIAL DUTY” TO PT –</w:t>
      </w:r>
      <w:r>
        <w:rPr>
          <w:rFonts w:ascii="Arial Black" w:hAnsi="Arial Black"/>
          <w:b/>
          <w:sz w:val="28"/>
          <w:szCs w:val="28"/>
        </w:rPr>
        <w:t xml:space="preserve"> </w:t>
      </w:r>
      <w:r w:rsidRPr="006F2B87">
        <w:rPr>
          <w:rFonts w:ascii="Arial Black" w:hAnsi="Arial Black"/>
          <w:b/>
          <w:sz w:val="28"/>
          <w:szCs w:val="28"/>
        </w:rPr>
        <w:t>IMMUNITY</w:t>
      </w:r>
      <w:r>
        <w:rPr>
          <w:rFonts w:ascii="Arial Black" w:hAnsi="Arial Black"/>
          <w:b/>
          <w:sz w:val="28"/>
          <w:szCs w:val="28"/>
        </w:rPr>
        <w:t xml:space="preserve"> </w:t>
      </w:r>
    </w:p>
    <w:p w14:paraId="625D5D4C" w14:textId="77777777" w:rsidR="008F24E3" w:rsidRDefault="008F24E3" w:rsidP="008F24E3">
      <w:pPr>
        <w:pStyle w:val="NoSpacing"/>
        <w:rPr>
          <w:bCs/>
        </w:rPr>
      </w:pPr>
    </w:p>
    <w:p w14:paraId="32D10567" w14:textId="77777777" w:rsidR="008F24E3" w:rsidRPr="008F24E3" w:rsidRDefault="008F24E3" w:rsidP="008F24E3">
      <w:pPr>
        <w:pStyle w:val="NoSpacing"/>
        <w:rPr>
          <w:rFonts w:ascii="Times New Roman" w:hAnsi="Times New Roman"/>
          <w:bCs/>
          <w:sz w:val="24"/>
          <w:szCs w:val="24"/>
        </w:rPr>
      </w:pPr>
      <w:r w:rsidRPr="008F24E3">
        <w:rPr>
          <w:rFonts w:ascii="Times New Roman" w:hAnsi="Times New Roman"/>
          <w:sz w:val="24"/>
          <w:szCs w:val="24"/>
        </w:rPr>
        <w:t xml:space="preserve">On May 5, 2025, in </w:t>
      </w:r>
      <w:proofErr w:type="spellStart"/>
      <w:r w:rsidRPr="008F24E3">
        <w:rPr>
          <w:rFonts w:ascii="Times New Roman" w:hAnsi="Times New Roman"/>
          <w:sz w:val="24"/>
          <w:szCs w:val="24"/>
          <w:u w:val="single"/>
        </w:rPr>
        <w:t>Treverys</w:t>
      </w:r>
      <w:proofErr w:type="spellEnd"/>
      <w:r w:rsidRPr="008F24E3">
        <w:rPr>
          <w:rFonts w:ascii="Times New Roman" w:hAnsi="Times New Roman"/>
          <w:sz w:val="24"/>
          <w:szCs w:val="24"/>
          <w:u w:val="single"/>
        </w:rPr>
        <w:t xml:space="preserve"> Scott, as Administrator of the Estate of Alger Scott, deceased v. City of Schenectady, the Schenectady Fire Department, and Mohawk Ambulance Service</w:t>
      </w:r>
      <w:r w:rsidRPr="008F24E3">
        <w:rPr>
          <w:rFonts w:ascii="Times New Roman" w:hAnsi="Times New Roman"/>
          <w:sz w:val="24"/>
          <w:szCs w:val="24"/>
        </w:rPr>
        <w:t xml:space="preserve">, Supreme Court Justice Thomas D. Buchana dismissed the complaint.  </w:t>
      </w:r>
    </w:p>
    <w:p w14:paraId="17C8FD43" w14:textId="77777777" w:rsidR="008F24E3" w:rsidRPr="008F24E3" w:rsidRDefault="008F24E3" w:rsidP="008F24E3">
      <w:pPr>
        <w:pStyle w:val="NoSpacing"/>
        <w:rPr>
          <w:rFonts w:ascii="Times New Roman" w:hAnsi="Times New Roman"/>
          <w:bCs/>
          <w:sz w:val="24"/>
          <w:szCs w:val="24"/>
        </w:rPr>
      </w:pPr>
    </w:p>
    <w:p w14:paraId="14A8B9B3" w14:textId="77777777" w:rsidR="008F24E3" w:rsidRPr="008F24E3" w:rsidRDefault="008F24E3" w:rsidP="008F24E3">
      <w:pPr>
        <w:pStyle w:val="NoSpacing"/>
        <w:rPr>
          <w:rFonts w:ascii="Times New Roman" w:hAnsi="Times New Roman"/>
          <w:bCs/>
          <w:sz w:val="24"/>
          <w:szCs w:val="24"/>
        </w:rPr>
      </w:pPr>
      <w:r w:rsidRPr="008F24E3">
        <w:rPr>
          <w:rFonts w:ascii="Times New Roman" w:hAnsi="Times New Roman"/>
          <w:sz w:val="24"/>
          <w:szCs w:val="24"/>
        </w:rPr>
        <w:t xml:space="preserve">The Court wrote: “This case arises from the actions of emergency response personnel from defendants Schenectady Fire Department and Mohawk Ambulance Service (‘Mohawk’), who were dispatched to Plaintiff's home in response to a 911 call. Emergency medical treatment was administered at the </w:t>
      </w:r>
      <w:proofErr w:type="gramStart"/>
      <w:r w:rsidRPr="008F24E3">
        <w:rPr>
          <w:rFonts w:ascii="Times New Roman" w:hAnsi="Times New Roman"/>
          <w:sz w:val="24"/>
          <w:szCs w:val="24"/>
        </w:rPr>
        <w:t>residence</w:t>
      </w:r>
      <w:proofErr w:type="gramEnd"/>
      <w:r w:rsidRPr="008F24E3">
        <w:rPr>
          <w:rFonts w:ascii="Times New Roman" w:hAnsi="Times New Roman"/>
          <w:sz w:val="24"/>
          <w:szCs w:val="24"/>
        </w:rPr>
        <w:t xml:space="preserve"> and Mr. Scott was transported to Ellis Hospital, where he passed away. ***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alleges that the Complaint fails to state a cause of action (CPLR 3211[a][7]) because Plaintiff fails to plead the existence of a special duty running from the City to Plaintiff's decedent. *** The starting point for analysis of Plaintiff's claim against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is to determine whether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was involved in a proprietary function or a government function, as the answer to that question determines the standard to be applied. Providing emergency medical services has been established as a governmental function (</w:t>
      </w:r>
      <w:r w:rsidRPr="008F24E3">
        <w:rPr>
          <w:rFonts w:ascii="Times New Roman" w:hAnsi="Times New Roman"/>
          <w:i/>
          <w:iCs/>
          <w:sz w:val="24"/>
          <w:szCs w:val="24"/>
        </w:rPr>
        <w:t xml:space="preserve">Applewhite v. </w:t>
      </w:r>
      <w:proofErr w:type="spellStart"/>
      <w:r w:rsidRPr="008F24E3">
        <w:rPr>
          <w:rFonts w:ascii="Times New Roman" w:hAnsi="Times New Roman"/>
          <w:i/>
          <w:iCs/>
          <w:sz w:val="24"/>
          <w:szCs w:val="24"/>
        </w:rPr>
        <w:t>Accuhealth</w:t>
      </w:r>
      <w:proofErr w:type="spellEnd"/>
      <w:r w:rsidRPr="008F24E3">
        <w:rPr>
          <w:rFonts w:ascii="Times New Roman" w:hAnsi="Times New Roman"/>
          <w:i/>
          <w:iCs/>
          <w:sz w:val="24"/>
          <w:szCs w:val="24"/>
        </w:rPr>
        <w:t>, Inc.</w:t>
      </w:r>
      <w:r w:rsidRPr="008F24E3">
        <w:rPr>
          <w:rFonts w:ascii="Times New Roman" w:hAnsi="Times New Roman"/>
          <w:sz w:val="24"/>
          <w:szCs w:val="24"/>
        </w:rPr>
        <w:t xml:space="preserve">, 21 NY3d 420 [2013]). Therefore, </w:t>
      </w:r>
      <w:proofErr w:type="gramStart"/>
      <w:r w:rsidRPr="008F24E3">
        <w:rPr>
          <w:rFonts w:ascii="Times New Roman" w:hAnsi="Times New Roman"/>
          <w:sz w:val="24"/>
          <w:szCs w:val="24"/>
        </w:rPr>
        <w:t>in order to</w:t>
      </w:r>
      <w:proofErr w:type="gramEnd"/>
      <w:r w:rsidRPr="008F24E3">
        <w:rPr>
          <w:rFonts w:ascii="Times New Roman" w:hAnsi="Times New Roman"/>
          <w:sz w:val="24"/>
          <w:szCs w:val="24"/>
        </w:rPr>
        <w:t xml:space="preserve"> cast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in negligence, Plaintiff must assert that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owed Mr. Scott a ‘special </w:t>
      </w:r>
      <w:proofErr w:type="gramStart"/>
      <w:r w:rsidRPr="008F24E3">
        <w:rPr>
          <w:rFonts w:ascii="Times New Roman" w:hAnsi="Times New Roman"/>
          <w:sz w:val="24"/>
          <w:szCs w:val="24"/>
        </w:rPr>
        <w:t>duty’;</w:t>
      </w:r>
      <w:proofErr w:type="gramEnd"/>
      <w:r w:rsidRPr="008F24E3">
        <w:rPr>
          <w:rFonts w:ascii="Times New Roman" w:hAnsi="Times New Roman"/>
          <w:sz w:val="24"/>
          <w:szCs w:val="24"/>
        </w:rPr>
        <w:t xml:space="preserve"> that is, a duty beyond that owed </w:t>
      </w:r>
      <w:proofErr w:type="gramStart"/>
      <w:r w:rsidRPr="008F24E3">
        <w:rPr>
          <w:rFonts w:ascii="Times New Roman" w:hAnsi="Times New Roman"/>
          <w:sz w:val="24"/>
          <w:szCs w:val="24"/>
        </w:rPr>
        <w:t>to</w:t>
      </w:r>
      <w:proofErr w:type="gramEnd"/>
      <w:r w:rsidRPr="008F24E3">
        <w:rPr>
          <w:rFonts w:ascii="Times New Roman" w:hAnsi="Times New Roman"/>
          <w:sz w:val="24"/>
          <w:szCs w:val="24"/>
        </w:rPr>
        <w:t xml:space="preserve"> the public generally. A special duty can arise in three situations: (1) when the plaintiff belonged to a class for whose benefit a statute was enacted, (2) the government entity voluntarily assumed a duty to the plaintiff beyond what was owed to the public generally, and (3) the municipality took positive control of a known and dangerous safety condition (</w:t>
      </w:r>
      <w:r w:rsidRPr="008F24E3">
        <w:rPr>
          <w:rFonts w:ascii="Times New Roman" w:hAnsi="Times New Roman"/>
          <w:i/>
          <w:iCs/>
          <w:sz w:val="24"/>
          <w:szCs w:val="24"/>
        </w:rPr>
        <w:t>Id</w:t>
      </w:r>
      <w:r w:rsidRPr="008F24E3">
        <w:rPr>
          <w:rFonts w:ascii="Times New Roman" w:hAnsi="Times New Roman"/>
          <w:sz w:val="24"/>
          <w:szCs w:val="24"/>
        </w:rPr>
        <w:t xml:space="preserve">. at 426).  *** In the absence of a special duty, there is no viable claim of negligence (or negligent hiring or negligent retention, or negligent supervision) against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Likewise, Mr. Scott would not have had a viable claim against the City had he survived the events at issue, so that Plaintiff's claim for wrongful death against the City also fails (EPTL §5-4.1).” </w:t>
      </w:r>
      <w:hyperlink r:id="rId2136" w:history="1">
        <w:r w:rsidRPr="008F24E3">
          <w:rPr>
            <w:rStyle w:val="Hyperlink"/>
            <w:rFonts w:ascii="Times New Roman" w:hAnsi="Times New Roman"/>
            <w:sz w:val="24"/>
            <w:szCs w:val="24"/>
          </w:rPr>
          <w:t>https://law.justia.com/cases/new-york/other-courts/2025/2025-ny-slip-op-50759-u.html</w:t>
        </w:r>
      </w:hyperlink>
      <w:r w:rsidRPr="008F24E3">
        <w:rPr>
          <w:rFonts w:ascii="Times New Roman" w:hAnsi="Times New Roman"/>
          <w:sz w:val="24"/>
          <w:szCs w:val="24"/>
        </w:rPr>
        <w:t xml:space="preserve"> </w:t>
      </w:r>
    </w:p>
    <w:p w14:paraId="1640355E" w14:textId="77777777" w:rsidR="00DC2632" w:rsidRPr="006F2B87" w:rsidRDefault="00DC2632" w:rsidP="007B7FD8">
      <w:pPr>
        <w:pStyle w:val="NoSpacing"/>
      </w:pPr>
    </w:p>
    <w:p w14:paraId="294D0B39" w14:textId="77777777" w:rsidR="00B53CC8" w:rsidRPr="00B53CC8" w:rsidRDefault="00B53CC8" w:rsidP="00B53CC8">
      <w:pPr>
        <w:pStyle w:val="NoSpacing"/>
        <w:rPr>
          <w:rFonts w:ascii="Times New Roman" w:hAnsi="Times New Roman"/>
          <w:b/>
          <w:bCs/>
          <w:sz w:val="24"/>
          <w:szCs w:val="24"/>
        </w:rPr>
      </w:pPr>
      <w:r w:rsidRPr="00B53CC8">
        <w:rPr>
          <w:rFonts w:ascii="Times New Roman" w:hAnsi="Times New Roman"/>
          <w:b/>
          <w:sz w:val="24"/>
          <w:szCs w:val="24"/>
        </w:rPr>
        <w:t>Legal Lesson Learned: The “special duty” doctrine protects government agencies when performing a governmental function.</w:t>
      </w:r>
    </w:p>
    <w:p w14:paraId="0BB45131" w14:textId="77777777" w:rsidR="00B53CC8" w:rsidRPr="00B53CC8" w:rsidRDefault="00B53CC8" w:rsidP="00B53CC8">
      <w:pPr>
        <w:pStyle w:val="NoSpacing"/>
        <w:rPr>
          <w:rFonts w:ascii="Times New Roman" w:hAnsi="Times New Roman"/>
          <w:b/>
          <w:bCs/>
          <w:sz w:val="24"/>
          <w:szCs w:val="24"/>
        </w:rPr>
      </w:pPr>
    </w:p>
    <w:p w14:paraId="4D394153" w14:textId="77777777" w:rsidR="007B7FD8" w:rsidRDefault="007B7FD8" w:rsidP="002B1283">
      <w:pPr>
        <w:rPr>
          <w:rFonts w:ascii="Arial Black" w:hAnsi="Arial Black"/>
          <w:b/>
          <w:bCs/>
          <w:sz w:val="28"/>
          <w:szCs w:val="28"/>
        </w:rPr>
      </w:pPr>
    </w:p>
    <w:p w14:paraId="42857FA7" w14:textId="0526A7BE" w:rsidR="00254EDF" w:rsidRDefault="00254EDF"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3</w:t>
      </w:r>
    </w:p>
    <w:p w14:paraId="13A972C3" w14:textId="10988EEF" w:rsidR="001C6208" w:rsidRPr="006F2B87" w:rsidRDefault="001C6208" w:rsidP="001C6208">
      <w:pPr>
        <w:pStyle w:val="NoSpacing"/>
        <w:rPr>
          <w:rFonts w:ascii="Arial Black" w:hAnsi="Arial Black"/>
          <w:sz w:val="28"/>
          <w:szCs w:val="28"/>
        </w:rPr>
      </w:pPr>
      <w:r w:rsidRPr="006F2B87">
        <w:rPr>
          <w:rFonts w:ascii="Arial Black" w:hAnsi="Arial Black"/>
          <w:sz w:val="28"/>
          <w:szCs w:val="28"/>
        </w:rPr>
        <w:t>A</w:t>
      </w:r>
      <w:r>
        <w:rPr>
          <w:rFonts w:ascii="Arial Black" w:hAnsi="Arial Black"/>
          <w:sz w:val="28"/>
          <w:szCs w:val="28"/>
        </w:rPr>
        <w:t>K</w:t>
      </w:r>
      <w:r w:rsidRPr="006F2B87">
        <w:rPr>
          <w:rFonts w:ascii="Arial Black" w:hAnsi="Arial Black"/>
          <w:sz w:val="28"/>
          <w:szCs w:val="28"/>
        </w:rPr>
        <w:t xml:space="preserve">: </w:t>
      </w:r>
      <w:r w:rsidR="003D1F16">
        <w:rPr>
          <w:rFonts w:ascii="Arial Black" w:hAnsi="Arial Black"/>
          <w:sz w:val="28"/>
          <w:szCs w:val="28"/>
        </w:rPr>
        <w:t xml:space="preserve">MUNICIPAL IMMUNITY – INCLUDES </w:t>
      </w:r>
      <w:r>
        <w:rPr>
          <w:rFonts w:ascii="Arial Black" w:hAnsi="Arial Black"/>
          <w:sz w:val="28"/>
          <w:szCs w:val="28"/>
        </w:rPr>
        <w:t>EMS RUN</w:t>
      </w:r>
      <w:r w:rsidR="003D1F16">
        <w:rPr>
          <w:rFonts w:ascii="Arial Black" w:hAnsi="Arial Black"/>
          <w:sz w:val="28"/>
          <w:szCs w:val="28"/>
        </w:rPr>
        <w:t>S</w:t>
      </w:r>
      <w:r>
        <w:rPr>
          <w:rFonts w:ascii="Arial Black" w:hAnsi="Arial Black"/>
          <w:sz w:val="28"/>
          <w:szCs w:val="28"/>
        </w:rPr>
        <w:t xml:space="preserve"> OUTSIDE CITY</w:t>
      </w:r>
    </w:p>
    <w:p w14:paraId="66A4509E" w14:textId="77777777" w:rsidR="001C6208" w:rsidRPr="006F2B87" w:rsidRDefault="001C6208" w:rsidP="001C6208">
      <w:pPr>
        <w:pStyle w:val="NoSpacing"/>
      </w:pPr>
    </w:p>
    <w:p w14:paraId="48B5BCED" w14:textId="77777777" w:rsidR="001C6208" w:rsidRPr="00215578" w:rsidRDefault="001C6208" w:rsidP="001C6208">
      <w:pPr>
        <w:pStyle w:val="NoSpacing"/>
        <w:rPr>
          <w:rFonts w:ascii="Times New Roman" w:hAnsi="Times New Roman"/>
          <w:sz w:val="24"/>
          <w:szCs w:val="24"/>
        </w:rPr>
      </w:pPr>
      <w:r w:rsidRPr="00215578">
        <w:rPr>
          <w:rFonts w:ascii="Times New Roman" w:hAnsi="Times New Roman"/>
          <w:sz w:val="24"/>
          <w:szCs w:val="24"/>
        </w:rPr>
        <w:t xml:space="preserve">On May 2, 2025, in </w:t>
      </w:r>
      <w:r w:rsidRPr="00215578">
        <w:rPr>
          <w:rFonts w:ascii="Times New Roman" w:hAnsi="Times New Roman"/>
          <w:sz w:val="24"/>
          <w:szCs w:val="24"/>
          <w:u w:val="single"/>
        </w:rPr>
        <w:t>John D. Richon v. City of Nome, Allen Wright, and Jackie L. Reader</w:t>
      </w:r>
      <w:r w:rsidRPr="00215578">
        <w:rPr>
          <w:rFonts w:ascii="Times New Roman" w:hAnsi="Times New Roman"/>
          <w:sz w:val="24"/>
          <w:szCs w:val="24"/>
        </w:rPr>
        <w:t>, the Supreme Court of Alaska held (5 to 0) that trial court properly granted summary judgment to the city and the EMS personnel; the run was outside the city limits and under a unique Alaska statute there is no liability for “gratuitous extension of municipal services” even if the patient was charged for services. The ambulance department billed Rochon for its emergency services $1,775, which included base fee of $725 for advanced life support and $15 for each mile the ambulance travelled.  </w:t>
      </w:r>
    </w:p>
    <w:p w14:paraId="7F1DAFC7" w14:textId="77777777" w:rsidR="001C6208" w:rsidRPr="00215578" w:rsidRDefault="001C6208" w:rsidP="001C6208">
      <w:pPr>
        <w:pStyle w:val="NoSpacing"/>
        <w:rPr>
          <w:rFonts w:ascii="Times New Roman" w:hAnsi="Times New Roman"/>
          <w:sz w:val="24"/>
          <w:szCs w:val="24"/>
        </w:rPr>
      </w:pPr>
    </w:p>
    <w:p w14:paraId="30ED63C6" w14:textId="77777777" w:rsidR="001C6208" w:rsidRPr="00215578" w:rsidRDefault="001C6208" w:rsidP="001C6208">
      <w:pPr>
        <w:pStyle w:val="NoSpacing"/>
        <w:rPr>
          <w:rFonts w:ascii="Times New Roman" w:hAnsi="Times New Roman"/>
          <w:sz w:val="24"/>
          <w:szCs w:val="24"/>
        </w:rPr>
      </w:pPr>
      <w:r w:rsidRPr="00215578">
        <w:rPr>
          <w:rFonts w:ascii="Times New Roman" w:hAnsi="Times New Roman"/>
          <w:sz w:val="24"/>
          <w:szCs w:val="24"/>
        </w:rPr>
        <w:t xml:space="preserve">The Court wrote:  “It does not appear that any other state includes ‘extraterritorial’ in its municipal immunity statute. However, many states protect those who provide emergency care ‘gratuitously and in good faith’ from liability for damages resulting from that service.  These laws are generally referred to as ‘Good Samaritan laws.’ Such laws were created because common law did not require strangers to help people needing emergency assistance. But if someone chose to help another and the emergency assistance went wrong, the rescuer could be sued. Good Samaritan laws were passed to encourage rescues by eliminating the threat of liability. Courts outside Alaska that have interpreted these laws conclude that they protect rescuers who were under no duty to act.” </w:t>
      </w:r>
      <w:hyperlink r:id="rId2137" w:history="1">
        <w:r w:rsidRPr="00215578">
          <w:rPr>
            <w:rStyle w:val="Hyperlink"/>
            <w:rFonts w:ascii="Times New Roman" w:hAnsi="Times New Roman"/>
            <w:sz w:val="24"/>
            <w:szCs w:val="24"/>
          </w:rPr>
          <w:t>https://caselaw.findlaw.com/court/ak-supreme-court/117230404.html</w:t>
        </w:r>
      </w:hyperlink>
      <w:r w:rsidRPr="00215578">
        <w:rPr>
          <w:rFonts w:ascii="Times New Roman" w:hAnsi="Times New Roman"/>
          <w:sz w:val="24"/>
          <w:szCs w:val="24"/>
        </w:rPr>
        <w:t xml:space="preserve"> </w:t>
      </w:r>
    </w:p>
    <w:p w14:paraId="1E196DC9" w14:textId="77777777" w:rsidR="001C6208" w:rsidRPr="006F2B87" w:rsidRDefault="001C6208" w:rsidP="001C6208">
      <w:pPr>
        <w:pStyle w:val="NoSpacing"/>
      </w:pPr>
    </w:p>
    <w:p w14:paraId="16B4E7AF" w14:textId="77777777" w:rsidR="00467FCE" w:rsidRPr="00254EDF" w:rsidRDefault="00467FCE" w:rsidP="00467FCE">
      <w:pPr>
        <w:pStyle w:val="NoSpacing"/>
        <w:rPr>
          <w:rFonts w:ascii="Times New Roman" w:hAnsi="Times New Roman"/>
          <w:b/>
          <w:bCs/>
          <w:sz w:val="24"/>
          <w:szCs w:val="24"/>
        </w:rPr>
      </w:pPr>
      <w:r w:rsidRPr="00254EDF">
        <w:rPr>
          <w:rFonts w:ascii="Times New Roman" w:hAnsi="Times New Roman"/>
          <w:b/>
          <w:sz w:val="24"/>
          <w:szCs w:val="24"/>
        </w:rPr>
        <w:t xml:space="preserve">Legal Lesson Learned: Alaska’s unique statute </w:t>
      </w:r>
      <w:r w:rsidRPr="00254EDF">
        <w:rPr>
          <w:rFonts w:ascii="Times New Roman" w:hAnsi="Times New Roman"/>
          <w:b/>
          <w:bCs/>
          <w:sz w:val="24"/>
          <w:szCs w:val="24"/>
        </w:rPr>
        <w:t xml:space="preserve">protects </w:t>
      </w:r>
      <w:r w:rsidRPr="00254EDF">
        <w:rPr>
          <w:rFonts w:ascii="Times New Roman" w:hAnsi="Times New Roman"/>
          <w:b/>
          <w:sz w:val="24"/>
          <w:szCs w:val="24"/>
        </w:rPr>
        <w:t>municipalities and EMS personal from liability for ordinary negligence claims.  When using a backboard, strap down the patient and consider calling  an Air Ambulance to the scene instead of driving 35 miles on gravel road.</w:t>
      </w:r>
    </w:p>
    <w:p w14:paraId="3528DFC5" w14:textId="77777777" w:rsidR="00467FCE" w:rsidRPr="00254EDF" w:rsidRDefault="00467FCE" w:rsidP="00467FCE">
      <w:pPr>
        <w:pStyle w:val="NoSpacing"/>
        <w:rPr>
          <w:rFonts w:ascii="Times New Roman" w:hAnsi="Times New Roman"/>
          <w:sz w:val="24"/>
          <w:szCs w:val="24"/>
        </w:rPr>
      </w:pPr>
    </w:p>
    <w:p w14:paraId="7C1D4F12" w14:textId="77777777" w:rsidR="00467FCE" w:rsidRPr="00254EDF" w:rsidRDefault="00467FCE" w:rsidP="00467FCE">
      <w:pPr>
        <w:pStyle w:val="NoSpacing"/>
        <w:ind w:left="720"/>
        <w:rPr>
          <w:rFonts w:ascii="Times New Roman" w:hAnsi="Times New Roman"/>
          <w:sz w:val="24"/>
          <w:szCs w:val="24"/>
        </w:rPr>
      </w:pPr>
      <w:r w:rsidRPr="00254EDF">
        <w:rPr>
          <w:rFonts w:ascii="Times New Roman" w:hAnsi="Times New Roman"/>
          <w:sz w:val="24"/>
          <w:szCs w:val="24"/>
        </w:rPr>
        <w:t>Note:  The City’s attorneys made an “offer of judgment” to settle the case for $7.500. The plaintiff rejected that offer and now must reimburse City for attorney’s fees from the date of the offer. “Footnote 4: Under this rule, if the opposing party declines the offer and then receives a judgment that is 90% of the offer or less, it must pay a percentage of the offering party's attorney's fees. Alaska R. Civ. P. 68(a)-(b).”</w:t>
      </w:r>
    </w:p>
    <w:p w14:paraId="0B6F62D3" w14:textId="77777777" w:rsidR="00467FCE" w:rsidRPr="00254EDF" w:rsidRDefault="00467FCE" w:rsidP="00467FCE">
      <w:pPr>
        <w:pStyle w:val="NoSpacing"/>
        <w:rPr>
          <w:rFonts w:ascii="Times New Roman" w:hAnsi="Times New Roman"/>
          <w:sz w:val="24"/>
          <w:szCs w:val="24"/>
        </w:rPr>
      </w:pPr>
    </w:p>
    <w:p w14:paraId="17EC9C2D" w14:textId="77777777" w:rsidR="007B7FD8" w:rsidRDefault="007B7FD8" w:rsidP="002B1283">
      <w:pPr>
        <w:rPr>
          <w:rFonts w:ascii="Arial Black" w:hAnsi="Arial Black"/>
          <w:b/>
          <w:bCs/>
          <w:sz w:val="28"/>
          <w:szCs w:val="28"/>
        </w:rPr>
      </w:pPr>
    </w:p>
    <w:p w14:paraId="70D02C2D" w14:textId="447653FB" w:rsidR="00BA7C2E" w:rsidRDefault="00BA7C2E"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2</w:t>
      </w:r>
    </w:p>
    <w:p w14:paraId="5CDE112A" w14:textId="7F804292" w:rsidR="00940FEF" w:rsidRPr="00564629" w:rsidRDefault="00940FEF" w:rsidP="00940FEF">
      <w:pPr>
        <w:rPr>
          <w:rFonts w:ascii="Arial Black" w:hAnsi="Arial Black"/>
          <w:b/>
          <w:sz w:val="28"/>
          <w:szCs w:val="28"/>
        </w:rPr>
      </w:pPr>
      <w:r>
        <w:rPr>
          <w:rFonts w:ascii="Arial Black" w:hAnsi="Arial Black"/>
          <w:b/>
          <w:sz w:val="28"/>
          <w:szCs w:val="28"/>
        </w:rPr>
        <w:t xml:space="preserve">CA: AMR LOSES COUNTY CONTRACT – </w:t>
      </w:r>
      <w:r w:rsidR="00882D61">
        <w:rPr>
          <w:rFonts w:ascii="Arial Black" w:hAnsi="Arial Black"/>
          <w:b/>
          <w:sz w:val="28"/>
          <w:szCs w:val="28"/>
        </w:rPr>
        <w:t>NO</w:t>
      </w:r>
      <w:r w:rsidR="003101E1">
        <w:rPr>
          <w:rFonts w:ascii="Arial Black" w:hAnsi="Arial Black"/>
          <w:b/>
          <w:sz w:val="28"/>
          <w:szCs w:val="28"/>
        </w:rPr>
        <w:t>T</w:t>
      </w:r>
      <w:r w:rsidR="00882D61">
        <w:rPr>
          <w:rFonts w:ascii="Arial Black" w:hAnsi="Arial Black"/>
          <w:b/>
          <w:sz w:val="28"/>
          <w:szCs w:val="28"/>
        </w:rPr>
        <w:t xml:space="preserve"> FED ANTITUST </w:t>
      </w:r>
      <w:r>
        <w:rPr>
          <w:rFonts w:ascii="Arial Black" w:hAnsi="Arial Black"/>
          <w:b/>
          <w:sz w:val="28"/>
          <w:szCs w:val="28"/>
        </w:rPr>
        <w:t>CASE</w:t>
      </w:r>
    </w:p>
    <w:p w14:paraId="4E45534C" w14:textId="77777777" w:rsidR="00940FEF" w:rsidRPr="00940FEF" w:rsidRDefault="00940FEF" w:rsidP="00940FEF">
      <w:pPr>
        <w:rPr>
          <w:rFonts w:ascii="Times New Roman" w:hAnsi="Times New Roman"/>
          <w:bCs/>
          <w:sz w:val="24"/>
          <w:szCs w:val="24"/>
        </w:rPr>
      </w:pPr>
      <w:r w:rsidRPr="00940FEF">
        <w:rPr>
          <w:rFonts w:ascii="Times New Roman" w:hAnsi="Times New Roman"/>
          <w:sz w:val="24"/>
          <w:szCs w:val="24"/>
        </w:rPr>
        <w:t xml:space="preserve">On April 30, 2025, in </w:t>
      </w:r>
      <w:r w:rsidRPr="00940FEF">
        <w:rPr>
          <w:rFonts w:ascii="Times New Roman" w:hAnsi="Times New Roman"/>
          <w:sz w:val="24"/>
          <w:szCs w:val="24"/>
          <w:u w:val="single"/>
        </w:rPr>
        <w:t>American Medical Response of Inland Empire v. County of San Bernardino,</w:t>
      </w:r>
      <w:r w:rsidRPr="00940FEF">
        <w:rPr>
          <w:rFonts w:ascii="Times New Roman" w:hAnsi="Times New Roman"/>
          <w:sz w:val="24"/>
          <w:szCs w:val="24"/>
        </w:rPr>
        <w:t xml:space="preserve"> the U.S. Court of Appeals for the 9</w:t>
      </w:r>
      <w:r w:rsidRPr="00940FEF">
        <w:rPr>
          <w:rFonts w:ascii="Times New Roman" w:hAnsi="Times New Roman"/>
          <w:sz w:val="24"/>
          <w:szCs w:val="24"/>
          <w:vertAlign w:val="superscript"/>
        </w:rPr>
        <w:t>th</w:t>
      </w:r>
      <w:r w:rsidRPr="00940FEF">
        <w:rPr>
          <w:rFonts w:ascii="Times New Roman" w:hAnsi="Times New Roman"/>
          <w:sz w:val="24"/>
          <w:szCs w:val="24"/>
        </w:rPr>
        <w:t xml:space="preserve"> Circuit (San Francisco) held (3 to 0; not for publication decision) that the trial court properly dismissed the lawsuit claiming the County violated federal antitrust law by awarding all EMS services in a designated county area to Consolidated Fire Agencies (“</w:t>
      </w:r>
      <w:proofErr w:type="spellStart"/>
      <w:r w:rsidRPr="00940FEF">
        <w:rPr>
          <w:rFonts w:ascii="Times New Roman" w:hAnsi="Times New Roman"/>
          <w:sz w:val="24"/>
          <w:szCs w:val="24"/>
        </w:rPr>
        <w:t>ConFire</w:t>
      </w:r>
      <w:proofErr w:type="spellEnd"/>
      <w:r w:rsidRPr="00940FEF">
        <w:rPr>
          <w:rFonts w:ascii="Times New Roman" w:hAnsi="Times New Roman"/>
          <w:sz w:val="24"/>
          <w:szCs w:val="24"/>
        </w:rPr>
        <w:t xml:space="preserve">”), based in part on anticipated faster response times. AMR is also seeking relief in a state court case.  </w:t>
      </w:r>
      <w:hyperlink r:id="rId2138" w:history="1">
        <w:r w:rsidRPr="00940FEF">
          <w:rPr>
            <w:rStyle w:val="Hyperlink"/>
            <w:rFonts w:ascii="Times New Roman" w:hAnsi="Times New Roman"/>
            <w:sz w:val="24"/>
            <w:szCs w:val="24"/>
          </w:rPr>
          <w:t>https://cdn.ca9.uscourts.gov/datastore/memoranda/2025/04/30/24-3195.pdf</w:t>
        </w:r>
      </w:hyperlink>
      <w:r w:rsidRPr="00940FEF">
        <w:rPr>
          <w:rFonts w:ascii="Times New Roman" w:hAnsi="Times New Roman"/>
          <w:sz w:val="24"/>
          <w:szCs w:val="24"/>
        </w:rPr>
        <w:t xml:space="preserve"> </w:t>
      </w:r>
    </w:p>
    <w:p w14:paraId="0F6E9A2F" w14:textId="77777777" w:rsidR="000B3321" w:rsidRPr="003373B6" w:rsidRDefault="000B3321" w:rsidP="000B3321">
      <w:pPr>
        <w:pStyle w:val="NoSpacing"/>
        <w:rPr>
          <w:rFonts w:ascii="Times New Roman" w:hAnsi="Times New Roman"/>
          <w:b/>
          <w:bCs/>
          <w:sz w:val="24"/>
          <w:szCs w:val="24"/>
        </w:rPr>
      </w:pPr>
      <w:r w:rsidRPr="003373B6">
        <w:rPr>
          <w:rFonts w:ascii="Times New Roman" w:hAnsi="Times New Roman"/>
          <w:b/>
          <w:sz w:val="24"/>
          <w:szCs w:val="24"/>
        </w:rPr>
        <w:t xml:space="preserve">Legal Lesson Learned: Loss of an EMS contract </w:t>
      </w:r>
      <w:r w:rsidRPr="003373B6">
        <w:rPr>
          <w:rFonts w:ascii="Times New Roman" w:hAnsi="Times New Roman"/>
          <w:b/>
          <w:bCs/>
          <w:sz w:val="24"/>
          <w:szCs w:val="24"/>
        </w:rPr>
        <w:t xml:space="preserve">can be litigated </w:t>
      </w:r>
      <w:r w:rsidRPr="003373B6">
        <w:rPr>
          <w:rFonts w:ascii="Times New Roman" w:hAnsi="Times New Roman"/>
          <w:b/>
          <w:sz w:val="24"/>
          <w:szCs w:val="24"/>
        </w:rPr>
        <w:t xml:space="preserve">in state court. </w:t>
      </w:r>
    </w:p>
    <w:p w14:paraId="7C5C7665" w14:textId="77777777" w:rsidR="00BA7C2E" w:rsidRPr="003373B6" w:rsidRDefault="00BA7C2E" w:rsidP="002B1283">
      <w:pPr>
        <w:rPr>
          <w:rFonts w:ascii="Times New Roman" w:hAnsi="Times New Roman"/>
          <w:b/>
          <w:bCs/>
          <w:sz w:val="24"/>
          <w:szCs w:val="24"/>
        </w:rPr>
      </w:pPr>
    </w:p>
    <w:p w14:paraId="777084F7" w14:textId="77777777" w:rsidR="00BA7C2E" w:rsidRDefault="00BA7C2E" w:rsidP="002B1283">
      <w:pPr>
        <w:rPr>
          <w:rFonts w:ascii="Arial Black" w:hAnsi="Arial Black"/>
          <w:b/>
          <w:bCs/>
          <w:sz w:val="28"/>
          <w:szCs w:val="28"/>
        </w:rPr>
      </w:pPr>
    </w:p>
    <w:p w14:paraId="05B00ECD" w14:textId="6C344275" w:rsidR="00DB0A44" w:rsidRDefault="00DB0A44"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1</w:t>
      </w:r>
    </w:p>
    <w:p w14:paraId="0E80F0C8" w14:textId="77777777" w:rsidR="00233326" w:rsidRDefault="00233326" w:rsidP="00233326">
      <w:pPr>
        <w:rPr>
          <w:rFonts w:ascii="Arial Black" w:hAnsi="Arial Black"/>
          <w:sz w:val="28"/>
          <w:szCs w:val="28"/>
        </w:rPr>
      </w:pPr>
      <w:r>
        <w:rPr>
          <w:rFonts w:ascii="Arial Black" w:hAnsi="Arial Black"/>
          <w:sz w:val="28"/>
          <w:szCs w:val="28"/>
        </w:rPr>
        <w:t>NY: EMT FACING REV. LICENSE – CAN HAVE JURY TRIAL</w:t>
      </w:r>
    </w:p>
    <w:p w14:paraId="38EB5081" w14:textId="33A854B7" w:rsidR="00DB0A44" w:rsidRPr="00233326" w:rsidRDefault="00233326" w:rsidP="00233326">
      <w:pPr>
        <w:rPr>
          <w:rFonts w:ascii="Times New Roman" w:hAnsi="Times New Roman"/>
          <w:b/>
          <w:bCs/>
          <w:sz w:val="24"/>
          <w:szCs w:val="24"/>
        </w:rPr>
      </w:pPr>
      <w:r w:rsidRPr="00233326">
        <w:rPr>
          <w:rFonts w:ascii="Times New Roman" w:hAnsi="Times New Roman"/>
          <w:sz w:val="24"/>
          <w:szCs w:val="24"/>
        </w:rPr>
        <w:t xml:space="preserve">On April 14, 2025, in </w:t>
      </w:r>
      <w:r w:rsidRPr="00233326">
        <w:rPr>
          <w:rFonts w:ascii="Times New Roman" w:hAnsi="Times New Roman"/>
          <w:sz w:val="24"/>
          <w:szCs w:val="24"/>
          <w:u w:val="single"/>
        </w:rPr>
        <w:t>Justin Ball v. The New York State Department of Health</w:t>
      </w:r>
      <w:r w:rsidRPr="00233326">
        <w:rPr>
          <w:rFonts w:ascii="Times New Roman" w:hAnsi="Times New Roman"/>
          <w:b/>
          <w:sz w:val="24"/>
          <w:szCs w:val="24"/>
        </w:rPr>
        <w:t xml:space="preserve">,  </w:t>
      </w:r>
      <w:r w:rsidRPr="00233326">
        <w:rPr>
          <w:rFonts w:ascii="Times New Roman" w:hAnsi="Times New Roman"/>
          <w:sz w:val="24"/>
          <w:szCs w:val="24"/>
        </w:rPr>
        <w:t xml:space="preserve">N.Y. Supreme Court Justice Thomas Marcelle held that the EMT, facing loss of his license for improperly handling </w:t>
      </w:r>
      <w:proofErr w:type="gramStart"/>
      <w:r w:rsidRPr="00233326">
        <w:rPr>
          <w:rFonts w:ascii="Times New Roman" w:hAnsi="Times New Roman"/>
          <w:sz w:val="24"/>
          <w:szCs w:val="24"/>
        </w:rPr>
        <w:t>an</w:t>
      </w:r>
      <w:proofErr w:type="gramEnd"/>
      <w:r w:rsidRPr="00233326">
        <w:rPr>
          <w:rFonts w:ascii="Times New Roman" w:hAnsi="Times New Roman"/>
          <w:sz w:val="24"/>
          <w:szCs w:val="24"/>
        </w:rPr>
        <w:t xml:space="preserve"> patient with “scorn and ridicule” is entitled to a jury trial, rather than administrative hearing before the Department of Health. </w:t>
      </w:r>
      <w:hyperlink r:id="rId2139" w:history="1">
        <w:r w:rsidR="007807F7" w:rsidRPr="003870A5">
          <w:rPr>
            <w:rStyle w:val="Hyperlink"/>
            <w:rFonts w:ascii="Times New Roman" w:hAnsi="Times New Roman"/>
            <w:sz w:val="24"/>
            <w:szCs w:val="24"/>
          </w:rPr>
          <w:t>https://law.justia.com/cases/new-york/other-courts/2025/2025-ny-slip-op-25090.html</w:t>
        </w:r>
      </w:hyperlink>
      <w:r w:rsidR="007807F7">
        <w:rPr>
          <w:rFonts w:ascii="Times New Roman" w:hAnsi="Times New Roman"/>
          <w:sz w:val="24"/>
          <w:szCs w:val="24"/>
        </w:rPr>
        <w:t xml:space="preserve"> </w:t>
      </w:r>
    </w:p>
    <w:p w14:paraId="403649F7" w14:textId="77777777" w:rsidR="00BA7C2E" w:rsidRPr="00F62D6C" w:rsidRDefault="00BA7C2E" w:rsidP="00BA7C2E">
      <w:pPr>
        <w:rPr>
          <w:b/>
          <w:bCs/>
        </w:rPr>
      </w:pPr>
      <w:r w:rsidRPr="00BA7C2E">
        <w:rPr>
          <w:rFonts w:ascii="Times New Roman" w:hAnsi="Times New Roman"/>
          <w:b/>
          <w:sz w:val="24"/>
          <w:szCs w:val="24"/>
        </w:rPr>
        <w:t>Legal Lesson Learned:  A novel decision; State of NY is likely to appeal</w:t>
      </w:r>
      <w:r>
        <w:rPr>
          <w:b/>
        </w:rPr>
        <w:t xml:space="preserve">. </w:t>
      </w:r>
    </w:p>
    <w:p w14:paraId="50BD49B0" w14:textId="77777777" w:rsidR="00DB0A44" w:rsidRDefault="00DB0A44" w:rsidP="002B1283">
      <w:pPr>
        <w:rPr>
          <w:rFonts w:ascii="Arial Black" w:hAnsi="Arial Black"/>
          <w:b/>
          <w:bCs/>
          <w:sz w:val="28"/>
          <w:szCs w:val="28"/>
        </w:rPr>
      </w:pPr>
    </w:p>
    <w:p w14:paraId="6000CDD0" w14:textId="6CDED776" w:rsidR="00EB376E" w:rsidRDefault="00EF2CE3" w:rsidP="002B1283">
      <w:pPr>
        <w:rPr>
          <w:rFonts w:ascii="Arial Black" w:hAnsi="Arial Black"/>
          <w:b/>
          <w:bCs/>
          <w:sz w:val="28"/>
          <w:szCs w:val="28"/>
        </w:rPr>
      </w:pPr>
      <w:r>
        <w:rPr>
          <w:rFonts w:ascii="Arial Black" w:hAnsi="Arial Black"/>
          <w:b/>
          <w:bCs/>
          <w:sz w:val="28"/>
          <w:szCs w:val="28"/>
        </w:rPr>
        <w:t>13-2</w:t>
      </w:r>
      <w:r w:rsidR="00524647">
        <w:rPr>
          <w:rFonts w:ascii="Arial Black" w:hAnsi="Arial Black"/>
          <w:b/>
          <w:bCs/>
          <w:sz w:val="28"/>
          <w:szCs w:val="28"/>
        </w:rPr>
        <w:t>10</w:t>
      </w:r>
    </w:p>
    <w:p w14:paraId="15790D4E" w14:textId="77777777" w:rsidR="00FC77F5" w:rsidRPr="000F03D9" w:rsidRDefault="00FC77F5" w:rsidP="00FC77F5">
      <w:pPr>
        <w:pStyle w:val="NoSpacing"/>
        <w:rPr>
          <w:rFonts w:ascii="Arial Black" w:hAnsi="Arial Black"/>
          <w:sz w:val="28"/>
          <w:szCs w:val="28"/>
        </w:rPr>
      </w:pPr>
      <w:r w:rsidRPr="000F03D9">
        <w:rPr>
          <w:rFonts w:ascii="Arial Black" w:hAnsi="Arial Black"/>
          <w:sz w:val="28"/>
          <w:szCs w:val="28"/>
        </w:rPr>
        <w:t>DC: MEDIC FIRED – COVID - 6-YR OLD BOY NOT EVALUATED</w:t>
      </w:r>
    </w:p>
    <w:p w14:paraId="6000341D" w14:textId="77777777" w:rsidR="00FC77F5" w:rsidRPr="000F03D9" w:rsidRDefault="00FC77F5" w:rsidP="00FC77F5">
      <w:pPr>
        <w:pStyle w:val="NoSpacing"/>
        <w:rPr>
          <w:rFonts w:ascii="Arial Black" w:hAnsi="Arial Black"/>
          <w:sz w:val="28"/>
          <w:szCs w:val="28"/>
        </w:rPr>
      </w:pPr>
    </w:p>
    <w:p w14:paraId="3D0CA716" w14:textId="02DC2105" w:rsidR="00EF2CE3" w:rsidRPr="000F03D9" w:rsidRDefault="00FC77F5" w:rsidP="00FC77F5">
      <w:pPr>
        <w:rPr>
          <w:rFonts w:ascii="Times New Roman" w:hAnsi="Times New Roman"/>
          <w:b/>
          <w:bCs/>
          <w:sz w:val="24"/>
          <w:szCs w:val="24"/>
        </w:rPr>
      </w:pPr>
      <w:r w:rsidRPr="000F03D9">
        <w:rPr>
          <w:rFonts w:ascii="Times New Roman" w:hAnsi="Times New Roman"/>
          <w:sz w:val="24"/>
          <w:szCs w:val="24"/>
        </w:rPr>
        <w:t xml:space="preserve">On March 31, 2025, in </w:t>
      </w:r>
      <w:proofErr w:type="spellStart"/>
      <w:r w:rsidRPr="000F03D9">
        <w:rPr>
          <w:rFonts w:ascii="Times New Roman" w:hAnsi="Times New Roman"/>
          <w:sz w:val="24"/>
          <w:szCs w:val="24"/>
          <w:u w:val="single"/>
        </w:rPr>
        <w:t>Danaryae</w:t>
      </w:r>
      <w:proofErr w:type="spellEnd"/>
      <w:r w:rsidRPr="000F03D9">
        <w:rPr>
          <w:rFonts w:ascii="Times New Roman" w:hAnsi="Times New Roman"/>
          <w:sz w:val="24"/>
          <w:szCs w:val="24"/>
          <w:u w:val="single"/>
        </w:rPr>
        <w:t xml:space="preserve"> Lewis v. District of Columbia</w:t>
      </w:r>
      <w:r w:rsidRPr="000F03D9">
        <w:rPr>
          <w:rFonts w:ascii="Times New Roman" w:hAnsi="Times New Roman"/>
          <w:sz w:val="24"/>
          <w:szCs w:val="24"/>
        </w:rPr>
        <w:t xml:space="preserve">, U.S. District Court Judge Carl  J. Nichols, U.S. District Court for District of Columbia, denied the City’s motion for summary judgment.  She alleges that during COVID white and Hispanic EMS likewise did not put on PPE and enter homes to evaluate patients.  </w:t>
      </w:r>
      <w:hyperlink r:id="rId2140" w:history="1">
        <w:r w:rsidRPr="000F03D9">
          <w:rPr>
            <w:rStyle w:val="Hyperlink"/>
            <w:rFonts w:ascii="Times New Roman" w:hAnsi="Times New Roman"/>
            <w:sz w:val="24"/>
            <w:szCs w:val="24"/>
          </w:rPr>
          <w:t>https://public.fastcase.com/jaEE2PXzRXmZ99jOLMt1IuWGAIUpkkorrJl529LJ3awEx3zEi%2Byx9rGBI4x8eUTPQhULRQSbbdyTI3aaLB6SYlAXn8jJowYQjsFj%2FU%2FJFgg%3D?utm_medium=email&amp;_hsenc=p2ANqtz-83fSGxDadFaAqcLR0jtt8PGQuvqaI_epd1KGRFswTzY3809DqN4cnTFvjtIk9nPU87syAh5PxEK-y1xpj2mK9t5ywDKQ&amp;_hsmi=226712652&amp;utm_content=226712652&amp;utm_source=hs_email</w:t>
        </w:r>
      </w:hyperlink>
    </w:p>
    <w:p w14:paraId="2CCCE686" w14:textId="77777777" w:rsidR="000F03D9" w:rsidRPr="000F03D9" w:rsidRDefault="000F03D9" w:rsidP="000F03D9">
      <w:pPr>
        <w:pStyle w:val="NoSpacing"/>
        <w:rPr>
          <w:rFonts w:ascii="Times New Roman" w:hAnsi="Times New Roman"/>
          <w:b/>
          <w:bCs/>
          <w:sz w:val="24"/>
          <w:szCs w:val="24"/>
        </w:rPr>
      </w:pPr>
      <w:r w:rsidRPr="000F03D9">
        <w:rPr>
          <w:rFonts w:ascii="Times New Roman" w:hAnsi="Times New Roman"/>
          <w:b/>
          <w:sz w:val="24"/>
          <w:szCs w:val="24"/>
        </w:rPr>
        <w:t xml:space="preserve">Legal Lesson Learned: Case will now proceed to pre-trial discovery.  COVID protocols must be followed, including </w:t>
      </w:r>
      <w:proofErr w:type="gramStart"/>
      <w:r w:rsidRPr="000F03D9">
        <w:rPr>
          <w:rFonts w:ascii="Times New Roman" w:hAnsi="Times New Roman"/>
          <w:b/>
          <w:sz w:val="24"/>
          <w:szCs w:val="24"/>
        </w:rPr>
        <w:t>donning</w:t>
      </w:r>
      <w:proofErr w:type="gramEnd"/>
      <w:r w:rsidRPr="000F03D9">
        <w:rPr>
          <w:rFonts w:ascii="Times New Roman" w:hAnsi="Times New Roman"/>
          <w:b/>
          <w:sz w:val="24"/>
          <w:szCs w:val="24"/>
        </w:rPr>
        <w:t xml:space="preserve"> PPE if needed to assess a patient. </w:t>
      </w:r>
    </w:p>
    <w:p w14:paraId="4BB46571" w14:textId="77777777" w:rsidR="000F03D9" w:rsidRDefault="000F03D9" w:rsidP="000F03D9"/>
    <w:p w14:paraId="7A118820" w14:textId="77777777" w:rsidR="00EF2CE3" w:rsidRDefault="00EF2CE3" w:rsidP="00EB376E">
      <w:pPr>
        <w:pStyle w:val="NoSpacing"/>
        <w:rPr>
          <w:rFonts w:ascii="Arial Black" w:hAnsi="Arial Black"/>
          <w:b/>
          <w:bCs/>
          <w:sz w:val="28"/>
          <w:szCs w:val="28"/>
        </w:rPr>
      </w:pPr>
    </w:p>
    <w:p w14:paraId="5702318D" w14:textId="77777777" w:rsidR="00EF2CE3" w:rsidRDefault="00EF2CE3" w:rsidP="00EB376E">
      <w:pPr>
        <w:pStyle w:val="NoSpacing"/>
        <w:rPr>
          <w:rFonts w:ascii="Arial Black" w:hAnsi="Arial Black"/>
          <w:b/>
          <w:bCs/>
          <w:sz w:val="28"/>
          <w:szCs w:val="28"/>
        </w:rPr>
      </w:pPr>
    </w:p>
    <w:p w14:paraId="533B9C74" w14:textId="1BB87358" w:rsidR="00EF2CE3" w:rsidRDefault="00EB376E" w:rsidP="00EB376E">
      <w:pPr>
        <w:pStyle w:val="NoSpacing"/>
        <w:rPr>
          <w:rFonts w:ascii="Arial Black" w:hAnsi="Arial Black"/>
          <w:sz w:val="28"/>
          <w:szCs w:val="28"/>
        </w:rPr>
      </w:pPr>
      <w:r>
        <w:rPr>
          <w:rFonts w:ascii="Arial Black" w:hAnsi="Arial Black"/>
          <w:b/>
          <w:bCs/>
          <w:sz w:val="28"/>
          <w:szCs w:val="28"/>
        </w:rPr>
        <w:t>13-2</w:t>
      </w:r>
      <w:r w:rsidR="00524647">
        <w:rPr>
          <w:rFonts w:ascii="Arial Black" w:hAnsi="Arial Black"/>
          <w:b/>
          <w:bCs/>
          <w:sz w:val="28"/>
          <w:szCs w:val="28"/>
        </w:rPr>
        <w:t>09</w:t>
      </w:r>
      <w:r w:rsidRPr="00EB376E">
        <w:rPr>
          <w:rFonts w:ascii="Arial Black" w:hAnsi="Arial Black"/>
          <w:sz w:val="28"/>
          <w:szCs w:val="28"/>
        </w:rPr>
        <w:t xml:space="preserve"> </w:t>
      </w:r>
    </w:p>
    <w:p w14:paraId="3544D330" w14:textId="77777777" w:rsidR="00EF2CE3" w:rsidRDefault="00EF2CE3" w:rsidP="00EB376E">
      <w:pPr>
        <w:pStyle w:val="NoSpacing"/>
        <w:rPr>
          <w:rFonts w:ascii="Arial Black" w:hAnsi="Arial Black"/>
          <w:sz w:val="28"/>
          <w:szCs w:val="28"/>
        </w:rPr>
      </w:pPr>
    </w:p>
    <w:p w14:paraId="40B968C9" w14:textId="30EDFE62" w:rsidR="00EB376E" w:rsidRPr="00D864F0" w:rsidRDefault="00EB376E" w:rsidP="00EB376E">
      <w:pPr>
        <w:pStyle w:val="NoSpacing"/>
        <w:rPr>
          <w:rFonts w:ascii="Arial Black" w:hAnsi="Arial Black"/>
          <w:sz w:val="28"/>
          <w:szCs w:val="28"/>
        </w:rPr>
      </w:pPr>
      <w:r>
        <w:rPr>
          <w:rFonts w:ascii="Arial Black" w:hAnsi="Arial Black"/>
          <w:sz w:val="28"/>
          <w:szCs w:val="28"/>
        </w:rPr>
        <w:t>LA: POSS. STROKE – NO CONSENT NEEDED TO TRANSPORT</w:t>
      </w:r>
    </w:p>
    <w:p w14:paraId="23F5D10C" w14:textId="77777777" w:rsidR="00EB376E" w:rsidRDefault="00EB376E" w:rsidP="00EB376E">
      <w:pPr>
        <w:pStyle w:val="NoSpacing"/>
      </w:pPr>
    </w:p>
    <w:p w14:paraId="28616DA9" w14:textId="77777777" w:rsidR="00EB376E" w:rsidRPr="00AB754A" w:rsidRDefault="00EB376E" w:rsidP="00EB376E">
      <w:pPr>
        <w:pStyle w:val="NoSpacing"/>
        <w:rPr>
          <w:rFonts w:ascii="Times New Roman" w:hAnsi="Times New Roman"/>
          <w:sz w:val="24"/>
          <w:szCs w:val="24"/>
        </w:rPr>
      </w:pPr>
      <w:r w:rsidRPr="00AB754A">
        <w:rPr>
          <w:rFonts w:ascii="Times New Roman" w:hAnsi="Times New Roman"/>
          <w:sz w:val="24"/>
          <w:szCs w:val="24"/>
        </w:rPr>
        <w:t xml:space="preserve">On March 6, 2025, in </w:t>
      </w:r>
      <w:r w:rsidRPr="00AB754A">
        <w:rPr>
          <w:rFonts w:ascii="Times New Roman" w:hAnsi="Times New Roman"/>
          <w:sz w:val="24"/>
          <w:szCs w:val="24"/>
          <w:u w:val="single"/>
        </w:rPr>
        <w:t>Isiah Cole, Jr. and his wife, Karen Cole v. New Orleans Emergency Medical Services, et al</w:t>
      </w:r>
      <w:r w:rsidRPr="00AB754A">
        <w:rPr>
          <w:rFonts w:ascii="Times New Roman" w:hAnsi="Times New Roman"/>
          <w:sz w:val="24"/>
          <w:szCs w:val="24"/>
        </w:rPr>
        <w:t xml:space="preserve">., the Court of Appeals of Louisiana, Fourth Circuit, held (3 to 0) that the trial court on May 10, </w:t>
      </w:r>
      <w:proofErr w:type="gramStart"/>
      <w:r w:rsidRPr="00AB754A">
        <w:rPr>
          <w:rFonts w:ascii="Times New Roman" w:hAnsi="Times New Roman"/>
          <w:sz w:val="24"/>
          <w:szCs w:val="24"/>
        </w:rPr>
        <w:t>2024</w:t>
      </w:r>
      <w:proofErr w:type="gramEnd"/>
      <w:r w:rsidRPr="00AB754A">
        <w:rPr>
          <w:rFonts w:ascii="Times New Roman" w:hAnsi="Times New Roman"/>
          <w:sz w:val="24"/>
          <w:szCs w:val="24"/>
        </w:rPr>
        <w:t xml:space="preserve"> after a bench trial, found defendants not liable for transporting him to hospital without his consent, and for allegedly dropping him off flexible Reeves Stretcher going down a flight of stairs. “At the time the June 23, </w:t>
      </w:r>
      <w:proofErr w:type="gramStart"/>
      <w:r w:rsidRPr="00AB754A">
        <w:rPr>
          <w:rFonts w:ascii="Times New Roman" w:hAnsi="Times New Roman"/>
          <w:sz w:val="24"/>
          <w:szCs w:val="24"/>
        </w:rPr>
        <w:t>2017</w:t>
      </w:r>
      <w:proofErr w:type="gramEnd"/>
      <w:r w:rsidRPr="00AB754A">
        <w:rPr>
          <w:rFonts w:ascii="Times New Roman" w:hAnsi="Times New Roman"/>
          <w:sz w:val="24"/>
          <w:szCs w:val="24"/>
        </w:rPr>
        <w:t xml:space="preserve"> incident occurred, Mr. Cole was a 75-year-old man with </w:t>
      </w:r>
      <w:proofErr w:type="gramStart"/>
      <w:r w:rsidRPr="00AB754A">
        <w:rPr>
          <w:rFonts w:ascii="Times New Roman" w:hAnsi="Times New Roman"/>
          <w:sz w:val="24"/>
          <w:szCs w:val="24"/>
        </w:rPr>
        <w:t>a number of</w:t>
      </w:r>
      <w:proofErr w:type="gramEnd"/>
      <w:r w:rsidRPr="00AB754A">
        <w:rPr>
          <w:rFonts w:ascii="Times New Roman" w:hAnsi="Times New Roman"/>
          <w:sz w:val="24"/>
          <w:szCs w:val="24"/>
        </w:rPr>
        <w:t xml:space="preserve"> health problems. EMS evaluated him thoroughly and determined that a new onset of seizure and his altered mental status necessitated his transport to the hospital. As [Paramedic Derick] Blanchard testified, ‘Time is brain cells.’ The trial court found that “EMS adhered to proper protocol, and their determination that Mr. Cole did not have the capacity to refuse treatment did not violate the standard of care. After a review of the record and the applicable law, we agree and find that EMS acted pursuant to La. R.S. 40:1159.5 because they reasonably believed that any delay in diagnosis or treatment could have been harmful to Mr. Cole. We do not find that the trial court failed to recognize Mr. Cole’s constitutional and statutory rights; instead, we agree with the trial court that NOEMS could supersede those rights </w:t>
      </w:r>
      <w:proofErr w:type="gramStart"/>
      <w:r w:rsidRPr="00AB754A">
        <w:rPr>
          <w:rFonts w:ascii="Times New Roman" w:hAnsi="Times New Roman"/>
          <w:sz w:val="24"/>
          <w:szCs w:val="24"/>
        </w:rPr>
        <w:t>in order to</w:t>
      </w:r>
      <w:proofErr w:type="gramEnd"/>
      <w:r w:rsidRPr="00AB754A">
        <w:rPr>
          <w:rFonts w:ascii="Times New Roman" w:hAnsi="Times New Roman"/>
          <w:sz w:val="24"/>
          <w:szCs w:val="24"/>
        </w:rPr>
        <w:t xml:space="preserve"> prevent harm to Mr. Cole. Therefore, we find no error in the trial court’s </w:t>
      </w:r>
      <w:proofErr w:type="gramStart"/>
      <w:r w:rsidRPr="00AB754A">
        <w:rPr>
          <w:rFonts w:ascii="Times New Roman" w:hAnsi="Times New Roman"/>
          <w:sz w:val="24"/>
          <w:szCs w:val="24"/>
        </w:rPr>
        <w:t>finding</w:t>
      </w:r>
      <w:proofErr w:type="gramEnd"/>
      <w:r w:rsidRPr="00AB754A">
        <w:rPr>
          <w:rFonts w:ascii="Times New Roman" w:hAnsi="Times New Roman"/>
          <w:sz w:val="24"/>
          <w:szCs w:val="24"/>
        </w:rPr>
        <w:t xml:space="preserve">.  For the reasons discussed herein, we affirm the judgment of the trial court.” </w:t>
      </w:r>
      <w:hyperlink r:id="rId2141" w:history="1">
        <w:r w:rsidRPr="00AB754A">
          <w:rPr>
            <w:rStyle w:val="Hyperlink"/>
            <w:rFonts w:ascii="Times New Roman" w:hAnsi="Times New Roman"/>
            <w:sz w:val="24"/>
            <w:szCs w:val="24"/>
          </w:rPr>
          <w:t>https://cases.justia.com/louisiana/fourth-circuit-court-of-appeal/2025-2024-ca-0437.pdf?ts=1741310103</w:t>
        </w:r>
      </w:hyperlink>
      <w:r w:rsidRPr="00AB754A">
        <w:rPr>
          <w:rFonts w:ascii="Times New Roman" w:hAnsi="Times New Roman"/>
          <w:sz w:val="24"/>
          <w:szCs w:val="24"/>
        </w:rPr>
        <w:t xml:space="preserve"> </w:t>
      </w:r>
    </w:p>
    <w:p w14:paraId="064B67C8" w14:textId="77777777" w:rsidR="00AB754A" w:rsidRPr="00AB754A" w:rsidRDefault="00AB754A" w:rsidP="00AB754A">
      <w:pPr>
        <w:pStyle w:val="NoSpacing"/>
        <w:rPr>
          <w:rFonts w:ascii="Times New Roman" w:hAnsi="Times New Roman"/>
          <w:b/>
          <w:sz w:val="24"/>
          <w:szCs w:val="24"/>
        </w:rPr>
      </w:pPr>
    </w:p>
    <w:p w14:paraId="4EDB7B4C" w14:textId="29A7ACA4" w:rsidR="00AB754A" w:rsidRPr="00AB754A" w:rsidRDefault="00AB754A" w:rsidP="00AB754A">
      <w:pPr>
        <w:pStyle w:val="NoSpacing"/>
        <w:rPr>
          <w:rFonts w:ascii="Times New Roman" w:hAnsi="Times New Roman"/>
          <w:b/>
          <w:bCs/>
          <w:sz w:val="24"/>
          <w:szCs w:val="24"/>
        </w:rPr>
      </w:pPr>
      <w:r w:rsidRPr="00AB754A">
        <w:rPr>
          <w:rFonts w:ascii="Times New Roman" w:hAnsi="Times New Roman"/>
          <w:b/>
          <w:sz w:val="24"/>
          <w:szCs w:val="24"/>
        </w:rPr>
        <w:t>Legal Lesson Learned:  Stroke patient was properly transported to hospital;  state statute does not require patient consent “where an emergency exists.”</w:t>
      </w:r>
    </w:p>
    <w:p w14:paraId="1CDFC028" w14:textId="77777777" w:rsidR="00AB754A" w:rsidRDefault="00AB754A" w:rsidP="002B1283">
      <w:pPr>
        <w:rPr>
          <w:rFonts w:ascii="Arial Black" w:hAnsi="Arial Black"/>
          <w:b/>
          <w:bCs/>
          <w:sz w:val="28"/>
          <w:szCs w:val="28"/>
        </w:rPr>
      </w:pPr>
    </w:p>
    <w:p w14:paraId="19BC067E" w14:textId="77777777" w:rsidR="00EB376E" w:rsidRDefault="00EB376E" w:rsidP="002B1283">
      <w:pPr>
        <w:rPr>
          <w:rFonts w:ascii="Arial Black" w:hAnsi="Arial Black"/>
          <w:b/>
          <w:bCs/>
          <w:sz w:val="28"/>
          <w:szCs w:val="28"/>
        </w:rPr>
      </w:pPr>
    </w:p>
    <w:p w14:paraId="5788523D" w14:textId="4AEC9C62" w:rsidR="00062DA4" w:rsidRDefault="00062DA4" w:rsidP="002B1283">
      <w:pPr>
        <w:rPr>
          <w:rFonts w:ascii="Arial Black" w:hAnsi="Arial Black"/>
          <w:b/>
          <w:bCs/>
          <w:sz w:val="28"/>
          <w:szCs w:val="28"/>
        </w:rPr>
      </w:pPr>
      <w:r>
        <w:rPr>
          <w:rFonts w:ascii="Arial Black" w:hAnsi="Arial Black"/>
          <w:b/>
          <w:bCs/>
          <w:sz w:val="28"/>
          <w:szCs w:val="28"/>
        </w:rPr>
        <w:t xml:space="preserve">13 - </w:t>
      </w:r>
      <w:r w:rsidR="00F607C4">
        <w:rPr>
          <w:rFonts w:ascii="Arial Black" w:hAnsi="Arial Black"/>
          <w:b/>
          <w:bCs/>
          <w:sz w:val="28"/>
          <w:szCs w:val="28"/>
        </w:rPr>
        <w:t>20</w:t>
      </w:r>
      <w:r w:rsidR="00524647">
        <w:rPr>
          <w:rFonts w:ascii="Arial Black" w:hAnsi="Arial Black"/>
          <w:b/>
          <w:bCs/>
          <w:sz w:val="28"/>
          <w:szCs w:val="28"/>
        </w:rPr>
        <w:t>8</w:t>
      </w:r>
      <w:r>
        <w:rPr>
          <w:rFonts w:ascii="Arial Black" w:hAnsi="Arial Black"/>
          <w:b/>
          <w:bCs/>
          <w:sz w:val="28"/>
          <w:szCs w:val="28"/>
        </w:rPr>
        <w:t xml:space="preserve"> [also filed, Chap. 15]</w:t>
      </w:r>
    </w:p>
    <w:p w14:paraId="731220F6" w14:textId="7023D80F" w:rsidR="00062DA4" w:rsidRPr="000B7F2C" w:rsidRDefault="00062DA4" w:rsidP="00062DA4">
      <w:pPr>
        <w:rPr>
          <w:rFonts w:ascii="Arial Black" w:hAnsi="Arial Black"/>
          <w:sz w:val="28"/>
          <w:szCs w:val="28"/>
        </w:rPr>
      </w:pPr>
      <w:r w:rsidRPr="000B7F2C">
        <w:rPr>
          <w:rFonts w:ascii="Arial Black" w:hAnsi="Arial Black"/>
          <w:sz w:val="28"/>
          <w:szCs w:val="28"/>
        </w:rPr>
        <w:t>CO: MEDIC</w:t>
      </w:r>
      <w:r w:rsidR="00A931FC">
        <w:rPr>
          <w:rFonts w:ascii="Arial Black" w:hAnsi="Arial Black"/>
          <w:sz w:val="28"/>
          <w:szCs w:val="28"/>
        </w:rPr>
        <w:t xml:space="preserve"> </w:t>
      </w:r>
      <w:r w:rsidR="005467E9">
        <w:rPr>
          <w:rFonts w:ascii="Arial Black" w:hAnsi="Arial Black"/>
          <w:sz w:val="28"/>
          <w:szCs w:val="28"/>
        </w:rPr>
        <w:t xml:space="preserve">ON CRISIS RESP TEAM - </w:t>
      </w:r>
      <w:r w:rsidRPr="000B7F2C">
        <w:rPr>
          <w:rFonts w:ascii="Arial Black" w:hAnsi="Arial Black"/>
          <w:sz w:val="28"/>
          <w:szCs w:val="28"/>
        </w:rPr>
        <w:t xml:space="preserve">TACKLED </w:t>
      </w:r>
      <w:r w:rsidR="005467E9">
        <w:rPr>
          <w:rFonts w:ascii="Arial Black" w:hAnsi="Arial Black"/>
          <w:sz w:val="28"/>
          <w:szCs w:val="28"/>
        </w:rPr>
        <w:t>PT / DIED - IMMUNITY</w:t>
      </w:r>
    </w:p>
    <w:p w14:paraId="19876359" w14:textId="77777777" w:rsidR="00062DA4" w:rsidRPr="00CA2B3F" w:rsidRDefault="00062DA4" w:rsidP="00062DA4">
      <w:pPr>
        <w:rPr>
          <w:rFonts w:ascii="Times New Roman" w:hAnsi="Times New Roman"/>
          <w:sz w:val="24"/>
          <w:szCs w:val="24"/>
        </w:rPr>
      </w:pPr>
      <w:r w:rsidRPr="00CA2B3F">
        <w:rPr>
          <w:rFonts w:ascii="Times New Roman" w:hAnsi="Times New Roman"/>
          <w:sz w:val="24"/>
          <w:szCs w:val="24"/>
        </w:rPr>
        <w:t xml:space="preserve">On Feb. 28, 2025, in </w:t>
      </w:r>
      <w:r w:rsidRPr="00CA2B3F">
        <w:rPr>
          <w:rFonts w:ascii="Times New Roman" w:hAnsi="Times New Roman"/>
          <w:sz w:val="24"/>
          <w:szCs w:val="24"/>
          <w:u w:val="single"/>
        </w:rPr>
        <w:t>Estate of Kevin Dizmang v. Sean Reed, a Colorado Springs Police Officer and Nick Fischer, a Colorado Springs Paramedic</w:t>
      </w:r>
      <w:r w:rsidRPr="00CA2B3F">
        <w:rPr>
          <w:rFonts w:ascii="Times New Roman" w:hAnsi="Times New Roman"/>
          <w:sz w:val="24"/>
          <w:szCs w:val="24"/>
        </w:rPr>
        <w:t xml:space="preserve">, United States District Court Judge Charlotte N. Sweeney, U.S. District Court for District of Colorado, granted motions to dismiss the paramedic and the police officer.  The paramedic was on a three-person crisis response team (CRT) with a police officer and a licensed clinician.  The paramedic tackled the mental patient to prevent him walking back into the street and then render care. Both the paramedic and the police officer have qualified immunity.  </w:t>
      </w:r>
      <w:hyperlink r:id="rId2142" w:history="1">
        <w:r w:rsidRPr="00CA2B3F">
          <w:rPr>
            <w:rStyle w:val="Hyperlink"/>
            <w:rFonts w:ascii="Times New Roman" w:hAnsi="Times New Roman"/>
            <w:sz w:val="24"/>
            <w:szCs w:val="24"/>
          </w:rPr>
          <w:t>https://storage.courtlistener.com/recap/gov.uscourts.cod.231472/gov.uscourts.cod.231472.63.0.pdf</w:t>
        </w:r>
      </w:hyperlink>
      <w:r w:rsidRPr="00CA2B3F">
        <w:rPr>
          <w:rFonts w:ascii="Times New Roman" w:hAnsi="Times New Roman"/>
          <w:sz w:val="24"/>
          <w:szCs w:val="24"/>
        </w:rPr>
        <w:t xml:space="preserve"> </w:t>
      </w:r>
    </w:p>
    <w:p w14:paraId="79FB090C"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 xml:space="preserve">The Court described facts:  </w:t>
      </w:r>
    </w:p>
    <w:p w14:paraId="2E9708A6" w14:textId="77777777" w:rsidR="00062DA4" w:rsidRPr="00CA2B3F" w:rsidRDefault="00062DA4" w:rsidP="00062DA4">
      <w:pPr>
        <w:pStyle w:val="NoSpacing"/>
        <w:rPr>
          <w:rFonts w:ascii="Times New Roman" w:hAnsi="Times New Roman"/>
          <w:sz w:val="24"/>
          <w:szCs w:val="24"/>
        </w:rPr>
      </w:pPr>
    </w:p>
    <w:p w14:paraId="7333825F" w14:textId="77777777" w:rsidR="00062DA4" w:rsidRPr="00CA2B3F" w:rsidRDefault="00062DA4" w:rsidP="00062DA4">
      <w:pPr>
        <w:pStyle w:val="NoSpacing"/>
        <w:ind w:left="720"/>
        <w:rPr>
          <w:rFonts w:ascii="Times New Roman" w:hAnsi="Times New Roman"/>
          <w:sz w:val="24"/>
          <w:szCs w:val="24"/>
        </w:rPr>
      </w:pPr>
      <w:proofErr w:type="gramStart"/>
      <w:r w:rsidRPr="00CA2B3F">
        <w:rPr>
          <w:rFonts w:ascii="Times New Roman" w:hAnsi="Times New Roman"/>
          <w:sz w:val="24"/>
          <w:szCs w:val="24"/>
        </w:rPr>
        <w:t>“[Officer]Reed</w:t>
      </w:r>
      <w:proofErr w:type="gramEnd"/>
      <w:r w:rsidRPr="00CA2B3F">
        <w:rPr>
          <w:rFonts w:ascii="Times New Roman" w:hAnsi="Times New Roman"/>
          <w:sz w:val="24"/>
          <w:szCs w:val="24"/>
        </w:rPr>
        <w:t xml:space="preserve"> approached Mr. Dizmang, who walked back into traffic and bent over with his hands on his knees, displaying respiratory distress. Id. Mr. Dizmang said, ‘HELP me,’ then walked farther into the road…. Mr. Dizmang repeatedly </w:t>
      </w:r>
      <w:proofErr w:type="gramStart"/>
      <w:r w:rsidRPr="00CA2B3F">
        <w:rPr>
          <w:rFonts w:ascii="Times New Roman" w:hAnsi="Times New Roman"/>
          <w:sz w:val="24"/>
          <w:szCs w:val="24"/>
        </w:rPr>
        <w:t>said ‘please’</w:t>
      </w:r>
      <w:proofErr w:type="gramEnd"/>
      <w:r w:rsidRPr="00CA2B3F">
        <w:rPr>
          <w:rFonts w:ascii="Times New Roman" w:hAnsi="Times New Roman"/>
          <w:sz w:val="24"/>
          <w:szCs w:val="24"/>
        </w:rPr>
        <w:t xml:space="preserve"> and walked in circles in a ‘clearly </w:t>
      </w:r>
      <w:proofErr w:type="gramStart"/>
      <w:r w:rsidRPr="00CA2B3F">
        <w:rPr>
          <w:rFonts w:ascii="Times New Roman" w:hAnsi="Times New Roman"/>
          <w:sz w:val="24"/>
          <w:szCs w:val="24"/>
        </w:rPr>
        <w:t>confused</w:t>
      </w:r>
      <w:proofErr w:type="gramEnd"/>
      <w:r w:rsidRPr="00CA2B3F">
        <w:rPr>
          <w:rFonts w:ascii="Times New Roman" w:hAnsi="Times New Roman"/>
          <w:sz w:val="24"/>
          <w:szCs w:val="24"/>
        </w:rPr>
        <w:t xml:space="preserve"> and panicked state.’ … Defendant Reed then told Mr. Dizmang, </w:t>
      </w:r>
      <w:proofErr w:type="gramStart"/>
      <w:r w:rsidRPr="00CA2B3F">
        <w:rPr>
          <w:rFonts w:ascii="Times New Roman" w:hAnsi="Times New Roman"/>
          <w:sz w:val="24"/>
          <w:szCs w:val="24"/>
        </w:rPr>
        <w:t>‘sit</w:t>
      </w:r>
      <w:proofErr w:type="gramEnd"/>
      <w:r w:rsidRPr="00CA2B3F">
        <w:rPr>
          <w:rFonts w:ascii="Times New Roman" w:hAnsi="Times New Roman"/>
          <w:sz w:val="24"/>
          <w:szCs w:val="24"/>
        </w:rPr>
        <w:t xml:space="preserve"> down or put your hands behind your back.’</w:t>
      </w:r>
    </w:p>
    <w:p w14:paraId="1A1D6DF3" w14:textId="77777777" w:rsidR="00062DA4" w:rsidRPr="00CA2B3F" w:rsidRDefault="00062DA4" w:rsidP="00062DA4">
      <w:pPr>
        <w:pStyle w:val="NoSpacing"/>
        <w:rPr>
          <w:rFonts w:ascii="Times New Roman" w:hAnsi="Times New Roman"/>
          <w:sz w:val="24"/>
          <w:szCs w:val="24"/>
        </w:rPr>
      </w:pPr>
    </w:p>
    <w:p w14:paraId="760FCB6E"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56FC3817"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The parties </w:t>
      </w:r>
      <w:proofErr w:type="gramStart"/>
      <w:r w:rsidRPr="00CA2B3F">
        <w:rPr>
          <w:rFonts w:ascii="Times New Roman" w:hAnsi="Times New Roman"/>
          <w:sz w:val="24"/>
          <w:szCs w:val="24"/>
        </w:rPr>
        <w:t>dispute</w:t>
      </w:r>
      <w:proofErr w:type="gramEnd"/>
      <w:r w:rsidRPr="00CA2B3F">
        <w:rPr>
          <w:rFonts w:ascii="Times New Roman" w:hAnsi="Times New Roman"/>
          <w:sz w:val="24"/>
          <w:szCs w:val="24"/>
        </w:rPr>
        <w:t xml:space="preserve"> what happened next. [Court now references the plaintiff’s complaint.] Plaintiff alleges that, as Mr. Dizmang stood in the tree line approximately 20 feet from the road, [Paramedic] Fischer ‘suddenly and violently tackled’ him to the ground…. As alleged, Defendant Fischer put Mr. Dizmang into a chokehold by wrapping his arms around his neck while Defendant Reed handcuffed Mr. Dizmang’s hands behind his back….  Defendant Fischer maintained this hold for approximately 30 seconds…. Mr. Dizmang stopped moving.</w:t>
      </w:r>
    </w:p>
    <w:p w14:paraId="2500B162" w14:textId="77777777" w:rsidR="00062DA4" w:rsidRPr="00CA2B3F" w:rsidRDefault="00062DA4" w:rsidP="00062DA4">
      <w:pPr>
        <w:pStyle w:val="NoSpacing"/>
        <w:rPr>
          <w:rFonts w:ascii="Times New Roman" w:hAnsi="Times New Roman"/>
          <w:sz w:val="24"/>
          <w:szCs w:val="24"/>
        </w:rPr>
      </w:pPr>
    </w:p>
    <w:p w14:paraId="26A1CD14"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then rolled Mr. Dizmang face down on the ground, with his</w:t>
      </w:r>
    </w:p>
    <w:p w14:paraId="28452EE4"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hands on the back of Mr. Dizmang’s neck and ‘driving his body weight downward, [Mr. Dizmang’s] neck and face into the ground. … Plaintiff alleges that Defendant Fischer stayed in that position, ‘with his body weight on [Mr. Dizmang’s] neck and back,’ for approximately forty-five seconds….Defendants Fischer and Reed then rolled Mr. Dizmang into a seated position….  At that point, Mr. Dizmang still had a faint pulse, but he was struggling to breathe and was unresponsive to questions and commands…. A bystander repeatedly told Mr. Dizmang, </w:t>
      </w:r>
      <w:proofErr w:type="gramStart"/>
      <w:r w:rsidRPr="00CA2B3F">
        <w:rPr>
          <w:rFonts w:ascii="Times New Roman" w:hAnsi="Times New Roman"/>
          <w:sz w:val="24"/>
          <w:szCs w:val="24"/>
        </w:rPr>
        <w:t>‘talk</w:t>
      </w:r>
      <w:proofErr w:type="gramEnd"/>
      <w:r w:rsidRPr="00CA2B3F">
        <w:rPr>
          <w:rFonts w:ascii="Times New Roman" w:hAnsi="Times New Roman"/>
          <w:sz w:val="24"/>
          <w:szCs w:val="24"/>
        </w:rPr>
        <w:t xml:space="preserve"> to me,’ but he never responded…. Defendant Reed called for an ambulance…. Defendants Reed and Fischer left Mr. Dizmang in handcuffs…. He remained handcuffed for nearly seven minutes before he was loaded onto a stretcher and moved into an ambulance…. As alleged,</w:t>
      </w:r>
    </w:p>
    <w:p w14:paraId="0124A44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took no actions to provide medical care or resuscitate Mr. Dizmang….</w:t>
      </w:r>
    </w:p>
    <w:p w14:paraId="75BE8A7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commented, ‘He’s not aspirating’ and ‘I want to attempt a</w:t>
      </w:r>
    </w:p>
    <w:p w14:paraId="29D2AED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nasal airway.’ …Medical staff attempted resuscitation measures once Mr. Dizmang was</w:t>
      </w:r>
    </w:p>
    <w:p w14:paraId="1289D7D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transferred to the ambulance…. Once at the hospital, emergency room staff also attempted life-saving measures, but Mr. Dizmang was pronounced dead at 6:16 p.m.”</w:t>
      </w:r>
    </w:p>
    <w:p w14:paraId="4D2AA20F" w14:textId="77777777" w:rsidR="00062DA4" w:rsidRPr="00CA2B3F" w:rsidRDefault="00062DA4" w:rsidP="00062DA4">
      <w:pPr>
        <w:pStyle w:val="NoSpacing"/>
        <w:rPr>
          <w:rFonts w:ascii="Times New Roman" w:hAnsi="Times New Roman"/>
          <w:sz w:val="24"/>
          <w:szCs w:val="24"/>
        </w:rPr>
      </w:pPr>
    </w:p>
    <w:p w14:paraId="7797E772"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The Court held:</w:t>
      </w:r>
    </w:p>
    <w:p w14:paraId="199703FE" w14:textId="77777777" w:rsidR="00062DA4" w:rsidRPr="00CA2B3F" w:rsidRDefault="00062DA4" w:rsidP="00062DA4">
      <w:pPr>
        <w:pStyle w:val="NoSpacing"/>
        <w:rPr>
          <w:rFonts w:ascii="Times New Roman" w:hAnsi="Times New Roman"/>
          <w:sz w:val="24"/>
          <w:szCs w:val="24"/>
        </w:rPr>
      </w:pPr>
    </w:p>
    <w:p w14:paraId="5180D940"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“Here, based on the allegations in the complaint, it appears that [Paramedic] Fischer</w:t>
      </w:r>
    </w:p>
    <w:p w14:paraId="571B4C02"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was not attempting to arrest Mr. Dizmang or otherwise enforce the law; he was trying to</w:t>
      </w:r>
    </w:p>
    <w:p w14:paraId="4D3FC7CF"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subdue him so that he could be properly treated…. </w:t>
      </w:r>
      <w:proofErr w:type="gramStart"/>
      <w:r w:rsidRPr="00CA2B3F">
        <w:rPr>
          <w:rFonts w:ascii="Times New Roman" w:hAnsi="Times New Roman"/>
          <w:sz w:val="24"/>
          <w:szCs w:val="24"/>
        </w:rPr>
        <w:t>It is clear that Mr. Dizmang</w:t>
      </w:r>
      <w:proofErr w:type="gramEnd"/>
      <w:r w:rsidRPr="00CA2B3F">
        <w:rPr>
          <w:rFonts w:ascii="Times New Roman" w:hAnsi="Times New Roman"/>
          <w:sz w:val="24"/>
          <w:szCs w:val="24"/>
        </w:rPr>
        <w:t xml:space="preserve"> needed </w:t>
      </w:r>
    </w:p>
    <w:p w14:paraId="22E13D4C"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treatment and that Defendant Fischer was attempting to fulfill his role as a treatment provider.</w:t>
      </w:r>
    </w:p>
    <w:p w14:paraId="35F95212" w14:textId="77777777" w:rsidR="00062DA4" w:rsidRPr="00CA2B3F" w:rsidRDefault="00062DA4" w:rsidP="00062DA4">
      <w:pPr>
        <w:pStyle w:val="NoSpacing"/>
        <w:rPr>
          <w:rFonts w:ascii="Times New Roman" w:hAnsi="Times New Roman"/>
          <w:sz w:val="24"/>
          <w:szCs w:val="24"/>
        </w:rPr>
      </w:pPr>
    </w:p>
    <w:p w14:paraId="38CE3EA0"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5B4561E8"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Even if a paramedic’s attempt to provide treatment amounts to a violation of a constitutional right to be free from </w:t>
      </w:r>
      <w:proofErr w:type="gramStart"/>
      <w:r w:rsidRPr="00CA2B3F">
        <w:rPr>
          <w:rFonts w:ascii="Times New Roman" w:hAnsi="Times New Roman"/>
          <w:sz w:val="24"/>
          <w:szCs w:val="24"/>
        </w:rPr>
        <w:t>an unlawful</w:t>
      </w:r>
      <w:proofErr w:type="gramEnd"/>
      <w:r w:rsidRPr="00CA2B3F">
        <w:rPr>
          <w:rFonts w:ascii="Times New Roman" w:hAnsi="Times New Roman"/>
          <w:sz w:val="24"/>
          <w:szCs w:val="24"/>
        </w:rPr>
        <w:t xml:space="preserve"> seizure, the right was not clearly established. The Tenth Circuit has not opined on whether or in what circumstances a paramedic can effectuate a Fourth Amendment seizure…. Thus, the Court grants Defendant Fischer’s motion to dismiss and declines to exercise supplemental jurisdiction over state law claims brought here.</w:t>
      </w:r>
    </w:p>
    <w:p w14:paraId="0FC9DCB2" w14:textId="77777777" w:rsidR="00062DA4" w:rsidRPr="00CA2B3F" w:rsidRDefault="00062DA4" w:rsidP="00062DA4">
      <w:pPr>
        <w:pStyle w:val="NoSpacing"/>
        <w:rPr>
          <w:rFonts w:ascii="Times New Roman" w:hAnsi="Times New Roman"/>
          <w:sz w:val="24"/>
          <w:szCs w:val="24"/>
        </w:rPr>
      </w:pPr>
    </w:p>
    <w:p w14:paraId="4E246338"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64FF2AEA" w14:textId="77777777" w:rsidR="00062DA4" w:rsidRPr="00CA2B3F" w:rsidRDefault="00062DA4" w:rsidP="00062DA4">
      <w:pPr>
        <w:pStyle w:val="NoSpacing"/>
        <w:rPr>
          <w:rFonts w:ascii="Times New Roman" w:hAnsi="Times New Roman"/>
          <w:sz w:val="24"/>
          <w:szCs w:val="24"/>
        </w:rPr>
      </w:pPr>
    </w:p>
    <w:p w14:paraId="2C1E4F77"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[Police Officer] Reed is also entitled to qualified immunity based on the second prong. Plaintiff has not pointed to any Tenth Circuit precedent establishing a Fourth Amendment claim based on a failure to intervene in a paramedic’s alleged use of excessive </w:t>
      </w:r>
      <w:proofErr w:type="gramStart"/>
      <w:r w:rsidRPr="00CA2B3F">
        <w:rPr>
          <w:rFonts w:ascii="Times New Roman" w:hAnsi="Times New Roman"/>
          <w:sz w:val="24"/>
          <w:szCs w:val="24"/>
        </w:rPr>
        <w:t>force.”</w:t>
      </w:r>
      <w:proofErr w:type="gramEnd"/>
    </w:p>
    <w:p w14:paraId="21DB56C2" w14:textId="77777777" w:rsidR="00062DA4" w:rsidRPr="00CA2B3F" w:rsidRDefault="00062DA4" w:rsidP="00062DA4">
      <w:pPr>
        <w:pStyle w:val="NoSpacing"/>
        <w:rPr>
          <w:rFonts w:ascii="Times New Roman" w:hAnsi="Times New Roman"/>
          <w:sz w:val="24"/>
          <w:szCs w:val="24"/>
        </w:rPr>
      </w:pPr>
    </w:p>
    <w:p w14:paraId="769C11BC" w14:textId="0AE82026" w:rsidR="00062DA4" w:rsidRPr="00CA2B3F" w:rsidRDefault="00062DA4" w:rsidP="00062DA4">
      <w:pPr>
        <w:rPr>
          <w:rFonts w:ascii="Times New Roman" w:hAnsi="Times New Roman"/>
          <w:b/>
          <w:bCs/>
          <w:sz w:val="24"/>
          <w:szCs w:val="24"/>
        </w:rPr>
      </w:pPr>
      <w:r w:rsidRPr="00CA2B3F">
        <w:rPr>
          <w:rFonts w:ascii="Times New Roman" w:hAnsi="Times New Roman"/>
          <w:b/>
          <w:sz w:val="24"/>
          <w:szCs w:val="24"/>
        </w:rPr>
        <w:t xml:space="preserve">Legal Lesson Learned:  Critical Response Teams are a wonderful community asset; when subduing a mental </w:t>
      </w:r>
      <w:proofErr w:type="gramStart"/>
      <w:r w:rsidRPr="00CA2B3F">
        <w:rPr>
          <w:rFonts w:ascii="Times New Roman" w:hAnsi="Times New Roman"/>
          <w:b/>
          <w:sz w:val="24"/>
          <w:szCs w:val="24"/>
        </w:rPr>
        <w:t>patient</w:t>
      </w:r>
      <w:proofErr w:type="gramEnd"/>
      <w:r w:rsidRPr="00CA2B3F">
        <w:rPr>
          <w:rFonts w:ascii="Times New Roman" w:hAnsi="Times New Roman"/>
          <w:b/>
          <w:sz w:val="24"/>
          <w:szCs w:val="24"/>
        </w:rPr>
        <w:t xml:space="preserve"> it is helpful to have a member of the team videotape the conduct</w:t>
      </w:r>
      <w:r w:rsidR="008226AC">
        <w:rPr>
          <w:rFonts w:ascii="Times New Roman" w:hAnsi="Times New Roman"/>
          <w:b/>
          <w:sz w:val="24"/>
          <w:szCs w:val="24"/>
        </w:rPr>
        <w:t>.</w:t>
      </w:r>
    </w:p>
    <w:p w14:paraId="07AFF63B" w14:textId="77777777" w:rsidR="00D85226" w:rsidRDefault="00D85226" w:rsidP="002B1283">
      <w:pPr>
        <w:rPr>
          <w:rFonts w:ascii="Arial Black" w:hAnsi="Arial Black"/>
          <w:b/>
          <w:bCs/>
          <w:sz w:val="28"/>
          <w:szCs w:val="28"/>
        </w:rPr>
      </w:pPr>
    </w:p>
    <w:p w14:paraId="7302C3F2" w14:textId="04B3FB33" w:rsidR="003D0C4C" w:rsidRDefault="003D0C4C" w:rsidP="002B1283">
      <w:pPr>
        <w:rPr>
          <w:rFonts w:ascii="Arial Black" w:hAnsi="Arial Black"/>
          <w:b/>
          <w:bCs/>
          <w:sz w:val="28"/>
          <w:szCs w:val="28"/>
        </w:rPr>
      </w:pPr>
      <w:r>
        <w:rPr>
          <w:rFonts w:ascii="Arial Black" w:hAnsi="Arial Black"/>
          <w:b/>
          <w:bCs/>
          <w:sz w:val="28"/>
          <w:szCs w:val="28"/>
        </w:rPr>
        <w:t>13-20</w:t>
      </w:r>
      <w:r w:rsidR="00524647">
        <w:rPr>
          <w:rFonts w:ascii="Arial Black" w:hAnsi="Arial Black"/>
          <w:b/>
          <w:bCs/>
          <w:sz w:val="28"/>
          <w:szCs w:val="28"/>
        </w:rPr>
        <w:t>7</w:t>
      </w:r>
    </w:p>
    <w:p w14:paraId="1CDF1CA2" w14:textId="286C4C04" w:rsidR="003D0C4C" w:rsidRPr="000B7F2C" w:rsidRDefault="003D0C4C" w:rsidP="003D0C4C">
      <w:pPr>
        <w:rPr>
          <w:rFonts w:ascii="Arial Black" w:hAnsi="Arial Black"/>
          <w:sz w:val="28"/>
          <w:szCs w:val="28"/>
        </w:rPr>
      </w:pPr>
      <w:r w:rsidRPr="000B7F2C">
        <w:rPr>
          <w:rFonts w:ascii="Arial Black" w:hAnsi="Arial Black"/>
          <w:sz w:val="28"/>
          <w:szCs w:val="28"/>
        </w:rPr>
        <w:t xml:space="preserve">CA: </w:t>
      </w:r>
      <w:r w:rsidR="004D6D56">
        <w:rPr>
          <w:rFonts w:ascii="Arial Black" w:hAnsi="Arial Black"/>
          <w:sz w:val="28"/>
          <w:szCs w:val="28"/>
        </w:rPr>
        <w:t xml:space="preserve">HEAD INJURY – NO C-COLLAR </w:t>
      </w:r>
      <w:r w:rsidR="00DB1A8A">
        <w:rPr>
          <w:rFonts w:ascii="Arial Black" w:hAnsi="Arial Black"/>
          <w:sz w:val="28"/>
          <w:szCs w:val="28"/>
        </w:rPr>
        <w:t xml:space="preserve">/ </w:t>
      </w:r>
      <w:r w:rsidR="009A6126">
        <w:rPr>
          <w:rFonts w:ascii="Arial Black" w:hAnsi="Arial Black"/>
          <w:sz w:val="28"/>
          <w:szCs w:val="28"/>
        </w:rPr>
        <w:t xml:space="preserve">PT </w:t>
      </w:r>
      <w:r w:rsidR="00110BB4">
        <w:rPr>
          <w:rFonts w:ascii="Arial Black" w:hAnsi="Arial Black"/>
          <w:sz w:val="28"/>
          <w:szCs w:val="28"/>
        </w:rPr>
        <w:t xml:space="preserve">NOW </w:t>
      </w:r>
      <w:r w:rsidRPr="000B7F2C">
        <w:rPr>
          <w:rFonts w:ascii="Arial Black" w:hAnsi="Arial Black"/>
          <w:sz w:val="28"/>
          <w:szCs w:val="28"/>
        </w:rPr>
        <w:t>QUAD</w:t>
      </w:r>
      <w:r w:rsidR="00110BB4">
        <w:rPr>
          <w:rFonts w:ascii="Arial Black" w:hAnsi="Arial Black"/>
          <w:sz w:val="28"/>
          <w:szCs w:val="28"/>
        </w:rPr>
        <w:t xml:space="preserve"> </w:t>
      </w:r>
      <w:r w:rsidR="008226AC">
        <w:rPr>
          <w:rFonts w:ascii="Arial Black" w:hAnsi="Arial Black"/>
          <w:sz w:val="28"/>
          <w:szCs w:val="28"/>
        </w:rPr>
        <w:t>–</w:t>
      </w:r>
      <w:r w:rsidR="00110BB4">
        <w:rPr>
          <w:rFonts w:ascii="Arial Black" w:hAnsi="Arial Black"/>
          <w:sz w:val="28"/>
          <w:szCs w:val="28"/>
        </w:rPr>
        <w:t xml:space="preserve"> </w:t>
      </w:r>
      <w:r w:rsidR="008226AC">
        <w:rPr>
          <w:rFonts w:ascii="Arial Black" w:hAnsi="Arial Black"/>
          <w:sz w:val="28"/>
          <w:szCs w:val="28"/>
        </w:rPr>
        <w:t xml:space="preserve">IMMUNITY - </w:t>
      </w:r>
      <w:r w:rsidR="00110BB4">
        <w:rPr>
          <w:rFonts w:ascii="Arial Black" w:hAnsi="Arial Black"/>
          <w:sz w:val="28"/>
          <w:szCs w:val="28"/>
        </w:rPr>
        <w:t>NOT GROSS NEG</w:t>
      </w:r>
      <w:r w:rsidRPr="000B7F2C">
        <w:rPr>
          <w:rFonts w:ascii="Arial Black" w:hAnsi="Arial Black"/>
          <w:sz w:val="28"/>
          <w:szCs w:val="28"/>
        </w:rPr>
        <w:t xml:space="preserve"> </w:t>
      </w:r>
    </w:p>
    <w:p w14:paraId="365A377D" w14:textId="77777777" w:rsidR="003D0C4C" w:rsidRPr="003D0C4C" w:rsidRDefault="003D0C4C" w:rsidP="003D0C4C">
      <w:pPr>
        <w:rPr>
          <w:rFonts w:ascii="Times New Roman" w:hAnsi="Times New Roman"/>
          <w:sz w:val="24"/>
          <w:szCs w:val="24"/>
        </w:rPr>
      </w:pPr>
      <w:r w:rsidRPr="003D0C4C">
        <w:rPr>
          <w:rFonts w:ascii="Times New Roman" w:hAnsi="Times New Roman"/>
          <w:sz w:val="24"/>
          <w:szCs w:val="24"/>
        </w:rPr>
        <w:t xml:space="preserve">On Feb. 20, 2025, in </w:t>
      </w:r>
      <w:r w:rsidRPr="003D0C4C">
        <w:rPr>
          <w:rFonts w:ascii="Times New Roman" w:hAnsi="Times New Roman"/>
          <w:sz w:val="24"/>
          <w:szCs w:val="24"/>
          <w:u w:val="single"/>
        </w:rPr>
        <w:t xml:space="preserve">Manju </w:t>
      </w:r>
      <w:proofErr w:type="spellStart"/>
      <w:r w:rsidRPr="003D0C4C">
        <w:rPr>
          <w:rFonts w:ascii="Times New Roman" w:hAnsi="Times New Roman"/>
          <w:sz w:val="24"/>
          <w:szCs w:val="24"/>
          <w:u w:val="single"/>
        </w:rPr>
        <w:t>Devga</w:t>
      </w:r>
      <w:proofErr w:type="spellEnd"/>
      <w:r w:rsidRPr="003D0C4C">
        <w:rPr>
          <w:rFonts w:ascii="Times New Roman" w:hAnsi="Times New Roman"/>
          <w:sz w:val="24"/>
          <w:szCs w:val="24"/>
          <w:u w:val="single"/>
        </w:rPr>
        <w:t xml:space="preserve"> v. City of Santa Monica</w:t>
      </w:r>
      <w:r w:rsidRPr="003D0C4C">
        <w:rPr>
          <w:rFonts w:ascii="Times New Roman" w:hAnsi="Times New Roman"/>
          <w:sz w:val="24"/>
          <w:szCs w:val="24"/>
        </w:rPr>
        <w:t xml:space="preserve">, the California Court of Appeals, Second District, Division Two, held (2 to 1; unpublished decision) that trial court properly dismissed the lawsuit.  The conduct of EMS may have been negligent and led to the permanent injuries of the patient (a Medical Doctor), as they ignored the warnings from his wife (another Medical Doctor), but under California law the EMS and the City are immune from liability unless proof of “bad faith or gross negligence.” </w:t>
      </w:r>
      <w:hyperlink r:id="rId2143" w:history="1">
        <w:r w:rsidRPr="003D0C4C">
          <w:rPr>
            <w:rStyle w:val="Hyperlink"/>
            <w:rFonts w:ascii="Times New Roman" w:hAnsi="Times New Roman"/>
            <w:sz w:val="24"/>
            <w:szCs w:val="24"/>
          </w:rPr>
          <w:t>https://www4.courts.ca.gov/opinions/nonpub/B332479.PDF</w:t>
        </w:r>
      </w:hyperlink>
      <w:r w:rsidRPr="003D0C4C">
        <w:rPr>
          <w:rFonts w:ascii="Times New Roman" w:hAnsi="Times New Roman"/>
          <w:sz w:val="24"/>
          <w:szCs w:val="24"/>
        </w:rPr>
        <w:t xml:space="preserve"> </w:t>
      </w:r>
    </w:p>
    <w:p w14:paraId="3E0F7893"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xml:space="preserve">Court described facts: </w:t>
      </w:r>
    </w:p>
    <w:p w14:paraId="729161C9" w14:textId="77777777" w:rsidR="003D0C4C" w:rsidRPr="003D0C4C" w:rsidRDefault="003D0C4C" w:rsidP="003D0C4C">
      <w:pPr>
        <w:pStyle w:val="NoSpacing"/>
        <w:rPr>
          <w:rFonts w:ascii="Times New Roman" w:hAnsi="Times New Roman"/>
          <w:sz w:val="24"/>
          <w:szCs w:val="24"/>
        </w:rPr>
      </w:pPr>
    </w:p>
    <w:p w14:paraId="4E6159AC"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and Baldev were medical doctors. On April 27,2022, Baldev fell at home, hitting his head on the bathtub. Manju found her husband on the bathroom floor and called 911. She did not move him because she was concerned that he may have sustained orthopedic injury or brain trauma. </w:t>
      </w:r>
    </w:p>
    <w:p w14:paraId="07BA0CDB" w14:textId="77777777" w:rsidR="003D0C4C" w:rsidRPr="003D0C4C" w:rsidRDefault="003D0C4C" w:rsidP="003D0C4C">
      <w:pPr>
        <w:pStyle w:val="NoSpacing"/>
        <w:rPr>
          <w:rFonts w:ascii="Times New Roman" w:hAnsi="Times New Roman"/>
          <w:sz w:val="24"/>
          <w:szCs w:val="24"/>
        </w:rPr>
      </w:pPr>
    </w:p>
    <w:p w14:paraId="078BDA3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informed City’s emergency medical technicians (EMT’s) that she is a doctor, and that they needed to protect and stabilize Baldev’s neck before moving him because he had hit his head. They replied that they ‘are professionals and you need to let us do our job,’ and pushed her out of the bathroom. </w:t>
      </w:r>
    </w:p>
    <w:p w14:paraId="1B3F53B6" w14:textId="77777777" w:rsidR="003D0C4C" w:rsidRPr="003D0C4C" w:rsidRDefault="003D0C4C" w:rsidP="003D0C4C">
      <w:pPr>
        <w:pStyle w:val="NoSpacing"/>
        <w:rPr>
          <w:rFonts w:ascii="Times New Roman" w:hAnsi="Times New Roman"/>
          <w:sz w:val="24"/>
          <w:szCs w:val="24"/>
        </w:rPr>
      </w:pPr>
    </w:p>
    <w:p w14:paraId="677B3DE3"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witnessed the EMT’s actions through the doorway. They did not put a cervical spine (C-spine) immobilization collar on Baldev, or take precautions to protect his spine, contrary to Manju’s warning. They moved him, had him sit up, and tried to get him to stand. They opined that ‘he looks ok’ ” and was able to move his extremities. They sat him on a chair. </w:t>
      </w:r>
    </w:p>
    <w:p w14:paraId="7E022652" w14:textId="77777777" w:rsidR="003D0C4C" w:rsidRPr="003D0C4C" w:rsidRDefault="003D0C4C" w:rsidP="003D0C4C">
      <w:pPr>
        <w:pStyle w:val="NoSpacing"/>
        <w:rPr>
          <w:rFonts w:ascii="Times New Roman" w:hAnsi="Times New Roman"/>
          <w:sz w:val="24"/>
          <w:szCs w:val="24"/>
        </w:rPr>
      </w:pPr>
    </w:p>
    <w:p w14:paraId="3385177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When EMT’s placed Baldev on a gurney, he voiced concern that no precautions were being taken to protect his spine from further injury. Nonetheless, they put the gurney in an upright position and moved him downstairs ‘with a bouncing, jarring motion with each step.’ Baldev expressed discomfort and distress, and Manju protested. The EMT’s put Baldev in a supine position to load him in the ambulance, further jarring him. He complained of </w:t>
      </w:r>
      <w:proofErr w:type="gramStart"/>
      <w:r w:rsidRPr="003D0C4C">
        <w:rPr>
          <w:rFonts w:ascii="Times New Roman" w:hAnsi="Times New Roman"/>
          <w:sz w:val="24"/>
          <w:szCs w:val="24"/>
        </w:rPr>
        <w:t>pain, and</w:t>
      </w:r>
      <w:proofErr w:type="gramEnd"/>
      <w:r w:rsidRPr="003D0C4C">
        <w:rPr>
          <w:rFonts w:ascii="Times New Roman" w:hAnsi="Times New Roman"/>
          <w:sz w:val="24"/>
          <w:szCs w:val="24"/>
        </w:rPr>
        <w:t xml:space="preserve"> asked the EMT’s to place </w:t>
      </w:r>
      <w:proofErr w:type="gramStart"/>
      <w:r w:rsidRPr="003D0C4C">
        <w:rPr>
          <w:rFonts w:ascii="Times New Roman" w:hAnsi="Times New Roman"/>
          <w:sz w:val="24"/>
          <w:szCs w:val="24"/>
        </w:rPr>
        <w:t>supports</w:t>
      </w:r>
      <w:proofErr w:type="gramEnd"/>
      <w:r w:rsidRPr="003D0C4C">
        <w:rPr>
          <w:rFonts w:ascii="Times New Roman" w:hAnsi="Times New Roman"/>
          <w:sz w:val="24"/>
          <w:szCs w:val="24"/>
        </w:rPr>
        <w:t xml:space="preserve"> on him for safety when the vehicle’s movement jostled him while it drove down the road. They ignored his requests. </w:t>
      </w:r>
    </w:p>
    <w:p w14:paraId="13E21DDB" w14:textId="77777777" w:rsidR="003D0C4C" w:rsidRPr="003D0C4C" w:rsidRDefault="003D0C4C" w:rsidP="003D0C4C">
      <w:pPr>
        <w:pStyle w:val="NoSpacing"/>
        <w:rPr>
          <w:rFonts w:ascii="Times New Roman" w:hAnsi="Times New Roman"/>
          <w:sz w:val="24"/>
          <w:szCs w:val="24"/>
        </w:rPr>
      </w:pPr>
    </w:p>
    <w:p w14:paraId="64A00411"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Baldev was evaluated at a nearby hospital. A CT scan showed a serious neck injury. Physicians placed a C-spine collar on him and transferred him to UCLA for emergency surgery for a spinal cord injury. He became quadriplegic after his fall.”</w:t>
      </w:r>
    </w:p>
    <w:p w14:paraId="69C8F224" w14:textId="77777777" w:rsidR="003D0C4C" w:rsidRPr="003D0C4C" w:rsidRDefault="003D0C4C" w:rsidP="003D0C4C">
      <w:pPr>
        <w:pStyle w:val="NoSpacing"/>
        <w:rPr>
          <w:rFonts w:ascii="Times New Roman" w:hAnsi="Times New Roman"/>
          <w:sz w:val="24"/>
          <w:szCs w:val="24"/>
        </w:rPr>
      </w:pPr>
    </w:p>
    <w:p w14:paraId="5CFE337B"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xml:space="preserve">The Court held: </w:t>
      </w:r>
    </w:p>
    <w:p w14:paraId="1F09DECF" w14:textId="77777777" w:rsidR="003D0C4C" w:rsidRPr="003D0C4C" w:rsidRDefault="003D0C4C" w:rsidP="003D0C4C">
      <w:pPr>
        <w:pStyle w:val="NoSpacing"/>
        <w:rPr>
          <w:rFonts w:ascii="Times New Roman" w:hAnsi="Times New Roman"/>
          <w:sz w:val="24"/>
          <w:szCs w:val="24"/>
        </w:rPr>
      </w:pPr>
    </w:p>
    <w:p w14:paraId="58B57EF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“The issue is whether EMT’s efforts were grossly negligent. However, the pleading does not show an ‘extreme departure’ from the standard of care. Baldev was awake, alert, talking, moving his extremities, and able to sit in a chair. If EMT’s undertake triage measures and arrange transport to a hospital, it is immaterial if their acts or omissions are alleged to be below the standard of care: Efforts that are ultimately unavailing are not</w:t>
      </w:r>
    </w:p>
    <w:p w14:paraId="45D4CCC8"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an ‘extreme departure’ from the standard of care.</w:t>
      </w:r>
    </w:p>
    <w:p w14:paraId="0FC0E296" w14:textId="77777777" w:rsidR="003D0C4C" w:rsidRPr="003D0C4C" w:rsidRDefault="003D0C4C" w:rsidP="003D0C4C">
      <w:pPr>
        <w:pStyle w:val="NoSpacing"/>
        <w:rPr>
          <w:rFonts w:ascii="Times New Roman" w:hAnsi="Times New Roman"/>
          <w:sz w:val="24"/>
          <w:szCs w:val="24"/>
        </w:rPr>
      </w:pPr>
    </w:p>
    <w:p w14:paraId="75C1445E"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w:t>
      </w:r>
    </w:p>
    <w:p w14:paraId="1268CCFA" w14:textId="77777777" w:rsidR="003D0C4C" w:rsidRPr="003D0C4C" w:rsidRDefault="003D0C4C" w:rsidP="003D0C4C">
      <w:pPr>
        <w:pStyle w:val="NoSpacing"/>
        <w:rPr>
          <w:rFonts w:ascii="Times New Roman" w:hAnsi="Times New Roman"/>
          <w:sz w:val="24"/>
          <w:szCs w:val="24"/>
        </w:rPr>
      </w:pPr>
    </w:p>
    <w:p w14:paraId="598C4BFD"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The facts here show ordinary negligence, not gross negligence. The Legislature has chosen to give immunity to EMT’s who must make rapid decisions without the benefit of a testing device, such as a CT scanner, that would show </w:t>
      </w:r>
      <w:proofErr w:type="gramStart"/>
      <w:r w:rsidRPr="003D0C4C">
        <w:rPr>
          <w:rFonts w:ascii="Times New Roman" w:hAnsi="Times New Roman"/>
          <w:sz w:val="24"/>
          <w:szCs w:val="24"/>
        </w:rPr>
        <w:t>injury.”</w:t>
      </w:r>
      <w:proofErr w:type="gramEnd"/>
    </w:p>
    <w:p w14:paraId="764C1973" w14:textId="77777777" w:rsidR="003D0C4C" w:rsidRPr="003D0C4C" w:rsidRDefault="003D0C4C" w:rsidP="003D0C4C">
      <w:pPr>
        <w:pStyle w:val="NoSpacing"/>
        <w:rPr>
          <w:rFonts w:ascii="Times New Roman" w:hAnsi="Times New Roman"/>
          <w:sz w:val="24"/>
          <w:szCs w:val="24"/>
        </w:rPr>
      </w:pPr>
    </w:p>
    <w:p w14:paraId="60794A3C" w14:textId="77777777" w:rsidR="003D0C4C" w:rsidRPr="003D0C4C" w:rsidRDefault="003D0C4C" w:rsidP="003D0C4C">
      <w:pPr>
        <w:pStyle w:val="NoSpacing"/>
        <w:rPr>
          <w:rFonts w:ascii="Times New Roman" w:hAnsi="Times New Roman"/>
          <w:bCs/>
          <w:sz w:val="24"/>
          <w:szCs w:val="24"/>
        </w:rPr>
      </w:pPr>
      <w:r w:rsidRPr="003D0C4C">
        <w:rPr>
          <w:rFonts w:ascii="Times New Roman" w:hAnsi="Times New Roman"/>
          <w:sz w:val="24"/>
          <w:szCs w:val="24"/>
        </w:rPr>
        <w:t>DISSENT:</w:t>
      </w:r>
    </w:p>
    <w:p w14:paraId="2821CA92" w14:textId="77777777" w:rsidR="003D0C4C" w:rsidRPr="003D0C4C" w:rsidRDefault="003D0C4C" w:rsidP="003D0C4C">
      <w:pPr>
        <w:pStyle w:val="NoSpacing"/>
        <w:rPr>
          <w:rFonts w:ascii="Times New Roman" w:hAnsi="Times New Roman"/>
          <w:sz w:val="24"/>
          <w:szCs w:val="24"/>
        </w:rPr>
      </w:pPr>
    </w:p>
    <w:p w14:paraId="336516A9"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“Despite this information, the EMTs failed to ‘put a cervical spine (‘c-spine’) immobilization collar’ on Baldev or ‘otherwise secure and protect his spine’ before proceeding to sit him up. The EMTs moved Baldev to a gurney, converted the gurney into a sitting position, and brought it down two flights of stairs ‘with a bouncing, jarring[] motion with each step.’ ‘With each jarring movement[,]’ Baldev indicated his </w:t>
      </w:r>
      <w:proofErr w:type="gramStart"/>
      <w:r w:rsidRPr="003D0C4C">
        <w:rPr>
          <w:rFonts w:ascii="Times New Roman" w:hAnsi="Times New Roman"/>
          <w:sz w:val="24"/>
          <w:szCs w:val="24"/>
        </w:rPr>
        <w:t>distress, ‘</w:t>
      </w:r>
      <w:proofErr w:type="gramEnd"/>
      <w:r w:rsidRPr="003D0C4C">
        <w:rPr>
          <w:rFonts w:ascii="Times New Roman" w:hAnsi="Times New Roman"/>
          <w:sz w:val="24"/>
          <w:szCs w:val="24"/>
        </w:rPr>
        <w:t>informing the [EMTs] of [the] discomfort the movements were causing him.’</w:t>
      </w:r>
    </w:p>
    <w:p w14:paraId="48232025"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Once loaded into the ambulance, Baldev again informed the EMTs of his discomfort, including spinal pain, and requested support as he continued to be jarred by the motion of the ambulance. These requests were ignored. As a result, Baldev was rendered quadriplegic.</w:t>
      </w:r>
    </w:p>
    <w:p w14:paraId="0695019D" w14:textId="77777777" w:rsidR="003D0C4C" w:rsidRPr="003D0C4C" w:rsidRDefault="003D0C4C" w:rsidP="003D0C4C">
      <w:pPr>
        <w:pStyle w:val="NoSpacing"/>
        <w:rPr>
          <w:rFonts w:ascii="Times New Roman" w:hAnsi="Times New Roman"/>
          <w:sz w:val="24"/>
          <w:szCs w:val="24"/>
        </w:rPr>
      </w:pPr>
    </w:p>
    <w:p w14:paraId="1D6B932B"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w:t>
      </w:r>
    </w:p>
    <w:p w14:paraId="42F995C3"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Because, liberally construed, the complaint here states a cause of action for gross negligence, it cannot be said at this early juncture that the City of Santa Monica is entitled to section 1799.107 immunity as a matter of law…. I proffer that appellant has sufficiently pled gross negligence or, at a minimum, should be permitted an opportunity</w:t>
      </w:r>
    </w:p>
    <w:p w14:paraId="7BF33C11"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to amend the complaint.”</w:t>
      </w:r>
    </w:p>
    <w:p w14:paraId="3D545D66" w14:textId="77777777" w:rsidR="003D0C4C" w:rsidRPr="003D0C4C" w:rsidRDefault="003D0C4C" w:rsidP="003D0C4C">
      <w:pPr>
        <w:pStyle w:val="NoSpacing"/>
        <w:rPr>
          <w:rFonts w:ascii="Times New Roman" w:hAnsi="Times New Roman"/>
          <w:sz w:val="24"/>
          <w:szCs w:val="24"/>
        </w:rPr>
      </w:pPr>
    </w:p>
    <w:p w14:paraId="688FEA65" w14:textId="77777777" w:rsidR="003D0C4C" w:rsidRPr="003D0C4C" w:rsidRDefault="003D0C4C" w:rsidP="003D0C4C">
      <w:pPr>
        <w:pStyle w:val="NoSpacing"/>
        <w:rPr>
          <w:rFonts w:ascii="Times New Roman" w:hAnsi="Times New Roman"/>
          <w:b/>
          <w:bCs/>
          <w:sz w:val="24"/>
          <w:szCs w:val="24"/>
        </w:rPr>
      </w:pPr>
      <w:r w:rsidRPr="003D0C4C">
        <w:rPr>
          <w:rFonts w:ascii="Times New Roman" w:hAnsi="Times New Roman"/>
          <w:b/>
          <w:sz w:val="24"/>
          <w:szCs w:val="24"/>
        </w:rPr>
        <w:t xml:space="preserve">Legal Lesson Learned: These are very disturbing facts; please share with your personnel in continuing education sessions. </w:t>
      </w:r>
    </w:p>
    <w:p w14:paraId="74200472" w14:textId="77777777" w:rsidR="003D0C4C" w:rsidRPr="003D0C4C" w:rsidRDefault="003D0C4C" w:rsidP="003D0C4C">
      <w:pPr>
        <w:pStyle w:val="NoSpacing"/>
        <w:rPr>
          <w:rFonts w:ascii="Times New Roman" w:hAnsi="Times New Roman"/>
          <w:b/>
          <w:bCs/>
          <w:sz w:val="24"/>
          <w:szCs w:val="24"/>
        </w:rPr>
      </w:pPr>
      <w:r w:rsidRPr="003D0C4C">
        <w:rPr>
          <w:rFonts w:ascii="Times New Roman" w:hAnsi="Times New Roman"/>
          <w:b/>
          <w:sz w:val="24"/>
          <w:szCs w:val="24"/>
        </w:rPr>
        <w:tab/>
      </w:r>
    </w:p>
    <w:p w14:paraId="0B578EDD"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Note: California code – Section 1799.106 </w:t>
      </w:r>
      <w:hyperlink r:id="rId2144" w:history="1">
        <w:r w:rsidRPr="003D0C4C">
          <w:rPr>
            <w:rStyle w:val="Hyperlink"/>
            <w:rFonts w:ascii="Times New Roman" w:hAnsi="Times New Roman"/>
            <w:sz w:val="24"/>
            <w:szCs w:val="24"/>
          </w:rPr>
          <w:t>https://leginfo.legislature.ca.gov/faces/codes_displaySection.xhtml?sectionNum=1799.106.&amp;lawCode=HSC</w:t>
        </w:r>
      </w:hyperlink>
      <w:r w:rsidRPr="003D0C4C">
        <w:rPr>
          <w:rFonts w:ascii="Times New Roman" w:hAnsi="Times New Roman"/>
          <w:sz w:val="24"/>
          <w:szCs w:val="24"/>
        </w:rPr>
        <w:t xml:space="preserve"> </w:t>
      </w:r>
    </w:p>
    <w:p w14:paraId="39107B18"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“CHAPTER 9. Liability Limitation</w:t>
      </w:r>
    </w:p>
    <w:p w14:paraId="484F1425"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w:t>
      </w:r>
    </w:p>
    <w:p w14:paraId="1CC4B3C6"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1799.106.  </w:t>
      </w:r>
    </w:p>
    <w:p w14:paraId="41316EB9"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(a) In addition to the provisions of Section 1799.104 of this code, Section 2727.5 of the </w:t>
      </w:r>
      <w:r w:rsidRPr="003D0C4C">
        <w:rPr>
          <w:rFonts w:ascii="Times New Roman" w:hAnsi="Times New Roman"/>
          <w:sz w:val="24"/>
          <w:szCs w:val="24"/>
        </w:rPr>
        <w:tab/>
        <w:t xml:space="preserve"> and Professions Code, and Section 1714.2 of the Civil Code, and in order to encourage the provision of emergency medical services by firefighters, police officers or other law enforcement officers, EMT-I, EMT-II, EMT-P, or registered nurses, a firefighter, police officer or other law enforcement officer, EMT-I, EMT-II, EMT-P, or registered nurse who renders emergency medical services at the scene of an emergency or during an emergency air or ground ambulance transport shall only be liable in civil damages for acts or omissions performed in a grossly negligent manner or acts or omissions not performed in good faith. A public agency employing such a firefighter, police officer or other law enforcement officer, EMT-I, EMT-II, EMT-P, or registered nurse shall not be liable for civil damages if the firefighter, police officer or other law enforcement officer, EMT-I, EMT-II, EMT-P, or registered nurse is not liable.</w:t>
      </w:r>
    </w:p>
    <w:p w14:paraId="2071871A"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 For purposes of this section, “registered nurse” means a registered nurse trained in emergency medical services and licensed pursuant to Chapter 6 (commencing with Section 2700) of Division 2 of the Business and Professions Code.”</w:t>
      </w:r>
    </w:p>
    <w:p w14:paraId="60CC68D8" w14:textId="77777777" w:rsidR="003D0C4C" w:rsidRDefault="003D0C4C" w:rsidP="002B1283">
      <w:pPr>
        <w:rPr>
          <w:rFonts w:ascii="Arial Black" w:hAnsi="Arial Black"/>
          <w:b/>
          <w:bCs/>
          <w:sz w:val="28"/>
          <w:szCs w:val="28"/>
        </w:rPr>
      </w:pPr>
    </w:p>
    <w:p w14:paraId="55692033" w14:textId="77777777" w:rsidR="00D85226" w:rsidRPr="00F607C4" w:rsidRDefault="00D85226" w:rsidP="002B1283">
      <w:pPr>
        <w:rPr>
          <w:rFonts w:ascii="Times New Roman" w:hAnsi="Times New Roman"/>
          <w:b/>
          <w:bCs/>
          <w:sz w:val="24"/>
          <w:szCs w:val="24"/>
        </w:rPr>
      </w:pPr>
    </w:p>
    <w:p w14:paraId="247E06E4" w14:textId="0E6869D7" w:rsidR="006D52C4" w:rsidRDefault="006D52C4" w:rsidP="002B1283">
      <w:pPr>
        <w:rPr>
          <w:rFonts w:ascii="Arial Black" w:hAnsi="Arial Black"/>
          <w:b/>
          <w:bCs/>
          <w:sz w:val="28"/>
          <w:szCs w:val="28"/>
        </w:rPr>
      </w:pPr>
      <w:r>
        <w:rPr>
          <w:rFonts w:ascii="Arial Black" w:hAnsi="Arial Black"/>
          <w:b/>
          <w:bCs/>
          <w:sz w:val="28"/>
          <w:szCs w:val="28"/>
        </w:rPr>
        <w:t>13-206</w:t>
      </w:r>
    </w:p>
    <w:p w14:paraId="0F901C86" w14:textId="56BE8AC9" w:rsidR="00C35503" w:rsidRPr="000B7F2C" w:rsidRDefault="00C35503" w:rsidP="00C35503">
      <w:pPr>
        <w:rPr>
          <w:rFonts w:ascii="Arial Black" w:hAnsi="Arial Black"/>
          <w:b/>
          <w:sz w:val="28"/>
          <w:szCs w:val="28"/>
        </w:rPr>
      </w:pPr>
      <w:r w:rsidRPr="000B7F2C">
        <w:rPr>
          <w:rFonts w:ascii="Arial Black" w:hAnsi="Arial Black"/>
          <w:b/>
          <w:sz w:val="28"/>
          <w:szCs w:val="28"/>
        </w:rPr>
        <w:t>DE: EMT REPORT - WOMAN INTERFERED</w:t>
      </w:r>
      <w:r w:rsidR="00004638">
        <w:rPr>
          <w:rFonts w:ascii="Arial Black" w:hAnsi="Arial Black"/>
          <w:b/>
          <w:sz w:val="28"/>
          <w:szCs w:val="28"/>
        </w:rPr>
        <w:t xml:space="preserve"> WITH EMS</w:t>
      </w:r>
      <w:r>
        <w:rPr>
          <w:rFonts w:ascii="Arial Black" w:hAnsi="Arial Black"/>
          <w:b/>
          <w:sz w:val="28"/>
          <w:szCs w:val="28"/>
        </w:rPr>
        <w:t xml:space="preserve"> – 2-YR STATUTE</w:t>
      </w:r>
      <w:r w:rsidRPr="000B7F2C">
        <w:rPr>
          <w:rFonts w:ascii="Arial Black" w:hAnsi="Arial Black"/>
          <w:b/>
          <w:sz w:val="28"/>
          <w:szCs w:val="28"/>
        </w:rPr>
        <w:t xml:space="preserve"> </w:t>
      </w:r>
    </w:p>
    <w:p w14:paraId="26A2E77F" w14:textId="77777777" w:rsidR="00C35503" w:rsidRPr="00C35503" w:rsidRDefault="00C35503" w:rsidP="00C35503">
      <w:pPr>
        <w:rPr>
          <w:rFonts w:ascii="Times New Roman" w:hAnsi="Times New Roman"/>
          <w:sz w:val="24"/>
          <w:szCs w:val="24"/>
        </w:rPr>
      </w:pPr>
      <w:r w:rsidRPr="00C35503">
        <w:rPr>
          <w:rFonts w:ascii="Times New Roman" w:hAnsi="Times New Roman"/>
          <w:sz w:val="24"/>
          <w:szCs w:val="24"/>
        </w:rPr>
        <w:t xml:space="preserve">On Feb. 10, 2025, in </w:t>
      </w:r>
      <w:r w:rsidRPr="00C35503">
        <w:rPr>
          <w:rFonts w:ascii="Times New Roman" w:hAnsi="Times New Roman"/>
          <w:sz w:val="24"/>
          <w:szCs w:val="24"/>
          <w:u w:val="single"/>
        </w:rPr>
        <w:t>Keisha Cappel and Alfonso Jones v. Aston Township Fire Department, et al</w:t>
      </w:r>
      <w:r w:rsidRPr="00C35503">
        <w:rPr>
          <w:rFonts w:ascii="Times New Roman" w:hAnsi="Times New Roman"/>
          <w:sz w:val="24"/>
          <w:szCs w:val="24"/>
        </w:rPr>
        <w:t xml:space="preserve">, United States District Court Judge John F. Murphy approved the settlement of $950,000.  “After apparently convincing Ms. Jones not to go to the hospital, the paramedics left the scene and inaccurately documented the encounter.” The contingency fee agreement distributes 33.3% of sums recovered after costs to counsel, totaling a fee of $303,504.96. “Following our review of the proposed settlement agreement, as required by Pennsylvania’s Probate, Estates, and Fiduciaries Code, we find the proposed settlement amount to be adequate, the allocation of proceeds to be reasonable, and the attorneys’ fees and costs to be reasonable.”  </w:t>
      </w:r>
      <w:hyperlink r:id="rId2145" w:history="1">
        <w:r w:rsidRPr="00C35503">
          <w:rPr>
            <w:rStyle w:val="Hyperlink"/>
            <w:rFonts w:ascii="Times New Roman" w:hAnsi="Times New Roman"/>
            <w:sz w:val="24"/>
            <w:szCs w:val="24"/>
          </w:rPr>
          <w:t>https://cases.justia.com/federal/district-courts/pennsylvania/paedce/2:2023cv00155/604825/106/0.pdf?ts=1739281859</w:t>
        </w:r>
      </w:hyperlink>
      <w:r w:rsidRPr="00C35503">
        <w:rPr>
          <w:rFonts w:ascii="Times New Roman" w:hAnsi="Times New Roman"/>
          <w:sz w:val="24"/>
          <w:szCs w:val="24"/>
        </w:rPr>
        <w:t xml:space="preserve"> </w:t>
      </w:r>
    </w:p>
    <w:p w14:paraId="5297AA0F" w14:textId="77777777" w:rsidR="00C35503" w:rsidRPr="00C35503" w:rsidRDefault="00C35503" w:rsidP="00C35503">
      <w:pPr>
        <w:pStyle w:val="NoSpacing"/>
        <w:rPr>
          <w:rFonts w:ascii="Times New Roman" w:hAnsi="Times New Roman"/>
          <w:sz w:val="24"/>
          <w:szCs w:val="24"/>
        </w:rPr>
      </w:pPr>
      <w:r w:rsidRPr="00C35503">
        <w:rPr>
          <w:rFonts w:ascii="Times New Roman" w:hAnsi="Times New Roman"/>
          <w:sz w:val="24"/>
          <w:szCs w:val="24"/>
        </w:rPr>
        <w:t>The Court wrote:</w:t>
      </w:r>
    </w:p>
    <w:p w14:paraId="1F63E0C3" w14:textId="77777777" w:rsidR="00C35503" w:rsidRPr="00C35503" w:rsidRDefault="00C35503" w:rsidP="00C35503">
      <w:pPr>
        <w:pStyle w:val="NoSpacing"/>
        <w:rPr>
          <w:rFonts w:ascii="Times New Roman" w:hAnsi="Times New Roman"/>
          <w:sz w:val="24"/>
          <w:szCs w:val="24"/>
        </w:rPr>
      </w:pPr>
    </w:p>
    <w:p w14:paraId="55B24E1D"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“This case involves the death of a woman, Tamika Jones. Ms. Jones’s family called 911</w:t>
      </w:r>
    </w:p>
    <w:p w14:paraId="346B8DFF"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 xml:space="preserve">for help because she was experiencing significant and concerning COVID-19 symptoms. Two teams of paramedics were sent, including an advanced team, but only one junior paramedic evaluated Ms. Jones. After apparently convincing Ms. Jones not to go to the hospital, the paramedics left the scene and inaccurately documented the encounter. Ms. Jones died the next day. </w:t>
      </w:r>
    </w:p>
    <w:p w14:paraId="1D3332DA" w14:textId="77777777" w:rsidR="00C35503" w:rsidRPr="00C35503" w:rsidRDefault="00C35503" w:rsidP="00C35503">
      <w:pPr>
        <w:pStyle w:val="NoSpacing"/>
        <w:rPr>
          <w:rFonts w:ascii="Times New Roman" w:hAnsi="Times New Roman"/>
          <w:sz w:val="24"/>
          <w:szCs w:val="24"/>
        </w:rPr>
      </w:pPr>
    </w:p>
    <w:p w14:paraId="5032860C"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t>
      </w:r>
    </w:p>
    <w:p w14:paraId="3D4D64AF" w14:textId="77777777" w:rsidR="00C35503" w:rsidRPr="00C35503" w:rsidRDefault="00C35503" w:rsidP="00C35503">
      <w:pPr>
        <w:pStyle w:val="NoSpacing"/>
        <w:rPr>
          <w:rFonts w:ascii="Times New Roman" w:hAnsi="Times New Roman"/>
          <w:sz w:val="24"/>
          <w:szCs w:val="24"/>
        </w:rPr>
      </w:pPr>
    </w:p>
    <w:p w14:paraId="5D1C5DBF"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 xml:space="preserve">On the evening of January 22, 2021, while at the home of her mother and father — </w:t>
      </w:r>
      <w:proofErr w:type="gramStart"/>
      <w:r w:rsidRPr="00C35503">
        <w:rPr>
          <w:rFonts w:ascii="Times New Roman" w:hAnsi="Times New Roman"/>
          <w:sz w:val="24"/>
          <w:szCs w:val="24"/>
        </w:rPr>
        <w:t>where</w:t>
      </w:r>
      <w:proofErr w:type="gramEnd"/>
    </w:p>
    <w:p w14:paraId="24454FDD"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she was living to help her mother who was battling cancer — Tamika Jones was struggling to breathe and could not walk….  Five days earlier, Ms. Jones’s father, Mr. Jones, had been hospitalized for symptoms related to COVID-19.</w:t>
      </w:r>
    </w:p>
    <w:p w14:paraId="1215A535" w14:textId="77777777" w:rsidR="00C35503" w:rsidRPr="00C35503" w:rsidRDefault="00C35503" w:rsidP="00C35503">
      <w:pPr>
        <w:pStyle w:val="NoSpacing"/>
        <w:rPr>
          <w:rFonts w:ascii="Times New Roman" w:hAnsi="Times New Roman"/>
          <w:sz w:val="24"/>
          <w:szCs w:val="24"/>
        </w:rPr>
      </w:pPr>
    </w:p>
    <w:p w14:paraId="636FA683"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t>
      </w:r>
    </w:p>
    <w:p w14:paraId="4D53DBA3"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The Aston Township Fire Department unit arrived first, and Marshall, a new EMT-B,</w:t>
      </w:r>
    </w:p>
    <w:p w14:paraId="251DD335"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went inside the home…. According to the complaint, Marshall ‘consciously disregarded</w:t>
      </w:r>
    </w:p>
    <w:p w14:paraId="043C6DAD"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 xml:space="preserve">two blood oxygen readings [of Ms. Jones] which Marshall himself stated would be nearly fatal’ and “instead of investigating further by checking vital signs, [] acted with deliberate indifference by halting his evaluation.’ … Marshall purportedly told </w:t>
      </w:r>
      <w:proofErr w:type="gramStart"/>
      <w:r w:rsidRPr="00C35503">
        <w:rPr>
          <w:rFonts w:ascii="Times New Roman" w:hAnsi="Times New Roman"/>
          <w:sz w:val="24"/>
          <w:szCs w:val="24"/>
        </w:rPr>
        <w:t>Ms. Jones</w:t>
      </w:r>
      <w:proofErr w:type="gramEnd"/>
      <w:r w:rsidRPr="00C35503">
        <w:rPr>
          <w:rFonts w:ascii="Times New Roman" w:hAnsi="Times New Roman"/>
          <w:sz w:val="24"/>
          <w:szCs w:val="24"/>
        </w:rPr>
        <w:t xml:space="preserve"> ‘I can take you to the hospital, but they will just bring you back home’ and added ‘I’d stay here. </w:t>
      </w:r>
      <w:proofErr w:type="gramStart"/>
      <w:r w:rsidRPr="00C35503">
        <w:rPr>
          <w:rFonts w:ascii="Times New Roman" w:hAnsi="Times New Roman"/>
          <w:sz w:val="24"/>
          <w:szCs w:val="24"/>
        </w:rPr>
        <w:t>They are</w:t>
      </w:r>
      <w:proofErr w:type="gramEnd"/>
      <w:r w:rsidRPr="00C35503">
        <w:rPr>
          <w:rFonts w:ascii="Times New Roman" w:hAnsi="Times New Roman"/>
          <w:sz w:val="24"/>
          <w:szCs w:val="24"/>
        </w:rPr>
        <w:t xml:space="preserve"> really wanting people to </w:t>
      </w:r>
      <w:proofErr w:type="gramStart"/>
      <w:r w:rsidRPr="00C35503">
        <w:rPr>
          <w:rFonts w:ascii="Times New Roman" w:hAnsi="Times New Roman"/>
          <w:sz w:val="24"/>
          <w:szCs w:val="24"/>
        </w:rPr>
        <w:t>stay</w:t>
      </w:r>
      <w:proofErr w:type="gramEnd"/>
      <w:r w:rsidRPr="00C35503">
        <w:rPr>
          <w:rFonts w:ascii="Times New Roman" w:hAnsi="Times New Roman"/>
          <w:sz w:val="24"/>
          <w:szCs w:val="24"/>
        </w:rPr>
        <w:t xml:space="preserve"> home. Your best chance is to stay here.’ … Before leaving Ms. Jones, Marshall did not get a signed refusal form or contact Medical Command, which is supposed to be ‘the final sign-off in deciding not to transport a patient.’ Meanwhile, Kisela, the more experienced EMT-B, ‘waived off’ the Advanced Life Support unit….The incident report completed by Marshall and Kisela indicated ‘No Patient Assessed.’ …Ms. Jones died the next day.”</w:t>
      </w:r>
    </w:p>
    <w:p w14:paraId="1D483C06" w14:textId="77777777" w:rsidR="00C35503" w:rsidRPr="00C35503" w:rsidRDefault="00C35503" w:rsidP="00C35503">
      <w:pPr>
        <w:pStyle w:val="NoSpacing"/>
        <w:rPr>
          <w:rFonts w:ascii="Times New Roman" w:hAnsi="Times New Roman"/>
          <w:sz w:val="24"/>
          <w:szCs w:val="24"/>
        </w:rPr>
      </w:pPr>
    </w:p>
    <w:p w14:paraId="7733722A" w14:textId="77777777" w:rsidR="00C35503" w:rsidRPr="00C35503" w:rsidRDefault="00C35503" w:rsidP="00C35503">
      <w:pPr>
        <w:pStyle w:val="NoSpacing"/>
        <w:rPr>
          <w:rFonts w:ascii="Times New Roman" w:hAnsi="Times New Roman"/>
          <w:b/>
          <w:bCs/>
          <w:sz w:val="24"/>
          <w:szCs w:val="24"/>
        </w:rPr>
      </w:pPr>
      <w:r w:rsidRPr="00C35503">
        <w:rPr>
          <w:rFonts w:ascii="Times New Roman" w:hAnsi="Times New Roman"/>
          <w:b/>
          <w:sz w:val="24"/>
          <w:szCs w:val="24"/>
        </w:rPr>
        <w:t xml:space="preserve">Legal Lesson Learned: Get a set of vitals and if no transported is indicated, obtain a signed patient refusal. </w:t>
      </w:r>
    </w:p>
    <w:p w14:paraId="1FB26D20" w14:textId="77777777" w:rsidR="006D52C4" w:rsidRPr="00C35503" w:rsidRDefault="006D52C4" w:rsidP="002B1283">
      <w:pPr>
        <w:rPr>
          <w:rFonts w:ascii="Times New Roman" w:hAnsi="Times New Roman"/>
          <w:b/>
          <w:bCs/>
          <w:sz w:val="24"/>
          <w:szCs w:val="24"/>
        </w:rPr>
      </w:pPr>
    </w:p>
    <w:p w14:paraId="7C09D5C4" w14:textId="77777777" w:rsidR="006D52C4" w:rsidRDefault="006D52C4" w:rsidP="002B1283">
      <w:pPr>
        <w:rPr>
          <w:rFonts w:ascii="Arial Black" w:hAnsi="Arial Black"/>
          <w:b/>
          <w:bCs/>
          <w:sz w:val="28"/>
          <w:szCs w:val="28"/>
        </w:rPr>
      </w:pPr>
    </w:p>
    <w:p w14:paraId="60C32DD2" w14:textId="1B1126CA" w:rsidR="00300506" w:rsidRDefault="00300506" w:rsidP="002B1283">
      <w:pPr>
        <w:rPr>
          <w:rFonts w:ascii="Arial Black" w:hAnsi="Arial Black"/>
          <w:b/>
          <w:bCs/>
          <w:sz w:val="28"/>
          <w:szCs w:val="28"/>
        </w:rPr>
      </w:pPr>
      <w:r>
        <w:rPr>
          <w:rFonts w:ascii="Arial Black" w:hAnsi="Arial Black"/>
          <w:b/>
          <w:bCs/>
          <w:sz w:val="28"/>
          <w:szCs w:val="28"/>
        </w:rPr>
        <w:t>13-205</w:t>
      </w:r>
    </w:p>
    <w:p w14:paraId="7CEDE818" w14:textId="689F7F76" w:rsidR="002270FF" w:rsidRPr="000B7F2C" w:rsidRDefault="002270FF" w:rsidP="002270FF">
      <w:pPr>
        <w:rPr>
          <w:rFonts w:ascii="Arial Black" w:hAnsi="Arial Black"/>
          <w:bCs/>
          <w:sz w:val="28"/>
          <w:szCs w:val="28"/>
        </w:rPr>
      </w:pPr>
      <w:r w:rsidRPr="000B7F2C">
        <w:rPr>
          <w:rFonts w:ascii="Arial Black" w:hAnsi="Arial Black"/>
          <w:sz w:val="28"/>
          <w:szCs w:val="28"/>
        </w:rPr>
        <w:t xml:space="preserve">MA: </w:t>
      </w:r>
      <w:r>
        <w:rPr>
          <w:rFonts w:ascii="Arial Black" w:hAnsi="Arial Black"/>
          <w:sz w:val="28"/>
          <w:szCs w:val="28"/>
        </w:rPr>
        <w:t xml:space="preserve">FIRED </w:t>
      </w:r>
      <w:r w:rsidR="00E56ACD">
        <w:rPr>
          <w:rFonts w:ascii="Arial Black" w:hAnsi="Arial Black"/>
          <w:sz w:val="28"/>
          <w:szCs w:val="28"/>
        </w:rPr>
        <w:t>–</w:t>
      </w:r>
      <w:r>
        <w:rPr>
          <w:rFonts w:ascii="Arial Black" w:hAnsi="Arial Black"/>
          <w:sz w:val="28"/>
          <w:szCs w:val="28"/>
        </w:rPr>
        <w:t xml:space="preserve"> </w:t>
      </w:r>
      <w:r w:rsidRPr="000B7F2C">
        <w:rPr>
          <w:rFonts w:ascii="Arial Black" w:hAnsi="Arial Black"/>
          <w:sz w:val="28"/>
          <w:szCs w:val="28"/>
        </w:rPr>
        <w:t>WHISTLEBLOWER</w:t>
      </w:r>
      <w:r w:rsidR="004B4BE8">
        <w:rPr>
          <w:rFonts w:ascii="Arial Black" w:hAnsi="Arial Black"/>
          <w:sz w:val="28"/>
          <w:szCs w:val="28"/>
        </w:rPr>
        <w:t xml:space="preserve"> CASE PROCEED</w:t>
      </w:r>
      <w:r w:rsidR="00E56ACD">
        <w:rPr>
          <w:rFonts w:ascii="Arial Black" w:hAnsi="Arial Black"/>
          <w:sz w:val="28"/>
          <w:szCs w:val="28"/>
        </w:rPr>
        <w:t xml:space="preserve"> </w:t>
      </w:r>
      <w:r w:rsidR="004B4BE8">
        <w:rPr>
          <w:rFonts w:ascii="Arial Black" w:hAnsi="Arial Black"/>
          <w:sz w:val="28"/>
          <w:szCs w:val="28"/>
        </w:rPr>
        <w:t>–</w:t>
      </w:r>
      <w:r w:rsidR="00E56ACD">
        <w:rPr>
          <w:rFonts w:ascii="Arial Black" w:hAnsi="Arial Black"/>
          <w:sz w:val="28"/>
          <w:szCs w:val="28"/>
        </w:rPr>
        <w:t xml:space="preserve"> </w:t>
      </w:r>
      <w:r w:rsidR="004B4BE8">
        <w:rPr>
          <w:rFonts w:ascii="Arial Black" w:hAnsi="Arial Black"/>
          <w:sz w:val="28"/>
          <w:szCs w:val="28"/>
        </w:rPr>
        <w:t>PHOTO PT INJURY</w:t>
      </w:r>
    </w:p>
    <w:p w14:paraId="4DEDE99D" w14:textId="775005AD" w:rsidR="002270FF" w:rsidRPr="002270FF" w:rsidRDefault="002270FF" w:rsidP="002270FF">
      <w:pPr>
        <w:rPr>
          <w:rFonts w:ascii="Times New Roman" w:hAnsi="Times New Roman"/>
          <w:bCs/>
          <w:sz w:val="24"/>
          <w:szCs w:val="24"/>
        </w:rPr>
      </w:pPr>
      <w:r w:rsidRPr="002270FF">
        <w:rPr>
          <w:rFonts w:ascii="Times New Roman" w:hAnsi="Times New Roman"/>
          <w:sz w:val="24"/>
          <w:szCs w:val="24"/>
        </w:rPr>
        <w:t xml:space="preserve">On Jan. 30, 2025, in </w:t>
      </w:r>
      <w:r w:rsidRPr="002270FF">
        <w:rPr>
          <w:rFonts w:ascii="Times New Roman" w:hAnsi="Times New Roman"/>
          <w:sz w:val="24"/>
          <w:szCs w:val="24"/>
          <w:u w:val="single"/>
        </w:rPr>
        <w:t>Nial Luu v. Falon Service, Inc</w:t>
      </w:r>
      <w:r w:rsidRPr="002270FF">
        <w:rPr>
          <w:rFonts w:ascii="Times New Roman" w:hAnsi="Times New Roman"/>
          <w:sz w:val="24"/>
          <w:szCs w:val="24"/>
        </w:rPr>
        <w:t xml:space="preserve">., the Appeals Court of Massachusetts held (3 to 0) that trial court improperly dismissed the lawsuit.  On Nov. 30, 2019, the EMT was driving ambulance transporting patent from Encompass Health Rehabilitation Hospital experiencing an altered mental status to a hospital.   “Upon arrival at the hospital, the plaintiff became aware of a new hemorrhage wound on the patient's arm. The plaintiff questioned his partner about how the injury resulted, but the partner </w:t>
      </w:r>
      <w:proofErr w:type="gramStart"/>
      <w:r w:rsidRPr="002270FF">
        <w:rPr>
          <w:rFonts w:ascii="Times New Roman" w:hAnsi="Times New Roman"/>
          <w:sz w:val="24"/>
          <w:szCs w:val="24"/>
        </w:rPr>
        <w:t>was not able to</w:t>
      </w:r>
      <w:proofErr w:type="gramEnd"/>
      <w:r w:rsidRPr="002270FF">
        <w:rPr>
          <w:rFonts w:ascii="Times New Roman" w:hAnsi="Times New Roman"/>
          <w:sz w:val="24"/>
          <w:szCs w:val="24"/>
        </w:rPr>
        <w:t xml:space="preserve"> provide an explanation. Believing that the injury was a result of his partner's misconduct and neglect of the patient, the plaintiff used his personal cell phone to take photographs and one video recording of the patient's arm injury prior to taking the patient into the hospital.”   After reporting this to his </w:t>
      </w:r>
      <w:proofErr w:type="gramStart"/>
      <w:r w:rsidRPr="002270FF">
        <w:rPr>
          <w:rFonts w:ascii="Times New Roman" w:hAnsi="Times New Roman"/>
          <w:sz w:val="24"/>
          <w:szCs w:val="24"/>
        </w:rPr>
        <w:t>Supervisor</w:t>
      </w:r>
      <w:proofErr w:type="gramEnd"/>
      <w:r w:rsidRPr="002270FF">
        <w:rPr>
          <w:rFonts w:ascii="Times New Roman" w:hAnsi="Times New Roman"/>
          <w:sz w:val="24"/>
          <w:szCs w:val="24"/>
        </w:rPr>
        <w:t xml:space="preserve"> and sending her a copy of the photo, his job duties now included sweeping, mopping, and sanitizing the station and paramedic trucks.  On Jan. 8, </w:t>
      </w:r>
      <w:proofErr w:type="gramStart"/>
      <w:r w:rsidRPr="002270FF">
        <w:rPr>
          <w:rFonts w:ascii="Times New Roman" w:hAnsi="Times New Roman"/>
          <w:sz w:val="24"/>
          <w:szCs w:val="24"/>
        </w:rPr>
        <w:t>2020</w:t>
      </w:r>
      <w:proofErr w:type="gramEnd"/>
      <w:r w:rsidRPr="002270FF">
        <w:rPr>
          <w:rFonts w:ascii="Times New Roman" w:hAnsi="Times New Roman"/>
          <w:sz w:val="24"/>
          <w:szCs w:val="24"/>
        </w:rPr>
        <w:t xml:space="preserve"> he was told to delete the photo in meeting with Vice-President, Human Resources Director, and Senior Vice-President. Instead, on Jan. 14, </w:t>
      </w:r>
      <w:proofErr w:type="gramStart"/>
      <w:r w:rsidRPr="002270FF">
        <w:rPr>
          <w:rFonts w:ascii="Times New Roman" w:hAnsi="Times New Roman"/>
          <w:sz w:val="24"/>
          <w:szCs w:val="24"/>
        </w:rPr>
        <w:t>2020</w:t>
      </w:r>
      <w:proofErr w:type="gramEnd"/>
      <w:r w:rsidRPr="002270FF">
        <w:rPr>
          <w:rFonts w:ascii="Times New Roman" w:hAnsi="Times New Roman"/>
          <w:sz w:val="24"/>
          <w:szCs w:val="24"/>
        </w:rPr>
        <w:t xml:space="preserve"> he made report to the State Office of Emergency Medical Services – he was fired on Jan. 17 for not deleting the photo.</w:t>
      </w:r>
      <w:r w:rsidR="00956215">
        <w:rPr>
          <w:rFonts w:ascii="Times New Roman" w:hAnsi="Times New Roman"/>
          <w:sz w:val="24"/>
          <w:szCs w:val="24"/>
        </w:rPr>
        <w:t xml:space="preserve"> </w:t>
      </w:r>
      <w:hyperlink r:id="rId2146" w:history="1">
        <w:r w:rsidR="00956215" w:rsidRPr="000F3B38">
          <w:rPr>
            <w:rStyle w:val="Hyperlink"/>
            <w:rFonts w:ascii="Times New Roman" w:hAnsi="Times New Roman"/>
            <w:sz w:val="24"/>
            <w:szCs w:val="24"/>
          </w:rPr>
          <w:t>https://caselaw.findlaw.com/court/ma-court-of-appeals/116890923.html</w:t>
        </w:r>
      </w:hyperlink>
      <w:r w:rsidR="00956215">
        <w:rPr>
          <w:rFonts w:ascii="Times New Roman" w:hAnsi="Times New Roman"/>
          <w:sz w:val="24"/>
          <w:szCs w:val="24"/>
        </w:rPr>
        <w:t xml:space="preserve"> </w:t>
      </w:r>
    </w:p>
    <w:p w14:paraId="3B28007B" w14:textId="77777777" w:rsidR="002270FF" w:rsidRPr="002270FF" w:rsidRDefault="002270FF" w:rsidP="002270FF">
      <w:pPr>
        <w:rPr>
          <w:rFonts w:ascii="Times New Roman" w:hAnsi="Times New Roman"/>
          <w:bCs/>
          <w:sz w:val="24"/>
          <w:szCs w:val="24"/>
        </w:rPr>
      </w:pPr>
      <w:r w:rsidRPr="002270FF">
        <w:rPr>
          <w:rFonts w:ascii="Times New Roman" w:hAnsi="Times New Roman"/>
          <w:sz w:val="24"/>
          <w:szCs w:val="24"/>
        </w:rPr>
        <w:t>The Court wrote:</w:t>
      </w:r>
    </w:p>
    <w:p w14:paraId="08A73D5D" w14:textId="77777777" w:rsidR="002270FF" w:rsidRPr="002270FF" w:rsidRDefault="002270FF" w:rsidP="002270FF">
      <w:pPr>
        <w:ind w:left="720"/>
        <w:rPr>
          <w:rFonts w:ascii="Times New Roman" w:hAnsi="Times New Roman"/>
          <w:sz w:val="24"/>
          <w:szCs w:val="24"/>
        </w:rPr>
      </w:pPr>
      <w:r w:rsidRPr="002270FF">
        <w:rPr>
          <w:rFonts w:ascii="Times New Roman" w:hAnsi="Times New Roman"/>
          <w:sz w:val="24"/>
          <w:szCs w:val="24"/>
        </w:rPr>
        <w:t xml:space="preserve">“Concluding that </w:t>
      </w:r>
      <w:hyperlink r:id="rId2147" w:history="1">
        <w:r w:rsidRPr="002270FF">
          <w:rPr>
            <w:rStyle w:val="Hyperlink"/>
            <w:rFonts w:ascii="Times New Roman" w:hAnsi="Times New Roman"/>
            <w:sz w:val="24"/>
            <w:szCs w:val="24"/>
          </w:rPr>
          <w:t>G. L. c. 149, § 187 (</w:t>
        </w:r>
        <w:r w:rsidRPr="002270FF">
          <w:rPr>
            <w:rStyle w:val="Hyperlink"/>
            <w:rFonts w:ascii="Times New Roman" w:hAnsi="Times New Roman"/>
            <w:i/>
            <w:iCs/>
            <w:sz w:val="24"/>
            <w:szCs w:val="24"/>
          </w:rPr>
          <w:t>b</w:t>
        </w:r>
        <w:r w:rsidRPr="002270FF">
          <w:rPr>
            <w:rStyle w:val="Hyperlink"/>
            <w:rFonts w:ascii="Times New Roman" w:hAnsi="Times New Roman"/>
            <w:sz w:val="24"/>
            <w:szCs w:val="24"/>
          </w:rPr>
          <w:t>)</w:t>
        </w:r>
      </w:hyperlink>
      <w:r w:rsidRPr="002270FF">
        <w:rPr>
          <w:rFonts w:ascii="Times New Roman" w:hAnsi="Times New Roman"/>
          <w:sz w:val="24"/>
          <w:szCs w:val="24"/>
        </w:rPr>
        <w:t>, prohibits retaliation by an ambulance service against an EMT employed by it for reporting medical misconduct to the government, we reverse the dismissal of the whistleblower claim.</w:t>
      </w:r>
    </w:p>
    <w:p w14:paraId="12E9C1A0" w14:textId="77777777" w:rsidR="002270FF" w:rsidRPr="002270FF" w:rsidRDefault="002270FF" w:rsidP="002270FF">
      <w:pPr>
        <w:ind w:firstLine="720"/>
        <w:rPr>
          <w:rFonts w:ascii="Times New Roman" w:hAnsi="Times New Roman"/>
          <w:sz w:val="24"/>
          <w:szCs w:val="24"/>
        </w:rPr>
      </w:pPr>
      <w:r w:rsidRPr="002270FF">
        <w:rPr>
          <w:rFonts w:ascii="Times New Roman" w:hAnsi="Times New Roman"/>
          <w:sz w:val="24"/>
          <w:szCs w:val="24"/>
        </w:rPr>
        <w:t>***</w:t>
      </w:r>
    </w:p>
    <w:p w14:paraId="2CB5CA61" w14:textId="77777777" w:rsidR="002270FF" w:rsidRPr="002270FF" w:rsidRDefault="002270FF" w:rsidP="002270FF">
      <w:pPr>
        <w:ind w:left="720"/>
        <w:rPr>
          <w:rFonts w:ascii="Times New Roman" w:hAnsi="Times New Roman"/>
          <w:sz w:val="24"/>
          <w:szCs w:val="24"/>
        </w:rPr>
      </w:pPr>
      <w:r w:rsidRPr="002270FF">
        <w:rPr>
          <w:rFonts w:ascii="Times New Roman" w:hAnsi="Times New Roman"/>
          <w:sz w:val="24"/>
          <w:szCs w:val="24"/>
        </w:rPr>
        <w:t xml:space="preserve">The plaintiff here falls squarely within ‘any other health care provider who performs or has performed health care related services for and under the control of a health care facility for care-related services.’ </w:t>
      </w:r>
      <w:hyperlink r:id="rId2148" w:history="1">
        <w:r w:rsidRPr="002270FF">
          <w:rPr>
            <w:rStyle w:val="Hyperlink"/>
            <w:rFonts w:ascii="Times New Roman" w:hAnsi="Times New Roman"/>
            <w:sz w:val="24"/>
            <w:szCs w:val="24"/>
          </w:rPr>
          <w:t>G. L. c. 149, § 187 (</w:t>
        </w:r>
        <w:r w:rsidRPr="002270FF">
          <w:rPr>
            <w:rStyle w:val="Hyperlink"/>
            <w:rFonts w:ascii="Times New Roman" w:hAnsi="Times New Roman"/>
            <w:i/>
            <w:iCs/>
            <w:sz w:val="24"/>
            <w:szCs w:val="24"/>
          </w:rPr>
          <w:t>a</w:t>
        </w:r>
        <w:r w:rsidRPr="002270FF">
          <w:rPr>
            <w:rStyle w:val="Hyperlink"/>
            <w:rFonts w:ascii="Times New Roman" w:hAnsi="Times New Roman"/>
            <w:sz w:val="24"/>
            <w:szCs w:val="24"/>
          </w:rPr>
          <w:t>)</w:t>
        </w:r>
      </w:hyperlink>
      <w:r w:rsidRPr="002270FF">
        <w:rPr>
          <w:rFonts w:ascii="Times New Roman" w:hAnsi="Times New Roman"/>
          <w:sz w:val="24"/>
          <w:szCs w:val="24"/>
        </w:rPr>
        <w:t xml:space="preserve">. As an EMT employed by Fallon, the plaintiff performed care-related services for and under the control of Fallon, a health care facility, including driving an ambulance and providing patient care in transport. During the incident in question, the plaintiff responded to a call at a rehabilitation hospital for a patient experiencing a medical emergency. The plaintiff was responsible for driving the ambulance as his partner provided medical care to the patient in the vehicle. In each of these tasks, the plaintiff interacted directly with the patient, who required immediate health care service. This falls within the patient care that </w:t>
      </w:r>
      <w:hyperlink r:id="rId2149" w:history="1">
        <w:r w:rsidRPr="002270FF">
          <w:rPr>
            <w:rStyle w:val="Hyperlink"/>
            <w:rFonts w:ascii="Times New Roman" w:hAnsi="Times New Roman"/>
            <w:sz w:val="24"/>
            <w:szCs w:val="24"/>
          </w:rPr>
          <w:t>G. L. c. 149, § 187</w:t>
        </w:r>
      </w:hyperlink>
      <w:r w:rsidRPr="002270FF">
        <w:rPr>
          <w:rFonts w:ascii="Times New Roman" w:hAnsi="Times New Roman"/>
          <w:sz w:val="24"/>
          <w:szCs w:val="24"/>
        </w:rPr>
        <w:t>, was designed to safeguard.”</w:t>
      </w:r>
    </w:p>
    <w:p w14:paraId="5521A801" w14:textId="6A20C893" w:rsidR="002270FF" w:rsidRPr="002270FF" w:rsidRDefault="002270FF" w:rsidP="002270FF">
      <w:pPr>
        <w:rPr>
          <w:rFonts w:ascii="Times New Roman" w:hAnsi="Times New Roman"/>
          <w:b/>
          <w:bCs/>
          <w:sz w:val="24"/>
          <w:szCs w:val="24"/>
        </w:rPr>
      </w:pPr>
      <w:r w:rsidRPr="002270FF">
        <w:rPr>
          <w:rFonts w:ascii="Times New Roman" w:hAnsi="Times New Roman"/>
          <w:b/>
          <w:sz w:val="24"/>
          <w:szCs w:val="24"/>
        </w:rPr>
        <w:t xml:space="preserve">Legal Lesson Learned: Avoid whistleblower lawsuits.  When an employee reports possible misconduct by another employee, promptly </w:t>
      </w:r>
      <w:proofErr w:type="gramStart"/>
      <w:r w:rsidRPr="002270FF">
        <w:rPr>
          <w:rFonts w:ascii="Times New Roman" w:hAnsi="Times New Roman"/>
          <w:b/>
          <w:sz w:val="24"/>
          <w:szCs w:val="24"/>
        </w:rPr>
        <w:t>conduct an investigation</w:t>
      </w:r>
      <w:proofErr w:type="gramEnd"/>
      <w:r w:rsidRPr="002270FF">
        <w:rPr>
          <w:rFonts w:ascii="Times New Roman" w:hAnsi="Times New Roman"/>
          <w:b/>
          <w:sz w:val="24"/>
          <w:szCs w:val="24"/>
        </w:rPr>
        <w:t xml:space="preserve"> and </w:t>
      </w:r>
      <w:r w:rsidR="001C1BE8">
        <w:rPr>
          <w:rFonts w:ascii="Times New Roman" w:hAnsi="Times New Roman"/>
          <w:b/>
          <w:sz w:val="24"/>
          <w:szCs w:val="24"/>
        </w:rPr>
        <w:t xml:space="preserve">inform </w:t>
      </w:r>
      <w:proofErr w:type="gramStart"/>
      <w:r w:rsidR="009B6783">
        <w:rPr>
          <w:rFonts w:ascii="Times New Roman" w:hAnsi="Times New Roman"/>
          <w:b/>
          <w:sz w:val="24"/>
          <w:szCs w:val="24"/>
        </w:rPr>
        <w:t>employee</w:t>
      </w:r>
      <w:proofErr w:type="gramEnd"/>
      <w:r w:rsidR="009B6783">
        <w:rPr>
          <w:rFonts w:ascii="Times New Roman" w:hAnsi="Times New Roman"/>
          <w:b/>
          <w:sz w:val="24"/>
          <w:szCs w:val="24"/>
        </w:rPr>
        <w:t xml:space="preserve"> </w:t>
      </w:r>
      <w:r w:rsidRPr="002270FF">
        <w:rPr>
          <w:rFonts w:ascii="Times New Roman" w:hAnsi="Times New Roman"/>
          <w:b/>
          <w:sz w:val="24"/>
          <w:szCs w:val="24"/>
        </w:rPr>
        <w:t xml:space="preserve">of </w:t>
      </w:r>
      <w:proofErr w:type="gramStart"/>
      <w:r w:rsidRPr="002270FF">
        <w:rPr>
          <w:rFonts w:ascii="Times New Roman" w:hAnsi="Times New Roman"/>
          <w:b/>
          <w:sz w:val="24"/>
          <w:szCs w:val="24"/>
        </w:rPr>
        <w:t>your</w:t>
      </w:r>
      <w:proofErr w:type="gramEnd"/>
      <w:r w:rsidRPr="002270FF">
        <w:rPr>
          <w:rFonts w:ascii="Times New Roman" w:hAnsi="Times New Roman"/>
          <w:b/>
          <w:sz w:val="24"/>
          <w:szCs w:val="24"/>
        </w:rPr>
        <w:t xml:space="preserve"> actions.  </w:t>
      </w:r>
    </w:p>
    <w:p w14:paraId="2C1EAEC4" w14:textId="77777777" w:rsidR="00300506" w:rsidRPr="002270FF" w:rsidRDefault="00300506" w:rsidP="002B1283">
      <w:pPr>
        <w:rPr>
          <w:rFonts w:ascii="Times New Roman" w:hAnsi="Times New Roman"/>
          <w:b/>
          <w:bCs/>
          <w:sz w:val="24"/>
          <w:szCs w:val="24"/>
        </w:rPr>
      </w:pPr>
    </w:p>
    <w:p w14:paraId="0785EAA7" w14:textId="37720460" w:rsidR="00816951" w:rsidRDefault="00816951" w:rsidP="002B1283">
      <w:pPr>
        <w:rPr>
          <w:rFonts w:ascii="Arial Black" w:hAnsi="Arial Black"/>
          <w:b/>
          <w:bCs/>
          <w:sz w:val="28"/>
          <w:szCs w:val="28"/>
        </w:rPr>
      </w:pPr>
      <w:r>
        <w:rPr>
          <w:rFonts w:ascii="Arial Black" w:hAnsi="Arial Black"/>
          <w:b/>
          <w:bCs/>
          <w:sz w:val="28"/>
          <w:szCs w:val="28"/>
        </w:rPr>
        <w:t>13-204</w:t>
      </w:r>
    </w:p>
    <w:p w14:paraId="0D36C7C3" w14:textId="07B8C3B8" w:rsidR="00816951" w:rsidRPr="00BF1717" w:rsidRDefault="00816951" w:rsidP="00816951">
      <w:pPr>
        <w:rPr>
          <w:rFonts w:ascii="Arial Black" w:hAnsi="Arial Black"/>
          <w:b/>
          <w:sz w:val="28"/>
          <w:szCs w:val="28"/>
        </w:rPr>
      </w:pPr>
      <w:r>
        <w:rPr>
          <w:rFonts w:ascii="Arial Black" w:hAnsi="Arial Black"/>
          <w:b/>
          <w:sz w:val="28"/>
          <w:szCs w:val="28"/>
        </w:rPr>
        <w:t xml:space="preserve">MN: </w:t>
      </w:r>
      <w:r w:rsidR="00206727">
        <w:rPr>
          <w:rFonts w:ascii="Arial Black" w:hAnsi="Arial Black"/>
          <w:b/>
          <w:sz w:val="28"/>
          <w:szCs w:val="28"/>
        </w:rPr>
        <w:t xml:space="preserve">AMBUL. CODER – </w:t>
      </w:r>
      <w:r>
        <w:rPr>
          <w:rFonts w:ascii="Arial Black" w:hAnsi="Arial Black"/>
          <w:b/>
          <w:sz w:val="28"/>
          <w:szCs w:val="28"/>
        </w:rPr>
        <w:t>WHISTLEBLOWER</w:t>
      </w:r>
      <w:r w:rsidR="00206727">
        <w:rPr>
          <w:rFonts w:ascii="Arial Black" w:hAnsi="Arial Black"/>
          <w:b/>
          <w:sz w:val="28"/>
          <w:szCs w:val="28"/>
        </w:rPr>
        <w:t xml:space="preserve"> - “BLS” UPCHARGED “ALS” </w:t>
      </w:r>
    </w:p>
    <w:p w14:paraId="099A4B53" w14:textId="77777777" w:rsidR="00816951" w:rsidRPr="000C1D8F" w:rsidRDefault="00816951" w:rsidP="00816951">
      <w:pPr>
        <w:pStyle w:val="NoSpacing"/>
        <w:rPr>
          <w:rFonts w:ascii="Times New Roman" w:hAnsi="Times New Roman"/>
          <w:sz w:val="24"/>
          <w:szCs w:val="24"/>
        </w:rPr>
      </w:pPr>
      <w:r w:rsidRPr="000C1D8F">
        <w:rPr>
          <w:rFonts w:ascii="Times New Roman" w:hAnsi="Times New Roman"/>
          <w:sz w:val="24"/>
          <w:szCs w:val="24"/>
        </w:rPr>
        <w:t xml:space="preserve">On Jan. 24, 2025, in </w:t>
      </w:r>
      <w:r w:rsidRPr="000C1D8F">
        <w:rPr>
          <w:rFonts w:ascii="Times New Roman" w:hAnsi="Times New Roman"/>
          <w:sz w:val="24"/>
          <w:szCs w:val="24"/>
          <w:u w:val="single"/>
        </w:rPr>
        <w:t>United States of America and the State of Minnesota, ex rel. Ashley Mothershed v. Mayo Clinic Ambulance</w:t>
      </w:r>
      <w:r w:rsidRPr="000C1D8F">
        <w:rPr>
          <w:rFonts w:ascii="Times New Roman" w:hAnsi="Times New Roman"/>
          <w:sz w:val="24"/>
          <w:szCs w:val="24"/>
        </w:rPr>
        <w:t xml:space="preserve">, United States District Court Judge Donovan W. Frank denied the Mayo Clinic motion to dismiss the false claim case (but dismiss duplicative counts of submitting false records). The whistleblower is an experienced ambulance coding employee; in her lawsuit she provided numerous examples of inflated charges.  Pre-trial discovery will now proceed (when federal government intervenes, whistleblowers typically receive 15% to 30% of the recovery by federal government). </w:t>
      </w:r>
      <w:hyperlink r:id="rId2150" w:history="1">
        <w:r w:rsidRPr="000C1D8F">
          <w:rPr>
            <w:rStyle w:val="Hyperlink"/>
            <w:rFonts w:ascii="Times New Roman" w:hAnsi="Times New Roman"/>
            <w:sz w:val="24"/>
            <w:szCs w:val="24"/>
          </w:rPr>
          <w:t>https://cases.justia.com/federal/district-courts/minnesota/mndce/0:2022cv00602/199430/91/0.pdf?ts=1737802391</w:t>
        </w:r>
      </w:hyperlink>
      <w:r w:rsidRPr="000C1D8F">
        <w:rPr>
          <w:rFonts w:ascii="Times New Roman" w:hAnsi="Times New Roman"/>
          <w:sz w:val="24"/>
          <w:szCs w:val="24"/>
        </w:rPr>
        <w:t xml:space="preserve"> </w:t>
      </w:r>
    </w:p>
    <w:p w14:paraId="7F486D90" w14:textId="77777777" w:rsidR="00816951" w:rsidRPr="000C1D8F" w:rsidRDefault="00816951" w:rsidP="00816951">
      <w:pPr>
        <w:pStyle w:val="NoSpacing"/>
        <w:rPr>
          <w:rFonts w:ascii="Times New Roman" w:hAnsi="Times New Roman"/>
          <w:sz w:val="24"/>
          <w:szCs w:val="24"/>
        </w:rPr>
      </w:pPr>
    </w:p>
    <w:p w14:paraId="18A03948" w14:textId="77777777" w:rsidR="00816951" w:rsidRPr="000C1D8F" w:rsidRDefault="00816951" w:rsidP="00816951">
      <w:pPr>
        <w:pStyle w:val="NoSpacing"/>
        <w:rPr>
          <w:rFonts w:ascii="Times New Roman" w:hAnsi="Times New Roman"/>
          <w:sz w:val="24"/>
          <w:szCs w:val="24"/>
        </w:rPr>
      </w:pPr>
      <w:r w:rsidRPr="000C1D8F">
        <w:rPr>
          <w:rFonts w:ascii="Times New Roman" w:hAnsi="Times New Roman"/>
          <w:sz w:val="24"/>
          <w:szCs w:val="24"/>
        </w:rPr>
        <w:t>The Court wrote:</w:t>
      </w:r>
    </w:p>
    <w:p w14:paraId="55C23E52" w14:textId="77777777" w:rsidR="00816951" w:rsidRPr="000C1D8F" w:rsidRDefault="00816951" w:rsidP="00816951">
      <w:pPr>
        <w:pStyle w:val="NoSpacing"/>
        <w:rPr>
          <w:rFonts w:ascii="Times New Roman" w:hAnsi="Times New Roman"/>
          <w:sz w:val="24"/>
          <w:szCs w:val="24"/>
        </w:rPr>
      </w:pPr>
    </w:p>
    <w:p w14:paraId="17DDAE5A" w14:textId="77777777" w:rsidR="00816951" w:rsidRPr="000C1D8F" w:rsidRDefault="00816951" w:rsidP="00816951">
      <w:pPr>
        <w:pStyle w:val="NoSpacing"/>
        <w:ind w:firstLine="720"/>
        <w:rPr>
          <w:rFonts w:ascii="Times New Roman" w:hAnsi="Times New Roman"/>
          <w:sz w:val="24"/>
          <w:szCs w:val="24"/>
        </w:rPr>
      </w:pPr>
      <w:r w:rsidRPr="000C1D8F">
        <w:rPr>
          <w:rFonts w:ascii="Times New Roman" w:hAnsi="Times New Roman"/>
          <w:sz w:val="24"/>
          <w:szCs w:val="24"/>
        </w:rPr>
        <w:t>“Mothershed is an experienced professional in ambulance coding compliance….</w:t>
      </w:r>
    </w:p>
    <w:p w14:paraId="2E766F04"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Mayo is a Minnesota-based, non-profit organization that provides ambulance transport services in both Minnesota and Wisconsin</w:t>
      </w:r>
      <w:proofErr w:type="gramStart"/>
      <w:r w:rsidRPr="000C1D8F">
        <w:rPr>
          <w:rFonts w:ascii="Times New Roman" w:hAnsi="Times New Roman"/>
          <w:sz w:val="24"/>
          <w:szCs w:val="24"/>
        </w:rPr>
        <w:t>.…</w:t>
      </w:r>
      <w:proofErr w:type="gramEnd"/>
      <w:r w:rsidRPr="000C1D8F">
        <w:rPr>
          <w:rFonts w:ascii="Times New Roman" w:hAnsi="Times New Roman"/>
          <w:sz w:val="24"/>
          <w:szCs w:val="24"/>
        </w:rPr>
        <w:t xml:space="preserve"> In November 2020, Mothershed began working remotely for Mayo’s billing department….She worked for Mayo from November 2020 through June 2021, and then again from September 2021 through May 2022….As a biller in Mayo’s billing department, Mothershed used information from</w:t>
      </w:r>
    </w:p>
    <w:p w14:paraId="108DA866" w14:textId="77777777" w:rsidR="00816951" w:rsidRPr="000C1D8F" w:rsidRDefault="00816951" w:rsidP="00816951">
      <w:pPr>
        <w:pStyle w:val="NoSpacing"/>
        <w:rPr>
          <w:rFonts w:ascii="Times New Roman" w:hAnsi="Times New Roman"/>
          <w:sz w:val="24"/>
          <w:szCs w:val="24"/>
        </w:rPr>
      </w:pPr>
    </w:p>
    <w:p w14:paraId="25821085"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 xml:space="preserve">Mothershed brings this qui tam action on behalf of the United States of America and the State of Minnesota against Mayo under the federal False Claims Act (‘FCA’) and the Minnesota False Claims Act (‘MFCA.). </w:t>
      </w:r>
    </w:p>
    <w:p w14:paraId="09C09264" w14:textId="77777777" w:rsidR="00816951" w:rsidRPr="000C1D8F" w:rsidRDefault="00816951" w:rsidP="00816951">
      <w:pPr>
        <w:pStyle w:val="NoSpacing"/>
        <w:ind w:left="720"/>
        <w:rPr>
          <w:rFonts w:ascii="Times New Roman" w:hAnsi="Times New Roman"/>
          <w:sz w:val="24"/>
          <w:szCs w:val="24"/>
        </w:rPr>
      </w:pPr>
    </w:p>
    <w:p w14:paraId="3BBCB229" w14:textId="77777777" w:rsidR="00816951" w:rsidRPr="000C1D8F" w:rsidRDefault="00816951" w:rsidP="00816951">
      <w:pPr>
        <w:pStyle w:val="NoSpacing"/>
        <w:ind w:left="720"/>
        <w:rPr>
          <w:rFonts w:ascii="Times New Roman" w:hAnsi="Times New Roman"/>
          <w:b/>
          <w:sz w:val="24"/>
          <w:szCs w:val="24"/>
        </w:rPr>
      </w:pPr>
      <w:r w:rsidRPr="000C1D8F">
        <w:rPr>
          <w:rFonts w:ascii="Times New Roman" w:hAnsi="Times New Roman"/>
          <w:sz w:val="24"/>
          <w:szCs w:val="24"/>
        </w:rPr>
        <w:t>***</w:t>
      </w:r>
    </w:p>
    <w:p w14:paraId="510BB2B3"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Mothershed alleges that Mayo had three schemes for submitting false claims: (1) failing to review whether ambulance transports were medically necessary; (2) inaccurately reporting the level of services provided by upcoding non-emergency transports to emergency transports; and (3) inaccurately reporting the level of services provided by upcoding basic life support (‘BLS’) services to advanced life support (‘ALS’) services.</w:t>
      </w:r>
    </w:p>
    <w:p w14:paraId="48D354C5" w14:textId="77777777" w:rsidR="00816951" w:rsidRPr="000C1D8F" w:rsidRDefault="00816951" w:rsidP="00816951">
      <w:pPr>
        <w:pStyle w:val="NoSpacing"/>
        <w:ind w:left="720"/>
        <w:rPr>
          <w:rFonts w:ascii="Times New Roman" w:hAnsi="Times New Roman"/>
          <w:sz w:val="24"/>
          <w:szCs w:val="24"/>
        </w:rPr>
      </w:pPr>
    </w:p>
    <w:p w14:paraId="6E67D7F0"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t>
      </w:r>
    </w:p>
    <w:p w14:paraId="20D4123E" w14:textId="77777777" w:rsidR="00816951" w:rsidRPr="000C1D8F" w:rsidRDefault="00816951" w:rsidP="00816951">
      <w:pPr>
        <w:pStyle w:val="NoSpacing"/>
        <w:rPr>
          <w:rFonts w:ascii="Times New Roman" w:hAnsi="Times New Roman"/>
          <w:sz w:val="24"/>
          <w:szCs w:val="24"/>
        </w:rPr>
      </w:pPr>
    </w:p>
    <w:p w14:paraId="02CC9856"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As for knowledge, Mothershed alleges many conversations with her supervisors at Mayo about the problems with this billing practice. Her supervisors ignored her suggestions and told her to keep billing this way, even at times telling her to go back and change her codes. These actions demonstrate, at a minimum, a reckless disregard because Mayo was aware of the substantial and unjustifiable risk that they might have been submitting false claims, but they ignored those warnings by Mothershed. Thus, Mothershed sufficiently alleges knowledge.</w:t>
      </w:r>
    </w:p>
    <w:p w14:paraId="7DFCDD7A" w14:textId="77777777" w:rsidR="00816951" w:rsidRPr="000C1D8F" w:rsidRDefault="00816951" w:rsidP="00816951">
      <w:pPr>
        <w:pStyle w:val="NoSpacing"/>
        <w:ind w:left="720"/>
        <w:rPr>
          <w:rFonts w:ascii="Times New Roman" w:hAnsi="Times New Roman"/>
          <w:sz w:val="24"/>
          <w:szCs w:val="24"/>
        </w:rPr>
      </w:pPr>
    </w:p>
    <w:p w14:paraId="68C9810A"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t>
      </w:r>
    </w:p>
    <w:p w14:paraId="156846CF" w14:textId="77777777" w:rsidR="00816951" w:rsidRPr="000C1D8F" w:rsidRDefault="00816951" w:rsidP="00816951">
      <w:pPr>
        <w:pStyle w:val="NoSpacing"/>
        <w:rPr>
          <w:rFonts w:ascii="Times New Roman" w:hAnsi="Times New Roman"/>
          <w:sz w:val="24"/>
          <w:szCs w:val="24"/>
        </w:rPr>
      </w:pPr>
    </w:p>
    <w:p w14:paraId="5C71356F"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Mothershed provides two specific examples of this practice. Patient LS-3 was suffering from diarrhea, abdominal pain, nausea, and vomiting…. An ALS crew was dispatched to respond to the call, consisting of one Paramedic and one EMT-Basic….Dispatch marked the call type as ‘BLS.’… Upon arriving at the scene, the EMT-Basic performed an assessment of the patient…. No ALS interventions were conducted during the call…. Mayo billed the transport as ALS instead of BLS.</w:t>
      </w:r>
    </w:p>
    <w:p w14:paraId="7E1BD30A" w14:textId="77777777" w:rsidR="00816951" w:rsidRPr="000C1D8F" w:rsidRDefault="00816951" w:rsidP="00816951">
      <w:pPr>
        <w:pStyle w:val="NoSpacing"/>
        <w:ind w:left="720"/>
        <w:rPr>
          <w:rFonts w:ascii="Times New Roman" w:hAnsi="Times New Roman"/>
          <w:sz w:val="24"/>
          <w:szCs w:val="24"/>
        </w:rPr>
      </w:pPr>
    </w:p>
    <w:p w14:paraId="0C7C202C"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Patient LS-5 was found on the floor not making sense and reported experiencing</w:t>
      </w:r>
    </w:p>
    <w:p w14:paraId="10EADD14"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weakness…. An ALS crew was dispatched to respond to the call, consisting of one Paramedic and one EMT-Basic….Dispatch marked the call type as ‘BLS.’ Upon arriving at the scene, the EMT-Basic performed an assessment of the patient….No ALS interventions were conducted during the call…. Mayo billed the transport as ALS instead of BLS.”</w:t>
      </w:r>
    </w:p>
    <w:p w14:paraId="1D2FF85F" w14:textId="77777777" w:rsidR="00816951" w:rsidRPr="000C1D8F" w:rsidRDefault="00816951" w:rsidP="00816951">
      <w:pPr>
        <w:pStyle w:val="NoSpacing"/>
        <w:ind w:left="720"/>
        <w:rPr>
          <w:rFonts w:ascii="Times New Roman" w:hAnsi="Times New Roman"/>
          <w:sz w:val="24"/>
          <w:szCs w:val="24"/>
        </w:rPr>
      </w:pPr>
    </w:p>
    <w:p w14:paraId="54581F84" w14:textId="77777777" w:rsidR="00816951" w:rsidRPr="000C1D8F" w:rsidRDefault="00816951" w:rsidP="00816951">
      <w:pPr>
        <w:pStyle w:val="NoSpacing"/>
        <w:rPr>
          <w:rFonts w:ascii="Times New Roman" w:hAnsi="Times New Roman"/>
          <w:b/>
          <w:bCs/>
          <w:sz w:val="24"/>
          <w:szCs w:val="24"/>
        </w:rPr>
      </w:pPr>
      <w:r w:rsidRPr="000C1D8F">
        <w:rPr>
          <w:rFonts w:ascii="Times New Roman" w:hAnsi="Times New Roman"/>
          <w:b/>
          <w:sz w:val="24"/>
          <w:szCs w:val="24"/>
        </w:rPr>
        <w:t xml:space="preserve">Legal Lesson Learned:  Up charging BLS services as ALS can lead to litigation by both whistleblowers and by federal and state governments. </w:t>
      </w:r>
    </w:p>
    <w:p w14:paraId="53BDDDF9" w14:textId="77777777" w:rsidR="00816951" w:rsidRPr="000C1D8F" w:rsidRDefault="00816951" w:rsidP="00816951">
      <w:pPr>
        <w:pStyle w:val="NoSpacing"/>
        <w:ind w:left="720"/>
        <w:rPr>
          <w:rFonts w:ascii="Times New Roman" w:hAnsi="Times New Roman"/>
          <w:bCs/>
          <w:sz w:val="24"/>
          <w:szCs w:val="24"/>
        </w:rPr>
      </w:pPr>
    </w:p>
    <w:p w14:paraId="35F97D30" w14:textId="77777777" w:rsidR="00816951" w:rsidRPr="000C1D8F" w:rsidRDefault="00816951" w:rsidP="00816951">
      <w:pPr>
        <w:ind w:left="720"/>
        <w:rPr>
          <w:rFonts w:ascii="Times New Roman" w:hAnsi="Times New Roman"/>
          <w:bCs/>
          <w:sz w:val="24"/>
          <w:szCs w:val="24"/>
        </w:rPr>
      </w:pPr>
      <w:r w:rsidRPr="000C1D8F">
        <w:rPr>
          <w:rFonts w:ascii="Times New Roman" w:hAnsi="Times New Roman"/>
          <w:sz w:val="24"/>
          <w:szCs w:val="24"/>
        </w:rPr>
        <w:t xml:space="preserve">Note: See Jan. 17, </w:t>
      </w:r>
      <w:proofErr w:type="gramStart"/>
      <w:r w:rsidRPr="000C1D8F">
        <w:rPr>
          <w:rFonts w:ascii="Times New Roman" w:hAnsi="Times New Roman"/>
          <w:sz w:val="24"/>
          <w:szCs w:val="24"/>
        </w:rPr>
        <w:t>2025</w:t>
      </w:r>
      <w:proofErr w:type="gramEnd"/>
      <w:r w:rsidRPr="000C1D8F">
        <w:rPr>
          <w:rFonts w:ascii="Times New Roman" w:hAnsi="Times New Roman"/>
          <w:sz w:val="24"/>
          <w:szCs w:val="24"/>
        </w:rPr>
        <w:t xml:space="preserve"> U.S. Department of Justice report, “False Claims Act Settlements and Judgments Exceed $2.9B in Fiscal Year 2024.”</w:t>
      </w:r>
    </w:p>
    <w:p w14:paraId="3F446B36"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“In 1986, Congress strengthened the False Claims Act by increasing incentives for whistleblowers to file lawsuits alleging false claims on behalf of the government. These whistleblowers,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The 979 qui tam suits filed in fiscal year 2024 breaks the prior record set in 2013, and this past year, the Justice Department reported settlements and judgments exceeding $2.4 billion in these and earlier-filed qui tam suits.”</w:t>
      </w:r>
    </w:p>
    <w:p w14:paraId="3BC419B0" w14:textId="77777777" w:rsidR="00816951" w:rsidRDefault="00816951" w:rsidP="002B1283">
      <w:pPr>
        <w:rPr>
          <w:rFonts w:ascii="Arial Black" w:hAnsi="Arial Black"/>
          <w:b/>
          <w:bCs/>
          <w:sz w:val="28"/>
          <w:szCs w:val="28"/>
        </w:rPr>
      </w:pPr>
    </w:p>
    <w:p w14:paraId="2610712C" w14:textId="76115DC2" w:rsidR="00816951" w:rsidRDefault="00816951" w:rsidP="002B1283">
      <w:pPr>
        <w:rPr>
          <w:rFonts w:ascii="Arial Black" w:hAnsi="Arial Black"/>
          <w:b/>
          <w:bCs/>
          <w:sz w:val="28"/>
          <w:szCs w:val="28"/>
        </w:rPr>
      </w:pPr>
      <w:r>
        <w:rPr>
          <w:rFonts w:ascii="Arial Black" w:hAnsi="Arial Black"/>
          <w:b/>
          <w:bCs/>
          <w:sz w:val="28"/>
          <w:szCs w:val="28"/>
        </w:rPr>
        <w:t>13-203</w:t>
      </w:r>
    </w:p>
    <w:p w14:paraId="137072DF" w14:textId="42CCD4B0" w:rsidR="00A47FDE" w:rsidRPr="00314C53" w:rsidRDefault="00A47FDE" w:rsidP="00A47FDE">
      <w:pPr>
        <w:rPr>
          <w:rFonts w:ascii="Arial Black" w:hAnsi="Arial Black"/>
          <w:b/>
          <w:sz w:val="28"/>
          <w:szCs w:val="28"/>
        </w:rPr>
      </w:pPr>
      <w:r>
        <w:rPr>
          <w:rFonts w:ascii="Arial Black" w:hAnsi="Arial Black"/>
          <w:b/>
          <w:sz w:val="28"/>
          <w:szCs w:val="28"/>
        </w:rPr>
        <w:t>CA: COVID-19 –</w:t>
      </w:r>
      <w:r w:rsidR="00500351">
        <w:rPr>
          <w:rFonts w:ascii="Arial Black" w:hAnsi="Arial Black"/>
          <w:b/>
          <w:sz w:val="28"/>
          <w:szCs w:val="28"/>
        </w:rPr>
        <w:t xml:space="preserve"> </w:t>
      </w:r>
      <w:r>
        <w:rPr>
          <w:rFonts w:ascii="Arial Black" w:hAnsi="Arial Black"/>
          <w:b/>
          <w:sz w:val="28"/>
          <w:szCs w:val="28"/>
        </w:rPr>
        <w:t>RELIGIOUS ACCOM</w:t>
      </w:r>
      <w:r w:rsidR="00500351">
        <w:rPr>
          <w:rFonts w:ascii="Arial Black" w:hAnsi="Arial Black"/>
          <w:b/>
          <w:sz w:val="28"/>
          <w:szCs w:val="28"/>
        </w:rPr>
        <w:t xml:space="preserve"> </w:t>
      </w:r>
      <w:r w:rsidR="003275FF">
        <w:rPr>
          <w:rFonts w:ascii="Arial Black" w:hAnsi="Arial Black"/>
          <w:b/>
          <w:sz w:val="28"/>
          <w:szCs w:val="28"/>
        </w:rPr>
        <w:t xml:space="preserve">- </w:t>
      </w:r>
      <w:r w:rsidR="000A4BD5">
        <w:rPr>
          <w:rFonts w:ascii="Arial Black" w:hAnsi="Arial Black"/>
          <w:b/>
          <w:sz w:val="28"/>
          <w:szCs w:val="28"/>
        </w:rPr>
        <w:t xml:space="preserve">14 GRANTED </w:t>
      </w:r>
      <w:r w:rsidR="00895720">
        <w:rPr>
          <w:rFonts w:ascii="Arial Black" w:hAnsi="Arial Black"/>
          <w:b/>
          <w:sz w:val="28"/>
          <w:szCs w:val="28"/>
        </w:rPr>
        <w:t>/ 6 DENIED</w:t>
      </w:r>
    </w:p>
    <w:p w14:paraId="5BF382CB" w14:textId="77777777" w:rsidR="00A47FDE" w:rsidRPr="00A47FDE" w:rsidRDefault="00A47FDE" w:rsidP="00A47FDE">
      <w:pPr>
        <w:pStyle w:val="NoSpacing"/>
        <w:rPr>
          <w:rFonts w:ascii="Times New Roman" w:hAnsi="Times New Roman"/>
          <w:sz w:val="24"/>
          <w:szCs w:val="24"/>
        </w:rPr>
      </w:pPr>
      <w:r w:rsidRPr="00A47FDE">
        <w:rPr>
          <w:rFonts w:ascii="Times New Roman" w:hAnsi="Times New Roman"/>
          <w:sz w:val="24"/>
          <w:szCs w:val="24"/>
        </w:rPr>
        <w:t xml:space="preserve">On Jan. 22, 2025, in </w:t>
      </w:r>
      <w:r w:rsidRPr="00A47FDE">
        <w:rPr>
          <w:rFonts w:ascii="Times New Roman" w:hAnsi="Times New Roman"/>
          <w:sz w:val="24"/>
          <w:szCs w:val="24"/>
          <w:u w:val="single"/>
        </w:rPr>
        <w:t>Josh Sattley v. The City of Beverly Hills</w:t>
      </w:r>
      <w:r w:rsidRPr="00A47FDE">
        <w:rPr>
          <w:rFonts w:ascii="Times New Roman" w:hAnsi="Times New Roman"/>
          <w:sz w:val="24"/>
          <w:szCs w:val="24"/>
        </w:rPr>
        <w:t xml:space="preserve">, the California Court of Appeals, Second District, Second Division held (3 to 0; unpublished decision) that the firefighter / EMT was properly fired after 11 years on the job; his request for religious accommodation was merely one sentence - “He had a sincerely held religious belief or practices that conflicted with a stated job requirement (mandatory Covid vaccination).”  The City’s HR Director met with each of the firefighters seeking religious accommodations; 14 were granted, and 6 denied (5 then got vaccinated, only Sattley refused). There was no proof that his social media posts criticizing the </w:t>
      </w:r>
      <w:proofErr w:type="gramStart"/>
      <w:r w:rsidRPr="00A47FDE">
        <w:rPr>
          <w:rFonts w:ascii="Times New Roman" w:hAnsi="Times New Roman"/>
          <w:sz w:val="24"/>
          <w:szCs w:val="24"/>
        </w:rPr>
        <w:t>City</w:t>
      </w:r>
      <w:proofErr w:type="gramEnd"/>
      <w:r w:rsidRPr="00A47FDE">
        <w:rPr>
          <w:rFonts w:ascii="Times New Roman" w:hAnsi="Times New Roman"/>
          <w:sz w:val="24"/>
          <w:szCs w:val="24"/>
        </w:rPr>
        <w:t xml:space="preserve"> played any role in his termination. </w:t>
      </w:r>
      <w:hyperlink r:id="rId2151" w:history="1">
        <w:r w:rsidRPr="00A47FDE">
          <w:rPr>
            <w:rStyle w:val="Hyperlink"/>
            <w:rFonts w:ascii="Times New Roman" w:hAnsi="Times New Roman"/>
            <w:sz w:val="24"/>
            <w:szCs w:val="24"/>
          </w:rPr>
          <w:t>https://www4.courts.ca.gov/opinions/nonpub/B334048.PDF</w:t>
        </w:r>
      </w:hyperlink>
      <w:r w:rsidRPr="00A47FDE">
        <w:rPr>
          <w:rFonts w:ascii="Times New Roman" w:hAnsi="Times New Roman"/>
          <w:sz w:val="24"/>
          <w:szCs w:val="24"/>
        </w:rPr>
        <w:t xml:space="preserve"> </w:t>
      </w:r>
    </w:p>
    <w:p w14:paraId="27ED7EEA" w14:textId="77777777" w:rsidR="00A47FDE" w:rsidRPr="00A47FDE" w:rsidRDefault="00A47FDE" w:rsidP="00A47FDE">
      <w:pPr>
        <w:pStyle w:val="NoSpacing"/>
        <w:rPr>
          <w:rFonts w:ascii="Times New Roman" w:hAnsi="Times New Roman"/>
          <w:sz w:val="24"/>
          <w:szCs w:val="24"/>
        </w:rPr>
      </w:pPr>
    </w:p>
    <w:p w14:paraId="5D2A9054" w14:textId="77777777" w:rsidR="00A47FDE" w:rsidRPr="00A47FDE" w:rsidRDefault="00A47FDE" w:rsidP="00A47FDE">
      <w:pPr>
        <w:pStyle w:val="NoSpacing"/>
        <w:rPr>
          <w:rFonts w:ascii="Times New Roman" w:hAnsi="Times New Roman"/>
          <w:sz w:val="24"/>
          <w:szCs w:val="24"/>
        </w:rPr>
      </w:pPr>
      <w:r w:rsidRPr="00A47FDE">
        <w:rPr>
          <w:rFonts w:ascii="Times New Roman" w:hAnsi="Times New Roman"/>
          <w:sz w:val="24"/>
          <w:szCs w:val="24"/>
        </w:rPr>
        <w:t xml:space="preserve">The Court wrote:  </w:t>
      </w:r>
    </w:p>
    <w:p w14:paraId="44EFBEA2" w14:textId="77777777" w:rsidR="00A47FDE" w:rsidRPr="00A47FDE" w:rsidRDefault="00A47FDE" w:rsidP="00A47FDE">
      <w:pPr>
        <w:pStyle w:val="NoSpacing"/>
        <w:rPr>
          <w:rFonts w:ascii="Times New Roman" w:hAnsi="Times New Roman"/>
          <w:sz w:val="24"/>
          <w:szCs w:val="24"/>
        </w:rPr>
      </w:pPr>
    </w:p>
    <w:p w14:paraId="3C7117B5"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“An employee’s inability to perform the essential tasks of his or her job is a legitimate, nondiscriminatory reason to terminate the employee.</w:t>
      </w:r>
    </w:p>
    <w:p w14:paraId="59A73FD6" w14:textId="77777777" w:rsidR="00A47FDE" w:rsidRPr="00A47FDE" w:rsidRDefault="00A47FDE" w:rsidP="00A47FDE">
      <w:pPr>
        <w:pStyle w:val="NoSpacing"/>
        <w:ind w:left="720"/>
        <w:rPr>
          <w:rFonts w:ascii="Times New Roman" w:hAnsi="Times New Roman"/>
          <w:sz w:val="24"/>
          <w:szCs w:val="24"/>
        </w:rPr>
      </w:pPr>
    </w:p>
    <w:p w14:paraId="0048E0B8"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w:t>
      </w:r>
    </w:p>
    <w:p w14:paraId="06E19C82"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 xml:space="preserve">On September 28, 29, and 30, 2021, the city’s human resources director, Shelley Ovrom, met individually with each of the firefighters, including appellant, to determine which of the firefighters were eligible for </w:t>
      </w:r>
      <w:proofErr w:type="gramStart"/>
      <w:r w:rsidRPr="00A47FDE">
        <w:rPr>
          <w:rFonts w:ascii="Times New Roman" w:hAnsi="Times New Roman"/>
          <w:sz w:val="24"/>
          <w:szCs w:val="24"/>
        </w:rPr>
        <w:t>a religious</w:t>
      </w:r>
      <w:proofErr w:type="gramEnd"/>
      <w:r w:rsidRPr="00A47FDE">
        <w:rPr>
          <w:rFonts w:ascii="Times New Roman" w:hAnsi="Times New Roman"/>
          <w:sz w:val="24"/>
          <w:szCs w:val="24"/>
        </w:rPr>
        <w:t xml:space="preserve"> accommodation. Fourteen firefighters were granted </w:t>
      </w:r>
      <w:proofErr w:type="gramStart"/>
      <w:r w:rsidRPr="00A47FDE">
        <w:rPr>
          <w:rFonts w:ascii="Times New Roman" w:hAnsi="Times New Roman"/>
          <w:sz w:val="24"/>
          <w:szCs w:val="24"/>
        </w:rPr>
        <w:t>an accommodation</w:t>
      </w:r>
      <w:proofErr w:type="gramEnd"/>
      <w:r w:rsidRPr="00A47FDE">
        <w:rPr>
          <w:rFonts w:ascii="Times New Roman" w:hAnsi="Times New Roman"/>
          <w:sz w:val="24"/>
          <w:szCs w:val="24"/>
        </w:rPr>
        <w:t xml:space="preserve">, four withdrew their requests, and six firefighters’ requests were denied. Of the six firefighters whose requests were denied, all except Sattley later submitted proof of vaccination. Because Sattley did not have an approved </w:t>
      </w:r>
      <w:proofErr w:type="spellStart"/>
      <w:r w:rsidRPr="00A47FDE">
        <w:rPr>
          <w:rFonts w:ascii="Times New Roman" w:hAnsi="Times New Roman"/>
          <w:sz w:val="24"/>
          <w:szCs w:val="24"/>
        </w:rPr>
        <w:t>ccommodation</w:t>
      </w:r>
      <w:proofErr w:type="spellEnd"/>
      <w:r w:rsidRPr="00A47FDE">
        <w:rPr>
          <w:rFonts w:ascii="Times New Roman" w:hAnsi="Times New Roman"/>
          <w:sz w:val="24"/>
          <w:szCs w:val="24"/>
        </w:rPr>
        <w:t xml:space="preserve"> or exemption, he was placed on administrative leave on October 1, 2021. </w:t>
      </w:r>
      <w:proofErr w:type="spellStart"/>
      <w:r w:rsidRPr="00A47FDE">
        <w:rPr>
          <w:rFonts w:ascii="Times New Roman" w:hAnsi="Times New Roman"/>
          <w:sz w:val="24"/>
          <w:szCs w:val="24"/>
        </w:rPr>
        <w:t>Ovrom</w:t>
      </w:r>
      <w:proofErr w:type="spellEnd"/>
      <w:r w:rsidRPr="00A47FDE">
        <w:rPr>
          <w:rFonts w:ascii="Times New Roman" w:hAnsi="Times New Roman"/>
          <w:sz w:val="24"/>
          <w:szCs w:val="24"/>
        </w:rPr>
        <w:t xml:space="preserve"> and Chief Barton decided to place Sattley on leave because he was no longer qualified to perform his job under the health order…. Sattley received a due process (Skelly) hearing, and the hearing officer  recommended Chief Barton proceed with termination of Sattley’s employment. On March 9, 2022, Chief Barton terminated Sattley, effective March 11, 2022.</w:t>
      </w:r>
    </w:p>
    <w:p w14:paraId="183DDA68" w14:textId="77777777" w:rsidR="00A47FDE" w:rsidRPr="00A47FDE" w:rsidRDefault="00A47FDE" w:rsidP="00A47FDE">
      <w:pPr>
        <w:pStyle w:val="NoSpacing"/>
        <w:rPr>
          <w:rFonts w:ascii="Times New Roman" w:hAnsi="Times New Roman"/>
          <w:sz w:val="24"/>
          <w:szCs w:val="24"/>
        </w:rPr>
      </w:pPr>
    </w:p>
    <w:p w14:paraId="17F08BF6" w14:textId="77777777" w:rsidR="00A47FDE" w:rsidRPr="00A47FDE" w:rsidRDefault="00A47FDE" w:rsidP="00A47FDE">
      <w:pPr>
        <w:pStyle w:val="NoSpacing"/>
        <w:ind w:firstLine="720"/>
        <w:rPr>
          <w:rFonts w:ascii="Times New Roman" w:hAnsi="Times New Roman"/>
          <w:sz w:val="24"/>
          <w:szCs w:val="24"/>
        </w:rPr>
      </w:pPr>
      <w:r w:rsidRPr="00A47FDE">
        <w:rPr>
          <w:rFonts w:ascii="Times New Roman" w:hAnsi="Times New Roman"/>
          <w:sz w:val="24"/>
          <w:szCs w:val="24"/>
        </w:rPr>
        <w:t>***</w:t>
      </w:r>
    </w:p>
    <w:p w14:paraId="02360BD7"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Sattley’s allegations of his alleged bona fide religious belief consisted of one sentence: ‘He had a sincerely held religious belief or practices that conflicted with a stated job requirement (mandatory Covid vaccination).’ … Because Sattley failed to adequately plead a bona fide religious belief that conflicted with the health order, the trial court properly sustained the city’s demurrer to this cause of action…. Sattley’s addition [in reply brief] of the denomination of ‘Christian’ does not clarify his religious objection, as he had already described his religion as “Mormon/Christian” in his November 2021 DFEH charge.</w:t>
      </w:r>
    </w:p>
    <w:p w14:paraId="6E70DA0F" w14:textId="77777777" w:rsidR="00A47FDE" w:rsidRPr="00A47FDE" w:rsidRDefault="00A47FDE" w:rsidP="00A47FDE">
      <w:pPr>
        <w:pStyle w:val="NoSpacing"/>
        <w:rPr>
          <w:rFonts w:ascii="Times New Roman" w:hAnsi="Times New Roman"/>
          <w:sz w:val="24"/>
          <w:szCs w:val="24"/>
        </w:rPr>
      </w:pPr>
    </w:p>
    <w:p w14:paraId="7A6A5451" w14:textId="77777777" w:rsidR="00A47FDE" w:rsidRPr="00A47FDE" w:rsidRDefault="00A47FDE" w:rsidP="00A47FDE">
      <w:pPr>
        <w:pStyle w:val="NoSpacing"/>
        <w:ind w:firstLine="720"/>
        <w:rPr>
          <w:rFonts w:ascii="Times New Roman" w:hAnsi="Times New Roman"/>
          <w:sz w:val="24"/>
          <w:szCs w:val="24"/>
        </w:rPr>
      </w:pPr>
      <w:r w:rsidRPr="00A47FDE">
        <w:rPr>
          <w:rFonts w:ascii="Times New Roman" w:hAnsi="Times New Roman"/>
          <w:sz w:val="24"/>
          <w:szCs w:val="24"/>
        </w:rPr>
        <w:t>***</w:t>
      </w:r>
    </w:p>
    <w:p w14:paraId="5C319F16"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 xml:space="preserve">Sattley argues he engaged in protected activity during the fall of 2021 when he criticized the city’s COVID personnel policies on social media and filed this lawsuit…. Sattley fails to point to a specific social media post that he believed was the basis for his </w:t>
      </w:r>
      <w:proofErr w:type="gramStart"/>
      <w:r w:rsidRPr="00A47FDE">
        <w:rPr>
          <w:rFonts w:ascii="Times New Roman" w:hAnsi="Times New Roman"/>
          <w:sz w:val="24"/>
          <w:szCs w:val="24"/>
        </w:rPr>
        <w:t>termination.”</w:t>
      </w:r>
      <w:proofErr w:type="gramEnd"/>
    </w:p>
    <w:p w14:paraId="76B0EBFA" w14:textId="77777777" w:rsidR="00A47FDE" w:rsidRPr="00A47FDE" w:rsidRDefault="00A47FDE" w:rsidP="00A47FDE">
      <w:pPr>
        <w:pStyle w:val="NoSpacing"/>
        <w:ind w:left="720"/>
        <w:rPr>
          <w:rFonts w:ascii="Times New Roman" w:hAnsi="Times New Roman"/>
          <w:sz w:val="24"/>
          <w:szCs w:val="24"/>
        </w:rPr>
      </w:pPr>
    </w:p>
    <w:p w14:paraId="7C59BF9E" w14:textId="77777777" w:rsidR="00A47FDE" w:rsidRPr="00A47FDE" w:rsidRDefault="00A47FDE" w:rsidP="00A47FDE">
      <w:pPr>
        <w:pStyle w:val="NoSpacing"/>
        <w:rPr>
          <w:rFonts w:ascii="Times New Roman" w:hAnsi="Times New Roman"/>
          <w:b/>
          <w:bCs/>
          <w:sz w:val="24"/>
          <w:szCs w:val="24"/>
        </w:rPr>
      </w:pPr>
      <w:r w:rsidRPr="00A47FDE">
        <w:rPr>
          <w:rFonts w:ascii="Times New Roman" w:hAnsi="Times New Roman"/>
          <w:b/>
          <w:sz w:val="24"/>
          <w:szCs w:val="24"/>
        </w:rPr>
        <w:t>Legal Lesson Learned:  If you are seeking religious accommodation, need to provide details about your faith and your history of objection to vaccinations.</w:t>
      </w:r>
    </w:p>
    <w:p w14:paraId="1A18FC86" w14:textId="77777777" w:rsidR="00A47FDE" w:rsidRDefault="00A47FDE" w:rsidP="00A47FDE">
      <w:pPr>
        <w:pStyle w:val="NoSpacing"/>
      </w:pPr>
    </w:p>
    <w:p w14:paraId="4CC87C09" w14:textId="77777777" w:rsidR="00A47FDE" w:rsidRDefault="00A47FDE" w:rsidP="002B1283">
      <w:pPr>
        <w:rPr>
          <w:rFonts w:ascii="Arial Black" w:hAnsi="Arial Black"/>
          <w:b/>
          <w:bCs/>
          <w:sz w:val="28"/>
          <w:szCs w:val="28"/>
        </w:rPr>
      </w:pPr>
    </w:p>
    <w:p w14:paraId="6EED563B" w14:textId="496F4575" w:rsidR="00816951" w:rsidRDefault="00816951" w:rsidP="002B1283">
      <w:pPr>
        <w:rPr>
          <w:rFonts w:ascii="Arial Black" w:hAnsi="Arial Black"/>
          <w:b/>
          <w:bCs/>
          <w:sz w:val="28"/>
          <w:szCs w:val="28"/>
        </w:rPr>
      </w:pPr>
      <w:r>
        <w:rPr>
          <w:rFonts w:ascii="Arial Black" w:hAnsi="Arial Black"/>
          <w:b/>
          <w:bCs/>
          <w:sz w:val="28"/>
          <w:szCs w:val="28"/>
        </w:rPr>
        <w:t>13-202</w:t>
      </w:r>
    </w:p>
    <w:p w14:paraId="4638FDC4" w14:textId="79CB78E9" w:rsidR="00C20E41" w:rsidRPr="00DD6EF6" w:rsidRDefault="00C20E41" w:rsidP="00C20E41">
      <w:pPr>
        <w:rPr>
          <w:rFonts w:ascii="Arial Black" w:hAnsi="Arial Black"/>
          <w:b/>
          <w:sz w:val="28"/>
          <w:szCs w:val="28"/>
        </w:rPr>
      </w:pPr>
      <w:r>
        <w:rPr>
          <w:rFonts w:ascii="Arial Black" w:hAnsi="Arial Black"/>
          <w:b/>
          <w:sz w:val="28"/>
          <w:szCs w:val="28"/>
        </w:rPr>
        <w:t xml:space="preserve">CA: COVID-19 – </w:t>
      </w:r>
      <w:r w:rsidR="00D32102">
        <w:rPr>
          <w:rFonts w:ascii="Arial Black" w:hAnsi="Arial Black"/>
          <w:b/>
          <w:sz w:val="28"/>
          <w:szCs w:val="28"/>
        </w:rPr>
        <w:t>FF ALL</w:t>
      </w:r>
      <w:r w:rsidR="00310992">
        <w:rPr>
          <w:rFonts w:ascii="Arial Black" w:hAnsi="Arial Black"/>
          <w:b/>
          <w:sz w:val="28"/>
          <w:szCs w:val="28"/>
        </w:rPr>
        <w:t xml:space="preserve">OWED WK FROM HOME - </w:t>
      </w:r>
      <w:r>
        <w:rPr>
          <w:rFonts w:ascii="Arial Black" w:hAnsi="Arial Black"/>
          <w:b/>
          <w:sz w:val="28"/>
          <w:szCs w:val="28"/>
        </w:rPr>
        <w:t xml:space="preserve">VOL. RETIRED </w:t>
      </w:r>
    </w:p>
    <w:p w14:paraId="136C21BF" w14:textId="77777777" w:rsidR="00C20E41" w:rsidRPr="004441B2" w:rsidRDefault="00C20E41" w:rsidP="00C20E41">
      <w:pPr>
        <w:rPr>
          <w:rFonts w:ascii="Times New Roman" w:hAnsi="Times New Roman"/>
          <w:sz w:val="24"/>
          <w:szCs w:val="24"/>
        </w:rPr>
      </w:pPr>
      <w:r w:rsidRPr="004441B2">
        <w:rPr>
          <w:rFonts w:ascii="Times New Roman" w:hAnsi="Times New Roman"/>
          <w:sz w:val="24"/>
          <w:szCs w:val="24"/>
        </w:rPr>
        <w:t>On Jan. 22, 2025,</w:t>
      </w:r>
      <w:r w:rsidRPr="004441B2">
        <w:rPr>
          <w:rFonts w:ascii="Times New Roman" w:hAnsi="Times New Roman"/>
          <w:b/>
          <w:sz w:val="24"/>
          <w:szCs w:val="24"/>
        </w:rPr>
        <w:t xml:space="preserve"> </w:t>
      </w:r>
      <w:r w:rsidRPr="004441B2">
        <w:rPr>
          <w:rFonts w:ascii="Times New Roman" w:hAnsi="Times New Roman"/>
          <w:sz w:val="24"/>
          <w:szCs w:val="24"/>
        </w:rPr>
        <w:t>in</w:t>
      </w:r>
      <w:r w:rsidRPr="004441B2">
        <w:rPr>
          <w:rFonts w:ascii="Times New Roman" w:hAnsi="Times New Roman"/>
          <w:b/>
          <w:sz w:val="24"/>
          <w:szCs w:val="24"/>
        </w:rPr>
        <w:t xml:space="preserve"> </w:t>
      </w:r>
      <w:r w:rsidRPr="004441B2">
        <w:rPr>
          <w:rFonts w:ascii="Times New Roman" w:hAnsi="Times New Roman"/>
          <w:sz w:val="24"/>
          <w:szCs w:val="24"/>
          <w:u w:val="single"/>
        </w:rPr>
        <w:t>Mark Alan Clark v. City of Los Angeles</w:t>
      </w:r>
      <w:r w:rsidRPr="004441B2">
        <w:rPr>
          <w:rFonts w:ascii="Times New Roman" w:hAnsi="Times New Roman"/>
          <w:sz w:val="24"/>
          <w:szCs w:val="24"/>
        </w:rPr>
        <w:t xml:space="preserve">, the California Court of Appeals, Second District, Second Division held (3 to 0; unpublished decision) held he was not “constructively discharged.”  He was permitted to work from home as the FD’s equipment superintendent and voluntarily retired prior to finding out if his religious accommodation was granted. “Given the city’s indefinite excusal of Clark from working in person, receiving a vaccine, and getting tested for COVID-19, no reasonable employer would have felt resignation was Clark’s only option.”  He retired on March 31, 2022, at age 55, while his request for religious accommodation was pending. After Clark voluntarily retired the city granted all pending exemption requests. </w:t>
      </w:r>
      <w:hyperlink r:id="rId2152" w:history="1">
        <w:r w:rsidRPr="004441B2">
          <w:rPr>
            <w:rStyle w:val="Hyperlink"/>
            <w:rFonts w:ascii="Times New Roman" w:hAnsi="Times New Roman"/>
            <w:sz w:val="24"/>
            <w:szCs w:val="24"/>
          </w:rPr>
          <w:t>https://www4.courts.ca.gov/opinions/nonpub/B335656.PDF</w:t>
        </w:r>
      </w:hyperlink>
      <w:r w:rsidRPr="004441B2">
        <w:rPr>
          <w:rFonts w:ascii="Times New Roman" w:hAnsi="Times New Roman"/>
          <w:sz w:val="24"/>
          <w:szCs w:val="24"/>
        </w:rPr>
        <w:t xml:space="preserve"> </w:t>
      </w:r>
    </w:p>
    <w:p w14:paraId="36575230" w14:textId="77777777" w:rsidR="00C20E41" w:rsidRPr="004441B2" w:rsidRDefault="00C20E41" w:rsidP="00C20E41">
      <w:pPr>
        <w:rPr>
          <w:rFonts w:ascii="Times New Roman" w:hAnsi="Times New Roman"/>
          <w:bCs/>
          <w:sz w:val="24"/>
          <w:szCs w:val="24"/>
        </w:rPr>
      </w:pPr>
      <w:r w:rsidRPr="004441B2">
        <w:rPr>
          <w:rFonts w:ascii="Times New Roman" w:hAnsi="Times New Roman"/>
          <w:sz w:val="24"/>
          <w:szCs w:val="24"/>
        </w:rPr>
        <w:t>The Court wrote:</w:t>
      </w:r>
    </w:p>
    <w:p w14:paraId="4EF8BEF3" w14:textId="77777777" w:rsidR="00C20E41" w:rsidRPr="004441B2" w:rsidRDefault="00C20E41" w:rsidP="00C20E41">
      <w:pPr>
        <w:pStyle w:val="NoSpacing"/>
        <w:ind w:left="720"/>
        <w:rPr>
          <w:rFonts w:ascii="Times New Roman" w:hAnsi="Times New Roman"/>
          <w:bCs/>
          <w:sz w:val="24"/>
          <w:szCs w:val="24"/>
        </w:rPr>
      </w:pPr>
      <w:r w:rsidRPr="004441B2">
        <w:rPr>
          <w:rFonts w:ascii="Times New Roman" w:hAnsi="Times New Roman"/>
          <w:sz w:val="24"/>
          <w:szCs w:val="24"/>
        </w:rPr>
        <w:t>“Clark worked remotely from home starting in June 2021 due to his wife’s medical condition. He applied for and was granted modified intermittent family medical leave. Clark had a telephone conversation with Assistant Chief Richard Fields on December 1, 2021, in which Fields personally permitted Clark to continue to work remotely until March 2022. After that time, Clark would have to take early retirement or return to working in person. Fields told Clark that his religious exemption request was still under review. Clark was also informed that if his request for exemption was denied, it could be appealed to the Fire Chief.</w:t>
      </w:r>
    </w:p>
    <w:p w14:paraId="37C23D01" w14:textId="77777777" w:rsidR="00C20E41" w:rsidRPr="004441B2" w:rsidRDefault="00C20E41" w:rsidP="00C20E41">
      <w:pPr>
        <w:pStyle w:val="NoSpacing"/>
        <w:ind w:left="720"/>
        <w:rPr>
          <w:rFonts w:ascii="Times New Roman" w:hAnsi="Times New Roman"/>
          <w:bCs/>
          <w:sz w:val="24"/>
          <w:szCs w:val="24"/>
        </w:rPr>
      </w:pPr>
    </w:p>
    <w:p w14:paraId="31AB2934" w14:textId="77777777" w:rsidR="00C20E41" w:rsidRPr="004441B2" w:rsidRDefault="00C20E41" w:rsidP="00C20E41">
      <w:pPr>
        <w:pStyle w:val="NoSpacing"/>
        <w:ind w:left="720"/>
        <w:rPr>
          <w:rFonts w:ascii="Times New Roman" w:hAnsi="Times New Roman"/>
          <w:bCs/>
          <w:sz w:val="24"/>
          <w:szCs w:val="24"/>
        </w:rPr>
      </w:pPr>
      <w:r w:rsidRPr="004441B2">
        <w:rPr>
          <w:rFonts w:ascii="Times New Roman" w:hAnsi="Times New Roman"/>
          <w:sz w:val="24"/>
          <w:szCs w:val="24"/>
        </w:rPr>
        <w:t>***</w:t>
      </w:r>
    </w:p>
    <w:p w14:paraId="0E588191" w14:textId="77777777" w:rsidR="00C20E41" w:rsidRPr="004441B2" w:rsidRDefault="00C20E41" w:rsidP="00C20E41">
      <w:pPr>
        <w:pStyle w:val="NoSpacing"/>
        <w:ind w:firstLine="720"/>
        <w:rPr>
          <w:rFonts w:ascii="Times New Roman" w:hAnsi="Times New Roman"/>
          <w:sz w:val="24"/>
          <w:szCs w:val="24"/>
        </w:rPr>
      </w:pPr>
    </w:p>
    <w:p w14:paraId="746F4AB3" w14:textId="77777777" w:rsidR="00C20E41" w:rsidRPr="004441B2" w:rsidRDefault="00C20E41" w:rsidP="00C20E41">
      <w:pPr>
        <w:pStyle w:val="NoSpacing"/>
        <w:ind w:left="720"/>
        <w:rPr>
          <w:rFonts w:ascii="Times New Roman" w:hAnsi="Times New Roman"/>
          <w:sz w:val="24"/>
          <w:szCs w:val="24"/>
        </w:rPr>
      </w:pPr>
      <w:r w:rsidRPr="004441B2">
        <w:rPr>
          <w:rFonts w:ascii="Times New Roman" w:hAnsi="Times New Roman"/>
          <w:sz w:val="24"/>
          <w:szCs w:val="24"/>
        </w:rPr>
        <w:t>The city’s formal approval of Clark’s request for accommodation during the time of his employment was not necessary for the city to reasonably accommodate Clark, who was</w:t>
      </w:r>
    </w:p>
    <w:p w14:paraId="6C91A99D" w14:textId="77777777" w:rsidR="00C20E41" w:rsidRPr="004441B2" w:rsidRDefault="00C20E41" w:rsidP="00C20E41">
      <w:pPr>
        <w:pStyle w:val="NoSpacing"/>
        <w:ind w:left="720"/>
        <w:rPr>
          <w:rFonts w:ascii="Times New Roman" w:hAnsi="Times New Roman"/>
          <w:sz w:val="24"/>
          <w:szCs w:val="24"/>
        </w:rPr>
      </w:pPr>
      <w:r w:rsidRPr="004441B2">
        <w:rPr>
          <w:rFonts w:ascii="Times New Roman" w:hAnsi="Times New Roman"/>
          <w:sz w:val="24"/>
          <w:szCs w:val="24"/>
        </w:rPr>
        <w:t xml:space="preserve">permitted to work from home from March 2020 through March 2021 and from June 2021 through March 2022. He attended work in person for one day on March 30, 2022, the day before his retirement. Clark did not allege he was ever required to test for COVID-19 or receive a vaccine…. The city was not required to rapidly implement Clark’s preferred solution. Its decision to permit him to work from </w:t>
      </w:r>
      <w:proofErr w:type="gramStart"/>
      <w:r w:rsidRPr="004441B2">
        <w:rPr>
          <w:rFonts w:ascii="Times New Roman" w:hAnsi="Times New Roman"/>
          <w:sz w:val="24"/>
          <w:szCs w:val="24"/>
        </w:rPr>
        <w:t>home, and</w:t>
      </w:r>
      <w:proofErr w:type="gramEnd"/>
      <w:r w:rsidRPr="004441B2">
        <w:rPr>
          <w:rFonts w:ascii="Times New Roman" w:hAnsi="Times New Roman"/>
          <w:sz w:val="24"/>
          <w:szCs w:val="24"/>
        </w:rPr>
        <w:t xml:space="preserve"> not require him to get vaccinated or test for COVID-19 during the pendency of his accommodation request, was reasonable.”</w:t>
      </w:r>
    </w:p>
    <w:p w14:paraId="2B24DE27" w14:textId="77777777" w:rsidR="00C20E41" w:rsidRPr="004441B2" w:rsidRDefault="00C20E41" w:rsidP="00C20E41">
      <w:pPr>
        <w:pStyle w:val="NoSpacing"/>
        <w:rPr>
          <w:rFonts w:ascii="Times New Roman" w:hAnsi="Times New Roman"/>
          <w:b/>
          <w:bCs/>
          <w:sz w:val="24"/>
          <w:szCs w:val="24"/>
        </w:rPr>
      </w:pPr>
    </w:p>
    <w:p w14:paraId="406B4A38" w14:textId="77777777" w:rsidR="00C20E41" w:rsidRPr="004441B2" w:rsidRDefault="00C20E41" w:rsidP="00C20E41">
      <w:pPr>
        <w:pStyle w:val="NoSpacing"/>
        <w:rPr>
          <w:rFonts w:ascii="Times New Roman" w:hAnsi="Times New Roman"/>
          <w:b/>
          <w:bCs/>
          <w:sz w:val="24"/>
          <w:szCs w:val="24"/>
        </w:rPr>
      </w:pPr>
      <w:r w:rsidRPr="004441B2">
        <w:rPr>
          <w:rFonts w:ascii="Times New Roman" w:hAnsi="Times New Roman"/>
          <w:b/>
          <w:sz w:val="24"/>
          <w:szCs w:val="24"/>
        </w:rPr>
        <w:t xml:space="preserve">Legal Lesson Learned:  The firefighter’s voluntary retirement ended any need to accommodate him. </w:t>
      </w:r>
    </w:p>
    <w:p w14:paraId="26D58E01" w14:textId="77777777" w:rsidR="00816951" w:rsidRDefault="00816951" w:rsidP="002B1283">
      <w:pPr>
        <w:rPr>
          <w:rFonts w:ascii="Arial Black" w:hAnsi="Arial Black"/>
          <w:b/>
          <w:bCs/>
          <w:sz w:val="28"/>
          <w:szCs w:val="28"/>
        </w:rPr>
      </w:pPr>
    </w:p>
    <w:p w14:paraId="7EBA556C" w14:textId="77777777" w:rsidR="00C20E41" w:rsidRDefault="00C20E41" w:rsidP="002B1283">
      <w:pPr>
        <w:rPr>
          <w:rFonts w:ascii="Arial Black" w:hAnsi="Arial Black"/>
          <w:b/>
          <w:bCs/>
          <w:sz w:val="28"/>
          <w:szCs w:val="28"/>
        </w:rPr>
      </w:pPr>
    </w:p>
    <w:p w14:paraId="42C2CCD6" w14:textId="77777777" w:rsidR="00C20E41" w:rsidRDefault="00C20E41" w:rsidP="002B1283">
      <w:pPr>
        <w:rPr>
          <w:rFonts w:ascii="Arial Black" w:hAnsi="Arial Black"/>
          <w:b/>
          <w:bCs/>
          <w:sz w:val="28"/>
          <w:szCs w:val="28"/>
        </w:rPr>
      </w:pPr>
    </w:p>
    <w:p w14:paraId="593FB3CC" w14:textId="2211FAF7" w:rsidR="00B068BE" w:rsidRDefault="00D0461C" w:rsidP="002B1283">
      <w:pPr>
        <w:rPr>
          <w:rFonts w:ascii="Arial Black" w:hAnsi="Arial Black"/>
          <w:b/>
          <w:bCs/>
          <w:sz w:val="28"/>
          <w:szCs w:val="28"/>
        </w:rPr>
      </w:pPr>
      <w:r>
        <w:rPr>
          <w:rFonts w:ascii="Arial Black" w:hAnsi="Arial Black"/>
          <w:b/>
          <w:bCs/>
          <w:sz w:val="28"/>
          <w:szCs w:val="28"/>
        </w:rPr>
        <w:t>13-201</w:t>
      </w:r>
    </w:p>
    <w:p w14:paraId="500DE5E1" w14:textId="72D41B40" w:rsidR="00D0461C" w:rsidRDefault="00D0461C" w:rsidP="00D0461C">
      <w:pPr>
        <w:pStyle w:val="NoSpacing"/>
        <w:rPr>
          <w:rFonts w:ascii="Arial Black" w:hAnsi="Arial Black"/>
          <w:b/>
          <w:sz w:val="28"/>
          <w:szCs w:val="28"/>
        </w:rPr>
      </w:pPr>
      <w:r>
        <w:rPr>
          <w:rFonts w:ascii="Arial Black" w:hAnsi="Arial Black"/>
          <w:b/>
          <w:sz w:val="28"/>
          <w:szCs w:val="28"/>
        </w:rPr>
        <w:t xml:space="preserve">CA: COVID-19 – BC </w:t>
      </w:r>
      <w:r w:rsidR="007D512D">
        <w:rPr>
          <w:rFonts w:ascii="Arial Black" w:hAnsi="Arial Black"/>
          <w:b/>
          <w:sz w:val="28"/>
          <w:szCs w:val="28"/>
        </w:rPr>
        <w:t>SUSP</w:t>
      </w:r>
      <w:r>
        <w:rPr>
          <w:rFonts w:ascii="Arial Black" w:hAnsi="Arial Black"/>
          <w:b/>
          <w:sz w:val="28"/>
          <w:szCs w:val="28"/>
        </w:rPr>
        <w:t>–</w:t>
      </w:r>
      <w:r w:rsidR="007D512D">
        <w:rPr>
          <w:rFonts w:ascii="Arial Black" w:hAnsi="Arial Black"/>
          <w:b/>
          <w:sz w:val="28"/>
          <w:szCs w:val="28"/>
        </w:rPr>
        <w:t xml:space="preserve"> </w:t>
      </w:r>
      <w:r w:rsidR="00817397">
        <w:rPr>
          <w:rFonts w:ascii="Arial Black" w:hAnsi="Arial Black"/>
          <w:b/>
          <w:sz w:val="28"/>
          <w:szCs w:val="28"/>
        </w:rPr>
        <w:t xml:space="preserve">NO </w:t>
      </w:r>
      <w:r w:rsidR="007D512D">
        <w:rPr>
          <w:rFonts w:ascii="Arial Black" w:hAnsi="Arial Black"/>
          <w:b/>
          <w:sz w:val="28"/>
          <w:szCs w:val="28"/>
        </w:rPr>
        <w:t xml:space="preserve">PRE-DISCIPLINARY HEARING REQ. </w:t>
      </w:r>
    </w:p>
    <w:p w14:paraId="4038BDC8" w14:textId="77777777" w:rsidR="00D0461C" w:rsidRDefault="00D0461C" w:rsidP="00D0461C">
      <w:pPr>
        <w:pStyle w:val="NoSpacing"/>
        <w:rPr>
          <w:rFonts w:ascii="Arial Black" w:hAnsi="Arial Black"/>
          <w:b/>
          <w:sz w:val="28"/>
          <w:szCs w:val="28"/>
        </w:rPr>
      </w:pPr>
    </w:p>
    <w:p w14:paraId="5BD581B7" w14:textId="77777777" w:rsidR="00D0461C" w:rsidRPr="00D0461C" w:rsidRDefault="00D0461C" w:rsidP="00D0461C">
      <w:pPr>
        <w:pStyle w:val="NoSpacing"/>
        <w:rPr>
          <w:rStyle w:val="Hyperlink"/>
          <w:rFonts w:ascii="Times New Roman" w:hAnsi="Times New Roman"/>
          <w:sz w:val="24"/>
          <w:szCs w:val="24"/>
        </w:rPr>
      </w:pPr>
      <w:r w:rsidRPr="00D0461C">
        <w:rPr>
          <w:rFonts w:ascii="Times New Roman" w:hAnsi="Times New Roman"/>
          <w:sz w:val="24"/>
          <w:szCs w:val="24"/>
        </w:rPr>
        <w:t xml:space="preserve">On Dec. 10, 2024, in </w:t>
      </w:r>
      <w:r w:rsidRPr="00D0461C">
        <w:rPr>
          <w:rFonts w:ascii="Times New Roman" w:hAnsi="Times New Roman"/>
          <w:sz w:val="24"/>
          <w:szCs w:val="24"/>
          <w:u w:val="single"/>
        </w:rPr>
        <w:t>Robert L. Kilpatrick v. City of Los Angeles</w:t>
      </w:r>
      <w:r w:rsidRPr="00D0461C">
        <w:rPr>
          <w:rFonts w:ascii="Times New Roman" w:hAnsi="Times New Roman"/>
          <w:sz w:val="24"/>
          <w:szCs w:val="24"/>
        </w:rPr>
        <w:t xml:space="preserve">, the Court of Appeals, Second District, Third Division, held that the Battalion Chief with 34 years of service was not entitled to a pre-disciplinary hearing prior to suspension, thereby overturning a Superior Court judge that held the City Charter required a hearing and decision by the City Board of Rights.  On Nov. 9, </w:t>
      </w:r>
      <w:proofErr w:type="gramStart"/>
      <w:r w:rsidRPr="00D0461C">
        <w:rPr>
          <w:rFonts w:ascii="Times New Roman" w:hAnsi="Times New Roman"/>
          <w:sz w:val="24"/>
          <w:szCs w:val="24"/>
        </w:rPr>
        <w:t>2021</w:t>
      </w:r>
      <w:proofErr w:type="gramEnd"/>
      <w:r w:rsidRPr="00D0461C">
        <w:rPr>
          <w:rFonts w:ascii="Times New Roman" w:hAnsi="Times New Roman"/>
          <w:sz w:val="24"/>
          <w:szCs w:val="24"/>
        </w:rPr>
        <w:t xml:space="preserve"> he was given Notice of  Charges for not getting a COVID vaccination; the Notice provided Kilpatrick at least 48 hours to either confirm he had complied with the vaccine mandate, or agreed that he would comply by December 18, 2021, and signing an agreement.  Kilpatrick did not sign. On November 12, 2021, the </w:t>
      </w:r>
      <w:proofErr w:type="gramStart"/>
      <w:r w:rsidRPr="00D0461C">
        <w:rPr>
          <w:rFonts w:ascii="Times New Roman" w:hAnsi="Times New Roman"/>
          <w:sz w:val="24"/>
          <w:szCs w:val="24"/>
        </w:rPr>
        <w:t>City</w:t>
      </w:r>
      <w:proofErr w:type="gramEnd"/>
      <w:r w:rsidRPr="00D0461C">
        <w:rPr>
          <w:rFonts w:ascii="Times New Roman" w:hAnsi="Times New Roman"/>
          <w:sz w:val="24"/>
          <w:szCs w:val="24"/>
        </w:rPr>
        <w:t xml:space="preserve"> placed him off duty without pay . A virtual hearing took place on December 21, 2021, and Kilpatrick left the hearing after the </w:t>
      </w:r>
      <w:proofErr w:type="gramStart"/>
      <w:r w:rsidRPr="00D0461C">
        <w:rPr>
          <w:rFonts w:ascii="Times New Roman" w:hAnsi="Times New Roman"/>
          <w:sz w:val="24"/>
          <w:szCs w:val="24"/>
        </w:rPr>
        <w:t>City</w:t>
      </w:r>
      <w:proofErr w:type="gramEnd"/>
      <w:r w:rsidRPr="00D0461C">
        <w:rPr>
          <w:rFonts w:ascii="Times New Roman" w:hAnsi="Times New Roman"/>
          <w:sz w:val="24"/>
          <w:szCs w:val="24"/>
        </w:rPr>
        <w:t xml:space="preserve"> refused to produce materials he requested. </w:t>
      </w:r>
      <w:hyperlink r:id="rId2153" w:history="1">
        <w:r w:rsidRPr="00D0461C">
          <w:rPr>
            <w:rStyle w:val="Hyperlink"/>
            <w:rFonts w:ascii="Times New Roman" w:hAnsi="Times New Roman"/>
            <w:sz w:val="24"/>
            <w:szCs w:val="24"/>
          </w:rPr>
          <w:t>https://casetext.com/case/kilpatrick-v-city-of-l-a</w:t>
        </w:r>
      </w:hyperlink>
    </w:p>
    <w:p w14:paraId="7F6490A4" w14:textId="77777777" w:rsidR="00D0461C" w:rsidRDefault="00D0461C" w:rsidP="002B1283">
      <w:pPr>
        <w:rPr>
          <w:rFonts w:ascii="Arial Black" w:hAnsi="Arial Black"/>
          <w:b/>
          <w:bCs/>
          <w:sz w:val="28"/>
          <w:szCs w:val="28"/>
        </w:rPr>
      </w:pPr>
    </w:p>
    <w:p w14:paraId="011FFA4D" w14:textId="77777777" w:rsidR="00264893" w:rsidRPr="00264893" w:rsidRDefault="00264893" w:rsidP="00264893">
      <w:pPr>
        <w:pStyle w:val="NoSpacing"/>
        <w:rPr>
          <w:rFonts w:ascii="Times New Roman" w:hAnsi="Times New Roman"/>
          <w:sz w:val="24"/>
          <w:szCs w:val="24"/>
        </w:rPr>
      </w:pPr>
      <w:r w:rsidRPr="00264893">
        <w:rPr>
          <w:rFonts w:ascii="Times New Roman" w:hAnsi="Times New Roman"/>
          <w:sz w:val="24"/>
          <w:szCs w:val="24"/>
        </w:rPr>
        <w:t xml:space="preserve">The Court wrote: </w:t>
      </w:r>
    </w:p>
    <w:p w14:paraId="42D20495" w14:textId="77777777" w:rsidR="00264893" w:rsidRPr="00264893" w:rsidRDefault="00264893" w:rsidP="00264893">
      <w:pPr>
        <w:pStyle w:val="NoSpacing"/>
        <w:rPr>
          <w:rFonts w:ascii="Times New Roman" w:hAnsi="Times New Roman"/>
          <w:sz w:val="24"/>
          <w:szCs w:val="24"/>
        </w:rPr>
      </w:pPr>
    </w:p>
    <w:p w14:paraId="0E06B335" w14:textId="61DC4BEA" w:rsidR="00264893" w:rsidRPr="00264893" w:rsidRDefault="00264893" w:rsidP="00264893">
      <w:pPr>
        <w:pStyle w:val="NoSpacing"/>
        <w:ind w:left="720"/>
        <w:rPr>
          <w:rFonts w:ascii="Times New Roman" w:hAnsi="Times New Roman"/>
          <w:sz w:val="24"/>
          <w:szCs w:val="24"/>
        </w:rPr>
      </w:pPr>
      <w:r w:rsidRPr="00264893">
        <w:rPr>
          <w:rFonts w:ascii="Times New Roman" w:hAnsi="Times New Roman"/>
          <w:sz w:val="24"/>
          <w:szCs w:val="24"/>
        </w:rPr>
        <w:t xml:space="preserve">“Kilpatrick received notice of the charges against him and had a short period to respond prior to being temporarily removed from duty. He received further post-suspension notice and the opportunity to be heard and respond in real time less than six weeks later. Under the circumstances of this </w:t>
      </w:r>
      <w:proofErr w:type="gramStart"/>
      <w:r w:rsidRPr="00264893">
        <w:rPr>
          <w:rFonts w:ascii="Times New Roman" w:hAnsi="Times New Roman"/>
          <w:sz w:val="24"/>
          <w:szCs w:val="24"/>
        </w:rPr>
        <w:t>case, and</w:t>
      </w:r>
      <w:proofErr w:type="gramEnd"/>
      <w:r w:rsidRPr="00264893">
        <w:rPr>
          <w:rFonts w:ascii="Times New Roman" w:hAnsi="Times New Roman"/>
          <w:sz w:val="24"/>
          <w:szCs w:val="24"/>
        </w:rPr>
        <w:t xml:space="preserve"> considering the three distinct factors necessary to determine what process was constitutionally due, we conclude the City's procedure was constitutionally sufficient. Kilpatrick received the ‘</w:t>
      </w:r>
      <w:proofErr w:type="spellStart"/>
      <w:r w:rsidRPr="00264893">
        <w:rPr>
          <w:rFonts w:ascii="Times New Roman" w:hAnsi="Times New Roman"/>
          <w:sz w:val="24"/>
          <w:szCs w:val="24"/>
        </w:rPr>
        <w:t>predisciplinary</w:t>
      </w:r>
      <w:proofErr w:type="spellEnd"/>
      <w:r w:rsidRPr="00264893">
        <w:rPr>
          <w:rFonts w:ascii="Times New Roman" w:hAnsi="Times New Roman"/>
          <w:sz w:val="24"/>
          <w:szCs w:val="24"/>
        </w:rPr>
        <w:t xml:space="preserve"> procedures otherwise required by law’….” </w:t>
      </w:r>
    </w:p>
    <w:p w14:paraId="3215A67C" w14:textId="77777777" w:rsidR="00264893" w:rsidRPr="00264893" w:rsidRDefault="00264893" w:rsidP="00264893">
      <w:pPr>
        <w:pStyle w:val="NoSpacing"/>
        <w:rPr>
          <w:rFonts w:ascii="Times New Roman" w:hAnsi="Times New Roman"/>
          <w:sz w:val="24"/>
          <w:szCs w:val="24"/>
        </w:rPr>
      </w:pPr>
    </w:p>
    <w:p w14:paraId="02D94DC9" w14:textId="77777777" w:rsidR="00264893" w:rsidRPr="00264893" w:rsidRDefault="00264893" w:rsidP="00264893">
      <w:pPr>
        <w:pStyle w:val="NoSpacing"/>
        <w:rPr>
          <w:rFonts w:ascii="Times New Roman" w:hAnsi="Times New Roman"/>
          <w:sz w:val="24"/>
          <w:szCs w:val="24"/>
        </w:rPr>
      </w:pPr>
      <w:r w:rsidRPr="00264893">
        <w:rPr>
          <w:rFonts w:ascii="Times New Roman" w:hAnsi="Times New Roman"/>
          <w:sz w:val="24"/>
          <w:szCs w:val="24"/>
        </w:rPr>
        <w:t>HOLDING:</w:t>
      </w:r>
    </w:p>
    <w:p w14:paraId="6589C4F9" w14:textId="77777777" w:rsidR="00264893" w:rsidRPr="00264893" w:rsidRDefault="00264893" w:rsidP="00264893">
      <w:pPr>
        <w:pStyle w:val="NoSpacing"/>
        <w:rPr>
          <w:rFonts w:ascii="Times New Roman" w:hAnsi="Times New Roman"/>
          <w:sz w:val="24"/>
          <w:szCs w:val="24"/>
        </w:rPr>
      </w:pPr>
    </w:p>
    <w:p w14:paraId="7156840F" w14:textId="77777777" w:rsidR="00264893" w:rsidRPr="00264893" w:rsidRDefault="00264893" w:rsidP="00264893">
      <w:pPr>
        <w:pStyle w:val="NoSpacing"/>
        <w:ind w:left="720"/>
        <w:rPr>
          <w:rFonts w:ascii="Times New Roman" w:hAnsi="Times New Roman"/>
          <w:sz w:val="24"/>
          <w:szCs w:val="24"/>
        </w:rPr>
      </w:pPr>
      <w:r w:rsidRPr="00264893">
        <w:rPr>
          <w:rFonts w:ascii="Times New Roman" w:hAnsi="Times New Roman"/>
          <w:sz w:val="24"/>
          <w:szCs w:val="24"/>
        </w:rPr>
        <w:t xml:space="preserve">“Under the circumstances of this </w:t>
      </w:r>
      <w:proofErr w:type="gramStart"/>
      <w:r w:rsidRPr="00264893">
        <w:rPr>
          <w:rFonts w:ascii="Times New Roman" w:hAnsi="Times New Roman"/>
          <w:sz w:val="24"/>
          <w:szCs w:val="24"/>
        </w:rPr>
        <w:t>case, and</w:t>
      </w:r>
      <w:proofErr w:type="gramEnd"/>
      <w:r w:rsidRPr="00264893">
        <w:rPr>
          <w:rFonts w:ascii="Times New Roman" w:hAnsi="Times New Roman"/>
          <w:sz w:val="24"/>
          <w:szCs w:val="24"/>
        </w:rPr>
        <w:t xml:space="preserve"> considering the three distinct factors necessary to determine what process was constitutionally due, we conclude the City's procedure was constitutionally sufficient. Kilpatrick received the ‘pre-disciplinary procedures otherwise required by law’ pursuant to [City Charter] section 1060(b).”</w:t>
      </w:r>
    </w:p>
    <w:p w14:paraId="1F15311B" w14:textId="77777777" w:rsidR="00264893" w:rsidRPr="00264893" w:rsidRDefault="00264893" w:rsidP="00264893">
      <w:pPr>
        <w:pStyle w:val="NoSpacing"/>
        <w:ind w:left="720"/>
        <w:rPr>
          <w:rFonts w:ascii="Times New Roman" w:hAnsi="Times New Roman"/>
          <w:sz w:val="24"/>
          <w:szCs w:val="24"/>
        </w:rPr>
      </w:pPr>
    </w:p>
    <w:p w14:paraId="0B09A3D1" w14:textId="77777777" w:rsidR="00264893" w:rsidRPr="005E03F7" w:rsidRDefault="00264893" w:rsidP="00264893">
      <w:pPr>
        <w:pStyle w:val="NoSpacing"/>
        <w:rPr>
          <w:b/>
        </w:rPr>
      </w:pPr>
      <w:r w:rsidRPr="00264893">
        <w:rPr>
          <w:rFonts w:ascii="Times New Roman" w:hAnsi="Times New Roman"/>
          <w:b/>
          <w:sz w:val="24"/>
          <w:szCs w:val="24"/>
        </w:rPr>
        <w:t xml:space="preserve">Legal Lesson Learned: COVID-19 concerns required prompt decision making; a virtual hearing after suspension was adequate due process. </w:t>
      </w:r>
      <w:r>
        <w:rPr>
          <w:b/>
        </w:rPr>
        <w:t xml:space="preserve"> </w:t>
      </w:r>
    </w:p>
    <w:p w14:paraId="37422F5E" w14:textId="77777777" w:rsidR="00264893" w:rsidRDefault="00264893" w:rsidP="002B1283">
      <w:pPr>
        <w:rPr>
          <w:rFonts w:ascii="Arial Black" w:hAnsi="Arial Black"/>
          <w:b/>
          <w:bCs/>
          <w:sz w:val="28"/>
          <w:szCs w:val="28"/>
        </w:rPr>
      </w:pPr>
    </w:p>
    <w:p w14:paraId="5EA2F476" w14:textId="77777777" w:rsidR="002D13B2" w:rsidRDefault="002D13B2" w:rsidP="002B1283">
      <w:pPr>
        <w:rPr>
          <w:rFonts w:ascii="Arial Black" w:hAnsi="Arial Black"/>
          <w:b/>
          <w:bCs/>
          <w:sz w:val="28"/>
          <w:szCs w:val="28"/>
        </w:rPr>
      </w:pPr>
    </w:p>
    <w:p w14:paraId="267382B2" w14:textId="77777777" w:rsidR="002D13B2" w:rsidRDefault="002D13B2" w:rsidP="002B1283">
      <w:pPr>
        <w:rPr>
          <w:rFonts w:ascii="Arial Black" w:hAnsi="Arial Black"/>
          <w:b/>
          <w:bCs/>
          <w:sz w:val="28"/>
          <w:szCs w:val="28"/>
        </w:rPr>
      </w:pPr>
    </w:p>
    <w:p w14:paraId="13822043" w14:textId="77777777" w:rsidR="00B068BE" w:rsidRDefault="00B068BE" w:rsidP="002B1283">
      <w:pPr>
        <w:rPr>
          <w:rFonts w:ascii="Arial Black" w:hAnsi="Arial Black"/>
          <w:b/>
          <w:bCs/>
          <w:sz w:val="28"/>
          <w:szCs w:val="28"/>
        </w:rPr>
      </w:pPr>
    </w:p>
    <w:p w14:paraId="16CEDB03" w14:textId="77777777" w:rsidR="00B068BE" w:rsidRDefault="00B068BE" w:rsidP="002B1283">
      <w:pPr>
        <w:rPr>
          <w:rFonts w:ascii="Arial Black" w:hAnsi="Arial Black"/>
          <w:b/>
          <w:bCs/>
          <w:sz w:val="28"/>
          <w:szCs w:val="28"/>
        </w:rPr>
      </w:pPr>
    </w:p>
    <w:p w14:paraId="0BA76DB0" w14:textId="021C6803" w:rsidR="00FE343A" w:rsidRDefault="00FE343A" w:rsidP="002B1283">
      <w:pPr>
        <w:rPr>
          <w:rFonts w:ascii="Arial Black" w:hAnsi="Arial Black"/>
          <w:b/>
          <w:bCs/>
          <w:sz w:val="28"/>
          <w:szCs w:val="28"/>
        </w:rPr>
      </w:pPr>
      <w:r>
        <w:rPr>
          <w:rFonts w:ascii="Arial Black" w:hAnsi="Arial Black"/>
          <w:b/>
          <w:bCs/>
          <w:sz w:val="28"/>
          <w:szCs w:val="28"/>
        </w:rPr>
        <w:t>13-20</w:t>
      </w:r>
      <w:r w:rsidR="0026657A">
        <w:rPr>
          <w:rFonts w:ascii="Arial Black" w:hAnsi="Arial Black"/>
          <w:b/>
          <w:bCs/>
          <w:sz w:val="28"/>
          <w:szCs w:val="28"/>
        </w:rPr>
        <w:t>0</w:t>
      </w:r>
    </w:p>
    <w:p w14:paraId="4E942143" w14:textId="4BDCC04C" w:rsidR="0026657A" w:rsidRPr="00F71BFB" w:rsidRDefault="00BD7394" w:rsidP="0026657A">
      <w:pPr>
        <w:pStyle w:val="NoSpacing"/>
        <w:rPr>
          <w:rFonts w:ascii="Arial Black" w:hAnsi="Arial Black"/>
          <w:bCs/>
          <w:sz w:val="28"/>
          <w:szCs w:val="28"/>
        </w:rPr>
      </w:pPr>
      <w:r>
        <w:rPr>
          <w:rFonts w:ascii="Arial Black" w:hAnsi="Arial Black"/>
          <w:sz w:val="28"/>
          <w:szCs w:val="28"/>
        </w:rPr>
        <w:t xml:space="preserve">U.S. DEPT. </w:t>
      </w:r>
      <w:r w:rsidR="0026657A">
        <w:rPr>
          <w:rFonts w:ascii="Arial Black" w:hAnsi="Arial Black"/>
          <w:sz w:val="28"/>
          <w:szCs w:val="28"/>
        </w:rPr>
        <w:t>V</w:t>
      </w:r>
      <w:r w:rsidR="00A95D36">
        <w:rPr>
          <w:rFonts w:ascii="Arial Black" w:hAnsi="Arial Black"/>
          <w:sz w:val="28"/>
          <w:szCs w:val="28"/>
        </w:rPr>
        <w:t xml:space="preserve">ETERANS AFFAIR - </w:t>
      </w:r>
      <w:r w:rsidR="002470FD">
        <w:rPr>
          <w:rFonts w:ascii="Arial Black" w:hAnsi="Arial Black"/>
          <w:sz w:val="28"/>
          <w:szCs w:val="28"/>
        </w:rPr>
        <w:t xml:space="preserve">CANNOT </w:t>
      </w:r>
      <w:r w:rsidR="00A95D36">
        <w:rPr>
          <w:rFonts w:ascii="Arial Black" w:hAnsi="Arial Black"/>
          <w:sz w:val="28"/>
          <w:szCs w:val="28"/>
        </w:rPr>
        <w:t>L</w:t>
      </w:r>
      <w:r w:rsidR="0026657A">
        <w:rPr>
          <w:rFonts w:ascii="Arial Black" w:hAnsi="Arial Black"/>
          <w:sz w:val="28"/>
          <w:szCs w:val="28"/>
        </w:rPr>
        <w:t xml:space="preserve">OWER TRAVEL RATE </w:t>
      </w:r>
    </w:p>
    <w:p w14:paraId="23CCE8D3" w14:textId="77777777" w:rsidR="0026657A" w:rsidRDefault="0026657A" w:rsidP="0026657A">
      <w:pPr>
        <w:pStyle w:val="NoSpacing"/>
        <w:rPr>
          <w:bCs/>
        </w:rPr>
      </w:pPr>
    </w:p>
    <w:p w14:paraId="68D8B8DF" w14:textId="77777777" w:rsidR="00B15FBB" w:rsidRPr="00B00E74" w:rsidRDefault="00B15FBB" w:rsidP="00B00E74">
      <w:pPr>
        <w:pStyle w:val="NoSpacing"/>
        <w:rPr>
          <w:rFonts w:ascii="Times New Roman" w:hAnsi="Times New Roman"/>
          <w:bCs/>
          <w:sz w:val="24"/>
          <w:szCs w:val="24"/>
        </w:rPr>
      </w:pPr>
      <w:r w:rsidRPr="00B00E74">
        <w:rPr>
          <w:rFonts w:ascii="Times New Roman" w:hAnsi="Times New Roman"/>
          <w:sz w:val="24"/>
          <w:szCs w:val="24"/>
        </w:rPr>
        <w:t xml:space="preserve">On Dec. 9, 2024, in </w:t>
      </w:r>
      <w:r w:rsidRPr="00B00E74">
        <w:rPr>
          <w:rFonts w:ascii="Times New Roman" w:hAnsi="Times New Roman"/>
          <w:sz w:val="24"/>
          <w:szCs w:val="24"/>
          <w:u w:val="single"/>
        </w:rPr>
        <w:t>Metropolitan Area EMS Authority, et al. v. Secretary of Veteran Affairs</w:t>
      </w:r>
      <w:r w:rsidRPr="00B00E74">
        <w:rPr>
          <w:rFonts w:ascii="Times New Roman" w:hAnsi="Times New Roman"/>
          <w:sz w:val="24"/>
          <w:szCs w:val="24"/>
        </w:rPr>
        <w:t xml:space="preserve">, the United States Court of Appeals for the Federal Circuit (D.C.) held (3 to 0) that Congress did not authorize VA to implement reduced ambulance travel reimbursement using Medicare rate for transports that are to “other places” instead of to or from a VA facility (for example, to a nursing home).  The Court relied on U.S. Supreme Court’s landmark June 28, </w:t>
      </w:r>
      <w:proofErr w:type="gramStart"/>
      <w:r w:rsidRPr="00B00E74">
        <w:rPr>
          <w:rFonts w:ascii="Times New Roman" w:hAnsi="Times New Roman"/>
          <w:sz w:val="24"/>
          <w:szCs w:val="24"/>
        </w:rPr>
        <w:t>2024</w:t>
      </w:r>
      <w:proofErr w:type="gramEnd"/>
      <w:r w:rsidRPr="00B00E74">
        <w:rPr>
          <w:rFonts w:ascii="Times New Roman" w:hAnsi="Times New Roman"/>
          <w:sz w:val="24"/>
          <w:szCs w:val="24"/>
        </w:rPr>
        <w:t xml:space="preserve"> decision, setting aside the “Chevron doctrine” where federal courts normally followed Agency interpretation of Congressional statutes. </w:t>
      </w:r>
      <w:hyperlink r:id="rId2154" w:history="1">
        <w:r w:rsidRPr="00B00E74">
          <w:rPr>
            <w:rStyle w:val="Hyperlink"/>
            <w:rFonts w:ascii="Times New Roman" w:hAnsi="Times New Roman"/>
            <w:sz w:val="24"/>
            <w:szCs w:val="24"/>
          </w:rPr>
          <w:t>https://cafc.uscourts.gov/opinions-orders/24-1104.OPINION.12-9-2024_2432337.pdf</w:t>
        </w:r>
      </w:hyperlink>
      <w:r w:rsidRPr="00B00E74">
        <w:rPr>
          <w:rFonts w:ascii="Times New Roman" w:hAnsi="Times New Roman"/>
          <w:sz w:val="24"/>
          <w:szCs w:val="24"/>
        </w:rPr>
        <w:t xml:space="preserve"> </w:t>
      </w:r>
    </w:p>
    <w:p w14:paraId="5D3920BF" w14:textId="77777777" w:rsidR="00B15FBB" w:rsidRDefault="00B15FBB" w:rsidP="00B15FBB">
      <w:pPr>
        <w:pStyle w:val="NoSpacing"/>
        <w:ind w:left="720"/>
        <w:rPr>
          <w:bCs/>
        </w:rPr>
      </w:pPr>
    </w:p>
    <w:p w14:paraId="0B5080D8" w14:textId="0064CB66" w:rsidR="0026657A" w:rsidRPr="0026657A" w:rsidRDefault="0026657A" w:rsidP="0026657A">
      <w:pPr>
        <w:pStyle w:val="NoSpacing"/>
        <w:rPr>
          <w:rFonts w:ascii="Times New Roman" w:hAnsi="Times New Roman"/>
          <w:bCs/>
          <w:sz w:val="24"/>
          <w:szCs w:val="24"/>
        </w:rPr>
      </w:pPr>
      <w:r w:rsidRPr="0026657A">
        <w:rPr>
          <w:rFonts w:ascii="Times New Roman" w:hAnsi="Times New Roman"/>
          <w:sz w:val="24"/>
          <w:szCs w:val="24"/>
        </w:rPr>
        <w:t>The Court of Appeals wrote:</w:t>
      </w:r>
    </w:p>
    <w:p w14:paraId="2A6B862F" w14:textId="77777777" w:rsidR="0026657A" w:rsidRPr="0026657A" w:rsidRDefault="0026657A" w:rsidP="0026657A">
      <w:pPr>
        <w:pStyle w:val="NoSpacing"/>
        <w:rPr>
          <w:rFonts w:ascii="Times New Roman" w:hAnsi="Times New Roman"/>
          <w:bCs/>
          <w:sz w:val="24"/>
          <w:szCs w:val="24"/>
        </w:rPr>
      </w:pPr>
    </w:p>
    <w:p w14:paraId="7A0776E3"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“In 2018, the VA Office of Inspector General (OIG) faulted the VA for failing to realize $11 million in savings for ambulance services between October 2012 and December 2015 due to the VA’s failure to exercise its discretionary authority under § 111(b)(3)(C) to pay ‘the lesser of the actual charge for the transportation or the [Medicare fee schedule (MFS)] amount” for noncontract ambulance services.</w:t>
      </w:r>
    </w:p>
    <w:p w14:paraId="0B68DD0D" w14:textId="77777777" w:rsidR="0026657A" w:rsidRPr="0026657A" w:rsidRDefault="0026657A" w:rsidP="0026657A">
      <w:pPr>
        <w:pStyle w:val="NoSpacing"/>
        <w:ind w:left="720"/>
        <w:rPr>
          <w:rFonts w:ascii="Times New Roman" w:hAnsi="Times New Roman"/>
          <w:bCs/>
          <w:sz w:val="24"/>
          <w:szCs w:val="24"/>
        </w:rPr>
      </w:pPr>
    </w:p>
    <w:p w14:paraId="50F4F57E"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w:t>
      </w:r>
    </w:p>
    <w:p w14:paraId="607ABE56"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 xml:space="preserve">Thus, while in § 111(a) Congress authorized the Secretary to ‘pay the actual necessary expense’ for travel ‘to or from a </w:t>
      </w:r>
      <w:proofErr w:type="gramStart"/>
      <w:r w:rsidRPr="0026657A">
        <w:rPr>
          <w:rFonts w:ascii="Times New Roman" w:hAnsi="Times New Roman"/>
          <w:sz w:val="24"/>
          <w:szCs w:val="24"/>
        </w:rPr>
        <w:t>Department</w:t>
      </w:r>
      <w:proofErr w:type="gramEnd"/>
      <w:r w:rsidRPr="0026657A">
        <w:rPr>
          <w:rFonts w:ascii="Times New Roman" w:hAnsi="Times New Roman"/>
          <w:sz w:val="24"/>
          <w:szCs w:val="24"/>
        </w:rPr>
        <w:t xml:space="preserve"> facility or other place,’ Congress only</w:t>
      </w:r>
    </w:p>
    <w:p w14:paraId="32576A7E" w14:textId="06176095" w:rsidR="0026657A" w:rsidRDefault="0026657A" w:rsidP="00B00E74">
      <w:pPr>
        <w:pStyle w:val="NoSpacing"/>
        <w:ind w:left="720"/>
        <w:rPr>
          <w:rFonts w:ascii="Arial Black" w:hAnsi="Arial Black"/>
          <w:b/>
          <w:bCs/>
          <w:sz w:val="28"/>
          <w:szCs w:val="28"/>
        </w:rPr>
      </w:pPr>
      <w:r w:rsidRPr="0026657A">
        <w:rPr>
          <w:rFonts w:ascii="Times New Roman" w:hAnsi="Times New Roman"/>
          <w:sz w:val="24"/>
          <w:szCs w:val="24"/>
        </w:rPr>
        <w:t xml:space="preserve">authorized the Secretary in § 111(b)(3)(C) to apply the ‘lessor of’ payment methodology for transports ‘to or from a </w:t>
      </w:r>
      <w:proofErr w:type="gramStart"/>
      <w:r w:rsidRPr="0026657A">
        <w:rPr>
          <w:rFonts w:ascii="Times New Roman" w:hAnsi="Times New Roman"/>
          <w:sz w:val="24"/>
          <w:szCs w:val="24"/>
        </w:rPr>
        <w:t>Department</w:t>
      </w:r>
      <w:proofErr w:type="gramEnd"/>
      <w:r w:rsidRPr="0026657A">
        <w:rPr>
          <w:rFonts w:ascii="Times New Roman" w:hAnsi="Times New Roman"/>
          <w:sz w:val="24"/>
          <w:szCs w:val="24"/>
        </w:rPr>
        <w:t xml:space="preserve"> facility by ambulance.’ Conspicuously missing from § 111(b)(3)(C) is the ‘or other place’ language that Congress expressly stated in the earlier subsection.”   </w:t>
      </w:r>
    </w:p>
    <w:p w14:paraId="289D7B05" w14:textId="77777777" w:rsidR="00B00E74" w:rsidRDefault="00B00E74" w:rsidP="00F34D2E">
      <w:pPr>
        <w:pStyle w:val="NoSpacing"/>
        <w:rPr>
          <w:rFonts w:ascii="Times New Roman" w:hAnsi="Times New Roman"/>
          <w:sz w:val="24"/>
          <w:szCs w:val="24"/>
        </w:rPr>
      </w:pPr>
    </w:p>
    <w:p w14:paraId="03EDED95" w14:textId="52086F2A" w:rsidR="00F34D2E" w:rsidRPr="00F34D2E" w:rsidRDefault="00F34D2E" w:rsidP="00F34D2E">
      <w:pPr>
        <w:pStyle w:val="NoSpacing"/>
        <w:rPr>
          <w:rFonts w:ascii="Times New Roman" w:hAnsi="Times New Roman"/>
          <w:bCs/>
          <w:sz w:val="24"/>
          <w:szCs w:val="24"/>
        </w:rPr>
      </w:pPr>
      <w:r w:rsidRPr="00F34D2E">
        <w:rPr>
          <w:rFonts w:ascii="Times New Roman" w:hAnsi="Times New Roman"/>
          <w:sz w:val="24"/>
          <w:szCs w:val="24"/>
        </w:rPr>
        <w:t>HOLDING:</w:t>
      </w:r>
    </w:p>
    <w:p w14:paraId="59C015BD" w14:textId="77777777" w:rsidR="00F34D2E" w:rsidRPr="00F34D2E" w:rsidRDefault="00F34D2E" w:rsidP="00F34D2E">
      <w:pPr>
        <w:pStyle w:val="NoSpacing"/>
        <w:rPr>
          <w:rFonts w:ascii="Times New Roman" w:hAnsi="Times New Roman"/>
          <w:bCs/>
          <w:sz w:val="24"/>
          <w:szCs w:val="24"/>
        </w:rPr>
      </w:pPr>
    </w:p>
    <w:p w14:paraId="390EDEBC"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”In overturning Chevron, the Supreme Court in Loper Bright held that Chevron’s step-two requirement that a reviewing court defer to an agency’s reasonable statutory</w:t>
      </w:r>
    </w:p>
    <w:p w14:paraId="0A839B6E"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interpretation could not be squared with the reviewing court’s duty under the APA…. </w:t>
      </w:r>
    </w:p>
    <w:p w14:paraId="75EE8939"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The Supreme Court explained that “[c]</w:t>
      </w:r>
      <w:proofErr w:type="spellStart"/>
      <w:r w:rsidRPr="00F34D2E">
        <w:rPr>
          <w:rFonts w:ascii="Times New Roman" w:hAnsi="Times New Roman"/>
          <w:sz w:val="24"/>
          <w:szCs w:val="24"/>
        </w:rPr>
        <w:t>ourts</w:t>
      </w:r>
      <w:proofErr w:type="spellEnd"/>
      <w:r w:rsidRPr="00F34D2E">
        <w:rPr>
          <w:rFonts w:ascii="Times New Roman" w:hAnsi="Times New Roman"/>
          <w:sz w:val="24"/>
          <w:szCs w:val="24"/>
        </w:rPr>
        <w:t xml:space="preserve"> must exercise their independent judgment in deciding whether an agency has acted within its statutory authority, as the APA requires.” Id. at 2273. [See June 28, </w:t>
      </w:r>
      <w:proofErr w:type="gramStart"/>
      <w:r w:rsidRPr="00F34D2E">
        <w:rPr>
          <w:rFonts w:ascii="Times New Roman" w:hAnsi="Times New Roman"/>
          <w:sz w:val="24"/>
          <w:szCs w:val="24"/>
        </w:rPr>
        <w:t>2024</w:t>
      </w:r>
      <w:proofErr w:type="gramEnd"/>
      <w:r w:rsidRPr="00F34D2E">
        <w:rPr>
          <w:rFonts w:ascii="Times New Roman" w:hAnsi="Times New Roman"/>
          <w:sz w:val="24"/>
          <w:szCs w:val="24"/>
        </w:rPr>
        <w:t xml:space="preserve"> landmark decision: </w:t>
      </w:r>
      <w:hyperlink r:id="rId2155" w:history="1">
        <w:r w:rsidRPr="00F34D2E">
          <w:rPr>
            <w:rStyle w:val="Hyperlink"/>
            <w:rFonts w:ascii="Times New Roman" w:hAnsi="Times New Roman"/>
            <w:sz w:val="24"/>
            <w:szCs w:val="24"/>
          </w:rPr>
          <w:t>https://www.supremecourt.gov/opinions/23pdf/22-451_7m58.pdf</w:t>
        </w:r>
      </w:hyperlink>
      <w:r w:rsidRPr="00F34D2E">
        <w:rPr>
          <w:rFonts w:ascii="Times New Roman" w:hAnsi="Times New Roman"/>
          <w:sz w:val="24"/>
          <w:szCs w:val="24"/>
        </w:rPr>
        <w:t xml:space="preserve"> ]</w:t>
      </w:r>
    </w:p>
    <w:p w14:paraId="5B134DBC" w14:textId="77777777" w:rsidR="00F34D2E" w:rsidRPr="00F34D2E" w:rsidRDefault="00F34D2E" w:rsidP="00F34D2E">
      <w:pPr>
        <w:pStyle w:val="NoSpacing"/>
        <w:rPr>
          <w:rFonts w:ascii="Times New Roman" w:hAnsi="Times New Roman"/>
          <w:bCs/>
          <w:sz w:val="24"/>
          <w:szCs w:val="24"/>
        </w:rPr>
      </w:pPr>
    </w:p>
    <w:p w14:paraId="0E9A1338"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Thus, while in § 111(a) Congress authorized the Secretary to ‘pay the actual necessary expense’ for travel ‘to or from a </w:t>
      </w:r>
      <w:proofErr w:type="gramStart"/>
      <w:r w:rsidRPr="00F34D2E">
        <w:rPr>
          <w:rFonts w:ascii="Times New Roman" w:hAnsi="Times New Roman"/>
          <w:sz w:val="24"/>
          <w:szCs w:val="24"/>
        </w:rPr>
        <w:t>Department</w:t>
      </w:r>
      <w:proofErr w:type="gramEnd"/>
      <w:r w:rsidRPr="00F34D2E">
        <w:rPr>
          <w:rFonts w:ascii="Times New Roman" w:hAnsi="Times New Roman"/>
          <w:sz w:val="24"/>
          <w:szCs w:val="24"/>
        </w:rPr>
        <w:t xml:space="preserve"> facility or other place,’ Congress only</w:t>
      </w:r>
    </w:p>
    <w:p w14:paraId="47E010BA"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authorized the Secretary in § 111(b)(3)(C) to apply the ‘lessor of’ payment methodology for transports ‘to or from a </w:t>
      </w:r>
      <w:proofErr w:type="gramStart"/>
      <w:r w:rsidRPr="00F34D2E">
        <w:rPr>
          <w:rFonts w:ascii="Times New Roman" w:hAnsi="Times New Roman"/>
          <w:sz w:val="24"/>
          <w:szCs w:val="24"/>
        </w:rPr>
        <w:t>Department</w:t>
      </w:r>
      <w:proofErr w:type="gramEnd"/>
      <w:r w:rsidRPr="00F34D2E">
        <w:rPr>
          <w:rFonts w:ascii="Times New Roman" w:hAnsi="Times New Roman"/>
          <w:sz w:val="24"/>
          <w:szCs w:val="24"/>
        </w:rPr>
        <w:t xml:space="preserve"> facility by ambulance.’ Conspicuously missing from § 111(b)(3)(C) is the ‘or other place’ language that Congress expressly stated in the earlier subsection. ‘We assume Congress means what it says and says what it means.’ Sanho Corp. v. </w:t>
      </w:r>
      <w:proofErr w:type="spellStart"/>
      <w:r w:rsidRPr="00F34D2E">
        <w:rPr>
          <w:rFonts w:ascii="Times New Roman" w:hAnsi="Times New Roman"/>
          <w:sz w:val="24"/>
          <w:szCs w:val="24"/>
        </w:rPr>
        <w:t>Kaijet</w:t>
      </w:r>
      <w:proofErr w:type="spellEnd"/>
      <w:r w:rsidRPr="00F34D2E">
        <w:rPr>
          <w:rFonts w:ascii="Times New Roman" w:hAnsi="Times New Roman"/>
          <w:sz w:val="24"/>
          <w:szCs w:val="24"/>
        </w:rPr>
        <w:t xml:space="preserve"> Tech. Int’l Ltd., Inc., 108 F.4th 1376, 1382 (Fed. Cir. 2024)….</w:t>
      </w:r>
    </w:p>
    <w:p w14:paraId="79EE910C" w14:textId="77777777" w:rsidR="00F34D2E" w:rsidRPr="00F34D2E" w:rsidRDefault="00F34D2E" w:rsidP="00F34D2E">
      <w:pPr>
        <w:pStyle w:val="NoSpacing"/>
        <w:ind w:left="720"/>
        <w:rPr>
          <w:rFonts w:ascii="Times New Roman" w:hAnsi="Times New Roman"/>
          <w:bCs/>
          <w:sz w:val="24"/>
          <w:szCs w:val="24"/>
        </w:rPr>
      </w:pPr>
    </w:p>
    <w:p w14:paraId="503F85A0"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w:t>
      </w:r>
    </w:p>
    <w:p w14:paraId="2FF6262A"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For the foregoing reasons, we grant the petition and set aside the final promulgated rule Change in Rates VA Pays for Special Modes of Transportation, 88 Fed. Reg. 10,032 (Feb. 16, 2023).”</w:t>
      </w:r>
    </w:p>
    <w:p w14:paraId="1122E756" w14:textId="77777777" w:rsidR="00F34D2E" w:rsidRPr="00F34D2E" w:rsidRDefault="00F34D2E" w:rsidP="00F34D2E">
      <w:pPr>
        <w:pStyle w:val="NoSpacing"/>
        <w:ind w:left="720"/>
        <w:rPr>
          <w:rFonts w:ascii="Times New Roman" w:hAnsi="Times New Roman"/>
          <w:bCs/>
          <w:sz w:val="24"/>
          <w:szCs w:val="24"/>
        </w:rPr>
      </w:pPr>
    </w:p>
    <w:p w14:paraId="03118C10" w14:textId="29E3ADC6" w:rsidR="00F34D2E" w:rsidRPr="00F34D2E" w:rsidRDefault="00F34D2E" w:rsidP="00F34D2E">
      <w:pPr>
        <w:pStyle w:val="NoSpacing"/>
        <w:rPr>
          <w:rFonts w:ascii="Times New Roman" w:hAnsi="Times New Roman"/>
          <w:b/>
          <w:sz w:val="24"/>
          <w:szCs w:val="24"/>
        </w:rPr>
      </w:pPr>
      <w:r w:rsidRPr="00F34D2E">
        <w:rPr>
          <w:rFonts w:ascii="Times New Roman" w:hAnsi="Times New Roman"/>
          <w:b/>
          <w:sz w:val="24"/>
          <w:szCs w:val="24"/>
        </w:rPr>
        <w:t xml:space="preserve">Legal Lesson Learned: EMS transport companies nationwide will benefit from this decision.  It </w:t>
      </w:r>
      <w:r>
        <w:rPr>
          <w:rFonts w:ascii="Times New Roman" w:hAnsi="Times New Roman"/>
          <w:b/>
          <w:sz w:val="24"/>
          <w:szCs w:val="24"/>
        </w:rPr>
        <w:t xml:space="preserve">is </w:t>
      </w:r>
      <w:r w:rsidRPr="00F34D2E">
        <w:rPr>
          <w:rFonts w:ascii="Times New Roman" w:hAnsi="Times New Roman"/>
          <w:b/>
          <w:sz w:val="24"/>
          <w:szCs w:val="24"/>
        </w:rPr>
        <w:t>one of the first cases overturning a federal agency regulation since the U.S. Supreme Court set aside the “Chevron doctrine.”</w:t>
      </w:r>
    </w:p>
    <w:p w14:paraId="5336EFAB" w14:textId="77777777" w:rsidR="00F34D2E" w:rsidRPr="00F34D2E" w:rsidRDefault="00F34D2E" w:rsidP="00F34D2E">
      <w:pPr>
        <w:pStyle w:val="NoSpacing"/>
        <w:ind w:left="720"/>
        <w:rPr>
          <w:rFonts w:ascii="Times New Roman" w:hAnsi="Times New Roman"/>
          <w:bCs/>
          <w:sz w:val="24"/>
          <w:szCs w:val="24"/>
        </w:rPr>
      </w:pPr>
    </w:p>
    <w:p w14:paraId="7D955341"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Note: See Dec. 9, </w:t>
      </w:r>
      <w:proofErr w:type="gramStart"/>
      <w:r w:rsidRPr="00F34D2E">
        <w:rPr>
          <w:rFonts w:ascii="Times New Roman" w:hAnsi="Times New Roman"/>
          <w:sz w:val="24"/>
          <w:szCs w:val="24"/>
        </w:rPr>
        <w:t>2024</w:t>
      </w:r>
      <w:proofErr w:type="gramEnd"/>
      <w:r w:rsidRPr="00F34D2E">
        <w:rPr>
          <w:rFonts w:ascii="Times New Roman" w:hAnsi="Times New Roman"/>
          <w:sz w:val="24"/>
          <w:szCs w:val="24"/>
        </w:rPr>
        <w:t xml:space="preserve"> article, “Federal court vacates VA rule reducing ambulance payments.” The regulation aimed to tie reimbursement rates for ambulance services to the lesser of a provider’s actual charges or the Medicare Fee Schedule rate, even for </w:t>
      </w:r>
      <w:proofErr w:type="gramStart"/>
      <w:r w:rsidRPr="00F34D2E">
        <w:rPr>
          <w:rFonts w:ascii="Times New Roman" w:hAnsi="Times New Roman"/>
          <w:sz w:val="24"/>
          <w:szCs w:val="24"/>
        </w:rPr>
        <w:t>transports</w:t>
      </w:r>
      <w:proofErr w:type="gramEnd"/>
      <w:r w:rsidRPr="00F34D2E">
        <w:rPr>
          <w:rFonts w:ascii="Times New Roman" w:hAnsi="Times New Roman"/>
          <w:sz w:val="24"/>
          <w:szCs w:val="24"/>
        </w:rPr>
        <w:t xml:space="preserve"> unrelated to VA facilities. </w:t>
      </w:r>
    </w:p>
    <w:p w14:paraId="5BA92B45" w14:textId="64A7D72D" w:rsidR="00F34D2E" w:rsidRDefault="00F34D2E" w:rsidP="00F34D2E">
      <w:pPr>
        <w:rPr>
          <w:rFonts w:ascii="Arial Black" w:hAnsi="Arial Black"/>
          <w:b/>
          <w:bCs/>
          <w:sz w:val="28"/>
          <w:szCs w:val="28"/>
        </w:rPr>
      </w:pPr>
      <w:hyperlink r:id="rId2156" w:history="1">
        <w:r w:rsidRPr="00F34D2E">
          <w:rPr>
            <w:rStyle w:val="Hyperlink"/>
            <w:rFonts w:ascii="Times New Roman" w:hAnsi="Times New Roman"/>
            <w:sz w:val="24"/>
            <w:szCs w:val="24"/>
          </w:rPr>
          <w:t>https://www.ems1.com/legal/federal-court-overturns-va-rule-reducing-ambulance-payments</w:t>
        </w:r>
      </w:hyperlink>
    </w:p>
    <w:p w14:paraId="5A5BCCB0" w14:textId="77777777" w:rsidR="00FE343A" w:rsidRDefault="00FE343A" w:rsidP="002B1283">
      <w:pPr>
        <w:rPr>
          <w:rFonts w:ascii="Arial Black" w:hAnsi="Arial Black"/>
          <w:b/>
          <w:bCs/>
          <w:sz w:val="28"/>
          <w:szCs w:val="28"/>
        </w:rPr>
      </w:pPr>
    </w:p>
    <w:p w14:paraId="3710DF25" w14:textId="77777777" w:rsidR="00FE343A" w:rsidRDefault="00FE343A" w:rsidP="002B1283">
      <w:pPr>
        <w:rPr>
          <w:rFonts w:ascii="Arial Black" w:hAnsi="Arial Black"/>
          <w:b/>
          <w:bCs/>
          <w:sz w:val="28"/>
          <w:szCs w:val="28"/>
        </w:rPr>
      </w:pPr>
    </w:p>
    <w:p w14:paraId="6E56A7F9" w14:textId="0EC85927" w:rsidR="00AE7F1F" w:rsidRDefault="00AE7F1F" w:rsidP="002B1283">
      <w:pPr>
        <w:rPr>
          <w:rFonts w:ascii="Arial Black" w:hAnsi="Arial Black"/>
          <w:b/>
          <w:bCs/>
          <w:sz w:val="28"/>
          <w:szCs w:val="28"/>
        </w:rPr>
      </w:pPr>
      <w:r>
        <w:rPr>
          <w:rFonts w:ascii="Arial Black" w:hAnsi="Arial Black"/>
          <w:b/>
          <w:bCs/>
          <w:sz w:val="28"/>
          <w:szCs w:val="28"/>
        </w:rPr>
        <w:t>13-199</w:t>
      </w:r>
    </w:p>
    <w:p w14:paraId="60F8DCA2" w14:textId="77777777" w:rsidR="009438F6" w:rsidRPr="00E363AD" w:rsidRDefault="009438F6" w:rsidP="009438F6">
      <w:pPr>
        <w:pStyle w:val="NoSpacing"/>
        <w:rPr>
          <w:rFonts w:ascii="Arial Black" w:hAnsi="Arial Black"/>
          <w:b/>
          <w:sz w:val="28"/>
          <w:szCs w:val="28"/>
        </w:rPr>
      </w:pPr>
      <w:r>
        <w:rPr>
          <w:rFonts w:ascii="Arial Black" w:hAnsi="Arial Black"/>
          <w:b/>
          <w:sz w:val="28"/>
          <w:szCs w:val="28"/>
        </w:rPr>
        <w:t>CA: HEAD-ON MVA – PT REFUSED TREATMENT – LATER HAD A STROKE – MEDICS IMMUNITY / NO REQ. TO TAKE VITALS</w:t>
      </w:r>
    </w:p>
    <w:p w14:paraId="6BAA5AA5" w14:textId="77777777" w:rsidR="00EE5426" w:rsidRDefault="00EE5426" w:rsidP="00EE5426">
      <w:pPr>
        <w:pStyle w:val="NoSpacing"/>
        <w:ind w:firstLine="720"/>
        <w:rPr>
          <w:b/>
        </w:rPr>
      </w:pPr>
    </w:p>
    <w:p w14:paraId="01644B54" w14:textId="77777777" w:rsidR="00EE5426" w:rsidRPr="00F12753" w:rsidRDefault="00EE5426" w:rsidP="00EE5426">
      <w:pPr>
        <w:pStyle w:val="NoSpacing"/>
        <w:rPr>
          <w:rFonts w:ascii="Times New Roman" w:hAnsi="Times New Roman"/>
          <w:sz w:val="24"/>
          <w:szCs w:val="24"/>
        </w:rPr>
      </w:pPr>
      <w:r w:rsidRPr="00F12753">
        <w:rPr>
          <w:rFonts w:ascii="Times New Roman" w:hAnsi="Times New Roman"/>
          <w:sz w:val="24"/>
          <w:szCs w:val="24"/>
        </w:rPr>
        <w:t xml:space="preserve">On Nov. 25, 2024, in </w:t>
      </w:r>
      <w:r w:rsidRPr="00F12753">
        <w:rPr>
          <w:rFonts w:ascii="Times New Roman" w:hAnsi="Times New Roman"/>
          <w:sz w:val="24"/>
          <w:szCs w:val="24"/>
          <w:u w:val="single"/>
        </w:rPr>
        <w:t>Marites Murphy v. City of Petaluma, et al</w:t>
      </w:r>
      <w:r w:rsidRPr="00F12753">
        <w:rPr>
          <w:rFonts w:ascii="Times New Roman" w:hAnsi="Times New Roman"/>
          <w:sz w:val="24"/>
          <w:szCs w:val="24"/>
        </w:rPr>
        <w:t xml:space="preserve">., the California Court of Appeal, First District, Division 1 held (3 to 0) that the trial court judge properly granted summary judgment to the City and the medics.  The Court wrote: “The paramedics did not make Murphy any promises with respect to medical assistance, let alone fail to follow through on such promises. They did not ignore any requests for such assistance. </w:t>
      </w:r>
      <w:proofErr w:type="gramStart"/>
      <w:r w:rsidRPr="00F12753">
        <w:rPr>
          <w:rFonts w:ascii="Times New Roman" w:hAnsi="Times New Roman"/>
          <w:sz w:val="24"/>
          <w:szCs w:val="24"/>
        </w:rPr>
        <w:t>To</w:t>
      </w:r>
      <w:proofErr w:type="gramEnd"/>
      <w:r w:rsidRPr="00F12753">
        <w:rPr>
          <w:rFonts w:ascii="Times New Roman" w:hAnsi="Times New Roman"/>
          <w:sz w:val="24"/>
          <w:szCs w:val="24"/>
        </w:rPr>
        <w:t xml:space="preserve"> the contrary, they urged her to let them provide medical assistance and warned her that symptoms of a serious, even life threatening, injury could be delayed. She nevertheless reiterated she did not want medical assistance or transport to a hospital for examination. And while Murphy claims the paramedics failed to conduct a medical assessment sufficient to detect a potential brain injury or hypertensive crisis, the crisis she subsequently experienced was caused by the collision…. We therefore conclude, given the undisputed facts in this case, the trial court correctly ruled the paramedics did not, under the negligent undertaking doctrine, have a duty to render medical assistance to Murphy in accordance with the standard of care applicable such </w:t>
      </w:r>
      <w:proofErr w:type="gramStart"/>
      <w:r w:rsidRPr="00F12753">
        <w:rPr>
          <w:rFonts w:ascii="Times New Roman" w:hAnsi="Times New Roman"/>
          <w:sz w:val="24"/>
          <w:szCs w:val="24"/>
        </w:rPr>
        <w:t>assistance.”</w:t>
      </w:r>
      <w:proofErr w:type="gramEnd"/>
      <w:r w:rsidRPr="00F12753">
        <w:rPr>
          <w:rFonts w:ascii="Times New Roman" w:hAnsi="Times New Roman"/>
          <w:sz w:val="24"/>
          <w:szCs w:val="24"/>
        </w:rPr>
        <w:t xml:space="preserve"> </w:t>
      </w:r>
      <w:hyperlink r:id="rId2157" w:history="1">
        <w:r w:rsidRPr="00F12753">
          <w:rPr>
            <w:rStyle w:val="Hyperlink"/>
            <w:rFonts w:ascii="Times New Roman" w:hAnsi="Times New Roman"/>
            <w:sz w:val="24"/>
            <w:szCs w:val="24"/>
          </w:rPr>
          <w:t>https://caselaw.findlaw.com/court/ca-court-of-appeal/116718051.html</w:t>
        </w:r>
      </w:hyperlink>
      <w:r w:rsidRPr="00F12753">
        <w:rPr>
          <w:rFonts w:ascii="Times New Roman" w:hAnsi="Times New Roman"/>
          <w:sz w:val="24"/>
          <w:szCs w:val="24"/>
        </w:rPr>
        <w:t xml:space="preserve"> </w:t>
      </w:r>
    </w:p>
    <w:p w14:paraId="7FAA91D4" w14:textId="77777777" w:rsidR="00EE5426" w:rsidRPr="00F12753" w:rsidRDefault="00EE5426" w:rsidP="00EE5426">
      <w:pPr>
        <w:pStyle w:val="NoSpacing"/>
        <w:rPr>
          <w:rFonts w:ascii="Times New Roman" w:hAnsi="Times New Roman"/>
          <w:bCs/>
          <w:sz w:val="24"/>
          <w:szCs w:val="24"/>
        </w:rPr>
      </w:pPr>
    </w:p>
    <w:p w14:paraId="459398AA" w14:textId="77777777" w:rsidR="007C3144" w:rsidRPr="00F12753" w:rsidRDefault="007C3144" w:rsidP="007C3144">
      <w:pPr>
        <w:pStyle w:val="NoSpacing"/>
        <w:rPr>
          <w:rFonts w:ascii="Times New Roman" w:hAnsi="Times New Roman"/>
          <w:b/>
          <w:bCs/>
          <w:sz w:val="24"/>
          <w:szCs w:val="24"/>
        </w:rPr>
      </w:pPr>
      <w:r w:rsidRPr="00F12753">
        <w:rPr>
          <w:rFonts w:ascii="Times New Roman" w:hAnsi="Times New Roman"/>
          <w:b/>
          <w:sz w:val="24"/>
          <w:szCs w:val="24"/>
        </w:rPr>
        <w:t xml:space="preserve">Legal Lesson Learned: Plaintiff refused treatment; no obligation of medics to take vitals.  Best practice – have individual sign a Refusal of Care form. </w:t>
      </w:r>
    </w:p>
    <w:p w14:paraId="4A5483CE" w14:textId="77777777" w:rsidR="007C3144" w:rsidRPr="00102ABD" w:rsidRDefault="007C3144" w:rsidP="007C3144">
      <w:pPr>
        <w:pStyle w:val="NoSpacing"/>
        <w:ind w:left="720"/>
        <w:rPr>
          <w:bCs/>
        </w:rPr>
      </w:pPr>
    </w:p>
    <w:p w14:paraId="2E95722D" w14:textId="77777777" w:rsidR="00AE7F1F" w:rsidRDefault="00AE7F1F" w:rsidP="002B1283">
      <w:pPr>
        <w:rPr>
          <w:rFonts w:ascii="Arial Black" w:hAnsi="Arial Black"/>
          <w:b/>
          <w:bCs/>
          <w:sz w:val="28"/>
          <w:szCs w:val="28"/>
        </w:rPr>
      </w:pPr>
    </w:p>
    <w:p w14:paraId="268AAC33" w14:textId="77777777" w:rsidR="00AE7F1F" w:rsidRDefault="00AE7F1F" w:rsidP="002B1283">
      <w:pPr>
        <w:rPr>
          <w:rFonts w:ascii="Arial Black" w:hAnsi="Arial Black"/>
          <w:b/>
          <w:bCs/>
          <w:sz w:val="28"/>
          <w:szCs w:val="28"/>
        </w:rPr>
      </w:pPr>
    </w:p>
    <w:p w14:paraId="0FE38748" w14:textId="0D76EDBA" w:rsidR="00533809" w:rsidRDefault="00896019" w:rsidP="002B1283">
      <w:pPr>
        <w:rPr>
          <w:rFonts w:ascii="Arial Black" w:hAnsi="Arial Black"/>
          <w:b/>
          <w:bCs/>
          <w:sz w:val="28"/>
          <w:szCs w:val="28"/>
        </w:rPr>
      </w:pPr>
      <w:r>
        <w:rPr>
          <w:rFonts w:ascii="Arial Black" w:hAnsi="Arial Black"/>
          <w:b/>
          <w:bCs/>
          <w:sz w:val="28"/>
          <w:szCs w:val="28"/>
        </w:rPr>
        <w:t>13-198</w:t>
      </w:r>
    </w:p>
    <w:p w14:paraId="3A5CB115" w14:textId="77777777" w:rsidR="00E97069" w:rsidRPr="005121C3" w:rsidRDefault="00E97069" w:rsidP="00E97069">
      <w:pPr>
        <w:pStyle w:val="NoSpacing"/>
        <w:rPr>
          <w:rFonts w:ascii="Arial Black" w:hAnsi="Arial Black"/>
          <w:sz w:val="28"/>
          <w:szCs w:val="28"/>
        </w:rPr>
      </w:pPr>
      <w:r>
        <w:rPr>
          <w:rFonts w:ascii="Arial Black" w:hAnsi="Arial Black"/>
          <w:sz w:val="28"/>
          <w:szCs w:val="28"/>
        </w:rPr>
        <w:t>NJ: INTUBATION 21-MONTH-OLD TODDLER – 3</w:t>
      </w:r>
      <w:r w:rsidRPr="00DD0BBB">
        <w:rPr>
          <w:rFonts w:ascii="Arial Black" w:hAnsi="Arial Black"/>
          <w:sz w:val="28"/>
          <w:szCs w:val="28"/>
          <w:vertAlign w:val="superscript"/>
        </w:rPr>
        <w:t>rd</w:t>
      </w:r>
      <w:r>
        <w:rPr>
          <w:rFonts w:ascii="Arial Black" w:hAnsi="Arial Black"/>
          <w:sz w:val="28"/>
          <w:szCs w:val="28"/>
        </w:rPr>
        <w:t xml:space="preserve"> ATTEMPT</w:t>
      </w:r>
      <w:r>
        <w:rPr>
          <w:rFonts w:ascii="Arial Black" w:hAnsi="Arial Black"/>
          <w:sz w:val="28"/>
          <w:szCs w:val="28"/>
          <w:vertAlign w:val="superscript"/>
        </w:rPr>
        <w:t xml:space="preserve"> </w:t>
      </w:r>
      <w:r>
        <w:rPr>
          <w:rFonts w:ascii="Arial Black" w:hAnsi="Arial Black"/>
          <w:sz w:val="28"/>
          <w:szCs w:val="28"/>
        </w:rPr>
        <w:t xml:space="preserve"> IN TRACHEA – NO GROSS NEGLIGENCE - QUALIFIED IMMUNITY</w:t>
      </w:r>
    </w:p>
    <w:p w14:paraId="11023EFC" w14:textId="77777777" w:rsidR="00E97069" w:rsidRDefault="00E97069" w:rsidP="00E97069">
      <w:pPr>
        <w:pStyle w:val="NoSpacing"/>
      </w:pPr>
    </w:p>
    <w:p w14:paraId="1E37008C" w14:textId="77777777" w:rsidR="00E97069" w:rsidRPr="00AE7F1F" w:rsidRDefault="00E97069" w:rsidP="00E97069">
      <w:pPr>
        <w:pStyle w:val="NoSpacing"/>
        <w:rPr>
          <w:rFonts w:ascii="Times New Roman" w:hAnsi="Times New Roman"/>
          <w:sz w:val="24"/>
          <w:szCs w:val="24"/>
        </w:rPr>
      </w:pPr>
      <w:r w:rsidRPr="00AE7F1F">
        <w:rPr>
          <w:rFonts w:ascii="Times New Roman" w:hAnsi="Times New Roman"/>
          <w:sz w:val="24"/>
          <w:szCs w:val="24"/>
        </w:rPr>
        <w:t xml:space="preserve">On Nov. 18, 2024, in </w:t>
      </w:r>
      <w:r w:rsidRPr="00AE7F1F">
        <w:rPr>
          <w:rFonts w:ascii="Times New Roman" w:hAnsi="Times New Roman"/>
          <w:sz w:val="24"/>
          <w:szCs w:val="24"/>
          <w:u w:val="single"/>
        </w:rPr>
        <w:t>Jari Almonte and Yahaira Almanzar, parents of Jeremt Almonte v. Township of Union, et al</w:t>
      </w:r>
      <w:r w:rsidRPr="00AE7F1F">
        <w:rPr>
          <w:rFonts w:ascii="Times New Roman" w:hAnsi="Times New Roman"/>
          <w:sz w:val="24"/>
          <w:szCs w:val="24"/>
        </w:rPr>
        <w:t xml:space="preserve">., the Superior Court of New Jersey held (3 to 0; unpublished decision) that trial court properly concluded there was no gross negligence and therefore the medic enjoyed qualified immunity. The Court wrote: “Here, the extensive record, viewed in the light most favorable to plaintiffs, does not support a finding of gross negligence.” </w:t>
      </w:r>
      <w:hyperlink r:id="rId2158" w:history="1">
        <w:r w:rsidRPr="00AE7F1F">
          <w:rPr>
            <w:rStyle w:val="Hyperlink"/>
            <w:rFonts w:ascii="Times New Roman" w:hAnsi="Times New Roman"/>
            <w:sz w:val="24"/>
            <w:szCs w:val="24"/>
          </w:rPr>
          <w:t>https://www.njcourts.gov/system/files/court-opinions/2024/a2968-22.pdf</w:t>
        </w:r>
      </w:hyperlink>
      <w:r w:rsidRPr="00AE7F1F">
        <w:rPr>
          <w:rFonts w:ascii="Times New Roman" w:hAnsi="Times New Roman"/>
          <w:sz w:val="24"/>
          <w:szCs w:val="24"/>
        </w:rPr>
        <w:t xml:space="preserve"> </w:t>
      </w:r>
    </w:p>
    <w:p w14:paraId="3F1CBAC6" w14:textId="77777777" w:rsidR="00E97069" w:rsidRPr="00AE7F1F" w:rsidRDefault="00E97069" w:rsidP="00E97069">
      <w:pPr>
        <w:pStyle w:val="NoSpacing"/>
        <w:rPr>
          <w:rFonts w:ascii="Times New Roman" w:hAnsi="Times New Roman"/>
          <w:sz w:val="24"/>
          <w:szCs w:val="24"/>
        </w:rPr>
      </w:pPr>
    </w:p>
    <w:p w14:paraId="03E27C0E" w14:textId="77777777" w:rsidR="00AE7F1F" w:rsidRPr="00AE7F1F" w:rsidRDefault="00AE7F1F" w:rsidP="00AE7F1F">
      <w:pPr>
        <w:pStyle w:val="NoSpacing"/>
        <w:rPr>
          <w:rFonts w:ascii="Times New Roman" w:hAnsi="Times New Roman"/>
          <w:b/>
          <w:bCs/>
          <w:sz w:val="24"/>
          <w:szCs w:val="24"/>
        </w:rPr>
      </w:pPr>
      <w:r w:rsidRPr="00AE7F1F">
        <w:rPr>
          <w:rFonts w:ascii="Times New Roman" w:hAnsi="Times New Roman"/>
          <w:b/>
          <w:sz w:val="24"/>
          <w:szCs w:val="24"/>
        </w:rPr>
        <w:t xml:space="preserve">Legal Lesson Learned: </w:t>
      </w:r>
      <w:r w:rsidRPr="00AE7F1F">
        <w:rPr>
          <w:rFonts w:ascii="Times New Roman" w:hAnsi="Times New Roman"/>
          <w:b/>
          <w:bCs/>
          <w:sz w:val="24"/>
          <w:szCs w:val="24"/>
        </w:rPr>
        <w:t xml:space="preserve">Failed intubation attempts </w:t>
      </w:r>
      <w:proofErr w:type="gramStart"/>
      <w:r w:rsidRPr="00AE7F1F">
        <w:rPr>
          <w:rFonts w:ascii="Times New Roman" w:hAnsi="Times New Roman"/>
          <w:b/>
          <w:bCs/>
          <w:sz w:val="24"/>
          <w:szCs w:val="24"/>
        </w:rPr>
        <w:t>is</w:t>
      </w:r>
      <w:proofErr w:type="gramEnd"/>
      <w:r w:rsidRPr="00AE7F1F">
        <w:rPr>
          <w:rFonts w:ascii="Times New Roman" w:hAnsi="Times New Roman"/>
          <w:b/>
          <w:bCs/>
          <w:sz w:val="24"/>
          <w:szCs w:val="24"/>
        </w:rPr>
        <w:t xml:space="preserve"> not </w:t>
      </w:r>
      <w:r w:rsidRPr="00AE7F1F">
        <w:rPr>
          <w:rFonts w:ascii="Times New Roman" w:hAnsi="Times New Roman"/>
          <w:b/>
          <w:sz w:val="24"/>
          <w:szCs w:val="24"/>
        </w:rPr>
        <w:t xml:space="preserve">proof of gross negligence.  </w:t>
      </w:r>
    </w:p>
    <w:p w14:paraId="22BDEA06" w14:textId="77777777" w:rsidR="00AE7F1F" w:rsidRPr="00AE7F1F" w:rsidRDefault="00AE7F1F" w:rsidP="00AE7F1F">
      <w:pPr>
        <w:pStyle w:val="NoSpacing"/>
        <w:ind w:left="720"/>
        <w:rPr>
          <w:rFonts w:ascii="Times New Roman" w:hAnsi="Times New Roman"/>
          <w:sz w:val="24"/>
          <w:szCs w:val="24"/>
        </w:rPr>
      </w:pPr>
    </w:p>
    <w:p w14:paraId="111E3978" w14:textId="77777777" w:rsidR="00896019" w:rsidRDefault="00896019" w:rsidP="002B1283">
      <w:pPr>
        <w:rPr>
          <w:rFonts w:ascii="Arial Black" w:hAnsi="Arial Black"/>
          <w:b/>
          <w:bCs/>
          <w:sz w:val="28"/>
          <w:szCs w:val="28"/>
        </w:rPr>
      </w:pPr>
    </w:p>
    <w:p w14:paraId="202916E2" w14:textId="4C936CDC" w:rsidR="00533809" w:rsidRDefault="00533809" w:rsidP="002B1283">
      <w:pPr>
        <w:rPr>
          <w:rFonts w:ascii="Arial Black" w:hAnsi="Arial Black"/>
          <w:b/>
          <w:bCs/>
          <w:sz w:val="28"/>
          <w:szCs w:val="28"/>
        </w:rPr>
      </w:pPr>
      <w:r>
        <w:rPr>
          <w:rFonts w:ascii="Arial Black" w:hAnsi="Arial Black"/>
          <w:b/>
          <w:bCs/>
          <w:sz w:val="28"/>
          <w:szCs w:val="28"/>
        </w:rPr>
        <w:t>13-197</w:t>
      </w:r>
    </w:p>
    <w:p w14:paraId="1CE997CC" w14:textId="01DCAC67" w:rsidR="00533809" w:rsidRPr="00B41C31" w:rsidRDefault="00533809" w:rsidP="00533809">
      <w:pPr>
        <w:pStyle w:val="NoSpacing"/>
        <w:rPr>
          <w:rFonts w:ascii="Arial Black" w:hAnsi="Arial Black"/>
          <w:b/>
          <w:sz w:val="28"/>
          <w:szCs w:val="28"/>
        </w:rPr>
      </w:pPr>
      <w:r>
        <w:rPr>
          <w:rFonts w:ascii="Arial Black" w:hAnsi="Arial Black"/>
          <w:b/>
          <w:sz w:val="28"/>
          <w:szCs w:val="28"/>
        </w:rPr>
        <w:t xml:space="preserve">ID: MEDICAL AMNESTY LAW - UNCONSCIOUS DRIVER – FD FORCED ENTRY – DRUGS FOUND – NO </w:t>
      </w:r>
      <w:r w:rsidR="00FE4FB4">
        <w:rPr>
          <w:rFonts w:ascii="Arial Black" w:hAnsi="Arial Black"/>
          <w:b/>
          <w:sz w:val="28"/>
          <w:szCs w:val="28"/>
        </w:rPr>
        <w:t xml:space="preserve">CRIMINAL </w:t>
      </w:r>
      <w:r>
        <w:rPr>
          <w:rFonts w:ascii="Arial Black" w:hAnsi="Arial Black"/>
          <w:b/>
          <w:sz w:val="28"/>
          <w:szCs w:val="28"/>
        </w:rPr>
        <w:t xml:space="preserve">IMMUNITY </w:t>
      </w:r>
    </w:p>
    <w:p w14:paraId="48711C77" w14:textId="77777777" w:rsidR="00533809" w:rsidRDefault="00533809" w:rsidP="00533809">
      <w:pPr>
        <w:pStyle w:val="NoSpacing"/>
        <w:ind w:firstLine="720"/>
        <w:rPr>
          <w:b/>
        </w:rPr>
      </w:pPr>
    </w:p>
    <w:p w14:paraId="365DD347" w14:textId="77777777" w:rsidR="00533809" w:rsidRPr="001C1F8D" w:rsidRDefault="00533809" w:rsidP="00533809">
      <w:pPr>
        <w:pStyle w:val="NoSpacing"/>
        <w:rPr>
          <w:rFonts w:ascii="Times New Roman" w:hAnsi="Times New Roman"/>
          <w:sz w:val="24"/>
          <w:szCs w:val="24"/>
        </w:rPr>
      </w:pPr>
      <w:r w:rsidRPr="001C1F8D">
        <w:rPr>
          <w:rFonts w:ascii="Times New Roman" w:hAnsi="Times New Roman"/>
          <w:sz w:val="24"/>
          <w:szCs w:val="24"/>
        </w:rPr>
        <w:t xml:space="preserve">On Nov. 4, 2024, in </w:t>
      </w:r>
      <w:r w:rsidRPr="001C1F8D">
        <w:rPr>
          <w:rFonts w:ascii="Times New Roman" w:hAnsi="Times New Roman"/>
          <w:sz w:val="24"/>
          <w:szCs w:val="24"/>
          <w:u w:val="single"/>
        </w:rPr>
        <w:t>State of Ohio v. Adrian Renee Soliz</w:t>
      </w:r>
      <w:r w:rsidRPr="001C1F8D">
        <w:rPr>
          <w:rFonts w:ascii="Times New Roman" w:hAnsi="Times New Roman"/>
          <w:sz w:val="24"/>
          <w:szCs w:val="24"/>
        </w:rPr>
        <w:t xml:space="preserve">, the Idaho Supreme Court held (4 to 1) that the “medical amnesty law” does not apply to protect the defendant from prosecution.  The Court wrote: “The legislature's careful consideration of potential abuse scenarios indicates that the legislature was concerned that the bill would grant expansive immunity. The overall tenor of the Senate committee minutes supports an interpretation of the statute that requires the drug-related medical emergency and the need for medical assistance to be the sole cause of the discovery of evidence to prevent misuse of the statute. This interpretation ensures that immunity is granted only when the drug-related medical emergency and the need for medical assistance </w:t>
      </w:r>
      <w:proofErr w:type="gramStart"/>
      <w:r w:rsidRPr="001C1F8D">
        <w:rPr>
          <w:rFonts w:ascii="Times New Roman" w:hAnsi="Times New Roman"/>
          <w:sz w:val="24"/>
          <w:szCs w:val="24"/>
        </w:rPr>
        <w:t>produce</w:t>
      </w:r>
      <w:proofErr w:type="gramEnd"/>
      <w:r w:rsidRPr="001C1F8D">
        <w:rPr>
          <w:rFonts w:ascii="Times New Roman" w:hAnsi="Times New Roman"/>
          <w:sz w:val="24"/>
          <w:szCs w:val="24"/>
        </w:rPr>
        <w:t xml:space="preserve"> the discovery of evidence. This interpretation aligns with the statute's protective purpose while also preventing potential abuse.” </w:t>
      </w:r>
      <w:hyperlink r:id="rId2159" w:history="1">
        <w:r w:rsidRPr="001C1F8D">
          <w:rPr>
            <w:rStyle w:val="Hyperlink"/>
            <w:rFonts w:ascii="Times New Roman" w:hAnsi="Times New Roman"/>
            <w:sz w:val="24"/>
            <w:szCs w:val="24"/>
          </w:rPr>
          <w:t>https://casetext.com/case/state-v-soliz-24</w:t>
        </w:r>
      </w:hyperlink>
      <w:r w:rsidRPr="001C1F8D">
        <w:rPr>
          <w:rFonts w:ascii="Times New Roman" w:hAnsi="Times New Roman"/>
          <w:sz w:val="24"/>
          <w:szCs w:val="24"/>
        </w:rPr>
        <w:t xml:space="preserve"> </w:t>
      </w:r>
    </w:p>
    <w:p w14:paraId="4A8ED28D" w14:textId="77777777" w:rsidR="00E5379E" w:rsidRDefault="00E5379E" w:rsidP="001C1F8D">
      <w:pPr>
        <w:pStyle w:val="NoSpacing"/>
        <w:rPr>
          <w:rFonts w:ascii="Times New Roman" w:hAnsi="Times New Roman"/>
          <w:b/>
          <w:sz w:val="24"/>
          <w:szCs w:val="24"/>
        </w:rPr>
      </w:pPr>
    </w:p>
    <w:p w14:paraId="269DC108" w14:textId="653C04BE" w:rsidR="001C1F8D" w:rsidRPr="001C1F8D" w:rsidRDefault="001C1F8D" w:rsidP="001C1F8D">
      <w:pPr>
        <w:pStyle w:val="NoSpacing"/>
        <w:rPr>
          <w:rFonts w:ascii="Times New Roman" w:hAnsi="Times New Roman"/>
          <w:b/>
          <w:bCs/>
          <w:sz w:val="24"/>
          <w:szCs w:val="24"/>
        </w:rPr>
      </w:pPr>
      <w:r w:rsidRPr="001C1F8D">
        <w:rPr>
          <w:rFonts w:ascii="Times New Roman" w:hAnsi="Times New Roman"/>
          <w:b/>
          <w:sz w:val="24"/>
          <w:szCs w:val="24"/>
        </w:rPr>
        <w:t xml:space="preserve">Legal Lesson Learned: Many states have enacted “Good Samaritan” statutes designed to encourage 911 call when you or an associate is overdosing; this case does not fit that scenario. </w:t>
      </w:r>
    </w:p>
    <w:p w14:paraId="54BE610B" w14:textId="77777777" w:rsidR="001C1F8D" w:rsidRPr="001C1F8D" w:rsidRDefault="001C1F8D" w:rsidP="002B1283">
      <w:pPr>
        <w:rPr>
          <w:rFonts w:ascii="Times New Roman" w:hAnsi="Times New Roman"/>
          <w:b/>
          <w:bCs/>
          <w:sz w:val="24"/>
          <w:szCs w:val="24"/>
        </w:rPr>
      </w:pPr>
    </w:p>
    <w:p w14:paraId="665E580E" w14:textId="77777777" w:rsidR="00533809" w:rsidRDefault="00533809" w:rsidP="002B1283">
      <w:pPr>
        <w:rPr>
          <w:rFonts w:ascii="Arial Black" w:hAnsi="Arial Black"/>
          <w:b/>
          <w:bCs/>
          <w:sz w:val="28"/>
          <w:szCs w:val="28"/>
        </w:rPr>
      </w:pPr>
    </w:p>
    <w:p w14:paraId="69739103" w14:textId="635F9EDC" w:rsidR="00B96918" w:rsidRDefault="00B96918" w:rsidP="002B1283">
      <w:pPr>
        <w:rPr>
          <w:rFonts w:ascii="Arial Black" w:hAnsi="Arial Black"/>
          <w:b/>
          <w:bCs/>
          <w:sz w:val="28"/>
          <w:szCs w:val="28"/>
        </w:rPr>
      </w:pPr>
      <w:r>
        <w:rPr>
          <w:rFonts w:ascii="Arial Black" w:hAnsi="Arial Black"/>
          <w:b/>
          <w:bCs/>
          <w:sz w:val="28"/>
          <w:szCs w:val="28"/>
        </w:rPr>
        <w:t>13-196</w:t>
      </w:r>
    </w:p>
    <w:p w14:paraId="7BE054D7" w14:textId="77777777" w:rsidR="005B3FFE" w:rsidRPr="008519D7" w:rsidRDefault="005B3FFE" w:rsidP="005B3FFE">
      <w:pPr>
        <w:rPr>
          <w:rFonts w:ascii="Arial Black" w:hAnsi="Arial Black"/>
          <w:b/>
          <w:bCs/>
          <w:sz w:val="28"/>
          <w:szCs w:val="28"/>
        </w:rPr>
      </w:pPr>
      <w:r w:rsidRPr="008519D7">
        <w:rPr>
          <w:rFonts w:ascii="Arial Black" w:hAnsi="Arial Black"/>
          <w:b/>
          <w:bCs/>
          <w:sz w:val="28"/>
          <w:szCs w:val="28"/>
        </w:rPr>
        <w:t xml:space="preserve">NY:  DIFFICULTY BREATHING – DISPATCH SENT BLS – EMTS ON SCENE 12 MIN. FOR ALS – DISCRETIONARY – IMMUNITY </w:t>
      </w:r>
    </w:p>
    <w:p w14:paraId="6823B530" w14:textId="77777777" w:rsidR="005B3FFE" w:rsidRPr="004C62A0" w:rsidRDefault="005B3FFE" w:rsidP="005B3FFE">
      <w:pPr>
        <w:rPr>
          <w:rFonts w:ascii="Times New Roman" w:hAnsi="Times New Roman"/>
          <w:sz w:val="24"/>
          <w:szCs w:val="24"/>
        </w:rPr>
      </w:pPr>
      <w:r w:rsidRPr="004C62A0">
        <w:rPr>
          <w:rFonts w:ascii="Times New Roman" w:hAnsi="Times New Roman"/>
          <w:sz w:val="24"/>
          <w:szCs w:val="24"/>
        </w:rPr>
        <w:t xml:space="preserve">On Oct. 23, 2024, in </w:t>
      </w:r>
      <w:r w:rsidRPr="004C62A0">
        <w:rPr>
          <w:rFonts w:ascii="Times New Roman" w:hAnsi="Times New Roman"/>
          <w:sz w:val="24"/>
          <w:szCs w:val="24"/>
          <w:u w:val="single"/>
        </w:rPr>
        <w:t>Anita Walker-Rodriquez v. City of New York, et al</w:t>
      </w:r>
      <w:r w:rsidRPr="004C62A0">
        <w:rPr>
          <w:rFonts w:ascii="Times New Roman" w:hAnsi="Times New Roman"/>
          <w:sz w:val="24"/>
          <w:szCs w:val="24"/>
        </w:rPr>
        <w:t xml:space="preserve">., the New York Appellate Division, Second Judicial District, held (5 to 0): “In an action, inter alia, to recover damages for personal injuries, etc., the defendants City of New York, New York City Police Department, and New York City Fire Department Emergency Medical Services appeal from an order of the Supreme Court, Kings County (Marsha L. Steinhardt, J.), dated August 22, 2019. The order denied those defendants' motion pursuant to CPLR 3211(a)(7) to dismiss the complaint insofar as asserted against them or, in the alternative, for summary judgment dismissing the complaint insofar as asserted against them. *** Accordingly, the Supreme Court should have granted that branch of the defendants' motion which was for summary judgment dismissing the complaint insofar as asserted against them.” </w:t>
      </w:r>
      <w:hyperlink r:id="rId2160" w:history="1">
        <w:r w:rsidRPr="004C62A0">
          <w:rPr>
            <w:rStyle w:val="Hyperlink"/>
            <w:rFonts w:ascii="Times New Roman" w:hAnsi="Times New Roman"/>
            <w:sz w:val="24"/>
            <w:szCs w:val="24"/>
          </w:rPr>
          <w:t>https://law.justia.com/cases/new-york/appellate-division-second-department/2024/2019-11168.html</w:t>
        </w:r>
      </w:hyperlink>
      <w:r w:rsidRPr="004C62A0">
        <w:rPr>
          <w:rFonts w:ascii="Times New Roman" w:hAnsi="Times New Roman"/>
          <w:sz w:val="24"/>
          <w:szCs w:val="24"/>
        </w:rPr>
        <w:t xml:space="preserve"> </w:t>
      </w:r>
    </w:p>
    <w:p w14:paraId="31B92E54" w14:textId="77777777" w:rsidR="004C62A0" w:rsidRPr="004C62A0" w:rsidRDefault="004C62A0" w:rsidP="004C62A0">
      <w:pPr>
        <w:rPr>
          <w:rFonts w:ascii="Times New Roman" w:hAnsi="Times New Roman"/>
          <w:b/>
          <w:bCs/>
          <w:sz w:val="24"/>
          <w:szCs w:val="24"/>
        </w:rPr>
      </w:pPr>
      <w:r w:rsidRPr="004C62A0">
        <w:rPr>
          <w:rFonts w:ascii="Times New Roman" w:hAnsi="Times New Roman"/>
          <w:b/>
          <w:sz w:val="24"/>
          <w:szCs w:val="24"/>
        </w:rPr>
        <w:t>Legal Lesson Learned: Dispatch and EMS immunity for discretionary decisions.</w:t>
      </w:r>
    </w:p>
    <w:p w14:paraId="6500947B" w14:textId="77777777" w:rsidR="00B96918" w:rsidRDefault="00B96918" w:rsidP="002B1283">
      <w:pPr>
        <w:rPr>
          <w:rFonts w:ascii="Arial Black" w:hAnsi="Arial Black"/>
          <w:b/>
          <w:bCs/>
          <w:sz w:val="28"/>
          <w:szCs w:val="28"/>
        </w:rPr>
      </w:pPr>
    </w:p>
    <w:p w14:paraId="35EE876F" w14:textId="77777777" w:rsidR="00B96918" w:rsidRDefault="00B96918" w:rsidP="002B1283">
      <w:pPr>
        <w:rPr>
          <w:rFonts w:ascii="Arial Black" w:hAnsi="Arial Black"/>
          <w:b/>
          <w:bCs/>
          <w:sz w:val="28"/>
          <w:szCs w:val="28"/>
        </w:rPr>
      </w:pPr>
    </w:p>
    <w:p w14:paraId="74E29349" w14:textId="118EFF8D" w:rsidR="009C5942" w:rsidRDefault="009C5942" w:rsidP="002B1283">
      <w:pPr>
        <w:rPr>
          <w:rFonts w:ascii="Arial Black" w:hAnsi="Arial Black"/>
          <w:b/>
          <w:bCs/>
          <w:sz w:val="28"/>
          <w:szCs w:val="28"/>
        </w:rPr>
      </w:pPr>
      <w:r>
        <w:rPr>
          <w:rFonts w:ascii="Arial Black" w:hAnsi="Arial Black"/>
          <w:b/>
          <w:bCs/>
          <w:sz w:val="28"/>
          <w:szCs w:val="28"/>
        </w:rPr>
        <w:t>13-195</w:t>
      </w:r>
    </w:p>
    <w:p w14:paraId="74C88005" w14:textId="321EA269" w:rsidR="007A1954" w:rsidRPr="0019310D" w:rsidRDefault="007A1954" w:rsidP="007A1954">
      <w:pPr>
        <w:pStyle w:val="NoSpacing"/>
        <w:rPr>
          <w:rFonts w:ascii="Arial Black" w:hAnsi="Arial Black"/>
          <w:sz w:val="28"/>
        </w:rPr>
      </w:pPr>
      <w:r>
        <w:rPr>
          <w:rFonts w:ascii="Arial Black" w:hAnsi="Arial Black"/>
          <w:sz w:val="28"/>
        </w:rPr>
        <w:t xml:space="preserve">KY: CITY’S DONUT EATING CONTEST – CHOKING / DIED - CASE PROCEED - “WILLFUL OR WANTON” </w:t>
      </w:r>
      <w:r w:rsidR="006F0C54">
        <w:rPr>
          <w:rFonts w:ascii="Arial Black" w:hAnsi="Arial Black"/>
          <w:sz w:val="28"/>
        </w:rPr>
        <w:t xml:space="preserve">MISCONDUCT </w:t>
      </w:r>
      <w:r>
        <w:rPr>
          <w:rFonts w:ascii="Arial Black" w:hAnsi="Arial Black"/>
          <w:sz w:val="28"/>
        </w:rPr>
        <w:t xml:space="preserve">NOT IN WAIVER </w:t>
      </w:r>
    </w:p>
    <w:p w14:paraId="7A4644C0" w14:textId="77777777" w:rsidR="007A1954" w:rsidRDefault="007A1954" w:rsidP="009E4718">
      <w:pPr>
        <w:pStyle w:val="NoSpacing"/>
        <w:rPr>
          <w:rFonts w:ascii="Times New Roman" w:hAnsi="Times New Roman"/>
          <w:sz w:val="24"/>
          <w:szCs w:val="24"/>
        </w:rPr>
      </w:pPr>
    </w:p>
    <w:p w14:paraId="36B32D93" w14:textId="220A2550" w:rsidR="009E4718" w:rsidRPr="00D7210B" w:rsidRDefault="009E4718" w:rsidP="009E4718">
      <w:pPr>
        <w:pStyle w:val="NoSpacing"/>
        <w:rPr>
          <w:rFonts w:ascii="Times New Roman" w:hAnsi="Times New Roman"/>
          <w:sz w:val="24"/>
          <w:szCs w:val="24"/>
        </w:rPr>
      </w:pPr>
      <w:r w:rsidRPr="00D7210B">
        <w:rPr>
          <w:rFonts w:ascii="Times New Roman" w:hAnsi="Times New Roman"/>
          <w:sz w:val="24"/>
          <w:szCs w:val="24"/>
        </w:rPr>
        <w:t xml:space="preserve">On Sept. 27, 2024, in </w:t>
      </w:r>
      <w:r w:rsidRPr="00D7210B">
        <w:rPr>
          <w:rFonts w:ascii="Times New Roman" w:hAnsi="Times New Roman"/>
          <w:sz w:val="24"/>
          <w:szCs w:val="24"/>
          <w:u w:val="single"/>
        </w:rPr>
        <w:t>Laura Helmbrecht, in her individual capacity and as administrator of the estate of Cesar E. Marquez Chavez v. Baley Jayne Bakery and Café LLC and the City of Walton</w:t>
      </w:r>
      <w:r w:rsidRPr="00D7210B">
        <w:rPr>
          <w:rFonts w:ascii="Times New Roman" w:hAnsi="Times New Roman"/>
          <w:sz w:val="24"/>
          <w:szCs w:val="24"/>
        </w:rPr>
        <w:t xml:space="preserve">, the Court of Appeals of Kentucky held (3 to 0) that trial court improperly granted summary judgment to the City, holding that claims of “willful or wanton” negligence were never in the waiver document signed by the release.  The Court wrote: “Because Chavez did not waive his estate’s claim of willful or wanton negligence, that tort claim remains viable.” </w:t>
      </w:r>
      <w:hyperlink r:id="rId2161" w:history="1">
        <w:r w:rsidRPr="00D7210B">
          <w:rPr>
            <w:rStyle w:val="Hyperlink"/>
            <w:rFonts w:ascii="Times New Roman" w:hAnsi="Times New Roman"/>
            <w:sz w:val="24"/>
            <w:szCs w:val="24"/>
          </w:rPr>
          <w:t>https://cases.justia.com/kentucky/court-of-appeals/2024-2023-ca-1033-mr.pdf?ts=1727446176</w:t>
        </w:r>
      </w:hyperlink>
      <w:r w:rsidRPr="00D7210B">
        <w:rPr>
          <w:rFonts w:ascii="Times New Roman" w:hAnsi="Times New Roman"/>
          <w:sz w:val="24"/>
          <w:szCs w:val="24"/>
        </w:rPr>
        <w:t xml:space="preserve"> </w:t>
      </w:r>
    </w:p>
    <w:p w14:paraId="12E8440F" w14:textId="77777777" w:rsidR="009E4718" w:rsidRPr="00D7210B" w:rsidRDefault="009E4718" w:rsidP="009E4718">
      <w:pPr>
        <w:pStyle w:val="NoSpacing"/>
        <w:rPr>
          <w:rFonts w:ascii="Times New Roman" w:hAnsi="Times New Roman"/>
          <w:sz w:val="24"/>
          <w:szCs w:val="24"/>
        </w:rPr>
      </w:pPr>
    </w:p>
    <w:p w14:paraId="7387BD40" w14:textId="77777777" w:rsidR="009E4718" w:rsidRPr="00D7210B" w:rsidRDefault="009E4718" w:rsidP="009E4718">
      <w:pPr>
        <w:pStyle w:val="NoSpacing"/>
        <w:rPr>
          <w:rFonts w:ascii="Times New Roman" w:hAnsi="Times New Roman"/>
          <w:sz w:val="24"/>
          <w:szCs w:val="24"/>
        </w:rPr>
      </w:pPr>
      <w:r w:rsidRPr="00D7210B">
        <w:rPr>
          <w:rFonts w:ascii="Times New Roman" w:hAnsi="Times New Roman"/>
          <w:sz w:val="24"/>
          <w:szCs w:val="24"/>
        </w:rPr>
        <w:t>THE COURT HELD:</w:t>
      </w:r>
    </w:p>
    <w:p w14:paraId="39743D3B" w14:textId="77777777" w:rsidR="009E4718" w:rsidRPr="00D7210B" w:rsidRDefault="009E4718" w:rsidP="009E4718">
      <w:pPr>
        <w:pStyle w:val="NoSpacing"/>
        <w:rPr>
          <w:rFonts w:ascii="Times New Roman" w:hAnsi="Times New Roman"/>
          <w:sz w:val="24"/>
          <w:szCs w:val="24"/>
        </w:rPr>
      </w:pPr>
    </w:p>
    <w:p w14:paraId="3B5DD960"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“Helmbrecht alleges that during the contest, Chavez began choking, lost consciousness, and went into cardiac arrest. She further alleges that because the ‘Appellees failed to organize and provide any emergency medical services at the contest, he received untimely medical treatment for his airway obstruction.’ Appellant’s Br. at 3. Helmbrecht alleges that when paramedics finally arrived, Chavez was unresponsive, and he was transported to St. Elizabeth Edgewood Hospital, where he died from ‘asphyxia due to food bolus.’ Ibid. The Appellees affirm these basic facts, but contest there is any support in the record as to Chavez’s cause of death.</w:t>
      </w:r>
    </w:p>
    <w:p w14:paraId="1A6902A8" w14:textId="77777777" w:rsidR="009E4718" w:rsidRPr="00D7210B" w:rsidRDefault="009E4718" w:rsidP="009E4718">
      <w:pPr>
        <w:pStyle w:val="NoSpacing"/>
        <w:ind w:left="720"/>
        <w:rPr>
          <w:rFonts w:ascii="Times New Roman" w:hAnsi="Times New Roman"/>
          <w:sz w:val="24"/>
          <w:szCs w:val="24"/>
        </w:rPr>
      </w:pPr>
    </w:p>
    <w:p w14:paraId="4997A526"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t>
      </w:r>
    </w:p>
    <w:p w14:paraId="59A76C88" w14:textId="77777777" w:rsidR="009E4718" w:rsidRPr="00D7210B" w:rsidRDefault="009E4718" w:rsidP="009E4718">
      <w:pPr>
        <w:pStyle w:val="NoSpacing"/>
        <w:rPr>
          <w:rFonts w:ascii="Times New Roman" w:hAnsi="Times New Roman"/>
          <w:sz w:val="24"/>
          <w:szCs w:val="24"/>
        </w:rPr>
      </w:pPr>
    </w:p>
    <w:p w14:paraId="06FB936C"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With respect to whether the waiver bars Helmbrecht’s claim of negligence, the waiver is enforceable….  As we conclude the waiver’s employment of ‘negligence’ encompassed both ordinary and gross negligence, for the same reasons discussed above in addressing Helmbrecht’s claim of negligence, the waiver is enforceable as a bar to her claim of gross negligence.</w:t>
      </w:r>
    </w:p>
    <w:p w14:paraId="7C534CEE" w14:textId="77777777" w:rsidR="009E4718" w:rsidRPr="00D7210B" w:rsidRDefault="009E4718" w:rsidP="009E4718">
      <w:pPr>
        <w:pStyle w:val="NoSpacing"/>
        <w:ind w:left="720"/>
        <w:rPr>
          <w:rFonts w:ascii="Times New Roman" w:hAnsi="Times New Roman"/>
          <w:sz w:val="24"/>
          <w:szCs w:val="24"/>
        </w:rPr>
      </w:pPr>
    </w:p>
    <w:p w14:paraId="22BB373B"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t>
      </w:r>
    </w:p>
    <w:p w14:paraId="03429426" w14:textId="77777777" w:rsidR="009E4718" w:rsidRPr="00D7210B" w:rsidRDefault="009E4718" w:rsidP="009E4718">
      <w:pPr>
        <w:pStyle w:val="NoSpacing"/>
        <w:rPr>
          <w:rFonts w:ascii="Times New Roman" w:hAnsi="Times New Roman"/>
          <w:sz w:val="24"/>
          <w:szCs w:val="24"/>
        </w:rPr>
      </w:pPr>
    </w:p>
    <w:p w14:paraId="2C3A34BF"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 xml:space="preserve">By its nature, such a waiver </w:t>
      </w:r>
      <w:proofErr w:type="gramStart"/>
      <w:r w:rsidRPr="00D7210B">
        <w:rPr>
          <w:rFonts w:ascii="Times New Roman" w:hAnsi="Times New Roman"/>
          <w:sz w:val="24"/>
          <w:szCs w:val="24"/>
        </w:rPr>
        <w:t>benefits</w:t>
      </w:r>
      <w:proofErr w:type="gramEnd"/>
      <w:r w:rsidRPr="00D7210B">
        <w:rPr>
          <w:rFonts w:ascii="Times New Roman" w:hAnsi="Times New Roman"/>
          <w:sz w:val="24"/>
          <w:szCs w:val="24"/>
        </w:rPr>
        <w:t xml:space="preserve"> only the releasee. The releasor gains nothing from the waiver itself; </w:t>
      </w:r>
      <w:proofErr w:type="gramStart"/>
      <w:r w:rsidRPr="00D7210B">
        <w:rPr>
          <w:rFonts w:ascii="Times New Roman" w:hAnsi="Times New Roman"/>
          <w:sz w:val="24"/>
          <w:szCs w:val="24"/>
        </w:rPr>
        <w:t>his</w:t>
      </w:r>
      <w:proofErr w:type="gramEnd"/>
      <w:r w:rsidRPr="00D7210B">
        <w:rPr>
          <w:rFonts w:ascii="Times New Roman" w:hAnsi="Times New Roman"/>
          <w:sz w:val="24"/>
          <w:szCs w:val="24"/>
        </w:rPr>
        <w:t xml:space="preserve"> benefit is the privilege of participating in the risked activity. Consequently, the waiver itself cannot logically serve as evidence of care toward the releasor; it is quite the opposite. Finding otherwise, as the circuit court did here, is effectively abolishing the Supreme Court’s holding that exculpatory contracts are unenforceable as to claims of willful or wanton negligence. Id. at 654. Finding otherwise is equivalent to saying, ‘You cannot sue the releasee because he warned you that he might harm you willfully or wantonly – that is, intentionally or with utter indifference to your safety or life.’ Poindexter v. Commonwealth, 389 S.W.3d 112, 117 (Ky. 2012</w:t>
      </w:r>
      <w:proofErr w:type="gramStart"/>
      <w:r w:rsidRPr="00D7210B">
        <w:rPr>
          <w:rFonts w:ascii="Times New Roman" w:hAnsi="Times New Roman"/>
          <w:sz w:val="24"/>
          <w:szCs w:val="24"/>
        </w:rPr>
        <w:t>) (‘</w:t>
      </w:r>
      <w:proofErr w:type="gramEnd"/>
      <w:r w:rsidRPr="00D7210B">
        <w:rPr>
          <w:rFonts w:ascii="Times New Roman" w:hAnsi="Times New Roman"/>
          <w:sz w:val="24"/>
          <w:szCs w:val="24"/>
        </w:rPr>
        <w:t>[</w:t>
      </w:r>
      <w:proofErr w:type="gramStart"/>
      <w:r w:rsidRPr="00D7210B">
        <w:rPr>
          <w:rFonts w:ascii="Times New Roman" w:hAnsi="Times New Roman"/>
          <w:sz w:val="24"/>
          <w:szCs w:val="24"/>
        </w:rPr>
        <w:t>Willfulness] ‘</w:t>
      </w:r>
      <w:proofErr w:type="gramEnd"/>
      <w:r w:rsidRPr="00D7210B">
        <w:rPr>
          <w:rFonts w:ascii="Times New Roman" w:hAnsi="Times New Roman"/>
          <w:sz w:val="24"/>
          <w:szCs w:val="24"/>
        </w:rPr>
        <w:t>means with intent or intention.’) (internal quotation marks and citations omitted); Holbrook v. Ky. Unemployment Ins. Comm’n, 290 S.W.3d 81, 87 (Ky. App. 2009) (defining wanton conduct as ‘[u]</w:t>
      </w:r>
      <w:proofErr w:type="spellStart"/>
      <w:r w:rsidRPr="00D7210B">
        <w:rPr>
          <w:rFonts w:ascii="Times New Roman" w:hAnsi="Times New Roman"/>
          <w:sz w:val="24"/>
          <w:szCs w:val="24"/>
        </w:rPr>
        <w:t>nreasonably</w:t>
      </w:r>
      <w:proofErr w:type="spellEnd"/>
      <w:r w:rsidRPr="00D7210B">
        <w:rPr>
          <w:rFonts w:ascii="Times New Roman" w:hAnsi="Times New Roman"/>
          <w:sz w:val="24"/>
          <w:szCs w:val="24"/>
        </w:rPr>
        <w:t xml:space="preserve"> or maliciously risking harm while</w:t>
      </w:r>
    </w:p>
    <w:p w14:paraId="50064D0B" w14:textId="77777777" w:rsidR="009E4718" w:rsidRPr="00D7210B" w:rsidRDefault="009E4718" w:rsidP="009E4718">
      <w:pPr>
        <w:pStyle w:val="NoSpacing"/>
        <w:ind w:firstLine="720"/>
        <w:rPr>
          <w:rFonts w:ascii="Times New Roman" w:hAnsi="Times New Roman"/>
          <w:sz w:val="24"/>
          <w:szCs w:val="24"/>
        </w:rPr>
      </w:pPr>
      <w:r w:rsidRPr="00D7210B">
        <w:rPr>
          <w:rFonts w:ascii="Times New Roman" w:hAnsi="Times New Roman"/>
          <w:sz w:val="24"/>
          <w:szCs w:val="24"/>
        </w:rPr>
        <w:t>being utterly indifferent to the consequences’).</w:t>
      </w:r>
    </w:p>
    <w:p w14:paraId="1CC67EAF" w14:textId="77777777" w:rsidR="009E4718" w:rsidRPr="00D7210B" w:rsidRDefault="009E4718" w:rsidP="009E4718">
      <w:pPr>
        <w:pStyle w:val="NoSpacing"/>
        <w:ind w:firstLine="720"/>
        <w:rPr>
          <w:rFonts w:ascii="Times New Roman" w:hAnsi="Times New Roman"/>
          <w:sz w:val="24"/>
          <w:szCs w:val="24"/>
        </w:rPr>
      </w:pPr>
    </w:p>
    <w:p w14:paraId="05F6B155" w14:textId="77777777" w:rsidR="009E4718" w:rsidRPr="00D7210B" w:rsidRDefault="009E4718" w:rsidP="009E4718">
      <w:pPr>
        <w:pStyle w:val="NoSpacing"/>
        <w:ind w:firstLine="720"/>
        <w:rPr>
          <w:rFonts w:ascii="Times New Roman" w:hAnsi="Times New Roman"/>
          <w:sz w:val="24"/>
          <w:szCs w:val="24"/>
        </w:rPr>
      </w:pPr>
      <w:r w:rsidRPr="00D7210B">
        <w:rPr>
          <w:rFonts w:ascii="Times New Roman" w:hAnsi="Times New Roman"/>
          <w:sz w:val="24"/>
          <w:szCs w:val="24"/>
        </w:rPr>
        <w:t>***</w:t>
      </w:r>
    </w:p>
    <w:p w14:paraId="63FDAE5E" w14:textId="77777777" w:rsidR="009E4718" w:rsidRPr="00D7210B" w:rsidRDefault="009E4718" w:rsidP="009E4718">
      <w:pPr>
        <w:pStyle w:val="NoSpacing"/>
        <w:rPr>
          <w:rFonts w:ascii="Times New Roman" w:hAnsi="Times New Roman"/>
          <w:sz w:val="24"/>
          <w:szCs w:val="24"/>
        </w:rPr>
      </w:pPr>
      <w:r w:rsidRPr="00D7210B">
        <w:rPr>
          <w:rFonts w:ascii="Times New Roman" w:hAnsi="Times New Roman"/>
          <w:noProof/>
          <w:sz w:val="24"/>
          <w:szCs w:val="24"/>
        </w:rPr>
        <w:drawing>
          <wp:inline distT="0" distB="0" distL="0" distR="0" wp14:anchorId="39731B17" wp14:editId="0FE3131B">
            <wp:extent cx="57158" cy="47632"/>
            <wp:effectExtent l="0" t="0" r="0" b="9525"/>
            <wp:docPr id="189600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07320" name=""/>
                    <pic:cNvPicPr/>
                  </pic:nvPicPr>
                  <pic:blipFill>
                    <a:blip r:embed="rId2162"/>
                    <a:stretch>
                      <a:fillRect/>
                    </a:stretch>
                  </pic:blipFill>
                  <pic:spPr>
                    <a:xfrm>
                      <a:off x="0" y="0"/>
                      <a:ext cx="57158" cy="47632"/>
                    </a:xfrm>
                    <a:prstGeom prst="rect">
                      <a:avLst/>
                    </a:prstGeom>
                  </pic:spPr>
                </pic:pic>
              </a:graphicData>
            </a:graphic>
          </wp:inline>
        </w:drawing>
      </w:r>
    </w:p>
    <w:p w14:paraId="16173799" w14:textId="6719E310" w:rsidR="009E4718" w:rsidRDefault="009E4718" w:rsidP="009E4718">
      <w:pPr>
        <w:pStyle w:val="NoSpacing"/>
        <w:ind w:left="720"/>
        <w:rPr>
          <w:rFonts w:ascii="Times New Roman" w:hAnsi="Times New Roman"/>
          <w:sz w:val="24"/>
          <w:szCs w:val="24"/>
        </w:rPr>
      </w:pPr>
      <w:r w:rsidRPr="00D7210B">
        <w:rPr>
          <w:rFonts w:ascii="Times New Roman" w:hAnsi="Times New Roman"/>
          <w:sz w:val="24"/>
          <w:szCs w:val="24"/>
        </w:rPr>
        <w:t>Because Chavez did not waive his estate’s claim of willful or wanton negligence, that tort claim remains viable.</w:t>
      </w:r>
    </w:p>
    <w:p w14:paraId="228638BA" w14:textId="77777777" w:rsidR="00532D2D" w:rsidRDefault="00532D2D" w:rsidP="009E4718">
      <w:pPr>
        <w:pStyle w:val="NoSpacing"/>
        <w:ind w:left="720"/>
        <w:rPr>
          <w:rFonts w:ascii="Times New Roman" w:hAnsi="Times New Roman"/>
          <w:sz w:val="24"/>
          <w:szCs w:val="24"/>
        </w:rPr>
      </w:pPr>
    </w:p>
    <w:p w14:paraId="7B94034B" w14:textId="658771FF" w:rsidR="00532D2D" w:rsidRPr="00D7210B" w:rsidRDefault="00532D2D" w:rsidP="009E4718">
      <w:pPr>
        <w:pStyle w:val="NoSpacing"/>
        <w:ind w:left="720"/>
        <w:rPr>
          <w:rFonts w:ascii="Times New Roman" w:hAnsi="Times New Roman"/>
          <w:sz w:val="24"/>
          <w:szCs w:val="24"/>
        </w:rPr>
      </w:pPr>
      <w:r>
        <w:rPr>
          <w:rFonts w:ascii="Times New Roman" w:hAnsi="Times New Roman"/>
          <w:sz w:val="24"/>
          <w:szCs w:val="24"/>
        </w:rPr>
        <w:t>***</w:t>
      </w:r>
    </w:p>
    <w:p w14:paraId="0548D0F7" w14:textId="182D415F" w:rsidR="009E4718" w:rsidRPr="00D7210B" w:rsidRDefault="009E4718" w:rsidP="00532D2D">
      <w:pPr>
        <w:pStyle w:val="NoSpacing"/>
        <w:ind w:left="720"/>
        <w:rPr>
          <w:rFonts w:ascii="Times New Roman" w:hAnsi="Times New Roman"/>
          <w:sz w:val="24"/>
          <w:szCs w:val="24"/>
        </w:rPr>
      </w:pPr>
      <w:r w:rsidRPr="00D7210B">
        <w:rPr>
          <w:rFonts w:ascii="Times New Roman" w:hAnsi="Times New Roman"/>
          <w:sz w:val="24"/>
          <w:szCs w:val="24"/>
        </w:rPr>
        <w:t>In September of 2021, Appellant City of Walton held its annual ‘Old Fashion Day’ festival. Helmbrecht and her husband, decedent Chavez, were in attendance, and Chavez entered the donut eating contest. Chavez was required to sign a waiver to participate.”</w:t>
      </w:r>
    </w:p>
    <w:p w14:paraId="5585573D" w14:textId="77777777" w:rsidR="009E4718" w:rsidRPr="00D7210B" w:rsidRDefault="009E4718" w:rsidP="009E4718">
      <w:pPr>
        <w:pStyle w:val="NoSpacing"/>
        <w:ind w:left="720"/>
        <w:rPr>
          <w:rFonts w:ascii="Times New Roman" w:hAnsi="Times New Roman"/>
          <w:sz w:val="24"/>
          <w:szCs w:val="24"/>
        </w:rPr>
      </w:pPr>
    </w:p>
    <w:p w14:paraId="7770B23F" w14:textId="77777777" w:rsidR="009E4718" w:rsidRPr="00D7210B" w:rsidRDefault="009E4718" w:rsidP="009E4718">
      <w:pPr>
        <w:pStyle w:val="NoSpacing"/>
        <w:rPr>
          <w:rFonts w:ascii="Times New Roman" w:hAnsi="Times New Roman"/>
          <w:b/>
          <w:bCs/>
          <w:sz w:val="24"/>
          <w:szCs w:val="24"/>
        </w:rPr>
      </w:pPr>
      <w:r w:rsidRPr="00D7210B">
        <w:rPr>
          <w:rFonts w:ascii="Times New Roman" w:hAnsi="Times New Roman"/>
          <w:b/>
          <w:bCs/>
          <w:sz w:val="24"/>
          <w:szCs w:val="24"/>
        </w:rPr>
        <w:t xml:space="preserve">Legal Lesson Learned:  If City is holding a donut or other “eating contest” should include in waiver “willful or wanton” negligence and have EMS standing nearby. </w:t>
      </w:r>
    </w:p>
    <w:p w14:paraId="0B93B2D6" w14:textId="77777777" w:rsidR="009C5942" w:rsidRDefault="009C5942" w:rsidP="002B1283">
      <w:pPr>
        <w:rPr>
          <w:rFonts w:ascii="Arial Black" w:hAnsi="Arial Black"/>
          <w:b/>
          <w:bCs/>
          <w:sz w:val="28"/>
          <w:szCs w:val="28"/>
        </w:rPr>
      </w:pPr>
    </w:p>
    <w:p w14:paraId="3749642A" w14:textId="77777777" w:rsidR="009C5942" w:rsidRDefault="009C5942" w:rsidP="002B1283">
      <w:pPr>
        <w:rPr>
          <w:rFonts w:ascii="Arial Black" w:hAnsi="Arial Black"/>
          <w:b/>
          <w:bCs/>
          <w:sz w:val="28"/>
          <w:szCs w:val="28"/>
        </w:rPr>
      </w:pPr>
    </w:p>
    <w:p w14:paraId="38C313FC" w14:textId="33394644" w:rsidR="009665CE" w:rsidRDefault="001C18B0" w:rsidP="002B1283">
      <w:pPr>
        <w:rPr>
          <w:rFonts w:ascii="Arial Black" w:hAnsi="Arial Black"/>
          <w:b/>
          <w:bCs/>
          <w:sz w:val="28"/>
          <w:szCs w:val="28"/>
        </w:rPr>
      </w:pPr>
      <w:r>
        <w:rPr>
          <w:rFonts w:ascii="Arial Black" w:hAnsi="Arial Black"/>
          <w:b/>
          <w:bCs/>
          <w:sz w:val="28"/>
          <w:szCs w:val="28"/>
        </w:rPr>
        <w:t>13-194</w:t>
      </w:r>
    </w:p>
    <w:p w14:paraId="0F9ECAC2" w14:textId="77777777" w:rsidR="009C5942" w:rsidRPr="0068578A" w:rsidRDefault="009C5942" w:rsidP="009C5942">
      <w:pPr>
        <w:pStyle w:val="NoSpacing"/>
        <w:rPr>
          <w:rFonts w:ascii="Arial Black" w:hAnsi="Arial Black"/>
          <w:sz w:val="28"/>
        </w:rPr>
      </w:pPr>
      <w:r>
        <w:rPr>
          <w:rFonts w:ascii="Arial Black" w:hAnsi="Arial Black"/>
          <w:sz w:val="28"/>
        </w:rPr>
        <w:t>NJ: CARDIAC – QUICK RESPONSE VEHICLE NOT ALS - MEDIC STUDENT TRIED TO INTUBATE – IMMUNITY</w:t>
      </w:r>
    </w:p>
    <w:p w14:paraId="59D54121" w14:textId="77777777" w:rsidR="009C5942" w:rsidRDefault="009C5942" w:rsidP="009C5942">
      <w:pPr>
        <w:pStyle w:val="NoSpacing"/>
      </w:pPr>
    </w:p>
    <w:p w14:paraId="653061DB" w14:textId="77777777" w:rsidR="009C5942" w:rsidRPr="009C5942" w:rsidRDefault="009C5942" w:rsidP="009C5942">
      <w:pPr>
        <w:pStyle w:val="NoSpacing"/>
        <w:rPr>
          <w:rFonts w:ascii="Times New Roman" w:hAnsi="Times New Roman"/>
          <w:sz w:val="24"/>
          <w:szCs w:val="24"/>
        </w:rPr>
      </w:pPr>
      <w:r w:rsidRPr="009C5942">
        <w:rPr>
          <w:rFonts w:ascii="Times New Roman" w:hAnsi="Times New Roman"/>
          <w:sz w:val="24"/>
          <w:szCs w:val="24"/>
        </w:rPr>
        <w:t xml:space="preserve">On October 1, 2024, in </w:t>
      </w:r>
      <w:proofErr w:type="spellStart"/>
      <w:r w:rsidRPr="009C5942">
        <w:rPr>
          <w:rFonts w:ascii="Times New Roman" w:hAnsi="Times New Roman"/>
          <w:sz w:val="24"/>
          <w:szCs w:val="24"/>
          <w:u w:val="single"/>
        </w:rPr>
        <w:t>Onyelle</w:t>
      </w:r>
      <w:proofErr w:type="spellEnd"/>
      <w:r w:rsidRPr="009C5942">
        <w:rPr>
          <w:rFonts w:ascii="Times New Roman" w:hAnsi="Times New Roman"/>
          <w:sz w:val="24"/>
          <w:szCs w:val="24"/>
          <w:u w:val="single"/>
        </w:rPr>
        <w:t xml:space="preserve"> R. Jamison, administrator of the estate of Ruby Nell King v. Jersey City Medical Center, et al</w:t>
      </w:r>
      <w:r w:rsidRPr="009C5942">
        <w:rPr>
          <w:rFonts w:ascii="Times New Roman" w:hAnsi="Times New Roman"/>
          <w:sz w:val="24"/>
          <w:szCs w:val="24"/>
        </w:rPr>
        <w:t xml:space="preserve">., the Superior Court of New Jersey, Appellate Division, held (unpublished decision) that trial court properly granted summary judgement to the Medical Center and all the EMS.  The Court wrote: “The [trial] court rejected plaintiff's claim that failing to equip the QRV with ALS supplies was a deviation from the applicable standard of care because dispatching ‘a single BLS and a single ALS unit on the scene would have met the standard of care.’ Because ‘the BLS unit and ALS unit were dispatched along with [Isidro's] unit and dispatching [Isidro's] unit did not affect the arrival of the other units, [Isidro's] attendance was not required at the scene.’ *** Specifically, plaintiff contends, given King's unstable condition, it was not appropriate to permit Molineros to attempt the intubation, and DiMarco took too long to intubate King after the initial unsuccessful attempt. We are not persuaded. Here, plaintiff's claim is based solely on Dr. Brown's opinion that it was ‘horrible’ judgment and ‘reckless and dangerous’ for DiMarco and Valles to permit Molineros to attempt the intubation. Dr. Brown, however, conceded at his deposition Molineros was, as a paramedic student, expressly permitted pursuant to N.J.A.C. 8:41-12.1(c)(7), to intubate patients in the field. In addition, Dr. Brown did not know how many times Molineros intubated patients before March 30, 2018. Dr. Brown testified he did not know why her intubation attempt failed and did not believe Molineros ‘deviated from what a student would do.’” </w:t>
      </w:r>
      <w:hyperlink r:id="rId2163" w:history="1">
        <w:r w:rsidRPr="009C5942">
          <w:rPr>
            <w:rStyle w:val="Hyperlink"/>
            <w:rFonts w:ascii="Times New Roman" w:hAnsi="Times New Roman"/>
            <w:sz w:val="24"/>
            <w:szCs w:val="24"/>
          </w:rPr>
          <w:t>https://www.njcourts.gov/system/files/court-opinions/2024/a1893-22.pdf</w:t>
        </w:r>
      </w:hyperlink>
      <w:r w:rsidRPr="009C5942">
        <w:rPr>
          <w:rFonts w:ascii="Times New Roman" w:hAnsi="Times New Roman"/>
          <w:sz w:val="24"/>
          <w:szCs w:val="24"/>
        </w:rPr>
        <w:t xml:space="preserve"> </w:t>
      </w:r>
    </w:p>
    <w:p w14:paraId="0C270AB8" w14:textId="77777777" w:rsidR="009C5942" w:rsidRPr="009C5942" w:rsidRDefault="009C5942" w:rsidP="009C5942">
      <w:pPr>
        <w:pStyle w:val="NoSpacing"/>
        <w:rPr>
          <w:rFonts w:ascii="Times New Roman" w:hAnsi="Times New Roman"/>
          <w:sz w:val="24"/>
          <w:szCs w:val="24"/>
        </w:rPr>
      </w:pPr>
    </w:p>
    <w:p w14:paraId="50D2E77F" w14:textId="77777777" w:rsidR="009C5942" w:rsidRPr="009C5942" w:rsidRDefault="009C5942" w:rsidP="009C5942">
      <w:pPr>
        <w:pStyle w:val="NoSpacing"/>
        <w:rPr>
          <w:rFonts w:ascii="Times New Roman" w:hAnsi="Times New Roman"/>
          <w:sz w:val="24"/>
          <w:szCs w:val="24"/>
        </w:rPr>
      </w:pPr>
      <w:r w:rsidRPr="009C5942">
        <w:rPr>
          <w:rFonts w:ascii="Times New Roman" w:hAnsi="Times New Roman"/>
          <w:sz w:val="24"/>
          <w:szCs w:val="24"/>
        </w:rPr>
        <w:t>THE COURT HELD:</w:t>
      </w:r>
    </w:p>
    <w:p w14:paraId="4607C4E2" w14:textId="77777777" w:rsidR="009C5942" w:rsidRPr="009C5942" w:rsidRDefault="009C5942" w:rsidP="009C5942">
      <w:pPr>
        <w:pStyle w:val="NoSpacing"/>
        <w:rPr>
          <w:rFonts w:ascii="Times New Roman" w:hAnsi="Times New Roman"/>
          <w:sz w:val="24"/>
          <w:szCs w:val="24"/>
        </w:rPr>
      </w:pPr>
    </w:p>
    <w:p w14:paraId="3318F276"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 xml:space="preserve">“At best, plaintiff sets forth a viable claim of negligence. Plaintiff does not offer any evidence to support </w:t>
      </w:r>
      <w:proofErr w:type="gramStart"/>
      <w:r w:rsidRPr="009C5942">
        <w:rPr>
          <w:rFonts w:ascii="Times New Roman" w:hAnsi="Times New Roman"/>
          <w:sz w:val="24"/>
          <w:szCs w:val="24"/>
        </w:rPr>
        <w:t>a finding</w:t>
      </w:r>
      <w:proofErr w:type="gramEnd"/>
      <w:r w:rsidRPr="009C5942">
        <w:rPr>
          <w:rFonts w:ascii="Times New Roman" w:hAnsi="Times New Roman"/>
          <w:sz w:val="24"/>
          <w:szCs w:val="24"/>
        </w:rPr>
        <w:t xml:space="preserve"> that DiMarco and Valles did not act in good faith. We are satisfied, based on the facts and circumstances of this case, the court correctly determined DiMarco and Valles demonstrated their actions "were objectively reasonable or that they performed them with subjective good faith." </w:t>
      </w:r>
      <w:proofErr w:type="spellStart"/>
      <w:r w:rsidRPr="009C5942">
        <w:rPr>
          <w:rFonts w:ascii="Times New Roman" w:hAnsi="Times New Roman"/>
          <w:sz w:val="24"/>
          <w:szCs w:val="24"/>
        </w:rPr>
        <w:t>Canico</w:t>
      </w:r>
      <w:proofErr w:type="spellEnd"/>
      <w:r w:rsidRPr="009C5942">
        <w:rPr>
          <w:rFonts w:ascii="Times New Roman" w:hAnsi="Times New Roman"/>
          <w:sz w:val="24"/>
          <w:szCs w:val="24"/>
        </w:rPr>
        <w:t>, 144 N.J. at 365. Summary judgment, therefore, was properly granted on the issue of good faith.</w:t>
      </w:r>
    </w:p>
    <w:p w14:paraId="5F1A62F8" w14:textId="77777777" w:rsidR="009C5942" w:rsidRPr="009C5942" w:rsidRDefault="009C5942" w:rsidP="009C5942">
      <w:pPr>
        <w:pStyle w:val="NoSpacing"/>
        <w:ind w:left="720"/>
        <w:rPr>
          <w:rFonts w:ascii="Times New Roman" w:hAnsi="Times New Roman"/>
          <w:sz w:val="24"/>
          <w:szCs w:val="24"/>
        </w:rPr>
      </w:pPr>
    </w:p>
    <w:p w14:paraId="1253B696"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w:t>
      </w:r>
    </w:p>
    <w:p w14:paraId="309060F3" w14:textId="77777777" w:rsidR="009C5942" w:rsidRPr="009C5942" w:rsidRDefault="009C5942" w:rsidP="009C5942">
      <w:pPr>
        <w:pStyle w:val="NoSpacing"/>
        <w:rPr>
          <w:rFonts w:ascii="Times New Roman" w:hAnsi="Times New Roman"/>
          <w:sz w:val="24"/>
          <w:szCs w:val="24"/>
        </w:rPr>
      </w:pPr>
    </w:p>
    <w:p w14:paraId="2DE4168E"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We are satisfied the court correctly determined defendants are entitled to immunity pursuant to N.J.S.A. 26:2K-14, which provides, in relevant part:</w:t>
      </w:r>
    </w:p>
    <w:p w14:paraId="22421BFB" w14:textId="77777777" w:rsidR="009C5942" w:rsidRPr="009C5942" w:rsidRDefault="009C5942" w:rsidP="009C5942">
      <w:pPr>
        <w:pStyle w:val="NoSpacing"/>
        <w:ind w:left="1440"/>
        <w:rPr>
          <w:rFonts w:ascii="Times New Roman" w:hAnsi="Times New Roman"/>
          <w:sz w:val="24"/>
          <w:szCs w:val="24"/>
        </w:rPr>
      </w:pPr>
      <w:r w:rsidRPr="009C5942">
        <w:rPr>
          <w:rFonts w:ascii="Times New Roman" w:hAnsi="Times New Roman"/>
          <w:sz w:val="24"/>
          <w:szCs w:val="24"/>
        </w:rPr>
        <w:t>No mobile intensive care paramedic, . . . hospital . . . first aid, ambulance or rescue squad, … shall be liable for any civil damages as the result of an act or the omission of an act committed while in training for or in the rendering of . . . advanced life support services in good faith and in accordance with this act.”</w:t>
      </w:r>
    </w:p>
    <w:p w14:paraId="5D383038" w14:textId="77777777" w:rsidR="009C5942" w:rsidRPr="009C5942" w:rsidRDefault="009C5942" w:rsidP="009C5942">
      <w:pPr>
        <w:pStyle w:val="NoSpacing"/>
        <w:rPr>
          <w:rFonts w:ascii="Times New Roman" w:hAnsi="Times New Roman"/>
          <w:sz w:val="24"/>
          <w:szCs w:val="24"/>
        </w:rPr>
      </w:pPr>
    </w:p>
    <w:p w14:paraId="506AD569" w14:textId="77777777" w:rsidR="009C5942" w:rsidRPr="009C5942" w:rsidRDefault="009C5942" w:rsidP="009C5942">
      <w:pPr>
        <w:pStyle w:val="NoSpacing"/>
        <w:rPr>
          <w:rFonts w:ascii="Times New Roman" w:hAnsi="Times New Roman"/>
          <w:sz w:val="24"/>
          <w:szCs w:val="24"/>
        </w:rPr>
      </w:pPr>
    </w:p>
    <w:p w14:paraId="2D8A07EB" w14:textId="77777777" w:rsidR="009C5942" w:rsidRPr="009C5942" w:rsidRDefault="009C5942" w:rsidP="009C5942">
      <w:pPr>
        <w:rPr>
          <w:rFonts w:ascii="Times New Roman" w:hAnsi="Times New Roman"/>
          <w:b/>
          <w:bCs/>
          <w:sz w:val="24"/>
          <w:szCs w:val="24"/>
        </w:rPr>
      </w:pPr>
      <w:r w:rsidRPr="009C5942">
        <w:rPr>
          <w:rFonts w:ascii="Times New Roman" w:hAnsi="Times New Roman"/>
          <w:b/>
          <w:bCs/>
          <w:sz w:val="24"/>
          <w:szCs w:val="24"/>
        </w:rPr>
        <w:t xml:space="preserve">Legal Lesson Learned:  Statutory immunity protects both Paramedics and EMS students trained in intubation from liability.  </w:t>
      </w:r>
    </w:p>
    <w:p w14:paraId="317A2DB8" w14:textId="77777777" w:rsidR="001C18B0" w:rsidRDefault="001C18B0" w:rsidP="002B1283">
      <w:pPr>
        <w:rPr>
          <w:rFonts w:ascii="Arial Black" w:hAnsi="Arial Black"/>
          <w:b/>
          <w:bCs/>
          <w:sz w:val="28"/>
          <w:szCs w:val="28"/>
        </w:rPr>
      </w:pPr>
    </w:p>
    <w:p w14:paraId="18AE349E" w14:textId="77777777" w:rsidR="001C18B0" w:rsidRDefault="001C18B0" w:rsidP="002B1283">
      <w:pPr>
        <w:rPr>
          <w:rFonts w:ascii="Arial Black" w:hAnsi="Arial Black"/>
          <w:b/>
          <w:bCs/>
          <w:sz w:val="28"/>
          <w:szCs w:val="28"/>
        </w:rPr>
      </w:pPr>
    </w:p>
    <w:p w14:paraId="447D5A69" w14:textId="17DA2199" w:rsidR="009665CE" w:rsidRDefault="009665CE" w:rsidP="002B1283">
      <w:pPr>
        <w:rPr>
          <w:rFonts w:ascii="Arial Black" w:hAnsi="Arial Black"/>
          <w:b/>
          <w:bCs/>
          <w:sz w:val="28"/>
          <w:szCs w:val="28"/>
        </w:rPr>
      </w:pPr>
      <w:r>
        <w:rPr>
          <w:rFonts w:ascii="Arial Black" w:hAnsi="Arial Black"/>
          <w:b/>
          <w:bCs/>
          <w:sz w:val="28"/>
          <w:szCs w:val="28"/>
        </w:rPr>
        <w:t>13-193</w:t>
      </w:r>
    </w:p>
    <w:p w14:paraId="32C725D5" w14:textId="764D79CD" w:rsidR="009665CE" w:rsidRPr="00546EED" w:rsidRDefault="009665CE" w:rsidP="009665CE">
      <w:pPr>
        <w:pStyle w:val="NoSpacing"/>
        <w:rPr>
          <w:rFonts w:ascii="Arial Black" w:hAnsi="Arial Black"/>
          <w:sz w:val="28"/>
        </w:rPr>
      </w:pPr>
      <w:r>
        <w:rPr>
          <w:rFonts w:ascii="Arial Black" w:hAnsi="Arial Black"/>
          <w:sz w:val="28"/>
        </w:rPr>
        <w:t>NM:  FLIGHT PARAMEDIC TERMINATED – “ABANDONED” OB PATIENT - FETAL MONITOR REMOVED, PILOT RETURN</w:t>
      </w:r>
      <w:r w:rsidR="00D4774D">
        <w:rPr>
          <w:rFonts w:ascii="Arial Black" w:hAnsi="Arial Black"/>
          <w:sz w:val="28"/>
        </w:rPr>
        <w:t>ED TO</w:t>
      </w:r>
      <w:r>
        <w:rPr>
          <w:rFonts w:ascii="Arial Black" w:hAnsi="Arial Black"/>
          <w:sz w:val="28"/>
        </w:rPr>
        <w:t xml:space="preserve"> BASE</w:t>
      </w:r>
    </w:p>
    <w:p w14:paraId="1D031AF2" w14:textId="77777777" w:rsidR="009665CE" w:rsidRDefault="009665CE" w:rsidP="009665CE">
      <w:pPr>
        <w:pStyle w:val="NoSpacing"/>
      </w:pPr>
    </w:p>
    <w:p w14:paraId="1B2D8318" w14:textId="77777777" w:rsidR="009665CE" w:rsidRPr="009665CE" w:rsidRDefault="009665CE" w:rsidP="009665CE">
      <w:pPr>
        <w:pStyle w:val="NoSpacing"/>
        <w:rPr>
          <w:rFonts w:ascii="Times New Roman" w:hAnsi="Times New Roman"/>
          <w:sz w:val="24"/>
          <w:szCs w:val="24"/>
        </w:rPr>
      </w:pPr>
      <w:r w:rsidRPr="009665CE">
        <w:rPr>
          <w:rFonts w:ascii="Times New Roman" w:hAnsi="Times New Roman"/>
          <w:sz w:val="24"/>
          <w:szCs w:val="24"/>
        </w:rPr>
        <w:t xml:space="preserve">On September 3, 2024, in </w:t>
      </w:r>
      <w:r w:rsidRPr="009665CE">
        <w:rPr>
          <w:rFonts w:ascii="Times New Roman" w:hAnsi="Times New Roman"/>
          <w:sz w:val="24"/>
          <w:szCs w:val="24"/>
          <w:u w:val="single"/>
        </w:rPr>
        <w:t>Daniel Kuhler v. PHI Health, LLC d/b/a Phi Air Medical</w:t>
      </w:r>
      <w:r w:rsidRPr="009665CE">
        <w:rPr>
          <w:rFonts w:ascii="Times New Roman" w:hAnsi="Times New Roman"/>
          <w:sz w:val="24"/>
          <w:szCs w:val="24"/>
        </w:rPr>
        <w:t xml:space="preserve">, United States District Court Chief Judge William P. Johnson, U.S. District Court, District of New Mexico, granted summary judgment to the employer, Phi Air Medical; there was no proof of employer making termination decision as a failure to accommodate his request for leave for ear surgery. Regarding the medical flight on Oct. 10, 2019, the Court wrote: “Disconnecting the equipment from the patient, leaving her with the ground ambulance crew, and flying back to base is why he was terminated. *** Here, the undisputed facts show that: (1) Kuhler was dispatched on October 10, 2019, for a high-risk OB patient; (2) the flight crew ‘interacted with, assessed and placed a PHI-owned fetal monitor on the patient’; (3) Kuhler did not call PHI personnel or any physician; (4) Kuhler then left the scene…. This constitutes abandonment-or is at least close enough that the Court will not play the role of a Monday morning quarterback and second-guess this decision.” </w:t>
      </w:r>
      <w:hyperlink r:id="rId2164" w:history="1">
        <w:r w:rsidRPr="009665CE">
          <w:rPr>
            <w:rStyle w:val="Hyperlink"/>
            <w:rFonts w:ascii="Times New Roman" w:hAnsi="Times New Roman"/>
            <w:sz w:val="24"/>
            <w:szCs w:val="24"/>
          </w:rPr>
          <w:t>https://casetext.com/case/kuhler-v-phi-health-llc</w:t>
        </w:r>
      </w:hyperlink>
      <w:r w:rsidRPr="009665CE">
        <w:rPr>
          <w:rFonts w:ascii="Times New Roman" w:hAnsi="Times New Roman"/>
          <w:sz w:val="24"/>
          <w:szCs w:val="24"/>
        </w:rPr>
        <w:t xml:space="preserve"> </w:t>
      </w:r>
    </w:p>
    <w:p w14:paraId="3C0AE6A4" w14:textId="77777777" w:rsidR="009665CE" w:rsidRPr="009665CE" w:rsidRDefault="009665CE" w:rsidP="009665CE">
      <w:pPr>
        <w:pStyle w:val="NoSpacing"/>
        <w:rPr>
          <w:rFonts w:ascii="Times New Roman" w:hAnsi="Times New Roman"/>
          <w:sz w:val="24"/>
          <w:szCs w:val="24"/>
        </w:rPr>
      </w:pPr>
    </w:p>
    <w:p w14:paraId="093F00E4" w14:textId="77777777" w:rsidR="009665CE" w:rsidRPr="009665CE" w:rsidRDefault="009665CE" w:rsidP="009665CE">
      <w:pPr>
        <w:pStyle w:val="NoSpacing"/>
        <w:rPr>
          <w:rFonts w:ascii="Times New Roman" w:hAnsi="Times New Roman"/>
          <w:sz w:val="24"/>
          <w:szCs w:val="24"/>
        </w:rPr>
      </w:pPr>
      <w:r w:rsidRPr="009665CE">
        <w:rPr>
          <w:rFonts w:ascii="Times New Roman" w:hAnsi="Times New Roman"/>
          <w:sz w:val="24"/>
          <w:szCs w:val="24"/>
        </w:rPr>
        <w:t>THE COURT HELD:</w:t>
      </w:r>
    </w:p>
    <w:p w14:paraId="5111E01A" w14:textId="77777777" w:rsidR="009665CE" w:rsidRPr="009665CE" w:rsidRDefault="009665CE" w:rsidP="009665CE">
      <w:pPr>
        <w:pStyle w:val="NoSpacing"/>
        <w:rPr>
          <w:rFonts w:ascii="Times New Roman" w:hAnsi="Times New Roman"/>
          <w:sz w:val="24"/>
          <w:szCs w:val="24"/>
        </w:rPr>
      </w:pPr>
    </w:p>
    <w:p w14:paraId="35CF24E8" w14:textId="77777777" w:rsidR="009665CE" w:rsidRPr="009665CE" w:rsidRDefault="009665CE" w:rsidP="009665CE">
      <w:pPr>
        <w:pStyle w:val="NoSpacing"/>
        <w:ind w:left="720"/>
        <w:rPr>
          <w:rFonts w:ascii="Times New Roman" w:hAnsi="Times New Roman"/>
          <w:sz w:val="24"/>
          <w:szCs w:val="24"/>
        </w:rPr>
      </w:pPr>
      <w:r w:rsidRPr="009665CE">
        <w:rPr>
          <w:rFonts w:ascii="Times New Roman" w:hAnsi="Times New Roman"/>
          <w:sz w:val="24"/>
          <w:szCs w:val="24"/>
        </w:rPr>
        <w:t xml:space="preserve">“After the internal investigation was completed, the Yslas Report found that Kuhler (and the flight nurse) had abandoned a patient and were dishonest in their statements…. Based on these findings, the Yslas Report recommended termination of both employees. </w:t>
      </w:r>
      <w:r w:rsidRPr="009665CE">
        <w:rPr>
          <w:rFonts w:ascii="Times New Roman" w:hAnsi="Times New Roman"/>
          <w:i/>
          <w:iCs/>
          <w:sz w:val="24"/>
          <w:szCs w:val="24"/>
        </w:rPr>
        <w:t>Id.</w:t>
      </w:r>
      <w:r w:rsidRPr="009665CE">
        <w:rPr>
          <w:rFonts w:ascii="Times New Roman" w:hAnsi="Times New Roman"/>
          <w:sz w:val="24"/>
          <w:szCs w:val="24"/>
        </w:rPr>
        <w:t xml:space="preserve"> Yslas presented the report to PHI's Chief Human Resources Officer (“CHRO”)…. After reviewing the Yslas Report, and accompanying PHI policies, the CHRO accepted the recommendation-and approved the termination of Kuhler and the flight nurse…. </w:t>
      </w:r>
    </w:p>
    <w:p w14:paraId="66C79B7D" w14:textId="77777777" w:rsidR="009665CE" w:rsidRPr="009665CE" w:rsidRDefault="009665CE" w:rsidP="009665CE">
      <w:pPr>
        <w:pStyle w:val="NoSpacing"/>
        <w:ind w:left="720"/>
        <w:rPr>
          <w:rFonts w:ascii="Times New Roman" w:hAnsi="Times New Roman"/>
          <w:b/>
          <w:bCs/>
          <w:sz w:val="24"/>
          <w:szCs w:val="24"/>
        </w:rPr>
      </w:pPr>
    </w:p>
    <w:p w14:paraId="12A507FE" w14:textId="77777777" w:rsidR="009665CE" w:rsidRPr="009665CE" w:rsidRDefault="009665CE" w:rsidP="009665CE">
      <w:pPr>
        <w:pStyle w:val="NoSpacing"/>
        <w:ind w:firstLine="720"/>
        <w:rPr>
          <w:rFonts w:ascii="Times New Roman" w:hAnsi="Times New Roman"/>
          <w:sz w:val="24"/>
          <w:szCs w:val="24"/>
        </w:rPr>
      </w:pPr>
      <w:r w:rsidRPr="009665CE">
        <w:rPr>
          <w:rFonts w:ascii="Times New Roman" w:hAnsi="Times New Roman"/>
          <w:sz w:val="24"/>
          <w:szCs w:val="24"/>
        </w:rPr>
        <w:t xml:space="preserve">Neither Yslas nor the CHRO knew of Kuhler's request for an accommodation…. </w:t>
      </w:r>
    </w:p>
    <w:p w14:paraId="60305F3B" w14:textId="77777777" w:rsidR="009665CE" w:rsidRPr="009665CE" w:rsidRDefault="009665CE" w:rsidP="009665CE">
      <w:pPr>
        <w:pStyle w:val="NoSpacing"/>
        <w:ind w:firstLine="720"/>
        <w:rPr>
          <w:rFonts w:ascii="Times New Roman" w:hAnsi="Times New Roman"/>
          <w:sz w:val="24"/>
          <w:szCs w:val="24"/>
        </w:rPr>
      </w:pPr>
    </w:p>
    <w:p w14:paraId="3AC250F9" w14:textId="77777777" w:rsidR="009665CE" w:rsidRPr="009665CE" w:rsidRDefault="009665CE" w:rsidP="009665CE">
      <w:pPr>
        <w:pStyle w:val="NoSpacing"/>
        <w:ind w:firstLine="720"/>
        <w:rPr>
          <w:rFonts w:ascii="Times New Roman" w:hAnsi="Times New Roman"/>
          <w:sz w:val="24"/>
          <w:szCs w:val="24"/>
        </w:rPr>
      </w:pPr>
      <w:r w:rsidRPr="009665CE">
        <w:rPr>
          <w:rFonts w:ascii="Times New Roman" w:hAnsi="Times New Roman"/>
          <w:sz w:val="24"/>
          <w:szCs w:val="24"/>
        </w:rPr>
        <w:t>***</w:t>
      </w:r>
    </w:p>
    <w:p w14:paraId="4BA92192" w14:textId="77777777" w:rsidR="009665CE" w:rsidRPr="009665CE" w:rsidRDefault="009665CE" w:rsidP="009665CE">
      <w:pPr>
        <w:pStyle w:val="NoSpacing"/>
        <w:rPr>
          <w:rFonts w:ascii="Times New Roman" w:hAnsi="Times New Roman"/>
          <w:sz w:val="24"/>
          <w:szCs w:val="24"/>
        </w:rPr>
      </w:pPr>
    </w:p>
    <w:p w14:paraId="3279B1F6" w14:textId="77777777" w:rsidR="009665CE" w:rsidRPr="009665CE" w:rsidRDefault="009665CE" w:rsidP="009665CE">
      <w:pPr>
        <w:pStyle w:val="NoSpacing"/>
        <w:ind w:left="720"/>
        <w:rPr>
          <w:rFonts w:ascii="Times New Roman" w:hAnsi="Times New Roman"/>
          <w:sz w:val="24"/>
          <w:szCs w:val="24"/>
        </w:rPr>
      </w:pPr>
      <w:r w:rsidRPr="009665CE">
        <w:rPr>
          <w:rFonts w:ascii="Times New Roman" w:hAnsi="Times New Roman"/>
          <w:sz w:val="24"/>
          <w:szCs w:val="24"/>
        </w:rPr>
        <w:t xml:space="preserve">In January 2019, Kuhler requested (and PHI granted) leave under the Family and Medical Leave </w:t>
      </w:r>
      <w:proofErr w:type="gramStart"/>
      <w:r w:rsidRPr="009665CE">
        <w:rPr>
          <w:rFonts w:ascii="Times New Roman" w:hAnsi="Times New Roman"/>
          <w:sz w:val="24"/>
          <w:szCs w:val="24"/>
        </w:rPr>
        <w:t>Act (‘</w:t>
      </w:r>
      <w:proofErr w:type="gramEnd"/>
      <w:r w:rsidRPr="009665CE">
        <w:rPr>
          <w:rFonts w:ascii="Times New Roman" w:hAnsi="Times New Roman"/>
          <w:sz w:val="24"/>
          <w:szCs w:val="24"/>
        </w:rPr>
        <w:t xml:space="preserve">FMLA’) for an eye </w:t>
      </w:r>
      <w:proofErr w:type="gramStart"/>
      <w:r w:rsidRPr="009665CE">
        <w:rPr>
          <w:rFonts w:ascii="Times New Roman" w:hAnsi="Times New Roman"/>
          <w:sz w:val="24"/>
          <w:szCs w:val="24"/>
        </w:rPr>
        <w:t>condition,,,,</w:t>
      </w:r>
      <w:proofErr w:type="gramEnd"/>
      <w:r w:rsidRPr="009665CE">
        <w:rPr>
          <w:rFonts w:ascii="Times New Roman" w:hAnsi="Times New Roman"/>
          <w:sz w:val="24"/>
          <w:szCs w:val="24"/>
        </w:rPr>
        <w:t xml:space="preserve">  Specifically, Kuhler received treatment for optic neuritis. </w:t>
      </w:r>
      <w:r w:rsidRPr="009665CE">
        <w:rPr>
          <w:rFonts w:ascii="Times New Roman" w:hAnsi="Times New Roman"/>
          <w:i/>
          <w:iCs/>
          <w:sz w:val="24"/>
          <w:szCs w:val="24"/>
        </w:rPr>
        <w:t>Ibid.</w:t>
      </w:r>
      <w:r w:rsidRPr="009665CE">
        <w:rPr>
          <w:rFonts w:ascii="Times New Roman" w:hAnsi="Times New Roman"/>
          <w:sz w:val="24"/>
          <w:szCs w:val="24"/>
        </w:rPr>
        <w:t xml:space="preserve"> By the end of the month, Kuhler returned to work at ‘full-duty status….’ A few months later, in early October 2019, Kuhler informed his supervisor that he would need time off for an ear surgery….  The supervisor told Kuhler to contact PHI's occupational health nurse to discuss the leave associated with the surgery. </w:t>
      </w:r>
      <w:r w:rsidRPr="009665CE">
        <w:rPr>
          <w:rFonts w:ascii="Times New Roman" w:hAnsi="Times New Roman"/>
          <w:i/>
          <w:iCs/>
          <w:sz w:val="24"/>
          <w:szCs w:val="24"/>
        </w:rPr>
        <w:t>Ibid.</w:t>
      </w:r>
      <w:r w:rsidRPr="009665CE">
        <w:rPr>
          <w:rFonts w:ascii="Times New Roman" w:hAnsi="Times New Roman"/>
          <w:sz w:val="24"/>
          <w:szCs w:val="24"/>
        </w:rPr>
        <w:t xml:space="preserve"> Specifically, PHI needed more information to determine ‘the type’ of leave…. But, for one reason or another, Kuhler did not “contact” the occupational health nurse once the surgery was scheduled. Nor did he ‘submit any paperwork’ requesting time off for the surgery…  And this ear surgery is the only ‘accommodation’ at issue in this lawsuit.”</w:t>
      </w:r>
    </w:p>
    <w:p w14:paraId="01ACEEA2" w14:textId="77777777" w:rsidR="009665CE" w:rsidRPr="009665CE" w:rsidRDefault="009665CE" w:rsidP="009665CE">
      <w:pPr>
        <w:pStyle w:val="NoSpacing"/>
        <w:ind w:left="720"/>
        <w:rPr>
          <w:rFonts w:ascii="Times New Roman" w:hAnsi="Times New Roman"/>
          <w:sz w:val="24"/>
          <w:szCs w:val="24"/>
        </w:rPr>
      </w:pPr>
    </w:p>
    <w:p w14:paraId="5D17443A" w14:textId="77777777" w:rsidR="009665CE" w:rsidRPr="009665CE" w:rsidRDefault="009665CE" w:rsidP="009665CE">
      <w:pPr>
        <w:pStyle w:val="NoSpacing"/>
        <w:ind w:left="720"/>
        <w:rPr>
          <w:rFonts w:ascii="Times New Roman" w:hAnsi="Times New Roman"/>
          <w:sz w:val="24"/>
          <w:szCs w:val="24"/>
        </w:rPr>
      </w:pPr>
    </w:p>
    <w:p w14:paraId="60A14055" w14:textId="77777777" w:rsidR="009665CE" w:rsidRPr="009665CE" w:rsidRDefault="009665CE" w:rsidP="009665CE">
      <w:pPr>
        <w:pStyle w:val="NoSpacing"/>
        <w:rPr>
          <w:rFonts w:ascii="Times New Roman" w:hAnsi="Times New Roman"/>
          <w:b/>
          <w:bCs/>
          <w:sz w:val="24"/>
          <w:szCs w:val="24"/>
        </w:rPr>
      </w:pPr>
      <w:r w:rsidRPr="009665CE">
        <w:rPr>
          <w:rFonts w:ascii="Times New Roman" w:hAnsi="Times New Roman"/>
          <w:b/>
          <w:bCs/>
          <w:sz w:val="24"/>
          <w:szCs w:val="24"/>
        </w:rPr>
        <w:t xml:space="preserve">Legal Lesson Learned:  Follow your protocol on passing care of patient to others. </w:t>
      </w:r>
    </w:p>
    <w:p w14:paraId="265C020B" w14:textId="77777777" w:rsidR="009665CE" w:rsidRPr="009665CE" w:rsidRDefault="009665CE" w:rsidP="002B1283">
      <w:pPr>
        <w:rPr>
          <w:rFonts w:ascii="Times New Roman" w:hAnsi="Times New Roman"/>
          <w:b/>
          <w:bCs/>
          <w:sz w:val="24"/>
          <w:szCs w:val="24"/>
        </w:rPr>
      </w:pPr>
    </w:p>
    <w:p w14:paraId="290F318D" w14:textId="77777777" w:rsidR="009665CE" w:rsidRDefault="009665CE" w:rsidP="002B1283">
      <w:pPr>
        <w:rPr>
          <w:rFonts w:ascii="Arial Black" w:hAnsi="Arial Black"/>
          <w:b/>
          <w:bCs/>
          <w:sz w:val="28"/>
          <w:szCs w:val="28"/>
        </w:rPr>
      </w:pPr>
    </w:p>
    <w:p w14:paraId="529DB9AE" w14:textId="18023DF2" w:rsidR="00EC1348" w:rsidRDefault="00EC1348" w:rsidP="002B1283">
      <w:pPr>
        <w:rPr>
          <w:rFonts w:ascii="Arial Black" w:hAnsi="Arial Black"/>
          <w:b/>
          <w:bCs/>
          <w:sz w:val="28"/>
          <w:szCs w:val="28"/>
        </w:rPr>
      </w:pPr>
      <w:r>
        <w:rPr>
          <w:rFonts w:ascii="Arial Black" w:hAnsi="Arial Black"/>
          <w:b/>
          <w:bCs/>
          <w:sz w:val="28"/>
          <w:szCs w:val="28"/>
        </w:rPr>
        <w:t>13-192</w:t>
      </w:r>
    </w:p>
    <w:p w14:paraId="383F07A6" w14:textId="2FE5D792" w:rsidR="00915BCF" w:rsidRPr="002346D4" w:rsidRDefault="00915BCF" w:rsidP="00915BCF">
      <w:pPr>
        <w:pStyle w:val="NoSpacing"/>
        <w:rPr>
          <w:rFonts w:ascii="Aptos Black" w:hAnsi="Aptos Black"/>
          <w:sz w:val="28"/>
        </w:rPr>
      </w:pPr>
      <w:r>
        <w:rPr>
          <w:rFonts w:ascii="Arial Black" w:hAnsi="Arial Black"/>
          <w:sz w:val="28"/>
        </w:rPr>
        <w:t xml:space="preserve">OH: FAMILY CLAIMS PT FELL OFF COT – EMTs DENY – NO LIABLITY – NOT WILLFUL </w:t>
      </w:r>
      <w:r w:rsidR="003A037C">
        <w:rPr>
          <w:rFonts w:ascii="Arial Black" w:hAnsi="Arial Black"/>
          <w:sz w:val="28"/>
        </w:rPr>
        <w:t xml:space="preserve">OR </w:t>
      </w:r>
      <w:r>
        <w:rPr>
          <w:rFonts w:ascii="Arial Black" w:hAnsi="Arial Black"/>
          <w:sz w:val="28"/>
        </w:rPr>
        <w:t xml:space="preserve">WANTON MISCONDUCT </w:t>
      </w:r>
    </w:p>
    <w:p w14:paraId="0DE9691D" w14:textId="77777777" w:rsidR="006878FB" w:rsidRPr="006878FB" w:rsidRDefault="006878FB" w:rsidP="006878FB">
      <w:pPr>
        <w:pStyle w:val="NoSpacing"/>
        <w:rPr>
          <w:rFonts w:ascii="Times New Roman" w:hAnsi="Times New Roman"/>
          <w:sz w:val="24"/>
          <w:szCs w:val="24"/>
        </w:rPr>
      </w:pPr>
    </w:p>
    <w:p w14:paraId="4E723774" w14:textId="77777777" w:rsidR="006878FB" w:rsidRPr="006878FB" w:rsidRDefault="006878FB" w:rsidP="006878FB">
      <w:pPr>
        <w:pStyle w:val="NoSpacing"/>
        <w:rPr>
          <w:rFonts w:ascii="Times New Roman" w:hAnsi="Times New Roman"/>
          <w:sz w:val="24"/>
          <w:szCs w:val="24"/>
        </w:rPr>
      </w:pPr>
      <w:r w:rsidRPr="006878FB">
        <w:rPr>
          <w:rFonts w:ascii="Times New Roman" w:hAnsi="Times New Roman"/>
          <w:sz w:val="24"/>
          <w:szCs w:val="24"/>
        </w:rPr>
        <w:t xml:space="preserve">On Aug. 30, 2024, in </w:t>
      </w:r>
      <w:proofErr w:type="spellStart"/>
      <w:r w:rsidRPr="006878FB">
        <w:rPr>
          <w:rFonts w:ascii="Times New Roman" w:hAnsi="Times New Roman"/>
          <w:sz w:val="24"/>
          <w:szCs w:val="24"/>
          <w:u w:val="single"/>
        </w:rPr>
        <w:t>Carthagenia</w:t>
      </w:r>
      <w:proofErr w:type="spellEnd"/>
      <w:r w:rsidRPr="006878FB">
        <w:rPr>
          <w:rFonts w:ascii="Times New Roman" w:hAnsi="Times New Roman"/>
          <w:sz w:val="24"/>
          <w:szCs w:val="24"/>
          <w:u w:val="single"/>
        </w:rPr>
        <w:t xml:space="preserve"> Wyatt, as Administrator of the Estate of Deltina Graves v. City of Springfield, Ohio, et al.</w:t>
      </w:r>
      <w:r w:rsidRPr="006878FB">
        <w:rPr>
          <w:rFonts w:ascii="Times New Roman" w:hAnsi="Times New Roman"/>
          <w:sz w:val="24"/>
          <w:szCs w:val="24"/>
        </w:rPr>
        <w:t xml:space="preserve">, the Ohio Court of Appeals of Second District (Clark County) held (3 to 0) that trial court granted summary judgment to two EMTs and the City. Autopsy showed patient died of “acute atraumatic intracranial hemorrhage,” meaning that the hemorrhage was not caused by any head trauma.  The cot was equipped with two straps – one across the patient’s waist and one across legs [not third over shoulders].  A neighbor believed she saw the patient </w:t>
      </w:r>
      <w:proofErr w:type="gramStart"/>
      <w:r w:rsidRPr="006878FB">
        <w:rPr>
          <w:rFonts w:ascii="Times New Roman" w:hAnsi="Times New Roman"/>
          <w:sz w:val="24"/>
          <w:szCs w:val="24"/>
        </w:rPr>
        <w:t>dropped</w:t>
      </w:r>
      <w:proofErr w:type="gramEnd"/>
      <w:r w:rsidRPr="006878FB">
        <w:rPr>
          <w:rFonts w:ascii="Times New Roman" w:hAnsi="Times New Roman"/>
          <w:sz w:val="24"/>
          <w:szCs w:val="24"/>
        </w:rPr>
        <w:t xml:space="preserve"> on her head.  The Court wrote: “We see nothing from which a trier of fact reasonably could have concluded that Kaufman or Scanlan acted recklessly. The appellants complain about Graves not being strapped above the waist, but nothing in the record suggests the availability of additional straps. We note too that the EMTs provided uncontroverted testimony about the cot’s partial side rails being up. </w:t>
      </w:r>
      <w:proofErr w:type="gramStart"/>
      <w:r w:rsidRPr="006878FB">
        <w:rPr>
          <w:rFonts w:ascii="Times New Roman" w:hAnsi="Times New Roman"/>
          <w:sz w:val="24"/>
          <w:szCs w:val="24"/>
        </w:rPr>
        <w:t>he</w:t>
      </w:r>
      <w:proofErr w:type="gramEnd"/>
      <w:r w:rsidRPr="006878FB">
        <w:rPr>
          <w:rFonts w:ascii="Times New Roman" w:hAnsi="Times New Roman"/>
          <w:sz w:val="24"/>
          <w:szCs w:val="24"/>
        </w:rPr>
        <w:t xml:space="preserve"> appellants also complain about the EMTs not mentioning Graves’ fall to the emergency-room physician after the fact. But the physician, Dr. Guest, promptly had been made aware of the allegation by Graves’ mother. At most, the record suggests that Kaufman and Scanlan were inattentive when Graves unexpectedly slid from her </w:t>
      </w:r>
      <w:proofErr w:type="gramStart"/>
      <w:r w:rsidRPr="006878FB">
        <w:rPr>
          <w:rFonts w:ascii="Times New Roman" w:hAnsi="Times New Roman"/>
          <w:sz w:val="24"/>
          <w:szCs w:val="24"/>
        </w:rPr>
        <w:t>cot</w:t>
      </w:r>
      <w:proofErr w:type="gramEnd"/>
      <w:r w:rsidRPr="006878FB">
        <w:rPr>
          <w:rFonts w:ascii="Times New Roman" w:hAnsi="Times New Roman"/>
          <w:sz w:val="24"/>
          <w:szCs w:val="24"/>
        </w:rPr>
        <w:t xml:space="preserve">. As a matter of law, this conduct could not have constituted more than negligence.” </w:t>
      </w:r>
      <w:hyperlink r:id="rId2165" w:history="1">
        <w:r w:rsidRPr="006878FB">
          <w:rPr>
            <w:rStyle w:val="Hyperlink"/>
            <w:rFonts w:ascii="Times New Roman" w:hAnsi="Times New Roman"/>
            <w:sz w:val="24"/>
            <w:szCs w:val="24"/>
          </w:rPr>
          <w:t>https://cases.justia.com/ohio/second-district-court-of-appeals/2024-2024-ca-3-0.pdf?ts=1725029311</w:t>
        </w:r>
      </w:hyperlink>
      <w:r w:rsidRPr="006878FB">
        <w:rPr>
          <w:rFonts w:ascii="Times New Roman" w:hAnsi="Times New Roman"/>
          <w:sz w:val="24"/>
          <w:szCs w:val="24"/>
        </w:rPr>
        <w:t xml:space="preserve"> </w:t>
      </w:r>
    </w:p>
    <w:p w14:paraId="0EC646A5" w14:textId="77777777" w:rsidR="006878FB" w:rsidRPr="006878FB" w:rsidRDefault="006878FB" w:rsidP="006878FB">
      <w:pPr>
        <w:pStyle w:val="NoSpacing"/>
        <w:rPr>
          <w:rFonts w:ascii="Times New Roman" w:hAnsi="Times New Roman"/>
          <w:sz w:val="24"/>
          <w:szCs w:val="24"/>
        </w:rPr>
      </w:pPr>
    </w:p>
    <w:p w14:paraId="6790D1D3" w14:textId="77777777" w:rsidR="006878FB" w:rsidRPr="006878FB" w:rsidRDefault="006878FB" w:rsidP="006878FB">
      <w:pPr>
        <w:pStyle w:val="NoSpacing"/>
        <w:rPr>
          <w:rFonts w:ascii="Times New Roman" w:hAnsi="Times New Roman"/>
          <w:sz w:val="24"/>
          <w:szCs w:val="24"/>
        </w:rPr>
      </w:pPr>
      <w:r w:rsidRPr="006878FB">
        <w:rPr>
          <w:rFonts w:ascii="Times New Roman" w:hAnsi="Times New Roman"/>
          <w:sz w:val="24"/>
          <w:szCs w:val="24"/>
        </w:rPr>
        <w:t>THE COURT HELD:</w:t>
      </w:r>
    </w:p>
    <w:p w14:paraId="39CE7A19" w14:textId="77777777" w:rsidR="006878FB" w:rsidRPr="006878FB" w:rsidRDefault="006878FB" w:rsidP="006878FB">
      <w:pPr>
        <w:pStyle w:val="NoSpacing"/>
        <w:ind w:left="720"/>
        <w:rPr>
          <w:rFonts w:ascii="Times New Roman" w:hAnsi="Times New Roman"/>
          <w:sz w:val="24"/>
          <w:szCs w:val="24"/>
        </w:rPr>
      </w:pPr>
      <w:r w:rsidRPr="006878FB">
        <w:rPr>
          <w:rFonts w:ascii="Times New Roman" w:hAnsi="Times New Roman"/>
          <w:sz w:val="24"/>
          <w:szCs w:val="24"/>
        </w:rPr>
        <w:t>“With regard to the EMTs, the trial court correctly looked to R.C. 4765.49(A), which provides: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p>
    <w:p w14:paraId="47405BE6" w14:textId="77777777" w:rsidR="009E033B" w:rsidRDefault="009E033B" w:rsidP="006878FB">
      <w:pPr>
        <w:pStyle w:val="NoSpacing"/>
        <w:rPr>
          <w:rFonts w:ascii="Times New Roman" w:hAnsi="Times New Roman"/>
          <w:b/>
          <w:bCs/>
          <w:sz w:val="24"/>
          <w:szCs w:val="24"/>
        </w:rPr>
      </w:pPr>
    </w:p>
    <w:p w14:paraId="6EE8EFB1" w14:textId="3F7D5C07" w:rsidR="006878FB" w:rsidRPr="006878FB" w:rsidRDefault="006878FB" w:rsidP="006878FB">
      <w:pPr>
        <w:pStyle w:val="NoSpacing"/>
        <w:rPr>
          <w:rFonts w:ascii="Times New Roman" w:hAnsi="Times New Roman"/>
          <w:b/>
          <w:bCs/>
          <w:sz w:val="24"/>
          <w:szCs w:val="24"/>
        </w:rPr>
      </w:pPr>
      <w:r w:rsidRPr="006878FB">
        <w:rPr>
          <w:rFonts w:ascii="Times New Roman" w:hAnsi="Times New Roman"/>
          <w:b/>
          <w:bCs/>
          <w:sz w:val="24"/>
          <w:szCs w:val="24"/>
        </w:rPr>
        <w:t xml:space="preserve">Legal Lesson Learned: Securely strap the patient to the cot; if there is partial slippage off the cot, document it in the EMS run report. </w:t>
      </w:r>
    </w:p>
    <w:p w14:paraId="23445648" w14:textId="77777777" w:rsidR="00EC1348" w:rsidRDefault="00EC1348" w:rsidP="002B1283">
      <w:pPr>
        <w:rPr>
          <w:rFonts w:ascii="Arial Black" w:hAnsi="Arial Black"/>
          <w:b/>
          <w:bCs/>
          <w:sz w:val="28"/>
          <w:szCs w:val="28"/>
        </w:rPr>
      </w:pPr>
    </w:p>
    <w:p w14:paraId="1542249B" w14:textId="77777777" w:rsidR="00EC1348" w:rsidRDefault="00EC1348" w:rsidP="002B1283">
      <w:pPr>
        <w:rPr>
          <w:rFonts w:ascii="Arial Black" w:hAnsi="Arial Black"/>
          <w:b/>
          <w:bCs/>
          <w:sz w:val="28"/>
          <w:szCs w:val="28"/>
        </w:rPr>
      </w:pPr>
    </w:p>
    <w:p w14:paraId="732F86AC" w14:textId="07E91E75" w:rsidR="00AC1F80" w:rsidRDefault="00AC1F80" w:rsidP="002B1283">
      <w:pPr>
        <w:rPr>
          <w:rFonts w:ascii="Arial Black" w:hAnsi="Arial Black"/>
          <w:b/>
          <w:bCs/>
          <w:sz w:val="28"/>
          <w:szCs w:val="28"/>
        </w:rPr>
      </w:pPr>
      <w:r>
        <w:rPr>
          <w:rFonts w:ascii="Arial Black" w:hAnsi="Arial Black"/>
          <w:b/>
          <w:bCs/>
          <w:sz w:val="28"/>
          <w:szCs w:val="28"/>
        </w:rPr>
        <w:t>13-191</w:t>
      </w:r>
    </w:p>
    <w:p w14:paraId="2707F131" w14:textId="435F5D57" w:rsidR="00EC1348" w:rsidRPr="00954F7D" w:rsidRDefault="00EC1348" w:rsidP="00EC1348">
      <w:pPr>
        <w:pStyle w:val="NoSpacing"/>
        <w:rPr>
          <w:rFonts w:ascii="Aptos Black" w:hAnsi="Aptos Black"/>
          <w:sz w:val="28"/>
        </w:rPr>
      </w:pPr>
      <w:r>
        <w:rPr>
          <w:rFonts w:ascii="Arial Black" w:hAnsi="Arial Black"/>
          <w:sz w:val="28"/>
        </w:rPr>
        <w:t xml:space="preserve">MO: </w:t>
      </w:r>
      <w:r w:rsidR="008C18A2">
        <w:rPr>
          <w:rFonts w:ascii="Arial Black" w:hAnsi="Arial Black"/>
          <w:sz w:val="28"/>
        </w:rPr>
        <w:t xml:space="preserve">CRIMINAL IMMUNITY </w:t>
      </w:r>
      <w:r>
        <w:rPr>
          <w:rFonts w:ascii="Arial Black" w:hAnsi="Arial Black"/>
          <w:sz w:val="28"/>
        </w:rPr>
        <w:t xml:space="preserve">LAW NOT APPLY – PT REFUSED MEDICAL CARE – CONSENTED PD SEARCH </w:t>
      </w:r>
      <w:r w:rsidR="00F642D1">
        <w:rPr>
          <w:rFonts w:ascii="Arial Black" w:hAnsi="Arial Black"/>
          <w:sz w:val="28"/>
        </w:rPr>
        <w:t>–</w:t>
      </w:r>
      <w:r>
        <w:rPr>
          <w:rFonts w:ascii="Arial Black" w:hAnsi="Arial Black"/>
          <w:sz w:val="28"/>
        </w:rPr>
        <w:t xml:space="preserve"> </w:t>
      </w:r>
      <w:r w:rsidR="00F642D1">
        <w:rPr>
          <w:rFonts w:ascii="Arial Black" w:hAnsi="Arial Black"/>
          <w:sz w:val="28"/>
        </w:rPr>
        <w:t xml:space="preserve">MAY BE CHARGED </w:t>
      </w:r>
      <w:r>
        <w:rPr>
          <w:rFonts w:ascii="Arial Black" w:hAnsi="Arial Black"/>
          <w:sz w:val="28"/>
        </w:rPr>
        <w:t>DRUGS</w:t>
      </w:r>
    </w:p>
    <w:p w14:paraId="76BCBA37" w14:textId="77777777" w:rsidR="00EC1348" w:rsidRDefault="00EC1348" w:rsidP="00EC1348">
      <w:pPr>
        <w:pStyle w:val="NoSpacing"/>
      </w:pPr>
    </w:p>
    <w:p w14:paraId="4140D2E1" w14:textId="77777777" w:rsidR="00EC1348" w:rsidRPr="00EC1348" w:rsidRDefault="00EC1348" w:rsidP="00EC1348">
      <w:pPr>
        <w:pStyle w:val="NoSpacing"/>
        <w:rPr>
          <w:rFonts w:ascii="Times New Roman" w:hAnsi="Times New Roman"/>
          <w:sz w:val="24"/>
          <w:szCs w:val="24"/>
        </w:rPr>
      </w:pPr>
      <w:r w:rsidRPr="00EC1348">
        <w:rPr>
          <w:rFonts w:ascii="Times New Roman" w:hAnsi="Times New Roman"/>
          <w:sz w:val="24"/>
          <w:szCs w:val="24"/>
        </w:rPr>
        <w:t xml:space="preserve">On August 28, 2024, in </w:t>
      </w:r>
      <w:r w:rsidRPr="00EC1348">
        <w:rPr>
          <w:rFonts w:ascii="Times New Roman" w:hAnsi="Times New Roman"/>
          <w:sz w:val="24"/>
          <w:szCs w:val="24"/>
          <w:u w:val="single"/>
        </w:rPr>
        <w:t>State of Missouri v. Timothy Louis Smith</w:t>
      </w:r>
      <w:r w:rsidRPr="00EC1348">
        <w:rPr>
          <w:rFonts w:ascii="Times New Roman" w:hAnsi="Times New Roman"/>
          <w:sz w:val="24"/>
          <w:szCs w:val="24"/>
        </w:rPr>
        <w:t xml:space="preserve">, the Missouri Court of Appeals, Southern District, held (3 to 0) that trial court properly denied his motion to suppress the evidence and found him guilty of possession of plastic bag with white residue and a syringe cap with methamphetamine. The Court wrote: “Smith appeals his convictions in a single point, arguing the trial court erred in denying his motion to dismiss because section 195.205 applied since the evidence would not have been discovered but for his call for medical assistance. Smith's argument ignores the plain language of the statute. Because the plain language of the statute requires the evidence </w:t>
      </w:r>
      <w:proofErr w:type="gramStart"/>
      <w:r w:rsidRPr="00EC1348">
        <w:rPr>
          <w:rFonts w:ascii="Times New Roman" w:hAnsi="Times New Roman"/>
          <w:sz w:val="24"/>
          <w:szCs w:val="24"/>
        </w:rPr>
        <w:t>be</w:t>
      </w:r>
      <w:proofErr w:type="gramEnd"/>
      <w:r w:rsidRPr="00EC1348">
        <w:rPr>
          <w:rFonts w:ascii="Times New Roman" w:hAnsi="Times New Roman"/>
          <w:sz w:val="24"/>
          <w:szCs w:val="24"/>
        </w:rPr>
        <w:t xml:space="preserve"> gained </w:t>
      </w:r>
      <w:proofErr w:type="gramStart"/>
      <w:r w:rsidRPr="00EC1348">
        <w:rPr>
          <w:rFonts w:ascii="Times New Roman" w:hAnsi="Times New Roman"/>
          <w:sz w:val="24"/>
          <w:szCs w:val="24"/>
        </w:rPr>
        <w:t>as a result of</w:t>
      </w:r>
      <w:proofErr w:type="gramEnd"/>
      <w:r w:rsidRPr="00EC1348">
        <w:rPr>
          <w:rFonts w:ascii="Times New Roman" w:hAnsi="Times New Roman"/>
          <w:sz w:val="24"/>
          <w:szCs w:val="24"/>
        </w:rPr>
        <w:t xml:space="preserve"> seeking or obtaining medical assistance, it does not apply where there is a break in the causal chain between the request for medical assistance and the discovery of the evidence. In Smith's case, the evidence was found </w:t>
      </w:r>
      <w:proofErr w:type="gramStart"/>
      <w:r w:rsidRPr="00EC1348">
        <w:rPr>
          <w:rFonts w:ascii="Times New Roman" w:hAnsi="Times New Roman"/>
          <w:sz w:val="24"/>
          <w:szCs w:val="24"/>
        </w:rPr>
        <w:t>as a result of</w:t>
      </w:r>
      <w:proofErr w:type="gramEnd"/>
      <w:r w:rsidRPr="00EC1348">
        <w:rPr>
          <w:rFonts w:ascii="Times New Roman" w:hAnsi="Times New Roman"/>
          <w:sz w:val="24"/>
          <w:szCs w:val="24"/>
        </w:rPr>
        <w:t xml:space="preserve"> his consent to a search, not because he called for medical assistance.” </w:t>
      </w:r>
      <w:hyperlink r:id="rId2166" w:history="1">
        <w:r w:rsidRPr="00EC1348">
          <w:rPr>
            <w:rStyle w:val="Hyperlink"/>
            <w:rFonts w:ascii="Times New Roman" w:hAnsi="Times New Roman"/>
            <w:sz w:val="24"/>
            <w:szCs w:val="24"/>
          </w:rPr>
          <w:t>https://cases.justia.com/missouri/court-of-appeals/2024-sd38313.pdf?ts=1724895006</w:t>
        </w:r>
      </w:hyperlink>
      <w:r w:rsidRPr="00EC1348">
        <w:rPr>
          <w:rFonts w:ascii="Times New Roman" w:hAnsi="Times New Roman"/>
          <w:sz w:val="24"/>
          <w:szCs w:val="24"/>
        </w:rPr>
        <w:t xml:space="preserve"> </w:t>
      </w:r>
    </w:p>
    <w:p w14:paraId="6EE6E82A" w14:textId="77777777" w:rsidR="00EC1348" w:rsidRPr="00EC1348" w:rsidRDefault="00EC1348" w:rsidP="00EC1348">
      <w:pPr>
        <w:pStyle w:val="NoSpacing"/>
        <w:rPr>
          <w:rFonts w:ascii="Times New Roman" w:hAnsi="Times New Roman"/>
          <w:sz w:val="24"/>
          <w:szCs w:val="24"/>
        </w:rPr>
      </w:pPr>
    </w:p>
    <w:p w14:paraId="2B6578B6" w14:textId="77777777" w:rsidR="00EC1348" w:rsidRPr="00EC1348" w:rsidRDefault="00EC1348" w:rsidP="00EC1348">
      <w:pPr>
        <w:pStyle w:val="NoSpacing"/>
        <w:rPr>
          <w:rFonts w:ascii="Times New Roman" w:hAnsi="Times New Roman"/>
          <w:sz w:val="24"/>
          <w:szCs w:val="24"/>
        </w:rPr>
      </w:pPr>
      <w:r w:rsidRPr="00EC1348">
        <w:rPr>
          <w:rFonts w:ascii="Times New Roman" w:hAnsi="Times New Roman"/>
          <w:sz w:val="24"/>
          <w:szCs w:val="24"/>
        </w:rPr>
        <w:t>THE COURT HELD:</w:t>
      </w:r>
    </w:p>
    <w:p w14:paraId="6ED4B5DB" w14:textId="77777777" w:rsidR="00EC1348" w:rsidRPr="00EC1348" w:rsidRDefault="00EC1348" w:rsidP="00EC1348">
      <w:pPr>
        <w:pStyle w:val="NoSpacing"/>
        <w:rPr>
          <w:rFonts w:ascii="Times New Roman" w:hAnsi="Times New Roman"/>
          <w:sz w:val="24"/>
          <w:szCs w:val="24"/>
        </w:rPr>
      </w:pPr>
    </w:p>
    <w:p w14:paraId="7151874B"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“In Smith's case, the evidence was found not because Smith called for</w:t>
      </w:r>
    </w:p>
    <w:p w14:paraId="5FC04872"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medical assistance but because he consented to a search after asking the officer</w:t>
      </w:r>
    </w:p>
    <w:p w14:paraId="6EA83586"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for a ride. Applying section 195.205 to Smith's case would not further the</w:t>
      </w:r>
    </w:p>
    <w:p w14:paraId="461A360A"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purpose of the statute since, by the time the evidence was discovered, he was no</w:t>
      </w:r>
    </w:p>
    <w:p w14:paraId="7697E7E2"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longer in need of medical assistance or seeking medical assistance. The trial</w:t>
      </w:r>
    </w:p>
    <w:p w14:paraId="3CA7C987"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 xml:space="preserve">court did not err in denying Smith's motion to dismiss and </w:t>
      </w:r>
      <w:proofErr w:type="gramStart"/>
      <w:r w:rsidRPr="00EC1348">
        <w:rPr>
          <w:rFonts w:ascii="Times New Roman" w:hAnsi="Times New Roman"/>
          <w:sz w:val="24"/>
          <w:szCs w:val="24"/>
        </w:rPr>
        <w:t>entering</w:t>
      </w:r>
      <w:proofErr w:type="gramEnd"/>
      <w:r w:rsidRPr="00EC1348">
        <w:rPr>
          <w:rFonts w:ascii="Times New Roman" w:hAnsi="Times New Roman"/>
          <w:sz w:val="24"/>
          <w:szCs w:val="24"/>
        </w:rPr>
        <w:t xml:space="preserve"> a judgment</w:t>
      </w:r>
    </w:p>
    <w:p w14:paraId="0BEB26C6"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of conviction. Smith's point is denied.”</w:t>
      </w:r>
    </w:p>
    <w:p w14:paraId="43286F58" w14:textId="77777777" w:rsidR="00EC1348" w:rsidRPr="00EC1348" w:rsidRDefault="00EC1348" w:rsidP="00EC1348">
      <w:pPr>
        <w:pStyle w:val="NoSpacing"/>
        <w:ind w:left="720"/>
        <w:rPr>
          <w:rFonts w:ascii="Times New Roman" w:hAnsi="Times New Roman"/>
          <w:sz w:val="24"/>
          <w:szCs w:val="24"/>
        </w:rPr>
      </w:pPr>
    </w:p>
    <w:p w14:paraId="01445C83" w14:textId="77777777" w:rsidR="00EC1348" w:rsidRPr="00EC1348" w:rsidRDefault="00EC1348" w:rsidP="00EC1348">
      <w:pPr>
        <w:pStyle w:val="NoSpacing"/>
        <w:rPr>
          <w:rFonts w:ascii="Times New Roman" w:hAnsi="Times New Roman"/>
          <w:b/>
          <w:bCs/>
          <w:sz w:val="24"/>
          <w:szCs w:val="24"/>
        </w:rPr>
      </w:pPr>
      <w:r w:rsidRPr="00EC1348">
        <w:rPr>
          <w:rFonts w:ascii="Times New Roman" w:hAnsi="Times New Roman"/>
          <w:b/>
          <w:bCs/>
          <w:sz w:val="24"/>
          <w:szCs w:val="24"/>
        </w:rPr>
        <w:t xml:space="preserve">Legal Lesson Learned: The Good Samaritan Law only protects individuals receiving medical care, not those stupidly asking PD for a ride while in possession of drugs. </w:t>
      </w:r>
    </w:p>
    <w:p w14:paraId="369DC364" w14:textId="77777777" w:rsidR="00EC1348" w:rsidRPr="00EC1348" w:rsidRDefault="00EC1348" w:rsidP="00EC1348">
      <w:pPr>
        <w:pStyle w:val="NoSpacing"/>
        <w:rPr>
          <w:rFonts w:ascii="Times New Roman" w:hAnsi="Times New Roman"/>
          <w:sz w:val="24"/>
          <w:szCs w:val="24"/>
        </w:rPr>
      </w:pPr>
    </w:p>
    <w:p w14:paraId="5D5D96D7"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Note: See “Missouri’s Good Samaritan Law and Drug Charges” </w:t>
      </w:r>
      <w:hyperlink r:id="rId2167" w:history="1">
        <w:r w:rsidRPr="00EC1348">
          <w:rPr>
            <w:rStyle w:val="Hyperlink"/>
            <w:rFonts w:ascii="Times New Roman" w:hAnsi="Times New Roman"/>
            <w:sz w:val="24"/>
            <w:szCs w:val="24"/>
          </w:rPr>
          <w:t>https://stlouiscriminaldefense.com/missouri-good-samaritan-law/</w:t>
        </w:r>
      </w:hyperlink>
      <w:r w:rsidRPr="00EC1348">
        <w:rPr>
          <w:rFonts w:ascii="Times New Roman" w:hAnsi="Times New Roman"/>
          <w:sz w:val="24"/>
          <w:szCs w:val="24"/>
        </w:rPr>
        <w:t xml:space="preserve"> </w:t>
      </w:r>
    </w:p>
    <w:p w14:paraId="6A708E4B"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“In 2017, the Missouri Legislature passed </w:t>
      </w:r>
      <w:hyperlink r:id="rId2168" w:tgtFrame="_blank" w:history="1">
        <w:proofErr w:type="spellStart"/>
        <w:r w:rsidRPr="00EC1348">
          <w:rPr>
            <w:rStyle w:val="Hyperlink"/>
            <w:rFonts w:ascii="Times New Roman" w:hAnsi="Times New Roman"/>
            <w:sz w:val="24"/>
            <w:szCs w:val="24"/>
          </w:rPr>
          <w:t>RSMo</w:t>
        </w:r>
        <w:proofErr w:type="spellEnd"/>
        <w:r w:rsidRPr="00EC1348">
          <w:rPr>
            <w:rStyle w:val="Hyperlink"/>
            <w:rFonts w:ascii="Times New Roman" w:hAnsi="Times New Roman"/>
            <w:sz w:val="24"/>
            <w:szCs w:val="24"/>
          </w:rPr>
          <w:t xml:space="preserve"> Section 195.205</w:t>
        </w:r>
      </w:hyperlink>
      <w:r w:rsidRPr="00EC1348">
        <w:rPr>
          <w:rFonts w:ascii="Times New Roman" w:hAnsi="Times New Roman"/>
          <w:sz w:val="24"/>
          <w:szCs w:val="24"/>
        </w:rPr>
        <w:t xml:space="preserve">,  the ” Missouri’s Good Samaritan Law” to provide immunity to those seeking assistance with a drug overdose or medical emergency. The rationale behind the law is that drug users might avoid seeking help for a drug overdose because they feared prosecution. The law has </w:t>
      </w:r>
      <w:proofErr w:type="spellStart"/>
      <w:r w:rsidRPr="00EC1348">
        <w:rPr>
          <w:rFonts w:ascii="Times New Roman" w:hAnsi="Times New Roman"/>
          <w:sz w:val="24"/>
          <w:szCs w:val="24"/>
        </w:rPr>
        <w:t>undoubetedly</w:t>
      </w:r>
      <w:proofErr w:type="spellEnd"/>
      <w:r w:rsidRPr="00EC1348">
        <w:rPr>
          <w:rFonts w:ascii="Times New Roman" w:hAnsi="Times New Roman"/>
          <w:sz w:val="24"/>
          <w:szCs w:val="24"/>
        </w:rPr>
        <w:t xml:space="preserve"> saved </w:t>
      </w:r>
      <w:proofErr w:type="gramStart"/>
      <w:r w:rsidRPr="00EC1348">
        <w:rPr>
          <w:rFonts w:ascii="Times New Roman" w:hAnsi="Times New Roman"/>
          <w:sz w:val="24"/>
          <w:szCs w:val="24"/>
        </w:rPr>
        <w:t>a number of</w:t>
      </w:r>
      <w:proofErr w:type="gramEnd"/>
      <w:r w:rsidRPr="00EC1348">
        <w:rPr>
          <w:rFonts w:ascii="Times New Roman" w:hAnsi="Times New Roman"/>
          <w:sz w:val="24"/>
          <w:szCs w:val="24"/>
        </w:rPr>
        <w:t xml:space="preserve"> lives and provides a complete defense to a possession charge. Our </w:t>
      </w:r>
      <w:hyperlink r:id="rId2169" w:history="1">
        <w:r w:rsidRPr="00EC1348">
          <w:rPr>
            <w:rStyle w:val="Hyperlink"/>
            <w:rFonts w:ascii="Times New Roman" w:hAnsi="Times New Roman"/>
            <w:sz w:val="24"/>
            <w:szCs w:val="24"/>
          </w:rPr>
          <w:t>St. Louis Criminal Defense lawyer</w:t>
        </w:r>
      </w:hyperlink>
      <w:r w:rsidRPr="00EC1348">
        <w:rPr>
          <w:rFonts w:ascii="Times New Roman" w:hAnsi="Times New Roman"/>
          <w:sz w:val="24"/>
          <w:szCs w:val="24"/>
        </w:rPr>
        <w:t xml:space="preserve"> has used 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to obtain complete dismissals on </w:t>
      </w:r>
      <w:proofErr w:type="gramStart"/>
      <w:r w:rsidRPr="00EC1348">
        <w:rPr>
          <w:rFonts w:ascii="Times New Roman" w:hAnsi="Times New Roman"/>
          <w:sz w:val="24"/>
          <w:szCs w:val="24"/>
        </w:rPr>
        <w:t>a number of</w:t>
      </w:r>
      <w:proofErr w:type="gramEnd"/>
      <w:r w:rsidRPr="00EC1348">
        <w:rPr>
          <w:rFonts w:ascii="Times New Roman" w:hAnsi="Times New Roman"/>
          <w:sz w:val="24"/>
          <w:szCs w:val="24"/>
        </w:rPr>
        <w:t xml:space="preserve"> </w:t>
      </w:r>
      <w:hyperlink r:id="rId2170" w:anchor=":~:text=The%20offense%20of%20possession%20of%20any%20controlled%20substance%20except%20thirty,4." w:tgtFrame="_blank" w:history="1">
        <w:r w:rsidRPr="00EC1348">
          <w:rPr>
            <w:rStyle w:val="Hyperlink"/>
            <w:rFonts w:ascii="Times New Roman" w:hAnsi="Times New Roman"/>
            <w:sz w:val="24"/>
            <w:szCs w:val="24"/>
          </w:rPr>
          <w:t>drug possession cases</w:t>
        </w:r>
      </w:hyperlink>
      <w:r w:rsidRPr="00EC1348">
        <w:rPr>
          <w:rFonts w:ascii="Times New Roman" w:hAnsi="Times New Roman"/>
          <w:sz w:val="24"/>
          <w:szCs w:val="24"/>
        </w:rPr>
        <w:t xml:space="preserve">. If you or a loved one </w:t>
      </w:r>
      <w:proofErr w:type="gramStart"/>
      <w:r w:rsidRPr="00EC1348">
        <w:rPr>
          <w:rFonts w:ascii="Times New Roman" w:hAnsi="Times New Roman"/>
          <w:sz w:val="24"/>
          <w:szCs w:val="24"/>
        </w:rPr>
        <w:t>have</w:t>
      </w:r>
      <w:proofErr w:type="gramEnd"/>
      <w:r w:rsidRPr="00EC1348">
        <w:rPr>
          <w:rFonts w:ascii="Times New Roman" w:hAnsi="Times New Roman"/>
          <w:sz w:val="24"/>
          <w:szCs w:val="24"/>
        </w:rPr>
        <w:t xml:space="preserve"> questions about </w:t>
      </w:r>
      <w:proofErr w:type="gramStart"/>
      <w:r w:rsidRPr="00EC1348">
        <w:rPr>
          <w:rFonts w:ascii="Times New Roman" w:hAnsi="Times New Roman"/>
          <w:sz w:val="24"/>
          <w:szCs w:val="24"/>
        </w:rPr>
        <w:t>whether or not</w:t>
      </w:r>
      <w:proofErr w:type="gramEnd"/>
      <w:r w:rsidRPr="00EC1348">
        <w:rPr>
          <w:rFonts w:ascii="Times New Roman" w:hAnsi="Times New Roman"/>
          <w:sz w:val="24"/>
          <w:szCs w:val="24"/>
        </w:rPr>
        <w:t xml:space="preserve"> the Good Samaritan Law applies to your case, please do not hesitate to contact our St. Louis criminal defense attorney today for a free case evaluation.</w:t>
      </w:r>
    </w:p>
    <w:p w14:paraId="7B0FCB6E" w14:textId="77777777" w:rsidR="00EC1348" w:rsidRPr="00EC1348" w:rsidRDefault="00EC1348" w:rsidP="00EC1348">
      <w:pPr>
        <w:ind w:firstLine="720"/>
        <w:rPr>
          <w:rFonts w:ascii="Times New Roman" w:hAnsi="Times New Roman"/>
          <w:sz w:val="24"/>
          <w:szCs w:val="24"/>
        </w:rPr>
      </w:pPr>
      <w:r w:rsidRPr="00EC1348">
        <w:rPr>
          <w:rFonts w:ascii="Times New Roman" w:hAnsi="Times New Roman"/>
          <w:sz w:val="24"/>
          <w:szCs w:val="24"/>
        </w:rPr>
        <w:t>When does the Good Samaritan Law apply?</w:t>
      </w:r>
    </w:p>
    <w:p w14:paraId="27FC224A"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applies to a person who is seeking medical assistance for a drug overdose or other medical emergency.  It applies to both the person who seeks help and to the </w:t>
      </w:r>
      <w:proofErr w:type="gramStart"/>
      <w:r w:rsidRPr="00EC1348">
        <w:rPr>
          <w:rFonts w:ascii="Times New Roman" w:hAnsi="Times New Roman"/>
          <w:sz w:val="24"/>
          <w:szCs w:val="24"/>
        </w:rPr>
        <w:t>person</w:t>
      </w:r>
      <w:proofErr w:type="gramEnd"/>
      <w:r w:rsidRPr="00EC1348">
        <w:rPr>
          <w:rFonts w:ascii="Times New Roman" w:hAnsi="Times New Roman"/>
          <w:sz w:val="24"/>
          <w:szCs w:val="24"/>
        </w:rPr>
        <w:t xml:space="preserve"> is experiencing </w:t>
      </w:r>
      <w:proofErr w:type="gramStart"/>
      <w:r w:rsidRPr="00EC1348">
        <w:rPr>
          <w:rFonts w:ascii="Times New Roman" w:hAnsi="Times New Roman"/>
          <w:sz w:val="24"/>
          <w:szCs w:val="24"/>
        </w:rPr>
        <w:t>the</w:t>
      </w:r>
      <w:proofErr w:type="gramEnd"/>
      <w:r w:rsidRPr="00EC1348">
        <w:rPr>
          <w:rFonts w:ascii="Times New Roman" w:hAnsi="Times New Roman"/>
          <w:sz w:val="24"/>
          <w:szCs w:val="24"/>
        </w:rPr>
        <w:t xml:space="preserve"> medical emergency or drug overdose. Under 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a drug overdose is defined as “a condition including, but not limited to, extreme physical illness, decreased level of consciousness, respiratory depression, coma, mania, or death which is the result of consumption or use of a controlled substance or alcohol or a substance with which the controlled substance or alcohol was combined, or that a person would reasonably believe to be a drug or alcohol overdose that requires medical assistance”. “Medical Assistance” is defined as, “includes, but is not limited to, reporting a drug or alcohol overdose or other medical emergency to law enforcement, the 911 system, a poison control center, or a medical provider; assisting someone so reporting; or providing care to someone who is experiencing a drug or alcohol overdose or other medical emergency while awaiting the arrival of medical assistance.” It is important to note, that medical assistance must be sought in “good faith”. In other words, you can’t just say you’re having a drug overdose after the police find drugs in your car to get out of being arrested.</w:t>
      </w:r>
    </w:p>
    <w:p w14:paraId="0EBC36F2" w14:textId="77777777" w:rsidR="00EC1348" w:rsidRPr="00EC1348" w:rsidRDefault="00EC1348" w:rsidP="00EC1348">
      <w:pPr>
        <w:ind w:left="720"/>
        <w:rPr>
          <w:rFonts w:ascii="Times New Roman" w:hAnsi="Times New Roman"/>
          <w:sz w:val="24"/>
          <w:szCs w:val="24"/>
        </w:rPr>
      </w:pPr>
      <w:r w:rsidRPr="00EC1348">
        <w:rPr>
          <w:rFonts w:ascii="Times New Roman" w:hAnsi="Times New Roman"/>
          <w:i/>
          <w:iCs/>
          <w:sz w:val="24"/>
          <w:szCs w:val="24"/>
        </w:rPr>
        <w:t>Example: </w:t>
      </w:r>
      <w:r w:rsidRPr="00EC1348">
        <w:rPr>
          <w:rFonts w:ascii="Times New Roman" w:hAnsi="Times New Roman"/>
          <w:sz w:val="24"/>
          <w:szCs w:val="24"/>
        </w:rPr>
        <w:t>John and John are using drugs at John’s house and Jane overdoses. John calls 911 to seek help for Jane. The police come and find drugs in the house. Under Missouri’s Good Samaritan Law, John cannot be prosecuted because he was seeking medical assistance in good faith for Jane.</w:t>
      </w:r>
    </w:p>
    <w:p w14:paraId="65948F05" w14:textId="77777777" w:rsidR="00EC1348" w:rsidRPr="00EC1348" w:rsidRDefault="00EC1348" w:rsidP="00EC1348">
      <w:pPr>
        <w:ind w:firstLine="720"/>
        <w:rPr>
          <w:rFonts w:ascii="Times New Roman" w:hAnsi="Times New Roman"/>
          <w:sz w:val="24"/>
          <w:szCs w:val="24"/>
        </w:rPr>
      </w:pPr>
      <w:r w:rsidRPr="00EC1348">
        <w:rPr>
          <w:rFonts w:ascii="Times New Roman" w:hAnsi="Times New Roman"/>
          <w:sz w:val="24"/>
          <w:szCs w:val="24"/>
        </w:rPr>
        <w:t>What charges does the Good Samaritan Law protect against?</w:t>
      </w:r>
    </w:p>
    <w:p w14:paraId="0F3F99FF"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The good Samaritan Law protects against prosecution from the following Missouri criminal charges:</w:t>
      </w:r>
    </w:p>
    <w:p w14:paraId="160383B0"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Possession of a Controlled Substance</w:t>
      </w:r>
    </w:p>
    <w:p w14:paraId="1FDFA552"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Possession of Drug Paraphernalia</w:t>
      </w:r>
    </w:p>
    <w:p w14:paraId="61D5FEF9"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Possession of an Imitation Controlled Substance</w:t>
      </w:r>
    </w:p>
    <w:p w14:paraId="69A37B88"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 xml:space="preserve">Keeping or maintaining </w:t>
      </w:r>
      <w:proofErr w:type="gramStart"/>
      <w:r w:rsidRPr="00EC1348">
        <w:rPr>
          <w:rFonts w:ascii="Times New Roman" w:hAnsi="Times New Roman"/>
          <w:sz w:val="24"/>
          <w:szCs w:val="24"/>
        </w:rPr>
        <w:t>a Public</w:t>
      </w:r>
      <w:proofErr w:type="gramEnd"/>
      <w:r w:rsidRPr="00EC1348">
        <w:rPr>
          <w:rFonts w:ascii="Times New Roman" w:hAnsi="Times New Roman"/>
          <w:sz w:val="24"/>
          <w:szCs w:val="24"/>
        </w:rPr>
        <w:t xml:space="preserve"> Nuisance</w:t>
      </w:r>
    </w:p>
    <w:p w14:paraId="3FC711E2"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Sale of Alcohol to Minor</w:t>
      </w:r>
    </w:p>
    <w:p w14:paraId="5305E025"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Minor in Possession of Alcohol</w:t>
      </w:r>
    </w:p>
    <w:p w14:paraId="2374CB80"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Misrepresentation of  Age by a Minor to obtain alcohol</w:t>
      </w:r>
    </w:p>
    <w:p w14:paraId="52AFC218"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Violation of a restraining order</w:t>
      </w:r>
    </w:p>
    <w:p w14:paraId="3BB5EF55"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Violating probation or parole</w:t>
      </w:r>
    </w:p>
    <w:p w14:paraId="4DAB56D6"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However, the law does not protect against other charges, such as </w:t>
      </w:r>
      <w:hyperlink r:id="rId2171" w:tgtFrame="_blank" w:history="1">
        <w:r w:rsidRPr="00EC1348">
          <w:rPr>
            <w:rStyle w:val="Hyperlink"/>
            <w:rFonts w:ascii="Times New Roman" w:hAnsi="Times New Roman"/>
            <w:sz w:val="24"/>
            <w:szCs w:val="24"/>
          </w:rPr>
          <w:t>distribution of a controlled substance</w:t>
        </w:r>
      </w:hyperlink>
      <w:r w:rsidRPr="00EC1348">
        <w:rPr>
          <w:rFonts w:ascii="Times New Roman" w:hAnsi="Times New Roman"/>
          <w:sz w:val="24"/>
          <w:szCs w:val="24"/>
        </w:rPr>
        <w:t xml:space="preserve"> or </w:t>
      </w:r>
      <w:hyperlink r:id="rId2172" w:history="1">
        <w:r w:rsidRPr="00EC1348">
          <w:rPr>
            <w:rStyle w:val="Hyperlink"/>
            <w:rFonts w:ascii="Times New Roman" w:hAnsi="Times New Roman"/>
            <w:sz w:val="24"/>
            <w:szCs w:val="24"/>
          </w:rPr>
          <w:t>manslaughter</w:t>
        </w:r>
      </w:hyperlink>
      <w:r w:rsidRPr="00EC1348">
        <w:rPr>
          <w:rFonts w:ascii="Times New Roman" w:hAnsi="Times New Roman"/>
          <w:sz w:val="24"/>
          <w:szCs w:val="24"/>
        </w:rPr>
        <w:t>. If for instance, you provide drugs to someone who overdoses and dies you could still be charged with those offenses. Moreover, the statute only applies to state charges and is not a defense to federal drug charges.”</w:t>
      </w:r>
    </w:p>
    <w:p w14:paraId="382A6958" w14:textId="77777777" w:rsidR="00AC1F80" w:rsidRDefault="00AC1F80" w:rsidP="002B1283">
      <w:pPr>
        <w:rPr>
          <w:rFonts w:ascii="Arial Black" w:hAnsi="Arial Black"/>
          <w:b/>
          <w:bCs/>
          <w:sz w:val="28"/>
          <w:szCs w:val="28"/>
        </w:rPr>
      </w:pPr>
    </w:p>
    <w:p w14:paraId="0DE5D993" w14:textId="77777777" w:rsidR="00AC1F80" w:rsidRDefault="00AC1F80" w:rsidP="002B1283">
      <w:pPr>
        <w:rPr>
          <w:rFonts w:ascii="Arial Black" w:hAnsi="Arial Black"/>
          <w:b/>
          <w:bCs/>
          <w:sz w:val="28"/>
          <w:szCs w:val="28"/>
        </w:rPr>
      </w:pPr>
    </w:p>
    <w:p w14:paraId="2BC14452" w14:textId="4E181B8D" w:rsidR="00824D3D" w:rsidRDefault="00824D3D" w:rsidP="002B1283">
      <w:pPr>
        <w:rPr>
          <w:rFonts w:ascii="Arial Black" w:hAnsi="Arial Black"/>
          <w:b/>
          <w:bCs/>
          <w:sz w:val="28"/>
          <w:szCs w:val="28"/>
        </w:rPr>
      </w:pPr>
      <w:r>
        <w:rPr>
          <w:rFonts w:ascii="Arial Black" w:hAnsi="Arial Black"/>
          <w:b/>
          <w:bCs/>
          <w:sz w:val="28"/>
          <w:szCs w:val="28"/>
        </w:rPr>
        <w:t>13-190</w:t>
      </w:r>
    </w:p>
    <w:p w14:paraId="40373838" w14:textId="2B26DF98" w:rsidR="00AC1F80" w:rsidRDefault="00AC1F80" w:rsidP="00AC1F80">
      <w:pPr>
        <w:pStyle w:val="NoSpacing"/>
        <w:rPr>
          <w:szCs w:val="24"/>
        </w:rPr>
      </w:pPr>
      <w:r>
        <w:rPr>
          <w:rFonts w:ascii="Arial Black" w:hAnsi="Arial Black"/>
          <w:sz w:val="28"/>
        </w:rPr>
        <w:t xml:space="preserve">CA: PT CLAIMED SEX. ASSAULT BY MEDIC – FD DAILY ROSTER ID HIM - CLAIM FD DEFAMED HIM FILED </w:t>
      </w:r>
      <w:r w:rsidR="00EA2F62">
        <w:rPr>
          <w:rFonts w:ascii="Arial Black" w:hAnsi="Arial Black"/>
          <w:sz w:val="28"/>
        </w:rPr>
        <w:t xml:space="preserve">TOO </w:t>
      </w:r>
      <w:r>
        <w:rPr>
          <w:rFonts w:ascii="Arial Black" w:hAnsi="Arial Black"/>
          <w:sz w:val="28"/>
        </w:rPr>
        <w:t>LATE</w:t>
      </w:r>
    </w:p>
    <w:p w14:paraId="217499C8" w14:textId="77777777" w:rsidR="00AC1F80" w:rsidRDefault="00AC1F80" w:rsidP="00AC1F80">
      <w:pPr>
        <w:pStyle w:val="NoSpacing"/>
        <w:rPr>
          <w:szCs w:val="24"/>
        </w:rPr>
      </w:pPr>
    </w:p>
    <w:p w14:paraId="113C548B" w14:textId="77777777" w:rsidR="00AC1F80" w:rsidRPr="00AC1F80" w:rsidRDefault="00AC1F80" w:rsidP="00AC1F80">
      <w:pPr>
        <w:pStyle w:val="NoSpacing"/>
        <w:rPr>
          <w:rFonts w:ascii="Times New Roman" w:hAnsi="Times New Roman"/>
          <w:sz w:val="24"/>
          <w:szCs w:val="24"/>
        </w:rPr>
      </w:pPr>
      <w:r w:rsidRPr="00AC1F80">
        <w:rPr>
          <w:rFonts w:ascii="Times New Roman" w:hAnsi="Times New Roman"/>
          <w:sz w:val="24"/>
          <w:szCs w:val="24"/>
        </w:rPr>
        <w:t xml:space="preserve">On August 16, 2024, in </w:t>
      </w:r>
      <w:r w:rsidRPr="00AC1F80">
        <w:rPr>
          <w:rFonts w:ascii="Times New Roman" w:hAnsi="Times New Roman"/>
          <w:sz w:val="24"/>
          <w:szCs w:val="24"/>
          <w:u w:val="single"/>
        </w:rPr>
        <w:t>Louis Cerda v. City of Los Angeles</w:t>
      </w:r>
      <w:r w:rsidRPr="00AC1F80">
        <w:rPr>
          <w:rFonts w:ascii="Times New Roman" w:hAnsi="Times New Roman"/>
          <w:sz w:val="24"/>
          <w:szCs w:val="24"/>
        </w:rPr>
        <w:t xml:space="preserve">, the California Court of Appeals, Second District, Third Division, held (3 to 0; unpublished opinion) that the trial court properly dismissed his lawsuit against the City, claiming FD defamed him by sending out internal notices of his suspension on the FD daily staffing roster, since a claim for defamation must be presented within six months of accrual (he was late by one month).  The Court wrote: “The City asserts that the defamation cause of action accrued on October 19, 2017, the last date the alleged defamatory statement was published in the roster according to Cerda’s opposition to judgment on the pleadings. Given the </w:t>
      </w:r>
      <w:proofErr w:type="gramStart"/>
      <w:r w:rsidRPr="00AC1F80">
        <w:rPr>
          <w:rFonts w:ascii="Times New Roman" w:hAnsi="Times New Roman"/>
          <w:sz w:val="24"/>
          <w:szCs w:val="24"/>
        </w:rPr>
        <w:t>six month</w:t>
      </w:r>
      <w:proofErr w:type="gramEnd"/>
      <w:r w:rsidRPr="00AC1F80">
        <w:rPr>
          <w:rFonts w:ascii="Times New Roman" w:hAnsi="Times New Roman"/>
          <w:sz w:val="24"/>
          <w:szCs w:val="24"/>
        </w:rPr>
        <w:t xml:space="preserve"> presentation deadline, Cerda’s government claim was due April 19, 2018. However, Cerda did not file his government claim until May 14, 2018. We agree with the </w:t>
      </w:r>
      <w:proofErr w:type="gramStart"/>
      <w:r w:rsidRPr="00AC1F80">
        <w:rPr>
          <w:rFonts w:ascii="Times New Roman" w:hAnsi="Times New Roman"/>
          <w:sz w:val="24"/>
          <w:szCs w:val="24"/>
        </w:rPr>
        <w:t>City</w:t>
      </w:r>
      <w:proofErr w:type="gramEnd"/>
      <w:r w:rsidRPr="00AC1F80">
        <w:rPr>
          <w:rFonts w:ascii="Times New Roman" w:hAnsi="Times New Roman"/>
          <w:sz w:val="24"/>
          <w:szCs w:val="24"/>
        </w:rPr>
        <w:t xml:space="preserve"> that the government claim for the defamation cause of action was untimely.”  </w:t>
      </w:r>
      <w:hyperlink r:id="rId2173" w:history="1">
        <w:r w:rsidRPr="00AC1F80">
          <w:rPr>
            <w:rStyle w:val="Hyperlink"/>
            <w:rFonts w:ascii="Times New Roman" w:hAnsi="Times New Roman"/>
            <w:sz w:val="24"/>
            <w:szCs w:val="24"/>
          </w:rPr>
          <w:t>https://www.courts.ca.gov/opinions/nonpub/B322004.PDF</w:t>
        </w:r>
      </w:hyperlink>
      <w:r w:rsidRPr="00AC1F80">
        <w:rPr>
          <w:rFonts w:ascii="Times New Roman" w:hAnsi="Times New Roman"/>
          <w:sz w:val="24"/>
          <w:szCs w:val="24"/>
        </w:rPr>
        <w:t xml:space="preserve"> </w:t>
      </w:r>
    </w:p>
    <w:p w14:paraId="52840587" w14:textId="77777777" w:rsidR="00AC1F80" w:rsidRPr="00AC1F80" w:rsidRDefault="00AC1F80" w:rsidP="00AC1F80">
      <w:pPr>
        <w:pStyle w:val="NoSpacing"/>
        <w:rPr>
          <w:rFonts w:ascii="Times New Roman" w:hAnsi="Times New Roman"/>
          <w:sz w:val="24"/>
          <w:szCs w:val="24"/>
        </w:rPr>
      </w:pPr>
    </w:p>
    <w:p w14:paraId="2DD4EC41" w14:textId="77777777" w:rsidR="00AC1F80" w:rsidRPr="00AC1F80" w:rsidRDefault="00AC1F80" w:rsidP="00AC1F80">
      <w:pPr>
        <w:pStyle w:val="NoSpacing"/>
        <w:rPr>
          <w:rFonts w:ascii="Times New Roman" w:hAnsi="Times New Roman"/>
          <w:sz w:val="24"/>
          <w:szCs w:val="24"/>
        </w:rPr>
      </w:pPr>
      <w:r w:rsidRPr="00AC1F80">
        <w:rPr>
          <w:rFonts w:ascii="Times New Roman" w:hAnsi="Times New Roman"/>
          <w:sz w:val="24"/>
          <w:szCs w:val="24"/>
        </w:rPr>
        <w:t>THE COURT HELD:</w:t>
      </w:r>
    </w:p>
    <w:p w14:paraId="5C7835C7" w14:textId="77777777" w:rsidR="00AC1F80" w:rsidRPr="00AC1F80" w:rsidRDefault="00AC1F80" w:rsidP="00AC1F80">
      <w:pPr>
        <w:pStyle w:val="NoSpacing"/>
        <w:rPr>
          <w:rFonts w:ascii="Times New Roman" w:hAnsi="Times New Roman"/>
          <w:sz w:val="24"/>
          <w:szCs w:val="24"/>
        </w:rPr>
      </w:pPr>
    </w:p>
    <w:p w14:paraId="0AB40E07"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“Moreover, as we explain below, Cerda’s failure to file a timely government claim regarding his defamation claim was fatal to his case.</w:t>
      </w:r>
    </w:p>
    <w:p w14:paraId="388AEA40" w14:textId="77777777" w:rsidR="00AC1F80" w:rsidRPr="00AC1F80" w:rsidRDefault="00AC1F80" w:rsidP="00AC1F80">
      <w:pPr>
        <w:pStyle w:val="NoSpacing"/>
        <w:ind w:left="720"/>
        <w:rPr>
          <w:rFonts w:ascii="Times New Roman" w:hAnsi="Times New Roman"/>
          <w:sz w:val="24"/>
          <w:szCs w:val="24"/>
        </w:rPr>
      </w:pPr>
    </w:p>
    <w:p w14:paraId="44496C92"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w:t>
      </w:r>
    </w:p>
    <w:p w14:paraId="4FD6F647" w14:textId="77777777" w:rsidR="00AC1F80" w:rsidRPr="00AC1F80" w:rsidRDefault="00AC1F80" w:rsidP="00AC1F80">
      <w:pPr>
        <w:pStyle w:val="NoSpacing"/>
        <w:rPr>
          <w:rFonts w:ascii="Times New Roman" w:hAnsi="Times New Roman"/>
          <w:sz w:val="24"/>
          <w:szCs w:val="24"/>
        </w:rPr>
      </w:pPr>
    </w:p>
    <w:p w14:paraId="04B2E873"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 xml:space="preserve">We agree with the </w:t>
      </w:r>
      <w:proofErr w:type="gramStart"/>
      <w:r w:rsidRPr="00AC1F80">
        <w:rPr>
          <w:rFonts w:ascii="Times New Roman" w:hAnsi="Times New Roman"/>
          <w:sz w:val="24"/>
          <w:szCs w:val="24"/>
        </w:rPr>
        <w:t>City</w:t>
      </w:r>
      <w:proofErr w:type="gramEnd"/>
      <w:r w:rsidRPr="00AC1F80">
        <w:rPr>
          <w:rFonts w:ascii="Times New Roman" w:hAnsi="Times New Roman"/>
          <w:sz w:val="24"/>
          <w:szCs w:val="24"/>
        </w:rPr>
        <w:t xml:space="preserve"> that the government claim for the defamation cause of action was untimely. We also note that in denying his government claim on June 28, 2018, the </w:t>
      </w:r>
      <w:proofErr w:type="gramStart"/>
      <w:r w:rsidRPr="00AC1F80">
        <w:rPr>
          <w:rFonts w:ascii="Times New Roman" w:hAnsi="Times New Roman"/>
          <w:sz w:val="24"/>
          <w:szCs w:val="24"/>
        </w:rPr>
        <w:t>City</w:t>
      </w:r>
      <w:proofErr w:type="gramEnd"/>
      <w:r w:rsidRPr="00AC1F80">
        <w:rPr>
          <w:rFonts w:ascii="Times New Roman" w:hAnsi="Times New Roman"/>
          <w:sz w:val="24"/>
          <w:szCs w:val="24"/>
        </w:rPr>
        <w:t xml:space="preserve"> specifically warned Cerda that some of his claims were late and that his ‘recourse at this time in regard to the untimely claim(s) is to apply without delay to the Los Angeles City Clerk for leave to present a late claim.’ *** Cerda never applied to present a late claim.”</w:t>
      </w:r>
    </w:p>
    <w:p w14:paraId="5E8C3168" w14:textId="77777777" w:rsidR="00AC1F80" w:rsidRPr="00AC1F80" w:rsidRDefault="00AC1F80" w:rsidP="00AC1F80">
      <w:pPr>
        <w:pStyle w:val="NoSpacing"/>
        <w:ind w:left="720"/>
        <w:rPr>
          <w:rFonts w:ascii="Times New Roman" w:hAnsi="Times New Roman"/>
          <w:sz w:val="24"/>
          <w:szCs w:val="24"/>
        </w:rPr>
      </w:pPr>
    </w:p>
    <w:p w14:paraId="504780F5" w14:textId="77777777" w:rsidR="00AC1F80" w:rsidRPr="00AC1F80" w:rsidRDefault="00AC1F80" w:rsidP="00AC1F80">
      <w:pPr>
        <w:pStyle w:val="NoSpacing"/>
        <w:ind w:left="720"/>
        <w:rPr>
          <w:rFonts w:ascii="Times New Roman" w:hAnsi="Times New Roman"/>
          <w:sz w:val="24"/>
          <w:szCs w:val="24"/>
        </w:rPr>
      </w:pPr>
    </w:p>
    <w:p w14:paraId="622B0467" w14:textId="77777777" w:rsidR="00AC1F80" w:rsidRPr="00AC1F80" w:rsidRDefault="00AC1F80" w:rsidP="00AC1F80">
      <w:pPr>
        <w:pStyle w:val="NoSpacing"/>
        <w:rPr>
          <w:rFonts w:ascii="Times New Roman" w:hAnsi="Times New Roman"/>
          <w:b/>
          <w:bCs/>
          <w:sz w:val="24"/>
          <w:szCs w:val="24"/>
        </w:rPr>
      </w:pPr>
      <w:r w:rsidRPr="00AC1F80">
        <w:rPr>
          <w:rFonts w:ascii="Times New Roman" w:hAnsi="Times New Roman"/>
          <w:b/>
          <w:bCs/>
          <w:sz w:val="24"/>
          <w:szCs w:val="24"/>
        </w:rPr>
        <w:t xml:space="preserve">Legal Lesson Learned: The defamation claim was filed late.  When a suspended FD employee is reinstated after an investigation is completed, brief the employee about conclusions. </w:t>
      </w:r>
    </w:p>
    <w:p w14:paraId="505E206F" w14:textId="77777777" w:rsidR="00824D3D" w:rsidRDefault="00824D3D" w:rsidP="002B1283">
      <w:pPr>
        <w:rPr>
          <w:rFonts w:ascii="Arial Black" w:hAnsi="Arial Black"/>
          <w:b/>
          <w:bCs/>
          <w:sz w:val="28"/>
          <w:szCs w:val="28"/>
        </w:rPr>
      </w:pPr>
    </w:p>
    <w:p w14:paraId="73D2B403" w14:textId="77777777" w:rsidR="00824D3D" w:rsidRDefault="00824D3D" w:rsidP="002B1283">
      <w:pPr>
        <w:rPr>
          <w:rFonts w:ascii="Arial Black" w:hAnsi="Arial Black"/>
          <w:b/>
          <w:bCs/>
          <w:sz w:val="28"/>
          <w:szCs w:val="28"/>
        </w:rPr>
      </w:pPr>
    </w:p>
    <w:p w14:paraId="134C43BB" w14:textId="375A55DA" w:rsidR="0089006F" w:rsidRPr="0011264F" w:rsidRDefault="0089006F" w:rsidP="002B1283">
      <w:pPr>
        <w:rPr>
          <w:rFonts w:ascii="Times New Roman" w:hAnsi="Times New Roman"/>
          <w:sz w:val="24"/>
          <w:szCs w:val="24"/>
        </w:rPr>
      </w:pPr>
      <w:r>
        <w:rPr>
          <w:rFonts w:ascii="Arial Black" w:hAnsi="Arial Black"/>
          <w:b/>
          <w:bCs/>
          <w:sz w:val="28"/>
          <w:szCs w:val="28"/>
        </w:rPr>
        <w:t>13-189</w:t>
      </w:r>
      <w:r w:rsidR="005B3758">
        <w:rPr>
          <w:rFonts w:ascii="Arial Black" w:hAnsi="Arial Black"/>
          <w:b/>
          <w:bCs/>
          <w:sz w:val="28"/>
          <w:szCs w:val="28"/>
        </w:rPr>
        <w:t xml:space="preserve">  </w:t>
      </w:r>
      <w:r w:rsidR="005B3758" w:rsidRPr="0011264F">
        <w:rPr>
          <w:rFonts w:ascii="Times New Roman" w:hAnsi="Times New Roman"/>
          <w:sz w:val="24"/>
          <w:szCs w:val="24"/>
        </w:rPr>
        <w:t xml:space="preserve">[see </w:t>
      </w:r>
      <w:r w:rsidR="0011264F" w:rsidRPr="0011264F">
        <w:rPr>
          <w:rFonts w:ascii="Times New Roman" w:hAnsi="Times New Roman"/>
          <w:sz w:val="24"/>
          <w:szCs w:val="24"/>
        </w:rPr>
        <w:t>Jan. 2026 case]</w:t>
      </w:r>
    </w:p>
    <w:p w14:paraId="04B43DBF" w14:textId="231227B6" w:rsidR="0089006F" w:rsidRPr="00C3434D" w:rsidRDefault="0089006F" w:rsidP="0089006F">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FL: CAPTAIN FIRED - REFUSED ISSUE COVID REPRIMANDS – CASE REINSTATED - U.S. SUP. CT. “SOME INJURY” TEST</w:t>
      </w:r>
    </w:p>
    <w:p w14:paraId="11B170C7" w14:textId="77777777" w:rsidR="0089006F" w:rsidRPr="00610F47"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July 23, 2024, in </w:t>
      </w:r>
      <w:r w:rsidRPr="004C6D8E">
        <w:rPr>
          <w:rFonts w:ascii="Times New Roman" w:hAnsi="Times New Roman"/>
          <w:sz w:val="24"/>
          <w:szCs w:val="24"/>
          <w:u w:val="single"/>
          <w:shd w:val="clear" w:color="auto" w:fill="FFFFFF"/>
        </w:rPr>
        <w:t>Stephen M. Davis v. Orange County</w:t>
      </w:r>
      <w:r>
        <w:rPr>
          <w:rFonts w:ascii="Times New Roman" w:hAnsi="Times New Roman"/>
          <w:sz w:val="24"/>
          <w:szCs w:val="24"/>
          <w:shd w:val="clear" w:color="auto" w:fill="FFFFFF"/>
        </w:rPr>
        <w:t>, the U.S. Court of Appeals for the 11</w:t>
      </w:r>
      <w:r w:rsidRPr="004C6D8E">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(Atlanta) held (3 to 0) that the fired Captain’s lawsuit will be remanded to U.S. District Court Judge in Florida, who had dismissed “retaliation” claims because the order to issue written reprimands did not amount  to </w:t>
      </w:r>
      <w:r w:rsidRPr="00667DF3">
        <w:rPr>
          <w:rFonts w:ascii="Times New Roman" w:hAnsi="Times New Roman"/>
          <w:sz w:val="24"/>
          <w:szCs w:val="24"/>
          <w:shd w:val="clear" w:color="auto" w:fill="FFFFFF"/>
        </w:rPr>
        <w:t xml:space="preserve">a </w:t>
      </w:r>
      <w:r>
        <w:rPr>
          <w:rFonts w:ascii="Times New Roman" w:hAnsi="Times New Roman"/>
          <w:sz w:val="24"/>
          <w:szCs w:val="24"/>
          <w:shd w:val="clear" w:color="auto" w:fill="FFFFFF"/>
        </w:rPr>
        <w:t>“</w:t>
      </w:r>
      <w:r w:rsidRPr="00667DF3">
        <w:rPr>
          <w:rFonts w:ascii="Times New Roman" w:hAnsi="Times New Roman"/>
          <w:sz w:val="24"/>
          <w:szCs w:val="24"/>
          <w:shd w:val="clear" w:color="auto" w:fill="FFFFFF"/>
        </w:rPr>
        <w:t>serious and material change in the employees’ terms, conditions, and</w:t>
      </w:r>
      <w:r>
        <w:rPr>
          <w:rFonts w:ascii="Times New Roman" w:hAnsi="Times New Roman"/>
          <w:sz w:val="24"/>
          <w:szCs w:val="24"/>
          <w:shd w:val="clear" w:color="auto" w:fill="FFFFFF"/>
        </w:rPr>
        <w:t xml:space="preserve"> </w:t>
      </w:r>
      <w:r w:rsidRPr="00667DF3">
        <w:rPr>
          <w:rFonts w:ascii="Times New Roman" w:hAnsi="Times New Roman"/>
          <w:sz w:val="24"/>
          <w:szCs w:val="24"/>
          <w:shd w:val="clear" w:color="auto" w:fill="FFFFFF"/>
        </w:rPr>
        <w:t>privileges of employment.</w:t>
      </w:r>
      <w:r>
        <w:rPr>
          <w:rFonts w:ascii="Times New Roman" w:hAnsi="Times New Roman"/>
          <w:sz w:val="24"/>
          <w:szCs w:val="24"/>
          <w:shd w:val="clear" w:color="auto" w:fill="FFFFFF"/>
        </w:rPr>
        <w:t xml:space="preserve">”  However, on April 17, 2024, the U.S. Supreme Court issued the “landmark” decision in </w:t>
      </w:r>
      <w:r w:rsidRPr="0069068E">
        <w:rPr>
          <w:rFonts w:ascii="Times New Roman" w:hAnsi="Times New Roman"/>
          <w:sz w:val="24"/>
          <w:szCs w:val="24"/>
          <w:shd w:val="clear" w:color="auto" w:fill="FFFFFF"/>
        </w:rPr>
        <w:t>Muldrow v. City of St. Louis</w:t>
      </w:r>
      <w:r>
        <w:rPr>
          <w:rFonts w:ascii="Times New Roman" w:hAnsi="Times New Roman"/>
          <w:sz w:val="24"/>
          <w:szCs w:val="24"/>
          <w:shd w:val="clear" w:color="auto" w:fill="FFFFFF"/>
        </w:rPr>
        <w:t xml:space="preserve">, which held that a female Saint Louis police officer may sue for her job transfer from Intelligence Division back to patrol duties.  </w:t>
      </w:r>
      <w:hyperlink r:id="rId2174" w:history="1">
        <w:r w:rsidRPr="0013187C">
          <w:rPr>
            <w:rStyle w:val="Hyperlink"/>
            <w:rFonts w:ascii="Times New Roman" w:hAnsi="Times New Roman"/>
            <w:sz w:val="24"/>
            <w:szCs w:val="24"/>
            <w:shd w:val="clear" w:color="auto" w:fill="FFFFFF"/>
          </w:rPr>
          <w:t>https://www.supremecourt.gov/opinions/23pdf/22-193_q86b.pdf</w:t>
        </w:r>
      </w:hyperlink>
      <w:r>
        <w:rPr>
          <w:rFonts w:ascii="Times New Roman" w:hAnsi="Times New Roman"/>
          <w:sz w:val="24"/>
          <w:szCs w:val="24"/>
          <w:shd w:val="clear" w:color="auto" w:fill="FFFFFF"/>
        </w:rPr>
        <w:t xml:space="preserve"> </w:t>
      </w:r>
    </w:p>
    <w:p w14:paraId="5F403218" w14:textId="77777777" w:rsidR="0089006F" w:rsidRDefault="0089006F" w:rsidP="0089006F">
      <w:pPr>
        <w:pStyle w:val="NoSpacing"/>
        <w:rPr>
          <w:rFonts w:ascii="Times New Roman" w:hAnsi="Times New Roman"/>
          <w:sz w:val="24"/>
          <w:szCs w:val="24"/>
          <w:shd w:val="clear" w:color="auto" w:fill="FFFFFF"/>
        </w:rPr>
      </w:pPr>
    </w:p>
    <w:p w14:paraId="3CCEBE93" w14:textId="77777777" w:rsidR="0089006F"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Captain Davis gets the benefit of the new standard requiring only proof of “some injury.” </w:t>
      </w:r>
      <w:hyperlink r:id="rId2175" w:history="1">
        <w:r w:rsidRPr="0013187C">
          <w:rPr>
            <w:rStyle w:val="Hyperlink"/>
            <w:rFonts w:ascii="Times New Roman" w:hAnsi="Times New Roman"/>
            <w:sz w:val="24"/>
            <w:szCs w:val="24"/>
            <w:shd w:val="clear" w:color="auto" w:fill="FFFFFF"/>
          </w:rPr>
          <w:t>https://cases.justia.com/federal/appellate-courts/ca11/23-12759/23-12759-2024-07-23.pdf?ts=1721745066</w:t>
        </w:r>
      </w:hyperlink>
      <w:r>
        <w:rPr>
          <w:rFonts w:ascii="Times New Roman" w:hAnsi="Times New Roman"/>
          <w:sz w:val="24"/>
          <w:szCs w:val="24"/>
          <w:shd w:val="clear" w:color="auto" w:fill="FFFFFF"/>
        </w:rPr>
        <w:t xml:space="preserve"> </w:t>
      </w:r>
    </w:p>
    <w:p w14:paraId="6271F0E8" w14:textId="77777777" w:rsidR="0089006F" w:rsidRDefault="0089006F" w:rsidP="0089006F">
      <w:pPr>
        <w:pStyle w:val="NoSpacing"/>
        <w:rPr>
          <w:rFonts w:ascii="Times New Roman" w:hAnsi="Times New Roman"/>
          <w:sz w:val="24"/>
          <w:szCs w:val="24"/>
          <w:shd w:val="clear" w:color="auto" w:fill="FFFFFF"/>
        </w:rPr>
      </w:pPr>
    </w:p>
    <w:p w14:paraId="4833D683" w14:textId="77777777" w:rsidR="0089006F"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07B93E74" w14:textId="77777777" w:rsidR="0089006F" w:rsidRDefault="0089006F" w:rsidP="0089006F">
      <w:pPr>
        <w:pStyle w:val="NoSpacing"/>
        <w:rPr>
          <w:rFonts w:ascii="Times New Roman" w:hAnsi="Times New Roman"/>
          <w:sz w:val="24"/>
          <w:szCs w:val="24"/>
          <w:shd w:val="clear" w:color="auto" w:fill="FFFFFF"/>
        </w:rPr>
      </w:pPr>
    </w:p>
    <w:p w14:paraId="689D99F7" w14:textId="2E2048A0" w:rsidR="0089006F" w:rsidRDefault="0089006F" w:rsidP="0089006F">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But during the pendency of this appeal, the Supreme Court</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decided Muldrow v. City of St. Louis, 144 S. Ct. 967 (</w:t>
      </w:r>
      <w:r w:rsidR="006A6D1D">
        <w:rPr>
          <w:rFonts w:ascii="Times New Roman" w:hAnsi="Times New Roman"/>
          <w:sz w:val="24"/>
          <w:szCs w:val="24"/>
          <w:shd w:val="clear" w:color="auto" w:fill="FFFFFF"/>
        </w:rPr>
        <w:t xml:space="preserve">April 17, </w:t>
      </w:r>
      <w:r w:rsidRPr="0069068E">
        <w:rPr>
          <w:rFonts w:ascii="Times New Roman" w:hAnsi="Times New Roman"/>
          <w:sz w:val="24"/>
          <w:szCs w:val="24"/>
          <w:shd w:val="clear" w:color="auto" w:fill="FFFFFF"/>
        </w:rPr>
        <w:t>2024), in which</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it clarified a plaintiff’s required showing for an adverse employment action under the anti-discrimination provision of Title VII.</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The Supreme Court explained that a plaintiff </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 xml:space="preserve">need </w:t>
      </w:r>
      <w:proofErr w:type="gramStart"/>
      <w:r w:rsidRPr="0069068E">
        <w:rPr>
          <w:rFonts w:ascii="Times New Roman" w:hAnsi="Times New Roman"/>
          <w:sz w:val="24"/>
          <w:szCs w:val="24"/>
          <w:shd w:val="clear" w:color="auto" w:fill="FFFFFF"/>
        </w:rPr>
        <w:t>show</w:t>
      </w:r>
      <w:proofErr w:type="gramEnd"/>
      <w:r w:rsidRPr="0069068E">
        <w:rPr>
          <w:rFonts w:ascii="Times New Roman" w:hAnsi="Times New Roman"/>
          <w:sz w:val="24"/>
          <w:szCs w:val="24"/>
          <w:shd w:val="clear" w:color="auto" w:fill="FFFFFF"/>
        </w:rPr>
        <w:t xml:space="preserve"> only</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some injury respecting her employment terms or conditions,</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 xml:space="preserve"> or</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in other words, a </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disadvantageous change in an employment term</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or </w:t>
      </w:r>
      <w:proofErr w:type="gramStart"/>
      <w:r w:rsidRPr="0069068E">
        <w:rPr>
          <w:rFonts w:ascii="Times New Roman" w:hAnsi="Times New Roman"/>
          <w:sz w:val="24"/>
          <w:szCs w:val="24"/>
          <w:shd w:val="clear" w:color="auto" w:fill="FFFFFF"/>
        </w:rPr>
        <w:t>condition.”</w:t>
      </w:r>
      <w:proofErr w:type="gramEnd"/>
      <w:r w:rsidRPr="0069068E">
        <w:rPr>
          <w:rFonts w:ascii="Times New Roman" w:hAnsi="Times New Roman"/>
          <w:sz w:val="24"/>
          <w:szCs w:val="24"/>
          <w:shd w:val="clear" w:color="auto" w:fill="FFFFFF"/>
        </w:rPr>
        <w:t xml:space="preserve"> Id. at 974, 977 (internal quotation marks omitted).</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But an injury need not constitute significant, serious, or substantial</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harm to suffice under the statute. Id. at 974. Thus, Davis does not</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need to meet our higher pre-Muldrow standard to make out a claim</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for retaliation under Title VII.</w:t>
      </w:r>
      <w:r>
        <w:rPr>
          <w:rFonts w:ascii="Times New Roman" w:hAnsi="Times New Roman"/>
          <w:sz w:val="24"/>
          <w:szCs w:val="24"/>
          <w:shd w:val="clear" w:color="auto" w:fill="FFFFFF"/>
        </w:rPr>
        <w:t>”</w:t>
      </w:r>
    </w:p>
    <w:p w14:paraId="78F7E399" w14:textId="77777777" w:rsidR="004F2EB6" w:rsidRDefault="004F2EB6" w:rsidP="004F2EB6">
      <w:pPr>
        <w:pStyle w:val="NoSpacing"/>
        <w:jc w:val="both"/>
        <w:rPr>
          <w:rFonts w:ascii="Times New Roman" w:hAnsi="Times New Roman"/>
          <w:b/>
          <w:bCs/>
          <w:sz w:val="24"/>
          <w:szCs w:val="24"/>
          <w:shd w:val="clear" w:color="auto" w:fill="FFFFFF"/>
        </w:rPr>
      </w:pPr>
    </w:p>
    <w:p w14:paraId="39A67C11" w14:textId="12AFAFCC" w:rsidR="004F2EB6" w:rsidRPr="004200F9" w:rsidRDefault="004F2EB6" w:rsidP="004F2EB6">
      <w:pPr>
        <w:pStyle w:val="NoSpacing"/>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Under the U.S. Supreme Court’s new “some injury” standard, many more discrimination and retaliation cases will now proceed to pre-trial discovery and trial. </w:t>
      </w:r>
    </w:p>
    <w:p w14:paraId="42F26BB9" w14:textId="77777777" w:rsidR="004F2EB6" w:rsidRPr="009D70F9" w:rsidRDefault="004F2EB6" w:rsidP="004F2EB6">
      <w:pPr>
        <w:pStyle w:val="NormalWeb"/>
        <w:ind w:left="720"/>
        <w:rPr>
          <w:color w:val="454545"/>
          <w:shd w:val="clear" w:color="auto" w:fill="FFFFFF"/>
        </w:rPr>
      </w:pPr>
      <w:r w:rsidRPr="009D70F9">
        <w:rPr>
          <w:color w:val="454545"/>
          <w:shd w:val="clear" w:color="auto" w:fill="FFFFFF"/>
        </w:rPr>
        <w:t xml:space="preserve">Note: See this June 15, </w:t>
      </w:r>
      <w:proofErr w:type="gramStart"/>
      <w:r w:rsidRPr="009D70F9">
        <w:rPr>
          <w:color w:val="454545"/>
          <w:shd w:val="clear" w:color="auto" w:fill="FFFFFF"/>
        </w:rPr>
        <w:t>2024</w:t>
      </w:r>
      <w:proofErr w:type="gramEnd"/>
      <w:r w:rsidRPr="009D70F9">
        <w:rPr>
          <w:color w:val="454545"/>
          <w:shd w:val="clear" w:color="auto" w:fill="FFFFFF"/>
        </w:rPr>
        <w:t xml:space="preserve"> article: </w:t>
      </w:r>
      <w:hyperlink r:id="rId2176" w:history="1">
        <w:r w:rsidRPr="009D70F9">
          <w:rPr>
            <w:rStyle w:val="Hyperlink"/>
            <w:shd w:val="clear" w:color="auto" w:fill="FFFFFF"/>
          </w:rPr>
          <w:t>https://www.orangeobserver.com/news/2024/jun/15/breaking-former-orange-county-fire-rescue-battalion-chief-announces-candidacy-for-county-commission-district-1/</w:t>
        </w:r>
      </w:hyperlink>
      <w:r w:rsidRPr="009D70F9">
        <w:rPr>
          <w:color w:val="454545"/>
          <w:shd w:val="clear" w:color="auto" w:fill="FFFFFF"/>
        </w:rPr>
        <w:t xml:space="preserve"> “BREAKING: Former Orange County Fire Rescue battalion chief announces candidacy for County Commission District 1. Stephen Davis in 2021 was fired from the department after he did not reprimand personnel who refused to take the COVID-19 vaccine.” </w:t>
      </w:r>
    </w:p>
    <w:p w14:paraId="761452AA" w14:textId="77777777" w:rsidR="0089006F" w:rsidRDefault="0089006F" w:rsidP="002B1283">
      <w:pPr>
        <w:rPr>
          <w:rFonts w:ascii="Arial Black" w:hAnsi="Arial Black"/>
          <w:b/>
          <w:bCs/>
          <w:sz w:val="28"/>
          <w:szCs w:val="28"/>
        </w:rPr>
      </w:pPr>
    </w:p>
    <w:p w14:paraId="764AD717" w14:textId="77777777" w:rsidR="0089006F" w:rsidRDefault="0089006F" w:rsidP="002B1283">
      <w:pPr>
        <w:rPr>
          <w:rFonts w:ascii="Arial Black" w:hAnsi="Arial Black"/>
          <w:b/>
          <w:bCs/>
          <w:sz w:val="28"/>
          <w:szCs w:val="28"/>
        </w:rPr>
      </w:pPr>
    </w:p>
    <w:p w14:paraId="78D29AF4" w14:textId="6FCF144E" w:rsidR="003C2A76" w:rsidRDefault="003C2A76" w:rsidP="002B1283">
      <w:pPr>
        <w:rPr>
          <w:rFonts w:ascii="Arial Black" w:hAnsi="Arial Black"/>
          <w:b/>
          <w:bCs/>
          <w:sz w:val="28"/>
          <w:szCs w:val="28"/>
        </w:rPr>
      </w:pPr>
      <w:r>
        <w:rPr>
          <w:rFonts w:ascii="Arial Black" w:hAnsi="Arial Black"/>
          <w:b/>
          <w:bCs/>
          <w:sz w:val="28"/>
          <w:szCs w:val="28"/>
        </w:rPr>
        <w:t>13-188</w:t>
      </w:r>
    </w:p>
    <w:p w14:paraId="09F6F2F9" w14:textId="77777777" w:rsidR="003C2A76" w:rsidRPr="0009763F" w:rsidRDefault="003C2A76" w:rsidP="003C2A7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DC: ELDERLY WAITED 5 MIN. CALL 911 – DIED UNRELATED ILLNESS – NOT ADMISSIBLE TRIAL - “EXCITED UTTERANCE” </w:t>
      </w:r>
    </w:p>
    <w:p w14:paraId="61D3F653" w14:textId="77777777" w:rsidR="003C2A76" w:rsidRDefault="003C2A76" w:rsidP="003C2A76">
      <w:pPr>
        <w:pStyle w:val="NormalWeb"/>
        <w:rPr>
          <w:color w:val="454545"/>
          <w:shd w:val="clear" w:color="auto" w:fill="FFFFFF"/>
        </w:rPr>
      </w:pPr>
      <w:r w:rsidRPr="009253E0">
        <w:rPr>
          <w:color w:val="454545"/>
          <w:shd w:val="clear" w:color="auto" w:fill="FFFFFF"/>
        </w:rPr>
        <w:t xml:space="preserve">On May 23, 2024, in </w:t>
      </w:r>
      <w:r w:rsidRPr="00F018C0">
        <w:rPr>
          <w:color w:val="454545"/>
          <w:u w:val="single"/>
          <w:shd w:val="clear" w:color="auto" w:fill="FFFFFF"/>
        </w:rPr>
        <w:t>Joshua C. Austin v. United States</w:t>
      </w:r>
      <w:r w:rsidRPr="009253E0">
        <w:rPr>
          <w:color w:val="454545"/>
          <w:shd w:val="clear" w:color="auto" w:fill="FFFFFF"/>
        </w:rPr>
        <w:t xml:space="preserve">, the D.C. Court of Appeals held (3 to 0) </w:t>
      </w:r>
      <w:r>
        <w:rPr>
          <w:color w:val="454545"/>
          <w:shd w:val="clear" w:color="auto" w:fill="FFFFFF"/>
        </w:rPr>
        <w:t xml:space="preserve">that robbery jury conviction should be reversed; but burglary and assault convictions upheld.  He followed </w:t>
      </w:r>
      <w:proofErr w:type="gramStart"/>
      <w:r>
        <w:rPr>
          <w:color w:val="454545"/>
          <w:shd w:val="clear" w:color="auto" w:fill="FFFFFF"/>
        </w:rPr>
        <w:t>68-year old</w:t>
      </w:r>
      <w:proofErr w:type="gramEnd"/>
      <w:r>
        <w:rPr>
          <w:color w:val="454545"/>
          <w:shd w:val="clear" w:color="auto" w:fill="FFFFFF"/>
        </w:rPr>
        <w:t xml:space="preserve"> woman from grocery store to her apartment, threw her down steps and stole $60.  She called 911 about 5 minutes after the incident and gave a good description of the assailant. Prior to trial, the victim died from long illness unrelated to the assault.  The Court held:</w:t>
      </w:r>
    </w:p>
    <w:p w14:paraId="1B9DAD04" w14:textId="77777777" w:rsidR="003C2A76" w:rsidRPr="009253E0" w:rsidRDefault="003C2A76" w:rsidP="003C2A76">
      <w:pPr>
        <w:pStyle w:val="NormalWeb"/>
        <w:ind w:left="720" w:firstLine="60"/>
        <w:rPr>
          <w:color w:val="454545"/>
          <w:shd w:val="clear" w:color="auto" w:fill="FFFFFF"/>
        </w:rPr>
      </w:pPr>
      <w:r>
        <w:rPr>
          <w:color w:val="454545"/>
          <w:shd w:val="clear" w:color="auto" w:fill="FFFFFF"/>
        </w:rPr>
        <w:t>“</w:t>
      </w:r>
      <w:r w:rsidRPr="00875420">
        <w:rPr>
          <w:color w:val="454545"/>
          <w:shd w:val="clear" w:color="auto" w:fill="FFFFFF"/>
        </w:rPr>
        <w:t>Here, a reasonable person—from the perspective of either Ms. Marvil or the</w:t>
      </w:r>
      <w:r>
        <w:rPr>
          <w:color w:val="454545"/>
          <w:shd w:val="clear" w:color="auto" w:fill="FFFFFF"/>
        </w:rPr>
        <w:t xml:space="preserve"> </w:t>
      </w:r>
      <w:r w:rsidRPr="00875420">
        <w:rPr>
          <w:color w:val="454545"/>
          <w:shd w:val="clear" w:color="auto" w:fill="FFFFFF"/>
        </w:rPr>
        <w:t>911 operator—would not have believed that there was an ongoing emergency at the</w:t>
      </w:r>
      <w:r>
        <w:rPr>
          <w:color w:val="454545"/>
          <w:shd w:val="clear" w:color="auto" w:fill="FFFFFF"/>
        </w:rPr>
        <w:t xml:space="preserve"> </w:t>
      </w:r>
      <w:r w:rsidRPr="00875420">
        <w:rPr>
          <w:color w:val="454545"/>
          <w:shd w:val="clear" w:color="auto" w:fill="FFFFFF"/>
        </w:rPr>
        <w:t>time of the 911 call.</w:t>
      </w:r>
      <w:r>
        <w:rPr>
          <w:color w:val="454545"/>
          <w:shd w:val="clear" w:color="auto" w:fill="FFFFFF"/>
        </w:rPr>
        <w:t xml:space="preserve"> *** </w:t>
      </w:r>
      <w:r w:rsidRPr="00E35A07">
        <w:rPr>
          <w:color w:val="454545"/>
          <w:shd w:val="clear" w:color="auto" w:fill="FFFFFF"/>
        </w:rPr>
        <w:t xml:space="preserve">Considering the factors </w:t>
      </w:r>
      <w:proofErr w:type="gramStart"/>
      <w:r w:rsidRPr="00E35A07">
        <w:rPr>
          <w:color w:val="454545"/>
          <w:shd w:val="clear" w:color="auto" w:fill="FFFFFF"/>
        </w:rPr>
        <w:t>on the whole</w:t>
      </w:r>
      <w:proofErr w:type="gramEnd"/>
      <w:r w:rsidRPr="00E35A07">
        <w:rPr>
          <w:color w:val="454545"/>
          <w:shd w:val="clear" w:color="auto" w:fill="FFFFFF"/>
        </w:rPr>
        <w:t>, we conclude that the emergency had</w:t>
      </w:r>
      <w:r>
        <w:rPr>
          <w:color w:val="454545"/>
          <w:shd w:val="clear" w:color="auto" w:fill="FFFFFF"/>
        </w:rPr>
        <w:t xml:space="preserve"> </w:t>
      </w:r>
      <w:r w:rsidRPr="00E35A07">
        <w:rPr>
          <w:color w:val="454545"/>
          <w:shd w:val="clear" w:color="auto" w:fill="FFFFFF"/>
        </w:rPr>
        <w:t>subsided by the time Ms. Marvil called 911.</w:t>
      </w:r>
      <w:r>
        <w:rPr>
          <w:color w:val="454545"/>
          <w:shd w:val="clear" w:color="auto" w:fill="FFFFFF"/>
        </w:rPr>
        <w:t xml:space="preserve">” </w:t>
      </w:r>
      <w:hyperlink r:id="rId2177" w:history="1">
        <w:r w:rsidRPr="00F80308">
          <w:rPr>
            <w:rStyle w:val="Hyperlink"/>
            <w:shd w:val="clear" w:color="auto" w:fill="FFFFFF"/>
          </w:rPr>
          <w:t>https://www.dccourts.gov/sites/default/files/2024-05/Austin%20v.%20US%2022-CF-0085.pdf</w:t>
        </w:r>
      </w:hyperlink>
      <w:r>
        <w:rPr>
          <w:color w:val="454545"/>
          <w:shd w:val="clear" w:color="auto" w:fill="FFFFFF"/>
        </w:rPr>
        <w:t xml:space="preserve"> </w:t>
      </w:r>
    </w:p>
    <w:p w14:paraId="16288BBD" w14:textId="77777777" w:rsidR="00C825BD" w:rsidRDefault="00C825BD" w:rsidP="00C825BD">
      <w:pPr>
        <w:pStyle w:val="NoSpacing"/>
        <w:rPr>
          <w:rFonts w:ascii="Times New Roman" w:hAnsi="Times New Roman"/>
          <w:b/>
          <w:bCs/>
          <w:sz w:val="24"/>
          <w:szCs w:val="24"/>
          <w:shd w:val="clear" w:color="auto" w:fill="FFFFFF"/>
        </w:rPr>
      </w:pPr>
      <w:r w:rsidRPr="000349F6">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 xml:space="preserve"> The “excited utterance” exception is well established in numerous court decisions – admissible if the declarant is still under stress from a startling event; the trial court judge made a well-reasoned decision. </w:t>
      </w:r>
    </w:p>
    <w:p w14:paraId="2C858A88" w14:textId="77777777" w:rsidR="00C825BD" w:rsidRDefault="00C825BD" w:rsidP="00C825BD">
      <w:pPr>
        <w:pStyle w:val="NoSpacing"/>
        <w:ind w:left="720"/>
        <w:rPr>
          <w:rFonts w:ascii="Times New Roman" w:hAnsi="Times New Roman"/>
          <w:sz w:val="24"/>
          <w:szCs w:val="24"/>
          <w:shd w:val="clear" w:color="auto" w:fill="FFFFFF"/>
        </w:rPr>
      </w:pPr>
    </w:p>
    <w:p w14:paraId="1A205814" w14:textId="77777777" w:rsidR="00C825BD" w:rsidRDefault="00C825BD" w:rsidP="00C825B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 xml:space="preserve">Note: </w:t>
      </w:r>
    </w:p>
    <w:p w14:paraId="65DFB47B" w14:textId="77777777" w:rsidR="00C825BD" w:rsidRDefault="00C825BD" w:rsidP="00C825BD">
      <w:pPr>
        <w:pStyle w:val="NoSpacing"/>
        <w:ind w:left="720"/>
        <w:rPr>
          <w:rFonts w:ascii="Times New Roman" w:hAnsi="Times New Roman"/>
          <w:sz w:val="24"/>
          <w:szCs w:val="24"/>
          <w:shd w:val="clear" w:color="auto" w:fill="FFFFFF"/>
        </w:rPr>
      </w:pPr>
    </w:p>
    <w:p w14:paraId="521BBBE2" w14:textId="77777777" w:rsidR="00C825BD" w:rsidRPr="00E62F56" w:rsidRDefault="00C825BD" w:rsidP="00C825BD">
      <w:pPr>
        <w:pStyle w:val="NoSpacing"/>
        <w:ind w:left="720"/>
        <w:rPr>
          <w:rFonts w:ascii="Times New Roman" w:hAnsi="Times New Roman"/>
          <w:b/>
          <w:bCs/>
          <w:sz w:val="24"/>
          <w:szCs w:val="24"/>
          <w:shd w:val="clear" w:color="auto" w:fill="FFFFFF"/>
        </w:rPr>
      </w:pPr>
      <w:r w:rsidRPr="00C1174E">
        <w:rPr>
          <w:rFonts w:ascii="Times New Roman" w:hAnsi="Times New Roman"/>
          <w:b/>
          <w:bCs/>
          <w:sz w:val="24"/>
          <w:szCs w:val="24"/>
          <w:shd w:val="clear" w:color="auto" w:fill="FFFFFF"/>
        </w:rPr>
        <w:t>“</w:t>
      </w:r>
      <w:r w:rsidRPr="00C1174E">
        <w:rPr>
          <w:rFonts w:ascii="Times New Roman" w:hAnsi="Times New Roman"/>
          <w:sz w:val="24"/>
          <w:szCs w:val="24"/>
        </w:rPr>
        <w:t>Excited utterance, under the</w:t>
      </w:r>
      <w:hyperlink r:id="rId2178" w:history="1">
        <w:r w:rsidRPr="00C1174E">
          <w:rPr>
            <w:rStyle w:val="Hyperlink"/>
            <w:rFonts w:ascii="Times New Roman" w:hAnsi="Times New Roman"/>
            <w:color w:val="auto"/>
            <w:sz w:val="24"/>
            <w:szCs w:val="24"/>
          </w:rPr>
          <w:t xml:space="preserve"> Federal Rules of Evidence</w:t>
        </w:r>
      </w:hyperlink>
      <w:r w:rsidRPr="00C1174E">
        <w:rPr>
          <w:rFonts w:ascii="Times New Roman" w:hAnsi="Times New Roman"/>
          <w:sz w:val="24"/>
          <w:szCs w:val="24"/>
        </w:rPr>
        <w:t xml:space="preserve">, is defined as a statement that concerns a startling event, made by the </w:t>
      </w:r>
      <w:hyperlink r:id="rId2179" w:history="1">
        <w:r w:rsidRPr="00C1174E">
          <w:rPr>
            <w:rStyle w:val="Hyperlink"/>
            <w:rFonts w:ascii="Times New Roman" w:hAnsi="Times New Roman"/>
            <w:color w:val="auto"/>
            <w:sz w:val="24"/>
            <w:szCs w:val="24"/>
          </w:rPr>
          <w:t>declarant</w:t>
        </w:r>
      </w:hyperlink>
      <w:r w:rsidRPr="00C1174E">
        <w:rPr>
          <w:rFonts w:ascii="Times New Roman" w:hAnsi="Times New Roman"/>
          <w:sz w:val="24"/>
          <w:szCs w:val="24"/>
        </w:rPr>
        <w:t xml:space="preserve"> when the declarant is still under stress from the startling event. Excited utterance is an exception to the</w:t>
      </w:r>
      <w:hyperlink r:id="rId2180" w:history="1">
        <w:r w:rsidRPr="00C1174E">
          <w:rPr>
            <w:rStyle w:val="Hyperlink"/>
            <w:rFonts w:ascii="Times New Roman" w:hAnsi="Times New Roman"/>
            <w:color w:val="auto"/>
            <w:sz w:val="24"/>
            <w:szCs w:val="24"/>
          </w:rPr>
          <w:t xml:space="preserve"> hearsay</w:t>
        </w:r>
      </w:hyperlink>
      <w:r w:rsidRPr="00C1174E">
        <w:rPr>
          <w:rFonts w:ascii="Times New Roman" w:hAnsi="Times New Roman"/>
          <w:sz w:val="24"/>
          <w:szCs w:val="24"/>
        </w:rPr>
        <w:t xml:space="preserve"> rule.” </w:t>
      </w:r>
      <w:hyperlink r:id="rId2181" w:history="1">
        <w:r w:rsidRPr="00F80308">
          <w:rPr>
            <w:rStyle w:val="Hyperlink"/>
            <w:rFonts w:ascii="Times New Roman" w:hAnsi="Times New Roman"/>
            <w:sz w:val="24"/>
            <w:szCs w:val="24"/>
          </w:rPr>
          <w:t>https://www.law.cornell.edu/wex/excited_utterance</w:t>
        </w:r>
      </w:hyperlink>
      <w:r>
        <w:rPr>
          <w:rFonts w:ascii="Times New Roman" w:hAnsi="Times New Roman"/>
          <w:sz w:val="24"/>
          <w:szCs w:val="24"/>
        </w:rPr>
        <w:t xml:space="preserve"> </w:t>
      </w:r>
    </w:p>
    <w:p w14:paraId="0D03A7D8" w14:textId="77777777" w:rsidR="00C825BD" w:rsidRDefault="00C825BD" w:rsidP="00C825BD">
      <w:pPr>
        <w:pStyle w:val="NoSpacing"/>
        <w:ind w:left="720"/>
        <w:rPr>
          <w:rFonts w:ascii="Times New Roman" w:hAnsi="Times New Roman"/>
          <w:sz w:val="24"/>
          <w:szCs w:val="24"/>
          <w:shd w:val="clear" w:color="auto" w:fill="FFFFFF"/>
        </w:rPr>
      </w:pPr>
    </w:p>
    <w:p w14:paraId="604ABBAB" w14:textId="77777777" w:rsidR="00C825BD" w:rsidRDefault="00C825BD" w:rsidP="00C825B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The defendant will be resentenced; he was originally sentenced to 24 years in prison. The Court wrote:</w:t>
      </w:r>
    </w:p>
    <w:p w14:paraId="2E0E83C9" w14:textId="77777777" w:rsidR="00C825BD" w:rsidRDefault="00C825BD" w:rsidP="00C825BD">
      <w:pPr>
        <w:pStyle w:val="NoSpacing"/>
        <w:ind w:firstLine="720"/>
        <w:rPr>
          <w:rFonts w:ascii="Times New Roman" w:hAnsi="Times New Roman"/>
          <w:sz w:val="24"/>
          <w:szCs w:val="24"/>
          <w:shd w:val="clear" w:color="auto" w:fill="FFFFFF"/>
        </w:rPr>
      </w:pPr>
    </w:p>
    <w:p w14:paraId="7DE288BD" w14:textId="77777777" w:rsidR="00C825BD" w:rsidRDefault="00C825BD" w:rsidP="00C825BD">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t>
      </w:r>
      <w:r w:rsidRPr="0009763F">
        <w:rPr>
          <w:rFonts w:ascii="Times New Roman" w:hAnsi="Times New Roman"/>
          <w:sz w:val="24"/>
          <w:szCs w:val="24"/>
          <w:shd w:val="clear" w:color="auto" w:fill="FFFFFF"/>
        </w:rPr>
        <w:t>We further</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conclude that the government has failed to demonstrate that the error was harmless</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beyond a reasonable doubt as to Mr. Austin’s robbery conviction and his assault-with-intent-to-rob conviction. We are satisfied beyond a reasonable doubt, however,</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that, even without the erroneous admission of the 911 call, a rational jury would have</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found Mr. Austin guilty of burglary and simple assault as a lesser-included offense</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of assault with intent to rob. We therefore reverse Mr. Austin’s robbery and assault-with-intent-to-rob convictions, affirm Mr. Austin’s burglary conviction, and remand</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for entry of a conviction for assault and resentencing.</w:t>
      </w:r>
      <w:r>
        <w:rPr>
          <w:rFonts w:ascii="Times New Roman" w:hAnsi="Times New Roman"/>
          <w:sz w:val="24"/>
          <w:szCs w:val="24"/>
          <w:shd w:val="clear" w:color="auto" w:fill="FFFFFF"/>
        </w:rPr>
        <w:t>”</w:t>
      </w:r>
    </w:p>
    <w:p w14:paraId="61F187E3" w14:textId="77777777" w:rsidR="003C2A76" w:rsidRDefault="003C2A76" w:rsidP="002B1283">
      <w:pPr>
        <w:rPr>
          <w:rFonts w:ascii="Arial Black" w:hAnsi="Arial Black"/>
          <w:b/>
          <w:bCs/>
          <w:sz w:val="28"/>
          <w:szCs w:val="28"/>
        </w:rPr>
      </w:pPr>
    </w:p>
    <w:p w14:paraId="761515CC" w14:textId="77777777" w:rsidR="00E84210" w:rsidRDefault="00E84210" w:rsidP="002B1283">
      <w:pPr>
        <w:rPr>
          <w:rFonts w:ascii="Arial Black" w:hAnsi="Arial Black"/>
          <w:b/>
          <w:bCs/>
          <w:sz w:val="28"/>
          <w:szCs w:val="28"/>
        </w:rPr>
      </w:pPr>
    </w:p>
    <w:p w14:paraId="637F179E" w14:textId="2A42CF44" w:rsidR="00E84210" w:rsidRDefault="00E84210" w:rsidP="002B1283">
      <w:pPr>
        <w:rPr>
          <w:rFonts w:ascii="Arial Black" w:hAnsi="Arial Black"/>
          <w:b/>
          <w:bCs/>
          <w:sz w:val="28"/>
          <w:szCs w:val="28"/>
        </w:rPr>
      </w:pPr>
      <w:r>
        <w:rPr>
          <w:rFonts w:ascii="Arial Black" w:hAnsi="Arial Black"/>
          <w:b/>
          <w:bCs/>
          <w:sz w:val="28"/>
          <w:szCs w:val="28"/>
        </w:rPr>
        <w:t>13-187</w:t>
      </w:r>
    </w:p>
    <w:p w14:paraId="48CE8FED" w14:textId="77777777" w:rsidR="00595A8A" w:rsidRDefault="00595A8A" w:rsidP="00595A8A">
      <w:pPr>
        <w:pStyle w:val="NormalWeb"/>
        <w:rPr>
          <w:rFonts w:ascii="Arial Black" w:hAnsi="Arial Black"/>
          <w:sz w:val="28"/>
          <w:szCs w:val="28"/>
        </w:rPr>
      </w:pPr>
      <w:r>
        <w:rPr>
          <w:rFonts w:ascii="Arial Black" w:hAnsi="Arial Black"/>
          <w:sz w:val="28"/>
          <w:szCs w:val="28"/>
        </w:rPr>
        <w:t>AR:  PATIENT CONV. ASSAULT 2 PHOENIX FF -  PT THEN  SUES 5 PHOENIX FF EXCESSIVE FORCE – CASE PROCEED</w:t>
      </w:r>
    </w:p>
    <w:p w14:paraId="37744F70" w14:textId="77777777" w:rsidR="00595A8A" w:rsidRDefault="00595A8A" w:rsidP="00595A8A">
      <w:pPr>
        <w:pStyle w:val="NormalWeb"/>
      </w:pPr>
      <w:r>
        <w:t xml:space="preserve">On May 30, 2024, in </w:t>
      </w:r>
      <w:r w:rsidRPr="00504191">
        <w:rPr>
          <w:u w:val="single"/>
        </w:rPr>
        <w:t>Alan Troy Nimer v. Justin Broek, et al</w:t>
      </w:r>
      <w:r>
        <w:t>., the U.S. Court of Appeals for the 9</w:t>
      </w:r>
      <w:r w:rsidRPr="00504191">
        <w:rPr>
          <w:vertAlign w:val="superscript"/>
        </w:rPr>
        <w:t>th</w:t>
      </w:r>
      <w:r>
        <w:t xml:space="preserve"> Circuit, held (3 to 0; unpublished decision) that trial court improperly granted defense motion to dismiss.  The patient was convicted in state court of two counts of aggravated assault against two EMS – injuring two firefighters.  The Court held:</w:t>
      </w:r>
    </w:p>
    <w:p w14:paraId="04185B73" w14:textId="77777777" w:rsidR="00595A8A" w:rsidRDefault="00595A8A" w:rsidP="00595A8A">
      <w:pPr>
        <w:pStyle w:val="NormalWeb"/>
        <w:ind w:left="720"/>
      </w:pPr>
      <w:r>
        <w:t xml:space="preserve">“Hence, Nimer's claims are not </w:t>
      </w:r>
      <w:r>
        <w:rPr>
          <w:rStyle w:val="Emphasis"/>
          <w:rFonts w:eastAsiaTheme="majorEastAsia"/>
        </w:rPr>
        <w:t>Heck</w:t>
      </w:r>
      <w:r>
        <w:t xml:space="preserve">-barred because Nimer's success in this action would not </w:t>
      </w:r>
      <w:r>
        <w:rPr>
          <w:rStyle w:val="Emphasis"/>
          <w:rFonts w:eastAsiaTheme="majorEastAsia"/>
        </w:rPr>
        <w:t>necessarily</w:t>
      </w:r>
      <w:r>
        <w:t xml:space="preserve"> contradict his conviction. To the contrary, viewing the evidence in the light most favorable to Nimer, there is a genuine dispute of fact as to whether Defendants engaged in excessive force after Nimer completed the aggravated assault. </w:t>
      </w:r>
      <w:r>
        <w:rPr>
          <w:rStyle w:val="Emphasis"/>
          <w:rFonts w:eastAsiaTheme="majorEastAsia"/>
        </w:rPr>
        <w:t>See Smith</w:t>
      </w:r>
      <w:r>
        <w:t xml:space="preserve">, 394 F.3d at 699. We therefore reverse the district court's grant of summary judgment in favor of Defendants with respect to Nimer's excessive force and unconstitutional seizure claims. We remand for the district court to consider the merits of those claims in the first </w:t>
      </w:r>
      <w:proofErr w:type="gramStart"/>
      <w:r>
        <w:t>instance.”</w:t>
      </w:r>
      <w:proofErr w:type="gramEnd"/>
      <w:r>
        <w:t xml:space="preserve"> </w:t>
      </w:r>
      <w:hyperlink r:id="rId2182" w:history="1">
        <w:r w:rsidRPr="005176E1">
          <w:rPr>
            <w:rStyle w:val="Hyperlink"/>
          </w:rPr>
          <w:t>https://cases.justia.com/federal/appellate-courts/ca9/21-15252/21-15252-2024-05-20.pdf?ts=1716226339</w:t>
        </w:r>
      </w:hyperlink>
      <w:r>
        <w:t xml:space="preserve"> </w:t>
      </w:r>
    </w:p>
    <w:p w14:paraId="07D09180" w14:textId="77777777" w:rsidR="00F039A1" w:rsidRPr="00E62A89" w:rsidRDefault="00F039A1" w:rsidP="00F039A1">
      <w:pPr>
        <w:pStyle w:val="NormalWeb"/>
        <w:rPr>
          <w:b/>
          <w:bCs/>
        </w:rPr>
      </w:pPr>
      <w:r w:rsidRPr="00E62A89">
        <w:rPr>
          <w:b/>
          <w:bCs/>
        </w:rPr>
        <w:t>Legal Lesson Learned:</w:t>
      </w:r>
      <w:r>
        <w:rPr>
          <w:b/>
          <w:bCs/>
        </w:rPr>
        <w:t xml:space="preserve"> Patients assaulting EMS are unfortunately quite common, but a decision allowing a lawsuit to proceed against EMS by a patient convicted for assaulting the EMS is quite rare.  Body cameras could hopefully avoid similar cases. </w:t>
      </w:r>
    </w:p>
    <w:p w14:paraId="4BA94431" w14:textId="77777777" w:rsidR="00E84210" w:rsidRDefault="00E84210" w:rsidP="002B1283">
      <w:pPr>
        <w:rPr>
          <w:rFonts w:ascii="Arial Black" w:hAnsi="Arial Black"/>
          <w:b/>
          <w:bCs/>
          <w:sz w:val="28"/>
          <w:szCs w:val="28"/>
        </w:rPr>
      </w:pPr>
    </w:p>
    <w:p w14:paraId="0308C338" w14:textId="77777777" w:rsidR="00E84210" w:rsidRDefault="00E84210" w:rsidP="002B1283">
      <w:pPr>
        <w:rPr>
          <w:rFonts w:ascii="Arial Black" w:hAnsi="Arial Black"/>
          <w:b/>
          <w:bCs/>
          <w:sz w:val="28"/>
          <w:szCs w:val="28"/>
        </w:rPr>
      </w:pPr>
    </w:p>
    <w:p w14:paraId="66A1EEE4" w14:textId="1DB9FC17" w:rsidR="00D430E2" w:rsidRDefault="00D430E2" w:rsidP="002B1283">
      <w:pPr>
        <w:rPr>
          <w:rFonts w:ascii="Arial Black" w:hAnsi="Arial Black"/>
          <w:b/>
          <w:bCs/>
          <w:sz w:val="28"/>
          <w:szCs w:val="28"/>
        </w:rPr>
      </w:pPr>
      <w:r>
        <w:rPr>
          <w:rFonts w:ascii="Arial Black" w:hAnsi="Arial Black"/>
          <w:b/>
          <w:bCs/>
          <w:sz w:val="28"/>
          <w:szCs w:val="28"/>
        </w:rPr>
        <w:t>13-186</w:t>
      </w:r>
    </w:p>
    <w:p w14:paraId="55E3E808" w14:textId="7F7E572F" w:rsidR="006309AC" w:rsidRPr="0014478E" w:rsidRDefault="006309AC" w:rsidP="006309AC">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NC: P</w:t>
      </w:r>
      <w:r w:rsidR="00C760FE">
        <w:rPr>
          <w:rFonts w:ascii="Arial Black" w:hAnsi="Arial Black"/>
          <w:b/>
          <w:bCs/>
          <w:color w:val="454545"/>
          <w:sz w:val="28"/>
          <w:szCs w:val="28"/>
          <w:shd w:val="clear" w:color="auto" w:fill="FFFFFF"/>
        </w:rPr>
        <w:t>T</w:t>
      </w:r>
      <w:r>
        <w:rPr>
          <w:rFonts w:ascii="Arial Black" w:hAnsi="Arial Black"/>
          <w:b/>
          <w:bCs/>
          <w:color w:val="454545"/>
          <w:sz w:val="28"/>
          <w:szCs w:val="28"/>
          <w:shd w:val="clear" w:color="auto" w:fill="FFFFFF"/>
        </w:rPr>
        <w:t xml:space="preserve"> CONVICTED ASSAULTING “EMT” DURING TRANSPORT –ASSAULT ON “PARAMEDIC”</w:t>
      </w:r>
      <w:r w:rsidR="00C760FE">
        <w:rPr>
          <w:rFonts w:ascii="Arial Black" w:hAnsi="Arial Black"/>
          <w:b/>
          <w:bCs/>
          <w:color w:val="454545"/>
          <w:sz w:val="28"/>
          <w:szCs w:val="28"/>
          <w:shd w:val="clear" w:color="auto" w:fill="FFFFFF"/>
        </w:rPr>
        <w:t xml:space="preserve"> INCLUDES EMT</w:t>
      </w:r>
    </w:p>
    <w:p w14:paraId="23494D8E" w14:textId="77777777" w:rsidR="006309AC" w:rsidRDefault="006309AC" w:rsidP="006309AC">
      <w:pPr>
        <w:pStyle w:val="NormalWeb"/>
        <w:spacing w:before="0" w:beforeAutospacing="0"/>
      </w:pPr>
      <w:r>
        <w:t xml:space="preserve">On May 21, 2024, in </w:t>
      </w:r>
      <w:r w:rsidRPr="00782B8A">
        <w:rPr>
          <w:u w:val="single"/>
        </w:rPr>
        <w:t>State of North Carolina v. Rachel Shalom Juran</w:t>
      </w:r>
      <w:r>
        <w:t>, the Court of Appeals of North Carolina held (3 to 0) that under N.C. statutes, assault on a paramedic is considered an assault on an EMT.  During transport, the defendant became agitated and forcefully grabbed and squeezed the paramedic’s hand, and the ambulance driver had to pull over to assist the medic.  The EMS Supervisor came to scene along with PD and rode in ambulance to hospital.  When the patient was released from hospital she was arrested.  Jury convicted but Judge only sentenced her to 6 to 17 months' imprisonment suspended for 24 months' supervised probation The Court held:</w:t>
      </w:r>
    </w:p>
    <w:p w14:paraId="4E310179" w14:textId="77777777" w:rsidR="006309AC" w:rsidRDefault="006309AC" w:rsidP="006309AC">
      <w:pPr>
        <w:pStyle w:val="NormalWeb"/>
        <w:spacing w:before="0" w:beforeAutospacing="0"/>
        <w:ind w:left="720"/>
      </w:pPr>
      <w:r>
        <w:t xml:space="preserve">“Here, Defendant was charged with assault on an EMT as the indictment stated, in relevant part, Defendant "unlawfully, willfully and feloniously did assault [Lueth], an emergency medical technician[.]"  Notably, although N.C. Gen. Stat. § 14-34.6 does not specifically define emergency medical technician, other statutes within this same chapter define ‘emergency medical technician’ to include a paramedic. </w:t>
      </w:r>
      <w:r>
        <w:rPr>
          <w:rStyle w:val="Emphasis"/>
          <w:rFonts w:eastAsiaTheme="majorEastAsia"/>
        </w:rPr>
        <w:t>See</w:t>
      </w:r>
      <w:r>
        <w:t xml:space="preserve"> N.C. Gen. Stat. § 14-69.3(a)(1) (2023). Nonetheless, even if ‘emergency medical technician’ as applied under N.C. Gen. Stat. § 14-34.6 was not intended to include paramedics, whether the victim was an emergency medical technician or paramedic is a distinction without difference for the purpose of the charging statute. While we recognize the credentials of a paramedic differ from those of an EMT, the gist of the offense at issue remains the same notwithstanding the victim's credentials. </w:t>
      </w:r>
      <w:r>
        <w:rPr>
          <w:rStyle w:val="Emphasis"/>
          <w:rFonts w:eastAsiaTheme="majorEastAsia"/>
        </w:rPr>
        <w:t>See</w:t>
      </w:r>
      <w:r>
        <w:t xml:space="preserve"> N.C. Gen. Stat. § 131E-155(10), (15a) (2023). Moreover, Defendant would be charged under the same statute regardless of whether she assaulted a paramedic or an EMT.” </w:t>
      </w:r>
      <w:hyperlink r:id="rId2183" w:history="1">
        <w:r w:rsidRPr="004F7BC4">
          <w:rPr>
            <w:rStyle w:val="Hyperlink"/>
          </w:rPr>
          <w:t>https://cases.justia.com/north-carolina/court-of-appeals/2024-23-881.pdf?ts=1716294565</w:t>
        </w:r>
      </w:hyperlink>
      <w:r>
        <w:t xml:space="preserve"> </w:t>
      </w:r>
    </w:p>
    <w:p w14:paraId="1060F4F2" w14:textId="77777777" w:rsidR="00E84210" w:rsidRPr="00CD320B" w:rsidRDefault="00E84210" w:rsidP="00E84210">
      <w:pPr>
        <w:spacing w:after="100" w:line="240" w:lineRule="auto"/>
        <w:rPr>
          <w:rFonts w:ascii="Times New Roman" w:eastAsia="Times New Roman" w:hAnsi="Times New Roman"/>
          <w:b/>
          <w:bCs/>
          <w:sz w:val="24"/>
          <w:szCs w:val="24"/>
        </w:rPr>
      </w:pPr>
      <w:r w:rsidRPr="0090745C">
        <w:rPr>
          <w:rFonts w:ascii="Times New Roman" w:hAnsi="Times New Roman"/>
          <w:b/>
          <w:bCs/>
          <w:sz w:val="24"/>
          <w:szCs w:val="24"/>
        </w:rPr>
        <w:t>Legal Lesson Learned:</w:t>
      </w:r>
      <w:r>
        <w:rPr>
          <w:rFonts w:ascii="Times New Roman" w:hAnsi="Times New Roman"/>
          <w:b/>
          <w:bCs/>
          <w:sz w:val="24"/>
          <w:szCs w:val="24"/>
        </w:rPr>
        <w:t xml:space="preserve"> </w:t>
      </w:r>
      <w:r w:rsidRPr="00CD320B">
        <w:rPr>
          <w:rFonts w:ascii="Times New Roman" w:hAnsi="Times New Roman"/>
          <w:b/>
          <w:bCs/>
          <w:sz w:val="24"/>
          <w:szCs w:val="24"/>
        </w:rPr>
        <w:t>Strange appeal the NC statute clearly applies to “</w:t>
      </w:r>
      <w:r w:rsidRPr="00CD320B">
        <w:rPr>
          <w:rFonts w:ascii="Times New Roman" w:eastAsia="Times New Roman" w:hAnsi="Times New Roman"/>
          <w:b/>
          <w:bCs/>
          <w:sz w:val="24"/>
          <w:szCs w:val="24"/>
        </w:rPr>
        <w:t>An emergency medical technician or other emergency health care provider.”</w:t>
      </w:r>
    </w:p>
    <w:p w14:paraId="14447272" w14:textId="77777777" w:rsidR="00D430E2" w:rsidRDefault="00D430E2" w:rsidP="002B1283">
      <w:pPr>
        <w:rPr>
          <w:rFonts w:ascii="Arial Black" w:hAnsi="Arial Black"/>
          <w:b/>
          <w:bCs/>
          <w:sz w:val="28"/>
          <w:szCs w:val="28"/>
        </w:rPr>
      </w:pPr>
    </w:p>
    <w:p w14:paraId="5BB736C3" w14:textId="173E6478" w:rsidR="00766805" w:rsidRDefault="00766805" w:rsidP="001C2F88">
      <w:pPr>
        <w:rPr>
          <w:rFonts w:ascii="Arial Black" w:hAnsi="Arial Black"/>
          <w:sz w:val="28"/>
          <w:szCs w:val="28"/>
        </w:rPr>
      </w:pPr>
      <w:r>
        <w:rPr>
          <w:rFonts w:ascii="Arial Black" w:hAnsi="Arial Black"/>
          <w:sz w:val="28"/>
          <w:szCs w:val="28"/>
        </w:rPr>
        <w:t>13</w:t>
      </w:r>
      <w:r w:rsidR="00ED5101">
        <w:rPr>
          <w:rFonts w:ascii="Arial Black" w:hAnsi="Arial Black"/>
          <w:sz w:val="28"/>
          <w:szCs w:val="28"/>
        </w:rPr>
        <w:t>-185</w:t>
      </w:r>
    </w:p>
    <w:p w14:paraId="50D1284C" w14:textId="77777777" w:rsidR="003358D9" w:rsidRDefault="003358D9" w:rsidP="003358D9">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PA: DISPATCHER SENT WRONG AMBULANCE – 1 HOUR AWAY – PREGANT PATIENT LOST BABY – NOT FED. CASE</w:t>
      </w:r>
    </w:p>
    <w:p w14:paraId="0303BB56" w14:textId="77777777" w:rsidR="003358D9" w:rsidRDefault="003358D9" w:rsidP="003358D9">
      <w:pPr>
        <w:pStyle w:val="NormalWeb"/>
        <w:spacing w:before="0" w:beforeAutospacing="0"/>
      </w:pPr>
      <w:r>
        <w:rPr>
          <w:color w:val="454545"/>
          <w:shd w:val="clear" w:color="auto" w:fill="FFFFFF"/>
        </w:rPr>
        <w:t xml:space="preserve">On May 15, 2024, in </w:t>
      </w:r>
      <w:r w:rsidRPr="005F31AE">
        <w:rPr>
          <w:color w:val="454545"/>
          <w:u w:val="single"/>
          <w:shd w:val="clear" w:color="auto" w:fill="FFFFFF"/>
        </w:rPr>
        <w:t>Chad Reiner and Stephanie Reiner v. Northumberland County, et al</w:t>
      </w:r>
      <w:r>
        <w:rPr>
          <w:color w:val="454545"/>
          <w:shd w:val="clear" w:color="auto" w:fill="FFFFFF"/>
        </w:rPr>
        <w:t xml:space="preserve">., Chief United States District Court Judge </w:t>
      </w:r>
      <w:r>
        <w:t>Matthew W. Brann dismissed the lawsuit, which can now be filed in state court.  The dispatcher failed to notify the closest ambulance (10 miles) or the second ambulance (24 miles</w:t>
      </w:r>
      <w:proofErr w:type="gramStart"/>
      <w:r>
        <w:t>), but</w:t>
      </w:r>
      <w:proofErr w:type="gramEnd"/>
      <w:r>
        <w:t xml:space="preserve"> instead toned out ambulance in Harrisburg that took one hour to arrive.  The patient was bleeding out and repeatedly called 911, but dispatcher refused to advise location of responding ambulance.  The Court held:</w:t>
      </w:r>
    </w:p>
    <w:p w14:paraId="41368FE9" w14:textId="77777777" w:rsidR="003358D9" w:rsidRDefault="003358D9" w:rsidP="003358D9">
      <w:pPr>
        <w:pStyle w:val="NormalWeb"/>
        <w:spacing w:before="0" w:beforeAutospacing="0"/>
        <w:ind w:left="720"/>
      </w:pPr>
      <w:r>
        <w:t xml:space="preserve">“The law does not always align with what one may believe is right, just, or fair. This painful fact is the necessary reality of a well-ordered legal system. In this case, the careless conduct of a 911 dispatcher led to </w:t>
      </w:r>
      <w:proofErr w:type="gramStart"/>
      <w:r>
        <w:t>a terrible tragedy</w:t>
      </w:r>
      <w:proofErr w:type="gramEnd"/>
      <w:r>
        <w:t xml:space="preserve">. But for the individual citizen, the United States Constitution is mainly a charter of negative liberties. It provides no remedy for this harm. Nor is federal court an appropriate forum to talk through </w:t>
      </w:r>
      <w:proofErr w:type="gramStart"/>
      <w:r>
        <w:t>questions of state</w:t>
      </w:r>
      <w:proofErr w:type="gramEnd"/>
      <w:r>
        <w:t xml:space="preserve"> law. </w:t>
      </w:r>
      <w:proofErr w:type="gramStart"/>
      <w:r>
        <w:t>So</w:t>
      </w:r>
      <w:proofErr w:type="gramEnd"/>
      <w:r>
        <w:t xml:space="preserve"> this lawsuit is dismissed with prejudice.</w:t>
      </w:r>
    </w:p>
    <w:p w14:paraId="653BA3ED" w14:textId="77777777" w:rsidR="003358D9" w:rsidRDefault="003358D9" w:rsidP="003358D9">
      <w:pPr>
        <w:pStyle w:val="NormalWeb"/>
        <w:spacing w:before="0" w:beforeAutospacing="0"/>
        <w:ind w:left="720"/>
      </w:pPr>
      <w:r>
        <w:t>***</w:t>
      </w:r>
    </w:p>
    <w:p w14:paraId="3C0CBA7A" w14:textId="77777777" w:rsidR="003358D9" w:rsidRDefault="003358D9" w:rsidP="003358D9">
      <w:pPr>
        <w:pStyle w:val="NormalWeb"/>
        <w:spacing w:before="0" w:beforeAutospacing="0"/>
        <w:ind w:left="720"/>
      </w:pPr>
      <w:r>
        <w:t>Plaintiffs' Section 1983 claims fail because they have alleged no violation of their federal constitutional rights. Because there are no surviving federal claims, the Court declines to exercise supplemental jurisdiction over Plaintiffs' state law claims.</w:t>
      </w:r>
    </w:p>
    <w:p w14:paraId="4F5AAC11" w14:textId="77777777" w:rsidR="003358D9" w:rsidRDefault="003358D9" w:rsidP="003358D9">
      <w:pPr>
        <w:pStyle w:val="NormalWeb"/>
        <w:spacing w:before="0" w:beforeAutospacing="0"/>
        <w:ind w:left="720"/>
      </w:pPr>
      <w:r>
        <w:t>***</w:t>
      </w:r>
    </w:p>
    <w:p w14:paraId="6487E888" w14:textId="77777777" w:rsidR="003358D9" w:rsidRDefault="003358D9" w:rsidP="003358D9">
      <w:pPr>
        <w:pStyle w:val="NormalWeb"/>
        <w:ind w:left="720"/>
      </w:pPr>
      <w:r>
        <w:t xml:space="preserve">The Third Circuit has long-standing precedent that there is no constitutional right to receive emergency ambulance services, nor is there ‘an affirmative obligation on the State to provide competent rescue services if it chooses to provide them.’  </w:t>
      </w:r>
      <w:proofErr w:type="gramStart"/>
      <w:r>
        <w:t>So</w:t>
      </w:r>
      <w:proofErr w:type="gramEnd"/>
      <w:r>
        <w:t xml:space="preserve"> any injuries resulting from flawed or incompetent emergency rescue services are not constitutional injuries, and hence not actionable under Section 1983. Plaintiffs' argument that they only waited an hour for the ambulance because they did not know it would take so long requires a closer analysis of this Circuit's ‘state-created danger’ theory of liability. </w:t>
      </w:r>
    </w:p>
    <w:p w14:paraId="4CF099E0" w14:textId="77777777" w:rsidR="003358D9" w:rsidRDefault="003358D9" w:rsidP="003358D9">
      <w:pPr>
        <w:pStyle w:val="NormalWeb"/>
        <w:ind w:left="720"/>
      </w:pPr>
      <w:r>
        <w:t>***</w:t>
      </w:r>
    </w:p>
    <w:p w14:paraId="454BF281" w14:textId="77777777" w:rsidR="003358D9" w:rsidRDefault="003358D9" w:rsidP="003358D9">
      <w:pPr>
        <w:pStyle w:val="NormalWeb"/>
        <w:ind w:left="720"/>
      </w:pPr>
      <w:r>
        <w:t xml:space="preserve">Nothing of </w:t>
      </w:r>
      <w:proofErr w:type="gramStart"/>
      <w:r>
        <w:t>the</w:t>
      </w:r>
      <w:proofErr w:type="gramEnd"/>
      <w:r>
        <w:t xml:space="preserve"> kind is alleged here. Stephanie Reiner was not such a vulnerable person even while injured, the state does not assume responsibility over injured </w:t>
      </w:r>
      <w:proofErr w:type="gramStart"/>
      <w:r>
        <w:t>persons</w:t>
      </w:r>
      <w:proofErr w:type="gramEnd"/>
      <w:r>
        <w:t xml:space="preserve"> by offering assurances, and no would-be protector was displaced. Accordingly, Plaintiffs' Section 1983 claim fails under the state-created danger theory of liability. </w:t>
      </w:r>
    </w:p>
    <w:p w14:paraId="0DA30753" w14:textId="77777777" w:rsidR="003358D9" w:rsidRDefault="003358D9" w:rsidP="003358D9">
      <w:pPr>
        <w:pStyle w:val="NormalWeb"/>
        <w:ind w:left="720"/>
      </w:pPr>
      <w:r>
        <w:t>***</w:t>
      </w:r>
    </w:p>
    <w:p w14:paraId="6DBAC9D2" w14:textId="425CA111" w:rsidR="00ED5101" w:rsidRDefault="003358D9" w:rsidP="003358D9">
      <w:pPr>
        <w:ind w:left="720"/>
        <w:rPr>
          <w:rStyle w:val="Hyperlink"/>
          <w:rFonts w:ascii="Times New Roman" w:hAnsi="Times New Roman"/>
          <w:sz w:val="24"/>
          <w:szCs w:val="24"/>
        </w:rPr>
      </w:pPr>
      <w:r w:rsidRPr="003358D9">
        <w:rPr>
          <w:rFonts w:ascii="Times New Roman" w:hAnsi="Times New Roman"/>
          <w:sz w:val="24"/>
          <w:szCs w:val="24"/>
        </w:rPr>
        <w:t xml:space="preserve">The Court has great sympathy for the hardship Plaintiffs have suffered, but their case does not belong in federal court because they have not plausibly alleged any violation of the United States Constitution.” </w:t>
      </w:r>
      <w:hyperlink r:id="rId2184" w:history="1">
        <w:r w:rsidRPr="003358D9">
          <w:rPr>
            <w:rStyle w:val="Hyperlink"/>
            <w:rFonts w:ascii="Times New Roman" w:hAnsi="Times New Roman"/>
            <w:sz w:val="24"/>
            <w:szCs w:val="24"/>
          </w:rPr>
          <w:t>https://webservices.courthousenews.com/sites/Data/AppellateOpinionUploads/2024-17-5--13-46-27-048b5eb5-2700-4a37-ac11-5deaa284f5ce.pdf</w:t>
        </w:r>
      </w:hyperlink>
    </w:p>
    <w:p w14:paraId="18DC104C" w14:textId="77777777" w:rsidR="00D430E2" w:rsidRDefault="00D430E2" w:rsidP="00D430E2">
      <w:pPr>
        <w:pStyle w:val="NormalWeb"/>
        <w:rPr>
          <w:b/>
          <w:bCs/>
        </w:rPr>
      </w:pPr>
      <w:r>
        <w:rPr>
          <w:b/>
          <w:bCs/>
        </w:rPr>
        <w:t>Legal Lesson Learned: Dispatch protocol should require nearest ambulance be called [10 miles in this case], and if not available, then next nearest ambulance [24 miles].</w:t>
      </w:r>
    </w:p>
    <w:p w14:paraId="4D6A0356" w14:textId="77777777" w:rsidR="00D430E2" w:rsidRDefault="00D430E2" w:rsidP="00D430E2">
      <w:pPr>
        <w:pStyle w:val="NormalWeb"/>
        <w:ind w:left="720"/>
      </w:pPr>
      <w:r>
        <w:t>Note: Dispatch protocol was corrected after this run, and a change in management. The Court wrote:</w:t>
      </w:r>
    </w:p>
    <w:p w14:paraId="770ECEE8" w14:textId="77777777" w:rsidR="00D430E2" w:rsidRPr="00126FA6" w:rsidRDefault="00D430E2" w:rsidP="00D430E2">
      <w:pPr>
        <w:pStyle w:val="NormalWeb"/>
        <w:ind w:left="1440"/>
        <w:rPr>
          <w:vertAlign w:val="superscript"/>
        </w:rPr>
      </w:pPr>
      <w:r>
        <w:t>“The Northumberland County District Attorney's Office investigated the incident. In October 2022, the Northumberland County Fire Chiefs Association's vice president claimed that mismanagement of the 911 Center had placed the public in danger; another fire chief expressed concern that mismanagement of the 911 Center would result in civilian death. At this same meeting, fire officials aired grievances concerning prolonged dispatch times and significant dispatcher turnover, and called for Fellman's termination [Russell Fellman, the 911 Coordinator in charge of the Northumberland County 911 Center]. Fellman resigned as 911 Coordinator in December 2022.”</w:t>
      </w:r>
    </w:p>
    <w:p w14:paraId="02E4A6B5" w14:textId="77777777" w:rsidR="00D430E2" w:rsidRPr="003358D9" w:rsidRDefault="00D430E2" w:rsidP="003358D9">
      <w:pPr>
        <w:ind w:left="720"/>
        <w:rPr>
          <w:rFonts w:ascii="Times New Roman" w:hAnsi="Times New Roman"/>
          <w:sz w:val="24"/>
          <w:szCs w:val="24"/>
        </w:rPr>
      </w:pPr>
    </w:p>
    <w:p w14:paraId="4814F1E8" w14:textId="77777777" w:rsidR="00766805" w:rsidRDefault="00766805" w:rsidP="001C2F88">
      <w:pPr>
        <w:rPr>
          <w:rFonts w:ascii="Arial Black" w:hAnsi="Arial Black"/>
          <w:sz w:val="28"/>
          <w:szCs w:val="28"/>
        </w:rPr>
      </w:pPr>
    </w:p>
    <w:p w14:paraId="6D29D3A9" w14:textId="77777777" w:rsidR="00766805" w:rsidRDefault="00766805" w:rsidP="001C2F88">
      <w:pPr>
        <w:rPr>
          <w:rFonts w:ascii="Arial Black" w:hAnsi="Arial Black"/>
          <w:sz w:val="28"/>
          <w:szCs w:val="28"/>
        </w:rPr>
      </w:pPr>
    </w:p>
    <w:p w14:paraId="6615AD5E" w14:textId="66913EF9" w:rsidR="001C2F88" w:rsidRPr="001C2F88" w:rsidRDefault="001C2F88" w:rsidP="001C2F88">
      <w:pPr>
        <w:rPr>
          <w:rFonts w:ascii="Arial Black" w:hAnsi="Arial Black"/>
          <w:sz w:val="28"/>
          <w:szCs w:val="28"/>
        </w:rPr>
      </w:pPr>
      <w:r w:rsidRPr="001C2F88">
        <w:rPr>
          <w:rFonts w:ascii="Arial Black" w:hAnsi="Arial Black"/>
          <w:sz w:val="28"/>
          <w:szCs w:val="28"/>
        </w:rPr>
        <w:t>13-184</w:t>
      </w:r>
    </w:p>
    <w:p w14:paraId="635A756C" w14:textId="68A8E3F6" w:rsidR="001C2F88" w:rsidRPr="00C82AB6" w:rsidRDefault="001C2F88" w:rsidP="001C2F88">
      <w:pPr>
        <w:rPr>
          <w:rFonts w:ascii="Arial Black" w:hAnsi="Arial Black"/>
          <w:sz w:val="28"/>
          <w:szCs w:val="28"/>
        </w:rPr>
      </w:pPr>
      <w:r>
        <w:rPr>
          <w:rFonts w:ascii="Arial Black" w:hAnsi="Arial Black"/>
          <w:sz w:val="28"/>
          <w:szCs w:val="28"/>
        </w:rPr>
        <w:t xml:space="preserve">OH: COLUMBUS PD - NO FIRST AID AFTER SHOOTING SUICIDE MAN 5 TIMES  / NO IMMUN. - WHITLE CASTLE CASE </w:t>
      </w:r>
    </w:p>
    <w:p w14:paraId="20578C2C" w14:textId="77777777" w:rsidR="001C2F88" w:rsidRPr="009B4A97" w:rsidRDefault="001C2F88" w:rsidP="001C2F88">
      <w:pPr>
        <w:rPr>
          <w:rFonts w:ascii="Times New Roman" w:hAnsi="Times New Roman"/>
          <w:color w:val="454545"/>
          <w:sz w:val="24"/>
          <w:szCs w:val="24"/>
          <w:shd w:val="clear" w:color="auto" w:fill="FFFFFF"/>
        </w:rPr>
      </w:pPr>
      <w:r w:rsidRPr="009B4A97">
        <w:rPr>
          <w:rFonts w:ascii="Times New Roman" w:hAnsi="Times New Roman"/>
          <w:sz w:val="24"/>
          <w:szCs w:val="24"/>
        </w:rPr>
        <w:t xml:space="preserve">On April 29, 2024, in </w:t>
      </w:r>
      <w:r w:rsidRPr="00C275FC">
        <w:rPr>
          <w:rFonts w:ascii="Times New Roman" w:hAnsi="Times New Roman"/>
          <w:sz w:val="24"/>
          <w:szCs w:val="24"/>
          <w:u w:val="single"/>
        </w:rPr>
        <w:t xml:space="preserve">Ken Heeter, </w:t>
      </w:r>
      <w:r>
        <w:rPr>
          <w:rFonts w:ascii="Times New Roman" w:hAnsi="Times New Roman"/>
          <w:sz w:val="24"/>
          <w:szCs w:val="24"/>
          <w:u w:val="single"/>
        </w:rPr>
        <w:t>a</w:t>
      </w:r>
      <w:r w:rsidRPr="00C275FC">
        <w:rPr>
          <w:rFonts w:ascii="Times New Roman" w:hAnsi="Times New Roman"/>
          <w:sz w:val="24"/>
          <w:szCs w:val="24"/>
          <w:u w:val="single"/>
        </w:rPr>
        <w:t xml:space="preserve">s Administrator </w:t>
      </w:r>
      <w:r>
        <w:rPr>
          <w:rFonts w:ascii="Times New Roman" w:hAnsi="Times New Roman"/>
          <w:sz w:val="24"/>
          <w:szCs w:val="24"/>
          <w:u w:val="single"/>
        </w:rPr>
        <w:t>o</w:t>
      </w:r>
      <w:r w:rsidRPr="00C275FC">
        <w:rPr>
          <w:rFonts w:ascii="Times New Roman" w:hAnsi="Times New Roman"/>
          <w:sz w:val="24"/>
          <w:szCs w:val="24"/>
          <w:u w:val="single"/>
        </w:rPr>
        <w:t xml:space="preserve">f </w:t>
      </w:r>
      <w:r>
        <w:rPr>
          <w:rFonts w:ascii="Times New Roman" w:hAnsi="Times New Roman"/>
          <w:sz w:val="24"/>
          <w:szCs w:val="24"/>
          <w:u w:val="single"/>
        </w:rPr>
        <w:t>t</w:t>
      </w:r>
      <w:r w:rsidRPr="00C275FC">
        <w:rPr>
          <w:rFonts w:ascii="Times New Roman" w:hAnsi="Times New Roman"/>
          <w:sz w:val="24"/>
          <w:szCs w:val="24"/>
          <w:u w:val="single"/>
        </w:rPr>
        <w:t>he estate of Bill G. Heeter, et al. v. Kenneth Bowers, individually and in his capacity as an employee of the City of Columbus, Ohio; Columbus Police Department</w:t>
      </w:r>
      <w:r w:rsidRPr="009B4A97">
        <w:rPr>
          <w:rFonts w:ascii="Times New Roman" w:hAnsi="Times New Roman"/>
          <w:sz w:val="24"/>
          <w:szCs w:val="24"/>
        </w:rPr>
        <w:t>, the U.S. Court of Appeals for the 6</w:t>
      </w:r>
      <w:r w:rsidRPr="009B4A97">
        <w:rPr>
          <w:rFonts w:ascii="Times New Roman" w:hAnsi="Times New Roman"/>
          <w:sz w:val="24"/>
          <w:szCs w:val="24"/>
          <w:vertAlign w:val="superscript"/>
        </w:rPr>
        <w:t>th</w:t>
      </w:r>
      <w:r w:rsidRPr="009B4A97">
        <w:rPr>
          <w:rFonts w:ascii="Times New Roman" w:hAnsi="Times New Roman"/>
          <w:sz w:val="24"/>
          <w:szCs w:val="24"/>
        </w:rPr>
        <w:t xml:space="preserve"> Circuit (Cincinnati), held </w:t>
      </w:r>
      <w:r>
        <w:rPr>
          <w:rFonts w:ascii="Times New Roman" w:hAnsi="Times New Roman"/>
          <w:sz w:val="24"/>
          <w:szCs w:val="24"/>
        </w:rPr>
        <w:t>(</w:t>
      </w:r>
      <w:r w:rsidRPr="009B4A97">
        <w:rPr>
          <w:rFonts w:ascii="Times New Roman" w:hAnsi="Times New Roman"/>
          <w:sz w:val="24"/>
          <w:szCs w:val="24"/>
        </w:rPr>
        <w:t>2 to 1</w:t>
      </w:r>
      <w:r>
        <w:rPr>
          <w:rFonts w:ascii="Times New Roman" w:hAnsi="Times New Roman"/>
          <w:sz w:val="24"/>
          <w:szCs w:val="24"/>
        </w:rPr>
        <w:t xml:space="preserve">) that trial court judge properly denied officer’s motion for summary judgment who shot the man five times with M-16 service rifle; jury will decide if officer used excessive force, and whether he should have rendered basic first aid.  The City of Columbus was dismissed from case based on municipal immunity. </w:t>
      </w:r>
      <w:hyperlink r:id="rId2185" w:history="1">
        <w:r w:rsidRPr="007C1F1F">
          <w:rPr>
            <w:rStyle w:val="Hyperlink"/>
            <w:rFonts w:ascii="Times New Roman" w:hAnsi="Times New Roman"/>
            <w:sz w:val="24"/>
            <w:szCs w:val="24"/>
            <w:shd w:val="clear" w:color="auto" w:fill="FFFFFF"/>
          </w:rPr>
          <w:t>https://www.opn.ca6.uscourts.gov/opinions.pdf/24a0095p-06.pdf</w:t>
        </w:r>
      </w:hyperlink>
      <w:r w:rsidRPr="009B4A97">
        <w:rPr>
          <w:rFonts w:ascii="Times New Roman" w:hAnsi="Times New Roman"/>
          <w:color w:val="454545"/>
          <w:sz w:val="24"/>
          <w:szCs w:val="24"/>
          <w:shd w:val="clear" w:color="auto" w:fill="FFFFFF"/>
        </w:rPr>
        <w:t xml:space="preserve"> </w:t>
      </w:r>
    </w:p>
    <w:p w14:paraId="59A948F4" w14:textId="77777777" w:rsidR="001C2F88" w:rsidRDefault="001C2F88" w:rsidP="001C2F88">
      <w:pPr>
        <w:pStyle w:val="NormalWeb"/>
        <w:ind w:left="720"/>
      </w:pPr>
      <w:r w:rsidRPr="00B12AE6">
        <w:t xml:space="preserve">The Court referenced the infamous case where Cincinnati PD </w:t>
      </w:r>
      <w:r>
        <w:t xml:space="preserve">on Nov. 30, </w:t>
      </w:r>
      <w:proofErr w:type="gramStart"/>
      <w:r>
        <w:t>2003</w:t>
      </w:r>
      <w:proofErr w:type="gramEnd"/>
      <w:r>
        <w:t xml:space="preserve"> responded </w:t>
      </w:r>
      <w:proofErr w:type="gramStart"/>
      <w:r>
        <w:t>at</w:t>
      </w:r>
      <w:proofErr w:type="gramEnd"/>
      <w:r>
        <w:t xml:space="preserve"> FD request to White Castle where 350-pound Nataniel Jones was acting erratically. The violent struggle resulting in his death was recorded and video shown nationwide by many news outlets. </w:t>
      </w:r>
      <w:hyperlink r:id="rId2186" w:history="1">
        <w:r w:rsidRPr="00466FE4">
          <w:rPr>
            <w:rStyle w:val="Hyperlink"/>
          </w:rPr>
          <w:t>https://www.youtube.com/watch?v=o3-MrFOLXFs</w:t>
        </w:r>
      </w:hyperlink>
      <w:r>
        <w:t xml:space="preserve">.  The Fire Engine that had arrived first left the scene and returned to quarters.  </w:t>
      </w:r>
    </w:p>
    <w:p w14:paraId="4E6091BB" w14:textId="77777777" w:rsidR="001C2F88" w:rsidRPr="0019507E" w:rsidRDefault="001C2F88" w:rsidP="001C2F88">
      <w:pPr>
        <w:pStyle w:val="NoSpacing"/>
        <w:ind w:firstLine="720"/>
        <w:rPr>
          <w:rFonts w:ascii="Times New Roman" w:hAnsi="Times New Roman"/>
          <w:sz w:val="24"/>
          <w:szCs w:val="24"/>
        </w:rPr>
      </w:pPr>
      <w:r>
        <w:rPr>
          <w:rFonts w:ascii="Times New Roman" w:hAnsi="Times New Roman"/>
          <w:sz w:val="24"/>
          <w:szCs w:val="24"/>
        </w:rPr>
        <w:t>“</w:t>
      </w:r>
      <w:r w:rsidRPr="0019507E">
        <w:rPr>
          <w:rFonts w:ascii="Times New Roman" w:hAnsi="Times New Roman"/>
          <w:sz w:val="24"/>
          <w:szCs w:val="24"/>
        </w:rPr>
        <w:t>Officers Pike and Slade sprayed chemical irritant in Jones’s face while he was prone in</w:t>
      </w:r>
    </w:p>
    <w:p w14:paraId="69C38BA5" w14:textId="77777777" w:rsidR="001C2F88" w:rsidRPr="0019507E" w:rsidRDefault="001C2F88" w:rsidP="001C2F88">
      <w:pPr>
        <w:pStyle w:val="NoSpacing"/>
        <w:ind w:left="720"/>
        <w:rPr>
          <w:rFonts w:ascii="Times New Roman" w:hAnsi="Times New Roman"/>
          <w:sz w:val="24"/>
          <w:szCs w:val="24"/>
        </w:rPr>
      </w:pPr>
      <w:proofErr w:type="gramStart"/>
      <w:r w:rsidRPr="0019507E">
        <w:rPr>
          <w:rFonts w:ascii="Times New Roman" w:hAnsi="Times New Roman"/>
          <w:sz w:val="24"/>
          <w:szCs w:val="24"/>
        </w:rPr>
        <w:t>handcuffs and while</w:t>
      </w:r>
      <w:proofErr w:type="gramEnd"/>
      <w:r w:rsidRPr="0019507E">
        <w:rPr>
          <w:rFonts w:ascii="Times New Roman" w:hAnsi="Times New Roman"/>
          <w:sz w:val="24"/>
          <w:szCs w:val="24"/>
        </w:rPr>
        <w:t xml:space="preserve"> officers Pike, Osterman, Abrams, Reese, Slade, and Jay Johnstone used their</w:t>
      </w:r>
      <w:r>
        <w:rPr>
          <w:rFonts w:ascii="Times New Roman" w:hAnsi="Times New Roman"/>
          <w:sz w:val="24"/>
          <w:szCs w:val="24"/>
        </w:rPr>
        <w:t xml:space="preserve"> </w:t>
      </w:r>
      <w:r w:rsidRPr="0019507E">
        <w:rPr>
          <w:rFonts w:ascii="Times New Roman" w:hAnsi="Times New Roman"/>
          <w:sz w:val="24"/>
          <w:szCs w:val="24"/>
        </w:rPr>
        <w:t>combined weight to hold him down. Their weight restricted the movement of Jones’s diaphragm</w:t>
      </w:r>
      <w:r>
        <w:rPr>
          <w:rFonts w:ascii="Times New Roman" w:hAnsi="Times New Roman"/>
          <w:sz w:val="24"/>
          <w:szCs w:val="24"/>
        </w:rPr>
        <w:t xml:space="preserve"> </w:t>
      </w:r>
      <w:r w:rsidRPr="0019507E">
        <w:rPr>
          <w:rFonts w:ascii="Times New Roman" w:hAnsi="Times New Roman"/>
          <w:sz w:val="24"/>
          <w:szCs w:val="24"/>
        </w:rPr>
        <w:t xml:space="preserve">and made it difficult for him to breathe. Jones struggled to twist his body under the officers </w:t>
      </w:r>
      <w:proofErr w:type="gramStart"/>
      <w:r w:rsidRPr="0019507E">
        <w:rPr>
          <w:rFonts w:ascii="Times New Roman" w:hAnsi="Times New Roman"/>
          <w:sz w:val="24"/>
          <w:szCs w:val="24"/>
        </w:rPr>
        <w:t>in an</w:t>
      </w:r>
      <w:r>
        <w:rPr>
          <w:rFonts w:ascii="Times New Roman" w:hAnsi="Times New Roman"/>
          <w:sz w:val="24"/>
          <w:szCs w:val="24"/>
        </w:rPr>
        <w:t xml:space="preserve"> </w:t>
      </w:r>
      <w:r w:rsidRPr="0019507E">
        <w:rPr>
          <w:rFonts w:ascii="Times New Roman" w:hAnsi="Times New Roman"/>
          <w:sz w:val="24"/>
          <w:szCs w:val="24"/>
        </w:rPr>
        <w:t>attempt to</w:t>
      </w:r>
      <w:proofErr w:type="gramEnd"/>
      <w:r w:rsidRPr="0019507E">
        <w:rPr>
          <w:rFonts w:ascii="Times New Roman" w:hAnsi="Times New Roman"/>
          <w:sz w:val="24"/>
          <w:szCs w:val="24"/>
        </w:rPr>
        <w:t xml:space="preserve"> breathe. In response, the officers pressed down on him even harder. Once they had</w:t>
      </w:r>
      <w:r>
        <w:rPr>
          <w:rFonts w:ascii="Times New Roman" w:hAnsi="Times New Roman"/>
          <w:sz w:val="24"/>
          <w:szCs w:val="24"/>
        </w:rPr>
        <w:t xml:space="preserve"> </w:t>
      </w:r>
      <w:r w:rsidRPr="0019507E">
        <w:rPr>
          <w:rFonts w:ascii="Times New Roman" w:hAnsi="Times New Roman"/>
          <w:sz w:val="24"/>
          <w:szCs w:val="24"/>
        </w:rPr>
        <w:t>subdued Jones, they left him face down on the ground handcuffed behind his back for a prolonged</w:t>
      </w:r>
      <w:r>
        <w:rPr>
          <w:rFonts w:ascii="Times New Roman" w:hAnsi="Times New Roman"/>
          <w:sz w:val="24"/>
          <w:szCs w:val="24"/>
        </w:rPr>
        <w:t xml:space="preserve"> </w:t>
      </w:r>
      <w:proofErr w:type="gramStart"/>
      <w:r w:rsidRPr="0019507E">
        <w:rPr>
          <w:rFonts w:ascii="Times New Roman" w:hAnsi="Times New Roman"/>
          <w:sz w:val="24"/>
          <w:szCs w:val="24"/>
        </w:rPr>
        <w:t>period of time</w:t>
      </w:r>
      <w:proofErr w:type="gramEnd"/>
      <w:r w:rsidRPr="0019507E">
        <w:rPr>
          <w:rFonts w:ascii="Times New Roman" w:hAnsi="Times New Roman"/>
          <w:sz w:val="24"/>
          <w:szCs w:val="24"/>
        </w:rPr>
        <w:t>. During this time, Jones stopped breathing; all the officers knew it. Reese saw Jones</w:t>
      </w:r>
      <w:r>
        <w:rPr>
          <w:rFonts w:ascii="Times New Roman" w:hAnsi="Times New Roman"/>
          <w:sz w:val="24"/>
          <w:szCs w:val="24"/>
        </w:rPr>
        <w:t xml:space="preserve"> </w:t>
      </w:r>
      <w:r w:rsidRPr="0019507E">
        <w:rPr>
          <w:rFonts w:ascii="Times New Roman" w:hAnsi="Times New Roman"/>
          <w:sz w:val="24"/>
          <w:szCs w:val="24"/>
        </w:rPr>
        <w:t>changing color. Johnstone, Reese, and Abrams knew that a suspect lying face down risked</w:t>
      </w:r>
      <w:r>
        <w:rPr>
          <w:rFonts w:ascii="Times New Roman" w:hAnsi="Times New Roman"/>
          <w:sz w:val="24"/>
          <w:szCs w:val="24"/>
        </w:rPr>
        <w:t xml:space="preserve"> </w:t>
      </w:r>
      <w:r w:rsidRPr="0019507E">
        <w:rPr>
          <w:rFonts w:ascii="Times New Roman" w:hAnsi="Times New Roman"/>
          <w:sz w:val="24"/>
          <w:szCs w:val="24"/>
        </w:rPr>
        <w:t>positional asphyxia (difficulty breathing due to one’s posture or position). None of the officers</w:t>
      </w:r>
      <w:r>
        <w:rPr>
          <w:rFonts w:ascii="Times New Roman" w:hAnsi="Times New Roman"/>
          <w:sz w:val="24"/>
          <w:szCs w:val="24"/>
        </w:rPr>
        <w:t xml:space="preserve"> </w:t>
      </w:r>
      <w:r w:rsidRPr="0019507E">
        <w:rPr>
          <w:rFonts w:ascii="Times New Roman" w:hAnsi="Times New Roman"/>
          <w:sz w:val="24"/>
          <w:szCs w:val="24"/>
        </w:rPr>
        <w:t>provided mouth-to-mouth resuscitation or other respiratory aid. Instead, they stood there and</w:t>
      </w:r>
    </w:p>
    <w:p w14:paraId="0DD13B8B" w14:textId="77777777" w:rsidR="001C2F88" w:rsidRPr="0019507E" w:rsidRDefault="001C2F88" w:rsidP="001C2F88">
      <w:pPr>
        <w:pStyle w:val="NoSpacing"/>
        <w:ind w:left="720"/>
        <w:rPr>
          <w:rFonts w:ascii="Times New Roman" w:hAnsi="Times New Roman"/>
          <w:sz w:val="24"/>
          <w:szCs w:val="24"/>
        </w:rPr>
      </w:pPr>
      <w:r w:rsidRPr="0019507E">
        <w:rPr>
          <w:rFonts w:ascii="Times New Roman" w:hAnsi="Times New Roman"/>
          <w:sz w:val="24"/>
          <w:szCs w:val="24"/>
        </w:rPr>
        <w:t>discussed the absence of fire personnel.</w:t>
      </w:r>
      <w:r>
        <w:rPr>
          <w:rFonts w:ascii="Times New Roman" w:hAnsi="Times New Roman"/>
          <w:sz w:val="24"/>
          <w:szCs w:val="24"/>
        </w:rPr>
        <w:t xml:space="preserve">” </w:t>
      </w:r>
      <w:r>
        <w:t xml:space="preserve">   </w:t>
      </w:r>
      <w:r w:rsidRPr="000A46A1">
        <w:rPr>
          <w:rFonts w:ascii="Times New Roman" w:hAnsi="Times New Roman"/>
          <w:sz w:val="24"/>
          <w:szCs w:val="24"/>
          <w:u w:val="single"/>
        </w:rPr>
        <w:t>Jones v. City of Cincinnati</w:t>
      </w:r>
      <w:r w:rsidRPr="000A46A1">
        <w:rPr>
          <w:rFonts w:ascii="Times New Roman" w:hAnsi="Times New Roman"/>
          <w:sz w:val="24"/>
          <w:szCs w:val="24"/>
        </w:rPr>
        <w:t xml:space="preserve">,  </w:t>
      </w:r>
      <w:r w:rsidRPr="000A46A1">
        <w:rPr>
          <w:rFonts w:ascii="Times New Roman" w:hAnsi="Times New Roman"/>
          <w:color w:val="454545"/>
          <w:sz w:val="24"/>
          <w:szCs w:val="24"/>
        </w:rPr>
        <w:t>521 F.3d 555, 558 (6th Cir. 2008)</w:t>
      </w:r>
      <w:r>
        <w:rPr>
          <w:rFonts w:ascii="Times New Roman" w:hAnsi="Times New Roman"/>
          <w:color w:val="454545"/>
          <w:sz w:val="24"/>
          <w:szCs w:val="24"/>
        </w:rPr>
        <w:t xml:space="preserve">; </w:t>
      </w:r>
      <w:hyperlink r:id="rId2187" w:history="1">
        <w:r w:rsidRPr="007C1F1F">
          <w:rPr>
            <w:rStyle w:val="Hyperlink"/>
            <w:rFonts w:ascii="Times New Roman" w:hAnsi="Times New Roman"/>
            <w:sz w:val="24"/>
            <w:szCs w:val="24"/>
          </w:rPr>
          <w:t>http://www.opn.ca6.uscourts.gov/opinions.pdf/08a0140p-06.pdf</w:t>
        </w:r>
      </w:hyperlink>
      <w:r w:rsidRPr="0019507E">
        <w:rPr>
          <w:rFonts w:ascii="Times New Roman" w:hAnsi="Times New Roman"/>
          <w:sz w:val="24"/>
          <w:szCs w:val="24"/>
        </w:rPr>
        <w:t xml:space="preserve"> . </w:t>
      </w:r>
    </w:p>
    <w:p w14:paraId="2EE60DFA" w14:textId="77777777" w:rsidR="001C2F88" w:rsidRDefault="001C2F88" w:rsidP="001C2F88">
      <w:pPr>
        <w:pStyle w:val="NoSpacing"/>
        <w:rPr>
          <w:rFonts w:ascii="Times New Roman" w:hAnsi="Times New Roman"/>
          <w:sz w:val="24"/>
          <w:szCs w:val="24"/>
        </w:rPr>
      </w:pPr>
    </w:p>
    <w:p w14:paraId="4AB2F86D" w14:textId="77777777" w:rsidR="001C2F88" w:rsidRPr="0019507E" w:rsidRDefault="001C2F88" w:rsidP="001C2F88">
      <w:pPr>
        <w:pStyle w:val="NoSpacing"/>
        <w:ind w:left="720"/>
        <w:rPr>
          <w:rFonts w:ascii="Times New Roman" w:hAnsi="Times New Roman"/>
          <w:sz w:val="24"/>
          <w:szCs w:val="24"/>
        </w:rPr>
      </w:pPr>
      <w:r w:rsidRPr="0019507E">
        <w:rPr>
          <w:rFonts w:ascii="Times New Roman" w:hAnsi="Times New Roman"/>
          <w:sz w:val="24"/>
          <w:szCs w:val="24"/>
        </w:rPr>
        <w:t xml:space="preserve">See also:  “Coroner: Man had enlarged heart, drugs in system.” </w:t>
      </w:r>
      <w:hyperlink r:id="rId2188" w:history="1">
        <w:r w:rsidRPr="007C1F1F">
          <w:rPr>
            <w:rStyle w:val="Hyperlink"/>
            <w:rFonts w:ascii="Times New Roman" w:hAnsi="Times New Roman"/>
            <w:sz w:val="24"/>
            <w:szCs w:val="24"/>
          </w:rPr>
          <w:t>https://www.cnn.com/2003/US/Midwest/12/01/died.in.custody/index.html</w:t>
        </w:r>
      </w:hyperlink>
      <w:r w:rsidRPr="0019507E">
        <w:rPr>
          <w:rFonts w:ascii="Times New Roman" w:hAnsi="Times New Roman"/>
          <w:sz w:val="24"/>
          <w:szCs w:val="24"/>
        </w:rPr>
        <w:t xml:space="preserve"> </w:t>
      </w:r>
    </w:p>
    <w:p w14:paraId="4EF147D0" w14:textId="77777777" w:rsidR="001C2F88" w:rsidRDefault="001C2F88" w:rsidP="001C2F88">
      <w:pPr>
        <w:pStyle w:val="NormalWeb"/>
      </w:pPr>
      <w:r>
        <w:t>COURT HELD IN COLUMBUS CASE:</w:t>
      </w:r>
    </w:p>
    <w:p w14:paraId="195CC4B7"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[EXCESSIVE FORCE CLAIM.] “</w:t>
      </w:r>
      <w:r w:rsidRPr="001E1BB7">
        <w:rPr>
          <w:rFonts w:ascii="Times New Roman" w:hAnsi="Times New Roman"/>
          <w:sz w:val="24"/>
          <w:szCs w:val="24"/>
        </w:rPr>
        <w:t>First, Officer Bowers asks us</w:t>
      </w:r>
      <w:r>
        <w:rPr>
          <w:rFonts w:ascii="Times New Roman" w:hAnsi="Times New Roman"/>
          <w:sz w:val="24"/>
          <w:szCs w:val="24"/>
        </w:rPr>
        <w:t xml:space="preserve"> </w:t>
      </w:r>
      <w:r w:rsidRPr="001E1BB7">
        <w:rPr>
          <w:rFonts w:ascii="Times New Roman" w:hAnsi="Times New Roman"/>
          <w:sz w:val="24"/>
          <w:szCs w:val="24"/>
        </w:rPr>
        <w:t>to focus on the parts of the video which show Mr. Heeter was not following the officers’</w:t>
      </w:r>
      <w:r>
        <w:rPr>
          <w:rFonts w:ascii="Times New Roman" w:hAnsi="Times New Roman"/>
          <w:sz w:val="24"/>
          <w:szCs w:val="24"/>
        </w:rPr>
        <w:t xml:space="preserve"> </w:t>
      </w:r>
      <w:r w:rsidRPr="001E1BB7">
        <w:rPr>
          <w:rFonts w:ascii="Times New Roman" w:hAnsi="Times New Roman"/>
          <w:sz w:val="24"/>
          <w:szCs w:val="24"/>
        </w:rPr>
        <w:t>commands to exit the house, to put his gun down, or to raise his hands. Mr. Heeter’s</w:t>
      </w:r>
      <w:r>
        <w:rPr>
          <w:rFonts w:ascii="Times New Roman" w:hAnsi="Times New Roman"/>
          <w:sz w:val="24"/>
          <w:szCs w:val="24"/>
        </w:rPr>
        <w:t xml:space="preserve"> </w:t>
      </w:r>
      <w:r w:rsidRPr="001E1BB7">
        <w:rPr>
          <w:rFonts w:ascii="Times New Roman" w:hAnsi="Times New Roman"/>
          <w:sz w:val="24"/>
          <w:szCs w:val="24"/>
        </w:rPr>
        <w:t xml:space="preserve">disobedience and words of frustration that the group of armed officers in his home were </w:t>
      </w:r>
      <w:r>
        <w:rPr>
          <w:rFonts w:ascii="Times New Roman" w:hAnsi="Times New Roman"/>
          <w:sz w:val="24"/>
          <w:szCs w:val="24"/>
        </w:rPr>
        <w:t>‘</w:t>
      </w:r>
      <w:r w:rsidRPr="001E1BB7">
        <w:rPr>
          <w:rFonts w:ascii="Times New Roman" w:hAnsi="Times New Roman"/>
          <w:sz w:val="24"/>
          <w:szCs w:val="24"/>
        </w:rPr>
        <w:t>really</w:t>
      </w:r>
      <w:r>
        <w:rPr>
          <w:rFonts w:ascii="Times New Roman" w:hAnsi="Times New Roman"/>
          <w:sz w:val="24"/>
          <w:szCs w:val="24"/>
        </w:rPr>
        <w:t xml:space="preserve"> </w:t>
      </w:r>
      <w:r w:rsidRPr="001E1BB7">
        <w:rPr>
          <w:rFonts w:ascii="Times New Roman" w:hAnsi="Times New Roman"/>
          <w:sz w:val="24"/>
          <w:szCs w:val="24"/>
        </w:rPr>
        <w:t>starting to piss [him] off</w:t>
      </w:r>
      <w:r>
        <w:rPr>
          <w:rFonts w:ascii="Times New Roman" w:hAnsi="Times New Roman"/>
          <w:sz w:val="24"/>
          <w:szCs w:val="24"/>
        </w:rPr>
        <w:t>’</w:t>
      </w:r>
      <w:r w:rsidRPr="001E1BB7">
        <w:rPr>
          <w:rFonts w:ascii="Times New Roman" w:hAnsi="Times New Roman"/>
          <w:sz w:val="24"/>
          <w:szCs w:val="24"/>
        </w:rPr>
        <w:t xml:space="preserve"> indicated that the situation was tense. Redding Footage at 10:45–10:50. But </w:t>
      </w:r>
      <w:r>
        <w:rPr>
          <w:rFonts w:ascii="Times New Roman" w:hAnsi="Times New Roman"/>
          <w:sz w:val="24"/>
          <w:szCs w:val="24"/>
        </w:rPr>
        <w:t>‘</w:t>
      </w:r>
      <w:r w:rsidRPr="001E1BB7">
        <w:rPr>
          <w:rFonts w:ascii="Times New Roman" w:hAnsi="Times New Roman"/>
          <w:sz w:val="24"/>
          <w:szCs w:val="24"/>
        </w:rPr>
        <w:t>the mere failure of a citizen—not arrested for any crime—to follow the officer’s</w:t>
      </w:r>
      <w:r>
        <w:rPr>
          <w:rFonts w:ascii="Times New Roman" w:hAnsi="Times New Roman"/>
          <w:sz w:val="24"/>
          <w:szCs w:val="24"/>
        </w:rPr>
        <w:t xml:space="preserve"> </w:t>
      </w:r>
      <w:r w:rsidRPr="001E1BB7">
        <w:rPr>
          <w:rFonts w:ascii="Times New Roman" w:hAnsi="Times New Roman"/>
          <w:sz w:val="24"/>
          <w:szCs w:val="24"/>
        </w:rPr>
        <w:t>commands</w:t>
      </w:r>
      <w:r>
        <w:rPr>
          <w:rFonts w:ascii="Times New Roman" w:hAnsi="Times New Roman"/>
          <w:sz w:val="24"/>
          <w:szCs w:val="24"/>
        </w:rPr>
        <w:t>’</w:t>
      </w:r>
      <w:r w:rsidRPr="001E1BB7">
        <w:rPr>
          <w:rFonts w:ascii="Times New Roman" w:hAnsi="Times New Roman"/>
          <w:sz w:val="24"/>
          <w:szCs w:val="24"/>
        </w:rPr>
        <w:t xml:space="preserve"> does not give the officer probable cause to use deadly force against him. </w:t>
      </w:r>
    </w:p>
    <w:p w14:paraId="16F36544"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w:t>
      </w:r>
    </w:p>
    <w:p w14:paraId="1280B1CE" w14:textId="77777777" w:rsidR="001C2F88" w:rsidRDefault="001C2F88" w:rsidP="001C2F88">
      <w:pPr>
        <w:pStyle w:val="NoSpacing"/>
        <w:ind w:firstLine="720"/>
        <w:rPr>
          <w:rFonts w:ascii="Times New Roman" w:hAnsi="Times New Roman"/>
          <w:sz w:val="24"/>
          <w:szCs w:val="24"/>
        </w:rPr>
      </w:pPr>
    </w:p>
    <w:p w14:paraId="6E31E5FA" w14:textId="77777777" w:rsidR="001C2F88" w:rsidRDefault="001C2F88" w:rsidP="001C2F88">
      <w:pPr>
        <w:pStyle w:val="NoSpacing"/>
        <w:ind w:firstLine="720"/>
        <w:rPr>
          <w:rFonts w:ascii="Times New Roman" w:hAnsi="Times New Roman"/>
          <w:sz w:val="24"/>
          <w:szCs w:val="24"/>
        </w:rPr>
      </w:pPr>
    </w:p>
    <w:p w14:paraId="0B50A63A"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[FAILURE TO PROVIDE FIRST AID CLAIM.] “</w:t>
      </w:r>
      <w:r w:rsidRPr="005124E7">
        <w:rPr>
          <w:rFonts w:ascii="Times New Roman" w:hAnsi="Times New Roman"/>
          <w:sz w:val="24"/>
          <w:szCs w:val="24"/>
        </w:rPr>
        <w:t>To summarize, it is undisputed that Officer Bowers focused on ordering an officer to</w:t>
      </w:r>
      <w:r>
        <w:rPr>
          <w:rFonts w:ascii="Times New Roman" w:hAnsi="Times New Roman"/>
          <w:sz w:val="24"/>
          <w:szCs w:val="24"/>
        </w:rPr>
        <w:t xml:space="preserve"> </w:t>
      </w:r>
      <w:r w:rsidRPr="005124E7">
        <w:rPr>
          <w:rFonts w:ascii="Times New Roman" w:hAnsi="Times New Roman"/>
          <w:sz w:val="24"/>
          <w:szCs w:val="24"/>
        </w:rPr>
        <w:t>handcuff Mr. Heeter, then stood idle as Mr. Heeter bled out, moaned, and struggled to breathe.</w:t>
      </w:r>
      <w:r>
        <w:rPr>
          <w:rFonts w:ascii="Times New Roman" w:hAnsi="Times New Roman"/>
          <w:sz w:val="24"/>
          <w:szCs w:val="24"/>
        </w:rPr>
        <w:t xml:space="preserve"> </w:t>
      </w:r>
      <w:r w:rsidRPr="005124E7">
        <w:rPr>
          <w:rFonts w:ascii="Times New Roman" w:hAnsi="Times New Roman"/>
          <w:sz w:val="24"/>
          <w:szCs w:val="24"/>
        </w:rPr>
        <w:t>A reasonable jury could find that Mr. Heeter’s critical injury called for immediate first aid before</w:t>
      </w:r>
      <w:r>
        <w:rPr>
          <w:rFonts w:ascii="Times New Roman" w:hAnsi="Times New Roman"/>
          <w:sz w:val="24"/>
          <w:szCs w:val="24"/>
        </w:rPr>
        <w:t xml:space="preserve"> </w:t>
      </w:r>
      <w:r w:rsidRPr="005124E7">
        <w:rPr>
          <w:rFonts w:ascii="Times New Roman" w:hAnsi="Times New Roman"/>
          <w:sz w:val="24"/>
          <w:szCs w:val="24"/>
        </w:rPr>
        <w:t>professional paramedics arrived, and that Officer Bowers—trained in first aid and unoccupied by</w:t>
      </w:r>
      <w:r>
        <w:rPr>
          <w:rFonts w:ascii="Times New Roman" w:hAnsi="Times New Roman"/>
          <w:sz w:val="24"/>
          <w:szCs w:val="24"/>
        </w:rPr>
        <w:t xml:space="preserve"> </w:t>
      </w:r>
      <w:r w:rsidRPr="005124E7">
        <w:rPr>
          <w:rFonts w:ascii="Times New Roman" w:hAnsi="Times New Roman"/>
          <w:sz w:val="24"/>
          <w:szCs w:val="24"/>
        </w:rPr>
        <w:t>police duties—could and should have rendered that care. Therefore, a reasonable jury could find</w:t>
      </w:r>
      <w:r>
        <w:rPr>
          <w:rFonts w:ascii="Times New Roman" w:hAnsi="Times New Roman"/>
          <w:sz w:val="24"/>
          <w:szCs w:val="24"/>
        </w:rPr>
        <w:t xml:space="preserve"> </w:t>
      </w:r>
      <w:r w:rsidRPr="005124E7">
        <w:rPr>
          <w:rFonts w:ascii="Times New Roman" w:hAnsi="Times New Roman"/>
          <w:sz w:val="24"/>
          <w:szCs w:val="24"/>
        </w:rPr>
        <w:t xml:space="preserve">Officer Bowers violated Mr. Heeter’s Fourteenth Amendment right to adequate medical </w:t>
      </w:r>
      <w:proofErr w:type="gramStart"/>
      <w:r w:rsidRPr="005124E7">
        <w:rPr>
          <w:rFonts w:ascii="Times New Roman" w:hAnsi="Times New Roman"/>
          <w:sz w:val="24"/>
          <w:szCs w:val="24"/>
        </w:rPr>
        <w:t>care.</w:t>
      </w:r>
      <w:r>
        <w:rPr>
          <w:rFonts w:ascii="Times New Roman" w:hAnsi="Times New Roman"/>
          <w:sz w:val="24"/>
          <w:szCs w:val="24"/>
        </w:rPr>
        <w:t>”</w:t>
      </w:r>
      <w:proofErr w:type="gramEnd"/>
    </w:p>
    <w:p w14:paraId="3005C308" w14:textId="77777777" w:rsidR="001C2F88" w:rsidRDefault="001C2F88" w:rsidP="001C2F88">
      <w:pPr>
        <w:pStyle w:val="NoSpacing"/>
        <w:ind w:left="720"/>
        <w:rPr>
          <w:rFonts w:ascii="Times New Roman" w:hAnsi="Times New Roman"/>
          <w:sz w:val="24"/>
          <w:szCs w:val="24"/>
        </w:rPr>
      </w:pPr>
    </w:p>
    <w:p w14:paraId="6817DA14"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w:t>
      </w:r>
    </w:p>
    <w:p w14:paraId="761618BD" w14:textId="77777777" w:rsidR="001C2F88" w:rsidRDefault="001C2F88" w:rsidP="001C2F88">
      <w:pPr>
        <w:pStyle w:val="NoSpacing"/>
        <w:ind w:firstLine="720"/>
        <w:rPr>
          <w:rFonts w:ascii="Times New Roman" w:hAnsi="Times New Roman"/>
          <w:sz w:val="24"/>
          <w:szCs w:val="24"/>
        </w:rPr>
      </w:pPr>
    </w:p>
    <w:p w14:paraId="48C004F1" w14:textId="77777777" w:rsidR="001C2F88" w:rsidRDefault="001C2F88" w:rsidP="001C2F88">
      <w:pPr>
        <w:pStyle w:val="NoSpacing"/>
        <w:ind w:left="720"/>
        <w:rPr>
          <w:rStyle w:val="Hyperlink"/>
          <w:rFonts w:ascii="Times New Roman" w:hAnsi="Times New Roman"/>
          <w:sz w:val="24"/>
          <w:szCs w:val="24"/>
        </w:rPr>
      </w:pPr>
      <w:r w:rsidRPr="009B0945">
        <w:rPr>
          <w:rFonts w:ascii="Times New Roman" w:hAnsi="Times New Roman"/>
          <w:color w:val="454545"/>
          <w:sz w:val="24"/>
          <w:szCs w:val="24"/>
        </w:rPr>
        <w:t>In </w:t>
      </w:r>
      <w:r w:rsidRPr="009B0945">
        <w:rPr>
          <w:rStyle w:val="Emphasis"/>
          <w:rFonts w:ascii="Times New Roman" w:eastAsiaTheme="majorEastAsia" w:hAnsi="Times New Roman"/>
          <w:color w:val="454545"/>
          <w:sz w:val="24"/>
          <w:szCs w:val="24"/>
        </w:rPr>
        <w:t>Jones v. City of Cincinnati</w:t>
      </w:r>
      <w:r w:rsidRPr="009B0945">
        <w:rPr>
          <w:rFonts w:ascii="Times New Roman" w:hAnsi="Times New Roman"/>
          <w:color w:val="454545"/>
          <w:sz w:val="24"/>
          <w:szCs w:val="24"/>
        </w:rPr>
        <w:t>, a police sergeant arrived at a scene to find a detainee lying face down and not breathing; other responding officers had subdued and asphyxiated him. 521 F.3d 555, 558 (6th Cir. 2008).</w:t>
      </w:r>
      <w:r>
        <w:rPr>
          <w:rFonts w:ascii="Times New Roman" w:hAnsi="Times New Roman"/>
          <w:color w:val="454545"/>
          <w:sz w:val="24"/>
          <w:szCs w:val="24"/>
        </w:rPr>
        <w:t xml:space="preserve">” </w:t>
      </w:r>
      <w:hyperlink r:id="rId2189" w:history="1">
        <w:r w:rsidRPr="00891F87">
          <w:rPr>
            <w:rStyle w:val="Hyperlink"/>
            <w:rFonts w:ascii="Times New Roman" w:hAnsi="Times New Roman"/>
            <w:sz w:val="24"/>
            <w:szCs w:val="24"/>
          </w:rPr>
          <w:t>http://www.opn.ca6.uscourts.gov/opinions.pdf/08a0140p-06.pdf</w:t>
        </w:r>
      </w:hyperlink>
    </w:p>
    <w:p w14:paraId="098A7C2D" w14:textId="77777777" w:rsidR="001C2F88" w:rsidRDefault="001C2F88" w:rsidP="001C2F88">
      <w:pPr>
        <w:pStyle w:val="NoSpacing"/>
        <w:ind w:left="720"/>
        <w:rPr>
          <w:rFonts w:ascii="Times New Roman" w:hAnsi="Times New Roman"/>
          <w:color w:val="454545"/>
          <w:sz w:val="24"/>
          <w:szCs w:val="24"/>
        </w:rPr>
      </w:pPr>
    </w:p>
    <w:p w14:paraId="20CA9008" w14:textId="77777777" w:rsidR="001C2F88" w:rsidRDefault="001C2F88" w:rsidP="001C2F88">
      <w:pPr>
        <w:pStyle w:val="NoSpacing"/>
        <w:ind w:left="720"/>
        <w:rPr>
          <w:rFonts w:ascii="Times New Roman" w:hAnsi="Times New Roman"/>
          <w:color w:val="454545"/>
          <w:sz w:val="24"/>
          <w:szCs w:val="24"/>
        </w:rPr>
      </w:pPr>
      <w:r>
        <w:rPr>
          <w:rFonts w:ascii="Times New Roman" w:hAnsi="Times New Roman"/>
          <w:color w:val="454545"/>
          <w:sz w:val="24"/>
          <w:szCs w:val="24"/>
        </w:rPr>
        <w:t>***</w:t>
      </w:r>
    </w:p>
    <w:p w14:paraId="160459E7" w14:textId="77777777" w:rsidR="001C2F88" w:rsidRDefault="001C2F88" w:rsidP="001C2F88">
      <w:pPr>
        <w:pStyle w:val="NoSpacing"/>
        <w:ind w:left="720"/>
        <w:rPr>
          <w:rFonts w:ascii="Times New Roman" w:hAnsi="Times New Roman"/>
          <w:color w:val="454545"/>
          <w:sz w:val="24"/>
          <w:szCs w:val="24"/>
        </w:rPr>
      </w:pPr>
    </w:p>
    <w:p w14:paraId="3FF9A1F9" w14:textId="77777777" w:rsidR="001C2F88" w:rsidRPr="00C6276E" w:rsidRDefault="001C2F88" w:rsidP="001C2F88">
      <w:pPr>
        <w:pStyle w:val="NoSpacing"/>
        <w:ind w:left="720"/>
        <w:rPr>
          <w:rFonts w:ascii="Times New Roman" w:hAnsi="Times New Roman"/>
          <w:color w:val="454545"/>
          <w:sz w:val="24"/>
          <w:szCs w:val="24"/>
        </w:rPr>
      </w:pPr>
      <w:r w:rsidRPr="00C6276E">
        <w:rPr>
          <w:rFonts w:ascii="Times New Roman" w:hAnsi="Times New Roman"/>
          <w:color w:val="454545"/>
          <w:sz w:val="24"/>
          <w:szCs w:val="24"/>
        </w:rPr>
        <w:t>The Supreme Court established in 1983 that an officer has an obligation under the Due</w:t>
      </w:r>
    </w:p>
    <w:p w14:paraId="66C7A9FE" w14:textId="77777777" w:rsidR="001C2F88" w:rsidRDefault="001C2F88" w:rsidP="001C2F88">
      <w:pPr>
        <w:pStyle w:val="NoSpacing"/>
        <w:ind w:left="720"/>
        <w:rPr>
          <w:rFonts w:ascii="Times New Roman" w:hAnsi="Times New Roman"/>
          <w:color w:val="454545"/>
          <w:sz w:val="24"/>
          <w:szCs w:val="24"/>
        </w:rPr>
      </w:pPr>
      <w:r w:rsidRPr="00C6276E">
        <w:rPr>
          <w:rFonts w:ascii="Times New Roman" w:hAnsi="Times New Roman"/>
          <w:color w:val="454545"/>
          <w:sz w:val="24"/>
          <w:szCs w:val="24"/>
        </w:rPr>
        <w:t xml:space="preserve">Process Clause to provide adequate medical care </w:t>
      </w:r>
      <w:proofErr w:type="gramStart"/>
      <w:r w:rsidRPr="00C6276E">
        <w:rPr>
          <w:rFonts w:ascii="Times New Roman" w:hAnsi="Times New Roman"/>
          <w:color w:val="454545"/>
          <w:sz w:val="24"/>
          <w:szCs w:val="24"/>
        </w:rPr>
        <w:t>to</w:t>
      </w:r>
      <w:proofErr w:type="gramEnd"/>
      <w:r w:rsidRPr="00C6276E">
        <w:rPr>
          <w:rFonts w:ascii="Times New Roman" w:hAnsi="Times New Roman"/>
          <w:color w:val="454545"/>
          <w:sz w:val="24"/>
          <w:szCs w:val="24"/>
        </w:rPr>
        <w:t xml:space="preserve"> suspects shot during apprehension. City of</w:t>
      </w:r>
      <w:r>
        <w:rPr>
          <w:rFonts w:ascii="Times New Roman" w:hAnsi="Times New Roman"/>
          <w:color w:val="454545"/>
          <w:sz w:val="24"/>
          <w:szCs w:val="24"/>
        </w:rPr>
        <w:t xml:space="preserve"> </w:t>
      </w:r>
      <w:r w:rsidRPr="00C6276E">
        <w:rPr>
          <w:rFonts w:ascii="Times New Roman" w:hAnsi="Times New Roman"/>
          <w:color w:val="454545"/>
          <w:sz w:val="24"/>
          <w:szCs w:val="24"/>
        </w:rPr>
        <w:t>Revere, 463 U.S. at 244. As discussed above, the standard applicable in November 2018</w:t>
      </w:r>
      <w:r>
        <w:rPr>
          <w:rFonts w:ascii="Times New Roman" w:hAnsi="Times New Roman"/>
          <w:color w:val="454545"/>
          <w:sz w:val="24"/>
          <w:szCs w:val="24"/>
        </w:rPr>
        <w:t xml:space="preserve"> [Jones v. City of Cincinnati case] </w:t>
      </w:r>
      <w:r w:rsidRPr="00C6276E">
        <w:rPr>
          <w:rFonts w:ascii="Times New Roman" w:hAnsi="Times New Roman"/>
          <w:color w:val="454545"/>
          <w:sz w:val="24"/>
          <w:szCs w:val="24"/>
        </w:rPr>
        <w:t>required a plaintiff to show an officer knowingly and deliberately disregarded a detainee’s risk of</w:t>
      </w:r>
      <w:r>
        <w:rPr>
          <w:rFonts w:ascii="Times New Roman" w:hAnsi="Times New Roman"/>
          <w:color w:val="454545"/>
          <w:sz w:val="24"/>
          <w:szCs w:val="24"/>
        </w:rPr>
        <w:t xml:space="preserve"> </w:t>
      </w:r>
      <w:r w:rsidRPr="00C6276E">
        <w:rPr>
          <w:rFonts w:ascii="Times New Roman" w:hAnsi="Times New Roman"/>
          <w:color w:val="454545"/>
          <w:sz w:val="24"/>
          <w:szCs w:val="24"/>
        </w:rPr>
        <w:t xml:space="preserve">harm </w:t>
      </w:r>
      <w:proofErr w:type="gramStart"/>
      <w:r w:rsidRPr="00C6276E">
        <w:rPr>
          <w:rFonts w:ascii="Times New Roman" w:hAnsi="Times New Roman"/>
          <w:color w:val="454545"/>
          <w:sz w:val="24"/>
          <w:szCs w:val="24"/>
        </w:rPr>
        <w:t>in order to</w:t>
      </w:r>
      <w:proofErr w:type="gramEnd"/>
      <w:r w:rsidRPr="00C6276E">
        <w:rPr>
          <w:rFonts w:ascii="Times New Roman" w:hAnsi="Times New Roman"/>
          <w:color w:val="454545"/>
          <w:sz w:val="24"/>
          <w:szCs w:val="24"/>
        </w:rPr>
        <w:t xml:space="preserve"> prevail on an adequate medical care claim.</w:t>
      </w:r>
      <w:r>
        <w:rPr>
          <w:rFonts w:ascii="Times New Roman" w:hAnsi="Times New Roman"/>
          <w:color w:val="454545"/>
          <w:sz w:val="24"/>
          <w:szCs w:val="24"/>
        </w:rPr>
        <w:t>”</w:t>
      </w:r>
    </w:p>
    <w:p w14:paraId="14D15BA1" w14:textId="77777777" w:rsidR="001C2F88" w:rsidRDefault="001C2F88" w:rsidP="001C2F88">
      <w:pPr>
        <w:pStyle w:val="NoSpacing"/>
        <w:ind w:left="720"/>
        <w:rPr>
          <w:rFonts w:ascii="Times New Roman" w:hAnsi="Times New Roman"/>
          <w:color w:val="454545"/>
          <w:sz w:val="24"/>
          <w:szCs w:val="24"/>
        </w:rPr>
      </w:pPr>
    </w:p>
    <w:p w14:paraId="3EB4E79C" w14:textId="77777777" w:rsidR="001C2F88" w:rsidRDefault="001C2F88" w:rsidP="001C2F88">
      <w:pPr>
        <w:pStyle w:val="NormalWeb"/>
      </w:pPr>
      <w:r>
        <w:t xml:space="preserve">FACTS: </w:t>
      </w:r>
    </w:p>
    <w:p w14:paraId="3D262762" w14:textId="77777777" w:rsidR="001C2F88" w:rsidRPr="00A94EA2" w:rsidRDefault="001C2F88" w:rsidP="001C2F88">
      <w:pPr>
        <w:pStyle w:val="NoSpacing"/>
        <w:ind w:left="720"/>
        <w:rPr>
          <w:rFonts w:ascii="Times New Roman" w:hAnsi="Times New Roman"/>
          <w:sz w:val="24"/>
          <w:szCs w:val="24"/>
        </w:rPr>
      </w:pPr>
      <w:r>
        <w:rPr>
          <w:rFonts w:ascii="Times New Roman" w:hAnsi="Times New Roman"/>
          <w:sz w:val="24"/>
          <w:szCs w:val="24"/>
        </w:rPr>
        <w:t>“</w:t>
      </w:r>
      <w:r w:rsidRPr="00A94EA2">
        <w:rPr>
          <w:rFonts w:ascii="Times New Roman" w:hAnsi="Times New Roman"/>
          <w:sz w:val="24"/>
          <w:szCs w:val="24"/>
        </w:rPr>
        <w:t>On the morning of November 21, 2018, the day before</w:t>
      </w:r>
      <w:r>
        <w:rPr>
          <w:rFonts w:ascii="Times New Roman" w:hAnsi="Times New Roman"/>
          <w:sz w:val="24"/>
          <w:szCs w:val="24"/>
        </w:rPr>
        <w:t xml:space="preserve"> </w:t>
      </w:r>
      <w:r w:rsidRPr="00A94EA2">
        <w:rPr>
          <w:rFonts w:ascii="Times New Roman" w:hAnsi="Times New Roman"/>
          <w:sz w:val="24"/>
          <w:szCs w:val="24"/>
        </w:rPr>
        <w:t>Thanksgiving, Bill Heeter told his wife Karen he was about to commit suicide. Mr. Heeter’s</w:t>
      </w:r>
      <w:r>
        <w:rPr>
          <w:rFonts w:ascii="Times New Roman" w:hAnsi="Times New Roman"/>
          <w:sz w:val="24"/>
          <w:szCs w:val="24"/>
        </w:rPr>
        <w:t xml:space="preserve"> </w:t>
      </w:r>
      <w:r w:rsidRPr="00A94EA2">
        <w:rPr>
          <w:rFonts w:ascii="Times New Roman" w:hAnsi="Times New Roman"/>
          <w:sz w:val="24"/>
          <w:szCs w:val="24"/>
        </w:rPr>
        <w:t>brother called the police to stop him. At about 10:05 a.m., officers began to arrive at the family’s</w:t>
      </w:r>
      <w:r>
        <w:rPr>
          <w:rFonts w:ascii="Times New Roman" w:hAnsi="Times New Roman"/>
          <w:sz w:val="24"/>
          <w:szCs w:val="24"/>
        </w:rPr>
        <w:t xml:space="preserve"> </w:t>
      </w:r>
      <w:r w:rsidRPr="00A94EA2">
        <w:rPr>
          <w:rFonts w:ascii="Times New Roman" w:hAnsi="Times New Roman"/>
          <w:sz w:val="24"/>
          <w:szCs w:val="24"/>
        </w:rPr>
        <w:t>Columbus, Ohio home. They spotted Mr. Heeter through his kitchen window—he was sitting at</w:t>
      </w:r>
      <w:r>
        <w:rPr>
          <w:rFonts w:ascii="Times New Roman" w:hAnsi="Times New Roman"/>
          <w:sz w:val="24"/>
          <w:szCs w:val="24"/>
        </w:rPr>
        <w:t xml:space="preserve"> </w:t>
      </w:r>
      <w:r w:rsidRPr="00A94EA2">
        <w:rPr>
          <w:rFonts w:ascii="Times New Roman" w:hAnsi="Times New Roman"/>
          <w:sz w:val="24"/>
          <w:szCs w:val="24"/>
        </w:rPr>
        <w:t xml:space="preserve">a table smoking a cigarette, with one hand on his pistol. He told the officers he’d put his </w:t>
      </w:r>
      <w:proofErr w:type="gramStart"/>
      <w:r w:rsidRPr="00A94EA2">
        <w:rPr>
          <w:rFonts w:ascii="Times New Roman" w:hAnsi="Times New Roman"/>
          <w:sz w:val="24"/>
          <w:szCs w:val="24"/>
        </w:rPr>
        <w:t>gun</w:t>
      </w:r>
      <w:proofErr w:type="gramEnd"/>
    </w:p>
    <w:p w14:paraId="7BC1C106" w14:textId="77777777" w:rsidR="001C2F88" w:rsidRDefault="001C2F88" w:rsidP="001C2F88">
      <w:pPr>
        <w:pStyle w:val="NoSpacing"/>
        <w:ind w:left="720"/>
        <w:rPr>
          <w:rFonts w:ascii="Times New Roman" w:hAnsi="Times New Roman"/>
          <w:sz w:val="24"/>
          <w:szCs w:val="24"/>
        </w:rPr>
      </w:pPr>
      <w:r w:rsidRPr="00A94EA2">
        <w:rPr>
          <w:rFonts w:ascii="Times New Roman" w:hAnsi="Times New Roman"/>
          <w:sz w:val="24"/>
          <w:szCs w:val="24"/>
        </w:rPr>
        <w:t>away if they left. At approximately 10:15 a.m., a group of officers entered the house with their</w:t>
      </w:r>
      <w:r>
        <w:rPr>
          <w:rFonts w:ascii="Times New Roman" w:hAnsi="Times New Roman"/>
          <w:sz w:val="24"/>
          <w:szCs w:val="24"/>
        </w:rPr>
        <w:t xml:space="preserve"> </w:t>
      </w:r>
      <w:r w:rsidRPr="00A94EA2">
        <w:rPr>
          <w:rFonts w:ascii="Times New Roman" w:hAnsi="Times New Roman"/>
          <w:sz w:val="24"/>
          <w:szCs w:val="24"/>
        </w:rPr>
        <w:t>weapons drawn. At 10:17 a.m., Officer Kenneth Bowers fired five rounds from his M16 service</w:t>
      </w:r>
      <w:r>
        <w:rPr>
          <w:rFonts w:ascii="Times New Roman" w:hAnsi="Times New Roman"/>
          <w:sz w:val="24"/>
          <w:szCs w:val="24"/>
        </w:rPr>
        <w:t xml:space="preserve"> </w:t>
      </w:r>
      <w:r w:rsidRPr="00A94EA2">
        <w:rPr>
          <w:rFonts w:ascii="Times New Roman" w:hAnsi="Times New Roman"/>
          <w:sz w:val="24"/>
          <w:szCs w:val="24"/>
        </w:rPr>
        <w:t>rifle into Mr. Heeter’s chest. At 10:57 a.m., Mr. Heeter was pronounced dead at the hospital.</w:t>
      </w:r>
      <w:r>
        <w:rPr>
          <w:rFonts w:ascii="Times New Roman" w:hAnsi="Times New Roman"/>
          <w:sz w:val="24"/>
          <w:szCs w:val="24"/>
        </w:rPr>
        <w:t xml:space="preserve"> </w:t>
      </w:r>
      <w:r w:rsidRPr="00A94EA2">
        <w:rPr>
          <w:rFonts w:ascii="Times New Roman" w:hAnsi="Times New Roman"/>
          <w:sz w:val="24"/>
          <w:szCs w:val="24"/>
        </w:rPr>
        <w:t>Police bodycam footage captured almost everything that happened. It shows that a police</w:t>
      </w:r>
      <w:r>
        <w:rPr>
          <w:rFonts w:ascii="Times New Roman" w:hAnsi="Times New Roman"/>
          <w:sz w:val="24"/>
          <w:szCs w:val="24"/>
        </w:rPr>
        <w:t xml:space="preserve"> </w:t>
      </w:r>
      <w:r w:rsidRPr="00A94EA2">
        <w:rPr>
          <w:rFonts w:ascii="Times New Roman" w:hAnsi="Times New Roman"/>
          <w:sz w:val="24"/>
          <w:szCs w:val="24"/>
        </w:rPr>
        <w:t>sergeant called the paramedics. It also shows that Officer Bowers did not administer first aid or</w:t>
      </w:r>
      <w:r>
        <w:rPr>
          <w:rFonts w:ascii="Times New Roman" w:hAnsi="Times New Roman"/>
          <w:sz w:val="24"/>
          <w:szCs w:val="24"/>
        </w:rPr>
        <w:t xml:space="preserve"> </w:t>
      </w:r>
      <w:r w:rsidRPr="00A94EA2">
        <w:rPr>
          <w:rFonts w:ascii="Times New Roman" w:hAnsi="Times New Roman"/>
          <w:sz w:val="24"/>
          <w:szCs w:val="24"/>
        </w:rPr>
        <w:t>otherwise try to help Mr. Heeter while waiting for the paramedics to arrive, even though Mr.</w:t>
      </w:r>
      <w:r>
        <w:rPr>
          <w:rFonts w:ascii="Times New Roman" w:hAnsi="Times New Roman"/>
          <w:sz w:val="24"/>
          <w:szCs w:val="24"/>
        </w:rPr>
        <w:t xml:space="preserve"> </w:t>
      </w:r>
      <w:r w:rsidRPr="00A94EA2">
        <w:rPr>
          <w:rFonts w:ascii="Times New Roman" w:hAnsi="Times New Roman"/>
          <w:sz w:val="24"/>
          <w:szCs w:val="24"/>
        </w:rPr>
        <w:t>Heeter was audibly and visibly alive, hemorrhaging blood, and struggling to breathe</w:t>
      </w:r>
      <w:r>
        <w:rPr>
          <w:rFonts w:ascii="Times New Roman" w:hAnsi="Times New Roman"/>
          <w:sz w:val="24"/>
          <w:szCs w:val="24"/>
        </w:rPr>
        <w:t>.”</w:t>
      </w:r>
    </w:p>
    <w:p w14:paraId="53170EFF" w14:textId="77777777" w:rsidR="001C2F88" w:rsidRDefault="001C2F88" w:rsidP="001C2F88">
      <w:pPr>
        <w:pStyle w:val="NoSpacing"/>
        <w:ind w:left="720"/>
        <w:rPr>
          <w:rFonts w:ascii="Times New Roman" w:hAnsi="Times New Roman"/>
          <w:sz w:val="24"/>
          <w:szCs w:val="24"/>
        </w:rPr>
      </w:pPr>
    </w:p>
    <w:p w14:paraId="36A72461" w14:textId="77777777" w:rsidR="001C2F88" w:rsidRDefault="001C2F88" w:rsidP="001C2F88">
      <w:pPr>
        <w:pStyle w:val="NormalWeb"/>
      </w:pPr>
      <w:r>
        <w:t>DISSENT:</w:t>
      </w:r>
    </w:p>
    <w:p w14:paraId="452B6B9D" w14:textId="77777777" w:rsidR="001C2F88" w:rsidRPr="00B91070" w:rsidRDefault="001C2F88" w:rsidP="001C2F88">
      <w:pPr>
        <w:pStyle w:val="NoSpacing"/>
        <w:ind w:left="720"/>
        <w:rPr>
          <w:rFonts w:ascii="Times New Roman" w:hAnsi="Times New Roman"/>
          <w:sz w:val="24"/>
          <w:szCs w:val="24"/>
        </w:rPr>
      </w:pPr>
      <w:r>
        <w:rPr>
          <w:rFonts w:ascii="Times New Roman" w:hAnsi="Times New Roman"/>
          <w:sz w:val="24"/>
          <w:szCs w:val="24"/>
        </w:rPr>
        <w:t xml:space="preserve">“The majority [opinion} acknowledges that </w:t>
      </w:r>
      <w:r w:rsidRPr="00B91070">
        <w:rPr>
          <w:rFonts w:ascii="Times New Roman" w:hAnsi="Times New Roman"/>
          <w:sz w:val="24"/>
          <w:szCs w:val="24"/>
        </w:rPr>
        <w:t>if Officer Bowers had reasonably believed that personal intervention would</w:t>
      </w:r>
      <w:r>
        <w:rPr>
          <w:rFonts w:ascii="Times New Roman" w:hAnsi="Times New Roman"/>
          <w:sz w:val="24"/>
          <w:szCs w:val="24"/>
        </w:rPr>
        <w:t xml:space="preserve"> </w:t>
      </w:r>
      <w:r w:rsidRPr="00B91070">
        <w:rPr>
          <w:rFonts w:ascii="Times New Roman" w:hAnsi="Times New Roman"/>
          <w:sz w:val="24"/>
          <w:szCs w:val="24"/>
        </w:rPr>
        <w:t>not have helped Mr. Heeter, he would not have been deliberately indifferent in failing to render</w:t>
      </w:r>
      <w:r>
        <w:rPr>
          <w:rFonts w:ascii="Times New Roman" w:hAnsi="Times New Roman"/>
          <w:sz w:val="24"/>
          <w:szCs w:val="24"/>
        </w:rPr>
        <w:t xml:space="preserve"> </w:t>
      </w:r>
      <w:r w:rsidRPr="00B91070">
        <w:rPr>
          <w:rFonts w:ascii="Times New Roman" w:hAnsi="Times New Roman"/>
          <w:sz w:val="24"/>
          <w:szCs w:val="24"/>
        </w:rPr>
        <w:t>any basic first aid under our precedent.</w:t>
      </w:r>
      <w:r>
        <w:rPr>
          <w:rFonts w:ascii="Times New Roman" w:hAnsi="Times New Roman"/>
          <w:sz w:val="24"/>
          <w:szCs w:val="24"/>
        </w:rPr>
        <w:t xml:space="preserve"> *** </w:t>
      </w:r>
      <w:r w:rsidRPr="004D46F5">
        <w:rPr>
          <w:rFonts w:ascii="Times New Roman" w:hAnsi="Times New Roman"/>
          <w:sz w:val="24"/>
          <w:szCs w:val="24"/>
        </w:rPr>
        <w:t>Because we do not have jurisdiction to review the factual disputes</w:t>
      </w:r>
      <w:r>
        <w:rPr>
          <w:rFonts w:ascii="Times New Roman" w:hAnsi="Times New Roman"/>
          <w:sz w:val="24"/>
          <w:szCs w:val="24"/>
        </w:rPr>
        <w:t xml:space="preserve"> </w:t>
      </w:r>
      <w:r w:rsidRPr="004D46F5">
        <w:rPr>
          <w:rFonts w:ascii="Times New Roman" w:hAnsi="Times New Roman"/>
          <w:sz w:val="24"/>
          <w:szCs w:val="24"/>
        </w:rPr>
        <w:t>Defendants present, I respectfully dissent from the majority’s choice to find jurisdiction in this</w:t>
      </w:r>
      <w:r>
        <w:rPr>
          <w:rFonts w:ascii="Times New Roman" w:hAnsi="Times New Roman"/>
          <w:sz w:val="24"/>
          <w:szCs w:val="24"/>
        </w:rPr>
        <w:t xml:space="preserve"> </w:t>
      </w:r>
      <w:r w:rsidRPr="004D46F5">
        <w:rPr>
          <w:rFonts w:ascii="Times New Roman" w:hAnsi="Times New Roman"/>
          <w:sz w:val="24"/>
          <w:szCs w:val="24"/>
        </w:rPr>
        <w:t>case. We should dismiss this qualified immunity appeal for lack of jurisdiction.</w:t>
      </w:r>
    </w:p>
    <w:p w14:paraId="2DCC3FBA" w14:textId="77777777" w:rsidR="001C2F88" w:rsidRPr="00A94EA2" w:rsidRDefault="001C2F88" w:rsidP="001C2F88">
      <w:pPr>
        <w:pStyle w:val="NoSpacing"/>
        <w:ind w:left="720"/>
        <w:rPr>
          <w:rFonts w:ascii="Times New Roman" w:hAnsi="Times New Roman"/>
          <w:sz w:val="24"/>
          <w:szCs w:val="24"/>
        </w:rPr>
      </w:pPr>
    </w:p>
    <w:p w14:paraId="0FB5864F" w14:textId="77777777" w:rsidR="001C2F88" w:rsidRPr="00A94EA2" w:rsidRDefault="001C2F88" w:rsidP="001C2F88">
      <w:pPr>
        <w:pStyle w:val="NoSpacing"/>
        <w:rPr>
          <w:rFonts w:ascii="Times New Roman" w:hAnsi="Times New Roman"/>
          <w:sz w:val="24"/>
          <w:szCs w:val="24"/>
        </w:rPr>
      </w:pPr>
    </w:p>
    <w:p w14:paraId="41EE3FF8" w14:textId="77777777" w:rsidR="001C2F88" w:rsidRPr="00C52C47" w:rsidRDefault="001C2F88" w:rsidP="001C2F88">
      <w:pPr>
        <w:pStyle w:val="NoSpacing"/>
        <w:rPr>
          <w:rFonts w:ascii="Times New Roman" w:hAnsi="Times New Roman"/>
          <w:b/>
          <w:bCs/>
          <w:sz w:val="24"/>
          <w:szCs w:val="24"/>
        </w:rPr>
      </w:pPr>
      <w:r w:rsidRPr="00C52C47">
        <w:rPr>
          <w:rFonts w:ascii="Times New Roman" w:hAnsi="Times New Roman"/>
          <w:b/>
          <w:bCs/>
          <w:sz w:val="24"/>
          <w:szCs w:val="24"/>
        </w:rPr>
        <w:t xml:space="preserve">Legal Lesson Learned: </w:t>
      </w:r>
      <w:r>
        <w:rPr>
          <w:rFonts w:ascii="Times New Roman" w:hAnsi="Times New Roman"/>
          <w:b/>
          <w:bCs/>
          <w:sz w:val="24"/>
          <w:szCs w:val="24"/>
        </w:rPr>
        <w:t>Under the 6</w:t>
      </w:r>
      <w:r w:rsidRPr="00C64006">
        <w:rPr>
          <w:rFonts w:ascii="Times New Roman" w:hAnsi="Times New Roman"/>
          <w:b/>
          <w:bCs/>
          <w:sz w:val="24"/>
          <w:szCs w:val="24"/>
          <w:vertAlign w:val="superscript"/>
        </w:rPr>
        <w:t>th</w:t>
      </w:r>
      <w:r>
        <w:rPr>
          <w:rFonts w:ascii="Times New Roman" w:hAnsi="Times New Roman"/>
          <w:b/>
          <w:bCs/>
          <w:sz w:val="24"/>
          <w:szCs w:val="24"/>
        </w:rPr>
        <w:t xml:space="preserve"> Circuit’s 2008 Jones v. City of Cincinnati case, police officers in 6</w:t>
      </w:r>
      <w:r w:rsidRPr="00C64006">
        <w:rPr>
          <w:rFonts w:ascii="Times New Roman" w:hAnsi="Times New Roman"/>
          <w:b/>
          <w:bCs/>
          <w:sz w:val="24"/>
          <w:szCs w:val="24"/>
          <w:vertAlign w:val="superscript"/>
        </w:rPr>
        <w:t>th</w:t>
      </w:r>
      <w:r>
        <w:rPr>
          <w:rFonts w:ascii="Times New Roman" w:hAnsi="Times New Roman"/>
          <w:b/>
          <w:bCs/>
          <w:sz w:val="24"/>
          <w:szCs w:val="24"/>
        </w:rPr>
        <w:t xml:space="preserve"> Circuit states [Ohio, Michigan, Kentucky, Tennessee] must render first aid to person in their custody.  Fire &amp; EMS when calling PD to scene of violent person should stage nearby. </w:t>
      </w:r>
    </w:p>
    <w:p w14:paraId="6C18DA91" w14:textId="77777777" w:rsidR="001C2F88" w:rsidRPr="00C52C47" w:rsidRDefault="001C2F88" w:rsidP="001C2F88">
      <w:pPr>
        <w:pStyle w:val="NoSpacing"/>
        <w:rPr>
          <w:rFonts w:ascii="Times New Roman" w:hAnsi="Times New Roman"/>
          <w:b/>
          <w:bCs/>
          <w:sz w:val="24"/>
          <w:szCs w:val="24"/>
        </w:rPr>
      </w:pPr>
    </w:p>
    <w:p w14:paraId="1085E5D7" w14:textId="77777777" w:rsidR="001C2F88" w:rsidRPr="004913F6" w:rsidRDefault="001C2F88" w:rsidP="001C2F88">
      <w:pPr>
        <w:pStyle w:val="NormalWeb"/>
        <w:spacing w:before="0" w:beforeAutospacing="0"/>
        <w:ind w:left="1440"/>
      </w:pPr>
      <w:r>
        <w:rPr>
          <w:color w:val="454545"/>
          <w:shd w:val="clear" w:color="auto" w:fill="FFFFFF"/>
        </w:rPr>
        <w:t xml:space="preserve">Note:  EMS agencies using body cameras. See this May 2, </w:t>
      </w:r>
      <w:proofErr w:type="gramStart"/>
      <w:r>
        <w:rPr>
          <w:color w:val="454545"/>
          <w:shd w:val="clear" w:color="auto" w:fill="FFFFFF"/>
        </w:rPr>
        <w:t>2024</w:t>
      </w:r>
      <w:proofErr w:type="gramEnd"/>
      <w:r>
        <w:rPr>
          <w:color w:val="454545"/>
          <w:shd w:val="clear" w:color="auto" w:fill="FFFFFF"/>
        </w:rPr>
        <w:t xml:space="preserve"> article: “</w:t>
      </w:r>
      <w:r w:rsidRPr="004913F6">
        <w:rPr>
          <w:rStyle w:val="title-main"/>
          <w:rFonts w:eastAsiaTheme="majorEastAsia"/>
          <w:color w:val="212529"/>
        </w:rPr>
        <w:t>Body Cams Help New Orleans EMS Protect Providers While Prioritizing Patient Safety</w:t>
      </w:r>
      <w:r>
        <w:rPr>
          <w:rStyle w:val="title-main"/>
          <w:rFonts w:eastAsiaTheme="majorEastAsia"/>
          <w:color w:val="212529"/>
        </w:rPr>
        <w:t xml:space="preserve">.” </w:t>
      </w:r>
      <w:hyperlink r:id="rId2190" w:history="1">
        <w:r w:rsidRPr="004913F6">
          <w:rPr>
            <w:rStyle w:val="Hyperlink"/>
          </w:rPr>
          <w:t>https://www.hmpgloballearningnetwork.com/site/emsworld/feature-story/body-cams-help-new-orleans-ems-protect-providers-while-prioritizing</w:t>
        </w:r>
      </w:hyperlink>
      <w:r>
        <w:t xml:space="preserve"> </w:t>
      </w:r>
    </w:p>
    <w:p w14:paraId="7BCF11A3" w14:textId="77777777" w:rsidR="001C2F88" w:rsidRDefault="001C2F88" w:rsidP="001C2F88">
      <w:pPr>
        <w:pStyle w:val="NormalWeb"/>
        <w:spacing w:before="0" w:beforeAutospacing="0"/>
        <w:ind w:left="1440"/>
        <w:rPr>
          <w:color w:val="454545"/>
          <w:shd w:val="clear" w:color="auto" w:fill="FFFFFF"/>
        </w:rPr>
      </w:pPr>
      <w:r>
        <w:rPr>
          <w:rFonts w:ascii="acumin-pro" w:hAnsi="acumin-pro"/>
          <w:color w:val="212529"/>
          <w:shd w:val="clear" w:color="auto" w:fill="FFFFFF"/>
        </w:rPr>
        <w:t>“New Orleans EMS embarked on a soft launch of body cameras in late 2022 to determine if staff wanted them and to calculate costs. The first deployment was 15 cameras, which recently increased to 30 more.”</w:t>
      </w:r>
    </w:p>
    <w:p w14:paraId="51E4A4AE" w14:textId="77777777" w:rsidR="001C2F88" w:rsidRDefault="001C2F88" w:rsidP="001C2F88">
      <w:pPr>
        <w:pStyle w:val="NormalWeb"/>
        <w:spacing w:before="0" w:beforeAutospacing="0"/>
        <w:rPr>
          <w:color w:val="454545"/>
          <w:shd w:val="clear" w:color="auto" w:fill="FFFFFF"/>
        </w:rPr>
      </w:pPr>
    </w:p>
    <w:p w14:paraId="7F460D65" w14:textId="77777777" w:rsidR="001C2F88" w:rsidRPr="001C2F88" w:rsidRDefault="001C2F88" w:rsidP="001C2F88">
      <w:pPr>
        <w:pStyle w:val="NormalWeb"/>
        <w:shd w:val="clear" w:color="auto" w:fill="FFFFFF"/>
        <w:spacing w:before="0" w:beforeAutospacing="0"/>
        <w:rPr>
          <w:rFonts w:ascii="Arial Black" w:hAnsi="Arial Black"/>
          <w:color w:val="454545"/>
          <w:sz w:val="28"/>
          <w:szCs w:val="28"/>
          <w:shd w:val="clear" w:color="auto" w:fill="FFFFFF"/>
        </w:rPr>
      </w:pPr>
      <w:r w:rsidRPr="001C2F88">
        <w:rPr>
          <w:rFonts w:ascii="Arial Black" w:hAnsi="Arial Black"/>
          <w:color w:val="454545"/>
          <w:sz w:val="28"/>
          <w:szCs w:val="28"/>
          <w:shd w:val="clear" w:color="auto" w:fill="FFFFFF"/>
        </w:rPr>
        <w:t>13-183</w:t>
      </w:r>
    </w:p>
    <w:p w14:paraId="38D674E8" w14:textId="7FA1DA71" w:rsidR="001C2F88" w:rsidRPr="006F4104" w:rsidRDefault="001C2F88" w:rsidP="001C2F88">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 xml:space="preserve">ME: COVID VACCINATIONS  – 17 EMS SUED - STATE EMS HAD THE STATUTORY AUTHORITY REQ. EMS VACCINATED </w:t>
      </w:r>
    </w:p>
    <w:p w14:paraId="164FC379" w14:textId="77777777" w:rsidR="001C2F88" w:rsidRDefault="001C2F88" w:rsidP="001C2F88">
      <w:pPr>
        <w:pStyle w:val="NormalWeb"/>
        <w:shd w:val="clear" w:color="auto" w:fill="FFFFFF"/>
        <w:spacing w:before="0" w:beforeAutospacing="0"/>
      </w:pPr>
      <w:r>
        <w:rPr>
          <w:color w:val="454545"/>
        </w:rPr>
        <w:t xml:space="preserve">On April 25, 2024, in </w:t>
      </w:r>
      <w:r w:rsidRPr="0065594D">
        <w:rPr>
          <w:color w:val="454545"/>
          <w:u w:val="single"/>
        </w:rPr>
        <w:t>Chris Calnan, et al. v. San Hurley</w:t>
      </w:r>
      <w:r>
        <w:rPr>
          <w:color w:val="454545"/>
        </w:rPr>
        <w:t xml:space="preserve">, [Director of </w:t>
      </w:r>
      <w:r>
        <w:t xml:space="preserve">Maine Emergency Medical Services], the Supreme Court of Maine held (6 to 0) that trial court properly dismissed the plaintiffs’ complaint for a declaratory judgment, and EMS lost wages for failure to get vaccinated. </w:t>
      </w:r>
      <w:hyperlink r:id="rId2191" w:history="1">
        <w:r w:rsidRPr="007C1F1F">
          <w:rPr>
            <w:rStyle w:val="Hyperlink"/>
          </w:rPr>
          <w:t>https://www.courts.maine.gov/courts/sjc/lawcourt/2024/24me030.pdf</w:t>
        </w:r>
      </w:hyperlink>
      <w:r>
        <w:t xml:space="preserve"> </w:t>
      </w:r>
    </w:p>
    <w:p w14:paraId="0D0AAE9C" w14:textId="77777777" w:rsidR="001C2F88" w:rsidRDefault="001C2F88" w:rsidP="001C2F88">
      <w:pPr>
        <w:pStyle w:val="NormalWeb"/>
        <w:shd w:val="clear" w:color="auto" w:fill="FFFFFF"/>
        <w:spacing w:before="0" w:beforeAutospacing="0"/>
      </w:pPr>
      <w:r>
        <w:t>COURT HELD:</w:t>
      </w:r>
    </w:p>
    <w:p w14:paraId="6DD94C3E" w14:textId="77777777" w:rsidR="001C2F88" w:rsidRDefault="001C2F88" w:rsidP="001C2F88">
      <w:pPr>
        <w:pStyle w:val="NormalWeb"/>
        <w:shd w:val="clear" w:color="auto" w:fill="FFFFFF"/>
        <w:spacing w:before="0" w:beforeAutospacing="0"/>
        <w:ind w:left="720"/>
      </w:pPr>
      <w:r>
        <w:t xml:space="preserve">“The Maine Emergency Medical Services Act of 1982 (EMS Act) provides for the EMS system in Maine. </w:t>
      </w:r>
      <w:r>
        <w:rPr>
          <w:rStyle w:val="Emphasis"/>
          <w:rFonts w:eastAsiaTheme="majorEastAsia"/>
        </w:rPr>
        <w:t>See</w:t>
      </w:r>
      <w:r>
        <w:t xml:space="preserve"> 32 M.R.S. §§ 81-98 (2024).</w:t>
      </w:r>
    </w:p>
    <w:p w14:paraId="444EE1DB" w14:textId="77777777" w:rsidR="001C2F88" w:rsidRDefault="001C2F88" w:rsidP="001C2F88">
      <w:pPr>
        <w:pStyle w:val="NormalWeb"/>
        <w:shd w:val="clear" w:color="auto" w:fill="FFFFFF"/>
        <w:spacing w:before="0" w:beforeAutospacing="0"/>
        <w:ind w:left="720"/>
      </w:pPr>
      <w:r>
        <w:t>***</w:t>
      </w:r>
    </w:p>
    <w:p w14:paraId="213B67CD" w14:textId="77777777" w:rsidR="001C2F88" w:rsidRDefault="001C2F88" w:rsidP="001C2F88">
      <w:pPr>
        <w:pStyle w:val="NormalWeb"/>
        <w:ind w:left="720"/>
      </w:pPr>
      <w:r>
        <w:t xml:space="preserve">The statute unambiguously delegates to the EMS Board rulemaking authority regarding qualifications of EMS personnel, and its statutory purpose clearly vests the EMS Board with the responsibility of creating standards and qualifications for such personnel. </w:t>
      </w:r>
    </w:p>
    <w:p w14:paraId="7F09E3C2" w14:textId="77777777" w:rsidR="001C2F88" w:rsidRDefault="001C2F88" w:rsidP="001C2F88">
      <w:pPr>
        <w:pStyle w:val="NormalWeb"/>
        <w:ind w:left="720"/>
      </w:pPr>
      <w:r>
        <w:t xml:space="preserve">Calnan argues that unlike in the chapter relating to the Department of Health and Human Services, </w:t>
      </w:r>
      <w:r>
        <w:rPr>
          <w:rStyle w:val="Emphasis"/>
          <w:rFonts w:eastAsiaTheme="majorEastAsia"/>
        </w:rPr>
        <w:t>see</w:t>
      </w:r>
      <w:r>
        <w:t xml:space="preserve"> 22 M.R.S. § 802 (2024), which gives the Department of Health and Human Services express authority to promulgate immunization rules for healthcare workers, Section 81-A does not specifically confer such authority on the EMS Board. Thus, he maintains, it is beyond the power of the EMS Board to address immunization in its rules. We disagree.”</w:t>
      </w:r>
    </w:p>
    <w:p w14:paraId="4391B8E4" w14:textId="77777777" w:rsidR="001C2F88" w:rsidRPr="00897F33" w:rsidRDefault="001C2F88" w:rsidP="001C2F88">
      <w:pPr>
        <w:pStyle w:val="NormalWeb"/>
        <w:shd w:val="clear" w:color="auto" w:fill="FFFFFF"/>
        <w:spacing w:before="0" w:beforeAutospacing="0"/>
        <w:rPr>
          <w:b/>
          <w:bCs/>
        </w:rPr>
      </w:pPr>
      <w:r w:rsidRPr="00897F33">
        <w:rPr>
          <w:b/>
          <w:bCs/>
        </w:rPr>
        <w:t xml:space="preserve">Legal Lesson Learned: </w:t>
      </w:r>
      <w:r>
        <w:rPr>
          <w:b/>
          <w:bCs/>
        </w:rPr>
        <w:t xml:space="preserve">This is another case upholding State EMS agencies authority to require COVID vaccination. </w:t>
      </w:r>
    </w:p>
    <w:p w14:paraId="486ED613" w14:textId="77777777" w:rsidR="001C2F88" w:rsidRDefault="001C2F88" w:rsidP="001C2F88">
      <w:pPr>
        <w:pStyle w:val="NormalWeb"/>
        <w:shd w:val="clear" w:color="auto" w:fill="FFFFFF"/>
        <w:spacing w:before="0" w:beforeAutospacing="0"/>
        <w:ind w:left="720"/>
        <w:rPr>
          <w:color w:val="454545"/>
        </w:rPr>
      </w:pPr>
      <w:r>
        <w:rPr>
          <w:color w:val="454545"/>
        </w:rPr>
        <w:t>Note: The Court referenced other similar court decisions.</w:t>
      </w:r>
    </w:p>
    <w:p w14:paraId="5F17692C" w14:textId="77777777" w:rsidR="001C2F88" w:rsidRDefault="001C2F88" w:rsidP="001C2F88">
      <w:pPr>
        <w:pStyle w:val="NormalWeb"/>
        <w:ind w:left="720"/>
      </w:pPr>
      <w:r>
        <w:t xml:space="preserve">“Although Calnan challenges the EMS Board's overall authority </w:t>
      </w:r>
      <w:proofErr w:type="gramStart"/>
      <w:r>
        <w:t>with regard to</w:t>
      </w:r>
      <w:proofErr w:type="gramEnd"/>
      <w:r>
        <w:t xml:space="preserve"> immunization, when the EMS Board initially promulgated the rule in 2021, public policy supported requirements that certain people, especially healthcare workers such as EMS personnel, be vaccinated. </w:t>
      </w:r>
      <w:r>
        <w:rPr>
          <w:rStyle w:val="Emphasis"/>
          <w:rFonts w:eastAsiaTheme="majorEastAsia"/>
        </w:rPr>
        <w:t>See In re City of Newark</w:t>
      </w:r>
      <w:r>
        <w:t xml:space="preserve">, 264 A.3d at 327 ("Th[e] right ['to hire or direct its workforce',] coupled with the clear national and state public policy to combat the health threats posed by COVID-19, supports the City's authority to implement a vaccination mandate."); </w:t>
      </w:r>
      <w:r>
        <w:rPr>
          <w:rStyle w:val="Emphasis"/>
          <w:rFonts w:eastAsiaTheme="majorEastAsia"/>
        </w:rPr>
        <w:t>Boston Firefighters Union, Loc. 718 v. City of Boston</w:t>
      </w:r>
      <w:r>
        <w:t>, 205 N.E.3d 282, 294-95 (Mass. 2023) (‘[V]</w:t>
      </w:r>
      <w:proofErr w:type="spellStart"/>
      <w:r>
        <w:t>accination</w:t>
      </w:r>
      <w:proofErr w:type="spellEnd"/>
      <w:r>
        <w:t xml:space="preserve"> against COVID-19 not only protected the health of the city residents, but also protected the [City's] ability to continue to maintain a sufficiently healthy workforce during the Omicron surge, as would be needed to deliver emergency public safety services to the residents of the city.’). We conclude that the EMS Board did not exceed its statutory authority in issuing the EMS immunization rule.”</w:t>
      </w:r>
    </w:p>
    <w:p w14:paraId="202AA7C2" w14:textId="77777777" w:rsidR="001C2F88" w:rsidRDefault="001C2F88" w:rsidP="001C2F88">
      <w:pPr>
        <w:pStyle w:val="NormalWeb"/>
        <w:shd w:val="clear" w:color="auto" w:fill="FFFFFF"/>
        <w:spacing w:before="0" w:beforeAutospacing="0"/>
        <w:ind w:left="720"/>
        <w:rPr>
          <w:color w:val="454545"/>
        </w:rPr>
      </w:pPr>
    </w:p>
    <w:p w14:paraId="44693D4A"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13-182</w:t>
      </w:r>
    </w:p>
    <w:p w14:paraId="09353AD6" w14:textId="1C24A20B" w:rsidR="001C2F88" w:rsidRPr="008205D8" w:rsidRDefault="001C2F88" w:rsidP="001C2F88">
      <w:pPr>
        <w:pStyle w:val="NormalWeb"/>
        <w:rPr>
          <w:rFonts w:ascii="Arial Black" w:hAnsi="Arial Black"/>
          <w:sz w:val="28"/>
          <w:szCs w:val="28"/>
        </w:rPr>
      </w:pPr>
      <w:r>
        <w:rPr>
          <w:rFonts w:ascii="Arial Black" w:hAnsi="Arial Black"/>
          <w:sz w:val="28"/>
          <w:szCs w:val="28"/>
        </w:rPr>
        <w:t>NJ: UNCONSCIOUS DIABETIC – IV SITE ADVERSE REACTION TO DEXTROSE – MEDICS ACTED GOOD FAITH - IMMUNITY</w:t>
      </w:r>
    </w:p>
    <w:p w14:paraId="5A1ED38C" w14:textId="77777777" w:rsidR="001C2F88" w:rsidRDefault="001C2F88" w:rsidP="001C2F88">
      <w:pPr>
        <w:pStyle w:val="NormalWeb"/>
      </w:pPr>
      <w:r>
        <w:t xml:space="preserve">On April 24, 2024, in </w:t>
      </w:r>
      <w:r w:rsidRPr="00C71E18">
        <w:rPr>
          <w:u w:val="single"/>
        </w:rPr>
        <w:t>Robin Newsome v. Inspira Health Network, Inc, and Gloucester County Emergency Medical Service</w:t>
      </w:r>
      <w:r>
        <w:t xml:space="preserve">, the Superior Court of New Jersey, Appellate Division, held (3 to 0) that trial court properly granted summary judgment for the defense since the two medics acted in good faith. Four years prior, one of medics </w:t>
      </w:r>
      <w:proofErr w:type="gramStart"/>
      <w:r>
        <w:t>had transported</w:t>
      </w:r>
      <w:proofErr w:type="gramEnd"/>
      <w:r>
        <w:t xml:space="preserve"> the patient and did not use dextrose when husband told him about her adverse reaction (used glucagon instead); husband claims that he again warned the medic.  The patient when transported to hospital recovered but needed emergency “compartment syndrome” surgery to repair IV site. </w:t>
      </w:r>
      <w:hyperlink r:id="rId2192" w:history="1">
        <w:r w:rsidRPr="007C1F1F">
          <w:rPr>
            <w:rStyle w:val="Hyperlink"/>
          </w:rPr>
          <w:t>https://casetext.com/case/newsome-v-inspira-health-network-inc</w:t>
        </w:r>
      </w:hyperlink>
      <w:r>
        <w:t xml:space="preserve"> </w:t>
      </w:r>
    </w:p>
    <w:p w14:paraId="6BA6775A" w14:textId="77777777" w:rsidR="001C2F88" w:rsidRDefault="001C2F88" w:rsidP="001C2F88">
      <w:pPr>
        <w:pStyle w:val="NormalWeb"/>
      </w:pPr>
      <w:r>
        <w:t>COURT HELD:</w:t>
      </w:r>
    </w:p>
    <w:p w14:paraId="6C3D9B33" w14:textId="77777777" w:rsidR="001C2F88" w:rsidRDefault="001C2F88" w:rsidP="001C2F88">
      <w:pPr>
        <w:pStyle w:val="NormalWeb"/>
        <w:ind w:left="720"/>
      </w:pPr>
      <w:r>
        <w:t xml:space="preserve">“Therefore, we agree with the trial court's determination the initial communication, or miscommunication, was in the scope of rendering life support services, and thus conduct the Legislature intended to afford the shield of immunity. </w:t>
      </w:r>
    </w:p>
    <w:p w14:paraId="1277D5C3" w14:textId="77777777" w:rsidR="001C2F88" w:rsidRDefault="001C2F88" w:rsidP="001C2F88">
      <w:pPr>
        <w:pStyle w:val="NormalWeb"/>
        <w:ind w:left="720"/>
      </w:pPr>
      <w:r>
        <w:t xml:space="preserve">The paramedics' conduct must then be measured against the good faith standard, not negligence. </w:t>
      </w:r>
      <w:proofErr w:type="gramStart"/>
      <w:r>
        <w:t>Generally, ‘</w:t>
      </w:r>
      <w:proofErr w:type="gramEnd"/>
      <w:r>
        <w:t xml:space="preserve">good faith’ exists where there is ‘honesty of purpose and integrity of conduct without knowledge, either actual or sufficient to demand inquiry, that the conduct is wrong.’ </w:t>
      </w:r>
      <w:r>
        <w:rPr>
          <w:rStyle w:val="Emphasis"/>
          <w:rFonts w:eastAsiaTheme="majorEastAsia"/>
        </w:rPr>
        <w:t>Frields v. St. Joseph's Hosp.</w:t>
      </w:r>
      <w:r>
        <w:t xml:space="preserve">, 305 </w:t>
      </w:r>
      <w:proofErr w:type="spellStart"/>
      <w:r>
        <w:t>N.J.Super</w:t>
      </w:r>
      <w:proofErr w:type="spellEnd"/>
      <w:r>
        <w:t xml:space="preserve">. 244, 248 (App. Div. 1997) (quoting </w:t>
      </w:r>
      <w:r>
        <w:rPr>
          <w:rStyle w:val="Emphasis"/>
          <w:rFonts w:eastAsiaTheme="majorEastAsia"/>
        </w:rPr>
        <w:t>Marley v. Borough of Palmyra</w:t>
      </w:r>
      <w:r>
        <w:t xml:space="preserve">, 193 </w:t>
      </w:r>
      <w:proofErr w:type="spellStart"/>
      <w:r>
        <w:t>N.J.Super</w:t>
      </w:r>
      <w:proofErr w:type="spellEnd"/>
      <w:r>
        <w:t xml:space="preserve">. 271, 294 (Law Div. </w:t>
      </w:r>
      <w:proofErr w:type="gramStart"/>
      <w:r>
        <w:t>1983))</w:t>
      </w:r>
      <w:proofErr w:type="gramEnd"/>
      <w:r>
        <w:t xml:space="preserve">. While the issue of good faith is often determined in a plenary hearing, summary judgment is proper where the defendant demonstrates that the actions ‘were objectively reasonable or that they performed them with subjective good faith.’ </w:t>
      </w:r>
      <w:proofErr w:type="spellStart"/>
      <w:r>
        <w:rPr>
          <w:rStyle w:val="Emphasis"/>
          <w:rFonts w:eastAsiaTheme="majorEastAsia"/>
        </w:rPr>
        <w:t>Canico</w:t>
      </w:r>
      <w:proofErr w:type="spellEnd"/>
      <w:r>
        <w:rPr>
          <w:rStyle w:val="Emphasis"/>
          <w:rFonts w:eastAsiaTheme="majorEastAsia"/>
        </w:rPr>
        <w:t xml:space="preserve"> v. Hurtado</w:t>
      </w:r>
      <w:r>
        <w:t xml:space="preserve">, 144 N.J. 361, 365 (1996). ‘This test recognizes that even a person who acted negligently is entitled to a qualified immunity, if he acted in an objectively reasonable manner.’ </w:t>
      </w:r>
      <w:r>
        <w:rPr>
          <w:rStyle w:val="Emphasis"/>
          <w:rFonts w:eastAsiaTheme="majorEastAsia"/>
        </w:rPr>
        <w:t>Frields</w:t>
      </w:r>
      <w:r>
        <w:t xml:space="preserve">, 305 </w:t>
      </w:r>
      <w:proofErr w:type="spellStart"/>
      <w:r>
        <w:t>N.J.Super</w:t>
      </w:r>
      <w:proofErr w:type="spellEnd"/>
      <w:r>
        <w:t xml:space="preserve">. at 248 (citing </w:t>
      </w:r>
      <w:r>
        <w:rPr>
          <w:rStyle w:val="Emphasis"/>
          <w:rFonts w:eastAsiaTheme="majorEastAsia"/>
        </w:rPr>
        <w:t>id.</w:t>
      </w:r>
      <w:r>
        <w:t xml:space="preserve"> at 366).”</w:t>
      </w:r>
    </w:p>
    <w:p w14:paraId="5371A139" w14:textId="55B897E3" w:rsidR="001C2F88" w:rsidRPr="00833362" w:rsidRDefault="001C2F88" w:rsidP="001C2F88">
      <w:pPr>
        <w:pStyle w:val="paragraph"/>
        <w:rPr>
          <w:b/>
          <w:bCs/>
        </w:rPr>
      </w:pPr>
      <w:r w:rsidRPr="00833362">
        <w:rPr>
          <w:b/>
          <w:bCs/>
        </w:rPr>
        <w:t>Legal Lesson Learned:</w:t>
      </w:r>
      <w:r>
        <w:rPr>
          <w:b/>
          <w:bCs/>
        </w:rPr>
        <w:t xml:space="preserve"> Medics acted in good faith, so they have immunity</w:t>
      </w:r>
      <w:r w:rsidR="00E237FA">
        <w:rPr>
          <w:b/>
          <w:bCs/>
        </w:rPr>
        <w:t xml:space="preserve">, </w:t>
      </w:r>
      <w:proofErr w:type="gramStart"/>
      <w:r w:rsidR="00E237FA">
        <w:rPr>
          <w:b/>
          <w:bCs/>
        </w:rPr>
        <w:t>and also</w:t>
      </w:r>
      <w:proofErr w:type="gramEnd"/>
      <w:r w:rsidR="00E237FA">
        <w:rPr>
          <w:b/>
          <w:bCs/>
        </w:rPr>
        <w:t xml:space="preserve"> </w:t>
      </w:r>
      <w:r w:rsidR="001B219E">
        <w:rPr>
          <w:b/>
          <w:bCs/>
        </w:rPr>
        <w:t xml:space="preserve">the employer. </w:t>
      </w:r>
    </w:p>
    <w:p w14:paraId="4942D841" w14:textId="77777777" w:rsidR="001C2F88" w:rsidRDefault="001C2F88" w:rsidP="001C2F88">
      <w:pPr>
        <w:pStyle w:val="paragraph"/>
        <w:ind w:left="720"/>
      </w:pPr>
    </w:p>
    <w:p w14:paraId="6B70A525"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13-181</w:t>
      </w:r>
    </w:p>
    <w:p w14:paraId="5534B55A" w14:textId="3E098940" w:rsidR="001C2F88" w:rsidRPr="00E664B1" w:rsidRDefault="001C2F88" w:rsidP="001C2F88">
      <w:pPr>
        <w:pStyle w:val="NormalWeb"/>
        <w:rPr>
          <w:rFonts w:ascii="Arial Black" w:hAnsi="Arial Black"/>
          <w:sz w:val="28"/>
          <w:szCs w:val="28"/>
        </w:rPr>
      </w:pPr>
      <w:r>
        <w:rPr>
          <w:rFonts w:ascii="Arial Black" w:hAnsi="Arial Black"/>
          <w:sz w:val="28"/>
          <w:szCs w:val="28"/>
        </w:rPr>
        <w:t>MN: MENTAL – POLICE TACKLED - MEDIC INJECTS KETAMINE – NO CASE</w:t>
      </w:r>
      <w:r w:rsidR="00395EA8">
        <w:rPr>
          <w:rFonts w:ascii="Arial Black" w:hAnsi="Arial Black"/>
          <w:sz w:val="28"/>
          <w:szCs w:val="28"/>
        </w:rPr>
        <w:t xml:space="preserve"> - </w:t>
      </w:r>
      <w:r>
        <w:rPr>
          <w:rFonts w:ascii="Arial Black" w:hAnsi="Arial Black"/>
          <w:sz w:val="28"/>
          <w:szCs w:val="28"/>
        </w:rPr>
        <w:t xml:space="preserve">BUT </w:t>
      </w:r>
      <w:r w:rsidR="0072252E">
        <w:rPr>
          <w:rFonts w:ascii="Arial Black" w:hAnsi="Arial Black"/>
          <w:sz w:val="28"/>
          <w:szCs w:val="28"/>
        </w:rPr>
        <w:t xml:space="preserve">AGENCY </w:t>
      </w:r>
      <w:r>
        <w:rPr>
          <w:rFonts w:ascii="Arial Black" w:hAnsi="Arial Black"/>
          <w:sz w:val="28"/>
          <w:szCs w:val="28"/>
        </w:rPr>
        <w:t>CAN’T RECOVER $4,690 COSTS</w:t>
      </w:r>
    </w:p>
    <w:p w14:paraId="621E2A31" w14:textId="77777777" w:rsidR="001C2F88" w:rsidRDefault="001C2F88" w:rsidP="001C2F88">
      <w:pPr>
        <w:pStyle w:val="NormalWeb"/>
      </w:pPr>
      <w:r>
        <w:t xml:space="preserve">On April 22, 2024, in </w:t>
      </w:r>
      <w:r w:rsidRPr="008F6E23">
        <w:rPr>
          <w:u w:val="single"/>
        </w:rPr>
        <w:t>Brandon Currie v. Clayton Aswegan, et al</w:t>
      </w:r>
      <w:r>
        <w:t xml:space="preserve">., United States District Court Judge Eric C. </w:t>
      </w:r>
      <w:proofErr w:type="spellStart"/>
      <w:r>
        <w:t>Tostrud</w:t>
      </w:r>
      <w:proofErr w:type="spellEnd"/>
      <w:r>
        <w:t xml:space="preserve">, U.S. District Court for District of Minnesota, held that even though he granted summary judgment for the defense, the EMS agency is denied court order to recover their costs in defending the litigation brought by homeless man living in tent in the woods, since the complaint did adequately allege a medical malpractice claim, supported by affidavit from medical expert.  </w:t>
      </w:r>
      <w:hyperlink r:id="rId2193" w:history="1">
        <w:r w:rsidRPr="007C1F1F">
          <w:rPr>
            <w:rStyle w:val="Hyperlink"/>
          </w:rPr>
          <w:t>https://casetext.com/case/currie-v-aswegan-1</w:t>
        </w:r>
      </w:hyperlink>
      <w:r>
        <w:t xml:space="preserve"> </w:t>
      </w:r>
    </w:p>
    <w:p w14:paraId="3A45743D" w14:textId="77777777" w:rsidR="001C2F88" w:rsidRDefault="001C2F88" w:rsidP="001C2F88">
      <w:pPr>
        <w:pStyle w:val="NormalWeb"/>
      </w:pPr>
      <w:r>
        <w:t xml:space="preserve">COURT HELD: </w:t>
      </w:r>
    </w:p>
    <w:p w14:paraId="15892B38" w14:textId="77777777" w:rsidR="001C2F88" w:rsidRDefault="001C2F88" w:rsidP="001C2F88">
      <w:pPr>
        <w:pStyle w:val="NormalWeb"/>
        <w:ind w:left="720"/>
      </w:pPr>
      <w:r>
        <w:t xml:space="preserve">“Allina Health Emergency Medical Services and paramedic Lawrence seek to recoup taxable costs under </w:t>
      </w:r>
      <w:hyperlink r:id="rId2194" w:history="1">
        <w:r>
          <w:rPr>
            <w:rStyle w:val="Hyperlink"/>
            <w:rFonts w:eastAsiaTheme="majorEastAsia"/>
          </w:rPr>
          <w:t>28 U.S.C. § 1920</w:t>
        </w:r>
      </w:hyperlink>
      <w:r>
        <w:t xml:space="preserve">. ECF No. 86. They seek to recover deposition transcript costs of $2,535.86 and copying costs of $2,154.92, for a total of $4,690.78. </w:t>
      </w:r>
      <w:r>
        <w:rPr>
          <w:i/>
          <w:iCs/>
        </w:rPr>
        <w:t>Id.</w:t>
      </w:r>
      <w:r>
        <w:t xml:space="preserve"> Mr. Currie objects. ECF No. 87. Because the record shows that Mr. Currie's financial circumstances are grim and his medical malpractice claim was not frivolous, the better answer is that it would be inequitable to allow costs. Therefore, Allina and Mr. Lawrence's bill of costs will not be allowed.”</w:t>
      </w:r>
    </w:p>
    <w:p w14:paraId="513E8B15" w14:textId="77777777" w:rsidR="001C2F88" w:rsidRDefault="001C2F88" w:rsidP="001C2F88">
      <w:pPr>
        <w:pStyle w:val="NormalWeb"/>
        <w:rPr>
          <w:b/>
          <w:bCs/>
        </w:rPr>
      </w:pPr>
      <w:r w:rsidRPr="00E47F73">
        <w:rPr>
          <w:b/>
          <w:bCs/>
        </w:rPr>
        <w:t>Legal Lesson Learned:</w:t>
      </w:r>
      <w:r>
        <w:rPr>
          <w:b/>
          <w:bCs/>
        </w:rPr>
        <w:t xml:space="preserve"> EMS use of ketamine in police incidents has been hot topic, including criminal prosecution of two Colorado medics and civil litigation around nation. </w:t>
      </w:r>
    </w:p>
    <w:p w14:paraId="676A947F" w14:textId="77777777" w:rsidR="001C2F88" w:rsidRDefault="001C2F88" w:rsidP="001C2F88">
      <w:pPr>
        <w:pStyle w:val="NormalWeb"/>
        <w:ind w:left="720"/>
      </w:pPr>
      <w:r w:rsidRPr="00CA4063">
        <w:t xml:space="preserve">Note: </w:t>
      </w:r>
    </w:p>
    <w:p w14:paraId="7ECFBAE1" w14:textId="77777777" w:rsidR="001C2F88" w:rsidRDefault="001C2F88" w:rsidP="001C2F88">
      <w:pPr>
        <w:pStyle w:val="Heading1"/>
        <w:ind w:left="720"/>
        <w:rPr>
          <w:sz w:val="24"/>
          <w:szCs w:val="24"/>
        </w:rPr>
      </w:pPr>
      <w:r>
        <w:rPr>
          <w:sz w:val="24"/>
          <w:szCs w:val="24"/>
        </w:rPr>
        <w:t>April 26, 2024, “</w:t>
      </w:r>
      <w:r w:rsidRPr="0005513B">
        <w:rPr>
          <w:sz w:val="24"/>
          <w:szCs w:val="24"/>
        </w:rPr>
        <w:t>Former Colorado paramedic Jeremy Cooper sentenced to probation, work release after conviction in death of Elijah McClain</w:t>
      </w:r>
      <w:r>
        <w:rPr>
          <w:sz w:val="24"/>
          <w:szCs w:val="24"/>
        </w:rPr>
        <w:t xml:space="preserve">,” </w:t>
      </w:r>
      <w:hyperlink r:id="rId2195" w:history="1">
        <w:r w:rsidRPr="007C1F1F">
          <w:rPr>
            <w:rStyle w:val="Hyperlink"/>
            <w:sz w:val="24"/>
            <w:szCs w:val="24"/>
          </w:rPr>
          <w:t>https://www.cbsnews.com/colorado/news/former-colorado-paramedic-jeremy-cooper-sentenced-conviction-death-elijah-mcclain/</w:t>
        </w:r>
      </w:hyperlink>
      <w:r>
        <w:rPr>
          <w:sz w:val="24"/>
          <w:szCs w:val="24"/>
        </w:rPr>
        <w:t xml:space="preserve"> </w:t>
      </w:r>
    </w:p>
    <w:p w14:paraId="0241356A" w14:textId="77777777" w:rsidR="001C2F88" w:rsidRPr="00A04715" w:rsidRDefault="001C2F88" w:rsidP="001C2F88">
      <w:pPr>
        <w:pStyle w:val="Heading1"/>
        <w:ind w:left="720"/>
        <w:rPr>
          <w:sz w:val="24"/>
          <w:szCs w:val="24"/>
        </w:rPr>
      </w:pPr>
      <w:r w:rsidRPr="00A04715">
        <w:rPr>
          <w:sz w:val="24"/>
          <w:szCs w:val="24"/>
        </w:rPr>
        <w:t xml:space="preserve">March 1, 2024, </w:t>
      </w:r>
      <w:r>
        <w:rPr>
          <w:sz w:val="24"/>
          <w:szCs w:val="24"/>
        </w:rPr>
        <w:t>“</w:t>
      </w:r>
      <w:r w:rsidRPr="00A04715">
        <w:rPr>
          <w:sz w:val="24"/>
          <w:szCs w:val="24"/>
        </w:rPr>
        <w:t>Former Colorado paramedic sentenced to 5 years after conviction in death of Elijah McClain</w:t>
      </w:r>
      <w:r>
        <w:rPr>
          <w:sz w:val="24"/>
          <w:szCs w:val="24"/>
        </w:rPr>
        <w:t xml:space="preserve">.” </w:t>
      </w:r>
      <w:hyperlink r:id="rId2196" w:history="1">
        <w:r w:rsidRPr="007C1F1F">
          <w:rPr>
            <w:rStyle w:val="Hyperlink"/>
            <w:sz w:val="24"/>
            <w:szCs w:val="24"/>
          </w:rPr>
          <w:t>https://www.cbsnews.com/colorado/news/aurora-colorado-paramedic-peter-cichuniec-sentenced-elijah-mcclain/</w:t>
        </w:r>
      </w:hyperlink>
      <w:r>
        <w:rPr>
          <w:sz w:val="24"/>
          <w:szCs w:val="24"/>
        </w:rPr>
        <w:t xml:space="preserve"> </w:t>
      </w:r>
    </w:p>
    <w:p w14:paraId="1AAAD7BC" w14:textId="77777777" w:rsidR="001C2F88" w:rsidRDefault="001C2F88" w:rsidP="001C2F88">
      <w:pPr>
        <w:pStyle w:val="Heading1"/>
        <w:ind w:left="720"/>
        <w:rPr>
          <w:sz w:val="24"/>
          <w:szCs w:val="24"/>
        </w:rPr>
      </w:pPr>
      <w:r w:rsidRPr="00EE4E88">
        <w:rPr>
          <w:sz w:val="24"/>
          <w:szCs w:val="24"/>
        </w:rPr>
        <w:t xml:space="preserve">Jan. 31, 2024, “Burlington </w:t>
      </w:r>
      <w:r>
        <w:rPr>
          <w:sz w:val="24"/>
          <w:szCs w:val="24"/>
        </w:rPr>
        <w:t xml:space="preserve">[Vermont] </w:t>
      </w:r>
      <w:r w:rsidRPr="00EE4E88">
        <w:rPr>
          <w:sz w:val="24"/>
          <w:szCs w:val="24"/>
        </w:rPr>
        <w:t xml:space="preserve">sued over claims of excessive force and inappropriate ketamine use on 14-year-old.” </w:t>
      </w:r>
      <w:hyperlink r:id="rId2197" w:history="1">
        <w:r w:rsidRPr="007C1F1F">
          <w:rPr>
            <w:rStyle w:val="Hyperlink"/>
            <w:sz w:val="24"/>
            <w:szCs w:val="24"/>
          </w:rPr>
          <w:t>https://www.vermontpublic.org/local-news/2024-01-31/burlington-sued-over-claims-of-excessive-force-and-inappropriate-ketamine-use-on-14-year-old</w:t>
        </w:r>
      </w:hyperlink>
      <w:r>
        <w:rPr>
          <w:sz w:val="24"/>
          <w:szCs w:val="24"/>
        </w:rPr>
        <w:t xml:space="preserve"> </w:t>
      </w:r>
    </w:p>
    <w:p w14:paraId="272311EE" w14:textId="77777777" w:rsidR="001C2F88" w:rsidRPr="00976E41" w:rsidRDefault="001C2F88" w:rsidP="001C2F88">
      <w:pPr>
        <w:pStyle w:val="NormalWeb"/>
        <w:ind w:left="720"/>
      </w:pPr>
      <w:r w:rsidRPr="0072252E">
        <w:rPr>
          <w:b/>
          <w:bCs/>
        </w:rPr>
        <w:t>Oct. 18, 2023, “Charleston County EMS under fire for using ketamine as lawsuits, settlements mount</w:t>
      </w:r>
      <w:r w:rsidRPr="00976E41">
        <w:t>.</w:t>
      </w:r>
      <w:r>
        <w:t xml:space="preserve">” </w:t>
      </w:r>
      <w:hyperlink r:id="rId2198" w:history="1">
        <w:r w:rsidRPr="007C1F1F">
          <w:rPr>
            <w:rStyle w:val="Hyperlink"/>
          </w:rPr>
          <w:t>https://www.postandcourier.com/news/charleston-county-ems-ketamine-lawsuit-settlement/article_682c754c-6d10-11ee-ac1b-ef7daf1ea208.html</w:t>
        </w:r>
      </w:hyperlink>
      <w:r>
        <w:t xml:space="preserve"> </w:t>
      </w:r>
      <w:r w:rsidRPr="00976E41">
        <w:t xml:space="preserve"> </w:t>
      </w:r>
    </w:p>
    <w:p w14:paraId="07739EA6" w14:textId="77777777" w:rsidR="001C2F88" w:rsidRDefault="001C2F88" w:rsidP="001C2F88">
      <w:pPr>
        <w:pStyle w:val="NormalWeb"/>
        <w:ind w:left="720"/>
      </w:pPr>
      <w:r w:rsidRPr="0072252E">
        <w:rPr>
          <w:b/>
          <w:bCs/>
        </w:rPr>
        <w:t>April 12, 2023, “Suit claims Utah providers fatally injected teen with large ketamine dose after car crash</w:t>
      </w:r>
      <w:r>
        <w:t xml:space="preserve">.” </w:t>
      </w:r>
      <w:hyperlink r:id="rId2199" w:history="1">
        <w:r w:rsidRPr="007C1F1F">
          <w:rPr>
            <w:rStyle w:val="Hyperlink"/>
          </w:rPr>
          <w:t>https://www.ems1.com/lawsuit/articles/suit-claims-utah-providers-fatally-injected-teen-with-large-ketamine-dose-after-car-crash-nkmBexayJBAx5TCo/</w:t>
        </w:r>
      </w:hyperlink>
      <w:r>
        <w:t xml:space="preserve"> </w:t>
      </w:r>
    </w:p>
    <w:p w14:paraId="7999E8D8" w14:textId="77777777" w:rsidR="001C2F88" w:rsidRDefault="001C2F88" w:rsidP="001C2F88">
      <w:pPr>
        <w:rPr>
          <w:rFonts w:ascii="Times New Roman" w:hAnsi="Times New Roman"/>
          <w:sz w:val="24"/>
          <w:szCs w:val="24"/>
        </w:rPr>
      </w:pPr>
    </w:p>
    <w:p w14:paraId="316336FC"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13-180</w:t>
      </w:r>
    </w:p>
    <w:p w14:paraId="6730D79D" w14:textId="235C923F" w:rsidR="001C2F88" w:rsidRPr="00323D7F" w:rsidRDefault="001C2F88" w:rsidP="001C2F88">
      <w:pPr>
        <w:pStyle w:val="NormalWeb"/>
        <w:rPr>
          <w:rFonts w:ascii="Arial Black" w:hAnsi="Arial Black"/>
          <w:sz w:val="28"/>
          <w:szCs w:val="28"/>
        </w:rPr>
      </w:pPr>
      <w:r>
        <w:rPr>
          <w:rFonts w:ascii="Arial Black" w:hAnsi="Arial Black"/>
          <w:sz w:val="28"/>
          <w:szCs w:val="28"/>
        </w:rPr>
        <w:t>OR: COVID – EMS URGED ROOMMATE DRIVE PT HOSPITAL – NO REFUSAL SIGNED / CARDIAC ARREST – CASE PROCEED</w:t>
      </w:r>
    </w:p>
    <w:p w14:paraId="57CC8EAE" w14:textId="77777777" w:rsidR="001C2F88" w:rsidRPr="006437DB" w:rsidRDefault="001C2F88" w:rsidP="001C2F88">
      <w:pPr>
        <w:pStyle w:val="NormalWeb"/>
        <w:rPr>
          <w:rStyle w:val="Strong"/>
          <w:rFonts w:eastAsiaTheme="majorEastAsia"/>
          <w:b w:val="0"/>
          <w:bCs w:val="0"/>
        </w:rPr>
      </w:pPr>
      <w:r w:rsidRPr="001C2F88">
        <w:rPr>
          <w:rStyle w:val="Strong"/>
          <w:rFonts w:eastAsiaTheme="majorEastAsia"/>
          <w:b w:val="0"/>
          <w:bCs w:val="0"/>
        </w:rPr>
        <w:t xml:space="preserve">On April 19, 2024, in </w:t>
      </w:r>
      <w:r w:rsidRPr="001C2F88">
        <w:rPr>
          <w:rStyle w:val="Strong"/>
          <w:rFonts w:eastAsiaTheme="majorEastAsia"/>
          <w:b w:val="0"/>
          <w:bCs w:val="0"/>
          <w:u w:val="single"/>
        </w:rPr>
        <w:t>Richard Vaughn, Jr., individually and as personal representative for the estate of Teresa Vaugh, et al. v. Klamath County Fire District No. 1, et al.</w:t>
      </w:r>
      <w:r w:rsidRPr="001C2F88">
        <w:rPr>
          <w:rStyle w:val="Strong"/>
          <w:rFonts w:eastAsiaTheme="majorEastAsia"/>
          <w:b w:val="0"/>
          <w:bCs w:val="0"/>
        </w:rPr>
        <w:t xml:space="preserve">, United States Magistrate Judge Mark D. Clarke, U.S. District Court of Oregon (Medford Division) denied defense motion for summary judgment. The actions of the two medics may be viewed by a jury as “state-created danger.” No patient refusal was ever signed, no vitals taken, and the patient’s roommate, </w:t>
      </w:r>
      <w:r w:rsidRPr="001C2F88">
        <w:t xml:space="preserve">Ms. </w:t>
      </w:r>
      <w:proofErr w:type="spellStart"/>
      <w:r w:rsidRPr="001C2F88">
        <w:t>Kimbol</w:t>
      </w:r>
      <w:proofErr w:type="spellEnd"/>
      <w:r w:rsidRPr="001C2F88">
        <w:t xml:space="preserve"> contends she responded: “Isn't that your fucking job? I wouldn't have called you.”</w:t>
      </w:r>
      <w:r>
        <w:t xml:space="preserve"> </w:t>
      </w:r>
      <w:hyperlink r:id="rId2200" w:history="1">
        <w:r w:rsidRPr="00E2199F">
          <w:rPr>
            <w:rStyle w:val="Hyperlink"/>
            <w:rFonts w:eastAsiaTheme="majorEastAsia"/>
          </w:rPr>
          <w:t>https://casetext.com/case/vaughn-v-klamath-cnty-fire-dist-no1-1</w:t>
        </w:r>
      </w:hyperlink>
      <w:r>
        <w:rPr>
          <w:rStyle w:val="Strong"/>
          <w:rFonts w:eastAsiaTheme="majorEastAsia"/>
        </w:rPr>
        <w:t xml:space="preserve"> </w:t>
      </w:r>
    </w:p>
    <w:p w14:paraId="5D8A9196" w14:textId="77777777" w:rsidR="001C2F88" w:rsidRDefault="001C2F88" w:rsidP="001C2F88">
      <w:pPr>
        <w:pStyle w:val="NormalWeb"/>
        <w:rPr>
          <w:rStyle w:val="Strong"/>
          <w:rFonts w:eastAsiaTheme="majorEastAsia"/>
        </w:rPr>
      </w:pPr>
      <w:r>
        <w:rPr>
          <w:rStyle w:val="Strong"/>
          <w:rFonts w:eastAsiaTheme="majorEastAsia"/>
        </w:rPr>
        <w:t>COURT HELD:</w:t>
      </w:r>
    </w:p>
    <w:p w14:paraId="2800024F" w14:textId="77777777" w:rsidR="001C2F88" w:rsidRDefault="001C2F88" w:rsidP="001C2F88">
      <w:pPr>
        <w:pStyle w:val="NormalWeb"/>
        <w:ind w:left="720"/>
      </w:pPr>
      <w:r>
        <w:t>“In light of such dispute, the Court finds that Plaintiffs have raised a genuine question as to whether Engler and Dustin's conduct crossed from mere inaction into affirmative action that placed Ms. Vaughn in a worse circumstance than she otherwise would have found herself in.</w:t>
      </w:r>
    </w:p>
    <w:p w14:paraId="236549DF" w14:textId="77777777" w:rsidR="001C2F88" w:rsidRDefault="001C2F88" w:rsidP="001C2F88">
      <w:pPr>
        <w:pStyle w:val="NormalWeb"/>
        <w:ind w:left="720"/>
      </w:pPr>
      <w:r>
        <w:t>***</w:t>
      </w:r>
    </w:p>
    <w:p w14:paraId="7FCFBA30" w14:textId="77777777" w:rsidR="001C2F88" w:rsidRDefault="001C2F88" w:rsidP="001C2F88">
      <w:pPr>
        <w:pStyle w:val="NormalWeb"/>
        <w:ind w:left="720"/>
      </w:pPr>
      <w:r>
        <w:t xml:space="preserve">Plaintiffs here have presented evidence that Engler and Dustin knew of Ms. Vaughn's Covid-19 diagnosis, were responding to her 911 call requesting urgent assistance, saw her in a state where she could barely </w:t>
      </w:r>
      <w:proofErr w:type="gramStart"/>
      <w:r>
        <w:t>breath</w:t>
      </w:r>
      <w:proofErr w:type="gramEnd"/>
      <w:r>
        <w:t xml:space="preserve"> or walk on her own, and still, they chose to cut off further aid . and abandon Ms. Vaughn and Ms. </w:t>
      </w:r>
      <w:proofErr w:type="spellStart"/>
      <w:r>
        <w:t>Kimbol</w:t>
      </w:r>
      <w:proofErr w:type="spellEnd"/>
      <w:r>
        <w:t xml:space="preserve">. Drawing all inferences in Plaintiffs' favor, reasonable minds could differ regarding whether </w:t>
      </w:r>
      <w:proofErr w:type="gramStart"/>
      <w:r>
        <w:t>Defendants</w:t>
      </w:r>
      <w:proofErr w:type="gramEnd"/>
      <w:r>
        <w:t xml:space="preserve"> actions rose beyond mere' negligence to deliberate indifference to the known danger presented by Ms. Vaughn's condition. The Court is further mindful that the danger and uncertainty surrounding Covid-19 in December 2020 was significantly heightened compared to our current understanding in 2024.</w:t>
      </w:r>
    </w:p>
    <w:p w14:paraId="5F26BCE5" w14:textId="77777777" w:rsidR="001C2F88" w:rsidRDefault="001C2F88" w:rsidP="001C2F88">
      <w:pPr>
        <w:pStyle w:val="NormalWeb"/>
        <w:rPr>
          <w:rStyle w:val="Strong"/>
          <w:rFonts w:eastAsiaTheme="majorEastAsia"/>
        </w:rPr>
      </w:pPr>
      <w:r>
        <w:tab/>
        <w:t>***</w:t>
      </w:r>
    </w:p>
    <w:p w14:paraId="6C2987F6" w14:textId="77777777" w:rsidR="001C2F88" w:rsidRDefault="001C2F88" w:rsidP="001C2F88">
      <w:pPr>
        <w:pStyle w:val="NormalWeb"/>
        <w:ind w:left="720"/>
      </w:pPr>
      <w:r>
        <w:t xml:space="preserve">While the particular facts of this case present a somewhat novel application of the state-created danger exception, the right to be free from state-created danger is, and has been, a clearly established constitutional right. Given the possibility of conflicting inferences, the Court declines to grant Defendants qualified immunity as a matter of law. Moreover, significant </w:t>
      </w:r>
      <w:proofErr w:type="gramStart"/>
      <w:r>
        <w:t>disputes of fact</w:t>
      </w:r>
      <w:proofErr w:type="gramEnd"/>
      <w:r>
        <w:t xml:space="preserve"> exist in this </w:t>
      </w:r>
      <w:proofErr w:type="gramStart"/>
      <w:r>
        <w:t>case</w:t>
      </w:r>
      <w:proofErr w:type="gramEnd"/>
      <w:r>
        <w:t xml:space="preserve"> creating uncertainty as to whether Engler and Dustin knew of the danger they were creating with their actions. If appropriate, Defendants are entitled to move for directed verdict at the close of </w:t>
      </w:r>
      <w:proofErr w:type="gramStart"/>
      <w:r>
        <w:t>trial.”</w:t>
      </w:r>
      <w:proofErr w:type="gramEnd"/>
    </w:p>
    <w:p w14:paraId="4C0FCAEF" w14:textId="77777777" w:rsidR="001C2F88" w:rsidRDefault="001C2F88" w:rsidP="001C2F88">
      <w:pPr>
        <w:pStyle w:val="NormalWeb"/>
        <w:spacing w:before="0" w:beforeAutospacing="0"/>
        <w:rPr>
          <w:b/>
          <w:bCs/>
          <w:color w:val="454545"/>
          <w:shd w:val="clear" w:color="auto" w:fill="FFFFFF"/>
        </w:rPr>
      </w:pPr>
      <w:r>
        <w:rPr>
          <w:b/>
          <w:bCs/>
          <w:color w:val="454545"/>
          <w:shd w:val="clear" w:color="auto" w:fill="FFFFFF"/>
        </w:rPr>
        <w:t xml:space="preserve">Legal Lesson Learned: Get patient to sign a refusal if not going to transport. </w:t>
      </w:r>
    </w:p>
    <w:p w14:paraId="14E911B0" w14:textId="77777777" w:rsidR="001C2F88" w:rsidRDefault="001C2F88" w:rsidP="001C2F88">
      <w:pPr>
        <w:rPr>
          <w:rFonts w:ascii="Times New Roman" w:hAnsi="Times New Roman"/>
          <w:sz w:val="24"/>
          <w:szCs w:val="24"/>
        </w:rPr>
      </w:pPr>
    </w:p>
    <w:p w14:paraId="4C583EC4" w14:textId="77777777" w:rsidR="001C2F88" w:rsidRPr="001C2F88" w:rsidRDefault="001C2F88" w:rsidP="001C2F88">
      <w:pPr>
        <w:rPr>
          <w:rFonts w:ascii="Times New Roman" w:hAnsi="Times New Roman"/>
          <w:sz w:val="28"/>
          <w:szCs w:val="28"/>
        </w:rPr>
      </w:pPr>
    </w:p>
    <w:p w14:paraId="706CB706" w14:textId="77777777" w:rsidR="001C2F88" w:rsidRDefault="001C2F88" w:rsidP="001C2F88">
      <w:pPr>
        <w:rPr>
          <w:rFonts w:ascii="Times New Roman" w:hAnsi="Times New Roman"/>
          <w:sz w:val="24"/>
          <w:szCs w:val="24"/>
        </w:rPr>
      </w:pPr>
    </w:p>
    <w:p w14:paraId="58041D45" w14:textId="77777777" w:rsidR="001C2F88" w:rsidRPr="001C2F88" w:rsidRDefault="001C2F88" w:rsidP="001C2F88">
      <w:pPr>
        <w:rPr>
          <w:rFonts w:ascii="Arial Black" w:hAnsi="Arial Black"/>
          <w:sz w:val="28"/>
          <w:szCs w:val="28"/>
        </w:rPr>
      </w:pPr>
      <w:r w:rsidRPr="001C2F88">
        <w:rPr>
          <w:rFonts w:ascii="Arial Black" w:hAnsi="Arial Black"/>
          <w:sz w:val="28"/>
          <w:szCs w:val="28"/>
        </w:rPr>
        <w:t>13-179</w:t>
      </w:r>
    </w:p>
    <w:p w14:paraId="0D08694A" w14:textId="32FA1529" w:rsidR="001C2F88" w:rsidRPr="00272032" w:rsidRDefault="001C2F88" w:rsidP="001C2F88">
      <w:pPr>
        <w:rPr>
          <w:rFonts w:ascii="Arial Black" w:hAnsi="Arial Black"/>
          <w:sz w:val="28"/>
          <w:szCs w:val="28"/>
        </w:rPr>
      </w:pPr>
      <w:r>
        <w:rPr>
          <w:rFonts w:ascii="Arial Black" w:hAnsi="Arial Black"/>
          <w:sz w:val="28"/>
          <w:szCs w:val="28"/>
        </w:rPr>
        <w:t>CA: METH - PD STRUGGLE - ON BACKBOARD FACE DOWN, EMT TOLD PD SIT ON HIM – D</w:t>
      </w:r>
      <w:r w:rsidR="00A304E4">
        <w:rPr>
          <w:rFonts w:ascii="Arial Black" w:hAnsi="Arial Black"/>
          <w:sz w:val="28"/>
          <w:szCs w:val="28"/>
        </w:rPr>
        <w:t xml:space="preserve">IED </w:t>
      </w:r>
      <w:r w:rsidR="00AF46AA">
        <w:rPr>
          <w:rFonts w:ascii="Arial Black" w:hAnsi="Arial Black"/>
          <w:sz w:val="28"/>
          <w:szCs w:val="28"/>
        </w:rPr>
        <w:t>-</w:t>
      </w:r>
      <w:r>
        <w:rPr>
          <w:rFonts w:ascii="Arial Black" w:hAnsi="Arial Black"/>
          <w:sz w:val="28"/>
          <w:szCs w:val="28"/>
        </w:rPr>
        <w:t xml:space="preserve"> QUAL. IMMUNITY</w:t>
      </w:r>
    </w:p>
    <w:p w14:paraId="16BBE8FE" w14:textId="6D23BB2C" w:rsidR="001C2F88" w:rsidRDefault="001C2F88" w:rsidP="001C2F88">
      <w:pPr>
        <w:pStyle w:val="NormalWeb"/>
        <w:spacing w:before="0" w:beforeAutospacing="0"/>
      </w:pPr>
      <w:r>
        <w:t xml:space="preserve">On April 15, 2024, in </w:t>
      </w:r>
      <w:r w:rsidRPr="001F5B9B">
        <w:rPr>
          <w:u w:val="single"/>
        </w:rPr>
        <w:t>Anthony Perez, et al., individually and as successor in interest to Joseph Perez v. City of Fresno</w:t>
      </w:r>
      <w:r>
        <w:t>,  the U.S. Court of Appeals for 9</w:t>
      </w:r>
      <w:r w:rsidRPr="00A9612E">
        <w:rPr>
          <w:vertAlign w:val="superscript"/>
        </w:rPr>
        <w:t>th</w:t>
      </w:r>
      <w:r>
        <w:t xml:space="preserve"> Circuit (San Francisco) held (2 to 1) that trial court properly granted summary judgment to the defense on basis of qualified immunity. Police had Perez on the ground</w:t>
      </w:r>
      <w:r w:rsidR="00A304E4">
        <w:t xml:space="preserve"> </w:t>
      </w:r>
      <w:r>
        <w:t>and then put him on backboard. As this was happening, Perez yelled that he could not breathe. “Paramedic Morgan Anderson nevertheless told one of the officers to sit on the backboard. The officer complied and sat on the board for one minute and thirteen seconds while other officers applied pressure and worked with Anderson to secure the backboard. After the seated officer stood up, the paramedics continued securing Perez to the backboard for another two minutes before turning him over. Once Perez was placed on his back, the paramedics discovered that he did not have a pulse.</w:t>
      </w:r>
      <w:r>
        <w:rPr>
          <w:rFonts w:ascii="Arial" w:hAnsi="Arial" w:cs="Arial"/>
        </w:rPr>
        <w:t xml:space="preserve">” </w:t>
      </w:r>
      <w:r>
        <w:t xml:space="preserve">According to the coroner, the average lethal dose of methamphetamine is 200 nanograms per milliliter. Perez had ten times that amount in his bloodstream. </w:t>
      </w:r>
      <w:hyperlink r:id="rId2201" w:history="1">
        <w:r w:rsidRPr="00E2199F">
          <w:rPr>
            <w:rStyle w:val="Hyperlink"/>
          </w:rPr>
          <w:t>https://cdn.ca9.uscourts.gov/datastore/opinions/2024/04/15/22-15546.pdf</w:t>
        </w:r>
      </w:hyperlink>
      <w:r>
        <w:t xml:space="preserve"> </w:t>
      </w:r>
    </w:p>
    <w:p w14:paraId="41E61916" w14:textId="77777777" w:rsidR="001C2F88" w:rsidRDefault="001C2F88" w:rsidP="001C2F88">
      <w:pPr>
        <w:pStyle w:val="NormalWeb"/>
        <w:spacing w:before="0" w:beforeAutospacing="0"/>
      </w:pPr>
      <w:r>
        <w:t xml:space="preserve">COURT HELD: </w:t>
      </w:r>
    </w:p>
    <w:p w14:paraId="335D3F67" w14:textId="77777777" w:rsidR="001C2F88" w:rsidRDefault="001C2F88" w:rsidP="001C2F88">
      <w:pPr>
        <w:pStyle w:val="NormalWeb"/>
        <w:spacing w:before="0" w:beforeAutospacing="0"/>
        <w:ind w:left="720"/>
      </w:pPr>
      <w:r>
        <w:t xml:space="preserve">“Because the law-enforcement officers' actions that Plaintiffs contend led to Perez asphyxiating were taken at the direction of a medical professional who was trying to provide medical care, both the officers and the paramedic are entitled to qualified immunity. The district court also properly granted summary judgment against Plaintiffs' Monell claims because Plaintiffs presented insufficient evidence that the </w:t>
      </w:r>
      <w:proofErr w:type="gramStart"/>
      <w:r>
        <w:t>City</w:t>
      </w:r>
      <w:proofErr w:type="gramEnd"/>
      <w:r>
        <w:t xml:space="preserve"> and the County were deliberately indifferent to their duty to properly train their law-enforcement officers.</w:t>
      </w:r>
    </w:p>
    <w:p w14:paraId="1B56272A" w14:textId="77777777" w:rsidR="001C2F88" w:rsidRDefault="001C2F88" w:rsidP="001C2F88">
      <w:pPr>
        <w:pStyle w:val="NormalWeb"/>
        <w:spacing w:before="0" w:beforeAutospacing="0"/>
        <w:ind w:left="720"/>
      </w:pPr>
      <w:r>
        <w:t>***</w:t>
      </w:r>
    </w:p>
    <w:p w14:paraId="53293A71" w14:textId="77777777" w:rsidR="001C2F88" w:rsidRDefault="001C2F88" w:rsidP="001C2F88">
      <w:pPr>
        <w:pStyle w:val="NormalWeb"/>
        <w:spacing w:before="0" w:beforeAutospacing="0"/>
        <w:ind w:left="720"/>
      </w:pPr>
      <w:r>
        <w:t xml:space="preserve">At the time of Perez's death, the law did not clearly establish, nor was it otherwise obvious, that the officers' actions, directed by medical personnel, would violate Perez's constitutional rights. Likewise, the paramedic involved was acting in a medical capacity during the incident, and the law did not clearly establish that medical personnel are liable for constitutional torts for actions taken to provide medical care or medical transport. Thus, the officers and the paramedic are entitled to qualified immunity. We also conclude that Plaintiffs produced insufficient evidence to support their </w:t>
      </w:r>
      <w:proofErr w:type="gramStart"/>
      <w:r>
        <w:t>municipal-liability</w:t>
      </w:r>
      <w:proofErr w:type="gramEnd"/>
      <w:r>
        <w:t xml:space="preserve"> claim against the City and the County based on a failure-to-train theory.</w:t>
      </w:r>
    </w:p>
    <w:p w14:paraId="6FB3E620" w14:textId="77777777" w:rsidR="001C2F88" w:rsidRDefault="001C2F88" w:rsidP="001C2F88">
      <w:pPr>
        <w:pStyle w:val="NormalWeb"/>
        <w:spacing w:before="0" w:beforeAutospacing="0"/>
        <w:ind w:left="720"/>
      </w:pPr>
      <w:r>
        <w:t>***</w:t>
      </w:r>
    </w:p>
    <w:p w14:paraId="63905B19" w14:textId="77777777" w:rsidR="001C2F88" w:rsidRDefault="001C2F88" w:rsidP="001C2F88">
      <w:pPr>
        <w:pStyle w:val="NormalWeb"/>
        <w:spacing w:before="0" w:beforeAutospacing="0"/>
        <w:ind w:left="720"/>
      </w:pPr>
      <w:r>
        <w:t xml:space="preserve">Because we conclude that the law did not clearly establish at the time of the events at issue that a paramedic restraining a person in order to secure the person for medical transport could be held liable for a constitutional violation under either the Fourth or Fourteenth Amendment, we conclude that Anderson is entitled to qualified immunity. See Wesby, 583 U.S. at 63–64, 138 </w:t>
      </w:r>
      <w:proofErr w:type="spellStart"/>
      <w:r>
        <w:t>S.Ct</w:t>
      </w:r>
      <w:proofErr w:type="spellEnd"/>
      <w:r>
        <w:t>. 577 (clearly established question must be specific to the context of the case).”</w:t>
      </w:r>
    </w:p>
    <w:p w14:paraId="6A8D535C" w14:textId="77777777" w:rsidR="001C2F88" w:rsidRDefault="001C2F88" w:rsidP="001C2F88">
      <w:pPr>
        <w:pStyle w:val="NormalWeb"/>
        <w:spacing w:before="0" w:beforeAutospacing="0"/>
      </w:pPr>
      <w:r>
        <w:t>DISSENT:</w:t>
      </w:r>
    </w:p>
    <w:p w14:paraId="4AC3CF5B" w14:textId="77777777" w:rsidR="001C2F88" w:rsidRDefault="001C2F88" w:rsidP="001C2F88">
      <w:pPr>
        <w:pStyle w:val="NormalWeb"/>
        <w:spacing w:before="0" w:beforeAutospacing="0"/>
        <w:ind w:left="720"/>
      </w:pPr>
      <w:r>
        <w:t xml:space="preserve">“However, I respectfully disagree with the conclusion that the law governing the conduct of the individual officer defendants (‘Officers’) was not ‘clearly established’ in 2017. Extensive federal case law, departmental guidance, and common sense gave Officers fair warning that applying continuous force to the back of a prone person who claims he cannot breathe is constitutionally excessive. Any argument that Officers' continued force was nonetheless ‘reasonable’ under the circumstances turns on disputed issues of material fact—not confusion about ‘what the law requires.’ Saucier v. Katz, 533 U.S. 194, 205, 121 </w:t>
      </w:r>
      <w:proofErr w:type="spellStart"/>
      <w:r>
        <w:t>S.Ct</w:t>
      </w:r>
      <w:proofErr w:type="spellEnd"/>
      <w:r>
        <w:t>. 2151, 150 L.Ed.2d 272 (2001). Therefore, I respectfully dissent in part.</w:t>
      </w:r>
    </w:p>
    <w:p w14:paraId="54F6B537" w14:textId="77777777" w:rsidR="001C2F88" w:rsidRDefault="001C2F88" w:rsidP="001C2F88">
      <w:pPr>
        <w:pStyle w:val="NormalWeb"/>
        <w:spacing w:before="0" w:beforeAutospacing="0"/>
        <w:ind w:left="720"/>
      </w:pPr>
      <w:r>
        <w:t>***</w:t>
      </w:r>
    </w:p>
    <w:p w14:paraId="1792F30C" w14:textId="77777777" w:rsidR="001C2F88" w:rsidRDefault="001C2F88" w:rsidP="001C2F88">
      <w:pPr>
        <w:pStyle w:val="NormalWeb"/>
        <w:spacing w:before="0" w:beforeAutospacing="0"/>
        <w:ind w:left="720"/>
      </w:pPr>
      <w:r>
        <w:t>The officers—indeed, any reasonable person—should have known that squeezing the breath from a compliant, prone, and handcuffed individual despite his pleas for air involves a degree of force that is greater than reasonable.”</w:t>
      </w:r>
    </w:p>
    <w:p w14:paraId="7B82D4B2" w14:textId="77777777" w:rsidR="001C2F88" w:rsidRDefault="001C2F88" w:rsidP="001C2F88">
      <w:pPr>
        <w:pStyle w:val="NormalWeb"/>
        <w:spacing w:before="0" w:beforeAutospacing="0"/>
        <w:rPr>
          <w:b/>
          <w:bCs/>
        </w:rPr>
      </w:pPr>
      <w:r w:rsidRPr="006B17EB">
        <w:rPr>
          <w:b/>
          <w:bCs/>
        </w:rPr>
        <w:t>Legal Lesson Learned:</w:t>
      </w:r>
      <w:r>
        <w:rPr>
          <w:b/>
          <w:bCs/>
        </w:rPr>
        <w:t xml:space="preserve"> EMS must be extremely cautious of backboard asphyxiation.  This can lead to denial of qualified immunity </w:t>
      </w:r>
      <w:proofErr w:type="gramStart"/>
      <w:r>
        <w:rPr>
          <w:b/>
          <w:bCs/>
        </w:rPr>
        <w:t>for</w:t>
      </w:r>
      <w:proofErr w:type="gramEnd"/>
      <w:r>
        <w:rPr>
          <w:b/>
          <w:bCs/>
        </w:rPr>
        <w:t xml:space="preserve"> EMS and has also </w:t>
      </w:r>
      <w:proofErr w:type="gramStart"/>
      <w:r>
        <w:rPr>
          <w:b/>
          <w:bCs/>
        </w:rPr>
        <w:t>has recently led</w:t>
      </w:r>
      <w:proofErr w:type="gramEnd"/>
      <w:r>
        <w:rPr>
          <w:b/>
          <w:bCs/>
        </w:rPr>
        <w:t xml:space="preserve"> to two EMTs being charged with first degree murder. </w:t>
      </w:r>
    </w:p>
    <w:p w14:paraId="6526997D" w14:textId="77777777" w:rsidR="001C2F88" w:rsidRPr="00507580" w:rsidRDefault="001C2F88" w:rsidP="001C2F88">
      <w:pPr>
        <w:pStyle w:val="Heading1"/>
        <w:ind w:left="720"/>
        <w:rPr>
          <w:b w:val="0"/>
          <w:bCs w:val="0"/>
          <w:sz w:val="24"/>
          <w:szCs w:val="24"/>
        </w:rPr>
      </w:pPr>
      <w:r w:rsidRPr="00507580">
        <w:rPr>
          <w:b w:val="0"/>
          <w:bCs w:val="0"/>
          <w:sz w:val="24"/>
          <w:szCs w:val="24"/>
        </w:rPr>
        <w:t xml:space="preserve">Note: See article, Jan. 15, 2023, “Paramedics charged with murder after patient who was in stretcher face-down dies.” </w:t>
      </w:r>
      <w:hyperlink r:id="rId2202" w:history="1">
        <w:r w:rsidRPr="00507580">
          <w:rPr>
            <w:rStyle w:val="Hyperlink"/>
            <w:b w:val="0"/>
            <w:bCs w:val="0"/>
            <w:sz w:val="24"/>
            <w:szCs w:val="24"/>
          </w:rPr>
          <w:t>https://www.woodtv.com/news/nexstar-media-wire/paramedics-charged-with-murder-after-patient-who-was-in-stretcher-face-down-dies/</w:t>
        </w:r>
      </w:hyperlink>
      <w:r w:rsidRPr="00507580">
        <w:rPr>
          <w:b w:val="0"/>
          <w:bCs w:val="0"/>
          <w:sz w:val="24"/>
          <w:szCs w:val="24"/>
        </w:rPr>
        <w:t xml:space="preserve"> </w:t>
      </w:r>
    </w:p>
    <w:p w14:paraId="14DB2EBF" w14:textId="77777777" w:rsidR="001C2F88" w:rsidRPr="00507580" w:rsidRDefault="001C2F88" w:rsidP="001C2F88">
      <w:pPr>
        <w:pStyle w:val="Heading1"/>
        <w:ind w:left="720"/>
        <w:rPr>
          <w:b w:val="0"/>
          <w:bCs w:val="0"/>
          <w:sz w:val="24"/>
          <w:szCs w:val="24"/>
        </w:rPr>
      </w:pPr>
      <w:r w:rsidRPr="00507580">
        <w:rPr>
          <w:b w:val="0"/>
          <w:bCs w:val="0"/>
          <w:sz w:val="24"/>
          <w:szCs w:val="24"/>
        </w:rPr>
        <w:t xml:space="preserve">March 21, 2023, “2 Ill. EMTs charged with murder appear in court.” </w:t>
      </w:r>
      <w:hyperlink r:id="rId2203" w:history="1">
        <w:r w:rsidRPr="00507580">
          <w:rPr>
            <w:rStyle w:val="Hyperlink"/>
            <w:b w:val="0"/>
            <w:bCs w:val="0"/>
            <w:sz w:val="24"/>
            <w:szCs w:val="24"/>
          </w:rPr>
          <w:t>https://www.ems1.com/ill-emts-charged-murder-patients-death/articles/2-ill-emts-charged-with-murder-appear-in-court-lMnB5h9BN09tUYGl/</w:t>
        </w:r>
      </w:hyperlink>
      <w:r w:rsidRPr="00507580">
        <w:rPr>
          <w:b w:val="0"/>
          <w:bCs w:val="0"/>
          <w:sz w:val="24"/>
          <w:szCs w:val="24"/>
        </w:rPr>
        <w:t xml:space="preserve"> </w:t>
      </w:r>
    </w:p>
    <w:p w14:paraId="379D232A" w14:textId="77777777" w:rsidR="001C2F88" w:rsidRPr="00B416C6" w:rsidRDefault="001C2F88" w:rsidP="001C2F88"/>
    <w:p w14:paraId="5322FA44" w14:textId="718FE341" w:rsidR="004705C6" w:rsidRDefault="004705C6" w:rsidP="004705C6">
      <w:pPr>
        <w:rPr>
          <w:rFonts w:ascii="Arial Black" w:hAnsi="Arial Black"/>
          <w:sz w:val="28"/>
          <w:szCs w:val="28"/>
        </w:rPr>
      </w:pPr>
      <w:r>
        <w:rPr>
          <w:rFonts w:ascii="Arial Black" w:hAnsi="Arial Black"/>
          <w:sz w:val="28"/>
          <w:szCs w:val="28"/>
        </w:rPr>
        <w:t>13-178</w:t>
      </w:r>
    </w:p>
    <w:p w14:paraId="159C3E5F" w14:textId="3CE25D52" w:rsidR="004705C6" w:rsidRDefault="004705C6" w:rsidP="004705C6">
      <w:pPr>
        <w:rPr>
          <w:rFonts w:ascii="Arial Black" w:hAnsi="Arial Black"/>
          <w:sz w:val="28"/>
          <w:szCs w:val="28"/>
        </w:rPr>
      </w:pPr>
      <w:r>
        <w:rPr>
          <w:rFonts w:ascii="Arial Black" w:hAnsi="Arial Black"/>
          <w:sz w:val="28"/>
          <w:szCs w:val="28"/>
        </w:rPr>
        <w:t xml:space="preserve">PA: VA PATIENT REFUSES TRANSPORT – CLINIC ADVISES NEEDS GO – SEDATED BY EMS – NOT FALSE IMPRISONMENT </w:t>
      </w:r>
    </w:p>
    <w:p w14:paraId="261171CB" w14:textId="77777777" w:rsidR="004705C6" w:rsidRDefault="004705C6" w:rsidP="004705C6">
      <w:pPr>
        <w:rPr>
          <w:rFonts w:ascii="Times New Roman" w:hAnsi="Times New Roman"/>
          <w:sz w:val="24"/>
          <w:szCs w:val="24"/>
        </w:rPr>
      </w:pPr>
      <w:r>
        <w:rPr>
          <w:rFonts w:ascii="Times New Roman" w:hAnsi="Times New Roman"/>
          <w:sz w:val="24"/>
          <w:szCs w:val="24"/>
        </w:rPr>
        <w:t xml:space="preserve">On March 26, 2024, in </w:t>
      </w:r>
      <w:r w:rsidRPr="00E34548">
        <w:rPr>
          <w:rFonts w:ascii="Times New Roman" w:hAnsi="Times New Roman"/>
          <w:sz w:val="24"/>
          <w:szCs w:val="24"/>
          <w:u w:val="single"/>
        </w:rPr>
        <w:t>Thomas Sutton v. Secretary, U.S. Department of Veterans Affairs, et al</w:t>
      </w:r>
      <w:r>
        <w:rPr>
          <w:rFonts w:ascii="Times New Roman" w:hAnsi="Times New Roman"/>
          <w:sz w:val="24"/>
          <w:szCs w:val="24"/>
          <w:u w:val="single"/>
        </w:rPr>
        <w:t>.</w:t>
      </w:r>
      <w:r>
        <w:rPr>
          <w:rFonts w:ascii="Times New Roman" w:hAnsi="Times New Roman"/>
          <w:sz w:val="24"/>
          <w:szCs w:val="24"/>
        </w:rPr>
        <w:t>, the U.S. Court of Appeals for Third Circuit (Philadelphia) held (2 to 1) that trial court properly dismissed the plaintiff’s lawsuit against two EMT for “</w:t>
      </w:r>
      <w:r w:rsidRPr="001E5D96">
        <w:rPr>
          <w:rFonts w:ascii="Times New Roman" w:hAnsi="Times New Roman"/>
          <w:sz w:val="24"/>
          <w:szCs w:val="24"/>
        </w:rPr>
        <w:t xml:space="preserve">allegedly falsely </w:t>
      </w:r>
      <w:proofErr w:type="gramStart"/>
      <w:r w:rsidRPr="001E5D96">
        <w:rPr>
          <w:rFonts w:ascii="Times New Roman" w:hAnsi="Times New Roman"/>
          <w:sz w:val="24"/>
          <w:szCs w:val="24"/>
        </w:rPr>
        <w:t>imprisoning, and</w:t>
      </w:r>
      <w:proofErr w:type="gramEnd"/>
      <w:r w:rsidRPr="001E5D96">
        <w:rPr>
          <w:rFonts w:ascii="Times New Roman" w:hAnsi="Times New Roman"/>
          <w:sz w:val="24"/>
          <w:szCs w:val="24"/>
        </w:rPr>
        <w:t xml:space="preserve"> assaulting and battering him while transporting him from a local clinic where he sought medical care to a nearby hospital for higher level care.</w:t>
      </w:r>
      <w:r>
        <w:rPr>
          <w:rFonts w:ascii="Times New Roman" w:hAnsi="Times New Roman"/>
          <w:sz w:val="24"/>
          <w:szCs w:val="24"/>
        </w:rPr>
        <w:t xml:space="preserve">”  In medical malpractice cases, the lawsuit must include an affidavit from an MD with certificate of merit. </w:t>
      </w:r>
    </w:p>
    <w:p w14:paraId="670A4388"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64743D4" w14:textId="78633EEC" w:rsidR="004705C6" w:rsidRPr="0046151D" w:rsidRDefault="004705C6" w:rsidP="004705C6">
      <w:pPr>
        <w:ind w:left="720"/>
        <w:rPr>
          <w:rFonts w:ascii="Times New Roman" w:hAnsi="Times New Roman"/>
          <w:sz w:val="24"/>
          <w:szCs w:val="24"/>
        </w:rPr>
      </w:pPr>
      <w:r>
        <w:rPr>
          <w:rFonts w:ascii="Times New Roman" w:hAnsi="Times New Roman"/>
          <w:sz w:val="24"/>
          <w:szCs w:val="24"/>
        </w:rPr>
        <w:t>“</w:t>
      </w:r>
      <w:r w:rsidRPr="0046151D">
        <w:rPr>
          <w:rFonts w:ascii="Times New Roman" w:hAnsi="Times New Roman"/>
          <w:sz w:val="24"/>
          <w:szCs w:val="24"/>
        </w:rPr>
        <w:t xml:space="preserve">In the course of transporting Sutton to the hospital, the technicians allegedly </w:t>
      </w:r>
      <w:r>
        <w:rPr>
          <w:rFonts w:ascii="Times New Roman" w:hAnsi="Times New Roman"/>
          <w:sz w:val="24"/>
          <w:szCs w:val="24"/>
        </w:rPr>
        <w:t>‘</w:t>
      </w:r>
      <w:r w:rsidRPr="0046151D">
        <w:rPr>
          <w:rFonts w:ascii="Times New Roman" w:hAnsi="Times New Roman"/>
          <w:sz w:val="24"/>
          <w:szCs w:val="24"/>
        </w:rPr>
        <w:t>restrained [Sutton] and forcefully sedated him.</w:t>
      </w:r>
      <w:r>
        <w:rPr>
          <w:rFonts w:ascii="Times New Roman" w:hAnsi="Times New Roman"/>
          <w:sz w:val="24"/>
          <w:szCs w:val="24"/>
        </w:rPr>
        <w:t xml:space="preserve">’ </w:t>
      </w:r>
      <w:r w:rsidRPr="0046151D">
        <w:rPr>
          <w:rFonts w:ascii="Times New Roman" w:hAnsi="Times New Roman"/>
          <w:sz w:val="24"/>
          <w:szCs w:val="24"/>
        </w:rPr>
        <w:t xml:space="preserve"> It is undisputed that these actions, whether medically justified or not, occurred </w:t>
      </w:r>
      <w:proofErr w:type="gramStart"/>
      <w:r w:rsidRPr="0046151D">
        <w:rPr>
          <w:rFonts w:ascii="Times New Roman" w:hAnsi="Times New Roman"/>
          <w:sz w:val="24"/>
          <w:szCs w:val="24"/>
        </w:rPr>
        <w:t>in the course of</w:t>
      </w:r>
      <w:proofErr w:type="gramEnd"/>
      <w:r w:rsidRPr="0046151D">
        <w:rPr>
          <w:rFonts w:ascii="Times New Roman" w:hAnsi="Times New Roman"/>
          <w:sz w:val="24"/>
          <w:szCs w:val="24"/>
        </w:rPr>
        <w:t xml:space="preserve"> the technicians' professional relationship with Sutton. And as Sutton himself </w:t>
      </w:r>
      <w:proofErr w:type="gramStart"/>
      <w:r w:rsidRPr="0046151D">
        <w:rPr>
          <w:rFonts w:ascii="Times New Roman" w:hAnsi="Times New Roman"/>
          <w:sz w:val="24"/>
          <w:szCs w:val="24"/>
        </w:rPr>
        <w:t xml:space="preserve">observed, </w:t>
      </w:r>
      <w:r>
        <w:rPr>
          <w:rFonts w:ascii="Times New Roman" w:hAnsi="Times New Roman"/>
          <w:sz w:val="24"/>
          <w:szCs w:val="24"/>
        </w:rPr>
        <w:t>‘</w:t>
      </w:r>
      <w:proofErr w:type="gramEnd"/>
      <w:r w:rsidRPr="0046151D">
        <w:rPr>
          <w:rFonts w:ascii="Times New Roman" w:hAnsi="Times New Roman"/>
          <w:sz w:val="24"/>
          <w:szCs w:val="24"/>
        </w:rPr>
        <w:t>[m]</w:t>
      </w:r>
      <w:proofErr w:type="spellStart"/>
      <w:r w:rsidRPr="0046151D">
        <w:rPr>
          <w:rFonts w:ascii="Times New Roman" w:hAnsi="Times New Roman"/>
          <w:sz w:val="24"/>
          <w:szCs w:val="24"/>
        </w:rPr>
        <w:t>edical</w:t>
      </w:r>
      <w:proofErr w:type="spellEnd"/>
      <w:r w:rsidRPr="0046151D">
        <w:rPr>
          <w:rFonts w:ascii="Times New Roman" w:hAnsi="Times New Roman"/>
          <w:sz w:val="24"/>
          <w:szCs w:val="24"/>
        </w:rPr>
        <w:t xml:space="preserve"> malpractice is defined as the unwarranted departure from the generally accepted standards of medical practice resulting in injury to a patient, including </w:t>
      </w:r>
      <w:r w:rsidRPr="0046151D">
        <w:rPr>
          <w:rStyle w:val="Emphasis"/>
          <w:rFonts w:ascii="Times New Roman" w:hAnsi="Times New Roman"/>
          <w:sz w:val="24"/>
          <w:szCs w:val="24"/>
        </w:rPr>
        <w:t>all liability-producing conduct arising from the rendition of professional medical services</w:t>
      </w:r>
      <w:r w:rsidRPr="0046151D">
        <w:rPr>
          <w:rFonts w:ascii="Times New Roman" w:hAnsi="Times New Roman"/>
          <w:sz w:val="24"/>
          <w:szCs w:val="24"/>
        </w:rPr>
        <w:t>.</w:t>
      </w:r>
      <w:r>
        <w:rPr>
          <w:rFonts w:ascii="Times New Roman" w:hAnsi="Times New Roman"/>
          <w:sz w:val="24"/>
          <w:szCs w:val="24"/>
        </w:rPr>
        <w:t xml:space="preserve">’ </w:t>
      </w:r>
      <w:r w:rsidRPr="0046151D">
        <w:rPr>
          <w:rFonts w:ascii="Times New Roman" w:hAnsi="Times New Roman"/>
          <w:sz w:val="24"/>
          <w:szCs w:val="24"/>
        </w:rPr>
        <w:t xml:space="preserve"> </w:t>
      </w:r>
    </w:p>
    <w:p w14:paraId="7701CFA3" w14:textId="77777777" w:rsidR="004705C6" w:rsidRDefault="004705C6" w:rsidP="004705C6">
      <w:pPr>
        <w:pStyle w:val="NormalWeb"/>
        <w:ind w:left="720"/>
      </w:pPr>
      <w:r w:rsidRPr="0046151D">
        <w:t xml:space="preserve">Although the Dissent observes that Sutton averred certain </w:t>
      </w:r>
      <w:r>
        <w:t>‘</w:t>
      </w:r>
      <w:r w:rsidRPr="0046151D">
        <w:t>intentional</w:t>
      </w:r>
      <w:r>
        <w:t>’</w:t>
      </w:r>
      <w:r w:rsidRPr="0046151D">
        <w:t xml:space="preserve"> actions these actions sounded in medical malpractice and, thus, he was required to file a certificate of merit to </w:t>
      </w:r>
      <w:r>
        <w:t>‘</w:t>
      </w:r>
      <w:r w:rsidRPr="0046151D">
        <w:t>signal[] to the parties and the trial court that . . . he [</w:t>
      </w:r>
      <w:proofErr w:type="spellStart"/>
      <w:r w:rsidRPr="0046151D">
        <w:t>wa</w:t>
      </w:r>
      <w:proofErr w:type="spellEnd"/>
      <w:r w:rsidRPr="0046151D">
        <w:t>]s in a position to support [his] allegations . . . and that resources w[</w:t>
      </w:r>
      <w:proofErr w:type="spellStart"/>
      <w:r w:rsidRPr="0046151D">
        <w:t>ould</w:t>
      </w:r>
      <w:proofErr w:type="spellEnd"/>
      <w:r w:rsidRPr="0046151D">
        <w:t>] not be wasted if additional pleading and discovery [were to] take place.</w:t>
      </w:r>
      <w:r>
        <w:t>’</w:t>
      </w:r>
      <w:r w:rsidRPr="0046151D">
        <w:t xml:space="preserve"> </w:t>
      </w:r>
      <w:r w:rsidRPr="0046151D">
        <w:rPr>
          <w:rStyle w:val="Emphasis"/>
          <w:rFonts w:eastAsiaTheme="majorEastAsia"/>
        </w:rPr>
        <w:t>Bisher</w:t>
      </w:r>
      <w:r w:rsidRPr="0046151D">
        <w:t>, 265 A.3d at 3690 (internal quotation marks and citation omitted)</w:t>
      </w:r>
      <w:r>
        <w:t xml:space="preserve">.” </w:t>
      </w:r>
    </w:p>
    <w:p w14:paraId="1B87A630" w14:textId="77777777" w:rsidR="004705C6" w:rsidRDefault="004705C6" w:rsidP="004705C6">
      <w:pPr>
        <w:pStyle w:val="NormalWeb"/>
      </w:pPr>
      <w:r>
        <w:t xml:space="preserve">DISSENT – Circuit Judge Thomas Hardiman:   </w:t>
      </w:r>
    </w:p>
    <w:p w14:paraId="3DFF5096" w14:textId="77777777" w:rsidR="004705C6" w:rsidRPr="0046151D" w:rsidRDefault="004705C6" w:rsidP="004705C6">
      <w:pPr>
        <w:pStyle w:val="NormalWeb"/>
        <w:ind w:left="720"/>
      </w:pPr>
      <w:r>
        <w:t xml:space="preserve">“Sutton alleges intentional torts, not mere negligence. He accuses Fayette EMS of sedating him and transporting him to a hospital without his consent. Such claims do not require a certificate of merit. </w:t>
      </w:r>
      <w:r>
        <w:rPr>
          <w:rStyle w:val="Emphasis"/>
          <w:rFonts w:eastAsiaTheme="majorEastAsia"/>
        </w:rPr>
        <w:t>See</w:t>
      </w:r>
      <w:r>
        <w:t xml:space="preserve"> Pa. R. Civ. P. 1042.3(a); </w:t>
      </w:r>
      <w:r>
        <w:rPr>
          <w:rStyle w:val="Emphasis"/>
          <w:rFonts w:eastAsiaTheme="majorEastAsia"/>
        </w:rPr>
        <w:t>Montgomery</w:t>
      </w:r>
      <w:r>
        <w:t>, 798 A.2d at 749. These claims also fall outside the ambit of immunity under Pennsylvania's Emergency Medical Services Act and could support punitive damages.”</w:t>
      </w:r>
    </w:p>
    <w:p w14:paraId="74DA1A77" w14:textId="77777777" w:rsidR="004705C6" w:rsidRPr="00347278" w:rsidRDefault="004705C6" w:rsidP="004705C6">
      <w:pPr>
        <w:pStyle w:val="NormalWeb"/>
        <w:rPr>
          <w:b/>
          <w:bCs/>
        </w:rPr>
      </w:pPr>
      <w:r w:rsidRPr="00347278">
        <w:rPr>
          <w:b/>
          <w:bCs/>
        </w:rPr>
        <w:t xml:space="preserve">Legal Lesson Learned: </w:t>
      </w:r>
      <w:r>
        <w:rPr>
          <w:b/>
          <w:bCs/>
        </w:rPr>
        <w:t xml:space="preserve">Medical practice cases require a “certificate of merit” by an MD to proceed. </w:t>
      </w:r>
    </w:p>
    <w:p w14:paraId="6E362BDB" w14:textId="77777777" w:rsidR="004705C6" w:rsidRDefault="004705C6" w:rsidP="004705C6">
      <w:pPr>
        <w:pStyle w:val="NormalWeb"/>
        <w:ind w:left="720"/>
        <w:jc w:val="both"/>
      </w:pPr>
    </w:p>
    <w:p w14:paraId="2F3D6EAA" w14:textId="77777777" w:rsidR="004705C6" w:rsidRDefault="004705C6" w:rsidP="004705C6">
      <w:pPr>
        <w:pStyle w:val="NormalWeb"/>
        <w:ind w:left="720"/>
        <w:jc w:val="both"/>
      </w:pPr>
    </w:p>
    <w:p w14:paraId="7AB05BE1" w14:textId="77777777" w:rsidR="004705C6" w:rsidRDefault="004705C6" w:rsidP="004705C6">
      <w:pPr>
        <w:pStyle w:val="NormalWeb"/>
        <w:spacing w:before="0" w:beforeAutospacing="0"/>
        <w:rPr>
          <w:color w:val="454545"/>
          <w:shd w:val="clear" w:color="auto" w:fill="FFFFFF"/>
        </w:rPr>
      </w:pPr>
    </w:p>
    <w:p w14:paraId="618F67B5" w14:textId="77777777" w:rsidR="004705C6" w:rsidRPr="004705C6" w:rsidRDefault="004705C6" w:rsidP="004705C6">
      <w:pPr>
        <w:pStyle w:val="NormalWeb"/>
        <w:spacing w:before="0" w:beforeAutospacing="0"/>
        <w:rPr>
          <w:rFonts w:ascii="Arial Black" w:hAnsi="Arial Black"/>
          <w:color w:val="454545"/>
          <w:sz w:val="28"/>
          <w:szCs w:val="28"/>
          <w:shd w:val="clear" w:color="auto" w:fill="FFFFFF"/>
        </w:rPr>
      </w:pPr>
      <w:r w:rsidRPr="004705C6">
        <w:rPr>
          <w:rFonts w:ascii="Arial Black" w:hAnsi="Arial Black"/>
          <w:color w:val="454545"/>
          <w:sz w:val="28"/>
          <w:szCs w:val="28"/>
          <w:shd w:val="clear" w:color="auto" w:fill="FFFFFF"/>
        </w:rPr>
        <w:t>13-177</w:t>
      </w:r>
    </w:p>
    <w:p w14:paraId="691F6B9F" w14:textId="0065EF06" w:rsidR="004705C6" w:rsidRDefault="004705C6" w:rsidP="004705C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OK: EMT HELPING PD - GRAB ARM / LEG - TRANSPORTED IN HANCUFFS / CPR / DIED – QUALIFIED IMMUNITY</w:t>
      </w:r>
    </w:p>
    <w:p w14:paraId="34DC18FB" w14:textId="77777777" w:rsidR="00784981" w:rsidRDefault="004705C6" w:rsidP="00784981">
      <w:pPr>
        <w:pStyle w:val="NormalWeb"/>
        <w:spacing w:before="0" w:beforeAutospacing="0"/>
      </w:pPr>
      <w:r>
        <w:rPr>
          <w:color w:val="454545"/>
          <w:shd w:val="clear" w:color="auto" w:fill="FFFFFF"/>
        </w:rPr>
        <w:t xml:space="preserve">On March 26, 2024, in </w:t>
      </w:r>
      <w:r w:rsidRPr="000A5E66">
        <w:rPr>
          <w:color w:val="454545"/>
          <w:u w:val="single"/>
          <w:shd w:val="clear" w:color="auto" w:fill="FFFFFF"/>
        </w:rPr>
        <w:t xml:space="preserve">John Kruer, individually and as Co-Administrator of Estate of </w:t>
      </w:r>
      <w:proofErr w:type="spellStart"/>
      <w:r w:rsidRPr="000A5E66">
        <w:rPr>
          <w:color w:val="454545"/>
          <w:u w:val="single"/>
          <w:shd w:val="clear" w:color="auto" w:fill="FFFFFF"/>
        </w:rPr>
        <w:t>Jeffret</w:t>
      </w:r>
      <w:proofErr w:type="spellEnd"/>
      <w:r w:rsidRPr="000A5E66">
        <w:rPr>
          <w:color w:val="454545"/>
          <w:u w:val="single"/>
          <w:shd w:val="clear" w:color="auto" w:fill="FFFFFF"/>
        </w:rPr>
        <w:t xml:space="preserve"> Krueger v. Sheriff Chris Elliott, et al.</w:t>
      </w:r>
      <w:r>
        <w:rPr>
          <w:color w:val="454545"/>
          <w:shd w:val="clear" w:color="auto" w:fill="FFFFFF"/>
        </w:rPr>
        <w:t>, United States District Court Judge Ronald A. White, U.S. District Court for Eastern District of Oklahoma, granted the EMT’s motion for summary judgment – qualified immunity.</w:t>
      </w:r>
      <w:r w:rsidR="00086D22">
        <w:rPr>
          <w:color w:val="454545"/>
          <w:shd w:val="clear" w:color="auto" w:fill="FFFFFF"/>
        </w:rPr>
        <w:t xml:space="preserve">  </w:t>
      </w:r>
      <w:r w:rsidR="00D90293">
        <w:rPr>
          <w:shd w:val="clear" w:color="auto" w:fill="FFFFFF"/>
        </w:rPr>
        <w:t xml:space="preserve">THE COURT </w:t>
      </w:r>
      <w:proofErr w:type="spellStart"/>
      <w:r w:rsidR="00D90293">
        <w:rPr>
          <w:shd w:val="clear" w:color="auto" w:fill="FFFFFF"/>
        </w:rPr>
        <w:t>HELD:</w:t>
      </w:r>
      <w:r>
        <w:rPr>
          <w:color w:val="454545"/>
          <w:shd w:val="clear" w:color="auto" w:fill="FFFFFF"/>
        </w:rPr>
        <w:t>“</w:t>
      </w:r>
      <w:r>
        <w:t>Plaintiffs</w:t>
      </w:r>
      <w:proofErr w:type="spellEnd"/>
      <w:r>
        <w:t xml:space="preserve"> have not identified any cases holding that an EMT violates an individual's Fourth Amendment right to be free from excessive force by briefly assisting officers in cuffing that individual, especially when that individual is struggling with officers in the middle of a busy highway where he stopped his car. As Plaintiffs have not satisfied their “burden of identifying cases that constitute clearly established law on these facts,” </w:t>
      </w:r>
      <w:r>
        <w:rPr>
          <w:rStyle w:val="Emphasis"/>
          <w:rFonts w:eastAsiaTheme="majorEastAsia"/>
        </w:rPr>
        <w:t>Id.</w:t>
      </w:r>
      <w:r>
        <w:t xml:space="preserve"> (citing </w:t>
      </w:r>
      <w:r>
        <w:rPr>
          <w:rStyle w:val="Emphasis"/>
          <w:rFonts w:eastAsiaTheme="majorEastAsia"/>
        </w:rPr>
        <w:t>Quinn v. Young</w:t>
      </w:r>
      <w:r>
        <w:t xml:space="preserve">, 780 F.3d 998, 1015 (10th Cir. 2015)), Smith and Patterson are entitled to qualified immunity on Plaintiffs' Fourth Amendment claims of excessive force. The motion for summary judgment motion is granted as to the excessive force claims against Smith and Patterson.”  </w:t>
      </w:r>
      <w:hyperlink r:id="rId2204" w:history="1">
        <w:r w:rsidRPr="006F5A98">
          <w:rPr>
            <w:rStyle w:val="Hyperlink"/>
          </w:rPr>
          <w:t>https://public.fastcase.com/H1P9uiW3J20SFp%2BGCG%2BxLfXb%2FP0Zem%2FZVE%2B6Qs7i4IO1WpaqZWLhEbCf1wzASLCeHTBrNzAeMbTpuOI06nFKgtuOqPD57vVcxacgyHv1UJc%3D?utm_medium=email&amp;_hsmi=226712652&amp;_hsenc=p2ANqtz-8wnxBiWrzuFD2HrdDPkM1g9CGhbZuaZGzbWbXmLdA56OF31_PY2JQBf09BSmDMlHEKBQ_DWKjsPmFM9QlP1xX06T0eGA&amp;utm_content=226712652&amp;utm_source=hs_email</w:t>
        </w:r>
      </w:hyperlink>
      <w:r>
        <w:t xml:space="preserve"> </w:t>
      </w:r>
    </w:p>
    <w:p w14:paraId="7B081384" w14:textId="5E9E8AED" w:rsidR="004705C6" w:rsidRDefault="00784981" w:rsidP="00784981">
      <w:pPr>
        <w:pStyle w:val="NormalWeb"/>
        <w:spacing w:before="0" w:beforeAutospacing="0"/>
        <w:ind w:left="720"/>
        <w:rPr>
          <w:rFonts w:ascii="Arial Black" w:hAnsi="Arial Black"/>
          <w:b/>
          <w:bCs/>
          <w:color w:val="454545"/>
          <w:sz w:val="28"/>
          <w:szCs w:val="28"/>
          <w:shd w:val="clear" w:color="auto" w:fill="FFFFFF"/>
        </w:rPr>
      </w:pPr>
      <w:r>
        <w:t xml:space="preserve">Note: </w:t>
      </w:r>
      <w:r w:rsidR="001E28A4">
        <w:rPr>
          <w:color w:val="454545"/>
          <w:shd w:val="clear" w:color="auto" w:fill="FFFFFF"/>
        </w:rPr>
        <w:t>Aug. 22, 2025, 10</w:t>
      </w:r>
      <w:r w:rsidR="001E28A4" w:rsidRPr="00086D22">
        <w:rPr>
          <w:color w:val="454545"/>
          <w:shd w:val="clear" w:color="auto" w:fill="FFFFFF"/>
          <w:vertAlign w:val="superscript"/>
        </w:rPr>
        <w:t>th</w:t>
      </w:r>
      <w:r w:rsidR="001E28A4">
        <w:rPr>
          <w:color w:val="454545"/>
          <w:shd w:val="clear" w:color="auto" w:fill="FFFFFF"/>
        </w:rPr>
        <w:t xml:space="preserve"> Circuit agreed: “</w:t>
      </w:r>
      <w:r w:rsidR="001E28A4" w:rsidRPr="00DE14B4">
        <w:rPr>
          <w:shd w:val="clear" w:color="auto" w:fill="FFFFFF"/>
        </w:rPr>
        <w:t>We agree with the district court that the Defendants are not entitled to</w:t>
      </w:r>
      <w:r w:rsidR="001E28A4">
        <w:rPr>
          <w:shd w:val="clear" w:color="auto" w:fill="FFFFFF"/>
        </w:rPr>
        <w:t xml:space="preserve"> </w:t>
      </w:r>
      <w:r w:rsidR="001E28A4" w:rsidRPr="00DE14B4">
        <w:rPr>
          <w:shd w:val="clear" w:color="auto" w:fill="FFFFFF"/>
        </w:rPr>
        <w:t>qualified immunity on the excessive force and failure to intervene claims.</w:t>
      </w:r>
      <w:r w:rsidR="001E28A4">
        <w:rPr>
          <w:shd w:val="clear" w:color="auto" w:fill="FFFFFF"/>
        </w:rPr>
        <w:t xml:space="preserve"> </w:t>
      </w:r>
      <w:r w:rsidR="001E28A4" w:rsidRPr="00DE14B4">
        <w:rPr>
          <w:shd w:val="clear" w:color="auto" w:fill="FFFFFF"/>
        </w:rPr>
        <w:t>Accordingly, we affirm the district court’s orders denying summary judgment.</w:t>
      </w:r>
      <w:r w:rsidR="001E28A4">
        <w:rPr>
          <w:shd w:val="clear" w:color="auto" w:fill="FFFFFF"/>
        </w:rPr>
        <w:t>”</w:t>
      </w:r>
      <w:r w:rsidR="001E28A4" w:rsidRPr="005E2E1A">
        <w:t xml:space="preserve"> </w:t>
      </w:r>
      <w:hyperlink r:id="rId2205" w:history="1">
        <w:r w:rsidR="001E28A4" w:rsidRPr="005B4041">
          <w:rPr>
            <w:rStyle w:val="Hyperlink"/>
            <w:shd w:val="clear" w:color="auto" w:fill="FFFFFF"/>
          </w:rPr>
          <w:t>https://cases.justia.com/federal/appellate-courts/ca10/24-7035/24-7035-2025-08-22.pdf?ts=1755880380</w:t>
        </w:r>
      </w:hyperlink>
    </w:p>
    <w:p w14:paraId="74CD2BBF" w14:textId="77777777" w:rsidR="004705C6" w:rsidRPr="00534353" w:rsidRDefault="004705C6" w:rsidP="004705C6">
      <w:pPr>
        <w:pStyle w:val="NormalWeb"/>
        <w:rPr>
          <w:b/>
          <w:bCs/>
        </w:rPr>
      </w:pPr>
      <w:r w:rsidRPr="00534353">
        <w:rPr>
          <w:b/>
          <w:bCs/>
        </w:rPr>
        <w:t>Legal Lesson Learned:</w:t>
      </w:r>
      <w:r>
        <w:rPr>
          <w:b/>
          <w:bCs/>
        </w:rPr>
        <w:t xml:space="preserve">  EMS may assist police in restraining a prisoner. </w:t>
      </w:r>
    </w:p>
    <w:p w14:paraId="7E143C7D" w14:textId="77777777" w:rsidR="004705C6" w:rsidRDefault="004705C6" w:rsidP="004705C6">
      <w:pPr>
        <w:pStyle w:val="NormalWeb"/>
      </w:pPr>
    </w:p>
    <w:p w14:paraId="59DDF0A2" w14:textId="77777777" w:rsidR="004705C6" w:rsidRDefault="004705C6" w:rsidP="004705C6">
      <w:pPr>
        <w:pStyle w:val="NormalWeb"/>
      </w:pPr>
    </w:p>
    <w:p w14:paraId="63DBB2AA" w14:textId="77777777" w:rsidR="004705C6" w:rsidRDefault="004705C6" w:rsidP="004705C6">
      <w:pPr>
        <w:rPr>
          <w:rFonts w:ascii="Arial Black" w:hAnsi="Arial Black"/>
          <w:sz w:val="28"/>
          <w:szCs w:val="28"/>
        </w:rPr>
      </w:pPr>
      <w:r>
        <w:rPr>
          <w:rFonts w:ascii="Arial Black" w:hAnsi="Arial Black"/>
          <w:sz w:val="28"/>
          <w:szCs w:val="28"/>
        </w:rPr>
        <w:t>13-176</w:t>
      </w:r>
    </w:p>
    <w:p w14:paraId="7470A0FC" w14:textId="78AEC580" w:rsidR="004705C6" w:rsidRPr="00EB612F" w:rsidRDefault="004705C6" w:rsidP="004705C6">
      <w:pPr>
        <w:rPr>
          <w:rFonts w:ascii="Arial Black" w:hAnsi="Arial Black"/>
          <w:sz w:val="28"/>
          <w:szCs w:val="28"/>
        </w:rPr>
      </w:pPr>
      <w:r>
        <w:rPr>
          <w:rFonts w:ascii="Arial Black" w:hAnsi="Arial Black"/>
          <w:sz w:val="28"/>
          <w:szCs w:val="28"/>
        </w:rPr>
        <w:t>CA: PD HANCUFFED MENTAL – STOPPED RESISTING, BUT MEDIC INJECTED VERSED / DIED – CASE PROCEED</w:t>
      </w:r>
    </w:p>
    <w:p w14:paraId="1FDCEAF2" w14:textId="51AE1E7F" w:rsidR="004705C6" w:rsidRDefault="004705C6" w:rsidP="004705C6">
      <w:pPr>
        <w:pStyle w:val="NormalWeb"/>
      </w:pPr>
      <w:r>
        <w:t xml:space="preserve">On March 15, 2024, in </w:t>
      </w:r>
      <w:r w:rsidRPr="008058CA">
        <w:rPr>
          <w:u w:val="single"/>
        </w:rPr>
        <w:t>Ivan Gutzalenko, et al. v. City of Richmond, et al</w:t>
      </w:r>
      <w:r>
        <w:t xml:space="preserve">., United States District Court Judge Edward M. Chen, U.S. District Court for Northern District of California, denied the motion to dismiss by AMR and paramedic Damon Richardson, who had administered 5 milligrams of Versed into his left bicep, and the detainee stopped breathing.  </w:t>
      </w:r>
      <w:r w:rsidRPr="00A77F9B">
        <w:t xml:space="preserve">Plaintiffs claim Mr. Richardson did not </w:t>
      </w:r>
      <w:r>
        <w:t>‘</w:t>
      </w:r>
      <w:r w:rsidRPr="00A77F9B">
        <w:t>aspirate</w:t>
      </w:r>
      <w:r>
        <w:t>’</w:t>
      </w:r>
      <w:r w:rsidRPr="00A77F9B">
        <w:t xml:space="preserve"> the syringe when he administered the Versed to ensure it was not in the vein. Plaintiffs allege that the decedent stopped breathing within 90 seconds of the Versed administration and that he was pronounced dead after he was taken to Summit Hospital in Oakland.</w:t>
      </w:r>
      <w:r w:rsidR="00F733DE">
        <w:t xml:space="preserve"> </w:t>
      </w:r>
      <w:hyperlink r:id="rId2206" w:history="1">
        <w:r w:rsidR="00F733DE" w:rsidRPr="0026472A">
          <w:rPr>
            <w:rStyle w:val="Hyperlink"/>
          </w:rPr>
          <w:t>https://richmondside.org/2025/09/11/civil-rights-trial-forced-sedation-richmond-death/</w:t>
        </w:r>
      </w:hyperlink>
      <w:r w:rsidR="00F733DE">
        <w:t xml:space="preserve"> </w:t>
      </w:r>
    </w:p>
    <w:p w14:paraId="13295A4C"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21A4182" w14:textId="77777777" w:rsidR="004504A6" w:rsidRDefault="004504A6" w:rsidP="004705C6">
      <w:pPr>
        <w:pStyle w:val="NoSpacing"/>
        <w:ind w:left="720"/>
        <w:rPr>
          <w:rFonts w:ascii="Times New Roman" w:hAnsi="Times New Roman"/>
          <w:sz w:val="24"/>
          <w:szCs w:val="24"/>
        </w:rPr>
      </w:pPr>
    </w:p>
    <w:p w14:paraId="792E0214" w14:textId="30E23BBB" w:rsidR="004705C6" w:rsidRDefault="004705C6" w:rsidP="004705C6">
      <w:pPr>
        <w:pStyle w:val="NoSpacing"/>
        <w:ind w:left="720"/>
        <w:rPr>
          <w:rFonts w:ascii="Times New Roman" w:hAnsi="Times New Roman"/>
          <w:sz w:val="24"/>
          <w:szCs w:val="24"/>
        </w:rPr>
      </w:pPr>
      <w:r>
        <w:rPr>
          <w:rFonts w:ascii="Times New Roman" w:hAnsi="Times New Roman"/>
          <w:sz w:val="24"/>
          <w:szCs w:val="24"/>
        </w:rPr>
        <w:t>“</w:t>
      </w:r>
      <w:r w:rsidRPr="0068190E">
        <w:rPr>
          <w:rFonts w:ascii="Times New Roman" w:hAnsi="Times New Roman"/>
          <w:sz w:val="24"/>
          <w:szCs w:val="24"/>
        </w:rPr>
        <w:t>Taking the allegations as true, if Mr. Richardson administered Versed into the decedent's body even though the decedent was not resisting arrest and could not consent, thus resulting in the decedent's death, these facts could constitute battery.</w:t>
      </w:r>
    </w:p>
    <w:p w14:paraId="7512B3FF" w14:textId="77777777" w:rsidR="004705C6" w:rsidRDefault="004705C6" w:rsidP="004705C6">
      <w:pPr>
        <w:pStyle w:val="NoSpacing"/>
        <w:rPr>
          <w:rFonts w:ascii="Times New Roman" w:hAnsi="Times New Roman"/>
          <w:sz w:val="24"/>
          <w:szCs w:val="24"/>
        </w:rPr>
      </w:pPr>
    </w:p>
    <w:p w14:paraId="69902BDB"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5AEF51E4" w14:textId="77777777" w:rsidR="004705C6" w:rsidRDefault="004705C6" w:rsidP="004705C6">
      <w:pPr>
        <w:pStyle w:val="NoSpacing"/>
        <w:rPr>
          <w:rFonts w:ascii="Times New Roman" w:hAnsi="Times New Roman"/>
          <w:sz w:val="24"/>
          <w:szCs w:val="24"/>
        </w:rPr>
      </w:pPr>
    </w:p>
    <w:p w14:paraId="2A256FCC" w14:textId="77777777" w:rsidR="004705C6" w:rsidRDefault="004705C6" w:rsidP="004705C6">
      <w:pPr>
        <w:pStyle w:val="NoSpacing"/>
        <w:ind w:left="720"/>
        <w:rPr>
          <w:rFonts w:ascii="Times New Roman" w:hAnsi="Times New Roman"/>
          <w:sz w:val="24"/>
          <w:szCs w:val="24"/>
        </w:rPr>
      </w:pPr>
      <w:r w:rsidRPr="00F63C8E">
        <w:rPr>
          <w:rFonts w:ascii="Times New Roman" w:hAnsi="Times New Roman"/>
          <w:sz w:val="24"/>
          <w:szCs w:val="24"/>
        </w:rPr>
        <w:t>But whether there was a medical emergency here that warranted the injection of Versed is at least a factual question inappropriate for resolution on a motion to dismiss. The Court denies summary judgment and thus cannot dismiss Plaintiff's claim for assault and battery because factual issues remain.</w:t>
      </w:r>
    </w:p>
    <w:p w14:paraId="793EA206" w14:textId="77777777" w:rsidR="004705C6" w:rsidRDefault="004705C6" w:rsidP="004705C6">
      <w:pPr>
        <w:pStyle w:val="NoSpacing"/>
        <w:rPr>
          <w:rFonts w:ascii="Times New Roman" w:hAnsi="Times New Roman"/>
          <w:sz w:val="24"/>
          <w:szCs w:val="24"/>
        </w:rPr>
      </w:pPr>
      <w:r>
        <w:rPr>
          <w:rFonts w:ascii="Times New Roman" w:hAnsi="Times New Roman"/>
          <w:sz w:val="24"/>
          <w:szCs w:val="24"/>
        </w:rPr>
        <w:tab/>
      </w:r>
    </w:p>
    <w:p w14:paraId="72DAB3DE"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4B3336DF" w14:textId="77777777" w:rsidR="004705C6" w:rsidRPr="009A0D07" w:rsidRDefault="004705C6" w:rsidP="004705C6">
      <w:pPr>
        <w:pStyle w:val="NoSpacing"/>
        <w:ind w:left="720"/>
        <w:rPr>
          <w:rFonts w:ascii="Times New Roman" w:hAnsi="Times New Roman"/>
          <w:sz w:val="24"/>
          <w:szCs w:val="24"/>
        </w:rPr>
      </w:pPr>
      <w:r w:rsidRPr="009A0D07">
        <w:rPr>
          <w:rFonts w:ascii="Times New Roman" w:hAnsi="Times New Roman"/>
          <w:sz w:val="24"/>
          <w:szCs w:val="24"/>
        </w:rPr>
        <w:t>Because the Court finds that Plaintiffs sufficiently alleged that Mr. Richardson assisted police officers in detaining and arresting the decedent, Mr. Richardson could be liable for the false arrest claim if he acted in a law enforcement rather than medical capacity.</w:t>
      </w:r>
      <w:r>
        <w:rPr>
          <w:rFonts w:ascii="Times New Roman" w:hAnsi="Times New Roman"/>
          <w:sz w:val="24"/>
          <w:szCs w:val="24"/>
        </w:rPr>
        <w:t xml:space="preserve">” </w:t>
      </w:r>
      <w:hyperlink r:id="rId2207" w:history="1">
        <w:r w:rsidRPr="00571E72">
          <w:rPr>
            <w:rStyle w:val="Hyperlink"/>
            <w:rFonts w:ascii="Times New Roman" w:hAnsi="Times New Roman"/>
            <w:sz w:val="24"/>
            <w:szCs w:val="24"/>
          </w:rPr>
          <w:t>https://casetext.com/case/gutzalenko-v-city-of-richmond</w:t>
        </w:r>
      </w:hyperlink>
      <w:r>
        <w:rPr>
          <w:rFonts w:ascii="Times New Roman" w:hAnsi="Times New Roman"/>
          <w:sz w:val="24"/>
          <w:szCs w:val="24"/>
        </w:rPr>
        <w:t xml:space="preserve"> </w:t>
      </w:r>
    </w:p>
    <w:p w14:paraId="06CCE028" w14:textId="77777777" w:rsidR="004705C6" w:rsidRPr="0068190E" w:rsidRDefault="004705C6" w:rsidP="004705C6">
      <w:pPr>
        <w:pStyle w:val="NoSpacing"/>
        <w:rPr>
          <w:rFonts w:ascii="Times New Roman" w:hAnsi="Times New Roman"/>
          <w:sz w:val="24"/>
          <w:szCs w:val="24"/>
        </w:rPr>
      </w:pPr>
    </w:p>
    <w:p w14:paraId="69B5F1F4" w14:textId="77777777" w:rsidR="004705C6" w:rsidRPr="001F7017" w:rsidRDefault="004705C6" w:rsidP="004705C6">
      <w:pPr>
        <w:pStyle w:val="NormalWeb"/>
        <w:rPr>
          <w:b/>
          <w:bCs/>
        </w:rPr>
      </w:pPr>
      <w:r>
        <w:rPr>
          <w:b/>
          <w:bCs/>
        </w:rPr>
        <w:t xml:space="preserve">Legal Lesson Learned:  If detainee is not struggling, carefully follow protocol about when to administer a sedative. </w:t>
      </w:r>
    </w:p>
    <w:p w14:paraId="04100412" w14:textId="77777777" w:rsidR="004705C6" w:rsidRPr="005E33AC" w:rsidRDefault="004705C6" w:rsidP="004705C6">
      <w:pPr>
        <w:pStyle w:val="NoSpacing"/>
        <w:ind w:left="720"/>
        <w:rPr>
          <w:rFonts w:ascii="Times New Roman" w:hAnsi="Times New Roman"/>
          <w:sz w:val="24"/>
          <w:szCs w:val="24"/>
        </w:rPr>
      </w:pPr>
      <w:r w:rsidRPr="005E33AC">
        <w:rPr>
          <w:rFonts w:ascii="Times New Roman" w:hAnsi="Times New Roman"/>
          <w:sz w:val="24"/>
          <w:szCs w:val="24"/>
        </w:rPr>
        <w:t>Note: See County Prosecutor’s investigation report, including interview of Medic Richardson (page 19)</w:t>
      </w:r>
      <w:r>
        <w:rPr>
          <w:rFonts w:ascii="Times New Roman" w:hAnsi="Times New Roman"/>
          <w:sz w:val="24"/>
          <w:szCs w:val="24"/>
        </w:rPr>
        <w:t xml:space="preserve">: </w:t>
      </w:r>
      <w:hyperlink r:id="rId2208" w:history="1">
        <w:r w:rsidRPr="00AA5DF9">
          <w:rPr>
            <w:rStyle w:val="Hyperlink"/>
            <w:rFonts w:ascii="Times New Roman" w:hAnsi="Times New Roman"/>
            <w:sz w:val="24"/>
            <w:szCs w:val="24"/>
          </w:rPr>
          <w:t>https://www.contracosta.ca.gov/DocumentCenter/View/79107/Final-LEIFI-Ivan-Gutzalenko--2021</w:t>
        </w:r>
      </w:hyperlink>
      <w:r>
        <w:rPr>
          <w:rFonts w:ascii="Times New Roman" w:hAnsi="Times New Roman"/>
          <w:sz w:val="24"/>
          <w:szCs w:val="24"/>
        </w:rPr>
        <w:t xml:space="preserve"> </w:t>
      </w:r>
    </w:p>
    <w:p w14:paraId="7578E5A0" w14:textId="77777777" w:rsidR="004705C6" w:rsidRPr="005E33AC" w:rsidRDefault="004705C6" w:rsidP="004705C6">
      <w:pPr>
        <w:pStyle w:val="NoSpacing"/>
        <w:rPr>
          <w:rFonts w:ascii="Times New Roman" w:hAnsi="Times New Roman"/>
          <w:sz w:val="24"/>
          <w:szCs w:val="24"/>
        </w:rPr>
      </w:pPr>
    </w:p>
    <w:p w14:paraId="3A0E2915" w14:textId="77777777" w:rsidR="004705C6" w:rsidRDefault="004705C6" w:rsidP="004705C6">
      <w:pPr>
        <w:pStyle w:val="NoSpacing"/>
        <w:rPr>
          <w:rFonts w:ascii="Times New Roman" w:hAnsi="Times New Roman"/>
          <w:sz w:val="24"/>
          <w:szCs w:val="24"/>
        </w:rPr>
      </w:pPr>
    </w:p>
    <w:p w14:paraId="4C4ACB24" w14:textId="77777777" w:rsidR="004705C6" w:rsidRPr="00A77F9B" w:rsidRDefault="004705C6" w:rsidP="004705C6">
      <w:pPr>
        <w:pStyle w:val="NoSpacing"/>
        <w:rPr>
          <w:rFonts w:ascii="Times New Roman" w:hAnsi="Times New Roman"/>
          <w:sz w:val="24"/>
          <w:szCs w:val="24"/>
        </w:rPr>
      </w:pPr>
    </w:p>
    <w:p w14:paraId="788E51A9" w14:textId="77777777" w:rsidR="004705C6" w:rsidRPr="004705C6" w:rsidRDefault="004705C6" w:rsidP="004705C6">
      <w:pPr>
        <w:pStyle w:val="NormalWeb"/>
        <w:spacing w:before="0" w:beforeAutospacing="0"/>
        <w:rPr>
          <w:rFonts w:ascii="Arial Black" w:hAnsi="Arial Black"/>
          <w:color w:val="454545"/>
          <w:sz w:val="28"/>
          <w:szCs w:val="28"/>
          <w:shd w:val="clear" w:color="auto" w:fill="FFFFFF"/>
        </w:rPr>
      </w:pPr>
      <w:r w:rsidRPr="004705C6">
        <w:rPr>
          <w:rFonts w:ascii="Arial Black" w:hAnsi="Arial Black"/>
          <w:color w:val="454545"/>
          <w:sz w:val="28"/>
          <w:szCs w:val="28"/>
          <w:shd w:val="clear" w:color="auto" w:fill="FFFFFF"/>
        </w:rPr>
        <w:t>13-175</w:t>
      </w:r>
    </w:p>
    <w:p w14:paraId="3BDEB80D" w14:textId="16D15A9F" w:rsidR="004705C6" w:rsidRPr="00BF0450" w:rsidRDefault="004705C6" w:rsidP="004705C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SC: COMBATIVE PT IN AMBULANCE – GIVEN 2</w:t>
      </w:r>
      <w:r w:rsidRPr="00C50832">
        <w:rPr>
          <w:rFonts w:ascii="Arial Black" w:hAnsi="Arial Black"/>
          <w:b/>
          <w:bCs/>
          <w:color w:val="454545"/>
          <w:sz w:val="28"/>
          <w:szCs w:val="28"/>
          <w:shd w:val="clear" w:color="auto" w:fill="FFFFFF"/>
          <w:vertAlign w:val="superscript"/>
        </w:rPr>
        <w:t>nd</w:t>
      </w:r>
      <w:r>
        <w:rPr>
          <w:rFonts w:ascii="Arial Black" w:hAnsi="Arial Black"/>
          <w:b/>
          <w:bCs/>
          <w:color w:val="454545"/>
          <w:sz w:val="28"/>
          <w:szCs w:val="28"/>
          <w:shd w:val="clear" w:color="auto" w:fill="FFFFFF"/>
        </w:rPr>
        <w:t xml:space="preserve"> KETAMINE – LIVED - NOT “SHOCK THE CONSCIOUS” - NO FED. CASE</w:t>
      </w:r>
    </w:p>
    <w:p w14:paraId="6A478D7B" w14:textId="77777777" w:rsidR="004705C6" w:rsidRDefault="004705C6" w:rsidP="004705C6">
      <w:pPr>
        <w:pStyle w:val="NormalWeb"/>
        <w:spacing w:before="0" w:beforeAutospacing="0"/>
      </w:pPr>
      <w:r w:rsidRPr="003E0A9D">
        <w:rPr>
          <w:color w:val="454545"/>
          <w:shd w:val="clear" w:color="auto" w:fill="FFFFFF"/>
        </w:rPr>
        <w:t>On March 14, 2024</w:t>
      </w:r>
      <w:r>
        <w:rPr>
          <w:color w:val="454545"/>
          <w:shd w:val="clear" w:color="auto" w:fill="FFFFFF"/>
        </w:rPr>
        <w:t xml:space="preserve">, in </w:t>
      </w:r>
      <w:r w:rsidRPr="00EB2849">
        <w:rPr>
          <w:color w:val="454545"/>
          <w:u w:val="single"/>
          <w:shd w:val="clear" w:color="auto" w:fill="FFFFFF"/>
        </w:rPr>
        <w:t>Randy Botten v. Charleton County EMS and Christopher Cox</w:t>
      </w:r>
      <w:r>
        <w:rPr>
          <w:color w:val="454545"/>
          <w:shd w:val="clear" w:color="auto" w:fill="FFFFFF"/>
        </w:rPr>
        <w:t xml:space="preserve">, United States District Court Judge David C. Norton, U.S. District Court for South Carolina (Charleston Division) granted defense motion to dismiss; plaintiff alleges he suffered </w:t>
      </w:r>
      <w:r>
        <w:t xml:space="preserve">acute respiratory failure because of second injection of ketamine, but he was so combative in back of the ambulance they had to pull over to control him. </w:t>
      </w:r>
    </w:p>
    <w:p w14:paraId="0BACE187" w14:textId="77777777" w:rsidR="004504A6" w:rsidRPr="004C0299" w:rsidRDefault="004504A6" w:rsidP="004504A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560BA1D1" w14:textId="77777777" w:rsidR="004705C6" w:rsidRDefault="004705C6" w:rsidP="004705C6">
      <w:pPr>
        <w:pStyle w:val="NormalWeb"/>
        <w:ind w:left="720"/>
      </w:pPr>
      <w:r>
        <w:t>“The heart of Botten's allegations in this lawsuit is that these two ketamine injections were done without his consent and in a dangerous manner. He says that EMS employees determine how much ketamine to administer by ‘looking at the person and guessing their weight.’ Botten claims that injecting an intoxicated person with 500 milligrams of ketamine is extremely dangerous and can result in that person's death, and he says that the defendants had been told he was drunk prior to their injecting him.  He further states that Cox did not consult with medical control prior to administering the second ketamine dose, which violated EMS's protocol. Botten believes the defendants did not have a legitimate medical purpose for injecting him with ketamine and instead administered the drug ‘solely for the purpose of behavioral control.</w:t>
      </w:r>
    </w:p>
    <w:p w14:paraId="174BAB9D" w14:textId="77777777" w:rsidR="004705C6" w:rsidRDefault="004705C6" w:rsidP="004705C6">
      <w:pPr>
        <w:pStyle w:val="NormalWeb"/>
        <w:ind w:left="720"/>
      </w:pPr>
      <w:r>
        <w:t>***</w:t>
      </w:r>
    </w:p>
    <w:p w14:paraId="4D0373F6" w14:textId="77777777" w:rsidR="004705C6" w:rsidRDefault="004705C6" w:rsidP="004705C6">
      <w:pPr>
        <w:pStyle w:val="NormalWeb"/>
        <w:ind w:left="720"/>
      </w:pPr>
      <w:r>
        <w:t xml:space="preserve">The court finds that Botten's § 1983 claim must be dismissed because Botten's allegations do not give rise to a constitutional violation. The Fourth Circuit recently outlined what is necessary for a plaintiff to assert a due process violation based on an invasion of bodily integrity. </w:t>
      </w:r>
      <w:r>
        <w:rPr>
          <w:rStyle w:val="Emphasis"/>
          <w:rFonts w:eastAsiaTheme="majorEastAsia"/>
        </w:rPr>
        <w:t xml:space="preserve">See Washington v. </w:t>
      </w:r>
      <w:proofErr w:type="spellStart"/>
      <w:r>
        <w:rPr>
          <w:rStyle w:val="Emphasis"/>
          <w:rFonts w:eastAsiaTheme="majorEastAsia"/>
        </w:rPr>
        <w:t>Hous</w:t>
      </w:r>
      <w:proofErr w:type="spellEnd"/>
      <w:r>
        <w:rPr>
          <w:rStyle w:val="Emphasis"/>
          <w:rFonts w:eastAsiaTheme="majorEastAsia"/>
        </w:rPr>
        <w:t>. Auth.,</w:t>
      </w:r>
      <w:r>
        <w:t xml:space="preserve"> 58 F.4th 170, 177 (4th Cir. 2023). Namely, the plaintiff must show that the ‘defendant's behavior was ‘so egregious, so outrageous, that it may fairly be said to shock the contemporary conscience.' To be conscience shocking, a defendant's behavior must lack ‘any reasonable justification in the service of a legitimate governmental objective.' </w:t>
      </w:r>
      <w:r>
        <w:rPr>
          <w:rStyle w:val="Emphasis"/>
          <w:rFonts w:eastAsiaTheme="majorEastAsia"/>
        </w:rPr>
        <w:t>Id.</w:t>
      </w:r>
      <w:r>
        <w:t xml:space="preserve"> (citation omitted) (first quoting </w:t>
      </w:r>
      <w:r>
        <w:rPr>
          <w:rStyle w:val="Emphasis"/>
          <w:rFonts w:eastAsiaTheme="majorEastAsia"/>
        </w:rPr>
        <w:t>Dean ex rel. Harkness v. McKinney,</w:t>
      </w:r>
      <w:r>
        <w:t xml:space="preserve"> 976 F.3d 407, 413 (4th Cir. 2020); and then quoting </w:t>
      </w:r>
      <w:proofErr w:type="spellStart"/>
      <w:r>
        <w:rPr>
          <w:rStyle w:val="Emphasis"/>
          <w:rFonts w:eastAsiaTheme="majorEastAsia"/>
        </w:rPr>
        <w:t>Cnty</w:t>
      </w:r>
      <w:proofErr w:type="spellEnd"/>
      <w:r>
        <w:rPr>
          <w:rStyle w:val="Emphasis"/>
          <w:rFonts w:eastAsiaTheme="majorEastAsia"/>
        </w:rPr>
        <w:t>. of Sacramento v. Lewis,</w:t>
      </w:r>
      <w:r>
        <w:t xml:space="preserve"> 523 U.S. 833, 846 (1998)).” </w:t>
      </w:r>
      <w:hyperlink r:id="rId2209" w:history="1">
        <w:r w:rsidRPr="00AA5DF9">
          <w:rPr>
            <w:rStyle w:val="Hyperlink"/>
          </w:rPr>
          <w:t>https://public.fastcase.com/H1P9uiW3J20SFp%2BGCG%2BxLaemfayQbOUv%2BEh6FB5s8DQhIQ87YMziPJITlyqe%2FhSH?utm_medium=email&amp;_hsmi=226712652&amp;_hsenc=p2ANqtz-8exNZIeYxIQOzMK262tD3IHaMXGJDKKAxfpMPtjNaE7kcerp9c9vm-ypoKl8zd2ZG1HbM5kXW5cAGwdVsTDfl2ZJRdHw&amp;utm_content=226712652&amp;utm_source=hs_email</w:t>
        </w:r>
      </w:hyperlink>
      <w:r>
        <w:t xml:space="preserve"> </w:t>
      </w:r>
    </w:p>
    <w:p w14:paraId="0E3E4942" w14:textId="77777777" w:rsidR="004705C6" w:rsidRPr="00931393" w:rsidRDefault="004705C6" w:rsidP="004705C6">
      <w:pPr>
        <w:pStyle w:val="NormalWeb"/>
        <w:rPr>
          <w:b/>
          <w:bCs/>
        </w:rPr>
      </w:pPr>
      <w:r>
        <w:rPr>
          <w:b/>
          <w:bCs/>
        </w:rPr>
        <w:t xml:space="preserve">Legal Lesson Learned: Follow your protocol on administering second injection of ketamine. </w:t>
      </w:r>
    </w:p>
    <w:p w14:paraId="0215BAFE" w14:textId="77777777" w:rsidR="004705C6" w:rsidRDefault="004705C6" w:rsidP="004705C6">
      <w:pPr>
        <w:pStyle w:val="NoSpacing"/>
        <w:rPr>
          <w:rFonts w:ascii="Arial Black" w:hAnsi="Arial Black"/>
          <w:sz w:val="28"/>
          <w:szCs w:val="28"/>
        </w:rPr>
      </w:pPr>
    </w:p>
    <w:p w14:paraId="2A9D8362" w14:textId="63A9BF1E" w:rsidR="004705C6" w:rsidRDefault="004705C6" w:rsidP="004705C6">
      <w:pPr>
        <w:pStyle w:val="NoSpacing"/>
        <w:rPr>
          <w:rFonts w:ascii="Arial Black" w:hAnsi="Arial Black"/>
          <w:sz w:val="28"/>
          <w:szCs w:val="28"/>
        </w:rPr>
      </w:pPr>
      <w:r>
        <w:rPr>
          <w:rFonts w:ascii="Arial Black" w:hAnsi="Arial Black"/>
          <w:sz w:val="28"/>
          <w:szCs w:val="28"/>
        </w:rPr>
        <w:t>13-174</w:t>
      </w:r>
    </w:p>
    <w:p w14:paraId="03D50363" w14:textId="77777777" w:rsidR="004705C6" w:rsidRDefault="004705C6" w:rsidP="004705C6">
      <w:pPr>
        <w:pStyle w:val="NoSpacing"/>
        <w:rPr>
          <w:rFonts w:ascii="Arial Black" w:hAnsi="Arial Black"/>
          <w:sz w:val="28"/>
          <w:szCs w:val="28"/>
        </w:rPr>
      </w:pPr>
    </w:p>
    <w:p w14:paraId="44507672" w14:textId="77C60C5B" w:rsidR="004705C6" w:rsidRPr="008B6200" w:rsidRDefault="004705C6" w:rsidP="004705C6">
      <w:pPr>
        <w:pStyle w:val="NoSpacing"/>
        <w:rPr>
          <w:rFonts w:ascii="Arial Black" w:hAnsi="Arial Black"/>
          <w:sz w:val="28"/>
          <w:szCs w:val="28"/>
        </w:rPr>
      </w:pPr>
      <w:r>
        <w:rPr>
          <w:rFonts w:ascii="Arial Black" w:hAnsi="Arial Black"/>
          <w:sz w:val="28"/>
          <w:szCs w:val="28"/>
        </w:rPr>
        <w:t>TX: BLS TRANSPORT AFTER MVA – BILLED $1,830.50 – NO MEDICAL EXPERT FRAUD - CASE PROPERLY DISMISSED</w:t>
      </w:r>
    </w:p>
    <w:p w14:paraId="5DDCC576" w14:textId="77777777" w:rsidR="004705C6" w:rsidRDefault="004705C6" w:rsidP="004705C6">
      <w:pPr>
        <w:pStyle w:val="NoSpacing"/>
        <w:rPr>
          <w:rFonts w:ascii="Times New Roman" w:hAnsi="Times New Roman"/>
          <w:sz w:val="24"/>
          <w:szCs w:val="24"/>
        </w:rPr>
      </w:pPr>
    </w:p>
    <w:p w14:paraId="799015BB" w14:textId="77777777" w:rsidR="004705C6" w:rsidRDefault="004705C6" w:rsidP="004705C6">
      <w:pPr>
        <w:pStyle w:val="NoSpacing"/>
        <w:rPr>
          <w:rFonts w:ascii="Times New Roman" w:hAnsi="Times New Roman"/>
          <w:sz w:val="24"/>
          <w:szCs w:val="24"/>
        </w:rPr>
      </w:pPr>
      <w:r>
        <w:rPr>
          <w:rFonts w:ascii="Times New Roman" w:hAnsi="Times New Roman"/>
          <w:sz w:val="24"/>
          <w:szCs w:val="24"/>
        </w:rPr>
        <w:t xml:space="preserve">On March 14, 2024, in </w:t>
      </w:r>
      <w:proofErr w:type="spellStart"/>
      <w:r w:rsidRPr="00F1279A">
        <w:rPr>
          <w:rFonts w:ascii="Times New Roman" w:hAnsi="Times New Roman"/>
          <w:sz w:val="24"/>
          <w:szCs w:val="24"/>
          <w:u w:val="single"/>
        </w:rPr>
        <w:t>Alstonia</w:t>
      </w:r>
      <w:proofErr w:type="spellEnd"/>
      <w:r w:rsidRPr="00F1279A">
        <w:rPr>
          <w:rFonts w:ascii="Times New Roman" w:hAnsi="Times New Roman"/>
          <w:sz w:val="24"/>
          <w:szCs w:val="24"/>
          <w:u w:val="single"/>
        </w:rPr>
        <w:t xml:space="preserve"> Louis v. Liberty County Emergency Medical Service, Inc</w:t>
      </w:r>
      <w:r>
        <w:rPr>
          <w:rFonts w:ascii="Times New Roman" w:hAnsi="Times New Roman"/>
          <w:sz w:val="24"/>
          <w:szCs w:val="24"/>
        </w:rPr>
        <w:t xml:space="preserve">., the </w:t>
      </w:r>
    </w:p>
    <w:p w14:paraId="279EAD48" w14:textId="77777777" w:rsidR="004705C6" w:rsidRDefault="004705C6" w:rsidP="004705C6">
      <w:pPr>
        <w:pStyle w:val="NoSpacing"/>
        <w:rPr>
          <w:rFonts w:ascii="Times New Roman" w:hAnsi="Times New Roman"/>
          <w:sz w:val="24"/>
          <w:szCs w:val="24"/>
        </w:rPr>
      </w:pPr>
      <w:r w:rsidRPr="00C312AE">
        <w:rPr>
          <w:rFonts w:ascii="Times New Roman" w:hAnsi="Times New Roman"/>
          <w:sz w:val="24"/>
          <w:szCs w:val="24"/>
        </w:rPr>
        <w:t>Court of Appeals of Texas, Fourteenth District</w:t>
      </w:r>
      <w:r>
        <w:rPr>
          <w:rFonts w:ascii="Times New Roman" w:hAnsi="Times New Roman"/>
          <w:sz w:val="24"/>
          <w:szCs w:val="24"/>
        </w:rPr>
        <w:t xml:space="preserve"> held (3 to 0) that trial court properly granted defense motion to dismiss since this is in effect a medical malpractice claim that under Texas law must be supported by affidavit from medical expert.  </w:t>
      </w:r>
    </w:p>
    <w:p w14:paraId="53D766B2" w14:textId="77777777" w:rsidR="004504A6" w:rsidRDefault="004504A6" w:rsidP="004504A6">
      <w:pPr>
        <w:pStyle w:val="NoSpacing"/>
        <w:rPr>
          <w:rFonts w:ascii="Times New Roman" w:hAnsi="Times New Roman"/>
          <w:sz w:val="24"/>
          <w:szCs w:val="24"/>
          <w:shd w:val="clear" w:color="auto" w:fill="FFFFFF"/>
        </w:rPr>
      </w:pPr>
    </w:p>
    <w:p w14:paraId="005E6815" w14:textId="7BB1174A" w:rsidR="004504A6" w:rsidRPr="004C0299" w:rsidRDefault="004504A6" w:rsidP="004504A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D6A70DC" w14:textId="77777777" w:rsidR="004705C6" w:rsidRDefault="004705C6" w:rsidP="004705C6">
      <w:pPr>
        <w:pStyle w:val="NoSpacing"/>
      </w:pPr>
    </w:p>
    <w:p w14:paraId="47786942" w14:textId="77777777" w:rsidR="004705C6" w:rsidRDefault="004705C6" w:rsidP="004705C6">
      <w:pPr>
        <w:pStyle w:val="NoSpacing"/>
        <w:ind w:left="720"/>
        <w:rPr>
          <w:rFonts w:ascii="Times New Roman" w:hAnsi="Times New Roman"/>
          <w:sz w:val="24"/>
          <w:szCs w:val="24"/>
        </w:rPr>
      </w:pPr>
      <w:r>
        <w:rPr>
          <w:rFonts w:ascii="Times New Roman" w:hAnsi="Times New Roman"/>
          <w:sz w:val="24"/>
          <w:szCs w:val="24"/>
        </w:rPr>
        <w:t>“</w:t>
      </w:r>
      <w:r w:rsidRPr="00BE1DE1">
        <w:rPr>
          <w:rFonts w:ascii="Times New Roman" w:hAnsi="Times New Roman"/>
          <w:sz w:val="24"/>
          <w:szCs w:val="24"/>
        </w:rPr>
        <w:t xml:space="preserve">Both Louis's pleadings and affidavit establish that he was transported by ambulance and received health care from Liberty County EMS. For example, Louis acknowledged that Liberty County EMS checked his vital signs. Therefore, we are confronted with another situation in which the conduct of the health-care provider and the determination of the care provided </w:t>
      </w:r>
      <w:proofErr w:type="gramStart"/>
      <w:r w:rsidRPr="00BE1DE1">
        <w:rPr>
          <w:rFonts w:ascii="Times New Roman" w:hAnsi="Times New Roman"/>
          <w:sz w:val="24"/>
          <w:szCs w:val="24"/>
        </w:rPr>
        <w:t>is at issue</w:t>
      </w:r>
      <w:proofErr w:type="gramEnd"/>
      <w:r w:rsidRPr="00BE1DE1">
        <w:rPr>
          <w:rFonts w:ascii="Times New Roman" w:hAnsi="Times New Roman"/>
          <w:sz w:val="24"/>
          <w:szCs w:val="24"/>
        </w:rPr>
        <w:t xml:space="preserve">. The resolution of Louis's challenge to the level of care provided to him and appropriate commensurate billing for those services is not within lay knowledge. Therefore, the </w:t>
      </w:r>
      <w:proofErr w:type="gramStart"/>
      <w:r w:rsidRPr="00BE1DE1">
        <w:rPr>
          <w:rFonts w:ascii="Times New Roman" w:hAnsi="Times New Roman"/>
          <w:sz w:val="24"/>
          <w:szCs w:val="24"/>
        </w:rPr>
        <w:t>fact-finder</w:t>
      </w:r>
      <w:proofErr w:type="gramEnd"/>
      <w:r w:rsidRPr="00BE1DE1">
        <w:rPr>
          <w:rFonts w:ascii="Times New Roman" w:hAnsi="Times New Roman"/>
          <w:sz w:val="24"/>
          <w:szCs w:val="24"/>
        </w:rPr>
        <w:t xml:space="preserve"> would need expert medical testimony to confirm whether (1) the care received by Louis was </w:t>
      </w:r>
      <w:r>
        <w:rPr>
          <w:rFonts w:ascii="Times New Roman" w:hAnsi="Times New Roman"/>
          <w:sz w:val="24"/>
          <w:szCs w:val="24"/>
        </w:rPr>
        <w:t>‘</w:t>
      </w:r>
      <w:r w:rsidRPr="00BE1DE1">
        <w:rPr>
          <w:rFonts w:ascii="Times New Roman" w:hAnsi="Times New Roman"/>
          <w:sz w:val="24"/>
          <w:szCs w:val="24"/>
        </w:rPr>
        <w:t>basic-life support</w:t>
      </w:r>
      <w:r>
        <w:rPr>
          <w:rFonts w:ascii="Times New Roman" w:hAnsi="Times New Roman"/>
          <w:sz w:val="24"/>
          <w:szCs w:val="24"/>
        </w:rPr>
        <w:t>’</w:t>
      </w:r>
      <w:r w:rsidRPr="00BE1DE1">
        <w:rPr>
          <w:rFonts w:ascii="Times New Roman" w:hAnsi="Times New Roman"/>
          <w:sz w:val="24"/>
          <w:szCs w:val="24"/>
        </w:rPr>
        <w:t xml:space="preserve"> as he was billed for and (2) the amount Louis was charged was appropriate for the services provided.</w:t>
      </w:r>
    </w:p>
    <w:p w14:paraId="716AF1CC" w14:textId="77777777" w:rsidR="004705C6" w:rsidRDefault="004705C6" w:rsidP="004705C6">
      <w:pPr>
        <w:pStyle w:val="NoSpacing"/>
        <w:rPr>
          <w:rFonts w:ascii="Times New Roman" w:hAnsi="Times New Roman"/>
          <w:sz w:val="24"/>
          <w:szCs w:val="24"/>
        </w:rPr>
      </w:pPr>
    </w:p>
    <w:p w14:paraId="2ECB23BC"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4226AA41" w14:textId="77777777" w:rsidR="004705C6" w:rsidRDefault="004705C6" w:rsidP="004705C6">
      <w:pPr>
        <w:pStyle w:val="NoSpacing"/>
        <w:rPr>
          <w:rFonts w:ascii="Times New Roman" w:hAnsi="Times New Roman"/>
          <w:sz w:val="24"/>
          <w:szCs w:val="24"/>
        </w:rPr>
      </w:pPr>
    </w:p>
    <w:p w14:paraId="605E59FA" w14:textId="77777777" w:rsidR="004705C6" w:rsidRDefault="004705C6" w:rsidP="004705C6">
      <w:pPr>
        <w:pStyle w:val="NoSpacing"/>
        <w:ind w:left="720"/>
        <w:rPr>
          <w:rFonts w:ascii="Times New Roman" w:hAnsi="Times New Roman"/>
          <w:sz w:val="24"/>
          <w:szCs w:val="24"/>
        </w:rPr>
      </w:pPr>
      <w:r w:rsidRPr="00B350FE">
        <w:rPr>
          <w:rFonts w:ascii="Times New Roman" w:hAnsi="Times New Roman"/>
          <w:sz w:val="24"/>
          <w:szCs w:val="24"/>
        </w:rPr>
        <w:t>Following this court's precedent and the statutory directives of chapter 74, we conclude the trial court did not err in determining that Louis brought a healthcare-liability claim and for dismissing the claim due to lack of compliance with the expert-report requirements.</w:t>
      </w:r>
      <w:r>
        <w:rPr>
          <w:rFonts w:ascii="Times New Roman" w:hAnsi="Times New Roman"/>
          <w:sz w:val="24"/>
          <w:szCs w:val="24"/>
        </w:rPr>
        <w:t xml:space="preserve">” </w:t>
      </w:r>
      <w:hyperlink r:id="rId2210" w:history="1">
        <w:r w:rsidRPr="00AA5DF9">
          <w:rPr>
            <w:rStyle w:val="Hyperlink"/>
            <w:rFonts w:ascii="Times New Roman" w:hAnsi="Times New Roman"/>
            <w:sz w:val="24"/>
            <w:szCs w:val="24"/>
          </w:rPr>
          <w:t>https://casetext.com/case/louis-v-liberty-cnty-emergency-med-servs-3</w:t>
        </w:r>
      </w:hyperlink>
      <w:r>
        <w:rPr>
          <w:rFonts w:ascii="Times New Roman" w:hAnsi="Times New Roman"/>
          <w:sz w:val="24"/>
          <w:szCs w:val="24"/>
        </w:rPr>
        <w:t xml:space="preserve"> </w:t>
      </w:r>
    </w:p>
    <w:p w14:paraId="1EAEA7E9" w14:textId="77777777" w:rsidR="004705C6" w:rsidRDefault="004705C6" w:rsidP="004705C6">
      <w:pPr>
        <w:pStyle w:val="NoSpacing"/>
        <w:ind w:left="720"/>
        <w:rPr>
          <w:rFonts w:ascii="Times New Roman" w:hAnsi="Times New Roman"/>
          <w:sz w:val="24"/>
          <w:szCs w:val="24"/>
        </w:rPr>
      </w:pPr>
    </w:p>
    <w:p w14:paraId="1A09C9BE" w14:textId="77777777" w:rsidR="004705C6" w:rsidRDefault="004705C6" w:rsidP="004705C6">
      <w:pPr>
        <w:pStyle w:val="paragraph"/>
        <w:rPr>
          <w:b/>
          <w:bCs/>
        </w:rPr>
      </w:pPr>
      <w:r w:rsidRPr="005417E2">
        <w:rPr>
          <w:b/>
          <w:bCs/>
        </w:rPr>
        <w:t xml:space="preserve">Legal Lesson Learned: </w:t>
      </w:r>
      <w:r>
        <w:rPr>
          <w:b/>
          <w:bCs/>
        </w:rPr>
        <w:t xml:space="preserve">The plaintiff needed an affidavit from a medical expert to support his claim of fraudulent billing. </w:t>
      </w:r>
    </w:p>
    <w:p w14:paraId="048D45A9" w14:textId="77777777" w:rsidR="004705C6" w:rsidRDefault="004705C6" w:rsidP="004705C6">
      <w:pPr>
        <w:pStyle w:val="paragraph"/>
        <w:rPr>
          <w:b/>
          <w:bCs/>
        </w:rPr>
      </w:pPr>
    </w:p>
    <w:p w14:paraId="3AB60A62" w14:textId="77777777" w:rsidR="004705C6" w:rsidRPr="004705C6" w:rsidRDefault="004705C6" w:rsidP="004705C6">
      <w:pPr>
        <w:pStyle w:val="NormalWeb"/>
        <w:rPr>
          <w:sz w:val="28"/>
          <w:szCs w:val="28"/>
        </w:rPr>
      </w:pPr>
    </w:p>
    <w:p w14:paraId="11631F1F" w14:textId="77777777" w:rsidR="004705C6" w:rsidRPr="004705C6" w:rsidRDefault="004705C6" w:rsidP="004705C6">
      <w:pPr>
        <w:rPr>
          <w:rFonts w:ascii="Arial Black" w:hAnsi="Arial Black"/>
          <w:sz w:val="28"/>
          <w:szCs w:val="28"/>
          <w:shd w:val="clear" w:color="auto" w:fill="FFFFFF"/>
        </w:rPr>
      </w:pPr>
      <w:r w:rsidRPr="004705C6">
        <w:rPr>
          <w:rFonts w:ascii="Arial Black" w:hAnsi="Arial Black"/>
          <w:sz w:val="28"/>
          <w:szCs w:val="28"/>
          <w:shd w:val="clear" w:color="auto" w:fill="FFFFFF"/>
        </w:rPr>
        <w:t>13-173</w:t>
      </w:r>
    </w:p>
    <w:p w14:paraId="5E200646" w14:textId="77777777" w:rsidR="00B85B57" w:rsidRPr="006316A3" w:rsidRDefault="00B85B57" w:rsidP="00B85B57">
      <w:pPr>
        <w:rPr>
          <w:rFonts w:ascii="Arial Black" w:hAnsi="Arial Black"/>
          <w:sz w:val="28"/>
          <w:szCs w:val="28"/>
          <w:shd w:val="clear" w:color="auto" w:fill="FFFFFF"/>
        </w:rPr>
      </w:pPr>
      <w:r>
        <w:rPr>
          <w:rFonts w:ascii="Arial Black" w:hAnsi="Arial Black"/>
          <w:sz w:val="28"/>
          <w:szCs w:val="28"/>
          <w:shd w:val="clear" w:color="auto" w:fill="FFFFFF"/>
        </w:rPr>
        <w:t xml:space="preserve">IN: PT STROKE CO. BREAK ROOM – CO. MEDICS RAPID RESPONSE – 8 MIN -  WIFE FALSELY TOLD “ONE HOUR” – NO CASE </w:t>
      </w:r>
    </w:p>
    <w:p w14:paraId="0D9D8CB1" w14:textId="77777777" w:rsidR="00B85B57" w:rsidRDefault="00B85B57" w:rsidP="00B85B57">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March 14, 2024, in </w:t>
      </w:r>
      <w:r w:rsidRPr="00B967DB">
        <w:rPr>
          <w:rFonts w:ascii="Times New Roman" w:hAnsi="Times New Roman"/>
          <w:sz w:val="24"/>
          <w:szCs w:val="24"/>
          <w:u w:val="single"/>
          <w:shd w:val="clear" w:color="auto" w:fill="FFFFFF"/>
        </w:rPr>
        <w:t>Estate of Keith J. Hopkins v. Cleveland-Cliffs Steel, LLC</w:t>
      </w:r>
      <w:r>
        <w:rPr>
          <w:rFonts w:ascii="Times New Roman" w:hAnsi="Times New Roman"/>
          <w:sz w:val="24"/>
          <w:szCs w:val="24"/>
          <w:shd w:val="clear" w:color="auto" w:fill="FFFFFF"/>
        </w:rPr>
        <w:t>, United States Magistrate Judge Andrew P. Rodovich, U.S. District Court for Northern District of Indiana (Hammond Division) granted the company’s motion to dismiss.  The widow was told by two co-workers at the wake that medics took “one hour” to respond, but EMS report (</w:t>
      </w:r>
      <w:proofErr w:type="gramStart"/>
      <w:r>
        <w:rPr>
          <w:rFonts w:ascii="Times New Roman" w:hAnsi="Times New Roman"/>
          <w:sz w:val="24"/>
          <w:szCs w:val="24"/>
          <w:shd w:val="clear" w:color="auto" w:fill="FFFFFF"/>
        </w:rPr>
        <w:t>8 minute</w:t>
      </w:r>
      <w:proofErr w:type="gramEnd"/>
      <w:r>
        <w:rPr>
          <w:rFonts w:ascii="Times New Roman" w:hAnsi="Times New Roman"/>
          <w:sz w:val="24"/>
          <w:szCs w:val="24"/>
          <w:shd w:val="clear" w:color="auto" w:fill="FFFFFF"/>
        </w:rPr>
        <w:t xml:space="preserve"> response time) and hospital records showed prompt response and transport (arrived 27 minutes after medic on scene). </w:t>
      </w:r>
    </w:p>
    <w:p w14:paraId="702B0CEF" w14:textId="77777777" w:rsidR="00B85B57" w:rsidRDefault="00B85B57" w:rsidP="00B85B57">
      <w:pPr>
        <w:pStyle w:val="NoSpacing"/>
        <w:rPr>
          <w:rFonts w:ascii="Times New Roman" w:hAnsi="Times New Roman"/>
          <w:sz w:val="24"/>
          <w:szCs w:val="24"/>
          <w:shd w:val="clear" w:color="auto" w:fill="FFFFFF"/>
        </w:rPr>
      </w:pPr>
    </w:p>
    <w:p w14:paraId="3E9C143A" w14:textId="77777777" w:rsidR="00B85B57" w:rsidRPr="004C0299" w:rsidRDefault="00B85B57" w:rsidP="00B85B5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4C0C207" w14:textId="77777777" w:rsidR="00B85B57" w:rsidRDefault="00B85B57" w:rsidP="00B85B57">
      <w:pPr>
        <w:pStyle w:val="NormalWeb"/>
        <w:ind w:left="720"/>
      </w:pPr>
      <w:r>
        <w:t xml:space="preserve">“The parties dispute the facts surrounding the emergency care that the paramedics provided to Hopkins. Paramedic William Webb stated the call for help was made at 6:59 p.m., and that he arrived with another paramedic at 7:07 p.m. Webb suspected that Hopkins was having a stroke, because his face was drooping and the right side of his body was flaccid. The paramedics assessed Hopkins, checked his blood sugar and vital signs, gave him intravenous fluids and oxygen, and prepared him for transportation by ambulance. The ambulance left for St. Catherine Hospital, in East Chicago, at 7:25 p.m., and arrived at 7:34 p.m. This timeline was recorded in an “Ambulance Report,” which was prepared by ArcelorMittal dispatch personnel based on information reported by the paramedics. [Webb Decl. ¶¶ 12-13]. </w:t>
      </w:r>
    </w:p>
    <w:p w14:paraId="71E0288F" w14:textId="77777777" w:rsidR="00B85B57" w:rsidRDefault="00B85B57" w:rsidP="00B85B57">
      <w:pPr>
        <w:ind w:left="720"/>
        <w:rPr>
          <w:rFonts w:ascii="Times New Roman" w:hAnsi="Times New Roman"/>
          <w:sz w:val="24"/>
          <w:szCs w:val="24"/>
        </w:rPr>
      </w:pPr>
      <w:r>
        <w:rPr>
          <w:rFonts w:ascii="Times New Roman" w:hAnsi="Times New Roman"/>
          <w:sz w:val="24"/>
          <w:szCs w:val="24"/>
        </w:rPr>
        <w:t>***</w:t>
      </w:r>
    </w:p>
    <w:p w14:paraId="3F80E19F" w14:textId="77777777" w:rsidR="00B85B57" w:rsidRDefault="00B85B57" w:rsidP="00B85B57">
      <w:pPr>
        <w:ind w:left="720"/>
        <w:rPr>
          <w:rFonts w:ascii="Times New Roman" w:hAnsi="Times New Roman"/>
          <w:sz w:val="24"/>
          <w:szCs w:val="24"/>
          <w:vertAlign w:val="superscript"/>
        </w:rPr>
      </w:pPr>
      <w:r w:rsidRPr="002750CB">
        <w:rPr>
          <w:rFonts w:ascii="Times New Roman" w:hAnsi="Times New Roman"/>
          <w:sz w:val="24"/>
          <w:szCs w:val="24"/>
        </w:rPr>
        <w:t xml:space="preserve">The court infers from the briefing that the Estate believes the paramedics did not </w:t>
      </w:r>
      <w:proofErr w:type="gramStart"/>
      <w:r w:rsidRPr="002750CB">
        <w:rPr>
          <w:rFonts w:ascii="Times New Roman" w:hAnsi="Times New Roman"/>
          <w:sz w:val="24"/>
          <w:szCs w:val="24"/>
        </w:rPr>
        <w:t>attend to</w:t>
      </w:r>
      <w:proofErr w:type="gramEnd"/>
      <w:r w:rsidRPr="002750CB">
        <w:rPr>
          <w:rFonts w:ascii="Times New Roman" w:hAnsi="Times New Roman"/>
          <w:sz w:val="24"/>
          <w:szCs w:val="24"/>
        </w:rPr>
        <w:t xml:space="preserve"> Hopkins until at least an hour after they were called. Felita Hopkins, Hopkins's widow, testified that at his wake two of his co-workers told her that </w:t>
      </w:r>
      <w:r>
        <w:rPr>
          <w:rFonts w:ascii="Times New Roman" w:hAnsi="Times New Roman"/>
          <w:sz w:val="24"/>
          <w:szCs w:val="24"/>
        </w:rPr>
        <w:t>‘</w:t>
      </w:r>
      <w:r w:rsidRPr="002750CB">
        <w:rPr>
          <w:rFonts w:ascii="Times New Roman" w:hAnsi="Times New Roman"/>
          <w:sz w:val="24"/>
          <w:szCs w:val="24"/>
        </w:rPr>
        <w:t>it took over an hour</w:t>
      </w:r>
      <w:r>
        <w:rPr>
          <w:rFonts w:ascii="Times New Roman" w:hAnsi="Times New Roman"/>
          <w:sz w:val="24"/>
          <w:szCs w:val="24"/>
        </w:rPr>
        <w:t>’</w:t>
      </w:r>
      <w:r w:rsidRPr="002750CB">
        <w:rPr>
          <w:rFonts w:ascii="Times New Roman" w:hAnsi="Times New Roman"/>
          <w:sz w:val="24"/>
          <w:szCs w:val="24"/>
        </w:rPr>
        <w:t xml:space="preserve"> for the paramedics to arrive and that ArcelorMittal's report was changed to say that they responded within three</w:t>
      </w:r>
      <w:r w:rsidRPr="002750CB">
        <w:rPr>
          <w:rFonts w:ascii="Times New Roman" w:hAnsi="Times New Roman"/>
          <w:sz w:val="24"/>
          <w:szCs w:val="24"/>
          <w:vertAlign w:val="superscript"/>
        </w:rPr>
        <w:t>[</w:t>
      </w:r>
      <w:hyperlink r:id="rId2211" w:anchor="ftn.FN3" w:history="1">
        <w:r w:rsidRPr="002750CB">
          <w:rPr>
            <w:rStyle w:val="Hyperlink"/>
            <w:rFonts w:ascii="Times New Roman" w:hAnsi="Times New Roman"/>
            <w:sz w:val="24"/>
            <w:szCs w:val="24"/>
            <w:vertAlign w:val="superscript"/>
          </w:rPr>
          <w:t>3</w:t>
        </w:r>
      </w:hyperlink>
      <w:r w:rsidRPr="002750CB">
        <w:rPr>
          <w:rFonts w:ascii="Times New Roman" w:hAnsi="Times New Roman"/>
          <w:sz w:val="24"/>
          <w:szCs w:val="24"/>
          <w:vertAlign w:val="superscript"/>
        </w:rPr>
        <w:t>]</w:t>
      </w:r>
      <w:r w:rsidRPr="002750CB">
        <w:rPr>
          <w:rFonts w:ascii="Times New Roman" w:hAnsi="Times New Roman"/>
          <w:sz w:val="24"/>
          <w:szCs w:val="24"/>
        </w:rPr>
        <w:t xml:space="preserve"> minutes. [Hopkins Dep. 39:1-6, 39:22-40:21]. Although this fact is not properly alleged, </w:t>
      </w:r>
      <w:r w:rsidRPr="002750CB">
        <w:rPr>
          <w:rStyle w:val="Emphasis"/>
          <w:rFonts w:ascii="Times New Roman" w:hAnsi="Times New Roman"/>
          <w:sz w:val="24"/>
          <w:szCs w:val="24"/>
        </w:rPr>
        <w:t>see</w:t>
      </w:r>
      <w:r w:rsidRPr="002750CB">
        <w:rPr>
          <w:rFonts w:ascii="Times New Roman" w:hAnsi="Times New Roman"/>
          <w:sz w:val="24"/>
          <w:szCs w:val="24"/>
        </w:rPr>
        <w:t xml:space="preserve"> N. D. Ind. L. R. 56-1(b)(2)(D), the court will consider the Estate as having made that allegation based on Hopkins's deposition testimony.</w:t>
      </w:r>
    </w:p>
    <w:p w14:paraId="4E5C6B59" w14:textId="77777777" w:rsidR="00B85B57" w:rsidRDefault="00B85B57" w:rsidP="00B85B57">
      <w:pPr>
        <w:rPr>
          <w:rFonts w:ascii="Times New Roman" w:hAnsi="Times New Roman"/>
          <w:sz w:val="24"/>
          <w:szCs w:val="24"/>
        </w:rPr>
      </w:pPr>
      <w:r w:rsidRPr="002750CB">
        <w:rPr>
          <w:rFonts w:ascii="Times New Roman" w:hAnsi="Times New Roman"/>
          <w:sz w:val="24"/>
          <w:szCs w:val="24"/>
        </w:rPr>
        <w:t xml:space="preserve"> </w:t>
      </w:r>
      <w:r>
        <w:rPr>
          <w:rFonts w:ascii="Times New Roman" w:hAnsi="Times New Roman"/>
          <w:sz w:val="24"/>
          <w:szCs w:val="24"/>
        </w:rPr>
        <w:tab/>
        <w:t>***</w:t>
      </w:r>
    </w:p>
    <w:p w14:paraId="4A8F2653" w14:textId="77777777" w:rsidR="00B85B57" w:rsidRPr="00D97522" w:rsidRDefault="00B85B57" w:rsidP="00B85B57">
      <w:pPr>
        <w:ind w:left="720"/>
        <w:rPr>
          <w:rFonts w:ascii="Times New Roman" w:hAnsi="Times New Roman"/>
          <w:b/>
          <w:bCs/>
          <w:color w:val="454545"/>
          <w:sz w:val="24"/>
          <w:szCs w:val="24"/>
          <w:shd w:val="clear" w:color="auto" w:fill="FFFFFF"/>
        </w:rPr>
      </w:pPr>
      <w:r w:rsidRPr="00D97522">
        <w:rPr>
          <w:rFonts w:ascii="Times New Roman" w:hAnsi="Times New Roman"/>
          <w:sz w:val="24"/>
          <w:szCs w:val="24"/>
        </w:rPr>
        <w:t xml:space="preserve">Therefore, the injury for which the Estate seeks compensation arose out of and in the course of employment, and the IWCA </w:t>
      </w:r>
      <w:r>
        <w:rPr>
          <w:rFonts w:ascii="Times New Roman" w:hAnsi="Times New Roman"/>
          <w:sz w:val="24"/>
          <w:szCs w:val="24"/>
        </w:rPr>
        <w:t>[</w:t>
      </w:r>
      <w:r w:rsidRPr="004E1487">
        <w:rPr>
          <w:rFonts w:ascii="Times New Roman" w:hAnsi="Times New Roman"/>
          <w:sz w:val="24"/>
          <w:szCs w:val="24"/>
        </w:rPr>
        <w:t>Indiana Wrongful Death Act</w:t>
      </w:r>
      <w:r>
        <w:rPr>
          <w:rFonts w:ascii="Times New Roman" w:hAnsi="Times New Roman"/>
          <w:sz w:val="24"/>
          <w:szCs w:val="24"/>
        </w:rPr>
        <w:t xml:space="preserve">] </w:t>
      </w:r>
      <w:r w:rsidRPr="00D97522">
        <w:rPr>
          <w:rFonts w:ascii="Times New Roman" w:hAnsi="Times New Roman"/>
          <w:sz w:val="24"/>
          <w:szCs w:val="24"/>
        </w:rPr>
        <w:t>provides the exclusive remedy.</w:t>
      </w:r>
      <w:r>
        <w:rPr>
          <w:rFonts w:ascii="Times New Roman" w:hAnsi="Times New Roman"/>
          <w:sz w:val="24"/>
          <w:szCs w:val="24"/>
        </w:rPr>
        <w:t xml:space="preserve">” </w:t>
      </w:r>
      <w:hyperlink r:id="rId2212" w:history="1">
        <w:r w:rsidRPr="00793584">
          <w:rPr>
            <w:rStyle w:val="Hyperlink"/>
            <w:rFonts w:ascii="Times New Roman" w:hAnsi="Times New Roman"/>
            <w:sz w:val="24"/>
            <w:szCs w:val="24"/>
          </w:rPr>
          <w:t>https://public.fastcase.com/H1P9uiW3J20SFp%2BGCG%2BxLWaE5rZYr2H4Ujam%2BycZ4mpAt0doHRie9oUlcl2qsPlk?utm_medium=email&amp;_hsmi=226712652&amp;_hsenc=p2ANqtz-_AW42DW2ZKsbYvGhsf40qi8tEpXVEeEydLzmuxudQnQi0lg_TvDjKAtr1z0dXm_j1xtTRfnovBA_RTcYhjFA_6sdUkCw&amp;utm_content=226712652&amp;utm_source=hs_email</w:t>
        </w:r>
      </w:hyperlink>
      <w:r>
        <w:rPr>
          <w:rFonts w:ascii="Times New Roman" w:hAnsi="Times New Roman"/>
          <w:sz w:val="24"/>
          <w:szCs w:val="24"/>
        </w:rPr>
        <w:t xml:space="preserve"> </w:t>
      </w:r>
    </w:p>
    <w:p w14:paraId="70BE14B1" w14:textId="77777777" w:rsidR="00B85B57" w:rsidRPr="00496174" w:rsidRDefault="00B85B57" w:rsidP="00B85B57">
      <w:pPr>
        <w:pStyle w:val="NormalWeb"/>
        <w:rPr>
          <w:b/>
          <w:bCs/>
        </w:rPr>
      </w:pPr>
      <w:r w:rsidRPr="00496174">
        <w:rPr>
          <w:b/>
          <w:bCs/>
        </w:rPr>
        <w:t>Legal Lesson Learned:</w:t>
      </w:r>
      <w:r>
        <w:rPr>
          <w:b/>
          <w:bCs/>
        </w:rPr>
        <w:t xml:space="preserve"> The estate’s only remedy is under Indiana Wrongful Death Act (worker’s comp).  It is a shame that co-workers told widow that response time was one hour. </w:t>
      </w:r>
    </w:p>
    <w:p w14:paraId="17D341BF" w14:textId="77777777" w:rsidR="004705C6" w:rsidRDefault="004705C6" w:rsidP="004705C6">
      <w:pPr>
        <w:pStyle w:val="NormalWeb"/>
        <w:ind w:left="720"/>
      </w:pPr>
    </w:p>
    <w:p w14:paraId="1E8E0BAA" w14:textId="77777777" w:rsidR="004705C6" w:rsidRDefault="004705C6" w:rsidP="004705C6">
      <w:pPr>
        <w:pStyle w:val="NormalWeb"/>
      </w:pPr>
    </w:p>
    <w:p w14:paraId="4A6232FA" w14:textId="73ED64B6" w:rsidR="004705C6" w:rsidRPr="004705C6" w:rsidRDefault="004705C6" w:rsidP="004705C6">
      <w:pPr>
        <w:pStyle w:val="NormalWeb"/>
        <w:rPr>
          <w:rFonts w:ascii="Arial Black" w:hAnsi="Arial Black"/>
          <w:sz w:val="28"/>
          <w:szCs w:val="28"/>
        </w:rPr>
      </w:pPr>
      <w:r w:rsidRPr="004705C6">
        <w:rPr>
          <w:rFonts w:ascii="Arial Black" w:hAnsi="Arial Black"/>
          <w:sz w:val="28"/>
          <w:szCs w:val="28"/>
        </w:rPr>
        <w:t>13-172</w:t>
      </w:r>
    </w:p>
    <w:p w14:paraId="2916CE25" w14:textId="432D0233" w:rsidR="004705C6" w:rsidRDefault="004705C6" w:rsidP="004705C6">
      <w:pPr>
        <w:pStyle w:val="NormalWeb"/>
        <w:rPr>
          <w:rFonts w:ascii="Arial Black" w:hAnsi="Arial Black"/>
          <w:sz w:val="28"/>
          <w:szCs w:val="28"/>
        </w:rPr>
      </w:pPr>
      <w:r>
        <w:rPr>
          <w:rFonts w:ascii="Arial Black" w:hAnsi="Arial Black"/>
          <w:sz w:val="28"/>
          <w:szCs w:val="28"/>
        </w:rPr>
        <w:t xml:space="preserve">MN: COMBATIVE PATIENT - MEDIC </w:t>
      </w:r>
      <w:r w:rsidR="00311BBE">
        <w:rPr>
          <w:rFonts w:ascii="Arial Black" w:hAnsi="Arial Black"/>
          <w:sz w:val="28"/>
          <w:szCs w:val="28"/>
        </w:rPr>
        <w:t xml:space="preserve">WITH </w:t>
      </w:r>
      <w:r>
        <w:rPr>
          <w:rFonts w:ascii="Arial Black" w:hAnsi="Arial Black"/>
          <w:sz w:val="28"/>
          <w:szCs w:val="28"/>
        </w:rPr>
        <w:t xml:space="preserve">MILITARY TRAINING – PRESSURE ON CAROTID ARTERY </w:t>
      </w:r>
      <w:r w:rsidR="0057595C">
        <w:rPr>
          <w:rFonts w:ascii="Arial Black" w:hAnsi="Arial Black"/>
          <w:sz w:val="28"/>
          <w:szCs w:val="28"/>
        </w:rPr>
        <w:t>–</w:t>
      </w:r>
      <w:r>
        <w:rPr>
          <w:rFonts w:ascii="Arial Black" w:hAnsi="Arial Black"/>
          <w:sz w:val="28"/>
          <w:szCs w:val="28"/>
        </w:rPr>
        <w:t xml:space="preserve"> </w:t>
      </w:r>
      <w:r w:rsidR="0057595C">
        <w:rPr>
          <w:rFonts w:ascii="Arial Black" w:hAnsi="Arial Black"/>
          <w:sz w:val="28"/>
          <w:szCs w:val="28"/>
        </w:rPr>
        <w:t xml:space="preserve">MEDIC </w:t>
      </w:r>
      <w:r>
        <w:rPr>
          <w:rFonts w:ascii="Arial Black" w:hAnsi="Arial Black"/>
          <w:sz w:val="28"/>
          <w:szCs w:val="28"/>
        </w:rPr>
        <w:t>FIRING UPHELD</w:t>
      </w:r>
    </w:p>
    <w:p w14:paraId="6AEF2B05" w14:textId="77777777" w:rsidR="004705C6" w:rsidRDefault="004705C6" w:rsidP="004705C6">
      <w:pPr>
        <w:pStyle w:val="NormalWeb"/>
        <w:rPr>
          <w:color w:val="454545"/>
          <w:shd w:val="clear" w:color="auto" w:fill="FFFFFF"/>
        </w:rPr>
      </w:pPr>
      <w:r>
        <w:rPr>
          <w:color w:val="454545"/>
          <w:shd w:val="clear" w:color="auto" w:fill="FFFFFF"/>
        </w:rPr>
        <w:t xml:space="preserve">On March 11, 2024, in </w:t>
      </w:r>
      <w:r w:rsidRPr="009D1F77">
        <w:rPr>
          <w:color w:val="454545"/>
          <w:u w:val="single"/>
          <w:shd w:val="clear" w:color="auto" w:fill="FFFFFF"/>
        </w:rPr>
        <w:t>Kenneth Zepeda v. City of Sant Paul</w:t>
      </w:r>
      <w:r>
        <w:rPr>
          <w:color w:val="454545"/>
          <w:shd w:val="clear" w:color="auto" w:fill="FFFFFF"/>
        </w:rPr>
        <w:t xml:space="preserve">, the Minnesota Court of Appeals held (3 to 0) that </w:t>
      </w:r>
      <w:r w:rsidRPr="001E20BB">
        <w:rPr>
          <w:color w:val="454545"/>
          <w:shd w:val="clear" w:color="auto" w:fill="FFFFFF"/>
        </w:rPr>
        <w:t>the arbitrator</w:t>
      </w:r>
      <w:r>
        <w:rPr>
          <w:color w:val="454545"/>
          <w:shd w:val="clear" w:color="auto" w:fill="FFFFFF"/>
        </w:rPr>
        <w:t xml:space="preserve"> properly determined </w:t>
      </w:r>
      <w:r w:rsidRPr="001E20BB">
        <w:rPr>
          <w:color w:val="454545"/>
          <w:shd w:val="clear" w:color="auto" w:fill="FFFFFF"/>
        </w:rPr>
        <w:t>that the city had just cause to terminate Zepeda’s</w:t>
      </w:r>
      <w:r>
        <w:rPr>
          <w:color w:val="454545"/>
          <w:shd w:val="clear" w:color="auto" w:fill="FFFFFF"/>
        </w:rPr>
        <w:t xml:space="preserve"> </w:t>
      </w:r>
      <w:r w:rsidRPr="001E20BB">
        <w:rPr>
          <w:color w:val="454545"/>
          <w:shd w:val="clear" w:color="auto" w:fill="FFFFFF"/>
        </w:rPr>
        <w:t>employment.</w:t>
      </w:r>
    </w:p>
    <w:p w14:paraId="5DCE851A"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EA9210D" w14:textId="77777777" w:rsidR="00D83012" w:rsidRDefault="00D83012" w:rsidP="004705C6">
      <w:pPr>
        <w:pStyle w:val="NoSpacing"/>
        <w:ind w:left="720"/>
        <w:rPr>
          <w:rFonts w:ascii="Times New Roman" w:hAnsi="Times New Roman"/>
          <w:sz w:val="24"/>
          <w:szCs w:val="24"/>
          <w:shd w:val="clear" w:color="auto" w:fill="FFFFFF"/>
        </w:rPr>
      </w:pPr>
    </w:p>
    <w:p w14:paraId="745246E4" w14:textId="1D46C2BA" w:rsidR="004705C6" w:rsidRDefault="004705C6" w:rsidP="004705C6">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A1737F">
        <w:rPr>
          <w:rFonts w:ascii="Times New Roman" w:hAnsi="Times New Roman"/>
          <w:sz w:val="24"/>
          <w:szCs w:val="24"/>
          <w:shd w:val="clear" w:color="auto" w:fill="FFFFFF"/>
        </w:rPr>
        <w:t>Despite the</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patient’s physically combative behavior in the ambulance, the video supports the</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arbitrator’s statement that the patient was, nonetheless, not in a position to inflict harm on</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the responders at that point.</w:t>
      </w:r>
    </w:p>
    <w:p w14:paraId="13767E36" w14:textId="77777777" w:rsidR="004705C6" w:rsidRDefault="004705C6" w:rsidP="004705C6">
      <w:pPr>
        <w:pStyle w:val="NoSpacing"/>
        <w:ind w:left="720"/>
        <w:rPr>
          <w:rFonts w:ascii="Times New Roman" w:hAnsi="Times New Roman"/>
          <w:sz w:val="24"/>
          <w:szCs w:val="24"/>
          <w:shd w:val="clear" w:color="auto" w:fill="FFFFFF"/>
        </w:rPr>
      </w:pPr>
    </w:p>
    <w:p w14:paraId="43D487F4" w14:textId="77777777" w:rsidR="004705C6" w:rsidRDefault="004705C6" w:rsidP="004705C6">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4B70672B" w14:textId="77777777" w:rsidR="004705C6" w:rsidRDefault="004705C6" w:rsidP="004705C6">
      <w:pPr>
        <w:pStyle w:val="NoSpacing"/>
        <w:ind w:left="720"/>
        <w:rPr>
          <w:rFonts w:ascii="Times New Roman" w:hAnsi="Times New Roman"/>
          <w:sz w:val="24"/>
          <w:szCs w:val="24"/>
          <w:shd w:val="clear" w:color="auto" w:fill="FFFFFF"/>
        </w:rPr>
      </w:pPr>
      <w:r w:rsidRPr="00325B49">
        <w:rPr>
          <w:rFonts w:ascii="Times New Roman" w:hAnsi="Times New Roman"/>
          <w:sz w:val="24"/>
          <w:szCs w:val="24"/>
          <w:shd w:val="clear" w:color="auto" w:fill="FFFFFF"/>
        </w:rPr>
        <w:t xml:space="preserve">The arbitrator reasoned that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the rest of the crew,</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having received the same level of training, knew not to interact with the patient as Zepeda</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did,</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that Zepeda’s behavior on the video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reflects someone who did not control their anger</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rather than someone who did not know better,</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and that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supporting documentation</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is not</w:t>
      </w:r>
      <w:r>
        <w:rPr>
          <w:rFonts w:ascii="Times New Roman" w:hAnsi="Times New Roman"/>
          <w:sz w:val="24"/>
          <w:szCs w:val="24"/>
          <w:shd w:val="clear" w:color="auto" w:fill="FFFFFF"/>
        </w:rPr>
        <w:t xml:space="preserve">  </w:t>
      </w:r>
      <w:r w:rsidRPr="00A461D9">
        <w:rPr>
          <w:rFonts w:ascii="Times New Roman" w:hAnsi="Times New Roman"/>
          <w:sz w:val="24"/>
          <w:szCs w:val="24"/>
          <w:shd w:val="clear" w:color="auto" w:fill="FFFFFF"/>
        </w:rPr>
        <w:t xml:space="preserve">necessary to establish that behaviors such as </w:t>
      </w:r>
      <w:r>
        <w:rPr>
          <w:rFonts w:ascii="Times New Roman" w:hAnsi="Times New Roman"/>
          <w:sz w:val="24"/>
          <w:szCs w:val="24"/>
          <w:shd w:val="clear" w:color="auto" w:fill="FFFFFF"/>
        </w:rPr>
        <w:t>‘</w:t>
      </w:r>
      <w:r w:rsidRPr="00A461D9">
        <w:rPr>
          <w:rFonts w:ascii="Times New Roman" w:hAnsi="Times New Roman"/>
          <w:sz w:val="24"/>
          <w:szCs w:val="24"/>
          <w:shd w:val="clear" w:color="auto" w:fill="FFFFFF"/>
        </w:rPr>
        <w:t>yelling, taunting, belittling and physically</w:t>
      </w:r>
      <w:r>
        <w:rPr>
          <w:rFonts w:ascii="Times New Roman" w:hAnsi="Times New Roman"/>
          <w:sz w:val="24"/>
          <w:szCs w:val="24"/>
          <w:shd w:val="clear" w:color="auto" w:fill="FFFFFF"/>
        </w:rPr>
        <w:t xml:space="preserve"> </w:t>
      </w:r>
      <w:r w:rsidRPr="00A461D9">
        <w:rPr>
          <w:rFonts w:ascii="Times New Roman" w:hAnsi="Times New Roman"/>
          <w:sz w:val="24"/>
          <w:szCs w:val="24"/>
          <w:shd w:val="clear" w:color="auto" w:fill="FFFFFF"/>
        </w:rPr>
        <w:t>abusing a patient</w:t>
      </w:r>
      <w:r>
        <w:rPr>
          <w:rFonts w:ascii="Times New Roman" w:hAnsi="Times New Roman"/>
          <w:sz w:val="24"/>
          <w:szCs w:val="24"/>
          <w:shd w:val="clear" w:color="auto" w:fill="FFFFFF"/>
        </w:rPr>
        <w:t>’</w:t>
      </w:r>
      <w:r w:rsidRPr="00A461D9">
        <w:rPr>
          <w:rFonts w:ascii="Times New Roman" w:hAnsi="Times New Roman"/>
          <w:sz w:val="24"/>
          <w:szCs w:val="24"/>
          <w:shd w:val="clear" w:color="auto" w:fill="FFFFFF"/>
        </w:rPr>
        <w:t xml:space="preserve"> are prohibited and could be considered misconduct.</w:t>
      </w:r>
      <w:r>
        <w:rPr>
          <w:rFonts w:ascii="Times New Roman" w:hAnsi="Times New Roman"/>
          <w:sz w:val="24"/>
          <w:szCs w:val="24"/>
          <w:shd w:val="clear" w:color="auto" w:fill="FFFFFF"/>
        </w:rPr>
        <w:t xml:space="preserve">” </w:t>
      </w:r>
      <w:hyperlink r:id="rId2213" w:history="1">
        <w:r w:rsidRPr="0090149E">
          <w:rPr>
            <w:rStyle w:val="Hyperlink"/>
            <w:rFonts w:ascii="Times New Roman" w:hAnsi="Times New Roman"/>
            <w:sz w:val="24"/>
            <w:szCs w:val="24"/>
            <w:shd w:val="clear" w:color="auto" w:fill="FFFFFF"/>
          </w:rPr>
          <w:t>https://cases.justia.com/minnesota/court-of-appeals/2024-a23-1210.pdf?ts=1710536669</w:t>
        </w:r>
      </w:hyperlink>
      <w:r>
        <w:rPr>
          <w:rFonts w:ascii="Times New Roman" w:hAnsi="Times New Roman"/>
          <w:sz w:val="24"/>
          <w:szCs w:val="24"/>
          <w:shd w:val="clear" w:color="auto" w:fill="FFFFFF"/>
        </w:rPr>
        <w:t xml:space="preserve"> </w:t>
      </w:r>
    </w:p>
    <w:p w14:paraId="3232BA0F" w14:textId="77777777" w:rsidR="004705C6" w:rsidRDefault="004705C6" w:rsidP="004705C6">
      <w:pPr>
        <w:pStyle w:val="NoSpacing"/>
        <w:rPr>
          <w:rFonts w:ascii="Times New Roman" w:hAnsi="Times New Roman"/>
          <w:sz w:val="24"/>
          <w:szCs w:val="24"/>
          <w:shd w:val="clear" w:color="auto" w:fill="FFFFFF"/>
        </w:rPr>
      </w:pPr>
    </w:p>
    <w:p w14:paraId="219899B5" w14:textId="77777777" w:rsidR="004705C6" w:rsidRDefault="004705C6" w:rsidP="004705C6">
      <w:pPr>
        <w:pStyle w:val="NoSpacing"/>
        <w:ind w:left="720"/>
        <w:rPr>
          <w:rFonts w:ascii="Times New Roman" w:hAnsi="Times New Roman"/>
          <w:sz w:val="24"/>
          <w:szCs w:val="24"/>
          <w:shd w:val="clear" w:color="auto" w:fill="FFFFFF"/>
        </w:rPr>
      </w:pPr>
    </w:p>
    <w:p w14:paraId="764D68C0" w14:textId="77777777" w:rsidR="004705C6" w:rsidRPr="00F03F0B" w:rsidRDefault="004705C6" w:rsidP="004705C6">
      <w:pPr>
        <w:pStyle w:val="NoSpacing"/>
        <w:rPr>
          <w:rFonts w:ascii="Times New Roman" w:hAnsi="Times New Roman"/>
          <w:b/>
          <w:bCs/>
          <w:sz w:val="24"/>
          <w:szCs w:val="24"/>
          <w:shd w:val="clear" w:color="auto" w:fill="FFFFFF"/>
        </w:rPr>
      </w:pPr>
      <w:r w:rsidRPr="00F03F0B">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Follow your protocol in restraining combative patients. </w:t>
      </w:r>
    </w:p>
    <w:p w14:paraId="12B89034" w14:textId="77777777" w:rsidR="004705C6" w:rsidRDefault="004705C6" w:rsidP="004705C6">
      <w:pPr>
        <w:spacing w:before="100" w:beforeAutospacing="1" w:after="100" w:afterAutospacing="1" w:line="240" w:lineRule="auto"/>
        <w:rPr>
          <w:rFonts w:ascii="Times New Roman" w:eastAsia="Times New Roman" w:hAnsi="Times New Roman"/>
          <w:sz w:val="24"/>
          <w:szCs w:val="24"/>
        </w:rPr>
      </w:pPr>
    </w:p>
    <w:p w14:paraId="62D86E0A" w14:textId="1AA7C881" w:rsidR="004705C6" w:rsidRPr="004705C6" w:rsidRDefault="004705C6" w:rsidP="004705C6">
      <w:pPr>
        <w:pStyle w:val="NoSpacing"/>
        <w:rPr>
          <w:rFonts w:ascii="Arial Black" w:hAnsi="Arial Black"/>
          <w:sz w:val="24"/>
          <w:szCs w:val="24"/>
          <w:shd w:val="clear" w:color="auto" w:fill="FFFFFF"/>
        </w:rPr>
      </w:pPr>
      <w:r w:rsidRPr="004705C6">
        <w:rPr>
          <w:rFonts w:ascii="Arial Black" w:hAnsi="Arial Black"/>
          <w:sz w:val="24"/>
          <w:szCs w:val="24"/>
          <w:shd w:val="clear" w:color="auto" w:fill="FFFFFF"/>
        </w:rPr>
        <w:t>13-171</w:t>
      </w:r>
    </w:p>
    <w:p w14:paraId="3BD50554" w14:textId="77777777" w:rsidR="004705C6" w:rsidRDefault="004705C6" w:rsidP="004705C6">
      <w:pPr>
        <w:pStyle w:val="NoSpacing"/>
        <w:rPr>
          <w:rFonts w:ascii="Arial Black" w:hAnsi="Arial Black"/>
          <w:sz w:val="28"/>
          <w:szCs w:val="28"/>
          <w:shd w:val="clear" w:color="auto" w:fill="FFFFFF"/>
        </w:rPr>
      </w:pPr>
    </w:p>
    <w:p w14:paraId="24027157" w14:textId="4FC1E871" w:rsidR="004705C6" w:rsidRDefault="004705C6" w:rsidP="004705C6">
      <w:pPr>
        <w:pStyle w:val="NoSpacing"/>
        <w:rPr>
          <w:rFonts w:ascii="Arial Black" w:hAnsi="Arial Black"/>
          <w:sz w:val="28"/>
          <w:szCs w:val="28"/>
          <w:shd w:val="clear" w:color="auto" w:fill="FFFFFF"/>
        </w:rPr>
      </w:pPr>
      <w:r>
        <w:rPr>
          <w:rFonts w:ascii="Arial Black" w:hAnsi="Arial Black"/>
          <w:sz w:val="28"/>
          <w:szCs w:val="28"/>
          <w:shd w:val="clear" w:color="auto" w:fill="FFFFFF"/>
        </w:rPr>
        <w:t xml:space="preserve">MN: PD TRYING TO HANDCUT MAN - MEDIC 350 MIL KETAMINE – NO PROOF </w:t>
      </w:r>
      <w:r w:rsidR="003271B7">
        <w:rPr>
          <w:rFonts w:ascii="Arial Black" w:hAnsi="Arial Black"/>
          <w:sz w:val="28"/>
          <w:szCs w:val="28"/>
          <w:shd w:val="clear" w:color="auto" w:fill="FFFFFF"/>
        </w:rPr>
        <w:t xml:space="preserve">BY </w:t>
      </w:r>
      <w:r>
        <w:rPr>
          <w:rFonts w:ascii="Arial Black" w:hAnsi="Arial Black"/>
          <w:sz w:val="28"/>
          <w:szCs w:val="28"/>
          <w:shd w:val="clear" w:color="auto" w:fill="FFFFFF"/>
        </w:rPr>
        <w:t xml:space="preserve">EXPERT </w:t>
      </w:r>
      <w:r w:rsidR="003271B7">
        <w:rPr>
          <w:rFonts w:ascii="Arial Black" w:hAnsi="Arial Black"/>
          <w:sz w:val="28"/>
          <w:szCs w:val="28"/>
          <w:shd w:val="clear" w:color="auto" w:fill="FFFFFF"/>
        </w:rPr>
        <w:t xml:space="preserve">THAT </w:t>
      </w:r>
      <w:r>
        <w:rPr>
          <w:rFonts w:ascii="Arial Black" w:hAnsi="Arial Black"/>
          <w:sz w:val="28"/>
          <w:szCs w:val="28"/>
          <w:shd w:val="clear" w:color="auto" w:fill="FFFFFF"/>
        </w:rPr>
        <w:t xml:space="preserve">MEDIC CAUSED INJURIES </w:t>
      </w:r>
    </w:p>
    <w:p w14:paraId="0CC2EC2D" w14:textId="77777777" w:rsidR="004705C6" w:rsidRDefault="004705C6" w:rsidP="004705C6">
      <w:pPr>
        <w:pStyle w:val="NormalWeb"/>
      </w:pPr>
      <w:r>
        <w:t xml:space="preserve">On March 11, 2024, in </w:t>
      </w:r>
      <w:r w:rsidRPr="0036667F">
        <w:rPr>
          <w:u w:val="single"/>
        </w:rPr>
        <w:t>Brandon Currie v. Clayton Aswegan, Elk Rive Police Officer, Brandin Martin, Elk River Police Officer, and Ronnie Lawrence, Paramedic</w:t>
      </w:r>
      <w:r>
        <w:t xml:space="preserve">, United States District Court Judge Eric C. </w:t>
      </w:r>
      <w:proofErr w:type="spellStart"/>
      <w:r>
        <w:t>Tostrud</w:t>
      </w:r>
      <w:proofErr w:type="spellEnd"/>
      <w:r>
        <w:t>, U.S. District Court for District of Minnesota, granted the motion to dismiss all defendants.  Plaintiff’s expert, Dr. A. Keith Wesley, M.D.,</w:t>
      </w:r>
      <w:r w:rsidRPr="001E71E3">
        <w:t xml:space="preserve"> </w:t>
      </w:r>
      <w:r>
        <w:t>Medical Director of United Emergency Medical Response in Wisconsin Rapids, in his affidavit fails to describe how the Paramedic and police “share responsibility” for patient’s alleged injuries.</w:t>
      </w:r>
    </w:p>
    <w:p w14:paraId="632782F9"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CEB3E75" w14:textId="77777777" w:rsidR="004705C6" w:rsidRDefault="004705C6" w:rsidP="004705C6">
      <w:pPr>
        <w:pStyle w:val="NormalWeb"/>
        <w:ind w:left="720"/>
      </w:pPr>
      <w:r>
        <w:t xml:space="preserve">“After Mr. Currie repeatedly denied being on substances, officers requested an ambulance.  When the ambulance arrived, Mr. Currie got up from the ground. Several times, the officers directed Mr. Currie to ‘get down,’  ‘stay down,’ and ‘sit on the curb,’ and the officers threatened that if Mr. Currie did not sit down, they would ‘make [him] sit down.’ Instead of complying with the officers' commands, Mr. Currie fled. The officers chased and tackled Mr. Currie. After being tackled, Mr. Currie kicked, flailed, and resisted arrest. The officers attempted to handcuff Mr. Currie but struggled to get control of his second hand. </w:t>
      </w:r>
    </w:p>
    <w:p w14:paraId="57C7EC9D" w14:textId="77777777" w:rsidR="004705C6" w:rsidRDefault="004705C6" w:rsidP="004705C6">
      <w:pPr>
        <w:pStyle w:val="NormalWeb"/>
        <w:ind w:left="720"/>
      </w:pPr>
      <w:r>
        <w:t>Paramedic Lawrence, who by that time had arrived in the ambulance, administered 350 milligrams of ketamine intramuscularly to Mr. Currie to sedate him. Mr. Lawrence decided to administer ketamine based on his independent medical judgment; he was not influenced by the officers to do so. The officers first learned that Mr. Lawrence had administered ketamine to Mr. Currie only after Mr. Currie was handcuffed. Mr. Currie was arrested; he was later charged with and pleaded guilty to obstruction of legal process, a gross misdemeanor.</w:t>
      </w:r>
    </w:p>
    <w:p w14:paraId="2BCD2245" w14:textId="77777777" w:rsidR="004705C6" w:rsidRDefault="004705C6" w:rsidP="004705C6">
      <w:pPr>
        <w:pStyle w:val="NormalWeb"/>
        <w:ind w:left="720"/>
      </w:pPr>
      <w:r>
        <w:t>***</w:t>
      </w:r>
    </w:p>
    <w:p w14:paraId="77A885BB" w14:textId="77777777" w:rsidR="004705C6" w:rsidRDefault="004705C6" w:rsidP="004705C6">
      <w:pPr>
        <w:pStyle w:val="NormalWeb"/>
        <w:ind w:left="720"/>
      </w:pPr>
      <w:r>
        <w:t xml:space="preserve">[Plaintiff’s expert, Dr. Wesley] attributed ‘likely’ causation to persons other than Mr. Lawrence, but the lack of any apportionment opinion means the affidavit fails to describe what negligence on Mr. Lawrence's part caused Mr. Currie's injuries. To put it another way, Dr. Wesley does not ‘set out how’ he will use this case's facts ‘to arrive at’ a causation opinion as to Mr. Lawrence. </w:t>
      </w:r>
      <w:r>
        <w:rPr>
          <w:rStyle w:val="Emphasis"/>
          <w:rFonts w:eastAsiaTheme="majorEastAsia"/>
        </w:rPr>
        <w:t>Sorenson,</w:t>
      </w:r>
      <w:r>
        <w:t xml:space="preserve"> 457 N.W.2d at 192-93. </w:t>
      </w:r>
    </w:p>
    <w:p w14:paraId="171F60E1" w14:textId="746C9AC9" w:rsidR="004705C6" w:rsidRDefault="004705C6" w:rsidP="004705C6">
      <w:pPr>
        <w:pStyle w:val="NormalWeb"/>
        <w:ind w:left="720" w:firstLine="60"/>
      </w:pPr>
      <w:r>
        <w:t xml:space="preserve">Dr. Wesley's affidavit fails to comply with Minn. Stat. § 145.682, </w:t>
      </w:r>
      <w:proofErr w:type="spellStart"/>
      <w:r>
        <w:t>subdiv</w:t>
      </w:r>
      <w:proofErr w:type="spellEnd"/>
      <w:r>
        <w:t xml:space="preserve">. 4(a), as the Minnesota Supreme Court has construed the statute. For that reason, and because Dr. Wesley's testimony is essential to Mr. Currie's medical malpractice claim (Dr. Wesley is Mr. Currie's only expert), the claim must be dismissed pursuant to § 145.682, </w:t>
      </w:r>
      <w:proofErr w:type="spellStart"/>
      <w:r>
        <w:t>subdiv</w:t>
      </w:r>
      <w:proofErr w:type="spellEnd"/>
      <w:r>
        <w:t xml:space="preserve">. 6(c).” </w:t>
      </w:r>
      <w:hyperlink r:id="rId2214" w:history="1">
        <w:r w:rsidR="0091463E" w:rsidRPr="0026472A">
          <w:rPr>
            <w:rStyle w:val="Hyperlink"/>
          </w:rPr>
          <w:t>https://cases.justia.com/federal/district-courts/minnesota/mndce/0:2022cv00839/199889/89/0.pdf?ts=1714059506</w:t>
        </w:r>
      </w:hyperlink>
      <w:r w:rsidR="0091463E">
        <w:t xml:space="preserve"> </w:t>
      </w:r>
    </w:p>
    <w:p w14:paraId="30F0B070" w14:textId="77777777" w:rsidR="004705C6" w:rsidRPr="003C32ED" w:rsidRDefault="004705C6" w:rsidP="004705C6">
      <w:pPr>
        <w:pStyle w:val="NormalWeb"/>
        <w:rPr>
          <w:b/>
          <w:bCs/>
        </w:rPr>
      </w:pPr>
      <w:r w:rsidRPr="003C32ED">
        <w:rPr>
          <w:b/>
          <w:bCs/>
        </w:rPr>
        <w:t>Legal Lesson Learned:</w:t>
      </w:r>
      <w:r>
        <w:rPr>
          <w:b/>
          <w:bCs/>
        </w:rPr>
        <w:t xml:space="preserve"> Follow your protocols, including carefully evaluating the person before administering ketamine. </w:t>
      </w:r>
    </w:p>
    <w:p w14:paraId="1CAD7814" w14:textId="77777777" w:rsidR="004705C6" w:rsidRPr="00FE7997" w:rsidRDefault="004705C6" w:rsidP="004705C6">
      <w:pPr>
        <w:pStyle w:val="NormalWeb"/>
        <w:rPr>
          <w:rStyle w:val="Emphasis"/>
          <w:rFonts w:eastAsiaTheme="majorEastAsia"/>
          <w:i w:val="0"/>
          <w:iCs w:val="0"/>
        </w:rPr>
      </w:pPr>
    </w:p>
    <w:p w14:paraId="45E4645E" w14:textId="77777777" w:rsidR="004705C6" w:rsidRDefault="004705C6" w:rsidP="004705C6">
      <w:pPr>
        <w:pStyle w:val="NormalWeb"/>
        <w:spacing w:before="0" w:beforeAutospacing="0"/>
        <w:rPr>
          <w:rFonts w:ascii="Arial Black" w:hAnsi="Arial Black"/>
          <w:sz w:val="28"/>
          <w:szCs w:val="28"/>
        </w:rPr>
      </w:pPr>
    </w:p>
    <w:p w14:paraId="65EB4077" w14:textId="1E7EA010" w:rsidR="004705C6" w:rsidRDefault="004705C6" w:rsidP="004705C6">
      <w:pPr>
        <w:rPr>
          <w:rFonts w:ascii="Times New Roman" w:eastAsia="Times New Roman" w:hAnsi="Times New Roman"/>
          <w:sz w:val="24"/>
          <w:szCs w:val="24"/>
        </w:rPr>
      </w:pPr>
      <w:r>
        <w:rPr>
          <w:rFonts w:ascii="Arial Black" w:hAnsi="Arial Black"/>
          <w:b/>
          <w:bCs/>
          <w:sz w:val="28"/>
          <w:szCs w:val="28"/>
        </w:rPr>
        <w:t>13-170</w:t>
      </w:r>
    </w:p>
    <w:p w14:paraId="789446A7" w14:textId="77777777" w:rsidR="004705C6" w:rsidRPr="00423774" w:rsidRDefault="004705C6" w:rsidP="004705C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KY: EMS NO QUAL. IMMUNITY - DEFIBRILLATOR NOT CHECKED / “ACTIVE 911” APP – HUNG JURY / RETRIAL </w:t>
      </w:r>
    </w:p>
    <w:p w14:paraId="6B677E02" w14:textId="0D957EC3" w:rsidR="004705C6" w:rsidRDefault="004705C6" w:rsidP="004705C6">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8, 2024, in </w:t>
      </w:r>
      <w:r w:rsidRPr="002778D0">
        <w:rPr>
          <w:rFonts w:ascii="Times New Roman" w:eastAsia="Times New Roman" w:hAnsi="Times New Roman"/>
          <w:sz w:val="24"/>
          <w:szCs w:val="24"/>
          <w:u w:val="single"/>
        </w:rPr>
        <w:t>Kristian Brock and Christopher Stone v. Colton T. Hinkel, individually and as administrator of the estate of Charles L, Hinkel, III</w:t>
      </w:r>
      <w:r>
        <w:rPr>
          <w:rFonts w:ascii="Times New Roman" w:eastAsia="Times New Roman" w:hAnsi="Times New Roman"/>
          <w:sz w:val="24"/>
          <w:szCs w:val="24"/>
        </w:rPr>
        <w:t xml:space="preserve">, the Court of Appeals of Kentucky held (3 to 0; unpublished opinion) that the trial court properly denied qualified immunity for the EMS; the case must therefore be re-tried to Jury after the first civil jury failed to reach a decision. </w:t>
      </w:r>
    </w:p>
    <w:p w14:paraId="12EE44B2"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C5A10FA" w14:textId="77777777" w:rsidR="004705C6" w:rsidRDefault="004705C6" w:rsidP="004705C6">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2D1156">
        <w:rPr>
          <w:rFonts w:ascii="Times New Roman" w:hAnsi="Times New Roman"/>
          <w:sz w:val="24"/>
          <w:szCs w:val="24"/>
        </w:rPr>
        <w:t>Factual issues remain for the jury to</w:t>
      </w:r>
      <w:r>
        <w:rPr>
          <w:rFonts w:ascii="Times New Roman" w:hAnsi="Times New Roman"/>
          <w:sz w:val="24"/>
          <w:szCs w:val="24"/>
        </w:rPr>
        <w:t xml:space="preserve"> </w:t>
      </w:r>
      <w:r w:rsidRPr="002D1156">
        <w:rPr>
          <w:rFonts w:ascii="Times New Roman" w:hAnsi="Times New Roman"/>
          <w:sz w:val="24"/>
          <w:szCs w:val="24"/>
        </w:rPr>
        <w:t>determine whether they were negligent in not complying with written policy and</w:t>
      </w:r>
      <w:r>
        <w:rPr>
          <w:rFonts w:ascii="Times New Roman" w:hAnsi="Times New Roman"/>
          <w:sz w:val="24"/>
          <w:szCs w:val="24"/>
        </w:rPr>
        <w:t xml:space="preserve"> </w:t>
      </w:r>
      <w:r w:rsidRPr="002D1156">
        <w:rPr>
          <w:rFonts w:ascii="Times New Roman" w:hAnsi="Times New Roman"/>
          <w:sz w:val="24"/>
          <w:szCs w:val="24"/>
        </w:rPr>
        <w:t>procedure by using the app rather than the ambulance GPS and paper maps, or</w:t>
      </w:r>
      <w:r>
        <w:rPr>
          <w:rFonts w:ascii="Times New Roman" w:hAnsi="Times New Roman"/>
          <w:sz w:val="24"/>
          <w:szCs w:val="24"/>
        </w:rPr>
        <w:t xml:space="preserve"> </w:t>
      </w:r>
      <w:r w:rsidRPr="002D1156">
        <w:rPr>
          <w:rFonts w:ascii="Times New Roman" w:hAnsi="Times New Roman"/>
          <w:sz w:val="24"/>
          <w:szCs w:val="24"/>
        </w:rPr>
        <w:t>whether it was acceptable to use the app in light of the testimony from their</w:t>
      </w:r>
      <w:r>
        <w:rPr>
          <w:rFonts w:ascii="Times New Roman" w:hAnsi="Times New Roman"/>
          <w:sz w:val="24"/>
          <w:szCs w:val="24"/>
        </w:rPr>
        <w:t xml:space="preserve"> </w:t>
      </w:r>
      <w:r w:rsidRPr="002D1156">
        <w:rPr>
          <w:rFonts w:ascii="Times New Roman" w:hAnsi="Times New Roman"/>
          <w:sz w:val="24"/>
          <w:szCs w:val="24"/>
        </w:rPr>
        <w:t>supervisor, or whether they were negligent in not consulting the paper maps in</w:t>
      </w:r>
      <w:r>
        <w:rPr>
          <w:rFonts w:ascii="Times New Roman" w:hAnsi="Times New Roman"/>
          <w:sz w:val="24"/>
          <w:szCs w:val="24"/>
        </w:rPr>
        <w:t xml:space="preserve"> </w:t>
      </w:r>
      <w:r w:rsidRPr="002D1156">
        <w:rPr>
          <w:rFonts w:ascii="Times New Roman" w:hAnsi="Times New Roman"/>
          <w:sz w:val="24"/>
          <w:szCs w:val="24"/>
        </w:rPr>
        <w:t>conjunction with the app.</w:t>
      </w:r>
    </w:p>
    <w:p w14:paraId="264A4992" w14:textId="77777777" w:rsidR="004705C6" w:rsidRPr="004D7DFD" w:rsidRDefault="004705C6" w:rsidP="004705C6">
      <w:pPr>
        <w:pStyle w:val="NoSpacing"/>
        <w:ind w:left="720"/>
        <w:rPr>
          <w:rFonts w:ascii="Times New Roman" w:hAnsi="Times New Roman"/>
          <w:sz w:val="24"/>
          <w:szCs w:val="24"/>
        </w:rPr>
      </w:pPr>
      <w:r w:rsidRPr="004D7DFD">
        <w:rPr>
          <w:rFonts w:ascii="Times New Roman" w:hAnsi="Times New Roman"/>
          <w:sz w:val="24"/>
          <w:szCs w:val="24"/>
        </w:rPr>
        <w:t>Brock and Stone do not challenge the trial court’s holding that their</w:t>
      </w:r>
      <w:r>
        <w:rPr>
          <w:rFonts w:ascii="Times New Roman" w:hAnsi="Times New Roman"/>
          <w:sz w:val="24"/>
          <w:szCs w:val="24"/>
        </w:rPr>
        <w:t xml:space="preserve"> </w:t>
      </w:r>
      <w:r w:rsidRPr="004D7DFD">
        <w:rPr>
          <w:rFonts w:ascii="Times New Roman" w:hAnsi="Times New Roman"/>
          <w:sz w:val="24"/>
          <w:szCs w:val="24"/>
        </w:rPr>
        <w:t>duty to check the defibrillator was ministerial and consequently this ruling will not</w:t>
      </w:r>
      <w:r>
        <w:rPr>
          <w:rFonts w:ascii="Times New Roman" w:hAnsi="Times New Roman"/>
          <w:sz w:val="24"/>
          <w:szCs w:val="24"/>
        </w:rPr>
        <w:t xml:space="preserve"> </w:t>
      </w:r>
      <w:r w:rsidRPr="004D7DFD">
        <w:rPr>
          <w:rFonts w:ascii="Times New Roman" w:hAnsi="Times New Roman"/>
          <w:sz w:val="24"/>
          <w:szCs w:val="24"/>
        </w:rPr>
        <w:t>be reviewed here.</w:t>
      </w:r>
    </w:p>
    <w:p w14:paraId="0AF53E88" w14:textId="77777777" w:rsidR="004705C6" w:rsidRDefault="004705C6" w:rsidP="004705C6">
      <w:pPr>
        <w:pStyle w:val="NoSpacing"/>
        <w:rPr>
          <w:rFonts w:ascii="Times New Roman" w:hAnsi="Times New Roman"/>
          <w:sz w:val="24"/>
          <w:szCs w:val="24"/>
        </w:rPr>
      </w:pPr>
    </w:p>
    <w:p w14:paraId="7D6CAEBC" w14:textId="77777777" w:rsidR="004705C6" w:rsidRPr="004D7DFD" w:rsidRDefault="004705C6" w:rsidP="004705C6">
      <w:pPr>
        <w:pStyle w:val="NoSpacing"/>
        <w:ind w:firstLine="720"/>
        <w:rPr>
          <w:rFonts w:ascii="Times New Roman" w:hAnsi="Times New Roman"/>
          <w:sz w:val="24"/>
          <w:szCs w:val="24"/>
        </w:rPr>
      </w:pPr>
      <w:r w:rsidRPr="004D7DFD">
        <w:rPr>
          <w:rFonts w:ascii="Times New Roman" w:hAnsi="Times New Roman"/>
          <w:sz w:val="24"/>
          <w:szCs w:val="24"/>
        </w:rPr>
        <w:t>CONCLUSION</w:t>
      </w:r>
    </w:p>
    <w:p w14:paraId="4D785F80" w14:textId="77777777" w:rsidR="004705C6" w:rsidRDefault="004705C6" w:rsidP="004705C6">
      <w:pPr>
        <w:pStyle w:val="NoSpacing"/>
        <w:rPr>
          <w:rFonts w:ascii="Times New Roman" w:hAnsi="Times New Roman"/>
          <w:sz w:val="24"/>
          <w:szCs w:val="24"/>
        </w:rPr>
      </w:pPr>
    </w:p>
    <w:p w14:paraId="1DF49F6C" w14:textId="77777777" w:rsidR="004705C6" w:rsidRPr="002D1156" w:rsidRDefault="004705C6" w:rsidP="004705C6">
      <w:pPr>
        <w:pStyle w:val="NoSpacing"/>
        <w:ind w:left="720"/>
        <w:rPr>
          <w:rFonts w:ascii="Times New Roman" w:hAnsi="Times New Roman"/>
          <w:sz w:val="24"/>
          <w:szCs w:val="24"/>
        </w:rPr>
      </w:pPr>
      <w:r w:rsidRPr="004D7DFD">
        <w:rPr>
          <w:rFonts w:ascii="Times New Roman" w:hAnsi="Times New Roman"/>
          <w:sz w:val="24"/>
          <w:szCs w:val="24"/>
        </w:rPr>
        <w:t>For the foregoing reasons, the trial court’s order is affirmed insofar as</w:t>
      </w:r>
      <w:r>
        <w:rPr>
          <w:rFonts w:ascii="Times New Roman" w:hAnsi="Times New Roman"/>
          <w:sz w:val="24"/>
          <w:szCs w:val="24"/>
        </w:rPr>
        <w:t xml:space="preserve"> </w:t>
      </w:r>
      <w:r w:rsidRPr="004D7DFD">
        <w:rPr>
          <w:rFonts w:ascii="Times New Roman" w:hAnsi="Times New Roman"/>
          <w:sz w:val="24"/>
          <w:szCs w:val="24"/>
        </w:rPr>
        <w:t>Brock and Stone are not entitled to qualified official immunity for the claims that</w:t>
      </w:r>
      <w:r>
        <w:rPr>
          <w:rFonts w:ascii="Times New Roman" w:hAnsi="Times New Roman"/>
          <w:sz w:val="24"/>
          <w:szCs w:val="24"/>
        </w:rPr>
        <w:t xml:space="preserve"> </w:t>
      </w:r>
      <w:r w:rsidRPr="004D7DFD">
        <w:rPr>
          <w:rFonts w:ascii="Times New Roman" w:hAnsi="Times New Roman"/>
          <w:sz w:val="24"/>
          <w:szCs w:val="24"/>
        </w:rPr>
        <w:t>they were negligent in using the Active 911 app to navigate to Hinkel’s residence</w:t>
      </w:r>
      <w:r>
        <w:rPr>
          <w:rFonts w:ascii="Times New Roman" w:hAnsi="Times New Roman"/>
          <w:sz w:val="24"/>
          <w:szCs w:val="24"/>
        </w:rPr>
        <w:t xml:space="preserve"> </w:t>
      </w:r>
      <w:r w:rsidRPr="004D7DFD">
        <w:rPr>
          <w:rFonts w:ascii="Times New Roman" w:hAnsi="Times New Roman"/>
          <w:sz w:val="24"/>
          <w:szCs w:val="24"/>
        </w:rPr>
        <w:t xml:space="preserve">and in allegedly failing to perform the routine check of the </w:t>
      </w:r>
      <w:proofErr w:type="spellStart"/>
      <w:r w:rsidRPr="004D7DFD">
        <w:rPr>
          <w:rFonts w:ascii="Times New Roman" w:hAnsi="Times New Roman"/>
          <w:sz w:val="24"/>
          <w:szCs w:val="24"/>
        </w:rPr>
        <w:t>LifePak</w:t>
      </w:r>
      <w:proofErr w:type="spellEnd"/>
      <w:r w:rsidRPr="004D7DFD">
        <w:rPr>
          <w:rFonts w:ascii="Times New Roman" w:hAnsi="Times New Roman"/>
          <w:sz w:val="24"/>
          <w:szCs w:val="24"/>
        </w:rPr>
        <w:t xml:space="preserve"> defibrillator</w:t>
      </w:r>
      <w:r>
        <w:rPr>
          <w:rFonts w:ascii="Times New Roman" w:hAnsi="Times New Roman"/>
          <w:sz w:val="24"/>
          <w:szCs w:val="24"/>
        </w:rPr>
        <w:t xml:space="preserve">.” </w:t>
      </w:r>
      <w:hyperlink r:id="rId2215" w:history="1">
        <w:r w:rsidRPr="0090149E">
          <w:rPr>
            <w:rStyle w:val="Hyperlink"/>
            <w:rFonts w:ascii="Times New Roman" w:hAnsi="Times New Roman"/>
            <w:sz w:val="24"/>
            <w:szCs w:val="24"/>
          </w:rPr>
          <w:t>https://cases.justia.com/kentucky/court-of-appeals/2024-2022-ca-1330-mr.pdf?ts=1709910288</w:t>
        </w:r>
      </w:hyperlink>
      <w:r>
        <w:rPr>
          <w:rFonts w:ascii="Times New Roman" w:hAnsi="Times New Roman"/>
          <w:sz w:val="24"/>
          <w:szCs w:val="24"/>
        </w:rPr>
        <w:t xml:space="preserve"> </w:t>
      </w:r>
    </w:p>
    <w:p w14:paraId="4C94B79E" w14:textId="77777777" w:rsidR="004705C6" w:rsidRPr="002D1156" w:rsidRDefault="004705C6" w:rsidP="004705C6">
      <w:pPr>
        <w:pStyle w:val="NoSpacing"/>
        <w:rPr>
          <w:rFonts w:ascii="Times New Roman" w:hAnsi="Times New Roman"/>
          <w:sz w:val="24"/>
          <w:szCs w:val="24"/>
        </w:rPr>
      </w:pPr>
    </w:p>
    <w:p w14:paraId="2D291CB7" w14:textId="77777777" w:rsidR="004705C6" w:rsidRDefault="004705C6" w:rsidP="004705C6">
      <w:pPr>
        <w:pStyle w:val="NoSpacing"/>
        <w:ind w:left="720"/>
        <w:rPr>
          <w:rFonts w:ascii="Times New Roman" w:hAnsi="Times New Roman"/>
          <w:sz w:val="24"/>
          <w:szCs w:val="24"/>
        </w:rPr>
      </w:pPr>
    </w:p>
    <w:p w14:paraId="1D3F521A" w14:textId="77777777" w:rsidR="004705C6" w:rsidRPr="001C64D7" w:rsidRDefault="004705C6" w:rsidP="004705C6">
      <w:pPr>
        <w:pStyle w:val="NoSpacing"/>
        <w:rPr>
          <w:rFonts w:ascii="Times New Roman" w:hAnsi="Times New Roman"/>
          <w:b/>
          <w:bCs/>
          <w:sz w:val="24"/>
          <w:szCs w:val="24"/>
        </w:rPr>
      </w:pPr>
      <w:r w:rsidRPr="001C64D7">
        <w:rPr>
          <w:rFonts w:ascii="Times New Roman" w:hAnsi="Times New Roman"/>
          <w:b/>
          <w:bCs/>
          <w:sz w:val="24"/>
          <w:szCs w:val="24"/>
        </w:rPr>
        <w:t>Legal Lesson Learned:</w:t>
      </w:r>
      <w:r>
        <w:rPr>
          <w:rFonts w:ascii="Times New Roman" w:hAnsi="Times New Roman"/>
          <w:b/>
          <w:bCs/>
          <w:sz w:val="24"/>
          <w:szCs w:val="24"/>
        </w:rPr>
        <w:t xml:space="preserve"> Follow your </w:t>
      </w:r>
      <w:proofErr w:type="gramStart"/>
      <w:r>
        <w:rPr>
          <w:rFonts w:ascii="Times New Roman" w:hAnsi="Times New Roman"/>
          <w:b/>
          <w:bCs/>
          <w:sz w:val="24"/>
          <w:szCs w:val="24"/>
        </w:rPr>
        <w:t>equipment</w:t>
      </w:r>
      <w:proofErr w:type="gramEnd"/>
      <w:r>
        <w:rPr>
          <w:rFonts w:ascii="Times New Roman" w:hAnsi="Times New Roman"/>
          <w:b/>
          <w:bCs/>
          <w:sz w:val="24"/>
          <w:szCs w:val="24"/>
        </w:rPr>
        <w:t xml:space="preserve"> check protocols, including documentation; know your addresses or confirm with GPS or map.</w:t>
      </w:r>
    </w:p>
    <w:p w14:paraId="213D7D13" w14:textId="77777777" w:rsidR="004705C6" w:rsidRDefault="004705C6" w:rsidP="004705C6">
      <w:pPr>
        <w:pStyle w:val="NormalWeb"/>
        <w:spacing w:before="0" w:beforeAutospacing="0"/>
        <w:rPr>
          <w:color w:val="454545"/>
        </w:rPr>
      </w:pPr>
    </w:p>
    <w:p w14:paraId="542D8F54" w14:textId="77777777" w:rsidR="005677A6" w:rsidRDefault="005677A6" w:rsidP="006A02A4">
      <w:pPr>
        <w:rPr>
          <w:rFonts w:ascii="Arial Black" w:hAnsi="Arial Black"/>
          <w:b/>
          <w:bCs/>
          <w:sz w:val="28"/>
          <w:szCs w:val="28"/>
        </w:rPr>
      </w:pPr>
    </w:p>
    <w:p w14:paraId="5EF0F1F0" w14:textId="6EC69ACD" w:rsidR="00A77ADF" w:rsidRDefault="00A77ADF" w:rsidP="006A02A4">
      <w:pPr>
        <w:rPr>
          <w:rFonts w:ascii="Arial Black" w:hAnsi="Arial Black"/>
          <w:b/>
          <w:bCs/>
          <w:sz w:val="28"/>
          <w:szCs w:val="28"/>
        </w:rPr>
      </w:pPr>
      <w:r>
        <w:rPr>
          <w:rFonts w:ascii="Arial Black" w:hAnsi="Arial Black"/>
          <w:b/>
          <w:bCs/>
          <w:sz w:val="28"/>
          <w:szCs w:val="28"/>
        </w:rPr>
        <w:t>13-169</w:t>
      </w:r>
    </w:p>
    <w:p w14:paraId="0A6CE871" w14:textId="77777777" w:rsidR="006F1059" w:rsidRDefault="006F1059" w:rsidP="006F1059">
      <w:pPr>
        <w:pStyle w:val="NormalWeb"/>
        <w:rPr>
          <w:rFonts w:ascii="Arial Black" w:hAnsi="Arial Black"/>
          <w:sz w:val="28"/>
          <w:szCs w:val="28"/>
        </w:rPr>
      </w:pPr>
      <w:r>
        <w:rPr>
          <w:rFonts w:ascii="Arial Black" w:hAnsi="Arial Black"/>
          <w:sz w:val="28"/>
          <w:szCs w:val="28"/>
        </w:rPr>
        <w:t>TX: NO “STATE-CREATED DANGER” - 14-YR OLD, CEREBRAL PALSY – EMS NO “DELIBERATE INDIFFERENCE” - IMMUNITY</w:t>
      </w:r>
    </w:p>
    <w:p w14:paraId="0F1DF180" w14:textId="77777777" w:rsidR="006F1059" w:rsidRDefault="006F1059" w:rsidP="006F1059">
      <w:pPr>
        <w:pStyle w:val="NormalWeb"/>
      </w:pPr>
      <w:r>
        <w:t xml:space="preserve">On Feb. 27, 2024, in </w:t>
      </w:r>
      <w:r w:rsidRPr="00D05974">
        <w:rPr>
          <w:u w:val="single"/>
        </w:rPr>
        <w:t>Stacey Williams, on behalf of her minor grandson, J.J. v. Andrew Williams and Joe Spradlin</w:t>
      </w:r>
      <w:r>
        <w:t>, the U.S. Court of Appeals for Fifth Circuit (New Orleans) held (3 to 0) that trial court properly dismissed the lawsuit.</w:t>
      </w:r>
    </w:p>
    <w:p w14:paraId="155B6029" w14:textId="77777777" w:rsidR="00F86334" w:rsidRPr="004C0299" w:rsidRDefault="00F86334" w:rsidP="00F86334">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C739182" w14:textId="77777777" w:rsidR="00F86334" w:rsidRDefault="00F86334" w:rsidP="006F1059">
      <w:pPr>
        <w:pStyle w:val="NoSpacing"/>
      </w:pPr>
    </w:p>
    <w:p w14:paraId="0AC662B1" w14:textId="3CBA26E9" w:rsidR="006F1059" w:rsidRPr="00B65994" w:rsidRDefault="006F1059" w:rsidP="006F1059">
      <w:pPr>
        <w:pStyle w:val="NoSpacing"/>
        <w:rPr>
          <w:rFonts w:ascii="Times New Roman" w:hAnsi="Times New Roman"/>
          <w:sz w:val="24"/>
          <w:szCs w:val="24"/>
        </w:rPr>
      </w:pPr>
      <w:r>
        <w:tab/>
      </w:r>
      <w:r w:rsidRPr="00330249">
        <w:rPr>
          <w:rFonts w:ascii="Times New Roman" w:hAnsi="Times New Roman"/>
          <w:sz w:val="24"/>
          <w:szCs w:val="24"/>
        </w:rPr>
        <w:t>The Court held:</w:t>
      </w:r>
      <w:r>
        <w:t xml:space="preserve"> “</w:t>
      </w:r>
      <w:r w:rsidRPr="00B65994">
        <w:rPr>
          <w:rFonts w:ascii="Times New Roman" w:hAnsi="Times New Roman"/>
          <w:sz w:val="24"/>
          <w:szCs w:val="24"/>
        </w:rPr>
        <w:t>The appellant recognizes that she cannot prevail under this court’s</w:t>
      </w:r>
    </w:p>
    <w:p w14:paraId="77C4D3B3" w14:textId="77777777" w:rsidR="006F1059" w:rsidRPr="00B65994" w:rsidRDefault="006F1059" w:rsidP="006F1059">
      <w:pPr>
        <w:pStyle w:val="NoSpacing"/>
        <w:ind w:left="720"/>
        <w:rPr>
          <w:rFonts w:ascii="Times New Roman" w:hAnsi="Times New Roman"/>
          <w:sz w:val="24"/>
          <w:szCs w:val="24"/>
        </w:rPr>
      </w:pPr>
      <w:r w:rsidRPr="00B65994">
        <w:rPr>
          <w:rFonts w:ascii="Times New Roman" w:hAnsi="Times New Roman"/>
          <w:sz w:val="24"/>
          <w:szCs w:val="24"/>
        </w:rPr>
        <w:t xml:space="preserve">longstanding jurisprudence whereunder we do not recognize </w:t>
      </w:r>
      <w:r>
        <w:rPr>
          <w:rFonts w:ascii="Times New Roman" w:hAnsi="Times New Roman"/>
          <w:sz w:val="24"/>
          <w:szCs w:val="24"/>
        </w:rPr>
        <w:t>‘</w:t>
      </w:r>
      <w:r w:rsidRPr="00B65994">
        <w:rPr>
          <w:rFonts w:ascii="Times New Roman" w:hAnsi="Times New Roman"/>
          <w:sz w:val="24"/>
          <w:szCs w:val="24"/>
        </w:rPr>
        <w:t>state-created</w:t>
      </w:r>
      <w:r>
        <w:rPr>
          <w:rFonts w:ascii="Times New Roman" w:hAnsi="Times New Roman"/>
          <w:sz w:val="24"/>
          <w:szCs w:val="24"/>
        </w:rPr>
        <w:t xml:space="preserve"> </w:t>
      </w:r>
      <w:r w:rsidRPr="00B65994">
        <w:rPr>
          <w:rFonts w:ascii="Times New Roman" w:hAnsi="Times New Roman"/>
          <w:sz w:val="24"/>
          <w:szCs w:val="24"/>
        </w:rPr>
        <w:t>danger</w:t>
      </w:r>
      <w:r>
        <w:rPr>
          <w:rFonts w:ascii="Times New Roman" w:hAnsi="Times New Roman"/>
          <w:sz w:val="24"/>
          <w:szCs w:val="24"/>
        </w:rPr>
        <w:t>’</w:t>
      </w:r>
      <w:r w:rsidRPr="00B65994">
        <w:rPr>
          <w:rFonts w:ascii="Times New Roman" w:hAnsi="Times New Roman"/>
          <w:sz w:val="24"/>
          <w:szCs w:val="24"/>
        </w:rPr>
        <w:t xml:space="preserve"> as a theory of liability for a claimed constitutional violation. Appellant asks the court to use this case as a vehicle to adopt, for the first time, that</w:t>
      </w:r>
      <w:r>
        <w:rPr>
          <w:rFonts w:ascii="Times New Roman" w:hAnsi="Times New Roman"/>
          <w:sz w:val="24"/>
          <w:szCs w:val="24"/>
        </w:rPr>
        <w:t xml:space="preserve"> </w:t>
      </w:r>
      <w:r w:rsidRPr="00B65994">
        <w:rPr>
          <w:rFonts w:ascii="Times New Roman" w:hAnsi="Times New Roman"/>
          <w:sz w:val="24"/>
          <w:szCs w:val="24"/>
        </w:rPr>
        <w:t>theory.</w:t>
      </w:r>
      <w:r>
        <w:rPr>
          <w:rFonts w:ascii="Times New Roman" w:hAnsi="Times New Roman"/>
          <w:sz w:val="24"/>
          <w:szCs w:val="24"/>
        </w:rPr>
        <w:t xml:space="preserve"> </w:t>
      </w:r>
      <w:r w:rsidRPr="00B65994">
        <w:rPr>
          <w:rFonts w:ascii="Times New Roman" w:hAnsi="Times New Roman"/>
          <w:sz w:val="24"/>
          <w:szCs w:val="24"/>
        </w:rPr>
        <w:t>We decline the invitation. It is a stretch to say that state actors</w:t>
      </w:r>
      <w:r>
        <w:rPr>
          <w:rFonts w:ascii="Times New Roman" w:hAnsi="Times New Roman"/>
          <w:sz w:val="24"/>
          <w:szCs w:val="24"/>
        </w:rPr>
        <w:t xml:space="preserve"> </w:t>
      </w:r>
      <w:r w:rsidRPr="00B65994">
        <w:rPr>
          <w:rFonts w:ascii="Times New Roman" w:hAnsi="Times New Roman"/>
          <w:sz w:val="24"/>
          <w:szCs w:val="24"/>
        </w:rPr>
        <w:t>“created” the danger, given that the appellant’s grandson was in medical</w:t>
      </w:r>
      <w:r>
        <w:rPr>
          <w:rFonts w:ascii="Times New Roman" w:hAnsi="Times New Roman"/>
          <w:sz w:val="24"/>
          <w:szCs w:val="24"/>
        </w:rPr>
        <w:t xml:space="preserve"> </w:t>
      </w:r>
      <w:r w:rsidRPr="00B65994">
        <w:rPr>
          <w:rFonts w:ascii="Times New Roman" w:hAnsi="Times New Roman"/>
          <w:sz w:val="24"/>
          <w:szCs w:val="24"/>
        </w:rPr>
        <w:t>distress, not caused by them, when they arrived. As alleged, any failure to</w:t>
      </w:r>
      <w:r>
        <w:rPr>
          <w:rFonts w:ascii="Times New Roman" w:hAnsi="Times New Roman"/>
          <w:sz w:val="24"/>
          <w:szCs w:val="24"/>
        </w:rPr>
        <w:t xml:space="preserve"> </w:t>
      </w:r>
      <w:r w:rsidRPr="00B65994">
        <w:rPr>
          <w:rFonts w:ascii="Times New Roman" w:hAnsi="Times New Roman"/>
          <w:sz w:val="24"/>
          <w:szCs w:val="24"/>
        </w:rPr>
        <w:t>act sounds more in medical malpractice or negligence than in deliberate</w:t>
      </w:r>
    </w:p>
    <w:p w14:paraId="54FA6B18" w14:textId="77777777" w:rsidR="006F1059" w:rsidRPr="00127FA3" w:rsidRDefault="006F1059" w:rsidP="006F1059">
      <w:pPr>
        <w:pStyle w:val="NoSpacing"/>
        <w:ind w:firstLine="720"/>
        <w:rPr>
          <w:rFonts w:ascii="Times New Roman" w:hAnsi="Times New Roman"/>
          <w:sz w:val="24"/>
          <w:szCs w:val="24"/>
        </w:rPr>
      </w:pPr>
      <w:r w:rsidRPr="00B65994">
        <w:rPr>
          <w:rFonts w:ascii="Times New Roman" w:hAnsi="Times New Roman"/>
          <w:sz w:val="24"/>
          <w:szCs w:val="24"/>
        </w:rPr>
        <w:t>indifference.</w:t>
      </w:r>
      <w:r>
        <w:rPr>
          <w:rFonts w:ascii="Times New Roman" w:hAnsi="Times New Roman"/>
          <w:sz w:val="24"/>
          <w:szCs w:val="24"/>
        </w:rPr>
        <w:t xml:space="preserve">” </w:t>
      </w:r>
      <w:hyperlink r:id="rId2216" w:history="1">
        <w:r w:rsidRPr="00E64ED3">
          <w:rPr>
            <w:rStyle w:val="Hyperlink"/>
            <w:rFonts w:ascii="Times New Roman" w:hAnsi="Times New Roman"/>
            <w:sz w:val="24"/>
            <w:szCs w:val="24"/>
          </w:rPr>
          <w:t>https://www.ca5.uscourts.gov/opinions/unpub/23/23-20375.0.pdf</w:t>
        </w:r>
      </w:hyperlink>
      <w:r>
        <w:rPr>
          <w:rFonts w:ascii="Times New Roman" w:hAnsi="Times New Roman"/>
          <w:sz w:val="24"/>
          <w:szCs w:val="24"/>
        </w:rPr>
        <w:t xml:space="preserve"> </w:t>
      </w:r>
    </w:p>
    <w:p w14:paraId="33485358" w14:textId="77777777" w:rsidR="006F1059" w:rsidRDefault="006F1059" w:rsidP="006F1059">
      <w:pPr>
        <w:pStyle w:val="NoSpacing"/>
        <w:ind w:firstLine="720"/>
        <w:rPr>
          <w:rFonts w:ascii="Times New Roman" w:hAnsi="Times New Roman"/>
          <w:sz w:val="24"/>
          <w:szCs w:val="24"/>
        </w:rPr>
      </w:pPr>
    </w:p>
    <w:p w14:paraId="78B226D7" w14:textId="77777777" w:rsidR="006F1059" w:rsidRPr="001F3724" w:rsidRDefault="006F1059" w:rsidP="006F1059">
      <w:pPr>
        <w:pStyle w:val="NoSpacing"/>
        <w:rPr>
          <w:rFonts w:ascii="Times New Roman" w:hAnsi="Times New Roman"/>
          <w:b/>
          <w:bCs/>
          <w:sz w:val="24"/>
          <w:szCs w:val="24"/>
        </w:rPr>
      </w:pPr>
      <w:r w:rsidRPr="001F3724">
        <w:rPr>
          <w:rFonts w:ascii="Times New Roman" w:hAnsi="Times New Roman"/>
          <w:b/>
          <w:bCs/>
          <w:sz w:val="24"/>
          <w:szCs w:val="24"/>
        </w:rPr>
        <w:t>Legal Lesson Learned:</w:t>
      </w:r>
      <w:r>
        <w:rPr>
          <w:rFonts w:ascii="Times New Roman" w:hAnsi="Times New Roman"/>
          <w:b/>
          <w:bCs/>
          <w:sz w:val="24"/>
          <w:szCs w:val="24"/>
        </w:rPr>
        <w:t xml:space="preserve"> There was no proof of deliberate indifference; medics therefore enjoy qualified immunity. </w:t>
      </w:r>
    </w:p>
    <w:p w14:paraId="6588F812" w14:textId="77777777" w:rsidR="006F1059" w:rsidRDefault="006F1059" w:rsidP="006F1059">
      <w:pPr>
        <w:pStyle w:val="NoSpacing"/>
        <w:rPr>
          <w:sz w:val="24"/>
          <w:szCs w:val="24"/>
        </w:rPr>
      </w:pPr>
    </w:p>
    <w:p w14:paraId="52A1AF04" w14:textId="77777777" w:rsidR="006F1059" w:rsidRPr="00486412" w:rsidRDefault="006F1059" w:rsidP="006F1059">
      <w:pPr>
        <w:pStyle w:val="NoSpacing"/>
        <w:ind w:left="720"/>
        <w:rPr>
          <w:rFonts w:ascii="Times New Roman" w:hAnsi="Times New Roman"/>
          <w:sz w:val="24"/>
          <w:szCs w:val="24"/>
        </w:rPr>
      </w:pPr>
      <w:r w:rsidRPr="00486412">
        <w:rPr>
          <w:rFonts w:ascii="Times New Roman" w:hAnsi="Times New Roman"/>
          <w:sz w:val="24"/>
          <w:szCs w:val="24"/>
        </w:rPr>
        <w:t xml:space="preserve">Note: See allegations by plaintiff’s law firm.  “Attorney Ben Crump Files Personal Injury Lawsuit Against Paramedics Who Refused to Provide Emergency Care to Disabled Teen.” </w:t>
      </w:r>
      <w:hyperlink r:id="rId2217" w:history="1">
        <w:r w:rsidRPr="00486412">
          <w:rPr>
            <w:rStyle w:val="Hyperlink"/>
            <w:rFonts w:ascii="Times New Roman" w:hAnsi="Times New Roman"/>
            <w:sz w:val="24"/>
            <w:szCs w:val="24"/>
          </w:rPr>
          <w:t>https://bencrump.com/press/attorney-ben-crump-files-personal-injury-lawsuit-against-paramedics-who-refused-to-provide-emergency-care-to-disabled-teen/</w:t>
        </w:r>
      </w:hyperlink>
    </w:p>
    <w:p w14:paraId="53269796" w14:textId="77777777" w:rsidR="00A77ADF" w:rsidRDefault="00A77ADF" w:rsidP="006A02A4">
      <w:pPr>
        <w:rPr>
          <w:rFonts w:ascii="Arial Black" w:hAnsi="Arial Black"/>
          <w:b/>
          <w:bCs/>
          <w:sz w:val="28"/>
          <w:szCs w:val="28"/>
        </w:rPr>
      </w:pPr>
    </w:p>
    <w:p w14:paraId="78BE8F22" w14:textId="77777777" w:rsidR="00A77ADF" w:rsidRDefault="00A77ADF" w:rsidP="006A02A4">
      <w:pPr>
        <w:rPr>
          <w:rFonts w:ascii="Arial Black" w:hAnsi="Arial Black"/>
          <w:b/>
          <w:bCs/>
          <w:sz w:val="28"/>
          <w:szCs w:val="28"/>
        </w:rPr>
      </w:pPr>
    </w:p>
    <w:p w14:paraId="0A582832" w14:textId="5C7E6A3D" w:rsidR="00741889" w:rsidRDefault="00741889" w:rsidP="006A02A4">
      <w:pPr>
        <w:rPr>
          <w:rFonts w:ascii="Arial Black" w:hAnsi="Arial Black"/>
          <w:b/>
          <w:bCs/>
          <w:sz w:val="28"/>
          <w:szCs w:val="28"/>
        </w:rPr>
      </w:pPr>
      <w:r>
        <w:rPr>
          <w:rFonts w:ascii="Arial Black" w:hAnsi="Arial Black"/>
          <w:b/>
          <w:bCs/>
          <w:sz w:val="28"/>
          <w:szCs w:val="28"/>
        </w:rPr>
        <w:t>13-168</w:t>
      </w:r>
    </w:p>
    <w:p w14:paraId="0F38657E" w14:textId="31E7800A" w:rsidR="00741889" w:rsidRDefault="00741889" w:rsidP="00741889">
      <w:pPr>
        <w:pStyle w:val="NoSpacing"/>
        <w:rPr>
          <w:rFonts w:ascii="Arial Black" w:hAnsi="Arial Black"/>
          <w:sz w:val="28"/>
          <w:szCs w:val="28"/>
        </w:rPr>
      </w:pPr>
      <w:r>
        <w:rPr>
          <w:rFonts w:ascii="Arial Black" w:hAnsi="Arial Black"/>
          <w:sz w:val="28"/>
          <w:szCs w:val="28"/>
        </w:rPr>
        <w:t xml:space="preserve">ME: PERSON DEAD OVERDOSE UNDER SINK –  RESIDENT REFUSED TALK TO MEDICS – </w:t>
      </w:r>
      <w:r w:rsidR="003E7DB8">
        <w:rPr>
          <w:rFonts w:ascii="Arial Black" w:hAnsi="Arial Black"/>
          <w:sz w:val="28"/>
          <w:szCs w:val="28"/>
        </w:rPr>
        <w:t xml:space="preserve">PROSECUTOR </w:t>
      </w:r>
      <w:r>
        <w:rPr>
          <w:rFonts w:ascii="Arial Black" w:hAnsi="Arial Black"/>
          <w:sz w:val="28"/>
          <w:szCs w:val="28"/>
        </w:rPr>
        <w:t>TOLD JURY</w:t>
      </w:r>
      <w:r w:rsidR="00E9297E">
        <w:rPr>
          <w:rFonts w:ascii="Arial Black" w:hAnsi="Arial Black"/>
          <w:sz w:val="28"/>
          <w:szCs w:val="28"/>
        </w:rPr>
        <w:t xml:space="preserve"> </w:t>
      </w:r>
    </w:p>
    <w:p w14:paraId="019A5C82" w14:textId="77777777" w:rsidR="00741889" w:rsidRDefault="00741889" w:rsidP="00741889">
      <w:pPr>
        <w:pStyle w:val="NoSpacing"/>
        <w:rPr>
          <w:rFonts w:ascii="Times New Roman" w:hAnsi="Times New Roman"/>
          <w:sz w:val="24"/>
          <w:szCs w:val="24"/>
        </w:rPr>
      </w:pPr>
    </w:p>
    <w:p w14:paraId="19DB9084" w14:textId="77777777" w:rsidR="00741889" w:rsidRDefault="00741889" w:rsidP="00741889">
      <w:pPr>
        <w:pStyle w:val="NoSpacing"/>
        <w:rPr>
          <w:rFonts w:ascii="Times New Roman" w:hAnsi="Times New Roman"/>
          <w:sz w:val="24"/>
          <w:szCs w:val="24"/>
        </w:rPr>
      </w:pPr>
      <w:r>
        <w:rPr>
          <w:rFonts w:ascii="Times New Roman" w:hAnsi="Times New Roman"/>
          <w:sz w:val="24"/>
          <w:szCs w:val="24"/>
        </w:rPr>
        <w:t xml:space="preserve">On Jan. 30, 2024, in </w:t>
      </w:r>
      <w:r w:rsidRPr="008149F4">
        <w:rPr>
          <w:rFonts w:ascii="Times New Roman" w:hAnsi="Times New Roman"/>
          <w:sz w:val="24"/>
          <w:szCs w:val="24"/>
          <w:u w:val="single"/>
        </w:rPr>
        <w:t>State of Maine v. Ralph A. Trip, Jr</w:t>
      </w:r>
      <w:r>
        <w:rPr>
          <w:rFonts w:ascii="Times New Roman" w:hAnsi="Times New Roman"/>
          <w:sz w:val="24"/>
          <w:szCs w:val="24"/>
        </w:rPr>
        <w:t xml:space="preserve">., the Maine Supreme Judicial Court held (7 to 0) that trial court judge properly allowed jury to hear testimony of the paramedics from Bangor Fire Department that the defendant along with his wife called 911 on April 17, 2021, and they both refused to tell the medics anything about the person dead under the sink in their apartment.  The jury convicted the defendant of </w:t>
      </w:r>
      <w:r w:rsidRPr="00E67AD9">
        <w:rPr>
          <w:rFonts w:ascii="Times New Roman" w:hAnsi="Times New Roman"/>
          <w:sz w:val="24"/>
          <w:szCs w:val="24"/>
        </w:rPr>
        <w:t>aggravated trafficking of a scheduled drug that in fact caused the death of a</w:t>
      </w:r>
      <w:r>
        <w:rPr>
          <w:rFonts w:ascii="Times New Roman" w:hAnsi="Times New Roman"/>
          <w:sz w:val="24"/>
          <w:szCs w:val="24"/>
        </w:rPr>
        <w:t xml:space="preserve"> </w:t>
      </w:r>
      <w:r w:rsidRPr="00E67AD9">
        <w:rPr>
          <w:rFonts w:ascii="Times New Roman" w:hAnsi="Times New Roman"/>
          <w:sz w:val="24"/>
          <w:szCs w:val="24"/>
        </w:rPr>
        <w:t>person</w:t>
      </w:r>
      <w:r>
        <w:rPr>
          <w:rFonts w:ascii="Times New Roman" w:hAnsi="Times New Roman"/>
          <w:sz w:val="24"/>
          <w:szCs w:val="24"/>
        </w:rPr>
        <w:t xml:space="preserve">, </w:t>
      </w:r>
      <w:r w:rsidRPr="00E67AD9">
        <w:rPr>
          <w:rFonts w:ascii="Times New Roman" w:hAnsi="Times New Roman"/>
          <w:sz w:val="24"/>
          <w:szCs w:val="24"/>
        </w:rPr>
        <w:t xml:space="preserve"> three counts of</w:t>
      </w:r>
      <w:r>
        <w:rPr>
          <w:rFonts w:ascii="Times New Roman" w:hAnsi="Times New Roman"/>
          <w:sz w:val="24"/>
          <w:szCs w:val="24"/>
        </w:rPr>
        <w:t xml:space="preserve"> </w:t>
      </w:r>
      <w:r w:rsidRPr="00E67AD9">
        <w:rPr>
          <w:rFonts w:ascii="Times New Roman" w:hAnsi="Times New Roman"/>
          <w:sz w:val="24"/>
          <w:szCs w:val="24"/>
        </w:rPr>
        <w:t>aggravated trafficking of scheduled drugs: fentanyl powder, cocaine, and</w:t>
      </w:r>
      <w:r>
        <w:rPr>
          <w:rFonts w:ascii="Times New Roman" w:hAnsi="Times New Roman"/>
          <w:sz w:val="24"/>
          <w:szCs w:val="24"/>
        </w:rPr>
        <w:t xml:space="preserve"> m</w:t>
      </w:r>
      <w:r w:rsidRPr="00E67AD9">
        <w:rPr>
          <w:rFonts w:ascii="Times New Roman" w:hAnsi="Times New Roman"/>
          <w:sz w:val="24"/>
          <w:szCs w:val="24"/>
        </w:rPr>
        <w:t>ethamphetamine</w:t>
      </w:r>
      <w:r>
        <w:rPr>
          <w:rFonts w:ascii="Times New Roman" w:hAnsi="Times New Roman"/>
          <w:sz w:val="24"/>
          <w:szCs w:val="24"/>
        </w:rPr>
        <w:t xml:space="preserve">, </w:t>
      </w:r>
      <w:r w:rsidRPr="00E67AD9">
        <w:rPr>
          <w:rFonts w:ascii="Times New Roman" w:hAnsi="Times New Roman"/>
          <w:sz w:val="24"/>
          <w:szCs w:val="24"/>
        </w:rPr>
        <w:t>one</w:t>
      </w:r>
      <w:r>
        <w:rPr>
          <w:rFonts w:ascii="Times New Roman" w:hAnsi="Times New Roman"/>
          <w:sz w:val="24"/>
          <w:szCs w:val="24"/>
        </w:rPr>
        <w:t xml:space="preserve"> </w:t>
      </w:r>
      <w:r w:rsidRPr="00E67AD9">
        <w:rPr>
          <w:rFonts w:ascii="Times New Roman" w:hAnsi="Times New Roman"/>
          <w:sz w:val="24"/>
          <w:szCs w:val="24"/>
        </w:rPr>
        <w:t>count of possession of a firearm by a prohibited person</w:t>
      </w:r>
      <w:r w:rsidRPr="008734D5">
        <w:rPr>
          <w:rFonts w:ascii="Times New Roman" w:hAnsi="Times New Roman"/>
          <w:sz w:val="24"/>
          <w:szCs w:val="24"/>
        </w:rPr>
        <w:t>); and two counts of criminal forfeiture</w:t>
      </w:r>
      <w:r>
        <w:rPr>
          <w:rFonts w:ascii="Times New Roman" w:hAnsi="Times New Roman"/>
          <w:sz w:val="24"/>
          <w:szCs w:val="24"/>
        </w:rPr>
        <w:t xml:space="preserve">. </w:t>
      </w:r>
    </w:p>
    <w:p w14:paraId="1743CEA8" w14:textId="77777777" w:rsidR="00741889" w:rsidRDefault="00741889" w:rsidP="00741889">
      <w:pPr>
        <w:pStyle w:val="NoSpacing"/>
        <w:rPr>
          <w:rFonts w:ascii="Times New Roman" w:hAnsi="Times New Roman"/>
          <w:sz w:val="24"/>
          <w:szCs w:val="24"/>
        </w:rPr>
      </w:pPr>
    </w:p>
    <w:p w14:paraId="1F5BB293" w14:textId="77777777" w:rsidR="00741889" w:rsidRDefault="00741889" w:rsidP="00741889">
      <w:pPr>
        <w:pStyle w:val="NoSpacing"/>
        <w:ind w:left="720"/>
        <w:rPr>
          <w:rFonts w:ascii="Times New Roman" w:hAnsi="Times New Roman"/>
          <w:sz w:val="24"/>
          <w:szCs w:val="24"/>
        </w:rPr>
      </w:pPr>
      <w:r>
        <w:rPr>
          <w:rFonts w:ascii="Times New Roman" w:hAnsi="Times New Roman"/>
          <w:sz w:val="24"/>
          <w:szCs w:val="24"/>
        </w:rPr>
        <w:t>“</w:t>
      </w:r>
      <w:r w:rsidRPr="00866A39">
        <w:rPr>
          <w:rFonts w:ascii="Times New Roman" w:hAnsi="Times New Roman"/>
          <w:sz w:val="24"/>
          <w:szCs w:val="24"/>
        </w:rPr>
        <w:t>Even if the right to remain silent extends to a paramedic’s</w:t>
      </w:r>
      <w:r>
        <w:rPr>
          <w:rFonts w:ascii="Times New Roman" w:hAnsi="Times New Roman"/>
          <w:sz w:val="24"/>
          <w:szCs w:val="24"/>
        </w:rPr>
        <w:t xml:space="preserve"> </w:t>
      </w:r>
      <w:r w:rsidRPr="003509D7">
        <w:rPr>
          <w:rFonts w:ascii="Times New Roman" w:hAnsi="Times New Roman"/>
          <w:sz w:val="24"/>
          <w:szCs w:val="24"/>
        </w:rPr>
        <w:t>questioning, we conclude that Tripp failed to demonstrate that he invoked his</w:t>
      </w:r>
      <w:r>
        <w:rPr>
          <w:rFonts w:ascii="Times New Roman" w:hAnsi="Times New Roman"/>
          <w:sz w:val="24"/>
          <w:szCs w:val="24"/>
        </w:rPr>
        <w:t xml:space="preserve"> </w:t>
      </w:r>
      <w:r w:rsidRPr="003509D7">
        <w:rPr>
          <w:rFonts w:ascii="Times New Roman" w:hAnsi="Times New Roman"/>
          <w:sz w:val="24"/>
          <w:szCs w:val="24"/>
        </w:rPr>
        <w:t>right to remain silent in this non-custodial context.</w:t>
      </w:r>
    </w:p>
    <w:p w14:paraId="1BDE81B1" w14:textId="77777777" w:rsidR="00741889" w:rsidRDefault="00741889" w:rsidP="00741889">
      <w:pPr>
        <w:pStyle w:val="NoSpacing"/>
        <w:rPr>
          <w:rFonts w:ascii="Times New Roman" w:hAnsi="Times New Roman"/>
          <w:sz w:val="24"/>
          <w:szCs w:val="24"/>
        </w:rPr>
      </w:pPr>
    </w:p>
    <w:p w14:paraId="42221BAF" w14:textId="77777777" w:rsidR="00741889" w:rsidRDefault="00741889" w:rsidP="00741889">
      <w:pPr>
        <w:pStyle w:val="NoSpacing"/>
        <w:ind w:firstLine="720"/>
        <w:rPr>
          <w:rFonts w:ascii="Times New Roman" w:hAnsi="Times New Roman"/>
          <w:sz w:val="24"/>
          <w:szCs w:val="24"/>
        </w:rPr>
      </w:pPr>
      <w:r>
        <w:rPr>
          <w:rFonts w:ascii="Times New Roman" w:hAnsi="Times New Roman"/>
          <w:sz w:val="24"/>
          <w:szCs w:val="24"/>
        </w:rPr>
        <w:t>***</w:t>
      </w:r>
    </w:p>
    <w:p w14:paraId="318CE97F" w14:textId="77777777" w:rsidR="00741889" w:rsidRDefault="00741889" w:rsidP="00741889">
      <w:pPr>
        <w:pStyle w:val="NoSpacing"/>
        <w:ind w:left="720"/>
        <w:rPr>
          <w:rFonts w:ascii="Times New Roman" w:hAnsi="Times New Roman"/>
          <w:sz w:val="24"/>
          <w:szCs w:val="24"/>
        </w:rPr>
      </w:pPr>
      <w:r w:rsidRPr="00174E38">
        <w:rPr>
          <w:rFonts w:ascii="Times New Roman" w:hAnsi="Times New Roman"/>
          <w:sz w:val="24"/>
          <w:szCs w:val="24"/>
        </w:rPr>
        <w:t>Here, after Tripp let the paramedics</w:t>
      </w:r>
      <w:r>
        <w:rPr>
          <w:rFonts w:ascii="Times New Roman" w:hAnsi="Times New Roman"/>
          <w:sz w:val="24"/>
          <w:szCs w:val="24"/>
        </w:rPr>
        <w:t xml:space="preserve"> </w:t>
      </w:r>
      <w:r w:rsidRPr="00174E38">
        <w:rPr>
          <w:rFonts w:ascii="Times New Roman" w:hAnsi="Times New Roman"/>
          <w:sz w:val="24"/>
          <w:szCs w:val="24"/>
        </w:rPr>
        <w:t>into the rooming house and directed them upstairs to the unconscious person,</w:t>
      </w:r>
      <w:r>
        <w:rPr>
          <w:rFonts w:ascii="Times New Roman" w:hAnsi="Times New Roman"/>
          <w:sz w:val="24"/>
          <w:szCs w:val="24"/>
        </w:rPr>
        <w:t xml:space="preserve"> </w:t>
      </w:r>
      <w:r w:rsidRPr="00174E38">
        <w:rPr>
          <w:rFonts w:ascii="Times New Roman" w:hAnsi="Times New Roman"/>
          <w:sz w:val="24"/>
          <w:szCs w:val="24"/>
        </w:rPr>
        <w:t>he went into his room, denied knowing the person, and refused to answer the</w:t>
      </w:r>
      <w:r>
        <w:rPr>
          <w:rFonts w:ascii="Times New Roman" w:hAnsi="Times New Roman"/>
          <w:sz w:val="24"/>
          <w:szCs w:val="24"/>
        </w:rPr>
        <w:t xml:space="preserve"> </w:t>
      </w:r>
      <w:r w:rsidRPr="00174E38">
        <w:rPr>
          <w:rFonts w:ascii="Times New Roman" w:hAnsi="Times New Roman"/>
          <w:sz w:val="24"/>
          <w:szCs w:val="24"/>
        </w:rPr>
        <w:t>paramedic’s questions about the person. He was not in custody, and beyond</w:t>
      </w:r>
      <w:r>
        <w:rPr>
          <w:rFonts w:ascii="Times New Roman" w:hAnsi="Times New Roman"/>
          <w:sz w:val="24"/>
          <w:szCs w:val="24"/>
        </w:rPr>
        <w:t xml:space="preserve"> </w:t>
      </w:r>
      <w:r w:rsidRPr="00174E38">
        <w:rPr>
          <w:rFonts w:ascii="Times New Roman" w:hAnsi="Times New Roman"/>
          <w:sz w:val="24"/>
          <w:szCs w:val="24"/>
        </w:rPr>
        <w:t>remaining silent, Tripp did not expressly state nor otherwise manifest his</w:t>
      </w:r>
      <w:r>
        <w:rPr>
          <w:rFonts w:ascii="Times New Roman" w:hAnsi="Times New Roman"/>
          <w:sz w:val="24"/>
          <w:szCs w:val="24"/>
        </w:rPr>
        <w:t xml:space="preserve"> </w:t>
      </w:r>
      <w:r w:rsidRPr="009D716B">
        <w:rPr>
          <w:rFonts w:ascii="Times New Roman" w:hAnsi="Times New Roman"/>
          <w:sz w:val="24"/>
          <w:szCs w:val="24"/>
        </w:rPr>
        <w:t>intention to exercise the constitutional right against self-incrimination. These</w:t>
      </w:r>
      <w:r>
        <w:rPr>
          <w:rFonts w:ascii="Times New Roman" w:hAnsi="Times New Roman"/>
          <w:sz w:val="24"/>
          <w:szCs w:val="24"/>
        </w:rPr>
        <w:t xml:space="preserve"> </w:t>
      </w:r>
      <w:r w:rsidRPr="009D716B">
        <w:rPr>
          <w:rFonts w:ascii="Times New Roman" w:hAnsi="Times New Roman"/>
          <w:sz w:val="24"/>
          <w:szCs w:val="24"/>
        </w:rPr>
        <w:t>facts are not sufficient to demonstrate Tripp’s invocation of his Fifth</w:t>
      </w:r>
      <w:r>
        <w:rPr>
          <w:rFonts w:ascii="Times New Roman" w:hAnsi="Times New Roman"/>
          <w:sz w:val="24"/>
          <w:szCs w:val="24"/>
        </w:rPr>
        <w:t xml:space="preserve"> </w:t>
      </w:r>
      <w:r w:rsidRPr="009D716B">
        <w:rPr>
          <w:rFonts w:ascii="Times New Roman" w:hAnsi="Times New Roman"/>
          <w:sz w:val="24"/>
          <w:szCs w:val="24"/>
        </w:rPr>
        <w:t>Amendment right against self-incrimination.</w:t>
      </w:r>
      <w:r>
        <w:rPr>
          <w:rFonts w:ascii="Times New Roman" w:hAnsi="Times New Roman"/>
          <w:sz w:val="24"/>
          <w:szCs w:val="24"/>
        </w:rPr>
        <w:t xml:space="preserve">” </w:t>
      </w:r>
      <w:hyperlink r:id="rId2218" w:history="1">
        <w:r w:rsidRPr="00D10854">
          <w:rPr>
            <w:rStyle w:val="Hyperlink"/>
            <w:rFonts w:ascii="Times New Roman" w:hAnsi="Times New Roman"/>
            <w:sz w:val="24"/>
            <w:szCs w:val="24"/>
          </w:rPr>
          <w:t>https://www.courts.maine.gov/courts/sjc/lawcourt/2024/24me012.pdf</w:t>
        </w:r>
      </w:hyperlink>
      <w:r>
        <w:rPr>
          <w:rFonts w:ascii="Times New Roman" w:hAnsi="Times New Roman"/>
          <w:sz w:val="24"/>
          <w:szCs w:val="24"/>
        </w:rPr>
        <w:t xml:space="preserve"> </w:t>
      </w:r>
    </w:p>
    <w:p w14:paraId="18A50EE0" w14:textId="77777777" w:rsidR="00741889" w:rsidRDefault="00741889" w:rsidP="006A02A4">
      <w:pPr>
        <w:rPr>
          <w:rFonts w:ascii="Arial Black" w:hAnsi="Arial Black"/>
          <w:b/>
          <w:bCs/>
          <w:sz w:val="28"/>
          <w:szCs w:val="28"/>
        </w:rPr>
      </w:pPr>
    </w:p>
    <w:p w14:paraId="7E5707F3" w14:textId="77777777" w:rsidR="003E7DB8" w:rsidRDefault="003E7DB8" w:rsidP="003E7DB8">
      <w:pPr>
        <w:pStyle w:val="NoSpacing"/>
        <w:rPr>
          <w:rFonts w:ascii="Times New Roman" w:hAnsi="Times New Roman"/>
          <w:b/>
          <w:bCs/>
          <w:sz w:val="24"/>
          <w:szCs w:val="24"/>
        </w:rPr>
      </w:pPr>
      <w:r w:rsidRPr="006D521E">
        <w:rPr>
          <w:rFonts w:ascii="Times New Roman" w:hAnsi="Times New Roman"/>
          <w:b/>
          <w:bCs/>
          <w:sz w:val="24"/>
          <w:szCs w:val="24"/>
        </w:rPr>
        <w:t xml:space="preserve">Legal Lesson Learned: </w:t>
      </w:r>
      <w:r>
        <w:rPr>
          <w:rFonts w:ascii="Times New Roman" w:hAnsi="Times New Roman"/>
          <w:b/>
          <w:bCs/>
          <w:sz w:val="24"/>
          <w:szCs w:val="24"/>
        </w:rPr>
        <w:t xml:space="preserve">The defendant was not in custody, so there was no need to warn him of his Miranda rights. </w:t>
      </w:r>
    </w:p>
    <w:p w14:paraId="6BD8F780" w14:textId="77777777" w:rsidR="003E7DB8" w:rsidRDefault="003E7DB8" w:rsidP="003E7DB8">
      <w:pPr>
        <w:pStyle w:val="NoSpacing"/>
        <w:rPr>
          <w:rFonts w:ascii="Times New Roman" w:hAnsi="Times New Roman"/>
          <w:b/>
          <w:bCs/>
          <w:sz w:val="24"/>
          <w:szCs w:val="24"/>
        </w:rPr>
      </w:pPr>
    </w:p>
    <w:p w14:paraId="7D9BDE03" w14:textId="77777777" w:rsidR="003E7DB8" w:rsidRDefault="003E7DB8" w:rsidP="003E7DB8">
      <w:pPr>
        <w:pStyle w:val="NoSpacing"/>
        <w:ind w:left="720"/>
        <w:rPr>
          <w:rFonts w:ascii="Times New Roman" w:hAnsi="Times New Roman"/>
          <w:sz w:val="24"/>
          <w:szCs w:val="24"/>
        </w:rPr>
      </w:pPr>
      <w:r w:rsidRPr="005134A8">
        <w:rPr>
          <w:rFonts w:ascii="Times New Roman" w:hAnsi="Times New Roman"/>
          <w:sz w:val="24"/>
          <w:szCs w:val="24"/>
        </w:rPr>
        <w:t xml:space="preserve">Note: </w:t>
      </w:r>
      <w:r>
        <w:rPr>
          <w:rFonts w:ascii="Times New Roman" w:hAnsi="Times New Roman"/>
          <w:sz w:val="24"/>
          <w:szCs w:val="24"/>
        </w:rPr>
        <w:t xml:space="preserve">Many states, including Maine, have adopted laws to protect individual using drugs to call 911 to get help for overdose of another.  The Maine Supreme Court in this case agreed with trial court judge – the immunity statute does not protect a drug dealer who calls 911. </w:t>
      </w:r>
    </w:p>
    <w:p w14:paraId="5FA10450" w14:textId="77777777" w:rsidR="003E7DB8" w:rsidRDefault="003E7DB8" w:rsidP="003E7DB8">
      <w:pPr>
        <w:pStyle w:val="NoSpacing"/>
        <w:ind w:left="720"/>
        <w:rPr>
          <w:rFonts w:ascii="Times New Roman" w:hAnsi="Times New Roman"/>
          <w:sz w:val="24"/>
          <w:szCs w:val="24"/>
        </w:rPr>
      </w:pPr>
    </w:p>
    <w:p w14:paraId="3F2F4834" w14:textId="77777777" w:rsidR="003E7DB8" w:rsidRPr="005134A8" w:rsidRDefault="003E7DB8" w:rsidP="003E7DB8">
      <w:pPr>
        <w:pStyle w:val="NoSpacing"/>
        <w:ind w:left="720"/>
        <w:rPr>
          <w:rFonts w:ascii="Times New Roman" w:hAnsi="Times New Roman"/>
          <w:sz w:val="24"/>
          <w:szCs w:val="24"/>
        </w:rPr>
      </w:pPr>
      <w:r>
        <w:rPr>
          <w:rFonts w:ascii="Times New Roman" w:hAnsi="Times New Roman"/>
          <w:sz w:val="24"/>
          <w:szCs w:val="24"/>
        </w:rPr>
        <w:t>“</w:t>
      </w:r>
      <w:r w:rsidRPr="004C6F13">
        <w:rPr>
          <w:rFonts w:ascii="Times New Roman" w:hAnsi="Times New Roman"/>
          <w:sz w:val="24"/>
          <w:szCs w:val="24"/>
        </w:rPr>
        <w:t>If the accused, in good faith, either sought</w:t>
      </w:r>
      <w:r>
        <w:rPr>
          <w:rFonts w:ascii="Times New Roman" w:hAnsi="Times New Roman"/>
          <w:sz w:val="24"/>
          <w:szCs w:val="24"/>
        </w:rPr>
        <w:t xml:space="preserve"> </w:t>
      </w:r>
      <w:r w:rsidRPr="004C6F13">
        <w:rPr>
          <w:rFonts w:ascii="Times New Roman" w:hAnsi="Times New Roman"/>
          <w:sz w:val="24"/>
          <w:szCs w:val="24"/>
        </w:rPr>
        <w:t>medical assistance or administered naloxone for another person while that</w:t>
      </w:r>
      <w:r>
        <w:rPr>
          <w:rFonts w:ascii="Times New Roman" w:hAnsi="Times New Roman"/>
          <w:sz w:val="24"/>
          <w:szCs w:val="24"/>
        </w:rPr>
        <w:t xml:space="preserve"> </w:t>
      </w:r>
      <w:r w:rsidRPr="004C6F13">
        <w:rPr>
          <w:rFonts w:ascii="Times New Roman" w:hAnsi="Times New Roman"/>
          <w:sz w:val="24"/>
          <w:szCs w:val="24"/>
        </w:rPr>
        <w:t>person was experiencing a drug-related overdose, the accused can seek</w:t>
      </w:r>
      <w:r>
        <w:rPr>
          <w:rFonts w:ascii="Times New Roman" w:hAnsi="Times New Roman"/>
          <w:sz w:val="24"/>
          <w:szCs w:val="24"/>
        </w:rPr>
        <w:t xml:space="preserve"> </w:t>
      </w:r>
      <w:r w:rsidRPr="004C6F13">
        <w:rPr>
          <w:rFonts w:ascii="Times New Roman" w:hAnsi="Times New Roman"/>
          <w:sz w:val="24"/>
          <w:szCs w:val="24"/>
        </w:rPr>
        <w:t>immunity from arrest or prosecution only for the four enumerated crimes within</w:t>
      </w:r>
      <w:r>
        <w:rPr>
          <w:rFonts w:ascii="Times New Roman" w:hAnsi="Times New Roman"/>
          <w:sz w:val="24"/>
          <w:szCs w:val="24"/>
        </w:rPr>
        <w:t xml:space="preserve"> </w:t>
      </w:r>
      <w:r w:rsidRPr="004C6F13">
        <w:rPr>
          <w:rFonts w:ascii="Times New Roman" w:hAnsi="Times New Roman"/>
          <w:sz w:val="24"/>
          <w:szCs w:val="24"/>
        </w:rPr>
        <w:t>the statute.</w:t>
      </w:r>
      <w:r>
        <w:rPr>
          <w:rFonts w:ascii="Times New Roman" w:hAnsi="Times New Roman"/>
          <w:sz w:val="24"/>
          <w:szCs w:val="24"/>
        </w:rPr>
        <w:t xml:space="preserve"> </w:t>
      </w:r>
      <w:r w:rsidRPr="006F3039">
        <w:rPr>
          <w:rFonts w:ascii="Times New Roman" w:hAnsi="Times New Roman"/>
          <w:sz w:val="24"/>
          <w:szCs w:val="24"/>
        </w:rPr>
        <w:t>Our conclusion is further supported by considering the statute in</w:t>
      </w:r>
      <w:r>
        <w:rPr>
          <w:rFonts w:ascii="Times New Roman" w:hAnsi="Times New Roman"/>
          <w:sz w:val="24"/>
          <w:szCs w:val="24"/>
        </w:rPr>
        <w:t xml:space="preserve"> </w:t>
      </w:r>
      <w:r w:rsidRPr="006F3039">
        <w:rPr>
          <w:rFonts w:ascii="Times New Roman" w:hAnsi="Times New Roman"/>
          <w:sz w:val="24"/>
          <w:szCs w:val="24"/>
        </w:rPr>
        <w:t>the context of the statutory scheme of Chapter 45 (Drugs), which demonstrates</w:t>
      </w:r>
      <w:r>
        <w:rPr>
          <w:rFonts w:ascii="Times New Roman" w:hAnsi="Times New Roman"/>
          <w:sz w:val="24"/>
          <w:szCs w:val="24"/>
        </w:rPr>
        <w:t xml:space="preserve"> </w:t>
      </w:r>
      <w:r w:rsidRPr="006F3039">
        <w:rPr>
          <w:rFonts w:ascii="Times New Roman" w:hAnsi="Times New Roman"/>
          <w:sz w:val="24"/>
          <w:szCs w:val="24"/>
        </w:rPr>
        <w:t>that the Legislature intended to bar prosecution for crimes that are associated</w:t>
      </w:r>
      <w:r>
        <w:rPr>
          <w:rFonts w:ascii="Times New Roman" w:hAnsi="Times New Roman"/>
          <w:sz w:val="24"/>
          <w:szCs w:val="24"/>
        </w:rPr>
        <w:t xml:space="preserve"> </w:t>
      </w:r>
      <w:r w:rsidRPr="006F3039">
        <w:rPr>
          <w:rFonts w:ascii="Times New Roman" w:hAnsi="Times New Roman"/>
          <w:sz w:val="24"/>
          <w:szCs w:val="24"/>
        </w:rPr>
        <w:t>with drug use while still permitting prosecution for crimes that involve</w:t>
      </w:r>
      <w:r>
        <w:rPr>
          <w:rFonts w:ascii="Times New Roman" w:hAnsi="Times New Roman"/>
          <w:sz w:val="24"/>
          <w:szCs w:val="24"/>
        </w:rPr>
        <w:t xml:space="preserve"> </w:t>
      </w:r>
      <w:r w:rsidRPr="006F3039">
        <w:rPr>
          <w:rFonts w:ascii="Times New Roman" w:hAnsi="Times New Roman"/>
          <w:sz w:val="24"/>
          <w:szCs w:val="24"/>
        </w:rPr>
        <w:t>trafficking, furnishing, cultivating or fabricating, or importing drugs.</w:t>
      </w:r>
      <w:r>
        <w:rPr>
          <w:rFonts w:ascii="Times New Roman" w:hAnsi="Times New Roman"/>
          <w:sz w:val="24"/>
          <w:szCs w:val="24"/>
        </w:rPr>
        <w:t>”</w:t>
      </w:r>
    </w:p>
    <w:p w14:paraId="13F1D640" w14:textId="77777777" w:rsidR="003E7DB8" w:rsidRDefault="003E7DB8" w:rsidP="003E7DB8">
      <w:pPr>
        <w:spacing w:before="100" w:beforeAutospacing="1" w:after="100" w:afterAutospacing="1" w:line="240" w:lineRule="auto"/>
        <w:outlineLvl w:val="0"/>
        <w:rPr>
          <w:rFonts w:ascii="Times New Roman" w:eastAsia="Times New Roman" w:hAnsi="Times New Roman"/>
          <w:kern w:val="36"/>
          <w:sz w:val="24"/>
          <w:szCs w:val="24"/>
        </w:rPr>
      </w:pPr>
    </w:p>
    <w:p w14:paraId="2C9229B6" w14:textId="77777777" w:rsidR="003E7DB8" w:rsidRDefault="003E7DB8" w:rsidP="006A02A4">
      <w:pPr>
        <w:rPr>
          <w:rFonts w:ascii="Arial Black" w:hAnsi="Arial Black"/>
          <w:b/>
          <w:bCs/>
          <w:sz w:val="28"/>
          <w:szCs w:val="28"/>
        </w:rPr>
      </w:pPr>
    </w:p>
    <w:p w14:paraId="000FFCC5" w14:textId="77777777" w:rsidR="00741889" w:rsidRDefault="00741889" w:rsidP="006A02A4">
      <w:pPr>
        <w:rPr>
          <w:rFonts w:ascii="Arial Black" w:hAnsi="Arial Black"/>
          <w:b/>
          <w:bCs/>
          <w:sz w:val="28"/>
          <w:szCs w:val="28"/>
        </w:rPr>
      </w:pPr>
    </w:p>
    <w:p w14:paraId="1B7D8B2E" w14:textId="730ACAB8" w:rsidR="00336B00" w:rsidRDefault="00336B00" w:rsidP="006A02A4">
      <w:pPr>
        <w:rPr>
          <w:rFonts w:ascii="Arial Black" w:hAnsi="Arial Black"/>
          <w:b/>
          <w:bCs/>
          <w:sz w:val="28"/>
          <w:szCs w:val="28"/>
        </w:rPr>
      </w:pPr>
      <w:r>
        <w:rPr>
          <w:rFonts w:ascii="Arial Black" w:hAnsi="Arial Black"/>
          <w:b/>
          <w:bCs/>
          <w:sz w:val="28"/>
          <w:szCs w:val="28"/>
        </w:rPr>
        <w:t>13-167</w:t>
      </w:r>
    </w:p>
    <w:p w14:paraId="38C14EDF" w14:textId="77777777" w:rsidR="00563D38" w:rsidRDefault="00563D38" w:rsidP="00563D38">
      <w:pPr>
        <w:pStyle w:val="NormalWeb"/>
        <w:rPr>
          <w:rFonts w:ascii="Arial Black" w:hAnsi="Arial Black"/>
          <w:sz w:val="28"/>
          <w:szCs w:val="28"/>
        </w:rPr>
      </w:pPr>
      <w:r>
        <w:rPr>
          <w:rFonts w:ascii="Arial Black" w:hAnsi="Arial Black"/>
          <w:sz w:val="28"/>
          <w:szCs w:val="28"/>
        </w:rPr>
        <w:t>WA: COVID-19 – VACCINATIONS - 46 OF 192 FF REQUESTED RELIGIOUS ACCOMODATIONS – UNDUE HARDSHIP FOR FD</w:t>
      </w:r>
    </w:p>
    <w:p w14:paraId="6AFB9C7F" w14:textId="2EF868E4" w:rsidR="00563D38" w:rsidRPr="00563D38" w:rsidRDefault="00563D38" w:rsidP="00563D38">
      <w:pPr>
        <w:rPr>
          <w:rStyle w:val="Emphasis"/>
          <w:rFonts w:ascii="Times New Roman" w:hAnsi="Times New Roman"/>
          <w:i w:val="0"/>
          <w:iCs w:val="0"/>
          <w:sz w:val="24"/>
          <w:szCs w:val="24"/>
        </w:rPr>
      </w:pPr>
      <w:r w:rsidRPr="00563D38">
        <w:rPr>
          <w:rFonts w:ascii="Times New Roman" w:hAnsi="Times New Roman"/>
          <w:sz w:val="24"/>
          <w:szCs w:val="24"/>
        </w:rPr>
        <w:t>On Jan. 25, 20</w:t>
      </w:r>
      <w:r w:rsidR="00781D35">
        <w:rPr>
          <w:rFonts w:ascii="Times New Roman" w:hAnsi="Times New Roman"/>
          <w:sz w:val="24"/>
          <w:szCs w:val="24"/>
        </w:rPr>
        <w:t>2</w:t>
      </w:r>
      <w:r w:rsidRPr="00563D38">
        <w:rPr>
          <w:rFonts w:ascii="Times New Roman" w:hAnsi="Times New Roman"/>
          <w:sz w:val="24"/>
          <w:szCs w:val="24"/>
        </w:rPr>
        <w:t xml:space="preserve">4, in </w:t>
      </w:r>
      <w:r w:rsidRPr="00563D38">
        <w:rPr>
          <w:rFonts w:ascii="Times New Roman" w:hAnsi="Times New Roman"/>
          <w:sz w:val="24"/>
          <w:szCs w:val="24"/>
          <w:u w:val="single"/>
        </w:rPr>
        <w:t>David Petersen, et al. v. Snohomish Regional Fire &amp; Rescue, et al.</w:t>
      </w:r>
      <w:r w:rsidRPr="00563D38">
        <w:rPr>
          <w:rFonts w:ascii="Times New Roman" w:hAnsi="Times New Roman"/>
          <w:sz w:val="24"/>
          <w:szCs w:val="24"/>
        </w:rPr>
        <w:t xml:space="preserve">, U.S. District Court Judge Thomas S. Zilly, U.S. District Court, Western District of Washington (Seattle) granted the FD’s motion for summary judgment.  </w:t>
      </w:r>
      <w:r w:rsidRPr="00563D38">
        <w:rPr>
          <w:rStyle w:val="Emphasis"/>
          <w:rFonts w:ascii="Times New Roman" w:hAnsi="Times New Roman"/>
          <w:i w:val="0"/>
          <w:iCs w:val="0"/>
          <w:sz w:val="24"/>
          <w:szCs w:val="24"/>
        </w:rPr>
        <w:t xml:space="preserve">Employers do not need to accommodate an employee if this would create an undue hardship – with 11 stations and 192 firefighters providing fire &amp; EMS services, the FD could not safely place 46 unvaccinated firefighters in these stations. </w:t>
      </w:r>
    </w:p>
    <w:p w14:paraId="51AFAC05" w14:textId="77777777" w:rsidR="00563D38" w:rsidRPr="00563D38" w:rsidRDefault="00563D38" w:rsidP="00563D38">
      <w:pPr>
        <w:pStyle w:val="NormalWeb"/>
        <w:ind w:left="720"/>
      </w:pPr>
      <w:r w:rsidRPr="00563D38">
        <w:t>“Plaintiffs argue that masking, PPE, testing, and social distancing are accommodations that would have allowed them to continue working from October 18, 2021, to the end of April 2022, without imposing an undue hardship on Snohomish Fire. Snohomish Fire counters that allowing Plaintiffs to work while unvaccinated would have been an undue hardship even with masking, testing, PPE, and social distancing measures in place.</w:t>
      </w:r>
    </w:p>
    <w:p w14:paraId="5B672DA2" w14:textId="77777777" w:rsidR="00563D38" w:rsidRPr="00563D38" w:rsidRDefault="00563D38" w:rsidP="00563D38">
      <w:pPr>
        <w:pStyle w:val="NormalWeb"/>
        <w:ind w:left="720"/>
      </w:pPr>
      <w:r w:rsidRPr="00563D38">
        <w:t>***</w:t>
      </w:r>
    </w:p>
    <w:p w14:paraId="27DE9C1B" w14:textId="204E7652" w:rsidR="00336B00" w:rsidRPr="00563D38" w:rsidRDefault="00563D38" w:rsidP="00563D38">
      <w:pPr>
        <w:rPr>
          <w:rFonts w:ascii="Times New Roman" w:hAnsi="Times New Roman"/>
          <w:b/>
          <w:bCs/>
          <w:sz w:val="24"/>
          <w:szCs w:val="24"/>
        </w:rPr>
      </w:pPr>
      <w:r w:rsidRPr="00563D38">
        <w:rPr>
          <w:rFonts w:ascii="Times New Roman" w:hAnsi="Times New Roman"/>
          <w:sz w:val="24"/>
          <w:szCs w:val="24"/>
        </w:rPr>
        <w:t xml:space="preserve">In sum, the uncontroverted evidence in this case demonstrates that unvaccinated firefighters were at a higher risk of contracting and transmitting COVID-19 even with the use of masks, PPE, testing, and social distancing. </w:t>
      </w:r>
      <w:r w:rsidRPr="00563D38">
        <w:rPr>
          <w:rStyle w:val="Emphasis"/>
          <w:rFonts w:ascii="Times New Roman" w:hAnsi="Times New Roman"/>
          <w:sz w:val="24"/>
          <w:szCs w:val="24"/>
        </w:rPr>
        <w:t>See</w:t>
      </w:r>
      <w:r w:rsidRPr="00563D38">
        <w:rPr>
          <w:rFonts w:ascii="Times New Roman" w:hAnsi="Times New Roman"/>
          <w:sz w:val="24"/>
          <w:szCs w:val="24"/>
        </w:rPr>
        <w:t xml:space="preserve"> Lynch Decl. at ¶¶ 41, 44. Snohomish Fire informed Plaintiffs it could not accommodate their vaccination exemption requests because of the increased health risks of working as unvaccinated firefighters.” </w:t>
      </w:r>
      <w:hyperlink r:id="rId2219" w:history="1">
        <w:r w:rsidRPr="00563D38">
          <w:rPr>
            <w:rStyle w:val="Hyperlink"/>
            <w:rFonts w:ascii="Times New Roman" w:hAnsi="Times New Roman"/>
            <w:sz w:val="24"/>
            <w:szCs w:val="24"/>
          </w:rPr>
          <w:t>https://public.fastcase.com/ZZhmr5v9wN%2FXOe5IsQ%2FqDx0vrICWCRjPwrPkFejRzcL5IKaE8Rtd1E1QUMzNRkuXg4QLEVUEQQe1JZ8q921vtt1B6ovVwHeC3EtpH3EMOZQ%3D?utm_medium=email&amp;_hsmi=226712652&amp;_hsenc=p2ANqtz-</w:t>
        </w:r>
      </w:hyperlink>
    </w:p>
    <w:p w14:paraId="589F284F" w14:textId="77777777" w:rsidR="00336B00" w:rsidRDefault="00336B00" w:rsidP="006A02A4">
      <w:pPr>
        <w:rPr>
          <w:rFonts w:ascii="Arial Black" w:hAnsi="Arial Black"/>
          <w:b/>
          <w:bCs/>
          <w:sz w:val="28"/>
          <w:szCs w:val="28"/>
        </w:rPr>
      </w:pPr>
    </w:p>
    <w:p w14:paraId="0BD59D39" w14:textId="3A51365C" w:rsidR="00FC76E4" w:rsidRDefault="009F41E7" w:rsidP="006A02A4">
      <w:pPr>
        <w:rPr>
          <w:rFonts w:ascii="Arial Black" w:hAnsi="Arial Black"/>
          <w:b/>
          <w:bCs/>
          <w:sz w:val="28"/>
          <w:szCs w:val="28"/>
        </w:rPr>
      </w:pPr>
      <w:r>
        <w:rPr>
          <w:rFonts w:ascii="Arial Black" w:hAnsi="Arial Black"/>
          <w:b/>
          <w:bCs/>
          <w:sz w:val="28"/>
          <w:szCs w:val="28"/>
        </w:rPr>
        <w:t>13-166</w:t>
      </w:r>
    </w:p>
    <w:p w14:paraId="6CEC6990" w14:textId="77777777" w:rsidR="00FA2662" w:rsidRDefault="00FA2662" w:rsidP="00FA2662">
      <w:pPr>
        <w:pStyle w:val="NormalWeb"/>
        <w:rPr>
          <w:rFonts w:ascii="Arial Black" w:hAnsi="Arial Black"/>
          <w:b/>
          <w:bCs/>
          <w:sz w:val="28"/>
          <w:szCs w:val="28"/>
        </w:rPr>
      </w:pPr>
      <w:r>
        <w:rPr>
          <w:rFonts w:ascii="Arial Black" w:hAnsi="Arial Black"/>
          <w:b/>
          <w:bCs/>
          <w:sz w:val="28"/>
          <w:szCs w:val="28"/>
        </w:rPr>
        <w:t>NY: COVID-19 – FDNY - REQUEST RELIGIOUS ACCOMODATION - DENIED, HE RETIRED – CASE DISMISSED</w:t>
      </w:r>
    </w:p>
    <w:p w14:paraId="449AAAFB" w14:textId="77777777" w:rsidR="00FA2662" w:rsidRDefault="00FA2662" w:rsidP="00FA2662">
      <w:pPr>
        <w:pStyle w:val="NormalWeb"/>
      </w:pPr>
      <w:r w:rsidRPr="00CB5FAD">
        <w:t>On</w:t>
      </w:r>
      <w:r>
        <w:t xml:space="preserve"> Jan. 9, 2024, in </w:t>
      </w:r>
      <w:r w:rsidRPr="00EE2924">
        <w:rPr>
          <w:u w:val="single"/>
        </w:rPr>
        <w:t>Michael Currid v. The City of New York, et al</w:t>
      </w:r>
      <w:r>
        <w:t xml:space="preserve">., Judge Gina Abadi, New York Supreme Court, Kings County, granted the City’s motion to dismiss (unpublished decision).  The plaintiff served with the FDNY from about 1998 through April 19, 2022. On or around October 27. 2021, following the issuance of the COVID-19 vaccine mandate for City employees, plaintiff applied for a religious accommodation, which was denied by the FD </w:t>
      </w:r>
      <w:r w:rsidRPr="00941E84">
        <w:t>(January 6, 2022)</w:t>
      </w:r>
      <w:r>
        <w:rPr>
          <w:b/>
          <w:bCs/>
        </w:rPr>
        <w:t xml:space="preserve"> </w:t>
      </w:r>
      <w:r>
        <w:t xml:space="preserve">and his appeal to the City was also denied (March 17, 2022). The Court rejected his claim that he was “constructively discharged” because of intolerable working conditions. </w:t>
      </w:r>
    </w:p>
    <w:p w14:paraId="7C9E27C9" w14:textId="77777777" w:rsidR="00FA2662" w:rsidRPr="00C72E80" w:rsidRDefault="00FA2662" w:rsidP="00FA2662">
      <w:pPr>
        <w:pStyle w:val="NoSpacing"/>
        <w:ind w:left="720"/>
        <w:rPr>
          <w:rFonts w:ascii="Times New Roman" w:hAnsi="Times New Roman"/>
          <w:sz w:val="24"/>
          <w:szCs w:val="24"/>
        </w:rPr>
      </w:pPr>
      <w:r>
        <w:rPr>
          <w:rFonts w:ascii="Times New Roman" w:hAnsi="Times New Roman"/>
          <w:sz w:val="24"/>
          <w:szCs w:val="24"/>
        </w:rPr>
        <w:t>“</w:t>
      </w:r>
      <w:r w:rsidRPr="00C72E80">
        <w:rPr>
          <w:rFonts w:ascii="Times New Roman" w:hAnsi="Times New Roman"/>
          <w:sz w:val="24"/>
          <w:szCs w:val="24"/>
        </w:rPr>
        <w:t xml:space="preserve">In his verified complaint, plaintiff does not set factual allegations regarding a conflict between the vaccine mandate and his bona fide religious beliefs. Further, while plaintiff alleges that he was threatened with termination in the event he failed to receive the vaccine, there is no allegation that plaintiff was </w:t>
      </w:r>
      <w:proofErr w:type="gramStart"/>
      <w:r w:rsidRPr="00C72E80">
        <w:rPr>
          <w:rFonts w:ascii="Times New Roman" w:hAnsi="Times New Roman"/>
          <w:sz w:val="24"/>
          <w:szCs w:val="24"/>
        </w:rPr>
        <w:t>actually terminated</w:t>
      </w:r>
      <w:proofErr w:type="gramEnd"/>
      <w:r w:rsidRPr="00C72E80">
        <w:rPr>
          <w:rFonts w:ascii="Times New Roman" w:hAnsi="Times New Roman"/>
          <w:sz w:val="24"/>
          <w:szCs w:val="24"/>
        </w:rPr>
        <w:t xml:space="preserve"> or otherwise disciplined. Rather, it is not in dispute that plaintiff retired from service. </w:t>
      </w:r>
      <w:proofErr w:type="gramStart"/>
      <w:r w:rsidRPr="00C72E80">
        <w:rPr>
          <w:rFonts w:ascii="Times New Roman" w:hAnsi="Times New Roman"/>
          <w:sz w:val="24"/>
          <w:szCs w:val="24"/>
        </w:rPr>
        <w:t>Plaintiffs</w:t>
      </w:r>
      <w:proofErr w:type="gramEnd"/>
      <w:r w:rsidRPr="00C72E80">
        <w:rPr>
          <w:rFonts w:ascii="Times New Roman" w:hAnsi="Times New Roman"/>
          <w:sz w:val="24"/>
          <w:szCs w:val="24"/>
        </w:rPr>
        <w:t xml:space="preserve"> contention that his retirement amounts to a </w:t>
      </w:r>
      <w:r>
        <w:rPr>
          <w:rFonts w:ascii="Times New Roman" w:hAnsi="Times New Roman"/>
          <w:sz w:val="24"/>
          <w:szCs w:val="24"/>
        </w:rPr>
        <w:t>c</w:t>
      </w:r>
      <w:r w:rsidRPr="00C72E80">
        <w:rPr>
          <w:rFonts w:ascii="Times New Roman" w:hAnsi="Times New Roman"/>
          <w:sz w:val="24"/>
          <w:szCs w:val="24"/>
        </w:rPr>
        <w:t xml:space="preserve">onstructive </w:t>
      </w:r>
      <w:proofErr w:type="gramStart"/>
      <w:r w:rsidRPr="00C72E80">
        <w:rPr>
          <w:rFonts w:ascii="Times New Roman" w:hAnsi="Times New Roman"/>
          <w:sz w:val="24"/>
          <w:szCs w:val="24"/>
        </w:rPr>
        <w:t>discharge</w:t>
      </w:r>
      <w:proofErr w:type="gramEnd"/>
      <w:r w:rsidRPr="00C72E80">
        <w:rPr>
          <w:rFonts w:ascii="Times New Roman" w:hAnsi="Times New Roman"/>
          <w:sz w:val="24"/>
          <w:szCs w:val="24"/>
        </w:rPr>
        <w:t xml:space="preserve"> or termination is unavailing since plaintiff does not allege facts showing that the FDNY </w:t>
      </w:r>
      <w:r>
        <w:rPr>
          <w:rFonts w:ascii="Times New Roman" w:hAnsi="Times New Roman"/>
          <w:sz w:val="24"/>
          <w:szCs w:val="24"/>
        </w:rPr>
        <w:t>‘</w:t>
      </w:r>
      <w:r w:rsidRPr="00C72E80">
        <w:rPr>
          <w:rFonts w:ascii="Times New Roman" w:hAnsi="Times New Roman"/>
          <w:sz w:val="24"/>
          <w:szCs w:val="24"/>
        </w:rPr>
        <w:t>deliberately created working conditions so intolerable, difficult or unpleasant that a reasonable person would have felt compelled to resign.</w:t>
      </w:r>
      <w:r>
        <w:rPr>
          <w:rFonts w:ascii="Times New Roman" w:hAnsi="Times New Roman"/>
          <w:sz w:val="24"/>
          <w:szCs w:val="24"/>
        </w:rPr>
        <w:t>’</w:t>
      </w:r>
      <w:r w:rsidRPr="00C72E80">
        <w:rPr>
          <w:rFonts w:ascii="Times New Roman" w:hAnsi="Times New Roman"/>
          <w:sz w:val="24"/>
          <w:szCs w:val="24"/>
        </w:rPr>
        <w:t xml:space="preserve"> </w:t>
      </w:r>
      <w:r w:rsidRPr="00C72E80">
        <w:rPr>
          <w:rStyle w:val="Emphasis"/>
          <w:sz w:val="24"/>
          <w:szCs w:val="24"/>
        </w:rPr>
        <w:t>Mascola v City Univ, of N.Y,</w:t>
      </w:r>
      <w:r w:rsidRPr="00C72E80">
        <w:rPr>
          <w:rFonts w:ascii="Times New Roman" w:hAnsi="Times New Roman"/>
          <w:sz w:val="24"/>
          <w:szCs w:val="24"/>
        </w:rPr>
        <w:t xml:space="preserve"> 14 A.D.3d 409, 410 (1st Dept 2010).</w:t>
      </w:r>
      <w:r>
        <w:rPr>
          <w:rFonts w:ascii="Times New Roman" w:hAnsi="Times New Roman"/>
          <w:sz w:val="24"/>
          <w:szCs w:val="24"/>
        </w:rPr>
        <w:t xml:space="preserve">” </w:t>
      </w:r>
      <w:hyperlink r:id="rId2220" w:history="1">
        <w:r w:rsidRPr="00665549">
          <w:rPr>
            <w:rStyle w:val="Hyperlink"/>
            <w:rFonts w:ascii="Times New Roman" w:hAnsi="Times New Roman"/>
            <w:sz w:val="24"/>
            <w:szCs w:val="24"/>
          </w:rPr>
          <w:t>https://casetext.com/case/currid-v-the-city-of-new-york</w:t>
        </w:r>
      </w:hyperlink>
      <w:r>
        <w:rPr>
          <w:rFonts w:ascii="Times New Roman" w:hAnsi="Times New Roman"/>
          <w:sz w:val="24"/>
          <w:szCs w:val="24"/>
        </w:rPr>
        <w:t xml:space="preserve"> </w:t>
      </w:r>
    </w:p>
    <w:p w14:paraId="37AEB9C2" w14:textId="77777777" w:rsidR="00295D7B" w:rsidRPr="005F3052" w:rsidRDefault="00295D7B" w:rsidP="00295D7B">
      <w:pPr>
        <w:pStyle w:val="Heading1"/>
        <w:rPr>
          <w:sz w:val="24"/>
          <w:szCs w:val="24"/>
        </w:rPr>
      </w:pPr>
      <w:r w:rsidRPr="005F3052">
        <w:rPr>
          <w:sz w:val="24"/>
          <w:szCs w:val="24"/>
        </w:rPr>
        <w:t xml:space="preserve">Legal Lesson Learned: FDNY set up a COVID-19 religious accommodation appeal process that was fair. </w:t>
      </w:r>
    </w:p>
    <w:p w14:paraId="2FE4D4F5" w14:textId="77777777" w:rsidR="009F41E7" w:rsidRDefault="009F41E7" w:rsidP="006A02A4">
      <w:pPr>
        <w:rPr>
          <w:rFonts w:ascii="Arial Black" w:hAnsi="Arial Black"/>
          <w:b/>
          <w:bCs/>
          <w:sz w:val="28"/>
          <w:szCs w:val="28"/>
        </w:rPr>
      </w:pPr>
    </w:p>
    <w:p w14:paraId="0CD16A42" w14:textId="77777777" w:rsidR="009F41E7" w:rsidRDefault="009F41E7" w:rsidP="006A02A4">
      <w:pPr>
        <w:rPr>
          <w:rFonts w:ascii="Arial Black" w:hAnsi="Arial Black"/>
          <w:b/>
          <w:bCs/>
          <w:sz w:val="28"/>
          <w:szCs w:val="28"/>
        </w:rPr>
      </w:pPr>
    </w:p>
    <w:p w14:paraId="107C3105" w14:textId="77777777" w:rsidR="009F41E7" w:rsidRDefault="009F41E7" w:rsidP="006A02A4">
      <w:pPr>
        <w:rPr>
          <w:rFonts w:ascii="Arial Black" w:hAnsi="Arial Black"/>
          <w:b/>
          <w:bCs/>
          <w:sz w:val="28"/>
          <w:szCs w:val="28"/>
        </w:rPr>
      </w:pPr>
    </w:p>
    <w:p w14:paraId="3BF403FF" w14:textId="3139286A" w:rsidR="00FC76E4" w:rsidRDefault="00FC76E4" w:rsidP="006A02A4">
      <w:pPr>
        <w:rPr>
          <w:rFonts w:ascii="Arial Black" w:hAnsi="Arial Black"/>
          <w:b/>
          <w:bCs/>
          <w:sz w:val="28"/>
          <w:szCs w:val="28"/>
        </w:rPr>
      </w:pPr>
      <w:r>
        <w:rPr>
          <w:rFonts w:ascii="Arial Black" w:hAnsi="Arial Black"/>
          <w:b/>
          <w:bCs/>
          <w:sz w:val="28"/>
          <w:szCs w:val="28"/>
        </w:rPr>
        <w:t>13-165</w:t>
      </w:r>
    </w:p>
    <w:p w14:paraId="5B9F5446" w14:textId="77777777" w:rsidR="00DB4BC6" w:rsidRPr="00AF3602" w:rsidRDefault="00DB4BC6" w:rsidP="00DB4BC6">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MA: EMT - BACKGROUND CHECK – HIRED, 1 YR. RESIGNED – NO ACTUAL DAMAGES - CAN SUE BACKGROUND CHECK CO. </w:t>
      </w:r>
    </w:p>
    <w:p w14:paraId="0A70FB57" w14:textId="77777777" w:rsidR="00DB4BC6" w:rsidRPr="004766E1" w:rsidRDefault="00DB4BC6" w:rsidP="00DB4BC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Jan. 8, 2024, in </w:t>
      </w:r>
      <w:r w:rsidRPr="00B71A45">
        <w:rPr>
          <w:rFonts w:ascii="Times New Roman" w:hAnsi="Times New Roman"/>
          <w:sz w:val="24"/>
          <w:szCs w:val="24"/>
          <w:u w:val="single"/>
        </w:rPr>
        <w:t xml:space="preserve">Nicole Kenn v. </w:t>
      </w:r>
      <w:proofErr w:type="spellStart"/>
      <w:r w:rsidRPr="00B71A45">
        <w:rPr>
          <w:rFonts w:ascii="Times New Roman" w:hAnsi="Times New Roman"/>
          <w:sz w:val="24"/>
          <w:szCs w:val="24"/>
          <w:u w:val="single"/>
        </w:rPr>
        <w:t>Eascare</w:t>
      </w:r>
      <w:proofErr w:type="spellEnd"/>
      <w:r w:rsidRPr="00B71A45">
        <w:rPr>
          <w:rFonts w:ascii="Times New Roman" w:hAnsi="Times New Roman"/>
          <w:sz w:val="24"/>
          <w:szCs w:val="24"/>
          <w:u w:val="single"/>
        </w:rPr>
        <w:t>, LLC</w:t>
      </w:r>
      <w:r>
        <w:rPr>
          <w:rFonts w:ascii="Times New Roman" w:hAnsi="Times New Roman"/>
          <w:sz w:val="24"/>
          <w:szCs w:val="24"/>
        </w:rPr>
        <w:t xml:space="preserve">., the Appeals Court of Massachusetts (Norfolk) held (3 to 0) that even if the EMT has not suffered any actual damages (she was hired as an EMT), she still has standing to sue the background check company in state court for nominal damages, between $100 and $100 under the federal </w:t>
      </w:r>
      <w:r w:rsidRPr="000B6CE8">
        <w:rPr>
          <w:rFonts w:ascii="Times New Roman" w:hAnsi="Times New Roman"/>
          <w:sz w:val="24"/>
          <w:szCs w:val="24"/>
        </w:rPr>
        <w:t>Fair Credit Reporting Act, 15 U.S.C. §§ 1681-1681w (FCRA)</w:t>
      </w:r>
      <w:r>
        <w:rPr>
          <w:rFonts w:ascii="Times New Roman" w:hAnsi="Times New Roman"/>
          <w:sz w:val="24"/>
          <w:szCs w:val="24"/>
        </w:rPr>
        <w:t>.  The EMT signed an authorization form entitled “</w:t>
      </w:r>
      <w:r w:rsidRPr="004766E1">
        <w:rPr>
          <w:rFonts w:ascii="Times New Roman" w:hAnsi="Times New Roman"/>
          <w:sz w:val="24"/>
          <w:szCs w:val="24"/>
        </w:rPr>
        <w:t>Consumer Report</w:t>
      </w:r>
      <w:r>
        <w:rPr>
          <w:rFonts w:ascii="Times New Roman" w:hAnsi="Times New Roman"/>
          <w:sz w:val="24"/>
          <w:szCs w:val="24"/>
        </w:rPr>
        <w:t xml:space="preserve"> </w:t>
      </w:r>
      <w:r w:rsidRPr="004766E1">
        <w:rPr>
          <w:rFonts w:ascii="Times New Roman" w:hAnsi="Times New Roman"/>
          <w:sz w:val="24"/>
          <w:szCs w:val="24"/>
        </w:rPr>
        <w:t>/</w:t>
      </w:r>
      <w:r>
        <w:rPr>
          <w:rFonts w:ascii="Times New Roman" w:hAnsi="Times New Roman"/>
          <w:sz w:val="24"/>
          <w:szCs w:val="24"/>
        </w:rPr>
        <w:t xml:space="preserve"> </w:t>
      </w:r>
      <w:r w:rsidRPr="004766E1">
        <w:rPr>
          <w:rFonts w:ascii="Times New Roman" w:hAnsi="Times New Roman"/>
          <w:sz w:val="24"/>
          <w:szCs w:val="24"/>
        </w:rPr>
        <w:t>Investigative Consumer Report Disclosure and Release of Information Authorization</w:t>
      </w:r>
      <w:proofErr w:type="gramStart"/>
      <w:r>
        <w:rPr>
          <w:rFonts w:ascii="Times New Roman" w:hAnsi="Times New Roman"/>
          <w:sz w:val="24"/>
          <w:szCs w:val="24"/>
        </w:rPr>
        <w:t>”</w:t>
      </w:r>
      <w:proofErr w:type="gramEnd"/>
      <w:r>
        <w:rPr>
          <w:rFonts w:ascii="Times New Roman" w:hAnsi="Times New Roman"/>
          <w:sz w:val="24"/>
          <w:szCs w:val="24"/>
        </w:rPr>
        <w:t xml:space="preserve"> but she is now claiming that in the form there was no clear listing that a consumer report was to be obtained. </w:t>
      </w:r>
    </w:p>
    <w:p w14:paraId="2B670063" w14:textId="77777777" w:rsidR="00DB4BC6" w:rsidRDefault="00DB4BC6" w:rsidP="00DB4BC6">
      <w:pPr>
        <w:pStyle w:val="NormalWeb"/>
        <w:ind w:left="720"/>
      </w:pPr>
      <w:r>
        <w:t xml:space="preserve">“Although the plaintiff may not be able to articulate concrete, actual damages arising from </w:t>
      </w:r>
      <w:proofErr w:type="spellStart"/>
      <w:r>
        <w:t>Eascare</w:t>
      </w:r>
      <w:proofErr w:type="spellEnd"/>
      <w:r>
        <w:t xml:space="preserve"> obtaining her consumer report by using a noncompliant disclosure form and requiring her to agree to a release of liability in addition to a background check, the FCRA liability provision recognizes that the injury to the consumer may not be measurable. Thus, in an action for a willful violation, the statute provides for the option of the plaintiff recovering actual </w:t>
      </w:r>
      <w:proofErr w:type="gramStart"/>
      <w:r>
        <w:t>damages</w:t>
      </w:r>
      <w:proofErr w:type="gramEnd"/>
      <w:r>
        <w:t xml:space="preserve"> caused by the FCRA violation or, if the plaintiff cannot prove actual damages, nominal damages between $100 and $1,000. See 15 U.S.C. § 1681n(a)(1)(A). In this regard, the plaintiff's allegation of </w:t>
      </w:r>
      <w:proofErr w:type="spellStart"/>
      <w:r>
        <w:t>Eascare's</w:t>
      </w:r>
      <w:proofErr w:type="spellEnd"/>
      <w:r>
        <w:t xml:space="preserve"> willfulness is critical, as the cause of action for a negligent violation, by contrast, does require a showing of actual damages. See 15 U.S.C. § 1681o(a)(1).” </w:t>
      </w:r>
    </w:p>
    <w:p w14:paraId="2986B041" w14:textId="77777777" w:rsidR="00DB4BC6" w:rsidRDefault="00DB4BC6" w:rsidP="00DB4BC6">
      <w:pPr>
        <w:pStyle w:val="NormalWeb"/>
        <w:ind w:firstLine="720"/>
      </w:pPr>
      <w:r>
        <w:t>***</w:t>
      </w:r>
    </w:p>
    <w:p w14:paraId="2F2482BC" w14:textId="77777777" w:rsidR="00DB4BC6" w:rsidRDefault="00DB4BC6" w:rsidP="00DB4BC6">
      <w:pPr>
        <w:pStyle w:val="NormalWeb"/>
        <w:ind w:left="720"/>
        <w:rPr>
          <w:vertAlign w:val="superscript"/>
        </w:rPr>
      </w:pPr>
      <w:r>
        <w:t xml:space="preserve">Here, the plaintiff has plausibly alleged liability </w:t>
      </w:r>
      <w:proofErr w:type="gramStart"/>
      <w:r>
        <w:t>of</w:t>
      </w:r>
      <w:proofErr w:type="gramEnd"/>
      <w:r>
        <w:t xml:space="preserve"> </w:t>
      </w:r>
      <w:proofErr w:type="spellStart"/>
      <w:r>
        <w:t>Eascare</w:t>
      </w:r>
      <w:proofErr w:type="spellEnd"/>
      <w:r>
        <w:t xml:space="preserve"> for FCRA violations and an entitlement to damages if she prevails. The judgment dismissing the plaintiff's FCRA claims for lack of standing is vacated, and the plaintiff may proceed on her claims in the Superior Court.” </w:t>
      </w:r>
      <w:hyperlink r:id="rId2221" w:history="1">
        <w:r w:rsidRPr="00A46316">
          <w:rPr>
            <w:rStyle w:val="Hyperlink"/>
          </w:rPr>
          <w:t>https://casetext.com/case/kenn-v-eascare-llc-1</w:t>
        </w:r>
      </w:hyperlink>
      <w:r>
        <w:t xml:space="preserve"> </w:t>
      </w:r>
    </w:p>
    <w:p w14:paraId="595C6165" w14:textId="77777777" w:rsidR="009F41E7" w:rsidRDefault="009F41E7" w:rsidP="009F41E7">
      <w:pPr>
        <w:pStyle w:val="NormalWeb"/>
        <w:rPr>
          <w:b/>
          <w:bCs/>
        </w:rPr>
      </w:pPr>
      <w:r w:rsidRPr="008035CB">
        <w:rPr>
          <w:b/>
          <w:bCs/>
        </w:rPr>
        <w:t>Legal Lesson Learned:</w:t>
      </w:r>
      <w:r>
        <w:rPr>
          <w:b/>
          <w:bCs/>
        </w:rPr>
        <w:t xml:space="preserve">  The EMS agency in this case was not sued.  EMS and Fire agencies that use background check companies should require the company to defend and indemnify the agency for any alleged violations of the FCRA. </w:t>
      </w:r>
    </w:p>
    <w:p w14:paraId="48115494" w14:textId="77777777" w:rsidR="009F41E7" w:rsidRPr="008035CB" w:rsidRDefault="009F41E7" w:rsidP="009F41E7">
      <w:pPr>
        <w:pStyle w:val="NormalWeb"/>
        <w:ind w:left="720"/>
        <w:rPr>
          <w:b/>
          <w:bCs/>
        </w:rPr>
      </w:pPr>
      <w:r w:rsidRPr="00AE333A">
        <w:t xml:space="preserve">Note: In Ohio, Fire Chiefs of township or fire district can have state conduct criminal history </w:t>
      </w:r>
      <w:proofErr w:type="gramStart"/>
      <w:r w:rsidRPr="00AE333A">
        <w:t>check</w:t>
      </w:r>
      <w:proofErr w:type="gramEnd"/>
      <w:r w:rsidRPr="00AE333A">
        <w:t xml:space="preserve">. </w:t>
      </w:r>
      <w:r>
        <w:t xml:space="preserve">See </w:t>
      </w:r>
      <w:hyperlink r:id="rId2222" w:history="1">
        <w:r w:rsidRPr="00A46316">
          <w:rPr>
            <w:rStyle w:val="Hyperlink"/>
          </w:rPr>
          <w:t>https://codes.ohio.gov/ohio-revised-code/section-505.381</w:t>
        </w:r>
      </w:hyperlink>
      <w:r>
        <w:t xml:space="preserve"> “(A) The fire chief of a township or fire district may request the superintendent of BCII to conduct a criminal records check with respect to any person who is under consideration for appointment or employment as a permanent, full-time paid firefighter or any person who is under consideration for appointment as a volunteer firefighter.”</w:t>
      </w:r>
    </w:p>
    <w:p w14:paraId="692598A4" w14:textId="77777777" w:rsidR="00FC76E4" w:rsidRDefault="00FC76E4" w:rsidP="006A02A4">
      <w:pPr>
        <w:rPr>
          <w:rFonts w:ascii="Arial Black" w:hAnsi="Arial Black"/>
          <w:b/>
          <w:bCs/>
          <w:sz w:val="28"/>
          <w:szCs w:val="28"/>
        </w:rPr>
      </w:pPr>
    </w:p>
    <w:p w14:paraId="061E6D67" w14:textId="77777777" w:rsidR="00FC76E4" w:rsidRDefault="00FC76E4" w:rsidP="006A02A4">
      <w:pPr>
        <w:rPr>
          <w:rFonts w:ascii="Arial Black" w:hAnsi="Arial Black"/>
          <w:b/>
          <w:bCs/>
          <w:sz w:val="28"/>
          <w:szCs w:val="28"/>
        </w:rPr>
      </w:pPr>
    </w:p>
    <w:p w14:paraId="5B0653D8" w14:textId="1B4A229C" w:rsidR="009B2B57" w:rsidRDefault="009B2B57" w:rsidP="006A02A4">
      <w:pPr>
        <w:rPr>
          <w:rFonts w:ascii="Arial Black" w:hAnsi="Arial Black"/>
          <w:b/>
          <w:bCs/>
          <w:sz w:val="28"/>
          <w:szCs w:val="28"/>
        </w:rPr>
      </w:pPr>
      <w:r>
        <w:rPr>
          <w:rFonts w:ascii="Arial Black" w:hAnsi="Arial Black"/>
          <w:b/>
          <w:bCs/>
          <w:sz w:val="28"/>
          <w:szCs w:val="28"/>
        </w:rPr>
        <w:t>13-164</w:t>
      </w:r>
    </w:p>
    <w:p w14:paraId="4FE0F1CE" w14:textId="77777777" w:rsidR="00715650" w:rsidRPr="002436E5" w:rsidRDefault="00715650" w:rsidP="00715650">
      <w:pPr>
        <w:pStyle w:val="NormalWeb"/>
        <w:rPr>
          <w:rFonts w:ascii="Arial Black" w:hAnsi="Arial Black"/>
          <w:b/>
          <w:bCs/>
          <w:sz w:val="28"/>
          <w:szCs w:val="28"/>
        </w:rPr>
      </w:pPr>
      <w:r w:rsidRPr="002436E5">
        <w:rPr>
          <w:rFonts w:ascii="Arial Black" w:hAnsi="Arial Black"/>
          <w:b/>
          <w:bCs/>
          <w:sz w:val="28"/>
          <w:szCs w:val="28"/>
        </w:rPr>
        <w:t>NY</w:t>
      </w:r>
      <w:r>
        <w:rPr>
          <w:rFonts w:ascii="Arial Black" w:hAnsi="Arial Black"/>
          <w:b/>
          <w:bCs/>
          <w:sz w:val="28"/>
          <w:szCs w:val="28"/>
        </w:rPr>
        <w:t xml:space="preserve">: </w:t>
      </w:r>
      <w:r w:rsidRPr="002436E5">
        <w:rPr>
          <w:rFonts w:ascii="Arial Black" w:hAnsi="Arial Black"/>
          <w:b/>
          <w:bCs/>
          <w:sz w:val="28"/>
          <w:szCs w:val="28"/>
        </w:rPr>
        <w:t xml:space="preserve">TOWN </w:t>
      </w:r>
      <w:r>
        <w:rPr>
          <w:rFonts w:ascii="Arial Black" w:hAnsi="Arial Black"/>
          <w:b/>
          <w:bCs/>
          <w:sz w:val="28"/>
          <w:szCs w:val="28"/>
        </w:rPr>
        <w:t xml:space="preserve">DIDN’T RENEW </w:t>
      </w:r>
      <w:r w:rsidRPr="002436E5">
        <w:rPr>
          <w:rFonts w:ascii="Arial Black" w:hAnsi="Arial Black"/>
          <w:b/>
          <w:bCs/>
          <w:sz w:val="28"/>
          <w:szCs w:val="28"/>
        </w:rPr>
        <w:t xml:space="preserve"> </w:t>
      </w:r>
      <w:r>
        <w:rPr>
          <w:rFonts w:ascii="Arial Black" w:hAnsi="Arial Black"/>
          <w:b/>
          <w:bCs/>
          <w:sz w:val="28"/>
          <w:szCs w:val="28"/>
        </w:rPr>
        <w:t xml:space="preserve">VOL. </w:t>
      </w:r>
      <w:r w:rsidRPr="002436E5">
        <w:rPr>
          <w:rFonts w:ascii="Arial Black" w:hAnsi="Arial Black"/>
          <w:b/>
          <w:bCs/>
          <w:sz w:val="28"/>
          <w:szCs w:val="28"/>
        </w:rPr>
        <w:t>AMBUL</w:t>
      </w:r>
      <w:r>
        <w:rPr>
          <w:rFonts w:ascii="Arial Black" w:hAnsi="Arial Black"/>
          <w:b/>
          <w:bCs/>
          <w:sz w:val="28"/>
          <w:szCs w:val="28"/>
        </w:rPr>
        <w:t xml:space="preserve">. CO. – SLOW RESPONSE TIMES / NO PAID CREWS - </w:t>
      </w:r>
      <w:r w:rsidRPr="002436E5">
        <w:rPr>
          <w:rFonts w:ascii="Arial Black" w:hAnsi="Arial Black"/>
          <w:b/>
          <w:bCs/>
          <w:sz w:val="28"/>
          <w:szCs w:val="28"/>
        </w:rPr>
        <w:t>60 DAYS NOTICE</w:t>
      </w:r>
    </w:p>
    <w:p w14:paraId="03A954E4" w14:textId="66DEB331" w:rsidR="00715650" w:rsidRPr="00030936" w:rsidRDefault="00715650" w:rsidP="00715650">
      <w:pPr>
        <w:pStyle w:val="NoSpacing"/>
        <w:rPr>
          <w:rFonts w:ascii="Times New Roman" w:hAnsi="Times New Roman"/>
          <w:sz w:val="24"/>
          <w:szCs w:val="24"/>
        </w:rPr>
      </w:pPr>
      <w:r w:rsidRPr="00030936">
        <w:rPr>
          <w:rFonts w:ascii="Times New Roman" w:hAnsi="Times New Roman"/>
          <w:sz w:val="24"/>
          <w:szCs w:val="24"/>
        </w:rPr>
        <w:t xml:space="preserve">On Dec. 28, 2023, in </w:t>
      </w:r>
      <w:r w:rsidRPr="00030936">
        <w:rPr>
          <w:rFonts w:ascii="Times New Roman" w:hAnsi="Times New Roman"/>
          <w:sz w:val="24"/>
          <w:szCs w:val="24"/>
          <w:u w:val="single"/>
        </w:rPr>
        <w:t>Rampo Valley Ambulance Corps, Inc., et al. v. Town of Rampo, et al</w:t>
      </w:r>
      <w:r w:rsidRPr="00030936">
        <w:rPr>
          <w:rFonts w:ascii="Times New Roman" w:hAnsi="Times New Roman"/>
          <w:sz w:val="24"/>
          <w:szCs w:val="24"/>
        </w:rPr>
        <w:t xml:space="preserve">., United States District Court Judge Phillip M. Haper, Southern District of New York, granted the Town’s motion to dismiss the May 11, </w:t>
      </w:r>
      <w:proofErr w:type="gramStart"/>
      <w:r w:rsidRPr="00030936">
        <w:rPr>
          <w:rFonts w:ascii="Times New Roman" w:hAnsi="Times New Roman"/>
          <w:sz w:val="24"/>
          <w:szCs w:val="24"/>
        </w:rPr>
        <w:t>2022</w:t>
      </w:r>
      <w:proofErr w:type="gramEnd"/>
      <w:r w:rsidRPr="00030936">
        <w:rPr>
          <w:rFonts w:ascii="Times New Roman" w:hAnsi="Times New Roman"/>
          <w:sz w:val="24"/>
          <w:szCs w:val="24"/>
        </w:rPr>
        <w:t xml:space="preserve"> lawsuit. The Court wrote: “The Agreement did not protect RVAC from the Town's revocation of a status. *** However, the Court has already found in the procedural due process context that RVAC does not have a constitutionally protected property interest derived from the Agreement. *** Here, RVAC alleges that the Town “controlled the billing, dispatching, payments, and staffing of RVAC, and</w:t>
      </w:r>
      <w:r w:rsidR="00780354">
        <w:rPr>
          <w:rFonts w:ascii="Times New Roman" w:hAnsi="Times New Roman"/>
          <w:sz w:val="24"/>
          <w:szCs w:val="24"/>
        </w:rPr>
        <w:t xml:space="preserve"> </w:t>
      </w:r>
      <w:r w:rsidRPr="00030936">
        <w:rPr>
          <w:rFonts w:ascii="Times New Roman" w:hAnsi="Times New Roman"/>
          <w:sz w:val="24"/>
          <w:szCs w:val="24"/>
        </w:rPr>
        <w:t xml:space="preserve">did so in a wholly different and in a discriminatory manner than the way the Town executed its contracts and requirements, as well as, managing relationships with and for the other ambulance corporations servicing the people of Ramapo.” (Opp. at 21). This conduct, even in the context of  providing emergency medical services, does not amount to conduct that is so ‘truly brutal and offensive to human dignity’ as to shock the </w:t>
      </w:r>
      <w:proofErr w:type="gramStart"/>
      <w:r w:rsidRPr="00030936">
        <w:rPr>
          <w:rFonts w:ascii="Times New Roman" w:hAnsi="Times New Roman"/>
          <w:sz w:val="24"/>
          <w:szCs w:val="24"/>
        </w:rPr>
        <w:t>conscience.”</w:t>
      </w:r>
      <w:proofErr w:type="gramEnd"/>
      <w:r w:rsidRPr="00030936">
        <w:rPr>
          <w:rFonts w:ascii="Times New Roman" w:hAnsi="Times New Roman"/>
          <w:sz w:val="24"/>
          <w:szCs w:val="24"/>
        </w:rPr>
        <w:t xml:space="preserve"> </w:t>
      </w:r>
      <w:hyperlink r:id="rId2223" w:history="1">
        <w:r w:rsidRPr="00030936">
          <w:rPr>
            <w:rStyle w:val="Hyperlink"/>
            <w:rFonts w:ascii="Times New Roman" w:hAnsi="Times New Roman"/>
            <w:sz w:val="24"/>
            <w:szCs w:val="24"/>
          </w:rPr>
          <w:t>https://cases.justia.com/federal/district-courts/new-york/nysdce/7:2022cv04047/580058/37/0.pdf?ts=1703868116</w:t>
        </w:r>
      </w:hyperlink>
      <w:r w:rsidRPr="00030936">
        <w:rPr>
          <w:rFonts w:ascii="Times New Roman" w:hAnsi="Times New Roman"/>
          <w:sz w:val="24"/>
          <w:szCs w:val="24"/>
        </w:rPr>
        <w:t xml:space="preserve"> </w:t>
      </w:r>
    </w:p>
    <w:p w14:paraId="7A2D51A3" w14:textId="77777777" w:rsidR="007C5017" w:rsidRPr="009715E3" w:rsidRDefault="007C5017" w:rsidP="007C5017">
      <w:pPr>
        <w:pStyle w:val="NormalWeb"/>
        <w:rPr>
          <w:b/>
          <w:bCs/>
        </w:rPr>
      </w:pPr>
      <w:r w:rsidRPr="009715E3">
        <w:rPr>
          <w:b/>
          <w:bCs/>
        </w:rPr>
        <w:t>Legal Lesson Learned:</w:t>
      </w:r>
      <w:r>
        <w:rPr>
          <w:b/>
          <w:bCs/>
        </w:rPr>
        <w:t xml:space="preserve">  The volunteer ambulance company did not have a “constitutionally protected interest” in the agreement with the Town; if feel being mistreated, bring it to attention of elected officials. </w:t>
      </w:r>
    </w:p>
    <w:p w14:paraId="37A1C0F1" w14:textId="77777777" w:rsidR="007C5017" w:rsidRPr="006569AE" w:rsidRDefault="007C5017" w:rsidP="007C5017">
      <w:pPr>
        <w:pStyle w:val="NormalWeb"/>
        <w:ind w:left="720"/>
        <w:rPr>
          <w:color w:val="0563C1" w:themeColor="hyperlink"/>
          <w:u w:val="single"/>
        </w:rPr>
      </w:pPr>
      <w:r>
        <w:t xml:space="preserve">Note: </w:t>
      </w:r>
      <w:r w:rsidRPr="00DA3539">
        <w:t xml:space="preserve">See </w:t>
      </w:r>
      <w:r>
        <w:t>this article.</w:t>
      </w:r>
      <w:r w:rsidRPr="00DA3539">
        <w:t xml:space="preserve">  Aug. 16, 2022:</w:t>
      </w:r>
      <w:r>
        <w:rPr>
          <w:b/>
          <w:bCs/>
        </w:rPr>
        <w:t xml:space="preserve">  “</w:t>
      </w:r>
      <w:r>
        <w:t xml:space="preserve">Ramapo Valley Ambulance Corps defunded after disputes; see why, town's plan for service.” </w:t>
      </w:r>
      <w:hyperlink r:id="rId2224" w:history="1">
        <w:r w:rsidRPr="00AB6C1F">
          <w:rPr>
            <w:rStyle w:val="Hyperlink"/>
          </w:rPr>
          <w:t>https://www.lohud.com/story/news/local/rockland/2022/08/16/ramapo-valley-ambulance-corps-defunded/65406353007/</w:t>
        </w:r>
      </w:hyperlink>
      <w:r>
        <w:rPr>
          <w:rStyle w:val="Hyperlink"/>
        </w:rPr>
        <w:t xml:space="preserve"> </w:t>
      </w:r>
      <w:r>
        <w:t>“Recently there has been a range of serious issues involving Ramapo Valley Ambulance Corps (RVAC), including missed dispatch calls, delayed response times, and poor response rate,” Specht said in statement. “Despite the town’s best efforts to urge RVAC to rectify what regrettably became a critical and unacceptable situation, the RVAC leadership, unfortunately, failed to do so, thereby compelling the town to take action to best protect Ramapo families.”</w:t>
      </w:r>
    </w:p>
    <w:p w14:paraId="18589CAD" w14:textId="77777777" w:rsidR="009B2B57" w:rsidRDefault="009B2B57" w:rsidP="006A02A4">
      <w:pPr>
        <w:rPr>
          <w:rFonts w:ascii="Arial Black" w:hAnsi="Arial Black"/>
          <w:b/>
          <w:bCs/>
          <w:sz w:val="28"/>
          <w:szCs w:val="28"/>
        </w:rPr>
      </w:pPr>
    </w:p>
    <w:p w14:paraId="40BB0F61" w14:textId="77777777" w:rsidR="009B2B57" w:rsidRDefault="009B2B57" w:rsidP="006A02A4">
      <w:pPr>
        <w:rPr>
          <w:rFonts w:ascii="Arial Black" w:hAnsi="Arial Black"/>
          <w:b/>
          <w:bCs/>
          <w:sz w:val="28"/>
          <w:szCs w:val="28"/>
        </w:rPr>
      </w:pPr>
    </w:p>
    <w:p w14:paraId="247B19DC" w14:textId="77777777" w:rsidR="009B2B57" w:rsidRDefault="009B2B57" w:rsidP="006A02A4">
      <w:pPr>
        <w:rPr>
          <w:rFonts w:ascii="Arial Black" w:hAnsi="Arial Black"/>
          <w:b/>
          <w:bCs/>
          <w:sz w:val="28"/>
          <w:szCs w:val="28"/>
        </w:rPr>
      </w:pPr>
    </w:p>
    <w:p w14:paraId="2192E90D" w14:textId="6349E24A" w:rsidR="006E6416" w:rsidRDefault="006E6416" w:rsidP="006A02A4">
      <w:pPr>
        <w:rPr>
          <w:rFonts w:ascii="Arial Black" w:hAnsi="Arial Black"/>
          <w:b/>
          <w:bCs/>
          <w:sz w:val="28"/>
          <w:szCs w:val="28"/>
        </w:rPr>
      </w:pPr>
      <w:r>
        <w:rPr>
          <w:rFonts w:ascii="Arial Black" w:hAnsi="Arial Black"/>
          <w:b/>
          <w:bCs/>
          <w:sz w:val="28"/>
          <w:szCs w:val="28"/>
        </w:rPr>
        <w:t>13-163</w:t>
      </w:r>
    </w:p>
    <w:p w14:paraId="5ED20E59" w14:textId="77777777" w:rsidR="0025382C" w:rsidRPr="00EA0B46" w:rsidRDefault="0025382C" w:rsidP="0025382C">
      <w:pPr>
        <w:pStyle w:val="NormalWeb"/>
        <w:rPr>
          <w:rFonts w:ascii="Arial Black" w:hAnsi="Arial Black"/>
          <w:b/>
          <w:bCs/>
          <w:sz w:val="28"/>
          <w:szCs w:val="28"/>
        </w:rPr>
      </w:pPr>
      <w:r>
        <w:rPr>
          <w:rFonts w:ascii="Arial Black" w:hAnsi="Arial Black"/>
          <w:b/>
          <w:bCs/>
          <w:sz w:val="28"/>
          <w:szCs w:val="28"/>
        </w:rPr>
        <w:t xml:space="preserve">KY: HIPAA – NO PRIVATE RIGHT TO SUE - HOSPITAL REPORTED PRISONER TRYING “DRINK HIMSELF TO DEATH” </w:t>
      </w:r>
    </w:p>
    <w:p w14:paraId="3B7D4B0B" w14:textId="77777777" w:rsidR="0025382C" w:rsidRDefault="0025382C" w:rsidP="0025382C">
      <w:pPr>
        <w:pStyle w:val="NormalWeb"/>
      </w:pPr>
      <w:r>
        <w:t xml:space="preserve">On Dec. 21, 2023, in </w:t>
      </w:r>
      <w:r w:rsidRPr="00C47073">
        <w:rPr>
          <w:u w:val="single"/>
        </w:rPr>
        <w:t>Michael Shane Reid v. Med Center Health / EMS</w:t>
      </w:r>
      <w:r>
        <w:t xml:space="preserve">, Senior U.S. District Court Judge Joseph H. McKinnley, Jr., U.S. District Court for Westen District of Kentucky, Bowling Green Division, dismissed a lawsuit against a hospital brought by a prisoner filing lawsuit pro se [no attorney]. The Court held: “Plaintiff's only claim in this action is based upon HIPAA. Title II of HIPAA, codified at </w:t>
      </w:r>
      <w:hyperlink r:id="rId2225" w:history="1">
        <w:r>
          <w:rPr>
            <w:rStyle w:val="Hyperlink"/>
          </w:rPr>
          <w:t>42 U.S.C. § 1320a</w:t>
        </w:r>
      </w:hyperlink>
      <w:r>
        <w:t xml:space="preserve"> </w:t>
      </w:r>
      <w:r>
        <w:rPr>
          <w:i/>
          <w:iCs/>
        </w:rPr>
        <w:t>et seq.</w:t>
      </w:r>
      <w:r>
        <w:t xml:space="preserve">, was created to protect against the unauthorized disclosure of health records and information by a medical provider. However, only the Secretary of the Department of Health and Human Services may file suit to enforce its provisions… Private citizens have no standing to sue for a violation of HIPAA because HIPAA does not authorize a private cause of action.” </w:t>
      </w:r>
      <w:hyperlink r:id="rId2226" w:history="1">
        <w:r w:rsidRPr="003C47C7">
          <w:rPr>
            <w:rStyle w:val="Hyperlink"/>
          </w:rPr>
          <w:t>https://casetext.com/case/reid-v-med-ctr-healthems</w:t>
        </w:r>
      </w:hyperlink>
      <w:r>
        <w:t xml:space="preserve"> </w:t>
      </w:r>
    </w:p>
    <w:p w14:paraId="5E610E5F" w14:textId="77777777" w:rsidR="009B2B57" w:rsidRDefault="009B2B57" w:rsidP="009B2B57">
      <w:pPr>
        <w:pStyle w:val="NormalWeb"/>
        <w:rPr>
          <w:b/>
          <w:bCs/>
        </w:rPr>
      </w:pPr>
      <w:r w:rsidRPr="00AA30DE">
        <w:rPr>
          <w:b/>
          <w:bCs/>
        </w:rPr>
        <w:t>Legal Lesson Learned:</w:t>
      </w:r>
      <w:r>
        <w:rPr>
          <w:b/>
          <w:bCs/>
        </w:rPr>
        <w:t xml:space="preserve"> HIPAA does not authorize citizen lawsuits. </w:t>
      </w:r>
    </w:p>
    <w:p w14:paraId="4C712C6D" w14:textId="77777777" w:rsidR="009B2B57" w:rsidRPr="009B2B57" w:rsidRDefault="009B2B57" w:rsidP="009B2B57">
      <w:pPr>
        <w:pStyle w:val="Heading2"/>
        <w:ind w:left="720"/>
        <w:rPr>
          <w:rFonts w:ascii="Times New Roman" w:hAnsi="Times New Roman"/>
          <w:b w:val="0"/>
          <w:bCs w:val="0"/>
          <w:i w:val="0"/>
          <w:iCs w:val="0"/>
          <w:sz w:val="24"/>
          <w:szCs w:val="24"/>
        </w:rPr>
      </w:pPr>
      <w:r w:rsidRPr="009B2B57">
        <w:rPr>
          <w:rFonts w:ascii="Times New Roman" w:hAnsi="Times New Roman"/>
          <w:b w:val="0"/>
          <w:bCs w:val="0"/>
          <w:i w:val="0"/>
          <w:iCs w:val="0"/>
          <w:color w:val="000000" w:themeColor="text1"/>
          <w:sz w:val="24"/>
          <w:szCs w:val="24"/>
        </w:rPr>
        <w:t xml:space="preserve">Note: See HIPAA Enforcement Actions. Enforcement Results as of October 31, 2023. </w:t>
      </w:r>
      <w:hyperlink r:id="rId2227" w:history="1">
        <w:r w:rsidRPr="009B2B57">
          <w:rPr>
            <w:rStyle w:val="Hyperlink"/>
            <w:rFonts w:ascii="Times New Roman" w:hAnsi="Times New Roman"/>
            <w:b w:val="0"/>
            <w:bCs w:val="0"/>
            <w:i w:val="0"/>
            <w:iCs w:val="0"/>
            <w:sz w:val="24"/>
            <w:szCs w:val="24"/>
          </w:rPr>
          <w:t>https://www.hhs.gov/hipaa/for-professionals/compliance-enforcement/data/enforcement-highlights/index.html</w:t>
        </w:r>
      </w:hyperlink>
      <w:r w:rsidRPr="009B2B57">
        <w:rPr>
          <w:rFonts w:ascii="Times New Roman" w:hAnsi="Times New Roman"/>
          <w:b w:val="0"/>
          <w:bCs w:val="0"/>
          <w:i w:val="0"/>
          <w:iCs w:val="0"/>
          <w:color w:val="000000" w:themeColor="text1"/>
          <w:sz w:val="24"/>
          <w:szCs w:val="24"/>
        </w:rPr>
        <w:t xml:space="preserve">. </w:t>
      </w:r>
      <w:r w:rsidRPr="009B2B57">
        <w:rPr>
          <w:rFonts w:ascii="Times New Roman" w:hAnsi="Times New Roman"/>
          <w:b w:val="0"/>
          <w:bCs w:val="0"/>
          <w:i w:val="0"/>
          <w:iCs w:val="0"/>
          <w:sz w:val="24"/>
          <w:szCs w:val="24"/>
        </w:rPr>
        <w:t>“Since the compliance date of the Privacy Rule in April 2003, OCR has received over 344,607 HIPAA complaints and has initiated over 1,179 compliance reviews.  We have resolved ninety-nine percent of these cases (341,304).”</w:t>
      </w:r>
    </w:p>
    <w:p w14:paraId="2CC235B4" w14:textId="77777777" w:rsidR="009B2B57" w:rsidRPr="00C13067" w:rsidRDefault="009B2B57" w:rsidP="009B2B57">
      <w:pPr>
        <w:pStyle w:val="Heading1"/>
        <w:ind w:left="720"/>
        <w:rPr>
          <w:sz w:val="24"/>
          <w:szCs w:val="24"/>
        </w:rPr>
      </w:pPr>
      <w:r w:rsidRPr="00C13067">
        <w:rPr>
          <w:b w:val="0"/>
          <w:bCs w:val="0"/>
          <w:sz w:val="24"/>
          <w:szCs w:val="24"/>
        </w:rPr>
        <w:t>For example:</w:t>
      </w:r>
      <w:r>
        <w:t xml:space="preserve"> </w:t>
      </w:r>
      <w:r w:rsidRPr="00C13067">
        <w:rPr>
          <w:b w:val="0"/>
          <w:bCs w:val="0"/>
          <w:sz w:val="24"/>
          <w:szCs w:val="24"/>
        </w:rPr>
        <w:t xml:space="preserve">Dec. 30, 2019: </w:t>
      </w:r>
      <w:r>
        <w:rPr>
          <w:b w:val="0"/>
          <w:bCs w:val="0"/>
          <w:sz w:val="24"/>
          <w:szCs w:val="24"/>
        </w:rPr>
        <w:t>“</w:t>
      </w:r>
      <w:r w:rsidRPr="00C13067">
        <w:rPr>
          <w:b w:val="0"/>
          <w:bCs w:val="0"/>
          <w:sz w:val="24"/>
          <w:szCs w:val="24"/>
        </w:rPr>
        <w:t>Ambulance Company Pays $65,000 to Settle Allegations of Longstanding HIPAA Noncompliance</w:t>
      </w:r>
      <w:r>
        <w:rPr>
          <w:b w:val="0"/>
          <w:bCs w:val="0"/>
          <w:sz w:val="24"/>
          <w:szCs w:val="24"/>
        </w:rPr>
        <w:t xml:space="preserve">.” </w:t>
      </w:r>
      <w:hyperlink r:id="rId2228" w:history="1">
        <w:r w:rsidRPr="003C47C7">
          <w:rPr>
            <w:rStyle w:val="Hyperlink"/>
            <w:b w:val="0"/>
            <w:bCs w:val="0"/>
            <w:sz w:val="24"/>
            <w:szCs w:val="24"/>
          </w:rPr>
          <w:t>https://public3.pagefreezer.com/browse/HHS.gov/31-12-2020T08:51/https://www.hhs.gov/about/news/2019/12/30/ambulance-company-pays-65000-settle-allegations-longstanding-hipaa-noncompliance.html</w:t>
        </w:r>
      </w:hyperlink>
      <w:r>
        <w:rPr>
          <w:b w:val="0"/>
          <w:bCs w:val="0"/>
          <w:sz w:val="24"/>
          <w:szCs w:val="24"/>
        </w:rPr>
        <w:t xml:space="preserve">. </w:t>
      </w:r>
    </w:p>
    <w:p w14:paraId="319307A5" w14:textId="77777777" w:rsidR="009B2B57" w:rsidRPr="00C13067" w:rsidRDefault="009B2B57" w:rsidP="009B2B57">
      <w:pPr>
        <w:pStyle w:val="NormalWeb"/>
        <w:ind w:left="720"/>
      </w:pPr>
      <w:r>
        <w:t>“</w:t>
      </w:r>
      <w:r w:rsidRPr="00C13067">
        <w:t>West Georgia Ambulance, Inc. (West Georgia), has agreed to pay $65,000 to the Office for Civil Rights (OCR) at the U.S. Department of Health and Human Services (HHS) and to adopt a corrective action plan to settle potential violations of the Health Insurance Portability and Accountability Act (HIPAA) Security Rule. West Georgia is an ambulance company that provides emergency and non-emergency ambulance services in Carroll County, Georgia.</w:t>
      </w:r>
    </w:p>
    <w:p w14:paraId="709902D4" w14:textId="77777777" w:rsidR="009B2B57" w:rsidRPr="00C13067" w:rsidRDefault="009B2B57" w:rsidP="009B2B57">
      <w:pPr>
        <w:pStyle w:val="NormalWeb"/>
        <w:ind w:left="720"/>
      </w:pPr>
      <w:r w:rsidRPr="00C13067">
        <w:t xml:space="preserve">OCR began its investigation after West Georgia filed a breach report in 2013 concerning the loss of an unencrypted laptop containing the protected health information (PHI) of 500 individuals. OCR’s investigation uncovered long-standing noncompliance with the HIPAA Rules, including failures to conduct a risk analysis, </w:t>
      </w:r>
      <w:proofErr w:type="gramStart"/>
      <w:r w:rsidRPr="00C13067">
        <w:t>provide</w:t>
      </w:r>
      <w:proofErr w:type="gramEnd"/>
      <w:r w:rsidRPr="00C13067">
        <w:t xml:space="preserve"> a security awareness and training program, and </w:t>
      </w:r>
      <w:proofErr w:type="gramStart"/>
      <w:r w:rsidRPr="00C13067">
        <w:t>implement</w:t>
      </w:r>
      <w:proofErr w:type="gramEnd"/>
      <w:r w:rsidRPr="00C13067">
        <w:t xml:space="preserve"> HIPAA Security Rule policies and procedures. Despite OCR’s investigation and technical assistance, West Georgia did not take meaningful steps to address their systemic failures.</w:t>
      </w:r>
      <w:r>
        <w:t>”</w:t>
      </w:r>
    </w:p>
    <w:p w14:paraId="390E8091" w14:textId="77777777" w:rsidR="009B2B57" w:rsidRPr="006455BA" w:rsidRDefault="009B2B57" w:rsidP="009B2B57">
      <w:pPr>
        <w:pStyle w:val="NormalWeb"/>
        <w:ind w:left="720"/>
      </w:pPr>
      <w:r>
        <w:t>Other e</w:t>
      </w:r>
      <w:r w:rsidRPr="006455BA">
        <w:t xml:space="preserve">xamples of HIPAA </w:t>
      </w:r>
      <w:r>
        <w:t xml:space="preserve">enforcement actions: </w:t>
      </w:r>
      <w:hyperlink r:id="rId2229" w:anchor="case5" w:history="1">
        <w:r w:rsidRPr="003C47C7">
          <w:rPr>
            <w:rStyle w:val="Hyperlink"/>
          </w:rPr>
          <w:t>https://www.hhs.gov/hipaa/for-professionals/compliance-enforcement/examples/all-cases/index.html#case5</w:t>
        </w:r>
      </w:hyperlink>
      <w:r w:rsidRPr="006455BA">
        <w:t xml:space="preserve"> </w:t>
      </w:r>
    </w:p>
    <w:p w14:paraId="175D82BA" w14:textId="77777777" w:rsidR="006E6416" w:rsidRDefault="006E6416" w:rsidP="006A02A4">
      <w:pPr>
        <w:rPr>
          <w:rFonts w:ascii="Arial Black" w:hAnsi="Arial Black"/>
          <w:b/>
          <w:bCs/>
          <w:sz w:val="28"/>
          <w:szCs w:val="28"/>
        </w:rPr>
      </w:pPr>
    </w:p>
    <w:p w14:paraId="4A7BFABE" w14:textId="77777777" w:rsidR="006E6416" w:rsidRDefault="006E6416" w:rsidP="006A02A4">
      <w:pPr>
        <w:rPr>
          <w:rFonts w:ascii="Arial Black" w:hAnsi="Arial Black"/>
          <w:b/>
          <w:bCs/>
          <w:sz w:val="28"/>
          <w:szCs w:val="28"/>
        </w:rPr>
      </w:pPr>
    </w:p>
    <w:p w14:paraId="26C42740" w14:textId="77777777" w:rsidR="006E6416" w:rsidRDefault="006E6416" w:rsidP="006A02A4">
      <w:pPr>
        <w:rPr>
          <w:rFonts w:ascii="Arial Black" w:hAnsi="Arial Black"/>
          <w:b/>
          <w:bCs/>
          <w:sz w:val="28"/>
          <w:szCs w:val="28"/>
        </w:rPr>
      </w:pPr>
    </w:p>
    <w:p w14:paraId="3BA1217D" w14:textId="114F3580" w:rsidR="00592CB5" w:rsidRDefault="00592CB5" w:rsidP="006A02A4">
      <w:pPr>
        <w:rPr>
          <w:rFonts w:ascii="Arial Black" w:hAnsi="Arial Black"/>
          <w:b/>
          <w:bCs/>
          <w:sz w:val="28"/>
          <w:szCs w:val="28"/>
        </w:rPr>
      </w:pPr>
      <w:r>
        <w:rPr>
          <w:rFonts w:ascii="Arial Black" w:hAnsi="Arial Black"/>
          <w:b/>
          <w:bCs/>
          <w:sz w:val="28"/>
          <w:szCs w:val="28"/>
        </w:rPr>
        <w:t>13-162</w:t>
      </w:r>
    </w:p>
    <w:p w14:paraId="06753EE1" w14:textId="77777777" w:rsidR="00C7649B" w:rsidRDefault="00C7649B" w:rsidP="00C7649B">
      <w:pPr>
        <w:pStyle w:val="NormalWeb"/>
        <w:rPr>
          <w:rFonts w:ascii="Arial Black" w:hAnsi="Arial Black"/>
          <w:sz w:val="28"/>
          <w:szCs w:val="28"/>
        </w:rPr>
      </w:pPr>
      <w:r>
        <w:rPr>
          <w:rFonts w:ascii="Arial Black" w:hAnsi="Arial Black"/>
          <w:sz w:val="28"/>
          <w:szCs w:val="28"/>
        </w:rPr>
        <w:t xml:space="preserve">PA: HOSPITAL AMBUL. EMS “GOOD SAMARITAN” IMMUNITY - NON-EMERG. </w:t>
      </w:r>
      <w:proofErr w:type="gramStart"/>
      <w:r>
        <w:rPr>
          <w:rFonts w:ascii="Arial Black" w:hAnsi="Arial Black"/>
          <w:sz w:val="28"/>
          <w:szCs w:val="28"/>
        </w:rPr>
        <w:t>TRANSPORT,</w:t>
      </w:r>
      <w:proofErr w:type="gramEnd"/>
      <w:r>
        <w:rPr>
          <w:rFonts w:ascii="Arial Black" w:hAnsi="Arial Black"/>
          <w:sz w:val="28"/>
          <w:szCs w:val="28"/>
        </w:rPr>
        <w:t xml:space="preserve"> STOPPED TO PERFORM CPR</w:t>
      </w:r>
    </w:p>
    <w:p w14:paraId="5AF9F4CF" w14:textId="77777777" w:rsidR="00C7649B" w:rsidRDefault="00C7649B" w:rsidP="00C7649B">
      <w:pPr>
        <w:pStyle w:val="NormalWeb"/>
      </w:pPr>
      <w:r>
        <w:t xml:space="preserve">On Dec. 20, 2023, in </w:t>
      </w:r>
      <w:r w:rsidRPr="003E5ADD">
        <w:rPr>
          <w:u w:val="single"/>
        </w:rPr>
        <w:t xml:space="preserve">Desiree Lamarr-Murphy. Individually and as Administratrix of the Estate of Christopher B. Murphy, deceased, and Briannah </w:t>
      </w:r>
      <w:proofErr w:type="spellStart"/>
      <w:r w:rsidRPr="003E5ADD">
        <w:rPr>
          <w:u w:val="single"/>
        </w:rPr>
        <w:t>Lahmarr</w:t>
      </w:r>
      <w:proofErr w:type="spellEnd"/>
      <w:r w:rsidRPr="003E5ADD">
        <w:rPr>
          <w:u w:val="single"/>
        </w:rPr>
        <w:t xml:space="preserve"> v. Delaware County Memorial Hospital, et al.</w:t>
      </w:r>
      <w:r>
        <w:t>, the Superior Court of Pennsylvania held (3 to 0; non-presidential decision) that trial court properly entered judgment for two EMS and hospital. “</w:t>
      </w:r>
      <w:r w:rsidRPr="005F5B35">
        <w:t>Thus, DCMH, acting in its limited role as a provider of emergency</w:t>
      </w:r>
      <w:r>
        <w:t xml:space="preserve"> ambulatory services, and its emergency responder employees, DCMH EMS, were protected under the Good Samaritan Act.”  After an 8-day jury trial, the jury found 39-year-old patient with history of blood clots in his legs was 51% contributory negligent for not seeking medical </w:t>
      </w:r>
      <w:proofErr w:type="gramStart"/>
      <w:r>
        <w:t xml:space="preserve">attentions </w:t>
      </w:r>
      <w:proofErr w:type="gramEnd"/>
      <w:r>
        <w:t xml:space="preserve">large blood </w:t>
      </w:r>
      <w:proofErr w:type="gramStart"/>
      <w:r>
        <w:t>clot</w:t>
      </w:r>
      <w:proofErr w:type="gramEnd"/>
      <w:r>
        <w:t xml:space="preserve"> led to cardiac arrest in ambulance.  </w:t>
      </w:r>
      <w:hyperlink r:id="rId2230" w:history="1">
        <w:r w:rsidRPr="00601FD5">
          <w:rPr>
            <w:rStyle w:val="Hyperlink"/>
          </w:rPr>
          <w:t>https://cases.justia.com/pennsylvania/superior-court/2023-1846-eda-2021.pdf?ts=1703100172</w:t>
        </w:r>
      </w:hyperlink>
      <w:r>
        <w:t xml:space="preserve"> </w:t>
      </w:r>
    </w:p>
    <w:p w14:paraId="431797A9" w14:textId="77777777" w:rsidR="006E6416" w:rsidRDefault="006E6416" w:rsidP="006E6416">
      <w:pPr>
        <w:pStyle w:val="NormalWeb"/>
        <w:rPr>
          <w:b/>
          <w:bCs/>
        </w:rPr>
      </w:pPr>
      <w:r w:rsidRPr="0070397E">
        <w:rPr>
          <w:b/>
          <w:bCs/>
        </w:rPr>
        <w:t>Legal Lesson Learned:</w:t>
      </w:r>
      <w:r>
        <w:rPr>
          <w:b/>
          <w:bCs/>
        </w:rPr>
        <w:t xml:space="preserve"> Expert witnesses confirmed non-emergency transport was consistent with PA protocols; PA “Good Samaritan” statute provides immunity for EMS, unless acting with gross negligence, including </w:t>
      </w:r>
      <w:proofErr w:type="gramStart"/>
      <w:r>
        <w:rPr>
          <w:b/>
          <w:bCs/>
        </w:rPr>
        <w:t>hospital based</w:t>
      </w:r>
      <w:proofErr w:type="gramEnd"/>
      <w:r>
        <w:rPr>
          <w:b/>
          <w:bCs/>
        </w:rPr>
        <w:t xml:space="preserve"> EMS. </w:t>
      </w:r>
    </w:p>
    <w:p w14:paraId="7B2203BC" w14:textId="77777777" w:rsidR="006E6416" w:rsidRDefault="006E6416" w:rsidP="006E6416">
      <w:pPr>
        <w:pStyle w:val="NormalWeb"/>
      </w:pPr>
      <w:r>
        <w:rPr>
          <w:b/>
          <w:bCs/>
        </w:rPr>
        <w:tab/>
      </w:r>
      <w:r w:rsidRPr="00D35C79">
        <w:t>Note:</w:t>
      </w:r>
      <w:r>
        <w:rPr>
          <w:b/>
          <w:bCs/>
        </w:rPr>
        <w:t xml:space="preserve">  </w:t>
      </w:r>
      <w:r w:rsidRPr="00165EB6">
        <w:t>The</w:t>
      </w:r>
      <w:r>
        <w:t xml:space="preserve"> PA</w:t>
      </w:r>
      <w:r w:rsidRPr="00165EB6">
        <w:t xml:space="preserve"> Good Samaritan Act provides, in pertinent part: </w:t>
      </w:r>
    </w:p>
    <w:p w14:paraId="62F63F3A" w14:textId="77777777" w:rsidR="006E6416" w:rsidRPr="00165EB6" w:rsidRDefault="006E6416" w:rsidP="006E6416">
      <w:pPr>
        <w:pStyle w:val="NormalWeb"/>
        <w:ind w:left="1440"/>
      </w:pPr>
      <w:r w:rsidRPr="00165EB6">
        <w:t>(a) General rule</w:t>
      </w:r>
      <w:r w:rsidRPr="00165EB6">
        <w:rPr>
          <w:i/>
          <w:iCs/>
        </w:rPr>
        <w:t>.</w:t>
      </w:r>
      <w:r w:rsidRPr="00165EB6">
        <w:t xml:space="preserve"> - Any person, including an emergency response provider, whether or not trained to practice medicine, who in good faith renders emergency care, treatment, first aid or rescue at the scene of an emergency event or crime, or who moves the person receiving such care, first aid or rescue to a hospital or other place of medical care, shall not be liable for any civil damages as a result of rendering such care, except in any act or omission intentionally designed to harm or any grossly negligent acts or omissions which result in harm to the person receiving emergency care or being moved to a hospital or other place of medical care. </w:t>
      </w:r>
    </w:p>
    <w:p w14:paraId="0B037922" w14:textId="77777777" w:rsidR="00592CB5" w:rsidRDefault="00592CB5" w:rsidP="006A02A4">
      <w:pPr>
        <w:rPr>
          <w:rFonts w:ascii="Arial Black" w:hAnsi="Arial Black"/>
          <w:b/>
          <w:bCs/>
          <w:sz w:val="28"/>
          <w:szCs w:val="28"/>
        </w:rPr>
      </w:pPr>
    </w:p>
    <w:p w14:paraId="12A90D1F" w14:textId="77777777" w:rsidR="00592CB5" w:rsidRDefault="00592CB5" w:rsidP="006A02A4">
      <w:pPr>
        <w:rPr>
          <w:rFonts w:ascii="Arial Black" w:hAnsi="Arial Black"/>
          <w:b/>
          <w:bCs/>
          <w:sz w:val="28"/>
          <w:szCs w:val="28"/>
        </w:rPr>
      </w:pPr>
    </w:p>
    <w:p w14:paraId="72E0E53B" w14:textId="1F4AC660" w:rsidR="003D5ECA" w:rsidRDefault="003D5ECA" w:rsidP="006A02A4">
      <w:pPr>
        <w:rPr>
          <w:rFonts w:ascii="Arial Black" w:hAnsi="Arial Black"/>
          <w:b/>
          <w:bCs/>
          <w:sz w:val="28"/>
          <w:szCs w:val="28"/>
        </w:rPr>
      </w:pPr>
      <w:r>
        <w:rPr>
          <w:rFonts w:ascii="Arial Black" w:hAnsi="Arial Black"/>
          <w:b/>
          <w:bCs/>
          <w:sz w:val="28"/>
          <w:szCs w:val="28"/>
        </w:rPr>
        <w:t>13-161</w:t>
      </w:r>
    </w:p>
    <w:p w14:paraId="050C1C7F" w14:textId="77777777" w:rsidR="003D5ECA" w:rsidRDefault="003D5ECA" w:rsidP="003D5ECA">
      <w:pPr>
        <w:pStyle w:val="NormalWeb"/>
      </w:pPr>
      <w:r>
        <w:rPr>
          <w:rFonts w:ascii="Arial Black" w:hAnsi="Arial Black"/>
          <w:sz w:val="28"/>
          <w:szCs w:val="28"/>
        </w:rPr>
        <w:t>MN: MEDIC RESIGNED AFTER PUT ON PIP – NO 1</w:t>
      </w:r>
      <w:r w:rsidRPr="006A5EC7">
        <w:rPr>
          <w:rFonts w:ascii="Arial Black" w:hAnsi="Arial Black"/>
          <w:sz w:val="28"/>
          <w:szCs w:val="28"/>
          <w:vertAlign w:val="superscript"/>
        </w:rPr>
        <w:t>st</w:t>
      </w:r>
      <w:r>
        <w:rPr>
          <w:rFonts w:ascii="Arial Black" w:hAnsi="Arial Black"/>
          <w:sz w:val="28"/>
          <w:szCs w:val="28"/>
        </w:rPr>
        <w:t xml:space="preserve"> AMEND. SPEECH CASE - SPOKE ABOUT EMS TRAINING RECORDS</w:t>
      </w:r>
    </w:p>
    <w:p w14:paraId="3CADE404" w14:textId="77777777" w:rsidR="003D5ECA" w:rsidRDefault="003D5ECA" w:rsidP="003D5ECA">
      <w:pPr>
        <w:pStyle w:val="NormalWeb"/>
      </w:pPr>
      <w:r>
        <w:t xml:space="preserve">On Dec. 20, 2023, in </w:t>
      </w:r>
      <w:r w:rsidRPr="00926837">
        <w:rPr>
          <w:u w:val="single"/>
        </w:rPr>
        <w:t>Joseph Paul Baker v. The City of Woodbury, et al</w:t>
      </w:r>
      <w:r>
        <w:t xml:space="preserve">., U.S. District Court Judge David S. Doty, U.S. District Court for District of Minnesota granted the City’s motion for summary judgement. The Court wrote: “Baker claims that defendants Wallgren, Klein, and Guiton retaliated against him for questioning the EMS training records and complaining about Ehrenberg's request to prepare ketamine by placing him on a PIP, in violation of his right to free speech under the First Amendment. *** To determine whether the employee engaged in speech protected by the First Amendment, the court must first consider whether ‘the employee spoke as a citizen on a matter of public concern.’ </w:t>
      </w:r>
      <w:r>
        <w:rPr>
          <w:i/>
          <w:iCs/>
        </w:rPr>
        <w:t>Garcetti v. Ceballos</w:t>
      </w:r>
      <w:r>
        <w:t xml:space="preserve">, 54 7 U.S. 410, 418 (2014). ‘If the answer is no, the employee has no First Amendment cause of action based on his ... employer's reaction to the speech.*** When Baker made statements about the training records, the undisputed facts show that he did so within the scope of his duties as a member of the education group. In that role, Baker was responsible for, among other things, assessing and maintaining training documentation for submission to the EMSRB. Baker discovered the alleged deficiencies when carrying out those duties. He would not have been able to make such a discovery without access to the training records of each paramedic, along with their corresponding certifications. It is undisputed that those detailed records are not available to the </w:t>
      </w:r>
      <w:proofErr w:type="gramStart"/>
      <w:r>
        <w:t>general public</w:t>
      </w:r>
      <w:proofErr w:type="gramEnd"/>
      <w:r>
        <w:t xml:space="preserve">. Further, Baker reported the alleged deficiencies to his superiors after first discussing </w:t>
      </w:r>
      <w:proofErr w:type="gramStart"/>
      <w:r>
        <w:t>it</w:t>
      </w:r>
      <w:proofErr w:type="gramEnd"/>
      <w:r>
        <w:t xml:space="preserve"> with his fellow education group members, thus tying his concerns directly to his role in the education group rather than merely as a concerned citizen. Under these circumstances, there is no serious debate that Baker's speech owes its existence to his professional responsibilities and therefore is not protected by the First Amendment.” </w:t>
      </w:r>
      <w:hyperlink r:id="rId2231" w:history="1">
        <w:r w:rsidRPr="0044657D">
          <w:rPr>
            <w:rStyle w:val="Hyperlink"/>
          </w:rPr>
          <w:t>https://casetext.com/case/baker-v-city-of-woodbury</w:t>
        </w:r>
      </w:hyperlink>
      <w:r>
        <w:t xml:space="preserve"> </w:t>
      </w:r>
    </w:p>
    <w:p w14:paraId="45186F9A" w14:textId="77777777" w:rsidR="00592CB5" w:rsidRPr="00E57DEF" w:rsidRDefault="00592CB5" w:rsidP="00592CB5">
      <w:pPr>
        <w:pStyle w:val="NormalWeb"/>
        <w:rPr>
          <w:b/>
          <w:bCs/>
        </w:rPr>
      </w:pPr>
      <w:r w:rsidRPr="00E57DEF">
        <w:rPr>
          <w:b/>
          <w:bCs/>
        </w:rPr>
        <w:t xml:space="preserve">Legal Lesson Learned: </w:t>
      </w:r>
      <w:r>
        <w:rPr>
          <w:b/>
          <w:bCs/>
        </w:rPr>
        <w:t xml:space="preserve">PIP can be an effective management tool, either to get </w:t>
      </w:r>
      <w:proofErr w:type="gramStart"/>
      <w:r>
        <w:rPr>
          <w:b/>
          <w:bCs/>
        </w:rPr>
        <w:t>employee</w:t>
      </w:r>
      <w:proofErr w:type="gramEnd"/>
      <w:r>
        <w:rPr>
          <w:b/>
          <w:bCs/>
        </w:rPr>
        <w:t xml:space="preserve"> to improve or to look for another job.</w:t>
      </w:r>
    </w:p>
    <w:p w14:paraId="689A5DC4" w14:textId="77777777" w:rsidR="003D5ECA" w:rsidRDefault="003D5ECA" w:rsidP="006A02A4">
      <w:pPr>
        <w:rPr>
          <w:rFonts w:ascii="Arial Black" w:hAnsi="Arial Black"/>
          <w:b/>
          <w:bCs/>
          <w:sz w:val="28"/>
          <w:szCs w:val="28"/>
        </w:rPr>
      </w:pPr>
    </w:p>
    <w:p w14:paraId="4566F530" w14:textId="77777777" w:rsidR="003D5ECA" w:rsidRDefault="003D5ECA" w:rsidP="006A02A4">
      <w:pPr>
        <w:rPr>
          <w:rFonts w:ascii="Arial Black" w:hAnsi="Arial Black"/>
          <w:b/>
          <w:bCs/>
          <w:sz w:val="28"/>
          <w:szCs w:val="28"/>
        </w:rPr>
      </w:pPr>
    </w:p>
    <w:p w14:paraId="2FF3E591" w14:textId="38C70065" w:rsidR="002D6690" w:rsidRDefault="002D6690" w:rsidP="006A02A4">
      <w:pPr>
        <w:rPr>
          <w:rFonts w:ascii="Arial Black" w:hAnsi="Arial Black"/>
          <w:b/>
          <w:bCs/>
          <w:sz w:val="28"/>
          <w:szCs w:val="28"/>
        </w:rPr>
      </w:pPr>
      <w:r>
        <w:rPr>
          <w:rFonts w:ascii="Arial Black" w:hAnsi="Arial Black"/>
          <w:b/>
          <w:bCs/>
          <w:sz w:val="28"/>
          <w:szCs w:val="28"/>
        </w:rPr>
        <w:t>13-</w:t>
      </w:r>
      <w:r w:rsidR="002410DA">
        <w:rPr>
          <w:rFonts w:ascii="Arial Black" w:hAnsi="Arial Black"/>
          <w:b/>
          <w:bCs/>
          <w:sz w:val="28"/>
          <w:szCs w:val="28"/>
        </w:rPr>
        <w:t>160</w:t>
      </w:r>
    </w:p>
    <w:p w14:paraId="10B2F53E" w14:textId="77777777" w:rsidR="002410DA" w:rsidRPr="001F329A" w:rsidRDefault="002410DA" w:rsidP="002410DA">
      <w:pPr>
        <w:pStyle w:val="NormalWeb"/>
        <w:rPr>
          <w:rFonts w:ascii="Arial Black" w:hAnsi="Arial Black"/>
          <w:sz w:val="28"/>
          <w:szCs w:val="28"/>
        </w:rPr>
      </w:pPr>
      <w:r>
        <w:rPr>
          <w:rFonts w:ascii="Arial Black" w:hAnsi="Arial Black"/>
          <w:sz w:val="28"/>
          <w:szCs w:val="28"/>
        </w:rPr>
        <w:t>CO: HOSPITAL PARAMEDIC FIRED – EPINEPHRINE TO WOMAN PARKING LOT – QR FILES CONFIDENTIAL</w:t>
      </w:r>
    </w:p>
    <w:p w14:paraId="30ED0A5A" w14:textId="3C770E23" w:rsidR="002410DA" w:rsidRDefault="002410DA" w:rsidP="002410DA">
      <w:pPr>
        <w:rPr>
          <w:rStyle w:val="Hyperlink"/>
          <w:rFonts w:ascii="Times New Roman" w:hAnsi="Times New Roman"/>
          <w:sz w:val="24"/>
          <w:szCs w:val="24"/>
        </w:rPr>
      </w:pPr>
      <w:r w:rsidRPr="002410DA">
        <w:rPr>
          <w:rFonts w:ascii="Times New Roman" w:hAnsi="Times New Roman"/>
          <w:sz w:val="24"/>
          <w:szCs w:val="24"/>
        </w:rPr>
        <w:t xml:space="preserve">On Nov. 14, 2023, in </w:t>
      </w:r>
      <w:r w:rsidRPr="002410DA">
        <w:rPr>
          <w:rFonts w:ascii="Times New Roman" w:hAnsi="Times New Roman"/>
          <w:sz w:val="24"/>
          <w:szCs w:val="24"/>
          <w:u w:val="single"/>
        </w:rPr>
        <w:t xml:space="preserve">Jordan Christensen v. Denver Health </w:t>
      </w:r>
      <w:proofErr w:type="gramStart"/>
      <w:r w:rsidRPr="002410DA">
        <w:rPr>
          <w:rFonts w:ascii="Times New Roman" w:hAnsi="Times New Roman"/>
          <w:sz w:val="24"/>
          <w:szCs w:val="24"/>
          <w:u w:val="single"/>
        </w:rPr>
        <w:t>And</w:t>
      </w:r>
      <w:proofErr w:type="gramEnd"/>
      <w:r w:rsidRPr="002410DA">
        <w:rPr>
          <w:rFonts w:ascii="Times New Roman" w:hAnsi="Times New Roman"/>
          <w:sz w:val="24"/>
          <w:szCs w:val="24"/>
          <w:u w:val="single"/>
        </w:rPr>
        <w:t xml:space="preserve"> Hospital Authority, doing business as Denver Heath Paramedic Division</w:t>
      </w:r>
      <w:r w:rsidRPr="002410DA">
        <w:rPr>
          <w:rFonts w:ascii="Times New Roman" w:hAnsi="Times New Roman"/>
          <w:sz w:val="24"/>
          <w:szCs w:val="24"/>
        </w:rPr>
        <w:t xml:space="preserve">, U.S. Magistrate Judge Kathryn A. </w:t>
      </w:r>
      <w:proofErr w:type="spellStart"/>
      <w:r w:rsidRPr="002410DA">
        <w:rPr>
          <w:rFonts w:ascii="Times New Roman" w:hAnsi="Times New Roman"/>
          <w:sz w:val="24"/>
          <w:szCs w:val="24"/>
        </w:rPr>
        <w:t>Starnella</w:t>
      </w:r>
      <w:proofErr w:type="spellEnd"/>
      <w:r w:rsidRPr="002410DA">
        <w:rPr>
          <w:rFonts w:ascii="Times New Roman" w:hAnsi="Times New Roman"/>
          <w:sz w:val="24"/>
          <w:szCs w:val="24"/>
        </w:rPr>
        <w:t xml:space="preserve">, U.S. District Cort for District of Colorado, denied Plaintiff's Motion to Compel Production of the Quality Review File.  The termination decision was made by the Medical Director of the Paramedic Division, not on the hospital’s Quality Review Committee; the QR file is confidential under Federal and State statutes.  </w:t>
      </w:r>
      <w:hyperlink r:id="rId2232" w:history="1">
        <w:r w:rsidRPr="002410DA">
          <w:rPr>
            <w:rStyle w:val="Hyperlink"/>
            <w:rFonts w:ascii="Times New Roman" w:hAnsi="Times New Roman"/>
            <w:sz w:val="24"/>
            <w:szCs w:val="24"/>
          </w:rPr>
          <w:t>https://public.fastcase.com/ZZhmr5v9wN%2FXOe5IsQ%2FqD%2B1qjdbNtrbKnJG3uP2WWVmhlF8pu7dlSanIpJbUEtpE?utm_medium=email&amp;_hsmi=226712652&amp;_hsenc=p2ANqtz-_3swjkE_U3wk1h5U8jVat2QL8kZwPHoy86W6A4pHNVHtwV__0ZHK6m0x71w6miyP2O__WwBW9V-f993pnbFbogevKSBQ&amp;utm_content=226712652&amp;utm_source=hs_email</w:t>
        </w:r>
      </w:hyperlink>
    </w:p>
    <w:p w14:paraId="5E4AF293" w14:textId="77777777" w:rsidR="00BC2A27" w:rsidRDefault="00BC2A27" w:rsidP="00BC2A27">
      <w:pPr>
        <w:pStyle w:val="NormalWeb"/>
        <w:rPr>
          <w:b/>
          <w:bCs/>
        </w:rPr>
      </w:pPr>
      <w:r w:rsidRPr="007F3790">
        <w:rPr>
          <w:b/>
          <w:bCs/>
        </w:rPr>
        <w:t>Legal Lesson Learned:</w:t>
      </w:r>
      <w:r>
        <w:rPr>
          <w:b/>
          <w:bCs/>
        </w:rPr>
        <w:t xml:space="preserve"> Hospital QR reviews, and Fire &amp; EMS QRs are confidential in many states. </w:t>
      </w:r>
    </w:p>
    <w:p w14:paraId="7C48D26E" w14:textId="77777777" w:rsidR="00BC2A27" w:rsidRPr="008D2F39" w:rsidRDefault="00BC2A27" w:rsidP="00BC2A27">
      <w:pPr>
        <w:pStyle w:val="Heading1"/>
        <w:ind w:left="720"/>
        <w:rPr>
          <w:b w:val="0"/>
          <w:bCs w:val="0"/>
          <w:sz w:val="24"/>
          <w:szCs w:val="24"/>
        </w:rPr>
      </w:pPr>
      <w:r w:rsidRPr="008D2F39">
        <w:rPr>
          <w:b w:val="0"/>
          <w:bCs w:val="0"/>
          <w:sz w:val="24"/>
          <w:szCs w:val="24"/>
        </w:rPr>
        <w:t xml:space="preserve">Note: See Ohio Revised Code: </w:t>
      </w:r>
      <w:r>
        <w:rPr>
          <w:b w:val="0"/>
          <w:bCs w:val="0"/>
          <w:sz w:val="24"/>
          <w:szCs w:val="24"/>
        </w:rPr>
        <w:t>“</w:t>
      </w:r>
      <w:r w:rsidRPr="008D2F39">
        <w:rPr>
          <w:b w:val="0"/>
          <w:bCs w:val="0"/>
          <w:sz w:val="24"/>
          <w:szCs w:val="24"/>
        </w:rPr>
        <w:t xml:space="preserve">Section 4765.12 </w:t>
      </w:r>
      <w:r w:rsidRPr="008D2F39">
        <w:rPr>
          <w:rStyle w:val="codes-separator"/>
          <w:rFonts w:eastAsiaTheme="majorEastAsia"/>
          <w:b w:val="0"/>
          <w:bCs w:val="0"/>
          <w:sz w:val="24"/>
          <w:szCs w:val="24"/>
        </w:rPr>
        <w:t>|</w:t>
      </w:r>
      <w:r w:rsidRPr="008D2F39">
        <w:rPr>
          <w:b w:val="0"/>
          <w:bCs w:val="0"/>
          <w:sz w:val="24"/>
          <w:szCs w:val="24"/>
        </w:rPr>
        <w:t xml:space="preserve"> Guidelines for care of trauma victims by emergency medical service personnel - conduct of peer review and quality assurance programs by emergency medical service organizations</w:t>
      </w:r>
      <w:r>
        <w:rPr>
          <w:b w:val="0"/>
          <w:bCs w:val="0"/>
          <w:sz w:val="24"/>
          <w:szCs w:val="24"/>
        </w:rPr>
        <w:t xml:space="preserve">.” </w:t>
      </w:r>
      <w:hyperlink r:id="rId2233" w:history="1">
        <w:r w:rsidRPr="00D270AC">
          <w:rPr>
            <w:rStyle w:val="Hyperlink"/>
            <w:b w:val="0"/>
            <w:bCs w:val="0"/>
            <w:sz w:val="24"/>
            <w:szCs w:val="24"/>
          </w:rPr>
          <w:t>https://codes.ohio.gov/ohio-revised-code/section-4765.12</w:t>
        </w:r>
      </w:hyperlink>
      <w:r>
        <w:rPr>
          <w:b w:val="0"/>
          <w:bCs w:val="0"/>
          <w:sz w:val="24"/>
          <w:szCs w:val="24"/>
        </w:rPr>
        <w:t xml:space="preserve"> </w:t>
      </w:r>
    </w:p>
    <w:p w14:paraId="10BDCEC9" w14:textId="77777777" w:rsidR="00BC2A27" w:rsidRDefault="00BC2A27" w:rsidP="00BC2A27">
      <w:pPr>
        <w:pStyle w:val="NormalWeb"/>
        <w:ind w:left="720"/>
        <w:rPr>
          <w:b/>
          <w:bCs/>
        </w:rPr>
      </w:pPr>
      <w:r>
        <w:t xml:space="preserve">“Information generated solely for use in a peer review or quality assurance program conducted on behalf of an emergency medical service organization is not a public record under section </w:t>
      </w:r>
      <w:hyperlink r:id="rId2234" w:history="1">
        <w:r>
          <w:rPr>
            <w:rStyle w:val="Hyperlink"/>
            <w:rFonts w:eastAsiaTheme="majorEastAsia"/>
          </w:rPr>
          <w:t>149.43</w:t>
        </w:r>
      </w:hyperlink>
      <w:r>
        <w:t xml:space="preserve"> of the Revised Code. Such information, and any discussion conducted in the course of a peer review or quality assurance program conducted on behalf of an emergency medical service organization, is not subject to discovery in a civil action and shall not be introduced into evidence in a civil action against the emergency medical service organization on whose behalf the information was generated or the discussion occurred.</w:t>
      </w:r>
      <w:r>
        <w:rPr>
          <w:b/>
          <w:bCs/>
        </w:rPr>
        <w:t>”</w:t>
      </w:r>
    </w:p>
    <w:p w14:paraId="5F106965" w14:textId="77777777" w:rsidR="008578DE" w:rsidRDefault="008578DE" w:rsidP="00BC2A27">
      <w:pPr>
        <w:rPr>
          <w:rFonts w:ascii="Arial Black" w:hAnsi="Arial Black"/>
          <w:b/>
          <w:bCs/>
          <w:sz w:val="28"/>
          <w:szCs w:val="28"/>
        </w:rPr>
      </w:pPr>
    </w:p>
    <w:p w14:paraId="43923D7C" w14:textId="300C3315" w:rsidR="00BC2A27" w:rsidRDefault="00BC2A27" w:rsidP="00BC2A27">
      <w:pPr>
        <w:rPr>
          <w:rFonts w:ascii="Arial Black" w:hAnsi="Arial Black"/>
          <w:b/>
          <w:bCs/>
          <w:sz w:val="28"/>
          <w:szCs w:val="28"/>
        </w:rPr>
      </w:pPr>
      <w:r>
        <w:rPr>
          <w:rFonts w:ascii="Arial Black" w:hAnsi="Arial Black"/>
          <w:b/>
          <w:bCs/>
          <w:sz w:val="28"/>
          <w:szCs w:val="28"/>
        </w:rPr>
        <w:t>13-159</w:t>
      </w:r>
    </w:p>
    <w:p w14:paraId="3D7E88B8" w14:textId="77777777" w:rsidR="0061348F" w:rsidRPr="00171AD5" w:rsidRDefault="0061348F" w:rsidP="0061348F">
      <w:pPr>
        <w:pStyle w:val="NoSpacing"/>
        <w:rPr>
          <w:rFonts w:ascii="Arial Black" w:hAnsi="Arial Black"/>
          <w:b/>
          <w:sz w:val="28"/>
          <w:szCs w:val="28"/>
        </w:rPr>
      </w:pPr>
      <w:r>
        <w:rPr>
          <w:rFonts w:ascii="Arial Black" w:hAnsi="Arial Black"/>
          <w:b/>
          <w:sz w:val="28"/>
          <w:szCs w:val="28"/>
        </w:rPr>
        <w:t>WV:  911 DISPATCH NO CPR INSTRUCTIONS – PARENTS TOLD DRIVE TO HOSP – EMS CANCELLED - CASE PROCEED</w:t>
      </w:r>
    </w:p>
    <w:p w14:paraId="3A4FC938" w14:textId="77777777" w:rsidR="0061348F" w:rsidRDefault="0061348F" w:rsidP="0061348F">
      <w:pPr>
        <w:pStyle w:val="NoSpacing"/>
        <w:rPr>
          <w:rFonts w:ascii="Times New Roman" w:hAnsi="Times New Roman"/>
          <w:b/>
          <w:sz w:val="24"/>
          <w:szCs w:val="24"/>
        </w:rPr>
      </w:pPr>
    </w:p>
    <w:p w14:paraId="21E74309" w14:textId="77777777" w:rsidR="0061348F" w:rsidRDefault="0061348F" w:rsidP="0061348F">
      <w:pPr>
        <w:pStyle w:val="NoSpacing"/>
        <w:rPr>
          <w:rFonts w:ascii="Times New Roman" w:hAnsi="Times New Roman"/>
          <w:bCs/>
          <w:sz w:val="24"/>
          <w:szCs w:val="24"/>
        </w:rPr>
      </w:pPr>
      <w:r>
        <w:rPr>
          <w:rFonts w:ascii="Times New Roman" w:hAnsi="Times New Roman"/>
          <w:bCs/>
          <w:sz w:val="24"/>
          <w:szCs w:val="24"/>
        </w:rPr>
        <w:t xml:space="preserve">On Nov. 8, 2023, in </w:t>
      </w:r>
      <w:r w:rsidRPr="00832890">
        <w:rPr>
          <w:rFonts w:ascii="Times New Roman" w:hAnsi="Times New Roman"/>
          <w:bCs/>
          <w:sz w:val="24"/>
          <w:szCs w:val="24"/>
          <w:u w:val="single"/>
        </w:rPr>
        <w:t>Barabara Stine Trivett, Administratrix of the Estate of Jasper Trivett v. Summer County Commission d/b/a Summers County Office of Emergency Management and Carmen Cales</w:t>
      </w:r>
      <w:r>
        <w:rPr>
          <w:rFonts w:ascii="Times New Roman" w:hAnsi="Times New Roman"/>
          <w:bCs/>
          <w:sz w:val="24"/>
          <w:szCs w:val="24"/>
        </w:rPr>
        <w:t xml:space="preserve">, Supreme Court of Appeals of West Virginia, held (3 to 2) that the lawsuit was timely filed and should not have been dismissed by trial judge and remanded case for discovery. </w:t>
      </w:r>
      <w:hyperlink r:id="rId2235" w:history="1">
        <w:r w:rsidRPr="006F62A4">
          <w:rPr>
            <w:rStyle w:val="Hyperlink"/>
            <w:rFonts w:ascii="Times New Roman" w:hAnsi="Times New Roman"/>
            <w:bCs/>
            <w:sz w:val="24"/>
            <w:szCs w:val="24"/>
          </w:rPr>
          <w:t>http://www.courtswv.gov/supreme-court/docs/fall2023/22-0202-wooton-p.pdf</w:t>
        </w:r>
      </w:hyperlink>
      <w:r>
        <w:rPr>
          <w:rFonts w:ascii="Times New Roman" w:hAnsi="Times New Roman"/>
          <w:bCs/>
          <w:sz w:val="24"/>
          <w:szCs w:val="24"/>
        </w:rPr>
        <w:t xml:space="preserve"> </w:t>
      </w:r>
    </w:p>
    <w:p w14:paraId="5C475FA2" w14:textId="77777777" w:rsidR="00A126EB" w:rsidRDefault="00A126EB" w:rsidP="00A126EB">
      <w:pPr>
        <w:pStyle w:val="NoSpacing"/>
        <w:rPr>
          <w:rFonts w:ascii="Times New Roman" w:hAnsi="Times New Roman"/>
          <w:b/>
          <w:sz w:val="24"/>
          <w:szCs w:val="24"/>
        </w:rPr>
      </w:pPr>
    </w:p>
    <w:p w14:paraId="173FC03E" w14:textId="19EE0BCC" w:rsidR="00A126EB" w:rsidRPr="00925161" w:rsidRDefault="00A126EB" w:rsidP="00A126EB">
      <w:pPr>
        <w:pStyle w:val="NoSpacing"/>
        <w:rPr>
          <w:rFonts w:ascii="Times New Roman" w:hAnsi="Times New Roman"/>
          <w:b/>
          <w:sz w:val="24"/>
          <w:szCs w:val="24"/>
        </w:rPr>
      </w:pPr>
      <w:r w:rsidRPr="00925161">
        <w:rPr>
          <w:rFonts w:ascii="Times New Roman" w:hAnsi="Times New Roman"/>
          <w:b/>
          <w:sz w:val="24"/>
          <w:szCs w:val="24"/>
        </w:rPr>
        <w:t>Legal Lesson Learned:</w:t>
      </w:r>
      <w:r>
        <w:rPr>
          <w:rFonts w:ascii="Times New Roman" w:hAnsi="Times New Roman"/>
          <w:b/>
          <w:sz w:val="24"/>
          <w:szCs w:val="24"/>
        </w:rPr>
        <w:t xml:space="preserve"> Dispatchers should all be trained in giving CPR instructions.</w:t>
      </w:r>
    </w:p>
    <w:p w14:paraId="6BEA5159" w14:textId="77777777" w:rsidR="00A126EB" w:rsidRDefault="00A126EB" w:rsidP="00BC2A27">
      <w:pPr>
        <w:rPr>
          <w:rFonts w:ascii="Arial Black" w:hAnsi="Arial Black"/>
          <w:b/>
          <w:bCs/>
          <w:sz w:val="28"/>
          <w:szCs w:val="28"/>
        </w:rPr>
      </w:pPr>
    </w:p>
    <w:p w14:paraId="0CAB5A2C" w14:textId="0BE59538" w:rsidR="00A126EB" w:rsidRDefault="00A126EB" w:rsidP="00A126EB">
      <w:pPr>
        <w:rPr>
          <w:rFonts w:ascii="Arial Black" w:hAnsi="Arial Black"/>
          <w:b/>
          <w:bCs/>
          <w:sz w:val="28"/>
          <w:szCs w:val="28"/>
        </w:rPr>
      </w:pPr>
      <w:r>
        <w:rPr>
          <w:rFonts w:ascii="Arial Black" w:hAnsi="Arial Black"/>
          <w:b/>
          <w:bCs/>
          <w:sz w:val="28"/>
          <w:szCs w:val="28"/>
        </w:rPr>
        <w:t>13-158</w:t>
      </w:r>
    </w:p>
    <w:p w14:paraId="19120DFC" w14:textId="77777777" w:rsidR="00C02A64" w:rsidRDefault="00C02A64" w:rsidP="00C02A64">
      <w:pPr>
        <w:rPr>
          <w:rFonts w:ascii="Arial Black" w:hAnsi="Arial Black"/>
          <w:b/>
          <w:bCs/>
          <w:sz w:val="28"/>
          <w:szCs w:val="28"/>
        </w:rPr>
      </w:pPr>
      <w:r>
        <w:rPr>
          <w:rFonts w:ascii="Arial Black" w:hAnsi="Arial Black"/>
          <w:b/>
          <w:bCs/>
          <w:sz w:val="28"/>
          <w:szCs w:val="28"/>
        </w:rPr>
        <w:t>NC: PATIENT REFUSED TRANSPORT – 94-YR MENTALY SOUND – DAUGHTER POWER OF ATTY CAN’T OVERRULE</w:t>
      </w:r>
    </w:p>
    <w:p w14:paraId="64AF3651" w14:textId="77777777" w:rsidR="00C02A64" w:rsidRDefault="00C02A64" w:rsidP="00C02A64">
      <w:pPr>
        <w:rPr>
          <w:rFonts w:ascii="Times New Roman" w:hAnsi="Times New Roman"/>
          <w:sz w:val="24"/>
          <w:szCs w:val="24"/>
        </w:rPr>
      </w:pPr>
      <w:r>
        <w:rPr>
          <w:rFonts w:ascii="Times New Roman" w:hAnsi="Times New Roman"/>
          <w:sz w:val="24"/>
          <w:szCs w:val="24"/>
        </w:rPr>
        <w:t xml:space="preserve">On Nov. 6, 2023, in </w:t>
      </w:r>
      <w:r w:rsidRPr="00DA7B1E">
        <w:rPr>
          <w:rFonts w:ascii="Times New Roman" w:hAnsi="Times New Roman"/>
          <w:sz w:val="24"/>
          <w:szCs w:val="24"/>
          <w:u w:val="single"/>
        </w:rPr>
        <w:t>Justin L. Sutton, as Personal Representative of the Estate of Hartwell Lanier King, Sr. and Betty K. Sutton v. Rockingham County, et al</w:t>
      </w:r>
      <w:r>
        <w:rPr>
          <w:rFonts w:ascii="Times New Roman" w:hAnsi="Times New Roman"/>
          <w:sz w:val="24"/>
          <w:szCs w:val="24"/>
        </w:rPr>
        <w:t xml:space="preserve">., U.S. District Court Judge Loretta C. Briggs, U.S. District Court for the Middle District of North Carolina, granted the defendants motion for summary judgment.  The EMS followed the protocol, conducted several “capacity assessments” of the patient and found him to be capable of making his own decision about transport.  The daughter’s Power of Attorney could not overrule the patient’s decision. </w:t>
      </w:r>
      <w:hyperlink r:id="rId2236" w:history="1">
        <w:r w:rsidRPr="009F1DF3">
          <w:rPr>
            <w:rStyle w:val="Hyperlink"/>
            <w:rFonts w:ascii="Times New Roman" w:hAnsi="Times New Roman"/>
            <w:sz w:val="24"/>
            <w:szCs w:val="24"/>
          </w:rPr>
          <w:t>https://casetext.com/case/sutton-v-rockingham-cnty-1</w:t>
        </w:r>
      </w:hyperlink>
      <w:r>
        <w:rPr>
          <w:rStyle w:val="Hyperlink"/>
          <w:rFonts w:ascii="Times New Roman" w:hAnsi="Times New Roman"/>
          <w:sz w:val="24"/>
          <w:szCs w:val="24"/>
        </w:rPr>
        <w:t xml:space="preserve"> </w:t>
      </w:r>
    </w:p>
    <w:p w14:paraId="327D5B11" w14:textId="77777777" w:rsidR="0042334A" w:rsidRDefault="0042334A" w:rsidP="0042334A">
      <w:pPr>
        <w:rPr>
          <w:rFonts w:ascii="Times New Roman" w:hAnsi="Times New Roman"/>
          <w:b/>
          <w:bCs/>
          <w:sz w:val="24"/>
          <w:szCs w:val="24"/>
        </w:rPr>
      </w:pPr>
      <w:r w:rsidRPr="005F2AA0">
        <w:rPr>
          <w:rFonts w:ascii="Times New Roman" w:hAnsi="Times New Roman"/>
          <w:b/>
          <w:bCs/>
          <w:sz w:val="24"/>
          <w:szCs w:val="24"/>
        </w:rPr>
        <w:t>Legal Lesson Learned:</w:t>
      </w:r>
      <w:r>
        <w:rPr>
          <w:rFonts w:ascii="Times New Roman" w:hAnsi="Times New Roman"/>
          <w:b/>
          <w:bCs/>
          <w:sz w:val="24"/>
          <w:szCs w:val="24"/>
        </w:rPr>
        <w:t xml:space="preserve"> The EMS personnel followed their protocol and properly declined the daughter’s Power of Attorney.</w:t>
      </w:r>
    </w:p>
    <w:p w14:paraId="7816ADAF" w14:textId="77777777" w:rsidR="00C02A64" w:rsidRDefault="00C02A64" w:rsidP="00A126EB">
      <w:pPr>
        <w:rPr>
          <w:rFonts w:ascii="Arial Black" w:hAnsi="Arial Black"/>
          <w:b/>
          <w:bCs/>
          <w:sz w:val="28"/>
          <w:szCs w:val="28"/>
        </w:rPr>
      </w:pPr>
    </w:p>
    <w:p w14:paraId="422D1673" w14:textId="321E2FB3" w:rsidR="002410DA" w:rsidRPr="002410DA" w:rsidRDefault="002410DA" w:rsidP="00A126EB">
      <w:pPr>
        <w:pStyle w:val="NormalWeb"/>
        <w:rPr>
          <w:b/>
          <w:bCs/>
        </w:rPr>
      </w:pPr>
    </w:p>
    <w:p w14:paraId="25BA5E5B" w14:textId="77777777" w:rsidR="002D6690" w:rsidRDefault="002D6690" w:rsidP="006A02A4">
      <w:pPr>
        <w:rPr>
          <w:rFonts w:ascii="Arial Black" w:hAnsi="Arial Black"/>
          <w:b/>
          <w:bCs/>
          <w:sz w:val="28"/>
          <w:szCs w:val="28"/>
        </w:rPr>
      </w:pPr>
    </w:p>
    <w:p w14:paraId="7FFCC54D" w14:textId="3ABAA78B" w:rsidR="00832745" w:rsidRDefault="00832745" w:rsidP="006A02A4">
      <w:pPr>
        <w:rPr>
          <w:rFonts w:ascii="Arial Black" w:hAnsi="Arial Black"/>
          <w:b/>
          <w:bCs/>
          <w:sz w:val="28"/>
          <w:szCs w:val="28"/>
        </w:rPr>
      </w:pPr>
      <w:r>
        <w:rPr>
          <w:rFonts w:ascii="Arial Black" w:hAnsi="Arial Black"/>
          <w:b/>
          <w:bCs/>
          <w:sz w:val="28"/>
          <w:szCs w:val="28"/>
        </w:rPr>
        <w:t>13-157</w:t>
      </w:r>
    </w:p>
    <w:p w14:paraId="0B17FF35" w14:textId="77777777" w:rsidR="00832745" w:rsidRDefault="00832745" w:rsidP="00832745">
      <w:pPr>
        <w:pStyle w:val="paragraph"/>
        <w:rPr>
          <w:rFonts w:ascii="Arial Black" w:hAnsi="Arial Black"/>
          <w:sz w:val="28"/>
          <w:szCs w:val="28"/>
        </w:rPr>
      </w:pPr>
      <w:r>
        <w:rPr>
          <w:rFonts w:ascii="Arial Black" w:hAnsi="Arial Black"/>
          <w:sz w:val="28"/>
          <w:szCs w:val="28"/>
        </w:rPr>
        <w:t>KY: JAIL NURSE / GUARDS - “DELIBERATELY INDIFFERENT” INMATE OVERDOSING METH – DIED – NO QUAL. IMMUNITY</w:t>
      </w:r>
    </w:p>
    <w:p w14:paraId="32A63872" w14:textId="77777777" w:rsidR="00832745" w:rsidRDefault="00832745" w:rsidP="00832745">
      <w:pPr>
        <w:pStyle w:val="paragraph"/>
      </w:pPr>
      <w:r>
        <w:t xml:space="preserve">On Oct. 26, 2023, </w:t>
      </w:r>
      <w:r w:rsidRPr="003268E4">
        <w:rPr>
          <w:u w:val="single"/>
        </w:rPr>
        <w:t>in Luanna Grote, Administrator of the Estate of Bradley Grote v. Kenton County, et al.</w:t>
      </w:r>
      <w:r>
        <w:t>, the U.S. Court of Appeals for 6</w:t>
      </w:r>
      <w:r w:rsidRPr="003268E4">
        <w:rPr>
          <w:vertAlign w:val="superscript"/>
        </w:rPr>
        <w:t>th</w:t>
      </w:r>
      <w:r>
        <w:t xml:space="preserve"> Circuit (Cincinnati) held (3 to 0) that trial court improperly granted defense motion for summary judgment.  Bradley Grote died of acute methamphetamine intoxication three days after his arrest and detention at the Kenton County Detention Center in Covington, Kentucky. The Court held: “Although Grote was visibly in distress when put in a booking cell at the jail, the jail’s [nurse] failed to render any treatment at all or seek further medical attention from a doctor on call or emergency medical services. Grote’s case exposes myriad failures by county and jail officials, including a lack of basic knowledge concerning overdoses and how to respond to them. Under the facts of this case, we hold that a jury could find that the medical provider was deliberately indifferent to Grote’s need for medical attention, but not that the jail deputies acted unconstitutionally.” </w:t>
      </w:r>
      <w:hyperlink r:id="rId2237" w:history="1">
        <w:r w:rsidRPr="0097451D">
          <w:rPr>
            <w:rStyle w:val="Hyperlink"/>
            <w:rFonts w:eastAsiaTheme="majorEastAsia"/>
          </w:rPr>
          <w:t>https://www.opn.ca6.uscourts.gov/opinions.pdf/23a0237p-06.pdf</w:t>
        </w:r>
      </w:hyperlink>
      <w:r>
        <w:t xml:space="preserve"> </w:t>
      </w:r>
    </w:p>
    <w:p w14:paraId="345587A9" w14:textId="77777777" w:rsidR="00832745" w:rsidRPr="00445048" w:rsidRDefault="00832745" w:rsidP="00832745">
      <w:pPr>
        <w:pStyle w:val="paragraph"/>
        <w:rPr>
          <w:b/>
          <w:bCs/>
        </w:rPr>
      </w:pPr>
      <w:r w:rsidRPr="00445048">
        <w:rPr>
          <w:b/>
          <w:bCs/>
        </w:rPr>
        <w:t xml:space="preserve">Legal Lesson Learned: </w:t>
      </w:r>
      <w:r>
        <w:rPr>
          <w:b/>
          <w:bCs/>
        </w:rPr>
        <w:t xml:space="preserve">Failure to take full set of vitals is example of “deliberately indifferent” to the inmate’s immediate need for medical attention. </w:t>
      </w:r>
    </w:p>
    <w:p w14:paraId="6D3D12A0" w14:textId="77777777" w:rsidR="00832745" w:rsidRDefault="00832745" w:rsidP="006A02A4">
      <w:pPr>
        <w:rPr>
          <w:rFonts w:ascii="Arial Black" w:hAnsi="Arial Black"/>
          <w:b/>
          <w:bCs/>
          <w:sz w:val="28"/>
          <w:szCs w:val="28"/>
        </w:rPr>
      </w:pPr>
    </w:p>
    <w:p w14:paraId="2C8F889D" w14:textId="67DB9056" w:rsidR="00832745" w:rsidRDefault="00832745" w:rsidP="006A02A4">
      <w:pPr>
        <w:rPr>
          <w:rFonts w:ascii="Arial Black" w:hAnsi="Arial Black"/>
          <w:b/>
          <w:bCs/>
          <w:sz w:val="28"/>
          <w:szCs w:val="28"/>
        </w:rPr>
      </w:pPr>
      <w:r>
        <w:rPr>
          <w:rFonts w:ascii="Arial Black" w:hAnsi="Arial Black"/>
          <w:b/>
          <w:bCs/>
          <w:sz w:val="28"/>
          <w:szCs w:val="28"/>
        </w:rPr>
        <w:t>13-156</w:t>
      </w:r>
    </w:p>
    <w:p w14:paraId="102859EC" w14:textId="77777777" w:rsidR="00832745" w:rsidRDefault="00832745" w:rsidP="00832745">
      <w:pPr>
        <w:pStyle w:val="NormalWeb"/>
        <w:rPr>
          <w:rFonts w:ascii="Arial Black" w:hAnsi="Arial Black"/>
          <w:sz w:val="28"/>
          <w:szCs w:val="28"/>
        </w:rPr>
      </w:pPr>
      <w:r>
        <w:rPr>
          <w:rFonts w:ascii="Arial Black" w:hAnsi="Arial Black"/>
          <w:sz w:val="28"/>
          <w:szCs w:val="28"/>
        </w:rPr>
        <w:t>KY: ALLERGIC REACTION SHELLFISH – 911 SENT EMS TO RESTAURANT BUT NOT HIS VEHICLE – DIED – NO LIABILITY</w:t>
      </w:r>
    </w:p>
    <w:p w14:paraId="770E7A5D" w14:textId="77777777" w:rsidR="00832745" w:rsidRDefault="00832745" w:rsidP="00832745">
      <w:pPr>
        <w:pStyle w:val="NormalWeb"/>
      </w:pPr>
      <w:r>
        <w:t xml:space="preserve">On Oct. 13, 2023, in </w:t>
      </w:r>
      <w:r>
        <w:rPr>
          <w:u w:val="single"/>
        </w:rPr>
        <w:t>Carrie Johnson, individually and as Administratrix of the estate of Denver Stephen Johnson v. Dawn Henry, et al</w:t>
      </w:r>
      <w:r>
        <w:t xml:space="preserve">., the Commonwealth of Kentucky Court of Appeals, held (3 to 0; unpublished) that the dispatcher cannot be held liable under the “Public Duty Doctrine.” The Court held: “Henry did nothing beyond her responsibility as a 911 operator that would create a special relationship with Mr. Johnson. She answered the 911 call and sent help, as she would for any other citizen. She also did not create a connection with Mr. Johnson and repeatedly </w:t>
      </w:r>
      <w:proofErr w:type="gramStart"/>
      <w:r>
        <w:t>foster</w:t>
      </w:r>
      <w:proofErr w:type="gramEnd"/>
      <w:r>
        <w:t xml:space="preserve"> the continuation of that relationship, like the officers in Gaither. Simply put, the Estate has not shown Henry owed any special duty to Mr. Johnson, beyond the duty owed by a 911 operator to the public at large. Without a special relationship, Henry owed no duty to protect Mr. Johnson from harm or accident. While Mr. Johnson’s death is tragic, Henry cannot be held liable under the public duty doctrine. *** It is not enough to allege ineptitude, even shameful and inexcusable ineptitude, by a municipal agency in failing to respond adequately to a call for help. To give rise to a special relationship, the agency’s response to the private party must in some demonstrable way exceed the response generally made to other members of the public.”); Koher v. Dial, 653 N.E.2d 524, 526 (Ind. Ct. App. 1995) (‘Standing alone, a governmental entity’s dispatch of emergency services does not create a private duty.’) </w:t>
      </w:r>
      <w:hyperlink r:id="rId2238" w:history="1">
        <w:r>
          <w:rPr>
            <w:rStyle w:val="Hyperlink"/>
          </w:rPr>
          <w:t>https://cases.justia.com/kentucky/court-of-appeals/2023-2022-ca-1113-mr.pdf?ts=1697205894</w:t>
        </w:r>
      </w:hyperlink>
      <w:r>
        <w:t xml:space="preserve"> </w:t>
      </w:r>
    </w:p>
    <w:p w14:paraId="4FE21997" w14:textId="77777777" w:rsidR="00832745" w:rsidRDefault="00832745" w:rsidP="00832745">
      <w:pPr>
        <w:pStyle w:val="NormalWeb"/>
        <w:rPr>
          <w:b/>
          <w:bCs/>
        </w:rPr>
      </w:pPr>
      <w:r>
        <w:rPr>
          <w:b/>
          <w:bCs/>
        </w:rPr>
        <w:t xml:space="preserve">Legal Lesson Learned: The Public Duty Doctrine protects dispatchers, and their employers, from liability. </w:t>
      </w:r>
    </w:p>
    <w:p w14:paraId="7150E088" w14:textId="77777777" w:rsidR="00832745" w:rsidRDefault="00832745" w:rsidP="006A02A4">
      <w:pPr>
        <w:rPr>
          <w:rFonts w:ascii="Arial Black" w:hAnsi="Arial Black"/>
          <w:b/>
          <w:bCs/>
          <w:sz w:val="28"/>
          <w:szCs w:val="28"/>
        </w:rPr>
      </w:pPr>
    </w:p>
    <w:p w14:paraId="35937190" w14:textId="77777777" w:rsidR="00832745" w:rsidRDefault="00832745" w:rsidP="006A02A4">
      <w:pPr>
        <w:rPr>
          <w:rFonts w:ascii="Arial Black" w:hAnsi="Arial Black"/>
          <w:b/>
          <w:bCs/>
          <w:sz w:val="28"/>
          <w:szCs w:val="28"/>
        </w:rPr>
      </w:pPr>
    </w:p>
    <w:p w14:paraId="7676E372" w14:textId="1F2A15B5" w:rsidR="00AC3E10" w:rsidRDefault="00AC3E10" w:rsidP="006A02A4">
      <w:pPr>
        <w:rPr>
          <w:rFonts w:ascii="Arial Black" w:hAnsi="Arial Black"/>
          <w:b/>
          <w:bCs/>
          <w:sz w:val="28"/>
          <w:szCs w:val="28"/>
        </w:rPr>
      </w:pPr>
      <w:r>
        <w:rPr>
          <w:rFonts w:ascii="Arial Black" w:hAnsi="Arial Black"/>
          <w:b/>
          <w:bCs/>
          <w:sz w:val="28"/>
          <w:szCs w:val="28"/>
        </w:rPr>
        <w:t>13-15</w:t>
      </w:r>
      <w:r w:rsidR="008F7EBA">
        <w:rPr>
          <w:rFonts w:ascii="Arial Black" w:hAnsi="Arial Black"/>
          <w:b/>
          <w:bCs/>
          <w:sz w:val="28"/>
          <w:szCs w:val="28"/>
        </w:rPr>
        <w:t>5</w:t>
      </w:r>
    </w:p>
    <w:p w14:paraId="4734A7E5" w14:textId="77777777" w:rsidR="00AC3E10" w:rsidRPr="00D41A7C" w:rsidRDefault="00AC3E10" w:rsidP="00AC3E10">
      <w:pPr>
        <w:pStyle w:val="NoSpacing"/>
        <w:rPr>
          <w:rFonts w:ascii="Arial Black" w:hAnsi="Arial Black"/>
          <w:b/>
          <w:bCs/>
          <w:sz w:val="28"/>
          <w:szCs w:val="28"/>
        </w:rPr>
      </w:pPr>
      <w:r>
        <w:rPr>
          <w:rFonts w:ascii="Arial Black" w:hAnsi="Arial Black"/>
          <w:b/>
          <w:bCs/>
          <w:sz w:val="28"/>
          <w:szCs w:val="28"/>
        </w:rPr>
        <w:t>OH: EMS TREATING HEAD INJURY OF DRUNK FEMALE – SHE RESISTED ARREST DRUNK BOYFRIEND – PATIENT CONV.</w:t>
      </w:r>
    </w:p>
    <w:p w14:paraId="4A19D415" w14:textId="77777777" w:rsidR="00AC3E10" w:rsidRPr="00E460C5" w:rsidRDefault="00AC3E10" w:rsidP="00AC3E10">
      <w:pPr>
        <w:pStyle w:val="NoSpacing"/>
        <w:rPr>
          <w:rFonts w:ascii="Times New Roman" w:hAnsi="Times New Roman"/>
          <w:sz w:val="24"/>
          <w:szCs w:val="24"/>
        </w:rPr>
      </w:pPr>
    </w:p>
    <w:p w14:paraId="5BEA05F0" w14:textId="77777777" w:rsidR="00AC3E10" w:rsidRDefault="00AC3E10" w:rsidP="00AC3E10">
      <w:pPr>
        <w:pStyle w:val="NoSpacing"/>
        <w:rPr>
          <w:rFonts w:ascii="Times New Roman" w:hAnsi="Times New Roman"/>
          <w:sz w:val="24"/>
          <w:szCs w:val="24"/>
        </w:rPr>
      </w:pPr>
      <w:r>
        <w:rPr>
          <w:rFonts w:ascii="Times New Roman" w:hAnsi="Times New Roman"/>
          <w:sz w:val="24"/>
          <w:szCs w:val="24"/>
        </w:rPr>
        <w:t xml:space="preserve">On Sept. 25, 2023, in </w:t>
      </w:r>
      <w:r w:rsidRPr="008B3A9C">
        <w:rPr>
          <w:rFonts w:ascii="Times New Roman" w:hAnsi="Times New Roman"/>
          <w:sz w:val="24"/>
          <w:szCs w:val="24"/>
          <w:u w:val="single"/>
        </w:rPr>
        <w:t>State of Ohio v. Veronica Sepulveda</w:t>
      </w:r>
      <w:r>
        <w:rPr>
          <w:rFonts w:ascii="Times New Roman" w:hAnsi="Times New Roman"/>
          <w:sz w:val="24"/>
          <w:szCs w:val="24"/>
        </w:rPr>
        <w:t xml:space="preserve">, the Court of Appeals of Ohio, Third Appellate District, Auglaize County, held (3 to 0) that jury properly found her guilty of Resisting Arrest (sentenced 30 days in jail); jury found her not guilty of </w:t>
      </w:r>
      <w:r w:rsidRPr="008B3A9C">
        <w:rPr>
          <w:rFonts w:ascii="Times New Roman" w:hAnsi="Times New Roman"/>
          <w:sz w:val="24"/>
          <w:szCs w:val="24"/>
        </w:rPr>
        <w:t>Obstructing Official Business.</w:t>
      </w:r>
      <w:r>
        <w:rPr>
          <w:rFonts w:ascii="Times New Roman" w:hAnsi="Times New Roman"/>
          <w:sz w:val="24"/>
          <w:szCs w:val="24"/>
        </w:rPr>
        <w:t xml:space="preserve">  Police officer told boyfriend to allow medics to treat her; when he refused, she interfered with arrest of her boyfriend. </w:t>
      </w:r>
    </w:p>
    <w:p w14:paraId="3BF2C000" w14:textId="77777777" w:rsidR="00AC3E10" w:rsidRDefault="00AC3E10" w:rsidP="00AC3E10">
      <w:pPr>
        <w:pStyle w:val="NoSpacing"/>
        <w:rPr>
          <w:rFonts w:ascii="Times New Roman" w:hAnsi="Times New Roman"/>
          <w:sz w:val="24"/>
          <w:szCs w:val="24"/>
        </w:rPr>
      </w:pPr>
    </w:p>
    <w:p w14:paraId="6ABC847B"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r w:rsidRPr="00DA08AA">
        <w:rPr>
          <w:rFonts w:ascii="Times New Roman" w:hAnsi="Times New Roman"/>
          <w:sz w:val="24"/>
          <w:szCs w:val="24"/>
        </w:rPr>
        <w:t>Sepulveda was convicted of Resisting Arrest in violation of R.C.</w:t>
      </w:r>
      <w:r>
        <w:rPr>
          <w:rFonts w:ascii="Times New Roman" w:hAnsi="Times New Roman"/>
          <w:sz w:val="24"/>
          <w:szCs w:val="24"/>
        </w:rPr>
        <w:t xml:space="preserve"> </w:t>
      </w:r>
      <w:r w:rsidRPr="00DA08AA">
        <w:rPr>
          <w:rFonts w:ascii="Times New Roman" w:hAnsi="Times New Roman"/>
          <w:sz w:val="24"/>
          <w:szCs w:val="24"/>
        </w:rPr>
        <w:t xml:space="preserve">2921.33(A), which reads, </w:t>
      </w:r>
      <w:r>
        <w:rPr>
          <w:rFonts w:ascii="Times New Roman" w:hAnsi="Times New Roman"/>
          <w:sz w:val="24"/>
          <w:szCs w:val="24"/>
        </w:rPr>
        <w:t>‘</w:t>
      </w:r>
      <w:r w:rsidRPr="00DA08AA">
        <w:rPr>
          <w:rFonts w:ascii="Times New Roman" w:hAnsi="Times New Roman"/>
          <w:sz w:val="24"/>
          <w:szCs w:val="24"/>
        </w:rPr>
        <w:t>No person, recklessly or by force, shall resist or interfere</w:t>
      </w:r>
      <w:r>
        <w:rPr>
          <w:rFonts w:ascii="Times New Roman" w:hAnsi="Times New Roman"/>
          <w:sz w:val="24"/>
          <w:szCs w:val="24"/>
        </w:rPr>
        <w:t xml:space="preserve"> </w:t>
      </w:r>
      <w:r w:rsidRPr="00DA08AA">
        <w:rPr>
          <w:rFonts w:ascii="Times New Roman" w:hAnsi="Times New Roman"/>
          <w:sz w:val="24"/>
          <w:szCs w:val="24"/>
        </w:rPr>
        <w:t>with a lawful arrest of the person or another.</w:t>
      </w:r>
      <w:r>
        <w:rPr>
          <w:rFonts w:ascii="Times New Roman" w:hAnsi="Times New Roman"/>
          <w:sz w:val="24"/>
          <w:szCs w:val="24"/>
        </w:rPr>
        <w:t>’</w:t>
      </w:r>
    </w:p>
    <w:p w14:paraId="5D3363A2" w14:textId="77777777" w:rsidR="00AC3E10" w:rsidRDefault="00AC3E10" w:rsidP="00AC3E10">
      <w:pPr>
        <w:pStyle w:val="NoSpacing"/>
        <w:ind w:left="720"/>
        <w:rPr>
          <w:rFonts w:ascii="Times New Roman" w:hAnsi="Times New Roman"/>
          <w:sz w:val="24"/>
          <w:szCs w:val="24"/>
        </w:rPr>
      </w:pPr>
    </w:p>
    <w:p w14:paraId="17822ED9" w14:textId="77777777" w:rsidR="00AC3E10" w:rsidRPr="00E460C5" w:rsidRDefault="00AC3E10" w:rsidP="00AC3E10">
      <w:pPr>
        <w:pStyle w:val="NoSpacing"/>
        <w:ind w:left="720"/>
        <w:rPr>
          <w:rFonts w:ascii="Times New Roman" w:hAnsi="Times New Roman"/>
          <w:sz w:val="24"/>
          <w:szCs w:val="24"/>
        </w:rPr>
      </w:pPr>
      <w:r>
        <w:rPr>
          <w:rFonts w:ascii="Times New Roman" w:hAnsi="Times New Roman"/>
          <w:sz w:val="24"/>
          <w:szCs w:val="24"/>
        </w:rPr>
        <w:t>[W]</w:t>
      </w:r>
      <w:proofErr w:type="spellStart"/>
      <w:r w:rsidRPr="00D16E8F">
        <w:rPr>
          <w:rFonts w:ascii="Times New Roman" w:hAnsi="Times New Roman"/>
          <w:sz w:val="24"/>
          <w:szCs w:val="24"/>
        </w:rPr>
        <w:t>hile</w:t>
      </w:r>
      <w:proofErr w:type="spellEnd"/>
      <w:r w:rsidRPr="00D16E8F">
        <w:rPr>
          <w:rFonts w:ascii="Times New Roman" w:hAnsi="Times New Roman"/>
          <w:sz w:val="24"/>
          <w:szCs w:val="24"/>
        </w:rPr>
        <w:t xml:space="preserve"> Sepulveda may have encouraged </w:t>
      </w:r>
      <w:r>
        <w:rPr>
          <w:rFonts w:ascii="Times New Roman" w:hAnsi="Times New Roman"/>
          <w:sz w:val="24"/>
          <w:szCs w:val="24"/>
        </w:rPr>
        <w:t xml:space="preserve">[her boyfriend, Tyler] </w:t>
      </w:r>
      <w:r w:rsidRPr="00D16E8F">
        <w:rPr>
          <w:rFonts w:ascii="Times New Roman" w:hAnsi="Times New Roman"/>
          <w:sz w:val="24"/>
          <w:szCs w:val="24"/>
        </w:rPr>
        <w:t>Dunlap to comply</w:t>
      </w:r>
      <w:r>
        <w:rPr>
          <w:rFonts w:ascii="Times New Roman" w:hAnsi="Times New Roman"/>
          <w:sz w:val="24"/>
          <w:szCs w:val="24"/>
        </w:rPr>
        <w:t xml:space="preserve"> </w:t>
      </w:r>
      <w:r w:rsidRPr="00D16E8F">
        <w:rPr>
          <w:rFonts w:ascii="Times New Roman" w:hAnsi="Times New Roman"/>
          <w:sz w:val="24"/>
          <w:szCs w:val="24"/>
        </w:rPr>
        <w:t>with Lt. Place’s orders when Dunlap refused to move away from Sepulveda on the</w:t>
      </w:r>
      <w:r>
        <w:rPr>
          <w:rFonts w:ascii="Times New Roman" w:hAnsi="Times New Roman"/>
          <w:sz w:val="24"/>
          <w:szCs w:val="24"/>
        </w:rPr>
        <w:t xml:space="preserve"> </w:t>
      </w:r>
      <w:r w:rsidRPr="00D16E8F">
        <w:rPr>
          <w:rFonts w:ascii="Times New Roman" w:hAnsi="Times New Roman"/>
          <w:sz w:val="24"/>
          <w:szCs w:val="24"/>
        </w:rPr>
        <w:t>ground, this did not stop Sepulveda from getting between Dunlap and Lt. Place</w:t>
      </w:r>
      <w:r>
        <w:rPr>
          <w:rFonts w:ascii="Times New Roman" w:hAnsi="Times New Roman"/>
          <w:sz w:val="24"/>
          <w:szCs w:val="24"/>
        </w:rPr>
        <w:t xml:space="preserve"> </w:t>
      </w:r>
      <w:r w:rsidRPr="00D16E8F">
        <w:rPr>
          <w:rFonts w:ascii="Times New Roman" w:hAnsi="Times New Roman"/>
          <w:sz w:val="24"/>
          <w:szCs w:val="24"/>
        </w:rPr>
        <w:t>when the arrest was taking place shortly thereafter. Sepulveda’s action in getting</w:t>
      </w:r>
      <w:r>
        <w:rPr>
          <w:rFonts w:ascii="Times New Roman" w:hAnsi="Times New Roman"/>
          <w:sz w:val="24"/>
          <w:szCs w:val="24"/>
        </w:rPr>
        <w:t xml:space="preserve"> </w:t>
      </w:r>
      <w:r w:rsidRPr="00D16E8F">
        <w:rPr>
          <w:rFonts w:ascii="Times New Roman" w:hAnsi="Times New Roman"/>
          <w:sz w:val="24"/>
          <w:szCs w:val="24"/>
        </w:rPr>
        <w:t>between Lt. Place and Dunlap, combined with her action moving Lt. Place’s Taser,</w:t>
      </w:r>
      <w:r>
        <w:rPr>
          <w:rFonts w:ascii="Times New Roman" w:hAnsi="Times New Roman"/>
          <w:sz w:val="24"/>
          <w:szCs w:val="24"/>
        </w:rPr>
        <w:t xml:space="preserve"> </w:t>
      </w:r>
      <w:r w:rsidRPr="00D16E8F">
        <w:rPr>
          <w:rFonts w:ascii="Times New Roman" w:hAnsi="Times New Roman"/>
          <w:sz w:val="24"/>
          <w:szCs w:val="24"/>
        </w:rPr>
        <w:t>led to her charges in this case.</w:t>
      </w:r>
      <w:r>
        <w:rPr>
          <w:rFonts w:ascii="Times New Roman" w:hAnsi="Times New Roman"/>
          <w:sz w:val="24"/>
          <w:szCs w:val="24"/>
        </w:rPr>
        <w:t xml:space="preserve">” </w:t>
      </w:r>
      <w:hyperlink r:id="rId2239" w:history="1">
        <w:r w:rsidRPr="00633022">
          <w:rPr>
            <w:rStyle w:val="Hyperlink"/>
            <w:rFonts w:ascii="Times New Roman" w:hAnsi="Times New Roman"/>
            <w:sz w:val="24"/>
            <w:szCs w:val="24"/>
          </w:rPr>
          <w:t>https://www.supremecourt.ohio.gov/rod/docs/pdf/3/2023/2023-Ohio-3429.pdf</w:t>
        </w:r>
      </w:hyperlink>
      <w:r>
        <w:rPr>
          <w:rFonts w:ascii="Times New Roman" w:hAnsi="Times New Roman"/>
          <w:sz w:val="24"/>
          <w:szCs w:val="24"/>
        </w:rPr>
        <w:t xml:space="preserve"> </w:t>
      </w:r>
    </w:p>
    <w:p w14:paraId="55E1510F" w14:textId="77777777" w:rsidR="00AC3E10" w:rsidRDefault="00AC3E10" w:rsidP="00AC3E10">
      <w:pPr>
        <w:pStyle w:val="NoSpacing"/>
        <w:rPr>
          <w:rFonts w:ascii="Times New Roman" w:hAnsi="Times New Roman"/>
          <w:b/>
          <w:bCs/>
          <w:sz w:val="24"/>
          <w:szCs w:val="24"/>
        </w:rPr>
      </w:pPr>
    </w:p>
    <w:p w14:paraId="0F02E092" w14:textId="7CB8BAC0" w:rsidR="00AC3E10" w:rsidRDefault="00AC3E10" w:rsidP="00AC3E10">
      <w:pPr>
        <w:pStyle w:val="NoSpacing"/>
        <w:rPr>
          <w:rFonts w:ascii="Times New Roman" w:hAnsi="Times New Roman"/>
          <w:b/>
          <w:bCs/>
          <w:sz w:val="24"/>
          <w:szCs w:val="24"/>
        </w:rPr>
      </w:pPr>
      <w:r w:rsidRPr="00A44D24">
        <w:rPr>
          <w:rFonts w:ascii="Times New Roman" w:hAnsi="Times New Roman"/>
          <w:b/>
          <w:bCs/>
          <w:sz w:val="24"/>
          <w:szCs w:val="24"/>
        </w:rPr>
        <w:t>Legal Lesson Learned:</w:t>
      </w:r>
      <w:r>
        <w:rPr>
          <w:rFonts w:ascii="Times New Roman" w:hAnsi="Times New Roman"/>
          <w:b/>
          <w:bCs/>
          <w:sz w:val="24"/>
          <w:szCs w:val="24"/>
        </w:rPr>
        <w:t xml:space="preserve"> Intoxicated patient, intoxicated boyfriend, injured police officer – 30 days in jail seems like a light sentence. </w:t>
      </w:r>
    </w:p>
    <w:p w14:paraId="29E166E2" w14:textId="77777777" w:rsidR="00AC3E10" w:rsidRDefault="00AC3E10" w:rsidP="006A02A4">
      <w:pPr>
        <w:rPr>
          <w:rFonts w:ascii="Arial Black" w:hAnsi="Arial Black"/>
          <w:b/>
          <w:bCs/>
          <w:sz w:val="28"/>
          <w:szCs w:val="28"/>
        </w:rPr>
      </w:pPr>
    </w:p>
    <w:p w14:paraId="0E25C8EE" w14:textId="4BF5E621" w:rsidR="00AC3E10" w:rsidRDefault="008F7EBA" w:rsidP="006A02A4">
      <w:pPr>
        <w:rPr>
          <w:rFonts w:ascii="Arial Black" w:hAnsi="Arial Black"/>
          <w:b/>
          <w:bCs/>
          <w:sz w:val="28"/>
          <w:szCs w:val="28"/>
        </w:rPr>
      </w:pPr>
      <w:r>
        <w:rPr>
          <w:rFonts w:ascii="Arial Black" w:hAnsi="Arial Black"/>
          <w:b/>
          <w:bCs/>
          <w:sz w:val="28"/>
          <w:szCs w:val="28"/>
        </w:rPr>
        <w:t>13-154</w:t>
      </w:r>
    </w:p>
    <w:p w14:paraId="3E33E6D2" w14:textId="338A5855" w:rsidR="008F7EBA" w:rsidRDefault="008F7EBA" w:rsidP="008F7EBA">
      <w:pPr>
        <w:pStyle w:val="NormalWeb"/>
        <w:rPr>
          <w:rFonts w:ascii="Arial Black" w:hAnsi="Arial Black"/>
          <w:b/>
          <w:bCs/>
          <w:sz w:val="28"/>
          <w:szCs w:val="28"/>
        </w:rPr>
      </w:pPr>
      <w:bookmarkStart w:id="435" w:name="_Hlk147080981"/>
      <w:r>
        <w:rPr>
          <w:rFonts w:ascii="Arial Black" w:hAnsi="Arial Black"/>
          <w:b/>
          <w:bCs/>
          <w:sz w:val="28"/>
          <w:szCs w:val="28"/>
        </w:rPr>
        <w:t>MI: POLICE – HANDCUFFED, FACE DOWN PRISONER – DIED ASPHYXIA – EMS IN 3 MIN - NO PD QUAL. IMMUNITY</w:t>
      </w:r>
    </w:p>
    <w:bookmarkEnd w:id="435"/>
    <w:p w14:paraId="682AD423" w14:textId="77777777" w:rsidR="008F7EBA" w:rsidRDefault="008F7EBA" w:rsidP="008F7EBA">
      <w:pPr>
        <w:pStyle w:val="NormalWeb"/>
      </w:pPr>
      <w:r w:rsidRPr="009B2552">
        <w:t xml:space="preserve">On </w:t>
      </w:r>
      <w:r>
        <w:t xml:space="preserve">Sept. 21, 2023, in Thomas E. </w:t>
      </w:r>
      <w:proofErr w:type="spellStart"/>
      <w:r>
        <w:t>Lunneen</w:t>
      </w:r>
      <w:proofErr w:type="spellEnd"/>
      <w:r>
        <w:t xml:space="preserve">, personal representative of the estate of </w:t>
      </w:r>
      <w:r w:rsidRPr="009B2552">
        <w:rPr>
          <w:u w:val="single"/>
        </w:rPr>
        <w:t xml:space="preserve">Jack C. </w:t>
      </w:r>
      <w:proofErr w:type="spellStart"/>
      <w:r w:rsidRPr="009B2552">
        <w:rPr>
          <w:u w:val="single"/>
        </w:rPr>
        <w:t>Lunneen</w:t>
      </w:r>
      <w:proofErr w:type="spellEnd"/>
      <w:r w:rsidRPr="009B2552">
        <w:rPr>
          <w:u w:val="single"/>
        </w:rPr>
        <w:t xml:space="preserve"> v. Village of Berrien Springs, Michigan, et al.</w:t>
      </w:r>
      <w:r>
        <w:t xml:space="preserve">, the U.S. Court of Appeals for the Sixth Circuit (Cincinnati) held (2 to 1) that the trial court judge properly denied qualified immunity to the arresting police officers and the village.  A jury will now decide if police </w:t>
      </w:r>
      <w:proofErr w:type="gramStart"/>
      <w:r>
        <w:t>used</w:t>
      </w:r>
      <w:proofErr w:type="gramEnd"/>
      <w:r>
        <w:t xml:space="preserve"> substantial force on the back of the handcuffed prisoner. EMS arrived three minutes after the arrest and will likely be called as witnesses for the plaintiff. </w:t>
      </w:r>
    </w:p>
    <w:p w14:paraId="7FAA2AAB" w14:textId="4E19385A" w:rsidR="008F7EBA" w:rsidRDefault="008F7EBA" w:rsidP="008F7EBA">
      <w:pPr>
        <w:ind w:left="720"/>
        <w:rPr>
          <w:rFonts w:ascii="Arial Black" w:hAnsi="Arial Black"/>
          <w:b/>
          <w:bCs/>
          <w:sz w:val="28"/>
          <w:szCs w:val="28"/>
        </w:rPr>
      </w:pPr>
      <w:r>
        <w:rPr>
          <w:rFonts w:ascii="Times New Roman" w:eastAsia="Times New Roman" w:hAnsi="Times New Roman"/>
          <w:sz w:val="24"/>
          <w:szCs w:val="24"/>
        </w:rPr>
        <w:t>“</w:t>
      </w:r>
      <w:r w:rsidRPr="00A35759">
        <w:rPr>
          <w:rFonts w:ascii="Times New Roman" w:eastAsia="Times New Roman" w:hAnsi="Times New Roman"/>
          <w:sz w:val="24"/>
          <w:szCs w:val="24"/>
        </w:rPr>
        <w:t>Wyss [</w:t>
      </w:r>
      <w:r w:rsidRPr="00A35759">
        <w:rPr>
          <w:rFonts w:ascii="Times New Roman" w:hAnsi="Times New Roman"/>
          <w:sz w:val="24"/>
          <w:szCs w:val="24"/>
        </w:rPr>
        <w:t xml:space="preserve">Officer James Wyss of the Village of Berrien Springs-Oronoko Township Police Department] </w:t>
      </w:r>
      <w:r w:rsidRPr="00A35759">
        <w:rPr>
          <w:rFonts w:ascii="Times New Roman" w:eastAsia="Times New Roman" w:hAnsi="Times New Roman"/>
          <w:sz w:val="24"/>
          <w:szCs w:val="24"/>
        </w:rPr>
        <w:t>argues</w:t>
      </w:r>
      <w:r w:rsidRPr="00646482">
        <w:rPr>
          <w:rFonts w:ascii="Times New Roman" w:eastAsia="Times New Roman" w:hAnsi="Times New Roman"/>
          <w:sz w:val="24"/>
          <w:szCs w:val="24"/>
        </w:rPr>
        <w:t xml:space="preserve"> that the district court erred because </w:t>
      </w:r>
      <w:r>
        <w:rPr>
          <w:rFonts w:ascii="Times New Roman" w:eastAsia="Times New Roman" w:hAnsi="Times New Roman"/>
          <w:sz w:val="24"/>
          <w:szCs w:val="24"/>
        </w:rPr>
        <w:t>‘</w:t>
      </w:r>
      <w:r w:rsidRPr="00646482">
        <w:rPr>
          <w:rFonts w:ascii="Times New Roman" w:eastAsia="Times New Roman" w:hAnsi="Times New Roman"/>
          <w:sz w:val="24"/>
          <w:szCs w:val="24"/>
        </w:rPr>
        <w:t xml:space="preserve">[t]here is nothing unreasonable and unconstitutional about </w:t>
      </w:r>
      <w:r w:rsidRPr="00646482">
        <w:rPr>
          <w:rFonts w:ascii="Times New Roman" w:eastAsia="Times New Roman" w:hAnsi="Times New Roman"/>
          <w:i/>
          <w:iCs/>
          <w:sz w:val="24"/>
          <w:szCs w:val="24"/>
        </w:rPr>
        <w:t>merely holding onto the handcuffs</w:t>
      </w:r>
      <w:r w:rsidRPr="00646482">
        <w:rPr>
          <w:rFonts w:ascii="Times New Roman" w:eastAsia="Times New Roman" w:hAnsi="Times New Roman"/>
          <w:sz w:val="24"/>
          <w:szCs w:val="24"/>
        </w:rPr>
        <w:t xml:space="preserve"> following the erratic behavior and extensive resistance displayed by </w:t>
      </w:r>
      <w:proofErr w:type="spellStart"/>
      <w:r w:rsidRPr="00646482">
        <w:rPr>
          <w:rFonts w:ascii="Times New Roman" w:eastAsia="Times New Roman" w:hAnsi="Times New Roman"/>
          <w:sz w:val="24"/>
          <w:szCs w:val="24"/>
        </w:rPr>
        <w:t>Lunneen</w:t>
      </w:r>
      <w:proofErr w:type="spellEnd"/>
      <w:r w:rsidRPr="00646482">
        <w:rPr>
          <w:rFonts w:ascii="Times New Roman" w:eastAsia="Times New Roman" w:hAnsi="Times New Roman"/>
          <w:sz w:val="24"/>
          <w:szCs w:val="24"/>
        </w:rPr>
        <w:t xml:space="preserve"> before he was detained.</w:t>
      </w:r>
      <w:r>
        <w:rPr>
          <w:rFonts w:ascii="Times New Roman" w:eastAsia="Times New Roman" w:hAnsi="Times New Roman"/>
          <w:sz w:val="24"/>
          <w:szCs w:val="24"/>
        </w:rPr>
        <w:t>’</w:t>
      </w:r>
      <w:r w:rsidRPr="00646482">
        <w:rPr>
          <w:rFonts w:ascii="Times New Roman" w:eastAsia="Times New Roman" w:hAnsi="Times New Roman"/>
          <w:sz w:val="24"/>
          <w:szCs w:val="24"/>
        </w:rPr>
        <w:t xml:space="preserve"> Wyss Opening Br. at 33 (emphasis added). But Wyss's argument is based on his own version of the facts-that he was </w:t>
      </w:r>
      <w:r>
        <w:rPr>
          <w:rFonts w:ascii="Times New Roman" w:eastAsia="Times New Roman" w:hAnsi="Times New Roman"/>
          <w:sz w:val="24"/>
          <w:szCs w:val="24"/>
        </w:rPr>
        <w:t>‘</w:t>
      </w:r>
      <w:r w:rsidRPr="00646482">
        <w:rPr>
          <w:rFonts w:ascii="Times New Roman" w:eastAsia="Times New Roman" w:hAnsi="Times New Roman"/>
          <w:sz w:val="24"/>
          <w:szCs w:val="24"/>
        </w:rPr>
        <w:t>merely holding onto the handcuffs.</w:t>
      </w:r>
      <w:r>
        <w:rPr>
          <w:rFonts w:ascii="Times New Roman" w:eastAsia="Times New Roman" w:hAnsi="Times New Roman"/>
          <w:sz w:val="24"/>
          <w:szCs w:val="24"/>
        </w:rPr>
        <w:t>’</w:t>
      </w:r>
      <w:r w:rsidRPr="00646482">
        <w:rPr>
          <w:rFonts w:ascii="Times New Roman" w:eastAsia="Times New Roman" w:hAnsi="Times New Roman"/>
          <w:sz w:val="24"/>
          <w:szCs w:val="24"/>
        </w:rPr>
        <w:t xml:space="preserve"> The video footage does not indisputably demonstrate this; Wyss's hand often appears to be in contact with </w:t>
      </w:r>
      <w:proofErr w:type="spellStart"/>
      <w:r w:rsidRPr="00646482">
        <w:rPr>
          <w:rFonts w:ascii="Times New Roman" w:eastAsia="Times New Roman" w:hAnsi="Times New Roman"/>
          <w:sz w:val="24"/>
          <w:szCs w:val="24"/>
        </w:rPr>
        <w:t>Lunneen's</w:t>
      </w:r>
      <w:proofErr w:type="spellEnd"/>
      <w:r w:rsidRPr="00646482">
        <w:rPr>
          <w:rFonts w:ascii="Times New Roman" w:eastAsia="Times New Roman" w:hAnsi="Times New Roman"/>
          <w:sz w:val="24"/>
          <w:szCs w:val="24"/>
        </w:rPr>
        <w:t xml:space="preserve"> back during this time and the amount of pressure he applies is not clear. And, as discussed above, Plaintiff's expert opined that </w:t>
      </w:r>
      <w:proofErr w:type="spellStart"/>
      <w:r w:rsidRPr="00646482">
        <w:rPr>
          <w:rFonts w:ascii="Times New Roman" w:eastAsia="Times New Roman" w:hAnsi="Times New Roman"/>
          <w:sz w:val="24"/>
          <w:szCs w:val="24"/>
        </w:rPr>
        <w:t>Lunneen's</w:t>
      </w:r>
      <w:proofErr w:type="spellEnd"/>
      <w:r w:rsidRPr="00646482">
        <w:rPr>
          <w:rFonts w:ascii="Times New Roman" w:eastAsia="Times New Roman" w:hAnsi="Times New Roman"/>
          <w:sz w:val="24"/>
          <w:szCs w:val="24"/>
        </w:rPr>
        <w:t xml:space="preserve"> autopsy revealed </w:t>
      </w:r>
      <w:r>
        <w:rPr>
          <w:rFonts w:ascii="Times New Roman" w:eastAsia="Times New Roman" w:hAnsi="Times New Roman"/>
          <w:sz w:val="24"/>
          <w:szCs w:val="24"/>
        </w:rPr>
        <w:t>‘</w:t>
      </w:r>
      <w:r w:rsidRPr="00646482">
        <w:rPr>
          <w:rFonts w:ascii="Times New Roman" w:eastAsia="Times New Roman" w:hAnsi="Times New Roman"/>
          <w:sz w:val="24"/>
          <w:szCs w:val="24"/>
        </w:rPr>
        <w:t>large areas of hemorrhage in the soft tissues and deep muscles of the mid and lower back bilaterally, evidence of severe prone back pressure.</w:t>
      </w:r>
      <w:r>
        <w:rPr>
          <w:rFonts w:ascii="Times New Roman" w:eastAsia="Times New Roman" w:hAnsi="Times New Roman"/>
          <w:sz w:val="24"/>
          <w:szCs w:val="24"/>
        </w:rPr>
        <w:t>’</w:t>
      </w:r>
      <w:r w:rsidRPr="00646482">
        <w:rPr>
          <w:rFonts w:ascii="Times New Roman" w:eastAsia="Times New Roman" w:hAnsi="Times New Roman"/>
          <w:sz w:val="24"/>
          <w:szCs w:val="24"/>
        </w:rPr>
        <w:t xml:space="preserve"> R. 57-3, PID # 389; </w:t>
      </w:r>
      <w:r w:rsidRPr="00646482">
        <w:rPr>
          <w:rFonts w:ascii="Times New Roman" w:eastAsia="Times New Roman" w:hAnsi="Times New Roman"/>
          <w:i/>
          <w:iCs/>
          <w:sz w:val="24"/>
          <w:szCs w:val="24"/>
        </w:rPr>
        <w:t>see also</w:t>
      </w:r>
      <w:r w:rsidRPr="00646482">
        <w:rPr>
          <w:rFonts w:ascii="Times New Roman" w:eastAsia="Times New Roman" w:hAnsi="Times New Roman"/>
          <w:sz w:val="24"/>
          <w:szCs w:val="24"/>
        </w:rPr>
        <w:t xml:space="preserve"> R. 57-11 (report by Dr. </w:t>
      </w:r>
      <w:proofErr w:type="spellStart"/>
      <w:r w:rsidRPr="00646482">
        <w:rPr>
          <w:rFonts w:ascii="Times New Roman" w:eastAsia="Times New Roman" w:hAnsi="Times New Roman"/>
          <w:sz w:val="24"/>
          <w:szCs w:val="24"/>
        </w:rPr>
        <w:t>Wohlgelernter</w:t>
      </w:r>
      <w:proofErr w:type="spellEnd"/>
      <w:r w:rsidRPr="00646482">
        <w:rPr>
          <w:rFonts w:ascii="Times New Roman" w:eastAsia="Times New Roman" w:hAnsi="Times New Roman"/>
          <w:sz w:val="24"/>
          <w:szCs w:val="24"/>
        </w:rPr>
        <w:t xml:space="preserve">, who concluded that </w:t>
      </w:r>
      <w:proofErr w:type="spellStart"/>
      <w:r w:rsidRPr="00646482">
        <w:rPr>
          <w:rFonts w:ascii="Times New Roman" w:eastAsia="Times New Roman" w:hAnsi="Times New Roman"/>
          <w:sz w:val="24"/>
          <w:szCs w:val="24"/>
        </w:rPr>
        <w:t>Lunneen</w:t>
      </w:r>
      <w:proofErr w:type="spellEnd"/>
      <w:r w:rsidRPr="00646482">
        <w:rPr>
          <w:rFonts w:ascii="Times New Roman" w:eastAsia="Times New Roman" w:hAnsi="Times New Roman"/>
          <w:sz w:val="24"/>
          <w:szCs w:val="24"/>
        </w:rPr>
        <w:t xml:space="preserve"> died from </w:t>
      </w:r>
      <w:r>
        <w:rPr>
          <w:rFonts w:ascii="Times New Roman" w:eastAsia="Times New Roman" w:hAnsi="Times New Roman"/>
          <w:sz w:val="24"/>
          <w:szCs w:val="24"/>
        </w:rPr>
        <w:t>‘</w:t>
      </w:r>
      <w:r w:rsidRPr="00646482">
        <w:rPr>
          <w:rFonts w:ascii="Times New Roman" w:eastAsia="Times New Roman" w:hAnsi="Times New Roman"/>
          <w:sz w:val="24"/>
          <w:szCs w:val="24"/>
        </w:rPr>
        <w:t>restraint/compressive asphyxia with mechanical obstruction of respiration, secondary to compressive force applied to his torso by the police officers with resultant respiratory compromise and subsequent development of hypoxia/hypoxemia causing asystole and PEA cardiac arrest).</w:t>
      </w:r>
      <w:r>
        <w:rPr>
          <w:rFonts w:ascii="Times New Roman" w:eastAsia="Times New Roman" w:hAnsi="Times New Roman"/>
          <w:sz w:val="24"/>
          <w:szCs w:val="24"/>
        </w:rPr>
        <w:t xml:space="preserve">” </w:t>
      </w:r>
      <w:hyperlink r:id="rId2240" w:history="1">
        <w:r w:rsidRPr="00D01575">
          <w:rPr>
            <w:rStyle w:val="Hyperlink"/>
            <w:rFonts w:ascii="Times New Roman" w:eastAsia="Times New Roman" w:hAnsi="Times New Roman"/>
            <w:sz w:val="24"/>
            <w:szCs w:val="24"/>
          </w:rPr>
          <w:t>https://public.fastcase.com/ZZhmr5v9wN%2FXOe5IsQ%2FqDwASFNWp2rhZooTaAZ4JTmSP%2Ba577zfXOKFdhmxj2NNxZ%2BfUfh8HTXLnmAlto%2FfEgpJtIv6O1WLjBzQZiKVSV8A%3D?utm_medium=email&amp;_hsmi=226712652&amp;_hsenc=p2ANqtz-9KUYaeGFguXeYoSZu4M54zm4xcFhouQPplq1qZXjy7nqatE34VLjsx4SN3mygo2_n2CHhg7EjDYW1VqsMoJq110-zPJg&amp;utm_content=226712652&amp;utm_source=hs_email</w:t>
        </w:r>
      </w:hyperlink>
    </w:p>
    <w:p w14:paraId="39441514" w14:textId="77777777" w:rsidR="008F7EBA" w:rsidRPr="007C2BBC" w:rsidRDefault="008F7EBA" w:rsidP="008F7EBA">
      <w:pPr>
        <w:pStyle w:val="NormalWeb"/>
        <w:rPr>
          <w:b/>
          <w:bCs/>
        </w:rPr>
      </w:pPr>
      <w:r w:rsidRPr="007C2BBC">
        <w:rPr>
          <w:b/>
          <w:bCs/>
        </w:rPr>
        <w:t xml:space="preserve">Legal Lesson Learned: </w:t>
      </w:r>
      <w:r>
        <w:rPr>
          <w:b/>
          <w:bCs/>
        </w:rPr>
        <w:t xml:space="preserve">EMS who observe police holding face down a handcuffed prisoner can expect to testify if the prisoner dies or is seriously injured. </w:t>
      </w:r>
    </w:p>
    <w:p w14:paraId="6304ECCC" w14:textId="77777777" w:rsidR="00AC3E10" w:rsidRDefault="00AC3E10" w:rsidP="006A02A4">
      <w:pPr>
        <w:rPr>
          <w:rFonts w:ascii="Arial Black" w:hAnsi="Arial Black"/>
          <w:b/>
          <w:bCs/>
          <w:sz w:val="28"/>
          <w:szCs w:val="28"/>
        </w:rPr>
      </w:pPr>
    </w:p>
    <w:p w14:paraId="104E8460" w14:textId="77777777" w:rsidR="008F7EBA" w:rsidRDefault="008F7EBA" w:rsidP="006A02A4">
      <w:pPr>
        <w:rPr>
          <w:rFonts w:ascii="Arial Black" w:hAnsi="Arial Black"/>
          <w:b/>
          <w:bCs/>
          <w:sz w:val="28"/>
          <w:szCs w:val="28"/>
        </w:rPr>
      </w:pPr>
    </w:p>
    <w:p w14:paraId="6809C985" w14:textId="5A9A0D81" w:rsidR="00DA3CAA" w:rsidRDefault="00DA3CAA" w:rsidP="006A02A4">
      <w:pPr>
        <w:rPr>
          <w:rFonts w:ascii="Arial Black" w:hAnsi="Arial Black"/>
          <w:b/>
          <w:bCs/>
          <w:sz w:val="28"/>
          <w:szCs w:val="28"/>
        </w:rPr>
      </w:pPr>
      <w:r>
        <w:rPr>
          <w:rFonts w:ascii="Arial Black" w:hAnsi="Arial Black"/>
          <w:b/>
          <w:bCs/>
          <w:sz w:val="28"/>
          <w:szCs w:val="28"/>
        </w:rPr>
        <w:t>13-153</w:t>
      </w:r>
    </w:p>
    <w:p w14:paraId="6EA7B7A2" w14:textId="77777777" w:rsidR="00DA3CAA" w:rsidRDefault="00DA3CAA" w:rsidP="00DA3CAA">
      <w:pPr>
        <w:pStyle w:val="NormalWeb"/>
        <w:rPr>
          <w:rFonts w:ascii="Arial Black" w:hAnsi="Arial Black"/>
          <w:sz w:val="28"/>
          <w:szCs w:val="28"/>
        </w:rPr>
      </w:pPr>
      <w:r>
        <w:rPr>
          <w:rFonts w:ascii="Arial Black" w:hAnsi="Arial Black"/>
          <w:sz w:val="28"/>
          <w:szCs w:val="28"/>
        </w:rPr>
        <w:t>PA: DIZZINESS / LIFT ASSIST – DIDN’T BRING IN MONITOR – REFUSED TRANSPORT, CARDIAC ARREST – NO GROSS NEG.</w:t>
      </w:r>
    </w:p>
    <w:p w14:paraId="333CC0EE"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hAnsi="Times New Roman"/>
          <w:sz w:val="24"/>
          <w:szCs w:val="24"/>
        </w:rPr>
        <w:t xml:space="preserve">On July 28, 2023, in </w:t>
      </w:r>
      <w:r w:rsidRPr="00DA3CAA">
        <w:rPr>
          <w:rFonts w:ascii="Times New Roman" w:hAnsi="Times New Roman"/>
          <w:sz w:val="24"/>
          <w:szCs w:val="24"/>
          <w:u w:val="single"/>
        </w:rPr>
        <w:t>Frederick T. Fry. Administrator of Estate of Jean Ann Fry v. Montrose Minute Men, Inc</w:t>
      </w:r>
      <w:r w:rsidRPr="00DA3CAA">
        <w:rPr>
          <w:rFonts w:ascii="Times New Roman" w:hAnsi="Times New Roman"/>
          <w:sz w:val="24"/>
          <w:szCs w:val="24"/>
        </w:rPr>
        <w:t>., the Superior Court of Pennsylvania, held (3 to 0; non-precedential decision) that the trial court properly granted EMS summary judgment.  There may have been negligence regarding not bringing in monitor, and subsequent actions at the scene (plaintiff’s two expert witness medical doctors submitted reports finding breaches of protocol), but there was no proof of gross negligence.  The expert witness for EMS, another medical doctor, in his report disagree and concluded, “T</w:t>
      </w:r>
      <w:r w:rsidRPr="00DA3CAA">
        <w:rPr>
          <w:rFonts w:ascii="Times New Roman" w:eastAsia="Times New Roman" w:hAnsi="Times New Roman"/>
          <w:sz w:val="24"/>
          <w:szCs w:val="24"/>
        </w:rPr>
        <w:t xml:space="preserve">he EMS providers on the scene responded admirably to a very difficult situation.” </w:t>
      </w:r>
    </w:p>
    <w:p w14:paraId="3CC246B3" w14:textId="77777777" w:rsidR="00DA3CAA" w:rsidRPr="00DA3CAA" w:rsidRDefault="00DA3CAA" w:rsidP="00DA3CAA">
      <w:pPr>
        <w:spacing w:after="100" w:line="240" w:lineRule="auto"/>
        <w:rPr>
          <w:rFonts w:ascii="Times New Roman" w:eastAsia="Times New Roman" w:hAnsi="Times New Roman"/>
          <w:sz w:val="24"/>
          <w:szCs w:val="24"/>
        </w:rPr>
      </w:pPr>
    </w:p>
    <w:p w14:paraId="041F0B83"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eastAsia="Times New Roman" w:hAnsi="Times New Roman"/>
          <w:sz w:val="24"/>
          <w:szCs w:val="24"/>
        </w:rPr>
        <w:t xml:space="preserve">The Court held: </w:t>
      </w:r>
    </w:p>
    <w:p w14:paraId="360942D5" w14:textId="77777777" w:rsidR="00DA3CAA" w:rsidRPr="00DA3CAA" w:rsidRDefault="00DA3CAA" w:rsidP="00DA3CAA">
      <w:pPr>
        <w:spacing w:after="100" w:line="240" w:lineRule="auto"/>
        <w:rPr>
          <w:rFonts w:ascii="Times New Roman" w:hAnsi="Times New Roman"/>
          <w:sz w:val="24"/>
          <w:szCs w:val="24"/>
        </w:rPr>
      </w:pPr>
      <w:r w:rsidRPr="00DA3CAA">
        <w:rPr>
          <w:rFonts w:ascii="Times New Roman" w:hAnsi="Times New Roman"/>
          <w:sz w:val="24"/>
          <w:szCs w:val="24"/>
        </w:rPr>
        <w:t>“The crew's failure to bring in diagnostic equipment when they arrived at the Fry residence hardly rises to an extreme departure from the standard of care or shows a conscious, voluntary omission in reckless disregard of a legal duty. At most, the failure of the crew to bring equipment when they first arrived at the Fry home may - or may not - rise to a level of ordinary negligence.</w:t>
      </w:r>
    </w:p>
    <w:p w14:paraId="1C55BF98"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hAnsi="Times New Roman"/>
          <w:sz w:val="24"/>
          <w:szCs w:val="24"/>
        </w:rPr>
        <w:t>***</w:t>
      </w:r>
    </w:p>
    <w:p w14:paraId="47FEE111" w14:textId="20A3F85F" w:rsidR="00DA3CAA" w:rsidRDefault="00DA3CAA" w:rsidP="00DA3CAA">
      <w:pPr>
        <w:rPr>
          <w:rFonts w:ascii="Arial Black" w:hAnsi="Arial Black"/>
          <w:b/>
          <w:bCs/>
          <w:sz w:val="28"/>
          <w:szCs w:val="28"/>
        </w:rPr>
      </w:pPr>
      <w:r w:rsidRPr="00DA3CAA">
        <w:rPr>
          <w:rFonts w:ascii="Times New Roman" w:hAnsi="Times New Roman"/>
          <w:sz w:val="24"/>
          <w:szCs w:val="24"/>
        </w:rPr>
        <w:t xml:space="preserve">Distilled down, Fry argues that his expert reports, by themselves, create inherent issues of fact that are necessary for jury adjudication. However, other than citing two pieces of ‘authority,’ one from this Court and another from a trial-court level decision, even accepting everything contained within his expert reports as true, Fry has failed to show that the Minute Men, or its agents, engaged in any kind of behavior that could be considered grossly negligent or willful misconduct.” </w:t>
      </w:r>
      <w:hyperlink r:id="rId2241" w:history="1">
        <w:r w:rsidRPr="00DA3CAA">
          <w:rPr>
            <w:rStyle w:val="Hyperlink"/>
            <w:rFonts w:ascii="Times New Roman" w:eastAsiaTheme="majorEastAsia" w:hAnsi="Times New Roman"/>
            <w:sz w:val="24"/>
            <w:szCs w:val="24"/>
          </w:rPr>
          <w:t>https://public.fastcase.com/ZZhmr5v9wN%2FXOe5IsQ%2FqD%2FMrsYybnhzToDs3pNIz1%2FKuVE%2FXrNjXuEwJjzIPMf50bv4pQ7cB9hbsaZ7iWrESGuHFIj%2FFdpWNLAaphAA7k6c%3D?utm_medium=email&amp;_hsmi=226712652&amp;_hsenc=p2ANqtz-_5oWIy3JVMzQhw9Nc4Op3ZwRC559261JhKrpKmwZ_i9sOC_6POwqnLW9vjaTKG4YfwH8U6J7L56i3T2Eyz1DW0ZK0ATw&amp;utm_content=226712652&amp;utm_source=hs_email</w:t>
        </w:r>
      </w:hyperlink>
    </w:p>
    <w:p w14:paraId="176A673A" w14:textId="77777777" w:rsidR="00DA3CAA" w:rsidRPr="00A95A76" w:rsidRDefault="00DA3CAA" w:rsidP="00DA3CAA">
      <w:pPr>
        <w:pStyle w:val="NormalWeb"/>
        <w:rPr>
          <w:b/>
          <w:bCs/>
        </w:rPr>
      </w:pPr>
      <w:r w:rsidRPr="00A95A76">
        <w:rPr>
          <w:b/>
          <w:bCs/>
        </w:rPr>
        <w:t xml:space="preserve">Legal Lesson Learned: </w:t>
      </w:r>
      <w:r>
        <w:rPr>
          <w:b/>
          <w:bCs/>
        </w:rPr>
        <w:t xml:space="preserve">Bring </w:t>
      </w:r>
      <w:proofErr w:type="gramStart"/>
      <w:r>
        <w:rPr>
          <w:b/>
          <w:bCs/>
        </w:rPr>
        <w:t>in</w:t>
      </w:r>
      <w:proofErr w:type="gramEnd"/>
      <w:r>
        <w:rPr>
          <w:b/>
          <w:bCs/>
        </w:rPr>
        <w:t xml:space="preserve"> Monitor even if call is for lift assist. </w:t>
      </w:r>
    </w:p>
    <w:p w14:paraId="35D5F126" w14:textId="77777777" w:rsidR="00DA3CAA" w:rsidRDefault="00DA3CAA" w:rsidP="006A02A4">
      <w:pPr>
        <w:rPr>
          <w:rFonts w:ascii="Arial Black" w:hAnsi="Arial Black"/>
          <w:b/>
          <w:bCs/>
          <w:sz w:val="28"/>
          <w:szCs w:val="28"/>
        </w:rPr>
      </w:pPr>
    </w:p>
    <w:p w14:paraId="3876C319" w14:textId="77777777" w:rsidR="00DA3CAA" w:rsidRDefault="00DA3CAA" w:rsidP="006A02A4">
      <w:pPr>
        <w:rPr>
          <w:rFonts w:ascii="Arial Black" w:hAnsi="Arial Black"/>
          <w:b/>
          <w:bCs/>
          <w:sz w:val="28"/>
          <w:szCs w:val="28"/>
        </w:rPr>
      </w:pPr>
    </w:p>
    <w:p w14:paraId="47119F22" w14:textId="6B9118F1" w:rsidR="00DA3CAA" w:rsidRDefault="00DA3CAA" w:rsidP="006A02A4">
      <w:pPr>
        <w:rPr>
          <w:rFonts w:ascii="Arial Black" w:hAnsi="Arial Black"/>
          <w:b/>
          <w:bCs/>
          <w:sz w:val="28"/>
          <w:szCs w:val="28"/>
        </w:rPr>
      </w:pPr>
      <w:r>
        <w:rPr>
          <w:rFonts w:ascii="Arial Black" w:hAnsi="Arial Black"/>
          <w:b/>
          <w:bCs/>
          <w:sz w:val="28"/>
          <w:szCs w:val="28"/>
        </w:rPr>
        <w:t>13-152</w:t>
      </w:r>
    </w:p>
    <w:p w14:paraId="6EF7D0FD" w14:textId="176F347C" w:rsidR="00DA3CAA" w:rsidRPr="00C03DA4" w:rsidRDefault="00DA3CAA" w:rsidP="00DA3CAA">
      <w:pPr>
        <w:pStyle w:val="NormalWeb"/>
        <w:rPr>
          <w:rFonts w:ascii="Arial Black" w:hAnsi="Arial Black"/>
          <w:b/>
          <w:bCs/>
          <w:sz w:val="28"/>
          <w:szCs w:val="28"/>
        </w:rPr>
      </w:pPr>
      <w:r>
        <w:rPr>
          <w:rFonts w:ascii="Arial Black" w:hAnsi="Arial Black"/>
          <w:b/>
          <w:bCs/>
          <w:sz w:val="28"/>
          <w:szCs w:val="28"/>
        </w:rPr>
        <w:t>MI: CEREBAL PALSY PATIENT – FAMILY SAID SHE STILL BREATHING - ALIVE FUNERAL HOME - EMS QUAL. IMMUN.</w:t>
      </w:r>
    </w:p>
    <w:p w14:paraId="341962BC" w14:textId="77777777" w:rsidR="00DA3CAA" w:rsidRDefault="00DA3CAA" w:rsidP="00DA3CAA">
      <w:pPr>
        <w:pStyle w:val="NormalWeb"/>
      </w:pPr>
      <w:r>
        <w:t xml:space="preserve">On July 26, 2023, in </w:t>
      </w:r>
      <w:r w:rsidRPr="00C03DA4">
        <w:rPr>
          <w:u w:val="single"/>
        </w:rPr>
        <w:t>Howard T. Linden, as Personal Representative of the Estate of Timesha Beauchamp v</w:t>
      </w:r>
      <w:r>
        <w:rPr>
          <w:u w:val="single"/>
        </w:rPr>
        <w:t>.</w:t>
      </w:r>
      <w:r w:rsidRPr="00C03DA4">
        <w:rPr>
          <w:u w:val="single"/>
        </w:rPr>
        <w:t xml:space="preserve"> City of Southfield, Michigan, et al</w:t>
      </w:r>
      <w:r>
        <w:t>., the U.S. Court of Appeals for 6</w:t>
      </w:r>
      <w:r w:rsidRPr="00C03DA4">
        <w:rPr>
          <w:vertAlign w:val="superscript"/>
        </w:rPr>
        <w:t>th</w:t>
      </w:r>
      <w:r>
        <w:t xml:space="preserve"> Circuit (Cincinnati) held (3 to 0) that the trial court judge properly dismissed the lawsuit, holding that that the paramedics enjoyed qualified immunity, and therefore the City is also not liable. On Aug. 23, 2020, EMS were called to home of a 20-year-old woman with cerebral palsy who was unresponsive. After CPR and ventilation with a bag valve mask, the family was told she had died.  However, on three occasions family members said she appeared to still be </w:t>
      </w:r>
      <w:proofErr w:type="gramStart"/>
      <w:r>
        <w:t>breathing</w:t>
      </w:r>
      <w:proofErr w:type="gramEnd"/>
      <w:r>
        <w:t xml:space="preserve"> and the monitor showed electrical activity.  When at funeral home, the embalmer saw her chest rising; she died six weeks later. The Court rejected plaintiff’s “state-created danger” theory since EMS did not expose the patient to “private acts of violence.” The Court also rejected the “failure to train” liability for the City, since the lawsuit complaint contained no factual allegations about their EMS training. </w:t>
      </w:r>
    </w:p>
    <w:p w14:paraId="4CEDA4A2" w14:textId="77777777" w:rsidR="00DA3CAA" w:rsidRDefault="00DA3CAA" w:rsidP="00DA3CAA">
      <w:pPr>
        <w:pStyle w:val="NormalWeb"/>
      </w:pPr>
      <w:r>
        <w:t>The Court held:</w:t>
      </w:r>
    </w:p>
    <w:p w14:paraId="53D1A8A0" w14:textId="77777777" w:rsidR="00DA3CAA" w:rsidRDefault="00DA3CAA" w:rsidP="00DA3CAA">
      <w:pPr>
        <w:pStyle w:val="NormalWeb"/>
      </w:pPr>
      <w:r>
        <w:t xml:space="preserve">Generally, there is no constitutional right to adequate medical care for individuals who are not in </w:t>
      </w:r>
      <w:proofErr w:type="gramStart"/>
      <w:r>
        <w:t>the custody</w:t>
      </w:r>
      <w:proofErr w:type="gramEnd"/>
      <w:r>
        <w:t xml:space="preserve"> of the state. See Jackson v. Schultz, 429 F.3d 586, 590 (6th Cir. 2005) (‘It is not a constitutional violation for a state actor to render incompetent medical assistance or fail to rescue those in need.” (</w:t>
      </w:r>
      <w:proofErr w:type="gramStart"/>
      <w:r>
        <w:t>citing</w:t>
      </w:r>
      <w:proofErr w:type="gramEnd"/>
      <w:r>
        <w:t xml:space="preserve"> </w:t>
      </w:r>
      <w:proofErr w:type="spellStart"/>
      <w:r>
        <w:t>DeShaney</w:t>
      </w:r>
      <w:proofErr w:type="spellEnd"/>
      <w:r>
        <w:t xml:space="preserve"> v. Winnebago </w:t>
      </w:r>
      <w:proofErr w:type="spellStart"/>
      <w:r>
        <w:t>Cnty</w:t>
      </w:r>
      <w:proofErr w:type="spellEnd"/>
      <w:r>
        <w:t xml:space="preserve">. </w:t>
      </w:r>
      <w:proofErr w:type="spellStart"/>
      <w:r>
        <w:t>Dep’t</w:t>
      </w:r>
      <w:proofErr w:type="spellEnd"/>
      <w:r>
        <w:t xml:space="preserve"> of Soc. Servs., 489 U.S. 189, 196 (1989))). However, there is an exception to that general principle where a state actor’s ‘affirmative act’ either ‘creates or increases a risk that the decedent would be exposed to ‘private acts of violence…’ </w:t>
      </w:r>
    </w:p>
    <w:p w14:paraId="2D3EF0CC" w14:textId="77777777" w:rsidR="00DA3CAA" w:rsidRDefault="00DA3CAA" w:rsidP="00DA3CAA">
      <w:pPr>
        <w:pStyle w:val="NormalWeb"/>
      </w:pPr>
      <w:r>
        <w:t>***</w:t>
      </w:r>
    </w:p>
    <w:p w14:paraId="62A88073" w14:textId="77777777" w:rsidR="00DA3CAA" w:rsidRDefault="00DA3CAA" w:rsidP="00DA3CAA">
      <w:pPr>
        <w:pStyle w:val="NormalWeb"/>
      </w:pPr>
      <w:r>
        <w:t xml:space="preserve">Qualified immunity “shields governmental officials from monetary damages </w:t>
      </w:r>
      <w:proofErr w:type="gramStart"/>
      <w:r>
        <w:t>as long as</w:t>
      </w:r>
      <w:proofErr w:type="gramEnd"/>
      <w:r>
        <w:t xml:space="preserve"> ‘their actions did not violate clearly established statutory or constitutional rights of which a reasonable person would have known.’” Sumpter v. Wayne Cnty., 868 F.3d 473, 480 (6th Cir.  2017) (quoting Chappell v. City of Cleveland, 585 F.3d 901, 907 (6th Cir. 2009))…. </w:t>
      </w:r>
      <w:proofErr w:type="gramStart"/>
      <w:r>
        <w:t>So</w:t>
      </w:r>
      <w:proofErr w:type="gramEnd"/>
      <w:r>
        <w:t xml:space="preserve"> it is hard to see how it could be ‘clearly established” that the First Responders exposed Beauchamp to a private act of violence when they mistakenly believed she was dead and left her in her family’s care to be processed for routine funeral proceedings, which included the Funeral Home employee’s act of putting Beauchamp’s presumed-dead body into a body bag to transport her to a funeral home.” </w:t>
      </w:r>
      <w:hyperlink r:id="rId2242" w:history="1">
        <w:r w:rsidRPr="00833D9A">
          <w:rPr>
            <w:rStyle w:val="Hyperlink"/>
            <w:rFonts w:eastAsiaTheme="majorEastAsia"/>
          </w:rPr>
          <w:t>https://www.opn.ca6.uscourts.gov/opinions.pdf/23a0156p-06.pdf</w:t>
        </w:r>
      </w:hyperlink>
      <w:r>
        <w:t xml:space="preserve"> </w:t>
      </w:r>
    </w:p>
    <w:p w14:paraId="35ED38F8" w14:textId="77777777" w:rsidR="00DA3CAA" w:rsidRPr="00CF63FC" w:rsidRDefault="00DA3CAA" w:rsidP="00DA3CAA">
      <w:pPr>
        <w:pStyle w:val="NormalWeb"/>
        <w:rPr>
          <w:b/>
          <w:bCs/>
        </w:rPr>
      </w:pPr>
      <w:r w:rsidRPr="00CF63FC">
        <w:rPr>
          <w:b/>
          <w:bCs/>
        </w:rPr>
        <w:t xml:space="preserve">Legal Lesson Learned: </w:t>
      </w:r>
      <w:r>
        <w:rPr>
          <w:b/>
          <w:bCs/>
        </w:rPr>
        <w:t xml:space="preserve">Terrible set of facts; review this case and your protocol on declaration of death with EMS personnel. </w:t>
      </w:r>
    </w:p>
    <w:p w14:paraId="68AF52B7" w14:textId="77777777" w:rsidR="00DA3CAA" w:rsidRDefault="00DA3CAA" w:rsidP="00DA3CAA">
      <w:pPr>
        <w:pStyle w:val="Heading1"/>
        <w:ind w:left="720"/>
        <w:rPr>
          <w:b w:val="0"/>
          <w:bCs w:val="0"/>
          <w:sz w:val="24"/>
          <w:szCs w:val="24"/>
        </w:rPr>
      </w:pPr>
      <w:r w:rsidRPr="00D87DB0">
        <w:rPr>
          <w:b w:val="0"/>
          <w:bCs w:val="0"/>
          <w:sz w:val="24"/>
          <w:szCs w:val="24"/>
        </w:rPr>
        <w:t xml:space="preserve">Note: See July 27, </w:t>
      </w:r>
      <w:proofErr w:type="gramStart"/>
      <w:r w:rsidRPr="00D87DB0">
        <w:rPr>
          <w:b w:val="0"/>
          <w:bCs w:val="0"/>
          <w:sz w:val="24"/>
          <w:szCs w:val="24"/>
        </w:rPr>
        <w:t>2023</w:t>
      </w:r>
      <w:proofErr w:type="gramEnd"/>
      <w:r w:rsidRPr="00D87DB0">
        <w:rPr>
          <w:b w:val="0"/>
          <w:bCs w:val="0"/>
          <w:sz w:val="24"/>
          <w:szCs w:val="24"/>
        </w:rPr>
        <w:t xml:space="preserve"> article, “Court rules first responders who wrongfully declared Michigan woman dead cannot be sued.” </w:t>
      </w:r>
      <w:hyperlink r:id="rId2243" w:history="1">
        <w:r w:rsidRPr="00D87DB0">
          <w:rPr>
            <w:rStyle w:val="Hyperlink"/>
            <w:rFonts w:eastAsiaTheme="majorEastAsia"/>
            <w:b w:val="0"/>
            <w:bCs w:val="0"/>
            <w:sz w:val="24"/>
            <w:szCs w:val="24"/>
          </w:rPr>
          <w:t>https://www.foxnews.com/us/court-rules-first-responders-wrongfully-declared-michigan-woman-dead-cannot-be-sued</w:t>
        </w:r>
      </w:hyperlink>
      <w:r w:rsidRPr="00D87DB0">
        <w:rPr>
          <w:b w:val="0"/>
          <w:bCs w:val="0"/>
          <w:sz w:val="24"/>
          <w:szCs w:val="24"/>
        </w:rPr>
        <w:t xml:space="preserve"> </w:t>
      </w:r>
    </w:p>
    <w:p w14:paraId="748A1ABF" w14:textId="29052168" w:rsidR="00DA3CAA" w:rsidRPr="00DA3CAA" w:rsidRDefault="00DA3CAA" w:rsidP="00DA3CAA">
      <w:pPr>
        <w:ind w:left="720"/>
        <w:rPr>
          <w:rFonts w:ascii="Times New Roman" w:hAnsi="Times New Roman"/>
          <w:b/>
          <w:bCs/>
          <w:sz w:val="24"/>
          <w:szCs w:val="24"/>
        </w:rPr>
      </w:pPr>
      <w:r w:rsidRPr="00DA3CAA">
        <w:rPr>
          <w:rFonts w:ascii="Times New Roman" w:hAnsi="Times New Roman"/>
          <w:sz w:val="24"/>
          <w:szCs w:val="24"/>
        </w:rPr>
        <w:t xml:space="preserve">Dec. 10, </w:t>
      </w:r>
      <w:proofErr w:type="gramStart"/>
      <w:r w:rsidRPr="00DA3CAA">
        <w:rPr>
          <w:rFonts w:ascii="Times New Roman" w:hAnsi="Times New Roman"/>
          <w:sz w:val="24"/>
          <w:szCs w:val="24"/>
        </w:rPr>
        <w:t>2020</w:t>
      </w:r>
      <w:proofErr w:type="gramEnd"/>
      <w:r w:rsidRPr="00DA3CAA">
        <w:rPr>
          <w:rFonts w:ascii="Times New Roman" w:hAnsi="Times New Roman"/>
          <w:sz w:val="24"/>
          <w:szCs w:val="24"/>
        </w:rPr>
        <w:t xml:space="preserve"> article: “Paramedics in case of ‘dead’ woman alive can regain licenses.” “The state health department recently reached agreements with the men to drop the license suspensions. They will have multiple chances to pass written and practical exams for paramedics. Storms has additional work: He must write a paper on the protocols for determination of death and cardiac arrest. Storms must read a book, ‘People Care: Perspective and Practices for Professional Caregivers,’ and write a three-page paper. He will have three chances to achieve a passing grade on the papers.” </w:t>
      </w:r>
      <w:hyperlink r:id="rId2244" w:history="1">
        <w:r w:rsidRPr="00DA3CAA">
          <w:rPr>
            <w:rStyle w:val="Hyperlink"/>
            <w:rFonts w:ascii="Times New Roman" w:eastAsiaTheme="majorEastAsia" w:hAnsi="Times New Roman"/>
            <w:sz w:val="24"/>
            <w:szCs w:val="24"/>
          </w:rPr>
          <w:t>https://www.detroitnews.com/story/news/local/oakland-county/2020/12/10/paramedics-case-dead-woman-alive-can-regain-licenses/3883292001/</w:t>
        </w:r>
      </w:hyperlink>
    </w:p>
    <w:p w14:paraId="0AACAB41" w14:textId="77777777" w:rsidR="00DA3CAA" w:rsidRDefault="00DA3CAA" w:rsidP="006A02A4">
      <w:pPr>
        <w:rPr>
          <w:rFonts w:ascii="Arial Black" w:hAnsi="Arial Black"/>
          <w:b/>
          <w:bCs/>
          <w:sz w:val="28"/>
          <w:szCs w:val="28"/>
        </w:rPr>
      </w:pPr>
    </w:p>
    <w:p w14:paraId="3F8294E7" w14:textId="0A12B4BF" w:rsidR="000644B6" w:rsidRDefault="00DA3CAA" w:rsidP="006A02A4">
      <w:pPr>
        <w:rPr>
          <w:rFonts w:ascii="Arial Black" w:hAnsi="Arial Black"/>
          <w:b/>
          <w:bCs/>
          <w:sz w:val="28"/>
          <w:szCs w:val="28"/>
        </w:rPr>
      </w:pPr>
      <w:r>
        <w:rPr>
          <w:rFonts w:ascii="Arial Black" w:hAnsi="Arial Black"/>
          <w:b/>
          <w:bCs/>
          <w:sz w:val="28"/>
          <w:szCs w:val="28"/>
        </w:rPr>
        <w:t>13-151</w:t>
      </w:r>
    </w:p>
    <w:p w14:paraId="772CC63A" w14:textId="77777777" w:rsidR="00DA3CAA" w:rsidRPr="00F900CB" w:rsidRDefault="00DA3CAA" w:rsidP="00DA3CAA">
      <w:pPr>
        <w:pStyle w:val="NormalWeb"/>
        <w:rPr>
          <w:rFonts w:ascii="Arial Black" w:hAnsi="Arial Black"/>
          <w:b/>
          <w:bCs/>
          <w:sz w:val="28"/>
          <w:szCs w:val="28"/>
        </w:rPr>
      </w:pPr>
      <w:r>
        <w:rPr>
          <w:rFonts w:ascii="Arial Black" w:hAnsi="Arial Black"/>
          <w:b/>
          <w:bCs/>
          <w:sz w:val="28"/>
          <w:szCs w:val="28"/>
        </w:rPr>
        <w:t>LA: TRIAGE NURSE GRABBED GURNEY – EMT SHOULDER INJURY - HOSPITAL LIABLE, JUDGE OVERTURNED JURY</w:t>
      </w:r>
    </w:p>
    <w:p w14:paraId="0BBD9815" w14:textId="77777777" w:rsidR="00DA3CAA" w:rsidRPr="00DA3CAA" w:rsidRDefault="00DA3CAA" w:rsidP="00DA3CAA">
      <w:pPr>
        <w:pStyle w:val="NormalWeb"/>
      </w:pPr>
      <w:r w:rsidRPr="00DA3CAA">
        <w:t xml:space="preserve">On July 26, 2023, in </w:t>
      </w:r>
      <w:r w:rsidRPr="00DA3CAA">
        <w:rPr>
          <w:u w:val="single"/>
        </w:rPr>
        <w:t>Jenna Rougeau v. Hospital Service District No. 2 of Beauregard Parish, et al.</w:t>
      </w:r>
      <w:r w:rsidRPr="00DA3CAA">
        <w:t xml:space="preserve">, the Court of Appeals of Louisiana, Third Circuit, held (3 to 0) that while the jury correctly found that Triage Nurse on June 25, </w:t>
      </w:r>
      <w:proofErr w:type="gramStart"/>
      <w:r w:rsidRPr="00DA3CAA">
        <w:t>2016</w:t>
      </w:r>
      <w:proofErr w:type="gramEnd"/>
      <w:r w:rsidRPr="00DA3CAA">
        <w:t xml:space="preserve"> was negligent in grabbing the gurney, as EMT was pulling a patient into ER and passed Room No. 6. However, the trial judge correctly overturned jury verdict that the </w:t>
      </w:r>
      <w:proofErr w:type="gramStart"/>
      <w:r w:rsidRPr="00DA3CAA">
        <w:t>nurses</w:t>
      </w:r>
      <w:proofErr w:type="gramEnd"/>
      <w:r w:rsidRPr="00DA3CAA">
        <w:t xml:space="preserve"> negligence did not cause EMT’s injury to her shoulder and loss of work for two years.  The EMT had arthroscopic surgery to repair her tom labrum and rotator </w:t>
      </w:r>
      <w:proofErr w:type="gramStart"/>
      <w:r w:rsidRPr="00DA3CAA">
        <w:t>cuff, but</w:t>
      </w:r>
      <w:proofErr w:type="gramEnd"/>
      <w:r w:rsidRPr="00DA3CAA">
        <w:t xml:space="preserve"> clearly could not pass Arcadia Ambulance requirement to </w:t>
      </w:r>
      <w:proofErr w:type="gramStart"/>
      <w:r w:rsidRPr="00DA3CAA">
        <w:t>dead lift</w:t>
      </w:r>
      <w:proofErr w:type="gramEnd"/>
      <w:r w:rsidRPr="00DA3CAA">
        <w:t xml:space="preserve"> 175 pounds, cany a large medic bag and monitor up a flight of stairs, and perform CPR for approximately one minute while maintaining a certain heart rate. The trial court properly awarded the EMT $42,626.48 in past medical expenses, $60,000.00 in past lost wages; and $261,000.00 in general damages ($160,000.00 in past pain and suffering; $25,000.00 in future pain and suffering; $40,000.00 in past mental anguish; and $36,000.00 in loss of enjoyment of life). </w:t>
      </w:r>
    </w:p>
    <w:p w14:paraId="03801E99" w14:textId="77777777" w:rsidR="00DA3CAA" w:rsidRPr="00DA3CAA" w:rsidRDefault="00DA3CAA" w:rsidP="00DA3CAA">
      <w:pPr>
        <w:pStyle w:val="NormalWeb"/>
      </w:pPr>
      <w:r w:rsidRPr="00DA3CAA">
        <w:t xml:space="preserve">The Court held: </w:t>
      </w:r>
    </w:p>
    <w:p w14:paraId="65227333" w14:textId="77777777" w:rsidR="00DA3CAA" w:rsidRPr="00DA3CAA" w:rsidRDefault="00DA3CAA" w:rsidP="00DA3CAA">
      <w:pPr>
        <w:pStyle w:val="NormalWeb"/>
      </w:pPr>
      <w:r w:rsidRPr="00DA3CAA">
        <w:t xml:space="preserve">“Thus, under the facts at issue, we find that Nurse Harless had a duty to exercise reasonable care in the performance of his emergency room duties </w:t>
      </w:r>
      <w:proofErr w:type="gramStart"/>
      <w:r w:rsidRPr="00DA3CAA">
        <w:t>in order to</w:t>
      </w:r>
      <w:proofErr w:type="gramEnd"/>
      <w:r w:rsidRPr="00DA3CAA">
        <w:t xml:space="preserve"> avoid causing injury to others, including to EMTs acting in the performance of their duties…. Based on the video, Nurse Harless saw the EMTs walking towards him with the stretcher as he was getting linen from a blanket warmer located in the hallway. Instead of communicating the room assignment when he first saw them, he waited until Plaintiff had taken approximately twelve steps and the stretcher had passed him before grabbing the rear of the stretcher and pulling it to a stop.</w:t>
      </w:r>
    </w:p>
    <w:p w14:paraId="75AA5E64" w14:textId="77777777" w:rsidR="00DA3CAA" w:rsidRPr="00DA3CAA" w:rsidRDefault="00DA3CAA" w:rsidP="00DA3CAA">
      <w:pPr>
        <w:pStyle w:val="NormalWeb"/>
      </w:pPr>
      <w:r w:rsidRPr="00DA3CAA">
        <w:t>***</w:t>
      </w:r>
    </w:p>
    <w:p w14:paraId="096F8BBA" w14:textId="23F40DA1" w:rsidR="00DA3CAA" w:rsidRPr="00DA3CAA" w:rsidRDefault="00DA3CAA" w:rsidP="00DA3CAA">
      <w:pPr>
        <w:rPr>
          <w:rFonts w:ascii="Times New Roman" w:hAnsi="Times New Roman"/>
          <w:b/>
          <w:bCs/>
          <w:sz w:val="24"/>
          <w:szCs w:val="24"/>
        </w:rPr>
      </w:pPr>
      <w:r w:rsidRPr="00DA3CAA">
        <w:rPr>
          <w:rFonts w:ascii="Times New Roman" w:hAnsi="Times New Roman"/>
          <w:sz w:val="24"/>
          <w:szCs w:val="24"/>
        </w:rPr>
        <w:t xml:space="preserve">Thus, we find that the </w:t>
      </w:r>
      <w:proofErr w:type="spellStart"/>
      <w:r w:rsidRPr="00DA3CAA">
        <w:rPr>
          <w:rFonts w:ascii="Times New Roman" w:hAnsi="Times New Roman"/>
          <w:sz w:val="24"/>
          <w:szCs w:val="24"/>
        </w:rPr>
        <w:t>juiy</w:t>
      </w:r>
      <w:proofErr w:type="spellEnd"/>
      <w:r w:rsidRPr="00DA3CAA">
        <w:rPr>
          <w:rFonts w:ascii="Times New Roman" w:hAnsi="Times New Roman"/>
          <w:sz w:val="24"/>
          <w:szCs w:val="24"/>
        </w:rPr>
        <w:t xml:space="preserve"> was manifestly erroneous in finding that this incident was not the cause-in-fact and legal cause of her shoulder </w:t>
      </w:r>
      <w:proofErr w:type="gramStart"/>
      <w:r w:rsidRPr="00DA3CAA">
        <w:rPr>
          <w:rFonts w:ascii="Times New Roman" w:hAnsi="Times New Roman"/>
          <w:sz w:val="24"/>
          <w:szCs w:val="24"/>
        </w:rPr>
        <w:t>injury.”</w:t>
      </w:r>
      <w:proofErr w:type="gramEnd"/>
      <w:r w:rsidRPr="00DA3CAA">
        <w:rPr>
          <w:rFonts w:ascii="Times New Roman" w:hAnsi="Times New Roman"/>
          <w:sz w:val="24"/>
          <w:szCs w:val="24"/>
        </w:rPr>
        <w:t xml:space="preserve">  </w:t>
      </w:r>
      <w:hyperlink r:id="rId2245" w:history="1">
        <w:r w:rsidRPr="00DA3CAA">
          <w:rPr>
            <w:rStyle w:val="Hyperlink"/>
            <w:rFonts w:ascii="Times New Roman" w:eastAsiaTheme="majorEastAsia" w:hAnsi="Times New Roman"/>
            <w:sz w:val="24"/>
            <w:szCs w:val="24"/>
          </w:rPr>
          <w:t>https://public.fastcase.com/ZZhmr5v9wN%2FXOe5IsQ%2FqD7GCKb2IB3J54e7ItSmUYP%2BWMLglINdF7XSY%2Fk9VEPoTx4QWBItn6mQ9CDY1KKV2Qj7lzwy8FX40VrBADcTdOUs%3D?utm_medium=email&amp;_hsmi=226712652&amp;_hsenc=p2ANqtz-_DK7zem2LwgE_Zwv-o_RP9UByjQ85WHbLNpM1Ddz9HLFMrLo4_e5BuKmezeF9cnjUjmpRGuKlpbVs2F5114RUdRnDuAQ&amp;utm_content=226712652&amp;utm_source=hs_email</w:t>
        </w:r>
      </w:hyperlink>
    </w:p>
    <w:p w14:paraId="4A907F21" w14:textId="77777777" w:rsidR="00DA3CAA" w:rsidRDefault="00DA3CAA" w:rsidP="00DA3CAA">
      <w:pPr>
        <w:pStyle w:val="NormalWeb"/>
        <w:rPr>
          <w:b/>
          <w:bCs/>
        </w:rPr>
      </w:pPr>
      <w:r w:rsidRPr="00621639">
        <w:rPr>
          <w:b/>
          <w:bCs/>
        </w:rPr>
        <w:t xml:space="preserve">Legal Lesson Learned: </w:t>
      </w:r>
      <w:r>
        <w:rPr>
          <w:b/>
          <w:bCs/>
        </w:rPr>
        <w:t>Trial judge may set aside an erroneous jury verdict and award damages to injured EMT.</w:t>
      </w:r>
    </w:p>
    <w:p w14:paraId="246A0455" w14:textId="77777777" w:rsidR="00DA3CAA" w:rsidRPr="00212639" w:rsidRDefault="00DA3CAA" w:rsidP="00DA3CAA">
      <w:pPr>
        <w:pStyle w:val="NormalWeb"/>
        <w:ind w:left="720"/>
      </w:pPr>
      <w:r w:rsidRPr="00212639">
        <w:t xml:space="preserve">Note: The worker’s comp. insurance provider for Arcadia Ambulance may then recover their expenses from the </w:t>
      </w:r>
      <w:proofErr w:type="gramStart"/>
      <w:r w:rsidRPr="00212639">
        <w:t>damage award</w:t>
      </w:r>
      <w:proofErr w:type="gramEnd"/>
      <w:r w:rsidRPr="00212639">
        <w:t xml:space="preserve">. </w:t>
      </w:r>
    </w:p>
    <w:p w14:paraId="77F34F75" w14:textId="77777777" w:rsidR="00DA3CAA" w:rsidRDefault="00DA3CAA" w:rsidP="006A02A4">
      <w:pPr>
        <w:rPr>
          <w:rFonts w:ascii="Arial Black" w:hAnsi="Arial Black"/>
          <w:b/>
          <w:bCs/>
          <w:sz w:val="28"/>
          <w:szCs w:val="28"/>
        </w:rPr>
      </w:pPr>
    </w:p>
    <w:p w14:paraId="3815D090" w14:textId="7873ABE8" w:rsidR="000644B6" w:rsidRDefault="000644B6" w:rsidP="006A02A4">
      <w:pPr>
        <w:rPr>
          <w:rFonts w:ascii="Arial Black" w:hAnsi="Arial Black"/>
          <w:b/>
          <w:bCs/>
          <w:sz w:val="28"/>
          <w:szCs w:val="28"/>
        </w:rPr>
      </w:pPr>
      <w:r>
        <w:rPr>
          <w:rFonts w:ascii="Arial Black" w:hAnsi="Arial Black"/>
          <w:b/>
          <w:bCs/>
          <w:sz w:val="28"/>
          <w:szCs w:val="28"/>
        </w:rPr>
        <w:t>13-150</w:t>
      </w:r>
    </w:p>
    <w:p w14:paraId="63D2C3F9" w14:textId="77777777" w:rsidR="000644B6" w:rsidRPr="00F43F3E" w:rsidRDefault="000644B6" w:rsidP="000644B6">
      <w:pPr>
        <w:pStyle w:val="NormalWeb"/>
        <w:rPr>
          <w:rFonts w:ascii="Arial Black" w:hAnsi="Arial Black"/>
          <w:sz w:val="28"/>
          <w:szCs w:val="28"/>
        </w:rPr>
      </w:pPr>
      <w:r>
        <w:rPr>
          <w:rFonts w:ascii="Arial Black" w:hAnsi="Arial Black"/>
          <w:sz w:val="28"/>
          <w:szCs w:val="28"/>
        </w:rPr>
        <w:t xml:space="preserve">NV: COMBATIVE PATIENT – PD TAKEDOWN, EMS GAVE KETAMINE FOR 175 POUND (ONLY 155) - QUAL. IMMUNITY </w:t>
      </w:r>
    </w:p>
    <w:p w14:paraId="27B50F62" w14:textId="77777777" w:rsidR="000644B6" w:rsidRPr="00DA3CAA" w:rsidRDefault="000644B6" w:rsidP="000644B6">
      <w:pPr>
        <w:pStyle w:val="NormalWeb"/>
      </w:pPr>
      <w:r w:rsidRPr="00DA3CAA">
        <w:t xml:space="preserve">On July 19, 2023, in </w:t>
      </w:r>
      <w:r w:rsidRPr="00DA3CAA">
        <w:rPr>
          <w:u w:val="single"/>
        </w:rPr>
        <w:t>Marc Galli v. Anthony Rush, et al</w:t>
      </w:r>
      <w:r w:rsidRPr="00DA3CAA">
        <w:t xml:space="preserve">., U.S. District Court Judge Andrew P. Gordon, U.S. District Court for District of Nevada, granted summary judgment to City of Henderson paramedics Anthony Rush and Edward Pickup, as well as two police officers who tackled the patient who had fled from the back of the ambulance.  Paramedics administered 320 milligrams of ketamine based on patient’s estimated weight of 175; his actual weight (155 pounds) </w:t>
      </w:r>
      <w:proofErr w:type="gramStart"/>
      <w:r w:rsidRPr="00DA3CAA">
        <w:t>called for</w:t>
      </w:r>
      <w:proofErr w:type="gramEnd"/>
      <w:r w:rsidRPr="00DA3CAA">
        <w:t xml:space="preserve"> 280 milligrams.  At hospital he was intubated because of his altered mental state and intermittent combative behavior and was released six days later.</w:t>
      </w:r>
    </w:p>
    <w:p w14:paraId="203D2DBE" w14:textId="681BF9F7" w:rsidR="000644B6" w:rsidRPr="00DA3CAA" w:rsidRDefault="000644B6" w:rsidP="000644B6">
      <w:pPr>
        <w:rPr>
          <w:rFonts w:ascii="Times New Roman" w:hAnsi="Times New Roman"/>
          <w:b/>
          <w:bCs/>
          <w:sz w:val="24"/>
          <w:szCs w:val="24"/>
        </w:rPr>
      </w:pPr>
      <w:r w:rsidRPr="00DA3CAA">
        <w:rPr>
          <w:rFonts w:ascii="Times New Roman" w:hAnsi="Times New Roman"/>
          <w:sz w:val="24"/>
          <w:szCs w:val="24"/>
        </w:rPr>
        <w:t xml:space="preserve">The Court held: “Regardless of their subjective motivation, Rush and Pickup were confronted with a patient who was crying, retching, claiming poisoning, and running away in the dark. From the perspective of a reasonable paramedic confronting the objective circumstances, they had at least a moderate interest in sedating Galli to ensure he received emergency medical care and caused no harm to himself or others. Weighing the significant application of force against the moderate government interest, a reasonable jury could find sedating Galli to be an excessive use of force. But Rush and Pickup are shielded by qualified immunity. First, Galli does not point to any authority for the proposition that as a paramedic, Pickup had a clearly established duty to intervene in Rush's purported constitutional violation. And more importantly, Galli points to no binding authority, nor have I found any, clearly establishing that a paramedic's administration of a sedative under comparable circumstances constitutes excessive force under the Fourth Amendment.” </w:t>
      </w:r>
      <w:hyperlink r:id="rId2246" w:history="1">
        <w:r w:rsidRPr="00DA3CAA">
          <w:rPr>
            <w:rStyle w:val="Hyperlink"/>
            <w:rFonts w:ascii="Times New Roman" w:eastAsiaTheme="majorEastAsia" w:hAnsi="Times New Roman"/>
            <w:sz w:val="24"/>
            <w:szCs w:val="24"/>
          </w:rPr>
          <w:t>https://public.fastcase.com/ZZhmr5v9wN%2FXOe5IsQ%2FqD3dz3eOW5zFOFbDDQpgyn5N1g%2BDYcYq%2BQq5MnHYcUlJvjXUWh8aXMHicyBCjMoSMvWkOcK9%2F08vlf7VzRHHVD0g%3D?utm_medium=email&amp;_hsmi=226712652&amp;_hsenc=p2ANqtz-8FJSrnDbpE5SBLnbpgOtm8bsro6mydF1tKlBKSrXXB7U0G_KpVHeRpWqi1b6f_lyKuKYe1ibmLo31OO_-xt7H5dW8mOA&amp;utm_content=226712652&amp;utm_source=hs_email</w:t>
        </w:r>
      </w:hyperlink>
    </w:p>
    <w:p w14:paraId="08831C8B" w14:textId="77777777" w:rsidR="00DA3CAA" w:rsidRPr="00E12FD2" w:rsidRDefault="00DA3CAA" w:rsidP="00DA3CAA">
      <w:pPr>
        <w:pStyle w:val="NormalWeb"/>
        <w:rPr>
          <w:b/>
          <w:bCs/>
        </w:rPr>
      </w:pPr>
      <w:r w:rsidRPr="00E12FD2">
        <w:rPr>
          <w:b/>
          <w:bCs/>
        </w:rPr>
        <w:t>Legal Lesson Learned:  Paramedics were shielded by qualified immunity; make sure you follow protocol for administering ketamine.</w:t>
      </w:r>
    </w:p>
    <w:p w14:paraId="65AD3A71" w14:textId="77777777" w:rsidR="000644B6" w:rsidRDefault="000644B6" w:rsidP="006A02A4">
      <w:pPr>
        <w:rPr>
          <w:rFonts w:ascii="Arial Black" w:hAnsi="Arial Black"/>
          <w:b/>
          <w:bCs/>
          <w:sz w:val="28"/>
          <w:szCs w:val="28"/>
        </w:rPr>
      </w:pPr>
    </w:p>
    <w:p w14:paraId="73A458AB" w14:textId="37EEF802" w:rsidR="00D33F96" w:rsidRDefault="00D33F96" w:rsidP="006A02A4">
      <w:pPr>
        <w:rPr>
          <w:rFonts w:ascii="Arial Black" w:hAnsi="Arial Black"/>
          <w:b/>
          <w:bCs/>
          <w:sz w:val="28"/>
          <w:szCs w:val="28"/>
        </w:rPr>
      </w:pPr>
      <w:r>
        <w:rPr>
          <w:rFonts w:ascii="Arial Black" w:hAnsi="Arial Black"/>
          <w:b/>
          <w:bCs/>
          <w:sz w:val="28"/>
          <w:szCs w:val="28"/>
        </w:rPr>
        <w:t>13-149</w:t>
      </w:r>
    </w:p>
    <w:p w14:paraId="7271AE2D" w14:textId="77777777" w:rsidR="00D33F96" w:rsidRPr="00641877"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AL: BYSTANDER CPR – TOLD STOP BY VOL. FF – FIRE DEPT.  IMMUNITY, BUT NO APPEAL BY PLAINTIFF UNTIL FF TRIAL </w:t>
      </w:r>
    </w:p>
    <w:p w14:paraId="0E33EFE8" w14:textId="77777777" w:rsidR="00D33F96" w:rsidRDefault="00D33F96" w:rsidP="00D33F96">
      <w:pPr>
        <w:spacing w:before="100" w:beforeAutospacing="1" w:after="100" w:afterAutospacing="1" w:line="240" w:lineRule="auto"/>
        <w:rPr>
          <w:rFonts w:ascii="Times New Roman" w:hAnsi="Times New Roman"/>
          <w:sz w:val="24"/>
          <w:szCs w:val="24"/>
        </w:rPr>
      </w:pPr>
      <w:r w:rsidRPr="001A5B61">
        <w:rPr>
          <w:rFonts w:ascii="Times New Roman" w:eastAsia="Times New Roman" w:hAnsi="Times New Roman"/>
          <w:sz w:val="24"/>
          <w:szCs w:val="24"/>
        </w:rPr>
        <w:t xml:space="preserve">On June 30, 2023, in </w:t>
      </w:r>
      <w:r w:rsidRPr="001A5B61">
        <w:rPr>
          <w:rFonts w:ascii="Times New Roman" w:eastAsia="Times New Roman" w:hAnsi="Times New Roman"/>
          <w:sz w:val="24"/>
          <w:szCs w:val="24"/>
          <w:u w:val="single"/>
        </w:rPr>
        <w:t>Carol Rogers, as administratrix of Estate of Susan Bonner v. Cedar Bluff Volunteer Fire Department and Cherokee County Association of Volunteer Fire Department, Inc</w:t>
      </w:r>
      <w:r>
        <w:rPr>
          <w:rFonts w:ascii="Times New Roman" w:eastAsia="Times New Roman" w:hAnsi="Times New Roman"/>
          <w:sz w:val="24"/>
          <w:szCs w:val="24"/>
        </w:rPr>
        <w:t xml:space="preserve">., the Supreme Court of Alabama hold (8 to 1) that they will not decide Carol Rogers appeal from Court’s grant of summary judgment to Volunteer FD and its Association, since the lawsuit against the volunteer firefighter </w:t>
      </w:r>
      <w:r w:rsidRPr="001A5B61">
        <w:rPr>
          <w:rFonts w:ascii="Times New Roman" w:eastAsia="Times New Roman" w:hAnsi="Times New Roman"/>
          <w:sz w:val="24"/>
          <w:szCs w:val="24"/>
        </w:rPr>
        <w:t>(</w:t>
      </w:r>
      <w:r w:rsidRPr="001A5B61">
        <w:rPr>
          <w:rFonts w:ascii="Times New Roman" w:hAnsi="Times New Roman"/>
          <w:sz w:val="24"/>
          <w:szCs w:val="24"/>
        </w:rPr>
        <w:t>Guice)</w:t>
      </w:r>
      <w:r>
        <w:rPr>
          <w:rFonts w:ascii="Times New Roman" w:hAnsi="Times New Roman"/>
          <w:sz w:val="24"/>
          <w:szCs w:val="24"/>
        </w:rPr>
        <w:t xml:space="preserve"> is still awaiting trial. </w:t>
      </w:r>
    </w:p>
    <w:p w14:paraId="4DAC9F8C" w14:textId="79875EFC" w:rsidR="00D33F96" w:rsidRDefault="00D33F96" w:rsidP="00D33F96">
      <w:pPr>
        <w:rPr>
          <w:rFonts w:ascii="Arial Black" w:hAnsi="Arial Black"/>
          <w:b/>
          <w:bCs/>
          <w:sz w:val="28"/>
          <w:szCs w:val="28"/>
        </w:rPr>
      </w:pPr>
      <w:r>
        <w:rPr>
          <w:rFonts w:ascii="Times New Roman" w:hAnsi="Times New Roman"/>
          <w:sz w:val="24"/>
          <w:szCs w:val="24"/>
        </w:rPr>
        <w:t>The Court held: “</w:t>
      </w:r>
      <w:r w:rsidRPr="001A5B61">
        <w:rPr>
          <w:rFonts w:ascii="Times New Roman" w:hAnsi="Times New Roman"/>
          <w:sz w:val="24"/>
          <w:szCs w:val="24"/>
        </w:rPr>
        <w:t>In the present case, it is undisputed that the viability of Rogers's wrongful-death claim against either Cedar Bluff or the Association is entirely dependent on her still-pending claim against Guice. The bottom line is that if Guice is found not liable, then there would be no need for us to review the trial court's summary judgment in favor of Cedar Bluff or the Association in almost any scenario. For example, if a jury decides that Guice acted reasonably, or breached no duty, or was not the proximate cause of Bonner's death, then this appeal would be mooted. Likewise, even if a jury finds none of those things, but finds that Guice "was acting in good faith and within the scope of [his] official functions and duties for a ... governmental entity," then pursuant to § 6-5-336(d)(1) of the VSA, Guice would be immune from liability and Cedar Bluff could not be held vicariously liable for his conduct.</w:t>
      </w:r>
      <w:r>
        <w:rPr>
          <w:rFonts w:ascii="Times New Roman" w:hAnsi="Times New Roman"/>
          <w:sz w:val="24"/>
          <w:szCs w:val="24"/>
          <w:vertAlign w:val="superscript"/>
        </w:rPr>
        <w:t xml:space="preserve">” </w:t>
      </w:r>
      <w:hyperlink r:id="rId2247" w:history="1">
        <w:r w:rsidRPr="001A5B61">
          <w:rPr>
            <w:rStyle w:val="Hyperlink"/>
            <w:sz w:val="24"/>
            <w:szCs w:val="24"/>
          </w:rPr>
          <w:t>https://public.fastcase.com/ZZhmr5v9wN%2FXOe5IsQ%2FqD48qScyjnns4BvOFYThqD1VKn2oC3YL9HIinTf%2Fp30r2wBlFtUUFvRMyBphGDo8K28IC4vVctJZhhayY6V%2Bfn28%3D?utm_medium=email&amp;_hsmi=226712652&amp;_hsenc=p2ANqtz--TIjwUVFjOo5damiP3K6KiM86Ts0N1olRqZ_ArClgxTthTEvnZAd5hvf4I6P2KEFN6nH9cQVmvAvnMp9eheEIqoLW5ew&amp;utm_content=226712652&amp;utm_source=hs_email</w:t>
        </w:r>
      </w:hyperlink>
    </w:p>
    <w:p w14:paraId="5116D6D8" w14:textId="77777777" w:rsidR="00D33F96" w:rsidRPr="00364596" w:rsidRDefault="00D33F96" w:rsidP="00D33F96">
      <w:pPr>
        <w:spacing w:before="100" w:beforeAutospacing="1" w:after="100" w:afterAutospacing="1" w:line="240" w:lineRule="auto"/>
        <w:rPr>
          <w:rFonts w:ascii="Times New Roman" w:eastAsia="Times New Roman" w:hAnsi="Times New Roman"/>
          <w:b/>
          <w:bCs/>
          <w:sz w:val="24"/>
          <w:szCs w:val="24"/>
        </w:rPr>
      </w:pPr>
      <w:r w:rsidRPr="0036459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Do not direct others to stop CPR unless patient is clearly dead.  Know your local EMS protocols on when a patient is deceased.</w:t>
      </w:r>
    </w:p>
    <w:p w14:paraId="7D66B3F2" w14:textId="77777777" w:rsidR="00D33F96" w:rsidRDefault="00D33F96" w:rsidP="006A02A4">
      <w:pPr>
        <w:rPr>
          <w:rFonts w:ascii="Arial Black" w:hAnsi="Arial Black"/>
          <w:b/>
          <w:bCs/>
          <w:sz w:val="28"/>
          <w:szCs w:val="28"/>
        </w:rPr>
      </w:pPr>
    </w:p>
    <w:p w14:paraId="34327A3A" w14:textId="7829C64B" w:rsidR="00D33F96" w:rsidRDefault="00D33F96" w:rsidP="006A02A4">
      <w:pPr>
        <w:rPr>
          <w:rFonts w:ascii="Arial Black" w:hAnsi="Arial Black"/>
          <w:b/>
          <w:bCs/>
          <w:sz w:val="28"/>
          <w:szCs w:val="28"/>
        </w:rPr>
      </w:pPr>
      <w:r>
        <w:rPr>
          <w:rFonts w:ascii="Arial Black" w:hAnsi="Arial Black"/>
          <w:b/>
          <w:bCs/>
          <w:sz w:val="28"/>
          <w:szCs w:val="28"/>
        </w:rPr>
        <w:t>13-148</w:t>
      </w:r>
    </w:p>
    <w:p w14:paraId="70E06592" w14:textId="77777777" w:rsidR="00D33F96" w:rsidRPr="004507F9" w:rsidRDefault="00D33F96" w:rsidP="00D33F96">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IL: TWO MEDICS CHARGED WITH MURDER – STRAPPED PT FACE DOWN / DIED – BOND A MEDIC REDUCED TO $600,000 </w:t>
      </w:r>
    </w:p>
    <w:p w14:paraId="6BA58D85" w14:textId="77777777" w:rsidR="00D33F96" w:rsidRDefault="00D33F96" w:rsidP="00D33F96">
      <w:pPr>
        <w:pStyle w:val="NormalWeb"/>
      </w:pPr>
      <w:r w:rsidRPr="004507F9">
        <w:t xml:space="preserve">On June 16, 2023, in </w:t>
      </w:r>
      <w:r w:rsidRPr="004507F9">
        <w:rPr>
          <w:u w:val="single"/>
        </w:rPr>
        <w:t>The People of the State of Illinois v. Peggy J. Finle</w:t>
      </w:r>
      <w:r>
        <w:t xml:space="preserve">y, the Court of Appeals of Illinois, Fourth District, held (3 to 0) that the trial court </w:t>
      </w:r>
      <w:proofErr w:type="gramStart"/>
      <w:r>
        <w:t>should have lowered</w:t>
      </w:r>
      <w:proofErr w:type="gramEnd"/>
      <w:r>
        <w:t xml:space="preserve"> the paramedic’s bond from $1 million to $600,000 (she must post 10%).  </w:t>
      </w:r>
    </w:p>
    <w:p w14:paraId="49330E58" w14:textId="77777777" w:rsidR="00D33F96" w:rsidRPr="008420C5" w:rsidRDefault="00D33F96" w:rsidP="00D33F96">
      <w:pPr>
        <w:pStyle w:val="NormalWeb"/>
      </w:pPr>
      <w:r>
        <w:t>The Court held: “</w:t>
      </w:r>
      <w:r w:rsidRPr="004507F9">
        <w:t xml:space="preserve">Defendant, a 45-year-old paramedic, was on duty and working with Peter Cadigan, when they responded to a call for the transportation of Earl Moore, Jr., to the hospital for medical treatment. Shortly after his arrival at the hospital, Moore died. Asserting Moore died of positional asphyxiation and compressional asphyxiation after being strapped face down on a gurney, the State charged defendant and Cadigan with first-degree murder. </w:t>
      </w:r>
      <w:r>
        <w:t xml:space="preserve">*** </w:t>
      </w:r>
      <w:r w:rsidRPr="008420C5">
        <w:t xml:space="preserve">Here, </w:t>
      </w:r>
      <w:proofErr w:type="gramStart"/>
      <w:r w:rsidRPr="008420C5">
        <w:t>defendant's</w:t>
      </w:r>
      <w:proofErr w:type="gramEnd"/>
      <w:r w:rsidRPr="008420C5">
        <w:t xml:space="preserve"> ties to central Illinois are strong, indicating a low risk of flight. Except for a relatively brief time when her work addressed COVID-19-related staffing issues in Kentucky, Oregon, and St. Croix, defendant has resided in central Illinois her entire life. Her adult children reside there, as do her grandchildren. She is in what appears to be a romantic relationship with someone in central Illinois. Defendant also maintained gainful employment in the area. </w:t>
      </w:r>
      <w:r>
        <w:t>D</w:t>
      </w:r>
      <w:r w:rsidRPr="008420C5">
        <w:t xml:space="preserve">efendant's financial condition further makes it unlikely she will flee. The circuit court found her to be indigent. </w:t>
      </w:r>
      <w:proofErr w:type="gramStart"/>
      <w:r w:rsidRPr="008420C5">
        <w:t>Defendant is</w:t>
      </w:r>
      <w:proofErr w:type="gramEnd"/>
      <w:r w:rsidRPr="008420C5">
        <w:t xml:space="preserve"> relying on the financial support of family, friends, and acquaintances to receive bail money. Nothing on the record from her background indicates defendant has the ability or desire to flee and deprive those individuals of reimbursement of those funds.</w:t>
      </w:r>
      <w:r>
        <w:t xml:space="preserve">” </w:t>
      </w:r>
      <w:hyperlink r:id="rId2248" w:history="1">
        <w:r w:rsidRPr="00812663">
          <w:rPr>
            <w:rStyle w:val="Hyperlink"/>
          </w:rPr>
          <w:t>https://casetext.com/case/people-v-finley-127</w:t>
        </w:r>
      </w:hyperlink>
      <w:r>
        <w:t xml:space="preserve"> </w:t>
      </w:r>
    </w:p>
    <w:p w14:paraId="0CCB4711" w14:textId="38882FD7" w:rsidR="00D33F96" w:rsidRDefault="00D33F96" w:rsidP="00D33F96">
      <w:pPr>
        <w:spacing w:before="100" w:beforeAutospacing="1" w:after="100" w:afterAutospacing="1" w:line="240" w:lineRule="auto"/>
        <w:rPr>
          <w:rFonts w:ascii="Times New Roman" w:eastAsia="Times New Roman" w:hAnsi="Times New Roman"/>
          <w:b/>
          <w:bCs/>
          <w:sz w:val="24"/>
          <w:szCs w:val="24"/>
        </w:rPr>
      </w:pPr>
      <w:r w:rsidRPr="008420C5">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A jury of 12 will ultimately decide if State has proven these charges beyond a reasonable doubt. </w:t>
      </w:r>
    </w:p>
    <w:p w14:paraId="6D721B6F" w14:textId="77777777" w:rsidR="00D33F96" w:rsidRDefault="00D33F96" w:rsidP="00D33F96">
      <w:pPr>
        <w:spacing w:before="100" w:beforeAutospacing="1" w:after="100" w:afterAutospacing="1" w:line="240" w:lineRule="auto"/>
        <w:ind w:left="720"/>
        <w:rPr>
          <w:rFonts w:ascii="Times New Roman" w:hAnsi="Times New Roman"/>
          <w:sz w:val="24"/>
          <w:szCs w:val="24"/>
        </w:rPr>
      </w:pPr>
      <w:r w:rsidRPr="00860A69">
        <w:rPr>
          <w:rFonts w:ascii="Times New Roman" w:eastAsia="Times New Roman" w:hAnsi="Times New Roman"/>
          <w:sz w:val="24"/>
          <w:szCs w:val="24"/>
        </w:rPr>
        <w:t xml:space="preserve">Note: Watch this TV video, including PD body camera. </w:t>
      </w:r>
      <w:hyperlink r:id="rId2249" w:history="1">
        <w:r w:rsidRPr="001055F4">
          <w:rPr>
            <w:rStyle w:val="Hyperlink"/>
            <w:sz w:val="24"/>
            <w:szCs w:val="24"/>
          </w:rPr>
          <w:t>https://www.youtube.com/watch?v=GHO2Qjk4XIo</w:t>
        </w:r>
      </w:hyperlink>
    </w:p>
    <w:p w14:paraId="74C11A49" w14:textId="77777777" w:rsidR="00D33F96" w:rsidRDefault="00D33F96" w:rsidP="006A02A4">
      <w:pPr>
        <w:rPr>
          <w:rFonts w:ascii="Arial Black" w:hAnsi="Arial Black"/>
          <w:b/>
          <w:bCs/>
          <w:sz w:val="28"/>
          <w:szCs w:val="28"/>
        </w:rPr>
      </w:pPr>
    </w:p>
    <w:p w14:paraId="2228F785" w14:textId="77777777" w:rsidR="00D33F96" w:rsidRDefault="00D33F96" w:rsidP="006A02A4">
      <w:pPr>
        <w:rPr>
          <w:rFonts w:ascii="Arial Black" w:hAnsi="Arial Black"/>
          <w:b/>
          <w:bCs/>
          <w:sz w:val="28"/>
          <w:szCs w:val="28"/>
        </w:rPr>
      </w:pPr>
    </w:p>
    <w:p w14:paraId="6221755B" w14:textId="681253E2" w:rsidR="00237599" w:rsidRDefault="00237599" w:rsidP="006A02A4">
      <w:pPr>
        <w:rPr>
          <w:rFonts w:ascii="Arial Black" w:hAnsi="Arial Black"/>
          <w:b/>
          <w:bCs/>
          <w:sz w:val="28"/>
          <w:szCs w:val="28"/>
        </w:rPr>
      </w:pPr>
      <w:r>
        <w:rPr>
          <w:rFonts w:ascii="Arial Black" w:hAnsi="Arial Black"/>
          <w:b/>
          <w:bCs/>
          <w:sz w:val="28"/>
          <w:szCs w:val="28"/>
        </w:rPr>
        <w:t>13-147</w:t>
      </w:r>
    </w:p>
    <w:p w14:paraId="50D90B26" w14:textId="77777777" w:rsidR="00237599" w:rsidRPr="008D1A6E" w:rsidRDefault="00237599" w:rsidP="00237599">
      <w:pPr>
        <w:pStyle w:val="NormalWeb"/>
        <w:rPr>
          <w:rFonts w:ascii="Arial Black" w:hAnsi="Arial Black"/>
          <w:sz w:val="28"/>
          <w:szCs w:val="28"/>
        </w:rPr>
      </w:pPr>
      <w:bookmarkStart w:id="436" w:name="_Hlk136860551"/>
      <w:r>
        <w:rPr>
          <w:rFonts w:ascii="Arial Black" w:hAnsi="Arial Black"/>
          <w:sz w:val="28"/>
          <w:szCs w:val="28"/>
        </w:rPr>
        <w:t>OK: COMBATIVE PT - MEDICS CALL HELP – 4 FF PIN HIM FACE DOWN, PD HANDCUFFS - DIES – FF QUAL. IMMUNITY</w:t>
      </w:r>
    </w:p>
    <w:bookmarkEnd w:id="436"/>
    <w:p w14:paraId="61E6084B" w14:textId="318D8BD8" w:rsidR="00237599" w:rsidRDefault="00237599" w:rsidP="00237599">
      <w:pPr>
        <w:rPr>
          <w:rStyle w:val="Hyperlink"/>
          <w:rFonts w:ascii="Times New Roman" w:eastAsiaTheme="majorEastAsia" w:hAnsi="Times New Roman"/>
          <w:sz w:val="24"/>
          <w:szCs w:val="24"/>
        </w:rPr>
      </w:pPr>
      <w:r w:rsidRPr="00237599">
        <w:rPr>
          <w:rFonts w:ascii="Times New Roman" w:hAnsi="Times New Roman"/>
          <w:sz w:val="24"/>
          <w:szCs w:val="24"/>
        </w:rPr>
        <w:t xml:space="preserve">On May 19, 2023, in </w:t>
      </w:r>
      <w:r w:rsidRPr="00237599">
        <w:rPr>
          <w:rFonts w:ascii="Times New Roman" w:hAnsi="Times New Roman"/>
          <w:sz w:val="24"/>
          <w:szCs w:val="24"/>
          <w:u w:val="single"/>
        </w:rPr>
        <w:t>Charles Kaleb Vanlandingham, Administrator for the Estate of Charles Lamar Vanlandingham v. City of Oklahoma City</w:t>
      </w:r>
      <w:r w:rsidRPr="00237599">
        <w:rPr>
          <w:rFonts w:ascii="Times New Roman" w:hAnsi="Times New Roman"/>
          <w:sz w:val="24"/>
          <w:szCs w:val="24"/>
        </w:rPr>
        <w:t xml:space="preserve">, Chief U.S. District Court Judge Timothy D. </w:t>
      </w:r>
      <w:proofErr w:type="spellStart"/>
      <w:r w:rsidRPr="00237599">
        <w:rPr>
          <w:rFonts w:ascii="Times New Roman" w:hAnsi="Times New Roman"/>
          <w:sz w:val="24"/>
          <w:szCs w:val="24"/>
        </w:rPr>
        <w:t>DeGisti</w:t>
      </w:r>
      <w:proofErr w:type="spellEnd"/>
      <w:r w:rsidRPr="00237599">
        <w:rPr>
          <w:rFonts w:ascii="Times New Roman" w:hAnsi="Times New Roman"/>
          <w:sz w:val="24"/>
          <w:szCs w:val="24"/>
        </w:rPr>
        <w:t xml:space="preserve">, U.S. District Court, Western District of Oklahoma, dismissed the four firefighters from the lawsuit; they enjoy qualified immunity even if performing law enforcement type duties of subduing the patient.  The lawsuit may, however, proceed against the police officer on alleged excessive force. </w:t>
      </w:r>
      <w:hyperlink r:id="rId2250" w:history="1">
        <w:r w:rsidRPr="00237599">
          <w:rPr>
            <w:rStyle w:val="Hyperlink"/>
            <w:rFonts w:ascii="Times New Roman" w:eastAsiaTheme="majorEastAsia" w:hAnsi="Times New Roman"/>
            <w:sz w:val="24"/>
            <w:szCs w:val="24"/>
          </w:rPr>
          <w:t>https://public.fastcase.com/ZZhmr5v9wN%2FXOe5IsQ%2FqD1tuyppLBnLrMmR86JNFVAlEsCewO4n%2BqmcnLV2ysm6tZCnkIxWDhw4CT9a2YbHZsY59KqRUUsvnj3oq0k4kZUY%3D?utm_medium=email&amp;_hsmi=226712652&amp;_hsenc=p2ANqtz-_TDFfv4pLQcLfqFCn8pFSxh77smp5fK7rovyeiHf7hqXQSyFbPSdIcgszVq5PNSPeSOT64f2E-JPGn2x6-fH_4dd4mvg&amp;utm_content=226712652&amp;utm_source=hs_email</w:t>
        </w:r>
      </w:hyperlink>
    </w:p>
    <w:p w14:paraId="50A5F754" w14:textId="77777777" w:rsidR="00237599" w:rsidRDefault="00237599" w:rsidP="00237599">
      <w:pPr>
        <w:pStyle w:val="NormalWeb"/>
        <w:ind w:left="720"/>
      </w:pPr>
      <w:r>
        <w:t xml:space="preserve">“The Court recognizes that Plaintiff alleges the paramedics called for assistance in handling a combative patient, and case law supports the view that restraints imposed for this purpose do not constitute a ‘seizure’ under the Fourth Amendment….  In response to Firefighters' Motion, Plaintiff identifies no Supreme Court, Tenth Circuit, or other published appellate decision that would have made clear to a reasonable person in Firefighters' position that their alleged conduct toward Mr. Vanlandingham was governed by the Fourth Amendment. *** The Court therefore finds that Plaintiff has not met his burden to overcome Firefighters' qualified immunity from suit on his § 1983 claims for unlawful detention of, or use of unreasonable force against, Mr. Vanlandingham.” </w:t>
      </w:r>
    </w:p>
    <w:p w14:paraId="6ADDE945" w14:textId="77777777" w:rsidR="00237599" w:rsidRPr="002966A6" w:rsidRDefault="00237599" w:rsidP="00237599">
      <w:pPr>
        <w:pStyle w:val="NormalWeb"/>
        <w:rPr>
          <w:b/>
          <w:bCs/>
        </w:rPr>
      </w:pPr>
      <w:r w:rsidRPr="002966A6">
        <w:rPr>
          <w:b/>
          <w:bCs/>
        </w:rPr>
        <w:t xml:space="preserve">Legal Lesson Learned: </w:t>
      </w:r>
      <w:r>
        <w:rPr>
          <w:b/>
          <w:bCs/>
        </w:rPr>
        <w:t xml:space="preserve">Firefighters enjoy qualified immunity; </w:t>
      </w:r>
      <w:r w:rsidRPr="002966A6">
        <w:rPr>
          <w:b/>
          <w:bCs/>
        </w:rPr>
        <w:t>restrain</w:t>
      </w:r>
      <w:r>
        <w:rPr>
          <w:b/>
          <w:bCs/>
        </w:rPr>
        <w:t xml:space="preserve">ing </w:t>
      </w:r>
      <w:r w:rsidRPr="002966A6">
        <w:rPr>
          <w:b/>
          <w:bCs/>
        </w:rPr>
        <w:t>a combative patient does not constitute a ‘seizure’ under the Fourth Amendment</w:t>
      </w:r>
    </w:p>
    <w:p w14:paraId="379B01EF" w14:textId="77777777" w:rsidR="00237599" w:rsidRDefault="00237599" w:rsidP="00237599">
      <w:pPr>
        <w:rPr>
          <w:rFonts w:ascii="Times New Roman" w:hAnsi="Times New Roman"/>
          <w:b/>
          <w:bCs/>
          <w:sz w:val="24"/>
          <w:szCs w:val="24"/>
        </w:rPr>
      </w:pPr>
    </w:p>
    <w:p w14:paraId="75B2502A" w14:textId="3781CB33" w:rsidR="00237599" w:rsidRDefault="00237599" w:rsidP="00237599">
      <w:pPr>
        <w:rPr>
          <w:rFonts w:ascii="Arial Black" w:hAnsi="Arial Black"/>
          <w:b/>
          <w:bCs/>
          <w:sz w:val="28"/>
          <w:szCs w:val="28"/>
        </w:rPr>
      </w:pPr>
      <w:r>
        <w:rPr>
          <w:rFonts w:ascii="Arial Black" w:hAnsi="Arial Black"/>
          <w:b/>
          <w:bCs/>
          <w:sz w:val="28"/>
          <w:szCs w:val="28"/>
        </w:rPr>
        <w:t>13-146</w:t>
      </w:r>
    </w:p>
    <w:p w14:paraId="4ED9453E" w14:textId="77777777" w:rsidR="00237599" w:rsidRPr="00FB5B17" w:rsidRDefault="00237599" w:rsidP="00237599">
      <w:pPr>
        <w:pStyle w:val="NormalWeb"/>
        <w:rPr>
          <w:rFonts w:ascii="Arial Black" w:hAnsi="Arial Black"/>
          <w:sz w:val="28"/>
          <w:szCs w:val="28"/>
        </w:rPr>
      </w:pPr>
      <w:bookmarkStart w:id="437" w:name="_Hlk136860623"/>
      <w:r>
        <w:rPr>
          <w:rFonts w:ascii="Arial Black" w:hAnsi="Arial Black"/>
          <w:sz w:val="28"/>
          <w:szCs w:val="28"/>
        </w:rPr>
        <w:t xml:space="preserve">KY: FIRE CHIEF HELPED 3 PD HANDCUFF NAKED MAN – “BAD METH” - DIED – QUALIFIED OFFICIAL IMMUNITY </w:t>
      </w:r>
    </w:p>
    <w:bookmarkEnd w:id="437"/>
    <w:p w14:paraId="0042390A" w14:textId="77777777" w:rsidR="00237599" w:rsidRDefault="00237599" w:rsidP="00237599">
      <w:pPr>
        <w:pStyle w:val="NormalWeb"/>
      </w:pPr>
      <w:r>
        <w:t xml:space="preserve">On May 19, 2023, in </w:t>
      </w:r>
      <w:r w:rsidRPr="00FB5B17">
        <w:rPr>
          <w:u w:val="single"/>
        </w:rPr>
        <w:t>Paula M. Haney, as Personal Representative of Estate of Donald Prater, Jr., v. City of Painesville, et al</w:t>
      </w:r>
      <w:r>
        <w:t xml:space="preserve">.,  the Court of Appeals of Kentucky held (3 to 0: unpublished opinion) that Fire Chief Rick Ratliff, Paintsville Fire Department was properly dismissed from the lawsuit. The case against police officers was remanded to trial court to make a finding on whether the patient was in their custody and owed him duties due to this “special relationship.” </w:t>
      </w:r>
      <w:hyperlink r:id="rId2251" w:history="1">
        <w:r w:rsidRPr="009F744A">
          <w:rPr>
            <w:rStyle w:val="Hyperlink"/>
            <w:rFonts w:eastAsiaTheme="majorEastAsia"/>
          </w:rPr>
          <w:t>https://public.fastcase.com/ZZhmr5v9wN%2FXOe5IsQ%2FqD3yVZPtM4gE5qxUG0JmvBs4KZKL0kykfWRWAFzVzGOUSCymfVjFMg8ksTGDwIJSWELTF6XkccOjxJx4J8ta6mPQ%3D?utm_medium=email&amp;_hsmi=226712652&amp;_hsenc=p2ANqtz-91z17HDQg9Q71tjjdfZzo5M0dPvb4mrX2MWXe9g7uh0-gjm69ERrplNGPGusNDxTqNwPz_oB2Mm624G4BOe4pHJTgwVA&amp;utm_content=226712652&amp;utm_source=hs_email</w:t>
        </w:r>
      </w:hyperlink>
      <w:r>
        <w:t xml:space="preserve"> </w:t>
      </w:r>
    </w:p>
    <w:p w14:paraId="0792DC20" w14:textId="77777777" w:rsidR="00237599" w:rsidRDefault="00237599" w:rsidP="00237599">
      <w:pPr>
        <w:pStyle w:val="NormalWeb"/>
        <w:ind w:left="720"/>
      </w:pPr>
      <w:r>
        <w:t xml:space="preserve">“Instead, all three officers, along with Fire Department Chief Ratliff who had arrived on the scene to respond as a medical responder, worked together to handcuff Prater. *** Notably, Kentucky has a longstanding tradition of treating firefighting as a governmental function and thereby cloaking it in immunity. *** The trial court's determination as to whether the Paintsville Fire Department is entitled to governmental immunity was correct. Turning to the determination </w:t>
      </w:r>
      <w:proofErr w:type="gramStart"/>
      <w:r>
        <w:t>as to</w:t>
      </w:r>
      <w:proofErr w:type="gramEnd"/>
      <w:r>
        <w:t xml:space="preserve"> Chief Ratliff personally, the trial court determined that his actions on that day were discretionary. We agree. As Chief Ratliff is a firefighter and emergency medical responder, he is not ordinarily engaged in participating in the arrest of citizens. He made a judgment that his assistance was needed to place Prater in handcuffs. The exercise of judgment is the gravamen of the exercise of discretion.” </w:t>
      </w:r>
    </w:p>
    <w:p w14:paraId="14F09820" w14:textId="77777777" w:rsidR="00237599" w:rsidRPr="00D717AB" w:rsidRDefault="00237599" w:rsidP="00237599">
      <w:pPr>
        <w:pStyle w:val="NormalWeb"/>
        <w:rPr>
          <w:b/>
          <w:bCs/>
        </w:rPr>
      </w:pPr>
      <w:r w:rsidRPr="00D717AB">
        <w:rPr>
          <w:b/>
          <w:bCs/>
        </w:rPr>
        <w:t>Legal Lesson Learned:</w:t>
      </w:r>
      <w:r>
        <w:rPr>
          <w:b/>
          <w:bCs/>
        </w:rPr>
        <w:t xml:space="preserve"> Helpful decision confirming “official qualified immunity” for firefighters in Kentucky. </w:t>
      </w:r>
    </w:p>
    <w:p w14:paraId="09C46813" w14:textId="77777777" w:rsidR="00237599" w:rsidRDefault="00237599" w:rsidP="00237599">
      <w:pPr>
        <w:rPr>
          <w:rFonts w:ascii="Arial Black" w:hAnsi="Arial Black"/>
          <w:b/>
          <w:bCs/>
          <w:sz w:val="28"/>
          <w:szCs w:val="28"/>
        </w:rPr>
      </w:pPr>
    </w:p>
    <w:p w14:paraId="5619D293" w14:textId="7717BEF7" w:rsidR="00237599" w:rsidRDefault="00237599" w:rsidP="00237599">
      <w:pPr>
        <w:rPr>
          <w:rFonts w:ascii="Arial Black" w:hAnsi="Arial Black"/>
          <w:b/>
          <w:bCs/>
          <w:sz w:val="28"/>
          <w:szCs w:val="28"/>
        </w:rPr>
      </w:pPr>
      <w:r>
        <w:rPr>
          <w:rFonts w:ascii="Arial Black" w:hAnsi="Arial Black"/>
          <w:b/>
          <w:bCs/>
          <w:sz w:val="28"/>
          <w:szCs w:val="28"/>
        </w:rPr>
        <w:t>13-145</w:t>
      </w:r>
    </w:p>
    <w:p w14:paraId="6B59900E" w14:textId="77777777" w:rsidR="00A01262" w:rsidRPr="00374572" w:rsidRDefault="00A01262" w:rsidP="00A01262">
      <w:pPr>
        <w:pStyle w:val="NormalWeb"/>
        <w:rPr>
          <w:rFonts w:ascii="Arial Black" w:hAnsi="Arial Black"/>
          <w:b/>
          <w:bCs/>
          <w:sz w:val="28"/>
          <w:szCs w:val="28"/>
        </w:rPr>
      </w:pPr>
      <w:bookmarkStart w:id="438" w:name="_Hlk136860693"/>
      <w:r>
        <w:rPr>
          <w:rFonts w:ascii="Arial Black" w:hAnsi="Arial Black"/>
          <w:b/>
          <w:bCs/>
          <w:sz w:val="28"/>
          <w:szCs w:val="28"/>
        </w:rPr>
        <w:t>KY: HOSPITAL ON DIVERSION – DIDN’T TELL EMS – STEMI PATIENT TURNED AWAY– JURY $1.8 MILLION PUNITIVE</w:t>
      </w:r>
    </w:p>
    <w:bookmarkEnd w:id="438"/>
    <w:p w14:paraId="65F8537B" w14:textId="77777777" w:rsidR="00A01262" w:rsidRDefault="00A01262" w:rsidP="00A01262">
      <w:pPr>
        <w:pStyle w:val="NormalWeb"/>
      </w:pPr>
      <w:r>
        <w:t xml:space="preserve">On May 8, 2023, in </w:t>
      </w:r>
      <w:r w:rsidRPr="00287FCD">
        <w:rPr>
          <w:u w:val="single"/>
        </w:rPr>
        <w:t>William H. Williams v. Baptist Healthcare System, Inc.</w:t>
      </w:r>
      <w:r>
        <w:t>, U.S. District Court Judge Clair H. Boom, U.S. District Court for Western District of Kentucky, Louisville Division, refused the hospital’s post-trial motion to set aside the verdict.  The hospital admitted it had breached EMTALA [</w:t>
      </w:r>
      <w:r w:rsidRPr="00287FCD">
        <w:t>Emergency Medical Treatment and Labor Act]</w:t>
      </w:r>
      <w:r>
        <w:t xml:space="preserve">; the jury awarded Plaintiff compensatory damages in the amount of $545,000 and punitive damages in the amount of $1,850,000. The hospital asked trial judge to set aside the verdict, claiming no proof of gross negligence. </w:t>
      </w:r>
      <w:hyperlink r:id="rId2252" w:history="1">
        <w:r w:rsidRPr="008E5D86">
          <w:rPr>
            <w:rStyle w:val="Hyperlink"/>
            <w:rFonts w:eastAsiaTheme="majorEastAsia"/>
          </w:rPr>
          <w:t>https://public.fastcase.com/ZZhmr5v9wN%2FXOe5IsQ%2FqD6Xk9Se1JBeTiY14mFqaZIC5zf3duAqu51qE94mXCojrTIXHUx6W2UZ5EsVNrKWWswbYRHUo1KFYOQ9M2ppF1oA%3D?utm_medium=email&amp;_hsmi=226712652&amp;_hsenc=p2ANqtz-9aFlMC5FDCM2U0K8x384sblH4I0CGG1sOM-rog5fs89w4bS-qizqdVKzMegY3x51ZczlJkgb2TT7R5d8mF-dWwXy7XkA&amp;utm_content=226712652&amp;utm_source=hs_email</w:t>
        </w:r>
      </w:hyperlink>
      <w:r>
        <w:t xml:space="preserve"> </w:t>
      </w:r>
    </w:p>
    <w:p w14:paraId="02A79331" w14:textId="77777777" w:rsidR="00A01262" w:rsidRDefault="00A01262" w:rsidP="00A01262">
      <w:pPr>
        <w:pStyle w:val="NormalWeb"/>
        <w:ind w:left="720"/>
      </w:pPr>
      <w:r>
        <w:t xml:space="preserve">“First, with respect to Nurse Blankenship, the Court finds that the jury could find her actions sufficiently egregious to amount to gross negligence…. The evidence also showed that, prior to </w:t>
      </w:r>
      <w:proofErr w:type="gramStart"/>
      <w:r>
        <w:t>the night of April</w:t>
      </w:r>
      <w:proofErr w:type="gramEnd"/>
      <w:r>
        <w:t xml:space="preserve"> 4, 2015, Nurse Blankenship had only received ‘about five minutes’ of EMTALA training. </w:t>
      </w:r>
    </w:p>
    <w:p w14:paraId="71C67BCA" w14:textId="77777777" w:rsidR="00A01262" w:rsidRDefault="00A01262" w:rsidP="00A01262">
      <w:pPr>
        <w:pStyle w:val="NormalWeb"/>
        <w:ind w:firstLine="720"/>
      </w:pPr>
      <w:r>
        <w:t>***</w:t>
      </w:r>
    </w:p>
    <w:p w14:paraId="6687EF0A" w14:textId="77777777" w:rsidR="00A01262" w:rsidRDefault="00A01262" w:rsidP="00A01262">
      <w:pPr>
        <w:pStyle w:val="NormalWeb"/>
        <w:ind w:left="720"/>
      </w:pPr>
      <w:r>
        <w:t xml:space="preserve">The failure of Baptist to activate the STEMI protocol, failure to alert local EMS of the diversion every three hours, and failure to call UK when Mr. Williams was actually sent to the University of Kentucky, and also failure to contact EMS per their policy after Mr. Williams showed up and was sent to UK so that it wouldn't happen again later that weekend, failure to disclose in the OIG report that this was a diversion for inbound STEMIs - now, you might view that in a different way, but the language of the OIG report just says “transfers to another hospital” - the fact that Nurse Blankenship didn't - the failure of Nurse Blankenship to write down who the EMS was that called and to take their telephone number; the testimony that Nurse Blankenship told EMS that they should go to Good Samaritan Hospital even though Good Samaritan did not have a </w:t>
      </w:r>
      <w:proofErr w:type="spellStart"/>
      <w:r>
        <w:t>cath</w:t>
      </w:r>
      <w:proofErr w:type="spellEnd"/>
      <w:r>
        <w:t xml:space="preserve"> lab.” </w:t>
      </w:r>
    </w:p>
    <w:p w14:paraId="766BD7FF" w14:textId="77777777" w:rsidR="00A01262" w:rsidRPr="003C5C00" w:rsidRDefault="00A01262" w:rsidP="00A01262">
      <w:pPr>
        <w:pStyle w:val="NormalWeb"/>
        <w:rPr>
          <w:b/>
          <w:bCs/>
        </w:rPr>
      </w:pPr>
      <w:r w:rsidRPr="003C5C00">
        <w:rPr>
          <w:b/>
          <w:bCs/>
        </w:rPr>
        <w:t>Legal Lesson Learned:</w:t>
      </w:r>
      <w:r>
        <w:rPr>
          <w:b/>
          <w:bCs/>
        </w:rPr>
        <w:t xml:space="preserve"> The jury awarded punitive damages to “punish” the hospital for causing delay to patient with STEMI. </w:t>
      </w:r>
    </w:p>
    <w:p w14:paraId="71657DFA" w14:textId="77777777" w:rsidR="00237599" w:rsidRDefault="00237599" w:rsidP="006A02A4">
      <w:pPr>
        <w:rPr>
          <w:rFonts w:ascii="Arial Black" w:hAnsi="Arial Black"/>
          <w:b/>
          <w:bCs/>
          <w:sz w:val="28"/>
          <w:szCs w:val="28"/>
        </w:rPr>
      </w:pPr>
    </w:p>
    <w:p w14:paraId="2499F44B" w14:textId="38A01C2B" w:rsidR="006A02A4" w:rsidRDefault="00227BDE" w:rsidP="006A02A4">
      <w:pPr>
        <w:rPr>
          <w:rFonts w:ascii="Arial Black" w:hAnsi="Arial Black"/>
          <w:b/>
          <w:bCs/>
          <w:sz w:val="28"/>
          <w:szCs w:val="28"/>
        </w:rPr>
      </w:pPr>
      <w:r>
        <w:rPr>
          <w:rFonts w:ascii="Arial Black" w:hAnsi="Arial Black"/>
          <w:b/>
          <w:bCs/>
          <w:sz w:val="28"/>
          <w:szCs w:val="28"/>
        </w:rPr>
        <w:t>13-14</w:t>
      </w:r>
      <w:r w:rsidR="006A02A4">
        <w:rPr>
          <w:rFonts w:ascii="Arial Black" w:hAnsi="Arial Black"/>
          <w:b/>
          <w:bCs/>
          <w:sz w:val="28"/>
          <w:szCs w:val="28"/>
        </w:rPr>
        <w:t>4</w:t>
      </w:r>
    </w:p>
    <w:p w14:paraId="368BC478" w14:textId="14B5FC3A" w:rsidR="00227BDE" w:rsidRPr="00F44C22" w:rsidRDefault="00227BDE" w:rsidP="006A02A4">
      <w:pPr>
        <w:rPr>
          <w:rFonts w:ascii="Arial Black" w:hAnsi="Arial Black"/>
          <w:sz w:val="28"/>
          <w:szCs w:val="28"/>
        </w:rPr>
      </w:pPr>
      <w:r w:rsidRPr="00F44C22">
        <w:rPr>
          <w:rFonts w:ascii="Arial Black" w:hAnsi="Arial Black"/>
          <w:b/>
          <w:bCs/>
          <w:sz w:val="28"/>
          <w:szCs w:val="28"/>
        </w:rPr>
        <w:t xml:space="preserve">KY </w:t>
      </w:r>
      <w:r>
        <w:rPr>
          <w:rFonts w:ascii="Arial Black" w:hAnsi="Arial Black"/>
          <w:b/>
          <w:bCs/>
          <w:sz w:val="28"/>
          <w:szCs w:val="28"/>
        </w:rPr>
        <w:t xml:space="preserve">(4/27/2023): EMS TOOK ASSAULT VICTIM </w:t>
      </w:r>
      <w:r w:rsidRPr="00F44C22">
        <w:rPr>
          <w:rFonts w:ascii="Arial Black" w:hAnsi="Arial Black"/>
          <w:b/>
          <w:bCs/>
          <w:sz w:val="28"/>
          <w:szCs w:val="28"/>
        </w:rPr>
        <w:t xml:space="preserve">TRAUMA </w:t>
      </w:r>
      <w:r>
        <w:rPr>
          <w:rFonts w:ascii="Arial Black" w:hAnsi="Arial Black"/>
          <w:b/>
          <w:bCs/>
          <w:sz w:val="28"/>
          <w:szCs w:val="28"/>
        </w:rPr>
        <w:t xml:space="preserve">HOSP - CRIM. TRIAL ED DOC TESTIFIED </w:t>
      </w:r>
      <w:r w:rsidRPr="00F44C22">
        <w:rPr>
          <w:rFonts w:ascii="Arial Black" w:hAnsi="Arial Black"/>
          <w:b/>
          <w:bCs/>
          <w:sz w:val="28"/>
          <w:szCs w:val="28"/>
        </w:rPr>
        <w:t xml:space="preserve">VIA ZOOM </w:t>
      </w:r>
      <w:r>
        <w:rPr>
          <w:rFonts w:ascii="Arial Black" w:hAnsi="Arial Black"/>
          <w:b/>
          <w:bCs/>
          <w:sz w:val="28"/>
          <w:szCs w:val="28"/>
        </w:rPr>
        <w:t xml:space="preserve">– CONV. REV. </w:t>
      </w:r>
    </w:p>
    <w:p w14:paraId="2AFCF940" w14:textId="77777777" w:rsidR="00227BDE" w:rsidRDefault="00227BDE" w:rsidP="00227BDE">
      <w:pPr>
        <w:pStyle w:val="NoSpacing"/>
      </w:pPr>
    </w:p>
    <w:p w14:paraId="45F2D4EE"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Donnie Campbell v. Commonwealth of Kentucky</w:t>
      </w:r>
      <w:r w:rsidRPr="003C1643">
        <w:rPr>
          <w:rFonts w:ascii="Times New Roman" w:hAnsi="Times New Roman"/>
          <w:sz w:val="24"/>
          <w:szCs w:val="24"/>
        </w:rPr>
        <w:t xml:space="preserve">, Supreme Court of Kentucky. </w:t>
      </w:r>
      <w:hyperlink r:id="rId2253" w:history="1">
        <w:r w:rsidRPr="003C1643">
          <w:rPr>
            <w:rStyle w:val="Hyperlink"/>
            <w:rFonts w:ascii="Times New Roman" w:hAnsi="Times New Roman"/>
            <w:sz w:val="24"/>
            <w:szCs w:val="24"/>
          </w:rPr>
          <w:t>https://law.justia.com/cases/kentucky/supreme-court/2023/2021-sc-0479-mr.html</w:t>
        </w:r>
      </w:hyperlink>
      <w:r w:rsidRPr="003C1643">
        <w:rPr>
          <w:rFonts w:ascii="Times New Roman" w:hAnsi="Times New Roman"/>
          <w:sz w:val="24"/>
          <w:szCs w:val="24"/>
        </w:rPr>
        <w:t xml:space="preserve"> </w:t>
      </w:r>
    </w:p>
    <w:p w14:paraId="7BB36B32" w14:textId="77777777" w:rsidR="00227BDE" w:rsidRPr="003C1643" w:rsidRDefault="00227BDE" w:rsidP="00227BDE">
      <w:pPr>
        <w:pStyle w:val="NormalWeb"/>
        <w:rPr>
          <w:b/>
          <w:bCs/>
        </w:rPr>
      </w:pPr>
      <w:r w:rsidRPr="003C1643">
        <w:rPr>
          <w:b/>
          <w:bCs/>
        </w:rPr>
        <w:t xml:space="preserve">Legal Lesson Learned: Timely subpoena ED doctor and other key witnesses to appear in person for criminal trials. </w:t>
      </w:r>
    </w:p>
    <w:p w14:paraId="6F8EE4B6" w14:textId="77777777" w:rsidR="00227BDE" w:rsidRDefault="00227BDE" w:rsidP="002B1283">
      <w:pPr>
        <w:rPr>
          <w:rFonts w:ascii="Arial Black" w:hAnsi="Arial Black"/>
          <w:b/>
          <w:bCs/>
          <w:sz w:val="28"/>
          <w:szCs w:val="28"/>
        </w:rPr>
      </w:pPr>
      <w:r>
        <w:rPr>
          <w:rFonts w:ascii="Arial Black" w:hAnsi="Arial Black"/>
          <w:b/>
          <w:bCs/>
          <w:sz w:val="28"/>
          <w:szCs w:val="28"/>
        </w:rPr>
        <w:t xml:space="preserve"> </w:t>
      </w:r>
    </w:p>
    <w:p w14:paraId="7FDD1EC0" w14:textId="37C82A65" w:rsidR="006A02A4" w:rsidRDefault="006A02A4" w:rsidP="002B1283">
      <w:pPr>
        <w:rPr>
          <w:rFonts w:ascii="Arial Black" w:hAnsi="Arial Black"/>
          <w:b/>
          <w:bCs/>
          <w:sz w:val="28"/>
          <w:szCs w:val="28"/>
        </w:rPr>
      </w:pPr>
      <w:r>
        <w:rPr>
          <w:rFonts w:ascii="Arial Black" w:hAnsi="Arial Black"/>
          <w:b/>
          <w:bCs/>
          <w:sz w:val="28"/>
          <w:szCs w:val="28"/>
        </w:rPr>
        <w:t>13-143</w:t>
      </w:r>
    </w:p>
    <w:p w14:paraId="7D78F9A7" w14:textId="77777777" w:rsidR="00227BDE" w:rsidRPr="003515EA" w:rsidRDefault="00227BDE" w:rsidP="00227BDE">
      <w:pPr>
        <w:pStyle w:val="NoSpacing"/>
        <w:rPr>
          <w:rFonts w:ascii="Arial Black" w:hAnsi="Arial Black"/>
          <w:sz w:val="28"/>
          <w:szCs w:val="28"/>
        </w:rPr>
      </w:pPr>
      <w:r w:rsidRPr="003515EA">
        <w:rPr>
          <w:rFonts w:ascii="Arial Black" w:hAnsi="Arial Black"/>
          <w:sz w:val="28"/>
          <w:szCs w:val="28"/>
        </w:rPr>
        <w:t xml:space="preserve">IL (4/19/2023) – COVID 19 - CHICAGO MUST REHIRE EMPLOYEES </w:t>
      </w:r>
      <w:r>
        <w:rPr>
          <w:rFonts w:ascii="Arial Black" w:hAnsi="Arial Black"/>
          <w:sz w:val="28"/>
          <w:szCs w:val="28"/>
        </w:rPr>
        <w:t>–</w:t>
      </w:r>
      <w:r w:rsidRPr="003515EA">
        <w:rPr>
          <w:rFonts w:ascii="Arial Black" w:hAnsi="Arial Black"/>
          <w:sz w:val="28"/>
          <w:szCs w:val="28"/>
        </w:rPr>
        <w:t xml:space="preserve"> </w:t>
      </w:r>
      <w:r>
        <w:rPr>
          <w:rFonts w:ascii="Arial Black" w:hAnsi="Arial Black"/>
          <w:sz w:val="28"/>
          <w:szCs w:val="28"/>
        </w:rPr>
        <w:t xml:space="preserve">ALJ - </w:t>
      </w:r>
      <w:r w:rsidRPr="003515EA">
        <w:rPr>
          <w:rFonts w:ascii="Arial Black" w:hAnsi="Arial Black"/>
          <w:sz w:val="28"/>
          <w:szCs w:val="28"/>
        </w:rPr>
        <w:t xml:space="preserve">ILLINOIS LABOR RELATIONS BOARD </w:t>
      </w:r>
    </w:p>
    <w:p w14:paraId="250E779A" w14:textId="77777777" w:rsidR="00227BDE" w:rsidRDefault="00227BDE" w:rsidP="00227BDE">
      <w:pPr>
        <w:pStyle w:val="NoSpacing"/>
      </w:pPr>
    </w:p>
    <w:p w14:paraId="370F1335" w14:textId="77777777" w:rsidR="00227BDE" w:rsidRDefault="00227BDE" w:rsidP="00227BDE">
      <w:pPr>
        <w:pStyle w:val="NoSpacing"/>
        <w:rPr>
          <w:rStyle w:val="markedcontent"/>
          <w:rFonts w:ascii="Times New Roman" w:hAnsi="Times New Roman"/>
          <w:sz w:val="24"/>
          <w:szCs w:val="24"/>
        </w:rPr>
      </w:pPr>
      <w:r w:rsidRPr="003C1643">
        <w:rPr>
          <w:rStyle w:val="markedcontent"/>
          <w:rFonts w:ascii="Times New Roman" w:hAnsi="Times New Roman"/>
          <w:sz w:val="24"/>
          <w:szCs w:val="24"/>
          <w:u w:val="single"/>
        </w:rPr>
        <w:t>Coalition of Unionized Public Employees and American Federation of State, County and Municipal Employees, Council 31 v. City of Chicago</w:t>
      </w:r>
      <w:r w:rsidRPr="003C1643">
        <w:rPr>
          <w:rStyle w:val="markedcontent"/>
          <w:rFonts w:ascii="Times New Roman" w:hAnsi="Times New Roman"/>
          <w:sz w:val="24"/>
          <w:szCs w:val="24"/>
        </w:rPr>
        <w:t xml:space="preserve">.  </w:t>
      </w:r>
      <w:hyperlink r:id="rId2254" w:history="1">
        <w:r w:rsidRPr="003C1643">
          <w:rPr>
            <w:rStyle w:val="Hyperlink"/>
            <w:rFonts w:ascii="Times New Roman" w:hAnsi="Times New Roman"/>
            <w:sz w:val="24"/>
            <w:szCs w:val="24"/>
          </w:rPr>
          <w:t>https://s3.amazonaws.com/jnswire/jns-media/e9/3e/12863006/unions_v_chicago_vax_ilrb_alj.pdf</w:t>
        </w:r>
      </w:hyperlink>
      <w:r w:rsidRPr="003C1643">
        <w:rPr>
          <w:rStyle w:val="markedcontent"/>
          <w:rFonts w:ascii="Times New Roman" w:hAnsi="Times New Roman"/>
          <w:sz w:val="24"/>
          <w:szCs w:val="24"/>
        </w:rPr>
        <w:t xml:space="preserve"> </w:t>
      </w:r>
    </w:p>
    <w:p w14:paraId="586E16A0" w14:textId="77777777" w:rsidR="006A02A4" w:rsidRDefault="006A02A4" w:rsidP="00227BDE">
      <w:pPr>
        <w:pStyle w:val="NoSpacing"/>
        <w:rPr>
          <w:rStyle w:val="markedcontent"/>
          <w:rFonts w:ascii="Times New Roman" w:hAnsi="Times New Roman"/>
          <w:sz w:val="24"/>
          <w:szCs w:val="24"/>
        </w:rPr>
      </w:pPr>
    </w:p>
    <w:p w14:paraId="2B9D8898" w14:textId="77777777" w:rsidR="006A02A4" w:rsidRPr="006A02A4" w:rsidRDefault="006A02A4" w:rsidP="006A02A4">
      <w:pPr>
        <w:pStyle w:val="Heading2"/>
        <w:rPr>
          <w:rFonts w:ascii="Times New Roman" w:hAnsi="Times New Roman"/>
          <w:b w:val="0"/>
          <w:bCs w:val="0"/>
          <w:i w:val="0"/>
          <w:iCs w:val="0"/>
          <w:color w:val="000000" w:themeColor="text1"/>
          <w:sz w:val="24"/>
          <w:szCs w:val="24"/>
        </w:rPr>
      </w:pPr>
      <w:r w:rsidRPr="006A02A4">
        <w:rPr>
          <w:rFonts w:ascii="Times New Roman" w:hAnsi="Times New Roman"/>
          <w:i w:val="0"/>
          <w:iCs w:val="0"/>
          <w:color w:val="000000" w:themeColor="text1"/>
          <w:sz w:val="24"/>
          <w:szCs w:val="24"/>
        </w:rPr>
        <w:t xml:space="preserve">Legal Lesson Learned: The City of Chicago must bargain over the effects of the vaccination mandate. </w:t>
      </w:r>
    </w:p>
    <w:p w14:paraId="44CD7852" w14:textId="77777777" w:rsidR="006A02A4" w:rsidRPr="006A02A4" w:rsidRDefault="006A02A4" w:rsidP="006A02A4">
      <w:pPr>
        <w:pStyle w:val="Heading2"/>
        <w:ind w:left="720"/>
        <w:rPr>
          <w:rFonts w:ascii="Times New Roman" w:hAnsi="Times New Roman"/>
          <w:b w:val="0"/>
          <w:bCs w:val="0"/>
          <w:color w:val="000000" w:themeColor="text1"/>
          <w:sz w:val="24"/>
          <w:szCs w:val="24"/>
        </w:rPr>
      </w:pPr>
      <w:r w:rsidRPr="006A02A4">
        <w:rPr>
          <w:rFonts w:ascii="Times New Roman" w:hAnsi="Times New Roman"/>
          <w:b w:val="0"/>
          <w:bCs w:val="0"/>
          <w:i w:val="0"/>
          <w:iCs w:val="0"/>
          <w:color w:val="000000" w:themeColor="text1"/>
          <w:sz w:val="24"/>
          <w:szCs w:val="24"/>
        </w:rPr>
        <w:t xml:space="preserve">Note: See also April 20, </w:t>
      </w:r>
      <w:proofErr w:type="gramStart"/>
      <w:r w:rsidRPr="006A02A4">
        <w:rPr>
          <w:rFonts w:ascii="Times New Roman" w:hAnsi="Times New Roman"/>
          <w:b w:val="0"/>
          <w:bCs w:val="0"/>
          <w:i w:val="0"/>
          <w:iCs w:val="0"/>
          <w:color w:val="000000" w:themeColor="text1"/>
          <w:sz w:val="24"/>
          <w:szCs w:val="24"/>
        </w:rPr>
        <w:t>2023</w:t>
      </w:r>
      <w:proofErr w:type="gramEnd"/>
      <w:r w:rsidRPr="006A02A4">
        <w:rPr>
          <w:rFonts w:ascii="Times New Roman" w:hAnsi="Times New Roman"/>
          <w:b w:val="0"/>
          <w:bCs w:val="0"/>
          <w:i w:val="0"/>
          <w:iCs w:val="0"/>
          <w:color w:val="000000" w:themeColor="text1"/>
          <w:sz w:val="24"/>
          <w:szCs w:val="24"/>
        </w:rPr>
        <w:t xml:space="preserve"> article, “Labor board judge: Chicago trampled union bargaining rights by firing workers who refused Covid vax.” </w:t>
      </w:r>
      <w:hyperlink r:id="rId2255" w:history="1">
        <w:r w:rsidRPr="006A02A4">
          <w:rPr>
            <w:rStyle w:val="Hyperlink"/>
            <w:rFonts w:ascii="Times New Roman" w:hAnsi="Times New Roman"/>
            <w:b w:val="0"/>
            <w:bCs w:val="0"/>
            <w:i w:val="0"/>
            <w:iCs w:val="0"/>
            <w:sz w:val="24"/>
            <w:szCs w:val="24"/>
          </w:rPr>
          <w:t>https://cookcountyrecord.com/stories/641740005-labor-board-judge-chicago-trampled-union-bargaining-rights-by-firing-workers-who-refused-covid-vax</w:t>
        </w:r>
      </w:hyperlink>
      <w:r w:rsidRPr="006A02A4">
        <w:rPr>
          <w:rFonts w:ascii="Times New Roman" w:hAnsi="Times New Roman"/>
          <w:b w:val="0"/>
          <w:bCs w:val="0"/>
          <w:color w:val="000000" w:themeColor="text1"/>
          <w:sz w:val="24"/>
          <w:szCs w:val="24"/>
        </w:rPr>
        <w:t xml:space="preserve"> </w:t>
      </w:r>
    </w:p>
    <w:p w14:paraId="0F077198" w14:textId="77777777" w:rsidR="006A02A4" w:rsidRPr="003C1643" w:rsidRDefault="006A02A4" w:rsidP="00227BDE">
      <w:pPr>
        <w:pStyle w:val="NoSpacing"/>
        <w:rPr>
          <w:rFonts w:ascii="Times New Roman" w:hAnsi="Times New Roman"/>
          <w:sz w:val="24"/>
          <w:szCs w:val="24"/>
        </w:rPr>
      </w:pPr>
    </w:p>
    <w:p w14:paraId="6727D08F" w14:textId="77777777" w:rsidR="00227BDE" w:rsidRDefault="00227BDE" w:rsidP="002B1283">
      <w:pPr>
        <w:rPr>
          <w:rFonts w:ascii="Arial Black" w:hAnsi="Arial Black"/>
          <w:b/>
          <w:bCs/>
          <w:sz w:val="28"/>
          <w:szCs w:val="28"/>
        </w:rPr>
      </w:pPr>
    </w:p>
    <w:p w14:paraId="552A7A95" w14:textId="675E7682" w:rsidR="00227BDE" w:rsidRDefault="006A02A4" w:rsidP="002B1283">
      <w:pPr>
        <w:rPr>
          <w:rFonts w:ascii="Arial Black" w:hAnsi="Arial Black"/>
          <w:b/>
          <w:bCs/>
          <w:sz w:val="28"/>
          <w:szCs w:val="28"/>
        </w:rPr>
      </w:pPr>
      <w:r>
        <w:rPr>
          <w:rFonts w:ascii="Arial Black" w:hAnsi="Arial Black"/>
          <w:b/>
          <w:bCs/>
          <w:sz w:val="28"/>
          <w:szCs w:val="28"/>
        </w:rPr>
        <w:t>13-142</w:t>
      </w:r>
    </w:p>
    <w:p w14:paraId="7DE32538" w14:textId="77777777" w:rsidR="006A02A4" w:rsidRPr="00CC53E3" w:rsidRDefault="006A02A4" w:rsidP="006A02A4">
      <w:pPr>
        <w:pStyle w:val="NoSpacing"/>
        <w:rPr>
          <w:rFonts w:ascii="Arial Black" w:hAnsi="Arial Black"/>
          <w:sz w:val="28"/>
          <w:szCs w:val="28"/>
        </w:rPr>
      </w:pPr>
      <w:r w:rsidRPr="00CC53E3">
        <w:rPr>
          <w:rFonts w:ascii="Arial Black" w:hAnsi="Arial Black"/>
          <w:sz w:val="28"/>
          <w:szCs w:val="28"/>
        </w:rPr>
        <w:t xml:space="preserve">IL (4/17/2023) – </w:t>
      </w:r>
      <w:r>
        <w:rPr>
          <w:rFonts w:ascii="Arial Black" w:hAnsi="Arial Black"/>
          <w:sz w:val="28"/>
          <w:szCs w:val="28"/>
        </w:rPr>
        <w:t xml:space="preserve">MENTAL TRANSPORT - BRUTALY </w:t>
      </w:r>
      <w:r w:rsidRPr="00CC53E3">
        <w:rPr>
          <w:rFonts w:ascii="Arial Black" w:hAnsi="Arial Black"/>
          <w:sz w:val="28"/>
          <w:szCs w:val="28"/>
        </w:rPr>
        <w:t>ASSAULTED EMT</w:t>
      </w:r>
      <w:r>
        <w:rPr>
          <w:rFonts w:ascii="Arial Black" w:hAnsi="Arial Black"/>
          <w:sz w:val="28"/>
          <w:szCs w:val="28"/>
        </w:rPr>
        <w:t xml:space="preserve"> IN AMBULANCE – 7 YRS PRISON </w:t>
      </w:r>
      <w:r w:rsidRPr="00CC53E3">
        <w:rPr>
          <w:rFonts w:ascii="Arial Black" w:hAnsi="Arial Black"/>
          <w:sz w:val="28"/>
          <w:szCs w:val="28"/>
        </w:rPr>
        <w:t xml:space="preserve"> </w:t>
      </w:r>
    </w:p>
    <w:p w14:paraId="0E17CB82" w14:textId="77777777" w:rsidR="006A02A4" w:rsidRDefault="006A02A4" w:rsidP="006A02A4">
      <w:pPr>
        <w:pStyle w:val="NoSpacing"/>
      </w:pPr>
    </w:p>
    <w:p w14:paraId="41E6FEF0"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The People of the State of Illinois v. Cortez Peters</w:t>
      </w:r>
      <w:r w:rsidRPr="003C1643">
        <w:rPr>
          <w:rFonts w:ascii="Times New Roman" w:hAnsi="Times New Roman"/>
          <w:sz w:val="24"/>
          <w:szCs w:val="24"/>
        </w:rPr>
        <w:t xml:space="preserve">, Court of Appeals of Illinois, First District, First Division. </w:t>
      </w:r>
      <w:hyperlink r:id="rId2256" w:history="1">
        <w:r w:rsidRPr="003C1643">
          <w:rPr>
            <w:rStyle w:val="Hyperlink"/>
            <w:rFonts w:ascii="Times New Roman" w:hAnsi="Times New Roman"/>
            <w:sz w:val="24"/>
            <w:szCs w:val="24"/>
          </w:rPr>
          <w:t>https://ilcourtsaudio.blob.core.windows.net/antilles-resources/resources/d0a50835-8b8c-4e4e-96d4-c3b209eadd34/People%20v.%20Peters,%202023%20IL%20App%20(1st)%20211591-U.pdf</w:t>
        </w:r>
      </w:hyperlink>
      <w:r w:rsidRPr="003C1643">
        <w:rPr>
          <w:rFonts w:ascii="Times New Roman" w:hAnsi="Times New Roman"/>
          <w:sz w:val="24"/>
          <w:szCs w:val="24"/>
        </w:rPr>
        <w:t xml:space="preserve"> </w:t>
      </w:r>
    </w:p>
    <w:p w14:paraId="55CF0651" w14:textId="77777777" w:rsidR="006A02A4" w:rsidRPr="003C1643" w:rsidRDefault="006A02A4" w:rsidP="006A02A4">
      <w:pPr>
        <w:pStyle w:val="NoSpacing"/>
        <w:rPr>
          <w:rFonts w:ascii="Times New Roman" w:hAnsi="Times New Roman"/>
          <w:sz w:val="24"/>
          <w:szCs w:val="24"/>
        </w:rPr>
      </w:pPr>
    </w:p>
    <w:p w14:paraId="297B15EF" w14:textId="77777777" w:rsidR="006A02A4" w:rsidRPr="003C1643" w:rsidRDefault="006A02A4" w:rsidP="006A02A4">
      <w:pPr>
        <w:pStyle w:val="NormalWeb"/>
        <w:rPr>
          <w:b/>
          <w:bCs/>
        </w:rPr>
      </w:pPr>
      <w:r w:rsidRPr="003C1643">
        <w:rPr>
          <w:b/>
          <w:bCs/>
        </w:rPr>
        <w:t xml:space="preserve">Legal Lesson Learned: Transporting mentally ill patient can be high risk; adopt a protocol on securing such patients. </w:t>
      </w:r>
    </w:p>
    <w:p w14:paraId="2E333774" w14:textId="77777777" w:rsidR="006A02A4" w:rsidRDefault="006A02A4" w:rsidP="002B1283">
      <w:pPr>
        <w:rPr>
          <w:rFonts w:ascii="Arial Black" w:hAnsi="Arial Black"/>
          <w:b/>
          <w:bCs/>
          <w:sz w:val="28"/>
          <w:szCs w:val="28"/>
        </w:rPr>
      </w:pPr>
    </w:p>
    <w:p w14:paraId="4D07DF78" w14:textId="77777777" w:rsidR="006A02A4" w:rsidRDefault="006A02A4" w:rsidP="002B1283">
      <w:pPr>
        <w:rPr>
          <w:rFonts w:ascii="Arial Black" w:hAnsi="Arial Black"/>
          <w:b/>
          <w:bCs/>
          <w:sz w:val="28"/>
          <w:szCs w:val="28"/>
        </w:rPr>
      </w:pPr>
    </w:p>
    <w:p w14:paraId="3663991E" w14:textId="01E0CE5D" w:rsidR="006A02A4" w:rsidRDefault="006A02A4" w:rsidP="002B1283">
      <w:pPr>
        <w:rPr>
          <w:rFonts w:ascii="Arial Black" w:hAnsi="Arial Black"/>
          <w:b/>
          <w:bCs/>
          <w:sz w:val="28"/>
          <w:szCs w:val="28"/>
        </w:rPr>
      </w:pPr>
      <w:r>
        <w:rPr>
          <w:rFonts w:ascii="Arial Black" w:hAnsi="Arial Black"/>
          <w:b/>
          <w:bCs/>
          <w:sz w:val="28"/>
          <w:szCs w:val="28"/>
        </w:rPr>
        <w:t>13-141</w:t>
      </w:r>
    </w:p>
    <w:p w14:paraId="2E99BF77" w14:textId="19C228B1" w:rsidR="006A02A4" w:rsidRPr="009F5DBC" w:rsidRDefault="006A02A4" w:rsidP="006A02A4">
      <w:pPr>
        <w:pStyle w:val="NoSpacing"/>
        <w:rPr>
          <w:rFonts w:ascii="Arial Black" w:hAnsi="Arial Black"/>
          <w:sz w:val="28"/>
          <w:szCs w:val="28"/>
        </w:rPr>
      </w:pPr>
      <w:r w:rsidRPr="009F5DBC">
        <w:rPr>
          <w:rFonts w:ascii="Arial Black" w:hAnsi="Arial Black"/>
          <w:sz w:val="28"/>
          <w:szCs w:val="28"/>
        </w:rPr>
        <w:t>NY (4/14/2023) – RESPIR</w:t>
      </w:r>
      <w:r>
        <w:rPr>
          <w:rFonts w:ascii="Arial Black" w:hAnsi="Arial Black"/>
          <w:sz w:val="28"/>
          <w:szCs w:val="28"/>
        </w:rPr>
        <w:t>. A</w:t>
      </w:r>
      <w:r w:rsidRPr="009F5DBC">
        <w:rPr>
          <w:rFonts w:ascii="Arial Black" w:hAnsi="Arial Black"/>
          <w:sz w:val="28"/>
          <w:szCs w:val="28"/>
        </w:rPr>
        <w:t xml:space="preserve">RREST – INTUBATION </w:t>
      </w:r>
      <w:r>
        <w:rPr>
          <w:rFonts w:ascii="Arial Black" w:hAnsi="Arial Black"/>
          <w:sz w:val="28"/>
          <w:szCs w:val="28"/>
        </w:rPr>
        <w:t xml:space="preserve">IN </w:t>
      </w:r>
      <w:r w:rsidRPr="009F5DBC">
        <w:rPr>
          <w:rFonts w:ascii="Arial Black" w:hAnsi="Arial Black"/>
          <w:sz w:val="28"/>
          <w:szCs w:val="28"/>
        </w:rPr>
        <w:t>ESOPHAGUS –</w:t>
      </w:r>
      <w:r>
        <w:rPr>
          <w:rFonts w:ascii="Arial Black" w:hAnsi="Arial Black"/>
          <w:sz w:val="28"/>
          <w:szCs w:val="28"/>
        </w:rPr>
        <w:t xml:space="preserve"> HOSP. ED - NO EXPERT PROOF CAUSED DEATH</w:t>
      </w:r>
    </w:p>
    <w:p w14:paraId="5B530D93" w14:textId="77777777" w:rsidR="006A02A4" w:rsidRDefault="006A02A4" w:rsidP="006A02A4">
      <w:pPr>
        <w:pStyle w:val="NoSpacing"/>
      </w:pPr>
    </w:p>
    <w:p w14:paraId="1C3C95F9"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Shaquia Simmons, Administrator of the estate of Judith Prescott v. Elizabeth Rubano, M.D. et al.</w:t>
      </w:r>
      <w:r w:rsidRPr="003C1643">
        <w:rPr>
          <w:rFonts w:ascii="Times New Roman" w:hAnsi="Times New Roman"/>
          <w:sz w:val="24"/>
          <w:szCs w:val="24"/>
        </w:rPr>
        <w:t>, Supreme Court, Kings County. [Unpublished Decision.]</w:t>
      </w:r>
    </w:p>
    <w:p w14:paraId="0B73F22E" w14:textId="5B523591" w:rsidR="006A02A4" w:rsidRDefault="006A02A4" w:rsidP="006A02A4">
      <w:pPr>
        <w:rPr>
          <w:rFonts w:ascii="Arial Black" w:hAnsi="Arial Black"/>
          <w:b/>
          <w:bCs/>
          <w:sz w:val="28"/>
          <w:szCs w:val="28"/>
        </w:rPr>
      </w:pPr>
      <w:hyperlink r:id="rId2257" w:history="1">
        <w:r w:rsidRPr="003C1643">
          <w:rPr>
            <w:rStyle w:val="Hyperlink"/>
            <w:rFonts w:ascii="Times New Roman" w:hAnsi="Times New Roman"/>
            <w:sz w:val="24"/>
            <w:szCs w:val="24"/>
          </w:rPr>
          <w:t>https://law.justia.com/cases/new-york/other-courts/2023/2023-ny-slip-op-31298-u.html</w:t>
        </w:r>
      </w:hyperlink>
    </w:p>
    <w:p w14:paraId="1BBCC23C" w14:textId="77777777" w:rsidR="006A02A4" w:rsidRPr="003C1643" w:rsidRDefault="006A02A4" w:rsidP="006A02A4">
      <w:pPr>
        <w:pStyle w:val="NormalWeb"/>
        <w:rPr>
          <w:b/>
          <w:bCs/>
        </w:rPr>
      </w:pPr>
      <w:r w:rsidRPr="003C1643">
        <w:rPr>
          <w:b/>
          <w:bCs/>
        </w:rPr>
        <w:t xml:space="preserve">Legal Lesson Learned: EMS should confirm proper placement of ET Tube. </w:t>
      </w:r>
    </w:p>
    <w:p w14:paraId="7CA52EEC" w14:textId="77777777" w:rsidR="00227BDE" w:rsidRDefault="00227BDE" w:rsidP="002B1283">
      <w:pPr>
        <w:rPr>
          <w:rFonts w:ascii="Arial Black" w:hAnsi="Arial Black"/>
          <w:b/>
          <w:bCs/>
          <w:sz w:val="28"/>
          <w:szCs w:val="28"/>
        </w:rPr>
      </w:pPr>
    </w:p>
    <w:p w14:paraId="4AF5BE6B" w14:textId="77777777" w:rsidR="00227BDE" w:rsidRDefault="00227BDE" w:rsidP="002B1283">
      <w:pPr>
        <w:rPr>
          <w:rFonts w:ascii="Arial Black" w:hAnsi="Arial Black"/>
          <w:b/>
          <w:bCs/>
          <w:sz w:val="28"/>
          <w:szCs w:val="28"/>
        </w:rPr>
      </w:pPr>
    </w:p>
    <w:p w14:paraId="59CA279A" w14:textId="68060B8B" w:rsidR="00D66BAA" w:rsidRDefault="00D66BAA" w:rsidP="002B1283">
      <w:pPr>
        <w:rPr>
          <w:rFonts w:ascii="Arial Black" w:hAnsi="Arial Black"/>
          <w:b/>
          <w:bCs/>
          <w:sz w:val="28"/>
          <w:szCs w:val="28"/>
        </w:rPr>
      </w:pPr>
      <w:r>
        <w:rPr>
          <w:rFonts w:ascii="Arial Black" w:hAnsi="Arial Black"/>
          <w:b/>
          <w:bCs/>
          <w:sz w:val="28"/>
          <w:szCs w:val="28"/>
        </w:rPr>
        <w:t>13-140</w:t>
      </w:r>
    </w:p>
    <w:p w14:paraId="3CC7D588" w14:textId="77777777" w:rsidR="00D66BAA" w:rsidRDefault="00D66BAA" w:rsidP="00D66BAA">
      <w:pPr>
        <w:pStyle w:val="NormalWeb"/>
        <w:rPr>
          <w:rFonts w:ascii="Arial Black" w:hAnsi="Arial Black"/>
          <w:sz w:val="28"/>
          <w:szCs w:val="28"/>
        </w:rPr>
      </w:pPr>
      <w:r>
        <w:t> </w:t>
      </w:r>
      <w:r>
        <w:rPr>
          <w:rFonts w:ascii="Arial Black" w:hAnsi="Arial Black"/>
          <w:sz w:val="28"/>
          <w:szCs w:val="28"/>
        </w:rPr>
        <w:t xml:space="preserve">NY: COVID-19 – EMS LAWSUIT AGAINST UNION DISMISSED – CITY BARGAINED WITH DC37 – NO RATIFICATION REQ. </w:t>
      </w:r>
    </w:p>
    <w:p w14:paraId="5957852B" w14:textId="77777777" w:rsidR="00D66BAA" w:rsidRDefault="00D66BAA" w:rsidP="00D66BAA">
      <w:pPr>
        <w:pStyle w:val="NormalWeb"/>
      </w:pPr>
      <w:r>
        <w:t xml:space="preserve">On March 29, 2023, in </w:t>
      </w:r>
      <w:r>
        <w:rPr>
          <w:u w:val="single"/>
        </w:rPr>
        <w:t>John Garland v. City of New York, et al</w:t>
      </w:r>
      <w:r>
        <w:t xml:space="preserve">., U.S. District Court Judge Kiyo A. Matsumoto, U.S. District Court for Eastern District of New York, granted the City’s motion to dismiss.  The Judge in </w:t>
      </w:r>
      <w:proofErr w:type="gramStart"/>
      <w:r>
        <w:t>December,</w:t>
      </w:r>
      <w:proofErr w:type="gramEnd"/>
      <w:r>
        <w:t xml:space="preserve"> 2021 had dismissed firefighters’ lawsuit seeking reinstatement and back pay, noting: “Indeed, any FDNY employees who challenged whether the Vaccine Mandate should apply to them not only ‘had the opportunity to seek a religious or medical accommodation,’ they also ‘remain[ed] on pay status pending the decision on their request or appeal, so long as their accommodation requests were submitted prior to October 27, 2021.”  On Jan. 5, 2022, the EMS plaintiffs then filed an Amended Complaint against their Union - District Council 37, AFSCME AFL-</w:t>
      </w:r>
      <w:proofErr w:type="gramStart"/>
      <w:r>
        <w:t>CIO (‘</w:t>
      </w:r>
      <w:proofErr w:type="gramEnd"/>
      <w:r>
        <w:t xml:space="preserve">DC37’) - and Harry Garrido, DC37's Executive Director.  </w:t>
      </w:r>
    </w:p>
    <w:p w14:paraId="0D9C9665" w14:textId="77777777" w:rsidR="00D66BAA" w:rsidRDefault="00D66BAA" w:rsidP="00D66BAA">
      <w:pPr>
        <w:pStyle w:val="NormalWeb"/>
        <w:ind w:left="720"/>
      </w:pPr>
      <w:r>
        <w:t xml:space="preserve">The Judge held: “Plaintiffs also argue that, even though the FDNY </w:t>
      </w:r>
      <w:r>
        <w:rPr>
          <w:rStyle w:val="Emphasis"/>
        </w:rPr>
        <w:t>did</w:t>
      </w:r>
      <w:r>
        <w:t xml:space="preserve"> bargain and negotiate with DC37 concerning the Vaccine Mandate, the resulting DC37 Agreement was never ratified by DC37's union members ….Plaintiffs assert that under New York City Admin. Code Section 12-307(a)(4), the DC37 Agreement could not amend the existing procedures of DC37's collective bargaining agreement without ratification by its members….  As the Court has repeatedly stated, however, ‘the Court looks to federal constitutional standards rather than state statutes to define the requirements of procedural due process…. Courts repeatedly have held that state statutes do not determine constitutional due process requirements.” </w:t>
      </w:r>
      <w:hyperlink r:id="rId2258" w:history="1">
        <w:r>
          <w:rPr>
            <w:rStyle w:val="Hyperlink"/>
          </w:rPr>
          <w:t>https://public.fastcase.com/J%2FJP6pdidelsXxEE4k%2BLMmkKAOu2og4RFw84MS%2B8ggk3sjpW8vutPxLex2RgGn%2Bt2Jik%2FeX8PJts3C%2F6Q%2Fo%2BG%2BiayCxJf82VEENSX79a%2FfU%3D?utm_medium=email&amp;_hsmi=226712652&amp;_hsenc=p2ANqtz-9IQANQQw8c4G50juoB1YOeI9PRU9K182hoTYcfz0uXjPfI5SdzNRjzRb60ER6nqwMSPaZSSyOzlxBsxtCZ7kFqJFFA4g&amp;utm_content=226712652&amp;utm_source=hs_email</w:t>
        </w:r>
      </w:hyperlink>
      <w:r>
        <w:t xml:space="preserve"> </w:t>
      </w:r>
    </w:p>
    <w:p w14:paraId="4B425704" w14:textId="77777777" w:rsidR="00D66BAA" w:rsidRDefault="00D66BAA" w:rsidP="00D66BAA">
      <w:pPr>
        <w:pStyle w:val="NormalWeb"/>
        <w:ind w:left="720"/>
      </w:pPr>
      <w:r>
        <w:t>“Plaintiffs allege in the Amended Complaint that seventy-seven out of the eighty-six total Plaintiffs have requested a medical or religious accommodation to be exempt from the Vaccine Mandate; seventy-one Plaintiffs have been denied and six were awaiting an initial determination; thirty-seven Plaintiffs have appealed the denial of their request for a reasonable accommodation; and one Plaintiff's appeal has been denied, while thirty-six are awaiting a decision.</w:t>
      </w:r>
    </w:p>
    <w:p w14:paraId="4B110261" w14:textId="77777777" w:rsidR="00D66BAA" w:rsidRDefault="00D66BAA" w:rsidP="00D66BAA">
      <w:pPr>
        <w:pStyle w:val="NormalWeb"/>
        <w:ind w:left="720"/>
      </w:pPr>
      <w:r>
        <w:t>***</w:t>
      </w:r>
    </w:p>
    <w:p w14:paraId="6695197B" w14:textId="77777777" w:rsidR="00D66BAA" w:rsidRDefault="00D66BAA" w:rsidP="00D66BAA">
      <w:pPr>
        <w:pStyle w:val="NormalWeb"/>
        <w:ind w:left="720"/>
      </w:pPr>
      <w:r>
        <w:t xml:space="preserve">The Vaccine Mandate was revoked by the City on February 10, </w:t>
      </w:r>
      <w:proofErr w:type="gramStart"/>
      <w:r>
        <w:t>2023</w:t>
      </w:r>
      <w:proofErr w:type="gramEnd"/>
      <w:r>
        <w:t xml:space="preserve"> and is no longer in effect.”</w:t>
      </w:r>
    </w:p>
    <w:p w14:paraId="00FF6026" w14:textId="77777777" w:rsidR="00D66BAA" w:rsidRDefault="00D66BAA" w:rsidP="00D66BAA">
      <w:pPr>
        <w:pStyle w:val="NormalWeb"/>
        <w:rPr>
          <w:b/>
          <w:bCs/>
        </w:rPr>
      </w:pPr>
      <w:r>
        <w:rPr>
          <w:b/>
          <w:bCs/>
        </w:rPr>
        <w:t xml:space="preserve">Legal Lesson Learned: Hopefully litigation over Covid-12 vaccinations will soon be over. </w:t>
      </w:r>
    </w:p>
    <w:p w14:paraId="60184AD3" w14:textId="77777777" w:rsidR="00D66BAA" w:rsidRDefault="00D66BAA" w:rsidP="00D66BAA">
      <w:pPr>
        <w:pStyle w:val="Heading1"/>
        <w:ind w:left="720"/>
        <w:rPr>
          <w:b w:val="0"/>
          <w:bCs w:val="0"/>
          <w:sz w:val="24"/>
          <w:szCs w:val="24"/>
        </w:rPr>
      </w:pPr>
      <w:r>
        <w:rPr>
          <w:b w:val="0"/>
          <w:bCs w:val="0"/>
          <w:sz w:val="24"/>
          <w:szCs w:val="24"/>
        </w:rPr>
        <w:t xml:space="preserve">Note: </w:t>
      </w:r>
    </w:p>
    <w:p w14:paraId="1EFB6343" w14:textId="77777777" w:rsidR="00D66BAA" w:rsidRDefault="00D66BAA" w:rsidP="00D66BAA">
      <w:pPr>
        <w:pStyle w:val="Heading1"/>
        <w:ind w:left="720"/>
        <w:rPr>
          <w:rStyle w:val="markedcontent"/>
        </w:rPr>
      </w:pPr>
      <w:r>
        <w:rPr>
          <w:b w:val="0"/>
          <w:bCs w:val="0"/>
          <w:sz w:val="24"/>
          <w:szCs w:val="24"/>
        </w:rPr>
        <w:t xml:space="preserve">See March 10, </w:t>
      </w:r>
      <w:proofErr w:type="gramStart"/>
      <w:r>
        <w:rPr>
          <w:b w:val="0"/>
          <w:bCs w:val="0"/>
          <w:sz w:val="24"/>
          <w:szCs w:val="24"/>
        </w:rPr>
        <w:t>2023</w:t>
      </w:r>
      <w:proofErr w:type="gramEnd"/>
      <w:r>
        <w:rPr>
          <w:b w:val="0"/>
          <w:bCs w:val="0"/>
          <w:sz w:val="24"/>
          <w:szCs w:val="24"/>
        </w:rPr>
        <w:t xml:space="preserve"> City Re-Hiring Memo: </w:t>
      </w:r>
      <w:r>
        <w:rPr>
          <w:rStyle w:val="markedcontent"/>
          <w:b w:val="0"/>
          <w:bCs w:val="0"/>
          <w:sz w:val="24"/>
          <w:szCs w:val="24"/>
        </w:rPr>
        <w:t>“Are employees who were terminated for failure to comply with the vaccine mandate eligible for rehire? Yes, employees who were terminated due to the vaccine mandate are eligible for rehire by any City agency, with the understanding they meet all conditions for employment in the rehire position and haven’t otherwise signed a waiver indicating they will not return.”</w:t>
      </w:r>
      <w:r>
        <w:t xml:space="preserve"> </w:t>
      </w:r>
      <w:hyperlink r:id="rId2259" w:history="1">
        <w:r>
          <w:rPr>
            <w:rStyle w:val="Hyperlink"/>
            <w:b w:val="0"/>
            <w:bCs w:val="0"/>
            <w:sz w:val="24"/>
            <w:szCs w:val="24"/>
          </w:rPr>
          <w:t>https://www.nyc.gov/assets/dcas/downloads/pdf/guidelines/faq-vaccine-mandate.pdf</w:t>
        </w:r>
      </w:hyperlink>
      <w:r>
        <w:rPr>
          <w:rStyle w:val="markedcontent"/>
          <w:b w:val="0"/>
          <w:bCs w:val="0"/>
          <w:sz w:val="24"/>
          <w:szCs w:val="24"/>
        </w:rPr>
        <w:t xml:space="preserve"> </w:t>
      </w:r>
    </w:p>
    <w:p w14:paraId="2D1BC1C8" w14:textId="77777777" w:rsidR="00D66BAA" w:rsidRDefault="00D66BAA" w:rsidP="00D66BAA">
      <w:pPr>
        <w:pStyle w:val="Heading1"/>
        <w:ind w:left="720"/>
      </w:pPr>
      <w:r>
        <w:rPr>
          <w:b w:val="0"/>
          <w:bCs w:val="0"/>
          <w:sz w:val="24"/>
          <w:szCs w:val="24"/>
        </w:rPr>
        <w:t xml:space="preserve">See Oct. 26, </w:t>
      </w:r>
      <w:proofErr w:type="gramStart"/>
      <w:r>
        <w:rPr>
          <w:b w:val="0"/>
          <w:bCs w:val="0"/>
          <w:sz w:val="24"/>
          <w:szCs w:val="24"/>
        </w:rPr>
        <w:t>2022</w:t>
      </w:r>
      <w:proofErr w:type="gramEnd"/>
      <w:r>
        <w:rPr>
          <w:b w:val="0"/>
          <w:bCs w:val="0"/>
          <w:sz w:val="24"/>
          <w:szCs w:val="24"/>
        </w:rPr>
        <w:t xml:space="preserve"> article, “Judge: NYC must rehire and pay back workers who violated vaccine mandate.” A judge with the New York State Supreme Court on Tuesday ruled that New York City Mayor Eric Adams' October 2021 mandate requiring all municipal workers to receive a Covid-19 vaccine was unlawful and ordered the city to rehire and provide back pay to all sanitation workers who lost their jobs for violating the mandate. </w:t>
      </w:r>
      <w:hyperlink r:id="rId2260" w:history="1">
        <w:r>
          <w:rPr>
            <w:rStyle w:val="Hyperlink"/>
            <w:b w:val="0"/>
            <w:bCs w:val="0"/>
            <w:sz w:val="24"/>
            <w:szCs w:val="24"/>
          </w:rPr>
          <w:t>https://www.advisory.com/daily-briefing/2022/10/26/vaccine-mandate</w:t>
        </w:r>
      </w:hyperlink>
      <w:r>
        <w:rPr>
          <w:b w:val="0"/>
          <w:bCs w:val="0"/>
          <w:sz w:val="24"/>
          <w:szCs w:val="24"/>
        </w:rPr>
        <w:t xml:space="preserve">  </w:t>
      </w:r>
    </w:p>
    <w:p w14:paraId="7731639F" w14:textId="1CE5D13A" w:rsidR="00D66BAA" w:rsidRPr="00D66BAA" w:rsidRDefault="00D66BAA" w:rsidP="00D66BAA">
      <w:pPr>
        <w:ind w:left="720"/>
        <w:rPr>
          <w:rFonts w:ascii="Times New Roman" w:hAnsi="Times New Roman"/>
          <w:b/>
          <w:bCs/>
          <w:sz w:val="24"/>
          <w:szCs w:val="24"/>
        </w:rPr>
      </w:pPr>
      <w:r w:rsidRPr="00D66BAA">
        <w:rPr>
          <w:rFonts w:ascii="Times New Roman" w:hAnsi="Times New Roman"/>
          <w:sz w:val="24"/>
          <w:szCs w:val="24"/>
        </w:rPr>
        <w:t xml:space="preserve">See Sept. 23, </w:t>
      </w:r>
      <w:proofErr w:type="gramStart"/>
      <w:r w:rsidRPr="00D66BAA">
        <w:rPr>
          <w:rFonts w:ascii="Times New Roman" w:hAnsi="Times New Roman"/>
          <w:sz w:val="24"/>
          <w:szCs w:val="24"/>
        </w:rPr>
        <w:t>2022</w:t>
      </w:r>
      <w:proofErr w:type="gramEnd"/>
      <w:r w:rsidRPr="00D66BAA">
        <w:rPr>
          <w:rFonts w:ascii="Times New Roman" w:hAnsi="Times New Roman"/>
          <w:sz w:val="24"/>
          <w:szCs w:val="24"/>
        </w:rPr>
        <w:t xml:space="preserve"> article, </w:t>
      </w:r>
      <w:r w:rsidRPr="00D66BAA">
        <w:rPr>
          <w:rFonts w:ascii="Times New Roman" w:hAnsi="Times New Roman"/>
          <w:b/>
          <w:bCs/>
          <w:sz w:val="24"/>
          <w:szCs w:val="24"/>
        </w:rPr>
        <w:t>“</w:t>
      </w:r>
      <w:r w:rsidRPr="00D66BAA">
        <w:rPr>
          <w:rFonts w:ascii="Times New Roman" w:hAnsi="Times New Roman"/>
          <w:sz w:val="24"/>
          <w:szCs w:val="24"/>
        </w:rPr>
        <w:t xml:space="preserve">Judge strikes down COVID vaccine mandate for PBA, orders New York City to reinstate unvaccinated police officers.” A Manhattan Supreme Court judge on Friday overturned the city's vaccine mandate for the New York Police Benevolent Association and said members who lost their jobs for being unvaccinated should be reinstated. </w:t>
      </w:r>
      <w:hyperlink r:id="rId2261" w:history="1">
        <w:r w:rsidRPr="00D66BAA">
          <w:rPr>
            <w:rStyle w:val="Hyperlink"/>
            <w:rFonts w:ascii="Times New Roman" w:hAnsi="Times New Roman"/>
            <w:sz w:val="24"/>
            <w:szCs w:val="24"/>
          </w:rPr>
          <w:t>https://www.cbsnews.com/newyork/news/judge-strikes-down-pba-vaccine-mandate-orders-new-york-city-to-reinstate-unvaccinated-members/</w:t>
        </w:r>
      </w:hyperlink>
    </w:p>
    <w:p w14:paraId="286A54D5" w14:textId="77777777" w:rsidR="00D66BAA" w:rsidRDefault="00D66BAA" w:rsidP="002B1283">
      <w:pPr>
        <w:rPr>
          <w:rFonts w:ascii="Arial Black" w:hAnsi="Arial Black"/>
          <w:b/>
          <w:bCs/>
          <w:sz w:val="28"/>
          <w:szCs w:val="28"/>
        </w:rPr>
      </w:pPr>
    </w:p>
    <w:p w14:paraId="069560D7" w14:textId="27C1C948" w:rsidR="00D66BAA" w:rsidRDefault="00D66BAA" w:rsidP="002B1283">
      <w:pPr>
        <w:rPr>
          <w:rFonts w:ascii="Arial Black" w:hAnsi="Arial Black"/>
          <w:b/>
          <w:bCs/>
          <w:sz w:val="28"/>
          <w:szCs w:val="28"/>
        </w:rPr>
      </w:pPr>
      <w:r>
        <w:rPr>
          <w:rFonts w:ascii="Arial Black" w:hAnsi="Arial Black"/>
          <w:b/>
          <w:bCs/>
          <w:sz w:val="28"/>
          <w:szCs w:val="28"/>
        </w:rPr>
        <w:t>13-139</w:t>
      </w:r>
    </w:p>
    <w:p w14:paraId="4C95A36F" w14:textId="77777777" w:rsidR="00D66BAA" w:rsidRDefault="00D66BAA" w:rsidP="00D66BAA">
      <w:pPr>
        <w:pStyle w:val="NormalWeb"/>
        <w:rPr>
          <w:rFonts w:ascii="Arial Black" w:hAnsi="Arial Black"/>
          <w:sz w:val="28"/>
          <w:szCs w:val="28"/>
        </w:rPr>
      </w:pPr>
      <w:r>
        <w:rPr>
          <w:rFonts w:ascii="Arial Black" w:hAnsi="Arial Black"/>
          <w:sz w:val="28"/>
          <w:szCs w:val="28"/>
        </w:rPr>
        <w:t xml:space="preserve">NY: COVID-19 VACCINATION - FDNY </w:t>
      </w:r>
      <w:proofErr w:type="gramStart"/>
      <w:r>
        <w:rPr>
          <w:rFonts w:ascii="Arial Black" w:hAnsi="Arial Black"/>
          <w:sz w:val="28"/>
          <w:szCs w:val="28"/>
        </w:rPr>
        <w:t>CLAIMED</w:t>
      </w:r>
      <w:proofErr w:type="gramEnd"/>
      <w:r>
        <w:rPr>
          <w:rFonts w:ascii="Arial Black" w:hAnsi="Arial Black"/>
          <w:sz w:val="28"/>
          <w:szCs w:val="28"/>
        </w:rPr>
        <w:t xml:space="preserve"> “RELIGIOUS EXEMPTION” AS A CATHOLIC – FIRED - CASE DISMISSED</w:t>
      </w:r>
    </w:p>
    <w:p w14:paraId="23ABBFAE" w14:textId="77777777" w:rsidR="00D66BAA" w:rsidRDefault="00D66BAA" w:rsidP="00D66BAA">
      <w:pPr>
        <w:pStyle w:val="NormalWeb"/>
      </w:pPr>
      <w:r>
        <w:t xml:space="preserve">On March 24, 2023, in </w:t>
      </w:r>
      <w:r>
        <w:rPr>
          <w:u w:val="single"/>
        </w:rPr>
        <w:t>Jude Pierre v. Fire Department of the City of New York, City of New York</w:t>
      </w:r>
      <w:r>
        <w:t xml:space="preserve">, Judge Lori S. Sattler, Supreme Court, New York County (unpublished decision) held that the FDNY properly fired him on September 7, 2022, after his administrative appeal to City of New York Reasonable Accommodation Appeals Panel was rejected on December 21, 2021, and he was put on unpaid leave.  </w:t>
      </w:r>
    </w:p>
    <w:p w14:paraId="0EE52E56" w14:textId="77777777" w:rsidR="00D66BAA" w:rsidRDefault="00D66BAA" w:rsidP="00D66BAA">
      <w:pPr>
        <w:pStyle w:val="NormalWeb"/>
        <w:ind w:left="720"/>
      </w:pPr>
      <w:r>
        <w:t xml:space="preserve">The Court held: “Petitioner fails to demonstrate how his religious beliefs conflict with [the City’s] vaccine requirement notwithstanding that he designates his religion as Catholic on the religious exemption request form. His assertion that he is ‘not comfortable using a vaccine that has used stem cells from fetuses’ is presented without any connection to a sincerely held religious belief and does not set forth an actual religious request for accommodation. Similarly, the language in the remainder of this section of the Accommodation Request - that he is concerned about the ‘manufacturers, government and department’ not being held liable for adverse long-term side effects, sees no reason to take the risk of ‘taking an expedited treatment,’ and that he will be solely responsible for dealing with ‘unforeseen consequences’ - indicate that Petitioner's request was based on his personal preferences.” </w:t>
      </w:r>
      <w:hyperlink r:id="rId2262" w:history="1">
        <w:r>
          <w:rPr>
            <w:rStyle w:val="Hyperlink"/>
          </w:rPr>
          <w:t>https://casetext.com/case/pierre-v-fire-dept-of-the-city-of-ny</w:t>
        </w:r>
      </w:hyperlink>
      <w:r>
        <w:t xml:space="preserve"> </w:t>
      </w:r>
    </w:p>
    <w:p w14:paraId="092F4E98" w14:textId="77777777" w:rsidR="00D66BAA" w:rsidRDefault="00D66BAA" w:rsidP="00D66BAA">
      <w:pPr>
        <w:pStyle w:val="NormalWeb"/>
        <w:ind w:left="720"/>
      </w:pPr>
      <w:r>
        <w:t xml:space="preserve">“A New York City vaccine mandate was issued on October 20, </w:t>
      </w:r>
      <w:proofErr w:type="gramStart"/>
      <w:r>
        <w:t>2021</w:t>
      </w:r>
      <w:proofErr w:type="gramEnd"/>
      <w:r>
        <w:t xml:space="preserve"> requiring that all employees of the City of New York verify vaccination against COVID-19 by October 29, 2021.  </w:t>
      </w:r>
    </w:p>
    <w:p w14:paraId="76E6DD48" w14:textId="77777777" w:rsidR="00D66BAA" w:rsidRDefault="00D66BAA" w:rsidP="00D66BAA">
      <w:pPr>
        <w:pStyle w:val="NormalWeb"/>
        <w:ind w:left="720"/>
      </w:pPr>
      <w:r>
        <w:t>***</w:t>
      </w:r>
    </w:p>
    <w:p w14:paraId="11C3F89D" w14:textId="77777777" w:rsidR="00D66BAA" w:rsidRDefault="00D66BAA" w:rsidP="00D66BA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Petitioner, a New York City Firefighter, filed a Form EEO-7 ‘REQUEST FOR A REASONABLE ACCOMODATION FOR RELIGIOUS OBSERVANCES, PRACTICES OR BELIEFS’ on November 21, </w:t>
      </w:r>
      <w:proofErr w:type="gramStart"/>
      <w:r>
        <w:rPr>
          <w:rFonts w:ascii="Times New Roman" w:eastAsia="Times New Roman" w:hAnsi="Times New Roman"/>
          <w:sz w:val="24"/>
          <w:szCs w:val="24"/>
        </w:rPr>
        <w:t>2021</w:t>
      </w:r>
      <w:proofErr w:type="gramEnd"/>
      <w:r>
        <w:rPr>
          <w:rFonts w:ascii="Times New Roman" w:eastAsia="Times New Roman" w:hAnsi="Times New Roman"/>
          <w:sz w:val="24"/>
          <w:szCs w:val="24"/>
        </w:rPr>
        <w:t xml:space="preserve"> … ‘Accommodation Request’). Under the section ‘Identify Religion/creed’ he specified Catholic. The form further asks the applicant to ‘Describe the religious practice(s) in conflict with the work rule(s) or requirement(s).’ He stated: </w:t>
      </w:r>
    </w:p>
    <w:p w14:paraId="2625506A" w14:textId="77777777" w:rsidR="00D66BAA" w:rsidRDefault="00D66BAA" w:rsidP="00D66BAA">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 am not comfortable using a vaccine that has used stem cells from fetuses in </w:t>
      </w:r>
      <w:proofErr w:type="spellStart"/>
      <w:proofErr w:type="gramStart"/>
      <w:r>
        <w:rPr>
          <w:rFonts w:ascii="Times New Roman" w:eastAsia="Times New Roman" w:hAnsi="Times New Roman"/>
          <w:sz w:val="24"/>
          <w:szCs w:val="24"/>
        </w:rPr>
        <w:t>it's</w:t>
      </w:r>
      <w:proofErr w:type="spellEnd"/>
      <w:proofErr w:type="gramEnd"/>
      <w:r>
        <w:rPr>
          <w:rFonts w:ascii="Times New Roman" w:eastAsia="Times New Roman" w:hAnsi="Times New Roman"/>
          <w:sz w:val="24"/>
          <w:szCs w:val="24"/>
        </w:rPr>
        <w:t xml:space="preserve"> [sic] development. I am also cautious in the fact that manufacturers, government, and department are not liable for any adverse long-term side effects. Why shall I take the risk of taking </w:t>
      </w:r>
      <w:proofErr w:type="gramStart"/>
      <w:r>
        <w:rPr>
          <w:rFonts w:ascii="Times New Roman" w:eastAsia="Times New Roman" w:hAnsi="Times New Roman"/>
          <w:sz w:val="24"/>
          <w:szCs w:val="24"/>
        </w:rPr>
        <w:t>an expedited</w:t>
      </w:r>
      <w:proofErr w:type="gramEnd"/>
      <w:r>
        <w:rPr>
          <w:rFonts w:ascii="Times New Roman" w:eastAsia="Times New Roman" w:hAnsi="Times New Roman"/>
          <w:sz w:val="24"/>
          <w:szCs w:val="24"/>
        </w:rPr>
        <w:t xml:space="preserve"> treatment if something were to happen and I'm will [sic] solely to be responsible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dealing with any unforeseen consequences? </w:t>
      </w:r>
    </w:p>
    <w:p w14:paraId="008AC0E3" w14:textId="77777777" w:rsidR="00D66BAA" w:rsidRDefault="00D66BAA" w:rsidP="00D66BAA">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p>
    <w:p w14:paraId="661677CA" w14:textId="77777777" w:rsidR="00D66BAA" w:rsidRDefault="00D66BAA" w:rsidP="00D66BAA">
      <w:pPr>
        <w:spacing w:after="100" w:line="240" w:lineRule="auto"/>
        <w:ind w:left="720"/>
        <w:rPr>
          <w:rFonts w:ascii="Times New Roman" w:hAnsi="Times New Roman"/>
          <w:sz w:val="24"/>
          <w:szCs w:val="24"/>
        </w:rPr>
      </w:pPr>
      <w:r>
        <w:rPr>
          <w:rFonts w:ascii="Times New Roman" w:hAnsi="Times New Roman"/>
          <w:sz w:val="24"/>
          <w:szCs w:val="24"/>
        </w:rPr>
        <w:t>Here, the Court finds that Respondents' decision was not arbitrary and capricious and that there was a rational basis to support its determination. Although Petitioner points to other decisions regarding the use of "form" denials of religious accommodation requests by the FDNY, in this instance, Petitioner's application does not set forth a request for accommodation based on his religious beliefs but rather states his personal preferences regarding the vaccine….”</w:t>
      </w:r>
    </w:p>
    <w:p w14:paraId="06FE6A7C" w14:textId="77777777" w:rsidR="00D66BAA" w:rsidRDefault="00D66BAA" w:rsidP="00D66BAA">
      <w:pPr>
        <w:spacing w:after="100" w:line="240" w:lineRule="auto"/>
        <w:ind w:left="720"/>
        <w:rPr>
          <w:rFonts w:ascii="Times New Roman" w:hAnsi="Times New Roman"/>
          <w:sz w:val="24"/>
          <w:szCs w:val="24"/>
        </w:rPr>
      </w:pPr>
    </w:p>
    <w:p w14:paraId="6947DDC7" w14:textId="77777777" w:rsidR="00D66BAA" w:rsidRDefault="00D66BAA" w:rsidP="00D66BAA">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firefighter failed to show a basis for religious accommodation. </w:t>
      </w:r>
    </w:p>
    <w:p w14:paraId="0514071E" w14:textId="77777777" w:rsidR="00D66BAA" w:rsidRDefault="00D66BAA" w:rsidP="00D66BAA">
      <w:pPr>
        <w:pStyle w:val="NormalWeb"/>
        <w:ind w:left="720"/>
      </w:pPr>
    </w:p>
    <w:p w14:paraId="50538853" w14:textId="61ED40EC" w:rsidR="00D66BAA" w:rsidRDefault="00D66BAA" w:rsidP="002B1283">
      <w:pPr>
        <w:rPr>
          <w:rFonts w:ascii="Arial Black" w:hAnsi="Arial Black"/>
          <w:b/>
          <w:bCs/>
          <w:sz w:val="28"/>
          <w:szCs w:val="28"/>
        </w:rPr>
      </w:pPr>
      <w:r>
        <w:rPr>
          <w:rFonts w:ascii="Arial Black" w:hAnsi="Arial Black"/>
          <w:b/>
          <w:bCs/>
          <w:sz w:val="28"/>
          <w:szCs w:val="28"/>
        </w:rPr>
        <w:t>13-138</w:t>
      </w:r>
    </w:p>
    <w:p w14:paraId="00C36EE7" w14:textId="77777777" w:rsidR="00D66BAA" w:rsidRDefault="00D66BAA" w:rsidP="00D66BAA">
      <w:pPr>
        <w:pStyle w:val="NormalWeb"/>
        <w:rPr>
          <w:rFonts w:ascii="Arial Black" w:hAnsi="Arial Black"/>
          <w:sz w:val="28"/>
          <w:szCs w:val="28"/>
        </w:rPr>
      </w:pPr>
      <w:r>
        <w:rPr>
          <w:rFonts w:ascii="Arial Black" w:hAnsi="Arial Black"/>
          <w:sz w:val="28"/>
          <w:szCs w:val="28"/>
        </w:rPr>
        <w:t xml:space="preserve">NY: HOSP. BASED EMT PUNCHED MENTAL PT – FF HOLDING PATIENT FELL &amp; INJURED - CAN’T SUE HOSPITAL </w:t>
      </w:r>
    </w:p>
    <w:p w14:paraId="648241C6" w14:textId="77777777" w:rsidR="00D66BAA" w:rsidRDefault="00D66BAA" w:rsidP="00D66BAA">
      <w:pPr>
        <w:pStyle w:val="NormalWeb"/>
      </w:pPr>
      <w:r>
        <w:t>On March 23, 2023</w:t>
      </w:r>
      <w:proofErr w:type="gramStart"/>
      <w:r>
        <w:t>, in</w:t>
      </w:r>
      <w:proofErr w:type="gramEnd"/>
      <w:r>
        <w:t xml:space="preserve"> </w:t>
      </w:r>
      <w:r>
        <w:rPr>
          <w:u w:val="single"/>
        </w:rPr>
        <w:t>Michael McGovern and Laura McGovern v. The St. Luke’s-Roosevelt Hospital, et al</w:t>
      </w:r>
      <w:r>
        <w:t xml:space="preserve">., Justice Lyle E. Frank, Supreme Court, New York County (unpublished decision), granted the hospital motion for summary judgment.  Fire &amp; EMS responded for unconscious person; EMT gave sternum rub and patient became agitated and aggressive (“emotionally disturbed person”).  Video shows an EMT throwing a punch at the patient, as the firefighter was restraining the patient and both the firefighter and patient fell to the ground. </w:t>
      </w:r>
    </w:p>
    <w:p w14:paraId="7422348F" w14:textId="77777777" w:rsidR="00D66BAA" w:rsidRDefault="00D66BAA" w:rsidP="00D66BAA">
      <w:pPr>
        <w:pStyle w:val="NormalWeb"/>
        <w:ind w:left="720" w:firstLine="60"/>
      </w:pPr>
      <w:r>
        <w:t xml:space="preserve">“The Court finds that whether the non-party EMT was in fact negligent in failing to follow the proper protocols, that conduct was not the proximate cause of plaintiff's injuries. The Court finds the non-party EMT's conduct to be intentional, therefore not in the purview of negligence…. The law is well established that there cannot be vicarious liability for the intentional tort of an employee when the underlying act is outside of the scope of employment….”  </w:t>
      </w:r>
      <w:hyperlink r:id="rId2263" w:history="1">
        <w:r>
          <w:rPr>
            <w:rStyle w:val="Hyperlink"/>
          </w:rPr>
          <w:t>https://public.fastcase.com/J%2FJP6pdidelsXxEE4k%2BLMjJGU1N13mSM0FXq6MPMgI9LSFCmdWs1UmdxMrMk65JbGuZGkm2byIyaUDFttOOFNnpFfmnrOgyejNkkQ3Wd5bI%3D?utm_medium=email&amp;_hsmi=226712652&amp;_hsenc=p2ANqtz--0Qd6DUvdEJ2RTs9adtgmCzU05IEXqUBeE6HSsIcsSfVoNrdaOOcnlphoE_fH7sdYgnejI_LAktN6WZtOuiqSz8dg1eg&amp;utm_content=226712652&amp;utm_source=hs_email</w:t>
        </w:r>
      </w:hyperlink>
      <w:r>
        <w:t xml:space="preserve"> </w:t>
      </w:r>
    </w:p>
    <w:p w14:paraId="5F474B8E" w14:textId="77777777" w:rsidR="00D66BAA" w:rsidRDefault="00D66BAA" w:rsidP="00D66BAA">
      <w:pPr>
        <w:pStyle w:val="NormalWeb"/>
        <w:ind w:left="720"/>
      </w:pPr>
      <w:r>
        <w:t>“[T]here are two videos of the incident that have been provided by the parties and reviewed by the Court. Both are extremely short in duration, but both clearly show one of the EMT's shoving the non-party patient, the plaintiff retraining the [patient],  the same EMT throwing a punch in the direction of the … patient and the plaintiff, causing the plaintiff and the … patient to fall to the ground.</w:t>
      </w:r>
    </w:p>
    <w:p w14:paraId="4D2A7F4C" w14:textId="77777777" w:rsidR="00D66BAA" w:rsidRDefault="00D66BAA" w:rsidP="00D66BAA">
      <w:pPr>
        <w:pStyle w:val="NormalWeb"/>
        <w:ind w:left="720"/>
      </w:pPr>
      <w:r>
        <w:t>***</w:t>
      </w:r>
    </w:p>
    <w:p w14:paraId="726251FC" w14:textId="77777777" w:rsidR="00D66BAA" w:rsidRDefault="00D66BAA" w:rsidP="00D66BAA">
      <w:pPr>
        <w:pStyle w:val="NormalWeb"/>
        <w:ind w:left="720"/>
      </w:pPr>
      <w:r>
        <w:t xml:space="preserve">The crux of plaintiff’s position is that defendants' employees were negligent in following protocol by not creating a safe zone and not calling the police, with these failures causing plaintiff to intervene in a physical altercation between the non-party patient and the [EMT]. However, the Court finds that, consistent with the defendants' position, the ensuing physical altercation and the intervention by plaintiff does not impute vicarious liability onto the defendants. </w:t>
      </w:r>
    </w:p>
    <w:p w14:paraId="40F02669" w14:textId="77777777" w:rsidR="00D66BAA" w:rsidRDefault="00D66BAA" w:rsidP="00D66BAA">
      <w:pPr>
        <w:pStyle w:val="NormalWeb"/>
        <w:ind w:left="720"/>
      </w:pPr>
      <w:r>
        <w:t xml:space="preserve">The Court finds that whether the [paramedic] was in fact negligent in failing to follow the proper protocols, that conduct was not the proximate cause of plaintiff's injuries. The Court finds the non-party EMT's conduct to be intentional, therefore not in the purview of </w:t>
      </w:r>
      <w:proofErr w:type="gramStart"/>
      <w:r>
        <w:t>negligence.”</w:t>
      </w:r>
      <w:proofErr w:type="gramEnd"/>
    </w:p>
    <w:p w14:paraId="57FE5958" w14:textId="77777777" w:rsidR="00D66BAA" w:rsidRDefault="00D66BAA" w:rsidP="00D66BAA">
      <w:pPr>
        <w:pStyle w:val="NormalWeb"/>
        <w:rPr>
          <w:b/>
          <w:bCs/>
        </w:rPr>
      </w:pPr>
      <w:r>
        <w:rPr>
          <w:b/>
          <w:bCs/>
        </w:rPr>
        <w:t xml:space="preserve">Legal Lesson Learned: Hospital employer not liable for intentional misconduct of their EMT.  Also, don’t throw punches at patients; can hurt </w:t>
      </w:r>
      <w:proofErr w:type="gramStart"/>
      <w:r>
        <w:rPr>
          <w:b/>
          <w:bCs/>
        </w:rPr>
        <w:t>patient</w:t>
      </w:r>
      <w:proofErr w:type="gramEnd"/>
      <w:r>
        <w:rPr>
          <w:b/>
          <w:bCs/>
        </w:rPr>
        <w:t xml:space="preserve"> and those trying to restrain the patient. </w:t>
      </w:r>
    </w:p>
    <w:p w14:paraId="53B65E95" w14:textId="77777777" w:rsidR="00D66BAA" w:rsidRDefault="00D66BAA" w:rsidP="00D66BAA">
      <w:pPr>
        <w:pStyle w:val="NormalWeb"/>
      </w:pPr>
    </w:p>
    <w:p w14:paraId="6C9D27C2" w14:textId="77777777" w:rsidR="00D66BAA" w:rsidRPr="00832745" w:rsidRDefault="00D66BAA" w:rsidP="002B1283">
      <w:pPr>
        <w:rPr>
          <w:rFonts w:ascii="Times New Roman" w:hAnsi="Times New Roman"/>
          <w:b/>
          <w:bCs/>
          <w:sz w:val="24"/>
          <w:szCs w:val="24"/>
        </w:rPr>
      </w:pPr>
    </w:p>
    <w:p w14:paraId="2B8AC223" w14:textId="124545D9" w:rsidR="00F55395" w:rsidRDefault="00F55395" w:rsidP="002B1283">
      <w:pPr>
        <w:rPr>
          <w:rFonts w:ascii="Arial Black" w:hAnsi="Arial Black"/>
          <w:b/>
          <w:bCs/>
          <w:sz w:val="28"/>
          <w:szCs w:val="28"/>
        </w:rPr>
      </w:pPr>
      <w:r>
        <w:rPr>
          <w:rFonts w:ascii="Arial Black" w:hAnsi="Arial Black"/>
          <w:b/>
          <w:bCs/>
          <w:sz w:val="28"/>
          <w:szCs w:val="28"/>
        </w:rPr>
        <w:t>13-137</w:t>
      </w:r>
    </w:p>
    <w:p w14:paraId="1901D9F0" w14:textId="77777777" w:rsidR="00F55395" w:rsidRDefault="00F55395" w:rsidP="00F55395">
      <w:pPr>
        <w:pStyle w:val="NormalWeb"/>
        <w:rPr>
          <w:b/>
          <w:bCs/>
        </w:rPr>
      </w:pPr>
      <w:r>
        <w:rPr>
          <w:rFonts w:ascii="Arial Black" w:hAnsi="Arial Black"/>
          <w:b/>
          <w:bCs/>
          <w:sz w:val="28"/>
          <w:szCs w:val="28"/>
        </w:rPr>
        <w:t xml:space="preserve">MS: EMS WORKED GUN SHOT PATIENT AT SCENE 16 MIN –– PLAINTIFF’S MD NOT QUALIFIED AS “EXPERT” IN EMS </w:t>
      </w:r>
    </w:p>
    <w:p w14:paraId="77129025" w14:textId="77777777" w:rsidR="00F55395" w:rsidRDefault="00F55395" w:rsidP="00F55395">
      <w:pPr>
        <w:pStyle w:val="NormalWeb"/>
      </w:pPr>
      <w:r>
        <w:t xml:space="preserve">On March 9, 2023, </w:t>
      </w:r>
      <w:r w:rsidRPr="00470CD5">
        <w:rPr>
          <w:u w:val="single"/>
        </w:rPr>
        <w:t xml:space="preserve">in Marcus Walker, on behalf of beneficiaries of </w:t>
      </w:r>
      <w:proofErr w:type="spellStart"/>
      <w:r w:rsidRPr="00470CD5">
        <w:rPr>
          <w:u w:val="single"/>
        </w:rPr>
        <w:t>De’Aubrey</w:t>
      </w:r>
      <w:proofErr w:type="spellEnd"/>
      <w:r w:rsidRPr="00470CD5">
        <w:rPr>
          <w:u w:val="single"/>
        </w:rPr>
        <w:t xml:space="preserve"> </w:t>
      </w:r>
      <w:proofErr w:type="spellStart"/>
      <w:r w:rsidRPr="00470CD5">
        <w:rPr>
          <w:u w:val="single"/>
        </w:rPr>
        <w:t>Rajheem</w:t>
      </w:r>
      <w:proofErr w:type="spellEnd"/>
      <w:r w:rsidRPr="00470CD5">
        <w:rPr>
          <w:u w:val="single"/>
        </w:rPr>
        <w:t xml:space="preserve"> Roscoe, Deceased v. Jonathan </w:t>
      </w:r>
      <w:proofErr w:type="spellStart"/>
      <w:r w:rsidRPr="00470CD5">
        <w:rPr>
          <w:u w:val="single"/>
        </w:rPr>
        <w:t>Upp</w:t>
      </w:r>
      <w:proofErr w:type="spellEnd"/>
      <w:r w:rsidRPr="00470CD5">
        <w:rPr>
          <w:u w:val="single"/>
        </w:rPr>
        <w:t xml:space="preserve">, </w:t>
      </w:r>
      <w:proofErr w:type="spellStart"/>
      <w:r w:rsidRPr="00470CD5">
        <w:rPr>
          <w:u w:val="single"/>
        </w:rPr>
        <w:t>Medstat</w:t>
      </w:r>
      <w:proofErr w:type="spellEnd"/>
      <w:r w:rsidRPr="00470CD5">
        <w:rPr>
          <w:u w:val="single"/>
        </w:rPr>
        <w:t xml:space="preserve"> EMS, et al</w:t>
      </w:r>
      <w:r>
        <w:t xml:space="preserve">., the U.S. Court of Appeals for Fifth Circuit (New Orleans) held (2 to 0), unpublished decision, that the trial court judge properly found the plaintiff’s expert witness unqualified because he had no experience in emergency medicine.  Court of Appeals held: “As the district court noted, however, Dr. McNair conceded in his deposition ‘that the standard of care for pulmonology and internal medicine-the disciplines in which he does possess specialized knowledge, experience, and training-is different from the standard of care for paramedicine.’ At the same time, Dr. McNair unequivocally stated that he had no experience or education in paramedicine. Additionally, he failed to cite to any literature or published works pertaining to paramedicine that he might have relied on in formulating his opinions….  We conclude that the district court did not abuse its discretion in determining that Dr. McNair was not qualified by his ‘knowledge, skill, experience, training, or education’ to testify as an expert in this case. </w:t>
      </w:r>
      <w:hyperlink r:id="rId2264" w:history="1">
        <w:r w:rsidRPr="00317BE5">
          <w:rPr>
            <w:rStyle w:val="Hyperlink"/>
            <w:rFonts w:eastAsiaTheme="majorEastAsia"/>
          </w:rPr>
          <w:t>http://www.ca5.uscourts.gov/opinions/unpub/22/22-60374.0.pdf</w:t>
        </w:r>
      </w:hyperlink>
      <w:r>
        <w:t xml:space="preserve"> </w:t>
      </w:r>
    </w:p>
    <w:p w14:paraId="1E30D1FB" w14:textId="77777777" w:rsidR="00F55395" w:rsidRDefault="00F55395" w:rsidP="00F55395">
      <w:pPr>
        <w:pStyle w:val="NormalWeb"/>
        <w:ind w:left="720"/>
      </w:pPr>
      <w:r>
        <w:t>“After local law enforcement officers</w:t>
      </w:r>
      <w:r>
        <w:rPr>
          <w:vertAlign w:val="superscript"/>
        </w:rPr>
        <w:t xml:space="preserve"> </w:t>
      </w:r>
      <w:r>
        <w:t xml:space="preserve">secured the scene, the </w:t>
      </w:r>
      <w:proofErr w:type="spellStart"/>
      <w:r>
        <w:t>MedStat</w:t>
      </w:r>
      <w:proofErr w:type="spellEnd"/>
      <w:r>
        <w:t xml:space="preserve"> crew </w:t>
      </w:r>
      <w:proofErr w:type="gramStart"/>
      <w:r>
        <w:t>made contact with</w:t>
      </w:r>
      <w:proofErr w:type="gramEnd"/>
      <w:r>
        <w:t xml:space="preserve"> Roscoe between 8:12 P.M. and 8:16 P.M. They found him lying in the yard of his girlfriend's house, awake, alert, and oriented, with no active bleeding. [Paramedic Jonathan] </w:t>
      </w:r>
      <w:proofErr w:type="spellStart"/>
      <w:r>
        <w:t>Upp</w:t>
      </w:r>
      <w:proofErr w:type="spellEnd"/>
      <w:r>
        <w:t xml:space="preserve"> noted a gunshot wound to the right side of Roscoe's back near the axillary space and two wounds to the posterior of his right upper arm. At 8:20 P.M., Roscoe was in the ambulance. </w:t>
      </w:r>
      <w:proofErr w:type="spellStart"/>
      <w:r>
        <w:t>Upp</w:t>
      </w:r>
      <w:proofErr w:type="spellEnd"/>
      <w:r>
        <w:t xml:space="preserve"> administered oxygen via a non-rebreather mask and then attempted unsuccessfully to gain vascular access. He next attempted to gain peripheral access via an intraosseous device, but both attempts failed because the catheters bent.  </w:t>
      </w:r>
      <w:proofErr w:type="spellStart"/>
      <w:r>
        <w:t>Upp</w:t>
      </w:r>
      <w:proofErr w:type="spellEnd"/>
      <w:r>
        <w:t xml:space="preserve"> then observed that Roscoe was becoming short of breath and that the right side of his chest was moving less than the left. He suspected that air present in Roscoe's chest cavity was putting pressure on his lung. </w:t>
      </w:r>
      <w:proofErr w:type="spellStart"/>
      <w:r>
        <w:t>Upp</w:t>
      </w:r>
      <w:proofErr w:type="spellEnd"/>
      <w:r>
        <w:t xml:space="preserve"> successfully performed a needle decompression which allowed the air to escape the chest cavity. But then at 8:24 P.M., </w:t>
      </w:r>
      <w:proofErr w:type="spellStart"/>
      <w:r>
        <w:t>Upp</w:t>
      </w:r>
      <w:proofErr w:type="spellEnd"/>
      <w:r>
        <w:t xml:space="preserve"> noted that Roscoe was in respiratory distress and attempted to intubate </w:t>
      </w:r>
      <w:proofErr w:type="gramStart"/>
      <w:r>
        <w:t>him, but</w:t>
      </w:r>
      <w:proofErr w:type="gramEnd"/>
      <w:r>
        <w:t xml:space="preserve"> could not because Roscoe had lockjaw. After </w:t>
      </w:r>
      <w:proofErr w:type="spellStart"/>
      <w:r>
        <w:t>Upp</w:t>
      </w:r>
      <w:proofErr w:type="spellEnd"/>
      <w:r>
        <w:t xml:space="preserve"> and Walda administered medical care to Roscoe at the scene for approximately sixteen minutes, they began transporting him to the hospital at 8:27 P.M. and arrived four minutes later at 8:31 P.M. Roscoe was pronounced dead twenty-five minutes later at 8:56 P.M. The hospital listed Roscoe's cause of death as cardiac arrest due to gunshot wounds.”</w:t>
      </w:r>
    </w:p>
    <w:p w14:paraId="51F44B72" w14:textId="77777777" w:rsidR="00F55395" w:rsidRPr="00FC6E96" w:rsidRDefault="00F55395" w:rsidP="00F55395">
      <w:pPr>
        <w:pStyle w:val="NormalWeb"/>
        <w:rPr>
          <w:b/>
          <w:bCs/>
        </w:rPr>
      </w:pPr>
      <w:r w:rsidRPr="00FC6E96">
        <w:rPr>
          <w:b/>
          <w:bCs/>
        </w:rPr>
        <w:t>Legal Lesson Learned:</w:t>
      </w:r>
      <w:r>
        <w:rPr>
          <w:b/>
          <w:bCs/>
        </w:rPr>
        <w:t xml:space="preserve"> An “expert witness” must have experience directly related to skills required of paramedics.</w:t>
      </w:r>
    </w:p>
    <w:p w14:paraId="23FF3646" w14:textId="77777777" w:rsidR="00F55395" w:rsidRDefault="00F55395" w:rsidP="00F55395">
      <w:pPr>
        <w:pStyle w:val="NormalWeb"/>
      </w:pPr>
    </w:p>
    <w:p w14:paraId="1A8C7219" w14:textId="701DD993" w:rsidR="00F55395" w:rsidRDefault="00F55395" w:rsidP="002B1283">
      <w:pPr>
        <w:rPr>
          <w:rFonts w:ascii="Arial Black" w:hAnsi="Arial Black"/>
          <w:b/>
          <w:bCs/>
          <w:sz w:val="28"/>
          <w:szCs w:val="28"/>
        </w:rPr>
      </w:pPr>
      <w:r>
        <w:rPr>
          <w:rFonts w:ascii="Arial Black" w:hAnsi="Arial Black"/>
          <w:b/>
          <w:bCs/>
          <w:sz w:val="28"/>
          <w:szCs w:val="28"/>
        </w:rPr>
        <w:t>13-136</w:t>
      </w:r>
    </w:p>
    <w:p w14:paraId="214CBAE7" w14:textId="77777777" w:rsidR="00F55395" w:rsidRPr="00024F5F" w:rsidRDefault="00F55395" w:rsidP="00F55395">
      <w:pPr>
        <w:pStyle w:val="NormalWeb"/>
        <w:rPr>
          <w:rFonts w:ascii="Arial Black" w:hAnsi="Arial Black"/>
          <w:b/>
          <w:bCs/>
          <w:sz w:val="28"/>
          <w:szCs w:val="28"/>
        </w:rPr>
      </w:pPr>
      <w:r>
        <w:rPr>
          <w:rFonts w:ascii="Arial Black" w:hAnsi="Arial Black"/>
          <w:b/>
          <w:bCs/>
          <w:sz w:val="28"/>
          <w:szCs w:val="28"/>
        </w:rPr>
        <w:t xml:space="preserve">WV: PIPELINE EMPLOYEE BROKE ANKLE – CAN’T SUE CO. EMT OR CO. FOR NOT PROMPTLY CALLING AMBULANCE </w:t>
      </w:r>
    </w:p>
    <w:p w14:paraId="17AAF7DA" w14:textId="77777777" w:rsidR="00F55395" w:rsidRDefault="00F55395" w:rsidP="00F55395">
      <w:pPr>
        <w:pStyle w:val="NormalWeb"/>
        <w:rPr>
          <w:b/>
          <w:bCs/>
        </w:rPr>
      </w:pPr>
      <w:r>
        <w:t xml:space="preserve">On March 6, 2023, in </w:t>
      </w:r>
      <w:r w:rsidRPr="00024F5F">
        <w:rPr>
          <w:u w:val="single"/>
        </w:rPr>
        <w:t>Precision Pipeline, LLC, et al. v. Mark Weese</w:t>
      </w:r>
      <w:r>
        <w:t xml:space="preserve">, the Supreme Court of Appeals of West Virginia held (5 to 0) that a pipeline work, who suffered a broken ankle and a torn Achilles tendon, and received workers comp coverage, cannot sue the company or the company’s EMT, even if he was not taken directly to a hospital.  The Court reversed the trial court judge that had denied the employer and EMT’s motion to dismiss. Court held:  “Though respondent claims that Precision's negligence in hiring, retaining, and supervising Petitioner Vanessa Stromberg as an EMT is not the type of employer negligence contemplated by our workers' compensation law such that immunity should bar his claim, he cites to no supporting legal authority for this proposition and, indeed, ignores the clear and unambiguous language of West Virginia Code § 23-2-6, which dictates that immunity does apply to respondent's claim. *** As such, Stromberg and her fellow employees are immune from suit.” </w:t>
      </w:r>
      <w:hyperlink r:id="rId2265" w:history="1">
        <w:r w:rsidRPr="00764765">
          <w:rPr>
            <w:rStyle w:val="Hyperlink"/>
            <w:rFonts w:eastAsiaTheme="majorEastAsia"/>
          </w:rPr>
          <w:t>https://law.justia.com/cases/west-virginia/supreme-court/2023/21-0841.html</w:t>
        </w:r>
      </w:hyperlink>
      <w:r>
        <w:t xml:space="preserve"> </w:t>
      </w:r>
    </w:p>
    <w:p w14:paraId="14F3280F" w14:textId="77777777" w:rsidR="00F55395" w:rsidRDefault="00F55395" w:rsidP="00F55395">
      <w:pPr>
        <w:pStyle w:val="NormalWeb"/>
        <w:ind w:left="720"/>
      </w:pPr>
      <w:r>
        <w:t xml:space="preserve">“Respondent was employed by Precision at a pipeline construction project in Marshall County on April 12, 2019, when he severely injured his left leg while dragging a fuel hose. Witnesses to respondent's injury called for assistance and Petitioner Vanessa Stromberg, the site Emergency Medical Technician (EMT) and a Precision employee, responded. Respondent alleges that, despite her title, Ms. Stromberg is not a licensed EMT; that she ‘provided no actual medical assistance or intervention on </w:t>
      </w:r>
      <w:proofErr w:type="gramStart"/>
      <w:r>
        <w:t>site;’</w:t>
      </w:r>
      <w:proofErr w:type="gramEnd"/>
      <w:r>
        <w:t xml:space="preserve"> and that ‘no ambulance or outside medical assistance’ was summoned. According to </w:t>
      </w:r>
      <w:proofErr w:type="gramStart"/>
      <w:r>
        <w:t>respondent, ‘</w:t>
      </w:r>
      <w:proofErr w:type="gramEnd"/>
      <w:r>
        <w:t xml:space="preserve">worksite directives, plans to address injuries, public policy to treat medical emergencies, and West Virginia Code § 21-3-1’ required that </w:t>
      </w:r>
      <w:proofErr w:type="gramStart"/>
      <w:r>
        <w:t>respondent ‘</w:t>
      </w:r>
      <w:proofErr w:type="gramEnd"/>
      <w:r>
        <w:t xml:space="preserve">be taken to the nearest medical facility for immediate care.’ Although respondent was placed ‘into a pickup truck for transportation to a medical facility,’ he was taken, instead, to Precision's ‘yard’ or ‘office’ located in </w:t>
      </w:r>
      <w:proofErr w:type="spellStart"/>
      <w:r>
        <w:t>McMechen</w:t>
      </w:r>
      <w:proofErr w:type="spellEnd"/>
      <w:r>
        <w:t>, West Virginia, where he was transferred to another vehicle driven by a Precision employee and ultimately transported to a MedExpress urgent care facility.”</w:t>
      </w:r>
    </w:p>
    <w:p w14:paraId="4F549453" w14:textId="77777777" w:rsidR="00F55395" w:rsidRPr="00935A96" w:rsidRDefault="00F55395" w:rsidP="00F55395">
      <w:pPr>
        <w:pStyle w:val="NormalWeb"/>
        <w:rPr>
          <w:b/>
          <w:bCs/>
        </w:rPr>
      </w:pPr>
      <w:r w:rsidRPr="00935A96">
        <w:rPr>
          <w:b/>
          <w:bCs/>
        </w:rPr>
        <w:t xml:space="preserve">Legal Lesson Learned: </w:t>
      </w:r>
      <w:proofErr w:type="gramStart"/>
      <w:r>
        <w:rPr>
          <w:b/>
          <w:bCs/>
        </w:rPr>
        <w:t>Workers</w:t>
      </w:r>
      <w:proofErr w:type="gramEnd"/>
      <w:r>
        <w:rPr>
          <w:b/>
          <w:bCs/>
        </w:rPr>
        <w:t xml:space="preserve"> comp is sole remedy for injured employee in most jurisdictions, unless prove an “intentional tort.” </w:t>
      </w:r>
    </w:p>
    <w:p w14:paraId="7ACB1BED" w14:textId="77777777" w:rsidR="00F55395" w:rsidRDefault="00F55395" w:rsidP="00F55395">
      <w:pPr>
        <w:pStyle w:val="NormalWeb"/>
        <w:ind w:left="720"/>
      </w:pPr>
      <w:r w:rsidRPr="00D23010">
        <w:t>Note: In Ohio, for example</w:t>
      </w:r>
      <w:r>
        <w:t>, Ohio Revised Code 2745.01 provides.</w:t>
      </w:r>
      <w:r w:rsidRPr="00D23010">
        <w:t xml:space="preserve"> </w:t>
      </w:r>
      <w:hyperlink r:id="rId2266" w:history="1">
        <w:r w:rsidRPr="00764765">
          <w:rPr>
            <w:rStyle w:val="Hyperlink"/>
            <w:rFonts w:eastAsiaTheme="majorEastAsia"/>
          </w:rPr>
          <w:t>https://codes.ohio.gov/ohio-revised-code/section-2745.01</w:t>
        </w:r>
      </w:hyperlink>
      <w:r>
        <w:t xml:space="preserve"> </w:t>
      </w:r>
    </w:p>
    <w:p w14:paraId="5CFB42E4" w14:textId="77777777" w:rsidR="00F55395" w:rsidRPr="00D23010" w:rsidRDefault="00F55395" w:rsidP="00F55395">
      <w:pPr>
        <w:pStyle w:val="NormalWeb"/>
        <w:ind w:left="720"/>
      </w:pPr>
      <w:r>
        <w:t>“</w:t>
      </w:r>
      <w:r w:rsidRPr="00D23010">
        <w:t>(A) In an action brought against an employer by an employee, or by the dependent survivors of a deceased employee, for damages resulting from an intentional tort committed by the employer during the course of employment, the employer shall not be liable unless the plaintiff proves that the employer committed the tortious act with the intent to injure another or with the belief that the injury was substantially certain to occur.</w:t>
      </w:r>
      <w:r>
        <w:t xml:space="preserve">” </w:t>
      </w:r>
    </w:p>
    <w:p w14:paraId="4430DAF5" w14:textId="77777777" w:rsidR="00F55395" w:rsidRDefault="00F55395" w:rsidP="002B1283">
      <w:pPr>
        <w:rPr>
          <w:rFonts w:ascii="Arial Black" w:hAnsi="Arial Black"/>
          <w:b/>
          <w:bCs/>
          <w:sz w:val="28"/>
          <w:szCs w:val="28"/>
        </w:rPr>
      </w:pPr>
    </w:p>
    <w:p w14:paraId="7B85F064" w14:textId="77777777" w:rsidR="00F55395" w:rsidRDefault="00F55395" w:rsidP="002B1283">
      <w:pPr>
        <w:rPr>
          <w:rFonts w:ascii="Arial Black" w:hAnsi="Arial Black"/>
          <w:b/>
          <w:bCs/>
          <w:sz w:val="28"/>
          <w:szCs w:val="28"/>
        </w:rPr>
      </w:pPr>
    </w:p>
    <w:p w14:paraId="353197B3" w14:textId="05467868" w:rsidR="008A4533" w:rsidRDefault="008A4533" w:rsidP="002B1283">
      <w:pPr>
        <w:rPr>
          <w:rFonts w:ascii="Arial Black" w:hAnsi="Arial Black"/>
          <w:b/>
          <w:bCs/>
          <w:sz w:val="28"/>
          <w:szCs w:val="28"/>
        </w:rPr>
      </w:pPr>
      <w:r>
        <w:rPr>
          <w:rFonts w:ascii="Arial Black" w:hAnsi="Arial Black"/>
          <w:b/>
          <w:bCs/>
          <w:sz w:val="28"/>
          <w:szCs w:val="28"/>
        </w:rPr>
        <w:t>13-13</w:t>
      </w:r>
      <w:r w:rsidR="005C3F7B">
        <w:rPr>
          <w:rFonts w:ascii="Arial Black" w:hAnsi="Arial Black"/>
          <w:b/>
          <w:bCs/>
          <w:sz w:val="28"/>
          <w:szCs w:val="28"/>
        </w:rPr>
        <w:t>5</w:t>
      </w:r>
    </w:p>
    <w:p w14:paraId="0C66003A" w14:textId="77777777" w:rsidR="008A4533" w:rsidRDefault="008A4533" w:rsidP="008A4533">
      <w:pPr>
        <w:pStyle w:val="NormalWeb"/>
        <w:rPr>
          <w:rFonts w:ascii="Arial Black" w:hAnsi="Arial Black"/>
          <w:sz w:val="28"/>
          <w:szCs w:val="28"/>
        </w:rPr>
      </w:pPr>
      <w:r>
        <w:rPr>
          <w:rFonts w:ascii="Arial Black" w:hAnsi="Arial Black"/>
          <w:sz w:val="28"/>
          <w:szCs w:val="28"/>
        </w:rPr>
        <w:t>WA: FD WENT WRONG ADDRESS – 16 MIN. DELAY, BRAIN INJURY– CITY NO “PUBLIC DUTY DOCTRINE” IMMUNITY</w:t>
      </w:r>
    </w:p>
    <w:p w14:paraId="40236572" w14:textId="77777777" w:rsidR="008A4533" w:rsidRDefault="008A4533" w:rsidP="008A4533">
      <w:pPr>
        <w:pStyle w:val="NormalWeb"/>
      </w:pPr>
      <w:r>
        <w:t xml:space="preserve">On Jan. 12, 2023, in </w:t>
      </w:r>
      <w:r w:rsidRPr="00031673">
        <w:rPr>
          <w:u w:val="single"/>
        </w:rPr>
        <w:t>Delaura Norg, as Litigation Guardian ad Litem for her husband, Fred B. Norg v. City of Seattle</w:t>
      </w:r>
      <w:r>
        <w:t xml:space="preserve">, the Supreme Court of Washington, held (5 to 4; </w:t>
      </w:r>
      <w:proofErr w:type="spellStart"/>
      <w:r>
        <w:t>en</w:t>
      </w:r>
      <w:proofErr w:type="spellEnd"/>
      <w:r>
        <w:t xml:space="preserve"> banc – all the Justices) that the </w:t>
      </w:r>
      <w:proofErr w:type="gramStart"/>
      <w:r>
        <w:t>City</w:t>
      </w:r>
      <w:proofErr w:type="gramEnd"/>
      <w:r>
        <w:t xml:space="preserve"> does not have immunity under the “public duty doctrine” because the </w:t>
      </w:r>
      <w:proofErr w:type="gramStart"/>
      <w:r>
        <w:t>City</w:t>
      </w:r>
      <w:proofErr w:type="gramEnd"/>
      <w:r>
        <w:t xml:space="preserve"> had an “individualized, actionable duty of reasonable care when it undertook to respond to their 911 call.” On Feb. 7, 2017, Mrs. Norg called 911 at 4:42 am and reported husband was making loud sounds, and eyes were wide open and glassy.  Dispatch notified Seattle FD and units went in serve at 4:44 from one station, and 4:46 at another – but mistakenly went to a nursing home near the Norg residence.  They ultimately arrived at correct address 16 minutes after the initial call to 911. Fred Norg was transported to the hospital, where he was diagnosed with a heart attack. He survived but allegedly suffered "severe and permanent injuries," including brain damage due to a lack of oxygen, resulting in "cognitive deficits and impaired vision, balance[,] and ambulation.” The Court held: “</w:t>
      </w:r>
      <w:r>
        <w:rPr>
          <w:rStyle w:val="markedcontent"/>
          <w:rFonts w:eastAsiaTheme="majorEastAsia"/>
        </w:rPr>
        <w:t xml:space="preserve">The </w:t>
      </w:r>
      <w:proofErr w:type="spellStart"/>
      <w:r>
        <w:rPr>
          <w:rStyle w:val="markedcontent"/>
          <w:rFonts w:eastAsiaTheme="majorEastAsia"/>
        </w:rPr>
        <w:t>Norgs</w:t>
      </w:r>
      <w:proofErr w:type="spellEnd"/>
      <w:r>
        <w:rPr>
          <w:rStyle w:val="markedcontent"/>
          <w:rFonts w:eastAsiaTheme="majorEastAsia"/>
        </w:rPr>
        <w:t xml:space="preserve"> have established that the City owed them an individualized, actionable duty of reasonable care when it undertook to respond to their 911 call. The </w:t>
      </w:r>
      <w:proofErr w:type="spellStart"/>
      <w:r>
        <w:rPr>
          <w:rStyle w:val="markedcontent"/>
          <w:rFonts w:eastAsiaTheme="majorEastAsia"/>
        </w:rPr>
        <w:t>Norgs</w:t>
      </w:r>
      <w:proofErr w:type="spellEnd"/>
      <w:r>
        <w:rPr>
          <w:rStyle w:val="markedcontent"/>
          <w:rFonts w:eastAsiaTheme="majorEastAsia"/>
        </w:rPr>
        <w:t>’ negligence claim is based solely on the City’s alleged breach of this</w:t>
      </w:r>
      <w:r>
        <w:br/>
      </w:r>
      <w:r>
        <w:rPr>
          <w:rStyle w:val="markedcontent"/>
          <w:rFonts w:eastAsiaTheme="majorEastAsia"/>
        </w:rPr>
        <w:t>common law duty. Therefore, although we express no opinion as to whether the</w:t>
      </w:r>
      <w:r>
        <w:br/>
      </w:r>
      <w:proofErr w:type="spellStart"/>
      <w:r>
        <w:rPr>
          <w:rStyle w:val="markedcontent"/>
          <w:rFonts w:eastAsiaTheme="majorEastAsia"/>
        </w:rPr>
        <w:t>Norgs</w:t>
      </w:r>
      <w:proofErr w:type="spellEnd"/>
      <w:r>
        <w:rPr>
          <w:rStyle w:val="markedcontent"/>
          <w:rFonts w:eastAsiaTheme="majorEastAsia"/>
        </w:rPr>
        <w:t xml:space="preserve"> </w:t>
      </w:r>
      <w:proofErr w:type="gramStart"/>
      <w:r>
        <w:rPr>
          <w:rStyle w:val="markedcontent"/>
          <w:rFonts w:eastAsiaTheme="majorEastAsia"/>
        </w:rPr>
        <w:t>will be ultimately be</w:t>
      </w:r>
      <w:proofErr w:type="gramEnd"/>
      <w:r>
        <w:rPr>
          <w:rStyle w:val="markedcontent"/>
          <w:rFonts w:eastAsiaTheme="majorEastAsia"/>
        </w:rPr>
        <w:t xml:space="preserve"> able to prevail on their claim, we hold that the public</w:t>
      </w:r>
      <w:r>
        <w:br/>
      </w:r>
      <w:r>
        <w:rPr>
          <w:rStyle w:val="markedcontent"/>
          <w:rFonts w:eastAsiaTheme="majorEastAsia"/>
        </w:rPr>
        <w:t>duty doctrine does not apply.”</w:t>
      </w:r>
      <w:r>
        <w:t xml:space="preserve"> </w:t>
      </w:r>
      <w:hyperlink r:id="rId2267" w:history="1">
        <w:r w:rsidRPr="00E03083">
          <w:rPr>
            <w:rStyle w:val="Hyperlink"/>
          </w:rPr>
          <w:t>https://www.courts.wa.gov/opinions/pdf/1001002.pdf</w:t>
        </w:r>
      </w:hyperlink>
      <w:r>
        <w:t xml:space="preserve"> </w:t>
      </w:r>
    </w:p>
    <w:p w14:paraId="28F79EFB" w14:textId="77777777" w:rsidR="008A4533" w:rsidRDefault="008A4533" w:rsidP="008A4533">
      <w:pPr>
        <w:pStyle w:val="NormalWeb"/>
        <w:ind w:left="720"/>
      </w:pPr>
      <w:r>
        <w:t xml:space="preserve">“As discussed above, to determine whether the public duty doctrine applies to this case, we must determine what duty the </w:t>
      </w:r>
      <w:proofErr w:type="gramStart"/>
      <w:r>
        <w:t>City</w:t>
      </w:r>
      <w:proofErr w:type="gramEnd"/>
      <w:r>
        <w:t xml:space="preserve"> allegedly breached and whether that duty was owed to the </w:t>
      </w:r>
      <w:proofErr w:type="spellStart"/>
      <w:r>
        <w:t>Norgs</w:t>
      </w:r>
      <w:proofErr w:type="spellEnd"/>
      <w:r>
        <w:t xml:space="preserve"> individually or to the </w:t>
      </w:r>
      <w:proofErr w:type="gramStart"/>
      <w:r>
        <w:t>general public</w:t>
      </w:r>
      <w:proofErr w:type="gramEnd"/>
      <w:r>
        <w:t xml:space="preserve">. It is clear from the nature of the </w:t>
      </w:r>
      <w:proofErr w:type="spellStart"/>
      <w:r>
        <w:t>Norgs</w:t>
      </w:r>
      <w:proofErr w:type="spellEnd"/>
      <w:r>
        <w:t xml:space="preserve">' claim that it is based on an alleged breach of the City's common law duty to use reasonable care, which was owed to the </w:t>
      </w:r>
      <w:proofErr w:type="spellStart"/>
      <w:r>
        <w:t>Norgs</w:t>
      </w:r>
      <w:proofErr w:type="spellEnd"/>
      <w:r>
        <w:t xml:space="preserve"> individually. Therefore, the public duty doctrine does not apply as a matter of law.”</w:t>
      </w:r>
    </w:p>
    <w:p w14:paraId="3E9AD17C" w14:textId="77777777" w:rsidR="008A4533" w:rsidRDefault="008A4533" w:rsidP="008A4533">
      <w:pPr>
        <w:pStyle w:val="NormalWeb"/>
      </w:pPr>
      <w:r>
        <w:t xml:space="preserve">Dissent [Justice Barbara Madsen, joined by 3 other Justices]: </w:t>
      </w:r>
    </w:p>
    <w:p w14:paraId="546354C4" w14:textId="77777777" w:rsidR="008A4533" w:rsidRDefault="008A4533" w:rsidP="008A4533">
      <w:pPr>
        <w:pStyle w:val="NormalWeb"/>
        <w:ind w:left="720"/>
        <w:rPr>
          <w:rStyle w:val="markedcontent"/>
          <w:rFonts w:eastAsiaTheme="majorEastAsia"/>
        </w:rPr>
      </w:pPr>
      <w:r>
        <w:t>“</w:t>
      </w:r>
      <w:r>
        <w:rPr>
          <w:rStyle w:val="markedcontent"/>
          <w:rFonts w:eastAsiaTheme="majorEastAsia"/>
        </w:rPr>
        <w:t xml:space="preserve">Rather than straightforwardly applying precedent, the majority relies on pronouncements made in concurrences from past cases and accepts them as settled law, rewriting the public duty doctrine to apply only when duties are imposed on government entities by statute or ordinance—creating virtually limitless liability. *** The </w:t>
      </w:r>
      <w:proofErr w:type="spellStart"/>
      <w:r>
        <w:rPr>
          <w:rStyle w:val="markedcontent"/>
          <w:rFonts w:eastAsiaTheme="majorEastAsia"/>
        </w:rPr>
        <w:t>Norgs</w:t>
      </w:r>
      <w:proofErr w:type="spellEnd"/>
      <w:r>
        <w:rPr>
          <w:rStyle w:val="markedcontent"/>
          <w:rFonts w:eastAsiaTheme="majorEastAsia"/>
        </w:rPr>
        <w:t xml:space="preserve"> have not shown that any duty was owed to them as individuals….  A broad and general responsibility to the public rather than to individual members of the public does not create a duty of care…. I would hold that the public duty doctrine is available to the city of Seattle…. The public duty doctrine applies when a public entity is performing a governmental function.”</w:t>
      </w:r>
    </w:p>
    <w:p w14:paraId="01B7D16D" w14:textId="77777777" w:rsidR="008A4533" w:rsidRDefault="008A4533" w:rsidP="008A4533">
      <w:pPr>
        <w:pStyle w:val="NormalWeb"/>
        <w:rPr>
          <w:b/>
          <w:bCs/>
        </w:rPr>
      </w:pPr>
      <w:r w:rsidRPr="00777A43">
        <w:rPr>
          <w:b/>
          <w:bCs/>
        </w:rPr>
        <w:t>Legal Lesson Learned:</w:t>
      </w:r>
      <w:r>
        <w:rPr>
          <w:b/>
          <w:bCs/>
        </w:rPr>
        <w:t xml:space="preserve"> “Public duty doctrine” has generally been a strong defense for public employers. </w:t>
      </w:r>
    </w:p>
    <w:p w14:paraId="640216C1" w14:textId="3F2FDB1B" w:rsidR="008A4533" w:rsidRDefault="008A4533" w:rsidP="002B1283">
      <w:pPr>
        <w:rPr>
          <w:rFonts w:ascii="Arial Black" w:hAnsi="Arial Black"/>
          <w:b/>
          <w:bCs/>
          <w:sz w:val="28"/>
          <w:szCs w:val="28"/>
        </w:rPr>
      </w:pPr>
    </w:p>
    <w:p w14:paraId="29F5715A" w14:textId="3B7F00DC" w:rsidR="008A4533" w:rsidRDefault="008A4533" w:rsidP="002B1283">
      <w:pPr>
        <w:rPr>
          <w:rFonts w:ascii="Arial Black" w:hAnsi="Arial Black"/>
          <w:b/>
          <w:bCs/>
          <w:sz w:val="28"/>
          <w:szCs w:val="28"/>
        </w:rPr>
      </w:pPr>
      <w:r>
        <w:rPr>
          <w:rFonts w:ascii="Arial Black" w:hAnsi="Arial Black"/>
          <w:b/>
          <w:bCs/>
          <w:sz w:val="28"/>
          <w:szCs w:val="28"/>
        </w:rPr>
        <w:t>13-13</w:t>
      </w:r>
      <w:r w:rsidR="005C3F7B">
        <w:rPr>
          <w:rFonts w:ascii="Arial Black" w:hAnsi="Arial Black"/>
          <w:b/>
          <w:bCs/>
          <w:sz w:val="28"/>
          <w:szCs w:val="28"/>
        </w:rPr>
        <w:t>4</w:t>
      </w:r>
    </w:p>
    <w:p w14:paraId="6298455E" w14:textId="77777777" w:rsidR="008A4533" w:rsidRDefault="008A4533" w:rsidP="008A4533">
      <w:pPr>
        <w:pStyle w:val="NormalWeb"/>
        <w:rPr>
          <w:rFonts w:ascii="Arial Black" w:hAnsi="Arial Black"/>
          <w:b/>
          <w:bCs/>
          <w:sz w:val="28"/>
          <w:szCs w:val="28"/>
        </w:rPr>
      </w:pPr>
      <w:r>
        <w:rPr>
          <w:rFonts w:ascii="Arial Black" w:hAnsi="Arial Black"/>
          <w:b/>
          <w:bCs/>
          <w:sz w:val="28"/>
          <w:szCs w:val="28"/>
        </w:rPr>
        <w:t>IA: EMS - SPIT HOOD ON MAN ARRESTED DOMESTIC VIOLENCE – PROPERLY USED SENTENCING - 2-YRS JAIL</w:t>
      </w:r>
    </w:p>
    <w:p w14:paraId="06AA1CCA" w14:textId="77777777" w:rsidR="008A4533" w:rsidRPr="003E7D5E" w:rsidRDefault="008A4533" w:rsidP="008A4533">
      <w:pPr>
        <w:pStyle w:val="NormalWeb"/>
        <w:rPr>
          <w:b/>
          <w:bCs/>
        </w:rPr>
      </w:pPr>
      <w:r w:rsidRPr="003D19B9">
        <w:t xml:space="preserve">On </w:t>
      </w:r>
      <w:r>
        <w:t xml:space="preserve">Jan. 11, 2023, in </w:t>
      </w:r>
      <w:r w:rsidRPr="003D19B9">
        <w:rPr>
          <w:u w:val="single"/>
        </w:rPr>
        <w:t>State of Iowa v. Spencer Jerrick Carter</w:t>
      </w:r>
      <w:r>
        <w:t xml:space="preserve">, the Court of Appeals of Iowa held (3 to 0) that the Prosecutor at time of sentencing properly advised the trial court judge that two EMS had to use a spit hood when transporting the defendant.  The defendant had pled guilty to assaulting two police officers, and two firefighters on Oct. 14, 2021.  On appeal, Carter contends the prosecutor's relaying of information about use of spit hood constituted improper victim statements and he is entitled to resentencing. The Court of Appeals disagreed, finding “there is nothing in the court's reasons to indicate it considered improper factors.” </w:t>
      </w:r>
      <w:hyperlink r:id="rId2268" w:history="1">
        <w:r w:rsidRPr="00912476">
          <w:rPr>
            <w:rStyle w:val="Hyperlink"/>
          </w:rPr>
          <w:t>https://law.justia.com/cases/iowa/court-of-appeals/2023/22-0302.html</w:t>
        </w:r>
      </w:hyperlink>
    </w:p>
    <w:p w14:paraId="471F2B9A" w14:textId="77777777" w:rsidR="008A4533" w:rsidRPr="003E7D5E" w:rsidRDefault="008A4533" w:rsidP="008A4533">
      <w:pPr>
        <w:pStyle w:val="NormalWeb"/>
        <w:ind w:left="720"/>
        <w:rPr>
          <w:b/>
          <w:bCs/>
        </w:rPr>
      </w:pPr>
      <w:r>
        <w:t xml:space="preserve">“Officers restrained the defendant, including by using personal defense spray, and the defendant continued to refuse to cooperate with police attempts to move him. Officers requested assistance from the Dubuque Fire Department, and as the defendant was strapped to a cot and prepared to </w:t>
      </w:r>
      <w:proofErr w:type="gramStart"/>
      <w:r>
        <w:t>move</w:t>
      </w:r>
      <w:proofErr w:type="gramEnd"/>
      <w:r>
        <w:t xml:space="preserve"> he told Officer Warner, "I will kill you and your family." The defendant proceeded to spit on two different firefighters as he was being carried away, Firefighters </w:t>
      </w:r>
      <w:r w:rsidRPr="003E7D5E">
        <w:rPr>
          <w:rStyle w:val="Strong"/>
        </w:rPr>
        <w:t>Todd Sieverding and Steve Haupert.</w:t>
      </w:r>
    </w:p>
    <w:p w14:paraId="11D891F5" w14:textId="77777777" w:rsidR="008A4533" w:rsidRDefault="008A4533" w:rsidP="008A4533">
      <w:pPr>
        <w:pStyle w:val="NormalWeb"/>
      </w:pPr>
      <w:r>
        <w:t>The prosecutor at sentencing hearing told the Court:</w:t>
      </w:r>
    </w:p>
    <w:p w14:paraId="3C6423C5" w14:textId="77777777" w:rsidR="008A4533" w:rsidRDefault="008A4533" w:rsidP="008A4533">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B135C">
        <w:rPr>
          <w:rFonts w:ascii="Times New Roman" w:eastAsia="Times New Roman" w:hAnsi="Times New Roman"/>
          <w:sz w:val="24"/>
          <w:szCs w:val="24"/>
        </w:rPr>
        <w:t xml:space="preserve">Firefighter Todd Sieverding did say that he wanted to relay that placing a spit hood on a subject is sort of the last resort for what they do. It's demeaning, not only for the subject, but for the firefighters to do that, and if they can avoid using a spit hood, in any, in any sort of way, they would avoid doing so, but they weren't able to do that here because the Defendant continued to resist, even as they were trying to help him. Their hands were tied up holding the cot and the patient, but </w:t>
      </w:r>
      <w:proofErr w:type="gramStart"/>
      <w:r w:rsidRPr="000B135C">
        <w:rPr>
          <w:rFonts w:ascii="Times New Roman" w:eastAsia="Times New Roman" w:hAnsi="Times New Roman"/>
          <w:sz w:val="24"/>
          <w:szCs w:val="24"/>
        </w:rPr>
        <w:t>in order to</w:t>
      </w:r>
      <w:proofErr w:type="gramEnd"/>
      <w:r w:rsidRPr="000B135C">
        <w:rPr>
          <w:rFonts w:ascii="Times New Roman" w:eastAsia="Times New Roman" w:hAnsi="Times New Roman"/>
          <w:sz w:val="24"/>
          <w:szCs w:val="24"/>
        </w:rPr>
        <w:t xml:space="preserve"> make sure he caused no harm to himself or to us, we used the spit </w:t>
      </w:r>
      <w:proofErr w:type="gramStart"/>
      <w:r w:rsidRPr="000B135C">
        <w:rPr>
          <w:rFonts w:ascii="Times New Roman" w:eastAsia="Times New Roman" w:hAnsi="Times New Roman"/>
          <w:sz w:val="24"/>
          <w:szCs w:val="24"/>
        </w:rPr>
        <w:t>hood.</w:t>
      </w:r>
      <w:r>
        <w:rPr>
          <w:rFonts w:ascii="Times New Roman" w:eastAsia="Times New Roman" w:hAnsi="Times New Roman"/>
          <w:sz w:val="24"/>
          <w:szCs w:val="24"/>
        </w:rPr>
        <w:t>”</w:t>
      </w:r>
      <w:proofErr w:type="gramEnd"/>
    </w:p>
    <w:p w14:paraId="68BD0625" w14:textId="77777777" w:rsidR="008A4533" w:rsidRPr="003E7D5E" w:rsidRDefault="008A4533" w:rsidP="008A4533">
      <w:pPr>
        <w:pStyle w:val="NormalWeb"/>
        <w:rPr>
          <w:b/>
          <w:bCs/>
        </w:rPr>
      </w:pPr>
      <w:r w:rsidRPr="003E7D5E">
        <w:rPr>
          <w:b/>
          <w:bCs/>
        </w:rPr>
        <w:t>Legal Lesson Learned:</w:t>
      </w:r>
      <w:r>
        <w:rPr>
          <w:b/>
          <w:bCs/>
        </w:rPr>
        <w:t xml:space="preserve"> Spitting on fire / EMS is an assault. </w:t>
      </w:r>
    </w:p>
    <w:p w14:paraId="36A1A185" w14:textId="77777777" w:rsidR="008A4533" w:rsidRDefault="008A4533" w:rsidP="008A4533">
      <w:pPr>
        <w:pStyle w:val="NormalWeb"/>
      </w:pPr>
    </w:p>
    <w:p w14:paraId="5E4044B2" w14:textId="7D224836" w:rsidR="008A4533" w:rsidRDefault="005C3F7B" w:rsidP="002B1283">
      <w:pPr>
        <w:rPr>
          <w:rFonts w:ascii="Arial Black" w:hAnsi="Arial Black"/>
          <w:b/>
          <w:bCs/>
          <w:sz w:val="28"/>
          <w:szCs w:val="28"/>
        </w:rPr>
      </w:pPr>
      <w:r>
        <w:rPr>
          <w:rFonts w:ascii="Arial Black" w:hAnsi="Arial Black"/>
          <w:b/>
          <w:bCs/>
          <w:sz w:val="28"/>
          <w:szCs w:val="28"/>
        </w:rPr>
        <w:t>13-133</w:t>
      </w:r>
    </w:p>
    <w:p w14:paraId="5A80E359" w14:textId="63882BA3" w:rsidR="005C3F7B" w:rsidRDefault="005C3F7B" w:rsidP="005C3F7B">
      <w:pPr>
        <w:pStyle w:val="NormalWeb"/>
        <w:rPr>
          <w:rFonts w:ascii="Arial Black" w:hAnsi="Arial Black"/>
          <w:sz w:val="28"/>
          <w:szCs w:val="28"/>
        </w:rPr>
      </w:pPr>
      <w:r>
        <w:rPr>
          <w:rFonts w:ascii="Arial Black" w:hAnsi="Arial Black"/>
          <w:sz w:val="28"/>
          <w:szCs w:val="28"/>
        </w:rPr>
        <w:t>NY: PATIENT FE</w:t>
      </w:r>
      <w:r w:rsidR="0004072E">
        <w:rPr>
          <w:rFonts w:ascii="Arial Black" w:hAnsi="Arial Black"/>
          <w:sz w:val="28"/>
          <w:szCs w:val="28"/>
        </w:rPr>
        <w:t>L</w:t>
      </w:r>
      <w:r>
        <w:rPr>
          <w:rFonts w:ascii="Arial Black" w:hAnsi="Arial Black"/>
          <w:sz w:val="28"/>
          <w:szCs w:val="28"/>
        </w:rPr>
        <w:t>L OFF STRETCHER – NO SHOULDER STRAPS - DIED – EMS FIRED FALSE INFORMATION</w:t>
      </w:r>
    </w:p>
    <w:p w14:paraId="1D9EA586" w14:textId="77777777" w:rsidR="005C3F7B" w:rsidRDefault="005C3F7B" w:rsidP="005C3F7B">
      <w:pPr>
        <w:pStyle w:val="NormalWeb"/>
        <w:rPr>
          <w:b/>
          <w:bCs/>
        </w:rPr>
      </w:pPr>
      <w:r>
        <w:t xml:space="preserve">On Jan. 5, 2023, </w:t>
      </w:r>
      <w:r>
        <w:rPr>
          <w:u w:val="single"/>
        </w:rPr>
        <w:t xml:space="preserve">In </w:t>
      </w:r>
      <w:proofErr w:type="gramStart"/>
      <w:r>
        <w:rPr>
          <w:u w:val="single"/>
        </w:rPr>
        <w:t>The</w:t>
      </w:r>
      <w:proofErr w:type="gramEnd"/>
      <w:r>
        <w:rPr>
          <w:u w:val="single"/>
        </w:rPr>
        <w:t xml:space="preserve"> Matter of Nicholas A. Walker v. City of Plattsburg, et al</w:t>
      </w:r>
      <w:r>
        <w:t xml:space="preserve">., the Supreme Court of New York, Third Department. Held (3 to 0) that the </w:t>
      </w:r>
      <w:proofErr w:type="gramStart"/>
      <w:r>
        <w:t>Mayor</w:t>
      </w:r>
      <w:proofErr w:type="gramEnd"/>
      <w:r>
        <w:t xml:space="preserve"> had authority to fire the medic in Jan. 2021, since video of the scene Nov. 21, </w:t>
      </w:r>
      <w:proofErr w:type="gramStart"/>
      <w:r>
        <w:t>2018</w:t>
      </w:r>
      <w:proofErr w:type="gramEnd"/>
      <w:r>
        <w:t xml:space="preserve"> showed he lied to police investigating the incident, </w:t>
      </w:r>
      <w:proofErr w:type="gramStart"/>
      <w:r>
        <w:t>and also</w:t>
      </w:r>
      <w:proofErr w:type="gramEnd"/>
      <w:r>
        <w:t xml:space="preserve"> submitted a false EMS run report.  “On November 30, </w:t>
      </w:r>
      <w:proofErr w:type="gramStart"/>
      <w:r>
        <w:t>2018</w:t>
      </w:r>
      <w:proofErr w:type="gramEnd"/>
      <w:r>
        <w:t xml:space="preserve"> at an apartment complex in the City of Plattsburgh, Clinton County, petitioner, a firefighter and emergency medical technician, responded with his partner to a 911 call regarding a man lying in a fifth-floor hallway requesting medical assistance. When petitioner reached the patient, he was responsive and communicative, asking for help. Petitioner and his partner put the patient on a stretcher, securing him with the stretcher's leg and waist straps but not its shoulder straps. They wheeled the stretcher to the elevator and transported the patient down to the first floor, through the building's lobby and outside to where an ambulance was waiting. As they were leaving the building, the patient's arm went limp and dropped down to the side of the stretcher, causing petitioner to lift the patient's arm and place it across his chest. While petitioner and his partner were attempting to transfer the patient into the ambulance, the patient's upper body slipped off the </w:t>
      </w:r>
      <w:proofErr w:type="gramStart"/>
      <w:r>
        <w:t>stretcher</w:t>
      </w:r>
      <w:proofErr w:type="gramEnd"/>
      <w:r>
        <w:t xml:space="preserve"> and his head hit the back of the </w:t>
      </w:r>
      <w:proofErr w:type="gramStart"/>
      <w:r>
        <w:t>ambulance.”</w:t>
      </w:r>
      <w:proofErr w:type="gramEnd"/>
      <w:r>
        <w:t xml:space="preserve">   The Court held: Petitioner concedes that he provided false information in the incident report, patient care report and statement to the police. Thus, as the parties agree, the only issue before this Court is whether the hearing evidence sufficiently established that he did so knowingly. The false statements, which are not in dispute, can be described as follows: petitioner indicated that the patient became unresponsive and was not breathing adequately while in the hallway or elevator, but video evidence and hearing testimony revealed that the patient was alert and responsive as he was transported through the hallway, elevator, building lobby and exterior doors; petitioner claimed that he radioed for assistance when the patient became unresponsive in the hallway or elevator, but the hearing evidence showed that he did not call for backup until after the patient fell off the stretcher and struck his head on the ambulance; petitioner asserted that he assessed the patient and took his pulse in the lobby, yet surveillance video reflected that petitioner did not take these actions at that time; and petitioner indicated that CPR was performed continuously after the patient fell, but video evidence showed that CPR was not begun until several minutes after the patient's fall, and was only conducted for a short time.” </w:t>
      </w:r>
      <w:hyperlink r:id="rId2269" w:history="1">
        <w:r>
          <w:rPr>
            <w:rStyle w:val="Hyperlink"/>
          </w:rPr>
          <w:t>https://caselaw.findlaw.com/ny-supreme-court/2147274.html</w:t>
        </w:r>
      </w:hyperlink>
      <w:r>
        <w:t xml:space="preserve"> </w:t>
      </w:r>
    </w:p>
    <w:p w14:paraId="6A40D780" w14:textId="77777777" w:rsidR="005C3F7B" w:rsidRDefault="005C3F7B" w:rsidP="005C3F7B">
      <w:pPr>
        <w:pStyle w:val="NormalWeb"/>
        <w:ind w:left="720"/>
      </w:pPr>
      <w:r>
        <w:t xml:space="preserve">“Within hours of the incident, petitioner filled out an incident report and a patient care form describing what had happened and filed these documents with the City of Plattsburgh Fire Department. The following day, petitioner was interviewed by the City of Plattsburgh Police Department regarding the incident and gave a sworn written statement to a detective. Moving forward, </w:t>
      </w:r>
      <w:proofErr w:type="gramStart"/>
      <w:r>
        <w:t>petitioner</w:t>
      </w:r>
      <w:proofErr w:type="gramEnd"/>
      <w:r>
        <w:t xml:space="preserve"> continued to work as a firefighter and emergency medical technician for over two years. During this time, the State Department of Health </w:t>
      </w:r>
      <w:proofErr w:type="gramStart"/>
      <w:r>
        <w:t>conducted an investigation</w:t>
      </w:r>
      <w:proofErr w:type="gramEnd"/>
      <w:r>
        <w:t xml:space="preserve"> of the incident, the result of which was petitioner agreeing to pay a $5,000 fine and complete additional training, and respondent City of Plattsburgh settled a wrongful death claim brought by the patient's family.</w:t>
      </w:r>
    </w:p>
    <w:p w14:paraId="549830D3" w14:textId="77777777" w:rsidR="005C3F7B" w:rsidRDefault="005C3F7B" w:rsidP="005C3F7B">
      <w:pPr>
        <w:pStyle w:val="NormalWeb"/>
        <w:ind w:left="720"/>
      </w:pPr>
      <w:r>
        <w:t>***</w:t>
      </w:r>
    </w:p>
    <w:p w14:paraId="6D95FAFF" w14:textId="77777777" w:rsidR="005C3F7B" w:rsidRDefault="005C3F7B" w:rsidP="005C3F7B">
      <w:pPr>
        <w:pStyle w:val="NormalWeb"/>
        <w:ind w:left="720"/>
        <w:rPr>
          <w:b/>
          <w:bCs/>
        </w:rPr>
      </w:pPr>
      <w:r>
        <w:t xml:space="preserve">As to the penalty imposed, we find that the </w:t>
      </w:r>
      <w:proofErr w:type="gramStart"/>
      <w:r>
        <w:t>Mayor's</w:t>
      </w:r>
      <w:proofErr w:type="gramEnd"/>
      <w:r>
        <w:t xml:space="preserve"> decision to terminate petitioner's employment was not "so disproportionate to the offenses as to be shocking to one's sense of fairness…. We see no reason to disturb the penalty imposed by the </w:t>
      </w:r>
      <w:proofErr w:type="gramStart"/>
      <w:r>
        <w:t>Mayor</w:t>
      </w:r>
      <w:proofErr w:type="gramEnd"/>
      <w:r>
        <w:t>, who found, notwithstanding petitioner's positive accomplishments, that he had inhibited the investigation into the patient's untimely death and, seeking to avoid personal responsibility, placed his own interests above those of the City of Plattsburgh Fire Department, the patient's family and the public at large.”</w:t>
      </w:r>
    </w:p>
    <w:p w14:paraId="2DCAFB81" w14:textId="77777777" w:rsidR="005C3F7B" w:rsidRDefault="005C3F7B" w:rsidP="005C3F7B">
      <w:pPr>
        <w:pStyle w:val="NormalWeb"/>
        <w:rPr>
          <w:b/>
          <w:bCs/>
        </w:rPr>
      </w:pPr>
      <w:r>
        <w:rPr>
          <w:b/>
          <w:bCs/>
        </w:rPr>
        <w:t xml:space="preserve">Legal Lesson Learned: Properly restrain </w:t>
      </w:r>
      <w:proofErr w:type="gramStart"/>
      <w:r>
        <w:rPr>
          <w:b/>
          <w:bCs/>
        </w:rPr>
        <w:t>patient</w:t>
      </w:r>
      <w:proofErr w:type="gramEnd"/>
      <w:r>
        <w:rPr>
          <w:b/>
          <w:bCs/>
        </w:rPr>
        <w:t xml:space="preserve"> on the stretcher; don’t file false reports or lie to investigators. Not clear why took two years to discipline. </w:t>
      </w:r>
    </w:p>
    <w:p w14:paraId="273929DE" w14:textId="77777777" w:rsidR="005C3F7B" w:rsidRDefault="005C3F7B" w:rsidP="002B1283">
      <w:pPr>
        <w:rPr>
          <w:rFonts w:ascii="Arial Black" w:hAnsi="Arial Black"/>
          <w:b/>
          <w:bCs/>
          <w:sz w:val="28"/>
          <w:szCs w:val="28"/>
        </w:rPr>
      </w:pPr>
    </w:p>
    <w:p w14:paraId="6660D211" w14:textId="77777777" w:rsidR="008A4533" w:rsidRDefault="008A4533" w:rsidP="002B1283">
      <w:pPr>
        <w:rPr>
          <w:rFonts w:ascii="Arial Black" w:hAnsi="Arial Black"/>
          <w:b/>
          <w:bCs/>
          <w:sz w:val="28"/>
          <w:szCs w:val="28"/>
        </w:rPr>
      </w:pPr>
    </w:p>
    <w:p w14:paraId="3797E15C" w14:textId="2EE37088" w:rsidR="00BA3CDE" w:rsidRDefault="00BA3CDE" w:rsidP="002B1283">
      <w:pPr>
        <w:rPr>
          <w:rFonts w:ascii="Arial Black" w:hAnsi="Arial Black"/>
          <w:b/>
          <w:bCs/>
          <w:sz w:val="28"/>
          <w:szCs w:val="28"/>
        </w:rPr>
      </w:pPr>
      <w:r>
        <w:rPr>
          <w:rFonts w:ascii="Arial Black" w:hAnsi="Arial Black"/>
          <w:b/>
          <w:bCs/>
          <w:sz w:val="28"/>
          <w:szCs w:val="28"/>
        </w:rPr>
        <w:t>13-132</w:t>
      </w:r>
    </w:p>
    <w:p w14:paraId="52316E04" w14:textId="77777777" w:rsidR="00BA3CDE" w:rsidRDefault="00BA3CDE" w:rsidP="00BA3CDE">
      <w:pPr>
        <w:pStyle w:val="NormalWeb"/>
        <w:rPr>
          <w:b/>
          <w:bCs/>
        </w:rPr>
      </w:pPr>
      <w:r>
        <w:rPr>
          <w:rFonts w:ascii="Arial Black" w:hAnsi="Arial Black"/>
          <w:b/>
          <w:bCs/>
          <w:sz w:val="28"/>
          <w:szCs w:val="28"/>
        </w:rPr>
        <w:t xml:space="preserve">CA: BAT. CHIEF – TERMINATION UPHELD - NOT REPORTING MEDIC HITTING PATIENT – ALSO DENIED KNOWLEDGE  </w:t>
      </w:r>
    </w:p>
    <w:p w14:paraId="4D5665D8" w14:textId="77777777" w:rsidR="00BA3CDE" w:rsidRDefault="00BA3CDE" w:rsidP="00BA3CDE">
      <w:pPr>
        <w:pStyle w:val="NormalWeb"/>
      </w:pPr>
      <w:r>
        <w:t xml:space="preserve">On Dec. 22, 2022, in </w:t>
      </w:r>
      <w:r w:rsidRPr="00464F2D">
        <w:rPr>
          <w:u w:val="single"/>
        </w:rPr>
        <w:t>Steve Jones v. City of Loma Linda, et al</w:t>
      </w:r>
      <w:r>
        <w:t xml:space="preserve">., the California Court of Appeals, Fourth District (Second Division) held (3 to 0) that the City Council was authorized to reject a hearing officer’s recommendation that the Battalion Chief, with 26 years with the Fire Department, be reinstated with a letter of reprimand.  The Court found that City Council could reasonably conclude that the harm to the public service was so great that terminating his employment was the “only reasonable option.”  The incident involved a Medic who slapped a mental patient; during the transport the patient had freed his right arm from soft restraints and was spitting at the crew [see below note]. </w:t>
      </w:r>
    </w:p>
    <w:p w14:paraId="068DF9DF" w14:textId="77777777" w:rsidR="00BA3CDE" w:rsidRDefault="00BA3CDE" w:rsidP="00BA3CDE">
      <w:pPr>
        <w:pStyle w:val="NormalWeb"/>
        <w:ind w:left="720"/>
      </w:pPr>
      <w:r>
        <w:t>“Jones asserts that he had an ‘unblemished 26-year career,’ so terminating his employment was an abuse of discretion. Jones's long and mostly untarnished career indicates that it is less likely his dishonesty will be repeated, which is a relevant factor. (</w:t>
      </w:r>
      <w:r>
        <w:rPr>
          <w:rStyle w:val="Emphasis"/>
        </w:rPr>
        <w:t>Skelly v. State Personnel Bd.</w:t>
      </w:r>
      <w:r>
        <w:t xml:space="preserve">, </w:t>
      </w:r>
      <w:r>
        <w:rPr>
          <w:rStyle w:val="Emphasis"/>
        </w:rPr>
        <w:t>supra</w:t>
      </w:r>
      <w:r>
        <w:t xml:space="preserve">, 15 Cal.3d at p. 218.) </w:t>
      </w:r>
      <w:proofErr w:type="gramStart"/>
      <w:r>
        <w:t>However, ‘</w:t>
      </w:r>
      <w:proofErr w:type="gramEnd"/>
      <w:r>
        <w:t>the overriding consideration in these cases is the extent to which the employee's conduct resulted in . . . '[h]arm to the public service.' (</w:t>
      </w:r>
      <w:r>
        <w:rPr>
          <w:rStyle w:val="Emphasis"/>
        </w:rPr>
        <w:t>Ibid.</w:t>
      </w:r>
      <w:r>
        <w:t xml:space="preserve">) The City Council could reasonably conclude that the harm to the public service was great because Jones repeatedly had such poor judgment in this serious situation that his decision making could no longer be relied upon, which meant terminating his employment was the only reasonable option.” </w:t>
      </w:r>
      <w:hyperlink r:id="rId2270" w:history="1">
        <w:r w:rsidRPr="00075859">
          <w:rPr>
            <w:rStyle w:val="Hyperlink"/>
            <w:rFonts w:eastAsiaTheme="majorEastAsia"/>
          </w:rPr>
          <w:t>https://public.fastcase.com/J%2FJP6pdidelsXxEE4k%2BLMhEAWViZoZCNNVQqGGOJQe0x0uZjPj6basWGo2LdR7ZdZ7mXMibE%2B6q63t6QJEFPzY8xsgWYqrexPGowqeVKLtU%3D?utm_medium=email&amp;_hsmi=226712652&amp;_hsenc=p2ANqtz-_6354qi3IFHsOx1ZsytROIPRrzR7P7WEO-</w:t>
        </w:r>
      </w:hyperlink>
      <w:r>
        <w:t xml:space="preserve"> </w:t>
      </w:r>
    </w:p>
    <w:p w14:paraId="0FB790CB" w14:textId="77777777" w:rsidR="00BA3CDE" w:rsidRPr="00625D3A" w:rsidRDefault="00BA3CDE" w:rsidP="00BA3CDE">
      <w:pPr>
        <w:pStyle w:val="NormalWeb"/>
        <w:rPr>
          <w:b/>
          <w:bCs/>
        </w:rPr>
      </w:pPr>
      <w:r w:rsidRPr="00625D3A">
        <w:rPr>
          <w:b/>
          <w:bCs/>
        </w:rPr>
        <w:t>Legal Lesson Learned:</w:t>
      </w:r>
      <w:r>
        <w:rPr>
          <w:b/>
          <w:bCs/>
        </w:rPr>
        <w:t xml:space="preserve"> If there is a report of assault on a patient, promptly inform Senior Management and have entire crew write reports.</w:t>
      </w:r>
    </w:p>
    <w:p w14:paraId="103A78BE" w14:textId="77777777" w:rsidR="00BA3CDE" w:rsidRDefault="00BA3CDE" w:rsidP="00BA3CDE">
      <w:pPr>
        <w:pStyle w:val="NormalWeb"/>
        <w:ind w:left="720"/>
      </w:pPr>
      <w:r>
        <w:t xml:space="preserve">Note: In a Feb. 13, 2019. In an unpublished decision, a judge described the Medic’s actions.  </w:t>
      </w:r>
    </w:p>
    <w:p w14:paraId="2E36BEF5" w14:textId="77777777" w:rsidR="00BA3CDE" w:rsidRDefault="00BA3CDE" w:rsidP="00BA3CDE">
      <w:pPr>
        <w:pStyle w:val="NormalWeb"/>
        <w:ind w:left="720"/>
      </w:pPr>
      <w:r>
        <w:t xml:space="preserve"> “Toppo placed his left hand on the patient's forehead, and cupped his right hand under the patient's chin, </w:t>
      </w:r>
      <w:proofErr w:type="gramStart"/>
      <w:r>
        <w:t>so as to</w:t>
      </w:r>
      <w:proofErr w:type="gramEnd"/>
      <w:r>
        <w:t xml:space="preserve"> keep the patient's mouth closed to prevent the patient from spitting on the firefighters and the medics. Toppo had seen patients spit on personnel in other situations. There was a harness on the patient attaching him to the gurney, but the straps were not tight. Toppo's hand placement on the patient's face lasted five to 10 seconds, then Toppo focused on tightening the straps of the patient's harness, leaving his left hand on the patient's forehead. *** Toppo's striking of his own hand made a slapping sound. Toppo believed his left hand was slightly raised from the patient's forehead, so when his right hand struck his left hand, his left hand made a slapping noise as it </w:t>
      </w:r>
      <w:proofErr w:type="gramStart"/>
      <w:r>
        <w:t>came in contact with</w:t>
      </w:r>
      <w:proofErr w:type="gramEnd"/>
      <w:r>
        <w:t xml:space="preserve"> the patient. After Toppo struck his hand, "[t]he ambulance went silent," and the personnel were able to restrain the patient. Toppo believed the ambulance went silent "because of the slap." </w:t>
      </w:r>
    </w:p>
    <w:p w14:paraId="0FCB4B13" w14:textId="77777777" w:rsidR="00BA3CDE" w:rsidRDefault="00BA3CDE" w:rsidP="002B1283">
      <w:pPr>
        <w:rPr>
          <w:rFonts w:ascii="Arial Black" w:hAnsi="Arial Black"/>
          <w:b/>
          <w:bCs/>
          <w:sz w:val="28"/>
          <w:szCs w:val="28"/>
        </w:rPr>
      </w:pPr>
    </w:p>
    <w:p w14:paraId="249ED34D" w14:textId="58AD6A13" w:rsidR="00BA3CDE" w:rsidRDefault="00BA3CDE" w:rsidP="002B1283">
      <w:pPr>
        <w:rPr>
          <w:rFonts w:ascii="Arial Black" w:hAnsi="Arial Black"/>
          <w:b/>
          <w:bCs/>
          <w:sz w:val="28"/>
          <w:szCs w:val="28"/>
        </w:rPr>
      </w:pPr>
      <w:r>
        <w:rPr>
          <w:rFonts w:ascii="Arial Black" w:hAnsi="Arial Black"/>
          <w:b/>
          <w:bCs/>
          <w:sz w:val="28"/>
          <w:szCs w:val="28"/>
        </w:rPr>
        <w:t>13-131</w:t>
      </w:r>
    </w:p>
    <w:p w14:paraId="601FF0CD" w14:textId="77777777" w:rsidR="00BA3CDE" w:rsidRDefault="00BA3CDE" w:rsidP="00BA3CDE">
      <w:pPr>
        <w:rPr>
          <w:rFonts w:ascii="Arial Black" w:hAnsi="Arial Black"/>
          <w:sz w:val="28"/>
          <w:szCs w:val="28"/>
        </w:rPr>
      </w:pPr>
      <w:r>
        <w:rPr>
          <w:rFonts w:ascii="Arial Black" w:hAnsi="Arial Black"/>
          <w:sz w:val="28"/>
          <w:szCs w:val="28"/>
        </w:rPr>
        <w:t>NY:</w:t>
      </w:r>
      <w:r w:rsidRPr="002E745F">
        <w:rPr>
          <w:rFonts w:ascii="Arial Black" w:hAnsi="Arial Black"/>
          <w:sz w:val="28"/>
          <w:szCs w:val="28"/>
        </w:rPr>
        <w:t xml:space="preserve"> </w:t>
      </w:r>
      <w:r w:rsidRPr="00787655">
        <w:rPr>
          <w:rFonts w:ascii="Arial Black" w:hAnsi="Arial Black"/>
          <w:sz w:val="28"/>
          <w:szCs w:val="28"/>
        </w:rPr>
        <w:t>EMTALA</w:t>
      </w:r>
      <w:r>
        <w:rPr>
          <w:rFonts w:ascii="Arial Black" w:hAnsi="Arial Black"/>
          <w:sz w:val="28"/>
          <w:szCs w:val="28"/>
        </w:rPr>
        <w:t xml:space="preserve"> - PSYCH RUN – ER DOC MET PARENTS, IN HOSPITAL 3 DAYS – CASE NOT FILED 2-YR STATUTE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19"/>
        <w:gridCol w:w="81"/>
      </w:tblGrid>
      <w:tr w:rsidR="00BA3CDE" w14:paraId="41ABDE90" w14:textId="77777777" w:rsidTr="006901FD">
        <w:trPr>
          <w:tblCellSpacing w:w="15" w:type="dxa"/>
        </w:trPr>
        <w:tc>
          <w:tcPr>
            <w:tcW w:w="0" w:type="auto"/>
            <w:vAlign w:val="center"/>
          </w:tcPr>
          <w:p w14:paraId="4465C1B6" w14:textId="77777777" w:rsidR="00BA3CDE" w:rsidRDefault="00BA3CDE" w:rsidP="006901FD">
            <w:r w:rsidRPr="005F4B3D">
              <w:rPr>
                <w:rFonts w:ascii="Times New Roman" w:hAnsi="Times New Roman"/>
                <w:sz w:val="24"/>
                <w:szCs w:val="24"/>
              </w:rPr>
              <w:t xml:space="preserve">On Nov. 30, 2022, in </w:t>
            </w:r>
            <w:r w:rsidRPr="005F4B3D">
              <w:rPr>
                <w:rFonts w:ascii="Times New Roman" w:hAnsi="Times New Roman"/>
                <w:sz w:val="24"/>
                <w:szCs w:val="24"/>
                <w:u w:val="single"/>
              </w:rPr>
              <w:t>Lanit Amira v. Maimonides Hospital, et al.</w:t>
            </w:r>
            <w:r w:rsidRPr="005F4B3D">
              <w:rPr>
                <w:rFonts w:ascii="Times New Roman" w:hAnsi="Times New Roman"/>
                <w:sz w:val="24"/>
                <w:szCs w:val="24"/>
              </w:rPr>
              <w:t>, U.S. Magistrate Judge Taryn A. Merkl, U.S. District Court for Eastern District of New York, issued a Report and Recommendation that the psychiatric patient</w:t>
            </w:r>
            <w:r>
              <w:rPr>
                <w:rFonts w:ascii="Times New Roman" w:hAnsi="Times New Roman"/>
                <w:sz w:val="24"/>
                <w:szCs w:val="24"/>
              </w:rPr>
              <w:t>’</w:t>
            </w:r>
            <w:r w:rsidRPr="005F4B3D">
              <w:rPr>
                <w:rFonts w:ascii="Times New Roman" w:hAnsi="Times New Roman"/>
                <w:sz w:val="24"/>
                <w:szCs w:val="24"/>
              </w:rPr>
              <w:t xml:space="preserve">s lawsuit hospital failed to </w:t>
            </w:r>
            <w:r>
              <w:rPr>
                <w:rFonts w:ascii="Times New Roman" w:hAnsi="Times New Roman"/>
                <w:sz w:val="24"/>
                <w:szCs w:val="24"/>
              </w:rPr>
              <w:t xml:space="preserve">provide adequate medical screening before admitting her </w:t>
            </w:r>
            <w:r w:rsidRPr="005F4B3D">
              <w:rPr>
                <w:rFonts w:ascii="Times New Roman" w:hAnsi="Times New Roman"/>
                <w:sz w:val="24"/>
                <w:szCs w:val="24"/>
              </w:rPr>
              <w:t xml:space="preserve">must be dismissed since not filed within two years required by the 1986 </w:t>
            </w:r>
            <w:r w:rsidRPr="005F4B3D">
              <w:rPr>
                <w:rStyle w:val="field"/>
                <w:rFonts w:ascii="Times New Roman" w:hAnsi="Times New Roman"/>
                <w:sz w:val="24"/>
                <w:szCs w:val="24"/>
              </w:rPr>
              <w:t>Emergency Medical Treatment &amp; Labor Act (</w:t>
            </w:r>
            <w:r w:rsidRPr="005F4B3D">
              <w:rPr>
                <w:rFonts w:ascii="Times New Roman" w:hAnsi="Times New Roman"/>
                <w:sz w:val="24"/>
                <w:szCs w:val="24"/>
              </w:rPr>
              <w:t xml:space="preserve">EMTALA).  Plaintiff was at home on Dec. 10, </w:t>
            </w:r>
            <w:proofErr w:type="gramStart"/>
            <w:r w:rsidRPr="005F4B3D">
              <w:rPr>
                <w:rFonts w:ascii="Times New Roman" w:hAnsi="Times New Roman"/>
                <w:sz w:val="24"/>
                <w:szCs w:val="24"/>
              </w:rPr>
              <w:t>2018</w:t>
            </w:r>
            <w:proofErr w:type="gramEnd"/>
            <w:r w:rsidRPr="005F4B3D">
              <w:rPr>
                <w:rFonts w:ascii="Times New Roman" w:hAnsi="Times New Roman"/>
                <w:sz w:val="24"/>
                <w:szCs w:val="24"/>
              </w:rPr>
              <w:t xml:space="preserve"> when her mother called Hatzalah medics [Jewish based service]for medical assistance; her daughter had recently gone through a divorce and was concerned about her behavior “over the last few months.”  </w:t>
            </w:r>
            <w:r w:rsidRPr="002E745F">
              <w:rPr>
                <w:rFonts w:ascii="Times New Roman" w:eastAsia="Times New Roman" w:hAnsi="Times New Roman"/>
                <w:sz w:val="24"/>
                <w:szCs w:val="24"/>
              </w:rPr>
              <w:t>Hatzalah's medics</w:t>
            </w:r>
            <w:r w:rsidRPr="005F4B3D">
              <w:rPr>
                <w:rFonts w:ascii="Times New Roman" w:hAnsi="Times New Roman"/>
                <w:sz w:val="24"/>
                <w:szCs w:val="24"/>
              </w:rPr>
              <w:t xml:space="preserve"> at the Brooklyn home for two </w:t>
            </w:r>
            <w:proofErr w:type="gramStart"/>
            <w:r w:rsidRPr="005F4B3D">
              <w:rPr>
                <w:rFonts w:ascii="Times New Roman" w:hAnsi="Times New Roman"/>
                <w:sz w:val="24"/>
                <w:szCs w:val="24"/>
              </w:rPr>
              <w:t>hours, and</w:t>
            </w:r>
            <w:proofErr w:type="gramEnd"/>
            <w:r w:rsidRPr="005F4B3D">
              <w:rPr>
                <w:rFonts w:ascii="Times New Roman" w:hAnsi="Times New Roman"/>
                <w:sz w:val="24"/>
                <w:szCs w:val="24"/>
              </w:rPr>
              <w:t xml:space="preserve"> then called for back-up from Maimonides Hospital medics and NYPD. They eventually persuaded her to go to hospital ER in their ambulance. </w:t>
            </w:r>
            <w:r w:rsidRPr="002E745F">
              <w:rPr>
                <w:rFonts w:ascii="Times New Roman" w:eastAsia="Times New Roman" w:hAnsi="Times New Roman"/>
                <w:sz w:val="24"/>
                <w:szCs w:val="24"/>
              </w:rPr>
              <w:t xml:space="preserve">Plaintiff arrived at the emergency room around 5:00 p.m., at which point a nurse instructed her to change into a hospital robe and to place her belongings in a plastic </w:t>
            </w:r>
            <w:r>
              <w:rPr>
                <w:rFonts w:ascii="Times New Roman" w:eastAsia="Times New Roman" w:hAnsi="Times New Roman"/>
                <w:sz w:val="24"/>
                <w:szCs w:val="24"/>
              </w:rPr>
              <w:t>bag; a doctor spoke to her parents at the ER and admitted her (allegedly “without first speaking to” the plaintiff).  Plaintiff remained at hospital for three days, was administered medication, and discharged on Dec. 13, 2018.  She filed this lawsuit on July 6, 2021.  On Dec. 29, 2022, U.S. District Court Judge Rachel P. Kovner dismissed the case.</w:t>
            </w:r>
          </w:p>
        </w:tc>
        <w:tc>
          <w:tcPr>
            <w:tcW w:w="0" w:type="auto"/>
            <w:vAlign w:val="center"/>
          </w:tcPr>
          <w:p w14:paraId="0EC549C6" w14:textId="77777777" w:rsidR="00BA3CDE" w:rsidRDefault="00BA3CDE" w:rsidP="006901FD">
            <w:pPr>
              <w:rPr>
                <w:sz w:val="24"/>
                <w:szCs w:val="24"/>
              </w:rPr>
            </w:pPr>
          </w:p>
        </w:tc>
      </w:tr>
    </w:tbl>
    <w:p w14:paraId="7986058A" w14:textId="77777777" w:rsidR="00BA3CDE" w:rsidRDefault="00BA3CDE" w:rsidP="00BA3CDE">
      <w:pPr>
        <w:pStyle w:val="NormalWeb"/>
        <w:ind w:left="720" w:firstLine="60"/>
      </w:pPr>
      <w:r>
        <w:t xml:space="preserve">“With EMTALA, Congress created a federal cause of </w:t>
      </w:r>
      <w:proofErr w:type="gramStart"/>
      <w:r>
        <w:t>action, but</w:t>
      </w:r>
      <w:proofErr w:type="gramEnd"/>
      <w:r>
        <w:t xml:space="preserve"> also placed a strict limit on the </w:t>
      </w:r>
      <w:proofErr w:type="gramStart"/>
      <w:r>
        <w:t>time period</w:t>
      </w:r>
      <w:proofErr w:type="gramEnd"/>
      <w:r>
        <w:t xml:space="preserve"> under which medical providers could be held liable under its provisions. </w:t>
      </w:r>
      <w:proofErr w:type="gramStart"/>
      <w:r>
        <w:t>As a consequence</w:t>
      </w:r>
      <w:proofErr w:type="gramEnd"/>
      <w:r>
        <w:t>, Plaintiff's EMTALA claim was barred as of December 10, 2020, two years from the date of the alleged violation of the law's screening requirement, i.e., Maimonides's failure ‘to evaluate [Plaintiff] in the emergency room, prior to placing [her] under observation.’</w:t>
      </w:r>
    </w:p>
    <w:p w14:paraId="258F670F" w14:textId="77777777" w:rsidR="00BA3CDE" w:rsidRPr="00BA50D7" w:rsidRDefault="00BA3CDE" w:rsidP="00BA3CDE">
      <w:pPr>
        <w:pStyle w:val="NormalWeb"/>
        <w:ind w:firstLine="720"/>
      </w:pPr>
      <w:r w:rsidRPr="00BA50D7">
        <w:t>Footnote 11</w:t>
      </w:r>
    </w:p>
    <w:p w14:paraId="097181E5" w14:textId="77777777" w:rsidR="00BA3CDE" w:rsidRDefault="00BA3CDE" w:rsidP="00BA3CDE">
      <w:pPr>
        <w:pStyle w:val="NormalWeb"/>
        <w:ind w:left="720"/>
        <w:rPr>
          <w:vertAlign w:val="superscript"/>
        </w:rPr>
      </w:pPr>
      <w:r w:rsidRPr="00BA50D7">
        <w:t xml:space="preserve">To establish her EMTALA claim based on Maimonides's violation of the screening requirement, Plaintiff needed only to establish that she </w:t>
      </w:r>
      <w:r>
        <w:t>‘</w:t>
      </w:r>
      <w:r w:rsidRPr="00BA50D7">
        <w:t>show[ed] up for treatment at a hospital's emergency room</w:t>
      </w:r>
      <w:r>
        <w:t>’</w:t>
      </w:r>
      <w:r w:rsidRPr="00BA50D7">
        <w:t xml:space="preserve"> and that the hospital failed to </w:t>
      </w:r>
      <w:r>
        <w:t>‘</w:t>
      </w:r>
      <w:r w:rsidRPr="00BA50D7">
        <w:t>provide for an appropriate medical screening examination . . . to determine whether or not an emergency medical condition</w:t>
      </w:r>
      <w:r>
        <w:t>’</w:t>
      </w:r>
      <w:r w:rsidRPr="00BA50D7">
        <w:t xml:space="preserve"> existed. </w:t>
      </w:r>
      <w:r w:rsidRPr="00BA50D7">
        <w:rPr>
          <w:rStyle w:val="Emphasis"/>
        </w:rPr>
        <w:t>Hardy v. N.Y.C. Health &amp; Hosp. Corp.</w:t>
      </w:r>
      <w:r w:rsidRPr="00BA50D7">
        <w:t xml:space="preserve">, 164 F.3d 789, 792 (2d Cir. 1999). Since Plaintiff's allegations are that Maimonides failed to provide an examination at the emergency room </w:t>
      </w:r>
      <w:r w:rsidRPr="00BA50D7">
        <w:rPr>
          <w:rStyle w:val="Emphasis"/>
        </w:rPr>
        <w:t>whatsoever</w:t>
      </w:r>
      <w:r w:rsidRPr="00BA50D7">
        <w:t xml:space="preserve">, she necessarily knew the </w:t>
      </w:r>
      <w:r>
        <w:t>‘</w:t>
      </w:r>
      <w:r w:rsidRPr="00BA50D7">
        <w:t>critical facts of injury and causation</w:t>
      </w:r>
      <w:r>
        <w:t>’</w:t>
      </w:r>
      <w:r w:rsidRPr="00BA50D7">
        <w:t xml:space="preserve"> at such time. </w:t>
      </w:r>
      <w:r w:rsidRPr="00BA50D7">
        <w:rPr>
          <w:rStyle w:val="Emphasis"/>
        </w:rPr>
        <w:t>Kronisch</w:t>
      </w:r>
      <w:r w:rsidRPr="00BA50D7">
        <w:t xml:space="preserve">, 150 F.3d at 121. Accordingly, even if the discovery rule applies, Plaintiff's two-year clock began to run from the date of Maimonides's alleged EMTALA violation. The date Plaintiff </w:t>
      </w:r>
      <w:r>
        <w:t>‘</w:t>
      </w:r>
      <w:r w:rsidRPr="00BA50D7">
        <w:t>discovered</w:t>
      </w:r>
      <w:r>
        <w:t>’</w:t>
      </w:r>
      <w:r w:rsidRPr="00BA50D7">
        <w:t xml:space="preserve"> that there might be a federal claim on this basis is irrelevant.</w:t>
      </w:r>
      <w:r>
        <w:t xml:space="preserve">” </w:t>
      </w:r>
      <w:hyperlink r:id="rId2271" w:history="1">
        <w:r w:rsidRPr="00617AE0">
          <w:rPr>
            <w:rStyle w:val="Hyperlink"/>
            <w:rFonts w:eastAsiaTheme="majorEastAsia"/>
          </w:rPr>
          <w:t>https://public.fastcase.com/J%2FJP6pdidelsXxEE4k%2BLMmal3pmqwL2M3IcdBRYRq7H5oV2dmSosFOkL4d7k98jG9SuahbInE3n2tMql6kX0QUzRKtcMn83zHZ%2BG%2BG9ZYZQ%3D?utm_medium=email&amp;_hsmi=226712652&amp;_hsenc=p2ANqtz-9uf78hORTgLHe72Nq9qJz-C27iwk_m4r2mdnHF-ngJMSp_ULhMnmBHzq8bpBh7J7k34w9BngwpJd6Z97DDjhMn2bZMQA&amp;utm_content=226712652&amp;utm_source=hs_email</w:t>
        </w:r>
      </w:hyperlink>
      <w:r>
        <w:t xml:space="preserve"> </w:t>
      </w:r>
    </w:p>
    <w:p w14:paraId="6290E0B1" w14:textId="77777777" w:rsidR="00BA3CDE" w:rsidRDefault="00BA3CDE" w:rsidP="00BA3CDE">
      <w:pPr>
        <w:pStyle w:val="NormalWeb"/>
        <w:rPr>
          <w:sz w:val="20"/>
          <w:szCs w:val="20"/>
        </w:rPr>
      </w:pPr>
      <w:r w:rsidRPr="00453D7F">
        <w:rPr>
          <w:b/>
          <w:bCs/>
        </w:rPr>
        <w:t xml:space="preserve">Legal Lesson Learned: </w:t>
      </w:r>
      <w:r>
        <w:rPr>
          <w:b/>
          <w:bCs/>
        </w:rPr>
        <w:t xml:space="preserve"> Congress included </w:t>
      </w:r>
      <w:proofErr w:type="gramStart"/>
      <w:r>
        <w:rPr>
          <w:b/>
          <w:bCs/>
        </w:rPr>
        <w:t>two year</w:t>
      </w:r>
      <w:proofErr w:type="gramEnd"/>
      <w:r>
        <w:rPr>
          <w:b/>
          <w:bCs/>
        </w:rPr>
        <w:t xml:space="preserve"> statute of limitations in EMTALA so that hospitals can have timely notice to investigate and respond to patient allegations. </w:t>
      </w:r>
    </w:p>
    <w:p w14:paraId="6B08D079" w14:textId="77777777" w:rsidR="00BA3CDE" w:rsidRPr="00453D7F" w:rsidRDefault="00BA3CDE" w:rsidP="00BA3CDE">
      <w:pPr>
        <w:pStyle w:val="NormalWeb"/>
        <w:ind w:left="720"/>
      </w:pPr>
      <w:r w:rsidRPr="00453D7F">
        <w:t xml:space="preserve">Note: EMTALA also imposes a </w:t>
      </w:r>
      <w:r>
        <w:t xml:space="preserve">medical screening </w:t>
      </w:r>
      <w:r w:rsidRPr="00453D7F">
        <w:t xml:space="preserve">requirement. </w:t>
      </w:r>
      <w:r w:rsidRPr="00453D7F">
        <w:rPr>
          <w:rStyle w:val="Emphasis"/>
        </w:rPr>
        <w:t>See</w:t>
      </w:r>
      <w:r w:rsidRPr="00453D7F">
        <w:t xml:space="preserve"> 42 U.S.C. § 1395dd(b)</w:t>
      </w:r>
      <w:r>
        <w:t xml:space="preserve">. </w:t>
      </w:r>
      <w:hyperlink r:id="rId2272" w:history="1">
        <w:r w:rsidRPr="00617AE0">
          <w:rPr>
            <w:rStyle w:val="Hyperlink"/>
            <w:rFonts w:eastAsiaTheme="majorEastAsia"/>
          </w:rPr>
          <w:t>https://www.law.cornell.edu/uscode/text/42/1395dd</w:t>
        </w:r>
      </w:hyperlink>
      <w:r>
        <w:t xml:space="preserve"> </w:t>
      </w:r>
    </w:p>
    <w:p w14:paraId="4C329A8E" w14:textId="77777777" w:rsidR="00BA3CDE" w:rsidRPr="00453D7F" w:rsidRDefault="00BA3CDE" w:rsidP="00BA3CDE">
      <w:pPr>
        <w:ind w:left="720" w:firstLine="720"/>
        <w:rPr>
          <w:rFonts w:ascii="Times New Roman" w:hAnsi="Times New Roman"/>
          <w:sz w:val="24"/>
          <w:szCs w:val="24"/>
        </w:rPr>
      </w:pPr>
      <w:r w:rsidRPr="00453D7F">
        <w:rPr>
          <w:rStyle w:val="num"/>
          <w:rFonts w:ascii="Times New Roman" w:hAnsi="Times New Roman"/>
          <w:sz w:val="24"/>
          <w:szCs w:val="24"/>
        </w:rPr>
        <w:t>(a)</w:t>
      </w:r>
      <w:r w:rsidRPr="00453D7F">
        <w:rPr>
          <w:rStyle w:val="heading"/>
          <w:rFonts w:ascii="Times New Roman" w:hAnsi="Times New Roman"/>
          <w:sz w:val="24"/>
          <w:szCs w:val="24"/>
        </w:rPr>
        <w:t xml:space="preserve"> Medical screening requirement</w:t>
      </w:r>
      <w:r w:rsidRPr="00453D7F">
        <w:rPr>
          <w:rFonts w:ascii="Times New Roman" w:hAnsi="Times New Roman"/>
          <w:sz w:val="24"/>
          <w:szCs w:val="24"/>
        </w:rPr>
        <w:t xml:space="preserve"> </w:t>
      </w:r>
    </w:p>
    <w:p w14:paraId="4C60294E" w14:textId="77777777" w:rsidR="00BA3CDE" w:rsidRPr="00453D7F" w:rsidRDefault="00BA3CDE" w:rsidP="00BA3CDE">
      <w:pPr>
        <w:pStyle w:val="NormalWeb"/>
        <w:ind w:left="1440"/>
      </w:pPr>
      <w:r w:rsidRPr="00453D7F">
        <w:t xml:space="preserve">In the case of a </w:t>
      </w:r>
      <w:hyperlink r:id="rId2273" w:history="1">
        <w:r w:rsidRPr="00453D7F">
          <w:rPr>
            <w:rStyle w:val="Hyperlink"/>
            <w:rFonts w:eastAsiaTheme="majorEastAsia"/>
          </w:rPr>
          <w:t>hospital</w:t>
        </w:r>
      </w:hyperlink>
      <w:r w:rsidRPr="00453D7F">
        <w:t xml:space="preserve"> that has a </w:t>
      </w:r>
      <w:hyperlink r:id="rId2274" w:history="1">
        <w:r w:rsidRPr="00453D7F">
          <w:rPr>
            <w:rStyle w:val="Hyperlink"/>
            <w:rFonts w:eastAsiaTheme="majorEastAsia"/>
          </w:rPr>
          <w:t>hospital</w:t>
        </w:r>
      </w:hyperlink>
      <w:r w:rsidRPr="00453D7F">
        <w:t xml:space="preserve"> emergency department, if any individual (whether or not eligible for benefits under this subchapter) comes to the emergency department and a request is made on the individual’s behalf for examination or treatment for a medical condition, the </w:t>
      </w:r>
      <w:hyperlink r:id="rId2275" w:history="1">
        <w:r w:rsidRPr="00453D7F">
          <w:rPr>
            <w:rStyle w:val="Hyperlink"/>
            <w:rFonts w:eastAsiaTheme="majorEastAsia"/>
          </w:rPr>
          <w:t>hospital</w:t>
        </w:r>
      </w:hyperlink>
      <w:r w:rsidRPr="00453D7F">
        <w:t xml:space="preserve"> must provide for an</w:t>
      </w:r>
      <w:hyperlink r:id="rId2276" w:history="1">
        <w:r w:rsidRPr="00453D7F">
          <w:rPr>
            <w:rStyle w:val="Hyperlink"/>
            <w:rFonts w:eastAsiaTheme="majorEastAsia"/>
          </w:rPr>
          <w:t xml:space="preserve"> appropriate </w:t>
        </w:r>
      </w:hyperlink>
      <w:r w:rsidRPr="00453D7F">
        <w:t xml:space="preserve">medical screening examination within the capability of the </w:t>
      </w:r>
      <w:hyperlink r:id="rId2277" w:history="1">
        <w:r w:rsidRPr="00453D7F">
          <w:rPr>
            <w:rStyle w:val="Hyperlink"/>
            <w:rFonts w:eastAsiaTheme="majorEastAsia"/>
          </w:rPr>
          <w:t>hospital</w:t>
        </w:r>
      </w:hyperlink>
      <w:r w:rsidRPr="00453D7F">
        <w:t xml:space="preserve">’s emergency department, including ancillary services routinely available to the emergency department, to determine whether or not an </w:t>
      </w:r>
      <w:hyperlink r:id="rId2278" w:history="1">
        <w:r w:rsidRPr="00453D7F">
          <w:rPr>
            <w:rStyle w:val="Hyperlink"/>
            <w:rFonts w:eastAsiaTheme="majorEastAsia"/>
          </w:rPr>
          <w:t>emergency medical condition</w:t>
        </w:r>
      </w:hyperlink>
      <w:r w:rsidRPr="00453D7F">
        <w:t xml:space="preserve"> (within the meaning of subsection (e)(1)) exists.</w:t>
      </w:r>
    </w:p>
    <w:p w14:paraId="65D965B6" w14:textId="77777777" w:rsidR="00BA3CDE" w:rsidRDefault="00BA3CDE" w:rsidP="002B1283">
      <w:pPr>
        <w:rPr>
          <w:rFonts w:ascii="Arial Black" w:hAnsi="Arial Black"/>
          <w:b/>
          <w:bCs/>
          <w:sz w:val="28"/>
          <w:szCs w:val="28"/>
        </w:rPr>
      </w:pPr>
    </w:p>
    <w:p w14:paraId="7DCAC68C" w14:textId="77777777" w:rsidR="00BA3CDE" w:rsidRDefault="00BA3CDE" w:rsidP="002B1283">
      <w:pPr>
        <w:rPr>
          <w:rFonts w:ascii="Arial Black" w:hAnsi="Arial Black"/>
          <w:b/>
          <w:bCs/>
          <w:sz w:val="28"/>
          <w:szCs w:val="28"/>
        </w:rPr>
      </w:pPr>
    </w:p>
    <w:p w14:paraId="2980B602" w14:textId="7C1CF408" w:rsidR="00804F3A" w:rsidRDefault="00D47B53" w:rsidP="002B1283">
      <w:pPr>
        <w:rPr>
          <w:rFonts w:ascii="Arial Black" w:hAnsi="Arial Black"/>
          <w:b/>
          <w:bCs/>
          <w:sz w:val="28"/>
          <w:szCs w:val="28"/>
        </w:rPr>
      </w:pPr>
      <w:r>
        <w:rPr>
          <w:rFonts w:ascii="Arial Black" w:hAnsi="Arial Black"/>
          <w:b/>
          <w:bCs/>
          <w:sz w:val="28"/>
          <w:szCs w:val="28"/>
        </w:rPr>
        <w:t>13-130</w:t>
      </w:r>
    </w:p>
    <w:p w14:paraId="4E111451" w14:textId="77777777" w:rsidR="00D47B53" w:rsidRPr="00C5273B" w:rsidRDefault="00D47B53" w:rsidP="00D47B53">
      <w:pPr>
        <w:pStyle w:val="NormalWeb"/>
        <w:rPr>
          <w:rFonts w:ascii="Arial Black" w:hAnsi="Arial Black"/>
          <w:b/>
          <w:bCs/>
          <w:sz w:val="28"/>
          <w:szCs w:val="28"/>
        </w:rPr>
      </w:pPr>
      <w:r w:rsidRPr="00C5273B">
        <w:rPr>
          <w:rFonts w:ascii="Arial Black" w:hAnsi="Arial Black"/>
          <w:b/>
          <w:bCs/>
          <w:sz w:val="28"/>
          <w:szCs w:val="28"/>
        </w:rPr>
        <w:t>M</w:t>
      </w:r>
      <w:r>
        <w:rPr>
          <w:rFonts w:ascii="Arial Black" w:hAnsi="Arial Black"/>
          <w:b/>
          <w:bCs/>
          <w:sz w:val="28"/>
          <w:szCs w:val="28"/>
        </w:rPr>
        <w:t>I: INTOXICATED PERSON GUILTY ASSAULT MEDIC &amp; PD - EMS CAN DISREGARD DRUNK PATIENTS “REFUSAL” HELP</w:t>
      </w:r>
    </w:p>
    <w:p w14:paraId="00453954" w14:textId="77777777" w:rsidR="00D47B53" w:rsidRDefault="00D47B53" w:rsidP="00D47B53">
      <w:pPr>
        <w:pStyle w:val="NormalWeb"/>
      </w:pPr>
      <w:r>
        <w:t xml:space="preserve">On Nov. 17, 2022, in </w:t>
      </w:r>
      <w:r w:rsidRPr="00FF2F49">
        <w:rPr>
          <w:u w:val="single"/>
        </w:rPr>
        <w:t>People of the State of Michigan v. Sean Michael Pach</w:t>
      </w:r>
      <w:r>
        <w:t xml:space="preserve">, the Court of Appeals of Michigan held 3 to 0 (unpublished opinion) that jury properly found defendant guilty of assaulting both of police officer and a paramedic. Under Michigan statute, the medic lawfully determined that Pach would not be safe on his own and could therefore restrain him. </w:t>
      </w:r>
    </w:p>
    <w:p w14:paraId="7AB4ED15" w14:textId="77777777" w:rsidR="00D47B53" w:rsidRDefault="00D47B53" w:rsidP="00D47B53">
      <w:pPr>
        <w:pStyle w:val="NormalWeb"/>
        <w:ind w:left="720"/>
      </w:pPr>
      <w:r>
        <w:t>[T]</w:t>
      </w:r>
      <w:proofErr w:type="gramStart"/>
      <w:r>
        <w:t>he</w:t>
      </w:r>
      <w:proofErr w:type="gramEnd"/>
      <w:r>
        <w:t xml:space="preserve"> paramedic was acting in his capacity as a paramedic. He responded to the scene to aid Pach. The paramedic testified that if someone does not want his assistance, the person must answer his questions appropriately and sign a refusal form. Pach, however, failed to answer the questions and kept saying that he wanted to go home. Instead, as noted above, he was unable to take more than two steps before falling. The paramedic was not acting unlawfully when he helped stop Pach from hitting the ground and when he tried to convince him to sit down so he would not hurt himself. Moreover, viewed in the light most favorable to the jury verdict, there was sufficient evidence to find that the paramedic, exercising his professional judgment, lawfully determined that Pach would not be safe on his own. See MCL 333.20969 (providing that emergency medical services personnel must abide by the decision of the patient to refuse treatment or transportation unless ‘emergency medical services personnel, exercising professional judgment, determine that the individual's condition makes the individual incapable of competently objecting to treatment or transportation ....’). </w:t>
      </w:r>
    </w:p>
    <w:p w14:paraId="09F826DC" w14:textId="77777777" w:rsidR="00D47B53" w:rsidRDefault="00D47B53" w:rsidP="00D47B53">
      <w:pPr>
        <w:pStyle w:val="NormalWeb"/>
        <w:ind w:left="720"/>
      </w:pPr>
      <w:r>
        <w:t>***</w:t>
      </w:r>
    </w:p>
    <w:p w14:paraId="0FF77AE6" w14:textId="77777777" w:rsidR="00D47B53" w:rsidRPr="004203D5" w:rsidRDefault="00D47B53" w:rsidP="00D47B53">
      <w:pPr>
        <w:pStyle w:val="NormalWeb"/>
        <w:ind w:left="720"/>
      </w:pPr>
      <w:r>
        <w:t xml:space="preserve">In sum, there was sufficient evidence to support both convictions.”     </w:t>
      </w:r>
      <w:hyperlink r:id="rId2279" w:history="1">
        <w:r w:rsidRPr="002B6F66">
          <w:rPr>
            <w:rStyle w:val="Hyperlink"/>
            <w:rFonts w:eastAsiaTheme="majorEastAsia"/>
          </w:rPr>
          <w:t>https://law.justia.com/cases/michigan/court-of-appeals-unpublished/2022/359110.html</w:t>
        </w:r>
      </w:hyperlink>
      <w:r>
        <w:t xml:space="preserve"> </w:t>
      </w:r>
    </w:p>
    <w:p w14:paraId="6525C13D" w14:textId="77777777" w:rsidR="00D47B53" w:rsidRPr="004203D5" w:rsidRDefault="00D47B53" w:rsidP="00D47B53">
      <w:pPr>
        <w:pStyle w:val="NormalWeb"/>
        <w:rPr>
          <w:b/>
          <w:bCs/>
        </w:rPr>
      </w:pPr>
      <w:r w:rsidRPr="004203D5">
        <w:rPr>
          <w:b/>
          <w:bCs/>
        </w:rPr>
        <w:t xml:space="preserve">Legal Lesson Learned: Under Michigan law, </w:t>
      </w:r>
      <w:proofErr w:type="gramStart"/>
      <w:r w:rsidRPr="004203D5">
        <w:rPr>
          <w:b/>
          <w:bCs/>
        </w:rPr>
        <w:t>paramedic</w:t>
      </w:r>
      <w:proofErr w:type="gramEnd"/>
      <w:r w:rsidRPr="004203D5">
        <w:rPr>
          <w:b/>
          <w:bCs/>
        </w:rPr>
        <w:t xml:space="preserve"> had authority to disregard patient’s refusal of treatment if individual's condition makes the individual incapable of competently objecting to treatment or transportation.</w:t>
      </w:r>
    </w:p>
    <w:p w14:paraId="506202B9" w14:textId="55CD2987" w:rsidR="00D47B53" w:rsidRDefault="00D47B53" w:rsidP="002B1283">
      <w:pPr>
        <w:rPr>
          <w:rFonts w:ascii="Arial Black" w:hAnsi="Arial Black"/>
          <w:b/>
          <w:bCs/>
          <w:sz w:val="28"/>
          <w:szCs w:val="28"/>
        </w:rPr>
      </w:pPr>
      <w:r>
        <w:rPr>
          <w:rFonts w:ascii="Arial Black" w:hAnsi="Arial Black"/>
          <w:b/>
          <w:bCs/>
          <w:sz w:val="28"/>
          <w:szCs w:val="28"/>
        </w:rPr>
        <w:t>13-129</w:t>
      </w:r>
    </w:p>
    <w:p w14:paraId="39AC4F2E" w14:textId="77777777" w:rsidR="00D47B53" w:rsidRPr="00FA386C" w:rsidRDefault="00D47B53" w:rsidP="00D47B53">
      <w:pPr>
        <w:pStyle w:val="NormalWeb"/>
        <w:rPr>
          <w:rFonts w:ascii="Arial Black" w:hAnsi="Arial Black"/>
          <w:sz w:val="28"/>
          <w:szCs w:val="28"/>
        </w:rPr>
      </w:pPr>
      <w:r>
        <w:rPr>
          <w:rFonts w:ascii="Arial Black" w:hAnsi="Arial Black"/>
          <w:sz w:val="28"/>
          <w:szCs w:val="28"/>
        </w:rPr>
        <w:t>AR: KETAMINE, PATIENT DIED – NO PUNITIVE DAMAGES – NO EVIL INTENT BY MEDIC - EMERGENCY DECISION</w:t>
      </w:r>
    </w:p>
    <w:p w14:paraId="22667706" w14:textId="77777777" w:rsidR="00D47B53" w:rsidRDefault="00D47B53" w:rsidP="00D47B53">
      <w:pPr>
        <w:pStyle w:val="NormalWeb"/>
      </w:pPr>
      <w:r>
        <w:t xml:space="preserve">On Nov. 17, 2022, in </w:t>
      </w:r>
      <w:r w:rsidRPr="00FA386C">
        <w:rPr>
          <w:u w:val="single"/>
        </w:rPr>
        <w:t>Robert Steven Carter v. County of Pima, et al</w:t>
      </w:r>
      <w:r>
        <w:t xml:space="preserve">., U.S. District Court Judge John C. Hinderaker, United States District Court for District of Arizona, denied plaintiff’s request to add a claim for punitive damages.  </w:t>
      </w:r>
      <w:proofErr w:type="gramStart"/>
      <w:r>
        <w:t>Deceased</w:t>
      </w:r>
      <w:proofErr w:type="gramEnd"/>
      <w:r>
        <w:t xml:space="preserve"> David Cutler had been wandering in desert for over two hours, naked and covered in abrasions, when discovered by County Sheriff deputies, who resisted efforts to bring him down the hill.  Paramedic Reed administered ketamine.  “Here, Reed's alleged breach of Ketamine protocol, even when combined with other evidence and viewed most charitably for Plaintiffs, may establish gross negligence, but cannot establish that Reed acted with an ‘evil mind.’”</w:t>
      </w:r>
    </w:p>
    <w:p w14:paraId="4FF0D674" w14:textId="77777777" w:rsidR="00D47B53" w:rsidRDefault="00D47B53" w:rsidP="00D47B53">
      <w:pPr>
        <w:pStyle w:val="NormalWeb"/>
        <w:ind w:left="720"/>
      </w:pPr>
      <w:r>
        <w:t>“[P]</w:t>
      </w:r>
      <w:proofErr w:type="spellStart"/>
      <w:r>
        <w:t>laintiffs</w:t>
      </w:r>
      <w:proofErr w:type="spellEnd"/>
      <w:r>
        <w:t xml:space="preserve"> allege Reed went up the hill to David Cutler with a syringe of Ketamine, having decided in advance its use was warranted…. Plaintiffs also allege David Cutler's appearance when Reed arrived indicated hyperthermia rather than a need for Ketamine, but Reed nevertheless ignored the hyperthermia and proceeded to administer Ketamine…. Plaintiffs also allege Reed administered Ketamine without certain required resuscitative </w:t>
      </w:r>
      <w:proofErr w:type="gramStart"/>
      <w:r>
        <w:t>equipment, and</w:t>
      </w:r>
      <w:proofErr w:type="gramEnd"/>
      <w:r>
        <w:t xml:space="preserve"> may have injected more than the established limit…. Plaintiffs also allege David Cutler's respiratory arrest was ‘the exact risk identified’ for Ketamine administration, and Reed could not adequately treat it for lack of proper equipment on hand…. Finally, Plaintiffs allege that Reed's statement that he ‘would do it the exact same </w:t>
      </w:r>
      <w:proofErr w:type="spellStart"/>
      <w:r>
        <w:t>way’again</w:t>
      </w:r>
      <w:proofErr w:type="spellEnd"/>
      <w:r>
        <w:t xml:space="preserve"> indicates Reed ‘has not learned his lesson,’ and poses a threat to future patients. </w:t>
      </w:r>
    </w:p>
    <w:p w14:paraId="655FFF99" w14:textId="77777777" w:rsidR="00D47B53" w:rsidRDefault="00D47B53" w:rsidP="00D47B53">
      <w:pPr>
        <w:pStyle w:val="NormalWeb"/>
      </w:pPr>
      <w:r>
        <w:tab/>
        <w:t>***</w:t>
      </w:r>
    </w:p>
    <w:p w14:paraId="74595F0C" w14:textId="2EDD7A28" w:rsidR="00D47B53" w:rsidRPr="00D47B53" w:rsidRDefault="00D47B53" w:rsidP="00D47B53">
      <w:pPr>
        <w:ind w:left="720"/>
        <w:rPr>
          <w:rFonts w:ascii="Times New Roman" w:hAnsi="Times New Roman"/>
          <w:b/>
          <w:bCs/>
          <w:sz w:val="24"/>
          <w:szCs w:val="24"/>
        </w:rPr>
      </w:pPr>
      <w:r w:rsidRPr="00D47B53">
        <w:rPr>
          <w:rFonts w:ascii="Times New Roman" w:hAnsi="Times New Roman"/>
          <w:sz w:val="24"/>
          <w:szCs w:val="24"/>
        </w:rPr>
        <w:t xml:space="preserve">These allegations do not amount to ‘outrageous’ conduct for several reasons. First, Plaintiffs' evidence, even if proved, likely establishes Reed's behavior created only a risk of harm, not a" </w:t>
      </w:r>
      <w:r w:rsidRPr="00D47B53">
        <w:rPr>
          <w:rStyle w:val="Emphasis"/>
          <w:rFonts w:ascii="Times New Roman" w:hAnsi="Times New Roman"/>
          <w:sz w:val="24"/>
          <w:szCs w:val="24"/>
        </w:rPr>
        <w:t>substantial</w:t>
      </w:r>
      <w:r w:rsidRPr="00D47B53">
        <w:rPr>
          <w:rFonts w:ascii="Times New Roman" w:hAnsi="Times New Roman"/>
          <w:sz w:val="24"/>
          <w:szCs w:val="24"/>
        </w:rPr>
        <w:t>" risk of harm. Plaintiffs refer to respiratory depression as "an adverse effect" of Ketamine, and to excessive salivation as "a potential adverse effect" of Ketamine, but do not allege these effects are highly likely or substantially certain. (</w:t>
      </w:r>
      <w:r w:rsidRPr="00D47B53">
        <w:rPr>
          <w:rStyle w:val="Emphasis"/>
          <w:rFonts w:ascii="Times New Roman" w:hAnsi="Times New Roman"/>
          <w:sz w:val="24"/>
          <w:szCs w:val="24"/>
        </w:rPr>
        <w:t>See</w:t>
      </w:r>
      <w:r w:rsidRPr="00D47B53">
        <w:rPr>
          <w:rFonts w:ascii="Times New Roman" w:hAnsi="Times New Roman"/>
          <w:sz w:val="24"/>
          <w:szCs w:val="24"/>
        </w:rPr>
        <w:t xml:space="preserve"> Doc. 256 at 1-2.) Second, Plaintiffs' evidence, even if proved, cannot establish" </w:t>
      </w:r>
      <w:r w:rsidRPr="00D47B53">
        <w:rPr>
          <w:rStyle w:val="Emphasis"/>
          <w:rFonts w:ascii="Times New Roman" w:hAnsi="Times New Roman"/>
          <w:sz w:val="24"/>
          <w:szCs w:val="24"/>
        </w:rPr>
        <w:t>conscious</w:t>
      </w:r>
      <w:r w:rsidRPr="00D47B53">
        <w:rPr>
          <w:rFonts w:ascii="Times New Roman" w:hAnsi="Times New Roman"/>
          <w:sz w:val="24"/>
          <w:szCs w:val="24"/>
        </w:rPr>
        <w:t xml:space="preserve">" and" </w:t>
      </w:r>
      <w:r w:rsidRPr="00D47B53">
        <w:rPr>
          <w:rStyle w:val="Emphasis"/>
          <w:rFonts w:ascii="Times New Roman" w:hAnsi="Times New Roman"/>
          <w:sz w:val="24"/>
          <w:szCs w:val="24"/>
        </w:rPr>
        <w:t>deliberate</w:t>
      </w:r>
      <w:r w:rsidRPr="00D47B53">
        <w:rPr>
          <w:rFonts w:ascii="Times New Roman" w:hAnsi="Times New Roman"/>
          <w:sz w:val="24"/>
          <w:szCs w:val="24"/>
        </w:rPr>
        <w:t xml:space="preserve">" disregard of David Cutler's interests. Any course of emergency treatment involves risk. Healthcare providers must act with incomplete information in highly uncertain environments. They do not disregard a person's interests merely by making a judgment call under difficult, emergency circumstances. Failing to act or </w:t>
      </w:r>
      <w:proofErr w:type="gramStart"/>
      <w:r w:rsidRPr="00D47B53">
        <w:rPr>
          <w:rFonts w:ascii="Times New Roman" w:hAnsi="Times New Roman"/>
          <w:sz w:val="24"/>
          <w:szCs w:val="24"/>
        </w:rPr>
        <w:t>acting</w:t>
      </w:r>
      <w:proofErr w:type="gramEnd"/>
      <w:r w:rsidRPr="00D47B53">
        <w:rPr>
          <w:rFonts w:ascii="Times New Roman" w:hAnsi="Times New Roman"/>
          <w:sz w:val="24"/>
          <w:szCs w:val="24"/>
        </w:rPr>
        <w:t xml:space="preserve"> differently would involve other risks. In hindsight, the balance may be clearer. But liability does not follow armchair clarity. Plaintiffs' evidence arguably tends to show that Reed consciously chose a course of treatment with certain risks over other courses of treatment with other risks. That is not enough for conscious or deliberate disregard. Third, Plaintiffs' evidence does not establish "something more" than gross negligence….  </w:t>
      </w:r>
      <w:hyperlink r:id="rId2280" w:history="1">
        <w:r w:rsidRPr="00D47B53">
          <w:rPr>
            <w:rStyle w:val="Hyperlink"/>
            <w:rFonts w:ascii="Times New Roman" w:eastAsiaTheme="majorEastAsia" w:hAnsi="Times New Roman"/>
            <w:sz w:val="24"/>
            <w:szCs w:val="24"/>
          </w:rPr>
          <w:t>https://public.fastcase.com/J%2FJP6pdidelsXxEE4k%2BLMqK%2F7dEyjXc%2F7MSStJKYdkuUI2%2BsluBCAbCgNdX488UO%2BveqO8oLQ0RNBWqaiEFfWGkDgcs9M5oh9hj%2FtPj21RY%3D?utm_medium=email&amp;_hsmi=226712652&amp;_hsenc=p2ANqtz-9TZeiC7Qp2HA_ZU4GxpYYZhIBONOkNnO3yTlBCsoF00PWMECQ5punx4hjGs90LCim5ScH4TNtnDpd9JYQeMwpFQeZwiA&amp;utm_content=226712652&amp;utm_source=hs_email</w:t>
        </w:r>
      </w:hyperlink>
    </w:p>
    <w:p w14:paraId="46B2D21C" w14:textId="77777777" w:rsidR="00D47B53" w:rsidRPr="00C5273B" w:rsidRDefault="00D47B53" w:rsidP="00D47B53">
      <w:pPr>
        <w:pStyle w:val="paragraph"/>
        <w:rPr>
          <w:b/>
          <w:bCs/>
        </w:rPr>
      </w:pPr>
      <w:r w:rsidRPr="00C5273B">
        <w:rPr>
          <w:b/>
          <w:bCs/>
        </w:rPr>
        <w:t>Legal Lesson Learned:</w:t>
      </w:r>
      <w:r>
        <w:rPr>
          <w:b/>
          <w:bCs/>
        </w:rPr>
        <w:t xml:space="preserve"> No evil intent by the paramedic; no punitive damages claim.</w:t>
      </w:r>
    </w:p>
    <w:p w14:paraId="65880C0A" w14:textId="77777777" w:rsidR="00D47B53" w:rsidRDefault="00D47B53" w:rsidP="002B1283">
      <w:pPr>
        <w:rPr>
          <w:rFonts w:ascii="Arial Black" w:hAnsi="Arial Black"/>
          <w:b/>
          <w:bCs/>
          <w:sz w:val="28"/>
          <w:szCs w:val="28"/>
        </w:rPr>
      </w:pPr>
    </w:p>
    <w:p w14:paraId="3268B8E2" w14:textId="77777777" w:rsidR="00D47B53" w:rsidRDefault="00D47B53" w:rsidP="002B1283">
      <w:pPr>
        <w:rPr>
          <w:rFonts w:ascii="Arial Black" w:hAnsi="Arial Black"/>
          <w:b/>
          <w:bCs/>
          <w:sz w:val="28"/>
          <w:szCs w:val="28"/>
        </w:rPr>
      </w:pPr>
    </w:p>
    <w:p w14:paraId="12B50CA5" w14:textId="77777777" w:rsidR="00D47B53" w:rsidRDefault="00D47B53" w:rsidP="002B1283">
      <w:pPr>
        <w:rPr>
          <w:rFonts w:ascii="Arial Black" w:hAnsi="Arial Black"/>
          <w:b/>
          <w:bCs/>
          <w:sz w:val="28"/>
          <w:szCs w:val="28"/>
        </w:rPr>
      </w:pPr>
    </w:p>
    <w:p w14:paraId="47E64CC3" w14:textId="7689775C" w:rsidR="00804F3A" w:rsidRDefault="00804F3A" w:rsidP="002B1283">
      <w:pPr>
        <w:rPr>
          <w:rFonts w:ascii="Arial Black" w:hAnsi="Arial Black"/>
          <w:b/>
          <w:bCs/>
          <w:sz w:val="28"/>
          <w:szCs w:val="28"/>
        </w:rPr>
      </w:pPr>
      <w:r>
        <w:rPr>
          <w:rFonts w:ascii="Arial Black" w:hAnsi="Arial Black"/>
          <w:b/>
          <w:bCs/>
          <w:sz w:val="28"/>
          <w:szCs w:val="28"/>
        </w:rPr>
        <w:t>13-128</w:t>
      </w:r>
    </w:p>
    <w:p w14:paraId="714CF55A" w14:textId="77777777" w:rsidR="00804F3A" w:rsidRPr="009B2CF3" w:rsidRDefault="00804F3A" w:rsidP="00804F3A">
      <w:pPr>
        <w:pStyle w:val="NormalWeb"/>
        <w:rPr>
          <w:rFonts w:ascii="Arial Black" w:hAnsi="Arial Black"/>
          <w:sz w:val="28"/>
          <w:szCs w:val="28"/>
        </w:rPr>
      </w:pPr>
      <w:r w:rsidRPr="009B2CF3">
        <w:rPr>
          <w:rFonts w:ascii="Arial Black" w:hAnsi="Arial Black"/>
          <w:sz w:val="28"/>
          <w:szCs w:val="28"/>
        </w:rPr>
        <w:t>OK</w:t>
      </w:r>
      <w:r>
        <w:rPr>
          <w:rFonts w:ascii="Arial Black" w:hAnsi="Arial Black"/>
          <w:sz w:val="28"/>
          <w:szCs w:val="28"/>
        </w:rPr>
        <w:t>: SEIZURE PATIENT RESTRAINED – ASKED PD TO HANDCUFF – DIED AT SCENE – NO 4</w:t>
      </w:r>
      <w:r w:rsidRPr="00E13796">
        <w:rPr>
          <w:rFonts w:ascii="Arial Black" w:hAnsi="Arial Black"/>
          <w:sz w:val="28"/>
          <w:szCs w:val="28"/>
          <w:vertAlign w:val="superscript"/>
        </w:rPr>
        <w:t>th</w:t>
      </w:r>
      <w:r>
        <w:rPr>
          <w:rFonts w:ascii="Arial Black" w:hAnsi="Arial Black"/>
          <w:sz w:val="28"/>
          <w:szCs w:val="28"/>
        </w:rPr>
        <w:t xml:space="preserve"> AMEND VIOL. </w:t>
      </w:r>
    </w:p>
    <w:p w14:paraId="306D5EBB" w14:textId="77777777" w:rsidR="00804F3A" w:rsidRDefault="00804F3A" w:rsidP="00804F3A">
      <w:pPr>
        <w:spacing w:before="100" w:beforeAutospacing="1" w:after="100" w:afterAutospacing="1" w:line="240" w:lineRule="auto"/>
        <w:outlineLvl w:val="0"/>
        <w:rPr>
          <w:rFonts w:ascii="Times New Roman" w:hAnsi="Times New Roman"/>
          <w:sz w:val="24"/>
          <w:szCs w:val="24"/>
        </w:rPr>
      </w:pPr>
      <w:r w:rsidRPr="00E13796">
        <w:rPr>
          <w:rFonts w:ascii="Times New Roman" w:hAnsi="Times New Roman"/>
          <w:sz w:val="24"/>
          <w:szCs w:val="24"/>
        </w:rPr>
        <w:t xml:space="preserve">On Oct. 28, 2022, in </w:t>
      </w:r>
      <w:r w:rsidRPr="00E13796">
        <w:rPr>
          <w:rFonts w:ascii="Times New Roman" w:hAnsi="Times New Roman"/>
          <w:sz w:val="24"/>
          <w:szCs w:val="24"/>
          <w:u w:val="single"/>
        </w:rPr>
        <w:t>Charles Kaleb Vanlandingham, Administrator for the Estate of Charles Lamar Vanlandingham v, City of Oklahoma City</w:t>
      </w:r>
      <w:r w:rsidRPr="00E13796">
        <w:rPr>
          <w:rFonts w:ascii="Times New Roman" w:hAnsi="Times New Roman"/>
          <w:sz w:val="24"/>
          <w:szCs w:val="24"/>
        </w:rPr>
        <w:t xml:space="preserve">, U.S. District Court Chief Judge Timothy D. </w:t>
      </w:r>
      <w:proofErr w:type="spellStart"/>
      <w:r w:rsidRPr="00E13796">
        <w:rPr>
          <w:rFonts w:ascii="Times New Roman" w:hAnsi="Times New Roman"/>
          <w:sz w:val="24"/>
          <w:szCs w:val="24"/>
        </w:rPr>
        <w:t>Degiusti</w:t>
      </w:r>
      <w:proofErr w:type="spellEnd"/>
      <w:r w:rsidRPr="00E13796">
        <w:rPr>
          <w:rFonts w:ascii="Times New Roman" w:hAnsi="Times New Roman"/>
          <w:sz w:val="24"/>
          <w:szCs w:val="24"/>
        </w:rPr>
        <w:t xml:space="preserve">, Western District of Oklahoma, granted the EMS and firefighters motion to dismiss; they enjoy qualified immunity. </w:t>
      </w:r>
    </w:p>
    <w:p w14:paraId="32D35ABE" w14:textId="6ED7E819" w:rsidR="00804F3A" w:rsidRDefault="00804F3A" w:rsidP="00804F3A">
      <w:pPr>
        <w:rPr>
          <w:rFonts w:ascii="Arial Black" w:hAnsi="Arial Black"/>
          <w:b/>
          <w:bCs/>
          <w:sz w:val="28"/>
          <w:szCs w:val="28"/>
        </w:rPr>
      </w:pPr>
      <w:r>
        <w:rPr>
          <w:rFonts w:ascii="Times New Roman" w:eastAsia="Times New Roman" w:hAnsi="Times New Roman"/>
          <w:sz w:val="24"/>
          <w:szCs w:val="24"/>
        </w:rPr>
        <w:t>“</w:t>
      </w:r>
      <w:r w:rsidRPr="00E13796">
        <w:rPr>
          <w:rFonts w:ascii="Times New Roman" w:eastAsia="Times New Roman" w:hAnsi="Times New Roman"/>
          <w:sz w:val="24"/>
          <w:szCs w:val="24"/>
        </w:rPr>
        <w:t>Accepting the factual allegations of the Second Amended Complaint and viewing them in the light most favorable to Plaintiff, the Court finds that Plaintiff has failed to allege sufficient facts to show a Fourth Amendment violation by Firefighters. Therefore, the Court finds that the Second Amended Complaint fails to state a plausible § 1983 claim of unlawful seizure or excessive force against Firefighters.</w:t>
      </w:r>
      <w:r>
        <w:rPr>
          <w:rFonts w:ascii="Times New Roman" w:eastAsia="Times New Roman" w:hAnsi="Times New Roman"/>
          <w:sz w:val="24"/>
          <w:szCs w:val="24"/>
        </w:rPr>
        <w:t xml:space="preserve">” </w:t>
      </w:r>
      <w:hyperlink r:id="rId2281" w:history="1">
        <w:r w:rsidRPr="007662E8">
          <w:rPr>
            <w:rStyle w:val="Hyperlink"/>
            <w:rFonts w:ascii="Times New Roman" w:eastAsia="Times New Roman" w:hAnsi="Times New Roman"/>
            <w:kern w:val="36"/>
          </w:rPr>
          <w:t>https://public.fastcase.com/J%2FJP6pdidelsXxEE4k%2BLMv5wihlcRVj4L9YHbnV6MVAF3KBJWQtSNgsG4EjgakbdHjeAvtzGQxxiofGv8pQP2WzdDBJrvHehgIHwsEqWl4I%3D?utm_medium=email&amp;_hsmi=226712652&amp;_hsenc=p2ANqtz-8bxe8uEVUAEFxEuakn9lUGLQUwlcgKmV3pJL4LaqF4K3hrnG0m_YdcBfrpGQgthbsaGFQPAZbt-ltRFFMr5oynBxpKXA&amp;utm_content=226712652&amp;utm_source=hs_email</w:t>
        </w:r>
      </w:hyperlink>
    </w:p>
    <w:p w14:paraId="4BF1746E" w14:textId="77777777" w:rsidR="00804F3A" w:rsidRPr="00E13796" w:rsidRDefault="00804F3A" w:rsidP="00804F3A">
      <w:pPr>
        <w:pStyle w:val="NormalWeb"/>
        <w:rPr>
          <w:b/>
          <w:bCs/>
        </w:rPr>
      </w:pPr>
      <w:r w:rsidRPr="00E13796">
        <w:rPr>
          <w:b/>
          <w:bCs/>
        </w:rPr>
        <w:t>Legal Lesson Learned: EMS patient restraint protocols</w:t>
      </w:r>
      <w:r>
        <w:rPr>
          <w:b/>
          <w:bCs/>
        </w:rPr>
        <w:t xml:space="preserve"> may include requesting law enforcement assistance. </w:t>
      </w:r>
    </w:p>
    <w:p w14:paraId="67C3C6F7" w14:textId="3824DFC7" w:rsidR="00804F3A" w:rsidRDefault="00804F3A" w:rsidP="002B1283">
      <w:pPr>
        <w:rPr>
          <w:rFonts w:ascii="Arial Black" w:hAnsi="Arial Black"/>
          <w:b/>
          <w:bCs/>
          <w:sz w:val="28"/>
          <w:szCs w:val="28"/>
        </w:rPr>
      </w:pPr>
    </w:p>
    <w:p w14:paraId="79A9AAC8" w14:textId="2B8D6D1E" w:rsidR="00804F3A" w:rsidRDefault="00804F3A" w:rsidP="002B1283">
      <w:pPr>
        <w:rPr>
          <w:rFonts w:ascii="Arial Black" w:hAnsi="Arial Black"/>
          <w:b/>
          <w:bCs/>
          <w:sz w:val="28"/>
          <w:szCs w:val="28"/>
        </w:rPr>
      </w:pPr>
      <w:r>
        <w:rPr>
          <w:rFonts w:ascii="Arial Black" w:hAnsi="Arial Black"/>
          <w:b/>
          <w:bCs/>
          <w:sz w:val="28"/>
          <w:szCs w:val="28"/>
        </w:rPr>
        <w:t>13-125</w:t>
      </w:r>
    </w:p>
    <w:p w14:paraId="723A8F21" w14:textId="77777777" w:rsidR="00804F3A" w:rsidRPr="00E869A2" w:rsidRDefault="00804F3A" w:rsidP="00804F3A">
      <w:pPr>
        <w:pStyle w:val="NormalWeb"/>
        <w:rPr>
          <w:rFonts w:ascii="Arial Black" w:hAnsi="Arial Black"/>
          <w:sz w:val="28"/>
          <w:szCs w:val="28"/>
        </w:rPr>
      </w:pPr>
      <w:r>
        <w:rPr>
          <w:rFonts w:ascii="Arial Black" w:hAnsi="Arial Black"/>
          <w:sz w:val="28"/>
          <w:szCs w:val="28"/>
        </w:rPr>
        <w:t>MI: CPD PATIENT REFUSED TRANSPORT - NO REFUSAL FORM SIGNED – 2</w:t>
      </w:r>
      <w:r w:rsidRPr="002F1DB2">
        <w:rPr>
          <w:rFonts w:ascii="Arial Black" w:hAnsi="Arial Black"/>
          <w:sz w:val="28"/>
          <w:szCs w:val="28"/>
          <w:vertAlign w:val="superscript"/>
        </w:rPr>
        <w:t>nd</w:t>
      </w:r>
      <w:r>
        <w:rPr>
          <w:rFonts w:ascii="Arial Black" w:hAnsi="Arial Black"/>
          <w:sz w:val="28"/>
          <w:szCs w:val="28"/>
        </w:rPr>
        <w:t xml:space="preserve"> CALL, DIED CARDIAC - EMS IMMUNITY </w:t>
      </w:r>
    </w:p>
    <w:p w14:paraId="4B91EB7C" w14:textId="77777777" w:rsidR="00804F3A" w:rsidRDefault="00804F3A" w:rsidP="00804F3A">
      <w:pPr>
        <w:pStyle w:val="NormalWeb"/>
      </w:pPr>
      <w:r w:rsidRPr="00E869A2">
        <w:t xml:space="preserve">On Oct. 27, 2022, in </w:t>
      </w:r>
      <w:r w:rsidRPr="00815A5D">
        <w:rPr>
          <w:u w:val="single"/>
        </w:rPr>
        <w:t>Myra Buffington, Personal Representative of the Estate of Maurice Freeman v, Alic Layne, Ryan Cook and City of Detroit</w:t>
      </w:r>
      <w:r w:rsidRPr="00E869A2">
        <w:t>, the C</w:t>
      </w:r>
      <w:r>
        <w:t xml:space="preserve">ourt of Appeals of Michigan held (3 to 0), unpublished opinion, that trial court properly granted summary judgment to the defendants, since there was no evidence of gross negligence, even if the Medics didn’t get a signed refusal form. </w:t>
      </w:r>
    </w:p>
    <w:p w14:paraId="3803CFAF" w14:textId="77777777" w:rsidR="00804F3A" w:rsidRDefault="00804F3A" w:rsidP="00804F3A">
      <w:pPr>
        <w:spacing w:after="100" w:line="240" w:lineRule="auto"/>
        <w:ind w:left="720"/>
      </w:pPr>
      <w:r>
        <w:rPr>
          <w:rFonts w:ascii="Times New Roman" w:eastAsia="Times New Roman" w:hAnsi="Times New Roman"/>
          <w:sz w:val="24"/>
          <w:szCs w:val="24"/>
        </w:rPr>
        <w:t>“</w:t>
      </w:r>
      <w:r w:rsidRPr="006F70A6">
        <w:rPr>
          <w:rFonts w:ascii="Times New Roman" w:eastAsia="Times New Roman" w:hAnsi="Times New Roman"/>
          <w:sz w:val="24"/>
          <w:szCs w:val="24"/>
        </w:rPr>
        <w:t>Bad things happen in the world. In a world of accountability, everybody likes to point fingers and sit in judgment. The real world is a different place than the comfort of an office sitting behind a computer. Fault by which humans can be held legally liable does not always flow from bad things happening in the real world. While Mr. Freeman's death is tragic, an even greater tragedy is pinning blame (gross negligence/willful misconduct) on EMS techs doing a difficult job under trying circumstances. Those of us fortunate to sit in the relative comfort and safety of offices on our computers using big fancy words like gross negligence, should keep in mind, as we are tasked with determining legal liability for folks in the real world, that tragic results are not always avoidable and don't always equate with the high bar of gross negligence.</w:t>
      </w:r>
      <w:r>
        <w:rPr>
          <w:rFonts w:ascii="Times New Roman" w:eastAsia="Times New Roman" w:hAnsi="Times New Roman"/>
          <w:sz w:val="24"/>
          <w:szCs w:val="24"/>
        </w:rPr>
        <w:t xml:space="preserve">” </w:t>
      </w:r>
      <w:r>
        <w:t xml:space="preserve"> </w:t>
      </w:r>
      <w:hyperlink r:id="rId2282" w:history="1">
        <w:r w:rsidRPr="00A7079D">
          <w:rPr>
            <w:rStyle w:val="Hyperlink"/>
            <w:rFonts w:eastAsiaTheme="majorEastAsia"/>
          </w:rPr>
          <w:t>https://law.justia.com/cases/michigan/court-of-appeals-unpublished/2022/357887.html</w:t>
        </w:r>
      </w:hyperlink>
      <w:r>
        <w:t xml:space="preserve"> </w:t>
      </w:r>
    </w:p>
    <w:p w14:paraId="453249F9" w14:textId="77777777" w:rsidR="00804F3A" w:rsidRPr="00815A5D" w:rsidRDefault="00804F3A" w:rsidP="00804F3A">
      <w:pPr>
        <w:pStyle w:val="NormalWeb"/>
        <w:rPr>
          <w:b/>
          <w:bCs/>
        </w:rPr>
      </w:pPr>
      <w:r w:rsidRPr="00815A5D">
        <w:rPr>
          <w:b/>
          <w:bCs/>
        </w:rPr>
        <w:t>Legal Lesson Learned:</w:t>
      </w:r>
      <w:r>
        <w:rPr>
          <w:b/>
          <w:bCs/>
        </w:rPr>
        <w:t xml:space="preserve"> Use the Refusal Form or document why patient would not sign; reduce risk of litigation. </w:t>
      </w:r>
    </w:p>
    <w:p w14:paraId="6B9FF302" w14:textId="77777777" w:rsidR="00804F3A" w:rsidRDefault="00804F3A" w:rsidP="002B1283">
      <w:pPr>
        <w:rPr>
          <w:rFonts w:ascii="Arial Black" w:hAnsi="Arial Black"/>
          <w:b/>
          <w:bCs/>
          <w:sz w:val="28"/>
          <w:szCs w:val="28"/>
        </w:rPr>
      </w:pPr>
    </w:p>
    <w:p w14:paraId="4D45F257" w14:textId="77777777" w:rsidR="00804F3A" w:rsidRDefault="00804F3A" w:rsidP="002B1283">
      <w:pPr>
        <w:rPr>
          <w:rFonts w:ascii="Arial Black" w:hAnsi="Arial Black"/>
          <w:b/>
          <w:bCs/>
          <w:sz w:val="28"/>
          <w:szCs w:val="28"/>
        </w:rPr>
      </w:pPr>
    </w:p>
    <w:p w14:paraId="3449B5A5" w14:textId="691BBA37" w:rsidR="00AC5FED" w:rsidRDefault="00755E16" w:rsidP="002B1283">
      <w:pPr>
        <w:rPr>
          <w:rFonts w:ascii="Arial Black" w:hAnsi="Arial Black"/>
          <w:b/>
          <w:bCs/>
          <w:sz w:val="28"/>
          <w:szCs w:val="28"/>
        </w:rPr>
      </w:pPr>
      <w:r>
        <w:rPr>
          <w:rFonts w:ascii="Arial Black" w:hAnsi="Arial Black"/>
          <w:b/>
          <w:bCs/>
          <w:sz w:val="28"/>
          <w:szCs w:val="28"/>
        </w:rPr>
        <w:t>13-126</w:t>
      </w:r>
    </w:p>
    <w:p w14:paraId="3B78DAF4" w14:textId="77777777" w:rsidR="00755E16" w:rsidRDefault="00755E16" w:rsidP="00755E16">
      <w:pPr>
        <w:pStyle w:val="NormalWeb"/>
        <w:rPr>
          <w:rFonts w:ascii="Arial Black" w:hAnsi="Arial Black"/>
          <w:sz w:val="28"/>
          <w:szCs w:val="28"/>
        </w:rPr>
      </w:pPr>
      <w:bookmarkStart w:id="439" w:name="_Hlk115616390"/>
      <w:r>
        <w:rPr>
          <w:rFonts w:ascii="Arial Black" w:hAnsi="Arial Black"/>
          <w:sz w:val="28"/>
          <w:szCs w:val="28"/>
        </w:rPr>
        <w:t>CA: MENTAL PATIENT JUMPS OUT MOVING AMBUL. - NO SHOULDER HARNESS, DOORS UNLOCKED – CASE PROCEED</w:t>
      </w:r>
    </w:p>
    <w:p w14:paraId="267487CD" w14:textId="77777777" w:rsidR="00755E16" w:rsidRDefault="00755E16" w:rsidP="00755E16">
      <w:pPr>
        <w:pStyle w:val="NormalWeb"/>
      </w:pPr>
      <w:r>
        <w:t xml:space="preserve">On Sept. 29, 2022, in </w:t>
      </w:r>
      <w:r>
        <w:rPr>
          <w:u w:val="single"/>
        </w:rPr>
        <w:t>T.L., a Minor v. City Ambulance of Eureka, Inc</w:t>
      </w:r>
      <w:r>
        <w:t xml:space="preserve">., the California Court of Appeals, First District (First Division), held (3 to 0) that the trial court should not have granted summary judgment to the ambulance company and two EMS; lawsuit to proceed.   </w:t>
      </w:r>
    </w:p>
    <w:p w14:paraId="5F8A900C" w14:textId="77777777" w:rsidR="00755E16" w:rsidRDefault="00755E16" w:rsidP="00755E16">
      <w:pPr>
        <w:pStyle w:val="NormalWeb"/>
        <w:ind w:left="720"/>
      </w:pPr>
      <w:r>
        <w:t xml:space="preserve">“In short, as plaintiff has argued the case on appeal, and in light of the record on appeal, the only claims plaintiff has advanced that have any conceivable traction are that the gurney should have had shoulder harnesses which should have been used, and the rear door of the ambulance should have been locked. As we have </w:t>
      </w:r>
      <w:proofErr w:type="gramStart"/>
      <w:r>
        <w:t>observed,</w:t>
      </w:r>
      <w:proofErr w:type="gramEnd"/>
      <w:r>
        <w:t xml:space="preserve"> whether these claims have any merit was not addressed by the summary judgment motion.” </w:t>
      </w:r>
      <w:hyperlink r:id="rId2283" w:history="1">
        <w:r>
          <w:rPr>
            <w:rStyle w:val="Hyperlink"/>
          </w:rPr>
          <w:t>https://law.justia.com/cases/california/court-of-appeal/2022/a162508.html</w:t>
        </w:r>
      </w:hyperlink>
      <w:r>
        <w:t xml:space="preserve"> </w:t>
      </w:r>
    </w:p>
    <w:bookmarkEnd w:id="439"/>
    <w:p w14:paraId="7733D457" w14:textId="77777777" w:rsidR="00755E16" w:rsidRDefault="00755E16" w:rsidP="00755E1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When transporting a psych patient, use shoulder harness and consider other restraints; lock back door of the ambulance.</w:t>
      </w:r>
    </w:p>
    <w:p w14:paraId="499243AA" w14:textId="77777777" w:rsidR="00755E16" w:rsidRDefault="00755E16" w:rsidP="002B1283">
      <w:pPr>
        <w:rPr>
          <w:rFonts w:ascii="Arial Black" w:hAnsi="Arial Black"/>
          <w:b/>
          <w:bCs/>
          <w:sz w:val="28"/>
          <w:szCs w:val="28"/>
        </w:rPr>
      </w:pPr>
    </w:p>
    <w:p w14:paraId="650E5CFC" w14:textId="77777777" w:rsidR="00755E16" w:rsidRDefault="00755E16" w:rsidP="002B1283">
      <w:pPr>
        <w:rPr>
          <w:rFonts w:ascii="Arial Black" w:hAnsi="Arial Black"/>
          <w:b/>
          <w:bCs/>
          <w:sz w:val="28"/>
          <w:szCs w:val="28"/>
        </w:rPr>
      </w:pPr>
    </w:p>
    <w:p w14:paraId="0CC4C99F" w14:textId="0B3AAD13" w:rsidR="00AC5FED" w:rsidRDefault="00AC5FED" w:rsidP="002B1283">
      <w:pPr>
        <w:rPr>
          <w:rFonts w:ascii="Arial Black" w:hAnsi="Arial Black"/>
          <w:b/>
          <w:bCs/>
          <w:sz w:val="28"/>
          <w:szCs w:val="28"/>
        </w:rPr>
      </w:pPr>
      <w:r>
        <w:rPr>
          <w:rFonts w:ascii="Arial Black" w:hAnsi="Arial Black"/>
          <w:b/>
          <w:bCs/>
          <w:sz w:val="28"/>
          <w:szCs w:val="28"/>
        </w:rPr>
        <w:t>13-125</w:t>
      </w:r>
    </w:p>
    <w:p w14:paraId="48D95C3E"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GA:  EMS CALLED BY PD – DEFENDANT FOAMING MOUTH, UNRESPONSIVE – NO TRANSPORT / DIED – CASE PROCEED</w:t>
      </w:r>
    </w:p>
    <w:p w14:paraId="55B4A0D8" w14:textId="77777777" w:rsidR="00755E16" w:rsidRDefault="00755E16" w:rsidP="00755E16">
      <w:pPr>
        <w:pStyle w:val="NormalWeb"/>
      </w:pPr>
      <w:r>
        <w:t xml:space="preserve">On Sept. 27, 2022, in </w:t>
      </w:r>
      <w:r>
        <w:rPr>
          <w:u w:val="single"/>
        </w:rPr>
        <w:t>Anthony Wilson, Kimberly Wilson, the parents of Martez Wilson,  et al. v. EMT Sean Flack; Brian Porterfield, Paramedic; City of Douglasville, GA, et al</w:t>
      </w:r>
      <w:r>
        <w:t>., the U.S. Court of Appeals for the 11</w:t>
      </w:r>
      <w:r>
        <w:rPr>
          <w:vertAlign w:val="superscript"/>
        </w:rPr>
        <w:t>th</w:t>
      </w:r>
      <w:r>
        <w:t xml:space="preserve"> Circuit (Atlanta), held (3 to 0)(unpublished decision) that the lawsuit shall be reinstated against the two EMS personnel. </w:t>
      </w:r>
    </w:p>
    <w:p w14:paraId="0D8B7502" w14:textId="77777777" w:rsidR="00755E16" w:rsidRDefault="00755E16" w:rsidP="00755E16">
      <w:pPr>
        <w:pStyle w:val="NormalWeb"/>
        <w:ind w:left="720"/>
      </w:pPr>
      <w:r>
        <w:t xml:space="preserve">“It is undisputed that Defendants conducted a medical assessment of Wilson when they were called to the scene of his arrest. Specifically, they felt Wilson's skin, visually assessed his breathing by watching his chest movements, and used a ZOLL monitor to determine his pulse and oxygen levels. Based on their assessment, Defendants determined that no further assessment or treatment of Wilson was necessary. As discussed above, a jury might reasonably infer that this determination was so reckless that it amounted to a deliberate indifference to Wilson's obvious medical needs, particularly given the additional information Defendants received at the end of their assessment that Wilson was foaming at the mouth.” </w:t>
      </w:r>
      <w:hyperlink r:id="rId2284" w:history="1">
        <w:r>
          <w:rPr>
            <w:rStyle w:val="Hyperlink"/>
          </w:rPr>
          <w:t>https://media.ca11.uscourts.gov/opinions/unpub/files/201914294.pdf</w:t>
        </w:r>
      </w:hyperlink>
      <w:r>
        <w:t xml:space="preserve"> </w:t>
      </w:r>
    </w:p>
    <w:p w14:paraId="4CDB86C7" w14:textId="77777777" w:rsidR="00755E16" w:rsidRDefault="00755E16" w:rsidP="00755E16">
      <w:pPr>
        <w:pStyle w:val="NormalWeb"/>
        <w:rPr>
          <w:b/>
          <w:bCs/>
        </w:rPr>
      </w:pPr>
      <w:r>
        <w:rPr>
          <w:b/>
          <w:bCs/>
        </w:rPr>
        <w:t xml:space="preserve">Legal Lesson Learned: If a patient is unresponsive, transport to a hospital. </w:t>
      </w:r>
    </w:p>
    <w:p w14:paraId="5138533C" w14:textId="77777777" w:rsidR="00AC5FED" w:rsidRDefault="00AC5FED" w:rsidP="002B1283">
      <w:pPr>
        <w:rPr>
          <w:rFonts w:ascii="Arial Black" w:hAnsi="Arial Black"/>
          <w:b/>
          <w:bCs/>
          <w:sz w:val="28"/>
          <w:szCs w:val="28"/>
        </w:rPr>
      </w:pPr>
    </w:p>
    <w:p w14:paraId="274F08B9" w14:textId="77777777" w:rsidR="00AC5FED" w:rsidRDefault="00AC5FED" w:rsidP="002B1283">
      <w:pPr>
        <w:rPr>
          <w:rFonts w:ascii="Arial Black" w:hAnsi="Arial Black"/>
          <w:b/>
          <w:bCs/>
          <w:sz w:val="28"/>
          <w:szCs w:val="28"/>
        </w:rPr>
      </w:pPr>
    </w:p>
    <w:p w14:paraId="11CC5DEF" w14:textId="74777EF9" w:rsidR="00AC5FED" w:rsidRDefault="00AC5FED" w:rsidP="002B1283">
      <w:pPr>
        <w:rPr>
          <w:rFonts w:ascii="Arial Black" w:hAnsi="Arial Black"/>
          <w:b/>
          <w:bCs/>
          <w:sz w:val="28"/>
          <w:szCs w:val="28"/>
        </w:rPr>
      </w:pPr>
      <w:r>
        <w:rPr>
          <w:rFonts w:ascii="Arial Black" w:hAnsi="Arial Black"/>
          <w:b/>
          <w:bCs/>
          <w:sz w:val="28"/>
          <w:szCs w:val="28"/>
        </w:rPr>
        <w:t>13-124</w:t>
      </w:r>
    </w:p>
    <w:p w14:paraId="0FB6D7C4"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AR: WHEELCHAIR PATIENT – ASKED NOT USE SHOULDER HARNESS – FELL OUT, LATER DIED - 75% LIABILITY</w:t>
      </w:r>
    </w:p>
    <w:p w14:paraId="74802F79" w14:textId="77777777" w:rsidR="00AC5FED" w:rsidRPr="00AC5FED" w:rsidRDefault="00AC5FED" w:rsidP="00AC5FED">
      <w:pPr>
        <w:pStyle w:val="NormalWeb"/>
      </w:pPr>
      <w:r w:rsidRPr="00AC5FED">
        <w:t xml:space="preserve">On Sept. 16, 2022, in </w:t>
      </w:r>
      <w:r w:rsidRPr="00AC5FED">
        <w:rPr>
          <w:u w:val="single"/>
        </w:rPr>
        <w:t>Clementine Thomas v. United States of America</w:t>
      </w:r>
      <w:r w:rsidRPr="00AC5FED">
        <w:t xml:space="preserve">, U.S. District Court Judge Dominie W. Lanza, U.S. District of Arizona, held that the Federal government, which had contracted with private ambulance company, is 75% liable in damages, not 100% since the patient was 25% at fault. </w:t>
      </w:r>
    </w:p>
    <w:p w14:paraId="54525857" w14:textId="74AA3AC7" w:rsidR="00AC5FED" w:rsidRPr="00AC5FED" w:rsidRDefault="00AC5FED" w:rsidP="00AC5FED">
      <w:pPr>
        <w:ind w:left="720"/>
        <w:rPr>
          <w:rFonts w:ascii="Times New Roman" w:hAnsi="Times New Roman"/>
          <w:b/>
          <w:bCs/>
          <w:sz w:val="24"/>
          <w:szCs w:val="24"/>
        </w:rPr>
      </w:pPr>
      <w:r w:rsidRPr="00AC5FED">
        <w:rPr>
          <w:rFonts w:ascii="Times New Roman" w:hAnsi="Times New Roman"/>
          <w:sz w:val="24"/>
          <w:szCs w:val="24"/>
        </w:rPr>
        <w:t xml:space="preserve">“Here, [Veronica] Stevens bears 25% of the fault </w:t>
      </w:r>
      <w:proofErr w:type="gramStart"/>
      <w:r w:rsidRPr="00AC5FED">
        <w:rPr>
          <w:rFonts w:ascii="Times New Roman" w:hAnsi="Times New Roman"/>
          <w:sz w:val="24"/>
          <w:szCs w:val="24"/>
        </w:rPr>
        <w:t>in light of the fact that</w:t>
      </w:r>
      <w:proofErr w:type="gramEnd"/>
      <w:r w:rsidRPr="00AC5FED">
        <w:rPr>
          <w:rFonts w:ascii="Times New Roman" w:hAnsi="Times New Roman"/>
          <w:sz w:val="24"/>
          <w:szCs w:val="24"/>
        </w:rPr>
        <w:t xml:space="preserve"> Parker failed to secure the shoulder belt at her request. None of the other passengers in the van suffered injury from the braking incident, which suggests that if Stevens had simply allowed Parker to belt her into place (as had been his practice until she instructed him to stop), she would have avoided injury, </w:t>
      </w:r>
      <w:proofErr w:type="gramStart"/>
      <w:r w:rsidRPr="00AC5FED">
        <w:rPr>
          <w:rFonts w:ascii="Times New Roman" w:hAnsi="Times New Roman"/>
          <w:sz w:val="24"/>
          <w:szCs w:val="24"/>
        </w:rPr>
        <w:t>too.”</w:t>
      </w:r>
      <w:proofErr w:type="gramEnd"/>
      <w:r w:rsidRPr="00AC5FED">
        <w:rPr>
          <w:rFonts w:ascii="Times New Roman" w:hAnsi="Times New Roman"/>
          <w:sz w:val="24"/>
          <w:szCs w:val="24"/>
        </w:rPr>
        <w:t xml:space="preserve"> </w:t>
      </w:r>
      <w:hyperlink r:id="rId2285" w:history="1">
        <w:r w:rsidRPr="00AC5FED">
          <w:rPr>
            <w:rStyle w:val="Hyperlink"/>
            <w:rFonts w:ascii="Times New Roman" w:hAnsi="Times New Roman"/>
            <w:sz w:val="24"/>
            <w:szCs w:val="24"/>
          </w:rPr>
          <w:t>https://public.fastcase.com/J%2FJP6pdidelsXxEE4k%2BLMs47M8bX1jWCTU1t0SYWR19Iu9IUPatjWgRJl3RKX2DrLTQazC1ae%2FBWEsyi8L93eaS1AKPtR90SvCK0pYsfZI4%3D</w:t>
        </w:r>
      </w:hyperlink>
    </w:p>
    <w:p w14:paraId="32A8DB4C" w14:textId="77777777" w:rsidR="00AC5FED" w:rsidRDefault="00AC5FED" w:rsidP="00AC5FED">
      <w:pPr>
        <w:pStyle w:val="NormalWeb"/>
        <w:rPr>
          <w:b/>
          <w:bCs/>
        </w:rPr>
      </w:pPr>
      <w:r>
        <w:rPr>
          <w:b/>
          <w:bCs/>
        </w:rPr>
        <w:t xml:space="preserve">Legal Lesson Learned: When transporting </w:t>
      </w:r>
      <w:proofErr w:type="gramStart"/>
      <w:r>
        <w:rPr>
          <w:b/>
          <w:bCs/>
        </w:rPr>
        <w:t>patient</w:t>
      </w:r>
      <w:proofErr w:type="gramEnd"/>
      <w:r>
        <w:rPr>
          <w:b/>
          <w:bCs/>
        </w:rPr>
        <w:t xml:space="preserve">, use all the seat and harness belts, even if </w:t>
      </w:r>
      <w:proofErr w:type="gramStart"/>
      <w:r>
        <w:rPr>
          <w:b/>
          <w:bCs/>
        </w:rPr>
        <w:t>patient</w:t>
      </w:r>
      <w:proofErr w:type="gramEnd"/>
      <w:r>
        <w:rPr>
          <w:b/>
          <w:bCs/>
        </w:rPr>
        <w:t xml:space="preserve"> </w:t>
      </w:r>
      <w:proofErr w:type="gramStart"/>
      <w:r>
        <w:rPr>
          <w:b/>
          <w:bCs/>
        </w:rPr>
        <w:t>requests</w:t>
      </w:r>
      <w:proofErr w:type="gramEnd"/>
      <w:r>
        <w:rPr>
          <w:b/>
          <w:bCs/>
        </w:rPr>
        <w:t xml:space="preserve"> not use harness belts.  </w:t>
      </w:r>
    </w:p>
    <w:p w14:paraId="12AA5471" w14:textId="77777777" w:rsidR="00AC5FED" w:rsidRDefault="00AC5FED" w:rsidP="002B1283">
      <w:pPr>
        <w:rPr>
          <w:rFonts w:ascii="Arial Black" w:hAnsi="Arial Black"/>
          <w:b/>
          <w:bCs/>
          <w:sz w:val="28"/>
          <w:szCs w:val="28"/>
        </w:rPr>
      </w:pPr>
    </w:p>
    <w:p w14:paraId="70EFC0D9" w14:textId="2300735D" w:rsidR="00AC5FED" w:rsidRDefault="00AC5FED" w:rsidP="002B1283">
      <w:pPr>
        <w:rPr>
          <w:rFonts w:ascii="Arial Black" w:hAnsi="Arial Black"/>
          <w:b/>
          <w:bCs/>
          <w:sz w:val="28"/>
          <w:szCs w:val="28"/>
        </w:rPr>
      </w:pPr>
      <w:r>
        <w:rPr>
          <w:rFonts w:ascii="Arial Black" w:hAnsi="Arial Black"/>
          <w:b/>
          <w:bCs/>
          <w:sz w:val="28"/>
          <w:szCs w:val="28"/>
        </w:rPr>
        <w:t>13-123</w:t>
      </w:r>
    </w:p>
    <w:p w14:paraId="78CACB3C"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MD: PD ASSAULTED - DURING EMS TRANSPORT DEF. SAID “WENT FOR THAT WEAPON” – ADMISSIBLE IN CRIM. CASE</w:t>
      </w:r>
    </w:p>
    <w:p w14:paraId="16E3C1B9" w14:textId="77777777" w:rsidR="00AC5FED" w:rsidRDefault="00AC5FED" w:rsidP="00AC5FED">
      <w:pPr>
        <w:pStyle w:val="NormalWeb"/>
      </w:pPr>
      <w:r>
        <w:t xml:space="preserve">On Aug. 31, 2022, in </w:t>
      </w:r>
      <w:r>
        <w:rPr>
          <w:u w:val="single"/>
        </w:rPr>
        <w:t>Stanley C. Butler, Jr. v. State of Maryland</w:t>
      </w:r>
      <w:r>
        <w:t xml:space="preserve">, the Court of Appeal Appeals of Maryland held (3 to 0) that the defendant’s comments in the back of ambulance were admissible to the jury in his criminal trial for disarming a law-enforcement officer, assault on a law-enforcement officer, two counts of second-degree assault, and resisting arrest. </w:t>
      </w:r>
    </w:p>
    <w:p w14:paraId="3A8B92AD" w14:textId="77777777" w:rsidR="00AC5FED" w:rsidRDefault="00AC5FED" w:rsidP="00AC5FED">
      <w:pPr>
        <w:pStyle w:val="NormalWeb"/>
        <w:ind w:left="720"/>
      </w:pPr>
      <w:r>
        <w:t xml:space="preserve">“We reach the same conclusion as the circuit court in holding that [EMT] English was not a </w:t>
      </w:r>
      <w:proofErr w:type="gramStart"/>
      <w:r>
        <w:t>State</w:t>
      </w:r>
      <w:proofErr w:type="gramEnd"/>
      <w:r>
        <w:t xml:space="preserve"> agent. *** The [trial] court reasoned that EMTs are ‘civilians, they are not commissioned police officers . . . They are independent,’ and that Officer Kilgore did not ask Butler any questions or direct English to ask Butler any questions. </w:t>
      </w:r>
      <w:hyperlink r:id="rId2286" w:history="1">
        <w:r w:rsidRPr="0078619C">
          <w:rPr>
            <w:rStyle w:val="Hyperlink"/>
          </w:rPr>
          <w:t>https://mdcourts.gov/data/opinions/cosa/2022/1037s21.pdf</w:t>
        </w:r>
      </w:hyperlink>
      <w:r>
        <w:t xml:space="preserve"> </w:t>
      </w:r>
    </w:p>
    <w:p w14:paraId="4A0A030E" w14:textId="77777777" w:rsidR="00AC5FED" w:rsidRDefault="00AC5FED" w:rsidP="00AC5FED">
      <w:pPr>
        <w:pStyle w:val="NormalWeb"/>
        <w:rPr>
          <w:b/>
          <w:bCs/>
        </w:rPr>
      </w:pPr>
      <w:r>
        <w:rPr>
          <w:b/>
          <w:bCs/>
        </w:rPr>
        <w:t xml:space="preserve">Legal Lesson Learned: EMS may ask patient [defendant] questions related to his medical condition during transport with police on board; spontaneous confessions are generally admissible in criminal </w:t>
      </w:r>
      <w:proofErr w:type="gramStart"/>
      <w:r>
        <w:rPr>
          <w:b/>
          <w:bCs/>
        </w:rPr>
        <w:t>case</w:t>
      </w:r>
      <w:proofErr w:type="gramEnd"/>
      <w:r>
        <w:rPr>
          <w:b/>
          <w:bCs/>
        </w:rPr>
        <w:t xml:space="preserve">. </w:t>
      </w:r>
    </w:p>
    <w:p w14:paraId="63567E1D" w14:textId="77777777" w:rsidR="00AC5FED" w:rsidRDefault="00AC5FED" w:rsidP="002B1283">
      <w:pPr>
        <w:rPr>
          <w:rFonts w:ascii="Arial Black" w:hAnsi="Arial Black"/>
          <w:b/>
          <w:bCs/>
          <w:sz w:val="28"/>
          <w:szCs w:val="28"/>
        </w:rPr>
      </w:pPr>
    </w:p>
    <w:p w14:paraId="26791CDE" w14:textId="77777777" w:rsidR="00AC5FED" w:rsidRDefault="00AC5FED" w:rsidP="002B1283">
      <w:pPr>
        <w:rPr>
          <w:rFonts w:ascii="Arial Black" w:hAnsi="Arial Black"/>
          <w:b/>
          <w:bCs/>
          <w:sz w:val="28"/>
          <w:szCs w:val="28"/>
        </w:rPr>
      </w:pPr>
    </w:p>
    <w:p w14:paraId="43D22E55" w14:textId="38C63201" w:rsidR="006E70F8" w:rsidRDefault="006E70F8" w:rsidP="002B1283">
      <w:pPr>
        <w:rPr>
          <w:rFonts w:ascii="Arial Black" w:hAnsi="Arial Black"/>
          <w:b/>
          <w:bCs/>
          <w:sz w:val="28"/>
          <w:szCs w:val="28"/>
        </w:rPr>
      </w:pPr>
      <w:r>
        <w:rPr>
          <w:rFonts w:ascii="Arial Black" w:hAnsi="Arial Black"/>
          <w:b/>
          <w:bCs/>
          <w:sz w:val="28"/>
          <w:szCs w:val="28"/>
        </w:rPr>
        <w:t>13-122</w:t>
      </w:r>
    </w:p>
    <w:p w14:paraId="4DB3CA91" w14:textId="77777777" w:rsidR="006E70F8" w:rsidRDefault="006E70F8" w:rsidP="006E70F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WY: CAPTAIN FIRING UPHELD - FREQUENT 911 CALLER FOR LIFT ASSISTS – “KICK HER ASS” – PROVIDED DUE PROCESS</w:t>
      </w:r>
    </w:p>
    <w:p w14:paraId="056F03B5" w14:textId="66A63A04" w:rsidR="006E70F8" w:rsidRDefault="006E70F8" w:rsidP="006E70F8">
      <w:pPr>
        <w:spacing w:before="100" w:beforeAutospacing="1" w:after="100" w:afterAutospacing="1" w:line="240" w:lineRule="auto"/>
        <w:rPr>
          <w:rFonts w:ascii="Times New Roman" w:hAnsi="Times New Roman"/>
          <w:sz w:val="24"/>
          <w:szCs w:val="24"/>
        </w:rPr>
      </w:pPr>
      <w:bookmarkStart w:id="440" w:name="_Hlk112724120"/>
      <w:r w:rsidRPr="007E4B1C">
        <w:rPr>
          <w:rFonts w:ascii="Times New Roman" w:eastAsia="Times New Roman" w:hAnsi="Times New Roman"/>
          <w:sz w:val="24"/>
          <w:szCs w:val="24"/>
        </w:rPr>
        <w:t xml:space="preserve">On Aug. 24, 2022, in </w:t>
      </w:r>
      <w:r w:rsidRPr="007E4B1C">
        <w:rPr>
          <w:rFonts w:ascii="Times New Roman" w:eastAsia="Times New Roman" w:hAnsi="Times New Roman"/>
          <w:sz w:val="24"/>
          <w:szCs w:val="24"/>
          <w:u w:val="single"/>
        </w:rPr>
        <w:t>City of Rawlins v. Stephanie Schofield</w:t>
      </w:r>
      <w:r>
        <w:rPr>
          <w:rFonts w:ascii="Times New Roman" w:eastAsia="Times New Roman" w:hAnsi="Times New Roman"/>
          <w:sz w:val="24"/>
          <w:szCs w:val="24"/>
        </w:rPr>
        <w:t>, the Supreme Court of Wyoming held (5 to 0) that the trial court improperly overturned the Civil Service Commission</w:t>
      </w:r>
      <w:r w:rsidR="00B96B6D">
        <w:rPr>
          <w:rFonts w:ascii="Times New Roman" w:eastAsia="Times New Roman" w:hAnsi="Times New Roman"/>
          <w:sz w:val="24"/>
          <w:szCs w:val="24"/>
        </w:rPr>
        <w:t>; Supreme Court upheld the termination.</w:t>
      </w:r>
      <w:r>
        <w:rPr>
          <w:rFonts w:ascii="Times New Roman" w:eastAsia="Times New Roman" w:hAnsi="Times New Roman"/>
          <w:sz w:val="24"/>
          <w:szCs w:val="24"/>
        </w:rPr>
        <w:t xml:space="preserve">  Captain, while initially fired by the interim City Manager without </w:t>
      </w:r>
      <w:proofErr w:type="gramStart"/>
      <w:r>
        <w:rPr>
          <w:rFonts w:ascii="Times New Roman" w:eastAsia="Times New Roman" w:hAnsi="Times New Roman"/>
          <w:sz w:val="24"/>
          <w:szCs w:val="24"/>
        </w:rPr>
        <w:t>a hearing</w:t>
      </w:r>
      <w:proofErr w:type="gramEnd"/>
      <w:r>
        <w:rPr>
          <w:rFonts w:ascii="Times New Roman" w:eastAsia="Times New Roman" w:hAnsi="Times New Roman"/>
          <w:sz w:val="24"/>
          <w:szCs w:val="24"/>
        </w:rPr>
        <w:t>, was ultimately provided due process hearing by the Civil Service Commission. “</w:t>
      </w:r>
      <w:r w:rsidRPr="00E058A7">
        <w:rPr>
          <w:rFonts w:ascii="Times New Roman" w:hAnsi="Times New Roman"/>
          <w:sz w:val="24"/>
          <w:szCs w:val="24"/>
        </w:rPr>
        <w:t xml:space="preserve">The City's rescission of its original termination letter and reinstatement of Ms. Schofield with back pay rendered the initial due process violations moot. The City's June 8, </w:t>
      </w:r>
      <w:proofErr w:type="gramStart"/>
      <w:r w:rsidRPr="00E058A7">
        <w:rPr>
          <w:rFonts w:ascii="Times New Roman" w:hAnsi="Times New Roman"/>
          <w:sz w:val="24"/>
          <w:szCs w:val="24"/>
        </w:rPr>
        <w:t>2020</w:t>
      </w:r>
      <w:proofErr w:type="gramEnd"/>
      <w:r w:rsidRPr="00E058A7">
        <w:rPr>
          <w:rFonts w:ascii="Times New Roman" w:hAnsi="Times New Roman"/>
          <w:sz w:val="24"/>
          <w:szCs w:val="24"/>
        </w:rPr>
        <w:t xml:space="preserve"> notice of request for termination provided Ms. Schofield notice of the reasons it relied on in requesting her termination. The contested case hearing provided Ms. </w:t>
      </w:r>
      <w:proofErr w:type="gramStart"/>
      <w:r w:rsidRPr="00E058A7">
        <w:rPr>
          <w:rFonts w:ascii="Times New Roman" w:hAnsi="Times New Roman"/>
          <w:sz w:val="24"/>
          <w:szCs w:val="24"/>
        </w:rPr>
        <w:t>Schofield</w:t>
      </w:r>
      <w:proofErr w:type="gramEnd"/>
      <w:r w:rsidRPr="00E058A7">
        <w:rPr>
          <w:rFonts w:ascii="Times New Roman" w:hAnsi="Times New Roman"/>
          <w:sz w:val="24"/>
          <w:szCs w:val="24"/>
        </w:rPr>
        <w:t xml:space="preserve"> a full and fair opportunity to respond to the reasons underlying the request that her employment be terminated. The Commission's Findings of Fact, Conclusions of Law and Order was supported by substantial evidence and was not arbitrary and capricious, or otherwise not in accordance with law. We reverse the decision of the district court and affirm the Commission's order.</w:t>
      </w:r>
      <w:r>
        <w:rPr>
          <w:rFonts w:ascii="Times New Roman" w:hAnsi="Times New Roman"/>
          <w:sz w:val="24"/>
          <w:szCs w:val="24"/>
        </w:rPr>
        <w:t xml:space="preserve">”  </w:t>
      </w:r>
      <w:r>
        <w:rPr>
          <w:rFonts w:ascii="Times New Roman" w:eastAsia="Times New Roman" w:hAnsi="Times New Roman"/>
          <w:sz w:val="24"/>
          <w:szCs w:val="24"/>
        </w:rPr>
        <w:t xml:space="preserve"> </w:t>
      </w:r>
      <w:hyperlink r:id="rId2287" w:history="1">
        <w:r w:rsidRPr="00301464">
          <w:rPr>
            <w:rStyle w:val="Hyperlink"/>
            <w:rFonts w:ascii="Times New Roman" w:hAnsi="Times New Roman"/>
          </w:rPr>
          <w:t>https://law.justia.com/cases/wyoming/supreme-court/2022/s-21-0278.html</w:t>
        </w:r>
      </w:hyperlink>
      <w:r>
        <w:rPr>
          <w:rFonts w:ascii="Times New Roman" w:hAnsi="Times New Roman"/>
          <w:sz w:val="24"/>
          <w:szCs w:val="24"/>
        </w:rPr>
        <w:t xml:space="preserve"> </w:t>
      </w:r>
    </w:p>
    <w:bookmarkEnd w:id="440"/>
    <w:p w14:paraId="4C25FA77" w14:textId="77777777" w:rsidR="00B96B6D" w:rsidRPr="008F6CF7" w:rsidRDefault="00B96B6D" w:rsidP="00B96B6D">
      <w:pPr>
        <w:spacing w:before="100" w:beforeAutospacing="1" w:after="100" w:afterAutospacing="1" w:line="240" w:lineRule="auto"/>
        <w:rPr>
          <w:rFonts w:ascii="Times New Roman" w:hAnsi="Times New Roman"/>
          <w:b/>
          <w:bCs/>
          <w:sz w:val="24"/>
          <w:szCs w:val="24"/>
        </w:rPr>
      </w:pPr>
      <w:r w:rsidRPr="008F6CF7">
        <w:rPr>
          <w:rFonts w:ascii="Times New Roman" w:hAnsi="Times New Roman"/>
          <w:b/>
          <w:bCs/>
          <w:sz w:val="24"/>
          <w:szCs w:val="24"/>
        </w:rPr>
        <w:t>Legal Lesson Learned:</w:t>
      </w:r>
      <w:r>
        <w:rPr>
          <w:rFonts w:ascii="Times New Roman" w:hAnsi="Times New Roman"/>
          <w:b/>
          <w:bCs/>
          <w:sz w:val="24"/>
          <w:szCs w:val="24"/>
        </w:rPr>
        <w:t xml:space="preserve"> The City corrected its initial mistake of terminating the </w:t>
      </w:r>
      <w:proofErr w:type="gramStart"/>
      <w:r>
        <w:rPr>
          <w:rFonts w:ascii="Times New Roman" w:hAnsi="Times New Roman"/>
          <w:b/>
          <w:bCs/>
          <w:sz w:val="24"/>
          <w:szCs w:val="24"/>
        </w:rPr>
        <w:t>Captain</w:t>
      </w:r>
      <w:proofErr w:type="gramEnd"/>
      <w:r>
        <w:rPr>
          <w:rFonts w:ascii="Times New Roman" w:hAnsi="Times New Roman"/>
          <w:b/>
          <w:bCs/>
          <w:sz w:val="24"/>
          <w:szCs w:val="24"/>
        </w:rPr>
        <w:t xml:space="preserve"> without </w:t>
      </w:r>
      <w:proofErr w:type="gramStart"/>
      <w:r>
        <w:rPr>
          <w:rFonts w:ascii="Times New Roman" w:hAnsi="Times New Roman"/>
          <w:b/>
          <w:bCs/>
          <w:sz w:val="24"/>
          <w:szCs w:val="24"/>
        </w:rPr>
        <w:t>a due</w:t>
      </w:r>
      <w:proofErr w:type="gramEnd"/>
      <w:r>
        <w:rPr>
          <w:rFonts w:ascii="Times New Roman" w:hAnsi="Times New Roman"/>
          <w:b/>
          <w:bCs/>
          <w:sz w:val="24"/>
          <w:szCs w:val="24"/>
        </w:rPr>
        <w:t xml:space="preserve"> process hearing; wisely then provided hearing before the Civil Service Commission.</w:t>
      </w:r>
    </w:p>
    <w:p w14:paraId="2CCE1DE6" w14:textId="77777777" w:rsidR="006E70F8" w:rsidRDefault="006E70F8" w:rsidP="002B1283">
      <w:pPr>
        <w:rPr>
          <w:rFonts w:ascii="Arial Black" w:hAnsi="Arial Black"/>
          <w:b/>
          <w:bCs/>
          <w:sz w:val="28"/>
          <w:szCs w:val="28"/>
        </w:rPr>
      </w:pPr>
    </w:p>
    <w:p w14:paraId="7F940AEA" w14:textId="77777777" w:rsidR="006E70F8" w:rsidRDefault="006E70F8" w:rsidP="002B1283">
      <w:pPr>
        <w:rPr>
          <w:rFonts w:ascii="Arial Black" w:hAnsi="Arial Black"/>
          <w:b/>
          <w:bCs/>
          <w:sz w:val="28"/>
          <w:szCs w:val="28"/>
        </w:rPr>
      </w:pPr>
    </w:p>
    <w:p w14:paraId="7938F716" w14:textId="7148593A" w:rsidR="00282AF3" w:rsidRDefault="006E70F8" w:rsidP="002B1283">
      <w:pPr>
        <w:rPr>
          <w:rFonts w:ascii="Arial Black" w:hAnsi="Arial Black"/>
          <w:b/>
          <w:bCs/>
          <w:sz w:val="28"/>
          <w:szCs w:val="28"/>
        </w:rPr>
      </w:pPr>
      <w:r>
        <w:rPr>
          <w:rFonts w:ascii="Arial Black" w:hAnsi="Arial Black"/>
          <w:b/>
          <w:bCs/>
          <w:sz w:val="28"/>
          <w:szCs w:val="28"/>
        </w:rPr>
        <w:t>13-121</w:t>
      </w:r>
    </w:p>
    <w:p w14:paraId="3E4C331A" w14:textId="77777777" w:rsidR="006E70F8" w:rsidRPr="00757ECB" w:rsidRDefault="006E70F8" w:rsidP="006E70F8">
      <w:pPr>
        <w:spacing w:before="100" w:beforeAutospacing="1" w:after="100" w:afterAutospacing="1" w:line="240" w:lineRule="auto"/>
        <w:rPr>
          <w:rFonts w:ascii="Arial Black" w:hAnsi="Arial Black"/>
          <w:sz w:val="28"/>
          <w:szCs w:val="28"/>
        </w:rPr>
      </w:pPr>
      <w:bookmarkStart w:id="441" w:name="_Hlk112723764"/>
      <w:r>
        <w:rPr>
          <w:rFonts w:ascii="Arial Black" w:hAnsi="Arial Black"/>
          <w:sz w:val="28"/>
          <w:szCs w:val="28"/>
        </w:rPr>
        <w:t>TX: STRETCHER - 94-YR-OLD PATIENT - FELL ONTO SLOPED DRIVEWAY - HEAD INJURY, DIED 8 DAYS – GOV. IMMUNITY</w:t>
      </w:r>
    </w:p>
    <w:p w14:paraId="0C514DA1" w14:textId="77777777" w:rsidR="006E70F8" w:rsidRDefault="006E70F8" w:rsidP="006E70F8">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Aug. 23, 2022, in </w:t>
      </w:r>
      <w:r w:rsidRPr="00D72934">
        <w:rPr>
          <w:rFonts w:ascii="Times New Roman" w:eastAsia="Times New Roman" w:hAnsi="Times New Roman"/>
          <w:sz w:val="24"/>
          <w:szCs w:val="24"/>
          <w:u w:val="single"/>
        </w:rPr>
        <w:t>City of Houston v. Kathy Denby</w:t>
      </w:r>
      <w:r>
        <w:rPr>
          <w:rFonts w:ascii="Times New Roman" w:eastAsia="Times New Roman" w:hAnsi="Times New Roman"/>
          <w:sz w:val="24"/>
          <w:szCs w:val="24"/>
        </w:rPr>
        <w:t xml:space="preserve">, Court of Appeals of Texas, First District, held (3 to 0) that the trial judge’s decision denying the City’s motion for summary judgment is reversed; </w:t>
      </w:r>
      <w:r w:rsidRPr="002F4B1C">
        <w:rPr>
          <w:rFonts w:ascii="Times New Roman" w:eastAsia="Times New Roman" w:hAnsi="Times New Roman"/>
          <w:sz w:val="24"/>
          <w:szCs w:val="24"/>
        </w:rPr>
        <w:t xml:space="preserve">the City </w:t>
      </w:r>
      <w:r w:rsidRPr="002F4B1C">
        <w:rPr>
          <w:rFonts w:ascii="Times New Roman" w:hAnsi="Times New Roman"/>
          <w:sz w:val="24"/>
          <w:szCs w:val="24"/>
        </w:rPr>
        <w:t>“here retains its immunity under the 9-1-1 Emergency Services exception to the TTCA [Texas Tort Claims Act.</w:t>
      </w:r>
      <w:r>
        <w:rPr>
          <w:rFonts w:ascii="Times New Roman" w:hAnsi="Times New Roman"/>
          <w:sz w:val="24"/>
          <w:szCs w:val="24"/>
        </w:rPr>
        <w:t xml:space="preserve"> *** </w:t>
      </w:r>
      <w:r w:rsidRPr="007D078B">
        <w:rPr>
          <w:rFonts w:ascii="Times New Roman" w:hAnsi="Times New Roman"/>
          <w:sz w:val="24"/>
          <w:szCs w:val="24"/>
        </w:rPr>
        <w:t>Moreover, even if we concluded that the EMTs acted in a way that breached the standard of ordinary care, we could not say section 773.009 was violated."</w:t>
      </w:r>
      <w:r>
        <w:rPr>
          <w:rFonts w:ascii="Times New Roman" w:hAnsi="Times New Roman"/>
          <w:sz w:val="24"/>
          <w:szCs w:val="24"/>
        </w:rPr>
        <w:t xml:space="preserve"> </w:t>
      </w:r>
      <w:r w:rsidRPr="002F4B1C">
        <w:rPr>
          <w:rFonts w:ascii="Times New Roman" w:hAnsi="Times New Roman"/>
          <w:sz w:val="24"/>
          <w:szCs w:val="24"/>
        </w:rPr>
        <w:t xml:space="preserve"> </w:t>
      </w:r>
      <w:hyperlink r:id="rId2288" w:history="1">
        <w:r w:rsidRPr="002F4B1C">
          <w:rPr>
            <w:rStyle w:val="Hyperlink"/>
            <w:rFonts w:ascii="Times New Roman" w:hAnsi="Times New Roman"/>
          </w:rPr>
          <w:t>https://law.justia.com/cases/texas/first-court-of-appeals/2022/01-21-00422-cv.html</w:t>
        </w:r>
      </w:hyperlink>
    </w:p>
    <w:bookmarkEnd w:id="441"/>
    <w:p w14:paraId="32316C9D" w14:textId="77777777" w:rsidR="006E70F8" w:rsidRPr="0062341B" w:rsidRDefault="006E70F8" w:rsidP="006E70F8">
      <w:pPr>
        <w:spacing w:before="100" w:beforeAutospacing="1" w:after="100" w:afterAutospacing="1" w:line="240" w:lineRule="auto"/>
        <w:rPr>
          <w:rFonts w:ascii="Times New Roman" w:eastAsia="Times New Roman" w:hAnsi="Times New Roman"/>
          <w:b/>
          <w:bCs/>
          <w:sz w:val="24"/>
          <w:szCs w:val="24"/>
        </w:rPr>
      </w:pPr>
      <w:r w:rsidRPr="007D078B">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City is protected from liability by the immunity statute; EMS must use extreme care when moving a patient on a stretcher down a sloped driveway.  </w:t>
      </w:r>
    </w:p>
    <w:p w14:paraId="21E88F21" w14:textId="77777777" w:rsidR="006E70F8" w:rsidRDefault="006E70F8" w:rsidP="002B1283">
      <w:pPr>
        <w:rPr>
          <w:rFonts w:ascii="Arial Black" w:hAnsi="Arial Black"/>
          <w:b/>
          <w:bCs/>
          <w:sz w:val="28"/>
          <w:szCs w:val="28"/>
        </w:rPr>
      </w:pPr>
    </w:p>
    <w:p w14:paraId="5E8E0FCE" w14:textId="78E3534E" w:rsidR="00282AF3" w:rsidRDefault="00282AF3" w:rsidP="002B1283">
      <w:pPr>
        <w:rPr>
          <w:rFonts w:ascii="Arial Black" w:hAnsi="Arial Black"/>
          <w:b/>
          <w:bCs/>
          <w:sz w:val="28"/>
          <w:szCs w:val="28"/>
        </w:rPr>
      </w:pPr>
      <w:r>
        <w:rPr>
          <w:rFonts w:ascii="Arial Black" w:hAnsi="Arial Black"/>
          <w:b/>
          <w:bCs/>
          <w:sz w:val="28"/>
          <w:szCs w:val="28"/>
        </w:rPr>
        <w:t>13-120</w:t>
      </w:r>
    </w:p>
    <w:p w14:paraId="45AF80E7" w14:textId="77777777" w:rsidR="00282AF3" w:rsidRPr="00DF7237" w:rsidRDefault="00282AF3" w:rsidP="00282AF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FEMALE PATIENT – EMT ALLEGEDLY “STROKED HER RING UP AND DOWN” ASKED MARRIED – CASE DISMISSED</w:t>
      </w:r>
    </w:p>
    <w:p w14:paraId="78F0EE3D" w14:textId="77777777" w:rsidR="00282AF3" w:rsidRDefault="00282AF3" w:rsidP="00282AF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22, 2022, in </w:t>
      </w:r>
      <w:r w:rsidRPr="00A95147">
        <w:rPr>
          <w:rFonts w:ascii="Times New Roman" w:hAnsi="Times New Roman"/>
          <w:sz w:val="24"/>
          <w:szCs w:val="24"/>
          <w:u w:val="single"/>
        </w:rPr>
        <w:t xml:space="preserve">Myca Holloway v. Memphis Fire Department and </w:t>
      </w:r>
      <w:proofErr w:type="spellStart"/>
      <w:r w:rsidRPr="00A95147">
        <w:rPr>
          <w:rFonts w:ascii="Times New Roman" w:hAnsi="Times New Roman"/>
          <w:sz w:val="24"/>
          <w:szCs w:val="24"/>
          <w:u w:val="single"/>
        </w:rPr>
        <w:t>Roddi</w:t>
      </w:r>
      <w:proofErr w:type="spellEnd"/>
      <w:r w:rsidRPr="00A95147">
        <w:rPr>
          <w:rFonts w:ascii="Times New Roman" w:hAnsi="Times New Roman"/>
          <w:sz w:val="24"/>
          <w:szCs w:val="24"/>
          <w:u w:val="single"/>
        </w:rPr>
        <w:t xml:space="preserve"> Hugard</w:t>
      </w:r>
      <w:r>
        <w:rPr>
          <w:rFonts w:ascii="Times New Roman" w:hAnsi="Times New Roman"/>
          <w:sz w:val="24"/>
          <w:szCs w:val="24"/>
        </w:rPr>
        <w:t xml:space="preserve">, U.S. District Judge John T. Fowles, Jr., U.S. District Court for Western District of Tennessee [Western Division] held that lawsuit is dismissed with prejudice. </w:t>
      </w:r>
    </w:p>
    <w:p w14:paraId="4DF08F93" w14:textId="77777777" w:rsidR="00282AF3" w:rsidRDefault="00282AF3" w:rsidP="00282AF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9C356B">
        <w:rPr>
          <w:rFonts w:ascii="Times New Roman" w:eastAsia="Times New Roman" w:hAnsi="Times New Roman"/>
          <w:sz w:val="24"/>
          <w:szCs w:val="24"/>
        </w:rPr>
        <w:t xml:space="preserve">On December 27, 2021, the Magistrate Judge entered an order granting Plaintiff leave to proceed </w:t>
      </w:r>
      <w:r w:rsidRPr="009C356B">
        <w:rPr>
          <w:rFonts w:ascii="Times New Roman" w:eastAsia="Times New Roman" w:hAnsi="Times New Roman"/>
          <w:i/>
          <w:iCs/>
          <w:sz w:val="24"/>
          <w:szCs w:val="24"/>
        </w:rPr>
        <w:t>in forma pauperis</w:t>
      </w:r>
      <w:r w:rsidRPr="009C356B">
        <w:rPr>
          <w:rFonts w:ascii="Times New Roman" w:eastAsia="Times New Roman" w:hAnsi="Times New Roman"/>
          <w:sz w:val="24"/>
          <w:szCs w:val="24"/>
        </w:rPr>
        <w:t xml:space="preserve"> and a report and recommendation that the § 1983 action should be dismissed with prejudice for failure to state a claim for which relief may be granted</w:t>
      </w:r>
      <w:r>
        <w:rPr>
          <w:rFonts w:ascii="Times New Roman" w:eastAsia="Times New Roman" w:hAnsi="Times New Roman"/>
          <w:sz w:val="24"/>
          <w:szCs w:val="24"/>
        </w:rPr>
        <w:t xml:space="preserve">…. </w:t>
      </w:r>
      <w:r w:rsidRPr="009C356B">
        <w:rPr>
          <w:rFonts w:ascii="Times New Roman" w:eastAsia="Times New Roman" w:hAnsi="Times New Roman"/>
          <w:sz w:val="24"/>
          <w:szCs w:val="24"/>
        </w:rPr>
        <w:t xml:space="preserve">The Magistrate Judge noted that Holloway alleged that </w:t>
      </w:r>
      <w:proofErr w:type="spellStart"/>
      <w:r w:rsidRPr="009C356B">
        <w:rPr>
          <w:rFonts w:ascii="Times New Roman" w:eastAsia="Times New Roman" w:hAnsi="Times New Roman"/>
          <w:sz w:val="24"/>
          <w:szCs w:val="24"/>
        </w:rPr>
        <w:t>Hugard</w:t>
      </w:r>
      <w:proofErr w:type="spellEnd"/>
      <w:r w:rsidRPr="009C356B">
        <w:rPr>
          <w:rFonts w:ascii="Times New Roman" w:eastAsia="Times New Roman" w:hAnsi="Times New Roman"/>
          <w:sz w:val="24"/>
          <w:szCs w:val="24"/>
        </w:rPr>
        <w:t xml:space="preserve"> grabbed her left hand with his blue latex glove, stroked her ring up and down, and inquired about her marital status.</w:t>
      </w:r>
    </w:p>
    <w:p w14:paraId="20C0C628" w14:textId="77777777" w:rsidR="00282AF3" w:rsidRDefault="00282AF3" w:rsidP="00282AF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1E7EB883" w14:textId="77777777" w:rsidR="00282AF3" w:rsidRDefault="00282AF3" w:rsidP="00282AF3">
      <w:pPr>
        <w:spacing w:before="100" w:beforeAutospacing="1" w:after="100" w:afterAutospacing="1" w:line="240" w:lineRule="auto"/>
        <w:ind w:left="720"/>
        <w:rPr>
          <w:rFonts w:ascii="Times New Roman" w:hAnsi="Times New Roman"/>
          <w:sz w:val="24"/>
          <w:szCs w:val="24"/>
        </w:rPr>
      </w:pPr>
      <w:r w:rsidRPr="009C356B">
        <w:rPr>
          <w:rFonts w:ascii="Times New Roman" w:hAnsi="Times New Roman"/>
          <w:sz w:val="24"/>
          <w:szCs w:val="24"/>
        </w:rPr>
        <w:t xml:space="preserve">A plaintiff must allege (1) a deprivation of a right or rights secured by the Constitution and laws of the United States (2) that were committed by a defendant acting under color of state law. In the report and recommendation, the Magistrate Judge determined that Holloway specifically failed to state what actions were committed by the Memphis Fire Department or Firefighter </w:t>
      </w:r>
      <w:proofErr w:type="spellStart"/>
      <w:r w:rsidRPr="009C356B">
        <w:rPr>
          <w:rFonts w:ascii="Times New Roman" w:hAnsi="Times New Roman"/>
          <w:sz w:val="24"/>
          <w:szCs w:val="24"/>
        </w:rPr>
        <w:t>Roddi</w:t>
      </w:r>
      <w:proofErr w:type="spellEnd"/>
      <w:r w:rsidRPr="009C356B">
        <w:rPr>
          <w:rFonts w:ascii="Times New Roman" w:hAnsi="Times New Roman"/>
          <w:sz w:val="24"/>
          <w:szCs w:val="24"/>
        </w:rPr>
        <w:t xml:space="preserve"> </w:t>
      </w:r>
      <w:proofErr w:type="spellStart"/>
      <w:r w:rsidRPr="009C356B">
        <w:rPr>
          <w:rFonts w:ascii="Times New Roman" w:hAnsi="Times New Roman"/>
          <w:sz w:val="24"/>
          <w:szCs w:val="24"/>
        </w:rPr>
        <w:t>Hugard</w:t>
      </w:r>
      <w:proofErr w:type="spellEnd"/>
      <w:r w:rsidRPr="009C356B">
        <w:rPr>
          <w:rFonts w:ascii="Times New Roman" w:hAnsi="Times New Roman"/>
          <w:sz w:val="24"/>
          <w:szCs w:val="24"/>
        </w:rPr>
        <w:t xml:space="preserve"> that deprived her of her Constitutional rights.</w:t>
      </w:r>
      <w:r>
        <w:rPr>
          <w:rFonts w:ascii="Times New Roman" w:hAnsi="Times New Roman"/>
          <w:sz w:val="24"/>
          <w:szCs w:val="24"/>
        </w:rPr>
        <w:t xml:space="preserve">” </w:t>
      </w:r>
      <w:hyperlink r:id="rId2289" w:history="1">
        <w:r w:rsidRPr="002B54F8">
          <w:rPr>
            <w:rStyle w:val="Hyperlink"/>
            <w:rFonts w:ascii="Times New Roman" w:hAnsi="Times New Roman"/>
          </w:rPr>
          <w:t>https://public.fastcase.com/J%2FJP6pdidelsXxEE4k%2BLMlnZT9Hwtbb0RSX5AXtKQie%2FaJxcYuONay3v%2BauGycaLZPl2uZFZiVR3n7gLzEpChzWsXN2J3yktMkRz%2BOu%2BxAQ%3D</w:t>
        </w:r>
      </w:hyperlink>
      <w:r>
        <w:rPr>
          <w:rFonts w:ascii="Times New Roman" w:hAnsi="Times New Roman"/>
          <w:sz w:val="24"/>
          <w:szCs w:val="24"/>
        </w:rPr>
        <w:t xml:space="preserve"> </w:t>
      </w:r>
    </w:p>
    <w:p w14:paraId="5E01735F" w14:textId="4B26FEEF" w:rsidR="00282AF3" w:rsidRPr="006E70F8" w:rsidRDefault="00282AF3" w:rsidP="00282AF3">
      <w:pPr>
        <w:spacing w:before="100" w:beforeAutospacing="1" w:after="100" w:afterAutospacing="1" w:line="240" w:lineRule="auto"/>
        <w:rPr>
          <w:rFonts w:ascii="Times New Roman" w:eastAsia="Times New Roman" w:hAnsi="Times New Roman"/>
          <w:b/>
          <w:bCs/>
          <w:sz w:val="24"/>
          <w:szCs w:val="24"/>
        </w:rPr>
      </w:pPr>
      <w:bookmarkStart w:id="442" w:name="_Hlk112723729"/>
      <w:r w:rsidRPr="00757ECB">
        <w:rPr>
          <w:rFonts w:ascii="Times New Roman" w:eastAsia="Times New Roman" w:hAnsi="Times New Roman"/>
          <w:b/>
          <w:bCs/>
          <w:sz w:val="24"/>
          <w:szCs w:val="24"/>
        </w:rPr>
        <w:t xml:space="preserve">Legal Lesson Learned: </w:t>
      </w:r>
      <w:r w:rsidRPr="006E70F8">
        <w:rPr>
          <w:rFonts w:ascii="Times New Roman" w:eastAsia="Times New Roman" w:hAnsi="Times New Roman"/>
          <w:b/>
          <w:bCs/>
          <w:sz w:val="24"/>
          <w:szCs w:val="24"/>
        </w:rPr>
        <w:t xml:space="preserve">Strange case by </w:t>
      </w:r>
      <w:r w:rsidRPr="006E70F8">
        <w:rPr>
          <w:rFonts w:ascii="Times New Roman" w:eastAsia="Times New Roman" w:hAnsi="Times New Roman"/>
          <w:b/>
          <w:bCs/>
          <w:i/>
          <w:iCs/>
          <w:sz w:val="24"/>
          <w:szCs w:val="24"/>
        </w:rPr>
        <w:t xml:space="preserve">in </w:t>
      </w:r>
      <w:proofErr w:type="gramStart"/>
      <w:r w:rsidRPr="006E70F8">
        <w:rPr>
          <w:rFonts w:ascii="Times New Roman" w:eastAsia="Times New Roman" w:hAnsi="Times New Roman"/>
          <w:b/>
          <w:bCs/>
          <w:i/>
          <w:iCs/>
          <w:sz w:val="24"/>
          <w:szCs w:val="24"/>
        </w:rPr>
        <w:t>forma</w:t>
      </w:r>
      <w:proofErr w:type="gramEnd"/>
      <w:r w:rsidRPr="006E70F8">
        <w:rPr>
          <w:rFonts w:ascii="Times New Roman" w:eastAsia="Times New Roman" w:hAnsi="Times New Roman"/>
          <w:b/>
          <w:bCs/>
          <w:i/>
          <w:iCs/>
          <w:sz w:val="24"/>
          <w:szCs w:val="24"/>
        </w:rPr>
        <w:t xml:space="preserve"> pauperis</w:t>
      </w:r>
      <w:r w:rsidRPr="006E70F8">
        <w:rPr>
          <w:rFonts w:ascii="Times New Roman" w:eastAsia="Times New Roman" w:hAnsi="Times New Roman"/>
          <w:b/>
          <w:bCs/>
          <w:sz w:val="24"/>
          <w:szCs w:val="24"/>
        </w:rPr>
        <w:t xml:space="preserve"> [no money] patient with no money</w:t>
      </w:r>
      <w:r w:rsidR="006E70F8">
        <w:rPr>
          <w:rFonts w:ascii="Times New Roman" w:eastAsia="Times New Roman" w:hAnsi="Times New Roman"/>
          <w:b/>
          <w:bCs/>
          <w:sz w:val="24"/>
          <w:szCs w:val="24"/>
        </w:rPr>
        <w:t xml:space="preserve">. </w:t>
      </w:r>
      <w:r w:rsidRPr="006E70F8">
        <w:rPr>
          <w:rFonts w:ascii="Times New Roman" w:eastAsia="Times New Roman" w:hAnsi="Times New Roman"/>
          <w:b/>
          <w:bCs/>
          <w:sz w:val="24"/>
          <w:szCs w:val="24"/>
        </w:rPr>
        <w:t xml:space="preserve"> </w:t>
      </w:r>
    </w:p>
    <w:bookmarkEnd w:id="442"/>
    <w:p w14:paraId="43FFC182" w14:textId="77777777" w:rsidR="00282AF3" w:rsidRDefault="00282AF3" w:rsidP="002B1283">
      <w:pPr>
        <w:rPr>
          <w:rFonts w:ascii="Arial Black" w:hAnsi="Arial Black"/>
          <w:b/>
          <w:bCs/>
          <w:sz w:val="28"/>
          <w:szCs w:val="28"/>
        </w:rPr>
      </w:pPr>
    </w:p>
    <w:p w14:paraId="4AACD2B6" w14:textId="77777777" w:rsidR="00282AF3" w:rsidRDefault="00282AF3" w:rsidP="002B1283">
      <w:pPr>
        <w:rPr>
          <w:rFonts w:ascii="Arial Black" w:hAnsi="Arial Black"/>
          <w:b/>
          <w:bCs/>
          <w:sz w:val="28"/>
          <w:szCs w:val="28"/>
        </w:rPr>
      </w:pPr>
    </w:p>
    <w:p w14:paraId="6B72B646" w14:textId="0B01447B" w:rsidR="007051EE" w:rsidRDefault="007051EE" w:rsidP="002B1283">
      <w:pPr>
        <w:rPr>
          <w:rFonts w:ascii="Arial Black" w:hAnsi="Arial Black"/>
          <w:b/>
          <w:bCs/>
          <w:sz w:val="28"/>
          <w:szCs w:val="28"/>
        </w:rPr>
      </w:pPr>
      <w:r>
        <w:rPr>
          <w:rFonts w:ascii="Arial Black" w:hAnsi="Arial Black"/>
          <w:b/>
          <w:bCs/>
          <w:sz w:val="28"/>
          <w:szCs w:val="28"/>
        </w:rPr>
        <w:t>13-119</w:t>
      </w:r>
    </w:p>
    <w:p w14:paraId="61381B83" w14:textId="77777777" w:rsidR="007051EE" w:rsidRDefault="007051EE" w:rsidP="007051E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MN: MEDIC FIRED AFTER ER DOC REPORTED MISCONDUCT - NO MALICE BY MD – NO CASE – “VEXATIOUS LITIGANT”</w:t>
      </w:r>
    </w:p>
    <w:p w14:paraId="408450B9" w14:textId="77777777" w:rsidR="007051EE" w:rsidRPr="00133C50" w:rsidRDefault="007051EE" w:rsidP="007051EE">
      <w:pPr>
        <w:pStyle w:val="NormalWeb"/>
      </w:pPr>
      <w:r w:rsidRPr="00721460">
        <w:t xml:space="preserve">On </w:t>
      </w:r>
      <w:r>
        <w:t xml:space="preserve">July 26, 2022, in </w:t>
      </w:r>
      <w:r w:rsidRPr="00721460">
        <w:rPr>
          <w:u w:val="single"/>
        </w:rPr>
        <w:t>Peter Grigg v. Andy Coil</w:t>
      </w:r>
      <w:r>
        <w:t xml:space="preserve">, the Montana Supreme Court held (5 to 0), that lawsuit by Peter Grigg, who was fired by Eagle EMS after being informed of his misconduct by Dr. Andy Coil, emergency room physician, was properly dismissed. The lawsuit alleges: “[Dr.] Coil verbally abused, harassed, and threatened him in front of emergency room patients, family, and staff, as well as in Grigg's ambulance, and continued to harass and threaten him ‘throughout the month of May 2020.’ Grigg's Affidavit claimed he filed incident reports with [Doctor Coil’s] employer, St. Peter's Healthcare, and the Montana Board of Medical Examiners, to which [Dr.] Coil ‘retaliated by placing tort on my employer,’ causing Grigg to be terminated by his employer on June 2, 2020.” </w:t>
      </w:r>
      <w:hyperlink r:id="rId2290" w:history="1">
        <w:r w:rsidRPr="00001EDA">
          <w:rPr>
            <w:rStyle w:val="Hyperlink"/>
            <w:rFonts w:eastAsiaTheme="majorEastAsia"/>
          </w:rPr>
          <w:t>https://juddocumentservice.mt.gov/getDocByCTrackId?DocId=398159</w:t>
        </w:r>
      </w:hyperlink>
      <w:r>
        <w:t xml:space="preserve"> </w:t>
      </w:r>
    </w:p>
    <w:p w14:paraId="32B5E8F7" w14:textId="77777777" w:rsidR="007051EE" w:rsidRDefault="007051EE" w:rsidP="007051EE">
      <w:pPr>
        <w:spacing w:before="100" w:beforeAutospacing="1" w:after="100" w:afterAutospacing="1" w:line="240" w:lineRule="auto"/>
        <w:rPr>
          <w:rFonts w:ascii="Times New Roman" w:hAnsi="Times New Roman"/>
          <w:b/>
          <w:bCs/>
          <w:sz w:val="24"/>
          <w:szCs w:val="24"/>
        </w:rPr>
      </w:pPr>
      <w:r w:rsidRPr="00A75068">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Plaintiff is fortunate that in American legal system, “pro se” plaintiffs are not normally help liable for filing a meritless case.  </w:t>
      </w:r>
    </w:p>
    <w:p w14:paraId="7DE1F9C6" w14:textId="77777777" w:rsidR="007051EE" w:rsidRDefault="007051EE" w:rsidP="002B1283">
      <w:pPr>
        <w:rPr>
          <w:rFonts w:ascii="Arial Black" w:hAnsi="Arial Black"/>
          <w:b/>
          <w:bCs/>
          <w:sz w:val="28"/>
          <w:szCs w:val="28"/>
        </w:rPr>
      </w:pPr>
    </w:p>
    <w:p w14:paraId="45ECB022" w14:textId="77777777" w:rsidR="007051EE" w:rsidRDefault="007051EE" w:rsidP="002B1283">
      <w:pPr>
        <w:rPr>
          <w:rFonts w:ascii="Arial Black" w:hAnsi="Arial Black"/>
          <w:b/>
          <w:bCs/>
          <w:sz w:val="28"/>
          <w:szCs w:val="28"/>
        </w:rPr>
      </w:pPr>
    </w:p>
    <w:p w14:paraId="10C99247" w14:textId="77777777" w:rsidR="007051EE" w:rsidRDefault="007051EE" w:rsidP="002B1283">
      <w:pPr>
        <w:rPr>
          <w:rFonts w:ascii="Arial Black" w:hAnsi="Arial Black"/>
          <w:b/>
          <w:bCs/>
          <w:sz w:val="28"/>
          <w:szCs w:val="28"/>
        </w:rPr>
      </w:pPr>
    </w:p>
    <w:p w14:paraId="4634C33D" w14:textId="242DEC28" w:rsidR="00240D3F" w:rsidRDefault="00240D3F" w:rsidP="002B1283">
      <w:pPr>
        <w:rPr>
          <w:rFonts w:ascii="Arial Black" w:hAnsi="Arial Black"/>
          <w:b/>
          <w:bCs/>
          <w:sz w:val="28"/>
          <w:szCs w:val="28"/>
        </w:rPr>
      </w:pPr>
      <w:r>
        <w:rPr>
          <w:rFonts w:ascii="Arial Black" w:hAnsi="Arial Black"/>
          <w:b/>
          <w:bCs/>
          <w:sz w:val="28"/>
          <w:szCs w:val="28"/>
        </w:rPr>
        <w:t>13-118</w:t>
      </w:r>
    </w:p>
    <w:p w14:paraId="71531BF1" w14:textId="77777777" w:rsidR="00240D3F" w:rsidRPr="00C847A3" w:rsidRDefault="00240D3F" w:rsidP="00240D3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MOTORCYCLE ACCIDENT – PATIENT FLOWN LEVEL 1 TRAUMA - NOT DRIVEN LEVEL III – FOLLOWED PROTOCOL</w:t>
      </w:r>
    </w:p>
    <w:p w14:paraId="1C63D1C8" w14:textId="77777777" w:rsidR="00240D3F" w:rsidRPr="0044296F" w:rsidRDefault="00240D3F" w:rsidP="00240D3F">
      <w:pPr>
        <w:pStyle w:val="NormalWeb"/>
      </w:pPr>
      <w:r>
        <w:t xml:space="preserve">On July 22, 2022, in </w:t>
      </w:r>
      <w:r w:rsidRPr="00BB5BE6">
        <w:rPr>
          <w:u w:val="single"/>
        </w:rPr>
        <w:t>Cynthia Tillman, Administrator of the Estate of Eric P. Tillman v. Kelly M. Mantz, et al.,</w:t>
      </w:r>
      <w:r>
        <w:t xml:space="preserve"> the Court of Appeals of Ohio, Sixth District (Erie), 2022-Ohio-2527, held 3 to 0 that the trial court properly granted summary judgment to the EMS personnel and </w:t>
      </w:r>
      <w:r w:rsidRPr="00526CF3">
        <w:t>to North Central EMS (NCEMS)</w:t>
      </w:r>
      <w:r>
        <w:t xml:space="preserve">.  The plaintiff in this case, was flown by a Life Flight ambulance to Level III trauma center in Toledo and survived.  Eric Tillman was flown by second Life Flight ambulance to the trauma center where he died. The plaintiff’s lawsuit includes affidavit </w:t>
      </w:r>
      <w:r w:rsidRPr="00F4263B">
        <w:rPr>
          <w:rStyle w:val="markedcontent"/>
        </w:rPr>
        <w:t>of Jeff Durgin,</w:t>
      </w:r>
      <w:r>
        <w:rPr>
          <w:rStyle w:val="markedcontent"/>
        </w:rPr>
        <w:t xml:space="preserve"> </w:t>
      </w:r>
      <w:r w:rsidRPr="00F4263B">
        <w:rPr>
          <w:rStyle w:val="markedcontent"/>
        </w:rPr>
        <w:t>M.D</w:t>
      </w:r>
      <w:r>
        <w:rPr>
          <w:rStyle w:val="markedcontent"/>
        </w:rPr>
        <w:t>, who criticized EMS for not transporting Eric Tillman by ambulance to a Level I trauma center 15 minutes away, and for not taking vitals every 15 minutes prior to transport. [EMS run report showed one set of vitals taken: 5</w:t>
      </w:r>
      <w:r w:rsidRPr="00E5099E">
        <w:rPr>
          <w:rStyle w:val="markedcontent"/>
        </w:rPr>
        <w:t>:25 p.m</w:t>
      </w:r>
      <w:r>
        <w:rPr>
          <w:rStyle w:val="markedcontent"/>
        </w:rPr>
        <w:t xml:space="preserve">. at scene; </w:t>
      </w:r>
      <w:r w:rsidRPr="00E5099E">
        <w:rPr>
          <w:rStyle w:val="markedcontent"/>
        </w:rPr>
        <w:t xml:space="preserve">two IVs </w:t>
      </w:r>
      <w:r>
        <w:rPr>
          <w:rStyle w:val="markedcontent"/>
        </w:rPr>
        <w:t xml:space="preserve">started </w:t>
      </w:r>
      <w:r w:rsidRPr="00E5099E">
        <w:rPr>
          <w:rStyle w:val="markedcontent"/>
        </w:rPr>
        <w:t>at 5:30 p.m</w:t>
      </w:r>
      <w:r>
        <w:rPr>
          <w:rStyle w:val="markedcontent"/>
        </w:rPr>
        <w:t xml:space="preserve">.; set of </w:t>
      </w:r>
      <w:r w:rsidRPr="00E5099E">
        <w:rPr>
          <w:rStyle w:val="markedcontent"/>
        </w:rPr>
        <w:t xml:space="preserve">vitals </w:t>
      </w:r>
      <w:r>
        <w:rPr>
          <w:rStyle w:val="markedcontent"/>
        </w:rPr>
        <w:t xml:space="preserve">recorded </w:t>
      </w:r>
      <w:r w:rsidRPr="00E5099E">
        <w:rPr>
          <w:rStyle w:val="markedcontent"/>
        </w:rPr>
        <w:t>5:34</w:t>
      </w:r>
      <w:r>
        <w:rPr>
          <w:rStyle w:val="markedcontent"/>
        </w:rPr>
        <w:t xml:space="preserve"> </w:t>
      </w:r>
      <w:r w:rsidRPr="00E5099E">
        <w:rPr>
          <w:rStyle w:val="markedcontent"/>
        </w:rPr>
        <w:t>p.m.</w:t>
      </w:r>
      <w:r>
        <w:rPr>
          <w:rStyle w:val="markedcontent"/>
        </w:rPr>
        <w:t xml:space="preserve">; transferred care to Life Flight </w:t>
      </w:r>
      <w:r w:rsidRPr="00E5099E">
        <w:rPr>
          <w:rStyle w:val="markedcontent"/>
        </w:rPr>
        <w:t>5:56 p.m.].</w:t>
      </w:r>
      <w:r>
        <w:rPr>
          <w:rStyle w:val="markedcontent"/>
        </w:rPr>
        <w:t xml:space="preserve"> </w:t>
      </w:r>
      <w:hyperlink r:id="rId2291" w:history="1">
        <w:r w:rsidRPr="00355029">
          <w:rPr>
            <w:rStyle w:val="Hyperlink"/>
            <w:rFonts w:eastAsiaTheme="majorEastAsia"/>
          </w:rPr>
          <w:t>http://lcapps.co.lucas.oh.us/Courts/Appeals/DecisionsPDF/10196.pdf</w:t>
        </w:r>
      </w:hyperlink>
      <w:r>
        <w:rPr>
          <w:rStyle w:val="markedcontent"/>
        </w:rPr>
        <w:t xml:space="preserve"> </w:t>
      </w:r>
    </w:p>
    <w:p w14:paraId="371E9975" w14:textId="77777777" w:rsidR="00240D3F" w:rsidRDefault="00240D3F" w:rsidP="00240D3F">
      <w:pPr>
        <w:spacing w:before="100" w:beforeAutospacing="1" w:after="100" w:afterAutospacing="1" w:line="240" w:lineRule="auto"/>
        <w:rPr>
          <w:rFonts w:ascii="Times New Roman" w:hAnsi="Times New Roman"/>
          <w:b/>
          <w:bCs/>
          <w:sz w:val="24"/>
          <w:szCs w:val="24"/>
        </w:rPr>
      </w:pPr>
      <w:r w:rsidRPr="00E91EB2">
        <w:rPr>
          <w:rFonts w:ascii="Times New Roman" w:hAnsi="Times New Roman"/>
          <w:b/>
          <w:bCs/>
          <w:sz w:val="24"/>
          <w:szCs w:val="24"/>
        </w:rPr>
        <w:t>Legal Lesson Learned:</w:t>
      </w:r>
      <w:r>
        <w:rPr>
          <w:rFonts w:ascii="Times New Roman" w:hAnsi="Times New Roman"/>
          <w:b/>
          <w:bCs/>
          <w:sz w:val="24"/>
          <w:szCs w:val="24"/>
        </w:rPr>
        <w:t xml:space="preserve"> Helpful decision on EMS following trauma protocol.</w:t>
      </w:r>
    </w:p>
    <w:p w14:paraId="2BF1E583" w14:textId="77777777" w:rsidR="00240D3F" w:rsidRPr="00615A59"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615A59">
        <w:rPr>
          <w:rFonts w:ascii="Times New Roman" w:hAnsi="Times New Roman"/>
          <w:sz w:val="24"/>
          <w:szCs w:val="24"/>
        </w:rPr>
        <w:t>Note: See helpful resources on Ohio trauma protocol.</w:t>
      </w:r>
    </w:p>
    <w:p w14:paraId="79FE9B6B" w14:textId="77777777" w:rsidR="00240D3F" w:rsidRPr="00615A59" w:rsidRDefault="00240D3F" w:rsidP="00240D3F">
      <w:pPr>
        <w:pStyle w:val="Heading3"/>
        <w:ind w:left="1440"/>
        <w:rPr>
          <w:rFonts w:ascii="Times New Roman" w:hAnsi="Times New Roman" w:cs="Times New Roman"/>
          <w:color w:val="auto"/>
        </w:rPr>
      </w:pPr>
      <w:r>
        <w:rPr>
          <w:rFonts w:ascii="Times New Roman" w:hAnsi="Times New Roman" w:cs="Times New Roman"/>
          <w:color w:val="auto"/>
        </w:rPr>
        <w:t>“</w:t>
      </w:r>
      <w:r w:rsidRPr="004B5A02">
        <w:rPr>
          <w:rFonts w:ascii="Times New Roman" w:hAnsi="Times New Roman" w:cs="Times New Roman"/>
          <w:color w:val="auto"/>
        </w:rPr>
        <w:t>Trauma System Overview</w:t>
      </w:r>
      <w:r>
        <w:rPr>
          <w:rFonts w:ascii="Times New Roman" w:hAnsi="Times New Roman" w:cs="Times New Roman"/>
          <w:color w:val="auto"/>
        </w:rPr>
        <w:t xml:space="preserve">.” </w:t>
      </w:r>
      <w:r>
        <w:rPr>
          <w:rFonts w:ascii="Times New Roman" w:hAnsi="Times New Roman" w:cs="Times New Roman"/>
          <w:b/>
          <w:bCs/>
          <w:color w:val="auto"/>
        </w:rPr>
        <w:t xml:space="preserve"> </w:t>
      </w:r>
      <w:hyperlink r:id="rId2292" w:anchor="gsc.tab=0" w:history="1">
        <w:r w:rsidRPr="00615A59">
          <w:rPr>
            <w:rStyle w:val="Hyperlink"/>
            <w:rFonts w:ascii="Times New Roman" w:hAnsi="Times New Roman" w:cs="Times New Roman"/>
          </w:rPr>
          <w:t>https://www.ems.ohio.gov/trauma-system.aspx#gsc.tab=0</w:t>
        </w:r>
      </w:hyperlink>
      <w:r w:rsidRPr="00615A59">
        <w:rPr>
          <w:rFonts w:ascii="Times New Roman" w:hAnsi="Times New Roman" w:cs="Times New Roman"/>
          <w:color w:val="auto"/>
        </w:rPr>
        <w:t xml:space="preserve"> </w:t>
      </w:r>
    </w:p>
    <w:p w14:paraId="379D46FE" w14:textId="77777777" w:rsidR="00240D3F" w:rsidRDefault="00240D3F" w:rsidP="00240D3F">
      <w:pPr>
        <w:pStyle w:val="NormalWeb"/>
        <w:ind w:left="1440"/>
      </w:pPr>
      <w:r>
        <w:t xml:space="preserve">“The Ohio Trauma System is designed to get severely injured patients to the ‘right hospital, in the right manner, in the right amount of time.’ These three factors increase the patient’s chances of survival while minimizing chances of suffering severe disabilities and death. Trauma is </w:t>
      </w:r>
      <w:r>
        <w:rPr>
          <w:u w:val="single"/>
        </w:rPr>
        <w:t>the</w:t>
      </w:r>
      <w:r>
        <w:t xml:space="preserve"> leading cause of death for people between the ages of 1 and 44 years and is a leading cause of death and disability among all age groups. Research studies of other state trauma systems have shown a person’s chances of dying or suffering a severe disability drop sharply if they are injured in a state with an organized trauma system like the Ohio Trauma System.”</w:t>
      </w:r>
    </w:p>
    <w:p w14:paraId="772F5476" w14:textId="77777777" w:rsidR="00240D3F" w:rsidRDefault="00240D3F" w:rsidP="002B1283">
      <w:pPr>
        <w:rPr>
          <w:rFonts w:ascii="Arial Black" w:hAnsi="Arial Black"/>
          <w:b/>
          <w:bCs/>
          <w:sz w:val="28"/>
          <w:szCs w:val="28"/>
        </w:rPr>
      </w:pPr>
    </w:p>
    <w:p w14:paraId="44678697" w14:textId="77777777" w:rsidR="00240D3F" w:rsidRDefault="00240D3F" w:rsidP="002B1283">
      <w:pPr>
        <w:rPr>
          <w:rFonts w:ascii="Arial Black" w:hAnsi="Arial Black"/>
          <w:b/>
          <w:bCs/>
          <w:sz w:val="28"/>
          <w:szCs w:val="28"/>
        </w:rPr>
      </w:pPr>
    </w:p>
    <w:p w14:paraId="1CDAC8FB" w14:textId="7132C975" w:rsidR="00240D3F" w:rsidRDefault="00240D3F" w:rsidP="002B1283">
      <w:pPr>
        <w:rPr>
          <w:rFonts w:ascii="Arial Black" w:hAnsi="Arial Black"/>
          <w:b/>
          <w:bCs/>
          <w:sz w:val="28"/>
          <w:szCs w:val="28"/>
        </w:rPr>
      </w:pPr>
      <w:r>
        <w:rPr>
          <w:rFonts w:ascii="Arial Black" w:hAnsi="Arial Black"/>
          <w:b/>
          <w:bCs/>
          <w:sz w:val="28"/>
          <w:szCs w:val="28"/>
        </w:rPr>
        <w:t>13-117</w:t>
      </w:r>
    </w:p>
    <w:p w14:paraId="548F6621" w14:textId="77777777" w:rsidR="00240D3F" w:rsidRPr="0088768E" w:rsidRDefault="00240D3F" w:rsidP="00240D3F">
      <w:pPr>
        <w:spacing w:before="100" w:beforeAutospacing="1" w:after="100" w:afterAutospacing="1" w:line="240" w:lineRule="auto"/>
        <w:rPr>
          <w:rFonts w:ascii="Arial Black" w:hAnsi="Arial Black"/>
          <w:sz w:val="28"/>
          <w:szCs w:val="28"/>
        </w:rPr>
      </w:pPr>
      <w:r>
        <w:rPr>
          <w:rFonts w:ascii="Arial Black" w:hAnsi="Arial Black"/>
          <w:sz w:val="28"/>
          <w:szCs w:val="28"/>
        </w:rPr>
        <w:t>MI: CARDIAC - MONITOR CALLED FOR CPR – NO CPR GIVEN, PATIENT DIED – “GROSS NEGLIGENCE” CASE TO PROCEED</w:t>
      </w:r>
    </w:p>
    <w:p w14:paraId="1C4DDE67" w14:textId="77777777" w:rsidR="00240D3F" w:rsidRDefault="00240D3F" w:rsidP="00240D3F">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21, 2022, in </w:t>
      </w:r>
      <w:r w:rsidRPr="0088768E">
        <w:rPr>
          <w:rFonts w:ascii="Times New Roman" w:hAnsi="Times New Roman"/>
          <w:sz w:val="24"/>
          <w:szCs w:val="24"/>
          <w:u w:val="single"/>
        </w:rPr>
        <w:t>Angela Hodges, Personal Representative of the Estate of Patrick Antonio Clemons-Hodges</w:t>
      </w:r>
      <w:r>
        <w:rPr>
          <w:rFonts w:ascii="Times New Roman" w:hAnsi="Times New Roman"/>
          <w:sz w:val="24"/>
          <w:szCs w:val="24"/>
          <w:u w:val="single"/>
        </w:rPr>
        <w:t xml:space="preserve"> v. City of </w:t>
      </w:r>
      <w:proofErr w:type="spellStart"/>
      <w:r>
        <w:rPr>
          <w:rFonts w:ascii="Times New Roman" w:hAnsi="Times New Roman"/>
          <w:sz w:val="24"/>
          <w:szCs w:val="24"/>
          <w:u w:val="single"/>
        </w:rPr>
        <w:t>Detroir</w:t>
      </w:r>
      <w:proofErr w:type="spellEnd"/>
      <w:r>
        <w:rPr>
          <w:rFonts w:ascii="Times New Roman" w:hAnsi="Times New Roman"/>
          <w:sz w:val="24"/>
          <w:szCs w:val="24"/>
          <w:u w:val="single"/>
        </w:rPr>
        <w:t xml:space="preserve">, Julian Holts and Michael Morgan, et al., </w:t>
      </w:r>
      <w:r>
        <w:rPr>
          <w:rFonts w:ascii="Times New Roman" w:hAnsi="Times New Roman"/>
          <w:sz w:val="24"/>
          <w:szCs w:val="24"/>
        </w:rPr>
        <w:t xml:space="preserve">the Court of Appeals of Michigan, held (3 to 0; unpublished opinion) that the trial court properly denied the City’s motion for summary judgment. The City took an immediate appeal and asserted that the </w:t>
      </w:r>
      <w:r w:rsidRPr="00C5046C">
        <w:rPr>
          <w:rFonts w:ascii="Times New Roman" w:hAnsi="Times New Roman"/>
          <w:sz w:val="24"/>
          <w:szCs w:val="24"/>
        </w:rPr>
        <w:t xml:space="preserve">trial court erred when it refused to grant the City governmental immunity from claims arising from the gross negligence of paramedics it employs. </w:t>
      </w:r>
      <w:r>
        <w:rPr>
          <w:rFonts w:ascii="Times New Roman" w:hAnsi="Times New Roman"/>
          <w:sz w:val="24"/>
          <w:szCs w:val="24"/>
        </w:rPr>
        <w:t xml:space="preserve"> Court of Appeals held, “</w:t>
      </w:r>
      <w:r w:rsidRPr="00C5046C">
        <w:rPr>
          <w:rFonts w:ascii="Times New Roman" w:hAnsi="Times New Roman"/>
          <w:sz w:val="24"/>
          <w:szCs w:val="24"/>
        </w:rPr>
        <w:t>We disagree and affirm.</w:t>
      </w:r>
      <w:r>
        <w:rPr>
          <w:rFonts w:ascii="Times New Roman" w:hAnsi="Times New Roman"/>
          <w:sz w:val="24"/>
          <w:szCs w:val="24"/>
        </w:rPr>
        <w:t>”</w:t>
      </w:r>
      <w:r w:rsidRPr="00C5046C">
        <w:rPr>
          <w:rFonts w:ascii="Times New Roman" w:hAnsi="Times New Roman"/>
          <w:sz w:val="24"/>
          <w:szCs w:val="24"/>
        </w:rPr>
        <w:t xml:space="preserve"> </w:t>
      </w:r>
      <w:hyperlink r:id="rId2293" w:history="1">
        <w:r w:rsidRPr="00355029">
          <w:rPr>
            <w:rStyle w:val="Hyperlink"/>
            <w:rFonts w:ascii="Times New Roman" w:eastAsia="Times New Roman" w:hAnsi="Times New Roman"/>
            <w:sz w:val="24"/>
            <w:szCs w:val="24"/>
          </w:rPr>
          <w:t>https://public.fastcase.com/J%2FJP6pdidelsXxEE4k%2BLMlzK3ypZvc0Gn%2FjuZDkyq8MI5%2FfINcqrUtBut3YiWnMm%2B6u%2FYbxznYZMXvWFYa2uilbMm7X%2Bw%2FMZe4%2FFjNyk13o%3D</w:t>
        </w:r>
      </w:hyperlink>
      <w:r>
        <w:rPr>
          <w:rFonts w:ascii="Times New Roman" w:eastAsia="Times New Roman" w:hAnsi="Times New Roman"/>
          <w:sz w:val="24"/>
          <w:szCs w:val="24"/>
        </w:rPr>
        <w:t xml:space="preserve"> </w:t>
      </w:r>
    </w:p>
    <w:p w14:paraId="7F40346A" w14:textId="77777777" w:rsidR="00240D3F" w:rsidRPr="009E08A4" w:rsidRDefault="00240D3F" w:rsidP="00240D3F">
      <w:pPr>
        <w:spacing w:before="100" w:beforeAutospacing="1" w:after="100" w:afterAutospacing="1" w:line="240" w:lineRule="auto"/>
        <w:rPr>
          <w:rFonts w:ascii="Times New Roman" w:hAnsi="Times New Roman"/>
          <w:b/>
          <w:bCs/>
          <w:sz w:val="24"/>
          <w:szCs w:val="24"/>
        </w:rPr>
      </w:pPr>
      <w:r w:rsidRPr="009E08A4">
        <w:rPr>
          <w:rFonts w:ascii="Times New Roman" w:hAnsi="Times New Roman"/>
          <w:b/>
          <w:bCs/>
          <w:sz w:val="24"/>
          <w:szCs w:val="24"/>
        </w:rPr>
        <w:t>Legal Lesson Learned:</w:t>
      </w:r>
      <w:r>
        <w:rPr>
          <w:rFonts w:ascii="Times New Roman" w:hAnsi="Times New Roman"/>
          <w:b/>
          <w:bCs/>
          <w:sz w:val="24"/>
          <w:szCs w:val="24"/>
        </w:rPr>
        <w:t xml:space="preserve"> This lawsuit will now proceed to pre-trial discovery on </w:t>
      </w:r>
      <w:proofErr w:type="spellStart"/>
      <w:r>
        <w:rPr>
          <w:rFonts w:ascii="Times New Roman" w:hAnsi="Times New Roman"/>
          <w:b/>
          <w:bCs/>
          <w:sz w:val="24"/>
          <w:szCs w:val="24"/>
        </w:rPr>
        <w:t>thr</w:t>
      </w:r>
      <w:proofErr w:type="spellEnd"/>
      <w:r>
        <w:rPr>
          <w:rFonts w:ascii="Times New Roman" w:hAnsi="Times New Roman"/>
          <w:b/>
          <w:bCs/>
          <w:sz w:val="24"/>
          <w:szCs w:val="24"/>
        </w:rPr>
        <w:t xml:space="preserve"> allegation of “gross negligence.” </w:t>
      </w:r>
    </w:p>
    <w:p w14:paraId="5D27C549" w14:textId="77777777" w:rsidR="00240D3F" w:rsidRPr="009E08A4" w:rsidRDefault="00240D3F" w:rsidP="00240D3F">
      <w:pPr>
        <w:pStyle w:val="Heading1"/>
        <w:ind w:left="720"/>
        <w:rPr>
          <w:b w:val="0"/>
          <w:bCs w:val="0"/>
          <w:sz w:val="24"/>
          <w:szCs w:val="24"/>
        </w:rPr>
      </w:pPr>
      <w:r w:rsidRPr="009E08A4">
        <w:rPr>
          <w:b w:val="0"/>
          <w:bCs w:val="0"/>
          <w:sz w:val="24"/>
          <w:szCs w:val="24"/>
        </w:rPr>
        <w:t xml:space="preserve">Note: </w:t>
      </w:r>
      <w:r>
        <w:rPr>
          <w:b w:val="0"/>
          <w:bCs w:val="0"/>
          <w:sz w:val="24"/>
          <w:szCs w:val="24"/>
        </w:rPr>
        <w:t xml:space="preserve">Some states have “Willful or Wanton Misconduct” standard. </w:t>
      </w:r>
      <w:r w:rsidRPr="009E08A4">
        <w:rPr>
          <w:b w:val="0"/>
          <w:bCs w:val="0"/>
          <w:sz w:val="24"/>
          <w:szCs w:val="24"/>
        </w:rPr>
        <w:t xml:space="preserve">For example, Ohio Revised Code: Section 4765.49 </w:t>
      </w:r>
      <w:r w:rsidRPr="009E08A4">
        <w:rPr>
          <w:rStyle w:val="codes-separator"/>
          <w:b w:val="0"/>
          <w:bCs w:val="0"/>
          <w:sz w:val="24"/>
          <w:szCs w:val="24"/>
        </w:rPr>
        <w:t>|</w:t>
      </w:r>
      <w:r w:rsidRPr="009E08A4">
        <w:rPr>
          <w:b w:val="0"/>
          <w:bCs w:val="0"/>
          <w:sz w:val="24"/>
          <w:szCs w:val="24"/>
        </w:rPr>
        <w:t xml:space="preserve"> Emergency medical personnel and agencies </w:t>
      </w:r>
      <w:r>
        <w:rPr>
          <w:b w:val="0"/>
          <w:bCs w:val="0"/>
          <w:sz w:val="24"/>
          <w:szCs w:val="24"/>
        </w:rPr>
        <w:t>–</w:t>
      </w:r>
      <w:r w:rsidRPr="009E08A4">
        <w:rPr>
          <w:b w:val="0"/>
          <w:bCs w:val="0"/>
          <w:sz w:val="24"/>
          <w:szCs w:val="24"/>
        </w:rPr>
        <w:t xml:space="preserve"> immunity</w:t>
      </w:r>
      <w:r>
        <w:rPr>
          <w:b w:val="0"/>
          <w:bCs w:val="0"/>
          <w:sz w:val="24"/>
          <w:szCs w:val="24"/>
        </w:rPr>
        <w:t>.</w:t>
      </w:r>
      <w:r w:rsidRPr="009E08A4">
        <w:t xml:space="preserve"> </w:t>
      </w:r>
      <w:hyperlink r:id="rId2294" w:history="1">
        <w:r w:rsidRPr="00355029">
          <w:rPr>
            <w:rStyle w:val="Hyperlink"/>
            <w:rFonts w:eastAsiaTheme="majorEastAsia"/>
            <w:b w:val="0"/>
            <w:bCs w:val="0"/>
            <w:sz w:val="24"/>
            <w:szCs w:val="24"/>
          </w:rPr>
          <w:t>https://codes.ohio.gov/ohio-revised-code/section-4765.49</w:t>
        </w:r>
      </w:hyperlink>
      <w:r>
        <w:rPr>
          <w:b w:val="0"/>
          <w:bCs w:val="0"/>
          <w:sz w:val="24"/>
          <w:szCs w:val="24"/>
        </w:rPr>
        <w:t xml:space="preserve">  “</w:t>
      </w:r>
      <w:r w:rsidRPr="009E08A4">
        <w:rPr>
          <w:b w:val="0"/>
          <w:bCs w:val="0"/>
          <w:sz w:val="24"/>
          <w:szCs w:val="24"/>
        </w:rPr>
        <w:t>(A)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r>
        <w:rPr>
          <w:b w:val="0"/>
          <w:bCs w:val="0"/>
          <w:sz w:val="24"/>
          <w:szCs w:val="24"/>
        </w:rPr>
        <w:t>”</w:t>
      </w:r>
    </w:p>
    <w:p w14:paraId="2BC1ECF0" w14:textId="77777777" w:rsidR="00240D3F" w:rsidRDefault="00240D3F" w:rsidP="002B1283">
      <w:pPr>
        <w:rPr>
          <w:rFonts w:ascii="Arial Black" w:hAnsi="Arial Black"/>
          <w:b/>
          <w:bCs/>
          <w:sz w:val="28"/>
          <w:szCs w:val="28"/>
        </w:rPr>
      </w:pPr>
    </w:p>
    <w:p w14:paraId="5A7434CA" w14:textId="77777777" w:rsidR="00240D3F" w:rsidRDefault="00240D3F" w:rsidP="002B1283">
      <w:pPr>
        <w:rPr>
          <w:rFonts w:ascii="Arial Black" w:hAnsi="Arial Black"/>
          <w:b/>
          <w:bCs/>
          <w:sz w:val="28"/>
          <w:szCs w:val="28"/>
        </w:rPr>
      </w:pPr>
    </w:p>
    <w:p w14:paraId="4F64E208" w14:textId="105CFD75" w:rsidR="00240D3F" w:rsidRDefault="00240D3F" w:rsidP="002B1283">
      <w:pPr>
        <w:rPr>
          <w:rFonts w:ascii="Arial Black" w:hAnsi="Arial Black"/>
          <w:b/>
          <w:bCs/>
          <w:sz w:val="28"/>
          <w:szCs w:val="28"/>
        </w:rPr>
      </w:pPr>
      <w:r>
        <w:rPr>
          <w:rFonts w:ascii="Arial Black" w:hAnsi="Arial Black"/>
          <w:b/>
          <w:bCs/>
          <w:sz w:val="28"/>
          <w:szCs w:val="28"/>
        </w:rPr>
        <w:t>13-116</w:t>
      </w:r>
    </w:p>
    <w:p w14:paraId="7B9B33EE" w14:textId="77777777" w:rsidR="00240D3F" w:rsidRDefault="00240D3F" w:rsidP="00240D3F">
      <w:pPr>
        <w:spacing w:before="100" w:beforeAutospacing="1" w:after="100" w:afterAutospacing="1" w:line="240" w:lineRule="auto"/>
        <w:rPr>
          <w:rFonts w:ascii="Arial Black" w:hAnsi="Arial Black"/>
          <w:sz w:val="28"/>
          <w:szCs w:val="28"/>
        </w:rPr>
      </w:pPr>
      <w:r>
        <w:rPr>
          <w:rFonts w:ascii="Arial Black" w:hAnsi="Arial Black"/>
          <w:sz w:val="28"/>
          <w:szCs w:val="28"/>
        </w:rPr>
        <w:t>NY: FDNY MEDICS SUSP - AUSTRALIAN TV FILMED ON COVID EMS RUNS – 1</w:t>
      </w:r>
      <w:r w:rsidRPr="00922539">
        <w:rPr>
          <w:rFonts w:ascii="Arial Black" w:hAnsi="Arial Black"/>
          <w:sz w:val="28"/>
          <w:szCs w:val="28"/>
          <w:vertAlign w:val="superscript"/>
        </w:rPr>
        <w:t>st</w:t>
      </w:r>
      <w:r>
        <w:rPr>
          <w:rFonts w:ascii="Arial Black" w:hAnsi="Arial Black"/>
          <w:sz w:val="28"/>
          <w:szCs w:val="28"/>
        </w:rPr>
        <w:t xml:space="preserve"> AMEND. RETALIATION PROCEED</w:t>
      </w:r>
    </w:p>
    <w:p w14:paraId="0C2422FB" w14:textId="77777777" w:rsidR="00240D3F"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8, 2022, in </w:t>
      </w:r>
      <w:r w:rsidRPr="00922539">
        <w:rPr>
          <w:rFonts w:ascii="Times New Roman" w:hAnsi="Times New Roman"/>
          <w:sz w:val="24"/>
          <w:szCs w:val="24"/>
          <w:u w:val="single"/>
        </w:rPr>
        <w:t>President Oren Barzilay, President of Uniformed EMTs, Paramedics, and Fire Inspectors, Local 2507, et al. v. City of New York, et al.</w:t>
      </w:r>
      <w:r>
        <w:rPr>
          <w:rFonts w:ascii="Times New Roman" w:hAnsi="Times New Roman"/>
          <w:sz w:val="24"/>
          <w:szCs w:val="24"/>
        </w:rPr>
        <w:t>, U.S. District Court Judge Lewis J. Liman, U.S. District Court for Southern District of New York, held that “</w:t>
      </w:r>
      <w:r w:rsidRPr="00B47805">
        <w:rPr>
          <w:rFonts w:ascii="Times New Roman" w:hAnsi="Times New Roman"/>
          <w:sz w:val="24"/>
          <w:szCs w:val="24"/>
        </w:rPr>
        <w:t>Plaintiffs are entitled to a jury trial on their § 1983 claims for First Amendment retaliation against all Defendants and on their related free-speech claim under the New York State Constitution against the City on a theory of respondeat superior.</w:t>
      </w:r>
      <w:r>
        <w:rPr>
          <w:rFonts w:ascii="Times New Roman" w:hAnsi="Times New Roman"/>
          <w:sz w:val="24"/>
          <w:szCs w:val="24"/>
        </w:rPr>
        <w:t xml:space="preserve"> *** </w:t>
      </w:r>
      <w:r w:rsidRPr="007604D6">
        <w:rPr>
          <w:rFonts w:ascii="Times New Roman" w:hAnsi="Times New Roman"/>
          <w:sz w:val="24"/>
          <w:szCs w:val="24"/>
        </w:rPr>
        <w:t>Here, there is credible evidence that suggests Defendants restricted or suspended the individual Plaintiffs for a permissible reason, but there is also evidence from which a reasonable jury could find that the Defendants did so simply because they were employees who engaged in protected speech. The role of the Court is not to weigh that evidence and determine which is the more likely scenario. That must be left to the jury.</w:t>
      </w:r>
      <w:r>
        <w:rPr>
          <w:rFonts w:ascii="Times New Roman" w:hAnsi="Times New Roman"/>
          <w:sz w:val="24"/>
          <w:szCs w:val="24"/>
        </w:rPr>
        <w:t xml:space="preserve"> *** </w:t>
      </w:r>
      <w:r w:rsidRPr="007604D6">
        <w:rPr>
          <w:rFonts w:ascii="Times New Roman" w:hAnsi="Times New Roman"/>
          <w:sz w:val="24"/>
          <w:szCs w:val="24"/>
        </w:rPr>
        <w:t>On the record before it, the Court cannot conclude as a matter of law that the FDNY was justified by the governmental interest it asserts in taking action against Bonilla, Nunez, or Pfeiffer based on these comments, which are the only parts of their protected speech that could even arguably give rise to a concern about revealing PHI, or based on the mere fact that they interacted with the media to make these comments.</w:t>
      </w:r>
      <w:r>
        <w:rPr>
          <w:rFonts w:ascii="Times New Roman" w:hAnsi="Times New Roman"/>
          <w:sz w:val="24"/>
          <w:szCs w:val="24"/>
        </w:rPr>
        <w:t xml:space="preserve">” </w:t>
      </w:r>
      <w:hyperlink r:id="rId2295" w:history="1">
        <w:r w:rsidRPr="00272AA8">
          <w:rPr>
            <w:rStyle w:val="Hyperlink"/>
            <w:rFonts w:ascii="Times New Roman" w:hAnsi="Times New Roman"/>
            <w:sz w:val="24"/>
            <w:szCs w:val="24"/>
          </w:rPr>
          <w:t>https://law.justia.com/cases/federal/district-courts/new-york/nysdce/1:2020cv04452/538491/83/</w:t>
        </w:r>
      </w:hyperlink>
      <w:r>
        <w:rPr>
          <w:rFonts w:ascii="Times New Roman" w:hAnsi="Times New Roman"/>
          <w:sz w:val="24"/>
          <w:szCs w:val="24"/>
        </w:rPr>
        <w:t xml:space="preserve"> </w:t>
      </w:r>
    </w:p>
    <w:p w14:paraId="28A60612" w14:textId="74BEF811" w:rsidR="00240D3F" w:rsidRPr="00B821BF" w:rsidRDefault="00240D3F" w:rsidP="00240D3F">
      <w:pPr>
        <w:spacing w:before="100" w:beforeAutospacing="1" w:after="100" w:afterAutospacing="1" w:line="240" w:lineRule="auto"/>
        <w:ind w:left="720" w:firstLine="60"/>
        <w:rPr>
          <w:rFonts w:ascii="Times New Roman" w:eastAsia="Times New Roman" w:hAnsi="Times New Roman"/>
          <w:sz w:val="24"/>
          <w:szCs w:val="24"/>
        </w:rPr>
      </w:pPr>
      <w:r w:rsidRPr="00B821BF">
        <w:rPr>
          <w:rFonts w:ascii="Times New Roman" w:hAnsi="Times New Roman"/>
          <w:sz w:val="24"/>
          <w:szCs w:val="24"/>
        </w:rPr>
        <w:t xml:space="preserve">[Watch the video: </w:t>
      </w:r>
      <w:hyperlink r:id="rId2296" w:history="1">
        <w:r w:rsidRPr="00B821BF">
          <w:rPr>
            <w:rStyle w:val="Hyperlink"/>
            <w:rFonts w:ascii="Times New Roman" w:eastAsia="Times New Roman" w:hAnsi="Times New Roman"/>
            <w:sz w:val="24"/>
            <w:szCs w:val="24"/>
          </w:rPr>
          <w:t>https://www.facebook.com/watch/?v=2586016544950280</w:t>
        </w:r>
      </w:hyperlink>
      <w:r w:rsidRPr="00B821BF">
        <w:rPr>
          <w:rFonts w:ascii="Times New Roman" w:eastAsia="Times New Roman" w:hAnsi="Times New Roman"/>
          <w:sz w:val="24"/>
          <w:szCs w:val="24"/>
        </w:rPr>
        <w:t xml:space="preserve"> .]</w:t>
      </w:r>
    </w:p>
    <w:p w14:paraId="2A38FEB2" w14:textId="77777777" w:rsidR="00240D3F" w:rsidRDefault="00240D3F" w:rsidP="00240D3F">
      <w:pPr>
        <w:spacing w:before="100" w:beforeAutospacing="1" w:after="100" w:afterAutospacing="1" w:line="240" w:lineRule="auto"/>
        <w:rPr>
          <w:rFonts w:ascii="Times New Roman" w:hAnsi="Times New Roman"/>
          <w:b/>
          <w:bCs/>
          <w:sz w:val="24"/>
          <w:szCs w:val="24"/>
        </w:rPr>
      </w:pPr>
      <w:r w:rsidRPr="0074449E">
        <w:rPr>
          <w:rFonts w:ascii="Times New Roman" w:hAnsi="Times New Roman"/>
          <w:b/>
          <w:bCs/>
          <w:sz w:val="24"/>
          <w:szCs w:val="24"/>
        </w:rPr>
        <w:t>Legal Lesson Learned:</w:t>
      </w:r>
      <w:r>
        <w:rPr>
          <w:rFonts w:ascii="Times New Roman" w:hAnsi="Times New Roman"/>
          <w:b/>
          <w:bCs/>
          <w:sz w:val="24"/>
          <w:szCs w:val="24"/>
        </w:rPr>
        <w:t xml:space="preserve"> The U.S. Supreme Court’s </w:t>
      </w:r>
      <w:r w:rsidRPr="0074449E">
        <w:rPr>
          <w:rFonts w:ascii="Times New Roman" w:hAnsi="Times New Roman"/>
          <w:b/>
          <w:bCs/>
          <w:i/>
          <w:iCs/>
          <w:sz w:val="24"/>
          <w:szCs w:val="24"/>
        </w:rPr>
        <w:t>Pickering</w:t>
      </w:r>
      <w:r>
        <w:rPr>
          <w:rFonts w:ascii="Times New Roman" w:hAnsi="Times New Roman"/>
          <w:b/>
          <w:bCs/>
          <w:sz w:val="24"/>
          <w:szCs w:val="24"/>
        </w:rPr>
        <w:t xml:space="preserve"> “balancing” decision has led to lots of litigation about right of EMS, fire and police officers to “go public” with concerns. </w:t>
      </w:r>
    </w:p>
    <w:p w14:paraId="678FB62C" w14:textId="77777777" w:rsidR="00240D3F" w:rsidRPr="0074449E"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74449E">
        <w:rPr>
          <w:rFonts w:ascii="Times New Roman" w:hAnsi="Times New Roman"/>
          <w:sz w:val="24"/>
          <w:szCs w:val="24"/>
        </w:rPr>
        <w:t xml:space="preserve">Note: </w:t>
      </w:r>
      <w:r>
        <w:rPr>
          <w:rFonts w:ascii="Times New Roman" w:hAnsi="Times New Roman"/>
          <w:sz w:val="24"/>
          <w:szCs w:val="24"/>
        </w:rPr>
        <w:t>Court discussed this Fire Marshal decision.</w:t>
      </w:r>
    </w:p>
    <w:p w14:paraId="0F4CA914" w14:textId="77777777" w:rsidR="00240D3F" w:rsidRPr="00F07132" w:rsidRDefault="00240D3F" w:rsidP="00240D3F">
      <w:pPr>
        <w:pStyle w:val="Heading1"/>
        <w:ind w:left="720"/>
        <w:rPr>
          <w:b w:val="0"/>
          <w:bCs w:val="0"/>
          <w:sz w:val="24"/>
          <w:szCs w:val="24"/>
        </w:rPr>
      </w:pPr>
      <w:r>
        <w:rPr>
          <w:sz w:val="24"/>
          <w:szCs w:val="24"/>
        </w:rPr>
        <w:t>“</w:t>
      </w:r>
      <w:r w:rsidRPr="008A111F">
        <w:rPr>
          <w:b w:val="0"/>
          <w:bCs w:val="0"/>
          <w:sz w:val="24"/>
          <w:szCs w:val="24"/>
        </w:rPr>
        <w:t xml:space="preserve">In </w:t>
      </w:r>
      <w:r w:rsidRPr="008A111F">
        <w:rPr>
          <w:b w:val="0"/>
          <w:bCs w:val="0"/>
          <w:i/>
          <w:iCs/>
          <w:sz w:val="24"/>
          <w:szCs w:val="24"/>
        </w:rPr>
        <w:t>Specht</w:t>
      </w:r>
      <w:r w:rsidRPr="0074449E">
        <w:rPr>
          <w:b w:val="0"/>
          <w:bCs w:val="0"/>
          <w:i/>
          <w:iCs/>
          <w:sz w:val="24"/>
          <w:szCs w:val="24"/>
        </w:rPr>
        <w:t xml:space="preserve"> [</w:t>
      </w:r>
      <w:r w:rsidRPr="0074449E">
        <w:rPr>
          <w:b w:val="0"/>
          <w:bCs w:val="0"/>
          <w:sz w:val="24"/>
          <w:szCs w:val="24"/>
        </w:rPr>
        <w:t xml:space="preserve">Specht v. City of New York, No. 20-4211 (2d Cir. 2021), </w:t>
      </w:r>
      <w:hyperlink r:id="rId2297" w:history="1">
        <w:r w:rsidRPr="00272AA8">
          <w:rPr>
            <w:rStyle w:val="Hyperlink"/>
            <w:rFonts w:eastAsiaTheme="majorEastAsia"/>
            <w:b w:val="0"/>
            <w:bCs w:val="0"/>
            <w:sz w:val="24"/>
            <w:szCs w:val="24"/>
          </w:rPr>
          <w:t>https://law.justia.com/cases/federal/appellate-courts/ca2/20-4211/20-4211-2021-10-06.html</w:t>
        </w:r>
      </w:hyperlink>
      <w:r>
        <w:rPr>
          <w:b w:val="0"/>
          <w:bCs w:val="0"/>
          <w:sz w:val="24"/>
          <w:szCs w:val="24"/>
        </w:rPr>
        <w:t xml:space="preserve"> ] </w:t>
      </w:r>
      <w:r w:rsidRPr="008A111F">
        <w:rPr>
          <w:sz w:val="24"/>
          <w:szCs w:val="24"/>
        </w:rPr>
        <w:t xml:space="preserve"> </w:t>
      </w:r>
      <w:r w:rsidRPr="008A111F">
        <w:rPr>
          <w:b w:val="0"/>
          <w:bCs w:val="0"/>
          <w:sz w:val="24"/>
          <w:szCs w:val="24"/>
        </w:rPr>
        <w:t xml:space="preserve">the Second Circuit held that a fire marshal's internal email to other fire marshals concerning the course of a fire investigation and pressure from supervisors to prematurely terminate his work and file a false report regarding the cause for the fire constituted “internal workplace grievances, not matters of public concern.” 15 F.4th at 601. However, the Circuit held that the marshal's complaint to the New York City Department of Investigation, his Notice of Claim with the City, his meeting with representatives from the District Attorney's office, and his communications with the local press about his investigation and his supervisors' demands all touched on matters of public concern since his reports “to outside agencies . . . implicate[d] matters of public importance” and “relate to possible governmental malfeasance, public safety, as well as to the public fisc.” </w:t>
      </w:r>
      <w:r w:rsidRPr="008A111F">
        <w:rPr>
          <w:b w:val="0"/>
          <w:bCs w:val="0"/>
          <w:i/>
          <w:iCs/>
          <w:sz w:val="24"/>
          <w:szCs w:val="24"/>
        </w:rPr>
        <w:t>Id.</w:t>
      </w:r>
      <w:r w:rsidRPr="008A111F">
        <w:rPr>
          <w:b w:val="0"/>
          <w:bCs w:val="0"/>
          <w:sz w:val="24"/>
          <w:szCs w:val="24"/>
        </w:rPr>
        <w:t xml:space="preserve"> </w:t>
      </w:r>
      <w:proofErr w:type="gramStart"/>
      <w:r w:rsidRPr="008A111F">
        <w:rPr>
          <w:b w:val="0"/>
          <w:bCs w:val="0"/>
          <w:sz w:val="24"/>
          <w:szCs w:val="24"/>
        </w:rPr>
        <w:t>at</w:t>
      </w:r>
      <w:proofErr w:type="gramEnd"/>
      <w:r w:rsidRPr="008A111F">
        <w:rPr>
          <w:b w:val="0"/>
          <w:bCs w:val="0"/>
          <w:sz w:val="24"/>
          <w:szCs w:val="24"/>
        </w:rPr>
        <w:t xml:space="preserve"> 601-02. Further, the Circuit found that the fire marshal's refusal to file a false report touched on matters of public concern because, just like his reports to outside agencies, the action “pertain[ed] to . . . potentially serious governmental misconduct.” </w:t>
      </w:r>
      <w:r w:rsidRPr="008A111F">
        <w:rPr>
          <w:b w:val="0"/>
          <w:bCs w:val="0"/>
          <w:i/>
          <w:iCs/>
          <w:sz w:val="24"/>
          <w:szCs w:val="24"/>
        </w:rPr>
        <w:t>Id.</w:t>
      </w:r>
      <w:r w:rsidRPr="008A111F">
        <w:rPr>
          <w:b w:val="0"/>
          <w:bCs w:val="0"/>
          <w:sz w:val="24"/>
          <w:szCs w:val="24"/>
        </w:rPr>
        <w:t xml:space="preserve"> at 602. Finally, the Circuit held that the marshal's reports to outside agencies and refusal to file a false report did not occur in his capacity as an employee because neither was “part-and-parcel” of his duties, </w:t>
      </w:r>
      <w:r w:rsidRPr="008A111F">
        <w:rPr>
          <w:b w:val="0"/>
          <w:bCs w:val="0"/>
          <w:i/>
          <w:iCs/>
          <w:sz w:val="24"/>
          <w:szCs w:val="24"/>
        </w:rPr>
        <w:t>Id.</w:t>
      </w:r>
      <w:r w:rsidRPr="008A111F">
        <w:rPr>
          <w:b w:val="0"/>
          <w:bCs w:val="0"/>
          <w:sz w:val="24"/>
          <w:szCs w:val="24"/>
        </w:rPr>
        <w:t xml:space="preserve"> at 604 (internal quotation marks omitted); his actions more accurately described a citizen refusing to violate the law and reporting on government misconduct to the public, </w:t>
      </w:r>
      <w:r w:rsidRPr="008A111F">
        <w:rPr>
          <w:b w:val="0"/>
          <w:bCs w:val="0"/>
          <w:i/>
          <w:iCs/>
          <w:sz w:val="24"/>
          <w:szCs w:val="24"/>
        </w:rPr>
        <w:t>Id.</w:t>
      </w:r>
      <w:r w:rsidRPr="008A111F">
        <w:rPr>
          <w:b w:val="0"/>
          <w:bCs w:val="0"/>
          <w:sz w:val="24"/>
          <w:szCs w:val="24"/>
        </w:rPr>
        <w:t xml:space="preserve"> Thus, the fire marshal's speech constituted protected First Amendment activity.</w:t>
      </w:r>
      <w:r w:rsidRPr="00F07132">
        <w:rPr>
          <w:b w:val="0"/>
          <w:bCs w:val="0"/>
          <w:sz w:val="24"/>
          <w:szCs w:val="24"/>
        </w:rPr>
        <w:t xml:space="preserve">” </w:t>
      </w:r>
    </w:p>
    <w:p w14:paraId="72CAEE30" w14:textId="77777777" w:rsidR="00240D3F" w:rsidRDefault="00240D3F" w:rsidP="002B1283">
      <w:pPr>
        <w:rPr>
          <w:rFonts w:ascii="Arial Black" w:hAnsi="Arial Black"/>
          <w:b/>
          <w:bCs/>
          <w:sz w:val="28"/>
          <w:szCs w:val="28"/>
        </w:rPr>
      </w:pPr>
    </w:p>
    <w:p w14:paraId="73426D8D" w14:textId="77777777" w:rsidR="00240D3F" w:rsidRDefault="00240D3F" w:rsidP="002B1283">
      <w:pPr>
        <w:rPr>
          <w:rFonts w:ascii="Arial Black" w:hAnsi="Arial Black"/>
          <w:b/>
          <w:bCs/>
          <w:sz w:val="28"/>
          <w:szCs w:val="28"/>
        </w:rPr>
      </w:pPr>
    </w:p>
    <w:p w14:paraId="126E6BCE" w14:textId="6E2096B4" w:rsidR="009579EB" w:rsidRDefault="00936792" w:rsidP="002B1283">
      <w:pPr>
        <w:rPr>
          <w:rFonts w:ascii="Arial Black" w:hAnsi="Arial Black"/>
          <w:b/>
          <w:bCs/>
          <w:sz w:val="28"/>
          <w:szCs w:val="28"/>
        </w:rPr>
      </w:pPr>
      <w:r>
        <w:rPr>
          <w:rFonts w:ascii="Arial Black" w:hAnsi="Arial Black"/>
          <w:b/>
          <w:bCs/>
          <w:sz w:val="28"/>
          <w:szCs w:val="28"/>
        </w:rPr>
        <w:t>13-115</w:t>
      </w:r>
    </w:p>
    <w:p w14:paraId="3B64BDD2" w14:textId="77777777" w:rsidR="00936792" w:rsidRDefault="00936792" w:rsidP="00936792">
      <w:pPr>
        <w:spacing w:before="100" w:beforeAutospacing="1" w:after="100" w:afterAutospacing="1" w:line="240" w:lineRule="auto"/>
        <w:rPr>
          <w:rFonts w:ascii="Arial Black" w:hAnsi="Arial Black"/>
          <w:sz w:val="28"/>
          <w:szCs w:val="28"/>
        </w:rPr>
      </w:pPr>
      <w:r>
        <w:rPr>
          <w:rFonts w:ascii="Arial Black" w:hAnsi="Arial Black"/>
          <w:sz w:val="28"/>
          <w:szCs w:val="28"/>
        </w:rPr>
        <w:t>TX: MEDIC VIDEOED KICKING HOMELESS MAN – LAWSUIT PROCEED – ALLEGED FD POLICY NOT TERMINATING EMS</w:t>
      </w:r>
    </w:p>
    <w:p w14:paraId="22D2EBC5" w14:textId="77777777" w:rsidR="00936792" w:rsidRDefault="00936792" w:rsidP="0093679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On June 23, 2022, in</w:t>
      </w:r>
      <w:r>
        <w:t xml:space="preserve"> </w:t>
      </w:r>
      <w:r>
        <w:rPr>
          <w:rFonts w:ascii="Times New Roman" w:hAnsi="Times New Roman"/>
          <w:sz w:val="24"/>
          <w:szCs w:val="24"/>
          <w:u w:val="single"/>
        </w:rPr>
        <w:t>Kyle Vess v. City of Dallas, a municipal corporation, and Brad Alan Cox</w:t>
      </w:r>
      <w:r>
        <w:t xml:space="preserve">, </w:t>
      </w:r>
      <w:r>
        <w:rPr>
          <w:rFonts w:ascii="Times New Roman" w:hAnsi="Times New Roman"/>
          <w:sz w:val="24"/>
          <w:szCs w:val="24"/>
        </w:rPr>
        <w:t xml:space="preserve">U.S. Senior District Court Judge Sidney A. Fitzwater, U.S. District Court for the Northern District of Texas, denied the City’s motion to dismiss, and also declined to dismiss all of claims against the paramedic.  “Taking the facts alleged in the SAC [Second Amended Complaint] as true, the court concludes that Vess has plausibly pleaded that this policy ‘of protection for previously disciplined personnel by refusing to terminate or separate from employment individuals unfit to serve as members of the Dallas Fire Department despite good cause for termination and the risk these individuals pose to the public,’ SAC ¶ 45(d), was the moving force behind Cox's actions.  The Court also noted that Vess alleges that [Dallas Police Investigations Unit] hampered the investigation because it did not turn over exculpatory evidence to Vess's criminal defense attorney until two years after the events in question and not until after this lawsuit was filed. Further, DPIU did not take statements from DFD personnel when it was investigating Vess and Cox's confrontation; it only took statements from police officers who were on the scene.” </w:t>
      </w:r>
      <w:hyperlink r:id="rId2298" w:history="1">
        <w:r>
          <w:rPr>
            <w:rStyle w:val="Hyperlink"/>
            <w:sz w:val="24"/>
            <w:szCs w:val="24"/>
          </w:rPr>
          <w:t>https://public.fastcase.com/waZtJvSA54UAurM2rmIZz2loI3SMK51lisNXjYZKph2xHHDuTcicSNaYOQdhESxu4yBG2%2FvlbYv%2BMp6LYbH6Xh9C0n%2BJCkyXjjUwyrGDKNg%3D</w:t>
        </w:r>
      </w:hyperlink>
      <w:r>
        <w:rPr>
          <w:rFonts w:ascii="Times New Roman" w:hAnsi="Times New Roman"/>
          <w:sz w:val="24"/>
          <w:szCs w:val="24"/>
        </w:rPr>
        <w:t xml:space="preserve"> </w:t>
      </w:r>
    </w:p>
    <w:p w14:paraId="531B5ABA" w14:textId="77777777" w:rsidR="00936792" w:rsidRDefault="00936792" w:rsidP="0093679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Serious allegations; case will now proceed to pre-trial discovery. </w:t>
      </w:r>
    </w:p>
    <w:p w14:paraId="5B746A5C" w14:textId="77777777" w:rsidR="00936792" w:rsidRDefault="00936792" w:rsidP="00936792">
      <w:pPr>
        <w:pStyle w:val="Heading1"/>
        <w:ind w:left="720"/>
        <w:rPr>
          <w:b w:val="0"/>
          <w:bCs w:val="0"/>
          <w:sz w:val="24"/>
          <w:szCs w:val="24"/>
        </w:rPr>
      </w:pPr>
      <w:r>
        <w:rPr>
          <w:b w:val="0"/>
          <w:bCs w:val="0"/>
          <w:sz w:val="24"/>
          <w:szCs w:val="24"/>
        </w:rPr>
        <w:t>Note: See articles:</w:t>
      </w:r>
    </w:p>
    <w:p w14:paraId="1C212EA1" w14:textId="77777777" w:rsidR="00936792" w:rsidRDefault="00936792" w:rsidP="00936792">
      <w:pPr>
        <w:pStyle w:val="Heading1"/>
        <w:ind w:left="720"/>
        <w:rPr>
          <w:b w:val="0"/>
          <w:bCs w:val="0"/>
          <w:sz w:val="24"/>
          <w:szCs w:val="24"/>
        </w:rPr>
      </w:pPr>
      <w:r>
        <w:rPr>
          <w:b w:val="0"/>
          <w:bCs w:val="0"/>
          <w:sz w:val="24"/>
          <w:szCs w:val="24"/>
        </w:rPr>
        <w:t xml:space="preserve">“Court Shoots Down Dallas' Request to Toss Out Lawsuit Over Paramedic Kicking Man in Head” (June 28, 2022): </w:t>
      </w:r>
      <w:hyperlink r:id="rId2299" w:history="1">
        <w:r>
          <w:rPr>
            <w:rStyle w:val="Hyperlink"/>
            <w:sz w:val="24"/>
            <w:szCs w:val="24"/>
          </w:rPr>
          <w:t>https://www.dallasobserver.com/news/kyle-vess-court-rules-lawsuit-against-city-and-former-paramedic-can-move-forward-14303422</w:t>
        </w:r>
      </w:hyperlink>
      <w:r>
        <w:rPr>
          <w:b w:val="0"/>
          <w:bCs w:val="0"/>
          <w:sz w:val="24"/>
          <w:szCs w:val="24"/>
        </w:rPr>
        <w:t xml:space="preserve"> </w:t>
      </w:r>
    </w:p>
    <w:p w14:paraId="40069CD9" w14:textId="77777777" w:rsidR="00936792" w:rsidRDefault="00936792" w:rsidP="00936792">
      <w:pPr>
        <w:pStyle w:val="Heading1"/>
        <w:ind w:left="720"/>
        <w:rPr>
          <w:b w:val="0"/>
          <w:bCs w:val="0"/>
          <w:sz w:val="24"/>
          <w:szCs w:val="24"/>
        </w:rPr>
      </w:pPr>
      <w:r>
        <w:rPr>
          <w:b w:val="0"/>
          <w:bCs w:val="0"/>
          <w:sz w:val="24"/>
          <w:szCs w:val="24"/>
        </w:rPr>
        <w:t xml:space="preserve">After Police Review, No Charges Filed Against Former Dallas Paramedic Who Kicked Mentally Ill Man (March 7, 2022): </w:t>
      </w:r>
      <w:hyperlink r:id="rId2300" w:history="1">
        <w:r>
          <w:rPr>
            <w:rStyle w:val="Hyperlink"/>
            <w:sz w:val="24"/>
            <w:szCs w:val="24"/>
          </w:rPr>
          <w:t>https://www.dallasobserver.com/news/after-dpd-review-no-charges-filed-against-former-paramedic-who-kicked-mentally-ill-man-13536919</w:t>
        </w:r>
      </w:hyperlink>
      <w:r>
        <w:rPr>
          <w:b w:val="0"/>
          <w:bCs w:val="0"/>
          <w:sz w:val="24"/>
          <w:szCs w:val="24"/>
        </w:rPr>
        <w:t xml:space="preserve"> </w:t>
      </w:r>
    </w:p>
    <w:p w14:paraId="64CD8499" w14:textId="58BBF9D0" w:rsidR="00936792" w:rsidRDefault="00936792" w:rsidP="00936792">
      <w:pPr>
        <w:ind w:left="720"/>
        <w:rPr>
          <w:rFonts w:ascii="Arial Black" w:hAnsi="Arial Black"/>
          <w:b/>
          <w:bCs/>
          <w:sz w:val="28"/>
          <w:szCs w:val="28"/>
        </w:rPr>
      </w:pPr>
      <w:r>
        <w:rPr>
          <w:sz w:val="24"/>
          <w:szCs w:val="24"/>
        </w:rPr>
        <w:t xml:space="preserve">New Video Shows Dallas Paramedic Repeatedly Kicking Mentally Ill Man Before Police Show Up (Oct. 19, 2021): </w:t>
      </w:r>
      <w:hyperlink r:id="rId2301" w:history="1">
        <w:r>
          <w:rPr>
            <w:rStyle w:val="Hyperlink"/>
            <w:sz w:val="24"/>
            <w:szCs w:val="24"/>
          </w:rPr>
          <w:t>https://www.dallasobserver.com/news/watch-dallas-paramedic-kicks-mentally-ill-man-several-times-before-police-arrive-on-scene-12638001</w:t>
        </w:r>
      </w:hyperlink>
    </w:p>
    <w:p w14:paraId="18A989C0" w14:textId="77777777" w:rsidR="00936792" w:rsidRDefault="00936792" w:rsidP="002B1283">
      <w:pPr>
        <w:rPr>
          <w:rFonts w:ascii="Arial Black" w:hAnsi="Arial Black"/>
          <w:b/>
          <w:bCs/>
          <w:sz w:val="28"/>
          <w:szCs w:val="28"/>
        </w:rPr>
      </w:pPr>
    </w:p>
    <w:p w14:paraId="5E41758B" w14:textId="77777777" w:rsidR="00936792" w:rsidRDefault="00936792" w:rsidP="002B1283">
      <w:pPr>
        <w:rPr>
          <w:rFonts w:ascii="Arial Black" w:hAnsi="Arial Black"/>
          <w:b/>
          <w:bCs/>
          <w:sz w:val="28"/>
          <w:szCs w:val="28"/>
        </w:rPr>
      </w:pPr>
    </w:p>
    <w:p w14:paraId="42DCCC29" w14:textId="3B1636CF" w:rsidR="009579EB" w:rsidRDefault="009579EB" w:rsidP="002B1283">
      <w:pPr>
        <w:rPr>
          <w:rFonts w:ascii="Arial Black" w:hAnsi="Arial Black"/>
          <w:b/>
          <w:bCs/>
          <w:sz w:val="28"/>
          <w:szCs w:val="28"/>
        </w:rPr>
      </w:pPr>
      <w:r>
        <w:rPr>
          <w:rFonts w:ascii="Arial Black" w:hAnsi="Arial Black"/>
          <w:b/>
          <w:bCs/>
          <w:sz w:val="28"/>
          <w:szCs w:val="28"/>
        </w:rPr>
        <w:t>13-114</w:t>
      </w:r>
    </w:p>
    <w:p w14:paraId="7F66F2F4" w14:textId="77777777" w:rsidR="009579EB" w:rsidRDefault="009579EB" w:rsidP="009579EB">
      <w:pPr>
        <w:spacing w:before="100" w:beforeAutospacing="1" w:after="100" w:afterAutospacing="1" w:line="240" w:lineRule="auto"/>
        <w:rPr>
          <w:rFonts w:ascii="Arial Black" w:hAnsi="Arial Black"/>
          <w:b/>
          <w:sz w:val="28"/>
          <w:szCs w:val="28"/>
        </w:rPr>
      </w:pPr>
      <w:r>
        <w:rPr>
          <w:rFonts w:ascii="Arial Black" w:hAnsi="Arial Black"/>
          <w:b/>
          <w:sz w:val="28"/>
          <w:szCs w:val="28"/>
        </w:rPr>
        <w:t>MS: EMS ON SCENE 16 MINUTES – VICTIM SHOT 3 TIMES –P’S MD EXPERT - NO EMER. MED. EXP. - DISQUALIFIED</w:t>
      </w:r>
    </w:p>
    <w:p w14:paraId="3EE7BB5C" w14:textId="63D216FC" w:rsidR="009579EB" w:rsidRDefault="009579EB" w:rsidP="009579EB">
      <w:pPr>
        <w:rPr>
          <w:rStyle w:val="Hyperlink"/>
          <w:rFonts w:ascii="Times New Roman" w:hAnsi="Times New Roman"/>
          <w:sz w:val="24"/>
          <w:szCs w:val="24"/>
        </w:rPr>
      </w:pPr>
      <w:r w:rsidRPr="00B60757">
        <w:rPr>
          <w:rFonts w:ascii="Times New Roman" w:hAnsi="Times New Roman"/>
          <w:bCs/>
          <w:sz w:val="24"/>
          <w:szCs w:val="24"/>
        </w:rPr>
        <w:t xml:space="preserve">On May 12, 2022, in </w:t>
      </w:r>
      <w:r w:rsidRPr="005F737D">
        <w:rPr>
          <w:rFonts w:ascii="Times New Roman" w:hAnsi="Times New Roman"/>
          <w:bCs/>
          <w:sz w:val="24"/>
          <w:szCs w:val="24"/>
          <w:u w:val="single"/>
        </w:rPr>
        <w:t xml:space="preserve">Marcus Walker, on behalf of the wrongful death beneficiaries of </w:t>
      </w:r>
      <w:proofErr w:type="spellStart"/>
      <w:r w:rsidRPr="005F737D">
        <w:rPr>
          <w:rFonts w:ascii="Times New Roman" w:hAnsi="Times New Roman"/>
          <w:bCs/>
          <w:sz w:val="24"/>
          <w:szCs w:val="24"/>
          <w:u w:val="single"/>
        </w:rPr>
        <w:t>De’Aubrey</w:t>
      </w:r>
      <w:proofErr w:type="spellEnd"/>
      <w:r w:rsidRPr="005F737D">
        <w:rPr>
          <w:rFonts w:ascii="Times New Roman" w:hAnsi="Times New Roman"/>
          <w:bCs/>
          <w:sz w:val="24"/>
          <w:szCs w:val="24"/>
          <w:u w:val="single"/>
        </w:rPr>
        <w:t xml:space="preserve"> </w:t>
      </w:r>
      <w:proofErr w:type="spellStart"/>
      <w:r w:rsidRPr="005F737D">
        <w:rPr>
          <w:rFonts w:ascii="Times New Roman" w:hAnsi="Times New Roman"/>
          <w:bCs/>
          <w:sz w:val="24"/>
          <w:szCs w:val="24"/>
          <w:u w:val="single"/>
        </w:rPr>
        <w:t>Rajheem</w:t>
      </w:r>
      <w:proofErr w:type="spellEnd"/>
      <w:r w:rsidRPr="005F737D">
        <w:rPr>
          <w:rFonts w:ascii="Times New Roman" w:hAnsi="Times New Roman"/>
          <w:bCs/>
          <w:sz w:val="24"/>
          <w:szCs w:val="24"/>
          <w:u w:val="single"/>
        </w:rPr>
        <w:t xml:space="preserve"> Roscoe v. City of Indianola,</w:t>
      </w:r>
      <w:r>
        <w:rPr>
          <w:rFonts w:ascii="Times New Roman" w:hAnsi="Times New Roman"/>
          <w:bCs/>
          <w:sz w:val="24"/>
          <w:szCs w:val="24"/>
          <w:u w:val="single"/>
        </w:rPr>
        <w:t xml:space="preserve"> </w:t>
      </w:r>
      <w:proofErr w:type="spellStart"/>
      <w:r>
        <w:rPr>
          <w:rFonts w:ascii="Times New Roman" w:hAnsi="Times New Roman"/>
          <w:bCs/>
          <w:sz w:val="24"/>
          <w:szCs w:val="24"/>
          <w:u w:val="single"/>
        </w:rPr>
        <w:t>Medstat</w:t>
      </w:r>
      <w:proofErr w:type="spellEnd"/>
      <w:r>
        <w:rPr>
          <w:rFonts w:ascii="Times New Roman" w:hAnsi="Times New Roman"/>
          <w:bCs/>
          <w:sz w:val="24"/>
          <w:szCs w:val="24"/>
          <w:u w:val="single"/>
        </w:rPr>
        <w:t xml:space="preserve"> EMS, Inc. </w:t>
      </w:r>
      <w:r w:rsidRPr="005F737D">
        <w:rPr>
          <w:rFonts w:ascii="Times New Roman" w:hAnsi="Times New Roman"/>
          <w:bCs/>
          <w:sz w:val="24"/>
          <w:szCs w:val="24"/>
          <w:u w:val="single"/>
        </w:rPr>
        <w:t xml:space="preserve"> et al.</w:t>
      </w:r>
      <w:r>
        <w:rPr>
          <w:rFonts w:ascii="Times New Roman" w:hAnsi="Times New Roman"/>
          <w:bCs/>
          <w:sz w:val="24"/>
          <w:szCs w:val="24"/>
        </w:rPr>
        <w:t xml:space="preserve">, U.S. District Court Judge for the Northern District of Mississippi granted </w:t>
      </w:r>
      <w:proofErr w:type="spellStart"/>
      <w:r>
        <w:rPr>
          <w:rFonts w:ascii="Times New Roman" w:hAnsi="Times New Roman"/>
          <w:bCs/>
          <w:sz w:val="24"/>
          <w:szCs w:val="24"/>
        </w:rPr>
        <w:t>Medstat’s</w:t>
      </w:r>
      <w:proofErr w:type="spellEnd"/>
      <w:r>
        <w:rPr>
          <w:rFonts w:ascii="Times New Roman" w:hAnsi="Times New Roman"/>
          <w:bCs/>
          <w:sz w:val="24"/>
          <w:szCs w:val="24"/>
        </w:rPr>
        <w:t xml:space="preserve"> motion to exclude plaintiff’s expert, Obie McNair, MD. </w:t>
      </w:r>
      <w:r w:rsidRPr="00DB3E42">
        <w:rPr>
          <w:rFonts w:ascii="Times New Roman" w:hAnsi="Times New Roman"/>
          <w:sz w:val="24"/>
          <w:szCs w:val="24"/>
        </w:rPr>
        <w:t>On April 24, 2019,</w:t>
      </w:r>
      <w:r>
        <w:rPr>
          <w:rFonts w:ascii="Times New Roman" w:hAnsi="Times New Roman"/>
          <w:sz w:val="24"/>
          <w:szCs w:val="24"/>
        </w:rPr>
        <w:t xml:space="preserve"> </w:t>
      </w:r>
      <w:r w:rsidRPr="00BF05FA">
        <w:rPr>
          <w:rFonts w:ascii="Times New Roman" w:hAnsi="Times New Roman"/>
          <w:sz w:val="24"/>
          <w:szCs w:val="24"/>
        </w:rPr>
        <w:t>Roscoe had been shot three times, and one of the bullets had perforated the deceased's liver and right lung, thereby causing a collapsed lung (</w:t>
      </w:r>
      <w:r>
        <w:rPr>
          <w:rFonts w:ascii="Times New Roman" w:hAnsi="Times New Roman"/>
          <w:sz w:val="24"/>
          <w:szCs w:val="24"/>
        </w:rPr>
        <w:t>‘</w:t>
      </w:r>
      <w:r w:rsidRPr="00BF05FA">
        <w:rPr>
          <w:rFonts w:ascii="Times New Roman" w:hAnsi="Times New Roman"/>
          <w:sz w:val="24"/>
          <w:szCs w:val="24"/>
        </w:rPr>
        <w:t>pneumothorax</w:t>
      </w:r>
      <w:r>
        <w:rPr>
          <w:rFonts w:ascii="Times New Roman" w:hAnsi="Times New Roman"/>
          <w:sz w:val="24"/>
          <w:szCs w:val="24"/>
        </w:rPr>
        <w:t>’</w:t>
      </w:r>
      <w:r w:rsidRPr="00BF05FA">
        <w:rPr>
          <w:rFonts w:ascii="Times New Roman" w:hAnsi="Times New Roman"/>
          <w:sz w:val="24"/>
          <w:szCs w:val="24"/>
        </w:rPr>
        <w:t xml:space="preserve"> in medical terms) and bleeding in the space between the lung and the chest cavity (a </w:t>
      </w:r>
      <w:r>
        <w:rPr>
          <w:rFonts w:ascii="Times New Roman" w:hAnsi="Times New Roman"/>
          <w:sz w:val="24"/>
          <w:szCs w:val="24"/>
        </w:rPr>
        <w:t>‘</w:t>
      </w:r>
      <w:r w:rsidRPr="00BF05FA">
        <w:rPr>
          <w:rFonts w:ascii="Times New Roman" w:hAnsi="Times New Roman"/>
          <w:sz w:val="24"/>
          <w:szCs w:val="24"/>
        </w:rPr>
        <w:t>hemothorax</w:t>
      </w:r>
      <w:r>
        <w:rPr>
          <w:rFonts w:ascii="Times New Roman" w:hAnsi="Times New Roman"/>
          <w:sz w:val="24"/>
          <w:szCs w:val="24"/>
        </w:rPr>
        <w:t>”</w:t>
      </w:r>
      <w:r w:rsidRPr="00BF05FA">
        <w:rPr>
          <w:rFonts w:ascii="Times New Roman" w:hAnsi="Times New Roman"/>
          <w:sz w:val="24"/>
          <w:szCs w:val="24"/>
        </w:rPr>
        <w:t>)</w:t>
      </w:r>
      <w:r>
        <w:rPr>
          <w:rFonts w:ascii="Times New Roman" w:hAnsi="Times New Roman"/>
          <w:sz w:val="24"/>
          <w:szCs w:val="24"/>
        </w:rPr>
        <w:t xml:space="preserve">. </w:t>
      </w:r>
      <w:r w:rsidRPr="00BF05FA">
        <w:rPr>
          <w:rFonts w:ascii="Times New Roman" w:hAnsi="Times New Roman"/>
          <w:sz w:val="24"/>
          <w:szCs w:val="24"/>
        </w:rPr>
        <w:t xml:space="preserve">Defendant </w:t>
      </w:r>
      <w:proofErr w:type="spellStart"/>
      <w:r w:rsidRPr="00BF05FA">
        <w:rPr>
          <w:rFonts w:ascii="Times New Roman" w:hAnsi="Times New Roman"/>
          <w:sz w:val="24"/>
          <w:szCs w:val="24"/>
        </w:rPr>
        <w:t>MedStat's</w:t>
      </w:r>
      <w:proofErr w:type="spellEnd"/>
      <w:r w:rsidRPr="00BF05FA">
        <w:rPr>
          <w:rFonts w:ascii="Times New Roman" w:hAnsi="Times New Roman"/>
          <w:sz w:val="24"/>
          <w:szCs w:val="24"/>
        </w:rPr>
        <w:t xml:space="preserve"> crew members treated Roscoe for sixteen minutes at the </w:t>
      </w:r>
      <w:proofErr w:type="gramStart"/>
      <w:r w:rsidRPr="00BF05FA">
        <w:rPr>
          <w:rFonts w:ascii="Times New Roman" w:hAnsi="Times New Roman"/>
          <w:sz w:val="24"/>
          <w:szCs w:val="24"/>
        </w:rPr>
        <w:t>scene, and</w:t>
      </w:r>
      <w:proofErr w:type="gramEnd"/>
      <w:r w:rsidRPr="00BF05FA">
        <w:rPr>
          <w:rFonts w:ascii="Times New Roman" w:hAnsi="Times New Roman"/>
          <w:sz w:val="24"/>
          <w:szCs w:val="24"/>
        </w:rPr>
        <w:t xml:space="preserve"> then left the scene in an ambulance heading toward the local hospital</w:t>
      </w:r>
      <w:r>
        <w:rPr>
          <w:rFonts w:ascii="Times New Roman" w:hAnsi="Times New Roman"/>
          <w:sz w:val="24"/>
          <w:szCs w:val="24"/>
        </w:rPr>
        <w:t xml:space="preserve">, where he died.  </w:t>
      </w:r>
      <w:r w:rsidRPr="00133A12">
        <w:rPr>
          <w:rFonts w:ascii="Times New Roman" w:hAnsi="Times New Roman"/>
          <w:sz w:val="24"/>
          <w:szCs w:val="24"/>
        </w:rPr>
        <w:t>Plaintiff’s expert is a physician who is board-certified in internal medicine and pulmonary medicine</w:t>
      </w:r>
      <w:r>
        <w:rPr>
          <w:rFonts w:ascii="Times New Roman" w:hAnsi="Times New Roman"/>
          <w:sz w:val="24"/>
          <w:szCs w:val="24"/>
        </w:rPr>
        <w:t xml:space="preserve">, but has no </w:t>
      </w:r>
      <w:r w:rsidRPr="00133A12">
        <w:rPr>
          <w:rFonts w:ascii="Times New Roman" w:hAnsi="Times New Roman"/>
          <w:sz w:val="24"/>
          <w:szCs w:val="24"/>
        </w:rPr>
        <w:t>experience, education, or background related to emergency medicine or the standards at play when treating patients in the field and on ambulances</w:t>
      </w:r>
      <w:r>
        <w:rPr>
          <w:rFonts w:ascii="Times New Roman" w:hAnsi="Times New Roman"/>
          <w:sz w:val="24"/>
          <w:szCs w:val="24"/>
        </w:rPr>
        <w:t xml:space="preserve">. </w:t>
      </w:r>
      <w:hyperlink r:id="rId2302" w:history="1">
        <w:r w:rsidRPr="00826068">
          <w:rPr>
            <w:rStyle w:val="Hyperlink"/>
            <w:rFonts w:ascii="Times New Roman" w:hAnsi="Times New Roman"/>
            <w:sz w:val="24"/>
            <w:szCs w:val="24"/>
          </w:rPr>
          <w:t>https://public.fastcase.com/waZtJvSA54UAurM2rmIZz3GImxM8vVu83JjC1hitqCF6J52x3NFj71FjQLuzCLQnmvBPUszpB78vzjnxu9to%2Fq0ClMx7mkWBtvY01d0uDxg%3D</w:t>
        </w:r>
      </w:hyperlink>
    </w:p>
    <w:p w14:paraId="68C95F6A" w14:textId="77777777" w:rsidR="009579EB" w:rsidRPr="00B97849" w:rsidRDefault="009579EB" w:rsidP="009579EB">
      <w:pPr>
        <w:spacing w:before="100" w:beforeAutospacing="1" w:after="100" w:afterAutospacing="1" w:line="240" w:lineRule="auto"/>
        <w:rPr>
          <w:rFonts w:ascii="Times New Roman" w:eastAsia="Times New Roman" w:hAnsi="Times New Roman"/>
          <w:b/>
          <w:bCs/>
          <w:sz w:val="24"/>
          <w:szCs w:val="24"/>
        </w:rPr>
      </w:pPr>
      <w:r w:rsidRPr="00133A12">
        <w:rPr>
          <w:rFonts w:ascii="Times New Roman" w:hAnsi="Times New Roman"/>
          <w:b/>
          <w:bCs/>
          <w:sz w:val="24"/>
          <w:szCs w:val="24"/>
        </w:rPr>
        <w:t>Legal Lesson Learned:</w:t>
      </w:r>
      <w:r>
        <w:rPr>
          <w:rFonts w:ascii="Times New Roman" w:hAnsi="Times New Roman"/>
          <w:b/>
          <w:bCs/>
          <w:sz w:val="24"/>
          <w:szCs w:val="24"/>
        </w:rPr>
        <w:t xml:space="preserve"> Plaintiff’s expert witness lacked knowledge of protocol of paramedics. </w:t>
      </w:r>
    </w:p>
    <w:p w14:paraId="0DC8BB62" w14:textId="77777777" w:rsidR="009579EB" w:rsidRDefault="009579EB" w:rsidP="009579EB">
      <w:pPr>
        <w:rPr>
          <w:rFonts w:ascii="Arial Black" w:hAnsi="Arial Black"/>
          <w:b/>
          <w:bCs/>
          <w:sz w:val="28"/>
          <w:szCs w:val="28"/>
        </w:rPr>
      </w:pPr>
    </w:p>
    <w:p w14:paraId="769C2869" w14:textId="77777777" w:rsidR="009579EB" w:rsidRDefault="009579EB" w:rsidP="002B1283">
      <w:pPr>
        <w:rPr>
          <w:rFonts w:ascii="Arial Black" w:hAnsi="Arial Black"/>
          <w:b/>
          <w:bCs/>
          <w:sz w:val="28"/>
          <w:szCs w:val="28"/>
        </w:rPr>
      </w:pPr>
    </w:p>
    <w:p w14:paraId="33A07AB7" w14:textId="2B910C93" w:rsidR="00BA51CC" w:rsidRDefault="00BA51CC" w:rsidP="002B1283">
      <w:pPr>
        <w:rPr>
          <w:rFonts w:ascii="Arial Black" w:hAnsi="Arial Black"/>
          <w:b/>
          <w:bCs/>
          <w:sz w:val="28"/>
          <w:szCs w:val="28"/>
        </w:rPr>
      </w:pPr>
      <w:r>
        <w:rPr>
          <w:rFonts w:ascii="Arial Black" w:hAnsi="Arial Black"/>
          <w:b/>
          <w:bCs/>
          <w:sz w:val="28"/>
          <w:szCs w:val="28"/>
        </w:rPr>
        <w:t>13-113</w:t>
      </w:r>
    </w:p>
    <w:p w14:paraId="77E8980D" w14:textId="77777777" w:rsidR="00BA51CC" w:rsidRDefault="00BA51CC" w:rsidP="00BA51CC">
      <w:pPr>
        <w:spacing w:before="100" w:beforeAutospacing="1" w:after="100" w:afterAutospacing="1" w:line="240" w:lineRule="auto"/>
        <w:rPr>
          <w:rFonts w:ascii="Arial Black" w:hAnsi="Arial Black"/>
          <w:sz w:val="28"/>
          <w:szCs w:val="28"/>
        </w:rPr>
      </w:pPr>
      <w:r w:rsidRPr="00A84EAB">
        <w:rPr>
          <w:rFonts w:ascii="Arial Black" w:hAnsi="Arial Black"/>
          <w:sz w:val="28"/>
          <w:szCs w:val="28"/>
        </w:rPr>
        <w:t xml:space="preserve">OH: </w:t>
      </w:r>
      <w:r>
        <w:rPr>
          <w:rFonts w:ascii="Arial Black" w:hAnsi="Arial Black"/>
          <w:sz w:val="28"/>
          <w:szCs w:val="28"/>
        </w:rPr>
        <w:t>SEVERE ASTHMA ATTACK – EMS WRONG ADDRESS, SLOOPY DISPATCH - “RECKLESSNESS” – CASE PROCEED</w:t>
      </w:r>
    </w:p>
    <w:p w14:paraId="2BB11396" w14:textId="311E1C64" w:rsidR="00BA51CC" w:rsidRDefault="00BA51CC" w:rsidP="00BA51CC">
      <w:pPr>
        <w:rPr>
          <w:rFonts w:ascii="Arial Black" w:hAnsi="Arial Black"/>
          <w:b/>
          <w:bCs/>
          <w:sz w:val="28"/>
          <w:szCs w:val="28"/>
        </w:rPr>
      </w:pPr>
      <w:r>
        <w:rPr>
          <w:rFonts w:ascii="Times New Roman" w:eastAsia="Times New Roman" w:hAnsi="Times New Roman"/>
          <w:sz w:val="24"/>
          <w:szCs w:val="24"/>
        </w:rPr>
        <w:t xml:space="preserve">On May 5, 2022, in </w:t>
      </w:r>
      <w:r w:rsidRPr="0013666F">
        <w:rPr>
          <w:rFonts w:ascii="Times New Roman" w:eastAsia="Times New Roman" w:hAnsi="Times New Roman"/>
          <w:sz w:val="24"/>
          <w:szCs w:val="24"/>
          <w:u w:val="single"/>
        </w:rPr>
        <w:t>Boris Morrison v. City of Warrensville Heights, et al</w:t>
      </w:r>
      <w:r>
        <w:rPr>
          <w:rFonts w:ascii="Times New Roman" w:eastAsia="Times New Roman" w:hAnsi="Times New Roman"/>
          <w:sz w:val="24"/>
          <w:szCs w:val="24"/>
        </w:rPr>
        <w:t xml:space="preserve">., the Court of Appeals of Ohio, Eighth District (Cuyahoga County), held (3 to 0), 2022-Ohio-1489, that the trial court properly denied summary judgment for dispatch and fire / EMS since there appears to be a history of “recklessness” in confirm addresses, and inaccurate arrival times on run reports.  Squad 1 responded to </w:t>
      </w:r>
      <w:r w:rsidRPr="00B93C27">
        <w:rPr>
          <w:rFonts w:ascii="Times New Roman" w:hAnsi="Times New Roman"/>
          <w:sz w:val="24"/>
          <w:szCs w:val="24"/>
        </w:rPr>
        <w:t xml:space="preserve">19419 </w:t>
      </w:r>
      <w:proofErr w:type="spellStart"/>
      <w:r w:rsidRPr="00B93C27">
        <w:rPr>
          <w:rFonts w:ascii="Times New Roman" w:hAnsi="Times New Roman"/>
          <w:sz w:val="24"/>
          <w:szCs w:val="24"/>
        </w:rPr>
        <w:t>Lanbury</w:t>
      </w:r>
      <w:proofErr w:type="spellEnd"/>
      <w:r w:rsidRPr="00B93C27">
        <w:rPr>
          <w:rFonts w:ascii="Times New Roman" w:hAnsi="Times New Roman"/>
          <w:sz w:val="24"/>
          <w:szCs w:val="24"/>
        </w:rPr>
        <w:t xml:space="preserve">, instead of 19219 </w:t>
      </w:r>
      <w:proofErr w:type="spellStart"/>
      <w:r w:rsidRPr="00B93C27">
        <w:rPr>
          <w:rFonts w:ascii="Times New Roman" w:hAnsi="Times New Roman"/>
          <w:sz w:val="24"/>
          <w:szCs w:val="24"/>
        </w:rPr>
        <w:t>Lanbury</w:t>
      </w:r>
      <w:proofErr w:type="spellEnd"/>
      <w:r>
        <w:rPr>
          <w:rFonts w:ascii="Times New Roman" w:hAnsi="Times New Roman"/>
          <w:sz w:val="24"/>
          <w:szCs w:val="24"/>
        </w:rPr>
        <w:t xml:space="preserve">, and when they eventually got the correct </w:t>
      </w:r>
      <w:proofErr w:type="gramStart"/>
      <w:r>
        <w:rPr>
          <w:rFonts w:ascii="Times New Roman" w:hAnsi="Times New Roman"/>
          <w:sz w:val="24"/>
          <w:szCs w:val="24"/>
        </w:rPr>
        <w:t>address</w:t>
      </w:r>
      <w:proofErr w:type="gramEnd"/>
      <w:r>
        <w:rPr>
          <w:rFonts w:ascii="Times New Roman" w:hAnsi="Times New Roman"/>
          <w:sz w:val="24"/>
          <w:szCs w:val="24"/>
        </w:rPr>
        <w:t xml:space="preserve"> the patient was in full cardiac arrest. </w:t>
      </w:r>
      <w:r>
        <w:rPr>
          <w:rFonts w:ascii="Times New Roman" w:eastAsia="Times New Roman" w:hAnsi="Times New Roman"/>
          <w:sz w:val="24"/>
          <w:szCs w:val="24"/>
        </w:rPr>
        <w:t xml:space="preserve">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asked the County Sheriff’s office to investigate and their report reflected a history of sloppy procedures on confirming run addresses and inaccurate run times.  The Court of Appeals noted: </w:t>
      </w:r>
      <w:r>
        <w:rPr>
          <w:rFonts w:ascii="Times New Roman" w:hAnsi="Times New Roman"/>
          <w:sz w:val="24"/>
          <w:szCs w:val="24"/>
        </w:rPr>
        <w:t>“</w:t>
      </w:r>
      <w:r w:rsidRPr="00B4142C">
        <w:rPr>
          <w:rFonts w:ascii="Times New Roman" w:eastAsia="Times New Roman" w:hAnsi="Times New Roman"/>
          <w:sz w:val="24"/>
          <w:szCs w:val="24"/>
        </w:rPr>
        <w:t xml:space="preserve">Both the run report and the dispatch report show that Ms. Morrison's 911 call was received at 9:40 a.m. However, the 911 call was </w:t>
      </w:r>
      <w:proofErr w:type="gramStart"/>
      <w:r w:rsidRPr="00B4142C">
        <w:rPr>
          <w:rFonts w:ascii="Times New Roman" w:eastAsia="Times New Roman" w:hAnsi="Times New Roman"/>
          <w:sz w:val="24"/>
          <w:szCs w:val="24"/>
        </w:rPr>
        <w:t>actually received</w:t>
      </w:r>
      <w:proofErr w:type="gramEnd"/>
      <w:r w:rsidRPr="00B4142C">
        <w:rPr>
          <w:rFonts w:ascii="Times New Roman" w:eastAsia="Times New Roman" w:hAnsi="Times New Roman"/>
          <w:sz w:val="24"/>
          <w:szCs w:val="24"/>
        </w:rPr>
        <w:t xml:space="preserve"> at 9:37 a.m. This change makes it appear that EMS was dispatched as soon as the call was received. They both also show that EMS arrived at Ms. Morrison's home at 9:44 a.m. making it appear that Ms. Morrison received services three minutes earlier than she </w:t>
      </w:r>
      <w:proofErr w:type="gramStart"/>
      <w:r w:rsidRPr="00B4142C">
        <w:rPr>
          <w:rFonts w:ascii="Times New Roman" w:eastAsia="Times New Roman" w:hAnsi="Times New Roman"/>
          <w:sz w:val="24"/>
          <w:szCs w:val="24"/>
        </w:rPr>
        <w:t>actually did</w:t>
      </w:r>
      <w:proofErr w:type="gramEnd"/>
      <w:r w:rsidRPr="00B4142C">
        <w:rPr>
          <w:rFonts w:ascii="Times New Roman" w:eastAsia="Times New Roman" w:hAnsi="Times New Roman"/>
          <w:sz w:val="24"/>
          <w:szCs w:val="24"/>
        </w:rPr>
        <w:t>.</w:t>
      </w:r>
      <w:r>
        <w:rPr>
          <w:rFonts w:ascii="Times New Roman" w:eastAsia="Times New Roman" w:hAnsi="Times New Roman"/>
          <w:sz w:val="24"/>
          <w:szCs w:val="24"/>
        </w:rPr>
        <w:t xml:space="preserve">” </w:t>
      </w:r>
      <w:hyperlink r:id="rId2303" w:history="1">
        <w:r w:rsidRPr="00B7678D">
          <w:rPr>
            <w:rStyle w:val="Hyperlink"/>
            <w:rFonts w:ascii="Times New Roman" w:eastAsia="Times New Roman" w:hAnsi="Times New Roman"/>
            <w:sz w:val="24"/>
            <w:szCs w:val="24"/>
          </w:rPr>
          <w:t>https://www.supremecourt.ohio.gov/rod/docs/pdf/8/2022/2022-Ohio-1489.pdf</w:t>
        </w:r>
      </w:hyperlink>
    </w:p>
    <w:p w14:paraId="0F377C22" w14:textId="77777777" w:rsidR="00BA51CC" w:rsidRPr="00B4142C" w:rsidRDefault="00BA51CC" w:rsidP="00BA51CC">
      <w:pPr>
        <w:spacing w:before="100" w:beforeAutospacing="1" w:after="100" w:afterAutospacing="1" w:line="240" w:lineRule="auto"/>
        <w:rPr>
          <w:rFonts w:ascii="Times New Roman" w:eastAsia="Times New Roman" w:hAnsi="Times New Roman"/>
          <w:b/>
          <w:bCs/>
          <w:sz w:val="24"/>
          <w:szCs w:val="24"/>
        </w:rPr>
      </w:pPr>
      <w:r w:rsidRPr="00B438A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 City would be wise to settle this </w:t>
      </w:r>
      <w:proofErr w:type="gramStart"/>
      <w:r>
        <w:rPr>
          <w:rFonts w:ascii="Times New Roman" w:eastAsia="Times New Roman" w:hAnsi="Times New Roman"/>
          <w:b/>
          <w:bCs/>
          <w:sz w:val="24"/>
          <w:szCs w:val="24"/>
        </w:rPr>
        <w:t>lawsuit, and</w:t>
      </w:r>
      <w:proofErr w:type="gramEnd"/>
      <w:r>
        <w:rPr>
          <w:rFonts w:ascii="Times New Roman" w:eastAsia="Times New Roman" w:hAnsi="Times New Roman"/>
          <w:b/>
          <w:bCs/>
          <w:sz w:val="24"/>
          <w:szCs w:val="24"/>
        </w:rPr>
        <w:t xml:space="preserve"> promptly correct these identified deficiencies in both dispatch and fire/EMS. </w:t>
      </w:r>
    </w:p>
    <w:p w14:paraId="7ABD8424" w14:textId="77777777" w:rsidR="00BA51CC" w:rsidRDefault="00BA51CC" w:rsidP="002B1283">
      <w:pPr>
        <w:rPr>
          <w:rFonts w:ascii="Arial Black" w:hAnsi="Arial Black"/>
          <w:b/>
          <w:bCs/>
          <w:sz w:val="28"/>
          <w:szCs w:val="28"/>
        </w:rPr>
      </w:pPr>
    </w:p>
    <w:p w14:paraId="7021DB0B" w14:textId="77777777" w:rsidR="00BA51CC" w:rsidRDefault="00BA51CC" w:rsidP="002B1283">
      <w:pPr>
        <w:rPr>
          <w:rFonts w:ascii="Arial Black" w:hAnsi="Arial Black"/>
          <w:b/>
          <w:bCs/>
          <w:sz w:val="28"/>
          <w:szCs w:val="28"/>
        </w:rPr>
      </w:pPr>
    </w:p>
    <w:p w14:paraId="3F02350E" w14:textId="5383535C" w:rsidR="00BA51CC" w:rsidRDefault="00BA51CC" w:rsidP="002B1283">
      <w:pPr>
        <w:rPr>
          <w:rFonts w:ascii="Arial Black" w:hAnsi="Arial Black"/>
          <w:b/>
          <w:bCs/>
          <w:sz w:val="28"/>
          <w:szCs w:val="28"/>
        </w:rPr>
      </w:pPr>
      <w:r>
        <w:rPr>
          <w:rFonts w:ascii="Arial Black" w:hAnsi="Arial Black"/>
          <w:b/>
          <w:bCs/>
          <w:sz w:val="28"/>
          <w:szCs w:val="28"/>
        </w:rPr>
        <w:t>13-112</w:t>
      </w:r>
    </w:p>
    <w:p w14:paraId="70567211" w14:textId="77777777" w:rsidR="00BA51CC" w:rsidRPr="00F7080A" w:rsidRDefault="00BA51CC" w:rsidP="00BA51CC">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NY: 350 POUND SEIZURE PATIENT - FLAILING AROUND – VERSED – DIED – PLAINTIFF 3 EXPERTS – CASE PROCEED</w:t>
      </w:r>
    </w:p>
    <w:p w14:paraId="3F62F9AD" w14:textId="77777777" w:rsidR="00BA51CC" w:rsidRDefault="00BA51CC" w:rsidP="00BA51CC">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May 2, 2022, in </w:t>
      </w:r>
      <w:r w:rsidRPr="001710B6">
        <w:rPr>
          <w:rFonts w:ascii="Times New Roman" w:hAnsi="Times New Roman"/>
          <w:sz w:val="24"/>
          <w:szCs w:val="24"/>
          <w:u w:val="single"/>
        </w:rPr>
        <w:t xml:space="preserve">Linda Artemiou, Estate of Peter C. </w:t>
      </w:r>
      <w:proofErr w:type="spellStart"/>
      <w:r w:rsidRPr="001710B6">
        <w:rPr>
          <w:rFonts w:ascii="Times New Roman" w:hAnsi="Times New Roman"/>
          <w:sz w:val="24"/>
          <w:szCs w:val="24"/>
          <w:u w:val="single"/>
        </w:rPr>
        <w:t>Artemiou</w:t>
      </w:r>
      <w:proofErr w:type="spellEnd"/>
      <w:r w:rsidRPr="001710B6">
        <w:rPr>
          <w:rFonts w:ascii="Times New Roman" w:hAnsi="Times New Roman"/>
          <w:sz w:val="24"/>
          <w:szCs w:val="24"/>
          <w:u w:val="single"/>
        </w:rPr>
        <w:t>, Deceased v. City of New York, et al</w:t>
      </w:r>
      <w:r>
        <w:rPr>
          <w:rFonts w:ascii="Times New Roman" w:hAnsi="Times New Roman"/>
          <w:sz w:val="24"/>
          <w:szCs w:val="24"/>
        </w:rPr>
        <w:t xml:space="preserve">., the Supreme Court, New York County, held Justice Judith McMahon held that while the medical doctor on the NYC Telemetry Unit who authorized the Versed enjoys governmental immunity, as does the City of New York, the lawsuit against the medics, employed by New York-Presbyterian Hospital will not dismissed. Co-workers of the patient </w:t>
      </w:r>
      <w:r w:rsidRPr="00DD7BC1">
        <w:rPr>
          <w:rFonts w:ascii="Times New Roman" w:hAnsi="Times New Roman"/>
          <w:sz w:val="24"/>
          <w:szCs w:val="24"/>
        </w:rPr>
        <w:t xml:space="preserve">described the decedent on the morning of the emergency as "foaming at the mouth," speaking incoherently and calling for his mother, standing up, </w:t>
      </w:r>
      <w:proofErr w:type="gramStart"/>
      <w:r w:rsidRPr="00DD7BC1">
        <w:rPr>
          <w:rFonts w:ascii="Times New Roman" w:hAnsi="Times New Roman"/>
          <w:sz w:val="24"/>
          <w:szCs w:val="24"/>
        </w:rPr>
        <w:t>falling down</w:t>
      </w:r>
      <w:proofErr w:type="gramEnd"/>
      <w:r w:rsidRPr="00DD7BC1">
        <w:rPr>
          <w:rFonts w:ascii="Times New Roman" w:hAnsi="Times New Roman"/>
          <w:sz w:val="24"/>
          <w:szCs w:val="24"/>
        </w:rPr>
        <w:t xml:space="preserve">, flailing around the room and appearing </w:t>
      </w:r>
      <w:r>
        <w:rPr>
          <w:rFonts w:ascii="Times New Roman" w:hAnsi="Times New Roman"/>
          <w:sz w:val="24"/>
          <w:szCs w:val="24"/>
        </w:rPr>
        <w:t>‘</w:t>
      </w:r>
      <w:r w:rsidRPr="00DD7BC1">
        <w:rPr>
          <w:rFonts w:ascii="Times New Roman" w:hAnsi="Times New Roman"/>
          <w:sz w:val="24"/>
          <w:szCs w:val="24"/>
        </w:rPr>
        <w:t>very agitated.</w:t>
      </w:r>
      <w:r>
        <w:rPr>
          <w:rFonts w:ascii="Times New Roman" w:hAnsi="Times New Roman"/>
          <w:sz w:val="24"/>
          <w:szCs w:val="24"/>
        </w:rPr>
        <w:t xml:space="preserve"> </w:t>
      </w:r>
      <w:r w:rsidRPr="00DD7BC1">
        <w:rPr>
          <w:rFonts w:ascii="Times New Roman" w:hAnsi="Times New Roman"/>
          <w:sz w:val="24"/>
          <w:szCs w:val="24"/>
        </w:rPr>
        <w:t xml:space="preserve">Dr. Schneitzer, who was physically at an FDNY </w:t>
      </w:r>
      <w:r>
        <w:rPr>
          <w:rFonts w:ascii="Times New Roman" w:hAnsi="Times New Roman"/>
          <w:sz w:val="24"/>
          <w:szCs w:val="24"/>
        </w:rPr>
        <w:t>‘</w:t>
      </w:r>
      <w:r w:rsidRPr="00DD7BC1">
        <w:rPr>
          <w:rFonts w:ascii="Times New Roman" w:hAnsi="Times New Roman"/>
          <w:sz w:val="24"/>
          <w:szCs w:val="24"/>
        </w:rPr>
        <w:t>online medical control</w:t>
      </w:r>
      <w:r>
        <w:rPr>
          <w:rFonts w:ascii="Times New Roman" w:hAnsi="Times New Roman"/>
          <w:sz w:val="24"/>
          <w:szCs w:val="24"/>
        </w:rPr>
        <w:t>’</w:t>
      </w:r>
      <w:r w:rsidRPr="00DD7BC1">
        <w:rPr>
          <w:rFonts w:ascii="Times New Roman" w:hAnsi="Times New Roman"/>
          <w:sz w:val="24"/>
          <w:szCs w:val="24"/>
        </w:rPr>
        <w:t xml:space="preserve"> office in Maspeth, Queens when the paramedic's call was transferred to her, claims that she instructed the paramedics according to the information they provided her (</w:t>
      </w:r>
      <w:r w:rsidRPr="00DD7BC1">
        <w:rPr>
          <w:rStyle w:val="Emphasis"/>
          <w:rFonts w:ascii="Times New Roman" w:hAnsi="Times New Roman"/>
          <w:sz w:val="24"/>
          <w:szCs w:val="24"/>
        </w:rPr>
        <w:t>i.e.,</w:t>
      </w:r>
      <w:r w:rsidRPr="00DD7BC1">
        <w:rPr>
          <w:rFonts w:ascii="Times New Roman" w:hAnsi="Times New Roman"/>
          <w:sz w:val="24"/>
          <w:szCs w:val="24"/>
        </w:rPr>
        <w:t xml:space="preserve"> their inability to get close enough to decedent to obtain his vital signs, inability to ascertain decedent's medical history, </w:t>
      </w:r>
      <w:proofErr w:type="spellStart"/>
      <w:r w:rsidRPr="00DD7BC1">
        <w:rPr>
          <w:rFonts w:ascii="Times New Roman" w:hAnsi="Times New Roman"/>
          <w:sz w:val="24"/>
          <w:szCs w:val="24"/>
        </w:rPr>
        <w:t>etc</w:t>
      </w:r>
      <w:r>
        <w:rPr>
          <w:rFonts w:ascii="Times New Roman" w:hAnsi="Times New Roman"/>
          <w:sz w:val="24"/>
          <w:szCs w:val="24"/>
        </w:rPr>
        <w:t>.Court</w:t>
      </w:r>
      <w:proofErr w:type="spellEnd"/>
      <w:r>
        <w:rPr>
          <w:rFonts w:ascii="Times New Roman" w:hAnsi="Times New Roman"/>
          <w:sz w:val="24"/>
          <w:szCs w:val="24"/>
        </w:rPr>
        <w:t xml:space="preserve"> declined to dismiss the medics from the lawsuit, based on plaintiff’s three medical experts: (1) </w:t>
      </w:r>
      <w:r w:rsidRPr="00075CA3">
        <w:rPr>
          <w:rFonts w:ascii="Times New Roman" w:hAnsi="Times New Roman"/>
          <w:sz w:val="24"/>
          <w:szCs w:val="24"/>
        </w:rPr>
        <w:t>certified paramedic</w:t>
      </w:r>
      <w:r>
        <w:rPr>
          <w:rFonts w:ascii="Times New Roman" w:hAnsi="Times New Roman"/>
          <w:sz w:val="24"/>
          <w:szCs w:val="24"/>
        </w:rPr>
        <w:t xml:space="preserve">; (2) </w:t>
      </w:r>
      <w:r w:rsidRPr="00075CA3">
        <w:rPr>
          <w:rFonts w:ascii="Times New Roman" w:hAnsi="Times New Roman"/>
          <w:sz w:val="24"/>
          <w:szCs w:val="24"/>
        </w:rPr>
        <w:t>a critical care physician</w:t>
      </w:r>
      <w:r>
        <w:rPr>
          <w:rFonts w:ascii="Times New Roman" w:hAnsi="Times New Roman"/>
          <w:sz w:val="24"/>
          <w:szCs w:val="24"/>
        </w:rPr>
        <w:t xml:space="preserve">; and (3) </w:t>
      </w:r>
      <w:r w:rsidRPr="00075CA3">
        <w:rPr>
          <w:rFonts w:ascii="Times New Roman" w:hAnsi="Times New Roman"/>
          <w:sz w:val="24"/>
          <w:szCs w:val="24"/>
        </w:rPr>
        <w:t xml:space="preserve">and an internist with experience in the field of emergency medicine </w:t>
      </w:r>
      <w:r>
        <w:rPr>
          <w:rFonts w:ascii="Times New Roman" w:hAnsi="Times New Roman"/>
          <w:sz w:val="24"/>
          <w:szCs w:val="24"/>
        </w:rPr>
        <w:t xml:space="preserve">who claim the medics </w:t>
      </w:r>
      <w:r w:rsidRPr="00075CA3">
        <w:rPr>
          <w:rFonts w:ascii="Times New Roman" w:hAnsi="Times New Roman"/>
          <w:sz w:val="24"/>
          <w:szCs w:val="24"/>
        </w:rPr>
        <w:t>failed to recognize decedent's postictal state (</w:t>
      </w:r>
      <w:r w:rsidRPr="00075CA3">
        <w:rPr>
          <w:rStyle w:val="Emphasis"/>
          <w:rFonts w:ascii="Times New Roman" w:hAnsi="Times New Roman"/>
          <w:sz w:val="24"/>
          <w:szCs w:val="24"/>
        </w:rPr>
        <w:t>i.e.,</w:t>
      </w:r>
      <w:r w:rsidRPr="00075CA3">
        <w:rPr>
          <w:rFonts w:ascii="Times New Roman" w:hAnsi="Times New Roman"/>
          <w:sz w:val="24"/>
          <w:szCs w:val="24"/>
        </w:rPr>
        <w:t xml:space="preserve"> the state immediately following a seizure), which commonly involves medical risks including an impaired ability to oxygenate</w:t>
      </w:r>
      <w:r>
        <w:rPr>
          <w:rFonts w:ascii="Times New Roman" w:hAnsi="Times New Roman"/>
          <w:sz w:val="24"/>
          <w:szCs w:val="24"/>
        </w:rPr>
        <w:t xml:space="preserve">. </w:t>
      </w:r>
      <w:hyperlink r:id="rId2304" w:history="1">
        <w:r w:rsidRPr="00600142">
          <w:rPr>
            <w:rStyle w:val="Hyperlink"/>
            <w:rFonts w:ascii="Times New Roman" w:hAnsi="Times New Roman"/>
            <w:sz w:val="24"/>
            <w:szCs w:val="24"/>
          </w:rPr>
          <w:t>https://law.justia.com/cases/new-york/other-courts/2022/2022-ny-slip-op-22137.html</w:t>
        </w:r>
      </w:hyperlink>
      <w:r>
        <w:rPr>
          <w:rFonts w:ascii="Times New Roman" w:hAnsi="Times New Roman"/>
          <w:sz w:val="24"/>
          <w:szCs w:val="24"/>
        </w:rPr>
        <w:t xml:space="preserve"> </w:t>
      </w:r>
    </w:p>
    <w:p w14:paraId="49812C7F" w14:textId="77777777" w:rsidR="00BA51CC" w:rsidRPr="00BA4B0D" w:rsidRDefault="00BA51CC" w:rsidP="00BA51CC">
      <w:pPr>
        <w:spacing w:before="100" w:beforeAutospacing="1" w:after="100" w:afterAutospacing="1" w:line="240" w:lineRule="auto"/>
        <w:rPr>
          <w:rFonts w:ascii="Times New Roman" w:hAnsi="Times New Roman"/>
          <w:b/>
          <w:bCs/>
          <w:sz w:val="24"/>
          <w:szCs w:val="24"/>
        </w:rPr>
      </w:pPr>
      <w:r w:rsidRPr="00BA4B0D">
        <w:rPr>
          <w:rFonts w:ascii="Times New Roman" w:hAnsi="Times New Roman"/>
          <w:b/>
          <w:bCs/>
          <w:sz w:val="24"/>
          <w:szCs w:val="24"/>
        </w:rPr>
        <w:t xml:space="preserve">Legal Lesson Learned: </w:t>
      </w:r>
      <w:r>
        <w:rPr>
          <w:rFonts w:ascii="Times New Roman" w:hAnsi="Times New Roman"/>
          <w:b/>
          <w:bCs/>
          <w:sz w:val="24"/>
          <w:szCs w:val="24"/>
        </w:rPr>
        <w:t xml:space="preserve">The trial court judge has referenced three plaintiff experts in ordering the case to trial. </w:t>
      </w:r>
    </w:p>
    <w:p w14:paraId="18C59E4B" w14:textId="77777777" w:rsidR="00BA51CC" w:rsidRDefault="00BA51CC" w:rsidP="002B1283">
      <w:pPr>
        <w:rPr>
          <w:rFonts w:ascii="Arial Black" w:hAnsi="Arial Black"/>
          <w:b/>
          <w:bCs/>
          <w:sz w:val="28"/>
          <w:szCs w:val="28"/>
        </w:rPr>
      </w:pPr>
    </w:p>
    <w:p w14:paraId="4D836FF7" w14:textId="77777777" w:rsidR="00BA51CC" w:rsidRDefault="00BA51CC" w:rsidP="002B1283">
      <w:pPr>
        <w:rPr>
          <w:rFonts w:ascii="Arial Black" w:hAnsi="Arial Black"/>
          <w:b/>
          <w:bCs/>
          <w:sz w:val="28"/>
          <w:szCs w:val="28"/>
        </w:rPr>
      </w:pPr>
    </w:p>
    <w:p w14:paraId="1B3B6B4E" w14:textId="77777777" w:rsidR="00BA51CC" w:rsidRDefault="00BA51CC" w:rsidP="002B1283">
      <w:pPr>
        <w:rPr>
          <w:rFonts w:ascii="Arial Black" w:hAnsi="Arial Black"/>
          <w:b/>
          <w:bCs/>
          <w:sz w:val="28"/>
          <w:szCs w:val="28"/>
        </w:rPr>
      </w:pPr>
    </w:p>
    <w:p w14:paraId="7077C2BF" w14:textId="466B3E22" w:rsidR="00221640" w:rsidRDefault="00221640" w:rsidP="002B1283">
      <w:pPr>
        <w:rPr>
          <w:rFonts w:ascii="Arial Black" w:hAnsi="Arial Black"/>
          <w:b/>
          <w:bCs/>
          <w:sz w:val="28"/>
          <w:szCs w:val="28"/>
        </w:rPr>
      </w:pPr>
      <w:r>
        <w:rPr>
          <w:rFonts w:ascii="Arial Black" w:hAnsi="Arial Black"/>
          <w:b/>
          <w:bCs/>
          <w:sz w:val="28"/>
          <w:szCs w:val="28"/>
        </w:rPr>
        <w:t>13-111</w:t>
      </w:r>
    </w:p>
    <w:p w14:paraId="14B174D5" w14:textId="77777777" w:rsidR="00221640" w:rsidRPr="00877C6E" w:rsidRDefault="00221640" w:rsidP="00221640">
      <w:pPr>
        <w:spacing w:before="100" w:beforeAutospacing="1" w:after="100" w:afterAutospacing="1" w:line="240" w:lineRule="auto"/>
        <w:rPr>
          <w:rStyle w:val="Strong"/>
          <w:rFonts w:ascii="Arial Black" w:hAnsi="Arial Black"/>
          <w:sz w:val="28"/>
          <w:szCs w:val="28"/>
        </w:rPr>
      </w:pPr>
      <w:r>
        <w:rPr>
          <w:rStyle w:val="Strong"/>
          <w:rFonts w:ascii="Arial Black" w:hAnsi="Arial Black"/>
          <w:sz w:val="28"/>
          <w:szCs w:val="28"/>
        </w:rPr>
        <w:t>NC: QUADRIPEDIC – DAUGHTER POWER-OF-ATTORNEY – MEDICS / DEPUTY REFUSED TRANSPORT – NO IMMUNITY</w:t>
      </w:r>
    </w:p>
    <w:p w14:paraId="76DBC5C6" w14:textId="77777777" w:rsidR="00221640" w:rsidRPr="00221640" w:rsidRDefault="00221640" w:rsidP="00221640">
      <w:pPr>
        <w:spacing w:before="100" w:beforeAutospacing="1" w:after="100" w:afterAutospacing="1" w:line="240" w:lineRule="auto"/>
        <w:rPr>
          <w:rFonts w:ascii="Times New Roman" w:hAnsi="Times New Roman"/>
          <w:sz w:val="24"/>
          <w:szCs w:val="24"/>
        </w:rPr>
      </w:pPr>
      <w:r w:rsidRPr="00221640">
        <w:rPr>
          <w:rStyle w:val="Strong"/>
          <w:rFonts w:ascii="Times New Roman" w:hAnsi="Times New Roman"/>
          <w:b w:val="0"/>
          <w:bCs w:val="0"/>
          <w:sz w:val="24"/>
          <w:szCs w:val="24"/>
        </w:rPr>
        <w:t xml:space="preserve">On March 30, 2022, in </w:t>
      </w:r>
      <w:r w:rsidRPr="00221640">
        <w:rPr>
          <w:rStyle w:val="Strong"/>
          <w:rFonts w:ascii="Times New Roman" w:hAnsi="Times New Roman"/>
          <w:b w:val="0"/>
          <w:bCs w:val="0"/>
          <w:sz w:val="24"/>
          <w:szCs w:val="24"/>
          <w:u w:val="single"/>
        </w:rPr>
        <w:t>Justin L. Sutton, personal representative of the Estate of Hartwell Lanier King, Sr., et al. v. Rockingham County, et al</w:t>
      </w:r>
      <w:r w:rsidRPr="00221640">
        <w:rPr>
          <w:rStyle w:val="Strong"/>
          <w:rFonts w:ascii="Times New Roman" w:hAnsi="Times New Roman"/>
          <w:b w:val="0"/>
          <w:bCs w:val="0"/>
          <w:sz w:val="24"/>
          <w:szCs w:val="24"/>
        </w:rPr>
        <w:t xml:space="preserve">., U.S. District Court Judge Loretta C. Briggs, U.S. District Court for Middle District of North Carolina, held that while the County has governmental immunity and is dismissed from the case, the three paramedics and Deputy Sheriff remain defendants in the wrongful death claims for not transporting the elderly patient with </w:t>
      </w:r>
      <w:r w:rsidRPr="00221640">
        <w:rPr>
          <w:rFonts w:ascii="Times New Roman" w:hAnsi="Times New Roman"/>
          <w:sz w:val="24"/>
          <w:szCs w:val="24"/>
        </w:rPr>
        <w:t xml:space="preserve">severe respiratory distress and abnormal breathing, elevated heart rate, high grade fever, severe dehydration, and inability to consume solid foods and liquids.  He died the next morning. </w:t>
      </w:r>
      <w:r w:rsidRPr="00221640">
        <w:rPr>
          <w:rFonts w:ascii="Times New Roman" w:eastAsia="Times New Roman" w:hAnsi="Times New Roman"/>
          <w:sz w:val="24"/>
          <w:szCs w:val="24"/>
        </w:rPr>
        <w:t xml:space="preserve">The medics, despite </w:t>
      </w:r>
      <w:r w:rsidRPr="00221640">
        <w:rPr>
          <w:rStyle w:val="Strong"/>
          <w:rFonts w:ascii="Times New Roman" w:hAnsi="Times New Roman"/>
          <w:b w:val="0"/>
          <w:bCs w:val="0"/>
          <w:sz w:val="24"/>
          <w:szCs w:val="24"/>
        </w:rPr>
        <w:t>the daughter’s Power-Of-Attorney, allegedly</w:t>
      </w:r>
      <w:r w:rsidRPr="00221640">
        <w:rPr>
          <w:rStyle w:val="Strong"/>
          <w:rFonts w:ascii="Times New Roman" w:hAnsi="Times New Roman"/>
          <w:sz w:val="24"/>
          <w:szCs w:val="24"/>
        </w:rPr>
        <w:t xml:space="preserve"> </w:t>
      </w:r>
      <w:r w:rsidRPr="00221640">
        <w:rPr>
          <w:rFonts w:ascii="Times New Roman" w:hAnsi="Times New Roman"/>
          <w:sz w:val="24"/>
          <w:szCs w:val="24"/>
        </w:rPr>
        <w:t xml:space="preserve">“deemed Mr. King's transportation to the emergency room facility that day as tantamount to ‘kidnapping,' and thus refused to transfer Mr. King out of fear and reprisal that such action would result in the termination of their employment with Rockingham County.” </w:t>
      </w:r>
      <w:hyperlink r:id="rId2305" w:history="1">
        <w:r w:rsidRPr="00221640">
          <w:rPr>
            <w:rStyle w:val="Hyperlink"/>
            <w:rFonts w:ascii="Times New Roman" w:hAnsi="Times New Roman"/>
            <w:sz w:val="24"/>
            <w:szCs w:val="24"/>
          </w:rPr>
          <w:t>https://casetext.com/case/sutton-v-rockingham-cnty</w:t>
        </w:r>
      </w:hyperlink>
      <w:r w:rsidRPr="00221640">
        <w:rPr>
          <w:rFonts w:ascii="Times New Roman" w:hAnsi="Times New Roman"/>
          <w:sz w:val="24"/>
          <w:szCs w:val="24"/>
        </w:rPr>
        <w:t xml:space="preserve"> </w:t>
      </w:r>
    </w:p>
    <w:p w14:paraId="683F382F" w14:textId="77777777" w:rsidR="00221640" w:rsidRPr="00DD0155" w:rsidRDefault="00221640" w:rsidP="0022164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CB569D">
        <w:rPr>
          <w:rFonts w:ascii="Times New Roman" w:hAnsi="Times New Roman"/>
          <w:sz w:val="24"/>
          <w:szCs w:val="24"/>
        </w:rPr>
        <w:t>Here, Plaintiffs do not allege medical malpractice</w:t>
      </w:r>
      <w:r>
        <w:rPr>
          <w:rFonts w:ascii="Times New Roman" w:hAnsi="Times New Roman"/>
          <w:sz w:val="24"/>
          <w:szCs w:val="24"/>
        </w:rPr>
        <w:t xml:space="preserve"> [which would require affidavit from MD that medical standard of care were breached].  </w:t>
      </w:r>
      <w:r w:rsidRPr="00DD0155">
        <w:rPr>
          <w:rFonts w:ascii="Times New Roman" w:hAnsi="Times New Roman"/>
          <w:sz w:val="24"/>
          <w:szCs w:val="24"/>
        </w:rPr>
        <w:t xml:space="preserve">Taking all alleged facts in the light most favorable to Plaintiffs, Defendants' refusal to transport King to the hospital was not a medical decision based on the severity of his condition, but rather a legal decision based on their fear that transporting King would constitute </w:t>
      </w:r>
      <w:r>
        <w:rPr>
          <w:rFonts w:ascii="Times New Roman" w:hAnsi="Times New Roman"/>
          <w:sz w:val="24"/>
          <w:szCs w:val="24"/>
        </w:rPr>
        <w:t>‘</w:t>
      </w:r>
      <w:r w:rsidRPr="00DD0155">
        <w:rPr>
          <w:rFonts w:ascii="Times New Roman" w:hAnsi="Times New Roman"/>
          <w:sz w:val="24"/>
          <w:szCs w:val="24"/>
        </w:rPr>
        <w:t>kidnapping</w:t>
      </w:r>
      <w:r>
        <w:rPr>
          <w:rFonts w:ascii="Times New Roman" w:hAnsi="Times New Roman"/>
          <w:sz w:val="24"/>
          <w:szCs w:val="24"/>
        </w:rPr>
        <w:t>’</w:t>
      </w:r>
      <w:r w:rsidRPr="00DD0155">
        <w:rPr>
          <w:rFonts w:ascii="Times New Roman" w:hAnsi="Times New Roman"/>
          <w:sz w:val="24"/>
          <w:szCs w:val="24"/>
        </w:rPr>
        <w:t xml:space="preserve"> and would cause them to lose their employment</w:t>
      </w:r>
      <w:r>
        <w:rPr>
          <w:rFonts w:ascii="Times New Roman" w:hAnsi="Times New Roman"/>
          <w:sz w:val="24"/>
          <w:szCs w:val="24"/>
        </w:rPr>
        <w:t xml:space="preserve">…. </w:t>
      </w:r>
      <w:r w:rsidRPr="00DD0155">
        <w:rPr>
          <w:rFonts w:ascii="Times New Roman" w:hAnsi="Times New Roman"/>
          <w:sz w:val="24"/>
          <w:szCs w:val="24"/>
        </w:rPr>
        <w:t xml:space="preserve"> Moreover, Plaintiffs allege Defendants refused to recognize Becky Sutton's power of attorney-another administrative decision that required no medical expertise. These decisions are akin to the hospital's administrative policy in </w:t>
      </w:r>
      <w:r w:rsidRPr="00DD0155">
        <w:rPr>
          <w:rStyle w:val="Emphasis"/>
          <w:rFonts w:ascii="Times New Roman" w:hAnsi="Times New Roman"/>
          <w:sz w:val="24"/>
          <w:szCs w:val="24"/>
        </w:rPr>
        <w:t>Muse</w:t>
      </w:r>
      <w:r w:rsidRPr="00DD0155">
        <w:rPr>
          <w:rFonts w:ascii="Times New Roman" w:hAnsi="Times New Roman"/>
          <w:sz w:val="24"/>
          <w:szCs w:val="24"/>
        </w:rPr>
        <w:t xml:space="preserve"> of discharging patients based on the expiration of their insurance rather than their medical needs. </w:t>
      </w:r>
      <w:r w:rsidRPr="00DD0155">
        <w:rPr>
          <w:rStyle w:val="Emphasis"/>
          <w:rFonts w:ascii="Times New Roman" w:hAnsi="Times New Roman"/>
          <w:sz w:val="24"/>
          <w:szCs w:val="24"/>
        </w:rPr>
        <w:t>Muse</w:t>
      </w:r>
      <w:r w:rsidRPr="00DD0155">
        <w:rPr>
          <w:rFonts w:ascii="Times New Roman" w:hAnsi="Times New Roman"/>
          <w:sz w:val="24"/>
          <w:szCs w:val="24"/>
        </w:rPr>
        <w:t>, 452 S.E.2d at 593. In both cases, the allegations that health care providers refused medical treatment based on an administrative, not medical, decision.</w:t>
      </w:r>
      <w:r>
        <w:rPr>
          <w:rFonts w:ascii="Times New Roman" w:hAnsi="Times New Roman"/>
          <w:sz w:val="24"/>
          <w:szCs w:val="24"/>
        </w:rPr>
        <w:t xml:space="preserve">” </w:t>
      </w:r>
      <w:hyperlink r:id="rId2306" w:history="1">
        <w:r w:rsidRPr="00B25BE6">
          <w:rPr>
            <w:rStyle w:val="Hyperlink"/>
            <w:rFonts w:ascii="Times New Roman" w:hAnsi="Times New Roman"/>
            <w:sz w:val="24"/>
            <w:szCs w:val="24"/>
          </w:rPr>
          <w:t>https://casetext.com/case/sutton-v-rockingham-cnty</w:t>
        </w:r>
      </w:hyperlink>
      <w:r>
        <w:rPr>
          <w:rFonts w:ascii="Times New Roman" w:hAnsi="Times New Roman"/>
          <w:sz w:val="24"/>
          <w:szCs w:val="24"/>
        </w:rPr>
        <w:t xml:space="preserve"> </w:t>
      </w:r>
    </w:p>
    <w:p w14:paraId="63C8C2BB" w14:textId="77777777" w:rsidR="00221640" w:rsidRPr="00960536" w:rsidRDefault="00221640" w:rsidP="00221640">
      <w:pPr>
        <w:spacing w:before="100" w:beforeAutospacing="1" w:after="100" w:afterAutospacing="1" w:line="240" w:lineRule="auto"/>
        <w:rPr>
          <w:rFonts w:ascii="Times New Roman" w:eastAsia="Times New Roman" w:hAnsi="Times New Roman"/>
          <w:b/>
          <w:bCs/>
          <w:sz w:val="24"/>
          <w:szCs w:val="24"/>
        </w:rPr>
      </w:pPr>
      <w:r w:rsidRPr="00F4572D">
        <w:rPr>
          <w:rFonts w:ascii="Times New Roman" w:hAnsi="Times New Roman"/>
          <w:b/>
          <w:bCs/>
          <w:sz w:val="24"/>
          <w:szCs w:val="24"/>
        </w:rPr>
        <w:t xml:space="preserve">Legal Lesson Learned: </w:t>
      </w:r>
      <w:r>
        <w:rPr>
          <w:rFonts w:ascii="Times New Roman" w:hAnsi="Times New Roman"/>
          <w:b/>
          <w:bCs/>
          <w:sz w:val="24"/>
          <w:szCs w:val="24"/>
        </w:rPr>
        <w:t xml:space="preserve">If in doubt about Power-Of-Attorney, call Medical Control and discuss the patient’s vitals and get authorization to transport. </w:t>
      </w:r>
    </w:p>
    <w:p w14:paraId="17F1074B" w14:textId="77777777" w:rsidR="00221640" w:rsidRDefault="00221640" w:rsidP="002B1283">
      <w:pPr>
        <w:rPr>
          <w:rFonts w:ascii="Arial Black" w:hAnsi="Arial Black"/>
          <w:b/>
          <w:bCs/>
          <w:sz w:val="28"/>
          <w:szCs w:val="28"/>
        </w:rPr>
      </w:pPr>
    </w:p>
    <w:p w14:paraId="1CB04C85" w14:textId="77777777" w:rsidR="00221640" w:rsidRDefault="00221640" w:rsidP="002B1283">
      <w:pPr>
        <w:rPr>
          <w:rFonts w:ascii="Arial Black" w:hAnsi="Arial Black"/>
          <w:b/>
          <w:bCs/>
          <w:sz w:val="28"/>
          <w:szCs w:val="28"/>
        </w:rPr>
      </w:pPr>
    </w:p>
    <w:p w14:paraId="4384485B" w14:textId="3D7716BE" w:rsidR="00221640" w:rsidRDefault="00221640" w:rsidP="002B1283">
      <w:pPr>
        <w:rPr>
          <w:rFonts w:ascii="Arial Black" w:hAnsi="Arial Black"/>
          <w:b/>
          <w:bCs/>
          <w:sz w:val="28"/>
          <w:szCs w:val="28"/>
        </w:rPr>
      </w:pPr>
      <w:r>
        <w:rPr>
          <w:rFonts w:ascii="Arial Black" w:hAnsi="Arial Black"/>
          <w:b/>
          <w:bCs/>
          <w:sz w:val="28"/>
          <w:szCs w:val="28"/>
        </w:rPr>
        <w:t>13-110</w:t>
      </w:r>
    </w:p>
    <w:p w14:paraId="446FB795" w14:textId="77777777" w:rsidR="00221640" w:rsidRDefault="00221640" w:rsidP="00221640">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IL: PHOTO TAKEN OF PATIENT SHOT IN HEAD – LT. PUT ON  FACEBOOK - PUBLIC LOCATION - NOT CONSTIT. VIOL. </w:t>
      </w:r>
    </w:p>
    <w:p w14:paraId="0CE2B99B" w14:textId="77777777" w:rsidR="00221640" w:rsidRDefault="00221640" w:rsidP="00221640">
      <w:pPr>
        <w:spacing w:before="100" w:beforeAutospacing="1" w:after="100" w:afterAutospacing="1" w:line="240" w:lineRule="auto"/>
        <w:rPr>
          <w:rFonts w:ascii="Times New Roman" w:hAnsi="Times New Roman"/>
          <w:sz w:val="24"/>
          <w:szCs w:val="24"/>
        </w:rPr>
      </w:pPr>
      <w:r w:rsidRPr="00051733">
        <w:rPr>
          <w:rFonts w:ascii="Times New Roman" w:hAnsi="Times New Roman"/>
          <w:sz w:val="24"/>
          <w:szCs w:val="24"/>
        </w:rPr>
        <w:t xml:space="preserve">On March 24, 2022, in </w:t>
      </w:r>
      <w:r w:rsidRPr="00051733">
        <w:rPr>
          <w:rFonts w:ascii="Times New Roman" w:hAnsi="Times New Roman"/>
          <w:sz w:val="24"/>
          <w:szCs w:val="24"/>
          <w:u w:val="single"/>
        </w:rPr>
        <w:t xml:space="preserve">Adrian Cazares, Administrator of estate of Victor M. Cazares, Jr. </w:t>
      </w:r>
      <w:r>
        <w:rPr>
          <w:rFonts w:ascii="Times New Roman" w:hAnsi="Times New Roman"/>
          <w:sz w:val="24"/>
          <w:szCs w:val="24"/>
          <w:u w:val="single"/>
        </w:rPr>
        <w:t xml:space="preserve">and </w:t>
      </w:r>
      <w:r w:rsidRPr="00A573EA">
        <w:rPr>
          <w:rFonts w:ascii="Times New Roman" w:hAnsi="Times New Roman"/>
          <w:sz w:val="24"/>
          <w:szCs w:val="24"/>
          <w:u w:val="single"/>
        </w:rPr>
        <w:t xml:space="preserve">Michelle </w:t>
      </w:r>
      <w:r>
        <w:rPr>
          <w:rFonts w:ascii="Times New Roman" w:hAnsi="Times New Roman"/>
          <w:sz w:val="24"/>
          <w:szCs w:val="24"/>
          <w:u w:val="single"/>
        </w:rPr>
        <w:t xml:space="preserve">Cazares </w:t>
      </w:r>
      <w:r w:rsidRPr="00051733">
        <w:rPr>
          <w:rFonts w:ascii="Times New Roman" w:hAnsi="Times New Roman"/>
          <w:sz w:val="24"/>
          <w:szCs w:val="24"/>
          <w:u w:val="single"/>
        </w:rPr>
        <w:t xml:space="preserve">v. Frank R. Rand, Justin Zheng, Gene </w:t>
      </w:r>
      <w:proofErr w:type="spellStart"/>
      <w:r w:rsidRPr="00051733">
        <w:rPr>
          <w:rFonts w:ascii="Times New Roman" w:hAnsi="Times New Roman"/>
          <w:sz w:val="24"/>
          <w:szCs w:val="24"/>
          <w:u w:val="single"/>
        </w:rPr>
        <w:t>Lacano</w:t>
      </w:r>
      <w:proofErr w:type="spellEnd"/>
      <w:r w:rsidRPr="00051733">
        <w:rPr>
          <w:rFonts w:ascii="Times New Roman" w:hAnsi="Times New Roman"/>
          <w:sz w:val="24"/>
          <w:szCs w:val="24"/>
          <w:u w:val="single"/>
        </w:rPr>
        <w:t xml:space="preserve"> and Town of Cicero, Illinois</w:t>
      </w:r>
      <w:r w:rsidRPr="00051733">
        <w:rPr>
          <w:rFonts w:ascii="Times New Roman" w:hAnsi="Times New Roman"/>
          <w:sz w:val="24"/>
          <w:szCs w:val="24"/>
        </w:rPr>
        <w:t xml:space="preserve">, U.S. District Court Judge Robert M. Dow, Jr., </w:t>
      </w:r>
      <w:r>
        <w:rPr>
          <w:rFonts w:ascii="Times New Roman" w:hAnsi="Times New Roman"/>
          <w:sz w:val="24"/>
          <w:szCs w:val="24"/>
        </w:rPr>
        <w:t xml:space="preserve">Northern District of Illinois [Eastern District] </w:t>
      </w:r>
      <w:r w:rsidRPr="00051733">
        <w:rPr>
          <w:rFonts w:ascii="Times New Roman" w:hAnsi="Times New Roman"/>
          <w:sz w:val="24"/>
          <w:szCs w:val="24"/>
        </w:rPr>
        <w:t>granted the motion of two medics</w:t>
      </w:r>
      <w:r>
        <w:rPr>
          <w:rFonts w:ascii="Times New Roman" w:hAnsi="Times New Roman"/>
          <w:sz w:val="24"/>
          <w:szCs w:val="24"/>
        </w:rPr>
        <w:t xml:space="preserve"> </w:t>
      </w:r>
      <w:r w:rsidRPr="00051733">
        <w:rPr>
          <w:rFonts w:ascii="Times New Roman" w:hAnsi="Times New Roman"/>
          <w:sz w:val="24"/>
          <w:szCs w:val="24"/>
        </w:rPr>
        <w:t>and the Town to dismiss the federal lawsuit</w:t>
      </w:r>
      <w:r>
        <w:rPr>
          <w:rFonts w:ascii="Times New Roman" w:hAnsi="Times New Roman"/>
          <w:sz w:val="24"/>
          <w:szCs w:val="24"/>
        </w:rPr>
        <w:t>.  “</w:t>
      </w:r>
      <w:r w:rsidRPr="0001098C">
        <w:rPr>
          <w:rFonts w:ascii="Times New Roman" w:hAnsi="Times New Roman"/>
          <w:sz w:val="24"/>
          <w:szCs w:val="24"/>
        </w:rPr>
        <w:t xml:space="preserve">In this case, the Court agrees with Defendants that the Complaint does not allege a violation of Plaintiffs' fundamental rights or liberties because Defendants did not publicly disclose </w:t>
      </w:r>
      <w:r w:rsidRPr="0001098C">
        <w:rPr>
          <w:rStyle w:val="Emphasis"/>
          <w:rFonts w:ascii="Times New Roman" w:hAnsi="Times New Roman"/>
          <w:sz w:val="24"/>
          <w:szCs w:val="24"/>
        </w:rPr>
        <w:t>private</w:t>
      </w:r>
      <w:r w:rsidRPr="0001098C">
        <w:rPr>
          <w:rFonts w:ascii="Times New Roman" w:hAnsi="Times New Roman"/>
          <w:sz w:val="24"/>
          <w:szCs w:val="24"/>
        </w:rPr>
        <w:t xml:space="preserve"> medical information. The photo neither captured a private scene, nor medical information that was not already readily accessible to the naked eye.</w:t>
      </w:r>
      <w:r>
        <w:rPr>
          <w:rFonts w:ascii="Times New Roman" w:hAnsi="Times New Roman"/>
          <w:sz w:val="24"/>
          <w:szCs w:val="24"/>
        </w:rPr>
        <w:t xml:space="preserve">”  The lawsuit, however, may be refiled in state court, where a jury may find the comments on </w:t>
      </w:r>
      <w:proofErr w:type="gramStart"/>
      <w:r>
        <w:rPr>
          <w:rFonts w:ascii="Times New Roman" w:hAnsi="Times New Roman"/>
          <w:sz w:val="24"/>
          <w:szCs w:val="24"/>
        </w:rPr>
        <w:t>Facebook by</w:t>
      </w:r>
      <w:proofErr w:type="gramEnd"/>
      <w:r>
        <w:rPr>
          <w:rFonts w:ascii="Times New Roman" w:hAnsi="Times New Roman"/>
          <w:sz w:val="24"/>
          <w:szCs w:val="24"/>
        </w:rPr>
        <w:t xml:space="preserve"> to be particularly offensive. </w:t>
      </w:r>
      <w:hyperlink r:id="rId2307" w:history="1">
        <w:r w:rsidRPr="00641DD7">
          <w:rPr>
            <w:rStyle w:val="Hyperlink"/>
            <w:rFonts w:ascii="Times New Roman" w:hAnsi="Times New Roman"/>
            <w:sz w:val="24"/>
            <w:szCs w:val="24"/>
          </w:rPr>
          <w:t>https://casetext.com/case/cazares-v-rand</w:t>
        </w:r>
      </w:hyperlink>
      <w:r>
        <w:rPr>
          <w:rFonts w:ascii="Times New Roman" w:hAnsi="Times New Roman"/>
          <w:sz w:val="24"/>
          <w:szCs w:val="24"/>
        </w:rPr>
        <w:t xml:space="preserve"> </w:t>
      </w:r>
    </w:p>
    <w:p w14:paraId="6A43C1D3" w14:textId="70F7270D" w:rsidR="00221640" w:rsidRDefault="00221640" w:rsidP="00221640">
      <w:pPr>
        <w:rPr>
          <w:rFonts w:ascii="Arial Black" w:hAnsi="Arial Black"/>
          <w:b/>
          <w:bCs/>
          <w:sz w:val="28"/>
          <w:szCs w:val="28"/>
        </w:rPr>
      </w:pPr>
      <w:r>
        <w:rPr>
          <w:rFonts w:ascii="Times New Roman" w:hAnsi="Times New Roman"/>
          <w:sz w:val="24"/>
          <w:szCs w:val="24"/>
        </w:rPr>
        <w:t>“</w:t>
      </w:r>
      <w:r w:rsidRPr="00F36863">
        <w:rPr>
          <w:rFonts w:ascii="Times New Roman" w:hAnsi="Times New Roman"/>
          <w:sz w:val="24"/>
          <w:szCs w:val="24"/>
        </w:rPr>
        <w:t xml:space="preserve">Another individual, Defendant </w:t>
      </w:r>
      <w:r>
        <w:rPr>
          <w:rFonts w:ascii="Times New Roman" w:hAnsi="Times New Roman"/>
          <w:sz w:val="24"/>
          <w:szCs w:val="24"/>
        </w:rPr>
        <w:t xml:space="preserve">[Lieutenant] </w:t>
      </w:r>
      <w:r w:rsidRPr="00F36863">
        <w:rPr>
          <w:rFonts w:ascii="Times New Roman" w:hAnsi="Times New Roman"/>
          <w:sz w:val="24"/>
          <w:szCs w:val="24"/>
        </w:rPr>
        <w:t xml:space="preserve">Frank R. Rand, posted that photograph of Mr. Cazares to an 8, 000-member Facebook group </w:t>
      </w:r>
      <w:r>
        <w:rPr>
          <w:rFonts w:ascii="Times New Roman" w:hAnsi="Times New Roman"/>
          <w:sz w:val="24"/>
          <w:szCs w:val="24"/>
        </w:rPr>
        <w:t>‘</w:t>
      </w:r>
      <w:r w:rsidRPr="00F36863">
        <w:rPr>
          <w:rFonts w:ascii="Times New Roman" w:hAnsi="Times New Roman"/>
          <w:sz w:val="24"/>
          <w:szCs w:val="24"/>
        </w:rPr>
        <w:t>for people who grew up in Cicero, Illinois</w:t>
      </w:r>
      <w:r>
        <w:rPr>
          <w:rFonts w:ascii="Times New Roman" w:hAnsi="Times New Roman"/>
          <w:sz w:val="24"/>
          <w:szCs w:val="24"/>
        </w:rPr>
        <w:t>’</w:t>
      </w:r>
      <w:r w:rsidRPr="00F36863">
        <w:rPr>
          <w:rFonts w:ascii="Times New Roman" w:hAnsi="Times New Roman"/>
          <w:sz w:val="24"/>
          <w:szCs w:val="24"/>
        </w:rPr>
        <w:t xml:space="preserve"> at 6:25 p.m., </w:t>
      </w:r>
      <w:r w:rsidRPr="00F36863">
        <w:rPr>
          <w:rStyle w:val="Emphasis"/>
          <w:rFonts w:ascii="Times New Roman" w:hAnsi="Times New Roman"/>
          <w:sz w:val="24"/>
          <w:szCs w:val="24"/>
        </w:rPr>
        <w:t>i.e.</w:t>
      </w:r>
      <w:r w:rsidRPr="00F36863">
        <w:rPr>
          <w:rFonts w:ascii="Times New Roman" w:hAnsi="Times New Roman"/>
          <w:sz w:val="24"/>
          <w:szCs w:val="24"/>
        </w:rPr>
        <w:t>, within two minutes of the paramedics' arrival on the scene</w:t>
      </w:r>
      <w:r>
        <w:rPr>
          <w:rFonts w:ascii="Times New Roman" w:hAnsi="Times New Roman"/>
          <w:sz w:val="24"/>
          <w:szCs w:val="24"/>
        </w:rPr>
        <w:t>…</w:t>
      </w:r>
      <w:r w:rsidRPr="00F36863">
        <w:rPr>
          <w:rFonts w:ascii="Times New Roman" w:hAnsi="Times New Roman"/>
          <w:sz w:val="24"/>
          <w:szCs w:val="24"/>
        </w:rPr>
        <w:t xml:space="preserve">. Accompanying the photo is the message, </w:t>
      </w:r>
      <w:r>
        <w:rPr>
          <w:rFonts w:ascii="Times New Roman" w:hAnsi="Times New Roman"/>
          <w:sz w:val="24"/>
          <w:szCs w:val="24"/>
        </w:rPr>
        <w:t>‘</w:t>
      </w:r>
      <w:r w:rsidRPr="00F36863">
        <w:rPr>
          <w:rFonts w:ascii="Times New Roman" w:hAnsi="Times New Roman"/>
          <w:sz w:val="24"/>
          <w:szCs w:val="24"/>
        </w:rPr>
        <w:t>[c]</w:t>
      </w:r>
      <w:proofErr w:type="spellStart"/>
      <w:r w:rsidRPr="00F36863">
        <w:rPr>
          <w:rFonts w:ascii="Times New Roman" w:hAnsi="Times New Roman"/>
          <w:sz w:val="24"/>
          <w:szCs w:val="24"/>
        </w:rPr>
        <w:t>ome</w:t>
      </w:r>
      <w:proofErr w:type="spellEnd"/>
      <w:r w:rsidRPr="00F36863">
        <w:rPr>
          <w:rFonts w:ascii="Times New Roman" w:hAnsi="Times New Roman"/>
          <w:sz w:val="24"/>
          <w:szCs w:val="24"/>
        </w:rPr>
        <w:t xml:space="preserve"> to Cicero to loot and break shit</w:t>
      </w:r>
      <w:proofErr w:type="gramStart"/>
      <w:r w:rsidRPr="00F36863">
        <w:rPr>
          <w:rFonts w:ascii="Times New Roman" w:hAnsi="Times New Roman"/>
          <w:sz w:val="24"/>
          <w:szCs w:val="24"/>
        </w:rPr>
        <w:t>!</w:t>
      </w:r>
      <w:proofErr w:type="gramEnd"/>
      <w:r w:rsidRPr="00F36863">
        <w:rPr>
          <w:rFonts w:ascii="Times New Roman" w:hAnsi="Times New Roman"/>
          <w:sz w:val="24"/>
          <w:szCs w:val="24"/>
        </w:rPr>
        <w:t xml:space="preserve"> Get a free body bag!! Nice head shot!!</w:t>
      </w:r>
      <w:r>
        <w:rPr>
          <w:rFonts w:ascii="Times New Roman" w:hAnsi="Times New Roman"/>
          <w:sz w:val="24"/>
          <w:szCs w:val="24"/>
        </w:rPr>
        <w:t xml:space="preserve">’” </w:t>
      </w:r>
      <w:hyperlink r:id="rId2308" w:history="1">
        <w:r w:rsidRPr="00641DD7">
          <w:rPr>
            <w:rStyle w:val="Hyperlink"/>
            <w:rFonts w:ascii="Times New Roman" w:hAnsi="Times New Roman"/>
            <w:sz w:val="24"/>
            <w:szCs w:val="24"/>
          </w:rPr>
          <w:t>https://casetext.com/case/cazares-v-rand</w:t>
        </w:r>
      </w:hyperlink>
    </w:p>
    <w:p w14:paraId="30084743" w14:textId="77777777" w:rsidR="00221640" w:rsidRDefault="00221640" w:rsidP="00221640">
      <w:pPr>
        <w:spacing w:before="100" w:beforeAutospacing="1" w:after="100" w:afterAutospacing="1" w:line="240" w:lineRule="auto"/>
        <w:rPr>
          <w:rFonts w:ascii="Times New Roman" w:hAnsi="Times New Roman"/>
          <w:b/>
          <w:bCs/>
          <w:sz w:val="24"/>
          <w:szCs w:val="24"/>
        </w:rPr>
      </w:pPr>
      <w:r w:rsidRPr="0001098C">
        <w:rPr>
          <w:rFonts w:ascii="Times New Roman" w:hAnsi="Times New Roman"/>
          <w:b/>
          <w:bCs/>
          <w:sz w:val="24"/>
          <w:szCs w:val="24"/>
        </w:rPr>
        <w:t>Legal Lesson Learned:</w:t>
      </w:r>
      <w:r>
        <w:rPr>
          <w:rFonts w:ascii="Times New Roman" w:hAnsi="Times New Roman"/>
          <w:b/>
          <w:bCs/>
          <w:sz w:val="24"/>
          <w:szCs w:val="24"/>
        </w:rPr>
        <w:t xml:space="preserve"> Do not take photos of patients; don’t post them on Facebook or other social media. </w:t>
      </w:r>
    </w:p>
    <w:p w14:paraId="45970499" w14:textId="77777777" w:rsidR="00221640" w:rsidRDefault="00221640" w:rsidP="002B1283">
      <w:pPr>
        <w:rPr>
          <w:rFonts w:ascii="Arial Black" w:hAnsi="Arial Black"/>
          <w:b/>
          <w:bCs/>
          <w:sz w:val="28"/>
          <w:szCs w:val="28"/>
        </w:rPr>
      </w:pPr>
    </w:p>
    <w:p w14:paraId="6F9130C1" w14:textId="77777777" w:rsidR="00221640" w:rsidRDefault="00221640" w:rsidP="002B1283">
      <w:pPr>
        <w:rPr>
          <w:rFonts w:ascii="Arial Black" w:hAnsi="Arial Black"/>
          <w:b/>
          <w:bCs/>
          <w:sz w:val="28"/>
          <w:szCs w:val="28"/>
        </w:rPr>
      </w:pPr>
    </w:p>
    <w:p w14:paraId="7C76BB79" w14:textId="170D2D57" w:rsidR="00221640" w:rsidRDefault="00221640" w:rsidP="002B1283">
      <w:pPr>
        <w:rPr>
          <w:rFonts w:ascii="Arial Black" w:hAnsi="Arial Black"/>
          <w:b/>
          <w:bCs/>
          <w:sz w:val="28"/>
          <w:szCs w:val="28"/>
        </w:rPr>
      </w:pPr>
      <w:r>
        <w:rPr>
          <w:rFonts w:ascii="Arial Black" w:hAnsi="Arial Black"/>
          <w:b/>
          <w:bCs/>
          <w:sz w:val="28"/>
          <w:szCs w:val="28"/>
        </w:rPr>
        <w:t>13-109</w:t>
      </w:r>
    </w:p>
    <w:p w14:paraId="72B11E00" w14:textId="77777777" w:rsidR="00221640" w:rsidRPr="00D46D8F" w:rsidRDefault="00221640" w:rsidP="00221640">
      <w:pPr>
        <w:spacing w:before="100" w:beforeAutospacing="1" w:after="100" w:afterAutospacing="1" w:line="240" w:lineRule="auto"/>
        <w:rPr>
          <w:rFonts w:ascii="Arial Black" w:hAnsi="Arial Black"/>
          <w:b/>
          <w:bCs/>
          <w:sz w:val="28"/>
          <w:szCs w:val="28"/>
        </w:rPr>
      </w:pPr>
      <w:bookmarkStart w:id="443" w:name="_Hlk99460651"/>
      <w:r>
        <w:rPr>
          <w:rFonts w:ascii="Arial Black" w:hAnsi="Arial Black"/>
          <w:b/>
          <w:bCs/>
          <w:sz w:val="28"/>
          <w:szCs w:val="28"/>
        </w:rPr>
        <w:t>SC: EMS FAILURE TO TRANSPORT NAKED, MENTAL PATIENT HOSPITAL – KILLED I-95 – LAWSUIT TO PROCEED</w:t>
      </w:r>
    </w:p>
    <w:p w14:paraId="0FD8CE9A" w14:textId="77777777" w:rsidR="00221640" w:rsidRDefault="00221640" w:rsidP="00221640">
      <w:pPr>
        <w:spacing w:before="100" w:beforeAutospacing="1" w:after="100" w:afterAutospacing="1" w:line="240" w:lineRule="auto"/>
      </w:pPr>
      <w:r w:rsidRPr="00BA1FD0">
        <w:rPr>
          <w:rFonts w:ascii="Times New Roman" w:hAnsi="Times New Roman"/>
          <w:sz w:val="24"/>
          <w:szCs w:val="24"/>
        </w:rPr>
        <w:t xml:space="preserve">On </w:t>
      </w:r>
      <w:r>
        <w:rPr>
          <w:rFonts w:ascii="Times New Roman" w:hAnsi="Times New Roman"/>
          <w:sz w:val="24"/>
          <w:szCs w:val="24"/>
        </w:rPr>
        <w:t xml:space="preserve">March 23, 2022, in </w:t>
      </w:r>
      <w:r w:rsidRPr="00BA1FD0">
        <w:rPr>
          <w:rFonts w:ascii="Times New Roman" w:hAnsi="Times New Roman"/>
          <w:sz w:val="24"/>
          <w:szCs w:val="24"/>
          <w:u w:val="single"/>
        </w:rPr>
        <w:t>Paul Tarashuk v. Orangeburg County, Orangeburg County Emergency Medical Services, et al.</w:t>
      </w:r>
      <w:r>
        <w:rPr>
          <w:rFonts w:ascii="Times New Roman" w:hAnsi="Times New Roman"/>
          <w:sz w:val="24"/>
          <w:szCs w:val="24"/>
        </w:rPr>
        <w:t xml:space="preserve">, U.S. District Court judge J. Michelle Childs, U.S. District Court of South Carolina (Orangeburg Division) denied the defendants’ motion for summary judgment.   A truck driver called 911 to report that the man, later identified as Paul Tarashuk, was naked and climbed on the tractor trailer at an on-ramp for I-95, rode on the catwalk and detached air lines to the breaks. Police from three agencies responded and requested EMS.  He sat in ambulance for 12 minutes, head down, not responding to questions. A medic “pushed an ammonia inhalant up his nose” and took his vitals: </w:t>
      </w:r>
      <w:r w:rsidRPr="00EA5469">
        <w:rPr>
          <w:rFonts w:ascii="Times New Roman" w:hAnsi="Times New Roman"/>
          <w:sz w:val="24"/>
          <w:szCs w:val="24"/>
        </w:rPr>
        <w:t>blood pressure of 160/82 and pulse of 124</w:t>
      </w:r>
      <w:r>
        <w:rPr>
          <w:rFonts w:ascii="Times New Roman" w:hAnsi="Times New Roman"/>
          <w:sz w:val="24"/>
          <w:szCs w:val="24"/>
        </w:rPr>
        <w:t xml:space="preserve">.  </w:t>
      </w:r>
      <w:r w:rsidRPr="00005F9E">
        <w:rPr>
          <w:rFonts w:ascii="Times New Roman" w:hAnsi="Times New Roman"/>
          <w:sz w:val="24"/>
          <w:szCs w:val="24"/>
        </w:rPr>
        <w:t xml:space="preserve">Law enforcement and </w:t>
      </w:r>
      <w:r>
        <w:rPr>
          <w:rFonts w:ascii="Times New Roman" w:hAnsi="Times New Roman"/>
          <w:sz w:val="24"/>
          <w:szCs w:val="24"/>
        </w:rPr>
        <w:t>EMS w</w:t>
      </w:r>
      <w:r w:rsidRPr="00005F9E">
        <w:rPr>
          <w:rFonts w:ascii="Times New Roman" w:hAnsi="Times New Roman"/>
          <w:sz w:val="24"/>
          <w:szCs w:val="24"/>
        </w:rPr>
        <w:t>ere unaware of Plaintiff's identity throughout their interactions as he refused or was unable to state his full name and carried no identification.</w:t>
      </w:r>
      <w:r>
        <w:rPr>
          <w:rFonts w:ascii="Times New Roman" w:hAnsi="Times New Roman"/>
          <w:sz w:val="24"/>
          <w:szCs w:val="24"/>
        </w:rPr>
        <w:t xml:space="preserve"> A Deputy Sheriff, recording the event, then decided to drop him off at a closed gas station, telling him:</w:t>
      </w:r>
    </w:p>
    <w:p w14:paraId="0B7AB34E" w14:textId="77777777" w:rsidR="00221640" w:rsidRPr="00BB1B9E" w:rsidRDefault="00221640" w:rsidP="00221640">
      <w:pPr>
        <w:spacing w:before="100" w:beforeAutospacing="1" w:after="100" w:afterAutospacing="1" w:line="240" w:lineRule="auto"/>
        <w:ind w:left="720"/>
        <w:rPr>
          <w:rFonts w:ascii="Times New Roman" w:hAnsi="Times New Roman"/>
          <w:sz w:val="24"/>
          <w:szCs w:val="24"/>
        </w:rPr>
      </w:pPr>
      <w:r w:rsidRPr="00BB1B9E">
        <w:rPr>
          <w:rFonts w:ascii="Times New Roman" w:hAnsi="Times New Roman"/>
          <w:sz w:val="24"/>
          <w:szCs w:val="24"/>
        </w:rPr>
        <w:t xml:space="preserve">“You are not under arrest. I'm </w:t>
      </w:r>
      <w:proofErr w:type="spellStart"/>
      <w:r w:rsidRPr="00BB1B9E">
        <w:rPr>
          <w:rFonts w:ascii="Times New Roman" w:hAnsi="Times New Roman"/>
          <w:sz w:val="24"/>
          <w:szCs w:val="24"/>
        </w:rPr>
        <w:t>gonna</w:t>
      </w:r>
      <w:proofErr w:type="spellEnd"/>
      <w:r w:rsidRPr="00BB1B9E">
        <w:rPr>
          <w:rFonts w:ascii="Times New Roman" w:hAnsi="Times New Roman"/>
          <w:sz w:val="24"/>
          <w:szCs w:val="24"/>
        </w:rPr>
        <w:t xml:space="preserve"> give you a ride . . . . You're not going to jail, you're not under arrest, I'm going to give you a ride . . . . I'll figure out where you live. I'll give you a ride to a safe environment. That's all I want</w:t>
      </w:r>
      <w:r>
        <w:rPr>
          <w:rFonts w:ascii="Times New Roman" w:hAnsi="Times New Roman"/>
          <w:sz w:val="24"/>
          <w:szCs w:val="24"/>
        </w:rPr>
        <w:t>….</w:t>
      </w:r>
      <w:r w:rsidRPr="00BB1B9E">
        <w:rPr>
          <w:rFonts w:ascii="Times New Roman" w:hAnsi="Times New Roman"/>
          <w:sz w:val="24"/>
          <w:szCs w:val="24"/>
        </w:rPr>
        <w:t xml:space="preserve">” </w:t>
      </w:r>
      <w:r>
        <w:rPr>
          <w:rFonts w:ascii="Times New Roman" w:hAnsi="Times New Roman"/>
          <w:sz w:val="24"/>
          <w:szCs w:val="24"/>
        </w:rPr>
        <w:t xml:space="preserve">[Deputy] </w:t>
      </w:r>
      <w:r w:rsidRPr="00BB1B9E">
        <w:rPr>
          <w:rFonts w:ascii="Times New Roman" w:hAnsi="Times New Roman"/>
          <w:sz w:val="24"/>
          <w:szCs w:val="24"/>
        </w:rPr>
        <w:t xml:space="preserve">Doroski then told the other on-scene OCSO deputy that he was taking </w:t>
      </w:r>
      <w:proofErr w:type="spellStart"/>
      <w:r w:rsidRPr="00BB1B9E">
        <w:rPr>
          <w:rFonts w:ascii="Times New Roman" w:hAnsi="Times New Roman"/>
          <w:sz w:val="24"/>
          <w:szCs w:val="24"/>
        </w:rPr>
        <w:t>Tarashuk</w:t>
      </w:r>
      <w:proofErr w:type="spellEnd"/>
      <w:r w:rsidRPr="00BB1B9E">
        <w:rPr>
          <w:rFonts w:ascii="Times New Roman" w:hAnsi="Times New Roman"/>
          <w:sz w:val="24"/>
          <w:szCs w:val="24"/>
        </w:rPr>
        <w:t xml:space="preserve"> to Santee and ultimately dropped </w:t>
      </w:r>
      <w:proofErr w:type="spellStart"/>
      <w:r w:rsidRPr="00BB1B9E">
        <w:rPr>
          <w:rFonts w:ascii="Times New Roman" w:hAnsi="Times New Roman"/>
          <w:sz w:val="24"/>
          <w:szCs w:val="24"/>
        </w:rPr>
        <w:t>Tarashuk</w:t>
      </w:r>
      <w:proofErr w:type="spellEnd"/>
      <w:r w:rsidRPr="00BB1B9E">
        <w:rPr>
          <w:rFonts w:ascii="Times New Roman" w:hAnsi="Times New Roman"/>
          <w:sz w:val="24"/>
          <w:szCs w:val="24"/>
        </w:rPr>
        <w:t xml:space="preserve"> off at a closed gas station.</w:t>
      </w:r>
      <w:r>
        <w:rPr>
          <w:rFonts w:ascii="Times New Roman" w:hAnsi="Times New Roman"/>
          <w:sz w:val="24"/>
          <w:szCs w:val="24"/>
        </w:rPr>
        <w:t xml:space="preserve">” </w:t>
      </w:r>
    </w:p>
    <w:p w14:paraId="7D3D6424" w14:textId="77777777" w:rsidR="00221640" w:rsidRPr="008A6F7F" w:rsidRDefault="00221640" w:rsidP="00221640">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After being dopped off at the gas station, Mr. </w:t>
      </w:r>
      <w:proofErr w:type="spellStart"/>
      <w:r>
        <w:rPr>
          <w:rFonts w:ascii="Times New Roman" w:hAnsi="Times New Roman"/>
          <w:sz w:val="24"/>
          <w:szCs w:val="24"/>
        </w:rPr>
        <w:t>Tarashuk</w:t>
      </w:r>
      <w:proofErr w:type="spellEnd"/>
      <w:r>
        <w:rPr>
          <w:rFonts w:ascii="Times New Roman" w:hAnsi="Times New Roman"/>
          <w:sz w:val="24"/>
          <w:szCs w:val="24"/>
        </w:rPr>
        <w:t xml:space="preserve"> walked back to I-95 and was struck and killed a few hours later. Under these unfortunate facts, Judge Childs held that while the deceased’s family cannot sue the County for “failure to train” the Deputy and the medics, they can sue under the ADA [Americans with Disabilities Act] for failure to accommodate the patient by not taking him to the hospital. </w:t>
      </w:r>
      <w:hyperlink r:id="rId2309" w:history="1">
        <w:r w:rsidRPr="00E151A7">
          <w:rPr>
            <w:rStyle w:val="Hyperlink"/>
            <w:rFonts w:ascii="Times New Roman" w:hAnsi="Times New Roman"/>
            <w:sz w:val="24"/>
            <w:szCs w:val="24"/>
          </w:rPr>
          <w:t>https://www.leagle.com/decision/infdco20220324d64</w:t>
        </w:r>
      </w:hyperlink>
      <w:r w:rsidRPr="008A6F7F">
        <w:rPr>
          <w:rFonts w:ascii="Times New Roman" w:hAnsi="Times New Roman"/>
          <w:sz w:val="24"/>
          <w:szCs w:val="24"/>
        </w:rPr>
        <w:t xml:space="preserve"> </w:t>
      </w:r>
    </w:p>
    <w:p w14:paraId="3737AABF" w14:textId="77777777" w:rsidR="00221640" w:rsidRPr="008A6F7F" w:rsidRDefault="00221640" w:rsidP="0022164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07F61">
        <w:rPr>
          <w:rFonts w:ascii="Times New Roman" w:hAnsi="Times New Roman"/>
          <w:sz w:val="24"/>
          <w:szCs w:val="24"/>
        </w:rPr>
        <w:t xml:space="preserve">Plaintiff has alleged sufficient facts to indicate that two trained paramedics should have been able to gauge the specific accommodation required here and taken </w:t>
      </w:r>
      <w:proofErr w:type="spellStart"/>
      <w:r w:rsidRPr="00107F61">
        <w:rPr>
          <w:rFonts w:ascii="Times New Roman" w:hAnsi="Times New Roman"/>
          <w:sz w:val="24"/>
          <w:szCs w:val="24"/>
        </w:rPr>
        <w:t>Tarashuk</w:t>
      </w:r>
      <w:proofErr w:type="spellEnd"/>
      <w:r w:rsidRPr="00107F61">
        <w:rPr>
          <w:rFonts w:ascii="Times New Roman" w:hAnsi="Times New Roman"/>
          <w:sz w:val="24"/>
          <w:szCs w:val="24"/>
        </w:rPr>
        <w:t xml:space="preserve"> to the hospital. Ultimately, whether the circumstances alleged here are such that responding paramedics knew or should have known </w:t>
      </w:r>
      <w:proofErr w:type="spellStart"/>
      <w:r w:rsidRPr="00107F61">
        <w:rPr>
          <w:rFonts w:ascii="Times New Roman" w:hAnsi="Times New Roman"/>
          <w:sz w:val="24"/>
          <w:szCs w:val="24"/>
        </w:rPr>
        <w:t>Tarashuk</w:t>
      </w:r>
      <w:proofErr w:type="spellEnd"/>
      <w:r w:rsidRPr="00107F61">
        <w:rPr>
          <w:rFonts w:ascii="Times New Roman" w:hAnsi="Times New Roman"/>
          <w:sz w:val="24"/>
          <w:szCs w:val="24"/>
        </w:rPr>
        <w:t xml:space="preserve"> was obviously disabled presents a genuine question of material fact and precludes summary judgment.</w:t>
      </w:r>
      <w:r>
        <w:rPr>
          <w:rFonts w:ascii="Times New Roman" w:hAnsi="Times New Roman"/>
          <w:sz w:val="24"/>
          <w:szCs w:val="24"/>
        </w:rPr>
        <w:t xml:space="preserve">” </w:t>
      </w:r>
      <w:hyperlink r:id="rId2310" w:history="1">
        <w:r w:rsidRPr="00E151A7">
          <w:rPr>
            <w:rStyle w:val="Hyperlink"/>
            <w:rFonts w:ascii="Times New Roman" w:hAnsi="Times New Roman"/>
            <w:sz w:val="24"/>
            <w:szCs w:val="24"/>
          </w:rPr>
          <w:t>https://www.leagle.com/decision/infdco20220324d64</w:t>
        </w:r>
      </w:hyperlink>
      <w:r w:rsidRPr="008A6F7F">
        <w:rPr>
          <w:rFonts w:ascii="Times New Roman" w:hAnsi="Times New Roman"/>
          <w:sz w:val="24"/>
          <w:szCs w:val="24"/>
        </w:rPr>
        <w:t xml:space="preserve"> </w:t>
      </w:r>
    </w:p>
    <w:bookmarkEnd w:id="443"/>
    <w:p w14:paraId="4C7339FD" w14:textId="77777777" w:rsidR="00221640" w:rsidRDefault="00221640" w:rsidP="00221640">
      <w:pPr>
        <w:spacing w:before="100" w:beforeAutospacing="1" w:after="100" w:afterAutospacing="1" w:line="240" w:lineRule="auto"/>
        <w:rPr>
          <w:rFonts w:ascii="Times New Roman" w:eastAsia="Times New Roman" w:hAnsi="Times New Roman"/>
          <w:b/>
          <w:bCs/>
          <w:sz w:val="24"/>
          <w:szCs w:val="24"/>
        </w:rPr>
      </w:pPr>
      <w:r w:rsidRPr="008C4B8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EMS should know the law in their state, and local protocols, on when a patient should be taken to hospital for psychiatric evaluation. </w:t>
      </w:r>
    </w:p>
    <w:p w14:paraId="7B848D6D" w14:textId="77777777" w:rsidR="00221640" w:rsidRDefault="00221640" w:rsidP="00221640">
      <w:pPr>
        <w:spacing w:before="100" w:beforeAutospacing="1" w:after="100" w:afterAutospacing="1" w:line="240" w:lineRule="auto"/>
        <w:ind w:left="720"/>
        <w:rPr>
          <w:rFonts w:ascii="Times New Roman" w:eastAsia="Times New Roman" w:hAnsi="Times New Roman"/>
          <w:sz w:val="24"/>
          <w:szCs w:val="24"/>
        </w:rPr>
      </w:pPr>
      <w:r w:rsidRPr="00EB1873">
        <w:rPr>
          <w:rFonts w:ascii="Times New Roman" w:eastAsia="Times New Roman" w:hAnsi="Times New Roman"/>
          <w:sz w:val="24"/>
          <w:szCs w:val="24"/>
        </w:rPr>
        <w:t>Note:</w:t>
      </w:r>
      <w:r>
        <w:rPr>
          <w:rFonts w:ascii="Times New Roman" w:eastAsia="Times New Roman" w:hAnsi="Times New Roman"/>
          <w:sz w:val="24"/>
          <w:szCs w:val="24"/>
        </w:rPr>
        <w:t xml:space="preserve"> One of the medics on this run had a long history of drug addictions, and license suspension, prior to being hired by the County EMS.  The trial judge dismissed the claim of negligent hiring.</w:t>
      </w:r>
    </w:p>
    <w:p w14:paraId="27328BBB" w14:textId="77777777" w:rsidR="00221640" w:rsidRDefault="00221640" w:rsidP="0022164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EB1873">
        <w:rPr>
          <w:rFonts w:ascii="Times New Roman" w:hAnsi="Times New Roman"/>
          <w:sz w:val="24"/>
          <w:szCs w:val="24"/>
        </w:rPr>
        <w:t xml:space="preserve">Here, Plaintiff concedes Rivers contacted </w:t>
      </w:r>
      <w:r>
        <w:rPr>
          <w:rFonts w:ascii="Times New Roman" w:hAnsi="Times New Roman"/>
          <w:sz w:val="24"/>
          <w:szCs w:val="24"/>
        </w:rPr>
        <w:t xml:space="preserve">[the medic’s] </w:t>
      </w:r>
      <w:r w:rsidRPr="00EB1873">
        <w:rPr>
          <w:rFonts w:ascii="Times New Roman" w:hAnsi="Times New Roman"/>
          <w:sz w:val="24"/>
          <w:szCs w:val="24"/>
        </w:rPr>
        <w:t xml:space="preserve">longest-term employer who affirmed her competence as a paramedic. Rivers knew of </w:t>
      </w:r>
      <w:r>
        <w:rPr>
          <w:rFonts w:ascii="Times New Roman" w:hAnsi="Times New Roman"/>
          <w:sz w:val="24"/>
          <w:szCs w:val="24"/>
        </w:rPr>
        <w:t xml:space="preserve">[the medic’s] </w:t>
      </w:r>
      <w:r w:rsidRPr="00EB1873">
        <w:rPr>
          <w:rFonts w:ascii="Times New Roman" w:hAnsi="Times New Roman"/>
          <w:sz w:val="24"/>
          <w:szCs w:val="24"/>
        </w:rPr>
        <w:t xml:space="preserve">license suspension and contacted DHEC, the regulatory body in charge of her reinstatement, to ensure she had complied with its requirements. While certain red flags on </w:t>
      </w:r>
      <w:r>
        <w:rPr>
          <w:rFonts w:ascii="Times New Roman" w:hAnsi="Times New Roman"/>
          <w:sz w:val="24"/>
          <w:szCs w:val="24"/>
        </w:rPr>
        <w:t xml:space="preserve">[the medic’s] </w:t>
      </w:r>
      <w:r w:rsidRPr="00EB1873">
        <w:rPr>
          <w:rFonts w:ascii="Times New Roman" w:hAnsi="Times New Roman"/>
          <w:sz w:val="24"/>
          <w:szCs w:val="24"/>
        </w:rPr>
        <w:t xml:space="preserve">application, such as her relatively short tenure with subsequent employers and publicly available facts regarding her license suspension due to opioid addiction may have warranted further scrutiny, Rivers' failure to follow each thread in his investigation constitutes negligence at best. And in this context, negligence-based </w:t>
      </w:r>
      <w:r w:rsidRPr="00EB1873">
        <w:rPr>
          <w:rStyle w:val="Emphasis"/>
          <w:rFonts w:ascii="Times New Roman" w:hAnsi="Times New Roman"/>
          <w:sz w:val="24"/>
          <w:szCs w:val="24"/>
        </w:rPr>
        <w:t>respondeat superior</w:t>
      </w:r>
      <w:r w:rsidRPr="00EB1873">
        <w:rPr>
          <w:rFonts w:ascii="Times New Roman" w:hAnsi="Times New Roman"/>
          <w:sz w:val="24"/>
          <w:szCs w:val="24"/>
        </w:rPr>
        <w:t xml:space="preserve"> liability does not reach the substantial </w:t>
      </w:r>
      <w:r>
        <w:rPr>
          <w:rFonts w:ascii="Times New Roman" w:hAnsi="Times New Roman"/>
          <w:sz w:val="24"/>
          <w:szCs w:val="24"/>
        </w:rPr>
        <w:t>‘</w:t>
      </w:r>
      <w:r w:rsidRPr="00EB1873">
        <w:rPr>
          <w:rFonts w:ascii="Times New Roman" w:hAnsi="Times New Roman"/>
          <w:sz w:val="24"/>
          <w:szCs w:val="24"/>
        </w:rPr>
        <w:t>deliberate indifference</w:t>
      </w:r>
      <w:r>
        <w:rPr>
          <w:rFonts w:ascii="Times New Roman" w:hAnsi="Times New Roman"/>
          <w:sz w:val="24"/>
          <w:szCs w:val="24"/>
        </w:rPr>
        <w:t>’</w:t>
      </w:r>
      <w:r w:rsidRPr="00EB1873">
        <w:rPr>
          <w:rFonts w:ascii="Times New Roman" w:hAnsi="Times New Roman"/>
          <w:sz w:val="24"/>
          <w:szCs w:val="24"/>
        </w:rPr>
        <w:t xml:space="preserve"> </w:t>
      </w:r>
      <w:proofErr w:type="gramStart"/>
      <w:r w:rsidRPr="00EB1873">
        <w:rPr>
          <w:rFonts w:ascii="Times New Roman" w:hAnsi="Times New Roman"/>
          <w:sz w:val="24"/>
          <w:szCs w:val="24"/>
        </w:rPr>
        <w:t>threshold</w:t>
      </w:r>
      <w:r>
        <w:rPr>
          <w:rFonts w:ascii="Times New Roman" w:hAnsi="Times New Roman"/>
          <w:sz w:val="24"/>
          <w:szCs w:val="24"/>
        </w:rPr>
        <w:t>.”</w:t>
      </w:r>
      <w:proofErr w:type="gramEnd"/>
      <w:r>
        <w:rPr>
          <w:rFonts w:ascii="Times New Roman" w:hAnsi="Times New Roman"/>
          <w:sz w:val="24"/>
          <w:szCs w:val="24"/>
        </w:rPr>
        <w:t xml:space="preserve"> </w:t>
      </w:r>
      <w:r w:rsidRPr="008C4B8D">
        <w:rPr>
          <w:rFonts w:ascii="Times New Roman" w:eastAsia="Times New Roman" w:hAnsi="Times New Roman"/>
          <w:sz w:val="24"/>
          <w:szCs w:val="24"/>
        </w:rPr>
        <w:t xml:space="preserve"> </w:t>
      </w:r>
      <w:hyperlink r:id="rId2311" w:history="1">
        <w:r w:rsidRPr="00E151A7">
          <w:rPr>
            <w:rStyle w:val="Hyperlink"/>
            <w:rFonts w:ascii="Times New Roman" w:hAnsi="Times New Roman"/>
            <w:sz w:val="24"/>
            <w:szCs w:val="24"/>
          </w:rPr>
          <w:t>https://www.leagle.com/decision/infdco20220324d64</w:t>
        </w:r>
      </w:hyperlink>
    </w:p>
    <w:p w14:paraId="709985A3" w14:textId="77777777" w:rsidR="00221640" w:rsidRDefault="00221640" w:rsidP="002B1283">
      <w:pPr>
        <w:rPr>
          <w:rFonts w:ascii="Arial Black" w:hAnsi="Arial Black"/>
          <w:b/>
          <w:bCs/>
          <w:sz w:val="28"/>
          <w:szCs w:val="28"/>
        </w:rPr>
      </w:pPr>
    </w:p>
    <w:p w14:paraId="7B349DF3" w14:textId="77777777" w:rsidR="00221640" w:rsidRDefault="00221640" w:rsidP="002B1283">
      <w:pPr>
        <w:rPr>
          <w:rFonts w:ascii="Arial Black" w:hAnsi="Arial Black"/>
          <w:b/>
          <w:bCs/>
          <w:sz w:val="28"/>
          <w:szCs w:val="28"/>
        </w:rPr>
      </w:pPr>
    </w:p>
    <w:p w14:paraId="7047CC77" w14:textId="72031474" w:rsidR="00E3473F" w:rsidRDefault="00E3473F" w:rsidP="002B1283">
      <w:pPr>
        <w:rPr>
          <w:rFonts w:ascii="Arial Black" w:hAnsi="Arial Black"/>
          <w:b/>
          <w:bCs/>
          <w:sz w:val="28"/>
          <w:szCs w:val="28"/>
        </w:rPr>
      </w:pPr>
      <w:r>
        <w:rPr>
          <w:rFonts w:ascii="Arial Black" w:hAnsi="Arial Black"/>
          <w:b/>
          <w:bCs/>
          <w:sz w:val="28"/>
          <w:szCs w:val="28"/>
        </w:rPr>
        <w:t>13-108</w:t>
      </w:r>
    </w:p>
    <w:p w14:paraId="09D93EFC" w14:textId="77777777" w:rsidR="00E3473F" w:rsidRDefault="00E3473F" w:rsidP="00E3473F">
      <w:pPr>
        <w:spacing w:before="100" w:beforeAutospacing="1" w:after="100" w:afterAutospacing="1" w:line="240" w:lineRule="auto"/>
        <w:rPr>
          <w:rFonts w:ascii="Times New Roman" w:eastAsia="Times New Roman" w:hAnsi="Times New Roman"/>
          <w:b/>
          <w:bCs/>
          <w:sz w:val="24"/>
          <w:szCs w:val="24"/>
        </w:rPr>
      </w:pPr>
      <w:r>
        <w:rPr>
          <w:rFonts w:ascii="Arial Black" w:eastAsia="Times New Roman" w:hAnsi="Arial Black"/>
          <w:b/>
          <w:bCs/>
          <w:sz w:val="28"/>
          <w:szCs w:val="28"/>
        </w:rPr>
        <w:t>GA: PATIENT’S PUSH BUTTON DEVICE - ANSWERING SERVICE DIDN’T ASK DOORS LOCKED – FAMILY SUE CO.</w:t>
      </w:r>
    </w:p>
    <w:p w14:paraId="6E521080" w14:textId="77777777" w:rsidR="00E3473F" w:rsidRDefault="00E3473F" w:rsidP="00E3473F">
      <w:pPr>
        <w:spacing w:before="100" w:beforeAutospacing="1" w:after="100" w:afterAutospacing="1" w:line="240" w:lineRule="auto"/>
        <w:rPr>
          <w:rFonts w:ascii="Times New Roman" w:hAnsi="Times New Roman"/>
          <w:sz w:val="24"/>
          <w:szCs w:val="24"/>
        </w:rPr>
      </w:pPr>
      <w:r w:rsidRPr="00D82B8F">
        <w:rPr>
          <w:rFonts w:ascii="Times New Roman" w:eastAsia="Times New Roman" w:hAnsi="Times New Roman"/>
          <w:sz w:val="24"/>
          <w:szCs w:val="24"/>
        </w:rPr>
        <w:t xml:space="preserve">On March 17, 2022, in </w:t>
      </w:r>
      <w:r w:rsidRPr="00D82B8F">
        <w:rPr>
          <w:rFonts w:ascii="Times New Roman" w:eastAsia="Times New Roman" w:hAnsi="Times New Roman"/>
          <w:sz w:val="24"/>
          <w:szCs w:val="24"/>
          <w:u w:val="single"/>
        </w:rPr>
        <w:t xml:space="preserve">Eric Brown, Administrator of the Estate of Loretta Lewis v. </w:t>
      </w:r>
      <w:proofErr w:type="spellStart"/>
      <w:r w:rsidRPr="00D82B8F">
        <w:rPr>
          <w:rFonts w:ascii="Times New Roman" w:eastAsia="Times New Roman" w:hAnsi="Times New Roman"/>
          <w:sz w:val="24"/>
          <w:szCs w:val="24"/>
          <w:u w:val="single"/>
        </w:rPr>
        <w:t>Medscope</w:t>
      </w:r>
      <w:proofErr w:type="spellEnd"/>
      <w:r w:rsidRPr="00D82B8F">
        <w:rPr>
          <w:rFonts w:ascii="Times New Roman" w:eastAsia="Times New Roman" w:hAnsi="Times New Roman"/>
          <w:sz w:val="24"/>
          <w:szCs w:val="24"/>
          <w:u w:val="single"/>
        </w:rPr>
        <w:t xml:space="preserve"> America Corporation and </w:t>
      </w:r>
      <w:proofErr w:type="spellStart"/>
      <w:r w:rsidRPr="00D82B8F">
        <w:rPr>
          <w:rFonts w:ascii="Times New Roman" w:eastAsia="Times New Roman" w:hAnsi="Times New Roman"/>
          <w:sz w:val="24"/>
          <w:szCs w:val="24"/>
          <w:u w:val="single"/>
        </w:rPr>
        <w:t>Avant</w:t>
      </w:r>
      <w:r>
        <w:rPr>
          <w:rFonts w:ascii="Times New Roman" w:eastAsia="Times New Roman" w:hAnsi="Times New Roman"/>
          <w:sz w:val="24"/>
          <w:szCs w:val="24"/>
          <w:u w:val="single"/>
        </w:rPr>
        <w:t>G</w:t>
      </w:r>
      <w:r w:rsidRPr="00D82B8F">
        <w:rPr>
          <w:rFonts w:ascii="Times New Roman" w:eastAsia="Times New Roman" w:hAnsi="Times New Roman"/>
          <w:sz w:val="24"/>
          <w:szCs w:val="24"/>
          <w:u w:val="single"/>
        </w:rPr>
        <w:t>uard</w:t>
      </w:r>
      <w:proofErr w:type="spellEnd"/>
      <w:r w:rsidRPr="00D82B8F">
        <w:rPr>
          <w:rFonts w:ascii="Times New Roman" w:eastAsia="Times New Roman" w:hAnsi="Times New Roman"/>
          <w:sz w:val="24"/>
          <w:szCs w:val="24"/>
          <w:u w:val="single"/>
        </w:rPr>
        <w:t xml:space="preserve"> Monitoring Centers, LLC</w:t>
      </w:r>
      <w:r w:rsidRPr="00D82B8F">
        <w:rPr>
          <w:rFonts w:ascii="Times New Roman" w:eastAsia="Times New Roman" w:hAnsi="Times New Roman"/>
          <w:sz w:val="24"/>
          <w:szCs w:val="24"/>
        </w:rPr>
        <w:t xml:space="preserve">, U.S. District Court Judge Clay D. Land, </w:t>
      </w:r>
      <w:r>
        <w:rPr>
          <w:rFonts w:ascii="Times New Roman" w:eastAsia="Times New Roman" w:hAnsi="Times New Roman"/>
          <w:sz w:val="24"/>
          <w:szCs w:val="24"/>
        </w:rPr>
        <w:t xml:space="preserve">IU.S. District Court for the Middle District of George (Columbus Division), </w:t>
      </w:r>
      <w:r w:rsidRPr="00D82B8F">
        <w:rPr>
          <w:rFonts w:ascii="Times New Roman" w:eastAsia="Times New Roman" w:hAnsi="Times New Roman"/>
          <w:sz w:val="24"/>
          <w:szCs w:val="24"/>
        </w:rPr>
        <w:t>denied the defendants’ motion to dismiss</w:t>
      </w:r>
      <w:r>
        <w:rPr>
          <w:rFonts w:ascii="Times New Roman" w:eastAsia="Times New Roman" w:hAnsi="Times New Roman"/>
          <w:sz w:val="24"/>
          <w:szCs w:val="24"/>
        </w:rPr>
        <w:t xml:space="preserve"> in a lawsuit brought under </w:t>
      </w:r>
      <w:r w:rsidRPr="00C66418">
        <w:rPr>
          <w:rFonts w:ascii="Times New Roman" w:hAnsi="Times New Roman"/>
          <w:sz w:val="24"/>
          <w:szCs w:val="24"/>
        </w:rPr>
        <w:t>Georgia's Fair Business Practices Act and under general tort law.</w:t>
      </w:r>
      <w:r w:rsidRPr="00D82B8F">
        <w:rPr>
          <w:rFonts w:ascii="Times New Roman" w:eastAsia="Times New Roman" w:hAnsi="Times New Roman"/>
          <w:sz w:val="24"/>
          <w:szCs w:val="24"/>
        </w:rPr>
        <w:t xml:space="preserve">  </w:t>
      </w:r>
      <w:r>
        <w:rPr>
          <w:rFonts w:ascii="Times New Roman" w:eastAsia="Times New Roman" w:hAnsi="Times New Roman"/>
          <w:sz w:val="24"/>
          <w:szCs w:val="24"/>
        </w:rPr>
        <w:t xml:space="preserve">The COPD patient activated the push button medallion device she wore around her neck.  The answering service notified </w:t>
      </w:r>
      <w:proofErr w:type="gramStart"/>
      <w:r>
        <w:rPr>
          <w:rFonts w:ascii="Times New Roman" w:eastAsia="Times New Roman" w:hAnsi="Times New Roman"/>
          <w:sz w:val="24"/>
          <w:szCs w:val="24"/>
        </w:rPr>
        <w:t>911, but</w:t>
      </w:r>
      <w:proofErr w:type="gramEnd"/>
      <w:r>
        <w:rPr>
          <w:rFonts w:ascii="Times New Roman" w:eastAsia="Times New Roman" w:hAnsi="Times New Roman"/>
          <w:sz w:val="24"/>
          <w:szCs w:val="24"/>
        </w:rPr>
        <w:t xml:space="preserve"> never asked her if the doors were locked. </w:t>
      </w:r>
      <w:r w:rsidRPr="00D82B8F">
        <w:rPr>
          <w:rFonts w:ascii="Times New Roman" w:eastAsia="Times New Roman" w:hAnsi="Times New Roman"/>
          <w:sz w:val="24"/>
          <w:szCs w:val="24"/>
        </w:rPr>
        <w:t>When EMS arrived at the patient’s home, the doors were locked</w:t>
      </w:r>
      <w:r>
        <w:rPr>
          <w:rFonts w:ascii="Times New Roman" w:eastAsia="Times New Roman" w:hAnsi="Times New Roman"/>
          <w:sz w:val="24"/>
          <w:szCs w:val="24"/>
        </w:rPr>
        <w:t xml:space="preserve"> </w:t>
      </w:r>
      <w:r w:rsidRPr="00D82B8F">
        <w:rPr>
          <w:rFonts w:ascii="Times New Roman" w:eastAsia="Times New Roman" w:hAnsi="Times New Roman"/>
          <w:sz w:val="24"/>
          <w:szCs w:val="24"/>
        </w:rPr>
        <w:t>and they needed to wait for a fire engine to breach the door; patient s</w:t>
      </w:r>
      <w:r w:rsidRPr="00D82B8F">
        <w:rPr>
          <w:rFonts w:ascii="Times New Roman" w:hAnsi="Times New Roman"/>
          <w:sz w:val="24"/>
          <w:szCs w:val="24"/>
        </w:rPr>
        <w:t xml:space="preserve">uffered an extended hypoxic event leading to serious brain injury that </w:t>
      </w:r>
      <w:r>
        <w:rPr>
          <w:rFonts w:ascii="Times New Roman" w:hAnsi="Times New Roman"/>
          <w:sz w:val="24"/>
          <w:szCs w:val="24"/>
        </w:rPr>
        <w:t xml:space="preserve">led to </w:t>
      </w:r>
      <w:r w:rsidRPr="00D82B8F">
        <w:rPr>
          <w:rFonts w:ascii="Times New Roman" w:hAnsi="Times New Roman"/>
          <w:sz w:val="24"/>
          <w:szCs w:val="24"/>
        </w:rPr>
        <w:t>her death three days later while in the hospital.</w:t>
      </w:r>
      <w:r>
        <w:rPr>
          <w:rFonts w:ascii="Times New Roman" w:hAnsi="Times New Roman"/>
          <w:sz w:val="24"/>
          <w:szCs w:val="24"/>
        </w:rPr>
        <w:t xml:space="preserve"> </w:t>
      </w:r>
      <w:hyperlink r:id="rId2312" w:history="1">
        <w:r w:rsidRPr="005A2A16">
          <w:rPr>
            <w:rStyle w:val="Hyperlink"/>
            <w:rFonts w:ascii="Times New Roman" w:hAnsi="Times New Roman"/>
            <w:sz w:val="24"/>
            <w:szCs w:val="24"/>
          </w:rPr>
          <w:t>https://casetext.com/case/brown-v-medscope-am-corp</w:t>
        </w:r>
      </w:hyperlink>
      <w:r>
        <w:rPr>
          <w:rFonts w:ascii="Times New Roman" w:hAnsi="Times New Roman"/>
          <w:sz w:val="24"/>
          <w:szCs w:val="24"/>
        </w:rPr>
        <w:t xml:space="preserve"> </w:t>
      </w:r>
    </w:p>
    <w:p w14:paraId="5D4FFF3A" w14:textId="77777777" w:rsidR="00E3473F" w:rsidRDefault="00E3473F" w:rsidP="00E3473F">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82B8F">
        <w:rPr>
          <w:rFonts w:ascii="Times New Roman" w:hAnsi="Times New Roman"/>
          <w:sz w:val="24"/>
          <w:szCs w:val="24"/>
        </w:rPr>
        <w:t xml:space="preserve">Specifically, Plaintiff alleges that, if Lewis had called 9-1-1 directly, 9-1-1 would have asked her if her doors were locked and would have sent a fire crew to Lewis's house upon learning that Lewis </w:t>
      </w:r>
      <w:r>
        <w:rPr>
          <w:rFonts w:ascii="Times New Roman" w:hAnsi="Times New Roman"/>
          <w:sz w:val="24"/>
          <w:szCs w:val="24"/>
        </w:rPr>
        <w:t>‘</w:t>
      </w:r>
      <w:r w:rsidRPr="00D82B8F">
        <w:rPr>
          <w:rFonts w:ascii="Times New Roman" w:hAnsi="Times New Roman"/>
          <w:sz w:val="24"/>
          <w:szCs w:val="24"/>
        </w:rPr>
        <w:t>couldn't breathe.</w:t>
      </w:r>
      <w:r>
        <w:rPr>
          <w:rFonts w:ascii="Times New Roman" w:hAnsi="Times New Roman"/>
          <w:sz w:val="24"/>
          <w:szCs w:val="24"/>
        </w:rPr>
        <w:t>’</w:t>
      </w:r>
      <w:r w:rsidRPr="00D82B8F">
        <w:rPr>
          <w:rFonts w:ascii="Times New Roman" w:hAnsi="Times New Roman"/>
          <w:sz w:val="24"/>
          <w:szCs w:val="24"/>
        </w:rPr>
        <w:t xml:space="preserve"> Plaintiff thus adequately alleges that Defendants owed a duty of care to Lewis by assuming responsibility for providing Lewis with necessary emergency services, Lewis relied on Defendants' assumption of that duty, and that Defendants breached that duty and harmed Lewis by negligently failing to act as a reasonable 9-1-1 operator would if Lewis called 9-1-1 directly. Defendants' motions to dismiss Plaintiff's negligence claim are denied.</w:t>
      </w:r>
      <w:r>
        <w:rPr>
          <w:rFonts w:ascii="Times New Roman" w:hAnsi="Times New Roman"/>
          <w:sz w:val="24"/>
          <w:szCs w:val="24"/>
        </w:rPr>
        <w:t xml:space="preserve">”  </w:t>
      </w:r>
      <w:hyperlink r:id="rId2313" w:history="1">
        <w:r w:rsidRPr="005A2A16">
          <w:rPr>
            <w:rStyle w:val="Hyperlink"/>
            <w:rFonts w:ascii="Times New Roman" w:hAnsi="Times New Roman"/>
            <w:sz w:val="24"/>
            <w:szCs w:val="24"/>
          </w:rPr>
          <w:t>https://casetext.com/case/brown-v-medscope-am-corp</w:t>
        </w:r>
      </w:hyperlink>
      <w:r>
        <w:rPr>
          <w:rFonts w:ascii="Times New Roman" w:hAnsi="Times New Roman"/>
          <w:sz w:val="24"/>
          <w:szCs w:val="24"/>
        </w:rPr>
        <w:t xml:space="preserve"> </w:t>
      </w:r>
    </w:p>
    <w:p w14:paraId="5A66A37A" w14:textId="77777777" w:rsidR="00221640" w:rsidRPr="00AF18D5" w:rsidRDefault="00221640" w:rsidP="00221640">
      <w:pPr>
        <w:spacing w:before="100" w:beforeAutospacing="1" w:after="100" w:afterAutospacing="1" w:line="240" w:lineRule="auto"/>
        <w:rPr>
          <w:rFonts w:ascii="Times New Roman" w:eastAsia="Times New Roman" w:hAnsi="Times New Roman"/>
          <w:b/>
          <w:bCs/>
          <w:sz w:val="24"/>
          <w:szCs w:val="24"/>
        </w:rPr>
      </w:pPr>
      <w:r w:rsidRPr="00665122">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Answering services have an obligation to inform 911 of critical facts, including whether patient is alone in her home with the doors locked. </w:t>
      </w:r>
    </w:p>
    <w:p w14:paraId="76B1460C" w14:textId="77777777" w:rsidR="00E3473F" w:rsidRDefault="00E3473F" w:rsidP="002B1283">
      <w:pPr>
        <w:rPr>
          <w:rFonts w:ascii="Arial Black" w:hAnsi="Arial Black"/>
          <w:b/>
          <w:bCs/>
          <w:sz w:val="28"/>
          <w:szCs w:val="28"/>
        </w:rPr>
      </w:pPr>
    </w:p>
    <w:p w14:paraId="62D96FE3" w14:textId="77777777" w:rsidR="00E3473F" w:rsidRDefault="00E3473F" w:rsidP="002B1283">
      <w:pPr>
        <w:rPr>
          <w:rFonts w:ascii="Arial Black" w:hAnsi="Arial Black"/>
          <w:b/>
          <w:bCs/>
          <w:sz w:val="28"/>
          <w:szCs w:val="28"/>
        </w:rPr>
      </w:pPr>
    </w:p>
    <w:p w14:paraId="6511AB41" w14:textId="77777777" w:rsidR="00E3473F" w:rsidRDefault="00E3473F" w:rsidP="002B1283">
      <w:pPr>
        <w:rPr>
          <w:rFonts w:ascii="Arial Black" w:hAnsi="Arial Black"/>
          <w:b/>
          <w:bCs/>
          <w:sz w:val="28"/>
          <w:szCs w:val="28"/>
        </w:rPr>
      </w:pPr>
    </w:p>
    <w:p w14:paraId="0060AD3F" w14:textId="4AA6337A" w:rsidR="00D55139" w:rsidRDefault="00E3473F" w:rsidP="002B1283">
      <w:pPr>
        <w:rPr>
          <w:rFonts w:ascii="Arial Black" w:hAnsi="Arial Black"/>
          <w:b/>
          <w:bCs/>
          <w:sz w:val="28"/>
          <w:szCs w:val="28"/>
        </w:rPr>
      </w:pPr>
      <w:r>
        <w:rPr>
          <w:rFonts w:ascii="Arial Black" w:hAnsi="Arial Black"/>
          <w:b/>
          <w:bCs/>
          <w:sz w:val="28"/>
          <w:szCs w:val="28"/>
        </w:rPr>
        <w:t>13-107</w:t>
      </w:r>
    </w:p>
    <w:p w14:paraId="10553ABD" w14:textId="77777777" w:rsidR="00E3473F" w:rsidRDefault="00E3473F" w:rsidP="00E3473F">
      <w:pPr>
        <w:pStyle w:val="NormalWeb"/>
        <w:rPr>
          <w:rFonts w:ascii="Arial Black" w:hAnsi="Arial Black"/>
          <w:sz w:val="28"/>
          <w:szCs w:val="28"/>
        </w:rPr>
      </w:pPr>
      <w:r w:rsidRPr="004604BC">
        <w:rPr>
          <w:rFonts w:ascii="Arial Black" w:hAnsi="Arial Black"/>
          <w:sz w:val="28"/>
          <w:szCs w:val="28"/>
        </w:rPr>
        <w:t>CA:</w:t>
      </w:r>
      <w:r>
        <w:rPr>
          <w:rFonts w:ascii="Arial Black" w:hAnsi="Arial Black"/>
          <w:sz w:val="28"/>
          <w:szCs w:val="28"/>
        </w:rPr>
        <w:t xml:space="preserve"> ASPHYXIATION - PD MAN FACE DOWN – EMS USED BACKBORD 4 MIN. PRONE – NOT UNCONSTIT. IN 2017</w:t>
      </w:r>
    </w:p>
    <w:p w14:paraId="30BB0CAC" w14:textId="77777777" w:rsidR="00E3473F" w:rsidRDefault="00E3473F" w:rsidP="00E3473F">
      <w:pPr>
        <w:pStyle w:val="NormalWeb"/>
      </w:pPr>
      <w:r>
        <w:t xml:space="preserve">On March 17, 2022, in </w:t>
      </w:r>
      <w:r w:rsidRPr="004604BC">
        <w:rPr>
          <w:u w:val="single"/>
        </w:rPr>
        <w:t>Anthony Perez, et al, v. City of Fresno, et al.</w:t>
      </w:r>
      <w:r>
        <w:t xml:space="preserve">, U.S. Senior District Court Judge Anthony W. Ishii, U.S. District Court for Eastern District of California, granted summary judgment for all the defendants, including the two medics, and the police officers, the </w:t>
      </w:r>
      <w:proofErr w:type="gramStart"/>
      <w:r>
        <w:t>City</w:t>
      </w:r>
      <w:proofErr w:type="gramEnd"/>
      <w:r>
        <w:t xml:space="preserve">, and the County. Based on case law in 2017, a “reasonable paramedic would have known that [paramedic] Anderson's conduct was unconstitutional” under 14 Amendment due process clause. </w:t>
      </w:r>
      <w:hyperlink r:id="rId2314" w:history="1">
        <w:r w:rsidRPr="005A0566">
          <w:rPr>
            <w:rStyle w:val="Hyperlink"/>
            <w:rFonts w:eastAsiaTheme="majorEastAsia"/>
          </w:rPr>
          <w:t>https://public.fastcase.com/waZtJvSA54UAurM2rmIZzwvOxdABv7XvwmmlDXNvdvn51CTV3NslG6Rw0yioxZXL%2BjJOhhNAJF%2FpIN8S52jcKAcJWCdsLYpOkU1PQ4W0%2BbA%3D</w:t>
        </w:r>
      </w:hyperlink>
      <w:r>
        <w:t xml:space="preserve"> </w:t>
      </w:r>
    </w:p>
    <w:p w14:paraId="12E1FC2D" w14:textId="77777777" w:rsidR="00E3473F" w:rsidRDefault="00E3473F" w:rsidP="00E3473F">
      <w:pPr>
        <w:pStyle w:val="NormalWeb"/>
        <w:ind w:left="720"/>
      </w:pPr>
      <w:r>
        <w:t xml:space="preserve">“After the backboard was attached to Perez, Perez was turned over…. [Officer] Martinez estimated that Perez had been under the backboard for about four minutes before being turned over…. Paramedic Dines observed that Perez was unconscious and blueish in the face…. [Paramedic] Anderson stated that it did not appear that Perez was breathing….  </w:t>
      </w:r>
      <w:r>
        <w:rPr>
          <w:rStyle w:val="Emphasis"/>
        </w:rPr>
        <w:t>[O]</w:t>
      </w:r>
      <w:proofErr w:type="spellStart"/>
      <w:r>
        <w:t>nce</w:t>
      </w:r>
      <w:proofErr w:type="spellEnd"/>
      <w:r>
        <w:t xml:space="preserve"> Anderson and Dines saw that Perez was unconscious, they both testified that Anderson checked Perez's pulse and was unable to detect one…. Because Perez was blueish in the face and had no pulse, the paramedics initiated a cardiac arrest protocol….   Perez was placed on a gurney, moved inside the ambulance, and CPR was initiated….  Ortiz hooked Perez up to a heart monitor in the ambulance and he was asystole, i.e. without a heartbeat.   </w:t>
      </w:r>
    </w:p>
    <w:p w14:paraId="02940E16" w14:textId="77777777" w:rsidR="00E3473F" w:rsidRDefault="00E3473F" w:rsidP="00E3473F">
      <w:pPr>
        <w:pStyle w:val="NormalWeb"/>
        <w:ind w:left="720"/>
      </w:pPr>
      <w:r>
        <w:t>***</w:t>
      </w:r>
    </w:p>
    <w:p w14:paraId="04ED1D44" w14:textId="77777777" w:rsidR="00E3473F" w:rsidRDefault="00E3473F" w:rsidP="00E3473F">
      <w:pPr>
        <w:pStyle w:val="NormalWeb"/>
        <w:ind w:left="720"/>
      </w:pPr>
      <w:r>
        <w:t xml:space="preserve">With respect to Plaintiffs' claims that Anderson's conduct was obviously unconstitutional, the Court cannot agree. It is true, as Plaintiffs point out, that none of the AA [American Ambulance] personnel, County Deputies, or City Officers had ever seen a backboard placed on the back of a prone person. It is also true that Anderson himself recognized that placing a backboard on a prone individual is generally not a good idea because one of the possible dangers of that practice appears to have manifested in this case - asphyxiation. Nevertheless, Anderson was confronted with a § 5150 situation in which the call had been elevated from a Code Two (straight § 5150 situation) to a Code Three with combative behavior reported. </w:t>
      </w:r>
    </w:p>
    <w:p w14:paraId="178860D2" w14:textId="77777777" w:rsidR="00E3473F" w:rsidRDefault="00E3473F" w:rsidP="00E3473F">
      <w:pPr>
        <w:pStyle w:val="NormalWeb"/>
        <w:ind w:left="720"/>
      </w:pPr>
      <w:r>
        <w:t>***</w:t>
      </w:r>
    </w:p>
    <w:p w14:paraId="65F71BB7" w14:textId="77777777" w:rsidR="00E3473F" w:rsidRDefault="00E3473F" w:rsidP="00E3473F">
      <w:pPr>
        <w:pStyle w:val="NormalWeb"/>
        <w:ind w:left="720"/>
      </w:pPr>
      <w:r>
        <w:t xml:space="preserve">In sum, particularly in light of [prior court decisions], the law as it existed in May 2017 was not so clear that a reasonable paramedic would have known that Anderson's conduct was unconstitutional, and this is not a rare case in which the Anderson's behavior was obviously unconstitutional….  Therefore, the Court holds that Anderson is entitled to qualified immunity.” </w:t>
      </w:r>
      <w:hyperlink r:id="rId2315" w:history="1">
        <w:r w:rsidRPr="005A0566">
          <w:rPr>
            <w:rStyle w:val="Hyperlink"/>
            <w:rFonts w:eastAsiaTheme="majorEastAsia"/>
          </w:rPr>
          <w:t>https://public.fastcase.com/waZtJvSA54UAurM2rmIZzwvOxdABv7XvwmmlDXNvdvn51CTV3NslG6Rw0yioxZXL%2BjJOhhNAJF%2FpIN8S52jcKAcJWCdsLYpOkU1PQ4W0%2BbA%3D</w:t>
        </w:r>
      </w:hyperlink>
      <w:r>
        <w:t xml:space="preserve"> </w:t>
      </w:r>
    </w:p>
    <w:p w14:paraId="1AE2DC40" w14:textId="77777777" w:rsidR="00E3473F" w:rsidRPr="001635AD" w:rsidRDefault="00E3473F" w:rsidP="00E3473F">
      <w:pPr>
        <w:pStyle w:val="NormalWeb"/>
        <w:rPr>
          <w:b/>
          <w:bCs/>
        </w:rPr>
      </w:pPr>
      <w:r w:rsidRPr="001635AD">
        <w:rPr>
          <w:b/>
          <w:bCs/>
        </w:rPr>
        <w:t>Legal Lesson Learned:</w:t>
      </w:r>
      <w:r>
        <w:rPr>
          <w:b/>
          <w:bCs/>
        </w:rPr>
        <w:t xml:space="preserve"> Asphyxiation from person being held by police face down on the ground is well known concern.  EMS protocol should address avoiding leaving patient prone on a backboard; similar conduct in 2022 may not lead to dismissal of Federal constitutional rights lawsuit. </w:t>
      </w:r>
    </w:p>
    <w:p w14:paraId="143BD369" w14:textId="77777777" w:rsidR="00E3473F" w:rsidRDefault="00E3473F" w:rsidP="002B1283">
      <w:pPr>
        <w:rPr>
          <w:rFonts w:ascii="Arial Black" w:hAnsi="Arial Black"/>
          <w:b/>
          <w:bCs/>
          <w:sz w:val="28"/>
          <w:szCs w:val="28"/>
        </w:rPr>
      </w:pPr>
    </w:p>
    <w:p w14:paraId="4EFA6EEB" w14:textId="77777777" w:rsidR="00E3473F" w:rsidRDefault="00E3473F" w:rsidP="002B1283">
      <w:pPr>
        <w:rPr>
          <w:rFonts w:ascii="Arial Black" w:hAnsi="Arial Black"/>
          <w:b/>
          <w:bCs/>
          <w:sz w:val="28"/>
          <w:szCs w:val="28"/>
        </w:rPr>
      </w:pPr>
    </w:p>
    <w:p w14:paraId="19206F2D" w14:textId="77777777" w:rsidR="00E3473F" w:rsidRDefault="00E3473F" w:rsidP="002B1283">
      <w:pPr>
        <w:rPr>
          <w:rFonts w:ascii="Arial Black" w:hAnsi="Arial Black"/>
          <w:b/>
          <w:bCs/>
          <w:sz w:val="28"/>
          <w:szCs w:val="28"/>
        </w:rPr>
      </w:pPr>
    </w:p>
    <w:p w14:paraId="57F4EAC0" w14:textId="787E1CB6" w:rsidR="00E3473F" w:rsidRDefault="00E3473F" w:rsidP="002B1283">
      <w:pPr>
        <w:rPr>
          <w:rFonts w:ascii="Arial Black" w:hAnsi="Arial Black"/>
          <w:b/>
          <w:bCs/>
          <w:sz w:val="28"/>
          <w:szCs w:val="28"/>
        </w:rPr>
      </w:pPr>
      <w:r>
        <w:rPr>
          <w:rFonts w:ascii="Arial Black" w:hAnsi="Arial Black"/>
          <w:b/>
          <w:bCs/>
          <w:sz w:val="28"/>
          <w:szCs w:val="28"/>
        </w:rPr>
        <w:t>13-106</w:t>
      </w:r>
    </w:p>
    <w:p w14:paraId="1E273322" w14:textId="77777777" w:rsidR="00E3473F" w:rsidRDefault="00E3473F" w:rsidP="00E3473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NJ: EMT FIRED AFTER COMPLAINED ABOUT PD FORCING PATIENT AMBULANCE – RETALIATION CASE REINSTATED</w:t>
      </w:r>
    </w:p>
    <w:p w14:paraId="60E14E7B" w14:textId="77777777" w:rsidR="00E3473F" w:rsidRPr="00DA11E3" w:rsidRDefault="00E3473F" w:rsidP="00E3473F">
      <w:pPr>
        <w:spacing w:before="100" w:beforeAutospacing="1" w:after="100" w:afterAutospacing="1" w:line="240" w:lineRule="auto"/>
        <w:rPr>
          <w:rFonts w:ascii="Times New Roman" w:hAnsi="Times New Roman"/>
          <w:sz w:val="24"/>
          <w:szCs w:val="24"/>
        </w:rPr>
      </w:pPr>
      <w:r w:rsidRPr="000A1E15">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14, 2022, in </w:t>
      </w:r>
      <w:r w:rsidRPr="008C0733">
        <w:rPr>
          <w:rFonts w:ascii="Times New Roman" w:eastAsia="Times New Roman" w:hAnsi="Times New Roman"/>
          <w:sz w:val="24"/>
          <w:szCs w:val="24"/>
          <w:u w:val="single"/>
        </w:rPr>
        <w:t>Amara Sepulveda and Louis Deleon v, Township of North Bergen and Deputy Chief Prina</w:t>
      </w:r>
      <w:r>
        <w:rPr>
          <w:rFonts w:ascii="Times New Roman" w:eastAsia="Times New Roman" w:hAnsi="Times New Roman"/>
          <w:sz w:val="24"/>
          <w:szCs w:val="24"/>
        </w:rPr>
        <w:t xml:space="preserve">, the Superior Court of New Jersey, Appellate Division, held (3 to 0) in an unpublished decision that EMT Deleon’s complaint that he was fired in retaliation for reporting police misconduct in violation of the </w:t>
      </w:r>
      <w:r w:rsidRPr="008C0733">
        <w:rPr>
          <w:rFonts w:ascii="Times New Roman" w:hAnsi="Times New Roman"/>
          <w:sz w:val="24"/>
          <w:szCs w:val="24"/>
        </w:rPr>
        <w:t>Conscientious Employee Protection Act (CEPA</w:t>
      </w:r>
      <w:r>
        <w:rPr>
          <w:rFonts w:ascii="Times New Roman" w:hAnsi="Times New Roman"/>
          <w:sz w:val="24"/>
          <w:szCs w:val="24"/>
        </w:rPr>
        <w:t xml:space="preserve">) is reinstated.  EMT Sepulveda is dismissed from the lawsuit since she didn’t make </w:t>
      </w:r>
      <w:proofErr w:type="gramStart"/>
      <w:r>
        <w:rPr>
          <w:rFonts w:ascii="Times New Roman" w:hAnsi="Times New Roman"/>
          <w:sz w:val="24"/>
          <w:szCs w:val="24"/>
        </w:rPr>
        <w:t>report</w:t>
      </w:r>
      <w:proofErr w:type="gramEnd"/>
      <w:r>
        <w:rPr>
          <w:rFonts w:ascii="Times New Roman" w:hAnsi="Times New Roman"/>
          <w:sz w:val="24"/>
          <w:szCs w:val="24"/>
        </w:rPr>
        <w:t xml:space="preserve"> of police misconduct and then resigned from the Township EMS Department.  On remand, the trial court must provide EMT Deleon with a hearing. </w:t>
      </w:r>
      <w:hyperlink r:id="rId2316" w:history="1">
        <w:r w:rsidRPr="002477AB">
          <w:rPr>
            <w:rStyle w:val="Hyperlink"/>
            <w:rFonts w:ascii="Times New Roman" w:hAnsi="Times New Roman"/>
            <w:sz w:val="24"/>
            <w:szCs w:val="24"/>
          </w:rPr>
          <w:t>https://public.fastcase.com/waZtJvSA54UAurM2rmIZzwN7i243%2F%2BStZpHYDBkc8sGpJscx%2FQQ27pdU9Jjrp4oC%2BDoaG82WuBlPphdis3f1N3UPtlVqun2jEuCWxYyqQWw%3D</w:t>
        </w:r>
      </w:hyperlink>
      <w:r>
        <w:rPr>
          <w:rFonts w:ascii="Times New Roman" w:hAnsi="Times New Roman"/>
          <w:sz w:val="24"/>
          <w:szCs w:val="24"/>
        </w:rPr>
        <w:t xml:space="preserve"> </w:t>
      </w:r>
    </w:p>
    <w:p w14:paraId="3E8CA830" w14:textId="77777777" w:rsidR="00E3473F" w:rsidRDefault="00E3473F" w:rsidP="00E3473F">
      <w:pPr>
        <w:spacing w:before="100" w:beforeAutospacing="1" w:after="100" w:afterAutospacing="1" w:line="240" w:lineRule="auto"/>
        <w:ind w:left="720"/>
        <w:rPr>
          <w:rFonts w:ascii="Times New Roman" w:hAnsi="Times New Roman"/>
          <w:sz w:val="24"/>
          <w:szCs w:val="24"/>
        </w:rPr>
      </w:pPr>
      <w:r>
        <w:t>“</w:t>
      </w:r>
      <w:r w:rsidRPr="00DE51FF">
        <w:rPr>
          <w:rFonts w:ascii="Times New Roman" w:hAnsi="Times New Roman"/>
          <w:sz w:val="24"/>
          <w:szCs w:val="24"/>
        </w:rPr>
        <w:t xml:space="preserve">The </w:t>
      </w:r>
      <w:r>
        <w:rPr>
          <w:rFonts w:ascii="Times New Roman" w:hAnsi="Times New Roman"/>
          <w:sz w:val="24"/>
          <w:szCs w:val="24"/>
        </w:rPr>
        <w:t xml:space="preserve">[trial] </w:t>
      </w:r>
      <w:r w:rsidRPr="00DE51FF">
        <w:rPr>
          <w:rFonts w:ascii="Times New Roman" w:hAnsi="Times New Roman"/>
          <w:sz w:val="24"/>
          <w:szCs w:val="24"/>
        </w:rPr>
        <w:t xml:space="preserve">court granted defendants' motion without oral argument, despite plaintiffs' request. In a nine-page written opinion, the court explained that the motion record failed to create a genuine issue of material </w:t>
      </w:r>
      <w:proofErr w:type="gramStart"/>
      <w:r w:rsidRPr="00DE51FF">
        <w:rPr>
          <w:rFonts w:ascii="Times New Roman" w:hAnsi="Times New Roman"/>
          <w:sz w:val="24"/>
          <w:szCs w:val="24"/>
        </w:rPr>
        <w:t>fact</w:t>
      </w:r>
      <w:proofErr w:type="gramEnd"/>
      <w:r w:rsidRPr="00DE51FF">
        <w:rPr>
          <w:rFonts w:ascii="Times New Roman" w:hAnsi="Times New Roman"/>
          <w:sz w:val="24"/>
          <w:szCs w:val="24"/>
        </w:rPr>
        <w:t xml:space="preserve"> as to whether plaintiffs engaged in CEPA protected conduct. The court reasoned that the </w:t>
      </w:r>
      <w:r>
        <w:rPr>
          <w:rFonts w:ascii="Times New Roman" w:hAnsi="Times New Roman"/>
          <w:sz w:val="24"/>
          <w:szCs w:val="24"/>
        </w:rPr>
        <w:t>‘</w:t>
      </w:r>
      <w:r w:rsidRPr="00DE51FF">
        <w:rPr>
          <w:rFonts w:ascii="Times New Roman" w:hAnsi="Times New Roman"/>
          <w:sz w:val="24"/>
          <w:szCs w:val="24"/>
        </w:rPr>
        <w:t xml:space="preserve">broad stroke </w:t>
      </w:r>
      <w:proofErr w:type="gramStart"/>
      <w:r w:rsidRPr="00DE51FF">
        <w:rPr>
          <w:rFonts w:ascii="Times New Roman" w:hAnsi="Times New Roman"/>
          <w:sz w:val="24"/>
          <w:szCs w:val="24"/>
        </w:rPr>
        <w:t>claims</w:t>
      </w:r>
      <w:r>
        <w:rPr>
          <w:rFonts w:ascii="Times New Roman" w:hAnsi="Times New Roman"/>
          <w:sz w:val="24"/>
          <w:szCs w:val="24"/>
        </w:rPr>
        <w:t>’</w:t>
      </w:r>
      <w:proofErr w:type="gramEnd"/>
      <w:r w:rsidRPr="00DE51FF">
        <w:rPr>
          <w:rFonts w:ascii="Times New Roman" w:hAnsi="Times New Roman"/>
          <w:sz w:val="24"/>
          <w:szCs w:val="24"/>
        </w:rPr>
        <w:t xml:space="preserve"> of illegal conduct amounted to mere </w:t>
      </w:r>
      <w:r>
        <w:rPr>
          <w:rFonts w:ascii="Times New Roman" w:hAnsi="Times New Roman"/>
          <w:sz w:val="24"/>
          <w:szCs w:val="24"/>
        </w:rPr>
        <w:t>‘</w:t>
      </w:r>
      <w:r w:rsidRPr="00DE51FF">
        <w:rPr>
          <w:rFonts w:ascii="Times New Roman" w:hAnsi="Times New Roman"/>
          <w:sz w:val="24"/>
          <w:szCs w:val="24"/>
        </w:rPr>
        <w:t>disagreements</w:t>
      </w:r>
      <w:r>
        <w:rPr>
          <w:rFonts w:ascii="Times New Roman" w:hAnsi="Times New Roman"/>
          <w:sz w:val="24"/>
          <w:szCs w:val="24"/>
        </w:rPr>
        <w:t>’</w:t>
      </w:r>
      <w:r w:rsidRPr="00DE51FF">
        <w:rPr>
          <w:rFonts w:ascii="Times New Roman" w:hAnsi="Times New Roman"/>
          <w:sz w:val="24"/>
          <w:szCs w:val="24"/>
        </w:rPr>
        <w:t xml:space="preserve"> between the police and the EMTs </w:t>
      </w:r>
      <w:r>
        <w:rPr>
          <w:rFonts w:ascii="Times New Roman" w:hAnsi="Times New Roman"/>
          <w:sz w:val="24"/>
          <w:szCs w:val="24"/>
        </w:rPr>
        <w:t>‘</w:t>
      </w:r>
      <w:r w:rsidRPr="00DE51FF">
        <w:rPr>
          <w:rFonts w:ascii="Times New Roman" w:hAnsi="Times New Roman"/>
          <w:sz w:val="24"/>
          <w:szCs w:val="24"/>
        </w:rPr>
        <w:t>about whether F.A. required medical assistance,</w:t>
      </w:r>
      <w:r>
        <w:rPr>
          <w:rFonts w:ascii="Times New Roman" w:hAnsi="Times New Roman"/>
          <w:sz w:val="24"/>
          <w:szCs w:val="24"/>
        </w:rPr>
        <w:t xml:space="preserve">’ </w:t>
      </w:r>
      <w:r w:rsidRPr="00DE51FF">
        <w:rPr>
          <w:rFonts w:ascii="Times New Roman" w:hAnsi="Times New Roman"/>
          <w:sz w:val="24"/>
          <w:szCs w:val="24"/>
        </w:rPr>
        <w:t>which "is not protected activity within the meaning of CEPA.</w:t>
      </w:r>
      <w:r>
        <w:rPr>
          <w:rFonts w:ascii="Times New Roman" w:hAnsi="Times New Roman"/>
          <w:sz w:val="24"/>
          <w:szCs w:val="24"/>
        </w:rPr>
        <w:t>’</w:t>
      </w:r>
    </w:p>
    <w:p w14:paraId="351D1BAB" w14:textId="77777777" w:rsidR="00E3473F" w:rsidRDefault="00E3473F" w:rsidP="00E3473F">
      <w:pPr>
        <w:spacing w:before="100" w:beforeAutospacing="1" w:after="100" w:afterAutospacing="1" w:line="240" w:lineRule="auto"/>
        <w:ind w:left="720"/>
      </w:pPr>
      <w:r>
        <w:rPr>
          <w:rFonts w:ascii="Times New Roman" w:hAnsi="Times New Roman"/>
          <w:sz w:val="24"/>
          <w:szCs w:val="24"/>
        </w:rPr>
        <w:t>***</w:t>
      </w:r>
    </w:p>
    <w:p w14:paraId="38BB4DFB" w14:textId="77777777" w:rsidR="00E3473F" w:rsidRDefault="00E3473F" w:rsidP="00E3473F">
      <w:pPr>
        <w:spacing w:before="100" w:beforeAutospacing="1" w:after="100" w:afterAutospacing="1" w:line="240" w:lineRule="auto"/>
        <w:ind w:left="720"/>
        <w:rPr>
          <w:rFonts w:ascii="Times New Roman" w:hAnsi="Times New Roman"/>
          <w:sz w:val="24"/>
          <w:szCs w:val="24"/>
        </w:rPr>
      </w:pPr>
      <w:proofErr w:type="gramStart"/>
      <w:r w:rsidRPr="00F867E4">
        <w:rPr>
          <w:rFonts w:ascii="Times New Roman" w:hAnsi="Times New Roman"/>
          <w:sz w:val="24"/>
          <w:szCs w:val="24"/>
        </w:rPr>
        <w:t>For the reasons that</w:t>
      </w:r>
      <w:proofErr w:type="gramEnd"/>
      <w:r w:rsidRPr="00F867E4">
        <w:rPr>
          <w:rFonts w:ascii="Times New Roman" w:hAnsi="Times New Roman"/>
          <w:sz w:val="24"/>
          <w:szCs w:val="24"/>
        </w:rPr>
        <w:t xml:space="preserve"> follow, we are satisfied that the motion record contains disputed issues of material fact sufficient to establish a prima facie case of retaliation under CEPA as it related to DeLeon. We reach a contrary conclusion as to Sepulveda. As to her claim, it was undisputed that she never reported the incident to her superiors. We also note she resigned voluntarily, based upon speculative future conduct by the Township's police department.</w:t>
      </w:r>
    </w:p>
    <w:p w14:paraId="04AB6E61" w14:textId="77777777" w:rsidR="00E3473F" w:rsidRDefault="00E3473F" w:rsidP="00E3473F">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699224B" w14:textId="3FB62AB2" w:rsidR="00E3473F" w:rsidRDefault="00E3473F" w:rsidP="00E3473F">
      <w:pPr>
        <w:rPr>
          <w:rFonts w:ascii="Arial Black" w:hAnsi="Arial Black"/>
          <w:b/>
          <w:bCs/>
          <w:sz w:val="28"/>
          <w:szCs w:val="28"/>
        </w:rPr>
      </w:pPr>
      <w:r w:rsidRPr="00DA11E3">
        <w:rPr>
          <w:rFonts w:ascii="Times New Roman" w:hAnsi="Times New Roman"/>
          <w:sz w:val="24"/>
          <w:szCs w:val="24"/>
        </w:rPr>
        <w:t xml:space="preserve">Both plaintiffs testified at their depositions that they had learned </w:t>
      </w:r>
      <w:proofErr w:type="gramStart"/>
      <w:r w:rsidRPr="00DA11E3">
        <w:rPr>
          <w:rFonts w:ascii="Times New Roman" w:hAnsi="Times New Roman"/>
          <w:sz w:val="24"/>
          <w:szCs w:val="24"/>
        </w:rPr>
        <w:t>in the course of</w:t>
      </w:r>
      <w:proofErr w:type="gramEnd"/>
      <w:r w:rsidRPr="00DA11E3">
        <w:rPr>
          <w:rFonts w:ascii="Times New Roman" w:hAnsi="Times New Roman"/>
          <w:sz w:val="24"/>
          <w:szCs w:val="24"/>
        </w:rPr>
        <w:t xml:space="preserve"> their formal training that transporting a patient against his or her will is illegal and tantamount to kidnapping and or assault under New Jersey law. When the North Bergen police forced plaintiffs to ferry F.A. to the hospital against his wishes, plaintiffs allege they had a reasonable belief that such actions violated the false imprisonment statute as well as New Jersey's public policy protecting a competent patient's right to refuse medical treatment.</w:t>
      </w:r>
      <w:r>
        <w:rPr>
          <w:rFonts w:ascii="Times New Roman" w:hAnsi="Times New Roman"/>
          <w:sz w:val="24"/>
          <w:szCs w:val="24"/>
        </w:rPr>
        <w:t xml:space="preserve">” </w:t>
      </w:r>
      <w:hyperlink r:id="rId2317" w:history="1">
        <w:r w:rsidRPr="002477AB">
          <w:rPr>
            <w:rStyle w:val="Hyperlink"/>
            <w:rFonts w:ascii="Times New Roman" w:hAnsi="Times New Roman"/>
            <w:sz w:val="24"/>
            <w:szCs w:val="24"/>
          </w:rPr>
          <w:t>https://public.fastcase.com/waZtJvSA54UAurM2rmIZzwN7i243%2F%2BStZpHYDBkc8sGpJscx%2FQQ27pdU9Jjrp4oC%2BDoaG82WuBlPphdis3f1N3UPtlVqun2jEuCWxYyqQWw%3D</w:t>
        </w:r>
      </w:hyperlink>
    </w:p>
    <w:p w14:paraId="2212FCCC" w14:textId="77777777" w:rsidR="00E3473F" w:rsidRDefault="00E3473F" w:rsidP="00E3473F">
      <w:pPr>
        <w:spacing w:before="100" w:beforeAutospacing="1" w:after="100" w:afterAutospacing="1" w:line="240" w:lineRule="auto"/>
        <w:rPr>
          <w:rFonts w:ascii="Times New Roman" w:hAnsi="Times New Roman"/>
          <w:b/>
          <w:bCs/>
          <w:sz w:val="24"/>
          <w:szCs w:val="24"/>
        </w:rPr>
      </w:pPr>
      <w:r w:rsidRPr="0049327E">
        <w:rPr>
          <w:rFonts w:ascii="Times New Roman" w:hAnsi="Times New Roman"/>
          <w:b/>
          <w:bCs/>
          <w:sz w:val="24"/>
          <w:szCs w:val="24"/>
        </w:rPr>
        <w:t>Legal Lesson Learned:</w:t>
      </w:r>
      <w:r>
        <w:rPr>
          <w:rFonts w:ascii="Times New Roman" w:hAnsi="Times New Roman"/>
          <w:b/>
          <w:bCs/>
          <w:sz w:val="24"/>
          <w:szCs w:val="24"/>
        </w:rPr>
        <w:t xml:space="preserve"> Unfortunate dispute at the scene between police and EMS; time for PD and EMS management to jointly review patient transport protocols. </w:t>
      </w:r>
    </w:p>
    <w:p w14:paraId="4D78D8DA" w14:textId="77777777" w:rsidR="00E3473F" w:rsidRDefault="00E3473F" w:rsidP="00E3473F">
      <w:pPr>
        <w:pStyle w:val="Heading1"/>
        <w:ind w:left="720"/>
      </w:pPr>
      <w:r>
        <w:rPr>
          <w:b w:val="0"/>
          <w:bCs w:val="0"/>
          <w:sz w:val="24"/>
          <w:szCs w:val="24"/>
        </w:rPr>
        <w:t xml:space="preserve">Note: See the article when lawsuit </w:t>
      </w:r>
      <w:proofErr w:type="gramStart"/>
      <w:r>
        <w:rPr>
          <w:b w:val="0"/>
          <w:bCs w:val="0"/>
          <w:sz w:val="24"/>
          <w:szCs w:val="24"/>
        </w:rPr>
        <w:t>was</w:t>
      </w:r>
      <w:proofErr w:type="gramEnd"/>
      <w:r>
        <w:rPr>
          <w:b w:val="0"/>
          <w:bCs w:val="0"/>
          <w:sz w:val="24"/>
          <w:szCs w:val="24"/>
        </w:rPr>
        <w:t xml:space="preserve"> filed. Aug. 22, 2018, “</w:t>
      </w:r>
      <w:r w:rsidRPr="00DE51FF">
        <w:rPr>
          <w:b w:val="0"/>
          <w:bCs w:val="0"/>
          <w:sz w:val="24"/>
          <w:szCs w:val="24"/>
        </w:rPr>
        <w:t>2 ex-North Bergen EMS workers file wrongful termination suit against township, deputy EMS chief</w:t>
      </w:r>
      <w:r>
        <w:rPr>
          <w:b w:val="0"/>
          <w:bCs w:val="0"/>
          <w:sz w:val="24"/>
          <w:szCs w:val="24"/>
        </w:rPr>
        <w:t>.”</w:t>
      </w:r>
      <w:r>
        <w:t xml:space="preserve"> </w:t>
      </w:r>
      <w:hyperlink r:id="rId2318" w:history="1">
        <w:r w:rsidRPr="00DE51FF">
          <w:rPr>
            <w:rStyle w:val="Hyperlink"/>
            <w:rFonts w:eastAsiaTheme="majorEastAsia"/>
            <w:b w:val="0"/>
            <w:bCs w:val="0"/>
            <w:sz w:val="24"/>
            <w:szCs w:val="24"/>
          </w:rPr>
          <w:t>https://hudsoncountyview.com/2-ex-north-bergen-ems-workers-file-wrongful-termination-suit-against-township-deputy-ems-chief/</w:t>
        </w:r>
      </w:hyperlink>
      <w:r>
        <w:t xml:space="preserve"> </w:t>
      </w:r>
    </w:p>
    <w:p w14:paraId="1C82742F" w14:textId="77777777" w:rsidR="00E3473F" w:rsidRDefault="00E3473F" w:rsidP="002B1283">
      <w:pPr>
        <w:rPr>
          <w:rFonts w:ascii="Arial Black" w:hAnsi="Arial Black"/>
          <w:b/>
          <w:bCs/>
          <w:sz w:val="28"/>
          <w:szCs w:val="28"/>
        </w:rPr>
      </w:pPr>
    </w:p>
    <w:p w14:paraId="0A70D44A" w14:textId="77777777" w:rsidR="00E3473F" w:rsidRDefault="00E3473F" w:rsidP="002B1283">
      <w:pPr>
        <w:rPr>
          <w:rFonts w:ascii="Arial Black" w:hAnsi="Arial Black"/>
          <w:b/>
          <w:bCs/>
          <w:sz w:val="28"/>
          <w:szCs w:val="28"/>
        </w:rPr>
      </w:pPr>
    </w:p>
    <w:p w14:paraId="253FF7D2" w14:textId="77777777" w:rsidR="00E3473F" w:rsidRDefault="00E3473F" w:rsidP="002B1283">
      <w:pPr>
        <w:rPr>
          <w:rFonts w:ascii="Arial Black" w:hAnsi="Arial Black"/>
          <w:b/>
          <w:bCs/>
          <w:sz w:val="28"/>
          <w:szCs w:val="28"/>
        </w:rPr>
      </w:pPr>
    </w:p>
    <w:p w14:paraId="79D9AD8F" w14:textId="258CCA77" w:rsidR="00D55139" w:rsidRPr="00D55139" w:rsidRDefault="00D55139" w:rsidP="002B1283">
      <w:pPr>
        <w:rPr>
          <w:rFonts w:ascii="Times New Roman" w:hAnsi="Times New Roman"/>
          <w:sz w:val="24"/>
          <w:szCs w:val="24"/>
        </w:rPr>
      </w:pPr>
      <w:r>
        <w:rPr>
          <w:rFonts w:ascii="Arial Black" w:hAnsi="Arial Black"/>
          <w:b/>
          <w:bCs/>
          <w:sz w:val="28"/>
          <w:szCs w:val="28"/>
        </w:rPr>
        <w:t xml:space="preserve">13-105 </w:t>
      </w:r>
      <w:r>
        <w:rPr>
          <w:rFonts w:ascii="Times New Roman" w:hAnsi="Times New Roman"/>
          <w:sz w:val="24"/>
          <w:szCs w:val="24"/>
        </w:rPr>
        <w:t>[also filed Chap. 16]</w:t>
      </w:r>
    </w:p>
    <w:p w14:paraId="692CAE83" w14:textId="77777777" w:rsidR="00D55139" w:rsidRPr="006C2163" w:rsidRDefault="00D55139" w:rsidP="00D55139">
      <w:pPr>
        <w:spacing w:before="100" w:beforeAutospacing="1" w:after="100" w:afterAutospacing="1" w:line="240" w:lineRule="auto"/>
        <w:rPr>
          <w:rFonts w:ascii="Arial Black" w:eastAsia="Times New Roman" w:hAnsi="Arial Black"/>
          <w:b/>
          <w:bCs/>
          <w:sz w:val="28"/>
          <w:szCs w:val="28"/>
        </w:rPr>
      </w:pPr>
      <w:bookmarkStart w:id="444" w:name="_Hlk94625731"/>
      <w:r>
        <w:rPr>
          <w:rFonts w:ascii="Arial Black" w:eastAsia="Times New Roman" w:hAnsi="Arial Black"/>
          <w:b/>
          <w:bCs/>
          <w:sz w:val="28"/>
          <w:szCs w:val="28"/>
        </w:rPr>
        <w:t xml:space="preserve">DE: PARAMEDIC LICENSE SUSPENDED – PLED GUILTY - </w:t>
      </w:r>
      <w:r w:rsidRPr="006C2163">
        <w:rPr>
          <w:rFonts w:ascii="Arial Black" w:eastAsia="Times New Roman" w:hAnsi="Arial Black"/>
          <w:sz w:val="28"/>
          <w:szCs w:val="28"/>
        </w:rPr>
        <w:t>T</w:t>
      </w:r>
      <w:r>
        <w:rPr>
          <w:rFonts w:ascii="Arial Black" w:eastAsia="Times New Roman" w:hAnsi="Arial Black"/>
          <w:sz w:val="28"/>
          <w:szCs w:val="28"/>
        </w:rPr>
        <w:t xml:space="preserve">RESPASS INTENT PEER (PEERING ON SEPERATED WIFE) </w:t>
      </w:r>
    </w:p>
    <w:p w14:paraId="722FC91A" w14:textId="77777777" w:rsidR="00D55139" w:rsidRDefault="00D55139" w:rsidP="00D55139">
      <w:pPr>
        <w:spacing w:before="100" w:beforeAutospacing="1" w:after="100" w:afterAutospacing="1" w:line="240" w:lineRule="auto"/>
        <w:rPr>
          <w:rFonts w:ascii="Times New Roman" w:eastAsia="Times New Roman" w:hAnsi="Times New Roman"/>
          <w:sz w:val="24"/>
          <w:szCs w:val="24"/>
        </w:rPr>
      </w:pPr>
      <w:r w:rsidRPr="00280A60">
        <w:rPr>
          <w:rFonts w:ascii="Times New Roman" w:eastAsia="Times New Roman" w:hAnsi="Times New Roman"/>
          <w:sz w:val="24"/>
          <w:szCs w:val="24"/>
        </w:rPr>
        <w:t xml:space="preserve">On </w:t>
      </w:r>
      <w:r>
        <w:rPr>
          <w:rFonts w:ascii="Times New Roman" w:eastAsia="Times New Roman" w:hAnsi="Times New Roman"/>
          <w:sz w:val="24"/>
          <w:szCs w:val="24"/>
        </w:rPr>
        <w:t xml:space="preserve">Jan. 26, 2022, in </w:t>
      </w:r>
      <w:r w:rsidRPr="00280A60">
        <w:rPr>
          <w:rFonts w:ascii="Times New Roman" w:eastAsia="Times New Roman" w:hAnsi="Times New Roman"/>
          <w:sz w:val="24"/>
          <w:szCs w:val="24"/>
          <w:u w:val="single"/>
        </w:rPr>
        <w:t xml:space="preserve">Kevin Imhoff v. Delaware Board of Medical Licensure </w:t>
      </w:r>
      <w:r>
        <w:rPr>
          <w:rFonts w:ascii="Times New Roman" w:eastAsia="Times New Roman" w:hAnsi="Times New Roman"/>
          <w:sz w:val="24"/>
          <w:szCs w:val="24"/>
          <w:u w:val="single"/>
        </w:rPr>
        <w:t>a</w:t>
      </w:r>
      <w:r w:rsidRPr="00280A60">
        <w:rPr>
          <w:rFonts w:ascii="Times New Roman" w:eastAsia="Times New Roman" w:hAnsi="Times New Roman"/>
          <w:sz w:val="24"/>
          <w:szCs w:val="24"/>
          <w:u w:val="single"/>
        </w:rPr>
        <w:t>nd Discipline</w:t>
      </w:r>
      <w:r>
        <w:rPr>
          <w:rFonts w:ascii="Times New Roman" w:eastAsia="Times New Roman" w:hAnsi="Times New Roman"/>
          <w:sz w:val="24"/>
          <w:szCs w:val="24"/>
        </w:rPr>
        <w:t xml:space="preserve">, Judge Noel Primos of the he Superior Court of Delaware upheld the suspension of the paramedic’s license but remanded to case for Board to possibly reduce the 2-year suspension for failure to timely report his plea of guilty. In September 2019 he pled guilty to Criminal Mischief, Violation of Privacy, and Trespass with Intent to Peer or Peep, but didn’t report this within 30 days to the Board (apparently on bad advice of his criminal defense attorney).  In May 2020, when renewing his license, he reported the convictions. </w:t>
      </w:r>
      <w:hyperlink r:id="rId2319" w:history="1">
        <w:r w:rsidRPr="00A83547">
          <w:rPr>
            <w:rStyle w:val="Hyperlink"/>
            <w:rFonts w:ascii="Times New Roman" w:hAnsi="Times New Roman"/>
            <w:sz w:val="24"/>
            <w:szCs w:val="24"/>
          </w:rPr>
          <w:t>https://casetext.com/case/imhof-v-del-bd-of-med-licensure-discipline</w:t>
        </w:r>
      </w:hyperlink>
    </w:p>
    <w:p w14:paraId="757BE01D" w14:textId="77777777" w:rsidR="00D55139" w:rsidRPr="007B6144" w:rsidRDefault="00D55139" w:rsidP="00D55139">
      <w:pPr>
        <w:spacing w:before="100" w:beforeAutospacing="1" w:after="100" w:afterAutospacing="1" w:line="240" w:lineRule="auto"/>
        <w:jc w:val="both"/>
        <w:rPr>
          <w:rStyle w:val="markedcontent"/>
          <w:rFonts w:ascii="Times New Roman" w:hAnsi="Times New Roman"/>
          <w:b/>
          <w:bCs/>
          <w:sz w:val="24"/>
          <w:szCs w:val="24"/>
        </w:rPr>
      </w:pPr>
      <w:bookmarkStart w:id="445" w:name="_Hlk94625748"/>
      <w:bookmarkEnd w:id="444"/>
      <w:r w:rsidRPr="007B614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Criminal misconduct can lead to suspension of EMS license.</w:t>
      </w:r>
    </w:p>
    <w:bookmarkEnd w:id="445"/>
    <w:p w14:paraId="063380C6" w14:textId="77777777" w:rsidR="00D55139" w:rsidRDefault="00D55139" w:rsidP="002B1283">
      <w:pPr>
        <w:rPr>
          <w:rFonts w:ascii="Arial Black" w:hAnsi="Arial Black"/>
          <w:b/>
          <w:bCs/>
          <w:sz w:val="28"/>
          <w:szCs w:val="28"/>
        </w:rPr>
      </w:pPr>
    </w:p>
    <w:p w14:paraId="33FC9217" w14:textId="2EE444E3" w:rsidR="009A3D9F" w:rsidRDefault="009A3D9F" w:rsidP="002B1283">
      <w:pPr>
        <w:rPr>
          <w:rFonts w:ascii="Arial Black" w:hAnsi="Arial Black"/>
          <w:b/>
          <w:bCs/>
          <w:sz w:val="28"/>
          <w:szCs w:val="28"/>
        </w:rPr>
      </w:pPr>
      <w:r>
        <w:rPr>
          <w:rFonts w:ascii="Arial Black" w:hAnsi="Arial Black"/>
          <w:b/>
          <w:bCs/>
          <w:sz w:val="28"/>
          <w:szCs w:val="28"/>
        </w:rPr>
        <w:t>13-104</w:t>
      </w:r>
    </w:p>
    <w:p w14:paraId="347378CC" w14:textId="77777777" w:rsidR="00BD3FE4" w:rsidRPr="006122C5" w:rsidRDefault="00BD3FE4" w:rsidP="00BD3FE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AMBULANCE AIR HORN MISTAKENLY BLASTED – CIVILIAN HEARING LOSS - EMPLOYER MAY BE SUED</w:t>
      </w:r>
    </w:p>
    <w:p w14:paraId="4CEE036C" w14:textId="77777777" w:rsidR="00BD3FE4" w:rsidRDefault="00BD3FE4" w:rsidP="00BD3FE4">
      <w:pPr>
        <w:spacing w:before="100" w:beforeAutospacing="1" w:after="100" w:afterAutospacing="1" w:line="240" w:lineRule="auto"/>
        <w:rPr>
          <w:rFonts w:ascii="Times New Roman" w:eastAsia="Times New Roman" w:hAnsi="Times New Roman"/>
          <w:sz w:val="24"/>
          <w:szCs w:val="24"/>
        </w:rPr>
      </w:pPr>
      <w:r w:rsidRPr="00B12365">
        <w:rPr>
          <w:rFonts w:ascii="Times New Roman" w:eastAsia="Times New Roman" w:hAnsi="Times New Roman"/>
          <w:sz w:val="24"/>
          <w:szCs w:val="24"/>
        </w:rPr>
        <w:t xml:space="preserve">On </w:t>
      </w:r>
      <w:r>
        <w:rPr>
          <w:rFonts w:ascii="Times New Roman" w:eastAsia="Times New Roman" w:hAnsi="Times New Roman"/>
          <w:sz w:val="24"/>
          <w:szCs w:val="24"/>
        </w:rPr>
        <w:t xml:space="preserve">Jan. 19, 2022, in </w:t>
      </w:r>
      <w:r w:rsidRPr="00B12365">
        <w:rPr>
          <w:rFonts w:ascii="Times New Roman" w:eastAsia="Times New Roman" w:hAnsi="Times New Roman"/>
          <w:sz w:val="24"/>
          <w:szCs w:val="24"/>
          <w:u w:val="single"/>
        </w:rPr>
        <w:t>Stephanie M. King v. Emergency Medical Transport, Inc</w:t>
      </w:r>
      <w:r>
        <w:rPr>
          <w:rFonts w:ascii="Times New Roman" w:eastAsia="Times New Roman" w:hAnsi="Times New Roman"/>
          <w:sz w:val="24"/>
          <w:szCs w:val="24"/>
        </w:rPr>
        <w:t xml:space="preserve">., the Court of Appeals of Ohio, Fifth District (Stark County) held (3 to 0) that the trial court should not have dismissed the ambulance company (EMT Inc.) from this lawsuit. </w:t>
      </w:r>
      <w:r w:rsidRPr="00691012">
        <w:rPr>
          <w:rFonts w:ascii="Times New Roman" w:hAnsi="Times New Roman"/>
          <w:sz w:val="24"/>
          <w:szCs w:val="24"/>
        </w:rPr>
        <w:t>The trial court found the alleged incident did not occur within the scope of employment; therefore, EMT was not vicariously liable for the conduct of its employees</w:t>
      </w:r>
      <w:r>
        <w:rPr>
          <w:rFonts w:ascii="Times New Roman" w:hAnsi="Times New Roman"/>
          <w:sz w:val="24"/>
          <w:szCs w:val="24"/>
        </w:rPr>
        <w:t xml:space="preserve">.  The Court of Appeals disagreed, </w:t>
      </w:r>
      <w:r>
        <w:rPr>
          <w:rFonts w:ascii="Times New Roman" w:eastAsia="Times New Roman" w:hAnsi="Times New Roman"/>
          <w:sz w:val="24"/>
          <w:szCs w:val="24"/>
        </w:rPr>
        <w:t xml:space="preserve">finding that the paramedics worked 24-hour shift and were therefore on duty for the employer when the air horn was mistakenly activated. </w:t>
      </w:r>
      <w:hyperlink r:id="rId2320" w:history="1">
        <w:r w:rsidRPr="00A07B51">
          <w:rPr>
            <w:rStyle w:val="Hyperlink"/>
          </w:rPr>
          <w:t>https://cms7files1.revize.com/starkcountyoh/S21-57.pdf</w:t>
        </w:r>
      </w:hyperlink>
    </w:p>
    <w:p w14:paraId="49C159AE" w14:textId="77777777" w:rsidR="00BD3FE4" w:rsidRDefault="00BD3FE4" w:rsidP="00BD3FE4">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Employers may be liable for injuries caused by EMS personnel, including during their </w:t>
      </w:r>
      <w:proofErr w:type="gramStart"/>
      <w:r>
        <w:rPr>
          <w:rFonts w:ascii="Times New Roman" w:eastAsia="Times New Roman" w:hAnsi="Times New Roman"/>
          <w:b/>
          <w:bCs/>
          <w:sz w:val="24"/>
          <w:szCs w:val="24"/>
        </w:rPr>
        <w:t>on duty</w:t>
      </w:r>
      <w:proofErr w:type="gramEnd"/>
      <w:r>
        <w:rPr>
          <w:rFonts w:ascii="Times New Roman" w:eastAsia="Times New Roman" w:hAnsi="Times New Roman"/>
          <w:b/>
          <w:bCs/>
          <w:sz w:val="24"/>
          <w:szCs w:val="24"/>
        </w:rPr>
        <w:t xml:space="preserve"> lunch time. </w:t>
      </w:r>
    </w:p>
    <w:p w14:paraId="5915779F" w14:textId="77777777" w:rsidR="009A3D9F" w:rsidRDefault="009A3D9F" w:rsidP="002B1283">
      <w:pPr>
        <w:rPr>
          <w:rFonts w:ascii="Arial Black" w:hAnsi="Arial Black"/>
          <w:b/>
          <w:bCs/>
          <w:sz w:val="28"/>
          <w:szCs w:val="28"/>
        </w:rPr>
      </w:pPr>
    </w:p>
    <w:p w14:paraId="0DEE410D" w14:textId="72808258" w:rsidR="009A3D9F" w:rsidRDefault="009A3D9F" w:rsidP="002B1283">
      <w:pPr>
        <w:rPr>
          <w:rFonts w:ascii="Arial Black" w:hAnsi="Arial Black"/>
          <w:b/>
          <w:bCs/>
          <w:sz w:val="28"/>
          <w:szCs w:val="28"/>
        </w:rPr>
      </w:pPr>
      <w:r>
        <w:rPr>
          <w:rFonts w:ascii="Arial Black" w:hAnsi="Arial Black"/>
          <w:b/>
          <w:bCs/>
          <w:sz w:val="28"/>
          <w:szCs w:val="28"/>
        </w:rPr>
        <w:t>13-103</w:t>
      </w:r>
    </w:p>
    <w:p w14:paraId="1C4923B7" w14:textId="77777777" w:rsidR="009A3D9F" w:rsidRPr="000007E3"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RI: PARAMEDIC FIRED – POOR SKILLS – UNION REFUSED PAY ATTY - NO BREACH DUTY OF FAIR REPRESENTATION</w:t>
      </w:r>
    </w:p>
    <w:p w14:paraId="47156ED1" w14:textId="3CEBEA83" w:rsidR="009A3D9F" w:rsidRDefault="009A3D9F" w:rsidP="009A3D9F">
      <w:pPr>
        <w:rPr>
          <w:rFonts w:ascii="Arial Black" w:hAnsi="Arial Black"/>
          <w:b/>
          <w:bCs/>
          <w:sz w:val="28"/>
          <w:szCs w:val="28"/>
        </w:rPr>
      </w:pPr>
      <w:r>
        <w:rPr>
          <w:rFonts w:ascii="Times New Roman" w:eastAsia="Times New Roman" w:hAnsi="Times New Roman"/>
          <w:sz w:val="24"/>
          <w:szCs w:val="24"/>
        </w:rPr>
        <w:t xml:space="preserve">On Jan. 14, 2022, in </w:t>
      </w:r>
      <w:r w:rsidRPr="009C3E71">
        <w:rPr>
          <w:rFonts w:ascii="Times New Roman" w:eastAsia="Times New Roman" w:hAnsi="Times New Roman"/>
          <w:sz w:val="24"/>
          <w:szCs w:val="24"/>
          <w:u w:val="single"/>
        </w:rPr>
        <w:t xml:space="preserve">Augustine Eddy v. Pascoag Fire District, </w:t>
      </w:r>
      <w:r w:rsidRPr="009C3E71">
        <w:rPr>
          <w:rFonts w:ascii="Times New Roman" w:hAnsi="Times New Roman"/>
          <w:sz w:val="24"/>
          <w:szCs w:val="24"/>
          <w:u w:val="single"/>
        </w:rPr>
        <w:t>Pascoag Fire and Rescue Association, and International Association of Firefighters, Local 4908</w:t>
      </w:r>
      <w:r>
        <w:rPr>
          <w:rFonts w:ascii="Times New Roman" w:hAnsi="Times New Roman"/>
          <w:sz w:val="24"/>
          <w:szCs w:val="24"/>
        </w:rPr>
        <w:t xml:space="preserve">, the Supreme Court of Rhode Island held (4 to 0) that the trial court properly dismissed the lawsuit against the Fire District and the union, since he never pursued arbitration. </w:t>
      </w:r>
      <w:r w:rsidRPr="00C11C1D">
        <w:rPr>
          <w:rFonts w:ascii="Times New Roman" w:hAnsi="Times New Roman"/>
          <w:sz w:val="24"/>
          <w:szCs w:val="24"/>
        </w:rPr>
        <w:t>The paramedic in Jan. 2016 was presented with a plan for remedial training to address complaints from his partner regarding his job performance</w:t>
      </w:r>
      <w:r>
        <w:rPr>
          <w:rFonts w:ascii="Times New Roman" w:hAnsi="Times New Roman"/>
          <w:sz w:val="24"/>
          <w:szCs w:val="24"/>
        </w:rPr>
        <w:t xml:space="preserve">, but on a transport March 27, </w:t>
      </w:r>
      <w:proofErr w:type="gramStart"/>
      <w:r>
        <w:rPr>
          <w:rFonts w:ascii="Times New Roman" w:hAnsi="Times New Roman"/>
          <w:sz w:val="24"/>
          <w:szCs w:val="24"/>
        </w:rPr>
        <w:t>2016</w:t>
      </w:r>
      <w:proofErr w:type="gramEnd"/>
      <w:r>
        <w:rPr>
          <w:rFonts w:ascii="Times New Roman" w:hAnsi="Times New Roman"/>
          <w:sz w:val="24"/>
          <w:szCs w:val="24"/>
        </w:rPr>
        <w:t xml:space="preserve"> he failed to start an IV.  He admitted in writing to Chief, “</w:t>
      </w:r>
      <w:r w:rsidRPr="00C11C1D">
        <w:rPr>
          <w:rFonts w:ascii="Times New Roman" w:hAnsi="Times New Roman"/>
          <w:sz w:val="24"/>
          <w:szCs w:val="24"/>
        </w:rPr>
        <w:t>I know, I know, my skills are not what they should be, I should of [</w:t>
      </w:r>
      <w:r w:rsidRPr="00C11C1D">
        <w:rPr>
          <w:rStyle w:val="Emphasis"/>
          <w:rFonts w:ascii="Times New Roman" w:hAnsi="Times New Roman"/>
          <w:sz w:val="24"/>
          <w:szCs w:val="24"/>
        </w:rPr>
        <w:t>sic</w:t>
      </w:r>
      <w:r w:rsidRPr="00C11C1D">
        <w:rPr>
          <w:rFonts w:ascii="Times New Roman" w:hAnsi="Times New Roman"/>
          <w:sz w:val="24"/>
          <w:szCs w:val="24"/>
        </w:rPr>
        <w:t>] started an IV</w:t>
      </w:r>
      <w:r>
        <w:rPr>
          <w:rFonts w:ascii="Times New Roman" w:hAnsi="Times New Roman"/>
          <w:sz w:val="24"/>
          <w:szCs w:val="24"/>
        </w:rPr>
        <w:t>.” The union did not breach its duty. “</w:t>
      </w:r>
      <w:r w:rsidRPr="00A11E8B">
        <w:rPr>
          <w:rFonts w:ascii="Times New Roman" w:hAnsi="Times New Roman"/>
          <w:sz w:val="24"/>
          <w:szCs w:val="24"/>
        </w:rPr>
        <w:t>Specifically, under the union's constitution and by-laws, plaintiff had the ability to appeal the union's decision not to pay for arbitration to the union's general president, but he failed to do so</w:t>
      </w:r>
      <w:r>
        <w:rPr>
          <w:rFonts w:ascii="Times New Roman" w:hAnsi="Times New Roman"/>
          <w:sz w:val="24"/>
          <w:szCs w:val="24"/>
        </w:rPr>
        <w:t xml:space="preserve">.” Lawsuit against Fire District </w:t>
      </w:r>
      <w:proofErr w:type="gramStart"/>
      <w:r>
        <w:rPr>
          <w:rFonts w:ascii="Times New Roman" w:hAnsi="Times New Roman"/>
          <w:sz w:val="24"/>
          <w:szCs w:val="24"/>
        </w:rPr>
        <w:t>properly</w:t>
      </w:r>
      <w:proofErr w:type="gramEnd"/>
      <w:r>
        <w:rPr>
          <w:rFonts w:ascii="Times New Roman" w:hAnsi="Times New Roman"/>
          <w:sz w:val="24"/>
          <w:szCs w:val="24"/>
        </w:rPr>
        <w:t xml:space="preserve"> dismissed since he didn’t pursue arbitration. </w:t>
      </w:r>
      <w:hyperlink r:id="rId2321" w:history="1">
        <w:r w:rsidRPr="00A83547">
          <w:rPr>
            <w:rStyle w:val="Hyperlink"/>
            <w:sz w:val="24"/>
            <w:szCs w:val="24"/>
          </w:rPr>
          <w:t>https://www.courts.ri.gov/Courts/SupremeCourt/SupremeOpinions/19-373.pdf?fbclid=IwAR381gBQH8M88N6_xqsP3bwAIxYvF38ngnKZywLKveA_XCbfEKJg9F5lDvI</w:t>
        </w:r>
      </w:hyperlink>
    </w:p>
    <w:p w14:paraId="15561868" w14:textId="77777777" w:rsidR="009A3D9F" w:rsidRDefault="009A3D9F" w:rsidP="009A3D9F">
      <w:pPr>
        <w:pStyle w:val="NormalWeb"/>
        <w:rPr>
          <w:b/>
          <w:bCs/>
        </w:rPr>
      </w:pPr>
      <w:r w:rsidRPr="00BD018A">
        <w:rPr>
          <w:b/>
          <w:bCs/>
        </w:rPr>
        <w:t>Legal Lesson Learned:</w:t>
      </w:r>
      <w:r>
        <w:rPr>
          <w:b/>
          <w:bCs/>
        </w:rPr>
        <w:t xml:space="preserve">  Under the CBA, the paramedic failed to exhaust his administrative remedy by pursuing arbitration.</w:t>
      </w:r>
    </w:p>
    <w:p w14:paraId="7426AA05" w14:textId="77777777" w:rsidR="009A3D9F" w:rsidRDefault="009A3D9F" w:rsidP="002B1283">
      <w:pPr>
        <w:rPr>
          <w:rFonts w:ascii="Arial Black" w:hAnsi="Arial Black"/>
          <w:b/>
          <w:bCs/>
          <w:sz w:val="28"/>
          <w:szCs w:val="28"/>
        </w:rPr>
      </w:pPr>
    </w:p>
    <w:p w14:paraId="7C15BA2E" w14:textId="476E6E0B" w:rsidR="00FF5FCF" w:rsidRDefault="00FF5FCF" w:rsidP="002B1283">
      <w:pPr>
        <w:rPr>
          <w:rFonts w:ascii="Arial Black" w:hAnsi="Arial Black"/>
          <w:b/>
          <w:bCs/>
          <w:sz w:val="28"/>
          <w:szCs w:val="28"/>
        </w:rPr>
      </w:pPr>
      <w:r>
        <w:rPr>
          <w:rFonts w:ascii="Arial Black" w:hAnsi="Arial Black"/>
          <w:b/>
          <w:bCs/>
          <w:sz w:val="28"/>
          <w:szCs w:val="28"/>
        </w:rPr>
        <w:t>13–102</w:t>
      </w:r>
    </w:p>
    <w:p w14:paraId="14BD5327" w14:textId="77777777" w:rsidR="00FF5FCF" w:rsidRPr="00FD1635" w:rsidRDefault="00FF5FCF" w:rsidP="00FF5FCF">
      <w:pPr>
        <w:spacing w:before="100" w:beforeAutospacing="1" w:after="100" w:afterAutospacing="1" w:line="240" w:lineRule="auto"/>
        <w:rPr>
          <w:rFonts w:ascii="Arial Black" w:hAnsi="Arial Black"/>
          <w:sz w:val="28"/>
          <w:szCs w:val="28"/>
        </w:rPr>
      </w:pPr>
      <w:r>
        <w:rPr>
          <w:rFonts w:ascii="Arial Black" w:hAnsi="Arial Black"/>
          <w:sz w:val="28"/>
          <w:szCs w:val="28"/>
        </w:rPr>
        <w:t>LA: CHILD STRUCK BY CAR – NO PULSE, PASSED LOCAL HOSPITAL TO TRAUMA CENTER – MUST SHOW PROTOCOLS</w:t>
      </w:r>
    </w:p>
    <w:p w14:paraId="3E2BBC03" w14:textId="77777777" w:rsidR="00FF5FCF" w:rsidRDefault="00FF5FCF" w:rsidP="00FF5FC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30, 2021, in </w:t>
      </w:r>
      <w:r w:rsidRPr="00484477">
        <w:rPr>
          <w:rFonts w:ascii="Times New Roman" w:hAnsi="Times New Roman"/>
          <w:sz w:val="24"/>
          <w:szCs w:val="24"/>
          <w:u w:val="single"/>
        </w:rPr>
        <w:t>Gauis Horton, individually and on behalf of Mary Horton v. St. Tammany Fire Protection District # 4</w:t>
      </w:r>
      <w:r>
        <w:rPr>
          <w:rFonts w:ascii="Times New Roman" w:hAnsi="Times New Roman"/>
          <w:sz w:val="24"/>
          <w:szCs w:val="24"/>
        </w:rPr>
        <w:t xml:space="preserve">, the Court of Appeals of Louisiana, First Circuit, held (3 to 0) that trial court should not have dismissed this lawsuit alleging gross negligence for </w:t>
      </w:r>
      <w:r>
        <w:rPr>
          <w:rFonts w:ascii="Times New Roman" w:eastAsia="Times New Roman" w:hAnsi="Times New Roman"/>
          <w:sz w:val="24"/>
          <w:szCs w:val="24"/>
        </w:rPr>
        <w:t>f</w:t>
      </w:r>
      <w:r w:rsidRPr="00C40368">
        <w:rPr>
          <w:rFonts w:ascii="Times New Roman" w:eastAsia="Times New Roman" w:hAnsi="Times New Roman"/>
          <w:sz w:val="24"/>
          <w:szCs w:val="24"/>
        </w:rPr>
        <w:t xml:space="preserve">ailing to timely depart the scene of the accident </w:t>
      </w:r>
      <w:r>
        <w:rPr>
          <w:rFonts w:ascii="Times New Roman" w:eastAsia="Times New Roman" w:hAnsi="Times New Roman"/>
          <w:sz w:val="24"/>
          <w:szCs w:val="24"/>
        </w:rPr>
        <w:t xml:space="preserve">(20 minutes on scene) </w:t>
      </w:r>
      <w:r w:rsidRPr="00C40368">
        <w:rPr>
          <w:rFonts w:ascii="Times New Roman" w:eastAsia="Times New Roman" w:hAnsi="Times New Roman"/>
          <w:sz w:val="24"/>
          <w:szCs w:val="24"/>
        </w:rPr>
        <w:t xml:space="preserve">and failing to take </w:t>
      </w:r>
      <w:r>
        <w:rPr>
          <w:rFonts w:ascii="Times New Roman" w:eastAsia="Times New Roman" w:hAnsi="Times New Roman"/>
          <w:sz w:val="24"/>
          <w:szCs w:val="24"/>
        </w:rPr>
        <w:t>patient</w:t>
      </w:r>
      <w:r w:rsidRPr="00C40368">
        <w:rPr>
          <w:rFonts w:ascii="Times New Roman" w:eastAsia="Times New Roman" w:hAnsi="Times New Roman"/>
          <w:sz w:val="24"/>
          <w:szCs w:val="24"/>
        </w:rPr>
        <w:t xml:space="preserve"> to the nearest hospital</w:t>
      </w:r>
      <w:r>
        <w:rPr>
          <w:rFonts w:ascii="Times New Roman" w:eastAsia="Times New Roman" w:hAnsi="Times New Roman"/>
          <w:sz w:val="24"/>
          <w:szCs w:val="24"/>
        </w:rPr>
        <w:t xml:space="preserve"> (directed to Level II Trauma Center)</w:t>
      </w:r>
      <w:r w:rsidRPr="00C40368">
        <w:rPr>
          <w:rFonts w:ascii="Times New Roman" w:eastAsia="Times New Roman" w:hAnsi="Times New Roman"/>
          <w:sz w:val="24"/>
          <w:szCs w:val="24"/>
        </w:rPr>
        <w:t xml:space="preserve">. </w:t>
      </w:r>
      <w:r>
        <w:rPr>
          <w:rFonts w:ascii="Times New Roman" w:eastAsia="Times New Roman" w:hAnsi="Times New Roman"/>
          <w:sz w:val="24"/>
          <w:szCs w:val="24"/>
        </w:rPr>
        <w:t xml:space="preserve"> Court of Appeals remands case since </w:t>
      </w:r>
      <w:r>
        <w:rPr>
          <w:rFonts w:ascii="Times New Roman" w:hAnsi="Times New Roman"/>
          <w:sz w:val="24"/>
          <w:szCs w:val="24"/>
        </w:rPr>
        <w:t xml:space="preserve">the Fire District in its motion for summary judgment on basis of governmental immunity failed to attach current certificates of the paramedics and failed to attach the protocols for transporting patients to a trauma center.  </w:t>
      </w:r>
    </w:p>
    <w:p w14:paraId="523977BB" w14:textId="2ED88573" w:rsidR="00FF5FCF" w:rsidRDefault="00FF5FCF" w:rsidP="00FF5FCF">
      <w:pPr>
        <w:ind w:left="720"/>
        <w:rPr>
          <w:rFonts w:ascii="Arial Black" w:hAnsi="Arial Black"/>
          <w:b/>
          <w:bCs/>
          <w:sz w:val="28"/>
          <w:szCs w:val="28"/>
        </w:rPr>
      </w:pPr>
      <w:r>
        <w:rPr>
          <w:rFonts w:ascii="Times New Roman" w:hAnsi="Times New Roman"/>
          <w:sz w:val="24"/>
          <w:szCs w:val="24"/>
        </w:rPr>
        <w:t>“</w:t>
      </w:r>
      <w:r w:rsidRPr="00A03153">
        <w:rPr>
          <w:rFonts w:ascii="Times New Roman" w:hAnsi="Times New Roman"/>
          <w:sz w:val="24"/>
          <w:szCs w:val="24"/>
        </w:rPr>
        <w:t xml:space="preserve">Because we have found that the </w:t>
      </w:r>
      <w:r>
        <w:rPr>
          <w:rFonts w:ascii="Times New Roman" w:hAnsi="Times New Roman"/>
          <w:sz w:val="24"/>
          <w:szCs w:val="24"/>
        </w:rPr>
        <w:t xml:space="preserve">[Fire Protection] </w:t>
      </w:r>
      <w:r w:rsidRPr="00A03153">
        <w:rPr>
          <w:rFonts w:ascii="Times New Roman" w:hAnsi="Times New Roman"/>
          <w:sz w:val="24"/>
          <w:szCs w:val="24"/>
        </w:rPr>
        <w:t>District failed to establish that Lunn and Becerril were duly licensed or certified or that they acted in accordance with protocols adopted and promulgated by LERN [Louisiana Emergency Response Network]</w:t>
      </w:r>
      <w:r>
        <w:t xml:space="preserve"> </w:t>
      </w:r>
      <w:r w:rsidRPr="00A03153">
        <w:rPr>
          <w:rFonts w:ascii="Times New Roman" w:hAnsi="Times New Roman"/>
          <w:sz w:val="24"/>
          <w:szCs w:val="24"/>
        </w:rPr>
        <w:t>for the transport of trauma and time-sensitive ill patients, we likewise find that the District has failed to meet its burden in establishing that it is entitled to immunity pursuant to La. R.S. 9:2798.5.</w:t>
      </w:r>
      <w:r>
        <w:rPr>
          <w:rFonts w:ascii="Times New Roman" w:hAnsi="Times New Roman"/>
          <w:sz w:val="24"/>
          <w:szCs w:val="24"/>
        </w:rPr>
        <w:t xml:space="preserve">” </w:t>
      </w:r>
      <w:hyperlink r:id="rId2322" w:history="1">
        <w:r w:rsidRPr="00EC5853">
          <w:rPr>
            <w:rStyle w:val="Hyperlink"/>
            <w:rFonts w:ascii="Times New Roman" w:hAnsi="Times New Roman"/>
            <w:sz w:val="24"/>
            <w:szCs w:val="24"/>
          </w:rPr>
          <w:t>https://www.courtlistener.com/opinion/5313531/gauis-horton-individually-and-on-behalf-of-mary-horton-v-st-tammany-fire/</w:t>
        </w:r>
      </w:hyperlink>
    </w:p>
    <w:p w14:paraId="24185DAB" w14:textId="77777777" w:rsidR="00FF5FCF" w:rsidRPr="00EF39AB" w:rsidRDefault="00FF5FCF" w:rsidP="00FF5FCF">
      <w:pPr>
        <w:tabs>
          <w:tab w:val="left" w:pos="2760"/>
        </w:tabs>
        <w:spacing w:before="100" w:beforeAutospacing="1" w:after="100" w:afterAutospacing="1" w:line="240" w:lineRule="auto"/>
        <w:rPr>
          <w:rFonts w:ascii="Times New Roman" w:hAnsi="Times New Roman"/>
          <w:b/>
          <w:bCs/>
          <w:sz w:val="24"/>
          <w:szCs w:val="24"/>
        </w:rPr>
      </w:pPr>
      <w:r w:rsidRPr="00EF39AB">
        <w:rPr>
          <w:rFonts w:ascii="Times New Roman" w:hAnsi="Times New Roman"/>
          <w:b/>
          <w:bCs/>
          <w:sz w:val="24"/>
          <w:szCs w:val="24"/>
        </w:rPr>
        <w:t xml:space="preserve">Legal Lesson Learned: Follow your trauma protocols and submit copies of the protocols and EMS current licenses when filing motion for summary judgment.  </w:t>
      </w:r>
    </w:p>
    <w:p w14:paraId="21B9EB4F" w14:textId="77777777" w:rsidR="00FF5FCF" w:rsidRDefault="00FF5FCF" w:rsidP="002B1283">
      <w:pPr>
        <w:rPr>
          <w:rFonts w:ascii="Arial Black" w:hAnsi="Arial Black"/>
          <w:b/>
          <w:bCs/>
          <w:sz w:val="28"/>
          <w:szCs w:val="28"/>
        </w:rPr>
      </w:pPr>
    </w:p>
    <w:p w14:paraId="76FAAE70" w14:textId="689470D8" w:rsidR="00001D9A" w:rsidRDefault="00001D9A" w:rsidP="002B1283">
      <w:pPr>
        <w:rPr>
          <w:rFonts w:ascii="Arial Black" w:hAnsi="Arial Black"/>
          <w:b/>
          <w:bCs/>
          <w:sz w:val="28"/>
          <w:szCs w:val="28"/>
        </w:rPr>
      </w:pPr>
      <w:r>
        <w:rPr>
          <w:rFonts w:ascii="Arial Black" w:hAnsi="Arial Black"/>
          <w:b/>
          <w:bCs/>
          <w:sz w:val="28"/>
          <w:szCs w:val="28"/>
        </w:rPr>
        <w:t>13-101</w:t>
      </w:r>
    </w:p>
    <w:p w14:paraId="69E664CA" w14:textId="77777777" w:rsidR="00001D9A" w:rsidRPr="00C914C9" w:rsidRDefault="00001D9A" w:rsidP="00001D9A">
      <w:pPr>
        <w:spacing w:before="100" w:beforeAutospacing="1" w:after="100" w:afterAutospacing="1" w:line="240" w:lineRule="auto"/>
        <w:rPr>
          <w:rFonts w:ascii="Times New Roman" w:eastAsia="Times New Roman" w:hAnsi="Times New Roman"/>
          <w:sz w:val="24"/>
          <w:szCs w:val="24"/>
        </w:rPr>
      </w:pPr>
      <w:r>
        <w:rPr>
          <w:rFonts w:ascii="Arial Black" w:eastAsia="Times New Roman" w:hAnsi="Arial Black"/>
          <w:sz w:val="28"/>
          <w:szCs w:val="28"/>
        </w:rPr>
        <w:t>IL: COVID - FF INJUNCTION DENIED – VACCINATION OR WEEKLY NEG TEST - “NATURAL IMMUNITY” NOT ENOUGH</w:t>
      </w:r>
    </w:p>
    <w:p w14:paraId="46B58C8C" w14:textId="77777777" w:rsidR="00001D9A" w:rsidRDefault="00001D9A" w:rsidP="00001D9A">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Dec. 19, 2021, in </w:t>
      </w:r>
      <w:r w:rsidRPr="0000416A">
        <w:rPr>
          <w:rFonts w:ascii="Times New Roman" w:eastAsia="Times New Roman" w:hAnsi="Times New Roman"/>
          <w:sz w:val="24"/>
          <w:szCs w:val="24"/>
          <w:u w:val="single"/>
        </w:rPr>
        <w:t>John Halgren, et al. v. City of Naperville, et al</w:t>
      </w:r>
      <w:r>
        <w:rPr>
          <w:rFonts w:ascii="Times New Roman" w:eastAsia="Times New Roman" w:hAnsi="Times New Roman"/>
          <w:sz w:val="24"/>
          <w:szCs w:val="24"/>
        </w:rPr>
        <w:t xml:space="preserve">., U.S. District Court Judge </w:t>
      </w:r>
      <w:r w:rsidRPr="0073027C">
        <w:rPr>
          <w:rFonts w:ascii="Times New Roman" w:hAnsi="Times New Roman"/>
          <w:sz w:val="24"/>
          <w:szCs w:val="24"/>
        </w:rPr>
        <w:t>John Robert Blakey</w:t>
      </w:r>
      <w:r>
        <w:rPr>
          <w:rFonts w:ascii="Times New Roman" w:hAnsi="Times New Roman"/>
          <w:sz w:val="24"/>
          <w:szCs w:val="24"/>
        </w:rPr>
        <w:t xml:space="preserve"> denied the six Naperville Fire Department firefighters’ motion for preliminary injunction to bar enforcement of the State and City mandate, including those firefighters claiming “natural immunity” from a prior infection and recovery. </w:t>
      </w:r>
    </w:p>
    <w:p w14:paraId="6540E32D" w14:textId="3DDDB7AB" w:rsidR="00001D9A" w:rsidRDefault="00001D9A" w:rsidP="00001D9A">
      <w:pPr>
        <w:ind w:left="720"/>
        <w:rPr>
          <w:rFonts w:ascii="Arial Black" w:hAnsi="Arial Black"/>
          <w:b/>
          <w:bCs/>
          <w:sz w:val="28"/>
          <w:szCs w:val="28"/>
        </w:rPr>
      </w:pPr>
      <w:r w:rsidRPr="00E43604">
        <w:rPr>
          <w:rFonts w:ascii="Times New Roman" w:hAnsi="Times New Roman"/>
          <w:sz w:val="24"/>
          <w:szCs w:val="24"/>
        </w:rPr>
        <w:t xml:space="preserve">“Given the preliminary factual record, however, Plaintiffs have failed to show that the statements made by the Governor constitute sufficient evidence of animus and thus, absent more facts, traditional rational basis review governs their equal protection challenge. Cf. </w:t>
      </w:r>
      <w:proofErr w:type="spellStart"/>
      <w:r w:rsidRPr="00E43604">
        <w:rPr>
          <w:rFonts w:ascii="Times New Roman" w:hAnsi="Times New Roman"/>
          <w:sz w:val="24"/>
          <w:szCs w:val="24"/>
        </w:rPr>
        <w:t>Dr.A</w:t>
      </w:r>
      <w:proofErr w:type="spellEnd"/>
      <w:r w:rsidRPr="00E43604">
        <w:rPr>
          <w:rFonts w:ascii="Times New Roman" w:hAnsi="Times New Roman"/>
          <w:sz w:val="24"/>
          <w:szCs w:val="24"/>
        </w:rPr>
        <w:t xml:space="preserve"> v. Hochul, No. 21A145, --- </w:t>
      </w:r>
      <w:proofErr w:type="spellStart"/>
      <w:r w:rsidRPr="00E43604">
        <w:rPr>
          <w:rFonts w:ascii="Times New Roman" w:hAnsi="Times New Roman"/>
          <w:sz w:val="24"/>
          <w:szCs w:val="24"/>
        </w:rPr>
        <w:t>S.Ct</w:t>
      </w:r>
      <w:proofErr w:type="spellEnd"/>
      <w:r w:rsidRPr="00E43604">
        <w:rPr>
          <w:rFonts w:ascii="Times New Roman" w:hAnsi="Times New Roman"/>
          <w:sz w:val="24"/>
          <w:szCs w:val="24"/>
        </w:rPr>
        <w:t xml:space="preserve">. ----, 2021 WL 5873126, at *3 (U.S. Dec. 13, 2021) (Gorsuch, J. and Alito, J., dissenting) (discussing overt proof of a vaccine mandate's ‘animus’ as to those seeking religious exemptions under the first amendment)…. Under the rational basis test and factual record presented, Plaintiffs have also failed to show that the mandate's differential treatment of the vaccinated and unvaccinated violates equal protection. As explained during this Court's substantive due process analysis, a ‘conceivable’ rational basis supports the mandate's vaccine and testing provisions, as to persons with or without natural immunity.” </w:t>
      </w:r>
      <w:hyperlink r:id="rId2323" w:history="1">
        <w:r w:rsidRPr="00EC5853">
          <w:rPr>
            <w:rStyle w:val="Hyperlink"/>
            <w:rFonts w:ascii="Times New Roman" w:hAnsi="Times New Roman"/>
            <w:sz w:val="24"/>
            <w:szCs w:val="24"/>
          </w:rPr>
          <w:t>https://law.justia.com/cases/federal/district-courts/illinois/ilndce/1:2021cv05039/407354/52/</w:t>
        </w:r>
      </w:hyperlink>
    </w:p>
    <w:p w14:paraId="34FA0B1A" w14:textId="77777777" w:rsidR="00FF5FCF" w:rsidRPr="00E43604" w:rsidRDefault="00FF5FCF" w:rsidP="00FF5FCF">
      <w:pPr>
        <w:rPr>
          <w:rFonts w:ascii="Times New Roman" w:hAnsi="Times New Roman"/>
          <w:b/>
          <w:bCs/>
          <w:sz w:val="24"/>
          <w:szCs w:val="24"/>
        </w:rPr>
      </w:pPr>
      <w:r w:rsidRPr="00E43604">
        <w:rPr>
          <w:rFonts w:ascii="Times New Roman" w:hAnsi="Times New Roman"/>
          <w:b/>
          <w:bCs/>
          <w:sz w:val="24"/>
          <w:szCs w:val="24"/>
        </w:rPr>
        <w:t>Legal Lesson Learned:  Several Federal courts have denied injunction against vaccination requirement for Fire &amp; EMS and other health care workers.</w:t>
      </w:r>
    </w:p>
    <w:p w14:paraId="7788AA6D" w14:textId="77777777" w:rsidR="00FF5FCF" w:rsidRPr="00E43604" w:rsidRDefault="00FF5FCF" w:rsidP="00FF5FCF">
      <w:pPr>
        <w:ind w:left="720"/>
        <w:rPr>
          <w:rStyle w:val="markedcontent"/>
          <w:rFonts w:ascii="Times New Roman" w:hAnsi="Times New Roman"/>
          <w:sz w:val="24"/>
          <w:szCs w:val="24"/>
        </w:rPr>
      </w:pPr>
      <w:r w:rsidRPr="00E43604">
        <w:rPr>
          <w:rFonts w:ascii="Times New Roman" w:hAnsi="Times New Roman"/>
          <w:sz w:val="24"/>
          <w:szCs w:val="24"/>
        </w:rPr>
        <w:t xml:space="preserve">Note: </w:t>
      </w:r>
      <w:r w:rsidRPr="00E43604">
        <w:rPr>
          <w:rFonts w:ascii="Times New Roman" w:hAnsi="Times New Roman"/>
          <w:b/>
          <w:bCs/>
          <w:sz w:val="24"/>
          <w:szCs w:val="24"/>
        </w:rPr>
        <w:t xml:space="preserve">  </w:t>
      </w:r>
      <w:r w:rsidRPr="00E43604">
        <w:rPr>
          <w:rStyle w:val="markedcontent"/>
          <w:rFonts w:ascii="Times New Roman" w:hAnsi="Times New Roman"/>
          <w:sz w:val="24"/>
          <w:szCs w:val="24"/>
        </w:rPr>
        <w:t xml:space="preserve">On Jan. 7, 2021, the U.S. Supreme Court will hear oral arguments on the vaccination and mask requirements for both large employers, and for health care workers. </w:t>
      </w:r>
      <w:hyperlink r:id="rId2324" w:history="1">
        <w:r w:rsidRPr="004065C6">
          <w:rPr>
            <w:rStyle w:val="Hyperlink"/>
            <w:rFonts w:ascii="Times New Roman" w:hAnsi="Times New Roman"/>
            <w:sz w:val="24"/>
            <w:szCs w:val="24"/>
          </w:rPr>
          <w:t>https://www.nbcnews.com/news/us-news/u-s-supreme-court-hear-challenges-biden-s-vaccine-mandates-n1286536</w:t>
        </w:r>
      </w:hyperlink>
      <w:r>
        <w:rPr>
          <w:rStyle w:val="markedcontent"/>
          <w:rFonts w:ascii="Times New Roman" w:hAnsi="Times New Roman"/>
          <w:sz w:val="24"/>
          <w:szCs w:val="24"/>
        </w:rPr>
        <w:t xml:space="preserve"> </w:t>
      </w:r>
    </w:p>
    <w:p w14:paraId="50FF0A76" w14:textId="77777777" w:rsidR="00FF5FCF" w:rsidRPr="00E43604" w:rsidRDefault="00FF5FCF" w:rsidP="00FF5FCF">
      <w:pPr>
        <w:ind w:left="720"/>
        <w:rPr>
          <w:rStyle w:val="markedcontent"/>
          <w:rFonts w:ascii="Times New Roman" w:hAnsi="Times New Roman"/>
          <w:sz w:val="24"/>
          <w:szCs w:val="24"/>
        </w:rPr>
      </w:pPr>
      <w:r w:rsidRPr="00E43604">
        <w:rPr>
          <w:rStyle w:val="markedcontent"/>
          <w:rFonts w:ascii="Times New Roman" w:hAnsi="Times New Roman"/>
          <w:sz w:val="24"/>
          <w:szCs w:val="24"/>
        </w:rPr>
        <w:t xml:space="preserve">On Dec 30, 2021, U.S. District Court Judge in Indianapolis denied a preliminary injunction for a physician at Children’s Hospital. </w:t>
      </w:r>
    </w:p>
    <w:p w14:paraId="63413C3D" w14:textId="77777777" w:rsidR="00FF5FCF" w:rsidRPr="00E43604" w:rsidRDefault="00FF5FCF" w:rsidP="00FF5FCF">
      <w:pPr>
        <w:ind w:left="1440"/>
        <w:rPr>
          <w:rFonts w:ascii="Times New Roman" w:hAnsi="Times New Roman"/>
          <w:sz w:val="24"/>
          <w:szCs w:val="24"/>
        </w:rPr>
      </w:pPr>
      <w:r w:rsidRPr="00E43604">
        <w:rPr>
          <w:rFonts w:ascii="Times New Roman" w:hAnsi="Times New Roman"/>
          <w:sz w:val="24"/>
          <w:szCs w:val="24"/>
        </w:rPr>
        <w:t xml:space="preserve">“Under the totality of the circumstances, Dr. </w:t>
      </w:r>
      <w:proofErr w:type="spellStart"/>
      <w:r w:rsidRPr="00E43604">
        <w:rPr>
          <w:rFonts w:ascii="Times New Roman" w:hAnsi="Times New Roman"/>
          <w:sz w:val="24"/>
          <w:szCs w:val="24"/>
        </w:rPr>
        <w:t>Halczenko</w:t>
      </w:r>
      <w:proofErr w:type="spellEnd"/>
      <w:r w:rsidRPr="00E43604">
        <w:rPr>
          <w:rFonts w:ascii="Times New Roman" w:hAnsi="Times New Roman"/>
          <w:sz w:val="24"/>
          <w:szCs w:val="24"/>
        </w:rPr>
        <w:t xml:space="preserve"> has failed to make a ‘substantial showing’ of irreparable injury and insufficiency of remedies that would justify the extraordinary relief he seeks pending the outcome of this litigation-that is, reversing Ascension's decision to deny his exemption request and reinstating him to his position in the Pediatric Intensive Care Unit.” </w:t>
      </w:r>
      <w:hyperlink r:id="rId2325" w:history="1">
        <w:r w:rsidRPr="00EC5853">
          <w:rPr>
            <w:rStyle w:val="Hyperlink"/>
            <w:rFonts w:ascii="Times New Roman" w:hAnsi="Times New Roman"/>
            <w:sz w:val="24"/>
            <w:szCs w:val="24"/>
          </w:rPr>
          <w:t>https://public.fastcase.com/9SKwsfNqTc6OieYDhNMyMwDUrDTC81ScbwpTIsrYww9AFfazNo%2F2HwY6ziqtDhg0Y4a0WNWhiQuswT892BHbSQq1RuZX52VcSFrolfmFpsM%3D</w:t>
        </w:r>
      </w:hyperlink>
      <w:r>
        <w:rPr>
          <w:rFonts w:ascii="Times New Roman" w:hAnsi="Times New Roman"/>
          <w:sz w:val="24"/>
          <w:szCs w:val="24"/>
        </w:rPr>
        <w:t xml:space="preserve"> </w:t>
      </w:r>
    </w:p>
    <w:p w14:paraId="58B0D52A" w14:textId="77777777" w:rsidR="00FF5FCF" w:rsidRPr="00E43604" w:rsidRDefault="00FF5FCF" w:rsidP="00FF5FCF">
      <w:pPr>
        <w:ind w:left="720"/>
        <w:rPr>
          <w:rFonts w:ascii="Times New Roman" w:hAnsi="Times New Roman"/>
          <w:sz w:val="24"/>
          <w:szCs w:val="24"/>
        </w:rPr>
      </w:pPr>
      <w:r w:rsidRPr="00E43604">
        <w:rPr>
          <w:rFonts w:ascii="Times New Roman" w:hAnsi="Times New Roman"/>
          <w:sz w:val="24"/>
          <w:szCs w:val="24"/>
        </w:rPr>
        <w:t>On Dec. 17, 2021, the U.S. Court of Appeals for the 6</w:t>
      </w:r>
      <w:r w:rsidRPr="00E43604">
        <w:rPr>
          <w:rFonts w:ascii="Times New Roman" w:hAnsi="Times New Roman"/>
          <w:sz w:val="24"/>
          <w:szCs w:val="24"/>
          <w:vertAlign w:val="superscript"/>
        </w:rPr>
        <w:t>th</w:t>
      </w:r>
      <w:r w:rsidRPr="00E43604">
        <w:rPr>
          <w:rFonts w:ascii="Times New Roman" w:hAnsi="Times New Roman"/>
          <w:sz w:val="24"/>
          <w:szCs w:val="24"/>
        </w:rPr>
        <w:t xml:space="preserve"> Circuit (Cincinnati) upheld (3 to 0) the OSHA mandate for private employers with 100 or more employees. </w:t>
      </w:r>
    </w:p>
    <w:p w14:paraId="12EE8068" w14:textId="77777777" w:rsidR="00FF5FCF" w:rsidRPr="00E43604" w:rsidRDefault="00FF5FCF" w:rsidP="00FF5FCF">
      <w:pPr>
        <w:ind w:left="1440"/>
        <w:rPr>
          <w:rStyle w:val="markedcontent"/>
          <w:rFonts w:ascii="Times New Roman" w:hAnsi="Times New Roman"/>
          <w:sz w:val="24"/>
          <w:szCs w:val="24"/>
        </w:rPr>
      </w:pPr>
      <w:r w:rsidRPr="00E43604">
        <w:rPr>
          <w:rFonts w:ascii="Times New Roman" w:hAnsi="Times New Roman"/>
          <w:sz w:val="24"/>
          <w:szCs w:val="24"/>
        </w:rPr>
        <w:t>“</w:t>
      </w:r>
      <w:r w:rsidRPr="00E43604">
        <w:rPr>
          <w:rStyle w:val="markedcontent"/>
          <w:rFonts w:ascii="Times New Roman" w:hAnsi="Times New Roman"/>
          <w:sz w:val="24"/>
          <w:szCs w:val="24"/>
        </w:rPr>
        <w:t xml:space="preserve">Employers have the option to require unvaccinated workers to wear a mask on the job and test for COVID-19 weekly. *** Consistent with other OSHA standard penalties, employers who fail to follow the standard may be fined penalties up to $13,653 for each violation and up to $136,532 for each willful violation.” </w:t>
      </w:r>
      <w:hyperlink r:id="rId2326" w:history="1">
        <w:r w:rsidRPr="00EC5853">
          <w:rPr>
            <w:rStyle w:val="Hyperlink"/>
            <w:rFonts w:ascii="Times New Roman" w:hAnsi="Times New Roman"/>
            <w:sz w:val="24"/>
            <w:szCs w:val="24"/>
          </w:rPr>
          <w:t>https://www.opn.ca6.uscourts.gov/opinions.pdf/21a0287p-06.pdf</w:t>
        </w:r>
      </w:hyperlink>
      <w:r>
        <w:rPr>
          <w:rStyle w:val="markedcontent"/>
          <w:rFonts w:ascii="Times New Roman" w:hAnsi="Times New Roman"/>
          <w:sz w:val="24"/>
          <w:szCs w:val="24"/>
        </w:rPr>
        <w:t xml:space="preserve"> </w:t>
      </w:r>
    </w:p>
    <w:p w14:paraId="62C0C895" w14:textId="77777777" w:rsidR="00FF5FCF" w:rsidRPr="00E43604" w:rsidRDefault="00FF5FCF" w:rsidP="00FF5FCF">
      <w:pPr>
        <w:ind w:left="720"/>
        <w:rPr>
          <w:rStyle w:val="markedcontent"/>
          <w:rFonts w:ascii="Times New Roman" w:hAnsi="Times New Roman"/>
          <w:sz w:val="24"/>
          <w:szCs w:val="24"/>
        </w:rPr>
      </w:pPr>
      <w:r w:rsidRPr="00E43604">
        <w:rPr>
          <w:rStyle w:val="markedcontent"/>
          <w:rFonts w:ascii="Times New Roman" w:hAnsi="Times New Roman"/>
          <w:sz w:val="24"/>
          <w:szCs w:val="24"/>
        </w:rPr>
        <w:t xml:space="preserve">On Dec. 13, 2021, the U.S. Supreme Court majority denied an injunction for New York health care workers.  Justice Gorsuch and Justice Alito dissented about lack of an exemption based on sincere religious beliefs. </w:t>
      </w:r>
      <w:hyperlink r:id="rId2327" w:history="1">
        <w:r w:rsidRPr="00EC5853">
          <w:rPr>
            <w:rStyle w:val="Hyperlink"/>
            <w:rFonts w:ascii="Times New Roman" w:hAnsi="Times New Roman"/>
            <w:sz w:val="24"/>
            <w:szCs w:val="24"/>
          </w:rPr>
          <w:t>https://www.supremecourt.gov/opinions/21pdf/21a145_gfbi.pdf</w:t>
        </w:r>
      </w:hyperlink>
      <w:r>
        <w:rPr>
          <w:rStyle w:val="markedcontent"/>
          <w:rFonts w:ascii="Times New Roman" w:hAnsi="Times New Roman"/>
          <w:sz w:val="24"/>
          <w:szCs w:val="24"/>
        </w:rPr>
        <w:t xml:space="preserve"> </w:t>
      </w:r>
    </w:p>
    <w:p w14:paraId="18DBDBD1" w14:textId="77777777" w:rsidR="00FF5FCF" w:rsidRPr="00E43604" w:rsidRDefault="00FF5FCF" w:rsidP="00FF5FCF">
      <w:pPr>
        <w:ind w:left="1440"/>
        <w:rPr>
          <w:rStyle w:val="markedcontent"/>
          <w:rFonts w:ascii="Times New Roman" w:hAnsi="Times New Roman"/>
          <w:sz w:val="24"/>
          <w:szCs w:val="24"/>
        </w:rPr>
      </w:pPr>
      <w:r w:rsidRPr="00E43604">
        <w:rPr>
          <w:rStyle w:val="markedcontent"/>
          <w:rFonts w:ascii="Times New Roman" w:hAnsi="Times New Roman"/>
          <w:sz w:val="24"/>
          <w:szCs w:val="24"/>
        </w:rPr>
        <w:t>“New York recently issued a regulation requiring healthcare workers to receive a COVID–19 vaccine. Those who cite medical reasons are exempt. But no comparable exemption exists for individuals whose sincere religious beliefs prevent them from taking one of the currently available vaccines. It seems New York is one of just three States to have a scheme like this.”</w:t>
      </w:r>
    </w:p>
    <w:p w14:paraId="54AA55BA" w14:textId="0A02F18E" w:rsidR="00001D9A" w:rsidRDefault="00001D9A" w:rsidP="002B1283">
      <w:pPr>
        <w:rPr>
          <w:rFonts w:ascii="Arial Black" w:hAnsi="Arial Black"/>
          <w:b/>
          <w:bCs/>
          <w:sz w:val="28"/>
          <w:szCs w:val="28"/>
        </w:rPr>
      </w:pPr>
      <w:r>
        <w:rPr>
          <w:rFonts w:ascii="Arial Black" w:hAnsi="Arial Black"/>
          <w:b/>
          <w:bCs/>
          <w:sz w:val="28"/>
          <w:szCs w:val="28"/>
        </w:rPr>
        <w:t>13-100</w:t>
      </w:r>
    </w:p>
    <w:p w14:paraId="6D80E8B1" w14:textId="77777777" w:rsidR="00001D9A" w:rsidRDefault="00001D9A" w:rsidP="00001D9A">
      <w:pPr>
        <w:rPr>
          <w:rFonts w:ascii="Arial Black" w:hAnsi="Arial Black"/>
          <w:b/>
          <w:bCs/>
          <w:sz w:val="28"/>
          <w:szCs w:val="28"/>
        </w:rPr>
      </w:pPr>
      <w:r>
        <w:rPr>
          <w:rFonts w:ascii="Arial Black" w:hAnsi="Arial Black"/>
          <w:b/>
          <w:bCs/>
          <w:sz w:val="28"/>
          <w:szCs w:val="28"/>
        </w:rPr>
        <w:t xml:space="preserve">NM:  BLOOD DRAW – EMTs MAY DRAW IF EMPLOYED AT HOSPITAL &amp; TRAINED – NO REQ. BE “LAB TECHNICIAN” </w:t>
      </w:r>
    </w:p>
    <w:p w14:paraId="056BB3E8" w14:textId="77777777" w:rsidR="00001D9A" w:rsidRPr="002F595B" w:rsidRDefault="00001D9A" w:rsidP="00001D9A">
      <w:pPr>
        <w:rPr>
          <w:rFonts w:ascii="Times New Roman" w:hAnsi="Times New Roman"/>
          <w:sz w:val="24"/>
          <w:szCs w:val="24"/>
        </w:rPr>
      </w:pPr>
      <w:r w:rsidRPr="002F595B">
        <w:rPr>
          <w:rFonts w:ascii="Times New Roman" w:hAnsi="Times New Roman"/>
          <w:sz w:val="24"/>
          <w:szCs w:val="24"/>
        </w:rPr>
        <w:t xml:space="preserve">On Dec. 16, 2021, in </w:t>
      </w:r>
      <w:r w:rsidRPr="002F595B">
        <w:rPr>
          <w:rFonts w:ascii="Times New Roman" w:hAnsi="Times New Roman"/>
          <w:sz w:val="24"/>
          <w:szCs w:val="24"/>
          <w:u w:val="single"/>
        </w:rPr>
        <w:t>State of New Mexico v. Brian Adams</w:t>
      </w:r>
      <w:r w:rsidRPr="002F595B">
        <w:rPr>
          <w:rFonts w:ascii="Times New Roman" w:hAnsi="Times New Roman"/>
          <w:sz w:val="24"/>
          <w:szCs w:val="24"/>
        </w:rPr>
        <w:t xml:space="preserve">, the Supreme Court of New Mexico held (4 to 0) that EMTs may conduct blood draws, resolving 6 pending case appeals, but clarifying that the EMT “must be employed by a hospital or physician to perform blood draws, trained to perform legal blood draws, and have on-the-job experience in doing so.” </w:t>
      </w:r>
    </w:p>
    <w:p w14:paraId="0FE18A73"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 xml:space="preserve"> “This case is one of six cases arising under very similar fact patterns. In each case, an ‘emergency department technician,’ also licensed as an emergency medical technician (EMT), performed a blood draw test at San Juan Regional Medical Center in Farmington for the purpose of a DWI investigation. The defendants in these cases argue that ‘emergency department </w:t>
      </w:r>
      <w:proofErr w:type="gramStart"/>
      <w:r w:rsidRPr="002F595B">
        <w:rPr>
          <w:rFonts w:ascii="Times New Roman" w:hAnsi="Times New Roman"/>
          <w:sz w:val="24"/>
          <w:szCs w:val="24"/>
        </w:rPr>
        <w:t>technicians’</w:t>
      </w:r>
      <w:proofErr w:type="gramEnd"/>
      <w:r w:rsidRPr="002F595B">
        <w:rPr>
          <w:rFonts w:ascii="Times New Roman" w:hAnsi="Times New Roman"/>
          <w:sz w:val="24"/>
          <w:szCs w:val="24"/>
        </w:rPr>
        <w:t xml:space="preserve"> are not qualified to draw blood under the Implied Consent Act, NMSA 1978, §§ </w:t>
      </w:r>
      <w:hyperlink r:id="rId2328" w:anchor="!b/66-8-105" w:tgtFrame="_parent" w:history="1">
        <w:r w:rsidRPr="002F595B">
          <w:rPr>
            <w:rFonts w:ascii="Times New Roman" w:hAnsi="Times New Roman"/>
            <w:sz w:val="24"/>
            <w:szCs w:val="24"/>
          </w:rPr>
          <w:t>66-8-105</w:t>
        </w:r>
      </w:hyperlink>
      <w:r w:rsidRPr="002F595B">
        <w:rPr>
          <w:rFonts w:ascii="Times New Roman" w:hAnsi="Times New Roman"/>
          <w:sz w:val="24"/>
          <w:szCs w:val="24"/>
        </w:rPr>
        <w:t xml:space="preserve"> to -112 (1978, as amended through 2019). Thus, this case presents an issue of statutory construction. Specifically, whether an emergency department technician, licensed as an EMT, with training and experience in drawing blood is authorized to perform legal blood draw tests as a ‘laboratory technician’ under NMSA 1978, Section </w:t>
      </w:r>
      <w:hyperlink r:id="rId2329" w:anchor="!b/66-8-103" w:tgtFrame="_parent" w:history="1">
        <w:r w:rsidRPr="002F595B">
          <w:rPr>
            <w:rFonts w:ascii="Times New Roman" w:hAnsi="Times New Roman"/>
            <w:sz w:val="24"/>
            <w:szCs w:val="24"/>
          </w:rPr>
          <w:t>66-8-103</w:t>
        </w:r>
      </w:hyperlink>
      <w:r w:rsidRPr="002F595B">
        <w:rPr>
          <w:rFonts w:ascii="Times New Roman" w:hAnsi="Times New Roman"/>
          <w:sz w:val="24"/>
          <w:szCs w:val="24"/>
        </w:rPr>
        <w:t xml:space="preserve"> (1978), which states, ‘[o]</w:t>
      </w:r>
      <w:proofErr w:type="spellStart"/>
      <w:r w:rsidRPr="002F595B">
        <w:rPr>
          <w:rFonts w:ascii="Times New Roman" w:hAnsi="Times New Roman"/>
          <w:sz w:val="24"/>
          <w:szCs w:val="24"/>
        </w:rPr>
        <w:t>nly</w:t>
      </w:r>
      <w:proofErr w:type="spellEnd"/>
      <w:r w:rsidRPr="002F595B">
        <w:rPr>
          <w:rFonts w:ascii="Times New Roman" w:hAnsi="Times New Roman"/>
          <w:sz w:val="24"/>
          <w:szCs w:val="24"/>
        </w:rPr>
        <w:t xml:space="preserve"> a physician, licensed professional or practical nurse or laboratory technician or technologist employed by a hospital or physician shall withdraw blood from any person in the performance of a blood-alcohol test.’ As explained herein, we conclude that such medical professionals are qualified to draw blood under the statute so long as they were employed to do so by a hospital or physician and have adequate training and experience.” </w:t>
      </w:r>
      <w:hyperlink r:id="rId2330" w:history="1">
        <w:r w:rsidRPr="00EC5853">
          <w:rPr>
            <w:rStyle w:val="Hyperlink"/>
            <w:rFonts w:ascii="Times New Roman" w:hAnsi="Times New Roman"/>
            <w:sz w:val="24"/>
            <w:szCs w:val="24"/>
          </w:rPr>
          <w:t>https://nmonesource.com/nmos/nmsc/en/item/517877/index.do</w:t>
        </w:r>
      </w:hyperlink>
      <w:r>
        <w:rPr>
          <w:rFonts w:ascii="Times New Roman" w:hAnsi="Times New Roman"/>
          <w:sz w:val="24"/>
          <w:szCs w:val="24"/>
        </w:rPr>
        <w:t xml:space="preserve"> </w:t>
      </w:r>
    </w:p>
    <w:p w14:paraId="644A9EAD" w14:textId="77777777" w:rsidR="00001D9A" w:rsidRPr="002F595B" w:rsidRDefault="00001D9A" w:rsidP="00001D9A">
      <w:pPr>
        <w:rPr>
          <w:rFonts w:ascii="Times New Roman" w:hAnsi="Times New Roman"/>
          <w:b/>
          <w:bCs/>
          <w:sz w:val="24"/>
          <w:szCs w:val="24"/>
        </w:rPr>
      </w:pPr>
      <w:r w:rsidRPr="002F595B">
        <w:rPr>
          <w:rFonts w:ascii="Times New Roman" w:hAnsi="Times New Roman"/>
          <w:b/>
          <w:bCs/>
          <w:sz w:val="24"/>
          <w:szCs w:val="24"/>
        </w:rPr>
        <w:t xml:space="preserve">Legal Lesson Learned: EMTs not employed at a hospital or medical office cannot draw blood for police. </w:t>
      </w:r>
    </w:p>
    <w:p w14:paraId="1DB63F92"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 xml:space="preserve">Note: See New Mexico </w:t>
      </w:r>
      <w:bookmarkStart w:id="446" w:name="_ftn3"/>
      <w:bookmarkStart w:id="447" w:name="66-8-107"/>
      <w:bookmarkEnd w:id="446"/>
      <w:proofErr w:type="gramStart"/>
      <w:r w:rsidRPr="002F595B">
        <w:rPr>
          <w:rFonts w:ascii="Times New Roman" w:hAnsi="Times New Roman"/>
          <w:color w:val="000000"/>
          <w:sz w:val="24"/>
          <w:szCs w:val="24"/>
        </w:rPr>
        <w:t>The</w:t>
      </w:r>
      <w:proofErr w:type="gramEnd"/>
      <w:r w:rsidRPr="002F595B">
        <w:rPr>
          <w:rFonts w:ascii="Times New Roman" w:hAnsi="Times New Roman"/>
          <w:color w:val="000000"/>
          <w:sz w:val="24"/>
          <w:szCs w:val="24"/>
        </w:rPr>
        <w:t xml:space="preserve"> Implied Consent Act: </w:t>
      </w:r>
      <w:bookmarkEnd w:id="447"/>
      <w:r>
        <w:rPr>
          <w:rFonts w:ascii="Times New Roman" w:hAnsi="Times New Roman"/>
          <w:color w:val="000000"/>
          <w:sz w:val="24"/>
          <w:szCs w:val="24"/>
        </w:rPr>
        <w:fldChar w:fldCharType="begin"/>
      </w:r>
      <w:r>
        <w:rPr>
          <w:rFonts w:ascii="Times New Roman" w:hAnsi="Times New Roman"/>
          <w:color w:val="000000"/>
          <w:sz w:val="24"/>
          <w:szCs w:val="24"/>
        </w:rPr>
        <w:instrText xml:space="preserve"> HYPERLINK "</w:instrText>
      </w:r>
      <w:r w:rsidRPr="00B50E0F">
        <w:rPr>
          <w:rFonts w:ascii="Times New Roman" w:hAnsi="Times New Roman"/>
          <w:color w:val="000000"/>
          <w:sz w:val="24"/>
          <w:szCs w:val="24"/>
        </w:rPr>
        <w:instrText>https://law.justia.com/codes/new-mexico/2009/chapter-66/article-8/section-66-8-107/</w:instrText>
      </w:r>
      <w:r>
        <w:rPr>
          <w:rFonts w:ascii="Times New Roman" w:hAnsi="Times New Roman"/>
          <w:color w:val="000000"/>
          <w:sz w:val="24"/>
          <w:szCs w:val="24"/>
        </w:rPr>
        <w:instrText xml:space="preserve">" </w:instrText>
      </w:r>
      <w:r>
        <w:rPr>
          <w:rFonts w:ascii="Times New Roman" w:hAnsi="Times New Roman"/>
          <w:color w:val="000000"/>
          <w:sz w:val="24"/>
          <w:szCs w:val="24"/>
        </w:rPr>
      </w:r>
      <w:r>
        <w:rPr>
          <w:rFonts w:ascii="Times New Roman" w:hAnsi="Times New Roman"/>
          <w:color w:val="000000"/>
          <w:sz w:val="24"/>
          <w:szCs w:val="24"/>
        </w:rPr>
        <w:fldChar w:fldCharType="separate"/>
      </w:r>
      <w:r w:rsidRPr="004065C6">
        <w:rPr>
          <w:rStyle w:val="Hyperlink"/>
          <w:rFonts w:ascii="Times New Roman" w:hAnsi="Times New Roman"/>
          <w:sz w:val="24"/>
          <w:szCs w:val="24"/>
        </w:rPr>
        <w:t>https://law.justia.com/codes/new-mexico/2009/chapter-66/article-8/section-66-8-107/</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14:paraId="73B18D04" w14:textId="77777777" w:rsidR="00001D9A" w:rsidRPr="002F595B" w:rsidRDefault="00001D9A" w:rsidP="00001D9A">
      <w:pPr>
        <w:spacing w:after="0" w:line="240" w:lineRule="auto"/>
        <w:ind w:left="1080" w:right="1080"/>
        <w:rPr>
          <w:rFonts w:ascii="Times New Roman" w:eastAsia="Times New Roman" w:hAnsi="Times New Roman"/>
          <w:sz w:val="24"/>
          <w:szCs w:val="24"/>
        </w:rPr>
      </w:pPr>
      <w:r w:rsidRPr="002F595B">
        <w:rPr>
          <w:rFonts w:ascii="Times New Roman" w:eastAsia="Times New Roman" w:hAnsi="Times New Roman"/>
          <w:sz w:val="24"/>
          <w:szCs w:val="24"/>
        </w:rPr>
        <w:t>“A</w:t>
      </w:r>
      <w:r w:rsidRPr="002F595B">
        <w:rPr>
          <w:rFonts w:ascii="Times New Roman" w:eastAsia="Times New Roman" w:hAnsi="Times New Roman"/>
          <w:color w:val="000000"/>
          <w:sz w:val="24"/>
          <w:szCs w:val="24"/>
        </w:rPr>
        <w:t>ny person who operates a motor vehicle within this state shall be deemed to have given consent, subject to the provisions of the Implied Consent Act . . . to chemical tests of his breath or blood or both . . . as determined by a law enforcement officer, or for the purpose of determining the drug or alcohol content of his blood if arrested for any offense arising out of the acts alleged to have been committed while the person was driving a motor vehicle while under the influence of an intoxicating liquor or drug.”</w:t>
      </w:r>
    </w:p>
    <w:p w14:paraId="7D7BCF81" w14:textId="77777777" w:rsidR="00001D9A" w:rsidRDefault="00001D9A" w:rsidP="00001D9A">
      <w:pPr>
        <w:ind w:left="720"/>
        <w:rPr>
          <w:rFonts w:ascii="Times New Roman" w:hAnsi="Times New Roman"/>
          <w:sz w:val="24"/>
          <w:szCs w:val="24"/>
        </w:rPr>
      </w:pPr>
    </w:p>
    <w:p w14:paraId="11D48E36"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See Ohio statute, Section 4511.191:</w:t>
      </w:r>
      <w:r w:rsidRPr="009E51C8">
        <w:t xml:space="preserve"> </w:t>
      </w:r>
      <w:hyperlink r:id="rId2331" w:history="1">
        <w:r w:rsidRPr="00EC5853">
          <w:rPr>
            <w:rStyle w:val="Hyperlink"/>
            <w:rFonts w:ascii="Times New Roman" w:hAnsi="Times New Roman"/>
            <w:sz w:val="24"/>
            <w:szCs w:val="24"/>
          </w:rPr>
          <w:t>https://codes.ohio.gov/ohio-revised-code/section-4511.191</w:t>
        </w:r>
      </w:hyperlink>
      <w:r>
        <w:rPr>
          <w:rFonts w:ascii="Times New Roman" w:hAnsi="Times New Roman"/>
          <w:sz w:val="24"/>
          <w:szCs w:val="24"/>
        </w:rPr>
        <w:t xml:space="preserve"> </w:t>
      </w:r>
      <w:r w:rsidRPr="002F595B">
        <w:rPr>
          <w:rFonts w:ascii="Times New Roman" w:hAnsi="Times New Roman"/>
          <w:sz w:val="24"/>
          <w:szCs w:val="24"/>
        </w:rPr>
        <w:t xml:space="preserve">: </w:t>
      </w:r>
    </w:p>
    <w:p w14:paraId="22607B52" w14:textId="77777777" w:rsidR="00001D9A" w:rsidRPr="002F595B" w:rsidRDefault="00001D9A" w:rsidP="00001D9A">
      <w:pPr>
        <w:ind w:left="1080" w:hanging="90"/>
        <w:rPr>
          <w:rFonts w:ascii="Times New Roman" w:hAnsi="Times New Roman"/>
          <w:sz w:val="24"/>
          <w:szCs w:val="24"/>
        </w:rPr>
      </w:pPr>
      <w:r w:rsidRPr="002F595B">
        <w:rPr>
          <w:rFonts w:ascii="Times New Roman" w:hAnsi="Times New Roman"/>
          <w:sz w:val="24"/>
          <w:szCs w:val="24"/>
        </w:rPr>
        <w:t xml:space="preserve"> “(2) Any person who operates a vehicle, streetcar, or trackless trolley upon a highway or any public or private property used by the public for vehicular travel or parking within this state or who is in physical control of a vehicle, streetcar, or trackless trolley shall be deemed to have given consent to a chemical test or tests of the person's whole blood, blood serum or plasma, breath, or urine to determine the alcohol, drug of abuse, controlled substance, metabolite of a controlled substance, or combination content of the person's whole blood, blood serum or plasma, breath, or urine if arrested for a violation of division (A) or (B) of section </w:t>
      </w:r>
      <w:hyperlink r:id="rId2332" w:history="1">
        <w:r w:rsidRPr="002F595B">
          <w:rPr>
            <w:rFonts w:ascii="Times New Roman" w:hAnsi="Times New Roman"/>
            <w:sz w:val="24"/>
            <w:szCs w:val="24"/>
          </w:rPr>
          <w:t>4511.19</w:t>
        </w:r>
      </w:hyperlink>
      <w:r w:rsidRPr="002F595B">
        <w:rPr>
          <w:rFonts w:ascii="Times New Roman" w:hAnsi="Times New Roman"/>
          <w:sz w:val="24"/>
          <w:szCs w:val="24"/>
        </w:rPr>
        <w:t xml:space="preserve"> of the Revised Code, section </w:t>
      </w:r>
      <w:hyperlink r:id="rId2333" w:history="1">
        <w:r w:rsidRPr="002F595B">
          <w:rPr>
            <w:rFonts w:ascii="Times New Roman" w:hAnsi="Times New Roman"/>
            <w:sz w:val="24"/>
            <w:szCs w:val="24"/>
          </w:rPr>
          <w:t>4511.194</w:t>
        </w:r>
      </w:hyperlink>
      <w:r w:rsidRPr="002F595B">
        <w:rPr>
          <w:rFonts w:ascii="Times New Roman" w:hAnsi="Times New Roman"/>
          <w:sz w:val="24"/>
          <w:szCs w:val="24"/>
        </w:rPr>
        <w:t xml:space="preserve"> of the Revised Code or a substantially equivalent municipal ordinance, or a municipal OVI ordinance.”</w:t>
      </w:r>
    </w:p>
    <w:p w14:paraId="5F12C0F2" w14:textId="77777777" w:rsidR="00001D9A" w:rsidRDefault="00001D9A" w:rsidP="002B1283">
      <w:pPr>
        <w:rPr>
          <w:rFonts w:ascii="Arial Black" w:hAnsi="Arial Black"/>
          <w:b/>
          <w:bCs/>
          <w:sz w:val="28"/>
          <w:szCs w:val="28"/>
        </w:rPr>
      </w:pPr>
    </w:p>
    <w:p w14:paraId="2C652297" w14:textId="77777777" w:rsidR="00001D9A" w:rsidRDefault="00001D9A" w:rsidP="002B1283">
      <w:pPr>
        <w:rPr>
          <w:rFonts w:ascii="Arial Black" w:hAnsi="Arial Black"/>
          <w:b/>
          <w:bCs/>
          <w:sz w:val="28"/>
          <w:szCs w:val="28"/>
        </w:rPr>
      </w:pPr>
    </w:p>
    <w:p w14:paraId="1C75E29B" w14:textId="1A08C4AC" w:rsidR="00687C24" w:rsidRDefault="00687C24" w:rsidP="002B1283">
      <w:pPr>
        <w:rPr>
          <w:rFonts w:ascii="Arial Black" w:hAnsi="Arial Black"/>
          <w:b/>
          <w:bCs/>
          <w:sz w:val="28"/>
          <w:szCs w:val="28"/>
        </w:rPr>
      </w:pPr>
      <w:r>
        <w:rPr>
          <w:rFonts w:ascii="Arial Black" w:hAnsi="Arial Black"/>
          <w:b/>
          <w:bCs/>
          <w:sz w:val="28"/>
          <w:szCs w:val="28"/>
        </w:rPr>
        <w:t>13-99</w:t>
      </w:r>
    </w:p>
    <w:p w14:paraId="2BBA0A2B" w14:textId="77777777" w:rsidR="00506EE7" w:rsidRPr="00CE738F" w:rsidRDefault="00506EE7" w:rsidP="00506EE7">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VA: POLICE &amp; PARAMEDICS DENIED “GOOD FAITH IMMUNITY” – MENTAL – FORCE HEAD INTO PILLOW / DIED </w:t>
      </w:r>
    </w:p>
    <w:p w14:paraId="1B24CD9E" w14:textId="77777777" w:rsidR="00506EE7" w:rsidRDefault="00506EE7" w:rsidP="00506EE7">
      <w:pPr>
        <w:spacing w:before="100" w:beforeAutospacing="1" w:after="100" w:afterAutospacing="1" w:line="240" w:lineRule="auto"/>
        <w:rPr>
          <w:rFonts w:ascii="Times New Roman" w:hAnsi="Times New Roman"/>
          <w:sz w:val="24"/>
          <w:szCs w:val="24"/>
        </w:rPr>
      </w:pPr>
      <w:r w:rsidRPr="00CE738F">
        <w:rPr>
          <w:rFonts w:ascii="Times New Roman" w:hAnsi="Times New Roman"/>
          <w:sz w:val="24"/>
          <w:szCs w:val="24"/>
        </w:rPr>
        <w:t xml:space="preserve">On Nov. 15, 2021, </w:t>
      </w:r>
      <w:r>
        <w:rPr>
          <w:rFonts w:ascii="Times New Roman" w:hAnsi="Times New Roman"/>
          <w:sz w:val="24"/>
          <w:szCs w:val="24"/>
        </w:rPr>
        <w:t xml:space="preserve">in </w:t>
      </w:r>
      <w:r w:rsidRPr="003047ED">
        <w:rPr>
          <w:rFonts w:ascii="Times New Roman" w:hAnsi="Times New Roman"/>
          <w:sz w:val="24"/>
          <w:szCs w:val="24"/>
          <w:u w:val="single"/>
        </w:rPr>
        <w:t>Angela L. Lawhorn, Administrator of the Estate of Joshua L. Lawhorn v. Alexander Mayes, et al</w:t>
      </w:r>
      <w:r>
        <w:rPr>
          <w:rFonts w:ascii="Times New Roman" w:hAnsi="Times New Roman"/>
          <w:sz w:val="24"/>
          <w:szCs w:val="24"/>
        </w:rPr>
        <w:t xml:space="preserve">., the U.S. Court of Appeals for the Fourth Circuit (Richmond, VA) held that the paramedics, like the police officers in this case, are not entitled to good faith immunity and the lawsuit will proceed. </w:t>
      </w:r>
      <w:r>
        <w:rPr>
          <w:rFonts w:ascii="Times New Roman" w:hAnsi="Times New Roman"/>
          <w:sz w:val="24"/>
          <w:szCs w:val="24"/>
        </w:rPr>
        <w:tab/>
      </w:r>
    </w:p>
    <w:p w14:paraId="6DF0F080" w14:textId="77777777" w:rsidR="00506EE7" w:rsidRDefault="00506EE7" w:rsidP="00506E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047ED">
        <w:rPr>
          <w:rFonts w:ascii="Times New Roman" w:hAnsi="Times New Roman"/>
          <w:sz w:val="24"/>
          <w:szCs w:val="24"/>
        </w:rPr>
        <w:t xml:space="preserve">This appeal arises from a tragic incident that led to the death of Joshua Lawhon, an unarmed mentally ill man. Invoking 42 U.S.C. § 1983 and Virginia state law, Lawhon's mother, as administrator of his estate, brought this action against the police officers and paramedics whose assertedly improper actions cost her son his life. Defendants moved to dismiss the case on the grounds of qualified immunity and state law immunity. The district court refused to do so regarding Defendants' conduct after they secured Lawhon in handcuffs and the Defendants now appeal. We affirm </w:t>
      </w:r>
      <w:proofErr w:type="gramStart"/>
      <w:r w:rsidRPr="003047ED">
        <w:rPr>
          <w:rFonts w:ascii="Times New Roman" w:hAnsi="Times New Roman"/>
          <w:sz w:val="24"/>
          <w:szCs w:val="24"/>
        </w:rPr>
        <w:t>on the basis of</w:t>
      </w:r>
      <w:proofErr w:type="gramEnd"/>
      <w:r w:rsidRPr="003047ED">
        <w:rPr>
          <w:rFonts w:ascii="Times New Roman" w:hAnsi="Times New Roman"/>
          <w:sz w:val="24"/>
          <w:szCs w:val="24"/>
        </w:rPr>
        <w:t xml:space="preserve"> its well-reasoned opinion.</w:t>
      </w:r>
    </w:p>
    <w:p w14:paraId="4F4750FD" w14:textId="77777777" w:rsidR="00506EE7" w:rsidRDefault="00506EE7" w:rsidP="00506E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727FD4" w14:textId="1504CBF7" w:rsidR="00687C24" w:rsidRDefault="00506EE7" w:rsidP="00506EE7">
      <w:pPr>
        <w:rPr>
          <w:rStyle w:val="Hyperlink"/>
          <w:rFonts w:ascii="Times New Roman" w:eastAsia="Times New Roman" w:hAnsi="Times New Roman"/>
          <w:sz w:val="24"/>
          <w:szCs w:val="24"/>
        </w:rPr>
      </w:pPr>
      <w:r w:rsidRPr="003047ED">
        <w:rPr>
          <w:rFonts w:ascii="Times New Roman" w:eastAsia="Times New Roman" w:hAnsi="Times New Roman"/>
          <w:sz w:val="24"/>
          <w:szCs w:val="24"/>
        </w:rPr>
        <w:t xml:space="preserve">The paramedic-Defendants similarly raise a good faith immunity defense under Virginia's Good Samaritan statute. However, as the district court </w:t>
      </w:r>
      <w:proofErr w:type="gramStart"/>
      <w:r w:rsidRPr="003047ED">
        <w:rPr>
          <w:rFonts w:ascii="Times New Roman" w:eastAsia="Times New Roman" w:hAnsi="Times New Roman"/>
          <w:sz w:val="24"/>
          <w:szCs w:val="24"/>
        </w:rPr>
        <w:t xml:space="preserve">determined, </w:t>
      </w:r>
      <w:r>
        <w:rPr>
          <w:rFonts w:ascii="Times New Roman" w:eastAsia="Times New Roman" w:hAnsi="Times New Roman"/>
          <w:sz w:val="24"/>
          <w:szCs w:val="24"/>
        </w:rPr>
        <w:t>‘</w:t>
      </w:r>
      <w:proofErr w:type="gramEnd"/>
      <w:r w:rsidRPr="003047ED">
        <w:rPr>
          <w:rFonts w:ascii="Times New Roman" w:eastAsia="Times New Roman" w:hAnsi="Times New Roman"/>
          <w:sz w:val="24"/>
          <w:szCs w:val="24"/>
        </w:rPr>
        <w:t>this statute only shields those who</w:t>
      </w:r>
      <w:r>
        <w:rPr>
          <w:rFonts w:ascii="Times New Roman" w:eastAsia="Times New Roman" w:hAnsi="Times New Roman"/>
          <w:sz w:val="24"/>
          <w:szCs w:val="24"/>
        </w:rPr>
        <w:t xml:space="preserve"> ‘</w:t>
      </w:r>
      <w:r w:rsidRPr="003047ED">
        <w:rPr>
          <w:rFonts w:ascii="Times New Roman" w:eastAsia="Times New Roman" w:hAnsi="Times New Roman"/>
          <w:sz w:val="24"/>
          <w:szCs w:val="24"/>
        </w:rPr>
        <w:t>in good faith render[] emergency care or assistance.</w:t>
      </w:r>
      <w:r>
        <w:rPr>
          <w:rFonts w:ascii="Times New Roman" w:eastAsia="Times New Roman" w:hAnsi="Times New Roman"/>
          <w:sz w:val="24"/>
          <w:szCs w:val="24"/>
        </w:rPr>
        <w:t xml:space="preserve">’ </w:t>
      </w:r>
      <w:r w:rsidRPr="003047ED">
        <w:rPr>
          <w:rFonts w:ascii="Times New Roman" w:eastAsia="Times New Roman" w:hAnsi="Times New Roman"/>
          <w:i/>
          <w:iCs/>
          <w:sz w:val="24"/>
          <w:szCs w:val="24"/>
        </w:rPr>
        <w:t>Id</w:t>
      </w:r>
      <w:r w:rsidRPr="003047ED">
        <w:rPr>
          <w:rFonts w:ascii="Times New Roman" w:eastAsia="Times New Roman" w:hAnsi="Times New Roman"/>
          <w:sz w:val="24"/>
          <w:szCs w:val="24"/>
        </w:rPr>
        <w:t xml:space="preserve">. The complaint asserts that the paramedics </w:t>
      </w:r>
      <w:r>
        <w:rPr>
          <w:rFonts w:ascii="Times New Roman" w:eastAsia="Times New Roman" w:hAnsi="Times New Roman"/>
          <w:sz w:val="24"/>
          <w:szCs w:val="24"/>
        </w:rPr>
        <w:t>‘</w:t>
      </w:r>
      <w:r w:rsidRPr="003047ED">
        <w:rPr>
          <w:rFonts w:ascii="Times New Roman" w:eastAsia="Times New Roman" w:hAnsi="Times New Roman"/>
          <w:sz w:val="24"/>
          <w:szCs w:val="24"/>
        </w:rPr>
        <w:t>failed</w:t>
      </w:r>
      <w:r>
        <w:rPr>
          <w:rFonts w:ascii="Times New Roman" w:eastAsia="Times New Roman" w:hAnsi="Times New Roman"/>
          <w:sz w:val="24"/>
          <w:szCs w:val="24"/>
        </w:rPr>
        <w:t>’</w:t>
      </w:r>
      <w:r w:rsidRPr="003047ED">
        <w:rPr>
          <w:rFonts w:ascii="Times New Roman" w:eastAsia="Times New Roman" w:hAnsi="Times New Roman"/>
          <w:sz w:val="24"/>
          <w:szCs w:val="24"/>
        </w:rPr>
        <w:t xml:space="preserve"> to provide Lawhon with emergency care or assistance. Thus, the statute cannot immunize the paramedics at this stage of the litigation. </w:t>
      </w:r>
      <w:r>
        <w:rPr>
          <w:rFonts w:ascii="Times New Roman" w:eastAsia="Times New Roman" w:hAnsi="Times New Roman"/>
          <w:sz w:val="24"/>
          <w:szCs w:val="24"/>
        </w:rPr>
        <w:t>‘</w:t>
      </w:r>
      <w:r w:rsidRPr="003047ED">
        <w:rPr>
          <w:rFonts w:ascii="Times New Roman" w:eastAsia="Times New Roman" w:hAnsi="Times New Roman"/>
          <w:sz w:val="24"/>
          <w:szCs w:val="24"/>
        </w:rPr>
        <w:t>The parallel state law claim[s] of . . . battery [are] subsumed within the federal excessive force claim and so go[] forward as well.</w:t>
      </w:r>
      <w:r>
        <w:rPr>
          <w:rFonts w:ascii="Times New Roman" w:eastAsia="Times New Roman" w:hAnsi="Times New Roman"/>
          <w:sz w:val="24"/>
          <w:szCs w:val="24"/>
        </w:rPr>
        <w:t>’</w:t>
      </w:r>
      <w:r w:rsidRPr="003047ED">
        <w:rPr>
          <w:rFonts w:ascii="Times New Roman" w:eastAsia="Times New Roman" w:hAnsi="Times New Roman"/>
          <w:sz w:val="24"/>
          <w:szCs w:val="24"/>
        </w:rPr>
        <w:t xml:space="preserve"> </w:t>
      </w:r>
      <w:r w:rsidRPr="003047ED">
        <w:rPr>
          <w:rFonts w:ascii="Times New Roman" w:eastAsia="Times New Roman" w:hAnsi="Times New Roman"/>
          <w:i/>
          <w:iCs/>
          <w:sz w:val="24"/>
          <w:szCs w:val="24"/>
        </w:rPr>
        <w:t>Rowland v. Perry</w:t>
      </w:r>
      <w:r w:rsidRPr="003047ED">
        <w:rPr>
          <w:rFonts w:ascii="Times New Roman" w:eastAsia="Times New Roman" w:hAnsi="Times New Roman"/>
          <w:sz w:val="24"/>
          <w:szCs w:val="24"/>
        </w:rPr>
        <w:t>, 41 F.3d 167, 174 (4th Cir. 1994).</w:t>
      </w:r>
      <w:r>
        <w:rPr>
          <w:rFonts w:ascii="Times New Roman" w:eastAsia="Times New Roman" w:hAnsi="Times New Roman"/>
          <w:sz w:val="24"/>
          <w:szCs w:val="24"/>
        </w:rPr>
        <w:t xml:space="preserve">” </w:t>
      </w:r>
      <w:hyperlink r:id="rId2334" w:history="1">
        <w:r w:rsidRPr="00B5148B">
          <w:rPr>
            <w:rStyle w:val="Hyperlink"/>
            <w:rFonts w:ascii="Times New Roman" w:eastAsia="Times New Roman" w:hAnsi="Times New Roman"/>
            <w:sz w:val="24"/>
            <w:szCs w:val="24"/>
          </w:rPr>
          <w:t>https://www.ca4.uscourts.gov/Opinions/201906.U.pdf</w:t>
        </w:r>
      </w:hyperlink>
    </w:p>
    <w:p w14:paraId="415DD84B" w14:textId="77777777" w:rsidR="00506EE7" w:rsidRPr="00CE738F" w:rsidRDefault="00506EE7" w:rsidP="00506EE7">
      <w:pPr>
        <w:spacing w:before="100" w:beforeAutospacing="1" w:after="100" w:afterAutospacing="1" w:line="240" w:lineRule="auto"/>
        <w:rPr>
          <w:rFonts w:ascii="Times New Roman" w:eastAsia="Times New Roman" w:hAnsi="Times New Roman"/>
          <w:b/>
          <w:bCs/>
          <w:sz w:val="24"/>
          <w:szCs w:val="24"/>
        </w:rPr>
      </w:pPr>
      <w:r w:rsidRPr="00FE227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When police use force to restrain a patient, it is particularly important that EMS thoroughly document their actions at that scene, including </w:t>
      </w:r>
      <w:proofErr w:type="gramStart"/>
      <w:r>
        <w:rPr>
          <w:rFonts w:ascii="Times New Roman" w:eastAsia="Times New Roman" w:hAnsi="Times New Roman"/>
          <w:b/>
          <w:bCs/>
          <w:sz w:val="24"/>
          <w:szCs w:val="24"/>
        </w:rPr>
        <w:t>both in</w:t>
      </w:r>
      <w:proofErr w:type="gramEnd"/>
      <w:r>
        <w:rPr>
          <w:rFonts w:ascii="Times New Roman" w:eastAsia="Times New Roman" w:hAnsi="Times New Roman"/>
          <w:b/>
          <w:bCs/>
          <w:sz w:val="24"/>
          <w:szCs w:val="24"/>
        </w:rPr>
        <w:t xml:space="preserve"> assisting the patient and the police. </w:t>
      </w:r>
    </w:p>
    <w:p w14:paraId="44F8C806" w14:textId="171E7822" w:rsidR="00506EE7" w:rsidRDefault="00506EE7" w:rsidP="00506EE7">
      <w:pPr>
        <w:rPr>
          <w:rStyle w:val="Hyperlink"/>
          <w:rFonts w:ascii="Times New Roman" w:eastAsia="Times New Roman" w:hAnsi="Times New Roman"/>
          <w:sz w:val="24"/>
          <w:szCs w:val="24"/>
        </w:rPr>
      </w:pPr>
    </w:p>
    <w:p w14:paraId="06F35DB0" w14:textId="77777777" w:rsidR="00506EE7" w:rsidRDefault="00506EE7" w:rsidP="00506EE7">
      <w:pPr>
        <w:rPr>
          <w:rFonts w:ascii="Arial Black" w:hAnsi="Arial Black"/>
          <w:b/>
          <w:bCs/>
          <w:sz w:val="28"/>
          <w:szCs w:val="28"/>
        </w:rPr>
      </w:pPr>
    </w:p>
    <w:p w14:paraId="7DEEEB5C" w14:textId="71830562" w:rsidR="00687C24" w:rsidRDefault="00687C24" w:rsidP="002B1283">
      <w:pPr>
        <w:rPr>
          <w:rFonts w:ascii="Arial Black" w:hAnsi="Arial Black"/>
          <w:b/>
          <w:bCs/>
          <w:sz w:val="28"/>
          <w:szCs w:val="28"/>
        </w:rPr>
      </w:pPr>
      <w:r>
        <w:rPr>
          <w:rFonts w:ascii="Arial Black" w:hAnsi="Arial Black"/>
          <w:b/>
          <w:bCs/>
          <w:sz w:val="28"/>
          <w:szCs w:val="28"/>
        </w:rPr>
        <w:t>13-98</w:t>
      </w:r>
    </w:p>
    <w:p w14:paraId="575BCC8A" w14:textId="77777777" w:rsidR="00687C24" w:rsidRDefault="00687C24" w:rsidP="00687C24">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LA: OIL WELL EMPLOYEE – STROKE – TPA PROPERLY NOT GIVEN – “LAST KNOWN WELL TIME” BEYOND 4.5 HOURS </w:t>
      </w:r>
    </w:p>
    <w:p w14:paraId="77C2B92C"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Nov. 12, 2021, in </w:t>
      </w:r>
      <w:r w:rsidRPr="00B13AD4">
        <w:rPr>
          <w:rFonts w:ascii="Times New Roman" w:eastAsia="Times New Roman" w:hAnsi="Times New Roman"/>
          <w:sz w:val="24"/>
          <w:szCs w:val="24"/>
          <w:u w:val="single"/>
        </w:rPr>
        <w:t>Daniel Ramirez v. Talos Guld Coast Offshore LLC, et al.</w:t>
      </w:r>
      <w:r>
        <w:rPr>
          <w:rFonts w:ascii="Times New Roman" w:eastAsia="Times New Roman" w:hAnsi="Times New Roman"/>
          <w:sz w:val="24"/>
          <w:szCs w:val="24"/>
        </w:rPr>
        <w:t xml:space="preserve">, Chief U.S. District Court Judge Lee H. Rosenthal, U.S. District Court, Southern District of Texas (Houston Division) granted summary judgment to Talos, since there was no negligence by the Offshore Oil Company, the paramedic on the oil rig, the paramedic on the helicopter which flew him to the hospital, or the physicians who treated him.  </w:t>
      </w:r>
    </w:p>
    <w:p w14:paraId="0446D489" w14:textId="77777777" w:rsidR="00687C24" w:rsidRDefault="00687C24" w:rsidP="00687C24">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C070A">
        <w:rPr>
          <w:rFonts w:ascii="Times New Roman" w:eastAsia="Times New Roman" w:hAnsi="Times New Roman"/>
          <w:sz w:val="24"/>
          <w:szCs w:val="24"/>
        </w:rPr>
        <w:t xml:space="preserve">Ramirez argues that Talos's negligent delay in sending him to the hospital precluded him from getting the tPA treatment, which would have avoided the permanent effects of his stroke. Talos argues that </w:t>
      </w:r>
      <w:r>
        <w:rPr>
          <w:rFonts w:ascii="Times New Roman" w:eastAsia="Times New Roman" w:hAnsi="Times New Roman"/>
          <w:sz w:val="24"/>
          <w:szCs w:val="24"/>
        </w:rPr>
        <w:t>‘</w:t>
      </w:r>
      <w:r w:rsidRPr="008C070A">
        <w:rPr>
          <w:rFonts w:ascii="Times New Roman" w:eastAsia="Times New Roman" w:hAnsi="Times New Roman"/>
          <w:sz w:val="24"/>
          <w:szCs w:val="24"/>
        </w:rPr>
        <w:t>the period to give tPA expired before [Ramirez] even woke up on the [platform]</w:t>
      </w:r>
      <w:r>
        <w:rPr>
          <w:rFonts w:ascii="Times New Roman" w:eastAsia="Times New Roman" w:hAnsi="Times New Roman"/>
          <w:sz w:val="24"/>
          <w:szCs w:val="24"/>
        </w:rPr>
        <w:t>….’ ‘</w:t>
      </w:r>
      <w:r w:rsidRPr="008C070A">
        <w:rPr>
          <w:rFonts w:ascii="Times New Roman" w:eastAsia="Times New Roman" w:hAnsi="Times New Roman"/>
          <w:sz w:val="24"/>
          <w:szCs w:val="24"/>
        </w:rPr>
        <w:t>[T]he treating physicians at WJMC . . . testified that they would never have administered a tPA to [Ramirez]</w:t>
      </w:r>
      <w:r>
        <w:rPr>
          <w:rFonts w:ascii="Times New Roman" w:eastAsia="Times New Roman" w:hAnsi="Times New Roman"/>
          <w:sz w:val="24"/>
          <w:szCs w:val="24"/>
        </w:rPr>
        <w:t>’</w:t>
      </w:r>
      <w:r w:rsidRPr="008C070A">
        <w:rPr>
          <w:rFonts w:ascii="Times New Roman" w:eastAsia="Times New Roman" w:hAnsi="Times New Roman"/>
          <w:sz w:val="24"/>
          <w:szCs w:val="24"/>
        </w:rPr>
        <w:t xml:space="preserve"> even if he somehow could have reached the hospital the </w:t>
      </w:r>
      <w:proofErr w:type="gramStart"/>
      <w:r w:rsidRPr="008C070A">
        <w:rPr>
          <w:rFonts w:ascii="Times New Roman" w:eastAsia="Times New Roman" w:hAnsi="Times New Roman"/>
          <w:sz w:val="24"/>
          <w:szCs w:val="24"/>
        </w:rPr>
        <w:t>minute</w:t>
      </w:r>
      <w:proofErr w:type="gramEnd"/>
      <w:r w:rsidRPr="008C070A">
        <w:rPr>
          <w:rFonts w:ascii="Times New Roman" w:eastAsia="Times New Roman" w:hAnsi="Times New Roman"/>
          <w:sz w:val="24"/>
          <w:szCs w:val="24"/>
        </w:rPr>
        <w:t xml:space="preserve"> he woke up</w:t>
      </w:r>
      <w:r>
        <w:rPr>
          <w:rFonts w:ascii="Times New Roman" w:eastAsia="Times New Roman" w:hAnsi="Times New Roman"/>
          <w:sz w:val="24"/>
          <w:szCs w:val="24"/>
        </w:rPr>
        <w:t xml:space="preserve">…. </w:t>
      </w:r>
      <w:r w:rsidRPr="008C070A">
        <w:rPr>
          <w:rFonts w:ascii="Times New Roman" w:eastAsia="Times New Roman" w:hAnsi="Times New Roman"/>
          <w:sz w:val="24"/>
          <w:szCs w:val="24"/>
        </w:rPr>
        <w:t xml:space="preserve">Talos's conduct had no bearing on whether Ramirez could receive tPA treatment. In short, Talos neither caused nor contributed to the reason Ramirez did not get tPA. </w:t>
      </w:r>
    </w:p>
    <w:p w14:paraId="2C542F83" w14:textId="77777777" w:rsidR="00687C24" w:rsidRDefault="00687C24" w:rsidP="00687C24">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p>
    <w:p w14:paraId="34AF80B8" w14:textId="77777777" w:rsidR="00687C24" w:rsidRDefault="00687C24" w:rsidP="00687C24">
      <w:pPr>
        <w:spacing w:before="100" w:beforeAutospacing="1" w:after="100" w:afterAutospacing="1" w:line="240" w:lineRule="auto"/>
        <w:ind w:left="720"/>
        <w:rPr>
          <w:rFonts w:ascii="Times New Roman" w:hAnsi="Times New Roman"/>
          <w:sz w:val="24"/>
          <w:szCs w:val="24"/>
        </w:rPr>
      </w:pPr>
      <w:r w:rsidRPr="0090643F">
        <w:rPr>
          <w:rFonts w:ascii="Times New Roman" w:hAnsi="Times New Roman"/>
          <w:sz w:val="24"/>
          <w:szCs w:val="24"/>
        </w:rPr>
        <w:t xml:space="preserve">Ramirez was not administered tPA on the helicopter or at the hospital, however, because everyone who treated Ramirez believed that his </w:t>
      </w:r>
      <w:r>
        <w:rPr>
          <w:rFonts w:ascii="Times New Roman" w:hAnsi="Times New Roman"/>
          <w:sz w:val="24"/>
          <w:szCs w:val="24"/>
        </w:rPr>
        <w:t>‘</w:t>
      </w:r>
      <w:r w:rsidRPr="0090643F">
        <w:rPr>
          <w:rFonts w:ascii="Times New Roman" w:hAnsi="Times New Roman"/>
          <w:sz w:val="24"/>
          <w:szCs w:val="24"/>
        </w:rPr>
        <w:t>last known well time</w:t>
      </w:r>
      <w:r>
        <w:rPr>
          <w:rFonts w:ascii="Times New Roman" w:hAnsi="Times New Roman"/>
          <w:sz w:val="24"/>
          <w:szCs w:val="24"/>
        </w:rPr>
        <w:t xml:space="preserve">’ </w:t>
      </w:r>
      <w:r w:rsidRPr="0090643F">
        <w:rPr>
          <w:rFonts w:ascii="Times New Roman" w:hAnsi="Times New Roman"/>
          <w:sz w:val="24"/>
          <w:szCs w:val="24"/>
        </w:rPr>
        <w:t>was around 7:00 p.m. to 7:30 p.m., when Ramirez went to sleep, and not 1:30 a.m., when Ramirez woke up. That put Ramirez over four and a half hours-outside the window to receive tPA.</w:t>
      </w:r>
      <w:r>
        <w:rPr>
          <w:rFonts w:ascii="Times New Roman" w:hAnsi="Times New Roman"/>
          <w:sz w:val="24"/>
          <w:szCs w:val="24"/>
        </w:rPr>
        <w:t xml:space="preserve">” </w:t>
      </w:r>
      <w:hyperlink r:id="rId2335" w:history="1">
        <w:r w:rsidRPr="00316766">
          <w:rPr>
            <w:rStyle w:val="Hyperlink"/>
            <w:rFonts w:ascii="Times New Roman" w:hAnsi="Times New Roman"/>
            <w:sz w:val="24"/>
            <w:szCs w:val="24"/>
          </w:rPr>
          <w:t>https://casetext.com/case/ramirez-v-talos-gulf-coast-offshore-llc</w:t>
        </w:r>
      </w:hyperlink>
      <w:r>
        <w:rPr>
          <w:rFonts w:ascii="Times New Roman" w:hAnsi="Times New Roman"/>
          <w:sz w:val="24"/>
          <w:szCs w:val="24"/>
        </w:rPr>
        <w:t xml:space="preserve"> </w:t>
      </w:r>
    </w:p>
    <w:p w14:paraId="5DBBE3FA" w14:textId="77777777" w:rsidR="00687C24" w:rsidRDefault="00687C24" w:rsidP="00687C24">
      <w:pPr>
        <w:spacing w:before="100" w:beforeAutospacing="1" w:after="100" w:afterAutospacing="1" w:line="240" w:lineRule="auto"/>
        <w:rPr>
          <w:rFonts w:ascii="Times New Roman" w:eastAsia="Times New Roman" w:hAnsi="Times New Roman"/>
          <w:b/>
          <w:bCs/>
          <w:sz w:val="24"/>
          <w:szCs w:val="24"/>
        </w:rPr>
      </w:pPr>
      <w:r w:rsidRPr="004341D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There was no negligence by the employer or anyone else in treatment of the patient. </w:t>
      </w:r>
    </w:p>
    <w:p w14:paraId="70D707FB" w14:textId="77777777" w:rsidR="00687C24" w:rsidRDefault="00687C24" w:rsidP="002B1283">
      <w:pPr>
        <w:rPr>
          <w:rFonts w:ascii="Arial Black" w:hAnsi="Arial Black"/>
          <w:b/>
          <w:bCs/>
          <w:sz w:val="28"/>
          <w:szCs w:val="28"/>
        </w:rPr>
      </w:pPr>
    </w:p>
    <w:p w14:paraId="08666175" w14:textId="77777777" w:rsidR="00687C24" w:rsidRDefault="00687C24" w:rsidP="002B1283">
      <w:pPr>
        <w:rPr>
          <w:rFonts w:ascii="Arial Black" w:hAnsi="Arial Black"/>
          <w:b/>
          <w:bCs/>
          <w:sz w:val="28"/>
          <w:szCs w:val="28"/>
        </w:rPr>
      </w:pPr>
    </w:p>
    <w:p w14:paraId="0A9B7F10" w14:textId="51C83357" w:rsidR="00687C24" w:rsidRDefault="00687C24" w:rsidP="002B1283">
      <w:pPr>
        <w:rPr>
          <w:rFonts w:ascii="Arial Black" w:hAnsi="Arial Black"/>
          <w:b/>
          <w:bCs/>
          <w:sz w:val="28"/>
          <w:szCs w:val="28"/>
        </w:rPr>
      </w:pPr>
      <w:r>
        <w:rPr>
          <w:rFonts w:ascii="Arial Black" w:hAnsi="Arial Black"/>
          <w:b/>
          <w:bCs/>
          <w:sz w:val="28"/>
          <w:szCs w:val="28"/>
        </w:rPr>
        <w:t>13-97</w:t>
      </w:r>
    </w:p>
    <w:p w14:paraId="2CB255B9" w14:textId="77777777" w:rsidR="00687C24" w:rsidRDefault="00687C24" w:rsidP="00687C2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EMS POSTED PHOTOS SNAPCHAT – PATIENT’S SEVERED HAND / ARM - FED. CASE DISMISSED, SUE IN STATE COURT</w:t>
      </w:r>
    </w:p>
    <w:p w14:paraId="508F6955"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sidRPr="00E057FE">
        <w:rPr>
          <w:rFonts w:ascii="Times New Roman" w:eastAsia="Times New Roman" w:hAnsi="Times New Roman"/>
          <w:sz w:val="24"/>
          <w:szCs w:val="24"/>
        </w:rPr>
        <w:t xml:space="preserve">On </w:t>
      </w:r>
      <w:r>
        <w:rPr>
          <w:rFonts w:ascii="Times New Roman" w:eastAsia="Times New Roman" w:hAnsi="Times New Roman"/>
          <w:sz w:val="24"/>
          <w:szCs w:val="24"/>
        </w:rPr>
        <w:t xml:space="preserve">Nov. 2, 2021, in </w:t>
      </w:r>
      <w:r w:rsidRPr="00E057FE">
        <w:rPr>
          <w:rFonts w:ascii="Times New Roman" w:eastAsia="Times New Roman" w:hAnsi="Times New Roman"/>
          <w:sz w:val="24"/>
          <w:szCs w:val="24"/>
          <w:u w:val="single"/>
        </w:rPr>
        <w:t>Omero Ortiz v. Anthony Renteria, Christopher Calhoun, Town of Cicero, and Metro Paramedic Services, Inc</w:t>
      </w:r>
      <w:r>
        <w:rPr>
          <w:rFonts w:ascii="Times New Roman" w:eastAsia="Times New Roman" w:hAnsi="Times New Roman"/>
          <w:sz w:val="24"/>
          <w:szCs w:val="24"/>
        </w:rPr>
        <w:t>., U.S. District Court Judge Gary Feinerman, U.S. District Court for Northern District of Illinois (Eastern Division) granted the Town of Cicero’s motion to dismiss and also dismissed the paramedics and their employer from the Federal lawsuit.  Plaintiff sued for violation of Due Process under 14</w:t>
      </w:r>
      <w:r w:rsidRPr="00287339">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Amendment, alleging the paramedics </w:t>
      </w:r>
      <w:r w:rsidRPr="00287339">
        <w:rPr>
          <w:rFonts w:ascii="Times New Roman" w:hAnsi="Times New Roman"/>
          <w:sz w:val="24"/>
          <w:szCs w:val="24"/>
        </w:rPr>
        <w:t xml:space="preserve">violated his </w:t>
      </w:r>
      <w:r>
        <w:rPr>
          <w:rFonts w:ascii="Times New Roman" w:hAnsi="Times New Roman"/>
          <w:sz w:val="24"/>
          <w:szCs w:val="24"/>
        </w:rPr>
        <w:t>“</w:t>
      </w:r>
      <w:r w:rsidRPr="00287339">
        <w:rPr>
          <w:rFonts w:ascii="Times New Roman" w:hAnsi="Times New Roman"/>
          <w:sz w:val="24"/>
          <w:szCs w:val="24"/>
        </w:rPr>
        <w:t>right to medical privacy</w:t>
      </w:r>
      <w:r>
        <w:rPr>
          <w:rFonts w:ascii="Times New Roman" w:hAnsi="Times New Roman"/>
          <w:sz w:val="24"/>
          <w:szCs w:val="24"/>
        </w:rPr>
        <w:t xml:space="preserve">,” but they never disclosed the patient’s name.  When </w:t>
      </w:r>
      <w:r>
        <w:rPr>
          <w:rFonts w:ascii="Times New Roman" w:eastAsia="Times New Roman" w:hAnsi="Times New Roman"/>
          <w:sz w:val="24"/>
          <w:szCs w:val="24"/>
        </w:rPr>
        <w:t xml:space="preserve">the paramedics posted photos of the patient’s severed left hand and left arm on Snapchat, they included a comment, “Feeling Blessed” along with </w:t>
      </w:r>
      <w:r w:rsidRPr="00C747D8">
        <w:rPr>
          <w:rFonts w:ascii="Times New Roman" w:hAnsi="Times New Roman"/>
          <w:sz w:val="24"/>
          <w:szCs w:val="24"/>
        </w:rPr>
        <w:t>several emojis</w:t>
      </w:r>
      <w:r>
        <w:rPr>
          <w:rFonts w:ascii="Times New Roman" w:hAnsi="Times New Roman"/>
          <w:sz w:val="24"/>
          <w:szCs w:val="24"/>
        </w:rPr>
        <w:t xml:space="preserve">.  </w:t>
      </w:r>
      <w:r>
        <w:rPr>
          <w:rFonts w:ascii="Times New Roman" w:eastAsia="Times New Roman" w:hAnsi="Times New Roman"/>
          <w:sz w:val="24"/>
          <w:szCs w:val="24"/>
        </w:rPr>
        <w:t xml:space="preserve">The plaintiff now has one year to file lawsuit in State court. </w:t>
      </w:r>
    </w:p>
    <w:p w14:paraId="28C8B487" w14:textId="77777777" w:rsidR="00687C24" w:rsidRDefault="00687C24" w:rsidP="00687C24">
      <w:pPr>
        <w:spacing w:before="100" w:beforeAutospacing="1" w:after="100" w:afterAutospacing="1" w:line="240" w:lineRule="auto"/>
        <w:ind w:left="720"/>
        <w:rPr>
          <w:rFonts w:ascii="Times New Roman" w:hAnsi="Times New Roman"/>
          <w:sz w:val="24"/>
          <w:szCs w:val="24"/>
        </w:rPr>
      </w:pPr>
      <w:r w:rsidRPr="00D561C5">
        <w:rPr>
          <w:rFonts w:ascii="Times New Roman" w:hAnsi="Times New Roman"/>
          <w:sz w:val="24"/>
          <w:szCs w:val="24"/>
        </w:rPr>
        <w:t xml:space="preserve">“Cicero does not argue that the public interest justified Renteria and Calhoun's publication of the photographs of his injuries on Snapchat. Thus, the question whether Ortiz states a due process medical privacy claim turns on whether the photographs disclosed his private medical information. To support his view that they did, Ortiz observes </w:t>
      </w:r>
      <w:r>
        <w:rPr>
          <w:rFonts w:ascii="Times New Roman" w:hAnsi="Times New Roman"/>
          <w:sz w:val="24"/>
          <w:szCs w:val="24"/>
        </w:rPr>
        <w:t>‘</w:t>
      </w:r>
      <w:r w:rsidRPr="00D561C5">
        <w:rPr>
          <w:rFonts w:ascii="Times New Roman" w:hAnsi="Times New Roman"/>
          <w:sz w:val="24"/>
          <w:szCs w:val="24"/>
        </w:rPr>
        <w:t>that he suffered a horrific accident that caused him great bodily harm, in which his arm was amputated from his body,</w:t>
      </w:r>
      <w:r>
        <w:rPr>
          <w:rFonts w:ascii="Times New Roman" w:hAnsi="Times New Roman"/>
          <w:sz w:val="24"/>
          <w:szCs w:val="24"/>
        </w:rPr>
        <w:t xml:space="preserve">’ </w:t>
      </w:r>
      <w:r w:rsidRPr="00D561C5">
        <w:rPr>
          <w:rFonts w:ascii="Times New Roman" w:hAnsi="Times New Roman"/>
          <w:sz w:val="24"/>
          <w:szCs w:val="24"/>
        </w:rPr>
        <w:t xml:space="preserve">and contends that Renteria and Calhoun's posting of the photographs violated </w:t>
      </w:r>
      <w:r>
        <w:rPr>
          <w:rFonts w:ascii="Times New Roman" w:hAnsi="Times New Roman"/>
          <w:sz w:val="24"/>
          <w:szCs w:val="24"/>
        </w:rPr>
        <w:t>‘</w:t>
      </w:r>
      <w:r w:rsidRPr="00D561C5">
        <w:rPr>
          <w:rFonts w:ascii="Times New Roman" w:hAnsi="Times New Roman"/>
          <w:sz w:val="24"/>
          <w:szCs w:val="24"/>
        </w:rPr>
        <w:t>his fundamental right to privacy of his medical condition, i.e.[, ] the unintentional amputation of his arm</w:t>
      </w:r>
      <w:r>
        <w:rPr>
          <w:rFonts w:ascii="Times New Roman" w:hAnsi="Times New Roman"/>
          <w:sz w:val="24"/>
          <w:szCs w:val="24"/>
        </w:rPr>
        <w:t xml:space="preserve">….’ </w:t>
      </w:r>
      <w:r w:rsidRPr="00D561C5">
        <w:rPr>
          <w:rFonts w:ascii="Times New Roman" w:hAnsi="Times New Roman"/>
          <w:sz w:val="24"/>
          <w:szCs w:val="24"/>
        </w:rPr>
        <w:t>Ortiz's submission is unpersuasive.</w:t>
      </w:r>
    </w:p>
    <w:p w14:paraId="36C25FEF" w14:textId="77777777" w:rsidR="00687C24" w:rsidRDefault="00687C24" w:rsidP="00687C24">
      <w:pPr>
        <w:pStyle w:val="paragraph"/>
        <w:ind w:left="720"/>
      </w:pPr>
      <w:r>
        <w:t xml:space="preserve">First, the fact that Ortiz was harmed in a ‘horrific accident’ is not private medical information because it is not </w:t>
      </w:r>
      <w:r>
        <w:rPr>
          <w:i/>
          <w:iCs/>
        </w:rPr>
        <w:t>medical</w:t>
      </w:r>
      <w:r>
        <w:t xml:space="preserve">. Rather, it concerned a traumatic event-akin to a traffic accident, or a shooting-and the consequences of that event-akin to a broken arm caused by a traffic accident, or a bullet wound caused by a shooting. </w:t>
      </w:r>
    </w:p>
    <w:p w14:paraId="59E712D6" w14:textId="77777777" w:rsidR="00687C24" w:rsidRPr="00D561C5" w:rsidRDefault="00687C24" w:rsidP="00687C24">
      <w:pPr>
        <w:spacing w:before="100" w:beforeAutospacing="1" w:after="100" w:afterAutospacing="1" w:line="240" w:lineRule="auto"/>
        <w:ind w:left="720"/>
        <w:rPr>
          <w:rFonts w:ascii="Times New Roman" w:hAnsi="Times New Roman"/>
          <w:sz w:val="24"/>
          <w:szCs w:val="24"/>
        </w:rPr>
      </w:pPr>
      <w:r w:rsidRPr="00D561C5">
        <w:rPr>
          <w:rFonts w:ascii="Times New Roman" w:hAnsi="Times New Roman"/>
          <w:sz w:val="24"/>
          <w:szCs w:val="24"/>
        </w:rPr>
        <w:t xml:space="preserve">Second, at least on the facts alleged, the fact that Ortiz lost his left arm is not private medical information because it is not </w:t>
      </w:r>
      <w:r w:rsidRPr="00D561C5">
        <w:rPr>
          <w:rFonts w:ascii="Times New Roman" w:hAnsi="Times New Roman"/>
          <w:i/>
          <w:iCs/>
          <w:sz w:val="24"/>
          <w:szCs w:val="24"/>
        </w:rPr>
        <w:t>private</w:t>
      </w:r>
      <w:r w:rsidRPr="00D561C5">
        <w:rPr>
          <w:rFonts w:ascii="Times New Roman" w:hAnsi="Times New Roman"/>
          <w:sz w:val="24"/>
          <w:szCs w:val="24"/>
        </w:rPr>
        <w:t>. As the Seventh Circuit has explained, ‘the existence and extent of constitutional protection for confidential information [turns on] the type of information involved and the reasonable expectation that that information would remain confidential,’ and ‘medical information may be a form of protected confidential information because of its intimate and personal nature</w:t>
      </w:r>
      <w:r>
        <w:rPr>
          <w:rFonts w:ascii="Times New Roman" w:hAnsi="Times New Roman"/>
          <w:sz w:val="24"/>
          <w:szCs w:val="24"/>
        </w:rPr>
        <w:t>….’</w:t>
      </w:r>
      <w:r w:rsidRPr="00D561C5">
        <w:rPr>
          <w:rFonts w:ascii="Times New Roman" w:hAnsi="Times New Roman"/>
          <w:i/>
          <w:iCs/>
          <w:sz w:val="24"/>
          <w:szCs w:val="24"/>
        </w:rPr>
        <w:t xml:space="preserve"> </w:t>
      </w:r>
      <w:r w:rsidRPr="00D561C5">
        <w:rPr>
          <w:rFonts w:ascii="Times New Roman" w:hAnsi="Times New Roman"/>
          <w:sz w:val="24"/>
          <w:szCs w:val="24"/>
        </w:rPr>
        <w:t xml:space="preserve">That Ortiz lost his left arm may be medical information, but it is not private medical information, as it is a readily observable condition. Ortiz does not allege that he considers his lost arm </w:t>
      </w:r>
      <w:r w:rsidRPr="00D561C5">
        <w:rPr>
          <w:rFonts w:ascii="Times New Roman" w:hAnsi="Times New Roman"/>
          <w:i/>
          <w:iCs/>
          <w:sz w:val="24"/>
          <w:szCs w:val="24"/>
        </w:rPr>
        <w:t>itself</w:t>
      </w:r>
      <w:r w:rsidRPr="00D561C5">
        <w:rPr>
          <w:rFonts w:ascii="Times New Roman" w:hAnsi="Times New Roman"/>
          <w:sz w:val="24"/>
          <w:szCs w:val="24"/>
        </w:rPr>
        <w:t xml:space="preserve">-as opposed to the fact that he lost his arm in a fireworks accident-to be private, nor does he allege that he </w:t>
      </w:r>
      <w:r w:rsidRPr="00D561C5">
        <w:rPr>
          <w:rFonts w:ascii="Times New Roman" w:hAnsi="Times New Roman"/>
          <w:i/>
          <w:iCs/>
          <w:sz w:val="24"/>
          <w:szCs w:val="24"/>
        </w:rPr>
        <w:t>could</w:t>
      </w:r>
      <w:r w:rsidRPr="00D561C5">
        <w:rPr>
          <w:rFonts w:ascii="Times New Roman" w:hAnsi="Times New Roman"/>
          <w:sz w:val="24"/>
          <w:szCs w:val="24"/>
        </w:rPr>
        <w:t xml:space="preserve"> keep private the fact of his lost arm or even that he has any desire to do so.” </w:t>
      </w:r>
      <w:hyperlink r:id="rId2336" w:history="1">
        <w:r w:rsidRPr="00D561C5">
          <w:rPr>
            <w:rStyle w:val="Hyperlink"/>
            <w:rFonts w:ascii="Times New Roman" w:hAnsi="Times New Roman"/>
            <w:sz w:val="24"/>
            <w:szCs w:val="24"/>
          </w:rPr>
          <w:t>https://casetext.com/case/ortiz-v-renteria</w:t>
        </w:r>
      </w:hyperlink>
      <w:r w:rsidRPr="00D561C5">
        <w:rPr>
          <w:rFonts w:ascii="Times New Roman" w:hAnsi="Times New Roman"/>
          <w:sz w:val="24"/>
          <w:szCs w:val="24"/>
        </w:rPr>
        <w:t xml:space="preserve"> </w:t>
      </w:r>
    </w:p>
    <w:p w14:paraId="527482E2" w14:textId="77777777" w:rsidR="00687C24" w:rsidRDefault="00687C24" w:rsidP="00687C24">
      <w:pPr>
        <w:spacing w:before="100" w:beforeAutospacing="1" w:after="100" w:afterAutospacing="1" w:line="240" w:lineRule="auto"/>
        <w:rPr>
          <w:rFonts w:ascii="Times New Roman" w:eastAsia="Times New Roman" w:hAnsi="Times New Roman"/>
          <w:b/>
          <w:bCs/>
          <w:sz w:val="24"/>
          <w:szCs w:val="24"/>
        </w:rPr>
      </w:pPr>
      <w:r w:rsidRPr="00AE29E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EMS departments should have a policy prohibiting photographs of patients except for </w:t>
      </w:r>
      <w:proofErr w:type="gramStart"/>
      <w:r>
        <w:rPr>
          <w:rFonts w:ascii="Times New Roman" w:eastAsia="Times New Roman" w:hAnsi="Times New Roman"/>
          <w:b/>
          <w:bCs/>
          <w:sz w:val="24"/>
          <w:szCs w:val="24"/>
        </w:rPr>
        <w:t>those</w:t>
      </w:r>
      <w:proofErr w:type="gramEnd"/>
      <w:r>
        <w:rPr>
          <w:rFonts w:ascii="Times New Roman" w:eastAsia="Times New Roman" w:hAnsi="Times New Roman"/>
          <w:b/>
          <w:bCs/>
          <w:sz w:val="24"/>
          <w:szCs w:val="24"/>
        </w:rPr>
        <w:t xml:space="preserve"> needed to show </w:t>
      </w:r>
      <w:proofErr w:type="gramStart"/>
      <w:r>
        <w:rPr>
          <w:rFonts w:ascii="Times New Roman" w:eastAsia="Times New Roman" w:hAnsi="Times New Roman"/>
          <w:b/>
          <w:bCs/>
          <w:sz w:val="24"/>
          <w:szCs w:val="24"/>
        </w:rPr>
        <w:t>mechanism of injury</w:t>
      </w:r>
      <w:proofErr w:type="gramEnd"/>
      <w:r>
        <w:rPr>
          <w:rFonts w:ascii="Times New Roman" w:eastAsia="Times New Roman" w:hAnsi="Times New Roman"/>
          <w:b/>
          <w:bCs/>
          <w:sz w:val="24"/>
          <w:szCs w:val="24"/>
        </w:rPr>
        <w:t xml:space="preserve"> or other medical </w:t>
      </w:r>
      <w:proofErr w:type="gramStart"/>
      <w:r>
        <w:rPr>
          <w:rFonts w:ascii="Times New Roman" w:eastAsia="Times New Roman" w:hAnsi="Times New Roman"/>
          <w:b/>
          <w:bCs/>
          <w:sz w:val="24"/>
          <w:szCs w:val="24"/>
        </w:rPr>
        <w:t>reason</w:t>
      </w:r>
      <w:proofErr w:type="gramEnd"/>
      <w:r>
        <w:rPr>
          <w:rFonts w:ascii="Times New Roman" w:eastAsia="Times New Roman" w:hAnsi="Times New Roman"/>
          <w:b/>
          <w:bCs/>
          <w:sz w:val="24"/>
          <w:szCs w:val="24"/>
        </w:rPr>
        <w:t>, with copy only provided to hospital and the department.</w:t>
      </w:r>
    </w:p>
    <w:p w14:paraId="5ACDE68D" w14:textId="77777777" w:rsidR="00687C24" w:rsidRPr="00FD4A5B" w:rsidRDefault="00687C24" w:rsidP="00687C24">
      <w:pPr>
        <w:spacing w:before="100" w:beforeAutospacing="1" w:after="100" w:afterAutospacing="1" w:line="240" w:lineRule="auto"/>
        <w:ind w:left="720"/>
        <w:rPr>
          <w:rFonts w:ascii="Times New Roman" w:eastAsia="Times New Roman" w:hAnsi="Times New Roman"/>
          <w:b/>
          <w:bCs/>
          <w:sz w:val="24"/>
          <w:szCs w:val="24"/>
        </w:rPr>
      </w:pPr>
      <w:r w:rsidRPr="00FD4A5B">
        <w:rPr>
          <w:rFonts w:ascii="Times New Roman" w:hAnsi="Times New Roman"/>
          <w:sz w:val="24"/>
          <w:szCs w:val="24"/>
        </w:rPr>
        <w:t xml:space="preserve">Note: Nov. 2, 2021: “Los Angeles County approves $2.5 million settlement for two families over Kobe Bryant crash photos.” </w:t>
      </w:r>
      <w:hyperlink r:id="rId2337" w:history="1">
        <w:r w:rsidRPr="00FD4A5B">
          <w:rPr>
            <w:rStyle w:val="Hyperlink"/>
            <w:rFonts w:ascii="Times New Roman" w:hAnsi="Times New Roman"/>
            <w:sz w:val="24"/>
            <w:szCs w:val="24"/>
          </w:rPr>
          <w:t>https://www.cbsnews.com/news/los-angeles-settlement-families-photos-kobe-bryant-helicopter-crash/</w:t>
        </w:r>
      </w:hyperlink>
    </w:p>
    <w:p w14:paraId="3B61A98D" w14:textId="77777777" w:rsidR="00687C24" w:rsidRDefault="00687C24" w:rsidP="002B1283">
      <w:pPr>
        <w:rPr>
          <w:rFonts w:ascii="Arial Black" w:hAnsi="Arial Black"/>
          <w:b/>
          <w:bCs/>
          <w:sz w:val="28"/>
          <w:szCs w:val="28"/>
        </w:rPr>
      </w:pPr>
    </w:p>
    <w:p w14:paraId="45B0DB2A" w14:textId="77777777" w:rsidR="00687C24" w:rsidRDefault="00687C24" w:rsidP="002B1283">
      <w:pPr>
        <w:rPr>
          <w:rFonts w:ascii="Arial Black" w:hAnsi="Arial Black"/>
          <w:b/>
          <w:bCs/>
          <w:sz w:val="28"/>
          <w:szCs w:val="28"/>
        </w:rPr>
      </w:pPr>
    </w:p>
    <w:p w14:paraId="119EF7FA" w14:textId="77777777" w:rsidR="00687C24" w:rsidRDefault="00687C24" w:rsidP="002B1283">
      <w:pPr>
        <w:rPr>
          <w:rFonts w:ascii="Arial Black" w:hAnsi="Arial Black"/>
          <w:b/>
          <w:bCs/>
          <w:sz w:val="28"/>
          <w:szCs w:val="28"/>
        </w:rPr>
      </w:pPr>
    </w:p>
    <w:p w14:paraId="272A8D44" w14:textId="121B0A66" w:rsidR="00885321" w:rsidRDefault="00885321"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6</w:t>
      </w:r>
    </w:p>
    <w:p w14:paraId="0D8AB1B4" w14:textId="77777777" w:rsidR="00885321" w:rsidRPr="00C04A42" w:rsidRDefault="00885321" w:rsidP="0088532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PATIENTS CARDIAC / STROKE ISSUES – CANNOT FORCE EMS TAKE TO HOSP. WERE THEIR MDs HAVE PRIVILEGES</w:t>
      </w:r>
    </w:p>
    <w:p w14:paraId="1CD0039C" w14:textId="77777777" w:rsidR="00885321" w:rsidRPr="000D1A3B" w:rsidRDefault="00885321" w:rsidP="00885321">
      <w:pPr>
        <w:spacing w:before="100" w:beforeAutospacing="1" w:after="100" w:afterAutospacing="1" w:line="240" w:lineRule="auto"/>
        <w:rPr>
          <w:rFonts w:ascii="Times New Roman" w:eastAsia="Times New Roman" w:hAnsi="Times New Roman"/>
          <w:sz w:val="24"/>
          <w:szCs w:val="24"/>
        </w:rPr>
      </w:pPr>
      <w:r w:rsidRPr="00C04A42">
        <w:rPr>
          <w:rFonts w:ascii="Times New Roman" w:eastAsia="Times New Roman" w:hAnsi="Times New Roman"/>
          <w:sz w:val="24"/>
          <w:szCs w:val="24"/>
        </w:rPr>
        <w:t xml:space="preserve">On </w:t>
      </w:r>
      <w:r>
        <w:rPr>
          <w:rFonts w:ascii="Times New Roman" w:eastAsia="Times New Roman" w:hAnsi="Times New Roman"/>
          <w:sz w:val="24"/>
          <w:szCs w:val="24"/>
        </w:rPr>
        <w:t xml:space="preserve">Nov. 1, 2021, in </w:t>
      </w:r>
      <w:r w:rsidRPr="000D1A3B">
        <w:rPr>
          <w:rFonts w:ascii="Times New Roman" w:eastAsia="Times New Roman" w:hAnsi="Times New Roman"/>
          <w:sz w:val="24"/>
          <w:szCs w:val="24"/>
          <w:u w:val="single"/>
        </w:rPr>
        <w:t>Davin Warren, et al., v. County of Sacramento</w:t>
      </w:r>
      <w:r>
        <w:rPr>
          <w:rFonts w:ascii="Times New Roman" w:eastAsia="Times New Roman" w:hAnsi="Times New Roman"/>
          <w:sz w:val="24"/>
          <w:szCs w:val="24"/>
        </w:rPr>
        <w:t xml:space="preserve">, the California Court of Appeals, Third District (Sacramento) held (3 to 0; unpublished decision) that the trial court properly granted summary judgment to the County. While sympathetic that they have suffered numerous cardiac </w:t>
      </w:r>
      <w:proofErr w:type="gramStart"/>
      <w:r>
        <w:rPr>
          <w:rFonts w:ascii="Times New Roman" w:eastAsia="Times New Roman" w:hAnsi="Times New Roman"/>
          <w:sz w:val="24"/>
          <w:szCs w:val="24"/>
        </w:rPr>
        <w:t>incident</w:t>
      </w:r>
      <w:proofErr w:type="gramEnd"/>
      <w:r>
        <w:rPr>
          <w:rFonts w:ascii="Times New Roman" w:eastAsia="Times New Roman" w:hAnsi="Times New Roman"/>
          <w:sz w:val="24"/>
          <w:szCs w:val="24"/>
        </w:rPr>
        <w:t xml:space="preserve"> and are at significant risk of stroke, they had no right under California law to force the ambulance to take them only to </w:t>
      </w:r>
      <w:r w:rsidRPr="000D1A3B">
        <w:rPr>
          <w:rFonts w:ascii="Times New Roman" w:hAnsi="Times New Roman"/>
          <w:sz w:val="24"/>
          <w:szCs w:val="24"/>
        </w:rPr>
        <w:t>University of California Davis Medical Center</w:t>
      </w:r>
      <w:r>
        <w:rPr>
          <w:rFonts w:ascii="Times New Roman" w:hAnsi="Times New Roman"/>
          <w:sz w:val="24"/>
          <w:szCs w:val="24"/>
        </w:rPr>
        <w:t xml:space="preserve"> where their treating physicians had medical privileges.  The Medical Director of the County EMS determined that </w:t>
      </w:r>
      <w:r w:rsidRPr="00D7646F">
        <w:rPr>
          <w:rFonts w:ascii="Times New Roman" w:hAnsi="Times New Roman"/>
          <w:sz w:val="24"/>
          <w:szCs w:val="24"/>
        </w:rPr>
        <w:t xml:space="preserve">Mercy San Juan </w:t>
      </w:r>
      <w:r>
        <w:rPr>
          <w:rFonts w:ascii="Times New Roman" w:hAnsi="Times New Roman"/>
          <w:sz w:val="24"/>
          <w:szCs w:val="24"/>
        </w:rPr>
        <w:t xml:space="preserve">Hospital </w:t>
      </w:r>
      <w:r w:rsidRPr="00D7646F">
        <w:rPr>
          <w:rFonts w:ascii="Times New Roman" w:hAnsi="Times New Roman"/>
          <w:sz w:val="24"/>
          <w:szCs w:val="24"/>
        </w:rPr>
        <w:t>had a higher certification for stroke care than UC Davis</w:t>
      </w:r>
      <w:r>
        <w:rPr>
          <w:rFonts w:ascii="Times New Roman" w:hAnsi="Times New Roman"/>
          <w:sz w:val="24"/>
          <w:szCs w:val="24"/>
        </w:rPr>
        <w:t xml:space="preserve">, and they have been properly transported to Mercy San Juan last three emergency transports. They </w:t>
      </w:r>
      <w:proofErr w:type="gramStart"/>
      <w:r>
        <w:rPr>
          <w:rFonts w:ascii="Times New Roman" w:hAnsi="Times New Roman"/>
          <w:sz w:val="24"/>
          <w:szCs w:val="24"/>
        </w:rPr>
        <w:t>always have</w:t>
      </w:r>
      <w:proofErr w:type="gramEnd"/>
      <w:r>
        <w:rPr>
          <w:rFonts w:ascii="Times New Roman" w:hAnsi="Times New Roman"/>
          <w:sz w:val="24"/>
          <w:szCs w:val="24"/>
        </w:rPr>
        <w:t xml:space="preserve"> right to arrange their own transport to UC Davis. </w:t>
      </w:r>
    </w:p>
    <w:p w14:paraId="73273A81" w14:textId="77777777" w:rsidR="00885321" w:rsidRDefault="00885321" w:rsidP="00885321">
      <w:pPr>
        <w:pStyle w:val="NormalWeb"/>
        <w:ind w:left="720" w:firstLine="60"/>
      </w:pPr>
      <w:r>
        <w:t>“Does the right to privacy include the individual's right to determine which hospital emergency room an ambulance will take the person to during a medical emergency? The trial court in this case found no such right of privacy exists and entered a judgment against plaintiffs and appellants David Warren and Kathryn C. Warren.</w:t>
      </w:r>
    </w:p>
    <w:p w14:paraId="42FC67F7" w14:textId="77777777" w:rsidR="00885321" w:rsidRDefault="00885321" w:rsidP="00885321">
      <w:pPr>
        <w:pStyle w:val="NormalWeb"/>
        <w:ind w:left="720" w:firstLine="60"/>
        <w:rPr>
          <w:b/>
          <w:bCs/>
        </w:rPr>
      </w:pPr>
      <w:r>
        <w:t>***</w:t>
      </w:r>
    </w:p>
    <w:p w14:paraId="682D475E" w14:textId="77777777" w:rsidR="00885321" w:rsidRDefault="00885321" w:rsidP="00885321">
      <w:pPr>
        <w:pStyle w:val="NormalWeb"/>
        <w:ind w:left="720"/>
      </w:pPr>
      <w:r>
        <w:t xml:space="preserve">[W]e </w:t>
      </w:r>
      <w:proofErr w:type="gramStart"/>
      <w:r>
        <w:t>conclude</w:t>
      </w:r>
      <w:proofErr w:type="gramEnd"/>
      <w:r>
        <w:t xml:space="preserve"> that the right to privacy does not encompass </w:t>
      </w:r>
      <w:proofErr w:type="gramStart"/>
      <w:r>
        <w:t>a right</w:t>
      </w:r>
      <w:proofErr w:type="gramEnd"/>
      <w:r>
        <w:t xml:space="preserve"> to direct an ambulance to the emergency room of one's choice during a medical emergency. We shall affirm the judgment.” </w:t>
      </w:r>
      <w:hyperlink r:id="rId2338" w:history="1">
        <w:r w:rsidRPr="00F67801">
          <w:rPr>
            <w:rStyle w:val="Hyperlink"/>
          </w:rPr>
          <w:t>https://casetext.com/case/warren-v-cnty-of-sacramento</w:t>
        </w:r>
      </w:hyperlink>
      <w:r>
        <w:t xml:space="preserve"> </w:t>
      </w:r>
    </w:p>
    <w:p w14:paraId="5ECEFEFD" w14:textId="77777777" w:rsidR="00687C24" w:rsidRPr="00F8175A" w:rsidRDefault="00687C24" w:rsidP="00687C24">
      <w:pPr>
        <w:pStyle w:val="NormalWeb"/>
        <w:rPr>
          <w:b/>
          <w:bCs/>
        </w:rPr>
      </w:pPr>
      <w:r w:rsidRPr="00F8175A">
        <w:rPr>
          <w:b/>
          <w:bCs/>
        </w:rPr>
        <w:t>Legal Lesson Learned:</w:t>
      </w:r>
      <w:r>
        <w:rPr>
          <w:b/>
          <w:bCs/>
        </w:rPr>
        <w:t xml:space="preserve"> In a medical emergency, EMS </w:t>
      </w:r>
      <w:proofErr w:type="gramStart"/>
      <w:r>
        <w:rPr>
          <w:b/>
          <w:bCs/>
        </w:rPr>
        <w:t>have</w:t>
      </w:r>
      <w:proofErr w:type="gramEnd"/>
      <w:r>
        <w:rPr>
          <w:b/>
          <w:bCs/>
        </w:rPr>
        <w:t xml:space="preserve"> right to take a patient to the most appropriate hospital. </w:t>
      </w:r>
    </w:p>
    <w:p w14:paraId="164C70A9" w14:textId="77777777" w:rsidR="00885321" w:rsidRDefault="00885321" w:rsidP="002B1283">
      <w:pPr>
        <w:rPr>
          <w:rFonts w:ascii="Arial Black" w:hAnsi="Arial Black"/>
          <w:b/>
          <w:bCs/>
          <w:sz w:val="28"/>
          <w:szCs w:val="28"/>
        </w:rPr>
      </w:pPr>
    </w:p>
    <w:p w14:paraId="36B85422" w14:textId="77777777" w:rsidR="00885321" w:rsidRDefault="00885321" w:rsidP="002B1283">
      <w:pPr>
        <w:rPr>
          <w:rFonts w:ascii="Arial Black" w:hAnsi="Arial Black"/>
          <w:b/>
          <w:bCs/>
          <w:sz w:val="28"/>
          <w:szCs w:val="28"/>
        </w:rPr>
      </w:pPr>
    </w:p>
    <w:p w14:paraId="58362567" w14:textId="744FC24F" w:rsidR="00774A91" w:rsidRDefault="00774A91"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5</w:t>
      </w:r>
    </w:p>
    <w:p w14:paraId="68F7BA5D" w14:textId="77777777" w:rsidR="00774A91" w:rsidRDefault="00774A91" w:rsidP="00774A9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AL: EMT WITNESS FOR FED. GOVT – WAS CALLED TO COUNTY JAIL - POLICE LIEUTENANT CONVICTED </w:t>
      </w:r>
    </w:p>
    <w:p w14:paraId="02B5794D" w14:textId="77777777" w:rsidR="00774A91" w:rsidRPr="00E01A44" w:rsidRDefault="00774A91" w:rsidP="00774A9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25, 2021, in </w:t>
      </w:r>
      <w:r w:rsidRPr="00092366">
        <w:rPr>
          <w:rFonts w:ascii="Times New Roman" w:eastAsia="Times New Roman" w:hAnsi="Times New Roman"/>
          <w:sz w:val="24"/>
          <w:szCs w:val="24"/>
          <w:u w:val="single"/>
        </w:rPr>
        <w:t>United States of America v. Alex Huntley</w:t>
      </w:r>
      <w:r>
        <w:rPr>
          <w:rFonts w:ascii="Times New Roman" w:eastAsia="Times New Roman" w:hAnsi="Times New Roman"/>
          <w:sz w:val="24"/>
          <w:szCs w:val="24"/>
        </w:rPr>
        <w:t>, the U.S. Court of Appeals for the 11</w:t>
      </w:r>
      <w:r w:rsidRPr="00092366">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(Atlanta, GA) held (3 to 0; unpublished opinion) that federal jury properly convicted former lieutenant of the Tuskegee, Alabama police department of </w:t>
      </w:r>
      <w:r w:rsidRPr="00092366">
        <w:rPr>
          <w:rFonts w:ascii="Times New Roman" w:hAnsi="Times New Roman"/>
          <w:sz w:val="24"/>
          <w:szCs w:val="24"/>
        </w:rPr>
        <w:t>deprivation of rights under color of law resulting in bodily injury, in violation of 18 U.S.C. § 242.</w:t>
      </w:r>
      <w:r>
        <w:rPr>
          <w:rFonts w:ascii="Times New Roman" w:hAnsi="Times New Roman"/>
          <w:sz w:val="24"/>
          <w:szCs w:val="24"/>
        </w:rPr>
        <w:t xml:space="preserve"> </w:t>
      </w:r>
      <w:r w:rsidRPr="00E01A44">
        <w:rPr>
          <w:rStyle w:val="markedcontent"/>
          <w:rFonts w:ascii="Times New Roman" w:hAnsi="Times New Roman"/>
          <w:sz w:val="24"/>
          <w:szCs w:val="24"/>
        </w:rPr>
        <w:t>Huntley was sentenced to 36 months’ imprisonment and three years’ supervised release.</w:t>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p>
    <w:p w14:paraId="06FB2796"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92366">
        <w:rPr>
          <w:rFonts w:ascii="Times New Roman" w:eastAsia="Times New Roman" w:hAnsi="Times New Roman"/>
          <w:sz w:val="24"/>
          <w:szCs w:val="24"/>
        </w:rPr>
        <w:t>At trial, the government presented evidence of the facts recounted above, including, among other things, (1) testimony from Turk, EMT Peterson, Officer Echols, Officer Craig, and four Tuskegee Police Department trainees who were at the police station on December 24, 2014; (2) the pants Turk wore that day, which had blood stains on them; and (3) pictures of Turk taken by his mother soon after the incident, in which he had chipped teeth, cuts, scratches, swollen wrists, and bruises.</w:t>
      </w:r>
      <w:r>
        <w:rPr>
          <w:rFonts w:ascii="Times New Roman" w:eastAsia="Times New Roman" w:hAnsi="Times New Roman"/>
          <w:sz w:val="24"/>
          <w:szCs w:val="24"/>
        </w:rPr>
        <w:t>”</w:t>
      </w:r>
    </w:p>
    <w:p w14:paraId="6C2A6A34"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4FD2E714" w14:textId="32392D04" w:rsidR="00774A91" w:rsidRDefault="00774A91" w:rsidP="00774A91">
      <w:pPr>
        <w:rPr>
          <w:rFonts w:ascii="Arial Black" w:hAnsi="Arial Black"/>
          <w:b/>
          <w:bCs/>
          <w:sz w:val="28"/>
          <w:szCs w:val="28"/>
        </w:rPr>
      </w:pPr>
      <w:r w:rsidRPr="00E01A44">
        <w:rPr>
          <w:rFonts w:ascii="Times New Roman" w:hAnsi="Times New Roman"/>
          <w:sz w:val="24"/>
          <w:szCs w:val="24"/>
        </w:rPr>
        <w:t xml:space="preserve">Moreover, the trial testimony sufficiently showed that Huntley's actions leading into the police station and inside the building resulted in at least some bodily injury to Turk. Trial witnesses testified that Turk had blood in his mouth and on his face after the briefing room incident, indicating </w:t>
      </w:r>
      <w:proofErr w:type="gramStart"/>
      <w:r w:rsidRPr="00E01A44">
        <w:rPr>
          <w:rFonts w:ascii="Times New Roman" w:hAnsi="Times New Roman"/>
          <w:sz w:val="24"/>
          <w:szCs w:val="24"/>
        </w:rPr>
        <w:t>some kind of cut</w:t>
      </w:r>
      <w:proofErr w:type="gramEnd"/>
      <w:r w:rsidRPr="00E01A44">
        <w:rPr>
          <w:rFonts w:ascii="Times New Roman" w:hAnsi="Times New Roman"/>
          <w:sz w:val="24"/>
          <w:szCs w:val="24"/>
        </w:rPr>
        <w:t xml:space="preserve"> or abrasion occurred in the briefing room. The government </w:t>
      </w:r>
      <w:proofErr w:type="gramStart"/>
      <w:r w:rsidRPr="00E01A44">
        <w:rPr>
          <w:rFonts w:ascii="Times New Roman" w:hAnsi="Times New Roman"/>
          <w:sz w:val="24"/>
          <w:szCs w:val="24"/>
        </w:rPr>
        <w:t>entered into</w:t>
      </w:r>
      <w:proofErr w:type="gramEnd"/>
      <w:r w:rsidRPr="00E01A44">
        <w:rPr>
          <w:rFonts w:ascii="Times New Roman" w:hAnsi="Times New Roman"/>
          <w:sz w:val="24"/>
          <w:szCs w:val="24"/>
        </w:rPr>
        <w:t xml:space="preserve"> </w:t>
      </w:r>
      <w:proofErr w:type="gramStart"/>
      <w:r w:rsidRPr="00E01A44">
        <w:rPr>
          <w:rFonts w:ascii="Times New Roman" w:hAnsi="Times New Roman"/>
          <w:sz w:val="24"/>
          <w:szCs w:val="24"/>
        </w:rPr>
        <w:t>evidence</w:t>
      </w:r>
      <w:proofErr w:type="gramEnd"/>
      <w:r w:rsidRPr="00E01A44">
        <w:rPr>
          <w:rFonts w:ascii="Times New Roman" w:hAnsi="Times New Roman"/>
          <w:sz w:val="24"/>
          <w:szCs w:val="24"/>
        </w:rPr>
        <w:t xml:space="preserve"> a pair of bloodstained pants that Turk testified were stained </w:t>
      </w:r>
      <w:proofErr w:type="gramStart"/>
      <w:r w:rsidRPr="00E01A44">
        <w:rPr>
          <w:rFonts w:ascii="Times New Roman" w:hAnsi="Times New Roman"/>
          <w:sz w:val="24"/>
          <w:szCs w:val="24"/>
        </w:rPr>
        <w:t>as a result of</w:t>
      </w:r>
      <w:proofErr w:type="gramEnd"/>
      <w:r w:rsidRPr="00E01A44">
        <w:rPr>
          <w:rFonts w:ascii="Times New Roman" w:hAnsi="Times New Roman"/>
          <w:sz w:val="24"/>
          <w:szCs w:val="24"/>
        </w:rPr>
        <w:t xml:space="preserve"> his injuries from Huntley and pictures taken of Turk soon after the incident showing him with chipped teeth, cuts, and bruises. Peterson testified that Turk had a bloody lip, abrasions, and red eyes, and that Turk reported feeling pain all over his body. In addition, Turk himself testified that he was in pain because of the mace sprayed in his eyes and</w:t>
      </w:r>
      <w:r>
        <w:rPr>
          <w:rFonts w:ascii="Times New Roman" w:hAnsi="Times New Roman"/>
          <w:sz w:val="24"/>
          <w:szCs w:val="24"/>
        </w:rPr>
        <w:t xml:space="preserve"> </w:t>
      </w:r>
      <w:r w:rsidRPr="00E01A44">
        <w:rPr>
          <w:rFonts w:ascii="Times New Roman" w:hAnsi="Times New Roman"/>
          <w:sz w:val="24"/>
          <w:szCs w:val="24"/>
        </w:rPr>
        <w:t>the physical assaults that occurred inside the holding cell room and the briefing room.</w:t>
      </w:r>
      <w:r>
        <w:rPr>
          <w:rFonts w:ascii="Times New Roman" w:hAnsi="Times New Roman"/>
          <w:sz w:val="24"/>
          <w:szCs w:val="24"/>
        </w:rPr>
        <w:t xml:space="preserve">” </w:t>
      </w:r>
      <w:hyperlink r:id="rId2339" w:history="1">
        <w:r w:rsidRPr="00386EA0">
          <w:rPr>
            <w:rStyle w:val="Hyperlink"/>
            <w:sz w:val="24"/>
            <w:szCs w:val="24"/>
          </w:rPr>
          <w:t>https://media.ca11.uscourts.gov/opinions/unpub/files/201814119.pdf</w:t>
        </w:r>
      </w:hyperlink>
    </w:p>
    <w:p w14:paraId="1F75D683" w14:textId="77777777" w:rsidR="00774A91" w:rsidRDefault="00774A91" w:rsidP="00774A91">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EMS personnel may become witnesses to a police assault; fully document the patient’s injuries and our advice that prisoner be taken to hospital. </w:t>
      </w:r>
    </w:p>
    <w:p w14:paraId="5FB56446" w14:textId="77777777" w:rsidR="00774A91" w:rsidRDefault="00774A91" w:rsidP="002B1283">
      <w:pPr>
        <w:rPr>
          <w:rFonts w:ascii="Arial Black" w:hAnsi="Arial Black"/>
          <w:b/>
          <w:bCs/>
          <w:sz w:val="28"/>
          <w:szCs w:val="28"/>
        </w:rPr>
      </w:pPr>
    </w:p>
    <w:p w14:paraId="7FD612D3" w14:textId="366E40A6" w:rsidR="00774A91" w:rsidRDefault="00774A91"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4</w:t>
      </w:r>
    </w:p>
    <w:p w14:paraId="1F3F1DAF" w14:textId="77777777" w:rsidR="00774A91" w:rsidRPr="00D3301A" w:rsidRDefault="00774A91" w:rsidP="00774A91">
      <w:pPr>
        <w:pStyle w:val="Heading1"/>
        <w:rPr>
          <w:rStyle w:val="Strong"/>
          <w:rFonts w:ascii="Arial Black" w:eastAsiaTheme="majorEastAsia" w:hAnsi="Arial Black"/>
          <w:sz w:val="28"/>
          <w:szCs w:val="28"/>
        </w:rPr>
      </w:pPr>
      <w:r>
        <w:rPr>
          <w:rStyle w:val="Strong"/>
          <w:rFonts w:ascii="Arial Black" w:eastAsiaTheme="majorEastAsia" w:hAnsi="Arial Black"/>
          <w:sz w:val="28"/>
          <w:szCs w:val="28"/>
        </w:rPr>
        <w:t>OH: AMBULANCE CO. SUED BY BILLING MGR., BILLER &amp; EMT - “UP CODE” BILLING – U.S. GOV’T HAS INTERVENED</w:t>
      </w:r>
    </w:p>
    <w:p w14:paraId="5362846F" w14:textId="77777777" w:rsidR="00774A91" w:rsidRDefault="00774A91" w:rsidP="00774A91">
      <w:pPr>
        <w:spacing w:before="100" w:beforeAutospacing="1" w:after="100" w:afterAutospacing="1" w:line="240" w:lineRule="auto"/>
        <w:rPr>
          <w:rFonts w:ascii="Times New Roman" w:eastAsia="Times New Roman" w:hAnsi="Times New Roman"/>
          <w:sz w:val="24"/>
          <w:szCs w:val="24"/>
        </w:rPr>
      </w:pPr>
      <w:r w:rsidRPr="005271C0">
        <w:rPr>
          <w:rFonts w:ascii="Times New Roman" w:eastAsia="Times New Roman" w:hAnsi="Times New Roman"/>
          <w:sz w:val="24"/>
          <w:szCs w:val="24"/>
        </w:rPr>
        <w:t xml:space="preserve">On </w:t>
      </w:r>
      <w:r>
        <w:rPr>
          <w:rFonts w:ascii="Times New Roman" w:eastAsia="Times New Roman" w:hAnsi="Times New Roman"/>
          <w:sz w:val="24"/>
          <w:szCs w:val="24"/>
        </w:rPr>
        <w:t xml:space="preserve">Oct. 18, 2021, in </w:t>
      </w:r>
      <w:r w:rsidRPr="005271C0">
        <w:rPr>
          <w:rFonts w:ascii="Times New Roman" w:eastAsia="Times New Roman" w:hAnsi="Times New Roman"/>
          <w:sz w:val="24"/>
          <w:szCs w:val="24"/>
          <w:u w:val="single"/>
        </w:rPr>
        <w:t>United States of America ex rel. Brandee White v. Mobile Care EMS &amp; Transport, Inc. et al.</w:t>
      </w:r>
      <w:r>
        <w:rPr>
          <w:rFonts w:ascii="Times New Roman" w:eastAsia="Times New Roman" w:hAnsi="Times New Roman"/>
          <w:sz w:val="24"/>
          <w:szCs w:val="24"/>
        </w:rPr>
        <w:t xml:space="preserve">, U.S. District Court Judge Douglas R. Cole, U.S. District Court, Southern District of Ohio (Western Division) denied Mobile Care’s motion to dismiss the lawsuit. </w:t>
      </w:r>
    </w:p>
    <w:p w14:paraId="057F8991"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5271C0">
        <w:rPr>
          <w:rFonts w:ascii="Times New Roman" w:hAnsi="Times New Roman"/>
          <w:sz w:val="24"/>
          <w:szCs w:val="24"/>
        </w:rPr>
        <w:t>Relator White was a Mobile Care employee</w:t>
      </w:r>
      <w:r>
        <w:rPr>
          <w:rFonts w:ascii="Times New Roman" w:hAnsi="Times New Roman"/>
          <w:sz w:val="24"/>
          <w:szCs w:val="24"/>
        </w:rPr>
        <w:t xml:space="preserve">…. </w:t>
      </w:r>
      <w:r w:rsidRPr="005271C0">
        <w:rPr>
          <w:rFonts w:ascii="Times New Roman" w:hAnsi="Times New Roman"/>
          <w:sz w:val="24"/>
          <w:szCs w:val="24"/>
        </w:rPr>
        <w:t>The company hired her to oversee Mobile Care's billing practices</w:t>
      </w:r>
      <w:r>
        <w:rPr>
          <w:rFonts w:ascii="Times New Roman" w:hAnsi="Times New Roman"/>
          <w:sz w:val="24"/>
          <w:szCs w:val="24"/>
        </w:rPr>
        <w:t xml:space="preserve">…. </w:t>
      </w:r>
      <w:r w:rsidRPr="005271C0">
        <w:rPr>
          <w:rFonts w:ascii="Times New Roman" w:hAnsi="Times New Roman"/>
          <w:sz w:val="24"/>
          <w:szCs w:val="24"/>
        </w:rPr>
        <w:t xml:space="preserve">She claims that, beginning in December of 2009 and continuing at least through the date of the second amended complaint, Mobile Care had </w:t>
      </w:r>
      <w:r>
        <w:rPr>
          <w:rFonts w:ascii="Times New Roman" w:hAnsi="Times New Roman"/>
          <w:sz w:val="24"/>
          <w:szCs w:val="24"/>
        </w:rPr>
        <w:t>‘</w:t>
      </w:r>
      <w:r w:rsidRPr="005271C0">
        <w:rPr>
          <w:rFonts w:ascii="Times New Roman" w:hAnsi="Times New Roman"/>
          <w:sz w:val="24"/>
          <w:szCs w:val="24"/>
        </w:rPr>
        <w:t>knowingly … caused the submission of false or fraudulent claims to Government healthcare programs, and made or caused to be made false records and statements to get claims for ambulance services to Government healthcare programs paid</w:t>
      </w:r>
      <w:r>
        <w:rPr>
          <w:rFonts w:ascii="Times New Roman" w:hAnsi="Times New Roman"/>
          <w:sz w:val="24"/>
          <w:szCs w:val="24"/>
        </w:rPr>
        <w:t>….</w:t>
      </w:r>
      <w:r w:rsidRPr="005271C0">
        <w:rPr>
          <w:rFonts w:ascii="Times New Roman" w:hAnsi="Times New Roman"/>
          <w:sz w:val="24"/>
          <w:szCs w:val="24"/>
        </w:rPr>
        <w:t xml:space="preserve">” In particular, she alleges that Mobile Care was </w:t>
      </w:r>
      <w:r>
        <w:rPr>
          <w:rFonts w:ascii="Times New Roman" w:hAnsi="Times New Roman"/>
          <w:sz w:val="24"/>
          <w:szCs w:val="24"/>
        </w:rPr>
        <w:t>‘</w:t>
      </w:r>
      <w:r w:rsidRPr="005271C0">
        <w:rPr>
          <w:rFonts w:ascii="Times New Roman" w:hAnsi="Times New Roman"/>
          <w:sz w:val="24"/>
          <w:szCs w:val="24"/>
        </w:rPr>
        <w:t>pressuring its employees</w:t>
      </w:r>
      <w:r>
        <w:rPr>
          <w:rFonts w:ascii="Times New Roman" w:hAnsi="Times New Roman"/>
          <w:sz w:val="24"/>
          <w:szCs w:val="24"/>
        </w:rPr>
        <w:t>’</w:t>
      </w:r>
      <w:r w:rsidRPr="005271C0">
        <w:rPr>
          <w:rFonts w:ascii="Times New Roman" w:hAnsi="Times New Roman"/>
          <w:sz w:val="24"/>
          <w:szCs w:val="24"/>
        </w:rPr>
        <w:t xml:space="preserve"> to </w:t>
      </w:r>
      <w:r>
        <w:rPr>
          <w:rFonts w:ascii="Times New Roman" w:hAnsi="Times New Roman"/>
          <w:sz w:val="24"/>
          <w:szCs w:val="24"/>
        </w:rPr>
        <w:t>‘</w:t>
      </w:r>
      <w:proofErr w:type="spellStart"/>
      <w:r w:rsidRPr="005271C0">
        <w:rPr>
          <w:rFonts w:ascii="Times New Roman" w:hAnsi="Times New Roman"/>
          <w:sz w:val="24"/>
          <w:szCs w:val="24"/>
        </w:rPr>
        <w:t>upcode</w:t>
      </w:r>
      <w:proofErr w:type="spellEnd"/>
      <w:r>
        <w:rPr>
          <w:rFonts w:ascii="Times New Roman" w:hAnsi="Times New Roman"/>
          <w:sz w:val="24"/>
          <w:szCs w:val="24"/>
        </w:rPr>
        <w:t>’</w:t>
      </w:r>
      <w:r w:rsidRPr="005271C0">
        <w:rPr>
          <w:rFonts w:ascii="Times New Roman" w:hAnsi="Times New Roman"/>
          <w:sz w:val="24"/>
          <w:szCs w:val="24"/>
        </w:rPr>
        <w:t xml:space="preserve"> medical transport services to higher billing levels. </w:t>
      </w:r>
    </w:p>
    <w:p w14:paraId="08CD4118" w14:textId="77777777" w:rsidR="00774A91" w:rsidRPr="005271C0"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4546D8C9"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sidRPr="00E74680">
        <w:rPr>
          <w:rFonts w:ascii="Times New Roman" w:eastAsia="Times New Roman" w:hAnsi="Times New Roman"/>
          <w:sz w:val="24"/>
          <w:szCs w:val="24"/>
        </w:rPr>
        <w:t>The other two relators are likewise Mobile Care employees, one a biller and one a licensed EMT</w:t>
      </w:r>
      <w:r>
        <w:rPr>
          <w:rFonts w:ascii="Times New Roman" w:eastAsia="Times New Roman" w:hAnsi="Times New Roman"/>
          <w:sz w:val="24"/>
          <w:szCs w:val="24"/>
        </w:rPr>
        <w:t xml:space="preserve">…. </w:t>
      </w:r>
      <w:r w:rsidRPr="00E74680">
        <w:rPr>
          <w:rFonts w:ascii="Times New Roman" w:eastAsia="Times New Roman" w:hAnsi="Times New Roman"/>
          <w:sz w:val="24"/>
          <w:szCs w:val="24"/>
        </w:rPr>
        <w:t xml:space="preserve"> The former claims she “</w:t>
      </w:r>
      <w:proofErr w:type="spellStart"/>
      <w:r w:rsidRPr="00E74680">
        <w:rPr>
          <w:rFonts w:ascii="Times New Roman" w:eastAsia="Times New Roman" w:hAnsi="Times New Roman"/>
          <w:sz w:val="24"/>
          <w:szCs w:val="24"/>
        </w:rPr>
        <w:t>refus</w:t>
      </w:r>
      <w:proofErr w:type="spellEnd"/>
      <w:r w:rsidRPr="00E74680">
        <w:rPr>
          <w:rFonts w:ascii="Times New Roman" w:eastAsia="Times New Roman" w:hAnsi="Times New Roman"/>
          <w:sz w:val="24"/>
          <w:szCs w:val="24"/>
        </w:rPr>
        <w:t>[ed] to bill for services that were not supported by … records</w:t>
      </w:r>
      <w:r>
        <w:rPr>
          <w:rFonts w:ascii="Times New Roman" w:eastAsia="Times New Roman" w:hAnsi="Times New Roman"/>
          <w:sz w:val="24"/>
          <w:szCs w:val="24"/>
        </w:rPr>
        <w:t>….</w:t>
      </w:r>
      <w:r w:rsidRPr="00E74680">
        <w:rPr>
          <w:rFonts w:ascii="Times New Roman" w:eastAsia="Times New Roman" w:hAnsi="Times New Roman"/>
          <w:sz w:val="24"/>
          <w:szCs w:val="24"/>
        </w:rPr>
        <w:t xml:space="preserve">” The latter claims that he was instructed </w:t>
      </w:r>
      <w:r>
        <w:rPr>
          <w:rFonts w:ascii="Times New Roman" w:eastAsia="Times New Roman" w:hAnsi="Times New Roman"/>
          <w:sz w:val="24"/>
          <w:szCs w:val="24"/>
        </w:rPr>
        <w:t>‘</w:t>
      </w:r>
      <w:r w:rsidRPr="00E74680">
        <w:rPr>
          <w:rFonts w:ascii="Times New Roman" w:eastAsia="Times New Roman" w:hAnsi="Times New Roman"/>
          <w:sz w:val="24"/>
          <w:szCs w:val="24"/>
        </w:rPr>
        <w:t>to add specific statements and words to [his] Patient Care Reports in order to create the impression that the patients had a medically necessary reason requiring them to be transported</w:t>
      </w:r>
      <w:r>
        <w:rPr>
          <w:rFonts w:ascii="Times New Roman" w:eastAsia="Times New Roman" w:hAnsi="Times New Roman"/>
          <w:sz w:val="24"/>
          <w:szCs w:val="24"/>
        </w:rPr>
        <w:t>’</w:t>
      </w:r>
      <w:r w:rsidRPr="00E74680">
        <w:rPr>
          <w:rFonts w:ascii="Times New Roman" w:eastAsia="Times New Roman" w:hAnsi="Times New Roman"/>
          <w:sz w:val="24"/>
          <w:szCs w:val="24"/>
        </w:rPr>
        <w:t xml:space="preserve"> even if that was not the case</w:t>
      </w:r>
      <w:r>
        <w:rPr>
          <w:rFonts w:ascii="Times New Roman" w:eastAsia="Times New Roman" w:hAnsi="Times New Roman"/>
          <w:sz w:val="24"/>
          <w:szCs w:val="24"/>
        </w:rPr>
        <w:t>….</w:t>
      </w:r>
      <w:r w:rsidRPr="00E74680">
        <w:rPr>
          <w:rFonts w:ascii="Times New Roman" w:eastAsia="Times New Roman" w:hAnsi="Times New Roman"/>
          <w:sz w:val="24"/>
          <w:szCs w:val="24"/>
        </w:rPr>
        <w:t xml:space="preserve"> The Complaint also provides examples of meetings and other interactions in which Mobile Care allegedly applied pressure to EMTs and billers to assist in the fraudulent billing scheme. </w:t>
      </w:r>
    </w:p>
    <w:p w14:paraId="49F77128"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4BCF914" w14:textId="77777777" w:rsidR="00774A91" w:rsidRPr="001B3244" w:rsidRDefault="00774A91" w:rsidP="00774A91">
      <w:pPr>
        <w:spacing w:before="100" w:beforeAutospacing="1" w:after="100" w:afterAutospacing="1" w:line="240" w:lineRule="auto"/>
        <w:ind w:left="720"/>
        <w:rPr>
          <w:rFonts w:ascii="Times New Roman" w:eastAsia="Times New Roman" w:hAnsi="Times New Roman"/>
          <w:b/>
          <w:bCs/>
          <w:sz w:val="24"/>
          <w:szCs w:val="24"/>
        </w:rPr>
      </w:pPr>
      <w:r w:rsidRPr="00D3301A">
        <w:rPr>
          <w:rFonts w:ascii="Times New Roman" w:eastAsia="Times New Roman" w:hAnsi="Times New Roman"/>
          <w:sz w:val="24"/>
          <w:szCs w:val="24"/>
        </w:rPr>
        <w:t>If Mobile Care can show that it in fact did not make false claims, either as to the five specified examples, or others identified during discovery, Mobile Care will be entitled to prevail at trial, or perhaps even at summary judgment. But it is not entitled to dismissal of the complaint. Thus, the FCA claims can move forward.</w:t>
      </w:r>
      <w:r>
        <w:rPr>
          <w:rFonts w:ascii="Times New Roman" w:eastAsia="Times New Roman" w:hAnsi="Times New Roman"/>
          <w:sz w:val="24"/>
          <w:szCs w:val="24"/>
        </w:rPr>
        <w:t xml:space="preserve">” </w:t>
      </w:r>
      <w:hyperlink r:id="rId2340" w:history="1">
        <w:r w:rsidRPr="00BD2840">
          <w:rPr>
            <w:rStyle w:val="Hyperlink"/>
            <w:sz w:val="24"/>
            <w:szCs w:val="24"/>
          </w:rPr>
          <w:t>https://public.fastcase.com/9SKwsfNqTc6OieYDhNMyMyh4iKdUdl33yaqybd0RVUT7BGA%2FcA7dSWVys7nK48GqCBRY0Irwv50JDrMJhhTjndqcgsIMADMauCadEl5HS9U%3D</w:t>
        </w:r>
      </w:hyperlink>
    </w:p>
    <w:p w14:paraId="7F1E462D" w14:textId="77777777" w:rsidR="00774A91" w:rsidRPr="001B3244" w:rsidRDefault="00774A91" w:rsidP="00774A91">
      <w:pPr>
        <w:spacing w:before="100" w:beforeAutospacing="1" w:after="100" w:afterAutospacing="1" w:line="240" w:lineRule="auto"/>
        <w:rPr>
          <w:rFonts w:ascii="Times New Roman" w:eastAsia="Times New Roman" w:hAnsi="Times New Roman"/>
          <w:b/>
          <w:bCs/>
          <w:sz w:val="24"/>
          <w:szCs w:val="24"/>
        </w:rPr>
      </w:pPr>
      <w:r w:rsidRPr="001B324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False Claims Act is designed to award whistleblowers who inform the U.S. Government of fraudulent claims. </w:t>
      </w:r>
    </w:p>
    <w:p w14:paraId="4777195E" w14:textId="77777777" w:rsidR="00774A91" w:rsidRPr="00E81972"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Relator’s awards. </w:t>
      </w:r>
      <w:hyperlink r:id="rId2341" w:history="1">
        <w:r w:rsidRPr="00BD2840">
          <w:rPr>
            <w:rStyle w:val="Hyperlink"/>
            <w:sz w:val="24"/>
            <w:szCs w:val="24"/>
          </w:rPr>
          <w:t>https://www.whistleblowerllc.com/resources/whistleblower-laws/the-federal-false-claims-act/</w:t>
        </w:r>
      </w:hyperlink>
      <w:r>
        <w:rPr>
          <w:rFonts w:ascii="Times New Roman" w:hAnsi="Times New Roman"/>
          <w:sz w:val="24"/>
          <w:szCs w:val="24"/>
        </w:rPr>
        <w:t xml:space="preserve"> </w:t>
      </w:r>
    </w:p>
    <w:p w14:paraId="3F151014"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Style w:val="Strong"/>
          <w:rFonts w:ascii="Times New Roman" w:hAnsi="Times New Roman"/>
          <w:sz w:val="24"/>
          <w:szCs w:val="24"/>
        </w:rPr>
        <w:t>“</w:t>
      </w:r>
      <w:r w:rsidRPr="00E81972">
        <w:rPr>
          <w:rStyle w:val="Strong"/>
          <w:rFonts w:ascii="Times New Roman" w:hAnsi="Times New Roman"/>
          <w:sz w:val="24"/>
          <w:szCs w:val="24"/>
        </w:rPr>
        <w:t>Intervention</w:t>
      </w:r>
      <w:r w:rsidRPr="00E81972">
        <w:rPr>
          <w:rFonts w:ascii="Times New Roman" w:hAnsi="Times New Roman"/>
          <w:sz w:val="24"/>
          <w:szCs w:val="24"/>
        </w:rPr>
        <w:t xml:space="preserve">: the FCA provides for a relator share of 15%-25% of the proceeds collected by the United States </w:t>
      </w:r>
      <w:r>
        <w:rPr>
          <w:rFonts w:ascii="Times New Roman" w:hAnsi="Times New Roman"/>
          <w:sz w:val="24"/>
          <w:szCs w:val="24"/>
        </w:rPr>
        <w:t>‘</w:t>
      </w:r>
      <w:r w:rsidRPr="00E81972">
        <w:rPr>
          <w:rFonts w:ascii="Times New Roman" w:hAnsi="Times New Roman"/>
          <w:sz w:val="24"/>
          <w:szCs w:val="24"/>
        </w:rPr>
        <w:t>depending upon the extent to which the person substantially contributed to the prosecution of the action</w:t>
      </w:r>
      <w:r>
        <w:rPr>
          <w:rFonts w:ascii="Times New Roman" w:hAnsi="Times New Roman"/>
          <w:sz w:val="24"/>
          <w:szCs w:val="24"/>
        </w:rPr>
        <w:t>.’</w:t>
      </w:r>
    </w:p>
    <w:p w14:paraId="26169C72" w14:textId="77777777" w:rsidR="00774A91" w:rsidRPr="00E81972" w:rsidRDefault="00774A91" w:rsidP="00774A91">
      <w:pPr>
        <w:spacing w:before="100" w:beforeAutospacing="1" w:after="100" w:afterAutospacing="1" w:line="240" w:lineRule="auto"/>
        <w:ind w:left="720"/>
        <w:rPr>
          <w:rFonts w:ascii="Times New Roman" w:eastAsia="Times New Roman" w:hAnsi="Times New Roman"/>
          <w:sz w:val="24"/>
          <w:szCs w:val="24"/>
        </w:rPr>
      </w:pPr>
      <w:r w:rsidRPr="00E81972">
        <w:rPr>
          <w:rStyle w:val="Strong"/>
          <w:rFonts w:ascii="Times New Roman" w:hAnsi="Times New Roman"/>
          <w:sz w:val="24"/>
          <w:szCs w:val="24"/>
        </w:rPr>
        <w:t>Declination</w:t>
      </w:r>
      <w:r w:rsidRPr="00E81972">
        <w:rPr>
          <w:rFonts w:ascii="Times New Roman" w:hAnsi="Times New Roman"/>
          <w:sz w:val="24"/>
          <w:szCs w:val="24"/>
        </w:rPr>
        <w:t xml:space="preserve">: the FCA provides for a relator share of 25%-30% of the proceeds collected by the United States based on what the court finds </w:t>
      </w:r>
      <w:r>
        <w:rPr>
          <w:rFonts w:ascii="Times New Roman" w:hAnsi="Times New Roman"/>
          <w:sz w:val="24"/>
          <w:szCs w:val="24"/>
        </w:rPr>
        <w:t>‘</w:t>
      </w:r>
      <w:r w:rsidRPr="00E81972">
        <w:rPr>
          <w:rFonts w:ascii="Times New Roman" w:hAnsi="Times New Roman"/>
          <w:sz w:val="24"/>
          <w:szCs w:val="24"/>
        </w:rPr>
        <w:t>reasonable</w:t>
      </w:r>
      <w:r>
        <w:rPr>
          <w:rFonts w:ascii="Times New Roman" w:hAnsi="Times New Roman"/>
          <w:sz w:val="24"/>
          <w:szCs w:val="24"/>
        </w:rPr>
        <w:t>’</w:t>
      </w:r>
      <w:r w:rsidRPr="00E81972">
        <w:rPr>
          <w:rFonts w:ascii="Times New Roman" w:hAnsi="Times New Roman"/>
          <w:sz w:val="24"/>
          <w:szCs w:val="24"/>
        </w:rPr>
        <w:t xml:space="preserve"> for collecting the damages and penalties</w:t>
      </w:r>
      <w:r>
        <w:t>.</w:t>
      </w:r>
      <w:r>
        <w:rPr>
          <w:rFonts w:ascii="Times New Roman" w:hAnsi="Times New Roman"/>
          <w:sz w:val="24"/>
          <w:szCs w:val="24"/>
        </w:rPr>
        <w:t xml:space="preserve">” </w:t>
      </w:r>
    </w:p>
    <w:p w14:paraId="1D5E121B" w14:textId="77777777" w:rsidR="00774A91" w:rsidRDefault="00774A91" w:rsidP="002B1283">
      <w:pPr>
        <w:rPr>
          <w:rFonts w:ascii="Arial Black" w:hAnsi="Arial Black"/>
          <w:b/>
          <w:bCs/>
          <w:sz w:val="28"/>
          <w:szCs w:val="28"/>
        </w:rPr>
      </w:pPr>
    </w:p>
    <w:p w14:paraId="0F22B56B" w14:textId="3942DBE6" w:rsidR="00BD1702" w:rsidRDefault="00BD1702"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3</w:t>
      </w:r>
    </w:p>
    <w:p w14:paraId="11AB1C5C" w14:textId="77777777" w:rsidR="00BD1702" w:rsidRDefault="00BD1702" w:rsidP="00BD1702">
      <w:pPr>
        <w:spacing w:before="100" w:beforeAutospacing="1" w:after="100" w:afterAutospacing="1" w:line="240" w:lineRule="auto"/>
        <w:rPr>
          <w:rFonts w:ascii="Arial Black" w:hAnsi="Arial Black"/>
          <w:sz w:val="28"/>
          <w:szCs w:val="28"/>
        </w:rPr>
      </w:pPr>
      <w:r>
        <w:rPr>
          <w:rFonts w:ascii="Arial Black" w:hAnsi="Arial Black"/>
          <w:sz w:val="28"/>
          <w:szCs w:val="28"/>
        </w:rPr>
        <w:t>NY: DEF. STRUCK EMT WITH CLOSED FIST – FELONY PLED DOWN DISORDERLY – DEF. MUST GET COVID VACCINATION</w:t>
      </w:r>
    </w:p>
    <w:p w14:paraId="6C6BA6B9" w14:textId="77777777" w:rsidR="00BD1702" w:rsidRDefault="00BD1702" w:rsidP="00BD170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6, 2021, in </w:t>
      </w:r>
      <w:r>
        <w:rPr>
          <w:rFonts w:ascii="Times New Roman" w:hAnsi="Times New Roman"/>
          <w:sz w:val="24"/>
          <w:szCs w:val="24"/>
          <w:u w:val="single"/>
        </w:rPr>
        <w:t>The People of State of New York v. D.R.</w:t>
      </w:r>
      <w:r>
        <w:rPr>
          <w:rFonts w:ascii="Times New Roman" w:hAnsi="Times New Roman"/>
          <w:sz w:val="24"/>
          <w:szCs w:val="24"/>
        </w:rPr>
        <w:t>, Criminal Court of the City of New York, Bronx County (Judge Jeffrey M. Zimmerman) issued a written opinion confirming his order that the defendant get a COVID vaccination as a condition of his accepting plea of guilty and conditional discharge from any imprisonment.  Defendant was originally charged with a Class C felony, then offered plea to lesser Class D felony, then offered plea to misdemeanor, and then finally to a non-criminal Disorderly Conduct [which he accepted]. Judge agreed, but only if he produced proof of COVID vaccination.</w:t>
      </w:r>
    </w:p>
    <w:p w14:paraId="78E7F4F9" w14:textId="77777777" w:rsidR="00BD1702" w:rsidRDefault="00BD1702" w:rsidP="00BD1702">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defendant was charged with assaulting an EMS worker, thus placing his own interests and aggressions above those of public safety employees and </w:t>
      </w:r>
      <w:proofErr w:type="gramStart"/>
      <w:r>
        <w:rPr>
          <w:rFonts w:ascii="Times New Roman" w:hAnsi="Times New Roman"/>
          <w:sz w:val="24"/>
          <w:szCs w:val="24"/>
        </w:rPr>
        <w:t>society as a whole</w:t>
      </w:r>
      <w:proofErr w:type="gramEnd"/>
      <w:r>
        <w:rPr>
          <w:rFonts w:ascii="Times New Roman" w:hAnsi="Times New Roman"/>
          <w:sz w:val="24"/>
          <w:szCs w:val="24"/>
        </w:rPr>
        <w:t xml:space="preserve">. As this Court made clear at sentencing, by mandating proof of vaccination, it was giving the defendant the opportunity to engage in an activity that would do exactly the opposite, allowing him to experience the sense of community and well-being that comes with doing something that benefits others (tr at 7). There is absolutely nothing punitive about the condition, since the vaccine has been demonstrated to be safe and effective by the FDA, and by the real-life trial of hundreds of millions of doses administered around the world….  Footnote 4: “It goes without saying that the Court would not have imposed this condition had the defendant pointed to any medical conditions he had that made the vaccine unsafe for him. He did not do so.”  </w:t>
      </w:r>
      <w:hyperlink r:id="rId2342" w:history="1">
        <w:r>
          <w:rPr>
            <w:rStyle w:val="Hyperlink"/>
            <w:sz w:val="24"/>
            <w:szCs w:val="24"/>
          </w:rPr>
          <w:t>https://public.fastcase.com/9SKwsfNqTc6OieYDhNMyMzpaZgjHFdPajpMUAUycVEOD1%2FIGYL0bkVi40opLVA3rHt12SE41wYoG8BLshtbo2LNVnd3RJLWIEJH0dBI9oDE%3D</w:t>
        </w:r>
      </w:hyperlink>
      <w:r>
        <w:rPr>
          <w:rFonts w:ascii="Times New Roman" w:hAnsi="Times New Roman"/>
          <w:sz w:val="24"/>
          <w:szCs w:val="24"/>
        </w:rPr>
        <w:t xml:space="preserve"> </w:t>
      </w:r>
    </w:p>
    <w:p w14:paraId="3D643F9D" w14:textId="77777777" w:rsidR="00BD1702" w:rsidRDefault="00BD1702" w:rsidP="00BD170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The plea deal offered reflects the reality of how numerous criminal cases are handled in a very busy Bronx court.  Requiring a COVID vaccination is a novel way for a Court to accept a plea deal. </w:t>
      </w:r>
    </w:p>
    <w:p w14:paraId="57F687E4" w14:textId="57102208" w:rsidR="00BD1702" w:rsidRDefault="00BD1702" w:rsidP="002B1283">
      <w:pPr>
        <w:rPr>
          <w:rFonts w:ascii="Arial Black" w:hAnsi="Arial Black"/>
          <w:b/>
          <w:bCs/>
          <w:sz w:val="28"/>
          <w:szCs w:val="28"/>
        </w:rPr>
      </w:pPr>
    </w:p>
    <w:p w14:paraId="20F65E48" w14:textId="58706F71" w:rsidR="00687C24" w:rsidRDefault="00687C24" w:rsidP="002B1283">
      <w:pPr>
        <w:rPr>
          <w:rFonts w:ascii="Arial Black" w:hAnsi="Arial Black"/>
          <w:b/>
          <w:bCs/>
          <w:sz w:val="28"/>
          <w:szCs w:val="28"/>
        </w:rPr>
      </w:pPr>
      <w:r>
        <w:rPr>
          <w:rFonts w:ascii="Arial Black" w:hAnsi="Arial Black"/>
          <w:b/>
          <w:bCs/>
          <w:sz w:val="28"/>
          <w:szCs w:val="28"/>
        </w:rPr>
        <w:t>13-92</w:t>
      </w:r>
    </w:p>
    <w:p w14:paraId="28181B64" w14:textId="77777777" w:rsidR="00687C24" w:rsidRPr="00DC3453" w:rsidRDefault="00687C24" w:rsidP="00687C24">
      <w:pPr>
        <w:spacing w:before="100" w:beforeAutospacing="1" w:after="100" w:afterAutospacing="1" w:line="240" w:lineRule="auto"/>
        <w:rPr>
          <w:rFonts w:ascii="Arial Black" w:eastAsia="Times New Roman" w:hAnsi="Arial Black"/>
          <w:b/>
          <w:bCs/>
          <w:sz w:val="28"/>
          <w:szCs w:val="28"/>
        </w:rPr>
      </w:pPr>
      <w:r w:rsidRPr="00DC3453">
        <w:rPr>
          <w:rFonts w:ascii="Arial Black" w:eastAsia="Times New Roman" w:hAnsi="Arial Black"/>
          <w:b/>
          <w:bCs/>
          <w:sz w:val="28"/>
          <w:szCs w:val="28"/>
        </w:rPr>
        <w:t xml:space="preserve">MN: </w:t>
      </w:r>
      <w:r>
        <w:rPr>
          <w:rFonts w:ascii="Arial Black" w:eastAsia="Times New Roman" w:hAnsi="Arial Black"/>
          <w:b/>
          <w:bCs/>
          <w:sz w:val="28"/>
          <w:szCs w:val="28"/>
        </w:rPr>
        <w:t xml:space="preserve">PATIENT WITH GUN SHOT TO HOSPITAL - </w:t>
      </w:r>
      <w:r w:rsidRPr="00DC3453">
        <w:rPr>
          <w:rFonts w:ascii="Arial Black" w:eastAsia="Times New Roman" w:hAnsi="Arial Black"/>
          <w:b/>
          <w:bCs/>
          <w:sz w:val="28"/>
          <w:szCs w:val="28"/>
        </w:rPr>
        <w:t xml:space="preserve">PAT DOWN REVEALS </w:t>
      </w:r>
      <w:r>
        <w:rPr>
          <w:rFonts w:ascii="Arial Black" w:eastAsia="Times New Roman" w:hAnsi="Arial Black"/>
          <w:b/>
          <w:bCs/>
          <w:sz w:val="28"/>
          <w:szCs w:val="28"/>
        </w:rPr>
        <w:t>FIREARM – SEARCH LAWFUL “ADMIN. ACTION”</w:t>
      </w:r>
    </w:p>
    <w:p w14:paraId="3FDFA65E"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sidRPr="00943820">
        <w:rPr>
          <w:rFonts w:ascii="Times New Roman" w:eastAsia="Times New Roman" w:hAnsi="Times New Roman"/>
          <w:sz w:val="24"/>
          <w:szCs w:val="24"/>
        </w:rPr>
        <w:t xml:space="preserve">On </w:t>
      </w:r>
      <w:r>
        <w:rPr>
          <w:rFonts w:ascii="Times New Roman" w:eastAsia="Times New Roman" w:hAnsi="Times New Roman"/>
          <w:sz w:val="24"/>
          <w:szCs w:val="24"/>
        </w:rPr>
        <w:t xml:space="preserve">Oct. 1, 2021, in </w:t>
      </w:r>
      <w:r w:rsidRPr="00943820">
        <w:rPr>
          <w:rFonts w:ascii="Times New Roman" w:eastAsia="Times New Roman" w:hAnsi="Times New Roman"/>
          <w:sz w:val="24"/>
          <w:szCs w:val="24"/>
          <w:u w:val="single"/>
        </w:rPr>
        <w:t>United States of America v. Dywan Lamar Conley</w:t>
      </w:r>
      <w:r>
        <w:rPr>
          <w:rFonts w:ascii="Times New Roman" w:eastAsia="Times New Roman" w:hAnsi="Times New Roman"/>
          <w:sz w:val="24"/>
          <w:szCs w:val="24"/>
        </w:rPr>
        <w:t xml:space="preserve">, U.S. Magistrate Judge Beck R. Thorson issued a Report </w:t>
      </w:r>
      <w:proofErr w:type="gramStart"/>
      <w:r>
        <w:rPr>
          <w:rFonts w:ascii="Times New Roman" w:eastAsia="Times New Roman" w:hAnsi="Times New Roman"/>
          <w:sz w:val="24"/>
          <w:szCs w:val="24"/>
        </w:rPr>
        <w:t>And</w:t>
      </w:r>
      <w:proofErr w:type="gramEnd"/>
      <w:r>
        <w:rPr>
          <w:rFonts w:ascii="Times New Roman" w:eastAsia="Times New Roman" w:hAnsi="Times New Roman"/>
          <w:sz w:val="24"/>
          <w:szCs w:val="24"/>
        </w:rPr>
        <w:t xml:space="preserve"> Recommendation to deny the defendant’s motion to suppress the firearm as evidence in his upcoming trial. </w:t>
      </w:r>
    </w:p>
    <w:p w14:paraId="01FE323A" w14:textId="77777777" w:rsidR="00687C24" w:rsidRPr="009719B6" w:rsidRDefault="00687C24" w:rsidP="00687C24">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DC3453">
        <w:rPr>
          <w:rFonts w:ascii="Times New Roman" w:hAnsi="Times New Roman"/>
          <w:sz w:val="24"/>
          <w:szCs w:val="24"/>
        </w:rPr>
        <w:t>Therefore, this Court concludes that because the HCMC protection officers were working with an administrative purpose when they held Defendant down to assist medical personnel in administering treatment and to protect medical personnel, their actions are subject to the Fourth Amendment.</w:t>
      </w:r>
      <w:r>
        <w:rPr>
          <w:rFonts w:ascii="Times New Roman" w:hAnsi="Times New Roman"/>
          <w:sz w:val="24"/>
          <w:szCs w:val="24"/>
        </w:rPr>
        <w:t xml:space="preserve">” </w:t>
      </w:r>
      <w:hyperlink r:id="rId2343" w:history="1">
        <w:r w:rsidRPr="009719B6">
          <w:rPr>
            <w:rStyle w:val="Hyperlink"/>
            <w:rFonts w:ascii="Times New Roman" w:hAnsi="Times New Roman"/>
            <w:sz w:val="24"/>
            <w:szCs w:val="24"/>
          </w:rPr>
          <w:t>https://public.fastcase.com/9SKwsfNqTc6OieYDhNMyMwbSkTth7KSxZerJ72xuPASz0hfrLKBLsSHZ5wSTH5hTHTRhpFz%2FSUPG8m6eckQDfkjqtfnRAdXjc9mLaHWodGM%3D</w:t>
        </w:r>
      </w:hyperlink>
      <w:r w:rsidRPr="009719B6">
        <w:rPr>
          <w:rFonts w:ascii="Times New Roman" w:hAnsi="Times New Roman"/>
          <w:sz w:val="24"/>
          <w:szCs w:val="24"/>
        </w:rPr>
        <w:t xml:space="preserve"> </w:t>
      </w:r>
    </w:p>
    <w:p w14:paraId="29CB10B0" w14:textId="77777777" w:rsidR="00687C24" w:rsidRPr="00B20244" w:rsidRDefault="00687C24" w:rsidP="00687C24">
      <w:pPr>
        <w:pStyle w:val="NormalWeb"/>
        <w:rPr>
          <w:b/>
          <w:bCs/>
        </w:rPr>
      </w:pPr>
      <w:r w:rsidRPr="00B20244">
        <w:rPr>
          <w:b/>
          <w:bCs/>
        </w:rPr>
        <w:t>Legal Lesson Learned:</w:t>
      </w:r>
      <w:r>
        <w:rPr>
          <w:b/>
          <w:bCs/>
        </w:rPr>
        <w:t xml:space="preserve">  Hospital security personnel may search a patient for “administrative purpose.” </w:t>
      </w:r>
    </w:p>
    <w:p w14:paraId="6C7037C3" w14:textId="77777777" w:rsidR="00687C24" w:rsidRDefault="00687C24" w:rsidP="002B1283">
      <w:pPr>
        <w:rPr>
          <w:rFonts w:ascii="Arial Black" w:hAnsi="Arial Black"/>
          <w:b/>
          <w:bCs/>
          <w:sz w:val="28"/>
          <w:szCs w:val="28"/>
        </w:rPr>
      </w:pPr>
    </w:p>
    <w:p w14:paraId="48F6E71A" w14:textId="77777777" w:rsidR="00BD1702" w:rsidRDefault="00BD1702" w:rsidP="002B1283">
      <w:pPr>
        <w:rPr>
          <w:rFonts w:ascii="Arial Black" w:hAnsi="Arial Black"/>
          <w:b/>
          <w:bCs/>
          <w:sz w:val="28"/>
          <w:szCs w:val="28"/>
        </w:rPr>
      </w:pPr>
    </w:p>
    <w:p w14:paraId="75004D39" w14:textId="419695A0" w:rsidR="002F610D" w:rsidRDefault="002F610D" w:rsidP="002B1283">
      <w:pPr>
        <w:rPr>
          <w:rFonts w:ascii="Arial Black" w:hAnsi="Arial Black"/>
          <w:b/>
          <w:bCs/>
          <w:sz w:val="28"/>
          <w:szCs w:val="28"/>
        </w:rPr>
      </w:pPr>
      <w:r>
        <w:rPr>
          <w:rFonts w:ascii="Arial Black" w:hAnsi="Arial Black"/>
          <w:b/>
          <w:bCs/>
          <w:sz w:val="28"/>
          <w:szCs w:val="28"/>
        </w:rPr>
        <w:t>13-91</w:t>
      </w:r>
    </w:p>
    <w:p w14:paraId="71011B97" w14:textId="77777777" w:rsidR="002F610D" w:rsidRDefault="002F610D" w:rsidP="002F610D">
      <w:pPr>
        <w:rPr>
          <w:rFonts w:ascii="Arial Black" w:hAnsi="Arial Black"/>
          <w:sz w:val="28"/>
          <w:szCs w:val="28"/>
        </w:rPr>
      </w:pPr>
      <w:bookmarkStart w:id="448" w:name="_Hlk81842635"/>
      <w:r>
        <w:rPr>
          <w:rFonts w:ascii="Arial Black" w:hAnsi="Arial Black"/>
          <w:sz w:val="28"/>
          <w:szCs w:val="28"/>
        </w:rPr>
        <w:t>CO:  PARAMEDIC INJECTED KETAMINE - POLICE ARREST – PATIENT UNCONSCIOUS 3 DAYS – LAWSUIT PROCEED</w:t>
      </w:r>
    </w:p>
    <w:bookmarkEnd w:id="448"/>
    <w:p w14:paraId="528C59BA" w14:textId="77777777" w:rsidR="002F610D" w:rsidRDefault="002F610D" w:rsidP="002F610D">
      <w:pPr>
        <w:rPr>
          <w:rFonts w:ascii="Times New Roman" w:hAnsi="Times New Roman"/>
          <w:sz w:val="24"/>
          <w:szCs w:val="24"/>
        </w:rPr>
      </w:pPr>
      <w:r>
        <w:rPr>
          <w:rFonts w:ascii="Times New Roman" w:hAnsi="Times New Roman"/>
          <w:sz w:val="24"/>
          <w:szCs w:val="24"/>
        </w:rPr>
        <w:t xml:space="preserve">On Aug. 10, 2021, in </w:t>
      </w:r>
      <w:r w:rsidRPr="00A45113">
        <w:rPr>
          <w:rFonts w:ascii="Times New Roman" w:hAnsi="Times New Roman"/>
          <w:sz w:val="24"/>
          <w:szCs w:val="24"/>
          <w:u w:val="single"/>
        </w:rPr>
        <w:t>Elijah McKnight v. Sheriff Tyler Brown, et al</w:t>
      </w:r>
      <w:r>
        <w:rPr>
          <w:rFonts w:ascii="Times New Roman" w:hAnsi="Times New Roman"/>
          <w:sz w:val="24"/>
          <w:szCs w:val="24"/>
        </w:rPr>
        <w:t xml:space="preserve">., U.S. Magistrate Judge </w:t>
      </w:r>
      <w:r w:rsidRPr="00A45113">
        <w:rPr>
          <w:rFonts w:ascii="Times New Roman" w:hAnsi="Times New Roman"/>
          <w:sz w:val="24"/>
          <w:szCs w:val="24"/>
        </w:rPr>
        <w:t>S. Kato Crews</w:t>
      </w:r>
      <w:r>
        <w:rPr>
          <w:rFonts w:ascii="Times New Roman" w:hAnsi="Times New Roman"/>
          <w:sz w:val="24"/>
          <w:szCs w:val="24"/>
        </w:rPr>
        <w:t xml:space="preserve">, U.S. District Court for the District of Colorado, denied Paramedic Marshall Cloud and other defendants’ motion to stay all discovery, and dismiss the lawsuit </w:t>
      </w:r>
      <w:proofErr w:type="gramStart"/>
      <w:r>
        <w:rPr>
          <w:rFonts w:ascii="Times New Roman" w:hAnsi="Times New Roman"/>
          <w:sz w:val="24"/>
          <w:szCs w:val="24"/>
        </w:rPr>
        <w:t>on the basis of</w:t>
      </w:r>
      <w:proofErr w:type="gramEnd"/>
      <w:r>
        <w:rPr>
          <w:rFonts w:ascii="Times New Roman" w:hAnsi="Times New Roman"/>
          <w:sz w:val="24"/>
          <w:szCs w:val="24"/>
        </w:rPr>
        <w:t xml:space="preserve"> qualified immunity.  </w:t>
      </w:r>
    </w:p>
    <w:p w14:paraId="6D5B27BC" w14:textId="77777777" w:rsidR="002F610D" w:rsidRDefault="002F610D" w:rsidP="002F610D">
      <w:pPr>
        <w:ind w:left="720"/>
        <w:rPr>
          <w:rFonts w:ascii="Times New Roman" w:hAnsi="Times New Roman"/>
          <w:sz w:val="24"/>
          <w:szCs w:val="24"/>
        </w:rPr>
      </w:pPr>
      <w:r>
        <w:rPr>
          <w:rFonts w:ascii="Times New Roman" w:hAnsi="Times New Roman"/>
          <w:sz w:val="24"/>
          <w:szCs w:val="24"/>
        </w:rPr>
        <w:t>The Court wrote: “</w:t>
      </w:r>
      <w:r w:rsidRPr="00A837A2">
        <w:rPr>
          <w:rFonts w:ascii="Times New Roman" w:hAnsi="Times New Roman"/>
          <w:sz w:val="24"/>
          <w:szCs w:val="24"/>
        </w:rPr>
        <w:t xml:space="preserve">The Plaintiff in this case spent three days unconscious and required machine assistance to help him breathe. He </w:t>
      </w:r>
      <w:proofErr w:type="gramStart"/>
      <w:r w:rsidRPr="00A837A2">
        <w:rPr>
          <w:rFonts w:ascii="Times New Roman" w:hAnsi="Times New Roman"/>
          <w:sz w:val="24"/>
          <w:szCs w:val="24"/>
        </w:rPr>
        <w:t>is deserving of</w:t>
      </w:r>
      <w:proofErr w:type="gramEnd"/>
      <w:r w:rsidRPr="00A837A2">
        <w:rPr>
          <w:rFonts w:ascii="Times New Roman" w:hAnsi="Times New Roman"/>
          <w:sz w:val="24"/>
          <w:szCs w:val="24"/>
        </w:rPr>
        <w:t xml:space="preserve"> answers regarding why this happened and whether anyone is to be held responsible.</w:t>
      </w:r>
    </w:p>
    <w:p w14:paraId="5D10381A" w14:textId="77777777" w:rsidR="002F610D" w:rsidRPr="00A837A2" w:rsidRDefault="002F610D" w:rsidP="002F610D">
      <w:pPr>
        <w:ind w:left="720"/>
        <w:rPr>
          <w:rFonts w:ascii="Times New Roman" w:hAnsi="Times New Roman"/>
          <w:sz w:val="24"/>
          <w:szCs w:val="24"/>
        </w:rPr>
      </w:pPr>
      <w:r>
        <w:rPr>
          <w:rFonts w:ascii="Times New Roman" w:hAnsi="Times New Roman"/>
          <w:sz w:val="24"/>
          <w:szCs w:val="24"/>
        </w:rPr>
        <w:t>***</w:t>
      </w:r>
    </w:p>
    <w:p w14:paraId="5245315C" w14:textId="77777777" w:rsidR="002F610D" w:rsidRDefault="002F610D" w:rsidP="002F610D">
      <w:pPr>
        <w:ind w:left="720"/>
        <w:rPr>
          <w:rFonts w:ascii="Times New Roman" w:hAnsi="Times New Roman"/>
          <w:sz w:val="24"/>
          <w:szCs w:val="24"/>
        </w:rPr>
      </w:pPr>
      <w:r w:rsidRPr="00A45113">
        <w:rPr>
          <w:rFonts w:ascii="Times New Roman" w:hAnsi="Times New Roman"/>
          <w:sz w:val="24"/>
          <w:szCs w:val="24"/>
        </w:rPr>
        <w:t xml:space="preserve">Finally, although Defendants are dismissive of the </w:t>
      </w:r>
      <w:r>
        <w:rPr>
          <w:rFonts w:ascii="Times New Roman" w:hAnsi="Times New Roman"/>
          <w:sz w:val="24"/>
          <w:szCs w:val="24"/>
        </w:rPr>
        <w:t>‘</w:t>
      </w:r>
      <w:r w:rsidRPr="00A45113">
        <w:rPr>
          <w:rFonts w:ascii="Times New Roman" w:hAnsi="Times New Roman"/>
          <w:sz w:val="24"/>
          <w:szCs w:val="24"/>
        </w:rPr>
        <w:t>lofty</w:t>
      </w:r>
      <w:r>
        <w:rPr>
          <w:rFonts w:ascii="Times New Roman" w:hAnsi="Times New Roman"/>
          <w:sz w:val="24"/>
          <w:szCs w:val="24"/>
        </w:rPr>
        <w:t>’</w:t>
      </w:r>
      <w:r w:rsidRPr="00A45113">
        <w:rPr>
          <w:rFonts w:ascii="Times New Roman" w:hAnsi="Times New Roman"/>
          <w:sz w:val="24"/>
          <w:szCs w:val="24"/>
        </w:rPr>
        <w:t xml:space="preserve"> public interest in the prompt and efficient handling of litigation, they do not address Plaintiff's argument regarding the public's interest in the use of Ketamine by first responders. The Court takes judicial notice of the local and national attention this issue has garnered. To be sure, this is not the only case in this district (involving the use of Ketamine) to arise during the week of August 18, 2019. The case of </w:t>
      </w:r>
      <w:r w:rsidRPr="00A45113">
        <w:rPr>
          <w:rStyle w:val="Emphasis"/>
          <w:rFonts w:ascii="Times New Roman" w:hAnsi="Times New Roman"/>
          <w:sz w:val="24"/>
          <w:szCs w:val="24"/>
        </w:rPr>
        <w:t>Estate of McClain by and through McClain v. City of Aurora, Colorado</w:t>
      </w:r>
      <w:r w:rsidRPr="00A45113">
        <w:rPr>
          <w:rFonts w:ascii="Times New Roman" w:hAnsi="Times New Roman"/>
          <w:sz w:val="24"/>
          <w:szCs w:val="24"/>
        </w:rPr>
        <w:t xml:space="preserve">, involves a similar fact pattern, albeit with the City of Aurora Police Department. This Court agrees with Magistrate Judge N. Reid </w:t>
      </w:r>
      <w:proofErr w:type="spellStart"/>
      <w:r w:rsidRPr="00A45113">
        <w:rPr>
          <w:rFonts w:ascii="Times New Roman" w:hAnsi="Times New Roman"/>
          <w:sz w:val="24"/>
          <w:szCs w:val="24"/>
        </w:rPr>
        <w:t>Neurieter</w:t>
      </w:r>
      <w:proofErr w:type="spellEnd"/>
      <w:r w:rsidRPr="00A45113">
        <w:rPr>
          <w:rFonts w:ascii="Times New Roman" w:hAnsi="Times New Roman"/>
          <w:sz w:val="24"/>
          <w:szCs w:val="24"/>
        </w:rPr>
        <w:t xml:space="preserve"> </w:t>
      </w:r>
      <w:proofErr w:type="gramStart"/>
      <w:r w:rsidRPr="00A45113">
        <w:rPr>
          <w:rFonts w:ascii="Times New Roman" w:hAnsi="Times New Roman"/>
          <w:sz w:val="24"/>
          <w:szCs w:val="24"/>
        </w:rPr>
        <w:t xml:space="preserve">that, </w:t>
      </w:r>
      <w:r>
        <w:rPr>
          <w:rFonts w:ascii="Times New Roman" w:hAnsi="Times New Roman"/>
          <w:sz w:val="24"/>
          <w:szCs w:val="24"/>
        </w:rPr>
        <w:t>‘</w:t>
      </w:r>
      <w:proofErr w:type="gramEnd"/>
      <w:r w:rsidRPr="00A45113">
        <w:rPr>
          <w:rFonts w:ascii="Times New Roman" w:hAnsi="Times New Roman"/>
          <w:sz w:val="24"/>
          <w:szCs w:val="24"/>
        </w:rPr>
        <w:t xml:space="preserve">it is not in the interest of the public or in the interest of justice to ‘put on the back </w:t>
      </w:r>
      <w:proofErr w:type="gramStart"/>
      <w:r w:rsidRPr="00A45113">
        <w:rPr>
          <w:rFonts w:ascii="Times New Roman" w:hAnsi="Times New Roman"/>
          <w:sz w:val="24"/>
          <w:szCs w:val="24"/>
        </w:rPr>
        <w:t>burner'</w:t>
      </w:r>
      <w:proofErr w:type="gramEnd"/>
      <w:r w:rsidRPr="00A45113">
        <w:rPr>
          <w:rFonts w:ascii="Times New Roman" w:hAnsi="Times New Roman"/>
          <w:sz w:val="24"/>
          <w:szCs w:val="24"/>
        </w:rPr>
        <w:t xml:space="preserve"> discovery in a case that raises significant questions about [Arapahoe County's] policing and paramedic practices.</w:t>
      </w:r>
      <w:r>
        <w:rPr>
          <w:rFonts w:ascii="Times New Roman" w:hAnsi="Times New Roman"/>
          <w:sz w:val="24"/>
          <w:szCs w:val="24"/>
        </w:rPr>
        <w:t>’</w:t>
      </w:r>
      <w:r w:rsidRPr="00A45113">
        <w:rPr>
          <w:rFonts w:ascii="Times New Roman" w:hAnsi="Times New Roman"/>
          <w:sz w:val="24"/>
          <w:szCs w:val="24"/>
        </w:rPr>
        <w:t xml:space="preserve"> </w:t>
      </w:r>
      <w:r w:rsidRPr="00A45113">
        <w:rPr>
          <w:rStyle w:val="Emphasis"/>
          <w:rFonts w:ascii="Times New Roman" w:hAnsi="Times New Roman"/>
          <w:sz w:val="24"/>
          <w:szCs w:val="24"/>
        </w:rPr>
        <w:t>Estate of McClain</w:t>
      </w:r>
      <w:r w:rsidRPr="00A45113">
        <w:rPr>
          <w:rFonts w:ascii="Times New Roman" w:hAnsi="Times New Roman"/>
          <w:sz w:val="24"/>
          <w:szCs w:val="24"/>
        </w:rPr>
        <w:t>, 2021 WL 307505, at *4.</w:t>
      </w:r>
      <w:r>
        <w:rPr>
          <w:rFonts w:ascii="Times New Roman" w:hAnsi="Times New Roman"/>
          <w:sz w:val="24"/>
          <w:szCs w:val="24"/>
        </w:rPr>
        <w:t xml:space="preserve">” </w:t>
      </w:r>
      <w:hyperlink r:id="rId2344" w:history="1">
        <w:r w:rsidRPr="004C287D">
          <w:rPr>
            <w:rStyle w:val="Hyperlink"/>
            <w:rFonts w:ascii="Times New Roman" w:hAnsi="Times New Roman"/>
            <w:sz w:val="24"/>
            <w:szCs w:val="24"/>
          </w:rPr>
          <w:t>https://www.leagle.com/decision/infdco20210811a71</w:t>
        </w:r>
      </w:hyperlink>
      <w:r>
        <w:rPr>
          <w:rFonts w:ascii="Times New Roman" w:hAnsi="Times New Roman"/>
          <w:sz w:val="24"/>
          <w:szCs w:val="24"/>
        </w:rPr>
        <w:t xml:space="preserve"> </w:t>
      </w:r>
    </w:p>
    <w:p w14:paraId="1530B6D8" w14:textId="77777777" w:rsidR="002F610D" w:rsidRDefault="002F610D" w:rsidP="002F610D">
      <w:pPr>
        <w:tabs>
          <w:tab w:val="left" w:pos="3100"/>
        </w:tabs>
        <w:rPr>
          <w:rFonts w:ascii="Times New Roman" w:hAnsi="Times New Roman"/>
          <w:b/>
          <w:bCs/>
          <w:sz w:val="24"/>
          <w:szCs w:val="24"/>
        </w:rPr>
      </w:pPr>
      <w:r w:rsidRPr="00A837A2">
        <w:rPr>
          <w:rFonts w:ascii="Times New Roman" w:hAnsi="Times New Roman"/>
          <w:b/>
          <w:bCs/>
          <w:sz w:val="24"/>
          <w:szCs w:val="24"/>
        </w:rPr>
        <w:t>Legal Lesson Learned:</w:t>
      </w:r>
      <w:r>
        <w:rPr>
          <w:rFonts w:ascii="Times New Roman" w:hAnsi="Times New Roman"/>
          <w:b/>
          <w:bCs/>
          <w:sz w:val="24"/>
          <w:szCs w:val="24"/>
        </w:rPr>
        <w:t xml:space="preserve"> Watch the video of Aug. 20, </w:t>
      </w:r>
      <w:proofErr w:type="gramStart"/>
      <w:r>
        <w:rPr>
          <w:rFonts w:ascii="Times New Roman" w:hAnsi="Times New Roman"/>
          <w:b/>
          <w:bCs/>
          <w:sz w:val="24"/>
          <w:szCs w:val="24"/>
        </w:rPr>
        <w:t>2019</w:t>
      </w:r>
      <w:proofErr w:type="gramEnd"/>
      <w:r>
        <w:rPr>
          <w:rFonts w:ascii="Times New Roman" w:hAnsi="Times New Roman"/>
          <w:b/>
          <w:bCs/>
          <w:sz w:val="24"/>
          <w:szCs w:val="24"/>
        </w:rPr>
        <w:t xml:space="preserve"> arrest of the plaintiff; would your EMS protocol allow Ketamine to be used? </w:t>
      </w:r>
    </w:p>
    <w:p w14:paraId="08E33365" w14:textId="77777777" w:rsidR="002F610D" w:rsidRDefault="002F610D" w:rsidP="002F610D">
      <w:pPr>
        <w:pStyle w:val="NoSpacing"/>
        <w:ind w:left="720"/>
        <w:rPr>
          <w:rStyle w:val="Hyperlink"/>
          <w:sz w:val="24"/>
          <w:szCs w:val="24"/>
        </w:rPr>
      </w:pPr>
      <w:r w:rsidRPr="00A837A2">
        <w:rPr>
          <w:rStyle w:val="style-scope"/>
          <w:rFonts w:ascii="Times New Roman" w:hAnsi="Times New Roman"/>
          <w:sz w:val="24"/>
          <w:szCs w:val="24"/>
        </w:rPr>
        <w:t xml:space="preserve">Note: This is bodycam footage from the Aug. 20, </w:t>
      </w:r>
      <w:proofErr w:type="gramStart"/>
      <w:r w:rsidRPr="00A837A2">
        <w:rPr>
          <w:rStyle w:val="style-scope"/>
          <w:rFonts w:ascii="Times New Roman" w:hAnsi="Times New Roman"/>
          <w:sz w:val="24"/>
          <w:szCs w:val="24"/>
        </w:rPr>
        <w:t>2019</w:t>
      </w:r>
      <w:proofErr w:type="gramEnd"/>
      <w:r w:rsidRPr="00A837A2">
        <w:rPr>
          <w:rStyle w:val="style-scope"/>
          <w:rFonts w:ascii="Times New Roman" w:hAnsi="Times New Roman"/>
          <w:sz w:val="24"/>
          <w:szCs w:val="24"/>
        </w:rPr>
        <w:t xml:space="preserve"> arrest of Elijah McKnight by Arapahoe County deputies, and South Metro Fire. </w:t>
      </w:r>
      <w:hyperlink r:id="rId2345" w:history="1">
        <w:r w:rsidRPr="00A837A2">
          <w:rPr>
            <w:rStyle w:val="Hyperlink"/>
            <w:sz w:val="24"/>
            <w:szCs w:val="24"/>
          </w:rPr>
          <w:t>https://www.youtube.com/watch?v=DDCANExSv1Q</w:t>
        </w:r>
      </w:hyperlink>
    </w:p>
    <w:p w14:paraId="0F3762A4" w14:textId="77777777" w:rsidR="002F610D" w:rsidRDefault="002F610D" w:rsidP="002F610D">
      <w:pPr>
        <w:pStyle w:val="NoSpacing"/>
        <w:ind w:left="720"/>
        <w:rPr>
          <w:rStyle w:val="Hyperlink"/>
          <w:sz w:val="24"/>
          <w:szCs w:val="24"/>
        </w:rPr>
      </w:pPr>
    </w:p>
    <w:p w14:paraId="5ACFE2DA" w14:textId="77777777" w:rsidR="002F610D" w:rsidRPr="00E145B7" w:rsidRDefault="002F610D" w:rsidP="002F610D">
      <w:pPr>
        <w:pStyle w:val="NoSpacing"/>
        <w:ind w:left="720"/>
        <w:rPr>
          <w:rFonts w:ascii="Times New Roman" w:hAnsi="Times New Roman"/>
          <w:b/>
          <w:bCs/>
          <w:sz w:val="24"/>
          <w:szCs w:val="24"/>
        </w:rPr>
      </w:pPr>
      <w:r w:rsidRPr="00E145B7">
        <w:rPr>
          <w:rFonts w:ascii="Times New Roman" w:hAnsi="Times New Roman"/>
          <w:sz w:val="24"/>
          <w:szCs w:val="24"/>
        </w:rPr>
        <w:t xml:space="preserve">See Sept. 2, </w:t>
      </w:r>
      <w:proofErr w:type="gramStart"/>
      <w:r w:rsidRPr="00E145B7">
        <w:rPr>
          <w:rFonts w:ascii="Times New Roman" w:hAnsi="Times New Roman"/>
          <w:sz w:val="24"/>
          <w:szCs w:val="24"/>
        </w:rPr>
        <w:t>2021</w:t>
      </w:r>
      <w:proofErr w:type="gramEnd"/>
      <w:r w:rsidRPr="00E145B7">
        <w:rPr>
          <w:rFonts w:ascii="Times New Roman" w:hAnsi="Times New Roman"/>
          <w:sz w:val="24"/>
          <w:szCs w:val="24"/>
        </w:rPr>
        <w:t xml:space="preserve"> article: “</w:t>
      </w:r>
      <w:r w:rsidRPr="00E145B7">
        <w:rPr>
          <w:rStyle w:val="dfm-title"/>
          <w:rFonts w:ascii="Times New Roman" w:hAnsi="Times New Roman"/>
          <w:sz w:val="24"/>
          <w:szCs w:val="24"/>
        </w:rPr>
        <w:t>Elijah McClain indictment: Case against Aurora police officers and paramedics comes down to intent, experts say.”</w:t>
      </w:r>
      <w:r w:rsidRPr="00E145B7">
        <w:rPr>
          <w:rFonts w:ascii="Times New Roman" w:hAnsi="Times New Roman"/>
          <w:sz w:val="24"/>
          <w:szCs w:val="24"/>
        </w:rPr>
        <w:t xml:space="preserve">  McClain was on his way to a convenience store on Aug. 24, 2019, when someone called 911 to report a suspicious person. When the 23-year-old refused to stop walking after being contacted by three Aurora police officers, they tackled him to the ground, threw on handcuffs and used a now-banned chokehold.</w:t>
      </w:r>
      <w:r>
        <w:rPr>
          <w:rFonts w:ascii="Times New Roman" w:hAnsi="Times New Roman"/>
          <w:sz w:val="24"/>
          <w:szCs w:val="24"/>
        </w:rPr>
        <w:t xml:space="preserve"> </w:t>
      </w:r>
      <w:r w:rsidRPr="00E145B7">
        <w:rPr>
          <w:rFonts w:ascii="Times New Roman" w:eastAsia="Times New Roman" w:hAnsi="Times New Roman"/>
          <w:sz w:val="24"/>
          <w:szCs w:val="24"/>
        </w:rPr>
        <w:t>Paramedics then injected him with far more ketamine than is required for a person of McClain’s size. The Aurora man suffered cardiac arrest on the way to the hospital, where he was later declared brain dead. He died Aug. 30, 2019, after being removed from life support.</w:t>
      </w:r>
      <w:r>
        <w:rPr>
          <w:rFonts w:ascii="Times New Roman" w:eastAsia="Times New Roman" w:hAnsi="Times New Roman"/>
          <w:sz w:val="24"/>
          <w:szCs w:val="24"/>
        </w:rPr>
        <w:t xml:space="preserve">” </w:t>
      </w:r>
      <w:hyperlink r:id="rId2346" w:history="1">
        <w:r w:rsidRPr="00E145B7">
          <w:rPr>
            <w:rStyle w:val="Hyperlink"/>
            <w:sz w:val="24"/>
            <w:szCs w:val="24"/>
          </w:rPr>
          <w:t>https://www.denverpost.com/2021/09/02/elijah-mclain-charges-manslaughter-negligent-homicide/</w:t>
        </w:r>
      </w:hyperlink>
      <w:r w:rsidRPr="00E145B7">
        <w:rPr>
          <w:rStyle w:val="dfm-title"/>
          <w:rFonts w:ascii="Times New Roman" w:hAnsi="Times New Roman"/>
          <w:b/>
          <w:bCs/>
          <w:sz w:val="24"/>
          <w:szCs w:val="24"/>
        </w:rPr>
        <w:t xml:space="preserve">  </w:t>
      </w:r>
    </w:p>
    <w:p w14:paraId="0730AA47" w14:textId="77777777" w:rsidR="002F610D" w:rsidRDefault="002F610D" w:rsidP="002B1283">
      <w:pPr>
        <w:rPr>
          <w:rFonts w:ascii="Arial Black" w:hAnsi="Arial Black"/>
          <w:b/>
          <w:bCs/>
          <w:sz w:val="28"/>
          <w:szCs w:val="28"/>
        </w:rPr>
      </w:pPr>
    </w:p>
    <w:p w14:paraId="2A5598D8" w14:textId="77777777" w:rsidR="002F610D" w:rsidRDefault="002F610D" w:rsidP="002B1283">
      <w:pPr>
        <w:rPr>
          <w:rFonts w:ascii="Arial Black" w:hAnsi="Arial Black"/>
          <w:b/>
          <w:bCs/>
          <w:sz w:val="28"/>
          <w:szCs w:val="28"/>
        </w:rPr>
      </w:pPr>
    </w:p>
    <w:p w14:paraId="02C3F112" w14:textId="279F6E42" w:rsidR="00A82898" w:rsidRDefault="00A82898" w:rsidP="002B1283">
      <w:pPr>
        <w:rPr>
          <w:rFonts w:ascii="Arial Black" w:hAnsi="Arial Black"/>
          <w:b/>
          <w:bCs/>
          <w:sz w:val="28"/>
          <w:szCs w:val="28"/>
        </w:rPr>
      </w:pPr>
      <w:r>
        <w:rPr>
          <w:rFonts w:ascii="Arial Black" w:hAnsi="Arial Black"/>
          <w:b/>
          <w:bCs/>
          <w:sz w:val="28"/>
          <w:szCs w:val="28"/>
        </w:rPr>
        <w:t>13-90</w:t>
      </w:r>
    </w:p>
    <w:p w14:paraId="7AEB7D3B" w14:textId="77777777" w:rsidR="00A82898" w:rsidRPr="00FE7B26" w:rsidRDefault="00A82898" w:rsidP="00A82898">
      <w:pPr>
        <w:pStyle w:val="Heading1"/>
        <w:rPr>
          <w:rFonts w:ascii="Arial Black" w:hAnsi="Arial Black"/>
          <w:sz w:val="28"/>
          <w:szCs w:val="28"/>
        </w:rPr>
      </w:pPr>
      <w:r>
        <w:rPr>
          <w:rFonts w:ascii="Arial Black" w:hAnsi="Arial Black"/>
          <w:sz w:val="28"/>
          <w:szCs w:val="28"/>
        </w:rPr>
        <w:t xml:space="preserve">CA: ENTERING HOME WITHOUT WARRANT – NOT FOR ARREST MINOR OFFENSE – OK FOR EMERGENGY MEDICAL </w:t>
      </w:r>
    </w:p>
    <w:p w14:paraId="37304D13" w14:textId="77777777" w:rsidR="00A82898" w:rsidRPr="00664561" w:rsidRDefault="00A82898" w:rsidP="00A82898">
      <w:pPr>
        <w:pStyle w:val="Heading1"/>
        <w:rPr>
          <w:rStyle w:val="markedcontent"/>
          <w:b w:val="0"/>
          <w:bCs w:val="0"/>
          <w:sz w:val="24"/>
          <w:szCs w:val="24"/>
        </w:rPr>
      </w:pPr>
      <w:r>
        <w:rPr>
          <w:rStyle w:val="markedcontent"/>
          <w:b w:val="0"/>
          <w:bCs w:val="0"/>
          <w:sz w:val="24"/>
          <w:szCs w:val="24"/>
        </w:rPr>
        <w:t xml:space="preserve">On June 23, 2021, in </w:t>
      </w:r>
      <w:r w:rsidRPr="00E64EE8">
        <w:rPr>
          <w:rStyle w:val="markedcontent"/>
          <w:b w:val="0"/>
          <w:bCs w:val="0"/>
          <w:sz w:val="24"/>
          <w:szCs w:val="24"/>
          <w:u w:val="single"/>
        </w:rPr>
        <w:t>Arthur Gregory Lane v. California</w:t>
      </w:r>
      <w:r>
        <w:rPr>
          <w:rStyle w:val="markedcontent"/>
          <w:b w:val="0"/>
          <w:bCs w:val="0"/>
          <w:sz w:val="24"/>
          <w:szCs w:val="24"/>
        </w:rPr>
        <w:t>, the U.S. Supreme Court held (9 to 0) in opinion by Justice Elena Kagan that t</w:t>
      </w:r>
      <w:r w:rsidRPr="00E64EE8">
        <w:rPr>
          <w:rStyle w:val="markedcontent"/>
          <w:b w:val="0"/>
          <w:bCs w:val="0"/>
          <w:sz w:val="24"/>
          <w:szCs w:val="24"/>
        </w:rPr>
        <w:t xml:space="preserve">he Fourth Amendment ordinarily requires that police officers get a warrant before entering a home without permission. But </w:t>
      </w:r>
      <w:r>
        <w:rPr>
          <w:rStyle w:val="markedcontent"/>
          <w:b w:val="0"/>
          <w:bCs w:val="0"/>
          <w:sz w:val="24"/>
          <w:szCs w:val="24"/>
        </w:rPr>
        <w:t xml:space="preserve">important to Fire &amp; EMS, </w:t>
      </w:r>
      <w:r w:rsidRPr="00E64EE8">
        <w:rPr>
          <w:rStyle w:val="markedcontent"/>
          <w:b w:val="0"/>
          <w:bCs w:val="0"/>
          <w:sz w:val="24"/>
          <w:szCs w:val="24"/>
        </w:rPr>
        <w:t>an officer may make a warrantless entry</w:t>
      </w:r>
      <w:r>
        <w:rPr>
          <w:rStyle w:val="markedcontent"/>
          <w:b w:val="0"/>
          <w:bCs w:val="0"/>
          <w:sz w:val="24"/>
          <w:szCs w:val="24"/>
        </w:rPr>
        <w:t xml:space="preserve"> </w:t>
      </w:r>
      <w:r w:rsidRPr="00E64EE8">
        <w:rPr>
          <w:rStyle w:val="markedcontent"/>
          <w:b w:val="0"/>
          <w:bCs w:val="0"/>
          <w:sz w:val="24"/>
          <w:szCs w:val="24"/>
        </w:rPr>
        <w:t>when “the exigencies of the situation” create a compelling law enforcement need.</w:t>
      </w:r>
      <w:r>
        <w:rPr>
          <w:rStyle w:val="markedcontent"/>
          <w:b w:val="0"/>
          <w:bCs w:val="0"/>
          <w:sz w:val="24"/>
          <w:szCs w:val="24"/>
        </w:rPr>
        <w:t xml:space="preserve">  In this case, Mr. Lane was driving his vehicle with loud noise, and when State Patrol tried to pull him over near his home, he drove into his garage – where he was arrested for driving under influence and failure to stop.  The Court rejected the State’s argument that </w:t>
      </w:r>
      <w:r w:rsidRPr="00664561">
        <w:rPr>
          <w:rStyle w:val="markedcontent"/>
          <w:b w:val="0"/>
          <w:bCs w:val="0"/>
          <w:sz w:val="24"/>
          <w:szCs w:val="24"/>
        </w:rPr>
        <w:t>the</w:t>
      </w:r>
      <w:r>
        <w:rPr>
          <w:rStyle w:val="markedcontent"/>
          <w:b w:val="0"/>
          <w:bCs w:val="0"/>
          <w:sz w:val="24"/>
          <w:szCs w:val="24"/>
        </w:rPr>
        <w:t xml:space="preserve"> </w:t>
      </w:r>
      <w:r w:rsidRPr="00664561">
        <w:rPr>
          <w:rStyle w:val="markedcontent"/>
          <w:b w:val="0"/>
          <w:bCs w:val="0"/>
          <w:sz w:val="24"/>
          <w:szCs w:val="24"/>
        </w:rPr>
        <w:t>pursuit of a suspected misdemeanant always qualifies as an</w:t>
      </w:r>
      <w:r>
        <w:rPr>
          <w:rStyle w:val="markedcontent"/>
          <w:b w:val="0"/>
          <w:bCs w:val="0"/>
          <w:sz w:val="24"/>
          <w:szCs w:val="24"/>
        </w:rPr>
        <w:t xml:space="preserve"> </w:t>
      </w:r>
      <w:r w:rsidRPr="00664561">
        <w:rPr>
          <w:rStyle w:val="markedcontent"/>
          <w:b w:val="0"/>
          <w:bCs w:val="0"/>
          <w:sz w:val="24"/>
          <w:szCs w:val="24"/>
        </w:rPr>
        <w:t>exigent circumstance authorizing a warrantless home entry</w:t>
      </w:r>
      <w:r>
        <w:rPr>
          <w:rStyle w:val="markedcontent"/>
          <w:b w:val="0"/>
          <w:bCs w:val="0"/>
          <w:sz w:val="24"/>
          <w:szCs w:val="24"/>
        </w:rPr>
        <w:t xml:space="preserve">.  The state trial court judge had denied defendant’s motion to suppress, and this was upheld by California Court of Appeal; now the case will be sent back to </w:t>
      </w:r>
      <w:proofErr w:type="gramStart"/>
      <w:r>
        <w:rPr>
          <w:rStyle w:val="markedcontent"/>
          <w:b w:val="0"/>
          <w:bCs w:val="0"/>
          <w:sz w:val="24"/>
          <w:szCs w:val="24"/>
        </w:rPr>
        <w:t>California</w:t>
      </w:r>
      <w:proofErr w:type="gramEnd"/>
      <w:r>
        <w:rPr>
          <w:rStyle w:val="markedcontent"/>
          <w:b w:val="0"/>
          <w:bCs w:val="0"/>
          <w:sz w:val="24"/>
          <w:szCs w:val="24"/>
        </w:rPr>
        <w:t xml:space="preserve"> and the prosecutor will likely dismiss all charges.  </w:t>
      </w:r>
    </w:p>
    <w:p w14:paraId="5309A97E" w14:textId="77777777" w:rsidR="00A82898" w:rsidRDefault="00A82898" w:rsidP="00A82898">
      <w:pPr>
        <w:pStyle w:val="Heading1"/>
        <w:ind w:left="720"/>
        <w:rPr>
          <w:rStyle w:val="markedcontent"/>
          <w:b w:val="0"/>
          <w:bCs w:val="0"/>
          <w:sz w:val="24"/>
          <w:szCs w:val="24"/>
        </w:rPr>
      </w:pPr>
      <w:r>
        <w:rPr>
          <w:rStyle w:val="markedcontent"/>
          <w:b w:val="0"/>
          <w:bCs w:val="0"/>
          <w:sz w:val="24"/>
          <w:szCs w:val="24"/>
        </w:rPr>
        <w:t>“</w:t>
      </w:r>
      <w:r w:rsidRPr="00E64EE8">
        <w:rPr>
          <w:rStyle w:val="markedcontent"/>
          <w:b w:val="0"/>
          <w:bCs w:val="0"/>
          <w:sz w:val="24"/>
          <w:szCs w:val="24"/>
        </w:rPr>
        <w:t>The flight of a suspected misdemeanant does not always</w:t>
      </w:r>
      <w:r>
        <w:rPr>
          <w:rStyle w:val="markedcontent"/>
          <w:b w:val="0"/>
          <w:bCs w:val="0"/>
          <w:sz w:val="24"/>
          <w:szCs w:val="24"/>
        </w:rPr>
        <w:t xml:space="preserve"> </w:t>
      </w:r>
      <w:r w:rsidRPr="00E64EE8">
        <w:rPr>
          <w:rStyle w:val="markedcontent"/>
          <w:b w:val="0"/>
          <w:bCs w:val="0"/>
          <w:sz w:val="24"/>
          <w:szCs w:val="24"/>
        </w:rPr>
        <w:t xml:space="preserve">justify a warrantless entry into a home. An officer must consider all the circumstances in a pursuit case to </w:t>
      </w:r>
      <w:proofErr w:type="gramStart"/>
      <w:r w:rsidRPr="00E64EE8">
        <w:rPr>
          <w:rStyle w:val="markedcontent"/>
          <w:b w:val="0"/>
          <w:bCs w:val="0"/>
          <w:sz w:val="24"/>
          <w:szCs w:val="24"/>
        </w:rPr>
        <w:t>deter-mine</w:t>
      </w:r>
      <w:proofErr w:type="gramEnd"/>
      <w:r w:rsidRPr="00E64EE8">
        <w:rPr>
          <w:rStyle w:val="markedcontent"/>
          <w:b w:val="0"/>
          <w:bCs w:val="0"/>
          <w:sz w:val="24"/>
          <w:szCs w:val="24"/>
        </w:rPr>
        <w:t xml:space="preserve"> whether there is a law enforcement emergency. On many occasions, the officer will have good reason to enter—to prevent imminent harms of violence, destruction of evidence, or escape from the home. But when the officer has time to get a warrant, he must do so—even though the misdemeanant fled.</w:t>
      </w:r>
    </w:p>
    <w:p w14:paraId="34B82D93" w14:textId="77777777" w:rsidR="00A82898" w:rsidRPr="00E64EE8" w:rsidRDefault="00A82898" w:rsidP="00A82898">
      <w:pPr>
        <w:pStyle w:val="Heading1"/>
        <w:ind w:firstLine="720"/>
        <w:rPr>
          <w:rStyle w:val="markedcontent"/>
          <w:b w:val="0"/>
          <w:bCs w:val="0"/>
          <w:sz w:val="24"/>
          <w:szCs w:val="24"/>
        </w:rPr>
      </w:pPr>
      <w:r>
        <w:rPr>
          <w:rStyle w:val="markedcontent"/>
          <w:b w:val="0"/>
          <w:bCs w:val="0"/>
          <w:sz w:val="24"/>
          <w:szCs w:val="24"/>
        </w:rPr>
        <w:t>***</w:t>
      </w:r>
    </w:p>
    <w:p w14:paraId="7EEA18EF" w14:textId="18B94256" w:rsidR="00A82898" w:rsidRPr="00A82898" w:rsidRDefault="00A82898" w:rsidP="00A82898">
      <w:pPr>
        <w:rPr>
          <w:rFonts w:ascii="Times New Roman" w:hAnsi="Times New Roman"/>
          <w:sz w:val="24"/>
          <w:szCs w:val="24"/>
        </w:rPr>
      </w:pPr>
      <w:r w:rsidRPr="00A82898">
        <w:rPr>
          <w:rStyle w:val="markedcontent"/>
          <w:rFonts w:ascii="Times New Roman" w:hAnsi="Times New Roman"/>
          <w:sz w:val="24"/>
          <w:szCs w:val="24"/>
        </w:rPr>
        <w:t>One important exception is for exigent circumstances. It applies when ‘the exigencies of the situation make the needs of law enforcement so compelling that [a] warrantless search is objectively reasonable.’ King, 563 U. S., at 460 (internal quotation marks omitted). The exception enables law enforcement officers to handle ‘</w:t>
      </w:r>
      <w:proofErr w:type="spellStart"/>
      <w:r w:rsidRPr="00A82898">
        <w:rPr>
          <w:rStyle w:val="markedcontent"/>
          <w:rFonts w:ascii="Times New Roman" w:hAnsi="Times New Roman"/>
          <w:sz w:val="24"/>
          <w:szCs w:val="24"/>
        </w:rPr>
        <w:t>emergenc</w:t>
      </w:r>
      <w:proofErr w:type="spellEnd"/>
      <w:r w:rsidRPr="00A82898">
        <w:rPr>
          <w:rStyle w:val="markedcontent"/>
          <w:rFonts w:ascii="Times New Roman" w:hAnsi="Times New Roman"/>
          <w:sz w:val="24"/>
          <w:szCs w:val="24"/>
        </w:rPr>
        <w:t>[</w:t>
      </w:r>
      <w:proofErr w:type="spellStart"/>
      <w:r w:rsidRPr="00A82898">
        <w:rPr>
          <w:rStyle w:val="markedcontent"/>
          <w:rFonts w:ascii="Times New Roman" w:hAnsi="Times New Roman"/>
          <w:sz w:val="24"/>
          <w:szCs w:val="24"/>
        </w:rPr>
        <w:t>ies</w:t>
      </w:r>
      <w:proofErr w:type="spellEnd"/>
      <w:r w:rsidRPr="00A82898">
        <w:rPr>
          <w:rStyle w:val="markedcontent"/>
          <w:rFonts w:ascii="Times New Roman" w:hAnsi="Times New Roman"/>
          <w:sz w:val="24"/>
          <w:szCs w:val="24"/>
        </w:rPr>
        <w:t xml:space="preserve">]’—situations presenting a ‘compelling need for official action and no time to secure a warrant.’ Riley, 573 U. S., at 402; Missouri v. McNeely, 569 U. S. 141, 149 (2013). Over the years, this Court has identified several such exigencies. An officer, for example, may ‘enter a home without a warrant to render emergency assistance to an injured occupant[,] to protect an occupant from imminent injury,’ or to ensure his own safety.” </w:t>
      </w:r>
      <w:hyperlink r:id="rId2347" w:history="1">
        <w:r w:rsidRPr="00A82898">
          <w:rPr>
            <w:rStyle w:val="Hyperlink"/>
            <w:rFonts w:ascii="Times New Roman" w:hAnsi="Times New Roman"/>
            <w:sz w:val="24"/>
            <w:szCs w:val="24"/>
          </w:rPr>
          <w:t>https://www.supremecourt.gov/opinions/20pdf/20-18_cb7d.pdf</w:t>
        </w:r>
      </w:hyperlink>
    </w:p>
    <w:p w14:paraId="514B6465" w14:textId="77777777" w:rsidR="00A82898" w:rsidRPr="00B14793" w:rsidRDefault="00A82898" w:rsidP="00A82898">
      <w:pPr>
        <w:rPr>
          <w:rFonts w:ascii="Times New Roman" w:hAnsi="Times New Roman"/>
          <w:b/>
          <w:bCs/>
          <w:sz w:val="24"/>
          <w:szCs w:val="24"/>
        </w:rPr>
      </w:pPr>
      <w:r w:rsidRPr="00B14793">
        <w:rPr>
          <w:rFonts w:ascii="Times New Roman" w:hAnsi="Times New Roman"/>
          <w:b/>
          <w:bCs/>
          <w:sz w:val="24"/>
          <w:szCs w:val="24"/>
        </w:rPr>
        <w:t>Legal Lesson Learned:  Fire &amp; EMS may continue to request police assistance to make a warrantless entry where there is a medical emergency.</w:t>
      </w:r>
    </w:p>
    <w:p w14:paraId="17A28816" w14:textId="77777777" w:rsidR="00A82898" w:rsidRDefault="00A82898" w:rsidP="002B1283">
      <w:pPr>
        <w:rPr>
          <w:rFonts w:ascii="Arial Black" w:hAnsi="Arial Black"/>
          <w:b/>
          <w:bCs/>
          <w:sz w:val="28"/>
          <w:szCs w:val="28"/>
        </w:rPr>
      </w:pPr>
    </w:p>
    <w:p w14:paraId="70C97070" w14:textId="77777777" w:rsidR="00A82898" w:rsidRDefault="00A82898" w:rsidP="002B1283">
      <w:pPr>
        <w:rPr>
          <w:rFonts w:ascii="Arial Black" w:hAnsi="Arial Black"/>
          <w:b/>
          <w:bCs/>
          <w:sz w:val="28"/>
          <w:szCs w:val="28"/>
        </w:rPr>
      </w:pPr>
    </w:p>
    <w:p w14:paraId="7F474C82" w14:textId="09FE97F5" w:rsidR="00A82898" w:rsidRDefault="00A82898" w:rsidP="002B1283">
      <w:pPr>
        <w:rPr>
          <w:rFonts w:ascii="Arial Black" w:hAnsi="Arial Black"/>
          <w:b/>
          <w:bCs/>
          <w:sz w:val="28"/>
          <w:szCs w:val="28"/>
        </w:rPr>
      </w:pPr>
      <w:r>
        <w:rPr>
          <w:rFonts w:ascii="Arial Black" w:hAnsi="Arial Black"/>
          <w:b/>
          <w:bCs/>
          <w:sz w:val="28"/>
          <w:szCs w:val="28"/>
        </w:rPr>
        <w:t>13-89</w:t>
      </w:r>
    </w:p>
    <w:p w14:paraId="6B874C02" w14:textId="77777777" w:rsidR="00A82898" w:rsidRPr="00523D80" w:rsidRDefault="00A82898" w:rsidP="00A82898">
      <w:pPr>
        <w:pStyle w:val="Heading1"/>
        <w:rPr>
          <w:rFonts w:ascii="Arial Black" w:hAnsi="Arial Black"/>
          <w:sz w:val="28"/>
          <w:szCs w:val="28"/>
        </w:rPr>
      </w:pPr>
      <w:r>
        <w:rPr>
          <w:rFonts w:ascii="Arial Black" w:hAnsi="Arial Black"/>
          <w:sz w:val="28"/>
          <w:szCs w:val="28"/>
        </w:rPr>
        <w:t xml:space="preserve">GA: POSSIBLE BID RIGGING - EMS CONTRACT - WIRETAP / SEARCH WARRANT ON ATTY – DA QUALIFIED IMMUNITY </w:t>
      </w:r>
    </w:p>
    <w:p w14:paraId="407BE781" w14:textId="77777777" w:rsidR="00A82898" w:rsidRDefault="00A82898" w:rsidP="00A82898">
      <w:pPr>
        <w:pStyle w:val="Heading1"/>
        <w:rPr>
          <w:b w:val="0"/>
          <w:bCs w:val="0"/>
          <w:sz w:val="24"/>
          <w:szCs w:val="24"/>
        </w:rPr>
      </w:pPr>
      <w:r>
        <w:rPr>
          <w:b w:val="0"/>
          <w:bCs w:val="0"/>
          <w:sz w:val="24"/>
          <w:szCs w:val="24"/>
        </w:rPr>
        <w:t xml:space="preserve">On June 22, 2021, in </w:t>
      </w:r>
      <w:r w:rsidRPr="00523D80">
        <w:rPr>
          <w:b w:val="0"/>
          <w:bCs w:val="0"/>
          <w:sz w:val="24"/>
          <w:szCs w:val="24"/>
          <w:u w:val="single"/>
        </w:rPr>
        <w:t>Kevin A. Ross, Esq.</w:t>
      </w:r>
      <w:r>
        <w:rPr>
          <w:b w:val="0"/>
          <w:bCs w:val="0"/>
          <w:sz w:val="24"/>
          <w:szCs w:val="24"/>
          <w:u w:val="single"/>
        </w:rPr>
        <w:t>, Kevin Ross Public Affairs, LLC, The Law Practice of Kevin . Ross, LLC</w:t>
      </w:r>
      <w:r w:rsidRPr="00523D80">
        <w:rPr>
          <w:b w:val="0"/>
          <w:bCs w:val="0"/>
          <w:sz w:val="24"/>
          <w:szCs w:val="24"/>
          <w:u w:val="single"/>
        </w:rPr>
        <w:t xml:space="preserve"> v. Robert James, Dekalb County District Attorney and William C. Nix</w:t>
      </w:r>
      <w:r>
        <w:rPr>
          <w:b w:val="0"/>
          <w:bCs w:val="0"/>
          <w:sz w:val="24"/>
          <w:szCs w:val="24"/>
        </w:rPr>
        <w:t>, the U.S. Court of Appeals for 11</w:t>
      </w:r>
      <w:r w:rsidRPr="00523D80">
        <w:rPr>
          <w:b w:val="0"/>
          <w:bCs w:val="0"/>
          <w:sz w:val="24"/>
          <w:szCs w:val="24"/>
          <w:vertAlign w:val="superscript"/>
        </w:rPr>
        <w:t>th</w:t>
      </w:r>
      <w:r>
        <w:rPr>
          <w:b w:val="0"/>
          <w:bCs w:val="0"/>
          <w:sz w:val="24"/>
          <w:szCs w:val="24"/>
        </w:rPr>
        <w:t xml:space="preserve"> Circuit (Atlanta), held 3 to 0 (unpublished decision) that the trial court properly granted summary judgment to the DA and the DA’s investigator in lawsuit by Ross alleging violation of his 4</w:t>
      </w:r>
      <w:r w:rsidRPr="007C1575">
        <w:rPr>
          <w:b w:val="0"/>
          <w:bCs w:val="0"/>
          <w:sz w:val="24"/>
          <w:szCs w:val="24"/>
          <w:vertAlign w:val="superscript"/>
        </w:rPr>
        <w:t>th</w:t>
      </w:r>
      <w:r>
        <w:rPr>
          <w:b w:val="0"/>
          <w:bCs w:val="0"/>
          <w:sz w:val="24"/>
          <w:szCs w:val="24"/>
        </w:rPr>
        <w:t xml:space="preserve"> Amendment rights (42 U.S.C. 1983). since they were both entitled to qualified immunity. </w:t>
      </w:r>
    </w:p>
    <w:p w14:paraId="6C6D2696" w14:textId="77777777" w:rsidR="00A82898" w:rsidRDefault="00A82898" w:rsidP="00A82898">
      <w:pPr>
        <w:pStyle w:val="NormalWeb"/>
        <w:ind w:left="720"/>
      </w:pPr>
      <w:r>
        <w:t>“Kevin Ross is an attorney and political consultant who has managed several political campaigns, including Burrell Ellis's 2008 campaign for DeKalb County Chief Executive Office (‘CEO’).</w:t>
      </w:r>
      <w:hyperlink r:id="rId2348" w:anchor="fr2" w:history="1">
        <w:r w:rsidR="00814FB6">
          <w:rPr>
            <w:rStyle w:val="Hyperlink"/>
            <w:rFonts w:ascii="Calibri" w:eastAsia="Calibri" w:hAnsi="Calibri"/>
            <w:sz w:val="22"/>
            <w:szCs w:val="22"/>
          </w:rPr>
          <w:t>https://public.fastcase.com/ - fr2</w:t>
        </w:r>
      </w:hyperlink>
      <w:r>
        <w:rPr>
          <w:sz w:val="20"/>
          <w:szCs w:val="20"/>
          <w:vertAlign w:val="superscript"/>
        </w:rPr>
        <w:t xml:space="preserve"> </w:t>
      </w:r>
      <w:r>
        <w:t xml:space="preserve"> Robert James, then the District Attorney for DeKalb County, Georgia, applied for and obtained a wiretap authorization to intercept and record Ross's telephone communications on the basis that there was probable cause to believe that Ross; Ellis, then CEO for DeKalb County; and others were committing 11 criminal offenses, including extortion, bribery, and ‘[c]</w:t>
      </w:r>
      <w:proofErr w:type="spellStart"/>
      <w:r>
        <w:t>onspiracy</w:t>
      </w:r>
      <w:proofErr w:type="spellEnd"/>
      <w:r>
        <w:t xml:space="preserve"> in restraint of free and open competition in transactions with state or political subdivision," i.e., bid rigging. Doc. 111-1 at 3.</w:t>
      </w:r>
      <w:bookmarkStart w:id="449" w:name="fn4"/>
      <w:r>
        <w:rPr>
          <w:sz w:val="20"/>
          <w:szCs w:val="20"/>
          <w:vertAlign w:val="superscript"/>
        </w:rPr>
        <w:fldChar w:fldCharType="begin"/>
      </w:r>
      <w:r>
        <w:rPr>
          <w:sz w:val="20"/>
          <w:szCs w:val="20"/>
          <w:vertAlign w:val="superscript"/>
        </w:rPr>
        <w:instrText xml:space="preserve"> HYPERLINK "https://public.fastcase.com/" \l "fr4"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https://public.fastcase.com/ - fr4</w:t>
      </w:r>
      <w:r>
        <w:rPr>
          <w:sz w:val="20"/>
          <w:szCs w:val="20"/>
          <w:vertAlign w:val="superscript"/>
        </w:rPr>
        <w:fldChar w:fldCharType="end"/>
      </w:r>
      <w:bookmarkEnd w:id="449"/>
      <w:r>
        <w:rPr>
          <w:sz w:val="20"/>
          <w:szCs w:val="20"/>
          <w:vertAlign w:val="superscript"/>
        </w:rPr>
        <w:t xml:space="preserve"> </w:t>
      </w:r>
      <w:r>
        <w:t xml:space="preserve">The application included an affidavit by William Nix, an investigator for the DeKalb County District Attorney's </w:t>
      </w:r>
      <w:proofErr w:type="gramStart"/>
      <w:r>
        <w:t>Office (‘</w:t>
      </w:r>
      <w:proofErr w:type="gramEnd"/>
      <w:r>
        <w:t>DA's Office’), setting forth factual allegations supporting the request for a wiretap.</w:t>
      </w:r>
    </w:p>
    <w:p w14:paraId="326E49D2" w14:textId="77777777" w:rsidR="00A82898" w:rsidRDefault="00A82898" w:rsidP="00A82898">
      <w:pPr>
        <w:pStyle w:val="NormalWeb"/>
        <w:ind w:left="720"/>
      </w:pPr>
      <w:r>
        <w:t>***</w:t>
      </w:r>
    </w:p>
    <w:p w14:paraId="4C12C48C" w14:textId="77777777" w:rsidR="00A82898" w:rsidRDefault="00A82898" w:rsidP="00A82898">
      <w:pPr>
        <w:pStyle w:val="Heading1"/>
        <w:ind w:left="720"/>
        <w:rPr>
          <w:b w:val="0"/>
          <w:bCs w:val="0"/>
          <w:sz w:val="24"/>
          <w:szCs w:val="24"/>
        </w:rPr>
      </w:pPr>
      <w:r w:rsidRPr="00523D80">
        <w:rPr>
          <w:b w:val="0"/>
          <w:bCs w:val="0"/>
          <w:sz w:val="24"/>
          <w:szCs w:val="24"/>
        </w:rPr>
        <w:t>About a month after the DA's Office received the wiretap authorization, it applied for and obtained a search warrant for Ross's home and office. The application included a supporting affidavit, also by Nix. The search warrant affidavit was largely identical to the wiretap affidavit, except it also included information obtained from the wiretap.</w:t>
      </w:r>
    </w:p>
    <w:p w14:paraId="070AFEBD" w14:textId="77777777" w:rsidR="00A82898" w:rsidRDefault="00A82898" w:rsidP="00A82898">
      <w:pPr>
        <w:pStyle w:val="Heading1"/>
        <w:ind w:left="720"/>
        <w:rPr>
          <w:b w:val="0"/>
          <w:bCs w:val="0"/>
          <w:sz w:val="24"/>
          <w:szCs w:val="24"/>
        </w:rPr>
      </w:pPr>
      <w:r>
        <w:rPr>
          <w:b w:val="0"/>
          <w:bCs w:val="0"/>
          <w:sz w:val="24"/>
          <w:szCs w:val="24"/>
        </w:rPr>
        <w:t>***</w:t>
      </w:r>
    </w:p>
    <w:p w14:paraId="4BDB3DE6" w14:textId="77777777" w:rsidR="00A82898" w:rsidRDefault="00A82898" w:rsidP="00A82898">
      <w:pPr>
        <w:pStyle w:val="Heading1"/>
        <w:ind w:firstLine="720"/>
        <w:rPr>
          <w:b w:val="0"/>
          <w:bCs w:val="0"/>
          <w:sz w:val="24"/>
          <w:szCs w:val="24"/>
        </w:rPr>
      </w:pPr>
      <w:r w:rsidRPr="00523D80">
        <w:rPr>
          <w:b w:val="0"/>
          <w:bCs w:val="0"/>
          <w:sz w:val="24"/>
          <w:szCs w:val="24"/>
        </w:rPr>
        <w:t>Ultimately, the investigation resulted in no charges against Ross.</w:t>
      </w:r>
    </w:p>
    <w:p w14:paraId="34E284F6" w14:textId="77777777" w:rsidR="00A82898" w:rsidRDefault="00A82898" w:rsidP="00A82898">
      <w:pPr>
        <w:pStyle w:val="Heading1"/>
        <w:ind w:firstLine="720"/>
        <w:rPr>
          <w:b w:val="0"/>
          <w:bCs w:val="0"/>
          <w:sz w:val="24"/>
          <w:szCs w:val="24"/>
        </w:rPr>
      </w:pPr>
      <w:r>
        <w:rPr>
          <w:b w:val="0"/>
          <w:bCs w:val="0"/>
          <w:sz w:val="24"/>
          <w:szCs w:val="24"/>
        </w:rPr>
        <w:t>***</w:t>
      </w:r>
    </w:p>
    <w:p w14:paraId="71139420" w14:textId="77777777" w:rsidR="00A82898" w:rsidRDefault="00A82898" w:rsidP="00A82898">
      <w:pPr>
        <w:spacing w:before="100" w:beforeAutospacing="1" w:after="100" w:afterAutospacing="1" w:line="240" w:lineRule="auto"/>
        <w:ind w:left="720"/>
        <w:rPr>
          <w:rFonts w:ascii="Times New Roman" w:eastAsia="Times New Roman" w:hAnsi="Times New Roman"/>
          <w:sz w:val="24"/>
          <w:szCs w:val="24"/>
        </w:rPr>
      </w:pPr>
      <w:r w:rsidRPr="007C1575">
        <w:rPr>
          <w:rFonts w:ascii="Times New Roman" w:eastAsia="Times New Roman" w:hAnsi="Times New Roman"/>
          <w:sz w:val="24"/>
          <w:szCs w:val="24"/>
        </w:rPr>
        <w:t>A reasonable officer could conclude that these multiple conversations between Ross, Ellis, and Walton, the confidential source, indicated a tacit agreement to influence the bidding process for the EMS and PM Contracts. And Ellis made overt acts to further that goal by attempting to persuade the EMS Contract selection committee to permit exceptions sought by Ross's client and placing two members, Alvarado and Saunders, on the selection committee for the</w:t>
      </w:r>
      <w:r>
        <w:rPr>
          <w:rFonts w:ascii="Times New Roman" w:eastAsia="Times New Roman" w:hAnsi="Times New Roman"/>
          <w:sz w:val="24"/>
          <w:szCs w:val="24"/>
        </w:rPr>
        <w:t xml:space="preserve"> </w:t>
      </w:r>
      <w:r w:rsidRPr="007C1575">
        <w:rPr>
          <w:rFonts w:ascii="Times New Roman" w:eastAsia="Times New Roman" w:hAnsi="Times New Roman"/>
          <w:sz w:val="24"/>
          <w:szCs w:val="24"/>
        </w:rPr>
        <w:t>PM Contract. This, among other information set out in the affidavits, could lead a reasonable officer to believe that Ross was engaged in a conspiracy to restrain free and open competition in violation of Ga. Code Ann. § 16-10-22(b).</w:t>
      </w:r>
    </w:p>
    <w:p w14:paraId="172689C3" w14:textId="77777777" w:rsidR="00A82898" w:rsidRDefault="00A82898" w:rsidP="00A8289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C7FB450" w14:textId="77777777" w:rsidR="00A82898" w:rsidRPr="00B14793" w:rsidRDefault="00A82898" w:rsidP="00A82898">
      <w:pPr>
        <w:spacing w:before="100" w:beforeAutospacing="1" w:after="100" w:afterAutospacing="1" w:line="240" w:lineRule="auto"/>
        <w:ind w:left="720"/>
        <w:rPr>
          <w:rFonts w:ascii="Times New Roman" w:eastAsia="Times New Roman" w:hAnsi="Times New Roman"/>
          <w:sz w:val="24"/>
          <w:szCs w:val="24"/>
        </w:rPr>
      </w:pPr>
      <w:r w:rsidRPr="007C1575">
        <w:rPr>
          <w:rFonts w:ascii="Times New Roman" w:hAnsi="Times New Roman"/>
          <w:sz w:val="24"/>
          <w:szCs w:val="24"/>
        </w:rPr>
        <w:t>For the foregoing reasons, we conclude that James and Nix are entitled to qualified immunity from Ross's § 1983 suit. Thus, we affirm the district court's judgment.</w:t>
      </w:r>
      <w:r>
        <w:rPr>
          <w:rFonts w:ascii="Times New Roman" w:hAnsi="Times New Roman"/>
          <w:sz w:val="24"/>
          <w:szCs w:val="24"/>
        </w:rPr>
        <w:t>”</w:t>
      </w:r>
      <w:r w:rsidRPr="007C1575">
        <w:t xml:space="preserve"> </w:t>
      </w:r>
      <w:hyperlink r:id="rId2349" w:history="1">
        <w:r w:rsidRPr="00B14793">
          <w:rPr>
            <w:rStyle w:val="Hyperlink"/>
            <w:sz w:val="24"/>
            <w:szCs w:val="24"/>
          </w:rPr>
          <w:t>https://public.fastcase.com/9SKwsfNqTc6OieYDhNMyM83%2FYLJrcCtVmui0iqpJLDORGkxVmnXPTmwbGH4uC0ci</w:t>
        </w:r>
      </w:hyperlink>
      <w:r w:rsidRPr="00B14793">
        <w:rPr>
          <w:rFonts w:ascii="Times New Roman" w:hAnsi="Times New Roman"/>
          <w:sz w:val="24"/>
          <w:szCs w:val="24"/>
        </w:rPr>
        <w:t xml:space="preserve"> </w:t>
      </w:r>
    </w:p>
    <w:p w14:paraId="0A353CEE" w14:textId="48AA03FB" w:rsidR="00A82898" w:rsidRDefault="00A82898" w:rsidP="00A82898">
      <w:pPr>
        <w:pStyle w:val="Heading1"/>
        <w:rPr>
          <w:sz w:val="24"/>
          <w:szCs w:val="24"/>
        </w:rPr>
      </w:pPr>
      <w:r w:rsidRPr="003B7948">
        <w:rPr>
          <w:sz w:val="24"/>
          <w:szCs w:val="24"/>
        </w:rPr>
        <w:t xml:space="preserve">Legal Lesson Learned: </w:t>
      </w:r>
      <w:r>
        <w:rPr>
          <w:sz w:val="24"/>
          <w:szCs w:val="24"/>
        </w:rPr>
        <w:t xml:space="preserve"> District attorneys and their investigators enjoy “qualified immunity” when </w:t>
      </w:r>
      <w:proofErr w:type="gramStart"/>
      <w:r>
        <w:rPr>
          <w:sz w:val="24"/>
          <w:szCs w:val="24"/>
        </w:rPr>
        <w:t>conducting an investigation</w:t>
      </w:r>
      <w:proofErr w:type="gramEnd"/>
      <w:r>
        <w:rPr>
          <w:sz w:val="24"/>
          <w:szCs w:val="24"/>
        </w:rPr>
        <w:t>, even if no criminal charges are brought.  Fire &amp; EMS likewise enjoy qualified immunity when conducting their official duties in most states, unless the</w:t>
      </w:r>
      <w:r w:rsidR="008A0333">
        <w:rPr>
          <w:sz w:val="24"/>
          <w:szCs w:val="24"/>
        </w:rPr>
        <w:t>ir actions constitute willful or wanton misconduct.</w:t>
      </w:r>
      <w:r>
        <w:rPr>
          <w:sz w:val="24"/>
          <w:szCs w:val="24"/>
        </w:rPr>
        <w:t xml:space="preserve"> </w:t>
      </w:r>
    </w:p>
    <w:p w14:paraId="376F1E19" w14:textId="77777777" w:rsidR="00A82898" w:rsidRDefault="00A82898" w:rsidP="00A82898">
      <w:pPr>
        <w:pStyle w:val="Heading1"/>
        <w:ind w:left="720"/>
        <w:rPr>
          <w:b w:val="0"/>
          <w:bCs w:val="0"/>
          <w:sz w:val="24"/>
          <w:szCs w:val="24"/>
        </w:rPr>
      </w:pPr>
      <w:r w:rsidRPr="003B7948">
        <w:rPr>
          <w:b w:val="0"/>
          <w:bCs w:val="0"/>
          <w:sz w:val="24"/>
          <w:szCs w:val="24"/>
        </w:rPr>
        <w:t>For example, see</w:t>
      </w:r>
      <w:r>
        <w:rPr>
          <w:b w:val="0"/>
          <w:bCs w:val="0"/>
          <w:sz w:val="24"/>
          <w:szCs w:val="24"/>
        </w:rPr>
        <w:t xml:space="preserve"> Ohio Revised Code</w:t>
      </w:r>
      <w:r w:rsidRPr="003B7948">
        <w:rPr>
          <w:b w:val="0"/>
          <w:bCs w:val="0"/>
          <w:sz w:val="24"/>
          <w:szCs w:val="24"/>
        </w:rPr>
        <w:t xml:space="preserve">: Section 4765.49 </w:t>
      </w:r>
      <w:r w:rsidRPr="003B7948">
        <w:rPr>
          <w:rStyle w:val="codes-separator"/>
          <w:b w:val="0"/>
          <w:bCs w:val="0"/>
          <w:sz w:val="24"/>
          <w:szCs w:val="24"/>
        </w:rPr>
        <w:t>|</w:t>
      </w:r>
      <w:r w:rsidRPr="003B7948">
        <w:rPr>
          <w:b w:val="0"/>
          <w:bCs w:val="0"/>
          <w:sz w:val="24"/>
          <w:szCs w:val="24"/>
        </w:rPr>
        <w:t xml:space="preserve"> Emergency medical personnel and agencies - immunity.</w:t>
      </w:r>
    </w:p>
    <w:p w14:paraId="3CE2824B" w14:textId="77777777" w:rsidR="00A82898" w:rsidRPr="00B14793" w:rsidRDefault="00A82898" w:rsidP="00A82898">
      <w:pPr>
        <w:pStyle w:val="Heading1"/>
        <w:ind w:left="720"/>
        <w:rPr>
          <w:b w:val="0"/>
          <w:bCs w:val="0"/>
          <w:sz w:val="24"/>
          <w:szCs w:val="24"/>
        </w:rPr>
      </w:pPr>
      <w:r w:rsidRPr="003B7948">
        <w:rPr>
          <w:b w:val="0"/>
          <w:bCs w:val="0"/>
          <w:sz w:val="24"/>
          <w:szCs w:val="24"/>
        </w:rPr>
        <w:t>(A)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r>
        <w:rPr>
          <w:b w:val="0"/>
          <w:bCs w:val="0"/>
          <w:sz w:val="24"/>
          <w:szCs w:val="24"/>
        </w:rPr>
        <w:t xml:space="preserve"> </w:t>
      </w:r>
      <w:hyperlink r:id="rId2350" w:history="1">
        <w:r w:rsidRPr="00B14793">
          <w:rPr>
            <w:rStyle w:val="Hyperlink"/>
            <w:sz w:val="24"/>
            <w:szCs w:val="24"/>
          </w:rPr>
          <w:t>https://codes.ohio.gov/ohio-revised-code/section-4765.49</w:t>
        </w:r>
      </w:hyperlink>
      <w:r w:rsidRPr="00B14793">
        <w:rPr>
          <w:b w:val="0"/>
          <w:bCs w:val="0"/>
          <w:sz w:val="24"/>
          <w:szCs w:val="24"/>
        </w:rPr>
        <w:t xml:space="preserve"> </w:t>
      </w:r>
    </w:p>
    <w:p w14:paraId="07184ACE" w14:textId="77777777" w:rsidR="00A82898" w:rsidRDefault="00A82898" w:rsidP="002B1283">
      <w:pPr>
        <w:rPr>
          <w:rFonts w:ascii="Arial Black" w:hAnsi="Arial Black"/>
          <w:b/>
          <w:bCs/>
          <w:sz w:val="28"/>
          <w:szCs w:val="28"/>
        </w:rPr>
      </w:pPr>
    </w:p>
    <w:p w14:paraId="0FAFB85D" w14:textId="77777777" w:rsidR="00A82898" w:rsidRDefault="00A82898" w:rsidP="002B1283">
      <w:pPr>
        <w:rPr>
          <w:rFonts w:ascii="Arial Black" w:hAnsi="Arial Black"/>
          <w:b/>
          <w:bCs/>
          <w:sz w:val="28"/>
          <w:szCs w:val="28"/>
        </w:rPr>
      </w:pPr>
    </w:p>
    <w:p w14:paraId="5F2C8AFD" w14:textId="6D4F20F1" w:rsidR="00A82898" w:rsidRDefault="00A82898" w:rsidP="002B1283">
      <w:pPr>
        <w:rPr>
          <w:rFonts w:ascii="Arial Black" w:hAnsi="Arial Black"/>
          <w:b/>
          <w:bCs/>
          <w:sz w:val="28"/>
          <w:szCs w:val="28"/>
        </w:rPr>
      </w:pPr>
      <w:r>
        <w:rPr>
          <w:rFonts w:ascii="Arial Black" w:hAnsi="Arial Black"/>
          <w:b/>
          <w:bCs/>
          <w:sz w:val="28"/>
          <w:szCs w:val="28"/>
        </w:rPr>
        <w:t>13-88</w:t>
      </w:r>
    </w:p>
    <w:p w14:paraId="5DBE92D6" w14:textId="77777777" w:rsidR="00A82898" w:rsidRDefault="00A82898" w:rsidP="00A82898">
      <w:pPr>
        <w:rPr>
          <w:rFonts w:ascii="Arial Black" w:hAnsi="Arial Black"/>
          <w:bCs/>
          <w:sz w:val="28"/>
          <w:szCs w:val="28"/>
        </w:rPr>
      </w:pPr>
      <w:r>
        <w:rPr>
          <w:rFonts w:ascii="Arial Black" w:hAnsi="Arial Black"/>
          <w:bCs/>
          <w:sz w:val="28"/>
          <w:szCs w:val="28"/>
        </w:rPr>
        <w:t xml:space="preserve">TX: COVID-19 VACCINATION – FEDERAL JUDGE: HOSPITAL NURSES IN TEXAS CAN BE REQUIRED TO GET THE SHOTS  </w:t>
      </w:r>
    </w:p>
    <w:p w14:paraId="7313F43B" w14:textId="77777777" w:rsidR="00A82898" w:rsidRDefault="00A82898" w:rsidP="00A82898">
      <w:pPr>
        <w:pStyle w:val="NoSpacing"/>
        <w:rPr>
          <w:rFonts w:ascii="Times New Roman" w:hAnsi="Times New Roman"/>
          <w:bCs/>
          <w:sz w:val="24"/>
          <w:szCs w:val="24"/>
        </w:rPr>
      </w:pPr>
      <w:r>
        <w:rPr>
          <w:rFonts w:ascii="Times New Roman" w:hAnsi="Times New Roman"/>
          <w:sz w:val="24"/>
          <w:szCs w:val="24"/>
        </w:rPr>
        <w:t xml:space="preserve">On June 12, 2021, in </w:t>
      </w:r>
      <w:r w:rsidRPr="006F29EF">
        <w:rPr>
          <w:rFonts w:ascii="Times New Roman" w:hAnsi="Times New Roman"/>
          <w:sz w:val="24"/>
          <w:szCs w:val="24"/>
          <w:u w:val="single"/>
        </w:rPr>
        <w:t>Jennifer Bridges, et al. v. Houston Methodist Hospital</w:t>
      </w:r>
      <w:r>
        <w:rPr>
          <w:rFonts w:ascii="Times New Roman" w:hAnsi="Times New Roman"/>
          <w:sz w:val="24"/>
          <w:szCs w:val="24"/>
        </w:rPr>
        <w:t xml:space="preserve">, U.S. District Court Judge Lynn N. Hughes, dismissed a lawsuit filed by 100 nurses and others, challenging the </w:t>
      </w:r>
      <w:r w:rsidRPr="009D5173">
        <w:rPr>
          <w:rFonts w:ascii="Times New Roman" w:hAnsi="Times New Roman"/>
          <w:bCs/>
          <w:sz w:val="24"/>
          <w:szCs w:val="24"/>
        </w:rPr>
        <w:t>Texas hospital system</w:t>
      </w:r>
      <w:r>
        <w:rPr>
          <w:rFonts w:ascii="Times New Roman" w:hAnsi="Times New Roman"/>
          <w:bCs/>
          <w:sz w:val="24"/>
          <w:szCs w:val="24"/>
        </w:rPr>
        <w:t xml:space="preserve">’s requirement that </w:t>
      </w:r>
      <w:r w:rsidRPr="009D5173">
        <w:rPr>
          <w:rFonts w:ascii="Times New Roman" w:hAnsi="Times New Roman"/>
          <w:bCs/>
          <w:sz w:val="24"/>
          <w:szCs w:val="24"/>
        </w:rPr>
        <w:t>26,000 employees all needed to receive a COVID-19 vaccine as a condition of staying employed</w:t>
      </w:r>
      <w:r>
        <w:rPr>
          <w:rFonts w:ascii="Times New Roman" w:hAnsi="Times New Roman"/>
          <w:bCs/>
          <w:sz w:val="24"/>
          <w:szCs w:val="24"/>
        </w:rPr>
        <w:t xml:space="preserve">, with only a couple </w:t>
      </w:r>
      <w:r w:rsidRPr="009D5173">
        <w:rPr>
          <w:rFonts w:ascii="Times New Roman" w:hAnsi="Times New Roman"/>
          <w:bCs/>
          <w:sz w:val="24"/>
          <w:szCs w:val="24"/>
        </w:rPr>
        <w:t>of narrow exemptions—based on a medical condition or a sincerely held religious belief</w:t>
      </w:r>
      <w:r>
        <w:rPr>
          <w:rFonts w:ascii="Times New Roman" w:hAnsi="Times New Roman"/>
          <w:bCs/>
          <w:sz w:val="24"/>
          <w:szCs w:val="24"/>
        </w:rPr>
        <w:t xml:space="preserve">. </w:t>
      </w:r>
    </w:p>
    <w:p w14:paraId="5F8D6921" w14:textId="77777777" w:rsidR="00A82898" w:rsidRDefault="00A82898" w:rsidP="00A82898">
      <w:pPr>
        <w:pStyle w:val="NoSpacing"/>
        <w:rPr>
          <w:rFonts w:ascii="Times New Roman" w:hAnsi="Times New Roman"/>
          <w:bCs/>
          <w:sz w:val="24"/>
          <w:szCs w:val="24"/>
        </w:rPr>
      </w:pPr>
    </w:p>
    <w:p w14:paraId="4F06EDD4" w14:textId="77777777" w:rsidR="00A82898" w:rsidRPr="003D5D8C" w:rsidRDefault="00A82898" w:rsidP="00A82898">
      <w:pPr>
        <w:pStyle w:val="NoSpacing"/>
        <w:ind w:left="720"/>
        <w:rPr>
          <w:rFonts w:ascii="Times New Roman" w:hAnsi="Times New Roman"/>
          <w:sz w:val="24"/>
          <w:szCs w:val="24"/>
        </w:rPr>
      </w:pPr>
      <w:r>
        <w:rPr>
          <w:rFonts w:ascii="Times New Roman" w:hAnsi="Times New Roman"/>
          <w:bCs/>
          <w:sz w:val="24"/>
          <w:szCs w:val="24"/>
        </w:rPr>
        <w:t xml:space="preserve">“Texas law only protects employees from being terminated for refusing to commit an act carrying criminal penalties to the worker….  Receiving a COVID-19 vaccination is not an illegal act, and it carries no criminal penalties.  [Bridges] is refusing to accept inoculation that, in the hospital’s judgment, will make it safer for their workers and the patients in Methodist’s care.” </w:t>
      </w:r>
      <w:hyperlink r:id="rId2351" w:history="1">
        <w:r w:rsidRPr="003D5D8C">
          <w:rPr>
            <w:rStyle w:val="Hyperlink"/>
            <w:sz w:val="24"/>
            <w:szCs w:val="24"/>
          </w:rPr>
          <w:t>https://www.documentcloud.org/documents/20860669-houston-methodist-lawsuit-order-of-dismissal</w:t>
        </w:r>
      </w:hyperlink>
      <w:r w:rsidRPr="003D5D8C">
        <w:rPr>
          <w:rFonts w:ascii="Times New Roman" w:hAnsi="Times New Roman"/>
          <w:bCs/>
          <w:sz w:val="24"/>
          <w:szCs w:val="24"/>
        </w:rPr>
        <w:t xml:space="preserve"> </w:t>
      </w:r>
    </w:p>
    <w:p w14:paraId="57DECBDC" w14:textId="77777777" w:rsidR="00A82898" w:rsidRDefault="00A82898" w:rsidP="00A82898">
      <w:pPr>
        <w:rPr>
          <w:rFonts w:ascii="Times New Roman" w:hAnsi="Times New Roman"/>
          <w:bCs/>
          <w:sz w:val="24"/>
          <w:szCs w:val="24"/>
        </w:rPr>
      </w:pPr>
    </w:p>
    <w:p w14:paraId="193F9BB4" w14:textId="77777777" w:rsidR="00A82898" w:rsidRPr="00BC7ABC" w:rsidRDefault="00A82898" w:rsidP="00A82898">
      <w:pPr>
        <w:rPr>
          <w:rFonts w:ascii="Times New Roman" w:hAnsi="Times New Roman"/>
          <w:b/>
          <w:sz w:val="24"/>
          <w:szCs w:val="24"/>
        </w:rPr>
      </w:pPr>
      <w:r w:rsidRPr="00BC7ABC">
        <w:rPr>
          <w:rFonts w:ascii="Times New Roman" w:hAnsi="Times New Roman"/>
          <w:b/>
          <w:sz w:val="24"/>
          <w:szCs w:val="24"/>
        </w:rPr>
        <w:t xml:space="preserve">Legal Lesson Learned: </w:t>
      </w:r>
      <w:r>
        <w:rPr>
          <w:rFonts w:ascii="Times New Roman" w:hAnsi="Times New Roman"/>
          <w:b/>
          <w:sz w:val="24"/>
          <w:szCs w:val="24"/>
        </w:rPr>
        <w:t xml:space="preserve">Fire &amp; EMS departments should consult with legal counsel regarding the law in your state. </w:t>
      </w:r>
    </w:p>
    <w:p w14:paraId="384507A2" w14:textId="77777777" w:rsidR="00A82898" w:rsidRPr="009D5173" w:rsidRDefault="00A82898" w:rsidP="00A82898">
      <w:pPr>
        <w:ind w:left="720"/>
        <w:rPr>
          <w:rFonts w:ascii="Times New Roman" w:hAnsi="Times New Roman"/>
          <w:bCs/>
          <w:sz w:val="24"/>
          <w:szCs w:val="24"/>
        </w:rPr>
      </w:pPr>
      <w:r>
        <w:rPr>
          <w:rFonts w:ascii="Times New Roman" w:hAnsi="Times New Roman"/>
          <w:sz w:val="24"/>
          <w:szCs w:val="24"/>
        </w:rPr>
        <w:t xml:space="preserve">See this June 15, </w:t>
      </w:r>
      <w:proofErr w:type="gramStart"/>
      <w:r>
        <w:rPr>
          <w:rFonts w:ascii="Times New Roman" w:hAnsi="Times New Roman"/>
          <w:sz w:val="24"/>
          <w:szCs w:val="24"/>
        </w:rPr>
        <w:t>2021</w:t>
      </w:r>
      <w:proofErr w:type="gramEnd"/>
      <w:r>
        <w:rPr>
          <w:rFonts w:ascii="Times New Roman" w:hAnsi="Times New Roman"/>
          <w:sz w:val="24"/>
          <w:szCs w:val="24"/>
        </w:rPr>
        <w:t xml:space="preserve"> article, “</w:t>
      </w:r>
      <w:r w:rsidRPr="009D5173">
        <w:rPr>
          <w:rFonts w:ascii="Times New Roman" w:hAnsi="Times New Roman"/>
          <w:bCs/>
          <w:sz w:val="24"/>
          <w:szCs w:val="24"/>
        </w:rPr>
        <w:t>Mandatory Vaccination Policy Lawsuit Update: Nurses Take a Shot Against Hospital, But Judge Jabs Back.</w:t>
      </w:r>
      <w:r>
        <w:rPr>
          <w:rFonts w:ascii="Times New Roman" w:hAnsi="Times New Roman"/>
          <w:bCs/>
          <w:sz w:val="24"/>
          <w:szCs w:val="24"/>
        </w:rPr>
        <w:t>”</w:t>
      </w:r>
      <w:r w:rsidRPr="009D5173">
        <w:rPr>
          <w:rFonts w:ascii="Times New Roman" w:hAnsi="Times New Roman"/>
          <w:bCs/>
          <w:sz w:val="24"/>
          <w:szCs w:val="24"/>
        </w:rPr>
        <w:t xml:space="preserve"> </w:t>
      </w:r>
      <w:r>
        <w:rPr>
          <w:rFonts w:ascii="Times New Roman" w:hAnsi="Times New Roman"/>
          <w:bCs/>
          <w:sz w:val="24"/>
          <w:szCs w:val="24"/>
        </w:rPr>
        <w:t xml:space="preserve"> </w:t>
      </w:r>
      <w:hyperlink r:id="rId2352" w:history="1">
        <w:r w:rsidRPr="00B14793">
          <w:rPr>
            <w:rStyle w:val="Hyperlink"/>
            <w:sz w:val="24"/>
            <w:szCs w:val="24"/>
          </w:rPr>
          <w:t>https://www.natlawreview.com/article/mandatory-vaccination-policy-lawsuit-update-nurses-take-shot-against-hospital-judge</w:t>
        </w:r>
      </w:hyperlink>
      <w:r w:rsidRPr="00B14793">
        <w:rPr>
          <w:rFonts w:ascii="Times New Roman" w:hAnsi="Times New Roman"/>
          <w:bCs/>
          <w:sz w:val="24"/>
          <w:szCs w:val="24"/>
        </w:rPr>
        <w:t xml:space="preserve"> </w:t>
      </w:r>
    </w:p>
    <w:p w14:paraId="4B429104" w14:textId="77777777" w:rsidR="00A82898" w:rsidRPr="00B14793" w:rsidRDefault="00A82898" w:rsidP="00A82898">
      <w:pPr>
        <w:pStyle w:val="NoSpacing"/>
        <w:ind w:left="720"/>
        <w:rPr>
          <w:rFonts w:ascii="Times New Roman" w:hAnsi="Times New Roman"/>
          <w:sz w:val="24"/>
          <w:szCs w:val="24"/>
        </w:rPr>
      </w:pPr>
      <w:r w:rsidRPr="00BC7ABC">
        <w:rPr>
          <w:rFonts w:ascii="Times New Roman" w:hAnsi="Times New Roman"/>
          <w:sz w:val="24"/>
          <w:szCs w:val="24"/>
        </w:rPr>
        <w:t xml:space="preserve">Note: In Ohio, there is a “public policy exception” where an employer can be held liable for terminating an “at will” employee in violation of a clear public policy protected by federal or state law [such as firing employee who contacted OSHA, or for filing a </w:t>
      </w:r>
      <w:proofErr w:type="gramStart"/>
      <w:r w:rsidRPr="00BC7ABC">
        <w:rPr>
          <w:rFonts w:ascii="Times New Roman" w:hAnsi="Times New Roman"/>
          <w:sz w:val="24"/>
          <w:szCs w:val="24"/>
        </w:rPr>
        <w:t>workers</w:t>
      </w:r>
      <w:proofErr w:type="gramEnd"/>
      <w:r w:rsidRPr="00BC7ABC">
        <w:rPr>
          <w:rFonts w:ascii="Times New Roman" w:hAnsi="Times New Roman"/>
          <w:sz w:val="24"/>
          <w:szCs w:val="24"/>
        </w:rPr>
        <w:t xml:space="preserve"> comp claim].   </w:t>
      </w:r>
      <w:r>
        <w:rPr>
          <w:rFonts w:ascii="Times New Roman" w:hAnsi="Times New Roman"/>
          <w:sz w:val="24"/>
          <w:szCs w:val="24"/>
        </w:rPr>
        <w:t>On June 22, 2021, a</w:t>
      </w:r>
      <w:r w:rsidRPr="00BC7ABC">
        <w:rPr>
          <w:rFonts w:ascii="Times New Roman" w:hAnsi="Times New Roman"/>
          <w:sz w:val="24"/>
          <w:szCs w:val="24"/>
        </w:rPr>
        <w:t>n Ohio law firm recently wrote: “</w:t>
      </w:r>
      <w:r w:rsidRPr="00BC7ABC">
        <w:rPr>
          <w:rFonts w:ascii="Times New Roman" w:eastAsia="Times New Roman" w:hAnsi="Times New Roman"/>
          <w:sz w:val="24"/>
          <w:szCs w:val="24"/>
        </w:rPr>
        <w:t>It is unlikely based on current law that mandating COVID-19 vaccinations violates public policy in Ohio. But that is only under current law.  As of this newsletter, pending Ohio legislation would ban vaccine requirements not just for COVID-19, but all vaccines</w:t>
      </w:r>
      <w:r w:rsidRPr="00BC7ABC">
        <w:rPr>
          <w:rFonts w:ascii="Times New Roman" w:eastAsia="Times New Roman" w:hAnsi="Times New Roman"/>
          <w:b/>
          <w:sz w:val="24"/>
          <w:szCs w:val="24"/>
        </w:rPr>
        <w:t xml:space="preserve">.” </w:t>
      </w:r>
      <w:hyperlink r:id="rId2353" w:history="1">
        <w:r w:rsidRPr="00B14793">
          <w:rPr>
            <w:rStyle w:val="Hyperlink"/>
            <w:sz w:val="24"/>
            <w:szCs w:val="24"/>
          </w:rPr>
          <w:t>https://fisheldowney.com/texas-federal-court-permits-employer-vaccine-mandates-mean-ohio-employers/</w:t>
        </w:r>
      </w:hyperlink>
    </w:p>
    <w:p w14:paraId="53C22503" w14:textId="77777777" w:rsidR="00A82898" w:rsidRDefault="00A82898" w:rsidP="00A82898">
      <w:pPr>
        <w:pStyle w:val="NoSpacing"/>
        <w:rPr>
          <w:rFonts w:ascii="Times New Roman" w:hAnsi="Times New Roman"/>
          <w:sz w:val="24"/>
          <w:szCs w:val="24"/>
        </w:rPr>
      </w:pPr>
    </w:p>
    <w:p w14:paraId="05D1D3FF" w14:textId="77777777" w:rsidR="00A82898" w:rsidRDefault="00A82898" w:rsidP="002B1283">
      <w:pPr>
        <w:rPr>
          <w:rFonts w:ascii="Arial Black" w:hAnsi="Arial Black"/>
          <w:b/>
          <w:bCs/>
          <w:sz w:val="28"/>
          <w:szCs w:val="28"/>
        </w:rPr>
      </w:pPr>
    </w:p>
    <w:p w14:paraId="1A6925C4" w14:textId="77777777" w:rsidR="00A82898" w:rsidRDefault="00A82898" w:rsidP="002B1283">
      <w:pPr>
        <w:rPr>
          <w:rFonts w:ascii="Arial Black" w:hAnsi="Arial Black"/>
          <w:b/>
          <w:bCs/>
          <w:sz w:val="28"/>
          <w:szCs w:val="28"/>
        </w:rPr>
      </w:pPr>
    </w:p>
    <w:p w14:paraId="438D926C" w14:textId="4ADCF9D4" w:rsidR="00B03268" w:rsidRPr="00BC5936" w:rsidRDefault="00B03268" w:rsidP="002B1283">
      <w:pPr>
        <w:rPr>
          <w:rFonts w:ascii="Times New Roman" w:hAnsi="Times New Roman"/>
          <w:sz w:val="24"/>
          <w:szCs w:val="24"/>
        </w:rPr>
      </w:pPr>
      <w:r>
        <w:rPr>
          <w:rFonts w:ascii="Arial Black" w:hAnsi="Arial Black"/>
          <w:b/>
          <w:bCs/>
          <w:sz w:val="28"/>
          <w:szCs w:val="28"/>
        </w:rPr>
        <w:t>13-87</w:t>
      </w:r>
      <w:r w:rsidR="00BC5936">
        <w:rPr>
          <w:rFonts w:ascii="Arial Black" w:hAnsi="Arial Black"/>
          <w:b/>
          <w:bCs/>
          <w:sz w:val="28"/>
          <w:szCs w:val="28"/>
        </w:rPr>
        <w:t xml:space="preserve"> </w:t>
      </w:r>
      <w:r w:rsidR="00BC5936">
        <w:rPr>
          <w:rFonts w:ascii="Times New Roman" w:hAnsi="Times New Roman"/>
          <w:sz w:val="24"/>
          <w:szCs w:val="24"/>
        </w:rPr>
        <w:t xml:space="preserve">[also filed, Chap. 5] </w:t>
      </w:r>
    </w:p>
    <w:p w14:paraId="1D453DB1" w14:textId="77777777" w:rsidR="00B03268" w:rsidRPr="002F193B" w:rsidRDefault="00B03268" w:rsidP="00B03268">
      <w:pPr>
        <w:pStyle w:val="NoSpacing"/>
        <w:rPr>
          <w:rFonts w:ascii="Arial Black" w:hAnsi="Arial Black"/>
          <w:sz w:val="28"/>
          <w:szCs w:val="28"/>
        </w:rPr>
      </w:pPr>
      <w:r>
        <w:rPr>
          <w:rFonts w:ascii="Arial Black" w:hAnsi="Arial Black"/>
          <w:sz w:val="28"/>
          <w:szCs w:val="28"/>
        </w:rPr>
        <w:t>WV: AMBULANCE ROLL OVER - 2 KILLED, EMT’S LAWSUIT HOSP. DISMISSED – MEDICAL CERT. OF MERIT REQUIRED</w:t>
      </w:r>
    </w:p>
    <w:p w14:paraId="045C8313" w14:textId="77777777" w:rsidR="00B03268" w:rsidRDefault="00B03268" w:rsidP="00B03268">
      <w:pPr>
        <w:pStyle w:val="NoSpacing"/>
      </w:pPr>
    </w:p>
    <w:p w14:paraId="6C1D2639" w14:textId="77777777" w:rsidR="00B03268" w:rsidRDefault="00B03268" w:rsidP="00B03268">
      <w:pPr>
        <w:pStyle w:val="NoSpacing"/>
        <w:rPr>
          <w:rFonts w:ascii="Times New Roman" w:hAnsi="Times New Roman"/>
          <w:sz w:val="24"/>
          <w:szCs w:val="24"/>
        </w:rPr>
      </w:pPr>
      <w:r w:rsidRPr="00397962">
        <w:rPr>
          <w:rFonts w:ascii="Times New Roman" w:hAnsi="Times New Roman"/>
          <w:sz w:val="24"/>
          <w:szCs w:val="24"/>
        </w:rPr>
        <w:t xml:space="preserve">On May 20, 2021, in </w:t>
      </w:r>
      <w:r w:rsidRPr="00397962">
        <w:rPr>
          <w:rFonts w:ascii="Times New Roman" w:hAnsi="Times New Roman"/>
          <w:sz w:val="24"/>
          <w:szCs w:val="24"/>
          <w:u w:val="single"/>
        </w:rPr>
        <w:t>Crystal G. Brown and Tri-State Ambulance, Inc. v. Ohio Valley Health Services &amp; Education Corporation; Ohio Valley Medical Center; et al</w:t>
      </w:r>
      <w:r>
        <w:rPr>
          <w:rFonts w:ascii="Times New Roman" w:hAnsi="Times New Roman"/>
          <w:sz w:val="24"/>
          <w:szCs w:val="24"/>
        </w:rPr>
        <w:t xml:space="preserve">., the State of West Virginia Supreme Court of Appeals, </w:t>
      </w:r>
      <w:r w:rsidRPr="00FD6489">
        <w:rPr>
          <w:rStyle w:val="font-weight-bold"/>
          <w:rFonts w:ascii="Times New Roman" w:hAnsi="Times New Roman"/>
          <w:sz w:val="24"/>
          <w:szCs w:val="24"/>
        </w:rPr>
        <w:t>Brown v. Ohio Valley Health Servs. &amp; Educ. Corp. (W. Va. 202</w:t>
      </w:r>
      <w:r>
        <w:rPr>
          <w:rFonts w:ascii="Times New Roman" w:hAnsi="Times New Roman"/>
          <w:sz w:val="24"/>
          <w:szCs w:val="24"/>
        </w:rPr>
        <w:t xml:space="preserve">1, held (3 to 0) that the lawsuit was properly dismissed since the West Virginia code of medical professional liability requires both patients and others suing a health care provider 30 days </w:t>
      </w:r>
      <w:proofErr w:type="gramStart"/>
      <w:r>
        <w:rPr>
          <w:rFonts w:ascii="Times New Roman" w:hAnsi="Times New Roman"/>
          <w:sz w:val="24"/>
          <w:szCs w:val="24"/>
        </w:rPr>
        <w:t>prior</w:t>
      </w:r>
      <w:proofErr w:type="gramEnd"/>
      <w:r>
        <w:rPr>
          <w:rFonts w:ascii="Times New Roman" w:hAnsi="Times New Roman"/>
          <w:sz w:val="24"/>
          <w:szCs w:val="24"/>
        </w:rPr>
        <w:t xml:space="preserve"> written notice, and a certificate of merit by a qualified health care provider.  The EMT in her lawsuit claimed the hospital knew but failed to disclose that transporting the patient to a Columbus, OH hospital was not medically necessary to save his life and that dangerous weather was approaching; the Ambulance company’s insurance provider sought reimbursement for its settlement costs.</w:t>
      </w:r>
    </w:p>
    <w:p w14:paraId="35504CFF" w14:textId="77777777" w:rsidR="00B03268" w:rsidRPr="00FD6489" w:rsidRDefault="00B03268" w:rsidP="00B03268">
      <w:pPr>
        <w:spacing w:before="100" w:beforeAutospacing="1" w:after="100" w:afterAutospacing="1"/>
        <w:ind w:left="720"/>
        <w:rPr>
          <w:rFonts w:ascii="Times New Roman" w:hAnsi="Times New Roman"/>
          <w:sz w:val="24"/>
          <w:szCs w:val="24"/>
        </w:rPr>
      </w:pPr>
      <w:r>
        <w:rPr>
          <w:rFonts w:ascii="Times New Roman" w:hAnsi="Times New Roman"/>
          <w:sz w:val="24"/>
          <w:szCs w:val="24"/>
        </w:rPr>
        <w:t>“</w:t>
      </w:r>
      <w:r w:rsidRPr="00FD6489">
        <w:rPr>
          <w:rFonts w:ascii="Times New Roman" w:hAnsi="Times New Roman"/>
          <w:sz w:val="24"/>
          <w:szCs w:val="24"/>
        </w:rPr>
        <w:t xml:space="preserve">That Petitioner Brown was not the patient does not preclude application of the MPLA. [Medical Professional Liability Act].  In syllabus point 5 of </w:t>
      </w:r>
      <w:r w:rsidRPr="00FD6489">
        <w:rPr>
          <w:rFonts w:ascii="Times New Roman" w:hAnsi="Times New Roman"/>
          <w:i/>
          <w:iCs/>
          <w:sz w:val="24"/>
          <w:szCs w:val="24"/>
        </w:rPr>
        <w:t>Osbourne v</w:t>
      </w:r>
      <w:r w:rsidRPr="00FD6489">
        <w:rPr>
          <w:rFonts w:ascii="Times New Roman" w:hAnsi="Times New Roman"/>
          <w:sz w:val="24"/>
          <w:szCs w:val="24"/>
        </w:rPr>
        <w:t xml:space="preserve">. </w:t>
      </w:r>
      <w:r w:rsidRPr="00FD6489">
        <w:rPr>
          <w:rFonts w:ascii="Times New Roman" w:hAnsi="Times New Roman"/>
          <w:i/>
          <w:iCs/>
          <w:sz w:val="24"/>
          <w:szCs w:val="24"/>
        </w:rPr>
        <w:t>United States</w:t>
      </w:r>
      <w:r w:rsidRPr="00FD6489">
        <w:rPr>
          <w:rFonts w:ascii="Times New Roman" w:hAnsi="Times New Roman"/>
          <w:sz w:val="24"/>
          <w:szCs w:val="24"/>
        </w:rPr>
        <w:t xml:space="preserve">, 211 W. Va. 667, 567 S.E.2d 677 (2002), we held that the Act </w:t>
      </w:r>
      <w:r>
        <w:rPr>
          <w:rFonts w:ascii="Times New Roman" w:hAnsi="Times New Roman"/>
          <w:sz w:val="24"/>
          <w:szCs w:val="24"/>
        </w:rPr>
        <w:t>‘</w:t>
      </w:r>
      <w:r w:rsidRPr="00FD6489">
        <w:rPr>
          <w:rFonts w:ascii="Times New Roman" w:hAnsi="Times New Roman"/>
          <w:sz w:val="24"/>
          <w:szCs w:val="24"/>
        </w:rPr>
        <w:t>permits a third party to bring a cause of action against a health care provider for foreseeable injuries that were proximately caused by the health care provider's negligent treatment of a tortfeasor patient.</w:t>
      </w:r>
      <w:r>
        <w:rPr>
          <w:rFonts w:ascii="Times New Roman" w:hAnsi="Times New Roman"/>
          <w:sz w:val="24"/>
          <w:szCs w:val="24"/>
        </w:rPr>
        <w:t>’</w:t>
      </w:r>
      <w:r w:rsidRPr="00FD6489">
        <w:rPr>
          <w:rFonts w:ascii="Times New Roman" w:hAnsi="Times New Roman"/>
          <w:sz w:val="24"/>
          <w:szCs w:val="24"/>
        </w:rPr>
        <w:t xml:space="preserve"> In reaching this holding, we observed that, in defining </w:t>
      </w:r>
      <w:r>
        <w:rPr>
          <w:rFonts w:ascii="Times New Roman" w:hAnsi="Times New Roman"/>
          <w:sz w:val="24"/>
          <w:szCs w:val="24"/>
        </w:rPr>
        <w:t>‘</w:t>
      </w:r>
      <w:r w:rsidRPr="00FD6489">
        <w:rPr>
          <w:rFonts w:ascii="Times New Roman" w:hAnsi="Times New Roman"/>
          <w:sz w:val="24"/>
          <w:szCs w:val="24"/>
        </w:rPr>
        <w:t>medical professional liability</w:t>
      </w:r>
      <w:r>
        <w:rPr>
          <w:rFonts w:ascii="Times New Roman" w:hAnsi="Times New Roman"/>
          <w:sz w:val="24"/>
          <w:szCs w:val="24"/>
        </w:rPr>
        <w:t xml:space="preserve">.’” </w:t>
      </w:r>
      <w:hyperlink r:id="rId2354" w:history="1">
        <w:r w:rsidRPr="007344F4">
          <w:rPr>
            <w:rStyle w:val="Hyperlink"/>
            <w:sz w:val="24"/>
            <w:szCs w:val="24"/>
          </w:rPr>
          <w:t>https://casetext.com/case/brown-v-ohio-valley-health-servs-educ-corp</w:t>
        </w:r>
      </w:hyperlink>
      <w:r>
        <w:rPr>
          <w:rFonts w:ascii="Times New Roman" w:hAnsi="Times New Roman"/>
          <w:sz w:val="24"/>
          <w:szCs w:val="24"/>
        </w:rPr>
        <w:t xml:space="preserve"> </w:t>
      </w:r>
    </w:p>
    <w:p w14:paraId="3ADAE79C" w14:textId="77777777" w:rsidR="00B03268" w:rsidRPr="006723F9" w:rsidRDefault="00B03268" w:rsidP="00B03268">
      <w:pPr>
        <w:spacing w:before="100" w:beforeAutospacing="1" w:after="100" w:afterAutospacing="1"/>
        <w:rPr>
          <w:rFonts w:ascii="Times New Roman" w:eastAsia="Times New Roman" w:hAnsi="Times New Roman"/>
          <w:b/>
          <w:bCs/>
          <w:sz w:val="24"/>
          <w:szCs w:val="24"/>
        </w:rPr>
      </w:pPr>
      <w:r w:rsidRPr="006723F9">
        <w:rPr>
          <w:rFonts w:ascii="Times New Roman" w:hAnsi="Times New Roman"/>
          <w:b/>
          <w:bCs/>
          <w:sz w:val="24"/>
          <w:szCs w:val="24"/>
        </w:rPr>
        <w:t xml:space="preserve">Legal Lesson Learned:  </w:t>
      </w:r>
      <w:r>
        <w:rPr>
          <w:rFonts w:ascii="Times New Roman" w:hAnsi="Times New Roman"/>
          <w:b/>
          <w:bCs/>
          <w:sz w:val="24"/>
          <w:szCs w:val="24"/>
        </w:rPr>
        <w:t xml:space="preserve">Lawsuit dismissed since EMT and her attorney </w:t>
      </w:r>
      <w:r w:rsidRPr="006723F9">
        <w:rPr>
          <w:rFonts w:ascii="Times New Roman" w:hAnsi="Times New Roman"/>
          <w:b/>
          <w:bCs/>
          <w:sz w:val="24"/>
          <w:szCs w:val="24"/>
        </w:rPr>
        <w:t xml:space="preserve">didn’t </w:t>
      </w:r>
      <w:r>
        <w:rPr>
          <w:rFonts w:ascii="Times New Roman" w:hAnsi="Times New Roman"/>
          <w:b/>
          <w:bCs/>
          <w:sz w:val="24"/>
          <w:szCs w:val="24"/>
        </w:rPr>
        <w:t xml:space="preserve">provide the Certificate of Merit required by the Medical Professional Liability </w:t>
      </w:r>
      <w:r w:rsidRPr="006723F9">
        <w:rPr>
          <w:rFonts w:ascii="Times New Roman" w:hAnsi="Times New Roman"/>
          <w:b/>
          <w:bCs/>
          <w:sz w:val="24"/>
          <w:szCs w:val="24"/>
        </w:rPr>
        <w:t xml:space="preserve">statute. </w:t>
      </w:r>
      <w:r>
        <w:rPr>
          <w:rFonts w:ascii="Times New Roman" w:hAnsi="Times New Roman"/>
          <w:b/>
          <w:bCs/>
          <w:sz w:val="24"/>
          <w:szCs w:val="24"/>
        </w:rPr>
        <w:t xml:space="preserve"> Similar statutes can be found throughout U.S. </w:t>
      </w:r>
    </w:p>
    <w:p w14:paraId="7AF41074" w14:textId="77777777" w:rsidR="00B03268" w:rsidRDefault="00B03268" w:rsidP="00B03268">
      <w:pPr>
        <w:spacing w:before="100" w:beforeAutospacing="1" w:after="100" w:afterAutospacing="1"/>
        <w:ind w:left="720"/>
        <w:rPr>
          <w:rFonts w:ascii="Times New Roman" w:hAnsi="Times New Roman"/>
          <w:sz w:val="24"/>
          <w:szCs w:val="24"/>
        </w:rPr>
      </w:pPr>
      <w:r>
        <w:rPr>
          <w:rFonts w:ascii="Times New Roman" w:eastAsia="Times New Roman" w:hAnsi="Times New Roman"/>
          <w:sz w:val="24"/>
          <w:szCs w:val="24"/>
        </w:rPr>
        <w:t>Note: See this article on the roll over.</w:t>
      </w:r>
    </w:p>
    <w:p w14:paraId="0028289B" w14:textId="77777777" w:rsidR="00B03268" w:rsidRPr="006C56B5" w:rsidRDefault="00B03268" w:rsidP="00B03268">
      <w:pPr>
        <w:ind w:left="720"/>
        <w:rPr>
          <w:rFonts w:ascii="Times New Roman" w:hAnsi="Times New Roman"/>
          <w:sz w:val="24"/>
          <w:szCs w:val="24"/>
        </w:rPr>
      </w:pPr>
      <w:r w:rsidRPr="006C56B5">
        <w:rPr>
          <w:rFonts w:ascii="Times New Roman" w:hAnsi="Times New Roman"/>
          <w:b/>
          <w:bCs/>
          <w:sz w:val="24"/>
          <w:szCs w:val="24"/>
        </w:rPr>
        <w:t>Two Dead After Ambulance Rollover</w:t>
      </w:r>
      <w:r>
        <w:rPr>
          <w:rFonts w:ascii="Times New Roman" w:hAnsi="Times New Roman"/>
          <w:sz w:val="24"/>
          <w:szCs w:val="24"/>
        </w:rPr>
        <w:t xml:space="preserve"> (Dec. 17, 2016): </w:t>
      </w:r>
      <w:hyperlink r:id="rId2355" w:history="1">
        <w:r w:rsidRPr="006C56B5">
          <w:rPr>
            <w:rStyle w:val="Hyperlink"/>
            <w:sz w:val="24"/>
            <w:szCs w:val="24"/>
          </w:rPr>
          <w:t>https://www.zanesvilletimesrecorder.com/story/news/local/2016/12/17/two-dead-after-ambulance-rollover/95557626/</w:t>
        </w:r>
      </w:hyperlink>
      <w:r w:rsidRPr="006C56B5">
        <w:rPr>
          <w:rFonts w:ascii="Times New Roman" w:hAnsi="Times New Roman"/>
          <w:sz w:val="24"/>
          <w:szCs w:val="24"/>
        </w:rPr>
        <w:t xml:space="preserve"> </w:t>
      </w:r>
    </w:p>
    <w:p w14:paraId="1FAA7C88" w14:textId="77777777" w:rsidR="00B03268" w:rsidRPr="006C56B5" w:rsidRDefault="00B03268" w:rsidP="00B03268">
      <w:pPr>
        <w:ind w:left="1440"/>
        <w:rPr>
          <w:rFonts w:ascii="Times New Roman" w:hAnsi="Times New Roman"/>
          <w:sz w:val="24"/>
          <w:szCs w:val="24"/>
        </w:rPr>
      </w:pPr>
      <w:r w:rsidRPr="006C56B5">
        <w:rPr>
          <w:rFonts w:ascii="Times New Roman" w:hAnsi="Times New Roman"/>
          <w:sz w:val="24"/>
          <w:szCs w:val="24"/>
        </w:rPr>
        <w:t>CAMBRIDGE, OH- Two people died early Saturday morning after an ambulance lost control and overturned several times, according to a release from the Cambridge Post of the Ohio Highway Patrol.</w:t>
      </w:r>
    </w:p>
    <w:p w14:paraId="6A78260D" w14:textId="77777777" w:rsidR="00B03268" w:rsidRDefault="00B03268" w:rsidP="00B03268">
      <w:pPr>
        <w:pStyle w:val="gntarbp"/>
        <w:ind w:left="1440"/>
      </w:pPr>
      <w:r>
        <w:t>According to the release, shortly after 2 a.m. an ambulance, registered to Tri State Ambulance, was transporting a patient on I-70 westbound near milepost 176 when it lost control, drove off the left edge of the interstate and overturned multiple times.</w:t>
      </w:r>
    </w:p>
    <w:p w14:paraId="1E58B53D" w14:textId="77777777" w:rsidR="00B03268" w:rsidRDefault="00B03268" w:rsidP="00B03268">
      <w:pPr>
        <w:pStyle w:val="gntarbp"/>
        <w:ind w:left="1440"/>
      </w:pPr>
      <w:r>
        <w:t>At the time of the crash, a patient and four emergency medical personnel were in the ambulance. A patient and one of the emergency personnel, both in the patient care area of the ambulance, were killed in the crash. The three other emergency personnel sustained minor injuries, which were treated at Southeastern Medical Center.</w:t>
      </w:r>
    </w:p>
    <w:p w14:paraId="4C2DA9F2" w14:textId="77777777" w:rsidR="00B03268" w:rsidRPr="006C56B5" w:rsidRDefault="00B03268" w:rsidP="00B03268">
      <w:pPr>
        <w:pStyle w:val="gntarbp"/>
        <w:ind w:left="1440"/>
      </w:pPr>
      <w:r>
        <w:t xml:space="preserve">Killed in the crash were the patient, Dennis Calvert, 64, of Wheeling West Virginia, and emergency personnel Charles McMahan, 39, of New Matamoras. Injured in the crash </w:t>
      </w:r>
      <w:proofErr w:type="gramStart"/>
      <w:r>
        <w:t>were the driver,</w:t>
      </w:r>
      <w:proofErr w:type="gramEnd"/>
      <w:r>
        <w:t xml:space="preserve"> Crystal Brown, 33</w:t>
      </w:r>
      <w:proofErr w:type="gramStart"/>
      <w:r>
        <w:t>, of</w:t>
      </w:r>
      <w:proofErr w:type="gramEnd"/>
      <w:r>
        <w:t xml:space="preserve"> Proctor, West Virginia, passengers Jennifer Rothwell, 32, of Wheeling, West Virginia, and Randi Watson, 37, of Glen Easton, West Virginia.</w:t>
      </w:r>
    </w:p>
    <w:p w14:paraId="0EDD7904" w14:textId="77777777" w:rsidR="00B03268" w:rsidRPr="00D1078B" w:rsidRDefault="00B03268" w:rsidP="00B03268">
      <w:pPr>
        <w:spacing w:before="100" w:beforeAutospacing="1" w:after="100" w:afterAutospacing="1"/>
        <w:ind w:left="720"/>
        <w:rPr>
          <w:rFonts w:ascii="Times New Roman" w:hAnsi="Times New Roman"/>
          <w:sz w:val="24"/>
          <w:szCs w:val="24"/>
        </w:rPr>
      </w:pPr>
      <w:r w:rsidRPr="00D1078B">
        <w:rPr>
          <w:rFonts w:ascii="Times New Roman" w:hAnsi="Times New Roman"/>
          <w:sz w:val="24"/>
          <w:szCs w:val="24"/>
        </w:rPr>
        <w:t xml:space="preserve">The West Virginia </w:t>
      </w:r>
      <w:r w:rsidRPr="00FD6489">
        <w:rPr>
          <w:rFonts w:ascii="Times New Roman" w:hAnsi="Times New Roman"/>
          <w:sz w:val="24"/>
          <w:szCs w:val="24"/>
        </w:rPr>
        <w:t>Medical Professional Liability Act</w:t>
      </w:r>
      <w:r>
        <w:rPr>
          <w:rFonts w:ascii="Times New Roman" w:hAnsi="Times New Roman"/>
          <w:sz w:val="24"/>
          <w:szCs w:val="24"/>
        </w:rPr>
        <w:t xml:space="preserve"> provides: </w:t>
      </w:r>
      <w:hyperlink r:id="rId2356" w:history="1">
        <w:r w:rsidRPr="00C15479">
          <w:rPr>
            <w:rStyle w:val="Hyperlink"/>
            <w:sz w:val="24"/>
            <w:szCs w:val="24"/>
          </w:rPr>
          <w:t>https://law.justia.com/codes/west-virginia/2017/chapter-55/article-7b/section-55-7b-6/</w:t>
        </w:r>
      </w:hyperlink>
    </w:p>
    <w:p w14:paraId="61784899" w14:textId="77777777" w:rsidR="00B03268" w:rsidRPr="002F193B" w:rsidRDefault="00B03268" w:rsidP="00B03268">
      <w:pPr>
        <w:spacing w:before="100" w:beforeAutospacing="1" w:after="100" w:afterAutospacing="1"/>
        <w:ind w:left="1440"/>
        <w:rPr>
          <w:rFonts w:ascii="Times New Roman" w:eastAsia="Times New Roman" w:hAnsi="Times New Roman"/>
          <w:sz w:val="24"/>
          <w:szCs w:val="24"/>
        </w:rPr>
      </w:pPr>
      <w:r>
        <w:rPr>
          <w:rFonts w:ascii="Times New Roman" w:hAnsi="Times New Roman"/>
          <w:sz w:val="24"/>
          <w:szCs w:val="24"/>
        </w:rPr>
        <w:t>“</w:t>
      </w:r>
      <w:r w:rsidRPr="00D1078B">
        <w:rPr>
          <w:rFonts w:ascii="Times New Roman" w:hAnsi="Times New Roman"/>
          <w:sz w:val="24"/>
          <w:szCs w:val="24"/>
        </w:rPr>
        <w:t xml:space="preserve">(b) At least thirty days prior to the filing of a medical professional liability action against a health care provider, the claimant shall serve by certified mail, return receipt requested, a notice of claim on each health care provider the claimant will join in litigation. The notice of claim shall include a statement of the theory or theories of liability upon which a cause of action may be based, and a list of all health care providers and health care facilities to whom notices of claim are being sent, together with a screening certificate of merit. The screening certificate of merit shall be executed under oath by a health care provider qualified as an expert under the West Virginia rules of evidence and shall state with particularity: (1) The expert’s familiarity with the applicable standard of care in issue; (2) the expert’s qualifications; (3) the expert’s opinion as to how the applicable standard of care was breached; and (4) the expert’s opinion as to how the breach of the applicable standard of care resulted in injury or death. A separate screening certificate of merit must be provided for each health care provider against whom a claim is asserted. The person signing the screening certificate of merit shall have no financial interest in the underlying </w:t>
      </w:r>
      <w:proofErr w:type="gramStart"/>
      <w:r w:rsidRPr="00D1078B">
        <w:rPr>
          <w:rFonts w:ascii="Times New Roman" w:hAnsi="Times New Roman"/>
          <w:sz w:val="24"/>
          <w:szCs w:val="24"/>
        </w:rPr>
        <w:t>claim, but</w:t>
      </w:r>
      <w:proofErr w:type="gramEnd"/>
      <w:r w:rsidRPr="00D1078B">
        <w:rPr>
          <w:rFonts w:ascii="Times New Roman" w:hAnsi="Times New Roman"/>
          <w:sz w:val="24"/>
          <w:szCs w:val="24"/>
        </w:rPr>
        <w:t xml:space="preserve"> may participate as an expert witness in any judicial proceeding. Nothing in this subsection may be construed to limit the application of Rule 15 of the Rules of Civil Procedure.</w:t>
      </w:r>
    </w:p>
    <w:p w14:paraId="175B1BC6" w14:textId="77777777" w:rsidR="00B03268" w:rsidRDefault="00B03268" w:rsidP="002B1283">
      <w:pPr>
        <w:rPr>
          <w:rFonts w:ascii="Arial Black" w:hAnsi="Arial Black"/>
          <w:b/>
          <w:bCs/>
          <w:sz w:val="28"/>
          <w:szCs w:val="28"/>
        </w:rPr>
      </w:pPr>
    </w:p>
    <w:p w14:paraId="3FDDFD58" w14:textId="77777777" w:rsidR="00B03268" w:rsidRDefault="00B03268" w:rsidP="002B1283">
      <w:pPr>
        <w:rPr>
          <w:rFonts w:ascii="Arial Black" w:hAnsi="Arial Black"/>
          <w:b/>
          <w:bCs/>
          <w:sz w:val="28"/>
          <w:szCs w:val="28"/>
        </w:rPr>
      </w:pPr>
    </w:p>
    <w:p w14:paraId="57C217F0" w14:textId="29370C42" w:rsidR="00274525" w:rsidRDefault="00EC1BFB" w:rsidP="002B1283">
      <w:pPr>
        <w:rPr>
          <w:rFonts w:ascii="Arial Black" w:hAnsi="Arial Black"/>
          <w:b/>
          <w:bCs/>
          <w:sz w:val="28"/>
          <w:szCs w:val="28"/>
        </w:rPr>
      </w:pPr>
      <w:r>
        <w:rPr>
          <w:rFonts w:ascii="Arial Black" w:hAnsi="Arial Black"/>
          <w:b/>
          <w:bCs/>
          <w:sz w:val="28"/>
          <w:szCs w:val="28"/>
        </w:rPr>
        <w:t>13-86</w:t>
      </w:r>
    </w:p>
    <w:p w14:paraId="2278C146" w14:textId="77777777" w:rsidR="00EC1BFB" w:rsidRDefault="00EC1BFB" w:rsidP="00EC1BFB">
      <w:pPr>
        <w:pStyle w:val="NoSpacing"/>
        <w:rPr>
          <w:rFonts w:ascii="Arial Black" w:hAnsi="Arial Black"/>
          <w:sz w:val="28"/>
          <w:szCs w:val="28"/>
        </w:rPr>
      </w:pPr>
      <w:r>
        <w:rPr>
          <w:rFonts w:ascii="Arial Black" w:hAnsi="Arial Black"/>
          <w:sz w:val="28"/>
          <w:szCs w:val="28"/>
        </w:rPr>
        <w:t>OH: BATTALION CHIEF FAILED TO REPORT THAT EMT-B STARTED “IO” ON PATIENT – 60-DAY SUSPENSION UPHELD</w:t>
      </w:r>
    </w:p>
    <w:p w14:paraId="0D9B5C72" w14:textId="77777777" w:rsidR="00EC1BFB" w:rsidRPr="006E0916" w:rsidRDefault="00EC1BFB" w:rsidP="00EC1BFB">
      <w:pPr>
        <w:pStyle w:val="NoSpacing"/>
        <w:rPr>
          <w:rFonts w:ascii="Arial Black" w:hAnsi="Arial Black"/>
          <w:sz w:val="28"/>
          <w:szCs w:val="28"/>
        </w:rPr>
      </w:pPr>
    </w:p>
    <w:p w14:paraId="1C3635DE" w14:textId="77777777" w:rsidR="00EC1BFB" w:rsidRPr="00121F16" w:rsidRDefault="00EC1BFB" w:rsidP="00EC1BFB">
      <w:pPr>
        <w:pStyle w:val="NoSpacing"/>
        <w:rPr>
          <w:rFonts w:ascii="Times New Roman" w:hAnsi="Times New Roman"/>
          <w:sz w:val="24"/>
          <w:szCs w:val="24"/>
        </w:rPr>
      </w:pPr>
      <w:r>
        <w:rPr>
          <w:rFonts w:ascii="Times New Roman" w:hAnsi="Times New Roman"/>
          <w:sz w:val="24"/>
          <w:szCs w:val="24"/>
        </w:rPr>
        <w:t xml:space="preserve">On March 26, 2021, in </w:t>
      </w:r>
      <w:r w:rsidRPr="006E0916">
        <w:rPr>
          <w:rFonts w:ascii="Times New Roman" w:hAnsi="Times New Roman"/>
          <w:sz w:val="24"/>
          <w:szCs w:val="24"/>
          <w:u w:val="single"/>
        </w:rPr>
        <w:t>Mark W. Stahl v. Allen-Clay Joint Fire District</w:t>
      </w:r>
      <w:r>
        <w:rPr>
          <w:rFonts w:ascii="Times New Roman" w:hAnsi="Times New Roman"/>
          <w:sz w:val="24"/>
          <w:szCs w:val="24"/>
        </w:rPr>
        <w:t xml:space="preserve">, the Court of Appeals of Ohio, Sixth Appellate District (Ottawa County), held (3 to 0), </w:t>
      </w:r>
      <w:r w:rsidRPr="00421215">
        <w:rPr>
          <w:rFonts w:ascii="Times New Roman" w:hAnsi="Times New Roman"/>
          <w:sz w:val="24"/>
          <w:szCs w:val="24"/>
        </w:rPr>
        <w:t xml:space="preserve">2021 Ohio 986, </w:t>
      </w:r>
      <w:r>
        <w:rPr>
          <w:rFonts w:ascii="Times New Roman" w:hAnsi="Times New Roman"/>
          <w:sz w:val="24"/>
          <w:szCs w:val="24"/>
        </w:rPr>
        <w:t xml:space="preserve">that the Fire District Board had sufficient evidence to impose the discipline on the Battalion Chief, for not reporting to the FD and </w:t>
      </w:r>
      <w:r w:rsidRPr="00121F16">
        <w:rPr>
          <w:rFonts w:ascii="Times New Roman" w:hAnsi="Times New Roman"/>
          <w:sz w:val="24"/>
          <w:szCs w:val="24"/>
        </w:rPr>
        <w:t xml:space="preserve">the Ohio Division of Emergency Medical Services </w:t>
      </w:r>
      <w:r>
        <w:rPr>
          <w:rFonts w:ascii="Times New Roman" w:hAnsi="Times New Roman"/>
          <w:sz w:val="24"/>
          <w:szCs w:val="24"/>
        </w:rPr>
        <w:t xml:space="preserve">that an EMT-B had exceeded his scope of practice by inserting an </w:t>
      </w:r>
      <w:r w:rsidRPr="00121F16">
        <w:rPr>
          <w:rFonts w:ascii="Times New Roman" w:hAnsi="Times New Roman"/>
          <w:sz w:val="24"/>
          <w:szCs w:val="24"/>
        </w:rPr>
        <w:t>intraosseous infusion ("IO")</w:t>
      </w:r>
      <w:r>
        <w:rPr>
          <w:rFonts w:ascii="Times New Roman" w:hAnsi="Times New Roman"/>
          <w:sz w:val="24"/>
          <w:szCs w:val="24"/>
        </w:rPr>
        <w:t xml:space="preserve"> into tibia bone of a cardiac patient.  Note: The EMS run report was completed by a Medic on the run; she incorrectly listed herself as inserting the IO.  </w:t>
      </w:r>
    </w:p>
    <w:p w14:paraId="66BD3ED1" w14:textId="77777777" w:rsidR="00EC1BFB" w:rsidRDefault="00EC1BFB" w:rsidP="00EC1BFB">
      <w:pPr>
        <w:pStyle w:val="NoSpacing"/>
        <w:rPr>
          <w:rFonts w:ascii="Times New Roman" w:hAnsi="Times New Roman"/>
          <w:sz w:val="24"/>
          <w:szCs w:val="24"/>
        </w:rPr>
      </w:pPr>
    </w:p>
    <w:p w14:paraId="051FC879" w14:textId="77777777" w:rsidR="00EC1BFB" w:rsidRDefault="00EC1BFB" w:rsidP="00EC1BFB">
      <w:pPr>
        <w:pStyle w:val="NoSpacing"/>
        <w:ind w:left="720"/>
        <w:rPr>
          <w:rFonts w:ascii="Times New Roman" w:hAnsi="Times New Roman"/>
          <w:sz w:val="24"/>
          <w:szCs w:val="24"/>
        </w:rPr>
      </w:pPr>
      <w:r>
        <w:rPr>
          <w:rFonts w:ascii="Times New Roman" w:hAnsi="Times New Roman"/>
          <w:sz w:val="24"/>
          <w:szCs w:val="24"/>
        </w:rPr>
        <w:t>“</w:t>
      </w:r>
      <w:r w:rsidRPr="006E0916">
        <w:rPr>
          <w:rFonts w:ascii="Times New Roman" w:hAnsi="Times New Roman"/>
          <w:sz w:val="24"/>
          <w:szCs w:val="24"/>
        </w:rPr>
        <w:t xml:space="preserve">The board had before it </w:t>
      </w:r>
      <w:proofErr w:type="gramStart"/>
      <w:r w:rsidRPr="006E0916">
        <w:rPr>
          <w:rFonts w:ascii="Times New Roman" w:hAnsi="Times New Roman"/>
          <w:sz w:val="24"/>
          <w:szCs w:val="24"/>
        </w:rPr>
        <w:t>evidence</w:t>
      </w:r>
      <w:proofErr w:type="gramEnd"/>
      <w:r w:rsidRPr="006E0916">
        <w:rPr>
          <w:rFonts w:ascii="Times New Roman" w:hAnsi="Times New Roman"/>
          <w:sz w:val="24"/>
          <w:szCs w:val="24"/>
        </w:rPr>
        <w:t xml:space="preserve"> that Stahl was obligated to supervise firefighters and EMTs at an emergency scene and that he was required to report improper conduct to his superior and to the State Board of Emergency Medical Services and the Northwest Ohio EMS Consortium. Although contested, there was reliable, probative, and substantial evidence that Stahl knew or should have known that improper conduct took place at the scene of an emergency, and he failed to report that conduct. We affirm the June 1, </w:t>
      </w:r>
      <w:proofErr w:type="gramStart"/>
      <w:r w:rsidRPr="006E0916">
        <w:rPr>
          <w:rFonts w:ascii="Times New Roman" w:hAnsi="Times New Roman"/>
          <w:sz w:val="24"/>
          <w:szCs w:val="24"/>
        </w:rPr>
        <w:t>2020</w:t>
      </w:r>
      <w:proofErr w:type="gramEnd"/>
      <w:r w:rsidRPr="006E0916">
        <w:rPr>
          <w:rFonts w:ascii="Times New Roman" w:hAnsi="Times New Roman"/>
          <w:sz w:val="24"/>
          <w:szCs w:val="24"/>
        </w:rPr>
        <w:t xml:space="preserve"> judgment of the Ottawa County Court of Common Pleas. Stahl is ordered to pay the costs of this appeal under </w:t>
      </w:r>
      <w:proofErr w:type="spellStart"/>
      <w:r w:rsidRPr="006E0916">
        <w:rPr>
          <w:rFonts w:ascii="Times New Roman" w:hAnsi="Times New Roman"/>
          <w:sz w:val="24"/>
          <w:szCs w:val="24"/>
        </w:rPr>
        <w:t>App.R</w:t>
      </w:r>
      <w:proofErr w:type="spellEnd"/>
      <w:r w:rsidRPr="006E0916">
        <w:rPr>
          <w:rFonts w:ascii="Times New Roman" w:hAnsi="Times New Roman"/>
          <w:sz w:val="24"/>
          <w:szCs w:val="24"/>
        </w:rPr>
        <w:t>. 24.</w:t>
      </w:r>
      <w:r>
        <w:rPr>
          <w:rFonts w:ascii="Times New Roman" w:hAnsi="Times New Roman"/>
          <w:sz w:val="24"/>
          <w:szCs w:val="24"/>
        </w:rPr>
        <w:t xml:space="preserve">” </w:t>
      </w:r>
    </w:p>
    <w:p w14:paraId="083A8B54" w14:textId="149D36E6" w:rsidR="00EC1BFB" w:rsidRDefault="00EC1BFB" w:rsidP="00EC1BFB">
      <w:pPr>
        <w:ind w:firstLine="720"/>
        <w:rPr>
          <w:rFonts w:ascii="Times New Roman" w:hAnsi="Times New Roman"/>
          <w:sz w:val="24"/>
          <w:szCs w:val="24"/>
        </w:rPr>
      </w:pPr>
      <w:hyperlink r:id="rId2357" w:history="1">
        <w:r w:rsidRPr="00B568EC">
          <w:rPr>
            <w:rStyle w:val="Hyperlink"/>
            <w:rFonts w:ascii="Times New Roman" w:hAnsi="Times New Roman"/>
            <w:sz w:val="24"/>
            <w:szCs w:val="24"/>
          </w:rPr>
          <w:t>http://lcapps.co.lucas.oh.us/Courts/Appeals/DecisionsPDF/9824.pdf</w:t>
        </w:r>
      </w:hyperlink>
    </w:p>
    <w:p w14:paraId="08302EF1" w14:textId="77777777" w:rsidR="00EC1BFB" w:rsidRDefault="00EC1BFB" w:rsidP="00EC1BFB">
      <w:pPr>
        <w:spacing w:before="100" w:beforeAutospacing="1" w:after="100" w:afterAutospacing="1" w:line="240" w:lineRule="auto"/>
        <w:rPr>
          <w:rFonts w:ascii="Times New Roman" w:hAnsi="Times New Roman"/>
          <w:b/>
          <w:bCs/>
          <w:sz w:val="24"/>
          <w:szCs w:val="24"/>
        </w:rPr>
      </w:pPr>
      <w:r w:rsidRPr="008A7E59">
        <w:rPr>
          <w:rFonts w:ascii="Times New Roman" w:hAnsi="Times New Roman"/>
          <w:b/>
          <w:bCs/>
          <w:sz w:val="24"/>
          <w:szCs w:val="24"/>
        </w:rPr>
        <w:t>Legal Lesson Learned:</w:t>
      </w:r>
      <w:r>
        <w:rPr>
          <w:rFonts w:ascii="Times New Roman" w:hAnsi="Times New Roman"/>
          <w:b/>
          <w:bCs/>
          <w:sz w:val="24"/>
          <w:szCs w:val="24"/>
        </w:rPr>
        <w:t xml:space="preserve"> The Officer-In-Charge on an EMS run should ensure that an apparent violation of EMS certificate of practice has been promptly reported to the FD, and to the State EMS Board.  The EMS Run Report should also be corrected to accurately report who started the IO. </w:t>
      </w:r>
    </w:p>
    <w:p w14:paraId="3B8581A2" w14:textId="77777777" w:rsidR="00EC1BFB" w:rsidRPr="00EC1BFB" w:rsidRDefault="00EC1BFB" w:rsidP="00EC1BFB">
      <w:pPr>
        <w:pStyle w:val="Heading2"/>
        <w:ind w:left="720"/>
        <w:rPr>
          <w:rFonts w:ascii="Times New Roman" w:hAnsi="Times New Roman"/>
          <w:b w:val="0"/>
          <w:bCs w:val="0"/>
          <w:i w:val="0"/>
          <w:iCs w:val="0"/>
          <w:sz w:val="24"/>
          <w:szCs w:val="24"/>
        </w:rPr>
      </w:pPr>
      <w:r w:rsidRPr="00EC1BFB">
        <w:rPr>
          <w:rFonts w:ascii="Times New Roman" w:hAnsi="Times New Roman"/>
          <w:b w:val="0"/>
          <w:bCs w:val="0"/>
          <w:i w:val="0"/>
          <w:iCs w:val="0"/>
          <w:sz w:val="24"/>
          <w:szCs w:val="24"/>
        </w:rPr>
        <w:t>Note: Ohio Administrative Code 4765-9-01, 4765-9-01, Professional standards of conduct for a holder of a certificate to practice.</w:t>
      </w:r>
    </w:p>
    <w:p w14:paraId="0BCAF288" w14:textId="77777777" w:rsidR="00EC1BFB" w:rsidRPr="008A7E59" w:rsidRDefault="00EC1BFB" w:rsidP="00EC1BFB">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8A7E59">
        <w:rPr>
          <w:rFonts w:ascii="Times New Roman" w:hAnsi="Times New Roman"/>
          <w:sz w:val="24"/>
          <w:szCs w:val="24"/>
        </w:rPr>
        <w:t>(G) A person issued a certificate to practice shall report to the division as soon as practicable any knowledge of a violation of Chapter 4765. of the Revised Code or Chapters 4765-1 to 4765-10 or 4765-12 to 4765-19 of the Administrative Code.</w:t>
      </w:r>
      <w:r>
        <w:rPr>
          <w:rFonts w:ascii="Times New Roman" w:hAnsi="Times New Roman"/>
          <w:sz w:val="24"/>
          <w:szCs w:val="24"/>
        </w:rPr>
        <w:t>”</w:t>
      </w:r>
      <w:r w:rsidRPr="008A7E59">
        <w:t xml:space="preserve"> </w:t>
      </w:r>
      <w:hyperlink r:id="rId2358" w:history="1">
        <w:r w:rsidRPr="00AB20E4">
          <w:rPr>
            <w:rStyle w:val="Hyperlink"/>
            <w:sz w:val="24"/>
            <w:szCs w:val="24"/>
          </w:rPr>
          <w:t>http://codes.ohio.gov/oac/4765-9-01</w:t>
        </w:r>
      </w:hyperlink>
      <w:r>
        <w:rPr>
          <w:rFonts w:ascii="Times New Roman" w:hAnsi="Times New Roman"/>
          <w:sz w:val="24"/>
          <w:szCs w:val="24"/>
        </w:rPr>
        <w:t xml:space="preserve"> </w:t>
      </w:r>
    </w:p>
    <w:p w14:paraId="6E4FD877" w14:textId="77777777" w:rsidR="00EC1BFB" w:rsidRPr="00EC1BFB" w:rsidRDefault="00EC1BFB" w:rsidP="00EC1BFB">
      <w:pPr>
        <w:ind w:firstLine="720"/>
        <w:rPr>
          <w:rFonts w:ascii="Times New Roman" w:hAnsi="Times New Roman"/>
          <w:b/>
          <w:bCs/>
          <w:sz w:val="24"/>
          <w:szCs w:val="24"/>
        </w:rPr>
      </w:pPr>
    </w:p>
    <w:p w14:paraId="1932F9E9" w14:textId="77777777" w:rsidR="00EC1BFB" w:rsidRDefault="00EC1BFB" w:rsidP="002B1283">
      <w:pPr>
        <w:rPr>
          <w:rFonts w:ascii="Arial Black" w:hAnsi="Arial Black"/>
          <w:b/>
          <w:bCs/>
          <w:sz w:val="28"/>
          <w:szCs w:val="28"/>
        </w:rPr>
      </w:pPr>
    </w:p>
    <w:p w14:paraId="6CF266F3" w14:textId="48FFD248" w:rsidR="00EC1BFB" w:rsidRDefault="00EC1BFB" w:rsidP="002B1283">
      <w:pPr>
        <w:rPr>
          <w:rFonts w:ascii="Arial Black" w:hAnsi="Arial Black"/>
          <w:b/>
          <w:bCs/>
          <w:sz w:val="28"/>
          <w:szCs w:val="28"/>
        </w:rPr>
      </w:pPr>
      <w:r>
        <w:rPr>
          <w:rFonts w:ascii="Arial Black" w:hAnsi="Arial Black"/>
          <w:b/>
          <w:bCs/>
          <w:sz w:val="28"/>
          <w:szCs w:val="28"/>
        </w:rPr>
        <w:t>13-85</w:t>
      </w:r>
    </w:p>
    <w:p w14:paraId="41DCAA9D" w14:textId="6E66F5D1" w:rsidR="00EC1BFB" w:rsidRPr="00755CBD" w:rsidRDefault="00EC1BFB" w:rsidP="00EC1BFB">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WA: DEAD BODY BROUGHT TO FD - INTUBATION 15 TIMES – BROTHER HAS STANDING TO SUE IN FEDERAL COURT [AS DOES WIFE]</w:t>
      </w:r>
    </w:p>
    <w:p w14:paraId="498A251F" w14:textId="77777777" w:rsidR="00EC1BFB" w:rsidRDefault="00EC1BFB" w:rsidP="00EC1BFB">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18, 2021, in </w:t>
      </w:r>
      <w:r w:rsidRPr="00C778EF">
        <w:rPr>
          <w:rFonts w:ascii="Times New Roman" w:eastAsia="Times New Roman" w:hAnsi="Times New Roman"/>
          <w:sz w:val="24"/>
          <w:szCs w:val="24"/>
          <w:u w:val="single"/>
        </w:rPr>
        <w:t>Robert Fox v. City of Bellingham</w:t>
      </w:r>
      <w:r>
        <w:rPr>
          <w:rFonts w:ascii="Times New Roman" w:eastAsia="Times New Roman" w:hAnsi="Times New Roman"/>
          <w:sz w:val="24"/>
          <w:szCs w:val="24"/>
        </w:rPr>
        <w:t xml:space="preserve">, the Supreme Court of the State of Washington, held (6 to 3) in response to a question by U.S. District Court judge, that Washington Supreme Court advised the federal judge that under state law the brother of the deceased, who lives in California, does have standing to sue for tortious interference with a corpse.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has already paid $75,000 to the two adult children of the </w:t>
      </w:r>
      <w:proofErr w:type="gramStart"/>
      <w:r>
        <w:rPr>
          <w:rFonts w:ascii="Times New Roman" w:eastAsia="Times New Roman" w:hAnsi="Times New Roman"/>
          <w:sz w:val="24"/>
          <w:szCs w:val="24"/>
        </w:rPr>
        <w:t>deceased, and</w:t>
      </w:r>
      <w:proofErr w:type="gramEnd"/>
      <w:r>
        <w:rPr>
          <w:rFonts w:ascii="Times New Roman" w:eastAsia="Times New Roman" w:hAnsi="Times New Roman"/>
          <w:sz w:val="24"/>
          <w:szCs w:val="24"/>
        </w:rPr>
        <w:t xml:space="preserve"> is being sued by the wife of the deceased.  The Washington Supreme Court rejected the </w:t>
      </w:r>
      <w:r w:rsidRPr="002C32C5">
        <w:rPr>
          <w:rFonts w:ascii="Times New Roman" w:hAnsi="Times New Roman"/>
          <w:sz w:val="24"/>
          <w:szCs w:val="24"/>
        </w:rPr>
        <w:t>City</w:t>
      </w:r>
      <w:r>
        <w:rPr>
          <w:rFonts w:ascii="Times New Roman" w:hAnsi="Times New Roman"/>
          <w:sz w:val="24"/>
          <w:szCs w:val="24"/>
        </w:rPr>
        <w:t>’s</w:t>
      </w:r>
      <w:r w:rsidRPr="002C32C5">
        <w:rPr>
          <w:rFonts w:ascii="Times New Roman" w:hAnsi="Times New Roman"/>
          <w:sz w:val="24"/>
          <w:szCs w:val="24"/>
        </w:rPr>
        <w:t xml:space="preserve"> moved for summary judgment</w:t>
      </w:r>
      <w:r>
        <w:rPr>
          <w:rFonts w:ascii="Times New Roman" w:hAnsi="Times New Roman"/>
          <w:sz w:val="24"/>
          <w:szCs w:val="24"/>
        </w:rPr>
        <w:t xml:space="preserve"> </w:t>
      </w:r>
      <w:r w:rsidRPr="002C32C5">
        <w:rPr>
          <w:rFonts w:ascii="Times New Roman" w:hAnsi="Times New Roman"/>
          <w:sz w:val="24"/>
          <w:szCs w:val="24"/>
        </w:rPr>
        <w:t xml:space="preserve">asserting that </w:t>
      </w:r>
      <w:r>
        <w:rPr>
          <w:rFonts w:ascii="Times New Roman" w:hAnsi="Times New Roman"/>
          <w:sz w:val="24"/>
          <w:szCs w:val="24"/>
        </w:rPr>
        <w:t>Robert</w:t>
      </w:r>
      <w:r w:rsidRPr="002C32C5">
        <w:rPr>
          <w:rFonts w:ascii="Times New Roman" w:hAnsi="Times New Roman"/>
          <w:sz w:val="24"/>
          <w:szCs w:val="24"/>
        </w:rPr>
        <w:t xml:space="preserve"> Fox lacks standing because he is not the designated custodian of his brother's remains under </w:t>
      </w:r>
      <w:hyperlink r:id="rId2359" w:history="1">
        <w:r w:rsidRPr="002C32C5">
          <w:rPr>
            <w:rStyle w:val="Hyperlink"/>
            <w:sz w:val="24"/>
            <w:szCs w:val="24"/>
          </w:rPr>
          <w:t>RCW 68.50.160</w:t>
        </w:r>
      </w:hyperlink>
      <w:r>
        <w:rPr>
          <w:rStyle w:val="Hyperlink"/>
          <w:sz w:val="24"/>
          <w:szCs w:val="24"/>
        </w:rPr>
        <w:t xml:space="preserve"> </w:t>
      </w:r>
      <w:r>
        <w:rPr>
          <w:rFonts w:ascii="Times New Roman" w:hAnsi="Times New Roman"/>
          <w:sz w:val="24"/>
          <w:szCs w:val="24"/>
        </w:rPr>
        <w:t xml:space="preserve">(the deceased’s wife has </w:t>
      </w:r>
      <w:r w:rsidRPr="002C32C5">
        <w:rPr>
          <w:rFonts w:ascii="Times New Roman" w:hAnsi="Times New Roman"/>
          <w:sz w:val="24"/>
          <w:szCs w:val="24"/>
        </w:rPr>
        <w:t xml:space="preserve">care of </w:t>
      </w:r>
      <w:r>
        <w:rPr>
          <w:rFonts w:ascii="Times New Roman" w:hAnsi="Times New Roman"/>
          <w:sz w:val="24"/>
          <w:szCs w:val="24"/>
        </w:rPr>
        <w:t xml:space="preserve">her husband’s </w:t>
      </w:r>
      <w:r w:rsidRPr="002C32C5">
        <w:rPr>
          <w:rFonts w:ascii="Times New Roman" w:hAnsi="Times New Roman"/>
          <w:sz w:val="24"/>
          <w:szCs w:val="24"/>
        </w:rPr>
        <w:t>remains</w:t>
      </w:r>
      <w:r>
        <w:rPr>
          <w:rFonts w:ascii="Times New Roman" w:hAnsi="Times New Roman"/>
          <w:sz w:val="24"/>
          <w:szCs w:val="24"/>
        </w:rPr>
        <w:t>)</w:t>
      </w:r>
      <w:r w:rsidRPr="002C32C5">
        <w:rPr>
          <w:rFonts w:ascii="Times New Roman" w:hAnsi="Times New Roman"/>
          <w:sz w:val="24"/>
          <w:szCs w:val="24"/>
        </w:rPr>
        <w:t>.</w:t>
      </w:r>
      <w:r>
        <w:rPr>
          <w:rFonts w:ascii="Times New Roman" w:hAnsi="Times New Roman"/>
          <w:sz w:val="24"/>
          <w:szCs w:val="24"/>
        </w:rPr>
        <w:t xml:space="preserve">  </w:t>
      </w:r>
      <w:r>
        <w:rPr>
          <w:rFonts w:ascii="Times New Roman" w:eastAsia="Times New Roman" w:hAnsi="Times New Roman"/>
          <w:sz w:val="24"/>
          <w:szCs w:val="24"/>
        </w:rPr>
        <w:t>[Note: Court didn’t explain why different last names of two brothers.]</w:t>
      </w:r>
    </w:p>
    <w:p w14:paraId="53BEF92B" w14:textId="77777777" w:rsidR="00EC1BFB" w:rsidRDefault="00EC1BFB" w:rsidP="00EC1BFB">
      <w:pPr>
        <w:pStyle w:val="NormalWeb"/>
        <w:ind w:left="720"/>
      </w:pPr>
      <w:r>
        <w:t xml:space="preserve">“Mr. Fox lived with his brother during his adult life, and the two spoke to each other weekly. Mr. Fox took part in preparing his brother's </w:t>
      </w:r>
      <w:proofErr w:type="gramStart"/>
      <w:r>
        <w:t>end of life</w:t>
      </w:r>
      <w:proofErr w:type="gramEnd"/>
      <w:r>
        <w:t xml:space="preserve"> celebration. Based on these facts, Mr. Fox has put forth sufficient evidence that he is a ‘close relative’ of his brother and, therefore, has standing to bring suit.”   </w:t>
      </w:r>
      <w:hyperlink r:id="rId2360" w:history="1">
        <w:r w:rsidRPr="001363A6">
          <w:rPr>
            <w:rStyle w:val="Hyperlink"/>
          </w:rPr>
          <w:t>https://casetext.com/case/certification-from-us-dist-court-for-w-dist-of-wash-v-city-of-bellingham</w:t>
        </w:r>
      </w:hyperlink>
      <w:r>
        <w:t xml:space="preserve"> </w:t>
      </w:r>
    </w:p>
    <w:p w14:paraId="2D53ADF1" w14:textId="77777777" w:rsidR="00EC1BFB" w:rsidRDefault="00EC1BFB" w:rsidP="00EC1BFB">
      <w:pPr>
        <w:pStyle w:val="NormalWeb"/>
        <w:rPr>
          <w:b/>
          <w:bCs/>
        </w:rPr>
      </w:pPr>
      <w:r w:rsidRPr="00321C47">
        <w:rPr>
          <w:b/>
          <w:bCs/>
        </w:rPr>
        <w:t xml:space="preserve">Legal Lesson Learned: </w:t>
      </w:r>
      <w:r>
        <w:rPr>
          <w:b/>
          <w:bCs/>
        </w:rPr>
        <w:t xml:space="preserve">Do not use bodies for training without written permission of spouse or other immediate family members. </w:t>
      </w:r>
    </w:p>
    <w:p w14:paraId="7E44CE23" w14:textId="77777777" w:rsidR="00EC1BFB" w:rsidRDefault="00EC1BFB" w:rsidP="00EC1BFB">
      <w:pPr>
        <w:pStyle w:val="NormalWeb"/>
      </w:pPr>
      <w:r>
        <w:rPr>
          <w:b/>
          <w:bCs/>
        </w:rPr>
        <w:tab/>
      </w:r>
      <w:r w:rsidRPr="00321C47">
        <w:t>Note:</w:t>
      </w:r>
      <w:r>
        <w:t xml:space="preserve">  This incident has been in the press. </w:t>
      </w:r>
    </w:p>
    <w:p w14:paraId="30A521E2" w14:textId="77777777" w:rsidR="00EC1BFB" w:rsidRPr="000318D2" w:rsidRDefault="00EC1BFB" w:rsidP="00EC1BFB">
      <w:pPr>
        <w:pStyle w:val="Heading1"/>
        <w:ind w:left="720"/>
        <w:rPr>
          <w:b w:val="0"/>
          <w:bCs w:val="0"/>
          <w:sz w:val="24"/>
          <w:szCs w:val="24"/>
        </w:rPr>
      </w:pPr>
      <w:r>
        <w:rPr>
          <w:rStyle w:val="field"/>
          <w:b w:val="0"/>
          <w:bCs w:val="0"/>
          <w:sz w:val="24"/>
          <w:szCs w:val="24"/>
        </w:rPr>
        <w:t>“</w:t>
      </w:r>
      <w:r w:rsidRPr="00321C47">
        <w:rPr>
          <w:rStyle w:val="field"/>
          <w:b w:val="0"/>
          <w:bCs w:val="0"/>
          <w:sz w:val="24"/>
          <w:szCs w:val="24"/>
        </w:rPr>
        <w:t>Wash. Fire Dept. Faces Fourth Lawsuit for Intubating Dead Patient</w:t>
      </w:r>
      <w:r>
        <w:rPr>
          <w:rStyle w:val="field"/>
          <w:b w:val="0"/>
          <w:bCs w:val="0"/>
          <w:sz w:val="24"/>
          <w:szCs w:val="24"/>
        </w:rPr>
        <w:t>,” July 17, 2019:</w:t>
      </w:r>
      <w:r w:rsidRPr="00321C47">
        <w:rPr>
          <w:rStyle w:val="field"/>
          <w:b w:val="0"/>
          <w:bCs w:val="0"/>
          <w:sz w:val="24"/>
          <w:szCs w:val="24"/>
        </w:rPr>
        <w:t xml:space="preserve"> </w:t>
      </w:r>
      <w:r>
        <w:rPr>
          <w:b w:val="0"/>
          <w:bCs w:val="0"/>
          <w:sz w:val="24"/>
          <w:szCs w:val="24"/>
        </w:rPr>
        <w:t>“</w:t>
      </w:r>
      <w:r w:rsidRPr="000318D2">
        <w:rPr>
          <w:b w:val="0"/>
          <w:bCs w:val="0"/>
          <w:sz w:val="24"/>
          <w:szCs w:val="24"/>
        </w:rPr>
        <w:t xml:space="preserve">The city already has paid $75,000 each to two adult children of Bradley Ginn </w:t>
      </w:r>
      <w:proofErr w:type="gramStart"/>
      <w:r w:rsidRPr="000318D2">
        <w:rPr>
          <w:b w:val="0"/>
          <w:bCs w:val="0"/>
          <w:sz w:val="24"/>
          <w:szCs w:val="24"/>
        </w:rPr>
        <w:t>Sr., and</w:t>
      </w:r>
      <w:proofErr w:type="gramEnd"/>
      <w:r w:rsidRPr="000318D2">
        <w:rPr>
          <w:b w:val="0"/>
          <w:bCs w:val="0"/>
          <w:sz w:val="24"/>
          <w:szCs w:val="24"/>
        </w:rPr>
        <w:t xml:space="preserve"> is facing a $15 million claim filed by Ginn’s widow, Jai Ginn, according to the city attorney’s office. Now, his brother, Robert Fox, who lives in California, has filed a federal lawsuit against the city alleging </w:t>
      </w:r>
      <w:r>
        <w:rPr>
          <w:b w:val="0"/>
          <w:bCs w:val="0"/>
          <w:sz w:val="24"/>
          <w:szCs w:val="24"/>
        </w:rPr>
        <w:t>‘</w:t>
      </w:r>
      <w:r w:rsidRPr="000318D2">
        <w:rPr>
          <w:b w:val="0"/>
          <w:bCs w:val="0"/>
          <w:sz w:val="24"/>
          <w:szCs w:val="24"/>
        </w:rPr>
        <w:t>tortuous interference with a corpse</w:t>
      </w:r>
      <w:r>
        <w:rPr>
          <w:b w:val="0"/>
          <w:bCs w:val="0"/>
          <w:sz w:val="24"/>
          <w:szCs w:val="24"/>
        </w:rPr>
        <w:t xml:space="preserve">’ </w:t>
      </w:r>
      <w:r w:rsidRPr="000318D2">
        <w:rPr>
          <w:b w:val="0"/>
          <w:bCs w:val="0"/>
          <w:sz w:val="24"/>
          <w:szCs w:val="24"/>
        </w:rPr>
        <w:t>after 11 Bellingham Fire Department employees, including an account manager and an office secretary, practiced inserting endotracheal tubes into the body 15 times after placing Ginn’s corpse in a body bag on the floor of a firehouse.</w:t>
      </w:r>
      <w:r>
        <w:rPr>
          <w:b w:val="0"/>
          <w:bCs w:val="0"/>
          <w:sz w:val="24"/>
          <w:szCs w:val="24"/>
        </w:rPr>
        <w:t xml:space="preserve">” </w:t>
      </w:r>
      <w:hyperlink r:id="rId2361" w:history="1">
        <w:r w:rsidRPr="00321C47">
          <w:rPr>
            <w:rStyle w:val="Hyperlink"/>
            <w:b w:val="0"/>
            <w:bCs w:val="0"/>
            <w:sz w:val="24"/>
            <w:szCs w:val="24"/>
          </w:rPr>
          <w:t>https://www.emsworld.com/news/1223006/wash-fire-dept-faces-fourth-lawsuit-intubating-dead-patient</w:t>
        </w:r>
      </w:hyperlink>
      <w:r>
        <w:rPr>
          <w:rStyle w:val="field"/>
          <w:b w:val="0"/>
          <w:bCs w:val="0"/>
          <w:sz w:val="24"/>
          <w:szCs w:val="24"/>
        </w:rPr>
        <w:t xml:space="preserve"> </w:t>
      </w:r>
    </w:p>
    <w:p w14:paraId="4A1196AB" w14:textId="77777777" w:rsidR="00EC1BFB" w:rsidRPr="000318D2" w:rsidRDefault="00EC1BFB" w:rsidP="00EC1BFB">
      <w:pPr>
        <w:pStyle w:val="Heading1"/>
        <w:ind w:left="720"/>
        <w:rPr>
          <w:b w:val="0"/>
          <w:bCs w:val="0"/>
          <w:sz w:val="24"/>
          <w:szCs w:val="24"/>
        </w:rPr>
      </w:pPr>
      <w:r>
        <w:rPr>
          <w:b w:val="0"/>
          <w:bCs w:val="0"/>
          <w:sz w:val="24"/>
          <w:szCs w:val="24"/>
        </w:rPr>
        <w:t>“</w:t>
      </w:r>
      <w:r w:rsidRPr="000318D2">
        <w:rPr>
          <w:b w:val="0"/>
          <w:bCs w:val="0"/>
          <w:sz w:val="24"/>
          <w:szCs w:val="24"/>
        </w:rPr>
        <w:t>WA 'Intubation' Probe Targets Nine FFs,</w:t>
      </w:r>
      <w:r>
        <w:rPr>
          <w:b w:val="0"/>
          <w:bCs w:val="0"/>
          <w:sz w:val="24"/>
          <w:szCs w:val="24"/>
        </w:rPr>
        <w:t>”</w:t>
      </w:r>
      <w:r w:rsidRPr="000318D2">
        <w:rPr>
          <w:b w:val="0"/>
          <w:bCs w:val="0"/>
          <w:sz w:val="24"/>
          <w:szCs w:val="24"/>
        </w:rPr>
        <w:t xml:space="preserve"> Oct. 4, 2018 </w:t>
      </w:r>
      <w:r>
        <w:rPr>
          <w:b w:val="0"/>
          <w:bCs w:val="0"/>
          <w:sz w:val="24"/>
          <w:szCs w:val="24"/>
        </w:rPr>
        <w:t>–</w:t>
      </w:r>
      <w:r w:rsidRPr="000318D2">
        <w:rPr>
          <w:b w:val="0"/>
          <w:bCs w:val="0"/>
          <w:sz w:val="24"/>
          <w:szCs w:val="24"/>
        </w:rPr>
        <w:t xml:space="preserve"> </w:t>
      </w:r>
      <w:r>
        <w:rPr>
          <w:b w:val="0"/>
          <w:bCs w:val="0"/>
          <w:sz w:val="24"/>
          <w:szCs w:val="24"/>
        </w:rPr>
        <w:t>“</w:t>
      </w:r>
      <w:r w:rsidRPr="000318D2">
        <w:rPr>
          <w:b w:val="0"/>
          <w:bCs w:val="0"/>
          <w:sz w:val="24"/>
          <w:szCs w:val="24"/>
        </w:rPr>
        <w:t xml:space="preserve">Washington's Department of Health is investigating nine Bellingham firefighters after it was revealed that intubations were performed on a dead man. </w:t>
      </w:r>
      <w:hyperlink r:id="rId2362" w:history="1">
        <w:r w:rsidRPr="000318D2">
          <w:rPr>
            <w:rStyle w:val="Hyperlink"/>
            <w:b w:val="0"/>
            <w:bCs w:val="0"/>
            <w:sz w:val="24"/>
            <w:szCs w:val="24"/>
          </w:rPr>
          <w:t>https://www.firehouse.com/ems/news/21025612/bellingham-wa-investigation-probe-firefighters-intubation-dead-body</w:t>
        </w:r>
      </w:hyperlink>
      <w:r w:rsidRPr="000318D2">
        <w:rPr>
          <w:b w:val="0"/>
          <w:bCs w:val="0"/>
          <w:sz w:val="24"/>
          <w:szCs w:val="24"/>
        </w:rPr>
        <w:t xml:space="preserve"> </w:t>
      </w:r>
    </w:p>
    <w:p w14:paraId="1FCE0779" w14:textId="77777777" w:rsidR="00EC1BFB" w:rsidRDefault="00EC1BFB" w:rsidP="00EC1BFB">
      <w:pPr>
        <w:pStyle w:val="NormalWeb"/>
      </w:pPr>
    </w:p>
    <w:p w14:paraId="2DD98662" w14:textId="77777777" w:rsidR="00EC1BFB" w:rsidRDefault="00EC1BFB" w:rsidP="002B1283">
      <w:pPr>
        <w:rPr>
          <w:rFonts w:ascii="Arial Black" w:hAnsi="Arial Black"/>
          <w:b/>
          <w:bCs/>
          <w:sz w:val="28"/>
          <w:szCs w:val="28"/>
        </w:rPr>
      </w:pPr>
    </w:p>
    <w:p w14:paraId="6A7A837F" w14:textId="77777777" w:rsidR="00EC1BFB" w:rsidRDefault="00EC1BFB" w:rsidP="002B1283">
      <w:pPr>
        <w:rPr>
          <w:rFonts w:ascii="Arial Black" w:hAnsi="Arial Black"/>
          <w:b/>
          <w:bCs/>
          <w:sz w:val="28"/>
          <w:szCs w:val="28"/>
        </w:rPr>
      </w:pPr>
    </w:p>
    <w:p w14:paraId="5DF01CFD" w14:textId="2A64721D" w:rsidR="00EC1BFB" w:rsidRDefault="00EC1BFB" w:rsidP="002B1283">
      <w:pPr>
        <w:rPr>
          <w:rFonts w:ascii="Arial Black" w:hAnsi="Arial Black"/>
          <w:b/>
          <w:bCs/>
          <w:sz w:val="28"/>
          <w:szCs w:val="28"/>
        </w:rPr>
      </w:pPr>
      <w:r>
        <w:rPr>
          <w:rFonts w:ascii="Arial Black" w:hAnsi="Arial Black"/>
          <w:b/>
          <w:bCs/>
          <w:sz w:val="28"/>
          <w:szCs w:val="28"/>
        </w:rPr>
        <w:t>13-84</w:t>
      </w:r>
    </w:p>
    <w:p w14:paraId="096F135A" w14:textId="77777777" w:rsidR="00EC1BFB" w:rsidRPr="005C57DC" w:rsidRDefault="00EC1BFB" w:rsidP="00EC1BFB">
      <w:pPr>
        <w:spacing w:before="100" w:beforeAutospacing="1" w:after="100" w:afterAutospacing="1" w:line="240" w:lineRule="auto"/>
        <w:rPr>
          <w:rFonts w:ascii="Arial Black" w:hAnsi="Arial Black"/>
          <w:b/>
          <w:bCs/>
          <w:sz w:val="28"/>
          <w:szCs w:val="28"/>
        </w:rPr>
      </w:pPr>
      <w:r w:rsidRPr="005C57DC">
        <w:rPr>
          <w:rFonts w:ascii="Arial Black" w:hAnsi="Arial Black"/>
          <w:b/>
          <w:bCs/>
          <w:sz w:val="28"/>
          <w:szCs w:val="28"/>
        </w:rPr>
        <w:t>ND: AIR AMBULANCES – FED. STATUTE PROHIBITS STATE FROM REGULATING PRICE</w:t>
      </w:r>
      <w:r>
        <w:rPr>
          <w:rFonts w:ascii="Arial Black" w:hAnsi="Arial Black"/>
          <w:b/>
          <w:bCs/>
          <w:sz w:val="28"/>
          <w:szCs w:val="28"/>
        </w:rPr>
        <w:t>S O</w:t>
      </w:r>
      <w:r w:rsidRPr="005C57DC">
        <w:rPr>
          <w:rFonts w:ascii="Arial Black" w:hAnsi="Arial Black"/>
          <w:b/>
          <w:bCs/>
          <w:sz w:val="28"/>
          <w:szCs w:val="28"/>
        </w:rPr>
        <w:t>R SELLING SUBSCRIPTIONS</w:t>
      </w:r>
    </w:p>
    <w:p w14:paraId="0546202B" w14:textId="77777777" w:rsidR="00EC1BFB" w:rsidRPr="000911B4" w:rsidRDefault="00EC1BFB" w:rsidP="00EC1BF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17, 2021, in </w:t>
      </w:r>
      <w:r w:rsidRPr="00BB67DD">
        <w:rPr>
          <w:rFonts w:ascii="Times New Roman" w:hAnsi="Times New Roman"/>
          <w:sz w:val="24"/>
          <w:szCs w:val="24"/>
          <w:u w:val="single"/>
        </w:rPr>
        <w:t xml:space="preserve">Guardian Flight LLC v. Jon Godfread, </w:t>
      </w:r>
      <w:r>
        <w:rPr>
          <w:rFonts w:ascii="Times New Roman" w:hAnsi="Times New Roman"/>
          <w:sz w:val="24"/>
          <w:szCs w:val="24"/>
          <w:u w:val="single"/>
        </w:rPr>
        <w:t xml:space="preserve">in his capacity as </w:t>
      </w:r>
      <w:r w:rsidRPr="00BB67DD">
        <w:rPr>
          <w:rFonts w:ascii="Times New Roman" w:hAnsi="Times New Roman"/>
          <w:sz w:val="24"/>
          <w:szCs w:val="24"/>
          <w:u w:val="single"/>
        </w:rPr>
        <w:t xml:space="preserve">North Dakota Insurance Commissioner, </w:t>
      </w:r>
      <w:r>
        <w:rPr>
          <w:rFonts w:ascii="Times New Roman" w:hAnsi="Times New Roman"/>
          <w:sz w:val="24"/>
          <w:szCs w:val="24"/>
          <w:u w:val="single"/>
        </w:rPr>
        <w:t xml:space="preserve">and Wayne Stenehjem, in his capacity as North Dakota Attorney General, </w:t>
      </w:r>
      <w:r w:rsidRPr="00BB67DD">
        <w:rPr>
          <w:rFonts w:ascii="Times New Roman" w:hAnsi="Times New Roman"/>
          <w:sz w:val="24"/>
          <w:szCs w:val="24"/>
          <w:u w:val="single"/>
        </w:rPr>
        <w:t>et al</w:t>
      </w:r>
      <w:r>
        <w:rPr>
          <w:rFonts w:ascii="Times New Roman" w:hAnsi="Times New Roman"/>
          <w:sz w:val="24"/>
          <w:szCs w:val="24"/>
        </w:rPr>
        <w:t>., the U.S. Court of Appeals for the 8</w:t>
      </w:r>
      <w:r w:rsidRPr="00BB67DD">
        <w:rPr>
          <w:rFonts w:ascii="Times New Roman" w:hAnsi="Times New Roman"/>
          <w:sz w:val="24"/>
          <w:szCs w:val="24"/>
          <w:vertAlign w:val="superscript"/>
        </w:rPr>
        <w:t>th</w:t>
      </w:r>
      <w:r>
        <w:rPr>
          <w:rFonts w:ascii="Times New Roman" w:hAnsi="Times New Roman"/>
          <w:sz w:val="24"/>
          <w:szCs w:val="24"/>
        </w:rPr>
        <w:t xml:space="preserve"> Circuit (St. Louis, MO) held (3 to 0) in favor of Guardian Flight, holding that Nebraska’s 2017 statute seeking to control the price of air ambulance transports, and lawsuits to collect those bills, violates Federal Airlines Deregulation Act.  The federal statute preempts the State of </w:t>
      </w:r>
      <w:r w:rsidRPr="000911B4">
        <w:rPr>
          <w:rFonts w:ascii="Times New Roman" w:hAnsi="Times New Roman"/>
          <w:sz w:val="24"/>
          <w:szCs w:val="24"/>
        </w:rPr>
        <w:t>Nebraska</w:t>
      </w:r>
      <w:r>
        <w:rPr>
          <w:rFonts w:ascii="Times New Roman" w:hAnsi="Times New Roman"/>
          <w:sz w:val="24"/>
          <w:szCs w:val="24"/>
        </w:rPr>
        <w:t xml:space="preserve">’s attempt to control pricing, in response to </w:t>
      </w:r>
      <w:r w:rsidRPr="000911B4">
        <w:rPr>
          <w:rFonts w:ascii="Times New Roman" w:hAnsi="Times New Roman"/>
          <w:sz w:val="24"/>
          <w:szCs w:val="24"/>
        </w:rPr>
        <w:t xml:space="preserve">about 40 complaints </w:t>
      </w:r>
      <w:r>
        <w:rPr>
          <w:rFonts w:ascii="Times New Roman" w:hAnsi="Times New Roman"/>
          <w:sz w:val="24"/>
          <w:szCs w:val="24"/>
        </w:rPr>
        <w:t>(</w:t>
      </w:r>
      <w:r w:rsidRPr="000911B4">
        <w:rPr>
          <w:rFonts w:ascii="Times New Roman" w:hAnsi="Times New Roman"/>
          <w:sz w:val="24"/>
          <w:szCs w:val="24"/>
        </w:rPr>
        <w:t>2014 and early 2018</w:t>
      </w:r>
      <w:r>
        <w:rPr>
          <w:rFonts w:ascii="Times New Roman" w:hAnsi="Times New Roman"/>
          <w:sz w:val="24"/>
          <w:szCs w:val="24"/>
        </w:rPr>
        <w:t>)</w:t>
      </w:r>
      <w:r w:rsidRPr="000911B4">
        <w:rPr>
          <w:rFonts w:ascii="Times New Roman" w:hAnsi="Times New Roman"/>
          <w:sz w:val="24"/>
          <w:szCs w:val="24"/>
        </w:rPr>
        <w:t xml:space="preserve">, </w:t>
      </w:r>
      <w:r>
        <w:rPr>
          <w:rFonts w:ascii="Times New Roman" w:hAnsi="Times New Roman"/>
          <w:sz w:val="24"/>
          <w:szCs w:val="24"/>
        </w:rPr>
        <w:t xml:space="preserve">where privately </w:t>
      </w:r>
      <w:r w:rsidRPr="000911B4">
        <w:rPr>
          <w:rFonts w:ascii="Times New Roman" w:hAnsi="Times New Roman"/>
          <w:sz w:val="24"/>
          <w:szCs w:val="24"/>
        </w:rPr>
        <w:t>insured</w:t>
      </w:r>
      <w:r>
        <w:rPr>
          <w:rFonts w:ascii="Times New Roman" w:hAnsi="Times New Roman"/>
          <w:sz w:val="24"/>
          <w:szCs w:val="24"/>
        </w:rPr>
        <w:t xml:space="preserve"> patients</w:t>
      </w:r>
      <w:r w:rsidRPr="000911B4">
        <w:rPr>
          <w:rFonts w:ascii="Times New Roman" w:hAnsi="Times New Roman"/>
          <w:sz w:val="24"/>
          <w:szCs w:val="24"/>
        </w:rPr>
        <w:t xml:space="preserve"> often were billed more than $20,000 for air ambulance transport—and sometimes more than $40,000—which represented the balances remaining after the insurers paid their portions</w:t>
      </w:r>
      <w:r>
        <w:rPr>
          <w:rFonts w:ascii="Times New Roman" w:hAnsi="Times New Roman"/>
          <w:sz w:val="24"/>
          <w:szCs w:val="24"/>
        </w:rPr>
        <w:t xml:space="preserve">. </w:t>
      </w:r>
    </w:p>
    <w:p w14:paraId="6E4CB522" w14:textId="77777777" w:rsidR="00EC1BFB" w:rsidRPr="00BB67DD" w:rsidRDefault="00EC1BFB" w:rsidP="00EC1BFB">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BB67DD">
        <w:rPr>
          <w:rFonts w:ascii="Times New Roman" w:hAnsi="Times New Roman"/>
          <w:sz w:val="24"/>
          <w:szCs w:val="24"/>
        </w:rPr>
        <w:t>The ADA [Airlines Deregulation Act]</w:t>
      </w:r>
      <w:r>
        <w:t xml:space="preserve"> </w:t>
      </w:r>
      <w:r w:rsidRPr="00BB67DD">
        <w:rPr>
          <w:rFonts w:ascii="Times New Roman" w:hAnsi="Times New Roman"/>
          <w:sz w:val="24"/>
          <w:szCs w:val="24"/>
        </w:rPr>
        <w:t xml:space="preserve">expressly preempts states from </w:t>
      </w:r>
      <w:r>
        <w:rPr>
          <w:rFonts w:ascii="Times New Roman" w:hAnsi="Times New Roman"/>
          <w:sz w:val="24"/>
          <w:szCs w:val="24"/>
        </w:rPr>
        <w:t>‘</w:t>
      </w:r>
      <w:r w:rsidRPr="00BB67DD">
        <w:rPr>
          <w:rFonts w:ascii="Times New Roman" w:hAnsi="Times New Roman"/>
          <w:sz w:val="24"/>
          <w:szCs w:val="24"/>
        </w:rPr>
        <w:t>enact[</w:t>
      </w:r>
      <w:proofErr w:type="spellStart"/>
      <w:r w:rsidRPr="00BB67DD">
        <w:rPr>
          <w:rFonts w:ascii="Times New Roman" w:hAnsi="Times New Roman"/>
          <w:sz w:val="24"/>
          <w:szCs w:val="24"/>
        </w:rPr>
        <w:t>ing</w:t>
      </w:r>
      <w:proofErr w:type="spellEnd"/>
      <w:r w:rsidRPr="00BB67DD">
        <w:rPr>
          <w:rFonts w:ascii="Times New Roman" w:hAnsi="Times New Roman"/>
          <w:sz w:val="24"/>
          <w:szCs w:val="24"/>
        </w:rPr>
        <w:t xml:space="preserve">] or </w:t>
      </w:r>
      <w:r>
        <w:rPr>
          <w:rFonts w:ascii="Times New Roman" w:hAnsi="Times New Roman"/>
          <w:sz w:val="24"/>
          <w:szCs w:val="24"/>
        </w:rPr>
        <w:t>enforce[</w:t>
      </w:r>
      <w:proofErr w:type="spellStart"/>
      <w:r w:rsidRPr="00BB67DD">
        <w:rPr>
          <w:rFonts w:ascii="Times New Roman" w:hAnsi="Times New Roman"/>
          <w:sz w:val="24"/>
          <w:szCs w:val="24"/>
        </w:rPr>
        <w:t>ing</w:t>
      </w:r>
      <w:proofErr w:type="spellEnd"/>
      <w:r w:rsidRPr="00BB67DD">
        <w:rPr>
          <w:rFonts w:ascii="Times New Roman" w:hAnsi="Times New Roman"/>
          <w:sz w:val="24"/>
          <w:szCs w:val="24"/>
        </w:rPr>
        <w:t>] a law, regulation, or other provision having the force and effect of law related to a price, route, or service of an air carrier.</w:t>
      </w:r>
      <w:r>
        <w:rPr>
          <w:rFonts w:ascii="Times New Roman" w:hAnsi="Times New Roman"/>
          <w:sz w:val="24"/>
          <w:szCs w:val="24"/>
        </w:rPr>
        <w:t>’</w:t>
      </w:r>
      <w:r w:rsidRPr="00BB67DD">
        <w:rPr>
          <w:rFonts w:ascii="Times New Roman" w:hAnsi="Times New Roman"/>
          <w:sz w:val="24"/>
          <w:szCs w:val="24"/>
        </w:rPr>
        <w:t xml:space="preserve"> 49 U.S.C. § 41713(b).</w:t>
      </w:r>
    </w:p>
    <w:p w14:paraId="0FCDDD4E" w14:textId="77777777" w:rsidR="00EC1BFB" w:rsidRDefault="00EC1BFB" w:rsidP="00EC1BFB">
      <w:pPr>
        <w:pStyle w:val="NormalWeb"/>
        <w:ind w:firstLine="720"/>
      </w:pPr>
      <w:r>
        <w:t>***</w:t>
      </w:r>
    </w:p>
    <w:p w14:paraId="67AFA7DD" w14:textId="77777777" w:rsidR="00EC1BFB" w:rsidRDefault="00EC1BFB" w:rsidP="00EC1BFB">
      <w:pPr>
        <w:pStyle w:val="NormalWeb"/>
        <w:ind w:left="720"/>
      </w:pPr>
      <w:r>
        <w:t xml:space="preserve">We thus conclude that the ADA … preempts both the payment provision and the subscription provision. </w:t>
      </w:r>
      <w:r>
        <w:rPr>
          <w:u w:val="single"/>
        </w:rPr>
        <w:t>See</w:t>
      </w:r>
      <w:r>
        <w:t xml:space="preserve"> </w:t>
      </w:r>
      <w:r>
        <w:rPr>
          <w:u w:val="single"/>
        </w:rPr>
        <w:t>id.</w:t>
      </w:r>
      <w:r>
        <w:t xml:space="preserve"> at 769-70; </w:t>
      </w:r>
      <w:r>
        <w:rPr>
          <w:u w:val="single"/>
        </w:rPr>
        <w:t>Bailey v. Rocky Mountain Holdings, LLC</w:t>
      </w:r>
      <w:r>
        <w:t xml:space="preserve">, 889 F.3d 1259, 1272 (11th Cir. 2018) (holding that the ADA preempts the enforcement of a state statute prohibiting an air ambulance provider's balance billing); </w:t>
      </w:r>
      <w:proofErr w:type="spellStart"/>
      <w:r>
        <w:rPr>
          <w:u w:val="single"/>
        </w:rPr>
        <w:t>EagleMed</w:t>
      </w:r>
      <w:proofErr w:type="spellEnd"/>
      <w:r>
        <w:rPr>
          <w:u w:val="single"/>
        </w:rPr>
        <w:t xml:space="preserve"> LLC v. Cox</w:t>
      </w:r>
      <w:r>
        <w:t>, 868 F.3d 893, 902-04 (10th Cir. 2017) (holding that the ADA preempted a state statute that ‘expressly establish[ed] a mandatory fixed maximum rate that [would] be paid by the State for air-ambulance services provided to injured workers covered by the Worker's Compensation Act’).</w:t>
      </w:r>
    </w:p>
    <w:p w14:paraId="58C7C1C5" w14:textId="77777777" w:rsidR="00EC1BFB" w:rsidRPr="000911B4" w:rsidRDefault="00EC1BFB" w:rsidP="00EC1BFB">
      <w:pPr>
        <w:spacing w:before="100" w:beforeAutospacing="1" w:after="100" w:afterAutospacing="1" w:line="240" w:lineRule="auto"/>
        <w:ind w:left="720"/>
        <w:rPr>
          <w:rFonts w:ascii="Times New Roman" w:hAnsi="Times New Roman"/>
          <w:sz w:val="24"/>
          <w:szCs w:val="24"/>
        </w:rPr>
      </w:pPr>
      <w:r w:rsidRPr="000911B4">
        <w:rPr>
          <w:rFonts w:ascii="Times New Roman" w:hAnsi="Times New Roman"/>
          <w:sz w:val="24"/>
          <w:szCs w:val="24"/>
        </w:rPr>
        <w:t xml:space="preserve">Because North Dakota's subscription provision seeks to regulate the relationship between only a consumer and an air ambulance company, it cannot be said that it was enacted for the purpose of regulating the business of insurance. </w:t>
      </w:r>
      <w:r w:rsidRPr="000911B4">
        <w:rPr>
          <w:rFonts w:ascii="Times New Roman" w:hAnsi="Times New Roman"/>
          <w:sz w:val="24"/>
          <w:szCs w:val="24"/>
          <w:u w:val="single"/>
        </w:rPr>
        <w:t>See</w:t>
      </w:r>
      <w:r w:rsidRPr="000911B4">
        <w:rPr>
          <w:rFonts w:ascii="Times New Roman" w:hAnsi="Times New Roman"/>
          <w:sz w:val="24"/>
          <w:szCs w:val="24"/>
        </w:rPr>
        <w:t xml:space="preserve"> </w:t>
      </w:r>
      <w:proofErr w:type="spellStart"/>
      <w:r w:rsidRPr="000911B4">
        <w:rPr>
          <w:rFonts w:ascii="Times New Roman" w:hAnsi="Times New Roman"/>
          <w:sz w:val="24"/>
          <w:szCs w:val="24"/>
          <w:u w:val="single"/>
        </w:rPr>
        <w:t>Nat'l</w:t>
      </w:r>
      <w:proofErr w:type="spellEnd"/>
      <w:r w:rsidRPr="000911B4">
        <w:rPr>
          <w:rFonts w:ascii="Times New Roman" w:hAnsi="Times New Roman"/>
          <w:sz w:val="24"/>
          <w:szCs w:val="24"/>
          <w:u w:val="single"/>
        </w:rPr>
        <w:t xml:space="preserve"> Sec., Inc.</w:t>
      </w:r>
      <w:r w:rsidRPr="000911B4">
        <w:rPr>
          <w:rFonts w:ascii="Times New Roman" w:hAnsi="Times New Roman"/>
          <w:sz w:val="24"/>
          <w:szCs w:val="24"/>
        </w:rPr>
        <w:t xml:space="preserve">, 393 U.S. at 460; </w:t>
      </w:r>
      <w:r w:rsidRPr="000911B4">
        <w:rPr>
          <w:rFonts w:ascii="Times New Roman" w:hAnsi="Times New Roman"/>
          <w:sz w:val="24"/>
          <w:szCs w:val="24"/>
          <w:u w:val="single"/>
        </w:rPr>
        <w:t>Fabe</w:t>
      </w:r>
      <w:r w:rsidRPr="000911B4">
        <w:rPr>
          <w:rFonts w:ascii="Times New Roman" w:hAnsi="Times New Roman"/>
          <w:sz w:val="24"/>
          <w:szCs w:val="24"/>
        </w:rPr>
        <w:t xml:space="preserve">, 508 U.S. at 505; </w:t>
      </w:r>
      <w:r w:rsidRPr="000911B4">
        <w:rPr>
          <w:rFonts w:ascii="Times New Roman" w:hAnsi="Times New Roman"/>
          <w:sz w:val="24"/>
          <w:szCs w:val="24"/>
          <w:u w:val="single"/>
        </w:rPr>
        <w:t>Taylor</w:t>
      </w:r>
      <w:r w:rsidRPr="000911B4">
        <w:rPr>
          <w:rFonts w:ascii="Times New Roman" w:hAnsi="Times New Roman"/>
          <w:sz w:val="24"/>
          <w:szCs w:val="24"/>
        </w:rPr>
        <w:t xml:space="preserve">, 907 F.2d at 779-80. The McCarran-Ferguson Act thus does not save the subscription agreement from ADA preemption.”  </w:t>
      </w:r>
      <w:hyperlink r:id="rId2363" w:history="1">
        <w:r w:rsidRPr="000911B4">
          <w:rPr>
            <w:rStyle w:val="Hyperlink"/>
            <w:sz w:val="24"/>
            <w:szCs w:val="24"/>
          </w:rPr>
          <w:t>https://www.ca8.uscourts.gov/sites/ca8/files/opinions/191343P.pdf</w:t>
        </w:r>
      </w:hyperlink>
      <w:r w:rsidRPr="000911B4">
        <w:rPr>
          <w:rFonts w:ascii="Times New Roman" w:hAnsi="Times New Roman"/>
          <w:sz w:val="24"/>
          <w:szCs w:val="24"/>
        </w:rPr>
        <w:t xml:space="preserve"> </w:t>
      </w:r>
    </w:p>
    <w:p w14:paraId="1BE4DB4D" w14:textId="77777777" w:rsidR="00EC1BFB" w:rsidRPr="00DD7541" w:rsidRDefault="00EC1BFB" w:rsidP="00EC1BFB">
      <w:pPr>
        <w:spacing w:before="100" w:beforeAutospacing="1" w:after="100" w:afterAutospacing="1" w:line="240" w:lineRule="auto"/>
        <w:rPr>
          <w:rFonts w:ascii="Times New Roman" w:eastAsia="Times New Roman" w:hAnsi="Times New Roman"/>
          <w:sz w:val="24"/>
          <w:szCs w:val="24"/>
        </w:rPr>
      </w:pPr>
      <w:r w:rsidRPr="00C11389">
        <w:rPr>
          <w:rFonts w:ascii="Times New Roman" w:hAnsi="Times New Roman"/>
          <w:b/>
          <w:bCs/>
          <w:sz w:val="24"/>
          <w:szCs w:val="24"/>
        </w:rPr>
        <w:t>Legal Lesson Learned:</w:t>
      </w:r>
      <w:r>
        <w:rPr>
          <w:rFonts w:ascii="Times New Roman" w:hAnsi="Times New Roman"/>
          <w:b/>
          <w:bCs/>
          <w:sz w:val="24"/>
          <w:szCs w:val="24"/>
        </w:rPr>
        <w:t xml:space="preserve">  Air care ambulances, and the airline industry, has strong Federal statutory protection from regulation by States </w:t>
      </w:r>
      <w:r w:rsidRPr="00C11389">
        <w:rPr>
          <w:rFonts w:ascii="Times New Roman" w:hAnsi="Times New Roman"/>
          <w:b/>
          <w:bCs/>
          <w:sz w:val="24"/>
          <w:szCs w:val="24"/>
        </w:rPr>
        <w:t xml:space="preserve">concerning </w:t>
      </w:r>
      <w:r>
        <w:rPr>
          <w:rFonts w:ascii="Times New Roman" w:hAnsi="Times New Roman"/>
          <w:b/>
          <w:bCs/>
          <w:sz w:val="24"/>
          <w:szCs w:val="24"/>
        </w:rPr>
        <w:t>“</w:t>
      </w:r>
      <w:r w:rsidRPr="00DD7541">
        <w:rPr>
          <w:rFonts w:ascii="Times New Roman" w:eastAsia="Times New Roman" w:hAnsi="Times New Roman"/>
          <w:b/>
          <w:bCs/>
          <w:sz w:val="24"/>
          <w:szCs w:val="24"/>
        </w:rPr>
        <w:t>price, route, or service</w:t>
      </w:r>
      <w:r>
        <w:rPr>
          <w:rFonts w:ascii="Times New Roman" w:eastAsia="Times New Roman" w:hAnsi="Times New Roman"/>
          <w:b/>
          <w:bCs/>
          <w:sz w:val="24"/>
          <w:szCs w:val="24"/>
        </w:rPr>
        <w:t>.”</w:t>
      </w:r>
      <w:r>
        <w:rPr>
          <w:rFonts w:ascii="Times New Roman" w:hAnsi="Times New Roman"/>
          <w:b/>
          <w:bCs/>
          <w:sz w:val="24"/>
          <w:szCs w:val="24"/>
        </w:rPr>
        <w:t xml:space="preserve"> </w:t>
      </w:r>
    </w:p>
    <w:p w14:paraId="72388287" w14:textId="77777777" w:rsidR="00EC1BFB" w:rsidRDefault="00EC1BFB" w:rsidP="002B1283">
      <w:pPr>
        <w:rPr>
          <w:rFonts w:ascii="Arial Black" w:hAnsi="Arial Black"/>
          <w:b/>
          <w:bCs/>
          <w:sz w:val="28"/>
          <w:szCs w:val="28"/>
        </w:rPr>
      </w:pPr>
    </w:p>
    <w:p w14:paraId="7419B83E" w14:textId="77777777" w:rsidR="00EC1BFB" w:rsidRDefault="00EC1BFB" w:rsidP="002B1283">
      <w:pPr>
        <w:rPr>
          <w:rFonts w:ascii="Arial Black" w:hAnsi="Arial Black"/>
          <w:b/>
          <w:bCs/>
          <w:sz w:val="28"/>
          <w:szCs w:val="28"/>
        </w:rPr>
      </w:pPr>
    </w:p>
    <w:p w14:paraId="1A3C8B88" w14:textId="5F950CD2" w:rsidR="00274525" w:rsidRDefault="00274525" w:rsidP="002B1283">
      <w:pPr>
        <w:rPr>
          <w:rFonts w:ascii="Arial Black" w:hAnsi="Arial Black"/>
          <w:b/>
          <w:bCs/>
          <w:sz w:val="28"/>
          <w:szCs w:val="28"/>
        </w:rPr>
      </w:pPr>
      <w:r>
        <w:rPr>
          <w:rFonts w:ascii="Arial Black" w:hAnsi="Arial Black"/>
          <w:b/>
          <w:bCs/>
          <w:sz w:val="28"/>
          <w:szCs w:val="28"/>
        </w:rPr>
        <w:t>13-83</w:t>
      </w:r>
    </w:p>
    <w:p w14:paraId="63D542B2" w14:textId="77777777" w:rsidR="00EC1BFB" w:rsidRPr="00891C10" w:rsidRDefault="00EC1BFB" w:rsidP="00EC1BFB">
      <w:pPr>
        <w:pStyle w:val="NoSpacing"/>
        <w:rPr>
          <w:rFonts w:ascii="Arial Black" w:hAnsi="Arial Black"/>
          <w:sz w:val="28"/>
          <w:szCs w:val="28"/>
        </w:rPr>
      </w:pPr>
      <w:r>
        <w:rPr>
          <w:rFonts w:ascii="Arial Black" w:hAnsi="Arial Black"/>
          <w:sz w:val="28"/>
          <w:szCs w:val="28"/>
        </w:rPr>
        <w:t xml:space="preserve">NM: PREGNANT / INMATE - 30 HRS IN LABOR, CHILD DIED – JAIL EMS NOT GOV’T EMPLOYEES, NO GOV’T IMMUNITY </w:t>
      </w:r>
    </w:p>
    <w:p w14:paraId="076C9FFA" w14:textId="77777777" w:rsidR="00EC1BFB" w:rsidRDefault="00EC1BFB" w:rsidP="00EC1BFB">
      <w:pPr>
        <w:pStyle w:val="NoSpacing"/>
      </w:pPr>
    </w:p>
    <w:p w14:paraId="6D41F037" w14:textId="77777777" w:rsidR="00EC1BFB" w:rsidRPr="00B0543C" w:rsidRDefault="00EC1BFB" w:rsidP="00EC1BFB">
      <w:pPr>
        <w:pStyle w:val="NoSpacing"/>
        <w:rPr>
          <w:rFonts w:ascii="Times New Roman" w:hAnsi="Times New Roman"/>
          <w:sz w:val="24"/>
          <w:szCs w:val="24"/>
        </w:rPr>
      </w:pPr>
      <w:r>
        <w:rPr>
          <w:rFonts w:ascii="Times New Roman" w:hAnsi="Times New Roman"/>
          <w:sz w:val="24"/>
          <w:szCs w:val="24"/>
        </w:rPr>
        <w:t xml:space="preserve">On March 2, 2021, in </w:t>
      </w:r>
      <w:r w:rsidRPr="00B0543C">
        <w:rPr>
          <w:rFonts w:ascii="Times New Roman" w:hAnsi="Times New Roman"/>
          <w:sz w:val="24"/>
          <w:szCs w:val="24"/>
          <w:u w:val="single"/>
        </w:rPr>
        <w:t>Shawna Tanner, et al., v, Timothy I. McMurray, et al</w:t>
      </w:r>
      <w:r>
        <w:rPr>
          <w:rFonts w:ascii="Times New Roman" w:hAnsi="Times New Roman"/>
          <w:sz w:val="24"/>
          <w:szCs w:val="24"/>
        </w:rPr>
        <w:t>, the U.S. Court of Appeals for the 10</w:t>
      </w:r>
      <w:r w:rsidRPr="00B0543C">
        <w:rPr>
          <w:rFonts w:ascii="Times New Roman" w:hAnsi="Times New Roman"/>
          <w:sz w:val="24"/>
          <w:szCs w:val="24"/>
          <w:vertAlign w:val="superscript"/>
        </w:rPr>
        <w:t>th</w:t>
      </w:r>
      <w:r>
        <w:rPr>
          <w:rFonts w:ascii="Times New Roman" w:hAnsi="Times New Roman"/>
          <w:sz w:val="24"/>
          <w:szCs w:val="24"/>
        </w:rPr>
        <w:t xml:space="preserve"> Circuit (Denver, CO) held (3 to 0) that the Medical Doctor and RNs are employed full time with Correct Care Solutions, LLC, which provides medical care in 200 jails in 38 states, do not enjoy governmental immunity; case remanded to U.S. District Court judge in New Mexico for trial.  </w:t>
      </w:r>
    </w:p>
    <w:p w14:paraId="15A9693E" w14:textId="77777777" w:rsidR="00EC1BFB" w:rsidRPr="00B0543C"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“Tanner was approximately 35 weeks pregnant and in custody at the Metropolitan Detention Center in Bernalillo County, New Mexico.</w:t>
      </w:r>
    </w:p>
    <w:p w14:paraId="1F371B5C" w14:textId="77777777" w:rsidR="00EC1BFB" w:rsidRPr="00B0543C" w:rsidRDefault="00EC1BFB" w:rsidP="00EC1BFB">
      <w:pPr>
        <w:spacing w:before="100" w:beforeAutospacing="1" w:after="100" w:afterAutospacing="1" w:line="240" w:lineRule="auto"/>
        <w:ind w:left="720"/>
        <w:rPr>
          <w:rFonts w:ascii="Times New Roman" w:eastAsia="Times New Roman" w:hAnsi="Times New Roman"/>
          <w:kern w:val="36"/>
          <w:sz w:val="24"/>
          <w:szCs w:val="24"/>
        </w:rPr>
      </w:pPr>
      <w:r w:rsidRPr="00B0543C">
        <w:rPr>
          <w:rFonts w:ascii="Times New Roman" w:hAnsi="Times New Roman"/>
          <w:sz w:val="24"/>
          <w:szCs w:val="24"/>
        </w:rPr>
        <w:t>***</w:t>
      </w:r>
    </w:p>
    <w:p w14:paraId="202155DE" w14:textId="77777777" w:rsidR="00EC1BFB"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 xml:space="preserve">When paramedics arrived, they found Tanner in clear pain, </w:t>
      </w:r>
      <w:proofErr w:type="gramStart"/>
      <w:r w:rsidRPr="00B0543C">
        <w:rPr>
          <w:rFonts w:ascii="Times New Roman" w:hAnsi="Times New Roman"/>
          <w:sz w:val="24"/>
          <w:szCs w:val="24"/>
        </w:rPr>
        <w:t>laying</w:t>
      </w:r>
      <w:proofErr w:type="gramEnd"/>
      <w:r w:rsidRPr="00B0543C">
        <w:rPr>
          <w:rFonts w:ascii="Times New Roman" w:hAnsi="Times New Roman"/>
          <w:sz w:val="24"/>
          <w:szCs w:val="24"/>
        </w:rPr>
        <w:t xml:space="preserve"> on a table in the medical unit, appearing to be in labor. Tanner was "obviously having contractions." Several medical personnel were around Tanner when the paramedics arrived. McMurray was standing alone in the back of the room. When it was suggested that it was McMurray's responsibility to deliver the baby, the doctor shook his head in the negative, threw up his hands, and did not move from the corner. Instead, the paramedics delivered Tanner's child. He was born with his umbilical cord wrapped around his neck. There was no pulse. He was not breathing. McMurray remained silent in the back of the room as a paramedic used a bulb syringe to clear the baby's airway. It was too late. The thirty-hour childbirth ordeal was over. The baby was dead.</w:t>
      </w:r>
    </w:p>
    <w:p w14:paraId="39E7D707" w14:textId="77777777" w:rsidR="00EC1BFB" w:rsidRDefault="00EC1BFB" w:rsidP="00EC1BFB">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E30F5EC" w14:textId="77777777" w:rsidR="00EC1BFB" w:rsidRPr="00B0543C"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Neither historical justifications of special government immunity nor modern policy considerations support the extension of a qualified immunity defense to Appellees—private medical professionals employed full-time by a multi-state, for-profit corporation systematically organized to provide medical care in correctional facilities.</w:t>
      </w:r>
      <w:r>
        <w:rPr>
          <w:rFonts w:ascii="Times New Roman" w:hAnsi="Times New Roman"/>
          <w:sz w:val="24"/>
          <w:szCs w:val="24"/>
        </w:rPr>
        <w:t xml:space="preserve">” </w:t>
      </w:r>
      <w:hyperlink r:id="rId2364" w:history="1">
        <w:r w:rsidRPr="00E277E9">
          <w:rPr>
            <w:rStyle w:val="Hyperlink"/>
            <w:sz w:val="24"/>
            <w:szCs w:val="24"/>
          </w:rPr>
          <w:t>https://www.ca10.uscourts.gov/opinions/19/19-2166.pdf</w:t>
        </w:r>
      </w:hyperlink>
      <w:r>
        <w:rPr>
          <w:rFonts w:ascii="Times New Roman" w:hAnsi="Times New Roman"/>
          <w:sz w:val="24"/>
          <w:szCs w:val="24"/>
        </w:rPr>
        <w:t xml:space="preserve"> </w:t>
      </w:r>
    </w:p>
    <w:p w14:paraId="73D1D987" w14:textId="77777777" w:rsidR="00EC1BFB" w:rsidRPr="00F22EDC" w:rsidRDefault="00EC1BFB" w:rsidP="00EC1BFB">
      <w:pPr>
        <w:pStyle w:val="NoSpacing"/>
        <w:rPr>
          <w:rFonts w:ascii="Times New Roman" w:hAnsi="Times New Roman"/>
          <w:b/>
          <w:bCs/>
          <w:sz w:val="24"/>
          <w:szCs w:val="24"/>
        </w:rPr>
      </w:pPr>
      <w:r w:rsidRPr="00F22EDC">
        <w:rPr>
          <w:rFonts w:ascii="Times New Roman" w:hAnsi="Times New Roman"/>
          <w:b/>
          <w:bCs/>
          <w:sz w:val="24"/>
          <w:szCs w:val="24"/>
        </w:rPr>
        <w:t xml:space="preserve">Legal Lesson Learned: </w:t>
      </w:r>
      <w:r>
        <w:rPr>
          <w:rFonts w:ascii="Times New Roman" w:hAnsi="Times New Roman"/>
          <w:b/>
          <w:bCs/>
          <w:sz w:val="24"/>
          <w:szCs w:val="24"/>
        </w:rPr>
        <w:t xml:space="preserve">EMS working for private </w:t>
      </w:r>
      <w:proofErr w:type="gramStart"/>
      <w:r>
        <w:rPr>
          <w:rFonts w:ascii="Times New Roman" w:hAnsi="Times New Roman"/>
          <w:b/>
          <w:bCs/>
          <w:sz w:val="24"/>
          <w:szCs w:val="24"/>
        </w:rPr>
        <w:t>ambulance</w:t>
      </w:r>
      <w:proofErr w:type="gramEnd"/>
      <w:r>
        <w:rPr>
          <w:rFonts w:ascii="Times New Roman" w:hAnsi="Times New Roman"/>
          <w:b/>
          <w:bCs/>
          <w:sz w:val="24"/>
          <w:szCs w:val="24"/>
        </w:rPr>
        <w:t xml:space="preserve"> or other private </w:t>
      </w:r>
      <w:proofErr w:type="gramStart"/>
      <w:r>
        <w:rPr>
          <w:rFonts w:ascii="Times New Roman" w:hAnsi="Times New Roman"/>
          <w:b/>
          <w:bCs/>
          <w:sz w:val="24"/>
          <w:szCs w:val="24"/>
        </w:rPr>
        <w:t>employer</w:t>
      </w:r>
      <w:proofErr w:type="gramEnd"/>
      <w:r>
        <w:rPr>
          <w:rFonts w:ascii="Times New Roman" w:hAnsi="Times New Roman"/>
          <w:b/>
          <w:bCs/>
          <w:sz w:val="24"/>
          <w:szCs w:val="24"/>
        </w:rPr>
        <w:t xml:space="preserve"> must confirm the employer has insurance to defend and indemnify EMS employees.</w:t>
      </w:r>
    </w:p>
    <w:p w14:paraId="54930528" w14:textId="77777777" w:rsidR="00EC1BFB" w:rsidRPr="00C379C5" w:rsidRDefault="00EC1BFB" w:rsidP="00EC1BFB">
      <w:pPr>
        <w:pStyle w:val="NoSpacing"/>
        <w:ind w:left="720"/>
        <w:rPr>
          <w:rFonts w:ascii="Times New Roman" w:hAnsi="Times New Roman"/>
          <w:sz w:val="24"/>
          <w:szCs w:val="24"/>
        </w:rPr>
      </w:pPr>
    </w:p>
    <w:p w14:paraId="2739A5C7" w14:textId="77777777" w:rsidR="00EC1BFB" w:rsidRPr="00CE063B" w:rsidRDefault="00EC1BFB" w:rsidP="00EC1BFB">
      <w:pPr>
        <w:pStyle w:val="NoSpacing"/>
        <w:ind w:left="1440"/>
        <w:rPr>
          <w:rFonts w:ascii="Times New Roman" w:eastAsia="Times New Roman" w:hAnsi="Times New Roman"/>
          <w:b/>
          <w:bCs/>
          <w:sz w:val="24"/>
          <w:szCs w:val="24"/>
        </w:rPr>
      </w:pPr>
      <w:r>
        <w:rPr>
          <w:rFonts w:ascii="Times New Roman" w:hAnsi="Times New Roman"/>
          <w:sz w:val="24"/>
          <w:szCs w:val="24"/>
        </w:rPr>
        <w:t xml:space="preserve">Note:  Part-time or contract personnel performing services for a </w:t>
      </w:r>
      <w:proofErr w:type="gramStart"/>
      <w:r>
        <w:rPr>
          <w:rFonts w:ascii="Times New Roman" w:hAnsi="Times New Roman"/>
          <w:sz w:val="24"/>
          <w:szCs w:val="24"/>
        </w:rPr>
        <w:t>Government</w:t>
      </w:r>
      <w:proofErr w:type="gramEnd"/>
      <w:r>
        <w:rPr>
          <w:rFonts w:ascii="Times New Roman" w:hAnsi="Times New Roman"/>
          <w:sz w:val="24"/>
          <w:szCs w:val="24"/>
        </w:rPr>
        <w:t xml:space="preserve"> employer may enjoy governmental immunity.  The U.S. Supreme Court is </w:t>
      </w:r>
      <w:proofErr w:type="spellStart"/>
      <w:r w:rsidRPr="002934BB">
        <w:rPr>
          <w:rFonts w:ascii="Times New Roman" w:hAnsi="Times New Roman"/>
          <w:sz w:val="24"/>
          <w:szCs w:val="24"/>
          <w:u w:val="single"/>
        </w:rPr>
        <w:t>Filarsky</w:t>
      </w:r>
      <w:proofErr w:type="spellEnd"/>
      <w:r w:rsidRPr="002934BB">
        <w:rPr>
          <w:rFonts w:ascii="Times New Roman" w:hAnsi="Times New Roman"/>
          <w:sz w:val="24"/>
          <w:szCs w:val="24"/>
          <w:u w:val="single"/>
        </w:rPr>
        <w:t xml:space="preserve"> v. Delia</w:t>
      </w:r>
      <w:r w:rsidRPr="002934BB">
        <w:rPr>
          <w:rFonts w:ascii="Times New Roman" w:hAnsi="Times New Roman"/>
          <w:sz w:val="24"/>
          <w:szCs w:val="24"/>
        </w:rPr>
        <w:t>, 566 U.S. 377 (2012</w:t>
      </w:r>
      <w:r>
        <w:rPr>
          <w:rFonts w:ascii="Times New Roman" w:hAnsi="Times New Roman"/>
          <w:sz w:val="24"/>
          <w:szCs w:val="24"/>
        </w:rPr>
        <w:t>), held (9 to 0) that an attorney retained by a Fire Department to conduct an investigation of a firefighter off work on injury leave while allegedly doing heavy repairs of on his home [he brought out to his front lawn four rolls of insulation] has governmental immunity.  “[I]</w:t>
      </w:r>
      <w:proofErr w:type="spellStart"/>
      <w:r w:rsidRPr="00CE063B">
        <w:rPr>
          <w:rFonts w:ascii="Times New Roman" w:hAnsi="Times New Roman"/>
          <w:sz w:val="24"/>
          <w:szCs w:val="24"/>
        </w:rPr>
        <w:t>mmunity</w:t>
      </w:r>
      <w:proofErr w:type="spellEnd"/>
      <w:r w:rsidRPr="00CE063B">
        <w:rPr>
          <w:rFonts w:ascii="Times New Roman" w:hAnsi="Times New Roman"/>
          <w:sz w:val="24"/>
          <w:szCs w:val="24"/>
        </w:rPr>
        <w:t xml:space="preserve"> under §1983 should not vary depending on whether an individual working for the government does so as a</w:t>
      </w:r>
      <w:r>
        <w:rPr>
          <w:rFonts w:ascii="Times New Roman" w:hAnsi="Times New Roman"/>
          <w:sz w:val="24"/>
          <w:szCs w:val="24"/>
        </w:rPr>
        <w:t xml:space="preserve"> </w:t>
      </w:r>
      <w:r w:rsidRPr="00CE063B">
        <w:rPr>
          <w:rFonts w:ascii="Times New Roman" w:hAnsi="Times New Roman"/>
          <w:sz w:val="24"/>
          <w:szCs w:val="24"/>
        </w:rPr>
        <w:t>full-time employee, or on some other basis.</w:t>
      </w:r>
      <w:r>
        <w:rPr>
          <w:rFonts w:ascii="Times New Roman" w:hAnsi="Times New Roman"/>
          <w:sz w:val="24"/>
          <w:szCs w:val="24"/>
        </w:rPr>
        <w:t xml:space="preserve">” </w:t>
      </w:r>
      <w:hyperlink r:id="rId2365" w:history="1">
        <w:r w:rsidRPr="00E277E9">
          <w:rPr>
            <w:rStyle w:val="Hyperlink"/>
            <w:sz w:val="24"/>
            <w:szCs w:val="24"/>
          </w:rPr>
          <w:t>https://www.supremecourt.gov/opinions/11pdf/10-1018.pdf</w:t>
        </w:r>
      </w:hyperlink>
      <w:r>
        <w:rPr>
          <w:rFonts w:ascii="Times New Roman" w:hAnsi="Times New Roman"/>
          <w:sz w:val="24"/>
          <w:szCs w:val="24"/>
        </w:rPr>
        <w:t xml:space="preserve"> </w:t>
      </w:r>
    </w:p>
    <w:p w14:paraId="69997964" w14:textId="77777777" w:rsidR="00EC1BFB" w:rsidRDefault="00EC1BFB" w:rsidP="00EC1BFB">
      <w:pPr>
        <w:pStyle w:val="NoSpacing"/>
        <w:ind w:left="720"/>
        <w:rPr>
          <w:rFonts w:ascii="Times New Roman" w:hAnsi="Times New Roman"/>
          <w:sz w:val="24"/>
          <w:szCs w:val="24"/>
        </w:rPr>
      </w:pPr>
    </w:p>
    <w:p w14:paraId="3FD2D0B6" w14:textId="77777777" w:rsidR="00EC1BFB" w:rsidRDefault="00EC1BFB" w:rsidP="00EC1BFB">
      <w:pPr>
        <w:pStyle w:val="NoSpacing"/>
        <w:ind w:left="720" w:firstLine="720"/>
        <w:rPr>
          <w:rFonts w:ascii="Times New Roman" w:hAnsi="Times New Roman"/>
          <w:sz w:val="24"/>
          <w:szCs w:val="24"/>
        </w:rPr>
      </w:pPr>
      <w:r>
        <w:rPr>
          <w:rFonts w:ascii="Times New Roman" w:hAnsi="Times New Roman"/>
          <w:sz w:val="24"/>
          <w:szCs w:val="24"/>
        </w:rPr>
        <w:t>In Ohio, Medical Directors also enjoy immunity:</w:t>
      </w:r>
    </w:p>
    <w:p w14:paraId="159DB8BA" w14:textId="77777777" w:rsidR="00EC1BFB" w:rsidRDefault="00EC1BFB" w:rsidP="00EC1BFB">
      <w:pPr>
        <w:pStyle w:val="NoSpacing"/>
        <w:ind w:left="720" w:firstLine="720"/>
        <w:rPr>
          <w:rFonts w:ascii="Times New Roman" w:hAnsi="Times New Roman"/>
          <w:sz w:val="24"/>
          <w:szCs w:val="24"/>
        </w:rPr>
      </w:pPr>
      <w:hyperlink r:id="rId2366" w:history="1">
        <w:r w:rsidRPr="00D60E44">
          <w:rPr>
            <w:rStyle w:val="Hyperlink"/>
            <w:sz w:val="24"/>
            <w:szCs w:val="24"/>
          </w:rPr>
          <w:t>https://codes.ohio.gov/ohio-revised-code/section-4765.49</w:t>
        </w:r>
      </w:hyperlink>
      <w:r>
        <w:rPr>
          <w:rFonts w:ascii="Times New Roman" w:hAnsi="Times New Roman"/>
          <w:sz w:val="24"/>
          <w:szCs w:val="24"/>
        </w:rPr>
        <w:t xml:space="preserve"> </w:t>
      </w:r>
    </w:p>
    <w:p w14:paraId="5EC46C8B" w14:textId="77777777" w:rsidR="00EC1BFB" w:rsidRDefault="00EC1BFB" w:rsidP="00EC1BFB">
      <w:pPr>
        <w:pStyle w:val="NoSpacing"/>
        <w:ind w:left="1440"/>
        <w:rPr>
          <w:rFonts w:ascii="Times New Roman" w:hAnsi="Times New Roman"/>
          <w:sz w:val="24"/>
          <w:szCs w:val="24"/>
        </w:rPr>
      </w:pPr>
      <w:r>
        <w:rPr>
          <w:rFonts w:ascii="Times New Roman" w:hAnsi="Times New Roman"/>
          <w:sz w:val="24"/>
          <w:szCs w:val="24"/>
        </w:rPr>
        <w:t>4765.49 (A): “</w:t>
      </w:r>
      <w:r w:rsidRPr="00F22EDC">
        <w:rPr>
          <w:rFonts w:ascii="Times New Roman" w:hAnsi="Times New Roman"/>
          <w:sz w:val="24"/>
          <w:szCs w:val="24"/>
        </w:rPr>
        <w:t>Medical directors and members of cooperating physician advisory boards of emergency medical service organizations are not liable in damages in a civil action for injury, death, or loss to person or property resulting from their acts or omissions in the performance of their duties, unless the act or omission constitutes willful or wanton misconduct.</w:t>
      </w:r>
      <w:r>
        <w:rPr>
          <w:rFonts w:ascii="Times New Roman" w:hAnsi="Times New Roman"/>
          <w:sz w:val="24"/>
          <w:szCs w:val="24"/>
        </w:rPr>
        <w:t>”</w:t>
      </w:r>
    </w:p>
    <w:p w14:paraId="3084FA72" w14:textId="77777777" w:rsidR="00EC1BFB" w:rsidRDefault="00EC1BFB" w:rsidP="00EC1BFB">
      <w:pPr>
        <w:pStyle w:val="NoSpacing"/>
        <w:ind w:left="720"/>
        <w:rPr>
          <w:rFonts w:ascii="Times New Roman" w:hAnsi="Times New Roman"/>
          <w:sz w:val="24"/>
          <w:szCs w:val="24"/>
        </w:rPr>
      </w:pPr>
    </w:p>
    <w:p w14:paraId="7888BB1B" w14:textId="77777777" w:rsidR="00EC1BFB" w:rsidRDefault="00EC1BFB" w:rsidP="00EC1BFB">
      <w:pPr>
        <w:pStyle w:val="NoSpacing"/>
        <w:ind w:left="1440"/>
        <w:rPr>
          <w:rFonts w:ascii="Times New Roman" w:hAnsi="Times New Roman"/>
          <w:sz w:val="24"/>
          <w:szCs w:val="24"/>
        </w:rPr>
      </w:pPr>
      <w:r>
        <w:rPr>
          <w:rFonts w:ascii="Times New Roman" w:hAnsi="Times New Roman"/>
          <w:sz w:val="24"/>
          <w:szCs w:val="24"/>
        </w:rPr>
        <w:t xml:space="preserve">In addition, in Ohio a private ambulance company rendering 911 services to the public under a contract with a government enjoy immunity: </w:t>
      </w:r>
      <w:hyperlink r:id="rId2367" w:history="1">
        <w:r w:rsidRPr="00E277E9">
          <w:rPr>
            <w:rStyle w:val="Hyperlink"/>
            <w:sz w:val="24"/>
            <w:szCs w:val="24"/>
          </w:rPr>
          <w:t>https://codes.ohio.gov/ohio-revised-code/section-4765.49</w:t>
        </w:r>
      </w:hyperlink>
      <w:r>
        <w:rPr>
          <w:rFonts w:ascii="Times New Roman" w:hAnsi="Times New Roman"/>
          <w:sz w:val="24"/>
          <w:szCs w:val="24"/>
        </w:rPr>
        <w:t xml:space="preserve"> </w:t>
      </w:r>
    </w:p>
    <w:p w14:paraId="307EF6E4" w14:textId="77777777" w:rsidR="00EC1BFB" w:rsidRPr="00CD0AF1" w:rsidRDefault="00EC1BFB" w:rsidP="00EC1BFB">
      <w:pPr>
        <w:pStyle w:val="NoSpacing"/>
        <w:ind w:left="1440"/>
        <w:rPr>
          <w:rFonts w:ascii="Times New Roman" w:hAnsi="Times New Roman"/>
          <w:sz w:val="24"/>
          <w:szCs w:val="24"/>
        </w:rPr>
      </w:pPr>
      <w:r w:rsidRPr="00CD0AF1">
        <w:rPr>
          <w:rFonts w:ascii="Times New Roman" w:hAnsi="Times New Roman"/>
          <w:sz w:val="24"/>
          <w:szCs w:val="24"/>
        </w:rPr>
        <w:t xml:space="preserve">4765.49(B):  </w:t>
      </w:r>
      <w:r>
        <w:rPr>
          <w:rFonts w:ascii="Times New Roman" w:hAnsi="Times New Roman"/>
          <w:sz w:val="24"/>
          <w:szCs w:val="24"/>
        </w:rPr>
        <w:t>“</w:t>
      </w:r>
      <w:r w:rsidRPr="00CD0AF1">
        <w:rPr>
          <w:rFonts w:ascii="Times New Roman" w:hAnsi="Times New Roman"/>
          <w:sz w:val="24"/>
          <w:szCs w:val="24"/>
        </w:rPr>
        <w:t>A political subdivision, joint ambulance district, joint emergency medical services district, or other public agency, and any officer or employee of a public agency or of a private organization operating under contract or in joint agreement with one or more political subdivisions, that provides emergency medical services, or that enters into a joint agreement or a contract with the state, any political subdivision, joint ambulance district, or joint emergency medical services district for the provision of emergency medical services, is not liable in damages in a civil action for injury, death, or loss to person or property arising out of any actions taken by a first responder, EMT-basic, EMT-I, or paramedic working under the officer's or employee's jurisdiction, or for injury, death, or loss to person or property arising out of any actions of licensed medical personnel advising or assisting the first responder, EMT-basic, EMT-I, or paramedic, unless the services are provided in a manner that constitutes willful or wanton misconduct.</w:t>
      </w:r>
      <w:r>
        <w:rPr>
          <w:rFonts w:ascii="Times New Roman" w:hAnsi="Times New Roman"/>
          <w:sz w:val="24"/>
          <w:szCs w:val="24"/>
        </w:rPr>
        <w:t>”</w:t>
      </w:r>
    </w:p>
    <w:p w14:paraId="11D25AE1" w14:textId="77777777" w:rsidR="00EC1BFB" w:rsidRDefault="00EC1BFB" w:rsidP="00EC1BFB">
      <w:pPr>
        <w:pStyle w:val="NoSpacing"/>
        <w:ind w:left="1440"/>
        <w:rPr>
          <w:rFonts w:ascii="Times New Roman" w:hAnsi="Times New Roman"/>
          <w:sz w:val="24"/>
          <w:szCs w:val="24"/>
        </w:rPr>
      </w:pPr>
    </w:p>
    <w:p w14:paraId="7D77466A" w14:textId="77777777" w:rsidR="00EC1BFB" w:rsidRDefault="00EC1BFB" w:rsidP="002B1283">
      <w:pPr>
        <w:rPr>
          <w:rFonts w:ascii="Arial Black" w:hAnsi="Arial Black"/>
          <w:b/>
          <w:bCs/>
          <w:sz w:val="28"/>
          <w:szCs w:val="28"/>
        </w:rPr>
      </w:pPr>
    </w:p>
    <w:p w14:paraId="6186A8EF" w14:textId="77777777" w:rsidR="00274525" w:rsidRDefault="00274525" w:rsidP="002B1283">
      <w:pPr>
        <w:rPr>
          <w:rFonts w:ascii="Arial Black" w:hAnsi="Arial Black"/>
          <w:b/>
          <w:bCs/>
          <w:sz w:val="28"/>
          <w:szCs w:val="28"/>
        </w:rPr>
      </w:pPr>
    </w:p>
    <w:p w14:paraId="1F70E9CD" w14:textId="1FC19BE7" w:rsidR="00EB2493" w:rsidRDefault="00EB2493" w:rsidP="002B1283">
      <w:pPr>
        <w:rPr>
          <w:rFonts w:ascii="Arial Black" w:hAnsi="Arial Black"/>
          <w:b/>
          <w:bCs/>
          <w:sz w:val="28"/>
          <w:szCs w:val="28"/>
        </w:rPr>
      </w:pPr>
      <w:r>
        <w:rPr>
          <w:rFonts w:ascii="Arial Black" w:hAnsi="Arial Black"/>
          <w:b/>
          <w:bCs/>
          <w:sz w:val="28"/>
          <w:szCs w:val="28"/>
        </w:rPr>
        <w:t>13-82</w:t>
      </w:r>
    </w:p>
    <w:p w14:paraId="4580C346" w14:textId="77777777" w:rsidR="00EB2493" w:rsidRPr="00350A69" w:rsidRDefault="00EB2493" w:rsidP="00EB2493">
      <w:pPr>
        <w:spacing w:after="100" w:line="240" w:lineRule="auto"/>
        <w:rPr>
          <w:rFonts w:ascii="Arial Black" w:hAnsi="Arial Black"/>
          <w:sz w:val="28"/>
          <w:szCs w:val="28"/>
        </w:rPr>
      </w:pPr>
      <w:r>
        <w:rPr>
          <w:rFonts w:ascii="Arial Black" w:hAnsi="Arial Black"/>
          <w:sz w:val="28"/>
          <w:szCs w:val="28"/>
        </w:rPr>
        <w:t xml:space="preserve">MD: GOOD SAMARITAN IMMUNITY – DRUG USERS PASSED OUT IN VEHICLE - 911 CALLED, REFUSED EMS </w:t>
      </w:r>
    </w:p>
    <w:p w14:paraId="77D03C0D" w14:textId="77777777" w:rsidR="00EB2493" w:rsidRDefault="00EB2493" w:rsidP="00EB2493">
      <w:pPr>
        <w:spacing w:after="100" w:line="240" w:lineRule="auto"/>
        <w:rPr>
          <w:rFonts w:ascii="Times New Roman" w:hAnsi="Times New Roman"/>
          <w:sz w:val="24"/>
          <w:szCs w:val="24"/>
        </w:rPr>
      </w:pPr>
      <w:r>
        <w:rPr>
          <w:rFonts w:ascii="Times New Roman" w:hAnsi="Times New Roman"/>
          <w:sz w:val="24"/>
          <w:szCs w:val="24"/>
        </w:rPr>
        <w:t xml:space="preserve">On Feb. 24, 2021, in </w:t>
      </w:r>
      <w:r w:rsidRPr="00350A69">
        <w:rPr>
          <w:rFonts w:ascii="Times New Roman" w:hAnsi="Times New Roman"/>
          <w:sz w:val="24"/>
          <w:szCs w:val="24"/>
          <w:u w:val="single"/>
        </w:rPr>
        <w:t>Damian Gerety and Brian Antkowiak v. State of Maryland</w:t>
      </w:r>
      <w:r>
        <w:rPr>
          <w:rFonts w:ascii="Times New Roman" w:hAnsi="Times New Roman"/>
          <w:sz w:val="24"/>
          <w:szCs w:val="24"/>
        </w:rPr>
        <w:t xml:space="preserve">, the Court of Special Appeals of the State of Maryland, held 3 to 0 that the convictions for possession of heroin are reversed, based on the state’s Good Samaritan immunity statute. </w:t>
      </w:r>
    </w:p>
    <w:p w14:paraId="0A9CC6F2" w14:textId="77777777" w:rsidR="00EB2493" w:rsidRDefault="00EB2493" w:rsidP="00EB2493">
      <w:pPr>
        <w:spacing w:after="100" w:line="240" w:lineRule="auto"/>
        <w:ind w:left="720"/>
        <w:rPr>
          <w:rFonts w:ascii="Times New Roman" w:hAnsi="Times New Roman"/>
          <w:sz w:val="24"/>
          <w:szCs w:val="24"/>
        </w:rPr>
      </w:pPr>
      <w:r w:rsidRPr="0027492D">
        <w:rPr>
          <w:rFonts w:ascii="Times New Roman" w:hAnsi="Times New Roman"/>
          <w:sz w:val="24"/>
          <w:szCs w:val="24"/>
        </w:rPr>
        <w:t>“We hold that because the police were present at the scene and discovered the evidence supporting the charges "solely as a result" of a call for medical assistance, Mr. Gerety and Ms. Antkowiak were immune from prosecution, and we reverse the convictions.</w:t>
      </w:r>
    </w:p>
    <w:p w14:paraId="3B88EE15" w14:textId="77777777" w:rsidR="00EB2493" w:rsidRDefault="00EB2493" w:rsidP="00EB2493">
      <w:pPr>
        <w:spacing w:after="100" w:line="240" w:lineRule="auto"/>
        <w:ind w:left="720"/>
        <w:rPr>
          <w:rFonts w:ascii="Times New Roman" w:hAnsi="Times New Roman"/>
          <w:sz w:val="24"/>
          <w:szCs w:val="24"/>
        </w:rPr>
      </w:pPr>
      <w:r>
        <w:rPr>
          <w:rFonts w:ascii="Times New Roman" w:hAnsi="Times New Roman"/>
          <w:sz w:val="24"/>
          <w:szCs w:val="24"/>
        </w:rPr>
        <w:t>***</w:t>
      </w:r>
    </w:p>
    <w:p w14:paraId="0F227000" w14:textId="77777777" w:rsidR="00EB2493" w:rsidRDefault="00EB2493" w:rsidP="00EB2493">
      <w:pPr>
        <w:spacing w:after="100" w:line="240" w:lineRule="auto"/>
        <w:ind w:left="720"/>
        <w:rPr>
          <w:rFonts w:ascii="Times New Roman" w:hAnsi="Times New Roman"/>
          <w:sz w:val="24"/>
          <w:szCs w:val="24"/>
        </w:rPr>
      </w:pPr>
      <w:r w:rsidRPr="0027492D">
        <w:rPr>
          <w:rFonts w:ascii="Times New Roman" w:hAnsi="Times New Roman"/>
          <w:sz w:val="24"/>
          <w:szCs w:val="24"/>
        </w:rPr>
        <w:t xml:space="preserve">Put another way, § 1-210 asks a different question: why were officers at the scene in the first place? If they were there solely </w:t>
      </w:r>
      <w:proofErr w:type="gramStart"/>
      <w:r w:rsidRPr="0027492D">
        <w:rPr>
          <w:rFonts w:ascii="Times New Roman" w:hAnsi="Times New Roman"/>
          <w:sz w:val="24"/>
          <w:szCs w:val="24"/>
        </w:rPr>
        <w:t>as a result of</w:t>
      </w:r>
      <w:proofErr w:type="gramEnd"/>
      <w:r w:rsidRPr="0027492D">
        <w:rPr>
          <w:rFonts w:ascii="Times New Roman" w:hAnsi="Times New Roman"/>
          <w:sz w:val="24"/>
          <w:szCs w:val="24"/>
        </w:rPr>
        <w:t xml:space="preserve"> a call for emergency medical assistance, the caller and recipient(s) of assistance are immune from prosecution for the listed charges, whatever evidence might properly have been seized.</w:t>
      </w:r>
      <w:r>
        <w:rPr>
          <w:rFonts w:ascii="Times New Roman" w:hAnsi="Times New Roman"/>
          <w:sz w:val="24"/>
          <w:szCs w:val="24"/>
        </w:rPr>
        <w:t xml:space="preserve">”  </w:t>
      </w:r>
      <w:hyperlink r:id="rId2368" w:history="1">
        <w:r w:rsidRPr="00800310">
          <w:rPr>
            <w:rStyle w:val="Hyperlink"/>
            <w:rFonts w:ascii="Times New Roman" w:hAnsi="Times New Roman"/>
            <w:sz w:val="24"/>
            <w:szCs w:val="24"/>
          </w:rPr>
          <w:t>https://law.justia.com/cases/maryland/court-of-special-appeals/2021/2349-19.html</w:t>
        </w:r>
      </w:hyperlink>
      <w:r>
        <w:rPr>
          <w:rFonts w:ascii="Times New Roman" w:hAnsi="Times New Roman"/>
          <w:sz w:val="24"/>
          <w:szCs w:val="24"/>
        </w:rPr>
        <w:t xml:space="preserve"> </w:t>
      </w:r>
    </w:p>
    <w:p w14:paraId="58EDC0ED" w14:textId="77777777" w:rsidR="00EB2493" w:rsidRDefault="00EB2493" w:rsidP="00EB2493">
      <w:pPr>
        <w:pStyle w:val="NormalWeb"/>
        <w:rPr>
          <w:b/>
          <w:bCs/>
        </w:rPr>
      </w:pPr>
      <w:r w:rsidRPr="0023546F">
        <w:rPr>
          <w:b/>
          <w:bCs/>
        </w:rPr>
        <w:t>Legal Lesson Learned:</w:t>
      </w:r>
      <w:r>
        <w:rPr>
          <w:b/>
          <w:bCs/>
        </w:rPr>
        <w:t xml:space="preserve">  Many states have enacted Good Samaritan statutes to encourage drug users and others to call 911.</w:t>
      </w:r>
    </w:p>
    <w:p w14:paraId="340F35B1" w14:textId="77777777" w:rsidR="00EB2493" w:rsidRPr="00B07A9F" w:rsidRDefault="00EB2493" w:rsidP="00EB2493">
      <w:pPr>
        <w:pStyle w:val="NormalWeb"/>
        <w:ind w:left="720"/>
      </w:pPr>
      <w:r w:rsidRPr="00B07A9F">
        <w:t xml:space="preserve">Note: “Although the Minnesota statute was enacted the same year as CP § 1-210 and the Pennsylvania statute followed passage of the Maryland bill, the Illinois and Vermont statutes preceded our Good Samaritan.   Virginia makes explicit in its Good Samaritan statute that if the request for medical assistance is made during the execution of a search warrant or during an arrest, the immunity provisions don't apply. </w:t>
      </w:r>
      <w:r w:rsidRPr="00B07A9F">
        <w:rPr>
          <w:i/>
          <w:iCs/>
        </w:rPr>
        <w:t>See</w:t>
      </w:r>
      <w:r w:rsidRPr="00B07A9F">
        <w:t xml:space="preserve"> Va. Code Ann. § 18.2-251.03.C (immunity protections do not apply ‘to any person who seeks or obtains emergency medical attention for himself or another individual, or to a person experiencing an overdose when another individual seeks or obtains emergency medical attention for him, </w:t>
      </w:r>
      <w:r w:rsidRPr="00B07A9F">
        <w:rPr>
          <w:i/>
          <w:iCs/>
        </w:rPr>
        <w:t>during the execution of a search warrant or during the conduct of a lawful search or a lawful arrest</w:t>
      </w:r>
      <w:r w:rsidRPr="00B07A9F">
        <w:t>) (emphasis added).”</w:t>
      </w:r>
    </w:p>
    <w:p w14:paraId="6D50959C" w14:textId="77777777" w:rsidR="00EB2493" w:rsidRDefault="00EB2493" w:rsidP="002B1283">
      <w:pPr>
        <w:rPr>
          <w:rFonts w:ascii="Arial Black" w:hAnsi="Arial Black"/>
          <w:b/>
          <w:bCs/>
          <w:sz w:val="28"/>
          <w:szCs w:val="28"/>
        </w:rPr>
      </w:pPr>
    </w:p>
    <w:p w14:paraId="12A9A9A8" w14:textId="0D66C61F" w:rsidR="00EB2493" w:rsidRDefault="00EB2493" w:rsidP="002B1283">
      <w:pPr>
        <w:rPr>
          <w:rFonts w:ascii="Arial Black" w:hAnsi="Arial Black"/>
          <w:b/>
          <w:bCs/>
          <w:sz w:val="28"/>
          <w:szCs w:val="28"/>
        </w:rPr>
      </w:pPr>
      <w:r>
        <w:rPr>
          <w:rFonts w:ascii="Arial Black" w:hAnsi="Arial Black"/>
          <w:b/>
          <w:bCs/>
          <w:sz w:val="28"/>
          <w:szCs w:val="28"/>
        </w:rPr>
        <w:t>13-81</w:t>
      </w:r>
    </w:p>
    <w:p w14:paraId="22EFB7A3" w14:textId="77777777" w:rsidR="00EB2493" w:rsidRPr="006B7CE6" w:rsidRDefault="00EB2493" w:rsidP="00EB2493">
      <w:pPr>
        <w:rPr>
          <w:rFonts w:ascii="Arial Black" w:hAnsi="Arial Black"/>
          <w:sz w:val="28"/>
          <w:szCs w:val="28"/>
        </w:rPr>
      </w:pPr>
      <w:bookmarkStart w:id="450" w:name="_Hlk66949400"/>
      <w:r>
        <w:rPr>
          <w:rFonts w:ascii="Arial Black" w:hAnsi="Arial Black"/>
          <w:sz w:val="28"/>
          <w:szCs w:val="28"/>
        </w:rPr>
        <w:t xml:space="preserve">MD: SWAT TRAINING IN POOL – CPR - BAG VALUE MASK MISSING, PD DIED – NOT FED. CASE – DIDN’T “SHOCK CONSCIOUS” </w:t>
      </w:r>
    </w:p>
    <w:p w14:paraId="6164AAC0" w14:textId="77777777" w:rsidR="00EB2493" w:rsidRDefault="00EB2493" w:rsidP="00EB2493">
      <w:pPr>
        <w:spacing w:before="100" w:beforeAutospacing="1" w:after="100" w:afterAutospacing="1" w:line="240" w:lineRule="auto"/>
        <w:rPr>
          <w:rFonts w:ascii="Times New Roman" w:hAnsi="Times New Roman"/>
          <w:sz w:val="24"/>
          <w:szCs w:val="24"/>
        </w:rPr>
      </w:pPr>
      <w:r w:rsidRPr="006B7CE6">
        <w:rPr>
          <w:rFonts w:ascii="Times New Roman" w:hAnsi="Times New Roman"/>
          <w:sz w:val="24"/>
          <w:szCs w:val="24"/>
        </w:rPr>
        <w:t xml:space="preserve">On Feb. 22, 2021, in </w:t>
      </w:r>
      <w:r w:rsidRPr="006B7CE6">
        <w:rPr>
          <w:rFonts w:ascii="Times New Roman" w:hAnsi="Times New Roman"/>
          <w:sz w:val="24"/>
          <w:szCs w:val="24"/>
          <w:u w:val="single"/>
        </w:rPr>
        <w:t>Rebeca Sable v. Baltimore County Government, et al.</w:t>
      </w:r>
      <w:r w:rsidRPr="006B7CE6">
        <w:rPr>
          <w:rFonts w:ascii="Times New Roman" w:hAnsi="Times New Roman"/>
          <w:sz w:val="24"/>
          <w:szCs w:val="24"/>
        </w:rPr>
        <w:t xml:space="preserve">, </w:t>
      </w:r>
      <w:r>
        <w:rPr>
          <w:rFonts w:ascii="Times New Roman" w:hAnsi="Times New Roman"/>
          <w:sz w:val="24"/>
          <w:szCs w:val="24"/>
        </w:rPr>
        <w:t>United States Magistrate Judge J. Mark Coulson granted the defendants’ motion to dismiss the County and two Medics since facts alleged in their complaint, while possibly showing negligence, did not meet the U.S. Supreme Court’s “shock the conscious” test for alleged Federal violations of the Due Process Clause of 14</w:t>
      </w:r>
      <w:r w:rsidRPr="00B32F68">
        <w:rPr>
          <w:rFonts w:ascii="Times New Roman" w:hAnsi="Times New Roman"/>
          <w:sz w:val="24"/>
          <w:szCs w:val="24"/>
          <w:vertAlign w:val="superscript"/>
        </w:rPr>
        <w:t>th</w:t>
      </w:r>
      <w:r>
        <w:rPr>
          <w:rFonts w:ascii="Times New Roman" w:hAnsi="Times New Roman"/>
          <w:sz w:val="24"/>
          <w:szCs w:val="24"/>
        </w:rPr>
        <w:t xml:space="preserve"> Amendment, as required by U.S. Supreme Court in </w:t>
      </w:r>
      <w:r w:rsidRPr="003A213C">
        <w:rPr>
          <w:rFonts w:ascii="Times New Roman" w:hAnsi="Times New Roman"/>
          <w:i/>
          <w:iCs/>
          <w:sz w:val="24"/>
          <w:szCs w:val="24"/>
        </w:rPr>
        <w:t>County of Sacramento v</w:t>
      </w:r>
      <w:r w:rsidRPr="003A213C">
        <w:rPr>
          <w:rFonts w:ascii="Times New Roman" w:hAnsi="Times New Roman"/>
          <w:sz w:val="24"/>
          <w:szCs w:val="24"/>
        </w:rPr>
        <w:t xml:space="preserve">. </w:t>
      </w:r>
      <w:r w:rsidRPr="003A213C">
        <w:rPr>
          <w:rFonts w:ascii="Times New Roman" w:hAnsi="Times New Roman"/>
          <w:i/>
          <w:iCs/>
          <w:sz w:val="24"/>
          <w:szCs w:val="24"/>
        </w:rPr>
        <w:t>Lewis</w:t>
      </w:r>
      <w:r w:rsidRPr="003A213C">
        <w:rPr>
          <w:rFonts w:ascii="Times New Roman" w:hAnsi="Times New Roman"/>
          <w:sz w:val="24"/>
          <w:szCs w:val="24"/>
        </w:rPr>
        <w:t xml:space="preserve">, </w:t>
      </w:r>
      <w:hyperlink r:id="rId2369" w:anchor="p848" w:history="1">
        <w:r w:rsidRPr="003A213C">
          <w:rPr>
            <w:rStyle w:val="Hyperlink"/>
            <w:rFonts w:ascii="Times New Roman" w:hAnsi="Times New Roman"/>
            <w:sz w:val="24"/>
            <w:szCs w:val="24"/>
          </w:rPr>
          <w:t>523 U.S. 833, 848</w:t>
        </w:r>
      </w:hyperlink>
      <w:r w:rsidRPr="003A213C">
        <w:rPr>
          <w:rFonts w:ascii="Times New Roman" w:hAnsi="Times New Roman"/>
          <w:sz w:val="24"/>
          <w:szCs w:val="24"/>
        </w:rPr>
        <w:t xml:space="preserve"> (1998)</w:t>
      </w:r>
      <w:r>
        <w:rPr>
          <w:rFonts w:ascii="Times New Roman" w:hAnsi="Times New Roman"/>
          <w:sz w:val="24"/>
          <w:szCs w:val="24"/>
        </w:rPr>
        <w:t>.</w:t>
      </w:r>
      <w:r w:rsidRPr="003A213C">
        <w:rPr>
          <w:rFonts w:ascii="Times New Roman" w:hAnsi="Times New Roman"/>
          <w:sz w:val="24"/>
          <w:szCs w:val="24"/>
        </w:rPr>
        <w:t xml:space="preserve"> </w:t>
      </w:r>
      <w:r>
        <w:rPr>
          <w:rFonts w:ascii="Times New Roman" w:hAnsi="Times New Roman"/>
          <w:sz w:val="24"/>
          <w:szCs w:val="24"/>
        </w:rPr>
        <w:t xml:space="preserve"> The Magistrate Judge, however, will give plaintiffs one last opportunity to file an amended complaint with additional facts, noting that the Medics enjoy qualified immunity under Maryland statute for mere negligence.    </w:t>
      </w:r>
    </w:p>
    <w:bookmarkEnd w:id="450"/>
    <w:p w14:paraId="0C9486F7" w14:textId="24386584"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00CC5">
        <w:rPr>
          <w:rFonts w:ascii="Times New Roman" w:hAnsi="Times New Roman"/>
          <w:sz w:val="24"/>
          <w:szCs w:val="24"/>
        </w:rPr>
        <w:t xml:space="preserve">As the training neared its conclusion, program facilitators instructed the participants to tread water for ten minutes. </w:t>
      </w:r>
      <w:r w:rsidRPr="00700CC5">
        <w:rPr>
          <w:rFonts w:ascii="Times New Roman" w:hAnsi="Times New Roman"/>
          <w:i/>
          <w:iCs/>
          <w:sz w:val="24"/>
          <w:szCs w:val="24"/>
        </w:rPr>
        <w:t>Id</w:t>
      </w:r>
      <w:r w:rsidRPr="00700CC5">
        <w:rPr>
          <w:rFonts w:ascii="Times New Roman" w:hAnsi="Times New Roman"/>
          <w:sz w:val="24"/>
          <w:szCs w:val="24"/>
        </w:rPr>
        <w:t xml:space="preserve">. During this exercise, Mr. Sable went underwater and remained there for approximately ten seconds before being removed from the pool. </w:t>
      </w:r>
      <w:r w:rsidRPr="00700CC5">
        <w:rPr>
          <w:rFonts w:ascii="Times New Roman" w:hAnsi="Times New Roman"/>
          <w:i/>
          <w:iCs/>
          <w:sz w:val="24"/>
          <w:szCs w:val="24"/>
        </w:rPr>
        <w:t>Id</w:t>
      </w:r>
      <w:r w:rsidRPr="00700CC5">
        <w:rPr>
          <w:rFonts w:ascii="Times New Roman" w:hAnsi="Times New Roman"/>
          <w:sz w:val="24"/>
          <w:szCs w:val="24"/>
        </w:rPr>
        <w:t xml:space="preserve">. Once on the pool deck, BCPD Officer Sean </w:t>
      </w:r>
      <w:proofErr w:type="gramStart"/>
      <w:r w:rsidRPr="00700CC5">
        <w:rPr>
          <w:rFonts w:ascii="Times New Roman" w:hAnsi="Times New Roman"/>
          <w:sz w:val="24"/>
          <w:szCs w:val="24"/>
        </w:rPr>
        <w:t>Dietz (</w:t>
      </w:r>
      <w:r>
        <w:rPr>
          <w:rFonts w:ascii="Times New Roman" w:hAnsi="Times New Roman"/>
          <w:sz w:val="24"/>
          <w:szCs w:val="24"/>
        </w:rPr>
        <w:t>‘</w:t>
      </w:r>
      <w:proofErr w:type="gramEnd"/>
      <w:r w:rsidRPr="00700CC5">
        <w:rPr>
          <w:rFonts w:ascii="Times New Roman" w:hAnsi="Times New Roman"/>
          <w:sz w:val="24"/>
          <w:szCs w:val="24"/>
        </w:rPr>
        <w:t xml:space="preserve">Officer </w:t>
      </w:r>
      <w:proofErr w:type="gramStart"/>
      <w:r w:rsidRPr="00700CC5">
        <w:rPr>
          <w:rFonts w:ascii="Times New Roman" w:hAnsi="Times New Roman"/>
          <w:sz w:val="24"/>
          <w:szCs w:val="24"/>
        </w:rPr>
        <w:t>Dietz</w:t>
      </w:r>
      <w:r>
        <w:rPr>
          <w:rFonts w:ascii="Times New Roman" w:hAnsi="Times New Roman"/>
          <w:sz w:val="24"/>
          <w:szCs w:val="24"/>
        </w:rPr>
        <w:t>’</w:t>
      </w:r>
      <w:r w:rsidRPr="00700CC5">
        <w:rPr>
          <w:rFonts w:ascii="Times New Roman" w:hAnsi="Times New Roman"/>
          <w:sz w:val="24"/>
          <w:szCs w:val="24"/>
        </w:rPr>
        <w:t>)</w:t>
      </w:r>
      <w:proofErr w:type="gramEnd"/>
      <w:r w:rsidRPr="00700CC5">
        <w:rPr>
          <w:rFonts w:ascii="Times New Roman" w:hAnsi="Times New Roman"/>
          <w:sz w:val="24"/>
          <w:szCs w:val="24"/>
        </w:rPr>
        <w:t xml:space="preserve">, another medic, rendered assistance by patting Mr. Sable on the back and instructing him to </w:t>
      </w:r>
      <w:r>
        <w:rPr>
          <w:rFonts w:ascii="Times New Roman" w:hAnsi="Times New Roman"/>
          <w:sz w:val="24"/>
          <w:szCs w:val="24"/>
        </w:rPr>
        <w:t>‘</w:t>
      </w:r>
      <w:r w:rsidRPr="00700CC5">
        <w:rPr>
          <w:rFonts w:ascii="Times New Roman" w:hAnsi="Times New Roman"/>
          <w:sz w:val="24"/>
          <w:szCs w:val="24"/>
        </w:rPr>
        <w:t>cough it up.</w:t>
      </w:r>
      <w:r>
        <w:rPr>
          <w:rFonts w:ascii="Times New Roman" w:hAnsi="Times New Roman"/>
          <w:sz w:val="24"/>
          <w:szCs w:val="24"/>
        </w:rPr>
        <w:t>’</w:t>
      </w:r>
      <w:r w:rsidRPr="00700CC5">
        <w:rPr>
          <w:rFonts w:ascii="Times New Roman" w:hAnsi="Times New Roman"/>
          <w:sz w:val="24"/>
          <w:szCs w:val="24"/>
        </w:rPr>
        <w:t xml:space="preserve"> </w:t>
      </w:r>
      <w:r w:rsidRPr="00700CC5">
        <w:rPr>
          <w:rFonts w:ascii="Times New Roman" w:hAnsi="Times New Roman"/>
          <w:i/>
          <w:iCs/>
          <w:sz w:val="24"/>
          <w:szCs w:val="24"/>
        </w:rPr>
        <w:t>Id</w:t>
      </w:r>
      <w:r w:rsidRPr="00700CC5">
        <w:rPr>
          <w:rFonts w:ascii="Times New Roman" w:hAnsi="Times New Roman"/>
          <w:sz w:val="24"/>
          <w:szCs w:val="24"/>
        </w:rPr>
        <w:t xml:space="preserve">. Medic Sloman </w:t>
      </w:r>
      <w:r>
        <w:rPr>
          <w:rFonts w:ascii="Times New Roman" w:hAnsi="Times New Roman"/>
          <w:sz w:val="24"/>
          <w:szCs w:val="24"/>
        </w:rPr>
        <w:t>‘</w:t>
      </w:r>
      <w:r w:rsidRPr="00700CC5">
        <w:rPr>
          <w:rFonts w:ascii="Times New Roman" w:hAnsi="Times New Roman"/>
          <w:sz w:val="24"/>
          <w:szCs w:val="24"/>
        </w:rPr>
        <w:t xml:space="preserve">observed Mr. Sable to be cyanotic in the face, with fluid coming from his mouth, without a pulse, and apneic." </w:t>
      </w:r>
      <w:r w:rsidRPr="00700CC5">
        <w:rPr>
          <w:rFonts w:ascii="Times New Roman" w:hAnsi="Times New Roman"/>
          <w:i/>
          <w:iCs/>
          <w:sz w:val="24"/>
          <w:szCs w:val="24"/>
        </w:rPr>
        <w:t>Id</w:t>
      </w:r>
      <w:r w:rsidRPr="00700CC5">
        <w:rPr>
          <w:rFonts w:ascii="Times New Roman" w:hAnsi="Times New Roman"/>
          <w:sz w:val="24"/>
          <w:szCs w:val="24"/>
        </w:rPr>
        <w:t xml:space="preserve">. BCPD medics provided Medic Sloman with a bag valve </w:t>
      </w:r>
      <w:proofErr w:type="gramStart"/>
      <w:r w:rsidRPr="00700CC5">
        <w:rPr>
          <w:rFonts w:ascii="Times New Roman" w:hAnsi="Times New Roman"/>
          <w:sz w:val="24"/>
          <w:szCs w:val="24"/>
        </w:rPr>
        <w:t>mask</w:t>
      </w:r>
      <w:proofErr w:type="gramEnd"/>
      <w:r w:rsidRPr="00700CC5">
        <w:rPr>
          <w:rFonts w:ascii="Times New Roman" w:hAnsi="Times New Roman"/>
          <w:sz w:val="24"/>
          <w:szCs w:val="24"/>
        </w:rPr>
        <w:t xml:space="preserve"> manual resuscitator and O2 bottle to begin treating Mr. Sable, </w:t>
      </w:r>
      <w:r w:rsidRPr="001D0DEE">
        <w:rPr>
          <w:rFonts w:ascii="Times New Roman" w:hAnsi="Times New Roman"/>
          <w:b/>
          <w:bCs/>
          <w:sz w:val="24"/>
          <w:szCs w:val="24"/>
        </w:rPr>
        <w:t>but the mask was missing from the unit</w:t>
      </w:r>
      <w:r w:rsidRPr="00700CC5">
        <w:rPr>
          <w:rFonts w:ascii="Times New Roman" w:hAnsi="Times New Roman"/>
          <w:sz w:val="24"/>
          <w:szCs w:val="24"/>
        </w:rPr>
        <w:t xml:space="preserve">. </w:t>
      </w:r>
      <w:r>
        <w:rPr>
          <w:rFonts w:ascii="Times New Roman" w:hAnsi="Times New Roman"/>
          <w:sz w:val="24"/>
          <w:szCs w:val="24"/>
        </w:rPr>
        <w:t>[Emphasis added.]</w:t>
      </w:r>
    </w:p>
    <w:p w14:paraId="390A7A1D" w14:textId="77777777" w:rsidR="00EB2493" w:rsidRDefault="00EB2493" w:rsidP="00EB2493">
      <w:pPr>
        <w:spacing w:before="100" w:beforeAutospacing="1" w:after="100" w:afterAutospacing="1" w:line="240" w:lineRule="auto"/>
        <w:ind w:left="720"/>
        <w:rPr>
          <w:rFonts w:ascii="Times New Roman" w:hAnsi="Times New Roman"/>
          <w:sz w:val="24"/>
          <w:szCs w:val="24"/>
        </w:rPr>
      </w:pPr>
      <w:r w:rsidRPr="00700CC5">
        <w:rPr>
          <w:rFonts w:ascii="Times New Roman" w:hAnsi="Times New Roman"/>
          <w:sz w:val="24"/>
          <w:szCs w:val="24"/>
        </w:rPr>
        <w:t xml:space="preserve">For this reason, the manual resuscitator was inoperable for several additional minutes while medics searched for, and eventually obtained, a mask. </w:t>
      </w:r>
      <w:r w:rsidRPr="00700CC5">
        <w:rPr>
          <w:rFonts w:ascii="Times New Roman" w:hAnsi="Times New Roman"/>
          <w:i/>
          <w:iCs/>
          <w:sz w:val="24"/>
          <w:szCs w:val="24"/>
        </w:rPr>
        <w:t>Id</w:t>
      </w:r>
      <w:r w:rsidRPr="00700CC5">
        <w:rPr>
          <w:rFonts w:ascii="Times New Roman" w:hAnsi="Times New Roman"/>
          <w:sz w:val="24"/>
          <w:szCs w:val="24"/>
        </w:rPr>
        <w:t xml:space="preserve">. at 5. BCPD medics provided Mr. Sable with additional medical treatment, including the administration of five milligrams of epinephrine. </w:t>
      </w:r>
      <w:r w:rsidRPr="00700CC5">
        <w:rPr>
          <w:rFonts w:ascii="Times New Roman" w:hAnsi="Times New Roman"/>
          <w:i/>
          <w:iCs/>
          <w:sz w:val="24"/>
          <w:szCs w:val="24"/>
        </w:rPr>
        <w:t>Id</w:t>
      </w:r>
      <w:r w:rsidRPr="00700CC5">
        <w:rPr>
          <w:rFonts w:ascii="Times New Roman" w:hAnsi="Times New Roman"/>
          <w:sz w:val="24"/>
          <w:szCs w:val="24"/>
        </w:rPr>
        <w:t>.</w:t>
      </w:r>
    </w:p>
    <w:p w14:paraId="61FB6FD8"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5FE8BFC" w14:textId="77777777" w:rsidR="00EB2493" w:rsidRPr="00700CC5" w:rsidRDefault="00EB2493" w:rsidP="00EB2493">
      <w:pPr>
        <w:spacing w:before="100" w:beforeAutospacing="1" w:after="100" w:afterAutospacing="1" w:line="240" w:lineRule="auto"/>
        <w:ind w:left="720"/>
        <w:rPr>
          <w:rFonts w:ascii="Times New Roman" w:hAnsi="Times New Roman"/>
          <w:sz w:val="24"/>
          <w:szCs w:val="24"/>
        </w:rPr>
      </w:pPr>
      <w:r w:rsidRPr="00700CC5">
        <w:rPr>
          <w:rFonts w:ascii="Times New Roman" w:hAnsi="Times New Roman"/>
          <w:sz w:val="24"/>
          <w:szCs w:val="24"/>
        </w:rPr>
        <w:t>There is no dispute that Officers Dietz and Luck are public officials</w:t>
      </w:r>
      <w:r>
        <w:rPr>
          <w:rFonts w:ascii="Times New Roman" w:hAnsi="Times New Roman"/>
          <w:sz w:val="24"/>
          <w:szCs w:val="24"/>
        </w:rPr>
        <w:t xml:space="preserve">…. </w:t>
      </w:r>
      <w:r w:rsidRPr="00700CC5">
        <w:rPr>
          <w:rFonts w:ascii="Times New Roman" w:hAnsi="Times New Roman"/>
          <w:sz w:val="24"/>
          <w:szCs w:val="24"/>
        </w:rPr>
        <w:t xml:space="preserve">While Plaintiffs contend </w:t>
      </w:r>
      <w:proofErr w:type="gramStart"/>
      <w:r w:rsidRPr="00700CC5">
        <w:rPr>
          <w:rFonts w:ascii="Times New Roman" w:hAnsi="Times New Roman"/>
          <w:sz w:val="24"/>
          <w:szCs w:val="24"/>
        </w:rPr>
        <w:t>Defendants</w:t>
      </w:r>
      <w:proofErr w:type="gramEnd"/>
      <w:r w:rsidRPr="00700CC5">
        <w:rPr>
          <w:rFonts w:ascii="Times New Roman" w:hAnsi="Times New Roman"/>
          <w:sz w:val="24"/>
          <w:szCs w:val="24"/>
        </w:rPr>
        <w:t xml:space="preserve"> actions constitute ministerial acts, this Court finds that the Officer </w:t>
      </w:r>
      <w:proofErr w:type="gramStart"/>
      <w:r w:rsidRPr="00700CC5">
        <w:rPr>
          <w:rFonts w:ascii="Times New Roman" w:hAnsi="Times New Roman"/>
          <w:sz w:val="24"/>
          <w:szCs w:val="24"/>
        </w:rPr>
        <w:t>Defendants</w:t>
      </w:r>
      <w:proofErr w:type="gramEnd"/>
      <w:r w:rsidRPr="00700CC5">
        <w:rPr>
          <w:rFonts w:ascii="Times New Roman" w:hAnsi="Times New Roman"/>
          <w:sz w:val="24"/>
          <w:szCs w:val="24"/>
        </w:rPr>
        <w:t xml:space="preserve"> actions as alleged are clearly discretionary. The Officer Defendants exercised </w:t>
      </w:r>
      <w:r>
        <w:rPr>
          <w:rFonts w:ascii="Times New Roman" w:hAnsi="Times New Roman"/>
          <w:sz w:val="24"/>
          <w:szCs w:val="24"/>
        </w:rPr>
        <w:t>‘</w:t>
      </w:r>
      <w:r w:rsidRPr="00700CC5">
        <w:rPr>
          <w:rFonts w:ascii="Times New Roman" w:hAnsi="Times New Roman"/>
          <w:sz w:val="24"/>
          <w:szCs w:val="24"/>
        </w:rPr>
        <w:t>judgment in the absence of a hard and fast rule</w:t>
      </w:r>
      <w:r>
        <w:rPr>
          <w:rFonts w:ascii="Times New Roman" w:hAnsi="Times New Roman"/>
          <w:sz w:val="24"/>
          <w:szCs w:val="24"/>
        </w:rPr>
        <w:t>’</w:t>
      </w:r>
      <w:r w:rsidRPr="00700CC5">
        <w:rPr>
          <w:rFonts w:ascii="Times New Roman" w:hAnsi="Times New Roman"/>
          <w:sz w:val="24"/>
          <w:szCs w:val="24"/>
        </w:rPr>
        <w:t xml:space="preserve"> in supervising, implementing, and responding to the events that unfolded at the SWAT aquatic training exercise</w:t>
      </w:r>
      <w:r>
        <w:rPr>
          <w:rFonts w:ascii="Times New Roman" w:hAnsi="Times New Roman"/>
          <w:sz w:val="24"/>
          <w:szCs w:val="24"/>
        </w:rPr>
        <w:t xml:space="preserve">…. </w:t>
      </w:r>
      <w:r w:rsidRPr="00700CC5">
        <w:rPr>
          <w:rFonts w:ascii="Times New Roman" w:hAnsi="Times New Roman"/>
          <w:sz w:val="24"/>
          <w:szCs w:val="24"/>
        </w:rPr>
        <w:t>Accordingly, the Court agrees with the Officer Defendants that they are immune from liability for state common law torts</w:t>
      </w:r>
      <w:r>
        <w:rPr>
          <w:rFonts w:ascii="Times New Roman" w:hAnsi="Times New Roman"/>
          <w:sz w:val="24"/>
          <w:szCs w:val="24"/>
        </w:rPr>
        <w:t xml:space="preserve">.” </w:t>
      </w:r>
      <w:bookmarkStart w:id="451" w:name="_Hlk66949432"/>
      <w:r w:rsidR="00F00958">
        <w:fldChar w:fldCharType="begin"/>
      </w:r>
      <w:r w:rsidR="00F00958">
        <w:instrText xml:space="preserve"> HYPERLINK "https://casetext.com/case/sable-v-balt-cnty-govt" </w:instrText>
      </w:r>
      <w:r w:rsidR="00F00958">
        <w:fldChar w:fldCharType="separate"/>
      </w:r>
      <w:r w:rsidRPr="005672FA">
        <w:rPr>
          <w:rStyle w:val="Hyperlink"/>
          <w:rFonts w:ascii="Times New Roman" w:hAnsi="Times New Roman"/>
          <w:sz w:val="24"/>
          <w:szCs w:val="24"/>
        </w:rPr>
        <w:t>https://casetext.com/case/sable-v-balt-cnty-govt</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0F7E7288" w14:textId="77777777" w:rsidR="00EB2493" w:rsidRDefault="00EB2493" w:rsidP="00EB2493">
      <w:pPr>
        <w:spacing w:before="100" w:beforeAutospacing="1" w:after="100" w:afterAutospacing="1" w:line="240" w:lineRule="auto"/>
        <w:rPr>
          <w:rFonts w:ascii="Times New Roman" w:eastAsia="Times New Roman" w:hAnsi="Times New Roman"/>
          <w:b/>
          <w:bCs/>
          <w:sz w:val="24"/>
          <w:szCs w:val="24"/>
        </w:rPr>
      </w:pPr>
      <w:r w:rsidRPr="00D821D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The U.S. Supreme Court’s “shock the conscious” standard for Federal constitutional claims has greatly limited plaintiffs’ attempts to shirt the qualified immunity defense in state courts.</w:t>
      </w:r>
    </w:p>
    <w:p w14:paraId="00FC8C4C" w14:textId="77777777" w:rsidR="00EB2493" w:rsidRDefault="00EB2493" w:rsidP="00EB2493">
      <w:pPr>
        <w:spacing w:before="100" w:beforeAutospacing="1" w:after="100" w:afterAutospacing="1" w:line="240" w:lineRule="auto"/>
        <w:ind w:left="720"/>
        <w:rPr>
          <w:rFonts w:ascii="Times New Roman" w:hAnsi="Times New Roman"/>
          <w:b/>
          <w:bCs/>
          <w:sz w:val="24"/>
          <w:szCs w:val="24"/>
        </w:rPr>
      </w:pPr>
      <w:r w:rsidRPr="003A213C">
        <w:rPr>
          <w:rFonts w:ascii="Times New Roman" w:eastAsia="Times New Roman" w:hAnsi="Times New Roman"/>
          <w:sz w:val="24"/>
          <w:szCs w:val="24"/>
        </w:rPr>
        <w:t xml:space="preserve">Note: Other Federal cases involving training deaths have similarly applied the “shock the conscious” standard. </w:t>
      </w:r>
      <w:r>
        <w:rPr>
          <w:rFonts w:ascii="Times New Roman" w:eastAsia="Times New Roman" w:hAnsi="Times New Roman"/>
          <w:sz w:val="24"/>
          <w:szCs w:val="24"/>
        </w:rPr>
        <w:t xml:space="preserve"> See </w:t>
      </w:r>
      <w:r w:rsidRPr="00784B7D">
        <w:rPr>
          <w:rFonts w:ascii="Times New Roman" w:hAnsi="Times New Roman"/>
          <w:i/>
          <w:iCs/>
          <w:sz w:val="24"/>
          <w:szCs w:val="24"/>
        </w:rPr>
        <w:t>Waybright v. Frederick County</w:t>
      </w:r>
      <w:r w:rsidRPr="003A213C">
        <w:rPr>
          <w:rFonts w:ascii="Times New Roman" w:hAnsi="Times New Roman"/>
          <w:sz w:val="24"/>
          <w:szCs w:val="24"/>
        </w:rPr>
        <w:t>, 528 F.3</w:t>
      </w:r>
      <w:r w:rsidRPr="003A213C">
        <w:rPr>
          <w:rFonts w:ascii="Times New Roman" w:hAnsi="Times New Roman"/>
          <w:sz w:val="24"/>
          <w:szCs w:val="24"/>
          <w:vertAlign w:val="superscript"/>
        </w:rPr>
        <w:t>rd</w:t>
      </w:r>
      <w:r w:rsidRPr="003A213C">
        <w:rPr>
          <w:rFonts w:ascii="Times New Roman" w:hAnsi="Times New Roman"/>
          <w:sz w:val="24"/>
          <w:szCs w:val="24"/>
        </w:rPr>
        <w:t xml:space="preserve"> 199 (4th Cir. 2008), </w:t>
      </w:r>
      <w:hyperlink r:id="rId2370" w:history="1">
        <w:r w:rsidRPr="00784B7D">
          <w:rPr>
            <w:rStyle w:val="Hyperlink"/>
            <w:rFonts w:ascii="Times New Roman" w:hAnsi="Times New Roman"/>
            <w:sz w:val="24"/>
            <w:szCs w:val="24"/>
          </w:rPr>
          <w:t>https://casetext.com/case/waybright-v-frederick-county-2</w:t>
        </w:r>
      </w:hyperlink>
      <w:r w:rsidRPr="00784B7D">
        <w:rPr>
          <w:rFonts w:ascii="Times New Roman" w:hAnsi="Times New Roman"/>
          <w:sz w:val="24"/>
          <w:szCs w:val="24"/>
        </w:rPr>
        <w:t xml:space="preserve"> ,</w:t>
      </w:r>
      <w:r>
        <w:rPr>
          <w:rFonts w:ascii="Times New Roman" w:hAnsi="Times New Roman"/>
          <w:b/>
          <w:bCs/>
          <w:sz w:val="24"/>
          <w:szCs w:val="24"/>
        </w:rPr>
        <w:t xml:space="preserve"> </w:t>
      </w:r>
      <w:r w:rsidRPr="003A213C">
        <w:rPr>
          <w:rFonts w:ascii="Times New Roman" w:hAnsi="Times New Roman"/>
          <w:sz w:val="24"/>
          <w:szCs w:val="24"/>
        </w:rPr>
        <w:t>where recruit died in training on very hot day</w:t>
      </w:r>
      <w:r>
        <w:rPr>
          <w:rFonts w:ascii="Times New Roman" w:hAnsi="Times New Roman"/>
          <w:sz w:val="24"/>
          <w:szCs w:val="24"/>
        </w:rPr>
        <w:t xml:space="preserve"> and call to 911 was delayed. </w:t>
      </w:r>
      <w:r w:rsidRPr="003A213C">
        <w:rPr>
          <w:rFonts w:ascii="Times New Roman" w:hAnsi="Times New Roman"/>
          <w:sz w:val="24"/>
          <w:szCs w:val="24"/>
        </w:rPr>
        <w:t xml:space="preserve"> </w:t>
      </w:r>
      <w:r>
        <w:rPr>
          <w:rFonts w:ascii="Times New Roman" w:hAnsi="Times New Roman"/>
          <w:b/>
          <w:bCs/>
          <w:sz w:val="24"/>
          <w:szCs w:val="24"/>
        </w:rPr>
        <w:t>“</w:t>
      </w:r>
      <w:r w:rsidRPr="00FA2431">
        <w:rPr>
          <w:rFonts w:ascii="Times New Roman" w:hAnsi="Times New Roman"/>
          <w:sz w:val="24"/>
          <w:szCs w:val="24"/>
        </w:rPr>
        <w:t>This conduct is a far cry from shocking the conscience. It was, rather, as the Board of Inquiry concluded, an under-</w:t>
      </w:r>
      <w:proofErr w:type="gramStart"/>
      <w:r w:rsidRPr="00FA2431">
        <w:rPr>
          <w:rFonts w:ascii="Times New Roman" w:hAnsi="Times New Roman"/>
          <w:sz w:val="24"/>
          <w:szCs w:val="24"/>
        </w:rPr>
        <w:t>reaction —</w:t>
      </w:r>
      <w:proofErr w:type="gramEnd"/>
      <w:r w:rsidRPr="00FA2431">
        <w:rPr>
          <w:rFonts w:ascii="Times New Roman" w:hAnsi="Times New Roman"/>
          <w:sz w:val="24"/>
          <w:szCs w:val="24"/>
        </w:rPr>
        <w:t xml:space="preserve"> that is, a misjudgment. Whether it was a negligent misjudgment is not for us to say, but misjudgments such as these are "categorically beneath the threshold of constitutional due process." </w:t>
      </w:r>
      <w:r w:rsidRPr="00FA2431">
        <w:rPr>
          <w:rFonts w:ascii="Times New Roman" w:hAnsi="Times New Roman"/>
          <w:i/>
          <w:iCs/>
          <w:sz w:val="24"/>
          <w:szCs w:val="24"/>
        </w:rPr>
        <w:t>County of Sacramento</w:t>
      </w:r>
      <w:r>
        <w:rPr>
          <w:rFonts w:ascii="Times New Roman" w:hAnsi="Times New Roman"/>
          <w:i/>
          <w:iCs/>
          <w:sz w:val="24"/>
          <w:szCs w:val="24"/>
        </w:rPr>
        <w:t xml:space="preserve"> [v. Lewis]</w:t>
      </w:r>
      <w:r w:rsidRPr="00FA2431">
        <w:rPr>
          <w:rFonts w:ascii="Times New Roman" w:hAnsi="Times New Roman"/>
          <w:sz w:val="24"/>
          <w:szCs w:val="24"/>
        </w:rPr>
        <w:t xml:space="preserve">, </w:t>
      </w:r>
      <w:hyperlink r:id="rId2371" w:anchor="p849" w:history="1">
        <w:r w:rsidRPr="00FA2431">
          <w:rPr>
            <w:rStyle w:val="Hyperlink"/>
            <w:rFonts w:ascii="Times New Roman" w:hAnsi="Times New Roman"/>
            <w:sz w:val="24"/>
            <w:szCs w:val="24"/>
          </w:rPr>
          <w:t>523 U.S. at 849</w:t>
        </w:r>
      </w:hyperlink>
      <w:r w:rsidRPr="00FA2431">
        <w:rPr>
          <w:rFonts w:ascii="Times New Roman" w:hAnsi="Times New Roman"/>
          <w:sz w:val="24"/>
          <w:szCs w:val="24"/>
        </w:rPr>
        <w:t xml:space="preserve">, </w:t>
      </w:r>
      <w:hyperlink r:id="rId2372" w:history="1">
        <w:r w:rsidRPr="00FA2431">
          <w:rPr>
            <w:rStyle w:val="Hyperlink"/>
            <w:rFonts w:ascii="Times New Roman" w:hAnsi="Times New Roman"/>
            <w:sz w:val="24"/>
            <w:szCs w:val="24"/>
          </w:rPr>
          <w:t xml:space="preserve">118 </w:t>
        </w:r>
        <w:proofErr w:type="spellStart"/>
        <w:r w:rsidRPr="00FA2431">
          <w:rPr>
            <w:rStyle w:val="Hyperlink"/>
            <w:rFonts w:ascii="Times New Roman" w:hAnsi="Times New Roman"/>
            <w:sz w:val="24"/>
            <w:szCs w:val="24"/>
          </w:rPr>
          <w:t>S.Ct</w:t>
        </w:r>
        <w:proofErr w:type="spellEnd"/>
        <w:r w:rsidRPr="00FA2431">
          <w:rPr>
            <w:rStyle w:val="Hyperlink"/>
            <w:rFonts w:ascii="Times New Roman" w:hAnsi="Times New Roman"/>
            <w:sz w:val="24"/>
            <w:szCs w:val="24"/>
          </w:rPr>
          <w:t>. 1708</w:t>
        </w:r>
      </w:hyperlink>
      <w:r w:rsidRPr="00FA2431">
        <w:rPr>
          <w:rFonts w:ascii="Times New Roman" w:hAnsi="Times New Roman"/>
          <w:sz w:val="24"/>
          <w:szCs w:val="24"/>
        </w:rPr>
        <w:t>.</w:t>
      </w:r>
      <w:r>
        <w:rPr>
          <w:rFonts w:ascii="Times New Roman" w:hAnsi="Times New Roman"/>
          <w:sz w:val="24"/>
          <w:szCs w:val="24"/>
        </w:rPr>
        <w:t xml:space="preserve"> </w:t>
      </w:r>
    </w:p>
    <w:p w14:paraId="739EFE9F" w14:textId="77777777" w:rsidR="00EB2493" w:rsidRPr="00784B7D" w:rsidRDefault="00EB2493" w:rsidP="00EB2493">
      <w:pPr>
        <w:spacing w:before="100" w:beforeAutospacing="1" w:after="100" w:afterAutospacing="1" w:line="240" w:lineRule="auto"/>
        <w:ind w:left="720"/>
        <w:rPr>
          <w:rFonts w:ascii="Times New Roman" w:hAnsi="Times New Roman"/>
          <w:sz w:val="24"/>
          <w:szCs w:val="24"/>
        </w:rPr>
      </w:pPr>
      <w:r w:rsidRPr="006D1C6E">
        <w:rPr>
          <w:rFonts w:ascii="Times New Roman" w:eastAsia="Times New Roman" w:hAnsi="Times New Roman"/>
          <w:sz w:val="24"/>
          <w:szCs w:val="24"/>
        </w:rPr>
        <w:t xml:space="preserve">See also </w:t>
      </w:r>
      <w:r>
        <w:rPr>
          <w:rFonts w:ascii="Times New Roman" w:eastAsia="Times New Roman" w:hAnsi="Times New Roman"/>
          <w:sz w:val="24"/>
          <w:szCs w:val="24"/>
        </w:rPr>
        <w:t xml:space="preserve">training </w:t>
      </w:r>
      <w:r w:rsidRPr="006D1C6E">
        <w:rPr>
          <w:rFonts w:ascii="Times New Roman" w:eastAsia="Times New Roman" w:hAnsi="Times New Roman"/>
          <w:sz w:val="24"/>
          <w:szCs w:val="24"/>
        </w:rPr>
        <w:t xml:space="preserve">death of Baltimore recruit </w:t>
      </w:r>
      <w:r>
        <w:rPr>
          <w:rFonts w:ascii="Times New Roman" w:eastAsia="Times New Roman" w:hAnsi="Times New Roman"/>
          <w:sz w:val="24"/>
          <w:szCs w:val="24"/>
        </w:rPr>
        <w:t xml:space="preserve">Racheal Wilson </w:t>
      </w:r>
      <w:r w:rsidRPr="006D1C6E">
        <w:rPr>
          <w:rFonts w:ascii="Times New Roman" w:eastAsia="Times New Roman" w:hAnsi="Times New Roman"/>
          <w:sz w:val="24"/>
          <w:szCs w:val="24"/>
        </w:rPr>
        <w:t xml:space="preserve">in a townhouse live burn: </w:t>
      </w:r>
      <w:r w:rsidRPr="006D1C6E">
        <w:rPr>
          <w:rFonts w:ascii="Times New Roman" w:eastAsia="Times New Roman" w:hAnsi="Times New Roman"/>
          <w:sz w:val="24"/>
          <w:szCs w:val="24"/>
          <w:u w:val="single"/>
        </w:rPr>
        <w:t>Virginia Dean Slaughter v. City of Baltimore</w:t>
      </w:r>
      <w:r>
        <w:rPr>
          <w:rFonts w:ascii="Times New Roman" w:eastAsia="Times New Roman" w:hAnsi="Times New Roman"/>
          <w:sz w:val="24"/>
          <w:szCs w:val="24"/>
        </w:rPr>
        <w:t xml:space="preserve"> (4</w:t>
      </w:r>
      <w:r w:rsidRPr="00784B7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2012), </w:t>
      </w:r>
      <w:hyperlink r:id="rId2373" w:history="1">
        <w:r w:rsidRPr="002A3A0C">
          <w:rPr>
            <w:rStyle w:val="Hyperlink"/>
            <w:rFonts w:ascii="Times New Roman" w:eastAsia="Times New Roman" w:hAnsi="Times New Roman"/>
            <w:sz w:val="24"/>
            <w:szCs w:val="24"/>
          </w:rPr>
          <w:t>https://caselaw.findlaw.com/us-4th-circuit/1602456.html</w:t>
        </w:r>
      </w:hyperlink>
      <w:r>
        <w:rPr>
          <w:rFonts w:ascii="Times New Roman" w:eastAsia="Times New Roman" w:hAnsi="Times New Roman"/>
          <w:sz w:val="24"/>
          <w:szCs w:val="24"/>
        </w:rPr>
        <w:t xml:space="preserve">. </w:t>
      </w:r>
      <w:r w:rsidRPr="00784B7D">
        <w:rPr>
          <w:rFonts w:ascii="Times New Roman" w:eastAsia="Times New Roman" w:hAnsi="Times New Roman"/>
          <w:sz w:val="24"/>
          <w:szCs w:val="24"/>
        </w:rPr>
        <w:t>“</w:t>
      </w:r>
      <w:r w:rsidRPr="00784B7D">
        <w:rPr>
          <w:rFonts w:ascii="Times New Roman" w:hAnsi="Times New Roman"/>
          <w:sz w:val="24"/>
          <w:szCs w:val="24"/>
        </w:rPr>
        <w:t xml:space="preserve">The facts alleged in this case reveal a sad story that might well support state tort claims or other state law claims. </w:t>
      </w:r>
      <w:r w:rsidRPr="00784B7D">
        <w:rPr>
          <w:rFonts w:ascii="Times New Roman" w:hAnsi="Times New Roman"/>
          <w:sz w:val="24"/>
          <w:szCs w:val="24"/>
        </w:rPr>
        <w:t> </w:t>
      </w:r>
      <w:r w:rsidRPr="00784B7D">
        <w:rPr>
          <w:rFonts w:ascii="Times New Roman" w:hAnsi="Times New Roman"/>
          <w:sz w:val="24"/>
          <w:szCs w:val="24"/>
        </w:rPr>
        <w:t xml:space="preserve"> But </w:t>
      </w:r>
      <w:proofErr w:type="gramStart"/>
      <w:r w:rsidRPr="00784B7D">
        <w:rPr>
          <w:rFonts w:ascii="Times New Roman" w:hAnsi="Times New Roman"/>
          <w:sz w:val="24"/>
          <w:szCs w:val="24"/>
        </w:rPr>
        <w:t>to treat</w:t>
      </w:r>
      <w:proofErr w:type="gramEnd"/>
      <w:r w:rsidRPr="00784B7D">
        <w:rPr>
          <w:rFonts w:ascii="Times New Roman" w:hAnsi="Times New Roman"/>
          <w:sz w:val="24"/>
          <w:szCs w:val="24"/>
        </w:rPr>
        <w:t xml:space="preserve"> the Fire Department's conduct as a substantive due process violation would be to constitutionalize a state tort claim, which must only be done in the rarest of cases. </w:t>
      </w:r>
      <w:r w:rsidRPr="00784B7D">
        <w:rPr>
          <w:rFonts w:ascii="Times New Roman" w:hAnsi="Times New Roman"/>
          <w:sz w:val="24"/>
          <w:szCs w:val="24"/>
        </w:rPr>
        <w:t> </w:t>
      </w:r>
      <w:r w:rsidRPr="00784B7D">
        <w:rPr>
          <w:rFonts w:ascii="Times New Roman" w:hAnsi="Times New Roman"/>
          <w:sz w:val="24"/>
          <w:szCs w:val="24"/>
        </w:rPr>
        <w:t xml:space="preserve"> As we observed in </w:t>
      </w:r>
      <w:proofErr w:type="gramStart"/>
      <w:r w:rsidRPr="00784B7D">
        <w:rPr>
          <w:rFonts w:ascii="Times New Roman" w:hAnsi="Times New Roman"/>
          <w:i/>
          <w:iCs/>
          <w:sz w:val="24"/>
          <w:szCs w:val="24"/>
        </w:rPr>
        <w:t>Waybright</w:t>
      </w:r>
      <w:r w:rsidRPr="00784B7D">
        <w:rPr>
          <w:rFonts w:ascii="Times New Roman" w:hAnsi="Times New Roman"/>
          <w:sz w:val="24"/>
          <w:szCs w:val="24"/>
        </w:rPr>
        <w:t xml:space="preserve">, </w:t>
      </w:r>
      <w:r>
        <w:rPr>
          <w:rFonts w:ascii="Times New Roman" w:hAnsi="Times New Roman"/>
          <w:sz w:val="24"/>
          <w:szCs w:val="24"/>
        </w:rPr>
        <w:t>‘</w:t>
      </w:r>
      <w:proofErr w:type="gramEnd"/>
      <w:r w:rsidRPr="00784B7D">
        <w:rPr>
          <w:rFonts w:ascii="Times New Roman" w:hAnsi="Times New Roman"/>
          <w:sz w:val="24"/>
          <w:szCs w:val="24"/>
        </w:rPr>
        <w:t xml:space="preserve">where a claim sounds both in state tort law and substantive due process, state tort law is the rule and due process </w:t>
      </w:r>
      <w:proofErr w:type="gramStart"/>
      <w:r w:rsidRPr="00784B7D">
        <w:rPr>
          <w:rFonts w:ascii="Times New Roman" w:hAnsi="Times New Roman"/>
          <w:sz w:val="24"/>
          <w:szCs w:val="24"/>
        </w:rPr>
        <w:t>the</w:t>
      </w:r>
      <w:proofErr w:type="gramEnd"/>
      <w:r w:rsidRPr="00784B7D">
        <w:rPr>
          <w:rFonts w:ascii="Times New Roman" w:hAnsi="Times New Roman"/>
          <w:sz w:val="24"/>
          <w:szCs w:val="24"/>
        </w:rPr>
        <w:t xml:space="preserve"> distinct exception.</w:t>
      </w:r>
      <w:r>
        <w:rPr>
          <w:rFonts w:ascii="Times New Roman" w:hAnsi="Times New Roman"/>
          <w:sz w:val="24"/>
          <w:szCs w:val="24"/>
        </w:rPr>
        <w:t>’</w:t>
      </w:r>
      <w:r w:rsidRPr="00784B7D">
        <w:rPr>
          <w:rFonts w:ascii="Times New Roman" w:hAnsi="Times New Roman"/>
          <w:sz w:val="24"/>
          <w:szCs w:val="24"/>
        </w:rPr>
        <w:t xml:space="preserve"> </w:t>
      </w:r>
      <w:r w:rsidRPr="00784B7D">
        <w:rPr>
          <w:rFonts w:ascii="Times New Roman" w:hAnsi="Times New Roman"/>
          <w:sz w:val="24"/>
          <w:szCs w:val="24"/>
        </w:rPr>
        <w:t> </w:t>
      </w:r>
      <w:r w:rsidRPr="00784B7D">
        <w:rPr>
          <w:rFonts w:ascii="Times New Roman" w:hAnsi="Times New Roman"/>
          <w:sz w:val="24"/>
          <w:szCs w:val="24"/>
        </w:rPr>
        <w:t>528 F.3d at 205.</w:t>
      </w:r>
      <w:r>
        <w:rPr>
          <w:rFonts w:ascii="Times New Roman" w:hAnsi="Times New Roman"/>
          <w:sz w:val="24"/>
          <w:szCs w:val="24"/>
        </w:rPr>
        <w:t xml:space="preserve">” </w:t>
      </w:r>
    </w:p>
    <w:p w14:paraId="359B10C0" w14:textId="77777777" w:rsidR="00EB2493" w:rsidRPr="006D1C6E" w:rsidRDefault="00EB2493" w:rsidP="00EB2493">
      <w:pPr>
        <w:pStyle w:val="Heading1"/>
        <w:ind w:left="720"/>
        <w:rPr>
          <w:b w:val="0"/>
          <w:bCs w:val="0"/>
          <w:sz w:val="24"/>
          <w:szCs w:val="24"/>
        </w:rPr>
      </w:pPr>
      <w:bookmarkStart w:id="452" w:name="_Hlk66949488"/>
      <w:bookmarkEnd w:id="451"/>
      <w:r w:rsidRPr="006D1C6E">
        <w:rPr>
          <w:b w:val="0"/>
          <w:bCs w:val="0"/>
          <w:sz w:val="24"/>
          <w:szCs w:val="24"/>
        </w:rPr>
        <w:t>See also NIOSH Fire Fighter Fatality Report F2007-09</w:t>
      </w:r>
      <w:r>
        <w:rPr>
          <w:b w:val="0"/>
          <w:bCs w:val="0"/>
          <w:sz w:val="24"/>
          <w:szCs w:val="24"/>
        </w:rPr>
        <w:t xml:space="preserve"> on death of </w:t>
      </w:r>
      <w:r w:rsidRPr="00784B7D">
        <w:rPr>
          <w:b w:val="0"/>
          <w:bCs w:val="0"/>
          <w:sz w:val="24"/>
          <w:szCs w:val="24"/>
        </w:rPr>
        <w:t>Racheal Wilson:</w:t>
      </w:r>
      <w:r w:rsidRPr="006D1C6E">
        <w:rPr>
          <w:b w:val="0"/>
          <w:bCs w:val="0"/>
          <w:sz w:val="24"/>
          <w:szCs w:val="24"/>
        </w:rPr>
        <w:t xml:space="preserve"> </w:t>
      </w:r>
      <w:r>
        <w:rPr>
          <w:b w:val="0"/>
          <w:bCs w:val="0"/>
          <w:sz w:val="24"/>
          <w:szCs w:val="24"/>
        </w:rPr>
        <w:t>“</w:t>
      </w:r>
      <w:r w:rsidRPr="006D1C6E">
        <w:rPr>
          <w:b w:val="0"/>
          <w:bCs w:val="0"/>
          <w:sz w:val="24"/>
          <w:szCs w:val="24"/>
        </w:rPr>
        <w:t>Career Probationary Fire Fighter Dies While Participating in a Live-Fire Training Evolution at an Acquired Structure – Maryland</w:t>
      </w:r>
      <w:r>
        <w:rPr>
          <w:b w:val="0"/>
          <w:bCs w:val="0"/>
          <w:sz w:val="24"/>
          <w:szCs w:val="24"/>
        </w:rPr>
        <w:t xml:space="preserve">.” </w:t>
      </w:r>
      <w:r w:rsidRPr="006D1C6E">
        <w:rPr>
          <w:b w:val="0"/>
          <w:bCs w:val="0"/>
        </w:rPr>
        <w:t xml:space="preserve"> </w:t>
      </w:r>
      <w:hyperlink r:id="rId2374" w:history="1">
        <w:r w:rsidRPr="006D1C6E">
          <w:rPr>
            <w:rStyle w:val="Hyperlink"/>
            <w:b w:val="0"/>
            <w:bCs w:val="0"/>
            <w:sz w:val="24"/>
            <w:szCs w:val="24"/>
          </w:rPr>
          <w:t>https://www.cdc.gov/niosh/fire/reports/face200709.html</w:t>
        </w:r>
      </w:hyperlink>
      <w:bookmarkEnd w:id="452"/>
      <w:r w:rsidRPr="006D1C6E">
        <w:rPr>
          <w:b w:val="0"/>
          <w:bCs w:val="0"/>
          <w:sz w:val="24"/>
          <w:szCs w:val="24"/>
        </w:rPr>
        <w:t xml:space="preserve"> </w:t>
      </w:r>
    </w:p>
    <w:p w14:paraId="3ACB43AB" w14:textId="77777777" w:rsidR="00EB2493" w:rsidRDefault="00EB2493" w:rsidP="002B1283">
      <w:pPr>
        <w:rPr>
          <w:rFonts w:ascii="Arial Black" w:hAnsi="Arial Black"/>
          <w:b/>
          <w:bCs/>
          <w:sz w:val="28"/>
          <w:szCs w:val="28"/>
        </w:rPr>
      </w:pPr>
    </w:p>
    <w:p w14:paraId="7028E879" w14:textId="4D674C3F" w:rsidR="00EB2493" w:rsidRDefault="00EB2493" w:rsidP="002B1283">
      <w:pPr>
        <w:rPr>
          <w:rFonts w:ascii="Arial Black" w:hAnsi="Arial Black"/>
          <w:b/>
          <w:bCs/>
          <w:sz w:val="28"/>
          <w:szCs w:val="28"/>
        </w:rPr>
      </w:pPr>
      <w:r>
        <w:rPr>
          <w:rFonts w:ascii="Arial Black" w:hAnsi="Arial Black"/>
          <w:b/>
          <w:bCs/>
          <w:sz w:val="28"/>
          <w:szCs w:val="28"/>
        </w:rPr>
        <w:t>13-80</w:t>
      </w:r>
    </w:p>
    <w:p w14:paraId="7FFE0D85" w14:textId="77777777" w:rsidR="00EB2493" w:rsidRDefault="00EB2493" w:rsidP="00EB2493">
      <w:pPr>
        <w:rPr>
          <w:rFonts w:ascii="Arial Black" w:hAnsi="Arial Black"/>
          <w:sz w:val="28"/>
          <w:szCs w:val="28"/>
        </w:rPr>
      </w:pPr>
      <w:bookmarkStart w:id="453" w:name="_Hlk66949641"/>
      <w:r w:rsidRPr="00BC494E">
        <w:rPr>
          <w:rFonts w:ascii="Arial Black" w:hAnsi="Arial Black"/>
          <w:sz w:val="28"/>
          <w:szCs w:val="28"/>
        </w:rPr>
        <w:t>DE</w:t>
      </w:r>
      <w:r>
        <w:rPr>
          <w:rFonts w:ascii="Arial Black" w:hAnsi="Arial Black"/>
          <w:sz w:val="28"/>
          <w:szCs w:val="28"/>
        </w:rPr>
        <w:t xml:space="preserve">: EMT SLIP &amp; FALL IN PARKING LOT – “FIREMAN’S RULE” DOES NOT APPLY - CAN SUE PARKING LOT OWNER  </w:t>
      </w:r>
    </w:p>
    <w:p w14:paraId="5059B1EF" w14:textId="77777777" w:rsidR="00EB2493" w:rsidRDefault="00EB2493" w:rsidP="00EB2493">
      <w:pPr>
        <w:rPr>
          <w:rFonts w:ascii="Times New Roman" w:hAnsi="Times New Roman"/>
          <w:sz w:val="24"/>
          <w:szCs w:val="24"/>
        </w:rPr>
      </w:pPr>
      <w:r>
        <w:rPr>
          <w:rFonts w:ascii="Times New Roman" w:hAnsi="Times New Roman"/>
          <w:sz w:val="24"/>
          <w:szCs w:val="24"/>
        </w:rPr>
        <w:t xml:space="preserve">On Feb. 2, 2021, in </w:t>
      </w:r>
      <w:r w:rsidRPr="00BC494E">
        <w:rPr>
          <w:rFonts w:ascii="Times New Roman" w:hAnsi="Times New Roman"/>
          <w:sz w:val="24"/>
          <w:szCs w:val="24"/>
          <w:u w:val="single"/>
        </w:rPr>
        <w:t xml:space="preserve">Brandilyn Biggs v. </w:t>
      </w:r>
      <w:r w:rsidRPr="00CB5F0E">
        <w:rPr>
          <w:rFonts w:ascii="Times New Roman" w:hAnsi="Times New Roman"/>
          <w:sz w:val="24"/>
          <w:szCs w:val="24"/>
          <w:u w:val="single"/>
        </w:rPr>
        <w:t>Roberta C. Hall and B Merion II 1303 Wilmington, LLC</w:t>
      </w:r>
      <w:r w:rsidRPr="00BC494E">
        <w:rPr>
          <w:rFonts w:ascii="Times New Roman" w:hAnsi="Times New Roman"/>
          <w:sz w:val="24"/>
          <w:szCs w:val="24"/>
        </w:rPr>
        <w:t>,</w:t>
      </w:r>
      <w:r>
        <w:rPr>
          <w:rFonts w:ascii="Times New Roman" w:hAnsi="Times New Roman"/>
          <w:sz w:val="24"/>
          <w:szCs w:val="24"/>
        </w:rPr>
        <w:t xml:space="preserve"> J</w:t>
      </w:r>
      <w:r w:rsidRPr="00BC494E">
        <w:rPr>
          <w:rFonts w:ascii="Times New Roman" w:hAnsi="Times New Roman"/>
          <w:sz w:val="24"/>
          <w:szCs w:val="24"/>
        </w:rPr>
        <w:t>udge</w:t>
      </w:r>
      <w:r>
        <w:rPr>
          <w:rFonts w:ascii="Times New Roman" w:hAnsi="Times New Roman"/>
          <w:sz w:val="24"/>
          <w:szCs w:val="24"/>
        </w:rPr>
        <w:t xml:space="preserve"> Andrea L. Rocanelli, Superior Court of the State of Delaware, denied the defense motion for summary judgment, holding that the Fireman’s Rule does not apply to the EMT and she may sue parking lot owner for damages (including pain &amp; suffering).  </w:t>
      </w:r>
    </w:p>
    <w:p w14:paraId="1C0BF92A"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BC494E">
        <w:rPr>
          <w:rFonts w:ascii="Times New Roman" w:hAnsi="Times New Roman"/>
          <w:sz w:val="24"/>
          <w:szCs w:val="24"/>
        </w:rPr>
        <w:t>The Firefighter's Rule shall not be extended to EMTs under the circumstances of this case. Biggs was owed the duty of reasonable care. Viewing the facts in the light most favorable to Biggs, there is a genuine issue of material fact regarding whether AB Merion was negligent in its duty to maintain the Parking Lot. Therefore, AB Merion is not entitled to summary judgment.</w:t>
      </w:r>
      <w:r>
        <w:rPr>
          <w:rFonts w:ascii="Times New Roman" w:hAnsi="Times New Roman"/>
          <w:sz w:val="24"/>
          <w:szCs w:val="24"/>
        </w:rPr>
        <w:t xml:space="preserve">” </w:t>
      </w:r>
      <w:hyperlink r:id="rId2375" w:history="1">
        <w:r w:rsidRPr="005D199E">
          <w:rPr>
            <w:rStyle w:val="Hyperlink"/>
            <w:rFonts w:ascii="Times New Roman" w:hAnsi="Times New Roman"/>
            <w:sz w:val="24"/>
            <w:szCs w:val="24"/>
          </w:rPr>
          <w:t>https://law.justia.com/cases/delaware/superior-court/2021/n17c-10-149-alr.html</w:t>
        </w:r>
      </w:hyperlink>
      <w:r>
        <w:rPr>
          <w:rFonts w:ascii="Times New Roman" w:hAnsi="Times New Roman"/>
          <w:sz w:val="24"/>
          <w:szCs w:val="24"/>
        </w:rPr>
        <w:t xml:space="preserve"> </w:t>
      </w:r>
    </w:p>
    <w:p w14:paraId="41E4EA4C" w14:textId="77777777" w:rsidR="00EB2493" w:rsidRDefault="00EB2493" w:rsidP="00EB2493">
      <w:pPr>
        <w:pStyle w:val="NormalWeb"/>
        <w:rPr>
          <w:b/>
          <w:bCs/>
        </w:rPr>
      </w:pPr>
      <w:r w:rsidRPr="003F0CA5">
        <w:rPr>
          <w:b/>
          <w:bCs/>
        </w:rPr>
        <w:t xml:space="preserve">Legal Lesson Learned:  In many states, including Ohio, the Fireman’s Rule normally would not allow fire, EMS or police to sue property </w:t>
      </w:r>
      <w:proofErr w:type="gramStart"/>
      <w:r w:rsidRPr="003F0CA5">
        <w:rPr>
          <w:b/>
          <w:bCs/>
        </w:rPr>
        <w:t>owner</w:t>
      </w:r>
      <w:proofErr w:type="gramEnd"/>
      <w:r w:rsidRPr="003F0CA5">
        <w:rPr>
          <w:b/>
          <w:bCs/>
        </w:rPr>
        <w:t xml:space="preserve"> for injuries; their sole remedy is workers comp. </w:t>
      </w:r>
    </w:p>
    <w:p w14:paraId="05FD2C32" w14:textId="77777777" w:rsidR="00EB2493" w:rsidRDefault="00EB2493" w:rsidP="00EB2493">
      <w:pPr>
        <w:pStyle w:val="NormalWeb"/>
        <w:ind w:left="720"/>
        <w:rPr>
          <w:b/>
          <w:bCs/>
        </w:rPr>
      </w:pPr>
      <w:r w:rsidRPr="003F0CA5">
        <w:t xml:space="preserve">Note: The Ohio Supreme Court in </w:t>
      </w:r>
      <w:proofErr w:type="spellStart"/>
      <w:r w:rsidRPr="003F0CA5">
        <w:rPr>
          <w:i/>
          <w:iCs/>
        </w:rPr>
        <w:t>Torchik</w:t>
      </w:r>
      <w:proofErr w:type="spellEnd"/>
      <w:r w:rsidRPr="003F0CA5">
        <w:rPr>
          <w:i/>
          <w:iCs/>
        </w:rPr>
        <w:t xml:space="preserve"> v. Boyce</w:t>
      </w:r>
      <w:r w:rsidRPr="003F0CA5">
        <w:t>, 121 Ohio St.3d 440, 2009-Ohio-1248 (March 25, 2009)</w:t>
      </w:r>
      <w:r>
        <w:t xml:space="preserve"> </w:t>
      </w:r>
      <w:r w:rsidRPr="003F0CA5">
        <w:t>did allow a deputy sheriff to sue the contractor who built the deck on a house and the steps collapsed as the deputy investigated a burglar alarm.  “Firefighters and police do not assume a special risk of injury from the work of independent contractors when the risk of being injured by the contractor’s negligence applies equally to all. It would be illogical to insulate an independent contractor from a negligence claim simply because the person injured happened to be a police officer or firefighter acting in the scope of his or her official duties.</w:t>
      </w:r>
      <w:r>
        <w:t xml:space="preserve">” </w:t>
      </w:r>
      <w:hyperlink r:id="rId2376" w:history="1">
        <w:r w:rsidRPr="002A3A0C">
          <w:rPr>
            <w:rStyle w:val="Hyperlink"/>
            <w:sz w:val="25"/>
            <w:szCs w:val="25"/>
          </w:rPr>
          <w:t>https://www.supremecourt.ohio.gov/rod/docs/pdf/0/2009/2009-Ohio-1248.pdf</w:t>
        </w:r>
      </w:hyperlink>
      <w:r>
        <w:rPr>
          <w:sz w:val="25"/>
          <w:szCs w:val="25"/>
        </w:rPr>
        <w:t xml:space="preserve">, </w:t>
      </w:r>
    </w:p>
    <w:p w14:paraId="5C9531AF" w14:textId="77777777" w:rsidR="00EB2493" w:rsidRDefault="00EB2493" w:rsidP="00EB2493">
      <w:pPr>
        <w:pStyle w:val="NormalWeb"/>
        <w:ind w:left="720"/>
      </w:pPr>
      <w:r w:rsidRPr="0069017C">
        <w:t xml:space="preserve">Some states have abolished the Fireman’s Rule. </w:t>
      </w:r>
      <w:r>
        <w:t xml:space="preserve">For example, see </w:t>
      </w:r>
      <w:proofErr w:type="spellStart"/>
      <w:r>
        <w:t>Florida:Section</w:t>
      </w:r>
      <w:proofErr w:type="spellEnd"/>
      <w:r>
        <w:t xml:space="preserve"> 112.182 - "Firefighter rule" abolished. </w:t>
      </w:r>
      <w:hyperlink r:id="rId2377" w:history="1">
        <w:r w:rsidRPr="005D199E">
          <w:rPr>
            <w:rStyle w:val="Hyperlink"/>
          </w:rPr>
          <w:t>https://flsenate.gov/Laws/Statutes/2011/112.182</w:t>
        </w:r>
      </w:hyperlink>
      <w:bookmarkEnd w:id="453"/>
      <w:r>
        <w:t xml:space="preserve"> </w:t>
      </w:r>
    </w:p>
    <w:p w14:paraId="629FF744" w14:textId="77777777" w:rsidR="00EB2493" w:rsidRDefault="00EB2493" w:rsidP="00EB2493">
      <w:pPr>
        <w:spacing w:after="0" w:line="240" w:lineRule="auto"/>
        <w:ind w:left="1440"/>
        <w:rPr>
          <w:rFonts w:ascii="Times New Roman" w:eastAsia="Times New Roman" w:hAnsi="Times New Roman"/>
          <w:sz w:val="24"/>
          <w:szCs w:val="24"/>
        </w:rPr>
      </w:pPr>
      <w:r w:rsidRPr="0069017C">
        <w:rPr>
          <w:rFonts w:ascii="Times New Roman" w:eastAsia="Times New Roman" w:hAnsi="Times New Roman"/>
          <w:sz w:val="24"/>
          <w:szCs w:val="24"/>
        </w:rPr>
        <w:t>(1) A firefighter or properly identified law enforcement officer who lawfully enters upon the premises of another in the discharge of his or her duty occupies the status of an invitee. The common-law rule that such a firefighter or law enforcement officer occupies the status of a licensee is hereby abolished.</w:t>
      </w:r>
      <w:r>
        <w:rPr>
          <w:rFonts w:ascii="Times New Roman" w:eastAsia="Times New Roman" w:hAnsi="Times New Roman"/>
          <w:sz w:val="24"/>
          <w:szCs w:val="24"/>
        </w:rPr>
        <w:t xml:space="preserve"> </w:t>
      </w:r>
      <w:r w:rsidRPr="0069017C">
        <w:rPr>
          <w:rFonts w:ascii="Times New Roman" w:eastAsia="Times New Roman" w:hAnsi="Times New Roman"/>
          <w:sz w:val="24"/>
          <w:szCs w:val="24"/>
        </w:rPr>
        <w:t xml:space="preserve">(2) It is not the intent of this section to increase or diminish the duty of care owed by property owners to </w:t>
      </w:r>
      <w:proofErr w:type="gramStart"/>
      <w:r w:rsidRPr="0069017C">
        <w:rPr>
          <w:rFonts w:ascii="Times New Roman" w:eastAsia="Times New Roman" w:hAnsi="Times New Roman"/>
          <w:sz w:val="24"/>
          <w:szCs w:val="24"/>
        </w:rPr>
        <w:t>invitees</w:t>
      </w:r>
      <w:proofErr w:type="gramEnd"/>
      <w:r w:rsidRPr="0069017C">
        <w:rPr>
          <w:rFonts w:ascii="Times New Roman" w:eastAsia="Times New Roman" w:hAnsi="Times New Roman"/>
          <w:sz w:val="24"/>
          <w:szCs w:val="24"/>
        </w:rPr>
        <w:t>. Property owners shall be liable to invitees pursuant to this section only when the property owner negligently fails to maintain the premises in a reasonably safe condition or negligently fails to correct a dangerous condition of which the property owner either knew or should have known by the use of reasonable care or negligently fails to warn the invitee of a dangerous condition about which the property owner had, or should have had, knowledge greater than that of the invitee.</w:t>
      </w:r>
      <w:r>
        <w:rPr>
          <w:rFonts w:ascii="Times New Roman" w:eastAsia="Times New Roman" w:hAnsi="Times New Roman"/>
          <w:sz w:val="24"/>
          <w:szCs w:val="24"/>
        </w:rPr>
        <w:t xml:space="preserve"> </w:t>
      </w:r>
      <w:r w:rsidRPr="0069017C">
        <w:rPr>
          <w:rFonts w:ascii="Times New Roman" w:eastAsia="Times New Roman" w:hAnsi="Times New Roman"/>
          <w:sz w:val="24"/>
          <w:szCs w:val="24"/>
        </w:rPr>
        <w:t>Fla. Stat. § 112.182</w:t>
      </w:r>
    </w:p>
    <w:p w14:paraId="2DDDCCBD" w14:textId="77777777" w:rsidR="00EB2493" w:rsidRDefault="00EB2493" w:rsidP="00EB2493">
      <w:pPr>
        <w:spacing w:before="100" w:beforeAutospacing="1" w:after="100" w:afterAutospacing="1" w:line="240" w:lineRule="auto"/>
        <w:ind w:left="720"/>
      </w:pPr>
      <w:r>
        <w:rPr>
          <w:rFonts w:ascii="Times New Roman" w:eastAsia="Times New Roman" w:hAnsi="Times New Roman"/>
          <w:sz w:val="24"/>
          <w:szCs w:val="24"/>
        </w:rPr>
        <w:t xml:space="preserve">Some states, like New York, have modified the Fireman’s Rule to allow lawsuits for violations of building and fire codes.  See summary of law enforcement cases:  </w:t>
      </w:r>
      <w:hyperlink r:id="rId2378" w:history="1">
        <w:r w:rsidRPr="002A3A0C">
          <w:rPr>
            <w:rStyle w:val="Hyperlink"/>
            <w:rFonts w:ascii="Times New Roman" w:eastAsia="Times New Roman" w:hAnsi="Times New Roman"/>
            <w:sz w:val="24"/>
            <w:szCs w:val="24"/>
          </w:rPr>
          <w:t>https://www.aele.org/law/Digests/civil168b.html</w:t>
        </w:r>
      </w:hyperlink>
      <w:r>
        <w:rPr>
          <w:rFonts w:ascii="Times New Roman" w:eastAsia="Times New Roman" w:hAnsi="Times New Roman"/>
          <w:sz w:val="24"/>
          <w:szCs w:val="24"/>
        </w:rPr>
        <w:t xml:space="preserve"> </w:t>
      </w:r>
    </w:p>
    <w:p w14:paraId="0EE4F0FF" w14:textId="77777777" w:rsidR="00EB2493" w:rsidRDefault="00EB2493" w:rsidP="002B1283">
      <w:pPr>
        <w:rPr>
          <w:rFonts w:ascii="Arial Black" w:hAnsi="Arial Black"/>
          <w:b/>
          <w:bCs/>
          <w:sz w:val="28"/>
          <w:szCs w:val="28"/>
        </w:rPr>
      </w:pPr>
    </w:p>
    <w:p w14:paraId="4E7F4C35" w14:textId="77777777" w:rsidR="00EB2493" w:rsidRDefault="00EB2493" w:rsidP="002B1283">
      <w:pPr>
        <w:rPr>
          <w:rFonts w:ascii="Arial Black" w:hAnsi="Arial Black"/>
          <w:b/>
          <w:bCs/>
          <w:sz w:val="28"/>
          <w:szCs w:val="28"/>
        </w:rPr>
      </w:pPr>
    </w:p>
    <w:p w14:paraId="269A948E" w14:textId="49C610CC" w:rsidR="00AD5461" w:rsidRDefault="00AD5461" w:rsidP="002B1283">
      <w:pPr>
        <w:rPr>
          <w:rFonts w:ascii="Arial Black" w:hAnsi="Arial Black"/>
          <w:b/>
          <w:bCs/>
          <w:sz w:val="28"/>
          <w:szCs w:val="28"/>
        </w:rPr>
      </w:pPr>
      <w:r>
        <w:rPr>
          <w:rFonts w:ascii="Arial Black" w:hAnsi="Arial Black"/>
          <w:b/>
          <w:bCs/>
          <w:sz w:val="28"/>
          <w:szCs w:val="28"/>
        </w:rPr>
        <w:t>13-79</w:t>
      </w:r>
    </w:p>
    <w:p w14:paraId="73E9E960" w14:textId="77777777" w:rsidR="00AD5461" w:rsidRPr="00AA5E13" w:rsidRDefault="00AD5461" w:rsidP="00AD5461">
      <w:pPr>
        <w:rPr>
          <w:rFonts w:ascii="Arial Black" w:hAnsi="Arial Black"/>
          <w:b/>
          <w:bCs/>
          <w:sz w:val="28"/>
          <w:szCs w:val="28"/>
        </w:rPr>
      </w:pPr>
      <w:r>
        <w:rPr>
          <w:rFonts w:ascii="Arial Black" w:hAnsi="Arial Black"/>
          <w:b/>
          <w:bCs/>
          <w:sz w:val="28"/>
          <w:szCs w:val="28"/>
        </w:rPr>
        <w:t xml:space="preserve">CO:  EMS USED KETAMINE - 500 MILLIGRAMS – POLICE PRISONER WHO DIED – LAWSUIT PROCEED – GRAND JURY </w:t>
      </w:r>
    </w:p>
    <w:p w14:paraId="6FAB0EAB" w14:textId="77777777" w:rsidR="00AD5461" w:rsidRDefault="00AD5461" w:rsidP="00AD5461">
      <w:pPr>
        <w:rPr>
          <w:rFonts w:ascii="Times New Roman" w:hAnsi="Times New Roman"/>
          <w:sz w:val="24"/>
          <w:szCs w:val="24"/>
        </w:rPr>
      </w:pPr>
      <w:r w:rsidRPr="00416A48">
        <w:rPr>
          <w:rFonts w:ascii="Times New Roman" w:hAnsi="Times New Roman"/>
          <w:sz w:val="24"/>
          <w:szCs w:val="24"/>
        </w:rPr>
        <w:t xml:space="preserve">On Jan. 29, 2021, </w:t>
      </w:r>
      <w:r>
        <w:rPr>
          <w:rFonts w:ascii="Times New Roman" w:hAnsi="Times New Roman"/>
          <w:sz w:val="24"/>
          <w:szCs w:val="24"/>
        </w:rPr>
        <w:t xml:space="preserve">in </w:t>
      </w:r>
      <w:r w:rsidRPr="00416A48">
        <w:rPr>
          <w:rFonts w:ascii="Times New Roman" w:hAnsi="Times New Roman"/>
          <w:sz w:val="24"/>
          <w:szCs w:val="24"/>
          <w:u w:val="single"/>
        </w:rPr>
        <w:t>Estate of Elijah Javon McClain v. City of Aurora, Colorado</w:t>
      </w:r>
      <w:r>
        <w:rPr>
          <w:rFonts w:ascii="Times New Roman" w:hAnsi="Times New Roman"/>
          <w:sz w:val="24"/>
          <w:szCs w:val="24"/>
        </w:rPr>
        <w:t xml:space="preserve">, U.S. Magistrate Judge N. Reid </w:t>
      </w:r>
      <w:proofErr w:type="spellStart"/>
      <w:r>
        <w:rPr>
          <w:rFonts w:ascii="Times New Roman" w:hAnsi="Times New Roman"/>
          <w:sz w:val="24"/>
          <w:szCs w:val="24"/>
        </w:rPr>
        <w:t>Neureiter</w:t>
      </w:r>
      <w:proofErr w:type="spellEnd"/>
      <w:r>
        <w:rPr>
          <w:rFonts w:ascii="Times New Roman" w:hAnsi="Times New Roman"/>
          <w:sz w:val="24"/>
          <w:szCs w:val="24"/>
        </w:rPr>
        <w:t xml:space="preserve"> denied the defense motion to delay discovery in this civil lawsuit, even though the State Attorney General has publicly announced that he will be presenting evidence to a grand jury regarding possible criminal misconduct of police and EMS involving the death of 23-year old Elijah McClain during an arrest walking home from convenience store, and put into a choke hold.  The Colorado Department of Public Health and Environment has also publicly confirmed they are examining the conduct of the EMS. </w:t>
      </w:r>
    </w:p>
    <w:p w14:paraId="4BD4DF98" w14:textId="19547758" w:rsidR="00AD5461" w:rsidRPr="000410C9" w:rsidRDefault="00AD5461" w:rsidP="00AD5461">
      <w:pPr>
        <w:ind w:left="720"/>
        <w:rPr>
          <w:rFonts w:ascii="Times New Roman" w:hAnsi="Times New Roman"/>
          <w:sz w:val="24"/>
          <w:szCs w:val="24"/>
        </w:rPr>
      </w:pPr>
      <w:r>
        <w:rPr>
          <w:rFonts w:ascii="Times New Roman" w:hAnsi="Times New Roman"/>
          <w:sz w:val="24"/>
          <w:szCs w:val="24"/>
        </w:rPr>
        <w:t>“</w:t>
      </w:r>
      <w:r w:rsidRPr="000410C9">
        <w:rPr>
          <w:rFonts w:ascii="Times New Roman" w:hAnsi="Times New Roman"/>
          <w:sz w:val="24"/>
          <w:szCs w:val="24"/>
        </w:rPr>
        <w:t xml:space="preserve">It is not in the interest of the public or in the interest of justice to </w:t>
      </w:r>
      <w:r>
        <w:rPr>
          <w:rFonts w:ascii="Times New Roman" w:hAnsi="Times New Roman"/>
          <w:sz w:val="24"/>
          <w:szCs w:val="24"/>
        </w:rPr>
        <w:t>‘</w:t>
      </w:r>
      <w:r w:rsidRPr="000410C9">
        <w:rPr>
          <w:rFonts w:ascii="Times New Roman" w:hAnsi="Times New Roman"/>
          <w:sz w:val="24"/>
          <w:szCs w:val="24"/>
        </w:rPr>
        <w:t>put on the back burner</w:t>
      </w:r>
      <w:r>
        <w:rPr>
          <w:rFonts w:ascii="Times New Roman" w:hAnsi="Times New Roman"/>
          <w:sz w:val="24"/>
          <w:szCs w:val="24"/>
        </w:rPr>
        <w:t>’</w:t>
      </w:r>
      <w:r w:rsidRPr="000410C9">
        <w:rPr>
          <w:rFonts w:ascii="Times New Roman" w:hAnsi="Times New Roman"/>
          <w:sz w:val="24"/>
          <w:szCs w:val="24"/>
        </w:rPr>
        <w:t xml:space="preserve"> discovery in a case that raises significant questions about the City of Aurora's policing and paramedic practices. It may be that there is nothing constitutionally wrong with the conduct that eventually led to Mr. McClain's death. If so, then the public will be better served by knowing that hard reality, as fairly determined by the judicial process, sooner rather than later. In short, a stay of discovery is not appropriate in this case.</w:t>
      </w:r>
      <w:r>
        <w:rPr>
          <w:rFonts w:ascii="Times New Roman" w:hAnsi="Times New Roman"/>
          <w:sz w:val="24"/>
          <w:szCs w:val="24"/>
        </w:rPr>
        <w:t xml:space="preserve">” </w:t>
      </w:r>
      <w:hyperlink r:id="rId2379" w:history="1">
        <w:r w:rsidRPr="002D36F9">
          <w:rPr>
            <w:rStyle w:val="Hyperlink"/>
            <w:rFonts w:ascii="Times New Roman" w:hAnsi="Times New Roman"/>
            <w:sz w:val="24"/>
            <w:szCs w:val="24"/>
          </w:rPr>
          <w:t>https://public.fastcase.com/Wl%2B2t%2BeVuI35%2FN70vAMFZhZJi56QhK5aeAu9BSRcXQy3N2tA%2FHS1iSBZTTlZLCgr</w:t>
        </w:r>
      </w:hyperlink>
      <w:r>
        <w:rPr>
          <w:rFonts w:ascii="Times New Roman" w:hAnsi="Times New Roman"/>
          <w:sz w:val="24"/>
          <w:szCs w:val="24"/>
        </w:rPr>
        <w:t xml:space="preserve"> </w:t>
      </w:r>
    </w:p>
    <w:p w14:paraId="5033E1DA" w14:textId="77777777" w:rsidR="00AD5461" w:rsidRPr="000314A1" w:rsidRDefault="00AD5461" w:rsidP="00AD5461">
      <w:pPr>
        <w:pStyle w:val="Heading1"/>
        <w:tabs>
          <w:tab w:val="left" w:pos="2810"/>
        </w:tabs>
        <w:rPr>
          <w:sz w:val="24"/>
          <w:szCs w:val="24"/>
        </w:rPr>
      </w:pPr>
      <w:r w:rsidRPr="000314A1">
        <w:rPr>
          <w:sz w:val="24"/>
          <w:szCs w:val="24"/>
        </w:rPr>
        <w:t>Legal Lesson Learned</w:t>
      </w:r>
      <w:r>
        <w:rPr>
          <w:sz w:val="24"/>
          <w:szCs w:val="24"/>
        </w:rPr>
        <w:t>: Pre-trial discovery in the civil suit may now process, including depositions of police officers and EMS; these emergency responders may decide to refuse to testify under 5</w:t>
      </w:r>
      <w:r w:rsidRPr="000314A1">
        <w:rPr>
          <w:sz w:val="24"/>
          <w:szCs w:val="24"/>
          <w:vertAlign w:val="superscript"/>
        </w:rPr>
        <w:t>th</w:t>
      </w:r>
      <w:r>
        <w:rPr>
          <w:sz w:val="24"/>
          <w:szCs w:val="24"/>
        </w:rPr>
        <w:t xml:space="preserve"> Amendment protection against self-incrimination until the criminal investigation is resolved. </w:t>
      </w:r>
    </w:p>
    <w:p w14:paraId="716C53A4" w14:textId="77777777" w:rsidR="00AD5461" w:rsidRPr="000410C9" w:rsidRDefault="00AD5461" w:rsidP="00AD5461">
      <w:pPr>
        <w:pStyle w:val="Heading1"/>
        <w:ind w:left="720"/>
        <w:rPr>
          <w:b w:val="0"/>
          <w:bCs w:val="0"/>
          <w:sz w:val="24"/>
          <w:szCs w:val="24"/>
        </w:rPr>
      </w:pPr>
      <w:r>
        <w:rPr>
          <w:b w:val="0"/>
          <w:bCs w:val="0"/>
          <w:sz w:val="24"/>
          <w:szCs w:val="24"/>
        </w:rPr>
        <w:t xml:space="preserve">Note: </w:t>
      </w:r>
      <w:r w:rsidRPr="000410C9">
        <w:rPr>
          <w:b w:val="0"/>
          <w:bCs w:val="0"/>
          <w:sz w:val="24"/>
          <w:szCs w:val="24"/>
        </w:rPr>
        <w:t xml:space="preserve">Read this </w:t>
      </w:r>
      <w:r>
        <w:rPr>
          <w:b w:val="0"/>
          <w:bCs w:val="0"/>
          <w:sz w:val="24"/>
          <w:szCs w:val="24"/>
        </w:rPr>
        <w:t>entire A</w:t>
      </w:r>
      <w:r w:rsidRPr="000410C9">
        <w:rPr>
          <w:b w:val="0"/>
          <w:bCs w:val="0"/>
          <w:sz w:val="24"/>
          <w:szCs w:val="24"/>
        </w:rPr>
        <w:t xml:space="preserve">ug. 11, </w:t>
      </w:r>
      <w:proofErr w:type="gramStart"/>
      <w:r w:rsidRPr="000410C9">
        <w:rPr>
          <w:b w:val="0"/>
          <w:bCs w:val="0"/>
          <w:sz w:val="24"/>
          <w:szCs w:val="24"/>
        </w:rPr>
        <w:t>2021</w:t>
      </w:r>
      <w:proofErr w:type="gramEnd"/>
      <w:r w:rsidRPr="000410C9">
        <w:rPr>
          <w:b w:val="0"/>
          <w:bCs w:val="0"/>
          <w:sz w:val="24"/>
          <w:szCs w:val="24"/>
        </w:rPr>
        <w:t xml:space="preserve"> article: </w:t>
      </w:r>
      <w:r>
        <w:rPr>
          <w:b w:val="0"/>
          <w:bCs w:val="0"/>
          <w:sz w:val="24"/>
          <w:szCs w:val="24"/>
        </w:rPr>
        <w:t>“</w:t>
      </w:r>
      <w:r w:rsidRPr="000410C9">
        <w:rPr>
          <w:b w:val="0"/>
          <w:bCs w:val="0"/>
          <w:sz w:val="24"/>
          <w:szCs w:val="24"/>
        </w:rPr>
        <w:t>What We Know About the Killing of Elijah McClain</w:t>
      </w:r>
      <w:r>
        <w:rPr>
          <w:b w:val="0"/>
          <w:bCs w:val="0"/>
          <w:sz w:val="24"/>
          <w:szCs w:val="24"/>
        </w:rPr>
        <w:t xml:space="preserve">.” </w:t>
      </w:r>
      <w:hyperlink r:id="rId2380" w:history="1">
        <w:r w:rsidRPr="002F4AC3">
          <w:rPr>
            <w:rStyle w:val="Hyperlink"/>
            <w:b w:val="0"/>
            <w:bCs w:val="0"/>
            <w:sz w:val="24"/>
            <w:szCs w:val="24"/>
          </w:rPr>
          <w:t>https://www.thecut.com/2020/08/the-killing-of-elijah-mcclain-everything-we-know.html</w:t>
        </w:r>
      </w:hyperlink>
      <w:r>
        <w:rPr>
          <w:b w:val="0"/>
          <w:bCs w:val="0"/>
          <w:sz w:val="24"/>
          <w:szCs w:val="24"/>
        </w:rPr>
        <w:t xml:space="preserve"> </w:t>
      </w:r>
    </w:p>
    <w:p w14:paraId="578A68F8" w14:textId="77777777" w:rsidR="00AD5461" w:rsidRDefault="00AD5461" w:rsidP="002B1283">
      <w:pPr>
        <w:rPr>
          <w:rFonts w:ascii="Arial Black" w:hAnsi="Arial Black"/>
          <w:b/>
          <w:bCs/>
          <w:sz w:val="28"/>
          <w:szCs w:val="28"/>
        </w:rPr>
      </w:pPr>
    </w:p>
    <w:p w14:paraId="61142EE4" w14:textId="77777777" w:rsidR="00AD5461" w:rsidRDefault="00AD5461" w:rsidP="002B1283">
      <w:pPr>
        <w:rPr>
          <w:rFonts w:ascii="Arial Black" w:hAnsi="Arial Black"/>
          <w:b/>
          <w:bCs/>
          <w:sz w:val="28"/>
          <w:szCs w:val="28"/>
        </w:rPr>
      </w:pPr>
    </w:p>
    <w:p w14:paraId="6A206B8B" w14:textId="77777777" w:rsidR="00AD5461" w:rsidRDefault="00AD5461" w:rsidP="002B1283">
      <w:pPr>
        <w:rPr>
          <w:rFonts w:ascii="Arial Black" w:hAnsi="Arial Black"/>
          <w:b/>
          <w:bCs/>
          <w:sz w:val="28"/>
          <w:szCs w:val="28"/>
        </w:rPr>
      </w:pPr>
    </w:p>
    <w:p w14:paraId="230D1CD9" w14:textId="5E57D201" w:rsidR="00F37F48" w:rsidRDefault="00F37F48" w:rsidP="002B1283">
      <w:pPr>
        <w:rPr>
          <w:rFonts w:ascii="Arial Black" w:hAnsi="Arial Black"/>
          <w:b/>
          <w:bCs/>
          <w:sz w:val="28"/>
          <w:szCs w:val="28"/>
        </w:rPr>
      </w:pPr>
      <w:r>
        <w:rPr>
          <w:rFonts w:ascii="Arial Black" w:hAnsi="Arial Black"/>
          <w:b/>
          <w:bCs/>
          <w:sz w:val="28"/>
          <w:szCs w:val="28"/>
        </w:rPr>
        <w:t>13-78</w:t>
      </w:r>
    </w:p>
    <w:p w14:paraId="311238AD" w14:textId="77777777" w:rsidR="00F37F48" w:rsidRDefault="00F37F48" w:rsidP="00F37F48">
      <w:pPr>
        <w:rPr>
          <w:rFonts w:ascii="Arial Black" w:hAnsi="Arial Black" w:cstheme="minorBidi"/>
          <w:sz w:val="28"/>
          <w:szCs w:val="28"/>
        </w:rPr>
      </w:pPr>
      <w:r>
        <w:rPr>
          <w:rFonts w:ascii="Arial Black" w:hAnsi="Arial Black"/>
          <w:sz w:val="28"/>
          <w:szCs w:val="28"/>
        </w:rPr>
        <w:t>MA: EMS RUN REPORT DOCUMENTED VICTIM’S “EXCITED UTTERANCES” – ADMISSIBLE IN HUSBAND’S ASSAULT TRIAL</w:t>
      </w:r>
    </w:p>
    <w:p w14:paraId="2315244F"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31, 2020, in </w:t>
      </w:r>
      <w:r>
        <w:rPr>
          <w:rFonts w:ascii="Times New Roman" w:eastAsia="Times New Roman" w:hAnsi="Times New Roman"/>
          <w:sz w:val="24"/>
          <w:szCs w:val="24"/>
          <w:u w:val="single"/>
        </w:rPr>
        <w:t>Commonwealth v. Chayanne Toledo</w:t>
      </w:r>
      <w:r>
        <w:rPr>
          <w:rFonts w:ascii="Times New Roman" w:eastAsia="Times New Roman" w:hAnsi="Times New Roman"/>
          <w:sz w:val="24"/>
          <w:szCs w:val="24"/>
        </w:rPr>
        <w:t xml:space="preserve">, the Commonwealth of Massachusetts Appeals Court held (3 to 0) that trial judge properly allowed EMS patient care report, quoting with wife’s comments at scene, allowed in evidence as record of her “excited utterances” even though she refused to testify at trial relying on the husband-wife privilege. </w:t>
      </w:r>
    </w:p>
    <w:p w14:paraId="7D1EADE8" w14:textId="77777777" w:rsidR="00F37F48"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“First, in light of the evidence that Sally was crying, agitated, and in pain when she spoke with the EMTs, the judge’s ruling that her statements during the examination qualified as excited utterances was not an abuse of discretion.” </w:t>
      </w:r>
      <w:hyperlink r:id="rId2381" w:history="1">
        <w:r>
          <w:rPr>
            <w:rStyle w:val="Hyperlink"/>
          </w:rPr>
          <w:t>https://public.fastcase.com/Wl%2B2t%2BeVuI35%2FN70vAMFZswpqbyXpWGBMOIhfQ%2Fu%2FM0PzW3B3UkJbasWbumeQ3Ct</w:t>
        </w:r>
      </w:hyperlink>
      <w:r>
        <w:rPr>
          <w:rFonts w:ascii="Times New Roman" w:eastAsia="Times New Roman" w:hAnsi="Times New Roman"/>
          <w:sz w:val="24"/>
          <w:szCs w:val="24"/>
        </w:rPr>
        <w:t xml:space="preserve"> </w:t>
      </w:r>
    </w:p>
    <w:p w14:paraId="5EE839E8"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Best practice to include in EMS Patient Care Report the actual words of the victim. </w:t>
      </w:r>
    </w:p>
    <w:p w14:paraId="383DAC92" w14:textId="77777777" w:rsidR="00F37F48" w:rsidRDefault="00F37F48" w:rsidP="002B1283">
      <w:pPr>
        <w:rPr>
          <w:rFonts w:ascii="Arial Black" w:hAnsi="Arial Black"/>
          <w:b/>
          <w:bCs/>
          <w:sz w:val="28"/>
          <w:szCs w:val="28"/>
        </w:rPr>
      </w:pPr>
    </w:p>
    <w:p w14:paraId="162EB13D" w14:textId="0A8708BC" w:rsidR="00F37F48" w:rsidRDefault="00F37F48" w:rsidP="002B1283">
      <w:pPr>
        <w:rPr>
          <w:rFonts w:ascii="Arial Black" w:hAnsi="Arial Black"/>
          <w:b/>
          <w:bCs/>
          <w:sz w:val="28"/>
          <w:szCs w:val="28"/>
        </w:rPr>
      </w:pPr>
      <w:r>
        <w:rPr>
          <w:rFonts w:ascii="Arial Black" w:hAnsi="Arial Black"/>
          <w:b/>
          <w:bCs/>
          <w:sz w:val="28"/>
          <w:szCs w:val="28"/>
        </w:rPr>
        <w:t>13-77</w:t>
      </w:r>
    </w:p>
    <w:p w14:paraId="701F0CFF" w14:textId="77777777" w:rsidR="00F37F48" w:rsidRDefault="00F37F48" w:rsidP="00F37F48">
      <w:pPr>
        <w:rPr>
          <w:rFonts w:ascii="Arial Black" w:eastAsia="Times New Roman" w:hAnsi="Arial Black"/>
          <w:b/>
          <w:bCs/>
          <w:sz w:val="28"/>
          <w:szCs w:val="28"/>
        </w:rPr>
      </w:pPr>
      <w:r>
        <w:rPr>
          <w:rFonts w:ascii="Arial Black" w:eastAsia="Times New Roman" w:hAnsi="Arial Black"/>
          <w:b/>
          <w:bCs/>
          <w:sz w:val="28"/>
          <w:szCs w:val="28"/>
        </w:rPr>
        <w:t>IL: ASTHMA PATIENT INTUBATED, BUT IN ESOPHAGUS –EMS FOLLOWED TRAINING ASSESSING PATIENT – CITY IMMUNITY</w:t>
      </w:r>
    </w:p>
    <w:p w14:paraId="7242892C"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28, 2020, in </w:t>
      </w:r>
      <w:r>
        <w:rPr>
          <w:rFonts w:ascii="Times New Roman" w:eastAsia="Times New Roman" w:hAnsi="Times New Roman"/>
          <w:sz w:val="24"/>
          <w:szCs w:val="24"/>
          <w:u w:val="single"/>
        </w:rPr>
        <w:t>Sally Gray, as Administrator of the Estate of Amanda Gary v. The City of Calumet City</w:t>
      </w:r>
      <w:r>
        <w:rPr>
          <w:rFonts w:ascii="Times New Roman" w:eastAsia="Times New Roman" w:hAnsi="Times New Roman"/>
          <w:b/>
          <w:bCs/>
          <w:sz w:val="24"/>
          <w:szCs w:val="24"/>
        </w:rPr>
        <w:t xml:space="preserve">, </w:t>
      </w:r>
      <w:r>
        <w:rPr>
          <w:rFonts w:ascii="Times New Roman" w:eastAsia="Times New Roman" w:hAnsi="Times New Roman"/>
          <w:sz w:val="24"/>
          <w:szCs w:val="24"/>
        </w:rPr>
        <w:t>the</w:t>
      </w:r>
      <w:r>
        <w:rPr>
          <w:rFonts w:ascii="Times New Roman" w:eastAsia="Times New Roman" w:hAnsi="Times New Roman"/>
          <w:b/>
          <w:bCs/>
          <w:sz w:val="24"/>
          <w:szCs w:val="24"/>
        </w:rPr>
        <w:t xml:space="preserve"> </w:t>
      </w:r>
      <w:r>
        <w:rPr>
          <w:rFonts w:ascii="Times New Roman" w:eastAsia="Times New Roman" w:hAnsi="Times New Roman"/>
          <w:sz w:val="24"/>
          <w:szCs w:val="24"/>
        </w:rPr>
        <w:t>Appellate Court of Illinois, First District (First Division), 2020 IL App (1</w:t>
      </w:r>
      <w:r>
        <w:rPr>
          <w:rFonts w:ascii="Times New Roman" w:eastAsia="Times New Roman" w:hAnsi="Times New Roman"/>
          <w:sz w:val="24"/>
          <w:szCs w:val="24"/>
          <w:vertAlign w:val="superscript"/>
        </w:rPr>
        <w:t>st</w:t>
      </w:r>
      <w:r>
        <w:rPr>
          <w:rFonts w:ascii="Times New Roman" w:eastAsia="Times New Roman" w:hAnsi="Times New Roman"/>
          <w:sz w:val="24"/>
          <w:szCs w:val="24"/>
        </w:rPr>
        <w:t xml:space="preserve">) 191812, held (4 to 0, unreported decision) that the trial court properly granted summary judgment to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plaintiff argued that in assessing intubation, medics did not document O2 SAT from pulse ox, but FD training officer confirmed better methods of assessing placement of ET tube.  </w:t>
      </w:r>
    </w:p>
    <w:p w14:paraId="7D95449B" w14:textId="77777777" w:rsidR="00F37F48"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“[D]</w:t>
      </w:r>
      <w:proofErr w:type="spellStart"/>
      <w:r>
        <w:rPr>
          <w:rFonts w:ascii="Times New Roman" w:eastAsia="Times New Roman" w:hAnsi="Times New Roman"/>
          <w:sz w:val="24"/>
          <w:szCs w:val="24"/>
        </w:rPr>
        <w:t>eputy</w:t>
      </w:r>
      <w:proofErr w:type="spellEnd"/>
      <w:r>
        <w:rPr>
          <w:rFonts w:ascii="Times New Roman" w:eastAsia="Times New Roman" w:hAnsi="Times New Roman"/>
          <w:sz w:val="24"/>
          <w:szCs w:val="24"/>
        </w:rPr>
        <w:t xml:space="preserve"> fire chief Peter Bendinelli, who </w:t>
      </w:r>
      <w:proofErr w:type="gramStart"/>
      <w:r>
        <w:rPr>
          <w:rFonts w:ascii="Times New Roman" w:eastAsia="Times New Roman" w:hAnsi="Times New Roman"/>
          <w:sz w:val="24"/>
          <w:szCs w:val="24"/>
        </w:rPr>
        <w:t>was in charge of</w:t>
      </w:r>
      <w:proofErr w:type="gramEnd"/>
      <w:r>
        <w:rPr>
          <w:rFonts w:ascii="Times New Roman" w:eastAsia="Times New Roman" w:hAnsi="Times New Roman"/>
          <w:sz w:val="24"/>
          <w:szCs w:val="24"/>
        </w:rPr>
        <w:t xml:space="preserve"> the fire department’s emergency medical services training from 2009 to 2017, opined that pulse oximeter readings were not important in assessing an intubation. He gave two reasons: First, the </w:t>
      </w:r>
      <w:proofErr w:type="gramStart"/>
      <w:r>
        <w:rPr>
          <w:rFonts w:ascii="Times New Roman" w:eastAsia="Times New Roman" w:hAnsi="Times New Roman"/>
          <w:sz w:val="24"/>
          <w:szCs w:val="24"/>
        </w:rPr>
        <w:t>readings</w:t>
      </w:r>
      <w:proofErr w:type="gramEnd"/>
      <w:r>
        <w:rPr>
          <w:rFonts w:ascii="Times New Roman" w:eastAsia="Times New Roman" w:hAnsi="Times New Roman"/>
          <w:sz w:val="24"/>
          <w:szCs w:val="24"/>
        </w:rPr>
        <w:t xml:space="preserve"> might be inaccurate. Second, even if accurate, a drop in blood oxygen levels might be caused by patient heart failure rather than an error in intubation. Thus, rather than relying on a pulse oximeter, Bendinelli would consider lung and abdominal sounds, chest rise and fall, CO</w:t>
      </w:r>
      <w:r>
        <w:rPr>
          <w:rFonts w:ascii="Times New Roman" w:eastAsia="Times New Roman" w:hAnsi="Times New Roman"/>
          <w:sz w:val="24"/>
          <w:szCs w:val="24"/>
          <w:vertAlign w:val="subscript"/>
        </w:rPr>
        <w:t>2</w:t>
      </w:r>
      <w:r>
        <w:rPr>
          <w:rFonts w:ascii="Times New Roman" w:eastAsia="Times New Roman" w:hAnsi="Times New Roman"/>
          <w:sz w:val="24"/>
          <w:szCs w:val="24"/>
        </w:rPr>
        <w:t xml:space="preserve"> monitoring, the presence of condensation on the breathing tube, and the color of the patient’s skin. Bendinelli trained ambulance crews in accordance with this protocol.</w:t>
      </w:r>
    </w:p>
    <w:p w14:paraId="6275F69A" w14:textId="77777777" w:rsidR="00F37F48" w:rsidRDefault="00F37F48" w:rsidP="00F37F48">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 xml:space="preserve">To defeat summary judgment, plaintiff would have had to present evidence that the </w:t>
      </w:r>
      <w:proofErr w:type="gramStart"/>
      <w:r>
        <w:rPr>
          <w:rFonts w:ascii="Times New Roman" w:hAnsi="Times New Roman"/>
          <w:sz w:val="24"/>
          <w:szCs w:val="24"/>
        </w:rPr>
        <w:t>City</w:t>
      </w:r>
      <w:proofErr w:type="gramEnd"/>
      <w:r>
        <w:rPr>
          <w:rFonts w:ascii="Times New Roman" w:hAnsi="Times New Roman"/>
          <w:sz w:val="24"/>
          <w:szCs w:val="24"/>
        </w:rPr>
        <w:t xml:space="preserve"> either knew </w:t>
      </w:r>
      <w:r>
        <w:rPr>
          <w:rFonts w:ascii="Times New Roman" w:eastAsia="Times New Roman" w:hAnsi="Times New Roman"/>
          <w:sz w:val="24"/>
          <w:szCs w:val="24"/>
        </w:rPr>
        <w:t xml:space="preserve">[Deputy fire chief] </w:t>
      </w:r>
      <w:r>
        <w:rPr>
          <w:rFonts w:ascii="Times New Roman" w:hAnsi="Times New Roman"/>
          <w:sz w:val="24"/>
          <w:szCs w:val="24"/>
        </w:rPr>
        <w:t xml:space="preserve">Bendinelli’s training imperiled patients or that the </w:t>
      </w:r>
      <w:proofErr w:type="gramStart"/>
      <w:r>
        <w:rPr>
          <w:rFonts w:ascii="Times New Roman" w:hAnsi="Times New Roman"/>
          <w:sz w:val="24"/>
          <w:szCs w:val="24"/>
        </w:rPr>
        <w:t>City</w:t>
      </w:r>
      <w:proofErr w:type="gramEnd"/>
      <w:r>
        <w:rPr>
          <w:rFonts w:ascii="Times New Roman" w:hAnsi="Times New Roman"/>
          <w:sz w:val="24"/>
          <w:szCs w:val="24"/>
        </w:rPr>
        <w:t xml:space="preserve"> failed to recognize this danger through recklessness. </w:t>
      </w:r>
      <w:r>
        <w:rPr>
          <w:rFonts w:ascii="Times New Roman" w:hAnsi="Times New Roman"/>
          <w:i/>
          <w:iCs/>
          <w:sz w:val="24"/>
          <w:szCs w:val="24"/>
        </w:rPr>
        <w:t>Affatato v</w:t>
      </w:r>
      <w:r>
        <w:rPr>
          <w:rFonts w:ascii="Times New Roman" w:hAnsi="Times New Roman"/>
          <w:sz w:val="24"/>
          <w:szCs w:val="24"/>
        </w:rPr>
        <w:t xml:space="preserve">. </w:t>
      </w:r>
      <w:r>
        <w:rPr>
          <w:rFonts w:ascii="Times New Roman" w:hAnsi="Times New Roman"/>
          <w:i/>
          <w:iCs/>
          <w:sz w:val="24"/>
          <w:szCs w:val="24"/>
        </w:rPr>
        <w:t>Jewel Cos</w:t>
      </w:r>
      <w:r>
        <w:rPr>
          <w:rFonts w:ascii="Times New Roman" w:hAnsi="Times New Roman"/>
          <w:sz w:val="24"/>
          <w:szCs w:val="24"/>
        </w:rPr>
        <w:t xml:space="preserve">., 259 Ill. App. 3d 787, 800 (1994). Plaintiff presented no such evidence. On the contrary, all three of Amanda’s treating physicians corroborated Bendinelli’s statement that pulse oximeter readings can be inaccurate. </w:t>
      </w:r>
      <w:proofErr w:type="gramStart"/>
      <w:r>
        <w:rPr>
          <w:rFonts w:ascii="Times New Roman" w:hAnsi="Times New Roman"/>
          <w:sz w:val="24"/>
          <w:szCs w:val="24"/>
        </w:rPr>
        <w:t>In light of</w:t>
      </w:r>
      <w:proofErr w:type="gramEnd"/>
      <w:r>
        <w:rPr>
          <w:rFonts w:ascii="Times New Roman" w:hAnsi="Times New Roman"/>
          <w:sz w:val="24"/>
          <w:szCs w:val="24"/>
        </w:rPr>
        <w:t xml:space="preserve"> their testimony, plaintiff has not presented an issue of fact as to whether Bendinelli’s training reflects an utter indifference to patients’ safety. </w:t>
      </w:r>
      <w:hyperlink r:id="rId2382" w:history="1">
        <w:r>
          <w:rPr>
            <w:rStyle w:val="Hyperlink"/>
          </w:rPr>
          <w:t>https://public.fastcase.com/Wl%2B2t%2BeVuI35%2FN70vAMFZhgQRMSlTmc31zPzZvHhe6G3UFiDUpDiHM1BEG64P0h7</w:t>
        </w:r>
      </w:hyperlink>
      <w:r>
        <w:rPr>
          <w:rFonts w:ascii="Times New Roman" w:hAnsi="Times New Roman"/>
          <w:sz w:val="24"/>
          <w:szCs w:val="24"/>
        </w:rPr>
        <w:t xml:space="preserve"> </w:t>
      </w:r>
    </w:p>
    <w:p w14:paraId="4D7FE6E5" w14:textId="77777777" w:rsidR="00F37F48" w:rsidRDefault="00F37F48" w:rsidP="00F37F48">
      <w:pPr>
        <w:tabs>
          <w:tab w:val="left" w:pos="3060"/>
        </w:tabs>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Follow EMS protocols when confirming intubation was properly placed, and document your confirmation. </w:t>
      </w:r>
    </w:p>
    <w:p w14:paraId="23578892" w14:textId="77777777" w:rsidR="00F37F48" w:rsidRDefault="00F37F48" w:rsidP="002B1283">
      <w:pPr>
        <w:rPr>
          <w:rFonts w:ascii="Arial Black" w:hAnsi="Arial Black"/>
          <w:b/>
          <w:bCs/>
          <w:sz w:val="28"/>
          <w:szCs w:val="28"/>
        </w:rPr>
      </w:pPr>
    </w:p>
    <w:p w14:paraId="38933239" w14:textId="4FBA4D31" w:rsidR="00F37F48" w:rsidRDefault="00F37F48" w:rsidP="002B1283">
      <w:pPr>
        <w:rPr>
          <w:rFonts w:ascii="Arial Black" w:hAnsi="Arial Black"/>
          <w:b/>
          <w:bCs/>
          <w:sz w:val="28"/>
          <w:szCs w:val="28"/>
        </w:rPr>
      </w:pPr>
      <w:r>
        <w:rPr>
          <w:rFonts w:ascii="Arial Black" w:hAnsi="Arial Black"/>
          <w:b/>
          <w:bCs/>
          <w:sz w:val="28"/>
          <w:szCs w:val="28"/>
        </w:rPr>
        <w:t>13-76</w:t>
      </w:r>
    </w:p>
    <w:p w14:paraId="0488F9DA" w14:textId="77777777" w:rsidR="00F37F48" w:rsidRDefault="00F37F48" w:rsidP="00F37F4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NEW FED. LAW - PATIENTS PROTECTED “SURPRISE MEDICAL BILLS” – INCLUDING AIR CARE, NEGOTIATE WITH INSURER</w:t>
      </w:r>
    </w:p>
    <w:p w14:paraId="15E5D0D4"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21, 2020, as part of the </w:t>
      </w:r>
      <w:proofErr w:type="gramStart"/>
      <w:r>
        <w:rPr>
          <w:rFonts w:ascii="Times New Roman" w:eastAsia="Times New Roman" w:hAnsi="Times New Roman"/>
          <w:sz w:val="24"/>
          <w:szCs w:val="24"/>
        </w:rPr>
        <w:t>5,500 page</w:t>
      </w:r>
      <w:proofErr w:type="gramEnd"/>
      <w:r>
        <w:rPr>
          <w:rFonts w:ascii="Times New Roman" w:eastAsia="Times New Roman" w:hAnsi="Times New Roman"/>
          <w:sz w:val="24"/>
          <w:szCs w:val="24"/>
        </w:rPr>
        <w:t xml:space="preserve"> COVID-19 relief bill, Congress also enacted a new statute to protect patients from “surprise medical bills.” </w:t>
      </w:r>
    </w:p>
    <w:p w14:paraId="2C890412"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House Ways &amp; Means Committee described the protections in the House bill, </w:t>
      </w:r>
      <w:r>
        <w:rPr>
          <w:rFonts w:ascii="Times New Roman" w:hAnsi="Times New Roman"/>
          <w:sz w:val="24"/>
          <w:szCs w:val="24"/>
        </w:rPr>
        <w:t xml:space="preserve">“Consumer Protections Against Surprise Medical Bills Act of 2020 Summary.” </w:t>
      </w:r>
    </w:p>
    <w:p w14:paraId="1F6E0314" w14:textId="77777777" w:rsidR="00F37F48" w:rsidRDefault="00F37F48" w:rsidP="00F37F48">
      <w:pPr>
        <w:spacing w:before="100" w:beforeAutospacing="1" w:after="100" w:afterAutospacing="1" w:line="240" w:lineRule="auto"/>
        <w:ind w:left="360"/>
        <w:rPr>
          <w:rStyle w:val="Hyperlink"/>
          <w:rFonts w:asciiTheme="minorHAnsi" w:eastAsiaTheme="minorHAnsi" w:hAnsiTheme="minorHAnsi" w:cstheme="minorBidi"/>
        </w:rPr>
      </w:pPr>
      <w:r>
        <w:rPr>
          <w:rFonts w:ascii="Times New Roman" w:hAnsi="Times New Roman"/>
          <w:sz w:val="24"/>
          <w:szCs w:val="24"/>
        </w:rPr>
        <w:t xml:space="preserve">“The bill protects patients from surprise medical bills for out-of-network services. Providers (including facilities) will be prohibited from balance billing patients for surprise services. Patients cannot be charged more than the in-network cost-sharing amount.” </w:t>
      </w:r>
      <w:hyperlink r:id="rId2383" w:history="1">
        <w:r>
          <w:rPr>
            <w:rStyle w:val="Hyperlink"/>
          </w:rPr>
          <w:t>https://waysandmeans.house.gov/sites/democrats.waysandmeans.house.gov/files/documents/Ways%20and%20Means%20Surprise%20Billing%20Summary_02%2006%2020%20(final).pdf</w:t>
        </w:r>
      </w:hyperlink>
    </w:p>
    <w:p w14:paraId="5A78D641" w14:textId="77777777" w:rsidR="00F37F48" w:rsidRDefault="00F37F48" w:rsidP="00F37F48">
      <w:pPr>
        <w:pStyle w:val="NoSpacing"/>
        <w:jc w:val="both"/>
        <w:rPr>
          <w:rFonts w:ascii="Times New Roman" w:eastAsia="Times New Roman" w:hAnsi="Times New Roman"/>
          <w:sz w:val="24"/>
          <w:szCs w:val="24"/>
        </w:rPr>
      </w:pPr>
      <w:r>
        <w:rPr>
          <w:rFonts w:ascii="Times New Roman" w:eastAsia="Times New Roman" w:hAnsi="Times New Roman"/>
          <w:sz w:val="24"/>
          <w:szCs w:val="24"/>
        </w:rPr>
        <w:t>The Association of Air Medical Services described the new provisions:</w:t>
      </w:r>
    </w:p>
    <w:p w14:paraId="68C05A18" w14:textId="77777777" w:rsidR="00F37F48" w:rsidRDefault="00F37F48" w:rsidP="00F37F48">
      <w:pPr>
        <w:pStyle w:val="NormalWeb"/>
        <w:ind w:left="360"/>
      </w:pPr>
      <w:r>
        <w:t>“AAMS has learned that the year-end spending and COVID relief package includes the balance billing solution that has been under intense negotiation since Dec. 11</w:t>
      </w:r>
      <w:r>
        <w:rPr>
          <w:vertAlign w:val="superscript"/>
        </w:rPr>
        <w:t>th</w:t>
      </w:r>
      <w:r>
        <w:t xml:space="preserve">. An AAMS Statement on the legislation can be found </w:t>
      </w:r>
      <w:hyperlink r:id="rId2384" w:tgtFrame="_blank" w:history="1">
        <w:r>
          <w:rPr>
            <w:rStyle w:val="Hyperlink"/>
          </w:rPr>
          <w:t>here</w:t>
        </w:r>
      </w:hyperlink>
      <w:r>
        <w:t>. *</w:t>
      </w:r>
      <w:r>
        <w:br/>
      </w:r>
      <w:r>
        <w:br/>
        <w:t xml:space="preserve">The legislation includes air ambulance provisions and is expected to pass both House and Senate as the Congress makes its final votes </w:t>
      </w:r>
      <w:proofErr w:type="gramStart"/>
      <w:r>
        <w:t>of</w:t>
      </w:r>
      <w:proofErr w:type="gramEnd"/>
      <w:r>
        <w:t xml:space="preserve"> 2020. The provisions in the bill </w:t>
      </w:r>
      <w:proofErr w:type="gramStart"/>
      <w:r>
        <w:t>effecting</w:t>
      </w:r>
      <w:proofErr w:type="gramEnd"/>
      <w:r>
        <w:t xml:space="preserve"> air ambulances are as follows:</w:t>
      </w:r>
    </w:p>
    <w:p w14:paraId="364D4CCC"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Prohibition on balance billing patients.</w:t>
      </w:r>
    </w:p>
    <w:p w14:paraId="4E87EE2C"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Open negotiation process between insurer and provider.</w:t>
      </w:r>
    </w:p>
    <w:p w14:paraId="4FC8F370"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Independent Dispute Resolution (IDR) process that still considers the insurers median-in-network rate; however, arbiters cannot consider non-negotiated rates, such as those set by Medicare.  </w:t>
      </w:r>
    </w:p>
    <w:p w14:paraId="6B2FE747"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Data collection on the costs or providing air ambulance services as well as on air ambulance quality and claims data submitted by insurers.</w:t>
      </w:r>
    </w:p>
    <w:p w14:paraId="27C87599"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 xml:space="preserve">The establishment of an air ambulance advisory committee through the Department of Health and Human Services and the Department of Transportation </w:t>
      </w:r>
      <w:proofErr w:type="gramStart"/>
      <w:r w:rsidRPr="00034FEA">
        <w:rPr>
          <w:rFonts w:ascii="Times New Roman" w:hAnsi="Times New Roman"/>
          <w:sz w:val="24"/>
          <w:szCs w:val="24"/>
        </w:rPr>
        <w:t>to examine</w:t>
      </w:r>
      <w:proofErr w:type="gramEnd"/>
      <w:r w:rsidRPr="00034FEA">
        <w:rPr>
          <w:rFonts w:ascii="Times New Roman" w:hAnsi="Times New Roman"/>
          <w:sz w:val="24"/>
          <w:szCs w:val="24"/>
        </w:rPr>
        <w:t xml:space="preserve"> issues related to air ambulance clinical capabilities, vehicle types, and triage criteria.</w:t>
      </w:r>
    </w:p>
    <w:p w14:paraId="50542A26" w14:textId="77777777" w:rsidR="00F37F48" w:rsidRPr="007B1325" w:rsidRDefault="00F37F48" w:rsidP="00F37F48">
      <w:pPr>
        <w:pStyle w:val="NormalWeb"/>
        <w:ind w:left="360"/>
        <w:rPr>
          <w:rStyle w:val="Emphasis"/>
        </w:rPr>
      </w:pPr>
      <w:r>
        <w:rPr>
          <w:rStyle w:val="Strong"/>
        </w:rPr>
        <w:t>A Congressional summary of the balance billing section describes it this way:</w:t>
      </w:r>
      <w:r>
        <w:br/>
      </w:r>
      <w:r w:rsidRPr="007B1325">
        <w:rPr>
          <w:rStyle w:val="Emphasis"/>
        </w:rPr>
        <w:t xml:space="preserve">Section 105. Ending surprise air ambulance bills. Section 105 states that patients are held harmless from surprise air ambulance medical bills. Patients are only required to pay the in-network cost-sharing amount for out-of-network air ambulances, and that cost-sharing amount is applied to their in-network deductible. Air ambulances are barred from sending patients surprise bills for more than the in-network cost-sharing amount. It also provides for a 30-day open negotiation period for air ambulance providers and payers to settle out-of-network claims. If the parties are unable to reach a negotiated agreement, they may access the binding arbitration, which is the same as outlined in Section 103, with additional factors to account for the cost of providing air ambulance service in rural and frontier areas.  </w:t>
      </w:r>
    </w:p>
    <w:p w14:paraId="47E1DD27" w14:textId="77777777" w:rsidR="00F37F48" w:rsidRDefault="00F37F48" w:rsidP="00F37F48">
      <w:pPr>
        <w:pStyle w:val="NormalWeb"/>
        <w:ind w:left="360"/>
      </w:pPr>
      <w:hyperlink r:id="rId2385" w:history="1">
        <w:r w:rsidRPr="009A2D81">
          <w:rPr>
            <w:rStyle w:val="Hyperlink"/>
          </w:rPr>
          <w:t>https://aams.org/aams-member-alert-negotiated-balance-billing-solution-included-in-legislation/</w:t>
        </w:r>
      </w:hyperlink>
      <w:r>
        <w:rPr>
          <w:rStyle w:val="Emphasis"/>
        </w:rPr>
        <w:t xml:space="preserve"> </w:t>
      </w:r>
    </w:p>
    <w:p w14:paraId="3EEE09D8" w14:textId="77777777" w:rsidR="00F37F48" w:rsidRDefault="00F37F48" w:rsidP="00F37F48">
      <w:pPr>
        <w:rPr>
          <w:rFonts w:ascii="Times New Roman" w:hAnsi="Times New Roman"/>
          <w:sz w:val="24"/>
          <w:szCs w:val="24"/>
        </w:rPr>
      </w:pPr>
      <w:r>
        <w:rPr>
          <w:rFonts w:ascii="Times New Roman" w:hAnsi="Times New Roman"/>
          <w:sz w:val="24"/>
          <w:szCs w:val="24"/>
        </w:rPr>
        <w:t>*AAMS Statement on Balance Billing Solution</w:t>
      </w:r>
    </w:p>
    <w:p w14:paraId="4CFC73CB" w14:textId="77777777" w:rsidR="00F37F48" w:rsidRDefault="00F37F48" w:rsidP="00F37F48">
      <w:pPr>
        <w:ind w:left="360"/>
        <w:rPr>
          <w:rFonts w:ascii="Times New Roman" w:hAnsi="Times New Roman"/>
          <w:sz w:val="24"/>
          <w:szCs w:val="24"/>
        </w:rPr>
      </w:pPr>
      <w:r>
        <w:rPr>
          <w:rFonts w:ascii="Times New Roman" w:hAnsi="Times New Roman"/>
          <w:sz w:val="24"/>
          <w:szCs w:val="24"/>
        </w:rPr>
        <w:t xml:space="preserve">“The Association of Air Medical Services, on behalf of its over 300 members operating over 1,400 helicopter and fixed-wing air ambulances nationwide, applauds the action taken by Congress today to remove patients from disputes between insurers and air ambulance providers. However, AAMS remains concerned that certain aspects of the independent dispute resolution process may favor </w:t>
      </w:r>
      <w:proofErr w:type="gramStart"/>
      <w:r>
        <w:rPr>
          <w:rFonts w:ascii="Times New Roman" w:hAnsi="Times New Roman"/>
          <w:sz w:val="24"/>
          <w:szCs w:val="24"/>
        </w:rPr>
        <w:t>insurers</w:t>
      </w:r>
      <w:proofErr w:type="gramEnd"/>
      <w:r>
        <w:rPr>
          <w:rFonts w:ascii="Times New Roman" w:hAnsi="Times New Roman"/>
          <w:sz w:val="24"/>
          <w:szCs w:val="24"/>
        </w:rPr>
        <w:t xml:space="preserve"> and we hope to work with Congress and the various federal agencies to implement a fair and equitable process for billing disputes. We also fully support the data collection and analysis requirements of the </w:t>
      </w:r>
      <w:proofErr w:type="gramStart"/>
      <w:r>
        <w:rPr>
          <w:rFonts w:ascii="Times New Roman" w:hAnsi="Times New Roman"/>
          <w:sz w:val="24"/>
          <w:szCs w:val="24"/>
        </w:rPr>
        <w:t>bill, and</w:t>
      </w:r>
      <w:proofErr w:type="gramEnd"/>
      <w:r>
        <w:rPr>
          <w:rFonts w:ascii="Times New Roman" w:hAnsi="Times New Roman"/>
          <w:sz w:val="24"/>
          <w:szCs w:val="24"/>
        </w:rPr>
        <w:t xml:space="preserve"> believe this additional level of transparency will inform future legislative and regulatory efforts as they relate to billing and reimbursement. AAMS will continue to work on behalf of its members and the patients they serve to ensure the best outcomes for both. We also continue to support the work of the Air Ambulance Patient Billing Advisory Committee and hope this process will strongly consider their recommendations.” </w:t>
      </w:r>
    </w:p>
    <w:p w14:paraId="0BF301CD" w14:textId="77777777" w:rsidR="00F37F48" w:rsidRDefault="00F37F48" w:rsidP="00F37F48">
      <w:pPr>
        <w:ind w:left="360"/>
        <w:rPr>
          <w:rFonts w:ascii="Times New Roman" w:hAnsi="Times New Roman"/>
          <w:sz w:val="24"/>
          <w:szCs w:val="24"/>
        </w:rPr>
      </w:pPr>
      <w:r>
        <w:rPr>
          <w:rFonts w:ascii="Times New Roman" w:hAnsi="Times New Roman"/>
          <w:sz w:val="24"/>
          <w:szCs w:val="24"/>
        </w:rPr>
        <w:t>Below is a statement from AAMS President and CEO Cameron Curtis:</w:t>
      </w:r>
    </w:p>
    <w:p w14:paraId="0498BACA" w14:textId="77777777" w:rsidR="00F37F48" w:rsidRDefault="00F37F48" w:rsidP="00F37F48">
      <w:pPr>
        <w:ind w:left="360"/>
        <w:rPr>
          <w:rFonts w:asciiTheme="minorHAnsi" w:hAnsiTheme="minorHAnsi" w:cstheme="minorBidi"/>
        </w:rPr>
      </w:pPr>
      <w:r>
        <w:rPr>
          <w:rFonts w:ascii="Times New Roman" w:hAnsi="Times New Roman"/>
          <w:sz w:val="24"/>
          <w:szCs w:val="24"/>
        </w:rPr>
        <w:t>“Air ambulances offer a lifeline, sometimes the only lifeline, to patients in need of critical care. While we remain concerned about certain aspects of this bill, now is the time to come together as a health care community and support the dedicated EMS professionals, both air and ground, that are serving on the front lines. As Americans face the ever-increasing severity of the COVID-19 pandemic and the ensuing public health emergency, air medical services have provided over 20,000 COVID-19 related transports to the most severely sick and injured patients, often from remote and rural areas to high levels of care.”</w:t>
      </w:r>
      <w:r>
        <w:t xml:space="preserve"> </w:t>
      </w:r>
      <w:hyperlink r:id="rId2386" w:history="1">
        <w:r>
          <w:rPr>
            <w:rStyle w:val="Hyperlink"/>
          </w:rPr>
          <w:t>https://cdn.ymaws.com/aams.site-ym.com/resource/resmgr/website_resources/aams_statements/aams_statementonbalancebilli.pdf</w:t>
        </w:r>
      </w:hyperlink>
      <w:r>
        <w:rPr>
          <w:rFonts w:ascii="Times New Roman" w:hAnsi="Times New Roman"/>
          <w:sz w:val="24"/>
          <w:szCs w:val="24"/>
        </w:rPr>
        <w:t xml:space="preserve"> </w:t>
      </w:r>
    </w:p>
    <w:p w14:paraId="72429C64"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There has been litigation throughout the United States by patients who were “surprised” by Air Care billing and other “out of network” medical service providers.     Hopefully this new statute will eliminate these surprise bills. </w:t>
      </w:r>
    </w:p>
    <w:p w14:paraId="3DE5252F" w14:textId="77777777" w:rsidR="00F37F48" w:rsidRPr="007B1325"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w:t>
      </w:r>
      <w:r>
        <w:rPr>
          <w:rFonts w:ascii="Times New Roman" w:hAnsi="Times New Roman"/>
          <w:sz w:val="24"/>
          <w:szCs w:val="24"/>
        </w:rPr>
        <w:t xml:space="preserve">You can read the NO SURPRISE ACT (starting page 1629); Air Ambulance provisions (starting at page 1836).   </w:t>
      </w:r>
      <w:hyperlink r:id="rId2387" w:history="1">
        <w:r w:rsidRPr="007B1325">
          <w:rPr>
            <w:rStyle w:val="Hyperlink"/>
            <w:rFonts w:ascii="Times New Roman" w:hAnsi="Times New Roman"/>
            <w:sz w:val="24"/>
            <w:szCs w:val="24"/>
          </w:rPr>
          <w:t>https://beta.documentcloud.org/documents/20433223-covid-19-relief-bill</w:t>
        </w:r>
      </w:hyperlink>
      <w:r w:rsidRPr="007B1325">
        <w:rPr>
          <w:rFonts w:ascii="Times New Roman" w:eastAsia="Times New Roman" w:hAnsi="Times New Roman"/>
          <w:sz w:val="24"/>
          <w:szCs w:val="24"/>
        </w:rPr>
        <w:t xml:space="preserve"> </w:t>
      </w:r>
    </w:p>
    <w:p w14:paraId="7C953E6E" w14:textId="77777777" w:rsidR="00F37F48" w:rsidRDefault="00F37F48" w:rsidP="002B1283">
      <w:pPr>
        <w:rPr>
          <w:rFonts w:ascii="Arial Black" w:hAnsi="Arial Black"/>
          <w:b/>
          <w:bCs/>
          <w:sz w:val="28"/>
          <w:szCs w:val="28"/>
        </w:rPr>
      </w:pPr>
    </w:p>
    <w:p w14:paraId="0CBA900B" w14:textId="6E9C2379" w:rsidR="00F37F48" w:rsidRDefault="00F37F48" w:rsidP="002B1283">
      <w:pPr>
        <w:rPr>
          <w:rFonts w:ascii="Arial Black" w:hAnsi="Arial Black"/>
          <w:b/>
          <w:bCs/>
          <w:sz w:val="28"/>
          <w:szCs w:val="28"/>
        </w:rPr>
      </w:pPr>
      <w:r>
        <w:rPr>
          <w:rFonts w:ascii="Arial Black" w:hAnsi="Arial Black"/>
          <w:b/>
          <w:bCs/>
          <w:sz w:val="28"/>
          <w:szCs w:val="28"/>
        </w:rPr>
        <w:t>13-75</w:t>
      </w:r>
    </w:p>
    <w:p w14:paraId="4AB639F7" w14:textId="77777777" w:rsidR="00F37F48" w:rsidRDefault="00F37F48" w:rsidP="00F37F48">
      <w:pPr>
        <w:pStyle w:val="NoSpacing"/>
        <w:rPr>
          <w:rFonts w:ascii="Arial Black" w:eastAsiaTheme="minorHAnsi" w:hAnsi="Arial Black" w:cstheme="minorBidi"/>
          <w:sz w:val="28"/>
          <w:szCs w:val="28"/>
        </w:rPr>
      </w:pPr>
      <w:r>
        <w:rPr>
          <w:rFonts w:ascii="Arial Black" w:hAnsi="Arial Black"/>
          <w:sz w:val="28"/>
          <w:szCs w:val="28"/>
        </w:rPr>
        <w:t xml:space="preserve">NY: EMT WINS SUMMARY JUDGMENT - BACK INJURY, SLIPPED ON ICE – RESTAURANT HOSED SIDEWALK COLD WINTER DAY </w:t>
      </w:r>
    </w:p>
    <w:p w14:paraId="4BDA84DB" w14:textId="77777777" w:rsidR="00F37F48" w:rsidRDefault="00F37F48" w:rsidP="00F37F48">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17, 2020, in </w:t>
      </w:r>
      <w:r>
        <w:rPr>
          <w:rFonts w:ascii="Times New Roman" w:hAnsi="Times New Roman"/>
          <w:sz w:val="24"/>
          <w:szCs w:val="24"/>
          <w:u w:val="single"/>
        </w:rPr>
        <w:t>Michael Benny v. Concord Partners 46</w:t>
      </w:r>
      <w:r>
        <w:rPr>
          <w:rFonts w:ascii="Times New Roman" w:hAnsi="Times New Roman"/>
          <w:sz w:val="24"/>
          <w:szCs w:val="24"/>
          <w:u w:val="single"/>
          <w:vertAlign w:val="superscript"/>
        </w:rPr>
        <w:t>th</w:t>
      </w:r>
      <w:r>
        <w:rPr>
          <w:rFonts w:ascii="Times New Roman" w:hAnsi="Times New Roman"/>
          <w:sz w:val="24"/>
          <w:szCs w:val="24"/>
          <w:u w:val="single"/>
        </w:rPr>
        <w:t xml:space="preserve"> Street LLC</w:t>
      </w:r>
      <w:r>
        <w:rPr>
          <w:rFonts w:ascii="Times New Roman" w:hAnsi="Times New Roman"/>
          <w:sz w:val="24"/>
          <w:szCs w:val="24"/>
        </w:rPr>
        <w:t xml:space="preserve">, </w:t>
      </w:r>
      <w:r>
        <w:rPr>
          <w:rFonts w:ascii="Times New Roman" w:eastAsia="Times New Roman" w:hAnsi="Times New Roman"/>
          <w:sz w:val="24"/>
          <w:szCs w:val="24"/>
        </w:rPr>
        <w:t xml:space="preserve">2020 NY Slip Op 07665, </w:t>
      </w:r>
      <w:r>
        <w:rPr>
          <w:rFonts w:ascii="Times New Roman" w:hAnsi="Times New Roman"/>
          <w:sz w:val="24"/>
          <w:szCs w:val="24"/>
        </w:rPr>
        <w:t xml:space="preserve">the Appellate Division of the Supreme Court of the State of New York, held (5 to 0) that the trial court improperly denied plaintiff’s motion for summary judgment.  The Court orders partial summary judgment in favor of the EMT; his degree of negligence in not avoiding the ice must next be determined. </w:t>
      </w:r>
    </w:p>
    <w:p w14:paraId="1927B461" w14:textId="77777777" w:rsidR="00F37F48" w:rsidRDefault="00F37F48" w:rsidP="00F37F48">
      <w:pPr>
        <w:pStyle w:val="NoSpacing"/>
        <w:ind w:left="720"/>
        <w:rPr>
          <w:rFonts w:ascii="Times New Roman" w:hAnsi="Times New Roman"/>
          <w:sz w:val="24"/>
          <w:szCs w:val="24"/>
        </w:rPr>
      </w:pPr>
      <w:r>
        <w:rPr>
          <w:rFonts w:ascii="Times New Roman" w:hAnsi="Times New Roman"/>
          <w:sz w:val="24"/>
          <w:szCs w:val="24"/>
        </w:rPr>
        <w:t xml:space="preserve">“The evidence plaintiff submitted in support of his motion shows that defendants-tenants Havana Central NY 2 LLC d/b/a Havana Central Restaurant &amp; </w:t>
      </w:r>
      <w:proofErr w:type="spellStart"/>
      <w:r>
        <w:rPr>
          <w:rFonts w:ascii="Times New Roman" w:hAnsi="Times New Roman"/>
          <w:sz w:val="24"/>
          <w:szCs w:val="24"/>
        </w:rPr>
        <w:t>CafÉ</w:t>
      </w:r>
      <w:proofErr w:type="spellEnd"/>
      <w:r>
        <w:rPr>
          <w:rFonts w:ascii="Times New Roman" w:hAnsi="Times New Roman"/>
          <w:sz w:val="24"/>
          <w:szCs w:val="24"/>
        </w:rPr>
        <w:t xml:space="preserve"> (Havana) and </w:t>
      </w:r>
      <w:proofErr w:type="spellStart"/>
      <w:r>
        <w:rPr>
          <w:rFonts w:ascii="Times New Roman" w:hAnsi="Times New Roman"/>
          <w:sz w:val="24"/>
          <w:szCs w:val="24"/>
        </w:rPr>
        <w:t>Tintol</w:t>
      </w:r>
      <w:proofErr w:type="spellEnd"/>
      <w:r>
        <w:rPr>
          <w:rFonts w:ascii="Times New Roman" w:hAnsi="Times New Roman"/>
          <w:sz w:val="24"/>
          <w:szCs w:val="24"/>
        </w:rPr>
        <w:t xml:space="preserve"> LLC d/b/a Clubhouse </w:t>
      </w:r>
      <w:proofErr w:type="spellStart"/>
      <w:r>
        <w:rPr>
          <w:rFonts w:ascii="Times New Roman" w:hAnsi="Times New Roman"/>
          <w:sz w:val="24"/>
          <w:szCs w:val="24"/>
        </w:rPr>
        <w:t>CafÉ</w:t>
      </w:r>
      <w:proofErr w:type="spellEnd"/>
      <w:r>
        <w:rPr>
          <w:rFonts w:ascii="Times New Roman" w:hAnsi="Times New Roman"/>
          <w:sz w:val="24"/>
          <w:szCs w:val="24"/>
        </w:rPr>
        <w:t xml:space="preserve"> (</w:t>
      </w:r>
      <w:proofErr w:type="spellStart"/>
      <w:r>
        <w:rPr>
          <w:rFonts w:ascii="Times New Roman" w:hAnsi="Times New Roman"/>
          <w:sz w:val="24"/>
          <w:szCs w:val="24"/>
        </w:rPr>
        <w:t>Tintol</w:t>
      </w:r>
      <w:proofErr w:type="spellEnd"/>
      <w:r>
        <w:rPr>
          <w:rFonts w:ascii="Times New Roman" w:hAnsi="Times New Roman"/>
          <w:sz w:val="24"/>
          <w:szCs w:val="24"/>
        </w:rPr>
        <w:t>) created the dangerous condition when their employees hosed the sidewalk on a cold winter day (</w:t>
      </w:r>
      <w:r>
        <w:rPr>
          <w:rFonts w:ascii="Times New Roman" w:hAnsi="Times New Roman"/>
          <w:i/>
          <w:iCs/>
          <w:sz w:val="24"/>
          <w:szCs w:val="24"/>
        </w:rPr>
        <w:t>see Mercer v City of New York</w:t>
      </w:r>
      <w:r>
        <w:rPr>
          <w:rFonts w:ascii="Times New Roman" w:hAnsi="Times New Roman"/>
          <w:sz w:val="24"/>
          <w:szCs w:val="24"/>
        </w:rPr>
        <w:t>, 88 NY2d 955, 956 [1996]). Defendants-owners Concord Partners 46</w:t>
      </w:r>
      <w:r>
        <w:rPr>
          <w:rFonts w:ascii="Times New Roman" w:hAnsi="Times New Roman"/>
          <w:sz w:val="24"/>
          <w:szCs w:val="24"/>
          <w:vertAlign w:val="superscript"/>
        </w:rPr>
        <w:t>th</w:t>
      </w:r>
      <w:r>
        <w:rPr>
          <w:rFonts w:ascii="Times New Roman" w:hAnsi="Times New Roman"/>
          <w:sz w:val="24"/>
          <w:szCs w:val="24"/>
        </w:rPr>
        <w:t xml:space="preserve"> Street LLC (Concord) and Elo Equity, LLC, had a </w:t>
      </w:r>
      <w:proofErr w:type="spellStart"/>
      <w:r>
        <w:rPr>
          <w:rFonts w:ascii="Times New Roman" w:hAnsi="Times New Roman"/>
          <w:sz w:val="24"/>
          <w:szCs w:val="24"/>
        </w:rPr>
        <w:t>non delegable</w:t>
      </w:r>
      <w:proofErr w:type="spellEnd"/>
      <w:r>
        <w:rPr>
          <w:rFonts w:ascii="Times New Roman" w:hAnsi="Times New Roman"/>
          <w:sz w:val="24"/>
          <w:szCs w:val="24"/>
        </w:rPr>
        <w:t xml:space="preserve"> duty to maintain the sidewalk and had notice that the restaurant employees had created a dangerous condition, because Concord’s property manager and Elo’s superintendent had observed the restaurants’ employees hosing the sidewalk.” </w:t>
      </w:r>
    </w:p>
    <w:p w14:paraId="233FB984" w14:textId="77777777" w:rsidR="00F37F48" w:rsidRDefault="00F37F48" w:rsidP="00F37F48">
      <w:pPr>
        <w:pStyle w:val="NoSpacing"/>
        <w:ind w:left="720"/>
        <w:rPr>
          <w:rFonts w:ascii="Times New Roman" w:hAnsi="Times New Roman"/>
          <w:sz w:val="24"/>
          <w:szCs w:val="24"/>
        </w:rPr>
      </w:pPr>
      <w:hyperlink r:id="rId2388" w:history="1">
        <w:r>
          <w:rPr>
            <w:rStyle w:val="Hyperlink"/>
          </w:rPr>
          <w:t>https://casetext.com/case/benny-v-concord-partners-46th-st-llc-2</w:t>
        </w:r>
      </w:hyperlink>
      <w:r>
        <w:rPr>
          <w:rFonts w:ascii="Times New Roman" w:hAnsi="Times New Roman"/>
          <w:sz w:val="24"/>
          <w:szCs w:val="24"/>
        </w:rPr>
        <w:t xml:space="preserve">  </w:t>
      </w:r>
    </w:p>
    <w:p w14:paraId="40BFCDC4"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Watering down sidewalk on cold winter day is “inviting litigation.”  Even if EMT is covered by workers comp, he is entitled to sue for pain and suffering.</w:t>
      </w:r>
    </w:p>
    <w:p w14:paraId="0714F98D" w14:textId="77777777" w:rsidR="00F37F48" w:rsidRDefault="00F37F48" w:rsidP="002B1283">
      <w:pPr>
        <w:rPr>
          <w:rFonts w:ascii="Arial Black" w:hAnsi="Arial Black"/>
          <w:b/>
          <w:bCs/>
          <w:sz w:val="28"/>
          <w:szCs w:val="28"/>
        </w:rPr>
      </w:pPr>
    </w:p>
    <w:p w14:paraId="3C44EDE5" w14:textId="77B4BC81" w:rsidR="00F37F48" w:rsidRDefault="00F37F48" w:rsidP="002B1283">
      <w:pPr>
        <w:rPr>
          <w:rFonts w:ascii="Arial Black" w:hAnsi="Arial Black"/>
          <w:b/>
          <w:bCs/>
          <w:sz w:val="28"/>
          <w:szCs w:val="28"/>
        </w:rPr>
      </w:pPr>
      <w:r>
        <w:rPr>
          <w:rFonts w:ascii="Arial Black" w:hAnsi="Arial Black"/>
          <w:b/>
          <w:bCs/>
          <w:sz w:val="28"/>
          <w:szCs w:val="28"/>
        </w:rPr>
        <w:t>13-74</w:t>
      </w:r>
    </w:p>
    <w:p w14:paraId="248C68A3" w14:textId="77777777" w:rsidR="00F37F48" w:rsidRDefault="00F37F48" w:rsidP="00F37F48">
      <w:pPr>
        <w:rPr>
          <w:rFonts w:ascii="Arial Black" w:eastAsiaTheme="minorHAnsi" w:hAnsi="Arial Black" w:cstheme="minorBidi"/>
          <w:sz w:val="28"/>
          <w:szCs w:val="28"/>
        </w:rPr>
      </w:pPr>
      <w:r>
        <w:rPr>
          <w:rFonts w:ascii="Arial Black" w:hAnsi="Arial Black"/>
          <w:sz w:val="28"/>
          <w:szCs w:val="28"/>
        </w:rPr>
        <w:t>PA:  HIPAA VOIOLATION - FD SHARED FF’S WORK. COMP BACK INJURY CLAIM – “PROTECTED HEALTH INFORMATION” (PHI)</w:t>
      </w:r>
    </w:p>
    <w:p w14:paraId="3996E911" w14:textId="77777777" w:rsidR="00F37F48" w:rsidRDefault="00F37F48" w:rsidP="00F37F48">
      <w:pPr>
        <w:rPr>
          <w:rFonts w:ascii="Times New Roman" w:hAnsi="Times New Roman"/>
          <w:sz w:val="24"/>
          <w:szCs w:val="24"/>
        </w:rPr>
      </w:pPr>
      <w:r>
        <w:rPr>
          <w:rFonts w:ascii="Times New Roman" w:hAnsi="Times New Roman"/>
          <w:sz w:val="24"/>
          <w:szCs w:val="24"/>
        </w:rPr>
        <w:t xml:space="preserve">On Dec. 15, 2020, in </w:t>
      </w:r>
      <w:r>
        <w:rPr>
          <w:rFonts w:ascii="Times New Roman" w:hAnsi="Times New Roman"/>
          <w:sz w:val="24"/>
          <w:szCs w:val="24"/>
          <w:u w:val="single"/>
        </w:rPr>
        <w:t>William Maude v. City of Philadelphia</w:t>
      </w:r>
      <w:r>
        <w:rPr>
          <w:rFonts w:ascii="Times New Roman" w:hAnsi="Times New Roman"/>
          <w:sz w:val="24"/>
          <w:szCs w:val="24"/>
        </w:rPr>
        <w:t xml:space="preserve">, U.S. Magistrate Judge Lynne A. Sitarski, U.S. District Court for Eastern District of Pennsylvania, ruled that the firefighter’s Expert [from University of Pittsburg Medical Center] may testify that the information shared meets definition of “protected health information,” but he cannot testify this was an actual violation of HIPAA – that’s up to the jury. </w:t>
      </w:r>
    </w:p>
    <w:p w14:paraId="6D77FF53" w14:textId="77777777" w:rsidR="00F37F48" w:rsidRDefault="00F37F48" w:rsidP="00F37F48">
      <w:pPr>
        <w:ind w:left="720"/>
        <w:rPr>
          <w:rFonts w:ascii="Times New Roman" w:eastAsia="Times New Roman" w:hAnsi="Times New Roman"/>
          <w:sz w:val="24"/>
          <w:szCs w:val="24"/>
        </w:rPr>
      </w:pPr>
      <w:r>
        <w:t>“</w:t>
      </w:r>
      <w:r>
        <w:rPr>
          <w:rFonts w:ascii="Times New Roman" w:eastAsia="Times New Roman" w:hAnsi="Times New Roman"/>
          <w:sz w:val="24"/>
          <w:szCs w:val="24"/>
        </w:rPr>
        <w:t>To allow Andrews to opine that Defendant violated its policies and HIPAA regulations incorporated in his employment agreement usurps the jury’s responsibility to determine whether a breach occurred.</w:t>
      </w:r>
    </w:p>
    <w:p w14:paraId="2F8AFE4D" w14:textId="77777777" w:rsidR="00F37F48" w:rsidRDefault="00F37F48" w:rsidP="00F37F48">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 xml:space="preserve">Andrews’ other HIPAA conclusions challenged by Defendant are permissible. Andrews opines that the information contained in Plaintiff’s workers’ compensation referral form meets HIPAA’s definition of ‘protected health information’ because it ‘is </w:t>
      </w:r>
      <w:proofErr w:type="gramStart"/>
      <w:r>
        <w:rPr>
          <w:rFonts w:ascii="Times New Roman" w:eastAsia="Times New Roman" w:hAnsi="Times New Roman"/>
          <w:sz w:val="24"/>
          <w:szCs w:val="24"/>
        </w:rPr>
        <w:t>individually-identifiable</w:t>
      </w:r>
      <w:proofErr w:type="gramEnd"/>
      <w:r>
        <w:rPr>
          <w:rFonts w:ascii="Times New Roman" w:eastAsia="Times New Roman" w:hAnsi="Times New Roman"/>
          <w:sz w:val="24"/>
          <w:szCs w:val="24"/>
        </w:rPr>
        <w:t xml:space="preserve"> and relates to </w:t>
      </w:r>
      <w:proofErr w:type="gramStart"/>
      <w:r>
        <w:rPr>
          <w:rFonts w:ascii="Times New Roman" w:eastAsia="Times New Roman" w:hAnsi="Times New Roman"/>
          <w:sz w:val="24"/>
          <w:szCs w:val="24"/>
        </w:rPr>
        <w:t>a medical</w:t>
      </w:r>
      <w:proofErr w:type="gramEnd"/>
      <w:r>
        <w:rPr>
          <w:rFonts w:ascii="Times New Roman" w:eastAsia="Times New Roman" w:hAnsi="Times New Roman"/>
          <w:sz w:val="24"/>
          <w:szCs w:val="24"/>
        </w:rPr>
        <w:t xml:space="preserve"> condition, treatment or payment for healthcare.’ (</w:t>
      </w:r>
      <w:proofErr w:type="spellStart"/>
      <w:r>
        <w:rPr>
          <w:rFonts w:ascii="Times New Roman" w:eastAsia="Times New Roman" w:hAnsi="Times New Roman"/>
          <w:sz w:val="24"/>
          <w:szCs w:val="24"/>
        </w:rPr>
        <w:t>Def.’s</w:t>
      </w:r>
      <w:proofErr w:type="spellEnd"/>
      <w:r>
        <w:rPr>
          <w:rFonts w:ascii="Times New Roman" w:eastAsia="Times New Roman" w:hAnsi="Times New Roman"/>
          <w:sz w:val="24"/>
          <w:szCs w:val="24"/>
        </w:rPr>
        <w:t xml:space="preserve"> Mot. To Exclude Ex. E 12). He notes that HIPAA covers ‘all protected health information,’ regardless of the form in which it is contained, and that at no time did Plaintiff authorize the dissemination of his information outside the necessary chain of command…. He also opines that there was no other basis for disclosure and that ‘HIPAA establish[es] a floor, not a ceiling for the applicable standard of care . . . .’”</w:t>
      </w:r>
      <w:r>
        <w:t xml:space="preserve"> </w:t>
      </w:r>
      <w:hyperlink r:id="rId2389" w:history="1">
        <w:r>
          <w:rPr>
            <w:rStyle w:val="Hyperlink"/>
          </w:rPr>
          <w:t>https://casetext.com/case/maude-v-city-of-phila</w:t>
        </w:r>
      </w:hyperlink>
      <w:r>
        <w:t xml:space="preserve"> </w:t>
      </w:r>
    </w:p>
    <w:p w14:paraId="050DD50F"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“Protected health information” under HIPAA is a broad term and Fire Departments and municipalities must carefully limit who reviews workers comp and other employee PHI.  </w:t>
      </w:r>
    </w:p>
    <w:p w14:paraId="65E28C98" w14:textId="77777777" w:rsidR="00F37F48" w:rsidRDefault="00F37F48" w:rsidP="002B1283">
      <w:pPr>
        <w:rPr>
          <w:rFonts w:ascii="Arial Black" w:hAnsi="Arial Black"/>
          <w:b/>
          <w:bCs/>
          <w:sz w:val="28"/>
          <w:szCs w:val="28"/>
        </w:rPr>
      </w:pPr>
    </w:p>
    <w:p w14:paraId="2F7131B3" w14:textId="35D5CB3C" w:rsidR="00F37F48" w:rsidRDefault="00F37F48" w:rsidP="002B1283">
      <w:pPr>
        <w:rPr>
          <w:rFonts w:ascii="Arial Black" w:hAnsi="Arial Black"/>
          <w:b/>
          <w:bCs/>
          <w:sz w:val="28"/>
          <w:szCs w:val="28"/>
        </w:rPr>
      </w:pPr>
      <w:r>
        <w:rPr>
          <w:rFonts w:ascii="Arial Black" w:hAnsi="Arial Black"/>
          <w:b/>
          <w:bCs/>
          <w:sz w:val="28"/>
          <w:szCs w:val="28"/>
        </w:rPr>
        <w:t>13-73</w:t>
      </w:r>
    </w:p>
    <w:p w14:paraId="513126CA" w14:textId="77777777" w:rsidR="00F37F48" w:rsidRDefault="00F37F48" w:rsidP="00F37F48">
      <w:pPr>
        <w:rPr>
          <w:rFonts w:ascii="Arial Black" w:hAnsi="Arial Black" w:cstheme="minorBidi"/>
          <w:sz w:val="28"/>
          <w:szCs w:val="28"/>
        </w:rPr>
      </w:pPr>
      <w:r>
        <w:rPr>
          <w:rFonts w:ascii="Arial Black" w:hAnsi="Arial Black"/>
          <w:sz w:val="28"/>
          <w:szCs w:val="28"/>
        </w:rPr>
        <w:t>NJ: 85-YR-OLD PATIENT – EMS LIFTED HER TO STRETCHER – DOC. PATIENT PAIN LEFT ARM – IMMUNITY, “GOOD FAITH”</w:t>
      </w:r>
    </w:p>
    <w:p w14:paraId="65A9EDE5"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11, 2020, in </w:t>
      </w:r>
      <w:r>
        <w:rPr>
          <w:rFonts w:ascii="Times New Roman" w:eastAsia="Times New Roman" w:hAnsi="Times New Roman"/>
          <w:sz w:val="24"/>
          <w:szCs w:val="24"/>
          <w:u w:val="single"/>
        </w:rPr>
        <w:t xml:space="preserve">Rose Bengel and Henry Bengel v. Holiday City </w:t>
      </w:r>
      <w:proofErr w:type="gramStart"/>
      <w:r>
        <w:rPr>
          <w:rFonts w:ascii="Times New Roman" w:eastAsia="Times New Roman" w:hAnsi="Times New Roman"/>
          <w:sz w:val="24"/>
          <w:szCs w:val="24"/>
          <w:u w:val="single"/>
        </w:rPr>
        <w:t>At</w:t>
      </w:r>
      <w:proofErr w:type="gramEnd"/>
      <w:r>
        <w:rPr>
          <w:rFonts w:ascii="Times New Roman" w:eastAsia="Times New Roman" w:hAnsi="Times New Roman"/>
          <w:sz w:val="24"/>
          <w:szCs w:val="24"/>
          <w:u w:val="single"/>
        </w:rPr>
        <w:t xml:space="preserve"> Berkley Fire Aid Squad, Inc., et al.</w:t>
      </w:r>
      <w:r>
        <w:rPr>
          <w:rFonts w:ascii="Times New Roman" w:eastAsia="Times New Roman" w:hAnsi="Times New Roman"/>
          <w:sz w:val="24"/>
          <w:szCs w:val="24"/>
        </w:rPr>
        <w:t xml:space="preserve">, the Superior Court of New Jersey, Appellative Division, held (2 to 0; unreported decision) that the trial court properly held the EMS personnel enjoyed immunity under state law, since they acted in “good faith.” </w:t>
      </w:r>
    </w:p>
    <w:p w14:paraId="43185437" w14:textId="77777777" w:rsidR="00F37F48" w:rsidRDefault="00F37F48" w:rsidP="00F37F48">
      <w:pPr>
        <w:pStyle w:val="NoSpacing"/>
        <w:ind w:left="720"/>
        <w:rPr>
          <w:rFonts w:ascii="Times New Roman" w:eastAsiaTheme="minorHAnsi" w:hAnsi="Times New Roman"/>
          <w:sz w:val="24"/>
          <w:szCs w:val="24"/>
        </w:rPr>
      </w:pPr>
      <w:r>
        <w:rPr>
          <w:rFonts w:ascii="Times New Roman" w:hAnsi="Times New Roman"/>
          <w:sz w:val="24"/>
          <w:szCs w:val="24"/>
        </w:rPr>
        <w:t>“Plaintiffs' assertion that defendants' paperwork containing a conflicting account of what occurred at the Bengel home bespeaks falsification and, in turn, the absence of good faith in providing first aid to Rose, constitutes rank speculation.</w:t>
      </w:r>
    </w:p>
    <w:p w14:paraId="17639CA6" w14:textId="77777777" w:rsidR="00F37F48" w:rsidRDefault="00F37F48" w:rsidP="00F37F48">
      <w:pPr>
        <w:pStyle w:val="NoSpacing"/>
        <w:rPr>
          <w:rFonts w:ascii="Times New Roman" w:hAnsi="Times New Roman"/>
          <w:sz w:val="24"/>
          <w:szCs w:val="24"/>
        </w:rPr>
      </w:pPr>
    </w:p>
    <w:p w14:paraId="637D3789" w14:textId="77777777" w:rsidR="00F37F48" w:rsidRDefault="00F37F48" w:rsidP="00F37F48">
      <w:pPr>
        <w:pStyle w:val="NoSpacing"/>
        <w:ind w:firstLine="720"/>
        <w:rPr>
          <w:rFonts w:ascii="Times New Roman" w:hAnsi="Times New Roman"/>
          <w:sz w:val="24"/>
          <w:szCs w:val="24"/>
        </w:rPr>
      </w:pPr>
      <w:r>
        <w:rPr>
          <w:rFonts w:ascii="Times New Roman" w:hAnsi="Times New Roman"/>
          <w:sz w:val="24"/>
          <w:szCs w:val="24"/>
        </w:rPr>
        <w:t>***</w:t>
      </w:r>
    </w:p>
    <w:p w14:paraId="55C87B8E" w14:textId="77777777" w:rsidR="00F37F48" w:rsidRDefault="00F37F48" w:rsidP="00F37F48">
      <w:pPr>
        <w:pStyle w:val="NormalWeb"/>
        <w:ind w:left="720"/>
      </w:pPr>
      <w:r>
        <w:t xml:space="preserve">Notably, contrary to plaintiffs' account, the judge found that in transferring Rose from her wheelchair to the stretcher, ‘Phillips . . . wrapped his arms around [Rose's] mid-section’ and Kobus and Phillips ‘gently placed [Rose] on the stretcher.’” </w:t>
      </w:r>
      <w:hyperlink r:id="rId2390" w:history="1">
        <w:r>
          <w:rPr>
            <w:rStyle w:val="Hyperlink"/>
          </w:rPr>
          <w:t>https://njcourts.gov/attorneys/assets/opinions/appellate/unpublished/a0530-19.pdf</w:t>
        </w:r>
      </w:hyperlink>
      <w:r>
        <w:t xml:space="preserve"> </w:t>
      </w:r>
    </w:p>
    <w:p w14:paraId="2516ACE9" w14:textId="77777777" w:rsidR="00F37F48" w:rsidRDefault="00F37F48" w:rsidP="00F37F48">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EMS properly documented in patient care report that patient reported pain in the left arm; showed they were acting in “good faith.” </w:t>
      </w:r>
    </w:p>
    <w:p w14:paraId="61A363A8" w14:textId="54331758" w:rsidR="00F37F48" w:rsidRDefault="00F37F48" w:rsidP="002B1283">
      <w:pPr>
        <w:rPr>
          <w:rFonts w:ascii="Arial Black" w:hAnsi="Arial Black"/>
          <w:b/>
          <w:bCs/>
          <w:sz w:val="28"/>
          <w:szCs w:val="28"/>
        </w:rPr>
      </w:pPr>
    </w:p>
    <w:p w14:paraId="471379B6" w14:textId="77777777" w:rsidR="00F37F48" w:rsidRDefault="00F37F48" w:rsidP="002B1283">
      <w:pPr>
        <w:rPr>
          <w:rFonts w:ascii="Arial Black" w:hAnsi="Arial Black"/>
          <w:b/>
          <w:bCs/>
          <w:sz w:val="28"/>
          <w:szCs w:val="28"/>
        </w:rPr>
      </w:pPr>
    </w:p>
    <w:p w14:paraId="5475C7C1" w14:textId="6C34AFB0" w:rsidR="00663A6A" w:rsidRDefault="00663A6A" w:rsidP="002B1283">
      <w:pPr>
        <w:rPr>
          <w:rFonts w:ascii="Arial Black" w:hAnsi="Arial Black"/>
          <w:b/>
          <w:bCs/>
          <w:sz w:val="28"/>
          <w:szCs w:val="28"/>
        </w:rPr>
      </w:pPr>
      <w:r>
        <w:rPr>
          <w:rFonts w:ascii="Arial Black" w:hAnsi="Arial Black"/>
          <w:b/>
          <w:bCs/>
          <w:sz w:val="28"/>
          <w:szCs w:val="28"/>
        </w:rPr>
        <w:t>13-72</w:t>
      </w:r>
    </w:p>
    <w:p w14:paraId="6393AA01" w14:textId="77777777" w:rsidR="00663A6A" w:rsidRDefault="00663A6A" w:rsidP="00663A6A">
      <w:pPr>
        <w:rPr>
          <w:rFonts w:ascii="Arial Black" w:hAnsi="Arial Black"/>
          <w:sz w:val="28"/>
          <w:szCs w:val="28"/>
        </w:rPr>
      </w:pPr>
      <w:r>
        <w:rPr>
          <w:rFonts w:ascii="Arial Black" w:hAnsi="Arial Black"/>
          <w:sz w:val="28"/>
          <w:szCs w:val="28"/>
        </w:rPr>
        <w:t>NY: COVID-19 – U.S. SUPREME COURT INJUNCTION [5 T0 4] - GOV. CUOMO’S LIMITS ON RELIGIOUS GATHERINGS</w:t>
      </w:r>
    </w:p>
    <w:p w14:paraId="32EDCE1E" w14:textId="77777777" w:rsidR="00663A6A" w:rsidRPr="00D04237" w:rsidRDefault="00663A6A" w:rsidP="00663A6A">
      <w:pPr>
        <w:rPr>
          <w:rFonts w:ascii="Times New Roman" w:hAnsi="Times New Roman"/>
          <w:sz w:val="24"/>
          <w:szCs w:val="24"/>
        </w:rPr>
      </w:pPr>
      <w:r>
        <w:rPr>
          <w:rFonts w:ascii="Times New Roman" w:hAnsi="Times New Roman"/>
          <w:sz w:val="24"/>
          <w:szCs w:val="24"/>
        </w:rPr>
        <w:t xml:space="preserve">On Nov. 25, 2020, in </w:t>
      </w:r>
      <w:r w:rsidRPr="00D04237">
        <w:rPr>
          <w:rFonts w:ascii="Times New Roman" w:hAnsi="Times New Roman"/>
          <w:sz w:val="24"/>
          <w:szCs w:val="24"/>
          <w:u w:val="single"/>
        </w:rPr>
        <w:t>Roman Catholic Diocese of Brooklyn v. Cuomo and Agudath Israel v. Cuomo</w:t>
      </w:r>
      <w:r>
        <w:rPr>
          <w:rFonts w:ascii="Times New Roman" w:hAnsi="Times New Roman"/>
          <w:sz w:val="24"/>
          <w:szCs w:val="24"/>
        </w:rPr>
        <w:t xml:space="preserve">, the U.S. Supreme Court (5 to 4) issued an emergency injunction on the Governor’s 10-person (“Red Zones”) and 25-person (“Orange Zones”) occupancy limits. </w:t>
      </w:r>
    </w:p>
    <w:p w14:paraId="680921FF" w14:textId="77777777" w:rsidR="00663A6A"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D04237">
        <w:rPr>
          <w:rFonts w:ascii="Times New Roman" w:hAnsi="Times New Roman"/>
          <w:sz w:val="24"/>
          <w:szCs w:val="24"/>
        </w:rPr>
        <w:t>Respondent is enjoined from enforcing Executive Order 202.68’s 10- and 25-person occupancy limits on applicant pending disposition of the appeal in the United States Court of Appeals for the Second Circuit and disposition of the petition for a writ of certiorari, if such writ is timely sought.</w:t>
      </w:r>
    </w:p>
    <w:p w14:paraId="416A3051" w14:textId="77777777" w:rsidR="00663A6A" w:rsidRDefault="00663A6A" w:rsidP="00663A6A">
      <w:pPr>
        <w:pStyle w:val="NoSpacing"/>
        <w:ind w:left="720"/>
        <w:rPr>
          <w:rFonts w:ascii="Times New Roman" w:hAnsi="Times New Roman"/>
          <w:sz w:val="24"/>
          <w:szCs w:val="24"/>
        </w:rPr>
      </w:pPr>
    </w:p>
    <w:p w14:paraId="21CC76DC" w14:textId="77777777" w:rsidR="00663A6A" w:rsidRDefault="00663A6A" w:rsidP="00663A6A">
      <w:pPr>
        <w:pStyle w:val="NoSpacing"/>
        <w:ind w:left="720"/>
        <w:rPr>
          <w:rFonts w:ascii="Times New Roman" w:hAnsi="Times New Roman"/>
          <w:sz w:val="24"/>
          <w:szCs w:val="24"/>
        </w:rPr>
      </w:pPr>
      <w:r w:rsidRPr="00D04237">
        <w:rPr>
          <w:rFonts w:ascii="Times New Roman" w:hAnsi="Times New Roman"/>
          <w:sz w:val="24"/>
          <w:szCs w:val="24"/>
        </w:rPr>
        <w:t xml:space="preserve">In a red zone, while a synagogue or church may not admit more than 10 persons, businesses categorized as </w:t>
      </w:r>
      <w:r>
        <w:rPr>
          <w:rFonts w:ascii="Times New Roman" w:hAnsi="Times New Roman"/>
          <w:sz w:val="24"/>
          <w:szCs w:val="24"/>
        </w:rPr>
        <w:t>‘</w:t>
      </w:r>
      <w:r w:rsidRPr="00D04237">
        <w:rPr>
          <w:rFonts w:ascii="Times New Roman" w:hAnsi="Times New Roman"/>
          <w:sz w:val="24"/>
          <w:szCs w:val="24"/>
        </w:rPr>
        <w:t>essential</w:t>
      </w:r>
      <w:r>
        <w:rPr>
          <w:rFonts w:ascii="Times New Roman" w:hAnsi="Times New Roman"/>
          <w:sz w:val="24"/>
          <w:szCs w:val="24"/>
        </w:rPr>
        <w:t xml:space="preserve">’ </w:t>
      </w:r>
      <w:r w:rsidRPr="00D04237">
        <w:rPr>
          <w:rFonts w:ascii="Times New Roman" w:hAnsi="Times New Roman"/>
          <w:sz w:val="24"/>
          <w:szCs w:val="24"/>
        </w:rPr>
        <w:t xml:space="preserve">may admit as many people as they wish. And the list of “essential” businesses includes things such as acupuncture facilities, </w:t>
      </w:r>
      <w:proofErr w:type="gramStart"/>
      <w:r w:rsidRPr="00D04237">
        <w:rPr>
          <w:rFonts w:ascii="Times New Roman" w:hAnsi="Times New Roman"/>
          <w:sz w:val="24"/>
          <w:szCs w:val="24"/>
        </w:rPr>
        <w:t>camp grounds</w:t>
      </w:r>
      <w:proofErr w:type="gramEnd"/>
      <w:r w:rsidRPr="00D04237">
        <w:rPr>
          <w:rFonts w:ascii="Times New Roman" w:hAnsi="Times New Roman"/>
          <w:sz w:val="24"/>
          <w:szCs w:val="24"/>
        </w:rPr>
        <w:t>, garages, as well as many whose services are not limited to those that can be regarded as essential, such as all plants manufacturing chemicals and mi</w:t>
      </w:r>
      <w:r>
        <w:rPr>
          <w:rFonts w:ascii="Times New Roman" w:hAnsi="Times New Roman"/>
          <w:sz w:val="24"/>
          <w:szCs w:val="24"/>
        </w:rPr>
        <w:t>c</w:t>
      </w:r>
      <w:r w:rsidRPr="00D04237">
        <w:rPr>
          <w:rFonts w:ascii="Times New Roman" w:hAnsi="Times New Roman"/>
          <w:sz w:val="24"/>
          <w:szCs w:val="24"/>
        </w:rPr>
        <w:t>roelectronics and all transportation facilities.</w:t>
      </w:r>
      <w:r>
        <w:rPr>
          <w:rFonts w:ascii="Times New Roman" w:hAnsi="Times New Roman"/>
          <w:sz w:val="24"/>
          <w:szCs w:val="24"/>
        </w:rPr>
        <w:t>”</w:t>
      </w:r>
    </w:p>
    <w:p w14:paraId="3BF88AD2" w14:textId="77777777" w:rsidR="00663A6A" w:rsidRPr="00D04237" w:rsidRDefault="00663A6A" w:rsidP="00663A6A">
      <w:pPr>
        <w:pStyle w:val="NoSpacing"/>
        <w:ind w:left="720"/>
        <w:rPr>
          <w:rFonts w:ascii="Times New Roman" w:hAnsi="Times New Roman"/>
          <w:sz w:val="24"/>
          <w:szCs w:val="24"/>
        </w:rPr>
      </w:pPr>
      <w:hyperlink r:id="rId2391" w:history="1">
        <w:r w:rsidRPr="003E3134">
          <w:rPr>
            <w:rStyle w:val="Hyperlink"/>
            <w:rFonts w:ascii="Times New Roman" w:hAnsi="Times New Roman"/>
            <w:sz w:val="24"/>
            <w:szCs w:val="24"/>
          </w:rPr>
          <w:t>https://www.supremecourt.gov/opinions/20pdf/20a87_4g15.pdf</w:t>
        </w:r>
      </w:hyperlink>
      <w:r w:rsidRPr="00D04237">
        <w:rPr>
          <w:rFonts w:ascii="Times New Roman" w:hAnsi="Times New Roman"/>
          <w:sz w:val="24"/>
          <w:szCs w:val="24"/>
        </w:rPr>
        <w:t xml:space="preserve"> </w:t>
      </w:r>
    </w:p>
    <w:p w14:paraId="48F27D45" w14:textId="77777777" w:rsidR="00663A6A" w:rsidRDefault="00663A6A" w:rsidP="00663A6A">
      <w:pPr>
        <w:pStyle w:val="NoSpacing"/>
      </w:pPr>
    </w:p>
    <w:p w14:paraId="19BC97E3" w14:textId="77777777" w:rsidR="00663A6A" w:rsidRDefault="00663A6A" w:rsidP="00663A6A">
      <w:pPr>
        <w:pStyle w:val="NoSpacing"/>
        <w:rPr>
          <w:rFonts w:ascii="Times New Roman" w:hAnsi="Times New Roman"/>
          <w:b/>
          <w:bCs/>
          <w:sz w:val="24"/>
          <w:szCs w:val="24"/>
        </w:rPr>
      </w:pPr>
      <w:r w:rsidRPr="007D031B">
        <w:rPr>
          <w:b/>
          <w:bCs/>
        </w:rPr>
        <w:t xml:space="preserve"> </w:t>
      </w:r>
      <w:r w:rsidRPr="007D031B">
        <w:rPr>
          <w:rFonts w:ascii="Times New Roman" w:hAnsi="Times New Roman"/>
          <w:b/>
          <w:bCs/>
          <w:sz w:val="24"/>
          <w:szCs w:val="24"/>
        </w:rPr>
        <w:t xml:space="preserve">Legal Lessons Learned: The 5 “conservative” members of the Court issued the injunction, over the dissent of 4 other Justices.  </w:t>
      </w:r>
    </w:p>
    <w:p w14:paraId="731B8E71" w14:textId="77777777" w:rsidR="00663A6A" w:rsidRDefault="00663A6A" w:rsidP="00663A6A">
      <w:pPr>
        <w:pStyle w:val="NoSpacing"/>
        <w:rPr>
          <w:rFonts w:ascii="Times New Roman" w:hAnsi="Times New Roman"/>
          <w:b/>
          <w:bCs/>
          <w:sz w:val="24"/>
          <w:szCs w:val="24"/>
        </w:rPr>
      </w:pPr>
    </w:p>
    <w:p w14:paraId="033480FC" w14:textId="77777777" w:rsidR="00663A6A" w:rsidRDefault="00663A6A" w:rsidP="00663A6A">
      <w:pPr>
        <w:pStyle w:val="NoSpacing"/>
        <w:ind w:left="720"/>
        <w:rPr>
          <w:rFonts w:ascii="Times New Roman" w:hAnsi="Times New Roman"/>
          <w:sz w:val="24"/>
          <w:szCs w:val="24"/>
        </w:rPr>
      </w:pPr>
      <w:r w:rsidRPr="007D031B">
        <w:rPr>
          <w:rFonts w:ascii="Times New Roman" w:hAnsi="Times New Roman"/>
          <w:sz w:val="24"/>
          <w:szCs w:val="24"/>
        </w:rPr>
        <w:t xml:space="preserve">Note: </w:t>
      </w:r>
      <w:r>
        <w:rPr>
          <w:rFonts w:ascii="Times New Roman" w:hAnsi="Times New Roman"/>
          <w:sz w:val="24"/>
          <w:szCs w:val="24"/>
        </w:rPr>
        <w:t xml:space="preserve"> Majority decision by Justices Samuel Alito; Amy Coney Barrett; Neil Gorsuch; Brett Kavanaugh; Clarence Thomas</w:t>
      </w:r>
    </w:p>
    <w:p w14:paraId="2D8BB461" w14:textId="104507CF" w:rsidR="00663A6A" w:rsidRDefault="00663A6A" w:rsidP="00663A6A">
      <w:pPr>
        <w:rPr>
          <w:rFonts w:ascii="Arial Black" w:hAnsi="Arial Black"/>
          <w:b/>
          <w:bCs/>
          <w:sz w:val="28"/>
          <w:szCs w:val="28"/>
        </w:rPr>
      </w:pPr>
      <w:r>
        <w:rPr>
          <w:rFonts w:ascii="Times New Roman" w:hAnsi="Times New Roman"/>
          <w:sz w:val="24"/>
          <w:szCs w:val="24"/>
        </w:rPr>
        <w:t>Dissenting: Chief Justice John Roberts; Justices Steve Breyer; Elana Kagan; Sonia Sotomayor</w:t>
      </w:r>
    </w:p>
    <w:p w14:paraId="6A8A2C1A" w14:textId="77777777" w:rsidR="00663A6A" w:rsidRDefault="00663A6A" w:rsidP="002B1283">
      <w:pPr>
        <w:rPr>
          <w:rFonts w:ascii="Arial Black" w:hAnsi="Arial Black"/>
          <w:b/>
          <w:bCs/>
          <w:sz w:val="28"/>
          <w:szCs w:val="28"/>
        </w:rPr>
      </w:pPr>
    </w:p>
    <w:p w14:paraId="344AEE7E" w14:textId="457D148D" w:rsidR="00663A6A" w:rsidRDefault="00663A6A" w:rsidP="002B1283">
      <w:pPr>
        <w:rPr>
          <w:rFonts w:ascii="Arial Black" w:hAnsi="Arial Black"/>
          <w:b/>
          <w:bCs/>
          <w:sz w:val="28"/>
          <w:szCs w:val="28"/>
        </w:rPr>
      </w:pPr>
      <w:r>
        <w:rPr>
          <w:rFonts w:ascii="Arial Black" w:hAnsi="Arial Black"/>
          <w:b/>
          <w:bCs/>
          <w:sz w:val="28"/>
          <w:szCs w:val="28"/>
        </w:rPr>
        <w:t>13-71</w:t>
      </w:r>
    </w:p>
    <w:p w14:paraId="5B075897" w14:textId="77777777" w:rsidR="00663A6A" w:rsidRPr="00E85284" w:rsidRDefault="00663A6A" w:rsidP="00663A6A">
      <w:pPr>
        <w:pStyle w:val="NoSpacing"/>
        <w:rPr>
          <w:rFonts w:ascii="Arial Black" w:hAnsi="Arial Black"/>
          <w:sz w:val="28"/>
          <w:szCs w:val="28"/>
        </w:rPr>
      </w:pPr>
      <w:r>
        <w:rPr>
          <w:rFonts w:ascii="Arial Black" w:hAnsi="Arial Black"/>
          <w:sz w:val="28"/>
          <w:szCs w:val="28"/>
        </w:rPr>
        <w:t>GA: ISLAND RESIDENTS SUE COUNTY – POOR EMS SERVICE – EXPERT’S REPORT ADMISSIBLE – RELIABLE / HELPFUL</w:t>
      </w:r>
    </w:p>
    <w:p w14:paraId="43DE7804" w14:textId="77777777" w:rsidR="00663A6A" w:rsidRPr="00E85284" w:rsidRDefault="00663A6A" w:rsidP="00663A6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23, 2020, in </w:t>
      </w:r>
      <w:r w:rsidRPr="00E85284">
        <w:rPr>
          <w:rFonts w:ascii="Times New Roman" w:hAnsi="Times New Roman"/>
          <w:sz w:val="24"/>
          <w:szCs w:val="24"/>
          <w:u w:val="single"/>
        </w:rPr>
        <w:t>Melvin Banks, Sr., et al. v. Mc</w:t>
      </w:r>
      <w:r>
        <w:rPr>
          <w:rFonts w:ascii="Times New Roman" w:hAnsi="Times New Roman"/>
          <w:sz w:val="24"/>
          <w:szCs w:val="24"/>
          <w:u w:val="single"/>
        </w:rPr>
        <w:t>I</w:t>
      </w:r>
      <w:r w:rsidRPr="00E85284">
        <w:rPr>
          <w:rFonts w:ascii="Times New Roman" w:hAnsi="Times New Roman"/>
          <w:sz w:val="24"/>
          <w:szCs w:val="24"/>
          <w:u w:val="single"/>
        </w:rPr>
        <w:t>ntosh County</w:t>
      </w:r>
      <w:r>
        <w:rPr>
          <w:rFonts w:ascii="Times New Roman" w:hAnsi="Times New Roman"/>
          <w:sz w:val="24"/>
          <w:szCs w:val="24"/>
        </w:rPr>
        <w:t xml:space="preserve">, U.S. Magistrate Judge Benjamin W. Cheesbro, U.S. District Court for South District of Georgie, denied the County’s motion to exclude </w:t>
      </w:r>
      <w:r w:rsidRPr="00F26776">
        <w:rPr>
          <w:rFonts w:ascii="Times New Roman" w:hAnsi="Times New Roman"/>
          <w:sz w:val="24"/>
          <w:szCs w:val="24"/>
        </w:rPr>
        <w:t xml:space="preserve">the expert testimony </w:t>
      </w:r>
      <w:r>
        <w:rPr>
          <w:rFonts w:ascii="Times New Roman" w:hAnsi="Times New Roman"/>
          <w:sz w:val="24"/>
          <w:szCs w:val="24"/>
        </w:rPr>
        <w:t xml:space="preserve">and report </w:t>
      </w:r>
      <w:r w:rsidRPr="00F26776">
        <w:rPr>
          <w:rFonts w:ascii="Times New Roman" w:hAnsi="Times New Roman"/>
          <w:sz w:val="24"/>
          <w:szCs w:val="24"/>
        </w:rPr>
        <w:t>of Dr. William Fales</w:t>
      </w:r>
      <w:r>
        <w:rPr>
          <w:rFonts w:ascii="Times New Roman" w:hAnsi="Times New Roman"/>
          <w:sz w:val="24"/>
          <w:szCs w:val="24"/>
        </w:rPr>
        <w:t xml:space="preserve">, since he has extensive experience in EMS.  </w:t>
      </w:r>
    </w:p>
    <w:p w14:paraId="48AEFF27" w14:textId="77777777" w:rsidR="00663A6A"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F26776">
        <w:rPr>
          <w:rFonts w:ascii="Times New Roman" w:hAnsi="Times New Roman"/>
          <w:sz w:val="24"/>
          <w:szCs w:val="24"/>
        </w:rPr>
        <w:t>In other words, Dr. Fales</w:t>
      </w:r>
      <w:r>
        <w:rPr>
          <w:rFonts w:ascii="Times New Roman" w:hAnsi="Times New Roman"/>
          <w:sz w:val="24"/>
          <w:szCs w:val="24"/>
        </w:rPr>
        <w:t>’</w:t>
      </w:r>
      <w:r w:rsidRPr="00F26776">
        <w:rPr>
          <w:rFonts w:ascii="Times New Roman" w:hAnsi="Times New Roman"/>
          <w:sz w:val="24"/>
          <w:szCs w:val="24"/>
        </w:rPr>
        <w:t xml:space="preserve"> opinions concern how and when various healthcare assets are deployed and utilized on a system-wide basis, not the adequacy of specific forms of medical care or treatment. Dr. Fales</w:t>
      </w:r>
      <w:r>
        <w:rPr>
          <w:rFonts w:ascii="Times New Roman" w:hAnsi="Times New Roman"/>
          <w:sz w:val="24"/>
          <w:szCs w:val="24"/>
        </w:rPr>
        <w:t>’</w:t>
      </w:r>
      <w:r w:rsidRPr="00F26776">
        <w:rPr>
          <w:rFonts w:ascii="Times New Roman" w:hAnsi="Times New Roman"/>
          <w:sz w:val="24"/>
          <w:szCs w:val="24"/>
        </w:rPr>
        <w:t xml:space="preserve"> recommendations highlight this distinction. For example, Dr. Fales recommends Sapelo Island First Responders should have a dedicated vehicle (Recommendation B7) and the fireboat used by McIntosh County EMS should be moved from one location to another (Recommendation C3). Doc. 273-1 at 50.</w:t>
      </w:r>
    </w:p>
    <w:p w14:paraId="7C7F62DE" w14:textId="77777777" w:rsidR="00663A6A" w:rsidRPr="00F26776" w:rsidRDefault="00663A6A" w:rsidP="00663A6A">
      <w:pPr>
        <w:pStyle w:val="NoSpacing"/>
        <w:rPr>
          <w:rFonts w:ascii="Times New Roman" w:hAnsi="Times New Roman"/>
          <w:sz w:val="24"/>
          <w:szCs w:val="24"/>
        </w:rPr>
      </w:pPr>
    </w:p>
    <w:p w14:paraId="3E00C779" w14:textId="77777777" w:rsidR="00663A6A" w:rsidRDefault="00663A6A" w:rsidP="00663A6A">
      <w:pPr>
        <w:pStyle w:val="NoSpacing"/>
        <w:ind w:left="720"/>
        <w:rPr>
          <w:rFonts w:ascii="Times New Roman" w:hAnsi="Times New Roman"/>
          <w:sz w:val="24"/>
          <w:szCs w:val="24"/>
        </w:rPr>
      </w:pPr>
      <w:r w:rsidRPr="00F26776">
        <w:rPr>
          <w:rFonts w:ascii="Times New Roman" w:hAnsi="Times New Roman"/>
          <w:sz w:val="24"/>
          <w:szCs w:val="24"/>
        </w:rPr>
        <w:t xml:space="preserve">Recommendation A3 provides that the McIntosh County EMS should use Wiregrass 911 to adopt a formal 911 system. Doc. 273-1 at 48. Recommendation A4 provides the County should adopt a tiered response plan for the Sapelo Island EMS Response Plan based on patient acuity. </w:t>
      </w:r>
      <w:r w:rsidRPr="00F26776">
        <w:rPr>
          <w:rFonts w:ascii="Times New Roman" w:hAnsi="Times New Roman"/>
          <w:sz w:val="24"/>
          <w:szCs w:val="24"/>
          <w:u w:val="single"/>
        </w:rPr>
        <w:t>Id.</w:t>
      </w:r>
      <w:r w:rsidRPr="00F26776">
        <w:rPr>
          <w:rFonts w:ascii="Times New Roman" w:hAnsi="Times New Roman"/>
          <w:sz w:val="24"/>
          <w:szCs w:val="24"/>
        </w:rPr>
        <w:t xml:space="preserve"> Recommendation C1 provides McIntosh County should develop a form EMS Response Plan for Sapelo Island. </w:t>
      </w:r>
      <w:r w:rsidRPr="00F26776">
        <w:rPr>
          <w:rFonts w:ascii="Times New Roman" w:hAnsi="Times New Roman"/>
          <w:sz w:val="24"/>
          <w:szCs w:val="24"/>
          <w:u w:val="single"/>
        </w:rPr>
        <w:t>Id.</w:t>
      </w:r>
      <w:r w:rsidRPr="00F26776">
        <w:rPr>
          <w:rFonts w:ascii="Times New Roman" w:hAnsi="Times New Roman"/>
          <w:sz w:val="24"/>
          <w:szCs w:val="24"/>
        </w:rPr>
        <w:t xml:space="preserve"> At 49. Recommendation C2 also provides McIntosh County EMS should work in collaboration with Wiregrass 911. </w:t>
      </w:r>
      <w:r w:rsidRPr="00F26776">
        <w:rPr>
          <w:rFonts w:ascii="Times New Roman" w:hAnsi="Times New Roman"/>
          <w:sz w:val="24"/>
          <w:szCs w:val="24"/>
          <w:u w:val="single"/>
        </w:rPr>
        <w:t>Id.</w:t>
      </w:r>
      <w:r w:rsidRPr="00F26776">
        <w:rPr>
          <w:rFonts w:ascii="Times New Roman" w:hAnsi="Times New Roman"/>
          <w:sz w:val="24"/>
          <w:szCs w:val="24"/>
        </w:rPr>
        <w:t xml:space="preserve"> Recommendation C6 provides McIntosh County should develop a training program for first responders serving Sapelo Island to ensure effective EMS. </w:t>
      </w:r>
      <w:r w:rsidRPr="00F26776">
        <w:rPr>
          <w:rFonts w:ascii="Times New Roman" w:hAnsi="Times New Roman"/>
          <w:sz w:val="24"/>
          <w:szCs w:val="24"/>
          <w:u w:val="single"/>
        </w:rPr>
        <w:t>Id.</w:t>
      </w:r>
      <w:r w:rsidRPr="00F26776">
        <w:rPr>
          <w:rFonts w:ascii="Times New Roman" w:hAnsi="Times New Roman"/>
          <w:sz w:val="24"/>
          <w:szCs w:val="24"/>
        </w:rPr>
        <w:t xml:space="preserve"> Recommendation C7 provides McIntosh County EMS should established a quality improvement program. </w:t>
      </w:r>
      <w:r w:rsidRPr="00F26776">
        <w:rPr>
          <w:rFonts w:ascii="Times New Roman" w:hAnsi="Times New Roman"/>
          <w:sz w:val="24"/>
          <w:szCs w:val="24"/>
          <w:u w:val="single"/>
        </w:rPr>
        <w:t>Id.</w:t>
      </w:r>
      <w:r w:rsidRPr="00F26776">
        <w:rPr>
          <w:rFonts w:ascii="Times New Roman" w:hAnsi="Times New Roman"/>
          <w:sz w:val="24"/>
          <w:szCs w:val="24"/>
        </w:rPr>
        <w:t xml:space="preserve"> At 50. Recommendation C9 provides McIntosh County EMS should apply for a federal grant to </w:t>
      </w:r>
      <w:proofErr w:type="gramStart"/>
      <w:r w:rsidRPr="00F26776">
        <w:rPr>
          <w:rFonts w:ascii="Times New Roman" w:hAnsi="Times New Roman"/>
          <w:sz w:val="24"/>
          <w:szCs w:val="24"/>
        </w:rPr>
        <w:t>help better</w:t>
      </w:r>
      <w:proofErr w:type="gramEnd"/>
      <w:r w:rsidRPr="00F26776">
        <w:rPr>
          <w:rFonts w:ascii="Times New Roman" w:hAnsi="Times New Roman"/>
          <w:sz w:val="24"/>
          <w:szCs w:val="24"/>
        </w:rPr>
        <w:t xml:space="preserve"> serve both the County as a whole and the Island. </w:t>
      </w:r>
      <w:r w:rsidRPr="00F26776">
        <w:rPr>
          <w:rFonts w:ascii="Times New Roman" w:hAnsi="Times New Roman"/>
          <w:sz w:val="24"/>
          <w:szCs w:val="24"/>
          <w:u w:val="single"/>
        </w:rPr>
        <w:t>Id</w:t>
      </w:r>
      <w:r>
        <w:rPr>
          <w:rFonts w:ascii="Times New Roman" w:hAnsi="Times New Roman"/>
          <w:sz w:val="24"/>
          <w:szCs w:val="24"/>
        </w:rPr>
        <w:t>.”</w:t>
      </w:r>
    </w:p>
    <w:p w14:paraId="3EF14B4B" w14:textId="77777777" w:rsidR="00663A6A" w:rsidRDefault="00663A6A" w:rsidP="00663A6A">
      <w:pPr>
        <w:pStyle w:val="NoSpacing"/>
        <w:ind w:left="720"/>
      </w:pPr>
      <w:hyperlink r:id="rId2392" w:history="1">
        <w:r w:rsidRPr="00AA126E">
          <w:rPr>
            <w:rStyle w:val="Hyperlink"/>
          </w:rPr>
          <w:t>https://public.fastcase.com/Wl%2B2t%2BeVuI35%2FN70vAMFZu2kCKVGtKJMtqi4A8YrO%2FA1C58cJM7PHa67poZD1rnP</w:t>
        </w:r>
      </w:hyperlink>
      <w:r>
        <w:t xml:space="preserve"> </w:t>
      </w:r>
    </w:p>
    <w:p w14:paraId="49E24A05" w14:textId="77777777" w:rsidR="00663A6A" w:rsidRDefault="00663A6A" w:rsidP="00663A6A">
      <w:pPr>
        <w:pStyle w:val="NoSpacing"/>
        <w:rPr>
          <w:rFonts w:ascii="Times New Roman" w:hAnsi="Times New Roman"/>
          <w:sz w:val="24"/>
          <w:szCs w:val="24"/>
        </w:rPr>
      </w:pPr>
    </w:p>
    <w:p w14:paraId="1C15A1C0" w14:textId="77777777" w:rsidR="00663A6A" w:rsidRPr="00F26776" w:rsidRDefault="00663A6A" w:rsidP="00663A6A">
      <w:pPr>
        <w:spacing w:before="100" w:beforeAutospacing="1" w:after="100" w:afterAutospacing="1" w:line="240" w:lineRule="auto"/>
        <w:rPr>
          <w:rFonts w:ascii="Times New Roman" w:eastAsia="Times New Roman" w:hAnsi="Times New Roman"/>
          <w:b/>
          <w:bCs/>
          <w:sz w:val="24"/>
          <w:szCs w:val="24"/>
        </w:rPr>
      </w:pPr>
      <w:r w:rsidRPr="00295761">
        <w:rPr>
          <w:rFonts w:ascii="Times New Roman" w:hAnsi="Times New Roman"/>
          <w:b/>
          <w:bCs/>
          <w:sz w:val="24"/>
          <w:szCs w:val="24"/>
        </w:rPr>
        <w:t>Legal Lessons Learned:</w:t>
      </w:r>
      <w:r>
        <w:rPr>
          <w:rFonts w:ascii="Times New Roman" w:hAnsi="Times New Roman"/>
          <w:b/>
          <w:bCs/>
          <w:sz w:val="24"/>
          <w:szCs w:val="24"/>
        </w:rPr>
        <w:t xml:space="preserve">  The case may now proceed to trial.   Dr. Fales has apparently never visited </w:t>
      </w:r>
      <w:r w:rsidRPr="00295761">
        <w:rPr>
          <w:rFonts w:ascii="Times New Roman" w:eastAsia="Times New Roman" w:hAnsi="Times New Roman"/>
          <w:b/>
          <w:bCs/>
          <w:sz w:val="24"/>
          <w:szCs w:val="24"/>
        </w:rPr>
        <w:t xml:space="preserve">Sapelo Island; hopefully he will prior to trial. </w:t>
      </w:r>
    </w:p>
    <w:p w14:paraId="04EB0CC8" w14:textId="77777777" w:rsidR="00663A6A" w:rsidRPr="00295761" w:rsidRDefault="00663A6A" w:rsidP="00663A6A">
      <w:pPr>
        <w:pStyle w:val="NormalWeb"/>
        <w:ind w:left="720"/>
      </w:pPr>
      <w:r>
        <w:t xml:space="preserve">Note: Sapelo Island looks like a lovely place. </w:t>
      </w:r>
      <w:hyperlink r:id="rId2393" w:history="1">
        <w:r w:rsidRPr="00AA126E">
          <w:rPr>
            <w:rStyle w:val="Hyperlink"/>
          </w:rPr>
          <w:t>https://www.exploregeorgia.org/city/sapelo-island</w:t>
        </w:r>
      </w:hyperlink>
      <w:r>
        <w:t xml:space="preserve"> </w:t>
      </w:r>
    </w:p>
    <w:p w14:paraId="485619D1" w14:textId="77777777" w:rsidR="00663A6A" w:rsidRPr="00295761" w:rsidRDefault="00663A6A" w:rsidP="00663A6A">
      <w:pPr>
        <w:pStyle w:val="NormalWeb"/>
        <w:ind w:left="1440"/>
      </w:pPr>
      <w:r>
        <w:t>“</w:t>
      </w:r>
      <w:r w:rsidRPr="00295761">
        <w:t xml:space="preserve">Sapelo is a state-managed barrier island, the fourth largest in the chain of coastal Georgia islands between the Savannah and St. </w:t>
      </w:r>
      <w:proofErr w:type="spellStart"/>
      <w:r w:rsidRPr="00295761">
        <w:t>Marys</w:t>
      </w:r>
      <w:proofErr w:type="spellEnd"/>
      <w:r w:rsidRPr="00295761">
        <w:t xml:space="preserve"> rivers. Accessible only by passenger ferry, Sapelo provides </w:t>
      </w:r>
      <w:proofErr w:type="gramStart"/>
      <w:r w:rsidRPr="00295761">
        <w:t>a number of</w:t>
      </w:r>
      <w:proofErr w:type="gramEnd"/>
      <w:r w:rsidRPr="00295761">
        <w:t xml:space="preserve"> public access recreational, educational and lodging opportunities.</w:t>
      </w:r>
      <w:r>
        <w:t xml:space="preserve"> </w:t>
      </w:r>
      <w:r w:rsidRPr="00295761">
        <w:t>The Georgia Department of Natural Resources (DNR) manages the island. DNR operates the ferry service and serves as state liaison for the Sapelo Island National Estuarine Research Reserve, the University of Georgia Marine Institute, and the civilian Hog Hammock community, permanent home to about 70 full-time residents, many of whom are descended from the antebellum slaves of Sapelo</w:t>
      </w:r>
      <w:r>
        <w:t>’</w:t>
      </w:r>
      <w:r w:rsidRPr="00295761">
        <w:t>s plantations.</w:t>
      </w:r>
      <w:r>
        <w:t xml:space="preserve">” </w:t>
      </w:r>
    </w:p>
    <w:p w14:paraId="1ABC4AF5" w14:textId="77777777" w:rsidR="00663A6A" w:rsidRDefault="00663A6A" w:rsidP="002B1283">
      <w:pPr>
        <w:rPr>
          <w:rFonts w:ascii="Arial Black" w:hAnsi="Arial Black"/>
          <w:b/>
          <w:bCs/>
          <w:sz w:val="28"/>
          <w:szCs w:val="28"/>
        </w:rPr>
      </w:pPr>
    </w:p>
    <w:p w14:paraId="07D9A146" w14:textId="77777777" w:rsidR="00663A6A" w:rsidRDefault="00663A6A" w:rsidP="002B1283">
      <w:pPr>
        <w:rPr>
          <w:rFonts w:ascii="Arial Black" w:hAnsi="Arial Black"/>
          <w:b/>
          <w:bCs/>
          <w:sz w:val="28"/>
          <w:szCs w:val="28"/>
        </w:rPr>
      </w:pPr>
    </w:p>
    <w:p w14:paraId="50909CCE" w14:textId="449449A2" w:rsidR="00663A6A" w:rsidRDefault="00663A6A" w:rsidP="002B1283">
      <w:pPr>
        <w:rPr>
          <w:rFonts w:ascii="Arial Black" w:hAnsi="Arial Black"/>
          <w:b/>
          <w:bCs/>
          <w:sz w:val="28"/>
          <w:szCs w:val="28"/>
        </w:rPr>
      </w:pPr>
      <w:r>
        <w:rPr>
          <w:rFonts w:ascii="Arial Black" w:hAnsi="Arial Black"/>
          <w:b/>
          <w:bCs/>
          <w:sz w:val="28"/>
          <w:szCs w:val="28"/>
        </w:rPr>
        <w:t>13-70</w:t>
      </w:r>
    </w:p>
    <w:p w14:paraId="2E0F17CB" w14:textId="77777777" w:rsidR="00663A6A" w:rsidRDefault="00663A6A" w:rsidP="00663A6A">
      <w:pPr>
        <w:rPr>
          <w:rFonts w:ascii="Arial Black" w:hAnsi="Arial Black"/>
          <w:sz w:val="28"/>
          <w:szCs w:val="28"/>
        </w:rPr>
      </w:pPr>
      <w:r>
        <w:rPr>
          <w:rFonts w:ascii="Arial Black" w:hAnsi="Arial Black"/>
          <w:sz w:val="28"/>
          <w:szCs w:val="28"/>
        </w:rPr>
        <w:t>OH:  COVID-19 TEMPORARY STATUTE – EMS AUTHORIZED WORK IN HOSPITAL ED AND IN OTHER HOSPITAL AREAS</w:t>
      </w:r>
    </w:p>
    <w:p w14:paraId="14109486" w14:textId="77777777" w:rsidR="00663A6A" w:rsidRPr="00304944" w:rsidRDefault="00663A6A" w:rsidP="00663A6A">
      <w:pPr>
        <w:rPr>
          <w:rFonts w:ascii="Times New Roman" w:hAnsi="Times New Roman"/>
          <w:sz w:val="24"/>
          <w:szCs w:val="24"/>
        </w:rPr>
      </w:pPr>
      <w:r>
        <w:rPr>
          <w:rFonts w:ascii="Times New Roman" w:hAnsi="Times New Roman"/>
          <w:sz w:val="24"/>
          <w:szCs w:val="24"/>
        </w:rPr>
        <w:t xml:space="preserve">On Nov. 23, 2021, the Governor of Ohio signed </w:t>
      </w:r>
      <w:proofErr w:type="gramStart"/>
      <w:r>
        <w:rPr>
          <w:rFonts w:ascii="Times New Roman" w:hAnsi="Times New Roman"/>
          <w:sz w:val="24"/>
          <w:szCs w:val="24"/>
        </w:rPr>
        <w:t>into law House Bill 151</w:t>
      </w:r>
      <w:proofErr w:type="gramEnd"/>
      <w:r>
        <w:rPr>
          <w:rFonts w:ascii="Times New Roman" w:hAnsi="Times New Roman"/>
          <w:sz w:val="24"/>
          <w:szCs w:val="24"/>
        </w:rPr>
        <w:t>, provides in part:</w:t>
      </w:r>
    </w:p>
    <w:p w14:paraId="5B1EA0FC" w14:textId="77777777" w:rsidR="00663A6A" w:rsidRDefault="00663A6A" w:rsidP="00663A6A">
      <w:pPr>
        <w:ind w:left="720"/>
        <w:rPr>
          <w:rFonts w:ascii="Times New Roman" w:hAnsi="Times New Roman"/>
          <w:sz w:val="24"/>
          <w:szCs w:val="24"/>
        </w:rPr>
      </w:pPr>
      <w:r>
        <w:rPr>
          <w:rFonts w:ascii="Times New Roman" w:hAnsi="Times New Roman"/>
          <w:sz w:val="24"/>
          <w:szCs w:val="24"/>
        </w:rPr>
        <w:t>“</w:t>
      </w:r>
      <w:r w:rsidRPr="00304944">
        <w:rPr>
          <w:rFonts w:ascii="Times New Roman" w:hAnsi="Times New Roman"/>
          <w:sz w:val="24"/>
          <w:szCs w:val="24"/>
        </w:rPr>
        <w:t>(B) Beginning on the effective date of this section and until July 1, 2021, and not</w:t>
      </w:r>
      <w:r>
        <w:rPr>
          <w:rFonts w:ascii="Times New Roman" w:hAnsi="Times New Roman"/>
          <w:sz w:val="24"/>
          <w:szCs w:val="24"/>
        </w:rPr>
        <w:t xml:space="preserve"> </w:t>
      </w:r>
      <w:r w:rsidRPr="00304944">
        <w:rPr>
          <w:rFonts w:ascii="Times New Roman" w:hAnsi="Times New Roman"/>
          <w:sz w:val="24"/>
          <w:szCs w:val="24"/>
        </w:rPr>
        <w:t>withstanding</w:t>
      </w:r>
      <w:r>
        <w:rPr>
          <w:rFonts w:ascii="Times New Roman" w:hAnsi="Times New Roman"/>
          <w:sz w:val="24"/>
          <w:szCs w:val="24"/>
        </w:rPr>
        <w:t xml:space="preserve"> </w:t>
      </w:r>
      <w:r w:rsidRPr="00304944">
        <w:rPr>
          <w:rFonts w:ascii="Times New Roman" w:hAnsi="Times New Roman"/>
          <w:sz w:val="24"/>
          <w:szCs w:val="24"/>
        </w:rPr>
        <w:t>any provision of the Revised Code, a first responder, emergency medical technician-basic,</w:t>
      </w:r>
      <w:r>
        <w:rPr>
          <w:rFonts w:ascii="Times New Roman" w:hAnsi="Times New Roman"/>
          <w:sz w:val="24"/>
          <w:szCs w:val="24"/>
        </w:rPr>
        <w:t xml:space="preserve"> </w:t>
      </w:r>
      <w:r w:rsidRPr="00304944">
        <w:rPr>
          <w:rFonts w:ascii="Times New Roman" w:hAnsi="Times New Roman"/>
          <w:sz w:val="24"/>
          <w:szCs w:val="24"/>
        </w:rPr>
        <w:t>emergency medical technician-intermediate, and emergency medical technician-paramedic may</w:t>
      </w:r>
      <w:r>
        <w:rPr>
          <w:rFonts w:ascii="Times New Roman" w:hAnsi="Times New Roman"/>
          <w:sz w:val="24"/>
          <w:szCs w:val="24"/>
        </w:rPr>
        <w:t xml:space="preserve"> </w:t>
      </w:r>
      <w:r w:rsidRPr="00304944">
        <w:rPr>
          <w:rFonts w:ascii="Times New Roman" w:hAnsi="Times New Roman"/>
          <w:sz w:val="24"/>
          <w:szCs w:val="24"/>
        </w:rPr>
        <w:t>perform emergency medical services in any setting, including in any area of a hospital, if the services</w:t>
      </w:r>
      <w:r>
        <w:rPr>
          <w:rFonts w:ascii="Times New Roman" w:hAnsi="Times New Roman"/>
          <w:sz w:val="24"/>
          <w:szCs w:val="24"/>
        </w:rPr>
        <w:t xml:space="preserve"> </w:t>
      </w:r>
      <w:r w:rsidRPr="00304944">
        <w:rPr>
          <w:rFonts w:ascii="Times New Roman" w:hAnsi="Times New Roman"/>
          <w:sz w:val="24"/>
          <w:szCs w:val="24"/>
        </w:rPr>
        <w:t>are performed under the direction and supervision of one of the following</w:t>
      </w:r>
      <w:r>
        <w:rPr>
          <w:rFonts w:ascii="Times New Roman" w:hAnsi="Times New Roman"/>
          <w:sz w:val="24"/>
          <w:szCs w:val="24"/>
        </w:rPr>
        <w:t>:</w:t>
      </w:r>
      <w:r w:rsidRPr="00304944">
        <w:rPr>
          <w:rFonts w:ascii="Times New Roman" w:hAnsi="Times New Roman"/>
          <w:sz w:val="24"/>
          <w:szCs w:val="24"/>
        </w:rPr>
        <w:t>1) A physician;(2) A physician assistant designated by a physician;(3) An advanced practice registered nurse designated by a physician.(C) A first responder, emergency medical technician-basic, emergency medical technician-intermediate, and emergency medical technician-paramedic is not liable in damages in a civil action</w:t>
      </w:r>
      <w:r>
        <w:rPr>
          <w:rFonts w:ascii="Times New Roman" w:hAnsi="Times New Roman"/>
          <w:sz w:val="24"/>
          <w:szCs w:val="24"/>
        </w:rPr>
        <w:t xml:space="preserve"> </w:t>
      </w:r>
      <w:r w:rsidRPr="00304944">
        <w:rPr>
          <w:rFonts w:ascii="Times New Roman" w:hAnsi="Times New Roman"/>
          <w:sz w:val="24"/>
          <w:szCs w:val="24"/>
        </w:rPr>
        <w:t>for injury, death, or loss to person or property resulting from the individual</w:t>
      </w:r>
      <w:r>
        <w:rPr>
          <w:rFonts w:ascii="Times New Roman" w:hAnsi="Times New Roman"/>
          <w:sz w:val="24"/>
          <w:szCs w:val="24"/>
        </w:rPr>
        <w:t>’</w:t>
      </w:r>
      <w:r w:rsidRPr="00304944">
        <w:rPr>
          <w:rFonts w:ascii="Times New Roman" w:hAnsi="Times New Roman"/>
          <w:sz w:val="24"/>
          <w:szCs w:val="24"/>
        </w:rPr>
        <w:t>s administration of</w:t>
      </w:r>
      <w:r>
        <w:rPr>
          <w:rFonts w:ascii="Times New Roman" w:hAnsi="Times New Roman"/>
          <w:sz w:val="24"/>
          <w:szCs w:val="24"/>
        </w:rPr>
        <w:t xml:space="preserve"> </w:t>
      </w:r>
      <w:r w:rsidRPr="00304944">
        <w:rPr>
          <w:rFonts w:ascii="Times New Roman" w:hAnsi="Times New Roman"/>
          <w:sz w:val="24"/>
          <w:szCs w:val="24"/>
        </w:rPr>
        <w:t>emergency medical services, unless the services are administered in a manner that constitutes willful</w:t>
      </w:r>
      <w:r>
        <w:rPr>
          <w:rFonts w:ascii="Times New Roman" w:hAnsi="Times New Roman"/>
          <w:sz w:val="24"/>
          <w:szCs w:val="24"/>
        </w:rPr>
        <w:t xml:space="preserve"> </w:t>
      </w:r>
      <w:r w:rsidRPr="00304944">
        <w:rPr>
          <w:rFonts w:ascii="Times New Roman" w:hAnsi="Times New Roman"/>
          <w:sz w:val="24"/>
          <w:szCs w:val="24"/>
        </w:rPr>
        <w:t>or wanton misconduct.</w:t>
      </w:r>
      <w:r>
        <w:rPr>
          <w:rFonts w:ascii="Times New Roman" w:hAnsi="Times New Roman"/>
          <w:sz w:val="24"/>
          <w:szCs w:val="24"/>
        </w:rPr>
        <w:t xml:space="preserve">” </w:t>
      </w:r>
      <w:hyperlink r:id="rId2394" w:history="1">
        <w:r w:rsidRPr="00695F3D">
          <w:rPr>
            <w:rStyle w:val="Hyperlink"/>
            <w:rFonts w:ascii="Times New Roman" w:hAnsi="Times New Roman"/>
            <w:sz w:val="24"/>
            <w:szCs w:val="24"/>
          </w:rPr>
          <w:t>file:///C:/Users/lawre/AppData/Local/Temp/hb151_05_EN.pdf</w:t>
        </w:r>
      </w:hyperlink>
      <w:r>
        <w:rPr>
          <w:rFonts w:ascii="Times New Roman" w:hAnsi="Times New Roman"/>
          <w:sz w:val="24"/>
          <w:szCs w:val="24"/>
        </w:rPr>
        <w:t xml:space="preserve"> [page 20].</w:t>
      </w:r>
    </w:p>
    <w:p w14:paraId="79E8B821" w14:textId="77777777" w:rsidR="00663A6A" w:rsidRDefault="00663A6A" w:rsidP="00663A6A">
      <w:pPr>
        <w:rPr>
          <w:rFonts w:ascii="Times New Roman" w:hAnsi="Times New Roman"/>
          <w:b/>
          <w:bCs/>
          <w:sz w:val="24"/>
          <w:szCs w:val="24"/>
        </w:rPr>
      </w:pPr>
      <w:r w:rsidRPr="00304944">
        <w:rPr>
          <w:rFonts w:ascii="Times New Roman" w:hAnsi="Times New Roman"/>
          <w:b/>
          <w:bCs/>
          <w:sz w:val="24"/>
          <w:szCs w:val="24"/>
        </w:rPr>
        <w:t xml:space="preserve">Legal Lesson Learned: </w:t>
      </w:r>
      <w:r>
        <w:rPr>
          <w:rFonts w:ascii="Times New Roman" w:hAnsi="Times New Roman"/>
          <w:b/>
          <w:bCs/>
          <w:sz w:val="24"/>
          <w:szCs w:val="24"/>
        </w:rPr>
        <w:t xml:space="preserve">The new law will be helpful to many hospitals; Ohio EMS should keep their FD Medical Director informed of duties performed outside the ED. </w:t>
      </w:r>
    </w:p>
    <w:p w14:paraId="6FECD26E" w14:textId="77777777" w:rsidR="00663A6A" w:rsidRDefault="00663A6A" w:rsidP="00663A6A">
      <w:pPr>
        <w:ind w:left="720"/>
        <w:rPr>
          <w:rFonts w:ascii="Times New Roman" w:hAnsi="Times New Roman"/>
          <w:sz w:val="24"/>
          <w:szCs w:val="24"/>
        </w:rPr>
      </w:pPr>
      <w:r>
        <w:rPr>
          <w:rFonts w:ascii="Times New Roman" w:hAnsi="Times New Roman"/>
          <w:sz w:val="24"/>
          <w:szCs w:val="24"/>
        </w:rPr>
        <w:t xml:space="preserve">Note:  See memo from State Medical Director: </w:t>
      </w:r>
      <w:hyperlink r:id="rId2395" w:history="1">
        <w:r w:rsidRPr="00D74D0C">
          <w:rPr>
            <w:rStyle w:val="Hyperlink"/>
            <w:rFonts w:ascii="Times New Roman" w:hAnsi="Times New Roman"/>
            <w:sz w:val="24"/>
            <w:szCs w:val="24"/>
          </w:rPr>
          <w:t>https://www.ems.ohio.gov/links/COVID-19/Legislated%20COVID-19%20Contingency%20Measures%20for%20Ohio%20EMS.pdf</w:t>
        </w:r>
      </w:hyperlink>
      <w:r>
        <w:rPr>
          <w:rFonts w:ascii="Times New Roman" w:hAnsi="Times New Roman"/>
          <w:sz w:val="24"/>
          <w:szCs w:val="24"/>
        </w:rPr>
        <w:t xml:space="preserve"> </w:t>
      </w:r>
    </w:p>
    <w:p w14:paraId="6B51BD52" w14:textId="77777777" w:rsidR="00663A6A" w:rsidRDefault="00663A6A" w:rsidP="00663A6A">
      <w:pPr>
        <w:ind w:left="1440"/>
        <w:rPr>
          <w:rFonts w:ascii="Times New Roman" w:hAnsi="Times New Roman"/>
          <w:sz w:val="24"/>
          <w:szCs w:val="24"/>
        </w:rPr>
      </w:pPr>
      <w:r>
        <w:rPr>
          <w:rFonts w:ascii="Times New Roman" w:hAnsi="Times New Roman"/>
          <w:sz w:val="24"/>
          <w:szCs w:val="24"/>
        </w:rPr>
        <w:t>“</w:t>
      </w:r>
      <w:r w:rsidRPr="00881C45">
        <w:rPr>
          <w:rFonts w:ascii="Times New Roman" w:hAnsi="Times New Roman"/>
          <w:sz w:val="24"/>
          <w:szCs w:val="24"/>
        </w:rPr>
        <w:t xml:space="preserve">Typically, EMS medical directors and most emergency physicians are well versed in the parameters within the Ohio EMS scope of practice.  However, this may not be the case with other healthcare providers or physicians who specialize in other medical specialties.  Each Ohio EMS provider is responsible for their individual Ohio EMS certification and to ensure that their actions are within the authorized Ohio EMS scope of practice for their respective level of certification.  </w:t>
      </w:r>
      <w:r w:rsidRPr="00881C45">
        <w:rPr>
          <w:rStyle w:val="Strong"/>
          <w:rFonts w:ascii="Times New Roman" w:hAnsi="Times New Roman"/>
          <w:sz w:val="24"/>
          <w:szCs w:val="24"/>
        </w:rPr>
        <w:t>If any healthcare provider requests the provision of emergency medical services that are beyond the Ohio EMS scope of practice, it is the responsibility of the Ohio EMS provider to decline to perform skills or provide services that are not authorized by the State Board of Emergency Medical, Fire, and Transportation Services.</w:t>
      </w:r>
      <w:r>
        <w:rPr>
          <w:rFonts w:ascii="Times New Roman" w:hAnsi="Times New Roman"/>
          <w:sz w:val="24"/>
          <w:szCs w:val="24"/>
        </w:rPr>
        <w:t>” [Emphasis in original.]</w:t>
      </w:r>
    </w:p>
    <w:p w14:paraId="59B53D66" w14:textId="77777777" w:rsidR="00663A6A" w:rsidRDefault="00663A6A" w:rsidP="002B1283">
      <w:pPr>
        <w:rPr>
          <w:rFonts w:ascii="Arial Black" w:hAnsi="Arial Black"/>
          <w:b/>
          <w:bCs/>
          <w:sz w:val="28"/>
          <w:szCs w:val="28"/>
        </w:rPr>
      </w:pPr>
    </w:p>
    <w:p w14:paraId="5F291CDD" w14:textId="77777777" w:rsidR="00663A6A" w:rsidRDefault="00663A6A" w:rsidP="002B1283">
      <w:pPr>
        <w:rPr>
          <w:rFonts w:ascii="Arial Black" w:hAnsi="Arial Black"/>
          <w:b/>
          <w:bCs/>
          <w:sz w:val="28"/>
          <w:szCs w:val="28"/>
        </w:rPr>
      </w:pPr>
    </w:p>
    <w:p w14:paraId="793864CE" w14:textId="56DC5EAE" w:rsidR="00663A6A" w:rsidRDefault="00663A6A" w:rsidP="002B1283">
      <w:pPr>
        <w:rPr>
          <w:rFonts w:ascii="Arial Black" w:hAnsi="Arial Black"/>
          <w:b/>
          <w:bCs/>
          <w:sz w:val="28"/>
          <w:szCs w:val="28"/>
        </w:rPr>
      </w:pPr>
      <w:r>
        <w:rPr>
          <w:rFonts w:ascii="Arial Black" w:hAnsi="Arial Black"/>
          <w:b/>
          <w:bCs/>
          <w:sz w:val="28"/>
          <w:szCs w:val="28"/>
        </w:rPr>
        <w:t>13-69</w:t>
      </w:r>
    </w:p>
    <w:p w14:paraId="53486EDD" w14:textId="77777777" w:rsidR="00663A6A" w:rsidRDefault="00663A6A" w:rsidP="00663A6A">
      <w:pPr>
        <w:pStyle w:val="NoSpacing"/>
        <w:rPr>
          <w:rFonts w:ascii="Arial Black" w:hAnsi="Arial Black"/>
          <w:sz w:val="28"/>
          <w:szCs w:val="28"/>
        </w:rPr>
      </w:pPr>
      <w:r>
        <w:rPr>
          <w:rFonts w:ascii="Arial Black" w:hAnsi="Arial Black"/>
          <w:sz w:val="28"/>
          <w:szCs w:val="28"/>
        </w:rPr>
        <w:t>NY: PLAINTIFF PASSED OUT AT CONCERT – REFUSES EMS HELP – ORIENTED TIMES 3 - FALLS ON HIS FACE – CASE DISMISSED</w:t>
      </w:r>
    </w:p>
    <w:p w14:paraId="1CD1F2D9" w14:textId="77777777" w:rsidR="00663A6A" w:rsidRDefault="00663A6A" w:rsidP="00663A6A">
      <w:pPr>
        <w:pStyle w:val="NoSpacing"/>
        <w:rPr>
          <w:rFonts w:ascii="Arial Black" w:hAnsi="Arial Black"/>
          <w:sz w:val="28"/>
          <w:szCs w:val="28"/>
        </w:rPr>
      </w:pPr>
    </w:p>
    <w:p w14:paraId="3D5E2B26" w14:textId="77777777" w:rsidR="00663A6A" w:rsidRDefault="00663A6A" w:rsidP="00663A6A">
      <w:pPr>
        <w:pStyle w:val="NoSpacing"/>
        <w:rPr>
          <w:rFonts w:ascii="Times New Roman" w:hAnsi="Times New Roman"/>
          <w:sz w:val="24"/>
          <w:szCs w:val="24"/>
        </w:rPr>
      </w:pPr>
      <w:r>
        <w:rPr>
          <w:rFonts w:ascii="Times New Roman" w:hAnsi="Times New Roman"/>
          <w:sz w:val="24"/>
          <w:szCs w:val="24"/>
        </w:rPr>
        <w:t xml:space="preserve">On Nov. 19, 2020, in </w:t>
      </w:r>
      <w:r w:rsidRPr="00DF070F">
        <w:rPr>
          <w:rFonts w:ascii="Times New Roman" w:hAnsi="Times New Roman"/>
          <w:sz w:val="24"/>
          <w:szCs w:val="24"/>
          <w:u w:val="single"/>
        </w:rPr>
        <w:t>Anthony Fornabaio, et a. v. Beacon Broadway Company, Inc.</w:t>
      </w:r>
      <w:r>
        <w:rPr>
          <w:rFonts w:ascii="Times New Roman" w:hAnsi="Times New Roman"/>
          <w:sz w:val="24"/>
          <w:szCs w:val="24"/>
          <w:u w:val="single"/>
        </w:rPr>
        <w:t xml:space="preserve">; </w:t>
      </w:r>
      <w:proofErr w:type="spellStart"/>
      <w:r>
        <w:rPr>
          <w:rFonts w:ascii="Times New Roman" w:hAnsi="Times New Roman"/>
          <w:sz w:val="24"/>
          <w:szCs w:val="24"/>
          <w:u w:val="single"/>
        </w:rPr>
        <w:t>Transcare</w:t>
      </w:r>
      <w:proofErr w:type="spellEnd"/>
      <w:r>
        <w:rPr>
          <w:rFonts w:ascii="Times New Roman" w:hAnsi="Times New Roman"/>
          <w:sz w:val="24"/>
          <w:szCs w:val="24"/>
          <w:u w:val="single"/>
        </w:rPr>
        <w:t xml:space="preserve"> Corporation,</w:t>
      </w:r>
      <w:r w:rsidRPr="00DF070F">
        <w:rPr>
          <w:rFonts w:ascii="Times New Roman" w:hAnsi="Times New Roman"/>
          <w:sz w:val="24"/>
          <w:szCs w:val="24"/>
          <w:u w:val="single"/>
        </w:rPr>
        <w:t xml:space="preserve"> et al</w:t>
      </w:r>
      <w:r>
        <w:rPr>
          <w:rFonts w:ascii="Times New Roman" w:hAnsi="Times New Roman"/>
          <w:sz w:val="24"/>
          <w:szCs w:val="24"/>
        </w:rPr>
        <w:t xml:space="preserve">., the Appellate Division of the Supreme Court of New York, held (3 to 0) that when a competent adult  patient refuses EMS help, his lawsuit against the concert provider and </w:t>
      </w:r>
      <w:proofErr w:type="spellStart"/>
      <w:r>
        <w:rPr>
          <w:rFonts w:ascii="Times New Roman" w:hAnsi="Times New Roman"/>
          <w:sz w:val="24"/>
          <w:szCs w:val="24"/>
        </w:rPr>
        <w:t>Transcare</w:t>
      </w:r>
      <w:proofErr w:type="spellEnd"/>
      <w:r>
        <w:rPr>
          <w:rFonts w:ascii="Times New Roman" w:hAnsi="Times New Roman"/>
          <w:sz w:val="24"/>
          <w:szCs w:val="24"/>
        </w:rPr>
        <w:t>, the EMS provider should be dismissed.</w:t>
      </w:r>
    </w:p>
    <w:p w14:paraId="60AA331C" w14:textId="77777777" w:rsidR="00663A6A" w:rsidRPr="00765480" w:rsidRDefault="00663A6A" w:rsidP="00663A6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765480">
        <w:rPr>
          <w:rFonts w:ascii="Times New Roman" w:hAnsi="Times New Roman"/>
          <w:sz w:val="24"/>
          <w:szCs w:val="24"/>
        </w:rPr>
        <w:t xml:space="preserve">Any duty Beacon or </w:t>
      </w:r>
      <w:proofErr w:type="spellStart"/>
      <w:r w:rsidRPr="00765480">
        <w:rPr>
          <w:rFonts w:ascii="Times New Roman" w:hAnsi="Times New Roman"/>
          <w:sz w:val="24"/>
          <w:szCs w:val="24"/>
        </w:rPr>
        <w:t>Transcare</w:t>
      </w:r>
      <w:proofErr w:type="spellEnd"/>
      <w:r w:rsidRPr="00765480">
        <w:rPr>
          <w:rFonts w:ascii="Times New Roman" w:hAnsi="Times New Roman"/>
          <w:sz w:val="24"/>
          <w:szCs w:val="24"/>
        </w:rPr>
        <w:t xml:space="preserve"> owed to plaintiff to assist him in exiting the theater terminated when he refused such assistance. It is well settled that a competent adult has the right to determine the course of his or her own medical treatment, including declining treatment </w:t>
      </w:r>
      <w:r w:rsidRPr="00765480">
        <w:rPr>
          <w:rFonts w:ascii="Times New Roman" w:hAnsi="Times New Roman"/>
          <w:i/>
          <w:iCs/>
          <w:sz w:val="24"/>
          <w:szCs w:val="24"/>
        </w:rPr>
        <w:t>(Matter of Fosmire v Nicoleau</w:t>
      </w:r>
      <w:r w:rsidRPr="00765480">
        <w:rPr>
          <w:rFonts w:ascii="Times New Roman" w:hAnsi="Times New Roman"/>
          <w:sz w:val="24"/>
          <w:szCs w:val="24"/>
        </w:rPr>
        <w:t xml:space="preserve">, 75 NY2d 218, 226 [1990]). Plaintiff does not dispute that he refused assistance in standing or ambulating. Further, the testimony was that the EMT technician assessed plaintiff as alert and oriented as he left his seat to exit the theater. Given this, the complaint should have been dismissed in its entirety as to defendants Beacon and </w:t>
      </w:r>
      <w:proofErr w:type="spellStart"/>
      <w:r w:rsidRPr="00765480">
        <w:rPr>
          <w:rFonts w:ascii="Times New Roman" w:hAnsi="Times New Roman"/>
          <w:sz w:val="24"/>
          <w:szCs w:val="24"/>
        </w:rPr>
        <w:t>Transcare</w:t>
      </w:r>
      <w:proofErr w:type="spellEnd"/>
      <w:r w:rsidRPr="00765480">
        <w:rPr>
          <w:rFonts w:ascii="Times New Roman" w:hAnsi="Times New Roman"/>
          <w:sz w:val="24"/>
          <w:szCs w:val="24"/>
        </w:rPr>
        <w:t xml:space="preserve"> (</w:t>
      </w:r>
      <w:r w:rsidRPr="00765480">
        <w:rPr>
          <w:rFonts w:ascii="Times New Roman" w:hAnsi="Times New Roman"/>
          <w:i/>
          <w:iCs/>
          <w:sz w:val="24"/>
          <w:szCs w:val="24"/>
        </w:rPr>
        <w:t>see Branda v MV Pub</w:t>
      </w:r>
      <w:r w:rsidRPr="00765480">
        <w:rPr>
          <w:rFonts w:ascii="Times New Roman" w:hAnsi="Times New Roman"/>
          <w:sz w:val="24"/>
          <w:szCs w:val="24"/>
        </w:rPr>
        <w:t xml:space="preserve">. </w:t>
      </w:r>
      <w:r w:rsidRPr="00765480">
        <w:rPr>
          <w:rFonts w:ascii="Times New Roman" w:hAnsi="Times New Roman"/>
          <w:i/>
          <w:iCs/>
          <w:sz w:val="24"/>
          <w:szCs w:val="24"/>
        </w:rPr>
        <w:t>Transp</w:t>
      </w:r>
      <w:r w:rsidRPr="00765480">
        <w:rPr>
          <w:rFonts w:ascii="Times New Roman" w:hAnsi="Times New Roman"/>
          <w:sz w:val="24"/>
          <w:szCs w:val="24"/>
        </w:rPr>
        <w:t xml:space="preserve">., </w:t>
      </w:r>
      <w:r w:rsidRPr="00765480">
        <w:rPr>
          <w:rFonts w:ascii="Times New Roman" w:hAnsi="Times New Roman"/>
          <w:i/>
          <w:iCs/>
          <w:sz w:val="24"/>
          <w:szCs w:val="24"/>
        </w:rPr>
        <w:t>Inc</w:t>
      </w:r>
      <w:r w:rsidRPr="00765480">
        <w:rPr>
          <w:rFonts w:ascii="Times New Roman" w:hAnsi="Times New Roman"/>
          <w:sz w:val="24"/>
          <w:szCs w:val="24"/>
        </w:rPr>
        <w:t>., 139 AD3d 636, 637 [1</w:t>
      </w:r>
      <w:r w:rsidRPr="00753DA9">
        <w:rPr>
          <w:rFonts w:ascii="Times New Roman" w:hAnsi="Times New Roman"/>
          <w:sz w:val="24"/>
          <w:szCs w:val="24"/>
          <w:vertAlign w:val="superscript"/>
        </w:rPr>
        <w:t>st</w:t>
      </w:r>
      <w:r w:rsidRPr="00765480">
        <w:rPr>
          <w:rFonts w:ascii="Times New Roman" w:hAnsi="Times New Roman"/>
          <w:sz w:val="24"/>
          <w:szCs w:val="24"/>
        </w:rPr>
        <w:t xml:space="preserve"> Dept 2016]).</w:t>
      </w:r>
      <w:r>
        <w:rPr>
          <w:rFonts w:ascii="Times New Roman" w:hAnsi="Times New Roman"/>
          <w:sz w:val="24"/>
          <w:szCs w:val="24"/>
        </w:rPr>
        <w:t xml:space="preserve">”  </w:t>
      </w:r>
      <w:hyperlink r:id="rId2396" w:history="1">
        <w:r w:rsidRPr="00D35A04">
          <w:rPr>
            <w:rStyle w:val="Hyperlink"/>
            <w:rFonts w:ascii="Times New Roman" w:hAnsi="Times New Roman"/>
            <w:sz w:val="24"/>
            <w:szCs w:val="24"/>
          </w:rPr>
          <w:t>https://public.fastcase.com/Wl%2B2t%2BeVuI35%2FN70vAMFZkrYpDR4hQ33Ax6oS1aJkCwq%2BUGCyTcW0uJ1XV2sRjwT</w:t>
        </w:r>
      </w:hyperlink>
      <w:r>
        <w:rPr>
          <w:rFonts w:ascii="Times New Roman" w:hAnsi="Times New Roman"/>
          <w:sz w:val="24"/>
          <w:szCs w:val="24"/>
        </w:rPr>
        <w:t xml:space="preserve"> </w:t>
      </w:r>
    </w:p>
    <w:p w14:paraId="736C0107" w14:textId="77777777" w:rsidR="00663A6A" w:rsidRPr="00765480" w:rsidRDefault="00663A6A" w:rsidP="00663A6A">
      <w:pPr>
        <w:pStyle w:val="NoSpacing"/>
        <w:rPr>
          <w:rFonts w:ascii="Times New Roman" w:hAnsi="Times New Roman"/>
          <w:b/>
          <w:bCs/>
          <w:sz w:val="24"/>
          <w:szCs w:val="24"/>
        </w:rPr>
      </w:pPr>
      <w:r w:rsidRPr="00765480">
        <w:rPr>
          <w:rFonts w:ascii="Times New Roman" w:hAnsi="Times New Roman"/>
          <w:b/>
          <w:bCs/>
          <w:sz w:val="24"/>
          <w:szCs w:val="24"/>
        </w:rPr>
        <w:t>Legal Lesson Learned:</w:t>
      </w:r>
      <w:r>
        <w:rPr>
          <w:rFonts w:ascii="Times New Roman" w:hAnsi="Times New Roman"/>
          <w:b/>
          <w:bCs/>
          <w:sz w:val="24"/>
          <w:szCs w:val="24"/>
        </w:rPr>
        <w:t xml:space="preserve">  Key facts – person was “alert” and “oriented times three” – led to dismissal of this case. </w:t>
      </w:r>
    </w:p>
    <w:p w14:paraId="1D3787DF" w14:textId="76643925" w:rsidR="00663A6A" w:rsidRDefault="00663A6A" w:rsidP="002B1283">
      <w:pPr>
        <w:rPr>
          <w:rFonts w:ascii="Arial Black" w:hAnsi="Arial Black"/>
          <w:b/>
          <w:bCs/>
          <w:sz w:val="28"/>
          <w:szCs w:val="28"/>
        </w:rPr>
      </w:pPr>
    </w:p>
    <w:p w14:paraId="7DF1370D" w14:textId="77777777" w:rsidR="00663A6A" w:rsidRDefault="00663A6A" w:rsidP="002B1283">
      <w:pPr>
        <w:rPr>
          <w:rFonts w:ascii="Arial Black" w:hAnsi="Arial Black"/>
          <w:b/>
          <w:bCs/>
          <w:sz w:val="28"/>
          <w:szCs w:val="28"/>
        </w:rPr>
      </w:pPr>
    </w:p>
    <w:p w14:paraId="67C87D3D" w14:textId="3A3A7E95" w:rsidR="00663A6A" w:rsidRDefault="00663A6A" w:rsidP="002B1283">
      <w:pPr>
        <w:rPr>
          <w:rFonts w:ascii="Arial Black" w:hAnsi="Arial Black"/>
          <w:b/>
          <w:bCs/>
          <w:sz w:val="28"/>
          <w:szCs w:val="28"/>
        </w:rPr>
      </w:pPr>
      <w:r>
        <w:rPr>
          <w:rFonts w:ascii="Arial Black" w:hAnsi="Arial Black"/>
          <w:b/>
          <w:bCs/>
          <w:sz w:val="28"/>
          <w:szCs w:val="28"/>
        </w:rPr>
        <w:t>13-68</w:t>
      </w:r>
    </w:p>
    <w:p w14:paraId="1A355046" w14:textId="77777777" w:rsidR="00663A6A" w:rsidRPr="005166FA" w:rsidRDefault="00663A6A" w:rsidP="00663A6A">
      <w:pPr>
        <w:pStyle w:val="NoSpacing"/>
        <w:rPr>
          <w:rFonts w:ascii="Arial Black" w:hAnsi="Arial Black"/>
          <w:sz w:val="28"/>
          <w:szCs w:val="28"/>
        </w:rPr>
      </w:pPr>
      <w:r>
        <w:rPr>
          <w:rFonts w:ascii="Arial Black" w:hAnsi="Arial Black"/>
          <w:sz w:val="28"/>
          <w:szCs w:val="28"/>
        </w:rPr>
        <w:t>MA: “EXCITED UTERANCE” - EMT ALLOWED TO TESTIFY IN CRIMINAL CASE ABOUT VICTIM’S COMMENTS IN AMBULANCE</w:t>
      </w:r>
    </w:p>
    <w:p w14:paraId="0A555909" w14:textId="77777777" w:rsidR="00663A6A" w:rsidRDefault="00663A6A" w:rsidP="00663A6A">
      <w:pPr>
        <w:spacing w:before="100" w:beforeAutospacing="1" w:after="100" w:afterAutospacing="1" w:line="240" w:lineRule="auto"/>
        <w:rPr>
          <w:rFonts w:ascii="Times New Roman" w:hAnsi="Times New Roman"/>
          <w:sz w:val="24"/>
          <w:szCs w:val="24"/>
        </w:rPr>
      </w:pPr>
      <w:r w:rsidRPr="005166FA">
        <w:rPr>
          <w:rFonts w:ascii="Times New Roman" w:eastAsia="Times New Roman" w:hAnsi="Times New Roman"/>
          <w:sz w:val="24"/>
          <w:szCs w:val="24"/>
        </w:rPr>
        <w:t xml:space="preserve">On </w:t>
      </w:r>
      <w:r>
        <w:rPr>
          <w:rFonts w:ascii="Times New Roman" w:eastAsia="Times New Roman" w:hAnsi="Times New Roman"/>
          <w:sz w:val="24"/>
          <w:szCs w:val="24"/>
        </w:rPr>
        <w:t xml:space="preserve">Oct. 29, 2020, in </w:t>
      </w:r>
      <w:r w:rsidRPr="005166FA">
        <w:rPr>
          <w:rFonts w:ascii="Times New Roman" w:eastAsia="Times New Roman" w:hAnsi="Times New Roman"/>
          <w:sz w:val="24"/>
          <w:szCs w:val="24"/>
          <w:u w:val="single"/>
        </w:rPr>
        <w:t>Commonwealth v. Antonio Marrero-Mipanda</w:t>
      </w:r>
      <w:r>
        <w:rPr>
          <w:rFonts w:ascii="Times New Roman" w:eastAsia="Times New Roman" w:hAnsi="Times New Roman"/>
          <w:sz w:val="24"/>
          <w:szCs w:val="24"/>
        </w:rPr>
        <w:t xml:space="preserve">, the Commonwealth of Massachusetts Appeals Court, held that the trial court properly allowed the EMT to testify at the defendant’s trial, along with the victim. Defendant’s conviction by jury was affirmed for </w:t>
      </w:r>
      <w:r w:rsidRPr="00F476E6">
        <w:rPr>
          <w:rFonts w:ascii="Times New Roman" w:hAnsi="Times New Roman"/>
          <w:sz w:val="24"/>
          <w:szCs w:val="24"/>
        </w:rPr>
        <w:t>assault with intent to rape and indecent assault and battery on a person fourteen years of age or older</w:t>
      </w:r>
      <w:r>
        <w:rPr>
          <w:rFonts w:ascii="Times New Roman" w:hAnsi="Times New Roman"/>
          <w:sz w:val="24"/>
          <w:szCs w:val="24"/>
        </w:rPr>
        <w:t xml:space="preserve">. </w:t>
      </w:r>
    </w:p>
    <w:p w14:paraId="07456C50" w14:textId="77777777" w:rsidR="00663A6A" w:rsidRDefault="00663A6A" w:rsidP="00663A6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5166FA">
        <w:rPr>
          <w:rFonts w:ascii="Times New Roman" w:eastAsia="Times New Roman" w:hAnsi="Times New Roman"/>
          <w:sz w:val="24"/>
          <w:szCs w:val="24"/>
        </w:rPr>
        <w:t xml:space="preserve">Under the excited utterance (or spontaneous utterance) exception to the rule against hearsay, </w:t>
      </w:r>
      <w:r>
        <w:rPr>
          <w:rFonts w:ascii="Times New Roman" w:eastAsia="Times New Roman" w:hAnsi="Times New Roman"/>
          <w:sz w:val="24"/>
          <w:szCs w:val="24"/>
        </w:rPr>
        <w:t>‘</w:t>
      </w:r>
      <w:r w:rsidRPr="005166FA">
        <w:rPr>
          <w:rFonts w:ascii="Times New Roman" w:eastAsia="Times New Roman" w:hAnsi="Times New Roman"/>
          <w:sz w:val="24"/>
          <w:szCs w:val="24"/>
        </w:rPr>
        <w:t>[a] spontaneous utterance will be admitted in evidence if (1) there is an occurrence or event 'sufficiently startling to render inoperative the normal reflective thought processes of the observer,' and (2) if the declarant's statement was a 'spontaneous reaction to the occurrence or event and not</w:t>
      </w:r>
      <w:r>
        <w:rPr>
          <w:rFonts w:ascii="Times New Roman" w:eastAsia="Times New Roman" w:hAnsi="Times New Roman"/>
          <w:sz w:val="24"/>
          <w:szCs w:val="24"/>
        </w:rPr>
        <w:t xml:space="preserve"> </w:t>
      </w:r>
      <w:r w:rsidRPr="005166FA">
        <w:rPr>
          <w:rFonts w:ascii="Times New Roman" w:eastAsia="Times New Roman" w:hAnsi="Times New Roman"/>
          <w:sz w:val="24"/>
          <w:szCs w:val="24"/>
        </w:rPr>
        <w:t xml:space="preserve">the result of reflective thought' (citation omitted). </w:t>
      </w:r>
      <w:r w:rsidRPr="005166FA">
        <w:rPr>
          <w:rFonts w:ascii="Times New Roman" w:eastAsia="Times New Roman" w:hAnsi="Times New Roman"/>
          <w:sz w:val="24"/>
          <w:szCs w:val="24"/>
          <w:u w:val="single"/>
        </w:rPr>
        <w:t>Commonwealth</w:t>
      </w:r>
      <w:r w:rsidRPr="005166FA">
        <w:rPr>
          <w:rFonts w:ascii="Times New Roman" w:eastAsia="Times New Roman" w:hAnsi="Times New Roman"/>
          <w:sz w:val="24"/>
          <w:szCs w:val="24"/>
        </w:rPr>
        <w:t xml:space="preserve"> v. </w:t>
      </w:r>
      <w:r w:rsidRPr="005166FA">
        <w:rPr>
          <w:rFonts w:ascii="Times New Roman" w:eastAsia="Times New Roman" w:hAnsi="Times New Roman"/>
          <w:sz w:val="24"/>
          <w:szCs w:val="24"/>
          <w:u w:val="single"/>
        </w:rPr>
        <w:t>Santiago</w:t>
      </w:r>
      <w:r w:rsidRPr="005166FA">
        <w:rPr>
          <w:rFonts w:ascii="Times New Roman" w:eastAsia="Times New Roman" w:hAnsi="Times New Roman"/>
          <w:sz w:val="24"/>
          <w:szCs w:val="24"/>
        </w:rPr>
        <w:t>, 437 Mass. 620, 623 (2002).</w:t>
      </w:r>
    </w:p>
    <w:p w14:paraId="0D58FBD4" w14:textId="77777777" w:rsidR="00663A6A" w:rsidRDefault="00663A6A" w:rsidP="00663A6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29C1A16D" w14:textId="77777777" w:rsidR="00663A6A" w:rsidRPr="00F476E6" w:rsidRDefault="00663A6A" w:rsidP="00663A6A">
      <w:pPr>
        <w:spacing w:before="100" w:beforeAutospacing="1" w:after="100" w:afterAutospacing="1" w:line="240" w:lineRule="auto"/>
        <w:ind w:left="720"/>
        <w:rPr>
          <w:rFonts w:ascii="Times New Roman" w:eastAsia="Times New Roman" w:hAnsi="Times New Roman"/>
          <w:sz w:val="24"/>
          <w:szCs w:val="24"/>
        </w:rPr>
      </w:pPr>
      <w:r w:rsidRPr="00F476E6">
        <w:rPr>
          <w:rFonts w:ascii="Times New Roman" w:eastAsia="Times New Roman" w:hAnsi="Times New Roman"/>
          <w:sz w:val="24"/>
          <w:szCs w:val="24"/>
        </w:rPr>
        <w:t>Here, we have no difficulty concluding that the primary purpose of the victim's statement to the EMT was to assist the</w:t>
      </w:r>
      <w:r>
        <w:rPr>
          <w:rFonts w:ascii="Times New Roman" w:eastAsia="Times New Roman" w:hAnsi="Times New Roman"/>
          <w:sz w:val="24"/>
          <w:szCs w:val="24"/>
        </w:rPr>
        <w:t xml:space="preserve"> </w:t>
      </w:r>
      <w:r w:rsidRPr="00F476E6">
        <w:rPr>
          <w:rFonts w:ascii="Times New Roman" w:eastAsia="Times New Roman" w:hAnsi="Times New Roman"/>
          <w:sz w:val="24"/>
          <w:szCs w:val="24"/>
        </w:rPr>
        <w:t xml:space="preserve">EMT in assessing the victim's need for medical care. Each of the three parts of the victim's statement -- that she had been </w:t>
      </w:r>
      <w:r>
        <w:rPr>
          <w:rFonts w:ascii="Times New Roman" w:eastAsia="Times New Roman" w:hAnsi="Times New Roman"/>
          <w:sz w:val="24"/>
          <w:szCs w:val="24"/>
        </w:rPr>
        <w:t>‘</w:t>
      </w:r>
      <w:r w:rsidRPr="00F476E6">
        <w:rPr>
          <w:rFonts w:ascii="Times New Roman" w:eastAsia="Times New Roman" w:hAnsi="Times New Roman"/>
          <w:sz w:val="24"/>
          <w:szCs w:val="24"/>
        </w:rPr>
        <w:t>forced up against a wall,</w:t>
      </w:r>
      <w:r>
        <w:rPr>
          <w:rFonts w:ascii="Times New Roman" w:eastAsia="Times New Roman" w:hAnsi="Times New Roman"/>
          <w:sz w:val="24"/>
          <w:szCs w:val="24"/>
        </w:rPr>
        <w:t>’</w:t>
      </w:r>
      <w:r w:rsidRPr="00F476E6">
        <w:rPr>
          <w:rFonts w:ascii="Times New Roman" w:eastAsia="Times New Roman" w:hAnsi="Times New Roman"/>
          <w:sz w:val="24"/>
          <w:szCs w:val="24"/>
        </w:rPr>
        <w:t xml:space="preserve"> </w:t>
      </w:r>
      <w:r>
        <w:rPr>
          <w:rFonts w:ascii="Times New Roman" w:eastAsia="Times New Roman" w:hAnsi="Times New Roman"/>
          <w:sz w:val="24"/>
          <w:szCs w:val="24"/>
        </w:rPr>
        <w:t>‘</w:t>
      </w:r>
      <w:r w:rsidRPr="00F476E6">
        <w:rPr>
          <w:rFonts w:ascii="Times New Roman" w:eastAsia="Times New Roman" w:hAnsi="Times New Roman"/>
          <w:sz w:val="24"/>
          <w:szCs w:val="24"/>
        </w:rPr>
        <w:t>thrown to the ground,</w:t>
      </w:r>
      <w:r>
        <w:rPr>
          <w:rFonts w:ascii="Times New Roman" w:eastAsia="Times New Roman" w:hAnsi="Times New Roman"/>
          <w:sz w:val="24"/>
          <w:szCs w:val="24"/>
        </w:rPr>
        <w:t>’</w:t>
      </w:r>
      <w:r w:rsidRPr="00F476E6">
        <w:rPr>
          <w:rFonts w:ascii="Times New Roman" w:eastAsia="Times New Roman" w:hAnsi="Times New Roman"/>
          <w:sz w:val="24"/>
          <w:szCs w:val="24"/>
        </w:rPr>
        <w:t xml:space="preserve"> and </w:t>
      </w:r>
      <w:r>
        <w:rPr>
          <w:rFonts w:ascii="Times New Roman" w:eastAsia="Times New Roman" w:hAnsi="Times New Roman"/>
          <w:sz w:val="24"/>
          <w:szCs w:val="24"/>
        </w:rPr>
        <w:t>‘</w:t>
      </w:r>
      <w:r w:rsidRPr="00F476E6">
        <w:rPr>
          <w:rFonts w:ascii="Times New Roman" w:eastAsia="Times New Roman" w:hAnsi="Times New Roman"/>
          <w:sz w:val="24"/>
          <w:szCs w:val="24"/>
        </w:rPr>
        <w:t>the male's fingers penetrated her vagina</w:t>
      </w:r>
      <w:r>
        <w:rPr>
          <w:rFonts w:ascii="Times New Roman" w:eastAsia="Times New Roman" w:hAnsi="Times New Roman"/>
          <w:sz w:val="24"/>
          <w:szCs w:val="24"/>
        </w:rPr>
        <w:t>’</w:t>
      </w:r>
      <w:r w:rsidRPr="00F476E6">
        <w:rPr>
          <w:rFonts w:ascii="Times New Roman" w:eastAsia="Times New Roman" w:hAnsi="Times New Roman"/>
          <w:sz w:val="24"/>
          <w:szCs w:val="24"/>
        </w:rPr>
        <w:t xml:space="preserve"> -- described the application of force to her body in a manner that could have resulted in a need for medical treatment. That the victim herself had not reported or shown signs of vaginal pain or discomfort was beside the point. The EMT asked an open-ended question for the purpose of evaluating what the victim's medical needs might be, and the victim's answer was directly responsive to that question. That the victim might have observed the police handcuffing the defendant and placing him in a cruiser, and that she made the statement to the EMT while the police were still on the scene, did not require the conclusion that she made the statement for the primary purpose of creating an out-of-court substitute for trial testimony, or of otherwise aiding a police investigation</w:t>
      </w:r>
      <w:r>
        <w:rPr>
          <w:rFonts w:ascii="Times New Roman" w:eastAsia="Times New Roman" w:hAnsi="Times New Roman"/>
          <w:sz w:val="24"/>
          <w:szCs w:val="24"/>
        </w:rPr>
        <w:t xml:space="preserve">.” </w:t>
      </w:r>
      <w:hyperlink r:id="rId2397" w:history="1">
        <w:r w:rsidRPr="00BA14DC">
          <w:rPr>
            <w:rStyle w:val="Hyperlink"/>
            <w:rFonts w:ascii="Times New Roman" w:hAnsi="Times New Roman"/>
            <w:sz w:val="24"/>
            <w:szCs w:val="24"/>
          </w:rPr>
          <w:t>file:///C:/Users/lawre/AppData/Local/Temp/19P0716.pdf</w:t>
        </w:r>
      </w:hyperlink>
      <w:r>
        <w:rPr>
          <w:rFonts w:ascii="Times New Roman" w:eastAsia="Times New Roman" w:hAnsi="Times New Roman"/>
          <w:sz w:val="24"/>
          <w:szCs w:val="24"/>
        </w:rPr>
        <w:t xml:space="preserve"> </w:t>
      </w:r>
    </w:p>
    <w:p w14:paraId="7116FEAE" w14:textId="15E8FCA3" w:rsidR="00663A6A" w:rsidRDefault="00663A6A" w:rsidP="002B1283">
      <w:pPr>
        <w:rPr>
          <w:rFonts w:ascii="Arial Black" w:hAnsi="Arial Black"/>
          <w:b/>
          <w:bCs/>
          <w:sz w:val="28"/>
          <w:szCs w:val="28"/>
        </w:rPr>
      </w:pPr>
      <w:r w:rsidRPr="00F365E9">
        <w:rPr>
          <w:rFonts w:ascii="Times New Roman" w:eastAsia="Times New Roman" w:hAnsi="Times New Roman"/>
          <w:b/>
          <w:bCs/>
          <w:sz w:val="24"/>
          <w:szCs w:val="24"/>
        </w:rPr>
        <w:t>Legal Lesson Learned</w:t>
      </w:r>
      <w:r>
        <w:rPr>
          <w:rFonts w:ascii="Times New Roman" w:eastAsia="Times New Roman" w:hAnsi="Times New Roman"/>
          <w:b/>
          <w:bCs/>
          <w:sz w:val="24"/>
          <w:szCs w:val="24"/>
        </w:rPr>
        <w:t>: “Excited utterances” are admissible in trial; EMS should document on the EMS report the victim’s comments.</w:t>
      </w:r>
    </w:p>
    <w:p w14:paraId="7B514712" w14:textId="77777777" w:rsidR="00663A6A" w:rsidRDefault="00663A6A" w:rsidP="002B1283">
      <w:pPr>
        <w:rPr>
          <w:rFonts w:ascii="Arial Black" w:hAnsi="Arial Black"/>
          <w:b/>
          <w:bCs/>
          <w:sz w:val="28"/>
          <w:szCs w:val="28"/>
        </w:rPr>
      </w:pPr>
    </w:p>
    <w:p w14:paraId="1E1C6FC2" w14:textId="11797384" w:rsidR="00102FD0" w:rsidRDefault="00102FD0" w:rsidP="002B1283">
      <w:pPr>
        <w:rPr>
          <w:rFonts w:ascii="Arial Black" w:hAnsi="Arial Black"/>
          <w:b/>
          <w:bCs/>
          <w:sz w:val="28"/>
          <w:szCs w:val="28"/>
        </w:rPr>
      </w:pPr>
      <w:r>
        <w:rPr>
          <w:rFonts w:ascii="Arial Black" w:hAnsi="Arial Black"/>
          <w:b/>
          <w:bCs/>
          <w:sz w:val="28"/>
          <w:szCs w:val="28"/>
        </w:rPr>
        <w:t>13-67</w:t>
      </w:r>
    </w:p>
    <w:p w14:paraId="48223C97" w14:textId="77777777" w:rsidR="00102FD0"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ET TUBE IN ESOPHAGUS – PATIENT MONITORED DURING TRANSPORT, BUT NO PULSE OX – CASE DISMISSED</w:t>
      </w:r>
    </w:p>
    <w:p w14:paraId="647B577A" w14:textId="77777777" w:rsidR="00102FD0" w:rsidRDefault="00102FD0" w:rsidP="00102FD0">
      <w:pPr>
        <w:pStyle w:val="NoSpacing"/>
        <w:rPr>
          <w:rFonts w:ascii="Times New Roman" w:hAnsi="Times New Roman"/>
          <w:sz w:val="24"/>
          <w:szCs w:val="24"/>
        </w:rPr>
      </w:pPr>
      <w:r>
        <w:rPr>
          <w:rFonts w:ascii="Times New Roman" w:hAnsi="Times New Roman"/>
          <w:sz w:val="24"/>
          <w:szCs w:val="24"/>
        </w:rPr>
        <w:t xml:space="preserve">On Oct. 26, 2020, in Sally Grant, as </w:t>
      </w:r>
      <w:r w:rsidRPr="000A1B69">
        <w:rPr>
          <w:rFonts w:ascii="Times New Roman" w:hAnsi="Times New Roman"/>
          <w:sz w:val="24"/>
          <w:szCs w:val="24"/>
          <w:u w:val="single"/>
        </w:rPr>
        <w:t>Administrator of the Estate of Amanda Gary v. City of Calumet City</w:t>
      </w:r>
      <w:r>
        <w:rPr>
          <w:rFonts w:ascii="Times New Roman" w:hAnsi="Times New Roman"/>
          <w:sz w:val="24"/>
          <w:szCs w:val="24"/>
        </w:rPr>
        <w:t>, the Appellate Court of Illinois (First Judicial District / First Division), 2020 IL App (1</w:t>
      </w:r>
      <w:r w:rsidRPr="005B6AF8">
        <w:rPr>
          <w:rFonts w:ascii="Times New Roman" w:hAnsi="Times New Roman"/>
          <w:sz w:val="24"/>
          <w:szCs w:val="24"/>
          <w:vertAlign w:val="superscript"/>
        </w:rPr>
        <w:t>st</w:t>
      </w:r>
      <w:r>
        <w:rPr>
          <w:rFonts w:ascii="Times New Roman" w:hAnsi="Times New Roman"/>
          <w:sz w:val="24"/>
          <w:szCs w:val="24"/>
        </w:rPr>
        <w:t xml:space="preserve">) 191812-U,  held (3 to 0) that the trial court properly granted summary judgment to the </w:t>
      </w:r>
      <w:proofErr w:type="gramStart"/>
      <w:r>
        <w:rPr>
          <w:rFonts w:ascii="Times New Roman" w:hAnsi="Times New Roman"/>
          <w:sz w:val="24"/>
          <w:szCs w:val="24"/>
        </w:rPr>
        <w:t>City</w:t>
      </w:r>
      <w:proofErr w:type="gramEnd"/>
      <w:r>
        <w:rPr>
          <w:rFonts w:ascii="Times New Roman" w:hAnsi="Times New Roman"/>
          <w:sz w:val="24"/>
          <w:szCs w:val="24"/>
        </w:rPr>
        <w:t xml:space="preserve">.  Plaintiff alleged that the medics did not use a pulse oximeter to continuously monitor the patient’s blood oxygen levels after she was intubated, but their Training Officer testified this was not a required action. </w:t>
      </w:r>
    </w:p>
    <w:p w14:paraId="6AD7CF5D" w14:textId="77777777" w:rsidR="00102FD0" w:rsidRDefault="00102FD0" w:rsidP="00102FD0">
      <w:pPr>
        <w:pStyle w:val="NoSpacing"/>
        <w:rPr>
          <w:rFonts w:ascii="Times New Roman" w:hAnsi="Times New Roman"/>
          <w:sz w:val="24"/>
          <w:szCs w:val="24"/>
        </w:rPr>
      </w:pPr>
    </w:p>
    <w:p w14:paraId="743B2023" w14:textId="77777777" w:rsidR="00102FD0" w:rsidRDefault="00102FD0" w:rsidP="00102FD0">
      <w:pPr>
        <w:pStyle w:val="NoSpacing"/>
        <w:ind w:left="720"/>
        <w:rPr>
          <w:rFonts w:ascii="Times New Roman" w:hAnsi="Times New Roman"/>
          <w:sz w:val="24"/>
          <w:szCs w:val="24"/>
        </w:rPr>
      </w:pPr>
      <w:r>
        <w:rPr>
          <w:rFonts w:ascii="Times New Roman" w:hAnsi="Times New Roman"/>
          <w:sz w:val="24"/>
          <w:szCs w:val="24"/>
        </w:rPr>
        <w:t>“</w:t>
      </w:r>
      <w:r w:rsidRPr="005B6AF8">
        <w:rPr>
          <w:rFonts w:ascii="Times New Roman" w:hAnsi="Times New Roman"/>
          <w:sz w:val="24"/>
          <w:szCs w:val="24"/>
        </w:rPr>
        <w:t>Construing the record liberally in favor of plaintiff (</w:t>
      </w:r>
      <w:r w:rsidRPr="005B6AF8">
        <w:rPr>
          <w:rFonts w:ascii="Times New Roman" w:hAnsi="Times New Roman"/>
          <w:i/>
          <w:iCs/>
          <w:sz w:val="24"/>
          <w:szCs w:val="24"/>
        </w:rPr>
        <w:t>Williams</w:t>
      </w:r>
      <w:r w:rsidRPr="005B6AF8">
        <w:rPr>
          <w:rFonts w:ascii="Times New Roman" w:hAnsi="Times New Roman"/>
          <w:sz w:val="24"/>
          <w:szCs w:val="24"/>
        </w:rPr>
        <w:t xml:space="preserve">, 228 Ill. 2d at 417), a reasonable finder of fact could conclude that Pierce performed the intubation incorrectly by inserting the tube into Amanda's esophagus rather than her trachea. A </w:t>
      </w:r>
      <w:proofErr w:type="gramStart"/>
      <w:r w:rsidRPr="005B6AF8">
        <w:rPr>
          <w:rFonts w:ascii="Times New Roman" w:hAnsi="Times New Roman"/>
          <w:sz w:val="24"/>
          <w:szCs w:val="24"/>
        </w:rPr>
        <w:t>finder of fact</w:t>
      </w:r>
      <w:proofErr w:type="gramEnd"/>
      <w:r w:rsidRPr="005B6AF8">
        <w:rPr>
          <w:rFonts w:ascii="Times New Roman" w:hAnsi="Times New Roman"/>
          <w:sz w:val="24"/>
          <w:szCs w:val="24"/>
        </w:rPr>
        <w:t xml:space="preserve"> could also reasonably conclude that this error might have been discovered and fixed prior to Amanda's arrival at the hospital if the paramedics had used a pulse oximeter to continuously monitor Amanda's blood oxygen levels. But even taking these things as true, such errors do not reflect </w:t>
      </w:r>
      <w:r>
        <w:rPr>
          <w:rFonts w:ascii="Times New Roman" w:hAnsi="Times New Roman"/>
          <w:sz w:val="24"/>
          <w:szCs w:val="24"/>
        </w:rPr>
        <w:t>‘</w:t>
      </w:r>
      <w:r w:rsidRPr="005B6AF8">
        <w:rPr>
          <w:rFonts w:ascii="Times New Roman" w:hAnsi="Times New Roman"/>
          <w:sz w:val="24"/>
          <w:szCs w:val="24"/>
        </w:rPr>
        <w:t>an utter indifference to the decedent's safety</w:t>
      </w:r>
      <w:r>
        <w:rPr>
          <w:rFonts w:ascii="Times New Roman" w:hAnsi="Times New Roman"/>
          <w:sz w:val="24"/>
          <w:szCs w:val="24"/>
        </w:rPr>
        <w:t>’</w:t>
      </w:r>
      <w:r w:rsidRPr="005B6AF8">
        <w:rPr>
          <w:rFonts w:ascii="Times New Roman" w:hAnsi="Times New Roman"/>
          <w:sz w:val="24"/>
          <w:szCs w:val="24"/>
        </w:rPr>
        <w:t xml:space="preserve"> (</w:t>
      </w:r>
      <w:r w:rsidRPr="005B6AF8">
        <w:rPr>
          <w:rFonts w:ascii="Times New Roman" w:hAnsi="Times New Roman"/>
          <w:i/>
          <w:iCs/>
          <w:sz w:val="24"/>
          <w:szCs w:val="24"/>
        </w:rPr>
        <w:t>Bowden</w:t>
      </w:r>
      <w:r w:rsidRPr="005B6AF8">
        <w:rPr>
          <w:rFonts w:ascii="Times New Roman" w:hAnsi="Times New Roman"/>
          <w:sz w:val="24"/>
          <w:szCs w:val="24"/>
        </w:rPr>
        <w:t xml:space="preserve">, 304 Ill. App. 3d at 282) as required for a finding of willful and wanton misconduct. This is particularly true where, as here, the paramedics utilized multiple other methods to assess the intubation in a tense and time-sensitive </w:t>
      </w:r>
      <w:proofErr w:type="gramStart"/>
      <w:r w:rsidRPr="005B6AF8">
        <w:rPr>
          <w:rFonts w:ascii="Times New Roman" w:hAnsi="Times New Roman"/>
          <w:sz w:val="24"/>
          <w:szCs w:val="24"/>
        </w:rPr>
        <w:t>emergency situation</w:t>
      </w:r>
      <w:proofErr w:type="gramEnd"/>
      <w:r>
        <w:rPr>
          <w:rFonts w:ascii="Times New Roman" w:hAnsi="Times New Roman"/>
          <w:sz w:val="24"/>
          <w:szCs w:val="24"/>
        </w:rPr>
        <w:t>.</w:t>
      </w:r>
    </w:p>
    <w:p w14:paraId="1B4CDA93" w14:textId="77777777" w:rsidR="00102FD0" w:rsidRDefault="00102FD0" w:rsidP="00102FD0">
      <w:pPr>
        <w:pStyle w:val="NoSpacing"/>
        <w:ind w:left="720"/>
        <w:rPr>
          <w:rFonts w:ascii="Times New Roman" w:hAnsi="Times New Roman"/>
          <w:sz w:val="24"/>
          <w:szCs w:val="24"/>
        </w:rPr>
      </w:pPr>
    </w:p>
    <w:p w14:paraId="6E69F69E" w14:textId="77777777" w:rsidR="00102FD0" w:rsidRPr="005B6AF8" w:rsidRDefault="00102FD0" w:rsidP="00102FD0">
      <w:pPr>
        <w:pStyle w:val="NoSpacing"/>
        <w:ind w:left="720"/>
        <w:rPr>
          <w:rFonts w:ascii="Times New Roman" w:hAnsi="Times New Roman"/>
          <w:sz w:val="24"/>
          <w:szCs w:val="24"/>
        </w:rPr>
      </w:pPr>
      <w:r>
        <w:rPr>
          <w:rFonts w:ascii="Times New Roman" w:hAnsi="Times New Roman"/>
          <w:sz w:val="24"/>
          <w:szCs w:val="24"/>
        </w:rPr>
        <w:t>***</w:t>
      </w:r>
    </w:p>
    <w:p w14:paraId="74B98E7E" w14:textId="656D773A" w:rsidR="00102FD0" w:rsidRDefault="00102FD0" w:rsidP="00102FD0">
      <w:pPr>
        <w:rPr>
          <w:rStyle w:val="Hyperlink"/>
          <w:rFonts w:ascii="Times New Roman" w:hAnsi="Times New Roman"/>
          <w:sz w:val="24"/>
          <w:szCs w:val="24"/>
        </w:rPr>
      </w:pPr>
      <w:r w:rsidRPr="005B6AF8">
        <w:rPr>
          <w:rFonts w:ascii="Times New Roman" w:hAnsi="Times New Roman"/>
          <w:sz w:val="24"/>
          <w:szCs w:val="24"/>
        </w:rPr>
        <w:t xml:space="preserve">To defeat summary judgment, plaintiff would have had to present evidence that the </w:t>
      </w:r>
      <w:proofErr w:type="gramStart"/>
      <w:r w:rsidRPr="005B6AF8">
        <w:rPr>
          <w:rFonts w:ascii="Times New Roman" w:hAnsi="Times New Roman"/>
          <w:sz w:val="24"/>
          <w:szCs w:val="24"/>
        </w:rPr>
        <w:t>City</w:t>
      </w:r>
      <w:proofErr w:type="gramEnd"/>
      <w:r w:rsidRPr="005B6AF8">
        <w:rPr>
          <w:rFonts w:ascii="Times New Roman" w:hAnsi="Times New Roman"/>
          <w:sz w:val="24"/>
          <w:szCs w:val="24"/>
        </w:rPr>
        <w:t xml:space="preserve"> either knew </w:t>
      </w:r>
      <w:r>
        <w:rPr>
          <w:rFonts w:ascii="Times New Roman" w:hAnsi="Times New Roman"/>
          <w:sz w:val="24"/>
          <w:szCs w:val="24"/>
        </w:rPr>
        <w:t xml:space="preserve">[Deputy Fire Chief / EMS Training Officer Peter] </w:t>
      </w:r>
      <w:r w:rsidRPr="005B6AF8">
        <w:rPr>
          <w:rFonts w:ascii="Times New Roman" w:hAnsi="Times New Roman"/>
          <w:sz w:val="24"/>
          <w:szCs w:val="24"/>
        </w:rPr>
        <w:t xml:space="preserve">Bendinelli's training imperiled patients, or that the </w:t>
      </w:r>
      <w:proofErr w:type="gramStart"/>
      <w:r w:rsidRPr="005B6AF8">
        <w:rPr>
          <w:rFonts w:ascii="Times New Roman" w:hAnsi="Times New Roman"/>
          <w:sz w:val="24"/>
          <w:szCs w:val="24"/>
        </w:rPr>
        <w:t>City</w:t>
      </w:r>
      <w:proofErr w:type="gramEnd"/>
      <w:r w:rsidRPr="005B6AF8">
        <w:rPr>
          <w:rFonts w:ascii="Times New Roman" w:hAnsi="Times New Roman"/>
          <w:sz w:val="24"/>
          <w:szCs w:val="24"/>
        </w:rPr>
        <w:t xml:space="preserve"> failed to recognize this danger through recklessness. </w:t>
      </w:r>
      <w:r w:rsidRPr="005B6AF8">
        <w:rPr>
          <w:rFonts w:ascii="Times New Roman" w:hAnsi="Times New Roman"/>
          <w:i/>
          <w:iCs/>
          <w:sz w:val="24"/>
          <w:szCs w:val="24"/>
        </w:rPr>
        <w:t>Affatato v</w:t>
      </w:r>
      <w:r w:rsidRPr="005B6AF8">
        <w:rPr>
          <w:rFonts w:ascii="Times New Roman" w:hAnsi="Times New Roman"/>
          <w:sz w:val="24"/>
          <w:szCs w:val="24"/>
        </w:rPr>
        <w:t xml:space="preserve">. </w:t>
      </w:r>
      <w:r w:rsidRPr="005B6AF8">
        <w:rPr>
          <w:rFonts w:ascii="Times New Roman" w:hAnsi="Times New Roman"/>
          <w:i/>
          <w:iCs/>
          <w:sz w:val="24"/>
          <w:szCs w:val="24"/>
        </w:rPr>
        <w:t>Jewel Companies</w:t>
      </w:r>
      <w:r w:rsidRPr="005B6AF8">
        <w:rPr>
          <w:rFonts w:ascii="Times New Roman" w:hAnsi="Times New Roman"/>
          <w:sz w:val="24"/>
          <w:szCs w:val="24"/>
        </w:rPr>
        <w:t xml:space="preserve">, </w:t>
      </w:r>
      <w:r w:rsidRPr="005B6AF8">
        <w:rPr>
          <w:rFonts w:ascii="Times New Roman" w:hAnsi="Times New Roman"/>
          <w:i/>
          <w:iCs/>
          <w:sz w:val="24"/>
          <w:szCs w:val="24"/>
        </w:rPr>
        <w:t>Inc</w:t>
      </w:r>
      <w:r w:rsidRPr="005B6AF8">
        <w:rPr>
          <w:rFonts w:ascii="Times New Roman" w:hAnsi="Times New Roman"/>
          <w:sz w:val="24"/>
          <w:szCs w:val="24"/>
        </w:rPr>
        <w:t xml:space="preserve">., 259 Ill. App. 3d 787, 800 (1994). Plaintiff presented no such evidence. On the contrary, all three of Amanda's treating physicians corroborated Bendinelli's statement that pulse oximeter readings can be inaccurate. </w:t>
      </w:r>
      <w:proofErr w:type="gramStart"/>
      <w:r w:rsidRPr="005B6AF8">
        <w:rPr>
          <w:rFonts w:ascii="Times New Roman" w:hAnsi="Times New Roman"/>
          <w:sz w:val="24"/>
          <w:szCs w:val="24"/>
        </w:rPr>
        <w:t>In light of</w:t>
      </w:r>
      <w:proofErr w:type="gramEnd"/>
      <w:r w:rsidRPr="005B6AF8">
        <w:rPr>
          <w:rFonts w:ascii="Times New Roman" w:hAnsi="Times New Roman"/>
          <w:sz w:val="24"/>
          <w:szCs w:val="24"/>
        </w:rPr>
        <w:t xml:space="preserve"> their testimony, plaintiff has not presented an issue of fact as to whether Bendinelli's training reflects an utter indifference to patients' safety.</w:t>
      </w:r>
      <w:r>
        <w:rPr>
          <w:rFonts w:ascii="Times New Roman" w:hAnsi="Times New Roman"/>
          <w:sz w:val="24"/>
          <w:szCs w:val="24"/>
        </w:rPr>
        <w:t xml:space="preserve">” </w:t>
      </w:r>
      <w:hyperlink r:id="rId2398" w:history="1">
        <w:r w:rsidRPr="00EF3739">
          <w:rPr>
            <w:rStyle w:val="Hyperlink"/>
            <w:rFonts w:ascii="Times New Roman" w:hAnsi="Times New Roman"/>
            <w:sz w:val="24"/>
            <w:szCs w:val="24"/>
          </w:rPr>
          <w:t>https://public.fastcase.com/Wl%2B2t%2BeVuI35%2FN70vAMFZv50h%2Fykh7FShFoRYs3ZTa26w8rY%2BXvT1%2B6dqL4OkZlK</w:t>
        </w:r>
      </w:hyperlink>
    </w:p>
    <w:p w14:paraId="7F528A8C" w14:textId="77777777" w:rsidR="00102FD0" w:rsidRPr="00716D0B" w:rsidRDefault="00102FD0" w:rsidP="00102FD0">
      <w:pPr>
        <w:spacing w:before="100" w:beforeAutospacing="1" w:after="100" w:afterAutospacing="1" w:line="240" w:lineRule="auto"/>
        <w:rPr>
          <w:rFonts w:ascii="Times New Roman" w:hAnsi="Times New Roman"/>
          <w:b/>
          <w:bCs/>
          <w:sz w:val="24"/>
          <w:szCs w:val="24"/>
        </w:rPr>
      </w:pPr>
      <w:r w:rsidRPr="00716D0B">
        <w:rPr>
          <w:rFonts w:ascii="Times New Roman" w:hAnsi="Times New Roman"/>
          <w:b/>
          <w:bCs/>
          <w:sz w:val="24"/>
          <w:szCs w:val="24"/>
        </w:rPr>
        <w:t>Legal Lesson Learned:</w:t>
      </w:r>
      <w:r>
        <w:rPr>
          <w:rFonts w:ascii="Times New Roman" w:hAnsi="Times New Roman"/>
          <w:b/>
          <w:bCs/>
          <w:sz w:val="24"/>
          <w:szCs w:val="24"/>
        </w:rPr>
        <w:t xml:space="preserve"> Carefully follow your protocol after placement of ET Tube. </w:t>
      </w:r>
    </w:p>
    <w:p w14:paraId="3383E109" w14:textId="77777777" w:rsidR="00102FD0" w:rsidRDefault="00102FD0" w:rsidP="00102FD0">
      <w:pPr>
        <w:rPr>
          <w:rFonts w:ascii="Arial Black" w:hAnsi="Arial Black"/>
          <w:b/>
          <w:bCs/>
          <w:sz w:val="28"/>
          <w:szCs w:val="28"/>
        </w:rPr>
      </w:pPr>
    </w:p>
    <w:p w14:paraId="20FEAD83" w14:textId="15279DC2" w:rsidR="00102FD0" w:rsidRDefault="00102FD0" w:rsidP="002B1283">
      <w:pPr>
        <w:rPr>
          <w:rFonts w:ascii="Arial Black" w:hAnsi="Arial Black"/>
          <w:b/>
          <w:bCs/>
          <w:sz w:val="28"/>
          <w:szCs w:val="28"/>
        </w:rPr>
      </w:pPr>
      <w:r>
        <w:rPr>
          <w:rFonts w:ascii="Arial Black" w:hAnsi="Arial Black"/>
          <w:b/>
          <w:bCs/>
          <w:sz w:val="28"/>
          <w:szCs w:val="28"/>
        </w:rPr>
        <w:t>13-66</w:t>
      </w:r>
    </w:p>
    <w:p w14:paraId="4FBF2B97" w14:textId="77777777" w:rsidR="00102FD0" w:rsidRPr="00B85AFB" w:rsidRDefault="00102FD0" w:rsidP="00102FD0">
      <w:pPr>
        <w:pStyle w:val="NormalWeb"/>
        <w:rPr>
          <w:rFonts w:ascii="Arial Black" w:hAnsi="Arial Black"/>
          <w:b/>
          <w:bCs/>
          <w:sz w:val="28"/>
          <w:szCs w:val="28"/>
        </w:rPr>
      </w:pPr>
      <w:r>
        <w:rPr>
          <w:rFonts w:ascii="Arial Black" w:hAnsi="Arial Black"/>
          <w:b/>
          <w:bCs/>
          <w:sz w:val="28"/>
          <w:szCs w:val="28"/>
        </w:rPr>
        <w:t>OH: MVA - MEDIC FOUND NO PULSE – 1-HR LATER PATIENT COVERED BLANKET MOVED – NO PROOF “FAILURE TO TRAIN” - CASE DISMISSED</w:t>
      </w:r>
    </w:p>
    <w:p w14:paraId="73F817BE" w14:textId="77777777" w:rsidR="00102FD0" w:rsidRDefault="00102FD0" w:rsidP="00102FD0">
      <w:pPr>
        <w:pStyle w:val="NormalWeb"/>
      </w:pPr>
      <w:r>
        <w:t xml:space="preserve">On Oct. 20, 2020, in </w:t>
      </w:r>
      <w:r w:rsidRPr="00B85AFB">
        <w:rPr>
          <w:u w:val="single"/>
        </w:rPr>
        <w:t>Lynne Gooden, Individually and as Guardia of Terrell D. Gooden v. Chris Batz, Butler Township, et al.</w:t>
      </w:r>
      <w:r>
        <w:t xml:space="preserve">, Sharon L. Ovington, United States Magistrate Judge, U. S. District Court for Southern District of Ohio, issued a Report &amp; Recommendation to Federal District Judge that the lawsuit against Butler Township, and against City of Vandalia should be dismissed for alleged “failure to train.” There was no allegation that the Medic who first checked on the patient and found no pulse had a history of similar issues.  After an hour at the scene, the same Medic </w:t>
      </w:r>
      <w:r w:rsidRPr="00BA71B3">
        <w:t>saw Mr. Gooden spontaneously move and</w:t>
      </w:r>
      <w:r>
        <w:t xml:space="preserve"> </w:t>
      </w:r>
      <w:r w:rsidRPr="00BA71B3">
        <w:t>discovered he had a weak pulse</w:t>
      </w:r>
      <w:r>
        <w:t xml:space="preserve">; he survived with permanent brain damage and other long-term disabling health problems. </w:t>
      </w:r>
    </w:p>
    <w:p w14:paraId="0FB3D6B4" w14:textId="77777777" w:rsidR="00102FD0" w:rsidRDefault="00102FD0" w:rsidP="00102FD0">
      <w:pPr>
        <w:pStyle w:val="NormalWeb"/>
        <w:ind w:left="720"/>
      </w:pPr>
      <w:r>
        <w:t>“Life-threatening accidents are heartbreaking. Such an accident occurred to Plaintiff Terrell D. Gooden in 2016 when his vehicle collided with a tractor-trailer on Interstate 75. Plaintiffs allege that when Paramedic Chris Batz checked Mr. Gooden's pulse and respiration, he incorrectly concluded that Mr. Gooden had not survived the accident. Batz told other first responders that Mr. Gooden was not alive. And neither Batz nor other first responders immediately attempted to resuscitate Mr. Gooden or provide him with any emergency medical care.</w:t>
      </w:r>
    </w:p>
    <w:p w14:paraId="0140627B" w14:textId="77777777" w:rsidR="00102FD0" w:rsidRDefault="00102FD0" w:rsidP="00102FD0">
      <w:pPr>
        <w:pStyle w:val="NormalWeb"/>
        <w:ind w:left="720"/>
      </w:pPr>
      <w:r>
        <w:t>***</w:t>
      </w:r>
    </w:p>
    <w:p w14:paraId="45235C71" w14:textId="70774DAF" w:rsidR="00102FD0" w:rsidRDefault="00102FD0" w:rsidP="00102FD0">
      <w:pPr>
        <w:rPr>
          <w:rStyle w:val="Hyperlink"/>
          <w:rFonts w:ascii="Times New Roman" w:eastAsia="Times New Roman" w:hAnsi="Times New Roman"/>
          <w:sz w:val="24"/>
          <w:szCs w:val="24"/>
        </w:rPr>
      </w:pPr>
      <w:r w:rsidRPr="00B85AFB">
        <w:rPr>
          <w:rFonts w:ascii="Times New Roman" w:eastAsia="Times New Roman" w:hAnsi="Times New Roman"/>
          <w:sz w:val="24"/>
          <w:szCs w:val="24"/>
        </w:rPr>
        <w:t>The Complaint, for instance, does not allege that Batz made serious mistakes</w:t>
      </w:r>
      <w:r>
        <w:rPr>
          <w:rFonts w:ascii="Times New Roman" w:eastAsia="Times New Roman" w:hAnsi="Times New Roman"/>
          <w:sz w:val="24"/>
          <w:szCs w:val="24"/>
        </w:rPr>
        <w:t xml:space="preserve"> </w:t>
      </w:r>
      <w:r w:rsidRPr="00B85AFB">
        <w:rPr>
          <w:rFonts w:ascii="Times New Roman" w:eastAsia="Times New Roman" w:hAnsi="Times New Roman"/>
          <w:sz w:val="24"/>
          <w:szCs w:val="24"/>
        </w:rPr>
        <w:t xml:space="preserve">when examining victims of previous accidents that should have alerted Butler Township officials that his training was inadequate and likely to cause harm to </w:t>
      </w:r>
      <w:proofErr w:type="gramStart"/>
      <w:r w:rsidRPr="00B85AFB">
        <w:rPr>
          <w:rFonts w:ascii="Times New Roman" w:eastAsia="Times New Roman" w:hAnsi="Times New Roman"/>
          <w:sz w:val="24"/>
          <w:szCs w:val="24"/>
        </w:rPr>
        <w:t>accidents victims</w:t>
      </w:r>
      <w:proofErr w:type="gramEnd"/>
      <w:r w:rsidRPr="00B85AFB">
        <w:rPr>
          <w:rFonts w:ascii="Times New Roman" w:eastAsia="Times New Roman" w:hAnsi="Times New Roman"/>
          <w:sz w:val="24"/>
          <w:szCs w:val="24"/>
        </w:rPr>
        <w:t xml:space="preserve"> like Mr. Gooden. And, as to Defendants Gallup and Miller, Plaintiffs' Complaint contains no non-conclusory allegation indicating that they received inadequate training and that such training resulted in a violation of Mr. Gooden's constitutional rights.</w:t>
      </w:r>
      <w:r>
        <w:rPr>
          <w:rFonts w:ascii="Times New Roman" w:eastAsia="Times New Roman" w:hAnsi="Times New Roman"/>
          <w:sz w:val="24"/>
          <w:szCs w:val="24"/>
        </w:rPr>
        <w:t xml:space="preserve">” </w:t>
      </w:r>
      <w:hyperlink r:id="rId2399" w:history="1">
        <w:r w:rsidRPr="003B2E68">
          <w:rPr>
            <w:rStyle w:val="Hyperlink"/>
            <w:rFonts w:ascii="Times New Roman" w:eastAsia="Times New Roman" w:hAnsi="Times New Roman"/>
            <w:sz w:val="24"/>
            <w:szCs w:val="24"/>
          </w:rPr>
          <w:t>https://public.fastcase.com/Wl%2B2t%2BeVuI35%2FN70vAMFZoN7mlr4hHNtCTnayGEBC4RCM4jvijs5LLDyckRiAx%2Bw</w:t>
        </w:r>
      </w:hyperlink>
    </w:p>
    <w:p w14:paraId="2BEC2451" w14:textId="477F0E22" w:rsidR="00102FD0" w:rsidRDefault="00102FD0" w:rsidP="00102FD0">
      <w:pPr>
        <w:rPr>
          <w:rStyle w:val="Hyperlink"/>
          <w:rFonts w:ascii="Times New Roman" w:eastAsia="Times New Roman" w:hAnsi="Times New Roman"/>
          <w:sz w:val="24"/>
          <w:szCs w:val="24"/>
        </w:rPr>
      </w:pPr>
      <w:r w:rsidRPr="00545DA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Follow your protocols concerning determination of death; ask for a second opinion at the scene.</w:t>
      </w:r>
    </w:p>
    <w:p w14:paraId="562E40F6" w14:textId="77777777" w:rsidR="00102FD0" w:rsidRDefault="00102FD0" w:rsidP="00102FD0">
      <w:pPr>
        <w:rPr>
          <w:rFonts w:ascii="Arial Black" w:hAnsi="Arial Black"/>
          <w:b/>
          <w:bCs/>
          <w:sz w:val="28"/>
          <w:szCs w:val="28"/>
        </w:rPr>
      </w:pPr>
    </w:p>
    <w:p w14:paraId="6931AED6" w14:textId="7FF5FA3E" w:rsidR="00102FD0" w:rsidRDefault="00102FD0" w:rsidP="001C563D">
      <w:pPr>
        <w:rPr>
          <w:rFonts w:ascii="Arial Black" w:hAnsi="Arial Black"/>
          <w:b/>
          <w:bCs/>
          <w:sz w:val="28"/>
          <w:szCs w:val="28"/>
        </w:rPr>
      </w:pPr>
      <w:r>
        <w:rPr>
          <w:rFonts w:ascii="Arial Black" w:hAnsi="Arial Black"/>
          <w:b/>
          <w:bCs/>
          <w:sz w:val="28"/>
          <w:szCs w:val="28"/>
        </w:rPr>
        <w:t>13-65</w:t>
      </w:r>
    </w:p>
    <w:p w14:paraId="58E27E0A" w14:textId="77777777" w:rsidR="00102FD0" w:rsidRPr="00195883" w:rsidRDefault="00102FD0" w:rsidP="00102FD0">
      <w:pPr>
        <w:spacing w:before="100" w:beforeAutospacing="1" w:after="100" w:afterAutospacing="1" w:line="240" w:lineRule="auto"/>
        <w:rPr>
          <w:rFonts w:ascii="Arial Black" w:eastAsia="Times New Roman" w:hAnsi="Arial Black"/>
          <w:b/>
          <w:bCs/>
          <w:sz w:val="28"/>
          <w:szCs w:val="28"/>
        </w:rPr>
      </w:pPr>
      <w:r w:rsidRPr="00195883">
        <w:rPr>
          <w:rFonts w:ascii="Arial Black" w:eastAsia="Times New Roman" w:hAnsi="Arial Black"/>
          <w:b/>
          <w:bCs/>
          <w:sz w:val="28"/>
          <w:szCs w:val="28"/>
        </w:rPr>
        <w:t>MD:</w:t>
      </w:r>
      <w:r>
        <w:rPr>
          <w:rFonts w:ascii="Arial Black" w:eastAsia="Times New Roman" w:hAnsi="Arial Black"/>
          <w:b/>
          <w:bCs/>
          <w:sz w:val="28"/>
          <w:szCs w:val="28"/>
        </w:rPr>
        <w:t xml:space="preserve"> 21-YR OLD PATIENT IN BASEMENT, DIFFICULTY BREATHING – ARRIVED 6 MIN – ADMINISTERED NARCAN - IMMUNITY</w:t>
      </w:r>
    </w:p>
    <w:p w14:paraId="040A1B34"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C43B83">
        <w:rPr>
          <w:rFonts w:ascii="Times New Roman" w:eastAsia="Times New Roman" w:hAnsi="Times New Roman"/>
          <w:sz w:val="24"/>
          <w:szCs w:val="24"/>
        </w:rPr>
        <w:t xml:space="preserve">On Oct. 1, 2020, in </w:t>
      </w:r>
      <w:r w:rsidRPr="00C43B83">
        <w:rPr>
          <w:rFonts w:ascii="Times New Roman" w:eastAsia="Times New Roman" w:hAnsi="Times New Roman"/>
          <w:sz w:val="24"/>
          <w:szCs w:val="24"/>
          <w:u w:val="single"/>
        </w:rPr>
        <w:t>Octavia T. Coit, et al. v. Nicole Nappi, et al</w:t>
      </w:r>
      <w:r>
        <w:rPr>
          <w:rFonts w:ascii="Times New Roman" w:eastAsia="Times New Roman" w:hAnsi="Times New Roman"/>
          <w:sz w:val="24"/>
          <w:szCs w:val="24"/>
        </w:rPr>
        <w:t xml:space="preserve">., the Court of Special Appeals of Maryland, held (4 to 0) that trial court properly dismissed the lawsuit.  The </w:t>
      </w:r>
      <w:proofErr w:type="gramStart"/>
      <w:r>
        <w:rPr>
          <w:rFonts w:ascii="Times New Roman" w:eastAsia="Times New Roman" w:hAnsi="Times New Roman"/>
          <w:sz w:val="24"/>
          <w:szCs w:val="24"/>
        </w:rPr>
        <w:t>21-year old</w:t>
      </w:r>
      <w:proofErr w:type="gramEnd"/>
      <w:r>
        <w:rPr>
          <w:rFonts w:ascii="Times New Roman" w:eastAsia="Times New Roman" w:hAnsi="Times New Roman"/>
          <w:sz w:val="24"/>
          <w:szCs w:val="24"/>
        </w:rPr>
        <w:t xml:space="preserve"> patient was at a friend’s house and was in the basement having difficulty breathing; history of asthma, died of cardiac arrest.  Administration of Narcan was not harmful and did not contribute to the patient’s death.  Plaintiffs also complained of a delayed response, but the CAD records show they arrived at scene within 6 minutes and 44 seconds of the 911 call. </w:t>
      </w:r>
    </w:p>
    <w:p w14:paraId="12C25E01" w14:textId="77777777" w:rsidR="00102FD0" w:rsidRDefault="00102FD0" w:rsidP="00102FD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“In</w:t>
      </w:r>
      <w:r w:rsidRPr="001E057A">
        <w:rPr>
          <w:rFonts w:ascii="Times New Roman" w:hAnsi="Times New Roman"/>
          <w:sz w:val="24"/>
          <w:szCs w:val="24"/>
        </w:rPr>
        <w:t xml:space="preserve"> the absence of willful or grossly negligent conduct, emergency responders covered under the Good Samaritan Act and/or the Fire &amp; Rescue Companies Act are immune from civil liability for any acts or omissions in </w:t>
      </w:r>
      <w:proofErr w:type="gramStart"/>
      <w:r w:rsidRPr="001E057A">
        <w:rPr>
          <w:rFonts w:ascii="Times New Roman" w:hAnsi="Times New Roman"/>
          <w:sz w:val="24"/>
          <w:szCs w:val="24"/>
        </w:rPr>
        <w:t>providing assistance</w:t>
      </w:r>
      <w:proofErr w:type="gramEnd"/>
      <w:r w:rsidRPr="001E057A">
        <w:rPr>
          <w:rFonts w:ascii="Times New Roman" w:hAnsi="Times New Roman"/>
          <w:sz w:val="24"/>
          <w:szCs w:val="24"/>
        </w:rPr>
        <w:t xml:space="preserve"> or in the performance of their duties.</w:t>
      </w:r>
    </w:p>
    <w:p w14:paraId="459D041C" w14:textId="77777777" w:rsidR="00102FD0" w:rsidRPr="001E057A" w:rsidRDefault="00102FD0" w:rsidP="00102FD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33B38568" w14:textId="77777777" w:rsidR="00102FD0" w:rsidRDefault="00102FD0" w:rsidP="00102FD0">
      <w:pPr>
        <w:spacing w:after="100" w:line="240" w:lineRule="auto"/>
        <w:ind w:left="720"/>
        <w:rPr>
          <w:rFonts w:ascii="Times New Roman" w:eastAsia="Times New Roman" w:hAnsi="Times New Roman"/>
          <w:b/>
          <w:bCs/>
          <w:sz w:val="24"/>
          <w:szCs w:val="24"/>
        </w:rPr>
      </w:pPr>
      <w:r>
        <w:rPr>
          <w:rFonts w:ascii="Times New Roman" w:eastAsia="Times New Roman" w:hAnsi="Times New Roman"/>
          <w:sz w:val="24"/>
          <w:szCs w:val="24"/>
        </w:rPr>
        <w:t>[</w:t>
      </w:r>
      <w:r w:rsidRPr="00195883">
        <w:rPr>
          <w:rFonts w:ascii="Times New Roman" w:eastAsia="Times New Roman" w:hAnsi="Times New Roman"/>
          <w:sz w:val="24"/>
          <w:szCs w:val="24"/>
        </w:rPr>
        <w:t>Appellants] contend that the administration of Narcan was unnecessary because there was no specific indication that Mr. Coit was experiencing an opioid overdose. The Court understands and appreciates Mr. Coit's family's concern over a misperception that he was using drugs. The evidence demonstrates, however, that, regardless of how unnecessary the administration of Narcan may have been, there are no applicable contraindications for someone who did not overdose on opioids, and that</w:t>
      </w:r>
      <w:r>
        <w:rPr>
          <w:rFonts w:ascii="Times New Roman" w:eastAsia="Times New Roman" w:hAnsi="Times New Roman"/>
          <w:sz w:val="24"/>
          <w:szCs w:val="24"/>
        </w:rPr>
        <w:t xml:space="preserve"> </w:t>
      </w:r>
      <w:r w:rsidRPr="00195883">
        <w:rPr>
          <w:rFonts w:ascii="Times New Roman" w:eastAsia="Times New Roman" w:hAnsi="Times New Roman"/>
          <w:sz w:val="24"/>
          <w:szCs w:val="24"/>
        </w:rPr>
        <w:t>Narcan does not otherwise harm someone to whom it is administered. Even if Paramedic Nappi and EMT Jackson were, in some way, negligent in their assessment and treatment of Mr. Coit, which the Court is not suggesting, there is not sufficient evidence of gross negligence regarding their post-arrival conduct</w:t>
      </w:r>
      <w:r w:rsidRPr="001E057A">
        <w:rPr>
          <w:rFonts w:ascii="Times New Roman" w:eastAsia="Times New Roman" w:hAnsi="Times New Roman"/>
          <w:sz w:val="24"/>
          <w:szCs w:val="24"/>
        </w:rPr>
        <w:t xml:space="preserve">.”  </w:t>
      </w:r>
      <w:hyperlink r:id="rId2400" w:history="1">
        <w:r w:rsidRPr="001E057A">
          <w:rPr>
            <w:rStyle w:val="Hyperlink"/>
            <w:rFonts w:ascii="Times New Roman" w:eastAsia="Times New Roman" w:hAnsi="Times New Roman"/>
            <w:sz w:val="24"/>
            <w:szCs w:val="24"/>
          </w:rPr>
          <w:t>https://mdcourts.gov/data/opinions/cosa/2020/0318s19.pdf</w:t>
        </w:r>
      </w:hyperlink>
      <w:r>
        <w:rPr>
          <w:rFonts w:ascii="Times New Roman" w:eastAsia="Times New Roman" w:hAnsi="Times New Roman"/>
          <w:b/>
          <w:bCs/>
          <w:sz w:val="24"/>
          <w:szCs w:val="24"/>
        </w:rPr>
        <w:t xml:space="preserve"> </w:t>
      </w:r>
    </w:p>
    <w:p w14:paraId="357D98B7" w14:textId="77777777" w:rsidR="00102FD0" w:rsidRPr="0093728B" w:rsidRDefault="00102FD0" w:rsidP="00102FD0">
      <w:pPr>
        <w:spacing w:after="100" w:line="240" w:lineRule="auto"/>
        <w:rPr>
          <w:rFonts w:ascii="Times New Roman" w:hAnsi="Times New Roman"/>
          <w:b/>
          <w:bCs/>
          <w:sz w:val="24"/>
          <w:szCs w:val="24"/>
        </w:rPr>
      </w:pPr>
      <w:r w:rsidRPr="0093728B">
        <w:rPr>
          <w:rFonts w:ascii="Times New Roman" w:hAnsi="Times New Roman"/>
          <w:b/>
          <w:bCs/>
          <w:sz w:val="24"/>
          <w:szCs w:val="24"/>
        </w:rPr>
        <w:t>Legal Lesson Learned:</w:t>
      </w:r>
      <w:r>
        <w:rPr>
          <w:rFonts w:ascii="Times New Roman" w:hAnsi="Times New Roman"/>
          <w:b/>
          <w:bCs/>
          <w:sz w:val="24"/>
          <w:szCs w:val="24"/>
        </w:rPr>
        <w:t xml:space="preserve"> Immunity statutes like the Maryland statutes are designed to protect EMS and other emergency responders from civil liability; it is frankly hard to understand why this lawsuit </w:t>
      </w:r>
      <w:proofErr w:type="gramStart"/>
      <w:r>
        <w:rPr>
          <w:rFonts w:ascii="Times New Roman" w:hAnsi="Times New Roman"/>
          <w:b/>
          <w:bCs/>
          <w:sz w:val="24"/>
          <w:szCs w:val="24"/>
        </w:rPr>
        <w:t>were</w:t>
      </w:r>
      <w:proofErr w:type="gramEnd"/>
      <w:r>
        <w:rPr>
          <w:rFonts w:ascii="Times New Roman" w:hAnsi="Times New Roman"/>
          <w:b/>
          <w:bCs/>
          <w:sz w:val="24"/>
          <w:szCs w:val="24"/>
        </w:rPr>
        <w:t xml:space="preserve"> ever filed. </w:t>
      </w:r>
    </w:p>
    <w:p w14:paraId="1A8E1C5B" w14:textId="77777777" w:rsidR="00102FD0" w:rsidRDefault="00102FD0" w:rsidP="001C563D">
      <w:pPr>
        <w:rPr>
          <w:rFonts w:ascii="Arial Black" w:hAnsi="Arial Black"/>
          <w:b/>
          <w:bCs/>
          <w:sz w:val="28"/>
          <w:szCs w:val="28"/>
        </w:rPr>
      </w:pPr>
    </w:p>
    <w:p w14:paraId="3DBCB811" w14:textId="77777777" w:rsidR="00102FD0" w:rsidRDefault="00102FD0" w:rsidP="001C563D">
      <w:pPr>
        <w:rPr>
          <w:rFonts w:ascii="Arial Black" w:hAnsi="Arial Black"/>
          <w:b/>
          <w:bCs/>
          <w:sz w:val="28"/>
          <w:szCs w:val="28"/>
        </w:rPr>
      </w:pPr>
    </w:p>
    <w:p w14:paraId="55DC682F" w14:textId="320D27CD" w:rsidR="00B532F6" w:rsidRDefault="00B532F6" w:rsidP="001C563D">
      <w:pPr>
        <w:rPr>
          <w:rFonts w:ascii="Arial Black" w:hAnsi="Arial Black"/>
          <w:b/>
          <w:bCs/>
          <w:sz w:val="28"/>
          <w:szCs w:val="28"/>
        </w:rPr>
      </w:pPr>
      <w:r>
        <w:rPr>
          <w:rFonts w:ascii="Arial Black" w:hAnsi="Arial Black"/>
          <w:b/>
          <w:bCs/>
          <w:sz w:val="28"/>
          <w:szCs w:val="28"/>
        </w:rPr>
        <w:t>13-64</w:t>
      </w:r>
    </w:p>
    <w:p w14:paraId="46ED1E2D" w14:textId="77777777" w:rsidR="00B532F6" w:rsidRDefault="00B532F6" w:rsidP="00B532F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NY:  LAWSUIT AGAINST EMS – COURT OF APPEALS HOLDS “SPECIAL RELATIONSHIP” – NO GOV’T IMMUNITY </w:t>
      </w:r>
    </w:p>
    <w:p w14:paraId="11AB7892" w14:textId="77777777" w:rsidR="00B532F6" w:rsidRPr="006B5620" w:rsidRDefault="00B532F6" w:rsidP="00B532F6">
      <w:pPr>
        <w:rPr>
          <w:rFonts w:ascii="Times New Roman" w:hAnsi="Times New Roman"/>
          <w:sz w:val="24"/>
          <w:szCs w:val="24"/>
        </w:rPr>
      </w:pPr>
      <w:r w:rsidRPr="006B5620">
        <w:rPr>
          <w:rFonts w:ascii="Times New Roman" w:hAnsi="Times New Roman"/>
          <w:sz w:val="24"/>
          <w:szCs w:val="24"/>
        </w:rPr>
        <w:t xml:space="preserve">On Sept. 23, 2020, in </w:t>
      </w:r>
      <w:r w:rsidRPr="006B5620">
        <w:rPr>
          <w:rFonts w:ascii="Times New Roman" w:hAnsi="Times New Roman"/>
          <w:sz w:val="24"/>
          <w:szCs w:val="24"/>
          <w:u w:val="single"/>
        </w:rPr>
        <w:t>Rashawn Watts, et. al, v, City of New York</w:t>
      </w:r>
      <w:r w:rsidRPr="006B5620">
        <w:rPr>
          <w:rFonts w:ascii="Times New Roman" w:hAnsi="Times New Roman"/>
          <w:sz w:val="24"/>
          <w:szCs w:val="24"/>
        </w:rPr>
        <w:t xml:space="preserve">, 2020 NY Slip Op 05084, the Supreme Court of the State of New York, Appellate Division (Second Judicial Department) held (4 to 0) that the trial court judge properly denied the City’s motion to dismiss the case, taking the legal position that when EMS provides services to a patient, governmental immunity no longer applies since the City now has established a “special relationship.”  </w:t>
      </w:r>
      <w:r>
        <w:rPr>
          <w:rFonts w:ascii="Times New Roman" w:hAnsi="Times New Roman"/>
          <w:sz w:val="24"/>
          <w:szCs w:val="24"/>
        </w:rPr>
        <w:t>[Note: Courts in some other jurisdictions require proof of gross negligence for case to proceed.]</w:t>
      </w:r>
      <w:r w:rsidRPr="006B5620">
        <w:rPr>
          <w:rFonts w:ascii="Times New Roman" w:hAnsi="Times New Roman"/>
          <w:sz w:val="24"/>
          <w:szCs w:val="24"/>
        </w:rPr>
        <w:t xml:space="preserve"> </w:t>
      </w:r>
    </w:p>
    <w:p w14:paraId="7A3D32CE" w14:textId="77777777" w:rsidR="00B532F6" w:rsidRDefault="00B532F6" w:rsidP="00B532F6">
      <w:pPr>
        <w:ind w:left="720"/>
        <w:rPr>
          <w:rFonts w:ascii="Times New Roman" w:hAnsi="Times New Roman"/>
          <w:sz w:val="24"/>
          <w:szCs w:val="24"/>
        </w:rPr>
      </w:pPr>
      <w:r>
        <w:rPr>
          <w:rFonts w:ascii="Times New Roman" w:hAnsi="Times New Roman"/>
          <w:sz w:val="24"/>
          <w:szCs w:val="24"/>
        </w:rPr>
        <w:t>“</w:t>
      </w:r>
      <w:r w:rsidRPr="004C542C">
        <w:rPr>
          <w:rFonts w:ascii="Times New Roman" w:hAnsi="Times New Roman"/>
          <w:sz w:val="24"/>
          <w:szCs w:val="24"/>
        </w:rPr>
        <w:t>A municipality will be held to have voluntarily assumed a duty or special</w:t>
      </w:r>
      <w:r>
        <w:rPr>
          <w:rFonts w:ascii="Times New Roman" w:hAnsi="Times New Roman"/>
          <w:sz w:val="24"/>
          <w:szCs w:val="24"/>
        </w:rPr>
        <w:t xml:space="preserve"> </w:t>
      </w:r>
      <w:r w:rsidRPr="004C542C">
        <w:rPr>
          <w:rFonts w:ascii="Times New Roman" w:hAnsi="Times New Roman"/>
          <w:sz w:val="24"/>
          <w:szCs w:val="24"/>
        </w:rPr>
        <w:t xml:space="preserve">relationship with the plaintiff where there is: </w:t>
      </w:r>
      <w:r>
        <w:rPr>
          <w:rFonts w:ascii="Times New Roman" w:hAnsi="Times New Roman"/>
          <w:sz w:val="24"/>
          <w:szCs w:val="24"/>
        </w:rPr>
        <w:t>‘</w:t>
      </w:r>
      <w:r w:rsidRPr="004C542C">
        <w:rPr>
          <w:rFonts w:ascii="Times New Roman" w:hAnsi="Times New Roman"/>
          <w:sz w:val="24"/>
          <w:szCs w:val="24"/>
        </w:rPr>
        <w:t>(1) an assumption by the municipality, through promises or actions, of an affirmative duty to act on behalf of the party who was injured; (2) knowledge on the part of the municipality's agents that inaction could lead to harm; (3) some form of direct contact between the municipality's agents and the injured party; and (4) that party's justifiable reliance on the municipality's affirmative undertaking</w:t>
      </w:r>
      <w:r>
        <w:rPr>
          <w:rFonts w:ascii="Times New Roman" w:hAnsi="Times New Roman"/>
          <w:sz w:val="24"/>
          <w:szCs w:val="24"/>
        </w:rPr>
        <w:t>’</w:t>
      </w:r>
      <w:r w:rsidRPr="004C542C">
        <w:rPr>
          <w:rFonts w:ascii="Times New Roman" w:hAnsi="Times New Roman"/>
          <w:sz w:val="24"/>
          <w:szCs w:val="24"/>
        </w:rPr>
        <w:t xml:space="preserve"> (</w:t>
      </w:r>
      <w:r w:rsidRPr="004C542C">
        <w:rPr>
          <w:rFonts w:ascii="Times New Roman" w:hAnsi="Times New Roman"/>
          <w:i/>
          <w:iCs/>
          <w:sz w:val="24"/>
          <w:szCs w:val="24"/>
        </w:rPr>
        <w:t xml:space="preserve">Applewhite v </w:t>
      </w:r>
      <w:proofErr w:type="spellStart"/>
      <w:r w:rsidRPr="004C542C">
        <w:rPr>
          <w:rFonts w:ascii="Times New Roman" w:hAnsi="Times New Roman"/>
          <w:i/>
          <w:iCs/>
          <w:sz w:val="24"/>
          <w:szCs w:val="24"/>
        </w:rPr>
        <w:t>Accuhealth</w:t>
      </w:r>
      <w:proofErr w:type="spellEnd"/>
      <w:r w:rsidRPr="004C542C">
        <w:rPr>
          <w:rFonts w:ascii="Times New Roman" w:hAnsi="Times New Roman"/>
          <w:sz w:val="24"/>
          <w:szCs w:val="24"/>
        </w:rPr>
        <w:t xml:space="preserve">, </w:t>
      </w:r>
      <w:r w:rsidRPr="004C542C">
        <w:rPr>
          <w:rFonts w:ascii="Times New Roman" w:hAnsi="Times New Roman"/>
          <w:i/>
          <w:iCs/>
          <w:sz w:val="24"/>
          <w:szCs w:val="24"/>
        </w:rPr>
        <w:t>Inc</w:t>
      </w:r>
      <w:r w:rsidRPr="004C542C">
        <w:rPr>
          <w:rFonts w:ascii="Times New Roman" w:hAnsi="Times New Roman"/>
          <w:sz w:val="24"/>
          <w:szCs w:val="24"/>
        </w:rPr>
        <w:t xml:space="preserve">., 21 NY3d at 430-431; </w:t>
      </w:r>
      <w:r w:rsidRPr="004C542C">
        <w:rPr>
          <w:rFonts w:ascii="Times New Roman" w:hAnsi="Times New Roman"/>
          <w:i/>
          <w:iCs/>
          <w:sz w:val="24"/>
          <w:szCs w:val="24"/>
        </w:rPr>
        <w:t xml:space="preserve">see </w:t>
      </w:r>
      <w:proofErr w:type="spellStart"/>
      <w:r w:rsidRPr="004C542C">
        <w:rPr>
          <w:rFonts w:ascii="Times New Roman" w:hAnsi="Times New Roman"/>
          <w:i/>
          <w:iCs/>
          <w:sz w:val="24"/>
          <w:szCs w:val="24"/>
        </w:rPr>
        <w:t>Laratro</w:t>
      </w:r>
      <w:proofErr w:type="spellEnd"/>
      <w:r w:rsidRPr="004C542C">
        <w:rPr>
          <w:rFonts w:ascii="Times New Roman" w:hAnsi="Times New Roman"/>
          <w:i/>
          <w:iCs/>
          <w:sz w:val="24"/>
          <w:szCs w:val="24"/>
        </w:rPr>
        <w:t xml:space="preserve"> v City of New York</w:t>
      </w:r>
      <w:r w:rsidRPr="004C542C">
        <w:rPr>
          <w:rFonts w:ascii="Times New Roman" w:hAnsi="Times New Roman"/>
          <w:sz w:val="24"/>
          <w:szCs w:val="24"/>
        </w:rPr>
        <w:t xml:space="preserve">, 8 NY3d at 83; </w:t>
      </w:r>
      <w:r w:rsidRPr="004C542C">
        <w:rPr>
          <w:rFonts w:ascii="Times New Roman" w:hAnsi="Times New Roman"/>
          <w:i/>
          <w:iCs/>
          <w:sz w:val="24"/>
          <w:szCs w:val="24"/>
        </w:rPr>
        <w:t>Cuffy v City of New York</w:t>
      </w:r>
      <w:r w:rsidRPr="004C542C">
        <w:rPr>
          <w:rFonts w:ascii="Times New Roman" w:hAnsi="Times New Roman"/>
          <w:sz w:val="24"/>
          <w:szCs w:val="24"/>
        </w:rPr>
        <w:t>, 69 NY2d 255, 260).</w:t>
      </w:r>
      <w:r>
        <w:rPr>
          <w:rFonts w:ascii="Times New Roman" w:hAnsi="Times New Roman"/>
          <w:sz w:val="24"/>
          <w:szCs w:val="24"/>
        </w:rPr>
        <w:t>’</w:t>
      </w:r>
    </w:p>
    <w:p w14:paraId="18D30AC4" w14:textId="77777777" w:rsidR="00B532F6" w:rsidRDefault="00B532F6" w:rsidP="00B532F6">
      <w:pPr>
        <w:ind w:left="720"/>
        <w:rPr>
          <w:rFonts w:ascii="Times New Roman" w:hAnsi="Times New Roman"/>
          <w:sz w:val="24"/>
          <w:szCs w:val="24"/>
        </w:rPr>
      </w:pPr>
      <w:r>
        <w:rPr>
          <w:rFonts w:ascii="Times New Roman" w:hAnsi="Times New Roman"/>
          <w:sz w:val="24"/>
          <w:szCs w:val="24"/>
        </w:rPr>
        <w:t>***</w:t>
      </w:r>
    </w:p>
    <w:p w14:paraId="7350B37A" w14:textId="77777777" w:rsidR="00B532F6" w:rsidRPr="004C542C" w:rsidRDefault="00B532F6" w:rsidP="00B532F6">
      <w:pPr>
        <w:ind w:left="720"/>
        <w:rPr>
          <w:rFonts w:ascii="Times New Roman" w:eastAsia="Times New Roman" w:hAnsi="Times New Roman"/>
          <w:b/>
          <w:bCs/>
          <w:sz w:val="24"/>
          <w:szCs w:val="24"/>
        </w:rPr>
      </w:pPr>
      <w:r w:rsidRPr="004C542C">
        <w:rPr>
          <w:rFonts w:ascii="Times New Roman" w:hAnsi="Times New Roman"/>
          <w:sz w:val="24"/>
          <w:szCs w:val="24"/>
        </w:rPr>
        <w:t>The prehospital care report summaries and computerized automated dispatch report submitted in support of the City defendants' motion did not constitute documentary evidence within the intendment of CPLR 3211(a)(1) (</w:t>
      </w:r>
      <w:r w:rsidRPr="004C542C">
        <w:rPr>
          <w:rFonts w:ascii="Times New Roman" w:hAnsi="Times New Roman"/>
          <w:i/>
          <w:iCs/>
          <w:sz w:val="24"/>
          <w:szCs w:val="24"/>
        </w:rPr>
        <w:t xml:space="preserve">see </w:t>
      </w:r>
      <w:proofErr w:type="spellStart"/>
      <w:r w:rsidRPr="004C542C">
        <w:rPr>
          <w:rFonts w:ascii="Times New Roman" w:hAnsi="Times New Roman"/>
          <w:i/>
          <w:iCs/>
          <w:sz w:val="24"/>
          <w:szCs w:val="24"/>
        </w:rPr>
        <w:t>Santaiti</w:t>
      </w:r>
      <w:proofErr w:type="spellEnd"/>
      <w:r w:rsidRPr="004C542C">
        <w:rPr>
          <w:rFonts w:ascii="Times New Roman" w:hAnsi="Times New Roman"/>
          <w:i/>
          <w:iCs/>
          <w:sz w:val="24"/>
          <w:szCs w:val="24"/>
        </w:rPr>
        <w:t xml:space="preserve"> v Town of Ramapo</w:t>
      </w:r>
      <w:r w:rsidRPr="004C542C">
        <w:rPr>
          <w:rFonts w:ascii="Times New Roman" w:hAnsi="Times New Roman"/>
          <w:sz w:val="24"/>
          <w:szCs w:val="24"/>
        </w:rPr>
        <w:t xml:space="preserve">, 162 AD3d at 926; </w:t>
      </w:r>
      <w:r w:rsidRPr="004C542C">
        <w:rPr>
          <w:rFonts w:ascii="Times New Roman" w:hAnsi="Times New Roman"/>
          <w:i/>
          <w:iCs/>
          <w:sz w:val="24"/>
          <w:szCs w:val="24"/>
        </w:rPr>
        <w:t>Fontanetta v John Doe 1</w:t>
      </w:r>
      <w:r w:rsidRPr="004C542C">
        <w:rPr>
          <w:rFonts w:ascii="Times New Roman" w:hAnsi="Times New Roman"/>
          <w:sz w:val="24"/>
          <w:szCs w:val="24"/>
        </w:rPr>
        <w:t>, 73 AD3d 78, 87).</w:t>
      </w:r>
      <w:r>
        <w:rPr>
          <w:rFonts w:ascii="Times New Roman" w:hAnsi="Times New Roman"/>
          <w:sz w:val="24"/>
          <w:szCs w:val="24"/>
        </w:rPr>
        <w:t xml:space="preserve"> </w:t>
      </w:r>
      <w:hyperlink r:id="rId2401" w:history="1">
        <w:r w:rsidRPr="000929D2">
          <w:rPr>
            <w:rStyle w:val="Hyperlink"/>
            <w:rFonts w:ascii="Times New Roman" w:hAnsi="Times New Roman"/>
            <w:sz w:val="24"/>
            <w:szCs w:val="24"/>
          </w:rPr>
          <w:t>https://law.justia.com/cases/new-york/appellate-division-second-department/2020/2018-14386.html</w:t>
        </w:r>
      </w:hyperlink>
      <w:r>
        <w:rPr>
          <w:rFonts w:ascii="Times New Roman" w:hAnsi="Times New Roman"/>
          <w:sz w:val="24"/>
          <w:szCs w:val="24"/>
        </w:rPr>
        <w:t xml:space="preserve"> </w:t>
      </w:r>
    </w:p>
    <w:p w14:paraId="019BE7FC" w14:textId="77777777" w:rsidR="00B532F6" w:rsidRDefault="00B532F6" w:rsidP="00B532F6">
      <w:pPr>
        <w:rPr>
          <w:rFonts w:ascii="Times New Roman" w:hAnsi="Times New Roman"/>
          <w:b/>
          <w:bCs/>
          <w:sz w:val="24"/>
          <w:szCs w:val="24"/>
        </w:rPr>
      </w:pPr>
      <w:r w:rsidRPr="004C542C">
        <w:rPr>
          <w:rFonts w:ascii="Times New Roman" w:hAnsi="Times New Roman"/>
          <w:b/>
          <w:bCs/>
          <w:sz w:val="24"/>
          <w:szCs w:val="24"/>
        </w:rPr>
        <w:t xml:space="preserve">Legal Lessons Learned: </w:t>
      </w:r>
      <w:r>
        <w:rPr>
          <w:rFonts w:ascii="Times New Roman" w:hAnsi="Times New Roman"/>
          <w:b/>
          <w:bCs/>
          <w:sz w:val="24"/>
          <w:szCs w:val="24"/>
        </w:rPr>
        <w:t xml:space="preserve"> Governmental immunity normally protects the municipality from EMS liability unless proof of gross negligence or willful or wanton misconduct.  The case will now proceed to pre-trial discovery.  </w:t>
      </w:r>
    </w:p>
    <w:p w14:paraId="551F6971" w14:textId="77777777" w:rsidR="00B532F6" w:rsidRPr="000B00E6" w:rsidRDefault="00B532F6" w:rsidP="00B532F6">
      <w:pPr>
        <w:pStyle w:val="Heading2"/>
        <w:ind w:left="720"/>
        <w:rPr>
          <w:rFonts w:ascii="Times New Roman" w:hAnsi="Times New Roman"/>
          <w:b w:val="0"/>
          <w:bCs w:val="0"/>
          <w:i w:val="0"/>
          <w:iCs w:val="0"/>
          <w:sz w:val="24"/>
          <w:szCs w:val="24"/>
        </w:rPr>
      </w:pPr>
      <w:r w:rsidRPr="000B00E6">
        <w:rPr>
          <w:rFonts w:ascii="Times New Roman" w:hAnsi="Times New Roman"/>
          <w:b w:val="0"/>
          <w:bCs w:val="0"/>
          <w:i w:val="0"/>
          <w:iCs w:val="0"/>
          <w:sz w:val="24"/>
          <w:szCs w:val="24"/>
        </w:rPr>
        <w:t xml:space="preserve">Note: See Ohio Revised Code 4765.49, Emergency medical personnel and agencies - immunity. </w:t>
      </w:r>
      <w:hyperlink r:id="rId2402" w:history="1">
        <w:r w:rsidRPr="000B00E6">
          <w:rPr>
            <w:rStyle w:val="Hyperlink"/>
            <w:rFonts w:ascii="Times New Roman" w:hAnsi="Times New Roman"/>
            <w:b w:val="0"/>
            <w:bCs w:val="0"/>
            <w:i w:val="0"/>
            <w:iCs w:val="0"/>
            <w:sz w:val="24"/>
            <w:szCs w:val="24"/>
          </w:rPr>
          <w:t>https://codes.ohio.gov/orc/4765.49v1</w:t>
        </w:r>
      </w:hyperlink>
      <w:r w:rsidRPr="000B00E6">
        <w:rPr>
          <w:rFonts w:ascii="Times New Roman" w:hAnsi="Times New Roman"/>
          <w:b w:val="0"/>
          <w:bCs w:val="0"/>
          <w:i w:val="0"/>
          <w:iCs w:val="0"/>
          <w:sz w:val="24"/>
          <w:szCs w:val="24"/>
        </w:rPr>
        <w:t xml:space="preserve"> </w:t>
      </w:r>
    </w:p>
    <w:p w14:paraId="311CE50D" w14:textId="77777777" w:rsidR="00B532F6" w:rsidRDefault="00B532F6" w:rsidP="00B532F6">
      <w:pPr>
        <w:pStyle w:val="NormalWeb"/>
        <w:ind w:left="1440"/>
      </w:pPr>
      <w:r>
        <w:t xml:space="preserve">“(A)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 A physician, physician assistant designated by a physician, or registered nurse designated by a physician, any of whom is advising or assisting in the emergency medical services by means of any communication device or telemetering system, is not liable in damages in a civil action for injury, death, or loss to person or property resulting from the individual's advisory communication or assistance, unless the advisory communication or assistance is provided in a manner that constitutes willful or wanton misconduct. Medical directors and members of cooperating physician advisory boards of emergency medical service organizations are not liable in damages in a civil action for injury, death, or loss to person or property resulting from their acts or omissions in the performance of their duties, unless the act or omission constitutes willful or wanton misconduct. </w:t>
      </w:r>
    </w:p>
    <w:p w14:paraId="3C8BF03A" w14:textId="77777777" w:rsidR="00B532F6" w:rsidRDefault="00B532F6" w:rsidP="00B532F6">
      <w:pPr>
        <w:pStyle w:val="NormalWeb"/>
        <w:ind w:left="1440"/>
      </w:pPr>
      <w:r>
        <w:t>(B) A political subdivision, joint ambulance district, joint emergency medical services district, or other public agency, and any officer or employee of a public agency or of a private organization operating under contract or in joint agreement with one or more political subdivisions, that provides emergency medical services, or that enters into a joint agreement or a contract with the state, any political subdivision, joint ambulance district, or joint emergency medical services district for the provision of emergency medical services, is not liable in damages in a civil action for injury, death, or loss to person or property arising out of any actions taken by a first responder, EMT-basic, EMT-I, or paramedic working under the officer's or employee's jurisdiction, or for injury, death, or loss to person or property arising out of any actions of licensed medical personnel advising or assisting the first responder, EMT-basic, EMT-I, or paramedic, unless the services are provided in a manner that constitutes willful or wanton misconduct.”</w:t>
      </w:r>
    </w:p>
    <w:p w14:paraId="3664E206" w14:textId="77777777" w:rsidR="00B532F6" w:rsidRDefault="00B532F6" w:rsidP="001C563D">
      <w:pPr>
        <w:rPr>
          <w:rFonts w:ascii="Arial Black" w:hAnsi="Arial Black"/>
          <w:b/>
          <w:bCs/>
          <w:sz w:val="28"/>
          <w:szCs w:val="28"/>
        </w:rPr>
      </w:pPr>
    </w:p>
    <w:p w14:paraId="2386F71C" w14:textId="441FD9AC" w:rsidR="00B532F6" w:rsidRPr="00B532F6" w:rsidRDefault="00B532F6" w:rsidP="001C563D">
      <w:pPr>
        <w:rPr>
          <w:rFonts w:ascii="Times New Roman" w:hAnsi="Times New Roman"/>
          <w:sz w:val="24"/>
          <w:szCs w:val="24"/>
        </w:rPr>
      </w:pPr>
      <w:r>
        <w:rPr>
          <w:rFonts w:ascii="Arial Black" w:hAnsi="Arial Black"/>
          <w:b/>
          <w:bCs/>
          <w:sz w:val="28"/>
          <w:szCs w:val="28"/>
        </w:rPr>
        <w:t xml:space="preserve">13-63 </w:t>
      </w:r>
      <w:r w:rsidRPr="00B532F6">
        <w:rPr>
          <w:rFonts w:ascii="Times New Roman" w:hAnsi="Times New Roman"/>
          <w:sz w:val="24"/>
          <w:szCs w:val="24"/>
        </w:rPr>
        <w:t>[also filed, Chap. 18]</w:t>
      </w:r>
    </w:p>
    <w:p w14:paraId="2AF5AC26" w14:textId="77777777" w:rsidR="00B532F6" w:rsidRPr="004D5BFC" w:rsidRDefault="00B532F6" w:rsidP="00B532F6">
      <w:pPr>
        <w:rPr>
          <w:rFonts w:ascii="Arial Black" w:hAnsi="Arial Black"/>
          <w:sz w:val="28"/>
          <w:szCs w:val="28"/>
        </w:rPr>
      </w:pPr>
      <w:r>
        <w:rPr>
          <w:rFonts w:ascii="Arial Black" w:hAnsi="Arial Black"/>
          <w:sz w:val="28"/>
          <w:szCs w:val="28"/>
        </w:rPr>
        <w:t xml:space="preserve">OH:  TEMPORARY IMMUNITY DURING COVID-19 PANDEMIC – EMERGENCY RESPONDERS, SCHOOLS PROTECTED TORT LIABILITY  </w:t>
      </w:r>
    </w:p>
    <w:p w14:paraId="2DD9ED7F" w14:textId="77777777" w:rsidR="00B532F6" w:rsidRPr="00820E9C" w:rsidRDefault="00B532F6" w:rsidP="00B532F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14, 2020, Ohio Governor Mike DeWine signed House Bill 606 into law.  </w:t>
      </w:r>
      <w:r w:rsidRPr="00820E9C">
        <w:rPr>
          <w:rFonts w:ascii="Times New Roman" w:hAnsi="Times New Roman"/>
          <w:sz w:val="24"/>
          <w:szCs w:val="24"/>
        </w:rPr>
        <w:t xml:space="preserve">“The bill ensures civil immunity to individuals, schools, health care providers, businesses and other entities from lawsuits arising from exposure, transmission or contraction of COVID-19, or any mutation of the virus, </w:t>
      </w:r>
      <w:proofErr w:type="gramStart"/>
      <w:r w:rsidRPr="00820E9C">
        <w:rPr>
          <w:rFonts w:ascii="Times New Roman" w:hAnsi="Times New Roman"/>
          <w:sz w:val="24"/>
          <w:szCs w:val="24"/>
        </w:rPr>
        <w:t>as long as</w:t>
      </w:r>
      <w:proofErr w:type="gramEnd"/>
      <w:r w:rsidRPr="00820E9C">
        <w:rPr>
          <w:rFonts w:ascii="Times New Roman" w:hAnsi="Times New Roman"/>
          <w:sz w:val="24"/>
          <w:szCs w:val="24"/>
        </w:rPr>
        <w:t xml:space="preserve"> they were not showing reckless, intentional or willful misconduct. It also shields health care providers from liability in tort actions regarding the care and services they provide during this pandemic unless they were acting recklessly or displaying intentional </w:t>
      </w:r>
      <w:proofErr w:type="gramStart"/>
      <w:r w:rsidRPr="00820E9C">
        <w:rPr>
          <w:rFonts w:ascii="Times New Roman" w:hAnsi="Times New Roman"/>
          <w:sz w:val="24"/>
          <w:szCs w:val="24"/>
        </w:rPr>
        <w:t>misconduct.</w:t>
      </w:r>
      <w:r>
        <w:rPr>
          <w:rFonts w:ascii="Times New Roman" w:hAnsi="Times New Roman"/>
          <w:sz w:val="24"/>
          <w:szCs w:val="24"/>
        </w:rPr>
        <w:t>”</w:t>
      </w:r>
      <w:proofErr w:type="gramEnd"/>
      <w:r w:rsidRPr="00820E9C">
        <w:rPr>
          <w:rFonts w:ascii="Times New Roman" w:hAnsi="Times New Roman"/>
          <w:sz w:val="24"/>
          <w:szCs w:val="24"/>
        </w:rPr>
        <w:t xml:space="preserve"> </w:t>
      </w:r>
      <w:hyperlink r:id="rId2403" w:history="1">
        <w:r w:rsidRPr="00EA25E1">
          <w:rPr>
            <w:rStyle w:val="Hyperlink"/>
            <w:rFonts w:ascii="Times New Roman" w:hAnsi="Times New Roman"/>
            <w:sz w:val="24"/>
            <w:szCs w:val="24"/>
          </w:rPr>
          <w:t>https://www.wkbn.com/news/coronavirus/dewine-signs-law-giving-covid-19-lawsuit-immunity/</w:t>
        </w:r>
      </w:hyperlink>
      <w:r>
        <w:rPr>
          <w:rFonts w:ascii="Times New Roman" w:hAnsi="Times New Roman"/>
          <w:sz w:val="24"/>
          <w:szCs w:val="24"/>
        </w:rPr>
        <w:t xml:space="preserve">  This will be particularly helpful to FDs that host paramedic and EMS students needing “ride time” for their certifications. See the statute: </w:t>
      </w:r>
      <w:hyperlink r:id="rId2404" w:history="1">
        <w:r w:rsidRPr="00EA25E1">
          <w:rPr>
            <w:rStyle w:val="Hyperlink"/>
            <w:rFonts w:ascii="Times New Roman" w:hAnsi="Times New Roman"/>
            <w:sz w:val="24"/>
            <w:szCs w:val="24"/>
          </w:rPr>
          <w:t>https://www.hannah.com/ShowDocument.aspx?BTextID=219206</w:t>
        </w:r>
      </w:hyperlink>
      <w:r>
        <w:rPr>
          <w:rFonts w:ascii="Times New Roman" w:hAnsi="Times New Roman"/>
          <w:sz w:val="24"/>
          <w:szCs w:val="24"/>
        </w:rPr>
        <w:t xml:space="preserve"> </w:t>
      </w:r>
    </w:p>
    <w:p w14:paraId="7D943446"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statute is an excellent example of legislation providing immunity from tort liability during the pandemic for those serving others, including emergency responders.  </w:t>
      </w:r>
    </w:p>
    <w:p w14:paraId="39A64FF3" w14:textId="77777777" w:rsidR="00B532F6" w:rsidRPr="00E85202" w:rsidRDefault="00B532F6" w:rsidP="00B532F6">
      <w:pPr>
        <w:spacing w:before="100" w:beforeAutospacing="1" w:after="100" w:afterAutospacing="1" w:line="240" w:lineRule="auto"/>
        <w:ind w:left="720"/>
        <w:rPr>
          <w:rFonts w:ascii="Times New Roman" w:eastAsia="Times New Roman" w:hAnsi="Times New Roman"/>
          <w:sz w:val="24"/>
          <w:szCs w:val="24"/>
        </w:rPr>
      </w:pPr>
      <w:r w:rsidRPr="00E85202">
        <w:rPr>
          <w:rFonts w:ascii="Times New Roman" w:eastAsia="Times New Roman" w:hAnsi="Times New Roman"/>
          <w:sz w:val="24"/>
          <w:szCs w:val="24"/>
        </w:rPr>
        <w:t xml:space="preserve">Note: See legislative history: </w:t>
      </w:r>
      <w:hyperlink r:id="rId2405" w:history="1">
        <w:r w:rsidRPr="00EA25E1">
          <w:rPr>
            <w:rStyle w:val="Hyperlink"/>
            <w:rFonts w:ascii="Times New Roman" w:eastAsia="Times New Roman" w:hAnsi="Times New Roman"/>
            <w:sz w:val="24"/>
            <w:szCs w:val="24"/>
          </w:rPr>
          <w:t>https://www.legislature.ohio.gov/legislation/legislation-documents?id=GA133-HB-606</w:t>
        </w:r>
      </w:hyperlink>
      <w:r w:rsidRPr="00E85202">
        <w:rPr>
          <w:rFonts w:ascii="Times New Roman" w:eastAsia="Times New Roman" w:hAnsi="Times New Roman"/>
          <w:sz w:val="24"/>
          <w:szCs w:val="24"/>
        </w:rPr>
        <w:t xml:space="preserve"> </w:t>
      </w:r>
    </w:p>
    <w:p w14:paraId="347C9890" w14:textId="77777777" w:rsidR="00B532F6" w:rsidRDefault="00B532F6" w:rsidP="001C563D">
      <w:pPr>
        <w:rPr>
          <w:rFonts w:ascii="Arial Black" w:hAnsi="Arial Black"/>
          <w:b/>
          <w:bCs/>
          <w:sz w:val="28"/>
          <w:szCs w:val="28"/>
        </w:rPr>
      </w:pPr>
    </w:p>
    <w:p w14:paraId="45464A38" w14:textId="77777777" w:rsidR="00B532F6" w:rsidRDefault="00B532F6" w:rsidP="001C563D">
      <w:pPr>
        <w:rPr>
          <w:rFonts w:ascii="Arial Black" w:hAnsi="Arial Black"/>
          <w:b/>
          <w:bCs/>
          <w:sz w:val="28"/>
          <w:szCs w:val="28"/>
        </w:rPr>
      </w:pPr>
    </w:p>
    <w:p w14:paraId="6D00479F" w14:textId="0BC2A526" w:rsidR="00557CA2" w:rsidRDefault="00557CA2" w:rsidP="001C563D">
      <w:pPr>
        <w:rPr>
          <w:rFonts w:ascii="Arial Black" w:hAnsi="Arial Black"/>
          <w:b/>
          <w:bCs/>
          <w:sz w:val="28"/>
          <w:szCs w:val="28"/>
        </w:rPr>
      </w:pPr>
      <w:r>
        <w:rPr>
          <w:rFonts w:ascii="Arial Black" w:hAnsi="Arial Black"/>
          <w:b/>
          <w:bCs/>
          <w:sz w:val="28"/>
          <w:szCs w:val="28"/>
        </w:rPr>
        <w:t>13-62</w:t>
      </w:r>
    </w:p>
    <w:p w14:paraId="4016C6AA"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“UNRESTRAINED” PATIENT DROPPED FROM STRETCHER – UNEVEN DRIVEWAY – NO EXPERT REPORT</w:t>
      </w:r>
    </w:p>
    <w:p w14:paraId="44D036CF" w14:textId="77777777" w:rsidR="00557CA2" w:rsidRDefault="00557CA2" w:rsidP="00557CA2">
      <w:pPr>
        <w:pStyle w:val="Heading1"/>
        <w:rPr>
          <w:b w:val="0"/>
          <w:bCs w:val="0"/>
          <w:sz w:val="24"/>
          <w:szCs w:val="24"/>
        </w:rPr>
      </w:pPr>
      <w:r>
        <w:rPr>
          <w:sz w:val="24"/>
          <w:szCs w:val="24"/>
        </w:rPr>
        <w:t xml:space="preserve"> </w:t>
      </w:r>
      <w:r>
        <w:rPr>
          <w:b w:val="0"/>
          <w:bCs w:val="0"/>
          <w:sz w:val="24"/>
          <w:szCs w:val="24"/>
        </w:rPr>
        <w:t xml:space="preserve">On Aug. 25, 2020, in City of </w:t>
      </w:r>
      <w:r>
        <w:rPr>
          <w:b w:val="0"/>
          <w:bCs w:val="0"/>
          <w:sz w:val="24"/>
          <w:szCs w:val="24"/>
          <w:u w:val="single"/>
        </w:rPr>
        <w:t>Houston v. Shirley Houston</w:t>
      </w:r>
      <w:r>
        <w:rPr>
          <w:b w:val="0"/>
          <w:bCs w:val="0"/>
          <w:sz w:val="24"/>
          <w:szCs w:val="24"/>
        </w:rPr>
        <w:t xml:space="preserve">, the Court of Appeals for the First District of Texas held (3 to 0) that the lawsuit should be dismissed, reversing a trial judge’s denial of City’s motion to dismiss. </w:t>
      </w:r>
    </w:p>
    <w:p w14:paraId="02D36EE1" w14:textId="77777777" w:rsidR="00557CA2" w:rsidRDefault="00557CA2" w:rsidP="00557CA2">
      <w:pPr>
        <w:pStyle w:val="Heading1"/>
        <w:ind w:left="720"/>
        <w:rPr>
          <w:b w:val="0"/>
          <w:bCs w:val="0"/>
          <w:sz w:val="24"/>
          <w:szCs w:val="24"/>
        </w:rPr>
      </w:pPr>
      <w:r>
        <w:rPr>
          <w:b w:val="0"/>
          <w:bCs w:val="0"/>
          <w:sz w:val="24"/>
          <w:szCs w:val="24"/>
        </w:rPr>
        <w:t>“In its sole issue, the City contends that the trial court erred in denying its motion to dismiss because Houston's claim constitutes a health care liability claim</w:t>
      </w:r>
      <w:bookmarkStart w:id="454" w:name="fn2"/>
      <w:r>
        <w:rPr>
          <w:b w:val="0"/>
          <w:bCs w:val="0"/>
          <w:sz w:val="24"/>
          <w:szCs w:val="24"/>
        </w:rPr>
        <w:fldChar w:fldCharType="begin"/>
      </w:r>
      <w:r>
        <w:rPr>
          <w:b w:val="0"/>
          <w:bCs w:val="0"/>
          <w:sz w:val="24"/>
          <w:szCs w:val="24"/>
        </w:rPr>
        <w:instrText xml:space="preserve"> HYPERLINK "https://public.fastcase.com/" \l "fr2" </w:instrText>
      </w:r>
      <w:r>
        <w:rPr>
          <w:b w:val="0"/>
          <w:bCs w:val="0"/>
          <w:sz w:val="24"/>
          <w:szCs w:val="24"/>
        </w:rPr>
      </w:r>
      <w:r>
        <w:rPr>
          <w:b w:val="0"/>
          <w:bCs w:val="0"/>
          <w:sz w:val="24"/>
          <w:szCs w:val="24"/>
        </w:rPr>
        <w:fldChar w:fldCharType="separate"/>
      </w:r>
      <w:r>
        <w:rPr>
          <w:rStyle w:val="Hyperlink"/>
          <w:rFonts w:eastAsiaTheme="majorEastAsia"/>
          <w:b w:val="0"/>
          <w:bCs w:val="0"/>
          <w:sz w:val="24"/>
          <w:szCs w:val="24"/>
          <w:vertAlign w:val="superscript"/>
        </w:rPr>
        <w:t>2</w:t>
      </w:r>
      <w:r>
        <w:rPr>
          <w:b w:val="0"/>
          <w:bCs w:val="0"/>
          <w:sz w:val="24"/>
          <w:szCs w:val="24"/>
        </w:rPr>
        <w:fldChar w:fldCharType="end"/>
      </w:r>
      <w:bookmarkEnd w:id="454"/>
      <w:r>
        <w:rPr>
          <w:b w:val="0"/>
          <w:bCs w:val="0"/>
          <w:sz w:val="24"/>
          <w:szCs w:val="24"/>
        </w:rPr>
        <w:t xml:space="preserve"> and she failed to serve it with a </w:t>
      </w:r>
      <w:proofErr w:type="gramStart"/>
      <w:r>
        <w:rPr>
          <w:b w:val="0"/>
          <w:bCs w:val="0"/>
          <w:sz w:val="24"/>
          <w:szCs w:val="24"/>
        </w:rPr>
        <w:t>statutorily-required</w:t>
      </w:r>
      <w:proofErr w:type="gramEnd"/>
      <w:r>
        <w:rPr>
          <w:b w:val="0"/>
          <w:bCs w:val="0"/>
          <w:sz w:val="24"/>
          <w:szCs w:val="24"/>
        </w:rPr>
        <w:t xml:space="preserve"> expert report.</w:t>
      </w:r>
      <w:r>
        <w:rPr>
          <w:b w:val="0"/>
          <w:bCs w:val="0"/>
          <w:sz w:val="24"/>
          <w:szCs w:val="24"/>
          <w:vertAlign w:val="superscript"/>
        </w:rPr>
        <w:t xml:space="preserve"> *** </w:t>
      </w:r>
      <w:r>
        <w:rPr>
          <w:b w:val="0"/>
          <w:bCs w:val="0"/>
          <w:sz w:val="24"/>
          <w:szCs w:val="24"/>
        </w:rPr>
        <w:t xml:space="preserve">Here, the allegations in Houston's first amended petition show that her claim is against a health care provider and is based on facts that implicate the defendant's conduct </w:t>
      </w:r>
      <w:proofErr w:type="gramStart"/>
      <w:r>
        <w:rPr>
          <w:b w:val="0"/>
          <w:bCs w:val="0"/>
          <w:sz w:val="24"/>
          <w:szCs w:val="24"/>
        </w:rPr>
        <w:t>during the course of</w:t>
      </w:r>
      <w:proofErr w:type="gramEnd"/>
      <w:r>
        <w:rPr>
          <w:b w:val="0"/>
          <w:bCs w:val="0"/>
          <w:sz w:val="24"/>
          <w:szCs w:val="24"/>
        </w:rPr>
        <w:t xml:space="preserve"> a patient's care, treatment, or confinement….  Thus, [the Plaintiff] bore the burden of rebutting the presumption that her claim against the City was a health care liability claim…. She has not done so.” </w:t>
      </w:r>
      <w:hyperlink r:id="rId2406" w:history="1">
        <w:r>
          <w:rPr>
            <w:rStyle w:val="Hyperlink"/>
            <w:rFonts w:eastAsiaTheme="majorEastAsia"/>
            <w:b w:val="0"/>
            <w:bCs w:val="0"/>
            <w:sz w:val="24"/>
            <w:szCs w:val="24"/>
          </w:rPr>
          <w:t>https://law.justia.com/cases/texas/first-court-of-appeals/2020/01-19-00255-cv.html</w:t>
        </w:r>
      </w:hyperlink>
      <w:r>
        <w:rPr>
          <w:b w:val="0"/>
          <w:bCs w:val="0"/>
          <w:sz w:val="24"/>
          <w:szCs w:val="24"/>
        </w:rPr>
        <w:t xml:space="preserve"> </w:t>
      </w:r>
    </w:p>
    <w:p w14:paraId="0E5BE7E5" w14:textId="77777777" w:rsidR="00CD02AE" w:rsidRDefault="00CD02AE" w:rsidP="00CD02A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When moving a patient on a stretcher from her home the patient must be “secured” to the stretcher and extreme caution must be exercised.  </w:t>
      </w:r>
    </w:p>
    <w:p w14:paraId="43A8DC43" w14:textId="77777777" w:rsidR="00557CA2" w:rsidRDefault="00557CA2" w:rsidP="001C563D">
      <w:pPr>
        <w:rPr>
          <w:rFonts w:ascii="Arial Black" w:hAnsi="Arial Black"/>
          <w:b/>
          <w:bCs/>
          <w:sz w:val="28"/>
          <w:szCs w:val="28"/>
        </w:rPr>
      </w:pPr>
    </w:p>
    <w:p w14:paraId="2ECCBAD4" w14:textId="77777777" w:rsidR="00557CA2" w:rsidRDefault="00557CA2" w:rsidP="001C563D">
      <w:pPr>
        <w:rPr>
          <w:rFonts w:ascii="Arial Black" w:hAnsi="Arial Black"/>
          <w:b/>
          <w:bCs/>
          <w:sz w:val="28"/>
          <w:szCs w:val="28"/>
        </w:rPr>
      </w:pPr>
    </w:p>
    <w:p w14:paraId="0497B739" w14:textId="3EC88CC2" w:rsidR="001C563D" w:rsidRPr="007105B3" w:rsidRDefault="007105B3" w:rsidP="001C563D">
      <w:pPr>
        <w:rPr>
          <w:rFonts w:ascii="Times New Roman" w:hAnsi="Times New Roman"/>
          <w:bCs/>
          <w:sz w:val="24"/>
          <w:szCs w:val="24"/>
        </w:rPr>
      </w:pPr>
      <w:r>
        <w:rPr>
          <w:rFonts w:ascii="Arial Black" w:hAnsi="Arial Black"/>
          <w:b/>
          <w:bCs/>
          <w:sz w:val="28"/>
          <w:szCs w:val="28"/>
        </w:rPr>
        <w:t>13-</w:t>
      </w:r>
      <w:r w:rsidR="001C563D">
        <w:rPr>
          <w:rFonts w:ascii="Arial Black" w:hAnsi="Arial Black"/>
          <w:b/>
          <w:bCs/>
          <w:sz w:val="28"/>
          <w:szCs w:val="28"/>
        </w:rPr>
        <w:t>6</w:t>
      </w:r>
      <w:r w:rsidR="001A653A">
        <w:rPr>
          <w:rFonts w:ascii="Arial Black" w:hAnsi="Arial Black"/>
          <w:b/>
          <w:bCs/>
          <w:sz w:val="28"/>
          <w:szCs w:val="28"/>
        </w:rPr>
        <w:t>1</w:t>
      </w:r>
      <w:r w:rsidR="001C563D">
        <w:rPr>
          <w:rFonts w:ascii="Arial Black" w:hAnsi="Arial Black"/>
          <w:b/>
          <w:bCs/>
          <w:sz w:val="28"/>
          <w:szCs w:val="28"/>
        </w:rPr>
        <w:t xml:space="preserve"> </w:t>
      </w:r>
      <w:r w:rsidR="001C563D" w:rsidRPr="007105B3">
        <w:rPr>
          <w:rFonts w:ascii="Times New Roman" w:hAnsi="Times New Roman"/>
          <w:bCs/>
          <w:sz w:val="24"/>
          <w:szCs w:val="24"/>
        </w:rPr>
        <w:t xml:space="preserve">[Also filed, Chap. </w:t>
      </w:r>
      <w:r w:rsidR="001C563D">
        <w:rPr>
          <w:rFonts w:ascii="Times New Roman" w:hAnsi="Times New Roman"/>
          <w:bCs/>
          <w:sz w:val="24"/>
          <w:szCs w:val="24"/>
        </w:rPr>
        <w:t>5</w:t>
      </w:r>
      <w:r w:rsidR="001C563D" w:rsidRPr="007105B3">
        <w:rPr>
          <w:rFonts w:ascii="Times New Roman" w:hAnsi="Times New Roman"/>
          <w:bCs/>
          <w:sz w:val="24"/>
          <w:szCs w:val="24"/>
        </w:rPr>
        <w:t>]</w:t>
      </w:r>
    </w:p>
    <w:p w14:paraId="7DE34904" w14:textId="77777777" w:rsidR="007105B3" w:rsidRDefault="007105B3" w:rsidP="007105B3">
      <w:pPr>
        <w:pStyle w:val="NoSpacing"/>
        <w:rPr>
          <w:rFonts w:ascii="Arial Black" w:hAnsi="Arial Black"/>
          <w:sz w:val="28"/>
          <w:szCs w:val="28"/>
        </w:rPr>
      </w:pPr>
      <w:r w:rsidRPr="00284D4F">
        <w:rPr>
          <w:rFonts w:ascii="Arial Black" w:hAnsi="Arial Black"/>
          <w:sz w:val="28"/>
          <w:szCs w:val="28"/>
        </w:rPr>
        <w:t xml:space="preserve">IL: </w:t>
      </w:r>
      <w:r>
        <w:rPr>
          <w:rFonts w:ascii="Arial Black" w:hAnsi="Arial Black"/>
          <w:sz w:val="28"/>
          <w:szCs w:val="28"/>
        </w:rPr>
        <w:t>PRIVATE AMBULANCE – RAN RED LIGHT WHEN DRIVING TO NON-EMERGENCY TRANSPORT - NO IMMUNITY</w:t>
      </w:r>
    </w:p>
    <w:p w14:paraId="1375197D" w14:textId="77777777" w:rsidR="007105B3" w:rsidRDefault="007105B3" w:rsidP="007105B3">
      <w:pPr>
        <w:pStyle w:val="NoSpacing"/>
        <w:rPr>
          <w:rFonts w:ascii="Arial Black" w:hAnsi="Arial Black"/>
          <w:sz w:val="28"/>
          <w:szCs w:val="28"/>
        </w:rPr>
      </w:pPr>
    </w:p>
    <w:p w14:paraId="0E5F8DC8" w14:textId="77777777" w:rsidR="007105B3" w:rsidRPr="00700A10" w:rsidRDefault="007105B3" w:rsidP="007105B3">
      <w:pPr>
        <w:pStyle w:val="NoSpacing"/>
        <w:rPr>
          <w:rFonts w:ascii="Times New Roman" w:hAnsi="Times New Roman"/>
          <w:sz w:val="24"/>
          <w:szCs w:val="24"/>
        </w:rPr>
      </w:pPr>
      <w:r w:rsidRPr="00284D4F">
        <w:rPr>
          <w:rFonts w:ascii="Times New Roman" w:hAnsi="Times New Roman"/>
          <w:sz w:val="24"/>
          <w:szCs w:val="24"/>
        </w:rPr>
        <w:t xml:space="preserve">On </w:t>
      </w:r>
      <w:r>
        <w:rPr>
          <w:rFonts w:ascii="Times New Roman" w:hAnsi="Times New Roman"/>
          <w:sz w:val="24"/>
          <w:szCs w:val="24"/>
        </w:rPr>
        <w:t xml:space="preserve">June 18, 2020, in </w:t>
      </w:r>
      <w:r w:rsidRPr="00284D4F">
        <w:rPr>
          <w:rFonts w:ascii="Times New Roman" w:hAnsi="Times New Roman"/>
          <w:sz w:val="24"/>
          <w:szCs w:val="24"/>
          <w:u w:val="single"/>
        </w:rPr>
        <w:t>Roberto Hernandez v. Lifeline Ambulance, LLC, et al</w:t>
      </w:r>
      <w:r>
        <w:rPr>
          <w:rFonts w:ascii="Times New Roman" w:hAnsi="Times New Roman"/>
          <w:sz w:val="24"/>
          <w:szCs w:val="24"/>
        </w:rPr>
        <w:t xml:space="preserve">., the Supreme Court of State of Illinois, held (4 to 3) that the private ambulance driver and his employer are not protected under the state’s EMS immunity statute when the ambulance driver, on a non-emergency run without lights or siren, ran a red light and injured the driver of another vehicle. The ambulance had been dispatched </w:t>
      </w:r>
      <w:r w:rsidRPr="00700A10">
        <w:rPr>
          <w:rFonts w:ascii="Times New Roman" w:hAnsi="Times New Roman"/>
          <w:sz w:val="24"/>
          <w:szCs w:val="24"/>
        </w:rPr>
        <w:t>to pick up a patient for nonemergency medical transport from Symphony at Aria Post Acute Care in Hillside to Villa Park Home Dialysis in Villa Park</w:t>
      </w:r>
      <w:r>
        <w:rPr>
          <w:rFonts w:ascii="Times New Roman" w:hAnsi="Times New Roman"/>
          <w:sz w:val="24"/>
          <w:szCs w:val="24"/>
        </w:rPr>
        <w:t>. The Court’s majority held: “</w:t>
      </w:r>
      <w:r w:rsidRPr="00700A10">
        <w:rPr>
          <w:rFonts w:ascii="Times New Roman" w:hAnsi="Times New Roman"/>
          <w:sz w:val="24"/>
          <w:szCs w:val="24"/>
        </w:rPr>
        <w:t xml:space="preserve">The issue presented is whether section 3.150 of the Emergency Medical Services Systems Act (EMS Act) (210 ILCS 50/3.150 (West 2016)) provides immunity from liability—to an ambulance owner and its driver—stemming from a motor-vehicle accident caused by the negligent operation of the ambulance while </w:t>
      </w:r>
      <w:proofErr w:type="spellStart"/>
      <w:r w:rsidRPr="00700A10">
        <w:rPr>
          <w:rFonts w:ascii="Times New Roman" w:hAnsi="Times New Roman"/>
          <w:sz w:val="24"/>
          <w:szCs w:val="24"/>
        </w:rPr>
        <w:t>en</w:t>
      </w:r>
      <w:proofErr w:type="spellEnd"/>
      <w:r w:rsidRPr="00700A10">
        <w:rPr>
          <w:rFonts w:ascii="Times New Roman" w:hAnsi="Times New Roman"/>
          <w:sz w:val="24"/>
          <w:szCs w:val="24"/>
        </w:rPr>
        <w:t xml:space="preserve"> route to pick up a patient for nonemergency transportation. We answer this question in the negative, holding that defendants are not immune from liability under the circumstances of this case.</w:t>
      </w:r>
      <w:r>
        <w:rPr>
          <w:rFonts w:ascii="Times New Roman" w:hAnsi="Times New Roman"/>
          <w:sz w:val="24"/>
          <w:szCs w:val="24"/>
        </w:rPr>
        <w:t xml:space="preserve">” </w:t>
      </w:r>
      <w:hyperlink r:id="rId2407" w:history="1">
        <w:r w:rsidRPr="005B0C9C">
          <w:rPr>
            <w:rStyle w:val="Hyperlink"/>
            <w:rFonts w:ascii="Times New Roman" w:hAnsi="Times New Roman"/>
            <w:sz w:val="24"/>
            <w:szCs w:val="24"/>
          </w:rPr>
          <w:t>https://courts.illinois.gov/Opinions/SupremeCourt/2020/124610.pdf</w:t>
        </w:r>
      </w:hyperlink>
      <w:r>
        <w:rPr>
          <w:rFonts w:ascii="Times New Roman" w:hAnsi="Times New Roman"/>
          <w:sz w:val="24"/>
          <w:szCs w:val="24"/>
        </w:rPr>
        <w:t xml:space="preserve"> </w:t>
      </w:r>
    </w:p>
    <w:p w14:paraId="02CEDC12" w14:textId="77777777" w:rsidR="007105B3" w:rsidRPr="00700A10" w:rsidRDefault="007105B3" w:rsidP="007105B3">
      <w:pPr>
        <w:pStyle w:val="NoSpacing"/>
        <w:rPr>
          <w:rFonts w:ascii="Times New Roman" w:hAnsi="Times New Roman"/>
          <w:sz w:val="24"/>
          <w:szCs w:val="24"/>
        </w:rPr>
      </w:pPr>
    </w:p>
    <w:p w14:paraId="54DD4AAC" w14:textId="77777777" w:rsidR="007105B3" w:rsidRPr="00700A10" w:rsidRDefault="007105B3" w:rsidP="007105B3">
      <w:pPr>
        <w:pStyle w:val="NoSpacing"/>
        <w:rPr>
          <w:rFonts w:ascii="Times New Roman" w:hAnsi="Times New Roman"/>
          <w:b/>
          <w:bCs/>
          <w:sz w:val="24"/>
          <w:szCs w:val="24"/>
        </w:rPr>
      </w:pPr>
      <w:r w:rsidRPr="00700A10">
        <w:rPr>
          <w:rFonts w:ascii="Times New Roman" w:hAnsi="Times New Roman"/>
          <w:b/>
          <w:bCs/>
          <w:sz w:val="24"/>
          <w:szCs w:val="24"/>
        </w:rPr>
        <w:t>Legal Lessons Learned:</w:t>
      </w:r>
      <w:r>
        <w:rPr>
          <w:rFonts w:ascii="Times New Roman" w:hAnsi="Times New Roman"/>
          <w:b/>
          <w:bCs/>
          <w:sz w:val="24"/>
          <w:szCs w:val="24"/>
        </w:rPr>
        <w:t xml:space="preserve"> EMS driving running a red light for a non-emergency transport should be held responsible, along with his company, for his negligent conduct. </w:t>
      </w:r>
    </w:p>
    <w:p w14:paraId="488681CD" w14:textId="77777777" w:rsidR="007105B3" w:rsidRDefault="007105B3" w:rsidP="007105B3">
      <w:pPr>
        <w:pStyle w:val="NoSpacing"/>
        <w:rPr>
          <w:rFonts w:ascii="Times New Roman" w:hAnsi="Times New Roman"/>
          <w:sz w:val="24"/>
          <w:szCs w:val="24"/>
        </w:rPr>
      </w:pPr>
    </w:p>
    <w:p w14:paraId="6B2E73BB" w14:textId="77777777" w:rsidR="007105B3" w:rsidRPr="005262A7" w:rsidRDefault="007105B3" w:rsidP="007105B3">
      <w:pPr>
        <w:pStyle w:val="NoSpacing"/>
        <w:ind w:firstLine="720"/>
        <w:rPr>
          <w:rFonts w:ascii="Times New Roman" w:hAnsi="Times New Roman"/>
          <w:sz w:val="24"/>
          <w:szCs w:val="24"/>
        </w:rPr>
      </w:pPr>
      <w:r w:rsidRPr="005262A7">
        <w:rPr>
          <w:rFonts w:ascii="Times New Roman" w:hAnsi="Times New Roman"/>
          <w:sz w:val="24"/>
          <w:szCs w:val="24"/>
        </w:rPr>
        <w:t xml:space="preserve">Note: Three dissenting Justices </w:t>
      </w:r>
      <w:r>
        <w:rPr>
          <w:rFonts w:ascii="Times New Roman" w:hAnsi="Times New Roman"/>
          <w:sz w:val="24"/>
          <w:szCs w:val="24"/>
        </w:rPr>
        <w:t>disagreed:</w:t>
      </w:r>
    </w:p>
    <w:p w14:paraId="701ABA1A" w14:textId="77777777" w:rsidR="007105B3" w:rsidRDefault="007105B3" w:rsidP="007105B3">
      <w:pPr>
        <w:pStyle w:val="NoSpacing"/>
        <w:ind w:left="720"/>
        <w:rPr>
          <w:rFonts w:ascii="Times New Roman" w:hAnsi="Times New Roman"/>
          <w:sz w:val="24"/>
          <w:szCs w:val="24"/>
        </w:rPr>
      </w:pPr>
    </w:p>
    <w:p w14:paraId="4C626A4F" w14:textId="77777777" w:rsidR="007105B3" w:rsidRDefault="007105B3" w:rsidP="007105B3">
      <w:pPr>
        <w:pStyle w:val="NoSpacing"/>
        <w:ind w:left="720"/>
      </w:pPr>
      <w:r>
        <w:rPr>
          <w:rFonts w:ascii="Times New Roman" w:hAnsi="Times New Roman"/>
          <w:sz w:val="24"/>
          <w:szCs w:val="24"/>
        </w:rPr>
        <w:t>“</w:t>
      </w:r>
      <w:r w:rsidRPr="005262A7">
        <w:rPr>
          <w:rFonts w:ascii="Times New Roman" w:hAnsi="Times New Roman"/>
          <w:sz w:val="24"/>
          <w:szCs w:val="24"/>
        </w:rPr>
        <w:t xml:space="preserve">In the case at bar, at the time of the accident, Nicholas was rendering nonemergency medical services in the normal course of conducting his duties. Nicholas was in the process of responding to a dispatch to transport a patient to a health care facility. Driving to the patient was preparatory for and integral to delivering the medical service. Further, the accident occurred before transporting the patient to a health care facility and during defendant’s driving in response to the dispatch. Therefore, absent willful and wanton misconduct, section 3.150(a) of the EMS Act immunizes defendants for their alleged negligent acts or omissions while providing nonemergency medical </w:t>
      </w:r>
      <w:proofErr w:type="gramStart"/>
      <w:r w:rsidRPr="005262A7">
        <w:rPr>
          <w:rFonts w:ascii="Times New Roman" w:hAnsi="Times New Roman"/>
          <w:sz w:val="24"/>
          <w:szCs w:val="24"/>
        </w:rPr>
        <w:t>services</w:t>
      </w:r>
      <w:r>
        <w:t>.”</w:t>
      </w:r>
      <w:proofErr w:type="gramEnd"/>
    </w:p>
    <w:p w14:paraId="76954412" w14:textId="77777777" w:rsidR="007105B3" w:rsidRDefault="007105B3" w:rsidP="007105B3">
      <w:pPr>
        <w:pStyle w:val="NoSpacing"/>
        <w:ind w:left="720"/>
      </w:pPr>
    </w:p>
    <w:p w14:paraId="5ACF48C8" w14:textId="0412504F" w:rsidR="001C563D" w:rsidRDefault="001C563D" w:rsidP="002B1283">
      <w:pPr>
        <w:rPr>
          <w:rFonts w:ascii="Arial Black" w:hAnsi="Arial Black"/>
          <w:b/>
          <w:bCs/>
          <w:sz w:val="28"/>
          <w:szCs w:val="28"/>
        </w:rPr>
      </w:pPr>
      <w:r>
        <w:rPr>
          <w:rFonts w:ascii="Arial Black" w:hAnsi="Arial Black"/>
          <w:b/>
          <w:bCs/>
          <w:sz w:val="28"/>
          <w:szCs w:val="28"/>
        </w:rPr>
        <w:t>13-</w:t>
      </w:r>
      <w:r w:rsidR="001A653A">
        <w:rPr>
          <w:rFonts w:ascii="Arial Black" w:hAnsi="Arial Black"/>
          <w:b/>
          <w:bCs/>
          <w:sz w:val="28"/>
          <w:szCs w:val="28"/>
        </w:rPr>
        <w:t>60</w:t>
      </w:r>
    </w:p>
    <w:p w14:paraId="24AED9DB" w14:textId="77777777" w:rsidR="001C563D" w:rsidRDefault="001C563D" w:rsidP="001C563D">
      <w:pPr>
        <w:pStyle w:val="NoSpacing"/>
        <w:rPr>
          <w:rFonts w:ascii="Arial Black" w:hAnsi="Arial Black"/>
          <w:sz w:val="28"/>
          <w:szCs w:val="28"/>
        </w:rPr>
      </w:pPr>
      <w:r w:rsidRPr="00371841">
        <w:rPr>
          <w:rFonts w:ascii="Arial Black" w:hAnsi="Arial Black"/>
          <w:sz w:val="28"/>
          <w:szCs w:val="28"/>
        </w:rPr>
        <w:t xml:space="preserve">MD: </w:t>
      </w:r>
      <w:r>
        <w:rPr>
          <w:rFonts w:ascii="Arial Black" w:hAnsi="Arial Black"/>
          <w:sz w:val="28"/>
          <w:szCs w:val="28"/>
        </w:rPr>
        <w:t xml:space="preserve"> EMS GAVE NARCAN TO UNCONSCIOUS 21-YR-OLD –STAUTORY IMMUNITY, NO GROSS NEGLIGENCE – NO HARM</w:t>
      </w:r>
    </w:p>
    <w:p w14:paraId="62E863C6" w14:textId="77777777" w:rsidR="001C563D" w:rsidRDefault="001C563D" w:rsidP="001C563D">
      <w:pPr>
        <w:pStyle w:val="NoSpacing"/>
        <w:rPr>
          <w:rFonts w:ascii="Times New Roman" w:hAnsi="Times New Roman"/>
          <w:sz w:val="24"/>
          <w:szCs w:val="24"/>
        </w:rPr>
      </w:pPr>
    </w:p>
    <w:p w14:paraId="1939C023" w14:textId="20D05FBD" w:rsidR="001C563D" w:rsidRDefault="001C563D" w:rsidP="001C563D">
      <w:pPr>
        <w:pStyle w:val="NoSpacing"/>
        <w:rPr>
          <w:rFonts w:ascii="Times New Roman" w:hAnsi="Times New Roman"/>
          <w:sz w:val="24"/>
          <w:szCs w:val="24"/>
        </w:rPr>
      </w:pPr>
      <w:r w:rsidRPr="00E03396">
        <w:rPr>
          <w:rFonts w:ascii="Times New Roman" w:hAnsi="Times New Roman"/>
          <w:sz w:val="24"/>
          <w:szCs w:val="24"/>
        </w:rPr>
        <w:t xml:space="preserve">On </w:t>
      </w:r>
      <w:r>
        <w:rPr>
          <w:rFonts w:ascii="Times New Roman" w:hAnsi="Times New Roman"/>
          <w:sz w:val="24"/>
          <w:szCs w:val="24"/>
        </w:rPr>
        <w:t xml:space="preserve">June 16, 2020, in </w:t>
      </w:r>
      <w:r w:rsidRPr="00E03396">
        <w:rPr>
          <w:rFonts w:ascii="Times New Roman" w:hAnsi="Times New Roman"/>
          <w:sz w:val="24"/>
          <w:szCs w:val="24"/>
          <w:u w:val="single"/>
        </w:rPr>
        <w:t>Octavia T. Coit v. Nicole Nappi, et al</w:t>
      </w:r>
      <w:r>
        <w:rPr>
          <w:rFonts w:ascii="Times New Roman" w:hAnsi="Times New Roman"/>
          <w:sz w:val="24"/>
          <w:szCs w:val="24"/>
        </w:rPr>
        <w:t>., the Court of Special Appeals of Maryland (unreported decision), held that the Paramedic, the EMT, and Baltimore County were all properly dismissed from this lawsuit by the trial judge.  The Court ruled: “</w:t>
      </w:r>
      <w:r w:rsidRPr="00E03396">
        <w:rPr>
          <w:rFonts w:ascii="Times New Roman" w:hAnsi="Times New Roman"/>
          <w:sz w:val="24"/>
          <w:szCs w:val="24"/>
        </w:rPr>
        <w:t>Paramedic Nappi and EMT Jackson are entitled to statutory immunity based on</w:t>
      </w:r>
    </w:p>
    <w:p w14:paraId="578CCD04" w14:textId="77777777" w:rsidR="001C563D" w:rsidRPr="00E03396" w:rsidRDefault="001C563D" w:rsidP="001C563D">
      <w:pPr>
        <w:pStyle w:val="NoSpacing"/>
        <w:rPr>
          <w:rFonts w:ascii="Times New Roman" w:eastAsia="Times New Roman" w:hAnsi="Times New Roman"/>
          <w:b/>
          <w:bCs/>
          <w:sz w:val="24"/>
          <w:szCs w:val="24"/>
        </w:rPr>
      </w:pPr>
      <w:r w:rsidRPr="00E03396">
        <w:rPr>
          <w:rFonts w:ascii="Times New Roman" w:hAnsi="Times New Roman"/>
          <w:sz w:val="24"/>
          <w:szCs w:val="24"/>
        </w:rPr>
        <w:t>the Good Samaritan Act and the Fire &amp; Rescue Companies Act because their conduct was neither willful nor grossly negligent. Baltimore County is entitled to governmental immunity under the [LGTCA]because there is no basis for any direct claims against it.</w:t>
      </w:r>
      <w:r>
        <w:t xml:space="preserve"> *** </w:t>
      </w:r>
      <w:r w:rsidRPr="00E03396">
        <w:rPr>
          <w:rFonts w:ascii="Times New Roman" w:hAnsi="Times New Roman"/>
          <w:sz w:val="24"/>
          <w:szCs w:val="24"/>
        </w:rPr>
        <w:t>[</w:t>
      </w:r>
      <w:r>
        <w:rPr>
          <w:rFonts w:ascii="Times New Roman" w:hAnsi="Times New Roman"/>
          <w:sz w:val="24"/>
          <w:szCs w:val="24"/>
        </w:rPr>
        <w:t>Plaintiffs] c</w:t>
      </w:r>
      <w:r w:rsidRPr="00E03396">
        <w:rPr>
          <w:rFonts w:ascii="Times New Roman" w:hAnsi="Times New Roman"/>
          <w:sz w:val="24"/>
          <w:szCs w:val="24"/>
        </w:rPr>
        <w:t>ontend that the administration of Narcan was unnecessary because there was no specific indication that Mr. Coit was experiencing an opioid overdose. The Court understands and appreciates Mr. Coit’s family’s concern over a misperception that he was using drugs. The evidence demonstrates, however, that, regardless of how unnecessary the administration of Narcan may have been, there are no applicable contraindications for someone who did not overdose on opioids, and that Narcan does not otherwise harm someone to whom it is administered. Even if Paramedic Nappi and EMT Jackson were, in some way, negligent in their assessment and treatment of Mr. Coit, which the Court is not suggesting, there is not sufficient evidence of gross negligence regarding their post-arrival conduct.</w:t>
      </w:r>
      <w:r>
        <w:rPr>
          <w:rFonts w:ascii="Times New Roman" w:hAnsi="Times New Roman"/>
          <w:sz w:val="24"/>
          <w:szCs w:val="24"/>
        </w:rPr>
        <w:t>”</w:t>
      </w:r>
    </w:p>
    <w:p w14:paraId="4FA1E52C" w14:textId="77777777" w:rsidR="001C563D" w:rsidRPr="00E03396" w:rsidRDefault="001C563D" w:rsidP="001C563D">
      <w:pPr>
        <w:pStyle w:val="NoSpacing"/>
        <w:rPr>
          <w:rFonts w:ascii="Times New Roman" w:hAnsi="Times New Roman"/>
          <w:sz w:val="24"/>
          <w:szCs w:val="24"/>
        </w:rPr>
      </w:pPr>
      <w:r>
        <w:t xml:space="preserve"> </w:t>
      </w:r>
      <w:hyperlink r:id="rId2408" w:history="1">
        <w:r w:rsidRPr="00E03396">
          <w:rPr>
            <w:rStyle w:val="Hyperlink"/>
            <w:rFonts w:ascii="Times New Roman" w:hAnsi="Times New Roman"/>
            <w:sz w:val="24"/>
            <w:szCs w:val="24"/>
          </w:rPr>
          <w:t>https://www.courts.state.md.us/sites/default/files/unreported-opinions/0318s19.pdf</w:t>
        </w:r>
      </w:hyperlink>
      <w:r w:rsidRPr="00E03396">
        <w:rPr>
          <w:rFonts w:ascii="Times New Roman" w:hAnsi="Times New Roman"/>
          <w:sz w:val="24"/>
          <w:szCs w:val="24"/>
        </w:rPr>
        <w:t xml:space="preserve"> </w:t>
      </w:r>
      <w:hyperlink r:id="rId2409" w:history="1">
        <w:r w:rsidR="00814FB6">
          <w:rPr>
            <w:rStyle w:val="Hyperlink"/>
          </w:rPr>
          <w:t>https://www.courts.state.md.us/sites/default/files/unreported-opinions/0318s19.pdf</w:t>
        </w:r>
      </w:hyperlink>
      <w:r w:rsidRPr="00E03396">
        <w:rPr>
          <w:rFonts w:ascii="Times New Roman" w:hAnsi="Times New Roman"/>
          <w:sz w:val="24"/>
          <w:szCs w:val="24"/>
        </w:rPr>
        <w:t xml:space="preserve">  </w:t>
      </w:r>
    </w:p>
    <w:p w14:paraId="16D25F05" w14:textId="77777777" w:rsidR="001C563D" w:rsidRDefault="001C563D" w:rsidP="001C563D">
      <w:pPr>
        <w:pStyle w:val="NoSpacing"/>
        <w:rPr>
          <w:rFonts w:ascii="Times New Roman" w:hAnsi="Times New Roman"/>
          <w:b/>
          <w:bCs/>
          <w:sz w:val="24"/>
          <w:szCs w:val="24"/>
        </w:rPr>
      </w:pPr>
    </w:p>
    <w:p w14:paraId="5CE3BCE5" w14:textId="78635C21" w:rsidR="001C563D" w:rsidRPr="00E03396" w:rsidRDefault="001C563D" w:rsidP="001C563D">
      <w:pPr>
        <w:pStyle w:val="NoSpacing"/>
        <w:rPr>
          <w:rFonts w:ascii="Times New Roman" w:hAnsi="Times New Roman"/>
          <w:b/>
          <w:bCs/>
          <w:sz w:val="24"/>
          <w:szCs w:val="24"/>
        </w:rPr>
      </w:pPr>
      <w:r w:rsidRPr="00E03396">
        <w:rPr>
          <w:rFonts w:ascii="Times New Roman" w:hAnsi="Times New Roman"/>
          <w:b/>
          <w:bCs/>
          <w:sz w:val="24"/>
          <w:szCs w:val="24"/>
        </w:rPr>
        <w:t>Legal Lessons Learned:</w:t>
      </w:r>
      <w:r>
        <w:rPr>
          <w:rFonts w:ascii="Times New Roman" w:hAnsi="Times New Roman"/>
          <w:b/>
          <w:bCs/>
          <w:sz w:val="24"/>
          <w:szCs w:val="24"/>
        </w:rPr>
        <w:t xml:space="preserve"> Finding unconscious 21-year-old in basement, one can understand why EMS used Narcan. </w:t>
      </w:r>
    </w:p>
    <w:p w14:paraId="47D1F654" w14:textId="77777777" w:rsidR="001C563D" w:rsidRDefault="001C563D" w:rsidP="002B1283">
      <w:pPr>
        <w:rPr>
          <w:rFonts w:ascii="Arial Black" w:hAnsi="Arial Black"/>
          <w:b/>
          <w:bCs/>
          <w:sz w:val="28"/>
          <w:szCs w:val="28"/>
        </w:rPr>
      </w:pPr>
    </w:p>
    <w:p w14:paraId="6C68C17A" w14:textId="77777777" w:rsidR="001A653A" w:rsidRDefault="001A653A" w:rsidP="002B1283">
      <w:pPr>
        <w:rPr>
          <w:rFonts w:ascii="Arial Black" w:hAnsi="Arial Black"/>
          <w:b/>
          <w:bCs/>
          <w:sz w:val="28"/>
          <w:szCs w:val="28"/>
        </w:rPr>
      </w:pPr>
    </w:p>
    <w:p w14:paraId="0D71DCDD" w14:textId="0C2DDC67" w:rsidR="001A653A" w:rsidRDefault="001A653A" w:rsidP="002B1283">
      <w:pPr>
        <w:rPr>
          <w:rFonts w:ascii="Arial Black" w:hAnsi="Arial Black"/>
          <w:b/>
          <w:bCs/>
          <w:sz w:val="28"/>
          <w:szCs w:val="28"/>
        </w:rPr>
      </w:pPr>
      <w:r>
        <w:rPr>
          <w:rFonts w:ascii="Arial Black" w:hAnsi="Arial Black"/>
          <w:b/>
          <w:bCs/>
          <w:sz w:val="28"/>
          <w:szCs w:val="28"/>
        </w:rPr>
        <w:t>13-59</w:t>
      </w:r>
    </w:p>
    <w:p w14:paraId="3353DCAC" w14:textId="77777777" w:rsidR="001A653A" w:rsidRPr="00A32D63" w:rsidRDefault="001A653A" w:rsidP="001A653A">
      <w:pPr>
        <w:spacing w:before="100" w:beforeAutospacing="1" w:after="100" w:afterAutospacing="1" w:line="240" w:lineRule="auto"/>
        <w:rPr>
          <w:rFonts w:ascii="Arial Black" w:hAnsi="Arial Black" w:cs="Arial"/>
          <w:sz w:val="28"/>
          <w:szCs w:val="28"/>
        </w:rPr>
      </w:pPr>
      <w:r w:rsidRPr="00A32D63">
        <w:rPr>
          <w:rFonts w:ascii="Arial Black" w:hAnsi="Arial Black" w:cs="Arial"/>
          <w:sz w:val="28"/>
          <w:szCs w:val="28"/>
        </w:rPr>
        <w:t xml:space="preserve">TX: PARAMEDIC </w:t>
      </w:r>
      <w:r>
        <w:rPr>
          <w:rFonts w:ascii="Arial Black" w:hAnsi="Arial Black" w:cs="Arial"/>
          <w:sz w:val="28"/>
          <w:szCs w:val="28"/>
        </w:rPr>
        <w:t xml:space="preserve">IN </w:t>
      </w:r>
      <w:r w:rsidRPr="00A32D63">
        <w:rPr>
          <w:rFonts w:ascii="Arial Black" w:hAnsi="Arial Black" w:cs="Arial"/>
          <w:sz w:val="28"/>
          <w:szCs w:val="28"/>
        </w:rPr>
        <w:t xml:space="preserve">BACK </w:t>
      </w:r>
      <w:r>
        <w:rPr>
          <w:rFonts w:ascii="Arial Black" w:hAnsi="Arial Black" w:cs="Arial"/>
          <w:sz w:val="28"/>
          <w:szCs w:val="28"/>
        </w:rPr>
        <w:t xml:space="preserve">OF </w:t>
      </w:r>
      <w:r w:rsidRPr="00A32D63">
        <w:rPr>
          <w:rFonts w:ascii="Arial Black" w:hAnsi="Arial Black" w:cs="Arial"/>
          <w:sz w:val="28"/>
          <w:szCs w:val="28"/>
        </w:rPr>
        <w:t>AMBULANCE –</w:t>
      </w:r>
      <w:r>
        <w:rPr>
          <w:rFonts w:ascii="Arial Black" w:hAnsi="Arial Black" w:cs="Arial"/>
          <w:sz w:val="28"/>
          <w:szCs w:val="28"/>
        </w:rPr>
        <w:t xml:space="preserve"> SEVERELY INJURED - </w:t>
      </w:r>
      <w:r w:rsidRPr="00A32D63">
        <w:rPr>
          <w:rFonts w:ascii="Arial Black" w:hAnsi="Arial Black" w:cs="Arial"/>
          <w:sz w:val="28"/>
          <w:szCs w:val="28"/>
        </w:rPr>
        <w:t xml:space="preserve">OVERWEIGHT </w:t>
      </w:r>
      <w:r>
        <w:rPr>
          <w:rFonts w:ascii="Arial Black" w:hAnsi="Arial Black" w:cs="Arial"/>
          <w:sz w:val="28"/>
          <w:szCs w:val="28"/>
        </w:rPr>
        <w:t xml:space="preserve">TRUCK DUMPED LOAD </w:t>
      </w:r>
      <w:r w:rsidRPr="00A32D63">
        <w:rPr>
          <w:rFonts w:ascii="Arial Black" w:hAnsi="Arial Black" w:cs="Arial"/>
          <w:sz w:val="28"/>
          <w:szCs w:val="28"/>
        </w:rPr>
        <w:t>– MENTAL ANGUISH</w:t>
      </w:r>
    </w:p>
    <w:p w14:paraId="33457BD7" w14:textId="77777777" w:rsidR="001A653A" w:rsidRPr="00344E23" w:rsidRDefault="001A653A" w:rsidP="001A653A">
      <w:pPr>
        <w:spacing w:before="100" w:beforeAutospacing="1" w:after="100" w:afterAutospacing="1" w:line="240" w:lineRule="auto"/>
        <w:rPr>
          <w:rFonts w:ascii="Times New Roman" w:hAnsi="Times New Roman"/>
          <w:sz w:val="24"/>
          <w:szCs w:val="24"/>
        </w:rPr>
      </w:pPr>
      <w:r w:rsidRPr="00A32D63">
        <w:rPr>
          <w:rFonts w:ascii="Times New Roman" w:hAnsi="Times New Roman"/>
          <w:sz w:val="24"/>
          <w:szCs w:val="24"/>
        </w:rPr>
        <w:t xml:space="preserve">On </w:t>
      </w:r>
      <w:r>
        <w:rPr>
          <w:rFonts w:ascii="Times New Roman" w:hAnsi="Times New Roman"/>
          <w:sz w:val="24"/>
          <w:szCs w:val="24"/>
        </w:rPr>
        <w:t xml:space="preserve">June 4, 2020, in </w:t>
      </w:r>
      <w:r w:rsidRPr="00A32D63">
        <w:rPr>
          <w:rFonts w:ascii="Times New Roman" w:hAnsi="Times New Roman"/>
          <w:sz w:val="24"/>
          <w:szCs w:val="24"/>
          <w:u w:val="single"/>
        </w:rPr>
        <w:t>Julio Edwin Martinez; Lone Star Disposal (Texas), LLC; and Lone Star Disposal, L.P. v. Jennifer Kwas</w:t>
      </w:r>
      <w:r>
        <w:rPr>
          <w:rFonts w:ascii="Times New Roman" w:hAnsi="Times New Roman"/>
          <w:sz w:val="24"/>
          <w:szCs w:val="24"/>
        </w:rPr>
        <w:t xml:space="preserve">, the Court of Appeals for the First District of Texas held (3 to 0) that the civil jury verdict in favor of Paramedic Kwas is affirmed: $1.1 million, including $700,000 for future pain and mental anguish, and $250,000 in punitive damages for gross negligence of Lone Star.  A paramedic for 26 </w:t>
      </w:r>
      <w:proofErr w:type="gramStart"/>
      <w:r>
        <w:rPr>
          <w:rFonts w:ascii="Times New Roman" w:hAnsi="Times New Roman"/>
          <w:sz w:val="24"/>
          <w:szCs w:val="24"/>
        </w:rPr>
        <w:t>year</w:t>
      </w:r>
      <w:proofErr w:type="gramEnd"/>
      <w:r>
        <w:rPr>
          <w:rFonts w:ascii="Times New Roman" w:hAnsi="Times New Roman"/>
          <w:sz w:val="24"/>
          <w:szCs w:val="24"/>
        </w:rPr>
        <w:t xml:space="preserve">, the mental anguish led her to resign as a medic. The Court wrote: </w:t>
      </w:r>
      <w:r w:rsidRPr="00344E23">
        <w:rPr>
          <w:rFonts w:ascii="Times New Roman" w:hAnsi="Times New Roman"/>
          <w:sz w:val="24"/>
          <w:szCs w:val="24"/>
        </w:rPr>
        <w:t>We conclude that the evidence presented at trial supports a conclusion that the jury could have formed a firm belief or conviction that Lone Star was grossly negligent in its training and supervision of its drivers, including Martinez.</w:t>
      </w:r>
      <w:r>
        <w:rPr>
          <w:rFonts w:ascii="Times New Roman" w:hAnsi="Times New Roman"/>
          <w:sz w:val="24"/>
          <w:szCs w:val="24"/>
        </w:rPr>
        <w:t xml:space="preserve">”  </w:t>
      </w:r>
      <w:hyperlink r:id="rId2410" w:history="1">
        <w:r w:rsidRPr="000603D4">
          <w:rPr>
            <w:rStyle w:val="Hyperlink"/>
            <w:rFonts w:ascii="Times New Roman" w:hAnsi="Times New Roman"/>
            <w:sz w:val="24"/>
            <w:szCs w:val="24"/>
          </w:rPr>
          <w:t>https://www.txcourts.gov/media/1447243/181085f-1.pdf</w:t>
        </w:r>
      </w:hyperlink>
      <w:r>
        <w:rPr>
          <w:rFonts w:ascii="Times New Roman" w:hAnsi="Times New Roman"/>
          <w:sz w:val="24"/>
          <w:szCs w:val="24"/>
        </w:rPr>
        <w:t xml:space="preserve"> </w:t>
      </w:r>
    </w:p>
    <w:p w14:paraId="77F9B221" w14:textId="77777777" w:rsidR="001A653A" w:rsidRDefault="001A653A" w:rsidP="001A653A">
      <w:pPr>
        <w:pStyle w:val="NoSpacing"/>
        <w:rPr>
          <w:rFonts w:ascii="Times New Roman" w:hAnsi="Times New Roman"/>
          <w:b/>
          <w:bCs/>
          <w:sz w:val="24"/>
          <w:szCs w:val="24"/>
        </w:rPr>
      </w:pPr>
      <w:r w:rsidRPr="00384185">
        <w:rPr>
          <w:rFonts w:ascii="Times New Roman" w:hAnsi="Times New Roman"/>
          <w:b/>
          <w:bCs/>
          <w:sz w:val="24"/>
          <w:szCs w:val="24"/>
        </w:rPr>
        <w:t xml:space="preserve">Legal Lesson Learned: The unrestrained paramedic suffered terrible physical and mental injury; see article on restraint systems for EMS in the back of the box. </w:t>
      </w:r>
    </w:p>
    <w:p w14:paraId="4133911A" w14:textId="77777777" w:rsidR="001A653A" w:rsidRDefault="001A653A" w:rsidP="001A653A">
      <w:pPr>
        <w:pStyle w:val="NoSpacing"/>
        <w:rPr>
          <w:rFonts w:ascii="Times New Roman" w:hAnsi="Times New Roman"/>
          <w:b/>
          <w:bCs/>
          <w:sz w:val="24"/>
          <w:szCs w:val="24"/>
        </w:rPr>
      </w:pPr>
    </w:p>
    <w:p w14:paraId="725268AF" w14:textId="77777777" w:rsidR="001A653A" w:rsidRPr="00384185" w:rsidRDefault="001A653A" w:rsidP="001A653A">
      <w:pPr>
        <w:pStyle w:val="NoSpacing"/>
        <w:ind w:left="720"/>
        <w:rPr>
          <w:rFonts w:ascii="Times New Roman" w:hAnsi="Times New Roman"/>
          <w:sz w:val="24"/>
          <w:szCs w:val="24"/>
        </w:rPr>
      </w:pPr>
      <w:r w:rsidRPr="00384185">
        <w:rPr>
          <w:rFonts w:ascii="Times New Roman" w:hAnsi="Times New Roman"/>
          <w:sz w:val="24"/>
          <w:szCs w:val="24"/>
        </w:rPr>
        <w:t xml:space="preserve">Note:  </w:t>
      </w:r>
      <w:r>
        <w:rPr>
          <w:rFonts w:ascii="Times New Roman" w:hAnsi="Times New Roman"/>
          <w:sz w:val="24"/>
          <w:szCs w:val="24"/>
        </w:rPr>
        <w:t xml:space="preserve">Several new restraint products </w:t>
      </w:r>
      <w:proofErr w:type="gramStart"/>
      <w:r>
        <w:rPr>
          <w:rFonts w:ascii="Times New Roman" w:hAnsi="Times New Roman"/>
          <w:sz w:val="24"/>
          <w:szCs w:val="24"/>
        </w:rPr>
        <w:t>now</w:t>
      </w:r>
      <w:proofErr w:type="gramEnd"/>
      <w:r>
        <w:rPr>
          <w:rFonts w:ascii="Times New Roman" w:hAnsi="Times New Roman"/>
          <w:sz w:val="24"/>
          <w:szCs w:val="24"/>
        </w:rPr>
        <w:t xml:space="preserve"> on the market.  For example, see this: “</w:t>
      </w:r>
      <w:r w:rsidRPr="00384185">
        <w:rPr>
          <w:rStyle w:val="field"/>
          <w:rFonts w:ascii="Times New Roman" w:hAnsi="Times New Roman"/>
          <w:sz w:val="24"/>
          <w:szCs w:val="24"/>
        </w:rPr>
        <w:t xml:space="preserve">IMMI Launches Per4Max Restraint for EMS Providers (May 3, 2019): </w:t>
      </w:r>
      <w:r w:rsidRPr="00384185">
        <w:rPr>
          <w:rFonts w:ascii="Times New Roman" w:hAnsi="Times New Roman"/>
          <w:sz w:val="24"/>
          <w:szCs w:val="24"/>
        </w:rPr>
        <w:t xml:space="preserve">An estimated 4,500 ambulances are involved in accidents every year, but 84% of emergency medical technicians do not wear their seat belts because they restrict movement while treating a patient.* IMMI’s Per4Max allows them to reach, stretch, and even stand up in their restraint if necessary. Patient safety is also improved when EMTs buckle up. They remain restrained in an accident and not thrown around the interior of the vehicle, possibly injuring the patient further.” </w:t>
      </w:r>
      <w:hyperlink r:id="rId2411" w:history="1">
        <w:r w:rsidRPr="00384185">
          <w:rPr>
            <w:rStyle w:val="Hyperlink"/>
            <w:rFonts w:ascii="Times New Roman" w:hAnsi="Times New Roman"/>
            <w:sz w:val="24"/>
            <w:szCs w:val="24"/>
          </w:rPr>
          <w:t>https://www.emsworld.com/press-release/1222611/immi-launches-per4max-restraint-ems-providers</w:t>
        </w:r>
      </w:hyperlink>
      <w:r w:rsidRPr="00384185">
        <w:rPr>
          <w:rFonts w:ascii="Times New Roman" w:hAnsi="Times New Roman"/>
          <w:sz w:val="24"/>
          <w:szCs w:val="24"/>
        </w:rPr>
        <w:t xml:space="preserve"> </w:t>
      </w:r>
    </w:p>
    <w:p w14:paraId="5E870466" w14:textId="77777777" w:rsidR="001A653A" w:rsidRPr="00384185" w:rsidRDefault="001A653A" w:rsidP="001A653A">
      <w:pPr>
        <w:spacing w:before="100" w:beforeAutospacing="1" w:after="100" w:afterAutospacing="1" w:line="240" w:lineRule="auto"/>
        <w:rPr>
          <w:rFonts w:ascii="Times New Roman" w:hAnsi="Times New Roman"/>
          <w:sz w:val="24"/>
          <w:szCs w:val="24"/>
        </w:rPr>
      </w:pPr>
    </w:p>
    <w:p w14:paraId="566D1F3A" w14:textId="77777777" w:rsidR="001A653A" w:rsidRDefault="001A653A" w:rsidP="002B1283">
      <w:pPr>
        <w:rPr>
          <w:rFonts w:ascii="Arial Black" w:hAnsi="Arial Black"/>
          <w:b/>
          <w:bCs/>
          <w:sz w:val="28"/>
          <w:szCs w:val="28"/>
        </w:rPr>
      </w:pPr>
    </w:p>
    <w:p w14:paraId="07D22898" w14:textId="77777777" w:rsidR="001A653A" w:rsidRDefault="001A653A" w:rsidP="002B1283">
      <w:pPr>
        <w:rPr>
          <w:rFonts w:ascii="Arial Black" w:hAnsi="Arial Black"/>
          <w:b/>
          <w:bCs/>
          <w:sz w:val="28"/>
          <w:szCs w:val="28"/>
        </w:rPr>
      </w:pPr>
    </w:p>
    <w:p w14:paraId="552EC25D" w14:textId="6432B18C" w:rsidR="007105B3" w:rsidRDefault="001C563D" w:rsidP="002B1283">
      <w:pPr>
        <w:rPr>
          <w:rFonts w:ascii="Arial Black" w:hAnsi="Arial Black"/>
          <w:b/>
          <w:bCs/>
          <w:sz w:val="28"/>
          <w:szCs w:val="28"/>
        </w:rPr>
      </w:pPr>
      <w:r>
        <w:rPr>
          <w:rFonts w:ascii="Arial Black" w:hAnsi="Arial Black"/>
          <w:b/>
          <w:bCs/>
          <w:sz w:val="28"/>
          <w:szCs w:val="28"/>
        </w:rPr>
        <w:t>13-58</w:t>
      </w:r>
    </w:p>
    <w:p w14:paraId="426DF34E" w14:textId="77777777" w:rsidR="001C563D" w:rsidRPr="00D67C96" w:rsidRDefault="001C563D" w:rsidP="001C563D">
      <w:pPr>
        <w:pStyle w:val="NormalWeb"/>
        <w:rPr>
          <w:rFonts w:ascii="Arial Black" w:hAnsi="Arial Black"/>
          <w:sz w:val="28"/>
          <w:szCs w:val="28"/>
        </w:rPr>
      </w:pPr>
      <w:r w:rsidRPr="00D67C96">
        <w:rPr>
          <w:rFonts w:ascii="Arial Black" w:hAnsi="Arial Black"/>
          <w:sz w:val="28"/>
          <w:szCs w:val="28"/>
        </w:rPr>
        <w:t xml:space="preserve">NY: </w:t>
      </w:r>
      <w:r>
        <w:rPr>
          <w:rFonts w:ascii="Arial Black" w:hAnsi="Arial Black"/>
          <w:sz w:val="28"/>
          <w:szCs w:val="28"/>
        </w:rPr>
        <w:t>PROB. EMT FIRED BY HOSPITAL – POOR AMBUL. CHECKS, COMPLAINTS – APPENDICITIS NOT A “DISABILITY”</w:t>
      </w:r>
    </w:p>
    <w:p w14:paraId="0F1BC33E" w14:textId="4A76B4CD" w:rsidR="001C563D" w:rsidRPr="008E15F3" w:rsidRDefault="001C563D" w:rsidP="001C563D">
      <w:pPr>
        <w:pStyle w:val="NoSpacing"/>
        <w:rPr>
          <w:rFonts w:ascii="Times New Roman" w:eastAsia="Times New Roman" w:hAnsi="Times New Roman"/>
          <w:sz w:val="24"/>
          <w:szCs w:val="24"/>
        </w:rPr>
      </w:pPr>
      <w:r w:rsidRPr="008E15F3">
        <w:rPr>
          <w:rFonts w:ascii="Times New Roman" w:hAnsi="Times New Roman"/>
          <w:sz w:val="24"/>
          <w:szCs w:val="24"/>
        </w:rPr>
        <w:t xml:space="preserve">On June 1, 2020, in </w:t>
      </w:r>
      <w:r w:rsidRPr="008E15F3">
        <w:rPr>
          <w:rFonts w:ascii="Times New Roman" w:hAnsi="Times New Roman"/>
          <w:sz w:val="24"/>
          <w:szCs w:val="24"/>
          <w:u w:val="single"/>
        </w:rPr>
        <w:t>Christopher Vargas v. The St. Luke’s-Roosevelt Hospital Center</w:t>
      </w:r>
      <w:r w:rsidRPr="008E15F3">
        <w:rPr>
          <w:rFonts w:ascii="Times New Roman" w:hAnsi="Times New Roman"/>
          <w:sz w:val="24"/>
          <w:szCs w:val="24"/>
        </w:rPr>
        <w:t xml:space="preserve">, U.S. District Court Judge J. Pail Oetken, U.S. District Court for Southern District of New York, granted the Hospital’s motion for summary judgment; the hospital had fired the probationary </w:t>
      </w:r>
      <w:r>
        <w:rPr>
          <w:rFonts w:ascii="Times New Roman" w:hAnsi="Times New Roman"/>
          <w:sz w:val="24"/>
          <w:szCs w:val="24"/>
        </w:rPr>
        <w:t xml:space="preserve">part-time </w:t>
      </w:r>
      <w:r w:rsidRPr="008E15F3">
        <w:rPr>
          <w:rFonts w:ascii="Times New Roman" w:hAnsi="Times New Roman"/>
          <w:sz w:val="24"/>
          <w:szCs w:val="24"/>
        </w:rPr>
        <w:t xml:space="preserve">EMT for </w:t>
      </w:r>
      <w:r>
        <w:rPr>
          <w:rFonts w:ascii="Times New Roman" w:hAnsi="Times New Roman"/>
          <w:sz w:val="24"/>
          <w:szCs w:val="24"/>
        </w:rPr>
        <w:t xml:space="preserve">not completing ambulance equipment checks, and </w:t>
      </w:r>
      <w:r w:rsidRPr="008E15F3">
        <w:rPr>
          <w:rFonts w:ascii="Times New Roman" w:hAnsi="Times New Roman"/>
          <w:sz w:val="24"/>
          <w:szCs w:val="24"/>
        </w:rPr>
        <w:t>complaints from co-workers</w:t>
      </w:r>
      <w:r>
        <w:rPr>
          <w:rFonts w:ascii="Times New Roman" w:hAnsi="Times New Roman"/>
          <w:sz w:val="24"/>
          <w:szCs w:val="24"/>
        </w:rPr>
        <w:t xml:space="preserve">.  Prior to being fired to </w:t>
      </w:r>
      <w:proofErr w:type="gramStart"/>
      <w:r>
        <w:rPr>
          <w:rFonts w:ascii="Times New Roman" w:hAnsi="Times New Roman"/>
          <w:sz w:val="24"/>
          <w:szCs w:val="24"/>
        </w:rPr>
        <w:t>told</w:t>
      </w:r>
      <w:proofErr w:type="gramEnd"/>
      <w:r>
        <w:rPr>
          <w:rFonts w:ascii="Times New Roman" w:hAnsi="Times New Roman"/>
          <w:sz w:val="24"/>
          <w:szCs w:val="24"/>
        </w:rPr>
        <w:t xml:space="preserve"> his manager</w:t>
      </w:r>
      <w:r w:rsidRPr="008E15F3">
        <w:rPr>
          <w:rFonts w:ascii="Times New Roman" w:hAnsi="Times New Roman"/>
          <w:sz w:val="24"/>
          <w:szCs w:val="24"/>
        </w:rPr>
        <w:t xml:space="preserve"> </w:t>
      </w:r>
      <w:r>
        <w:rPr>
          <w:rFonts w:ascii="Times New Roman" w:hAnsi="Times New Roman"/>
          <w:sz w:val="24"/>
          <w:szCs w:val="24"/>
        </w:rPr>
        <w:t xml:space="preserve">he had recently had appendix removed; hospital had already </w:t>
      </w:r>
      <w:r w:rsidRPr="008E15F3">
        <w:rPr>
          <w:rFonts w:ascii="Times New Roman" w:hAnsi="Times New Roman"/>
          <w:sz w:val="24"/>
          <w:szCs w:val="24"/>
        </w:rPr>
        <w:t>made t</w:t>
      </w:r>
      <w:r>
        <w:rPr>
          <w:rFonts w:ascii="Times New Roman" w:hAnsi="Times New Roman"/>
          <w:sz w:val="24"/>
          <w:szCs w:val="24"/>
        </w:rPr>
        <w:t xml:space="preserve">ermination </w:t>
      </w:r>
      <w:r w:rsidRPr="008E15F3">
        <w:rPr>
          <w:rFonts w:ascii="Times New Roman" w:hAnsi="Times New Roman"/>
          <w:sz w:val="24"/>
          <w:szCs w:val="24"/>
        </w:rPr>
        <w:t>decision</w:t>
      </w:r>
      <w:r>
        <w:rPr>
          <w:rFonts w:ascii="Times New Roman" w:hAnsi="Times New Roman"/>
          <w:sz w:val="24"/>
          <w:szCs w:val="24"/>
        </w:rPr>
        <w:t>.</w:t>
      </w:r>
      <w:r w:rsidRPr="008E15F3">
        <w:rPr>
          <w:rFonts w:ascii="Times New Roman" w:hAnsi="Times New Roman"/>
          <w:sz w:val="24"/>
          <w:szCs w:val="24"/>
        </w:rPr>
        <w:t xml:space="preserve"> The Judge wrote: “Here, the parties agree that ‘[a]s a result of his appendicitis, [Vargas] was hospitalized for only one day, able to return to work after one week, and able to work at ‘full physical activity’ after two months.’ … Vargas's doctor further instructed him he could not engage in heavy lifting during the period in which he was to refrain from ‘full physical activity.’ … Such a short-term impairment, absent long-term impact, is insufficient to qualify as substantially limiting a major life activity, as required to qualify as a disability under the ADA. *** </w:t>
      </w:r>
      <w:r w:rsidRPr="008E15F3">
        <w:rPr>
          <w:rFonts w:ascii="Times New Roman" w:eastAsia="Times New Roman" w:hAnsi="Times New Roman"/>
          <w:sz w:val="24"/>
          <w:szCs w:val="24"/>
        </w:rPr>
        <w:t xml:space="preserve">Summary judgment is also warranted on </w:t>
      </w:r>
      <w:proofErr w:type="gramStart"/>
      <w:r w:rsidRPr="008E15F3">
        <w:rPr>
          <w:rFonts w:ascii="Times New Roman" w:eastAsia="Times New Roman" w:hAnsi="Times New Roman"/>
          <w:sz w:val="24"/>
          <w:szCs w:val="24"/>
        </w:rPr>
        <w:t>an independent ground</w:t>
      </w:r>
      <w:proofErr w:type="gramEnd"/>
      <w:r w:rsidRPr="008E15F3">
        <w:rPr>
          <w:rFonts w:ascii="Times New Roman" w:eastAsia="Times New Roman" w:hAnsi="Times New Roman"/>
          <w:sz w:val="24"/>
          <w:szCs w:val="24"/>
        </w:rPr>
        <w:t xml:space="preserve">: there is no genuine dispute that the decision to terminate Vargas was made before his employer was aware of his appendectomy. The parties agree that Mendoza decided to terminate Vargas in late May or the first few days of June due to his co-workers' complaints and his performance problems. Pl. 56.1 ¶ 59 (citing RM Tr. 27) ("At some point in late May or the first </w:t>
      </w:r>
      <w:proofErr w:type="gramStart"/>
      <w:r w:rsidRPr="008E15F3">
        <w:rPr>
          <w:rFonts w:ascii="Times New Roman" w:eastAsia="Times New Roman" w:hAnsi="Times New Roman"/>
          <w:sz w:val="24"/>
          <w:szCs w:val="24"/>
        </w:rPr>
        <w:t>few of</w:t>
      </w:r>
      <w:proofErr w:type="gramEnd"/>
      <w:r w:rsidRPr="008E15F3">
        <w:rPr>
          <w:rFonts w:ascii="Times New Roman" w:eastAsia="Times New Roman" w:hAnsi="Times New Roman"/>
          <w:sz w:val="24"/>
          <w:szCs w:val="24"/>
        </w:rPr>
        <w:t xml:space="preserve"> days of June 2015, Mendoza decided that Vargas should not pass probation and that he should be terminated because of the co-worker complaints and Vargas's poor performance."). The parties also agree that Defendants did not become aware of Vargas's appendectomy until June 5, 2015. </w:t>
      </w:r>
      <w:r w:rsidRPr="008E15F3">
        <w:rPr>
          <w:rFonts w:ascii="Times New Roman" w:eastAsia="Times New Roman" w:hAnsi="Times New Roman"/>
          <w:i/>
          <w:iCs/>
          <w:sz w:val="24"/>
          <w:szCs w:val="24"/>
        </w:rPr>
        <w:t>Id</w:t>
      </w:r>
      <w:r w:rsidRPr="008E15F3">
        <w:rPr>
          <w:rFonts w:ascii="Times New Roman" w:eastAsia="Times New Roman" w:hAnsi="Times New Roman"/>
          <w:sz w:val="24"/>
          <w:szCs w:val="24"/>
        </w:rPr>
        <w:t>. ¶ 68 (citing RM Tr. 27; Mendoza I Decl. ¶ 2(a)). Because the decision to terminate Vargas was made before Defendants were aware of his appendectomy, the evidence fails to support a causal relationship necessary to prevail on either a failure to accommodate or discrimination claim under the ADA.</w:t>
      </w:r>
    </w:p>
    <w:p w14:paraId="371DD513" w14:textId="77777777" w:rsidR="001C563D" w:rsidRPr="008E15F3" w:rsidRDefault="001C563D" w:rsidP="001C563D">
      <w:pPr>
        <w:pStyle w:val="NoSpacing"/>
        <w:rPr>
          <w:rFonts w:ascii="Times New Roman" w:hAnsi="Times New Roman"/>
          <w:sz w:val="24"/>
          <w:szCs w:val="24"/>
        </w:rPr>
      </w:pPr>
      <w:hyperlink r:id="rId2412" w:history="1">
        <w:r w:rsidRPr="008E15F3">
          <w:rPr>
            <w:rStyle w:val="Hyperlink"/>
            <w:rFonts w:ascii="Times New Roman" w:hAnsi="Times New Roman"/>
            <w:sz w:val="24"/>
            <w:szCs w:val="24"/>
          </w:rPr>
          <w:t>https://public.fastcase.com/Wl%2B2t%2BeVuI35%2FN70vAMFZpHUgoz3hp5Nx0V5b99AFirO%2BO19k2h0p4CgWny%2Fxn0a</w:t>
        </w:r>
      </w:hyperlink>
      <w:r w:rsidRPr="008E15F3">
        <w:rPr>
          <w:rFonts w:ascii="Times New Roman" w:hAnsi="Times New Roman"/>
          <w:sz w:val="24"/>
          <w:szCs w:val="24"/>
        </w:rPr>
        <w:t xml:space="preserve"> </w:t>
      </w:r>
    </w:p>
    <w:p w14:paraId="6356C0FF" w14:textId="77777777" w:rsidR="001C563D" w:rsidRDefault="001C563D" w:rsidP="001C563D">
      <w:pPr>
        <w:spacing w:before="100" w:beforeAutospacing="1" w:after="100" w:afterAutospacing="1" w:line="240" w:lineRule="auto"/>
        <w:rPr>
          <w:rFonts w:ascii="Times New Roman" w:eastAsia="Times New Roman" w:hAnsi="Times New Roman"/>
          <w:b/>
          <w:bCs/>
          <w:sz w:val="24"/>
          <w:szCs w:val="24"/>
        </w:rPr>
      </w:pPr>
      <w:r w:rsidRPr="00CD3D78">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Probationary employee not covered under the Collective Bargaining Agreement; ADA does not apply to short-term </w:t>
      </w:r>
      <w:proofErr w:type="gramStart"/>
      <w:r>
        <w:rPr>
          <w:rFonts w:ascii="Times New Roman" w:eastAsia="Times New Roman" w:hAnsi="Times New Roman"/>
          <w:b/>
          <w:bCs/>
          <w:sz w:val="24"/>
          <w:szCs w:val="24"/>
        </w:rPr>
        <w:t>illness</w:t>
      </w:r>
      <w:proofErr w:type="gramEnd"/>
      <w:r>
        <w:rPr>
          <w:rFonts w:ascii="Times New Roman" w:eastAsia="Times New Roman" w:hAnsi="Times New Roman"/>
          <w:b/>
          <w:bCs/>
          <w:sz w:val="24"/>
          <w:szCs w:val="24"/>
        </w:rPr>
        <w:t xml:space="preserve"> such as appendicitis. </w:t>
      </w:r>
    </w:p>
    <w:p w14:paraId="1236DA98" w14:textId="77777777" w:rsidR="001C563D" w:rsidRPr="008E15F3" w:rsidRDefault="001C563D" w:rsidP="001C563D">
      <w:pPr>
        <w:spacing w:before="100" w:beforeAutospacing="1" w:after="100" w:afterAutospacing="1" w:line="240" w:lineRule="auto"/>
        <w:ind w:left="720"/>
        <w:rPr>
          <w:rFonts w:ascii="Times New Roman" w:eastAsia="Times New Roman" w:hAnsi="Times New Roman"/>
          <w:sz w:val="24"/>
          <w:szCs w:val="24"/>
        </w:rPr>
      </w:pPr>
      <w:r w:rsidRPr="00CD3D78">
        <w:rPr>
          <w:rFonts w:ascii="Times New Roman" w:eastAsia="Times New Roman" w:hAnsi="Times New Roman"/>
          <w:sz w:val="24"/>
          <w:szCs w:val="24"/>
        </w:rPr>
        <w:t xml:space="preserve">Note: </w:t>
      </w:r>
      <w:r>
        <w:rPr>
          <w:rFonts w:ascii="Times New Roman" w:eastAsia="Times New Roman" w:hAnsi="Times New Roman"/>
          <w:sz w:val="24"/>
          <w:szCs w:val="24"/>
        </w:rPr>
        <w:t xml:space="preserve">Congress in 2008 broadened the coverage under Americans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Disabilities Act, overturning two U.S. Supreme Court decisions, </w:t>
      </w:r>
      <w:r w:rsidRPr="005C4230">
        <w:rPr>
          <w:rFonts w:ascii="Times New Roman" w:eastAsia="Times New Roman" w:hAnsi="Times New Roman"/>
          <w:sz w:val="24"/>
          <w:szCs w:val="24"/>
          <w:u w:val="single"/>
        </w:rPr>
        <w:t>Sutton v. United Air Lines, Inc</w:t>
      </w:r>
      <w:r>
        <w:rPr>
          <w:rFonts w:ascii="Times New Roman" w:eastAsia="Times New Roman" w:hAnsi="Times New Roman"/>
          <w:sz w:val="24"/>
          <w:szCs w:val="24"/>
        </w:rPr>
        <w:t xml:space="preserve">., 527 U.S. 471 (1999), and </w:t>
      </w:r>
      <w:r w:rsidRPr="005C4230">
        <w:rPr>
          <w:rFonts w:ascii="Times New Roman" w:eastAsia="Times New Roman" w:hAnsi="Times New Roman"/>
          <w:sz w:val="24"/>
          <w:szCs w:val="24"/>
          <w:u w:val="single"/>
        </w:rPr>
        <w:t>Toyota Motor Manufacturing, Kentucky, Inc. v. Williams</w:t>
      </w:r>
      <w:r>
        <w:rPr>
          <w:rFonts w:ascii="Times New Roman" w:eastAsia="Times New Roman" w:hAnsi="Times New Roman"/>
          <w:sz w:val="24"/>
          <w:szCs w:val="24"/>
        </w:rPr>
        <w:t xml:space="preserve">, 534 U.S. 184 (2002).  </w:t>
      </w:r>
      <w:r w:rsidRPr="005C4230">
        <w:rPr>
          <w:rFonts w:ascii="Times New Roman" w:hAnsi="Times New Roman"/>
          <w:sz w:val="24"/>
          <w:szCs w:val="24"/>
        </w:rPr>
        <w:t xml:space="preserve">The EEOC has promulgated administrative rules that guide the analysis of whether </w:t>
      </w:r>
      <w:proofErr w:type="gramStart"/>
      <w:r w:rsidRPr="005C4230">
        <w:rPr>
          <w:rFonts w:ascii="Times New Roman" w:hAnsi="Times New Roman"/>
          <w:sz w:val="24"/>
          <w:szCs w:val="24"/>
        </w:rPr>
        <w:t>a temporary</w:t>
      </w:r>
      <w:proofErr w:type="gramEnd"/>
      <w:r w:rsidRPr="005C4230">
        <w:rPr>
          <w:rFonts w:ascii="Times New Roman" w:hAnsi="Times New Roman"/>
          <w:sz w:val="24"/>
          <w:szCs w:val="24"/>
        </w:rPr>
        <w:t xml:space="preserve"> impairment is sufficiently severe to qualify as a disability under the ADA. 29 C.F.R. § 1630.2(j)(1)(ix) (app.). Those regulations state that </w:t>
      </w:r>
      <w:r>
        <w:rPr>
          <w:rFonts w:ascii="Times New Roman" w:hAnsi="Times New Roman"/>
          <w:sz w:val="24"/>
          <w:szCs w:val="24"/>
        </w:rPr>
        <w:t>“</w:t>
      </w:r>
      <w:r w:rsidRPr="005C4230">
        <w:rPr>
          <w:rFonts w:ascii="Times New Roman" w:hAnsi="Times New Roman"/>
          <w:sz w:val="24"/>
          <w:szCs w:val="24"/>
        </w:rPr>
        <w:t xml:space="preserve">if an individual has a back impairment that results in a 20-pound lifting restriction that lasts for several months, he is substantially limited in the major life activity of </w:t>
      </w:r>
      <w:proofErr w:type="gramStart"/>
      <w:r w:rsidRPr="005C4230">
        <w:rPr>
          <w:rFonts w:ascii="Times New Roman" w:hAnsi="Times New Roman"/>
          <w:sz w:val="24"/>
          <w:szCs w:val="24"/>
        </w:rPr>
        <w:t>lifting, and</w:t>
      </w:r>
      <w:proofErr w:type="gramEnd"/>
      <w:r w:rsidRPr="005C4230">
        <w:rPr>
          <w:rFonts w:ascii="Times New Roman" w:hAnsi="Times New Roman"/>
          <w:sz w:val="24"/>
          <w:szCs w:val="24"/>
        </w:rPr>
        <w:t xml:space="preserve"> therefore covered under the first prong of the definition of disability.</w:t>
      </w:r>
      <w:r>
        <w:rPr>
          <w:rFonts w:ascii="Times New Roman" w:hAnsi="Times New Roman"/>
          <w:sz w:val="24"/>
          <w:szCs w:val="24"/>
        </w:rPr>
        <w:t>”</w:t>
      </w:r>
    </w:p>
    <w:p w14:paraId="72FB9C46" w14:textId="77777777" w:rsidR="007105B3" w:rsidRDefault="007105B3" w:rsidP="002B1283">
      <w:pPr>
        <w:rPr>
          <w:rFonts w:ascii="Arial Black" w:hAnsi="Arial Black"/>
          <w:b/>
          <w:bCs/>
          <w:sz w:val="28"/>
          <w:szCs w:val="28"/>
        </w:rPr>
      </w:pPr>
    </w:p>
    <w:p w14:paraId="339F9EB2" w14:textId="09288825" w:rsidR="00FA7B26" w:rsidRDefault="00FA7B26" w:rsidP="002B1283">
      <w:pPr>
        <w:rPr>
          <w:rFonts w:ascii="Arial Black" w:hAnsi="Arial Black"/>
          <w:b/>
          <w:bCs/>
          <w:sz w:val="28"/>
          <w:szCs w:val="28"/>
        </w:rPr>
      </w:pPr>
      <w:r>
        <w:rPr>
          <w:rFonts w:ascii="Arial Black" w:hAnsi="Arial Black"/>
          <w:b/>
          <w:bCs/>
          <w:sz w:val="28"/>
          <w:szCs w:val="28"/>
        </w:rPr>
        <w:t>13-57</w:t>
      </w:r>
    </w:p>
    <w:p w14:paraId="6EBC5A96" w14:textId="77777777" w:rsidR="00FA7B26" w:rsidRDefault="00FA7B26" w:rsidP="00FA7B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U.S. SUPREME COURT – CARONA VIRUS – UPHOLDS CALIFORNIA RESTRICTIONS ON RELIGIOUS GATHERINGS</w:t>
      </w:r>
    </w:p>
    <w:p w14:paraId="4AEC2713" w14:textId="77777777" w:rsidR="00FA7B26" w:rsidRDefault="00FA7B26" w:rsidP="00FA7B26">
      <w:pPr>
        <w:spacing w:before="100" w:beforeAutospacing="1" w:after="100" w:afterAutospacing="1" w:line="240" w:lineRule="auto"/>
        <w:rPr>
          <w:rFonts w:ascii="Times New Roman" w:hAnsi="Times New Roman"/>
          <w:sz w:val="24"/>
          <w:szCs w:val="24"/>
        </w:rPr>
      </w:pPr>
      <w:r w:rsidRPr="00165D3F">
        <w:rPr>
          <w:rFonts w:ascii="Times New Roman" w:eastAsia="Times New Roman" w:hAnsi="Times New Roman"/>
          <w:sz w:val="24"/>
          <w:szCs w:val="24"/>
        </w:rPr>
        <w:t xml:space="preserve">On May 29, 2020, in </w:t>
      </w:r>
      <w:r w:rsidRPr="00165D3F">
        <w:rPr>
          <w:rFonts w:ascii="Times New Roman" w:eastAsia="Times New Roman" w:hAnsi="Times New Roman"/>
          <w:sz w:val="24"/>
          <w:szCs w:val="24"/>
          <w:u w:val="single"/>
        </w:rPr>
        <w:t>South Bay United Pentecostal Church, et a. v. Gavin Newsom, Governor of California,</w:t>
      </w:r>
      <w:r w:rsidRPr="00165D3F">
        <w:rPr>
          <w:rFonts w:ascii="Times New Roman" w:eastAsia="Times New Roman" w:hAnsi="Times New Roman"/>
          <w:sz w:val="24"/>
          <w:szCs w:val="24"/>
        </w:rPr>
        <w:t xml:space="preserve"> </w:t>
      </w:r>
      <w:r>
        <w:rPr>
          <w:rFonts w:ascii="Times New Roman" w:eastAsia="Times New Roman" w:hAnsi="Times New Roman"/>
          <w:sz w:val="24"/>
          <w:szCs w:val="24"/>
        </w:rPr>
        <w:t xml:space="preserve">the Court (5 to 4) denied the church’s request for an injunction, in a rare late-night ruling, and upheld the California restriction of attendance at places of worship to 25% of building capacity, or a maximum of 100 attendees.  The San Diego area church had lost before a U.S. District Court judge, </w:t>
      </w:r>
      <w:proofErr w:type="gramStart"/>
      <w:r>
        <w:rPr>
          <w:rFonts w:ascii="Times New Roman" w:eastAsia="Times New Roman" w:hAnsi="Times New Roman"/>
          <w:sz w:val="24"/>
          <w:szCs w:val="24"/>
        </w:rPr>
        <w:t>and also</w:t>
      </w:r>
      <w:proofErr w:type="gramEnd"/>
      <w:r>
        <w:rPr>
          <w:rFonts w:ascii="Times New Roman" w:eastAsia="Times New Roman" w:hAnsi="Times New Roman"/>
          <w:sz w:val="24"/>
          <w:szCs w:val="24"/>
        </w:rPr>
        <w:t xml:space="preserve"> the 9</w:t>
      </w:r>
      <w:r w:rsidRPr="0046707A">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w:t>
      </w:r>
      <w:hyperlink r:id="rId2413" w:history="1">
        <w:r w:rsidRPr="003826A8">
          <w:rPr>
            <w:rStyle w:val="Hyperlink"/>
            <w:sz w:val="24"/>
            <w:szCs w:val="24"/>
          </w:rPr>
          <w:t>https://www.supremecourt.gov/opinions/19pdf/19a1044_pok0.pdf</w:t>
        </w:r>
      </w:hyperlink>
      <w:r>
        <w:rPr>
          <w:rFonts w:ascii="Times New Roman" w:hAnsi="Times New Roman"/>
          <w:sz w:val="24"/>
          <w:szCs w:val="24"/>
        </w:rPr>
        <w:t xml:space="preserve"> </w:t>
      </w:r>
    </w:p>
    <w:p w14:paraId="07DA73D0" w14:textId="77777777" w:rsidR="00FA7B26" w:rsidRPr="00575185" w:rsidRDefault="00FA7B26" w:rsidP="00FA7B26">
      <w:pPr>
        <w:pStyle w:val="Heading1"/>
        <w:jc w:val="both"/>
        <w:rPr>
          <w:sz w:val="24"/>
          <w:szCs w:val="24"/>
        </w:rPr>
      </w:pPr>
      <w:r w:rsidRPr="00575185">
        <w:rPr>
          <w:sz w:val="24"/>
          <w:szCs w:val="24"/>
        </w:rPr>
        <w:t xml:space="preserve">Legal Lessons Learned:  There has been litigation throughout the nation challenging corona virus restrictions; this is the first case to reach the U.S. Supreme Court.  </w:t>
      </w:r>
    </w:p>
    <w:p w14:paraId="2D6DF77E" w14:textId="6299BA1E" w:rsidR="00FA7B26" w:rsidRPr="00FA7B26" w:rsidRDefault="00FA7B26" w:rsidP="00FA7B26">
      <w:pPr>
        <w:ind w:left="720"/>
        <w:rPr>
          <w:rFonts w:ascii="Times New Roman" w:hAnsi="Times New Roman"/>
          <w:sz w:val="24"/>
          <w:szCs w:val="24"/>
        </w:rPr>
      </w:pPr>
      <w:r w:rsidRPr="00FA7B26">
        <w:rPr>
          <w:rFonts w:ascii="Times New Roman" w:hAnsi="Times New Roman"/>
          <w:sz w:val="24"/>
          <w:szCs w:val="24"/>
        </w:rPr>
        <w:t xml:space="preserve">Note: On May 6, 2020, the U.S. Supreme Court declined to hear an appeal by PA businesses seeking an injunction.  The Court will not hear an appeal unless at least 4 Justices agree to hear case.  See article: “U.S. Supreme Court rejects request to end Pennsylvania's coronavirus lockdown.” </w:t>
      </w:r>
      <w:hyperlink r:id="rId2414" w:history="1">
        <w:r w:rsidRPr="00FA7B26">
          <w:rPr>
            <w:rStyle w:val="Hyperlink"/>
            <w:rFonts w:ascii="Times New Roman" w:hAnsi="Times New Roman"/>
            <w:sz w:val="24"/>
            <w:szCs w:val="24"/>
          </w:rPr>
          <w:t>https://www.phillyvoice.com/us-supreme-court-denies-overturn-pennsylvania-non-essential-businesses-coronavirus-gov-wolf/</w:t>
        </w:r>
      </w:hyperlink>
    </w:p>
    <w:p w14:paraId="156AA44B" w14:textId="77777777" w:rsidR="00FA7B26" w:rsidRDefault="00FA7B26" w:rsidP="002B1283">
      <w:pPr>
        <w:rPr>
          <w:rFonts w:ascii="Arial Black" w:hAnsi="Arial Black"/>
          <w:b/>
          <w:bCs/>
          <w:sz w:val="28"/>
          <w:szCs w:val="28"/>
        </w:rPr>
      </w:pPr>
    </w:p>
    <w:p w14:paraId="4D710F36" w14:textId="0D97D8F3" w:rsidR="00FA7B26" w:rsidRDefault="00FA7B26" w:rsidP="002B1283">
      <w:pPr>
        <w:rPr>
          <w:rFonts w:ascii="Arial Black" w:hAnsi="Arial Black"/>
          <w:b/>
          <w:bCs/>
          <w:sz w:val="28"/>
          <w:szCs w:val="28"/>
        </w:rPr>
      </w:pPr>
      <w:r>
        <w:rPr>
          <w:rFonts w:ascii="Arial Black" w:hAnsi="Arial Black"/>
          <w:b/>
          <w:bCs/>
          <w:sz w:val="28"/>
          <w:szCs w:val="28"/>
        </w:rPr>
        <w:t>13-56</w:t>
      </w:r>
    </w:p>
    <w:p w14:paraId="7F8D274B" w14:textId="77777777" w:rsidR="00FA7B26" w:rsidRPr="00B46B8F" w:rsidRDefault="00FA7B26" w:rsidP="00FA7B26">
      <w:pPr>
        <w:spacing w:before="100" w:beforeAutospacing="1" w:after="100" w:afterAutospacing="1" w:line="240" w:lineRule="auto"/>
        <w:jc w:val="both"/>
        <w:rPr>
          <w:rFonts w:ascii="Arial Black" w:eastAsia="Times New Roman" w:hAnsi="Arial Black"/>
          <w:b/>
          <w:bCs/>
          <w:sz w:val="28"/>
          <w:szCs w:val="28"/>
        </w:rPr>
      </w:pPr>
      <w:r w:rsidRPr="00B46B8F">
        <w:rPr>
          <w:rFonts w:ascii="Arial Black" w:eastAsia="Times New Roman" w:hAnsi="Arial Black"/>
          <w:b/>
          <w:bCs/>
          <w:sz w:val="28"/>
          <w:szCs w:val="28"/>
        </w:rPr>
        <w:t>NJ:</w:t>
      </w:r>
      <w:r>
        <w:rPr>
          <w:rFonts w:ascii="Arial Black" w:eastAsia="Times New Roman" w:hAnsi="Arial Black"/>
          <w:b/>
          <w:bCs/>
          <w:sz w:val="28"/>
          <w:szCs w:val="28"/>
        </w:rPr>
        <w:t xml:space="preserve"> MAINTENANCE ISSUES OF EMS VEHICLES – STATE SUSPENDS LICENSE – INSTEAD OF ADMIN. APPEAL, WENT TO COURT – COURT OF APPEALS UPHOLDS SUSPENSION</w:t>
      </w:r>
    </w:p>
    <w:p w14:paraId="65296453" w14:textId="77777777" w:rsidR="00FA7B26" w:rsidRPr="00290F9C" w:rsidRDefault="00FA7B26" w:rsidP="00FA7B26">
      <w:pPr>
        <w:spacing w:before="100" w:beforeAutospacing="1" w:after="100" w:afterAutospacing="1" w:line="240" w:lineRule="auto"/>
        <w:rPr>
          <w:rFonts w:ascii="Times New Roman" w:hAnsi="Times New Roman"/>
          <w:sz w:val="24"/>
          <w:szCs w:val="24"/>
        </w:rPr>
      </w:pPr>
      <w:r w:rsidRPr="00290F9C">
        <w:rPr>
          <w:rFonts w:ascii="Times New Roman" w:hAnsi="Times New Roman"/>
          <w:sz w:val="24"/>
          <w:szCs w:val="24"/>
        </w:rPr>
        <w:t xml:space="preserve">On May 27, 2020, in </w:t>
      </w:r>
      <w:proofErr w:type="spellStart"/>
      <w:r w:rsidRPr="00290F9C">
        <w:rPr>
          <w:rFonts w:ascii="Times New Roman" w:hAnsi="Times New Roman"/>
          <w:sz w:val="24"/>
          <w:szCs w:val="24"/>
          <w:u w:val="single"/>
        </w:rPr>
        <w:t>Americare</w:t>
      </w:r>
      <w:proofErr w:type="spellEnd"/>
      <w:r w:rsidRPr="00290F9C">
        <w:rPr>
          <w:rFonts w:ascii="Times New Roman" w:hAnsi="Times New Roman"/>
          <w:sz w:val="24"/>
          <w:szCs w:val="24"/>
          <w:u w:val="single"/>
        </w:rPr>
        <w:t xml:space="preserve"> Emergency Medical Service, Inc. v. City of Orange Township; State of New Jersey Department of Health, Office of EMS, et al.</w:t>
      </w:r>
      <w:r w:rsidRPr="00290F9C">
        <w:rPr>
          <w:rFonts w:ascii="Times New Roman" w:hAnsi="Times New Roman"/>
          <w:sz w:val="24"/>
          <w:szCs w:val="24"/>
        </w:rPr>
        <w:t>, the Superior Court of New Jersey Appellate Division, held (3 to 0) in unpublished decision that the State’s suspension is reinstated</w:t>
      </w:r>
      <w:r>
        <w:rPr>
          <w:rFonts w:ascii="Times New Roman" w:hAnsi="Times New Roman"/>
          <w:sz w:val="24"/>
          <w:szCs w:val="24"/>
        </w:rPr>
        <w:t>; they must exhaust administrative appeal to Commissioner of Dept. of Health</w:t>
      </w:r>
      <w:r w:rsidRPr="00290F9C">
        <w:rPr>
          <w:rFonts w:ascii="Times New Roman" w:hAnsi="Times New Roman"/>
          <w:sz w:val="24"/>
          <w:szCs w:val="24"/>
        </w:rPr>
        <w:t xml:space="preserve">.  </w:t>
      </w:r>
      <w:hyperlink r:id="rId2415" w:history="1">
        <w:r w:rsidRPr="00290F9C">
          <w:rPr>
            <w:rStyle w:val="Hyperlink"/>
            <w:sz w:val="24"/>
            <w:szCs w:val="24"/>
          </w:rPr>
          <w:t>https://njcourts.gov/attorneys/assets/opinions/appellate/published/a0117-19.pdf?c=WwB</w:t>
        </w:r>
      </w:hyperlink>
      <w:r w:rsidRPr="00290F9C">
        <w:rPr>
          <w:rFonts w:ascii="Times New Roman" w:hAnsi="Times New Roman"/>
          <w:sz w:val="24"/>
          <w:szCs w:val="24"/>
        </w:rPr>
        <w:t xml:space="preserve"> </w:t>
      </w:r>
    </w:p>
    <w:p w14:paraId="6D248F8B" w14:textId="77777777" w:rsidR="00FA7B26" w:rsidRPr="00290F9C" w:rsidRDefault="00FA7B26" w:rsidP="00FA7B26">
      <w:pPr>
        <w:spacing w:after="0" w:line="240" w:lineRule="auto"/>
        <w:jc w:val="both"/>
        <w:rPr>
          <w:rFonts w:ascii="Times New Roman" w:hAnsi="Times New Roman"/>
          <w:b/>
          <w:bCs/>
          <w:sz w:val="24"/>
          <w:szCs w:val="24"/>
        </w:rPr>
      </w:pPr>
      <w:r w:rsidRPr="00290F9C">
        <w:rPr>
          <w:rFonts w:ascii="Times New Roman" w:hAnsi="Times New Roman"/>
          <w:b/>
          <w:bCs/>
          <w:sz w:val="24"/>
          <w:szCs w:val="24"/>
        </w:rPr>
        <w:t>Legal Lessons Learned:</w:t>
      </w:r>
      <w:r>
        <w:rPr>
          <w:rFonts w:ascii="Times New Roman" w:hAnsi="Times New Roman"/>
          <w:b/>
          <w:bCs/>
          <w:sz w:val="24"/>
          <w:szCs w:val="24"/>
        </w:rPr>
        <w:t xml:space="preserve"> Proper maintenance of EMS transport vehicles is extremely important; it is generally best to exhaust administrative appeals before going to Court.</w:t>
      </w:r>
    </w:p>
    <w:p w14:paraId="2EA3C321" w14:textId="77777777" w:rsidR="00FA7B26" w:rsidRDefault="00FA7B26" w:rsidP="00FA7B26">
      <w:pPr>
        <w:spacing w:before="100" w:beforeAutospacing="1" w:after="100" w:afterAutospacing="1" w:line="240" w:lineRule="auto"/>
        <w:rPr>
          <w:rFonts w:ascii="Times New Roman" w:eastAsia="Times New Roman" w:hAnsi="Times New Roman"/>
          <w:sz w:val="24"/>
          <w:szCs w:val="24"/>
        </w:rPr>
      </w:pPr>
    </w:p>
    <w:p w14:paraId="5F55F461" w14:textId="77777777" w:rsidR="00FA7B26" w:rsidRDefault="00FA7B26" w:rsidP="002B1283">
      <w:pPr>
        <w:rPr>
          <w:rFonts w:ascii="Arial Black" w:hAnsi="Arial Black"/>
          <w:b/>
          <w:bCs/>
          <w:sz w:val="28"/>
          <w:szCs w:val="28"/>
        </w:rPr>
      </w:pPr>
    </w:p>
    <w:p w14:paraId="036ED8A8" w14:textId="77777777" w:rsidR="00FA7B26" w:rsidRDefault="00FA7B26" w:rsidP="002B1283">
      <w:pPr>
        <w:rPr>
          <w:rFonts w:ascii="Arial Black" w:hAnsi="Arial Black"/>
          <w:b/>
          <w:bCs/>
          <w:sz w:val="28"/>
          <w:szCs w:val="28"/>
        </w:rPr>
      </w:pPr>
    </w:p>
    <w:p w14:paraId="00C93788" w14:textId="05615E64" w:rsidR="00FA7B26" w:rsidRDefault="00FA7B26" w:rsidP="002B1283">
      <w:pPr>
        <w:rPr>
          <w:rFonts w:ascii="Arial Black" w:hAnsi="Arial Black"/>
          <w:b/>
          <w:bCs/>
          <w:sz w:val="28"/>
          <w:szCs w:val="28"/>
        </w:rPr>
      </w:pPr>
      <w:r>
        <w:rPr>
          <w:rFonts w:ascii="Arial Black" w:hAnsi="Arial Black"/>
          <w:b/>
          <w:bCs/>
          <w:sz w:val="28"/>
          <w:szCs w:val="28"/>
        </w:rPr>
        <w:t>13-55</w:t>
      </w:r>
    </w:p>
    <w:p w14:paraId="44F0F00C" w14:textId="2E48C118" w:rsidR="00FA7B26" w:rsidRPr="00C42FC3" w:rsidRDefault="00FA7B26" w:rsidP="00FA7B26">
      <w:pPr>
        <w:spacing w:before="100" w:beforeAutospacing="1" w:after="100" w:afterAutospacing="1" w:line="240" w:lineRule="auto"/>
        <w:rPr>
          <w:rFonts w:ascii="Arial Black" w:eastAsia="Times New Roman" w:hAnsi="Arial Black"/>
          <w:sz w:val="24"/>
          <w:szCs w:val="24"/>
        </w:rPr>
      </w:pPr>
      <w:bookmarkStart w:id="455" w:name="_Hlk42171981"/>
      <w:r w:rsidRPr="000B01EB">
        <w:rPr>
          <w:rFonts w:ascii="Arial Black" w:eastAsia="Times New Roman" w:hAnsi="Arial Black"/>
          <w:sz w:val="28"/>
          <w:szCs w:val="28"/>
        </w:rPr>
        <w:t>NY:</w:t>
      </w:r>
      <w:r>
        <w:rPr>
          <w:rFonts w:ascii="Arial Black" w:eastAsia="Times New Roman" w:hAnsi="Arial Black"/>
          <w:sz w:val="28"/>
          <w:szCs w:val="28"/>
        </w:rPr>
        <w:t xml:space="preserve"> DIF</w:t>
      </w:r>
      <w:r w:rsidR="00DC0660">
        <w:rPr>
          <w:rFonts w:ascii="Arial Black" w:eastAsia="Times New Roman" w:hAnsi="Arial Black"/>
          <w:sz w:val="28"/>
          <w:szCs w:val="28"/>
        </w:rPr>
        <w:t>F</w:t>
      </w:r>
      <w:r>
        <w:rPr>
          <w:rFonts w:ascii="Arial Black" w:eastAsia="Times New Roman" w:hAnsi="Arial Black"/>
          <w:sz w:val="28"/>
          <w:szCs w:val="28"/>
        </w:rPr>
        <w:t xml:space="preserve">ICULTY BREATHING CALL - RAPID PD RESPONSE, BUT 20 MINUTES </w:t>
      </w:r>
      <w:r w:rsidRPr="00C42FC3">
        <w:rPr>
          <w:rFonts w:ascii="Arial Black" w:eastAsia="Times New Roman" w:hAnsi="Arial Black"/>
          <w:sz w:val="28"/>
          <w:szCs w:val="28"/>
        </w:rPr>
        <w:t>MUTUAL</w:t>
      </w:r>
      <w:r>
        <w:rPr>
          <w:rFonts w:ascii="Arial Black" w:eastAsia="Times New Roman" w:hAnsi="Arial Black"/>
          <w:sz w:val="28"/>
          <w:szCs w:val="28"/>
        </w:rPr>
        <w:t xml:space="preserve"> AID</w:t>
      </w:r>
      <w:r w:rsidRPr="00C42FC3">
        <w:rPr>
          <w:rFonts w:ascii="Arial Black" w:eastAsia="Times New Roman" w:hAnsi="Arial Black"/>
          <w:sz w:val="28"/>
          <w:szCs w:val="28"/>
        </w:rPr>
        <w:t xml:space="preserve"> AMBULANCE - GOVERNMENTAL IMMUNITY</w:t>
      </w:r>
      <w:r>
        <w:rPr>
          <w:rFonts w:ascii="Arial Black" w:eastAsia="Times New Roman" w:hAnsi="Arial Black"/>
          <w:sz w:val="28"/>
          <w:szCs w:val="28"/>
        </w:rPr>
        <w:t xml:space="preserve"> - NO</w:t>
      </w:r>
      <w:r w:rsidRPr="00C42FC3">
        <w:rPr>
          <w:rFonts w:ascii="Arial Black" w:eastAsia="Times New Roman" w:hAnsi="Arial Black"/>
          <w:sz w:val="28"/>
          <w:szCs w:val="28"/>
        </w:rPr>
        <w:t xml:space="preserve"> “SPECIAL DUTY” </w:t>
      </w:r>
      <w:r>
        <w:rPr>
          <w:rFonts w:ascii="Arial Black" w:eastAsia="Times New Roman" w:hAnsi="Arial Black"/>
          <w:sz w:val="28"/>
          <w:szCs w:val="28"/>
        </w:rPr>
        <w:t>OWED</w:t>
      </w:r>
    </w:p>
    <w:bookmarkEnd w:id="455"/>
    <w:p w14:paraId="45901E8D" w14:textId="6A35DA9E" w:rsidR="00FA7B26" w:rsidRDefault="00FA7B26" w:rsidP="00FA7B26">
      <w:pPr>
        <w:rPr>
          <w:rFonts w:ascii="Arial Black" w:hAnsi="Arial Black"/>
          <w:b/>
          <w:bCs/>
          <w:sz w:val="28"/>
          <w:szCs w:val="28"/>
        </w:rPr>
      </w:pPr>
      <w:r w:rsidRPr="00C42FC3">
        <w:rPr>
          <w:rFonts w:ascii="Times New Roman" w:eastAsia="Times New Roman" w:hAnsi="Times New Roman"/>
          <w:sz w:val="24"/>
          <w:szCs w:val="24"/>
        </w:rPr>
        <w:t xml:space="preserve">On May 27, 2020, in </w:t>
      </w:r>
      <w:r w:rsidRPr="00C42FC3">
        <w:rPr>
          <w:rFonts w:ascii="Times New Roman" w:eastAsia="Times New Roman" w:hAnsi="Times New Roman"/>
          <w:sz w:val="24"/>
          <w:szCs w:val="24"/>
          <w:u w:val="single"/>
        </w:rPr>
        <w:t>Kathlene Marks-Barcia v. Village of Sleepy Hollow Ambulance Corps, et al.</w:t>
      </w:r>
      <w:r w:rsidRPr="00C42FC3">
        <w:rPr>
          <w:rFonts w:ascii="Times New Roman" w:eastAsia="Times New Roman" w:hAnsi="Times New Roman"/>
          <w:sz w:val="24"/>
          <w:szCs w:val="24"/>
        </w:rPr>
        <w:t xml:space="preserve">, </w:t>
      </w:r>
      <w:r>
        <w:rPr>
          <w:rFonts w:ascii="Times New Roman" w:eastAsia="Times New Roman" w:hAnsi="Times New Roman"/>
          <w:sz w:val="24"/>
          <w:szCs w:val="24"/>
        </w:rPr>
        <w:t xml:space="preserve">the Supreme Court of New York, Appellate Division (Second Judicial Department), held (3 to 0) that the trial judge properly granted summary judgment to the Village since they owed no “special duty” to the 911 caller or her husband.  </w:t>
      </w:r>
      <w:hyperlink r:id="rId2416" w:history="1">
        <w:r w:rsidRPr="00082B39">
          <w:rPr>
            <w:rStyle w:val="Hyperlink"/>
            <w:sz w:val="24"/>
            <w:szCs w:val="24"/>
          </w:rPr>
          <w:t>https://iapps.courts.state.ny.us/search/wicket/page?2-IResourceListener-pnlResultContainer-pnlResult-2-lnkDocument</w:t>
        </w:r>
      </w:hyperlink>
    </w:p>
    <w:p w14:paraId="1365AC58" w14:textId="77777777" w:rsidR="00FA7B26" w:rsidRPr="00FA61E9"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FA61E9">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Governmental immunity is an important protection against liability for EMS.</w:t>
      </w:r>
    </w:p>
    <w:p w14:paraId="128E909E" w14:textId="3E91570E" w:rsidR="00FA7B26" w:rsidRPr="00FA7B26" w:rsidRDefault="00FA7B26" w:rsidP="00FA7B26">
      <w:pPr>
        <w:ind w:left="720"/>
        <w:rPr>
          <w:rFonts w:ascii="Times New Roman" w:hAnsi="Times New Roman"/>
          <w:sz w:val="24"/>
          <w:szCs w:val="24"/>
        </w:rPr>
      </w:pPr>
      <w:r w:rsidRPr="00FA7B26">
        <w:rPr>
          <w:rFonts w:ascii="Times New Roman" w:hAnsi="Times New Roman"/>
          <w:sz w:val="24"/>
          <w:szCs w:val="24"/>
        </w:rPr>
        <w:t xml:space="preserve">Note:  Some states, such as Florida, have by statute abolished the “Professional Rescuer Rule” [also known as “Fireman’s Rule”]. See Florida 2019 statute: </w:t>
      </w:r>
      <w:hyperlink r:id="rId2417" w:history="1">
        <w:r w:rsidRPr="00FA7B26">
          <w:rPr>
            <w:rStyle w:val="Hyperlink"/>
            <w:rFonts w:ascii="Times New Roman" w:hAnsi="Times New Roman"/>
            <w:sz w:val="24"/>
            <w:szCs w:val="24"/>
          </w:rPr>
          <w:t>http://www.leg.state.fl.us/statutes/index.cfm?App_mode=Display_Statute&amp;Search_String=&amp;URL=0100-0199/0112/Sections/0112.182.html</w:t>
        </w:r>
      </w:hyperlink>
    </w:p>
    <w:p w14:paraId="42778FA6" w14:textId="426407DD" w:rsidR="00FA7B26" w:rsidRDefault="00FA7B26" w:rsidP="002B1283">
      <w:pPr>
        <w:rPr>
          <w:rFonts w:ascii="Arial Black" w:hAnsi="Arial Black"/>
          <w:b/>
          <w:bCs/>
          <w:sz w:val="28"/>
          <w:szCs w:val="28"/>
        </w:rPr>
      </w:pPr>
      <w:r>
        <w:rPr>
          <w:rFonts w:ascii="Arial Black" w:hAnsi="Arial Black"/>
          <w:b/>
          <w:bCs/>
          <w:sz w:val="28"/>
          <w:szCs w:val="28"/>
        </w:rPr>
        <w:t>13-54</w:t>
      </w:r>
    </w:p>
    <w:p w14:paraId="0D4867B0" w14:textId="77777777" w:rsidR="00FA7B26" w:rsidRPr="003E7024" w:rsidRDefault="00FA7B26" w:rsidP="00FA7B26">
      <w:pPr>
        <w:tabs>
          <w:tab w:val="left" w:pos="820"/>
        </w:tabs>
        <w:spacing w:before="100" w:beforeAutospacing="1" w:after="100" w:afterAutospacing="1" w:line="240" w:lineRule="auto"/>
        <w:rPr>
          <w:rFonts w:ascii="Arial Black" w:eastAsia="Times New Roman" w:hAnsi="Arial Black"/>
          <w:b/>
          <w:bCs/>
          <w:sz w:val="28"/>
          <w:szCs w:val="28"/>
        </w:rPr>
      </w:pPr>
      <w:bookmarkStart w:id="456" w:name="_Hlk42171919"/>
      <w:r w:rsidRPr="003E7024">
        <w:rPr>
          <w:rFonts w:ascii="Arial Black" w:eastAsia="Times New Roman" w:hAnsi="Arial Black"/>
          <w:b/>
          <w:bCs/>
          <w:sz w:val="28"/>
          <w:szCs w:val="28"/>
        </w:rPr>
        <w:t xml:space="preserve">IL: </w:t>
      </w:r>
      <w:r>
        <w:rPr>
          <w:rFonts w:ascii="Arial Black" w:eastAsia="Times New Roman" w:hAnsi="Arial Black"/>
          <w:b/>
          <w:bCs/>
          <w:sz w:val="28"/>
          <w:szCs w:val="28"/>
        </w:rPr>
        <w:t xml:space="preserve">TRANSP. FEMALE FROM PD TO HOSPITAL - KICKED PARAMEDIC IN NECK – CONVICTED BY JURY AGGRAVATED BATTERY – VIDEO FROM HOSPITAL / PHOTO OF MEDIC’S BRUISED NECK – SENTENCED </w:t>
      </w:r>
      <w:r w:rsidRPr="003E7024">
        <w:rPr>
          <w:rFonts w:ascii="Arial Black" w:eastAsia="Times New Roman" w:hAnsi="Arial Black"/>
          <w:b/>
          <w:bCs/>
          <w:sz w:val="28"/>
          <w:szCs w:val="28"/>
        </w:rPr>
        <w:t xml:space="preserve">2 YEARS </w:t>
      </w:r>
      <w:r>
        <w:rPr>
          <w:rFonts w:ascii="Arial Black" w:eastAsia="Times New Roman" w:hAnsi="Arial Black"/>
          <w:b/>
          <w:bCs/>
          <w:sz w:val="28"/>
          <w:szCs w:val="28"/>
        </w:rPr>
        <w:t xml:space="preserve">IN </w:t>
      </w:r>
      <w:r w:rsidRPr="003E7024">
        <w:rPr>
          <w:rFonts w:ascii="Arial Black" w:eastAsia="Times New Roman" w:hAnsi="Arial Black"/>
          <w:b/>
          <w:bCs/>
          <w:sz w:val="28"/>
          <w:szCs w:val="28"/>
        </w:rPr>
        <w:t>PRISON</w:t>
      </w:r>
    </w:p>
    <w:p w14:paraId="2DBE90D9" w14:textId="77777777" w:rsidR="00FA7B26" w:rsidRDefault="00FA7B26" w:rsidP="00FA7B26">
      <w:pPr>
        <w:spacing w:before="100" w:beforeAutospacing="1" w:after="100" w:afterAutospacing="1" w:line="240" w:lineRule="auto"/>
        <w:rPr>
          <w:rFonts w:ascii="Times New Roman" w:hAnsi="Times New Roman"/>
          <w:sz w:val="24"/>
          <w:szCs w:val="24"/>
        </w:rPr>
      </w:pPr>
      <w:r w:rsidRPr="003E7024">
        <w:rPr>
          <w:rFonts w:ascii="Times New Roman" w:hAnsi="Times New Roman"/>
          <w:sz w:val="24"/>
          <w:szCs w:val="24"/>
        </w:rPr>
        <w:t xml:space="preserve">On May 13, 2020, in </w:t>
      </w:r>
      <w:r w:rsidRPr="003E7024">
        <w:rPr>
          <w:rFonts w:ascii="Times New Roman" w:hAnsi="Times New Roman"/>
          <w:sz w:val="24"/>
          <w:szCs w:val="24"/>
          <w:u w:val="single"/>
        </w:rPr>
        <w:t>The People of State of Illinois v. Krystina Stoch</w:t>
      </w:r>
      <w:r>
        <w:rPr>
          <w:rFonts w:ascii="Times New Roman" w:hAnsi="Times New Roman"/>
          <w:sz w:val="24"/>
          <w:szCs w:val="24"/>
        </w:rPr>
        <w:t xml:space="preserve">, the Appellate Court of Illinois, First District, held (3 to 0) that conviction of aggravated battery was affirmed, and rejected the defense that she didn’t intend to hurt the paramedic when she kicked out at him when being moved from stretcher to a </w:t>
      </w:r>
      <w:proofErr w:type="gramStart"/>
      <w:r>
        <w:rPr>
          <w:rFonts w:ascii="Times New Roman" w:hAnsi="Times New Roman"/>
          <w:sz w:val="24"/>
          <w:szCs w:val="24"/>
        </w:rPr>
        <w:t>wheel chair</w:t>
      </w:r>
      <w:proofErr w:type="gramEnd"/>
      <w:r>
        <w:rPr>
          <w:rFonts w:ascii="Times New Roman" w:hAnsi="Times New Roman"/>
          <w:sz w:val="24"/>
          <w:szCs w:val="24"/>
        </w:rPr>
        <w:t xml:space="preserve"> at the hospital. </w:t>
      </w:r>
      <w:hyperlink r:id="rId2418" w:history="1">
        <w:r w:rsidRPr="00C46C1D">
          <w:rPr>
            <w:rStyle w:val="Hyperlink"/>
            <w:sz w:val="24"/>
            <w:szCs w:val="24"/>
          </w:rPr>
          <w:t>https://courts.illinois.gov/R23_Orders/AppellateCourt/2020/1stDistrict/1172189_R23.pdf</w:t>
        </w:r>
      </w:hyperlink>
      <w:r>
        <w:rPr>
          <w:rFonts w:ascii="Times New Roman" w:hAnsi="Times New Roman"/>
          <w:sz w:val="24"/>
          <w:szCs w:val="24"/>
        </w:rPr>
        <w:t xml:space="preserve"> </w:t>
      </w:r>
    </w:p>
    <w:p w14:paraId="6E853503" w14:textId="77777777" w:rsidR="00FA7B26" w:rsidRPr="005E414E"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5E414E">
        <w:rPr>
          <w:rFonts w:ascii="Times New Roman" w:hAnsi="Times New Roman"/>
          <w:b/>
          <w:bCs/>
          <w:sz w:val="24"/>
          <w:szCs w:val="24"/>
        </w:rPr>
        <w:t>Legal Lessons Learned:</w:t>
      </w:r>
      <w:r>
        <w:rPr>
          <w:rFonts w:ascii="Times New Roman" w:hAnsi="Times New Roman"/>
          <w:b/>
          <w:bCs/>
          <w:sz w:val="24"/>
          <w:szCs w:val="24"/>
        </w:rPr>
        <w:t xml:space="preserve"> The hospital video, and photo of the paramedic’s bruised neck, were shown to the jury. </w:t>
      </w:r>
    </w:p>
    <w:bookmarkEnd w:id="456"/>
    <w:p w14:paraId="4676AD53" w14:textId="77777777" w:rsidR="00FA7B26" w:rsidRDefault="00FA7B26" w:rsidP="002B1283">
      <w:pPr>
        <w:rPr>
          <w:rFonts w:ascii="Arial Black" w:hAnsi="Arial Black"/>
          <w:b/>
          <w:bCs/>
          <w:sz w:val="28"/>
          <w:szCs w:val="28"/>
        </w:rPr>
      </w:pPr>
    </w:p>
    <w:p w14:paraId="02620294" w14:textId="6F4508FC" w:rsidR="00FA7B26" w:rsidRDefault="00FA7B26" w:rsidP="002B1283">
      <w:pPr>
        <w:rPr>
          <w:rFonts w:ascii="Arial Black" w:hAnsi="Arial Black"/>
          <w:b/>
          <w:bCs/>
          <w:sz w:val="28"/>
          <w:szCs w:val="28"/>
        </w:rPr>
      </w:pPr>
      <w:r>
        <w:rPr>
          <w:rFonts w:ascii="Arial Black" w:hAnsi="Arial Black"/>
          <w:b/>
          <w:bCs/>
          <w:sz w:val="28"/>
          <w:szCs w:val="28"/>
        </w:rPr>
        <w:t>13-53</w:t>
      </w:r>
    </w:p>
    <w:p w14:paraId="69459F1D" w14:textId="77777777" w:rsidR="00FA7B26" w:rsidRDefault="00FA7B26" w:rsidP="00FA7B26">
      <w:pPr>
        <w:spacing w:before="100" w:beforeAutospacing="1" w:after="100" w:afterAutospacing="1" w:line="240" w:lineRule="auto"/>
        <w:rPr>
          <w:rFonts w:ascii="Arial Black" w:hAnsi="Arial Black"/>
          <w:sz w:val="28"/>
          <w:szCs w:val="28"/>
        </w:rPr>
      </w:pPr>
      <w:r w:rsidRPr="008324B8">
        <w:rPr>
          <w:rFonts w:ascii="Arial Black" w:hAnsi="Arial Black"/>
          <w:sz w:val="28"/>
          <w:szCs w:val="28"/>
        </w:rPr>
        <w:t xml:space="preserve">NY:  </w:t>
      </w:r>
      <w:r>
        <w:rPr>
          <w:rFonts w:ascii="Arial Black" w:hAnsi="Arial Black"/>
          <w:sz w:val="28"/>
          <w:szCs w:val="28"/>
        </w:rPr>
        <w:t xml:space="preserve">PATIENT LEG PAIN, FLUID – EMS ADVISED SEE HER DOCTOR IN MORNING – SIGNED “RMA” REFUSAL MEDICAL ASSISTANCE – DIED 6 DAYS LATER - IMMUNITY </w:t>
      </w:r>
    </w:p>
    <w:p w14:paraId="5E0B0EDA" w14:textId="2EF60BEE" w:rsidR="00FA7B26" w:rsidRDefault="00FA7B26" w:rsidP="00FA7B26">
      <w:pPr>
        <w:rPr>
          <w:rFonts w:ascii="Arial Black" w:hAnsi="Arial Black"/>
          <w:b/>
          <w:bCs/>
          <w:sz w:val="28"/>
          <w:szCs w:val="28"/>
        </w:rPr>
      </w:pPr>
      <w:r w:rsidRPr="008324B8">
        <w:rPr>
          <w:rFonts w:ascii="Times New Roman" w:hAnsi="Times New Roman"/>
          <w:sz w:val="24"/>
          <w:szCs w:val="24"/>
        </w:rPr>
        <w:t xml:space="preserve">On May 5, 2020, </w:t>
      </w:r>
      <w:r>
        <w:rPr>
          <w:rFonts w:ascii="Times New Roman" w:hAnsi="Times New Roman"/>
          <w:sz w:val="24"/>
          <w:szCs w:val="24"/>
        </w:rPr>
        <w:t xml:space="preserve">in </w:t>
      </w:r>
      <w:r w:rsidRPr="008324B8">
        <w:rPr>
          <w:rFonts w:ascii="Times New Roman" w:hAnsi="Times New Roman"/>
          <w:sz w:val="24"/>
          <w:szCs w:val="24"/>
          <w:u w:val="single"/>
        </w:rPr>
        <w:t>Anthony L. Pioli, Administrator Estate of Anna Pioli v. New York City Fire Department et al</w:t>
      </w:r>
      <w:r>
        <w:rPr>
          <w:rFonts w:ascii="Times New Roman" w:hAnsi="Times New Roman"/>
          <w:sz w:val="24"/>
          <w:szCs w:val="24"/>
        </w:rPr>
        <w:t>., Judge Rosemarie Montalbano, Supreme Court of the State of New York, County of Kings: Part 22, dismissed the lawsuit since the EMTs did not owe a “Special Duty” to the patient. In addition, “</w:t>
      </w:r>
      <w:r w:rsidRPr="008324B8">
        <w:rPr>
          <w:rFonts w:ascii="Times New Roman" w:hAnsi="Times New Roman"/>
          <w:sz w:val="24"/>
          <w:szCs w:val="24"/>
        </w:rPr>
        <w:t xml:space="preserve">The decedent signed the RMA </w:t>
      </w:r>
      <w:r>
        <w:rPr>
          <w:rFonts w:ascii="Times New Roman" w:hAnsi="Times New Roman"/>
          <w:sz w:val="24"/>
          <w:szCs w:val="24"/>
        </w:rPr>
        <w:t xml:space="preserve">[Refusal of Medical Assistance] </w:t>
      </w:r>
      <w:r w:rsidRPr="008324B8">
        <w:rPr>
          <w:rFonts w:ascii="Times New Roman" w:hAnsi="Times New Roman"/>
          <w:sz w:val="24"/>
          <w:szCs w:val="24"/>
        </w:rPr>
        <w:t>expressly stating that she did not want to be transported to the hospital.</w:t>
      </w:r>
      <w:r>
        <w:rPr>
          <w:rFonts w:ascii="Times New Roman" w:hAnsi="Times New Roman"/>
          <w:sz w:val="24"/>
          <w:szCs w:val="24"/>
        </w:rPr>
        <w:t xml:space="preserve">” </w:t>
      </w:r>
      <w:hyperlink r:id="rId2419" w:history="1">
        <w:r w:rsidRPr="00B56DB8">
          <w:rPr>
            <w:rStyle w:val="Hyperlink"/>
            <w:sz w:val="24"/>
            <w:szCs w:val="24"/>
          </w:rPr>
          <w:t>https://public.fastcase.com/Wl%2B2t%2BeVuI35%2FN70vAMFZmo%2BcULZ%2FcXakIqGXvRrcFYkKri8LBojVsP%2FOvCVPfk0</w:t>
        </w:r>
      </w:hyperlink>
    </w:p>
    <w:p w14:paraId="3EBF49B8" w14:textId="77777777" w:rsidR="00FA7B26" w:rsidRDefault="00FA7B26" w:rsidP="00FA7B26">
      <w:pPr>
        <w:spacing w:before="100" w:beforeAutospacing="1" w:after="100" w:afterAutospacing="1" w:line="240" w:lineRule="auto"/>
        <w:rPr>
          <w:b/>
          <w:bCs/>
        </w:rPr>
      </w:pPr>
      <w:r w:rsidRPr="0045403E">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Special Duty doctrine helps protect EMS and their employers from liability.  If patient is complaining of leg pain and using fluid, consider a call to Medical Control at the hospital. </w:t>
      </w:r>
    </w:p>
    <w:p w14:paraId="5D72C13D" w14:textId="77777777" w:rsidR="00FA7B26" w:rsidRDefault="00FA7B26" w:rsidP="002B1283">
      <w:pPr>
        <w:rPr>
          <w:rFonts w:ascii="Arial Black" w:hAnsi="Arial Black"/>
          <w:b/>
          <w:bCs/>
          <w:sz w:val="28"/>
          <w:szCs w:val="28"/>
        </w:rPr>
      </w:pPr>
    </w:p>
    <w:p w14:paraId="2B5C6EF8" w14:textId="0509A104" w:rsidR="0012517E" w:rsidRDefault="0012517E" w:rsidP="002B1283">
      <w:pPr>
        <w:rPr>
          <w:rFonts w:ascii="Arial Black" w:hAnsi="Arial Black"/>
          <w:b/>
          <w:bCs/>
          <w:sz w:val="28"/>
          <w:szCs w:val="28"/>
        </w:rPr>
      </w:pPr>
      <w:r>
        <w:rPr>
          <w:rFonts w:ascii="Arial Black" w:hAnsi="Arial Black"/>
          <w:b/>
          <w:bCs/>
          <w:sz w:val="28"/>
          <w:szCs w:val="28"/>
        </w:rPr>
        <w:t>13-52</w:t>
      </w:r>
    </w:p>
    <w:p w14:paraId="423AADCC" w14:textId="77777777" w:rsidR="0012517E" w:rsidRDefault="0012517E" w:rsidP="0012517E">
      <w:pPr>
        <w:pStyle w:val="NoSpacing"/>
        <w:rPr>
          <w:rFonts w:ascii="Arial Black" w:hAnsi="Arial Black"/>
          <w:sz w:val="28"/>
          <w:szCs w:val="28"/>
        </w:rPr>
      </w:pPr>
      <w:bookmarkStart w:id="457" w:name="_Hlk38437817"/>
      <w:r>
        <w:rPr>
          <w:rFonts w:ascii="Arial Black" w:hAnsi="Arial Black"/>
          <w:sz w:val="28"/>
          <w:szCs w:val="28"/>
        </w:rPr>
        <w:t>NM: CORONA VIRUS – MEGA CHURCH CHALLENGED LIMIT OF 5 PEOPLE – DENIED TEMPORARY RESTRAINING ORDER</w:t>
      </w:r>
    </w:p>
    <w:p w14:paraId="602A3390" w14:textId="77777777" w:rsidR="0012517E" w:rsidRPr="00AE3A49" w:rsidRDefault="0012517E" w:rsidP="0012517E">
      <w:pPr>
        <w:pStyle w:val="NormalWeb"/>
      </w:pPr>
      <w:r w:rsidRPr="00AE3A49">
        <w:t xml:space="preserve">On </w:t>
      </w:r>
      <w:bookmarkStart w:id="458" w:name="_Hlk39849351"/>
      <w:r w:rsidRPr="00AE3A49">
        <w:t xml:space="preserve">April 17, 2020, </w:t>
      </w:r>
      <w:r w:rsidRPr="00AE3A49">
        <w:rPr>
          <w:u w:val="single"/>
        </w:rPr>
        <w:t>in Legacy Church, Inc. v. Kathyleen M. Kunkel and State of New Mexico</w:t>
      </w:r>
      <w:bookmarkEnd w:id="458"/>
      <w:r w:rsidRPr="00AE3A49">
        <w:t xml:space="preserve">, U.S. District Court Judge James O/ Browning denied the church’s motion for temporary restraining order. Legacy Church has nearly 20,000 members, with church services held in four locations in Albuquerque.  Kathyleen M. Kunkel is New Mexico’s Secretary of Health Department; on March 24, 2020, Secretary Kunkel issued the Public Health Order, which ordered all non-essential businesses to close, ordered all of the state's non-essential workforce to work from home, and ordered New Mexico citizens to ‘stay at home and undertake only those outings absolutely necessary for their health, safety, or welfare.’ </w:t>
      </w:r>
    </w:p>
    <w:bookmarkEnd w:id="457"/>
    <w:p w14:paraId="4E090DF4" w14:textId="77777777" w:rsidR="0012517E" w:rsidRDefault="0012517E" w:rsidP="0012517E">
      <w:pPr>
        <w:pStyle w:val="NoSpacing"/>
        <w:ind w:left="720"/>
        <w:rPr>
          <w:rFonts w:ascii="Times New Roman" w:hAnsi="Times New Roman"/>
          <w:bCs/>
          <w:sz w:val="24"/>
          <w:szCs w:val="24"/>
        </w:rPr>
      </w:pPr>
      <w:r w:rsidRPr="00AE3A49">
        <w:rPr>
          <w:rFonts w:ascii="Times New Roman" w:hAnsi="Times New Roman"/>
          <w:bCs/>
          <w:sz w:val="24"/>
          <w:szCs w:val="24"/>
        </w:rPr>
        <w:t xml:space="preserve">“The Court denies the Motion. The Court concludes, first, that the Eleventh Amendment prohibits Legacy Church's suit insofar as it seeks relief against the state of New Mexico. Second, the Court concludes that Legacy Church is not substantially likely to succeed on the merits of its Free Exercise claim. Specifically, the April 11 Order is both neutral and generally applicable, and there is no evidence of animus against Christianity </w:t>
      </w:r>
      <w:proofErr w:type="gramStart"/>
      <w:r w:rsidRPr="00AE3A49">
        <w:rPr>
          <w:rFonts w:ascii="Times New Roman" w:hAnsi="Times New Roman"/>
          <w:bCs/>
          <w:sz w:val="24"/>
          <w:szCs w:val="24"/>
        </w:rPr>
        <w:t>in particular or</w:t>
      </w:r>
      <w:proofErr w:type="gramEnd"/>
      <w:r w:rsidRPr="00AE3A49">
        <w:rPr>
          <w:rFonts w:ascii="Times New Roman" w:hAnsi="Times New Roman"/>
          <w:bCs/>
          <w:sz w:val="24"/>
          <w:szCs w:val="24"/>
        </w:rPr>
        <w:t xml:space="preserve"> against religion in general. Accordingly, the April 11 Order is subject to rational basis review, which it satisfies. Third, the Court concludes that Legacy Church is not likely to succeed on its assembly claim, because the April 11 Order </w:t>
      </w:r>
      <w:proofErr w:type="gramStart"/>
      <w:r w:rsidRPr="00AE3A49">
        <w:rPr>
          <w:rFonts w:ascii="Times New Roman" w:hAnsi="Times New Roman"/>
          <w:bCs/>
          <w:sz w:val="24"/>
          <w:szCs w:val="24"/>
        </w:rPr>
        <w:t>not only is</w:t>
      </w:r>
      <w:proofErr w:type="gramEnd"/>
      <w:r w:rsidRPr="00AE3A49">
        <w:rPr>
          <w:rFonts w:ascii="Times New Roman" w:hAnsi="Times New Roman"/>
          <w:bCs/>
          <w:sz w:val="24"/>
          <w:szCs w:val="24"/>
        </w:rPr>
        <w:t xml:space="preserve"> narrowly tailored with sufficient alternatives for Legacy Church to assemble and mitigating a state pandemic is a compelling interest. Fourth, the Court concludes that Legacy Church has not demonstrated that it will suffer irreparable harm in a TRO's absence, it has not demonstrated that the equities weigh in a TRO's favor, and it has not demonstrated that a TRO is in the public interest. Accordingly, the Court denies the TRO.</w:t>
      </w:r>
      <w:bookmarkStart w:id="459" w:name="_Hlk38437842"/>
      <w:r w:rsidRPr="00AE3A49">
        <w:rPr>
          <w:rFonts w:ascii="Times New Roman" w:hAnsi="Times New Roman"/>
          <w:bCs/>
          <w:sz w:val="24"/>
          <w:szCs w:val="24"/>
        </w:rPr>
        <w:t xml:space="preserve"> … </w:t>
      </w:r>
      <w:r w:rsidRPr="00AE3A49">
        <w:rPr>
          <w:rFonts w:ascii="Times New Roman" w:eastAsia="Times New Roman" w:hAnsi="Times New Roman"/>
          <w:bCs/>
          <w:sz w:val="24"/>
          <w:szCs w:val="24"/>
        </w:rPr>
        <w:t>Footnote 16:</w:t>
      </w:r>
      <w:r w:rsidRPr="00AE3A49">
        <w:rPr>
          <w:rFonts w:ascii="Times New Roman" w:hAnsi="Times New Roman"/>
          <w:bCs/>
          <w:sz w:val="24"/>
          <w:szCs w:val="24"/>
        </w:rPr>
        <w:t xml:space="preserve"> The Court does not want its Memorandum Opinion to be read to minimize the importance of faith in people's lives. </w:t>
      </w:r>
      <w:proofErr w:type="gramStart"/>
      <w:r w:rsidRPr="00AE3A49">
        <w:rPr>
          <w:rFonts w:ascii="Times New Roman" w:hAnsi="Times New Roman"/>
          <w:bCs/>
          <w:sz w:val="24"/>
          <w:szCs w:val="24"/>
        </w:rPr>
        <w:t>Certainly</w:t>
      </w:r>
      <w:proofErr w:type="gramEnd"/>
      <w:r w:rsidRPr="00AE3A49">
        <w:rPr>
          <w:rFonts w:ascii="Times New Roman" w:hAnsi="Times New Roman"/>
          <w:bCs/>
          <w:sz w:val="24"/>
          <w:szCs w:val="24"/>
        </w:rPr>
        <w:t xml:space="preserve"> religion is the centerpiece of many people's lives, and many individuals may feel as if religion saved their life. But </w:t>
      </w:r>
    </w:p>
    <w:p w14:paraId="4C692008" w14:textId="77777777" w:rsidR="0012517E" w:rsidRDefault="0012517E" w:rsidP="0012517E">
      <w:pPr>
        <w:pStyle w:val="NoSpacing"/>
        <w:ind w:left="720"/>
        <w:rPr>
          <w:rFonts w:ascii="Times New Roman" w:hAnsi="Times New Roman"/>
          <w:bCs/>
          <w:sz w:val="24"/>
          <w:szCs w:val="24"/>
        </w:rPr>
      </w:pPr>
    </w:p>
    <w:p w14:paraId="77FEBD4D" w14:textId="77777777" w:rsidR="0012517E" w:rsidRPr="00AE3A49" w:rsidRDefault="0012517E" w:rsidP="0012517E">
      <w:pPr>
        <w:pStyle w:val="NoSpacing"/>
        <w:ind w:left="720"/>
        <w:rPr>
          <w:rFonts w:ascii="Times New Roman" w:eastAsia="Times New Roman" w:hAnsi="Times New Roman"/>
          <w:b/>
          <w:bCs/>
          <w:sz w:val="24"/>
          <w:szCs w:val="24"/>
        </w:rPr>
      </w:pPr>
      <w:r w:rsidRPr="00AE3A49">
        <w:rPr>
          <w:rFonts w:ascii="Times New Roman" w:hAnsi="Times New Roman"/>
          <w:bCs/>
          <w:sz w:val="24"/>
          <w:szCs w:val="24"/>
        </w:rPr>
        <w:t xml:space="preserve">essential services focus on the public as a whole -- essential businesses are essential for the lives of everyone, because they are necessary to ensure public health and welfare.” </w:t>
      </w:r>
      <w:bookmarkStart w:id="460" w:name="_Hlk39849371"/>
      <w:bookmarkStart w:id="461" w:name="_Hlk42172466"/>
      <w:r w:rsidR="00BC38B6">
        <w:fldChar w:fldCharType="begin"/>
      </w:r>
      <w:r w:rsidR="00BC38B6">
        <w:instrText xml:space="preserve"> HYPERLINK "https://public.fastcase.com/Wl%2B2t%2BeVuI35%2FN70vAMFZh8%2BLXJi%2BseM2%2Fc2jHlkq%2FfbJ38UuR%2FQUxRgZcrAfdvd" </w:instrText>
      </w:r>
      <w:r w:rsidR="00BC38B6">
        <w:fldChar w:fldCharType="separate"/>
      </w:r>
      <w:r w:rsidRPr="00AE3A49">
        <w:rPr>
          <w:rStyle w:val="Hyperlink"/>
          <w:rFonts w:ascii="Times New Roman" w:hAnsi="Times New Roman"/>
          <w:b/>
          <w:sz w:val="24"/>
          <w:szCs w:val="24"/>
        </w:rPr>
        <w:t>https://public.fastcase.com/Wl%2B2t%2BeVuI35%2FN70vAMFZh8%2BLXJi%2BseM2%2Fc2jHlkq%2FfbJ38UuR%2FQUxRgZcrAfdvd</w:t>
      </w:r>
      <w:r w:rsidR="00BC38B6">
        <w:rPr>
          <w:rStyle w:val="Hyperlink"/>
          <w:rFonts w:ascii="Times New Roman" w:hAnsi="Times New Roman"/>
          <w:b/>
          <w:sz w:val="24"/>
          <w:szCs w:val="24"/>
        </w:rPr>
        <w:fldChar w:fldCharType="end"/>
      </w:r>
      <w:bookmarkEnd w:id="460"/>
      <w:r w:rsidRPr="00AE3A49">
        <w:rPr>
          <w:rFonts w:ascii="Times New Roman" w:hAnsi="Times New Roman"/>
          <w:bCs/>
          <w:sz w:val="24"/>
          <w:szCs w:val="24"/>
        </w:rPr>
        <w:t xml:space="preserve"> </w:t>
      </w:r>
    </w:p>
    <w:bookmarkEnd w:id="459"/>
    <w:p w14:paraId="02B1307B" w14:textId="77777777" w:rsidR="0012517E" w:rsidRPr="00AE3A49" w:rsidRDefault="0012517E" w:rsidP="0012517E">
      <w:pPr>
        <w:spacing w:before="100" w:beforeAutospacing="1" w:after="100" w:afterAutospacing="1" w:line="240" w:lineRule="auto"/>
        <w:rPr>
          <w:rFonts w:ascii="Times New Roman" w:eastAsia="Times New Roman" w:hAnsi="Times New Roman"/>
          <w:b/>
          <w:bCs/>
          <w:sz w:val="24"/>
          <w:szCs w:val="24"/>
        </w:rPr>
      </w:pPr>
      <w:r w:rsidRPr="00AE3A49">
        <w:rPr>
          <w:rFonts w:ascii="Times New Roman" w:eastAsia="Times New Roman" w:hAnsi="Times New Roman"/>
          <w:b/>
          <w:bCs/>
          <w:sz w:val="24"/>
          <w:szCs w:val="24"/>
        </w:rPr>
        <w:t xml:space="preserve">Legal Lessons Learned: Public health and welfare </w:t>
      </w:r>
      <w:proofErr w:type="gramStart"/>
      <w:r w:rsidRPr="00AE3A49">
        <w:rPr>
          <w:rFonts w:ascii="Times New Roman" w:eastAsia="Times New Roman" w:hAnsi="Times New Roman"/>
          <w:b/>
          <w:bCs/>
          <w:sz w:val="24"/>
          <w:szCs w:val="24"/>
        </w:rPr>
        <w:t>prevails</w:t>
      </w:r>
      <w:proofErr w:type="gramEnd"/>
      <w:r w:rsidRPr="00AE3A49">
        <w:rPr>
          <w:rFonts w:ascii="Times New Roman" w:eastAsia="Times New Roman" w:hAnsi="Times New Roman"/>
          <w:b/>
          <w:bCs/>
          <w:sz w:val="24"/>
          <w:szCs w:val="24"/>
        </w:rPr>
        <w:t xml:space="preserve"> over a church’s desire to hold large gatherings.   </w:t>
      </w:r>
    </w:p>
    <w:p w14:paraId="629D9BC0" w14:textId="77777777" w:rsidR="0012517E" w:rsidRPr="00AE3A49" w:rsidRDefault="0012517E" w:rsidP="0012517E">
      <w:pPr>
        <w:pStyle w:val="Heading2"/>
        <w:ind w:left="720"/>
        <w:rPr>
          <w:rFonts w:ascii="Times New Roman" w:hAnsi="Times New Roman"/>
          <w:sz w:val="24"/>
          <w:szCs w:val="24"/>
        </w:rPr>
      </w:pPr>
      <w:r w:rsidRPr="00AE3A49">
        <w:rPr>
          <w:rFonts w:ascii="Times New Roman" w:hAnsi="Times New Roman"/>
          <w:b w:val="0"/>
          <w:bCs w:val="0"/>
          <w:i w:val="0"/>
          <w:iCs w:val="0"/>
          <w:sz w:val="24"/>
          <w:szCs w:val="24"/>
        </w:rPr>
        <w:t xml:space="preserve">Note: See this April 26, </w:t>
      </w:r>
      <w:proofErr w:type="gramStart"/>
      <w:r w:rsidRPr="00AE3A49">
        <w:rPr>
          <w:rFonts w:ascii="Times New Roman" w:hAnsi="Times New Roman"/>
          <w:b w:val="0"/>
          <w:bCs w:val="0"/>
          <w:i w:val="0"/>
          <w:iCs w:val="0"/>
          <w:sz w:val="24"/>
          <w:szCs w:val="24"/>
        </w:rPr>
        <w:t>2020</w:t>
      </w:r>
      <w:proofErr w:type="gramEnd"/>
      <w:r w:rsidRPr="00AE3A49">
        <w:rPr>
          <w:rFonts w:ascii="Times New Roman" w:hAnsi="Times New Roman"/>
          <w:b w:val="0"/>
          <w:bCs w:val="0"/>
          <w:i w:val="0"/>
          <w:iCs w:val="0"/>
          <w:sz w:val="24"/>
          <w:szCs w:val="24"/>
        </w:rPr>
        <w:t xml:space="preserve"> article, “Breaking: Church, Louisville, KY Mayor Reach Agreement in Dispute Over Drive-in Church Services,” </w:t>
      </w:r>
      <w:hyperlink r:id="rId2420" w:history="1">
        <w:r w:rsidRPr="00AE3A49">
          <w:rPr>
            <w:rStyle w:val="Hyperlink"/>
            <w:rFonts w:ascii="Times New Roman" w:hAnsi="Times New Roman"/>
            <w:b w:val="0"/>
            <w:bCs w:val="0"/>
            <w:i w:val="0"/>
            <w:iCs w:val="0"/>
            <w:sz w:val="24"/>
            <w:szCs w:val="24"/>
          </w:rPr>
          <w:t>https://firstliberty.org/media/breaking-church-louisville-ky-mayor-reach-agreement-in-dispute-over-drive-in-church-services/</w:t>
        </w:r>
      </w:hyperlink>
      <w:r w:rsidRPr="00AE3A49">
        <w:rPr>
          <w:rFonts w:ascii="Times New Roman" w:hAnsi="Times New Roman"/>
          <w:sz w:val="24"/>
          <w:szCs w:val="24"/>
        </w:rPr>
        <w:t xml:space="preserve"> </w:t>
      </w:r>
    </w:p>
    <w:bookmarkEnd w:id="461"/>
    <w:p w14:paraId="536CF004" w14:textId="77777777" w:rsidR="0012517E" w:rsidRPr="00AE3A49" w:rsidRDefault="0012517E" w:rsidP="0012517E">
      <w:pPr>
        <w:pStyle w:val="NoSpacing"/>
        <w:rPr>
          <w:rStyle w:val="citation"/>
          <w:rFonts w:ascii="Times New Roman" w:hAnsi="Times New Roman"/>
          <w:b/>
          <w:bCs/>
          <w:sz w:val="24"/>
          <w:szCs w:val="24"/>
        </w:rPr>
      </w:pPr>
    </w:p>
    <w:p w14:paraId="40EFB604" w14:textId="77777777" w:rsidR="0012517E" w:rsidRDefault="0012517E" w:rsidP="002B1283">
      <w:pPr>
        <w:rPr>
          <w:rFonts w:ascii="Arial Black" w:hAnsi="Arial Black"/>
          <w:b/>
          <w:bCs/>
          <w:sz w:val="28"/>
          <w:szCs w:val="28"/>
        </w:rPr>
      </w:pPr>
    </w:p>
    <w:p w14:paraId="0EDEF8B8" w14:textId="1419E841" w:rsidR="0012517E" w:rsidRDefault="0012517E" w:rsidP="002B1283">
      <w:pPr>
        <w:rPr>
          <w:rFonts w:ascii="Arial Black" w:hAnsi="Arial Black"/>
          <w:b/>
          <w:bCs/>
          <w:sz w:val="28"/>
          <w:szCs w:val="28"/>
        </w:rPr>
      </w:pPr>
      <w:r>
        <w:rPr>
          <w:rFonts w:ascii="Arial Black" w:hAnsi="Arial Black"/>
          <w:b/>
          <w:bCs/>
          <w:sz w:val="28"/>
          <w:szCs w:val="28"/>
        </w:rPr>
        <w:t>13-51</w:t>
      </w:r>
    </w:p>
    <w:p w14:paraId="29C69799" w14:textId="77777777" w:rsidR="0012517E" w:rsidRDefault="0012517E" w:rsidP="0012517E">
      <w:pPr>
        <w:pStyle w:val="NoSpacing"/>
        <w:rPr>
          <w:rFonts w:ascii="Arial Black" w:hAnsi="Arial Black"/>
          <w:b/>
          <w:bCs/>
          <w:sz w:val="28"/>
          <w:szCs w:val="28"/>
        </w:rPr>
      </w:pPr>
      <w:bookmarkStart w:id="462" w:name="_Hlk39772248"/>
      <w:r w:rsidRPr="005635B3">
        <w:rPr>
          <w:rFonts w:ascii="Arial Black" w:hAnsi="Arial Black"/>
          <w:bCs/>
          <w:sz w:val="28"/>
          <w:szCs w:val="28"/>
        </w:rPr>
        <w:t xml:space="preserve">NJ: </w:t>
      </w:r>
      <w:r>
        <w:rPr>
          <w:rFonts w:ascii="Arial Black" w:hAnsi="Arial Black"/>
          <w:bCs/>
          <w:sz w:val="28"/>
          <w:szCs w:val="28"/>
        </w:rPr>
        <w:t xml:space="preserve">RETALIATION - EMS SUPERVISOR FIRED – WOULD NOT GIVE FALSE INFO ON EMT SUING HOSP. FOR SEX HAR.  </w:t>
      </w:r>
    </w:p>
    <w:p w14:paraId="42B29921" w14:textId="77777777" w:rsidR="0012517E" w:rsidRDefault="0012517E" w:rsidP="0012517E">
      <w:pPr>
        <w:pStyle w:val="NoSpacing"/>
        <w:rPr>
          <w:rFonts w:ascii="Arial Black" w:hAnsi="Arial Black"/>
          <w:b/>
          <w:bCs/>
          <w:sz w:val="28"/>
          <w:szCs w:val="28"/>
        </w:rPr>
      </w:pPr>
    </w:p>
    <w:p w14:paraId="58A96AF1" w14:textId="04B44F44" w:rsidR="0012517E" w:rsidRPr="00AE3A49" w:rsidRDefault="0012517E" w:rsidP="0012517E">
      <w:pPr>
        <w:pStyle w:val="NoSpacing"/>
        <w:rPr>
          <w:rFonts w:ascii="Times New Roman" w:hAnsi="Times New Roman"/>
          <w:b/>
          <w:bCs/>
          <w:sz w:val="24"/>
          <w:szCs w:val="24"/>
        </w:rPr>
      </w:pPr>
      <w:r w:rsidRPr="00AE3A49">
        <w:rPr>
          <w:rFonts w:ascii="Times New Roman" w:hAnsi="Times New Roman"/>
          <w:bCs/>
          <w:sz w:val="24"/>
          <w:szCs w:val="24"/>
        </w:rPr>
        <w:t xml:space="preserve">On April 14, 2020, in </w:t>
      </w:r>
      <w:r w:rsidRPr="00AE3A49">
        <w:rPr>
          <w:rFonts w:ascii="Times New Roman" w:hAnsi="Times New Roman"/>
          <w:bCs/>
          <w:sz w:val="24"/>
          <w:szCs w:val="24"/>
          <w:u w:val="single"/>
        </w:rPr>
        <w:t>Emiliano Rio v. Meadowlands Hospital Medical Center</w:t>
      </w:r>
      <w:r w:rsidRPr="00AE3A49">
        <w:rPr>
          <w:rFonts w:ascii="Times New Roman" w:hAnsi="Times New Roman"/>
          <w:bCs/>
          <w:sz w:val="24"/>
          <w:szCs w:val="24"/>
        </w:rPr>
        <w:t xml:space="preserve">, the Superior Court of New Jersey, Appellative Division, held (3 to 0) that the trial court judge improperly granted the hospital’s motion for summary judgement;  the EMS Supervisor’s retaliation lawsuit may now proceed to trial.  </w:t>
      </w:r>
    </w:p>
    <w:p w14:paraId="7678853A" w14:textId="77777777" w:rsidR="0012517E" w:rsidRPr="00AE3A49" w:rsidRDefault="0012517E" w:rsidP="0012517E">
      <w:pPr>
        <w:pStyle w:val="NoSpacing"/>
        <w:rPr>
          <w:rFonts w:ascii="Times New Roman" w:hAnsi="Times New Roman"/>
          <w:b/>
          <w:bCs/>
          <w:sz w:val="24"/>
          <w:szCs w:val="24"/>
        </w:rPr>
      </w:pPr>
    </w:p>
    <w:p w14:paraId="089BEE92" w14:textId="77777777" w:rsidR="0012517E" w:rsidRPr="00AE3A49" w:rsidRDefault="0012517E" w:rsidP="0012517E">
      <w:pPr>
        <w:pStyle w:val="NoSpacing"/>
        <w:ind w:left="720"/>
        <w:rPr>
          <w:rFonts w:ascii="Times New Roman" w:hAnsi="Times New Roman"/>
          <w:b/>
          <w:bCs/>
          <w:sz w:val="24"/>
          <w:szCs w:val="24"/>
        </w:rPr>
      </w:pPr>
      <w:r w:rsidRPr="00AE3A49">
        <w:rPr>
          <w:rFonts w:ascii="Times New Roman" w:hAnsi="Times New Roman"/>
          <w:bCs/>
          <w:sz w:val="24"/>
          <w:szCs w:val="24"/>
        </w:rPr>
        <w:t xml:space="preserve">“Based on our review of the record, we are convinced the motion court erred in its determination plaintiff did not present sufficient evidence establishing the good faith and reasonable basis prerequisite for a LAD retaliatory discharge claim established by our Supreme Court in Carmona v. Resorts International Hotel, Inc., 189 N.J. 354, 372 (2007), and we reverse and remand for further proceedings….The facts proffered by plaintiff, which we accept as true for our analysis of the court's disposition of the summary judgment motion, show defendant attempted to retaliate against Bailey for the filing of her LAD complaint. Following the filing of [Ms.] Bailey's [sexual harassment] complaint, defendant requested plaintiff file a baseless complaint for a restraining order against Bailey; conjure up false complaints about Bailey; and make false statements about her. Those requests constitute an attempt by defendant to commit ‘an unlawful employment practice’ in violation of N.J.S.A. 10:5-12(d)—retaliation against Bailey for her filing of a sexual harassment complaint.” </w:t>
      </w:r>
      <w:hyperlink r:id="rId2421" w:history="1">
        <w:r w:rsidRPr="00AE3A49">
          <w:rPr>
            <w:rStyle w:val="Hyperlink"/>
            <w:rFonts w:ascii="Times New Roman" w:hAnsi="Times New Roman"/>
            <w:b/>
            <w:sz w:val="24"/>
            <w:szCs w:val="24"/>
          </w:rPr>
          <w:t>https://njcourts.gov/attorneys/assets/opinions/appellate/published/a3846-18.pdf?c=Npo</w:t>
        </w:r>
      </w:hyperlink>
      <w:r w:rsidRPr="00AE3A49">
        <w:rPr>
          <w:rFonts w:ascii="Times New Roman" w:hAnsi="Times New Roman"/>
          <w:bCs/>
          <w:sz w:val="24"/>
          <w:szCs w:val="24"/>
        </w:rPr>
        <w:t xml:space="preserve"> </w:t>
      </w:r>
    </w:p>
    <w:p w14:paraId="611C0B1D" w14:textId="77777777" w:rsidR="0012517E" w:rsidRPr="00AE3A49" w:rsidRDefault="0012517E" w:rsidP="0012517E">
      <w:pPr>
        <w:pStyle w:val="NoSpacing"/>
        <w:ind w:left="720"/>
        <w:rPr>
          <w:rFonts w:ascii="Times New Roman" w:hAnsi="Times New Roman"/>
          <w:b/>
          <w:bCs/>
          <w:sz w:val="24"/>
          <w:szCs w:val="24"/>
        </w:rPr>
      </w:pPr>
    </w:p>
    <w:bookmarkEnd w:id="462"/>
    <w:p w14:paraId="1057EFD3" w14:textId="77777777" w:rsidR="0012517E" w:rsidRPr="00AE3A49" w:rsidRDefault="0012517E" w:rsidP="0012517E">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Employers sued for sexual harassment must be extremely careful in discussions with employees about their dealings with the plaintiff.   It is often best to leave this to legal counsel. </w:t>
      </w:r>
    </w:p>
    <w:p w14:paraId="18983AEF" w14:textId="77777777" w:rsidR="0012517E" w:rsidRPr="00AE3A49" w:rsidRDefault="0012517E" w:rsidP="0012517E">
      <w:pPr>
        <w:pStyle w:val="NoSpacing"/>
        <w:ind w:left="720"/>
        <w:rPr>
          <w:rFonts w:ascii="Times New Roman" w:hAnsi="Times New Roman"/>
          <w:b/>
          <w:bCs/>
          <w:sz w:val="24"/>
          <w:szCs w:val="24"/>
        </w:rPr>
      </w:pPr>
    </w:p>
    <w:p w14:paraId="43D19246" w14:textId="77777777" w:rsidR="0012517E" w:rsidRDefault="0012517E" w:rsidP="002B1283">
      <w:pPr>
        <w:rPr>
          <w:rFonts w:ascii="Arial Black" w:hAnsi="Arial Black"/>
          <w:b/>
          <w:bCs/>
          <w:sz w:val="28"/>
          <w:szCs w:val="28"/>
        </w:rPr>
      </w:pPr>
    </w:p>
    <w:p w14:paraId="4D6EBAAE" w14:textId="1AF85495" w:rsidR="0012517E" w:rsidRDefault="0012517E" w:rsidP="002B1283">
      <w:pPr>
        <w:rPr>
          <w:rFonts w:ascii="Arial Black" w:hAnsi="Arial Black"/>
          <w:b/>
          <w:bCs/>
          <w:sz w:val="28"/>
          <w:szCs w:val="28"/>
        </w:rPr>
      </w:pPr>
      <w:r>
        <w:rPr>
          <w:rFonts w:ascii="Arial Black" w:hAnsi="Arial Black"/>
          <w:b/>
          <w:bCs/>
          <w:sz w:val="28"/>
          <w:szCs w:val="28"/>
        </w:rPr>
        <w:t>13-50</w:t>
      </w:r>
    </w:p>
    <w:p w14:paraId="41A015E7" w14:textId="77777777" w:rsidR="0012517E" w:rsidRPr="009F24CE" w:rsidRDefault="0012517E" w:rsidP="0012517E">
      <w:pPr>
        <w:pStyle w:val="NoSpacing"/>
        <w:rPr>
          <w:rFonts w:ascii="Arial Black" w:hAnsi="Arial Black"/>
          <w:sz w:val="28"/>
          <w:szCs w:val="28"/>
        </w:rPr>
      </w:pPr>
      <w:bookmarkStart w:id="463" w:name="_Hlk39772341"/>
      <w:r w:rsidRPr="009F24CE">
        <w:rPr>
          <w:rFonts w:ascii="Arial Black" w:hAnsi="Arial Black"/>
          <w:sz w:val="28"/>
          <w:szCs w:val="28"/>
        </w:rPr>
        <w:t xml:space="preserve">PA: </w:t>
      </w:r>
      <w:r>
        <w:rPr>
          <w:rFonts w:ascii="Arial Black" w:hAnsi="Arial Black"/>
          <w:sz w:val="28"/>
          <w:szCs w:val="28"/>
        </w:rPr>
        <w:t xml:space="preserve">CORONA VIRUS – POL. CANDIDATE, </w:t>
      </w:r>
      <w:r w:rsidRPr="009F24CE">
        <w:rPr>
          <w:rFonts w:ascii="Arial Black" w:hAnsi="Arial Black"/>
          <w:sz w:val="28"/>
          <w:szCs w:val="28"/>
        </w:rPr>
        <w:t>REAL ESTATE</w:t>
      </w:r>
      <w:r>
        <w:rPr>
          <w:rFonts w:ascii="Arial Black" w:hAnsi="Arial Black"/>
          <w:sz w:val="28"/>
          <w:szCs w:val="28"/>
        </w:rPr>
        <w:t xml:space="preserve"> AGENT</w:t>
      </w:r>
      <w:r w:rsidRPr="009F24CE">
        <w:rPr>
          <w:rFonts w:ascii="Arial Black" w:hAnsi="Arial Black"/>
          <w:sz w:val="28"/>
          <w:szCs w:val="28"/>
        </w:rPr>
        <w:t>, GOLF COURSE</w:t>
      </w:r>
      <w:r>
        <w:rPr>
          <w:rFonts w:ascii="Arial Black" w:hAnsi="Arial Black"/>
          <w:sz w:val="28"/>
          <w:szCs w:val="28"/>
        </w:rPr>
        <w:t xml:space="preserve"> SHUT DOWN - TRO DENIED</w:t>
      </w:r>
    </w:p>
    <w:p w14:paraId="35751ADB" w14:textId="77777777" w:rsidR="0012517E" w:rsidRDefault="0012517E" w:rsidP="0012517E">
      <w:pPr>
        <w:pStyle w:val="NoSpacing"/>
        <w:rPr>
          <w:b/>
          <w:bCs/>
          <w:sz w:val="24"/>
          <w:szCs w:val="24"/>
        </w:rPr>
      </w:pPr>
    </w:p>
    <w:p w14:paraId="68941886" w14:textId="77777777" w:rsidR="0012517E" w:rsidRPr="00AE3A49" w:rsidRDefault="0012517E" w:rsidP="0012517E">
      <w:pPr>
        <w:pStyle w:val="NoSpacing"/>
        <w:rPr>
          <w:rFonts w:ascii="Times New Roman" w:hAnsi="Times New Roman"/>
          <w:b/>
          <w:bCs/>
          <w:sz w:val="24"/>
          <w:szCs w:val="24"/>
        </w:rPr>
      </w:pPr>
      <w:r w:rsidRPr="00AE3A49">
        <w:rPr>
          <w:rFonts w:ascii="Times New Roman" w:hAnsi="Times New Roman"/>
          <w:bCs/>
          <w:sz w:val="24"/>
          <w:szCs w:val="24"/>
        </w:rPr>
        <w:t xml:space="preserve">On April 13, 2020, in </w:t>
      </w:r>
      <w:r w:rsidRPr="00AE3A49">
        <w:rPr>
          <w:rFonts w:ascii="Times New Roman" w:hAnsi="Times New Roman"/>
          <w:bCs/>
          <w:sz w:val="24"/>
          <w:szCs w:val="24"/>
          <w:u w:val="single"/>
        </w:rPr>
        <w:t>Friends of Danny Devito, et al. v. Tom Wolf, Governor</w:t>
      </w:r>
      <w:r w:rsidRPr="00AE3A49">
        <w:rPr>
          <w:rFonts w:ascii="Times New Roman" w:hAnsi="Times New Roman"/>
          <w:bCs/>
          <w:sz w:val="24"/>
          <w:szCs w:val="24"/>
        </w:rPr>
        <w:t xml:space="preserve">, Supreme Court of Pennsylvania, Middle District, the Court held (4 to 3), that Governor lawfully declared an Emergency, and he could shut down their businesses: Candidate for PA House of Representatives; real estate agent; public golf course and restaurant. </w:t>
      </w:r>
    </w:p>
    <w:p w14:paraId="147DCC23" w14:textId="77777777" w:rsidR="0012517E" w:rsidRPr="00AE3A49" w:rsidRDefault="0012517E" w:rsidP="0012517E">
      <w:pPr>
        <w:pStyle w:val="NoSpacing"/>
        <w:rPr>
          <w:rFonts w:ascii="Times New Roman" w:hAnsi="Times New Roman"/>
          <w:b/>
          <w:bCs/>
          <w:sz w:val="24"/>
          <w:szCs w:val="24"/>
        </w:rPr>
      </w:pPr>
    </w:p>
    <w:p w14:paraId="44BB216A" w14:textId="14519AEE" w:rsidR="0012517E" w:rsidRDefault="0012517E" w:rsidP="0012517E">
      <w:pPr>
        <w:pStyle w:val="NoSpacing"/>
        <w:ind w:left="720"/>
        <w:rPr>
          <w:rFonts w:ascii="Times New Roman" w:hAnsi="Times New Roman"/>
          <w:bCs/>
          <w:sz w:val="24"/>
          <w:szCs w:val="24"/>
        </w:rPr>
      </w:pPr>
      <w:r w:rsidRPr="00AE3A49">
        <w:rPr>
          <w:rFonts w:ascii="Times New Roman" w:hAnsi="Times New Roman"/>
          <w:bCs/>
          <w:sz w:val="24"/>
          <w:szCs w:val="24"/>
        </w:rPr>
        <w:t xml:space="preserve">“Petitioners are four Pennsylvania businesses and one individual seeking extraordinary relief from Governor Wolf’s March 19, </w:t>
      </w:r>
      <w:proofErr w:type="gramStart"/>
      <w:r w:rsidRPr="00AE3A49">
        <w:rPr>
          <w:rFonts w:ascii="Times New Roman" w:hAnsi="Times New Roman"/>
          <w:bCs/>
          <w:sz w:val="24"/>
          <w:szCs w:val="24"/>
        </w:rPr>
        <w:t>2020</w:t>
      </w:r>
      <w:proofErr w:type="gramEnd"/>
      <w:r w:rsidRPr="00AE3A49">
        <w:rPr>
          <w:rFonts w:ascii="Times New Roman" w:hAnsi="Times New Roman"/>
          <w:bCs/>
          <w:sz w:val="24"/>
          <w:szCs w:val="24"/>
        </w:rPr>
        <w:t xml:space="preserve"> order (the ‘Executive Order’) compelling the closure of the physical operations of all non-life-sustaining business to reduce the spread of the novel coronavirus disease (‘COVID-19’).The businesses of the Petitioners were classified as non-life-sustaining…. Petitioners suggest that the public </w:t>
      </w:r>
    </w:p>
    <w:p w14:paraId="59FDA9FC" w14:textId="77777777" w:rsidR="0012517E" w:rsidRPr="00AE3A49" w:rsidRDefault="0012517E" w:rsidP="0012517E">
      <w:pPr>
        <w:pStyle w:val="NoSpacing"/>
        <w:ind w:left="720"/>
        <w:rPr>
          <w:rFonts w:ascii="Times New Roman" w:hAnsi="Times New Roman"/>
          <w:b/>
          <w:bCs/>
          <w:sz w:val="24"/>
          <w:szCs w:val="24"/>
        </w:rPr>
      </w:pPr>
      <w:r w:rsidRPr="00AE3A49">
        <w:rPr>
          <w:rFonts w:ascii="Times New Roman" w:hAnsi="Times New Roman"/>
          <w:bCs/>
          <w:sz w:val="24"/>
          <w:szCs w:val="24"/>
        </w:rPr>
        <w:t xml:space="preserve">interest would best be served by keeping businesses open to maintain the free flow of business. Although they cite to none, we are certain that there are some economists and social scientists who support that policy position. But the policy choice in this emergency was for the Governor and the Secretary to make and so long as the means chosen to meet the emergency are reasonably necessary for the purpose of combating the ravages of COVID-19, it is supported by the police power. The choice made by the Respondents was tailored to the nature of the emergency and utilized a recognized tool, business closures, to enforce social distancing to mitigate and suppress the continued spread of COVID-19. </w:t>
      </w:r>
      <w:hyperlink r:id="rId2422" w:history="1">
        <w:r w:rsidRPr="00AE3A49">
          <w:rPr>
            <w:rStyle w:val="Hyperlink"/>
            <w:rFonts w:ascii="Times New Roman" w:hAnsi="Times New Roman"/>
            <w:b/>
            <w:sz w:val="24"/>
            <w:szCs w:val="24"/>
          </w:rPr>
          <w:t>http://www.pacourts.us/assets/opinions/Supreme/out/68MM2020mo%20-%2010439399799476700.pdf?cb=1</w:t>
        </w:r>
      </w:hyperlink>
      <w:r w:rsidRPr="00AE3A49">
        <w:rPr>
          <w:rFonts w:ascii="Times New Roman" w:hAnsi="Times New Roman"/>
          <w:bCs/>
          <w:sz w:val="24"/>
          <w:szCs w:val="24"/>
        </w:rPr>
        <w:t xml:space="preserve"> </w:t>
      </w:r>
    </w:p>
    <w:bookmarkEnd w:id="463"/>
    <w:p w14:paraId="736F1783" w14:textId="77777777" w:rsidR="0012517E" w:rsidRPr="00AE3A49" w:rsidRDefault="0012517E" w:rsidP="0012517E">
      <w:pPr>
        <w:pStyle w:val="Heading1"/>
        <w:rPr>
          <w:bCs w:val="0"/>
          <w:sz w:val="24"/>
          <w:szCs w:val="24"/>
        </w:rPr>
      </w:pPr>
      <w:r w:rsidRPr="00AE3A49">
        <w:rPr>
          <w:bCs w:val="0"/>
          <w:sz w:val="24"/>
          <w:szCs w:val="24"/>
        </w:rPr>
        <w:t xml:space="preserve">Legal Lessons Learned:  Governor has broad emergency powers under State statutes. </w:t>
      </w:r>
    </w:p>
    <w:p w14:paraId="07E5FD2C" w14:textId="77777777" w:rsidR="0012517E" w:rsidRPr="00AE3A49" w:rsidRDefault="0012517E" w:rsidP="0012517E">
      <w:pPr>
        <w:pStyle w:val="Heading1"/>
        <w:ind w:left="720"/>
        <w:rPr>
          <w:b w:val="0"/>
          <w:bCs w:val="0"/>
          <w:sz w:val="24"/>
          <w:szCs w:val="24"/>
        </w:rPr>
      </w:pPr>
      <w:r w:rsidRPr="00AE3A49">
        <w:rPr>
          <w:b w:val="0"/>
          <w:sz w:val="24"/>
          <w:szCs w:val="24"/>
        </w:rPr>
        <w:t xml:space="preserve">Note: See newspaper article on the decision: “Split Pa. Supreme Court rejects latest challenge to Gov. Wolf’s coronavirus business shutdown order,” </w:t>
      </w:r>
      <w:hyperlink r:id="rId2423" w:history="1">
        <w:r w:rsidRPr="00AE3A49">
          <w:rPr>
            <w:rStyle w:val="Hyperlink"/>
            <w:sz w:val="24"/>
            <w:szCs w:val="24"/>
          </w:rPr>
          <w:t>https://www.pennlive.com/news/2020/04/split-pa-supreme-court-rejects-latest-challenge-to-gov-wolfs-coronavirus-business-shutdown-order.html</w:t>
        </w:r>
      </w:hyperlink>
      <w:r w:rsidRPr="00AE3A49">
        <w:rPr>
          <w:b w:val="0"/>
          <w:bCs w:val="0"/>
          <w:sz w:val="24"/>
          <w:szCs w:val="24"/>
        </w:rPr>
        <w:t xml:space="preserve"> </w:t>
      </w:r>
    </w:p>
    <w:p w14:paraId="12C7EEB2" w14:textId="77777777" w:rsidR="0012517E" w:rsidRDefault="0012517E" w:rsidP="002B1283">
      <w:pPr>
        <w:rPr>
          <w:rFonts w:ascii="Arial Black" w:hAnsi="Arial Black"/>
          <w:b/>
          <w:bCs/>
          <w:sz w:val="28"/>
          <w:szCs w:val="28"/>
        </w:rPr>
      </w:pPr>
    </w:p>
    <w:p w14:paraId="3BF8FAE3" w14:textId="2BFC8D5D" w:rsidR="0012517E" w:rsidRDefault="0012517E" w:rsidP="002B1283">
      <w:pPr>
        <w:rPr>
          <w:rFonts w:ascii="Arial Black" w:hAnsi="Arial Black"/>
          <w:b/>
          <w:bCs/>
          <w:sz w:val="28"/>
          <w:szCs w:val="28"/>
        </w:rPr>
      </w:pPr>
      <w:r>
        <w:rPr>
          <w:rFonts w:ascii="Arial Black" w:hAnsi="Arial Black"/>
          <w:b/>
          <w:bCs/>
          <w:sz w:val="28"/>
          <w:szCs w:val="28"/>
        </w:rPr>
        <w:t>13-49</w:t>
      </w:r>
    </w:p>
    <w:p w14:paraId="14C2C218" w14:textId="77777777" w:rsidR="0012517E" w:rsidRPr="009F24CE" w:rsidRDefault="0012517E" w:rsidP="0012517E">
      <w:pPr>
        <w:pStyle w:val="NoSpacing"/>
        <w:rPr>
          <w:rFonts w:ascii="Arial Black" w:hAnsi="Arial Black"/>
          <w:b/>
          <w:bCs/>
          <w:sz w:val="28"/>
          <w:szCs w:val="28"/>
        </w:rPr>
      </w:pPr>
      <w:bookmarkStart w:id="464" w:name="_Hlk38437864"/>
      <w:bookmarkStart w:id="465" w:name="_Hlk39772406"/>
      <w:r w:rsidRPr="009F24CE">
        <w:rPr>
          <w:rFonts w:ascii="Arial Black" w:hAnsi="Arial Black"/>
          <w:bCs/>
          <w:sz w:val="28"/>
          <w:szCs w:val="28"/>
        </w:rPr>
        <w:t xml:space="preserve">KS: </w:t>
      </w:r>
      <w:r>
        <w:rPr>
          <w:rFonts w:ascii="Arial Black" w:hAnsi="Arial Black"/>
          <w:bCs/>
          <w:sz w:val="28"/>
          <w:szCs w:val="28"/>
        </w:rPr>
        <w:t xml:space="preserve">CORONA VIRUS – STATE LEGISLATIVE COMMITTEE CAN’T OVERRULE GOVERNOR’S LIMITS 10 PEOPLE </w:t>
      </w:r>
    </w:p>
    <w:p w14:paraId="0E9CCFDD" w14:textId="77777777" w:rsidR="0012517E" w:rsidRDefault="0012517E" w:rsidP="0012517E">
      <w:pPr>
        <w:pStyle w:val="NoSpacing"/>
        <w:ind w:left="720"/>
        <w:rPr>
          <w:b/>
          <w:bCs/>
          <w:sz w:val="24"/>
          <w:szCs w:val="24"/>
        </w:rPr>
      </w:pPr>
    </w:p>
    <w:p w14:paraId="30DF0D27" w14:textId="77777777"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11, 2020, in </w:t>
      </w:r>
      <w:r w:rsidRPr="00D61723">
        <w:rPr>
          <w:rFonts w:ascii="Times New Roman" w:hAnsi="Times New Roman"/>
          <w:bCs/>
          <w:sz w:val="24"/>
          <w:szCs w:val="24"/>
          <w:u w:val="single"/>
        </w:rPr>
        <w:t>Governor Laura Kelly v. Legislative Coordinating Council, Kansas House of Representatives, and Kansas Senate</w:t>
      </w:r>
      <w:r w:rsidRPr="00D61723">
        <w:rPr>
          <w:rFonts w:ascii="Times New Roman" w:hAnsi="Times New Roman"/>
          <w:bCs/>
          <w:sz w:val="24"/>
          <w:szCs w:val="24"/>
        </w:rPr>
        <w:t>, the Kansas Supreme Court held (7 to 0) that the Legislative Council cannot revoke an Executive Order of the Governor.  On April 8, the LCC convened pursuant to HCR5025. By 5-to-2vote, it revoked Executive Order 20-18.</w:t>
      </w:r>
    </w:p>
    <w:bookmarkEnd w:id="464"/>
    <w:p w14:paraId="78087006" w14:textId="77777777" w:rsidR="0012517E" w:rsidRPr="00D61723" w:rsidRDefault="0012517E" w:rsidP="0012517E">
      <w:pPr>
        <w:pStyle w:val="NoSpacing"/>
        <w:ind w:left="720"/>
        <w:rPr>
          <w:rFonts w:ascii="Times New Roman" w:hAnsi="Times New Roman"/>
          <w:b/>
          <w:bCs/>
          <w:sz w:val="24"/>
          <w:szCs w:val="24"/>
        </w:rPr>
      </w:pPr>
    </w:p>
    <w:p w14:paraId="76BE94BB" w14:textId="77777777" w:rsidR="0012517E" w:rsidRPr="00D61723" w:rsidRDefault="0012517E" w:rsidP="0012517E">
      <w:pPr>
        <w:pStyle w:val="NoSpacing"/>
        <w:ind w:left="720"/>
        <w:rPr>
          <w:rFonts w:ascii="Times New Roman" w:hAnsi="Times New Roman"/>
          <w:b/>
          <w:bCs/>
          <w:sz w:val="24"/>
          <w:szCs w:val="24"/>
        </w:rPr>
      </w:pPr>
      <w:r w:rsidRPr="00D61723">
        <w:rPr>
          <w:rFonts w:ascii="Times New Roman" w:hAnsi="Times New Roman"/>
          <w:bCs/>
          <w:sz w:val="24"/>
          <w:szCs w:val="24"/>
        </w:rPr>
        <w:t>“On April 7, Governor Kelly used her K.S.A. 2019 Supp. 48-925(b) powers to issue Executive Order 20-18, relating to her March 12 emergency proclamation. Among other things, it temporarily prohibited, subject to several exemptions, ‘mass gatherings,’ defined as ‘any planned or spontaneous, public or private event[s] or convening[s] that will bring together or [are] likely to bring together more than 10 people in a confined or enclosed space at the same time.’ Executive Order 20-18 rescinded and replaced an earlier, substantially similar executive order. But Executive Order 20-18 differed in that it removed ‘[r]</w:t>
      </w:r>
      <w:proofErr w:type="spellStart"/>
      <w:r w:rsidRPr="00D61723">
        <w:rPr>
          <w:rFonts w:ascii="Times New Roman" w:hAnsi="Times New Roman"/>
          <w:bCs/>
          <w:sz w:val="24"/>
          <w:szCs w:val="24"/>
        </w:rPr>
        <w:t>eligious</w:t>
      </w:r>
      <w:proofErr w:type="spellEnd"/>
      <w:r w:rsidRPr="00D61723">
        <w:rPr>
          <w:rFonts w:ascii="Times New Roman" w:hAnsi="Times New Roman"/>
          <w:bCs/>
          <w:sz w:val="24"/>
          <w:szCs w:val="24"/>
        </w:rPr>
        <w:t xml:space="preserve"> gatherings’ and ‘[f]unreal or memorial services or ceremonies’ from the list of ‘activities or facilities’ exempt from the temporary prohibition of mass gatherings…. The Court has considered and grants in part the Governor's Petition in Quo Warranto. The LCC's purported revocation of Executive Order20-18 on April 8 was a nullity, because the LCC lacked authority do so under HCR5025's terms.” </w:t>
      </w:r>
      <w:bookmarkStart w:id="466" w:name="_Hlk38437889"/>
      <w:r w:rsidRPr="00D61723">
        <w:fldChar w:fldCharType="begin"/>
      </w:r>
      <w:r w:rsidRPr="00D61723">
        <w:rPr>
          <w:rFonts w:ascii="Times New Roman" w:hAnsi="Times New Roman"/>
          <w:sz w:val="24"/>
          <w:szCs w:val="24"/>
        </w:rPr>
        <w:instrText xml:space="preserve"> HYPERLINK "https://www.kscourts.org/KSCourts/media/KsCourts/Opinions/122765.pdf" </w:instrText>
      </w:r>
      <w:r w:rsidRPr="00D61723">
        <w:fldChar w:fldCharType="separate"/>
      </w:r>
      <w:r w:rsidRPr="00D61723">
        <w:rPr>
          <w:rStyle w:val="Hyperlink"/>
          <w:rFonts w:ascii="Times New Roman" w:hAnsi="Times New Roman"/>
          <w:b/>
          <w:sz w:val="24"/>
          <w:szCs w:val="24"/>
        </w:rPr>
        <w:t>https://www.kscourts.org/KSCourts/media/KsCourts/Opinions/122765.pdf</w:t>
      </w:r>
      <w:r w:rsidRPr="00D61723">
        <w:rPr>
          <w:rStyle w:val="Hyperlink"/>
          <w:rFonts w:ascii="Times New Roman" w:hAnsi="Times New Roman"/>
          <w:b/>
          <w:bCs/>
          <w:sz w:val="24"/>
          <w:szCs w:val="24"/>
        </w:rPr>
        <w:fldChar w:fldCharType="end"/>
      </w:r>
      <w:r w:rsidRPr="00D61723">
        <w:rPr>
          <w:rFonts w:ascii="Times New Roman" w:hAnsi="Times New Roman"/>
          <w:bCs/>
          <w:sz w:val="24"/>
          <w:szCs w:val="24"/>
        </w:rPr>
        <w:t xml:space="preserve"> </w:t>
      </w:r>
    </w:p>
    <w:bookmarkEnd w:id="465"/>
    <w:bookmarkEnd w:id="466"/>
    <w:p w14:paraId="085CC232" w14:textId="77777777" w:rsidR="0012517E" w:rsidRPr="00D61723" w:rsidRDefault="0012517E" w:rsidP="0012517E">
      <w:pPr>
        <w:spacing w:before="100" w:beforeAutospacing="1" w:after="100" w:afterAutospacing="1" w:line="240" w:lineRule="auto"/>
        <w:rPr>
          <w:rFonts w:ascii="Times New Roman" w:hAnsi="Times New Roman"/>
          <w:b/>
          <w:bCs/>
          <w:sz w:val="24"/>
          <w:szCs w:val="24"/>
        </w:rPr>
      </w:pPr>
      <w:r w:rsidRPr="00D61723">
        <w:rPr>
          <w:rFonts w:ascii="Times New Roman" w:hAnsi="Times New Roman"/>
          <w:b/>
          <w:bCs/>
          <w:sz w:val="24"/>
          <w:szCs w:val="24"/>
        </w:rPr>
        <w:t xml:space="preserve">Legal Lessons Learned:  A Legislative Committee does not have power to overturn Governor. </w:t>
      </w:r>
    </w:p>
    <w:p w14:paraId="6992C02B" w14:textId="77777777" w:rsidR="0012517E" w:rsidRPr="00D61723" w:rsidRDefault="0012517E" w:rsidP="0012517E">
      <w:pPr>
        <w:spacing w:before="100" w:beforeAutospacing="1" w:after="100" w:afterAutospacing="1" w:line="240" w:lineRule="auto"/>
        <w:ind w:left="720"/>
        <w:rPr>
          <w:rFonts w:ascii="Times New Roman" w:eastAsia="Times New Roman" w:hAnsi="Times New Roman"/>
          <w:sz w:val="24"/>
          <w:szCs w:val="24"/>
        </w:rPr>
      </w:pPr>
      <w:r w:rsidRPr="00D61723">
        <w:rPr>
          <w:rFonts w:ascii="Times New Roman" w:hAnsi="Times New Roman"/>
          <w:sz w:val="24"/>
          <w:szCs w:val="24"/>
        </w:rPr>
        <w:t>Note:</w:t>
      </w:r>
      <w:r w:rsidRPr="00D61723">
        <w:rPr>
          <w:rFonts w:ascii="Times New Roman" w:hAnsi="Times New Roman"/>
          <w:b/>
          <w:bCs/>
          <w:sz w:val="24"/>
          <w:szCs w:val="24"/>
        </w:rPr>
        <w:t xml:space="preserve"> </w:t>
      </w:r>
      <w:r w:rsidRPr="00D61723">
        <w:rPr>
          <w:rFonts w:ascii="Times New Roman" w:hAnsi="Times New Roman"/>
          <w:sz w:val="24"/>
          <w:szCs w:val="24"/>
        </w:rPr>
        <w:t xml:space="preserve">See the April 12, </w:t>
      </w:r>
      <w:proofErr w:type="gramStart"/>
      <w:r w:rsidRPr="00D61723">
        <w:rPr>
          <w:rFonts w:ascii="Times New Roman" w:hAnsi="Times New Roman"/>
          <w:sz w:val="24"/>
          <w:szCs w:val="24"/>
        </w:rPr>
        <w:t>2020</w:t>
      </w:r>
      <w:proofErr w:type="gramEnd"/>
      <w:r w:rsidRPr="00D61723">
        <w:rPr>
          <w:rFonts w:ascii="Times New Roman" w:hAnsi="Times New Roman"/>
          <w:sz w:val="24"/>
          <w:szCs w:val="24"/>
        </w:rPr>
        <w:t xml:space="preserve"> article about this decision:</w:t>
      </w:r>
      <w:r w:rsidRPr="00D61723">
        <w:rPr>
          <w:rFonts w:ascii="Times New Roman" w:hAnsi="Times New Roman"/>
          <w:b/>
          <w:bCs/>
          <w:sz w:val="24"/>
          <w:szCs w:val="24"/>
        </w:rPr>
        <w:t xml:space="preserve"> “</w:t>
      </w:r>
      <w:r w:rsidRPr="00D61723">
        <w:rPr>
          <w:rFonts w:ascii="Times New Roman" w:eastAsia="Times New Roman" w:hAnsi="Times New Roman"/>
          <w:kern w:val="36"/>
          <w:sz w:val="24"/>
          <w:szCs w:val="24"/>
        </w:rPr>
        <w:t xml:space="preserve">Kansas Supreme Court Upholds Governor's Order Limiting </w:t>
      </w:r>
      <w:proofErr w:type="gramStart"/>
      <w:r w:rsidRPr="00D61723">
        <w:rPr>
          <w:rFonts w:ascii="Times New Roman" w:eastAsia="Times New Roman" w:hAnsi="Times New Roman"/>
          <w:kern w:val="36"/>
          <w:sz w:val="24"/>
          <w:szCs w:val="24"/>
        </w:rPr>
        <w:t>The</w:t>
      </w:r>
      <w:proofErr w:type="gramEnd"/>
      <w:r w:rsidRPr="00D61723">
        <w:rPr>
          <w:rFonts w:ascii="Times New Roman" w:eastAsia="Times New Roman" w:hAnsi="Times New Roman"/>
          <w:kern w:val="36"/>
          <w:sz w:val="24"/>
          <w:szCs w:val="24"/>
        </w:rPr>
        <w:t xml:space="preserve"> Size </w:t>
      </w:r>
      <w:proofErr w:type="gramStart"/>
      <w:r w:rsidRPr="00D61723">
        <w:rPr>
          <w:rFonts w:ascii="Times New Roman" w:eastAsia="Times New Roman" w:hAnsi="Times New Roman"/>
          <w:kern w:val="36"/>
          <w:sz w:val="24"/>
          <w:szCs w:val="24"/>
        </w:rPr>
        <w:t>Of</w:t>
      </w:r>
      <w:proofErr w:type="gramEnd"/>
      <w:r w:rsidRPr="00D61723">
        <w:rPr>
          <w:rFonts w:ascii="Times New Roman" w:eastAsia="Times New Roman" w:hAnsi="Times New Roman"/>
          <w:kern w:val="36"/>
          <w:sz w:val="24"/>
          <w:szCs w:val="24"/>
        </w:rPr>
        <w:t xml:space="preserve"> Easter Services,”  </w:t>
      </w:r>
      <w:hyperlink r:id="rId2424" w:history="1">
        <w:r w:rsidRPr="00D61723">
          <w:rPr>
            <w:rStyle w:val="Hyperlink"/>
            <w:rFonts w:ascii="Times New Roman" w:hAnsi="Times New Roman"/>
            <w:sz w:val="24"/>
            <w:szCs w:val="24"/>
          </w:rPr>
          <w:t>https://www.npr.org/sections/coronavirus-live-updates/2020/04/12/832644243/kansas-supreme-court-upholds-governors-order-limiting-the-size-of-easter-service</w:t>
        </w:r>
      </w:hyperlink>
      <w:r w:rsidRPr="00D61723">
        <w:rPr>
          <w:rFonts w:ascii="Times New Roman" w:eastAsia="Times New Roman" w:hAnsi="Times New Roman"/>
          <w:sz w:val="24"/>
          <w:szCs w:val="24"/>
        </w:rPr>
        <w:t xml:space="preserve"> </w:t>
      </w:r>
    </w:p>
    <w:p w14:paraId="6A51E4A8" w14:textId="77777777" w:rsidR="0012517E" w:rsidRDefault="0012517E" w:rsidP="002B1283">
      <w:pPr>
        <w:rPr>
          <w:rFonts w:ascii="Arial Black" w:hAnsi="Arial Black"/>
          <w:b/>
          <w:bCs/>
          <w:sz w:val="28"/>
          <w:szCs w:val="28"/>
        </w:rPr>
      </w:pPr>
    </w:p>
    <w:p w14:paraId="02BAA80F" w14:textId="30E285CA" w:rsidR="0012517E" w:rsidRDefault="0012517E" w:rsidP="002B1283">
      <w:pPr>
        <w:rPr>
          <w:rFonts w:ascii="Arial Black" w:hAnsi="Arial Black"/>
          <w:b/>
          <w:bCs/>
          <w:sz w:val="28"/>
          <w:szCs w:val="28"/>
        </w:rPr>
      </w:pPr>
      <w:r>
        <w:rPr>
          <w:rFonts w:ascii="Arial Black" w:hAnsi="Arial Black"/>
          <w:b/>
          <w:bCs/>
          <w:sz w:val="28"/>
          <w:szCs w:val="28"/>
        </w:rPr>
        <w:t>13-48</w:t>
      </w:r>
    </w:p>
    <w:p w14:paraId="4E9F5E3B" w14:textId="77777777" w:rsidR="0012517E" w:rsidRDefault="0012517E" w:rsidP="0012517E">
      <w:pPr>
        <w:pStyle w:val="NoSpacing"/>
      </w:pPr>
      <w:bookmarkStart w:id="467" w:name="_Hlk39819679"/>
      <w:r>
        <w:rPr>
          <w:rFonts w:ascii="Arial Black" w:hAnsi="Arial Black"/>
          <w:sz w:val="28"/>
          <w:szCs w:val="28"/>
        </w:rPr>
        <w:t>TX: EMS CHECKED OUT OVERDOSE PATIENT AT SCENE – HIT HIS HEAD 40+ POLICE CRUISER GOING JAIL – DIED - EMS IMMUNITY, NOT PD</w:t>
      </w:r>
    </w:p>
    <w:p w14:paraId="52EED673" w14:textId="77777777" w:rsidR="0012517E" w:rsidRDefault="0012517E" w:rsidP="0012517E">
      <w:pPr>
        <w:pStyle w:val="NoSpacing"/>
        <w:rPr>
          <w:b/>
          <w:bCs/>
          <w:sz w:val="24"/>
          <w:szCs w:val="24"/>
        </w:rPr>
      </w:pPr>
    </w:p>
    <w:p w14:paraId="2FA5CB87" w14:textId="740F405A"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9, 2020, in </w:t>
      </w:r>
      <w:r w:rsidRPr="00D61723">
        <w:rPr>
          <w:rFonts w:ascii="Times New Roman" w:hAnsi="Times New Roman"/>
          <w:bCs/>
          <w:sz w:val="24"/>
          <w:szCs w:val="24"/>
          <w:u w:val="single"/>
        </w:rPr>
        <w:t>Kathy Dyer &amp; Robert Dyer  v. Richard Houston, et al.</w:t>
      </w:r>
      <w:r w:rsidRPr="00D61723">
        <w:rPr>
          <w:rFonts w:ascii="Times New Roman" w:hAnsi="Times New Roman"/>
          <w:bCs/>
          <w:sz w:val="24"/>
          <w:szCs w:val="24"/>
        </w:rPr>
        <w:t>, the U.S. Court of Appeals for the 5</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Circuit (New Orleans), held (3 to 0) that the U.S. District Court judge properly granted the paramedics’ motion to dismiss on the basis of qualified immunity; there was no proof of “deliberate indifference.”  Court, however, reinstated the lawsuit against the police officers since patient hit his head over 40 times in </w:t>
      </w:r>
      <w:r w:rsidR="0013686B">
        <w:rPr>
          <w:rFonts w:ascii="Times New Roman" w:hAnsi="Times New Roman"/>
          <w:bCs/>
          <w:sz w:val="24"/>
          <w:szCs w:val="24"/>
        </w:rPr>
        <w:t xml:space="preserve">the </w:t>
      </w:r>
      <w:r w:rsidRPr="00D61723">
        <w:rPr>
          <w:rFonts w:ascii="Times New Roman" w:hAnsi="Times New Roman"/>
          <w:bCs/>
          <w:sz w:val="24"/>
          <w:szCs w:val="24"/>
        </w:rPr>
        <w:t>back</w:t>
      </w:r>
      <w:r w:rsidR="0013686B">
        <w:rPr>
          <w:rFonts w:ascii="Times New Roman" w:hAnsi="Times New Roman"/>
          <w:bCs/>
          <w:sz w:val="24"/>
          <w:szCs w:val="24"/>
        </w:rPr>
        <w:t xml:space="preserve"> seat</w:t>
      </w:r>
      <w:r w:rsidRPr="00D61723">
        <w:rPr>
          <w:rFonts w:ascii="Times New Roman" w:hAnsi="Times New Roman"/>
          <w:bCs/>
          <w:sz w:val="24"/>
          <w:szCs w:val="24"/>
        </w:rPr>
        <w:t xml:space="preserve"> of </w:t>
      </w:r>
      <w:r w:rsidR="0013686B">
        <w:rPr>
          <w:rFonts w:ascii="Times New Roman" w:hAnsi="Times New Roman"/>
          <w:bCs/>
          <w:sz w:val="24"/>
          <w:szCs w:val="24"/>
        </w:rPr>
        <w:t xml:space="preserve">a </w:t>
      </w:r>
      <w:r w:rsidRPr="00D61723">
        <w:rPr>
          <w:rFonts w:ascii="Times New Roman" w:hAnsi="Times New Roman"/>
          <w:bCs/>
          <w:sz w:val="24"/>
          <w:szCs w:val="24"/>
        </w:rPr>
        <w:t xml:space="preserve">police cruiser. </w:t>
      </w:r>
    </w:p>
    <w:p w14:paraId="067DB40B" w14:textId="77777777" w:rsidR="0012517E" w:rsidRPr="00D61723" w:rsidRDefault="0012517E" w:rsidP="0012517E">
      <w:pPr>
        <w:pStyle w:val="NoSpacing"/>
        <w:rPr>
          <w:rFonts w:ascii="Times New Roman" w:hAnsi="Times New Roman"/>
          <w:b/>
          <w:bCs/>
          <w:sz w:val="24"/>
          <w:szCs w:val="24"/>
        </w:rPr>
      </w:pPr>
    </w:p>
    <w:p w14:paraId="7D336CD9" w14:textId="1F70ADBD" w:rsidR="0012517E" w:rsidRDefault="0012517E" w:rsidP="0012517E">
      <w:pPr>
        <w:ind w:left="720"/>
        <w:rPr>
          <w:rFonts w:ascii="Arial Black" w:hAnsi="Arial Black"/>
          <w:b/>
          <w:bCs/>
          <w:sz w:val="28"/>
          <w:szCs w:val="28"/>
        </w:rPr>
      </w:pPr>
      <w:r w:rsidRPr="00D61723">
        <w:rPr>
          <w:rFonts w:ascii="Times New Roman" w:hAnsi="Times New Roman"/>
          <w:bCs/>
          <w:sz w:val="24"/>
          <w:szCs w:val="24"/>
        </w:rPr>
        <w:t>“We agree with the district court that the Dyers’ complaint fails to allege facts that plausibly show the Paramedics’ deliberate indifference. The thrust of the complaint is that, after examining Graham [Dyer] and observing his head injury and drug-induced behavior, the Paramedics should have provided additional care—such as sending Graham to the hospital, accompanying him to jail, providing ‘further assessment or monitoring,’ or sedating him. At most, these are allegations that the Paramedics acted with negligence in not taking further steps to treat Graham after examining him. Our cases have consistently recognized, however, that ‘deliberate indifference cannot be inferred merely from a negligent or even a grossly negligent response to a substantial risk of serious harm.’”</w:t>
      </w:r>
      <w:r w:rsidRPr="00D61723">
        <w:rPr>
          <w:rFonts w:ascii="Times New Roman" w:hAnsi="Times New Roman"/>
          <w:sz w:val="24"/>
          <w:szCs w:val="24"/>
        </w:rPr>
        <w:t xml:space="preserve"> </w:t>
      </w:r>
      <w:hyperlink r:id="rId2425" w:history="1">
        <w:r w:rsidRPr="00D61723">
          <w:rPr>
            <w:rStyle w:val="Hyperlink"/>
            <w:rFonts w:ascii="Times New Roman" w:hAnsi="Times New Roman"/>
            <w:b/>
            <w:sz w:val="24"/>
            <w:szCs w:val="24"/>
          </w:rPr>
          <w:t>http://www.ca5.uscourts.gov/opinions/pub/19/19-10280-CV0.pdf</w:t>
        </w:r>
      </w:hyperlink>
    </w:p>
    <w:p w14:paraId="3C9F38A0" w14:textId="77777777" w:rsidR="0012517E" w:rsidRPr="00D61723" w:rsidRDefault="0012517E" w:rsidP="0012517E">
      <w:pPr>
        <w:pStyle w:val="NoSpacing"/>
        <w:rPr>
          <w:rFonts w:ascii="Times New Roman" w:hAnsi="Times New Roman"/>
          <w:b/>
          <w:bCs/>
          <w:sz w:val="24"/>
          <w:szCs w:val="24"/>
        </w:rPr>
      </w:pPr>
      <w:bookmarkStart w:id="468" w:name="_Hlk40514363"/>
      <w:bookmarkEnd w:id="467"/>
      <w:r w:rsidRPr="00D61723">
        <w:rPr>
          <w:rFonts w:ascii="Times New Roman" w:hAnsi="Times New Roman"/>
          <w:b/>
          <w:bCs/>
          <w:sz w:val="24"/>
          <w:szCs w:val="24"/>
        </w:rPr>
        <w:t>Legal Lessons Learned:  Qualified immunity is an important legal protection for emergency responders, but it is not “absolute” immunity.</w:t>
      </w:r>
    </w:p>
    <w:p w14:paraId="434C357B" w14:textId="77777777" w:rsidR="0012517E" w:rsidRPr="00D61723" w:rsidRDefault="0012517E" w:rsidP="0012517E">
      <w:pPr>
        <w:pStyle w:val="NoSpacing"/>
        <w:rPr>
          <w:rFonts w:ascii="Times New Roman" w:hAnsi="Times New Roman"/>
          <w:sz w:val="24"/>
          <w:szCs w:val="24"/>
        </w:rPr>
      </w:pPr>
    </w:p>
    <w:p w14:paraId="5DAC83FA" w14:textId="77777777" w:rsidR="0012517E" w:rsidRPr="00D61723" w:rsidRDefault="0012517E" w:rsidP="0012517E">
      <w:pPr>
        <w:pStyle w:val="NoSpacing"/>
        <w:ind w:left="720"/>
        <w:rPr>
          <w:rFonts w:ascii="Times New Roman" w:hAnsi="Times New Roman"/>
          <w:b/>
          <w:bCs/>
          <w:sz w:val="24"/>
          <w:szCs w:val="24"/>
        </w:rPr>
      </w:pPr>
      <w:r w:rsidRPr="00D61723">
        <w:rPr>
          <w:rFonts w:ascii="Times New Roman" w:hAnsi="Times New Roman"/>
          <w:bCs/>
          <w:sz w:val="24"/>
          <w:szCs w:val="24"/>
        </w:rPr>
        <w:t xml:space="preserve">Note: Lawsuit against police officers will proceed. </w:t>
      </w:r>
      <w:bookmarkEnd w:id="468"/>
      <w:r w:rsidRPr="00D61723">
        <w:rPr>
          <w:rFonts w:ascii="Times New Roman" w:hAnsi="Times New Roman"/>
          <w:bCs/>
          <w:sz w:val="24"/>
          <w:szCs w:val="24"/>
        </w:rPr>
        <w:t xml:space="preserve"> Court wrote: “By contrast, in this case a reasonable jury could find that (1) Graham violently bashed his head against the interior of Officer Heidelburg’s patrol car over 40 times while </w:t>
      </w:r>
      <w:proofErr w:type="spellStart"/>
      <w:r w:rsidRPr="00D61723">
        <w:rPr>
          <w:rFonts w:ascii="Times New Roman" w:hAnsi="Times New Roman"/>
          <w:bCs/>
          <w:sz w:val="24"/>
          <w:szCs w:val="24"/>
        </w:rPr>
        <w:t>en</w:t>
      </w:r>
      <w:proofErr w:type="spellEnd"/>
      <w:r w:rsidRPr="00D61723">
        <w:rPr>
          <w:rFonts w:ascii="Times New Roman" w:hAnsi="Times New Roman"/>
          <w:bCs/>
          <w:sz w:val="24"/>
          <w:szCs w:val="24"/>
        </w:rPr>
        <w:t xml:space="preserve"> route to jail; (2) Officers Heidelburg, Gafford, and Scott were fully aware of Graham’s actions and of their serious danger; (3) the Officers sought no medical attention for Graham; and (4) upon arriving at jail, the Officers failed to inform jail officials what Graham had done to himself, telling them only that Graham had been ‘medically cleared’ at the scene. From this evidence, a reasonable jury could conclude that the Officers ‘were either aware or should have been aware, because it was so obvious, of an unjustifiably high risk to [Graham’s] health,’ did nothing to seek medical attention, and even misstated the severity of Graham’s condition to those who could have sought help.”</w:t>
      </w:r>
    </w:p>
    <w:p w14:paraId="3E4FF4EC" w14:textId="77777777" w:rsidR="0012517E" w:rsidRPr="00D61723" w:rsidRDefault="0012517E" w:rsidP="0012517E">
      <w:pPr>
        <w:pStyle w:val="NoSpacing"/>
        <w:rPr>
          <w:rFonts w:ascii="Times New Roman" w:hAnsi="Times New Roman"/>
          <w:sz w:val="24"/>
          <w:szCs w:val="24"/>
        </w:rPr>
      </w:pPr>
    </w:p>
    <w:p w14:paraId="73735882" w14:textId="77777777" w:rsidR="0012517E" w:rsidRDefault="0012517E" w:rsidP="002B1283">
      <w:pPr>
        <w:rPr>
          <w:rFonts w:ascii="Arial Black" w:hAnsi="Arial Black"/>
          <w:b/>
          <w:bCs/>
          <w:sz w:val="28"/>
          <w:szCs w:val="28"/>
        </w:rPr>
      </w:pPr>
    </w:p>
    <w:p w14:paraId="5B07EA31" w14:textId="774431A3" w:rsidR="0012517E" w:rsidRDefault="0012517E" w:rsidP="002B1283">
      <w:pPr>
        <w:rPr>
          <w:rFonts w:ascii="Arial Black" w:hAnsi="Arial Black"/>
          <w:b/>
          <w:bCs/>
          <w:sz w:val="28"/>
          <w:szCs w:val="28"/>
        </w:rPr>
      </w:pPr>
      <w:r>
        <w:rPr>
          <w:rFonts w:ascii="Arial Black" w:hAnsi="Arial Black"/>
          <w:b/>
          <w:bCs/>
          <w:sz w:val="28"/>
          <w:szCs w:val="28"/>
        </w:rPr>
        <w:t>13-47</w:t>
      </w:r>
    </w:p>
    <w:p w14:paraId="20CD7806" w14:textId="77777777" w:rsidR="0012517E" w:rsidRDefault="0012517E" w:rsidP="0012517E">
      <w:pPr>
        <w:rPr>
          <w:rFonts w:ascii="Arial Black" w:hAnsi="Arial Black"/>
          <w:sz w:val="28"/>
          <w:szCs w:val="28"/>
        </w:rPr>
      </w:pPr>
      <w:r w:rsidRPr="009F24CE">
        <w:rPr>
          <w:rFonts w:ascii="Arial Black" w:hAnsi="Arial Black"/>
          <w:sz w:val="28"/>
          <w:szCs w:val="28"/>
        </w:rPr>
        <w:t xml:space="preserve">CA: </w:t>
      </w:r>
      <w:r>
        <w:rPr>
          <w:rFonts w:ascii="Arial Black" w:hAnsi="Arial Black"/>
          <w:b/>
          <w:bCs/>
          <w:sz w:val="28"/>
          <w:szCs w:val="28"/>
        </w:rPr>
        <w:t xml:space="preserve">CORONA VIRUS – </w:t>
      </w:r>
      <w:r>
        <w:rPr>
          <w:rFonts w:ascii="Arial Black" w:hAnsi="Arial Black"/>
          <w:sz w:val="28"/>
          <w:szCs w:val="28"/>
        </w:rPr>
        <w:t>LOS ANGELES MAYOR SHUTS DOWN GUN SHOPS – GOVERNOR / SHERIFF HAD NOT - TRO DENIED</w:t>
      </w:r>
    </w:p>
    <w:p w14:paraId="05824870" w14:textId="77777777" w:rsidR="0012517E" w:rsidRDefault="0012517E" w:rsidP="0012517E">
      <w:pPr>
        <w:rPr>
          <w:rFonts w:ascii="Times New Roman" w:hAnsi="Times New Roman"/>
          <w:sz w:val="24"/>
          <w:szCs w:val="24"/>
        </w:rPr>
      </w:pPr>
      <w:r w:rsidRPr="009F24CE">
        <w:rPr>
          <w:rFonts w:ascii="Times New Roman" w:hAnsi="Times New Roman"/>
          <w:sz w:val="24"/>
          <w:szCs w:val="24"/>
        </w:rPr>
        <w:t xml:space="preserve">On </w:t>
      </w:r>
      <w:bookmarkStart w:id="469" w:name="_Hlk39849537"/>
      <w:r>
        <w:rPr>
          <w:rFonts w:ascii="Times New Roman" w:hAnsi="Times New Roman"/>
          <w:sz w:val="24"/>
          <w:szCs w:val="24"/>
        </w:rPr>
        <w:t xml:space="preserve">April 6, 2020, in </w:t>
      </w:r>
      <w:r w:rsidRPr="009F24CE">
        <w:rPr>
          <w:rFonts w:ascii="Times New Roman" w:hAnsi="Times New Roman"/>
          <w:sz w:val="24"/>
          <w:szCs w:val="24"/>
          <w:u w:val="single"/>
        </w:rPr>
        <w:t>Adam Brandy v. Alex Villanueva</w:t>
      </w:r>
      <w:r>
        <w:rPr>
          <w:rFonts w:ascii="Times New Roman" w:hAnsi="Times New Roman"/>
          <w:sz w:val="24"/>
          <w:szCs w:val="24"/>
        </w:rPr>
        <w:t xml:space="preserve">, </w:t>
      </w:r>
      <w:r w:rsidRPr="00951840">
        <w:rPr>
          <w:rFonts w:ascii="Times New Roman" w:hAnsi="Times New Roman"/>
          <w:sz w:val="24"/>
          <w:szCs w:val="24"/>
          <w:u w:val="single"/>
        </w:rPr>
        <w:t>et al.,</w:t>
      </w:r>
      <w:r>
        <w:rPr>
          <w:rFonts w:ascii="Times New Roman" w:hAnsi="Times New Roman"/>
          <w:sz w:val="24"/>
          <w:szCs w:val="24"/>
        </w:rPr>
        <w:t xml:space="preserve">  </w:t>
      </w:r>
      <w:bookmarkEnd w:id="469"/>
      <w:r>
        <w:rPr>
          <w:rFonts w:ascii="Times New Roman" w:hAnsi="Times New Roman"/>
          <w:sz w:val="24"/>
          <w:szCs w:val="24"/>
        </w:rPr>
        <w:t xml:space="preserve">U.S. District Court Judge Andrew Birotte, Jr. held that Los Angeles Mayor Eric Garcetti has the power to shut down gun stores as non-essential businesses in the city. The Governor on March 19, </w:t>
      </w:r>
      <w:proofErr w:type="gramStart"/>
      <w:r>
        <w:rPr>
          <w:rFonts w:ascii="Times New Roman" w:hAnsi="Times New Roman"/>
          <w:sz w:val="24"/>
          <w:szCs w:val="24"/>
        </w:rPr>
        <w:t>2020</w:t>
      </w:r>
      <w:proofErr w:type="gramEnd"/>
      <w:r>
        <w:rPr>
          <w:rFonts w:ascii="Times New Roman" w:hAnsi="Times New Roman"/>
          <w:sz w:val="24"/>
          <w:szCs w:val="24"/>
        </w:rPr>
        <w:t xml:space="preserve"> had issued an order that left the decision on gun shops to County Sheriffs.  On March 24, 2020, Sheriff Villanueva of LA County ordered all gun shops closed, but he later changed his opinion and declared them an essential business. Federal judge denied gun shop owners’ motion for a Temporary Restraining Order.</w:t>
      </w:r>
    </w:p>
    <w:p w14:paraId="7221A463" w14:textId="77777777" w:rsidR="0012517E" w:rsidRDefault="0012517E" w:rsidP="0012517E">
      <w:pPr>
        <w:ind w:left="720"/>
        <w:rPr>
          <w:rStyle w:val="Hyperlink"/>
          <w:sz w:val="24"/>
          <w:szCs w:val="24"/>
        </w:rPr>
      </w:pPr>
      <w:r>
        <w:rPr>
          <w:rFonts w:ascii="Times New Roman" w:hAnsi="Times New Roman"/>
          <w:sz w:val="24"/>
          <w:szCs w:val="24"/>
        </w:rPr>
        <w:t xml:space="preserve">“Moreover, because this disease spreads ‘[a]n affects person coughs, sneezes or otherwise  expels aerosolized droplets containing the virus,’… the closure on non-essential businesses, including firearms and ammunition retailers, reasonably fits the City’s and County’s stated objective of reducing the spread of this disease.  Plaintiffs fail to demonstrate a likelihood of success on the merits of the Second Amendment claim against the County and City </w:t>
      </w:r>
      <w:proofErr w:type="gramStart"/>
      <w:r>
        <w:rPr>
          <w:rFonts w:ascii="Times New Roman" w:hAnsi="Times New Roman"/>
          <w:sz w:val="24"/>
          <w:szCs w:val="24"/>
        </w:rPr>
        <w:t>orders</w:t>
      </w:r>
      <w:bookmarkStart w:id="470" w:name="_Hlk39849553"/>
      <w:r>
        <w:rPr>
          <w:rFonts w:ascii="Times New Roman" w:hAnsi="Times New Roman"/>
          <w:sz w:val="24"/>
          <w:szCs w:val="24"/>
        </w:rPr>
        <w:t>.”</w:t>
      </w:r>
      <w:proofErr w:type="gramEnd"/>
      <w:r>
        <w:rPr>
          <w:rFonts w:ascii="Times New Roman" w:hAnsi="Times New Roman"/>
          <w:sz w:val="24"/>
          <w:szCs w:val="24"/>
        </w:rPr>
        <w:t xml:space="preserve"> </w:t>
      </w:r>
      <w:hyperlink r:id="rId2426" w:history="1">
        <w:r w:rsidRPr="00DE231C">
          <w:rPr>
            <w:rStyle w:val="Hyperlink"/>
            <w:sz w:val="24"/>
            <w:szCs w:val="24"/>
          </w:rPr>
          <w:t>https://brady-static.s3.amazonaws.com/2020-04-06-29-Order-Denying-TRO-App.pdf</w:t>
        </w:r>
      </w:hyperlink>
      <w:r>
        <w:rPr>
          <w:rStyle w:val="Hyperlink"/>
          <w:sz w:val="24"/>
          <w:szCs w:val="24"/>
        </w:rPr>
        <w:t xml:space="preserve"> </w:t>
      </w:r>
    </w:p>
    <w:bookmarkEnd w:id="470"/>
    <w:p w14:paraId="0FAC508C" w14:textId="77777777" w:rsidR="0012517E" w:rsidRDefault="0012517E" w:rsidP="0012517E">
      <w:pPr>
        <w:pStyle w:val="NoSpacing"/>
        <w:rPr>
          <w:sz w:val="24"/>
          <w:szCs w:val="24"/>
        </w:rPr>
      </w:pPr>
    </w:p>
    <w:p w14:paraId="609AB198" w14:textId="77777777" w:rsidR="0012517E" w:rsidRPr="0012517E" w:rsidRDefault="0012517E" w:rsidP="0012517E">
      <w:pPr>
        <w:pStyle w:val="NoSpacing"/>
        <w:rPr>
          <w:rFonts w:ascii="Times New Roman" w:hAnsi="Times New Roman"/>
          <w:b/>
          <w:bCs/>
          <w:sz w:val="24"/>
          <w:szCs w:val="24"/>
        </w:rPr>
      </w:pPr>
      <w:r w:rsidRPr="0012517E">
        <w:rPr>
          <w:rFonts w:ascii="Times New Roman" w:hAnsi="Times New Roman"/>
          <w:b/>
          <w:bCs/>
          <w:sz w:val="24"/>
          <w:szCs w:val="24"/>
        </w:rPr>
        <w:t xml:space="preserve">Legal Lessons Learned: TRO denied since Mayor’s orders are based on emergency.   </w:t>
      </w:r>
    </w:p>
    <w:p w14:paraId="299C10E7" w14:textId="77777777" w:rsidR="0012517E" w:rsidRPr="0012517E" w:rsidRDefault="0012517E" w:rsidP="0012517E">
      <w:pPr>
        <w:pStyle w:val="NoSpacing"/>
        <w:rPr>
          <w:rFonts w:ascii="Times New Roman" w:hAnsi="Times New Roman"/>
          <w:sz w:val="24"/>
          <w:szCs w:val="24"/>
        </w:rPr>
      </w:pPr>
    </w:p>
    <w:p w14:paraId="63412AFC" w14:textId="77777777" w:rsidR="0012517E" w:rsidRPr="002F12AE" w:rsidRDefault="0012517E" w:rsidP="0012517E">
      <w:pPr>
        <w:pStyle w:val="NoSpacing"/>
        <w:ind w:left="720"/>
        <w:rPr>
          <w:b/>
          <w:sz w:val="24"/>
          <w:szCs w:val="24"/>
        </w:rPr>
      </w:pPr>
      <w:r w:rsidRPr="0012517E">
        <w:rPr>
          <w:rFonts w:ascii="Times New Roman" w:hAnsi="Times New Roman"/>
          <w:bCs/>
          <w:sz w:val="24"/>
          <w:szCs w:val="24"/>
        </w:rPr>
        <w:t>Note:</w:t>
      </w:r>
      <w:r w:rsidRPr="0012517E">
        <w:rPr>
          <w:rFonts w:ascii="Times New Roman" w:hAnsi="Times New Roman"/>
          <w:sz w:val="24"/>
          <w:szCs w:val="24"/>
        </w:rPr>
        <w:t xml:space="preserve"> See </w:t>
      </w:r>
      <w:bookmarkStart w:id="471" w:name="_Hlk39849460"/>
      <w:r w:rsidRPr="0012517E">
        <w:rPr>
          <w:rFonts w:ascii="Times New Roman" w:hAnsi="Times New Roman"/>
          <w:sz w:val="24"/>
          <w:szCs w:val="24"/>
        </w:rPr>
        <w:t xml:space="preserve">April 14, </w:t>
      </w:r>
      <w:proofErr w:type="gramStart"/>
      <w:r w:rsidRPr="0012517E">
        <w:rPr>
          <w:rFonts w:ascii="Times New Roman" w:hAnsi="Times New Roman"/>
          <w:sz w:val="24"/>
          <w:szCs w:val="24"/>
        </w:rPr>
        <w:t>2020</w:t>
      </w:r>
      <w:proofErr w:type="gramEnd"/>
      <w:r w:rsidRPr="0012517E">
        <w:rPr>
          <w:rFonts w:ascii="Times New Roman" w:hAnsi="Times New Roman"/>
          <w:sz w:val="24"/>
          <w:szCs w:val="24"/>
        </w:rPr>
        <w:t xml:space="preserve"> article on LA Superior Court judge’s decision, forcing gun stores to remain closed, “</w:t>
      </w:r>
      <w:r w:rsidRPr="0012517E">
        <w:rPr>
          <w:rStyle w:val="dfm-title"/>
          <w:rFonts w:ascii="Times New Roman" w:hAnsi="Times New Roman"/>
          <w:sz w:val="24"/>
          <w:szCs w:val="24"/>
        </w:rPr>
        <w:t xml:space="preserve">Coronavirus: Judge upholds LA city order to close gun stores,” </w:t>
      </w:r>
      <w:hyperlink r:id="rId2427" w:history="1">
        <w:r w:rsidRPr="0012517E">
          <w:rPr>
            <w:rStyle w:val="Hyperlink"/>
            <w:rFonts w:ascii="Times New Roman" w:hAnsi="Times New Roman"/>
            <w:b/>
            <w:sz w:val="24"/>
            <w:szCs w:val="24"/>
          </w:rPr>
          <w:t>https://www.dailynews.com/2020/04/14/coronavirus-judge-upholds-l-a-city-order-to-close-gun-stores/</w:t>
        </w:r>
      </w:hyperlink>
      <w:bookmarkEnd w:id="471"/>
      <w:r w:rsidRPr="002F12AE">
        <w:rPr>
          <w:sz w:val="24"/>
          <w:szCs w:val="24"/>
        </w:rPr>
        <w:t xml:space="preserve"> </w:t>
      </w:r>
    </w:p>
    <w:p w14:paraId="561AE0CF" w14:textId="77777777" w:rsidR="0012517E" w:rsidRDefault="0012517E" w:rsidP="0012517E">
      <w:pPr>
        <w:pStyle w:val="NoSpacing"/>
        <w:rPr>
          <w:b/>
          <w:bCs/>
          <w:sz w:val="24"/>
          <w:szCs w:val="24"/>
        </w:rPr>
      </w:pPr>
      <w:r>
        <w:rPr>
          <w:bCs/>
          <w:sz w:val="24"/>
          <w:szCs w:val="24"/>
        </w:rPr>
        <w:t xml:space="preserve"> </w:t>
      </w:r>
    </w:p>
    <w:p w14:paraId="0E314117" w14:textId="77777777" w:rsidR="0012517E" w:rsidRDefault="0012517E" w:rsidP="002B1283">
      <w:pPr>
        <w:rPr>
          <w:rFonts w:ascii="Arial Black" w:hAnsi="Arial Black"/>
          <w:b/>
          <w:bCs/>
          <w:sz w:val="28"/>
          <w:szCs w:val="28"/>
        </w:rPr>
      </w:pPr>
    </w:p>
    <w:p w14:paraId="582A0735" w14:textId="77777777" w:rsidR="0012517E" w:rsidRDefault="0012517E" w:rsidP="002B1283">
      <w:pPr>
        <w:rPr>
          <w:rFonts w:ascii="Arial Black" w:hAnsi="Arial Black"/>
          <w:b/>
          <w:bCs/>
          <w:sz w:val="28"/>
          <w:szCs w:val="28"/>
        </w:rPr>
      </w:pPr>
    </w:p>
    <w:p w14:paraId="427194AE" w14:textId="59B03690" w:rsidR="0066298F" w:rsidRDefault="0066298F" w:rsidP="002B1283">
      <w:pPr>
        <w:rPr>
          <w:rFonts w:ascii="Arial Black" w:hAnsi="Arial Black"/>
          <w:b/>
          <w:bCs/>
          <w:sz w:val="28"/>
          <w:szCs w:val="28"/>
        </w:rPr>
      </w:pPr>
      <w:r>
        <w:rPr>
          <w:rFonts w:ascii="Arial Black" w:hAnsi="Arial Black"/>
          <w:b/>
          <w:bCs/>
          <w:sz w:val="28"/>
          <w:szCs w:val="28"/>
        </w:rPr>
        <w:t>13-46</w:t>
      </w:r>
    </w:p>
    <w:p w14:paraId="09B71252" w14:textId="0FB07371" w:rsidR="0066298F" w:rsidRPr="00F05611" w:rsidRDefault="0066298F" w:rsidP="0066298F">
      <w:pPr>
        <w:spacing w:before="100" w:beforeAutospacing="1" w:after="100" w:afterAutospacing="1" w:line="240" w:lineRule="auto"/>
        <w:rPr>
          <w:rFonts w:ascii="Arial Black" w:hAnsi="Arial Black"/>
          <w:b/>
          <w:bCs/>
          <w:sz w:val="28"/>
          <w:szCs w:val="28"/>
        </w:rPr>
      </w:pPr>
      <w:bookmarkStart w:id="472" w:name="_Hlk39819842"/>
      <w:r w:rsidRPr="00F05611">
        <w:rPr>
          <w:rFonts w:ascii="Arial Black" w:hAnsi="Arial Black"/>
          <w:b/>
          <w:bCs/>
          <w:sz w:val="28"/>
          <w:szCs w:val="28"/>
        </w:rPr>
        <w:t xml:space="preserve">FL: </w:t>
      </w:r>
      <w:r>
        <w:rPr>
          <w:rFonts w:ascii="Arial Black" w:hAnsi="Arial Black"/>
          <w:b/>
          <w:bCs/>
          <w:sz w:val="28"/>
          <w:szCs w:val="28"/>
        </w:rPr>
        <w:t xml:space="preserve"> </w:t>
      </w:r>
      <w:r w:rsidR="00F81147">
        <w:rPr>
          <w:rFonts w:ascii="Arial Black" w:hAnsi="Arial Black"/>
          <w:b/>
          <w:bCs/>
          <w:sz w:val="28"/>
          <w:szCs w:val="28"/>
        </w:rPr>
        <w:t xml:space="preserve">DEPUTY SHERIFF ORDERED CPR STOPPED – HANGING - LAWSUIT TO CONTINUE, NO QUALIFIED IMMUNITY                                                                                          </w:t>
      </w:r>
    </w:p>
    <w:p w14:paraId="4F46870A" w14:textId="77777777" w:rsidR="0066298F" w:rsidRDefault="0066298F" w:rsidP="0066298F">
      <w:pPr>
        <w:spacing w:before="100" w:beforeAutospacing="1" w:after="100" w:afterAutospacing="1" w:line="240" w:lineRule="auto"/>
        <w:rPr>
          <w:rFonts w:ascii="Times New Roman" w:hAnsi="Times New Roman"/>
          <w:sz w:val="24"/>
          <w:szCs w:val="24"/>
        </w:rPr>
      </w:pPr>
      <w:r w:rsidRPr="00F05611">
        <w:rPr>
          <w:rFonts w:ascii="Times New Roman" w:hAnsi="Times New Roman"/>
          <w:sz w:val="24"/>
          <w:szCs w:val="24"/>
        </w:rPr>
        <w:t xml:space="preserve">On </w:t>
      </w:r>
      <w:bookmarkStart w:id="473" w:name="_Hlk39849752"/>
      <w:r>
        <w:rPr>
          <w:rFonts w:ascii="Times New Roman" w:hAnsi="Times New Roman"/>
          <w:sz w:val="24"/>
          <w:szCs w:val="24"/>
        </w:rPr>
        <w:t xml:space="preserve">March 25, 2020, in </w:t>
      </w:r>
      <w:r w:rsidRPr="00F05611">
        <w:rPr>
          <w:rFonts w:ascii="Times New Roman" w:hAnsi="Times New Roman"/>
          <w:sz w:val="24"/>
          <w:szCs w:val="24"/>
          <w:u w:val="single"/>
        </w:rPr>
        <w:t>Jolene Waldron v. Gregory Spicher, Deputy</w:t>
      </w:r>
      <w:bookmarkEnd w:id="473"/>
      <w:r>
        <w:rPr>
          <w:rFonts w:ascii="Times New Roman" w:hAnsi="Times New Roman"/>
          <w:sz w:val="24"/>
          <w:szCs w:val="24"/>
        </w:rPr>
        <w:t xml:space="preserve">, the U.S. Court of Appeals for Eleventh Circuit (Atlanta), held (3 to 0) that the trial court properly denied Deputy Sheriff’s motion to dismiss the case based on qualified immunity.   The lawsuit may proceed, but mother of the deceased has very difficult burden to proving to a jury that the Deputy was not only reckless, but that he intended to cause death of her son.  </w:t>
      </w:r>
    </w:p>
    <w:p w14:paraId="5FB76DC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“Several minutes later, a fire truck and an ambulance arrived. Three paramedics—later identified as David Warren, Christensen, and Grisales—attempted to attend to Ybarra, but Spicher only allowed Warren to do so to ‘confirm the patient’s status.’ Warren testified that Spicher told him </w:t>
      </w:r>
      <w:proofErr w:type="gramStart"/>
      <w:r w:rsidRPr="00665BD0">
        <w:rPr>
          <w:rFonts w:ascii="Times New Roman" w:hAnsi="Times New Roman"/>
          <w:bCs/>
          <w:sz w:val="24"/>
          <w:szCs w:val="24"/>
        </w:rPr>
        <w:t>to ‘not</w:t>
      </w:r>
      <w:proofErr w:type="gramEnd"/>
      <w:r w:rsidRPr="00665BD0">
        <w:rPr>
          <w:rFonts w:ascii="Times New Roman" w:hAnsi="Times New Roman"/>
          <w:bCs/>
          <w:sz w:val="24"/>
          <w:szCs w:val="24"/>
        </w:rPr>
        <w:t xml:space="preserve"> touch the patient very much because this was . . . a crime </w:t>
      </w:r>
      <w:proofErr w:type="gramStart"/>
      <w:r w:rsidRPr="00665BD0">
        <w:rPr>
          <w:rFonts w:ascii="Times New Roman" w:hAnsi="Times New Roman"/>
          <w:bCs/>
          <w:sz w:val="24"/>
          <w:szCs w:val="24"/>
        </w:rPr>
        <w:t>scene.’</w:t>
      </w:r>
      <w:proofErr w:type="gramEnd"/>
      <w:r w:rsidRPr="00665BD0">
        <w:rPr>
          <w:rFonts w:ascii="Times New Roman" w:hAnsi="Times New Roman"/>
          <w:bCs/>
          <w:sz w:val="24"/>
          <w:szCs w:val="24"/>
        </w:rPr>
        <w:t xml:space="preserve">  Warren noted that Ybarra was ‘severely cyanotic and unresponsive’ and his neck was elongated. He assessed Ybarra with a Glasgow Coma Score of one in eyes, verbal, and motor, which was consistent with a deceased person’s score. Warren hooked up Ybarra to a heart monitor and noted a heart rate of 24 beats per minute, which he testified indicated organized electrical activity in the heart inconsistent with death. Warren called for Spicher to retrieve Lieutenant Christensen, but Spicher was on the phone and did not hear him, so Warren shouted louder, which finally brought Christiansen over. The two immediately recontinued CPR and began ‘manual C-spine immobilization,’ which was meant to hold Ybarra’s spine in line. Ybarra was then transported to the hospital, where he died a week later.</w:t>
      </w:r>
    </w:p>
    <w:p w14:paraId="1AFAB798" w14:textId="77777777" w:rsidR="0066298F" w:rsidRPr="00665BD0" w:rsidRDefault="0066298F" w:rsidP="0066298F">
      <w:pPr>
        <w:pStyle w:val="NoSpacing"/>
        <w:ind w:left="720"/>
        <w:rPr>
          <w:rFonts w:ascii="Times New Roman" w:hAnsi="Times New Roman"/>
          <w:b/>
          <w:bCs/>
          <w:sz w:val="24"/>
          <w:szCs w:val="24"/>
        </w:rPr>
      </w:pPr>
    </w:p>
    <w:p w14:paraId="1F620F5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w:t>
      </w:r>
    </w:p>
    <w:p w14:paraId="0FF2931C" w14:textId="77777777" w:rsidR="0066298F" w:rsidRPr="00665BD0" w:rsidRDefault="0066298F" w:rsidP="0066298F">
      <w:pPr>
        <w:spacing w:before="100" w:beforeAutospacing="1" w:after="100" w:afterAutospacing="1" w:line="240" w:lineRule="auto"/>
        <w:ind w:left="720"/>
        <w:rPr>
          <w:rFonts w:ascii="Times New Roman" w:hAnsi="Times New Roman"/>
          <w:sz w:val="24"/>
          <w:szCs w:val="24"/>
        </w:rPr>
      </w:pPr>
      <w:r w:rsidRPr="00665BD0">
        <w:rPr>
          <w:rFonts w:ascii="Times New Roman" w:hAnsi="Times New Roman"/>
          <w:sz w:val="24"/>
          <w:szCs w:val="24"/>
        </w:rPr>
        <w:t xml:space="preserve">In this opinion, we have held that…Waldron cannot demonstrate that Spicher violated clearly established substantive due process rights without proving more than that Spicher acted with deliberate indifference or recklessness. But we have also held that, if the jury should find that Spicher acted for the purpose of causing harm to Ybarra, Waldron would have proved a violation of clearly established substantive due process rights.” </w:t>
      </w:r>
      <w:bookmarkStart w:id="474" w:name="_Hlk39849774"/>
      <w:r w:rsidR="00BC38B6">
        <w:fldChar w:fldCharType="begin"/>
      </w:r>
      <w:r w:rsidR="00BC38B6">
        <w:instrText xml:space="preserve"> HYPERLINK "http://media.ca11.uscourts.gov/opinions/pub/files/201814536.pdf" </w:instrText>
      </w:r>
      <w:r w:rsidR="00BC38B6">
        <w:fldChar w:fldCharType="separate"/>
      </w:r>
      <w:r w:rsidRPr="00665BD0">
        <w:rPr>
          <w:rStyle w:val="Hyperlink"/>
          <w:rFonts w:ascii="Times New Roman" w:hAnsi="Times New Roman"/>
          <w:sz w:val="24"/>
          <w:szCs w:val="24"/>
        </w:rPr>
        <w:t>http://media.ca11.uscourts.gov/opinions/pub/files/201814536.pdf</w:t>
      </w:r>
      <w:r w:rsidR="00BC38B6">
        <w:rPr>
          <w:rStyle w:val="Hyperlink"/>
          <w:rFonts w:ascii="Times New Roman" w:hAnsi="Times New Roman"/>
          <w:sz w:val="24"/>
          <w:szCs w:val="24"/>
        </w:rPr>
        <w:fldChar w:fldCharType="end"/>
      </w:r>
      <w:r w:rsidRPr="00665BD0">
        <w:rPr>
          <w:rFonts w:ascii="Times New Roman" w:hAnsi="Times New Roman"/>
          <w:sz w:val="24"/>
          <w:szCs w:val="24"/>
        </w:rPr>
        <w:t xml:space="preserve"> </w:t>
      </w:r>
    </w:p>
    <w:p w14:paraId="3CB33D6C" w14:textId="77777777" w:rsidR="0066298F" w:rsidRPr="00665BD0" w:rsidRDefault="0066298F" w:rsidP="0066298F">
      <w:pPr>
        <w:spacing w:before="100" w:beforeAutospacing="1" w:after="100" w:afterAutospacing="1" w:line="240" w:lineRule="auto"/>
        <w:rPr>
          <w:rFonts w:ascii="Times New Roman" w:hAnsi="Times New Roman"/>
          <w:b/>
          <w:bCs/>
          <w:sz w:val="24"/>
          <w:szCs w:val="24"/>
        </w:rPr>
      </w:pPr>
      <w:bookmarkStart w:id="475" w:name="_Hlk40514407"/>
      <w:bookmarkEnd w:id="472"/>
      <w:bookmarkEnd w:id="474"/>
      <w:r w:rsidRPr="00665BD0">
        <w:rPr>
          <w:rFonts w:ascii="Times New Roman" w:hAnsi="Times New Roman"/>
          <w:b/>
          <w:bCs/>
          <w:sz w:val="24"/>
          <w:szCs w:val="24"/>
        </w:rPr>
        <w:t xml:space="preserve">Legal Lessons Learned:  </w:t>
      </w:r>
      <w:r>
        <w:rPr>
          <w:rFonts w:ascii="Times New Roman" w:hAnsi="Times New Roman"/>
          <w:b/>
          <w:bCs/>
          <w:sz w:val="24"/>
          <w:szCs w:val="24"/>
        </w:rPr>
        <w:t xml:space="preserve">Terrible conduct by Deputy Sheriff, but </w:t>
      </w:r>
      <w:r w:rsidRPr="00665BD0">
        <w:rPr>
          <w:rFonts w:ascii="Times New Roman" w:hAnsi="Times New Roman"/>
          <w:b/>
          <w:bCs/>
          <w:sz w:val="24"/>
          <w:szCs w:val="24"/>
        </w:rPr>
        <w:t xml:space="preserve">plaintiff must </w:t>
      </w:r>
      <w:r>
        <w:rPr>
          <w:rFonts w:ascii="Times New Roman" w:hAnsi="Times New Roman"/>
          <w:b/>
          <w:bCs/>
          <w:sz w:val="24"/>
          <w:szCs w:val="24"/>
        </w:rPr>
        <w:t xml:space="preserve">now </w:t>
      </w:r>
      <w:r w:rsidRPr="00665BD0">
        <w:rPr>
          <w:rFonts w:ascii="Times New Roman" w:hAnsi="Times New Roman"/>
          <w:b/>
          <w:bCs/>
          <w:sz w:val="24"/>
          <w:szCs w:val="24"/>
        </w:rPr>
        <w:t xml:space="preserve">prove </w:t>
      </w:r>
      <w:r>
        <w:rPr>
          <w:rFonts w:ascii="Times New Roman" w:hAnsi="Times New Roman"/>
          <w:b/>
          <w:bCs/>
          <w:sz w:val="24"/>
          <w:szCs w:val="24"/>
        </w:rPr>
        <w:t xml:space="preserve">Deputy intended to harm the victim.  Hopefully this case settles prior to jury trial. </w:t>
      </w:r>
    </w:p>
    <w:bookmarkEnd w:id="475"/>
    <w:p w14:paraId="0D9D32BB" w14:textId="77777777" w:rsidR="0031119E" w:rsidRDefault="0031119E" w:rsidP="002B1283">
      <w:pPr>
        <w:rPr>
          <w:rFonts w:ascii="Arial Black" w:hAnsi="Arial Black"/>
          <w:b/>
          <w:bCs/>
          <w:sz w:val="28"/>
          <w:szCs w:val="28"/>
        </w:rPr>
      </w:pPr>
    </w:p>
    <w:p w14:paraId="6F780014" w14:textId="74F59D37" w:rsidR="007A1E7A" w:rsidRDefault="007A1E7A" w:rsidP="002B1283">
      <w:pPr>
        <w:rPr>
          <w:rFonts w:ascii="Arial Black" w:hAnsi="Arial Black"/>
          <w:b/>
          <w:bCs/>
          <w:sz w:val="28"/>
          <w:szCs w:val="28"/>
        </w:rPr>
      </w:pPr>
      <w:r>
        <w:rPr>
          <w:rFonts w:ascii="Arial Black" w:hAnsi="Arial Black"/>
          <w:b/>
          <w:bCs/>
          <w:sz w:val="28"/>
          <w:szCs w:val="28"/>
        </w:rPr>
        <w:t>13-45</w:t>
      </w:r>
    </w:p>
    <w:p w14:paraId="01BD9FEC" w14:textId="77777777" w:rsidR="007A1E7A" w:rsidRPr="00A514DF" w:rsidRDefault="007A1E7A" w:rsidP="007A1E7A">
      <w:pPr>
        <w:spacing w:before="100" w:beforeAutospacing="1" w:after="100" w:afterAutospacing="1" w:line="240" w:lineRule="auto"/>
        <w:rPr>
          <w:rFonts w:ascii="Arial Black" w:eastAsia="Times New Roman" w:hAnsi="Arial Black"/>
          <w:b/>
          <w:bCs/>
          <w:sz w:val="28"/>
          <w:szCs w:val="28"/>
        </w:rPr>
      </w:pPr>
      <w:r w:rsidRPr="00A514DF">
        <w:rPr>
          <w:rFonts w:ascii="Arial Black" w:eastAsia="Times New Roman" w:hAnsi="Arial Black"/>
          <w:b/>
          <w:bCs/>
          <w:sz w:val="28"/>
          <w:szCs w:val="28"/>
        </w:rPr>
        <w:t>IL</w:t>
      </w:r>
      <w:r>
        <w:rPr>
          <w:rFonts w:ascii="Arial Black" w:eastAsia="Times New Roman" w:hAnsi="Arial Black"/>
          <w:b/>
          <w:bCs/>
          <w:sz w:val="28"/>
          <w:szCs w:val="28"/>
        </w:rPr>
        <w:t>: OFF-DUTY PARAMEDIC - IN HOT TUB WITH FEMALE - SHE INJURED HEAD WHEN SLIPPED BATHROOM – CANNOT SUE CITY</w:t>
      </w:r>
    </w:p>
    <w:p w14:paraId="62ACCA3E" w14:textId="77777777" w:rsidR="007A1E7A" w:rsidRPr="00465FB3" w:rsidRDefault="007A1E7A" w:rsidP="007A1E7A">
      <w:pPr>
        <w:spacing w:before="100" w:beforeAutospacing="1" w:after="100" w:afterAutospacing="1" w:line="240" w:lineRule="auto"/>
        <w:rPr>
          <w:rFonts w:ascii="Times New Roman" w:hAnsi="Times New Roman"/>
          <w:sz w:val="24"/>
          <w:szCs w:val="24"/>
        </w:rPr>
      </w:pPr>
      <w:r w:rsidRPr="00465FB3">
        <w:rPr>
          <w:rFonts w:ascii="Times New Roman" w:eastAsia="Times New Roman" w:hAnsi="Times New Roman"/>
          <w:sz w:val="24"/>
          <w:szCs w:val="24"/>
        </w:rPr>
        <w:t xml:space="preserve">On Feb. 28, 2020, in </w:t>
      </w:r>
      <w:r w:rsidRPr="00465FB3">
        <w:rPr>
          <w:rFonts w:ascii="Times New Roman" w:eastAsia="Times New Roman" w:hAnsi="Times New Roman"/>
          <w:sz w:val="24"/>
          <w:szCs w:val="24"/>
          <w:u w:val="single"/>
        </w:rPr>
        <w:t xml:space="preserve">Kylie </w:t>
      </w:r>
      <w:proofErr w:type="spellStart"/>
      <w:r w:rsidRPr="00465FB3">
        <w:rPr>
          <w:rFonts w:ascii="Times New Roman" w:eastAsia="Times New Roman" w:hAnsi="Times New Roman"/>
          <w:sz w:val="24"/>
          <w:szCs w:val="24"/>
          <w:u w:val="single"/>
        </w:rPr>
        <w:t>Didonato</w:t>
      </w:r>
      <w:proofErr w:type="spellEnd"/>
      <w:r w:rsidRPr="00465FB3">
        <w:rPr>
          <w:rFonts w:ascii="Times New Roman" w:eastAsia="Times New Roman" w:hAnsi="Times New Roman"/>
          <w:sz w:val="24"/>
          <w:szCs w:val="24"/>
          <w:u w:val="single"/>
        </w:rPr>
        <w:t xml:space="preserve"> v. Tim Panatera and City of Chicago</w:t>
      </w:r>
      <w:r w:rsidRPr="00465FB3">
        <w:rPr>
          <w:rFonts w:ascii="Times New Roman" w:eastAsia="Times New Roman" w:hAnsi="Times New Roman"/>
          <w:sz w:val="24"/>
          <w:szCs w:val="24"/>
        </w:rPr>
        <w:t>, U.S. District Court Judge V</w:t>
      </w:r>
      <w:r w:rsidRPr="00465FB3">
        <w:rPr>
          <w:rFonts w:ascii="Times New Roman" w:hAnsi="Times New Roman"/>
          <w:sz w:val="24"/>
          <w:szCs w:val="24"/>
        </w:rPr>
        <w:t>irginia M. Kendall, Northern District of Illinois (Eastern Division), granted the motions to dismiss by the paramedic and the city.</w:t>
      </w:r>
    </w:p>
    <w:p w14:paraId="19D79E7F" w14:textId="77777777" w:rsidR="007A1E7A" w:rsidRPr="00465FB3" w:rsidRDefault="007A1E7A" w:rsidP="007A1E7A">
      <w:pPr>
        <w:spacing w:before="100" w:beforeAutospacing="1" w:after="100" w:afterAutospacing="1" w:line="240" w:lineRule="auto"/>
        <w:ind w:left="720"/>
        <w:rPr>
          <w:rFonts w:ascii="Times New Roman" w:hAnsi="Times New Roman"/>
          <w:sz w:val="24"/>
          <w:szCs w:val="24"/>
        </w:rPr>
      </w:pPr>
      <w:r w:rsidRPr="00465FB3">
        <w:rPr>
          <w:rFonts w:ascii="Times New Roman" w:hAnsi="Times New Roman"/>
          <w:sz w:val="24"/>
          <w:szCs w:val="24"/>
        </w:rPr>
        <w:t xml:space="preserve">“As this Court noted before, DiDonato's claim is that </w:t>
      </w:r>
      <w:proofErr w:type="spellStart"/>
      <w:r w:rsidRPr="00465FB3">
        <w:rPr>
          <w:rFonts w:ascii="Times New Roman" w:hAnsi="Times New Roman"/>
          <w:sz w:val="24"/>
          <w:szCs w:val="24"/>
        </w:rPr>
        <w:t>Panatera</w:t>
      </w:r>
      <w:proofErr w:type="spellEnd"/>
      <w:r w:rsidRPr="00465FB3">
        <w:rPr>
          <w:rFonts w:ascii="Times New Roman" w:hAnsi="Times New Roman"/>
          <w:sz w:val="24"/>
          <w:szCs w:val="24"/>
        </w:rPr>
        <w:t xml:space="preserve"> failed to do anything more than wrap her head in a towel and that he denied her proper medical care by failing to call 911 or taking her to a hospital for emergency care.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37 at 10;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51 at 4;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52 at 3). This inaction, as DiDonato has alleged it, relates more to </w:t>
      </w:r>
      <w:proofErr w:type="spellStart"/>
      <w:r w:rsidRPr="00465FB3">
        <w:rPr>
          <w:rFonts w:ascii="Times New Roman" w:hAnsi="Times New Roman"/>
          <w:sz w:val="24"/>
          <w:szCs w:val="24"/>
        </w:rPr>
        <w:t>Panatera's</w:t>
      </w:r>
      <w:proofErr w:type="spellEnd"/>
      <w:r w:rsidRPr="00465FB3">
        <w:rPr>
          <w:rFonts w:ascii="Times New Roman" w:hAnsi="Times New Roman"/>
          <w:sz w:val="24"/>
          <w:szCs w:val="24"/>
        </w:rPr>
        <w:t xml:space="preserve"> role as a bystander than a paramedic, and actions unrelated to a state actor's official duties are not taken under color of </w:t>
      </w:r>
      <w:proofErr w:type="gramStart"/>
      <w:r w:rsidRPr="00465FB3">
        <w:rPr>
          <w:rFonts w:ascii="Times New Roman" w:hAnsi="Times New Roman"/>
          <w:sz w:val="24"/>
          <w:szCs w:val="24"/>
        </w:rPr>
        <w:t>law.”</w:t>
      </w:r>
      <w:proofErr w:type="gramEnd"/>
      <w:r w:rsidRPr="00465FB3">
        <w:rPr>
          <w:rFonts w:ascii="Times New Roman" w:hAnsi="Times New Roman"/>
          <w:sz w:val="24"/>
          <w:szCs w:val="24"/>
        </w:rPr>
        <w:t xml:space="preserve">  </w:t>
      </w:r>
      <w:hyperlink r:id="rId2428" w:history="1">
        <w:r w:rsidRPr="00465FB3">
          <w:rPr>
            <w:rStyle w:val="Hyperlink"/>
            <w:rFonts w:ascii="Times New Roman" w:hAnsi="Times New Roman"/>
            <w:sz w:val="24"/>
            <w:szCs w:val="24"/>
          </w:rPr>
          <w:t>https://public.fastcase.com/Wl%2B2t%2BeVuI35%2FN70vAMFZqKFItzKKJAOGXNCbwUcRCkzx%2FKqq12PgRkvPC2fj024</w:t>
        </w:r>
      </w:hyperlink>
      <w:r w:rsidRPr="00465FB3">
        <w:rPr>
          <w:rFonts w:ascii="Times New Roman" w:hAnsi="Times New Roman"/>
          <w:sz w:val="24"/>
          <w:szCs w:val="24"/>
        </w:rPr>
        <w:t xml:space="preserve"> </w:t>
      </w:r>
    </w:p>
    <w:p w14:paraId="06A65DFD" w14:textId="77777777" w:rsidR="007A1E7A" w:rsidRPr="00465FB3" w:rsidRDefault="007A1E7A" w:rsidP="007A1E7A">
      <w:pPr>
        <w:spacing w:before="100" w:beforeAutospacing="1" w:after="100" w:afterAutospacing="1" w:line="240" w:lineRule="auto"/>
        <w:rPr>
          <w:rFonts w:ascii="Times New Roman" w:hAnsi="Times New Roman"/>
          <w:b/>
          <w:bCs/>
          <w:sz w:val="24"/>
          <w:szCs w:val="24"/>
        </w:rPr>
      </w:pPr>
      <w:r w:rsidRPr="00465FB3">
        <w:rPr>
          <w:rFonts w:ascii="Times New Roman" w:eastAsia="Times New Roman" w:hAnsi="Times New Roman"/>
          <w:b/>
          <w:bCs/>
          <w:sz w:val="24"/>
          <w:szCs w:val="24"/>
        </w:rPr>
        <w:t xml:space="preserve">Legal Lessons Learned:  </w:t>
      </w:r>
      <w:r w:rsidRPr="00465FB3">
        <w:rPr>
          <w:rFonts w:ascii="Times New Roman" w:hAnsi="Times New Roman"/>
          <w:b/>
          <w:bCs/>
          <w:sz w:val="24"/>
          <w:szCs w:val="24"/>
        </w:rPr>
        <w:t xml:space="preserve">The Court had previously given plaintiff and opportunity to file an amended complaint: Aug. 20, 2019: </w:t>
      </w:r>
      <w:hyperlink r:id="rId2429" w:history="1">
        <w:r w:rsidRPr="00465FB3">
          <w:rPr>
            <w:rStyle w:val="Hyperlink"/>
            <w:rFonts w:ascii="Times New Roman" w:hAnsi="Times New Roman"/>
            <w:b/>
            <w:bCs/>
            <w:sz w:val="24"/>
            <w:szCs w:val="24"/>
          </w:rPr>
          <w:t>https://casetext.com/case/didonato-v-panatera</w:t>
        </w:r>
      </w:hyperlink>
      <w:r w:rsidRPr="00465FB3">
        <w:rPr>
          <w:rFonts w:ascii="Times New Roman" w:hAnsi="Times New Roman"/>
          <w:b/>
          <w:bCs/>
          <w:sz w:val="24"/>
          <w:szCs w:val="24"/>
        </w:rPr>
        <w:t xml:space="preserve"> . The case may now go back to State court on her claims against the paramedic (not the city) for negligence, assault, battery, and willful and wanton misconduct.</w:t>
      </w:r>
    </w:p>
    <w:p w14:paraId="29D23EBD" w14:textId="77777777" w:rsidR="007A1E7A" w:rsidRDefault="007A1E7A" w:rsidP="002B1283">
      <w:pPr>
        <w:rPr>
          <w:rFonts w:ascii="Arial Black" w:hAnsi="Arial Black"/>
          <w:b/>
          <w:bCs/>
          <w:sz w:val="28"/>
          <w:szCs w:val="28"/>
        </w:rPr>
      </w:pPr>
    </w:p>
    <w:p w14:paraId="2ECBFAAB" w14:textId="2BAC90B5" w:rsidR="007A1E7A" w:rsidRDefault="007A1E7A" w:rsidP="002B1283">
      <w:pPr>
        <w:rPr>
          <w:rFonts w:ascii="Arial Black" w:hAnsi="Arial Black"/>
          <w:b/>
          <w:bCs/>
          <w:sz w:val="28"/>
          <w:szCs w:val="28"/>
        </w:rPr>
      </w:pPr>
      <w:r>
        <w:rPr>
          <w:rFonts w:ascii="Arial Black" w:hAnsi="Arial Black"/>
          <w:b/>
          <w:bCs/>
          <w:sz w:val="28"/>
          <w:szCs w:val="28"/>
        </w:rPr>
        <w:t>13-44</w:t>
      </w:r>
    </w:p>
    <w:p w14:paraId="1C96A44A" w14:textId="77777777" w:rsidR="007A1E7A" w:rsidRPr="002C021D" w:rsidRDefault="007A1E7A" w:rsidP="007A1E7A">
      <w:pPr>
        <w:pStyle w:val="NoSpacing"/>
        <w:rPr>
          <w:rFonts w:ascii="Arial Black" w:hAnsi="Arial Black"/>
          <w:sz w:val="28"/>
          <w:szCs w:val="28"/>
        </w:rPr>
      </w:pPr>
      <w:r w:rsidRPr="002C021D">
        <w:rPr>
          <w:rFonts w:ascii="Arial Black" w:hAnsi="Arial Black"/>
          <w:sz w:val="28"/>
          <w:szCs w:val="28"/>
        </w:rPr>
        <w:t>NC</w:t>
      </w:r>
      <w:r>
        <w:rPr>
          <w:rFonts w:ascii="Arial Black" w:hAnsi="Arial Black"/>
          <w:sz w:val="28"/>
          <w:szCs w:val="28"/>
        </w:rPr>
        <w:t>: PARAMEDIC FIRED – ET TUBE PLACEMENT, MEDS – EMS BOARD REDUCED TO EMT-B – NOT RACE DISCRIMINATION</w:t>
      </w:r>
    </w:p>
    <w:p w14:paraId="5A2962DA" w14:textId="77777777" w:rsidR="007A1E7A" w:rsidRDefault="007A1E7A" w:rsidP="007A1E7A">
      <w:pPr>
        <w:pStyle w:val="NoSpacing"/>
        <w:rPr>
          <w:b/>
          <w:bCs/>
          <w:sz w:val="24"/>
          <w:szCs w:val="24"/>
        </w:rPr>
      </w:pPr>
    </w:p>
    <w:p w14:paraId="00C23957" w14:textId="77777777" w:rsidR="007A1E7A" w:rsidRPr="00465FB3" w:rsidRDefault="007A1E7A" w:rsidP="007A1E7A">
      <w:pPr>
        <w:pStyle w:val="NoSpacing"/>
        <w:rPr>
          <w:rFonts w:ascii="Times New Roman" w:hAnsi="Times New Roman"/>
          <w:b/>
          <w:bCs/>
          <w:sz w:val="24"/>
          <w:szCs w:val="24"/>
        </w:rPr>
      </w:pPr>
      <w:r w:rsidRPr="00465FB3">
        <w:rPr>
          <w:rFonts w:ascii="Times New Roman" w:hAnsi="Times New Roman"/>
          <w:bCs/>
          <w:sz w:val="24"/>
          <w:szCs w:val="24"/>
        </w:rPr>
        <w:t xml:space="preserve">On Feb. 11, 2020, in </w:t>
      </w:r>
      <w:r w:rsidRPr="00465FB3">
        <w:rPr>
          <w:rFonts w:ascii="Times New Roman" w:hAnsi="Times New Roman"/>
          <w:bCs/>
          <w:sz w:val="24"/>
          <w:szCs w:val="24"/>
          <w:u w:val="single"/>
        </w:rPr>
        <w:t>Danny Cade v. County of Bladen</w:t>
      </w:r>
      <w:r w:rsidRPr="00465FB3">
        <w:rPr>
          <w:rFonts w:ascii="Times New Roman" w:hAnsi="Times New Roman"/>
          <w:bCs/>
          <w:sz w:val="24"/>
          <w:szCs w:val="24"/>
        </w:rPr>
        <w:t xml:space="preserve">, U.S. District Court Judge Louise W. Flannigan, Eastern District of North Carolina (Western Division), granted the County’s motion for summary judgment, dismissing the race-discrimination lawsuit. </w:t>
      </w:r>
    </w:p>
    <w:p w14:paraId="361E608D" w14:textId="77777777" w:rsidR="007A1E7A" w:rsidRPr="00465FB3" w:rsidRDefault="007A1E7A" w:rsidP="007A1E7A">
      <w:pPr>
        <w:pStyle w:val="NoSpacing"/>
        <w:ind w:left="720"/>
        <w:rPr>
          <w:rFonts w:ascii="Times New Roman" w:hAnsi="Times New Roman"/>
          <w:b/>
          <w:bCs/>
          <w:sz w:val="24"/>
          <w:szCs w:val="24"/>
        </w:rPr>
      </w:pPr>
    </w:p>
    <w:p w14:paraId="466ABF90" w14:textId="77777777" w:rsidR="007A1E7A" w:rsidRDefault="007A1E7A" w:rsidP="007A1E7A">
      <w:pPr>
        <w:pStyle w:val="NoSpacing"/>
        <w:ind w:left="720"/>
        <w:rPr>
          <w:rFonts w:ascii="Times New Roman" w:hAnsi="Times New Roman"/>
          <w:bCs/>
          <w:sz w:val="24"/>
          <w:szCs w:val="24"/>
        </w:rPr>
      </w:pPr>
      <w:r w:rsidRPr="00465FB3">
        <w:rPr>
          <w:rFonts w:ascii="Times New Roman" w:hAnsi="Times New Roman"/>
          <w:bCs/>
          <w:sz w:val="24"/>
          <w:szCs w:val="24"/>
        </w:rPr>
        <w:t xml:space="preserve">“Defendant meets its burden by coming forward with legitimate nondiscriminatory reasons for plaintiff's suspension and termination. Bowman testified that, on January 27, 2017, plaintiff failed properly to use an endotracheal tube to help the patient breathe. (Bowman Dep. (DE 40-3, 43-3) 41:5-43:15, 48:16-49:10, 52:6-25). Bowman asked if any medication had been given, plaintiff responded he had administered two epinephrine pills, though all the epinephrine pills were still in the bag. (Bowman Dep. (DE 40-3, 43-3) </w:t>
      </w:r>
    </w:p>
    <w:p w14:paraId="0843E16A" w14:textId="77777777" w:rsidR="007A1E7A" w:rsidRDefault="007A1E7A" w:rsidP="007A1E7A">
      <w:pPr>
        <w:pStyle w:val="NoSpacing"/>
        <w:ind w:left="720"/>
        <w:rPr>
          <w:rFonts w:ascii="Times New Roman" w:hAnsi="Times New Roman"/>
          <w:bCs/>
          <w:sz w:val="24"/>
          <w:szCs w:val="24"/>
        </w:rPr>
      </w:pPr>
    </w:p>
    <w:p w14:paraId="2F2B5AC7" w14:textId="77777777" w:rsidR="007A1E7A" w:rsidRDefault="007A1E7A" w:rsidP="007A1E7A">
      <w:pPr>
        <w:pStyle w:val="NoSpacing"/>
        <w:ind w:left="720"/>
        <w:rPr>
          <w:rFonts w:ascii="Times New Roman" w:hAnsi="Times New Roman"/>
          <w:bCs/>
          <w:sz w:val="24"/>
          <w:szCs w:val="24"/>
        </w:rPr>
      </w:pPr>
    </w:p>
    <w:p w14:paraId="2D4651C5" w14:textId="77777777" w:rsidR="007A1E7A" w:rsidRPr="00465FB3" w:rsidRDefault="007A1E7A" w:rsidP="007A1E7A">
      <w:pPr>
        <w:pStyle w:val="NoSpacing"/>
        <w:ind w:left="720"/>
        <w:rPr>
          <w:rFonts w:ascii="Times New Roman" w:hAnsi="Times New Roman"/>
          <w:sz w:val="24"/>
          <w:szCs w:val="24"/>
        </w:rPr>
      </w:pPr>
      <w:r w:rsidRPr="00465FB3">
        <w:rPr>
          <w:rFonts w:ascii="Times New Roman" w:hAnsi="Times New Roman"/>
          <w:bCs/>
          <w:sz w:val="24"/>
          <w:szCs w:val="24"/>
        </w:rPr>
        <w:t xml:space="preserve">43:16-44:4, 48:9-15). Bowman testified that plaintiff failed properly to take a diagnostic of the patient's heart. (Bowman Dep. (DE 40-3, 43-3) 46:14-22, 59:1-11). Singletary, who was also on the call with plaintiff, and Bowman both filed reports identifying deficiencies in the care administered by plaintiff to the patient. (Cade Dep. (DE 40-2) Ex. 12, 13). *** A peer review committee was convened to review the call and determined that a state investigation was necessary regarding whether plaintiff failed to follow proper treatment protocol, negligently performed his duties, and falsified patient records. (Cade Dep. (DE 40-2) Ex. 15). Defendant suspended plaintiff without pay pending investigation of these issues by the state, and it explained that plaintiff's continued </w:t>
      </w:r>
      <w:proofErr w:type="gramStart"/>
      <w:r w:rsidRPr="00465FB3">
        <w:rPr>
          <w:rFonts w:ascii="Times New Roman" w:hAnsi="Times New Roman"/>
          <w:bCs/>
          <w:sz w:val="24"/>
          <w:szCs w:val="24"/>
        </w:rPr>
        <w:t>employed</w:t>
      </w:r>
      <w:proofErr w:type="gramEnd"/>
      <w:r w:rsidRPr="00465FB3">
        <w:rPr>
          <w:rFonts w:ascii="Times New Roman" w:hAnsi="Times New Roman"/>
          <w:bCs/>
          <w:sz w:val="24"/>
          <w:szCs w:val="24"/>
        </w:rPr>
        <w:t xml:space="preserve"> with the state would be contingent on the state findings of investigation. (Cade Dep. (DE 40-2) Ex. 15, 16). The state investigation </w:t>
      </w:r>
      <w:r w:rsidRPr="00465FB3">
        <w:rPr>
          <w:rFonts w:ascii="Times New Roman" w:eastAsia="Times New Roman" w:hAnsi="Times New Roman"/>
          <w:bCs/>
          <w:sz w:val="24"/>
          <w:szCs w:val="24"/>
        </w:rPr>
        <w:t xml:space="preserve">[by </w:t>
      </w:r>
      <w:r w:rsidRPr="00465FB3">
        <w:rPr>
          <w:rFonts w:ascii="Times New Roman" w:hAnsi="Times New Roman"/>
          <w:bCs/>
          <w:sz w:val="24"/>
          <w:szCs w:val="24"/>
        </w:rPr>
        <w:t>North Carolina Office of Emergency Medical Services]</w:t>
      </w:r>
      <w:r w:rsidRPr="00465FB3">
        <w:rPr>
          <w:rFonts w:ascii="Times New Roman" w:hAnsi="Times New Roman"/>
          <w:sz w:val="24"/>
          <w:szCs w:val="24"/>
        </w:rPr>
        <w:t xml:space="preserve"> </w:t>
      </w:r>
      <w:r w:rsidRPr="00465FB3">
        <w:rPr>
          <w:rFonts w:ascii="Times New Roman" w:hAnsi="Times New Roman"/>
          <w:bCs/>
          <w:sz w:val="24"/>
          <w:szCs w:val="24"/>
        </w:rPr>
        <w:t xml:space="preserve">found numerous deficiencies in plaintiff's performance on the job, determined that plaintiff falsified details of the call, and revoked plaintiff's EMT-P credential. (Cade Dep. (DE 40-2) Ex. 20). Relying on the same factual findings as the state, </w:t>
      </w:r>
      <w:proofErr w:type="gramStart"/>
      <w:r w:rsidRPr="00465FB3">
        <w:rPr>
          <w:rFonts w:ascii="Times New Roman" w:hAnsi="Times New Roman"/>
          <w:bCs/>
          <w:sz w:val="24"/>
          <w:szCs w:val="24"/>
        </w:rPr>
        <w:t>defendant</w:t>
      </w:r>
      <w:proofErr w:type="gramEnd"/>
      <w:r w:rsidRPr="00465FB3">
        <w:rPr>
          <w:rFonts w:ascii="Times New Roman" w:hAnsi="Times New Roman"/>
          <w:bCs/>
          <w:sz w:val="24"/>
          <w:szCs w:val="24"/>
        </w:rPr>
        <w:t xml:space="preserve"> terminated plaintiff's employment for violating county policy. (Cade Dep. (DE 40-2) Ex. 21, 22).”</w:t>
      </w:r>
      <w:r w:rsidRPr="00465FB3">
        <w:rPr>
          <w:rFonts w:ascii="Times New Roman" w:hAnsi="Times New Roman"/>
          <w:sz w:val="24"/>
          <w:szCs w:val="24"/>
        </w:rPr>
        <w:t xml:space="preserve"> </w:t>
      </w:r>
      <w:hyperlink r:id="rId2430" w:history="1">
        <w:r w:rsidRPr="00465FB3">
          <w:rPr>
            <w:rStyle w:val="Hyperlink"/>
            <w:rFonts w:ascii="Times New Roman" w:hAnsi="Times New Roman"/>
            <w:bCs/>
            <w:sz w:val="24"/>
            <w:szCs w:val="24"/>
          </w:rPr>
          <w:t>https://public.fastcase.com/Wl%2B2t%2BeVuI35%2FN70vAMFZiXFpIhEfmm%2F8CTY%2Fzzj67xZNFbM2CzcHQjFO%2Fg%2BhpjG</w:t>
        </w:r>
      </w:hyperlink>
      <w:r w:rsidRPr="00465FB3">
        <w:rPr>
          <w:rFonts w:ascii="Times New Roman" w:hAnsi="Times New Roman"/>
          <w:bCs/>
          <w:sz w:val="24"/>
          <w:szCs w:val="24"/>
        </w:rPr>
        <w:t xml:space="preserve"> </w:t>
      </w:r>
    </w:p>
    <w:p w14:paraId="263C0693" w14:textId="77777777" w:rsidR="007A1E7A" w:rsidRPr="00465FB3" w:rsidRDefault="007A1E7A" w:rsidP="007A1E7A">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 xml:space="preserve">Legal Lessons Learned: The EMS Department properly notified State EMS Board of serious violations of protocol; suspended Medic and awaited state investigation before terminating the Medic. </w:t>
      </w:r>
    </w:p>
    <w:p w14:paraId="659D2EA1" w14:textId="77777777" w:rsidR="007A1E7A" w:rsidRDefault="007A1E7A" w:rsidP="002B1283">
      <w:pPr>
        <w:rPr>
          <w:rFonts w:ascii="Arial Black" w:hAnsi="Arial Black"/>
          <w:b/>
          <w:bCs/>
          <w:sz w:val="28"/>
          <w:szCs w:val="28"/>
        </w:rPr>
      </w:pPr>
    </w:p>
    <w:p w14:paraId="5C29A0F3" w14:textId="11E6FDA4" w:rsidR="00021E64" w:rsidRDefault="00021E64" w:rsidP="002B1283">
      <w:pPr>
        <w:rPr>
          <w:rFonts w:ascii="Arial Black" w:hAnsi="Arial Black"/>
          <w:b/>
          <w:bCs/>
          <w:sz w:val="28"/>
          <w:szCs w:val="28"/>
        </w:rPr>
      </w:pPr>
      <w:r>
        <w:rPr>
          <w:rFonts w:ascii="Arial Black" w:hAnsi="Arial Black"/>
          <w:b/>
          <w:bCs/>
          <w:sz w:val="28"/>
          <w:szCs w:val="28"/>
        </w:rPr>
        <w:t>13-4</w:t>
      </w:r>
      <w:r w:rsidR="007A1E7A">
        <w:rPr>
          <w:rFonts w:ascii="Arial Black" w:hAnsi="Arial Black"/>
          <w:b/>
          <w:bCs/>
          <w:sz w:val="28"/>
          <w:szCs w:val="28"/>
        </w:rPr>
        <w:t>3</w:t>
      </w:r>
    </w:p>
    <w:p w14:paraId="20BAA0F2" w14:textId="77777777" w:rsidR="00021E64" w:rsidRPr="00E72B44" w:rsidRDefault="00021E64" w:rsidP="00021E64">
      <w:pPr>
        <w:pStyle w:val="NoSpacing"/>
        <w:rPr>
          <w:rFonts w:ascii="Arial Black" w:hAnsi="Arial Black"/>
          <w:b/>
          <w:bCs/>
          <w:sz w:val="28"/>
          <w:szCs w:val="28"/>
        </w:rPr>
      </w:pPr>
      <w:bookmarkStart w:id="476" w:name="_Hlk39819998"/>
      <w:r w:rsidRPr="00E72B44">
        <w:rPr>
          <w:rFonts w:ascii="Arial Black" w:hAnsi="Arial Black"/>
          <w:bCs/>
          <w:sz w:val="28"/>
          <w:szCs w:val="28"/>
        </w:rPr>
        <w:t xml:space="preserve">TN: </w:t>
      </w:r>
      <w:r>
        <w:rPr>
          <w:rFonts w:ascii="Arial Black" w:hAnsi="Arial Black"/>
          <w:bCs/>
          <w:sz w:val="28"/>
          <w:szCs w:val="28"/>
        </w:rPr>
        <w:t>COMBATIVE PATIENT – PD RESTRAINED PATIENT - EMS USED SUCCINYLCHOLINE – QUALIFIED IMMUNITY, FOLLOWED PROTOCOL</w:t>
      </w:r>
    </w:p>
    <w:p w14:paraId="32BD2361" w14:textId="77777777" w:rsidR="00021E64" w:rsidRDefault="00021E64" w:rsidP="00021E64">
      <w:pPr>
        <w:pStyle w:val="NoSpacing"/>
        <w:ind w:left="720"/>
        <w:rPr>
          <w:b/>
          <w:bCs/>
          <w:sz w:val="24"/>
          <w:szCs w:val="24"/>
        </w:rPr>
      </w:pPr>
    </w:p>
    <w:p w14:paraId="1D03144F" w14:textId="77777777" w:rsidR="00021E64" w:rsidRPr="004236BE" w:rsidRDefault="00021E64" w:rsidP="00021E64">
      <w:pPr>
        <w:pStyle w:val="NoSpacing"/>
        <w:rPr>
          <w:rFonts w:ascii="Times New Roman" w:hAnsi="Times New Roman"/>
          <w:b/>
          <w:bCs/>
          <w:sz w:val="24"/>
          <w:szCs w:val="24"/>
        </w:rPr>
      </w:pPr>
      <w:r w:rsidRPr="004236BE">
        <w:rPr>
          <w:rFonts w:ascii="Times New Roman" w:hAnsi="Times New Roman"/>
          <w:bCs/>
          <w:sz w:val="24"/>
          <w:szCs w:val="24"/>
        </w:rPr>
        <w:t xml:space="preserve">On Jan. 21, 2020, in </w:t>
      </w:r>
      <w:r w:rsidRPr="004236BE">
        <w:rPr>
          <w:rFonts w:ascii="Times New Roman" w:hAnsi="Times New Roman"/>
          <w:bCs/>
          <w:sz w:val="24"/>
          <w:szCs w:val="24"/>
          <w:u w:val="single"/>
        </w:rPr>
        <w:t>Estate of Dustin Barnwell v. Mitchell Grigsby, et al</w:t>
      </w:r>
      <w:r w:rsidRPr="004236BE">
        <w:rPr>
          <w:rFonts w:ascii="Times New Roman" w:hAnsi="Times New Roman"/>
          <w:bCs/>
          <w:sz w:val="24"/>
          <w:szCs w:val="24"/>
        </w:rPr>
        <w:t xml:space="preserve">., the U.S. Court of Appeals for the Sixth Circuit (Cincinnati, OH) held 3 to 0 that the U.S. District Court judge, after three days of trial before a jury, properly dismissed the lawsuit against police and paramedics. </w:t>
      </w:r>
    </w:p>
    <w:p w14:paraId="1A2EECE6" w14:textId="77777777" w:rsidR="00021E64" w:rsidRPr="004236BE" w:rsidRDefault="00021E64" w:rsidP="00021E64">
      <w:pPr>
        <w:pStyle w:val="NoSpacing"/>
        <w:ind w:left="720"/>
        <w:rPr>
          <w:rFonts w:ascii="Times New Roman" w:hAnsi="Times New Roman"/>
          <w:b/>
          <w:bCs/>
          <w:sz w:val="24"/>
          <w:szCs w:val="24"/>
        </w:rPr>
      </w:pPr>
    </w:p>
    <w:p w14:paraId="1542F100" w14:textId="77777777" w:rsidR="00021E64" w:rsidRPr="004236BE" w:rsidRDefault="00021E64" w:rsidP="00021E64">
      <w:pPr>
        <w:pStyle w:val="NoSpacing"/>
        <w:ind w:left="720"/>
        <w:rPr>
          <w:rFonts w:ascii="Times New Roman" w:hAnsi="Times New Roman"/>
          <w:b/>
          <w:bCs/>
          <w:sz w:val="24"/>
          <w:szCs w:val="24"/>
        </w:rPr>
      </w:pPr>
      <w:r w:rsidRPr="004236BE">
        <w:rPr>
          <w:rFonts w:ascii="Times New Roman" w:hAnsi="Times New Roman"/>
          <w:bCs/>
          <w:sz w:val="24"/>
          <w:szCs w:val="24"/>
        </w:rPr>
        <w:t xml:space="preserve">“After three days of trial, the district court found that the defendants’ entitlement to qualified immunity resolved the ultimate issue in the case: whether administration of succinylcholine to Barnwell constituted </w:t>
      </w:r>
      <w:proofErr w:type="gramStart"/>
      <w:r w:rsidRPr="004236BE">
        <w:rPr>
          <w:rFonts w:ascii="Times New Roman" w:hAnsi="Times New Roman"/>
          <w:bCs/>
          <w:sz w:val="24"/>
          <w:szCs w:val="24"/>
        </w:rPr>
        <w:t>constitutionally-impermissible</w:t>
      </w:r>
      <w:proofErr w:type="gramEnd"/>
      <w:r w:rsidRPr="004236BE">
        <w:rPr>
          <w:rFonts w:ascii="Times New Roman" w:hAnsi="Times New Roman"/>
          <w:bCs/>
          <w:sz w:val="24"/>
          <w:szCs w:val="24"/>
        </w:rPr>
        <w:t xml:space="preserve"> excessive force. The district court properly viewed the evidence in the light most favorable to Gilmore and found that there was no legally sufficient basis fora reasonable jury to find for Gilmore on the ultimate issue in the case.”</w:t>
      </w:r>
      <w:r w:rsidRPr="004236BE">
        <w:rPr>
          <w:rFonts w:ascii="Times New Roman" w:hAnsi="Times New Roman"/>
          <w:sz w:val="24"/>
          <w:szCs w:val="24"/>
        </w:rPr>
        <w:t xml:space="preserve"> </w:t>
      </w:r>
      <w:hyperlink r:id="rId2431" w:history="1">
        <w:r w:rsidRPr="004236BE">
          <w:rPr>
            <w:rStyle w:val="Hyperlink"/>
            <w:rFonts w:ascii="Times New Roman" w:hAnsi="Times New Roman"/>
            <w:b/>
            <w:sz w:val="24"/>
            <w:szCs w:val="24"/>
          </w:rPr>
          <w:t>https://cases.justia.com/federal/appellate-courts/ca6/18-5480/18-5480-2020-01-21.pdf?ts=1579627818</w:t>
        </w:r>
      </w:hyperlink>
      <w:r w:rsidRPr="004236BE">
        <w:rPr>
          <w:rFonts w:ascii="Times New Roman" w:hAnsi="Times New Roman"/>
          <w:bCs/>
          <w:sz w:val="24"/>
          <w:szCs w:val="24"/>
        </w:rPr>
        <w:t xml:space="preserve"> </w:t>
      </w:r>
    </w:p>
    <w:bookmarkEnd w:id="476"/>
    <w:p w14:paraId="7D77084D" w14:textId="77777777" w:rsidR="00021E64" w:rsidRDefault="00021E64" w:rsidP="00021E64">
      <w:pPr>
        <w:pStyle w:val="NoSpacing"/>
        <w:rPr>
          <w:rFonts w:ascii="Times New Roman" w:hAnsi="Times New Roman"/>
          <w:b/>
          <w:bCs/>
          <w:sz w:val="24"/>
          <w:szCs w:val="24"/>
        </w:rPr>
      </w:pPr>
    </w:p>
    <w:p w14:paraId="3D79DD9D" w14:textId="0737A9BA" w:rsidR="00021E64" w:rsidRPr="004236BE" w:rsidRDefault="00021E64" w:rsidP="00021E64">
      <w:pPr>
        <w:pStyle w:val="NoSpacing"/>
        <w:rPr>
          <w:rFonts w:ascii="Times New Roman" w:eastAsia="Times New Roman" w:hAnsi="Times New Roman"/>
          <w:b/>
          <w:bCs/>
          <w:sz w:val="24"/>
          <w:szCs w:val="24"/>
        </w:rPr>
      </w:pPr>
      <w:bookmarkStart w:id="477" w:name="_Hlk40514480"/>
      <w:r w:rsidRPr="004236BE">
        <w:rPr>
          <w:rFonts w:ascii="Times New Roman" w:hAnsi="Times New Roman"/>
          <w:b/>
          <w:bCs/>
          <w:sz w:val="24"/>
          <w:szCs w:val="24"/>
        </w:rPr>
        <w:t xml:space="preserve">Legal Lessons Learned: Thoroughly document details about the combative patient, and </w:t>
      </w:r>
      <w:r>
        <w:rPr>
          <w:rFonts w:ascii="Times New Roman" w:hAnsi="Times New Roman"/>
          <w:b/>
          <w:bCs/>
          <w:sz w:val="24"/>
          <w:szCs w:val="24"/>
        </w:rPr>
        <w:t xml:space="preserve">protocol on </w:t>
      </w:r>
      <w:r w:rsidRPr="004236BE">
        <w:rPr>
          <w:rFonts w:ascii="Times New Roman" w:hAnsi="Times New Roman"/>
          <w:b/>
          <w:bCs/>
          <w:sz w:val="24"/>
          <w:szCs w:val="24"/>
        </w:rPr>
        <w:t xml:space="preserve">meds administered </w:t>
      </w:r>
      <w:r>
        <w:rPr>
          <w:rFonts w:ascii="Times New Roman" w:hAnsi="Times New Roman"/>
          <w:b/>
          <w:bCs/>
          <w:sz w:val="24"/>
          <w:szCs w:val="24"/>
        </w:rPr>
        <w:t xml:space="preserve">was followed. </w:t>
      </w:r>
    </w:p>
    <w:p w14:paraId="531D28FF" w14:textId="77777777" w:rsidR="00021E64" w:rsidRDefault="00021E64" w:rsidP="002B1283">
      <w:pPr>
        <w:rPr>
          <w:rFonts w:ascii="Arial Black" w:hAnsi="Arial Black"/>
          <w:b/>
          <w:bCs/>
          <w:sz w:val="28"/>
          <w:szCs w:val="28"/>
        </w:rPr>
      </w:pPr>
    </w:p>
    <w:bookmarkEnd w:id="477"/>
    <w:p w14:paraId="305E8D18" w14:textId="77777777" w:rsidR="00021E64" w:rsidRDefault="00021E64" w:rsidP="00DE0F03">
      <w:pPr>
        <w:pStyle w:val="NoSpacing"/>
        <w:rPr>
          <w:rFonts w:ascii="Arial Black" w:hAnsi="Arial Black"/>
          <w:sz w:val="24"/>
          <w:szCs w:val="24"/>
        </w:rPr>
      </w:pPr>
    </w:p>
    <w:p w14:paraId="5269B26C" w14:textId="5A8944E7" w:rsidR="00420322" w:rsidRDefault="00420322" w:rsidP="00DE0F03">
      <w:pPr>
        <w:pStyle w:val="NoSpacing"/>
        <w:rPr>
          <w:rFonts w:ascii="Arial Black" w:hAnsi="Arial Black"/>
          <w:sz w:val="24"/>
          <w:szCs w:val="24"/>
        </w:rPr>
      </w:pPr>
      <w:r>
        <w:rPr>
          <w:rFonts w:ascii="Arial Black" w:hAnsi="Arial Black"/>
          <w:sz w:val="24"/>
          <w:szCs w:val="24"/>
        </w:rPr>
        <w:t>13-4</w:t>
      </w:r>
      <w:r w:rsidR="007A1E7A">
        <w:rPr>
          <w:rFonts w:ascii="Arial Black" w:hAnsi="Arial Black"/>
          <w:sz w:val="24"/>
          <w:szCs w:val="24"/>
        </w:rPr>
        <w:t>2</w:t>
      </w:r>
    </w:p>
    <w:p w14:paraId="03855AE1" w14:textId="2DFC2981" w:rsidR="00420322" w:rsidRDefault="00420322" w:rsidP="00DE0F03">
      <w:pPr>
        <w:pStyle w:val="NoSpacing"/>
        <w:rPr>
          <w:rFonts w:ascii="Arial Black" w:hAnsi="Arial Black"/>
          <w:sz w:val="24"/>
          <w:szCs w:val="24"/>
        </w:rPr>
      </w:pPr>
    </w:p>
    <w:p w14:paraId="5C0F8BD1" w14:textId="6EF9963B" w:rsidR="00420322" w:rsidRPr="00F81147" w:rsidRDefault="00420322" w:rsidP="00420322">
      <w:pPr>
        <w:rPr>
          <w:rFonts w:ascii="Arial Black" w:hAnsi="Arial Black"/>
          <w:sz w:val="28"/>
          <w:szCs w:val="28"/>
        </w:rPr>
      </w:pPr>
      <w:bookmarkStart w:id="478" w:name="_Hlk39820349"/>
      <w:bookmarkStart w:id="479" w:name="_Hlk41297971"/>
      <w:r w:rsidRPr="00AF53CE">
        <w:rPr>
          <w:rFonts w:ascii="Arial Black" w:hAnsi="Arial Black"/>
          <w:sz w:val="28"/>
          <w:szCs w:val="28"/>
        </w:rPr>
        <w:t xml:space="preserve">GA: </w:t>
      </w:r>
      <w:r>
        <w:rPr>
          <w:rFonts w:ascii="Arial Black" w:hAnsi="Arial Black"/>
          <w:sz w:val="28"/>
          <w:szCs w:val="28"/>
        </w:rPr>
        <w:t>EMT – OBJECTED WHEN TOLD TO FALSIFY PATIENTS CAN’T WALK – LATER FIRED, DIDN’T INFORM DIR. 2</w:t>
      </w:r>
      <w:r w:rsidRPr="00AC5D85">
        <w:rPr>
          <w:rFonts w:ascii="Arial Black" w:hAnsi="Arial Black"/>
          <w:sz w:val="28"/>
          <w:szCs w:val="28"/>
          <w:vertAlign w:val="superscript"/>
        </w:rPr>
        <w:t>nd</w:t>
      </w:r>
      <w:r>
        <w:rPr>
          <w:rFonts w:ascii="Arial Black" w:hAnsi="Arial Black"/>
          <w:sz w:val="28"/>
          <w:szCs w:val="28"/>
        </w:rPr>
        <w:t xml:space="preserve"> EMS JOB – NO RETALIATION </w:t>
      </w:r>
      <w:r w:rsidR="00F81147">
        <w:rPr>
          <w:rFonts w:ascii="Arial Black" w:hAnsi="Arial Black"/>
          <w:sz w:val="28"/>
          <w:szCs w:val="28"/>
        </w:rPr>
        <w:t xml:space="preserve">                                                                                              </w:t>
      </w:r>
      <w:r>
        <w:rPr>
          <w:rFonts w:ascii="Times New Roman" w:hAnsi="Times New Roman"/>
          <w:sz w:val="24"/>
          <w:szCs w:val="24"/>
        </w:rPr>
        <w:t xml:space="preserve">On Jan. 3, 2020, in </w:t>
      </w:r>
      <w:r w:rsidRPr="00AF53CE">
        <w:rPr>
          <w:rFonts w:ascii="Times New Roman" w:hAnsi="Times New Roman"/>
          <w:sz w:val="24"/>
          <w:szCs w:val="24"/>
          <w:u w:val="single"/>
        </w:rPr>
        <w:t>Jamie Nesbitt v. Chandler County, GA, d.b.a. Chandler County Ambulance Service</w:t>
      </w:r>
      <w:r>
        <w:rPr>
          <w:rFonts w:ascii="Times New Roman" w:hAnsi="Times New Roman"/>
          <w:sz w:val="24"/>
          <w:szCs w:val="24"/>
        </w:rPr>
        <w:t>, the U.S. Court of Appeals for the 11</w:t>
      </w:r>
      <w:r w:rsidRPr="00AF53CE">
        <w:rPr>
          <w:rFonts w:ascii="Times New Roman" w:hAnsi="Times New Roman"/>
          <w:sz w:val="24"/>
          <w:szCs w:val="24"/>
          <w:vertAlign w:val="superscript"/>
        </w:rPr>
        <w:t>th</w:t>
      </w:r>
      <w:r>
        <w:rPr>
          <w:rFonts w:ascii="Times New Roman" w:hAnsi="Times New Roman"/>
          <w:sz w:val="24"/>
          <w:szCs w:val="24"/>
        </w:rPr>
        <w:t xml:space="preserve"> Circuit (Atlanta) held 3 to 0 that the U.S. District Court judge properly dismissed the EMT’s False Claims Act lawsuit claiming retaliation.  He was fired for having an undisclosed second job working for a private ambulance company; no proof that “but for” his being a whistleblower he would have been fired. </w:t>
      </w:r>
    </w:p>
    <w:p w14:paraId="5B73BD32" w14:textId="77777777" w:rsidR="00420322" w:rsidRPr="00127858" w:rsidRDefault="00420322" w:rsidP="00420322">
      <w:pPr>
        <w:ind w:left="720"/>
        <w:rPr>
          <w:rFonts w:ascii="Times New Roman" w:hAnsi="Times New Roman"/>
          <w:sz w:val="24"/>
          <w:szCs w:val="24"/>
        </w:rPr>
      </w:pPr>
      <w:r>
        <w:rPr>
          <w:rFonts w:ascii="Times New Roman" w:hAnsi="Times New Roman"/>
          <w:sz w:val="24"/>
          <w:szCs w:val="24"/>
        </w:rPr>
        <w:t>“</w:t>
      </w:r>
      <w:r w:rsidRPr="00127858">
        <w:rPr>
          <w:rFonts w:ascii="Times New Roman" w:hAnsi="Times New Roman"/>
          <w:sz w:val="24"/>
          <w:szCs w:val="24"/>
        </w:rPr>
        <w:t xml:space="preserve">According to Nesbitt, when Greer became the deputy </w:t>
      </w:r>
      <w:proofErr w:type="gramStart"/>
      <w:r w:rsidRPr="00127858">
        <w:rPr>
          <w:rFonts w:ascii="Times New Roman" w:hAnsi="Times New Roman"/>
          <w:sz w:val="24"/>
          <w:szCs w:val="24"/>
        </w:rPr>
        <w:t>director</w:t>
      </w:r>
      <w:proofErr w:type="gramEnd"/>
      <w:r w:rsidRPr="00127858">
        <w:rPr>
          <w:rFonts w:ascii="Times New Roman" w:hAnsi="Times New Roman"/>
          <w:sz w:val="24"/>
          <w:szCs w:val="24"/>
        </w:rPr>
        <w:t xml:space="preserve"> he started pressuring the EMTs to write in their report narratives that patients were unable to walk, even if they could. That </w:t>
      </w:r>
      <w:proofErr w:type="gramStart"/>
      <w:r w:rsidRPr="00127858">
        <w:rPr>
          <w:rFonts w:ascii="Times New Roman" w:hAnsi="Times New Roman"/>
          <w:sz w:val="24"/>
          <w:szCs w:val="24"/>
        </w:rPr>
        <w:t>way</w:t>
      </w:r>
      <w:proofErr w:type="gramEnd"/>
      <w:r w:rsidRPr="00127858">
        <w:rPr>
          <w:rFonts w:ascii="Times New Roman" w:hAnsi="Times New Roman"/>
          <w:sz w:val="24"/>
          <w:szCs w:val="24"/>
        </w:rPr>
        <w:t xml:space="preserve"> Medicare would pay for more trips. Nesbitt believed that Greer was asking him to commit fraud, so he began complaining to Greer himself and other County officials.  *** The County had a policy prohibiting EMTs from working side jobs without the approval of the ambulance service director. Greer was not the director, David Moore was. Nesbitt assumed that Moore somehow knew about his other job, but there’s no evidence that Moore did know about it, much less that he approved it.</w:t>
      </w:r>
      <w:r>
        <w:rPr>
          <w:rFonts w:ascii="Times New Roman" w:hAnsi="Times New Roman"/>
          <w:sz w:val="24"/>
          <w:szCs w:val="24"/>
        </w:rPr>
        <w:t xml:space="preserve">” </w:t>
      </w:r>
      <w:bookmarkStart w:id="480" w:name="_Hlk41151938"/>
      <w:r w:rsidR="00F37A4B">
        <w:fldChar w:fldCharType="begin"/>
      </w:r>
      <w:r w:rsidR="00F37A4B">
        <w:instrText xml:space="preserve"> HYPERLINK "http://media.ca11.uscourts.gov/opinions/pub/files/201814484.pdf" </w:instrText>
      </w:r>
      <w:r w:rsidR="00F37A4B">
        <w:fldChar w:fldCharType="separate"/>
      </w:r>
      <w:r w:rsidRPr="00631896">
        <w:rPr>
          <w:rStyle w:val="Hyperlink"/>
          <w:rFonts w:ascii="Times New Roman" w:hAnsi="Times New Roman"/>
          <w:sz w:val="24"/>
          <w:szCs w:val="24"/>
        </w:rPr>
        <w:t>http://media.ca11.uscourts.gov/opinions/pub/files/201814484.pdf</w:t>
      </w:r>
      <w:r w:rsidR="00F37A4B">
        <w:rPr>
          <w:rStyle w:val="Hyperlink"/>
          <w:rFonts w:ascii="Times New Roman" w:hAnsi="Times New Roman"/>
          <w:sz w:val="24"/>
          <w:szCs w:val="24"/>
        </w:rPr>
        <w:fldChar w:fldCharType="end"/>
      </w:r>
      <w:r>
        <w:rPr>
          <w:rFonts w:ascii="Times New Roman" w:hAnsi="Times New Roman"/>
          <w:sz w:val="24"/>
          <w:szCs w:val="24"/>
        </w:rPr>
        <w:t xml:space="preserve"> </w:t>
      </w:r>
    </w:p>
    <w:bookmarkEnd w:id="478"/>
    <w:p w14:paraId="3DD10371" w14:textId="4B44F376" w:rsidR="00420322" w:rsidRPr="00F37A4B" w:rsidRDefault="00F37A4B" w:rsidP="00DE0F03">
      <w:pPr>
        <w:pStyle w:val="NoSpacing"/>
        <w:rPr>
          <w:rFonts w:ascii="Times New Roman" w:hAnsi="Times New Roman"/>
          <w:b/>
          <w:bCs/>
          <w:sz w:val="24"/>
          <w:szCs w:val="24"/>
        </w:rPr>
      </w:pPr>
      <w:r w:rsidRPr="00F37A4B">
        <w:rPr>
          <w:rFonts w:ascii="Times New Roman" w:hAnsi="Times New Roman"/>
          <w:b/>
          <w:bCs/>
          <w:sz w:val="24"/>
          <w:szCs w:val="24"/>
        </w:rPr>
        <w:t xml:space="preserve">Legal Lessons Learned: </w:t>
      </w:r>
      <w:r>
        <w:rPr>
          <w:rFonts w:ascii="Times New Roman" w:hAnsi="Times New Roman"/>
          <w:b/>
          <w:bCs/>
          <w:sz w:val="24"/>
          <w:szCs w:val="24"/>
        </w:rPr>
        <w:t xml:space="preserve"> Employer had basis for termination. </w:t>
      </w:r>
    </w:p>
    <w:bookmarkEnd w:id="480"/>
    <w:p w14:paraId="51A03752" w14:textId="77777777" w:rsidR="00420322" w:rsidRDefault="00420322" w:rsidP="00DE0F03">
      <w:pPr>
        <w:pStyle w:val="NoSpacing"/>
        <w:rPr>
          <w:rFonts w:ascii="Arial Black" w:hAnsi="Arial Black"/>
          <w:sz w:val="24"/>
          <w:szCs w:val="24"/>
        </w:rPr>
      </w:pPr>
    </w:p>
    <w:bookmarkEnd w:id="479"/>
    <w:p w14:paraId="17EA2C23" w14:textId="77777777" w:rsidR="00420322" w:rsidRDefault="00420322" w:rsidP="00DE0F03">
      <w:pPr>
        <w:pStyle w:val="NoSpacing"/>
        <w:rPr>
          <w:rFonts w:ascii="Arial Black" w:hAnsi="Arial Black"/>
          <w:sz w:val="24"/>
          <w:szCs w:val="24"/>
        </w:rPr>
      </w:pPr>
    </w:p>
    <w:p w14:paraId="373A5411" w14:textId="3FF15815" w:rsidR="00420322" w:rsidRDefault="00420322" w:rsidP="00DE0F03">
      <w:pPr>
        <w:pStyle w:val="NoSpacing"/>
        <w:rPr>
          <w:rFonts w:ascii="Arial Black" w:hAnsi="Arial Black"/>
          <w:sz w:val="24"/>
          <w:szCs w:val="24"/>
        </w:rPr>
      </w:pPr>
      <w:r>
        <w:rPr>
          <w:rFonts w:ascii="Arial Black" w:hAnsi="Arial Black"/>
          <w:sz w:val="24"/>
          <w:szCs w:val="24"/>
        </w:rPr>
        <w:t>13-4</w:t>
      </w:r>
      <w:r w:rsidR="007A1E7A">
        <w:rPr>
          <w:rFonts w:ascii="Arial Black" w:hAnsi="Arial Black"/>
          <w:sz w:val="24"/>
          <w:szCs w:val="24"/>
        </w:rPr>
        <w:t>1</w:t>
      </w:r>
    </w:p>
    <w:p w14:paraId="4AFBD5AD" w14:textId="7252AC36" w:rsidR="00420322" w:rsidRDefault="00420322" w:rsidP="00DE0F03">
      <w:pPr>
        <w:pStyle w:val="NoSpacing"/>
        <w:rPr>
          <w:rFonts w:ascii="Arial Black" w:hAnsi="Arial Black"/>
          <w:sz w:val="24"/>
          <w:szCs w:val="24"/>
        </w:rPr>
      </w:pPr>
    </w:p>
    <w:p w14:paraId="319522F0" w14:textId="77777777" w:rsidR="00420322" w:rsidRPr="00F02676" w:rsidRDefault="00420322" w:rsidP="00420322">
      <w:pPr>
        <w:rPr>
          <w:rFonts w:ascii="Arial Black" w:hAnsi="Arial Black"/>
          <w:sz w:val="28"/>
          <w:szCs w:val="28"/>
        </w:rPr>
      </w:pPr>
      <w:bookmarkStart w:id="481" w:name="_Hlk41152123"/>
      <w:r w:rsidRPr="00F02676">
        <w:rPr>
          <w:rFonts w:ascii="Arial Black" w:hAnsi="Arial Black"/>
          <w:sz w:val="28"/>
          <w:szCs w:val="28"/>
        </w:rPr>
        <w:t xml:space="preserve">FL: </w:t>
      </w:r>
      <w:r>
        <w:rPr>
          <w:rFonts w:ascii="Arial Black" w:hAnsi="Arial Black"/>
          <w:sz w:val="28"/>
          <w:szCs w:val="28"/>
        </w:rPr>
        <w:t>HIGH SCHOOL FOOTBALL – HEAT EXHAUSTION / DIED - COACH DELAYED CALLING 911 – NO LIABILITY, LACK REQUISITE CONTROL</w:t>
      </w:r>
    </w:p>
    <w:p w14:paraId="416A27F4" w14:textId="77777777" w:rsidR="00420322" w:rsidRDefault="00420322" w:rsidP="00420322">
      <w:pPr>
        <w:rPr>
          <w:rFonts w:ascii="Times New Roman" w:hAnsi="Times New Roman"/>
          <w:sz w:val="24"/>
          <w:szCs w:val="24"/>
        </w:rPr>
      </w:pPr>
      <w:r w:rsidRPr="00F02676">
        <w:rPr>
          <w:rFonts w:ascii="Times New Roman" w:hAnsi="Times New Roman"/>
          <w:sz w:val="24"/>
          <w:szCs w:val="24"/>
        </w:rPr>
        <w:t xml:space="preserve">On Jan. 2, 2019, in </w:t>
      </w:r>
      <w:r w:rsidRPr="00F02676">
        <w:rPr>
          <w:rFonts w:ascii="Times New Roman" w:hAnsi="Times New Roman"/>
          <w:sz w:val="24"/>
          <w:szCs w:val="24"/>
          <w:u w:val="single"/>
        </w:rPr>
        <w:t>Laurie Alice Giordano v. The School Board of Lee County, Florida and James Delgado</w:t>
      </w:r>
      <w:r>
        <w:rPr>
          <w:rFonts w:ascii="Times New Roman" w:hAnsi="Times New Roman"/>
          <w:sz w:val="24"/>
          <w:szCs w:val="24"/>
        </w:rPr>
        <w:t xml:space="preserve">, U.S. District Court Judge John E. Steele, U.S. District Court, Middle District of Florida (Fort Myers Division), granted defendants motion to dismiss. </w:t>
      </w:r>
    </w:p>
    <w:p w14:paraId="208BA285" w14:textId="77777777" w:rsidR="00420322" w:rsidRPr="00F02676" w:rsidRDefault="00420322" w:rsidP="00420322">
      <w:pPr>
        <w:ind w:left="720"/>
        <w:rPr>
          <w:rFonts w:ascii="Times New Roman" w:hAnsi="Times New Roman"/>
          <w:sz w:val="24"/>
          <w:szCs w:val="24"/>
        </w:rPr>
      </w:pPr>
      <w:r>
        <w:rPr>
          <w:rFonts w:ascii="Times New Roman" w:hAnsi="Times New Roman"/>
          <w:sz w:val="24"/>
          <w:szCs w:val="24"/>
        </w:rPr>
        <w:t>“</w:t>
      </w:r>
      <w:r w:rsidRPr="00F02676">
        <w:rPr>
          <w:rFonts w:ascii="Times New Roman" w:hAnsi="Times New Roman"/>
          <w:sz w:val="24"/>
          <w:szCs w:val="24"/>
        </w:rPr>
        <w:t>Mere compulsory attendance at a public school does not give rise to a constitutional duty of protection under the Due Process Clause because public schools generally lack the requisite control over children to impose such a duty of care upon these institutions.</w:t>
      </w:r>
      <w:r>
        <w:rPr>
          <w:rFonts w:ascii="Times New Roman" w:hAnsi="Times New Roman"/>
          <w:sz w:val="24"/>
          <w:szCs w:val="24"/>
        </w:rPr>
        <w:t xml:space="preserve">” </w:t>
      </w:r>
      <w:hyperlink r:id="rId2432" w:history="1">
        <w:r w:rsidRPr="006C1964">
          <w:rPr>
            <w:rStyle w:val="Hyperlink"/>
            <w:rFonts w:ascii="Times New Roman" w:hAnsi="Times New Roman"/>
            <w:sz w:val="24"/>
            <w:szCs w:val="24"/>
          </w:rPr>
          <w:t>https://ecf.flmd.uscourts.gov/cgi-bin/show_public_doc?2019-00439-60-2-cv</w:t>
        </w:r>
      </w:hyperlink>
      <w:r>
        <w:rPr>
          <w:rFonts w:ascii="Times New Roman" w:hAnsi="Times New Roman"/>
          <w:sz w:val="24"/>
          <w:szCs w:val="24"/>
        </w:rPr>
        <w:t xml:space="preserve"> </w:t>
      </w:r>
    </w:p>
    <w:p w14:paraId="68A58967" w14:textId="10725851" w:rsidR="00420322" w:rsidRPr="00E658E1" w:rsidRDefault="00E658E1" w:rsidP="00DE0F03">
      <w:pPr>
        <w:pStyle w:val="NoSpacing"/>
        <w:rPr>
          <w:rFonts w:ascii="Times New Roman" w:hAnsi="Times New Roman"/>
          <w:b/>
          <w:bCs/>
          <w:sz w:val="24"/>
          <w:szCs w:val="24"/>
        </w:rPr>
      </w:pPr>
      <w:r w:rsidRPr="00E658E1">
        <w:rPr>
          <w:rFonts w:ascii="Times New Roman" w:hAnsi="Times New Roman"/>
          <w:b/>
          <w:bCs/>
          <w:sz w:val="24"/>
          <w:szCs w:val="24"/>
        </w:rPr>
        <w:t>Legal Lesson Learned:</w:t>
      </w:r>
      <w:r>
        <w:rPr>
          <w:rFonts w:ascii="Times New Roman" w:hAnsi="Times New Roman"/>
          <w:b/>
          <w:bCs/>
          <w:sz w:val="24"/>
          <w:szCs w:val="24"/>
        </w:rPr>
        <w:t xml:space="preserve"> </w:t>
      </w:r>
      <w:r w:rsidRPr="00E658E1">
        <w:rPr>
          <w:rFonts w:ascii="Times New Roman" w:hAnsi="Times New Roman"/>
          <w:b/>
          <w:bCs/>
          <w:sz w:val="24"/>
          <w:szCs w:val="24"/>
        </w:rPr>
        <w:t xml:space="preserve">Football and other athletic coaches need training in signs of serious </w:t>
      </w:r>
      <w:proofErr w:type="gramStart"/>
      <w:r w:rsidRPr="00E658E1">
        <w:rPr>
          <w:rFonts w:ascii="Times New Roman" w:hAnsi="Times New Roman"/>
          <w:b/>
          <w:bCs/>
          <w:sz w:val="24"/>
          <w:szCs w:val="24"/>
        </w:rPr>
        <w:t>illness, and</w:t>
      </w:r>
      <w:proofErr w:type="gramEnd"/>
      <w:r w:rsidRPr="00E658E1">
        <w:rPr>
          <w:rFonts w:ascii="Times New Roman" w:hAnsi="Times New Roman"/>
          <w:b/>
          <w:bCs/>
          <w:sz w:val="24"/>
          <w:szCs w:val="24"/>
        </w:rPr>
        <w:t xml:space="preserve"> need to promptly call 911.</w:t>
      </w:r>
    </w:p>
    <w:bookmarkEnd w:id="481"/>
    <w:p w14:paraId="4DE7B7AC" w14:textId="77777777" w:rsidR="00420322" w:rsidRDefault="00420322" w:rsidP="00DE0F03">
      <w:pPr>
        <w:pStyle w:val="NoSpacing"/>
        <w:rPr>
          <w:rFonts w:ascii="Arial Black" w:hAnsi="Arial Black"/>
          <w:sz w:val="24"/>
          <w:szCs w:val="24"/>
        </w:rPr>
      </w:pPr>
    </w:p>
    <w:p w14:paraId="7BD0DAF7" w14:textId="77777777" w:rsidR="00420322" w:rsidRDefault="00420322" w:rsidP="00DE0F03">
      <w:pPr>
        <w:pStyle w:val="NoSpacing"/>
        <w:rPr>
          <w:rFonts w:ascii="Arial Black" w:hAnsi="Arial Black"/>
          <w:sz w:val="24"/>
          <w:szCs w:val="24"/>
        </w:rPr>
      </w:pPr>
    </w:p>
    <w:p w14:paraId="3CFF2485" w14:textId="47B5ECA6" w:rsidR="00420322" w:rsidRDefault="00420322" w:rsidP="00DE0F03">
      <w:pPr>
        <w:pStyle w:val="NoSpacing"/>
        <w:rPr>
          <w:rFonts w:ascii="Arial Black" w:hAnsi="Arial Black"/>
          <w:sz w:val="24"/>
          <w:szCs w:val="24"/>
        </w:rPr>
      </w:pPr>
      <w:r>
        <w:rPr>
          <w:rFonts w:ascii="Arial Black" w:hAnsi="Arial Black"/>
          <w:sz w:val="24"/>
          <w:szCs w:val="24"/>
        </w:rPr>
        <w:t>13-</w:t>
      </w:r>
      <w:r w:rsidR="007A1E7A">
        <w:rPr>
          <w:rFonts w:ascii="Arial Black" w:hAnsi="Arial Black"/>
          <w:sz w:val="24"/>
          <w:szCs w:val="24"/>
        </w:rPr>
        <w:t>40</w:t>
      </w:r>
    </w:p>
    <w:p w14:paraId="2543D7E4" w14:textId="36BE05AB" w:rsidR="00420322" w:rsidRDefault="00420322" w:rsidP="00DE0F03">
      <w:pPr>
        <w:pStyle w:val="NoSpacing"/>
        <w:rPr>
          <w:rFonts w:ascii="Arial Black" w:hAnsi="Arial Black"/>
          <w:sz w:val="24"/>
          <w:szCs w:val="24"/>
        </w:rPr>
      </w:pPr>
    </w:p>
    <w:p w14:paraId="60D59A59" w14:textId="77777777" w:rsidR="00420322" w:rsidRDefault="00420322" w:rsidP="00420322">
      <w:pPr>
        <w:rPr>
          <w:rFonts w:ascii="Arial Black" w:hAnsi="Arial Black"/>
          <w:sz w:val="28"/>
          <w:szCs w:val="28"/>
        </w:rPr>
      </w:pPr>
      <w:bookmarkStart w:id="482" w:name="_Hlk41152157"/>
      <w:r w:rsidRPr="00C44FF6">
        <w:rPr>
          <w:rFonts w:ascii="Arial Black" w:hAnsi="Arial Black"/>
          <w:sz w:val="28"/>
          <w:szCs w:val="28"/>
        </w:rPr>
        <w:t xml:space="preserve">TX: </w:t>
      </w:r>
      <w:r>
        <w:rPr>
          <w:rFonts w:ascii="Arial Black" w:hAnsi="Arial Black"/>
          <w:sz w:val="28"/>
          <w:szCs w:val="28"/>
        </w:rPr>
        <w:t>POTHOLE - MOTORCYCLIST INJURED – DIDN’T INFORM CITY OF POTHOLE - EMS RUN RPT. NOT “ACTUAL NOTICE” – CASE DISMISSED</w:t>
      </w:r>
    </w:p>
    <w:p w14:paraId="7D8F2743" w14:textId="77777777" w:rsidR="00420322" w:rsidRPr="00C44FF6" w:rsidRDefault="00420322" w:rsidP="00420322">
      <w:pPr>
        <w:rPr>
          <w:rFonts w:ascii="Times New Roman" w:hAnsi="Times New Roman"/>
          <w:sz w:val="24"/>
          <w:szCs w:val="24"/>
        </w:rPr>
      </w:pPr>
      <w:r w:rsidRPr="00C44FF6">
        <w:rPr>
          <w:rFonts w:ascii="Times New Roman" w:hAnsi="Times New Roman"/>
          <w:sz w:val="24"/>
          <w:szCs w:val="24"/>
        </w:rPr>
        <w:t xml:space="preserve">On </w:t>
      </w:r>
      <w:r>
        <w:rPr>
          <w:rFonts w:ascii="Times New Roman" w:hAnsi="Times New Roman"/>
          <w:sz w:val="24"/>
          <w:szCs w:val="24"/>
        </w:rPr>
        <w:t xml:space="preserve">Dec. 31, 2019, in </w:t>
      </w:r>
      <w:r w:rsidRPr="00C44FF6">
        <w:rPr>
          <w:rFonts w:ascii="Times New Roman" w:hAnsi="Times New Roman"/>
          <w:sz w:val="24"/>
          <w:szCs w:val="24"/>
          <w:u w:val="single"/>
        </w:rPr>
        <w:t>City of Houston v. Elvin D. Miller</w:t>
      </w:r>
      <w:r>
        <w:rPr>
          <w:rFonts w:ascii="Times New Roman" w:hAnsi="Times New Roman"/>
          <w:sz w:val="24"/>
          <w:szCs w:val="24"/>
        </w:rPr>
        <w:t xml:space="preserve">, the Court of Appeals for the First District of Texas, held (3 to 0) that the trial judge should have dismissed this lawsuit. </w:t>
      </w:r>
    </w:p>
    <w:p w14:paraId="77E23ADC" w14:textId="27A3D0C8" w:rsidR="00420322" w:rsidRDefault="00420322" w:rsidP="00420322">
      <w:pPr>
        <w:ind w:left="720"/>
        <w:rPr>
          <w:rFonts w:ascii="Times New Roman" w:hAnsi="Times New Roman"/>
          <w:sz w:val="24"/>
          <w:szCs w:val="24"/>
        </w:rPr>
      </w:pPr>
      <w:r>
        <w:rPr>
          <w:rFonts w:ascii="Times New Roman" w:hAnsi="Times New Roman"/>
          <w:sz w:val="24"/>
          <w:szCs w:val="24"/>
        </w:rPr>
        <w:t>“</w:t>
      </w:r>
      <w:r w:rsidRPr="00C44FF6">
        <w:rPr>
          <w:rFonts w:ascii="Times New Roman" w:hAnsi="Times New Roman"/>
          <w:sz w:val="24"/>
          <w:szCs w:val="24"/>
        </w:rPr>
        <w:t>Accordingly, we hold</w:t>
      </w:r>
      <w:r>
        <w:rPr>
          <w:rFonts w:ascii="Times New Roman" w:hAnsi="Times New Roman"/>
          <w:sz w:val="24"/>
          <w:szCs w:val="24"/>
        </w:rPr>
        <w:t xml:space="preserve"> </w:t>
      </w:r>
      <w:r w:rsidRPr="00C44FF6">
        <w:rPr>
          <w:rFonts w:ascii="Times New Roman" w:hAnsi="Times New Roman"/>
          <w:sz w:val="24"/>
          <w:szCs w:val="24"/>
        </w:rPr>
        <w:t>that Miller</w:t>
      </w:r>
      <w:r>
        <w:rPr>
          <w:rFonts w:ascii="Times New Roman" w:hAnsi="Times New Roman"/>
          <w:sz w:val="24"/>
          <w:szCs w:val="24"/>
        </w:rPr>
        <w:t xml:space="preserve"> </w:t>
      </w:r>
      <w:r w:rsidRPr="00C44FF6">
        <w:rPr>
          <w:rFonts w:ascii="Times New Roman" w:hAnsi="Times New Roman"/>
          <w:sz w:val="24"/>
          <w:szCs w:val="24"/>
        </w:rPr>
        <w:t>has not demonstrated</w:t>
      </w:r>
      <w:r>
        <w:rPr>
          <w:rFonts w:ascii="Times New Roman" w:hAnsi="Times New Roman"/>
          <w:sz w:val="24"/>
          <w:szCs w:val="24"/>
        </w:rPr>
        <w:t xml:space="preserve"> </w:t>
      </w:r>
      <w:r w:rsidRPr="00C44FF6">
        <w:rPr>
          <w:rFonts w:ascii="Times New Roman" w:hAnsi="Times New Roman"/>
          <w:sz w:val="24"/>
          <w:szCs w:val="24"/>
        </w:rPr>
        <w:t>that the City was subjectively aware</w:t>
      </w:r>
      <w:r>
        <w:rPr>
          <w:rFonts w:ascii="Times New Roman" w:hAnsi="Times New Roman"/>
          <w:sz w:val="24"/>
          <w:szCs w:val="24"/>
        </w:rPr>
        <w:t xml:space="preserve"> </w:t>
      </w:r>
      <w:r w:rsidRPr="00C44FF6">
        <w:rPr>
          <w:rFonts w:ascii="Times New Roman" w:hAnsi="Times New Roman"/>
          <w:sz w:val="24"/>
          <w:szCs w:val="24"/>
        </w:rPr>
        <w:t>of its fault in producing</w:t>
      </w:r>
      <w:r>
        <w:rPr>
          <w:rFonts w:ascii="Times New Roman" w:hAnsi="Times New Roman"/>
          <w:sz w:val="24"/>
          <w:szCs w:val="24"/>
        </w:rPr>
        <w:t xml:space="preserve"> </w:t>
      </w:r>
      <w:r w:rsidRPr="00C44FF6">
        <w:rPr>
          <w:rFonts w:ascii="Times New Roman" w:hAnsi="Times New Roman"/>
          <w:sz w:val="24"/>
          <w:szCs w:val="24"/>
        </w:rPr>
        <w:t>or causing his</w:t>
      </w:r>
      <w:r>
        <w:rPr>
          <w:rFonts w:ascii="Times New Roman" w:hAnsi="Times New Roman"/>
          <w:sz w:val="24"/>
          <w:szCs w:val="24"/>
        </w:rPr>
        <w:t xml:space="preserve"> </w:t>
      </w:r>
      <w:r w:rsidRPr="00C44FF6">
        <w:rPr>
          <w:rFonts w:ascii="Times New Roman" w:hAnsi="Times New Roman"/>
          <w:sz w:val="24"/>
          <w:szCs w:val="24"/>
        </w:rPr>
        <w:t>injuries</w:t>
      </w:r>
      <w:r>
        <w:rPr>
          <w:rFonts w:ascii="Times New Roman" w:hAnsi="Times New Roman"/>
          <w:sz w:val="24"/>
          <w:szCs w:val="24"/>
        </w:rPr>
        <w:t xml:space="preserve"> </w:t>
      </w:r>
      <w:r w:rsidRPr="00C44FF6">
        <w:rPr>
          <w:rFonts w:ascii="Times New Roman" w:hAnsi="Times New Roman"/>
          <w:sz w:val="24"/>
          <w:szCs w:val="24"/>
        </w:rPr>
        <w:t>such that it had actual notice of his claims</w:t>
      </w:r>
      <w:r>
        <w:rPr>
          <w:rFonts w:ascii="Times New Roman" w:hAnsi="Times New Roman"/>
          <w:sz w:val="24"/>
          <w:szCs w:val="24"/>
        </w:rPr>
        <w:t xml:space="preserve"> </w:t>
      </w:r>
      <w:r w:rsidRPr="00C44FF6">
        <w:rPr>
          <w:rFonts w:ascii="Times New Roman" w:hAnsi="Times New Roman"/>
          <w:sz w:val="24"/>
          <w:szCs w:val="24"/>
        </w:rPr>
        <w:t>prior to the jurisdictional deadline for giving notice of</w:t>
      </w:r>
      <w:r>
        <w:rPr>
          <w:rFonts w:ascii="Times New Roman" w:hAnsi="Times New Roman"/>
          <w:sz w:val="24"/>
          <w:szCs w:val="24"/>
        </w:rPr>
        <w:t xml:space="preserve"> </w:t>
      </w:r>
      <w:r w:rsidRPr="00C44FF6">
        <w:rPr>
          <w:rFonts w:ascii="Times New Roman" w:hAnsi="Times New Roman"/>
          <w:sz w:val="24"/>
          <w:szCs w:val="24"/>
        </w:rPr>
        <w:t>his claims.</w:t>
      </w:r>
      <w:r>
        <w:rPr>
          <w:rFonts w:ascii="Times New Roman" w:hAnsi="Times New Roman"/>
          <w:sz w:val="24"/>
          <w:szCs w:val="24"/>
        </w:rPr>
        <w:t xml:space="preserve">” </w:t>
      </w:r>
      <w:hyperlink r:id="rId2433" w:history="1">
        <w:r w:rsidRPr="006C1964">
          <w:rPr>
            <w:rStyle w:val="Hyperlink"/>
            <w:rFonts w:ascii="Times New Roman" w:hAnsi="Times New Roman"/>
            <w:sz w:val="24"/>
            <w:szCs w:val="24"/>
          </w:rPr>
          <w:t>https://cases.justia.com/texas/first-court-of-appeals/2019-01-19-00450-cv.pdf?ts=1577798110</w:t>
        </w:r>
      </w:hyperlink>
      <w:r>
        <w:rPr>
          <w:rFonts w:ascii="Times New Roman" w:hAnsi="Times New Roman"/>
          <w:sz w:val="24"/>
          <w:szCs w:val="24"/>
        </w:rPr>
        <w:t xml:space="preserve"> </w:t>
      </w:r>
    </w:p>
    <w:p w14:paraId="47935559" w14:textId="3D25BCD3" w:rsidR="00E658E1" w:rsidRPr="00E658E1" w:rsidRDefault="00E658E1" w:rsidP="00E658E1">
      <w:pPr>
        <w:rPr>
          <w:rFonts w:ascii="Times New Roman" w:hAnsi="Times New Roman"/>
          <w:b/>
          <w:bCs/>
          <w:sz w:val="24"/>
          <w:szCs w:val="24"/>
        </w:rPr>
      </w:pPr>
      <w:r w:rsidRPr="00E658E1">
        <w:rPr>
          <w:rFonts w:ascii="Times New Roman" w:hAnsi="Times New Roman"/>
          <w:b/>
          <w:bCs/>
          <w:sz w:val="24"/>
          <w:szCs w:val="24"/>
        </w:rPr>
        <w:t xml:space="preserve">Legal Lessons Learned: If EMS respond to serious </w:t>
      </w:r>
      <w:proofErr w:type="gramStart"/>
      <w:r w:rsidRPr="00E658E1">
        <w:rPr>
          <w:rFonts w:ascii="Times New Roman" w:hAnsi="Times New Roman"/>
          <w:b/>
          <w:bCs/>
          <w:sz w:val="24"/>
          <w:szCs w:val="24"/>
        </w:rPr>
        <w:t>accident</w:t>
      </w:r>
      <w:proofErr w:type="gramEnd"/>
      <w:r w:rsidRPr="00E658E1">
        <w:rPr>
          <w:rFonts w:ascii="Times New Roman" w:hAnsi="Times New Roman"/>
          <w:b/>
          <w:bCs/>
          <w:sz w:val="24"/>
          <w:szCs w:val="24"/>
        </w:rPr>
        <w:t xml:space="preserve"> and patient advises it was caused by pothole, notify the city immediately of the pothole so it can be filled and similar injuries avoided.</w:t>
      </w:r>
    </w:p>
    <w:bookmarkEnd w:id="482"/>
    <w:p w14:paraId="6FE38F99" w14:textId="77777777" w:rsidR="00420322" w:rsidRDefault="00420322" w:rsidP="00DE0F03">
      <w:pPr>
        <w:pStyle w:val="NoSpacing"/>
        <w:rPr>
          <w:rFonts w:ascii="Arial Black" w:hAnsi="Arial Black"/>
          <w:sz w:val="24"/>
          <w:szCs w:val="24"/>
        </w:rPr>
      </w:pPr>
    </w:p>
    <w:p w14:paraId="5839CA0A" w14:textId="31EE5DD4" w:rsidR="00420322" w:rsidRDefault="00420322"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9</w:t>
      </w:r>
    </w:p>
    <w:p w14:paraId="39685BF6" w14:textId="77777777" w:rsidR="00420322" w:rsidRDefault="00420322" w:rsidP="00DE0F03">
      <w:pPr>
        <w:pStyle w:val="NoSpacing"/>
        <w:rPr>
          <w:rFonts w:ascii="Arial Black" w:hAnsi="Arial Black"/>
          <w:sz w:val="24"/>
          <w:szCs w:val="24"/>
        </w:rPr>
      </w:pPr>
    </w:p>
    <w:p w14:paraId="2C758E7E" w14:textId="77777777" w:rsidR="00420322" w:rsidRPr="00327BE0" w:rsidRDefault="00420322" w:rsidP="00420322">
      <w:pPr>
        <w:rPr>
          <w:rFonts w:ascii="Arial Black" w:hAnsi="Arial Black"/>
          <w:sz w:val="28"/>
          <w:szCs w:val="28"/>
        </w:rPr>
      </w:pPr>
      <w:bookmarkStart w:id="483" w:name="_Hlk41152252"/>
      <w:r>
        <w:rPr>
          <w:rFonts w:ascii="Arial Black" w:hAnsi="Arial Black"/>
          <w:sz w:val="28"/>
          <w:szCs w:val="28"/>
        </w:rPr>
        <w:t>L</w:t>
      </w:r>
      <w:r w:rsidRPr="00327BE0">
        <w:rPr>
          <w:rFonts w:ascii="Arial Black" w:hAnsi="Arial Black"/>
          <w:sz w:val="28"/>
          <w:szCs w:val="28"/>
        </w:rPr>
        <w:t>A</w:t>
      </w:r>
      <w:r>
        <w:rPr>
          <w:rFonts w:ascii="Arial Black" w:hAnsi="Arial Black"/>
          <w:sz w:val="28"/>
          <w:szCs w:val="28"/>
        </w:rPr>
        <w:t>: PARAMEDIC LETTER TO BOARD – NEED POLICY CHANGES – FIRED 19 MOS. LATER – FALSIFYING TRAINING RECORDS – NO RETALIATION</w:t>
      </w:r>
    </w:p>
    <w:p w14:paraId="34E848D9" w14:textId="37C2F112" w:rsidR="00420322" w:rsidRDefault="00420322" w:rsidP="00420322">
      <w:pPr>
        <w:pStyle w:val="NoSpacing"/>
        <w:rPr>
          <w:rFonts w:ascii="In" w:hAnsi="In"/>
          <w:sz w:val="24"/>
          <w:szCs w:val="24"/>
        </w:rPr>
      </w:pPr>
      <w:r>
        <w:rPr>
          <w:rFonts w:ascii="In" w:hAnsi="In"/>
          <w:sz w:val="24"/>
          <w:szCs w:val="24"/>
        </w:rPr>
        <w:t xml:space="preserve">On Dec. 17, 2019, in </w:t>
      </w:r>
      <w:r w:rsidRPr="009F6F16">
        <w:rPr>
          <w:rFonts w:ascii="Times New Roman" w:hAnsi="Times New Roman"/>
          <w:sz w:val="24"/>
          <w:szCs w:val="24"/>
          <w:u w:val="single"/>
        </w:rPr>
        <w:t>Patrick A. Benefield; Brian Scott Warren v. Joe D. Magee</w:t>
      </w:r>
      <w:r>
        <w:rPr>
          <w:rFonts w:ascii="In" w:hAnsi="In"/>
          <w:sz w:val="24"/>
          <w:szCs w:val="24"/>
        </w:rPr>
        <w:t>, the U.S. Court of Appeals for the 5</w:t>
      </w:r>
      <w:r w:rsidRPr="009F6F16">
        <w:rPr>
          <w:rFonts w:ascii="In" w:hAnsi="In"/>
          <w:sz w:val="24"/>
          <w:szCs w:val="24"/>
          <w:vertAlign w:val="superscript"/>
        </w:rPr>
        <w:t>th</w:t>
      </w:r>
      <w:r>
        <w:rPr>
          <w:rFonts w:ascii="In" w:hAnsi="In"/>
          <w:sz w:val="24"/>
          <w:szCs w:val="24"/>
        </w:rPr>
        <w:t xml:space="preserve"> Circuit (New Orleans) held (3 to 0) that </w:t>
      </w:r>
      <w:r w:rsidR="00BD7C29">
        <w:rPr>
          <w:rFonts w:ascii="In" w:hAnsi="In"/>
          <w:sz w:val="24"/>
          <w:szCs w:val="24"/>
        </w:rPr>
        <w:t xml:space="preserve">19-month gap too long; no retaliation. </w:t>
      </w:r>
    </w:p>
    <w:p w14:paraId="4E3F74D6" w14:textId="77777777" w:rsidR="00420322" w:rsidRDefault="00420322" w:rsidP="00420322">
      <w:pPr>
        <w:pStyle w:val="NoSpacing"/>
        <w:rPr>
          <w:rFonts w:ascii="In" w:hAnsi="In"/>
          <w:sz w:val="24"/>
          <w:szCs w:val="24"/>
        </w:rPr>
      </w:pPr>
    </w:p>
    <w:p w14:paraId="737224EF" w14:textId="77777777" w:rsidR="00420322" w:rsidRPr="00D16E0D" w:rsidRDefault="00420322" w:rsidP="00420322">
      <w:pPr>
        <w:pStyle w:val="NoSpacing"/>
        <w:ind w:left="720"/>
        <w:rPr>
          <w:rFonts w:ascii="Times New Roman" w:hAnsi="Times New Roman"/>
          <w:sz w:val="24"/>
          <w:szCs w:val="24"/>
        </w:rPr>
      </w:pPr>
      <w:r>
        <w:rPr>
          <w:rFonts w:ascii="Times New Roman" w:hAnsi="Times New Roman"/>
          <w:sz w:val="24"/>
          <w:szCs w:val="24"/>
        </w:rPr>
        <w:t>“</w:t>
      </w:r>
      <w:r w:rsidRPr="00D16E0D">
        <w:rPr>
          <w:rFonts w:ascii="Times New Roman" w:hAnsi="Times New Roman"/>
          <w:sz w:val="24"/>
          <w:szCs w:val="24"/>
        </w:rPr>
        <w:t xml:space="preserve">The issues, therefore, are (1) whether Warren’s speech was on a matter of public concern and (2) whether his June 2015 letter was a substantial or motivating factor for his firing. We agree with Magee </w:t>
      </w:r>
      <w:r>
        <w:rPr>
          <w:rFonts w:ascii="Times New Roman" w:hAnsi="Times New Roman"/>
          <w:sz w:val="24"/>
          <w:szCs w:val="24"/>
        </w:rPr>
        <w:t xml:space="preserve">[EMS Manager] </w:t>
      </w:r>
      <w:r w:rsidRPr="00D16E0D">
        <w:rPr>
          <w:rFonts w:ascii="Times New Roman" w:hAnsi="Times New Roman"/>
          <w:sz w:val="24"/>
          <w:szCs w:val="24"/>
        </w:rPr>
        <w:t>that Warren failed to allege a sufficient causal connection between his letter and his firing</w:t>
      </w:r>
      <w:r>
        <w:rPr>
          <w:rFonts w:ascii="Times New Roman" w:hAnsi="Times New Roman"/>
          <w:sz w:val="24"/>
          <w:szCs w:val="24"/>
        </w:rPr>
        <w:t xml:space="preserve">…. </w:t>
      </w:r>
      <w:r w:rsidRPr="00D16E0D">
        <w:rPr>
          <w:rFonts w:ascii="Times New Roman" w:hAnsi="Times New Roman"/>
          <w:sz w:val="24"/>
          <w:szCs w:val="24"/>
        </w:rPr>
        <w:t>Warren sent his letter in June 2015 and was fired in January 2017—a 19-month gap</w:t>
      </w:r>
      <w:r>
        <w:rPr>
          <w:rFonts w:ascii="Times New Roman" w:hAnsi="Times New Roman"/>
          <w:sz w:val="24"/>
          <w:szCs w:val="24"/>
        </w:rPr>
        <w:t xml:space="preserve">…. </w:t>
      </w:r>
      <w:r w:rsidRPr="00D16E0D">
        <w:rPr>
          <w:rFonts w:ascii="Times New Roman" w:hAnsi="Times New Roman"/>
          <w:sz w:val="24"/>
          <w:szCs w:val="24"/>
        </w:rPr>
        <w:t xml:space="preserve">Thus, the timing, by itself, between Warren’s speech and his firing is not close enough to permit a plausible inference that Warren’s firing was causally connected to his </w:t>
      </w:r>
      <w:proofErr w:type="gramStart"/>
      <w:r w:rsidRPr="00D16E0D">
        <w:rPr>
          <w:rFonts w:ascii="Times New Roman" w:hAnsi="Times New Roman"/>
          <w:sz w:val="24"/>
          <w:szCs w:val="24"/>
        </w:rPr>
        <w:t>speech.</w:t>
      </w:r>
      <w:r>
        <w:rPr>
          <w:rFonts w:ascii="Times New Roman" w:hAnsi="Times New Roman"/>
          <w:sz w:val="24"/>
          <w:szCs w:val="24"/>
        </w:rPr>
        <w:t>”</w:t>
      </w:r>
      <w:proofErr w:type="gramEnd"/>
    </w:p>
    <w:p w14:paraId="5FAC1997" w14:textId="2045E93B" w:rsidR="00420322" w:rsidRDefault="006114FF" w:rsidP="00E658E1">
      <w:pPr>
        <w:pStyle w:val="NoSpacing"/>
        <w:ind w:firstLine="720"/>
        <w:rPr>
          <w:rFonts w:ascii="Arial Black" w:hAnsi="Arial Black"/>
          <w:sz w:val="24"/>
          <w:szCs w:val="24"/>
        </w:rPr>
      </w:pPr>
      <w:hyperlink r:id="rId2434" w:history="1">
        <w:r w:rsidRPr="002F304C">
          <w:rPr>
            <w:rStyle w:val="Hyperlink"/>
            <w:rFonts w:ascii="Times New Roman" w:hAnsi="Times New Roman"/>
            <w:sz w:val="24"/>
            <w:szCs w:val="24"/>
          </w:rPr>
          <w:t>https://cases.justia.com/federal/appellate-courts/ca5/18-30932/18-30932-2019-12-17.pdf?ts=1576629071</w:t>
        </w:r>
      </w:hyperlink>
    </w:p>
    <w:p w14:paraId="0FCF64ED" w14:textId="35033C62" w:rsidR="00420322" w:rsidRDefault="00420322" w:rsidP="00DE0F03">
      <w:pPr>
        <w:pStyle w:val="NoSpacing"/>
        <w:rPr>
          <w:rFonts w:ascii="Arial Black" w:hAnsi="Arial Black"/>
          <w:sz w:val="24"/>
          <w:szCs w:val="24"/>
        </w:rPr>
      </w:pPr>
    </w:p>
    <w:p w14:paraId="58305BBC" w14:textId="4EA3755B" w:rsidR="003464C5" w:rsidRPr="006114FF" w:rsidRDefault="006114FF" w:rsidP="00DE0F03">
      <w:pPr>
        <w:pStyle w:val="NoSpacing"/>
        <w:rPr>
          <w:rFonts w:ascii="Times New Roman" w:hAnsi="Times New Roman"/>
          <w:b/>
          <w:bCs/>
          <w:sz w:val="24"/>
          <w:szCs w:val="24"/>
        </w:rPr>
      </w:pPr>
      <w:r w:rsidRPr="006114FF">
        <w:rPr>
          <w:rFonts w:ascii="Times New Roman" w:hAnsi="Times New Roman"/>
          <w:b/>
          <w:bCs/>
          <w:sz w:val="24"/>
          <w:szCs w:val="24"/>
        </w:rPr>
        <w:t>Legal Lessons Learned:</w:t>
      </w:r>
      <w:r>
        <w:rPr>
          <w:rFonts w:ascii="Times New Roman" w:hAnsi="Times New Roman"/>
          <w:b/>
          <w:bCs/>
          <w:sz w:val="24"/>
          <w:szCs w:val="24"/>
        </w:rPr>
        <w:t xml:space="preserve"> </w:t>
      </w:r>
      <w:r w:rsidR="00BD7C29">
        <w:rPr>
          <w:rFonts w:ascii="Times New Roman" w:hAnsi="Times New Roman"/>
          <w:b/>
          <w:bCs/>
          <w:sz w:val="24"/>
          <w:szCs w:val="24"/>
        </w:rPr>
        <w:t xml:space="preserve">The </w:t>
      </w:r>
      <w:r w:rsidRPr="006114FF">
        <w:rPr>
          <w:rFonts w:ascii="Times New Roman" w:hAnsi="Times New Roman"/>
          <w:b/>
          <w:bCs/>
          <w:sz w:val="24"/>
          <w:szCs w:val="24"/>
        </w:rPr>
        <w:t xml:space="preserve">EMS Manager won </w:t>
      </w:r>
      <w:proofErr w:type="gramStart"/>
      <w:r w:rsidRPr="006114FF">
        <w:rPr>
          <w:rFonts w:ascii="Times New Roman" w:hAnsi="Times New Roman"/>
          <w:b/>
          <w:bCs/>
          <w:sz w:val="24"/>
          <w:szCs w:val="24"/>
        </w:rPr>
        <w:t xml:space="preserve">his </w:t>
      </w:r>
      <w:r w:rsidR="00BD7C29">
        <w:rPr>
          <w:rFonts w:ascii="Times New Roman" w:hAnsi="Times New Roman"/>
          <w:b/>
          <w:bCs/>
          <w:sz w:val="24"/>
          <w:szCs w:val="24"/>
        </w:rPr>
        <w:t>interlocutory</w:t>
      </w:r>
      <w:proofErr w:type="gramEnd"/>
      <w:r w:rsidR="00BD7C29">
        <w:rPr>
          <w:rFonts w:ascii="Times New Roman" w:hAnsi="Times New Roman"/>
          <w:b/>
          <w:bCs/>
          <w:sz w:val="24"/>
          <w:szCs w:val="24"/>
        </w:rPr>
        <w:t xml:space="preserve"> </w:t>
      </w:r>
      <w:proofErr w:type="gramStart"/>
      <w:r w:rsidRPr="006114FF">
        <w:rPr>
          <w:rFonts w:ascii="Times New Roman" w:hAnsi="Times New Roman"/>
          <w:b/>
          <w:bCs/>
          <w:sz w:val="24"/>
          <w:szCs w:val="24"/>
        </w:rPr>
        <w:t>appeal</w:t>
      </w:r>
      <w:proofErr w:type="gramEnd"/>
      <w:r w:rsidRPr="006114FF">
        <w:rPr>
          <w:rFonts w:ascii="Times New Roman" w:hAnsi="Times New Roman"/>
          <w:b/>
          <w:bCs/>
          <w:sz w:val="24"/>
          <w:szCs w:val="24"/>
        </w:rPr>
        <w:t xml:space="preserve"> and he is now dismissed from the lawsuit.</w:t>
      </w:r>
    </w:p>
    <w:bookmarkEnd w:id="483"/>
    <w:p w14:paraId="449D2D8B" w14:textId="77777777" w:rsidR="00420322" w:rsidRDefault="00420322" w:rsidP="00DE0F03">
      <w:pPr>
        <w:pStyle w:val="NoSpacing"/>
        <w:rPr>
          <w:rFonts w:ascii="Arial Black" w:hAnsi="Arial Black"/>
          <w:sz w:val="24"/>
          <w:szCs w:val="24"/>
        </w:rPr>
      </w:pPr>
    </w:p>
    <w:p w14:paraId="1F0C7FD8" w14:textId="77777777" w:rsidR="003464C5" w:rsidRDefault="003464C5" w:rsidP="00DE0F03">
      <w:pPr>
        <w:pStyle w:val="NoSpacing"/>
        <w:rPr>
          <w:rFonts w:ascii="Arial Black" w:hAnsi="Arial Black"/>
          <w:sz w:val="24"/>
          <w:szCs w:val="24"/>
        </w:rPr>
      </w:pPr>
    </w:p>
    <w:p w14:paraId="0635FEC3" w14:textId="77777777" w:rsidR="003464C5" w:rsidRDefault="003464C5" w:rsidP="00DE0F03">
      <w:pPr>
        <w:pStyle w:val="NoSpacing"/>
        <w:rPr>
          <w:rFonts w:ascii="Arial Black" w:hAnsi="Arial Black"/>
          <w:sz w:val="24"/>
          <w:szCs w:val="24"/>
        </w:rPr>
      </w:pPr>
    </w:p>
    <w:p w14:paraId="1442EB00" w14:textId="45395C9D" w:rsidR="00420322" w:rsidRDefault="00420322"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8</w:t>
      </w:r>
    </w:p>
    <w:p w14:paraId="45FDBC89" w14:textId="3236AB36" w:rsidR="00420322" w:rsidRDefault="00420322" w:rsidP="00DE0F03">
      <w:pPr>
        <w:pStyle w:val="NoSpacing"/>
        <w:rPr>
          <w:rFonts w:ascii="Arial Black" w:hAnsi="Arial Black"/>
          <w:sz w:val="24"/>
          <w:szCs w:val="24"/>
        </w:rPr>
      </w:pPr>
    </w:p>
    <w:p w14:paraId="49F7194F" w14:textId="77777777" w:rsidR="00420322" w:rsidRPr="00201158" w:rsidRDefault="00420322" w:rsidP="00420322">
      <w:pPr>
        <w:pStyle w:val="NormalWeb"/>
        <w:rPr>
          <w:rFonts w:ascii="Arial Black" w:hAnsi="Arial Black"/>
          <w:sz w:val="28"/>
          <w:szCs w:val="28"/>
        </w:rPr>
      </w:pPr>
      <w:bookmarkStart w:id="484" w:name="_Hlk41152380"/>
      <w:r w:rsidRPr="00201158">
        <w:rPr>
          <w:rFonts w:ascii="Arial Black" w:hAnsi="Arial Black"/>
          <w:sz w:val="28"/>
          <w:szCs w:val="28"/>
        </w:rPr>
        <w:t xml:space="preserve">WV: </w:t>
      </w:r>
      <w:r>
        <w:rPr>
          <w:rFonts w:ascii="Arial Black" w:hAnsi="Arial Black"/>
          <w:sz w:val="28"/>
          <w:szCs w:val="28"/>
        </w:rPr>
        <w:t xml:space="preserve"> DRAG RACING / SON EJECTED – MOTHER RN / FLIGHT NURSE - PD STOPS HER CARE SON; MEDICS DIDN’T TAKE PULSE – CASE PROCEED</w:t>
      </w:r>
    </w:p>
    <w:p w14:paraId="2792D427" w14:textId="77777777" w:rsidR="00420322" w:rsidRDefault="00420322" w:rsidP="00420322">
      <w:pPr>
        <w:pStyle w:val="NormalWeb"/>
      </w:pPr>
      <w:r>
        <w:t xml:space="preserve">On Dec. 5, 2019, in </w:t>
      </w:r>
      <w:r w:rsidRPr="00403915">
        <w:rPr>
          <w:u w:val="single"/>
        </w:rPr>
        <w:t>Amy Brown, individually and Administratrix of the Estate of James Brady Leonard v. Mason County Commission, Gallia County Board of Commissioners, et al.</w:t>
      </w:r>
      <w:r>
        <w:t xml:space="preserve">, U.S. District Court Judge Robert Chambers, Southern District of West Virginia (Huntington Division), the lawsuit against the Deputy Sheriff may proceed. </w:t>
      </w:r>
    </w:p>
    <w:bookmarkEnd w:id="484"/>
    <w:p w14:paraId="46E19796" w14:textId="77777777" w:rsidR="00420322" w:rsidRDefault="00420322" w:rsidP="00420322">
      <w:pPr>
        <w:pStyle w:val="NormalWeb"/>
        <w:ind w:left="720"/>
      </w:pPr>
      <w:r>
        <w:t xml:space="preserve">“Taken as true, the conduct [by County Deputy Sheriff] alleged here is certainly more than ‘merely annoying’ or ‘uncivil.’ A jury could very well determine that physically restraining a mother attempting to provide medical assistance to her son is utterly intolerable in a civilized community. </w:t>
      </w:r>
      <w:r>
        <w:rPr>
          <w:i/>
          <w:iCs/>
        </w:rPr>
        <w:t>See Travis</w:t>
      </w:r>
      <w:r>
        <w:t xml:space="preserve">, 504 S.E.2d at 425. It would be similarly reasonable for a jury to determine that Bryant acted recklessly, that his actions caused Plaintiff to suffer emotional distress, and that her distress was so severe that no reasonable person could be expected to endure it. It follows that Plaintiff has pleaded sufficient facts to state a claim for relief under </w:t>
      </w:r>
      <w:r w:rsidRPr="00F03088">
        <w:t>an [Intentional Infliction of Emotional Distress] theory.</w:t>
      </w:r>
    </w:p>
    <w:p w14:paraId="578130E7" w14:textId="77777777" w:rsidR="00420322" w:rsidRDefault="00420322" w:rsidP="00420322">
      <w:pPr>
        <w:pStyle w:val="NormalWeb"/>
        <w:ind w:left="720"/>
      </w:pPr>
      <w:r>
        <w:t>***</w:t>
      </w:r>
    </w:p>
    <w:p w14:paraId="123DFED7" w14:textId="77777777" w:rsidR="00420322" w:rsidRPr="000F68B0" w:rsidRDefault="00420322" w:rsidP="00420322">
      <w:pPr>
        <w:spacing w:before="100" w:beforeAutospacing="1" w:after="100" w:afterAutospacing="1" w:line="240" w:lineRule="auto"/>
        <w:ind w:left="720"/>
      </w:pPr>
      <w:r w:rsidRPr="00970678">
        <w:rPr>
          <w:rFonts w:ascii="Times New Roman" w:eastAsia="Times New Roman" w:hAnsi="Times New Roman"/>
          <w:sz w:val="24"/>
          <w:szCs w:val="24"/>
        </w:rPr>
        <w:t>Gallia County EMS is not entitled to dismissal. As discussed in the preceding section, Plaintiff alleges that Elliott and Turner—both Gallia County EMS responders—did not check Leonard's pulse, his breathing, or his body for injuries, and that they pronounced him dead without following proper procedures.</w:t>
      </w:r>
      <w:r>
        <w:rPr>
          <w:rFonts w:ascii="Times New Roman" w:eastAsia="Times New Roman" w:hAnsi="Times New Roman"/>
          <w:sz w:val="24"/>
          <w:szCs w:val="24"/>
        </w:rPr>
        <w:t xml:space="preserve">” </w:t>
      </w:r>
      <w:bookmarkStart w:id="485" w:name="_Hlk41152402"/>
      <w:r w:rsidR="00F37A4B">
        <w:fldChar w:fldCharType="begin"/>
      </w:r>
      <w:r w:rsidR="00F37A4B">
        <w:instrText xml:space="preserve"> HYPERLINK "https://public.fastcase.com/Wl%2B2t%2BeVuI35%2FN70vAMFZg2lBBReDY5nF88uy08v8DAnqlL%2F2Z9bDGzSJQpTYHOu" </w:instrText>
      </w:r>
      <w:r w:rsidR="00F37A4B">
        <w:fldChar w:fldCharType="separate"/>
      </w:r>
      <w:r w:rsidRPr="007A71AD">
        <w:rPr>
          <w:rStyle w:val="Hyperlink"/>
        </w:rPr>
        <w:t>https://public.fastcase.com/Wl%2B2t%2BeVuI35%2FN70vAMFZg2lBBReDY5nF88uy08v8DAnqlL%2F2Z9bDGzSJQpTYHOu</w:t>
      </w:r>
      <w:r w:rsidR="00F37A4B">
        <w:rPr>
          <w:rStyle w:val="Hyperlink"/>
        </w:rPr>
        <w:fldChar w:fldCharType="end"/>
      </w:r>
      <w:r>
        <w:t xml:space="preserve"> </w:t>
      </w:r>
    </w:p>
    <w:p w14:paraId="76530F7B" w14:textId="4E3CB12E" w:rsidR="00420322" w:rsidRPr="006114FF" w:rsidRDefault="006114FF" w:rsidP="00DE0F03">
      <w:pPr>
        <w:pStyle w:val="NoSpacing"/>
        <w:rPr>
          <w:rFonts w:ascii="Times New Roman" w:hAnsi="Times New Roman"/>
          <w:b/>
          <w:bCs/>
          <w:sz w:val="24"/>
          <w:szCs w:val="24"/>
        </w:rPr>
      </w:pPr>
      <w:r w:rsidRPr="006114FF">
        <w:rPr>
          <w:rFonts w:ascii="Times New Roman" w:hAnsi="Times New Roman"/>
          <w:b/>
          <w:bCs/>
          <w:sz w:val="24"/>
          <w:szCs w:val="24"/>
        </w:rPr>
        <w:t>Legal Lessons Learned:</w:t>
      </w:r>
      <w:r>
        <w:rPr>
          <w:rFonts w:ascii="Times New Roman" w:hAnsi="Times New Roman"/>
          <w:b/>
          <w:bCs/>
          <w:sz w:val="24"/>
          <w:szCs w:val="24"/>
        </w:rPr>
        <w:t xml:space="preserve"> </w:t>
      </w:r>
      <w:r w:rsidRPr="006114FF">
        <w:rPr>
          <w:rFonts w:ascii="Times New Roman" w:hAnsi="Times New Roman"/>
          <w:b/>
          <w:bCs/>
          <w:sz w:val="24"/>
          <w:szCs w:val="24"/>
        </w:rPr>
        <w:t>The</w:t>
      </w:r>
      <w:r>
        <w:rPr>
          <w:rFonts w:ascii="Times New Roman" w:hAnsi="Times New Roman"/>
          <w:b/>
          <w:bCs/>
          <w:sz w:val="24"/>
          <w:szCs w:val="24"/>
        </w:rPr>
        <w:t xml:space="preserve"> </w:t>
      </w:r>
      <w:r w:rsidRPr="006114FF">
        <w:rPr>
          <w:rFonts w:ascii="Times New Roman" w:hAnsi="Times New Roman"/>
          <w:b/>
          <w:bCs/>
          <w:sz w:val="24"/>
          <w:szCs w:val="24"/>
        </w:rPr>
        <w:t>lawsuit will now proceed; hopefully the EMS run report by</w:t>
      </w:r>
      <w:r>
        <w:rPr>
          <w:rFonts w:ascii="Times New Roman" w:hAnsi="Times New Roman"/>
          <w:b/>
          <w:bCs/>
          <w:sz w:val="24"/>
          <w:szCs w:val="24"/>
        </w:rPr>
        <w:t xml:space="preserve"> </w:t>
      </w:r>
      <w:r w:rsidRPr="006114FF">
        <w:rPr>
          <w:rFonts w:ascii="Times New Roman" w:hAnsi="Times New Roman"/>
          <w:b/>
          <w:bCs/>
          <w:sz w:val="24"/>
          <w:szCs w:val="24"/>
        </w:rPr>
        <w:t>the two Gallia County EMS reflects they followed their protocol prior to deciding the victim was dead at the scene</w:t>
      </w:r>
      <w:bookmarkEnd w:id="485"/>
      <w:r w:rsidRPr="006114FF">
        <w:rPr>
          <w:rFonts w:ascii="Times New Roman" w:hAnsi="Times New Roman"/>
          <w:b/>
          <w:bCs/>
          <w:sz w:val="24"/>
          <w:szCs w:val="24"/>
        </w:rPr>
        <w:t>.</w:t>
      </w:r>
    </w:p>
    <w:p w14:paraId="7A6B150B" w14:textId="77777777" w:rsidR="00420322" w:rsidRDefault="00420322" w:rsidP="00DE0F03">
      <w:pPr>
        <w:pStyle w:val="NoSpacing"/>
        <w:rPr>
          <w:rFonts w:ascii="Arial Black" w:hAnsi="Arial Black"/>
          <w:sz w:val="24"/>
          <w:szCs w:val="24"/>
        </w:rPr>
      </w:pPr>
    </w:p>
    <w:p w14:paraId="7396A196" w14:textId="77777777" w:rsidR="00420322" w:rsidRDefault="00420322" w:rsidP="00DE0F03">
      <w:pPr>
        <w:pStyle w:val="NoSpacing"/>
        <w:rPr>
          <w:rFonts w:ascii="Arial Black" w:hAnsi="Arial Black"/>
          <w:sz w:val="24"/>
          <w:szCs w:val="24"/>
        </w:rPr>
      </w:pPr>
    </w:p>
    <w:p w14:paraId="616E9133" w14:textId="32138EFF" w:rsidR="00297434" w:rsidRDefault="00297434"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7</w:t>
      </w:r>
    </w:p>
    <w:p w14:paraId="27ACE6B3" w14:textId="77777777" w:rsidR="00297434" w:rsidRDefault="00297434" w:rsidP="00297434">
      <w:pPr>
        <w:spacing w:before="100" w:beforeAutospacing="1" w:after="100" w:afterAutospacing="1" w:line="240" w:lineRule="auto"/>
        <w:jc w:val="both"/>
        <w:rPr>
          <w:rFonts w:ascii="Arial Black" w:hAnsi="Arial Black"/>
          <w:sz w:val="28"/>
          <w:szCs w:val="28"/>
        </w:rPr>
      </w:pPr>
      <w:bookmarkStart w:id="486" w:name="_Hlk41152441"/>
      <w:r>
        <w:rPr>
          <w:rFonts w:ascii="Arial Black" w:hAnsi="Arial Black"/>
          <w:sz w:val="28"/>
          <w:szCs w:val="28"/>
        </w:rPr>
        <w:t>OH: EMS RUN REPORT – DRIVER ADMITTED DRINKING WINE – TWO MEDICS TESTIFIED IN VEHICULAR HOMICIDE TRIAL</w:t>
      </w:r>
    </w:p>
    <w:p w14:paraId="2F1B2237" w14:textId="77777777" w:rsidR="00297434" w:rsidRDefault="00297434" w:rsidP="00297434">
      <w:pPr>
        <w:pStyle w:val="NoSpacing"/>
        <w:rPr>
          <w:rFonts w:ascii="Times New Roman" w:hAnsi="Times New Roman"/>
          <w:sz w:val="24"/>
          <w:szCs w:val="24"/>
        </w:rPr>
      </w:pPr>
      <w:r>
        <w:rPr>
          <w:rFonts w:ascii="Times New Roman" w:hAnsi="Times New Roman"/>
          <w:sz w:val="24"/>
          <w:szCs w:val="24"/>
        </w:rPr>
        <w:t xml:space="preserve">On Nov. 15, 2019, in State of </w:t>
      </w:r>
      <w:r>
        <w:rPr>
          <w:rFonts w:ascii="Times New Roman" w:hAnsi="Times New Roman"/>
          <w:sz w:val="24"/>
          <w:szCs w:val="24"/>
          <w:u w:val="single"/>
        </w:rPr>
        <w:t>Ohio v. Kathy J. Smith</w:t>
      </w:r>
      <w:r>
        <w:rPr>
          <w:rFonts w:ascii="Times New Roman" w:hAnsi="Times New Roman"/>
          <w:sz w:val="24"/>
          <w:szCs w:val="24"/>
        </w:rPr>
        <w:t>, the Court of Appeals of Ohio, Second Appellate District (Greene County) held (3 to 0) that defendant’s appeal is denied, and she must continue to serve her seven-year sentence for aggravated vehicular homicide.</w:t>
      </w:r>
    </w:p>
    <w:p w14:paraId="3EFC72DE" w14:textId="77777777" w:rsidR="00297434" w:rsidRDefault="00297434" w:rsidP="00297434">
      <w:pPr>
        <w:pStyle w:val="NoSpacing"/>
        <w:rPr>
          <w:rFonts w:ascii="Times New Roman" w:hAnsi="Times New Roman"/>
          <w:sz w:val="24"/>
          <w:szCs w:val="24"/>
        </w:rPr>
      </w:pPr>
    </w:p>
    <w:p w14:paraId="75CF9526"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“On appeal, Smith argues that her statements to the paramedics about drinking were analogous to the written record of those statements in the EMS run sheet. But regardless of whether the run sheet itself might or might not qualify by statute as a ‘medical record,’ we are unpersuaded that the Fourth Amendment precluded Meadows from speaking to the paramedics without a </w:t>
      </w:r>
      <w:proofErr w:type="gramStart"/>
      <w:r>
        <w:rPr>
          <w:rFonts w:ascii="Times New Roman" w:hAnsi="Times New Roman"/>
          <w:sz w:val="24"/>
          <w:szCs w:val="24"/>
        </w:rPr>
        <w:t>warrant</w:t>
      </w:r>
      <w:proofErr w:type="gramEnd"/>
      <w:r>
        <w:rPr>
          <w:rFonts w:ascii="Times New Roman" w:hAnsi="Times New Roman"/>
          <w:sz w:val="24"/>
          <w:szCs w:val="24"/>
        </w:rPr>
        <w:t xml:space="preserve"> and hearing what Smith told them about consuming alcohol. The trial court correctly found that Smith was not in law-enforcement custody when she made her voluntary statements in response to the paramedics' questions. We note too that Smith's statements were not entitled to a statutory privilege.” </w:t>
      </w:r>
      <w:hyperlink r:id="rId2435" w:history="1">
        <w:r>
          <w:rPr>
            <w:rStyle w:val="Hyperlink"/>
            <w:rFonts w:ascii="Times New Roman" w:hAnsi="Times New Roman"/>
            <w:sz w:val="24"/>
            <w:szCs w:val="24"/>
          </w:rPr>
          <w:t>https://public.fastcase.com/Wl%2B2t%2BeVuI35%2FN70vAMFZmE2ukal8IvDC5BUTFBRpPNG0o0%2FGYOYjoFH9I91Iplb</w:t>
        </w:r>
      </w:hyperlink>
      <w:r>
        <w:rPr>
          <w:rFonts w:ascii="Times New Roman" w:hAnsi="Times New Roman"/>
          <w:sz w:val="24"/>
          <w:szCs w:val="24"/>
        </w:rPr>
        <w:t xml:space="preserve"> </w:t>
      </w:r>
    </w:p>
    <w:p w14:paraId="23419F00" w14:textId="77777777" w:rsidR="00297434" w:rsidRDefault="00297434" w:rsidP="00297434">
      <w:pPr>
        <w:spacing w:after="100" w:line="240" w:lineRule="auto"/>
        <w:rPr>
          <w:rFonts w:ascii="Times New Roman" w:eastAsia="Times New Roman" w:hAnsi="Times New Roman"/>
          <w:b/>
          <w:bCs/>
          <w:sz w:val="24"/>
          <w:szCs w:val="24"/>
        </w:rPr>
      </w:pPr>
    </w:p>
    <w:p w14:paraId="2049E79E" w14:textId="277D981F" w:rsidR="00297434" w:rsidRDefault="00297434" w:rsidP="00297434">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EMS should record on EMS Run Report comments by patients about drinking alcohol prior to the accident, and other culpable admissions. </w:t>
      </w:r>
    </w:p>
    <w:bookmarkEnd w:id="486"/>
    <w:p w14:paraId="47968706" w14:textId="096603FC" w:rsidR="00297434" w:rsidRPr="00297434" w:rsidRDefault="00297434" w:rsidP="00297434">
      <w:pPr>
        <w:spacing w:after="100" w:line="240" w:lineRule="auto"/>
        <w:rPr>
          <w:rFonts w:ascii="Times New Roman" w:eastAsia="Times New Roman" w:hAnsi="Times New Roman"/>
          <w:sz w:val="24"/>
          <w:szCs w:val="24"/>
        </w:rPr>
      </w:pPr>
    </w:p>
    <w:p w14:paraId="29972D2D" w14:textId="77777777" w:rsidR="00297434" w:rsidRDefault="00297434" w:rsidP="00DE0F03">
      <w:pPr>
        <w:pStyle w:val="NoSpacing"/>
        <w:rPr>
          <w:rFonts w:ascii="Arial Black" w:hAnsi="Arial Black"/>
          <w:sz w:val="24"/>
          <w:szCs w:val="24"/>
        </w:rPr>
      </w:pPr>
    </w:p>
    <w:p w14:paraId="4BECA905" w14:textId="77777777" w:rsidR="00297434" w:rsidRDefault="00297434" w:rsidP="00DE0F03">
      <w:pPr>
        <w:pStyle w:val="NoSpacing"/>
        <w:rPr>
          <w:rFonts w:ascii="Arial Black" w:hAnsi="Arial Black"/>
          <w:sz w:val="24"/>
          <w:szCs w:val="24"/>
        </w:rPr>
      </w:pPr>
    </w:p>
    <w:p w14:paraId="3E6A5B86" w14:textId="6AD45D7C" w:rsidR="00297434" w:rsidRDefault="00297434"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6</w:t>
      </w:r>
    </w:p>
    <w:p w14:paraId="3F680522" w14:textId="1499BF39" w:rsidR="00297434" w:rsidRDefault="00297434" w:rsidP="00DE0F03">
      <w:pPr>
        <w:pStyle w:val="NoSpacing"/>
        <w:rPr>
          <w:rFonts w:ascii="Arial Black" w:hAnsi="Arial Black"/>
          <w:sz w:val="24"/>
          <w:szCs w:val="24"/>
        </w:rPr>
      </w:pPr>
    </w:p>
    <w:p w14:paraId="49A50F24" w14:textId="77777777" w:rsidR="00297434" w:rsidRDefault="00297434" w:rsidP="00297434">
      <w:pPr>
        <w:pStyle w:val="NoSpacing"/>
        <w:rPr>
          <w:rFonts w:ascii="Arial Black" w:eastAsiaTheme="minorHAnsi" w:hAnsi="Arial Black" w:cstheme="minorBidi"/>
          <w:sz w:val="28"/>
          <w:szCs w:val="28"/>
        </w:rPr>
      </w:pPr>
      <w:bookmarkStart w:id="487" w:name="_Hlk41152474"/>
      <w:r>
        <w:rPr>
          <w:rFonts w:ascii="Arial Black" w:hAnsi="Arial Black"/>
          <w:sz w:val="28"/>
          <w:szCs w:val="28"/>
        </w:rPr>
        <w:t xml:space="preserve">IN: OPERATOR PRIVATE AMBUL. CO. INDICTED – DIALYSIS PATIENT TRANSPORTS – IMPROPERLY BILLED MEDICARE </w:t>
      </w:r>
    </w:p>
    <w:p w14:paraId="5C42B8CF" w14:textId="77777777" w:rsidR="00297434" w:rsidRDefault="00297434" w:rsidP="00297434">
      <w:pPr>
        <w:pStyle w:val="NoSpacing"/>
        <w:rPr>
          <w:rFonts w:ascii="Arial Black" w:hAnsi="Arial Black"/>
          <w:sz w:val="28"/>
          <w:szCs w:val="28"/>
        </w:rPr>
      </w:pPr>
    </w:p>
    <w:p w14:paraId="16981FD9" w14:textId="6AE5F09F" w:rsidR="00297434" w:rsidRDefault="00297434" w:rsidP="006114FF">
      <w:pPr>
        <w:pStyle w:val="NoSpacing"/>
        <w:rPr>
          <w:rFonts w:ascii="Times New Roman" w:eastAsia="Times New Roman" w:hAnsi="Times New Roman"/>
          <w:sz w:val="24"/>
          <w:szCs w:val="24"/>
        </w:rPr>
      </w:pPr>
      <w:r>
        <w:rPr>
          <w:rFonts w:ascii="On Times New Roman" w:hAnsi="On Times New Roman"/>
          <w:sz w:val="24"/>
          <w:szCs w:val="24"/>
        </w:rPr>
        <w:t xml:space="preserve">On Nov. 15, 2019, in </w:t>
      </w:r>
      <w:r>
        <w:rPr>
          <w:rFonts w:ascii="On Times New Roman" w:hAnsi="On Times New Roman"/>
          <w:sz w:val="24"/>
          <w:szCs w:val="24"/>
          <w:u w:val="single"/>
        </w:rPr>
        <w:t>United States v. Basil Ubanwa</w:t>
      </w:r>
      <w:r>
        <w:rPr>
          <w:rFonts w:ascii="On Times New Roman" w:hAnsi="On Times New Roman"/>
          <w:sz w:val="24"/>
          <w:szCs w:val="24"/>
        </w:rPr>
        <w:t xml:space="preserve">, U.S. District Court of Northern District of Indiana,  Chief Judge Theresa L. Springmann denied defense motion to dismiss the indictment.  </w:t>
      </w:r>
    </w:p>
    <w:bookmarkEnd w:id="487"/>
    <w:p w14:paraId="650A8280"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 xml:space="preserve">“[FBI] Agent Pawelko testified as follows: Based on—based on the people we had spoken to and the things we've reviewed, it does appear that, number one, the majority of people that Northwest was transporting during the time of our investigation were patients being transported to and from dialysis, which is a form of - it's a nonemergency transportation. And so far, what we've seen does support the allegation that they are transporting patients who do not qualify for this type </w:t>
      </w:r>
      <w:r>
        <w:rPr>
          <w:rFonts w:ascii="Times New Roman" w:hAnsi="Times New Roman"/>
          <w:sz w:val="24"/>
          <w:szCs w:val="24"/>
        </w:rPr>
        <w:t xml:space="preserve">of transportation. </w:t>
      </w:r>
      <w:proofErr w:type="gramStart"/>
      <w:r>
        <w:rPr>
          <w:rFonts w:ascii="Times New Roman" w:hAnsi="Times New Roman"/>
          <w:sz w:val="24"/>
          <w:szCs w:val="24"/>
        </w:rPr>
        <w:t>There's</w:t>
      </w:r>
      <w:proofErr w:type="gramEnd"/>
      <w:r>
        <w:rPr>
          <w:rFonts w:ascii="Times New Roman" w:hAnsi="Times New Roman"/>
          <w:sz w:val="24"/>
          <w:szCs w:val="24"/>
        </w:rPr>
        <w:t xml:space="preserve"> many indicators that these patients are capable of being transported to dialysis and other places by different means.</w:t>
      </w:r>
    </w:p>
    <w:p w14:paraId="5F3D4AF4"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D716668"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Carlos Trevino, an Emergency Medical Technician and employee of Northwest Ambulance, was then called to testify before the Grand Jury. Ex. C, pp. 2, 5-6, ECF No. 25-3. In essence, Trevino testified that the Defendant directed his employees to alter and fabricate documents so that Medicare would reimburse Northwest Ambulance for transporting patients who did not qualify for ambulance transportation. </w:t>
      </w:r>
      <w:r>
        <w:rPr>
          <w:rFonts w:ascii="Times New Roman" w:hAnsi="Times New Roman"/>
          <w:i/>
          <w:iCs/>
          <w:sz w:val="24"/>
          <w:szCs w:val="24"/>
        </w:rPr>
        <w:t>See</w:t>
      </w:r>
      <w:r>
        <w:rPr>
          <w:rFonts w:ascii="Times New Roman" w:hAnsi="Times New Roman"/>
          <w:sz w:val="24"/>
          <w:szCs w:val="24"/>
        </w:rPr>
        <w:t xml:space="preserve">, </w:t>
      </w:r>
      <w:r>
        <w:rPr>
          <w:rFonts w:ascii="Times New Roman" w:hAnsi="Times New Roman"/>
          <w:i/>
          <w:iCs/>
          <w:sz w:val="24"/>
          <w:szCs w:val="24"/>
        </w:rPr>
        <w:t>e</w:t>
      </w:r>
      <w:r>
        <w:rPr>
          <w:rFonts w:ascii="Times New Roman" w:hAnsi="Times New Roman"/>
          <w:sz w:val="24"/>
          <w:szCs w:val="24"/>
        </w:rPr>
        <w:t>.</w:t>
      </w:r>
      <w:r>
        <w:rPr>
          <w:rFonts w:ascii="Times New Roman" w:hAnsi="Times New Roman"/>
          <w:i/>
          <w:iCs/>
          <w:sz w:val="24"/>
          <w:szCs w:val="24"/>
        </w:rPr>
        <w:t>g</w:t>
      </w:r>
      <w:r>
        <w:rPr>
          <w:rFonts w:ascii="Times New Roman" w:hAnsi="Times New Roman"/>
          <w:sz w:val="24"/>
          <w:szCs w:val="24"/>
        </w:rPr>
        <w:t xml:space="preserve">., </w:t>
      </w:r>
      <w:r>
        <w:rPr>
          <w:rFonts w:ascii="Times New Roman" w:hAnsi="Times New Roman"/>
          <w:i/>
          <w:iCs/>
          <w:sz w:val="24"/>
          <w:szCs w:val="24"/>
        </w:rPr>
        <w:t>id</w:t>
      </w:r>
      <w:r>
        <w:rPr>
          <w:rFonts w:ascii="Times New Roman" w:hAnsi="Times New Roman"/>
          <w:sz w:val="24"/>
          <w:szCs w:val="24"/>
        </w:rPr>
        <w:t xml:space="preserve">. </w:t>
      </w:r>
      <w:proofErr w:type="gramStart"/>
      <w:r>
        <w:rPr>
          <w:rFonts w:ascii="Times New Roman" w:hAnsi="Times New Roman"/>
          <w:sz w:val="24"/>
          <w:szCs w:val="24"/>
        </w:rPr>
        <w:t>at</w:t>
      </w:r>
      <w:proofErr w:type="gramEnd"/>
      <w:r>
        <w:rPr>
          <w:rFonts w:ascii="Times New Roman" w:hAnsi="Times New Roman"/>
          <w:sz w:val="24"/>
          <w:szCs w:val="24"/>
        </w:rPr>
        <w:t xml:space="preserve"> 12, 24-27, 44-45, 52. The Prosecutor also discussed various patients that Northwest Ambulance had transported, and Trevino offered his opinion on whether those patients qualified for transport under the applicable Medicare regulations. </w:t>
      </w:r>
      <w:r>
        <w:rPr>
          <w:rFonts w:ascii="Times New Roman" w:hAnsi="Times New Roman"/>
          <w:i/>
          <w:iCs/>
          <w:sz w:val="24"/>
          <w:szCs w:val="24"/>
        </w:rPr>
        <w:t>Id</w:t>
      </w:r>
      <w:r>
        <w:rPr>
          <w:rFonts w:ascii="Times New Roman" w:hAnsi="Times New Roman"/>
          <w:sz w:val="24"/>
          <w:szCs w:val="24"/>
        </w:rPr>
        <w:t xml:space="preserve">. </w:t>
      </w:r>
      <w:proofErr w:type="gramStart"/>
      <w:r>
        <w:rPr>
          <w:rFonts w:ascii="Times New Roman" w:hAnsi="Times New Roman"/>
          <w:sz w:val="24"/>
          <w:szCs w:val="24"/>
        </w:rPr>
        <w:t>at</w:t>
      </w:r>
      <w:proofErr w:type="gramEnd"/>
      <w:r>
        <w:rPr>
          <w:rFonts w:ascii="Times New Roman" w:hAnsi="Times New Roman"/>
          <w:sz w:val="24"/>
          <w:szCs w:val="24"/>
        </w:rPr>
        <w:t xml:space="preserve"> 29, 31, 34. The Prosecutor also asked Trevino the following question: "how many millions of dollars was paid out by Medicaid for the transportation of [the] patients?" </w:t>
      </w:r>
      <w:r>
        <w:rPr>
          <w:rFonts w:ascii="Times New Roman" w:hAnsi="Times New Roman"/>
          <w:i/>
          <w:iCs/>
          <w:sz w:val="24"/>
          <w:szCs w:val="24"/>
        </w:rPr>
        <w:t>Id</w:t>
      </w:r>
      <w:r>
        <w:rPr>
          <w:rFonts w:ascii="Times New Roman" w:hAnsi="Times New Roman"/>
          <w:sz w:val="24"/>
          <w:szCs w:val="24"/>
        </w:rPr>
        <w:t xml:space="preserve">. at 54. Trevino responded that he did not know. </w:t>
      </w:r>
      <w:r>
        <w:rPr>
          <w:rFonts w:ascii="Times New Roman" w:hAnsi="Times New Roman"/>
          <w:i/>
          <w:iCs/>
          <w:sz w:val="24"/>
          <w:szCs w:val="24"/>
        </w:rPr>
        <w:t>Id</w:t>
      </w:r>
      <w:r>
        <w:rPr>
          <w:rFonts w:ascii="Times New Roman" w:hAnsi="Times New Roman"/>
          <w:sz w:val="24"/>
          <w:szCs w:val="24"/>
        </w:rPr>
        <w:t xml:space="preserve">. The Prosecutor then asked a follow up question: "Would it surprise you to know it's 3 or 4 million dollars?" </w:t>
      </w:r>
      <w:r>
        <w:rPr>
          <w:rFonts w:ascii="Times New Roman" w:hAnsi="Times New Roman"/>
          <w:i/>
          <w:iCs/>
          <w:sz w:val="24"/>
          <w:szCs w:val="24"/>
        </w:rPr>
        <w:t>Id</w:t>
      </w:r>
      <w:r>
        <w:rPr>
          <w:rFonts w:ascii="Times New Roman" w:hAnsi="Times New Roman"/>
          <w:sz w:val="24"/>
          <w:szCs w:val="24"/>
        </w:rPr>
        <w:t xml:space="preserve">. Trevino answered, "That is surprising, yes." </w:t>
      </w:r>
      <w:r>
        <w:rPr>
          <w:rFonts w:ascii="Times New Roman" w:hAnsi="Times New Roman"/>
          <w:i/>
          <w:iCs/>
          <w:sz w:val="24"/>
          <w:szCs w:val="24"/>
        </w:rPr>
        <w:t>Id</w:t>
      </w:r>
      <w:r>
        <w:rPr>
          <w:rFonts w:ascii="Times New Roman" w:hAnsi="Times New Roman"/>
          <w:sz w:val="24"/>
          <w:szCs w:val="24"/>
        </w:rPr>
        <w:t xml:space="preserve">. </w:t>
      </w:r>
      <w:bookmarkStart w:id="488" w:name="_Hlk41152492"/>
      <w:r w:rsidR="00F37A4B">
        <w:fldChar w:fldCharType="begin"/>
      </w:r>
      <w:r w:rsidR="00F37A4B">
        <w:instrText xml:space="preserve"> HYPERLINK "https://public.fastcase.com/Wl%2B2t%2BeVuI35%2FN70vAMFZlf8DDiJ0IlZyenM%2FaRiHEaOXnxs5YVKmrc22QWJLh0q" </w:instrText>
      </w:r>
      <w:r w:rsidR="00F37A4B">
        <w:fldChar w:fldCharType="separate"/>
      </w:r>
      <w:r>
        <w:rPr>
          <w:rStyle w:val="Hyperlink"/>
          <w:rFonts w:ascii="Times New Roman" w:hAnsi="Times New Roman"/>
          <w:sz w:val="24"/>
          <w:szCs w:val="24"/>
        </w:rPr>
        <w:t>https://public.fastcase.com/Wl%2B2t%2BeVuI35%2FN70vAMFZlf8DDiJ0IlZyenM%2FaRiHEaOXnxs5YVKmrc22QWJLh0q</w:t>
      </w:r>
      <w:r w:rsidR="00F37A4B">
        <w:rPr>
          <w:rStyle w:val="Hyperlink"/>
          <w:rFonts w:ascii="Times New Roman" w:hAnsi="Times New Roman"/>
          <w:sz w:val="24"/>
          <w:szCs w:val="24"/>
        </w:rPr>
        <w:fldChar w:fldCharType="end"/>
      </w:r>
      <w:r>
        <w:rPr>
          <w:rFonts w:ascii="Times New Roman" w:hAnsi="Times New Roman"/>
          <w:sz w:val="24"/>
          <w:szCs w:val="24"/>
        </w:rPr>
        <w:t xml:space="preserve"> </w:t>
      </w:r>
    </w:p>
    <w:p w14:paraId="4B30869E" w14:textId="77777777" w:rsidR="00297434" w:rsidRDefault="00297434" w:rsidP="00297434">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Federal government continues widespread investigation of Medicare fraud.  </w:t>
      </w:r>
      <w:hyperlink r:id="rId2436" w:history="1">
        <w:r>
          <w:rPr>
            <w:rStyle w:val="Hyperlink"/>
            <w:rFonts w:ascii="Times New Roman" w:hAnsi="Times New Roman"/>
            <w:b/>
            <w:bCs/>
            <w:sz w:val="24"/>
            <w:szCs w:val="24"/>
          </w:rPr>
          <w:t>https://oig.hhs.gov/fraud/strike-force/</w:t>
        </w:r>
      </w:hyperlink>
      <w:r>
        <w:rPr>
          <w:rFonts w:ascii="Times New Roman" w:hAnsi="Times New Roman"/>
          <w:b/>
          <w:bCs/>
          <w:sz w:val="24"/>
          <w:szCs w:val="24"/>
        </w:rPr>
        <w:t xml:space="preserve">  “First established in March 2007, Strike Force teams currently operate in the following areas: Miami, Florida; Los Angeles, California; Detroit, Michigan; Houston, Texas; Brooklyn, New York; Baton Rouge and New Orleans, Louisiana; Tampa and Orlando, Florida; Chicago, Illinois; Dallas, Texas; Washington, D.C.; Newark, New Jersey/Philadelphia, Pennsylvania; and the Appalachian Region.”</w:t>
      </w:r>
    </w:p>
    <w:bookmarkEnd w:id="488"/>
    <w:p w14:paraId="446F30BF" w14:textId="77777777" w:rsidR="00297434" w:rsidRDefault="00297434" w:rsidP="00DE0F03">
      <w:pPr>
        <w:pStyle w:val="NoSpacing"/>
        <w:rPr>
          <w:rFonts w:ascii="Arial Black" w:hAnsi="Arial Black"/>
          <w:sz w:val="24"/>
          <w:szCs w:val="24"/>
        </w:rPr>
      </w:pPr>
    </w:p>
    <w:p w14:paraId="3A7641FC" w14:textId="280F6F56" w:rsidR="00297434" w:rsidRDefault="00297434"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5</w:t>
      </w:r>
    </w:p>
    <w:p w14:paraId="51CFF4A9" w14:textId="77777777" w:rsidR="00297434" w:rsidRDefault="00297434" w:rsidP="00297434">
      <w:pPr>
        <w:spacing w:before="100" w:beforeAutospacing="1" w:after="100" w:afterAutospacing="1" w:line="240" w:lineRule="auto"/>
        <w:rPr>
          <w:rFonts w:ascii="Arial Black" w:eastAsia="Times New Roman" w:hAnsi="Arial Black"/>
          <w:b/>
          <w:bCs/>
          <w:sz w:val="28"/>
          <w:szCs w:val="28"/>
        </w:rPr>
      </w:pPr>
      <w:bookmarkStart w:id="489" w:name="_Hlk41152552"/>
      <w:bookmarkStart w:id="490" w:name="_Hlk41293717"/>
      <w:r>
        <w:rPr>
          <w:rFonts w:ascii="Arial Black" w:hAnsi="Arial Black"/>
          <w:b/>
          <w:bCs/>
          <w:sz w:val="28"/>
          <w:szCs w:val="28"/>
        </w:rPr>
        <w:t>NY:  UNCONSCIOUS PATIENT – 37 MIN. DELAY - PD RE-DIRECTED TO ANOTHER PATIENT – PATIENT DIED - LAWSUIT MAY PROCEED</w:t>
      </w:r>
    </w:p>
    <w:p w14:paraId="31E9D7E7" w14:textId="77777777" w:rsidR="00297434" w:rsidRPr="00E265AB" w:rsidRDefault="00297434" w:rsidP="00297434">
      <w:pPr>
        <w:pStyle w:val="NoSpacing"/>
        <w:rPr>
          <w:rFonts w:ascii="Times New Roman" w:eastAsiaTheme="minorHAnsi" w:hAnsi="Times New Roman"/>
          <w:sz w:val="24"/>
          <w:szCs w:val="24"/>
        </w:rPr>
      </w:pPr>
      <w:r w:rsidRPr="00E265AB">
        <w:rPr>
          <w:rFonts w:ascii="Times New Roman" w:hAnsi="Times New Roman"/>
          <w:sz w:val="24"/>
          <w:szCs w:val="24"/>
        </w:rPr>
        <w:t xml:space="preserve">On Nov. 7, 2019, in </w:t>
      </w:r>
      <w:r w:rsidRPr="00E265AB">
        <w:rPr>
          <w:rFonts w:ascii="Times New Roman" w:hAnsi="Times New Roman"/>
          <w:sz w:val="24"/>
          <w:szCs w:val="24"/>
          <w:u w:val="single"/>
        </w:rPr>
        <w:t>Michael Mannino, as Administrator of the Estate of Carmen Mannino v. The City of New York</w:t>
      </w:r>
      <w:r w:rsidRPr="00E265AB">
        <w:rPr>
          <w:rFonts w:ascii="Times New Roman" w:hAnsi="Times New Roman"/>
          <w:sz w:val="24"/>
          <w:szCs w:val="24"/>
        </w:rPr>
        <w:t xml:space="preserve">, Supreme Court of New York, New York County (Part 5), Justice Verna L. Saunders, denied the City’s motion for summary judgment. </w:t>
      </w:r>
    </w:p>
    <w:p w14:paraId="730C90F5" w14:textId="77777777" w:rsidR="00297434" w:rsidRDefault="00297434" w:rsidP="00297434">
      <w:pPr>
        <w:pStyle w:val="NoSpacing"/>
        <w:rPr>
          <w:rFonts w:ascii="On Times New Roman" w:hAnsi="On Times New Roman"/>
          <w:sz w:val="24"/>
          <w:szCs w:val="24"/>
        </w:rPr>
      </w:pPr>
    </w:p>
    <w:bookmarkEnd w:id="489"/>
    <w:p w14:paraId="653113F7" w14:textId="0E2FE895"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“Moreover, it is clear from the facts presented that reasonable minds may differ as to whether the dispatcher made the appropriate inquires in order to dispatch the most suitable unit to plaintiff's home; whether the thirty-seven minutes that elapsed between Mr. Mannino's first 911 call and FDNY's ultimate arrival to his home constitutes a breach of duty where Mr. Mannino called 911 three times and was never informed that </w:t>
      </w:r>
    </w:p>
    <w:p w14:paraId="26D7E444"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there was a delay due to the initial ambulance being stopped by NYPD; and finally, whether plaintiff's reliance on the statements of the dispatcher was reasonable where on three separate occasions he informed the 911 of dispatch of his wife's condition and each time was told that ‘they will take care of it.’ The City's assertion in reply, that plaintiff did not report to the dispatcher his wife's "deteriorating" condition is without merit as it is the dispatcher who elicits relevant information through questioning. Furthermore, the information provided to the dispatcher over the course of the multiple 911 calls resulted in plaintiff's priority increasing with each call, with the final call being given top priority and an ALS unit assignment. </w:t>
      </w:r>
      <w:bookmarkStart w:id="491" w:name="_Hlk41152572"/>
      <w:r w:rsidR="00F37A4B">
        <w:fldChar w:fldCharType="begin"/>
      </w:r>
      <w:r w:rsidR="00F37A4B">
        <w:instrText xml:space="preserve"> HYPERLINK "https://public.fastcase.com/Wl%2B2t%2BeVuI35%2FN70vAMFZi1T3lhea37qRbZrbVg21pm1BEJfSmxcdX46bLXGGvU2" </w:instrText>
      </w:r>
      <w:r w:rsidR="00F37A4B">
        <w:fldChar w:fldCharType="separate"/>
      </w:r>
      <w:r>
        <w:rPr>
          <w:rStyle w:val="Hyperlink"/>
          <w:rFonts w:ascii="Times New Roman" w:hAnsi="Times New Roman"/>
          <w:sz w:val="24"/>
          <w:szCs w:val="24"/>
        </w:rPr>
        <w:t>https://public.fastcase.com/Wl%2B2t%2BeVuI35%2FN70vAMFZi1T3lhea37qRbZrbVg21pm1BEJfSmxcdX46bLXGGvU2</w:t>
      </w:r>
      <w:r w:rsidR="00F37A4B">
        <w:rPr>
          <w:rStyle w:val="Hyperlink"/>
          <w:rFonts w:ascii="Times New Roman" w:hAnsi="Times New Roman"/>
          <w:sz w:val="24"/>
          <w:szCs w:val="24"/>
        </w:rPr>
        <w:fldChar w:fldCharType="end"/>
      </w:r>
      <w:r>
        <w:rPr>
          <w:rFonts w:ascii="Times New Roman" w:hAnsi="Times New Roman"/>
          <w:sz w:val="24"/>
          <w:szCs w:val="24"/>
        </w:rPr>
        <w:t xml:space="preserve"> </w:t>
      </w:r>
    </w:p>
    <w:p w14:paraId="435CD002" w14:textId="77777777" w:rsidR="00297434" w:rsidRDefault="00297434" w:rsidP="00297434">
      <w:pPr>
        <w:pStyle w:val="NoSpacing"/>
        <w:ind w:left="720"/>
        <w:rPr>
          <w:rFonts w:ascii="Times New Roman" w:hAnsi="Times New Roman"/>
          <w:sz w:val="24"/>
          <w:szCs w:val="24"/>
        </w:rPr>
      </w:pPr>
    </w:p>
    <w:p w14:paraId="7964A838"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If an ambulance is re-directed on another run, dispatch should inform the 911 caller of the delay. </w:t>
      </w:r>
    </w:p>
    <w:bookmarkEnd w:id="490"/>
    <w:bookmarkEnd w:id="491"/>
    <w:p w14:paraId="31E24DD0" w14:textId="259664FB" w:rsidR="00297434" w:rsidRDefault="00297434" w:rsidP="00DE0F03">
      <w:pPr>
        <w:pStyle w:val="NoSpacing"/>
        <w:rPr>
          <w:rFonts w:ascii="Arial Black" w:hAnsi="Arial Black"/>
          <w:sz w:val="24"/>
          <w:szCs w:val="24"/>
        </w:rPr>
      </w:pPr>
    </w:p>
    <w:p w14:paraId="2DF47F9E" w14:textId="77777777" w:rsidR="006114FF" w:rsidRDefault="006114FF" w:rsidP="00DE0F03">
      <w:pPr>
        <w:pStyle w:val="NoSpacing"/>
        <w:rPr>
          <w:rFonts w:ascii="Arial Black" w:hAnsi="Arial Black"/>
          <w:sz w:val="24"/>
          <w:szCs w:val="24"/>
        </w:rPr>
      </w:pPr>
    </w:p>
    <w:p w14:paraId="3B84534E" w14:textId="77777777" w:rsidR="006114FF" w:rsidRDefault="006114FF" w:rsidP="00DE0F03">
      <w:pPr>
        <w:pStyle w:val="NoSpacing"/>
        <w:rPr>
          <w:rFonts w:ascii="Arial Black" w:hAnsi="Arial Black"/>
          <w:sz w:val="24"/>
          <w:szCs w:val="24"/>
        </w:rPr>
      </w:pPr>
    </w:p>
    <w:p w14:paraId="5129AE77" w14:textId="17D0ACDD" w:rsidR="007A1E7A" w:rsidRDefault="005C30A4" w:rsidP="00DE0F03">
      <w:pPr>
        <w:pStyle w:val="NoSpacing"/>
        <w:rPr>
          <w:rFonts w:ascii="Arial Black" w:hAnsi="Arial Black"/>
          <w:sz w:val="24"/>
          <w:szCs w:val="24"/>
        </w:rPr>
      </w:pPr>
      <w:r>
        <w:rPr>
          <w:rFonts w:ascii="Arial Black" w:hAnsi="Arial Black"/>
          <w:sz w:val="24"/>
          <w:szCs w:val="24"/>
        </w:rPr>
        <w:t>13-34</w:t>
      </w:r>
    </w:p>
    <w:p w14:paraId="1AB13479" w14:textId="77777777" w:rsidR="007A1E7A" w:rsidRPr="007D1530" w:rsidRDefault="007A1E7A" w:rsidP="007A1E7A">
      <w:pPr>
        <w:spacing w:before="100" w:beforeAutospacing="1" w:after="100" w:afterAutospacing="1" w:line="240" w:lineRule="auto"/>
        <w:rPr>
          <w:rFonts w:ascii="Arial Black" w:eastAsia="Times New Roman" w:hAnsi="Arial Black"/>
          <w:b/>
          <w:bCs/>
          <w:sz w:val="28"/>
          <w:szCs w:val="28"/>
        </w:rPr>
      </w:pPr>
      <w:bookmarkStart w:id="492" w:name="_Hlk34226456"/>
      <w:bookmarkStart w:id="493" w:name="_Hlk41152597"/>
      <w:r w:rsidRPr="007D1530">
        <w:rPr>
          <w:rFonts w:ascii="Arial Black" w:eastAsia="Times New Roman" w:hAnsi="Arial Black"/>
          <w:b/>
          <w:bCs/>
          <w:sz w:val="28"/>
          <w:szCs w:val="28"/>
        </w:rPr>
        <w:t>MD:</w:t>
      </w:r>
      <w:r>
        <w:rPr>
          <w:rFonts w:ascii="Arial Black" w:eastAsia="Times New Roman" w:hAnsi="Arial Black"/>
          <w:b/>
          <w:bCs/>
          <w:sz w:val="28"/>
          <w:szCs w:val="28"/>
        </w:rPr>
        <w:t xml:space="preserve">  CARDIAC RUN - PATIENT WALKED TO AMBULANCE, TO WHEELCHAIR - $3.7M JURY REVERSED - NOT “GROSS NEGLIENCE” </w:t>
      </w:r>
    </w:p>
    <w:bookmarkEnd w:id="492"/>
    <w:p w14:paraId="1B36C2A7" w14:textId="77777777" w:rsidR="007A1E7A" w:rsidRPr="004B30C8" w:rsidRDefault="007A1E7A" w:rsidP="007A1E7A">
      <w:pPr>
        <w:pStyle w:val="NoSpacing"/>
        <w:rPr>
          <w:rFonts w:ascii="Times New Roman" w:hAnsi="Times New Roman"/>
          <w:b/>
          <w:bCs/>
          <w:sz w:val="24"/>
          <w:szCs w:val="24"/>
        </w:rPr>
      </w:pPr>
      <w:r w:rsidRPr="004B30C8">
        <w:rPr>
          <w:rFonts w:ascii="Times New Roman" w:eastAsia="Times New Roman" w:hAnsi="Times New Roman"/>
          <w:bCs/>
          <w:sz w:val="24"/>
          <w:szCs w:val="24"/>
        </w:rPr>
        <w:t xml:space="preserve">On Aug. 16, 2019, in </w:t>
      </w:r>
      <w:r w:rsidRPr="004B30C8">
        <w:rPr>
          <w:rFonts w:ascii="Times New Roman" w:eastAsia="Times New Roman" w:hAnsi="Times New Roman"/>
          <w:bCs/>
          <w:sz w:val="24"/>
          <w:szCs w:val="24"/>
          <w:u w:val="single"/>
        </w:rPr>
        <w:t>Joseph Strackle, et al. v. Estate of Kerry Butler, Jr</w:t>
      </w:r>
      <w:r w:rsidRPr="004B30C8">
        <w:rPr>
          <w:rFonts w:ascii="Times New Roman" w:eastAsia="Times New Roman" w:hAnsi="Times New Roman"/>
          <w:bCs/>
          <w:sz w:val="24"/>
          <w:szCs w:val="24"/>
        </w:rPr>
        <w:t xml:space="preserve">., the Maryland Court of Appeals (4 to 3), reversed the Court of Special Appeals, and agreed with the trial judge that the paramedics were not grossly negligent.  Plaintiff alleged breach of City of Baltimore FD protocol when the patient walked from his home to the ambulance, and upon arrival at hospital walked from ambulance to wheelchair.  The jury verdict of </w:t>
      </w:r>
      <w:r w:rsidRPr="004B30C8">
        <w:rPr>
          <w:rFonts w:ascii="Times New Roman" w:hAnsi="Times New Roman"/>
          <w:bCs/>
          <w:sz w:val="24"/>
          <w:szCs w:val="24"/>
        </w:rPr>
        <w:t xml:space="preserve">$3,707,000 was set aside by the trial </w:t>
      </w:r>
      <w:proofErr w:type="gramStart"/>
      <w:r w:rsidRPr="004B30C8">
        <w:rPr>
          <w:rFonts w:ascii="Times New Roman" w:hAnsi="Times New Roman"/>
          <w:bCs/>
          <w:sz w:val="24"/>
          <w:szCs w:val="24"/>
        </w:rPr>
        <w:t>judge, but</w:t>
      </w:r>
      <w:proofErr w:type="gramEnd"/>
      <w:r w:rsidRPr="004B30C8">
        <w:rPr>
          <w:rFonts w:ascii="Times New Roman" w:hAnsi="Times New Roman"/>
          <w:bCs/>
          <w:sz w:val="24"/>
          <w:szCs w:val="24"/>
        </w:rPr>
        <w:t xml:space="preserve"> reinstated by the Special Court of Appeals; the paramedics appealed to Maryland Court of Appeals, which set aside the jury verdict. </w:t>
      </w:r>
    </w:p>
    <w:bookmarkEnd w:id="493"/>
    <w:p w14:paraId="1ED63917" w14:textId="77777777" w:rsidR="007A1E7A" w:rsidRPr="004B30C8" w:rsidRDefault="007A1E7A" w:rsidP="007A1E7A">
      <w:pPr>
        <w:pStyle w:val="NoSpacing"/>
        <w:rPr>
          <w:rFonts w:ascii="Times New Roman" w:hAnsi="Times New Roman"/>
          <w:b/>
          <w:bCs/>
          <w:sz w:val="24"/>
          <w:szCs w:val="24"/>
        </w:rPr>
      </w:pPr>
    </w:p>
    <w:p w14:paraId="1B58F895" w14:textId="77777777" w:rsidR="007A1E7A" w:rsidRPr="004B30C8" w:rsidRDefault="007A1E7A" w:rsidP="007A1E7A">
      <w:pPr>
        <w:pStyle w:val="NoSpacing"/>
        <w:ind w:left="720"/>
        <w:rPr>
          <w:rFonts w:ascii="Times New Roman" w:hAnsi="Times New Roman"/>
          <w:b/>
          <w:bCs/>
          <w:sz w:val="24"/>
          <w:szCs w:val="24"/>
        </w:rPr>
      </w:pPr>
      <w:r w:rsidRPr="004B30C8">
        <w:rPr>
          <w:rFonts w:ascii="Times New Roman" w:hAnsi="Times New Roman"/>
          <w:bCs/>
          <w:sz w:val="24"/>
          <w:szCs w:val="24"/>
        </w:rPr>
        <w:t xml:space="preserve">“Petitioners [paramedics] assessed the patient, took his vitals, and promptly transported him to the nearest hospital within approximately seven minutes of first arriving on the scene. Based on the evidence presented at trial, the jury could not have found that Petitioners were grossly negligent by a preponderance of the evidence. We further conclude that </w:t>
      </w:r>
      <w:proofErr w:type="spellStart"/>
      <w:r w:rsidRPr="004B30C8">
        <w:rPr>
          <w:rFonts w:ascii="Times New Roman" w:hAnsi="Times New Roman"/>
          <w:bCs/>
          <w:sz w:val="24"/>
          <w:szCs w:val="24"/>
        </w:rPr>
        <w:t>Cts</w:t>
      </w:r>
      <w:proofErr w:type="spellEnd"/>
      <w:r w:rsidRPr="004B30C8">
        <w:rPr>
          <w:rFonts w:ascii="Times New Roman" w:hAnsi="Times New Roman"/>
          <w:bCs/>
          <w:sz w:val="24"/>
          <w:szCs w:val="24"/>
        </w:rPr>
        <w:t xml:space="preserve">. &amp; Jud. Proc. § 5-604(a) unambiguously confers immunity upon municipal fire departments in simple negligence claims. *** Finally, the practical implications of holding otherwise cannot be overstated. Concluding that Petitioners were grossly negligent would have a negative impact on not only the number of individuals who seek employment as first responders in the </w:t>
      </w:r>
      <w:proofErr w:type="gramStart"/>
      <w:r w:rsidRPr="004B30C8">
        <w:rPr>
          <w:rFonts w:ascii="Times New Roman" w:hAnsi="Times New Roman"/>
          <w:bCs/>
          <w:sz w:val="24"/>
          <w:szCs w:val="24"/>
        </w:rPr>
        <w:t>future, but</w:t>
      </w:r>
      <w:proofErr w:type="gramEnd"/>
      <w:r w:rsidRPr="004B30C8">
        <w:rPr>
          <w:rFonts w:ascii="Times New Roman" w:hAnsi="Times New Roman"/>
          <w:bCs/>
          <w:sz w:val="24"/>
          <w:szCs w:val="24"/>
        </w:rPr>
        <w:t xml:space="preserve"> would create a chilling effect on their conduct. First responders must have broad discretion to proceed in their assessment and treatment of patients without the fear of liability. *** We conclude that there was not sufficient evidence to establish that Petitioners [paramedics] committed gross negligence. The mere fact that Petitioners inaccurately diagnosed and treated their patient does not elevate their conduct to gross negligence.</w:t>
      </w:r>
    </w:p>
    <w:bookmarkStart w:id="494" w:name="_Hlk41152616"/>
    <w:p w14:paraId="3F451BB5" w14:textId="77777777" w:rsidR="007A1E7A" w:rsidRPr="004B30C8" w:rsidRDefault="00F37A4B" w:rsidP="007A1E7A">
      <w:pPr>
        <w:pStyle w:val="NoSpacing"/>
        <w:ind w:left="720"/>
        <w:rPr>
          <w:rFonts w:ascii="Times New Roman" w:hAnsi="Times New Roman"/>
          <w:b/>
          <w:bCs/>
          <w:sz w:val="24"/>
          <w:szCs w:val="24"/>
        </w:rPr>
      </w:pPr>
      <w:r>
        <w:fldChar w:fldCharType="begin"/>
      </w:r>
      <w:r>
        <w:instrText xml:space="preserve"> HYPERLINK "https://mdcourts.gov/data/opinions/coa/2019/64a18.pdf" </w:instrText>
      </w:r>
      <w:r>
        <w:fldChar w:fldCharType="separate"/>
      </w:r>
      <w:r w:rsidR="007A1E7A" w:rsidRPr="004B30C8">
        <w:rPr>
          <w:rStyle w:val="Hyperlink"/>
          <w:rFonts w:ascii="Times New Roman" w:hAnsi="Times New Roman"/>
          <w:bCs/>
          <w:sz w:val="24"/>
          <w:szCs w:val="24"/>
        </w:rPr>
        <w:t>https://mdcourts.gov/data/opinions/coa/2019/64a18.pdf</w:t>
      </w:r>
      <w:r>
        <w:rPr>
          <w:rStyle w:val="Hyperlink"/>
          <w:rFonts w:ascii="Times New Roman" w:hAnsi="Times New Roman"/>
          <w:bCs/>
          <w:sz w:val="24"/>
          <w:szCs w:val="24"/>
        </w:rPr>
        <w:fldChar w:fldCharType="end"/>
      </w:r>
      <w:r w:rsidR="007A1E7A" w:rsidRPr="004B30C8">
        <w:rPr>
          <w:rFonts w:ascii="Times New Roman" w:hAnsi="Times New Roman"/>
          <w:bCs/>
          <w:sz w:val="24"/>
          <w:szCs w:val="24"/>
        </w:rPr>
        <w:t xml:space="preserve"> </w:t>
      </w:r>
    </w:p>
    <w:p w14:paraId="55222C6A" w14:textId="40C74A42" w:rsidR="007A1E7A" w:rsidRDefault="007A1E7A" w:rsidP="00DE0F03">
      <w:pPr>
        <w:pStyle w:val="NoSpacing"/>
        <w:rPr>
          <w:rFonts w:ascii="Arial Black" w:hAnsi="Arial Black"/>
          <w:sz w:val="24"/>
          <w:szCs w:val="24"/>
        </w:rPr>
      </w:pPr>
    </w:p>
    <w:p w14:paraId="72910659" w14:textId="77777777" w:rsidR="007A1E7A" w:rsidRDefault="007A1E7A" w:rsidP="007A1E7A">
      <w:pPr>
        <w:pStyle w:val="NoSpacing"/>
        <w:rPr>
          <w:rFonts w:ascii="Times New Roman" w:hAnsi="Times New Roman"/>
          <w:b/>
          <w:bCs/>
          <w:sz w:val="24"/>
          <w:szCs w:val="24"/>
        </w:rPr>
      </w:pPr>
    </w:p>
    <w:p w14:paraId="5A32BF6B" w14:textId="77777777" w:rsidR="007A1E7A" w:rsidRDefault="007A1E7A" w:rsidP="007A1E7A">
      <w:pPr>
        <w:pStyle w:val="NoSpacing"/>
        <w:rPr>
          <w:rFonts w:ascii="Times New Roman" w:hAnsi="Times New Roman"/>
          <w:b/>
          <w:bCs/>
          <w:sz w:val="24"/>
          <w:szCs w:val="24"/>
        </w:rPr>
      </w:pPr>
    </w:p>
    <w:p w14:paraId="07974E18" w14:textId="77777777" w:rsidR="007A1E7A" w:rsidRDefault="007A1E7A" w:rsidP="007A1E7A">
      <w:pPr>
        <w:pStyle w:val="NoSpacing"/>
        <w:rPr>
          <w:rFonts w:ascii="Times New Roman" w:hAnsi="Times New Roman"/>
          <w:b/>
          <w:bCs/>
          <w:sz w:val="24"/>
          <w:szCs w:val="24"/>
        </w:rPr>
      </w:pPr>
    </w:p>
    <w:p w14:paraId="07AEBA0F" w14:textId="67E642A3" w:rsidR="007A1E7A" w:rsidRPr="004B30C8" w:rsidRDefault="007A1E7A" w:rsidP="007A1E7A">
      <w:pPr>
        <w:pStyle w:val="NoSpacing"/>
        <w:rPr>
          <w:rFonts w:ascii="Times New Roman" w:hAnsi="Times New Roman"/>
          <w:b/>
          <w:bCs/>
          <w:sz w:val="24"/>
          <w:szCs w:val="24"/>
        </w:rPr>
      </w:pPr>
      <w:r w:rsidRPr="004B30C8">
        <w:rPr>
          <w:rFonts w:ascii="Times New Roman" w:hAnsi="Times New Roman"/>
          <w:b/>
          <w:bCs/>
          <w:sz w:val="24"/>
          <w:szCs w:val="24"/>
        </w:rPr>
        <w:t xml:space="preserve">Legal Lessons Learned: Follow your Protocols, and on cardiac run if the patient will not wait to get on the cot, or upon arrival at hospital insists on walking out of the ambulance to the wheelchair, thoroughly document the facts. </w:t>
      </w:r>
    </w:p>
    <w:bookmarkEnd w:id="494"/>
    <w:p w14:paraId="3878A716" w14:textId="77777777" w:rsidR="007A1E7A" w:rsidRDefault="007A1E7A" w:rsidP="00DE0F03">
      <w:pPr>
        <w:pStyle w:val="NoSpacing"/>
        <w:rPr>
          <w:rFonts w:ascii="Arial Black" w:hAnsi="Arial Black"/>
          <w:sz w:val="24"/>
          <w:szCs w:val="24"/>
        </w:rPr>
      </w:pPr>
    </w:p>
    <w:p w14:paraId="39482879" w14:textId="77777777" w:rsidR="005C30A4" w:rsidRDefault="005C30A4" w:rsidP="00DE0F03">
      <w:pPr>
        <w:pStyle w:val="NoSpacing"/>
        <w:rPr>
          <w:rFonts w:ascii="Arial Black" w:hAnsi="Arial Black"/>
          <w:sz w:val="24"/>
          <w:szCs w:val="24"/>
        </w:rPr>
      </w:pPr>
    </w:p>
    <w:p w14:paraId="23B333BE" w14:textId="77777777" w:rsidR="005C30A4" w:rsidRDefault="005C30A4" w:rsidP="00DE0F03">
      <w:pPr>
        <w:pStyle w:val="NoSpacing"/>
        <w:rPr>
          <w:rFonts w:ascii="Arial Black" w:hAnsi="Arial Black"/>
          <w:sz w:val="24"/>
          <w:szCs w:val="24"/>
        </w:rPr>
      </w:pPr>
    </w:p>
    <w:p w14:paraId="7B1BB773" w14:textId="77777777" w:rsidR="005C30A4" w:rsidRDefault="005C30A4" w:rsidP="00DE0F03">
      <w:pPr>
        <w:pStyle w:val="NoSpacing"/>
        <w:rPr>
          <w:rFonts w:ascii="Arial Black" w:hAnsi="Arial Black"/>
          <w:sz w:val="24"/>
          <w:szCs w:val="24"/>
        </w:rPr>
      </w:pPr>
    </w:p>
    <w:p w14:paraId="395E863D" w14:textId="2CD4CF26" w:rsidR="00853142" w:rsidRDefault="00853142" w:rsidP="00DE0F03">
      <w:pPr>
        <w:pStyle w:val="NoSpacing"/>
        <w:rPr>
          <w:rFonts w:ascii="Arial Black" w:hAnsi="Arial Black"/>
          <w:sz w:val="24"/>
          <w:szCs w:val="24"/>
        </w:rPr>
      </w:pPr>
      <w:r>
        <w:rPr>
          <w:rFonts w:ascii="Arial Black" w:hAnsi="Arial Black"/>
          <w:sz w:val="24"/>
          <w:szCs w:val="24"/>
        </w:rPr>
        <w:t>13-3</w:t>
      </w:r>
      <w:r w:rsidR="00C95AF6">
        <w:rPr>
          <w:rFonts w:ascii="Arial Black" w:hAnsi="Arial Black"/>
          <w:sz w:val="24"/>
          <w:szCs w:val="24"/>
        </w:rPr>
        <w:t>3</w:t>
      </w:r>
      <w:r w:rsidR="006508FC">
        <w:rPr>
          <w:rFonts w:ascii="Arial Black" w:hAnsi="Arial Black"/>
          <w:sz w:val="24"/>
          <w:szCs w:val="24"/>
        </w:rPr>
        <w:t xml:space="preserve"> </w:t>
      </w:r>
    </w:p>
    <w:p w14:paraId="51B9659A" w14:textId="507B96B1" w:rsidR="00853142" w:rsidRDefault="00853142" w:rsidP="00DE0F03">
      <w:pPr>
        <w:pStyle w:val="NoSpacing"/>
        <w:rPr>
          <w:rFonts w:ascii="Arial Black" w:hAnsi="Arial Black"/>
          <w:sz w:val="24"/>
          <w:szCs w:val="24"/>
        </w:rPr>
      </w:pPr>
    </w:p>
    <w:p w14:paraId="2A60F180" w14:textId="77777777" w:rsidR="00853142" w:rsidRDefault="00853142" w:rsidP="00853142">
      <w:pPr>
        <w:pStyle w:val="NoSpacing"/>
        <w:rPr>
          <w:rFonts w:ascii="Arial Black" w:hAnsi="Arial Black"/>
          <w:sz w:val="28"/>
          <w:szCs w:val="28"/>
        </w:rPr>
      </w:pPr>
      <w:bookmarkStart w:id="495" w:name="_Hlk41299121"/>
      <w:bookmarkStart w:id="496" w:name="_Hlk41152673"/>
      <w:r>
        <w:rPr>
          <w:rFonts w:ascii="Arial Black" w:hAnsi="Arial Black"/>
          <w:sz w:val="28"/>
          <w:szCs w:val="28"/>
        </w:rPr>
        <w:t xml:space="preserve">LA: BLACK EMS CAPT. – NITROGLYCERIN WAS FOR MOUTH, NOT CHEST – SUSPENSION / REMEDIATION PROPER - NOT RACE / GENDER </w:t>
      </w:r>
    </w:p>
    <w:p w14:paraId="641D87A0" w14:textId="77777777" w:rsidR="00853142" w:rsidRDefault="00853142" w:rsidP="00853142">
      <w:pPr>
        <w:pStyle w:val="NoSpacing"/>
      </w:pPr>
    </w:p>
    <w:p w14:paraId="5BE8F3F1" w14:textId="77777777" w:rsidR="00853142" w:rsidRDefault="00853142" w:rsidP="00853142">
      <w:pPr>
        <w:pStyle w:val="NoSpacing"/>
        <w:rPr>
          <w:rFonts w:ascii="Times New Roman" w:hAnsi="Times New Roman"/>
          <w:sz w:val="24"/>
          <w:szCs w:val="24"/>
        </w:rPr>
      </w:pPr>
      <w:r w:rsidRPr="008F2205">
        <w:rPr>
          <w:rFonts w:ascii="Times New Roman" w:hAnsi="Times New Roman"/>
          <w:sz w:val="24"/>
          <w:szCs w:val="24"/>
        </w:rPr>
        <w:t xml:space="preserve">On Sept. 17, 2019, in </w:t>
      </w:r>
      <w:r w:rsidRPr="008F2205">
        <w:rPr>
          <w:rFonts w:ascii="Times New Roman" w:hAnsi="Times New Roman"/>
          <w:sz w:val="24"/>
          <w:szCs w:val="24"/>
          <w:u w:val="single"/>
        </w:rPr>
        <w:t>Deborah Mills v. City of Shreveport</w:t>
      </w:r>
      <w:r w:rsidRPr="008F2205">
        <w:rPr>
          <w:rFonts w:ascii="Times New Roman" w:hAnsi="Times New Roman"/>
          <w:sz w:val="24"/>
          <w:szCs w:val="24"/>
        </w:rPr>
        <w:t xml:space="preserve">, </w:t>
      </w:r>
      <w:r>
        <w:rPr>
          <w:rFonts w:ascii="Times New Roman" w:hAnsi="Times New Roman"/>
          <w:sz w:val="24"/>
          <w:szCs w:val="24"/>
        </w:rPr>
        <w:t>U.S. District Court Judge Terry A. Doughty, U.S. District Court of Louisiana,  Western District</w:t>
      </w:r>
      <w:r w:rsidRPr="00D91FDE">
        <w:rPr>
          <w:rFonts w:ascii="Times New Roman" w:hAnsi="Times New Roman"/>
          <w:sz w:val="24"/>
          <w:szCs w:val="24"/>
        </w:rPr>
        <w:t>, Shreveport Division,</w:t>
      </w:r>
      <w:r>
        <w:rPr>
          <w:b/>
          <w:bCs/>
        </w:rPr>
        <w:t xml:space="preserve"> </w:t>
      </w:r>
      <w:r>
        <w:rPr>
          <w:rFonts w:ascii="Times New Roman" w:hAnsi="Times New Roman"/>
          <w:sz w:val="24"/>
          <w:szCs w:val="24"/>
        </w:rPr>
        <w:t xml:space="preserve">dismissed her claim of “hostile work atmosphere.”  He had previously dismissed her race and gender discrimination claims. </w:t>
      </w:r>
      <w:hyperlink r:id="rId2437" w:history="1">
        <w:r w:rsidRPr="00DB571D">
          <w:rPr>
            <w:rStyle w:val="Hyperlink"/>
            <w:rFonts w:ascii="Times New Roman" w:hAnsi="Times New Roman"/>
            <w:sz w:val="24"/>
            <w:szCs w:val="24"/>
          </w:rPr>
          <w:t>https://scholar.google.com/scholar_case?case=2959279778538737103&amp;hl=en&amp;as_sdt=6,36</w:t>
        </w:r>
      </w:hyperlink>
      <w:r>
        <w:rPr>
          <w:rFonts w:ascii="Times New Roman" w:hAnsi="Times New Roman"/>
          <w:sz w:val="24"/>
          <w:szCs w:val="24"/>
        </w:rPr>
        <w:t xml:space="preserve"> </w:t>
      </w:r>
    </w:p>
    <w:p w14:paraId="12E35732" w14:textId="77777777" w:rsidR="00853142" w:rsidRPr="008F2205" w:rsidRDefault="00853142" w:rsidP="00853142">
      <w:pPr>
        <w:pStyle w:val="NoSpacing"/>
        <w:rPr>
          <w:rFonts w:ascii="Times New Roman" w:hAnsi="Times New Roman"/>
          <w:sz w:val="24"/>
          <w:szCs w:val="24"/>
        </w:rPr>
      </w:pPr>
      <w:r>
        <w:rPr>
          <w:rFonts w:ascii="Times New Roman" w:hAnsi="Times New Roman"/>
          <w:sz w:val="24"/>
          <w:szCs w:val="24"/>
        </w:rPr>
        <w:t xml:space="preserve"> </w:t>
      </w:r>
    </w:p>
    <w:p w14:paraId="3694C932"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F2205">
        <w:rPr>
          <w:rFonts w:ascii="Times New Roman" w:hAnsi="Times New Roman"/>
          <w:sz w:val="24"/>
          <w:szCs w:val="24"/>
        </w:rPr>
        <w:t xml:space="preserve">While Mills may subjectively believe that she has been treated differently and more harshly because of her race and/or gender, neither her subjective belief </w:t>
      </w:r>
      <w:proofErr w:type="gramStart"/>
      <w:r w:rsidRPr="008F2205">
        <w:rPr>
          <w:rFonts w:ascii="Times New Roman" w:hAnsi="Times New Roman"/>
          <w:sz w:val="24"/>
          <w:szCs w:val="24"/>
        </w:rPr>
        <w:t>or</w:t>
      </w:r>
      <w:proofErr w:type="gramEnd"/>
      <w:r w:rsidRPr="008F2205">
        <w:rPr>
          <w:rFonts w:ascii="Times New Roman" w:hAnsi="Times New Roman"/>
          <w:sz w:val="24"/>
          <w:szCs w:val="24"/>
        </w:rPr>
        <w:t xml:space="preserve"> that of others is enough to present this case to a jury. The Court finds that Mills has presented no genuine issue of material fact regarding whether she was subjected to harassment based on race or gender, and therefore she has failed to present a </w:t>
      </w:r>
      <w:r w:rsidRPr="008F2205">
        <w:rPr>
          <w:rFonts w:ascii="Times New Roman" w:hAnsi="Times New Roman"/>
          <w:i/>
          <w:iCs/>
          <w:sz w:val="24"/>
          <w:szCs w:val="24"/>
        </w:rPr>
        <w:t>prima facie</w:t>
      </w:r>
      <w:r w:rsidRPr="008F2205">
        <w:rPr>
          <w:rFonts w:ascii="Times New Roman" w:hAnsi="Times New Roman"/>
          <w:sz w:val="24"/>
          <w:szCs w:val="24"/>
        </w:rPr>
        <w:t xml:space="preserve"> case for a hostile work environment under Title VII. Therefore, the Court GRANTS the City's Motion for Summary Judgment on this remaining claim.</w:t>
      </w:r>
      <w:r>
        <w:rPr>
          <w:rFonts w:ascii="Times New Roman" w:hAnsi="Times New Roman"/>
          <w:sz w:val="24"/>
          <w:szCs w:val="24"/>
        </w:rPr>
        <w:t>”</w:t>
      </w:r>
    </w:p>
    <w:p w14:paraId="04F74734" w14:textId="77777777" w:rsidR="00853142" w:rsidRDefault="00853142" w:rsidP="00853142">
      <w:pPr>
        <w:pStyle w:val="NoSpacing"/>
        <w:ind w:left="720"/>
        <w:rPr>
          <w:rFonts w:ascii="Times New Roman" w:hAnsi="Times New Roman"/>
          <w:sz w:val="24"/>
          <w:szCs w:val="24"/>
        </w:rPr>
      </w:pPr>
    </w:p>
    <w:p w14:paraId="1D7346AC" w14:textId="77777777" w:rsidR="00853142" w:rsidRDefault="00853142" w:rsidP="00853142">
      <w:pPr>
        <w:pStyle w:val="NoSpacing"/>
      </w:pPr>
      <w:r>
        <w:rPr>
          <w:rFonts w:ascii="Times New Roman" w:hAnsi="Times New Roman"/>
          <w:sz w:val="24"/>
          <w:szCs w:val="24"/>
        </w:rPr>
        <w:t xml:space="preserve">On June 21, 2019, here other claims of race and gender discrimination were dismissed: </w:t>
      </w:r>
      <w:hyperlink r:id="rId2438" w:history="1">
        <w:r w:rsidRPr="00062632">
          <w:rPr>
            <w:rStyle w:val="Hyperlink"/>
            <w:rFonts w:ascii="Times New Roman" w:hAnsi="Times New Roman"/>
            <w:sz w:val="24"/>
            <w:szCs w:val="24"/>
          </w:rPr>
          <w:t>https://www.leagle.com/decision/infdco20190624a02</w:t>
        </w:r>
      </w:hyperlink>
      <w:r>
        <w:rPr>
          <w:rFonts w:ascii="Times New Roman" w:hAnsi="Times New Roman"/>
          <w:sz w:val="24"/>
          <w:szCs w:val="24"/>
        </w:rPr>
        <w:t xml:space="preserve">  </w:t>
      </w:r>
    </w:p>
    <w:p w14:paraId="6A6AF179" w14:textId="77777777" w:rsidR="00853142" w:rsidRDefault="00853142" w:rsidP="00853142">
      <w:pPr>
        <w:pStyle w:val="NoSpacing"/>
        <w:rPr>
          <w:rFonts w:ascii="Times New Roman" w:hAnsi="Times New Roman"/>
          <w:sz w:val="24"/>
          <w:szCs w:val="24"/>
        </w:rPr>
      </w:pPr>
    </w:p>
    <w:p w14:paraId="23BEA99E" w14:textId="1356E665" w:rsidR="00853142" w:rsidRDefault="00853142" w:rsidP="00853142">
      <w:pPr>
        <w:pStyle w:val="NoSpacing"/>
        <w:rPr>
          <w:rFonts w:ascii="Times New Roman" w:hAnsi="Times New Roman"/>
          <w:b/>
          <w:bCs/>
          <w:sz w:val="24"/>
          <w:szCs w:val="24"/>
        </w:rPr>
      </w:pPr>
      <w:r w:rsidRPr="009871EA">
        <w:rPr>
          <w:rFonts w:ascii="Times New Roman" w:hAnsi="Times New Roman"/>
          <w:b/>
          <w:bCs/>
          <w:sz w:val="24"/>
          <w:szCs w:val="24"/>
        </w:rPr>
        <w:t xml:space="preserve">Legal Lessons Learned:  </w:t>
      </w:r>
      <w:r>
        <w:rPr>
          <w:rFonts w:ascii="Times New Roman" w:hAnsi="Times New Roman"/>
          <w:b/>
          <w:bCs/>
          <w:sz w:val="24"/>
          <w:szCs w:val="24"/>
        </w:rPr>
        <w:t xml:space="preserve">EMS protocols must be followed, and suspension / remediation training is an appropriate corrective action.  </w:t>
      </w:r>
      <w:bookmarkEnd w:id="495"/>
      <w:r>
        <w:rPr>
          <w:rFonts w:ascii="Times New Roman" w:hAnsi="Times New Roman"/>
          <w:b/>
          <w:bCs/>
          <w:sz w:val="24"/>
          <w:szCs w:val="24"/>
        </w:rPr>
        <w:t xml:space="preserve">  </w:t>
      </w:r>
      <w:bookmarkEnd w:id="496"/>
      <w:r>
        <w:rPr>
          <w:rFonts w:ascii="Times New Roman" w:hAnsi="Times New Roman"/>
          <w:b/>
          <w:bCs/>
          <w:sz w:val="24"/>
          <w:szCs w:val="24"/>
        </w:rPr>
        <w:t>[Also filed, Chap. 8, Race Discrimination.]</w:t>
      </w:r>
    </w:p>
    <w:p w14:paraId="3050E4A9" w14:textId="77777777" w:rsidR="00853142" w:rsidRDefault="00853142" w:rsidP="00DE0F03">
      <w:pPr>
        <w:pStyle w:val="NoSpacing"/>
        <w:rPr>
          <w:rFonts w:ascii="Arial Black" w:hAnsi="Arial Black"/>
          <w:sz w:val="24"/>
          <w:szCs w:val="24"/>
        </w:rPr>
      </w:pPr>
    </w:p>
    <w:p w14:paraId="00F22F8F" w14:textId="77777777" w:rsidR="00853142" w:rsidRDefault="00853142" w:rsidP="00DE0F03">
      <w:pPr>
        <w:pStyle w:val="NoSpacing"/>
        <w:rPr>
          <w:rFonts w:ascii="Arial Black" w:hAnsi="Arial Black"/>
          <w:sz w:val="24"/>
          <w:szCs w:val="24"/>
        </w:rPr>
      </w:pPr>
    </w:p>
    <w:p w14:paraId="2406827B" w14:textId="77777777" w:rsidR="00853142" w:rsidRDefault="00853142" w:rsidP="00DE0F03">
      <w:pPr>
        <w:pStyle w:val="NoSpacing"/>
        <w:rPr>
          <w:rFonts w:ascii="Arial Black" w:hAnsi="Arial Black"/>
          <w:sz w:val="24"/>
          <w:szCs w:val="24"/>
        </w:rPr>
      </w:pPr>
    </w:p>
    <w:p w14:paraId="32CEF3DC" w14:textId="27E2754E" w:rsidR="009F0F05" w:rsidRDefault="00EE0562" w:rsidP="00DE0F03">
      <w:pPr>
        <w:pStyle w:val="NoSpacing"/>
        <w:rPr>
          <w:rFonts w:ascii="Arial Black" w:hAnsi="Arial Black"/>
          <w:sz w:val="24"/>
          <w:szCs w:val="24"/>
        </w:rPr>
      </w:pPr>
      <w:r>
        <w:rPr>
          <w:rFonts w:ascii="Arial Black" w:hAnsi="Arial Black"/>
          <w:sz w:val="24"/>
          <w:szCs w:val="24"/>
        </w:rPr>
        <w:t>13-3</w:t>
      </w:r>
      <w:r w:rsidR="00C95AF6">
        <w:rPr>
          <w:rFonts w:ascii="Arial Black" w:hAnsi="Arial Black"/>
          <w:sz w:val="24"/>
          <w:szCs w:val="24"/>
        </w:rPr>
        <w:t>2</w:t>
      </w:r>
      <w:r>
        <w:rPr>
          <w:rFonts w:ascii="Arial Black" w:hAnsi="Arial Black"/>
          <w:sz w:val="24"/>
          <w:szCs w:val="24"/>
        </w:rPr>
        <w:t xml:space="preserve"> </w:t>
      </w:r>
    </w:p>
    <w:p w14:paraId="5A6B044E" w14:textId="77777777" w:rsidR="00EE0562" w:rsidRDefault="00EE0562" w:rsidP="00DE0F03">
      <w:pPr>
        <w:pStyle w:val="NoSpacing"/>
        <w:rPr>
          <w:rFonts w:ascii="Arial Black" w:hAnsi="Arial Black"/>
          <w:sz w:val="24"/>
          <w:szCs w:val="24"/>
        </w:rPr>
      </w:pPr>
    </w:p>
    <w:p w14:paraId="2DAFD27D" w14:textId="77777777" w:rsidR="009F0F05" w:rsidRPr="003561BE" w:rsidRDefault="009F0F05" w:rsidP="009F0F05">
      <w:pPr>
        <w:rPr>
          <w:rFonts w:ascii="Arial Black" w:hAnsi="Arial Black"/>
          <w:sz w:val="28"/>
          <w:szCs w:val="28"/>
        </w:rPr>
      </w:pPr>
      <w:bookmarkStart w:id="497" w:name="_Hlk41152875"/>
      <w:bookmarkStart w:id="498" w:name="_Hlk41297020"/>
      <w:r w:rsidRPr="003561BE">
        <w:rPr>
          <w:rFonts w:ascii="Arial Black" w:hAnsi="Arial Black"/>
          <w:sz w:val="28"/>
          <w:szCs w:val="28"/>
        </w:rPr>
        <w:t xml:space="preserve">OK: </w:t>
      </w:r>
      <w:r>
        <w:rPr>
          <w:rFonts w:ascii="Arial Black" w:hAnsi="Arial Black"/>
          <w:sz w:val="28"/>
          <w:szCs w:val="28"/>
        </w:rPr>
        <w:t>EMS HELD BACK FROM PD SHOOTING FOR 12 MINUTES – CONFIRM SCENE SECURE - QUALIFIED IMMUNITY</w:t>
      </w:r>
    </w:p>
    <w:p w14:paraId="4D2AC446" w14:textId="77777777" w:rsidR="009F0F05" w:rsidRDefault="009F0F05" w:rsidP="009F0F05">
      <w:r w:rsidRPr="0025287C">
        <w:rPr>
          <w:rFonts w:ascii="Times New Roman" w:hAnsi="Times New Roman"/>
          <w:sz w:val="24"/>
          <w:szCs w:val="24"/>
        </w:rPr>
        <w:t xml:space="preserve">On Sept. 6, 2019, </w:t>
      </w:r>
      <w:r>
        <w:rPr>
          <w:rFonts w:ascii="Times New Roman" w:hAnsi="Times New Roman"/>
          <w:sz w:val="24"/>
          <w:szCs w:val="24"/>
        </w:rPr>
        <w:t xml:space="preserve">in </w:t>
      </w:r>
      <w:r w:rsidRPr="0088321C">
        <w:rPr>
          <w:rFonts w:ascii="Times New Roman" w:hAnsi="Times New Roman"/>
          <w:sz w:val="24"/>
          <w:szCs w:val="24"/>
          <w:u w:val="single"/>
        </w:rPr>
        <w:t>Briena Crittenden, as personal representative of estate of Joshua</w:t>
      </w:r>
      <w:r w:rsidRPr="005B29CF">
        <w:rPr>
          <w:rFonts w:ascii="Times New Roman" w:hAnsi="Times New Roman"/>
          <w:sz w:val="24"/>
          <w:szCs w:val="24"/>
          <w:u w:val="single"/>
        </w:rPr>
        <w:t xml:space="preserve"> P. Crittenden v. City of Tahlequah, Officer Randy Tanner, et al</w:t>
      </w:r>
      <w:r>
        <w:rPr>
          <w:rFonts w:ascii="Times New Roman" w:hAnsi="Times New Roman"/>
          <w:sz w:val="24"/>
          <w:szCs w:val="24"/>
        </w:rPr>
        <w:t>., the U.S. Court of Appeals for the 10</w:t>
      </w:r>
      <w:r w:rsidRPr="005B29CF">
        <w:rPr>
          <w:rFonts w:ascii="Times New Roman" w:hAnsi="Times New Roman"/>
          <w:sz w:val="24"/>
          <w:szCs w:val="24"/>
          <w:vertAlign w:val="superscript"/>
        </w:rPr>
        <w:t>th</w:t>
      </w:r>
      <w:r>
        <w:rPr>
          <w:rFonts w:ascii="Times New Roman" w:hAnsi="Times New Roman"/>
          <w:sz w:val="24"/>
          <w:szCs w:val="24"/>
        </w:rPr>
        <w:t xml:space="preserve"> District (Denver) held (3 to 0) that U.S. District Court judge properly granted summary judgment to the police officers and the City.  </w:t>
      </w:r>
      <w:hyperlink r:id="rId2439" w:history="1">
        <w:r w:rsidRPr="00586529">
          <w:rPr>
            <w:rStyle w:val="Hyperlink"/>
          </w:rPr>
          <w:t>https://law.justia.com/cases/federal/appellate-courts/ca10/18-7036/18-7036-2019-09-06.html</w:t>
        </w:r>
      </w:hyperlink>
      <w:r>
        <w:t xml:space="preserve"> </w:t>
      </w:r>
    </w:p>
    <w:bookmarkEnd w:id="497"/>
    <w:p w14:paraId="7CB89A7A" w14:textId="77777777" w:rsidR="009F0F05" w:rsidRPr="0025287C" w:rsidRDefault="009F0F05" w:rsidP="009F0F05">
      <w:pPr>
        <w:rPr>
          <w:rFonts w:ascii="Times New Roman" w:hAnsi="Times New Roman"/>
          <w:sz w:val="24"/>
          <w:szCs w:val="24"/>
        </w:rPr>
      </w:pPr>
      <w:r>
        <w:rPr>
          <w:rFonts w:ascii="Times New Roman" w:hAnsi="Times New Roman"/>
          <w:sz w:val="24"/>
          <w:szCs w:val="24"/>
        </w:rPr>
        <w:t xml:space="preserve"> Circuit Judge Michael R, Murphy wrote:</w:t>
      </w:r>
    </w:p>
    <w:p w14:paraId="510B2D7C" w14:textId="77777777" w:rsidR="009F0F05" w:rsidRPr="00DA74F4" w:rsidRDefault="009F0F05" w:rsidP="009F0F05">
      <w:pPr>
        <w:ind w:left="720"/>
        <w:rPr>
          <w:rFonts w:ascii="Times New Roman" w:hAnsi="Times New Roman"/>
          <w:sz w:val="24"/>
          <w:szCs w:val="24"/>
        </w:rPr>
      </w:pPr>
      <w:r>
        <w:rPr>
          <w:rFonts w:ascii="Times New Roman" w:hAnsi="Times New Roman"/>
          <w:sz w:val="24"/>
          <w:szCs w:val="24"/>
        </w:rPr>
        <w:t>“</w:t>
      </w:r>
      <w:r w:rsidRPr="00682A63">
        <w:rPr>
          <w:rFonts w:ascii="Times New Roman" w:hAnsi="Times New Roman"/>
          <w:sz w:val="24"/>
          <w:szCs w:val="24"/>
        </w:rPr>
        <w:t xml:space="preserve">There is no precedent supporting the notion that police officers have an affirmative duty to provide immediate medical care in situations such as the instant case. </w:t>
      </w:r>
      <w:r w:rsidRPr="00DA74F4">
        <w:rPr>
          <w:rFonts w:ascii="Times New Roman" w:hAnsi="Times New Roman"/>
          <w:sz w:val="24"/>
          <w:szCs w:val="24"/>
        </w:rPr>
        <w:t>See Wilson v.</w:t>
      </w:r>
      <w:r>
        <w:rPr>
          <w:rFonts w:ascii="Times New Roman" w:hAnsi="Times New Roman"/>
          <w:sz w:val="24"/>
          <w:szCs w:val="24"/>
        </w:rPr>
        <w:t xml:space="preserve"> </w:t>
      </w:r>
      <w:r w:rsidRPr="00DA74F4">
        <w:rPr>
          <w:rFonts w:ascii="Times New Roman" w:hAnsi="Times New Roman"/>
          <w:sz w:val="24"/>
          <w:szCs w:val="24"/>
        </w:rPr>
        <w:t>Meeks, 52</w:t>
      </w:r>
      <w:r>
        <w:rPr>
          <w:rFonts w:ascii="Times New Roman" w:hAnsi="Times New Roman"/>
          <w:sz w:val="24"/>
          <w:szCs w:val="24"/>
        </w:rPr>
        <w:t xml:space="preserve"> </w:t>
      </w:r>
      <w:r w:rsidRPr="00DA74F4">
        <w:rPr>
          <w:rFonts w:ascii="Times New Roman" w:hAnsi="Times New Roman"/>
          <w:sz w:val="24"/>
          <w:szCs w:val="24"/>
        </w:rPr>
        <w:t>F.3d1547, 1556</w:t>
      </w:r>
      <w:r>
        <w:rPr>
          <w:rFonts w:ascii="Times New Roman" w:hAnsi="Times New Roman"/>
          <w:sz w:val="24"/>
          <w:szCs w:val="24"/>
        </w:rPr>
        <w:t xml:space="preserve"> </w:t>
      </w:r>
      <w:r w:rsidRPr="00DA74F4">
        <w:rPr>
          <w:rFonts w:ascii="Times New Roman" w:hAnsi="Times New Roman"/>
          <w:sz w:val="24"/>
          <w:szCs w:val="24"/>
        </w:rPr>
        <w:t>(10thCir.1995), abrogated on other grounds by Saucier</w:t>
      </w:r>
      <w:r>
        <w:rPr>
          <w:rFonts w:ascii="Times New Roman" w:hAnsi="Times New Roman"/>
          <w:sz w:val="24"/>
          <w:szCs w:val="24"/>
        </w:rPr>
        <w:t xml:space="preserve"> </w:t>
      </w:r>
      <w:r w:rsidRPr="00DA74F4">
        <w:rPr>
          <w:rFonts w:ascii="Times New Roman" w:hAnsi="Times New Roman"/>
          <w:sz w:val="24"/>
          <w:szCs w:val="24"/>
        </w:rPr>
        <w:t>v.</w:t>
      </w:r>
      <w:r>
        <w:rPr>
          <w:rFonts w:ascii="Times New Roman" w:hAnsi="Times New Roman"/>
          <w:sz w:val="24"/>
          <w:szCs w:val="24"/>
        </w:rPr>
        <w:t xml:space="preserve"> </w:t>
      </w:r>
      <w:r w:rsidRPr="00DA74F4">
        <w:rPr>
          <w:rFonts w:ascii="Times New Roman" w:hAnsi="Times New Roman"/>
          <w:sz w:val="24"/>
          <w:szCs w:val="24"/>
        </w:rPr>
        <w:t>Katz,</w:t>
      </w:r>
      <w:r>
        <w:rPr>
          <w:rFonts w:ascii="Times New Roman" w:hAnsi="Times New Roman"/>
          <w:sz w:val="24"/>
          <w:szCs w:val="24"/>
        </w:rPr>
        <w:t xml:space="preserve"> </w:t>
      </w:r>
      <w:r w:rsidRPr="00DA74F4">
        <w:rPr>
          <w:rFonts w:ascii="Times New Roman" w:hAnsi="Times New Roman"/>
          <w:sz w:val="24"/>
          <w:szCs w:val="24"/>
        </w:rPr>
        <w:t>533</w:t>
      </w:r>
      <w:r>
        <w:rPr>
          <w:rFonts w:ascii="Times New Roman" w:hAnsi="Times New Roman"/>
          <w:sz w:val="24"/>
          <w:szCs w:val="24"/>
        </w:rPr>
        <w:t xml:space="preserve"> </w:t>
      </w:r>
      <w:r w:rsidRPr="00DA74F4">
        <w:rPr>
          <w:rFonts w:ascii="Times New Roman" w:hAnsi="Times New Roman"/>
          <w:sz w:val="24"/>
          <w:szCs w:val="24"/>
        </w:rPr>
        <w:t>U.S.194</w:t>
      </w:r>
      <w:r>
        <w:rPr>
          <w:rFonts w:ascii="Times New Roman" w:hAnsi="Times New Roman"/>
          <w:sz w:val="24"/>
          <w:szCs w:val="24"/>
        </w:rPr>
        <w:t xml:space="preserve"> </w:t>
      </w:r>
      <w:r w:rsidRPr="00DA74F4">
        <w:rPr>
          <w:rFonts w:ascii="Times New Roman" w:hAnsi="Times New Roman"/>
          <w:sz w:val="24"/>
          <w:szCs w:val="24"/>
        </w:rPr>
        <w:t>(2001).</w:t>
      </w:r>
      <w:r>
        <w:rPr>
          <w:rFonts w:ascii="Times New Roman" w:hAnsi="Times New Roman"/>
          <w:sz w:val="24"/>
          <w:szCs w:val="24"/>
        </w:rPr>
        <w:t xml:space="preserve"> I</w:t>
      </w:r>
      <w:r w:rsidRPr="00DA74F4">
        <w:rPr>
          <w:rFonts w:ascii="Times New Roman" w:hAnsi="Times New Roman"/>
          <w:sz w:val="24"/>
          <w:szCs w:val="24"/>
        </w:rPr>
        <w:t>n</w:t>
      </w:r>
      <w:r>
        <w:rPr>
          <w:rFonts w:ascii="Times New Roman" w:hAnsi="Times New Roman"/>
          <w:sz w:val="24"/>
          <w:szCs w:val="24"/>
        </w:rPr>
        <w:t xml:space="preserve"> </w:t>
      </w:r>
      <w:r w:rsidRPr="00DA74F4">
        <w:rPr>
          <w:rFonts w:ascii="Times New Roman" w:hAnsi="Times New Roman"/>
          <w:sz w:val="24"/>
          <w:szCs w:val="24"/>
        </w:rPr>
        <w:t>Wilson,</w:t>
      </w:r>
      <w:r>
        <w:rPr>
          <w:rFonts w:ascii="Times New Roman" w:hAnsi="Times New Roman"/>
          <w:sz w:val="24"/>
          <w:szCs w:val="24"/>
        </w:rPr>
        <w:t xml:space="preserve"> </w:t>
      </w:r>
      <w:r w:rsidRPr="00DA74F4">
        <w:rPr>
          <w:rFonts w:ascii="Times New Roman" w:hAnsi="Times New Roman"/>
          <w:sz w:val="24"/>
          <w:szCs w:val="24"/>
        </w:rPr>
        <w:t>after</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police</w:t>
      </w:r>
      <w:r>
        <w:rPr>
          <w:rFonts w:ascii="Times New Roman" w:hAnsi="Times New Roman"/>
          <w:sz w:val="24"/>
          <w:szCs w:val="24"/>
        </w:rPr>
        <w:t xml:space="preserve"> </w:t>
      </w:r>
      <w:r w:rsidRPr="00DA74F4">
        <w:rPr>
          <w:rFonts w:ascii="Times New Roman" w:hAnsi="Times New Roman"/>
          <w:sz w:val="24"/>
          <w:szCs w:val="24"/>
        </w:rPr>
        <w:t>officer</w:t>
      </w:r>
      <w:r>
        <w:rPr>
          <w:rFonts w:ascii="Times New Roman" w:hAnsi="Times New Roman"/>
          <w:sz w:val="24"/>
          <w:szCs w:val="24"/>
        </w:rPr>
        <w:t xml:space="preserve"> </w:t>
      </w:r>
      <w:r w:rsidRPr="00DA74F4">
        <w:rPr>
          <w:rFonts w:ascii="Times New Roman" w:hAnsi="Times New Roman"/>
          <w:sz w:val="24"/>
          <w:szCs w:val="24"/>
        </w:rPr>
        <w:t>shot</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man</w:t>
      </w:r>
      <w:r>
        <w:rPr>
          <w:rFonts w:ascii="Times New Roman" w:hAnsi="Times New Roman"/>
          <w:sz w:val="24"/>
          <w:szCs w:val="24"/>
        </w:rPr>
        <w:t xml:space="preserve"> </w:t>
      </w:r>
      <w:r w:rsidRPr="00DA74F4">
        <w:rPr>
          <w:rFonts w:ascii="Times New Roman" w:hAnsi="Times New Roman"/>
          <w:sz w:val="24"/>
          <w:szCs w:val="24"/>
        </w:rPr>
        <w:t>holding</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gun,</w:t>
      </w:r>
      <w:r>
        <w:rPr>
          <w:rFonts w:ascii="Times New Roman" w:hAnsi="Times New Roman"/>
          <w:sz w:val="24"/>
          <w:szCs w:val="24"/>
        </w:rPr>
        <w:t xml:space="preserve"> </w:t>
      </w:r>
      <w:r w:rsidRPr="00DA74F4">
        <w:rPr>
          <w:rFonts w:ascii="Times New Roman" w:hAnsi="Times New Roman"/>
          <w:sz w:val="24"/>
          <w:szCs w:val="24"/>
        </w:rPr>
        <w:t>other</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handcuffed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victim</w:t>
      </w:r>
      <w:r>
        <w:rPr>
          <w:rFonts w:ascii="Times New Roman" w:hAnsi="Times New Roman"/>
          <w:sz w:val="24"/>
          <w:szCs w:val="24"/>
        </w:rPr>
        <w:t xml:space="preserve"> </w:t>
      </w:r>
      <w:r w:rsidRPr="00DA74F4">
        <w:rPr>
          <w:rFonts w:ascii="Times New Roman" w:hAnsi="Times New Roman"/>
          <w:sz w:val="24"/>
          <w:szCs w:val="24"/>
        </w:rPr>
        <w:t>before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help</w:t>
      </w:r>
      <w:r>
        <w:rPr>
          <w:rFonts w:ascii="Times New Roman" w:hAnsi="Times New Roman"/>
          <w:sz w:val="24"/>
          <w:szCs w:val="24"/>
        </w:rPr>
        <w:t xml:space="preserve"> </w:t>
      </w:r>
      <w:r w:rsidRPr="00DA74F4">
        <w:rPr>
          <w:rFonts w:ascii="Times New Roman" w:hAnsi="Times New Roman"/>
          <w:sz w:val="24"/>
          <w:szCs w:val="24"/>
        </w:rPr>
        <w:t>arrived.</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did</w:t>
      </w:r>
      <w:r>
        <w:rPr>
          <w:rFonts w:ascii="Times New Roman" w:hAnsi="Times New Roman"/>
          <w:sz w:val="24"/>
          <w:szCs w:val="24"/>
        </w:rPr>
        <w:t xml:space="preserve"> </w:t>
      </w:r>
      <w:r w:rsidRPr="00DA74F4">
        <w:rPr>
          <w:rFonts w:ascii="Times New Roman" w:hAnsi="Times New Roman"/>
          <w:sz w:val="24"/>
          <w:szCs w:val="24"/>
        </w:rPr>
        <w:t>not</w:t>
      </w:r>
      <w:r>
        <w:rPr>
          <w:rFonts w:ascii="Times New Roman" w:hAnsi="Times New Roman"/>
          <w:sz w:val="24"/>
          <w:szCs w:val="24"/>
        </w:rPr>
        <w:t xml:space="preserve"> </w:t>
      </w:r>
      <w:r w:rsidRPr="00DA74F4">
        <w:rPr>
          <w:rFonts w:ascii="Times New Roman" w:hAnsi="Times New Roman"/>
          <w:sz w:val="24"/>
          <w:szCs w:val="24"/>
        </w:rPr>
        <w:t>provide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care</w:t>
      </w:r>
      <w:r>
        <w:rPr>
          <w:rFonts w:ascii="Times New Roman" w:hAnsi="Times New Roman"/>
          <w:sz w:val="24"/>
          <w:szCs w:val="24"/>
        </w:rPr>
        <w:t xml:space="preserve"> </w:t>
      </w:r>
      <w:r w:rsidRPr="00DA74F4">
        <w:rPr>
          <w:rFonts w:ascii="Times New Roman" w:hAnsi="Times New Roman"/>
          <w:sz w:val="24"/>
          <w:szCs w:val="24"/>
        </w:rPr>
        <w:t>or</w:t>
      </w:r>
      <w:r>
        <w:rPr>
          <w:rFonts w:ascii="Times New Roman" w:hAnsi="Times New Roman"/>
          <w:sz w:val="24"/>
          <w:szCs w:val="24"/>
        </w:rPr>
        <w:t xml:space="preserve"> </w:t>
      </w:r>
      <w:r w:rsidRPr="00DA74F4">
        <w:rPr>
          <w:rFonts w:ascii="Times New Roman" w:hAnsi="Times New Roman"/>
          <w:sz w:val="24"/>
          <w:szCs w:val="24"/>
        </w:rPr>
        <w:t>first</w:t>
      </w:r>
      <w:r>
        <w:rPr>
          <w:rFonts w:ascii="Times New Roman" w:hAnsi="Times New Roman"/>
          <w:sz w:val="24"/>
          <w:szCs w:val="24"/>
        </w:rPr>
        <w:t xml:space="preserve"> </w:t>
      </w:r>
      <w:r w:rsidRPr="00DA74F4">
        <w:rPr>
          <w:rFonts w:ascii="Times New Roman" w:hAnsi="Times New Roman"/>
          <w:sz w:val="24"/>
          <w:szCs w:val="24"/>
        </w:rPr>
        <w:t>aid</w:t>
      </w:r>
      <w:r>
        <w:rPr>
          <w:rFonts w:ascii="Times New Roman" w:hAnsi="Times New Roman"/>
          <w:sz w:val="24"/>
          <w:szCs w:val="24"/>
        </w:rPr>
        <w:t xml:space="preserve"> </w:t>
      </w:r>
      <w:r w:rsidRPr="00DA74F4">
        <w:rPr>
          <w:rFonts w:ascii="Times New Roman" w:hAnsi="Times New Roman"/>
          <w:sz w:val="24"/>
          <w:szCs w:val="24"/>
        </w:rPr>
        <w:t>before</w:t>
      </w:r>
      <w:r>
        <w:rPr>
          <w:rFonts w:ascii="Times New Roman" w:hAnsi="Times New Roman"/>
          <w:sz w:val="24"/>
          <w:szCs w:val="24"/>
        </w:rPr>
        <w:t xml:space="preserve"> </w:t>
      </w:r>
      <w:r w:rsidRPr="00DA74F4">
        <w:rPr>
          <w:rFonts w:ascii="Times New Roman" w:hAnsi="Times New Roman"/>
          <w:sz w:val="24"/>
          <w:szCs w:val="24"/>
        </w:rPr>
        <w:t>EMS</w:t>
      </w:r>
      <w:r>
        <w:rPr>
          <w:rFonts w:ascii="Times New Roman" w:hAnsi="Times New Roman"/>
          <w:sz w:val="24"/>
          <w:szCs w:val="24"/>
        </w:rPr>
        <w:t xml:space="preserve"> </w:t>
      </w:r>
      <w:r w:rsidRPr="00DA74F4">
        <w:rPr>
          <w:rFonts w:ascii="Times New Roman" w:hAnsi="Times New Roman"/>
          <w:sz w:val="24"/>
          <w:szCs w:val="24"/>
        </w:rPr>
        <w:t>arrived.</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victim’s</w:t>
      </w:r>
      <w:r>
        <w:rPr>
          <w:rFonts w:ascii="Times New Roman" w:hAnsi="Times New Roman"/>
          <w:sz w:val="24"/>
          <w:szCs w:val="24"/>
        </w:rPr>
        <w:t xml:space="preserve"> </w:t>
      </w:r>
      <w:r w:rsidRPr="00DA74F4">
        <w:rPr>
          <w:rFonts w:ascii="Times New Roman" w:hAnsi="Times New Roman"/>
          <w:sz w:val="24"/>
          <w:szCs w:val="24"/>
        </w:rPr>
        <w:t>estate</w:t>
      </w:r>
      <w:r>
        <w:rPr>
          <w:rFonts w:ascii="Times New Roman" w:hAnsi="Times New Roman"/>
          <w:sz w:val="24"/>
          <w:szCs w:val="24"/>
        </w:rPr>
        <w:t xml:space="preserve"> </w:t>
      </w:r>
      <w:r w:rsidRPr="00DA74F4">
        <w:rPr>
          <w:rFonts w:ascii="Times New Roman" w:hAnsi="Times New Roman"/>
          <w:sz w:val="24"/>
          <w:szCs w:val="24"/>
        </w:rPr>
        <w:t>alleged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interfered</w:t>
      </w:r>
      <w:r>
        <w:rPr>
          <w:rFonts w:ascii="Times New Roman" w:hAnsi="Times New Roman"/>
          <w:sz w:val="24"/>
          <w:szCs w:val="24"/>
        </w:rPr>
        <w:t xml:space="preserve"> </w:t>
      </w:r>
      <w:r w:rsidRPr="00DA74F4">
        <w:rPr>
          <w:rFonts w:ascii="Times New Roman" w:hAnsi="Times New Roman"/>
          <w:sz w:val="24"/>
          <w:szCs w:val="24"/>
        </w:rPr>
        <w:t>with</w:t>
      </w:r>
      <w:r>
        <w:rPr>
          <w:rFonts w:ascii="Times New Roman" w:hAnsi="Times New Roman"/>
          <w:sz w:val="24"/>
          <w:szCs w:val="24"/>
        </w:rPr>
        <w:t xml:space="preserve"> </w:t>
      </w:r>
      <w:r w:rsidRPr="00DA74F4">
        <w:rPr>
          <w:rFonts w:ascii="Times New Roman" w:hAnsi="Times New Roman"/>
          <w:sz w:val="24"/>
          <w:szCs w:val="24"/>
        </w:rPr>
        <w:t>EMS</w:t>
      </w:r>
      <w:r>
        <w:rPr>
          <w:rFonts w:ascii="Times New Roman" w:hAnsi="Times New Roman"/>
          <w:sz w:val="24"/>
          <w:szCs w:val="24"/>
        </w:rPr>
        <w:t xml:space="preserve"> </w:t>
      </w:r>
      <w:r w:rsidRPr="00DA74F4">
        <w:rPr>
          <w:rFonts w:ascii="Times New Roman" w:hAnsi="Times New Roman"/>
          <w:sz w:val="24"/>
          <w:szCs w:val="24"/>
        </w:rPr>
        <w:t>by</w:t>
      </w:r>
      <w:r>
        <w:rPr>
          <w:rFonts w:ascii="Times New Roman" w:hAnsi="Times New Roman"/>
          <w:sz w:val="24"/>
          <w:szCs w:val="24"/>
        </w:rPr>
        <w:t xml:space="preserve"> </w:t>
      </w:r>
      <w:r w:rsidRPr="00DA74F4">
        <w:rPr>
          <w:rFonts w:ascii="Times New Roman" w:hAnsi="Times New Roman"/>
          <w:sz w:val="24"/>
          <w:szCs w:val="24"/>
        </w:rPr>
        <w:t>refusing</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remove</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handcuffs</w:t>
      </w:r>
      <w:r>
        <w:rPr>
          <w:rFonts w:ascii="Times New Roman" w:hAnsi="Times New Roman"/>
          <w:sz w:val="24"/>
          <w:szCs w:val="24"/>
        </w:rPr>
        <w:t xml:space="preserve"> </w:t>
      </w:r>
      <w:r w:rsidRPr="00DA74F4">
        <w:rPr>
          <w:rFonts w:ascii="Times New Roman" w:hAnsi="Times New Roman"/>
          <w:sz w:val="24"/>
          <w:szCs w:val="24"/>
        </w:rPr>
        <w:t>upon</w:t>
      </w:r>
      <w:r>
        <w:rPr>
          <w:rFonts w:ascii="Times New Roman" w:hAnsi="Times New Roman"/>
          <w:sz w:val="24"/>
          <w:szCs w:val="24"/>
        </w:rPr>
        <w:t xml:space="preserve"> </w:t>
      </w:r>
      <w:proofErr w:type="spellStart"/>
      <w:r w:rsidRPr="00DA74F4">
        <w:rPr>
          <w:rFonts w:ascii="Times New Roman" w:hAnsi="Times New Roman"/>
          <w:sz w:val="24"/>
          <w:szCs w:val="24"/>
        </w:rPr>
        <w:t>request.Id</w:t>
      </w:r>
      <w:proofErr w:type="spellEnd"/>
      <w:r w:rsidRPr="00DA74F4">
        <w:rPr>
          <w:rFonts w:ascii="Times New Roman" w:hAnsi="Times New Roman"/>
          <w:sz w:val="24"/>
          <w:szCs w:val="24"/>
        </w:rPr>
        <w:t>.</w:t>
      </w:r>
      <w:r>
        <w:rPr>
          <w:rFonts w:ascii="Times New Roman" w:hAnsi="Times New Roman"/>
          <w:sz w:val="24"/>
          <w:szCs w:val="24"/>
        </w:rPr>
        <w:t xml:space="preserve"> </w:t>
      </w:r>
      <w:r w:rsidRPr="00DA74F4">
        <w:rPr>
          <w:rFonts w:ascii="Times New Roman" w:hAnsi="Times New Roman"/>
          <w:sz w:val="24"/>
          <w:szCs w:val="24"/>
        </w:rPr>
        <w:t>This</w:t>
      </w:r>
      <w:r>
        <w:rPr>
          <w:rFonts w:ascii="Times New Roman" w:hAnsi="Times New Roman"/>
          <w:sz w:val="24"/>
          <w:szCs w:val="24"/>
        </w:rPr>
        <w:t xml:space="preserve"> </w:t>
      </w:r>
      <w:r w:rsidRPr="00DA74F4">
        <w:rPr>
          <w:rFonts w:ascii="Times New Roman" w:hAnsi="Times New Roman"/>
          <w:sz w:val="24"/>
          <w:szCs w:val="24"/>
        </w:rPr>
        <w:t>court,</w:t>
      </w:r>
      <w:r>
        <w:rPr>
          <w:rFonts w:ascii="Times New Roman" w:hAnsi="Times New Roman"/>
          <w:sz w:val="24"/>
          <w:szCs w:val="24"/>
        </w:rPr>
        <w:t xml:space="preserve"> </w:t>
      </w:r>
      <w:r w:rsidRPr="00DA74F4">
        <w:rPr>
          <w:rFonts w:ascii="Times New Roman" w:hAnsi="Times New Roman"/>
          <w:sz w:val="24"/>
          <w:szCs w:val="24"/>
        </w:rPr>
        <w:t>applying</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Fourteenth</w:t>
      </w:r>
      <w:r>
        <w:rPr>
          <w:rFonts w:ascii="Times New Roman" w:hAnsi="Times New Roman"/>
          <w:sz w:val="24"/>
          <w:szCs w:val="24"/>
        </w:rPr>
        <w:t xml:space="preserve"> </w:t>
      </w:r>
      <w:r w:rsidRPr="00DA74F4">
        <w:rPr>
          <w:rFonts w:ascii="Times New Roman" w:hAnsi="Times New Roman"/>
          <w:sz w:val="24"/>
          <w:szCs w:val="24"/>
        </w:rPr>
        <w:t>Amendment</w:t>
      </w:r>
      <w:r>
        <w:rPr>
          <w:rFonts w:ascii="Times New Roman" w:hAnsi="Times New Roman"/>
          <w:sz w:val="24"/>
          <w:szCs w:val="24"/>
        </w:rPr>
        <w:t xml:space="preserve"> </w:t>
      </w:r>
      <w:r w:rsidRPr="00DA74F4">
        <w:rPr>
          <w:rFonts w:ascii="Times New Roman" w:hAnsi="Times New Roman"/>
          <w:sz w:val="24"/>
          <w:szCs w:val="24"/>
        </w:rPr>
        <w:t>deliberate</w:t>
      </w:r>
      <w:r>
        <w:rPr>
          <w:rFonts w:ascii="Times New Roman" w:hAnsi="Times New Roman"/>
          <w:sz w:val="24"/>
          <w:szCs w:val="24"/>
        </w:rPr>
        <w:t xml:space="preserve"> </w:t>
      </w:r>
      <w:r w:rsidRPr="00DA74F4">
        <w:rPr>
          <w:rFonts w:ascii="Times New Roman" w:hAnsi="Times New Roman"/>
          <w:sz w:val="24"/>
          <w:szCs w:val="24"/>
        </w:rPr>
        <w:t>indifference</w:t>
      </w:r>
      <w:r>
        <w:rPr>
          <w:rFonts w:ascii="Times New Roman" w:hAnsi="Times New Roman"/>
          <w:sz w:val="24"/>
          <w:szCs w:val="24"/>
        </w:rPr>
        <w:t xml:space="preserve"> </w:t>
      </w:r>
      <w:r w:rsidRPr="00DA74F4">
        <w:rPr>
          <w:rFonts w:ascii="Times New Roman" w:hAnsi="Times New Roman"/>
          <w:sz w:val="24"/>
          <w:szCs w:val="24"/>
        </w:rPr>
        <w:t>standard,</w:t>
      </w:r>
      <w:r>
        <w:rPr>
          <w:rFonts w:ascii="Times New Roman" w:hAnsi="Times New Roman"/>
          <w:sz w:val="24"/>
          <w:szCs w:val="24"/>
        </w:rPr>
        <w:t xml:space="preserve"> </w:t>
      </w:r>
      <w:r w:rsidRPr="00DA74F4">
        <w:rPr>
          <w:rFonts w:ascii="Times New Roman" w:hAnsi="Times New Roman"/>
          <w:sz w:val="24"/>
          <w:szCs w:val="24"/>
        </w:rPr>
        <w:t>held</w:t>
      </w:r>
      <w:r>
        <w:rPr>
          <w:rFonts w:ascii="Times New Roman" w:hAnsi="Times New Roman"/>
          <w:sz w:val="24"/>
          <w:szCs w:val="24"/>
        </w:rPr>
        <w:t xml:space="preserve"> </w:t>
      </w:r>
      <w:r w:rsidRPr="00DA74F4">
        <w:rPr>
          <w:rFonts w:ascii="Times New Roman" w:hAnsi="Times New Roman"/>
          <w:sz w:val="24"/>
          <w:szCs w:val="24"/>
        </w:rPr>
        <w:t>that</w:t>
      </w:r>
      <w:r>
        <w:rPr>
          <w:rFonts w:ascii="Times New Roman" w:hAnsi="Times New Roman"/>
          <w:sz w:val="24"/>
          <w:szCs w:val="24"/>
        </w:rPr>
        <w:t xml:space="preserve"> </w:t>
      </w:r>
      <w:r w:rsidRPr="00DA74F4">
        <w:rPr>
          <w:rFonts w:ascii="Times New Roman" w:hAnsi="Times New Roman"/>
          <w:sz w:val="24"/>
          <w:szCs w:val="24"/>
        </w:rPr>
        <w:t>neither</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handcuffing</w:t>
      </w:r>
      <w:r>
        <w:rPr>
          <w:rFonts w:ascii="Times New Roman" w:hAnsi="Times New Roman"/>
          <w:sz w:val="24"/>
          <w:szCs w:val="24"/>
        </w:rPr>
        <w:t xml:space="preserve"> </w:t>
      </w:r>
      <w:r w:rsidRPr="00DA74F4">
        <w:rPr>
          <w:rFonts w:ascii="Times New Roman" w:hAnsi="Times New Roman"/>
          <w:sz w:val="24"/>
          <w:szCs w:val="24"/>
        </w:rPr>
        <w:t>nor</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refusal</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remove</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handcuffs</w:t>
      </w:r>
      <w:r>
        <w:rPr>
          <w:rFonts w:ascii="Times New Roman" w:hAnsi="Times New Roman"/>
          <w:sz w:val="24"/>
          <w:szCs w:val="24"/>
        </w:rPr>
        <w:t xml:space="preserve"> </w:t>
      </w:r>
      <w:r w:rsidRPr="00DA74F4">
        <w:rPr>
          <w:rFonts w:ascii="Times New Roman" w:hAnsi="Times New Roman"/>
          <w:sz w:val="24"/>
          <w:szCs w:val="24"/>
        </w:rPr>
        <w:t>amounted</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constitutional</w:t>
      </w:r>
      <w:r>
        <w:rPr>
          <w:rFonts w:ascii="Times New Roman" w:hAnsi="Times New Roman"/>
          <w:sz w:val="24"/>
          <w:szCs w:val="24"/>
        </w:rPr>
        <w:t xml:space="preserve"> </w:t>
      </w:r>
      <w:r w:rsidRPr="00DA74F4">
        <w:rPr>
          <w:rFonts w:ascii="Times New Roman" w:hAnsi="Times New Roman"/>
          <w:sz w:val="24"/>
          <w:szCs w:val="24"/>
        </w:rPr>
        <w:t>violation.</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Further,</w:t>
      </w:r>
      <w:r>
        <w:rPr>
          <w:rFonts w:ascii="Times New Roman" w:hAnsi="Times New Roman"/>
          <w:sz w:val="24"/>
          <w:szCs w:val="24"/>
        </w:rPr>
        <w:t xml:space="preserve"> </w:t>
      </w:r>
      <w:r w:rsidRPr="00DA74F4">
        <w:rPr>
          <w:rFonts w:ascii="Times New Roman" w:hAnsi="Times New Roman"/>
          <w:sz w:val="24"/>
          <w:szCs w:val="24"/>
        </w:rPr>
        <w:t>Wilson</w:t>
      </w:r>
      <w:r>
        <w:rPr>
          <w:rFonts w:ascii="Times New Roman" w:hAnsi="Times New Roman"/>
          <w:sz w:val="24"/>
          <w:szCs w:val="24"/>
        </w:rPr>
        <w:t xml:space="preserve"> </w:t>
      </w:r>
      <w:r w:rsidRPr="00DA74F4">
        <w:rPr>
          <w:rFonts w:ascii="Times New Roman" w:hAnsi="Times New Roman"/>
          <w:sz w:val="24"/>
          <w:szCs w:val="24"/>
        </w:rPr>
        <w:t>refused</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hold</w:t>
      </w:r>
      <w:r>
        <w:rPr>
          <w:rFonts w:ascii="Times New Roman" w:hAnsi="Times New Roman"/>
          <w:sz w:val="24"/>
          <w:szCs w:val="24"/>
        </w:rPr>
        <w:t xml:space="preserve"> </w:t>
      </w:r>
      <w:r w:rsidRPr="00DA74F4">
        <w:rPr>
          <w:rFonts w:ascii="Times New Roman" w:hAnsi="Times New Roman"/>
          <w:sz w:val="24"/>
          <w:szCs w:val="24"/>
        </w:rPr>
        <w:t>that</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Due</w:t>
      </w:r>
      <w:r>
        <w:rPr>
          <w:rFonts w:ascii="Times New Roman" w:hAnsi="Times New Roman"/>
          <w:sz w:val="24"/>
          <w:szCs w:val="24"/>
        </w:rPr>
        <w:t xml:space="preserve"> </w:t>
      </w:r>
      <w:r w:rsidRPr="00DA74F4">
        <w:rPr>
          <w:rFonts w:ascii="Times New Roman" w:hAnsi="Times New Roman"/>
          <w:sz w:val="24"/>
          <w:szCs w:val="24"/>
        </w:rPr>
        <w:t>Process</w:t>
      </w:r>
      <w:r>
        <w:rPr>
          <w:rFonts w:ascii="Times New Roman" w:hAnsi="Times New Roman"/>
          <w:sz w:val="24"/>
          <w:szCs w:val="24"/>
        </w:rPr>
        <w:t xml:space="preserve"> </w:t>
      </w:r>
      <w:r w:rsidRPr="00DA74F4">
        <w:rPr>
          <w:rFonts w:ascii="Times New Roman" w:hAnsi="Times New Roman"/>
          <w:sz w:val="24"/>
          <w:szCs w:val="24"/>
        </w:rPr>
        <w:t>Clause</w:t>
      </w:r>
      <w:r>
        <w:rPr>
          <w:rFonts w:ascii="Times New Roman" w:hAnsi="Times New Roman"/>
          <w:sz w:val="24"/>
          <w:szCs w:val="24"/>
        </w:rPr>
        <w:t xml:space="preserve"> </w:t>
      </w:r>
      <w:r w:rsidRPr="00DA74F4">
        <w:rPr>
          <w:rFonts w:ascii="Times New Roman" w:hAnsi="Times New Roman"/>
          <w:sz w:val="24"/>
          <w:szCs w:val="24"/>
        </w:rPr>
        <w:t>establishes</w:t>
      </w:r>
      <w:r>
        <w:rPr>
          <w:rFonts w:ascii="Times New Roman" w:hAnsi="Times New Roman"/>
          <w:sz w:val="24"/>
          <w:szCs w:val="24"/>
        </w:rPr>
        <w:t xml:space="preserve"> </w:t>
      </w:r>
      <w:r w:rsidRPr="00DA74F4">
        <w:rPr>
          <w:rFonts w:ascii="Times New Roman" w:hAnsi="Times New Roman"/>
          <w:sz w:val="24"/>
          <w:szCs w:val="24"/>
        </w:rPr>
        <w:t>an</w:t>
      </w:r>
      <w:r>
        <w:rPr>
          <w:rFonts w:ascii="Times New Roman" w:hAnsi="Times New Roman"/>
          <w:sz w:val="24"/>
          <w:szCs w:val="24"/>
        </w:rPr>
        <w:t xml:space="preserve"> </w:t>
      </w:r>
      <w:r w:rsidRPr="00DA74F4">
        <w:rPr>
          <w:rFonts w:ascii="Times New Roman" w:hAnsi="Times New Roman"/>
          <w:sz w:val="24"/>
          <w:szCs w:val="24"/>
        </w:rPr>
        <w:t>affirmative</w:t>
      </w:r>
      <w:r>
        <w:rPr>
          <w:rFonts w:ascii="Times New Roman" w:hAnsi="Times New Roman"/>
          <w:sz w:val="24"/>
          <w:szCs w:val="24"/>
        </w:rPr>
        <w:t xml:space="preserve"> </w:t>
      </w:r>
      <w:r w:rsidRPr="00DA74F4">
        <w:rPr>
          <w:rFonts w:ascii="Times New Roman" w:hAnsi="Times New Roman"/>
          <w:sz w:val="24"/>
          <w:szCs w:val="24"/>
        </w:rPr>
        <w:t>duty</w:t>
      </w:r>
      <w:r>
        <w:rPr>
          <w:rFonts w:ascii="Times New Roman" w:hAnsi="Times New Roman"/>
          <w:sz w:val="24"/>
          <w:szCs w:val="24"/>
        </w:rPr>
        <w:t xml:space="preserve"> </w:t>
      </w:r>
      <w:r w:rsidRPr="00DA74F4">
        <w:rPr>
          <w:rFonts w:ascii="Times New Roman" w:hAnsi="Times New Roman"/>
          <w:sz w:val="24"/>
          <w:szCs w:val="24"/>
        </w:rPr>
        <w:t>on</w:t>
      </w:r>
      <w:r>
        <w:rPr>
          <w:rFonts w:ascii="Times New Roman" w:hAnsi="Times New Roman"/>
          <w:sz w:val="24"/>
          <w:szCs w:val="24"/>
        </w:rPr>
        <w:t xml:space="preserve"> </w:t>
      </w:r>
      <w:r w:rsidRPr="00DA74F4">
        <w:rPr>
          <w:rFonts w:ascii="Times New Roman" w:hAnsi="Times New Roman"/>
          <w:sz w:val="24"/>
          <w:szCs w:val="24"/>
        </w:rPr>
        <w:t>police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provide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care</w:t>
      </w:r>
      <w:r>
        <w:rPr>
          <w:rFonts w:ascii="Times New Roman" w:hAnsi="Times New Roman"/>
          <w:sz w:val="24"/>
          <w:szCs w:val="24"/>
        </w:rPr>
        <w:t xml:space="preserve"> </w:t>
      </w:r>
      <w:r w:rsidRPr="00DA74F4">
        <w:rPr>
          <w:rFonts w:ascii="Times New Roman" w:hAnsi="Times New Roman"/>
          <w:sz w:val="24"/>
          <w:szCs w:val="24"/>
        </w:rPr>
        <w:t>(even</w:t>
      </w:r>
      <w:r>
        <w:rPr>
          <w:rFonts w:ascii="Times New Roman" w:hAnsi="Times New Roman"/>
          <w:sz w:val="24"/>
          <w:szCs w:val="24"/>
        </w:rPr>
        <w:t xml:space="preserve"> </w:t>
      </w:r>
      <w:r w:rsidRPr="00DA74F4">
        <w:rPr>
          <w:rFonts w:ascii="Times New Roman" w:hAnsi="Times New Roman"/>
          <w:sz w:val="24"/>
          <w:szCs w:val="24"/>
        </w:rPr>
        <w:t>something</w:t>
      </w:r>
      <w:r>
        <w:rPr>
          <w:rFonts w:ascii="Times New Roman" w:hAnsi="Times New Roman"/>
          <w:sz w:val="24"/>
          <w:szCs w:val="24"/>
        </w:rPr>
        <w:t xml:space="preserve"> </w:t>
      </w:r>
      <w:r w:rsidRPr="00DA74F4">
        <w:rPr>
          <w:rFonts w:ascii="Times New Roman" w:hAnsi="Times New Roman"/>
          <w:sz w:val="24"/>
          <w:szCs w:val="24"/>
        </w:rPr>
        <w:t>as</w:t>
      </w:r>
      <w:r>
        <w:rPr>
          <w:rFonts w:ascii="Times New Roman" w:hAnsi="Times New Roman"/>
          <w:sz w:val="24"/>
          <w:szCs w:val="24"/>
        </w:rPr>
        <w:t xml:space="preserve"> </w:t>
      </w:r>
      <w:r w:rsidRPr="00DA74F4">
        <w:rPr>
          <w:rFonts w:ascii="Times New Roman" w:hAnsi="Times New Roman"/>
          <w:sz w:val="24"/>
          <w:szCs w:val="24"/>
        </w:rPr>
        <w:t>basic</w:t>
      </w:r>
      <w:r>
        <w:rPr>
          <w:rFonts w:ascii="Times New Roman" w:hAnsi="Times New Roman"/>
          <w:sz w:val="24"/>
          <w:szCs w:val="24"/>
        </w:rPr>
        <w:t xml:space="preserve"> </w:t>
      </w:r>
      <w:r w:rsidRPr="00DA74F4">
        <w:rPr>
          <w:rFonts w:ascii="Times New Roman" w:hAnsi="Times New Roman"/>
          <w:sz w:val="24"/>
          <w:szCs w:val="24"/>
        </w:rPr>
        <w:t>as</w:t>
      </w:r>
      <w:r>
        <w:rPr>
          <w:rFonts w:ascii="Times New Roman" w:hAnsi="Times New Roman"/>
          <w:sz w:val="24"/>
          <w:szCs w:val="24"/>
        </w:rPr>
        <w:t xml:space="preserve"> </w:t>
      </w:r>
      <w:r w:rsidRPr="00DA74F4">
        <w:rPr>
          <w:rFonts w:ascii="Times New Roman" w:hAnsi="Times New Roman"/>
          <w:sz w:val="24"/>
          <w:szCs w:val="24"/>
        </w:rPr>
        <w:t>CPR),</w:t>
      </w:r>
      <w:r>
        <w:rPr>
          <w:rFonts w:ascii="Times New Roman" w:hAnsi="Times New Roman"/>
          <w:sz w:val="24"/>
          <w:szCs w:val="24"/>
        </w:rPr>
        <w:t xml:space="preserve"> i</w:t>
      </w:r>
      <w:r w:rsidRPr="00DA74F4">
        <w:rPr>
          <w:rFonts w:ascii="Times New Roman" w:hAnsi="Times New Roman"/>
          <w:sz w:val="24"/>
          <w:szCs w:val="24"/>
        </w:rPr>
        <w:t>n</w:t>
      </w:r>
      <w:r>
        <w:rPr>
          <w:rFonts w:ascii="Times New Roman" w:hAnsi="Times New Roman"/>
          <w:sz w:val="24"/>
          <w:szCs w:val="24"/>
        </w:rPr>
        <w:t xml:space="preserve"> </w:t>
      </w:r>
      <w:proofErr w:type="gramStart"/>
      <w:r w:rsidRPr="00DA74F4">
        <w:rPr>
          <w:rFonts w:ascii="Times New Roman" w:hAnsi="Times New Roman"/>
          <w:sz w:val="24"/>
          <w:szCs w:val="24"/>
        </w:rPr>
        <w:t>any</w:t>
      </w:r>
      <w:r>
        <w:rPr>
          <w:rFonts w:ascii="Times New Roman" w:hAnsi="Times New Roman"/>
          <w:sz w:val="24"/>
          <w:szCs w:val="24"/>
        </w:rPr>
        <w:t xml:space="preserve"> </w:t>
      </w:r>
      <w:r w:rsidRPr="00DA74F4">
        <w:rPr>
          <w:rFonts w:ascii="Times New Roman" w:hAnsi="Times New Roman"/>
          <w:sz w:val="24"/>
          <w:szCs w:val="24"/>
        </w:rPr>
        <w:t>and</w:t>
      </w:r>
      <w:r>
        <w:rPr>
          <w:rFonts w:ascii="Times New Roman" w:hAnsi="Times New Roman"/>
          <w:sz w:val="24"/>
          <w:szCs w:val="24"/>
        </w:rPr>
        <w:t xml:space="preserve"> </w:t>
      </w:r>
      <w:r w:rsidRPr="00DA74F4">
        <w:rPr>
          <w:rFonts w:ascii="Times New Roman" w:hAnsi="Times New Roman"/>
          <w:sz w:val="24"/>
          <w:szCs w:val="24"/>
        </w:rPr>
        <w:t>all</w:t>
      </w:r>
      <w:proofErr w:type="gramEnd"/>
      <w:r>
        <w:rPr>
          <w:rFonts w:ascii="Times New Roman" w:hAnsi="Times New Roman"/>
          <w:sz w:val="24"/>
          <w:szCs w:val="24"/>
        </w:rPr>
        <w:t xml:space="preserve"> </w:t>
      </w:r>
      <w:r w:rsidRPr="00DA74F4">
        <w:rPr>
          <w:rFonts w:ascii="Times New Roman" w:hAnsi="Times New Roman"/>
          <w:sz w:val="24"/>
          <w:szCs w:val="24"/>
        </w:rPr>
        <w:t>circumstances,</w:t>
      </w:r>
      <w:r>
        <w:rPr>
          <w:rFonts w:ascii="Times New Roman" w:hAnsi="Times New Roman"/>
          <w:sz w:val="24"/>
          <w:szCs w:val="24"/>
        </w:rPr>
        <w:t xml:space="preserve"> </w:t>
      </w:r>
      <w:r w:rsidRPr="00DA74F4">
        <w:rPr>
          <w:rFonts w:ascii="Times New Roman" w:hAnsi="Times New Roman"/>
          <w:sz w:val="24"/>
          <w:szCs w:val="24"/>
        </w:rPr>
        <w:t>or</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render</w:t>
      </w:r>
      <w:r>
        <w:rPr>
          <w:rFonts w:ascii="Times New Roman" w:hAnsi="Times New Roman"/>
          <w:sz w:val="24"/>
          <w:szCs w:val="24"/>
        </w:rPr>
        <w:t xml:space="preserve"> </w:t>
      </w:r>
      <w:r w:rsidRPr="00DA74F4">
        <w:rPr>
          <w:rFonts w:ascii="Times New Roman" w:hAnsi="Times New Roman"/>
          <w:sz w:val="24"/>
          <w:szCs w:val="24"/>
        </w:rPr>
        <w:t>first</w:t>
      </w:r>
      <w:r>
        <w:rPr>
          <w:rFonts w:ascii="Times New Roman" w:hAnsi="Times New Roman"/>
          <w:sz w:val="24"/>
          <w:szCs w:val="24"/>
        </w:rPr>
        <w:t xml:space="preserve"> </w:t>
      </w:r>
      <w:r w:rsidRPr="00DA74F4">
        <w:rPr>
          <w:rFonts w:ascii="Times New Roman" w:hAnsi="Times New Roman"/>
          <w:sz w:val="24"/>
          <w:szCs w:val="24"/>
        </w:rPr>
        <w:t>aid.</w:t>
      </w:r>
      <w:r>
        <w:rPr>
          <w:rFonts w:ascii="Times New Roman" w:hAnsi="Times New Roman"/>
          <w:sz w:val="24"/>
          <w:szCs w:val="24"/>
        </w:rPr>
        <w:t>”</w:t>
      </w:r>
    </w:p>
    <w:p w14:paraId="265B6BCE" w14:textId="77777777" w:rsidR="00EE0562" w:rsidRPr="0088321C" w:rsidRDefault="00EE0562" w:rsidP="00EE0562">
      <w:pPr>
        <w:pStyle w:val="NoSpacing"/>
        <w:rPr>
          <w:rFonts w:ascii="Arial Black" w:hAnsi="Arial Black"/>
          <w:sz w:val="24"/>
          <w:szCs w:val="24"/>
        </w:rPr>
      </w:pPr>
      <w:bookmarkStart w:id="499" w:name="_Hlk41152902"/>
      <w:r w:rsidRPr="0088321C">
        <w:rPr>
          <w:rFonts w:ascii="Arial Black" w:hAnsi="Arial Black"/>
          <w:sz w:val="24"/>
          <w:szCs w:val="24"/>
        </w:rPr>
        <w:t xml:space="preserve">Legal Lessons Learned: </w:t>
      </w:r>
      <w:r>
        <w:rPr>
          <w:rFonts w:ascii="Arial Black" w:hAnsi="Arial Black"/>
          <w:sz w:val="24"/>
          <w:szCs w:val="24"/>
        </w:rPr>
        <w:t xml:space="preserve">Police enjoy qualified immunity, particularly where EMS is held back while scene is secured.  EMS should document reasons for delay, and subsequent medical care provided. </w:t>
      </w:r>
    </w:p>
    <w:bookmarkEnd w:id="499"/>
    <w:p w14:paraId="6CFFCF31" w14:textId="0BA64685" w:rsidR="009F0F05" w:rsidRDefault="009F0F05" w:rsidP="00DE0F03">
      <w:pPr>
        <w:pStyle w:val="NoSpacing"/>
        <w:rPr>
          <w:rFonts w:ascii="Arial Black" w:hAnsi="Arial Black"/>
          <w:sz w:val="24"/>
          <w:szCs w:val="24"/>
        </w:rPr>
      </w:pPr>
    </w:p>
    <w:p w14:paraId="5A0E3FB1" w14:textId="77777777" w:rsidR="00E26EA8" w:rsidRDefault="00E26EA8" w:rsidP="00DE0F03">
      <w:pPr>
        <w:pStyle w:val="NoSpacing"/>
        <w:rPr>
          <w:rFonts w:ascii="Arial Black" w:hAnsi="Arial Black"/>
          <w:sz w:val="24"/>
          <w:szCs w:val="24"/>
        </w:rPr>
      </w:pPr>
    </w:p>
    <w:bookmarkEnd w:id="498"/>
    <w:p w14:paraId="200426E1" w14:textId="380443FE" w:rsidR="00EE0562" w:rsidRDefault="00EE0562" w:rsidP="00DE0F03">
      <w:pPr>
        <w:pStyle w:val="NoSpacing"/>
        <w:rPr>
          <w:rFonts w:ascii="Arial Black" w:hAnsi="Arial Black"/>
          <w:sz w:val="24"/>
          <w:szCs w:val="24"/>
        </w:rPr>
      </w:pPr>
      <w:r>
        <w:rPr>
          <w:rFonts w:ascii="Arial Black" w:hAnsi="Arial Black"/>
          <w:sz w:val="24"/>
          <w:szCs w:val="24"/>
        </w:rPr>
        <w:t>13-</w:t>
      </w:r>
      <w:r w:rsidR="009C7552">
        <w:rPr>
          <w:rFonts w:ascii="Arial Black" w:hAnsi="Arial Black"/>
          <w:sz w:val="24"/>
          <w:szCs w:val="24"/>
        </w:rPr>
        <w:t>3</w:t>
      </w:r>
      <w:r w:rsidR="00C95AF6">
        <w:rPr>
          <w:rFonts w:ascii="Arial Black" w:hAnsi="Arial Black"/>
          <w:sz w:val="24"/>
          <w:szCs w:val="24"/>
        </w:rPr>
        <w:t>1</w:t>
      </w:r>
    </w:p>
    <w:p w14:paraId="5252359C" w14:textId="77777777" w:rsidR="00EE0562" w:rsidRDefault="00EE0562" w:rsidP="00DE0F03">
      <w:pPr>
        <w:pStyle w:val="NoSpacing"/>
        <w:rPr>
          <w:rFonts w:ascii="Arial Black" w:hAnsi="Arial Black"/>
          <w:sz w:val="24"/>
          <w:szCs w:val="24"/>
        </w:rPr>
      </w:pPr>
    </w:p>
    <w:p w14:paraId="621898A8" w14:textId="77777777" w:rsidR="00EE0562" w:rsidRDefault="00EE0562" w:rsidP="00EE0562">
      <w:pPr>
        <w:rPr>
          <w:rFonts w:ascii="Arial Black" w:hAnsi="Arial Black"/>
          <w:sz w:val="28"/>
          <w:szCs w:val="28"/>
        </w:rPr>
      </w:pPr>
      <w:bookmarkStart w:id="500" w:name="_Hlk41152970"/>
      <w:bookmarkStart w:id="501" w:name="_Hlk41297079"/>
      <w:r w:rsidRPr="00576E46">
        <w:rPr>
          <w:rFonts w:ascii="Arial Black" w:hAnsi="Arial Black"/>
          <w:sz w:val="28"/>
          <w:szCs w:val="28"/>
        </w:rPr>
        <w:t xml:space="preserve">GA: </w:t>
      </w:r>
      <w:r>
        <w:rPr>
          <w:rFonts w:ascii="Arial Black" w:hAnsi="Arial Black"/>
          <w:sz w:val="28"/>
          <w:szCs w:val="28"/>
        </w:rPr>
        <w:t>SOFT RESTRAINTS - MANIC EPISODE - POLICE VIDEOS SHOW NEED FOR RESTRAINTS - QUALIFIED IMMUNITY</w:t>
      </w:r>
    </w:p>
    <w:p w14:paraId="64A55D24" w14:textId="77777777" w:rsidR="00EE0562" w:rsidRPr="008028C7" w:rsidRDefault="00EE0562" w:rsidP="00EE0562">
      <w:pPr>
        <w:rPr>
          <w:rFonts w:ascii="Times New Roman" w:hAnsi="Times New Roman"/>
          <w:sz w:val="24"/>
          <w:szCs w:val="24"/>
        </w:rPr>
      </w:pPr>
      <w:r w:rsidRPr="008028C7">
        <w:rPr>
          <w:rFonts w:ascii="Times New Roman" w:hAnsi="Times New Roman"/>
          <w:sz w:val="24"/>
          <w:szCs w:val="24"/>
        </w:rPr>
        <w:t xml:space="preserve">On Aug. 29, 2019, in </w:t>
      </w:r>
      <w:r w:rsidRPr="008028C7">
        <w:rPr>
          <w:rFonts w:ascii="Times New Roman" w:hAnsi="Times New Roman"/>
          <w:sz w:val="24"/>
          <w:szCs w:val="24"/>
          <w:u w:val="single"/>
        </w:rPr>
        <w:t>Kimberly Ellison v. Kenneth Hobbs, et al</w:t>
      </w:r>
      <w:r w:rsidRPr="008028C7">
        <w:rPr>
          <w:rFonts w:ascii="Times New Roman" w:hAnsi="Times New Roman"/>
          <w:sz w:val="24"/>
          <w:szCs w:val="24"/>
        </w:rPr>
        <w:t>., the U.S. Court of Appeals for the 11</w:t>
      </w:r>
      <w:r w:rsidRPr="008028C7">
        <w:rPr>
          <w:rFonts w:ascii="Times New Roman" w:hAnsi="Times New Roman"/>
          <w:sz w:val="24"/>
          <w:szCs w:val="24"/>
          <w:vertAlign w:val="superscript"/>
        </w:rPr>
        <w:t>th</w:t>
      </w:r>
      <w:r w:rsidRPr="008028C7">
        <w:rPr>
          <w:rFonts w:ascii="Times New Roman" w:hAnsi="Times New Roman"/>
          <w:sz w:val="24"/>
          <w:szCs w:val="24"/>
        </w:rPr>
        <w:t xml:space="preserve"> District (Atlanta), held (3 to 0) in an unpublished decision, that U.S. District Court judge had properly granted summary judgment to all EMS and Police.  </w:t>
      </w:r>
      <w:hyperlink r:id="rId2440" w:history="1">
        <w:r w:rsidRPr="008028C7">
          <w:rPr>
            <w:rStyle w:val="Hyperlink"/>
            <w:rFonts w:ascii="Times New Roman" w:hAnsi="Times New Roman"/>
            <w:sz w:val="24"/>
            <w:szCs w:val="24"/>
          </w:rPr>
          <w:t>http://media.ca11.uscourts.gov/opinions/unpub/files/201814142.pdf</w:t>
        </w:r>
      </w:hyperlink>
      <w:r w:rsidRPr="008028C7">
        <w:rPr>
          <w:rFonts w:ascii="Times New Roman" w:hAnsi="Times New Roman"/>
          <w:sz w:val="24"/>
          <w:szCs w:val="24"/>
        </w:rPr>
        <w:t xml:space="preserve"> </w:t>
      </w:r>
    </w:p>
    <w:bookmarkEnd w:id="500"/>
    <w:p w14:paraId="36F30E70" w14:textId="77777777" w:rsidR="00EE0562" w:rsidRDefault="00EE0562" w:rsidP="00EE0562">
      <w:pPr>
        <w:rPr>
          <w:rFonts w:ascii="On On" w:hAnsi="On On"/>
          <w:sz w:val="24"/>
          <w:szCs w:val="24"/>
        </w:rPr>
      </w:pPr>
      <w:r>
        <w:rPr>
          <w:rFonts w:ascii="On On" w:hAnsi="On On"/>
          <w:sz w:val="24"/>
          <w:szCs w:val="24"/>
        </w:rPr>
        <w:tab/>
        <w:t xml:space="preserve">The court held: </w:t>
      </w:r>
    </w:p>
    <w:p w14:paraId="257DA8CB" w14:textId="77777777" w:rsidR="00EE0562" w:rsidRDefault="00EE0562" w:rsidP="00EE0562">
      <w:pPr>
        <w:pStyle w:val="NoSpacing"/>
        <w:ind w:left="720"/>
        <w:rPr>
          <w:rFonts w:ascii="Times New Roman" w:hAnsi="Times New Roman"/>
          <w:sz w:val="24"/>
          <w:szCs w:val="24"/>
        </w:rPr>
      </w:pPr>
      <w:r>
        <w:rPr>
          <w:rFonts w:ascii="Times New Roman" w:hAnsi="Times New Roman"/>
          <w:sz w:val="24"/>
          <w:szCs w:val="24"/>
        </w:rPr>
        <w:t>“[C]</w:t>
      </w:r>
      <w:proofErr w:type="spellStart"/>
      <w:r w:rsidRPr="00741E0D">
        <w:rPr>
          <w:rFonts w:ascii="Times New Roman" w:hAnsi="Times New Roman"/>
          <w:sz w:val="24"/>
          <w:szCs w:val="24"/>
        </w:rPr>
        <w:t>ontrary</w:t>
      </w:r>
      <w:proofErr w:type="spellEnd"/>
      <w:r w:rsidRPr="00741E0D">
        <w:rPr>
          <w:rFonts w:ascii="Times New Roman" w:hAnsi="Times New Roman"/>
          <w:sz w:val="24"/>
          <w:szCs w:val="24"/>
        </w:rPr>
        <w:t xml:space="preserve"> to Ellison’s contentions, the use of soft restraints is a tool available to Paramedic Gasaway and EMT Howard in performing their job-related functions. See Davenport, 906 F.3d at 940. Thus, because Paramedic Gasaway’s and EMT Howard’s actions were not outside their </w:t>
      </w:r>
      <w:r>
        <w:rPr>
          <w:rFonts w:ascii="Times New Roman" w:hAnsi="Times New Roman"/>
          <w:sz w:val="24"/>
          <w:szCs w:val="24"/>
        </w:rPr>
        <w:t>‘</w:t>
      </w:r>
      <w:r w:rsidRPr="00741E0D">
        <w:rPr>
          <w:rFonts w:ascii="Times New Roman" w:hAnsi="Times New Roman"/>
          <w:sz w:val="24"/>
          <w:szCs w:val="24"/>
        </w:rPr>
        <w:t>arsenal</w:t>
      </w:r>
      <w:r>
        <w:rPr>
          <w:rFonts w:ascii="Times New Roman" w:hAnsi="Times New Roman"/>
          <w:sz w:val="24"/>
          <w:szCs w:val="24"/>
        </w:rPr>
        <w:t>’</w:t>
      </w:r>
      <w:r w:rsidRPr="00741E0D">
        <w:rPr>
          <w:rFonts w:ascii="Times New Roman" w:hAnsi="Times New Roman"/>
          <w:sz w:val="24"/>
          <w:szCs w:val="24"/>
        </w:rPr>
        <w:t xml:space="preserve"> of powers, they acted within their discretionary authority.</w:t>
      </w:r>
      <w:r>
        <w:rPr>
          <w:rFonts w:ascii="Times New Roman" w:hAnsi="Times New Roman"/>
          <w:sz w:val="24"/>
          <w:szCs w:val="24"/>
        </w:rPr>
        <w:t>”</w:t>
      </w:r>
    </w:p>
    <w:p w14:paraId="52B1FC3D" w14:textId="77777777" w:rsidR="00EE0562" w:rsidRDefault="00EE0562" w:rsidP="00EE0562">
      <w:pPr>
        <w:pStyle w:val="NoSpacing"/>
        <w:rPr>
          <w:rFonts w:ascii="Times New Roman" w:hAnsi="Times New Roman"/>
          <w:b/>
          <w:bCs/>
          <w:sz w:val="24"/>
          <w:szCs w:val="24"/>
        </w:rPr>
      </w:pPr>
    </w:p>
    <w:p w14:paraId="007683A9" w14:textId="11A1AD04" w:rsidR="00EE0562" w:rsidRPr="00E052A6" w:rsidRDefault="00EE0562" w:rsidP="00EE0562">
      <w:pPr>
        <w:pStyle w:val="NoSpacing"/>
        <w:rPr>
          <w:rFonts w:ascii="Times New Roman" w:hAnsi="Times New Roman"/>
          <w:b/>
          <w:bCs/>
          <w:sz w:val="24"/>
          <w:szCs w:val="24"/>
        </w:rPr>
      </w:pPr>
      <w:bookmarkStart w:id="502" w:name="_Hlk41152984"/>
      <w:r w:rsidRPr="00E052A6">
        <w:rPr>
          <w:rFonts w:ascii="Times New Roman" w:hAnsi="Times New Roman"/>
          <w:b/>
          <w:bCs/>
          <w:sz w:val="24"/>
          <w:szCs w:val="24"/>
        </w:rPr>
        <w:t xml:space="preserve">Legal Lessons Learned:  Thanks to officer’s video cameras, both the U.S. District Court judge, and the Court of Appeals, had a “minute by minute” view of what occurred in getting this patient [who is a practicing attorney] out of her apartment and to the hospital. </w:t>
      </w:r>
    </w:p>
    <w:bookmarkEnd w:id="501"/>
    <w:bookmarkEnd w:id="502"/>
    <w:p w14:paraId="027732E5" w14:textId="338EEE5F" w:rsidR="00EE0562" w:rsidRDefault="00EE0562" w:rsidP="00EE0562">
      <w:pPr>
        <w:pStyle w:val="NoSpacing"/>
        <w:rPr>
          <w:rFonts w:ascii="Arial Black" w:hAnsi="Arial Black"/>
          <w:b/>
          <w:bCs/>
          <w:sz w:val="24"/>
          <w:szCs w:val="24"/>
        </w:rPr>
      </w:pPr>
    </w:p>
    <w:p w14:paraId="0D5B8948" w14:textId="0C2D03ED" w:rsidR="00EE0562" w:rsidRDefault="00EE0562" w:rsidP="00EE0562">
      <w:pPr>
        <w:pStyle w:val="NoSpacing"/>
        <w:rPr>
          <w:rFonts w:ascii="Arial Black" w:hAnsi="Arial Black"/>
          <w:b/>
          <w:bCs/>
          <w:sz w:val="24"/>
          <w:szCs w:val="24"/>
        </w:rPr>
      </w:pPr>
    </w:p>
    <w:p w14:paraId="15695EEB" w14:textId="066B0AA2" w:rsidR="00E26EA8" w:rsidRDefault="00E26EA8" w:rsidP="00EE0562">
      <w:pPr>
        <w:pStyle w:val="NoSpacing"/>
        <w:rPr>
          <w:rFonts w:ascii="Arial Black" w:hAnsi="Arial Black"/>
          <w:b/>
          <w:bCs/>
          <w:sz w:val="24"/>
          <w:szCs w:val="24"/>
        </w:rPr>
      </w:pPr>
    </w:p>
    <w:p w14:paraId="5383913D" w14:textId="77777777" w:rsidR="00E26EA8" w:rsidRPr="00EE0562" w:rsidRDefault="00E26EA8" w:rsidP="00EE0562">
      <w:pPr>
        <w:pStyle w:val="NoSpacing"/>
        <w:rPr>
          <w:rFonts w:ascii="Arial Black" w:hAnsi="Arial Black"/>
          <w:b/>
          <w:bCs/>
          <w:sz w:val="24"/>
          <w:szCs w:val="24"/>
        </w:rPr>
      </w:pPr>
    </w:p>
    <w:p w14:paraId="348999D4" w14:textId="6BF8BE8E" w:rsidR="00EE0562" w:rsidRPr="00EE0562" w:rsidRDefault="00EE0562" w:rsidP="00EE0562">
      <w:pPr>
        <w:pStyle w:val="NoSpacing"/>
        <w:rPr>
          <w:rFonts w:ascii="Arial Black" w:hAnsi="Arial Black"/>
          <w:b/>
          <w:bCs/>
          <w:sz w:val="24"/>
          <w:szCs w:val="24"/>
        </w:rPr>
      </w:pPr>
      <w:r w:rsidRPr="00EE0562">
        <w:rPr>
          <w:rFonts w:ascii="Arial Black" w:hAnsi="Arial Black"/>
          <w:b/>
          <w:bCs/>
          <w:sz w:val="24"/>
          <w:szCs w:val="24"/>
        </w:rPr>
        <w:t>13-</w:t>
      </w:r>
      <w:r w:rsidR="00C95AF6">
        <w:rPr>
          <w:rFonts w:ascii="Arial Black" w:hAnsi="Arial Black"/>
          <w:b/>
          <w:bCs/>
          <w:sz w:val="24"/>
          <w:szCs w:val="24"/>
        </w:rPr>
        <w:t>30</w:t>
      </w:r>
    </w:p>
    <w:p w14:paraId="627225B0" w14:textId="77777777" w:rsidR="00EE0562" w:rsidRDefault="00EE0562" w:rsidP="00EE0562">
      <w:pPr>
        <w:pStyle w:val="NoSpacing"/>
        <w:rPr>
          <w:rFonts w:ascii="Times New Roman" w:hAnsi="Times New Roman"/>
          <w:b/>
          <w:bCs/>
          <w:sz w:val="24"/>
          <w:szCs w:val="24"/>
        </w:rPr>
      </w:pPr>
    </w:p>
    <w:p w14:paraId="06D50D98" w14:textId="77777777" w:rsidR="00EE0562" w:rsidRPr="00DC1D9B" w:rsidRDefault="00EE0562" w:rsidP="00EE0562">
      <w:pPr>
        <w:rPr>
          <w:rFonts w:ascii="Arial Black" w:hAnsi="Arial Black"/>
          <w:b/>
          <w:bCs/>
          <w:sz w:val="28"/>
          <w:szCs w:val="28"/>
        </w:rPr>
      </w:pPr>
      <w:bookmarkStart w:id="503" w:name="_Hlk41153061"/>
      <w:bookmarkStart w:id="504" w:name="_Hlk41296305"/>
      <w:r w:rsidRPr="00DC1D9B">
        <w:rPr>
          <w:rFonts w:ascii="Arial Black" w:hAnsi="Arial Black"/>
          <w:b/>
          <w:bCs/>
          <w:sz w:val="28"/>
          <w:szCs w:val="28"/>
        </w:rPr>
        <w:t xml:space="preserve">IL:  STROKE PATIENT </w:t>
      </w:r>
      <w:r>
        <w:rPr>
          <w:rFonts w:ascii="Arial Black" w:hAnsi="Arial Black"/>
          <w:b/>
          <w:bCs/>
          <w:sz w:val="28"/>
          <w:szCs w:val="28"/>
        </w:rPr>
        <w:t xml:space="preserve">WHO RAN OUT </w:t>
      </w:r>
      <w:r w:rsidRPr="00DC1D9B">
        <w:rPr>
          <w:rFonts w:ascii="Arial Black" w:hAnsi="Arial Black"/>
          <w:b/>
          <w:bCs/>
          <w:sz w:val="28"/>
          <w:szCs w:val="28"/>
        </w:rPr>
        <w:t xml:space="preserve">HOME – </w:t>
      </w:r>
      <w:r>
        <w:rPr>
          <w:rFonts w:ascii="Arial Black" w:hAnsi="Arial Black"/>
          <w:b/>
          <w:bCs/>
          <w:sz w:val="28"/>
          <w:szCs w:val="28"/>
        </w:rPr>
        <w:t>EMS TACKLED ON DRIVEWAY - LAWSUIT PROCEED, FACTS IN DISPUTE</w:t>
      </w:r>
    </w:p>
    <w:p w14:paraId="36772576" w14:textId="77777777" w:rsidR="00EE0562" w:rsidRDefault="00EE0562" w:rsidP="00EE0562">
      <w:pPr>
        <w:rPr>
          <w:rFonts w:ascii="Times New Roman" w:hAnsi="Times New Roman"/>
          <w:sz w:val="24"/>
          <w:szCs w:val="24"/>
        </w:rPr>
      </w:pPr>
      <w:r w:rsidRPr="004E2C24">
        <w:rPr>
          <w:rFonts w:ascii="Times New Roman" w:hAnsi="Times New Roman"/>
          <w:sz w:val="24"/>
          <w:szCs w:val="24"/>
        </w:rPr>
        <w:t xml:space="preserve">On Aug. 28, 2019, in </w:t>
      </w:r>
      <w:r w:rsidRPr="004E2C24">
        <w:rPr>
          <w:rFonts w:ascii="Times New Roman" w:hAnsi="Times New Roman"/>
          <w:sz w:val="24"/>
          <w:szCs w:val="24"/>
          <w:u w:val="single"/>
        </w:rPr>
        <w:t>Douglas Johnson v. City of East Peoria, et al</w:t>
      </w:r>
      <w:r w:rsidRPr="004E2C24">
        <w:rPr>
          <w:rFonts w:ascii="Times New Roman" w:hAnsi="Times New Roman"/>
          <w:sz w:val="24"/>
          <w:szCs w:val="24"/>
        </w:rPr>
        <w:t xml:space="preserve">., </w:t>
      </w:r>
      <w:r>
        <w:rPr>
          <w:rFonts w:ascii="Times New Roman" w:hAnsi="Times New Roman"/>
          <w:sz w:val="24"/>
          <w:szCs w:val="24"/>
        </w:rPr>
        <w:t xml:space="preserve">U.S. District Court </w:t>
      </w:r>
      <w:r w:rsidRPr="004E2C24">
        <w:rPr>
          <w:rFonts w:ascii="Times New Roman" w:hAnsi="Times New Roman"/>
          <w:sz w:val="24"/>
          <w:szCs w:val="24"/>
        </w:rPr>
        <w:t>judge James E. Shadid</w:t>
      </w:r>
      <w:r>
        <w:rPr>
          <w:rFonts w:ascii="Times New Roman" w:hAnsi="Times New Roman"/>
          <w:sz w:val="24"/>
          <w:szCs w:val="24"/>
        </w:rPr>
        <w:t xml:space="preserve">, </w:t>
      </w:r>
      <w:r w:rsidRPr="004E2C24">
        <w:rPr>
          <w:rFonts w:ascii="Times New Roman" w:hAnsi="Times New Roman"/>
          <w:sz w:val="24"/>
          <w:szCs w:val="24"/>
        </w:rPr>
        <w:t>Central District of Illinois, Case No. 17-cv-1212-JES-JEH,</w:t>
      </w:r>
      <w:r>
        <w:rPr>
          <w:rFonts w:ascii="Times New Roman" w:hAnsi="Times New Roman"/>
          <w:sz w:val="24"/>
          <w:szCs w:val="24"/>
        </w:rPr>
        <w:t xml:space="preserve"> denied motion for summary judgment by the City and several paramedics; pre-trial discovery may now proceed unless they take an immediate appeal.  </w:t>
      </w:r>
      <w:hyperlink r:id="rId2441" w:history="1">
        <w:r w:rsidRPr="0075063D">
          <w:rPr>
            <w:rStyle w:val="Hyperlink"/>
            <w:rFonts w:ascii="Times New Roman" w:hAnsi="Times New Roman"/>
            <w:sz w:val="24"/>
            <w:szCs w:val="24"/>
          </w:rPr>
          <w:t>https://cases.justia.com/federal/district-courts/illinois/ilcdce/1:2017cv01212/69571/44/0.pdf?ts=1567070402</w:t>
        </w:r>
      </w:hyperlink>
      <w:bookmarkEnd w:id="503"/>
      <w:r>
        <w:rPr>
          <w:rFonts w:ascii="Times New Roman" w:hAnsi="Times New Roman"/>
          <w:sz w:val="24"/>
          <w:szCs w:val="24"/>
        </w:rPr>
        <w:t xml:space="preserve"> </w:t>
      </w:r>
    </w:p>
    <w:p w14:paraId="215248E9" w14:textId="77777777" w:rsidR="00EE0562" w:rsidRDefault="00EE0562" w:rsidP="00EE0562">
      <w:pPr>
        <w:ind w:firstLine="720"/>
        <w:rPr>
          <w:rFonts w:ascii="Times New Roman" w:hAnsi="Times New Roman"/>
          <w:sz w:val="24"/>
          <w:szCs w:val="24"/>
        </w:rPr>
      </w:pPr>
      <w:r>
        <w:rPr>
          <w:rFonts w:ascii="Times New Roman" w:hAnsi="Times New Roman"/>
          <w:sz w:val="24"/>
          <w:szCs w:val="24"/>
        </w:rPr>
        <w:t xml:space="preserve">Judge Shadid wrote: </w:t>
      </w:r>
    </w:p>
    <w:p w14:paraId="6CC3E091" w14:textId="77777777" w:rsidR="00EE0562" w:rsidRDefault="00EE0562" w:rsidP="00EE0562">
      <w:pPr>
        <w:ind w:left="1440"/>
        <w:rPr>
          <w:rFonts w:ascii="Times New Roman" w:hAnsi="Times New Roman"/>
          <w:sz w:val="24"/>
          <w:szCs w:val="24"/>
        </w:rPr>
      </w:pPr>
      <w:r>
        <w:rPr>
          <w:rFonts w:ascii="Times New Roman" w:hAnsi="Times New Roman"/>
          <w:sz w:val="24"/>
          <w:szCs w:val="24"/>
        </w:rPr>
        <w:t>“</w:t>
      </w:r>
      <w:r w:rsidRPr="00282EEF">
        <w:rPr>
          <w:rFonts w:ascii="Times New Roman" w:hAnsi="Times New Roman"/>
          <w:sz w:val="24"/>
          <w:szCs w:val="24"/>
        </w:rPr>
        <w:t xml:space="preserve">Between the bottom of the stairs and the front door, Plaintiff’s pants began to fall </w:t>
      </w:r>
      <w:proofErr w:type="gramStart"/>
      <w:r w:rsidRPr="00282EEF">
        <w:rPr>
          <w:rFonts w:ascii="Times New Roman" w:hAnsi="Times New Roman"/>
          <w:sz w:val="24"/>
          <w:szCs w:val="24"/>
        </w:rPr>
        <w:t>down</w:t>
      </w:r>
      <w:proofErr w:type="gramEnd"/>
      <w:r w:rsidRPr="00282EEF">
        <w:rPr>
          <w:rFonts w:ascii="Times New Roman" w:hAnsi="Times New Roman"/>
          <w:sz w:val="24"/>
          <w:szCs w:val="24"/>
        </w:rPr>
        <w:t xml:space="preserve"> and Defendant Sauder attempted to pull them up. (Docs. 37 at 8, 42 at 10). Plaintiff turned at least the top half of his body in a manner Defendants Riggenbach and Sauder state they found aggressive. (Docs. 37 at 8, 42 at 10). He then ran out the front door, down the front steps, and into the driveway, falling three times as he ran.</w:t>
      </w:r>
      <w:r>
        <w:rPr>
          <w:rFonts w:ascii="Times New Roman" w:hAnsi="Times New Roman"/>
          <w:sz w:val="24"/>
          <w:szCs w:val="24"/>
        </w:rPr>
        <w:t xml:space="preserve"> </w:t>
      </w:r>
      <w:r w:rsidRPr="001272AF">
        <w:rPr>
          <w:rFonts w:ascii="Times New Roman" w:hAnsi="Times New Roman"/>
          <w:sz w:val="24"/>
          <w:szCs w:val="24"/>
        </w:rPr>
        <w:t>*** What happened next is disputed in large part, but the parties agree that Defendant Sauder bear-hugged Plaintiff, both Defendant Sauder and Plaintiff ended up on the ground, and Defendants Duckworth, Riggenbach,</w:t>
      </w:r>
      <w:r>
        <w:rPr>
          <w:rFonts w:ascii="Times New Roman" w:hAnsi="Times New Roman"/>
          <w:sz w:val="24"/>
          <w:szCs w:val="24"/>
        </w:rPr>
        <w:t xml:space="preserve"> </w:t>
      </w:r>
      <w:r w:rsidRPr="001272AF">
        <w:rPr>
          <w:rFonts w:ascii="Times New Roman" w:hAnsi="Times New Roman"/>
          <w:sz w:val="24"/>
          <w:szCs w:val="24"/>
        </w:rPr>
        <w:t xml:space="preserve">and Sauder, along with Knaus, restrained Plaintiff on the ground. </w:t>
      </w:r>
    </w:p>
    <w:p w14:paraId="318B1748" w14:textId="77777777" w:rsidR="00EE0562" w:rsidRDefault="00EE0562" w:rsidP="00EE0562">
      <w:pPr>
        <w:ind w:left="1440"/>
        <w:rPr>
          <w:rFonts w:ascii="Times New Roman" w:hAnsi="Times New Roman"/>
          <w:sz w:val="24"/>
          <w:szCs w:val="24"/>
        </w:rPr>
      </w:pPr>
      <w:r w:rsidRPr="001272AF">
        <w:rPr>
          <w:rFonts w:ascii="Times New Roman" w:hAnsi="Times New Roman"/>
          <w:sz w:val="24"/>
          <w:szCs w:val="24"/>
        </w:rPr>
        <w:t xml:space="preserve">*** </w:t>
      </w:r>
    </w:p>
    <w:p w14:paraId="400901B1" w14:textId="77777777" w:rsidR="00EE0562" w:rsidRPr="00D82446" w:rsidRDefault="00EE0562" w:rsidP="00EE0562">
      <w:pPr>
        <w:pStyle w:val="NoSpacing"/>
        <w:ind w:left="1440"/>
        <w:rPr>
          <w:rFonts w:ascii="Times New Roman" w:hAnsi="Times New Roman"/>
          <w:sz w:val="24"/>
          <w:szCs w:val="24"/>
        </w:rPr>
      </w:pPr>
      <w:r w:rsidRPr="00D82446">
        <w:rPr>
          <w:rFonts w:ascii="Times New Roman" w:hAnsi="Times New Roman"/>
          <w:sz w:val="24"/>
          <w:szCs w:val="24"/>
        </w:rPr>
        <w:t xml:space="preserve">However, Plaintiff is correct that the state-created danger theory is not duplicative of his other claims. See Monfils v. Taylor, 165 F.3d 511, 515–517 (7th Cir. 1998) (recognizing the existence of a substantive due process </w:t>
      </w:r>
      <w:proofErr w:type="gramStart"/>
      <w:r w:rsidRPr="00D82446">
        <w:rPr>
          <w:rFonts w:ascii="Times New Roman" w:hAnsi="Times New Roman"/>
          <w:sz w:val="24"/>
          <w:szCs w:val="24"/>
        </w:rPr>
        <w:t>claim</w:t>
      </w:r>
      <w:proofErr w:type="gramEnd"/>
      <w:r w:rsidRPr="00D82446">
        <w:rPr>
          <w:rFonts w:ascii="Times New Roman" w:hAnsi="Times New Roman"/>
          <w:sz w:val="24"/>
          <w:szCs w:val="24"/>
        </w:rPr>
        <w:t xml:space="preserve"> for a state-created danger)</w:t>
      </w:r>
      <w:r>
        <w:rPr>
          <w:rFonts w:ascii="Times New Roman" w:hAnsi="Times New Roman"/>
          <w:sz w:val="24"/>
          <w:szCs w:val="24"/>
        </w:rPr>
        <w:t>….</w:t>
      </w:r>
      <w:r w:rsidRPr="00D82446">
        <w:rPr>
          <w:rFonts w:ascii="Times New Roman" w:hAnsi="Times New Roman"/>
          <w:sz w:val="24"/>
          <w:szCs w:val="24"/>
        </w:rPr>
        <w:t>Therefore, Plaintiff’s due process claim survives summary judgment on the state-created danger theory alone.</w:t>
      </w:r>
      <w:r>
        <w:rPr>
          <w:rFonts w:ascii="Times New Roman" w:hAnsi="Times New Roman"/>
          <w:sz w:val="24"/>
          <w:szCs w:val="24"/>
        </w:rPr>
        <w:t>”</w:t>
      </w:r>
    </w:p>
    <w:p w14:paraId="16C10B23" w14:textId="77777777" w:rsidR="00EE0562" w:rsidRPr="005E68F9" w:rsidRDefault="00EE0562" w:rsidP="00EE0562">
      <w:pPr>
        <w:pStyle w:val="NoSpacing"/>
        <w:rPr>
          <w:rFonts w:ascii="Times New Roman" w:hAnsi="Times New Roman"/>
          <w:b/>
          <w:bCs/>
          <w:sz w:val="24"/>
          <w:szCs w:val="24"/>
        </w:rPr>
      </w:pPr>
    </w:p>
    <w:p w14:paraId="7E4EEA26" w14:textId="3479B5E2" w:rsidR="00EE0562" w:rsidRDefault="00EE0562" w:rsidP="00EE0562">
      <w:pPr>
        <w:rPr>
          <w:rFonts w:ascii="Times New Roman" w:hAnsi="Times New Roman"/>
          <w:b/>
          <w:bCs/>
          <w:sz w:val="24"/>
          <w:szCs w:val="24"/>
        </w:rPr>
      </w:pPr>
      <w:bookmarkStart w:id="505" w:name="_Hlk41153080"/>
      <w:r w:rsidRPr="00995498">
        <w:rPr>
          <w:rFonts w:ascii="Times New Roman" w:hAnsi="Times New Roman"/>
          <w:b/>
          <w:bCs/>
          <w:sz w:val="24"/>
          <w:szCs w:val="24"/>
        </w:rPr>
        <w:t xml:space="preserve">Legal Lessons Learned: </w:t>
      </w:r>
      <w:r>
        <w:rPr>
          <w:rFonts w:ascii="Times New Roman" w:hAnsi="Times New Roman"/>
          <w:b/>
          <w:bCs/>
          <w:sz w:val="24"/>
          <w:szCs w:val="24"/>
        </w:rPr>
        <w:t>On an EMS run where there is a struggle with the patient, thoroughly documents on EMS run report the actions taken by each medic.   This will help avoid “facts in dispute” in any subsequent civil lawsuit, and any prosecution for assault.</w:t>
      </w:r>
    </w:p>
    <w:bookmarkEnd w:id="504"/>
    <w:bookmarkEnd w:id="505"/>
    <w:p w14:paraId="49E1905B" w14:textId="5E7CB9F1" w:rsidR="00E052A6" w:rsidRPr="00715CF2" w:rsidRDefault="00E052A6" w:rsidP="00E052A6">
      <w:pPr>
        <w:rPr>
          <w:rFonts w:ascii="Times New Roman" w:hAnsi="Times New Roman"/>
          <w:bCs/>
          <w:sz w:val="24"/>
          <w:szCs w:val="24"/>
        </w:rPr>
      </w:pPr>
    </w:p>
    <w:p w14:paraId="2AFE8B4F" w14:textId="0FBCDDD5" w:rsidR="00E26EA8" w:rsidRDefault="00E26EA8" w:rsidP="00EE0562">
      <w:pPr>
        <w:rPr>
          <w:rFonts w:ascii="Arial Black" w:hAnsi="Arial Black"/>
          <w:b/>
          <w:bCs/>
          <w:sz w:val="24"/>
          <w:szCs w:val="24"/>
        </w:rPr>
      </w:pPr>
    </w:p>
    <w:p w14:paraId="5B96F929" w14:textId="77777777" w:rsidR="00E052A6" w:rsidRPr="00EE0562" w:rsidRDefault="00E052A6" w:rsidP="00EE0562">
      <w:pPr>
        <w:rPr>
          <w:rFonts w:ascii="Arial Black" w:hAnsi="Arial Black"/>
          <w:b/>
          <w:bCs/>
          <w:sz w:val="24"/>
          <w:szCs w:val="24"/>
        </w:rPr>
      </w:pPr>
    </w:p>
    <w:p w14:paraId="3C435F2A" w14:textId="3D823A2F" w:rsidR="00EE0562" w:rsidRPr="00EE0562" w:rsidRDefault="00EE0562" w:rsidP="00EE0562">
      <w:pPr>
        <w:rPr>
          <w:rFonts w:ascii="Arial Black" w:hAnsi="Arial Black"/>
          <w:b/>
          <w:bCs/>
          <w:sz w:val="24"/>
          <w:szCs w:val="24"/>
        </w:rPr>
      </w:pPr>
      <w:r w:rsidRPr="00EE0562">
        <w:rPr>
          <w:rFonts w:ascii="Arial Black" w:hAnsi="Arial Black"/>
          <w:b/>
          <w:bCs/>
          <w:sz w:val="24"/>
          <w:szCs w:val="24"/>
        </w:rPr>
        <w:t>13-2</w:t>
      </w:r>
      <w:r w:rsidR="00C95AF6">
        <w:rPr>
          <w:rFonts w:ascii="Arial Black" w:hAnsi="Arial Black"/>
          <w:b/>
          <w:bCs/>
          <w:sz w:val="24"/>
          <w:szCs w:val="24"/>
        </w:rPr>
        <w:t>9</w:t>
      </w:r>
    </w:p>
    <w:p w14:paraId="06B476F8" w14:textId="77777777" w:rsidR="00EE0562" w:rsidRPr="00812C5F" w:rsidRDefault="00EE0562" w:rsidP="00EE0562">
      <w:pPr>
        <w:rPr>
          <w:rFonts w:ascii="Arial Black" w:hAnsi="Arial Black"/>
          <w:sz w:val="28"/>
          <w:szCs w:val="28"/>
        </w:rPr>
      </w:pPr>
      <w:bookmarkStart w:id="506" w:name="_Hlk41153139"/>
      <w:r w:rsidRPr="00812C5F">
        <w:rPr>
          <w:rFonts w:ascii="Arial Black" w:hAnsi="Arial Black"/>
          <w:sz w:val="28"/>
          <w:szCs w:val="28"/>
        </w:rPr>
        <w:t xml:space="preserve">MI: </w:t>
      </w:r>
      <w:r>
        <w:rPr>
          <w:rFonts w:ascii="Arial Black" w:hAnsi="Arial Black"/>
          <w:sz w:val="28"/>
          <w:szCs w:val="28"/>
        </w:rPr>
        <w:t>GURNEY TIPPED – LAWSUIT TO PROCEED - EMS DIDN’T TELL HOSPITAL OR DOCUMENT – X-RAYS SHOWED NECK FRACTURES</w:t>
      </w:r>
    </w:p>
    <w:p w14:paraId="5444BB7E" w14:textId="77777777" w:rsidR="00EE0562" w:rsidRDefault="00EE0562" w:rsidP="00EE0562">
      <w:pPr>
        <w:rPr>
          <w:rFonts w:ascii="Times New Roman" w:hAnsi="Times New Roman"/>
          <w:sz w:val="24"/>
          <w:szCs w:val="24"/>
        </w:rPr>
      </w:pPr>
      <w:r w:rsidRPr="003C36A2">
        <w:rPr>
          <w:rFonts w:ascii="Times New Roman" w:hAnsi="Times New Roman"/>
          <w:sz w:val="24"/>
          <w:szCs w:val="24"/>
        </w:rPr>
        <w:t xml:space="preserve">On Aug. 27, 2019, in </w:t>
      </w:r>
      <w:r w:rsidRPr="00235BC8">
        <w:rPr>
          <w:rFonts w:ascii="Times New Roman" w:hAnsi="Times New Roman"/>
          <w:sz w:val="24"/>
          <w:szCs w:val="24"/>
          <w:u w:val="single"/>
        </w:rPr>
        <w:t>Estate of Ralph Brown, by Victoria Brown, Personal Representative v. Sean Wolan and Jeffrey Vescio</w:t>
      </w:r>
      <w:r>
        <w:rPr>
          <w:rFonts w:ascii="Times New Roman" w:hAnsi="Times New Roman"/>
          <w:sz w:val="24"/>
          <w:szCs w:val="24"/>
        </w:rPr>
        <w:t xml:space="preserve">, the Michigan Court of Appeals, held (2 to 1) in an unpublished opinion, that the trial court judge properly denied the two paramedics’ governmental immunity motion to dismiss. </w:t>
      </w:r>
    </w:p>
    <w:bookmarkEnd w:id="506"/>
    <w:p w14:paraId="6BD9C1D6" w14:textId="77777777" w:rsidR="00EE0562" w:rsidRDefault="00EE0562" w:rsidP="00EE0562">
      <w:pPr>
        <w:rPr>
          <w:rFonts w:ascii="Times New Roman" w:hAnsi="Times New Roman"/>
          <w:sz w:val="24"/>
          <w:szCs w:val="24"/>
        </w:rPr>
      </w:pPr>
      <w:r>
        <w:rPr>
          <w:rFonts w:ascii="Times New Roman" w:hAnsi="Times New Roman"/>
          <w:sz w:val="24"/>
          <w:szCs w:val="24"/>
        </w:rPr>
        <w:tab/>
        <w:t xml:space="preserve">The 2-judge majority held: </w:t>
      </w:r>
    </w:p>
    <w:p w14:paraId="78885785" w14:textId="67A8BE8A" w:rsidR="00EE0562" w:rsidRDefault="00EE0562" w:rsidP="00EE0562">
      <w:pPr>
        <w:ind w:left="720"/>
        <w:rPr>
          <w:rFonts w:ascii="Times New Roman" w:hAnsi="Times New Roman"/>
          <w:sz w:val="24"/>
          <w:szCs w:val="24"/>
        </w:rPr>
      </w:pPr>
      <w:r>
        <w:rPr>
          <w:rFonts w:ascii="Times New Roman" w:hAnsi="Times New Roman"/>
          <w:sz w:val="24"/>
          <w:szCs w:val="24"/>
        </w:rPr>
        <w:t>“</w:t>
      </w:r>
      <w:r w:rsidRPr="00AC20EB">
        <w:rPr>
          <w:rFonts w:ascii="Times New Roman" w:hAnsi="Times New Roman"/>
          <w:sz w:val="24"/>
          <w:szCs w:val="24"/>
        </w:rPr>
        <w:t>The failure to report the incident has additional import on the issue of whether the conduct of the defendants was grossly negligent. They had an undisputed duty to make such a report. Indeed, Vescio acknowledged in his deposition that the incident should have been reported. Vescio testified that Wolan was responsible for documenting the ambulance run and communicating information to the ER staff. Wolan explained that he did not report or document the incident because he did not believe the decedent had</w:t>
      </w:r>
      <w:r>
        <w:rPr>
          <w:rFonts w:ascii="Times New Roman" w:hAnsi="Times New Roman"/>
          <w:sz w:val="24"/>
          <w:szCs w:val="24"/>
        </w:rPr>
        <w:t xml:space="preserve"> </w:t>
      </w:r>
      <w:r w:rsidRPr="00AC20EB">
        <w:rPr>
          <w:rFonts w:ascii="Times New Roman" w:hAnsi="Times New Roman"/>
          <w:sz w:val="24"/>
          <w:szCs w:val="24"/>
        </w:rPr>
        <w:t xml:space="preserve">been injured. </w:t>
      </w:r>
      <w:proofErr w:type="gramStart"/>
      <w:r w:rsidRPr="00AC20EB">
        <w:rPr>
          <w:rFonts w:ascii="Times New Roman" w:hAnsi="Times New Roman"/>
          <w:sz w:val="24"/>
          <w:szCs w:val="24"/>
        </w:rPr>
        <w:t>To</w:t>
      </w:r>
      <w:proofErr w:type="gramEnd"/>
      <w:r w:rsidRPr="00AC20EB">
        <w:rPr>
          <w:rFonts w:ascii="Times New Roman" w:hAnsi="Times New Roman"/>
          <w:sz w:val="24"/>
          <w:szCs w:val="24"/>
        </w:rPr>
        <w:t xml:space="preserve"> the contrary, </w:t>
      </w:r>
      <w:proofErr w:type="spellStart"/>
      <w:r w:rsidRPr="00AC20EB">
        <w:rPr>
          <w:rFonts w:ascii="Times New Roman" w:hAnsi="Times New Roman"/>
          <w:sz w:val="24"/>
          <w:szCs w:val="24"/>
        </w:rPr>
        <w:t>Everlove</w:t>
      </w:r>
      <w:proofErr w:type="spellEnd"/>
      <w:r>
        <w:rPr>
          <w:rFonts w:ascii="Times New Roman" w:hAnsi="Times New Roman"/>
          <w:sz w:val="24"/>
          <w:szCs w:val="24"/>
        </w:rPr>
        <w:t xml:space="preserve"> [expert witness]</w:t>
      </w:r>
      <w:r w:rsidRPr="00AC20EB">
        <w:rPr>
          <w:rFonts w:ascii="Times New Roman" w:hAnsi="Times New Roman"/>
          <w:sz w:val="24"/>
          <w:szCs w:val="24"/>
        </w:rPr>
        <w:t xml:space="preserve"> testified that the reporting of the incident,</w:t>
      </w:r>
      <w:r>
        <w:rPr>
          <w:rFonts w:ascii="Times New Roman" w:hAnsi="Times New Roman"/>
          <w:sz w:val="24"/>
          <w:szCs w:val="24"/>
        </w:rPr>
        <w:t xml:space="preserve"> </w:t>
      </w:r>
      <w:r w:rsidRPr="00AC20EB">
        <w:rPr>
          <w:rFonts w:ascii="Times New Roman" w:hAnsi="Times New Roman"/>
          <w:sz w:val="24"/>
          <w:szCs w:val="24"/>
        </w:rPr>
        <w:t>regardless of the paramedics’</w:t>
      </w:r>
      <w:r>
        <w:rPr>
          <w:rFonts w:ascii="Times New Roman" w:hAnsi="Times New Roman"/>
          <w:sz w:val="24"/>
          <w:szCs w:val="24"/>
        </w:rPr>
        <w:t xml:space="preserve"> </w:t>
      </w:r>
      <w:r w:rsidRPr="00AC20EB">
        <w:rPr>
          <w:rFonts w:ascii="Times New Roman" w:hAnsi="Times New Roman"/>
          <w:sz w:val="24"/>
          <w:szCs w:val="24"/>
        </w:rPr>
        <w:t>assessment of injury,</w:t>
      </w:r>
      <w:r>
        <w:rPr>
          <w:rFonts w:ascii="Times New Roman" w:hAnsi="Times New Roman"/>
          <w:sz w:val="24"/>
          <w:szCs w:val="24"/>
        </w:rPr>
        <w:t xml:space="preserve"> </w:t>
      </w:r>
      <w:r w:rsidRPr="00AC20EB">
        <w:rPr>
          <w:rFonts w:ascii="Times New Roman" w:hAnsi="Times New Roman"/>
          <w:sz w:val="24"/>
          <w:szCs w:val="24"/>
        </w:rPr>
        <w:t>was crucial to patient care at the hospital. Additionally,</w:t>
      </w:r>
      <w:r>
        <w:rPr>
          <w:rFonts w:ascii="Times New Roman" w:hAnsi="Times New Roman"/>
          <w:sz w:val="24"/>
          <w:szCs w:val="24"/>
        </w:rPr>
        <w:t xml:space="preserve"> </w:t>
      </w:r>
      <w:r w:rsidRPr="00AC20EB">
        <w:rPr>
          <w:rFonts w:ascii="Times New Roman" w:hAnsi="Times New Roman"/>
          <w:sz w:val="24"/>
          <w:szCs w:val="24"/>
        </w:rPr>
        <w:t>the veracity of Wolan’s testimony regarding his belief that there was no injury is</w:t>
      </w:r>
      <w:r>
        <w:rPr>
          <w:rFonts w:ascii="Times New Roman" w:hAnsi="Times New Roman"/>
          <w:sz w:val="24"/>
          <w:szCs w:val="24"/>
        </w:rPr>
        <w:t xml:space="preserve"> </w:t>
      </w:r>
      <w:r w:rsidRPr="00AC20EB">
        <w:rPr>
          <w:rFonts w:ascii="Times New Roman" w:hAnsi="Times New Roman"/>
          <w:sz w:val="24"/>
          <w:szCs w:val="24"/>
        </w:rPr>
        <w:t xml:space="preserve">belied by his partner Vescio’s description of the incident in his e-mail to his supervisors where he reported </w:t>
      </w:r>
      <w:proofErr w:type="gramStart"/>
      <w:r w:rsidRPr="00AC20EB">
        <w:rPr>
          <w:rFonts w:ascii="Times New Roman" w:hAnsi="Times New Roman"/>
          <w:sz w:val="24"/>
          <w:szCs w:val="24"/>
        </w:rPr>
        <w:t>that,</w:t>
      </w:r>
      <w:r>
        <w:rPr>
          <w:rFonts w:ascii="Times New Roman" w:hAnsi="Times New Roman"/>
          <w:sz w:val="24"/>
          <w:szCs w:val="24"/>
        </w:rPr>
        <w:t xml:space="preserve"> ‘</w:t>
      </w:r>
      <w:proofErr w:type="gramEnd"/>
      <w:r w:rsidRPr="00AC20EB">
        <w:rPr>
          <w:rFonts w:ascii="Times New Roman" w:hAnsi="Times New Roman"/>
          <w:sz w:val="24"/>
          <w:szCs w:val="24"/>
        </w:rPr>
        <w:t>the patient [was] hanging sideways reaching out while remaining belted onto the stretcher.</w:t>
      </w:r>
      <w:r>
        <w:rPr>
          <w:rFonts w:ascii="Times New Roman" w:hAnsi="Times New Roman"/>
          <w:sz w:val="24"/>
          <w:szCs w:val="24"/>
        </w:rPr>
        <w:t>’</w:t>
      </w:r>
      <w:r w:rsidRPr="00AC20EB">
        <w:rPr>
          <w:rFonts w:ascii="Times New Roman" w:hAnsi="Times New Roman"/>
          <w:sz w:val="24"/>
          <w:szCs w:val="24"/>
        </w:rPr>
        <w:t xml:space="preserve"> A rational juror thus could believe that the EMTs did not assess the patient and failed to even report the indecent to those charged with the patient’s medical care or record the incident in the transport record that</w:t>
      </w:r>
      <w:r>
        <w:rPr>
          <w:rFonts w:ascii="Times New Roman" w:hAnsi="Times New Roman"/>
          <w:sz w:val="24"/>
          <w:szCs w:val="24"/>
        </w:rPr>
        <w:t xml:space="preserve"> </w:t>
      </w:r>
      <w:r w:rsidRPr="00AC20EB">
        <w:rPr>
          <w:rFonts w:ascii="Times New Roman" w:hAnsi="Times New Roman"/>
          <w:sz w:val="24"/>
          <w:szCs w:val="24"/>
        </w:rPr>
        <w:t>would have been used by the hospital staff to inform patient care decisions. On this record,</w:t>
      </w:r>
      <w:r>
        <w:rPr>
          <w:rFonts w:ascii="Times New Roman" w:hAnsi="Times New Roman"/>
          <w:sz w:val="24"/>
          <w:szCs w:val="24"/>
        </w:rPr>
        <w:t xml:space="preserve"> </w:t>
      </w:r>
      <w:r w:rsidRPr="00AC20EB">
        <w:rPr>
          <w:rFonts w:ascii="Times New Roman" w:hAnsi="Times New Roman"/>
          <w:sz w:val="24"/>
          <w:szCs w:val="24"/>
        </w:rPr>
        <w:t xml:space="preserve">a reasonable juror could determine that the EMTs showed </w:t>
      </w:r>
      <w:r>
        <w:rPr>
          <w:rFonts w:ascii="Times New Roman" w:hAnsi="Times New Roman"/>
          <w:sz w:val="24"/>
          <w:szCs w:val="24"/>
        </w:rPr>
        <w:t>‘</w:t>
      </w:r>
      <w:r w:rsidRPr="00AC20EB">
        <w:rPr>
          <w:rFonts w:ascii="Times New Roman" w:hAnsi="Times New Roman"/>
          <w:sz w:val="24"/>
          <w:szCs w:val="24"/>
        </w:rPr>
        <w:t>a substantial lack of concern for whether an injury results.</w:t>
      </w:r>
      <w:r>
        <w:rPr>
          <w:rFonts w:ascii="Times New Roman" w:hAnsi="Times New Roman"/>
          <w:sz w:val="24"/>
          <w:szCs w:val="24"/>
        </w:rPr>
        <w:t>’</w:t>
      </w:r>
      <w:r w:rsidRPr="00AC20EB">
        <w:rPr>
          <w:rFonts w:ascii="Times New Roman" w:hAnsi="Times New Roman"/>
          <w:sz w:val="24"/>
          <w:szCs w:val="24"/>
        </w:rPr>
        <w:t xml:space="preserve"> Defendants’ failure </w:t>
      </w:r>
      <w:proofErr w:type="gramStart"/>
      <w:r w:rsidRPr="00AC20EB">
        <w:rPr>
          <w:rFonts w:ascii="Times New Roman" w:hAnsi="Times New Roman"/>
          <w:sz w:val="24"/>
          <w:szCs w:val="24"/>
        </w:rPr>
        <w:t>in</w:t>
      </w:r>
      <w:r>
        <w:rPr>
          <w:rFonts w:ascii="Times New Roman" w:hAnsi="Times New Roman"/>
          <w:sz w:val="24"/>
          <w:szCs w:val="24"/>
        </w:rPr>
        <w:t xml:space="preserve"> </w:t>
      </w:r>
      <w:r w:rsidRPr="00AC20EB">
        <w:rPr>
          <w:rFonts w:ascii="Times New Roman" w:hAnsi="Times New Roman"/>
          <w:sz w:val="24"/>
          <w:szCs w:val="24"/>
        </w:rPr>
        <w:t>regards</w:t>
      </w:r>
      <w:r>
        <w:rPr>
          <w:rFonts w:ascii="Times New Roman" w:hAnsi="Times New Roman"/>
          <w:sz w:val="24"/>
          <w:szCs w:val="24"/>
        </w:rPr>
        <w:t xml:space="preserve"> </w:t>
      </w:r>
      <w:r w:rsidRPr="00AC20EB">
        <w:rPr>
          <w:rFonts w:ascii="Times New Roman" w:hAnsi="Times New Roman"/>
          <w:sz w:val="24"/>
          <w:szCs w:val="24"/>
        </w:rPr>
        <w:t>to</w:t>
      </w:r>
      <w:proofErr w:type="gramEnd"/>
      <w:r w:rsidRPr="00AC20EB">
        <w:rPr>
          <w:rFonts w:ascii="Times New Roman" w:hAnsi="Times New Roman"/>
          <w:sz w:val="24"/>
          <w:szCs w:val="24"/>
        </w:rPr>
        <w:t xml:space="preserve"> reporting cannot be considered accidental.</w:t>
      </w:r>
      <w:r>
        <w:rPr>
          <w:rFonts w:ascii="Times New Roman" w:hAnsi="Times New Roman"/>
          <w:sz w:val="24"/>
          <w:szCs w:val="24"/>
        </w:rPr>
        <w:t>”</w:t>
      </w:r>
      <w:r w:rsidR="006114FF">
        <w:rPr>
          <w:rFonts w:ascii="Times New Roman" w:hAnsi="Times New Roman"/>
          <w:sz w:val="24"/>
          <w:szCs w:val="24"/>
        </w:rPr>
        <w:t xml:space="preserve"> </w:t>
      </w:r>
      <w:bookmarkStart w:id="507" w:name="_Hlk41153167"/>
      <w:r w:rsidR="00F37A4B">
        <w:fldChar w:fldCharType="begin"/>
      </w:r>
      <w:r w:rsidR="00F37A4B">
        <w:instrText xml:space="preserve"> HYPERLINK "https://casetext.com/case/estate-of-brown-v-wolan-1" </w:instrText>
      </w:r>
      <w:r w:rsidR="00F37A4B">
        <w:fldChar w:fldCharType="separate"/>
      </w:r>
      <w:r w:rsidR="006114FF" w:rsidRPr="002F304C">
        <w:rPr>
          <w:rStyle w:val="Hyperlink"/>
          <w:rFonts w:ascii="Times New Roman" w:hAnsi="Times New Roman"/>
          <w:sz w:val="24"/>
          <w:szCs w:val="24"/>
        </w:rPr>
        <w:t>https://casetext.com/case/estate-of-brown-v-wolan-1</w:t>
      </w:r>
      <w:r w:rsidR="00F37A4B">
        <w:rPr>
          <w:rStyle w:val="Hyperlink"/>
          <w:rFonts w:ascii="Times New Roman" w:hAnsi="Times New Roman"/>
          <w:sz w:val="24"/>
          <w:szCs w:val="24"/>
        </w:rPr>
        <w:fldChar w:fldCharType="end"/>
      </w:r>
      <w:r w:rsidR="006114FF">
        <w:rPr>
          <w:rFonts w:ascii="Times New Roman" w:hAnsi="Times New Roman"/>
          <w:sz w:val="24"/>
          <w:szCs w:val="24"/>
        </w:rPr>
        <w:t xml:space="preserve"> </w:t>
      </w:r>
    </w:p>
    <w:p w14:paraId="0EB5396D" w14:textId="77777777" w:rsidR="00EE0562" w:rsidRPr="00B922AC" w:rsidRDefault="00EE0562" w:rsidP="00EE0562">
      <w:pPr>
        <w:rPr>
          <w:rFonts w:ascii="Times New Roman" w:hAnsi="Times New Roman"/>
          <w:b/>
          <w:bCs/>
          <w:sz w:val="24"/>
          <w:szCs w:val="24"/>
        </w:rPr>
      </w:pPr>
      <w:r w:rsidRPr="00B922AC">
        <w:rPr>
          <w:rStyle w:val="Hyperlink"/>
          <w:rFonts w:ascii="Times New Roman" w:hAnsi="Times New Roman"/>
          <w:b/>
          <w:bCs/>
          <w:color w:val="auto"/>
          <w:sz w:val="24"/>
          <w:szCs w:val="24"/>
          <w:u w:val="none"/>
        </w:rPr>
        <w:t xml:space="preserve">Legal Lessons Learned: </w:t>
      </w:r>
      <w:r w:rsidRPr="00B922AC">
        <w:rPr>
          <w:rFonts w:ascii="Times New Roman" w:hAnsi="Times New Roman"/>
          <w:b/>
          <w:bCs/>
          <w:sz w:val="24"/>
          <w:szCs w:val="24"/>
        </w:rPr>
        <w:t xml:space="preserve"> When “things go bad” on a run, inform hospital and supervisors and document on EMS run report.  </w:t>
      </w:r>
    </w:p>
    <w:bookmarkEnd w:id="507"/>
    <w:p w14:paraId="30B86A34" w14:textId="4FA29876" w:rsidR="00E052A6" w:rsidRPr="00715CF2" w:rsidRDefault="00E052A6" w:rsidP="00E052A6">
      <w:pPr>
        <w:rPr>
          <w:rFonts w:ascii="Times New Roman" w:hAnsi="Times New Roman"/>
          <w:bCs/>
          <w:sz w:val="24"/>
          <w:szCs w:val="24"/>
        </w:rPr>
      </w:pPr>
    </w:p>
    <w:p w14:paraId="56BD87AA" w14:textId="400A5B86" w:rsidR="009F0F05" w:rsidRDefault="009F0F05" w:rsidP="00DE0F03">
      <w:pPr>
        <w:pStyle w:val="NoSpacing"/>
        <w:rPr>
          <w:rFonts w:ascii="Arial Black" w:hAnsi="Arial Black"/>
          <w:sz w:val="24"/>
          <w:szCs w:val="24"/>
        </w:rPr>
      </w:pPr>
    </w:p>
    <w:p w14:paraId="5CA039B7" w14:textId="77777777" w:rsidR="00E052A6" w:rsidRDefault="00E052A6" w:rsidP="00DE0F03">
      <w:pPr>
        <w:pStyle w:val="NoSpacing"/>
        <w:rPr>
          <w:rFonts w:ascii="Arial Black" w:hAnsi="Arial Black"/>
          <w:sz w:val="24"/>
          <w:szCs w:val="24"/>
        </w:rPr>
      </w:pPr>
    </w:p>
    <w:p w14:paraId="0078AE03" w14:textId="77777777" w:rsidR="00E052A6" w:rsidRDefault="00E052A6" w:rsidP="00DE0F03">
      <w:pPr>
        <w:pStyle w:val="NoSpacing"/>
        <w:rPr>
          <w:rFonts w:ascii="Arial Black" w:hAnsi="Arial Black"/>
          <w:sz w:val="24"/>
          <w:szCs w:val="24"/>
        </w:rPr>
      </w:pPr>
    </w:p>
    <w:p w14:paraId="162195F8" w14:textId="09D30BCF"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8</w:t>
      </w:r>
    </w:p>
    <w:p w14:paraId="4380E4F3" w14:textId="77777777" w:rsidR="00DE0F03" w:rsidRDefault="00DE0F03" w:rsidP="00DE0F03">
      <w:pPr>
        <w:pStyle w:val="NoSpacing"/>
        <w:rPr>
          <w:rFonts w:ascii="Arial Black" w:hAnsi="Arial Black"/>
          <w:b/>
          <w:bCs/>
          <w:sz w:val="28"/>
          <w:szCs w:val="28"/>
        </w:rPr>
      </w:pPr>
    </w:p>
    <w:p w14:paraId="389C0B17" w14:textId="25AA6CED" w:rsidR="002B1283" w:rsidRPr="00D5555E" w:rsidRDefault="002B1283" w:rsidP="002B1283">
      <w:pPr>
        <w:rPr>
          <w:rFonts w:ascii="Arial Black" w:hAnsi="Arial Black"/>
          <w:b/>
          <w:bCs/>
          <w:sz w:val="28"/>
          <w:szCs w:val="28"/>
        </w:rPr>
      </w:pPr>
      <w:bookmarkStart w:id="508" w:name="_Hlk41153261"/>
      <w:r w:rsidRPr="00D5555E">
        <w:rPr>
          <w:rFonts w:ascii="Arial Black" w:hAnsi="Arial Black"/>
          <w:b/>
          <w:bCs/>
          <w:sz w:val="28"/>
          <w:szCs w:val="28"/>
        </w:rPr>
        <w:t xml:space="preserve">IN: </w:t>
      </w:r>
      <w:r>
        <w:rPr>
          <w:rFonts w:ascii="Arial Black" w:hAnsi="Arial Black"/>
          <w:b/>
          <w:bCs/>
          <w:sz w:val="28"/>
          <w:szCs w:val="28"/>
        </w:rPr>
        <w:t>UNRESP. DRIVER – DRIVES OFF WHEN MEDIC SEES REVOLVER – CONV. WITHOUT GUN FOUND – MEDIC’S FIREARM KNOWLEDGE</w:t>
      </w:r>
    </w:p>
    <w:p w14:paraId="55625648" w14:textId="77777777" w:rsidR="002B1283" w:rsidRDefault="002B1283" w:rsidP="002B1283">
      <w:pPr>
        <w:rPr>
          <w:rFonts w:ascii="Times New Roman" w:hAnsi="Times New Roman"/>
          <w:sz w:val="24"/>
          <w:szCs w:val="24"/>
        </w:rPr>
      </w:pPr>
      <w:r w:rsidRPr="00D5555E">
        <w:rPr>
          <w:rFonts w:ascii="Times New Roman" w:hAnsi="Times New Roman"/>
          <w:sz w:val="24"/>
          <w:szCs w:val="24"/>
        </w:rPr>
        <w:t xml:space="preserve">On July 15, 2019, in </w:t>
      </w:r>
      <w:r w:rsidRPr="00D5555E">
        <w:rPr>
          <w:rFonts w:ascii="Times New Roman" w:hAnsi="Times New Roman"/>
          <w:sz w:val="24"/>
          <w:szCs w:val="24"/>
          <w:u w:val="single"/>
        </w:rPr>
        <w:t>Evan Michael Sapp v. State of Indiana</w:t>
      </w:r>
      <w:r w:rsidRPr="00D5555E">
        <w:rPr>
          <w:rFonts w:ascii="Times New Roman" w:hAnsi="Times New Roman"/>
          <w:sz w:val="24"/>
          <w:szCs w:val="24"/>
        </w:rPr>
        <w:t xml:space="preserve">, </w:t>
      </w:r>
      <w:r>
        <w:rPr>
          <w:rFonts w:ascii="Times New Roman" w:hAnsi="Times New Roman"/>
          <w:sz w:val="24"/>
          <w:szCs w:val="24"/>
        </w:rPr>
        <w:t xml:space="preserve">the Court of Appeals (3 to 0) upheld the jury’s conviction, even though no firearm was ever recovered.  He received 12-year sentence as a serious violent felon, based on prior burglary conviction.  </w:t>
      </w:r>
    </w:p>
    <w:p w14:paraId="3894FBB2" w14:textId="77777777" w:rsidR="002B1283" w:rsidRPr="005A0B47"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5A0B47">
        <w:rPr>
          <w:rFonts w:ascii="Times New Roman" w:hAnsi="Times New Roman"/>
          <w:sz w:val="24"/>
          <w:szCs w:val="24"/>
        </w:rPr>
        <w:t>We likewise reject Sapp’s broader argument that no reasonable trier of fact could have found from the evidence presented that what Osborne saw was a firearm (i.e., not a toy).</w:t>
      </w:r>
    </w:p>
    <w:p w14:paraId="4688B8F3" w14:textId="77777777" w:rsidR="002B1283" w:rsidRDefault="002B1283" w:rsidP="002B1283">
      <w:pPr>
        <w:pStyle w:val="NoSpacing"/>
        <w:ind w:left="720"/>
        <w:rPr>
          <w:rFonts w:ascii="Times New Roman" w:hAnsi="Times New Roman"/>
          <w:sz w:val="24"/>
          <w:szCs w:val="24"/>
        </w:rPr>
      </w:pPr>
      <w:r w:rsidRPr="005A0B47">
        <w:rPr>
          <w:rFonts w:ascii="Times New Roman" w:hAnsi="Times New Roman"/>
          <w:sz w:val="24"/>
          <w:szCs w:val="24"/>
        </w:rPr>
        <w:t>Osborne, who had decades of experience with guns,</w:t>
      </w:r>
      <w:r>
        <w:rPr>
          <w:rFonts w:ascii="Times New Roman" w:hAnsi="Times New Roman"/>
          <w:sz w:val="24"/>
          <w:szCs w:val="24"/>
        </w:rPr>
        <w:t xml:space="preserve"> </w:t>
      </w:r>
      <w:r w:rsidRPr="005A0B47">
        <w:rPr>
          <w:rFonts w:ascii="Times New Roman" w:hAnsi="Times New Roman"/>
          <w:sz w:val="24"/>
          <w:szCs w:val="24"/>
        </w:rPr>
        <w:t xml:space="preserve">testified in considerable detail about the gun that he saw, including its color, that it was a revolver, </w:t>
      </w:r>
      <w:proofErr w:type="gramStart"/>
      <w:r w:rsidRPr="005A0B47">
        <w:rPr>
          <w:rFonts w:ascii="Times New Roman" w:hAnsi="Times New Roman"/>
          <w:sz w:val="24"/>
          <w:szCs w:val="24"/>
        </w:rPr>
        <w:t>similar to</w:t>
      </w:r>
      <w:proofErr w:type="gramEnd"/>
      <w:r w:rsidRPr="005A0B47">
        <w:rPr>
          <w:rFonts w:ascii="Times New Roman" w:hAnsi="Times New Roman"/>
          <w:sz w:val="24"/>
          <w:szCs w:val="24"/>
        </w:rPr>
        <w:t xml:space="preserve"> one he owned, and had a </w:t>
      </w:r>
      <w:r>
        <w:rPr>
          <w:rFonts w:ascii="Times New Roman" w:hAnsi="Times New Roman"/>
          <w:sz w:val="24"/>
          <w:szCs w:val="24"/>
        </w:rPr>
        <w:t>‘</w:t>
      </w:r>
      <w:r w:rsidRPr="005A0B47">
        <w:rPr>
          <w:rFonts w:ascii="Times New Roman" w:hAnsi="Times New Roman"/>
          <w:sz w:val="24"/>
          <w:szCs w:val="24"/>
        </w:rPr>
        <w:t xml:space="preserve">trap </w:t>
      </w:r>
      <w:proofErr w:type="gramStart"/>
      <w:r w:rsidRPr="005A0B47">
        <w:rPr>
          <w:rFonts w:ascii="Times New Roman" w:hAnsi="Times New Roman"/>
          <w:sz w:val="24"/>
          <w:szCs w:val="24"/>
        </w:rPr>
        <w:t>door</w:t>
      </w:r>
      <w:r>
        <w:rPr>
          <w:rFonts w:ascii="Times New Roman" w:hAnsi="Times New Roman"/>
          <w:sz w:val="24"/>
          <w:szCs w:val="24"/>
        </w:rPr>
        <w:t>’</w:t>
      </w:r>
      <w:proofErr w:type="gramEnd"/>
      <w:r>
        <w:rPr>
          <w:rFonts w:ascii="Times New Roman" w:hAnsi="Times New Roman"/>
          <w:sz w:val="24"/>
          <w:szCs w:val="24"/>
        </w:rPr>
        <w:t xml:space="preserve"> </w:t>
      </w:r>
      <w:r w:rsidRPr="005A0B47">
        <w:rPr>
          <w:rFonts w:ascii="Times New Roman" w:hAnsi="Times New Roman"/>
          <w:sz w:val="24"/>
          <w:szCs w:val="24"/>
        </w:rPr>
        <w:t>feature consistent with small caliber pistols. Transcript Vol. II at 232, 235. He also said that, when he saw it, he did not think it was a toy and, in fact, was afraid for his safety when Sapp appeared to be reaching for it</w:t>
      </w:r>
      <w:r>
        <w:rPr>
          <w:rFonts w:ascii="Times New Roman" w:hAnsi="Times New Roman"/>
          <w:sz w:val="24"/>
          <w:szCs w:val="24"/>
        </w:rPr>
        <w:t>.”</w:t>
      </w:r>
    </w:p>
    <w:p w14:paraId="062C2197" w14:textId="77777777" w:rsidR="002B1283" w:rsidRPr="004F6070" w:rsidRDefault="002B1283" w:rsidP="002B1283">
      <w:pPr>
        <w:ind w:firstLine="720"/>
        <w:rPr>
          <w:rFonts w:ascii="Times New Roman" w:hAnsi="Times New Roman"/>
          <w:sz w:val="24"/>
          <w:szCs w:val="24"/>
        </w:rPr>
      </w:pPr>
      <w:hyperlink r:id="rId2442" w:history="1">
        <w:r w:rsidRPr="004F6070">
          <w:rPr>
            <w:rStyle w:val="Hyperlink"/>
            <w:rFonts w:ascii="Times New Roman" w:hAnsi="Times New Roman"/>
            <w:sz w:val="24"/>
            <w:szCs w:val="24"/>
          </w:rPr>
          <w:t>https://www.in.gov/judiciary/opinions/pdf/07151902rra.pdf</w:t>
        </w:r>
      </w:hyperlink>
      <w:r w:rsidRPr="004F6070">
        <w:rPr>
          <w:rFonts w:ascii="Times New Roman" w:hAnsi="Times New Roman"/>
          <w:sz w:val="24"/>
          <w:szCs w:val="24"/>
        </w:rPr>
        <w:t xml:space="preserve"> </w:t>
      </w:r>
    </w:p>
    <w:p w14:paraId="5ABAD75F" w14:textId="77777777" w:rsidR="002B1283" w:rsidRPr="00755833" w:rsidRDefault="002B1283" w:rsidP="002B1283">
      <w:pPr>
        <w:pStyle w:val="NoSpacing"/>
        <w:rPr>
          <w:rFonts w:ascii="Times New Roman" w:hAnsi="Times New Roman"/>
          <w:sz w:val="24"/>
          <w:szCs w:val="24"/>
        </w:rPr>
      </w:pPr>
    </w:p>
    <w:p w14:paraId="4CE535FF" w14:textId="77777777" w:rsidR="002B1283" w:rsidRDefault="002B1283" w:rsidP="002B1283">
      <w:pPr>
        <w:pStyle w:val="NoSpacing"/>
        <w:rPr>
          <w:rFonts w:ascii="Times New Roman" w:hAnsi="Times New Roman"/>
          <w:b/>
          <w:bCs/>
          <w:sz w:val="24"/>
          <w:szCs w:val="24"/>
        </w:rPr>
      </w:pPr>
      <w:r w:rsidRPr="00755833">
        <w:rPr>
          <w:rFonts w:ascii="Times New Roman" w:hAnsi="Times New Roman"/>
          <w:b/>
          <w:bCs/>
          <w:sz w:val="24"/>
          <w:szCs w:val="24"/>
        </w:rPr>
        <w:t xml:space="preserve">Legal Lessons Learned: </w:t>
      </w:r>
      <w:r>
        <w:rPr>
          <w:rFonts w:ascii="Times New Roman" w:hAnsi="Times New Roman"/>
          <w:b/>
          <w:bCs/>
          <w:sz w:val="24"/>
          <w:szCs w:val="24"/>
        </w:rPr>
        <w:t xml:space="preserve"> Paramedic’s long experience with firearms, and his written report to police shortly after the EMS run, were powerful evidence.</w:t>
      </w:r>
    </w:p>
    <w:p w14:paraId="1055535A" w14:textId="77777777" w:rsidR="002B1283" w:rsidRDefault="002B1283" w:rsidP="002B1283">
      <w:pPr>
        <w:pStyle w:val="NoSpacing"/>
        <w:rPr>
          <w:rFonts w:ascii="Times New Roman" w:hAnsi="Times New Roman"/>
          <w:b/>
          <w:bCs/>
          <w:sz w:val="24"/>
          <w:szCs w:val="24"/>
        </w:rPr>
      </w:pPr>
    </w:p>
    <w:p w14:paraId="346B63C3" w14:textId="77777777" w:rsidR="002B1283" w:rsidRDefault="002B1283" w:rsidP="002B1283">
      <w:pPr>
        <w:pStyle w:val="NoSpacing"/>
        <w:ind w:left="720"/>
        <w:rPr>
          <w:rFonts w:ascii="Times New Roman" w:hAnsi="Times New Roman"/>
          <w:sz w:val="24"/>
          <w:szCs w:val="24"/>
        </w:rPr>
      </w:pPr>
      <w:r w:rsidRPr="00F30DAD">
        <w:rPr>
          <w:rFonts w:ascii="Times New Roman" w:hAnsi="Times New Roman"/>
          <w:sz w:val="24"/>
          <w:szCs w:val="24"/>
        </w:rPr>
        <w:t>Note: Under prior Indiana case law, a firearm does not need to be recovered</w:t>
      </w:r>
      <w:r>
        <w:rPr>
          <w:rFonts w:ascii="Times New Roman" w:hAnsi="Times New Roman"/>
          <w:sz w:val="24"/>
          <w:szCs w:val="24"/>
        </w:rPr>
        <w:t xml:space="preserve"> to convict for unlawful possession</w:t>
      </w:r>
      <w:r w:rsidRPr="00F30DAD">
        <w:rPr>
          <w:rFonts w:ascii="Times New Roman" w:hAnsi="Times New Roman"/>
          <w:sz w:val="24"/>
          <w:szCs w:val="24"/>
        </w:rPr>
        <w:t xml:space="preserve">.  </w:t>
      </w:r>
    </w:p>
    <w:p w14:paraId="16DEEEEF" w14:textId="77777777" w:rsidR="002B1283" w:rsidRDefault="002B1283" w:rsidP="002B1283">
      <w:pPr>
        <w:pStyle w:val="NoSpacing"/>
        <w:ind w:left="720"/>
        <w:rPr>
          <w:rFonts w:ascii="Times New Roman" w:hAnsi="Times New Roman"/>
          <w:sz w:val="24"/>
          <w:szCs w:val="24"/>
        </w:rPr>
      </w:pPr>
    </w:p>
    <w:p w14:paraId="0180F80E" w14:textId="77777777" w:rsidR="002B1283" w:rsidRDefault="002B1283" w:rsidP="002B1283">
      <w:pPr>
        <w:pStyle w:val="NoSpacing"/>
        <w:ind w:left="1440"/>
        <w:rPr>
          <w:rFonts w:ascii="Times New Roman" w:hAnsi="Times New Roman"/>
          <w:sz w:val="24"/>
          <w:szCs w:val="24"/>
        </w:rPr>
      </w:pPr>
      <w:bookmarkStart w:id="509" w:name="_Hlk41153282"/>
      <w:bookmarkEnd w:id="508"/>
      <w:r>
        <w:rPr>
          <w:rFonts w:ascii="Times New Roman" w:hAnsi="Times New Roman"/>
          <w:sz w:val="24"/>
          <w:szCs w:val="24"/>
        </w:rPr>
        <w:t>“</w:t>
      </w:r>
      <w:r w:rsidRPr="005A0B47">
        <w:rPr>
          <w:rFonts w:ascii="Times New Roman" w:hAnsi="Times New Roman"/>
          <w:sz w:val="24"/>
          <w:szCs w:val="24"/>
        </w:rPr>
        <w:t>Sapp acknowledges that our courts have sustained a conviction in circumstances when the firearm was not located after the defendant’s arrest</w:t>
      </w:r>
      <w:r>
        <w:rPr>
          <w:rFonts w:ascii="Times New Roman" w:hAnsi="Times New Roman"/>
          <w:sz w:val="24"/>
          <w:szCs w:val="24"/>
        </w:rPr>
        <w:t xml:space="preserve"> </w:t>
      </w:r>
      <w:r w:rsidRPr="005A0B47">
        <w:rPr>
          <w:rFonts w:ascii="Times New Roman" w:hAnsi="Times New Roman"/>
          <w:sz w:val="24"/>
          <w:szCs w:val="24"/>
        </w:rPr>
        <w:t>but urges that, unlike where a defendant displayed or used a weapon, he did nothing “to signify or imply that the item [in his truck]was a ‘firearm.’” Id. at 5. We disagree</w:t>
      </w:r>
      <w:r>
        <w:rPr>
          <w:rFonts w:ascii="Times New Roman" w:hAnsi="Times New Roman"/>
          <w:sz w:val="24"/>
          <w:szCs w:val="24"/>
        </w:rPr>
        <w:t xml:space="preserve">… </w:t>
      </w:r>
      <w:r w:rsidRPr="005A0B47">
        <w:rPr>
          <w:rFonts w:ascii="Times New Roman" w:hAnsi="Times New Roman"/>
          <w:sz w:val="24"/>
          <w:szCs w:val="24"/>
        </w:rPr>
        <w:t xml:space="preserve">Footnote 1:  See e.g., </w:t>
      </w:r>
      <w:proofErr w:type="gramStart"/>
      <w:r w:rsidRPr="005A0B47">
        <w:rPr>
          <w:rFonts w:ascii="Times New Roman" w:hAnsi="Times New Roman"/>
          <w:sz w:val="24"/>
          <w:szCs w:val="24"/>
        </w:rPr>
        <w:t>Gray</w:t>
      </w:r>
      <w:proofErr w:type="gramEnd"/>
      <w:r w:rsidRPr="005A0B47">
        <w:rPr>
          <w:rFonts w:ascii="Times New Roman" w:hAnsi="Times New Roman"/>
          <w:sz w:val="24"/>
          <w:szCs w:val="24"/>
        </w:rPr>
        <w:t xml:space="preserve"> v. State, 903 N.E.2d 940, 943 (Ind. 2009)</w:t>
      </w:r>
      <w:r>
        <w:rPr>
          <w:rFonts w:ascii="Times New Roman" w:hAnsi="Times New Roman"/>
          <w:sz w:val="24"/>
          <w:szCs w:val="24"/>
        </w:rPr>
        <w:t xml:space="preserve">. </w:t>
      </w:r>
    </w:p>
    <w:p w14:paraId="0CA56E6E" w14:textId="77777777" w:rsidR="00AE0ACC" w:rsidRDefault="00AE0ACC" w:rsidP="00AE0ACC">
      <w:pPr>
        <w:pStyle w:val="NoSpacing"/>
        <w:rPr>
          <w:sz w:val="24"/>
          <w:szCs w:val="24"/>
        </w:rPr>
      </w:pPr>
    </w:p>
    <w:bookmarkEnd w:id="509"/>
    <w:p w14:paraId="58E5DFF2" w14:textId="77777777" w:rsidR="002B1283" w:rsidRDefault="002B1283" w:rsidP="00527EDF">
      <w:pPr>
        <w:pStyle w:val="NoSpacing"/>
        <w:rPr>
          <w:sz w:val="24"/>
          <w:szCs w:val="24"/>
        </w:rPr>
      </w:pPr>
    </w:p>
    <w:p w14:paraId="6DD9D18B" w14:textId="77777777" w:rsidR="002B1283" w:rsidRDefault="002B1283" w:rsidP="00527EDF">
      <w:pPr>
        <w:pStyle w:val="NoSpacing"/>
        <w:rPr>
          <w:sz w:val="24"/>
          <w:szCs w:val="24"/>
        </w:rPr>
      </w:pPr>
    </w:p>
    <w:p w14:paraId="4BFCFE08" w14:textId="2408E0FA"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7</w:t>
      </w:r>
    </w:p>
    <w:p w14:paraId="7795604B" w14:textId="77777777" w:rsidR="002B1283" w:rsidRDefault="002B1283" w:rsidP="00527EDF">
      <w:pPr>
        <w:pStyle w:val="NoSpacing"/>
        <w:rPr>
          <w:sz w:val="24"/>
          <w:szCs w:val="24"/>
        </w:rPr>
      </w:pPr>
    </w:p>
    <w:p w14:paraId="1E4A0418" w14:textId="5848B004" w:rsidR="00527EDF" w:rsidRDefault="00527EDF" w:rsidP="00527EDF">
      <w:pPr>
        <w:pStyle w:val="NoSpacing"/>
        <w:rPr>
          <w:rFonts w:ascii="Arial Black" w:hAnsi="Arial Black" w:cs="Arial"/>
          <w:sz w:val="28"/>
          <w:szCs w:val="28"/>
        </w:rPr>
      </w:pPr>
      <w:bookmarkStart w:id="510" w:name="_Hlk41153336"/>
      <w:r w:rsidRPr="00AF5E92">
        <w:rPr>
          <w:rFonts w:ascii="Arial Black" w:hAnsi="Arial Black" w:cs="Arial"/>
          <w:sz w:val="28"/>
          <w:szCs w:val="28"/>
        </w:rPr>
        <w:t>CA:</w:t>
      </w:r>
      <w:r>
        <w:rPr>
          <w:rFonts w:ascii="Arial Black" w:hAnsi="Arial Black" w:cs="Arial"/>
          <w:sz w:val="28"/>
          <w:szCs w:val="28"/>
        </w:rPr>
        <w:t xml:space="preserve"> FLIGHT PARAM. KILLED HELICOPTER CRASH – ONLY WORKERS COMP - CAN’T SUE HELICOPTER CO. - “SPECIAL EMPLOYEE”</w:t>
      </w:r>
    </w:p>
    <w:p w14:paraId="74502AEE" w14:textId="77777777" w:rsidR="00527EDF" w:rsidRDefault="00527EDF" w:rsidP="00527EDF">
      <w:pPr>
        <w:pStyle w:val="NoSpacing"/>
        <w:rPr>
          <w:rFonts w:ascii="Arial Black" w:hAnsi="Arial Black" w:cs="Arial"/>
          <w:sz w:val="28"/>
          <w:szCs w:val="28"/>
        </w:rPr>
      </w:pPr>
    </w:p>
    <w:p w14:paraId="456FE34B" w14:textId="1E210882" w:rsidR="00527EDF" w:rsidRDefault="00527EDF" w:rsidP="00527EDF">
      <w:pPr>
        <w:pStyle w:val="NoSpacing"/>
        <w:rPr>
          <w:rFonts w:ascii="Times New Roman" w:hAnsi="Times New Roman"/>
          <w:sz w:val="24"/>
          <w:szCs w:val="24"/>
        </w:rPr>
      </w:pPr>
      <w:r w:rsidRPr="003316F4">
        <w:rPr>
          <w:rFonts w:ascii="Times New Roman" w:hAnsi="Times New Roman"/>
          <w:sz w:val="24"/>
          <w:szCs w:val="24"/>
        </w:rPr>
        <w:t xml:space="preserve">On May 24, 2019, in </w:t>
      </w:r>
      <w:r w:rsidRPr="003316F4">
        <w:rPr>
          <w:rFonts w:ascii="Times New Roman" w:hAnsi="Times New Roman"/>
          <w:sz w:val="24"/>
          <w:szCs w:val="24"/>
          <w:u w:val="single"/>
        </w:rPr>
        <w:t>Brooke Juarez v. Rogers Helicopters, Inc.</w:t>
      </w:r>
      <w:r>
        <w:rPr>
          <w:rFonts w:ascii="Times New Roman" w:hAnsi="Times New Roman"/>
          <w:sz w:val="24"/>
          <w:szCs w:val="24"/>
          <w:u w:val="single"/>
        </w:rPr>
        <w:t>, et al.</w:t>
      </w:r>
      <w:r>
        <w:rPr>
          <w:rFonts w:ascii="Times New Roman" w:hAnsi="Times New Roman"/>
          <w:sz w:val="24"/>
          <w:szCs w:val="24"/>
        </w:rPr>
        <w:t xml:space="preserve">, the Court of Appeals for California, Fifth Appellate District, held (3 to 0) in an unpublished decision, the trial court properly granted summary judgment to the helicopter company; the deceased paramedic was a “general employee” of American Airborne company, and a “special employee” of Rogers Helicopter, and therefore workers compensation was the sole remedy for the wife of the deceased paramedic. </w:t>
      </w:r>
    </w:p>
    <w:p w14:paraId="706F7D86" w14:textId="77777777" w:rsidR="00527EDF" w:rsidRPr="003316F4" w:rsidRDefault="00527EDF" w:rsidP="00527EDF">
      <w:pPr>
        <w:pStyle w:val="NoSpacing"/>
        <w:rPr>
          <w:rFonts w:ascii="Times New Roman" w:hAnsi="Times New Roman"/>
          <w:sz w:val="24"/>
          <w:szCs w:val="24"/>
        </w:rPr>
      </w:pPr>
    </w:p>
    <w:p w14:paraId="60BEB463"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3316F4">
        <w:rPr>
          <w:rFonts w:ascii="Times New Roman" w:hAnsi="Times New Roman"/>
          <w:sz w:val="24"/>
          <w:szCs w:val="24"/>
        </w:rPr>
        <w:t xml:space="preserve">In sum, based on the facts and circumstances of this case, since </w:t>
      </w:r>
      <w:proofErr w:type="spellStart"/>
      <w:r w:rsidRPr="003316F4">
        <w:rPr>
          <w:rFonts w:ascii="Times New Roman" w:hAnsi="Times New Roman"/>
          <w:sz w:val="24"/>
          <w:szCs w:val="24"/>
        </w:rPr>
        <w:t>SkyLife</w:t>
      </w:r>
      <w:proofErr w:type="spellEnd"/>
      <w:r>
        <w:rPr>
          <w:rFonts w:ascii="Times New Roman" w:hAnsi="Times New Roman"/>
          <w:sz w:val="24"/>
          <w:szCs w:val="24"/>
        </w:rPr>
        <w:t xml:space="preserve"> </w:t>
      </w:r>
      <w:r w:rsidRPr="003316F4">
        <w:rPr>
          <w:rFonts w:ascii="Times New Roman" w:hAnsi="Times New Roman"/>
          <w:sz w:val="24"/>
          <w:szCs w:val="24"/>
        </w:rPr>
        <w:t xml:space="preserve">was Juarez’s special employer, </w:t>
      </w:r>
      <w:proofErr w:type="spellStart"/>
      <w:r w:rsidRPr="003316F4">
        <w:rPr>
          <w:rFonts w:ascii="Times New Roman" w:hAnsi="Times New Roman"/>
          <w:sz w:val="24"/>
          <w:szCs w:val="24"/>
        </w:rPr>
        <w:t>SkyLife’s</w:t>
      </w:r>
      <w:proofErr w:type="spellEnd"/>
      <w:r w:rsidRPr="003316F4">
        <w:rPr>
          <w:rFonts w:ascii="Times New Roman" w:hAnsi="Times New Roman"/>
          <w:sz w:val="24"/>
          <w:szCs w:val="24"/>
        </w:rPr>
        <w:t xml:space="preserve"> general partners, American Airborne and Rogers Helicopters, are also Juarez’s special employers. As such, respondents are all immune from tort </w:t>
      </w:r>
      <w:proofErr w:type="gramStart"/>
      <w:r w:rsidRPr="003316F4">
        <w:rPr>
          <w:rFonts w:ascii="Times New Roman" w:hAnsi="Times New Roman"/>
          <w:sz w:val="24"/>
          <w:szCs w:val="24"/>
        </w:rPr>
        <w:t>liability</w:t>
      </w:r>
      <w:proofErr w:type="gramEnd"/>
      <w:r w:rsidRPr="003316F4">
        <w:rPr>
          <w:rFonts w:ascii="Times New Roman" w:hAnsi="Times New Roman"/>
          <w:sz w:val="24"/>
          <w:szCs w:val="24"/>
        </w:rPr>
        <w:t xml:space="preserve"> and the trial court properly granted summary judgment in their favor</w:t>
      </w:r>
      <w:r>
        <w:rPr>
          <w:rFonts w:ascii="Times New Roman" w:hAnsi="Times New Roman"/>
          <w:sz w:val="24"/>
          <w:szCs w:val="24"/>
        </w:rPr>
        <w:t>.”</w:t>
      </w:r>
    </w:p>
    <w:p w14:paraId="0F1B1C80" w14:textId="41BCC0DA" w:rsidR="00527EDF" w:rsidRDefault="00527EDF" w:rsidP="00527EDF">
      <w:pPr>
        <w:pStyle w:val="NoSpacing"/>
        <w:ind w:left="720"/>
        <w:rPr>
          <w:rFonts w:ascii="Times New Roman" w:hAnsi="Times New Roman"/>
          <w:sz w:val="24"/>
          <w:szCs w:val="24"/>
        </w:rPr>
      </w:pPr>
      <w:hyperlink r:id="rId2443" w:history="1">
        <w:r w:rsidRPr="00821231">
          <w:rPr>
            <w:rStyle w:val="Hyperlink"/>
            <w:rFonts w:ascii="Times New Roman" w:hAnsi="Times New Roman"/>
            <w:sz w:val="24"/>
            <w:szCs w:val="24"/>
          </w:rPr>
          <w:t>https://www.courts.ca.gov/opinions/nonpub/F076225.PDF</w:t>
        </w:r>
      </w:hyperlink>
      <w:r>
        <w:rPr>
          <w:rFonts w:ascii="Times New Roman" w:hAnsi="Times New Roman"/>
          <w:sz w:val="24"/>
          <w:szCs w:val="24"/>
        </w:rPr>
        <w:t xml:space="preserve"> </w:t>
      </w:r>
    </w:p>
    <w:p w14:paraId="013F37C7" w14:textId="714B72D4" w:rsidR="00527EDF" w:rsidRDefault="00527EDF" w:rsidP="00527EDF">
      <w:pPr>
        <w:pStyle w:val="NoSpacing"/>
        <w:ind w:left="720"/>
        <w:rPr>
          <w:rFonts w:ascii="Times New Roman" w:hAnsi="Times New Roman"/>
          <w:sz w:val="24"/>
          <w:szCs w:val="24"/>
        </w:rPr>
      </w:pPr>
    </w:p>
    <w:p w14:paraId="5500346D" w14:textId="77777777" w:rsidR="00527EDF" w:rsidRPr="00842296" w:rsidRDefault="00527EDF" w:rsidP="00527EDF">
      <w:pPr>
        <w:pStyle w:val="NoSpacing"/>
        <w:rPr>
          <w:rFonts w:ascii="Times New Roman" w:hAnsi="Times New Roman"/>
          <w:b/>
          <w:sz w:val="24"/>
          <w:szCs w:val="24"/>
        </w:rPr>
      </w:pPr>
      <w:r w:rsidRPr="00842296">
        <w:rPr>
          <w:rFonts w:ascii="Times New Roman" w:hAnsi="Times New Roman"/>
          <w:b/>
          <w:sz w:val="24"/>
          <w:szCs w:val="24"/>
        </w:rPr>
        <w:t xml:space="preserve">Legal Lessons Learned: </w:t>
      </w:r>
      <w:r>
        <w:rPr>
          <w:rFonts w:ascii="Times New Roman" w:hAnsi="Times New Roman"/>
          <w:b/>
          <w:sz w:val="24"/>
          <w:szCs w:val="24"/>
        </w:rPr>
        <w:t xml:space="preserve"> Flight paramedics may be considered “dual employees” in many states; and workers comp. is their sole remedy for injury or death in those states.  </w:t>
      </w:r>
    </w:p>
    <w:p w14:paraId="03E80DE5" w14:textId="77777777" w:rsidR="00527EDF" w:rsidRPr="00842296" w:rsidRDefault="00527EDF" w:rsidP="00527EDF">
      <w:pPr>
        <w:pStyle w:val="NoSpacing"/>
        <w:ind w:firstLine="720"/>
        <w:rPr>
          <w:rFonts w:ascii="Times New Roman" w:hAnsi="Times New Roman"/>
          <w:sz w:val="24"/>
          <w:szCs w:val="24"/>
        </w:rPr>
      </w:pPr>
      <w:r w:rsidRPr="00842296">
        <w:rPr>
          <w:rFonts w:ascii="Times New Roman" w:hAnsi="Times New Roman"/>
          <w:sz w:val="24"/>
          <w:szCs w:val="24"/>
        </w:rPr>
        <w:t>See article on the crash:</w:t>
      </w:r>
    </w:p>
    <w:p w14:paraId="7869CAED" w14:textId="77777777" w:rsidR="00527EDF" w:rsidRDefault="00527EDF" w:rsidP="00527EDF">
      <w:pPr>
        <w:pStyle w:val="NoSpacing"/>
        <w:ind w:firstLine="720"/>
      </w:pPr>
      <w:hyperlink r:id="rId2444" w:history="1">
        <w:r w:rsidRPr="005B46AA">
          <w:rPr>
            <w:rStyle w:val="Hyperlink"/>
          </w:rPr>
          <w:t>https://www.fresnobee.com/news/local/article167656267.html</w:t>
        </w:r>
      </w:hyperlink>
      <w:r>
        <w:t xml:space="preserve"> </w:t>
      </w:r>
    </w:p>
    <w:p w14:paraId="0D9AE3E8"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 xml:space="preserve">See trial court’s summary judgment decision: </w:t>
      </w:r>
      <w:hyperlink r:id="rId2445" w:history="1">
        <w:r w:rsidRPr="005B46AA">
          <w:rPr>
            <w:rStyle w:val="Hyperlink"/>
            <w:rFonts w:ascii="Times New Roman" w:hAnsi="Times New Roman"/>
            <w:sz w:val="24"/>
            <w:szCs w:val="24"/>
          </w:rPr>
          <w:t>https://assets.documentcloud.org/documents/3933644/Order-Granting-Summary-Judgment.pdf</w:t>
        </w:r>
      </w:hyperlink>
      <w:r w:rsidRPr="00DE64B9">
        <w:rPr>
          <w:rFonts w:ascii="Times New Roman" w:hAnsi="Times New Roman"/>
          <w:sz w:val="24"/>
          <w:szCs w:val="24"/>
        </w:rPr>
        <w:t xml:space="preserve"> </w:t>
      </w:r>
    </w:p>
    <w:p w14:paraId="0A25EDDD"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See this article about air</w:t>
      </w:r>
      <w:r>
        <w:rPr>
          <w:rFonts w:ascii="Times New Roman" w:hAnsi="Times New Roman"/>
          <w:sz w:val="24"/>
          <w:szCs w:val="24"/>
        </w:rPr>
        <w:t xml:space="preserve"> </w:t>
      </w:r>
      <w:r w:rsidRPr="00DE64B9">
        <w:rPr>
          <w:rFonts w:ascii="Times New Roman" w:hAnsi="Times New Roman"/>
          <w:sz w:val="24"/>
          <w:szCs w:val="24"/>
        </w:rPr>
        <w:t xml:space="preserve">care helicopter crashes: </w:t>
      </w:r>
      <w:hyperlink r:id="rId2446" w:history="1">
        <w:r w:rsidRPr="005B46AA">
          <w:rPr>
            <w:rStyle w:val="Hyperlink"/>
            <w:rFonts w:ascii="Times New Roman" w:hAnsi="Times New Roman"/>
            <w:sz w:val="24"/>
            <w:szCs w:val="24"/>
          </w:rPr>
          <w:t>https://www.plaintiffmagazine.com/recent-issues/item/ems-helicopter-crashes-raise-complex-liability-issues</w:t>
        </w:r>
      </w:hyperlink>
      <w:r w:rsidRPr="00DE64B9">
        <w:rPr>
          <w:rFonts w:ascii="Times New Roman" w:hAnsi="Times New Roman"/>
          <w:sz w:val="24"/>
          <w:szCs w:val="24"/>
        </w:rPr>
        <w:t xml:space="preserve"> </w:t>
      </w:r>
    </w:p>
    <w:p w14:paraId="6C22DBB3" w14:textId="77777777" w:rsidR="00527EDF" w:rsidRPr="00DE64B9" w:rsidRDefault="00527EDF" w:rsidP="00527EDF">
      <w:pPr>
        <w:pStyle w:val="NoSpacing"/>
        <w:ind w:left="1440"/>
        <w:rPr>
          <w:rFonts w:ascii="Times New Roman" w:hAnsi="Times New Roman"/>
          <w:sz w:val="24"/>
          <w:szCs w:val="24"/>
        </w:rPr>
      </w:pPr>
      <w:r w:rsidRPr="00DE64B9">
        <w:rPr>
          <w:rFonts w:ascii="Times New Roman" w:hAnsi="Times New Roman"/>
          <w:sz w:val="24"/>
          <w:szCs w:val="24"/>
        </w:rPr>
        <w:t xml:space="preserve">“Of course, if the crash was caused by a defect in the helicopter, the crew case may proceed against the helicopter manufacturer. But there are legal challenges to be overcome there as well. A federal statute of repose known as the General Aviation Revitalization Act, or GARA, bars </w:t>
      </w:r>
      <w:proofErr w:type="gramStart"/>
      <w:r w:rsidRPr="00DE64B9">
        <w:rPr>
          <w:rFonts w:ascii="Times New Roman" w:hAnsi="Times New Roman"/>
          <w:sz w:val="24"/>
          <w:szCs w:val="24"/>
        </w:rPr>
        <w:t>claims</w:t>
      </w:r>
      <w:proofErr w:type="gramEnd"/>
      <w:r w:rsidRPr="00DE64B9">
        <w:rPr>
          <w:rFonts w:ascii="Times New Roman" w:hAnsi="Times New Roman"/>
          <w:sz w:val="24"/>
          <w:szCs w:val="24"/>
        </w:rPr>
        <w:t xml:space="preserve"> against the manufacturer if the helicopter is older than 18 years. And beneath their shiny paint, most of the helicopters now in service date back to the 1970s. (In case you’re wondering, GARA protects not just US helicopter manufacturers, but foreign helicopter manufacturers too.)”</w:t>
      </w:r>
    </w:p>
    <w:bookmarkEnd w:id="510"/>
    <w:p w14:paraId="76812F4B" w14:textId="74D719C3" w:rsidR="00527EDF" w:rsidRDefault="00527EDF" w:rsidP="00527EDF">
      <w:pPr>
        <w:pStyle w:val="NoSpacing"/>
        <w:ind w:left="720"/>
        <w:rPr>
          <w:rFonts w:ascii="Times New Roman" w:hAnsi="Times New Roman"/>
          <w:sz w:val="24"/>
          <w:szCs w:val="24"/>
        </w:rPr>
      </w:pPr>
    </w:p>
    <w:p w14:paraId="7B0443D9" w14:textId="6DABDF54" w:rsidR="00527EDF" w:rsidRDefault="00527EDF" w:rsidP="00527EDF">
      <w:pPr>
        <w:pStyle w:val="NoSpacing"/>
        <w:ind w:left="720"/>
        <w:rPr>
          <w:rFonts w:ascii="Times New Roman" w:hAnsi="Times New Roman"/>
          <w:sz w:val="24"/>
          <w:szCs w:val="24"/>
        </w:rPr>
      </w:pPr>
    </w:p>
    <w:p w14:paraId="7808354A" w14:textId="77777777" w:rsidR="0097592D" w:rsidRDefault="0097592D" w:rsidP="00DE0F03">
      <w:pPr>
        <w:pStyle w:val="NoSpacing"/>
        <w:rPr>
          <w:rFonts w:ascii="Arial Black" w:hAnsi="Arial Black"/>
          <w:sz w:val="24"/>
          <w:szCs w:val="24"/>
        </w:rPr>
      </w:pPr>
    </w:p>
    <w:p w14:paraId="5F00D369" w14:textId="77777777" w:rsidR="0097592D" w:rsidRDefault="0097592D" w:rsidP="00DE0F03">
      <w:pPr>
        <w:pStyle w:val="NoSpacing"/>
        <w:rPr>
          <w:rFonts w:ascii="Arial Black" w:hAnsi="Arial Black"/>
          <w:sz w:val="24"/>
          <w:szCs w:val="24"/>
        </w:rPr>
      </w:pPr>
    </w:p>
    <w:p w14:paraId="761B919D" w14:textId="6DF1596E"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6</w:t>
      </w:r>
    </w:p>
    <w:p w14:paraId="0C0D5250" w14:textId="77777777" w:rsidR="00DE0F03" w:rsidRDefault="00DE0F03" w:rsidP="00527EDF">
      <w:pPr>
        <w:pStyle w:val="NoSpacing"/>
        <w:rPr>
          <w:rFonts w:ascii="Arial Black" w:hAnsi="Arial Black"/>
          <w:sz w:val="28"/>
          <w:szCs w:val="28"/>
        </w:rPr>
      </w:pPr>
    </w:p>
    <w:p w14:paraId="09D32D39" w14:textId="56381EAD" w:rsidR="00527EDF" w:rsidRPr="00842470" w:rsidRDefault="00527EDF" w:rsidP="00527EDF">
      <w:pPr>
        <w:pStyle w:val="NoSpacing"/>
        <w:rPr>
          <w:rFonts w:ascii="Arial Black" w:hAnsi="Arial Black"/>
          <w:sz w:val="28"/>
          <w:szCs w:val="28"/>
        </w:rPr>
      </w:pPr>
      <w:bookmarkStart w:id="511" w:name="_Hlk41153395"/>
      <w:r w:rsidRPr="00842470">
        <w:rPr>
          <w:rFonts w:ascii="Arial Black" w:hAnsi="Arial Black"/>
          <w:sz w:val="28"/>
          <w:szCs w:val="28"/>
        </w:rPr>
        <w:t xml:space="preserve">KY: </w:t>
      </w:r>
      <w:r>
        <w:rPr>
          <w:rFonts w:ascii="Arial Black" w:hAnsi="Arial Black"/>
          <w:sz w:val="28"/>
          <w:szCs w:val="28"/>
        </w:rPr>
        <w:t xml:space="preserve">DRIVER / POSS. STROKE - REFUSED TREATMENT - PD TOOK </w:t>
      </w:r>
      <w:r w:rsidR="009C7552">
        <w:rPr>
          <w:rFonts w:ascii="Arial Black" w:hAnsi="Arial Black"/>
          <w:sz w:val="28"/>
          <w:szCs w:val="28"/>
        </w:rPr>
        <w:t>HIM TO McDonalds</w:t>
      </w:r>
      <w:r>
        <w:rPr>
          <w:rFonts w:ascii="Arial Black" w:hAnsi="Arial Black"/>
          <w:sz w:val="28"/>
          <w:szCs w:val="28"/>
        </w:rPr>
        <w:t xml:space="preserve"> – KILLED WALKING HWY – QUALIF. IMMUNITY</w:t>
      </w:r>
    </w:p>
    <w:p w14:paraId="057A9610" w14:textId="77777777" w:rsidR="00527EDF" w:rsidRPr="00842470" w:rsidRDefault="00527EDF" w:rsidP="00527EDF">
      <w:pPr>
        <w:pStyle w:val="NoSpacing"/>
        <w:rPr>
          <w:rFonts w:ascii="Times New Roman" w:hAnsi="Times New Roman"/>
          <w:sz w:val="24"/>
          <w:szCs w:val="24"/>
        </w:rPr>
      </w:pPr>
    </w:p>
    <w:p w14:paraId="4ADB99B0" w14:textId="77777777" w:rsidR="00527EDF" w:rsidRDefault="00527EDF" w:rsidP="00527EDF">
      <w:pPr>
        <w:pStyle w:val="NoSpacing"/>
        <w:rPr>
          <w:rFonts w:ascii="Times New Roman" w:hAnsi="Times New Roman"/>
          <w:sz w:val="24"/>
          <w:szCs w:val="24"/>
        </w:rPr>
      </w:pPr>
      <w:r>
        <w:rPr>
          <w:rFonts w:ascii="Times New Roman" w:hAnsi="Times New Roman"/>
          <w:sz w:val="24"/>
          <w:szCs w:val="24"/>
        </w:rPr>
        <w:t xml:space="preserve">On May 24, 2019, in </w:t>
      </w:r>
      <w:r w:rsidRPr="00842470">
        <w:rPr>
          <w:rFonts w:ascii="Times New Roman" w:hAnsi="Times New Roman"/>
          <w:sz w:val="24"/>
          <w:szCs w:val="24"/>
          <w:u w:val="single"/>
        </w:rPr>
        <w:t>Lisa K. Williams v. City of Georgetown, KY, et al</w:t>
      </w:r>
      <w:r>
        <w:rPr>
          <w:rFonts w:ascii="Times New Roman" w:hAnsi="Times New Roman"/>
          <w:sz w:val="24"/>
          <w:szCs w:val="24"/>
        </w:rPr>
        <w:t>., the U.S. Court of Appeals for 6</w:t>
      </w:r>
      <w:r w:rsidRPr="00842470">
        <w:rPr>
          <w:rFonts w:ascii="Times New Roman" w:hAnsi="Times New Roman"/>
          <w:sz w:val="24"/>
          <w:szCs w:val="24"/>
          <w:vertAlign w:val="superscript"/>
        </w:rPr>
        <w:t>th</w:t>
      </w:r>
      <w:r>
        <w:rPr>
          <w:rFonts w:ascii="Times New Roman" w:hAnsi="Times New Roman"/>
          <w:sz w:val="24"/>
          <w:szCs w:val="24"/>
        </w:rPr>
        <w:t xml:space="preserve"> Circuit, in an unpublished opinion, held (2 to 1). </w:t>
      </w:r>
    </w:p>
    <w:p w14:paraId="65A3BF6A" w14:textId="77777777" w:rsidR="00527EDF" w:rsidRDefault="00527EDF" w:rsidP="00527EDF">
      <w:pPr>
        <w:pStyle w:val="NoSpacing"/>
        <w:rPr>
          <w:rFonts w:ascii="Times New Roman" w:hAnsi="Times New Roman"/>
          <w:sz w:val="24"/>
          <w:szCs w:val="24"/>
        </w:rPr>
      </w:pPr>
    </w:p>
    <w:p w14:paraId="55F3347A" w14:textId="77777777" w:rsidR="00527EDF" w:rsidRPr="008D3A7A" w:rsidRDefault="00527EDF" w:rsidP="00527EDF">
      <w:pPr>
        <w:pStyle w:val="NoSpacing"/>
        <w:ind w:left="720"/>
        <w:rPr>
          <w:rFonts w:ascii="Times New Roman" w:hAnsi="Times New Roman"/>
          <w:sz w:val="24"/>
          <w:szCs w:val="24"/>
        </w:rPr>
      </w:pPr>
      <w:r w:rsidRPr="00BD2A4C">
        <w:rPr>
          <w:rFonts w:ascii="Times New Roman" w:hAnsi="Times New Roman"/>
          <w:sz w:val="24"/>
          <w:szCs w:val="24"/>
        </w:rPr>
        <w:t>“This case presents tragic facts without a legal remedy. ***</w:t>
      </w:r>
      <w:r>
        <w:rPr>
          <w:rFonts w:ascii="Times New Roman" w:hAnsi="Times New Roman"/>
          <w:sz w:val="24"/>
          <w:szCs w:val="24"/>
        </w:rPr>
        <w:t xml:space="preserve"> </w:t>
      </w:r>
      <w:r w:rsidRPr="008D3A7A">
        <w:rPr>
          <w:rFonts w:ascii="Times New Roman" w:hAnsi="Times New Roman"/>
          <w:sz w:val="24"/>
          <w:szCs w:val="24"/>
        </w:rPr>
        <w:t xml:space="preserve">Although it is true that </w:t>
      </w:r>
      <w:r>
        <w:rPr>
          <w:rFonts w:ascii="Times New Roman" w:hAnsi="Times New Roman"/>
          <w:sz w:val="24"/>
          <w:szCs w:val="24"/>
        </w:rPr>
        <w:t>‘</w:t>
      </w:r>
      <w:r w:rsidRPr="008D3A7A">
        <w:rPr>
          <w:rFonts w:ascii="Times New Roman" w:hAnsi="Times New Roman"/>
          <w:sz w:val="24"/>
          <w:szCs w:val="24"/>
        </w:rPr>
        <w:t>an officer’s duty exists even after the custodial relationship has ended,</w:t>
      </w:r>
      <w:r>
        <w:rPr>
          <w:rFonts w:ascii="Times New Roman" w:hAnsi="Times New Roman"/>
          <w:sz w:val="24"/>
          <w:szCs w:val="24"/>
        </w:rPr>
        <w:t>’</w:t>
      </w:r>
      <w:r w:rsidRPr="008D3A7A">
        <w:rPr>
          <w:rFonts w:ascii="Times New Roman" w:hAnsi="Times New Roman"/>
          <w:sz w:val="24"/>
          <w:szCs w:val="24"/>
        </w:rPr>
        <w:t xml:space="preserve"> Davis, 143 F.3d at1025, it does not extend in perpetuity. Plaintiff admits that the officers concluded Burns was not a danger to himself or others. Calling an ambulance and giving Burns a ride to McDonald’s does not strike us as the deliberate indifference described in Davis. 143 F.3d at1027; see also Salyers, 534 F. </w:t>
      </w:r>
      <w:proofErr w:type="spellStart"/>
      <w:r w:rsidRPr="008D3A7A">
        <w:rPr>
          <w:rFonts w:ascii="Times New Roman" w:hAnsi="Times New Roman"/>
          <w:sz w:val="24"/>
          <w:szCs w:val="24"/>
        </w:rPr>
        <w:t>App’x</w:t>
      </w:r>
      <w:proofErr w:type="spellEnd"/>
      <w:r w:rsidRPr="008D3A7A">
        <w:rPr>
          <w:rFonts w:ascii="Times New Roman" w:hAnsi="Times New Roman"/>
          <w:sz w:val="24"/>
          <w:szCs w:val="24"/>
        </w:rPr>
        <w:t xml:space="preserve"> at 460. There was no constitutional violation.</w:t>
      </w:r>
      <w:r>
        <w:rPr>
          <w:rFonts w:ascii="Times New Roman" w:hAnsi="Times New Roman"/>
          <w:sz w:val="24"/>
          <w:szCs w:val="24"/>
        </w:rPr>
        <w:t xml:space="preserve">” </w:t>
      </w:r>
      <w:hyperlink r:id="rId2447" w:history="1">
        <w:r w:rsidRPr="00821231">
          <w:rPr>
            <w:rStyle w:val="Hyperlink"/>
            <w:rFonts w:ascii="Times New Roman" w:hAnsi="Times New Roman"/>
            <w:sz w:val="24"/>
            <w:szCs w:val="24"/>
          </w:rPr>
          <w:t>http://www.opn.ca6.uscourts.gov/opinions.pdf/19a0272n-06.pdf</w:t>
        </w:r>
      </w:hyperlink>
      <w:r>
        <w:rPr>
          <w:rFonts w:ascii="Times New Roman" w:hAnsi="Times New Roman"/>
          <w:sz w:val="24"/>
          <w:szCs w:val="24"/>
        </w:rPr>
        <w:t xml:space="preserve"> </w:t>
      </w:r>
    </w:p>
    <w:p w14:paraId="6E310688" w14:textId="77777777" w:rsidR="00527EDF" w:rsidRDefault="00527EDF" w:rsidP="00527EDF">
      <w:pPr>
        <w:pStyle w:val="NoSpacing"/>
        <w:rPr>
          <w:rFonts w:ascii="Times New Roman" w:hAnsi="Times New Roman"/>
          <w:sz w:val="24"/>
          <w:szCs w:val="24"/>
        </w:rPr>
      </w:pPr>
    </w:p>
    <w:p w14:paraId="676E63B2" w14:textId="77777777" w:rsidR="00527EDF" w:rsidRDefault="00527EDF" w:rsidP="00527EDF">
      <w:pPr>
        <w:pStyle w:val="NoSpacing"/>
        <w:rPr>
          <w:rFonts w:ascii="Times New Roman" w:hAnsi="Times New Roman"/>
          <w:b/>
          <w:sz w:val="24"/>
          <w:szCs w:val="24"/>
        </w:rPr>
      </w:pPr>
      <w:r w:rsidRPr="00BD2A4C">
        <w:rPr>
          <w:rFonts w:ascii="Times New Roman" w:hAnsi="Times New Roman"/>
          <w:b/>
          <w:sz w:val="24"/>
          <w:szCs w:val="24"/>
        </w:rPr>
        <w:t xml:space="preserve">Legal Lessons Learned: </w:t>
      </w:r>
      <w:r>
        <w:rPr>
          <w:rFonts w:ascii="Times New Roman" w:hAnsi="Times New Roman"/>
          <w:b/>
          <w:sz w:val="24"/>
          <w:szCs w:val="24"/>
        </w:rPr>
        <w:t xml:space="preserve"> Fire &amp; EMS Departments should have a written policy about patient refusals that includes handling situations where the individual </w:t>
      </w:r>
      <w:proofErr w:type="spellStart"/>
      <w:proofErr w:type="gramStart"/>
      <w:r>
        <w:rPr>
          <w:rFonts w:ascii="Times New Roman" w:hAnsi="Times New Roman"/>
          <w:b/>
          <w:sz w:val="24"/>
          <w:szCs w:val="24"/>
        </w:rPr>
        <w:t>can not</w:t>
      </w:r>
      <w:proofErr w:type="spellEnd"/>
      <w:proofErr w:type="gramEnd"/>
      <w:r>
        <w:rPr>
          <w:rFonts w:ascii="Times New Roman" w:hAnsi="Times New Roman"/>
          <w:b/>
          <w:sz w:val="24"/>
          <w:szCs w:val="24"/>
        </w:rPr>
        <w:t xml:space="preserve"> be safely left at the scene (such as MVA, with no ride home).</w:t>
      </w:r>
    </w:p>
    <w:p w14:paraId="10F38A65" w14:textId="77777777" w:rsidR="00527EDF" w:rsidRDefault="00527EDF" w:rsidP="00527EDF">
      <w:pPr>
        <w:pStyle w:val="NoSpacing"/>
        <w:rPr>
          <w:rFonts w:ascii="Times New Roman" w:hAnsi="Times New Roman"/>
          <w:b/>
          <w:sz w:val="24"/>
          <w:szCs w:val="24"/>
        </w:rPr>
      </w:pPr>
    </w:p>
    <w:p w14:paraId="6A10F94A" w14:textId="77777777" w:rsidR="00527EDF" w:rsidRPr="000E62D4" w:rsidRDefault="00527EDF" w:rsidP="00527EDF">
      <w:pPr>
        <w:pStyle w:val="NoSpacing"/>
        <w:ind w:left="720"/>
        <w:rPr>
          <w:rFonts w:ascii="Times New Roman" w:hAnsi="Times New Roman"/>
          <w:sz w:val="24"/>
          <w:szCs w:val="24"/>
        </w:rPr>
      </w:pPr>
      <w:r w:rsidRPr="000E62D4">
        <w:rPr>
          <w:rFonts w:ascii="Times New Roman" w:hAnsi="Times New Roman"/>
          <w:sz w:val="24"/>
          <w:szCs w:val="24"/>
        </w:rPr>
        <w:t xml:space="preserve">See attached Policy on “High Risk” and “Low Risk” refusals. </w:t>
      </w:r>
      <w:hyperlink r:id="rId2448" w:history="1">
        <w:r w:rsidRPr="00D10EF5">
          <w:rPr>
            <w:rStyle w:val="Hyperlink"/>
            <w:rFonts w:ascii="Times New Roman" w:hAnsi="Times New Roman"/>
            <w:sz w:val="24"/>
            <w:szCs w:val="24"/>
          </w:rPr>
          <w:t>https://www.unitypoint.org/peoria/filesimages/Documents/EMS%20Documents/EMS%20Policies/PROCTOR%20Policy%20Dr.%20Huff%2032%20Patient%20Right%20of%20Refusal.pdf</w:t>
        </w:r>
      </w:hyperlink>
      <w:r>
        <w:rPr>
          <w:rFonts w:ascii="Times New Roman" w:hAnsi="Times New Roman"/>
          <w:sz w:val="24"/>
          <w:szCs w:val="24"/>
        </w:rPr>
        <w:t xml:space="preserve"> </w:t>
      </w:r>
    </w:p>
    <w:bookmarkEnd w:id="511"/>
    <w:p w14:paraId="2838795B" w14:textId="77777777" w:rsidR="00527EDF" w:rsidRDefault="00527EDF" w:rsidP="00527EDF">
      <w:pPr>
        <w:pStyle w:val="NoSpacing"/>
        <w:rPr>
          <w:rFonts w:ascii="Times New Roman" w:hAnsi="Times New Roman"/>
          <w:sz w:val="24"/>
          <w:szCs w:val="24"/>
        </w:rPr>
      </w:pPr>
    </w:p>
    <w:p w14:paraId="50C6F0D8" w14:textId="77777777" w:rsidR="00DE0F03" w:rsidRDefault="00DE0F03" w:rsidP="00DE0F03">
      <w:pPr>
        <w:pStyle w:val="NoSpacing"/>
        <w:rPr>
          <w:rFonts w:ascii="Arial Black" w:hAnsi="Arial Black"/>
          <w:sz w:val="24"/>
          <w:szCs w:val="24"/>
        </w:rPr>
      </w:pPr>
    </w:p>
    <w:p w14:paraId="036FF166" w14:textId="77777777" w:rsidR="0097592D" w:rsidRDefault="0097592D" w:rsidP="00DE0F03">
      <w:pPr>
        <w:pStyle w:val="NoSpacing"/>
        <w:rPr>
          <w:rFonts w:ascii="Arial Black" w:hAnsi="Arial Black"/>
          <w:sz w:val="24"/>
          <w:szCs w:val="24"/>
        </w:rPr>
      </w:pPr>
    </w:p>
    <w:p w14:paraId="41E11F73" w14:textId="77777777" w:rsidR="0097592D" w:rsidRDefault="0097592D" w:rsidP="00DE0F03">
      <w:pPr>
        <w:pStyle w:val="NoSpacing"/>
        <w:rPr>
          <w:rFonts w:ascii="Arial Black" w:hAnsi="Arial Black"/>
          <w:sz w:val="24"/>
          <w:szCs w:val="24"/>
        </w:rPr>
      </w:pPr>
    </w:p>
    <w:p w14:paraId="7B7B2F91" w14:textId="77777777" w:rsidR="0097592D" w:rsidRDefault="0097592D" w:rsidP="00DE0F03">
      <w:pPr>
        <w:pStyle w:val="NoSpacing"/>
        <w:rPr>
          <w:rFonts w:ascii="Arial Black" w:hAnsi="Arial Black"/>
          <w:sz w:val="24"/>
          <w:szCs w:val="24"/>
        </w:rPr>
      </w:pPr>
    </w:p>
    <w:p w14:paraId="74FCC083" w14:textId="74805CF6"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5</w:t>
      </w:r>
    </w:p>
    <w:p w14:paraId="75A39153" w14:textId="5E700095" w:rsidR="00527EDF" w:rsidRDefault="00527EDF" w:rsidP="00527EDF">
      <w:pPr>
        <w:pStyle w:val="NoSpacing"/>
        <w:ind w:left="720"/>
        <w:rPr>
          <w:rFonts w:ascii="Times New Roman" w:hAnsi="Times New Roman"/>
          <w:sz w:val="24"/>
          <w:szCs w:val="24"/>
        </w:rPr>
      </w:pPr>
    </w:p>
    <w:p w14:paraId="1444BE9E" w14:textId="3245901A" w:rsidR="00527EDF" w:rsidRDefault="00527EDF" w:rsidP="00F326E5">
      <w:pPr>
        <w:pStyle w:val="NoSpacing"/>
        <w:rPr>
          <w:sz w:val="24"/>
          <w:szCs w:val="24"/>
        </w:rPr>
      </w:pPr>
    </w:p>
    <w:p w14:paraId="5C916AF6" w14:textId="2F2A2FAC" w:rsidR="00527EDF" w:rsidRPr="00A67D90" w:rsidRDefault="00527EDF" w:rsidP="00527EDF">
      <w:pPr>
        <w:pStyle w:val="NoSpacing"/>
        <w:rPr>
          <w:rFonts w:ascii="Arial Black" w:hAnsi="Arial Black" w:cs="Arial"/>
          <w:sz w:val="28"/>
          <w:szCs w:val="28"/>
        </w:rPr>
      </w:pPr>
      <w:bookmarkStart w:id="512" w:name="_Hlk41153585"/>
      <w:r>
        <w:rPr>
          <w:rFonts w:ascii="Arial Black" w:hAnsi="Arial Black" w:cs="Arial"/>
          <w:sz w:val="28"/>
          <w:szCs w:val="28"/>
        </w:rPr>
        <w:t>CA:  CHILD CHOKING, MOTHER CALLED 911 - ONLY SPOKE SPANISH – IMMUNITY - NO REQ. THAT DISPATCHERS MUST SPEAK SPANISH</w:t>
      </w:r>
    </w:p>
    <w:p w14:paraId="51C14738" w14:textId="77777777" w:rsidR="00527EDF" w:rsidRDefault="00527EDF" w:rsidP="00527EDF">
      <w:pPr>
        <w:pStyle w:val="NoSpacing"/>
        <w:rPr>
          <w:rFonts w:ascii="Arial" w:hAnsi="Arial" w:cs="Arial"/>
          <w:sz w:val="32"/>
          <w:szCs w:val="32"/>
        </w:rPr>
      </w:pPr>
    </w:p>
    <w:p w14:paraId="7ED5FFBD" w14:textId="77777777" w:rsidR="00527EDF" w:rsidRDefault="00527EDF" w:rsidP="00527EDF">
      <w:pPr>
        <w:pStyle w:val="NoSpacing"/>
        <w:rPr>
          <w:rFonts w:ascii="Times New Roman" w:hAnsi="Times New Roman"/>
          <w:sz w:val="24"/>
          <w:szCs w:val="24"/>
        </w:rPr>
      </w:pPr>
      <w:r w:rsidRPr="00EC12DB">
        <w:rPr>
          <w:rFonts w:ascii="Times New Roman" w:hAnsi="Times New Roman"/>
          <w:sz w:val="24"/>
          <w:szCs w:val="24"/>
        </w:rPr>
        <w:t>On May 20, 2019</w:t>
      </w:r>
      <w:r>
        <w:rPr>
          <w:rFonts w:ascii="Times New Roman" w:hAnsi="Times New Roman"/>
          <w:sz w:val="24"/>
          <w:szCs w:val="24"/>
        </w:rPr>
        <w:t xml:space="preserve">, in </w:t>
      </w:r>
      <w:r w:rsidRPr="00EC12DB">
        <w:rPr>
          <w:rFonts w:ascii="Times New Roman" w:hAnsi="Times New Roman"/>
          <w:sz w:val="24"/>
          <w:szCs w:val="24"/>
          <w:u w:val="single"/>
        </w:rPr>
        <w:t>Dylan Tellez v. City of Pomona</w:t>
      </w:r>
      <w:r>
        <w:rPr>
          <w:rFonts w:ascii="Times New Roman" w:hAnsi="Times New Roman"/>
          <w:sz w:val="24"/>
          <w:szCs w:val="24"/>
        </w:rPr>
        <w:t xml:space="preserve">, the Court </w:t>
      </w:r>
      <w:proofErr w:type="gramStart"/>
      <w:r>
        <w:rPr>
          <w:rFonts w:ascii="Times New Roman" w:hAnsi="Times New Roman"/>
          <w:sz w:val="24"/>
          <w:szCs w:val="24"/>
        </w:rPr>
        <w:t>Of</w:t>
      </w:r>
      <w:proofErr w:type="gramEnd"/>
      <w:r>
        <w:rPr>
          <w:rFonts w:ascii="Times New Roman" w:hAnsi="Times New Roman"/>
          <w:sz w:val="24"/>
          <w:szCs w:val="24"/>
        </w:rPr>
        <w:t xml:space="preserve"> Appeal of California, Second Appellate District / Division One held (3 to 0) in an unpublished decision, that the lawsuit against the City of Pomona was properly dismissed by the trial court.</w:t>
      </w:r>
    </w:p>
    <w:p w14:paraId="72C0F20A" w14:textId="77777777" w:rsidR="00527EDF" w:rsidRPr="00EC12DB" w:rsidRDefault="00527EDF" w:rsidP="00527EDF">
      <w:pPr>
        <w:pStyle w:val="NoSpacing"/>
        <w:rPr>
          <w:rFonts w:ascii="Times New Roman" w:hAnsi="Times New Roman"/>
          <w:sz w:val="24"/>
          <w:szCs w:val="24"/>
        </w:rPr>
      </w:pPr>
    </w:p>
    <w:p w14:paraId="6F12578D"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EC12DB">
        <w:rPr>
          <w:rFonts w:ascii="Times New Roman" w:hAnsi="Times New Roman"/>
          <w:sz w:val="24"/>
          <w:szCs w:val="24"/>
        </w:rPr>
        <w:t>That one person fails on an occasion to understand another is</w:t>
      </w:r>
      <w:r>
        <w:rPr>
          <w:rFonts w:ascii="Times New Roman" w:hAnsi="Times New Roman"/>
          <w:sz w:val="24"/>
          <w:szCs w:val="24"/>
        </w:rPr>
        <w:t xml:space="preserve"> </w:t>
      </w:r>
      <w:r w:rsidRPr="00EC12DB">
        <w:rPr>
          <w:rFonts w:ascii="Times New Roman" w:hAnsi="Times New Roman"/>
          <w:sz w:val="24"/>
          <w:szCs w:val="24"/>
        </w:rPr>
        <w:t>an everyday occurrence</w:t>
      </w:r>
      <w:r>
        <w:rPr>
          <w:rFonts w:ascii="Times New Roman" w:hAnsi="Times New Roman"/>
          <w:sz w:val="24"/>
          <w:szCs w:val="24"/>
        </w:rPr>
        <w:t xml:space="preserve"> </w:t>
      </w:r>
      <w:r w:rsidRPr="00EC12DB">
        <w:rPr>
          <w:rFonts w:ascii="Times New Roman" w:hAnsi="Times New Roman"/>
          <w:sz w:val="24"/>
          <w:szCs w:val="24"/>
        </w:rPr>
        <w:t>between</w:t>
      </w:r>
      <w:r>
        <w:rPr>
          <w:rFonts w:ascii="Times New Roman" w:hAnsi="Times New Roman"/>
          <w:sz w:val="24"/>
          <w:szCs w:val="24"/>
        </w:rPr>
        <w:t xml:space="preserve"> </w:t>
      </w:r>
      <w:r w:rsidRPr="00EC12DB">
        <w:rPr>
          <w:rFonts w:ascii="Times New Roman" w:hAnsi="Times New Roman"/>
          <w:sz w:val="24"/>
          <w:szCs w:val="24"/>
        </w:rPr>
        <w:t>even the best intentioned. And it appears from Dylan’s allegations that the police officers’ decision not to wait for an ambulance</w:t>
      </w:r>
      <w:r>
        <w:rPr>
          <w:rFonts w:ascii="Times New Roman" w:hAnsi="Times New Roman"/>
          <w:sz w:val="24"/>
          <w:szCs w:val="24"/>
        </w:rPr>
        <w:t xml:space="preserve"> </w:t>
      </w:r>
      <w:r w:rsidRPr="00EC12DB">
        <w:rPr>
          <w:rFonts w:ascii="Times New Roman" w:hAnsi="Times New Roman"/>
          <w:sz w:val="24"/>
          <w:szCs w:val="24"/>
        </w:rPr>
        <w:t>saved his life.</w:t>
      </w:r>
      <w:r>
        <w:rPr>
          <w:rFonts w:ascii="Times New Roman" w:hAnsi="Times New Roman"/>
          <w:sz w:val="24"/>
          <w:szCs w:val="24"/>
        </w:rPr>
        <w:t xml:space="preserve"> </w:t>
      </w:r>
      <w:r w:rsidRPr="00EC12DB">
        <w:rPr>
          <w:rFonts w:ascii="Times New Roman" w:hAnsi="Times New Roman"/>
          <w:sz w:val="24"/>
          <w:szCs w:val="24"/>
        </w:rPr>
        <w:t>A city</w:t>
      </w:r>
      <w:r>
        <w:rPr>
          <w:rFonts w:ascii="Times New Roman" w:hAnsi="Times New Roman"/>
          <w:sz w:val="24"/>
          <w:szCs w:val="24"/>
        </w:rPr>
        <w:t xml:space="preserve"> </w:t>
      </w:r>
      <w:r w:rsidRPr="00EC12DB">
        <w:rPr>
          <w:rFonts w:ascii="Times New Roman" w:hAnsi="Times New Roman"/>
          <w:sz w:val="24"/>
          <w:szCs w:val="24"/>
        </w:rPr>
        <w:t>cannot be held liable simply for failure to provide translators in its 911 call centers</w:t>
      </w:r>
      <w:r>
        <w:rPr>
          <w:rFonts w:ascii="Times New Roman" w:hAnsi="Times New Roman"/>
          <w:sz w:val="24"/>
          <w:szCs w:val="24"/>
        </w:rPr>
        <w:t>….”</w:t>
      </w:r>
    </w:p>
    <w:p w14:paraId="2DB5A80C" w14:textId="77777777" w:rsidR="00527EDF" w:rsidRDefault="00527EDF" w:rsidP="00527EDF">
      <w:pPr>
        <w:pStyle w:val="NoSpacing"/>
        <w:ind w:left="720"/>
        <w:rPr>
          <w:rFonts w:ascii="Times New Roman" w:hAnsi="Times New Roman"/>
          <w:sz w:val="24"/>
          <w:szCs w:val="24"/>
        </w:rPr>
      </w:pPr>
      <w:hyperlink r:id="rId2449" w:history="1">
        <w:r w:rsidRPr="000A6245">
          <w:rPr>
            <w:rStyle w:val="Hyperlink"/>
            <w:rFonts w:ascii="Times New Roman" w:hAnsi="Times New Roman"/>
            <w:sz w:val="24"/>
            <w:szCs w:val="24"/>
          </w:rPr>
          <w:t>https://www.courts.ca.gov/opinions/nonpub/B284099.PDF</w:t>
        </w:r>
      </w:hyperlink>
      <w:r>
        <w:rPr>
          <w:rFonts w:ascii="Times New Roman" w:hAnsi="Times New Roman"/>
          <w:sz w:val="24"/>
          <w:szCs w:val="24"/>
        </w:rPr>
        <w:t xml:space="preserve"> </w:t>
      </w:r>
    </w:p>
    <w:p w14:paraId="4CAE3F0D" w14:textId="77777777" w:rsidR="00527EDF" w:rsidRDefault="00527EDF" w:rsidP="00527EDF">
      <w:pPr>
        <w:pStyle w:val="NoSpacing"/>
        <w:rPr>
          <w:rFonts w:ascii="Times New Roman" w:hAnsi="Times New Roman"/>
          <w:b/>
          <w:sz w:val="24"/>
          <w:szCs w:val="24"/>
        </w:rPr>
      </w:pPr>
    </w:p>
    <w:p w14:paraId="7E0E1299" w14:textId="28367835" w:rsidR="00527EDF" w:rsidRDefault="00527EDF" w:rsidP="00527EDF">
      <w:pPr>
        <w:pStyle w:val="NoSpacing"/>
        <w:rPr>
          <w:rFonts w:ascii="Times New Roman" w:hAnsi="Times New Roman"/>
          <w:b/>
          <w:sz w:val="24"/>
          <w:szCs w:val="24"/>
        </w:rPr>
      </w:pPr>
      <w:r w:rsidRPr="00A301B0">
        <w:rPr>
          <w:rFonts w:ascii="Times New Roman" w:hAnsi="Times New Roman"/>
          <w:b/>
          <w:sz w:val="24"/>
          <w:szCs w:val="24"/>
        </w:rPr>
        <w:t xml:space="preserve">Legal Lessons Learned: </w:t>
      </w:r>
      <w:r>
        <w:rPr>
          <w:rFonts w:ascii="Times New Roman" w:hAnsi="Times New Roman"/>
          <w:b/>
          <w:sz w:val="24"/>
          <w:szCs w:val="24"/>
        </w:rPr>
        <w:t>911 Centers do not have to employee Spanish-speaking dispatchers.  There are translation services available for dispatch centers.</w:t>
      </w:r>
    </w:p>
    <w:p w14:paraId="7CEC81AC" w14:textId="46B7A107" w:rsidR="00527EDF" w:rsidRPr="00DE64B9" w:rsidRDefault="00527EDF" w:rsidP="00527EDF">
      <w:pPr>
        <w:pStyle w:val="Heading1"/>
        <w:ind w:left="720"/>
        <w:rPr>
          <w:b w:val="0"/>
          <w:sz w:val="24"/>
          <w:szCs w:val="24"/>
        </w:rPr>
      </w:pPr>
      <w:r w:rsidRPr="00DE64B9">
        <w:rPr>
          <w:b w:val="0"/>
          <w:sz w:val="24"/>
          <w:szCs w:val="24"/>
        </w:rPr>
        <w:t>Se</w:t>
      </w:r>
      <w:r>
        <w:rPr>
          <w:b w:val="0"/>
          <w:sz w:val="24"/>
          <w:szCs w:val="24"/>
        </w:rPr>
        <w:t xml:space="preserve">e </w:t>
      </w:r>
      <w:r w:rsidRPr="00DE64B9">
        <w:rPr>
          <w:b w:val="0"/>
          <w:sz w:val="24"/>
          <w:szCs w:val="24"/>
        </w:rPr>
        <w:t>for example:  “</w:t>
      </w:r>
      <w:r w:rsidRPr="00DE64B9">
        <w:rPr>
          <w:rStyle w:val="field"/>
          <w:b w:val="0"/>
          <w:sz w:val="24"/>
          <w:szCs w:val="24"/>
        </w:rPr>
        <w:t xml:space="preserve">How to Break the 9-1-1 Language Barrier,” </w:t>
      </w:r>
      <w:hyperlink r:id="rId2450" w:history="1">
        <w:r w:rsidRPr="00DE64B9">
          <w:rPr>
            <w:rStyle w:val="Hyperlink"/>
            <w:b w:val="0"/>
            <w:sz w:val="24"/>
            <w:szCs w:val="24"/>
          </w:rPr>
          <w:t>https://www.emsworld.com/article/12091816/language-translation-in-emergencies</w:t>
        </w:r>
      </w:hyperlink>
      <w:r w:rsidRPr="00DE64B9">
        <w:rPr>
          <w:rStyle w:val="field"/>
          <w:b w:val="0"/>
          <w:sz w:val="24"/>
          <w:szCs w:val="24"/>
        </w:rPr>
        <w:t xml:space="preserve"> “</w:t>
      </w:r>
      <w:r w:rsidRPr="00DE64B9">
        <w:rPr>
          <w:b w:val="0"/>
          <w:sz w:val="24"/>
          <w:szCs w:val="24"/>
        </w:rPr>
        <w:t xml:space="preserve">According to Gallegos, the </w:t>
      </w:r>
      <w:proofErr w:type="spellStart"/>
      <w:r w:rsidRPr="00DE64B9">
        <w:rPr>
          <w:b w:val="0"/>
          <w:sz w:val="24"/>
          <w:szCs w:val="24"/>
        </w:rPr>
        <w:t>LanguageLine</w:t>
      </w:r>
      <w:proofErr w:type="spellEnd"/>
      <w:r w:rsidRPr="00DE64B9">
        <w:rPr>
          <w:b w:val="0"/>
          <w:sz w:val="24"/>
          <w:szCs w:val="24"/>
        </w:rPr>
        <w:t xml:space="preserve"> system is built into the CAD system, so the ECO just </w:t>
      </w:r>
      <w:proofErr w:type="gramStart"/>
      <w:r w:rsidRPr="00DE64B9">
        <w:rPr>
          <w:b w:val="0"/>
          <w:sz w:val="24"/>
          <w:szCs w:val="24"/>
        </w:rPr>
        <w:t>has to</w:t>
      </w:r>
      <w:proofErr w:type="gramEnd"/>
      <w:r w:rsidRPr="00DE64B9">
        <w:rPr>
          <w:b w:val="0"/>
          <w:sz w:val="24"/>
          <w:szCs w:val="24"/>
        </w:rPr>
        <w:t xml:space="preserve"> push a button to be connected. The </w:t>
      </w:r>
      <w:proofErr w:type="spellStart"/>
      <w:r w:rsidRPr="00DE64B9">
        <w:rPr>
          <w:b w:val="0"/>
          <w:sz w:val="24"/>
          <w:szCs w:val="24"/>
        </w:rPr>
        <w:t>Language</w:t>
      </w:r>
      <w:r w:rsidR="00195FD1">
        <w:rPr>
          <w:b w:val="0"/>
          <w:sz w:val="24"/>
          <w:szCs w:val="24"/>
        </w:rPr>
        <w:t>L</w:t>
      </w:r>
      <w:r w:rsidRPr="00DE64B9">
        <w:rPr>
          <w:b w:val="0"/>
          <w:sz w:val="24"/>
          <w:szCs w:val="24"/>
        </w:rPr>
        <w:t>ine</w:t>
      </w:r>
      <w:proofErr w:type="spellEnd"/>
      <w:r w:rsidRPr="00DE64B9">
        <w:rPr>
          <w:b w:val="0"/>
          <w:sz w:val="24"/>
          <w:szCs w:val="24"/>
        </w:rPr>
        <w:t xml:space="preserve"> is used in call centers statewide and falls under the New Mexico Department of Finance and Administration.”</w:t>
      </w:r>
    </w:p>
    <w:bookmarkEnd w:id="512"/>
    <w:p w14:paraId="18379AB3" w14:textId="77777777" w:rsidR="00527EDF" w:rsidRDefault="00527EDF" w:rsidP="00527EDF">
      <w:pPr>
        <w:pStyle w:val="NoSpacing"/>
        <w:rPr>
          <w:rFonts w:ascii="Times New Roman" w:hAnsi="Times New Roman"/>
          <w:sz w:val="24"/>
          <w:szCs w:val="24"/>
        </w:rPr>
      </w:pPr>
    </w:p>
    <w:p w14:paraId="40D9D147" w14:textId="77777777" w:rsidR="00C95AF6" w:rsidRDefault="00C95AF6" w:rsidP="00DE0F03">
      <w:pPr>
        <w:pStyle w:val="NoSpacing"/>
        <w:rPr>
          <w:rFonts w:ascii="Arial Black" w:hAnsi="Arial Black"/>
          <w:sz w:val="24"/>
          <w:szCs w:val="24"/>
        </w:rPr>
      </w:pPr>
    </w:p>
    <w:p w14:paraId="17236AD2" w14:textId="156B5CF2" w:rsidR="00C95AF6" w:rsidRDefault="00C95AF6" w:rsidP="00DE0F03">
      <w:pPr>
        <w:pStyle w:val="NoSpacing"/>
        <w:rPr>
          <w:rFonts w:ascii="Arial Black" w:hAnsi="Arial Black"/>
          <w:sz w:val="24"/>
          <w:szCs w:val="24"/>
        </w:rPr>
      </w:pPr>
      <w:r>
        <w:rPr>
          <w:rFonts w:ascii="Arial Black" w:hAnsi="Arial Black"/>
          <w:sz w:val="24"/>
          <w:szCs w:val="24"/>
        </w:rPr>
        <w:t>13-24</w:t>
      </w:r>
    </w:p>
    <w:p w14:paraId="52D976CC" w14:textId="7BAF4380" w:rsidR="00C95AF6" w:rsidRDefault="00C95AF6" w:rsidP="00DE0F03">
      <w:pPr>
        <w:pStyle w:val="NoSpacing"/>
        <w:rPr>
          <w:rFonts w:ascii="Arial Black" w:hAnsi="Arial Black"/>
          <w:sz w:val="24"/>
          <w:szCs w:val="24"/>
        </w:rPr>
      </w:pPr>
    </w:p>
    <w:p w14:paraId="3528A4E2" w14:textId="77777777" w:rsidR="00C95AF6" w:rsidRPr="00C95AF6" w:rsidRDefault="00C95AF6" w:rsidP="00DE0F03">
      <w:pPr>
        <w:pStyle w:val="NoSpacing"/>
        <w:rPr>
          <w:rFonts w:ascii="Arial Black" w:hAnsi="Arial Black" w:cs="Arial"/>
          <w:sz w:val="28"/>
          <w:szCs w:val="28"/>
        </w:rPr>
      </w:pPr>
      <w:bookmarkStart w:id="513" w:name="_Hlk41153633"/>
      <w:r w:rsidRPr="00C95AF6">
        <w:rPr>
          <w:rFonts w:ascii="Arial Black" w:hAnsi="Arial Black" w:cs="Arial"/>
          <w:sz w:val="28"/>
          <w:szCs w:val="28"/>
        </w:rPr>
        <w:t xml:space="preserve">NY: EMT SUING RESTAURANT - SLIP &amp; FALL ICY SIDEWALK, HELPING PATIENT WHO FELL – MUST PROVE RESTAURANT KNEW ABOUT ICE </w:t>
      </w:r>
    </w:p>
    <w:p w14:paraId="04392F43" w14:textId="77777777" w:rsidR="00C95AF6" w:rsidRDefault="00C95AF6" w:rsidP="00DE0F03">
      <w:pPr>
        <w:pStyle w:val="NoSpacing"/>
        <w:rPr>
          <w:rFonts w:ascii="Arial" w:hAnsi="Arial" w:cs="Arial"/>
          <w:sz w:val="35"/>
          <w:szCs w:val="35"/>
        </w:rPr>
      </w:pPr>
    </w:p>
    <w:p w14:paraId="0DBD8C13" w14:textId="702ABB03" w:rsidR="00C95AF6" w:rsidRPr="0036327D" w:rsidRDefault="00C95AF6" w:rsidP="00DE0F03">
      <w:pPr>
        <w:pStyle w:val="NoSpacing"/>
        <w:rPr>
          <w:rFonts w:ascii="Times New Roman" w:hAnsi="Times New Roman"/>
          <w:sz w:val="24"/>
          <w:szCs w:val="24"/>
        </w:rPr>
      </w:pPr>
      <w:r w:rsidRPr="0036327D">
        <w:rPr>
          <w:rFonts w:ascii="Times New Roman" w:hAnsi="Times New Roman"/>
          <w:sz w:val="24"/>
          <w:szCs w:val="24"/>
        </w:rPr>
        <w:t xml:space="preserve">On April 5, 2019, in Michael Benny v. Concord Partners 46Stree LLC, Supreme Court of New York, Part 63, 2019 NY Slip Op 30983(U), Judge Tanya R. Kennedy denied the EMT’s motion for summary judgment. “Here, the testimony raises factual issues as to the length of time the alleged condition existed and whether the defendants knew about the condition in enough time to remedy the situation. Plaintiff testified that he did not observe any ice prior to his accident, and it is unknown whether the condition was visible and apparent to the defendants.” </w:t>
      </w:r>
      <w:hyperlink r:id="rId2451" w:history="1">
        <w:r w:rsidRPr="0036327D">
          <w:rPr>
            <w:rStyle w:val="Hyperlink"/>
            <w:rFonts w:ascii="Times New Roman" w:hAnsi="Times New Roman"/>
            <w:sz w:val="24"/>
            <w:szCs w:val="24"/>
          </w:rPr>
          <w:t>https://law.justia.com/cases/new-york/other-courts/2019/2019-ny-slip-op-30983-u.html</w:t>
        </w:r>
      </w:hyperlink>
      <w:r w:rsidRPr="0036327D">
        <w:rPr>
          <w:rFonts w:ascii="Times New Roman" w:hAnsi="Times New Roman"/>
          <w:sz w:val="24"/>
          <w:szCs w:val="24"/>
        </w:rPr>
        <w:t xml:space="preserve"> </w:t>
      </w:r>
    </w:p>
    <w:p w14:paraId="3255631E" w14:textId="10C847A6" w:rsidR="00C95AF6" w:rsidRPr="0036327D" w:rsidRDefault="00C95AF6" w:rsidP="00DE0F03">
      <w:pPr>
        <w:pStyle w:val="NoSpacing"/>
        <w:rPr>
          <w:rFonts w:ascii="Times New Roman" w:hAnsi="Times New Roman"/>
          <w:sz w:val="24"/>
          <w:szCs w:val="24"/>
        </w:rPr>
      </w:pPr>
    </w:p>
    <w:p w14:paraId="6E71654C" w14:textId="142270D1" w:rsidR="00C95AF6" w:rsidRPr="0036327D" w:rsidRDefault="00C95AF6" w:rsidP="00DE0F03">
      <w:pPr>
        <w:pStyle w:val="NoSpacing"/>
        <w:rPr>
          <w:rFonts w:ascii="Times New Roman" w:hAnsi="Times New Roman"/>
          <w:b/>
          <w:bCs/>
          <w:sz w:val="24"/>
          <w:szCs w:val="24"/>
        </w:rPr>
      </w:pPr>
      <w:r w:rsidRPr="0036327D">
        <w:rPr>
          <w:rFonts w:ascii="Times New Roman" w:hAnsi="Times New Roman"/>
          <w:b/>
          <w:bCs/>
          <w:sz w:val="24"/>
          <w:szCs w:val="24"/>
        </w:rPr>
        <w:t>Legal Lessons Learned: Lawsuit will now be tried. The “danger invites rescue” doctrine is applicable only in extreme emergency, helping another avoid serious injury or death.</w:t>
      </w:r>
    </w:p>
    <w:bookmarkEnd w:id="513"/>
    <w:p w14:paraId="71AA6737" w14:textId="77777777" w:rsidR="00C95AF6" w:rsidRPr="0036327D" w:rsidRDefault="00C95AF6" w:rsidP="00DE0F03">
      <w:pPr>
        <w:pStyle w:val="NoSpacing"/>
        <w:rPr>
          <w:rFonts w:ascii="Times New Roman" w:hAnsi="Times New Roman"/>
          <w:sz w:val="24"/>
          <w:szCs w:val="24"/>
        </w:rPr>
      </w:pPr>
    </w:p>
    <w:p w14:paraId="102279ED" w14:textId="2BBFC906" w:rsidR="00C95AF6" w:rsidRPr="0036327D" w:rsidRDefault="00C95AF6" w:rsidP="00DE0F03">
      <w:pPr>
        <w:pStyle w:val="NoSpacing"/>
        <w:rPr>
          <w:rFonts w:ascii="Times New Roman" w:hAnsi="Times New Roman"/>
          <w:sz w:val="24"/>
          <w:szCs w:val="24"/>
        </w:rPr>
      </w:pPr>
    </w:p>
    <w:p w14:paraId="08FA77CB" w14:textId="77777777" w:rsidR="00C95AF6" w:rsidRPr="0036327D" w:rsidRDefault="00C95AF6" w:rsidP="00DE0F03">
      <w:pPr>
        <w:pStyle w:val="NoSpacing"/>
        <w:rPr>
          <w:rFonts w:ascii="Times New Roman" w:hAnsi="Times New Roman"/>
          <w:sz w:val="24"/>
          <w:szCs w:val="24"/>
        </w:rPr>
      </w:pPr>
    </w:p>
    <w:p w14:paraId="3D9EAE1A" w14:textId="77777777" w:rsidR="0036327D" w:rsidRDefault="0036327D" w:rsidP="00DE0F03">
      <w:pPr>
        <w:pStyle w:val="NoSpacing"/>
        <w:rPr>
          <w:rFonts w:ascii="Arial Black" w:hAnsi="Arial Black"/>
          <w:sz w:val="24"/>
          <w:szCs w:val="24"/>
        </w:rPr>
      </w:pPr>
    </w:p>
    <w:p w14:paraId="4748DB0B" w14:textId="77777777" w:rsidR="0036327D" w:rsidRDefault="0036327D" w:rsidP="00DE0F03">
      <w:pPr>
        <w:pStyle w:val="NoSpacing"/>
        <w:rPr>
          <w:rFonts w:ascii="Arial Black" w:hAnsi="Arial Black"/>
          <w:sz w:val="24"/>
          <w:szCs w:val="24"/>
        </w:rPr>
      </w:pPr>
    </w:p>
    <w:p w14:paraId="690884DB" w14:textId="0B89FA02" w:rsidR="009C7552" w:rsidRDefault="009C7552" w:rsidP="00DE0F03">
      <w:pPr>
        <w:pStyle w:val="NoSpacing"/>
        <w:rPr>
          <w:rFonts w:ascii="Arial Black" w:hAnsi="Arial Black"/>
          <w:sz w:val="24"/>
          <w:szCs w:val="24"/>
        </w:rPr>
      </w:pPr>
      <w:r>
        <w:rPr>
          <w:rFonts w:ascii="Arial Black" w:hAnsi="Arial Black"/>
          <w:sz w:val="24"/>
          <w:szCs w:val="24"/>
        </w:rPr>
        <w:t>13-23</w:t>
      </w:r>
    </w:p>
    <w:p w14:paraId="451E750B" w14:textId="3C7CEE7A" w:rsidR="0036327D" w:rsidRDefault="0036327D" w:rsidP="00DE0F03">
      <w:pPr>
        <w:pStyle w:val="NoSpacing"/>
        <w:rPr>
          <w:rFonts w:ascii="Arial Black" w:hAnsi="Arial Black"/>
          <w:sz w:val="24"/>
          <w:szCs w:val="24"/>
        </w:rPr>
      </w:pPr>
    </w:p>
    <w:p w14:paraId="1FD5A31A" w14:textId="77777777" w:rsidR="0036327D" w:rsidRDefault="0036327D" w:rsidP="00DE0F03">
      <w:pPr>
        <w:pStyle w:val="NoSpacing"/>
        <w:rPr>
          <w:rFonts w:ascii="Arial Black" w:hAnsi="Arial Black"/>
          <w:sz w:val="24"/>
          <w:szCs w:val="24"/>
        </w:rPr>
      </w:pPr>
    </w:p>
    <w:p w14:paraId="0D199C5B" w14:textId="77777777" w:rsidR="009C7552" w:rsidRPr="009C7552" w:rsidRDefault="009C7552" w:rsidP="00DE0F03">
      <w:pPr>
        <w:pStyle w:val="NoSpacing"/>
        <w:rPr>
          <w:rFonts w:ascii="Arial Black" w:hAnsi="Arial Black" w:cs="Arial"/>
          <w:sz w:val="28"/>
          <w:szCs w:val="28"/>
        </w:rPr>
      </w:pPr>
      <w:bookmarkStart w:id="514" w:name="_Hlk41295871"/>
      <w:bookmarkStart w:id="515" w:name="_Hlk41153674"/>
      <w:r w:rsidRPr="009C7552">
        <w:rPr>
          <w:rFonts w:ascii="Arial Black" w:hAnsi="Arial Black" w:cs="Arial"/>
          <w:sz w:val="28"/>
          <w:szCs w:val="28"/>
        </w:rPr>
        <w:t>MI: PRIVATE AMBULANCES – COUNTY ORDINANCE THAT CO. MUST GET THEIR APPROVAL – FED. JUDGE WILL NOT DECLARE THIS LAWFUL</w:t>
      </w:r>
    </w:p>
    <w:p w14:paraId="19EACD07" w14:textId="3E75932B" w:rsidR="009C7552" w:rsidRPr="0036327D" w:rsidRDefault="009C7552" w:rsidP="00DE0F03">
      <w:pPr>
        <w:pStyle w:val="NoSpacing"/>
        <w:rPr>
          <w:rFonts w:ascii="Times New Roman" w:hAnsi="Times New Roman"/>
          <w:sz w:val="24"/>
          <w:szCs w:val="24"/>
        </w:rPr>
      </w:pPr>
      <w:r w:rsidRPr="0036327D">
        <w:rPr>
          <w:rFonts w:ascii="Times New Roman" w:hAnsi="Times New Roman"/>
          <w:sz w:val="24"/>
          <w:szCs w:val="24"/>
        </w:rPr>
        <w:t xml:space="preserve">On March 25, 2019, in Saginaw County v. State Emergency Medical Service, Inc., U.S. District Court Judge Terrence B. Berg, again denied the County’s request for a declaratory judgment that its ordinance is lawful and not a restraint of trade under Sherman Antitrust Act. “Plaintiff sought a declaration that their ambulance plan was legal and not in violation of the Sherman Act, among other statutes. But they did not plead adequate facts to show that this is true. The Court made no finding whatever on the question of whether Saginaw County’s plan ran afoul of the Sherman Act, it simply concluded that, on the facts as alleged, the Court could not declare as a matter of law that the plan does not violate the Act.” </w:t>
      </w:r>
      <w:hyperlink r:id="rId2452" w:history="1">
        <w:r w:rsidRPr="0036327D">
          <w:rPr>
            <w:rStyle w:val="Hyperlink"/>
            <w:rFonts w:ascii="Times New Roman" w:hAnsi="Times New Roman"/>
            <w:sz w:val="24"/>
            <w:szCs w:val="24"/>
          </w:rPr>
          <w:t>http://business.cch.com/ald/saginawVstat03262019.pdf</w:t>
        </w:r>
      </w:hyperlink>
      <w:r w:rsidRPr="0036327D">
        <w:rPr>
          <w:rFonts w:ascii="Times New Roman" w:hAnsi="Times New Roman"/>
          <w:sz w:val="24"/>
          <w:szCs w:val="24"/>
        </w:rPr>
        <w:t xml:space="preserve"> </w:t>
      </w:r>
    </w:p>
    <w:p w14:paraId="0A4032CA" w14:textId="77777777" w:rsidR="009C7552" w:rsidRPr="0036327D" w:rsidRDefault="009C7552" w:rsidP="00DE0F03">
      <w:pPr>
        <w:pStyle w:val="NoSpacing"/>
        <w:rPr>
          <w:rFonts w:ascii="Times New Roman" w:hAnsi="Times New Roman"/>
          <w:sz w:val="24"/>
          <w:szCs w:val="24"/>
        </w:rPr>
      </w:pPr>
    </w:p>
    <w:p w14:paraId="37BA3F7F" w14:textId="52118775" w:rsidR="009C7552" w:rsidRPr="0036327D" w:rsidRDefault="009C7552" w:rsidP="009C7552">
      <w:pPr>
        <w:pStyle w:val="NoSpacing"/>
        <w:ind w:left="720"/>
        <w:rPr>
          <w:rFonts w:ascii="Times New Roman" w:hAnsi="Times New Roman"/>
          <w:b/>
          <w:bCs/>
          <w:sz w:val="24"/>
          <w:szCs w:val="24"/>
        </w:rPr>
      </w:pPr>
      <w:r w:rsidRPr="0036327D">
        <w:rPr>
          <w:rFonts w:ascii="Times New Roman" w:hAnsi="Times New Roman"/>
          <w:sz w:val="24"/>
          <w:szCs w:val="24"/>
        </w:rPr>
        <w:t xml:space="preserve">See also article on this decision in Antitrust News: </w:t>
      </w:r>
      <w:hyperlink r:id="rId2453" w:history="1">
        <w:r w:rsidRPr="0036327D">
          <w:rPr>
            <w:rStyle w:val="Hyperlink"/>
            <w:rFonts w:ascii="Times New Roman" w:hAnsi="Times New Roman"/>
            <w:sz w:val="24"/>
            <w:szCs w:val="24"/>
          </w:rPr>
          <w:t>https://lrus.wolterskluwer.com/store/daily-reporting-suite/antitrust-law-daily/</w:t>
        </w:r>
      </w:hyperlink>
      <w:r w:rsidRPr="0036327D">
        <w:rPr>
          <w:rFonts w:ascii="Times New Roman" w:hAnsi="Times New Roman"/>
          <w:sz w:val="24"/>
          <w:szCs w:val="24"/>
        </w:rPr>
        <w:t xml:space="preserve"> </w:t>
      </w:r>
    </w:p>
    <w:p w14:paraId="708A436B" w14:textId="77777777" w:rsidR="009C7552" w:rsidRPr="0036327D" w:rsidRDefault="009C7552" w:rsidP="00DE0F03">
      <w:pPr>
        <w:pStyle w:val="NoSpacing"/>
        <w:rPr>
          <w:rFonts w:ascii="Times New Roman" w:hAnsi="Times New Roman"/>
          <w:b/>
          <w:bCs/>
          <w:sz w:val="24"/>
          <w:szCs w:val="24"/>
        </w:rPr>
      </w:pPr>
    </w:p>
    <w:p w14:paraId="3F9BBA7A" w14:textId="7F22AE6B" w:rsidR="009C7552" w:rsidRPr="0036327D" w:rsidRDefault="009C7552" w:rsidP="00DE0F03">
      <w:pPr>
        <w:pStyle w:val="NoSpacing"/>
        <w:rPr>
          <w:rFonts w:ascii="Times New Roman" w:hAnsi="Times New Roman"/>
          <w:b/>
          <w:bCs/>
          <w:sz w:val="24"/>
          <w:szCs w:val="24"/>
        </w:rPr>
      </w:pPr>
      <w:r w:rsidRPr="0036327D">
        <w:rPr>
          <w:rFonts w:ascii="Times New Roman" w:hAnsi="Times New Roman"/>
          <w:b/>
          <w:bCs/>
          <w:sz w:val="24"/>
          <w:szCs w:val="24"/>
        </w:rPr>
        <w:t xml:space="preserve">Legal Lessons Learned: Competition among private ambulance companies is generally good for patients. </w:t>
      </w:r>
    </w:p>
    <w:bookmarkEnd w:id="514"/>
    <w:p w14:paraId="04F5BBA5" w14:textId="77777777" w:rsidR="009C7552" w:rsidRPr="0036327D" w:rsidRDefault="009C7552" w:rsidP="00DE0F03">
      <w:pPr>
        <w:pStyle w:val="NoSpacing"/>
        <w:rPr>
          <w:rFonts w:ascii="Times New Roman" w:hAnsi="Times New Roman"/>
          <w:sz w:val="24"/>
          <w:szCs w:val="24"/>
        </w:rPr>
      </w:pPr>
    </w:p>
    <w:bookmarkEnd w:id="515"/>
    <w:p w14:paraId="5B6F2034" w14:textId="778FC311" w:rsidR="009C7552" w:rsidRPr="0036327D" w:rsidRDefault="009C7552" w:rsidP="00DE0F03">
      <w:pPr>
        <w:pStyle w:val="NoSpacing"/>
        <w:rPr>
          <w:rFonts w:ascii="Times New Roman" w:hAnsi="Times New Roman"/>
          <w:sz w:val="24"/>
          <w:szCs w:val="24"/>
        </w:rPr>
      </w:pPr>
    </w:p>
    <w:p w14:paraId="3B0AFBA0" w14:textId="77777777" w:rsidR="009C7552" w:rsidRPr="0036327D" w:rsidRDefault="009C7552" w:rsidP="00DE0F03">
      <w:pPr>
        <w:pStyle w:val="NoSpacing"/>
        <w:rPr>
          <w:rFonts w:ascii="Times New Roman" w:hAnsi="Times New Roman"/>
          <w:sz w:val="24"/>
          <w:szCs w:val="24"/>
        </w:rPr>
      </w:pPr>
    </w:p>
    <w:p w14:paraId="34BF321D" w14:textId="51336087" w:rsidR="00DE0F03" w:rsidRDefault="00DE0F03" w:rsidP="00DE0F03">
      <w:pPr>
        <w:pStyle w:val="NoSpacing"/>
        <w:rPr>
          <w:rFonts w:ascii="Arial Black" w:hAnsi="Arial Black"/>
          <w:sz w:val="24"/>
          <w:szCs w:val="24"/>
        </w:rPr>
      </w:pPr>
      <w:r>
        <w:rPr>
          <w:rFonts w:ascii="Arial Black" w:hAnsi="Arial Black"/>
          <w:sz w:val="24"/>
          <w:szCs w:val="24"/>
        </w:rPr>
        <w:t>13-22</w:t>
      </w:r>
    </w:p>
    <w:p w14:paraId="48C7DDDA" w14:textId="66E439FC" w:rsidR="00527EDF" w:rsidRDefault="00527EDF" w:rsidP="00F326E5">
      <w:pPr>
        <w:pStyle w:val="NoSpacing"/>
        <w:rPr>
          <w:sz w:val="24"/>
          <w:szCs w:val="24"/>
        </w:rPr>
      </w:pPr>
    </w:p>
    <w:p w14:paraId="504039E7" w14:textId="77777777" w:rsidR="00527EDF" w:rsidRDefault="00527EDF" w:rsidP="00F326E5">
      <w:pPr>
        <w:pStyle w:val="NoSpacing"/>
        <w:rPr>
          <w:sz w:val="24"/>
          <w:szCs w:val="24"/>
        </w:rPr>
      </w:pPr>
    </w:p>
    <w:p w14:paraId="040AAAA1" w14:textId="0073AC6F" w:rsidR="00F326E5" w:rsidRDefault="00F326E5" w:rsidP="00F326E5">
      <w:pPr>
        <w:pStyle w:val="NoSpacing"/>
        <w:rPr>
          <w:sz w:val="32"/>
        </w:rPr>
      </w:pPr>
      <w:bookmarkStart w:id="516" w:name="_Hlk41153721"/>
      <w:r>
        <w:rPr>
          <w:rFonts w:ascii="Arial Black" w:hAnsi="Arial Black"/>
          <w:sz w:val="28"/>
          <w:szCs w:val="28"/>
        </w:rPr>
        <w:t>HHS OPINION: CLINIC PROVIDE FREE HOME VISITS – CHF / COPD PATIENTS – NOT FED. ANTI-KICKBACK</w:t>
      </w:r>
    </w:p>
    <w:p w14:paraId="284093B8" w14:textId="77777777" w:rsidR="00F326E5" w:rsidRPr="006114FF" w:rsidRDefault="00F326E5" w:rsidP="00F326E5">
      <w:pPr>
        <w:pStyle w:val="NoSpacing"/>
        <w:rPr>
          <w:rFonts w:ascii="Times New Roman" w:hAnsi="Times New Roman"/>
          <w:sz w:val="24"/>
          <w:szCs w:val="24"/>
        </w:rPr>
      </w:pPr>
      <w:r w:rsidRPr="006114FF">
        <w:rPr>
          <w:rFonts w:ascii="Times New Roman" w:hAnsi="Times New Roman"/>
          <w:sz w:val="24"/>
          <w:szCs w:val="24"/>
        </w:rPr>
        <w:t xml:space="preserve">On March 6, 2019, the HHS Office of Inspector General issued Advisory Opinion No. 19-03. </w:t>
      </w:r>
      <w:hyperlink r:id="rId2454" w:history="1">
        <w:r w:rsidRPr="006114FF">
          <w:rPr>
            <w:rStyle w:val="Hyperlink"/>
            <w:rFonts w:ascii="Times New Roman" w:hAnsi="Times New Roman"/>
            <w:sz w:val="24"/>
            <w:szCs w:val="24"/>
          </w:rPr>
          <w:t>https://oig.hhs.gov/fraud/docs/advisoryopinions/2019/AdvOpn19-03.pdf</w:t>
        </w:r>
      </w:hyperlink>
      <w:r w:rsidRPr="006114FF">
        <w:rPr>
          <w:rFonts w:ascii="Times New Roman" w:hAnsi="Times New Roman"/>
          <w:sz w:val="24"/>
          <w:szCs w:val="24"/>
        </w:rPr>
        <w:t xml:space="preserve"> </w:t>
      </w:r>
    </w:p>
    <w:p w14:paraId="506FBA48" w14:textId="77777777" w:rsidR="00F326E5" w:rsidRPr="006114FF" w:rsidRDefault="00F326E5" w:rsidP="00F326E5">
      <w:pPr>
        <w:pStyle w:val="NoSpacing"/>
        <w:rPr>
          <w:rFonts w:ascii="Times New Roman" w:hAnsi="Times New Roman"/>
          <w:sz w:val="24"/>
          <w:szCs w:val="24"/>
        </w:rPr>
      </w:pPr>
    </w:p>
    <w:p w14:paraId="694A3E16" w14:textId="77777777" w:rsidR="00F326E5" w:rsidRPr="006114FF" w:rsidRDefault="00F326E5" w:rsidP="00F326E5">
      <w:pPr>
        <w:pStyle w:val="NoSpacing"/>
        <w:ind w:left="720"/>
        <w:rPr>
          <w:rFonts w:ascii="Times New Roman" w:hAnsi="Times New Roman"/>
          <w:sz w:val="24"/>
          <w:szCs w:val="24"/>
        </w:rPr>
      </w:pPr>
      <w:r w:rsidRPr="006114FF">
        <w:rPr>
          <w:rFonts w:ascii="Times New Roman" w:hAnsi="Times New Roman"/>
          <w:sz w:val="24"/>
          <w:szCs w:val="24"/>
        </w:rPr>
        <w:t xml:space="preserve">“Requestor [clinic] has developed a program to provide free, in-home follow-up care to certain patients who it certifies are at higher risk of admission or readmission to a hospital. Under the Current Arrangement, Requestor offers in-home care to patients with congestive heart </w:t>
      </w:r>
      <w:proofErr w:type="gramStart"/>
      <w:r w:rsidRPr="006114FF">
        <w:rPr>
          <w:rFonts w:ascii="Times New Roman" w:hAnsi="Times New Roman"/>
          <w:sz w:val="24"/>
          <w:szCs w:val="24"/>
        </w:rPr>
        <w:t>failure (‘</w:t>
      </w:r>
      <w:proofErr w:type="gramEnd"/>
      <w:r w:rsidRPr="006114FF">
        <w:rPr>
          <w:rFonts w:ascii="Times New Roman" w:hAnsi="Times New Roman"/>
          <w:sz w:val="24"/>
          <w:szCs w:val="24"/>
        </w:rPr>
        <w:t xml:space="preserve">CHF’) who qualify for participation, and under the Proposed Arrangement, Requestor would expand the program to qualifying patients with chronic obstructive pulmonary </w:t>
      </w:r>
      <w:proofErr w:type="gramStart"/>
      <w:r w:rsidRPr="006114FF">
        <w:rPr>
          <w:rFonts w:ascii="Times New Roman" w:hAnsi="Times New Roman"/>
          <w:sz w:val="24"/>
          <w:szCs w:val="24"/>
        </w:rPr>
        <w:t>disease (‘</w:t>
      </w:r>
      <w:proofErr w:type="gramEnd"/>
      <w:r w:rsidRPr="006114FF">
        <w:rPr>
          <w:rFonts w:ascii="Times New Roman" w:hAnsi="Times New Roman"/>
          <w:sz w:val="24"/>
          <w:szCs w:val="24"/>
        </w:rPr>
        <w:t>COPD’). According to Requestor, the goals of both Arrangements are to increase patient compliance with discharge plans, improve patient health, and reduce hospital inpatient admissions and readmissions.</w:t>
      </w:r>
    </w:p>
    <w:p w14:paraId="580B3669" w14:textId="77777777" w:rsidR="006114FF" w:rsidRDefault="006114FF" w:rsidP="00F326E5">
      <w:pPr>
        <w:pStyle w:val="NoSpacing"/>
        <w:rPr>
          <w:rFonts w:ascii="Times New Roman" w:hAnsi="Times New Roman"/>
          <w:b/>
          <w:sz w:val="24"/>
          <w:szCs w:val="24"/>
        </w:rPr>
      </w:pPr>
      <w:bookmarkStart w:id="517" w:name="_Hlk6756145"/>
    </w:p>
    <w:p w14:paraId="603CBB57" w14:textId="5B5E9F1E" w:rsidR="00F326E5" w:rsidRPr="006114FF" w:rsidRDefault="00F326E5" w:rsidP="00F326E5">
      <w:pPr>
        <w:pStyle w:val="NoSpacing"/>
        <w:rPr>
          <w:rFonts w:ascii="Times New Roman" w:hAnsi="Times New Roman"/>
          <w:b/>
          <w:sz w:val="24"/>
          <w:szCs w:val="24"/>
        </w:rPr>
      </w:pPr>
      <w:r w:rsidRPr="006114FF">
        <w:rPr>
          <w:rFonts w:ascii="Times New Roman" w:hAnsi="Times New Roman"/>
          <w:b/>
          <w:sz w:val="24"/>
          <w:szCs w:val="24"/>
        </w:rPr>
        <w:t xml:space="preserve">Legal Lessons Learned: Community Paramedicine programs are rapidly expanding throughout the Nation. </w:t>
      </w:r>
    </w:p>
    <w:bookmarkEnd w:id="433"/>
    <w:bookmarkEnd w:id="517"/>
    <w:p w14:paraId="2DC65B07" w14:textId="77777777" w:rsidR="00DE0F03" w:rsidRPr="006114FF" w:rsidRDefault="00DE0F03" w:rsidP="00DE0F03">
      <w:pPr>
        <w:pStyle w:val="NoSpacing"/>
        <w:rPr>
          <w:rFonts w:ascii="Times New Roman" w:hAnsi="Times New Roman"/>
          <w:sz w:val="24"/>
          <w:szCs w:val="24"/>
        </w:rPr>
      </w:pPr>
    </w:p>
    <w:bookmarkEnd w:id="516"/>
    <w:p w14:paraId="06C9AFBC" w14:textId="026779F8" w:rsidR="005F7D6B" w:rsidRPr="005F7D6B" w:rsidRDefault="005F7D6B" w:rsidP="00DE0F03">
      <w:pPr>
        <w:pStyle w:val="NoSpacing"/>
        <w:rPr>
          <w:rFonts w:ascii="Times New Roman" w:hAnsi="Times New Roman"/>
          <w:sz w:val="24"/>
          <w:szCs w:val="24"/>
        </w:rPr>
      </w:pPr>
    </w:p>
    <w:p w14:paraId="56BEDB2F" w14:textId="77777777" w:rsidR="005F7D6B" w:rsidRDefault="005F7D6B" w:rsidP="00DE0F03">
      <w:pPr>
        <w:pStyle w:val="NoSpacing"/>
        <w:rPr>
          <w:rFonts w:ascii="Arial Black" w:hAnsi="Arial Black"/>
          <w:sz w:val="24"/>
          <w:szCs w:val="24"/>
        </w:rPr>
      </w:pPr>
    </w:p>
    <w:p w14:paraId="482C3816" w14:textId="2D9EF36F" w:rsidR="00DE0F03" w:rsidRDefault="00DE0F03" w:rsidP="00DE0F03">
      <w:pPr>
        <w:pStyle w:val="NoSpacing"/>
        <w:rPr>
          <w:rFonts w:ascii="Arial Black" w:hAnsi="Arial Black"/>
          <w:sz w:val="24"/>
          <w:szCs w:val="24"/>
        </w:rPr>
      </w:pPr>
      <w:r>
        <w:rPr>
          <w:rFonts w:ascii="Arial Black" w:hAnsi="Arial Black"/>
          <w:sz w:val="24"/>
          <w:szCs w:val="24"/>
        </w:rPr>
        <w:t>13-21</w:t>
      </w:r>
    </w:p>
    <w:p w14:paraId="6C02713D" w14:textId="77777777" w:rsidR="00DE0F03" w:rsidRDefault="00DE0F03" w:rsidP="00F326E5">
      <w:pPr>
        <w:pStyle w:val="NoSpacing"/>
        <w:rPr>
          <w:rFonts w:ascii="Arial Black" w:hAnsi="Arial Black"/>
          <w:sz w:val="28"/>
          <w:szCs w:val="28"/>
        </w:rPr>
      </w:pPr>
      <w:bookmarkStart w:id="518" w:name="_Hlk7346249"/>
    </w:p>
    <w:p w14:paraId="542D6FF9" w14:textId="4DC3CFA9" w:rsidR="00F326E5" w:rsidRDefault="00F326E5" w:rsidP="00F326E5">
      <w:pPr>
        <w:pStyle w:val="NoSpacing"/>
        <w:rPr>
          <w:rFonts w:ascii="Arial Black" w:hAnsi="Arial Black"/>
          <w:sz w:val="28"/>
          <w:szCs w:val="28"/>
        </w:rPr>
      </w:pPr>
      <w:bookmarkStart w:id="519" w:name="_Hlk41295020"/>
      <w:bookmarkStart w:id="520" w:name="_Hlk41153758"/>
      <w:r>
        <w:rPr>
          <w:rFonts w:ascii="Arial Black" w:hAnsi="Arial Black"/>
          <w:sz w:val="28"/>
          <w:szCs w:val="28"/>
        </w:rPr>
        <w:t xml:space="preserve">PA: ATTEMPTED MURDER CONV. UPHELD - EMT TESTIFIED ABOUT VICTIM’S </w:t>
      </w:r>
      <w:r w:rsidR="000F0910">
        <w:rPr>
          <w:rFonts w:ascii="Arial Black" w:hAnsi="Arial Black"/>
          <w:sz w:val="28"/>
          <w:szCs w:val="28"/>
        </w:rPr>
        <w:t xml:space="preserve">COMMENTS ABOUT </w:t>
      </w:r>
      <w:r>
        <w:rPr>
          <w:rFonts w:ascii="Arial Black" w:hAnsi="Arial Black"/>
          <w:sz w:val="28"/>
          <w:szCs w:val="28"/>
        </w:rPr>
        <w:t xml:space="preserve">WHO SHOT HIM </w:t>
      </w:r>
    </w:p>
    <w:p w14:paraId="6E2D8ED4"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Feb. 22, 2019, in </w:t>
      </w:r>
      <w:r w:rsidRPr="006114FF">
        <w:rPr>
          <w:rFonts w:ascii="Times New Roman" w:hAnsi="Times New Roman"/>
          <w:sz w:val="24"/>
          <w:szCs w:val="24"/>
          <w:u w:val="single"/>
        </w:rPr>
        <w:t>Commonwealth of Pennsylvania v. Gregory Mack</w:t>
      </w:r>
      <w:r w:rsidRPr="006114FF">
        <w:rPr>
          <w:rFonts w:ascii="Times New Roman" w:hAnsi="Times New Roman"/>
          <w:sz w:val="24"/>
          <w:szCs w:val="24"/>
        </w:rPr>
        <w:t xml:space="preserve">, the Superior Court of PA held (3 to 0) that the jury conviction is affirmed.  One of the issues on appeal was veracity of the EMT who testified at the criminal trial: </w:t>
      </w:r>
    </w:p>
    <w:p w14:paraId="64CD4004" w14:textId="77777777" w:rsidR="00F326E5" w:rsidRPr="006114FF" w:rsidRDefault="00F326E5" w:rsidP="006114FF">
      <w:pPr>
        <w:pStyle w:val="NoSpacing"/>
        <w:ind w:left="720"/>
        <w:rPr>
          <w:rFonts w:ascii="Times New Roman" w:hAnsi="Times New Roman"/>
          <w:sz w:val="24"/>
          <w:szCs w:val="24"/>
        </w:rPr>
      </w:pPr>
      <w:r w:rsidRPr="006114FF">
        <w:rPr>
          <w:rFonts w:ascii="Times New Roman" w:hAnsi="Times New Roman"/>
          <w:sz w:val="24"/>
          <w:szCs w:val="24"/>
        </w:rPr>
        <w:t>“Moreover, at trial, the emergency medical technician (EMT) who transported the victim to the hospital testified that the victim told him that his friend shot him; on appeal, Appellant claims the testimony was invalid and lacked veracity because the EMT did not make a record of the conversation or subsequently inform the police of it.”</w:t>
      </w:r>
    </w:p>
    <w:p w14:paraId="311DD3F6" w14:textId="4497C144" w:rsidR="00F326E5" w:rsidRPr="006114FF" w:rsidRDefault="006114FF" w:rsidP="006114FF">
      <w:pPr>
        <w:pStyle w:val="NoSpacing"/>
        <w:ind w:left="720"/>
        <w:rPr>
          <w:rFonts w:ascii="Times New Roman" w:hAnsi="Times New Roman"/>
          <w:sz w:val="24"/>
          <w:szCs w:val="24"/>
        </w:rPr>
      </w:pPr>
      <w:hyperlink r:id="rId2455" w:anchor="search=%22GREGORY%20MACK%20%27Superior%2bCourt%27%22" w:history="1">
        <w:r w:rsidRPr="002F304C">
          <w:rPr>
            <w:rStyle w:val="Hyperlink"/>
            <w:rFonts w:ascii="Times New Roman" w:hAnsi="Times New Roman"/>
            <w:sz w:val="24"/>
            <w:szCs w:val="24"/>
          </w:rPr>
          <w:t>http://www.pacourts.us/assets/opinions/Superior/out/memorandum%20%20affirmed%20%2010388943251531544.pdf#search=%22GREGORY%20MACK%20%27Superior%2bCourt%27%22</w:t>
        </w:r>
      </w:hyperlink>
      <w:r w:rsidR="00F326E5" w:rsidRPr="006114FF">
        <w:rPr>
          <w:rFonts w:ascii="Times New Roman" w:hAnsi="Times New Roman"/>
          <w:sz w:val="24"/>
          <w:szCs w:val="24"/>
        </w:rPr>
        <w:t xml:space="preserve"> </w:t>
      </w:r>
    </w:p>
    <w:p w14:paraId="41E1EE32" w14:textId="77777777" w:rsidR="006114FF" w:rsidRDefault="006114FF" w:rsidP="006114FF">
      <w:pPr>
        <w:pStyle w:val="NoSpacing"/>
        <w:rPr>
          <w:rFonts w:ascii="Times New Roman" w:hAnsi="Times New Roman"/>
          <w:b/>
          <w:sz w:val="24"/>
          <w:szCs w:val="24"/>
        </w:rPr>
      </w:pPr>
    </w:p>
    <w:p w14:paraId="60595D88" w14:textId="0CDE2945"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Legal Lessons Learned: EMS should document a victim’s statement concerning who shot him, either on the EMS run report or on a supplemental report. This helps avoid issues on appeal</w:t>
      </w:r>
      <w:bookmarkEnd w:id="519"/>
      <w:r w:rsidRPr="006114FF">
        <w:rPr>
          <w:rFonts w:ascii="Times New Roman" w:hAnsi="Times New Roman"/>
          <w:b/>
          <w:sz w:val="24"/>
          <w:szCs w:val="24"/>
        </w:rPr>
        <w:t xml:space="preserve">.  </w:t>
      </w:r>
    </w:p>
    <w:bookmarkEnd w:id="518"/>
    <w:bookmarkEnd w:id="520"/>
    <w:p w14:paraId="689DEC78" w14:textId="77777777" w:rsidR="00F326E5" w:rsidRDefault="00F326E5" w:rsidP="00F326E5">
      <w:pPr>
        <w:pStyle w:val="NoSpacing"/>
        <w:rPr>
          <w:b/>
          <w:sz w:val="24"/>
          <w:szCs w:val="24"/>
        </w:rPr>
      </w:pPr>
    </w:p>
    <w:p w14:paraId="0CD4CDFB" w14:textId="77777777" w:rsidR="006114FF" w:rsidRDefault="006114FF" w:rsidP="00F326E5">
      <w:pPr>
        <w:pStyle w:val="NoSpacing"/>
        <w:rPr>
          <w:rFonts w:ascii="Arial Black" w:hAnsi="Arial Black"/>
          <w:sz w:val="24"/>
          <w:szCs w:val="24"/>
        </w:rPr>
      </w:pPr>
    </w:p>
    <w:p w14:paraId="0D85A8D0" w14:textId="137BBB80" w:rsidR="00F326E5" w:rsidRDefault="00DE0F03" w:rsidP="00F326E5">
      <w:pPr>
        <w:pStyle w:val="NoSpacing"/>
        <w:rPr>
          <w:b/>
          <w:sz w:val="24"/>
          <w:szCs w:val="24"/>
        </w:rPr>
      </w:pPr>
      <w:r>
        <w:rPr>
          <w:rFonts w:ascii="Arial Black" w:hAnsi="Arial Black"/>
          <w:sz w:val="24"/>
          <w:szCs w:val="24"/>
        </w:rPr>
        <w:t>13-20</w:t>
      </w:r>
    </w:p>
    <w:p w14:paraId="3E74FF6C" w14:textId="77777777" w:rsidR="00DE0F03" w:rsidRDefault="00DE0F03" w:rsidP="00F326E5">
      <w:pPr>
        <w:pStyle w:val="NoSpacing"/>
        <w:rPr>
          <w:b/>
          <w:sz w:val="24"/>
          <w:szCs w:val="24"/>
        </w:rPr>
      </w:pPr>
    </w:p>
    <w:p w14:paraId="5BA9F8A5" w14:textId="64AF921A" w:rsidR="00F326E5" w:rsidRDefault="00F326E5" w:rsidP="00F326E5">
      <w:pPr>
        <w:pStyle w:val="NoSpacing"/>
        <w:rPr>
          <w:rFonts w:ascii="Arial Black" w:hAnsi="Arial Black"/>
          <w:sz w:val="28"/>
          <w:szCs w:val="28"/>
        </w:rPr>
      </w:pPr>
      <w:bookmarkStart w:id="521" w:name="_Hlk41153820"/>
      <w:bookmarkStart w:id="522" w:name="_Hlk7346323"/>
      <w:r w:rsidRPr="009D44BC">
        <w:rPr>
          <w:rFonts w:ascii="Arial Black" w:hAnsi="Arial Black"/>
          <w:sz w:val="28"/>
          <w:szCs w:val="28"/>
        </w:rPr>
        <w:t>OH</w:t>
      </w:r>
      <w:r>
        <w:rPr>
          <w:rFonts w:ascii="Arial Black" w:hAnsi="Arial Black"/>
          <w:sz w:val="28"/>
          <w:szCs w:val="28"/>
        </w:rPr>
        <w:t xml:space="preserve">: DUI - BLOOD DRAW BY NURSE UNCONSCIOUS DRIVER LAWFUL - PD NO TIME FOR SEARCH WARRANT </w:t>
      </w:r>
    </w:p>
    <w:p w14:paraId="334DFF26" w14:textId="77777777" w:rsidR="006114FF" w:rsidRDefault="00F326E5" w:rsidP="00F326E5">
      <w:pPr>
        <w:pStyle w:val="NoSpacing"/>
        <w:rPr>
          <w:rFonts w:ascii="Times New Roman" w:hAnsi="Times New Roman"/>
          <w:sz w:val="24"/>
          <w:szCs w:val="24"/>
        </w:rPr>
      </w:pPr>
      <w:r w:rsidRPr="006114FF">
        <w:rPr>
          <w:rFonts w:ascii="Times New Roman" w:hAnsi="Times New Roman"/>
          <w:sz w:val="24"/>
          <w:szCs w:val="24"/>
        </w:rPr>
        <w:t xml:space="preserve">On Feb. 12, </w:t>
      </w:r>
      <w:proofErr w:type="gramStart"/>
      <w:r w:rsidRPr="006114FF">
        <w:rPr>
          <w:rFonts w:ascii="Times New Roman" w:hAnsi="Times New Roman"/>
          <w:sz w:val="24"/>
          <w:szCs w:val="24"/>
        </w:rPr>
        <w:t>2019</w:t>
      </w:r>
      <w:proofErr w:type="gramEnd"/>
      <w:r w:rsidRPr="006114FF">
        <w:rPr>
          <w:rFonts w:ascii="Times New Roman" w:hAnsi="Times New Roman"/>
          <w:sz w:val="24"/>
          <w:szCs w:val="24"/>
        </w:rPr>
        <w:t xml:space="preserve"> in </w:t>
      </w:r>
      <w:r w:rsidRPr="006114FF">
        <w:rPr>
          <w:rFonts w:ascii="Times New Roman" w:hAnsi="Times New Roman"/>
          <w:sz w:val="24"/>
          <w:szCs w:val="24"/>
          <w:u w:val="single"/>
        </w:rPr>
        <w:t>State of Ohio v. Richard Barnhart, Jr.</w:t>
      </w:r>
      <w:r w:rsidRPr="006114FF">
        <w:rPr>
          <w:rFonts w:ascii="Times New Roman" w:hAnsi="Times New Roman"/>
          <w:sz w:val="24"/>
          <w:szCs w:val="24"/>
        </w:rPr>
        <w:t xml:space="preserve">, Court of Appeals of Ohio, Fourth Appellate District – Meigs County, held (3 to 0) that trial court properly allowed into evidence the results of the blood draw.  The Court </w:t>
      </w:r>
      <w:proofErr w:type="gramStart"/>
      <w:r w:rsidRPr="006114FF">
        <w:rPr>
          <w:rFonts w:ascii="Times New Roman" w:hAnsi="Times New Roman"/>
          <w:sz w:val="24"/>
          <w:szCs w:val="24"/>
        </w:rPr>
        <w:t>write</w:t>
      </w:r>
      <w:proofErr w:type="gramEnd"/>
      <w:r w:rsidRPr="006114FF">
        <w:rPr>
          <w:rFonts w:ascii="Times New Roman" w:hAnsi="Times New Roman"/>
          <w:sz w:val="24"/>
          <w:szCs w:val="24"/>
        </w:rPr>
        <w:t xml:space="preserve">: </w:t>
      </w:r>
    </w:p>
    <w:p w14:paraId="4DAE5C83" w14:textId="77777777" w:rsidR="006114FF" w:rsidRDefault="006114FF" w:rsidP="00F326E5">
      <w:pPr>
        <w:pStyle w:val="NoSpacing"/>
        <w:rPr>
          <w:rFonts w:ascii="Times New Roman" w:hAnsi="Times New Roman"/>
          <w:sz w:val="24"/>
          <w:szCs w:val="24"/>
        </w:rPr>
      </w:pPr>
    </w:p>
    <w:p w14:paraId="22B4BDEA" w14:textId="52421F0F" w:rsidR="00F326E5" w:rsidRPr="006114FF" w:rsidRDefault="00F326E5" w:rsidP="006114FF">
      <w:pPr>
        <w:pStyle w:val="NoSpacing"/>
        <w:ind w:left="720"/>
        <w:rPr>
          <w:rFonts w:ascii="Times New Roman" w:hAnsi="Times New Roman"/>
          <w:sz w:val="24"/>
          <w:szCs w:val="24"/>
        </w:rPr>
      </w:pPr>
      <w:r w:rsidRPr="006114FF">
        <w:rPr>
          <w:rFonts w:ascii="Times New Roman" w:hAnsi="Times New Roman"/>
          <w:sz w:val="24"/>
          <w:szCs w:val="24"/>
        </w:rPr>
        <w:t>“[B]</w:t>
      </w:r>
      <w:proofErr w:type="spellStart"/>
      <w:r w:rsidRPr="006114FF">
        <w:rPr>
          <w:rFonts w:ascii="Times New Roman" w:hAnsi="Times New Roman"/>
          <w:sz w:val="24"/>
          <w:szCs w:val="24"/>
        </w:rPr>
        <w:t>ased</w:t>
      </w:r>
      <w:proofErr w:type="spellEnd"/>
      <w:r w:rsidRPr="006114FF">
        <w:rPr>
          <w:rFonts w:ascii="Times New Roman" w:hAnsi="Times New Roman"/>
          <w:sz w:val="24"/>
          <w:szCs w:val="24"/>
        </w:rPr>
        <w:t xml:space="preserve"> upon the totality of the circumstances, we conclude that the blood sample obtained from Appellant, which was taken while he was unconscious at the hospital and being prepared for transfer to another facility, was both lawful and constitutionally valid pursuant to Ohio’s Implied Consent statute, as well as both the consent and exigent circumstances exceptions to the warrant requirement.”   </w:t>
      </w:r>
    </w:p>
    <w:p w14:paraId="0AE68A09" w14:textId="19998A49" w:rsidR="00F326E5" w:rsidRPr="006114FF" w:rsidRDefault="006114FF" w:rsidP="006114FF">
      <w:pPr>
        <w:pStyle w:val="NoSpacing"/>
        <w:ind w:firstLine="720"/>
        <w:rPr>
          <w:rFonts w:ascii="Times New Roman" w:hAnsi="Times New Roman"/>
          <w:sz w:val="24"/>
          <w:szCs w:val="24"/>
        </w:rPr>
      </w:pPr>
      <w:hyperlink r:id="rId2456" w:history="1">
        <w:r w:rsidRPr="002F304C">
          <w:rPr>
            <w:rStyle w:val="Hyperlink"/>
            <w:rFonts w:ascii="Times New Roman" w:hAnsi="Times New Roman"/>
            <w:sz w:val="24"/>
            <w:szCs w:val="24"/>
          </w:rPr>
          <w:t>https://cases.justia.com/ohio/fourth-district-court-of-appeals/2019-18ca8-5.pdf?ts=1553894129</w:t>
        </w:r>
      </w:hyperlink>
      <w:r w:rsidR="00F326E5" w:rsidRPr="006114FF">
        <w:rPr>
          <w:rFonts w:ascii="Times New Roman" w:hAnsi="Times New Roman"/>
          <w:sz w:val="24"/>
          <w:szCs w:val="24"/>
        </w:rPr>
        <w:t xml:space="preserve"> </w:t>
      </w:r>
    </w:p>
    <w:p w14:paraId="1C3F419C" w14:textId="77777777" w:rsidR="006114FF" w:rsidRDefault="006114FF" w:rsidP="00F326E5">
      <w:pPr>
        <w:pStyle w:val="NoSpacing"/>
        <w:rPr>
          <w:rFonts w:ascii="Times New Roman" w:hAnsi="Times New Roman"/>
          <w:b/>
          <w:sz w:val="24"/>
          <w:szCs w:val="24"/>
        </w:rPr>
      </w:pPr>
      <w:bookmarkStart w:id="523" w:name="_Hlk7182059"/>
    </w:p>
    <w:p w14:paraId="494A2E72" w14:textId="48E5356C" w:rsidR="00F326E5" w:rsidRPr="006114FF" w:rsidRDefault="00F326E5" w:rsidP="00F326E5">
      <w:pPr>
        <w:pStyle w:val="NoSpacing"/>
        <w:rPr>
          <w:rFonts w:ascii="Times New Roman" w:hAnsi="Times New Roman"/>
          <w:b/>
          <w:sz w:val="24"/>
          <w:szCs w:val="24"/>
        </w:rPr>
      </w:pPr>
      <w:r w:rsidRPr="006114FF">
        <w:rPr>
          <w:rFonts w:ascii="Times New Roman" w:hAnsi="Times New Roman"/>
          <w:b/>
          <w:sz w:val="24"/>
          <w:szCs w:val="24"/>
        </w:rPr>
        <w:t xml:space="preserve">Legal Lessons Learned: Implied consent statutes are an important part of highway safety. </w:t>
      </w:r>
    </w:p>
    <w:p w14:paraId="47C1FCA3" w14:textId="6E020BB8" w:rsidR="009C7552" w:rsidRDefault="009C7552" w:rsidP="00F326E5">
      <w:pPr>
        <w:pStyle w:val="NoSpacing"/>
        <w:rPr>
          <w:b/>
          <w:sz w:val="24"/>
          <w:szCs w:val="24"/>
        </w:rPr>
      </w:pPr>
    </w:p>
    <w:bookmarkEnd w:id="521"/>
    <w:p w14:paraId="5F8888E7" w14:textId="77777777" w:rsidR="009C7552" w:rsidRPr="00747A23" w:rsidRDefault="009C7552" w:rsidP="00F326E5">
      <w:pPr>
        <w:pStyle w:val="NoSpacing"/>
        <w:rPr>
          <w:b/>
          <w:sz w:val="24"/>
          <w:szCs w:val="24"/>
        </w:rPr>
      </w:pPr>
    </w:p>
    <w:bookmarkEnd w:id="522"/>
    <w:bookmarkEnd w:id="523"/>
    <w:p w14:paraId="27611C85" w14:textId="77777777" w:rsidR="00F326E5" w:rsidRDefault="00F326E5" w:rsidP="00F326E5">
      <w:pPr>
        <w:rPr>
          <w:rFonts w:ascii="Arial Black" w:hAnsi="Arial Black"/>
          <w:sz w:val="40"/>
          <w:szCs w:val="40"/>
        </w:rPr>
      </w:pPr>
    </w:p>
    <w:p w14:paraId="22A0E706" w14:textId="2F51C807" w:rsidR="00DE0F03" w:rsidRDefault="00DE0F03" w:rsidP="00F326E5">
      <w:pPr>
        <w:pStyle w:val="NoSpacing"/>
        <w:rPr>
          <w:rFonts w:ascii="Arial Black" w:hAnsi="Arial Black"/>
          <w:b/>
          <w:sz w:val="28"/>
          <w:szCs w:val="28"/>
        </w:rPr>
      </w:pPr>
      <w:bookmarkStart w:id="524" w:name="_Hlk7346439"/>
      <w:r>
        <w:rPr>
          <w:rFonts w:ascii="Arial Black" w:hAnsi="Arial Black"/>
          <w:sz w:val="24"/>
          <w:szCs w:val="24"/>
        </w:rPr>
        <w:t>13-19</w:t>
      </w:r>
    </w:p>
    <w:p w14:paraId="4D27B397" w14:textId="77777777" w:rsidR="00DE0F03" w:rsidRDefault="00DE0F03" w:rsidP="00F326E5">
      <w:pPr>
        <w:pStyle w:val="NoSpacing"/>
        <w:rPr>
          <w:rFonts w:ascii="Arial Black" w:hAnsi="Arial Black"/>
          <w:b/>
          <w:sz w:val="28"/>
          <w:szCs w:val="28"/>
        </w:rPr>
      </w:pPr>
    </w:p>
    <w:p w14:paraId="538FF428" w14:textId="11CBA939" w:rsidR="00F326E5" w:rsidRDefault="00F326E5" w:rsidP="00F326E5">
      <w:pPr>
        <w:pStyle w:val="NoSpacing"/>
        <w:rPr>
          <w:rFonts w:ascii="Arial Black" w:hAnsi="Arial Black"/>
          <w:b/>
          <w:sz w:val="28"/>
          <w:szCs w:val="28"/>
        </w:rPr>
      </w:pPr>
      <w:bookmarkStart w:id="525" w:name="_Hlk41294907"/>
      <w:bookmarkStart w:id="526" w:name="_Hlk41153975"/>
      <w:r w:rsidRPr="00EA2DAF">
        <w:rPr>
          <w:rFonts w:ascii="Arial Black" w:hAnsi="Arial Black"/>
          <w:b/>
          <w:sz w:val="28"/>
          <w:szCs w:val="28"/>
        </w:rPr>
        <w:t>WA</w:t>
      </w:r>
      <w:r>
        <w:rPr>
          <w:rFonts w:ascii="Arial Black" w:hAnsi="Arial Black"/>
          <w:b/>
          <w:sz w:val="28"/>
          <w:szCs w:val="28"/>
        </w:rPr>
        <w:t xml:space="preserve">: </w:t>
      </w:r>
      <w:r w:rsidRPr="00EA2DAF">
        <w:rPr>
          <w:rFonts w:ascii="Arial Black" w:hAnsi="Arial Black"/>
          <w:b/>
          <w:sz w:val="28"/>
          <w:szCs w:val="28"/>
        </w:rPr>
        <w:t xml:space="preserve">PATIENT WITH CHEST PAIN </w:t>
      </w:r>
      <w:r>
        <w:rPr>
          <w:rFonts w:ascii="Arial Black" w:hAnsi="Arial Black"/>
          <w:b/>
          <w:sz w:val="28"/>
          <w:szCs w:val="28"/>
        </w:rPr>
        <w:t xml:space="preserve">REFUSED TRANSPORT - </w:t>
      </w:r>
      <w:r w:rsidRPr="00EA2DAF">
        <w:rPr>
          <w:rFonts w:ascii="Arial Black" w:hAnsi="Arial Black"/>
          <w:b/>
          <w:sz w:val="28"/>
          <w:szCs w:val="28"/>
        </w:rPr>
        <w:t xml:space="preserve">FORCIBLY TAKEN TO HOSPITAL </w:t>
      </w:r>
      <w:r w:rsidR="000F0910">
        <w:rPr>
          <w:rFonts w:ascii="Arial Black" w:hAnsi="Arial Black"/>
          <w:b/>
          <w:sz w:val="28"/>
          <w:szCs w:val="28"/>
        </w:rPr>
        <w:t>– NO QUALIFIED IMMUNITY</w:t>
      </w:r>
    </w:p>
    <w:p w14:paraId="54967434"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Jan. 11, 2019, in </w:t>
      </w:r>
      <w:r w:rsidRPr="006114FF">
        <w:rPr>
          <w:rFonts w:ascii="Times New Roman" w:hAnsi="Times New Roman"/>
          <w:sz w:val="24"/>
          <w:szCs w:val="24"/>
          <w:u w:val="single"/>
        </w:rPr>
        <w:t>El-Fatih P. Nowell v. Trimmed Ambulance, LLLC, et al</w:t>
      </w:r>
      <w:r w:rsidRPr="006114FF">
        <w:rPr>
          <w:rFonts w:ascii="Times New Roman" w:hAnsi="Times New Roman"/>
          <w:sz w:val="24"/>
          <w:szCs w:val="24"/>
        </w:rPr>
        <w:t xml:space="preserve">, U.S. District Court Judge Robert S. </w:t>
      </w:r>
      <w:proofErr w:type="spellStart"/>
      <w:r w:rsidRPr="006114FF">
        <w:rPr>
          <w:rFonts w:ascii="Times New Roman" w:hAnsi="Times New Roman"/>
          <w:sz w:val="24"/>
          <w:szCs w:val="24"/>
        </w:rPr>
        <w:t>Lasnik</w:t>
      </w:r>
      <w:proofErr w:type="spellEnd"/>
      <w:r w:rsidRPr="006114FF">
        <w:rPr>
          <w:rFonts w:ascii="Times New Roman" w:hAnsi="Times New Roman"/>
          <w:sz w:val="24"/>
          <w:szCs w:val="24"/>
        </w:rPr>
        <w:t xml:space="preserve"> (Seattle, WA), denied EMS defendants’ motion for summary judgments on most of the allegations of “involuntary detention and transport to a medical facility.” </w:t>
      </w:r>
      <w:hyperlink r:id="rId2457" w:history="1">
        <w:r w:rsidRPr="006114FF">
          <w:rPr>
            <w:rStyle w:val="Hyperlink"/>
            <w:rFonts w:ascii="Times New Roman" w:hAnsi="Times New Roman"/>
            <w:sz w:val="24"/>
            <w:szCs w:val="24"/>
          </w:rPr>
          <w:t>https://docs.justia.com/cases/federal/district-courts/washington/wawdce/2:2017cv01133/248111/33</w:t>
        </w:r>
      </w:hyperlink>
      <w:r w:rsidRPr="006114FF">
        <w:rPr>
          <w:rFonts w:ascii="Times New Roman" w:hAnsi="Times New Roman"/>
          <w:sz w:val="24"/>
          <w:szCs w:val="24"/>
        </w:rPr>
        <w:t xml:space="preserve"> </w:t>
      </w:r>
    </w:p>
    <w:p w14:paraId="7C381CFB" w14:textId="77777777" w:rsidR="006114FF" w:rsidRDefault="006114FF" w:rsidP="006114FF">
      <w:pPr>
        <w:pStyle w:val="NoSpacing"/>
        <w:rPr>
          <w:rFonts w:ascii="Times New Roman" w:eastAsia="Times New Roman" w:hAnsi="Times New Roman"/>
          <w:b/>
          <w:sz w:val="24"/>
          <w:szCs w:val="24"/>
        </w:rPr>
      </w:pPr>
    </w:p>
    <w:p w14:paraId="2AF4C848" w14:textId="4772050A" w:rsidR="00F326E5" w:rsidRPr="006114FF" w:rsidRDefault="00F326E5" w:rsidP="006114FF">
      <w:pPr>
        <w:pStyle w:val="NoSpacing"/>
        <w:rPr>
          <w:rFonts w:ascii="Times New Roman" w:eastAsia="Times New Roman" w:hAnsi="Times New Roman"/>
          <w:b/>
          <w:sz w:val="24"/>
          <w:szCs w:val="24"/>
        </w:rPr>
      </w:pPr>
      <w:r w:rsidRPr="006114FF">
        <w:rPr>
          <w:rFonts w:ascii="Times New Roman" w:eastAsia="Times New Roman" w:hAnsi="Times New Roman"/>
          <w:b/>
          <w:sz w:val="24"/>
          <w:szCs w:val="24"/>
        </w:rPr>
        <w:t>Legal Lessons Learned:  When EMS are faced with the difficult decision on whether to forcibly transport a patient, consider first calling the hospital emergency department and getting medical clearance to transport</w:t>
      </w:r>
      <w:bookmarkEnd w:id="525"/>
      <w:r w:rsidRPr="006114FF">
        <w:rPr>
          <w:rFonts w:ascii="Times New Roman" w:eastAsia="Times New Roman" w:hAnsi="Times New Roman"/>
          <w:b/>
          <w:sz w:val="24"/>
          <w:szCs w:val="24"/>
        </w:rPr>
        <w:t xml:space="preserve">. </w:t>
      </w:r>
    </w:p>
    <w:p w14:paraId="590DC6B5" w14:textId="77777777" w:rsidR="006114FF" w:rsidRDefault="006114FF" w:rsidP="00F326E5">
      <w:pPr>
        <w:pStyle w:val="NoSpacing"/>
        <w:rPr>
          <w:rFonts w:ascii="Arial Black" w:hAnsi="Arial Black"/>
          <w:sz w:val="24"/>
          <w:szCs w:val="24"/>
        </w:rPr>
      </w:pPr>
      <w:bookmarkStart w:id="527" w:name="_Hlk7346486"/>
      <w:bookmarkEnd w:id="524"/>
      <w:bookmarkEnd w:id="526"/>
    </w:p>
    <w:p w14:paraId="3A5B0FD9" w14:textId="77777777" w:rsidR="006114FF" w:rsidRDefault="006114FF" w:rsidP="00F326E5">
      <w:pPr>
        <w:pStyle w:val="NoSpacing"/>
        <w:rPr>
          <w:rFonts w:ascii="Arial Black" w:hAnsi="Arial Black"/>
          <w:sz w:val="24"/>
          <w:szCs w:val="24"/>
        </w:rPr>
      </w:pPr>
    </w:p>
    <w:p w14:paraId="579DAE40" w14:textId="008CF336" w:rsidR="00DE0F03" w:rsidRDefault="00DE0F03" w:rsidP="00F326E5">
      <w:pPr>
        <w:pStyle w:val="NoSpacing"/>
        <w:rPr>
          <w:rFonts w:ascii="Arial Black" w:hAnsi="Arial Black"/>
          <w:b/>
          <w:sz w:val="28"/>
          <w:szCs w:val="28"/>
        </w:rPr>
      </w:pPr>
      <w:r>
        <w:rPr>
          <w:rFonts w:ascii="Arial Black" w:hAnsi="Arial Black"/>
          <w:sz w:val="24"/>
          <w:szCs w:val="24"/>
        </w:rPr>
        <w:t>13-18</w:t>
      </w:r>
    </w:p>
    <w:p w14:paraId="4F5796F9" w14:textId="77777777" w:rsidR="00DE0F03" w:rsidRDefault="00DE0F03" w:rsidP="00F326E5">
      <w:pPr>
        <w:pStyle w:val="NoSpacing"/>
        <w:rPr>
          <w:rFonts w:ascii="Arial Black" w:hAnsi="Arial Black"/>
          <w:b/>
          <w:sz w:val="28"/>
          <w:szCs w:val="28"/>
        </w:rPr>
      </w:pPr>
    </w:p>
    <w:p w14:paraId="0C1E5E0A" w14:textId="57EF8A4A" w:rsidR="00F326E5" w:rsidRDefault="00F326E5" w:rsidP="00F326E5">
      <w:pPr>
        <w:pStyle w:val="NoSpacing"/>
        <w:rPr>
          <w:rFonts w:ascii="Arial Black" w:hAnsi="Arial Black"/>
          <w:b/>
          <w:sz w:val="28"/>
          <w:szCs w:val="28"/>
        </w:rPr>
      </w:pPr>
      <w:bookmarkStart w:id="528" w:name="_Hlk41154042"/>
      <w:r w:rsidRPr="00EA2DAF">
        <w:rPr>
          <w:rFonts w:ascii="Arial Black" w:hAnsi="Arial Black"/>
          <w:b/>
          <w:sz w:val="28"/>
          <w:szCs w:val="28"/>
        </w:rPr>
        <w:t>OH:  911 DISPATCHES FOR DRUG OVERDOSES –</w:t>
      </w:r>
      <w:r w:rsidR="00195FD1">
        <w:rPr>
          <w:rFonts w:ascii="Arial Black" w:hAnsi="Arial Black"/>
          <w:b/>
          <w:sz w:val="28"/>
          <w:szCs w:val="28"/>
        </w:rPr>
        <w:t xml:space="preserve"> </w:t>
      </w:r>
      <w:r w:rsidRPr="00EA2DAF">
        <w:rPr>
          <w:rFonts w:ascii="Arial Black" w:hAnsi="Arial Black"/>
          <w:b/>
          <w:sz w:val="28"/>
          <w:szCs w:val="28"/>
        </w:rPr>
        <w:t>NOT HIPPA PROTECTED UNLESS DISCLOSES PHI</w:t>
      </w:r>
      <w:r>
        <w:rPr>
          <w:rFonts w:ascii="Arial Black" w:hAnsi="Arial Black"/>
          <w:b/>
          <w:sz w:val="28"/>
          <w:szCs w:val="28"/>
        </w:rPr>
        <w:t xml:space="preserve"> </w:t>
      </w:r>
    </w:p>
    <w:p w14:paraId="040A6028" w14:textId="77777777" w:rsidR="00F326E5" w:rsidRPr="006114FF" w:rsidRDefault="00F326E5" w:rsidP="00F326E5">
      <w:pPr>
        <w:pStyle w:val="NoSpacing"/>
        <w:rPr>
          <w:rFonts w:ascii="Times New Roman" w:eastAsia="Times New Roman" w:hAnsi="Times New Roman"/>
          <w:sz w:val="24"/>
          <w:szCs w:val="24"/>
        </w:rPr>
      </w:pPr>
      <w:r w:rsidRPr="006114FF">
        <w:rPr>
          <w:rFonts w:ascii="Times New Roman" w:hAnsi="Times New Roman"/>
          <w:sz w:val="24"/>
          <w:szCs w:val="24"/>
        </w:rPr>
        <w:t xml:space="preserve">On Dec. 14, 2018, in </w:t>
      </w:r>
      <w:r w:rsidRPr="006114FF">
        <w:rPr>
          <w:rFonts w:ascii="Times New Roman" w:hAnsi="Times New Roman"/>
          <w:sz w:val="24"/>
          <w:szCs w:val="24"/>
          <w:u w:val="single"/>
        </w:rPr>
        <w:t>Rachel L. Dissell v. City of Cleveland</w:t>
      </w:r>
      <w:r w:rsidRPr="006114FF">
        <w:rPr>
          <w:rFonts w:ascii="Times New Roman" w:hAnsi="Times New Roman"/>
          <w:sz w:val="24"/>
          <w:szCs w:val="24"/>
        </w:rPr>
        <w:t xml:space="preserve">, the Ohio Court of Claims appointed a Special Master to advise the Court on request for records by a reporter for the </w:t>
      </w:r>
      <w:proofErr w:type="spellStart"/>
      <w:r w:rsidRPr="006114FF">
        <w:rPr>
          <w:rFonts w:ascii="Times New Roman" w:hAnsi="Times New Roman"/>
          <w:sz w:val="24"/>
          <w:szCs w:val="24"/>
        </w:rPr>
        <w:t>The</w:t>
      </w:r>
      <w:proofErr w:type="spellEnd"/>
      <w:r w:rsidRPr="006114FF">
        <w:rPr>
          <w:rFonts w:ascii="Times New Roman" w:hAnsi="Times New Roman"/>
          <w:sz w:val="24"/>
          <w:szCs w:val="24"/>
        </w:rPr>
        <w:t xml:space="preserve"> Plain Dealer newspaper.  The Special Master concluded that Computer Aided Dispatch records, including addresses where EMS responded, be released under Ohio Public Records Act.  “Upon consideration of the pleadings and attachments, I recommend that the court order respondent to provide requester with a copy of the EMS/Fire CAD event summary records, as submitted under seal.” </w:t>
      </w:r>
      <w:hyperlink r:id="rId2458" w:history="1">
        <w:r w:rsidRPr="006114FF">
          <w:rPr>
            <w:rStyle w:val="Hyperlink"/>
            <w:rFonts w:ascii="Times New Roman" w:hAnsi="Times New Roman"/>
            <w:sz w:val="24"/>
            <w:szCs w:val="24"/>
          </w:rPr>
          <w:t>https://scholar.google.com/scholar_case?case=16398402888190855228&amp;q=Dissell+v.+Cleveland&amp;hl=en&amp;as_sdt=6,36&amp;as_vis=1</w:t>
        </w:r>
      </w:hyperlink>
      <w:r w:rsidRPr="006114FF">
        <w:rPr>
          <w:rFonts w:ascii="Times New Roman" w:hAnsi="Times New Roman"/>
          <w:sz w:val="24"/>
          <w:szCs w:val="24"/>
        </w:rPr>
        <w:t xml:space="preserve"> </w:t>
      </w:r>
    </w:p>
    <w:p w14:paraId="4B35A819" w14:textId="77777777" w:rsidR="006114FF" w:rsidRDefault="006114FF" w:rsidP="00F326E5">
      <w:pPr>
        <w:rPr>
          <w:rFonts w:ascii="Times New Roman" w:hAnsi="Times New Roman"/>
          <w:b/>
          <w:sz w:val="24"/>
          <w:szCs w:val="24"/>
        </w:rPr>
      </w:pPr>
    </w:p>
    <w:p w14:paraId="1D178CB1" w14:textId="53750460"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In producing CAD or other records on EMS calls, be very careful to exclude any “Protected Health Information.”  If in doubt, advise requester that info is HIPAA protected and will only be revealed to Court under seal.   </w:t>
      </w:r>
    </w:p>
    <w:bookmarkEnd w:id="528"/>
    <w:p w14:paraId="3629CE52" w14:textId="77777777" w:rsidR="00DE0F03" w:rsidRDefault="00DE0F03" w:rsidP="00DE0F03">
      <w:pPr>
        <w:pStyle w:val="NoSpacing"/>
        <w:rPr>
          <w:rFonts w:ascii="Arial Black" w:hAnsi="Arial Black"/>
          <w:sz w:val="24"/>
          <w:szCs w:val="24"/>
        </w:rPr>
      </w:pPr>
    </w:p>
    <w:p w14:paraId="4330B4DE" w14:textId="77777777" w:rsidR="00DE0F03" w:rsidRDefault="00DE0F03" w:rsidP="00DE0F03">
      <w:pPr>
        <w:pStyle w:val="NoSpacing"/>
        <w:rPr>
          <w:rFonts w:ascii="Arial Black" w:hAnsi="Arial Black"/>
          <w:sz w:val="24"/>
          <w:szCs w:val="24"/>
        </w:rPr>
      </w:pPr>
    </w:p>
    <w:p w14:paraId="4017311B" w14:textId="7CDCF1AF" w:rsidR="00DE0F03" w:rsidRDefault="00DE0F03" w:rsidP="00DE0F03">
      <w:pPr>
        <w:pStyle w:val="NoSpacing"/>
        <w:rPr>
          <w:rFonts w:ascii="Arial Black" w:hAnsi="Arial Black"/>
          <w:sz w:val="24"/>
          <w:szCs w:val="24"/>
        </w:rPr>
      </w:pPr>
      <w:r>
        <w:rPr>
          <w:rFonts w:ascii="Arial Black" w:hAnsi="Arial Black"/>
          <w:sz w:val="24"/>
          <w:szCs w:val="24"/>
        </w:rPr>
        <w:t>13-17</w:t>
      </w:r>
    </w:p>
    <w:p w14:paraId="78184C34" w14:textId="77777777" w:rsidR="00F326E5" w:rsidRDefault="00F326E5" w:rsidP="00F326E5">
      <w:pPr>
        <w:pStyle w:val="NoSpacing"/>
        <w:rPr>
          <w:b/>
          <w:sz w:val="24"/>
          <w:szCs w:val="24"/>
        </w:rPr>
      </w:pPr>
    </w:p>
    <w:bookmarkEnd w:id="527"/>
    <w:p w14:paraId="5730673E" w14:textId="77777777" w:rsidR="00F326E5" w:rsidRDefault="00F326E5" w:rsidP="00F326E5">
      <w:pPr>
        <w:pStyle w:val="NoSpacing"/>
        <w:rPr>
          <w:b/>
          <w:sz w:val="24"/>
          <w:szCs w:val="24"/>
        </w:rPr>
      </w:pPr>
    </w:p>
    <w:p w14:paraId="76F59534" w14:textId="7575FE80" w:rsidR="00F326E5" w:rsidRPr="00CA3D6F" w:rsidRDefault="00F326E5" w:rsidP="00F326E5">
      <w:pPr>
        <w:pStyle w:val="NoSpacing"/>
        <w:rPr>
          <w:rStyle w:val="dfm-title"/>
          <w:b/>
          <w:sz w:val="24"/>
          <w:szCs w:val="24"/>
        </w:rPr>
      </w:pPr>
      <w:bookmarkStart w:id="529" w:name="_Hlk7346521"/>
      <w:r w:rsidRPr="00877AA6">
        <w:rPr>
          <w:rStyle w:val="dfm-title"/>
          <w:rFonts w:ascii="Arial Black" w:hAnsi="Arial Black"/>
          <w:b/>
          <w:sz w:val="28"/>
          <w:szCs w:val="28"/>
        </w:rPr>
        <w:t>PA: HOSPITAL EMPLOYEE RECORDS HACKED; EMPLOYEES MAY SUE HOSPITAL</w:t>
      </w:r>
      <w:r>
        <w:rPr>
          <w:rStyle w:val="dfm-title"/>
          <w:rFonts w:ascii="Arial Black" w:hAnsi="Arial Black"/>
          <w:b/>
          <w:sz w:val="24"/>
          <w:szCs w:val="24"/>
        </w:rPr>
        <w:t xml:space="preserve"> </w:t>
      </w:r>
      <w:r w:rsidRPr="00877AA6">
        <w:rPr>
          <w:rStyle w:val="dfm-title"/>
          <w:sz w:val="24"/>
          <w:szCs w:val="24"/>
        </w:rPr>
        <w:t>[also filed, Chap. 6]</w:t>
      </w:r>
    </w:p>
    <w:p w14:paraId="4669EA5F" w14:textId="227509D0" w:rsidR="00F326E5" w:rsidRPr="006114FF" w:rsidRDefault="00F326E5" w:rsidP="00F326E5">
      <w:pPr>
        <w:rPr>
          <w:rFonts w:ascii="Times New Roman" w:hAnsi="Times New Roman"/>
          <w:sz w:val="24"/>
          <w:szCs w:val="24"/>
        </w:rPr>
      </w:pPr>
      <w:r w:rsidRPr="006114FF">
        <w:rPr>
          <w:rFonts w:ascii="Times New Roman" w:hAnsi="Times New Roman"/>
          <w:sz w:val="24"/>
          <w:szCs w:val="24"/>
        </w:rPr>
        <w:t xml:space="preserve">On Nov. 21, 2018, in </w:t>
      </w:r>
      <w:r w:rsidRPr="006114FF">
        <w:rPr>
          <w:rFonts w:ascii="Times New Roman" w:hAnsi="Times New Roman"/>
          <w:sz w:val="24"/>
          <w:szCs w:val="24"/>
          <w:u w:val="single"/>
        </w:rPr>
        <w:t>Barbara A. Dittman, et al. v.</w:t>
      </w:r>
      <w:r w:rsidRPr="006114FF">
        <w:rPr>
          <w:rFonts w:ascii="Times New Roman" w:hAnsi="Times New Roman"/>
          <w:sz w:val="24"/>
          <w:szCs w:val="24"/>
        </w:rPr>
        <w:t xml:space="preserve"> </w:t>
      </w:r>
      <w:r w:rsidRPr="006114FF">
        <w:rPr>
          <w:rFonts w:ascii="Times New Roman" w:eastAsia="Times New Roman" w:hAnsi="Times New Roman"/>
          <w:sz w:val="24"/>
          <w:szCs w:val="24"/>
          <w:u w:val="single"/>
        </w:rPr>
        <w:t>UPMC d/b/a The University of Pittsburgh Medical Center, et al.</w:t>
      </w:r>
      <w:r w:rsidRPr="006114FF">
        <w:rPr>
          <w:rFonts w:ascii="Times New Roman" w:eastAsia="Times New Roman" w:hAnsi="Times New Roman"/>
          <w:sz w:val="24"/>
          <w:szCs w:val="24"/>
        </w:rPr>
        <w:t>, the PA Supreme Court ruled (4 to 3), the lawsuit was reinstated against the hospital. “We hold that an employer has a legal duty to exercise reasonable care to safeguard its employees’ sensitive personal information stored by the employer on an internet-</w:t>
      </w:r>
      <w:r w:rsidRPr="006114FF">
        <w:rPr>
          <w:rFonts w:ascii="Times New Roman" w:hAnsi="Times New Roman"/>
          <w:sz w:val="24"/>
          <w:szCs w:val="24"/>
        </w:rPr>
        <w:t xml:space="preserve">accessible computer system.” </w:t>
      </w:r>
      <w:hyperlink r:id="rId2459" w:history="1">
        <w:r w:rsidRPr="006114FF">
          <w:rPr>
            <w:rStyle w:val="Hyperlink"/>
            <w:rFonts w:ascii="Times New Roman" w:hAnsi="Times New Roman"/>
            <w:sz w:val="24"/>
            <w:szCs w:val="24"/>
          </w:rPr>
          <w:t>http://www.pacourts.us/assets/opinions/Supreme/out/Majority%20Opinion%20%20VacatedRemanded%20%2010378165044604409.pdf?cb=1</w:t>
        </w:r>
      </w:hyperlink>
      <w:r w:rsidRPr="006114FF">
        <w:rPr>
          <w:rFonts w:ascii="Times New Roman" w:hAnsi="Times New Roman"/>
          <w:sz w:val="24"/>
          <w:szCs w:val="24"/>
        </w:rPr>
        <w:t xml:space="preserve"> </w:t>
      </w:r>
    </w:p>
    <w:p w14:paraId="6851095D" w14:textId="77777777" w:rsidR="00F326E5" w:rsidRPr="006114FF" w:rsidRDefault="00F326E5" w:rsidP="00F326E5">
      <w:pPr>
        <w:pStyle w:val="Heading1"/>
        <w:rPr>
          <w:b w:val="0"/>
          <w:sz w:val="24"/>
          <w:szCs w:val="24"/>
        </w:rPr>
      </w:pPr>
      <w:r w:rsidRPr="006114FF">
        <w:rPr>
          <w:sz w:val="24"/>
          <w:szCs w:val="24"/>
        </w:rPr>
        <w:t xml:space="preserve">Legal Lessons Learned:  This is an important decision that will now proceed to trial or settlement. Hopefully this decision will prompt employers in PA, and other states, including Fire &amp; EMS agencies, to review their electronic data safeguards with IT experts.  </w:t>
      </w:r>
    </w:p>
    <w:p w14:paraId="07E1203C" w14:textId="77777777" w:rsidR="00F326E5" w:rsidRPr="006114FF" w:rsidRDefault="00F326E5" w:rsidP="00F326E5">
      <w:pPr>
        <w:pStyle w:val="NoSpacing"/>
        <w:ind w:left="720"/>
        <w:rPr>
          <w:rFonts w:ascii="Times New Roman" w:hAnsi="Times New Roman"/>
          <w:sz w:val="24"/>
          <w:szCs w:val="24"/>
        </w:rPr>
      </w:pPr>
      <w:r w:rsidRPr="006114FF">
        <w:rPr>
          <w:rFonts w:ascii="Times New Roman" w:hAnsi="Times New Roman"/>
          <w:sz w:val="24"/>
          <w:szCs w:val="24"/>
        </w:rPr>
        <w:t xml:space="preserve">Note:  Ohio has enacted the Ohio Data Protection Act, effective Nov. 2, 2018 (to be in Ohio Revised Code 1354.01-05), which provides companies with an affirmative defense to lawsuits involving release of personal information, if the company has a written cybersecurity program that conforms to the NIST Cybersecurity Framework. </w:t>
      </w:r>
      <w:hyperlink r:id="rId2460" w:history="1">
        <w:r w:rsidRPr="006114FF">
          <w:rPr>
            <w:rStyle w:val="Hyperlink"/>
            <w:rFonts w:ascii="Times New Roman" w:hAnsi="Times New Roman"/>
            <w:sz w:val="24"/>
            <w:szCs w:val="24"/>
          </w:rPr>
          <w:t>https://www.legislature.ohio.gov/legislation/legislation-summary?id=GA132-SB-220</w:t>
        </w:r>
      </w:hyperlink>
      <w:r w:rsidRPr="006114FF">
        <w:rPr>
          <w:rFonts w:ascii="Times New Roman" w:hAnsi="Times New Roman"/>
          <w:sz w:val="24"/>
          <w:szCs w:val="24"/>
        </w:rPr>
        <w:t xml:space="preserve">.  See Sept. 20, </w:t>
      </w:r>
      <w:proofErr w:type="gramStart"/>
      <w:r w:rsidRPr="006114FF">
        <w:rPr>
          <w:rFonts w:ascii="Times New Roman" w:hAnsi="Times New Roman"/>
          <w:sz w:val="24"/>
          <w:szCs w:val="24"/>
        </w:rPr>
        <w:t>2018</w:t>
      </w:r>
      <w:proofErr w:type="gramEnd"/>
      <w:r w:rsidRPr="006114FF">
        <w:rPr>
          <w:rFonts w:ascii="Times New Roman" w:hAnsi="Times New Roman"/>
          <w:sz w:val="24"/>
          <w:szCs w:val="24"/>
        </w:rPr>
        <w:t xml:space="preserve"> article, “New Ohio law incentivizes businesses that comply with cybersecurity programs,” </w:t>
      </w:r>
      <w:hyperlink r:id="rId2461" w:history="1">
        <w:r w:rsidRPr="006114FF">
          <w:rPr>
            <w:rStyle w:val="Hyperlink"/>
            <w:rFonts w:ascii="Times New Roman" w:hAnsi="Times New Roman"/>
            <w:sz w:val="24"/>
            <w:szCs w:val="24"/>
          </w:rPr>
          <w:t>https://www.bizjournals.com/columbus/news/2018/09/20/new-ohio-law-incentivizes-businesses-that-comply.html</w:t>
        </w:r>
      </w:hyperlink>
    </w:p>
    <w:bookmarkEnd w:id="529"/>
    <w:p w14:paraId="629E6367" w14:textId="77777777" w:rsidR="00F326E5" w:rsidRDefault="00F326E5" w:rsidP="00F326E5">
      <w:pPr>
        <w:pStyle w:val="NoSpacing"/>
        <w:rPr>
          <w:b/>
          <w:sz w:val="24"/>
          <w:szCs w:val="24"/>
        </w:rPr>
      </w:pPr>
    </w:p>
    <w:p w14:paraId="71585CCD" w14:textId="77777777" w:rsidR="00F326E5" w:rsidRDefault="00F326E5" w:rsidP="00F326E5">
      <w:pPr>
        <w:pStyle w:val="NoSpacing"/>
        <w:rPr>
          <w:b/>
          <w:sz w:val="24"/>
          <w:szCs w:val="24"/>
        </w:rPr>
      </w:pPr>
    </w:p>
    <w:p w14:paraId="2CFD1049" w14:textId="6992CEDF" w:rsidR="00DE0F03" w:rsidRDefault="00DE0F03" w:rsidP="00F326E5">
      <w:pPr>
        <w:pStyle w:val="NoSpacing"/>
        <w:rPr>
          <w:rFonts w:ascii="Arial Black" w:hAnsi="Arial Black"/>
          <w:b/>
          <w:sz w:val="28"/>
          <w:szCs w:val="28"/>
        </w:rPr>
      </w:pPr>
      <w:bookmarkStart w:id="530" w:name="_Hlk7346609"/>
      <w:r>
        <w:rPr>
          <w:rFonts w:ascii="Arial Black" w:hAnsi="Arial Black"/>
          <w:sz w:val="24"/>
          <w:szCs w:val="24"/>
        </w:rPr>
        <w:t>13-16</w:t>
      </w:r>
    </w:p>
    <w:p w14:paraId="11569771" w14:textId="77777777" w:rsidR="00DE0F03" w:rsidRDefault="00DE0F03" w:rsidP="00F326E5">
      <w:pPr>
        <w:pStyle w:val="NoSpacing"/>
        <w:rPr>
          <w:rFonts w:ascii="Arial Black" w:hAnsi="Arial Black"/>
          <w:b/>
          <w:sz w:val="28"/>
          <w:szCs w:val="28"/>
        </w:rPr>
      </w:pPr>
    </w:p>
    <w:p w14:paraId="65ED2460" w14:textId="0366945E" w:rsidR="00F326E5" w:rsidRPr="00877AA6" w:rsidRDefault="00F326E5" w:rsidP="00F326E5">
      <w:pPr>
        <w:pStyle w:val="NoSpacing"/>
        <w:rPr>
          <w:rFonts w:ascii="Arial Black" w:hAnsi="Arial Black"/>
          <w:b/>
          <w:sz w:val="28"/>
          <w:szCs w:val="28"/>
        </w:rPr>
      </w:pPr>
      <w:bookmarkStart w:id="531" w:name="_Hlk41154132"/>
      <w:r w:rsidRPr="00877AA6">
        <w:rPr>
          <w:rFonts w:ascii="Arial Black" w:hAnsi="Arial Black"/>
          <w:b/>
          <w:sz w:val="28"/>
          <w:szCs w:val="28"/>
        </w:rPr>
        <w:t xml:space="preserve">OH: </w:t>
      </w:r>
      <w:r>
        <w:rPr>
          <w:rFonts w:ascii="Arial Black" w:hAnsi="Arial Black"/>
          <w:b/>
          <w:sz w:val="28"/>
          <w:szCs w:val="28"/>
        </w:rPr>
        <w:t>PUBLIC RECORDS</w:t>
      </w:r>
      <w:r w:rsidR="00DA4990">
        <w:rPr>
          <w:rFonts w:ascii="Arial Black" w:hAnsi="Arial Black"/>
          <w:b/>
          <w:sz w:val="28"/>
          <w:szCs w:val="28"/>
        </w:rPr>
        <w:t xml:space="preserve"> REQUEST – INCLUDING </w:t>
      </w:r>
      <w:r>
        <w:rPr>
          <w:rFonts w:ascii="Arial Black" w:hAnsi="Arial Black"/>
          <w:b/>
          <w:sz w:val="28"/>
          <w:szCs w:val="28"/>
        </w:rPr>
        <w:t>EMS INJUR</w:t>
      </w:r>
      <w:r w:rsidR="00DA4990">
        <w:rPr>
          <w:rFonts w:ascii="Arial Black" w:hAnsi="Arial Black"/>
          <w:b/>
          <w:sz w:val="28"/>
          <w:szCs w:val="28"/>
        </w:rPr>
        <w:t xml:space="preserve">ED ON JOB </w:t>
      </w:r>
      <w:r>
        <w:rPr>
          <w:rFonts w:ascii="Arial Black" w:hAnsi="Arial Black"/>
          <w:b/>
          <w:sz w:val="28"/>
          <w:szCs w:val="28"/>
        </w:rPr>
        <w:t>– CITY’S DELAY UNREASONABLE, PAY $8,812 ATTORNEY FEES</w:t>
      </w:r>
    </w:p>
    <w:p w14:paraId="24E677F8" w14:textId="77777777" w:rsidR="006114FF" w:rsidRDefault="00F326E5" w:rsidP="00F326E5">
      <w:pPr>
        <w:rPr>
          <w:rFonts w:ascii="Times New Roman" w:eastAsia="Times New Roman" w:hAnsi="Times New Roman"/>
          <w:sz w:val="24"/>
          <w:szCs w:val="24"/>
        </w:rPr>
      </w:pPr>
      <w:r w:rsidRPr="006114FF">
        <w:rPr>
          <w:rFonts w:ascii="Times New Roman" w:eastAsia="Times New Roman" w:hAnsi="Times New Roman"/>
          <w:sz w:val="24"/>
          <w:szCs w:val="24"/>
        </w:rPr>
        <w:t xml:space="preserve">On Nov. 14, 2018, in </w:t>
      </w:r>
      <w:r w:rsidRPr="006114FF">
        <w:rPr>
          <w:rFonts w:ascii="Times New Roman" w:eastAsia="Times New Roman" w:hAnsi="Times New Roman"/>
          <w:sz w:val="24"/>
          <w:szCs w:val="24"/>
          <w:u w:val="single"/>
        </w:rPr>
        <w:t xml:space="preserve">Cleveland Association </w:t>
      </w:r>
      <w:proofErr w:type="gramStart"/>
      <w:r w:rsidRPr="006114FF">
        <w:rPr>
          <w:rFonts w:ascii="Times New Roman" w:eastAsia="Times New Roman" w:hAnsi="Times New Roman"/>
          <w:sz w:val="24"/>
          <w:szCs w:val="24"/>
          <w:u w:val="single"/>
        </w:rPr>
        <w:t>Of</w:t>
      </w:r>
      <w:proofErr w:type="gramEnd"/>
      <w:r w:rsidRPr="006114FF">
        <w:rPr>
          <w:rFonts w:ascii="Times New Roman" w:eastAsia="Times New Roman" w:hAnsi="Times New Roman"/>
          <w:sz w:val="24"/>
          <w:szCs w:val="24"/>
          <w:u w:val="single"/>
        </w:rPr>
        <w:t xml:space="preserve"> Rescue Employees – Local 1975 v. City of Cleveland</w:t>
      </w:r>
      <w:r w:rsidRPr="006114FF">
        <w:rPr>
          <w:rFonts w:ascii="Times New Roman" w:eastAsia="Times New Roman" w:hAnsi="Times New Roman"/>
          <w:sz w:val="24"/>
          <w:szCs w:val="24"/>
        </w:rPr>
        <w:t xml:space="preserve">, the Ohio Court of Appeals for Cuyahoga County, held (3 to 0) held that the City must reimburse CARE $8,812.50 in attorney fees.  </w:t>
      </w:r>
    </w:p>
    <w:p w14:paraId="76164A03" w14:textId="6ED60E10" w:rsidR="00F326E5" w:rsidRPr="006114FF" w:rsidRDefault="00F326E5" w:rsidP="006114FF">
      <w:pPr>
        <w:ind w:left="720"/>
        <w:rPr>
          <w:rStyle w:val="Hyperlink"/>
          <w:rFonts w:ascii="Times New Roman" w:hAnsi="Times New Roman"/>
          <w:sz w:val="24"/>
          <w:szCs w:val="24"/>
        </w:rPr>
      </w:pPr>
      <w:r w:rsidRPr="006114FF">
        <w:rPr>
          <w:rFonts w:ascii="Times New Roman" w:eastAsia="Times New Roman" w:hAnsi="Times New Roman"/>
          <w:sz w:val="24"/>
          <w:szCs w:val="24"/>
        </w:rPr>
        <w:t>“This court finds that the city’s failure to respond to the records request by releasing the requested records in this case was unreasonable. The city’s two-month delay in producing some of the records and more than five-month delay in producing all the requested records constitutes a failure to respond within a reasonable time.”</w:t>
      </w:r>
      <w:r w:rsidR="006114FF">
        <w:rPr>
          <w:rFonts w:ascii="Times New Roman" w:eastAsia="Times New Roman" w:hAnsi="Times New Roman"/>
          <w:sz w:val="24"/>
          <w:szCs w:val="24"/>
        </w:rPr>
        <w:t xml:space="preserve"> </w:t>
      </w:r>
      <w:hyperlink r:id="rId2462" w:history="1">
        <w:r w:rsidRPr="006114FF">
          <w:rPr>
            <w:rStyle w:val="Hyperlink"/>
            <w:rFonts w:ascii="Times New Roman" w:hAnsi="Times New Roman"/>
            <w:sz w:val="24"/>
            <w:szCs w:val="24"/>
          </w:rPr>
          <w:t>https://www.supremecourt.ohio.gov/rod/docs/pdf/8/2018/2018-Ohio-4602.pdf</w:t>
        </w:r>
      </w:hyperlink>
    </w:p>
    <w:p w14:paraId="5022440F"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Public records act statutes require prompt response; political subdivision should promptly produce readily available records, such Fire &amp; EMS job descriptions and certifications. </w:t>
      </w:r>
    </w:p>
    <w:bookmarkEnd w:id="530"/>
    <w:bookmarkEnd w:id="531"/>
    <w:p w14:paraId="2076A0C8" w14:textId="77777777" w:rsidR="00F326E5" w:rsidRPr="006114FF" w:rsidRDefault="00F326E5" w:rsidP="00F326E5">
      <w:pPr>
        <w:rPr>
          <w:rFonts w:ascii="Times New Roman" w:eastAsia="Times New Roman" w:hAnsi="Times New Roman"/>
          <w:sz w:val="24"/>
          <w:szCs w:val="24"/>
        </w:rPr>
      </w:pPr>
    </w:p>
    <w:p w14:paraId="3C1C841A" w14:textId="281F5A45" w:rsidR="00DE0F03" w:rsidRDefault="00DE0F03" w:rsidP="00DE0F03">
      <w:pPr>
        <w:pStyle w:val="NoSpacing"/>
        <w:rPr>
          <w:rFonts w:ascii="Arial Black" w:hAnsi="Arial Black"/>
          <w:sz w:val="24"/>
          <w:szCs w:val="24"/>
        </w:rPr>
      </w:pPr>
      <w:bookmarkStart w:id="532" w:name="_Hlk7346666"/>
      <w:r>
        <w:rPr>
          <w:rFonts w:ascii="Arial Black" w:hAnsi="Arial Black"/>
          <w:sz w:val="24"/>
          <w:szCs w:val="24"/>
        </w:rPr>
        <w:t>13-15</w:t>
      </w:r>
    </w:p>
    <w:p w14:paraId="649B7D23" w14:textId="77777777" w:rsidR="00DE0F03" w:rsidRDefault="00DE0F03" w:rsidP="00F326E5">
      <w:pPr>
        <w:pStyle w:val="NoSpacing"/>
        <w:rPr>
          <w:rFonts w:ascii="Arial Black" w:hAnsi="Arial Black"/>
          <w:sz w:val="28"/>
          <w:szCs w:val="28"/>
        </w:rPr>
      </w:pPr>
    </w:p>
    <w:p w14:paraId="0202D953" w14:textId="56B4793A" w:rsidR="00F326E5" w:rsidRDefault="00F326E5" w:rsidP="00F326E5">
      <w:pPr>
        <w:pStyle w:val="NoSpacing"/>
        <w:rPr>
          <w:rFonts w:ascii="Arial Black" w:hAnsi="Arial Black"/>
          <w:sz w:val="28"/>
          <w:szCs w:val="28"/>
        </w:rPr>
      </w:pPr>
      <w:bookmarkStart w:id="533" w:name="_Hlk41154233"/>
      <w:r>
        <w:rPr>
          <w:rFonts w:ascii="Arial Black" w:hAnsi="Arial Black"/>
          <w:sz w:val="28"/>
          <w:szCs w:val="28"/>
        </w:rPr>
        <w:t xml:space="preserve">KY:  STERNUM RUB ON PATIENT WHO HAD BECOME UNRESPONSIVE – CAN’T SUE </w:t>
      </w:r>
      <w:r w:rsidR="00DA4990">
        <w:rPr>
          <w:rFonts w:ascii="Arial Black" w:hAnsi="Arial Black"/>
          <w:sz w:val="28"/>
          <w:szCs w:val="28"/>
        </w:rPr>
        <w:t xml:space="preserve">EMS </w:t>
      </w:r>
      <w:r>
        <w:rPr>
          <w:rFonts w:ascii="Arial Black" w:hAnsi="Arial Black"/>
          <w:sz w:val="28"/>
          <w:szCs w:val="28"/>
        </w:rPr>
        <w:t>FOR ASSAULT</w:t>
      </w:r>
    </w:p>
    <w:p w14:paraId="6162907F" w14:textId="77777777" w:rsid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Oct. 9, 2018, in </w:t>
      </w:r>
      <w:r w:rsidRPr="006114FF">
        <w:rPr>
          <w:rFonts w:ascii="Times New Roman" w:hAnsi="Times New Roman"/>
          <w:sz w:val="24"/>
          <w:szCs w:val="24"/>
          <w:u w:val="single"/>
        </w:rPr>
        <w:t>Troy K. Scheffler v. Alex Lee, et al.</w:t>
      </w:r>
      <w:r w:rsidRPr="006114FF">
        <w:rPr>
          <w:rFonts w:ascii="Times New Roman" w:hAnsi="Times New Roman"/>
          <w:sz w:val="24"/>
          <w:szCs w:val="24"/>
        </w:rPr>
        <w:t xml:space="preserve">, the U.S. Court of Appeals </w:t>
      </w:r>
      <w:proofErr w:type="spellStart"/>
      <w:r w:rsidRPr="006114FF">
        <w:rPr>
          <w:rFonts w:ascii="Times New Roman" w:hAnsi="Times New Roman"/>
          <w:sz w:val="24"/>
          <w:szCs w:val="24"/>
        </w:rPr>
        <w:t>flor</w:t>
      </w:r>
      <w:proofErr w:type="spellEnd"/>
      <w:r w:rsidRPr="006114FF">
        <w:rPr>
          <w:rFonts w:ascii="Times New Roman" w:hAnsi="Times New Roman"/>
          <w:sz w:val="24"/>
          <w:szCs w:val="24"/>
        </w:rPr>
        <w:t xml:space="preserve"> 6</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(Cincinnati, OH) held (3 to 0) that the U.S. District Court had properly granted summary judgment and dismissed the lawsuit against EMT Michael Carroll.  </w:t>
      </w:r>
    </w:p>
    <w:p w14:paraId="5F584D87" w14:textId="77777777" w:rsidR="006114FF" w:rsidRDefault="006114FF" w:rsidP="006114FF">
      <w:pPr>
        <w:pStyle w:val="NoSpacing"/>
        <w:rPr>
          <w:rFonts w:ascii="Times New Roman" w:hAnsi="Times New Roman"/>
          <w:sz w:val="24"/>
          <w:szCs w:val="24"/>
        </w:rPr>
      </w:pPr>
    </w:p>
    <w:p w14:paraId="4257EF43" w14:textId="1D4E4922" w:rsidR="00F326E5" w:rsidRPr="006114FF" w:rsidRDefault="00F326E5" w:rsidP="006114FF">
      <w:pPr>
        <w:pStyle w:val="NoSpacing"/>
        <w:ind w:left="720"/>
        <w:rPr>
          <w:rFonts w:ascii="Times New Roman" w:eastAsia="Times New Roman" w:hAnsi="Times New Roman"/>
          <w:sz w:val="24"/>
          <w:szCs w:val="24"/>
        </w:rPr>
      </w:pPr>
      <w:r w:rsidRPr="006114FF">
        <w:rPr>
          <w:rFonts w:ascii="Times New Roman" w:hAnsi="Times New Roman"/>
          <w:sz w:val="24"/>
          <w:szCs w:val="24"/>
        </w:rPr>
        <w:t>“</w:t>
      </w:r>
      <w:r w:rsidRPr="006114FF">
        <w:rPr>
          <w:rFonts w:ascii="Times New Roman" w:eastAsia="Times New Roman" w:hAnsi="Times New Roman"/>
          <w:sz w:val="24"/>
          <w:szCs w:val="24"/>
        </w:rPr>
        <w:t xml:space="preserve">Scheffler consented to medical care by asking to be taken to the hospital and by willingly entering the ambulance with the EMTs, and there is no indication that Scheffler withdrew or limited that consent. Carroll performed the sternum rub as part of that care.” </w:t>
      </w:r>
      <w:hyperlink r:id="rId2463" w:history="1">
        <w:r w:rsidRPr="006114FF">
          <w:rPr>
            <w:rStyle w:val="Hyperlink"/>
            <w:rFonts w:ascii="Times New Roman" w:hAnsi="Times New Roman"/>
            <w:sz w:val="24"/>
            <w:szCs w:val="24"/>
          </w:rPr>
          <w:t>http://www.opn.ca6.uscourts.gov/opinions.pdf/18a0499n-06.pdf</w:t>
        </w:r>
      </w:hyperlink>
      <w:r w:rsidRPr="006114FF">
        <w:rPr>
          <w:rFonts w:ascii="Times New Roman" w:eastAsia="Times New Roman" w:hAnsi="Times New Roman"/>
          <w:sz w:val="24"/>
          <w:szCs w:val="24"/>
        </w:rPr>
        <w:t xml:space="preserve"> </w:t>
      </w:r>
    </w:p>
    <w:p w14:paraId="0D0CB075" w14:textId="77777777" w:rsidR="006114FF" w:rsidRDefault="006114FF" w:rsidP="006114FF">
      <w:pPr>
        <w:pStyle w:val="NoSpacing"/>
        <w:rPr>
          <w:rFonts w:ascii="Times New Roman" w:hAnsi="Times New Roman"/>
          <w:b/>
          <w:sz w:val="24"/>
          <w:szCs w:val="24"/>
        </w:rPr>
      </w:pPr>
    </w:p>
    <w:p w14:paraId="4282BA54" w14:textId="242726EA"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 xml:space="preserve">Legal Lessons Learned:  Thoroughly document reasons for a sternum rub, or other medical procedures.  </w:t>
      </w:r>
    </w:p>
    <w:bookmarkEnd w:id="533"/>
    <w:p w14:paraId="2C3302F5" w14:textId="77777777" w:rsidR="00F326E5" w:rsidRPr="006114FF" w:rsidRDefault="00F326E5" w:rsidP="006114FF">
      <w:pPr>
        <w:pStyle w:val="NoSpacing"/>
        <w:rPr>
          <w:rFonts w:ascii="Times New Roman" w:eastAsia="Times New Roman" w:hAnsi="Times New Roman"/>
          <w:b/>
          <w:sz w:val="24"/>
          <w:szCs w:val="24"/>
        </w:rPr>
      </w:pPr>
    </w:p>
    <w:bookmarkEnd w:id="532"/>
    <w:p w14:paraId="3C052DB2" w14:textId="77777777" w:rsidR="00F326E5" w:rsidRDefault="00F326E5" w:rsidP="00F326E5">
      <w:pPr>
        <w:pStyle w:val="NoSpacing"/>
        <w:rPr>
          <w:rFonts w:ascii="Arial Black" w:hAnsi="Arial Black"/>
          <w:b/>
          <w:sz w:val="24"/>
          <w:szCs w:val="24"/>
        </w:rPr>
      </w:pPr>
    </w:p>
    <w:p w14:paraId="0CC0E30B" w14:textId="5ED2C3F5" w:rsidR="00DE0F03" w:rsidRDefault="00DE0F03" w:rsidP="00DE0F03">
      <w:pPr>
        <w:pStyle w:val="NoSpacing"/>
        <w:rPr>
          <w:rFonts w:ascii="Arial Black" w:hAnsi="Arial Black"/>
          <w:sz w:val="24"/>
          <w:szCs w:val="24"/>
        </w:rPr>
      </w:pPr>
      <w:r>
        <w:rPr>
          <w:rFonts w:ascii="Arial Black" w:hAnsi="Arial Black"/>
          <w:sz w:val="24"/>
          <w:szCs w:val="24"/>
        </w:rPr>
        <w:t>13-14</w:t>
      </w:r>
    </w:p>
    <w:p w14:paraId="2DB6E473" w14:textId="77777777" w:rsidR="00F326E5" w:rsidRDefault="00F326E5" w:rsidP="00F326E5">
      <w:pPr>
        <w:pStyle w:val="NoSpacing"/>
        <w:rPr>
          <w:b/>
          <w:sz w:val="24"/>
          <w:szCs w:val="24"/>
        </w:rPr>
      </w:pPr>
    </w:p>
    <w:p w14:paraId="71D292F1" w14:textId="538A478D" w:rsidR="00F326E5" w:rsidRPr="00877AA6" w:rsidRDefault="00F326E5" w:rsidP="00F326E5">
      <w:pPr>
        <w:rPr>
          <w:rFonts w:ascii="Times New Roman" w:hAnsi="Times New Roman"/>
          <w:sz w:val="24"/>
          <w:szCs w:val="24"/>
        </w:rPr>
      </w:pPr>
      <w:bookmarkStart w:id="534" w:name="_Hlk7346706"/>
      <w:r w:rsidRPr="00877AA6">
        <w:rPr>
          <w:rFonts w:ascii="Arial Black" w:hAnsi="Arial Black"/>
          <w:sz w:val="28"/>
          <w:szCs w:val="28"/>
        </w:rPr>
        <w:t xml:space="preserve">NY: FF </w:t>
      </w:r>
      <w:r>
        <w:rPr>
          <w:rFonts w:ascii="Arial Black" w:hAnsi="Arial Black"/>
          <w:sz w:val="28"/>
          <w:szCs w:val="28"/>
        </w:rPr>
        <w:t xml:space="preserve">FELL WHEN AMBUL. BACK STEP NOT LOWERED – ACCIDENTAL DISAB. CLAIM UPHELD </w:t>
      </w:r>
      <w:r w:rsidRPr="00877AA6">
        <w:rPr>
          <w:rFonts w:ascii="Times New Roman" w:hAnsi="Times New Roman"/>
          <w:sz w:val="24"/>
          <w:szCs w:val="24"/>
        </w:rPr>
        <w:t xml:space="preserve">[also filed, Chap. 6] </w:t>
      </w:r>
    </w:p>
    <w:p w14:paraId="365C0E81" w14:textId="77777777" w:rsidR="00F326E5" w:rsidRPr="006114FF" w:rsidRDefault="00F326E5" w:rsidP="00F326E5">
      <w:pPr>
        <w:rPr>
          <w:rFonts w:ascii="Times New Roman" w:hAnsi="Times New Roman"/>
          <w:b/>
          <w:sz w:val="24"/>
          <w:szCs w:val="24"/>
        </w:rPr>
      </w:pPr>
      <w:r w:rsidRPr="006114FF">
        <w:rPr>
          <w:rFonts w:ascii="Times New Roman" w:eastAsia="Times New Roman" w:hAnsi="Times New Roman"/>
          <w:sz w:val="24"/>
          <w:szCs w:val="24"/>
        </w:rPr>
        <w:t xml:space="preserve">On Sept. 6, 2018, </w:t>
      </w:r>
      <w:r w:rsidRPr="006114FF">
        <w:rPr>
          <w:rFonts w:ascii="Times New Roman" w:eastAsia="Times New Roman" w:hAnsi="Times New Roman"/>
          <w:sz w:val="24"/>
          <w:szCs w:val="24"/>
          <w:u w:val="single"/>
        </w:rPr>
        <w:t>In The Matter Of Gregg A. Loia v. Thomas P. Di Napoli, State Comptroller</w:t>
      </w:r>
      <w:r w:rsidRPr="006114FF">
        <w:rPr>
          <w:rFonts w:ascii="Times New Roman" w:eastAsia="Times New Roman" w:hAnsi="Times New Roman"/>
          <w:sz w:val="24"/>
          <w:szCs w:val="24"/>
        </w:rPr>
        <w:t xml:space="preserve">,  the NY Supreme Court, Appellate Division (Third Judicial Department) held (3 to 0) the injured firefighter is entitled to accidental retirement benefits since the back step of the ambulance had not been lowered by EMS personnel, and he suffered an “accident” on the “malfunctioning piece of equipment that was designed, under normal circumstances, to promote safety.” </w:t>
      </w:r>
      <w:hyperlink r:id="rId2464" w:history="1">
        <w:r w:rsidRPr="006114FF">
          <w:rPr>
            <w:rStyle w:val="Hyperlink"/>
            <w:rFonts w:ascii="Times New Roman" w:hAnsi="Times New Roman"/>
            <w:sz w:val="24"/>
            <w:szCs w:val="24"/>
          </w:rPr>
          <w:t>http://decisions.courts.state.ny.us/ad3/Decisions/2018/526165.pdf</w:t>
        </w:r>
      </w:hyperlink>
      <w:r w:rsidRPr="006114FF">
        <w:rPr>
          <w:rFonts w:ascii="Times New Roman" w:eastAsia="Times New Roman" w:hAnsi="Times New Roman"/>
          <w:sz w:val="24"/>
          <w:szCs w:val="24"/>
        </w:rPr>
        <w:t xml:space="preserve"> </w:t>
      </w:r>
    </w:p>
    <w:p w14:paraId="04A53486"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Fire &amp; EMS personnel should document any on the job injury (including, in this case, photos of the ambulance step) and obtain statements from others on the scene.  It is unfortunate that a dispute over disability retirement benefits has been in litigation since 2012.  </w:t>
      </w:r>
    </w:p>
    <w:bookmarkEnd w:id="534"/>
    <w:p w14:paraId="50DC9AFF" w14:textId="77777777" w:rsidR="00F326E5" w:rsidRDefault="00F326E5" w:rsidP="00F326E5">
      <w:pPr>
        <w:rPr>
          <w:rFonts w:eastAsia="Times New Roman"/>
          <w:b/>
          <w:sz w:val="24"/>
          <w:szCs w:val="24"/>
        </w:rPr>
      </w:pPr>
    </w:p>
    <w:p w14:paraId="50C60981" w14:textId="64903EAA" w:rsidR="00DE0F03" w:rsidRDefault="00DE0F03" w:rsidP="00DE0F03">
      <w:pPr>
        <w:pStyle w:val="NoSpacing"/>
        <w:rPr>
          <w:rFonts w:ascii="Arial Black" w:hAnsi="Arial Black"/>
          <w:sz w:val="24"/>
          <w:szCs w:val="24"/>
        </w:rPr>
      </w:pPr>
      <w:r>
        <w:rPr>
          <w:rFonts w:ascii="Arial Black" w:hAnsi="Arial Black"/>
          <w:sz w:val="24"/>
          <w:szCs w:val="24"/>
        </w:rPr>
        <w:t>13-13</w:t>
      </w:r>
    </w:p>
    <w:p w14:paraId="62EEFCB4" w14:textId="77777777" w:rsidR="00DA4990" w:rsidRDefault="00DA4990" w:rsidP="00F326E5">
      <w:pPr>
        <w:rPr>
          <w:sz w:val="24"/>
          <w:szCs w:val="24"/>
        </w:rPr>
      </w:pPr>
    </w:p>
    <w:p w14:paraId="3A3309D2" w14:textId="7AE7C010" w:rsidR="00F326E5" w:rsidRPr="00877AA6" w:rsidRDefault="00F326E5" w:rsidP="00F326E5">
      <w:pPr>
        <w:rPr>
          <w:rFonts w:ascii="Arial Black" w:hAnsi="Arial Black"/>
          <w:sz w:val="28"/>
          <w:szCs w:val="28"/>
        </w:rPr>
      </w:pPr>
      <w:bookmarkStart w:id="535" w:name="_Hlk7346756"/>
      <w:bookmarkStart w:id="536" w:name="_Hlk41154421"/>
      <w:r w:rsidRPr="00877AA6">
        <w:rPr>
          <w:rFonts w:ascii="Arial Black" w:hAnsi="Arial Black"/>
          <w:sz w:val="28"/>
          <w:szCs w:val="28"/>
        </w:rPr>
        <w:t>NJ: P</w:t>
      </w:r>
      <w:r>
        <w:rPr>
          <w:rFonts w:ascii="Arial Black" w:hAnsi="Arial Black"/>
          <w:sz w:val="28"/>
          <w:szCs w:val="28"/>
        </w:rPr>
        <w:t xml:space="preserve">ARAMEDIC STUDENT </w:t>
      </w:r>
      <w:r w:rsidR="00DA4990">
        <w:rPr>
          <w:rFonts w:ascii="Arial Black" w:hAnsi="Arial Black"/>
          <w:sz w:val="28"/>
          <w:szCs w:val="28"/>
        </w:rPr>
        <w:t xml:space="preserve">WAS </w:t>
      </w:r>
      <w:r>
        <w:rPr>
          <w:rFonts w:ascii="Arial Black" w:hAnsi="Arial Black"/>
          <w:sz w:val="28"/>
          <w:szCs w:val="28"/>
        </w:rPr>
        <w:t>GIVEN 6-MONTH EXTENSION TO COMPLETE CLINICALS – NO FURTHER</w:t>
      </w:r>
      <w:r w:rsidR="00DA4990">
        <w:rPr>
          <w:rFonts w:ascii="Arial Black" w:hAnsi="Arial Black"/>
          <w:sz w:val="28"/>
          <w:szCs w:val="28"/>
        </w:rPr>
        <w:t xml:space="preserve"> EXTENSIONS</w:t>
      </w:r>
    </w:p>
    <w:p w14:paraId="530C8751"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On Sept. 4, 2018, in</w:t>
      </w:r>
      <w:r w:rsidRPr="006114FF">
        <w:rPr>
          <w:rFonts w:ascii="Times New Roman" w:hAnsi="Times New Roman"/>
          <w:sz w:val="24"/>
          <w:szCs w:val="24"/>
          <w:u w:val="single"/>
        </w:rPr>
        <w:t xml:space="preserve"> The Matter </w:t>
      </w:r>
      <w:proofErr w:type="gramStart"/>
      <w:r w:rsidRPr="006114FF">
        <w:rPr>
          <w:rFonts w:ascii="Times New Roman" w:hAnsi="Times New Roman"/>
          <w:sz w:val="24"/>
          <w:szCs w:val="24"/>
          <w:u w:val="single"/>
        </w:rPr>
        <w:t>Of</w:t>
      </w:r>
      <w:proofErr w:type="gramEnd"/>
      <w:r w:rsidRPr="006114FF">
        <w:rPr>
          <w:rFonts w:ascii="Times New Roman" w:hAnsi="Times New Roman"/>
          <w:sz w:val="24"/>
          <w:szCs w:val="24"/>
          <w:u w:val="single"/>
        </w:rPr>
        <w:t xml:space="preserve"> Denial </w:t>
      </w:r>
      <w:proofErr w:type="gramStart"/>
      <w:r w:rsidRPr="006114FF">
        <w:rPr>
          <w:rFonts w:ascii="Times New Roman" w:hAnsi="Times New Roman"/>
          <w:sz w:val="24"/>
          <w:szCs w:val="24"/>
          <w:u w:val="single"/>
        </w:rPr>
        <w:t>Of</w:t>
      </w:r>
      <w:proofErr w:type="gramEnd"/>
      <w:r w:rsidRPr="006114FF">
        <w:rPr>
          <w:rFonts w:ascii="Times New Roman" w:hAnsi="Times New Roman"/>
          <w:sz w:val="24"/>
          <w:szCs w:val="24"/>
          <w:u w:val="single"/>
        </w:rPr>
        <w:t xml:space="preserve"> Waiver </w:t>
      </w:r>
      <w:proofErr w:type="gramStart"/>
      <w:r w:rsidRPr="006114FF">
        <w:rPr>
          <w:rFonts w:ascii="Times New Roman" w:hAnsi="Times New Roman"/>
          <w:sz w:val="24"/>
          <w:szCs w:val="24"/>
          <w:u w:val="single"/>
        </w:rPr>
        <w:t>For</w:t>
      </w:r>
      <w:proofErr w:type="gramEnd"/>
      <w:r w:rsidRPr="006114FF">
        <w:rPr>
          <w:rFonts w:ascii="Times New Roman" w:hAnsi="Times New Roman"/>
          <w:sz w:val="24"/>
          <w:szCs w:val="24"/>
          <w:u w:val="single"/>
        </w:rPr>
        <w:t xml:space="preserve"> Alberto Sanchez</w:t>
      </w:r>
      <w:r w:rsidRPr="006114FF">
        <w:rPr>
          <w:rFonts w:ascii="Times New Roman" w:hAnsi="Times New Roman"/>
          <w:sz w:val="24"/>
          <w:szCs w:val="24"/>
        </w:rPr>
        <w:t xml:space="preserve">, the Superior Court of New Jersey, Appellate Division, held (2 to 0 in unpublished opinion) that State EMS Board properly refused to grant an extension of total training time. “Despite obtaining an extension [of six months to complete clinicals], Sanchez failed to timely complete his clinical training by not participating in at least five cardiac arrest resuscitations and not successfully performing at least five defibrillations and synchronized cardioversions. N.J.A.C. 8:41A-2.6(a)(9) and (10). He only participated in three cardiac </w:t>
      </w:r>
      <w:proofErr w:type="gramStart"/>
      <w:r w:rsidRPr="006114FF">
        <w:rPr>
          <w:rFonts w:ascii="Times New Roman" w:hAnsi="Times New Roman"/>
          <w:sz w:val="24"/>
          <w:szCs w:val="24"/>
        </w:rPr>
        <w:t>arrests, and</w:t>
      </w:r>
      <w:proofErr w:type="gramEnd"/>
      <w:r w:rsidRPr="006114FF">
        <w:rPr>
          <w:rFonts w:ascii="Times New Roman" w:hAnsi="Times New Roman"/>
          <w:sz w:val="24"/>
          <w:szCs w:val="24"/>
        </w:rPr>
        <w:t xml:space="preserve"> failed to complete any defibrillations or cardioversions. *** The OEMS denied the waiver [of 36-month total training time] request on March 6, 2017, because under N.J.A.C. 8:41A -2.4, his training could not be extended beyond February 6, 2017– thirty-six months of his starting date – and there were public health concerns if he was allowed more time.”</w:t>
      </w:r>
    </w:p>
    <w:p w14:paraId="22B019F3" w14:textId="77777777" w:rsidR="00F326E5" w:rsidRPr="006114FF" w:rsidRDefault="00F326E5" w:rsidP="006114FF">
      <w:pPr>
        <w:pStyle w:val="NoSpacing"/>
        <w:rPr>
          <w:rStyle w:val="Hyperlink"/>
          <w:rFonts w:ascii="Times New Roman" w:hAnsi="Times New Roman"/>
          <w:b/>
          <w:sz w:val="24"/>
          <w:szCs w:val="24"/>
        </w:rPr>
      </w:pPr>
      <w:hyperlink r:id="rId2465" w:history="1">
        <w:r w:rsidRPr="006114FF">
          <w:rPr>
            <w:rStyle w:val="Hyperlink"/>
            <w:rFonts w:ascii="Times New Roman" w:hAnsi="Times New Roman"/>
            <w:sz w:val="24"/>
            <w:szCs w:val="24"/>
          </w:rPr>
          <w:t>https://www.njcourts.gov/attorneys/assets/opinions/appellate/unpublished/a4258-16.pdf?cacheID=HAxjRbJ</w:t>
        </w:r>
      </w:hyperlink>
    </w:p>
    <w:p w14:paraId="60B2DA04" w14:textId="77777777" w:rsidR="006114FF" w:rsidRDefault="006114FF" w:rsidP="006114FF">
      <w:pPr>
        <w:pStyle w:val="NoSpacing"/>
        <w:rPr>
          <w:rFonts w:ascii="Times New Roman" w:hAnsi="Times New Roman"/>
          <w:b/>
          <w:sz w:val="24"/>
          <w:szCs w:val="24"/>
        </w:rPr>
      </w:pPr>
    </w:p>
    <w:p w14:paraId="58E04BDA" w14:textId="2AA03F8D"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Legal Lesson Learned:  Courts are generally very reluctant to overturn decisions of State agencies, such as EMS Boards, regarding the protection of health of the public.</w:t>
      </w:r>
    </w:p>
    <w:p w14:paraId="2FCADC76" w14:textId="77777777" w:rsidR="00F326E5" w:rsidRPr="006114FF" w:rsidRDefault="00F326E5" w:rsidP="006114FF">
      <w:pPr>
        <w:pStyle w:val="NoSpacing"/>
        <w:rPr>
          <w:rFonts w:ascii="Times New Roman" w:hAnsi="Times New Roman"/>
          <w:b/>
          <w:sz w:val="24"/>
          <w:szCs w:val="24"/>
        </w:rPr>
      </w:pPr>
    </w:p>
    <w:bookmarkEnd w:id="535"/>
    <w:p w14:paraId="147874C9" w14:textId="77777777" w:rsidR="00F326E5" w:rsidRPr="006114FF" w:rsidRDefault="00F326E5" w:rsidP="006114FF">
      <w:pPr>
        <w:pStyle w:val="NoSpacing"/>
        <w:rPr>
          <w:rFonts w:ascii="Times New Roman" w:hAnsi="Times New Roman"/>
          <w:b/>
          <w:sz w:val="24"/>
          <w:szCs w:val="24"/>
        </w:rPr>
      </w:pPr>
    </w:p>
    <w:bookmarkEnd w:id="536"/>
    <w:p w14:paraId="6C24F54B" w14:textId="77777777" w:rsidR="00F326E5" w:rsidRDefault="00F326E5" w:rsidP="00F326E5">
      <w:pPr>
        <w:pStyle w:val="NoSpacing"/>
        <w:rPr>
          <w:rFonts w:eastAsia="Times New Roman"/>
          <w:b/>
          <w:sz w:val="24"/>
          <w:szCs w:val="24"/>
        </w:rPr>
      </w:pPr>
    </w:p>
    <w:p w14:paraId="6555DF9F" w14:textId="77777777" w:rsidR="0036327D" w:rsidRDefault="0036327D" w:rsidP="00DE0F03">
      <w:pPr>
        <w:pStyle w:val="NoSpacing"/>
        <w:rPr>
          <w:rFonts w:ascii="Arial Black" w:hAnsi="Arial Black"/>
          <w:sz w:val="24"/>
          <w:szCs w:val="24"/>
        </w:rPr>
      </w:pPr>
    </w:p>
    <w:p w14:paraId="40509453" w14:textId="77777777" w:rsidR="0036327D" w:rsidRDefault="0036327D" w:rsidP="00DE0F03">
      <w:pPr>
        <w:pStyle w:val="NoSpacing"/>
        <w:rPr>
          <w:rFonts w:ascii="Arial Black" w:hAnsi="Arial Black"/>
          <w:sz w:val="24"/>
          <w:szCs w:val="24"/>
        </w:rPr>
      </w:pPr>
    </w:p>
    <w:p w14:paraId="1C4220A3" w14:textId="77777777" w:rsidR="0036327D" w:rsidRDefault="0036327D" w:rsidP="00DE0F03">
      <w:pPr>
        <w:pStyle w:val="NoSpacing"/>
        <w:rPr>
          <w:rFonts w:ascii="Arial Black" w:hAnsi="Arial Black"/>
          <w:sz w:val="24"/>
          <w:szCs w:val="24"/>
        </w:rPr>
      </w:pPr>
    </w:p>
    <w:p w14:paraId="482BD327" w14:textId="6E570AB1" w:rsidR="00DE0F03" w:rsidRDefault="00DE0F03" w:rsidP="00DE0F03">
      <w:pPr>
        <w:pStyle w:val="NoSpacing"/>
        <w:rPr>
          <w:rFonts w:ascii="Arial Black" w:hAnsi="Arial Black"/>
          <w:sz w:val="24"/>
          <w:szCs w:val="24"/>
        </w:rPr>
      </w:pPr>
      <w:r>
        <w:rPr>
          <w:rFonts w:ascii="Arial Black" w:hAnsi="Arial Black"/>
          <w:sz w:val="24"/>
          <w:szCs w:val="24"/>
        </w:rPr>
        <w:t>13-12</w:t>
      </w:r>
    </w:p>
    <w:p w14:paraId="60E339E0" w14:textId="77777777" w:rsidR="00F326E5" w:rsidRDefault="00F326E5" w:rsidP="00F326E5">
      <w:pPr>
        <w:rPr>
          <w:sz w:val="24"/>
          <w:szCs w:val="24"/>
        </w:rPr>
      </w:pPr>
    </w:p>
    <w:p w14:paraId="08303B7E" w14:textId="27C02FD5" w:rsidR="00F326E5" w:rsidRPr="00877AA6" w:rsidRDefault="00F326E5" w:rsidP="00F326E5">
      <w:pPr>
        <w:rPr>
          <w:rFonts w:ascii="Arial Black" w:hAnsi="Arial Black"/>
          <w:sz w:val="28"/>
          <w:szCs w:val="28"/>
        </w:rPr>
      </w:pPr>
      <w:bookmarkStart w:id="537" w:name="_Hlk41154467"/>
      <w:bookmarkStart w:id="538" w:name="_Hlk7346790"/>
      <w:r w:rsidRPr="00877AA6">
        <w:rPr>
          <w:rFonts w:ascii="Arial Black" w:hAnsi="Arial Black"/>
          <w:sz w:val="28"/>
          <w:szCs w:val="28"/>
        </w:rPr>
        <w:t xml:space="preserve">OK: </w:t>
      </w:r>
      <w:r>
        <w:rPr>
          <w:rFonts w:ascii="Arial Black" w:hAnsi="Arial Black"/>
          <w:sz w:val="28"/>
          <w:szCs w:val="28"/>
        </w:rPr>
        <w:t>VERY EXPENSIVE TRANSPORT BY HELICOPTER – PATIENTS CAN’T SUE, FED. STATUTE</w:t>
      </w:r>
    </w:p>
    <w:p w14:paraId="795D8B48" w14:textId="77777777" w:rsidR="006114FF" w:rsidRDefault="00F326E5" w:rsidP="00F326E5">
      <w:pPr>
        <w:rPr>
          <w:rFonts w:ascii="Times New Roman" w:hAnsi="Times New Roman"/>
          <w:sz w:val="24"/>
          <w:szCs w:val="24"/>
        </w:rPr>
      </w:pPr>
      <w:r w:rsidRPr="006114FF">
        <w:rPr>
          <w:rFonts w:ascii="Times New Roman" w:hAnsi="Times New Roman"/>
          <w:sz w:val="24"/>
          <w:szCs w:val="24"/>
        </w:rPr>
        <w:t xml:space="preserve">On Aug. 31, 2018, in </w:t>
      </w:r>
      <w:r w:rsidRPr="006114FF">
        <w:rPr>
          <w:rFonts w:ascii="Times New Roman" w:hAnsi="Times New Roman"/>
          <w:sz w:val="24"/>
          <w:szCs w:val="24"/>
          <w:u w:val="single"/>
        </w:rPr>
        <w:t xml:space="preserve">Susan Schenberger, Lacy Stidman and Johnny Trent v. Air Evac EMS, </w:t>
      </w:r>
      <w:proofErr w:type="spellStart"/>
      <w:r w:rsidRPr="006114FF">
        <w:rPr>
          <w:rFonts w:ascii="Times New Roman" w:hAnsi="Times New Roman"/>
          <w:sz w:val="24"/>
          <w:szCs w:val="24"/>
          <w:u w:val="single"/>
        </w:rPr>
        <w:t>Inc.and</w:t>
      </w:r>
      <w:proofErr w:type="spellEnd"/>
      <w:r w:rsidRPr="006114FF">
        <w:rPr>
          <w:rFonts w:ascii="Times New Roman" w:hAnsi="Times New Roman"/>
          <w:sz w:val="24"/>
          <w:szCs w:val="24"/>
          <w:u w:val="single"/>
        </w:rPr>
        <w:t xml:space="preserve"> Air Evac EMS, Inc.</w:t>
      </w:r>
      <w:r w:rsidRPr="006114FF">
        <w:rPr>
          <w:rFonts w:ascii="Times New Roman" w:hAnsi="Times New Roman"/>
          <w:sz w:val="24"/>
          <w:szCs w:val="24"/>
        </w:rPr>
        <w:t>, the U.S. Court of Appeals for the 10</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held (3 to 0) that the lawsuit was properly dismissed: </w:t>
      </w:r>
    </w:p>
    <w:p w14:paraId="3D670094" w14:textId="1C656843" w:rsidR="00F326E5" w:rsidRPr="006114FF" w:rsidRDefault="00F326E5" w:rsidP="006114FF">
      <w:pPr>
        <w:ind w:left="720"/>
        <w:rPr>
          <w:rFonts w:ascii="Times New Roman" w:hAnsi="Times New Roman"/>
          <w:sz w:val="24"/>
          <w:szCs w:val="24"/>
        </w:rPr>
      </w:pPr>
      <w:r w:rsidRPr="006114FF">
        <w:rPr>
          <w:rFonts w:ascii="Times New Roman" w:hAnsi="Times New Roman"/>
          <w:sz w:val="24"/>
          <w:szCs w:val="24"/>
        </w:rPr>
        <w:t xml:space="preserve">“Like the district court in this case, we have previously recognized that [Airline Deregulation Act] preemption may sometimes produce harsh results for potential plaintiffs seeking redress for perceived unfair treatment by air-ambulance carriers. </w:t>
      </w:r>
      <w:r w:rsidRPr="006114FF">
        <w:rPr>
          <w:rFonts w:ascii="Times New Roman" w:hAnsi="Times New Roman"/>
          <w:i/>
          <w:iCs/>
          <w:sz w:val="24"/>
          <w:szCs w:val="24"/>
        </w:rPr>
        <w:t>See Cox,</w:t>
      </w:r>
      <w:r w:rsidRPr="006114FF">
        <w:rPr>
          <w:rFonts w:ascii="Times New Roman" w:hAnsi="Times New Roman"/>
          <w:sz w:val="24"/>
          <w:szCs w:val="24"/>
        </w:rPr>
        <w:t xml:space="preserve"> 868 F.3d at 906-07. Yet, we felt constrained to observe that ‘[s]</w:t>
      </w:r>
      <w:proofErr w:type="spellStart"/>
      <w:r w:rsidRPr="006114FF">
        <w:rPr>
          <w:rFonts w:ascii="Times New Roman" w:hAnsi="Times New Roman"/>
          <w:sz w:val="24"/>
          <w:szCs w:val="24"/>
        </w:rPr>
        <w:t>uch</w:t>
      </w:r>
      <w:proofErr w:type="spellEnd"/>
      <w:r w:rsidRPr="006114FF">
        <w:rPr>
          <w:rFonts w:ascii="Times New Roman" w:hAnsi="Times New Roman"/>
          <w:sz w:val="24"/>
          <w:szCs w:val="24"/>
        </w:rPr>
        <w:t xml:space="preserve"> policy considerations . . . are beyond the purview of [the courts]’ and ‘must be addressed to Congress.’ </w:t>
      </w:r>
      <w:r w:rsidRPr="006114FF">
        <w:rPr>
          <w:rFonts w:ascii="Times New Roman" w:hAnsi="Times New Roman"/>
          <w:i/>
          <w:iCs/>
          <w:sz w:val="24"/>
          <w:szCs w:val="24"/>
        </w:rPr>
        <w:t>Id.</w:t>
      </w:r>
      <w:r w:rsidRPr="006114FF">
        <w:rPr>
          <w:rFonts w:ascii="Times New Roman" w:hAnsi="Times New Roman"/>
          <w:sz w:val="24"/>
          <w:szCs w:val="24"/>
        </w:rPr>
        <w:t xml:space="preserve">; </w:t>
      </w:r>
      <w:r w:rsidRPr="006114FF">
        <w:rPr>
          <w:rFonts w:ascii="Times New Roman" w:hAnsi="Times New Roman"/>
          <w:i/>
          <w:iCs/>
          <w:sz w:val="24"/>
          <w:szCs w:val="24"/>
        </w:rPr>
        <w:t>see also Ferrell v. Air EVAC EMS, Inc.,</w:t>
      </w:r>
      <w:r w:rsidRPr="006114FF">
        <w:rPr>
          <w:rFonts w:ascii="Times New Roman" w:hAnsi="Times New Roman"/>
          <w:sz w:val="24"/>
          <w:szCs w:val="24"/>
        </w:rPr>
        <w:t xml:space="preserve"> ___ F.3d ___, No. 17-2554, 2018 WL 3886688, at *3 (8th Cir. Aug. 16, 2018) (‘We may not refuse to apply ADA preemption merely because we do not believe it would be sound public policy to enforce the statute Congress enacted.’).” </w:t>
      </w:r>
      <w:hyperlink r:id="rId2466" w:history="1">
        <w:r w:rsidRPr="006114FF">
          <w:rPr>
            <w:rStyle w:val="Hyperlink"/>
            <w:rFonts w:ascii="Times New Roman" w:hAnsi="Times New Roman"/>
            <w:sz w:val="24"/>
            <w:szCs w:val="24"/>
          </w:rPr>
          <w:t>https://www.leagle.com/decision/infco20180831084</w:t>
        </w:r>
      </w:hyperlink>
      <w:r w:rsidRPr="006114FF">
        <w:rPr>
          <w:rFonts w:ascii="Times New Roman" w:hAnsi="Times New Roman"/>
          <w:sz w:val="24"/>
          <w:szCs w:val="24"/>
        </w:rPr>
        <w:t xml:space="preserve"> </w:t>
      </w:r>
    </w:p>
    <w:p w14:paraId="338E0343" w14:textId="77777777"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Air ambulance rates, like many other medical charges, can indeed be very expensive, but the remedy is with Congress.    </w:t>
      </w:r>
    </w:p>
    <w:bookmarkEnd w:id="537"/>
    <w:p w14:paraId="6A1FDE7B" w14:textId="77777777" w:rsidR="00F326E5" w:rsidRDefault="00F326E5" w:rsidP="00F326E5">
      <w:pPr>
        <w:rPr>
          <w:b/>
          <w:sz w:val="24"/>
          <w:szCs w:val="24"/>
        </w:rPr>
      </w:pPr>
    </w:p>
    <w:p w14:paraId="626EAFDF" w14:textId="0E86104B" w:rsidR="00DE0F03" w:rsidRDefault="00DE0F03" w:rsidP="00DE0F03">
      <w:pPr>
        <w:pStyle w:val="NoSpacing"/>
        <w:rPr>
          <w:rFonts w:ascii="Arial Black" w:hAnsi="Arial Black"/>
          <w:sz w:val="24"/>
          <w:szCs w:val="24"/>
        </w:rPr>
      </w:pPr>
      <w:r>
        <w:rPr>
          <w:rFonts w:ascii="Arial Black" w:hAnsi="Arial Black"/>
          <w:sz w:val="24"/>
          <w:szCs w:val="24"/>
        </w:rPr>
        <w:t>13-11</w:t>
      </w:r>
    </w:p>
    <w:p w14:paraId="63A6F6EA" w14:textId="77777777" w:rsidR="00F326E5" w:rsidRDefault="00F326E5" w:rsidP="00F326E5">
      <w:pPr>
        <w:rPr>
          <w:b/>
          <w:sz w:val="24"/>
          <w:szCs w:val="24"/>
        </w:rPr>
      </w:pPr>
    </w:p>
    <w:p w14:paraId="175B4DDF" w14:textId="036E2781" w:rsidR="00F326E5" w:rsidRPr="00C17E65" w:rsidRDefault="00F326E5" w:rsidP="00F326E5">
      <w:pPr>
        <w:rPr>
          <w:rFonts w:ascii="Arial Black" w:hAnsi="Arial Black"/>
          <w:sz w:val="28"/>
          <w:szCs w:val="28"/>
        </w:rPr>
      </w:pPr>
      <w:bookmarkStart w:id="539" w:name="_Hlk7346857"/>
      <w:bookmarkEnd w:id="538"/>
      <w:r>
        <w:rPr>
          <w:b/>
          <w:sz w:val="24"/>
          <w:szCs w:val="24"/>
        </w:rPr>
        <w:t xml:space="preserve"> </w:t>
      </w:r>
      <w:bookmarkStart w:id="540" w:name="_Hlk41154546"/>
      <w:r w:rsidRPr="00C17E65">
        <w:rPr>
          <w:rFonts w:ascii="Arial Black" w:hAnsi="Arial Black"/>
          <w:sz w:val="28"/>
          <w:szCs w:val="28"/>
        </w:rPr>
        <w:t xml:space="preserve">NY: ALLERGIC REACTION TO DOG BITE – PATIENT DIED – </w:t>
      </w:r>
      <w:r w:rsidR="00DA4990">
        <w:rPr>
          <w:rFonts w:ascii="Arial Black" w:hAnsi="Arial Black"/>
          <w:sz w:val="28"/>
          <w:szCs w:val="28"/>
        </w:rPr>
        <w:t>EM</w:t>
      </w:r>
      <w:r w:rsidR="00572A91">
        <w:rPr>
          <w:rFonts w:ascii="Arial Black" w:hAnsi="Arial Black"/>
          <w:sz w:val="28"/>
          <w:szCs w:val="28"/>
        </w:rPr>
        <w:t>S</w:t>
      </w:r>
      <w:r w:rsidR="00DA4990">
        <w:rPr>
          <w:rFonts w:ascii="Arial Black" w:hAnsi="Arial Black"/>
          <w:sz w:val="28"/>
          <w:szCs w:val="28"/>
        </w:rPr>
        <w:t xml:space="preserve"> </w:t>
      </w:r>
      <w:r>
        <w:rPr>
          <w:rFonts w:ascii="Arial Black" w:hAnsi="Arial Black"/>
          <w:sz w:val="28"/>
          <w:szCs w:val="28"/>
        </w:rPr>
        <w:t xml:space="preserve">PROTOCOL </w:t>
      </w:r>
      <w:r w:rsidR="00DA4990">
        <w:rPr>
          <w:rFonts w:ascii="Arial Black" w:hAnsi="Arial Black"/>
          <w:sz w:val="28"/>
          <w:szCs w:val="28"/>
        </w:rPr>
        <w:t xml:space="preserve">WAS </w:t>
      </w:r>
      <w:r>
        <w:rPr>
          <w:rFonts w:ascii="Arial Black" w:hAnsi="Arial Black"/>
          <w:sz w:val="28"/>
          <w:szCs w:val="28"/>
        </w:rPr>
        <w:t xml:space="preserve">NOT FOLLOWED, NO GOV’T </w:t>
      </w:r>
      <w:r w:rsidRPr="00C17E65">
        <w:rPr>
          <w:rFonts w:ascii="Arial Black" w:hAnsi="Arial Black"/>
          <w:sz w:val="28"/>
          <w:szCs w:val="28"/>
        </w:rPr>
        <w:t>IMMUNITY</w:t>
      </w:r>
      <w:r>
        <w:rPr>
          <w:rFonts w:ascii="Arial Black" w:hAnsi="Arial Black"/>
          <w:sz w:val="28"/>
          <w:szCs w:val="28"/>
        </w:rPr>
        <w:t xml:space="preserve"> </w:t>
      </w:r>
    </w:p>
    <w:p w14:paraId="6CB2C79E" w14:textId="77777777" w:rsidR="006114FF" w:rsidRDefault="00F326E5" w:rsidP="00F326E5">
      <w:pPr>
        <w:rPr>
          <w:rFonts w:ascii="Times New Roman" w:hAnsi="Times New Roman"/>
          <w:sz w:val="24"/>
          <w:szCs w:val="24"/>
        </w:rPr>
      </w:pPr>
      <w:r w:rsidRPr="006114FF">
        <w:rPr>
          <w:rFonts w:ascii="Times New Roman" w:hAnsi="Times New Roman"/>
          <w:sz w:val="24"/>
          <w:szCs w:val="24"/>
        </w:rPr>
        <w:t xml:space="preserve">On August 16, 2018, in </w:t>
      </w:r>
      <w:r w:rsidRPr="006114FF">
        <w:rPr>
          <w:rFonts w:ascii="Times New Roman" w:hAnsi="Times New Roman"/>
          <w:sz w:val="24"/>
          <w:szCs w:val="24"/>
          <w:u w:val="single"/>
        </w:rPr>
        <w:t>Christine Lynch v. Town of Greenburg and Greenburg Police Department Emergency Medical Service</w:t>
      </w:r>
      <w:r w:rsidRPr="006114FF">
        <w:rPr>
          <w:rFonts w:ascii="Times New Roman" w:hAnsi="Times New Roman"/>
          <w:sz w:val="24"/>
          <w:szCs w:val="24"/>
        </w:rPr>
        <w:t xml:space="preserve">, the NY Supreme Court, County of Westchester (Judge Lawrence E. Ecker), denied the defendants’ motion for summary judgment.  “In fact, despite being told that the decedent was having an allergic reaction to the dog, Marcello acknowledged that he did not consider whether the attack was an allergic attack, verses another form of asthma incident. He also specifically stated that he never considered giving the decedent any medication to address an allergic reaction.”   </w:t>
      </w:r>
      <w:bookmarkEnd w:id="540"/>
      <w:r w:rsidRPr="006114FF">
        <w:rPr>
          <w:rFonts w:ascii="Times New Roman" w:hAnsi="Times New Roman"/>
          <w:sz w:val="24"/>
          <w:szCs w:val="24"/>
        </w:rPr>
        <w:t xml:space="preserve">The Court also noted poor affidavit from EMS Supervisor: </w:t>
      </w:r>
    </w:p>
    <w:p w14:paraId="24C715D7" w14:textId="530E7531" w:rsidR="00F326E5" w:rsidRPr="006114FF" w:rsidRDefault="00F326E5" w:rsidP="006114FF">
      <w:pPr>
        <w:ind w:left="720"/>
        <w:rPr>
          <w:rFonts w:ascii="Times New Roman" w:hAnsi="Times New Roman"/>
          <w:sz w:val="24"/>
          <w:szCs w:val="24"/>
        </w:rPr>
      </w:pPr>
      <w:r w:rsidRPr="006114FF">
        <w:rPr>
          <w:rFonts w:ascii="Times New Roman" w:hAnsi="Times New Roman"/>
          <w:sz w:val="24"/>
          <w:szCs w:val="24"/>
        </w:rPr>
        <w:t xml:space="preserve">“Despite acknowledging that ‘this action sounds in medical malpractice’ …, defendants do not submit a physician's or EMT expert affirmation specifically addressing the precise medical treatment rendered to the decedent. Instead, defendants rely upon the affidavit of an EMT Supervisor who offers generalized, conclusory statements to the effect that EMS protocols permit EMTs to exercise discretion, without ever addressing any of the specifics of defendants' actions in this case. In fact, the specific protocols are not discussed or explained, the actual medical actions taken by the first responders are not delineated or compared to protocols, specific examples of acts of discretion by the first responders are not provided, and there is no express support for the medical care that was given.” </w:t>
      </w:r>
      <w:bookmarkStart w:id="541" w:name="_Hlk41154578"/>
      <w:r w:rsidR="00F37A4B">
        <w:fldChar w:fldCharType="begin"/>
      </w:r>
      <w:r w:rsidR="00F37A4B">
        <w:instrText xml:space="preserve"> HYPERLINK "https://law.justia.com/cases/new-york/other-courts/2018/2018-ny-slip-op-28264.html" </w:instrText>
      </w:r>
      <w:r w:rsidR="00F37A4B">
        <w:fldChar w:fldCharType="separate"/>
      </w:r>
      <w:r w:rsidRPr="006114FF">
        <w:rPr>
          <w:rStyle w:val="Hyperlink"/>
          <w:rFonts w:ascii="Times New Roman" w:hAnsi="Times New Roman"/>
          <w:sz w:val="24"/>
          <w:szCs w:val="24"/>
        </w:rPr>
        <w:t>https://law.justia.com/cases/new-york/other-courts/2018/2018-ny-slip-op-28264.html</w:t>
      </w:r>
      <w:r w:rsidR="00F37A4B">
        <w:rPr>
          <w:rStyle w:val="Hyperlink"/>
          <w:rFonts w:ascii="Times New Roman" w:hAnsi="Times New Roman"/>
          <w:sz w:val="24"/>
          <w:szCs w:val="24"/>
        </w:rPr>
        <w:fldChar w:fldCharType="end"/>
      </w:r>
      <w:r w:rsidRPr="006114FF">
        <w:rPr>
          <w:rFonts w:ascii="Times New Roman" w:hAnsi="Times New Roman"/>
          <w:sz w:val="24"/>
          <w:szCs w:val="24"/>
        </w:rPr>
        <w:t xml:space="preserve"> </w:t>
      </w:r>
    </w:p>
    <w:p w14:paraId="049DAAEE" w14:textId="77777777" w:rsidR="00F326E5" w:rsidRPr="006114FF" w:rsidRDefault="00F326E5" w:rsidP="00F326E5">
      <w:pPr>
        <w:pStyle w:val="Heading1"/>
        <w:rPr>
          <w:b w:val="0"/>
          <w:sz w:val="24"/>
          <w:szCs w:val="24"/>
        </w:rPr>
      </w:pPr>
      <w:r w:rsidRPr="006114FF">
        <w:rPr>
          <w:sz w:val="24"/>
          <w:szCs w:val="24"/>
        </w:rPr>
        <w:t xml:space="preserve">Legal Lessons Learned: Follow EMS </w:t>
      </w:r>
      <w:proofErr w:type="gramStart"/>
      <w:r w:rsidRPr="006114FF">
        <w:rPr>
          <w:sz w:val="24"/>
          <w:szCs w:val="24"/>
        </w:rPr>
        <w:t>protocol, or</w:t>
      </w:r>
      <w:proofErr w:type="gramEnd"/>
      <w:r w:rsidRPr="006114FF">
        <w:rPr>
          <w:sz w:val="24"/>
          <w:szCs w:val="24"/>
        </w:rPr>
        <w:t xml:space="preserve"> explain on EMS run report why the protocol was not followed. </w:t>
      </w:r>
    </w:p>
    <w:bookmarkEnd w:id="539"/>
    <w:bookmarkEnd w:id="541"/>
    <w:p w14:paraId="2FB32D6D" w14:textId="77777777" w:rsidR="00F326E5" w:rsidRDefault="00F326E5" w:rsidP="00F326E5">
      <w:pPr>
        <w:pStyle w:val="NoSpacing"/>
        <w:rPr>
          <w:rFonts w:ascii="Arial Black" w:hAnsi="Arial Black"/>
          <w:b/>
          <w:sz w:val="24"/>
          <w:szCs w:val="24"/>
        </w:rPr>
      </w:pPr>
    </w:p>
    <w:p w14:paraId="07E27496" w14:textId="77777777" w:rsidR="00F326E5" w:rsidRPr="00BE5483" w:rsidRDefault="00F326E5" w:rsidP="00F326E5">
      <w:pPr>
        <w:rPr>
          <w:b/>
          <w:sz w:val="24"/>
          <w:szCs w:val="24"/>
        </w:rPr>
      </w:pPr>
    </w:p>
    <w:p w14:paraId="2055BCF2" w14:textId="71659E16" w:rsidR="00DE0F03" w:rsidRDefault="00DE0F03" w:rsidP="00DE0F03">
      <w:pPr>
        <w:pStyle w:val="NoSpacing"/>
        <w:rPr>
          <w:rFonts w:ascii="Arial Black" w:hAnsi="Arial Black"/>
          <w:sz w:val="24"/>
          <w:szCs w:val="24"/>
        </w:rPr>
      </w:pPr>
      <w:r>
        <w:rPr>
          <w:rFonts w:ascii="Arial Black" w:hAnsi="Arial Black"/>
          <w:sz w:val="24"/>
          <w:szCs w:val="24"/>
        </w:rPr>
        <w:t>13-10</w:t>
      </w:r>
    </w:p>
    <w:p w14:paraId="159F44A2" w14:textId="77777777" w:rsidR="00F326E5" w:rsidRDefault="00F326E5" w:rsidP="00F326E5">
      <w:pPr>
        <w:pStyle w:val="NoSpacing"/>
        <w:rPr>
          <w:rFonts w:ascii="Arial Black" w:hAnsi="Arial Black"/>
          <w:b/>
          <w:sz w:val="24"/>
          <w:szCs w:val="24"/>
        </w:rPr>
      </w:pPr>
    </w:p>
    <w:p w14:paraId="1A18BFCA" w14:textId="77777777" w:rsidR="00F326E5" w:rsidRPr="00BE5483" w:rsidRDefault="00F326E5" w:rsidP="00F326E5">
      <w:pPr>
        <w:pStyle w:val="NoSpacing"/>
        <w:rPr>
          <w:rFonts w:ascii="Arial Black" w:hAnsi="Arial Black"/>
          <w:b/>
          <w:sz w:val="24"/>
          <w:szCs w:val="24"/>
        </w:rPr>
      </w:pPr>
    </w:p>
    <w:p w14:paraId="4282600E" w14:textId="4C86F806" w:rsidR="00F326E5" w:rsidRPr="00CA2809" w:rsidRDefault="00F326E5" w:rsidP="00F326E5">
      <w:pPr>
        <w:rPr>
          <w:rFonts w:eastAsia="Times New Roman"/>
          <w:b/>
          <w:sz w:val="24"/>
          <w:szCs w:val="24"/>
        </w:rPr>
      </w:pPr>
      <w:bookmarkStart w:id="542" w:name="_Hlk41154622"/>
      <w:bookmarkStart w:id="543" w:name="_Hlk7346894"/>
      <w:r w:rsidRPr="00BE5483">
        <w:rPr>
          <w:rFonts w:ascii="Arial Black" w:eastAsia="Times New Roman" w:hAnsi="Arial Black"/>
          <w:b/>
          <w:sz w:val="28"/>
          <w:szCs w:val="28"/>
        </w:rPr>
        <w:t>IN:</w:t>
      </w:r>
      <w:r>
        <w:rPr>
          <w:rFonts w:eastAsia="Times New Roman"/>
          <w:b/>
          <w:sz w:val="24"/>
          <w:szCs w:val="24"/>
        </w:rPr>
        <w:t xml:space="preserve"> </w:t>
      </w:r>
      <w:r>
        <w:rPr>
          <w:rFonts w:ascii="Arial Black" w:eastAsia="Times New Roman" w:hAnsi="Arial Black"/>
          <w:b/>
          <w:sz w:val="28"/>
          <w:szCs w:val="28"/>
        </w:rPr>
        <w:t>SEDATIVE FOR NAKED PATIENT RUNNING IN STREET – DIED -QUALIFIED IMMUNITY FOR EMS</w:t>
      </w:r>
    </w:p>
    <w:p w14:paraId="3FB1D2F8" w14:textId="0048CABA" w:rsidR="006114FF" w:rsidRDefault="00F326E5" w:rsidP="00F326E5">
      <w:pPr>
        <w:rPr>
          <w:rFonts w:ascii="Times New Roman" w:eastAsia="Times New Roman" w:hAnsi="Times New Roman"/>
          <w:sz w:val="24"/>
          <w:szCs w:val="24"/>
        </w:rPr>
      </w:pPr>
      <w:r w:rsidRPr="006114FF">
        <w:rPr>
          <w:rFonts w:ascii="Times New Roman" w:eastAsia="Times New Roman" w:hAnsi="Times New Roman"/>
          <w:sz w:val="24"/>
          <w:szCs w:val="24"/>
        </w:rPr>
        <w:t xml:space="preserve">On Aug. 14, 2018, in </w:t>
      </w:r>
      <w:r w:rsidRPr="006114FF">
        <w:rPr>
          <w:rFonts w:ascii="Times New Roman" w:eastAsia="Times New Roman" w:hAnsi="Times New Roman"/>
          <w:sz w:val="24"/>
          <w:szCs w:val="24"/>
          <w:u w:val="single"/>
        </w:rPr>
        <w:t>Billie Thompson v. Lance Cope</w:t>
      </w:r>
      <w:r w:rsidRPr="006114FF">
        <w:rPr>
          <w:rFonts w:ascii="Times New Roman" w:eastAsia="Times New Roman" w:hAnsi="Times New Roman"/>
          <w:sz w:val="24"/>
          <w:szCs w:val="24"/>
        </w:rPr>
        <w:t xml:space="preserve"> , 7</w:t>
      </w:r>
      <w:r w:rsidRPr="006114FF">
        <w:rPr>
          <w:rFonts w:ascii="Times New Roman" w:eastAsia="Times New Roman" w:hAnsi="Times New Roman"/>
          <w:sz w:val="24"/>
          <w:szCs w:val="24"/>
          <w:vertAlign w:val="superscript"/>
        </w:rPr>
        <w:t>th</w:t>
      </w:r>
      <w:r w:rsidRPr="006114FF">
        <w:rPr>
          <w:rFonts w:ascii="Times New Roman" w:eastAsia="Times New Roman" w:hAnsi="Times New Roman"/>
          <w:sz w:val="24"/>
          <w:szCs w:val="24"/>
        </w:rPr>
        <w:t xml:space="preserve"> Circuit, the Court </w:t>
      </w:r>
      <w:proofErr w:type="gramStart"/>
      <w:r w:rsidRPr="006114FF">
        <w:rPr>
          <w:rFonts w:ascii="Times New Roman" w:eastAsia="Times New Roman" w:hAnsi="Times New Roman"/>
          <w:sz w:val="24"/>
          <w:szCs w:val="24"/>
        </w:rPr>
        <w:t>held</w:t>
      </w:r>
      <w:proofErr w:type="gramEnd"/>
      <w:r w:rsidRPr="006114FF">
        <w:rPr>
          <w:rFonts w:ascii="Times New Roman" w:eastAsia="Times New Roman" w:hAnsi="Times New Roman"/>
          <w:sz w:val="24"/>
          <w:szCs w:val="24"/>
        </w:rPr>
        <w:t xml:space="preserve"> (3 to 0), </w:t>
      </w:r>
    </w:p>
    <w:p w14:paraId="408B427C" w14:textId="51B59F6C" w:rsidR="00F326E5" w:rsidRPr="006114FF" w:rsidRDefault="00F326E5" w:rsidP="006114FF">
      <w:pPr>
        <w:ind w:left="720"/>
        <w:rPr>
          <w:rFonts w:ascii="Times New Roman" w:eastAsia="Times New Roman" w:hAnsi="Times New Roman"/>
          <w:b/>
          <w:sz w:val="24"/>
          <w:szCs w:val="24"/>
        </w:rPr>
      </w:pPr>
      <w:r w:rsidRPr="006114FF">
        <w:rPr>
          <w:rFonts w:ascii="Times New Roman" w:eastAsia="Times New Roman" w:hAnsi="Times New Roman"/>
          <w:sz w:val="24"/>
          <w:szCs w:val="24"/>
        </w:rPr>
        <w:t xml:space="preserve">“The paramedic is entitled to qualified immunity on the excessive force claim. Case law did not (and does not) clearly establish that a paramedic can violate a patient-arrestee’s Fourth Amendment rights by exercising medical judgment to administer a sedative in a medical </w:t>
      </w:r>
      <w:proofErr w:type="gramStart"/>
      <w:r w:rsidRPr="006114FF">
        <w:rPr>
          <w:rFonts w:ascii="Times New Roman" w:eastAsia="Times New Roman" w:hAnsi="Times New Roman"/>
          <w:sz w:val="24"/>
          <w:szCs w:val="24"/>
        </w:rPr>
        <w:t>emergency.”</w:t>
      </w:r>
      <w:proofErr w:type="gramEnd"/>
      <w:r w:rsidRPr="006114FF">
        <w:rPr>
          <w:rFonts w:ascii="Times New Roman" w:eastAsia="Times New Roman" w:hAnsi="Times New Roman"/>
          <w:sz w:val="24"/>
          <w:szCs w:val="24"/>
        </w:rPr>
        <w:t xml:space="preserve">  Indianapolis police called EMS to help with person found naked, running in street, high on amphetamines, and combative.  EMS administered a sedative; patient died 8-days later.  </w:t>
      </w:r>
      <w:hyperlink r:id="rId2467" w:history="1">
        <w:r w:rsidRPr="006114FF">
          <w:rPr>
            <w:rStyle w:val="Hyperlink"/>
            <w:rFonts w:ascii="Times New Roman" w:hAnsi="Times New Roman"/>
            <w:sz w:val="24"/>
            <w:szCs w:val="24"/>
          </w:rPr>
          <w:t>https://cases.justia.com/federal/appellate-courts/ca7/17-3060/17-3060-2018-08-14.pdf?ts=1534262420</w:t>
        </w:r>
      </w:hyperlink>
      <w:r w:rsidRPr="006114FF">
        <w:rPr>
          <w:rFonts w:ascii="Times New Roman" w:eastAsia="Times New Roman" w:hAnsi="Times New Roman"/>
          <w:b/>
          <w:sz w:val="24"/>
          <w:szCs w:val="24"/>
        </w:rPr>
        <w:t xml:space="preserve"> </w:t>
      </w:r>
    </w:p>
    <w:p w14:paraId="39827241"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Qualified Immunity protects police, fire, EMS personnel from personal liability.   </w:t>
      </w:r>
    </w:p>
    <w:p w14:paraId="4D673270" w14:textId="66734710" w:rsidR="00F326E5" w:rsidRPr="006114FF" w:rsidRDefault="00F326E5" w:rsidP="00F326E5">
      <w:pPr>
        <w:ind w:left="720"/>
        <w:rPr>
          <w:rFonts w:ascii="Times New Roman" w:eastAsia="Times New Roman" w:hAnsi="Times New Roman"/>
          <w:sz w:val="24"/>
          <w:szCs w:val="24"/>
        </w:rPr>
      </w:pPr>
      <w:r w:rsidRPr="006114FF">
        <w:rPr>
          <w:rFonts w:ascii="Times New Roman" w:eastAsia="Times New Roman" w:hAnsi="Times New Roman"/>
          <w:sz w:val="24"/>
          <w:szCs w:val="24"/>
        </w:rPr>
        <w:t xml:space="preserve">See also U.S. Supreme Court’s </w:t>
      </w:r>
      <w:r w:rsidRPr="006114FF">
        <w:rPr>
          <w:rFonts w:ascii="Times New Roman" w:hAnsi="Times New Roman"/>
          <w:sz w:val="24"/>
          <w:szCs w:val="24"/>
        </w:rPr>
        <w:t xml:space="preserve">Jan. 7, </w:t>
      </w:r>
      <w:proofErr w:type="gramStart"/>
      <w:r w:rsidRPr="006114FF">
        <w:rPr>
          <w:rFonts w:ascii="Times New Roman" w:hAnsi="Times New Roman"/>
          <w:sz w:val="24"/>
          <w:szCs w:val="24"/>
        </w:rPr>
        <w:t>2019</w:t>
      </w:r>
      <w:proofErr w:type="gramEnd"/>
      <w:r w:rsidRPr="006114FF">
        <w:rPr>
          <w:rFonts w:ascii="Times New Roman" w:hAnsi="Times New Roman"/>
          <w:sz w:val="24"/>
          <w:szCs w:val="24"/>
        </w:rPr>
        <w:t xml:space="preserve"> decision, in </w:t>
      </w:r>
      <w:r w:rsidRPr="006114FF">
        <w:rPr>
          <w:rFonts w:ascii="Times New Roman" w:hAnsi="Times New Roman"/>
          <w:sz w:val="24"/>
          <w:szCs w:val="24"/>
          <w:u w:val="single"/>
        </w:rPr>
        <w:t>City of Escondido, California v. Mart Emmons</w:t>
      </w:r>
      <w:r w:rsidRPr="006114FF">
        <w:rPr>
          <w:rFonts w:ascii="Times New Roman" w:hAnsi="Times New Roman"/>
          <w:sz w:val="24"/>
          <w:szCs w:val="24"/>
        </w:rPr>
        <w:t>, (9 to 0), in a per curiam decision [not authored by a specific Justice], reversed the 9</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without the need to even hear oral argument.  The Court held: “</w:t>
      </w:r>
      <w:r w:rsidRPr="006114FF">
        <w:rPr>
          <w:rFonts w:ascii="Times New Roman" w:eastAsia="Times New Roman" w:hAnsi="Times New Roman"/>
          <w:sz w:val="24"/>
          <w:szCs w:val="24"/>
        </w:rPr>
        <w:t xml:space="preserve">As to Officer Craig, the Ninth Circuit also erred. As we have explained many times: ‘Qualified immunity attaches when an official’s conduct does not violate clearly established statutory or constitutional rights of which a reasonable person would have known.’” </w:t>
      </w:r>
      <w:hyperlink r:id="rId2468" w:history="1">
        <w:r w:rsidRPr="006114FF">
          <w:rPr>
            <w:rStyle w:val="Hyperlink"/>
            <w:rFonts w:ascii="Times New Roman" w:hAnsi="Times New Roman"/>
            <w:sz w:val="24"/>
            <w:szCs w:val="24"/>
          </w:rPr>
          <w:t>https://www.supremecourt.gov/opinions/18pdf/17-1660_5ifl.pdf</w:t>
        </w:r>
      </w:hyperlink>
      <w:r w:rsidRPr="006114FF">
        <w:rPr>
          <w:rFonts w:ascii="Times New Roman" w:eastAsia="Times New Roman" w:hAnsi="Times New Roman"/>
          <w:sz w:val="24"/>
          <w:szCs w:val="24"/>
        </w:rPr>
        <w:t xml:space="preserve"> </w:t>
      </w:r>
    </w:p>
    <w:bookmarkEnd w:id="542"/>
    <w:p w14:paraId="6F7A1A89" w14:textId="77777777" w:rsidR="00536545" w:rsidRPr="00BE5483" w:rsidRDefault="00536545" w:rsidP="00F326E5">
      <w:pPr>
        <w:ind w:left="720"/>
        <w:rPr>
          <w:rFonts w:eastAsia="Times New Roman"/>
          <w:sz w:val="24"/>
          <w:szCs w:val="24"/>
        </w:rPr>
      </w:pPr>
    </w:p>
    <w:p w14:paraId="0B06C962" w14:textId="77777777" w:rsidR="00F326E5" w:rsidRPr="00CA2809" w:rsidRDefault="00F326E5" w:rsidP="00F326E5">
      <w:pPr>
        <w:rPr>
          <w:b/>
          <w:sz w:val="24"/>
          <w:szCs w:val="24"/>
        </w:rPr>
      </w:pPr>
    </w:p>
    <w:bookmarkEnd w:id="543"/>
    <w:p w14:paraId="4C3FFA8B" w14:textId="15E8D590" w:rsidR="00DE0F03" w:rsidRDefault="00DE0F03" w:rsidP="00DE0F03">
      <w:pPr>
        <w:pStyle w:val="NoSpacing"/>
        <w:rPr>
          <w:rFonts w:ascii="Arial Black" w:hAnsi="Arial Black"/>
          <w:sz w:val="24"/>
          <w:szCs w:val="24"/>
        </w:rPr>
      </w:pPr>
      <w:r>
        <w:rPr>
          <w:rFonts w:ascii="Arial Black" w:hAnsi="Arial Black"/>
          <w:sz w:val="24"/>
          <w:szCs w:val="24"/>
        </w:rPr>
        <w:t>13-9</w:t>
      </w:r>
    </w:p>
    <w:p w14:paraId="1E686E26" w14:textId="77777777" w:rsidR="00F326E5" w:rsidRDefault="00F326E5" w:rsidP="00F326E5">
      <w:pPr>
        <w:pStyle w:val="NoSpacing"/>
        <w:rPr>
          <w:b/>
          <w:sz w:val="24"/>
          <w:szCs w:val="24"/>
        </w:rPr>
      </w:pPr>
    </w:p>
    <w:p w14:paraId="27566E77" w14:textId="70E5C9B4" w:rsidR="00F326E5" w:rsidRPr="0002048B" w:rsidRDefault="00F326E5" w:rsidP="00F326E5">
      <w:pPr>
        <w:pStyle w:val="NoSpacing"/>
        <w:rPr>
          <w:b/>
          <w:sz w:val="24"/>
          <w:szCs w:val="24"/>
        </w:rPr>
      </w:pPr>
      <w:bookmarkStart w:id="544" w:name="_Hlk41154698"/>
      <w:bookmarkStart w:id="545" w:name="_Hlk7346941"/>
      <w:r w:rsidRPr="00C17E65">
        <w:rPr>
          <w:rFonts w:ascii="Arial Black" w:hAnsi="Arial Black"/>
          <w:b/>
          <w:sz w:val="28"/>
          <w:szCs w:val="28"/>
        </w:rPr>
        <w:t xml:space="preserve">OH: DYING DECLARATION </w:t>
      </w:r>
      <w:r>
        <w:rPr>
          <w:rFonts w:ascii="Arial Black" w:hAnsi="Arial Black"/>
          <w:b/>
          <w:sz w:val="28"/>
          <w:szCs w:val="28"/>
        </w:rPr>
        <w:t xml:space="preserve">BY VICTIM </w:t>
      </w:r>
      <w:r w:rsidRPr="00C17E65">
        <w:rPr>
          <w:rFonts w:ascii="Arial Black" w:hAnsi="Arial Black"/>
          <w:b/>
          <w:sz w:val="28"/>
          <w:szCs w:val="28"/>
        </w:rPr>
        <w:t>IN BACK OF AMBULANCE ADMISSIBLE IN MURDER TRIAL</w:t>
      </w:r>
      <w:r>
        <w:rPr>
          <w:rFonts w:ascii="Arial Black" w:hAnsi="Arial Black"/>
          <w:b/>
          <w:sz w:val="24"/>
          <w:szCs w:val="24"/>
        </w:rPr>
        <w:t xml:space="preserve"> </w:t>
      </w:r>
      <w:r w:rsidRPr="00C17E65">
        <w:rPr>
          <w:sz w:val="24"/>
          <w:szCs w:val="24"/>
        </w:rPr>
        <w:t>[also filed Chap. 1]</w:t>
      </w:r>
    </w:p>
    <w:p w14:paraId="39D889B9" w14:textId="77777777" w:rsidR="00F326E5" w:rsidRPr="006114FF" w:rsidRDefault="00F326E5" w:rsidP="00F326E5">
      <w:pPr>
        <w:rPr>
          <w:rFonts w:ascii="Times New Roman" w:eastAsia="Times New Roman" w:hAnsi="Times New Roman"/>
          <w:sz w:val="24"/>
          <w:szCs w:val="24"/>
        </w:rPr>
      </w:pPr>
      <w:r w:rsidRPr="006114FF">
        <w:rPr>
          <w:rFonts w:ascii="Times New Roman" w:hAnsi="Times New Roman"/>
          <w:sz w:val="24"/>
          <w:szCs w:val="24"/>
        </w:rPr>
        <w:t xml:space="preserve">On July 25, 2018, in </w:t>
      </w:r>
      <w:r w:rsidRPr="006114FF">
        <w:rPr>
          <w:rFonts w:ascii="Times New Roman" w:eastAsia="Times New Roman" w:hAnsi="Times New Roman"/>
          <w:sz w:val="24"/>
          <w:szCs w:val="24"/>
          <w:u w:val="single"/>
        </w:rPr>
        <w:t>State v. Fred Taylor</w:t>
      </w:r>
      <w:r w:rsidRPr="006114FF">
        <w:rPr>
          <w:rFonts w:ascii="Times New Roman" w:eastAsia="Times New Roman" w:hAnsi="Times New Roman"/>
          <w:sz w:val="24"/>
          <w:szCs w:val="24"/>
        </w:rPr>
        <w:t xml:space="preserve">, 2018-Ohio-2921, the Ohio Court of Appeals for Summit County, upheld (3 to 0) his conviction of felony murder of Javon Knaff.   </w:t>
      </w:r>
    </w:p>
    <w:p w14:paraId="7AD577E9" w14:textId="648FE652" w:rsidR="00F326E5" w:rsidRPr="006114FF" w:rsidRDefault="00F326E5" w:rsidP="006114FF">
      <w:pPr>
        <w:ind w:left="720"/>
        <w:rPr>
          <w:rFonts w:ascii="Times New Roman" w:eastAsia="Times New Roman" w:hAnsi="Times New Roman"/>
          <w:sz w:val="24"/>
          <w:szCs w:val="24"/>
        </w:rPr>
      </w:pPr>
      <w:r w:rsidRPr="006114FF">
        <w:rPr>
          <w:rFonts w:ascii="Times New Roman" w:eastAsia="Times New Roman" w:hAnsi="Times New Roman"/>
          <w:sz w:val="24"/>
          <w:szCs w:val="24"/>
        </w:rPr>
        <w:t>“Mr. Knaff’s repeated statements concerning the fact that he was dying, coupled with the severity of his condition, demonstrate his awareness of his impending death at the time that he stated, ‘Fred shot [me].’ Consequently, this statement was admissible as a dying declaration.”</w:t>
      </w:r>
      <w:r w:rsidR="006114FF">
        <w:rPr>
          <w:rFonts w:ascii="Times New Roman" w:eastAsia="Times New Roman" w:hAnsi="Times New Roman"/>
          <w:sz w:val="24"/>
          <w:szCs w:val="24"/>
        </w:rPr>
        <w:t xml:space="preserve"> </w:t>
      </w:r>
      <w:hyperlink r:id="rId2469" w:history="1">
        <w:r w:rsidRPr="006114FF">
          <w:rPr>
            <w:rStyle w:val="Hyperlink"/>
            <w:rFonts w:ascii="Times New Roman" w:hAnsi="Times New Roman"/>
            <w:sz w:val="24"/>
            <w:szCs w:val="24"/>
          </w:rPr>
          <w:t>https://cases.justia.com/ohio/ninth-district-court-of-appeals/2018-28746.pdf?ts=1532525904</w:t>
        </w:r>
      </w:hyperlink>
      <w:r w:rsidRPr="006114FF">
        <w:rPr>
          <w:rFonts w:ascii="Times New Roman" w:eastAsia="Times New Roman" w:hAnsi="Times New Roman"/>
          <w:sz w:val="24"/>
          <w:szCs w:val="24"/>
        </w:rPr>
        <w:t xml:space="preserve"> </w:t>
      </w:r>
    </w:p>
    <w:p w14:paraId="6A662AF1" w14:textId="77777777"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Document on your EMS run report the actual words spoken by the patient; a “dying declaration” is admissible in evidence.   Recording the comments on your run report can help prosecution reach a plea agreement. </w:t>
      </w:r>
    </w:p>
    <w:bookmarkEnd w:id="544"/>
    <w:p w14:paraId="039DECD5" w14:textId="77777777" w:rsidR="00DE0F03" w:rsidRDefault="00DE0F03" w:rsidP="00DE0F03">
      <w:pPr>
        <w:pStyle w:val="NoSpacing"/>
        <w:rPr>
          <w:rFonts w:ascii="Arial Black" w:hAnsi="Arial Black"/>
          <w:sz w:val="24"/>
          <w:szCs w:val="24"/>
        </w:rPr>
      </w:pPr>
    </w:p>
    <w:p w14:paraId="1C67915A" w14:textId="77777777" w:rsidR="00DE0F03" w:rsidRDefault="00DE0F03" w:rsidP="00DE0F03">
      <w:pPr>
        <w:pStyle w:val="NoSpacing"/>
        <w:rPr>
          <w:rFonts w:ascii="Arial Black" w:hAnsi="Arial Black"/>
          <w:sz w:val="24"/>
          <w:szCs w:val="24"/>
        </w:rPr>
      </w:pPr>
    </w:p>
    <w:p w14:paraId="6C8A3EC8" w14:textId="5C935D1A" w:rsidR="00F326E5" w:rsidRDefault="00DE0F03" w:rsidP="00DE0F03">
      <w:pPr>
        <w:pStyle w:val="NoSpacing"/>
        <w:rPr>
          <w:rFonts w:ascii="Arial Black" w:hAnsi="Arial Black"/>
          <w:sz w:val="24"/>
          <w:szCs w:val="24"/>
        </w:rPr>
      </w:pPr>
      <w:r>
        <w:rPr>
          <w:rFonts w:ascii="Arial Black" w:hAnsi="Arial Black"/>
          <w:sz w:val="24"/>
          <w:szCs w:val="24"/>
        </w:rPr>
        <w:t>13-8</w:t>
      </w:r>
    </w:p>
    <w:p w14:paraId="42FCE522" w14:textId="77777777" w:rsidR="00DE0F03" w:rsidRDefault="00DE0F03" w:rsidP="00DE0F03">
      <w:pPr>
        <w:pStyle w:val="NoSpacing"/>
        <w:rPr>
          <w:rFonts w:eastAsia="Times New Roman"/>
          <w:sz w:val="25"/>
          <w:szCs w:val="25"/>
        </w:rPr>
      </w:pPr>
    </w:p>
    <w:p w14:paraId="56A2135A" w14:textId="3A780231" w:rsidR="00DA4990" w:rsidRPr="008A5B80" w:rsidRDefault="00DA4990" w:rsidP="00DA4990">
      <w:pPr>
        <w:pStyle w:val="NoSpacing"/>
        <w:rPr>
          <w:rFonts w:ascii="Arial Black" w:hAnsi="Arial Black"/>
          <w:sz w:val="24"/>
          <w:szCs w:val="24"/>
        </w:rPr>
      </w:pPr>
      <w:bookmarkStart w:id="546" w:name="_Hlk7347158"/>
      <w:bookmarkEnd w:id="545"/>
      <w:r w:rsidRPr="00732C84">
        <w:rPr>
          <w:rFonts w:ascii="Arial Black" w:hAnsi="Arial Black"/>
          <w:b/>
          <w:sz w:val="28"/>
          <w:szCs w:val="28"/>
        </w:rPr>
        <w:t xml:space="preserve">LA: </w:t>
      </w:r>
      <w:proofErr w:type="gramStart"/>
      <w:r>
        <w:rPr>
          <w:rFonts w:ascii="Arial Black" w:hAnsi="Arial Black"/>
          <w:b/>
          <w:sz w:val="28"/>
          <w:szCs w:val="28"/>
        </w:rPr>
        <w:t>FREE SPEECH</w:t>
      </w:r>
      <w:proofErr w:type="gramEnd"/>
      <w:r>
        <w:rPr>
          <w:rFonts w:ascii="Arial Black" w:hAnsi="Arial Black"/>
          <w:b/>
          <w:sz w:val="28"/>
          <w:szCs w:val="28"/>
        </w:rPr>
        <w:t xml:space="preserve"> CASE NOT DISMISSED - TWO PARAMEDICS FIRED AFTER LETTER TO BOARD ABOUT MGT </w:t>
      </w:r>
      <w:r w:rsidRPr="008A5B80">
        <w:rPr>
          <w:sz w:val="24"/>
          <w:szCs w:val="24"/>
        </w:rPr>
        <w:t xml:space="preserve">[also filed, Chap. </w:t>
      </w:r>
      <w:r>
        <w:rPr>
          <w:sz w:val="24"/>
          <w:szCs w:val="24"/>
        </w:rPr>
        <w:t>6</w:t>
      </w:r>
      <w:r w:rsidRPr="008A5B80">
        <w:rPr>
          <w:sz w:val="24"/>
          <w:szCs w:val="24"/>
        </w:rPr>
        <w:t>]</w:t>
      </w:r>
    </w:p>
    <w:p w14:paraId="22CD49E7" w14:textId="77777777" w:rsidR="00DA4990" w:rsidRDefault="00DA4990" w:rsidP="00DA4990">
      <w:pPr>
        <w:pStyle w:val="NoSpacing"/>
        <w:rPr>
          <w:b/>
          <w:sz w:val="24"/>
          <w:szCs w:val="24"/>
        </w:rPr>
      </w:pPr>
    </w:p>
    <w:p w14:paraId="1A052ED3" w14:textId="77777777" w:rsidR="006114FF" w:rsidRDefault="00DA4990" w:rsidP="006114FF">
      <w:pPr>
        <w:rPr>
          <w:rFonts w:ascii="Times New Roman" w:hAnsi="Times New Roman"/>
          <w:sz w:val="24"/>
          <w:szCs w:val="24"/>
        </w:rPr>
      </w:pPr>
      <w:r w:rsidRPr="006114FF">
        <w:rPr>
          <w:rFonts w:ascii="Times New Roman" w:hAnsi="Times New Roman"/>
          <w:sz w:val="24"/>
          <w:szCs w:val="24"/>
        </w:rPr>
        <w:t xml:space="preserve">On July 18, 2018, in </w:t>
      </w:r>
      <w:r w:rsidRPr="006114FF">
        <w:rPr>
          <w:rFonts w:ascii="Times New Roman" w:hAnsi="Times New Roman"/>
          <w:sz w:val="24"/>
          <w:szCs w:val="24"/>
          <w:u w:val="single"/>
        </w:rPr>
        <w:t>Patrick Alan Benfield &amp; Brian Warren v. Joe Magee, et al</w:t>
      </w:r>
      <w:r w:rsidRPr="006114FF">
        <w:rPr>
          <w:rFonts w:ascii="Times New Roman" w:hAnsi="Times New Roman"/>
          <w:sz w:val="24"/>
          <w:szCs w:val="24"/>
        </w:rPr>
        <w:t xml:space="preserve">., U.S. District Court Judge Elizabeth Foote, Western District of Louisiana, held that a lawsuit by two paramedics fired by Desoto Parish EMS may proceed to trial.  They were fired after Warren wrote a letter to a member of the Desoto Parish Police Jury (they </w:t>
      </w:r>
      <w:proofErr w:type="gramStart"/>
      <w:r w:rsidRPr="006114FF">
        <w:rPr>
          <w:rFonts w:ascii="Times New Roman" w:hAnsi="Times New Roman"/>
          <w:sz w:val="24"/>
          <w:szCs w:val="24"/>
        </w:rPr>
        <w:t>appoint</w:t>
      </w:r>
      <w:proofErr w:type="gramEnd"/>
      <w:r w:rsidRPr="006114FF">
        <w:rPr>
          <w:rFonts w:ascii="Times New Roman" w:hAnsi="Times New Roman"/>
          <w:sz w:val="24"/>
          <w:szCs w:val="24"/>
        </w:rPr>
        <w:t xml:space="preserve"> the Board of Commissioners of the Desoto Parish EMS).   The Judge ruled: </w:t>
      </w:r>
    </w:p>
    <w:p w14:paraId="08727202" w14:textId="00DA1F5E" w:rsidR="00DA4990" w:rsidRPr="006114FF" w:rsidRDefault="00DA4990" w:rsidP="00BC17B3">
      <w:pPr>
        <w:ind w:left="720"/>
        <w:rPr>
          <w:rFonts w:ascii="Times New Roman" w:hAnsi="Times New Roman"/>
          <w:sz w:val="24"/>
          <w:szCs w:val="24"/>
        </w:rPr>
      </w:pPr>
      <w:r w:rsidRPr="006114FF">
        <w:rPr>
          <w:rFonts w:ascii="Times New Roman" w:hAnsi="Times New Roman"/>
          <w:sz w:val="24"/>
          <w:szCs w:val="24"/>
        </w:rPr>
        <w:t xml:space="preserve">“The motion [to dismiss] is DENIED as to Warren’s </w:t>
      </w:r>
      <w:proofErr w:type="gramStart"/>
      <w:r w:rsidRPr="006114FF">
        <w:rPr>
          <w:rFonts w:ascii="Times New Roman" w:hAnsi="Times New Roman"/>
          <w:sz w:val="24"/>
          <w:szCs w:val="24"/>
        </w:rPr>
        <w:t>free speech</w:t>
      </w:r>
      <w:proofErr w:type="gramEnd"/>
      <w:r w:rsidRPr="006114FF">
        <w:rPr>
          <w:rFonts w:ascii="Times New Roman" w:hAnsi="Times New Roman"/>
          <w:sz w:val="24"/>
          <w:szCs w:val="24"/>
        </w:rPr>
        <w:t xml:space="preserve"> claim because the facts alleged establish that his letter was protected speech.”  </w:t>
      </w:r>
      <w:hyperlink r:id="rId2470" w:history="1">
        <w:r w:rsidRPr="006114FF">
          <w:rPr>
            <w:rStyle w:val="Hyperlink"/>
            <w:rFonts w:ascii="Times New Roman" w:hAnsi="Times New Roman"/>
            <w:sz w:val="24"/>
            <w:szCs w:val="24"/>
          </w:rPr>
          <w:t>https://cases.justia.com/federal/district-courts/louisiana/lawdce/5:2018cv00034/160852/18/0.pdf?ts=1532079100</w:t>
        </w:r>
      </w:hyperlink>
    </w:p>
    <w:p w14:paraId="298C6974" w14:textId="77777777" w:rsidR="00DA4990" w:rsidRPr="006114FF" w:rsidRDefault="00DA4990" w:rsidP="00DA4990">
      <w:pPr>
        <w:rPr>
          <w:rFonts w:ascii="Times New Roman" w:hAnsi="Times New Roman"/>
          <w:b/>
          <w:sz w:val="24"/>
          <w:szCs w:val="24"/>
        </w:rPr>
      </w:pPr>
      <w:r w:rsidRPr="006114FF">
        <w:rPr>
          <w:rFonts w:ascii="Times New Roman" w:hAnsi="Times New Roman"/>
          <w:b/>
          <w:sz w:val="24"/>
          <w:szCs w:val="24"/>
        </w:rPr>
        <w:t xml:space="preserve">Legal Lessons Learned: First Amendment </w:t>
      </w:r>
      <w:proofErr w:type="gramStart"/>
      <w:r w:rsidRPr="006114FF">
        <w:rPr>
          <w:rFonts w:ascii="Times New Roman" w:hAnsi="Times New Roman"/>
          <w:b/>
          <w:sz w:val="24"/>
          <w:szCs w:val="24"/>
        </w:rPr>
        <w:t>free speech</w:t>
      </w:r>
      <w:proofErr w:type="gramEnd"/>
      <w:r w:rsidRPr="006114FF">
        <w:rPr>
          <w:rFonts w:ascii="Times New Roman" w:hAnsi="Times New Roman"/>
          <w:b/>
          <w:sz w:val="24"/>
          <w:szCs w:val="24"/>
        </w:rPr>
        <w:t xml:space="preserve"> cases are </w:t>
      </w:r>
      <w:proofErr w:type="gramStart"/>
      <w:r w:rsidRPr="006114FF">
        <w:rPr>
          <w:rFonts w:ascii="Times New Roman" w:hAnsi="Times New Roman"/>
          <w:b/>
          <w:sz w:val="24"/>
          <w:szCs w:val="24"/>
        </w:rPr>
        <w:t>increasing</w:t>
      </w:r>
      <w:proofErr w:type="gramEnd"/>
      <w:r w:rsidRPr="006114FF">
        <w:rPr>
          <w:rFonts w:ascii="Times New Roman" w:hAnsi="Times New Roman"/>
          <w:b/>
          <w:sz w:val="24"/>
          <w:szCs w:val="24"/>
        </w:rPr>
        <w:t xml:space="preserve"> </w:t>
      </w:r>
      <w:proofErr w:type="gramStart"/>
      <w:r w:rsidRPr="006114FF">
        <w:rPr>
          <w:rFonts w:ascii="Times New Roman" w:hAnsi="Times New Roman"/>
          <w:b/>
          <w:sz w:val="24"/>
          <w:szCs w:val="24"/>
        </w:rPr>
        <w:t>being permitted</w:t>
      </w:r>
      <w:proofErr w:type="gramEnd"/>
      <w:r w:rsidRPr="006114FF">
        <w:rPr>
          <w:rFonts w:ascii="Times New Roman" w:hAnsi="Times New Roman"/>
          <w:b/>
          <w:sz w:val="24"/>
          <w:szCs w:val="24"/>
        </w:rPr>
        <w:t xml:space="preserve"> to go to the jury.  Fire &amp; EMS Departments should thoroughly document reasons for termination, including employees who serve “at will.”</w:t>
      </w:r>
    </w:p>
    <w:bookmarkEnd w:id="546"/>
    <w:p w14:paraId="04D8F5AE" w14:textId="77777777" w:rsidR="00BC17B3" w:rsidRDefault="00BC17B3" w:rsidP="00DE0F03">
      <w:pPr>
        <w:pStyle w:val="NoSpacing"/>
        <w:rPr>
          <w:rFonts w:ascii="Arial Black" w:hAnsi="Arial Black"/>
          <w:sz w:val="24"/>
          <w:szCs w:val="24"/>
        </w:rPr>
      </w:pPr>
    </w:p>
    <w:p w14:paraId="746CA2B1" w14:textId="4A60F662" w:rsidR="00DE0F03" w:rsidRDefault="00DE0F03" w:rsidP="00DE0F03">
      <w:pPr>
        <w:pStyle w:val="NoSpacing"/>
        <w:rPr>
          <w:rFonts w:ascii="Arial Black" w:hAnsi="Arial Black"/>
          <w:sz w:val="24"/>
          <w:szCs w:val="24"/>
        </w:rPr>
      </w:pPr>
      <w:r>
        <w:rPr>
          <w:rFonts w:ascii="Arial Black" w:hAnsi="Arial Black"/>
          <w:sz w:val="24"/>
          <w:szCs w:val="24"/>
        </w:rPr>
        <w:t>13-7</w:t>
      </w:r>
    </w:p>
    <w:p w14:paraId="3FDB1CEF" w14:textId="77777777" w:rsidR="00DA4990" w:rsidRDefault="00DA4990" w:rsidP="00F326E5">
      <w:pPr>
        <w:pStyle w:val="NoSpacing"/>
        <w:rPr>
          <w:sz w:val="24"/>
          <w:szCs w:val="24"/>
        </w:rPr>
      </w:pPr>
    </w:p>
    <w:p w14:paraId="31735E12" w14:textId="28F8D8C2" w:rsidR="00F326E5" w:rsidRDefault="00F326E5" w:rsidP="00F326E5">
      <w:pPr>
        <w:pStyle w:val="NoSpacing"/>
        <w:rPr>
          <w:rFonts w:ascii="Arial Black" w:hAnsi="Arial Black"/>
          <w:b/>
          <w:sz w:val="24"/>
          <w:szCs w:val="24"/>
        </w:rPr>
      </w:pPr>
      <w:bookmarkStart w:id="547" w:name="_Hlk7347202"/>
      <w:r w:rsidRPr="00C17E65">
        <w:rPr>
          <w:rFonts w:ascii="Arial Black" w:hAnsi="Arial Black"/>
          <w:b/>
          <w:sz w:val="28"/>
          <w:szCs w:val="28"/>
        </w:rPr>
        <w:t>KY: EMT WHISTLEBLOWER</w:t>
      </w:r>
      <w:r w:rsidR="00DA4990">
        <w:rPr>
          <w:rFonts w:ascii="Arial Black" w:hAnsi="Arial Black"/>
          <w:b/>
          <w:sz w:val="28"/>
          <w:szCs w:val="28"/>
        </w:rPr>
        <w:t xml:space="preserve"> – ALLEGED </w:t>
      </w:r>
      <w:r>
        <w:rPr>
          <w:rFonts w:ascii="Arial Black" w:hAnsi="Arial Black"/>
          <w:b/>
          <w:sz w:val="28"/>
          <w:szCs w:val="28"/>
        </w:rPr>
        <w:t xml:space="preserve">TRANSPORTS NOT MEDICALLY NECESSARY – BUT </w:t>
      </w:r>
      <w:r w:rsidR="00DA4990">
        <w:rPr>
          <w:rFonts w:ascii="Arial Black" w:hAnsi="Arial Black"/>
          <w:b/>
          <w:sz w:val="28"/>
          <w:szCs w:val="28"/>
        </w:rPr>
        <w:t xml:space="preserve">FAILED TO PROVIDE </w:t>
      </w:r>
      <w:r>
        <w:rPr>
          <w:rFonts w:ascii="Arial Black" w:hAnsi="Arial Black"/>
          <w:b/>
          <w:sz w:val="28"/>
          <w:szCs w:val="28"/>
        </w:rPr>
        <w:t>SPECIFIC</w:t>
      </w:r>
      <w:r w:rsidR="00DA4990">
        <w:rPr>
          <w:rFonts w:ascii="Arial Black" w:hAnsi="Arial Black"/>
          <w:b/>
          <w:sz w:val="28"/>
          <w:szCs w:val="28"/>
        </w:rPr>
        <w:t>S</w:t>
      </w:r>
      <w:r>
        <w:rPr>
          <w:rFonts w:ascii="Arial Black" w:hAnsi="Arial Black"/>
          <w:b/>
          <w:sz w:val="28"/>
          <w:szCs w:val="28"/>
        </w:rPr>
        <w:t xml:space="preserve"> </w:t>
      </w:r>
    </w:p>
    <w:p w14:paraId="31EC9695"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June 21, </w:t>
      </w:r>
      <w:proofErr w:type="gramStart"/>
      <w:r w:rsidRPr="00BC17B3">
        <w:rPr>
          <w:rFonts w:ascii="Times New Roman" w:eastAsia="Times New Roman" w:hAnsi="Times New Roman"/>
          <w:sz w:val="24"/>
          <w:szCs w:val="24"/>
        </w:rPr>
        <w:t>2018</w:t>
      </w:r>
      <w:proofErr w:type="gramEnd"/>
      <w:r w:rsidRPr="00BC17B3">
        <w:rPr>
          <w:rFonts w:ascii="Times New Roman" w:eastAsia="Times New Roman" w:hAnsi="Times New Roman"/>
          <w:sz w:val="24"/>
          <w:szCs w:val="24"/>
        </w:rPr>
        <w:t xml:space="preserve"> in </w:t>
      </w:r>
      <w:r w:rsidRPr="00BC17B3">
        <w:rPr>
          <w:rFonts w:ascii="Times New Roman" w:eastAsia="Times New Roman" w:hAnsi="Times New Roman"/>
          <w:sz w:val="24"/>
          <w:szCs w:val="24"/>
          <w:u w:val="single"/>
        </w:rPr>
        <w:t>United States of America ex rel. Jessica N. Stripe v. Powell County Fiscal Court</w:t>
      </w:r>
      <w:r w:rsidRPr="00BC17B3">
        <w:rPr>
          <w:rFonts w:ascii="Times New Roman" w:eastAsia="Times New Roman" w:hAnsi="Times New Roman"/>
          <w:sz w:val="24"/>
          <w:szCs w:val="24"/>
        </w:rPr>
        <w:t xml:space="preserve">, U.S. District Court Judge Karen Caldwell, Lexington, Kentucky, dismissed a “whistleblower” lawsuit by an EMS employee.    </w:t>
      </w:r>
    </w:p>
    <w:p w14:paraId="5C5994E3" w14:textId="77777777" w:rsidR="00F326E5" w:rsidRPr="00BC17B3" w:rsidRDefault="00F326E5" w:rsidP="00F326E5">
      <w:pPr>
        <w:ind w:left="720"/>
        <w:rPr>
          <w:rFonts w:ascii="Times New Roman" w:eastAsia="Times New Roman" w:hAnsi="Times New Roman"/>
          <w:sz w:val="24"/>
          <w:szCs w:val="24"/>
        </w:rPr>
      </w:pPr>
      <w:r w:rsidRPr="00BC17B3">
        <w:rPr>
          <w:rFonts w:ascii="Times New Roman" w:eastAsia="Times New Roman" w:hAnsi="Times New Roman"/>
          <w:sz w:val="24"/>
          <w:szCs w:val="24"/>
        </w:rPr>
        <w:t xml:space="preserve">“Stipe was employed in a care provider role as an </w:t>
      </w:r>
      <w:proofErr w:type="gramStart"/>
      <w:r w:rsidRPr="00BC17B3">
        <w:rPr>
          <w:rFonts w:ascii="Times New Roman" w:eastAsia="Times New Roman" w:hAnsi="Times New Roman"/>
          <w:sz w:val="24"/>
          <w:szCs w:val="24"/>
        </w:rPr>
        <w:t>EMT</w:t>
      </w:r>
      <w:proofErr w:type="gramEnd"/>
      <w:r w:rsidRPr="00BC17B3">
        <w:rPr>
          <w:rFonts w:ascii="Times New Roman" w:eastAsia="Times New Roman" w:hAnsi="Times New Roman"/>
          <w:sz w:val="24"/>
          <w:szCs w:val="24"/>
        </w:rPr>
        <w:t xml:space="preserve"> and she does not allege that her job involved any work related to billing or that it gave her detailed or specialized knowledge of PCFC's billing practices…. Accordingly, Stipe lacks the specialized knowledge necessary to invoke the exception to Rule 9(b).”</w:t>
      </w:r>
    </w:p>
    <w:p w14:paraId="73B1C298" w14:textId="77777777" w:rsidR="00F326E5" w:rsidRPr="00BC17B3" w:rsidRDefault="00F326E5" w:rsidP="00F326E5">
      <w:pPr>
        <w:ind w:left="720"/>
        <w:rPr>
          <w:rFonts w:ascii="Times New Roman" w:eastAsia="Times New Roman" w:hAnsi="Times New Roman"/>
          <w:sz w:val="24"/>
          <w:szCs w:val="24"/>
        </w:rPr>
      </w:pPr>
      <w:hyperlink r:id="rId2471" w:history="1">
        <w:r w:rsidRPr="00BC17B3">
          <w:rPr>
            <w:rStyle w:val="Hyperlink"/>
            <w:rFonts w:ascii="Times New Roman" w:hAnsi="Times New Roman"/>
            <w:sz w:val="24"/>
            <w:szCs w:val="24"/>
          </w:rPr>
          <w:t>https://cases.justia.com/federal/district-courts/kentucky/kyedce/5:2016cv00446/81785/59/0.pdf?ts=1529661227</w:t>
        </w:r>
      </w:hyperlink>
      <w:r w:rsidRPr="00BC17B3">
        <w:rPr>
          <w:rFonts w:ascii="Times New Roman" w:eastAsia="Times New Roman" w:hAnsi="Times New Roman"/>
          <w:sz w:val="24"/>
          <w:szCs w:val="24"/>
        </w:rPr>
        <w:t xml:space="preserve"> </w:t>
      </w:r>
    </w:p>
    <w:p w14:paraId="05834446" w14:textId="77777777" w:rsidR="00F326E5" w:rsidRPr="00BC17B3" w:rsidRDefault="00F326E5" w:rsidP="00F326E5">
      <w:pPr>
        <w:pStyle w:val="NoSpacing"/>
        <w:rPr>
          <w:rFonts w:ascii="Times New Roman" w:hAnsi="Times New Roman"/>
          <w:b/>
          <w:sz w:val="24"/>
          <w:szCs w:val="24"/>
        </w:rPr>
      </w:pPr>
      <w:r w:rsidRPr="00BC17B3">
        <w:rPr>
          <w:rFonts w:ascii="Times New Roman" w:hAnsi="Times New Roman"/>
          <w:b/>
          <w:sz w:val="24"/>
          <w:szCs w:val="24"/>
        </w:rPr>
        <w:t xml:space="preserve">Legal Lessons Learned:  Whistleblowers alleging fraudulent “up charging” must include in their complaint specific information about </w:t>
      </w:r>
      <w:proofErr w:type="gramStart"/>
      <w:r w:rsidRPr="00BC17B3">
        <w:rPr>
          <w:rFonts w:ascii="Times New Roman" w:hAnsi="Times New Roman"/>
          <w:b/>
          <w:sz w:val="24"/>
          <w:szCs w:val="24"/>
        </w:rPr>
        <w:t>particular EMS</w:t>
      </w:r>
      <w:proofErr w:type="gramEnd"/>
      <w:r w:rsidRPr="00BC17B3">
        <w:rPr>
          <w:rFonts w:ascii="Times New Roman" w:hAnsi="Times New Roman"/>
          <w:b/>
          <w:sz w:val="24"/>
          <w:szCs w:val="24"/>
        </w:rPr>
        <w:t xml:space="preserve"> runs where Medicare was overbilled.  With specifics, the U.S. Attorney can launch an investigation of the complaint that has been filed under seal.  </w:t>
      </w:r>
    </w:p>
    <w:p w14:paraId="17DED912" w14:textId="77777777" w:rsidR="00F326E5" w:rsidRPr="00BC17B3" w:rsidRDefault="00F326E5" w:rsidP="00F326E5">
      <w:pPr>
        <w:pStyle w:val="NoSpacing"/>
        <w:ind w:left="720"/>
        <w:rPr>
          <w:rFonts w:ascii="Times New Roman" w:eastAsia="Times New Roman" w:hAnsi="Times New Roman"/>
          <w:sz w:val="24"/>
          <w:szCs w:val="24"/>
        </w:rPr>
      </w:pPr>
      <w:r w:rsidRPr="00BC17B3">
        <w:rPr>
          <w:rFonts w:ascii="Times New Roman" w:hAnsi="Times New Roman"/>
          <w:sz w:val="24"/>
          <w:szCs w:val="24"/>
        </w:rPr>
        <w:t xml:space="preserve">See U.S. Department of Justice report: </w:t>
      </w:r>
      <w:r w:rsidRPr="00BC17B3">
        <w:rPr>
          <w:rFonts w:ascii="Times New Roman" w:eastAsia="Times New Roman" w:hAnsi="Times New Roman"/>
          <w:sz w:val="24"/>
          <w:szCs w:val="24"/>
        </w:rPr>
        <w:t xml:space="preserve">“Of the $3.7 billion in settlements and judgments reported by the government in fiscal year 2017, $3.4 billion related to lawsuits filed under the qui tam provisions of the False Claims Act.  During the same period, the government paid out $392 million to the individuals who exposed fraud and false claims by filing a qui tam complaint.” </w:t>
      </w:r>
      <w:hyperlink r:id="rId2472" w:history="1">
        <w:r w:rsidRPr="00BC17B3">
          <w:rPr>
            <w:rStyle w:val="Hyperlink"/>
            <w:rFonts w:ascii="Times New Roman" w:hAnsi="Times New Roman"/>
            <w:sz w:val="24"/>
            <w:szCs w:val="24"/>
          </w:rPr>
          <w:t>https://www.justice.gov/opa/pr/justice-department-recovers-over-37-billion-false-claims-act-cases-fiscal-year-2017</w:t>
        </w:r>
      </w:hyperlink>
      <w:r w:rsidRPr="00BC17B3">
        <w:rPr>
          <w:rFonts w:ascii="Times New Roman" w:eastAsia="Times New Roman" w:hAnsi="Times New Roman"/>
          <w:sz w:val="24"/>
          <w:szCs w:val="24"/>
        </w:rPr>
        <w:t xml:space="preserve"> </w:t>
      </w:r>
    </w:p>
    <w:bookmarkEnd w:id="547"/>
    <w:p w14:paraId="5B3A3E63" w14:textId="77777777" w:rsidR="00F326E5" w:rsidRPr="00BC17B3" w:rsidRDefault="00F326E5" w:rsidP="00F326E5">
      <w:pPr>
        <w:ind w:left="720"/>
        <w:rPr>
          <w:rFonts w:ascii="Times New Roman" w:eastAsia="Times New Roman" w:hAnsi="Times New Roman"/>
          <w:sz w:val="24"/>
          <w:szCs w:val="24"/>
        </w:rPr>
      </w:pPr>
    </w:p>
    <w:p w14:paraId="1C21654E" w14:textId="2C4F2C8B" w:rsidR="00DE0F03" w:rsidRDefault="00DE0F03" w:rsidP="00DE0F03">
      <w:pPr>
        <w:pStyle w:val="NoSpacing"/>
        <w:rPr>
          <w:rFonts w:ascii="Arial Black" w:hAnsi="Arial Black"/>
          <w:sz w:val="24"/>
          <w:szCs w:val="24"/>
        </w:rPr>
      </w:pPr>
      <w:r>
        <w:rPr>
          <w:rFonts w:ascii="Arial Black" w:hAnsi="Arial Black"/>
          <w:sz w:val="24"/>
          <w:szCs w:val="24"/>
        </w:rPr>
        <w:t>13-6</w:t>
      </w:r>
    </w:p>
    <w:p w14:paraId="727B7417" w14:textId="77777777" w:rsidR="00F326E5" w:rsidRDefault="00F326E5" w:rsidP="00F326E5">
      <w:pPr>
        <w:pStyle w:val="NoSpacing"/>
        <w:rPr>
          <w:b/>
          <w:sz w:val="24"/>
          <w:szCs w:val="24"/>
        </w:rPr>
      </w:pPr>
    </w:p>
    <w:p w14:paraId="05219BCF" w14:textId="6DF89A59" w:rsidR="00F326E5" w:rsidRPr="00F65F37" w:rsidRDefault="00F326E5" w:rsidP="00F326E5">
      <w:pPr>
        <w:pStyle w:val="NoSpacing"/>
        <w:rPr>
          <w:b/>
          <w:sz w:val="28"/>
          <w:szCs w:val="28"/>
        </w:rPr>
      </w:pPr>
      <w:bookmarkStart w:id="548" w:name="_Hlk7347344"/>
      <w:r w:rsidRPr="00F65F37">
        <w:rPr>
          <w:rFonts w:ascii="Arial Black" w:hAnsi="Arial Black"/>
          <w:b/>
          <w:sz w:val="28"/>
          <w:szCs w:val="28"/>
        </w:rPr>
        <w:t xml:space="preserve">VA: </w:t>
      </w:r>
      <w:r>
        <w:rPr>
          <w:rFonts w:ascii="Arial Black" w:hAnsi="Arial Black"/>
          <w:b/>
          <w:sz w:val="28"/>
          <w:szCs w:val="28"/>
        </w:rPr>
        <w:t xml:space="preserve">AMMONIA CAPSULES FOUND IN NOSE OF </w:t>
      </w:r>
      <w:r w:rsidR="0048537E">
        <w:rPr>
          <w:rFonts w:ascii="Arial Black" w:hAnsi="Arial Black"/>
          <w:b/>
          <w:sz w:val="28"/>
          <w:szCs w:val="28"/>
        </w:rPr>
        <w:t xml:space="preserve">DECEASED </w:t>
      </w:r>
      <w:r>
        <w:rPr>
          <w:rFonts w:ascii="Arial Black" w:hAnsi="Arial Black"/>
          <w:b/>
          <w:sz w:val="28"/>
          <w:szCs w:val="28"/>
        </w:rPr>
        <w:t xml:space="preserve">JAIL INMATE - LAWSUIT AGAINST NURSE, OTHERS </w:t>
      </w:r>
      <w:r w:rsidR="0048537E">
        <w:rPr>
          <w:rFonts w:ascii="Arial Black" w:hAnsi="Arial Black"/>
          <w:b/>
          <w:sz w:val="28"/>
          <w:szCs w:val="28"/>
        </w:rPr>
        <w:t xml:space="preserve">MAY </w:t>
      </w:r>
      <w:r>
        <w:rPr>
          <w:rFonts w:ascii="Arial Black" w:hAnsi="Arial Black"/>
          <w:b/>
          <w:sz w:val="28"/>
          <w:szCs w:val="28"/>
        </w:rPr>
        <w:t>PROCEED</w:t>
      </w:r>
    </w:p>
    <w:p w14:paraId="7562F4A4"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May 31, 2018, in </w:t>
      </w:r>
      <w:r w:rsidRPr="00BC17B3">
        <w:rPr>
          <w:rFonts w:ascii="Times New Roman" w:eastAsia="Times New Roman" w:hAnsi="Times New Roman"/>
          <w:sz w:val="24"/>
          <w:szCs w:val="24"/>
          <w:u w:val="single"/>
        </w:rPr>
        <w:t>Benjamin M. Andrews, Administrator of Estate of Zachary Tuggle v. Sheriff C.T. Woody, et al.</w:t>
      </w:r>
      <w:r w:rsidRPr="00BC17B3">
        <w:rPr>
          <w:rFonts w:ascii="Times New Roman" w:eastAsia="Times New Roman" w:hAnsi="Times New Roman"/>
          <w:sz w:val="24"/>
          <w:szCs w:val="24"/>
        </w:rPr>
        <w:t>, a U.S. District Court Judge for Eastern District of Virginia (Richmond Division), issued two memorandum, holding (1) jail nurse and other jail personnel will not be granted summary judgment; and (2) that defense expert report of Dr. William J. Brady will not be admitted.</w:t>
      </w:r>
    </w:p>
    <w:p w14:paraId="70502A5E" w14:textId="77777777" w:rsidR="00F326E5" w:rsidRPr="00BC17B3" w:rsidRDefault="00F326E5" w:rsidP="00F326E5">
      <w:pPr>
        <w:pStyle w:val="ListParagraph"/>
        <w:rPr>
          <w:rFonts w:ascii="Times New Roman" w:eastAsia="Times New Roman" w:hAnsi="Times New Roman" w:cs="Times New Roman"/>
          <w:sz w:val="24"/>
          <w:szCs w:val="24"/>
        </w:rPr>
      </w:pPr>
      <w:hyperlink r:id="rId2473" w:history="1">
        <w:r w:rsidRPr="00BC17B3">
          <w:rPr>
            <w:rStyle w:val="Hyperlink"/>
            <w:rFonts w:ascii="Times New Roman" w:hAnsi="Times New Roman" w:cs="Times New Roman"/>
            <w:sz w:val="24"/>
            <w:szCs w:val="24"/>
          </w:rPr>
          <w:t>https://cases.justia.com/federal/district-courts/virginia/vaedce/3:2017cv00167/360316/92/0.pdf?ts=1527856286</w:t>
        </w:r>
      </w:hyperlink>
      <w:r w:rsidRPr="00BC17B3">
        <w:rPr>
          <w:rFonts w:ascii="Times New Roman" w:eastAsia="Times New Roman" w:hAnsi="Times New Roman" w:cs="Times New Roman"/>
          <w:sz w:val="24"/>
          <w:szCs w:val="24"/>
        </w:rPr>
        <w:t xml:space="preserve"> </w:t>
      </w:r>
    </w:p>
    <w:p w14:paraId="28FAF68E" w14:textId="77777777" w:rsidR="00F326E5" w:rsidRPr="00BC17B3" w:rsidRDefault="00F326E5" w:rsidP="00F326E5">
      <w:pPr>
        <w:spacing w:before="100" w:beforeAutospacing="1" w:after="100" w:afterAutospacing="1"/>
        <w:rPr>
          <w:rFonts w:ascii="Times New Roman" w:eastAsia="Times New Roman" w:hAnsi="Times New Roman"/>
          <w:b/>
          <w:sz w:val="24"/>
          <w:szCs w:val="24"/>
        </w:rPr>
      </w:pPr>
      <w:r w:rsidRPr="00BC17B3">
        <w:rPr>
          <w:rFonts w:ascii="Times New Roman" w:eastAsia="Times New Roman" w:hAnsi="Times New Roman"/>
          <w:b/>
          <w:sz w:val="24"/>
          <w:szCs w:val="24"/>
        </w:rPr>
        <w:t xml:space="preserve">Legal Lessons Learned: EMS in this case properly documented to unusual conditions they observed.  </w:t>
      </w:r>
    </w:p>
    <w:p w14:paraId="3ED15E15" w14:textId="77777777" w:rsidR="00F326E5" w:rsidRPr="00BC17B3" w:rsidRDefault="00F326E5" w:rsidP="00F326E5">
      <w:pPr>
        <w:spacing w:before="100" w:beforeAutospacing="1" w:after="100" w:afterAutospacing="1"/>
        <w:ind w:left="720"/>
        <w:rPr>
          <w:rFonts w:ascii="Times New Roman" w:eastAsia="Times New Roman" w:hAnsi="Times New Roman"/>
          <w:b/>
          <w:sz w:val="24"/>
          <w:szCs w:val="24"/>
        </w:rPr>
      </w:pPr>
      <w:r w:rsidRPr="00BC17B3">
        <w:rPr>
          <w:rFonts w:ascii="Times New Roman" w:eastAsia="Times New Roman" w:hAnsi="Times New Roman"/>
          <w:sz w:val="24"/>
          <w:szCs w:val="24"/>
        </w:rPr>
        <w:t xml:space="preserve">The U.S. Supreme Court has instructed judges to carefully screen reports of proposed “experts.”  Daubert v. Merrell Dow Pharms., Inc., 509 U.S. 579 (1993); Kumho Tire Co. v. Carmichael, 526 U.S. 137 (1999).  Federal Rules of Evidence were adopted to further clarify review of proposed expert written reports: </w:t>
      </w:r>
      <w:hyperlink r:id="rId2474" w:history="1">
        <w:r w:rsidRPr="00BC17B3">
          <w:rPr>
            <w:rStyle w:val="Hyperlink"/>
            <w:rFonts w:ascii="Times New Roman" w:hAnsi="Times New Roman"/>
            <w:sz w:val="24"/>
            <w:szCs w:val="24"/>
          </w:rPr>
          <w:t>https://www.law.cornell.edu/rules/frcp/rule_26</w:t>
        </w:r>
      </w:hyperlink>
      <w:r w:rsidRPr="00BC17B3">
        <w:rPr>
          <w:rFonts w:ascii="Times New Roman" w:eastAsia="Times New Roman" w:hAnsi="Times New Roman"/>
          <w:sz w:val="24"/>
          <w:szCs w:val="24"/>
        </w:rPr>
        <w:t xml:space="preserve"> </w:t>
      </w:r>
    </w:p>
    <w:p w14:paraId="011323D3" w14:textId="77777777" w:rsidR="00F326E5" w:rsidRPr="00BC17B3" w:rsidRDefault="00F326E5" w:rsidP="00F326E5">
      <w:pPr>
        <w:pStyle w:val="statutory-body-2em"/>
        <w:ind w:left="720"/>
      </w:pPr>
      <w:r w:rsidRPr="00BC17B3">
        <w:t xml:space="preserve">(B) </w:t>
      </w:r>
      <w:r w:rsidRPr="00BC17B3">
        <w:rPr>
          <w:rStyle w:val="Emphasis"/>
        </w:rPr>
        <w:t>Witnesses Who Must Provide a</w:t>
      </w:r>
      <w:r w:rsidRPr="00BC17B3">
        <w:t xml:space="preserve"> </w:t>
      </w:r>
      <w:r w:rsidRPr="00BC17B3">
        <w:rPr>
          <w:rStyle w:val="Emphasis"/>
        </w:rPr>
        <w:t>Written Report.</w:t>
      </w:r>
      <w:r w:rsidRPr="00BC17B3">
        <w:t xml:space="preserve"> Unless otherwise stipulated or ordered by the court, this disclosure must be accompanied by a written report—prepared and signed by the witness—if the witness is one retained or specially employed to provide expert testimony in the case or one whose duties as the party's employee regularly involve giving expert testimony. The report must contain:</w:t>
      </w:r>
    </w:p>
    <w:p w14:paraId="5652011C" w14:textId="77777777" w:rsidR="00F326E5" w:rsidRPr="00BC17B3" w:rsidRDefault="00F326E5" w:rsidP="00F326E5">
      <w:pPr>
        <w:pStyle w:val="statutory-body-3em"/>
        <w:ind w:left="720"/>
      </w:pPr>
      <w:r w:rsidRPr="00BC17B3">
        <w:t>(</w:t>
      </w:r>
      <w:proofErr w:type="spellStart"/>
      <w:r w:rsidRPr="00BC17B3">
        <w:t>i</w:t>
      </w:r>
      <w:proofErr w:type="spellEnd"/>
      <w:r w:rsidRPr="00BC17B3">
        <w:t>) a complete statement of all opinions the witness will express and the basis and reasons for them;</w:t>
      </w:r>
    </w:p>
    <w:p w14:paraId="23017680" w14:textId="77777777" w:rsidR="00F326E5" w:rsidRPr="00BC17B3" w:rsidRDefault="00F326E5" w:rsidP="00F326E5">
      <w:pPr>
        <w:pStyle w:val="statutory-body-3em"/>
        <w:ind w:firstLine="720"/>
      </w:pPr>
      <w:r w:rsidRPr="00BC17B3">
        <w:t>(ii) the facts or data considered by the witness in forming them;</w:t>
      </w:r>
    </w:p>
    <w:p w14:paraId="0A2BDDF3" w14:textId="77777777" w:rsidR="00F326E5" w:rsidRPr="00BC17B3" w:rsidRDefault="00F326E5" w:rsidP="00F326E5">
      <w:pPr>
        <w:pStyle w:val="statutory-body-3em"/>
        <w:ind w:left="720"/>
      </w:pPr>
      <w:r w:rsidRPr="00BC17B3">
        <w:t>(iii) any exhibits that will be used to summarize or support them;(iv) the witness's qualifications, including a list of all publications authored in the previous 10 years;</w:t>
      </w:r>
    </w:p>
    <w:p w14:paraId="4FEE77C3" w14:textId="77777777" w:rsidR="00F326E5" w:rsidRPr="00BC17B3" w:rsidRDefault="00F326E5" w:rsidP="00F326E5">
      <w:pPr>
        <w:pStyle w:val="statutory-body-3em"/>
        <w:ind w:left="720"/>
      </w:pPr>
      <w:r w:rsidRPr="00BC17B3">
        <w:t>(v) a list of all other cases in which, during the previous 4 years, the witness testified as an expert at trial or by deposition; and</w:t>
      </w:r>
    </w:p>
    <w:p w14:paraId="0A754E6F" w14:textId="77777777" w:rsidR="00F326E5" w:rsidRPr="00BC17B3" w:rsidRDefault="00F326E5" w:rsidP="00F326E5">
      <w:pPr>
        <w:pStyle w:val="statutory-body-3em"/>
        <w:ind w:firstLine="720"/>
      </w:pPr>
      <w:r w:rsidRPr="00BC17B3">
        <w:t xml:space="preserve">(vi) a statement of </w:t>
      </w:r>
      <w:proofErr w:type="gramStart"/>
      <w:r w:rsidRPr="00BC17B3">
        <w:t>the compensation</w:t>
      </w:r>
      <w:proofErr w:type="gramEnd"/>
      <w:r w:rsidRPr="00BC17B3">
        <w:t xml:space="preserve"> to be paid for the study and testimony in the case.</w:t>
      </w:r>
    </w:p>
    <w:bookmarkEnd w:id="548"/>
    <w:p w14:paraId="514E9C97" w14:textId="77777777" w:rsidR="00F326E5" w:rsidRPr="00BE5483" w:rsidRDefault="00F326E5" w:rsidP="00F326E5">
      <w:pPr>
        <w:ind w:left="720"/>
        <w:rPr>
          <w:rFonts w:eastAsia="Times New Roman"/>
          <w:sz w:val="24"/>
          <w:szCs w:val="24"/>
        </w:rPr>
      </w:pPr>
    </w:p>
    <w:p w14:paraId="6B70332B" w14:textId="0CD6810C" w:rsidR="00DE0F03" w:rsidRDefault="00DE0F03" w:rsidP="00DE0F03">
      <w:pPr>
        <w:pStyle w:val="NoSpacing"/>
        <w:rPr>
          <w:rFonts w:ascii="Arial Black" w:hAnsi="Arial Black"/>
          <w:sz w:val="24"/>
          <w:szCs w:val="24"/>
        </w:rPr>
      </w:pPr>
      <w:r>
        <w:rPr>
          <w:rFonts w:ascii="Arial Black" w:hAnsi="Arial Black"/>
          <w:sz w:val="24"/>
          <w:szCs w:val="24"/>
        </w:rPr>
        <w:t>13-5</w:t>
      </w:r>
    </w:p>
    <w:p w14:paraId="34A0A897" w14:textId="77777777" w:rsidR="0048537E" w:rsidRDefault="0048537E" w:rsidP="00F326E5">
      <w:pPr>
        <w:rPr>
          <w:sz w:val="24"/>
          <w:szCs w:val="24"/>
        </w:rPr>
      </w:pPr>
    </w:p>
    <w:p w14:paraId="4FDA2366" w14:textId="3D496831" w:rsidR="00F326E5" w:rsidRPr="00F65F37" w:rsidRDefault="00F326E5" w:rsidP="00F326E5">
      <w:pPr>
        <w:rPr>
          <w:rFonts w:ascii="Arial Black" w:hAnsi="Arial Black"/>
          <w:sz w:val="24"/>
          <w:szCs w:val="24"/>
        </w:rPr>
      </w:pPr>
      <w:bookmarkStart w:id="549" w:name="_Hlk41154942"/>
      <w:bookmarkStart w:id="550" w:name="_Hlk7347398"/>
      <w:r w:rsidRPr="00F65F37">
        <w:rPr>
          <w:rFonts w:ascii="Arial Black" w:hAnsi="Arial Black"/>
          <w:sz w:val="28"/>
          <w:szCs w:val="28"/>
        </w:rPr>
        <w:t xml:space="preserve">OH: 911 </w:t>
      </w:r>
      <w:r>
        <w:rPr>
          <w:rFonts w:ascii="Arial Black" w:hAnsi="Arial Black"/>
          <w:sz w:val="28"/>
          <w:szCs w:val="28"/>
        </w:rPr>
        <w:t>“</w:t>
      </w:r>
      <w:r w:rsidRPr="00F65F37">
        <w:rPr>
          <w:rFonts w:ascii="Arial Black" w:hAnsi="Arial Black"/>
          <w:sz w:val="28"/>
          <w:szCs w:val="28"/>
        </w:rPr>
        <w:t>G</w:t>
      </w:r>
      <w:r>
        <w:rPr>
          <w:rFonts w:ascii="Arial Black" w:hAnsi="Arial Black"/>
          <w:sz w:val="28"/>
          <w:szCs w:val="28"/>
        </w:rPr>
        <w:t>OOD SAMARITAN” LAW – DRUG OVERDOSE, CAN AVOID PROSECUTION IF CALL 911</w:t>
      </w:r>
      <w:r w:rsidR="0048537E">
        <w:rPr>
          <w:rFonts w:ascii="Arial Black" w:hAnsi="Arial Black"/>
          <w:sz w:val="28"/>
          <w:szCs w:val="28"/>
        </w:rPr>
        <w:t>, GET TREATMENT</w:t>
      </w:r>
      <w:r>
        <w:rPr>
          <w:rFonts w:ascii="Arial Black" w:hAnsi="Arial Black"/>
          <w:sz w:val="28"/>
          <w:szCs w:val="28"/>
        </w:rPr>
        <w:t xml:space="preserve"> </w:t>
      </w:r>
      <w:r w:rsidRPr="00F65F37">
        <w:rPr>
          <w:sz w:val="24"/>
          <w:szCs w:val="24"/>
        </w:rPr>
        <w:t>[also filed, Chap. 18]</w:t>
      </w:r>
    </w:p>
    <w:p w14:paraId="7E8CD206"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May 18, 2018, in </w:t>
      </w:r>
      <w:r w:rsidRPr="00BC17B3">
        <w:rPr>
          <w:rFonts w:ascii="Times New Roman" w:eastAsia="Times New Roman" w:hAnsi="Times New Roman"/>
          <w:sz w:val="24"/>
          <w:szCs w:val="24"/>
          <w:u w:val="single"/>
        </w:rPr>
        <w:t>State of Ohio v. Andrew Melms</w:t>
      </w:r>
      <w:r w:rsidRPr="00BC17B3">
        <w:rPr>
          <w:rFonts w:ascii="Times New Roman" w:eastAsia="Times New Roman" w:hAnsi="Times New Roman"/>
          <w:sz w:val="24"/>
          <w:szCs w:val="24"/>
        </w:rPr>
        <w:t xml:space="preserve">, the Court of Appeals </w:t>
      </w:r>
      <w:proofErr w:type="gramStart"/>
      <w:r w:rsidRPr="00BC17B3">
        <w:rPr>
          <w:rFonts w:ascii="Times New Roman" w:eastAsia="Times New Roman" w:hAnsi="Times New Roman"/>
          <w:sz w:val="24"/>
          <w:szCs w:val="24"/>
        </w:rPr>
        <w:t>For</w:t>
      </w:r>
      <w:proofErr w:type="gramEnd"/>
      <w:r w:rsidRPr="00BC17B3">
        <w:rPr>
          <w:rFonts w:ascii="Times New Roman" w:eastAsia="Times New Roman" w:hAnsi="Times New Roman"/>
          <w:sz w:val="24"/>
          <w:szCs w:val="24"/>
        </w:rPr>
        <w:t xml:space="preserve"> Second District (Montgomery County), held (3 to 0) that an overdose victim, arrested with </w:t>
      </w:r>
      <w:r w:rsidRPr="00BC17B3">
        <w:rPr>
          <w:rFonts w:ascii="Times New Roman" w:hAnsi="Times New Roman"/>
          <w:sz w:val="24"/>
          <w:szCs w:val="24"/>
        </w:rPr>
        <w:t>six gel caps of fentanyl, was not eligible for immunity; he was in jail and did not enroll in treatment within the 30-day limit set under the new Ohio statute enacted in 2016.  The Court urged the Ohio General Assembly to modify the law: “</w:t>
      </w:r>
      <w:r w:rsidRPr="00BC17B3">
        <w:rPr>
          <w:rFonts w:ascii="Times New Roman" w:eastAsia="Times New Roman" w:hAnsi="Times New Roman"/>
          <w:sz w:val="24"/>
          <w:szCs w:val="24"/>
        </w:rPr>
        <w:t xml:space="preserve">Granted Melms seemingly was an ideal candidate for immunity, but for the clear and unambiguous 30-day window set forth by the legislature. The remedy lies with the </w:t>
      </w:r>
      <w:proofErr w:type="gramStart"/>
      <w:r w:rsidRPr="00BC17B3">
        <w:rPr>
          <w:rFonts w:ascii="Times New Roman" w:eastAsia="Times New Roman" w:hAnsi="Times New Roman"/>
          <w:sz w:val="24"/>
          <w:szCs w:val="24"/>
        </w:rPr>
        <w:t>legislature to</w:t>
      </w:r>
      <w:proofErr w:type="gramEnd"/>
      <w:r w:rsidRPr="00BC17B3">
        <w:rPr>
          <w:rFonts w:ascii="Times New Roman" w:eastAsia="Times New Roman" w:hAnsi="Times New Roman"/>
          <w:sz w:val="24"/>
          <w:szCs w:val="24"/>
        </w:rPr>
        <w:t xml:space="preserve"> either eliminate the 30-day restriction or </w:t>
      </w:r>
      <w:proofErr w:type="gramStart"/>
      <w:r w:rsidRPr="00BC17B3">
        <w:rPr>
          <w:rFonts w:ascii="Times New Roman" w:eastAsia="Times New Roman" w:hAnsi="Times New Roman"/>
          <w:sz w:val="24"/>
          <w:szCs w:val="24"/>
        </w:rPr>
        <w:t>to provide</w:t>
      </w:r>
      <w:proofErr w:type="gramEnd"/>
      <w:r w:rsidRPr="00BC17B3">
        <w:rPr>
          <w:rFonts w:ascii="Times New Roman" w:eastAsia="Times New Roman" w:hAnsi="Times New Roman"/>
          <w:sz w:val="24"/>
          <w:szCs w:val="24"/>
        </w:rPr>
        <w:t xml:space="preserve"> for the exercise of judicial discretion, particularly in those cases of the most vulnerable, often indigent, incarcerated individuals who are unaware of the time limit until after counsel is appointed on the drug offense. In our view, an immediate legislative fix is warranted so that this legislation achieves its laudable </w:t>
      </w:r>
      <w:proofErr w:type="gramStart"/>
      <w:r w:rsidRPr="00BC17B3">
        <w:rPr>
          <w:rFonts w:ascii="Times New Roman" w:eastAsia="Times New Roman" w:hAnsi="Times New Roman"/>
          <w:sz w:val="24"/>
          <w:szCs w:val="24"/>
        </w:rPr>
        <w:t>goals.”</w:t>
      </w:r>
      <w:proofErr w:type="gramEnd"/>
    </w:p>
    <w:p w14:paraId="7B622570" w14:textId="77777777" w:rsidR="00F326E5" w:rsidRPr="00BC17B3" w:rsidRDefault="00F326E5" w:rsidP="00F326E5">
      <w:pPr>
        <w:rPr>
          <w:rStyle w:val="Hyperlink"/>
          <w:rFonts w:ascii="Times New Roman" w:hAnsi="Times New Roman"/>
          <w:b/>
          <w:sz w:val="24"/>
          <w:szCs w:val="24"/>
        </w:rPr>
      </w:pPr>
      <w:hyperlink r:id="rId2475" w:history="1">
        <w:r w:rsidRPr="00BC17B3">
          <w:rPr>
            <w:rStyle w:val="Hyperlink"/>
            <w:rFonts w:ascii="Times New Roman" w:hAnsi="Times New Roman"/>
            <w:sz w:val="24"/>
            <w:szCs w:val="24"/>
          </w:rPr>
          <w:t>https://cases.justia.com/ohio/second-district-court-of-appeals/2018-27685.pdf?ts=1526679598</w:t>
        </w:r>
      </w:hyperlink>
    </w:p>
    <w:p w14:paraId="7F43443A" w14:textId="77777777" w:rsidR="00F326E5" w:rsidRPr="00BC17B3" w:rsidRDefault="00F326E5" w:rsidP="00F326E5">
      <w:pPr>
        <w:rPr>
          <w:rFonts w:ascii="Times New Roman" w:eastAsia="Times New Roman" w:hAnsi="Times New Roman"/>
          <w:b/>
          <w:sz w:val="24"/>
          <w:szCs w:val="24"/>
        </w:rPr>
      </w:pPr>
      <w:r w:rsidRPr="00BC17B3">
        <w:rPr>
          <w:rFonts w:ascii="Times New Roman" w:eastAsia="Times New Roman" w:hAnsi="Times New Roman"/>
          <w:b/>
          <w:sz w:val="24"/>
          <w:szCs w:val="24"/>
        </w:rPr>
        <w:t xml:space="preserve">Legal Lessons Learned:  The “911 Good Samaritan” immunity statute is to encourage drug users and their associates to call 911 for an overdose, and to promptly seek treatment (can receive immunity only twice). </w:t>
      </w:r>
    </w:p>
    <w:p w14:paraId="529D5FBA" w14:textId="77777777" w:rsidR="00F326E5" w:rsidRPr="00BC17B3" w:rsidRDefault="00F326E5" w:rsidP="00F326E5">
      <w:pPr>
        <w:ind w:firstLine="720"/>
        <w:rPr>
          <w:rFonts w:ascii="Times New Roman" w:eastAsia="Times New Roman" w:hAnsi="Times New Roman"/>
          <w:sz w:val="24"/>
          <w:szCs w:val="24"/>
        </w:rPr>
      </w:pPr>
      <w:r w:rsidRPr="00BC17B3">
        <w:rPr>
          <w:rFonts w:ascii="Times New Roman" w:eastAsia="Times New Roman" w:hAnsi="Times New Roman"/>
          <w:sz w:val="24"/>
          <w:szCs w:val="24"/>
        </w:rPr>
        <w:t>Note: 911 Dispatchers ae required to inform overdose patients about the new law:</w:t>
      </w:r>
    </w:p>
    <w:p w14:paraId="7A6E49BE"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R.C. 128.04 provides as follows: </w:t>
      </w:r>
    </w:p>
    <w:p w14:paraId="741002CB"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(A) Public safety answering point personnel who are certified as emergency service </w:t>
      </w:r>
    </w:p>
    <w:p w14:paraId="254820DB"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telecommunicators under section 4742.03 of the Revised Code shall receive training in </w:t>
      </w:r>
    </w:p>
    <w:p w14:paraId="5B2135D1" w14:textId="77777777" w:rsidR="00F326E5" w:rsidRPr="00BC17B3" w:rsidRDefault="00F326E5" w:rsidP="00F326E5">
      <w:pPr>
        <w:pStyle w:val="NoSpacing"/>
        <w:ind w:left="720"/>
        <w:rPr>
          <w:rFonts w:ascii="Times New Roman" w:hAnsi="Times New Roman"/>
          <w:sz w:val="24"/>
          <w:szCs w:val="24"/>
        </w:rPr>
      </w:pPr>
      <w:proofErr w:type="gramStart"/>
      <w:r w:rsidRPr="00BC17B3">
        <w:rPr>
          <w:rFonts w:ascii="Times New Roman" w:hAnsi="Times New Roman"/>
          <w:sz w:val="24"/>
          <w:szCs w:val="24"/>
        </w:rPr>
        <w:t>informing</w:t>
      </w:r>
      <w:proofErr w:type="gramEnd"/>
      <w:r w:rsidRPr="00BC17B3">
        <w:rPr>
          <w:rFonts w:ascii="Times New Roman" w:hAnsi="Times New Roman"/>
          <w:sz w:val="24"/>
          <w:szCs w:val="24"/>
        </w:rPr>
        <w:t xml:space="preserve"> individuals who call about an apparent drug overdose about the immunity from prosecution for a minor drug possession offense created by section 2925.11 of the Revised Code. </w:t>
      </w:r>
    </w:p>
    <w:p w14:paraId="241A7EF9"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(B) Public safety answering point personnel who receive a call about an apparent drug </w:t>
      </w:r>
    </w:p>
    <w:p w14:paraId="2785ED73"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overdose shall make reasonable efforts, upon the caller's inquiry, to inform the caller </w:t>
      </w:r>
    </w:p>
    <w:p w14:paraId="57F32A32"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about the immunity from prosecution for a minor drug possession offense created </w:t>
      </w:r>
    </w:p>
    <w:p w14:paraId="26A69CB4"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by section 2925.11 of the Revised Code. </w:t>
      </w:r>
    </w:p>
    <w:p w14:paraId="60D66561" w14:textId="77777777" w:rsidR="00F326E5" w:rsidRPr="00BC17B3" w:rsidRDefault="00F326E5" w:rsidP="00F326E5">
      <w:pPr>
        <w:pStyle w:val="NoSpacing"/>
        <w:rPr>
          <w:rFonts w:ascii="Times New Roman" w:hAnsi="Times New Roman"/>
          <w:sz w:val="24"/>
          <w:szCs w:val="24"/>
        </w:rPr>
      </w:pPr>
    </w:p>
    <w:bookmarkEnd w:id="549"/>
    <w:p w14:paraId="00581AC2" w14:textId="77777777" w:rsidR="00BC17B3" w:rsidRDefault="00BC17B3" w:rsidP="00F326E5">
      <w:pPr>
        <w:pStyle w:val="NoSpacing"/>
        <w:rPr>
          <w:rFonts w:ascii="Arial Black" w:hAnsi="Arial Black"/>
          <w:sz w:val="24"/>
          <w:szCs w:val="24"/>
        </w:rPr>
      </w:pPr>
    </w:p>
    <w:p w14:paraId="1BFC18BA" w14:textId="5AC63124" w:rsidR="00F326E5" w:rsidRDefault="00DE0F03" w:rsidP="00F326E5">
      <w:pPr>
        <w:pStyle w:val="NoSpacing"/>
        <w:rPr>
          <w:rFonts w:ascii="Arial Black" w:hAnsi="Arial Black"/>
          <w:sz w:val="24"/>
          <w:szCs w:val="24"/>
        </w:rPr>
      </w:pPr>
      <w:r>
        <w:rPr>
          <w:rFonts w:ascii="Arial Black" w:hAnsi="Arial Black"/>
          <w:sz w:val="24"/>
          <w:szCs w:val="24"/>
        </w:rPr>
        <w:t>13-4</w:t>
      </w:r>
    </w:p>
    <w:p w14:paraId="4FF1041C" w14:textId="77777777" w:rsidR="00DE0F03" w:rsidRPr="00BE5483" w:rsidRDefault="00DE0F03" w:rsidP="00F326E5">
      <w:pPr>
        <w:pStyle w:val="NoSpacing"/>
        <w:rPr>
          <w:rFonts w:ascii="Arial Black" w:hAnsi="Arial Black"/>
          <w:sz w:val="24"/>
          <w:szCs w:val="24"/>
        </w:rPr>
      </w:pPr>
    </w:p>
    <w:p w14:paraId="314D4CEC" w14:textId="442F02C8" w:rsidR="00F326E5" w:rsidRPr="00F65F37" w:rsidRDefault="00F326E5" w:rsidP="00F326E5">
      <w:pPr>
        <w:pStyle w:val="NoSpacing"/>
        <w:rPr>
          <w:rFonts w:ascii="Arial Black" w:eastAsia="Times New Roman" w:hAnsi="Arial Black"/>
          <w:sz w:val="28"/>
          <w:szCs w:val="28"/>
        </w:rPr>
      </w:pPr>
      <w:bookmarkStart w:id="551" w:name="_Hlk515212934"/>
      <w:bookmarkStart w:id="552" w:name="_Hlk7347462"/>
      <w:bookmarkEnd w:id="550"/>
      <w:r w:rsidRPr="00F65F37">
        <w:rPr>
          <w:rFonts w:ascii="Arial Black" w:eastAsia="Times New Roman" w:hAnsi="Arial Black"/>
          <w:sz w:val="28"/>
          <w:szCs w:val="28"/>
        </w:rPr>
        <w:t xml:space="preserve">MI: DYING DECLARATION </w:t>
      </w:r>
      <w:r>
        <w:rPr>
          <w:rFonts w:ascii="Arial Black" w:eastAsia="Times New Roman" w:hAnsi="Arial Black"/>
          <w:sz w:val="28"/>
          <w:szCs w:val="28"/>
        </w:rPr>
        <w:t xml:space="preserve">BY VICTIM </w:t>
      </w:r>
      <w:r w:rsidRPr="00F65F37">
        <w:rPr>
          <w:rFonts w:ascii="Arial Black" w:eastAsia="Times New Roman" w:hAnsi="Arial Black"/>
          <w:sz w:val="28"/>
          <w:szCs w:val="28"/>
        </w:rPr>
        <w:t>TO PARAMEDIC – ADMISSIBLE IN MURDER TRIAL</w:t>
      </w:r>
    </w:p>
    <w:bookmarkEnd w:id="551"/>
    <w:p w14:paraId="7D8CB9CB"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April 19, 2018, in </w:t>
      </w:r>
      <w:r w:rsidRPr="00BC17B3">
        <w:rPr>
          <w:rFonts w:ascii="Times New Roman" w:eastAsia="Times New Roman" w:hAnsi="Times New Roman"/>
          <w:sz w:val="24"/>
          <w:szCs w:val="24"/>
          <w:u w:val="single"/>
        </w:rPr>
        <w:t>State of Michigan v. Christopher Tank</w:t>
      </w:r>
      <w:r w:rsidRPr="00BC17B3">
        <w:rPr>
          <w:rFonts w:ascii="Times New Roman" w:eastAsia="Times New Roman" w:hAnsi="Times New Roman"/>
          <w:sz w:val="24"/>
          <w:szCs w:val="24"/>
        </w:rPr>
        <w:t xml:space="preserve">, the State of Michigan Court of Appeals, upheld the jury conviction (3 to 0), holding “there was no plain error in admitting the victim’s dying declaration identifying defendant as his assailant.”  </w:t>
      </w:r>
      <w:hyperlink r:id="rId2476" w:history="1">
        <w:r w:rsidRPr="00BC17B3">
          <w:rPr>
            <w:rStyle w:val="Hyperlink"/>
            <w:rFonts w:ascii="Times New Roman" w:hAnsi="Times New Roman"/>
            <w:sz w:val="24"/>
            <w:szCs w:val="24"/>
          </w:rPr>
          <w:t>https://cases.justia.com/michigan/court-of-appeals-unpublished/2018-335366.pdf?ts=1524229247</w:t>
        </w:r>
      </w:hyperlink>
      <w:r w:rsidRPr="00BC17B3">
        <w:rPr>
          <w:rFonts w:ascii="Times New Roman" w:eastAsia="Times New Roman" w:hAnsi="Times New Roman"/>
          <w:sz w:val="24"/>
          <w:szCs w:val="24"/>
        </w:rPr>
        <w:t xml:space="preserve"> </w:t>
      </w:r>
    </w:p>
    <w:p w14:paraId="1AC0AC91" w14:textId="77777777" w:rsidR="00F326E5" w:rsidRPr="00BC17B3" w:rsidRDefault="00F326E5" w:rsidP="00F326E5">
      <w:pPr>
        <w:rPr>
          <w:rFonts w:ascii="Times New Roman" w:eastAsia="Times New Roman" w:hAnsi="Times New Roman"/>
          <w:b/>
          <w:sz w:val="24"/>
          <w:szCs w:val="24"/>
        </w:rPr>
      </w:pPr>
      <w:r w:rsidRPr="00BC17B3">
        <w:rPr>
          <w:rFonts w:ascii="Times New Roman" w:eastAsia="Times New Roman" w:hAnsi="Times New Roman"/>
          <w:b/>
          <w:sz w:val="24"/>
          <w:szCs w:val="24"/>
        </w:rPr>
        <w:t>Legal Lessons Learned: Dying declarations are admissible; include victim’s exact words in “quotes” in the EMS run report.</w:t>
      </w:r>
    </w:p>
    <w:bookmarkEnd w:id="552"/>
    <w:p w14:paraId="6CA8E80D" w14:textId="77777777" w:rsidR="00F326E5" w:rsidRDefault="00F326E5" w:rsidP="00F326E5">
      <w:pPr>
        <w:rPr>
          <w:rFonts w:eastAsia="Times New Roman"/>
          <w:sz w:val="24"/>
          <w:szCs w:val="24"/>
        </w:rPr>
      </w:pPr>
    </w:p>
    <w:p w14:paraId="014DEED9" w14:textId="5179C159" w:rsidR="00DE0F03" w:rsidRDefault="00DE0F03" w:rsidP="00DE0F03">
      <w:pPr>
        <w:rPr>
          <w:b/>
          <w:szCs w:val="24"/>
        </w:rPr>
      </w:pPr>
      <w:bookmarkStart w:id="553" w:name="_Hlk7347500"/>
      <w:r>
        <w:rPr>
          <w:rFonts w:ascii="Arial Black" w:hAnsi="Arial Black"/>
          <w:b/>
          <w:sz w:val="24"/>
          <w:szCs w:val="24"/>
        </w:rPr>
        <w:t>13-3</w:t>
      </w:r>
    </w:p>
    <w:p w14:paraId="26DB2F76" w14:textId="4134DF2F" w:rsidR="00F326E5" w:rsidRPr="00F65F37" w:rsidRDefault="00F326E5" w:rsidP="00F326E5">
      <w:pPr>
        <w:rPr>
          <w:rFonts w:eastAsia="Times New Roman"/>
          <w:sz w:val="28"/>
          <w:szCs w:val="28"/>
        </w:rPr>
      </w:pPr>
      <w:bookmarkStart w:id="554" w:name="_Hlk41155031"/>
      <w:r w:rsidRPr="00F65F37">
        <w:rPr>
          <w:rFonts w:ascii="Arial Black" w:eastAsia="Times New Roman" w:hAnsi="Arial Black"/>
          <w:sz w:val="28"/>
          <w:szCs w:val="28"/>
        </w:rPr>
        <w:t xml:space="preserve">MI:  CPR – NO NEED TO PERFORM WHEN </w:t>
      </w:r>
      <w:r>
        <w:rPr>
          <w:rFonts w:ascii="Arial Black" w:eastAsia="Times New Roman" w:hAnsi="Arial Black"/>
          <w:sz w:val="28"/>
          <w:szCs w:val="28"/>
        </w:rPr>
        <w:t xml:space="preserve">PATIENT CLEARLY DEAD - </w:t>
      </w:r>
      <w:r w:rsidRPr="00F65F37">
        <w:rPr>
          <w:rFonts w:ascii="Arial Black" w:eastAsia="Times New Roman" w:hAnsi="Arial Black"/>
          <w:sz w:val="28"/>
          <w:szCs w:val="28"/>
        </w:rPr>
        <w:t>LIVIDITY, NO PULSE</w:t>
      </w:r>
    </w:p>
    <w:p w14:paraId="41B89BB5" w14:textId="77777777" w:rsidR="00F326E5" w:rsidRPr="00BC17B3" w:rsidRDefault="00F326E5" w:rsidP="00F326E5">
      <w:pPr>
        <w:rPr>
          <w:rFonts w:ascii="Times New Roman" w:hAnsi="Times New Roman"/>
          <w:sz w:val="24"/>
          <w:szCs w:val="24"/>
        </w:rPr>
      </w:pPr>
      <w:r w:rsidRPr="00BC17B3">
        <w:rPr>
          <w:rFonts w:ascii="Times New Roman" w:eastAsia="Times New Roman" w:hAnsi="Times New Roman"/>
          <w:sz w:val="24"/>
          <w:szCs w:val="24"/>
        </w:rPr>
        <w:t xml:space="preserve">On April 12, 2018, in </w:t>
      </w:r>
      <w:r w:rsidRPr="00BC17B3">
        <w:rPr>
          <w:rFonts w:ascii="Times New Roman" w:eastAsia="Times New Roman" w:hAnsi="Times New Roman"/>
          <w:sz w:val="24"/>
          <w:szCs w:val="24"/>
          <w:u w:val="single"/>
        </w:rPr>
        <w:t>Eusebio Saldana v. Nathan Smith and Sanilac County Sheriff’s Office</w:t>
      </w:r>
      <w:r w:rsidRPr="00BC17B3">
        <w:rPr>
          <w:rFonts w:ascii="Times New Roman" w:eastAsia="Times New Roman" w:hAnsi="Times New Roman"/>
          <w:sz w:val="24"/>
          <w:szCs w:val="24"/>
        </w:rPr>
        <w:t>, the State of Michigan Court of Appeals held (3 to 0; unpublished decision) that the police officer “</w:t>
      </w:r>
      <w:r w:rsidRPr="00BC17B3">
        <w:rPr>
          <w:rFonts w:ascii="Times New Roman" w:hAnsi="Times New Roman"/>
          <w:sz w:val="24"/>
          <w:szCs w:val="24"/>
        </w:rPr>
        <w:t xml:space="preserve">exercised his discretion based on his experience and training in identifying Michael's condition and acting according to those conclusions.”  </w:t>
      </w:r>
      <w:hyperlink r:id="rId2477" w:history="1">
        <w:r w:rsidRPr="00BC17B3">
          <w:rPr>
            <w:rStyle w:val="Hyperlink"/>
            <w:rFonts w:ascii="Times New Roman" w:hAnsi="Times New Roman"/>
            <w:sz w:val="24"/>
            <w:szCs w:val="24"/>
          </w:rPr>
          <w:t>https://scholar.google.com/scholar_case?case=10284773024569378667&amp;hl=en&amp;as_sdt=6&amp;as_vis=1&amp;oi=scholarr</w:t>
        </w:r>
      </w:hyperlink>
      <w:r w:rsidRPr="00BC17B3">
        <w:rPr>
          <w:rFonts w:ascii="Times New Roman" w:hAnsi="Times New Roman"/>
          <w:sz w:val="24"/>
          <w:szCs w:val="24"/>
        </w:rPr>
        <w:t xml:space="preserve"> </w:t>
      </w:r>
    </w:p>
    <w:p w14:paraId="623A406D" w14:textId="77777777" w:rsidR="00F326E5" w:rsidRPr="00BC17B3" w:rsidRDefault="00F326E5" w:rsidP="00F326E5">
      <w:pPr>
        <w:rPr>
          <w:rFonts w:ascii="Times New Roman" w:hAnsi="Times New Roman"/>
          <w:b/>
          <w:sz w:val="24"/>
          <w:szCs w:val="24"/>
        </w:rPr>
      </w:pPr>
      <w:r w:rsidRPr="00BC17B3">
        <w:rPr>
          <w:rFonts w:ascii="Times New Roman" w:hAnsi="Times New Roman"/>
          <w:b/>
          <w:sz w:val="24"/>
          <w:szCs w:val="24"/>
        </w:rPr>
        <w:t>Legal Lessons Learned:  Michigan statues protect police &amp; EMS from liability, unless proof of gross negligence.</w:t>
      </w:r>
    </w:p>
    <w:bookmarkEnd w:id="553"/>
    <w:bookmarkEnd w:id="554"/>
    <w:p w14:paraId="6FC66EFC" w14:textId="77777777" w:rsidR="00F326E5" w:rsidRDefault="00F326E5" w:rsidP="00F326E5">
      <w:pPr>
        <w:rPr>
          <w:rFonts w:eastAsia="Times New Roman"/>
          <w:sz w:val="24"/>
          <w:szCs w:val="24"/>
        </w:rPr>
      </w:pPr>
    </w:p>
    <w:p w14:paraId="30B2109F" w14:textId="07A43293" w:rsidR="00DE0F03" w:rsidRDefault="00DE0F03" w:rsidP="00DE0F03">
      <w:pPr>
        <w:rPr>
          <w:b/>
          <w:szCs w:val="24"/>
        </w:rPr>
      </w:pPr>
      <w:bookmarkStart w:id="555" w:name="_Hlk515213164"/>
      <w:r>
        <w:rPr>
          <w:rFonts w:ascii="Arial Black" w:hAnsi="Arial Black"/>
          <w:b/>
          <w:sz w:val="24"/>
          <w:szCs w:val="24"/>
        </w:rPr>
        <w:t>13-2</w:t>
      </w:r>
    </w:p>
    <w:p w14:paraId="57D14077" w14:textId="77777777" w:rsidR="00F326E5" w:rsidRDefault="00F326E5" w:rsidP="00F326E5">
      <w:pPr>
        <w:pStyle w:val="NoSpacing"/>
        <w:rPr>
          <w:sz w:val="24"/>
          <w:szCs w:val="24"/>
        </w:rPr>
      </w:pPr>
    </w:p>
    <w:p w14:paraId="11A30793" w14:textId="0FEF194E" w:rsidR="00F326E5" w:rsidRDefault="00F326E5" w:rsidP="00F326E5">
      <w:pPr>
        <w:pStyle w:val="NoSpacing"/>
        <w:rPr>
          <w:rFonts w:ascii="Arial Black" w:hAnsi="Arial Black"/>
          <w:b/>
          <w:sz w:val="28"/>
          <w:szCs w:val="28"/>
        </w:rPr>
      </w:pPr>
      <w:bookmarkStart w:id="556" w:name="_Hlk7347620"/>
      <w:r w:rsidRPr="00B018B0">
        <w:rPr>
          <w:rFonts w:ascii="Arial Black" w:hAnsi="Arial Black"/>
          <w:b/>
          <w:sz w:val="28"/>
          <w:szCs w:val="28"/>
        </w:rPr>
        <w:t>OH</w:t>
      </w:r>
      <w:r>
        <w:rPr>
          <w:rFonts w:ascii="Arial Black" w:hAnsi="Arial Black"/>
          <w:b/>
          <w:sz w:val="28"/>
          <w:szCs w:val="28"/>
        </w:rPr>
        <w:t xml:space="preserve">: </w:t>
      </w:r>
      <w:r w:rsidRPr="00B018B0">
        <w:rPr>
          <w:rFonts w:ascii="Arial Black" w:hAnsi="Arial Black"/>
          <w:b/>
          <w:sz w:val="28"/>
          <w:szCs w:val="28"/>
        </w:rPr>
        <w:t xml:space="preserve"> DRUNK DRIVER </w:t>
      </w:r>
      <w:r>
        <w:rPr>
          <w:rFonts w:ascii="Arial Black" w:hAnsi="Arial Black"/>
          <w:b/>
          <w:sz w:val="28"/>
          <w:szCs w:val="28"/>
        </w:rPr>
        <w:t xml:space="preserve">- </w:t>
      </w:r>
      <w:r w:rsidRPr="00B018B0">
        <w:rPr>
          <w:rFonts w:ascii="Arial Black" w:hAnsi="Arial Black"/>
          <w:b/>
          <w:sz w:val="28"/>
          <w:szCs w:val="28"/>
        </w:rPr>
        <w:t xml:space="preserve">URINE </w:t>
      </w:r>
      <w:r>
        <w:rPr>
          <w:rFonts w:ascii="Arial Black" w:hAnsi="Arial Black"/>
          <w:b/>
          <w:sz w:val="28"/>
          <w:szCs w:val="28"/>
        </w:rPr>
        <w:t xml:space="preserve">/ </w:t>
      </w:r>
      <w:r w:rsidRPr="00B018B0">
        <w:rPr>
          <w:rFonts w:ascii="Arial Black" w:hAnsi="Arial Black"/>
          <w:b/>
          <w:sz w:val="28"/>
          <w:szCs w:val="28"/>
        </w:rPr>
        <w:t xml:space="preserve">BLOOD TESTS </w:t>
      </w:r>
      <w:r>
        <w:rPr>
          <w:rFonts w:ascii="Arial Black" w:hAnsi="Arial Black"/>
          <w:b/>
          <w:sz w:val="28"/>
          <w:szCs w:val="28"/>
        </w:rPr>
        <w:t>IN E</w:t>
      </w:r>
      <w:r w:rsidR="0048537E">
        <w:rPr>
          <w:rFonts w:ascii="Arial Black" w:hAnsi="Arial Black"/>
          <w:b/>
          <w:sz w:val="28"/>
          <w:szCs w:val="28"/>
        </w:rPr>
        <w:t>MERGENCY ROOM BY ORDERS OF PHYSICIAN</w:t>
      </w:r>
      <w:r>
        <w:rPr>
          <w:rFonts w:ascii="Arial Black" w:hAnsi="Arial Black"/>
          <w:b/>
          <w:sz w:val="28"/>
          <w:szCs w:val="28"/>
        </w:rPr>
        <w:t xml:space="preserve"> - </w:t>
      </w:r>
      <w:r w:rsidRPr="00B018B0">
        <w:rPr>
          <w:rFonts w:ascii="Arial Black" w:hAnsi="Arial Black"/>
          <w:b/>
          <w:sz w:val="28"/>
          <w:szCs w:val="28"/>
        </w:rPr>
        <w:t>NO 4</w:t>
      </w:r>
      <w:r w:rsidRPr="00B018B0">
        <w:rPr>
          <w:rFonts w:ascii="Arial Black" w:hAnsi="Arial Black"/>
          <w:b/>
          <w:sz w:val="28"/>
          <w:szCs w:val="28"/>
          <w:vertAlign w:val="superscript"/>
        </w:rPr>
        <w:t>TH</w:t>
      </w:r>
      <w:r w:rsidRPr="00B018B0">
        <w:rPr>
          <w:rFonts w:ascii="Arial Black" w:hAnsi="Arial Black"/>
          <w:b/>
          <w:sz w:val="28"/>
          <w:szCs w:val="28"/>
        </w:rPr>
        <w:t xml:space="preserve"> AMENDMENT VIOL</w:t>
      </w:r>
      <w:r w:rsidR="0048537E">
        <w:rPr>
          <w:rFonts w:ascii="Arial Black" w:hAnsi="Arial Black"/>
          <w:b/>
          <w:sz w:val="28"/>
          <w:szCs w:val="28"/>
        </w:rPr>
        <w:t xml:space="preserve">. BY PD </w:t>
      </w:r>
    </w:p>
    <w:bookmarkEnd w:id="555"/>
    <w:p w14:paraId="36664CEC" w14:textId="77777777" w:rsidR="00F326E5" w:rsidRPr="00BC17B3" w:rsidRDefault="00F326E5" w:rsidP="00F326E5">
      <w:pPr>
        <w:rPr>
          <w:rFonts w:ascii="Times New Roman" w:hAnsi="Times New Roman"/>
          <w:b/>
          <w:sz w:val="24"/>
          <w:szCs w:val="24"/>
        </w:rPr>
      </w:pPr>
      <w:r w:rsidRPr="00BC17B3">
        <w:rPr>
          <w:rFonts w:ascii="Times New Roman" w:hAnsi="Times New Roman"/>
          <w:sz w:val="24"/>
          <w:szCs w:val="24"/>
        </w:rPr>
        <w:t xml:space="preserve">On March 26, 2018, in </w:t>
      </w:r>
      <w:r w:rsidRPr="00BC17B3">
        <w:rPr>
          <w:rFonts w:ascii="Times New Roman" w:hAnsi="Times New Roman"/>
          <w:sz w:val="24"/>
          <w:szCs w:val="24"/>
          <w:u w:val="single"/>
        </w:rPr>
        <w:t>John W. Gold v. City of Sandusky, et al</w:t>
      </w:r>
      <w:r w:rsidRPr="00BC17B3">
        <w:rPr>
          <w:rFonts w:ascii="Times New Roman" w:hAnsi="Times New Roman"/>
          <w:sz w:val="24"/>
          <w:szCs w:val="24"/>
        </w:rPr>
        <w:t xml:space="preserve">., U.S. Magistrate Judge for the U.S. District Court, Northern, OH, issued a Memorandum Opinion and Order dismissing the civil rights lawsuit filed against the City, police officers, and ER medical staff, holding: “To the extent Plaintiff argues the officers violated his Fourth Amendment rights in the insertion of the catheter or in taking his blood, such a claim fails for the reasons stated above. That is, there is no </w:t>
      </w:r>
      <w:proofErr w:type="gramStart"/>
      <w:r w:rsidRPr="00BC17B3">
        <w:rPr>
          <w:rFonts w:ascii="Times New Roman" w:hAnsi="Times New Roman"/>
          <w:sz w:val="24"/>
          <w:szCs w:val="24"/>
        </w:rPr>
        <w:t>evidence</w:t>
      </w:r>
      <w:proofErr w:type="gramEnd"/>
      <w:r w:rsidRPr="00BC17B3">
        <w:rPr>
          <w:rFonts w:ascii="Times New Roman" w:hAnsi="Times New Roman"/>
          <w:sz w:val="24"/>
          <w:szCs w:val="24"/>
        </w:rPr>
        <w:t xml:space="preserve"> the catheter was placed, or blood drawn, at the request of the police. Rather, it was medical personnel who made the decision and performed the action.”</w:t>
      </w:r>
      <w:r w:rsidRPr="00BC17B3">
        <w:rPr>
          <w:rFonts w:ascii="Times New Roman" w:hAnsi="Times New Roman"/>
          <w:b/>
          <w:sz w:val="24"/>
          <w:szCs w:val="24"/>
        </w:rPr>
        <w:t xml:space="preserve"> </w:t>
      </w:r>
      <w:hyperlink r:id="rId2478" w:history="1">
        <w:r w:rsidRPr="00BC17B3">
          <w:rPr>
            <w:rStyle w:val="Hyperlink"/>
            <w:rFonts w:ascii="Times New Roman" w:hAnsi="Times New Roman"/>
            <w:sz w:val="24"/>
            <w:szCs w:val="24"/>
          </w:rPr>
          <w:t>http://courtweb.pamd.uscourts.gov/courtwebsearch/ndoh/AlKFf0ZU_k.pdf</w:t>
        </w:r>
      </w:hyperlink>
      <w:r w:rsidRPr="00BC17B3">
        <w:rPr>
          <w:rFonts w:ascii="Times New Roman" w:hAnsi="Times New Roman"/>
          <w:b/>
          <w:sz w:val="24"/>
          <w:szCs w:val="24"/>
        </w:rPr>
        <w:t xml:space="preserve"> </w:t>
      </w:r>
    </w:p>
    <w:p w14:paraId="0DA1CE42" w14:textId="77777777" w:rsidR="00F326E5" w:rsidRPr="00BC17B3" w:rsidRDefault="00F326E5" w:rsidP="00F326E5">
      <w:pPr>
        <w:rPr>
          <w:rFonts w:ascii="Times New Roman" w:hAnsi="Times New Roman"/>
          <w:b/>
          <w:sz w:val="24"/>
          <w:szCs w:val="24"/>
        </w:rPr>
      </w:pPr>
      <w:r w:rsidRPr="00BC17B3">
        <w:rPr>
          <w:rFonts w:ascii="Times New Roman" w:hAnsi="Times New Roman"/>
          <w:b/>
          <w:sz w:val="24"/>
          <w:szCs w:val="24"/>
        </w:rPr>
        <w:t xml:space="preserve">LEGAL LESSONS LEARNED:  Blood and urine may be obtained in ER for medical reasons, without patient consent; police may obtain a search warrant for use in criminal </w:t>
      </w:r>
      <w:proofErr w:type="gramStart"/>
      <w:r w:rsidRPr="00BC17B3">
        <w:rPr>
          <w:rFonts w:ascii="Times New Roman" w:hAnsi="Times New Roman"/>
          <w:b/>
          <w:sz w:val="24"/>
          <w:szCs w:val="24"/>
        </w:rPr>
        <w:t>case</w:t>
      </w:r>
      <w:proofErr w:type="gramEnd"/>
      <w:r w:rsidRPr="00BC17B3">
        <w:rPr>
          <w:rFonts w:ascii="Times New Roman" w:hAnsi="Times New Roman"/>
          <w:b/>
          <w:sz w:val="24"/>
          <w:szCs w:val="24"/>
        </w:rPr>
        <w:t>.</w:t>
      </w:r>
    </w:p>
    <w:bookmarkEnd w:id="556"/>
    <w:p w14:paraId="51B12EA0" w14:textId="77777777" w:rsidR="0036327D" w:rsidRDefault="0036327D" w:rsidP="00DE0F03">
      <w:pPr>
        <w:rPr>
          <w:rFonts w:ascii="Arial Black" w:hAnsi="Arial Black"/>
          <w:b/>
          <w:sz w:val="24"/>
          <w:szCs w:val="24"/>
        </w:rPr>
      </w:pPr>
    </w:p>
    <w:p w14:paraId="639FF713" w14:textId="2C18E25F" w:rsidR="00F326E5" w:rsidRDefault="00DE0F03" w:rsidP="00DE0F03">
      <w:pPr>
        <w:rPr>
          <w:b/>
          <w:szCs w:val="24"/>
        </w:rPr>
      </w:pPr>
      <w:r>
        <w:rPr>
          <w:rFonts w:ascii="Arial Black" w:hAnsi="Arial Black"/>
          <w:b/>
          <w:sz w:val="24"/>
          <w:szCs w:val="24"/>
        </w:rPr>
        <w:t>13-1</w:t>
      </w:r>
    </w:p>
    <w:p w14:paraId="0AD67384" w14:textId="77777777" w:rsidR="00F326E5" w:rsidRDefault="00F326E5" w:rsidP="00F326E5">
      <w:pPr>
        <w:pStyle w:val="NoSpacing"/>
        <w:rPr>
          <w:b/>
          <w:szCs w:val="24"/>
        </w:rPr>
      </w:pPr>
    </w:p>
    <w:p w14:paraId="601A39BC" w14:textId="62AA748A" w:rsidR="00F326E5" w:rsidRPr="008D7D88" w:rsidRDefault="00F326E5" w:rsidP="00F326E5">
      <w:pPr>
        <w:pStyle w:val="NoSpacing"/>
        <w:rPr>
          <w:b/>
          <w:sz w:val="24"/>
          <w:szCs w:val="24"/>
        </w:rPr>
      </w:pPr>
      <w:bookmarkStart w:id="557" w:name="_Hlk7347790"/>
      <w:r w:rsidRPr="0066326F">
        <w:rPr>
          <w:rFonts w:ascii="Arial Black" w:hAnsi="Arial Black"/>
          <w:sz w:val="28"/>
          <w:szCs w:val="28"/>
        </w:rPr>
        <w:t xml:space="preserve">OH: </w:t>
      </w:r>
      <w:r w:rsidR="0048537E">
        <w:rPr>
          <w:rFonts w:ascii="Arial Black" w:hAnsi="Arial Black"/>
          <w:sz w:val="28"/>
          <w:szCs w:val="28"/>
        </w:rPr>
        <w:t xml:space="preserve">AMBULANCE IN MVA </w:t>
      </w:r>
      <w:r w:rsidR="00247719">
        <w:rPr>
          <w:rFonts w:ascii="Arial Black" w:hAnsi="Arial Black"/>
          <w:sz w:val="28"/>
          <w:szCs w:val="28"/>
        </w:rPr>
        <w:t>–</w:t>
      </w:r>
      <w:r w:rsidR="0048537E">
        <w:rPr>
          <w:rFonts w:ascii="Arial Black" w:hAnsi="Arial Black"/>
          <w:sz w:val="28"/>
          <w:szCs w:val="28"/>
        </w:rPr>
        <w:t xml:space="preserve"> </w:t>
      </w:r>
      <w:r w:rsidR="00247719">
        <w:rPr>
          <w:rFonts w:ascii="Arial Black" w:hAnsi="Arial Black"/>
          <w:sz w:val="28"/>
          <w:szCs w:val="28"/>
        </w:rPr>
        <w:t xml:space="preserve">EMT </w:t>
      </w:r>
      <w:r w:rsidRPr="0066326F">
        <w:rPr>
          <w:rFonts w:ascii="Arial Black" w:hAnsi="Arial Black"/>
          <w:sz w:val="28"/>
          <w:szCs w:val="28"/>
        </w:rPr>
        <w:t xml:space="preserve">DRIVER SPEEDING, </w:t>
      </w:r>
      <w:r w:rsidR="00247719">
        <w:rPr>
          <w:rFonts w:ascii="Arial Black" w:hAnsi="Arial Black"/>
          <w:sz w:val="28"/>
          <w:szCs w:val="28"/>
        </w:rPr>
        <w:t xml:space="preserve">PASSING </w:t>
      </w:r>
      <w:r w:rsidRPr="0066326F">
        <w:rPr>
          <w:rFonts w:ascii="Arial Black" w:hAnsi="Arial Black"/>
          <w:sz w:val="28"/>
          <w:szCs w:val="28"/>
        </w:rPr>
        <w:t>IN NO PASSING ZONE, NO LIGHTS &amp; SIREN</w:t>
      </w:r>
      <w:r>
        <w:rPr>
          <w:rFonts w:ascii="Arial Black" w:hAnsi="Arial Black"/>
          <w:sz w:val="28"/>
          <w:szCs w:val="28"/>
        </w:rPr>
        <w:t xml:space="preserve"> </w:t>
      </w:r>
      <w:r w:rsidRPr="008D7D88">
        <w:rPr>
          <w:b/>
          <w:sz w:val="24"/>
          <w:szCs w:val="24"/>
        </w:rPr>
        <w:t>[also filed, Chap. 5]</w:t>
      </w:r>
    </w:p>
    <w:p w14:paraId="492C1AF9" w14:textId="77777777" w:rsidR="0048537E" w:rsidRPr="00BC17B3" w:rsidRDefault="00F326E5" w:rsidP="00F326E5">
      <w:pPr>
        <w:pStyle w:val="NoSpacing"/>
        <w:rPr>
          <w:rFonts w:ascii="Times New Roman" w:hAnsi="Times New Roman"/>
          <w:b/>
          <w:sz w:val="24"/>
          <w:szCs w:val="24"/>
        </w:rPr>
      </w:pPr>
      <w:r w:rsidRPr="00BC17B3">
        <w:rPr>
          <w:rFonts w:ascii="Times New Roman" w:hAnsi="Times New Roman"/>
          <w:sz w:val="24"/>
          <w:szCs w:val="24"/>
        </w:rPr>
        <w:t xml:space="preserve">On Jan. 2, 2018, in </w:t>
      </w:r>
      <w:r w:rsidRPr="00BC17B3">
        <w:rPr>
          <w:rFonts w:ascii="Times New Roman" w:hAnsi="Times New Roman"/>
          <w:sz w:val="24"/>
          <w:szCs w:val="24"/>
          <w:u w:val="single"/>
        </w:rPr>
        <w:t>Folmer v. Meigs County Commissioners, et al.,</w:t>
      </w:r>
      <w:r w:rsidRPr="00BC17B3">
        <w:rPr>
          <w:rFonts w:ascii="Times New Roman" w:hAnsi="Times New Roman"/>
          <w:sz w:val="24"/>
          <w:szCs w:val="24"/>
        </w:rPr>
        <w:t xml:space="preserve"> 2018-Ohio- 31, 4th Appellate District (Meigs County), the Court held that the EMS driver may have been negligent when transporting a patient traveling over 20 mph above posted speed limit, with no lights or siren, and attempted to pass vehicle in no passing lane, hitting oncoming vehicle. While the lawsuit may proceed against Meigs County EMS, the EMS driver enjoys immunity from personal liability since plaintiff did not </w:t>
      </w:r>
      <w:proofErr w:type="gramStart"/>
      <w:r w:rsidRPr="00BC17B3">
        <w:rPr>
          <w:rFonts w:ascii="Times New Roman" w:hAnsi="Times New Roman"/>
          <w:sz w:val="24"/>
          <w:szCs w:val="24"/>
        </w:rPr>
        <w:t>alleged</w:t>
      </w:r>
      <w:proofErr w:type="gramEnd"/>
      <w:r w:rsidRPr="00BC17B3">
        <w:rPr>
          <w:rFonts w:ascii="Times New Roman" w:hAnsi="Times New Roman"/>
          <w:sz w:val="24"/>
          <w:szCs w:val="24"/>
        </w:rPr>
        <w:t xml:space="preserve"> he “acted with malicious purpose, bad faith, or recklessness under R.C. 2744.03(A)(6)(b).”</w:t>
      </w:r>
      <w:r w:rsidRPr="00BC17B3">
        <w:rPr>
          <w:rFonts w:ascii="Times New Roman" w:hAnsi="Times New Roman"/>
          <w:b/>
          <w:sz w:val="24"/>
          <w:szCs w:val="24"/>
        </w:rPr>
        <w:t xml:space="preserve"> </w:t>
      </w:r>
    </w:p>
    <w:p w14:paraId="6925D6A2" w14:textId="6D0861F7" w:rsidR="00F326E5" w:rsidRPr="00BC17B3" w:rsidRDefault="0048537E" w:rsidP="00F326E5">
      <w:pPr>
        <w:pStyle w:val="NoSpacing"/>
        <w:rPr>
          <w:rFonts w:ascii="Times New Roman" w:hAnsi="Times New Roman"/>
          <w:b/>
          <w:sz w:val="24"/>
          <w:szCs w:val="24"/>
        </w:rPr>
      </w:pPr>
      <w:hyperlink r:id="rId2479" w:history="1">
        <w:r w:rsidRPr="00BC17B3">
          <w:rPr>
            <w:rStyle w:val="Hyperlink"/>
            <w:rFonts w:ascii="Times New Roman" w:hAnsi="Times New Roman"/>
            <w:sz w:val="24"/>
            <w:szCs w:val="24"/>
          </w:rPr>
          <w:t>https://www.supremecourt.ohio.gov/rod/docs/pdf/4/2018/2018-Ohio-31.pdf</w:t>
        </w:r>
      </w:hyperlink>
      <w:r w:rsidR="00F326E5" w:rsidRPr="00BC17B3">
        <w:rPr>
          <w:rFonts w:ascii="Times New Roman" w:hAnsi="Times New Roman"/>
          <w:b/>
          <w:sz w:val="24"/>
          <w:szCs w:val="24"/>
        </w:rPr>
        <w:t xml:space="preserve"> </w:t>
      </w:r>
    </w:p>
    <w:p w14:paraId="093FD0A7" w14:textId="77777777" w:rsidR="00BC17B3" w:rsidRDefault="00BC17B3" w:rsidP="00F326E5">
      <w:pPr>
        <w:pStyle w:val="NoSpacing"/>
        <w:rPr>
          <w:rFonts w:ascii="Times New Roman" w:hAnsi="Times New Roman"/>
          <w:b/>
          <w:sz w:val="24"/>
          <w:szCs w:val="24"/>
        </w:rPr>
      </w:pPr>
    </w:p>
    <w:p w14:paraId="6BA7EFEC" w14:textId="79428D9E" w:rsidR="00F326E5" w:rsidRPr="00BC17B3" w:rsidRDefault="00F326E5" w:rsidP="00F326E5">
      <w:pPr>
        <w:pStyle w:val="NoSpacing"/>
        <w:rPr>
          <w:rFonts w:ascii="Times New Roman" w:hAnsi="Times New Roman"/>
          <w:b/>
          <w:sz w:val="24"/>
          <w:szCs w:val="24"/>
        </w:rPr>
      </w:pPr>
      <w:r w:rsidRPr="00BC17B3">
        <w:rPr>
          <w:rFonts w:ascii="Times New Roman" w:hAnsi="Times New Roman"/>
          <w:b/>
          <w:sz w:val="24"/>
          <w:szCs w:val="24"/>
        </w:rPr>
        <w:t>Legal Lessons Learned: If transporting without lights and siren, then EMS driver must obey speed limit and no passing zone. The EMS driver was fortunate the plaintiff did not allege he was driving in “wanton or reckless manner.</w:t>
      </w:r>
    </w:p>
    <w:bookmarkEnd w:id="557"/>
    <w:p w14:paraId="24AC203B" w14:textId="77777777" w:rsidR="00F326E5" w:rsidRPr="00952ED4" w:rsidRDefault="00F326E5" w:rsidP="00F326E5">
      <w:pPr>
        <w:rPr>
          <w:rFonts w:eastAsia="Times New Roman"/>
          <w:b/>
          <w:sz w:val="24"/>
          <w:szCs w:val="24"/>
        </w:rPr>
      </w:pPr>
    </w:p>
    <w:p w14:paraId="7A5D35B2" w14:textId="66A9C55B" w:rsidR="00247719" w:rsidRDefault="00247719">
      <w:pPr>
        <w:spacing w:after="0" w:line="240" w:lineRule="auto"/>
        <w:rPr>
          <w:b/>
          <w:sz w:val="24"/>
          <w:szCs w:val="24"/>
        </w:rPr>
      </w:pPr>
      <w:r>
        <w:rPr>
          <w:b/>
          <w:sz w:val="24"/>
          <w:szCs w:val="24"/>
        </w:rPr>
        <w:br w:type="page"/>
      </w:r>
    </w:p>
    <w:p w14:paraId="11C44DFC" w14:textId="77777777" w:rsidR="00F326E5" w:rsidRPr="00CA2809" w:rsidRDefault="00F326E5" w:rsidP="00F326E5">
      <w:pPr>
        <w:pStyle w:val="NoSpacing"/>
        <w:rPr>
          <w:b/>
          <w:sz w:val="24"/>
          <w:szCs w:val="24"/>
        </w:rPr>
      </w:pPr>
    </w:p>
    <w:p w14:paraId="4CA8BBA7" w14:textId="63043C04" w:rsidR="00F86334" w:rsidRDefault="00F86334">
      <w:pPr>
        <w:spacing w:after="0" w:line="240" w:lineRule="auto"/>
        <w:rPr>
          <w:rFonts w:ascii="Arial Black" w:hAnsi="Arial Black"/>
          <w:sz w:val="40"/>
          <w:szCs w:val="40"/>
        </w:rPr>
      </w:pPr>
      <w:r>
        <w:rPr>
          <w:rFonts w:ascii="Arial Black" w:hAnsi="Arial Black"/>
          <w:sz w:val="40"/>
          <w:szCs w:val="40"/>
        </w:rPr>
        <w:br w:type="page"/>
      </w:r>
    </w:p>
    <w:p w14:paraId="61F3DA22" w14:textId="77777777" w:rsidR="00F86334" w:rsidRDefault="00F86334" w:rsidP="00F326E5">
      <w:pPr>
        <w:pStyle w:val="NoSpacing"/>
        <w:rPr>
          <w:rFonts w:ascii="Arial Black" w:hAnsi="Arial Black"/>
          <w:sz w:val="40"/>
          <w:szCs w:val="40"/>
        </w:rPr>
      </w:pPr>
    </w:p>
    <w:p w14:paraId="32F06443" w14:textId="33D5CE78" w:rsidR="00F326E5" w:rsidRDefault="00F326E5" w:rsidP="00F326E5">
      <w:pPr>
        <w:pStyle w:val="NoSpacing"/>
        <w:rPr>
          <w:rFonts w:ascii="Arial Black" w:hAnsi="Arial Black"/>
          <w:sz w:val="40"/>
          <w:szCs w:val="40"/>
        </w:rPr>
      </w:pPr>
      <w:r w:rsidRPr="007732FA">
        <w:rPr>
          <w:rFonts w:ascii="Arial Black" w:hAnsi="Arial Black"/>
          <w:sz w:val="40"/>
          <w:szCs w:val="40"/>
        </w:rPr>
        <w:t>Chap. 14</w:t>
      </w:r>
      <w:r w:rsidRPr="007732FA">
        <w:rPr>
          <w:rFonts w:ascii="Arial Black" w:hAnsi="Arial Black"/>
          <w:sz w:val="40"/>
          <w:szCs w:val="40"/>
        </w:rPr>
        <w:tab/>
      </w:r>
      <w:r w:rsidRPr="007732FA">
        <w:rPr>
          <w:rFonts w:ascii="Arial Black" w:hAnsi="Arial Black"/>
          <w:sz w:val="40"/>
          <w:szCs w:val="40"/>
        </w:rPr>
        <w:tab/>
        <w:t>Physical Fitness</w:t>
      </w:r>
      <w:r w:rsidR="00344E40">
        <w:rPr>
          <w:rFonts w:ascii="Arial Black" w:hAnsi="Arial Black"/>
          <w:sz w:val="40"/>
          <w:szCs w:val="40"/>
        </w:rPr>
        <w:t xml:space="preserve"> and </w:t>
      </w:r>
      <w:r w:rsidR="00D5755F">
        <w:rPr>
          <w:rFonts w:ascii="Arial Black" w:hAnsi="Arial Black"/>
          <w:sz w:val="40"/>
          <w:szCs w:val="40"/>
        </w:rPr>
        <w:t xml:space="preserve">Light Duty </w:t>
      </w:r>
      <w:r w:rsidR="00344E40">
        <w:rPr>
          <w:rFonts w:ascii="Arial Black" w:hAnsi="Arial Black"/>
          <w:sz w:val="40"/>
          <w:szCs w:val="40"/>
        </w:rPr>
        <w:t xml:space="preserve"> </w:t>
      </w:r>
      <w:r w:rsidRPr="007732FA">
        <w:rPr>
          <w:rFonts w:ascii="Arial Black" w:hAnsi="Arial Black"/>
          <w:sz w:val="40"/>
          <w:szCs w:val="40"/>
        </w:rPr>
        <w:tab/>
      </w:r>
    </w:p>
    <w:p w14:paraId="3EC3C8EF" w14:textId="77777777" w:rsidR="00BC5936" w:rsidRDefault="00BC5936" w:rsidP="00F326E5">
      <w:pPr>
        <w:pStyle w:val="NoSpacing"/>
        <w:rPr>
          <w:rFonts w:ascii="Arial Black" w:hAnsi="Arial Black"/>
          <w:sz w:val="28"/>
          <w:szCs w:val="28"/>
        </w:rPr>
      </w:pPr>
    </w:p>
    <w:p w14:paraId="30569EC3" w14:textId="2115270B" w:rsidR="003C2AA4" w:rsidRDefault="00ED5F90" w:rsidP="003C2AA4">
      <w:pPr>
        <w:pStyle w:val="NoSpacing"/>
        <w:rPr>
          <w:rFonts w:ascii="Arial Black" w:hAnsi="Arial Black"/>
          <w:sz w:val="28"/>
          <w:szCs w:val="28"/>
        </w:rPr>
      </w:pPr>
      <w:r>
        <w:rPr>
          <w:rFonts w:ascii="Arial Black" w:hAnsi="Arial Black"/>
          <w:sz w:val="28"/>
          <w:szCs w:val="28"/>
        </w:rPr>
        <w:t>14-9 [also filed, Chap. 2]</w:t>
      </w:r>
    </w:p>
    <w:p w14:paraId="4C93EB84" w14:textId="77777777" w:rsidR="00ED5F90" w:rsidRDefault="00ED5F90" w:rsidP="003C2AA4">
      <w:pPr>
        <w:pStyle w:val="NoSpacing"/>
        <w:rPr>
          <w:rFonts w:ascii="Arial Black" w:hAnsi="Arial Black"/>
          <w:sz w:val="28"/>
          <w:szCs w:val="28"/>
        </w:rPr>
      </w:pPr>
    </w:p>
    <w:p w14:paraId="06156E0B" w14:textId="77777777" w:rsidR="003C2AA4" w:rsidRPr="00DF126F" w:rsidRDefault="003C2AA4" w:rsidP="003C2AA4">
      <w:pPr>
        <w:pStyle w:val="NoSpacing"/>
        <w:rPr>
          <w:rFonts w:ascii="Arial Black" w:hAnsi="Arial Black"/>
          <w:sz w:val="28"/>
          <w:szCs w:val="28"/>
        </w:rPr>
      </w:pPr>
      <w:r>
        <w:rPr>
          <w:rFonts w:ascii="Arial Black" w:hAnsi="Arial Black"/>
          <w:sz w:val="28"/>
          <w:szCs w:val="28"/>
        </w:rPr>
        <w:t>VA: RECRUIT DEATH – HEAT INDEX 116 / HIGH HEART RATE</w:t>
      </w:r>
    </w:p>
    <w:p w14:paraId="7F2B4F3E" w14:textId="77777777" w:rsidR="003C2AA4" w:rsidRDefault="003C2AA4" w:rsidP="003C2AA4">
      <w:pPr>
        <w:pStyle w:val="NoSpacing"/>
      </w:pPr>
    </w:p>
    <w:p w14:paraId="3B8C0704" w14:textId="77777777" w:rsidR="003C2AA4" w:rsidRDefault="003C2AA4" w:rsidP="003C2AA4">
      <w:pPr>
        <w:rPr>
          <w:b/>
        </w:rPr>
      </w:pPr>
      <w:r>
        <w:t xml:space="preserve">On July 30, 2026, in </w:t>
      </w:r>
      <w:r w:rsidRPr="008E7FF3">
        <w:rPr>
          <w:u w:val="single"/>
        </w:rPr>
        <w:t>Estate of Ian Strickler, by Stephanie Fiandaca-Strickler, Administrator of Estate v. Frederick County, et al.</w:t>
      </w:r>
      <w:r w:rsidRPr="003C778B">
        <w:t xml:space="preserve">, </w:t>
      </w:r>
      <w:r>
        <w:t>U.S. District Court Judge Jasmine H. Yoon, United States District Court for Western District of Virginia, Harrisonburg Division,  denied the defense motion to dismiss.  Ian Stricker, a 35-year-old recruit died during first day of fitness training of Recruit Class 14 on July 5, 2023.  By</w:t>
      </w:r>
      <w:r w:rsidRPr="00D435A3">
        <w:t xml:space="preserve"> 8:34 a.m., the heat index reached approximately 110°F.</w:t>
      </w:r>
      <w:r>
        <w:t xml:space="preserve">; Lead instructor, Lt. </w:t>
      </w:r>
      <w:r w:rsidRPr="00847EFF">
        <w:t xml:space="preserve">Kyle Ritter, a former United States Marine, </w:t>
      </w:r>
      <w:r>
        <w:t xml:space="preserve">allegedly dismissed the concern of fellow instructor that </w:t>
      </w:r>
      <w:r w:rsidRPr="00D435A3">
        <w:t>Strickler's heart was beating above 100 percent of his maximum rate</w:t>
      </w:r>
      <w:r>
        <w:t xml:space="preserve">.  </w:t>
      </w:r>
      <w:r w:rsidRPr="00CE4828">
        <w:t>At approximately 9:12 a.m.</w:t>
      </w:r>
      <w:r>
        <w:t xml:space="preserve"> t</w:t>
      </w:r>
      <w:r w:rsidRPr="00585449">
        <w:t xml:space="preserve">he heat index </w:t>
      </w:r>
      <w:r>
        <w:t xml:space="preserve">was </w:t>
      </w:r>
      <w:r w:rsidRPr="00585449">
        <w:t>now between 116°F and 124°F</w:t>
      </w:r>
      <w:r>
        <w:t>, Stricker collapsed.  “He</w:t>
      </w:r>
      <w:r w:rsidRPr="00372DCE">
        <w:t xml:space="preserve"> was transported to Winchester Medical Center at 9:30 a.m. and suffered cardiac arrest </w:t>
      </w:r>
      <w:proofErr w:type="spellStart"/>
      <w:r w:rsidRPr="00372DCE">
        <w:rPr>
          <w:i/>
          <w:iCs/>
        </w:rPr>
        <w:t>en</w:t>
      </w:r>
      <w:proofErr w:type="spellEnd"/>
      <w:r w:rsidRPr="00372DCE">
        <w:rPr>
          <w:i/>
          <w:iCs/>
        </w:rPr>
        <w:t xml:space="preserve"> route</w:t>
      </w:r>
      <w:r>
        <w:t xml:space="preserve">…. </w:t>
      </w:r>
      <w:r w:rsidRPr="00372DCE">
        <w:t>His body temperature was recorded at 104°F</w:t>
      </w:r>
      <w:r>
        <w:t xml:space="preserve">…. </w:t>
      </w:r>
      <w:r w:rsidRPr="00372DCE">
        <w:t xml:space="preserve">Resuscitation was terminated at 9:52 a.m., and Strickler was pronounced dead. </w:t>
      </w:r>
      <w:r>
        <w:t>“</w:t>
      </w:r>
      <w:r w:rsidRPr="00CE3819">
        <w:t>Plaintiff adequately pleaded failure to train liability for Frederick County.</w:t>
      </w:r>
      <w:r>
        <w:t>”  The Court held: “</w:t>
      </w:r>
      <w:r w:rsidRPr="00D60077">
        <w:t xml:space="preserve">Defendants argue that Plaintiff alleges only </w:t>
      </w:r>
      <w:r>
        <w:t>‘</w:t>
      </w:r>
      <w:r w:rsidRPr="00D60077">
        <w:t>negligently inflicted harm on Strickler during the new recruit program,</w:t>
      </w:r>
      <w:r>
        <w:t>’</w:t>
      </w:r>
      <w:r w:rsidRPr="00D60077">
        <w:t xml:space="preserve"> and therefore fails to allege a constitutional violation by Ritter that </w:t>
      </w:r>
      <w:r>
        <w:t>‘</w:t>
      </w:r>
      <w:r w:rsidRPr="00D60077">
        <w:t>shocks the conscience.</w:t>
      </w:r>
      <w:r>
        <w:t xml:space="preserve">’ … </w:t>
      </w:r>
      <w:r w:rsidRPr="00D60077">
        <w:t xml:space="preserve"> But the court is not persuaded by Defendants' argument. Plaintiff plausibly alleges that Ritter intended to injure Strickler and other recruits through his training </w:t>
      </w:r>
      <w:proofErr w:type="gramStart"/>
      <w:r w:rsidRPr="00D60077">
        <w:t>program.</w:t>
      </w:r>
      <w:r>
        <w:t>”</w:t>
      </w:r>
      <w:proofErr w:type="gramEnd"/>
      <w:r>
        <w:t xml:space="preserve"> </w:t>
      </w:r>
      <w:hyperlink r:id="rId2480" w:history="1">
        <w:r w:rsidRPr="009E02D9">
          <w:rPr>
            <w:rStyle w:val="Hyperlink"/>
            <w:b/>
          </w:rPr>
          <w:t>https://cases.justia.com/federal/district-courts/virginia/vawdce/5:2025cv00063/135495/23/0.pdf?ts=1785772612</w:t>
        </w:r>
      </w:hyperlink>
      <w:r>
        <w:rPr>
          <w:b/>
        </w:rPr>
        <w:t xml:space="preserve"> </w:t>
      </w:r>
    </w:p>
    <w:p w14:paraId="05F60A49" w14:textId="77777777" w:rsidR="003C2AA4" w:rsidRDefault="003C2AA4" w:rsidP="003C2AA4">
      <w:pPr>
        <w:pStyle w:val="NoSpacing"/>
      </w:pPr>
    </w:p>
    <w:p w14:paraId="4AF5403A" w14:textId="77777777" w:rsidR="003C2AA4" w:rsidRDefault="003C2AA4" w:rsidP="003C2AA4">
      <w:pPr>
        <w:pStyle w:val="NoSpacing"/>
      </w:pPr>
      <w:r>
        <w:t>THE COURT WROTE:</w:t>
      </w:r>
    </w:p>
    <w:p w14:paraId="3DADC344" w14:textId="77777777" w:rsidR="003C2AA4" w:rsidRDefault="003C2AA4" w:rsidP="003C2AA4">
      <w:pPr>
        <w:pStyle w:val="NoSpacing"/>
      </w:pPr>
    </w:p>
    <w:p w14:paraId="4E28EB82" w14:textId="77777777" w:rsidR="003C2AA4" w:rsidRDefault="003C2AA4" w:rsidP="003C2AA4">
      <w:pPr>
        <w:pStyle w:val="NoSpacing"/>
        <w:ind w:left="720"/>
      </w:pPr>
      <w:r>
        <w:t>“</w:t>
      </w:r>
      <w:r w:rsidRPr="00FF44FB">
        <w:t xml:space="preserve">Sometime prior to 2016, then-Fire Chief Dennis Linaburg and Deputy Chief Keith Jenkins devised a plan to turn FCFR's recruit school into a </w:t>
      </w:r>
      <w:r>
        <w:t>‘</w:t>
      </w:r>
      <w:r w:rsidRPr="00FF44FB">
        <w:t>paramilitary</w:t>
      </w:r>
      <w:r>
        <w:t>’</w:t>
      </w:r>
      <w:r w:rsidRPr="00FF44FB">
        <w:t xml:space="preserve"> school, </w:t>
      </w:r>
      <w:r>
        <w:t>‘</w:t>
      </w:r>
      <w:r w:rsidRPr="00FF44FB">
        <w:t>designed to transform firefighters into soldiers when deployed to the field.</w:t>
      </w:r>
      <w:r>
        <w:t xml:space="preserve">’ … </w:t>
      </w:r>
      <w:r w:rsidRPr="00FF44FB">
        <w:t>To do so, Deputy Chief Jenkins recruited Lieutenant Kyle Ritter, a former United States Marine, as a training instructor</w:t>
      </w:r>
      <w:r>
        <w:t xml:space="preserve">…. </w:t>
      </w:r>
      <w:r w:rsidRPr="00FF44FB">
        <w:t xml:space="preserve">Ritter was selected solely </w:t>
      </w:r>
      <w:r>
        <w:t>‘</w:t>
      </w:r>
      <w:r w:rsidRPr="00FF44FB">
        <w:t>because of his prior military service,</w:t>
      </w:r>
      <w:r>
        <w:t xml:space="preserve">’… </w:t>
      </w:r>
      <w:r w:rsidRPr="00FF44FB">
        <w:t>and was not certified to lead physical training</w:t>
      </w:r>
      <w:r>
        <w:t>.”</w:t>
      </w:r>
    </w:p>
    <w:p w14:paraId="12DFB1F8" w14:textId="77777777" w:rsidR="003C2AA4" w:rsidRDefault="003C2AA4" w:rsidP="003C2AA4">
      <w:pPr>
        <w:pStyle w:val="NoSpacing"/>
        <w:ind w:left="720"/>
      </w:pPr>
    </w:p>
    <w:p w14:paraId="2ABB4578" w14:textId="77777777" w:rsidR="003C2AA4" w:rsidRDefault="003C2AA4" w:rsidP="003C2AA4">
      <w:pPr>
        <w:pStyle w:val="NoSpacing"/>
        <w:ind w:left="720"/>
      </w:pPr>
      <w:r>
        <w:t>***</w:t>
      </w:r>
    </w:p>
    <w:p w14:paraId="6D64E648" w14:textId="77777777" w:rsidR="003C2AA4" w:rsidRDefault="003C2AA4" w:rsidP="003C2AA4">
      <w:pPr>
        <w:pStyle w:val="NoSpacing"/>
        <w:ind w:left="720"/>
      </w:pPr>
    </w:p>
    <w:p w14:paraId="52E34241" w14:textId="77777777" w:rsidR="003C2AA4" w:rsidRDefault="003C2AA4" w:rsidP="003C2AA4">
      <w:pPr>
        <w:pStyle w:val="NoSpacing"/>
        <w:ind w:left="720"/>
      </w:pPr>
    </w:p>
    <w:p w14:paraId="7371993E" w14:textId="77777777" w:rsidR="003C2AA4" w:rsidRDefault="003C2AA4" w:rsidP="003C2AA4">
      <w:pPr>
        <w:pStyle w:val="NoSpacing"/>
        <w:ind w:left="720"/>
      </w:pPr>
      <w:r>
        <w:t xml:space="preserve">[On Jul5, 2023 at] </w:t>
      </w:r>
      <w:r w:rsidRPr="007F3C18">
        <w:t xml:space="preserve">approximately 8:30 a.m., the recruits were bused to FCFR's Public Safety Building, and Ritter directed the recruits to put on heart rate sensors, which linked their heart rates to an iPad monitored by </w:t>
      </w:r>
      <w:r>
        <w:t xml:space="preserve">[Instructor] </w:t>
      </w:r>
      <w:r w:rsidRPr="007F3C18">
        <w:t>Toler</w:t>
      </w:r>
      <w:r>
        <w:t xml:space="preserve">…. </w:t>
      </w:r>
      <w:r w:rsidRPr="007F3C18">
        <w:t>When Strickler strapped his sensor on at 8:34 a.m., his heart rate already registered at or slightly above 184 beats per minute</w:t>
      </w:r>
      <w:r>
        <w:t xml:space="preserve">…. </w:t>
      </w:r>
      <w:r w:rsidRPr="007F3C18">
        <w:t>This was virtually Strickler's maximum heart rate, exceeding his recommended ceiling of 167 beats per minute</w:t>
      </w:r>
      <w:r>
        <w:t xml:space="preserve">…. </w:t>
      </w:r>
      <w:r w:rsidRPr="00E3391C">
        <w:t> During the break, Toler informed Strickler about his heart rate, which had not dropped below 195 beats per minute</w:t>
      </w:r>
      <w:r>
        <w:t xml:space="preserve">…. </w:t>
      </w:r>
      <w:r w:rsidRPr="00E3391C">
        <w:t>She did not tell Strickler that his readings were dangerous, but asked only whether he felt lightheaded, nauseated, or in pain</w:t>
      </w:r>
      <w:r>
        <w:t xml:space="preserve">…. </w:t>
      </w:r>
      <w:r w:rsidRPr="00E3391C">
        <w:t>Strickler said he did not</w:t>
      </w:r>
      <w:r>
        <w:t xml:space="preserve">…. </w:t>
      </w:r>
      <w:r w:rsidRPr="00E3391C">
        <w:t>Toler then showed the readings to Ritter and told him Strickler's heart was beating above 100 percent of his maximum rate</w:t>
      </w:r>
      <w:r>
        <w:t xml:space="preserve">…. </w:t>
      </w:r>
      <w:r w:rsidRPr="00E3391C">
        <w:t xml:space="preserve">Ritter dismissed her concerns and lined the recruits up </w:t>
      </w:r>
      <w:proofErr w:type="gramStart"/>
      <w:r w:rsidRPr="00E3391C">
        <w:t>for</w:t>
      </w:r>
      <w:proofErr w:type="gramEnd"/>
      <w:r w:rsidRPr="00E3391C">
        <w:t xml:space="preserve"> bear crawls, despite having witnessed at least two cardiac events in prior </w:t>
      </w:r>
      <w:proofErr w:type="gramStart"/>
      <w:r w:rsidRPr="00E3391C">
        <w:t>trainings</w:t>
      </w:r>
      <w:proofErr w:type="gramEnd"/>
      <w:r w:rsidRPr="00E3391C">
        <w:t xml:space="preserve">. </w:t>
      </w:r>
    </w:p>
    <w:p w14:paraId="6810D35C" w14:textId="77777777" w:rsidR="003C2AA4" w:rsidRDefault="003C2AA4" w:rsidP="003C2AA4">
      <w:pPr>
        <w:pStyle w:val="NoSpacing"/>
        <w:ind w:left="720"/>
      </w:pPr>
    </w:p>
    <w:p w14:paraId="688969BB" w14:textId="77777777" w:rsidR="003C2AA4" w:rsidRDefault="003C2AA4" w:rsidP="003C2AA4">
      <w:pPr>
        <w:pStyle w:val="NoSpacing"/>
        <w:ind w:left="720"/>
      </w:pPr>
      <w:r>
        <w:t>***</w:t>
      </w:r>
    </w:p>
    <w:p w14:paraId="7AAA07B1" w14:textId="77777777" w:rsidR="003C2AA4" w:rsidRDefault="003C2AA4" w:rsidP="003C2AA4">
      <w:pPr>
        <w:pStyle w:val="NoSpacing"/>
        <w:ind w:left="720"/>
      </w:pPr>
      <w:r w:rsidRPr="00CE3819">
        <w:t xml:space="preserve">First, as discussed above, Plaintiff plausibly alleged that Ritter violated Strickler's constitutional rights. Second, Plaintiff alleges </w:t>
      </w:r>
      <w:r>
        <w:t>‘</w:t>
      </w:r>
      <w:r w:rsidRPr="00CE3819">
        <w:t>that policymakers were aware of, and acquiesced in, a pattern of constitutional violations.</w:t>
      </w:r>
      <w:r>
        <w:t xml:space="preserve">’… </w:t>
      </w:r>
      <w:r w:rsidRPr="00CE3819">
        <w:t xml:space="preserve">The complaint includes allegations that Ritter </w:t>
      </w:r>
      <w:r>
        <w:t>[</w:t>
      </w:r>
      <w:r w:rsidRPr="006F4C97">
        <w:t xml:space="preserve">Lieutenant Kyle Ritter, a former United States Marine, </w:t>
      </w:r>
      <w:r>
        <w:t>w</w:t>
      </w:r>
      <w:r w:rsidRPr="006F4C97">
        <w:t xml:space="preserve">as </w:t>
      </w:r>
      <w:r>
        <w:t xml:space="preserve">recruited in 2016 as </w:t>
      </w:r>
      <w:r w:rsidRPr="006F4C97">
        <w:t>a training instructor</w:t>
      </w:r>
      <w:r>
        <w:t xml:space="preserve">] </w:t>
      </w:r>
      <w:r w:rsidRPr="00CE3819">
        <w:t>intentionally caused over a dozen injuries, including two cardiac emergencies</w:t>
      </w:r>
      <w:r>
        <w:t xml:space="preserve"> …</w:t>
      </w:r>
      <w:r w:rsidRPr="00CE3819">
        <w:t>; that Ritter methodically hazed recruits</w:t>
      </w:r>
      <w:r>
        <w:t xml:space="preserve"> … </w:t>
      </w:r>
      <w:r w:rsidRPr="00CE3819">
        <w:t>; that a female recruit sustained so many injuries that Ritter was warned to stop documenting injuries or lose his position</w:t>
      </w:r>
      <w:r>
        <w:t xml:space="preserve"> … </w:t>
      </w:r>
      <w:r w:rsidRPr="00CE3819">
        <w:t xml:space="preserve">; that Ritter threatened to </w:t>
      </w:r>
      <w:r>
        <w:t>‘</w:t>
      </w:r>
      <w:r w:rsidRPr="00CE3819">
        <w:t>fuck [a recruit] up,</w:t>
      </w:r>
      <w:r>
        <w:t>’ …</w:t>
      </w:r>
      <w:r w:rsidRPr="00CE3819">
        <w:t>; and that a lieutenant warned Ritter that he was endangering recruits' lives</w:t>
      </w:r>
      <w:r>
        <w:t xml:space="preserve">…. </w:t>
      </w:r>
      <w:r w:rsidRPr="00CE3819">
        <w:t xml:space="preserve"> Plaintiff also alleges that Fire Chief Majchrzak witnessed and approved of Ritter's physical training methods, despite these injuries</w:t>
      </w:r>
      <w:r>
        <w:t xml:space="preserve"> …. </w:t>
      </w:r>
      <w:r w:rsidRPr="00CE3819">
        <w:t xml:space="preserve">; that the Deputy Fire Chief, when told that recruits' lives were at risk, stated that he </w:t>
      </w:r>
      <w:r>
        <w:t>‘</w:t>
      </w:r>
      <w:r w:rsidRPr="00CE3819">
        <w:t>stood by [his] marine,</w:t>
      </w:r>
      <w:r>
        <w:t xml:space="preserve">’ … </w:t>
      </w:r>
      <w:r w:rsidRPr="00CE3819">
        <w:t>and that senior leadership encouraged Ritter to stop generating a paper trail of injuries</w:t>
      </w:r>
      <w:r>
        <w:t xml:space="preserve"> …. </w:t>
      </w:r>
      <w:r w:rsidRPr="00CE3819">
        <w:t xml:space="preserve"> At the pleading stage, this sufficiently alleges </w:t>
      </w:r>
      <w:r>
        <w:t>‘</w:t>
      </w:r>
      <w:r w:rsidRPr="00CE3819">
        <w:t>deliberate indifference</w:t>
      </w:r>
      <w:r>
        <w:t>’</w:t>
      </w:r>
      <w:r w:rsidRPr="00CE3819">
        <w:t xml:space="preserve"> to the individuals that Ritter trained. </w:t>
      </w:r>
      <w:r w:rsidRPr="00CE3819">
        <w:rPr>
          <w:i/>
          <w:iCs/>
        </w:rPr>
        <w:t>See Brown v. Mitchell,</w:t>
      </w:r>
      <w:r w:rsidRPr="00CE3819">
        <w:t xml:space="preserve"> 308 F.Supp.2d 682, 703 (E.D. Va. 2004) (collecting cases showing that </w:t>
      </w:r>
      <w:r>
        <w:t>‘</w:t>
      </w:r>
      <w:r w:rsidRPr="00CE3819">
        <w:t>if the supervisory power is actually aware of the fact that its subordinates are regularly violating constitutional or statutory rights, and the supervisory power fails to implement a training program to quell this pattern, deliberate indifference exists.</w:t>
      </w:r>
      <w:r>
        <w:t>’</w:t>
      </w:r>
      <w:r w:rsidRPr="00CE3819">
        <w:t>).</w:t>
      </w:r>
      <w:r>
        <w:t>”</w:t>
      </w:r>
    </w:p>
    <w:p w14:paraId="67F60C8E" w14:textId="77777777" w:rsidR="003C2AA4" w:rsidRDefault="003C2AA4" w:rsidP="003C2AA4">
      <w:pPr>
        <w:pStyle w:val="NoSpacing"/>
        <w:ind w:left="720"/>
      </w:pPr>
    </w:p>
    <w:p w14:paraId="654C9C25" w14:textId="77777777" w:rsidR="003C2AA4" w:rsidRDefault="003C2AA4" w:rsidP="003C2AA4">
      <w:pPr>
        <w:pStyle w:val="NoSpacing"/>
        <w:ind w:left="720"/>
      </w:pPr>
    </w:p>
    <w:p w14:paraId="470F1B3F" w14:textId="77777777" w:rsidR="003C2AA4" w:rsidRPr="00B00C32" w:rsidRDefault="003C2AA4" w:rsidP="003C2AA4">
      <w:pPr>
        <w:pStyle w:val="NoSpacing"/>
        <w:rPr>
          <w:b/>
          <w:bCs/>
        </w:rPr>
      </w:pPr>
      <w:r w:rsidRPr="00B00C32">
        <w:rPr>
          <w:b/>
        </w:rPr>
        <w:t xml:space="preserve">Legal lesson learned: </w:t>
      </w:r>
      <w:r>
        <w:rPr>
          <w:b/>
        </w:rPr>
        <w:t>Strenuous r</w:t>
      </w:r>
      <w:r w:rsidRPr="00B00C32">
        <w:rPr>
          <w:b/>
        </w:rPr>
        <w:t>ecruit training with heat index between 116°F and 124°F can lead to tragic results; case will now proceed to pre-trial discovery.</w:t>
      </w:r>
    </w:p>
    <w:p w14:paraId="299517A1" w14:textId="77777777" w:rsidR="003C2AA4" w:rsidRDefault="003C2AA4" w:rsidP="003C2AA4">
      <w:pPr>
        <w:pStyle w:val="NoSpacing"/>
      </w:pPr>
    </w:p>
    <w:p w14:paraId="65154C3D" w14:textId="77777777" w:rsidR="003C2AA4" w:rsidRDefault="003C2AA4" w:rsidP="00116265">
      <w:pPr>
        <w:pStyle w:val="NoSpacing"/>
        <w:rPr>
          <w:rFonts w:ascii="Arial Black" w:hAnsi="Arial Black"/>
          <w:sz w:val="28"/>
          <w:szCs w:val="28"/>
        </w:rPr>
      </w:pPr>
    </w:p>
    <w:p w14:paraId="058C2A62" w14:textId="77777777" w:rsidR="003C2AA4" w:rsidRDefault="003C2AA4" w:rsidP="00116265">
      <w:pPr>
        <w:pStyle w:val="NoSpacing"/>
        <w:rPr>
          <w:rFonts w:ascii="Arial Black" w:hAnsi="Arial Black"/>
          <w:sz w:val="28"/>
          <w:szCs w:val="28"/>
        </w:rPr>
      </w:pPr>
    </w:p>
    <w:p w14:paraId="3313E74C" w14:textId="77777777" w:rsidR="003C2AA4" w:rsidRDefault="003C2AA4" w:rsidP="00116265">
      <w:pPr>
        <w:pStyle w:val="NoSpacing"/>
        <w:rPr>
          <w:rFonts w:ascii="Arial Black" w:hAnsi="Arial Black"/>
          <w:sz w:val="28"/>
          <w:szCs w:val="28"/>
        </w:rPr>
      </w:pPr>
    </w:p>
    <w:p w14:paraId="728415D3" w14:textId="6D42B483" w:rsidR="00116265" w:rsidRDefault="00116265" w:rsidP="00116265">
      <w:pPr>
        <w:pStyle w:val="NoSpacing"/>
        <w:rPr>
          <w:rFonts w:ascii="Arial Black" w:hAnsi="Arial Black"/>
          <w:sz w:val="28"/>
          <w:szCs w:val="28"/>
        </w:rPr>
      </w:pPr>
      <w:r>
        <w:rPr>
          <w:rFonts w:ascii="Arial Black" w:hAnsi="Arial Black"/>
          <w:sz w:val="28"/>
          <w:szCs w:val="28"/>
        </w:rPr>
        <w:t>14-9</w:t>
      </w:r>
      <w:r w:rsidR="008C7243">
        <w:rPr>
          <w:rFonts w:ascii="Arial Black" w:hAnsi="Arial Black"/>
          <w:sz w:val="28"/>
          <w:szCs w:val="28"/>
        </w:rPr>
        <w:t xml:space="preserve"> [also filed, Chap. 9, ADA]</w:t>
      </w:r>
    </w:p>
    <w:p w14:paraId="67278772" w14:textId="77777777" w:rsidR="00116265" w:rsidRDefault="00116265" w:rsidP="00116265">
      <w:pPr>
        <w:pStyle w:val="NoSpacing"/>
        <w:rPr>
          <w:rFonts w:ascii="Arial Black" w:hAnsi="Arial Black"/>
          <w:sz w:val="28"/>
          <w:szCs w:val="28"/>
        </w:rPr>
      </w:pPr>
    </w:p>
    <w:p w14:paraId="1D69FC85" w14:textId="7273FFC1" w:rsidR="00116265" w:rsidRDefault="00116265" w:rsidP="00116265">
      <w:pPr>
        <w:pStyle w:val="NoSpacing"/>
        <w:rPr>
          <w:rFonts w:ascii="Arial Black" w:hAnsi="Arial Black"/>
          <w:bCs/>
          <w:sz w:val="28"/>
          <w:szCs w:val="28"/>
        </w:rPr>
      </w:pPr>
      <w:r>
        <w:rPr>
          <w:rFonts w:ascii="Arial Black" w:hAnsi="Arial Black"/>
          <w:sz w:val="28"/>
          <w:szCs w:val="28"/>
        </w:rPr>
        <w:t>MD: DEPRESSION – SLOWER STATION – CASE PROCEED</w:t>
      </w:r>
    </w:p>
    <w:p w14:paraId="06092CBF" w14:textId="77777777" w:rsidR="00116265" w:rsidRDefault="00116265" w:rsidP="00116265">
      <w:pPr>
        <w:pStyle w:val="NoSpacing"/>
        <w:rPr>
          <w:rFonts w:ascii="Arial Black" w:hAnsi="Arial Black"/>
          <w:bCs/>
          <w:sz w:val="28"/>
          <w:szCs w:val="28"/>
        </w:rPr>
      </w:pPr>
    </w:p>
    <w:p w14:paraId="2906583B" w14:textId="77777777" w:rsidR="00116265" w:rsidRDefault="00116265" w:rsidP="00116265">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2481" w:history="1">
        <w:r w:rsidRPr="003A1948">
          <w:rPr>
            <w:rStyle w:val="Hyperlink"/>
          </w:rPr>
          <w:t>https://cases.justia.com/federal/district-courts/maryland/mddce/1:2024cv03580/573207/56/0.pdf?ts=1777474810</w:t>
        </w:r>
      </w:hyperlink>
      <w:r>
        <w:t xml:space="preserve"> </w:t>
      </w:r>
    </w:p>
    <w:p w14:paraId="737395CA" w14:textId="77777777" w:rsidR="00116265" w:rsidRDefault="00116265" w:rsidP="00116265">
      <w:pPr>
        <w:pStyle w:val="NoSpacing"/>
      </w:pPr>
    </w:p>
    <w:p w14:paraId="344655BA" w14:textId="77777777" w:rsidR="00116265" w:rsidRDefault="00116265" w:rsidP="00116265">
      <w:pPr>
        <w:pStyle w:val="NoSpacing"/>
      </w:pPr>
      <w:r>
        <w:t xml:space="preserve">THE COURT HELD: </w:t>
      </w:r>
    </w:p>
    <w:p w14:paraId="0953976A" w14:textId="77777777" w:rsidR="00116265" w:rsidRDefault="00116265" w:rsidP="00116265">
      <w:pPr>
        <w:pStyle w:val="NoSpacing"/>
      </w:pPr>
    </w:p>
    <w:p w14:paraId="66E484FD" w14:textId="77777777" w:rsidR="00116265" w:rsidRDefault="00116265" w:rsidP="00116265">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67CEC2B0" w14:textId="77777777" w:rsidR="00116265" w:rsidRDefault="00116265" w:rsidP="00116265">
      <w:pPr>
        <w:pStyle w:val="NoSpacing"/>
        <w:ind w:left="720"/>
      </w:pPr>
    </w:p>
    <w:p w14:paraId="020FBF8B" w14:textId="77777777" w:rsidR="00116265" w:rsidRDefault="00116265" w:rsidP="00116265">
      <w:pPr>
        <w:pStyle w:val="NoSpacing"/>
        <w:ind w:left="720"/>
      </w:pPr>
      <w:r>
        <w:t>***</w:t>
      </w:r>
    </w:p>
    <w:p w14:paraId="3133F6A9" w14:textId="77777777" w:rsidR="00116265" w:rsidRDefault="00116265" w:rsidP="00116265">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318A8FF5" w14:textId="77777777" w:rsidR="00116265" w:rsidRDefault="00116265" w:rsidP="00116265">
      <w:pPr>
        <w:pStyle w:val="NoSpacing"/>
        <w:ind w:left="720"/>
      </w:pPr>
    </w:p>
    <w:p w14:paraId="2BC17D53" w14:textId="77777777" w:rsidR="00116265" w:rsidRDefault="00116265" w:rsidP="00116265">
      <w:pPr>
        <w:pStyle w:val="NoSpacing"/>
        <w:ind w:left="720"/>
      </w:pPr>
      <w:r>
        <w:t>***</w:t>
      </w:r>
    </w:p>
    <w:p w14:paraId="38F1B265" w14:textId="77777777" w:rsidR="00116265" w:rsidRDefault="00116265" w:rsidP="00116265">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2B558CFB" w14:textId="77777777" w:rsidR="00116265" w:rsidRDefault="00116265" w:rsidP="00116265">
      <w:pPr>
        <w:pStyle w:val="NoSpacing"/>
        <w:ind w:left="720"/>
      </w:pPr>
    </w:p>
    <w:p w14:paraId="0C0E4D2F" w14:textId="77777777" w:rsidR="00116265" w:rsidRDefault="00116265" w:rsidP="00116265">
      <w:pPr>
        <w:pStyle w:val="NoSpacing"/>
        <w:ind w:left="720"/>
      </w:pPr>
      <w:r>
        <w:t>***</w:t>
      </w:r>
    </w:p>
    <w:p w14:paraId="1BB3A8F1" w14:textId="77777777" w:rsidR="00116265" w:rsidRDefault="00116265" w:rsidP="00116265">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5664E71D" w14:textId="77777777" w:rsidR="00116265" w:rsidRDefault="00116265" w:rsidP="00116265">
      <w:pPr>
        <w:pStyle w:val="NoSpacing"/>
        <w:ind w:left="720"/>
      </w:pPr>
    </w:p>
    <w:p w14:paraId="78031AE6" w14:textId="77777777" w:rsidR="00116265" w:rsidRPr="004A2357" w:rsidRDefault="00116265" w:rsidP="00116265">
      <w:pPr>
        <w:rPr>
          <w:b/>
          <w:bCs/>
        </w:rPr>
      </w:pPr>
      <w:r>
        <w:rPr>
          <w:b/>
        </w:rPr>
        <w:t>Legal lesson learned: The firefighter has burden of proof in this ADA case; permanent assignment to a slower station is a unique request for “reasonable accommodation.”</w:t>
      </w:r>
    </w:p>
    <w:p w14:paraId="5891AC5A" w14:textId="77777777" w:rsidR="0091755D" w:rsidRDefault="0091755D" w:rsidP="00F326E5">
      <w:pPr>
        <w:pStyle w:val="NoSpacing"/>
        <w:rPr>
          <w:rFonts w:ascii="Arial Black" w:hAnsi="Arial Black"/>
          <w:sz w:val="28"/>
          <w:szCs w:val="28"/>
        </w:rPr>
      </w:pPr>
    </w:p>
    <w:p w14:paraId="4B42105B" w14:textId="77777777" w:rsidR="0091755D" w:rsidRDefault="0091755D" w:rsidP="00F326E5">
      <w:pPr>
        <w:pStyle w:val="NoSpacing"/>
        <w:rPr>
          <w:rFonts w:ascii="Arial Black" w:hAnsi="Arial Black"/>
          <w:sz w:val="28"/>
          <w:szCs w:val="28"/>
        </w:rPr>
      </w:pPr>
    </w:p>
    <w:p w14:paraId="3218205F" w14:textId="77777777" w:rsidR="0091755D" w:rsidRDefault="0091755D" w:rsidP="00F326E5">
      <w:pPr>
        <w:pStyle w:val="NoSpacing"/>
        <w:rPr>
          <w:rFonts w:ascii="Arial Black" w:hAnsi="Arial Black"/>
          <w:sz w:val="28"/>
          <w:szCs w:val="28"/>
        </w:rPr>
      </w:pPr>
    </w:p>
    <w:p w14:paraId="40116357" w14:textId="407A6241" w:rsidR="0026368F" w:rsidRDefault="0026368F" w:rsidP="00F326E5">
      <w:pPr>
        <w:pStyle w:val="NoSpacing"/>
        <w:rPr>
          <w:rFonts w:ascii="Arial Black" w:hAnsi="Arial Black"/>
          <w:sz w:val="28"/>
          <w:szCs w:val="28"/>
        </w:rPr>
      </w:pPr>
      <w:r>
        <w:rPr>
          <w:rFonts w:ascii="Arial Black" w:hAnsi="Arial Black"/>
          <w:sz w:val="28"/>
          <w:szCs w:val="28"/>
        </w:rPr>
        <w:t>14-9</w:t>
      </w:r>
    </w:p>
    <w:p w14:paraId="5AA0CFDE" w14:textId="77777777" w:rsidR="008F1833" w:rsidRDefault="008F1833" w:rsidP="0026368F">
      <w:pPr>
        <w:pStyle w:val="NoSpacing"/>
        <w:rPr>
          <w:rFonts w:ascii="Arial Black" w:hAnsi="Arial Black"/>
          <w:b/>
          <w:sz w:val="28"/>
          <w:szCs w:val="28"/>
        </w:rPr>
      </w:pPr>
    </w:p>
    <w:p w14:paraId="4791AD03" w14:textId="0F44BA03" w:rsidR="0026368F" w:rsidRPr="008F1833" w:rsidRDefault="0026368F" w:rsidP="0026368F">
      <w:pPr>
        <w:pStyle w:val="NoSpacing"/>
        <w:rPr>
          <w:rFonts w:ascii="Times New Roman" w:hAnsi="Times New Roman"/>
          <w:b/>
          <w:sz w:val="24"/>
          <w:szCs w:val="24"/>
        </w:rPr>
      </w:pPr>
      <w:r>
        <w:rPr>
          <w:rFonts w:ascii="Arial Black" w:hAnsi="Arial Black"/>
          <w:b/>
          <w:sz w:val="28"/>
          <w:szCs w:val="28"/>
        </w:rPr>
        <w:t>FL: FF FIRED – ANNUAL PHYSICAL – TRIED AVOID TB TEST</w:t>
      </w:r>
      <w:r w:rsidR="008F1833">
        <w:rPr>
          <w:rFonts w:ascii="Arial Black" w:hAnsi="Arial Black"/>
          <w:b/>
          <w:sz w:val="28"/>
          <w:szCs w:val="28"/>
        </w:rPr>
        <w:t xml:space="preserve"> </w:t>
      </w:r>
      <w:r w:rsidR="008F1833" w:rsidRPr="008F1833">
        <w:rPr>
          <w:rFonts w:ascii="Times New Roman" w:hAnsi="Times New Roman"/>
          <w:b/>
          <w:sz w:val="24"/>
          <w:szCs w:val="24"/>
        </w:rPr>
        <w:t>[also filed, Chap. 16]</w:t>
      </w:r>
    </w:p>
    <w:p w14:paraId="3AA73271" w14:textId="77777777" w:rsidR="0026368F" w:rsidRDefault="0026368F" w:rsidP="0026368F">
      <w:pPr>
        <w:pStyle w:val="NoSpacing"/>
        <w:rPr>
          <w:b/>
        </w:rPr>
      </w:pPr>
    </w:p>
    <w:p w14:paraId="3B46F789" w14:textId="77777777" w:rsidR="0026368F" w:rsidRPr="00FF0E3F" w:rsidRDefault="0026368F" w:rsidP="0026368F">
      <w:pPr>
        <w:pStyle w:val="NoSpacing"/>
        <w:rPr>
          <w:bCs/>
        </w:rPr>
      </w:pPr>
      <w:r w:rsidRPr="001D2253">
        <w:t xml:space="preserve">On February 6, 2026, in </w:t>
      </w:r>
      <w:r w:rsidRPr="001D2253">
        <w:rPr>
          <w:u w:val="single"/>
        </w:rPr>
        <w:t>Nathaniel Griffin v. City of South Pasadena and The St. Petersburg International Association of Fire Fighters, Local 747</w:t>
      </w:r>
      <w:r w:rsidRPr="001D2253">
        <w:t xml:space="preserve">, </w:t>
      </w:r>
      <w:r>
        <w:t xml:space="preserve">U.S. District Court Judge William F. Jung, </w:t>
      </w:r>
      <w:r w:rsidRPr="00FF0E3F">
        <w:t>United States District Court for the Middle District of Florida, Tampa Division</w:t>
      </w:r>
      <w:r>
        <w:t xml:space="preserve">, dismissed the lawsuit against both the </w:t>
      </w:r>
      <w:proofErr w:type="gramStart"/>
      <w:r>
        <w:t>City</w:t>
      </w:r>
      <w:proofErr w:type="gramEnd"/>
      <w:r>
        <w:t xml:space="preserve"> and the Local.  Firefighter, paramedic Griffin, on </w:t>
      </w:r>
      <w:r w:rsidRPr="00F470E1">
        <w:t xml:space="preserve">August 12, </w:t>
      </w:r>
      <w:proofErr w:type="gramStart"/>
      <w:r w:rsidRPr="00F470E1">
        <w:t>2022</w:t>
      </w:r>
      <w:proofErr w:type="gramEnd"/>
      <w:r w:rsidRPr="00F470E1">
        <w:t xml:space="preserve"> underwent his annual physical examination at Life Scan Wellness Center</w:t>
      </w:r>
      <w:r>
        <w:t xml:space="preserve">; he </w:t>
      </w:r>
      <w:r w:rsidRPr="00F470E1">
        <w:t>completed most of the medical examination without issue, except for the TB test</w:t>
      </w:r>
      <w:r>
        <w:t xml:space="preserve">, when asked </w:t>
      </w:r>
      <w:r w:rsidRPr="00F470E1">
        <w:t>the Life Scan technician to skip the TB test but fraudulently report that a test had been done.</w:t>
      </w:r>
      <w:r>
        <w:t xml:space="preserve">  The Fire Chief gave the plaintiff an opportunity to </w:t>
      </w:r>
      <w:proofErr w:type="gramStart"/>
      <w:r>
        <w:t>resigned</w:t>
      </w:r>
      <w:proofErr w:type="gramEnd"/>
      <w:r>
        <w:t xml:space="preserve">; he refused and was fired on September 13, 2022. </w:t>
      </w:r>
      <w:hyperlink r:id="rId2482" w:history="1">
        <w:r w:rsidRPr="00C72C21">
          <w:rPr>
            <w:rStyle w:val="Hyperlink"/>
          </w:rPr>
          <w:t>https://cases.justia.com/federal/district-courts/florida/flmdce/8:2025cv02787/448658/35/0.pdf</w:t>
        </w:r>
      </w:hyperlink>
      <w:r>
        <w:t xml:space="preserve"> </w:t>
      </w:r>
    </w:p>
    <w:p w14:paraId="2C931E7C" w14:textId="77777777" w:rsidR="0026368F" w:rsidRDefault="0026368F" w:rsidP="0026368F">
      <w:pPr>
        <w:pStyle w:val="NoSpacing"/>
        <w:rPr>
          <w:bCs/>
        </w:rPr>
      </w:pPr>
    </w:p>
    <w:p w14:paraId="23053B1D" w14:textId="77777777" w:rsidR="0026368F" w:rsidRDefault="0026368F" w:rsidP="0026368F">
      <w:pPr>
        <w:pStyle w:val="NoSpacing"/>
      </w:pPr>
      <w:r>
        <w:t>THE COURT HELD: “</w:t>
      </w:r>
      <w:r w:rsidRPr="005C306F">
        <w:t>When evaluating the results of the physical examination, the CBA requires the physician to follow the national guidelines set forth in the National Fire Protection Association (</w:t>
      </w:r>
      <w:r>
        <w:t>‘</w:t>
      </w:r>
      <w:r w:rsidRPr="005C306F">
        <w:t>NFPA</w:t>
      </w:r>
      <w:r>
        <w:t>’</w:t>
      </w:r>
      <w:r w:rsidRPr="005C306F">
        <w:t>) 1582, Chapter 9</w:t>
      </w:r>
      <w:r>
        <w:t xml:space="preserve">…. </w:t>
      </w:r>
      <w:r w:rsidRPr="005C306F">
        <w:t xml:space="preserve"> As relevant to this lawsuit, the annual physical examination includes tuberculosis (</w:t>
      </w:r>
      <w:r>
        <w:t>‘</w:t>
      </w:r>
      <w:r w:rsidRPr="005C306F">
        <w:t>TB</w:t>
      </w:r>
      <w:r>
        <w:t>’</w:t>
      </w:r>
      <w:r w:rsidRPr="005C306F">
        <w:t>) testing, which may require an additional chest X-ray if the TB test comes back positive</w:t>
      </w:r>
      <w:r>
        <w:t xml:space="preserve">…. </w:t>
      </w:r>
      <w:r w:rsidRPr="005C306F">
        <w:t xml:space="preserve">Plaintiff alleges that at some unspecified point during the CBA negotiations, he objected to the CBA agreement due </w:t>
      </w:r>
      <w:r>
        <w:t>‘</w:t>
      </w:r>
      <w:r w:rsidRPr="005C306F">
        <w:t>to the breath [sic] and intrusive nature of the mandatory medical examinations.</w:t>
      </w:r>
      <w:r>
        <w:t xml:space="preserve">’ … </w:t>
      </w:r>
      <w:r w:rsidRPr="005C306F">
        <w:t xml:space="preserve">Plaintiff further alleges that he continually voiced his objection to the CBA, even after the agreement was adopted on August 28, 2019. </w:t>
      </w:r>
      <w:r>
        <w:t xml:space="preserve">***  </w:t>
      </w:r>
      <w:r w:rsidRPr="00901B14">
        <w:t>Based on a careful review of the pleadings, the Court grants the City's motion to dismiss. As discussed below, Plaintiff has failed to state a claim under the ADA, GINA, Title VII, and Section 1983</w:t>
      </w:r>
      <w:r>
        <w:t xml:space="preserve">…. </w:t>
      </w:r>
      <w:r w:rsidRPr="003E7359">
        <w:t xml:space="preserve">Here, even when accepting the meager factual allegations as true, Plaintiff fails to allege any Fourth Amendment violation since the Complaint fails to allege that any private interests outweigh the City's interest in public safety. The Complaint vaguely asserts that the August 2022 physical examination violated </w:t>
      </w:r>
      <w:r>
        <w:t>‘</w:t>
      </w:r>
      <w:r w:rsidRPr="003E7359">
        <w:t xml:space="preserve">Plaintiff's personal privacy </w:t>
      </w:r>
      <w:proofErr w:type="gramStart"/>
      <w:r w:rsidRPr="003E7359">
        <w:t>rights</w:t>
      </w:r>
      <w:r>
        <w:t>’</w:t>
      </w:r>
      <w:proofErr w:type="gramEnd"/>
      <w:r w:rsidRPr="003E7359">
        <w:t xml:space="preserve"> due to the exam's </w:t>
      </w:r>
      <w:r>
        <w:t>‘</w:t>
      </w:r>
      <w:r w:rsidRPr="003E7359">
        <w:t>breadth and intrusive nature.</w:t>
      </w:r>
      <w:r>
        <w:t xml:space="preserve">’ … </w:t>
      </w:r>
      <w:r w:rsidRPr="003E7359">
        <w:t xml:space="preserve">But Plaintiff never specifies what aspect of the physical examination was so </w:t>
      </w:r>
      <w:r>
        <w:t>‘</w:t>
      </w:r>
      <w:proofErr w:type="spellStart"/>
      <w:r w:rsidRPr="003E7359">
        <w:t>intrusiv</w:t>
      </w:r>
      <w:proofErr w:type="spellEnd"/>
      <w:r>
        <w:t>’</w:t>
      </w:r>
      <w:r w:rsidRPr="003E7359">
        <w:t xml:space="preserve"> and overbroad that it violated Plaintiff's diminished expectation of privacy due to his job as a firefighter and paramedic. </w:t>
      </w:r>
      <w:r w:rsidRPr="003E7359">
        <w:rPr>
          <w:i/>
          <w:iCs/>
        </w:rPr>
        <w:t xml:space="preserve">See </w:t>
      </w:r>
      <w:proofErr w:type="spellStart"/>
      <w:r w:rsidRPr="003E7359">
        <w:rPr>
          <w:i/>
          <w:iCs/>
        </w:rPr>
        <w:t>Nat'l</w:t>
      </w:r>
      <w:proofErr w:type="spellEnd"/>
      <w:r w:rsidRPr="003E7359">
        <w:rPr>
          <w:i/>
          <w:iCs/>
        </w:rPr>
        <w:t xml:space="preserve"> Treasury Emps. Union v. Von Raab</w:t>
      </w:r>
      <w:r w:rsidRPr="003E7359">
        <w:t>, 489 U.S. 656, 671 (1989) (</w:t>
      </w:r>
      <w:r>
        <w:t>‘</w:t>
      </w:r>
      <w:r w:rsidRPr="003E7359">
        <w:t>[I]t is plain that certain forms of public employment may diminish privacy expectations even with respect to . . . personal searches.</w:t>
      </w:r>
      <w:r>
        <w:t>’</w:t>
      </w:r>
      <w:r w:rsidRPr="003E7359">
        <w:t xml:space="preserve">); </w:t>
      </w:r>
      <w:r w:rsidRPr="003E7359">
        <w:rPr>
          <w:i/>
          <w:iCs/>
        </w:rPr>
        <w:t>Scott</w:t>
      </w:r>
      <w:r w:rsidRPr="003E7359">
        <w:t>, 717 F.3d at 869 (</w:t>
      </w:r>
      <w:r>
        <w:t>‘</w:t>
      </w:r>
      <w:r w:rsidRPr="003E7359">
        <w:t xml:space="preserve">Another category-a natural extension of the Supreme Court's holding in </w:t>
      </w:r>
      <w:r w:rsidRPr="003E7359">
        <w:rPr>
          <w:i/>
          <w:iCs/>
        </w:rPr>
        <w:t>Von Raab</w:t>
      </w:r>
      <w:r w:rsidRPr="003E7359">
        <w:t>-encompasses . . . firefighters.</w:t>
      </w:r>
      <w:r>
        <w:t>’</w:t>
      </w:r>
      <w:r w:rsidRPr="003E7359">
        <w:t xml:space="preserve">); </w:t>
      </w:r>
      <w:r w:rsidRPr="003E7359">
        <w:rPr>
          <w:i/>
          <w:iCs/>
        </w:rPr>
        <w:t>Williams v. Bd. of Regents of Univ. Sys. of Georgia</w:t>
      </w:r>
      <w:r w:rsidRPr="003E7359">
        <w:t>, No. CV 120-100, 2021 WL 2827293, at *7 (S.D. Ga. July 7, 2021) (dismissing the plaintiff's Fourth Amendment search and seizure claim, as her employer's drug test fell under the special needs exception).</w:t>
      </w:r>
      <w:r>
        <w:t xml:space="preserve"> ***  Local 747’s motion seeks dismissal of the single ADA discrimination claim</w:t>
      </w:r>
    </w:p>
    <w:p w14:paraId="1AB986A1" w14:textId="77777777" w:rsidR="0026368F" w:rsidRDefault="0026368F" w:rsidP="0026368F">
      <w:pPr>
        <w:pStyle w:val="NoSpacing"/>
      </w:pPr>
      <w:r>
        <w:t xml:space="preserve">in Count IX. Local 747 asserts that the ADA claim is time-barred since Plaintiff ‘failed to file a charge against the Local challenging the medical exam requirement at issue within 300 days after Local 747 entered into the CBA on August 28, 2019.’ … Plaintiff’s discrimination charge must have been filed with the FCHR or the EEOC within 300 days—i.e., by June 23, 2020.” </w:t>
      </w:r>
    </w:p>
    <w:p w14:paraId="5A6E7FB7" w14:textId="77777777" w:rsidR="0026368F" w:rsidRDefault="0026368F" w:rsidP="0026368F">
      <w:pPr>
        <w:pStyle w:val="NoSpacing"/>
      </w:pPr>
    </w:p>
    <w:p w14:paraId="5C267648" w14:textId="77777777" w:rsidR="0026368F" w:rsidRDefault="0026368F" w:rsidP="0026368F">
      <w:pPr>
        <w:pStyle w:val="NoSpacing"/>
        <w:rPr>
          <w:b/>
          <w:bCs/>
        </w:rPr>
      </w:pPr>
      <w:r w:rsidRPr="00C65E3A">
        <w:rPr>
          <w:b/>
        </w:rPr>
        <w:t xml:space="preserve">Legal lesson learned: </w:t>
      </w:r>
      <w:r>
        <w:rPr>
          <w:b/>
        </w:rPr>
        <w:t xml:space="preserve">Very unusual to have a firefighter complain about annual physical. </w:t>
      </w:r>
    </w:p>
    <w:p w14:paraId="4A948A16" w14:textId="77777777" w:rsidR="0026368F" w:rsidRDefault="0026368F" w:rsidP="0026368F">
      <w:pPr>
        <w:pStyle w:val="NoSpacing"/>
        <w:rPr>
          <w:b/>
          <w:bCs/>
        </w:rPr>
      </w:pPr>
      <w:r>
        <w:rPr>
          <w:b/>
        </w:rPr>
        <w:tab/>
      </w:r>
      <w:r w:rsidRPr="00EA4E78">
        <w:t>Note: In Footnote 7, the Court wrote</w:t>
      </w:r>
      <w:r>
        <w:rPr>
          <w:b/>
        </w:rPr>
        <w:t xml:space="preserve">: </w:t>
      </w:r>
    </w:p>
    <w:p w14:paraId="3F825757" w14:textId="77777777" w:rsidR="0026368F" w:rsidRDefault="0026368F" w:rsidP="0026368F">
      <w:pPr>
        <w:pStyle w:val="NoSpacing"/>
        <w:ind w:left="720"/>
      </w:pPr>
      <w:r>
        <w:rPr>
          <w:b/>
        </w:rPr>
        <w:t>“</w:t>
      </w:r>
      <w:r w:rsidRPr="00975937">
        <w:t xml:space="preserve">Firefighters reside in close quarters. They must be strong and hale. They must be able to provide emergency lifesaving techniques in difficult circumstances to people of varying health. </w:t>
      </w:r>
      <w:r w:rsidRPr="00975937">
        <w:rPr>
          <w:i/>
          <w:iCs/>
        </w:rPr>
        <w:t>See Cremeens v. City of Montgomery, Ala.</w:t>
      </w:r>
      <w:r w:rsidRPr="00975937">
        <w:t xml:space="preserve">, 427 </w:t>
      </w:r>
      <w:proofErr w:type="spellStart"/>
      <w:r w:rsidRPr="00975937">
        <w:t>Fed.Appx</w:t>
      </w:r>
      <w:proofErr w:type="spellEnd"/>
      <w:r w:rsidRPr="00975937">
        <w:t>. 855, 858 (11th Cir. 2011) (</w:t>
      </w:r>
      <w:r>
        <w:t>‘</w:t>
      </w:r>
      <w:r w:rsidRPr="00975937">
        <w:t>The physical fitness requirements are directly related to a Fire Investigator's duty to fight fires, and they are necessary to ensure that Fire Investigators are able to perform that function when called upon to do so.).</w:t>
      </w:r>
      <w:r>
        <w:t>”</w:t>
      </w:r>
    </w:p>
    <w:p w14:paraId="065D8D49" w14:textId="77777777" w:rsidR="0026368F" w:rsidRPr="003E7359" w:rsidRDefault="0026368F" w:rsidP="0026368F">
      <w:pPr>
        <w:pStyle w:val="NoSpacing"/>
        <w:rPr>
          <w:b/>
          <w:bCs/>
        </w:rPr>
      </w:pPr>
    </w:p>
    <w:p w14:paraId="0C4ED6C3" w14:textId="77777777" w:rsidR="0026368F" w:rsidRDefault="0026368F" w:rsidP="00F326E5">
      <w:pPr>
        <w:pStyle w:val="NoSpacing"/>
        <w:rPr>
          <w:rFonts w:ascii="Arial Black" w:hAnsi="Arial Black"/>
          <w:sz w:val="28"/>
          <w:szCs w:val="28"/>
        </w:rPr>
      </w:pPr>
    </w:p>
    <w:p w14:paraId="4C3FD5B9" w14:textId="77777777" w:rsidR="0026368F" w:rsidRDefault="0026368F" w:rsidP="00F326E5">
      <w:pPr>
        <w:pStyle w:val="NoSpacing"/>
        <w:rPr>
          <w:rFonts w:ascii="Arial Black" w:hAnsi="Arial Black"/>
          <w:sz w:val="28"/>
          <w:szCs w:val="28"/>
        </w:rPr>
      </w:pPr>
    </w:p>
    <w:p w14:paraId="5F20C882" w14:textId="761CDC64" w:rsidR="006A02A4" w:rsidRDefault="009002CD" w:rsidP="00F326E5">
      <w:pPr>
        <w:pStyle w:val="NoSpacing"/>
        <w:rPr>
          <w:rFonts w:ascii="Arial Black" w:hAnsi="Arial Black"/>
          <w:sz w:val="28"/>
          <w:szCs w:val="28"/>
        </w:rPr>
      </w:pPr>
      <w:r>
        <w:rPr>
          <w:rFonts w:ascii="Arial Black" w:hAnsi="Arial Black"/>
          <w:sz w:val="28"/>
          <w:szCs w:val="28"/>
        </w:rPr>
        <w:t>14-8</w:t>
      </w:r>
    </w:p>
    <w:p w14:paraId="53F016D7" w14:textId="77777777" w:rsidR="0026368F" w:rsidRDefault="0026368F" w:rsidP="009002CD">
      <w:pPr>
        <w:rPr>
          <w:rFonts w:ascii="Arial Black" w:hAnsi="Arial Black"/>
          <w:sz w:val="28"/>
          <w:szCs w:val="28"/>
        </w:rPr>
      </w:pPr>
    </w:p>
    <w:p w14:paraId="0725B673" w14:textId="422D039B" w:rsidR="009002CD" w:rsidRDefault="009002CD" w:rsidP="009002CD">
      <w:pPr>
        <w:rPr>
          <w:rFonts w:ascii="Arial Black" w:hAnsi="Arial Black"/>
          <w:bCs/>
          <w:sz w:val="28"/>
          <w:szCs w:val="28"/>
        </w:rPr>
      </w:pPr>
      <w:r>
        <w:rPr>
          <w:rFonts w:ascii="Arial Black" w:hAnsi="Arial Black"/>
          <w:sz w:val="28"/>
          <w:szCs w:val="28"/>
        </w:rPr>
        <w:t>NY: VOL. FF - “PARTIALLY DISABLED” – DIDN’T TELL FD</w:t>
      </w:r>
    </w:p>
    <w:p w14:paraId="4CD507DC" w14:textId="77777777" w:rsidR="009002CD" w:rsidRPr="009002CD" w:rsidRDefault="009002CD" w:rsidP="009002CD">
      <w:pPr>
        <w:rPr>
          <w:rFonts w:ascii="Times New Roman" w:hAnsi="Times New Roman"/>
          <w:bCs/>
          <w:sz w:val="24"/>
          <w:szCs w:val="24"/>
        </w:rPr>
      </w:pPr>
      <w:r w:rsidRPr="009002CD">
        <w:rPr>
          <w:rFonts w:ascii="Times New Roman" w:hAnsi="Times New Roman"/>
          <w:sz w:val="24"/>
          <w:szCs w:val="24"/>
        </w:rPr>
        <w:t xml:space="preserve">On April 30, 2025, </w:t>
      </w:r>
      <w:r w:rsidRPr="009002CD">
        <w:rPr>
          <w:rFonts w:ascii="Times New Roman" w:hAnsi="Times New Roman"/>
          <w:sz w:val="24"/>
          <w:szCs w:val="24"/>
          <w:u w:val="single"/>
        </w:rPr>
        <w:t>In the Matter of Robert Correra v. Millwood Fire District, et al</w:t>
      </w:r>
      <w:r w:rsidRPr="009002CD">
        <w:rPr>
          <w:rFonts w:ascii="Times New Roman" w:hAnsi="Times New Roman"/>
          <w:sz w:val="24"/>
          <w:szCs w:val="24"/>
        </w:rPr>
        <w:t xml:space="preserve">., the Supreme Court of New York, Second Department, held (4 to 0) that the trial court properly adopted the report and recommendation of the Hearing Officer, which found the volunteer firefighter (volunteer since 2003; terminated Jan. 17, 2022) guilty of two charges: (1) provided false information regarding his failure to disclose his designation by the Workers' Compensation Board as ‘permanently, partially disabled’ on a form in connection with the 2020 physical examination; and (2) misconduct and insubordination, for improperly obtaining a physical examination while his operational privileges were suspended and for failing to provide a medical provider with the current job performance requirements for a firefighter. </w:t>
      </w:r>
      <w:hyperlink r:id="rId2483" w:history="1">
        <w:r w:rsidRPr="009002CD">
          <w:rPr>
            <w:rStyle w:val="Hyperlink"/>
            <w:rFonts w:ascii="Times New Roman" w:hAnsi="Times New Roman"/>
            <w:sz w:val="24"/>
            <w:szCs w:val="24"/>
          </w:rPr>
          <w:t>https://cdn.ca9.uscourts.gov/datastore/memoranda/2025/04/30/24-3195.pdf</w:t>
        </w:r>
      </w:hyperlink>
      <w:r w:rsidRPr="009002CD">
        <w:rPr>
          <w:rFonts w:ascii="Times New Roman" w:hAnsi="Times New Roman"/>
          <w:sz w:val="24"/>
          <w:szCs w:val="24"/>
        </w:rPr>
        <w:t xml:space="preserve"> </w:t>
      </w:r>
    </w:p>
    <w:p w14:paraId="41FF3899" w14:textId="77777777" w:rsidR="00AA11C3" w:rsidRPr="00AA11C3" w:rsidRDefault="00AA11C3" w:rsidP="00AA11C3">
      <w:pPr>
        <w:rPr>
          <w:rFonts w:ascii="Times New Roman" w:hAnsi="Times New Roman"/>
          <w:b/>
          <w:sz w:val="24"/>
          <w:szCs w:val="24"/>
        </w:rPr>
      </w:pPr>
      <w:r w:rsidRPr="00AA11C3">
        <w:rPr>
          <w:rFonts w:ascii="Times New Roman" w:hAnsi="Times New Roman"/>
          <w:b/>
          <w:sz w:val="24"/>
          <w:szCs w:val="24"/>
        </w:rPr>
        <w:t>Legal Lesson Learned: A firefighter’s failure to disclose that he is “permanently, partially disabled’ is threat to fellow firefighters and the public.</w:t>
      </w:r>
    </w:p>
    <w:p w14:paraId="2487C1E2" w14:textId="77777777" w:rsidR="009002CD" w:rsidRDefault="009002CD" w:rsidP="00F326E5">
      <w:pPr>
        <w:pStyle w:val="NoSpacing"/>
        <w:rPr>
          <w:rFonts w:ascii="Arial Black" w:hAnsi="Arial Black"/>
          <w:sz w:val="28"/>
          <w:szCs w:val="28"/>
        </w:rPr>
      </w:pPr>
    </w:p>
    <w:p w14:paraId="1E94C294" w14:textId="77777777" w:rsidR="009002CD" w:rsidRDefault="009002CD" w:rsidP="00F326E5">
      <w:pPr>
        <w:pStyle w:val="NoSpacing"/>
        <w:rPr>
          <w:rFonts w:ascii="Arial Black" w:hAnsi="Arial Black"/>
          <w:sz w:val="28"/>
          <w:szCs w:val="28"/>
        </w:rPr>
      </w:pPr>
    </w:p>
    <w:p w14:paraId="38E902CA" w14:textId="77777777" w:rsidR="009002CD" w:rsidRDefault="009002CD" w:rsidP="00F326E5">
      <w:pPr>
        <w:pStyle w:val="NoSpacing"/>
        <w:rPr>
          <w:rFonts w:ascii="Arial Black" w:hAnsi="Arial Black"/>
          <w:sz w:val="28"/>
          <w:szCs w:val="28"/>
        </w:rPr>
      </w:pPr>
    </w:p>
    <w:p w14:paraId="684E347A" w14:textId="4BF9601C" w:rsidR="004A59EC" w:rsidRDefault="004A59EC" w:rsidP="00F326E5">
      <w:pPr>
        <w:pStyle w:val="NoSpacing"/>
        <w:rPr>
          <w:rFonts w:ascii="Arial Black" w:hAnsi="Arial Black"/>
          <w:sz w:val="28"/>
          <w:szCs w:val="28"/>
        </w:rPr>
      </w:pPr>
      <w:r>
        <w:rPr>
          <w:rFonts w:ascii="Arial Black" w:hAnsi="Arial Black"/>
          <w:sz w:val="28"/>
          <w:szCs w:val="28"/>
        </w:rPr>
        <w:t>14-7</w:t>
      </w:r>
    </w:p>
    <w:p w14:paraId="30D15665" w14:textId="77777777" w:rsidR="004A59EC" w:rsidRDefault="004A59EC" w:rsidP="00F326E5">
      <w:pPr>
        <w:pStyle w:val="NoSpacing"/>
        <w:rPr>
          <w:rFonts w:ascii="Arial Black" w:hAnsi="Arial Black"/>
          <w:sz w:val="28"/>
          <w:szCs w:val="28"/>
        </w:rPr>
      </w:pPr>
    </w:p>
    <w:p w14:paraId="5B3DDF47" w14:textId="573E5642" w:rsidR="004A59EC" w:rsidRPr="00085C8F" w:rsidRDefault="004A59EC" w:rsidP="004A59EC">
      <w:pPr>
        <w:pStyle w:val="NoSpacing"/>
        <w:rPr>
          <w:rFonts w:ascii="Arial Black" w:hAnsi="Arial Black"/>
          <w:b/>
          <w:sz w:val="28"/>
          <w:szCs w:val="28"/>
        </w:rPr>
      </w:pPr>
      <w:r>
        <w:rPr>
          <w:rFonts w:ascii="Arial Black" w:hAnsi="Arial Black"/>
          <w:b/>
          <w:sz w:val="28"/>
          <w:szCs w:val="28"/>
        </w:rPr>
        <w:t xml:space="preserve">AR:  </w:t>
      </w:r>
      <w:r w:rsidR="00D87B7D">
        <w:rPr>
          <w:rFonts w:ascii="Arial Black" w:hAnsi="Arial Black"/>
          <w:b/>
          <w:sz w:val="28"/>
          <w:szCs w:val="28"/>
        </w:rPr>
        <w:t xml:space="preserve">WORKING OUT - </w:t>
      </w:r>
      <w:r>
        <w:rPr>
          <w:rFonts w:ascii="Arial Black" w:hAnsi="Arial Black"/>
          <w:b/>
          <w:sz w:val="28"/>
          <w:szCs w:val="28"/>
        </w:rPr>
        <w:t xml:space="preserve">INJURED LUMBAR – WORK COMP </w:t>
      </w:r>
    </w:p>
    <w:p w14:paraId="6FAB9F5A" w14:textId="77777777" w:rsidR="004A59EC" w:rsidRDefault="004A59EC" w:rsidP="004A59EC">
      <w:pPr>
        <w:pStyle w:val="NoSpacing"/>
        <w:rPr>
          <w:b/>
        </w:rPr>
      </w:pPr>
    </w:p>
    <w:p w14:paraId="0B65BC26" w14:textId="77777777" w:rsidR="00E077F6" w:rsidRPr="00932110" w:rsidRDefault="00E077F6" w:rsidP="00932110">
      <w:pPr>
        <w:pStyle w:val="NoSpacing"/>
        <w:rPr>
          <w:rFonts w:ascii="Times New Roman" w:hAnsi="Times New Roman"/>
          <w:bCs/>
          <w:sz w:val="24"/>
          <w:szCs w:val="24"/>
        </w:rPr>
      </w:pPr>
      <w:r w:rsidRPr="00932110">
        <w:rPr>
          <w:rFonts w:ascii="Times New Roman" w:hAnsi="Times New Roman"/>
          <w:sz w:val="24"/>
          <w:szCs w:val="24"/>
        </w:rPr>
        <w:t xml:space="preserve">On Dec. 13, 2024, in </w:t>
      </w:r>
      <w:r w:rsidRPr="00932110">
        <w:rPr>
          <w:rFonts w:ascii="Times New Roman" w:hAnsi="Times New Roman"/>
          <w:sz w:val="24"/>
          <w:szCs w:val="24"/>
          <w:u w:val="single"/>
        </w:rPr>
        <w:t>City of Tucson v. The Indus. Comm'n of Ariz</w:t>
      </w:r>
      <w:r w:rsidRPr="00932110">
        <w:rPr>
          <w:rFonts w:ascii="Times New Roman" w:hAnsi="Times New Roman"/>
          <w:sz w:val="24"/>
          <w:szCs w:val="24"/>
        </w:rPr>
        <w:t xml:space="preserve">., Court of Appeals of Arizona, Second Division held (3 to 0) that ALJ properly found Spitzer's lumbar surgery claim compensable.  The Court held: “The City contends Dr. Jeong's testimony was ‘foundationally deficient’ and should not have been used as competent medical evidence to support the ALJ's award of a compensable claim. We conclude otherwise. Jeong, Spitzer's surgeon, testified that the ‘deadlift episode’ was ‘more likely than not’ the cause of Spitzer's lumbar disk herniation. Dr. Eskay-Auerbach, the City's expert, opined that Spitzer's workout resulted in a 'lumbar sprain’ and noted that deadlifting is ‘not an activity that causes disk herniations.’ Eskay-Auerbach attributed Spitzer's disk herniation to ‘age related degenerative changes.’"  </w:t>
      </w:r>
      <w:hyperlink r:id="rId2484" w:history="1">
        <w:r w:rsidRPr="00932110">
          <w:rPr>
            <w:rStyle w:val="Hyperlink"/>
            <w:rFonts w:ascii="Times New Roman" w:hAnsi="Times New Roman"/>
            <w:sz w:val="24"/>
            <w:szCs w:val="24"/>
          </w:rPr>
          <w:t>https://casetext.com/case/city-of-tucson-v-the-indus-commn-of-ariz</w:t>
        </w:r>
      </w:hyperlink>
    </w:p>
    <w:p w14:paraId="58EFB061" w14:textId="77777777" w:rsidR="00E077F6" w:rsidRDefault="00E077F6" w:rsidP="00E077F6">
      <w:pPr>
        <w:ind w:left="720"/>
      </w:pPr>
    </w:p>
    <w:p w14:paraId="260D2380" w14:textId="38D0F8A9" w:rsidR="004A59EC" w:rsidRPr="004A59EC" w:rsidRDefault="004A59EC" w:rsidP="004A59EC">
      <w:pPr>
        <w:pStyle w:val="NoSpacing"/>
        <w:rPr>
          <w:rFonts w:ascii="Times New Roman" w:hAnsi="Times New Roman"/>
          <w:bCs/>
          <w:sz w:val="24"/>
          <w:szCs w:val="24"/>
        </w:rPr>
      </w:pPr>
      <w:r w:rsidRPr="004A59EC">
        <w:rPr>
          <w:rFonts w:ascii="Times New Roman" w:hAnsi="Times New Roman"/>
          <w:sz w:val="24"/>
          <w:szCs w:val="24"/>
        </w:rPr>
        <w:t>The Court held:</w:t>
      </w:r>
    </w:p>
    <w:p w14:paraId="6117BD3D" w14:textId="77777777" w:rsidR="004A59EC" w:rsidRPr="004A59EC" w:rsidRDefault="004A59EC" w:rsidP="004A59EC">
      <w:pPr>
        <w:pStyle w:val="NoSpacing"/>
        <w:ind w:left="720"/>
        <w:rPr>
          <w:rFonts w:ascii="Times New Roman" w:hAnsi="Times New Roman"/>
          <w:bCs/>
          <w:sz w:val="24"/>
          <w:szCs w:val="24"/>
        </w:rPr>
      </w:pPr>
    </w:p>
    <w:p w14:paraId="66C3C1E5" w14:textId="77777777" w:rsidR="004A59EC" w:rsidRPr="004A59EC" w:rsidRDefault="004A59EC" w:rsidP="004A59EC">
      <w:pPr>
        <w:pStyle w:val="NoSpacing"/>
        <w:ind w:left="720"/>
        <w:rPr>
          <w:rFonts w:ascii="Times New Roman" w:hAnsi="Times New Roman"/>
          <w:bCs/>
          <w:sz w:val="24"/>
          <w:szCs w:val="24"/>
        </w:rPr>
      </w:pPr>
      <w:r w:rsidRPr="004A59EC">
        <w:rPr>
          <w:rFonts w:ascii="Times New Roman" w:hAnsi="Times New Roman"/>
          <w:sz w:val="24"/>
          <w:szCs w:val="24"/>
        </w:rPr>
        <w:t xml:space="preserve">“The </w:t>
      </w:r>
      <w:proofErr w:type="gramStart"/>
      <w:r w:rsidRPr="004A59EC">
        <w:rPr>
          <w:rFonts w:ascii="Times New Roman" w:hAnsi="Times New Roman"/>
          <w:sz w:val="24"/>
          <w:szCs w:val="24"/>
        </w:rPr>
        <w:t>City</w:t>
      </w:r>
      <w:proofErr w:type="gramEnd"/>
      <w:r w:rsidRPr="004A59EC">
        <w:rPr>
          <w:rFonts w:ascii="Times New Roman" w:hAnsi="Times New Roman"/>
          <w:sz w:val="24"/>
          <w:szCs w:val="24"/>
        </w:rPr>
        <w:t xml:space="preserve"> contends Dr. Jeong's testimony was ‘foundationally deficient’ and should not have been used as competent medical evidence to support the ALJ's award of a compensable claim. We conclude otherwise. Jeong, Spitzer's surgeon, testified that the ‘deadlift episode’ was ‘more likely than not’ the cause of Spitzer's lumbar disk herniation. Dr. Eskay-Auerbach, the City's expert, opined that Spitzer's workout resulted in a 'lumbar sprain’ and noted that deadlifting is ‘not an activity that causes disk herniations.’ Eskay-Auerbach attributed Spitzer's disk herniation to ‘age related degenerative changes.’"  </w:t>
      </w:r>
      <w:hyperlink r:id="rId2485" w:history="1">
        <w:r w:rsidRPr="004A59EC">
          <w:rPr>
            <w:rStyle w:val="Hyperlink"/>
            <w:rFonts w:ascii="Times New Roman" w:hAnsi="Times New Roman"/>
            <w:sz w:val="24"/>
            <w:szCs w:val="24"/>
          </w:rPr>
          <w:t>https://casetext.com/case/city-of-tucson-v-the-indus-commn-of-ariz</w:t>
        </w:r>
      </w:hyperlink>
      <w:r w:rsidRPr="004A59EC">
        <w:rPr>
          <w:rFonts w:ascii="Times New Roman" w:hAnsi="Times New Roman"/>
          <w:sz w:val="24"/>
          <w:szCs w:val="24"/>
        </w:rPr>
        <w:t xml:space="preserve"> </w:t>
      </w:r>
    </w:p>
    <w:p w14:paraId="7EF26E3E" w14:textId="77777777" w:rsidR="004A59EC" w:rsidRPr="002A425F" w:rsidRDefault="004A59EC" w:rsidP="004A59EC">
      <w:pPr>
        <w:pStyle w:val="NoSpacing"/>
        <w:rPr>
          <w:bCs/>
        </w:rPr>
      </w:pPr>
    </w:p>
    <w:p w14:paraId="6113C16E" w14:textId="77777777" w:rsidR="00C0038F" w:rsidRPr="001B383B" w:rsidRDefault="00C0038F" w:rsidP="00C0038F">
      <w:pPr>
        <w:pStyle w:val="NoSpacing"/>
        <w:rPr>
          <w:rFonts w:ascii="Times New Roman" w:hAnsi="Times New Roman"/>
          <w:bCs/>
          <w:sz w:val="24"/>
          <w:szCs w:val="24"/>
        </w:rPr>
      </w:pPr>
      <w:r w:rsidRPr="001B383B">
        <w:rPr>
          <w:rFonts w:ascii="Times New Roman" w:hAnsi="Times New Roman"/>
          <w:sz w:val="24"/>
          <w:szCs w:val="24"/>
        </w:rPr>
        <w:t>HOLDING:</w:t>
      </w:r>
    </w:p>
    <w:p w14:paraId="4DF09664" w14:textId="77777777" w:rsidR="00C0038F" w:rsidRPr="001B383B" w:rsidRDefault="00C0038F" w:rsidP="00C0038F">
      <w:pPr>
        <w:pStyle w:val="NoSpacing"/>
        <w:rPr>
          <w:rFonts w:ascii="Times New Roman" w:hAnsi="Times New Roman"/>
          <w:bCs/>
          <w:sz w:val="24"/>
          <w:szCs w:val="24"/>
        </w:rPr>
      </w:pPr>
    </w:p>
    <w:p w14:paraId="21C656B8" w14:textId="77777777" w:rsidR="00C0038F" w:rsidRPr="001B383B" w:rsidRDefault="00C0038F" w:rsidP="00C0038F">
      <w:pPr>
        <w:pStyle w:val="NoSpacing"/>
        <w:ind w:left="720"/>
        <w:rPr>
          <w:rFonts w:ascii="Times New Roman" w:hAnsi="Times New Roman"/>
          <w:sz w:val="24"/>
          <w:szCs w:val="24"/>
        </w:rPr>
      </w:pPr>
      <w:r w:rsidRPr="001B383B">
        <w:rPr>
          <w:rFonts w:ascii="Times New Roman" w:hAnsi="Times New Roman"/>
          <w:sz w:val="24"/>
          <w:szCs w:val="24"/>
        </w:rPr>
        <w:t>“However, Spitzer consistently testified that his back was ‘sore’ leading up to January 27 and differentiated that soreness from it being painful or hurting. For example, Spitzer explained that he did not report his back injury on the date it occurred because it was ‘sore and not hurt’ and that the ‘soreness lined up with having done a workout.’ Therefore, the ALJ's follow-up accurately reflected the record. The ALJ did not err in finding Dr. Jeong's medical opinion more probably correct. Consequently, we conclude substantial evidence supports the ALJ's findings and award.”</w:t>
      </w:r>
    </w:p>
    <w:p w14:paraId="50F982E5" w14:textId="77777777" w:rsidR="00C0038F" w:rsidRPr="001B383B" w:rsidRDefault="00C0038F" w:rsidP="00C0038F">
      <w:pPr>
        <w:pStyle w:val="NoSpacing"/>
        <w:ind w:left="720"/>
        <w:rPr>
          <w:rFonts w:ascii="Times New Roman" w:hAnsi="Times New Roman"/>
          <w:sz w:val="24"/>
          <w:szCs w:val="24"/>
        </w:rPr>
      </w:pPr>
    </w:p>
    <w:p w14:paraId="0F1F71EC" w14:textId="77777777" w:rsidR="00C0038F" w:rsidRPr="001B383B" w:rsidRDefault="00C0038F" w:rsidP="00C0038F">
      <w:pPr>
        <w:pStyle w:val="NoSpacing"/>
        <w:rPr>
          <w:rFonts w:ascii="Times New Roman" w:hAnsi="Times New Roman"/>
          <w:b/>
          <w:bCs/>
          <w:sz w:val="24"/>
          <w:szCs w:val="24"/>
        </w:rPr>
      </w:pPr>
      <w:r w:rsidRPr="001B383B">
        <w:rPr>
          <w:rFonts w:ascii="Times New Roman" w:hAnsi="Times New Roman"/>
          <w:b/>
          <w:sz w:val="24"/>
          <w:szCs w:val="24"/>
        </w:rPr>
        <w:t xml:space="preserve">Legal Lesson Learned:  The firefighter presented expert testimony that persuaded the Administrative Law Judge. </w:t>
      </w:r>
    </w:p>
    <w:p w14:paraId="44621F56" w14:textId="77777777" w:rsidR="00C0038F" w:rsidRPr="001B383B" w:rsidRDefault="00C0038F" w:rsidP="00C0038F">
      <w:pPr>
        <w:pStyle w:val="NoSpacing"/>
        <w:rPr>
          <w:rFonts w:ascii="Times New Roman" w:hAnsi="Times New Roman"/>
          <w:b/>
          <w:bCs/>
          <w:sz w:val="24"/>
          <w:szCs w:val="24"/>
        </w:rPr>
      </w:pPr>
    </w:p>
    <w:p w14:paraId="221358AE" w14:textId="77777777" w:rsidR="004A59EC" w:rsidRDefault="004A59EC" w:rsidP="00F326E5">
      <w:pPr>
        <w:pStyle w:val="NoSpacing"/>
        <w:rPr>
          <w:rFonts w:ascii="Arial Black" w:hAnsi="Arial Black"/>
          <w:sz w:val="28"/>
          <w:szCs w:val="28"/>
        </w:rPr>
      </w:pPr>
    </w:p>
    <w:p w14:paraId="0532E24D" w14:textId="77777777" w:rsidR="004A59EC" w:rsidRDefault="004A59EC" w:rsidP="00F326E5">
      <w:pPr>
        <w:pStyle w:val="NoSpacing"/>
        <w:rPr>
          <w:rFonts w:ascii="Arial Black" w:hAnsi="Arial Black"/>
          <w:sz w:val="28"/>
          <w:szCs w:val="28"/>
        </w:rPr>
      </w:pPr>
    </w:p>
    <w:p w14:paraId="4423A638" w14:textId="1B401A05" w:rsidR="006C4BDE" w:rsidRDefault="006C4BDE" w:rsidP="00F326E5">
      <w:pPr>
        <w:pStyle w:val="NoSpacing"/>
        <w:rPr>
          <w:rFonts w:ascii="Arial Black" w:hAnsi="Arial Black"/>
          <w:sz w:val="28"/>
          <w:szCs w:val="28"/>
        </w:rPr>
      </w:pPr>
      <w:r>
        <w:rPr>
          <w:rFonts w:ascii="Arial Black" w:hAnsi="Arial Black"/>
          <w:sz w:val="28"/>
          <w:szCs w:val="28"/>
        </w:rPr>
        <w:t>14-6 [Also filed, Chap. 7]</w:t>
      </w:r>
    </w:p>
    <w:p w14:paraId="1D0DA59C" w14:textId="2488F8A5" w:rsidR="006C4BDE" w:rsidRPr="00F315B4"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WI: FEMALE FAILS APPLICANT PHYSICAL FITNESS TEST –</w:t>
      </w:r>
      <w:r w:rsidR="006B7287">
        <w:rPr>
          <w:rFonts w:ascii="Arial Black" w:hAnsi="Arial Black"/>
          <w:sz w:val="28"/>
          <w:szCs w:val="28"/>
        </w:rPr>
        <w:t xml:space="preserve"> </w:t>
      </w:r>
      <w:r>
        <w:rPr>
          <w:rFonts w:ascii="Arial Black" w:hAnsi="Arial Black"/>
          <w:sz w:val="28"/>
          <w:szCs w:val="28"/>
        </w:rPr>
        <w:t>NOT CPAT, BUT MEETS EEOC GUIDELINES – TEST UPHELD</w:t>
      </w:r>
    </w:p>
    <w:p w14:paraId="6F425D2A" w14:textId="77777777" w:rsidR="00744AE5" w:rsidRDefault="006C4BDE" w:rsidP="006C4BDE">
      <w:pPr>
        <w:spacing w:before="100" w:beforeAutospacing="1" w:after="100" w:afterAutospacing="1" w:line="240" w:lineRule="auto"/>
        <w:rPr>
          <w:rFonts w:ascii="Times New Roman" w:eastAsia="Times New Roman" w:hAnsi="Times New Roman"/>
          <w:sz w:val="24"/>
          <w:szCs w:val="24"/>
        </w:rPr>
      </w:pPr>
      <w:r w:rsidRPr="00A4532F">
        <w:rPr>
          <w:rFonts w:ascii="Times New Roman" w:hAnsi="Times New Roman"/>
          <w:sz w:val="24"/>
          <w:szCs w:val="24"/>
        </w:rPr>
        <w:t xml:space="preserve">On July 20, 2022, in </w:t>
      </w:r>
      <w:r w:rsidRPr="00A4532F">
        <w:rPr>
          <w:rFonts w:ascii="Times New Roman" w:hAnsi="Times New Roman"/>
          <w:sz w:val="24"/>
          <w:szCs w:val="24"/>
          <w:u w:val="single"/>
        </w:rPr>
        <w:t>Catherine Erdman v. City of Madison</w:t>
      </w:r>
      <w:r>
        <w:rPr>
          <w:rFonts w:ascii="Times New Roman" w:hAnsi="Times New Roman"/>
          <w:sz w:val="24"/>
          <w:szCs w:val="24"/>
        </w:rPr>
        <w:t xml:space="preserve">, U.S. District Court Judge William M. Conley dismissed the lawsuit, findings that the Madison Fire Department in their 2014 applicant testing did not violate Title VII of the Civil Rights Act of 1964, even if more female failed compared to fire departments using the CPAT, since the tests were developed by consultants to assess actual job duties and meet the EEOC’s </w:t>
      </w:r>
      <w:r w:rsidRPr="005403E6">
        <w:rPr>
          <w:rFonts w:ascii="Times New Roman" w:eastAsia="Times New Roman" w:hAnsi="Times New Roman"/>
          <w:sz w:val="24"/>
          <w:szCs w:val="24"/>
        </w:rPr>
        <w:t>Uniform Guidelines on Employee Selection Procedures</w:t>
      </w:r>
      <w:r>
        <w:rPr>
          <w:rFonts w:ascii="Times New Roman" w:eastAsia="Times New Roman" w:hAnsi="Times New Roman"/>
          <w:sz w:val="24"/>
          <w:szCs w:val="24"/>
        </w:rPr>
        <w:t xml:space="preserve">. </w:t>
      </w:r>
    </w:p>
    <w:p w14:paraId="023A36A0" w14:textId="7777777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F972285" w14:textId="5FFD10C9" w:rsidR="006C4BDE" w:rsidRPr="005403E6" w:rsidRDefault="006C4BDE" w:rsidP="006C4BD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Plaintiff’s lawsuit claimed that she would have passed CPAT [Madison FD’s pass rate for women was 14%; the pass rate for women taking CPAT at Austin, Teas FD was 48%].  </w:t>
      </w:r>
      <w:r>
        <w:rPr>
          <w:rFonts w:ascii="Times New Roman" w:hAnsi="Times New Roman"/>
          <w:sz w:val="24"/>
          <w:szCs w:val="24"/>
        </w:rPr>
        <w:t xml:space="preserve">Plaintiff failed the “pike pole” which required </w:t>
      </w:r>
      <w:r w:rsidRPr="005403E6">
        <w:rPr>
          <w:rFonts w:ascii="Times New Roman" w:eastAsia="Times New Roman" w:hAnsi="Times New Roman"/>
          <w:sz w:val="24"/>
          <w:szCs w:val="24"/>
        </w:rPr>
        <w:t>applicants to stand at least 18 inches back from the ceiling being pulled down with a pike pole to account for safety concerns with</w:t>
      </w:r>
      <w:r>
        <w:rPr>
          <w:rFonts w:ascii="Times New Roman" w:eastAsia="Times New Roman" w:hAnsi="Times New Roman"/>
          <w:sz w:val="24"/>
          <w:szCs w:val="24"/>
        </w:rPr>
        <w:t xml:space="preserve"> test takers </w:t>
      </w:r>
      <w:r w:rsidRPr="005403E6">
        <w:rPr>
          <w:rFonts w:ascii="Times New Roman" w:eastAsia="Times New Roman" w:hAnsi="Times New Roman"/>
          <w:sz w:val="24"/>
          <w:szCs w:val="24"/>
        </w:rPr>
        <w:t>standing directly under the ceiling</w:t>
      </w:r>
      <w:r>
        <w:rPr>
          <w:rFonts w:ascii="Times New Roman" w:eastAsia="Times New Roman" w:hAnsi="Times New Roman"/>
          <w:sz w:val="24"/>
          <w:szCs w:val="24"/>
        </w:rPr>
        <w:t xml:space="preserve">; </w:t>
      </w:r>
      <w:r w:rsidRPr="005403E6">
        <w:rPr>
          <w:rFonts w:ascii="Times New Roman" w:eastAsia="Times New Roman" w:hAnsi="Times New Roman"/>
          <w:sz w:val="24"/>
          <w:szCs w:val="24"/>
        </w:rPr>
        <w:t>the pole was long enough to allow applicants of different heights to adjust the hold to account for that differential.</w:t>
      </w:r>
      <w:r>
        <w:rPr>
          <w:rFonts w:ascii="Times New Roman" w:eastAsia="Times New Roman" w:hAnsi="Times New Roman"/>
          <w:sz w:val="24"/>
          <w:szCs w:val="24"/>
        </w:rPr>
        <w:t xml:space="preserve"> </w:t>
      </w:r>
      <w:hyperlink r:id="rId2486" w:history="1">
        <w:r w:rsidRPr="00355029">
          <w:rPr>
            <w:rStyle w:val="Hyperlink"/>
            <w:rFonts w:ascii="Times New Roman" w:hAnsi="Times New Roman"/>
            <w:sz w:val="24"/>
            <w:szCs w:val="24"/>
          </w:rPr>
          <w:t>https://public.fastcase.com/J%2FJP6pdidelsXxEE4k%2BLMiptlpkB0gZD0zq9ZoOKNJuhacmaRfGRvhQDw8Dzjp093sUgUkI4CwYYkhqoix%2B0P6g4YOgoDnx2kMnRYwj%2FWdA%3D</w:t>
        </w:r>
      </w:hyperlink>
      <w:r>
        <w:rPr>
          <w:rFonts w:ascii="Times New Roman" w:hAnsi="Times New Roman"/>
          <w:sz w:val="24"/>
          <w:szCs w:val="24"/>
        </w:rPr>
        <w:t xml:space="preserve"> </w:t>
      </w:r>
    </w:p>
    <w:p w14:paraId="7245A580" w14:textId="77777777" w:rsidR="006C4BDE" w:rsidRPr="006E479D" w:rsidRDefault="006C4BDE" w:rsidP="006C4BDE">
      <w:pPr>
        <w:spacing w:before="100" w:beforeAutospacing="1" w:after="100" w:afterAutospacing="1" w:line="240" w:lineRule="auto"/>
        <w:rPr>
          <w:rFonts w:ascii="Times New Roman" w:hAnsi="Times New Roman"/>
          <w:b/>
          <w:bCs/>
          <w:sz w:val="24"/>
          <w:szCs w:val="24"/>
        </w:rPr>
      </w:pPr>
      <w:r w:rsidRPr="00604285">
        <w:rPr>
          <w:rFonts w:ascii="Times New Roman" w:hAnsi="Times New Roman"/>
          <w:b/>
          <w:bCs/>
          <w:sz w:val="24"/>
          <w:szCs w:val="24"/>
        </w:rPr>
        <w:t>Legal Lesson Learned:</w:t>
      </w:r>
      <w:r>
        <w:rPr>
          <w:rFonts w:ascii="Times New Roman" w:hAnsi="Times New Roman"/>
          <w:b/>
          <w:bCs/>
          <w:sz w:val="24"/>
          <w:szCs w:val="24"/>
        </w:rPr>
        <w:t xml:space="preserve"> </w:t>
      </w:r>
      <w:r w:rsidRPr="006E479D">
        <w:rPr>
          <w:rFonts w:ascii="Times New Roman" w:hAnsi="Times New Roman"/>
          <w:b/>
          <w:bCs/>
          <w:sz w:val="24"/>
          <w:szCs w:val="24"/>
        </w:rPr>
        <w:t xml:space="preserve">This alternative test passed EEOC “Uniform Guidelines </w:t>
      </w:r>
      <w:r w:rsidRPr="006E479D">
        <w:rPr>
          <w:rFonts w:ascii="Times New Roman" w:eastAsia="Times New Roman" w:hAnsi="Times New Roman"/>
          <w:b/>
          <w:bCs/>
          <w:sz w:val="24"/>
          <w:szCs w:val="24"/>
        </w:rPr>
        <w:t xml:space="preserve">on Employee Selection Procedures (1978), 29 C.F.R. § 1607, </w:t>
      </w:r>
      <w:r w:rsidRPr="006E479D">
        <w:rPr>
          <w:rFonts w:ascii="Times New Roman" w:eastAsia="Times New Roman" w:hAnsi="Times New Roman"/>
          <w:b/>
          <w:bCs/>
          <w:i/>
          <w:iCs/>
          <w:sz w:val="24"/>
          <w:szCs w:val="24"/>
        </w:rPr>
        <w:t xml:space="preserve">et seq.” </w:t>
      </w:r>
      <w:r w:rsidRPr="006E479D">
        <w:rPr>
          <w:rFonts w:ascii="Times New Roman" w:hAnsi="Times New Roman"/>
          <w:b/>
          <w:bCs/>
          <w:sz w:val="24"/>
          <w:szCs w:val="24"/>
        </w:rPr>
        <w:t xml:space="preserve">  </w:t>
      </w:r>
    </w:p>
    <w:p w14:paraId="6BD9C955" w14:textId="77777777" w:rsidR="006C4BDE" w:rsidRDefault="006C4BDE" w:rsidP="00F326E5">
      <w:pPr>
        <w:pStyle w:val="NoSpacing"/>
        <w:rPr>
          <w:rFonts w:ascii="Arial Black" w:hAnsi="Arial Black"/>
          <w:sz w:val="28"/>
          <w:szCs w:val="28"/>
        </w:rPr>
      </w:pPr>
    </w:p>
    <w:p w14:paraId="42575218" w14:textId="77777777" w:rsidR="006C4BDE" w:rsidRDefault="006C4BDE" w:rsidP="00F326E5">
      <w:pPr>
        <w:pStyle w:val="NoSpacing"/>
        <w:rPr>
          <w:rFonts w:ascii="Arial Black" w:hAnsi="Arial Black"/>
          <w:sz w:val="28"/>
          <w:szCs w:val="28"/>
        </w:rPr>
      </w:pPr>
    </w:p>
    <w:p w14:paraId="3C49D17B" w14:textId="26AC7D80" w:rsidR="00506EE7" w:rsidRDefault="00506EE7" w:rsidP="00F326E5">
      <w:pPr>
        <w:pStyle w:val="NoSpacing"/>
        <w:rPr>
          <w:rFonts w:ascii="Arial Black" w:hAnsi="Arial Black"/>
          <w:sz w:val="28"/>
          <w:szCs w:val="28"/>
        </w:rPr>
      </w:pPr>
      <w:r>
        <w:rPr>
          <w:rFonts w:ascii="Arial Black" w:hAnsi="Arial Black"/>
          <w:sz w:val="28"/>
          <w:szCs w:val="28"/>
        </w:rPr>
        <w:t>14-5</w:t>
      </w:r>
    </w:p>
    <w:p w14:paraId="4F26E956" w14:textId="77777777" w:rsidR="00506EE7" w:rsidRPr="002D2746" w:rsidRDefault="00506EE7" w:rsidP="00506EE7">
      <w:pPr>
        <w:spacing w:before="100" w:beforeAutospacing="1" w:after="100" w:afterAutospacing="1" w:line="240" w:lineRule="auto"/>
        <w:rPr>
          <w:rFonts w:ascii="Arial Black" w:eastAsia="Times New Roman" w:hAnsi="Arial Black"/>
          <w:b/>
          <w:bCs/>
          <w:sz w:val="28"/>
          <w:szCs w:val="28"/>
        </w:rPr>
      </w:pPr>
      <w:bookmarkStart w:id="558" w:name="_Hlk89148163"/>
      <w:r w:rsidRPr="002D2746">
        <w:rPr>
          <w:rFonts w:ascii="Arial Black" w:eastAsia="Times New Roman" w:hAnsi="Arial Black"/>
          <w:b/>
          <w:bCs/>
          <w:sz w:val="28"/>
          <w:szCs w:val="28"/>
        </w:rPr>
        <w:t>VA: PSYCHIA</w:t>
      </w:r>
      <w:r>
        <w:rPr>
          <w:rFonts w:ascii="Arial Black" w:eastAsia="Times New Roman" w:hAnsi="Arial Black"/>
          <w:b/>
          <w:bCs/>
          <w:sz w:val="28"/>
          <w:szCs w:val="28"/>
        </w:rPr>
        <w:t>T</w:t>
      </w:r>
      <w:r w:rsidRPr="002D2746">
        <w:rPr>
          <w:rFonts w:ascii="Arial Black" w:eastAsia="Times New Roman" w:hAnsi="Arial Black"/>
          <w:b/>
          <w:bCs/>
          <w:sz w:val="28"/>
          <w:szCs w:val="28"/>
        </w:rPr>
        <w:t>RIST</w:t>
      </w:r>
      <w:r>
        <w:rPr>
          <w:rFonts w:ascii="Arial Black" w:eastAsia="Times New Roman" w:hAnsi="Arial Black"/>
          <w:b/>
          <w:bCs/>
          <w:sz w:val="28"/>
          <w:szCs w:val="28"/>
        </w:rPr>
        <w:t xml:space="preserve"> (AGE 67) COULD NOT PASS PHYSICAL AGILITY TEST - JOB IN FED. PRISON – CASE TO PROCEED</w:t>
      </w:r>
    </w:p>
    <w:p w14:paraId="22D26C6C" w14:textId="77777777" w:rsidR="00506EE7" w:rsidRDefault="00506EE7" w:rsidP="00506EE7">
      <w:pPr>
        <w:spacing w:before="100" w:beforeAutospacing="1" w:after="100" w:afterAutospacing="1" w:line="240" w:lineRule="auto"/>
        <w:rPr>
          <w:rFonts w:ascii="Times New Roman" w:hAnsi="Times New Roman"/>
          <w:sz w:val="24"/>
          <w:szCs w:val="24"/>
        </w:rPr>
      </w:pPr>
      <w:r w:rsidRPr="009366B6">
        <w:rPr>
          <w:rFonts w:ascii="Times New Roman" w:eastAsia="Times New Roman" w:hAnsi="Times New Roman"/>
          <w:sz w:val="24"/>
          <w:szCs w:val="24"/>
        </w:rPr>
        <w:t xml:space="preserve">On </w:t>
      </w:r>
      <w:r>
        <w:rPr>
          <w:rFonts w:ascii="Times New Roman" w:eastAsia="Times New Roman" w:hAnsi="Times New Roman"/>
          <w:sz w:val="24"/>
          <w:szCs w:val="24"/>
        </w:rPr>
        <w:t xml:space="preserve">Nov. 17, 2021, in </w:t>
      </w:r>
      <w:r w:rsidRPr="009366B6">
        <w:rPr>
          <w:rFonts w:ascii="Times New Roman" w:eastAsia="Times New Roman" w:hAnsi="Times New Roman"/>
          <w:sz w:val="24"/>
          <w:szCs w:val="24"/>
          <w:u w:val="single"/>
        </w:rPr>
        <w:t>Jane D. Dicocco, MD v. Merick B. Garland, Attorney General, U.S. Department of Justice</w:t>
      </w:r>
      <w:r>
        <w:rPr>
          <w:rFonts w:ascii="Times New Roman" w:eastAsia="Times New Roman" w:hAnsi="Times New Roman"/>
          <w:sz w:val="24"/>
          <w:szCs w:val="24"/>
        </w:rPr>
        <w:t>, the U.S. Court of Appeals for the 4</w:t>
      </w:r>
      <w:r w:rsidRPr="009366B6">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(Richmond, VA) holds (2 to 1) that the psychiatrist may proceed with her case under Title VII of the Civil Rights Act, but </w:t>
      </w:r>
      <w:r>
        <w:rPr>
          <w:rStyle w:val="markedcontent"/>
          <w:rFonts w:ascii="Times New Roman" w:hAnsi="Times New Roman"/>
          <w:sz w:val="24"/>
          <w:szCs w:val="24"/>
        </w:rPr>
        <w:t>cannot sue Federal government under the A</w:t>
      </w:r>
      <w:r w:rsidRPr="00E84A85">
        <w:rPr>
          <w:rStyle w:val="markedcontent"/>
          <w:rFonts w:ascii="Times New Roman" w:hAnsi="Times New Roman"/>
          <w:sz w:val="24"/>
          <w:szCs w:val="24"/>
        </w:rPr>
        <w:t>ge Discrimination in Employment Act of 1967 (ADEA)</w:t>
      </w:r>
      <w:r>
        <w:rPr>
          <w:rStyle w:val="markedcontent"/>
          <w:rFonts w:ascii="Times New Roman" w:hAnsi="Times New Roman"/>
          <w:sz w:val="24"/>
          <w:szCs w:val="24"/>
        </w:rPr>
        <w:t xml:space="preserve">, because Congress never authorized Federal government to be sued for “adverse impact” on employees age 40 or older.  </w:t>
      </w:r>
      <w:r>
        <w:rPr>
          <w:rFonts w:ascii="Times New Roman" w:hAnsi="Times New Roman"/>
          <w:sz w:val="24"/>
          <w:szCs w:val="24"/>
        </w:rPr>
        <w:t xml:space="preserve">Note: </w:t>
      </w:r>
      <w:r>
        <w:rPr>
          <w:rFonts w:ascii="Times New Roman" w:eastAsia="Times New Roman" w:hAnsi="Times New Roman"/>
          <w:sz w:val="24"/>
          <w:szCs w:val="24"/>
        </w:rPr>
        <w:t>The Bureau of Prisons “Physical Abilities Test” includes: “</w:t>
      </w:r>
      <w:r w:rsidRPr="00CF5EED">
        <w:rPr>
          <w:rFonts w:ascii="Times New Roman" w:hAnsi="Times New Roman"/>
          <w:sz w:val="24"/>
          <w:szCs w:val="24"/>
        </w:rPr>
        <w:t>Employees taking the test must drag a seventy-five-pound dummy at least 694 feet for three minutes, climb a ladder to retrieve an object within seven seconds, complete an obstacle course in fifty-eight seconds, run a quarter mile and handcuff someone within two minutes and thirty-five seconds, and climb three flights of stairs in forty-five seconds while wearing a twenty-pound weight belt. Employees receive scores for the five components, which are aggregated and measured against a passing composite score.</w:t>
      </w:r>
      <w:r>
        <w:rPr>
          <w:rFonts w:ascii="Times New Roman" w:hAnsi="Times New Roman"/>
          <w:sz w:val="24"/>
          <w:szCs w:val="24"/>
        </w:rPr>
        <w:t xml:space="preserve">” </w:t>
      </w:r>
    </w:p>
    <w:p w14:paraId="7D963F73" w14:textId="77777777" w:rsidR="00506EE7" w:rsidRPr="001C3BEE" w:rsidRDefault="00506EE7" w:rsidP="00506EE7">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1C3BEE">
        <w:rPr>
          <w:rStyle w:val="markedcontent"/>
          <w:rFonts w:ascii="Times New Roman" w:hAnsi="Times New Roman"/>
          <w:sz w:val="24"/>
          <w:szCs w:val="24"/>
        </w:rPr>
        <w:t xml:space="preserve">Dr. DiCocco alleged that she suffered financial and job-related injuries in fact that are </w:t>
      </w:r>
      <w:proofErr w:type="gramStart"/>
      <w:r w:rsidRPr="001C3BEE">
        <w:rPr>
          <w:rStyle w:val="markedcontent"/>
          <w:rFonts w:ascii="Times New Roman" w:hAnsi="Times New Roman"/>
          <w:sz w:val="24"/>
          <w:szCs w:val="24"/>
        </w:rPr>
        <w:t>fairly traceable</w:t>
      </w:r>
      <w:proofErr w:type="gramEnd"/>
      <w:r w:rsidRPr="001C3BEE">
        <w:rPr>
          <w:rStyle w:val="markedcontent"/>
          <w:rFonts w:ascii="Times New Roman" w:hAnsi="Times New Roman"/>
          <w:sz w:val="24"/>
          <w:szCs w:val="24"/>
        </w:rPr>
        <w:t xml:space="preserve"> to the government’s action and likely to be redressed by a favorable ruling</w:t>
      </w:r>
      <w:r>
        <w:rPr>
          <w:rStyle w:val="markedcontent"/>
          <w:rFonts w:ascii="Times New Roman" w:hAnsi="Times New Roman"/>
          <w:sz w:val="24"/>
          <w:szCs w:val="24"/>
        </w:rPr>
        <w:t xml:space="preserve">…. </w:t>
      </w:r>
      <w:r w:rsidRPr="001C3BEE">
        <w:rPr>
          <w:rStyle w:val="markedcontent"/>
          <w:rFonts w:ascii="Times New Roman" w:hAnsi="Times New Roman"/>
          <w:sz w:val="24"/>
          <w:szCs w:val="24"/>
        </w:rPr>
        <w:t xml:space="preserve"> </w:t>
      </w:r>
      <w:proofErr w:type="gramStart"/>
      <w:r w:rsidRPr="001C3BEE">
        <w:rPr>
          <w:rStyle w:val="markedcontent"/>
          <w:rFonts w:ascii="Times New Roman" w:hAnsi="Times New Roman"/>
          <w:sz w:val="24"/>
          <w:szCs w:val="24"/>
        </w:rPr>
        <w:t>So</w:t>
      </w:r>
      <w:proofErr w:type="gramEnd"/>
      <w:r w:rsidRPr="001C3BEE">
        <w:rPr>
          <w:rStyle w:val="markedcontent"/>
          <w:rFonts w:ascii="Times New Roman" w:hAnsi="Times New Roman"/>
          <w:sz w:val="24"/>
          <w:szCs w:val="24"/>
        </w:rPr>
        <w:t xml:space="preserve"> she has Article III standing. But we must still dismiss her ADEA claim because the ADEA provision applicable to federal-sector employees does not provide a disparate-impact cause of action. </w:t>
      </w:r>
      <w:proofErr w:type="gramStart"/>
      <w:r w:rsidRPr="001C3BEE">
        <w:rPr>
          <w:rStyle w:val="markedcontent"/>
          <w:rFonts w:ascii="Times New Roman" w:hAnsi="Times New Roman"/>
          <w:sz w:val="24"/>
          <w:szCs w:val="24"/>
        </w:rPr>
        <w:t>So</w:t>
      </w:r>
      <w:proofErr w:type="gramEnd"/>
      <w:r w:rsidRPr="001C3BEE">
        <w:rPr>
          <w:rStyle w:val="markedcontent"/>
          <w:rFonts w:ascii="Times New Roman" w:hAnsi="Times New Roman"/>
          <w:sz w:val="24"/>
          <w:szCs w:val="24"/>
        </w:rPr>
        <w:t xml:space="preserve"> her claim does not fall within the government’s waiver of sovereign immunity. We decline, however, to address arguments for rejecting her remaining Title VII claim under Rule 12(b)(6). We therefore affirm the district court’s dismissal of the ADEA claim but remand the Title VII claim for further proceedings.</w:t>
      </w:r>
      <w:r>
        <w:rPr>
          <w:rStyle w:val="markedcontent"/>
          <w:rFonts w:ascii="Times New Roman" w:hAnsi="Times New Roman"/>
          <w:sz w:val="24"/>
          <w:szCs w:val="24"/>
        </w:rPr>
        <w:t xml:space="preserve">” </w:t>
      </w:r>
      <w:hyperlink r:id="rId2487" w:history="1">
        <w:r w:rsidRPr="00C13A89">
          <w:rPr>
            <w:rStyle w:val="Hyperlink"/>
            <w:rFonts w:ascii="Times New Roman" w:hAnsi="Times New Roman"/>
            <w:sz w:val="24"/>
            <w:szCs w:val="24"/>
          </w:rPr>
          <w:t>https://www.ca4.uscourts.gov/Opinions/201342.P.pdf</w:t>
        </w:r>
      </w:hyperlink>
      <w:r>
        <w:rPr>
          <w:rStyle w:val="markedcontent"/>
          <w:rFonts w:ascii="Times New Roman" w:hAnsi="Times New Roman"/>
          <w:sz w:val="24"/>
          <w:szCs w:val="24"/>
        </w:rPr>
        <w:t xml:space="preserve"> </w:t>
      </w:r>
    </w:p>
    <w:p w14:paraId="0ED4A994" w14:textId="77777777" w:rsidR="00506EE7" w:rsidRDefault="00506EE7" w:rsidP="00506EE7">
      <w:pPr>
        <w:pStyle w:val="NormalWeb"/>
        <w:rPr>
          <w:b/>
          <w:bCs/>
        </w:rPr>
      </w:pPr>
      <w:r w:rsidRPr="006C5BC9">
        <w:rPr>
          <w:b/>
          <w:bCs/>
        </w:rPr>
        <w:t>Legal Lesson Learned:</w:t>
      </w:r>
      <w:r>
        <w:rPr>
          <w:b/>
          <w:bCs/>
        </w:rPr>
        <w:t xml:space="preserve">  Fire &amp; EMS Departments may impose physical fitness requirements as a condition of hire of emergency responders, such as passing CPAT test.  But requiring all employees, including secretaries and mechanics, to pass such a test would be a violation of Title VII. </w:t>
      </w:r>
    </w:p>
    <w:bookmarkEnd w:id="558"/>
    <w:p w14:paraId="1567EE1F" w14:textId="77777777" w:rsidR="00506EE7" w:rsidRDefault="00506EE7" w:rsidP="00F326E5">
      <w:pPr>
        <w:pStyle w:val="NoSpacing"/>
        <w:rPr>
          <w:rFonts w:ascii="Arial Black" w:hAnsi="Arial Black"/>
          <w:sz w:val="28"/>
          <w:szCs w:val="28"/>
        </w:rPr>
      </w:pPr>
    </w:p>
    <w:p w14:paraId="5E33CA11" w14:textId="77777777" w:rsidR="00506EE7" w:rsidRDefault="00506EE7" w:rsidP="00F326E5">
      <w:pPr>
        <w:pStyle w:val="NoSpacing"/>
        <w:rPr>
          <w:rFonts w:ascii="Arial Black" w:hAnsi="Arial Black"/>
          <w:sz w:val="28"/>
          <w:szCs w:val="28"/>
        </w:rPr>
      </w:pPr>
    </w:p>
    <w:p w14:paraId="4B431C28" w14:textId="76F633F2" w:rsidR="00F326E5" w:rsidRPr="00102FD0" w:rsidRDefault="00102FD0" w:rsidP="00F326E5">
      <w:pPr>
        <w:pStyle w:val="NoSpacing"/>
        <w:rPr>
          <w:rFonts w:ascii="Arial Black" w:hAnsi="Arial Black"/>
          <w:sz w:val="28"/>
          <w:szCs w:val="28"/>
        </w:rPr>
      </w:pPr>
      <w:r w:rsidRPr="00102FD0">
        <w:rPr>
          <w:rFonts w:ascii="Arial Black" w:hAnsi="Arial Black"/>
          <w:sz w:val="28"/>
          <w:szCs w:val="28"/>
        </w:rPr>
        <w:t>14-4</w:t>
      </w:r>
    </w:p>
    <w:p w14:paraId="3A655A75" w14:textId="77777777" w:rsidR="00102FD0" w:rsidRPr="00493410" w:rsidRDefault="00102FD0" w:rsidP="00102FD0">
      <w:pPr>
        <w:spacing w:before="100" w:beforeAutospacing="1" w:after="100" w:afterAutospacing="1" w:line="240" w:lineRule="auto"/>
        <w:rPr>
          <w:rFonts w:ascii="Arial Black" w:eastAsia="Times New Roman" w:hAnsi="Arial Black"/>
          <w:b/>
          <w:bCs/>
          <w:sz w:val="28"/>
          <w:szCs w:val="28"/>
        </w:rPr>
      </w:pPr>
      <w:bookmarkStart w:id="559" w:name="_Hlk66949804"/>
      <w:r w:rsidRPr="00493410">
        <w:rPr>
          <w:rFonts w:ascii="Arial Black" w:eastAsia="Times New Roman" w:hAnsi="Arial Black"/>
          <w:b/>
          <w:bCs/>
          <w:sz w:val="28"/>
          <w:szCs w:val="28"/>
        </w:rPr>
        <w:t xml:space="preserve">TX: </w:t>
      </w:r>
      <w:r>
        <w:rPr>
          <w:rFonts w:ascii="Arial Black" w:eastAsia="Times New Roman" w:hAnsi="Arial Black"/>
          <w:b/>
          <w:bCs/>
          <w:sz w:val="28"/>
          <w:szCs w:val="28"/>
        </w:rPr>
        <w:t>RECRUIT BROKE ANKLE TRAINING RUN, RESIGNED - CLAIMS HARASSED BY LIEUTENANT – AN “ISOLATED INCIDENT” - DISMISSED</w:t>
      </w:r>
    </w:p>
    <w:p w14:paraId="5D4BFDA3"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493410">
        <w:rPr>
          <w:rFonts w:ascii="Times New Roman" w:eastAsia="Times New Roman" w:hAnsi="Times New Roman"/>
          <w:sz w:val="24"/>
          <w:szCs w:val="24"/>
        </w:rPr>
        <w:t xml:space="preserve">On Oct. 14, 2020, in </w:t>
      </w:r>
      <w:r w:rsidRPr="00493410">
        <w:rPr>
          <w:rFonts w:ascii="Times New Roman" w:eastAsia="Times New Roman" w:hAnsi="Times New Roman"/>
          <w:sz w:val="24"/>
          <w:szCs w:val="24"/>
          <w:u w:val="single"/>
        </w:rPr>
        <w:t>Bryce Baker v. City of Arlington</w:t>
      </w:r>
      <w:r>
        <w:rPr>
          <w:rFonts w:ascii="Times New Roman" w:eastAsia="Times New Roman" w:hAnsi="Times New Roman"/>
          <w:sz w:val="24"/>
          <w:szCs w:val="24"/>
        </w:rPr>
        <w:t xml:space="preserve">, U.S. District Court Judge Mark T. Pittman, Northern District of Texas, granted the City’s motion to dismiss.  The recruit broke his ankle during a training run and resigned; he claims that prior to injury, Training Lieutenant harassed him in front of recruit class about having joined in a class action lawsuit against </w:t>
      </w:r>
      <w:proofErr w:type="gramStart"/>
      <w:r>
        <w:rPr>
          <w:rFonts w:ascii="Times New Roman" w:eastAsia="Times New Roman" w:hAnsi="Times New Roman"/>
          <w:sz w:val="24"/>
          <w:szCs w:val="24"/>
        </w:rPr>
        <w:t>City, and</w:t>
      </w:r>
      <w:proofErr w:type="gramEnd"/>
      <w:r>
        <w:rPr>
          <w:rFonts w:ascii="Times New Roman" w:eastAsia="Times New Roman" w:hAnsi="Times New Roman"/>
          <w:sz w:val="24"/>
          <w:szCs w:val="24"/>
        </w:rPr>
        <w:t xml:space="preserve"> following the injury urging him to resign.  Case dismissed; isolated acts by training officer does not prove City endorses such conduct.   </w:t>
      </w:r>
    </w:p>
    <w:bookmarkEnd w:id="559"/>
    <w:p w14:paraId="474E4CD4" w14:textId="77777777" w:rsidR="00102FD0" w:rsidRDefault="00102FD0" w:rsidP="00102FD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E40DB8">
        <w:rPr>
          <w:rFonts w:ascii="Times New Roman" w:hAnsi="Times New Roman"/>
          <w:sz w:val="24"/>
          <w:szCs w:val="24"/>
        </w:rPr>
        <w:t xml:space="preserve">Baker asserts a single claim against Arlington for First Amendment retaliation under 42 U.S.C. § 1983. </w:t>
      </w:r>
      <w:proofErr w:type="spellStart"/>
      <w:r w:rsidRPr="00E40DB8">
        <w:rPr>
          <w:rFonts w:ascii="Times New Roman" w:hAnsi="Times New Roman"/>
          <w:sz w:val="24"/>
          <w:szCs w:val="24"/>
        </w:rPr>
        <w:t>Compl</w:t>
      </w:r>
      <w:proofErr w:type="spellEnd"/>
      <w:r w:rsidRPr="00E40DB8">
        <w:rPr>
          <w:rFonts w:ascii="Times New Roman" w:hAnsi="Times New Roman"/>
          <w:sz w:val="24"/>
          <w:szCs w:val="24"/>
        </w:rPr>
        <w:t xml:space="preserve">. </w:t>
      </w:r>
      <w:proofErr w:type="gramStart"/>
      <w:r w:rsidRPr="00E40DB8">
        <w:rPr>
          <w:rFonts w:ascii="Times New Roman" w:hAnsi="Times New Roman"/>
          <w:sz w:val="24"/>
          <w:szCs w:val="24"/>
        </w:rPr>
        <w:t>at ¶¶</w:t>
      </w:r>
      <w:proofErr w:type="gramEnd"/>
      <w:r w:rsidRPr="00E40DB8">
        <w:rPr>
          <w:rFonts w:ascii="Times New Roman" w:hAnsi="Times New Roman"/>
          <w:sz w:val="24"/>
          <w:szCs w:val="24"/>
        </w:rPr>
        <w:t xml:space="preserve"> 20-24. However, as explained below, Arlington cannot be held liable under </w:t>
      </w:r>
      <w:r w:rsidRPr="00E40DB8">
        <w:rPr>
          <w:rFonts w:ascii="Times New Roman" w:hAnsi="Times New Roman"/>
          <w:i/>
          <w:iCs/>
          <w:sz w:val="24"/>
          <w:szCs w:val="24"/>
        </w:rPr>
        <w:t>Monell</w:t>
      </w:r>
      <w:r w:rsidRPr="00E40DB8">
        <w:rPr>
          <w:rFonts w:ascii="Times New Roman" w:hAnsi="Times New Roman"/>
          <w:sz w:val="24"/>
          <w:szCs w:val="24"/>
        </w:rPr>
        <w:t xml:space="preserve"> because Baker </w:t>
      </w:r>
      <w:proofErr w:type="gramStart"/>
      <w:r w:rsidRPr="00E40DB8">
        <w:rPr>
          <w:rFonts w:ascii="Times New Roman" w:hAnsi="Times New Roman"/>
          <w:sz w:val="24"/>
          <w:szCs w:val="24"/>
        </w:rPr>
        <w:t>actually pleaded</w:t>
      </w:r>
      <w:proofErr w:type="gramEnd"/>
      <w:r w:rsidRPr="00E40DB8">
        <w:rPr>
          <w:rFonts w:ascii="Times New Roman" w:hAnsi="Times New Roman"/>
          <w:sz w:val="24"/>
          <w:szCs w:val="24"/>
        </w:rPr>
        <w:t xml:space="preserve"> a policy </w:t>
      </w:r>
      <w:r w:rsidRPr="00E40DB8">
        <w:rPr>
          <w:rFonts w:ascii="Times New Roman" w:hAnsi="Times New Roman"/>
          <w:b/>
          <w:bCs/>
          <w:i/>
          <w:iCs/>
          <w:sz w:val="24"/>
          <w:szCs w:val="24"/>
        </w:rPr>
        <w:t>against</w:t>
      </w:r>
      <w:r w:rsidRPr="00E40DB8">
        <w:rPr>
          <w:rFonts w:ascii="Times New Roman" w:hAnsi="Times New Roman"/>
          <w:sz w:val="24"/>
          <w:szCs w:val="24"/>
        </w:rPr>
        <w:t xml:space="preserve"> the harassment Baker alleges. </w:t>
      </w:r>
      <w:r w:rsidRPr="00E40DB8">
        <w:rPr>
          <w:rFonts w:ascii="Times New Roman" w:hAnsi="Times New Roman"/>
          <w:i/>
          <w:iCs/>
          <w:sz w:val="24"/>
          <w:szCs w:val="24"/>
        </w:rPr>
        <w:t>Id</w:t>
      </w:r>
      <w:r w:rsidRPr="00E40DB8">
        <w:rPr>
          <w:rFonts w:ascii="Times New Roman" w:hAnsi="Times New Roman"/>
          <w:sz w:val="24"/>
          <w:szCs w:val="24"/>
        </w:rPr>
        <w:t>. at ¶ 18. Further, Baker's bare allegation that Lt. Price is a policymaker is conclusory and, as such, is insufficient to state a claim.</w:t>
      </w:r>
    </w:p>
    <w:p w14:paraId="21E62919" w14:textId="77777777" w:rsidR="00102FD0" w:rsidRPr="00E40DB8" w:rsidRDefault="00102FD0" w:rsidP="00102FD0">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p>
    <w:p w14:paraId="30329BAB" w14:textId="15C373E2" w:rsidR="00102FD0" w:rsidRDefault="00102FD0" w:rsidP="00102FD0">
      <w:pPr>
        <w:pStyle w:val="NoSpacing"/>
        <w:rPr>
          <w:sz w:val="24"/>
          <w:szCs w:val="24"/>
        </w:rPr>
      </w:pPr>
      <w:r w:rsidRPr="0037516D">
        <w:rPr>
          <w:rFonts w:ascii="Times New Roman" w:eastAsia="Times New Roman" w:hAnsi="Times New Roman"/>
          <w:sz w:val="24"/>
          <w:szCs w:val="24"/>
        </w:rPr>
        <w:t xml:space="preserve">Further, Arlington cannot be held liable under § 1983 for an isolated incident involving one of its employees. Under § 1983, "isolated unconstitutional actions by municipal employees will almost never trigger liability." </w:t>
      </w:r>
      <w:r w:rsidRPr="0037516D">
        <w:rPr>
          <w:rFonts w:ascii="Times New Roman" w:eastAsia="Times New Roman" w:hAnsi="Times New Roman"/>
          <w:i/>
          <w:iCs/>
          <w:sz w:val="24"/>
          <w:szCs w:val="24"/>
        </w:rPr>
        <w:t>Piotrowski</w:t>
      </w:r>
      <w:r w:rsidRPr="0037516D">
        <w:rPr>
          <w:rFonts w:ascii="Times New Roman" w:eastAsia="Times New Roman" w:hAnsi="Times New Roman"/>
          <w:sz w:val="24"/>
          <w:szCs w:val="24"/>
        </w:rPr>
        <w:t xml:space="preserve">, 237 F.3d at 578. Arlington makes this argument in its Motion to Dismiss when it states that Baker's claims are </w:t>
      </w:r>
      <w:r>
        <w:rPr>
          <w:rFonts w:ascii="Times New Roman" w:eastAsia="Times New Roman" w:hAnsi="Times New Roman"/>
          <w:sz w:val="24"/>
          <w:szCs w:val="24"/>
        </w:rPr>
        <w:t>‘</w:t>
      </w:r>
      <w:r w:rsidRPr="0037516D">
        <w:rPr>
          <w:rFonts w:ascii="Times New Roman" w:eastAsia="Times New Roman" w:hAnsi="Times New Roman"/>
          <w:sz w:val="24"/>
          <w:szCs w:val="24"/>
        </w:rPr>
        <w:t>directed at a single former Arlington employee—a fire department trainer.</w:t>
      </w:r>
      <w:r>
        <w:rPr>
          <w:rFonts w:ascii="Times New Roman" w:eastAsia="Times New Roman" w:hAnsi="Times New Roman"/>
          <w:sz w:val="24"/>
          <w:szCs w:val="24"/>
        </w:rPr>
        <w:t>’</w:t>
      </w:r>
      <w:r w:rsidRPr="0037516D">
        <w:rPr>
          <w:rFonts w:ascii="Times New Roman" w:eastAsia="Times New Roman" w:hAnsi="Times New Roman"/>
          <w:sz w:val="24"/>
          <w:szCs w:val="24"/>
        </w:rPr>
        <w:t xml:space="preserve"> MTD at ¶ 2.01. Baker fails to plead any facts that the alleged harassment and badgering were</w:t>
      </w:r>
      <w:r w:rsidRPr="00E911C8">
        <w:rPr>
          <w:rFonts w:ascii="Times New Roman" w:eastAsia="Times New Roman" w:hAnsi="Times New Roman"/>
          <w:sz w:val="24"/>
          <w:szCs w:val="24"/>
        </w:rPr>
        <w:t xml:space="preserve"> </w:t>
      </w:r>
      <w:r w:rsidRPr="0037516D">
        <w:rPr>
          <w:rFonts w:ascii="Times New Roman" w:eastAsia="Times New Roman" w:hAnsi="Times New Roman"/>
          <w:sz w:val="24"/>
          <w:szCs w:val="24"/>
        </w:rPr>
        <w:t xml:space="preserve">anything more than an isolated situation between one trainer and one employee. These isolated acts of one employee do not constitute </w:t>
      </w:r>
      <w:r>
        <w:rPr>
          <w:rFonts w:ascii="Times New Roman" w:eastAsia="Times New Roman" w:hAnsi="Times New Roman"/>
          <w:sz w:val="24"/>
          <w:szCs w:val="24"/>
        </w:rPr>
        <w:t>‘</w:t>
      </w:r>
      <w:r w:rsidRPr="0037516D">
        <w:rPr>
          <w:rFonts w:ascii="Times New Roman" w:eastAsia="Times New Roman" w:hAnsi="Times New Roman"/>
          <w:sz w:val="24"/>
          <w:szCs w:val="24"/>
        </w:rPr>
        <w:t>widespread practice</w:t>
      </w:r>
      <w:r>
        <w:rPr>
          <w:rFonts w:ascii="Times New Roman" w:eastAsia="Times New Roman" w:hAnsi="Times New Roman"/>
          <w:sz w:val="24"/>
          <w:szCs w:val="24"/>
        </w:rPr>
        <w:t>’</w:t>
      </w:r>
      <w:r w:rsidRPr="0037516D">
        <w:rPr>
          <w:rFonts w:ascii="Times New Roman" w:eastAsia="Times New Roman" w:hAnsi="Times New Roman"/>
          <w:sz w:val="24"/>
          <w:szCs w:val="24"/>
        </w:rPr>
        <w:t xml:space="preserve"> and thus cannot be said to qualify as a custom under </w:t>
      </w:r>
      <w:r w:rsidRPr="0037516D">
        <w:rPr>
          <w:rFonts w:ascii="Times New Roman" w:eastAsia="Times New Roman" w:hAnsi="Times New Roman"/>
          <w:i/>
          <w:iCs/>
          <w:sz w:val="24"/>
          <w:szCs w:val="24"/>
        </w:rPr>
        <w:t>Monell</w:t>
      </w:r>
      <w:r w:rsidRPr="0037516D">
        <w:rPr>
          <w:rFonts w:ascii="Times New Roman" w:eastAsia="Times New Roman" w:hAnsi="Times New Roman"/>
          <w:sz w:val="24"/>
          <w:szCs w:val="24"/>
        </w:rPr>
        <w:t xml:space="preserve">. </w:t>
      </w:r>
      <w:r w:rsidRPr="0037516D">
        <w:rPr>
          <w:rFonts w:ascii="Times New Roman" w:eastAsia="Times New Roman" w:hAnsi="Times New Roman"/>
          <w:i/>
          <w:iCs/>
          <w:sz w:val="24"/>
          <w:szCs w:val="24"/>
        </w:rPr>
        <w:t>See Peterson</w:t>
      </w:r>
      <w:r w:rsidRPr="0037516D">
        <w:rPr>
          <w:rFonts w:ascii="Times New Roman" w:eastAsia="Times New Roman" w:hAnsi="Times New Roman"/>
          <w:sz w:val="24"/>
          <w:szCs w:val="24"/>
        </w:rPr>
        <w:t xml:space="preserve">, 588 F.3d at 847. Therefore, the Court finds that Baker did not plead sufficient facts to identify any official Arlington policies or customs actionable under § 1983. Arlington's Motion to Dismiss should be and hereby is </w:t>
      </w:r>
      <w:r w:rsidRPr="0037516D">
        <w:rPr>
          <w:rFonts w:ascii="Times New Roman" w:eastAsia="Times New Roman" w:hAnsi="Times New Roman"/>
          <w:b/>
          <w:bCs/>
          <w:sz w:val="24"/>
          <w:szCs w:val="24"/>
        </w:rPr>
        <w:t>GRANTED.</w:t>
      </w:r>
      <w:r>
        <w:rPr>
          <w:rFonts w:ascii="Times New Roman" w:eastAsia="Times New Roman" w:hAnsi="Times New Roman"/>
          <w:b/>
          <w:bCs/>
          <w:sz w:val="24"/>
          <w:szCs w:val="24"/>
        </w:rPr>
        <w:t xml:space="preserve">” </w:t>
      </w:r>
      <w:bookmarkStart w:id="560" w:name="_Hlk66949840"/>
      <w:r w:rsidR="00F00958">
        <w:fldChar w:fldCharType="begin"/>
      </w:r>
      <w:r w:rsidR="00F00958">
        <w:instrText xml:space="preserve"> HYPERLINK "https://public.fastcase.com/Wl%2B2t%2BeVuI35%2FN70vAMFZnHSF8BEUL1CjKubfF2B3NrqkfafOcq09oBO0aW1DE51" </w:instrText>
      </w:r>
      <w:r w:rsidR="00F00958">
        <w:fldChar w:fldCharType="separate"/>
      </w:r>
      <w:r w:rsidRPr="00E911C8">
        <w:rPr>
          <w:rStyle w:val="Hyperlink"/>
          <w:rFonts w:ascii="Times New Roman" w:eastAsia="Times New Roman" w:hAnsi="Times New Roman"/>
          <w:sz w:val="24"/>
          <w:szCs w:val="24"/>
        </w:rPr>
        <w:t>https://public.fastcase.com/Wl%2B2t%2BeVuI35%2FN70vAMFZnHSF8BEUL1CjKubfF2B3NrqkfafOcq09oBO0aW1DE51</w:t>
      </w:r>
      <w:r w:rsidR="00F00958">
        <w:rPr>
          <w:rStyle w:val="Hyperlink"/>
          <w:rFonts w:ascii="Times New Roman" w:eastAsia="Times New Roman" w:hAnsi="Times New Roman"/>
          <w:sz w:val="24"/>
          <w:szCs w:val="24"/>
        </w:rPr>
        <w:fldChar w:fldCharType="end"/>
      </w:r>
    </w:p>
    <w:p w14:paraId="5F9BD153" w14:textId="77777777" w:rsidR="00102FD0" w:rsidRPr="00E40DB8" w:rsidRDefault="00102FD0" w:rsidP="00102FD0">
      <w:pPr>
        <w:spacing w:before="100" w:beforeAutospacing="1" w:after="100" w:afterAutospacing="1" w:line="240" w:lineRule="auto"/>
        <w:rPr>
          <w:rFonts w:ascii="Times New Roman" w:eastAsia="Times New Roman" w:hAnsi="Times New Roman"/>
          <w:b/>
          <w:bCs/>
          <w:sz w:val="24"/>
          <w:szCs w:val="24"/>
        </w:rPr>
      </w:pPr>
      <w:bookmarkStart w:id="561" w:name="_Hlk7348114"/>
      <w:r w:rsidRPr="00E40DB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Isolated acts by training lieutenant, while unfortunate, do not establish a basis for liability of the City.  </w:t>
      </w:r>
    </w:p>
    <w:bookmarkEnd w:id="560"/>
    <w:p w14:paraId="52238CA7" w14:textId="07C27398" w:rsidR="00102FD0" w:rsidRDefault="00102FD0" w:rsidP="00F326E5">
      <w:pPr>
        <w:pStyle w:val="NoSpacing"/>
        <w:rPr>
          <w:rFonts w:ascii="Arial Black" w:hAnsi="Arial Black"/>
          <w:sz w:val="24"/>
          <w:szCs w:val="24"/>
        </w:rPr>
      </w:pPr>
    </w:p>
    <w:p w14:paraId="49D933D5" w14:textId="77777777" w:rsidR="00102FD0" w:rsidRDefault="00102FD0" w:rsidP="00F326E5">
      <w:pPr>
        <w:pStyle w:val="NoSpacing"/>
        <w:rPr>
          <w:rFonts w:ascii="Arial Black" w:hAnsi="Arial Black"/>
          <w:sz w:val="24"/>
          <w:szCs w:val="24"/>
        </w:rPr>
      </w:pPr>
    </w:p>
    <w:p w14:paraId="48BDA982" w14:textId="77777777" w:rsidR="00102FD0" w:rsidRDefault="00102FD0" w:rsidP="00F326E5">
      <w:pPr>
        <w:pStyle w:val="NoSpacing"/>
        <w:rPr>
          <w:rFonts w:ascii="Arial Black" w:hAnsi="Arial Black"/>
          <w:sz w:val="24"/>
          <w:szCs w:val="24"/>
        </w:rPr>
      </w:pPr>
    </w:p>
    <w:p w14:paraId="1220EFA7" w14:textId="38D7C56D" w:rsidR="002147DA" w:rsidRDefault="002147DA" w:rsidP="00F326E5">
      <w:pPr>
        <w:pStyle w:val="NoSpacing"/>
        <w:rPr>
          <w:rFonts w:ascii="Arial Black" w:hAnsi="Arial Black"/>
          <w:sz w:val="24"/>
          <w:szCs w:val="24"/>
        </w:rPr>
      </w:pPr>
      <w:r>
        <w:rPr>
          <w:rFonts w:ascii="Arial Black" w:hAnsi="Arial Black"/>
          <w:sz w:val="24"/>
          <w:szCs w:val="24"/>
        </w:rPr>
        <w:t>14-3 [Also posted, Chap. 7]</w:t>
      </w:r>
    </w:p>
    <w:p w14:paraId="2FD32C62" w14:textId="535A793A" w:rsidR="002147DA" w:rsidRDefault="002147DA" w:rsidP="00F326E5">
      <w:pPr>
        <w:pStyle w:val="NoSpacing"/>
        <w:rPr>
          <w:rFonts w:ascii="Arial Black" w:hAnsi="Arial Black"/>
          <w:sz w:val="24"/>
          <w:szCs w:val="24"/>
        </w:rPr>
      </w:pPr>
    </w:p>
    <w:p w14:paraId="29E5536C" w14:textId="77777777" w:rsidR="002147DA" w:rsidRDefault="002147DA" w:rsidP="002147DA">
      <w:pPr>
        <w:pStyle w:val="NoSpacing"/>
        <w:rPr>
          <w:rFonts w:ascii="Arial Black" w:hAnsi="Arial Black"/>
          <w:sz w:val="28"/>
          <w:szCs w:val="28"/>
        </w:rPr>
      </w:pPr>
      <w:bookmarkStart w:id="562" w:name="_Hlk39772505"/>
      <w:r>
        <w:rPr>
          <w:rFonts w:ascii="Arial Black" w:hAnsi="Arial Black"/>
          <w:sz w:val="28"/>
          <w:szCs w:val="28"/>
        </w:rPr>
        <w:t xml:space="preserve">AL:  PREGNANT EMT – DENIED LIGHT DUTY – AMR CO. PROVIDES ONLY INJURED ON JOB - LAWSUIT REINSTATED </w:t>
      </w:r>
    </w:p>
    <w:p w14:paraId="5DBE0DC1" w14:textId="77777777" w:rsidR="002147DA" w:rsidRDefault="002147DA" w:rsidP="002147DA">
      <w:pPr>
        <w:pStyle w:val="NoSpacing"/>
        <w:rPr>
          <w:b/>
          <w:bCs/>
          <w:sz w:val="24"/>
          <w:szCs w:val="24"/>
        </w:rPr>
      </w:pPr>
    </w:p>
    <w:p w14:paraId="5F2295CE"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Kimberlie Michelle Durham v. Rural/Metro Corporation</w:t>
      </w:r>
      <w:r w:rsidRPr="00AE3A49">
        <w:rPr>
          <w:rFonts w:ascii="Times New Roman" w:hAnsi="Times New Roman"/>
          <w:bCs/>
          <w:sz w:val="24"/>
          <w:szCs w:val="24"/>
        </w:rPr>
        <w:t>, 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Circuit (Atlanta) held (3 to 0) that the U.S. District Court judge had improperly granted summary judgment to AMR.  </w:t>
      </w:r>
    </w:p>
    <w:p w14:paraId="4CD9E0DE" w14:textId="77777777" w:rsidR="002147DA" w:rsidRDefault="002147DA" w:rsidP="002147DA">
      <w:pPr>
        <w:pStyle w:val="NoSpacing"/>
        <w:ind w:left="720"/>
        <w:rPr>
          <w:rFonts w:ascii="Times New Roman" w:hAnsi="Times New Roman"/>
          <w:bCs/>
          <w:sz w:val="24"/>
          <w:szCs w:val="24"/>
        </w:rPr>
      </w:pPr>
    </w:p>
    <w:p w14:paraId="5D94871A" w14:textId="77777777" w:rsidR="002147DA" w:rsidRPr="00AE3A49" w:rsidRDefault="002147DA" w:rsidP="002147DA">
      <w:pPr>
        <w:pStyle w:val="NoSpacing"/>
        <w:ind w:left="720"/>
        <w:rPr>
          <w:rFonts w:ascii="Times New Roman" w:hAnsi="Times New Roman"/>
          <w:sz w:val="24"/>
          <w:szCs w:val="24"/>
        </w:rPr>
      </w:pPr>
      <w:r w:rsidRPr="00AE3A49">
        <w:rPr>
          <w:rFonts w:ascii="Times New Roman" w:hAnsi="Times New Roman"/>
          <w:bCs/>
          <w:sz w:val="24"/>
          <w:szCs w:val="24"/>
        </w:rPr>
        <w:t>“We therefore vacate the grant of summary judgment. Neither a non-pregnant EMT who is limited to lifting 10 or 20 pounds nor a pregnant EMT who is restricted to lifting 50 pounds or less can lift the required 100 pounds to serve as an EMT. Since neither can meet the lifting requirement, they are the same in their ‘inability to work’ as an EMT. And that satisfies the plaintiff’s prima facie requirement to establish that she was ‘similar [to other employees] in their ability or inability to work.’</w:t>
      </w:r>
      <w:r w:rsidRPr="00AE3A49">
        <w:rPr>
          <w:rFonts w:ascii="Times New Roman" w:hAnsi="Times New Roman"/>
          <w:sz w:val="24"/>
          <w:szCs w:val="24"/>
        </w:rPr>
        <w:t xml:space="preserve">” </w:t>
      </w:r>
      <w:hyperlink r:id="rId2488" w:history="1">
        <w:r w:rsidRPr="00AE3A49">
          <w:rPr>
            <w:rStyle w:val="Hyperlink"/>
            <w:rFonts w:ascii="Times New Roman" w:hAnsi="Times New Roman"/>
            <w:b/>
            <w:sz w:val="24"/>
            <w:szCs w:val="24"/>
          </w:rPr>
          <w:t>http://media.ca11.uscourts.gov/opinions/pub/files/201814687.pdf</w:t>
        </w:r>
      </w:hyperlink>
      <w:r w:rsidRPr="00AE3A49">
        <w:rPr>
          <w:rFonts w:ascii="Times New Roman" w:hAnsi="Times New Roman"/>
          <w:sz w:val="24"/>
          <w:szCs w:val="24"/>
        </w:rPr>
        <w:t xml:space="preserve"> </w:t>
      </w:r>
    </w:p>
    <w:bookmarkEnd w:id="562"/>
    <w:p w14:paraId="260FE436" w14:textId="77777777" w:rsidR="002147DA" w:rsidRDefault="002147DA" w:rsidP="002147DA">
      <w:pPr>
        <w:pStyle w:val="NoSpacing"/>
        <w:rPr>
          <w:rFonts w:ascii="Times New Roman" w:hAnsi="Times New Roman"/>
          <w:b/>
          <w:bCs/>
          <w:sz w:val="24"/>
          <w:szCs w:val="24"/>
        </w:rPr>
      </w:pPr>
    </w:p>
    <w:p w14:paraId="4AB2B772"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Congress in enacting the Pregnancy Discrimination Act did not specifically address the issue of light-duty; hopefully the U.S. Supreme Court will ultimately give clear direction on this issue.  </w:t>
      </w:r>
    </w:p>
    <w:p w14:paraId="4534635C" w14:textId="77777777" w:rsidR="002147DA" w:rsidRDefault="002147DA" w:rsidP="002147DA">
      <w:pPr>
        <w:rPr>
          <w:rFonts w:ascii="Arial Black" w:hAnsi="Arial Black"/>
          <w:b/>
          <w:sz w:val="24"/>
          <w:szCs w:val="24"/>
        </w:rPr>
      </w:pPr>
    </w:p>
    <w:p w14:paraId="50E986CD" w14:textId="77777777" w:rsidR="002147DA" w:rsidRDefault="002147DA" w:rsidP="00F326E5">
      <w:pPr>
        <w:pStyle w:val="NoSpacing"/>
        <w:rPr>
          <w:rFonts w:ascii="Arial Black" w:hAnsi="Arial Black"/>
          <w:sz w:val="24"/>
          <w:szCs w:val="24"/>
        </w:rPr>
      </w:pPr>
    </w:p>
    <w:p w14:paraId="6F163196" w14:textId="77777777" w:rsidR="002147DA" w:rsidRDefault="002147DA" w:rsidP="00F326E5">
      <w:pPr>
        <w:pStyle w:val="NoSpacing"/>
        <w:rPr>
          <w:rFonts w:ascii="Arial Black" w:hAnsi="Arial Black"/>
          <w:sz w:val="24"/>
          <w:szCs w:val="24"/>
        </w:rPr>
      </w:pPr>
    </w:p>
    <w:p w14:paraId="6050DC6B" w14:textId="77777777" w:rsidR="002147DA" w:rsidRDefault="002147DA" w:rsidP="00F326E5">
      <w:pPr>
        <w:pStyle w:val="NoSpacing"/>
        <w:rPr>
          <w:rFonts w:ascii="Arial Black" w:hAnsi="Arial Black"/>
          <w:sz w:val="24"/>
          <w:szCs w:val="24"/>
        </w:rPr>
      </w:pPr>
    </w:p>
    <w:p w14:paraId="4E9E9E58" w14:textId="41792A19" w:rsidR="00DE0F03" w:rsidRDefault="00DE0F03" w:rsidP="00F326E5">
      <w:pPr>
        <w:pStyle w:val="NoSpacing"/>
        <w:rPr>
          <w:rFonts w:ascii="Arial Black" w:hAnsi="Arial Black"/>
          <w:sz w:val="28"/>
          <w:szCs w:val="28"/>
        </w:rPr>
      </w:pPr>
      <w:r>
        <w:rPr>
          <w:rFonts w:ascii="Arial Black" w:hAnsi="Arial Black"/>
          <w:sz w:val="24"/>
          <w:szCs w:val="24"/>
        </w:rPr>
        <w:t>14-2</w:t>
      </w:r>
    </w:p>
    <w:p w14:paraId="0A3AF1F3" w14:textId="77777777" w:rsidR="00DE0F03" w:rsidRDefault="00DE0F03" w:rsidP="00F326E5">
      <w:pPr>
        <w:pStyle w:val="NoSpacing"/>
        <w:rPr>
          <w:rFonts w:ascii="Arial Black" w:hAnsi="Arial Black"/>
          <w:sz w:val="28"/>
          <w:szCs w:val="28"/>
        </w:rPr>
      </w:pPr>
    </w:p>
    <w:p w14:paraId="689BFEC0" w14:textId="6A722DB6" w:rsidR="00F326E5" w:rsidRDefault="00F326E5" w:rsidP="00F326E5">
      <w:pPr>
        <w:pStyle w:val="NoSpacing"/>
        <w:rPr>
          <w:rFonts w:ascii="Arial Black" w:hAnsi="Arial Black"/>
          <w:b/>
          <w:sz w:val="24"/>
          <w:szCs w:val="24"/>
        </w:rPr>
      </w:pPr>
      <w:bookmarkStart w:id="563" w:name="_Hlk39772584"/>
      <w:bookmarkStart w:id="564" w:name="_Hlk66949967"/>
      <w:r w:rsidRPr="0010462B">
        <w:rPr>
          <w:rFonts w:ascii="Arial Black" w:hAnsi="Arial Black"/>
          <w:sz w:val="28"/>
          <w:szCs w:val="28"/>
        </w:rPr>
        <w:t>NY</w:t>
      </w:r>
      <w:r>
        <w:rPr>
          <w:rFonts w:ascii="Arial Black" w:hAnsi="Arial Black"/>
          <w:sz w:val="28"/>
          <w:szCs w:val="28"/>
        </w:rPr>
        <w:t xml:space="preserve">: </w:t>
      </w:r>
      <w:r w:rsidRPr="0010462B">
        <w:rPr>
          <w:rFonts w:ascii="Arial Black" w:hAnsi="Arial Black"/>
          <w:sz w:val="28"/>
          <w:szCs w:val="28"/>
        </w:rPr>
        <w:t>FDNY RECRUIT DIED DURING PHYSICAL EXERCISES –</w:t>
      </w:r>
      <w:r>
        <w:rPr>
          <w:rFonts w:ascii="Arial Black" w:hAnsi="Arial Black"/>
          <w:sz w:val="28"/>
          <w:szCs w:val="28"/>
        </w:rPr>
        <w:t xml:space="preserve"> </w:t>
      </w:r>
      <w:r w:rsidRPr="0010462B">
        <w:rPr>
          <w:rFonts w:ascii="Arial Black" w:hAnsi="Arial Black"/>
          <w:sz w:val="28"/>
          <w:szCs w:val="28"/>
        </w:rPr>
        <w:t>HEART CONDITION</w:t>
      </w:r>
      <w:r w:rsidR="0016102B">
        <w:rPr>
          <w:rFonts w:ascii="Arial Black" w:hAnsi="Arial Black"/>
          <w:sz w:val="28"/>
          <w:szCs w:val="28"/>
        </w:rPr>
        <w:t xml:space="preserve"> – DEATH CLAIM DENIED </w:t>
      </w:r>
      <w:r w:rsidRPr="0010462B">
        <w:rPr>
          <w:rFonts w:ascii="Arial Black" w:hAnsi="Arial Black"/>
          <w:sz w:val="28"/>
          <w:szCs w:val="28"/>
        </w:rPr>
        <w:t xml:space="preserve"> </w:t>
      </w:r>
      <w:r w:rsidRPr="0010462B">
        <w:rPr>
          <w:b/>
          <w:sz w:val="24"/>
          <w:szCs w:val="24"/>
        </w:rPr>
        <w:t>[also filed, Chap. 2]</w:t>
      </w:r>
      <w:r>
        <w:rPr>
          <w:b/>
          <w:sz w:val="24"/>
          <w:szCs w:val="24"/>
        </w:rPr>
        <w:t xml:space="preserve">  </w:t>
      </w:r>
    </w:p>
    <w:p w14:paraId="47AFA6A8" w14:textId="77777777" w:rsidR="00BC17B3" w:rsidRDefault="00F326E5" w:rsidP="00F326E5">
      <w:pPr>
        <w:pStyle w:val="NoSpacing"/>
        <w:rPr>
          <w:rFonts w:ascii="Times New Roman" w:hAnsi="Times New Roman"/>
          <w:sz w:val="24"/>
          <w:szCs w:val="24"/>
        </w:rPr>
      </w:pPr>
      <w:r w:rsidRPr="00BC17B3">
        <w:rPr>
          <w:rFonts w:ascii="Times New Roman" w:hAnsi="Times New Roman"/>
          <w:sz w:val="24"/>
          <w:szCs w:val="24"/>
        </w:rPr>
        <w:t xml:space="preserve">On April 10, 2018, in </w:t>
      </w:r>
      <w:r w:rsidRPr="00BC17B3">
        <w:rPr>
          <w:rFonts w:ascii="Times New Roman" w:hAnsi="Times New Roman"/>
          <w:sz w:val="24"/>
          <w:szCs w:val="24"/>
          <w:u w:val="single"/>
        </w:rPr>
        <w:t>Sherita Sears v. The City of New York</w:t>
      </w:r>
      <w:r w:rsidRPr="00BC17B3">
        <w:rPr>
          <w:rFonts w:ascii="Times New Roman" w:hAnsi="Times New Roman"/>
          <w:sz w:val="24"/>
          <w:szCs w:val="24"/>
        </w:rPr>
        <w:t>, the Appellate Division of the Supreme Court of State of New York (5 to 0) denied the death claim, holding:</w:t>
      </w:r>
    </w:p>
    <w:p w14:paraId="6CB8C7EC" w14:textId="77777777" w:rsidR="00BC17B3" w:rsidRDefault="00BC17B3" w:rsidP="00F326E5">
      <w:pPr>
        <w:pStyle w:val="NoSpacing"/>
        <w:rPr>
          <w:rFonts w:ascii="Times New Roman" w:hAnsi="Times New Roman"/>
          <w:sz w:val="24"/>
          <w:szCs w:val="24"/>
        </w:rPr>
      </w:pPr>
    </w:p>
    <w:p w14:paraId="4388EBE2" w14:textId="07DAA917" w:rsidR="00F326E5" w:rsidRPr="00BC17B3" w:rsidRDefault="00F326E5" w:rsidP="00BC17B3">
      <w:pPr>
        <w:pStyle w:val="NoSpacing"/>
        <w:ind w:left="720"/>
        <w:rPr>
          <w:rFonts w:ascii="Times New Roman" w:hAnsi="Times New Roman"/>
          <w:sz w:val="24"/>
          <w:szCs w:val="24"/>
        </w:rPr>
      </w:pPr>
      <w:r w:rsidRPr="00BC17B3">
        <w:rPr>
          <w:rFonts w:ascii="Times New Roman" w:hAnsi="Times New Roman"/>
          <w:sz w:val="24"/>
          <w:szCs w:val="24"/>
        </w:rPr>
        <w:t>“Plaintiff is not entitled to recover under GML §</w:t>
      </w:r>
      <w:r w:rsidRPr="00BC17B3">
        <w:rPr>
          <w:rFonts w:ascii="Times New Roman" w:hAnsi="Times New Roman"/>
          <w:sz w:val="24"/>
          <w:szCs w:val="24"/>
        </w:rPr>
        <w:t> </w:t>
      </w:r>
      <w:r w:rsidRPr="00BC17B3">
        <w:rPr>
          <w:rFonts w:ascii="Times New Roman" w:hAnsi="Times New Roman"/>
          <w:sz w:val="24"/>
          <w:szCs w:val="24"/>
        </w:rPr>
        <w:t>205–a, as the injuries decedent sustained were not the type of occupational injury that Labor Law §</w:t>
      </w:r>
      <w:r w:rsidRPr="00BC17B3">
        <w:rPr>
          <w:rFonts w:ascii="Times New Roman" w:hAnsi="Times New Roman"/>
          <w:sz w:val="24"/>
          <w:szCs w:val="24"/>
        </w:rPr>
        <w:t> </w:t>
      </w:r>
      <w:r w:rsidRPr="00BC17B3">
        <w:rPr>
          <w:rFonts w:ascii="Times New Roman" w:hAnsi="Times New Roman"/>
          <w:sz w:val="24"/>
          <w:szCs w:val="24"/>
        </w:rPr>
        <w:t xml:space="preserve">27–a was designed to protect, but rather, arose from risks unique to firefighting work (Williams v. City of New York, 2 N.Y.3d 352, 368, 779 N.Y.S.2d 449, 811 N.E.2d 1103 [2004] ).”  </w:t>
      </w:r>
      <w:hyperlink r:id="rId2489" w:history="1">
        <w:r w:rsidRPr="00BC17B3">
          <w:rPr>
            <w:rStyle w:val="Hyperlink"/>
            <w:rFonts w:ascii="Times New Roman" w:hAnsi="Times New Roman"/>
            <w:sz w:val="24"/>
            <w:szCs w:val="24"/>
          </w:rPr>
          <w:t>https://caselaw.findlaw.com/ny-supreme-court-appellate-division/1893546.html</w:t>
        </w:r>
      </w:hyperlink>
      <w:bookmarkEnd w:id="563"/>
      <w:r w:rsidRPr="00BC17B3">
        <w:rPr>
          <w:rFonts w:ascii="Times New Roman" w:hAnsi="Times New Roman"/>
          <w:sz w:val="24"/>
          <w:szCs w:val="24"/>
        </w:rPr>
        <w:t xml:space="preserve"> </w:t>
      </w:r>
    </w:p>
    <w:bookmarkEnd w:id="564"/>
    <w:p w14:paraId="51234441" w14:textId="77777777" w:rsidR="00BC17B3" w:rsidRDefault="00BC17B3" w:rsidP="00F326E5">
      <w:pPr>
        <w:pStyle w:val="NoSpacing"/>
        <w:rPr>
          <w:rFonts w:ascii="Times New Roman" w:hAnsi="Times New Roman"/>
          <w:b/>
          <w:sz w:val="24"/>
          <w:szCs w:val="24"/>
        </w:rPr>
      </w:pPr>
    </w:p>
    <w:p w14:paraId="76CE18A9" w14:textId="64BD66F2" w:rsidR="00F326E5" w:rsidRPr="00BC17B3" w:rsidRDefault="00F326E5" w:rsidP="00F326E5">
      <w:pPr>
        <w:pStyle w:val="NoSpacing"/>
        <w:rPr>
          <w:rFonts w:ascii="Times New Roman" w:hAnsi="Times New Roman"/>
          <w:sz w:val="24"/>
          <w:szCs w:val="24"/>
        </w:rPr>
      </w:pPr>
      <w:bookmarkStart w:id="565" w:name="_Hlk66950038"/>
      <w:r w:rsidRPr="00BC17B3">
        <w:rPr>
          <w:rFonts w:ascii="Times New Roman" w:hAnsi="Times New Roman"/>
          <w:b/>
          <w:sz w:val="24"/>
          <w:szCs w:val="24"/>
        </w:rPr>
        <w:t>Legal Lessons Learned: The New York statute requires proof of “neglect, omission, willful or culpable negligence.”</w:t>
      </w:r>
      <w:r w:rsidRPr="00BC17B3">
        <w:rPr>
          <w:rFonts w:ascii="Times New Roman" w:hAnsi="Times New Roman"/>
          <w:sz w:val="24"/>
          <w:szCs w:val="24"/>
        </w:rPr>
        <w:t xml:space="preserve"> </w:t>
      </w:r>
    </w:p>
    <w:bookmarkEnd w:id="565"/>
    <w:p w14:paraId="058519D2" w14:textId="77777777" w:rsidR="0016102B" w:rsidRDefault="0016102B" w:rsidP="00F326E5">
      <w:pPr>
        <w:pStyle w:val="NoSpacing"/>
        <w:ind w:firstLine="720"/>
      </w:pPr>
    </w:p>
    <w:p w14:paraId="5B950A3F" w14:textId="4AF10FA7" w:rsidR="00F326E5" w:rsidRPr="00BC17B3" w:rsidRDefault="0016102B" w:rsidP="00F326E5">
      <w:pPr>
        <w:pStyle w:val="NoSpacing"/>
        <w:ind w:firstLine="720"/>
        <w:rPr>
          <w:rFonts w:ascii="Times New Roman" w:hAnsi="Times New Roman"/>
          <w:b/>
          <w:bCs/>
          <w:kern w:val="36"/>
          <w:sz w:val="24"/>
          <w:szCs w:val="24"/>
        </w:rPr>
      </w:pPr>
      <w:r w:rsidRPr="0016102B">
        <w:rPr>
          <w:rFonts w:ascii="Times New Roman" w:hAnsi="Times New Roman"/>
          <w:sz w:val="24"/>
          <w:szCs w:val="24"/>
        </w:rPr>
        <w:t>Note:</w:t>
      </w:r>
      <w:r>
        <w:t xml:space="preserve"> </w:t>
      </w:r>
      <w:hyperlink r:id="rId2490" w:history="1">
        <w:r w:rsidRPr="00AC42F8">
          <w:rPr>
            <w:rStyle w:val="Hyperlink"/>
            <w:rFonts w:ascii="Times New Roman" w:hAnsi="Times New Roman"/>
            <w:sz w:val="24"/>
            <w:szCs w:val="24"/>
          </w:rPr>
          <w:t>https://codes.findlaw.com/ny/general-municipal-law/gmu-sect-205-a.html</w:t>
        </w:r>
      </w:hyperlink>
      <w:r w:rsidR="00F326E5" w:rsidRPr="00BC17B3">
        <w:rPr>
          <w:rFonts w:ascii="Times New Roman" w:hAnsi="Times New Roman"/>
          <w:b/>
          <w:bCs/>
          <w:kern w:val="36"/>
          <w:sz w:val="24"/>
          <w:szCs w:val="24"/>
        </w:rPr>
        <w:t xml:space="preserve"> </w:t>
      </w:r>
    </w:p>
    <w:p w14:paraId="7FB700A7" w14:textId="77777777" w:rsidR="00F326E5" w:rsidRPr="00BC17B3" w:rsidRDefault="00F326E5" w:rsidP="00F326E5">
      <w:pPr>
        <w:pStyle w:val="NoSpacing"/>
        <w:ind w:left="720"/>
        <w:rPr>
          <w:rFonts w:ascii="Times New Roman" w:hAnsi="Times New Roman"/>
          <w:sz w:val="24"/>
          <w:szCs w:val="24"/>
        </w:rPr>
      </w:pPr>
      <w:r w:rsidRPr="00BC17B3">
        <w:rPr>
          <w:rFonts w:ascii="Times New Roman" w:eastAsia="Times New Roman" w:hAnsi="Times New Roman"/>
          <w:bCs/>
          <w:kern w:val="36"/>
          <w:sz w:val="24"/>
          <w:szCs w:val="24"/>
        </w:rPr>
        <w:t xml:space="preserve">New York Consolidated Laws, General Municipal Law - GMU § 205-a. Additional right of action to certain injured or representatives of certain deceased firefighters </w:t>
      </w:r>
      <w:r w:rsidRPr="00BC17B3">
        <w:rPr>
          <w:rFonts w:ascii="Times New Roman" w:hAnsi="Times New Roman"/>
          <w:sz w:val="24"/>
          <w:szCs w:val="24"/>
        </w:rPr>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p>
    <w:bookmarkEnd w:id="561"/>
    <w:p w14:paraId="2AA10AD8" w14:textId="77777777" w:rsidR="00F326E5" w:rsidRPr="00BC17B3" w:rsidRDefault="00F326E5" w:rsidP="00F326E5">
      <w:pPr>
        <w:pStyle w:val="NoSpacing"/>
        <w:rPr>
          <w:rFonts w:ascii="Times New Roman" w:hAnsi="Times New Roman"/>
          <w:sz w:val="24"/>
          <w:szCs w:val="24"/>
        </w:rPr>
      </w:pPr>
    </w:p>
    <w:p w14:paraId="7F29C3D3" w14:textId="77777777" w:rsidR="00F326E5" w:rsidRDefault="00F326E5" w:rsidP="00F326E5">
      <w:pPr>
        <w:pStyle w:val="NoSpacing"/>
        <w:rPr>
          <w:sz w:val="24"/>
          <w:szCs w:val="24"/>
        </w:rPr>
      </w:pPr>
    </w:p>
    <w:p w14:paraId="3F3556C3" w14:textId="18997406" w:rsidR="00DE0F03" w:rsidRDefault="00DE0F03" w:rsidP="00DE0F03">
      <w:pPr>
        <w:pStyle w:val="NoSpacing"/>
        <w:rPr>
          <w:rFonts w:ascii="Arial Black" w:hAnsi="Arial Black"/>
          <w:sz w:val="24"/>
          <w:szCs w:val="24"/>
        </w:rPr>
      </w:pPr>
      <w:bookmarkStart w:id="566" w:name="_Hlk7348210"/>
      <w:r>
        <w:rPr>
          <w:rFonts w:ascii="Arial Black" w:hAnsi="Arial Black"/>
          <w:sz w:val="24"/>
          <w:szCs w:val="24"/>
        </w:rPr>
        <w:t>14-1</w:t>
      </w:r>
    </w:p>
    <w:p w14:paraId="11FD5868" w14:textId="77777777" w:rsidR="00DE0F03" w:rsidRDefault="00DE0F03" w:rsidP="00F326E5">
      <w:pPr>
        <w:pStyle w:val="NoSpacing"/>
        <w:rPr>
          <w:rFonts w:ascii="Arial Black" w:hAnsi="Arial Black"/>
          <w:sz w:val="28"/>
          <w:szCs w:val="28"/>
        </w:rPr>
      </w:pPr>
    </w:p>
    <w:p w14:paraId="004A812C" w14:textId="42DC217C" w:rsidR="00F326E5" w:rsidRPr="00247719" w:rsidRDefault="00F326E5" w:rsidP="00F326E5">
      <w:pPr>
        <w:pStyle w:val="NoSpacing"/>
        <w:rPr>
          <w:rFonts w:ascii="[Times New Roman" w:hAnsi="[Times New Roman"/>
          <w:b/>
          <w:sz w:val="24"/>
          <w:szCs w:val="24"/>
        </w:rPr>
      </w:pPr>
      <w:bookmarkStart w:id="567" w:name="_Hlk39772641"/>
      <w:r>
        <w:rPr>
          <w:rFonts w:ascii="Arial Black" w:hAnsi="Arial Black"/>
          <w:sz w:val="28"/>
          <w:szCs w:val="28"/>
        </w:rPr>
        <w:t xml:space="preserve">OH: DAYTON FD RECRUIT – REMOVED FROM CLASS AFTER KNEE INJURY </w:t>
      </w:r>
      <w:r w:rsidR="00247719">
        <w:rPr>
          <w:rFonts w:ascii="Arial Black" w:hAnsi="Arial Black"/>
          <w:sz w:val="28"/>
          <w:szCs w:val="28"/>
        </w:rPr>
        <w:t xml:space="preserve">– NO FMLA VIOLATION </w:t>
      </w:r>
      <w:r w:rsidR="00247719">
        <w:rPr>
          <w:rFonts w:ascii="[Times New Roman" w:hAnsi="[Times New Roman"/>
          <w:sz w:val="24"/>
          <w:szCs w:val="24"/>
        </w:rPr>
        <w:t>[also filed, Chap. 10]</w:t>
      </w:r>
    </w:p>
    <w:p w14:paraId="6D7A83C8" w14:textId="77777777" w:rsidR="00BC17B3" w:rsidRDefault="00F326E5" w:rsidP="00F326E5">
      <w:pPr>
        <w:rPr>
          <w:rFonts w:ascii="Times New Roman" w:hAnsi="Times New Roman"/>
          <w:sz w:val="24"/>
          <w:szCs w:val="24"/>
        </w:rPr>
      </w:pPr>
      <w:r w:rsidRPr="00BC17B3">
        <w:rPr>
          <w:rFonts w:ascii="Times New Roman" w:hAnsi="Times New Roman"/>
          <w:sz w:val="24"/>
          <w:szCs w:val="24"/>
        </w:rPr>
        <w:t xml:space="preserve">On Feb. 9, </w:t>
      </w:r>
      <w:proofErr w:type="gramStart"/>
      <w:r w:rsidRPr="00BC17B3">
        <w:rPr>
          <w:rFonts w:ascii="Times New Roman" w:hAnsi="Times New Roman"/>
          <w:sz w:val="24"/>
          <w:szCs w:val="24"/>
        </w:rPr>
        <w:t>2018</w:t>
      </w:r>
      <w:proofErr w:type="gramEnd"/>
      <w:r w:rsidRPr="00BC17B3">
        <w:rPr>
          <w:rFonts w:ascii="Times New Roman" w:hAnsi="Times New Roman"/>
          <w:sz w:val="24"/>
          <w:szCs w:val="24"/>
        </w:rPr>
        <w:t xml:space="preserve"> in </w:t>
      </w:r>
      <w:r w:rsidRPr="00BC17B3">
        <w:rPr>
          <w:rFonts w:ascii="Times New Roman" w:hAnsi="Times New Roman"/>
          <w:sz w:val="24"/>
          <w:szCs w:val="24"/>
          <w:u w:val="single"/>
        </w:rPr>
        <w:t>Shawn N. Geisel v. City of Dayton, et al</w:t>
      </w:r>
      <w:r w:rsidRPr="00BC17B3">
        <w:rPr>
          <w:rFonts w:ascii="Times New Roman" w:hAnsi="Times New Roman"/>
          <w:sz w:val="24"/>
          <w:szCs w:val="24"/>
        </w:rPr>
        <w:t xml:space="preserve">., Ohio Court of Appeals for Second Circuit (Montgomery County) held (3 to 0) that the FD had the authority to remove him from the recruit class and ‘demote’ him back to EMT.   </w:t>
      </w:r>
    </w:p>
    <w:p w14:paraId="454A30DA" w14:textId="3AF1E8BE" w:rsidR="00F326E5" w:rsidRPr="00BC17B3" w:rsidRDefault="00F326E5" w:rsidP="00BC17B3">
      <w:pPr>
        <w:ind w:left="720"/>
        <w:rPr>
          <w:rFonts w:ascii="Times New Roman" w:hAnsi="Times New Roman"/>
          <w:sz w:val="24"/>
          <w:szCs w:val="24"/>
        </w:rPr>
      </w:pPr>
      <w:r w:rsidRPr="00BC17B3">
        <w:rPr>
          <w:rFonts w:ascii="Times New Roman" w:hAnsi="Times New Roman"/>
          <w:sz w:val="24"/>
          <w:szCs w:val="24"/>
        </w:rPr>
        <w:t xml:space="preserve">“We do not mean to imply that Geisel could not reapply for the position, but only that his appointment to Firefighter Recruit was a self-contained opportunity that did not entail a right to be reappointed or to continue as a recruit until he could complete the training program.”  </w:t>
      </w:r>
      <w:hyperlink r:id="rId2491" w:history="1">
        <w:r w:rsidRPr="00BC17B3">
          <w:rPr>
            <w:rStyle w:val="Hyperlink"/>
            <w:rFonts w:ascii="Times New Roman" w:hAnsi="Times New Roman"/>
            <w:sz w:val="24"/>
            <w:szCs w:val="24"/>
          </w:rPr>
          <w:t>http://www.supremecourt.ohio.gov/rod/docs/pdf/2/2018/2018-ohio-512.pdf</w:t>
        </w:r>
      </w:hyperlink>
      <w:r w:rsidRPr="00BC17B3">
        <w:rPr>
          <w:rFonts w:ascii="Times New Roman" w:hAnsi="Times New Roman"/>
          <w:sz w:val="24"/>
          <w:szCs w:val="24"/>
        </w:rPr>
        <w:t xml:space="preserve"> </w:t>
      </w:r>
    </w:p>
    <w:p w14:paraId="4A40FA0E" w14:textId="5DA50009" w:rsidR="00F326E5" w:rsidRPr="00BC17B3" w:rsidRDefault="00F326E5" w:rsidP="00F326E5">
      <w:pPr>
        <w:rPr>
          <w:rFonts w:ascii="Times New Roman" w:hAnsi="Times New Roman"/>
          <w:b/>
          <w:sz w:val="24"/>
          <w:szCs w:val="24"/>
        </w:rPr>
      </w:pPr>
      <w:bookmarkStart w:id="568" w:name="_Hlk1066962"/>
      <w:bookmarkEnd w:id="567"/>
      <w:r w:rsidRPr="00BC17B3">
        <w:rPr>
          <w:rFonts w:ascii="Times New Roman" w:hAnsi="Times New Roman"/>
          <w:b/>
          <w:sz w:val="24"/>
          <w:szCs w:val="24"/>
        </w:rPr>
        <w:t xml:space="preserve">Legal Lessons Learned:  Dayton Civil Services rules treat </w:t>
      </w:r>
      <w:proofErr w:type="gramStart"/>
      <w:r w:rsidRPr="00BC17B3">
        <w:rPr>
          <w:rFonts w:ascii="Times New Roman" w:hAnsi="Times New Roman"/>
          <w:b/>
          <w:sz w:val="24"/>
          <w:szCs w:val="24"/>
        </w:rPr>
        <w:t>a</w:t>
      </w:r>
      <w:proofErr w:type="gramEnd"/>
      <w:r w:rsidRPr="00BC17B3">
        <w:rPr>
          <w:rFonts w:ascii="Times New Roman" w:hAnsi="Times New Roman"/>
          <w:b/>
          <w:sz w:val="24"/>
          <w:szCs w:val="24"/>
        </w:rPr>
        <w:t xml:space="preserve"> FF recruit as a probationary employee; when injured in recruit school, can be “demoted” back to EMT-B and placed on light duty.</w:t>
      </w:r>
    </w:p>
    <w:p w14:paraId="1DFF312A" w14:textId="78F4250F" w:rsidR="000C4DF5" w:rsidRDefault="000C4DF5">
      <w:pPr>
        <w:spacing w:after="0" w:line="240" w:lineRule="auto"/>
        <w:rPr>
          <w:b/>
          <w:sz w:val="24"/>
          <w:szCs w:val="24"/>
        </w:rPr>
      </w:pPr>
      <w:r>
        <w:rPr>
          <w:b/>
          <w:sz w:val="24"/>
          <w:szCs w:val="24"/>
        </w:rPr>
        <w:br w:type="page"/>
      </w:r>
    </w:p>
    <w:bookmarkEnd w:id="566"/>
    <w:bookmarkEnd w:id="568"/>
    <w:p w14:paraId="16EB49F9" w14:textId="77777777" w:rsidR="004378B8" w:rsidRDefault="004378B8" w:rsidP="00F326E5">
      <w:pPr>
        <w:rPr>
          <w:rFonts w:ascii="Arial Black" w:hAnsi="Arial Black"/>
          <w:sz w:val="40"/>
          <w:szCs w:val="40"/>
        </w:rPr>
      </w:pPr>
    </w:p>
    <w:p w14:paraId="178B1B2A" w14:textId="77777777" w:rsidR="004378B8" w:rsidRDefault="004378B8" w:rsidP="00F326E5">
      <w:pPr>
        <w:rPr>
          <w:rFonts w:ascii="Arial Black" w:hAnsi="Arial Black"/>
          <w:sz w:val="40"/>
          <w:szCs w:val="40"/>
        </w:rPr>
      </w:pPr>
    </w:p>
    <w:p w14:paraId="1AC74A7C" w14:textId="77777777" w:rsidR="004378B8" w:rsidRDefault="004378B8" w:rsidP="00F326E5">
      <w:pPr>
        <w:rPr>
          <w:rFonts w:ascii="Arial Black" w:hAnsi="Arial Black"/>
          <w:sz w:val="40"/>
          <w:szCs w:val="40"/>
        </w:rPr>
      </w:pPr>
    </w:p>
    <w:p w14:paraId="787CE605" w14:textId="77777777" w:rsidR="004378B8" w:rsidRDefault="004378B8" w:rsidP="00F326E5">
      <w:pPr>
        <w:rPr>
          <w:rFonts w:ascii="Arial Black" w:hAnsi="Arial Black"/>
          <w:sz w:val="40"/>
          <w:szCs w:val="40"/>
        </w:rPr>
      </w:pPr>
    </w:p>
    <w:p w14:paraId="63BB63F1" w14:textId="77777777" w:rsidR="004378B8" w:rsidRDefault="004378B8" w:rsidP="00F326E5">
      <w:pPr>
        <w:rPr>
          <w:rFonts w:ascii="Arial Black" w:hAnsi="Arial Black"/>
          <w:sz w:val="40"/>
          <w:szCs w:val="40"/>
        </w:rPr>
      </w:pPr>
    </w:p>
    <w:p w14:paraId="44B5D944" w14:textId="77777777" w:rsidR="004378B8" w:rsidRDefault="004378B8" w:rsidP="00F326E5">
      <w:pPr>
        <w:rPr>
          <w:rFonts w:ascii="Arial Black" w:hAnsi="Arial Black"/>
          <w:sz w:val="40"/>
          <w:szCs w:val="40"/>
        </w:rPr>
      </w:pPr>
    </w:p>
    <w:p w14:paraId="79630461" w14:textId="77777777" w:rsidR="004378B8" w:rsidRDefault="004378B8" w:rsidP="00F326E5">
      <w:pPr>
        <w:rPr>
          <w:rFonts w:ascii="Arial Black" w:hAnsi="Arial Black"/>
          <w:sz w:val="40"/>
          <w:szCs w:val="40"/>
        </w:rPr>
      </w:pPr>
    </w:p>
    <w:p w14:paraId="6F3AC8F7" w14:textId="77777777" w:rsidR="004378B8" w:rsidRDefault="004378B8" w:rsidP="00F326E5">
      <w:pPr>
        <w:rPr>
          <w:rFonts w:ascii="Arial Black" w:hAnsi="Arial Black"/>
          <w:sz w:val="40"/>
          <w:szCs w:val="40"/>
        </w:rPr>
      </w:pPr>
    </w:p>
    <w:p w14:paraId="594F7C28" w14:textId="77777777" w:rsidR="004378B8" w:rsidRDefault="004378B8" w:rsidP="00F326E5">
      <w:pPr>
        <w:rPr>
          <w:rFonts w:ascii="Arial Black" w:hAnsi="Arial Black"/>
          <w:sz w:val="40"/>
          <w:szCs w:val="40"/>
        </w:rPr>
      </w:pPr>
    </w:p>
    <w:p w14:paraId="111CE97C" w14:textId="77777777" w:rsidR="004378B8" w:rsidRDefault="004378B8" w:rsidP="00F326E5">
      <w:pPr>
        <w:rPr>
          <w:rFonts w:ascii="Arial Black" w:hAnsi="Arial Black"/>
          <w:sz w:val="40"/>
          <w:szCs w:val="40"/>
        </w:rPr>
      </w:pPr>
    </w:p>
    <w:p w14:paraId="3B9AC02F" w14:textId="77777777" w:rsidR="004378B8" w:rsidRDefault="004378B8" w:rsidP="00F326E5">
      <w:pPr>
        <w:rPr>
          <w:rFonts w:ascii="Arial Black" w:hAnsi="Arial Black"/>
          <w:sz w:val="40"/>
          <w:szCs w:val="40"/>
        </w:rPr>
      </w:pPr>
    </w:p>
    <w:p w14:paraId="32151016" w14:textId="77777777" w:rsidR="004378B8" w:rsidRDefault="004378B8" w:rsidP="00F326E5">
      <w:pPr>
        <w:rPr>
          <w:rFonts w:ascii="Arial Black" w:hAnsi="Arial Black"/>
          <w:sz w:val="40"/>
          <w:szCs w:val="40"/>
        </w:rPr>
      </w:pPr>
    </w:p>
    <w:p w14:paraId="22103E84" w14:textId="77777777" w:rsidR="004378B8" w:rsidRDefault="004378B8" w:rsidP="00F326E5">
      <w:pPr>
        <w:rPr>
          <w:rFonts w:ascii="Arial Black" w:hAnsi="Arial Black"/>
          <w:sz w:val="40"/>
          <w:szCs w:val="40"/>
        </w:rPr>
      </w:pPr>
    </w:p>
    <w:p w14:paraId="466DADBD" w14:textId="77777777" w:rsidR="004378B8" w:rsidRDefault="004378B8" w:rsidP="00F326E5">
      <w:pPr>
        <w:rPr>
          <w:rFonts w:ascii="Arial Black" w:hAnsi="Arial Black"/>
          <w:sz w:val="40"/>
          <w:szCs w:val="40"/>
        </w:rPr>
      </w:pPr>
    </w:p>
    <w:p w14:paraId="6AF4ADE1" w14:textId="77777777" w:rsidR="004378B8" w:rsidRDefault="004378B8" w:rsidP="00F326E5">
      <w:pPr>
        <w:rPr>
          <w:rFonts w:ascii="Arial Black" w:hAnsi="Arial Black"/>
          <w:sz w:val="40"/>
          <w:szCs w:val="40"/>
        </w:rPr>
      </w:pPr>
    </w:p>
    <w:p w14:paraId="1A36CA2A" w14:textId="77777777" w:rsidR="004378B8" w:rsidRDefault="004378B8" w:rsidP="00F326E5">
      <w:pPr>
        <w:rPr>
          <w:rFonts w:ascii="Arial Black" w:hAnsi="Arial Black"/>
          <w:sz w:val="40"/>
          <w:szCs w:val="40"/>
        </w:rPr>
      </w:pPr>
    </w:p>
    <w:p w14:paraId="0206712B" w14:textId="77777777" w:rsidR="004378B8" w:rsidRDefault="004378B8" w:rsidP="00F326E5">
      <w:pPr>
        <w:rPr>
          <w:rFonts w:ascii="Arial Black" w:hAnsi="Arial Black"/>
          <w:sz w:val="40"/>
          <w:szCs w:val="40"/>
        </w:rPr>
      </w:pPr>
    </w:p>
    <w:p w14:paraId="1E590846" w14:textId="05B8579E" w:rsidR="00F326E5" w:rsidRDefault="00F326E5" w:rsidP="00F326E5">
      <w:pPr>
        <w:rPr>
          <w:rFonts w:ascii="Arial Black" w:hAnsi="Arial Black"/>
          <w:sz w:val="40"/>
          <w:szCs w:val="40"/>
        </w:rPr>
      </w:pPr>
      <w:r w:rsidRPr="007732FA">
        <w:rPr>
          <w:rFonts w:ascii="Arial Black" w:hAnsi="Arial Black"/>
          <w:sz w:val="40"/>
          <w:szCs w:val="40"/>
        </w:rPr>
        <w:t>Chap. 15</w:t>
      </w:r>
      <w:r>
        <w:rPr>
          <w:rFonts w:ascii="Arial Black" w:hAnsi="Arial Black"/>
          <w:sz w:val="40"/>
          <w:szCs w:val="40"/>
        </w:rPr>
        <w:t xml:space="preserve"> </w:t>
      </w:r>
      <w:r w:rsidR="00CA57F1">
        <w:rPr>
          <w:rFonts w:ascii="Arial Black" w:hAnsi="Arial Black"/>
          <w:sz w:val="40"/>
          <w:szCs w:val="40"/>
        </w:rPr>
        <w:t xml:space="preserve"> </w:t>
      </w:r>
      <w:r w:rsidR="00EC5D4A">
        <w:rPr>
          <w:rFonts w:ascii="Arial Black" w:hAnsi="Arial Black"/>
          <w:sz w:val="40"/>
          <w:szCs w:val="40"/>
        </w:rPr>
        <w:t>Mental Health, incl.</w:t>
      </w:r>
      <w:r w:rsidR="00CA57F1">
        <w:rPr>
          <w:rFonts w:ascii="Arial Black" w:hAnsi="Arial Black"/>
          <w:sz w:val="40"/>
          <w:szCs w:val="40"/>
        </w:rPr>
        <w:t xml:space="preserve"> </w:t>
      </w:r>
      <w:r w:rsidRPr="007732FA">
        <w:rPr>
          <w:rFonts w:ascii="Arial Black" w:hAnsi="Arial Black"/>
          <w:sz w:val="40"/>
          <w:szCs w:val="40"/>
        </w:rPr>
        <w:t>C</w:t>
      </w:r>
      <w:r w:rsidR="006D5E9F">
        <w:rPr>
          <w:rFonts w:ascii="Arial Black" w:hAnsi="Arial Black"/>
          <w:sz w:val="40"/>
          <w:szCs w:val="40"/>
        </w:rPr>
        <w:t xml:space="preserve">ISM / </w:t>
      </w:r>
      <w:r w:rsidR="00636395">
        <w:rPr>
          <w:rFonts w:ascii="Arial Black" w:hAnsi="Arial Black"/>
          <w:sz w:val="40"/>
          <w:szCs w:val="40"/>
        </w:rPr>
        <w:t>Peer Support</w:t>
      </w:r>
      <w:r w:rsidR="006D5E9F">
        <w:rPr>
          <w:rFonts w:ascii="Arial Black" w:hAnsi="Arial Black"/>
          <w:sz w:val="40"/>
          <w:szCs w:val="40"/>
        </w:rPr>
        <w:t xml:space="preserve"> </w:t>
      </w:r>
    </w:p>
    <w:p w14:paraId="25751CD6" w14:textId="77777777" w:rsidR="00B07B33" w:rsidRDefault="00B07B33" w:rsidP="004D70DC">
      <w:pPr>
        <w:pStyle w:val="NoSpacing"/>
        <w:rPr>
          <w:rFonts w:ascii="Arial Black" w:hAnsi="Arial Black"/>
          <w:sz w:val="24"/>
          <w:szCs w:val="24"/>
        </w:rPr>
      </w:pPr>
    </w:p>
    <w:p w14:paraId="1600C940" w14:textId="46E65C14" w:rsidR="00CD15D7" w:rsidRDefault="00CD15D7" w:rsidP="00CD15D7">
      <w:pPr>
        <w:pStyle w:val="NoSpacing"/>
        <w:rPr>
          <w:rFonts w:ascii="Arial Black" w:hAnsi="Arial Black"/>
          <w:sz w:val="24"/>
          <w:szCs w:val="24"/>
        </w:rPr>
      </w:pPr>
      <w:r>
        <w:rPr>
          <w:rFonts w:ascii="Arial Black" w:hAnsi="Arial Black"/>
          <w:sz w:val="24"/>
          <w:szCs w:val="24"/>
        </w:rPr>
        <w:t>15-5</w:t>
      </w:r>
      <w:r w:rsidR="00DE3C21">
        <w:rPr>
          <w:rFonts w:ascii="Arial Black" w:hAnsi="Arial Black"/>
          <w:sz w:val="24"/>
          <w:szCs w:val="24"/>
        </w:rPr>
        <w:t>7</w:t>
      </w:r>
      <w:r>
        <w:rPr>
          <w:rFonts w:ascii="Arial Black" w:hAnsi="Arial Black"/>
          <w:sz w:val="24"/>
          <w:szCs w:val="24"/>
        </w:rPr>
        <w:t xml:space="preserve"> [also filed, Chap. 6]</w:t>
      </w:r>
    </w:p>
    <w:p w14:paraId="45389131" w14:textId="77777777" w:rsidR="00CD15D7" w:rsidRDefault="00CD15D7" w:rsidP="004D70DC">
      <w:pPr>
        <w:pStyle w:val="NoSpacing"/>
        <w:rPr>
          <w:rFonts w:ascii="Arial Black" w:hAnsi="Arial Black"/>
          <w:sz w:val="24"/>
          <w:szCs w:val="24"/>
        </w:rPr>
      </w:pPr>
    </w:p>
    <w:p w14:paraId="033813AE" w14:textId="77777777" w:rsidR="00B07B33" w:rsidRDefault="00B07B33" w:rsidP="00B07B33">
      <w:pPr>
        <w:pStyle w:val="NoSpacing"/>
        <w:rPr>
          <w:rFonts w:ascii="Arial Black" w:hAnsi="Arial Black"/>
          <w:sz w:val="28"/>
          <w:szCs w:val="28"/>
        </w:rPr>
      </w:pPr>
      <w:r>
        <w:rPr>
          <w:rFonts w:ascii="Arial Black" w:hAnsi="Arial Black"/>
          <w:sz w:val="28"/>
          <w:szCs w:val="28"/>
        </w:rPr>
        <w:t xml:space="preserve">FL: HEART DISEASE – SVT / AT – WORK COMP CONDITION </w:t>
      </w:r>
    </w:p>
    <w:p w14:paraId="1957B3AF" w14:textId="77777777" w:rsidR="00B07B33" w:rsidRDefault="00B07B33" w:rsidP="00B07B33">
      <w:pPr>
        <w:pStyle w:val="NoSpacing"/>
      </w:pPr>
    </w:p>
    <w:p w14:paraId="54950044" w14:textId="77777777" w:rsidR="00B07B33" w:rsidRDefault="00B07B33" w:rsidP="00B07B33">
      <w:pPr>
        <w:pStyle w:val="NoSpacing"/>
      </w:pPr>
      <w:r>
        <w:t xml:space="preserve">On September 23, 2026, in </w:t>
      </w:r>
      <w:r w:rsidRPr="00EB42BA">
        <w:rPr>
          <w:u w:val="single"/>
        </w:rPr>
        <w:t>Village Center Community Development District, et al. v. Chelsea Illek</w:t>
      </w:r>
      <w:r>
        <w:t xml:space="preserve">, the </w:t>
      </w:r>
      <w:r w:rsidRPr="00E34960">
        <w:t>District Court of Appeal of Florida, First District</w:t>
      </w:r>
      <w:r>
        <w:t xml:space="preserve"> held (3 to 0) that the firefighter was properly determined to be covered with workers compensation; two Independent Medical Examination cardiologists concluded that the electrical issues are “heart disease” issues under the 1965 Florida statutory presumption law for firefighters. “</w:t>
      </w:r>
      <w:r w:rsidRPr="00471A6B">
        <w:t>Because the only competent medical evidence is that</w:t>
      </w:r>
      <w:r>
        <w:t xml:space="preserve"> </w:t>
      </w:r>
      <w:r w:rsidRPr="00471A6B">
        <w:t xml:space="preserve">Claimant’s arrythmia-related condition constitutes </w:t>
      </w:r>
      <w:r>
        <w:t>‘</w:t>
      </w:r>
      <w:r w:rsidRPr="00471A6B">
        <w:t>heart</w:t>
      </w:r>
      <w:r>
        <w:t xml:space="preserve"> </w:t>
      </w:r>
      <w:r w:rsidRPr="00471A6B">
        <w:t>disease,</w:t>
      </w:r>
      <w:r>
        <w:t>’</w:t>
      </w:r>
      <w:r w:rsidRPr="00471A6B">
        <w:t xml:space="preserve"> we find no basis to reverse the final compensation order</w:t>
      </w:r>
      <w:r>
        <w:t>.”</w:t>
      </w:r>
    </w:p>
    <w:p w14:paraId="73380A51" w14:textId="77777777" w:rsidR="00B07B33" w:rsidRDefault="00B07B33" w:rsidP="00B07B33">
      <w:pPr>
        <w:pStyle w:val="NoSpacing"/>
      </w:pPr>
      <w:r>
        <w:t xml:space="preserve"> </w:t>
      </w:r>
      <w:hyperlink r:id="rId2492" w:history="1">
        <w:r w:rsidRPr="00984BA5">
          <w:rPr>
            <w:rStyle w:val="Hyperlink"/>
          </w:rPr>
          <w:t>https://flcourts-media.flcourts.gov/content/download/2495602/opinion/Opinion_2025-3075.pdf</w:t>
        </w:r>
      </w:hyperlink>
      <w:r>
        <w:t xml:space="preserve"> </w:t>
      </w:r>
    </w:p>
    <w:p w14:paraId="47F0A88E" w14:textId="77777777" w:rsidR="00B07B33" w:rsidRDefault="00B07B33" w:rsidP="00B07B33"/>
    <w:p w14:paraId="767F3569" w14:textId="77777777" w:rsidR="00B07B33" w:rsidRPr="00A12656" w:rsidRDefault="00B07B33" w:rsidP="00B07B33">
      <w:r>
        <w:t xml:space="preserve">THE COURT WROTE: </w:t>
      </w:r>
    </w:p>
    <w:p w14:paraId="0930F795" w14:textId="77777777" w:rsidR="00B07B33" w:rsidRDefault="00B07B33" w:rsidP="00B07B33">
      <w:pPr>
        <w:pStyle w:val="NoSpacing"/>
        <w:ind w:left="720"/>
      </w:pPr>
      <w:r>
        <w:t>“Claimant joined the fire department in the Villages Community Development Districts as a full-time firefighter in 2014. In the run-up to her employment Claimant underwent a pre-employment physical that showed no evidence of heart disease. But in the Fall of 2023, Claimant suffered heart issues while transporting a patient at work, including chest pain, shortness of breath, and a racing heart. She was placed on a monitor at the hospital and told she was in SVT—an abnormal heart rhythm emanating from the heart’s upper chambers. The hospital gave Claimant fluids and discharged her. She continued seeing a cardiologist and when her condition persisted, she underwent an ablation of heart tissue to address the SVT in March 2024. Claimant missed some work following the ablation and subsequently transitioned to light duty and quality assurance roles…. Claimant had a second heart ablation procedure in August 2025, because of ongoing symptoms and persistent arrhythmias.</w:t>
      </w:r>
    </w:p>
    <w:p w14:paraId="3696BB1D" w14:textId="77777777" w:rsidR="00B07B33" w:rsidRDefault="00B07B33" w:rsidP="00B07B33">
      <w:pPr>
        <w:pStyle w:val="NoSpacing"/>
        <w:ind w:left="720"/>
      </w:pPr>
    </w:p>
    <w:p w14:paraId="4F9512EA" w14:textId="77777777" w:rsidR="00B07B33" w:rsidRDefault="00B07B33" w:rsidP="00B07B33">
      <w:pPr>
        <w:pStyle w:val="NoSpacing"/>
        <w:ind w:left="720"/>
      </w:pPr>
      <w:r>
        <w:t>***</w:t>
      </w:r>
    </w:p>
    <w:p w14:paraId="25036A82" w14:textId="77777777" w:rsidR="00B07B33" w:rsidRDefault="00B07B33" w:rsidP="00B07B33">
      <w:pPr>
        <w:pStyle w:val="NoSpacing"/>
        <w:ind w:left="720"/>
      </w:pPr>
      <w:r>
        <w:t>In subsequent workers’ compensation litigation between the parties before a Judge of Compensation Claims, the E-C [</w:t>
      </w:r>
      <w:r w:rsidRPr="00A11CFA">
        <w:t>Employer-Carrier</w:t>
      </w:r>
      <w:r>
        <w:t xml:space="preserve">] argued that SVT and AT are not covered conditions under § 112.18(1), because they fail to meet </w:t>
      </w:r>
      <w:r w:rsidRPr="00047285">
        <w:rPr>
          <w:i/>
          <w:iCs/>
        </w:rPr>
        <w:t>Harlem’s</w:t>
      </w:r>
      <w:r>
        <w:t xml:space="preserve"> definition of ‘heart disease.’ … </w:t>
      </w:r>
      <w:r w:rsidRPr="00471A6B">
        <w:t>The trouble with this argument is that both parties’ IME doctors</w:t>
      </w:r>
      <w:r>
        <w:t xml:space="preserve"> </w:t>
      </w:r>
      <w:r w:rsidRPr="00471A6B">
        <w:t xml:space="preserve">testified to that Claimant’s condition is considered </w:t>
      </w:r>
      <w:r>
        <w:t>‘</w:t>
      </w:r>
      <w:r w:rsidRPr="00471A6B">
        <w:t>heart disease,</w:t>
      </w:r>
      <w:r>
        <w:t xml:space="preserve">’ </w:t>
      </w:r>
      <w:r w:rsidRPr="00471A6B">
        <w:t>and has been so considered since 1965, when the Legislature first</w:t>
      </w:r>
      <w:r>
        <w:t xml:space="preserve"> </w:t>
      </w:r>
      <w:r w:rsidRPr="00471A6B">
        <w:t>enacted the heart-lung statute. No medical evidence rebuts this</w:t>
      </w:r>
      <w:r>
        <w:t xml:space="preserve"> </w:t>
      </w:r>
      <w:r w:rsidRPr="00471A6B">
        <w:t>testimony. Because the only competent medical evidence is that</w:t>
      </w:r>
      <w:r>
        <w:t xml:space="preserve"> </w:t>
      </w:r>
      <w:r w:rsidRPr="00471A6B">
        <w:t xml:space="preserve">Claimant’s arrythmia-related condition constitutes </w:t>
      </w:r>
      <w:r>
        <w:t>‘</w:t>
      </w:r>
      <w:r w:rsidRPr="00471A6B">
        <w:t>heart</w:t>
      </w:r>
      <w:r>
        <w:t xml:space="preserve"> </w:t>
      </w:r>
      <w:r w:rsidRPr="00471A6B">
        <w:t>disease,</w:t>
      </w:r>
      <w:r>
        <w:t>’</w:t>
      </w:r>
      <w:r w:rsidRPr="00471A6B">
        <w:t xml:space="preserve"> we find no basis to reverse the final compensation order</w:t>
      </w:r>
      <w:r>
        <w:t>.”</w:t>
      </w:r>
    </w:p>
    <w:p w14:paraId="0F19CC5B" w14:textId="77777777" w:rsidR="00B07B33" w:rsidRDefault="00B07B33" w:rsidP="00B07B33">
      <w:pPr>
        <w:pStyle w:val="NoSpacing"/>
        <w:ind w:left="720"/>
      </w:pPr>
    </w:p>
    <w:p w14:paraId="6BC16B57" w14:textId="77777777" w:rsidR="00B07B33" w:rsidRDefault="00B07B33" w:rsidP="00B07B33">
      <w:pPr>
        <w:pStyle w:val="NoSpacing"/>
        <w:rPr>
          <w:b/>
          <w:bCs/>
        </w:rPr>
      </w:pPr>
      <w:r>
        <w:rPr>
          <w:b/>
        </w:rPr>
        <w:t xml:space="preserve">Legal lesson learned: When both IMEs find that firefighter has “heart disease” under state statutory presumption law, the Courts will uphold that finding. </w:t>
      </w:r>
    </w:p>
    <w:p w14:paraId="763FCFDB" w14:textId="77777777" w:rsidR="00B07B33" w:rsidRDefault="00B07B33" w:rsidP="00B07B33">
      <w:pPr>
        <w:pStyle w:val="NoSpacing"/>
        <w:rPr>
          <w:b/>
          <w:bCs/>
        </w:rPr>
      </w:pPr>
    </w:p>
    <w:p w14:paraId="0915EA17" w14:textId="77777777" w:rsidR="00B07B33" w:rsidRDefault="00B07B33" w:rsidP="00B07B33">
      <w:pPr>
        <w:pStyle w:val="NoSpacing"/>
        <w:ind w:left="720"/>
      </w:pPr>
      <w:r w:rsidRPr="0091682C">
        <w:t xml:space="preserve">Note: In the 2023 decision in </w:t>
      </w:r>
      <w:r w:rsidRPr="00C56D5E">
        <w:rPr>
          <w:i/>
          <w:iCs/>
        </w:rPr>
        <w:t>Harlem</w:t>
      </w:r>
      <w:r w:rsidRPr="0091682C">
        <w:t xml:space="preserve"> case, the firefighter suffered from a thoracic aortic aneurysm</w:t>
      </w:r>
      <w:r>
        <w:t xml:space="preserve"> (weakening of the aorta)</w:t>
      </w:r>
      <w:r w:rsidRPr="0091682C">
        <w:t>, the Court held his condition did not meet definition of “heart disease”</w:t>
      </w:r>
      <w:r>
        <w:t xml:space="preserve"> (such as clogged arteries). </w:t>
      </w:r>
      <w:r w:rsidRPr="001A2463">
        <w:t xml:space="preserve"> </w:t>
      </w:r>
      <w:hyperlink r:id="rId2493" w:history="1">
        <w:r w:rsidRPr="009231AC">
          <w:rPr>
            <w:rStyle w:val="Hyperlink"/>
          </w:rPr>
          <w:t>https://caselaw.findlaw.com/court/fl-district-court-of-appeal/114825250.html</w:t>
        </w:r>
      </w:hyperlink>
      <w:r>
        <w:t xml:space="preserve"> </w:t>
      </w:r>
    </w:p>
    <w:p w14:paraId="28C22CA1" w14:textId="77777777" w:rsidR="00B07B33" w:rsidRDefault="00B07B33" w:rsidP="00B07B33">
      <w:pPr>
        <w:pStyle w:val="NoSpacing"/>
        <w:ind w:left="720"/>
      </w:pPr>
    </w:p>
    <w:p w14:paraId="3C36DFC6" w14:textId="77777777" w:rsidR="00B07B33" w:rsidRDefault="00B07B33" w:rsidP="00B07B33">
      <w:pPr>
        <w:pStyle w:val="NoSpacing"/>
        <w:ind w:left="720"/>
        <w:rPr>
          <w:b/>
          <w:bCs/>
        </w:rPr>
      </w:pPr>
      <w:r w:rsidRPr="0091682C">
        <w:t xml:space="preserve"> </w:t>
      </w:r>
      <w:r>
        <w:t>“</w:t>
      </w:r>
      <w:r w:rsidRPr="0091682C">
        <w:t xml:space="preserve">Coming back to this case, we apply the term </w:t>
      </w:r>
      <w:r>
        <w:t>‘</w:t>
      </w:r>
      <w:r w:rsidRPr="0091682C">
        <w:t>heart disease</w:t>
      </w:r>
      <w:r>
        <w:t xml:space="preserve">’ </w:t>
      </w:r>
      <w:r w:rsidRPr="0091682C">
        <w:t xml:space="preserve">based on its original meaning. Basically, it is the type of disease affecting and weakening the heart muscle through a degradation of the vessels or the valves, and which was prevalent as major cause of death in the United States in the 1950s and 1960s. The JCC's determination that Harlem's aortic aneurysm was </w:t>
      </w:r>
      <w:r>
        <w:t>‘</w:t>
      </w:r>
      <w:r w:rsidRPr="0091682C">
        <w:t>heart disease,</w:t>
      </w:r>
      <w:r>
        <w:t>’</w:t>
      </w:r>
      <w:r w:rsidRPr="0091682C">
        <w:t xml:space="preserve"> such that the presumption contained in section 112.18 could apply, conflicts with what that term assuredly meant at the time the statute originally was enacted</w:t>
      </w:r>
      <w:r w:rsidRPr="0091682C">
        <w:rPr>
          <w:b/>
        </w:rPr>
        <w:t>.</w:t>
      </w:r>
      <w:r>
        <w:rPr>
          <w:b/>
        </w:rPr>
        <w:t>”</w:t>
      </w:r>
    </w:p>
    <w:p w14:paraId="774ABD18" w14:textId="77777777" w:rsidR="00DE3C21" w:rsidRDefault="00DE3C21" w:rsidP="00DE3C21">
      <w:pPr>
        <w:pStyle w:val="NoSpacing"/>
        <w:rPr>
          <w:rFonts w:ascii="Arial Black" w:hAnsi="Arial Black"/>
          <w:sz w:val="24"/>
          <w:szCs w:val="24"/>
        </w:rPr>
      </w:pPr>
    </w:p>
    <w:p w14:paraId="41B6C434" w14:textId="77777777" w:rsidR="00DE3C21" w:rsidRDefault="00DE3C21" w:rsidP="00DE3C21">
      <w:pPr>
        <w:pStyle w:val="NoSpacing"/>
        <w:rPr>
          <w:rFonts w:ascii="Arial Black" w:hAnsi="Arial Black"/>
          <w:sz w:val="24"/>
          <w:szCs w:val="24"/>
        </w:rPr>
      </w:pPr>
    </w:p>
    <w:p w14:paraId="7F36117A" w14:textId="094546B8" w:rsidR="00DE3C21" w:rsidRDefault="00DE3C21" w:rsidP="00DE3C21">
      <w:pPr>
        <w:pStyle w:val="NoSpacing"/>
        <w:rPr>
          <w:rFonts w:ascii="Arial Black" w:hAnsi="Arial Black"/>
          <w:sz w:val="24"/>
          <w:szCs w:val="24"/>
        </w:rPr>
      </w:pPr>
      <w:r>
        <w:rPr>
          <w:rFonts w:ascii="Arial Black" w:hAnsi="Arial Black"/>
          <w:sz w:val="24"/>
          <w:szCs w:val="24"/>
        </w:rPr>
        <w:t>15-5</w:t>
      </w:r>
      <w:r>
        <w:rPr>
          <w:rFonts w:ascii="Arial Black" w:hAnsi="Arial Black"/>
          <w:sz w:val="24"/>
          <w:szCs w:val="24"/>
        </w:rPr>
        <w:t>6</w:t>
      </w:r>
    </w:p>
    <w:p w14:paraId="20338D1E" w14:textId="77777777" w:rsidR="00B07B33" w:rsidRDefault="00B07B33" w:rsidP="00B07B33">
      <w:pPr>
        <w:pStyle w:val="NoSpacing"/>
        <w:rPr>
          <w:rFonts w:ascii="Arial Black" w:hAnsi="Arial Black"/>
          <w:sz w:val="28"/>
          <w:szCs w:val="28"/>
        </w:rPr>
      </w:pPr>
    </w:p>
    <w:p w14:paraId="653B003A" w14:textId="77777777" w:rsidR="00B07B33" w:rsidRDefault="00B07B33" w:rsidP="004D70DC">
      <w:pPr>
        <w:pStyle w:val="NoSpacing"/>
        <w:rPr>
          <w:rFonts w:ascii="Arial Black" w:hAnsi="Arial Black"/>
          <w:sz w:val="24"/>
          <w:szCs w:val="24"/>
        </w:rPr>
      </w:pPr>
    </w:p>
    <w:p w14:paraId="0DAC9F9F" w14:textId="77777777" w:rsidR="009B3C56" w:rsidRDefault="009B3C56" w:rsidP="009B3C56">
      <w:pPr>
        <w:rPr>
          <w:rFonts w:ascii="Arial Black" w:hAnsi="Arial Black"/>
          <w:b/>
          <w:sz w:val="28"/>
          <w:szCs w:val="28"/>
        </w:rPr>
      </w:pPr>
      <w:r>
        <w:rPr>
          <w:rFonts w:ascii="Arial Black" w:hAnsi="Arial Black"/>
          <w:b/>
          <w:sz w:val="28"/>
          <w:szCs w:val="28"/>
        </w:rPr>
        <w:t>TN: PTSD – NO LINE-OF-DUTY DISAB – ACCIDENT / OLD LAW</w:t>
      </w:r>
    </w:p>
    <w:p w14:paraId="3274528E" w14:textId="77777777" w:rsidR="009B3C56" w:rsidRDefault="009B3C56" w:rsidP="009B3C56">
      <w:pPr>
        <w:rPr>
          <w:b/>
        </w:rPr>
      </w:pPr>
      <w:r>
        <w:t xml:space="preserve">On September 8, 2026, in </w:t>
      </w:r>
      <w:r w:rsidRPr="00C8102B">
        <w:rPr>
          <w:u w:val="single"/>
        </w:rPr>
        <w:t>Ahmad Aysheh v. City of Memphis</w:t>
      </w:r>
      <w:r>
        <w:t xml:space="preserve">, the </w:t>
      </w:r>
      <w:r w:rsidRPr="00C8102B">
        <w:t>Court of Appeals of Tennessee, Jackson</w:t>
      </w:r>
      <w:r>
        <w:t xml:space="preserve"> held (3 to 0) that the City’s Pension Board properly denied the firefighter a line-of-duty disability retirement.  </w:t>
      </w:r>
      <w:r w:rsidRPr="00BE08AD">
        <w:t xml:space="preserve">On August 21, 2021, Petitioner applied for </w:t>
      </w:r>
      <w:r>
        <w:t xml:space="preserve">line-of-duty </w:t>
      </w:r>
      <w:r w:rsidRPr="00BE08AD">
        <w:t>disability retirement from the City of Memphis Retirement System</w:t>
      </w:r>
      <w:r>
        <w:t>; unfortunately for him, the new statutory presumption law went into effect January 1, 2024, and made retroactive effective July 1, 2025. “</w:t>
      </w:r>
      <w:r w:rsidRPr="00DD7C2A">
        <w:t>On February 1, 2022, Petitioner received another letter from Ms. Lucas informing him that his application for a line-of-duty disability retirement had been denied. Ms. Lucas informed Petitioner that to qualify for a line-of-duty disability retirement,</w:t>
      </w:r>
      <w:r>
        <w:t xml:space="preserve"> ‘</w:t>
      </w:r>
      <w:r w:rsidRPr="00DD7C2A">
        <w:t xml:space="preserve">the </w:t>
      </w:r>
      <w:r>
        <w:t xml:space="preserve"> d</w:t>
      </w:r>
      <w:r w:rsidRPr="00DD7C2A">
        <w:t>isability must have arisen as a direct and proximate result of an accident sustained by [Petitioner], at a definite time and place, while performing [his] job for [Respondent].</w:t>
      </w:r>
      <w:r>
        <w:t>’”</w:t>
      </w:r>
      <w:r w:rsidRPr="009B5D60">
        <w:t xml:space="preserve"> </w:t>
      </w:r>
      <w:hyperlink r:id="rId2494" w:history="1">
        <w:r w:rsidRPr="00782F3B">
          <w:rPr>
            <w:rStyle w:val="Hyperlink"/>
            <w:b/>
          </w:rPr>
          <w:t>https://cases.justia.com/tennessee/court-of-appeals/2026-w2025-01112-coa-r3-cv.pdf?ts=1789172645</w:t>
        </w:r>
      </w:hyperlink>
      <w:r>
        <w:rPr>
          <w:b/>
        </w:rPr>
        <w:t xml:space="preserve"> </w:t>
      </w:r>
    </w:p>
    <w:p w14:paraId="338FE97A" w14:textId="77777777" w:rsidR="009B3C56" w:rsidRDefault="009B3C56" w:rsidP="009B3C56">
      <w:pPr>
        <w:rPr>
          <w:bCs/>
        </w:rPr>
      </w:pPr>
      <w:r>
        <w:t xml:space="preserve">THE COURT WROTE: </w:t>
      </w:r>
    </w:p>
    <w:p w14:paraId="32FCC9A2" w14:textId="77777777" w:rsidR="009B3C56" w:rsidRDefault="009B3C56" w:rsidP="009B3C56">
      <w:pPr>
        <w:ind w:left="720"/>
      </w:pPr>
      <w:r>
        <w:t>“</w:t>
      </w:r>
      <w:r w:rsidRPr="00C032E8">
        <w:t>Here, the Pension Board's denial was supported by substantial and material evidence that Petitioner's PTSD was the result of repetitive mental trauma rather than an accident that occurred at some definite time and place. The case manager's summary listed Petitioner's date of injury as 2018. Petitioner reported to Dr. Caruso that he began having PTSD symptoms in late 2019. Dr. Caruso's report stated that Petitioner first sought treatment for PTSD in February 2021. Dr. Al-Taher's report listed November 2020 as Petitioner's date of injury. Dr. Al-Taher's report also stated that Petitioner began experiencing PTSD symptoms as early as March 2019.</w:t>
      </w:r>
    </w:p>
    <w:p w14:paraId="26D01D4D" w14:textId="77777777" w:rsidR="009B3C56" w:rsidRDefault="009B3C56" w:rsidP="009B3C56">
      <w:pPr>
        <w:ind w:left="720"/>
      </w:pPr>
      <w:r>
        <w:t>***</w:t>
      </w:r>
    </w:p>
    <w:p w14:paraId="1900D776" w14:textId="77777777" w:rsidR="009B3C56" w:rsidRDefault="009B3C56" w:rsidP="009B3C56">
      <w:pPr>
        <w:ind w:left="720"/>
      </w:pPr>
      <w:r w:rsidRPr="00C07362">
        <w:t>Petitioner contends that a recently enacted statutory presumption should be retroactively applied to his case. The statute creates a rebuttable presumption that PTSD caused while working as a firefighter was incurred in the line of duty</w:t>
      </w:r>
      <w:r>
        <w:t xml:space="preserve">…. </w:t>
      </w:r>
      <w:r w:rsidRPr="0006721A">
        <w:t>While his petition was pending, the statute went into effect on January 1, 2024. His petition was pending in chancery court until July 2025. At no point did Petitioner raise with the chancery court the issue of the statute or its retroactive application to his petition. Accordingly, Petitioner has waived our review of this issue.</w:t>
      </w:r>
      <w:r>
        <w:t>”</w:t>
      </w:r>
    </w:p>
    <w:p w14:paraId="50567E17" w14:textId="77777777" w:rsidR="009B3C56" w:rsidRPr="00444E75" w:rsidRDefault="009B3C56" w:rsidP="009B3C56">
      <w:pPr>
        <w:rPr>
          <w:b/>
        </w:rPr>
      </w:pPr>
      <w:r>
        <w:rPr>
          <w:b/>
        </w:rPr>
        <w:t xml:space="preserve">Legal lesson learned: Under the new TN statute, a specific accident is no longer required to be qualified for line-of-duty disability.  </w:t>
      </w:r>
    </w:p>
    <w:p w14:paraId="21302959" w14:textId="77777777" w:rsidR="009B3C56" w:rsidRDefault="009B3C56" w:rsidP="009B3C56">
      <w:pPr>
        <w:pStyle w:val="NoSpacing"/>
        <w:ind w:left="720"/>
      </w:pPr>
      <w:r>
        <w:t>Note: “</w:t>
      </w:r>
      <w:r w:rsidRPr="002B3199">
        <w:t xml:space="preserve">The James </w:t>
      </w:r>
      <w:r>
        <w:t>‘</w:t>
      </w:r>
      <w:r w:rsidRPr="002B3199">
        <w:t>Dustin</w:t>
      </w:r>
      <w:r>
        <w:t>’</w:t>
      </w:r>
      <w:r w:rsidRPr="002B3199">
        <w:t xml:space="preserve"> Samples Act creates a rebuttable presumption that a firefighter's PTSD was incurred in the line of duty and </w:t>
      </w:r>
      <w:r>
        <w:t>‘</w:t>
      </w:r>
      <w:r w:rsidRPr="002B3199">
        <w:t>is compensable under the Workers' Compensation Law.</w:t>
      </w:r>
      <w:r>
        <w:t>’</w:t>
      </w:r>
      <w:r w:rsidRPr="002B3199">
        <w:t xml:space="preserve"> Tenn. Code Ann. § 7-51-206(c)(1) (Supp. 2025). The presumption applies when a firefighter is diagnosed with PTSD by a mental health professional "as a result of responding to one [] or more incidents" that involve one of four statutory factors. </w:t>
      </w:r>
      <w:r w:rsidRPr="002B3199">
        <w:rPr>
          <w:i/>
          <w:iCs/>
        </w:rPr>
        <w:t>Id.</w:t>
      </w:r>
      <w:r w:rsidRPr="002B3199">
        <w:t xml:space="preserve"> § 7-51-206(c)(1)-(2). The statute initially went into effect on January 1, 2024</w:t>
      </w:r>
      <w:r>
        <w:t>.</w:t>
      </w:r>
    </w:p>
    <w:p w14:paraId="4FAF11E0" w14:textId="77777777" w:rsidR="009B3C56" w:rsidRDefault="009B3C56" w:rsidP="009B3C56">
      <w:pPr>
        <w:pStyle w:val="NoSpacing"/>
        <w:ind w:left="720"/>
      </w:pPr>
    </w:p>
    <w:p w14:paraId="0A4D905A" w14:textId="77777777" w:rsidR="009B3C56" w:rsidRPr="00D24D8F" w:rsidRDefault="009B3C56" w:rsidP="009B3C56">
      <w:pPr>
        <w:ind w:left="720"/>
        <w:rPr>
          <w:bCs/>
        </w:rPr>
      </w:pPr>
      <w:r w:rsidRPr="00D24D8F">
        <w:t>The Act was amended, effective July 1, 2025, to also apply the rebuttable presumption to law enforcement officers and emergency medical responders. 2025 Tenn. Pub. Acts c. 480.</w:t>
      </w:r>
    </w:p>
    <w:p w14:paraId="5CA7753B" w14:textId="77777777" w:rsidR="009B3C56" w:rsidRPr="00F910E0" w:rsidRDefault="009B3C56" w:rsidP="009B3C56">
      <w:pPr>
        <w:pStyle w:val="NoSpacing"/>
        <w:ind w:left="720"/>
      </w:pPr>
      <w:r>
        <w:t>The Act is named after Captain Dustin Samples, Cleveland, TN Fire Department.</w:t>
      </w:r>
    </w:p>
    <w:p w14:paraId="1F493C8A" w14:textId="77777777" w:rsidR="009B3C56" w:rsidRDefault="009B3C56" w:rsidP="009B3C56">
      <w:pPr>
        <w:pStyle w:val="NoSpacing"/>
        <w:ind w:left="720"/>
      </w:pPr>
      <w:r>
        <w:t xml:space="preserve"> “</w:t>
      </w:r>
      <w:r w:rsidRPr="00AE16A8">
        <w:t xml:space="preserve">It is with deepest regret and sorrow to report the line-of-duty death of Captain Dustin Samples of IAFF Local 3748 - Cleveland, Tennessee. Brother Samples, 41, passed away on Friday, December 11, </w:t>
      </w:r>
      <w:proofErr w:type="gramStart"/>
      <w:r w:rsidRPr="00AE16A8">
        <w:t>2020</w:t>
      </w:r>
      <w:proofErr w:type="gramEnd"/>
      <w:r w:rsidRPr="00AE16A8">
        <w:t xml:space="preserve"> from suicide related to a posttraumatic stress-related illness.</w:t>
      </w:r>
      <w:r>
        <w:t xml:space="preserve">”  </w:t>
      </w:r>
      <w:hyperlink r:id="rId2495" w:history="1">
        <w:r w:rsidRPr="00952A63">
          <w:rPr>
            <w:rStyle w:val="Hyperlink"/>
          </w:rPr>
          <w:t>https://lodd.iaff.org/LODDProfile?ID=1057637</w:t>
        </w:r>
      </w:hyperlink>
      <w:r>
        <w:t xml:space="preserve"> </w:t>
      </w:r>
    </w:p>
    <w:p w14:paraId="57A44762" w14:textId="77777777" w:rsidR="009B3C56" w:rsidRDefault="009B3C56" w:rsidP="009B3C56">
      <w:pPr>
        <w:pStyle w:val="NoSpacing"/>
      </w:pPr>
    </w:p>
    <w:p w14:paraId="54535EDB" w14:textId="77777777" w:rsidR="009B3C56" w:rsidRDefault="009B3C56" w:rsidP="009B3C56">
      <w:pPr>
        <w:pStyle w:val="NoSpacing"/>
      </w:pPr>
    </w:p>
    <w:p w14:paraId="1D6AD2C0" w14:textId="77777777" w:rsidR="009B3C56" w:rsidRDefault="009B3C56" w:rsidP="009B3C56">
      <w:pPr>
        <w:pStyle w:val="NoSpacing"/>
      </w:pPr>
    </w:p>
    <w:p w14:paraId="2F58F83D" w14:textId="77777777" w:rsidR="00B07B33" w:rsidRDefault="00B07B33" w:rsidP="004D70DC">
      <w:pPr>
        <w:pStyle w:val="NoSpacing"/>
        <w:rPr>
          <w:rFonts w:ascii="Arial Black" w:hAnsi="Arial Black"/>
          <w:sz w:val="24"/>
          <w:szCs w:val="24"/>
        </w:rPr>
      </w:pPr>
    </w:p>
    <w:p w14:paraId="437670F8" w14:textId="77777777" w:rsidR="009B3C56" w:rsidRDefault="009B3C56" w:rsidP="004D70DC">
      <w:pPr>
        <w:pStyle w:val="NoSpacing"/>
        <w:rPr>
          <w:rFonts w:ascii="Arial Black" w:hAnsi="Arial Black"/>
          <w:sz w:val="24"/>
          <w:szCs w:val="24"/>
        </w:rPr>
      </w:pPr>
    </w:p>
    <w:p w14:paraId="63BA8FA1" w14:textId="77777777" w:rsidR="009B3C56" w:rsidRDefault="009B3C56" w:rsidP="004D70DC">
      <w:pPr>
        <w:pStyle w:val="NoSpacing"/>
        <w:rPr>
          <w:rFonts w:ascii="Arial Black" w:hAnsi="Arial Black"/>
          <w:sz w:val="24"/>
          <w:szCs w:val="24"/>
        </w:rPr>
      </w:pPr>
    </w:p>
    <w:p w14:paraId="31971FD3" w14:textId="77777777" w:rsidR="009B3C56" w:rsidRDefault="009B3C56" w:rsidP="004D70DC">
      <w:pPr>
        <w:pStyle w:val="NoSpacing"/>
        <w:rPr>
          <w:rFonts w:ascii="Arial Black" w:hAnsi="Arial Black"/>
          <w:sz w:val="24"/>
          <w:szCs w:val="24"/>
        </w:rPr>
      </w:pPr>
    </w:p>
    <w:p w14:paraId="6890636C" w14:textId="072500AA" w:rsidR="00A971EA" w:rsidRDefault="005611CE" w:rsidP="004D70DC">
      <w:pPr>
        <w:pStyle w:val="NoSpacing"/>
        <w:rPr>
          <w:rFonts w:ascii="Arial Black" w:hAnsi="Arial Black"/>
          <w:sz w:val="24"/>
          <w:szCs w:val="24"/>
        </w:rPr>
      </w:pPr>
      <w:r>
        <w:rPr>
          <w:rFonts w:ascii="Arial Black" w:hAnsi="Arial Black"/>
          <w:sz w:val="24"/>
          <w:szCs w:val="24"/>
        </w:rPr>
        <w:t>15-55</w:t>
      </w:r>
    </w:p>
    <w:p w14:paraId="5F930AF8" w14:textId="77777777" w:rsidR="005611CE" w:rsidRDefault="005611CE" w:rsidP="004D70DC">
      <w:pPr>
        <w:pStyle w:val="NoSpacing"/>
        <w:rPr>
          <w:rFonts w:ascii="Arial Black" w:hAnsi="Arial Black"/>
          <w:sz w:val="24"/>
          <w:szCs w:val="24"/>
        </w:rPr>
      </w:pPr>
    </w:p>
    <w:p w14:paraId="3753DEB9" w14:textId="77777777" w:rsidR="005611CE" w:rsidRPr="0012386E" w:rsidRDefault="005611CE" w:rsidP="005611CE">
      <w:pPr>
        <w:pStyle w:val="NoSpacing"/>
        <w:rPr>
          <w:rFonts w:ascii="Arial Black" w:hAnsi="Arial Black"/>
          <w:sz w:val="28"/>
          <w:szCs w:val="28"/>
        </w:rPr>
      </w:pPr>
      <w:r w:rsidRPr="0012386E">
        <w:rPr>
          <w:rFonts w:ascii="Arial Black" w:hAnsi="Arial Black"/>
          <w:sz w:val="28"/>
          <w:szCs w:val="28"/>
        </w:rPr>
        <w:t xml:space="preserve">TX: PTSD – </w:t>
      </w:r>
      <w:r>
        <w:rPr>
          <w:rFonts w:ascii="Arial Black" w:hAnsi="Arial Black"/>
          <w:sz w:val="28"/>
          <w:szCs w:val="28"/>
        </w:rPr>
        <w:t xml:space="preserve">EXPLOSION - </w:t>
      </w:r>
      <w:r w:rsidRPr="0012386E">
        <w:rPr>
          <w:rFonts w:ascii="Arial Black" w:hAnsi="Arial Black"/>
          <w:sz w:val="28"/>
          <w:szCs w:val="28"/>
        </w:rPr>
        <w:t>OSHA REPORTING REG. SET ASIDE</w:t>
      </w:r>
    </w:p>
    <w:p w14:paraId="27941F7F" w14:textId="77777777" w:rsidR="005611CE" w:rsidRPr="0012386E" w:rsidRDefault="005611CE" w:rsidP="005611CE">
      <w:pPr>
        <w:pStyle w:val="NoSpacing"/>
      </w:pPr>
    </w:p>
    <w:p w14:paraId="78891F21" w14:textId="77777777" w:rsidR="005611CE" w:rsidRPr="0012386E" w:rsidRDefault="005611CE" w:rsidP="005611CE">
      <w:pPr>
        <w:pStyle w:val="NoSpacing"/>
        <w:rPr>
          <w:bCs/>
        </w:rPr>
      </w:pPr>
      <w:r w:rsidRPr="0012386E">
        <w:t xml:space="preserve">On July 21, 2026, in </w:t>
      </w:r>
      <w:r w:rsidRPr="0012386E">
        <w:rPr>
          <w:u w:val="single"/>
        </w:rPr>
        <w:t xml:space="preserve">Exxon Mobil Corporation v. Occupational Safety </w:t>
      </w:r>
      <w:proofErr w:type="gramStart"/>
      <w:r w:rsidRPr="0012386E">
        <w:rPr>
          <w:u w:val="single"/>
        </w:rPr>
        <w:t>And</w:t>
      </w:r>
      <w:proofErr w:type="gramEnd"/>
      <w:r w:rsidRPr="0012386E">
        <w:rPr>
          <w:u w:val="single"/>
        </w:rPr>
        <w:t xml:space="preserve"> Health Review Commission</w:t>
      </w:r>
      <w:r w:rsidRPr="0012386E">
        <w:t xml:space="preserve">, the United States Court of Appeals for the Fifth Circuit (New Orleans) held (3 to 0) that Exxon properly did not report on OSHE 300 /301 forms that an employee suffered PTSD after helping firefighters turn off fuel valves after massive explosion, setting aside the $691 citation.  “OSHA exceeded its statutory authority in promulgating 29 C.F.R. § 1904.5(b)(2)(ix) to require employers to record employee-reported work-related mental illnesses.” </w:t>
      </w:r>
    </w:p>
    <w:p w14:paraId="3F7C2694" w14:textId="77777777" w:rsidR="005611CE" w:rsidRPr="0012386E" w:rsidRDefault="005611CE" w:rsidP="005611CE">
      <w:pPr>
        <w:pStyle w:val="NoSpacing"/>
        <w:rPr>
          <w:bCs/>
        </w:rPr>
      </w:pPr>
      <w:hyperlink r:id="rId2496" w:history="1">
        <w:r w:rsidRPr="0012386E">
          <w:rPr>
            <w:rStyle w:val="Hyperlink"/>
            <w:b/>
          </w:rPr>
          <w:t>https://cases.justia.com/federal/appellate-courts/ca5/25-60108/25-60108-2026-07-21.pdf?ts=1784680232</w:t>
        </w:r>
      </w:hyperlink>
      <w:r w:rsidRPr="0012386E">
        <w:t xml:space="preserve"> </w:t>
      </w:r>
    </w:p>
    <w:p w14:paraId="18E0E3B2" w14:textId="77777777" w:rsidR="005611CE" w:rsidRPr="0012386E" w:rsidRDefault="005611CE" w:rsidP="005611CE">
      <w:pPr>
        <w:pStyle w:val="NoSpacing"/>
        <w:rPr>
          <w:bCs/>
        </w:rPr>
      </w:pPr>
    </w:p>
    <w:p w14:paraId="068BD4AC" w14:textId="77777777" w:rsidR="005611CE" w:rsidRPr="0012386E" w:rsidRDefault="005611CE" w:rsidP="005611CE">
      <w:pPr>
        <w:pStyle w:val="NoSpacing"/>
        <w:rPr>
          <w:bCs/>
        </w:rPr>
      </w:pPr>
      <w:r w:rsidRPr="0012386E">
        <w:t xml:space="preserve">OSHA Regulation. “You are not required to record injuries and illnesses if . . . </w:t>
      </w:r>
    </w:p>
    <w:p w14:paraId="3D6A7605" w14:textId="77777777" w:rsidR="005611CE" w:rsidRPr="0012386E" w:rsidRDefault="005611CE" w:rsidP="005611CE">
      <w:pPr>
        <w:pStyle w:val="NoSpacing"/>
        <w:rPr>
          <w:bCs/>
        </w:rPr>
      </w:pPr>
      <w:r w:rsidRPr="0012386E">
        <w:t xml:space="preserve">(ix) The illness is a mental illness. Mental illness will not be considered work-related unless the employee voluntarily provides the employer with an opinion from a physician or other licensed health care professional with appropriate training and experience (psychiatrist, psychologist, psychiatric nurse practitioner, etc.) stating that the employee has a mental illness that is work-related.” </w:t>
      </w:r>
      <w:hyperlink r:id="rId2497" w:history="1">
        <w:r w:rsidRPr="0012386E">
          <w:rPr>
            <w:rStyle w:val="Hyperlink"/>
            <w:b/>
          </w:rPr>
          <w:t>https://www.customsmobile.com/regulations/expand/title29_chapterXVII_part1904_subpartC_section1904.5</w:t>
        </w:r>
      </w:hyperlink>
      <w:r w:rsidRPr="0012386E">
        <w:t xml:space="preserve"> </w:t>
      </w:r>
    </w:p>
    <w:p w14:paraId="383E65C0" w14:textId="77777777" w:rsidR="005611CE" w:rsidRPr="0012386E" w:rsidRDefault="005611CE" w:rsidP="005611CE">
      <w:pPr>
        <w:pStyle w:val="NoSpacing"/>
        <w:rPr>
          <w:bCs/>
        </w:rPr>
      </w:pPr>
    </w:p>
    <w:p w14:paraId="4CD2389D" w14:textId="77777777" w:rsidR="005611CE" w:rsidRPr="0012386E" w:rsidRDefault="005611CE" w:rsidP="005611CE">
      <w:pPr>
        <w:pStyle w:val="NoSpacing"/>
        <w:rPr>
          <w:bCs/>
        </w:rPr>
      </w:pPr>
    </w:p>
    <w:p w14:paraId="37D2ABEA" w14:textId="77777777" w:rsidR="005611CE" w:rsidRPr="0012386E" w:rsidRDefault="005611CE" w:rsidP="005611CE">
      <w:pPr>
        <w:pStyle w:val="NoSpacing"/>
        <w:rPr>
          <w:bCs/>
        </w:rPr>
      </w:pPr>
      <w:r w:rsidRPr="0012386E">
        <w:t>THE COURT WROTE:</w:t>
      </w:r>
    </w:p>
    <w:p w14:paraId="2819F16C" w14:textId="77777777" w:rsidR="005611CE" w:rsidRPr="0012386E" w:rsidRDefault="005611CE" w:rsidP="005611CE">
      <w:pPr>
        <w:pStyle w:val="NoSpacing"/>
        <w:rPr>
          <w:bCs/>
        </w:rPr>
      </w:pPr>
    </w:p>
    <w:p w14:paraId="064F85AB" w14:textId="77777777" w:rsidR="005611CE" w:rsidRPr="0012386E" w:rsidRDefault="005611CE" w:rsidP="005611CE">
      <w:pPr>
        <w:pStyle w:val="NoSpacing"/>
        <w:rPr>
          <w:bCs/>
        </w:rPr>
      </w:pPr>
      <w:r w:rsidRPr="0012386E">
        <w:t>“ExxonMobil (Exxon) operates a large petroleum refinery in Baytown, Texas. The facility contains ‘27 distinct units, including the hydro-desulfurization unit (HDU), which mixes hydrogen, sulfur, and naphtha.’ During repairs to the HDU in December 2021, one of its component pipes ruptured. The subsequent hydrocarbon release caused a large explosion and</w:t>
      </w:r>
    </w:p>
    <w:p w14:paraId="33C7A4E6" w14:textId="77777777" w:rsidR="005611CE" w:rsidRPr="0012386E" w:rsidRDefault="005611CE" w:rsidP="005611CE">
      <w:pPr>
        <w:pStyle w:val="NoSpacing"/>
        <w:rPr>
          <w:bCs/>
        </w:rPr>
      </w:pPr>
      <w:r w:rsidRPr="0012386E">
        <w:t>major fire, which burned for eight hours. Multiple workers who were working on the HDU at the time of the explosion were injured. A significant emergency response was required to evacuate the injured, combat the blaze, and shut off fuel to the HDU. The destruction caused by the incident took Exxon five months to remediate….  Employee 2 was an Exxon process technician1 who responded to the explosion and ensuing fire to assist emergency response efforts…. Once there, though not a member of the facility’s emergency response team, Employee 2 volunteered to enter the burning HDU alongside Exxon firefighters and guide them to several valves which needed to be closed to shut off fuel to the fire. The firefighters helped Employee 2 don firefighting gear, and they entered the HDU. Inside, Employee 2 led the firefighters to</w:t>
      </w:r>
    </w:p>
    <w:p w14:paraId="0D0DD2BD" w14:textId="77777777" w:rsidR="005611CE" w:rsidRPr="0012386E" w:rsidRDefault="005611CE" w:rsidP="005611CE">
      <w:pPr>
        <w:pStyle w:val="NoSpacing"/>
        <w:rPr>
          <w:bCs/>
        </w:rPr>
      </w:pPr>
      <w:r w:rsidRPr="0012386E">
        <w:t>multiple valves, which they closed before exiting the inferno. While Employee 2 was recovering from this harrowing ordeal in the back of an ambulance, the emergency team was told that there was still at least one bypass open and feeding the fire. Employee 2 was asked to suit back up and</w:t>
      </w:r>
    </w:p>
    <w:p w14:paraId="665A6590" w14:textId="77777777" w:rsidR="005611CE" w:rsidRPr="0012386E" w:rsidRDefault="005611CE" w:rsidP="005611CE">
      <w:pPr>
        <w:pStyle w:val="NoSpacing"/>
        <w:rPr>
          <w:bCs/>
        </w:rPr>
      </w:pPr>
      <w:proofErr w:type="gramStart"/>
      <w:r w:rsidRPr="0012386E">
        <w:t>again</w:t>
      </w:r>
      <w:proofErr w:type="gramEnd"/>
      <w:r w:rsidRPr="0012386E">
        <w:t xml:space="preserve"> accompany the firefighters into the burning HDU to ‘ensure no bypasses were open or valves were open or leaking.’ He did so and helped the firefighters close several more valves. After surviving this second hellish trip into the HDU, Employee 2 left the facility, though the fire would continue to burn for hours. </w:t>
      </w:r>
    </w:p>
    <w:p w14:paraId="34F73B67" w14:textId="77777777" w:rsidR="005611CE" w:rsidRPr="0012386E" w:rsidRDefault="005611CE" w:rsidP="005611CE">
      <w:pPr>
        <w:pStyle w:val="NoSpacing"/>
        <w:rPr>
          <w:bCs/>
        </w:rPr>
      </w:pPr>
    </w:p>
    <w:p w14:paraId="0BAE9C16" w14:textId="77777777" w:rsidR="005611CE" w:rsidRPr="0012386E" w:rsidRDefault="005611CE" w:rsidP="005611CE">
      <w:pPr>
        <w:pStyle w:val="NoSpacing"/>
        <w:rPr>
          <w:bCs/>
        </w:rPr>
      </w:pPr>
      <w:r w:rsidRPr="0012386E">
        <w:t>***</w:t>
      </w:r>
    </w:p>
    <w:p w14:paraId="44A6BE46" w14:textId="77777777" w:rsidR="005611CE" w:rsidRPr="0012386E" w:rsidRDefault="005611CE" w:rsidP="005611CE">
      <w:pPr>
        <w:pStyle w:val="NoSpacing"/>
        <w:rPr>
          <w:bCs/>
        </w:rPr>
      </w:pPr>
      <w:r w:rsidRPr="0012386E">
        <w:t xml:space="preserve">Based on </w:t>
      </w:r>
      <w:proofErr w:type="spellStart"/>
      <w:r w:rsidRPr="0012386E">
        <w:t>Joppich’s</w:t>
      </w:r>
      <w:proofErr w:type="spellEnd"/>
      <w:r w:rsidRPr="0012386E">
        <w:t xml:space="preserve"> opinion [Dr. Heather Joppich, psychiatrist], Exxon concluded that Employee 2 did not have a recordable work-related mental </w:t>
      </w:r>
      <w:proofErr w:type="spellStart"/>
      <w:r w:rsidRPr="0012386E">
        <w:t>illness.The</w:t>
      </w:r>
      <w:proofErr w:type="spellEnd"/>
      <w:r w:rsidRPr="0012386E">
        <w:t xml:space="preserve"> union representing Exxon’s Baytown employees informed OSHA of Exxon’s decision. Following an investigation, OSHA issued a</w:t>
      </w:r>
    </w:p>
    <w:p w14:paraId="4BDE6BCE" w14:textId="77777777" w:rsidR="005611CE" w:rsidRPr="0012386E" w:rsidRDefault="005611CE" w:rsidP="005611CE">
      <w:pPr>
        <w:pStyle w:val="NoSpacing"/>
        <w:rPr>
          <w:bCs/>
        </w:rPr>
      </w:pPr>
      <w:r w:rsidRPr="0012386E">
        <w:t xml:space="preserve">Citation and Notification of Penalty to Exxon in June 2022. The citation ($691) alleged an ‘other-than-serious </w:t>
      </w:r>
      <w:r>
        <w:t>‘ v</w:t>
      </w:r>
      <w:r w:rsidRPr="0012386E">
        <w:t xml:space="preserve">iolation of the Act’s recordkeeping standard for failing to record Employee 2’s PTSD diagnosis as a work-related mental illness on Forms 300 and 301.” </w:t>
      </w:r>
    </w:p>
    <w:p w14:paraId="2EDA98A7" w14:textId="77777777" w:rsidR="005611CE" w:rsidRPr="00AB3A93" w:rsidRDefault="005611CE" w:rsidP="005611CE">
      <w:pPr>
        <w:pStyle w:val="NoSpacing"/>
        <w:rPr>
          <w:b/>
          <w:bCs/>
        </w:rPr>
      </w:pPr>
    </w:p>
    <w:p w14:paraId="131EF7D7" w14:textId="77777777" w:rsidR="005611CE" w:rsidRPr="00AB3A93" w:rsidRDefault="005611CE" w:rsidP="005611CE">
      <w:pPr>
        <w:pStyle w:val="NoSpacing"/>
        <w:rPr>
          <w:b/>
          <w:bCs/>
        </w:rPr>
      </w:pPr>
      <w:r w:rsidRPr="00AB3A93">
        <w:rPr>
          <w:b/>
        </w:rPr>
        <w:t>Legal lesson learned: Employer reporting on mental health of its employees needs clear regulations.</w:t>
      </w:r>
    </w:p>
    <w:p w14:paraId="2616BD49" w14:textId="77777777" w:rsidR="005611CE" w:rsidRPr="0012386E" w:rsidRDefault="005611CE" w:rsidP="005611CE">
      <w:pPr>
        <w:pStyle w:val="NoSpacing"/>
        <w:rPr>
          <w:bCs/>
        </w:rPr>
      </w:pPr>
      <w:r>
        <w:rPr>
          <w:rFonts w:ascii="Arial Black" w:hAnsi="Arial Black"/>
          <w:b/>
          <w:sz w:val="28"/>
          <w:szCs w:val="28"/>
        </w:rPr>
        <w:tab/>
      </w:r>
      <w:r w:rsidRPr="00E363A9">
        <w:t>Note:</w:t>
      </w:r>
      <w:r>
        <w:rPr>
          <w:rFonts w:ascii="Arial Black" w:hAnsi="Arial Black"/>
          <w:b/>
          <w:sz w:val="28"/>
          <w:szCs w:val="28"/>
        </w:rPr>
        <w:t xml:space="preserve"> </w:t>
      </w:r>
      <w:r w:rsidRPr="0012386E">
        <w:t xml:space="preserve">OSHA Regulation. “You are not required to record injuries and illnesses if . . . </w:t>
      </w:r>
    </w:p>
    <w:p w14:paraId="51686C9D" w14:textId="77777777" w:rsidR="005611CE" w:rsidRPr="0012386E" w:rsidRDefault="005611CE" w:rsidP="005611CE">
      <w:pPr>
        <w:pStyle w:val="NoSpacing"/>
        <w:ind w:left="720"/>
        <w:rPr>
          <w:bCs/>
        </w:rPr>
      </w:pPr>
      <w:r w:rsidRPr="0012386E">
        <w:t xml:space="preserve">(ix) The illness is a mental illness. Mental illness will not be considered work-related unless the employee voluntarily provides the employer with an opinion from a physician or other licensed health care professional with appropriate training and experience (psychiatrist, psychologist, psychiatric nurse practitioner, etc.) stating that the employee has a mental illness that is work-related.” </w:t>
      </w:r>
      <w:hyperlink r:id="rId2498" w:history="1">
        <w:r w:rsidRPr="0012386E">
          <w:rPr>
            <w:rStyle w:val="Hyperlink"/>
            <w:b/>
          </w:rPr>
          <w:t>https://www.customsmobile.com/regulations/expand/title29_chapterXVII_part1904_subpartC_section1904.5</w:t>
        </w:r>
      </w:hyperlink>
      <w:r w:rsidRPr="0012386E">
        <w:t xml:space="preserve"> </w:t>
      </w:r>
    </w:p>
    <w:p w14:paraId="2E1BADBC" w14:textId="77777777" w:rsidR="005611CE" w:rsidRPr="0088501B" w:rsidRDefault="005611CE" w:rsidP="005611CE">
      <w:pPr>
        <w:pStyle w:val="NoSpacing"/>
      </w:pPr>
    </w:p>
    <w:p w14:paraId="01F8C9C0" w14:textId="43263EB2" w:rsidR="005611CE" w:rsidRPr="005611CE" w:rsidRDefault="005611CE" w:rsidP="005611CE">
      <w:pPr>
        <w:pStyle w:val="NoSpacing"/>
        <w:rPr>
          <w:rFonts w:ascii="Arial Black" w:hAnsi="Arial Black"/>
          <w:b/>
          <w:sz w:val="24"/>
          <w:szCs w:val="24"/>
        </w:rPr>
      </w:pPr>
      <w:r w:rsidRPr="005611CE">
        <w:rPr>
          <w:rFonts w:ascii="Arial Black" w:hAnsi="Arial Black"/>
          <w:b/>
          <w:sz w:val="24"/>
          <w:szCs w:val="24"/>
        </w:rPr>
        <w:t>15-54</w:t>
      </w:r>
    </w:p>
    <w:p w14:paraId="0C970943" w14:textId="77777777" w:rsidR="005611CE" w:rsidRDefault="005611CE" w:rsidP="005611CE">
      <w:pPr>
        <w:pStyle w:val="NoSpacing"/>
        <w:rPr>
          <w:b/>
        </w:rPr>
      </w:pPr>
    </w:p>
    <w:p w14:paraId="40608B57" w14:textId="77777777" w:rsidR="005611CE" w:rsidRDefault="005611CE" w:rsidP="005611CE">
      <w:pPr>
        <w:pStyle w:val="NoSpacing"/>
        <w:rPr>
          <w:rFonts w:ascii="Arial Black" w:hAnsi="Arial Black"/>
          <w:b/>
          <w:sz w:val="28"/>
          <w:szCs w:val="28"/>
        </w:rPr>
      </w:pPr>
      <w:r>
        <w:rPr>
          <w:rFonts w:ascii="Arial Black" w:hAnsi="Arial Black"/>
          <w:b/>
          <w:sz w:val="28"/>
          <w:szCs w:val="28"/>
        </w:rPr>
        <w:t xml:space="preserve">NJ: PSYCH EXAM / ADHD - FAILED 1, PASSED 2 - APPROVED </w:t>
      </w:r>
    </w:p>
    <w:p w14:paraId="52CE521D" w14:textId="77777777" w:rsidR="005611CE" w:rsidRDefault="005611CE" w:rsidP="005611CE">
      <w:pPr>
        <w:pStyle w:val="NoSpacing"/>
        <w:rPr>
          <w:rFonts w:ascii="Arial Black" w:hAnsi="Arial Black"/>
          <w:b/>
          <w:sz w:val="28"/>
          <w:szCs w:val="28"/>
        </w:rPr>
      </w:pPr>
    </w:p>
    <w:p w14:paraId="5030F448" w14:textId="77777777" w:rsidR="005611CE" w:rsidRDefault="005611CE" w:rsidP="005611CE">
      <w:pPr>
        <w:pStyle w:val="NoSpacing"/>
      </w:pPr>
      <w:r>
        <w:t xml:space="preserve">On July 6, 2026, </w:t>
      </w:r>
      <w:r w:rsidRPr="00951593">
        <w:rPr>
          <w:u w:val="single"/>
        </w:rPr>
        <w:t xml:space="preserve">In </w:t>
      </w:r>
      <w:proofErr w:type="gramStart"/>
      <w:r w:rsidRPr="00951593">
        <w:rPr>
          <w:u w:val="single"/>
        </w:rPr>
        <w:t>The</w:t>
      </w:r>
      <w:proofErr w:type="gramEnd"/>
      <w:r w:rsidRPr="00951593">
        <w:rPr>
          <w:u w:val="single"/>
        </w:rPr>
        <w:t xml:space="preserve"> Matter </w:t>
      </w:r>
      <w:proofErr w:type="gramStart"/>
      <w:r w:rsidRPr="00951593">
        <w:rPr>
          <w:u w:val="single"/>
        </w:rPr>
        <w:t>Of</w:t>
      </w:r>
      <w:proofErr w:type="gramEnd"/>
      <w:r w:rsidRPr="00951593">
        <w:rPr>
          <w:u w:val="single"/>
        </w:rPr>
        <w:t xml:space="preserve"> T.T., Fire Fighter</w:t>
      </w:r>
      <w:r>
        <w:t xml:space="preserve">, the </w:t>
      </w:r>
      <w:r w:rsidRPr="00951593">
        <w:t>Superior Court of New Jersey, Appellate Division</w:t>
      </w:r>
      <w:r>
        <w:t xml:space="preserve"> held (2 to 0) that the </w:t>
      </w:r>
      <w:r w:rsidRPr="005A339F">
        <w:t>New Jersey Civil Service Commission</w:t>
      </w:r>
      <w:r>
        <w:t xml:space="preserve"> properly reinstated T.T. to the firefighter eligibility list, following a protracted dispute. The Court </w:t>
      </w:r>
      <w:r w:rsidRPr="007F6B5A">
        <w:t>use</w:t>
      </w:r>
      <w:r>
        <w:t xml:space="preserve">d his </w:t>
      </w:r>
      <w:r w:rsidRPr="007F6B5A">
        <w:t>initials to protect the confidentiality of the proceedings and the privacy interests of the party.</w:t>
      </w:r>
      <w:r>
        <w:t xml:space="preserve"> He undertook three psychiatric reviews – passing 2</w:t>
      </w:r>
      <w:r w:rsidRPr="00AB2647">
        <w:rPr>
          <w:vertAlign w:val="superscript"/>
        </w:rPr>
        <w:t>nd</w:t>
      </w:r>
      <w:r>
        <w:t xml:space="preserve"> and 3</w:t>
      </w:r>
      <w:r w:rsidRPr="00AB2647">
        <w:rPr>
          <w:vertAlign w:val="superscript"/>
        </w:rPr>
        <w:t>rd</w:t>
      </w:r>
      <w:r>
        <w:t xml:space="preserve"> after the first found him unsuited for fire service including ADHD history and “</w:t>
      </w:r>
      <w:r w:rsidRPr="00853CD0">
        <w:t>negative legal interactions, his motor vehicle accidents</w:t>
      </w:r>
      <w:r>
        <w:t xml:space="preserve"> [‘</w:t>
      </w:r>
      <w:r w:rsidRPr="00735E57">
        <w:t>several motor vehicle accidents</w:t>
      </w:r>
      <w:r>
        <w:t xml:space="preserve"> …</w:t>
      </w:r>
      <w:r w:rsidRPr="00735E57">
        <w:t xml:space="preserve"> two of which were his fault</w:t>
      </w:r>
      <w:r>
        <w:t>’]</w:t>
      </w:r>
      <w:r w:rsidRPr="00853CD0">
        <w:t xml:space="preserve"> as well as the negative background recommendations</w:t>
      </w:r>
      <w:r>
        <w:t xml:space="preserve"> [including ‘</w:t>
      </w:r>
      <w:r w:rsidRPr="00E56BD0">
        <w:t>past resignation in lieu of termination</w:t>
      </w:r>
      <w:r>
        <w:t xml:space="preserve">’].”  </w:t>
      </w:r>
      <w:hyperlink r:id="rId2499" w:history="1">
        <w:r w:rsidRPr="000F5D15">
          <w:rPr>
            <w:rStyle w:val="Hyperlink"/>
            <w:b/>
          </w:rPr>
          <w:t>https://www.njcourts.gov/system/files/court-opinions/2026/a0161-24.pdf</w:t>
        </w:r>
      </w:hyperlink>
    </w:p>
    <w:p w14:paraId="01184E85" w14:textId="77777777" w:rsidR="005611CE" w:rsidRDefault="005611CE" w:rsidP="005611CE">
      <w:pPr>
        <w:pStyle w:val="NoSpacing"/>
      </w:pPr>
    </w:p>
    <w:p w14:paraId="1C88E80F" w14:textId="77777777" w:rsidR="005611CE" w:rsidRDefault="005611CE" w:rsidP="005611CE">
      <w:pPr>
        <w:pStyle w:val="NoSpacing"/>
      </w:pPr>
      <w:r>
        <w:t>THE COURT WROTE:</w:t>
      </w:r>
    </w:p>
    <w:p w14:paraId="4B3B5394" w14:textId="77777777" w:rsidR="005611CE" w:rsidRDefault="005611CE" w:rsidP="005611CE">
      <w:pPr>
        <w:pStyle w:val="NoSpacing"/>
      </w:pPr>
    </w:p>
    <w:p w14:paraId="3E0228B9" w14:textId="77777777" w:rsidR="005611CE" w:rsidRPr="000A31CD" w:rsidRDefault="005611CE" w:rsidP="005611CE">
      <w:pPr>
        <w:pStyle w:val="NoSpacing"/>
      </w:pPr>
      <w:r>
        <w:t>‘</w:t>
      </w:r>
      <w:r w:rsidRPr="00D878F6">
        <w:t xml:space="preserve">T.T. applied to be a firefighter in the Township. In July 2022, T.T.'s name was included on the list of eligible candidates for the title of firefighter. After the list was certified, the Township extended a conditional offer of employment to T.T., subject to completion of medical and psychological evaluations and a background check. In December 2022, the Township </w:t>
      </w:r>
      <w:proofErr w:type="gramStart"/>
      <w:r w:rsidRPr="00D878F6">
        <w:t>referred</w:t>
      </w:r>
      <w:proofErr w:type="gramEnd"/>
      <w:r w:rsidRPr="00D878F6">
        <w:t xml:space="preserve"> T.T. for a psychological evaluation with Han Zhang Liang, Ph.D. Dr. Liang did not recommend T.T. for the firefighter position. He concluded that T.T. was not psychologically suited for the position and recommended that he be removed from the certified list of candidates.</w:t>
      </w:r>
      <w:r>
        <w:t xml:space="preserve"> </w:t>
      </w:r>
      <w:r w:rsidRPr="0010303D">
        <w:t xml:space="preserve">On March 16, 2023, the Township sent a notice to T.T. advising that he had been removed from the firefighter eligibility list for failing to meet psychological standards. T.T. requested an appeal before the Medical Review Panel (MRP) pursuant to N.J.A.C. 4A:4-6.5, which </w:t>
      </w:r>
      <w:proofErr w:type="gramStart"/>
      <w:r w:rsidRPr="0010303D">
        <w:t>the CSC</w:t>
      </w:r>
      <w:proofErr w:type="gramEnd"/>
      <w:r w:rsidRPr="0010303D">
        <w:t xml:space="preserve"> granted. He also requested the opportunity to undergo another psychological evaluation with </w:t>
      </w:r>
      <w:r>
        <w:t>‘</w:t>
      </w:r>
      <w:r w:rsidRPr="0010303D">
        <w:t>a different psychiatrist.</w:t>
      </w:r>
      <w:r>
        <w:t>’</w:t>
      </w:r>
      <w:r w:rsidRPr="0010303D">
        <w:t xml:space="preserve"> The CSC advised T.T. to provide any additional information he wished to have considered. On June 28, T.T. submitted to the MRP a psychological evaluation by Karin Gepp, Psy.D., who recommended him for the appointment of a firefighter</w:t>
      </w:r>
      <w:r>
        <w:t xml:space="preserve">…. </w:t>
      </w:r>
      <w:r w:rsidRPr="000A31CD">
        <w:t xml:space="preserve">The MRP concluded: </w:t>
      </w:r>
    </w:p>
    <w:p w14:paraId="73E11C2B" w14:textId="77777777" w:rsidR="005611CE" w:rsidRDefault="005611CE" w:rsidP="005611CE">
      <w:pPr>
        <w:pStyle w:val="NoSpacing"/>
      </w:pPr>
      <w:r w:rsidRPr="000A31CD">
        <w:t xml:space="preserve">Taking into consideration Dr. Liang's and Dr. </w:t>
      </w:r>
      <w:proofErr w:type="spellStart"/>
      <w:r w:rsidRPr="000A31CD">
        <w:t>Gepp's</w:t>
      </w:r>
      <w:proofErr w:type="spellEnd"/>
      <w:r w:rsidRPr="000A31CD">
        <w:t xml:space="preserve"> evaluations, [T.T.'s] presentation, the psychological test results, and the behavioral record when viewed in consideration of the job specifications for Fire Fighter it indicates that [T.T.] should have an independent evaluation to further explore the issues noted above by the MRP</w:t>
      </w:r>
      <w:r>
        <w:t xml:space="preserve">…. </w:t>
      </w:r>
      <w:r w:rsidRPr="00B37D7B">
        <w:t>T.T. and the Township objected to a third evaluation. On January 17, 2024, the CSC issued a decision, accepting the MRP's recommendation and ordering T.T. to undergo an independent psychological evaluation with Robert Kanen, Psy. D</w:t>
      </w:r>
      <w:r>
        <w:t xml:space="preserve">…. </w:t>
      </w:r>
      <w:r w:rsidRPr="00676822">
        <w:t xml:space="preserve">On February 12, 2024, Dr. Kanen issued a written report, finding T.T. to be </w:t>
      </w:r>
      <w:r>
        <w:t>‘</w:t>
      </w:r>
      <w:r w:rsidRPr="00676822">
        <w:t>functioning within normal ranges,</w:t>
      </w:r>
      <w:r>
        <w:t>’</w:t>
      </w:r>
      <w:r w:rsidRPr="00676822">
        <w:t xml:space="preserve"> and that </w:t>
      </w:r>
      <w:r>
        <w:t>‘</w:t>
      </w:r>
      <w:r w:rsidRPr="00676822">
        <w:t>no psychopathology or personality problems that would interfere with [his] work performance.</w:t>
      </w:r>
      <w:r>
        <w:t>’</w:t>
      </w:r>
      <w:r w:rsidRPr="00676822">
        <w:t xml:space="preserve"> According to the personality testing administered by Dr. Kanen, T.T. </w:t>
      </w:r>
      <w:r>
        <w:t>‘</w:t>
      </w:r>
      <w:r w:rsidRPr="00676822">
        <w:t>scored in the category of likely to be recommended for employment in a public safety/security position,</w:t>
      </w:r>
      <w:r>
        <w:t>’</w:t>
      </w:r>
      <w:r w:rsidRPr="00676822">
        <w:t xml:space="preserve"> and </w:t>
      </w:r>
      <w:r>
        <w:t>‘</w:t>
      </w:r>
      <w:r w:rsidRPr="00676822">
        <w:t>likely to meet expectations.</w:t>
      </w:r>
      <w:r>
        <w:t>’</w:t>
      </w:r>
      <w:r w:rsidRPr="00676822">
        <w:t xml:space="preserve"> Thus, Dr. Kanen concluded that T.</w:t>
      </w:r>
      <w:proofErr w:type="gramStart"/>
      <w:r w:rsidRPr="00676822">
        <w:t xml:space="preserve">T. </w:t>
      </w:r>
      <w:r>
        <w:t>‘</w:t>
      </w:r>
      <w:proofErr w:type="gramEnd"/>
      <w:r w:rsidRPr="00676822">
        <w:t>is psychologically suitable for employment as a firefighter for the Town[ship].</w:t>
      </w:r>
      <w:r>
        <w:t xml:space="preserve">’ </w:t>
      </w:r>
    </w:p>
    <w:p w14:paraId="1E028B18" w14:textId="77777777" w:rsidR="005611CE" w:rsidRDefault="005611CE" w:rsidP="005611CE">
      <w:pPr>
        <w:pStyle w:val="NoSpacing"/>
      </w:pPr>
    </w:p>
    <w:p w14:paraId="629ED9BB" w14:textId="77777777" w:rsidR="005611CE" w:rsidRDefault="005611CE" w:rsidP="005611CE">
      <w:pPr>
        <w:pStyle w:val="NoSpacing"/>
      </w:pPr>
      <w:r>
        <w:t>***</w:t>
      </w:r>
    </w:p>
    <w:p w14:paraId="0313B5C0" w14:textId="77777777" w:rsidR="005611CE" w:rsidRPr="00853CD0" w:rsidRDefault="005611CE" w:rsidP="005611CE">
      <w:pPr>
        <w:pStyle w:val="NoSpacing"/>
      </w:pPr>
      <w:r w:rsidRPr="00853CD0">
        <w:t xml:space="preserve">We reject the Township's assertion that Dr. Liang's report was adequate and that the CSC gave </w:t>
      </w:r>
      <w:r>
        <w:t>‘</w:t>
      </w:r>
      <w:r w:rsidRPr="00853CD0">
        <w:t>short shrift</w:t>
      </w:r>
      <w:r>
        <w:t>’</w:t>
      </w:r>
      <w:r w:rsidRPr="00853CD0">
        <w:t xml:space="preserve"> to the disqualifying factors noted in his report. The MRP recognized T.T.'s negative factors, including his negative legal interactions, his motor vehicle accidents as well as the negative background recommendations. The MRP considered all relevant factors and other relevant information, and concluded: </w:t>
      </w:r>
    </w:p>
    <w:p w14:paraId="26303FEC" w14:textId="77777777" w:rsidR="005611CE" w:rsidRDefault="005611CE" w:rsidP="005611CE">
      <w:pPr>
        <w:pStyle w:val="NoSpacing"/>
      </w:pPr>
    </w:p>
    <w:p w14:paraId="24110AEB" w14:textId="77777777" w:rsidR="005611CE" w:rsidRPr="00853CD0" w:rsidRDefault="005611CE" w:rsidP="005611CE">
      <w:pPr>
        <w:pStyle w:val="NoSpacing"/>
        <w:ind w:left="720"/>
      </w:pPr>
      <w:r w:rsidRPr="00853CD0">
        <w:t xml:space="preserve">Taking into consideration Dr. Liang's and Dr. </w:t>
      </w:r>
      <w:proofErr w:type="spellStart"/>
      <w:r w:rsidRPr="00853CD0">
        <w:t>Gepp's</w:t>
      </w:r>
      <w:proofErr w:type="spellEnd"/>
      <w:r w:rsidRPr="00853CD0">
        <w:t xml:space="preserve"> evaluations, [T.T.]'s presentation, the psychological test results, and the behavioral record when viewed in consideration of the jobs specifications for Fire Fighter, it indicates that the applicant should have an independent evaluation to further explore the issues noted above by the MRP. </w:t>
      </w:r>
    </w:p>
    <w:p w14:paraId="3CDC9D1B" w14:textId="77777777" w:rsidR="005611CE" w:rsidRPr="0010303D" w:rsidRDefault="005611CE" w:rsidP="005611CE">
      <w:pPr>
        <w:pStyle w:val="NoSpacing"/>
      </w:pPr>
    </w:p>
    <w:p w14:paraId="7683F670" w14:textId="77777777" w:rsidR="005611CE" w:rsidRPr="00E56BD0" w:rsidRDefault="005611CE" w:rsidP="005611CE">
      <w:pPr>
        <w:pStyle w:val="NoSpacing"/>
      </w:pPr>
      <w:r w:rsidRPr="00E56BD0">
        <w:t xml:space="preserve">Contrary to the Township's assertions, Dr. Kanen noted that T.T. had </w:t>
      </w:r>
      <w:r>
        <w:t>‘</w:t>
      </w:r>
      <w:r w:rsidRPr="00E56BD0">
        <w:t xml:space="preserve">been involved in several motor vehicle </w:t>
      </w:r>
      <w:proofErr w:type="gramStart"/>
      <w:r w:rsidRPr="00E56BD0">
        <w:t>accidents[,]</w:t>
      </w:r>
      <w:r>
        <w:t>’</w:t>
      </w:r>
      <w:proofErr w:type="gramEnd"/>
      <w:r w:rsidRPr="00E56BD0">
        <w:t xml:space="preserve"> two of which were his fault. He also noted that</w:t>
      </w:r>
      <w:r>
        <w:t xml:space="preserve"> ‘</w:t>
      </w:r>
      <w:r w:rsidRPr="00E56BD0">
        <w:t>[a]t present, there are no points on his license.</w:t>
      </w:r>
      <w:r>
        <w:t>’</w:t>
      </w:r>
      <w:r w:rsidRPr="00E56BD0">
        <w:t xml:space="preserve"> He also took note of T.T.'s ADHD history but concluded that T.T. had improved: his </w:t>
      </w:r>
      <w:r>
        <w:t>‘</w:t>
      </w:r>
      <w:r w:rsidRPr="00E56BD0">
        <w:t>[t]</w:t>
      </w:r>
      <w:proofErr w:type="spellStart"/>
      <w:r w:rsidRPr="00E56BD0">
        <w:t>hought</w:t>
      </w:r>
      <w:proofErr w:type="spellEnd"/>
      <w:r w:rsidRPr="00E56BD0">
        <w:t xml:space="preserve"> processes were logical and coherent. There was no evidence of </w:t>
      </w:r>
    </w:p>
    <w:p w14:paraId="3F921A87" w14:textId="77777777" w:rsidR="005611CE" w:rsidRDefault="005611CE" w:rsidP="005611CE">
      <w:pPr>
        <w:pStyle w:val="NoSpacing"/>
      </w:pPr>
      <w:r w:rsidRPr="00E56BD0">
        <w:t>mental illness[,] . . . [and] [h]e is not currently taking medication for mental health problems.</w:t>
      </w:r>
      <w:r>
        <w:t>’</w:t>
      </w:r>
      <w:r w:rsidRPr="00E56BD0">
        <w:t xml:space="preserve"> Dr. Kanen considered T.T.'s prior employment history, including his past resignation in lieu of termination, and his prior evaluations, noting that he "failed [a prior] psychological evaluation" in 2021. The Township's assertion that Dr. Kanen failed to address the </w:t>
      </w:r>
      <w:proofErr w:type="gramStart"/>
      <w:r w:rsidRPr="00E56BD0">
        <w:t>concerning factual issues</w:t>
      </w:r>
      <w:proofErr w:type="gramEnd"/>
      <w:r w:rsidRPr="00E56BD0">
        <w:t xml:space="preserve"> is not supported by the record.</w:t>
      </w:r>
      <w:r>
        <w:t>’</w:t>
      </w:r>
    </w:p>
    <w:p w14:paraId="63107FFD" w14:textId="77777777" w:rsidR="005611CE" w:rsidRDefault="005611CE" w:rsidP="005611CE">
      <w:pPr>
        <w:pStyle w:val="NoSpacing"/>
      </w:pPr>
    </w:p>
    <w:p w14:paraId="0B0AE9AD" w14:textId="77777777" w:rsidR="005611CE" w:rsidRPr="0002184A" w:rsidRDefault="005611CE" w:rsidP="005611CE">
      <w:pPr>
        <w:pStyle w:val="NoSpacing"/>
        <w:rPr>
          <w:b/>
          <w:bCs/>
        </w:rPr>
      </w:pPr>
      <w:r>
        <w:rPr>
          <w:b/>
        </w:rPr>
        <w:t xml:space="preserve">Legal lesson learned:  The applicants passed two </w:t>
      </w:r>
      <w:proofErr w:type="gramStart"/>
      <w:r>
        <w:rPr>
          <w:b/>
        </w:rPr>
        <w:t>out</w:t>
      </w:r>
      <w:proofErr w:type="gramEnd"/>
      <w:r>
        <w:rPr>
          <w:b/>
        </w:rPr>
        <w:t xml:space="preserve"> three psychological exams. </w:t>
      </w:r>
    </w:p>
    <w:p w14:paraId="3CB34061" w14:textId="77777777" w:rsidR="005611CE" w:rsidRDefault="005611CE" w:rsidP="005611CE">
      <w:pPr>
        <w:pStyle w:val="NoSpacing"/>
      </w:pPr>
    </w:p>
    <w:p w14:paraId="43B99B5C" w14:textId="77777777" w:rsidR="005611CE" w:rsidRDefault="005611CE" w:rsidP="005611CE">
      <w:pPr>
        <w:pStyle w:val="NoSpacing"/>
        <w:rPr>
          <w:b/>
          <w:sz w:val="20"/>
          <w:szCs w:val="20"/>
        </w:rPr>
      </w:pPr>
    </w:p>
    <w:p w14:paraId="4289F542" w14:textId="77777777" w:rsidR="005611CE" w:rsidRDefault="005611CE" w:rsidP="005611CE">
      <w:pPr>
        <w:pStyle w:val="NoSpacing"/>
        <w:rPr>
          <w:b/>
          <w:sz w:val="20"/>
          <w:szCs w:val="20"/>
        </w:rPr>
      </w:pPr>
    </w:p>
    <w:p w14:paraId="4192C0D7" w14:textId="77777777" w:rsidR="005611CE" w:rsidRDefault="005611CE" w:rsidP="005611CE">
      <w:pPr>
        <w:pStyle w:val="NoSpacing"/>
        <w:rPr>
          <w:b/>
          <w:sz w:val="20"/>
          <w:szCs w:val="20"/>
        </w:rPr>
      </w:pPr>
    </w:p>
    <w:p w14:paraId="592C2819" w14:textId="77777777" w:rsidR="00A971EA" w:rsidRDefault="00A971EA" w:rsidP="004D70DC">
      <w:pPr>
        <w:pStyle w:val="NoSpacing"/>
        <w:rPr>
          <w:rFonts w:ascii="Arial Black" w:hAnsi="Arial Black"/>
          <w:sz w:val="24"/>
          <w:szCs w:val="24"/>
        </w:rPr>
      </w:pPr>
    </w:p>
    <w:p w14:paraId="606D1C31" w14:textId="77777777" w:rsidR="00A971EA" w:rsidRDefault="00A971EA" w:rsidP="004D70DC">
      <w:pPr>
        <w:pStyle w:val="NoSpacing"/>
        <w:rPr>
          <w:rFonts w:ascii="Arial Black" w:hAnsi="Arial Black"/>
          <w:sz w:val="24"/>
          <w:szCs w:val="24"/>
        </w:rPr>
      </w:pPr>
    </w:p>
    <w:p w14:paraId="1AAD5082" w14:textId="77777777" w:rsidR="00A971EA" w:rsidRDefault="00A971EA" w:rsidP="004D70DC">
      <w:pPr>
        <w:pStyle w:val="NoSpacing"/>
        <w:rPr>
          <w:rFonts w:ascii="Arial Black" w:hAnsi="Arial Black"/>
          <w:sz w:val="24"/>
          <w:szCs w:val="24"/>
        </w:rPr>
      </w:pPr>
    </w:p>
    <w:p w14:paraId="624B6688" w14:textId="54DF6EDF" w:rsidR="009330C5" w:rsidRDefault="00AD7E21" w:rsidP="004D70DC">
      <w:pPr>
        <w:pStyle w:val="NoSpacing"/>
        <w:rPr>
          <w:rFonts w:ascii="Arial Black" w:hAnsi="Arial Black"/>
          <w:sz w:val="24"/>
          <w:szCs w:val="24"/>
        </w:rPr>
      </w:pPr>
      <w:r>
        <w:rPr>
          <w:rFonts w:ascii="Arial Black" w:hAnsi="Arial Black"/>
          <w:sz w:val="24"/>
          <w:szCs w:val="24"/>
        </w:rPr>
        <w:t>15-53</w:t>
      </w:r>
      <w:r w:rsidR="001C15DD">
        <w:rPr>
          <w:rFonts w:ascii="Arial Black" w:hAnsi="Arial Black"/>
          <w:sz w:val="24"/>
          <w:szCs w:val="24"/>
        </w:rPr>
        <w:t xml:space="preserve"> [also filed, Chap. 9, ADA]</w:t>
      </w:r>
    </w:p>
    <w:p w14:paraId="262428C6" w14:textId="77777777" w:rsidR="001C15DD" w:rsidRDefault="001C15DD" w:rsidP="004D70DC">
      <w:pPr>
        <w:pStyle w:val="NoSpacing"/>
        <w:rPr>
          <w:rFonts w:ascii="Arial Black" w:hAnsi="Arial Black"/>
          <w:sz w:val="24"/>
          <w:szCs w:val="24"/>
        </w:rPr>
      </w:pPr>
    </w:p>
    <w:p w14:paraId="053DF54B" w14:textId="77777777" w:rsidR="00AD7E21" w:rsidRPr="00E60E4B" w:rsidRDefault="00AD7E21" w:rsidP="00AD7E21">
      <w:pPr>
        <w:rPr>
          <w:rFonts w:ascii="Arial Black" w:hAnsi="Arial Black"/>
          <w:b/>
          <w:sz w:val="28"/>
          <w:szCs w:val="28"/>
        </w:rPr>
      </w:pPr>
      <w:r>
        <w:rPr>
          <w:rFonts w:ascii="Arial Black" w:hAnsi="Arial Black"/>
          <w:b/>
          <w:sz w:val="28"/>
          <w:szCs w:val="28"/>
        </w:rPr>
        <w:t xml:space="preserve">KY: FIRE MARSHAL – NO MJ - SUICIDE ATTEMPT ADDERALL </w:t>
      </w:r>
    </w:p>
    <w:p w14:paraId="34F7FC5D" w14:textId="77777777" w:rsidR="00AD7E21" w:rsidRDefault="00AD7E21" w:rsidP="00AD7E21">
      <w:pPr>
        <w:pStyle w:val="NoSpacing"/>
      </w:pPr>
      <w:r>
        <w:t xml:space="preserve">On May 5, 2026, in </w:t>
      </w:r>
      <w:r w:rsidRPr="00BE6F41">
        <w:rPr>
          <w:u w:val="single"/>
        </w:rPr>
        <w:t>Joseph Wheeling v. City of Winchester</w:t>
      </w:r>
      <w:r>
        <w:t xml:space="preserve">, U.S. District Court Judge </w:t>
      </w:r>
      <w:r w:rsidRPr="003F4A5C">
        <w:t>Karen K. Caldwel</w:t>
      </w:r>
      <w:r>
        <w:t xml:space="preserve">, United States District Court for Eastern District of Kentucky, Central Division, Lexington, granted the City’s motion for summary judgment on his May 16, </w:t>
      </w:r>
      <w:proofErr w:type="gramStart"/>
      <w:r>
        <w:t>2023</w:t>
      </w:r>
      <w:proofErr w:type="gramEnd"/>
      <w:r>
        <w:t xml:space="preserve"> termination for breach of city’s drug policy - abuse of proscribed medication.  The Fire Marshal had taken FMLA leave </w:t>
      </w:r>
      <w:r w:rsidRPr="00D73A56">
        <w:t>June 22</w:t>
      </w:r>
      <w:r>
        <w:t>-</w:t>
      </w:r>
      <w:r w:rsidRPr="00D73A56">
        <w:t xml:space="preserve">25, 2022, </w:t>
      </w:r>
      <w:r>
        <w:t xml:space="preserve">for </w:t>
      </w:r>
      <w:r w:rsidRPr="00D73A56">
        <w:t>in-patient treatment at the International Association of Fire Fighters Center for Excellence</w:t>
      </w:r>
      <w:r>
        <w:t xml:space="preserve">, and upon return he was receiving treatment </w:t>
      </w:r>
      <w:r w:rsidRPr="00216F9E">
        <w:t>Bluegrass Behavioral Health and Consulting Services</w:t>
      </w:r>
      <w:r>
        <w:t xml:space="preserve">.  After a second FMLA, the </w:t>
      </w:r>
      <w:proofErr w:type="gramStart"/>
      <w:r>
        <w:t>City</w:t>
      </w:r>
      <w:proofErr w:type="gramEnd"/>
      <w:r>
        <w:t xml:space="preserve"> declined his return to work using proscribed marijuana, so he was proscribed Adderall.  He r</w:t>
      </w:r>
      <w:r w:rsidRPr="00724F86">
        <w:t>eturned to work on March 14, 2023</w:t>
      </w:r>
      <w:r>
        <w:t xml:space="preserve">; but on </w:t>
      </w:r>
      <w:r w:rsidRPr="00147A46">
        <w:t xml:space="preserve">March 31, 2023, Wheeling attempted suicide while at work by </w:t>
      </w:r>
      <w:r w:rsidRPr="00D600CD">
        <w:t>ingesting about 9 or 11 Adderall pills.</w:t>
      </w:r>
      <w:r>
        <w:t xml:space="preserve"> THE COURT WROTE: “</w:t>
      </w:r>
      <w:r w:rsidRPr="00835EAE">
        <w:t xml:space="preserve">Because the record conclusively reveals a nondiscriminatory reason for the termination, the </w:t>
      </w:r>
      <w:proofErr w:type="gramStart"/>
      <w:r w:rsidRPr="00835EAE">
        <w:t>City</w:t>
      </w:r>
      <w:proofErr w:type="gramEnd"/>
      <w:r w:rsidRPr="00835EAE">
        <w:t xml:space="preserve"> is entitled to summary judgment on the disability discrimination claim</w:t>
      </w:r>
      <w:r>
        <w:t xml:space="preserve">…. </w:t>
      </w:r>
      <w:r w:rsidRPr="00E60E4B">
        <w:t xml:space="preserve"> Here, the written job requirements, the undisputed testimony from Wheeling and his supervisors, and the duties inherent in being a first responder indicate that field inspections and fire prevention </w:t>
      </w:r>
      <w:proofErr w:type="gramStart"/>
      <w:r w:rsidRPr="00E60E4B">
        <w:t>is</w:t>
      </w:r>
      <w:proofErr w:type="gramEnd"/>
      <w:r w:rsidRPr="00E60E4B">
        <w:t xml:space="preserve"> essential to performing the Fire Marshal role. The </w:t>
      </w:r>
      <w:proofErr w:type="gramStart"/>
      <w:r w:rsidRPr="00E60E4B">
        <w:t>City</w:t>
      </w:r>
      <w:proofErr w:type="gramEnd"/>
      <w:r w:rsidRPr="00E60E4B">
        <w:t xml:space="preserve"> was not required to reassign Wheeling's fire inspection and prevention responsibilities to other employees</w:t>
      </w:r>
      <w:r>
        <w:t xml:space="preserve">…. </w:t>
      </w:r>
      <w:r w:rsidRPr="00E60E4B">
        <w:t xml:space="preserve">Therefore, based on the record, Wheeling's request to have other employees help with </w:t>
      </w:r>
      <w:r>
        <w:t>‘</w:t>
      </w:r>
      <w:r w:rsidRPr="00E60E4B">
        <w:t xml:space="preserve">fire </w:t>
      </w:r>
      <w:proofErr w:type="gramStart"/>
      <w:r w:rsidRPr="00E60E4B">
        <w:t>inspections</w:t>
      </w:r>
      <w:r>
        <w:t>’</w:t>
      </w:r>
      <w:r w:rsidRPr="00E60E4B">
        <w:t xml:space="preserve"> and </w:t>
      </w:r>
      <w:r>
        <w:t>‘</w:t>
      </w:r>
      <w:proofErr w:type="gramEnd"/>
      <w:r w:rsidRPr="00E60E4B">
        <w:t>fire prevention</w:t>
      </w:r>
      <w:r>
        <w:t xml:space="preserve">’ </w:t>
      </w:r>
      <w:r w:rsidRPr="00E60E4B">
        <w:t xml:space="preserve">seeks </w:t>
      </w:r>
      <w:proofErr w:type="gramStart"/>
      <w:r w:rsidRPr="00E60E4B">
        <w:t>an accommodation</w:t>
      </w:r>
      <w:proofErr w:type="gramEnd"/>
      <w:r w:rsidRPr="00E60E4B">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E60E4B">
        <w:t xml:space="preserve">Because Wheeling failed to provide a reasonable accommodation request, his failure to accommodate claim fails as a matter of </w:t>
      </w:r>
      <w:proofErr w:type="gramStart"/>
      <w:r w:rsidRPr="00E60E4B">
        <w:t>law.</w:t>
      </w:r>
      <w:r>
        <w:t>”</w:t>
      </w:r>
      <w:proofErr w:type="gramEnd"/>
      <w:r>
        <w:t xml:space="preserve"> </w:t>
      </w:r>
      <w:hyperlink r:id="rId2500" w:history="1">
        <w:r w:rsidRPr="00BC462E">
          <w:rPr>
            <w:rStyle w:val="Hyperlink"/>
          </w:rPr>
          <w:t>https://cases.justia.com/federal/district-courts/kentucky/kyedce/5:2024cv00129/104855/29/0.pdf?ts=1778093974</w:t>
        </w:r>
      </w:hyperlink>
      <w:r>
        <w:t xml:space="preserve"> </w:t>
      </w:r>
    </w:p>
    <w:p w14:paraId="28994584" w14:textId="77777777" w:rsidR="00AD7E21" w:rsidRDefault="00AD7E21" w:rsidP="00AD7E21">
      <w:pPr>
        <w:pStyle w:val="NoSpacing"/>
      </w:pPr>
    </w:p>
    <w:p w14:paraId="1B0CA89B" w14:textId="77777777" w:rsidR="00AD7E21" w:rsidRDefault="00AD7E21" w:rsidP="00AD7E21">
      <w:pPr>
        <w:pStyle w:val="NoSpacing"/>
      </w:pPr>
      <w:r>
        <w:t xml:space="preserve">THE COURT HELD: </w:t>
      </w:r>
    </w:p>
    <w:p w14:paraId="4FACF901" w14:textId="77777777" w:rsidR="00AD7E21" w:rsidRDefault="00AD7E21" w:rsidP="00AD7E21">
      <w:pPr>
        <w:pStyle w:val="NoSpacing"/>
      </w:pPr>
    </w:p>
    <w:p w14:paraId="39D98C22" w14:textId="77777777" w:rsidR="00AD7E21" w:rsidRDefault="00AD7E21" w:rsidP="00AD7E21">
      <w:pPr>
        <w:pStyle w:val="NoSpacing"/>
        <w:ind w:left="720"/>
      </w:pPr>
      <w:r>
        <w:t>“</w:t>
      </w:r>
      <w:r w:rsidRPr="00CF2083">
        <w:t>Wheeling identifies two potential accommodations that could have aided him in his employment: using medical marijuana and additional personnel to assist him in the office</w:t>
      </w:r>
      <w:r>
        <w:t xml:space="preserve">…. </w:t>
      </w:r>
      <w:r w:rsidRPr="006A2B36">
        <w:t xml:space="preserve">The City's letter explained </w:t>
      </w:r>
      <w:proofErr w:type="gramStart"/>
      <w:r w:rsidRPr="006A2B36">
        <w:t>that,</w:t>
      </w:r>
      <w:proofErr w:type="gramEnd"/>
      <w:r w:rsidRPr="006A2B36">
        <w:t xml:space="preserve"> </w:t>
      </w:r>
      <w:r>
        <w:t>‘</w:t>
      </w:r>
      <w:r w:rsidRPr="006A2B36">
        <w:t xml:space="preserve">[Wheeling's] position of employment with the </w:t>
      </w:r>
      <w:proofErr w:type="gramStart"/>
      <w:r w:rsidRPr="006A2B36">
        <w:t>City</w:t>
      </w:r>
      <w:proofErr w:type="gramEnd"/>
      <w:r w:rsidRPr="006A2B36">
        <w:t xml:space="preserve"> is a heightened safety awareness level position (HSAL) that involves exceptional duties to the community citizens in the area of public safety.</w:t>
      </w:r>
      <w:r>
        <w:t xml:space="preserve">’ …. </w:t>
      </w:r>
      <w:r w:rsidRPr="006A2B36">
        <w:t xml:space="preserve">Because of the heightened safety level required of his position, the </w:t>
      </w:r>
      <w:proofErr w:type="gramStart"/>
      <w:r w:rsidRPr="006A2B36">
        <w:t>City</w:t>
      </w:r>
      <w:proofErr w:type="gramEnd"/>
      <w:r w:rsidRPr="006A2B36">
        <w:t xml:space="preserve"> explicitly prohibited his use of medical marijuana. </w:t>
      </w:r>
    </w:p>
    <w:p w14:paraId="69E1B5FD" w14:textId="77777777" w:rsidR="00AD7E21" w:rsidRDefault="00AD7E21" w:rsidP="00AD7E21">
      <w:pPr>
        <w:pStyle w:val="NoSpacing"/>
        <w:ind w:left="720"/>
      </w:pPr>
    </w:p>
    <w:p w14:paraId="130F893F" w14:textId="77777777" w:rsidR="00AD7E21" w:rsidRDefault="00AD7E21" w:rsidP="00AD7E21">
      <w:pPr>
        <w:pStyle w:val="NoSpacing"/>
        <w:ind w:left="720"/>
      </w:pPr>
      <w:r>
        <w:t>***</w:t>
      </w:r>
    </w:p>
    <w:p w14:paraId="561103A9" w14:textId="77777777" w:rsidR="00AD7E21" w:rsidRDefault="00AD7E21" w:rsidP="00AD7E21">
      <w:pPr>
        <w:pStyle w:val="NoSpacing"/>
        <w:ind w:left="720"/>
      </w:pPr>
    </w:p>
    <w:p w14:paraId="65C65910" w14:textId="77777777" w:rsidR="00AD7E21" w:rsidRPr="00A43D41" w:rsidRDefault="00AD7E21" w:rsidP="00AD7E21">
      <w:pPr>
        <w:pStyle w:val="NoSpacing"/>
        <w:ind w:left="720"/>
      </w:pPr>
      <w:r w:rsidRPr="00A43D41">
        <w:t xml:space="preserve">Wheeling's healthcare provider responded with a March 1, </w:t>
      </w:r>
      <w:proofErr w:type="gramStart"/>
      <w:r w:rsidRPr="00A43D41">
        <w:t>2023, letter</w:t>
      </w:r>
      <w:proofErr w:type="gramEnd"/>
      <w:r w:rsidRPr="00A43D41">
        <w:t xml:space="preserve">: </w:t>
      </w:r>
    </w:p>
    <w:p w14:paraId="05539F85" w14:textId="77777777" w:rsidR="00AD7E21" w:rsidRDefault="00AD7E21" w:rsidP="00AD7E21">
      <w:pPr>
        <w:pStyle w:val="NoSpacing"/>
        <w:ind w:left="720" w:firstLine="720"/>
      </w:pPr>
    </w:p>
    <w:p w14:paraId="741B6996" w14:textId="77777777" w:rsidR="00AD7E21" w:rsidRPr="00A43D41" w:rsidRDefault="00AD7E21" w:rsidP="00AD7E21">
      <w:pPr>
        <w:pStyle w:val="NoSpacing"/>
        <w:ind w:left="1440"/>
      </w:pPr>
      <w:r w:rsidRPr="00A43D41">
        <w:t xml:space="preserve">This letter is to certify that Joseph Wheeling has been released to return to work effective immediately with the following accommodation(s): </w:t>
      </w:r>
    </w:p>
    <w:p w14:paraId="5AAE8924" w14:textId="77777777" w:rsidR="00AD7E21" w:rsidRPr="00A43D41" w:rsidRDefault="00AD7E21" w:rsidP="00AD7E21">
      <w:pPr>
        <w:pStyle w:val="NoSpacing"/>
        <w:ind w:left="1440"/>
      </w:pPr>
      <w:r w:rsidRPr="00A43D41">
        <w:t xml:space="preserve">• Scheduling flexibility to allow him to continue his medical treatment which includes weekly </w:t>
      </w:r>
      <w:proofErr w:type="spellStart"/>
      <w:r w:rsidRPr="00A43D41">
        <w:t>Spravato</w:t>
      </w:r>
      <w:proofErr w:type="spellEnd"/>
      <w:r w:rsidRPr="00A43D41">
        <w:t xml:space="preserve"> treatment and therapy. </w:t>
      </w:r>
    </w:p>
    <w:p w14:paraId="74D00869" w14:textId="77777777" w:rsidR="00AD7E21" w:rsidRPr="00A43D41" w:rsidRDefault="00AD7E21" w:rsidP="00AD7E21">
      <w:pPr>
        <w:pStyle w:val="NoSpacing"/>
        <w:ind w:left="1440"/>
      </w:pPr>
      <w:r w:rsidRPr="00A43D41">
        <w:t xml:space="preserve">Please note that additional </w:t>
      </w:r>
      <w:proofErr w:type="gramStart"/>
      <w:r w:rsidRPr="00A43D41">
        <w:t>accommodations</w:t>
      </w:r>
      <w:proofErr w:type="gramEnd"/>
      <w:r w:rsidRPr="00A43D41">
        <w:t xml:space="preserve"> may be required in the future and are dependent on progress/status. </w:t>
      </w:r>
    </w:p>
    <w:p w14:paraId="6BDF9848" w14:textId="77777777" w:rsidR="00AD7E21" w:rsidRPr="00A43D41" w:rsidRDefault="00AD7E21" w:rsidP="00AD7E21">
      <w:pPr>
        <w:pStyle w:val="NoSpacing"/>
        <w:ind w:left="1440"/>
      </w:pPr>
      <w:r w:rsidRPr="00A43D41">
        <w:t xml:space="preserve">Please note that it is felt that the </w:t>
      </w:r>
      <w:proofErr w:type="gramStart"/>
      <w:r w:rsidRPr="00A43D41">
        <w:t>above mentioned</w:t>
      </w:r>
      <w:proofErr w:type="gramEnd"/>
      <w:r w:rsidRPr="00A43D41">
        <w:t xml:space="preserve"> is capable of safely performing the required functions of his job while taking his current prescribed medications: </w:t>
      </w:r>
      <w:proofErr w:type="spellStart"/>
      <w:r w:rsidRPr="00A43D41">
        <w:t>Spravato</w:t>
      </w:r>
      <w:proofErr w:type="spellEnd"/>
      <w:r w:rsidRPr="00A43D41">
        <w:t xml:space="preserve"> (administered in office, once weekly, and Clonazepam 0.5mg twice daily as needed. </w:t>
      </w:r>
    </w:p>
    <w:p w14:paraId="7BE1F0F9" w14:textId="77777777" w:rsidR="00AD7E21" w:rsidRDefault="00AD7E21" w:rsidP="00AD7E21">
      <w:pPr>
        <w:pStyle w:val="NoSpacing"/>
        <w:ind w:left="720"/>
      </w:pPr>
    </w:p>
    <w:p w14:paraId="25E6732D" w14:textId="77777777" w:rsidR="00AD7E21" w:rsidRDefault="00AD7E21" w:rsidP="00AD7E21">
      <w:pPr>
        <w:pStyle w:val="NoSpacing"/>
        <w:ind w:left="720"/>
      </w:pPr>
      <w:r w:rsidRPr="00077FEA">
        <w:t xml:space="preserve">After </w:t>
      </w:r>
      <w:proofErr w:type="gramStart"/>
      <w:r w:rsidRPr="00077FEA">
        <w:t>receipt of</w:t>
      </w:r>
      <w:proofErr w:type="gramEnd"/>
      <w:r w:rsidRPr="00077FEA">
        <w:t xml:space="preserve"> the letter, the City confirmed that the proposed treatment plan complied with its policies.</w:t>
      </w:r>
    </w:p>
    <w:p w14:paraId="14DD3C6C" w14:textId="77777777" w:rsidR="00AD7E21" w:rsidRDefault="00AD7E21" w:rsidP="00AD7E21">
      <w:pPr>
        <w:pStyle w:val="NoSpacing"/>
        <w:ind w:left="720"/>
      </w:pPr>
    </w:p>
    <w:p w14:paraId="0663C21F" w14:textId="77777777" w:rsidR="00AD7E21" w:rsidRDefault="00AD7E21" w:rsidP="00AD7E21">
      <w:pPr>
        <w:pStyle w:val="NoSpacing"/>
        <w:ind w:left="720"/>
      </w:pPr>
      <w:r>
        <w:t>***</w:t>
      </w:r>
    </w:p>
    <w:p w14:paraId="3C1ACC4B" w14:textId="77777777" w:rsidR="00AD7E21" w:rsidRDefault="00AD7E21" w:rsidP="00AD7E21">
      <w:pPr>
        <w:pStyle w:val="NoSpacing"/>
        <w:ind w:left="720"/>
      </w:pPr>
      <w:r w:rsidRPr="00746CE2">
        <w:t xml:space="preserve">The </w:t>
      </w:r>
      <w:proofErr w:type="gramStart"/>
      <w:r w:rsidRPr="00746CE2">
        <w:t>City</w:t>
      </w:r>
      <w:proofErr w:type="gramEnd"/>
      <w:r w:rsidRPr="00746CE2">
        <w:t xml:space="preserve"> was not required to reassign Wheeling's fire inspection and prevention responsibilities to other employees</w:t>
      </w:r>
      <w:r>
        <w:t xml:space="preserve">…. </w:t>
      </w:r>
      <w:r w:rsidRPr="00746CE2">
        <w:t xml:space="preserve">Therefore, based on the record, Wheeling's request to have other employees help with </w:t>
      </w:r>
      <w:r>
        <w:t>‘</w:t>
      </w:r>
      <w:r w:rsidRPr="00746CE2">
        <w:t xml:space="preserve">fire </w:t>
      </w:r>
      <w:proofErr w:type="gramStart"/>
      <w:r w:rsidRPr="00746CE2">
        <w:t>inspections</w:t>
      </w:r>
      <w:r>
        <w:t>’</w:t>
      </w:r>
      <w:r w:rsidRPr="00746CE2">
        <w:t xml:space="preserve"> and </w:t>
      </w:r>
      <w:r>
        <w:t>‘</w:t>
      </w:r>
      <w:proofErr w:type="gramEnd"/>
      <w:r w:rsidRPr="00746CE2">
        <w:t>fire prevention</w:t>
      </w:r>
      <w:r>
        <w:t>’</w:t>
      </w:r>
      <w:r w:rsidRPr="00746CE2">
        <w:t xml:space="preserve"> seeks </w:t>
      </w:r>
      <w:proofErr w:type="gramStart"/>
      <w:r w:rsidRPr="00746CE2">
        <w:t>an accommodation</w:t>
      </w:r>
      <w:proofErr w:type="gramEnd"/>
      <w:r w:rsidRPr="00746CE2">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746CE2">
        <w:t xml:space="preserve">Because Wheeling failed to provide a reasonable accommodation request, his failure to accommodate claim fails as a matter of </w:t>
      </w:r>
      <w:proofErr w:type="gramStart"/>
      <w:r w:rsidRPr="00746CE2">
        <w:t>law.</w:t>
      </w:r>
      <w:r>
        <w:t>”</w:t>
      </w:r>
      <w:proofErr w:type="gramEnd"/>
    </w:p>
    <w:p w14:paraId="6B1C3974" w14:textId="77777777" w:rsidR="00AD7E21" w:rsidRDefault="00AD7E21" w:rsidP="00AD7E21">
      <w:pPr>
        <w:pStyle w:val="NoSpacing"/>
        <w:ind w:left="720"/>
      </w:pPr>
    </w:p>
    <w:p w14:paraId="34D4F9AC" w14:textId="77777777" w:rsidR="00AD7E21" w:rsidRDefault="00AD7E21" w:rsidP="00AD7E21">
      <w:pPr>
        <w:pStyle w:val="NoSpacing"/>
        <w:rPr>
          <w:b/>
          <w:bCs/>
        </w:rPr>
      </w:pPr>
      <w:r>
        <w:rPr>
          <w:b/>
        </w:rPr>
        <w:t xml:space="preserve">Legal lesson learned: The ADA does not require an employer to allow use of proscribed marijuana for an emergency responder. </w:t>
      </w:r>
    </w:p>
    <w:p w14:paraId="697B0FED" w14:textId="77777777" w:rsidR="00AD7E21" w:rsidRDefault="00AD7E21" w:rsidP="00AD7E21">
      <w:pPr>
        <w:pStyle w:val="NoSpacing"/>
        <w:rPr>
          <w:b/>
          <w:bCs/>
        </w:rPr>
      </w:pPr>
    </w:p>
    <w:p w14:paraId="311EEC23" w14:textId="77777777" w:rsidR="00AD7E21" w:rsidRPr="00CC791A" w:rsidRDefault="00AD7E21" w:rsidP="00AD7E21">
      <w:pPr>
        <w:pStyle w:val="NoSpacing"/>
        <w:ind w:left="720"/>
      </w:pPr>
      <w:r w:rsidRPr="00CC791A">
        <w:t>Note: Good news. The Court wrote that “Wheeling is currently employed at the Clark County Fire Department, which is also where he began his career as a firefighter in 2008.”</w:t>
      </w:r>
    </w:p>
    <w:p w14:paraId="68E3C65E" w14:textId="77777777" w:rsidR="00AD7E21" w:rsidRDefault="00AD7E21" w:rsidP="004D70DC">
      <w:pPr>
        <w:pStyle w:val="NoSpacing"/>
        <w:rPr>
          <w:rFonts w:ascii="Arial Black" w:hAnsi="Arial Black"/>
          <w:sz w:val="24"/>
          <w:szCs w:val="24"/>
        </w:rPr>
      </w:pPr>
    </w:p>
    <w:p w14:paraId="58A20E15" w14:textId="77777777" w:rsidR="009330C5" w:rsidRDefault="009330C5" w:rsidP="004D70DC">
      <w:pPr>
        <w:pStyle w:val="NoSpacing"/>
        <w:rPr>
          <w:rFonts w:ascii="Arial Black" w:hAnsi="Arial Black"/>
          <w:sz w:val="24"/>
          <w:szCs w:val="24"/>
        </w:rPr>
      </w:pPr>
    </w:p>
    <w:p w14:paraId="7C5BA53C" w14:textId="77777777" w:rsidR="009330C5" w:rsidRDefault="009330C5" w:rsidP="004D70DC">
      <w:pPr>
        <w:pStyle w:val="NoSpacing"/>
        <w:rPr>
          <w:rFonts w:ascii="Arial Black" w:hAnsi="Arial Black"/>
          <w:sz w:val="24"/>
          <w:szCs w:val="24"/>
        </w:rPr>
      </w:pPr>
    </w:p>
    <w:p w14:paraId="164A4EB6" w14:textId="5C030ECD" w:rsidR="004D70DC" w:rsidRDefault="004D70DC" w:rsidP="004D70DC">
      <w:pPr>
        <w:pStyle w:val="NoSpacing"/>
        <w:rPr>
          <w:rFonts w:ascii="Arial Black" w:hAnsi="Arial Black"/>
          <w:sz w:val="24"/>
          <w:szCs w:val="24"/>
        </w:rPr>
      </w:pPr>
      <w:r>
        <w:rPr>
          <w:rFonts w:ascii="Arial Black" w:hAnsi="Arial Black"/>
          <w:sz w:val="24"/>
          <w:szCs w:val="24"/>
        </w:rPr>
        <w:t>15-52</w:t>
      </w:r>
      <w:r w:rsidR="003E35D8">
        <w:rPr>
          <w:rFonts w:ascii="Arial Black" w:hAnsi="Arial Black"/>
          <w:sz w:val="24"/>
          <w:szCs w:val="24"/>
        </w:rPr>
        <w:t xml:space="preserve"> [also filed, Chap. 9 – ADA]</w:t>
      </w:r>
    </w:p>
    <w:p w14:paraId="5566CD44" w14:textId="77777777" w:rsidR="004D70DC" w:rsidRDefault="004D70DC" w:rsidP="00073CC7">
      <w:pPr>
        <w:pStyle w:val="NoSpacing"/>
        <w:rPr>
          <w:rFonts w:ascii="Arial Black" w:hAnsi="Arial Black"/>
          <w:sz w:val="28"/>
          <w:szCs w:val="28"/>
        </w:rPr>
      </w:pPr>
    </w:p>
    <w:p w14:paraId="2F7BA50A" w14:textId="63DD979F" w:rsidR="00073CC7" w:rsidRDefault="00073CC7" w:rsidP="00073CC7">
      <w:pPr>
        <w:pStyle w:val="NoSpacing"/>
        <w:rPr>
          <w:rFonts w:ascii="Arial Black" w:hAnsi="Arial Black"/>
          <w:bCs/>
          <w:sz w:val="28"/>
          <w:szCs w:val="28"/>
        </w:rPr>
      </w:pPr>
      <w:r>
        <w:rPr>
          <w:rFonts w:ascii="Arial Black" w:hAnsi="Arial Black"/>
          <w:sz w:val="28"/>
          <w:szCs w:val="28"/>
        </w:rPr>
        <w:t>MD: DEPRESSION – SLOWER STATION – CASE PROCEED</w:t>
      </w:r>
    </w:p>
    <w:p w14:paraId="35772BD4" w14:textId="77777777" w:rsidR="00073CC7" w:rsidRDefault="00073CC7" w:rsidP="00073CC7">
      <w:pPr>
        <w:pStyle w:val="NoSpacing"/>
        <w:rPr>
          <w:rFonts w:ascii="Arial Black" w:hAnsi="Arial Black"/>
          <w:bCs/>
          <w:sz w:val="28"/>
          <w:szCs w:val="28"/>
        </w:rPr>
      </w:pPr>
    </w:p>
    <w:p w14:paraId="37D92A86" w14:textId="77777777" w:rsidR="00073CC7" w:rsidRDefault="00073CC7" w:rsidP="00073CC7">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2501" w:history="1">
        <w:r w:rsidRPr="003A1948">
          <w:rPr>
            <w:rStyle w:val="Hyperlink"/>
          </w:rPr>
          <w:t>https://cases.justia.com/federal/district-courts/maryland/mddce/1:2024cv03580/573207/56/0.pdf?ts=1777474810</w:t>
        </w:r>
      </w:hyperlink>
      <w:r>
        <w:t xml:space="preserve"> </w:t>
      </w:r>
    </w:p>
    <w:p w14:paraId="21412D99" w14:textId="77777777" w:rsidR="00073CC7" w:rsidRDefault="00073CC7" w:rsidP="00073CC7">
      <w:pPr>
        <w:pStyle w:val="NoSpacing"/>
      </w:pPr>
    </w:p>
    <w:p w14:paraId="5C7F1508" w14:textId="77777777" w:rsidR="00073CC7" w:rsidRDefault="00073CC7" w:rsidP="00073CC7">
      <w:pPr>
        <w:pStyle w:val="NoSpacing"/>
      </w:pPr>
      <w:r>
        <w:t xml:space="preserve">THE COURT HELD: </w:t>
      </w:r>
    </w:p>
    <w:p w14:paraId="1256B491" w14:textId="77777777" w:rsidR="00073CC7" w:rsidRDefault="00073CC7" w:rsidP="00073CC7">
      <w:pPr>
        <w:pStyle w:val="NoSpacing"/>
      </w:pPr>
    </w:p>
    <w:p w14:paraId="2359DE4B" w14:textId="77777777" w:rsidR="00073CC7" w:rsidRDefault="00073CC7" w:rsidP="00073CC7">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49B19EE4" w14:textId="77777777" w:rsidR="00073CC7" w:rsidRDefault="00073CC7" w:rsidP="00073CC7">
      <w:pPr>
        <w:pStyle w:val="NoSpacing"/>
        <w:ind w:left="720"/>
      </w:pPr>
    </w:p>
    <w:p w14:paraId="3E295AC8" w14:textId="77777777" w:rsidR="00073CC7" w:rsidRDefault="00073CC7" w:rsidP="00073CC7">
      <w:pPr>
        <w:pStyle w:val="NoSpacing"/>
        <w:ind w:left="720"/>
      </w:pPr>
      <w:r>
        <w:t>***</w:t>
      </w:r>
    </w:p>
    <w:p w14:paraId="538C8F36" w14:textId="77777777" w:rsidR="00073CC7" w:rsidRDefault="00073CC7" w:rsidP="00073CC7">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525EDB50" w14:textId="77777777" w:rsidR="00073CC7" w:rsidRDefault="00073CC7" w:rsidP="00073CC7">
      <w:pPr>
        <w:pStyle w:val="NoSpacing"/>
        <w:ind w:left="720"/>
      </w:pPr>
    </w:p>
    <w:p w14:paraId="1C107DF5" w14:textId="77777777" w:rsidR="00073CC7" w:rsidRDefault="00073CC7" w:rsidP="00073CC7">
      <w:pPr>
        <w:pStyle w:val="NoSpacing"/>
        <w:ind w:left="720"/>
      </w:pPr>
      <w:r>
        <w:t>***</w:t>
      </w:r>
    </w:p>
    <w:p w14:paraId="3FBCD714" w14:textId="77777777" w:rsidR="00073CC7" w:rsidRDefault="00073CC7" w:rsidP="00073CC7">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4A93E126" w14:textId="77777777" w:rsidR="00073CC7" w:rsidRDefault="00073CC7" w:rsidP="00073CC7">
      <w:pPr>
        <w:pStyle w:val="NoSpacing"/>
        <w:ind w:left="720"/>
      </w:pPr>
    </w:p>
    <w:p w14:paraId="26314234" w14:textId="77777777" w:rsidR="00073CC7" w:rsidRDefault="00073CC7" w:rsidP="00073CC7">
      <w:pPr>
        <w:pStyle w:val="NoSpacing"/>
        <w:ind w:left="720"/>
      </w:pPr>
      <w:r>
        <w:t>***</w:t>
      </w:r>
    </w:p>
    <w:p w14:paraId="4AC57EBC" w14:textId="77777777" w:rsidR="00073CC7" w:rsidRDefault="00073CC7" w:rsidP="00073CC7">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159BD4D5" w14:textId="77777777" w:rsidR="00073CC7" w:rsidRDefault="00073CC7" w:rsidP="00073CC7">
      <w:pPr>
        <w:pStyle w:val="NoSpacing"/>
        <w:ind w:left="720"/>
      </w:pPr>
    </w:p>
    <w:p w14:paraId="16409D63" w14:textId="77777777" w:rsidR="00073CC7" w:rsidRPr="004A2357" w:rsidRDefault="00073CC7" w:rsidP="00073CC7">
      <w:pPr>
        <w:rPr>
          <w:b/>
          <w:bCs/>
        </w:rPr>
      </w:pPr>
      <w:r>
        <w:rPr>
          <w:b/>
        </w:rPr>
        <w:t>Legal lesson learned: The firefighter has burden of proof in this ADA case; permanent assignment to a slower station is a unique request for “reasonable accommodation.”</w:t>
      </w:r>
    </w:p>
    <w:p w14:paraId="00192D29" w14:textId="77777777" w:rsidR="00116265" w:rsidRDefault="00116265" w:rsidP="000C4DF5">
      <w:pPr>
        <w:pStyle w:val="NoSpacing"/>
        <w:rPr>
          <w:rFonts w:ascii="Arial Black" w:hAnsi="Arial Black"/>
          <w:sz w:val="24"/>
          <w:szCs w:val="24"/>
        </w:rPr>
      </w:pPr>
    </w:p>
    <w:p w14:paraId="614A862A" w14:textId="77777777" w:rsidR="00073CC7" w:rsidRDefault="00073CC7" w:rsidP="00C143F8">
      <w:pPr>
        <w:pStyle w:val="NoSpacing"/>
        <w:rPr>
          <w:rFonts w:ascii="Arial Black" w:hAnsi="Arial Black"/>
          <w:b/>
          <w:sz w:val="28"/>
          <w:szCs w:val="28"/>
        </w:rPr>
      </w:pPr>
    </w:p>
    <w:p w14:paraId="32235DA2" w14:textId="77777777" w:rsidR="004D70DC" w:rsidRDefault="004D70DC" w:rsidP="004D70DC">
      <w:pPr>
        <w:pStyle w:val="NoSpacing"/>
        <w:rPr>
          <w:rFonts w:ascii="Arial Black" w:hAnsi="Arial Black"/>
          <w:sz w:val="24"/>
          <w:szCs w:val="24"/>
        </w:rPr>
      </w:pPr>
    </w:p>
    <w:p w14:paraId="67DF0229" w14:textId="026BE2FD" w:rsidR="004D70DC" w:rsidRDefault="004D70DC" w:rsidP="004D70DC">
      <w:pPr>
        <w:pStyle w:val="NoSpacing"/>
        <w:rPr>
          <w:rFonts w:ascii="Arial Black" w:hAnsi="Arial Black"/>
          <w:sz w:val="24"/>
          <w:szCs w:val="24"/>
        </w:rPr>
      </w:pPr>
      <w:r>
        <w:rPr>
          <w:rFonts w:ascii="Arial Black" w:hAnsi="Arial Black"/>
          <w:sz w:val="24"/>
          <w:szCs w:val="24"/>
        </w:rPr>
        <w:t>15-51</w:t>
      </w:r>
      <w:r w:rsidR="00BC4752">
        <w:rPr>
          <w:rFonts w:ascii="Arial Black" w:hAnsi="Arial Black"/>
          <w:sz w:val="24"/>
          <w:szCs w:val="24"/>
        </w:rPr>
        <w:t xml:space="preserve">  [also filed, Chap. 9, ADA]</w:t>
      </w:r>
    </w:p>
    <w:p w14:paraId="3015DCA7" w14:textId="77777777" w:rsidR="00073CC7" w:rsidRDefault="00073CC7" w:rsidP="00C143F8">
      <w:pPr>
        <w:pStyle w:val="NoSpacing"/>
        <w:rPr>
          <w:rFonts w:ascii="Arial Black" w:hAnsi="Arial Black"/>
          <w:b/>
          <w:sz w:val="28"/>
          <w:szCs w:val="28"/>
        </w:rPr>
      </w:pPr>
    </w:p>
    <w:p w14:paraId="1F2026C2" w14:textId="77777777" w:rsidR="00073CC7" w:rsidRDefault="00073CC7" w:rsidP="00C143F8">
      <w:pPr>
        <w:pStyle w:val="NoSpacing"/>
        <w:rPr>
          <w:rFonts w:ascii="Arial Black" w:hAnsi="Arial Black"/>
          <w:b/>
          <w:sz w:val="28"/>
          <w:szCs w:val="28"/>
        </w:rPr>
      </w:pPr>
    </w:p>
    <w:p w14:paraId="3964AC7F" w14:textId="51BEC88A" w:rsidR="00C143F8" w:rsidRDefault="00C143F8" w:rsidP="00C143F8">
      <w:pPr>
        <w:pStyle w:val="NoSpacing"/>
        <w:rPr>
          <w:rFonts w:ascii="Arial Black" w:hAnsi="Arial Black"/>
          <w:b/>
          <w:sz w:val="28"/>
          <w:szCs w:val="28"/>
        </w:rPr>
      </w:pPr>
      <w:r>
        <w:rPr>
          <w:rFonts w:ascii="Arial Black" w:hAnsi="Arial Black"/>
          <w:b/>
          <w:sz w:val="28"/>
          <w:szCs w:val="28"/>
        </w:rPr>
        <w:t xml:space="preserve">TX: ASSISTANT CHIEF – PTSD – NOT RIGHT INDEF. LEAVE </w:t>
      </w:r>
    </w:p>
    <w:p w14:paraId="663A5AE7" w14:textId="77777777" w:rsidR="00C143F8" w:rsidRDefault="00C143F8" w:rsidP="00C143F8">
      <w:pPr>
        <w:pStyle w:val="NoSpacing"/>
        <w:rPr>
          <w:rFonts w:ascii="Arial Black" w:hAnsi="Arial Black"/>
          <w:b/>
          <w:sz w:val="28"/>
          <w:szCs w:val="28"/>
        </w:rPr>
      </w:pPr>
    </w:p>
    <w:p w14:paraId="67BE36CB" w14:textId="77777777" w:rsidR="00C143F8" w:rsidRDefault="00C143F8" w:rsidP="00C143F8">
      <w:pPr>
        <w:pStyle w:val="NoSpacing"/>
        <w:rPr>
          <w:b/>
        </w:rPr>
      </w:pPr>
      <w:r>
        <w:t xml:space="preserve">On April 8, 2026, in </w:t>
      </w:r>
      <w:r w:rsidRPr="003A1915">
        <w:rPr>
          <w:u w:val="single"/>
        </w:rPr>
        <w:t>Cameron Kramer v. City of Frisco, Texas</w:t>
      </w:r>
      <w:r>
        <w:t xml:space="preserve">, the </w:t>
      </w:r>
      <w:r w:rsidRPr="003A1915">
        <w:t>Court of Appeals of Texas, Twelfth District, Tyler</w:t>
      </w:r>
      <w:r>
        <w:t xml:space="preserve"> held (3 to 0) that trial court properly granted summary judgment to the City since the Assistant Chief never able to provide a </w:t>
      </w:r>
      <w:r w:rsidRPr="006D408F">
        <w:t xml:space="preserve">psychological </w:t>
      </w:r>
      <w:r w:rsidRPr="008C5C09">
        <w:t>clearance</w:t>
      </w:r>
      <w:r>
        <w:t xml:space="preserve"> to return to work and indefinite leave is not a reasonable accommodation.   </w:t>
      </w:r>
      <w:r w:rsidRPr="00AA4727">
        <w:t xml:space="preserve">On August 15, </w:t>
      </w:r>
      <w:proofErr w:type="gramStart"/>
      <w:r w:rsidRPr="00AA4727">
        <w:t>2022</w:t>
      </w:r>
      <w:proofErr w:type="gramEnd"/>
      <w:r>
        <w:t xml:space="preserve"> he took Family Medical Leave Act leave for PTSD until November 1, 2022; took another 90 days of leave under City’s policy; </w:t>
      </w:r>
      <w:proofErr w:type="gramStart"/>
      <w:r>
        <w:t>in</w:t>
      </w:r>
      <w:proofErr w:type="gramEnd"/>
      <w:r>
        <w:t xml:space="preserve"> January 31, </w:t>
      </w:r>
      <w:proofErr w:type="gramStart"/>
      <w:r>
        <w:t>2023</w:t>
      </w:r>
      <w:proofErr w:type="gramEnd"/>
      <w:r>
        <w:t xml:space="preserve"> the city approved additional unpaid leave until March 31 as an accommodation for his PTSD; o</w:t>
      </w:r>
      <w:r w:rsidRPr="00E87171">
        <w:t>n March 31, Kraemer requested additional unpaid leave through April 30, stating at the</w:t>
      </w:r>
      <w:r>
        <w:t xml:space="preserve"> </w:t>
      </w:r>
      <w:r w:rsidRPr="00E87171">
        <w:t xml:space="preserve">end of the leave period, he would </w:t>
      </w:r>
      <w:r>
        <w:t>‘</w:t>
      </w:r>
      <w:r w:rsidRPr="00E87171">
        <w:t>be re-evaluated</w:t>
      </w:r>
      <w:r>
        <w:t xml:space="preserve">” by his treating physician.  </w:t>
      </w:r>
      <w:r w:rsidRPr="00C4058E">
        <w:t>The City viewed this as a request for</w:t>
      </w:r>
      <w:r>
        <w:t xml:space="preserve"> </w:t>
      </w:r>
      <w:r w:rsidRPr="00C4058E">
        <w:t>indefinite unpaid leave and the City’s human resources director, Lauren Safranek, initially</w:t>
      </w:r>
      <w:r>
        <w:t xml:space="preserve"> </w:t>
      </w:r>
      <w:r w:rsidRPr="00C4058E">
        <w:t xml:space="preserve">informed Kraemer that the City could not grant such a </w:t>
      </w:r>
      <w:proofErr w:type="gramStart"/>
      <w:r w:rsidRPr="00C4058E">
        <w:t>reques</w:t>
      </w:r>
      <w:r>
        <w:t>t, but</w:t>
      </w:r>
      <w:proofErr w:type="gramEnd"/>
      <w:r>
        <w:t xml:space="preserve"> gave him until </w:t>
      </w:r>
      <w:r w:rsidRPr="008C5C09">
        <w:t>April 30 to allow him to</w:t>
      </w:r>
      <w:r>
        <w:t xml:space="preserve"> </w:t>
      </w:r>
      <w:r w:rsidRPr="008C5C09">
        <w:t xml:space="preserve">obtain the required </w:t>
      </w:r>
      <w:r w:rsidRPr="006D408F">
        <w:t xml:space="preserve">psychological </w:t>
      </w:r>
      <w:r w:rsidRPr="008C5C09">
        <w:t>clearance, which Kraemer did not submit.</w:t>
      </w:r>
      <w:r>
        <w:t xml:space="preserve"> </w:t>
      </w:r>
      <w:r w:rsidRPr="00FB0730">
        <w:t xml:space="preserve">On May 1, 2023, the </w:t>
      </w:r>
      <w:proofErr w:type="gramStart"/>
      <w:r w:rsidRPr="00FB0730">
        <w:t>City</w:t>
      </w:r>
      <w:proofErr w:type="gramEnd"/>
      <w:r w:rsidRPr="00FB0730">
        <w:t xml:space="preserve"> informed Kraemer via letter that his employment was</w:t>
      </w:r>
      <w:r>
        <w:t xml:space="preserve"> </w:t>
      </w:r>
      <w:r w:rsidRPr="00FB0730">
        <w:t>terminated because of his inability to return to work “with or without reasonable</w:t>
      </w:r>
      <w:r>
        <w:t xml:space="preserve"> </w:t>
      </w:r>
      <w:r w:rsidRPr="00FB0730">
        <w:t>accommodations” following the end of his leave period</w:t>
      </w:r>
      <w:r>
        <w:t xml:space="preserve">. The letter stated, in relevant part, that “the vacancy in the position of Assistant Fire Chief is compromising the operations of the City of Frisco Fire Department and granting continued accommodations of additional leave would cause an undue burden and hardship for the department and the </w:t>
      </w:r>
      <w:proofErr w:type="gramStart"/>
      <w:r>
        <w:t>City</w:t>
      </w:r>
      <w:proofErr w:type="gramEnd"/>
      <w:r>
        <w:t xml:space="preserve">, placing the safety of the community and the department at risk.” </w:t>
      </w:r>
      <w:hyperlink r:id="rId2502" w:history="1">
        <w:r w:rsidRPr="00941A72">
          <w:rPr>
            <w:rStyle w:val="Hyperlink"/>
            <w:b/>
          </w:rPr>
          <w:t>https://cases.justia.com/texas/twelfth-court-of-appeals/2026-12-25-00273-cv.pdf?ts=1775749638</w:t>
        </w:r>
      </w:hyperlink>
      <w:r>
        <w:rPr>
          <w:b/>
        </w:rPr>
        <w:t xml:space="preserve"> </w:t>
      </w:r>
    </w:p>
    <w:p w14:paraId="0748F2A6" w14:textId="77777777" w:rsidR="00C143F8" w:rsidRDefault="00C143F8" w:rsidP="00C143F8">
      <w:pPr>
        <w:pStyle w:val="NoSpacing"/>
      </w:pPr>
      <w:r>
        <w:t xml:space="preserve"> </w:t>
      </w:r>
    </w:p>
    <w:p w14:paraId="1491892C" w14:textId="77777777" w:rsidR="00C143F8" w:rsidRDefault="00C143F8" w:rsidP="00C143F8">
      <w:pPr>
        <w:pStyle w:val="NoSpacing"/>
        <w:rPr>
          <w:bCs/>
        </w:rPr>
      </w:pPr>
      <w:r>
        <w:t>THE COURT HELD:</w:t>
      </w:r>
    </w:p>
    <w:p w14:paraId="2E481FAC" w14:textId="77777777" w:rsidR="00C143F8" w:rsidRDefault="00C143F8" w:rsidP="00C143F8">
      <w:pPr>
        <w:pStyle w:val="NoSpacing"/>
        <w:rPr>
          <w:bCs/>
        </w:rPr>
      </w:pPr>
    </w:p>
    <w:p w14:paraId="1FF3D64A" w14:textId="77777777" w:rsidR="00C143F8" w:rsidRDefault="00C143F8" w:rsidP="00C143F8">
      <w:pPr>
        <w:pStyle w:val="NoSpacing"/>
        <w:ind w:left="720"/>
      </w:pPr>
      <w:r>
        <w:t>“Although taking leave that is limited in duration may be a reasonable accommodation to enable an employee to perform the essential functions of the job upon return, taking leave without a specified date to return is not a reasonable accommodation.</w:t>
      </w:r>
    </w:p>
    <w:p w14:paraId="68708F53" w14:textId="77777777" w:rsidR="00C143F8" w:rsidRDefault="00C143F8" w:rsidP="00C143F8">
      <w:pPr>
        <w:pStyle w:val="NoSpacing"/>
        <w:ind w:left="720"/>
      </w:pPr>
    </w:p>
    <w:p w14:paraId="41375711" w14:textId="77777777" w:rsidR="00C143F8" w:rsidRDefault="00C143F8" w:rsidP="00C143F8">
      <w:pPr>
        <w:pStyle w:val="NoSpacing"/>
        <w:ind w:left="720"/>
      </w:pPr>
      <w:r>
        <w:t>***</w:t>
      </w:r>
    </w:p>
    <w:p w14:paraId="031400F2" w14:textId="77777777" w:rsidR="00C143F8" w:rsidRDefault="00C143F8" w:rsidP="00C143F8">
      <w:pPr>
        <w:pStyle w:val="NoSpacing"/>
      </w:pPr>
    </w:p>
    <w:p w14:paraId="3174E841" w14:textId="77777777" w:rsidR="00C143F8" w:rsidRDefault="00C143F8" w:rsidP="00C143F8">
      <w:pPr>
        <w:pStyle w:val="NoSpacing"/>
        <w:ind w:firstLine="720"/>
      </w:pPr>
      <w:r>
        <w:t>The evidence shows that Kraemer discussed with Safranek whether he might be capable</w:t>
      </w:r>
    </w:p>
    <w:p w14:paraId="6CFEE320" w14:textId="77777777" w:rsidR="00C143F8" w:rsidRDefault="00C143F8" w:rsidP="00C143F8">
      <w:pPr>
        <w:pStyle w:val="NoSpacing"/>
        <w:ind w:left="720"/>
      </w:pPr>
      <w:r>
        <w:t xml:space="preserve">of returning to work on a reduced schedule, but nothing showing that he, or any of his doctors, ever concluded that, despite his disability, he </w:t>
      </w:r>
      <w:proofErr w:type="gramStart"/>
      <w:r>
        <w:t>was capable of performing</w:t>
      </w:r>
      <w:proofErr w:type="gramEnd"/>
      <w:r>
        <w:t xml:space="preserve"> the functions of the assistant fire chief position at all, even on a part-time basis…. In April of 2024, Dr. </w:t>
      </w:r>
      <w:proofErr w:type="spellStart"/>
      <w:r>
        <w:t>Tedwell</w:t>
      </w:r>
      <w:proofErr w:type="spellEnd"/>
      <w:r>
        <w:t xml:space="preserve"> testified before an administrative law judge that throughout her treatment relationship with Kraemer, her opinion has ‘always been that he has not been ready to go back to Frisco Fire Department[,]” an opinion which persisted until the time of her testimony.”</w:t>
      </w:r>
    </w:p>
    <w:p w14:paraId="095C277B" w14:textId="77777777" w:rsidR="00C143F8" w:rsidRDefault="00C143F8" w:rsidP="00C143F8">
      <w:pPr>
        <w:pStyle w:val="NoSpacing"/>
        <w:ind w:left="720"/>
      </w:pPr>
    </w:p>
    <w:p w14:paraId="2F63600B" w14:textId="77777777" w:rsidR="00C143F8" w:rsidRDefault="00C143F8" w:rsidP="00C143F8">
      <w:pPr>
        <w:pStyle w:val="NoSpacing"/>
      </w:pPr>
      <w:r>
        <w:rPr>
          <w:b/>
        </w:rPr>
        <w:t xml:space="preserve">Legal lesson learned: Indefinite leave is not reasonable accommodation. </w:t>
      </w:r>
    </w:p>
    <w:p w14:paraId="12684EFB" w14:textId="77777777" w:rsidR="00C143F8" w:rsidRDefault="00C143F8" w:rsidP="00C143F8">
      <w:pPr>
        <w:pStyle w:val="NoSpacing"/>
        <w:rPr>
          <w:b/>
        </w:rPr>
      </w:pPr>
    </w:p>
    <w:p w14:paraId="46AAA383" w14:textId="77777777" w:rsidR="00C143F8" w:rsidRDefault="00C143F8" w:rsidP="00C143F8">
      <w:pPr>
        <w:pStyle w:val="NoSpacing"/>
        <w:rPr>
          <w:bCs/>
        </w:rPr>
      </w:pPr>
    </w:p>
    <w:p w14:paraId="27C5B9FA" w14:textId="77777777" w:rsidR="00C143F8" w:rsidRDefault="00C143F8" w:rsidP="000C4DF5">
      <w:pPr>
        <w:pStyle w:val="NoSpacing"/>
        <w:rPr>
          <w:rFonts w:ascii="Arial Black" w:hAnsi="Arial Black"/>
          <w:sz w:val="24"/>
          <w:szCs w:val="24"/>
        </w:rPr>
      </w:pPr>
    </w:p>
    <w:p w14:paraId="2BB69D62" w14:textId="77777777" w:rsidR="00C143F8" w:rsidRDefault="00C143F8" w:rsidP="000C4DF5">
      <w:pPr>
        <w:pStyle w:val="NoSpacing"/>
        <w:rPr>
          <w:rFonts w:ascii="Arial Black" w:hAnsi="Arial Black"/>
          <w:sz w:val="24"/>
          <w:szCs w:val="24"/>
        </w:rPr>
      </w:pPr>
    </w:p>
    <w:p w14:paraId="4FB3A242" w14:textId="77777777" w:rsidR="00C143F8" w:rsidRDefault="00C143F8" w:rsidP="000C4DF5">
      <w:pPr>
        <w:pStyle w:val="NoSpacing"/>
        <w:rPr>
          <w:rFonts w:ascii="Arial Black" w:hAnsi="Arial Black"/>
          <w:sz w:val="24"/>
          <w:szCs w:val="24"/>
        </w:rPr>
      </w:pPr>
    </w:p>
    <w:p w14:paraId="79D2DD40" w14:textId="77777777" w:rsidR="00116265" w:rsidRDefault="00116265" w:rsidP="000C4DF5">
      <w:pPr>
        <w:pStyle w:val="NoSpacing"/>
        <w:rPr>
          <w:rFonts w:ascii="Arial Black" w:hAnsi="Arial Black"/>
          <w:sz w:val="24"/>
          <w:szCs w:val="24"/>
        </w:rPr>
      </w:pPr>
    </w:p>
    <w:p w14:paraId="39BCE9BA" w14:textId="60E6302B" w:rsidR="009256C3" w:rsidRDefault="009256C3" w:rsidP="000C4DF5">
      <w:pPr>
        <w:pStyle w:val="NoSpacing"/>
        <w:rPr>
          <w:rFonts w:ascii="Arial Black" w:hAnsi="Arial Black"/>
          <w:sz w:val="24"/>
          <w:szCs w:val="24"/>
        </w:rPr>
      </w:pPr>
      <w:r>
        <w:rPr>
          <w:rFonts w:ascii="Arial Black" w:hAnsi="Arial Black"/>
          <w:sz w:val="24"/>
          <w:szCs w:val="24"/>
        </w:rPr>
        <w:t>15-50</w:t>
      </w:r>
    </w:p>
    <w:p w14:paraId="313520FC" w14:textId="77777777" w:rsidR="009256C3" w:rsidRDefault="009256C3" w:rsidP="000C4DF5">
      <w:pPr>
        <w:pStyle w:val="NoSpacing"/>
        <w:rPr>
          <w:rFonts w:ascii="Arial Black" w:hAnsi="Arial Black"/>
          <w:sz w:val="24"/>
          <w:szCs w:val="24"/>
        </w:rPr>
      </w:pPr>
    </w:p>
    <w:p w14:paraId="5AB78115" w14:textId="77777777" w:rsidR="0075332D" w:rsidRPr="00745672" w:rsidRDefault="0075332D" w:rsidP="0075332D">
      <w:pPr>
        <w:pStyle w:val="NoSpacing"/>
        <w:rPr>
          <w:rFonts w:ascii="Arial Black" w:hAnsi="Arial Black"/>
          <w:b/>
          <w:sz w:val="28"/>
          <w:szCs w:val="28"/>
        </w:rPr>
      </w:pPr>
      <w:r>
        <w:rPr>
          <w:rFonts w:ascii="Arial Black" w:hAnsi="Arial Black"/>
          <w:b/>
          <w:sz w:val="28"/>
          <w:szCs w:val="28"/>
        </w:rPr>
        <w:t xml:space="preserve">MI: PSYCH EXAM – UNFIT DUTY / FF NO FOLLOW UP - FIRED </w:t>
      </w:r>
    </w:p>
    <w:p w14:paraId="4CDFDF17" w14:textId="77777777" w:rsidR="0075332D" w:rsidRDefault="0075332D" w:rsidP="0075332D">
      <w:pPr>
        <w:pStyle w:val="NoSpacing"/>
      </w:pPr>
    </w:p>
    <w:p w14:paraId="437E54BD" w14:textId="77777777" w:rsidR="0075332D" w:rsidRPr="000713CE" w:rsidRDefault="0075332D" w:rsidP="0075332D">
      <w:pPr>
        <w:pStyle w:val="NoSpacing"/>
        <w:rPr>
          <w:b/>
        </w:rPr>
      </w:pPr>
      <w:r>
        <w:t xml:space="preserve">On March 17, </w:t>
      </w:r>
      <w:proofErr w:type="gramStart"/>
      <w:r>
        <w:t>2026</w:t>
      </w:r>
      <w:proofErr w:type="gramEnd"/>
      <w:r>
        <w:t xml:space="preserve"> in </w:t>
      </w:r>
      <w:r w:rsidRPr="004C658C">
        <w:rPr>
          <w:u w:val="single"/>
        </w:rPr>
        <w:t>Dan Martin v. City of Flat Rock Fire Department and City of Flat Rock</w:t>
      </w:r>
      <w:r>
        <w:t xml:space="preserve">, the </w:t>
      </w:r>
      <w:r w:rsidRPr="004C658C">
        <w:t>Court of Appeals of Michigan</w:t>
      </w:r>
      <w:r>
        <w:t xml:space="preserve"> held (3 to 0; unpublished decision) that trial court properly granted summary judgment to the defense after pre-trial discovery was completed.  Plaintiff </w:t>
      </w:r>
      <w:proofErr w:type="gramStart"/>
      <w:r>
        <w:t>clamed</w:t>
      </w:r>
      <w:proofErr w:type="gramEnd"/>
      <w:r>
        <w:t xml:space="preserve"> retaliation for being a whistleblower about hostile conduct towards him by another firefighter and his support for a discrimination claim by another firefighter. The Court held that  the Fire Chief had a legitimate basis to order him on May 8, 2029 to undergo a psychological examination, to continue him on administrative leave when he was determined to currently be unfit for duty, and to terminate him in December 2019 for failure to the undertake the recommended </w:t>
      </w:r>
      <w:r w:rsidRPr="001C3227">
        <w:t>neuropsychological testing</w:t>
      </w:r>
      <w:r>
        <w:t xml:space="preserve">, and </w:t>
      </w:r>
      <w:r w:rsidRPr="001C3227">
        <w:t>12 psychotherapy sessions with a therapist</w:t>
      </w:r>
      <w:r>
        <w:t xml:space="preserve">, and </w:t>
      </w:r>
      <w:r w:rsidRPr="001C3227">
        <w:t>consultation with his physician regarding antidepression medication</w:t>
      </w:r>
      <w:r>
        <w:t xml:space="preserve">. </w:t>
      </w:r>
      <w:hyperlink r:id="rId2503" w:history="1">
        <w:r w:rsidRPr="004D13CD">
          <w:rPr>
            <w:rStyle w:val="Hyperlink"/>
          </w:rPr>
          <w:t>https://www.courts.michigan.gov/494b62/siteassets/case-documents/uploads/opinions/final/coa/20260317_c372830_50_372830.opn.pdf</w:t>
        </w:r>
      </w:hyperlink>
      <w:r>
        <w:t xml:space="preserve">  </w:t>
      </w:r>
    </w:p>
    <w:p w14:paraId="6085B944" w14:textId="77777777" w:rsidR="0075332D" w:rsidRDefault="0075332D" w:rsidP="0075332D">
      <w:pPr>
        <w:pStyle w:val="NoSpacing"/>
      </w:pPr>
    </w:p>
    <w:p w14:paraId="0521410B" w14:textId="77777777" w:rsidR="0075332D" w:rsidRDefault="0075332D" w:rsidP="0075332D">
      <w:pPr>
        <w:pStyle w:val="NoSpacing"/>
      </w:pPr>
    </w:p>
    <w:p w14:paraId="67C90694" w14:textId="77777777" w:rsidR="0075332D" w:rsidRDefault="0075332D" w:rsidP="0075332D">
      <w:pPr>
        <w:pStyle w:val="NoSpacing"/>
      </w:pPr>
      <w:r>
        <w:t xml:space="preserve">THE COURT HELD: “Plaintiff has failed to present sufficient evidence from which a </w:t>
      </w:r>
      <w:proofErr w:type="gramStart"/>
      <w:r>
        <w:t>fact-finder</w:t>
      </w:r>
      <w:proofErr w:type="gramEnd"/>
      <w:r>
        <w:t xml:space="preserve"> could reasonably infer that defendants’ decisions to place plaintiff on administrative leave and to continue his leave had a retaliatory basis.</w:t>
      </w:r>
    </w:p>
    <w:p w14:paraId="260E55D3" w14:textId="77777777" w:rsidR="0075332D" w:rsidRDefault="0075332D" w:rsidP="0075332D">
      <w:pPr>
        <w:pStyle w:val="NoSpacing"/>
      </w:pPr>
    </w:p>
    <w:p w14:paraId="0EFF5560" w14:textId="77777777" w:rsidR="0075332D" w:rsidRDefault="0075332D" w:rsidP="0075332D">
      <w:pPr>
        <w:pStyle w:val="NoSpacing"/>
      </w:pPr>
      <w:r>
        <w:t>***</w:t>
      </w:r>
    </w:p>
    <w:p w14:paraId="747AEF8E" w14:textId="77777777" w:rsidR="0075332D" w:rsidRPr="009E0DEA" w:rsidRDefault="0075332D" w:rsidP="0075332D">
      <w:pPr>
        <w:pStyle w:val="NoSpacing"/>
      </w:pPr>
      <w:r w:rsidRPr="009E0DEA">
        <w:t>Fire Chief Vack recommended that plaintiff undergo physical and psychological</w:t>
      </w:r>
    </w:p>
    <w:p w14:paraId="2B4516D2" w14:textId="77777777" w:rsidR="0075332D" w:rsidRPr="009E0DEA" w:rsidRDefault="0075332D" w:rsidP="0075332D">
      <w:pPr>
        <w:pStyle w:val="NoSpacing"/>
      </w:pPr>
      <w:r w:rsidRPr="009E0DEA">
        <w:t xml:space="preserve">evaluations </w:t>
      </w:r>
      <w:proofErr w:type="gramStart"/>
      <w:r w:rsidRPr="009E0DEA">
        <w:t>on the basis of</w:t>
      </w:r>
      <w:proofErr w:type="gramEnd"/>
      <w:r w:rsidRPr="009E0DEA">
        <w:t xml:space="preserve"> his own observations as well as concerns reported to him by Sergeant</w:t>
      </w:r>
    </w:p>
    <w:p w14:paraId="14893010" w14:textId="77777777" w:rsidR="0075332D" w:rsidRPr="009E0DEA" w:rsidRDefault="0075332D" w:rsidP="0075332D">
      <w:pPr>
        <w:pStyle w:val="NoSpacing"/>
      </w:pPr>
      <w:r w:rsidRPr="009E0DEA">
        <w:t>John Rose, Sergeant Rich, Metzger, and other firefighters. These concerns included: plaintiff</w:t>
      </w:r>
    </w:p>
    <w:p w14:paraId="6E058B02" w14:textId="77777777" w:rsidR="0075332D" w:rsidRPr="009E0DEA" w:rsidRDefault="0075332D" w:rsidP="0075332D">
      <w:pPr>
        <w:pStyle w:val="NoSpacing"/>
      </w:pPr>
      <w:r w:rsidRPr="009E0DEA">
        <w:t>failed to pay attention to details, acted strangely, had slurred/mumbled speech, had issues</w:t>
      </w:r>
    </w:p>
    <w:p w14:paraId="65B2CA94" w14:textId="77777777" w:rsidR="0075332D" w:rsidRPr="009E0DEA" w:rsidRDefault="0075332D" w:rsidP="0075332D">
      <w:pPr>
        <w:pStyle w:val="NoSpacing"/>
      </w:pPr>
      <w:r w:rsidRPr="009E0DEA">
        <w:t>maintaining his train of thought during a conversation, was taking numerous medications that</w:t>
      </w:r>
    </w:p>
    <w:p w14:paraId="17127D8A" w14:textId="77777777" w:rsidR="0075332D" w:rsidRPr="009E0DEA" w:rsidRDefault="0075332D" w:rsidP="0075332D">
      <w:pPr>
        <w:pStyle w:val="NoSpacing"/>
      </w:pPr>
      <w:r w:rsidRPr="009E0DEA">
        <w:t>appeared to alter his mental status, embellished stories, authored reports that did not make sense,</w:t>
      </w:r>
    </w:p>
    <w:p w14:paraId="3B66CE95" w14:textId="77777777" w:rsidR="0075332D" w:rsidRPr="009E0DEA" w:rsidRDefault="0075332D" w:rsidP="0075332D">
      <w:pPr>
        <w:pStyle w:val="NoSpacing"/>
      </w:pPr>
      <w:r w:rsidRPr="009E0DEA">
        <w:t xml:space="preserve">had driving issues, </w:t>
      </w:r>
      <w:proofErr w:type="gramStart"/>
      <w:r w:rsidRPr="009E0DEA">
        <w:t>provided</w:t>
      </w:r>
      <w:proofErr w:type="gramEnd"/>
      <w:r w:rsidRPr="009E0DEA">
        <w:t xml:space="preserve"> inaccurate patient histories, and behaved erratically. Fire Chief Vack</w:t>
      </w:r>
    </w:p>
    <w:p w14:paraId="720FED7D" w14:textId="77777777" w:rsidR="0075332D" w:rsidRPr="009E0DEA" w:rsidRDefault="0075332D" w:rsidP="0075332D">
      <w:pPr>
        <w:pStyle w:val="NoSpacing"/>
      </w:pPr>
      <w:r w:rsidRPr="009E0DEA">
        <w:t>expressed that he was concerned about plaintiff’s physical and mental health as well at the city’s</w:t>
      </w:r>
    </w:p>
    <w:p w14:paraId="6816B990" w14:textId="77777777" w:rsidR="0075332D" w:rsidRDefault="0075332D" w:rsidP="0075332D">
      <w:pPr>
        <w:pStyle w:val="NoSpacing"/>
      </w:pPr>
      <w:r w:rsidRPr="009E0DEA">
        <w:t>and fire department’s liability exposure.</w:t>
      </w:r>
      <w:r>
        <w:t>”</w:t>
      </w:r>
    </w:p>
    <w:p w14:paraId="4AD9AB8B" w14:textId="77777777" w:rsidR="0075332D" w:rsidRDefault="0075332D" w:rsidP="0075332D">
      <w:pPr>
        <w:pStyle w:val="NoSpacing"/>
      </w:pPr>
    </w:p>
    <w:p w14:paraId="1B96D25C" w14:textId="77777777" w:rsidR="0075332D" w:rsidRPr="003852D1" w:rsidRDefault="0075332D" w:rsidP="0075332D">
      <w:pPr>
        <w:pStyle w:val="NoSpacing"/>
        <w:rPr>
          <w:b/>
          <w:bCs/>
        </w:rPr>
      </w:pPr>
      <w:r w:rsidRPr="003852D1">
        <w:rPr>
          <w:b/>
        </w:rPr>
        <w:t>Legal lesson learned:</w:t>
      </w:r>
      <w:r>
        <w:rPr>
          <w:b/>
        </w:rPr>
        <w:t xml:space="preserve"> There was a legitimate basis to order psychological exam of the firefighter. </w:t>
      </w:r>
    </w:p>
    <w:p w14:paraId="0410C541" w14:textId="77777777" w:rsidR="0075332D" w:rsidRDefault="0075332D" w:rsidP="0075332D">
      <w:pPr>
        <w:pStyle w:val="NoSpacing"/>
      </w:pPr>
    </w:p>
    <w:p w14:paraId="1FC81AC3" w14:textId="77777777" w:rsidR="0075332D" w:rsidRDefault="0075332D" w:rsidP="000C4DF5">
      <w:pPr>
        <w:pStyle w:val="NoSpacing"/>
        <w:rPr>
          <w:rFonts w:ascii="Arial Black" w:hAnsi="Arial Black"/>
          <w:sz w:val="24"/>
          <w:szCs w:val="24"/>
        </w:rPr>
      </w:pPr>
    </w:p>
    <w:p w14:paraId="26123236" w14:textId="77777777" w:rsidR="009256C3" w:rsidRDefault="009256C3" w:rsidP="000C4DF5">
      <w:pPr>
        <w:pStyle w:val="NoSpacing"/>
        <w:rPr>
          <w:rFonts w:ascii="Arial Black" w:hAnsi="Arial Black"/>
          <w:sz w:val="24"/>
          <w:szCs w:val="24"/>
        </w:rPr>
      </w:pPr>
    </w:p>
    <w:p w14:paraId="2A497C01" w14:textId="77777777" w:rsidR="009256C3" w:rsidRDefault="009256C3" w:rsidP="000C4DF5">
      <w:pPr>
        <w:pStyle w:val="NoSpacing"/>
        <w:rPr>
          <w:rFonts w:ascii="Arial Black" w:hAnsi="Arial Black"/>
          <w:sz w:val="24"/>
          <w:szCs w:val="24"/>
        </w:rPr>
      </w:pPr>
    </w:p>
    <w:p w14:paraId="7154C7CA" w14:textId="231CFE03" w:rsidR="00816988" w:rsidRDefault="00610D0A" w:rsidP="000C4DF5">
      <w:pPr>
        <w:pStyle w:val="NoSpacing"/>
        <w:rPr>
          <w:rFonts w:ascii="Arial Black" w:hAnsi="Arial Black"/>
          <w:sz w:val="24"/>
          <w:szCs w:val="24"/>
        </w:rPr>
      </w:pPr>
      <w:r>
        <w:rPr>
          <w:rFonts w:ascii="Arial Black" w:hAnsi="Arial Black"/>
          <w:sz w:val="24"/>
          <w:szCs w:val="24"/>
        </w:rPr>
        <w:t>15-</w:t>
      </w:r>
      <w:r w:rsidR="001F6F71">
        <w:rPr>
          <w:rFonts w:ascii="Arial Black" w:hAnsi="Arial Black"/>
          <w:sz w:val="24"/>
          <w:szCs w:val="24"/>
        </w:rPr>
        <w:t>49</w:t>
      </w:r>
    </w:p>
    <w:p w14:paraId="507A0D33" w14:textId="77777777" w:rsidR="009256C3" w:rsidRDefault="009256C3" w:rsidP="000C4DF5">
      <w:pPr>
        <w:pStyle w:val="NoSpacing"/>
        <w:rPr>
          <w:rFonts w:ascii="Arial Black" w:hAnsi="Arial Black"/>
          <w:sz w:val="24"/>
          <w:szCs w:val="24"/>
        </w:rPr>
      </w:pPr>
    </w:p>
    <w:p w14:paraId="1A1F67C3" w14:textId="77777777" w:rsidR="001F6F71" w:rsidRPr="00D32581" w:rsidRDefault="001F6F71" w:rsidP="001F6F71">
      <w:pPr>
        <w:pStyle w:val="NoSpacing"/>
        <w:rPr>
          <w:rFonts w:ascii="Arial Black" w:hAnsi="Arial Black"/>
          <w:sz w:val="28"/>
          <w:szCs w:val="28"/>
        </w:rPr>
      </w:pPr>
      <w:r>
        <w:rPr>
          <w:rFonts w:ascii="Arial Black" w:hAnsi="Arial Black"/>
          <w:sz w:val="28"/>
          <w:szCs w:val="28"/>
        </w:rPr>
        <w:t>TX: MEDIC SUICIDE – COUNTY SUBPOENA PSYCH RECORDS</w:t>
      </w:r>
    </w:p>
    <w:p w14:paraId="41DC524C" w14:textId="77777777" w:rsidR="001F6F71" w:rsidRDefault="001F6F71" w:rsidP="001F6F71">
      <w:pPr>
        <w:pStyle w:val="NoSpacing"/>
      </w:pPr>
    </w:p>
    <w:p w14:paraId="3C4DF8C3" w14:textId="77777777" w:rsidR="001F6F71" w:rsidRDefault="001F6F71" w:rsidP="001F6F71">
      <w:pPr>
        <w:pStyle w:val="NoSpacing"/>
      </w:pPr>
      <w:r>
        <w:t xml:space="preserve">On February 24, 2026, in </w:t>
      </w:r>
      <w:r w:rsidRPr="00DD524A">
        <w:rPr>
          <w:u w:val="single"/>
        </w:rPr>
        <w:t>In Re Fort Bend County, et al. v. Joshua Heiliger, individually and</w:t>
      </w:r>
      <w:r>
        <w:rPr>
          <w:u w:val="single"/>
        </w:rPr>
        <w:t xml:space="preserve"> </w:t>
      </w:r>
      <w:r w:rsidRPr="00DD524A">
        <w:rPr>
          <w:u w:val="single"/>
        </w:rPr>
        <w:t>on behalf</w:t>
      </w:r>
      <w:r>
        <w:rPr>
          <w:u w:val="single"/>
        </w:rPr>
        <w:t xml:space="preserve"> </w:t>
      </w:r>
      <w:r w:rsidRPr="00DD524A">
        <w:rPr>
          <w:u w:val="single"/>
        </w:rPr>
        <w:t xml:space="preserve"> o</w:t>
      </w:r>
      <w:r>
        <w:rPr>
          <w:u w:val="single"/>
        </w:rPr>
        <w:t>f</w:t>
      </w:r>
      <w:r w:rsidRPr="00DD524A">
        <w:rPr>
          <w:u w:val="single"/>
        </w:rPr>
        <w:t xml:space="preserve"> the estate of Lauren Smith, deceased, et al</w:t>
      </w:r>
      <w:r>
        <w:t xml:space="preserve">., the </w:t>
      </w:r>
      <w:r w:rsidRPr="00DD524A">
        <w:t>Court of Appeals of Texas, Fifteenth District</w:t>
      </w:r>
      <w:r>
        <w:t xml:space="preserve"> held (3 to 0) that the trial court had no jurisdiction in this contested worker’s compensation case about dispute of Lauren’s medical records. The worker’s comp Administrative Law Judge should decide of the County’s subpoena can be enforced for the medical records from </w:t>
      </w:r>
      <w:r w:rsidRPr="00D245C9">
        <w:t>Dr. John Marcellus, the doctor who prescribed Lauren's ADHD medication</w:t>
      </w:r>
      <w:r>
        <w:t xml:space="preserve">, her </w:t>
      </w:r>
      <w:r w:rsidRPr="00D245C9">
        <w:t>hypertension along with her complaints about stress.</w:t>
      </w:r>
      <w:r>
        <w:t xml:space="preserve"> His lawsuit is therefore ordered dismissed.   </w:t>
      </w:r>
    </w:p>
    <w:p w14:paraId="164D31CD" w14:textId="77777777" w:rsidR="001F6F71" w:rsidRDefault="001F6F71" w:rsidP="001F6F71">
      <w:pPr>
        <w:pStyle w:val="NoSpacing"/>
      </w:pPr>
      <w:hyperlink r:id="rId2504" w:history="1">
        <w:r w:rsidRPr="00CB2F3F">
          <w:rPr>
            <w:rStyle w:val="Hyperlink"/>
          </w:rPr>
          <w:t>https://cases.justia.com/texas/fifteenth-court-of-appeals/2026-15-25-00102-cv.pdf?ts=1771951104</w:t>
        </w:r>
      </w:hyperlink>
      <w:r>
        <w:t xml:space="preserve"> </w:t>
      </w:r>
    </w:p>
    <w:p w14:paraId="2A7C3A99" w14:textId="77777777" w:rsidR="001F6F71" w:rsidRDefault="001F6F71" w:rsidP="001F6F71">
      <w:pPr>
        <w:pStyle w:val="NoSpacing"/>
      </w:pPr>
    </w:p>
    <w:p w14:paraId="7AE0D11A" w14:textId="77777777" w:rsidR="001F6F71" w:rsidRDefault="001F6F71" w:rsidP="001F6F71">
      <w:pPr>
        <w:pStyle w:val="NoSpacing"/>
        <w:rPr>
          <w:bCs/>
        </w:rPr>
      </w:pPr>
      <w:r>
        <w:t>THE COURT HELD:  “</w:t>
      </w:r>
      <w:r w:rsidRPr="00766FC4">
        <w:t>Heiliger</w:t>
      </w:r>
      <w:r>
        <w:t xml:space="preserve"> … </w:t>
      </w:r>
      <w:r w:rsidRPr="00766FC4">
        <w:t>filed his claim with the Division</w:t>
      </w:r>
      <w:r>
        <w:t xml:space="preserve"> [of Worker’s Compensation]</w:t>
      </w:r>
      <w:r w:rsidRPr="00766FC4">
        <w:t xml:space="preserve">, seeking a finding that he and his daughter are entitled to workers' compensation benefits because his wife died </w:t>
      </w:r>
      <w:proofErr w:type="gramStart"/>
      <w:r w:rsidRPr="00766FC4">
        <w:t>as a result of</w:t>
      </w:r>
      <w:proofErr w:type="gramEnd"/>
      <w:r w:rsidRPr="00766FC4">
        <w:t xml:space="preserve"> her work, a contention her employer contests</w:t>
      </w:r>
      <w:r>
        <w:t>…. I</w:t>
      </w:r>
      <w:r w:rsidRPr="00E11DDE">
        <w:t>n this case, that means if Heiliger objected to the amended subpoena or the subpoenaed party did not comply, then the ALJ or Fort Bend County</w:t>
      </w:r>
      <w:r>
        <w:t xml:space="preserve"> </w:t>
      </w:r>
      <w:r w:rsidRPr="00E11DDE">
        <w:t>-</w:t>
      </w:r>
      <w:r>
        <w:t xml:space="preserve"> </w:t>
      </w:r>
      <w:r w:rsidRPr="00E11DDE">
        <w:t>not Heiliger-</w:t>
      </w:r>
      <w:r>
        <w:t xml:space="preserve"> </w:t>
      </w:r>
      <w:r w:rsidRPr="00E11DDE">
        <w:t>would have the option to seek an order compelling compliance from a district court in Travis County or Harris County. Instead, Heiliger took matters into his own hands and filed a suit in Harris County to enjoin the subpoena instead of waiting for the administrative process to play out</w:t>
      </w:r>
      <w:r>
        <w:t xml:space="preserve">…. </w:t>
      </w:r>
      <w:r w:rsidRPr="00A22D34">
        <w:t xml:space="preserve">We first address whether the trial court has jurisdiction over Heiliger's suit and </w:t>
      </w:r>
      <w:proofErr w:type="gramStart"/>
      <w:r w:rsidRPr="00A22D34">
        <w:t>conclude</w:t>
      </w:r>
      <w:proofErr w:type="gramEnd"/>
      <w:r w:rsidRPr="00A22D34">
        <w:t xml:space="preserve"> it does not. "The Division of Workers' Compensation administers the [workers' compensation] system and has exclusive jurisdiction to determine </w:t>
      </w:r>
      <w:r>
        <w:t xml:space="preserve"> </w:t>
      </w:r>
      <w:r w:rsidRPr="00A22D34">
        <w:t xml:space="preserve">compensation entitlement and to award any benefits." </w:t>
      </w:r>
      <w:r w:rsidRPr="00A22D34">
        <w:rPr>
          <w:i/>
          <w:iCs/>
        </w:rPr>
        <w:t>University of Tex. Rio Grande Valley v. Oteka</w:t>
      </w:r>
      <w:r w:rsidRPr="00A22D34">
        <w:t xml:space="preserve">, 715 S.W.3d 734, 736 (Tex. 2025). </w:t>
      </w:r>
    </w:p>
    <w:p w14:paraId="1DC2C444" w14:textId="77777777" w:rsidR="001F6F71" w:rsidRDefault="001F6F71" w:rsidP="001F6F71">
      <w:pPr>
        <w:pStyle w:val="NoSpacing"/>
        <w:rPr>
          <w:bCs/>
        </w:rPr>
      </w:pPr>
    </w:p>
    <w:p w14:paraId="53F014E2" w14:textId="77777777" w:rsidR="001F6F71" w:rsidRPr="00445625" w:rsidRDefault="001F6F71" w:rsidP="001F6F71">
      <w:pPr>
        <w:pStyle w:val="NoSpacing"/>
        <w:rPr>
          <w:b/>
        </w:rPr>
      </w:pPr>
      <w:r>
        <w:rPr>
          <w:b/>
        </w:rPr>
        <w:t xml:space="preserve">Legal lesson learned: The worker’s comp. Hearing Officer will now decide if the deceased’s medical records must be disclosed and then hold a hearing on the worker’s comp claim. </w:t>
      </w:r>
    </w:p>
    <w:p w14:paraId="3C5DF413" w14:textId="77777777" w:rsidR="001F6F71" w:rsidRDefault="001F6F71" w:rsidP="001F6F71">
      <w:pPr>
        <w:pStyle w:val="NoSpacing"/>
        <w:rPr>
          <w:bCs/>
        </w:rPr>
      </w:pPr>
    </w:p>
    <w:p w14:paraId="4EA13948" w14:textId="77777777" w:rsidR="001F6F71" w:rsidRDefault="001F6F71" w:rsidP="000C4DF5">
      <w:pPr>
        <w:pStyle w:val="NoSpacing"/>
        <w:rPr>
          <w:rFonts w:ascii="Arial Black" w:hAnsi="Arial Black"/>
          <w:sz w:val="24"/>
          <w:szCs w:val="24"/>
        </w:rPr>
      </w:pPr>
    </w:p>
    <w:p w14:paraId="6075AF63" w14:textId="77777777" w:rsidR="00683602" w:rsidRDefault="00683602" w:rsidP="00683602">
      <w:pPr>
        <w:pStyle w:val="NoSpacing"/>
        <w:rPr>
          <w:rFonts w:ascii="Arial Black" w:hAnsi="Arial Black"/>
          <w:b/>
          <w:sz w:val="28"/>
          <w:szCs w:val="28"/>
        </w:rPr>
      </w:pPr>
      <w:r>
        <w:rPr>
          <w:rFonts w:ascii="Arial Black" w:hAnsi="Arial Black"/>
          <w:b/>
          <w:sz w:val="28"/>
          <w:szCs w:val="28"/>
        </w:rPr>
        <w:t>OR: DISPATCHER – 20 YRS – 2 MDs / NO PTSD - NO WK COMP</w:t>
      </w:r>
    </w:p>
    <w:p w14:paraId="1DD65FCE" w14:textId="77777777" w:rsidR="00683602" w:rsidRDefault="00683602" w:rsidP="00683602">
      <w:pPr>
        <w:pStyle w:val="NoSpacing"/>
        <w:rPr>
          <w:b/>
        </w:rPr>
      </w:pPr>
    </w:p>
    <w:p w14:paraId="44261875" w14:textId="77777777" w:rsidR="00683602" w:rsidRPr="00BD3E91" w:rsidRDefault="00683602" w:rsidP="00683602">
      <w:pPr>
        <w:pStyle w:val="NoSpacing"/>
        <w:rPr>
          <w:bCs/>
        </w:rPr>
      </w:pPr>
      <w:r>
        <w:t xml:space="preserve">On Feb. 11, 2026, in </w:t>
      </w:r>
      <w:r w:rsidRPr="00817C08">
        <w:rPr>
          <w:u w:val="single"/>
        </w:rPr>
        <w:t>In The Matter Of The Compensation Of Camille Smicz v. Deschutes County 911 Service District</w:t>
      </w:r>
      <w:r>
        <w:t xml:space="preserve">, the </w:t>
      </w:r>
      <w:r w:rsidRPr="00817C08">
        <w:t>Court of Appeals of Oregon</w:t>
      </w:r>
      <w:r>
        <w:t xml:space="preserve"> held (3 to 0) that the </w:t>
      </w:r>
      <w:r w:rsidRPr="00FB066E">
        <w:t>Workers' Compensation Board</w:t>
      </w:r>
      <w:r>
        <w:t xml:space="preserve">’s </w:t>
      </w:r>
      <w:r w:rsidRPr="00BD3E91">
        <w:t>determination</w:t>
      </w:r>
      <w:r>
        <w:t xml:space="preserve"> was s</w:t>
      </w:r>
      <w:r w:rsidRPr="00BD3E91">
        <w:t>upported by substantial evidence</w:t>
      </w:r>
      <w:r>
        <w:t>; the   c</w:t>
      </w:r>
      <w:r w:rsidRPr="00BD3E91">
        <w:t xml:space="preserve">laimant </w:t>
      </w:r>
      <w:r>
        <w:t xml:space="preserve">failed to </w:t>
      </w:r>
      <w:r w:rsidRPr="00BD3E91">
        <w:t xml:space="preserve">establish by a preponderance of persuasive medical evidence that </w:t>
      </w:r>
      <w:r>
        <w:t xml:space="preserve">she </w:t>
      </w:r>
      <w:r w:rsidRPr="00BD3E91">
        <w:t>met the criteria for PTSD.</w:t>
      </w:r>
      <w:r>
        <w:t xml:space="preserve"> </w:t>
      </w:r>
      <w:r w:rsidRPr="00225020">
        <w:t xml:space="preserve">The </w:t>
      </w:r>
      <w:r>
        <w:t xml:space="preserve">Administrative Law Judge after a hearing denied her claim, and </w:t>
      </w:r>
      <w:r w:rsidRPr="00225020">
        <w:t xml:space="preserve">Board found that </w:t>
      </w:r>
      <w:r>
        <w:t>the opinion of Dr. Barran (psychologist who interviewed her for 3 hours)</w:t>
      </w:r>
      <w:r w:rsidRPr="00225020">
        <w:t xml:space="preserve"> "was not based on a complete or accurate history" because he did not review the reports of the </w:t>
      </w:r>
      <w:r>
        <w:t xml:space="preserve">two </w:t>
      </w:r>
      <w:r w:rsidRPr="00225020">
        <w:t>other diagnosing medical doctors</w:t>
      </w:r>
      <w:r>
        <w:t xml:space="preserve"> (psychiatrist and a psychologist) who concluded she does suffer from PTSD. </w:t>
      </w:r>
      <w:hyperlink r:id="rId2505" w:history="1">
        <w:r w:rsidRPr="002B0907">
          <w:rPr>
            <w:rStyle w:val="Hyperlink"/>
          </w:rPr>
          <w:t>https://www.casemine.com/judgement/us/698dd4328a508cf645e20167</w:t>
        </w:r>
      </w:hyperlink>
      <w:r>
        <w:t xml:space="preserve"> </w:t>
      </w:r>
    </w:p>
    <w:p w14:paraId="04852A4E" w14:textId="77777777" w:rsidR="00683602" w:rsidRPr="00817C08" w:rsidRDefault="00683602" w:rsidP="00683602">
      <w:pPr>
        <w:pStyle w:val="NoSpacing"/>
        <w:rPr>
          <w:bCs/>
        </w:rPr>
      </w:pPr>
    </w:p>
    <w:p w14:paraId="03B4B819" w14:textId="77777777" w:rsidR="00683602" w:rsidRDefault="00683602" w:rsidP="00683602">
      <w:pPr>
        <w:pStyle w:val="NoSpacing"/>
      </w:pPr>
      <w:r>
        <w:t>THE COURT HELD: “</w:t>
      </w:r>
      <w:r w:rsidRPr="00A972C2">
        <w:t xml:space="preserve">Claimant worked as a 9-1-1 dispatcher for 20 years. Over her 20 years as a dispatcher, claimant assisted by phone with many alarming and disturbing situations, and she eventually asserted that the </w:t>
      </w:r>
      <w:r>
        <w:t>‘</w:t>
      </w:r>
      <w:r w:rsidRPr="00A972C2">
        <w:t>continued exposure to trauma and critical incidents</w:t>
      </w:r>
      <w:r>
        <w:t>’</w:t>
      </w:r>
      <w:r w:rsidRPr="00A972C2">
        <w:t xml:space="preserve"> led to an occupational disease of </w:t>
      </w:r>
      <w:r>
        <w:t>‘</w:t>
      </w:r>
      <w:r w:rsidRPr="00A972C2">
        <w:t>PTSD, secondary trauma, [and] cumulative stress disorder.</w:t>
      </w:r>
      <w:r>
        <w:t>’</w:t>
      </w:r>
      <w:r w:rsidRPr="00A972C2">
        <w:t xml:space="preserve"> However, the combined medical history that all three testifying experts relied upon also indicated significant non-work-related stressors that claimant experienced and that had led to her receiving other mental health diagnoses in the past—including that claimant's son had been in residential facilities due to developmental disabilities and violence toward claimant, such as holding a belt across claim- ant's neck while she was sleeping; that claimant recently went through a divorce that required a restraining order; and that claimant had severe health complications from an unsuccessful surgery.</w:t>
      </w:r>
      <w:r>
        <w:t xml:space="preserve"> *** </w:t>
      </w:r>
      <w:r w:rsidRPr="00C54522">
        <w:t xml:space="preserve">The three experts differed in their assessment of claimant. Drs. Wicher (a psychologist) and </w:t>
      </w:r>
      <w:proofErr w:type="spellStart"/>
      <w:r w:rsidRPr="00C54522">
        <w:t>Telew</w:t>
      </w:r>
      <w:proofErr w:type="spellEnd"/>
      <w:r w:rsidRPr="00C54522">
        <w:t xml:space="preserve"> (a psychiatrist) conducted medical evaluations at the request of claimant's employer and could not determine that claimant suffered from PTSD. Wicher concluded that her symptoms better fit the criteria for an adjustment disorder, and upon reviewing her previous diagnoses, concluded that her major depressive disorder and unspecified anxiety disorder developed </w:t>
      </w:r>
      <w:proofErr w:type="gramStart"/>
      <w:r w:rsidRPr="00C54522">
        <w:t>during the course of</w:t>
      </w:r>
      <w:proofErr w:type="gramEnd"/>
      <w:r w:rsidRPr="00C54522">
        <w:t xml:space="preserve"> her </w:t>
      </w:r>
      <w:proofErr w:type="gramStart"/>
      <w:r w:rsidRPr="00C54522">
        <w:t xml:space="preserve">work, </w:t>
      </w:r>
      <w:r>
        <w:t>‘</w:t>
      </w:r>
      <w:proofErr w:type="gramEnd"/>
      <w:r w:rsidRPr="00C54522">
        <w:t>but not largely due to the experiences at work.</w:t>
      </w:r>
      <w:r>
        <w:t>’</w:t>
      </w:r>
      <w:r w:rsidRPr="00C54522">
        <w:t xml:space="preserve"> </w:t>
      </w:r>
      <w:proofErr w:type="spellStart"/>
      <w:r w:rsidRPr="00C54522">
        <w:t>Telew</w:t>
      </w:r>
      <w:proofErr w:type="spellEnd"/>
      <w:r w:rsidRPr="00C54522">
        <w:t xml:space="preserve"> similarly opined that </w:t>
      </w:r>
      <w:r>
        <w:t>‘</w:t>
      </w:r>
      <w:r w:rsidRPr="00C54522">
        <w:t>[</w:t>
      </w:r>
      <w:proofErr w:type="spellStart"/>
      <w:r w:rsidRPr="00C54522">
        <w:t>i</w:t>
      </w:r>
      <w:proofErr w:type="spellEnd"/>
      <w:r w:rsidRPr="00C54522">
        <w:t>]t is evident that she does not have sufficient symptomatology to make a diagnosis of PTSD.</w:t>
      </w:r>
      <w:r>
        <w:t>’</w:t>
      </w:r>
      <w:r w:rsidRPr="00C54522">
        <w:t xml:space="preserve"> His analysis included indications that she was exaggerating symptoms, did not have a problem discussing events she identified as traumatic, and did not avoid or even evi</w:t>
      </w:r>
      <w:r>
        <w:t>de</w:t>
      </w:r>
      <w:r w:rsidRPr="00C54522">
        <w:t xml:space="preserve">nce a reaction to stimuli that she had identified as causing panic </w:t>
      </w:r>
      <w:proofErr w:type="gramStart"/>
      <w:r w:rsidRPr="00C54522">
        <w:t>attacks.</w:t>
      </w:r>
      <w:r>
        <w:t>”</w:t>
      </w:r>
      <w:proofErr w:type="gramEnd"/>
    </w:p>
    <w:p w14:paraId="47074EAE" w14:textId="77777777" w:rsidR="00683602" w:rsidRDefault="00683602" w:rsidP="00683602">
      <w:pPr>
        <w:pStyle w:val="NoSpacing"/>
      </w:pPr>
    </w:p>
    <w:p w14:paraId="7E623A81" w14:textId="77777777" w:rsidR="00683602" w:rsidRPr="00B71524" w:rsidRDefault="00683602" w:rsidP="00683602">
      <w:pPr>
        <w:pStyle w:val="NoSpacing"/>
      </w:pPr>
      <w:r w:rsidRPr="00AA6A27">
        <w:rPr>
          <w:b/>
        </w:rPr>
        <w:t xml:space="preserve">Legal lesson learned: </w:t>
      </w:r>
      <w:r>
        <w:rPr>
          <w:b/>
        </w:rPr>
        <w:t xml:space="preserve">Battle of the experts; two experts found no work created PTSD. </w:t>
      </w:r>
    </w:p>
    <w:p w14:paraId="22FD0A02" w14:textId="77777777" w:rsidR="00683602" w:rsidRDefault="00683602" w:rsidP="000C4DF5">
      <w:pPr>
        <w:pStyle w:val="NoSpacing"/>
        <w:rPr>
          <w:rFonts w:ascii="Arial Black" w:hAnsi="Arial Black"/>
          <w:sz w:val="24"/>
          <w:szCs w:val="24"/>
        </w:rPr>
      </w:pPr>
    </w:p>
    <w:p w14:paraId="111CEE87" w14:textId="77777777" w:rsidR="00610D0A" w:rsidRDefault="00610D0A" w:rsidP="00491756">
      <w:pPr>
        <w:pStyle w:val="NoSpacing"/>
        <w:rPr>
          <w:rFonts w:ascii="Arial Black" w:hAnsi="Arial Black"/>
          <w:sz w:val="24"/>
          <w:szCs w:val="24"/>
        </w:rPr>
      </w:pPr>
    </w:p>
    <w:p w14:paraId="3A086F43" w14:textId="77777777" w:rsidR="00610D0A" w:rsidRDefault="00610D0A" w:rsidP="00491756">
      <w:pPr>
        <w:pStyle w:val="NoSpacing"/>
        <w:rPr>
          <w:rFonts w:ascii="Arial Black" w:hAnsi="Arial Black"/>
          <w:sz w:val="24"/>
          <w:szCs w:val="24"/>
        </w:rPr>
      </w:pPr>
    </w:p>
    <w:p w14:paraId="70D213C8" w14:textId="77777777" w:rsidR="00610D0A" w:rsidRDefault="00610D0A" w:rsidP="00491756">
      <w:pPr>
        <w:pStyle w:val="NoSpacing"/>
        <w:rPr>
          <w:rFonts w:ascii="Arial Black" w:hAnsi="Arial Black"/>
          <w:sz w:val="24"/>
          <w:szCs w:val="24"/>
        </w:rPr>
      </w:pPr>
    </w:p>
    <w:p w14:paraId="4AB005F8" w14:textId="70A1233F" w:rsidR="00CD6C01" w:rsidRPr="00977F30" w:rsidRDefault="00CD6C01" w:rsidP="00491756">
      <w:pPr>
        <w:pStyle w:val="NoSpacing"/>
        <w:rPr>
          <w:rFonts w:ascii="Times New Roman" w:hAnsi="Times New Roman"/>
          <w:sz w:val="24"/>
          <w:szCs w:val="24"/>
        </w:rPr>
      </w:pPr>
      <w:r>
        <w:rPr>
          <w:rFonts w:ascii="Arial Black" w:hAnsi="Arial Black"/>
          <w:sz w:val="24"/>
          <w:szCs w:val="24"/>
        </w:rPr>
        <w:t>15-4</w:t>
      </w:r>
      <w:r w:rsidR="003D2AAD">
        <w:rPr>
          <w:rFonts w:ascii="Arial Black" w:hAnsi="Arial Black"/>
          <w:sz w:val="24"/>
          <w:szCs w:val="24"/>
        </w:rPr>
        <w:t xml:space="preserve">7 </w:t>
      </w:r>
      <w:r w:rsidR="003D2AAD" w:rsidRPr="003D2AAD">
        <w:rPr>
          <w:rFonts w:ascii="Times New Roman" w:hAnsi="Times New Roman"/>
          <w:sz w:val="24"/>
          <w:szCs w:val="24"/>
        </w:rPr>
        <w:t>[also filed,</w:t>
      </w:r>
      <w:r w:rsidR="003D2AAD">
        <w:rPr>
          <w:rFonts w:ascii="Arial Black" w:hAnsi="Arial Black"/>
          <w:sz w:val="24"/>
          <w:szCs w:val="24"/>
        </w:rPr>
        <w:t xml:space="preserve"> </w:t>
      </w:r>
      <w:r w:rsidR="00977F30" w:rsidRPr="00977F30">
        <w:rPr>
          <w:rFonts w:ascii="Times New Roman" w:hAnsi="Times New Roman"/>
          <w:sz w:val="24"/>
          <w:szCs w:val="24"/>
        </w:rPr>
        <w:t xml:space="preserve">Chap. 9, ADA] </w:t>
      </w:r>
    </w:p>
    <w:p w14:paraId="60E43917" w14:textId="77777777" w:rsidR="003D2AAD" w:rsidRDefault="003D2AAD" w:rsidP="00491756">
      <w:pPr>
        <w:pStyle w:val="NoSpacing"/>
        <w:rPr>
          <w:rFonts w:ascii="Arial Black" w:hAnsi="Arial Black"/>
          <w:sz w:val="24"/>
          <w:szCs w:val="24"/>
        </w:rPr>
      </w:pPr>
    </w:p>
    <w:p w14:paraId="5A32F3ED" w14:textId="77777777" w:rsidR="003D2AAD" w:rsidRPr="00FC582A" w:rsidRDefault="003D2AAD" w:rsidP="003D2AAD">
      <w:pPr>
        <w:pStyle w:val="NoSpacing"/>
        <w:rPr>
          <w:rFonts w:ascii="Arial Black" w:hAnsi="Arial Black"/>
          <w:sz w:val="28"/>
          <w:szCs w:val="28"/>
        </w:rPr>
      </w:pPr>
      <w:r>
        <w:rPr>
          <w:rFonts w:ascii="Arial Black" w:hAnsi="Arial Black"/>
          <w:sz w:val="28"/>
          <w:szCs w:val="28"/>
        </w:rPr>
        <w:t>SC: MEDIC PTSD – DIDN’T INTERVIEW FOR BILLING JOB</w:t>
      </w:r>
    </w:p>
    <w:p w14:paraId="6FC4C3CE" w14:textId="77777777" w:rsidR="003D2AAD" w:rsidRDefault="003D2AAD" w:rsidP="003D2AAD">
      <w:pPr>
        <w:pStyle w:val="NoSpacing"/>
        <w:ind w:left="720"/>
      </w:pPr>
    </w:p>
    <w:p w14:paraId="6A98A793" w14:textId="77777777" w:rsidR="003D2AAD" w:rsidRDefault="003D2AAD" w:rsidP="003D2AAD">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2506" w:history="1">
        <w:r w:rsidRPr="007B3445">
          <w:rPr>
            <w:rStyle w:val="Hyperlink"/>
          </w:rPr>
          <w:t>https://cases.justia.com/federal/district-courts/south-carolina/scdce/0:2024cv00826/288831/46/0.pdf</w:t>
        </w:r>
      </w:hyperlink>
      <w:r>
        <w:t xml:space="preserve"> </w:t>
      </w:r>
    </w:p>
    <w:p w14:paraId="7D61A869" w14:textId="77777777" w:rsidR="003D2AAD" w:rsidRDefault="003D2AAD" w:rsidP="003D2AAD">
      <w:pPr>
        <w:pStyle w:val="NoSpacing"/>
        <w:rPr>
          <w:bCs/>
        </w:rPr>
      </w:pPr>
    </w:p>
    <w:p w14:paraId="2686C792" w14:textId="77777777" w:rsidR="003D2AAD" w:rsidRDefault="003D2AAD" w:rsidP="003D2AAD">
      <w:pPr>
        <w:pStyle w:val="NoSpacing"/>
        <w:rPr>
          <w:bCs/>
        </w:rPr>
      </w:pPr>
      <w:r>
        <w:t xml:space="preserve">THE COURT HELD: </w:t>
      </w:r>
    </w:p>
    <w:p w14:paraId="1BA2F698" w14:textId="77777777" w:rsidR="003D2AAD" w:rsidRDefault="003D2AAD" w:rsidP="003D2AAD">
      <w:pPr>
        <w:pStyle w:val="NoSpacing"/>
        <w:rPr>
          <w:bCs/>
        </w:rPr>
      </w:pPr>
    </w:p>
    <w:p w14:paraId="55DAF4CB" w14:textId="77777777" w:rsidR="003D2AAD" w:rsidRDefault="003D2AAD" w:rsidP="003D2AAD">
      <w:pPr>
        <w:pStyle w:val="NoSpacing"/>
        <w:ind w:firstLine="720"/>
      </w:pPr>
      <w:r>
        <w:t>“Plaintiff was employed by Chester County in its Emergency Medical Services (‘EMS’)</w:t>
      </w:r>
    </w:p>
    <w:p w14:paraId="4BEDE5D7" w14:textId="77777777" w:rsidR="003D2AAD" w:rsidRDefault="003D2AAD" w:rsidP="003D2AAD">
      <w:pPr>
        <w:pStyle w:val="NoSpacing"/>
        <w:ind w:left="720"/>
      </w:pPr>
      <w:r>
        <w:t xml:space="preserve">department from May 2016 until January 2023….He was promoted to Senior Paramedic on December 4, 2021…. An essential function of the Senior Paramedic was operation of an ambulance. </w:t>
      </w:r>
    </w:p>
    <w:p w14:paraId="009737A2" w14:textId="77777777" w:rsidR="003D2AAD" w:rsidRDefault="003D2AAD" w:rsidP="003D2AAD">
      <w:pPr>
        <w:pStyle w:val="NoSpacing"/>
        <w:ind w:left="720"/>
      </w:pPr>
    </w:p>
    <w:p w14:paraId="443E031D" w14:textId="77777777" w:rsidR="003D2AAD" w:rsidRDefault="003D2AAD" w:rsidP="003D2AAD">
      <w:pPr>
        <w:pStyle w:val="NoSpacing"/>
        <w:ind w:left="720"/>
      </w:pPr>
      <w:r>
        <w:t>***</w:t>
      </w:r>
    </w:p>
    <w:p w14:paraId="1A0A5165" w14:textId="77777777" w:rsidR="003D2AAD" w:rsidRDefault="003D2AAD" w:rsidP="003D2AAD">
      <w:pPr>
        <w:pStyle w:val="NoSpacing"/>
      </w:pPr>
    </w:p>
    <w:p w14:paraId="18E1572D" w14:textId="77777777" w:rsidR="003D2AAD" w:rsidRDefault="003D2AAD" w:rsidP="003D2AAD">
      <w:pPr>
        <w:pStyle w:val="NoSpacing"/>
        <w:ind w:firstLine="720"/>
      </w:pPr>
      <w:r>
        <w:t xml:space="preserve">Plaintiff was </w:t>
      </w:r>
      <w:proofErr w:type="gramStart"/>
      <w:r>
        <w:t>provided</w:t>
      </w:r>
      <w:proofErr w:type="gramEnd"/>
      <w:r>
        <w:t xml:space="preserve"> the opportunity to apply and interview for the billing specialist</w:t>
      </w:r>
    </w:p>
    <w:p w14:paraId="17DA17C4" w14:textId="77777777" w:rsidR="003D2AAD" w:rsidRDefault="003D2AAD" w:rsidP="003D2AAD">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24CE7972" w14:textId="77777777" w:rsidR="003D2AAD" w:rsidRDefault="003D2AAD" w:rsidP="003D2AAD">
      <w:pPr>
        <w:pStyle w:val="NoSpacing"/>
        <w:ind w:left="720"/>
      </w:pPr>
    </w:p>
    <w:p w14:paraId="2015C995" w14:textId="77777777" w:rsidR="003D2AAD" w:rsidRDefault="003D2AAD" w:rsidP="003D2AAD">
      <w:pPr>
        <w:pStyle w:val="NoSpacing"/>
        <w:ind w:left="720"/>
      </w:pPr>
      <w:r>
        <w:t>***</w:t>
      </w:r>
    </w:p>
    <w:p w14:paraId="7EE31152" w14:textId="77777777" w:rsidR="003D2AAD" w:rsidRDefault="003D2AAD" w:rsidP="003D2AAD">
      <w:pPr>
        <w:pStyle w:val="NoSpacing"/>
      </w:pPr>
    </w:p>
    <w:p w14:paraId="681C7FD5" w14:textId="77777777" w:rsidR="003D2AAD" w:rsidRDefault="003D2AAD" w:rsidP="003D2AAD">
      <w:pPr>
        <w:pStyle w:val="NoSpacing"/>
        <w:ind w:firstLine="720"/>
      </w:pPr>
      <w:r>
        <w:t>To make out an FMLA interference claim, an employee must demonstrate he was entitled</w:t>
      </w:r>
    </w:p>
    <w:p w14:paraId="2860F0C3" w14:textId="77777777" w:rsidR="003D2AAD" w:rsidRDefault="003D2AAD" w:rsidP="003D2AAD">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2A012F46" w14:textId="77777777" w:rsidR="003D2AAD" w:rsidRDefault="003D2AAD" w:rsidP="003D2AAD">
      <w:pPr>
        <w:pStyle w:val="NoSpacing"/>
        <w:ind w:left="720"/>
      </w:pPr>
    </w:p>
    <w:p w14:paraId="0A7F6062" w14:textId="77777777" w:rsidR="003D2AAD" w:rsidRPr="00E35214" w:rsidRDefault="003D2AAD" w:rsidP="003D2AAD">
      <w:pPr>
        <w:pStyle w:val="NoSpacing"/>
        <w:rPr>
          <w:b/>
          <w:bCs/>
        </w:rPr>
      </w:pPr>
      <w:r>
        <w:rPr>
          <w:b/>
        </w:rPr>
        <w:t xml:space="preserve">Legal lesson learned:  Plaintiff’s supervisors went out of their way to assist the paramedic. </w:t>
      </w:r>
    </w:p>
    <w:p w14:paraId="53A13BCF" w14:textId="77777777" w:rsidR="003D2AAD" w:rsidRDefault="003D2AAD" w:rsidP="003D2AAD">
      <w:pPr>
        <w:pStyle w:val="NoSpacing"/>
      </w:pPr>
    </w:p>
    <w:p w14:paraId="73AD4B69" w14:textId="77777777" w:rsidR="003D2AAD" w:rsidRDefault="003D2AAD" w:rsidP="00491756">
      <w:pPr>
        <w:pStyle w:val="NoSpacing"/>
        <w:rPr>
          <w:rFonts w:ascii="Arial Black" w:hAnsi="Arial Black"/>
          <w:sz w:val="24"/>
          <w:szCs w:val="24"/>
        </w:rPr>
      </w:pPr>
    </w:p>
    <w:p w14:paraId="3B708979" w14:textId="77777777" w:rsidR="00CD6C01" w:rsidRDefault="00CD6C01" w:rsidP="00491756">
      <w:pPr>
        <w:pStyle w:val="NoSpacing"/>
        <w:rPr>
          <w:rFonts w:ascii="Arial Black" w:hAnsi="Arial Black"/>
          <w:sz w:val="24"/>
          <w:szCs w:val="24"/>
        </w:rPr>
      </w:pPr>
    </w:p>
    <w:p w14:paraId="0312E79C" w14:textId="77777777" w:rsidR="00CD6C01" w:rsidRDefault="00CD6C01" w:rsidP="00491756">
      <w:pPr>
        <w:pStyle w:val="NoSpacing"/>
        <w:rPr>
          <w:rFonts w:ascii="Arial Black" w:hAnsi="Arial Black"/>
          <w:sz w:val="24"/>
          <w:szCs w:val="24"/>
        </w:rPr>
      </w:pPr>
    </w:p>
    <w:p w14:paraId="0E6D54FF" w14:textId="6756AC0A" w:rsidR="004B6753" w:rsidRDefault="0000182B" w:rsidP="00491756">
      <w:pPr>
        <w:pStyle w:val="NoSpacing"/>
        <w:rPr>
          <w:rFonts w:ascii="Arial Black" w:hAnsi="Arial Black"/>
          <w:sz w:val="24"/>
          <w:szCs w:val="24"/>
        </w:rPr>
      </w:pPr>
      <w:r>
        <w:rPr>
          <w:rFonts w:ascii="Arial Black" w:hAnsi="Arial Black"/>
          <w:sz w:val="24"/>
          <w:szCs w:val="24"/>
        </w:rPr>
        <w:t>15-46</w:t>
      </w:r>
    </w:p>
    <w:p w14:paraId="5AEB231A" w14:textId="77777777" w:rsidR="0000182B" w:rsidRDefault="0000182B" w:rsidP="00491756">
      <w:pPr>
        <w:pStyle w:val="NoSpacing"/>
        <w:rPr>
          <w:rFonts w:ascii="Arial Black" w:hAnsi="Arial Black"/>
          <w:sz w:val="24"/>
          <w:szCs w:val="24"/>
        </w:rPr>
      </w:pPr>
    </w:p>
    <w:p w14:paraId="7825D952" w14:textId="77777777" w:rsidR="00594C0D" w:rsidRPr="0082689F" w:rsidRDefault="00594C0D" w:rsidP="00594C0D">
      <w:pPr>
        <w:rPr>
          <w:rFonts w:ascii="Arial Black" w:hAnsi="Arial Black"/>
          <w:b/>
          <w:sz w:val="28"/>
          <w:szCs w:val="28"/>
        </w:rPr>
      </w:pPr>
      <w:r>
        <w:rPr>
          <w:rFonts w:ascii="Arial Black" w:hAnsi="Arial Black"/>
          <w:b/>
          <w:sz w:val="28"/>
          <w:szCs w:val="28"/>
        </w:rPr>
        <w:t xml:space="preserve">IL: CHICAGO FD – PASSED MENTAL FITNESS FOR DUTY </w:t>
      </w:r>
    </w:p>
    <w:p w14:paraId="5F0F0E81" w14:textId="77777777" w:rsidR="00594C0D" w:rsidRDefault="00594C0D" w:rsidP="00594C0D">
      <w:pPr>
        <w:rPr>
          <w:bCs/>
        </w:rPr>
      </w:pPr>
      <w:r>
        <w:t xml:space="preserve">On December 3, 2025, in </w:t>
      </w:r>
      <w:r w:rsidRPr="00CE42F8">
        <w:rPr>
          <w:u w:val="single"/>
        </w:rPr>
        <w:t>Lee Ann McKay v. Nicole Patino, et al</w:t>
      </w:r>
      <w:r>
        <w:t xml:space="preserve">., U.S. District Court Judge Jorge L. Alonso, </w:t>
      </w:r>
      <w:r w:rsidRPr="007D31A0">
        <w:t>United States District Court, N.D. Illinois, Eastern Division</w:t>
      </w:r>
      <w:r>
        <w:t xml:space="preserve">, dismissed the plaintiff’s pro se [no attorney] lawsuit.  There were no constitutional rights violated when in May 2024 two Office of Inspector General investigators came to her home, unannounced, to interview her about her January 2024 complain of inferior </w:t>
      </w:r>
      <w:r w:rsidRPr="005A21BE">
        <w:t>bathroom facilities available to women in certain firehouses</w:t>
      </w:r>
      <w:r>
        <w:t xml:space="preserve">.   Likewise, there was no violation of her constitutional rights when </w:t>
      </w:r>
      <w:r w:rsidRPr="00793C90">
        <w:t>Dr. Nicole Patino, Chief Medical Director for the City of Chicago</w:t>
      </w:r>
      <w:r>
        <w:t>,</w:t>
      </w:r>
      <w:r w:rsidRPr="00793C90">
        <w:t xml:space="preserve"> Office of Public Safety Administration</w:t>
      </w:r>
      <w:r>
        <w:t xml:space="preserve"> on July 11, 2024 took her blood pressure, or when she was ordered by Dr. Patino to take a </w:t>
      </w:r>
      <w:r w:rsidRPr="009D0ED5">
        <w:t>mental capacity examination</w:t>
      </w:r>
      <w:r>
        <w:t xml:space="preserve"> with a </w:t>
      </w:r>
      <w:r w:rsidRPr="009D0ED5">
        <w:t>psychologist</w:t>
      </w:r>
      <w:r>
        <w:t xml:space="preserve"> (July 15 tests, and </w:t>
      </w:r>
      <w:r w:rsidRPr="0078051A">
        <w:t>August 2024, psychologist found her fit for duty</w:t>
      </w:r>
      <w:r>
        <w:t xml:space="preserve">); or to take pulmonary function test on </w:t>
      </w:r>
      <w:r w:rsidRPr="00792A7A">
        <w:t>December 31, 2024</w:t>
      </w:r>
      <w:r>
        <w:t xml:space="preserve">. </w:t>
      </w:r>
      <w:hyperlink r:id="rId2507" w:history="1">
        <w:r w:rsidRPr="00B64AD8">
          <w:rPr>
            <w:rStyle w:val="Hyperlink"/>
          </w:rPr>
          <w:t>https://public.fastcase.com/Jhe1Qn%2BmJndQYQU6z%2FeNm%2BcFVCy5tJw2gy1zfbpkLaze9U67QqLJTV5FE2cJQCoqnSyWDfbWSo3ic5o1p0zHzyDw8vgxY%2BBok5izm2ejH6U%3D?utm_medium=email&amp;_hsenc=p2ANqtz--bkYiy1pyPlPSsVe74xwULcEQroRrEa3UI3GrVMXxBGgBl78iSBqXQuZMV2NG07-VaF6HXpA1gGzG-xJKwbOenCq2wOg&amp;_hsmi=226712652&amp;utm_content=226712652&amp;utm_source=hs_email</w:t>
        </w:r>
      </w:hyperlink>
      <w:r>
        <w:t xml:space="preserve">   </w:t>
      </w:r>
    </w:p>
    <w:p w14:paraId="5FAC6478" w14:textId="77777777" w:rsidR="00594C0D" w:rsidRPr="008E10FD" w:rsidRDefault="00594C0D" w:rsidP="00594C0D">
      <w:pPr>
        <w:rPr>
          <w:bCs/>
        </w:rPr>
      </w:pPr>
      <w:r w:rsidRPr="008E10FD">
        <w:t xml:space="preserve">THE COURT HELD:  </w:t>
      </w:r>
    </w:p>
    <w:p w14:paraId="7397483A" w14:textId="77777777" w:rsidR="00594C0D" w:rsidRDefault="00594C0D" w:rsidP="00594C0D">
      <w:pPr>
        <w:pStyle w:val="NoSpacing"/>
        <w:ind w:left="720"/>
      </w:pPr>
      <w:r>
        <w:t>“</w:t>
      </w:r>
      <w:r w:rsidRPr="00D61F0C">
        <w:t xml:space="preserve">To the extent Plaintiff complains of </w:t>
      </w:r>
      <w:r>
        <w:t xml:space="preserve">[OIG investigators] </w:t>
      </w:r>
      <w:r w:rsidRPr="00D61F0C">
        <w:t>Lauder and Arellano showing up to her house or of any psychological test she was given, she fails to state a claim of a constitutional violation.</w:t>
      </w:r>
    </w:p>
    <w:p w14:paraId="0DBAC3D9" w14:textId="77777777" w:rsidR="00594C0D" w:rsidRDefault="00594C0D" w:rsidP="00594C0D">
      <w:pPr>
        <w:pStyle w:val="NoSpacing"/>
        <w:ind w:left="720"/>
      </w:pPr>
    </w:p>
    <w:p w14:paraId="50F8092A" w14:textId="77777777" w:rsidR="00594C0D" w:rsidRDefault="00594C0D" w:rsidP="00594C0D">
      <w:pPr>
        <w:pStyle w:val="NoSpacing"/>
        <w:ind w:left="720"/>
      </w:pPr>
      <w:r>
        <w:t>***</w:t>
      </w:r>
    </w:p>
    <w:p w14:paraId="568465FA" w14:textId="77777777" w:rsidR="00594C0D" w:rsidRDefault="00594C0D" w:rsidP="00594C0D">
      <w:pPr>
        <w:pStyle w:val="NoSpacing"/>
      </w:pPr>
    </w:p>
    <w:p w14:paraId="3048F9DE" w14:textId="77777777" w:rsidR="00594C0D" w:rsidRDefault="00594C0D" w:rsidP="00594C0D">
      <w:pPr>
        <w:pStyle w:val="NoSpacing"/>
        <w:ind w:left="720"/>
      </w:pPr>
      <w:r w:rsidRPr="00B16BE9">
        <w:t>Dr. Patino is entitled to qualified immunity on the issue of whether the pulmonary function testing violated the Fourth Amendment.</w:t>
      </w:r>
    </w:p>
    <w:p w14:paraId="7AA68F83" w14:textId="77777777" w:rsidR="00594C0D" w:rsidRDefault="00594C0D" w:rsidP="00594C0D">
      <w:pPr>
        <w:pStyle w:val="NoSpacing"/>
        <w:ind w:left="720"/>
      </w:pPr>
    </w:p>
    <w:p w14:paraId="62DC9AEF" w14:textId="77777777" w:rsidR="00594C0D" w:rsidRDefault="00594C0D" w:rsidP="00594C0D">
      <w:pPr>
        <w:pStyle w:val="NoSpacing"/>
        <w:ind w:left="720"/>
      </w:pPr>
      <w:r>
        <w:t>***</w:t>
      </w:r>
    </w:p>
    <w:p w14:paraId="4430B6E3" w14:textId="77777777" w:rsidR="00594C0D" w:rsidRDefault="00594C0D" w:rsidP="00594C0D">
      <w:pPr>
        <w:pStyle w:val="NoSpacing"/>
      </w:pPr>
    </w:p>
    <w:p w14:paraId="1BE50A2B" w14:textId="77777777" w:rsidR="00594C0D" w:rsidRDefault="00594C0D" w:rsidP="00594C0D">
      <w:pPr>
        <w:pStyle w:val="NoSpacing"/>
        <w:ind w:left="720" w:firstLine="60"/>
      </w:pPr>
      <w:r w:rsidRPr="008D2049">
        <w:t>It follows that Dr. Marder</w:t>
      </w:r>
      <w:r>
        <w:t xml:space="preserve"> [pulmonary function test] </w:t>
      </w:r>
      <w:r w:rsidRPr="008D2049">
        <w:t>and any other defendant alleged to have participated in the testing is likewise protected by qualified immunity from any Fourth Amendment claim</w:t>
      </w:r>
      <w:r>
        <w:t>.</w:t>
      </w:r>
    </w:p>
    <w:p w14:paraId="3CC3D615" w14:textId="77777777" w:rsidR="00594C0D" w:rsidRDefault="00594C0D" w:rsidP="00594C0D">
      <w:pPr>
        <w:pStyle w:val="NoSpacing"/>
        <w:ind w:left="720" w:firstLine="60"/>
      </w:pPr>
    </w:p>
    <w:p w14:paraId="3FF8C1E4" w14:textId="77777777" w:rsidR="00594C0D" w:rsidRDefault="00594C0D" w:rsidP="00594C0D">
      <w:pPr>
        <w:pStyle w:val="NoSpacing"/>
        <w:ind w:left="720" w:firstLine="60"/>
      </w:pPr>
      <w:r>
        <w:t>***</w:t>
      </w:r>
    </w:p>
    <w:p w14:paraId="45330EA3" w14:textId="77777777" w:rsidR="00594C0D" w:rsidRDefault="00594C0D" w:rsidP="00594C0D">
      <w:pPr>
        <w:pStyle w:val="NoSpacing"/>
      </w:pPr>
    </w:p>
    <w:p w14:paraId="52C54FA4" w14:textId="77777777" w:rsidR="00594C0D" w:rsidRDefault="00594C0D" w:rsidP="00594C0D">
      <w:pPr>
        <w:pStyle w:val="NoSpacing"/>
        <w:ind w:left="720"/>
      </w:pPr>
      <w:r w:rsidRPr="00AD6383">
        <w:t xml:space="preserve">Plaintiff's </w:t>
      </w:r>
      <w:r w:rsidRPr="00AD6383">
        <w:rPr>
          <w:i/>
          <w:iCs/>
        </w:rPr>
        <w:t>pro se</w:t>
      </w:r>
      <w:r w:rsidRPr="00AD6383">
        <w:t xml:space="preserve"> status and the surplusage in Plaintiff's complaint counsel against dismissal with prejudice at this point. As the Court has taken pains to recount in some detail above, Plaintiff's allegations go far beyond what is necessary to assert a Fourth Amendment claim. Although she does not rely on any other legal theory in her response briefs, the Court cannot say for certain whether there is not some potentially viable claim within the scope of the events described in her complaint that she might be able to plausibly state in an amended complaint. Therefore, the Court will grant Plaintiff leave to file an amended complaint, if she can do so in compliance with the principles set forth in this Order and the Federal Rules of Civil Procedure.</w:t>
      </w:r>
      <w:r>
        <w:t>”</w:t>
      </w:r>
    </w:p>
    <w:p w14:paraId="768D2AE7" w14:textId="77777777" w:rsidR="00594C0D" w:rsidRDefault="00594C0D" w:rsidP="00594C0D">
      <w:pPr>
        <w:pStyle w:val="NoSpacing"/>
        <w:ind w:left="720"/>
      </w:pPr>
    </w:p>
    <w:p w14:paraId="20B3E871" w14:textId="77777777" w:rsidR="00594C0D" w:rsidRPr="0015463F" w:rsidRDefault="00594C0D" w:rsidP="00594C0D">
      <w:pPr>
        <w:pStyle w:val="NoSpacing"/>
        <w:rPr>
          <w:b/>
          <w:bCs/>
        </w:rPr>
      </w:pPr>
      <w:r>
        <w:rPr>
          <w:b/>
        </w:rPr>
        <w:t xml:space="preserve">Legal lesson learned: Qualified immunity protects Fire Department’s physicians conducting fitness for duty exams. </w:t>
      </w:r>
    </w:p>
    <w:p w14:paraId="30E8E8BB" w14:textId="77777777" w:rsidR="00594C0D" w:rsidRDefault="00594C0D" w:rsidP="00594C0D">
      <w:pPr>
        <w:pStyle w:val="NoSpacing"/>
      </w:pPr>
    </w:p>
    <w:p w14:paraId="2E47160E" w14:textId="77777777" w:rsidR="00594C0D" w:rsidRDefault="00594C0D" w:rsidP="00491756">
      <w:pPr>
        <w:pStyle w:val="NoSpacing"/>
        <w:rPr>
          <w:rFonts w:ascii="Arial Black" w:hAnsi="Arial Black"/>
          <w:sz w:val="24"/>
          <w:szCs w:val="24"/>
        </w:rPr>
      </w:pPr>
    </w:p>
    <w:p w14:paraId="5F537BAE" w14:textId="77777777" w:rsidR="0000182B" w:rsidRDefault="0000182B" w:rsidP="00491756">
      <w:pPr>
        <w:pStyle w:val="NoSpacing"/>
        <w:rPr>
          <w:rFonts w:ascii="Arial Black" w:hAnsi="Arial Black"/>
          <w:sz w:val="24"/>
          <w:szCs w:val="24"/>
        </w:rPr>
      </w:pPr>
    </w:p>
    <w:p w14:paraId="01BAEDDE" w14:textId="77777777" w:rsidR="0000182B" w:rsidRDefault="0000182B" w:rsidP="00491756">
      <w:pPr>
        <w:pStyle w:val="NoSpacing"/>
        <w:rPr>
          <w:rFonts w:ascii="Arial Black" w:hAnsi="Arial Black"/>
          <w:sz w:val="24"/>
          <w:szCs w:val="24"/>
        </w:rPr>
      </w:pPr>
    </w:p>
    <w:p w14:paraId="408932D5" w14:textId="20BCB00F" w:rsidR="004B6753" w:rsidRDefault="00F02AD2" w:rsidP="00491756">
      <w:pPr>
        <w:pStyle w:val="NoSpacing"/>
        <w:rPr>
          <w:rFonts w:ascii="Arial Black" w:hAnsi="Arial Black"/>
          <w:sz w:val="24"/>
          <w:szCs w:val="24"/>
        </w:rPr>
      </w:pPr>
      <w:r>
        <w:rPr>
          <w:rFonts w:ascii="Arial Black" w:hAnsi="Arial Black"/>
          <w:sz w:val="24"/>
          <w:szCs w:val="24"/>
        </w:rPr>
        <w:t>15-4</w:t>
      </w:r>
      <w:r w:rsidR="00D92FBD">
        <w:rPr>
          <w:rFonts w:ascii="Arial Black" w:hAnsi="Arial Black"/>
          <w:sz w:val="24"/>
          <w:szCs w:val="24"/>
        </w:rPr>
        <w:t>5</w:t>
      </w:r>
    </w:p>
    <w:p w14:paraId="242B23BA" w14:textId="77777777" w:rsidR="00F02AD2" w:rsidRDefault="00F02AD2" w:rsidP="00491756">
      <w:pPr>
        <w:pStyle w:val="NoSpacing"/>
        <w:rPr>
          <w:rFonts w:ascii="Arial Black" w:hAnsi="Arial Black"/>
          <w:sz w:val="24"/>
          <w:szCs w:val="24"/>
        </w:rPr>
      </w:pPr>
    </w:p>
    <w:p w14:paraId="38D66C82" w14:textId="499C2990" w:rsidR="001C617A" w:rsidRPr="00F75C74" w:rsidRDefault="001C617A" w:rsidP="001C617A">
      <w:pPr>
        <w:pStyle w:val="NoSpacing"/>
        <w:rPr>
          <w:rFonts w:ascii="Arial Black" w:hAnsi="Arial Black"/>
          <w:sz w:val="28"/>
          <w:szCs w:val="28"/>
        </w:rPr>
      </w:pPr>
      <w:r>
        <w:rPr>
          <w:rFonts w:ascii="Arial Black" w:hAnsi="Arial Black"/>
          <w:sz w:val="28"/>
          <w:szCs w:val="28"/>
        </w:rPr>
        <w:t xml:space="preserve">PA: PTSD – 2 INFANT CPR </w:t>
      </w:r>
      <w:r w:rsidR="00771197">
        <w:rPr>
          <w:rFonts w:ascii="Arial Black" w:hAnsi="Arial Black"/>
          <w:sz w:val="28"/>
          <w:szCs w:val="28"/>
        </w:rPr>
        <w:t xml:space="preserve">- </w:t>
      </w:r>
      <w:r>
        <w:rPr>
          <w:rFonts w:ascii="Arial Black" w:hAnsi="Arial Black"/>
          <w:sz w:val="28"/>
          <w:szCs w:val="28"/>
        </w:rPr>
        <w:t>“ABNORMAL”</w:t>
      </w:r>
      <w:r w:rsidR="00771197">
        <w:rPr>
          <w:rFonts w:ascii="Arial Black" w:hAnsi="Arial Black"/>
          <w:sz w:val="28"/>
          <w:szCs w:val="28"/>
        </w:rPr>
        <w:t xml:space="preserve"> RUNS</w:t>
      </w:r>
      <w:r>
        <w:rPr>
          <w:rFonts w:ascii="Arial Black" w:hAnsi="Arial Black"/>
          <w:sz w:val="28"/>
          <w:szCs w:val="28"/>
        </w:rPr>
        <w:t xml:space="preserve"> –- GETS WORK COMP</w:t>
      </w:r>
    </w:p>
    <w:p w14:paraId="150D77D1" w14:textId="77777777" w:rsidR="001C617A" w:rsidRDefault="001C617A" w:rsidP="001C617A">
      <w:pPr>
        <w:pStyle w:val="NoSpacing"/>
      </w:pPr>
    </w:p>
    <w:p w14:paraId="40BA566E" w14:textId="77777777" w:rsidR="001C617A" w:rsidRDefault="001C617A" w:rsidP="001C617A">
      <w:pPr>
        <w:pStyle w:val="NoSpacing"/>
        <w:rPr>
          <w:bCs/>
        </w:rPr>
      </w:pPr>
      <w:r>
        <w:t xml:space="preserve">On Oct. 22, 2025, in </w:t>
      </w:r>
      <w:r w:rsidRPr="006259EC">
        <w:rPr>
          <w:u w:val="single"/>
        </w:rPr>
        <w:t>Brian Ganley v. Upper Darby Township (Workers Compensation Appeal Board)</w:t>
      </w:r>
      <w:r>
        <w:t>, the</w:t>
      </w:r>
      <w:r w:rsidRPr="00A72D5F">
        <w:rPr>
          <w:b/>
        </w:rPr>
        <w:t xml:space="preserve"> </w:t>
      </w:r>
      <w:r w:rsidRPr="00A72D5F">
        <w:t>Commonwealth Court of Pennsylvania</w:t>
      </w:r>
      <w:r>
        <w:t xml:space="preserve"> held (3 to 0) that a career firefighter with 33 years’ experience should be awarded worker’s comp after performing two separate CPRs on infants within 16 months (Nov. 2018; May 2021).  The Court reversed the Workers Comp Law Judge and the Appeal Board – holding that the two incidents met the requirement of “abnormal” event. </w:t>
      </w:r>
      <w:hyperlink r:id="rId2508" w:history="1">
        <w:r w:rsidRPr="00410A8E">
          <w:rPr>
            <w:rStyle w:val="Hyperlink"/>
          </w:rPr>
          <w:t>https://www.pacourts.us/assets/opinions/Commonwealth/out/770CD24_10-22-25.pdf?cb=1</w:t>
        </w:r>
      </w:hyperlink>
      <w:r>
        <w:t xml:space="preserve"> </w:t>
      </w:r>
    </w:p>
    <w:p w14:paraId="47929B11" w14:textId="77777777" w:rsidR="001C617A" w:rsidRDefault="001C617A" w:rsidP="001C617A">
      <w:pPr>
        <w:pStyle w:val="NoSpacing"/>
        <w:rPr>
          <w:bCs/>
        </w:rPr>
      </w:pPr>
    </w:p>
    <w:p w14:paraId="5E53C499" w14:textId="77777777" w:rsidR="001C617A" w:rsidRPr="003424B4" w:rsidRDefault="001C617A" w:rsidP="001C617A">
      <w:pPr>
        <w:pStyle w:val="NoSpacing"/>
        <w:rPr>
          <w:b/>
        </w:rPr>
      </w:pPr>
      <w:r>
        <w:t xml:space="preserve">THE COURT HELD: </w:t>
      </w:r>
    </w:p>
    <w:p w14:paraId="4EAA113A" w14:textId="77777777" w:rsidR="001C617A" w:rsidRDefault="001C617A" w:rsidP="001C617A">
      <w:pPr>
        <w:pStyle w:val="NoSpacing"/>
      </w:pPr>
    </w:p>
    <w:p w14:paraId="6D63AA45" w14:textId="77777777" w:rsidR="001C617A" w:rsidRDefault="001C617A" w:rsidP="001C617A">
      <w:pPr>
        <w:pStyle w:val="NoSpacing"/>
        <w:ind w:left="720"/>
      </w:pPr>
      <w:r>
        <w:t>“Consequently, the [PA] Supreme Court held that claimants seeking benefits</w:t>
      </w:r>
    </w:p>
    <w:p w14:paraId="23880EDB" w14:textId="77777777" w:rsidR="001C617A" w:rsidRDefault="001C617A" w:rsidP="001C617A">
      <w:pPr>
        <w:pStyle w:val="NoSpacing"/>
        <w:ind w:left="720"/>
      </w:pPr>
      <w:r>
        <w:t>for psychological injuries must meet a higher burden for causation by proving a</w:t>
      </w:r>
    </w:p>
    <w:p w14:paraId="35AEAFB7" w14:textId="77777777" w:rsidR="001C617A" w:rsidRDefault="001C617A" w:rsidP="001C617A">
      <w:pPr>
        <w:pStyle w:val="NoSpacing"/>
        <w:ind w:left="720"/>
      </w:pPr>
      <w:proofErr w:type="gramStart"/>
      <w:r>
        <w:t>psychological</w:t>
      </w:r>
      <w:proofErr w:type="gramEnd"/>
      <w:r>
        <w:t xml:space="preserve"> injury is more than a subjective reaction to normal working</w:t>
      </w:r>
    </w:p>
    <w:p w14:paraId="0997D640" w14:textId="77777777" w:rsidR="001C617A" w:rsidRDefault="001C617A" w:rsidP="001C617A">
      <w:pPr>
        <w:pStyle w:val="NoSpacing"/>
        <w:ind w:left="720"/>
      </w:pPr>
      <w:r>
        <w:t>conditions, in other words, that the psychological injury was caused by ‘abnormal</w:t>
      </w:r>
    </w:p>
    <w:p w14:paraId="210315C4" w14:textId="77777777" w:rsidR="001C617A" w:rsidRDefault="001C617A" w:rsidP="001C617A">
      <w:pPr>
        <w:pStyle w:val="NoSpacing"/>
        <w:ind w:left="720"/>
      </w:pPr>
      <w:r>
        <w:t xml:space="preserve">working conditions.’ </w:t>
      </w:r>
    </w:p>
    <w:p w14:paraId="0E66C2BE" w14:textId="77777777" w:rsidR="001C617A" w:rsidRDefault="001C617A" w:rsidP="001C617A">
      <w:pPr>
        <w:pStyle w:val="NoSpacing"/>
        <w:ind w:left="720"/>
      </w:pPr>
    </w:p>
    <w:p w14:paraId="1749B1E4" w14:textId="77777777" w:rsidR="001C617A" w:rsidRDefault="001C617A" w:rsidP="001C617A">
      <w:pPr>
        <w:pStyle w:val="NoSpacing"/>
        <w:ind w:left="720"/>
      </w:pPr>
      <w:r>
        <w:t>***</w:t>
      </w:r>
    </w:p>
    <w:p w14:paraId="013A3A85" w14:textId="77777777" w:rsidR="001C617A" w:rsidRDefault="001C617A" w:rsidP="001C617A">
      <w:pPr>
        <w:pStyle w:val="NoSpacing"/>
        <w:ind w:left="720"/>
      </w:pPr>
    </w:p>
    <w:p w14:paraId="31E3A6C1" w14:textId="77777777" w:rsidR="001C617A" w:rsidRDefault="001C617A" w:rsidP="001C617A">
      <w:pPr>
        <w:pStyle w:val="NoSpacing"/>
        <w:ind w:left="720"/>
      </w:pPr>
      <w:r w:rsidRPr="00873946">
        <w:t>The reality of Claimant’s situation was that he performed CPR on and</w:t>
      </w:r>
      <w:r>
        <w:t xml:space="preserve"> </w:t>
      </w:r>
      <w:r w:rsidRPr="00873946">
        <w:t>witnessed the deaths of two infant children within a 16-month period. It was the compounded effect of these two incidents that caused Claimant’s disabling PTSD.</w:t>
      </w:r>
      <w:r>
        <w:t xml:space="preserve"> </w:t>
      </w:r>
      <w:r w:rsidRPr="00873946">
        <w:t>There can be little doubt that firefighters experience a high amount of stress in their</w:t>
      </w:r>
      <w:r>
        <w:t xml:space="preserve"> </w:t>
      </w:r>
      <w:r w:rsidRPr="00873946">
        <w:t>jobs. Nonetheless, we must recognize that certain events, even in high-stress</w:t>
      </w:r>
      <w:r>
        <w:t xml:space="preserve"> </w:t>
      </w:r>
      <w:r w:rsidRPr="00873946">
        <w:t>professions, may rise to the level of abnormal working conditions. Claimant did not</w:t>
      </w:r>
      <w:r>
        <w:t xml:space="preserve"> </w:t>
      </w:r>
      <w:r w:rsidRPr="00873946">
        <w:t>simply witness death at a usual call involving a fire or a motor vehicle crash.</w:t>
      </w:r>
    </w:p>
    <w:p w14:paraId="05811AED" w14:textId="77777777" w:rsidR="001C617A" w:rsidRDefault="001C617A" w:rsidP="001C617A">
      <w:pPr>
        <w:pStyle w:val="NoSpacing"/>
        <w:ind w:left="720"/>
      </w:pPr>
    </w:p>
    <w:p w14:paraId="44F2A8C9" w14:textId="77777777" w:rsidR="001C617A" w:rsidRPr="00873946" w:rsidRDefault="001C617A" w:rsidP="001C617A">
      <w:pPr>
        <w:pStyle w:val="NoSpacing"/>
        <w:ind w:left="720"/>
      </w:pPr>
      <w:r>
        <w:t>***</w:t>
      </w:r>
    </w:p>
    <w:p w14:paraId="2C420F6F" w14:textId="77777777" w:rsidR="001C617A" w:rsidRDefault="001C617A" w:rsidP="001C617A">
      <w:pPr>
        <w:pStyle w:val="NoSpacing"/>
        <w:ind w:left="720"/>
      </w:pPr>
      <w:r w:rsidRPr="00873946">
        <w:t>Claimant was actively involved in attempting to resuscitate two separate</w:t>
      </w:r>
      <w:r>
        <w:t xml:space="preserve"> </w:t>
      </w:r>
      <w:r w:rsidRPr="00873946">
        <w:t>unresponsive babies and witnessing each of their deaths. We cannot agree that</w:t>
      </w:r>
      <w:r>
        <w:t xml:space="preserve"> </w:t>
      </w:r>
      <w:r w:rsidRPr="00873946">
        <w:t xml:space="preserve">Claimant’s experience in this regard was a </w:t>
      </w:r>
      <w:r>
        <w:t>‘</w:t>
      </w:r>
      <w:r w:rsidRPr="00873946">
        <w:t>normal</w:t>
      </w:r>
      <w:r>
        <w:t xml:space="preserve">’ </w:t>
      </w:r>
      <w:r w:rsidRPr="00873946">
        <w:t xml:space="preserve">or </w:t>
      </w:r>
      <w:r>
        <w:t>‘</w:t>
      </w:r>
      <w:r w:rsidRPr="00873946">
        <w:t>expected</w:t>
      </w:r>
      <w:r>
        <w:t xml:space="preserve">’ </w:t>
      </w:r>
      <w:r w:rsidRPr="00873946">
        <w:t xml:space="preserve"> consequence of</w:t>
      </w:r>
      <w:r>
        <w:t xml:space="preserve"> </w:t>
      </w:r>
      <w:r w:rsidRPr="00873946">
        <w:t>being a firefighter.</w:t>
      </w:r>
      <w:r>
        <w:t xml:space="preserve"> Indeed, in Claimant’s 20 years’ experience in firefighting service before the first event, Claimant had </w:t>
      </w:r>
      <w:proofErr w:type="gramStart"/>
      <w:r>
        <w:t>never before</w:t>
      </w:r>
      <w:proofErr w:type="gramEnd"/>
      <w:r>
        <w:t xml:space="preserve"> had to perform CPR on an infant. There is no evidence in the record that suggests firefighters in Upper Darby or even in Pennsylvania routinely or normally perform CPR on infant children or witness the deaths of infant children. Furthermore, it is noteworthy that of the three instances in which Employer called upon the county’s Critical Incident Stress [Management] Team between 2018 and 2022, two of those calls were in response to these two incidents involving Claimant and the infants. Id. </w:t>
      </w:r>
      <w:proofErr w:type="gramStart"/>
      <w:r>
        <w:t>at</w:t>
      </w:r>
      <w:proofErr w:type="gramEnd"/>
      <w:r>
        <w:t xml:space="preserve"> 251-52. Certainly, this highlights both the rarity of these events and the potential for substantial</w:t>
      </w:r>
    </w:p>
    <w:p w14:paraId="7D56E066" w14:textId="77777777" w:rsidR="001C617A" w:rsidRDefault="001C617A" w:rsidP="001C617A">
      <w:pPr>
        <w:pStyle w:val="NoSpacing"/>
        <w:ind w:firstLine="720"/>
      </w:pPr>
      <w:r>
        <w:t xml:space="preserve">psychological impact </w:t>
      </w:r>
      <w:proofErr w:type="gramStart"/>
      <w:r>
        <w:t>to</w:t>
      </w:r>
      <w:proofErr w:type="gramEnd"/>
      <w:r>
        <w:t xml:space="preserve"> the participants, which is further magnified by the fact that</w:t>
      </w:r>
    </w:p>
    <w:p w14:paraId="08EBA969" w14:textId="77777777" w:rsidR="001C617A" w:rsidRDefault="001C617A" w:rsidP="001C617A">
      <w:pPr>
        <w:pStyle w:val="NoSpacing"/>
        <w:ind w:firstLine="720"/>
      </w:pPr>
      <w:r>
        <w:t>the same person, Claimant, administered CPR on infants on each occasion.</w:t>
      </w:r>
    </w:p>
    <w:p w14:paraId="53CEDA77" w14:textId="77777777" w:rsidR="001C617A" w:rsidRDefault="001C617A" w:rsidP="001C617A">
      <w:pPr>
        <w:pStyle w:val="NoSpacing"/>
        <w:ind w:firstLine="720"/>
      </w:pPr>
    </w:p>
    <w:p w14:paraId="419FDF59" w14:textId="77777777" w:rsidR="001C617A" w:rsidRPr="00873946" w:rsidRDefault="001C617A" w:rsidP="001C617A">
      <w:pPr>
        <w:pStyle w:val="NoSpacing"/>
        <w:ind w:firstLine="720"/>
      </w:pPr>
      <w:r>
        <w:t>***</w:t>
      </w:r>
    </w:p>
    <w:p w14:paraId="2D482430" w14:textId="77777777" w:rsidR="001C617A" w:rsidRDefault="001C617A" w:rsidP="001C617A">
      <w:pPr>
        <w:pStyle w:val="NoSpacing"/>
      </w:pPr>
    </w:p>
    <w:p w14:paraId="43A10A86" w14:textId="77777777" w:rsidR="001C617A" w:rsidRDefault="001C617A" w:rsidP="001C617A">
      <w:pPr>
        <w:pStyle w:val="NoSpacing"/>
        <w:ind w:left="720"/>
      </w:pPr>
      <w:r>
        <w:t>During the first event, in November 2018, Claimant responded to a report of cardiac arrest for a two-week-old infant. Claimant performed CPR on the infant, assisted by paramedics. Despite Claimant’s efforts, he was unable to bring the baby back. Claimant continued to work for Employer but suffered from mental issues related to the first incident.</w:t>
      </w:r>
    </w:p>
    <w:p w14:paraId="141D7C4B" w14:textId="77777777" w:rsidR="001C617A" w:rsidRDefault="001C617A" w:rsidP="001C617A">
      <w:pPr>
        <w:pStyle w:val="NoSpacing"/>
      </w:pPr>
    </w:p>
    <w:p w14:paraId="4A35F2E8" w14:textId="77777777" w:rsidR="001C617A" w:rsidRDefault="001C617A" w:rsidP="001C617A">
      <w:pPr>
        <w:pStyle w:val="NoSpacing"/>
        <w:ind w:left="720"/>
      </w:pPr>
      <w:r>
        <w:t xml:space="preserve">During the second event, in May 2021, a father brought a nine-month-old infant who was not breathing into the fire station. Claimant and co-workers performed CPR on the nine-month-old baby, who was not revived. After the second incident, Claimant’s mental health symptoms intensified, and he left his duties as a </w:t>
      </w:r>
      <w:proofErr w:type="gramStart"/>
      <w:r>
        <w:t>firefighter.”</w:t>
      </w:r>
      <w:proofErr w:type="gramEnd"/>
    </w:p>
    <w:p w14:paraId="12B487D3" w14:textId="77777777" w:rsidR="001C617A" w:rsidRDefault="001C617A" w:rsidP="001C617A">
      <w:pPr>
        <w:pStyle w:val="NoSpacing"/>
        <w:ind w:left="720"/>
      </w:pPr>
    </w:p>
    <w:p w14:paraId="32CB5F74" w14:textId="7B1E5972" w:rsidR="001C617A" w:rsidRPr="00237F1C" w:rsidRDefault="001C617A" w:rsidP="001C617A">
      <w:pPr>
        <w:pStyle w:val="NoSpacing"/>
        <w:rPr>
          <w:b/>
          <w:bCs/>
        </w:rPr>
      </w:pPr>
      <w:r w:rsidRPr="00237F1C">
        <w:rPr>
          <w:b/>
        </w:rPr>
        <w:t xml:space="preserve">Lesson learned: </w:t>
      </w:r>
      <w:r>
        <w:rPr>
          <w:b/>
        </w:rPr>
        <w:t xml:space="preserve"> The firefighter proved the two infant CPR incidents were “abnormal” for his fire department.</w:t>
      </w:r>
    </w:p>
    <w:p w14:paraId="3F19A8A7" w14:textId="77777777" w:rsidR="001C617A" w:rsidRPr="00873946" w:rsidRDefault="001C617A" w:rsidP="001C617A">
      <w:pPr>
        <w:pStyle w:val="NoSpacing"/>
      </w:pPr>
    </w:p>
    <w:p w14:paraId="5667DB65" w14:textId="77777777" w:rsidR="001C617A" w:rsidRDefault="001C617A" w:rsidP="001C617A">
      <w:pPr>
        <w:spacing w:after="0"/>
        <w:rPr>
          <w:sz w:val="20"/>
          <w:szCs w:val="20"/>
        </w:rPr>
      </w:pPr>
    </w:p>
    <w:p w14:paraId="69588B87" w14:textId="77777777" w:rsidR="001C617A" w:rsidRDefault="001C617A" w:rsidP="001C617A">
      <w:pPr>
        <w:spacing w:after="0"/>
        <w:rPr>
          <w:sz w:val="20"/>
          <w:szCs w:val="20"/>
        </w:rPr>
      </w:pPr>
    </w:p>
    <w:p w14:paraId="0D7767D1" w14:textId="68EF738F" w:rsidR="001C617A" w:rsidRDefault="00D92FBD" w:rsidP="00491756">
      <w:pPr>
        <w:pStyle w:val="NoSpacing"/>
        <w:rPr>
          <w:rFonts w:ascii="Arial Black" w:hAnsi="Arial Black"/>
          <w:sz w:val="24"/>
          <w:szCs w:val="24"/>
        </w:rPr>
      </w:pPr>
      <w:r>
        <w:rPr>
          <w:rFonts w:ascii="Arial Black" w:hAnsi="Arial Black"/>
          <w:sz w:val="24"/>
          <w:szCs w:val="24"/>
        </w:rPr>
        <w:t>15-44</w:t>
      </w:r>
    </w:p>
    <w:p w14:paraId="078C9BFD" w14:textId="77777777" w:rsidR="00D92FBD" w:rsidRDefault="00D92FBD" w:rsidP="00491756">
      <w:pPr>
        <w:pStyle w:val="NoSpacing"/>
        <w:rPr>
          <w:rFonts w:ascii="Arial Black" w:hAnsi="Arial Black"/>
          <w:sz w:val="24"/>
          <w:szCs w:val="24"/>
        </w:rPr>
      </w:pPr>
    </w:p>
    <w:p w14:paraId="47908250" w14:textId="66C55835" w:rsidR="008F05D1" w:rsidRDefault="008F05D1" w:rsidP="008F05D1">
      <w:pPr>
        <w:pStyle w:val="NoSpacing"/>
        <w:rPr>
          <w:rFonts w:ascii="Arial Black" w:hAnsi="Arial Black"/>
          <w:b/>
          <w:sz w:val="28"/>
          <w:szCs w:val="28"/>
        </w:rPr>
      </w:pPr>
      <w:r>
        <w:rPr>
          <w:rFonts w:ascii="Arial Black" w:hAnsi="Arial Black"/>
          <w:b/>
          <w:sz w:val="28"/>
          <w:szCs w:val="28"/>
        </w:rPr>
        <w:t xml:space="preserve">TN: PTSD – </w:t>
      </w:r>
      <w:r w:rsidR="00902336">
        <w:rPr>
          <w:rFonts w:ascii="Arial Black" w:hAnsi="Arial Black"/>
          <w:b/>
          <w:sz w:val="28"/>
          <w:szCs w:val="28"/>
        </w:rPr>
        <w:t>DENIED “</w:t>
      </w:r>
      <w:r w:rsidR="00973D14">
        <w:rPr>
          <w:rFonts w:ascii="Arial Black" w:hAnsi="Arial Black"/>
          <w:b/>
          <w:sz w:val="28"/>
          <w:szCs w:val="28"/>
        </w:rPr>
        <w:t>DISAB</w:t>
      </w:r>
      <w:r w:rsidR="00284724">
        <w:rPr>
          <w:rFonts w:ascii="Arial Black" w:hAnsi="Arial Black"/>
          <w:b/>
          <w:sz w:val="28"/>
          <w:szCs w:val="28"/>
        </w:rPr>
        <w:t xml:space="preserve">ILITY” </w:t>
      </w:r>
      <w:r>
        <w:rPr>
          <w:rFonts w:ascii="Arial Black" w:hAnsi="Arial Black"/>
          <w:b/>
          <w:sz w:val="28"/>
          <w:szCs w:val="28"/>
        </w:rPr>
        <w:t xml:space="preserve">PENSION / TRAUMA NOT “UNEXPECTED” </w:t>
      </w:r>
    </w:p>
    <w:p w14:paraId="025345A9" w14:textId="77777777" w:rsidR="00AE5515" w:rsidRDefault="00AE5515" w:rsidP="008F05D1">
      <w:pPr>
        <w:pStyle w:val="NoSpacing"/>
      </w:pPr>
    </w:p>
    <w:p w14:paraId="7F585762" w14:textId="06B5AA4F" w:rsidR="008F05D1" w:rsidRDefault="008F05D1" w:rsidP="008F05D1">
      <w:pPr>
        <w:pStyle w:val="NoSpacing"/>
      </w:pPr>
      <w:r>
        <w:t xml:space="preserve">On Oct. 13, 2025, in </w:t>
      </w:r>
      <w:r w:rsidRPr="005A20C3">
        <w:rPr>
          <w:u w:val="single"/>
        </w:rPr>
        <w:t xml:space="preserve">Matthew Long v. Chattanooga Fire </w:t>
      </w:r>
      <w:proofErr w:type="gramStart"/>
      <w:r w:rsidRPr="005A20C3">
        <w:rPr>
          <w:u w:val="single"/>
        </w:rPr>
        <w:t>And</w:t>
      </w:r>
      <w:proofErr w:type="gramEnd"/>
      <w:r w:rsidRPr="005A20C3">
        <w:rPr>
          <w:u w:val="single"/>
        </w:rPr>
        <w:t xml:space="preserve"> Police Pension</w:t>
      </w:r>
      <w:r>
        <w:t xml:space="preserve">, the Supreme Court of Tennessee a Knoxville held (5 to 0) that Board correctly denied </w:t>
      </w:r>
      <w:r w:rsidRPr="00B022C6">
        <w:t>disability pension benefit</w:t>
      </w:r>
      <w:r>
        <w:t>s to a 15-year firefighter after a hearing, since his PTSD did not arise from “unexpected” traumatic runs.  The Board consists of eight members: three active members of the police department, three active members of the fire department, the mayor or the mayor’s appointee, and a member appointed by the City Council. In February 2020, Mr. Long completed treatment at the Center</w:t>
      </w:r>
    </w:p>
    <w:p w14:paraId="7B1D415C" w14:textId="77777777" w:rsidR="008F05D1" w:rsidRDefault="008F05D1" w:rsidP="008F05D1">
      <w:pPr>
        <w:pStyle w:val="NoSpacing"/>
      </w:pPr>
      <w:r>
        <w:t>for Excellence in Maryland and then returned home. Mr. Long continued receiving care</w:t>
      </w:r>
    </w:p>
    <w:p w14:paraId="2C6162E1" w14:textId="77777777" w:rsidR="008F05D1" w:rsidRDefault="008F05D1" w:rsidP="008F05D1">
      <w:pPr>
        <w:pStyle w:val="NoSpacing"/>
      </w:pPr>
      <w:r>
        <w:t>from primary care providers but reported difficulty finding satisfactory follow-up mental</w:t>
      </w:r>
    </w:p>
    <w:p w14:paraId="2F1B2057" w14:textId="77777777" w:rsidR="008F05D1" w:rsidRDefault="008F05D1" w:rsidP="008F05D1">
      <w:pPr>
        <w:pStyle w:val="NoSpacing"/>
      </w:pPr>
      <w:r>
        <w:t xml:space="preserve">health care. In June 2020, FD had psychiatrist Dr. Keith Caruso again </w:t>
      </w:r>
      <w:proofErr w:type="gramStart"/>
      <w:r>
        <w:t>evaluate</w:t>
      </w:r>
      <w:proofErr w:type="gramEnd"/>
      <w:r>
        <w:t xml:space="preserve"> Mr. Long’s fitness for duty and he determined that Mr. Long was “permanently and totally disabled as a firefighter.”  The Court reversed both the trial court and the Court of Appeals, which had found Board term ambiguous, </w:t>
      </w:r>
      <w:proofErr w:type="gramStart"/>
      <w:r>
        <w:t>an</w:t>
      </w:r>
      <w:proofErr w:type="gramEnd"/>
      <w:r>
        <w:t xml:space="preserve"> applied the liberal construction doctrine to award benefits. </w:t>
      </w:r>
      <w:hyperlink r:id="rId2509" w:history="1">
        <w:r w:rsidRPr="002D5C71">
          <w:rPr>
            <w:rStyle w:val="Hyperlink"/>
          </w:rPr>
          <w:t>https://www.tncourts.gov/sites/default/files/OpinionsPDFVersion/Majority%20Opinion%20-%20E2022-01151-SC-R11-CV.pdf</w:t>
        </w:r>
      </w:hyperlink>
      <w:r>
        <w:t xml:space="preserve"> </w:t>
      </w:r>
    </w:p>
    <w:p w14:paraId="3EB471D6" w14:textId="77777777" w:rsidR="008F05D1" w:rsidRDefault="008F05D1" w:rsidP="008F05D1">
      <w:pPr>
        <w:pStyle w:val="NoSpacing"/>
      </w:pPr>
    </w:p>
    <w:p w14:paraId="2B7FFC7B" w14:textId="77777777" w:rsidR="008F05D1" w:rsidRDefault="008F05D1" w:rsidP="008F05D1">
      <w:pPr>
        <w:pStyle w:val="NoSpacing"/>
      </w:pPr>
      <w:r>
        <w:t>THE COURT HELD:</w:t>
      </w:r>
    </w:p>
    <w:p w14:paraId="6805B713" w14:textId="77777777" w:rsidR="008F05D1" w:rsidRDefault="008F05D1" w:rsidP="008F05D1">
      <w:pPr>
        <w:pStyle w:val="NoSpacing"/>
      </w:pPr>
    </w:p>
    <w:p w14:paraId="3E4D3D2D" w14:textId="77777777" w:rsidR="008F05D1" w:rsidRDefault="008F05D1" w:rsidP="008F05D1">
      <w:pPr>
        <w:pStyle w:val="NoSpacing"/>
        <w:ind w:left="720"/>
      </w:pPr>
      <w:r>
        <w:t>“At the heart of this dispute is the Policy requirement that, to be eligible for benefits, a mental health ‘disability [must be] a direct result of a traumatic event that is . . . unexpected.’ Specifically, what does it mean for a traumatic event to be “unexpected” as required by the Policy?</w:t>
      </w:r>
    </w:p>
    <w:p w14:paraId="3430C90E" w14:textId="77777777" w:rsidR="008F05D1" w:rsidRDefault="008F05D1" w:rsidP="008F05D1">
      <w:pPr>
        <w:pStyle w:val="NoSpacing"/>
      </w:pPr>
    </w:p>
    <w:p w14:paraId="4E9DF288" w14:textId="77777777" w:rsidR="008F05D1" w:rsidRDefault="008F05D1" w:rsidP="008F05D1">
      <w:pPr>
        <w:pStyle w:val="NoSpacing"/>
        <w:ind w:firstLine="720"/>
      </w:pPr>
      <w:r>
        <w:t>The Court of Appeals found the term ambiguous, applied the liberal construction</w:t>
      </w:r>
    </w:p>
    <w:p w14:paraId="1C6E1A15" w14:textId="77777777" w:rsidR="008F05D1" w:rsidRDefault="008F05D1" w:rsidP="008F05D1">
      <w:pPr>
        <w:pStyle w:val="NoSpacing"/>
        <w:ind w:firstLine="720"/>
      </w:pPr>
      <w:r>
        <w:t>doctrine, and then construed the Policy in favor of Mr. Long. Long, 2023 WL 8716539, at</w:t>
      </w:r>
    </w:p>
    <w:p w14:paraId="46EB66D4" w14:textId="77777777" w:rsidR="008F05D1" w:rsidRDefault="008F05D1" w:rsidP="008F05D1">
      <w:pPr>
        <w:pStyle w:val="NoSpacing"/>
        <w:ind w:firstLine="720"/>
      </w:pPr>
      <w:r>
        <w:t xml:space="preserve">*9–11. The Fund disputes the finding of ambiguity </w:t>
      </w:r>
      <w:proofErr w:type="gramStart"/>
      <w:r>
        <w:t>and also</w:t>
      </w:r>
      <w:proofErr w:type="gramEnd"/>
      <w:r>
        <w:t xml:space="preserve"> argues that the Court should</w:t>
      </w:r>
    </w:p>
    <w:p w14:paraId="4FD4ACA1" w14:textId="77777777" w:rsidR="008F05D1" w:rsidRPr="0081000D" w:rsidRDefault="008F05D1" w:rsidP="008F05D1">
      <w:pPr>
        <w:pStyle w:val="NoSpacing"/>
        <w:ind w:left="720"/>
      </w:pPr>
      <w:proofErr w:type="gramStart"/>
      <w:r>
        <w:t>defer</w:t>
      </w:r>
      <w:proofErr w:type="gramEnd"/>
      <w:r>
        <w:t xml:space="preserve"> to the Board’s interpretation of the Policy. We hold that the Policy is not ambiguous, and we interpret it according to its unambiguous plain meaning. </w:t>
      </w:r>
    </w:p>
    <w:p w14:paraId="2CEF7F9F" w14:textId="77777777" w:rsidR="008F05D1" w:rsidRDefault="008F05D1" w:rsidP="008F05D1">
      <w:pPr>
        <w:pStyle w:val="NoSpacing"/>
        <w:ind w:left="720"/>
      </w:pPr>
    </w:p>
    <w:p w14:paraId="7AFFB626" w14:textId="77777777" w:rsidR="008F05D1" w:rsidRDefault="008F05D1" w:rsidP="008F05D1">
      <w:pPr>
        <w:pStyle w:val="NoSpacing"/>
        <w:ind w:left="720"/>
      </w:pPr>
      <w:r>
        <w:t>***</w:t>
      </w:r>
    </w:p>
    <w:p w14:paraId="3EFBC345" w14:textId="77777777" w:rsidR="008F05D1" w:rsidRDefault="008F05D1" w:rsidP="008F05D1">
      <w:pPr>
        <w:pStyle w:val="NoSpacing"/>
        <w:ind w:left="720"/>
      </w:pPr>
      <w:r>
        <w:t xml:space="preserve">Matthew Long was employed as a firefighter with the Chattanooga Fire Department for fifteen years before he applied to the Chattanooga Fire and Police Pension </w:t>
      </w:r>
      <w:proofErr w:type="gramStart"/>
      <w:r>
        <w:t>Fund (‘</w:t>
      </w:r>
      <w:proofErr w:type="gramEnd"/>
      <w:r>
        <w:t xml:space="preserve">Fund’) </w:t>
      </w:r>
      <w:proofErr w:type="gramStart"/>
      <w:r>
        <w:t>for disability</w:t>
      </w:r>
      <w:proofErr w:type="gramEnd"/>
      <w:r>
        <w:t xml:space="preserve"> pension benefits. The denial of Mr. Long’s application is the subject of this appeal.</w:t>
      </w:r>
    </w:p>
    <w:p w14:paraId="5B7F0475" w14:textId="77777777" w:rsidR="008F05D1" w:rsidRDefault="008F05D1" w:rsidP="008F05D1">
      <w:pPr>
        <w:pStyle w:val="NoSpacing"/>
        <w:ind w:left="720"/>
      </w:pPr>
    </w:p>
    <w:p w14:paraId="32DAE6E7" w14:textId="77777777" w:rsidR="008F05D1" w:rsidRPr="00614036" w:rsidRDefault="008F05D1" w:rsidP="008F05D1">
      <w:pPr>
        <w:pStyle w:val="NoSpacing"/>
        <w:ind w:left="720"/>
      </w:pPr>
      <w:r>
        <w:t>***</w:t>
      </w:r>
    </w:p>
    <w:p w14:paraId="12D90310" w14:textId="77777777" w:rsidR="008F05D1" w:rsidRDefault="008F05D1" w:rsidP="008F05D1">
      <w:pPr>
        <w:pStyle w:val="NoSpacing"/>
        <w:ind w:firstLine="720"/>
      </w:pPr>
      <w:r>
        <w:t xml:space="preserve">Mr. Long responded to many </w:t>
      </w:r>
      <w:proofErr w:type="gramStart"/>
      <w:r>
        <w:t>emergency</w:t>
      </w:r>
      <w:proofErr w:type="gramEnd"/>
      <w:r>
        <w:t xml:space="preserve"> calls over the course of his career. This</w:t>
      </w:r>
    </w:p>
    <w:p w14:paraId="2A5739CE" w14:textId="77777777" w:rsidR="008F05D1" w:rsidRDefault="008F05D1" w:rsidP="008F05D1">
      <w:pPr>
        <w:pStyle w:val="NoSpacing"/>
        <w:ind w:firstLine="720"/>
      </w:pPr>
      <w:r>
        <w:t>case focuses on four traumatic events that Mr. Long identifies as contributing to his</w:t>
      </w:r>
    </w:p>
    <w:p w14:paraId="6F516821" w14:textId="77777777" w:rsidR="008F05D1" w:rsidRDefault="008F05D1" w:rsidP="008F05D1">
      <w:pPr>
        <w:pStyle w:val="NoSpacing"/>
        <w:ind w:firstLine="720"/>
      </w:pPr>
      <w:r>
        <w:t>disability.1 We will discuss them in the order they occurred.</w:t>
      </w:r>
    </w:p>
    <w:p w14:paraId="2114A118" w14:textId="77777777" w:rsidR="008F05D1" w:rsidRDefault="008F05D1" w:rsidP="008F05D1">
      <w:pPr>
        <w:pStyle w:val="NoSpacing"/>
      </w:pPr>
    </w:p>
    <w:p w14:paraId="2F74C6CC" w14:textId="77777777" w:rsidR="008F05D1" w:rsidRDefault="008F05D1" w:rsidP="008F05D1">
      <w:pPr>
        <w:pStyle w:val="NoSpacing"/>
        <w:ind w:firstLine="720"/>
      </w:pPr>
      <w:r>
        <w:t>The first event Mr. Long identified was a car accident near the Bailey-Willow</w:t>
      </w:r>
    </w:p>
    <w:p w14:paraId="2DFB58FA" w14:textId="77777777" w:rsidR="008F05D1" w:rsidRDefault="008F05D1" w:rsidP="008F05D1">
      <w:pPr>
        <w:pStyle w:val="NoSpacing"/>
        <w:ind w:left="720"/>
      </w:pPr>
      <w:r>
        <w:t>intersection in 2008. Mr. Long was called to the scene of a car wreck involving a mother and three children. Mr. Long testified that the mother had run a red-light and been T-boned by an SUV. The children, including an infant in a car seat, were not buckled in when the wreck occurred. Mr. Long rendered aid to the infant whose skull had been crushed after the car seat bounced around the car as well as to a young girl who had been thrown out of the car. Two of the three children died from their injuries. Mr. Long noted that this incident was deeply troubling to all the firefighters who were on the call and that it was particularly hard for him because his children were about the same age as the children in the wreck.</w:t>
      </w:r>
    </w:p>
    <w:p w14:paraId="1E9132A2" w14:textId="77777777" w:rsidR="008F05D1" w:rsidRDefault="008F05D1" w:rsidP="008F05D1">
      <w:pPr>
        <w:pStyle w:val="NoSpacing"/>
      </w:pPr>
    </w:p>
    <w:p w14:paraId="43503317" w14:textId="77777777" w:rsidR="008F05D1" w:rsidRDefault="008F05D1" w:rsidP="008F05D1">
      <w:pPr>
        <w:pStyle w:val="NoSpacing"/>
        <w:ind w:firstLine="720"/>
      </w:pPr>
      <w:r>
        <w:t>The second event Mr. Long identified was the Highland Park fire in 2013. Mr. Long</w:t>
      </w:r>
    </w:p>
    <w:p w14:paraId="76C4C2B5" w14:textId="77777777" w:rsidR="008F05D1" w:rsidRDefault="008F05D1" w:rsidP="008F05D1">
      <w:pPr>
        <w:pStyle w:val="NoSpacing"/>
        <w:ind w:firstLine="720"/>
      </w:pPr>
      <w:r>
        <w:t>was called to a fire at an apartment where two children were trapped in the burning</w:t>
      </w:r>
    </w:p>
    <w:p w14:paraId="756E9349" w14:textId="77777777" w:rsidR="008F05D1" w:rsidRDefault="008F05D1" w:rsidP="008F05D1">
      <w:pPr>
        <w:pStyle w:val="NoSpacing"/>
        <w:ind w:firstLine="720"/>
      </w:pPr>
      <w:r>
        <w:t>building. Mr. Long rendered aid to one of the children and remembered that the child’s</w:t>
      </w:r>
    </w:p>
    <w:p w14:paraId="2E154956" w14:textId="77777777" w:rsidR="008F05D1" w:rsidRDefault="008F05D1" w:rsidP="008F05D1">
      <w:pPr>
        <w:pStyle w:val="NoSpacing"/>
        <w:ind w:firstLine="720"/>
      </w:pPr>
      <w:r>
        <w:t>hair was ‘sloughing off,’ his ‘skin was hanging,’ and he was ‘covered in soot.’ Mr. Long</w:t>
      </w:r>
    </w:p>
    <w:p w14:paraId="01AB3ECA" w14:textId="77777777" w:rsidR="008F05D1" w:rsidRDefault="008F05D1" w:rsidP="008F05D1">
      <w:pPr>
        <w:pStyle w:val="NoSpacing"/>
        <w:ind w:firstLine="720"/>
      </w:pPr>
      <w:r>
        <w:t>and the other firefighters revived the child and then sent him in an ambulance for further</w:t>
      </w:r>
    </w:p>
    <w:p w14:paraId="219476FE" w14:textId="77777777" w:rsidR="008F05D1" w:rsidRDefault="008F05D1" w:rsidP="008F05D1">
      <w:pPr>
        <w:pStyle w:val="NoSpacing"/>
        <w:ind w:left="720"/>
      </w:pPr>
      <w:r>
        <w:t>treatment. Unfortunately, the other child died at the scene. Mr. Long also discussed the aftermath of the Highland Park fire. More than a year after the fire, the surviving child came to visit the fire station to thank Mr. Long and the other firefighters. Mr. Long did not know in advance that the child was coming to visit, and the child was “so disfigured that . . . it was something that stuck with [Mr. Long].” Mr. Long also testified that he rarely learned anything about the people he helped and the child “was one of the few” he ever saw again.</w:t>
      </w:r>
    </w:p>
    <w:p w14:paraId="57A5BD2D" w14:textId="77777777" w:rsidR="008F05D1" w:rsidRDefault="008F05D1" w:rsidP="008F05D1">
      <w:pPr>
        <w:pStyle w:val="NoSpacing"/>
      </w:pPr>
    </w:p>
    <w:p w14:paraId="0C573C18" w14:textId="77777777" w:rsidR="008F05D1" w:rsidRDefault="008F05D1" w:rsidP="008F05D1">
      <w:pPr>
        <w:pStyle w:val="NoSpacing"/>
        <w:ind w:firstLine="720"/>
      </w:pPr>
      <w:r>
        <w:t>The third event was a pedestrian being struck by a car.2 Mr. Long was one of the</w:t>
      </w:r>
    </w:p>
    <w:p w14:paraId="09A928E8" w14:textId="77777777" w:rsidR="008F05D1" w:rsidRDefault="008F05D1" w:rsidP="008F05D1">
      <w:pPr>
        <w:pStyle w:val="NoSpacing"/>
        <w:ind w:firstLine="720"/>
      </w:pPr>
      <w:r>
        <w:t>responders to an accident where a man was hit by a car while pushing his girlfriend out of</w:t>
      </w:r>
    </w:p>
    <w:p w14:paraId="39930AFF" w14:textId="77777777" w:rsidR="008F05D1" w:rsidRDefault="008F05D1" w:rsidP="008F05D1">
      <w:pPr>
        <w:pStyle w:val="NoSpacing"/>
        <w:ind w:firstLine="720"/>
      </w:pPr>
      <w:r>
        <w:t>the way. The man died on the scene after “spitting out pieces of his lungs.” Mr. Long</w:t>
      </w:r>
    </w:p>
    <w:p w14:paraId="5919B3C0" w14:textId="77777777" w:rsidR="008F05D1" w:rsidRDefault="008F05D1" w:rsidP="008F05D1">
      <w:pPr>
        <w:pStyle w:val="NoSpacing"/>
        <w:ind w:firstLine="720"/>
      </w:pPr>
      <w:r>
        <w:t>found this particularly troubling because the man’s friends and girlfriend were asking Mr.</w:t>
      </w:r>
    </w:p>
    <w:p w14:paraId="4A11A1CB" w14:textId="77777777" w:rsidR="008F05D1" w:rsidRDefault="008F05D1" w:rsidP="008F05D1">
      <w:pPr>
        <w:pStyle w:val="NoSpacing"/>
        <w:ind w:firstLine="720"/>
      </w:pPr>
      <w:r>
        <w:t>Long if the man would be okay.</w:t>
      </w:r>
    </w:p>
    <w:p w14:paraId="2178C8CE" w14:textId="77777777" w:rsidR="008F05D1" w:rsidRDefault="008F05D1" w:rsidP="008F05D1">
      <w:pPr>
        <w:pStyle w:val="NoSpacing"/>
      </w:pPr>
    </w:p>
    <w:p w14:paraId="31BC5B6E" w14:textId="77777777" w:rsidR="008F05D1" w:rsidRDefault="008F05D1" w:rsidP="008F05D1">
      <w:pPr>
        <w:pStyle w:val="NoSpacing"/>
        <w:ind w:firstLine="720"/>
      </w:pPr>
      <w:r>
        <w:t>The fourth event was an encounter with an armed man in July 2019. Mr. Long and</w:t>
      </w:r>
    </w:p>
    <w:p w14:paraId="220C6793" w14:textId="77777777" w:rsidR="008F05D1" w:rsidRDefault="008F05D1" w:rsidP="008F05D1">
      <w:pPr>
        <w:pStyle w:val="NoSpacing"/>
        <w:ind w:left="720"/>
      </w:pPr>
      <w:r>
        <w:t>other firefighters responded to a call that an elderly woman had fallen. When they arrived, Mr. Long came upon a man cutting pills. The man had a handgun out on the table and looked at Mr. Long in a way that made him feel threatened, particularly because the call was without police backup. Mr. Long testified of this encounter, “I’ve seen people with guns and different things, but at this moment I was done.” This event occurred around the time that Mr. Long began mental health treatment.</w:t>
      </w:r>
    </w:p>
    <w:p w14:paraId="50EE395C" w14:textId="77777777" w:rsidR="008F05D1" w:rsidRDefault="008F05D1" w:rsidP="008F05D1">
      <w:pPr>
        <w:pStyle w:val="NoSpacing"/>
      </w:pPr>
    </w:p>
    <w:p w14:paraId="5E1B58C9" w14:textId="77777777" w:rsidR="008F05D1" w:rsidRDefault="008F05D1" w:rsidP="008F05D1">
      <w:pPr>
        <w:pStyle w:val="NoSpacing"/>
      </w:pPr>
      <w:r>
        <w:tab/>
        <w:t>***</w:t>
      </w:r>
    </w:p>
    <w:p w14:paraId="5A29F31B" w14:textId="77777777" w:rsidR="008F05D1" w:rsidRDefault="008F05D1" w:rsidP="008F05D1">
      <w:pPr>
        <w:pStyle w:val="NoSpacing"/>
      </w:pPr>
    </w:p>
    <w:p w14:paraId="166035B8" w14:textId="77777777" w:rsidR="008F05D1" w:rsidRDefault="008F05D1" w:rsidP="008F05D1">
      <w:pPr>
        <w:pStyle w:val="NoSpacing"/>
        <w:ind w:left="720"/>
      </w:pPr>
      <w:r>
        <w:t xml:space="preserve">There is little evidence that the events causing Mr. Long’s PTSD were ‘unexpected,’ and there is significant evidence that the events were expected. There is certainly ‘more than a scintilla of evidence’  to support the Board’s decision. The Policy placed the burden of proof on Mr. Long to show that the events causing his PTSD were unexpected, and our review of the record yields little evidence that he met that burden. Accordingly, we find that the Board’s decision is supported by substantial and material evidence in the record and there is ample basis for a reasonable person to reach the same </w:t>
      </w:r>
      <w:proofErr w:type="gramStart"/>
      <w:r>
        <w:t>conclusion.”</w:t>
      </w:r>
      <w:proofErr w:type="gramEnd"/>
    </w:p>
    <w:p w14:paraId="03F97E55" w14:textId="77777777" w:rsidR="008F05D1" w:rsidRDefault="008F05D1" w:rsidP="008F05D1">
      <w:pPr>
        <w:pStyle w:val="NoSpacing"/>
        <w:ind w:left="720"/>
      </w:pPr>
    </w:p>
    <w:p w14:paraId="157035FC" w14:textId="0E41A0F2" w:rsidR="008F05D1" w:rsidRPr="006A66F3" w:rsidRDefault="008F05D1" w:rsidP="008F05D1">
      <w:pPr>
        <w:pStyle w:val="NoSpacing"/>
        <w:rPr>
          <w:b/>
          <w:bCs/>
        </w:rPr>
      </w:pPr>
      <w:r>
        <w:rPr>
          <w:b/>
        </w:rPr>
        <w:t xml:space="preserve">Lesson learned:  </w:t>
      </w:r>
      <w:r w:rsidR="0002141E">
        <w:rPr>
          <w:b/>
        </w:rPr>
        <w:t xml:space="preserve">The </w:t>
      </w:r>
      <w:r>
        <w:rPr>
          <w:b/>
        </w:rPr>
        <w:t xml:space="preserve">claimant failed to prove </w:t>
      </w:r>
      <w:r w:rsidR="0002141E">
        <w:rPr>
          <w:b/>
        </w:rPr>
        <w:t xml:space="preserve">his </w:t>
      </w:r>
      <w:r>
        <w:rPr>
          <w:b/>
        </w:rPr>
        <w:t xml:space="preserve">mental health </w:t>
      </w:r>
      <w:r w:rsidRPr="006A66F3">
        <w:rPr>
          <w:b/>
        </w:rPr>
        <w:t xml:space="preserve">disability </w:t>
      </w:r>
      <w:r w:rsidR="0002141E">
        <w:rPr>
          <w:b/>
        </w:rPr>
        <w:t xml:space="preserve"> was “</w:t>
      </w:r>
      <w:r w:rsidRPr="006A66F3">
        <w:rPr>
          <w:b/>
        </w:rPr>
        <w:t>a direct result of a traumatic event that is . . . unexpected.”</w:t>
      </w:r>
    </w:p>
    <w:p w14:paraId="0CD3B361" w14:textId="77777777" w:rsidR="008F05D1" w:rsidRPr="006A66F3" w:rsidRDefault="008F05D1" w:rsidP="008F05D1">
      <w:pPr>
        <w:pStyle w:val="NoSpacing"/>
        <w:ind w:left="720"/>
        <w:rPr>
          <w:b/>
          <w:bCs/>
        </w:rPr>
      </w:pPr>
    </w:p>
    <w:p w14:paraId="309557DF" w14:textId="77777777" w:rsidR="008F05D1" w:rsidRDefault="008F05D1" w:rsidP="008F05D1">
      <w:pPr>
        <w:pStyle w:val="NoSpacing"/>
        <w:ind w:left="720"/>
      </w:pPr>
      <w:r w:rsidRPr="00496071">
        <w:t xml:space="preserve"> Note: See Oct. 15, </w:t>
      </w:r>
      <w:proofErr w:type="gramStart"/>
      <w:r w:rsidRPr="00496071">
        <w:t>2025</w:t>
      </w:r>
      <w:proofErr w:type="gramEnd"/>
      <w:r w:rsidRPr="00496071">
        <w:t xml:space="preserve"> article, “Tenn. Supreme Court reinstates denial of PTSD benefits for former firefighter. “ </w:t>
      </w:r>
      <w:hyperlink r:id="rId2510" w:history="1">
        <w:r w:rsidRPr="00496071">
          <w:rPr>
            <w:rStyle w:val="Hyperlink"/>
          </w:rPr>
          <w:t>https://www.firerescue1.com/legal/tenn-supreme-court-reinstates-denial-of-ptsd-benefits-for-former-firefighter?utm_source=delivra&amp;utm_medium=email&amp;utm_campaign=FR1-Daily-10-15-25&amp;utm_id=9641961&amp;dlv-emuid=fed355b8-46a2-4fa4-b55c-4d602dde33c4&amp;dlv-mlid=964196</w:t>
        </w:r>
      </w:hyperlink>
      <w:r w:rsidRPr="00496071">
        <w:t xml:space="preserve"> </w:t>
      </w:r>
    </w:p>
    <w:p w14:paraId="386BF20C" w14:textId="77777777" w:rsidR="00F02AD2" w:rsidRDefault="00F02AD2" w:rsidP="00491756">
      <w:pPr>
        <w:pStyle w:val="NoSpacing"/>
        <w:rPr>
          <w:rFonts w:ascii="Arial Black" w:hAnsi="Arial Black"/>
          <w:sz w:val="24"/>
          <w:szCs w:val="24"/>
        </w:rPr>
      </w:pPr>
    </w:p>
    <w:p w14:paraId="2889E54C" w14:textId="77777777" w:rsidR="00F02AD2" w:rsidRDefault="00F02AD2" w:rsidP="00491756">
      <w:pPr>
        <w:pStyle w:val="NoSpacing"/>
        <w:rPr>
          <w:rFonts w:ascii="Arial Black" w:hAnsi="Arial Black"/>
          <w:sz w:val="24"/>
          <w:szCs w:val="24"/>
        </w:rPr>
      </w:pPr>
    </w:p>
    <w:p w14:paraId="04EC1605" w14:textId="77777777" w:rsidR="00F02AD2" w:rsidRDefault="00F02AD2" w:rsidP="00491756">
      <w:pPr>
        <w:pStyle w:val="NoSpacing"/>
        <w:rPr>
          <w:rFonts w:ascii="Arial Black" w:hAnsi="Arial Black"/>
          <w:sz w:val="24"/>
          <w:szCs w:val="24"/>
        </w:rPr>
      </w:pPr>
    </w:p>
    <w:p w14:paraId="5F3BA784" w14:textId="776368B7" w:rsidR="00F02AD2" w:rsidRDefault="00F02AD2" w:rsidP="00491756">
      <w:pPr>
        <w:pStyle w:val="NoSpacing"/>
        <w:rPr>
          <w:rFonts w:ascii="Arial Black" w:hAnsi="Arial Black"/>
          <w:sz w:val="24"/>
          <w:szCs w:val="24"/>
        </w:rPr>
      </w:pPr>
      <w:r>
        <w:rPr>
          <w:rFonts w:ascii="Arial Black" w:hAnsi="Arial Black"/>
          <w:sz w:val="24"/>
          <w:szCs w:val="24"/>
        </w:rPr>
        <w:t>15-4</w:t>
      </w:r>
      <w:r w:rsidR="00CF6AB5">
        <w:rPr>
          <w:rFonts w:ascii="Arial Black" w:hAnsi="Arial Black"/>
          <w:sz w:val="24"/>
          <w:szCs w:val="24"/>
        </w:rPr>
        <w:t>3</w:t>
      </w:r>
    </w:p>
    <w:p w14:paraId="374EF672" w14:textId="77777777" w:rsidR="00F02AD2" w:rsidRDefault="00F02AD2" w:rsidP="00491756">
      <w:pPr>
        <w:pStyle w:val="NoSpacing"/>
        <w:rPr>
          <w:rFonts w:ascii="Arial Black" w:hAnsi="Arial Black"/>
          <w:sz w:val="24"/>
          <w:szCs w:val="24"/>
        </w:rPr>
      </w:pPr>
    </w:p>
    <w:p w14:paraId="5E21C88E" w14:textId="77777777" w:rsidR="00876E96" w:rsidRDefault="00876E96" w:rsidP="00491756">
      <w:pPr>
        <w:pStyle w:val="NoSpacing"/>
        <w:rPr>
          <w:rFonts w:ascii="Arial Black" w:hAnsi="Arial Black"/>
          <w:sz w:val="24"/>
          <w:szCs w:val="24"/>
        </w:rPr>
      </w:pPr>
    </w:p>
    <w:p w14:paraId="60F6CBE0" w14:textId="77777777" w:rsidR="00876E96" w:rsidRDefault="00876E96" w:rsidP="00876E96">
      <w:pPr>
        <w:spacing w:after="0"/>
        <w:rPr>
          <w:rFonts w:ascii="Arial Black" w:hAnsi="Arial Black"/>
          <w:b/>
          <w:sz w:val="28"/>
          <w:szCs w:val="28"/>
        </w:rPr>
      </w:pPr>
      <w:bookmarkStart w:id="569" w:name="_Hlk212805120"/>
      <w:r>
        <w:rPr>
          <w:rFonts w:ascii="Arial Black" w:hAnsi="Arial Black"/>
          <w:b/>
          <w:sz w:val="28"/>
          <w:szCs w:val="28"/>
        </w:rPr>
        <w:t>NY: PTSD – GET “ORDINARY” DISAB – NOT “ACCIDENTAL”</w:t>
      </w:r>
    </w:p>
    <w:p w14:paraId="76F84017" w14:textId="77777777" w:rsidR="00876E96" w:rsidRDefault="00876E96" w:rsidP="00876E96">
      <w:pPr>
        <w:spacing w:after="0"/>
        <w:rPr>
          <w:bCs/>
        </w:rPr>
      </w:pPr>
    </w:p>
    <w:p w14:paraId="2CBFABE4" w14:textId="77777777" w:rsidR="00876E96" w:rsidRPr="005153BB" w:rsidRDefault="00876E96" w:rsidP="00876E96">
      <w:pPr>
        <w:spacing w:after="0"/>
        <w:rPr>
          <w:b/>
        </w:rPr>
      </w:pPr>
      <w:r w:rsidRPr="00CA4B2B">
        <w:t xml:space="preserve">On October 10, 2025, in </w:t>
      </w:r>
      <w:r w:rsidRPr="009C2E71">
        <w:rPr>
          <w:u w:val="single"/>
        </w:rPr>
        <w:t>Gordon Springs v. The New York City Fire Pension Fund</w:t>
      </w:r>
      <w:r>
        <w:rPr>
          <w:u w:val="single"/>
        </w:rPr>
        <w:t>, et al.</w:t>
      </w:r>
      <w:r>
        <w:t xml:space="preserve">, Judge  </w:t>
      </w:r>
      <w:r w:rsidRPr="00230706">
        <w:t>Lyle E. Frank</w:t>
      </w:r>
      <w:r>
        <w:t xml:space="preserve">, </w:t>
      </w:r>
      <w:r w:rsidRPr="000452AD">
        <w:t>Supreme Court, New York County</w:t>
      </w:r>
      <w:r>
        <w:t xml:space="preserve"> (unpublished decision) held that the Pension Board, while granting the retired firefighter ordinary disability benefits, properly denied him Accidental Disability Retirement (ADR). The case was first </w:t>
      </w:r>
      <w:proofErr w:type="gramStart"/>
      <w:r>
        <w:t>remanded</w:t>
      </w:r>
      <w:proofErr w:type="gramEnd"/>
      <w:r>
        <w:t xml:space="preserve"> to the Board, which reconfirmed its </w:t>
      </w:r>
      <w:proofErr w:type="gramStart"/>
      <w:r>
        <w:t>decision</w:t>
      </w:r>
      <w:proofErr w:type="gramEnd"/>
      <w:r>
        <w:t xml:space="preserve"> denying ADR.  </w:t>
      </w:r>
      <w:hyperlink r:id="rId2511" w:history="1">
        <w:r w:rsidRPr="00C117F2">
          <w:rPr>
            <w:rStyle w:val="Hyperlink"/>
          </w:rPr>
          <w:t>https://cases.justia.com/new-york/other-courts/2025-2025-ny-slip-op-33910-u.pdf?ts=1761341305</w:t>
        </w:r>
      </w:hyperlink>
      <w:bookmarkEnd w:id="569"/>
      <w:r w:rsidRPr="00C117F2">
        <w:t xml:space="preserve"> </w:t>
      </w:r>
    </w:p>
    <w:p w14:paraId="50321548" w14:textId="77777777" w:rsidR="00876E96" w:rsidRDefault="00876E96" w:rsidP="00876E96">
      <w:pPr>
        <w:spacing w:after="0"/>
        <w:rPr>
          <w:b/>
        </w:rPr>
      </w:pPr>
    </w:p>
    <w:p w14:paraId="2C6741A0" w14:textId="77777777" w:rsidR="00876E96" w:rsidRDefault="00876E96" w:rsidP="00876E96">
      <w:pPr>
        <w:spacing w:after="0"/>
        <w:rPr>
          <w:bCs/>
        </w:rPr>
      </w:pPr>
      <w:r>
        <w:t>THE COURT HELD:</w:t>
      </w:r>
    </w:p>
    <w:p w14:paraId="104D6222" w14:textId="77777777" w:rsidR="00876E96" w:rsidRDefault="00876E96" w:rsidP="00876E96">
      <w:pPr>
        <w:spacing w:after="0"/>
        <w:ind w:firstLine="720"/>
        <w:rPr>
          <w:bCs/>
        </w:rPr>
      </w:pPr>
    </w:p>
    <w:p w14:paraId="03BA5F03" w14:textId="77777777" w:rsidR="00876E96" w:rsidRPr="008A0293" w:rsidRDefault="00876E96" w:rsidP="00876E96">
      <w:pPr>
        <w:spacing w:after="0"/>
        <w:ind w:firstLine="720"/>
        <w:rPr>
          <w:bCs/>
        </w:rPr>
      </w:pPr>
      <w:r>
        <w:t>“</w:t>
      </w:r>
      <w:r w:rsidRPr="008A0293">
        <w:t xml:space="preserve">To receive ADR, a member must establish that they are </w:t>
      </w:r>
      <w:r>
        <w:t>‘</w:t>
      </w:r>
      <w:r w:rsidRPr="008A0293">
        <w:t>physically or mentally</w:t>
      </w:r>
    </w:p>
    <w:p w14:paraId="1FDBB375" w14:textId="77777777" w:rsidR="00876E96" w:rsidRPr="008A0293" w:rsidRDefault="00876E96" w:rsidP="00876E96">
      <w:pPr>
        <w:spacing w:after="0"/>
        <w:ind w:firstLine="720"/>
        <w:rPr>
          <w:bCs/>
        </w:rPr>
      </w:pPr>
      <w:r w:rsidRPr="008A0293">
        <w:t>incapacitated for the performance of city-service, as a natural and proximate result</w:t>
      </w:r>
      <w:r>
        <w:t>’</w:t>
      </w:r>
      <w:r w:rsidRPr="008A0293">
        <w:t xml:space="preserve"> of an</w:t>
      </w:r>
    </w:p>
    <w:p w14:paraId="4A806047" w14:textId="77777777" w:rsidR="00876E96" w:rsidRDefault="00876E96" w:rsidP="00876E96">
      <w:pPr>
        <w:spacing w:after="0"/>
        <w:ind w:firstLine="720"/>
        <w:rPr>
          <w:bCs/>
        </w:rPr>
      </w:pPr>
      <w:r w:rsidRPr="008A0293">
        <w:t>accidental injury received in such city-service. Administrative Code §13-353.</w:t>
      </w:r>
    </w:p>
    <w:p w14:paraId="39FA564A" w14:textId="77777777" w:rsidR="00876E96" w:rsidRDefault="00876E96" w:rsidP="00876E96">
      <w:pPr>
        <w:spacing w:after="0"/>
        <w:ind w:firstLine="720"/>
        <w:rPr>
          <w:bCs/>
        </w:rPr>
      </w:pPr>
    </w:p>
    <w:p w14:paraId="53CD2E32" w14:textId="77777777" w:rsidR="00876E96" w:rsidRDefault="00876E96" w:rsidP="00876E96">
      <w:pPr>
        <w:spacing w:after="0"/>
        <w:ind w:firstLine="720"/>
        <w:rPr>
          <w:bCs/>
        </w:rPr>
      </w:pPr>
      <w:r>
        <w:t>***</w:t>
      </w:r>
    </w:p>
    <w:p w14:paraId="017221CA" w14:textId="77777777" w:rsidR="00876E96" w:rsidRPr="00E529FB" w:rsidRDefault="00876E96" w:rsidP="00876E96">
      <w:pPr>
        <w:spacing w:after="0"/>
        <w:ind w:firstLine="720"/>
        <w:rPr>
          <w:bCs/>
        </w:rPr>
      </w:pPr>
      <w:r w:rsidRPr="00E529FB">
        <w:t>With respect to petitioner’s psychological disability, the Court similarly finds that</w:t>
      </w:r>
    </w:p>
    <w:p w14:paraId="1286EBE5" w14:textId="77777777" w:rsidR="00876E96" w:rsidRDefault="00876E96" w:rsidP="00876E96">
      <w:pPr>
        <w:spacing w:after="0"/>
        <w:ind w:left="720"/>
        <w:rPr>
          <w:bCs/>
        </w:rPr>
      </w:pPr>
      <w:r w:rsidRPr="00E529FB">
        <w:t>respondents, consistent with binding precedent, reasonably determined that it was not causally</w:t>
      </w:r>
      <w:r>
        <w:t xml:space="preserve"> </w:t>
      </w:r>
      <w:r w:rsidRPr="00E529FB">
        <w:t>related to his duties as a firefighter. See Smith v City of N.Y., 208 AD3d 1335 [2d Dept 2022]</w:t>
      </w:r>
      <w:r>
        <w:t xml:space="preserve"> </w:t>
      </w:r>
      <w:r w:rsidRPr="00E529FB">
        <w:t>(firefighter physically and sexually assaulted by two fellow firefighters and subsequently</w:t>
      </w:r>
      <w:r>
        <w:t xml:space="preserve"> </w:t>
      </w:r>
      <w:r w:rsidRPr="00E529FB">
        <w:t xml:space="preserve">developed PTSD in connection with </w:t>
      </w:r>
      <w:proofErr w:type="spellStart"/>
      <w:r w:rsidRPr="00E529FB">
        <w:t>assualt</w:t>
      </w:r>
      <w:proofErr w:type="spellEnd"/>
      <w:r w:rsidRPr="00E529FB">
        <w:t xml:space="preserve">); Picciurro v. Bd. of </w:t>
      </w:r>
      <w:proofErr w:type="spellStart"/>
      <w:r w:rsidRPr="00E529FB">
        <w:t>Trs</w:t>
      </w:r>
      <w:proofErr w:type="spellEnd"/>
      <w:r w:rsidRPr="00E529FB">
        <w:t>. of the N.Y.C. Police</w:t>
      </w:r>
      <w:r>
        <w:t xml:space="preserve"> </w:t>
      </w:r>
      <w:r w:rsidRPr="00E529FB">
        <w:t>Pension Fund, 46 AD3d 346, 348-49 [1st Dept 2007] (police officer suffered PTSD and</w:t>
      </w:r>
      <w:r>
        <w:t xml:space="preserve"> </w:t>
      </w:r>
      <w:r w:rsidRPr="00E529FB">
        <w:t>depression after humiliation, harassment and taunting by coworkers); Baird v Kelly, 25 AD3d</w:t>
      </w:r>
      <w:r>
        <w:t xml:space="preserve"> </w:t>
      </w:r>
      <w:r w:rsidRPr="00E529FB">
        <w:t>311, 313 [1st Dept 2006] (</w:t>
      </w:r>
      <w:r>
        <w:t>‘</w:t>
      </w:r>
      <w:r w:rsidRPr="00E529FB">
        <w:t>campaign of harassment does not constitute an accident</w:t>
      </w:r>
      <w:r>
        <w:t>’</w:t>
      </w:r>
      <w:r w:rsidRPr="00E529FB">
        <w:t>).</w:t>
      </w:r>
    </w:p>
    <w:p w14:paraId="5D147BCB" w14:textId="77777777" w:rsidR="00876E96" w:rsidRDefault="00876E96" w:rsidP="00876E96">
      <w:pPr>
        <w:spacing w:after="0"/>
        <w:ind w:left="720"/>
        <w:rPr>
          <w:bCs/>
        </w:rPr>
      </w:pPr>
    </w:p>
    <w:p w14:paraId="75DE0AA6" w14:textId="727777D4" w:rsidR="00876E96" w:rsidRDefault="00876E96" w:rsidP="00876E96">
      <w:pPr>
        <w:spacing w:after="0"/>
        <w:rPr>
          <w:b/>
        </w:rPr>
      </w:pPr>
      <w:r>
        <w:rPr>
          <w:b/>
        </w:rPr>
        <w:t xml:space="preserve">Lesson Learned: Under New York precedent, harassment does not constitute an accident. </w:t>
      </w:r>
    </w:p>
    <w:p w14:paraId="624B7A0A" w14:textId="77777777" w:rsidR="00876E96" w:rsidRDefault="00876E96" w:rsidP="00876E96">
      <w:pPr>
        <w:spacing w:after="0"/>
        <w:rPr>
          <w:b/>
        </w:rPr>
      </w:pPr>
    </w:p>
    <w:p w14:paraId="0495B5AB" w14:textId="77777777" w:rsidR="00876E96" w:rsidRDefault="00876E96" w:rsidP="00876E96">
      <w:pPr>
        <w:pStyle w:val="NoSpacing"/>
        <w:ind w:left="720"/>
      </w:pPr>
      <w:r w:rsidRPr="0065117A">
        <w:t xml:space="preserve">Note: </w:t>
      </w:r>
      <w:r>
        <w:t xml:space="preserve"> See plaintiff’s Feb. 8, </w:t>
      </w:r>
      <w:proofErr w:type="gramStart"/>
      <w:r>
        <w:t>2000</w:t>
      </w:r>
      <w:proofErr w:type="gramEnd"/>
      <w:r>
        <w:t xml:space="preserve"> Complaint where he alleged harassment as a Black, Muslim firefighter. </w:t>
      </w:r>
      <w:hyperlink r:id="rId2512" w:history="1">
        <w:r w:rsidRPr="00E52E8B">
          <w:rPr>
            <w:rStyle w:val="Hyperlink"/>
            <w:b/>
          </w:rPr>
          <w:t>file:///C:/Users/lawre/Downloads/US_DIS_NYSD_1_19cv11555_COMPLAINT_against_City_of_New_York_City_of_New_Yor.pdf</w:t>
        </w:r>
      </w:hyperlink>
      <w:r>
        <w:t xml:space="preserve"> </w:t>
      </w:r>
    </w:p>
    <w:p w14:paraId="7E670109" w14:textId="77777777" w:rsidR="00876E96" w:rsidRPr="0065117A" w:rsidRDefault="00876E96" w:rsidP="00876E96">
      <w:pPr>
        <w:spacing w:after="0"/>
        <w:ind w:left="720"/>
        <w:rPr>
          <w:bCs/>
        </w:rPr>
      </w:pPr>
      <w:r>
        <w:t xml:space="preserve"> </w:t>
      </w:r>
    </w:p>
    <w:p w14:paraId="509FC502" w14:textId="77777777" w:rsidR="00876E96" w:rsidRPr="000452AD" w:rsidRDefault="00876E96" w:rsidP="00876E96">
      <w:pPr>
        <w:spacing w:after="0"/>
        <w:rPr>
          <w:bCs/>
        </w:rPr>
      </w:pPr>
    </w:p>
    <w:p w14:paraId="04F92309" w14:textId="1B2B9424" w:rsidR="00491756" w:rsidRDefault="00491756" w:rsidP="000C4DF5">
      <w:pPr>
        <w:pStyle w:val="NoSpacing"/>
        <w:rPr>
          <w:rFonts w:ascii="Arial Black" w:hAnsi="Arial Black"/>
          <w:sz w:val="24"/>
          <w:szCs w:val="24"/>
        </w:rPr>
      </w:pPr>
    </w:p>
    <w:p w14:paraId="76320291" w14:textId="77777777" w:rsidR="00491756" w:rsidRDefault="00491756" w:rsidP="000C4DF5">
      <w:pPr>
        <w:pStyle w:val="NoSpacing"/>
        <w:rPr>
          <w:rFonts w:ascii="Arial Black" w:hAnsi="Arial Black"/>
          <w:sz w:val="24"/>
          <w:szCs w:val="24"/>
        </w:rPr>
      </w:pPr>
    </w:p>
    <w:p w14:paraId="6A909376" w14:textId="64C1B462" w:rsidR="00A93EB6" w:rsidRDefault="00A93EB6" w:rsidP="000C4DF5">
      <w:pPr>
        <w:pStyle w:val="NoSpacing"/>
        <w:rPr>
          <w:rFonts w:ascii="Arial Black" w:hAnsi="Arial Black"/>
          <w:sz w:val="24"/>
          <w:szCs w:val="24"/>
        </w:rPr>
      </w:pPr>
      <w:r>
        <w:rPr>
          <w:rFonts w:ascii="Arial Black" w:hAnsi="Arial Black"/>
          <w:sz w:val="24"/>
          <w:szCs w:val="24"/>
        </w:rPr>
        <w:t>15-42</w:t>
      </w:r>
    </w:p>
    <w:p w14:paraId="7531E8F3" w14:textId="77777777" w:rsidR="00A93EB6" w:rsidRDefault="00A93EB6" w:rsidP="000C4DF5">
      <w:pPr>
        <w:pStyle w:val="NoSpacing"/>
        <w:rPr>
          <w:rFonts w:ascii="Arial Black" w:hAnsi="Arial Black"/>
          <w:sz w:val="24"/>
          <w:szCs w:val="24"/>
        </w:rPr>
      </w:pPr>
    </w:p>
    <w:p w14:paraId="71EC53F1" w14:textId="77777777" w:rsidR="00A93EB6" w:rsidRPr="004D227C" w:rsidRDefault="00A93EB6" w:rsidP="00A93EB6">
      <w:pPr>
        <w:rPr>
          <w:rFonts w:ascii="Arial Black" w:hAnsi="Arial Black"/>
          <w:sz w:val="28"/>
          <w:szCs w:val="28"/>
        </w:rPr>
      </w:pPr>
      <w:r>
        <w:rPr>
          <w:rFonts w:ascii="Arial Black" w:hAnsi="Arial Black"/>
          <w:sz w:val="28"/>
          <w:szCs w:val="28"/>
        </w:rPr>
        <w:t>IL: CHICAGO – PSYCHOLOGICAL “SUITABILITY SCREENING”</w:t>
      </w:r>
    </w:p>
    <w:p w14:paraId="5A11A4CE" w14:textId="125D2DFA" w:rsidR="00A93EB6" w:rsidRPr="000449B4" w:rsidRDefault="00A93EB6" w:rsidP="00A93EB6">
      <w:pPr>
        <w:pStyle w:val="NoSpacing"/>
        <w:rPr>
          <w:rFonts w:ascii="Times New Roman" w:hAnsi="Times New Roman"/>
          <w:sz w:val="24"/>
          <w:szCs w:val="24"/>
        </w:rPr>
      </w:pPr>
      <w:r w:rsidRPr="000449B4">
        <w:rPr>
          <w:rFonts w:ascii="Times New Roman" w:hAnsi="Times New Roman"/>
          <w:sz w:val="24"/>
          <w:szCs w:val="24"/>
        </w:rPr>
        <w:t xml:space="preserve">On July 1, 2025, in </w:t>
      </w:r>
      <w:r w:rsidRPr="000449B4">
        <w:rPr>
          <w:rFonts w:ascii="Times New Roman" w:hAnsi="Times New Roman"/>
          <w:sz w:val="24"/>
          <w:szCs w:val="24"/>
          <w:u w:val="single"/>
        </w:rPr>
        <w:t>Nicholas Sintos v. City of Chicago</w:t>
      </w:r>
      <w:r w:rsidRPr="000449B4">
        <w:rPr>
          <w:rFonts w:ascii="Times New Roman" w:hAnsi="Times New Roman"/>
          <w:sz w:val="24"/>
          <w:szCs w:val="24"/>
        </w:rPr>
        <w:t xml:space="preserve">, U.S. District Court Judge Sara L. Ellis, United States District Court for Northern District of Illinois (Eastern Divion) held that plaintiff, who in February 2019 was rejected by the Chicago Fire Department’s Medical Director after undergoing a “psychological suitability screening” may proceed with his ADA lawsuit.  In 2020, the </w:t>
      </w:r>
      <w:proofErr w:type="gramStart"/>
      <w:r w:rsidRPr="000449B4">
        <w:rPr>
          <w:rFonts w:ascii="Times New Roman" w:hAnsi="Times New Roman"/>
          <w:sz w:val="24"/>
          <w:szCs w:val="24"/>
        </w:rPr>
        <w:t>City</w:t>
      </w:r>
      <w:proofErr w:type="gramEnd"/>
      <w:r w:rsidRPr="000449B4">
        <w:rPr>
          <w:rFonts w:ascii="Times New Roman" w:hAnsi="Times New Roman"/>
          <w:sz w:val="24"/>
          <w:szCs w:val="24"/>
        </w:rPr>
        <w:t xml:space="preserve"> stopped using this screening for applicants with mental health history.  THE COUT HELD:  “Dr. Wong also referred </w:t>
      </w:r>
      <w:proofErr w:type="spellStart"/>
      <w:r w:rsidRPr="000449B4">
        <w:rPr>
          <w:rFonts w:ascii="Times New Roman" w:hAnsi="Times New Roman"/>
          <w:sz w:val="24"/>
          <w:szCs w:val="24"/>
        </w:rPr>
        <w:t>Sintos</w:t>
      </w:r>
      <w:proofErr w:type="spellEnd"/>
      <w:r w:rsidRPr="000449B4">
        <w:rPr>
          <w:rFonts w:ascii="Times New Roman" w:hAnsi="Times New Roman"/>
          <w:sz w:val="24"/>
          <w:szCs w:val="24"/>
        </w:rPr>
        <w:t xml:space="preserve"> for a psychological suitability screening administered by Dr. Diana Goldstein of the Isaac Ray Forensic Group. The screening consisted of a twenty-three-page biographical questionnaire, two psychometric exams (the Minnesota Multiphasic Personality Inventory, revised (“MMPI-2”): Public Safety Module, and the Personality Assessment Inventory: Law Enforcement, Corrections and Public Safety Selection Report (“PAI”)), and an interview…. Dr. Goldstein rated individuals as acceptable, acceptable with reservations, or unacceptable. An unacceptable finding [rating she gave to plaintiff] on the screening meant that the candidate's results did not look like those of a sample group of individuals who completed the probationary period…. The parties agree that the second [ADA] element, whether </w:t>
      </w:r>
      <w:proofErr w:type="spellStart"/>
      <w:r w:rsidRPr="000449B4">
        <w:rPr>
          <w:rFonts w:ascii="Times New Roman" w:hAnsi="Times New Roman"/>
          <w:sz w:val="24"/>
          <w:szCs w:val="24"/>
        </w:rPr>
        <w:t>Sintos</w:t>
      </w:r>
      <w:proofErr w:type="spellEnd"/>
      <w:r w:rsidRPr="000449B4">
        <w:rPr>
          <w:rFonts w:ascii="Times New Roman" w:hAnsi="Times New Roman"/>
          <w:sz w:val="24"/>
          <w:szCs w:val="24"/>
        </w:rPr>
        <w:t xml:space="preserve"> was qualified to perform the essential functions of a firefighter/EMT with or without a reasonable accommodation, remains a question for the jury.”  </w:t>
      </w:r>
      <w:hyperlink r:id="rId2513" w:history="1">
        <w:r w:rsidRPr="000449B4">
          <w:rPr>
            <w:rStyle w:val="Hyperlink"/>
            <w:rFonts w:ascii="Times New Roman" w:hAnsi="Times New Roman"/>
            <w:sz w:val="24"/>
            <w:szCs w:val="24"/>
          </w:rPr>
          <w:t>https://cases.justia.com/federal/district-courts/illinois/ilndce/1:2021cv05327/407800/161/0.pdf?ts=1751450196</w:t>
        </w:r>
      </w:hyperlink>
    </w:p>
    <w:p w14:paraId="765E9D30" w14:textId="77777777" w:rsidR="000449B4" w:rsidRPr="000449B4" w:rsidRDefault="000449B4" w:rsidP="000449B4">
      <w:pPr>
        <w:rPr>
          <w:rFonts w:ascii="Times New Roman" w:hAnsi="Times New Roman"/>
          <w:b/>
          <w:bCs/>
          <w:sz w:val="24"/>
          <w:szCs w:val="24"/>
        </w:rPr>
      </w:pPr>
      <w:r w:rsidRPr="000449B4">
        <w:rPr>
          <w:rFonts w:ascii="Times New Roman" w:hAnsi="Times New Roman"/>
          <w:b/>
          <w:sz w:val="24"/>
          <w:szCs w:val="24"/>
        </w:rPr>
        <w:t xml:space="preserve">Legal lesson learned: The case will now go to a jury trial unless the parties settle.  </w:t>
      </w:r>
    </w:p>
    <w:p w14:paraId="1A2E1EC1" w14:textId="77777777" w:rsidR="000449B4" w:rsidRDefault="000449B4" w:rsidP="00A93EB6">
      <w:pPr>
        <w:pStyle w:val="NoSpacing"/>
        <w:rPr>
          <w:rFonts w:ascii="Arial Black" w:hAnsi="Arial Black"/>
          <w:sz w:val="24"/>
          <w:szCs w:val="24"/>
        </w:rPr>
      </w:pPr>
    </w:p>
    <w:p w14:paraId="140C3253" w14:textId="77777777" w:rsidR="00A93EB6" w:rsidRDefault="00A93EB6" w:rsidP="000C4DF5">
      <w:pPr>
        <w:pStyle w:val="NoSpacing"/>
        <w:rPr>
          <w:rFonts w:ascii="Arial Black" w:hAnsi="Arial Black"/>
          <w:sz w:val="24"/>
          <w:szCs w:val="24"/>
        </w:rPr>
      </w:pPr>
    </w:p>
    <w:p w14:paraId="719D3BEC" w14:textId="4775FA32" w:rsidR="00816988" w:rsidRDefault="00816988" w:rsidP="000C4DF5">
      <w:pPr>
        <w:pStyle w:val="NoSpacing"/>
        <w:rPr>
          <w:rFonts w:ascii="Arial Black" w:hAnsi="Arial Black"/>
          <w:sz w:val="24"/>
          <w:szCs w:val="24"/>
        </w:rPr>
      </w:pPr>
      <w:r>
        <w:rPr>
          <w:rFonts w:ascii="Arial Black" w:hAnsi="Arial Black"/>
          <w:sz w:val="24"/>
          <w:szCs w:val="24"/>
        </w:rPr>
        <w:t>15-41</w:t>
      </w:r>
    </w:p>
    <w:p w14:paraId="41537DFD" w14:textId="77777777" w:rsidR="00816988" w:rsidRDefault="00816988" w:rsidP="000C4DF5">
      <w:pPr>
        <w:pStyle w:val="NoSpacing"/>
        <w:rPr>
          <w:rFonts w:ascii="Arial Black" w:hAnsi="Arial Black"/>
          <w:sz w:val="24"/>
          <w:szCs w:val="24"/>
        </w:rPr>
      </w:pPr>
    </w:p>
    <w:p w14:paraId="78A3F431" w14:textId="77777777" w:rsidR="00E67DEA" w:rsidRPr="006F2B87" w:rsidRDefault="00E67DEA" w:rsidP="00E67DEA">
      <w:pPr>
        <w:pStyle w:val="NoSpacing"/>
        <w:rPr>
          <w:rFonts w:ascii="Arial Black" w:hAnsi="Arial Black"/>
          <w:bCs/>
          <w:sz w:val="28"/>
          <w:szCs w:val="28"/>
        </w:rPr>
      </w:pPr>
      <w:r w:rsidRPr="006F2B87">
        <w:rPr>
          <w:rFonts w:ascii="Arial Black" w:hAnsi="Arial Black"/>
          <w:sz w:val="28"/>
          <w:szCs w:val="28"/>
        </w:rPr>
        <w:t xml:space="preserve">WA: MECHANIC – ANXIETY – </w:t>
      </w:r>
      <w:r>
        <w:rPr>
          <w:rFonts w:ascii="Arial Black" w:hAnsi="Arial Black"/>
          <w:sz w:val="28"/>
          <w:szCs w:val="28"/>
        </w:rPr>
        <w:t xml:space="preserve">NO ADA / DIDN’T </w:t>
      </w:r>
      <w:r w:rsidRPr="006F2B87">
        <w:rPr>
          <w:rFonts w:ascii="Arial Black" w:hAnsi="Arial Black"/>
          <w:sz w:val="28"/>
          <w:szCs w:val="28"/>
        </w:rPr>
        <w:t>COOPERATE</w:t>
      </w:r>
    </w:p>
    <w:p w14:paraId="44DC000D" w14:textId="77777777" w:rsidR="00E67DEA" w:rsidRPr="006F2B87" w:rsidRDefault="00E67DEA" w:rsidP="00E67DEA">
      <w:pPr>
        <w:pStyle w:val="NoSpacing"/>
        <w:rPr>
          <w:bCs/>
        </w:rPr>
      </w:pPr>
    </w:p>
    <w:p w14:paraId="46FABD20" w14:textId="77777777" w:rsidR="00E67DEA" w:rsidRPr="00E67DEA" w:rsidRDefault="00E67DEA" w:rsidP="00E67DEA">
      <w:pPr>
        <w:pStyle w:val="NoSpacing"/>
        <w:rPr>
          <w:rFonts w:ascii="Times New Roman" w:hAnsi="Times New Roman"/>
          <w:bCs/>
          <w:sz w:val="24"/>
          <w:szCs w:val="24"/>
        </w:rPr>
      </w:pPr>
      <w:r w:rsidRPr="00E67DEA">
        <w:rPr>
          <w:rFonts w:ascii="Times New Roman" w:hAnsi="Times New Roman"/>
          <w:sz w:val="24"/>
          <w:szCs w:val="24"/>
        </w:rPr>
        <w:t xml:space="preserve">On May 20, 2025, in </w:t>
      </w:r>
      <w:r w:rsidRPr="00E67DEA">
        <w:rPr>
          <w:rFonts w:ascii="Times New Roman" w:hAnsi="Times New Roman"/>
          <w:sz w:val="24"/>
          <w:szCs w:val="24"/>
          <w:u w:val="single"/>
        </w:rPr>
        <w:t>Liam Riley v. City of Tacoma; Tacoma Fire Department</w:t>
      </w:r>
      <w:r w:rsidRPr="00E67DEA">
        <w:rPr>
          <w:rFonts w:ascii="Times New Roman" w:hAnsi="Times New Roman"/>
          <w:sz w:val="24"/>
          <w:szCs w:val="24"/>
        </w:rPr>
        <w:t xml:space="preserve">, the Court of Appeals of Washington, Division 2, held (3 to 0; unpublished decision) that trial court properly dismissed his ADA claim.  </w:t>
      </w:r>
    </w:p>
    <w:p w14:paraId="1C365CA1" w14:textId="77777777" w:rsidR="00E67DEA" w:rsidRPr="00E67DEA" w:rsidRDefault="00E67DEA" w:rsidP="00E67DEA">
      <w:pPr>
        <w:pStyle w:val="NoSpacing"/>
        <w:rPr>
          <w:rFonts w:ascii="Times New Roman" w:hAnsi="Times New Roman"/>
          <w:bCs/>
          <w:sz w:val="24"/>
          <w:szCs w:val="24"/>
        </w:rPr>
      </w:pPr>
    </w:p>
    <w:p w14:paraId="6C8C4475" w14:textId="77777777" w:rsidR="00E67DEA" w:rsidRPr="00E67DEA" w:rsidRDefault="00E67DEA" w:rsidP="00E67DEA">
      <w:pPr>
        <w:pStyle w:val="NoSpacing"/>
        <w:rPr>
          <w:rFonts w:ascii="Times New Roman" w:hAnsi="Times New Roman"/>
          <w:bCs/>
          <w:sz w:val="24"/>
          <w:szCs w:val="24"/>
        </w:rPr>
      </w:pPr>
      <w:r w:rsidRPr="00E67DEA">
        <w:rPr>
          <w:rFonts w:ascii="Times New Roman" w:hAnsi="Times New Roman"/>
          <w:sz w:val="24"/>
          <w:szCs w:val="24"/>
        </w:rPr>
        <w:t xml:space="preserve">The Court wrote: “The trial court properly dismissed the failure to accommodate claim because the undisputed evidence established that Riley failed to cooperate with the City during the interactive process for evaluating Riley’s need for accommodation. Despite several clear requests from the </w:t>
      </w:r>
      <w:proofErr w:type="gramStart"/>
      <w:r w:rsidRPr="00E67DEA">
        <w:rPr>
          <w:rFonts w:ascii="Times New Roman" w:hAnsi="Times New Roman"/>
          <w:sz w:val="24"/>
          <w:szCs w:val="24"/>
        </w:rPr>
        <w:t>City</w:t>
      </w:r>
      <w:proofErr w:type="gramEnd"/>
      <w:r w:rsidRPr="00E67DEA">
        <w:rPr>
          <w:rFonts w:ascii="Times New Roman" w:hAnsi="Times New Roman"/>
          <w:sz w:val="24"/>
          <w:szCs w:val="24"/>
        </w:rPr>
        <w:t xml:space="preserve">, Riley failed to provide requested medical documentation addressing the nexus between his disability and his ability to perform the essential functions of his job. Riley’s lack of cooperation was fatal to his claim. The trial court also properly dismissed the hostile work environment claim because Riley failed to establish more than isolated incidents of hostility and he did not offer any evidence they were a result of his disability. We affirm.” </w:t>
      </w:r>
      <w:hyperlink r:id="rId2514" w:history="1">
        <w:r w:rsidRPr="00E67DEA">
          <w:rPr>
            <w:rStyle w:val="Hyperlink"/>
            <w:rFonts w:ascii="Times New Roman" w:hAnsi="Times New Roman"/>
            <w:sz w:val="24"/>
            <w:szCs w:val="24"/>
          </w:rPr>
          <w:t>https://www.courts.wa.gov/opinions/pdf/D2%2058295-3-II%20Unpublished%20Opinion.pdf</w:t>
        </w:r>
      </w:hyperlink>
      <w:r w:rsidRPr="00E67DEA">
        <w:rPr>
          <w:rFonts w:ascii="Times New Roman" w:hAnsi="Times New Roman"/>
          <w:sz w:val="24"/>
          <w:szCs w:val="24"/>
        </w:rPr>
        <w:t xml:space="preserve"> </w:t>
      </w:r>
    </w:p>
    <w:p w14:paraId="5C2B30A4" w14:textId="77777777" w:rsidR="00E67DEA" w:rsidRPr="00E67DEA" w:rsidRDefault="00E67DEA" w:rsidP="00E67DEA">
      <w:pPr>
        <w:pStyle w:val="NoSpacing"/>
        <w:rPr>
          <w:rFonts w:ascii="Times New Roman" w:hAnsi="Times New Roman"/>
          <w:b/>
          <w:bCs/>
          <w:sz w:val="24"/>
          <w:szCs w:val="24"/>
        </w:rPr>
      </w:pPr>
    </w:p>
    <w:p w14:paraId="2E976304" w14:textId="77777777" w:rsidR="009701FE" w:rsidRPr="009701FE" w:rsidRDefault="009701FE" w:rsidP="009701FE">
      <w:pPr>
        <w:pStyle w:val="NoSpacing"/>
        <w:rPr>
          <w:rFonts w:ascii="Times New Roman" w:hAnsi="Times New Roman"/>
          <w:b/>
          <w:bCs/>
          <w:sz w:val="24"/>
          <w:szCs w:val="24"/>
        </w:rPr>
      </w:pPr>
      <w:r w:rsidRPr="009701FE">
        <w:rPr>
          <w:rFonts w:ascii="Times New Roman" w:hAnsi="Times New Roman"/>
          <w:b/>
          <w:sz w:val="24"/>
          <w:szCs w:val="24"/>
        </w:rPr>
        <w:t xml:space="preserve">Legal Lesson Learned: The City promptly conducted a “Climate Assessment” of the garage workplace; plaintiff failed to cooperate with the city, including refusing to provide city access to his medical records. </w:t>
      </w:r>
    </w:p>
    <w:p w14:paraId="7FF5F265" w14:textId="77777777" w:rsidR="00E67DEA" w:rsidRPr="009701FE" w:rsidRDefault="00E67DEA" w:rsidP="00E67DEA">
      <w:pPr>
        <w:pStyle w:val="NoSpacing"/>
        <w:rPr>
          <w:rFonts w:ascii="Times New Roman" w:hAnsi="Times New Roman"/>
          <w:bCs/>
          <w:sz w:val="24"/>
          <w:szCs w:val="24"/>
        </w:rPr>
      </w:pPr>
    </w:p>
    <w:p w14:paraId="081947BE" w14:textId="77777777" w:rsidR="00E67DEA" w:rsidRPr="009701FE" w:rsidRDefault="00E67DEA" w:rsidP="000C4DF5">
      <w:pPr>
        <w:pStyle w:val="NoSpacing"/>
        <w:rPr>
          <w:rFonts w:ascii="Times New Roman" w:hAnsi="Times New Roman"/>
          <w:sz w:val="24"/>
          <w:szCs w:val="24"/>
        </w:rPr>
      </w:pPr>
    </w:p>
    <w:p w14:paraId="120C3041" w14:textId="77777777" w:rsidR="00E67DEA" w:rsidRDefault="00E67DEA" w:rsidP="000C4DF5">
      <w:pPr>
        <w:pStyle w:val="NoSpacing"/>
        <w:rPr>
          <w:rFonts w:ascii="Arial Black" w:hAnsi="Arial Black"/>
          <w:sz w:val="24"/>
          <w:szCs w:val="24"/>
        </w:rPr>
      </w:pPr>
    </w:p>
    <w:p w14:paraId="77BE0311" w14:textId="77777777" w:rsidR="00816988" w:rsidRDefault="00816988" w:rsidP="000C4DF5">
      <w:pPr>
        <w:pStyle w:val="NoSpacing"/>
        <w:rPr>
          <w:rFonts w:ascii="Arial Black" w:hAnsi="Arial Black"/>
          <w:sz w:val="24"/>
          <w:szCs w:val="24"/>
        </w:rPr>
      </w:pPr>
    </w:p>
    <w:p w14:paraId="49472C61" w14:textId="3810CE10" w:rsidR="00F37D60" w:rsidRDefault="00F37D60" w:rsidP="000C4DF5">
      <w:pPr>
        <w:pStyle w:val="NoSpacing"/>
        <w:rPr>
          <w:rFonts w:ascii="Arial Black" w:hAnsi="Arial Black"/>
          <w:sz w:val="24"/>
          <w:szCs w:val="24"/>
        </w:rPr>
      </w:pPr>
      <w:r>
        <w:rPr>
          <w:rFonts w:ascii="Arial Black" w:hAnsi="Arial Black"/>
          <w:sz w:val="24"/>
          <w:szCs w:val="24"/>
        </w:rPr>
        <w:t>15-</w:t>
      </w:r>
      <w:r w:rsidR="00C96532">
        <w:rPr>
          <w:rFonts w:ascii="Arial Black" w:hAnsi="Arial Black"/>
          <w:sz w:val="24"/>
          <w:szCs w:val="24"/>
        </w:rPr>
        <w:t>40</w:t>
      </w:r>
    </w:p>
    <w:p w14:paraId="26F2F651" w14:textId="77777777" w:rsidR="00F37D60" w:rsidRDefault="00F37D60" w:rsidP="000C4DF5">
      <w:pPr>
        <w:pStyle w:val="NoSpacing"/>
        <w:rPr>
          <w:rFonts w:ascii="Arial Black" w:hAnsi="Arial Black"/>
          <w:sz w:val="24"/>
          <w:szCs w:val="24"/>
        </w:rPr>
      </w:pPr>
    </w:p>
    <w:p w14:paraId="51ABB297" w14:textId="77777777" w:rsidR="00F37D60" w:rsidRDefault="00F37D60" w:rsidP="00F37D60">
      <w:pPr>
        <w:rPr>
          <w:rFonts w:ascii="Arial Black" w:hAnsi="Arial Black"/>
          <w:bCs/>
          <w:sz w:val="28"/>
          <w:szCs w:val="28"/>
        </w:rPr>
      </w:pPr>
      <w:r>
        <w:rPr>
          <w:rFonts w:ascii="Arial Black" w:hAnsi="Arial Black"/>
          <w:sz w:val="28"/>
          <w:szCs w:val="28"/>
        </w:rPr>
        <w:t xml:space="preserve">AR:  FF PTSD – RESPONDED 2 SHOOTINGS - NO WORK COMP </w:t>
      </w:r>
    </w:p>
    <w:p w14:paraId="42EF2658" w14:textId="77777777" w:rsidR="00F37D60" w:rsidRPr="006F79FB" w:rsidRDefault="00F37D60" w:rsidP="00F37D60">
      <w:pPr>
        <w:pStyle w:val="NoSpacing"/>
        <w:rPr>
          <w:rFonts w:ascii="Times New Roman" w:hAnsi="Times New Roman"/>
          <w:sz w:val="24"/>
          <w:szCs w:val="24"/>
        </w:rPr>
      </w:pPr>
      <w:r w:rsidRPr="006F79FB">
        <w:rPr>
          <w:rFonts w:ascii="Times New Roman" w:hAnsi="Times New Roman"/>
          <w:sz w:val="24"/>
          <w:szCs w:val="24"/>
        </w:rPr>
        <w:t xml:space="preserve">On April 29, 2025, in </w:t>
      </w:r>
      <w:r w:rsidRPr="006F79FB">
        <w:rPr>
          <w:rFonts w:ascii="Times New Roman" w:hAnsi="Times New Roman"/>
          <w:sz w:val="24"/>
          <w:szCs w:val="24"/>
          <w:u w:val="single"/>
        </w:rPr>
        <w:t>Shawn Lawless v. The Industrial Commission of Arizona, and the Northern AZ Consolidated Fire District</w:t>
      </w:r>
      <w:r w:rsidRPr="006F79FB">
        <w:rPr>
          <w:rFonts w:ascii="Times New Roman" w:hAnsi="Times New Roman"/>
          <w:sz w:val="24"/>
          <w:szCs w:val="24"/>
        </w:rPr>
        <w:t xml:space="preserve">, the Court of Appeals of Arizona, First Division, held (3 to 0) that a firefighter </w:t>
      </w:r>
      <w:r w:rsidRPr="006F79FB">
        <w:rPr>
          <w:rFonts w:ascii="Times New Roman" w:hAnsi="Times New Roman"/>
          <w:bCs/>
          <w:sz w:val="24"/>
          <w:szCs w:val="24"/>
        </w:rPr>
        <w:t xml:space="preserve">was properly denied workers comp since responding to shooting is </w:t>
      </w:r>
      <w:r w:rsidRPr="006F79FB">
        <w:rPr>
          <w:rFonts w:ascii="Times New Roman" w:hAnsi="Times New Roman"/>
          <w:sz w:val="24"/>
          <w:szCs w:val="24"/>
        </w:rPr>
        <w:t xml:space="preserve">not “unexpected, unusual, or extraordinary.”  Shawn Lewis has had PTSD since 2017 when working for another Lake Havasu City FD when he responded to a fatal watercraft.   In April 2020, while working for Northern AZ Consolidated Fire District [NAFD] he responded to two shootings.  April 1, 2020: he and firefighter / EMT Dillon Haskell were dispatched to Mohave Community College, where police had shot ‘one of the subjects’ involved in the shooting of the DPS officer earlier that day. On April 7, 2020, he and Haskell were dispatched to a scene of a random shooting that happened at a stop sign.  When they arrived, they saw that the driver of a car was dead from “multiple” gun shots “in the chest.” In both incidents, the hearing officer concluded they were not “unexpected, unusual or extraordinary.” A.R.S. § 23-1043.01(B). </w:t>
      </w:r>
      <w:hyperlink r:id="rId2515" w:history="1">
        <w:r w:rsidRPr="006F79FB">
          <w:rPr>
            <w:rStyle w:val="Hyperlink"/>
            <w:rFonts w:ascii="Times New Roman" w:hAnsi="Times New Roman"/>
            <w:sz w:val="24"/>
            <w:szCs w:val="24"/>
          </w:rPr>
          <w:t>https://cases.justia.com/arizona/court-of-appeals-division-one-published/2025-1-ca-ic-24-0009.pdf?ts=1745946035</w:t>
        </w:r>
      </w:hyperlink>
      <w:r w:rsidRPr="006F79FB">
        <w:rPr>
          <w:rFonts w:ascii="Times New Roman" w:hAnsi="Times New Roman"/>
          <w:sz w:val="24"/>
          <w:szCs w:val="24"/>
        </w:rPr>
        <w:t xml:space="preserve"> </w:t>
      </w:r>
    </w:p>
    <w:p w14:paraId="6B9ECF7D" w14:textId="77777777" w:rsidR="00F37D60" w:rsidRDefault="00F37D60" w:rsidP="00F37D60">
      <w:pPr>
        <w:pStyle w:val="NoSpacing"/>
        <w:rPr>
          <w:rFonts w:ascii="Times New Roman" w:hAnsi="Times New Roman"/>
          <w:sz w:val="24"/>
          <w:szCs w:val="24"/>
        </w:rPr>
      </w:pPr>
    </w:p>
    <w:p w14:paraId="7FFF24EC" w14:textId="77777777" w:rsidR="00325997" w:rsidRDefault="00325997" w:rsidP="00325997">
      <w:pPr>
        <w:pStyle w:val="NoSpacing"/>
        <w:rPr>
          <w:rFonts w:ascii="Times New Roman" w:hAnsi="Times New Roman"/>
          <w:b/>
          <w:sz w:val="24"/>
          <w:szCs w:val="24"/>
        </w:rPr>
      </w:pPr>
      <w:r w:rsidRPr="00290C93">
        <w:rPr>
          <w:rFonts w:ascii="Times New Roman" w:hAnsi="Times New Roman"/>
          <w:b/>
          <w:sz w:val="24"/>
          <w:szCs w:val="24"/>
        </w:rPr>
        <w:t xml:space="preserve">Legal Lesson Learned: It is very difficult to prove that </w:t>
      </w:r>
      <w:r w:rsidRPr="00290C93">
        <w:rPr>
          <w:rFonts w:ascii="Times New Roman" w:hAnsi="Times New Roman"/>
          <w:b/>
          <w:bCs/>
          <w:sz w:val="24"/>
          <w:szCs w:val="24"/>
        </w:rPr>
        <w:t xml:space="preserve">responding to a shooting </w:t>
      </w:r>
      <w:r w:rsidRPr="00290C93">
        <w:rPr>
          <w:rFonts w:ascii="Times New Roman" w:hAnsi="Times New Roman"/>
          <w:b/>
          <w:sz w:val="24"/>
          <w:szCs w:val="24"/>
        </w:rPr>
        <w:t>was “unexpected, unusual, or extraordinary.”</w:t>
      </w:r>
    </w:p>
    <w:p w14:paraId="12CCFB0A" w14:textId="77777777" w:rsidR="00C96532" w:rsidRDefault="00C96532" w:rsidP="00325997">
      <w:pPr>
        <w:pStyle w:val="NoSpacing"/>
        <w:rPr>
          <w:rFonts w:ascii="Times New Roman" w:hAnsi="Times New Roman"/>
          <w:b/>
          <w:sz w:val="24"/>
          <w:szCs w:val="24"/>
        </w:rPr>
      </w:pPr>
    </w:p>
    <w:p w14:paraId="315C23A2" w14:textId="77777777" w:rsidR="00C96532" w:rsidRDefault="00C96532" w:rsidP="00325997">
      <w:pPr>
        <w:pStyle w:val="NoSpacing"/>
        <w:rPr>
          <w:rFonts w:ascii="Arial Black" w:hAnsi="Arial Black"/>
          <w:b/>
          <w:sz w:val="28"/>
          <w:szCs w:val="28"/>
        </w:rPr>
      </w:pPr>
    </w:p>
    <w:p w14:paraId="6C0AEFCD" w14:textId="40C71ACE" w:rsidR="00C96532" w:rsidRPr="00C96532" w:rsidRDefault="00C96532" w:rsidP="00325997">
      <w:pPr>
        <w:pStyle w:val="NoSpacing"/>
        <w:rPr>
          <w:rFonts w:ascii="Arial Black" w:hAnsi="Arial Black"/>
          <w:b/>
          <w:sz w:val="24"/>
          <w:szCs w:val="24"/>
        </w:rPr>
      </w:pPr>
      <w:r w:rsidRPr="00C96532">
        <w:rPr>
          <w:rFonts w:ascii="Arial Black" w:hAnsi="Arial Black"/>
          <w:b/>
          <w:sz w:val="24"/>
          <w:szCs w:val="24"/>
        </w:rPr>
        <w:t>15-39</w:t>
      </w:r>
    </w:p>
    <w:p w14:paraId="3229C256" w14:textId="77777777" w:rsidR="00C96532" w:rsidRDefault="00C96532" w:rsidP="00325997">
      <w:pPr>
        <w:pStyle w:val="NoSpacing"/>
        <w:rPr>
          <w:rFonts w:ascii="Times New Roman" w:hAnsi="Times New Roman"/>
          <w:b/>
          <w:sz w:val="24"/>
          <w:szCs w:val="24"/>
        </w:rPr>
      </w:pPr>
    </w:p>
    <w:p w14:paraId="13BB66F6" w14:textId="77777777" w:rsidR="00C96532" w:rsidRPr="00CD07A8" w:rsidRDefault="00C96532" w:rsidP="00C96532">
      <w:pPr>
        <w:rPr>
          <w:rFonts w:ascii="Arial Black" w:hAnsi="Arial Black"/>
          <w:sz w:val="28"/>
          <w:szCs w:val="28"/>
        </w:rPr>
      </w:pPr>
      <w:r>
        <w:rPr>
          <w:rFonts w:ascii="Arial Black" w:hAnsi="Arial Black"/>
          <w:sz w:val="28"/>
          <w:szCs w:val="28"/>
        </w:rPr>
        <w:t>MI: FF WITH PTSD – NO RIGHT TO BRING HIS DOG TO WORK</w:t>
      </w:r>
    </w:p>
    <w:p w14:paraId="3ABA2F75" w14:textId="17699B79" w:rsidR="00C96532" w:rsidRPr="00C96532" w:rsidRDefault="00C96532" w:rsidP="00C96532">
      <w:pPr>
        <w:pStyle w:val="NoSpacing"/>
        <w:rPr>
          <w:rFonts w:ascii="Times New Roman" w:hAnsi="Times New Roman"/>
          <w:b/>
          <w:bCs/>
          <w:sz w:val="24"/>
          <w:szCs w:val="24"/>
        </w:rPr>
      </w:pPr>
      <w:r w:rsidRPr="00C96532">
        <w:rPr>
          <w:rFonts w:ascii="Times New Roman" w:hAnsi="Times New Roman"/>
          <w:sz w:val="24"/>
          <w:szCs w:val="24"/>
        </w:rPr>
        <w:t xml:space="preserve">On April 29, 2025, in </w:t>
      </w:r>
      <w:r w:rsidRPr="00C96532">
        <w:rPr>
          <w:rFonts w:ascii="Times New Roman" w:hAnsi="Times New Roman"/>
          <w:sz w:val="24"/>
          <w:szCs w:val="24"/>
          <w:u w:val="single"/>
        </w:rPr>
        <w:t>Aaron Fisher v. City of Lansing</w:t>
      </w:r>
      <w:r w:rsidRPr="00C96532">
        <w:rPr>
          <w:rFonts w:ascii="Times New Roman" w:hAnsi="Times New Roman"/>
          <w:sz w:val="24"/>
          <w:szCs w:val="24"/>
        </w:rPr>
        <w:t xml:space="preserve">, U.S. District Court Judge Paul L. Maloney, United States District Court for Western District of Michigan, Southern Division, granted the City’s motion for summary judgment, since the City established that Plaintiff could perform his duties at the fire station without a service animal.  The firefighter / engineer joined the FD in 2004; he started suffering from PTSD around 2010. In March 2020 he asked his Battalion Chief if he could bring his personal dog, “Chet” to work.  This was unofficially authorized, and he did this for four months.  On July 30, 2020, the City issued a notice to all fire department employees stating that employees were not allowed to bring pets of any kind to work.  In mid-August 2020, Plaintiff submitted his request for “service animal” using the City's approved form, and submitted a letter from Dr. Ronald Fandrick, a licensed clinical psychologist, who concluded that Plaintiff needed an “emotional support animal” during work hours at the fire station….  Around August 26, 2020, Kathy Woodman, the City's Health and Wellness Director, met with Plaintiff for over an hour to discuss his request; near the end of September, Defendant denied Plaintiff's request for accommodation. </w:t>
      </w:r>
      <w:hyperlink r:id="rId2516" w:history="1">
        <w:r w:rsidRPr="00C96532">
          <w:rPr>
            <w:rStyle w:val="Hyperlink"/>
            <w:rFonts w:ascii="Times New Roman" w:hAnsi="Times New Roman"/>
            <w:sz w:val="24"/>
            <w:szCs w:val="24"/>
          </w:rPr>
          <w:t>https://hr.cch.com/ELD/FisherLansing042925.pdf</w:t>
        </w:r>
      </w:hyperlink>
    </w:p>
    <w:p w14:paraId="33272690" w14:textId="77777777" w:rsidR="00325997" w:rsidRPr="00C96532" w:rsidRDefault="00325997" w:rsidP="00F37D60">
      <w:pPr>
        <w:pStyle w:val="NoSpacing"/>
        <w:rPr>
          <w:rFonts w:ascii="Times New Roman" w:hAnsi="Times New Roman"/>
          <w:sz w:val="24"/>
          <w:szCs w:val="24"/>
        </w:rPr>
      </w:pPr>
    </w:p>
    <w:p w14:paraId="220DA4E6" w14:textId="77777777" w:rsidR="00153742" w:rsidRPr="00D55B6E" w:rsidRDefault="00153742" w:rsidP="00153742">
      <w:pPr>
        <w:pStyle w:val="NoSpacing"/>
        <w:rPr>
          <w:rFonts w:ascii="Times New Roman" w:hAnsi="Times New Roman"/>
          <w:b/>
          <w:bCs/>
          <w:sz w:val="24"/>
          <w:szCs w:val="24"/>
        </w:rPr>
      </w:pPr>
      <w:r w:rsidRPr="00D55B6E">
        <w:rPr>
          <w:rFonts w:ascii="Times New Roman" w:hAnsi="Times New Roman"/>
          <w:b/>
          <w:sz w:val="24"/>
          <w:szCs w:val="24"/>
        </w:rPr>
        <w:t xml:space="preserve">Legal Lesson Learned: The ADA </w:t>
      </w:r>
      <w:r w:rsidRPr="00D55B6E">
        <w:rPr>
          <w:rFonts w:ascii="Times New Roman" w:hAnsi="Times New Roman"/>
          <w:b/>
          <w:bCs/>
          <w:sz w:val="24"/>
          <w:szCs w:val="24"/>
        </w:rPr>
        <w:t>applies to employees who need a “service animal” to perform work duties,  not “</w:t>
      </w:r>
      <w:r w:rsidRPr="00D55B6E">
        <w:rPr>
          <w:rFonts w:ascii="Times New Roman" w:hAnsi="Times New Roman"/>
          <w:b/>
          <w:sz w:val="24"/>
          <w:szCs w:val="24"/>
        </w:rPr>
        <w:t>emotional support animals</w:t>
      </w:r>
      <w:r w:rsidRPr="00D55B6E">
        <w:rPr>
          <w:rFonts w:ascii="Times New Roman" w:hAnsi="Times New Roman"/>
          <w:b/>
          <w:bCs/>
          <w:sz w:val="24"/>
          <w:szCs w:val="24"/>
        </w:rPr>
        <w:t xml:space="preserve">.” </w:t>
      </w:r>
      <w:r w:rsidRPr="00D55B6E">
        <w:rPr>
          <w:rFonts w:ascii="Times New Roman" w:hAnsi="Times New Roman"/>
          <w:b/>
          <w:sz w:val="24"/>
          <w:szCs w:val="24"/>
        </w:rPr>
        <w:t xml:space="preserve"> </w:t>
      </w:r>
    </w:p>
    <w:p w14:paraId="26597A0B" w14:textId="7CACCB8D" w:rsidR="00F37D60" w:rsidRPr="00D55B6E" w:rsidRDefault="00153742" w:rsidP="00D55B6E">
      <w:pPr>
        <w:pStyle w:val="NoSpacing"/>
        <w:ind w:left="720"/>
        <w:rPr>
          <w:rFonts w:ascii="Times New Roman" w:hAnsi="Times New Roman"/>
          <w:sz w:val="24"/>
          <w:szCs w:val="24"/>
        </w:rPr>
      </w:pPr>
      <w:r w:rsidRPr="00D55B6E">
        <w:rPr>
          <w:rFonts w:ascii="Times New Roman" w:hAnsi="Times New Roman"/>
          <w:sz w:val="24"/>
          <w:szCs w:val="24"/>
        </w:rPr>
        <w:t xml:space="preserve">Note: See article on this case. </w:t>
      </w:r>
      <w:hyperlink r:id="rId2517" w:history="1">
        <w:r w:rsidR="00D55B6E" w:rsidRPr="00D55B6E">
          <w:rPr>
            <w:rStyle w:val="Hyperlink"/>
            <w:rFonts w:ascii="Times New Roman" w:hAnsi="Times New Roman"/>
            <w:sz w:val="24"/>
            <w:szCs w:val="24"/>
          </w:rPr>
          <w:t>https://www.vitallaw.com/news/discrimination-disability-w-d-mich-firefighter-with-ptsd-fails-to-show-firehouse-dog-was-reasonable-accommodation/eld0112d25548de2942ffb5b58765cda11301</w:t>
        </w:r>
      </w:hyperlink>
    </w:p>
    <w:p w14:paraId="6C3ABDA2" w14:textId="77777777" w:rsidR="00F37D60" w:rsidRDefault="00F37D60" w:rsidP="000C4DF5">
      <w:pPr>
        <w:pStyle w:val="NoSpacing"/>
        <w:rPr>
          <w:rFonts w:ascii="Arial Black" w:hAnsi="Arial Black"/>
          <w:sz w:val="24"/>
          <w:szCs w:val="24"/>
        </w:rPr>
      </w:pPr>
    </w:p>
    <w:p w14:paraId="5B0D37EF" w14:textId="77777777" w:rsidR="00F37D60" w:rsidRDefault="00F37D60" w:rsidP="000C4DF5">
      <w:pPr>
        <w:pStyle w:val="NoSpacing"/>
        <w:rPr>
          <w:rFonts w:ascii="Arial Black" w:hAnsi="Arial Black"/>
          <w:sz w:val="24"/>
          <w:szCs w:val="24"/>
        </w:rPr>
      </w:pPr>
    </w:p>
    <w:p w14:paraId="674A8451" w14:textId="2489F1C7" w:rsidR="006F1059" w:rsidRDefault="00A84B8B" w:rsidP="000C4DF5">
      <w:pPr>
        <w:pStyle w:val="NoSpacing"/>
        <w:rPr>
          <w:rFonts w:ascii="Arial Black" w:hAnsi="Arial Black"/>
          <w:sz w:val="24"/>
          <w:szCs w:val="24"/>
        </w:rPr>
      </w:pPr>
      <w:r>
        <w:rPr>
          <w:rFonts w:ascii="Arial Black" w:hAnsi="Arial Black"/>
          <w:sz w:val="24"/>
          <w:szCs w:val="24"/>
        </w:rPr>
        <w:t>15-38</w:t>
      </w:r>
    </w:p>
    <w:p w14:paraId="56B6329E" w14:textId="77777777" w:rsidR="00A84B8B" w:rsidRDefault="00A84B8B" w:rsidP="000C4DF5">
      <w:pPr>
        <w:pStyle w:val="NoSpacing"/>
        <w:rPr>
          <w:rFonts w:ascii="Arial Black" w:hAnsi="Arial Black"/>
          <w:sz w:val="24"/>
          <w:szCs w:val="24"/>
        </w:rPr>
      </w:pPr>
    </w:p>
    <w:p w14:paraId="45AD527B" w14:textId="25375FE5" w:rsidR="00A84B8B" w:rsidRPr="00EB63ED" w:rsidRDefault="00A84B8B" w:rsidP="00A84B8B">
      <w:pPr>
        <w:pStyle w:val="NoSpacing"/>
        <w:rPr>
          <w:rFonts w:ascii="Arial Black" w:hAnsi="Arial Black"/>
          <w:sz w:val="28"/>
          <w:szCs w:val="28"/>
        </w:rPr>
      </w:pPr>
      <w:r w:rsidRPr="00EB63ED">
        <w:rPr>
          <w:rFonts w:ascii="Arial Black" w:hAnsi="Arial Black"/>
          <w:sz w:val="28"/>
          <w:szCs w:val="28"/>
        </w:rPr>
        <w:t xml:space="preserve">NY: NYPD RESONSE </w:t>
      </w:r>
      <w:r w:rsidR="0061722F">
        <w:rPr>
          <w:rFonts w:ascii="Arial Black" w:hAnsi="Arial Black"/>
          <w:sz w:val="28"/>
          <w:szCs w:val="28"/>
        </w:rPr>
        <w:t xml:space="preserve">TO </w:t>
      </w:r>
      <w:r w:rsidRPr="00EB63ED">
        <w:rPr>
          <w:rFonts w:ascii="Arial Black" w:hAnsi="Arial Black"/>
          <w:sz w:val="28"/>
          <w:szCs w:val="28"/>
        </w:rPr>
        <w:t xml:space="preserve">MENTAL RUNS - PROP. CLASS ACTION </w:t>
      </w:r>
    </w:p>
    <w:p w14:paraId="254221F6" w14:textId="77777777" w:rsidR="00A84B8B" w:rsidRPr="00D11443" w:rsidRDefault="00A84B8B" w:rsidP="00A84B8B">
      <w:pPr>
        <w:pStyle w:val="NoSpacing"/>
        <w:rPr>
          <w:rFonts w:ascii="Times New Roman" w:hAnsi="Times New Roman"/>
          <w:sz w:val="24"/>
          <w:szCs w:val="24"/>
        </w:rPr>
      </w:pPr>
    </w:p>
    <w:p w14:paraId="4C787F02" w14:textId="751D95B5" w:rsidR="00A84B8B" w:rsidRPr="00D11443" w:rsidRDefault="00A84B8B" w:rsidP="00A84B8B">
      <w:pPr>
        <w:pStyle w:val="NoSpacing"/>
        <w:rPr>
          <w:rFonts w:ascii="Times New Roman" w:hAnsi="Times New Roman"/>
          <w:sz w:val="24"/>
          <w:szCs w:val="24"/>
        </w:rPr>
      </w:pPr>
      <w:r w:rsidRPr="00D11443">
        <w:rPr>
          <w:rFonts w:ascii="Times New Roman" w:hAnsi="Times New Roman"/>
          <w:sz w:val="24"/>
          <w:szCs w:val="24"/>
        </w:rPr>
        <w:t xml:space="preserve">On March 28, 2025, in </w:t>
      </w:r>
      <w:r w:rsidRPr="00D11443">
        <w:rPr>
          <w:rFonts w:ascii="Times New Roman" w:hAnsi="Times New Roman"/>
          <w:sz w:val="24"/>
          <w:szCs w:val="24"/>
          <w:u w:val="single"/>
        </w:rPr>
        <w:t>Steve Greene, et al. v. City of New York, et al</w:t>
      </w:r>
      <w:r w:rsidRPr="00D11443">
        <w:rPr>
          <w:rFonts w:ascii="Times New Roman" w:hAnsi="Times New Roman"/>
          <w:sz w:val="24"/>
          <w:szCs w:val="24"/>
        </w:rPr>
        <w:t xml:space="preserve">., Senior U.S. District Court Judge Loretta A. Preska, U.S. District Court for Southern District of New York, in proposed class action lawsuit by several community action groups, including Community Access, Inc, National Alliance of Mental Illness of New York City, Inc., the federal judge denied the City’s motion to strike the class action from the complaint at this early stage of litigation, and held that the case may proceed on the City’s current practice of sending police to mental health calls (instead of a mental health crisis team, such as the City’s limited “B-Heard” program).  “Defendants' motion to dismiss the disability claims regarding the on-site response pursuant to Title II of the ADA, Section 504 of the Rehabilitation Act, and the NYCHRL is DENIED.” </w:t>
      </w:r>
      <w:hyperlink r:id="rId2518" w:history="1">
        <w:r w:rsidRPr="00D11443">
          <w:rPr>
            <w:rStyle w:val="Hyperlink"/>
            <w:rFonts w:ascii="Times New Roman" w:hAnsi="Times New Roman"/>
            <w:sz w:val="24"/>
            <w:szCs w:val="24"/>
          </w:rPr>
          <w:t>https://public.fastcase.com/jaEE2PXzRXmZ99jOLMt1IgF1yYEhvQDwrp3nUQiGNB%2BGSciFeLM%2FmBTuULLxAVc6AJd7N%2FBSzM%2BwBsHVa7Iixu%2BNwJWRs9nDd4Lbk0%2BZyEc%3D?utm_medium=email&amp;_hsenc=p2ANqtz-_AJp8PZettrdOWllyvjduuYkYNLjKGvTo7FG_iUypW4feeCV7HNQpd9yy59szCksxig4Y61bV5hSQSKDqcsmFU4r11KQ&amp;_hsmi=226712652&amp;utm_content=226712652&amp;utm_source=hs_email</w:t>
        </w:r>
      </w:hyperlink>
    </w:p>
    <w:p w14:paraId="2C86C4AA" w14:textId="77777777" w:rsidR="00D11443" w:rsidRPr="00D11443" w:rsidRDefault="00D11443" w:rsidP="00D11443">
      <w:pPr>
        <w:pStyle w:val="NoSpacing"/>
        <w:rPr>
          <w:rFonts w:ascii="Times New Roman" w:hAnsi="Times New Roman"/>
          <w:b/>
          <w:sz w:val="24"/>
          <w:szCs w:val="24"/>
        </w:rPr>
      </w:pPr>
    </w:p>
    <w:p w14:paraId="6B785B13" w14:textId="77777777" w:rsidR="006361FE" w:rsidRPr="008A731F" w:rsidRDefault="006361FE" w:rsidP="006361FE">
      <w:pPr>
        <w:pStyle w:val="NoSpacing"/>
        <w:rPr>
          <w:rFonts w:ascii="Times New Roman" w:hAnsi="Times New Roman"/>
          <w:b/>
          <w:bCs/>
          <w:sz w:val="24"/>
          <w:szCs w:val="24"/>
        </w:rPr>
      </w:pPr>
      <w:r w:rsidRPr="008A731F">
        <w:rPr>
          <w:rFonts w:ascii="Times New Roman" w:hAnsi="Times New Roman"/>
          <w:b/>
          <w:sz w:val="24"/>
          <w:szCs w:val="24"/>
        </w:rPr>
        <w:t xml:space="preserve">Legal Lessons Learned:  Litigation will proceed on NYPD response to mental health patients. </w:t>
      </w:r>
    </w:p>
    <w:p w14:paraId="77BB0503" w14:textId="77777777" w:rsidR="00A84B8B" w:rsidRDefault="00A84B8B" w:rsidP="000C4DF5">
      <w:pPr>
        <w:pStyle w:val="NoSpacing"/>
        <w:rPr>
          <w:rFonts w:ascii="Arial Black" w:hAnsi="Arial Black"/>
          <w:sz w:val="24"/>
          <w:szCs w:val="24"/>
        </w:rPr>
      </w:pPr>
    </w:p>
    <w:p w14:paraId="3AF70134" w14:textId="77777777" w:rsidR="00A84B8B" w:rsidRDefault="00A84B8B" w:rsidP="000C4DF5">
      <w:pPr>
        <w:pStyle w:val="NoSpacing"/>
        <w:rPr>
          <w:rFonts w:ascii="Arial Black" w:hAnsi="Arial Black"/>
          <w:sz w:val="24"/>
          <w:szCs w:val="24"/>
        </w:rPr>
      </w:pPr>
    </w:p>
    <w:p w14:paraId="1A8B2B93" w14:textId="5CBC32D5" w:rsidR="004D6FB2" w:rsidRDefault="004D6FB2" w:rsidP="000C4DF5">
      <w:pPr>
        <w:pStyle w:val="NoSpacing"/>
        <w:rPr>
          <w:rFonts w:ascii="Arial Black" w:hAnsi="Arial Black"/>
          <w:sz w:val="24"/>
          <w:szCs w:val="24"/>
        </w:rPr>
      </w:pPr>
      <w:r>
        <w:rPr>
          <w:rFonts w:ascii="Arial Black" w:hAnsi="Arial Black"/>
          <w:sz w:val="24"/>
          <w:szCs w:val="24"/>
        </w:rPr>
        <w:t>15-</w:t>
      </w:r>
      <w:r w:rsidR="00062DA4">
        <w:rPr>
          <w:rFonts w:ascii="Arial Black" w:hAnsi="Arial Black"/>
          <w:sz w:val="24"/>
          <w:szCs w:val="24"/>
        </w:rPr>
        <w:t>3</w:t>
      </w:r>
      <w:r w:rsidR="001A4CAA">
        <w:rPr>
          <w:rFonts w:ascii="Arial Black" w:hAnsi="Arial Black"/>
          <w:sz w:val="24"/>
          <w:szCs w:val="24"/>
        </w:rPr>
        <w:t>7</w:t>
      </w:r>
      <w:r w:rsidR="00062DA4">
        <w:rPr>
          <w:rFonts w:ascii="Arial Black" w:hAnsi="Arial Black"/>
          <w:sz w:val="24"/>
          <w:szCs w:val="24"/>
        </w:rPr>
        <w:t xml:space="preserve"> [also filed, Chap. 13]</w:t>
      </w:r>
    </w:p>
    <w:p w14:paraId="47B8B26C" w14:textId="77777777" w:rsidR="00062DA4" w:rsidRDefault="00062DA4" w:rsidP="000C4DF5">
      <w:pPr>
        <w:pStyle w:val="NoSpacing"/>
        <w:rPr>
          <w:rFonts w:ascii="Arial Black" w:hAnsi="Arial Black"/>
          <w:sz w:val="24"/>
          <w:szCs w:val="24"/>
        </w:rPr>
      </w:pPr>
    </w:p>
    <w:p w14:paraId="1EDAD8D1" w14:textId="77777777" w:rsidR="00062DA4" w:rsidRPr="000B7F2C" w:rsidRDefault="00062DA4" w:rsidP="00062DA4">
      <w:pPr>
        <w:rPr>
          <w:rFonts w:ascii="Arial Black" w:hAnsi="Arial Black"/>
          <w:sz w:val="28"/>
          <w:szCs w:val="28"/>
        </w:rPr>
      </w:pPr>
      <w:r w:rsidRPr="000B7F2C">
        <w:rPr>
          <w:rFonts w:ascii="Arial Black" w:hAnsi="Arial Black"/>
          <w:sz w:val="28"/>
          <w:szCs w:val="28"/>
        </w:rPr>
        <w:t>CO: PARAMEDIC TACKLED MENTAL - PT DIED – NO CASE</w:t>
      </w:r>
    </w:p>
    <w:p w14:paraId="4CBC7EC0" w14:textId="77777777" w:rsidR="00062DA4" w:rsidRPr="00CA2B3F" w:rsidRDefault="00062DA4" w:rsidP="00062DA4">
      <w:pPr>
        <w:rPr>
          <w:rFonts w:ascii="Times New Roman" w:hAnsi="Times New Roman"/>
          <w:sz w:val="24"/>
          <w:szCs w:val="24"/>
        </w:rPr>
      </w:pPr>
      <w:r w:rsidRPr="00CA2B3F">
        <w:rPr>
          <w:rFonts w:ascii="Times New Roman" w:hAnsi="Times New Roman"/>
          <w:sz w:val="24"/>
          <w:szCs w:val="24"/>
        </w:rPr>
        <w:t xml:space="preserve">On Feb. 28, 2025, in </w:t>
      </w:r>
      <w:r w:rsidRPr="00CA2B3F">
        <w:rPr>
          <w:rFonts w:ascii="Times New Roman" w:hAnsi="Times New Roman"/>
          <w:sz w:val="24"/>
          <w:szCs w:val="24"/>
          <w:u w:val="single"/>
        </w:rPr>
        <w:t>Estate of Kevin Dizmang v. Sean Reed, a Colorado Springs Police Officer and Nick Fischer, a Colorado Springs Paramedic</w:t>
      </w:r>
      <w:r w:rsidRPr="00CA2B3F">
        <w:rPr>
          <w:rFonts w:ascii="Times New Roman" w:hAnsi="Times New Roman"/>
          <w:sz w:val="24"/>
          <w:szCs w:val="24"/>
        </w:rPr>
        <w:t xml:space="preserve">, United States District Court Judge Charlotte N. Sweeney, U.S. District Court for District of Colorado, granted motions to dismiss the paramedic and the police officer.  The paramedic was on a three-person crisis response team (CRT) with a police officer and a licensed clinician.  The paramedic tackled the mental patient to prevent him walking back into the street and then render care. Both the paramedic and the police officer have qualified immunity.  </w:t>
      </w:r>
      <w:hyperlink r:id="rId2519" w:history="1">
        <w:r w:rsidRPr="00CA2B3F">
          <w:rPr>
            <w:rStyle w:val="Hyperlink"/>
            <w:rFonts w:ascii="Times New Roman" w:hAnsi="Times New Roman"/>
            <w:sz w:val="24"/>
            <w:szCs w:val="24"/>
          </w:rPr>
          <w:t>https://storage.courtlistener.com/recap/gov.uscourts.cod.231472/gov.uscourts.cod.231472.63.0.pdf</w:t>
        </w:r>
      </w:hyperlink>
      <w:r w:rsidRPr="00CA2B3F">
        <w:rPr>
          <w:rFonts w:ascii="Times New Roman" w:hAnsi="Times New Roman"/>
          <w:sz w:val="24"/>
          <w:szCs w:val="24"/>
        </w:rPr>
        <w:t xml:space="preserve"> </w:t>
      </w:r>
    </w:p>
    <w:p w14:paraId="765767C2"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 xml:space="preserve">The Court described facts:  </w:t>
      </w:r>
    </w:p>
    <w:p w14:paraId="12347FC8" w14:textId="77777777" w:rsidR="00062DA4" w:rsidRPr="00CA2B3F" w:rsidRDefault="00062DA4" w:rsidP="00062DA4">
      <w:pPr>
        <w:pStyle w:val="NoSpacing"/>
        <w:rPr>
          <w:rFonts w:ascii="Times New Roman" w:hAnsi="Times New Roman"/>
          <w:sz w:val="24"/>
          <w:szCs w:val="24"/>
        </w:rPr>
      </w:pPr>
    </w:p>
    <w:p w14:paraId="0316CA57" w14:textId="6E055EF3"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“[Officer]</w:t>
      </w:r>
      <w:r w:rsidR="00387756">
        <w:rPr>
          <w:rFonts w:ascii="Times New Roman" w:hAnsi="Times New Roman"/>
          <w:sz w:val="24"/>
          <w:szCs w:val="24"/>
        </w:rPr>
        <w:t xml:space="preserve"> </w:t>
      </w:r>
      <w:r w:rsidRPr="00CA2B3F">
        <w:rPr>
          <w:rFonts w:ascii="Times New Roman" w:hAnsi="Times New Roman"/>
          <w:sz w:val="24"/>
          <w:szCs w:val="24"/>
        </w:rPr>
        <w:t xml:space="preserve">Reed approached Mr. Dizmang, who walked back into traffic and bent over with his hands on his knees, displaying respiratory distress. Id. Mr. Dizmang said, ‘HELP me,’ then walked farther into the road…. Mr. Dizmang repeatedly </w:t>
      </w:r>
      <w:proofErr w:type="gramStart"/>
      <w:r w:rsidRPr="00CA2B3F">
        <w:rPr>
          <w:rFonts w:ascii="Times New Roman" w:hAnsi="Times New Roman"/>
          <w:sz w:val="24"/>
          <w:szCs w:val="24"/>
        </w:rPr>
        <w:t>said ‘please’</w:t>
      </w:r>
      <w:proofErr w:type="gramEnd"/>
      <w:r w:rsidRPr="00CA2B3F">
        <w:rPr>
          <w:rFonts w:ascii="Times New Roman" w:hAnsi="Times New Roman"/>
          <w:sz w:val="24"/>
          <w:szCs w:val="24"/>
        </w:rPr>
        <w:t xml:space="preserve"> and walked in circles in a ‘clearly </w:t>
      </w:r>
      <w:proofErr w:type="gramStart"/>
      <w:r w:rsidRPr="00CA2B3F">
        <w:rPr>
          <w:rFonts w:ascii="Times New Roman" w:hAnsi="Times New Roman"/>
          <w:sz w:val="24"/>
          <w:szCs w:val="24"/>
        </w:rPr>
        <w:t>confused</w:t>
      </w:r>
      <w:proofErr w:type="gramEnd"/>
      <w:r w:rsidRPr="00CA2B3F">
        <w:rPr>
          <w:rFonts w:ascii="Times New Roman" w:hAnsi="Times New Roman"/>
          <w:sz w:val="24"/>
          <w:szCs w:val="24"/>
        </w:rPr>
        <w:t xml:space="preserve"> and panicked state.’ … Defendant Reed then told Mr. Dizmang, </w:t>
      </w:r>
      <w:proofErr w:type="gramStart"/>
      <w:r w:rsidRPr="00CA2B3F">
        <w:rPr>
          <w:rFonts w:ascii="Times New Roman" w:hAnsi="Times New Roman"/>
          <w:sz w:val="24"/>
          <w:szCs w:val="24"/>
        </w:rPr>
        <w:t>‘sit</w:t>
      </w:r>
      <w:proofErr w:type="gramEnd"/>
      <w:r w:rsidRPr="00CA2B3F">
        <w:rPr>
          <w:rFonts w:ascii="Times New Roman" w:hAnsi="Times New Roman"/>
          <w:sz w:val="24"/>
          <w:szCs w:val="24"/>
        </w:rPr>
        <w:t xml:space="preserve"> down or put your hands behind your back.’</w:t>
      </w:r>
    </w:p>
    <w:p w14:paraId="1C5D254E" w14:textId="77777777" w:rsidR="00062DA4" w:rsidRPr="00CA2B3F" w:rsidRDefault="00062DA4" w:rsidP="00062DA4">
      <w:pPr>
        <w:pStyle w:val="NoSpacing"/>
        <w:rPr>
          <w:rFonts w:ascii="Times New Roman" w:hAnsi="Times New Roman"/>
          <w:sz w:val="24"/>
          <w:szCs w:val="24"/>
        </w:rPr>
      </w:pPr>
    </w:p>
    <w:p w14:paraId="3C6CCF92"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3563E14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The parties </w:t>
      </w:r>
      <w:proofErr w:type="gramStart"/>
      <w:r w:rsidRPr="00CA2B3F">
        <w:rPr>
          <w:rFonts w:ascii="Times New Roman" w:hAnsi="Times New Roman"/>
          <w:sz w:val="24"/>
          <w:szCs w:val="24"/>
        </w:rPr>
        <w:t>dispute</w:t>
      </w:r>
      <w:proofErr w:type="gramEnd"/>
      <w:r w:rsidRPr="00CA2B3F">
        <w:rPr>
          <w:rFonts w:ascii="Times New Roman" w:hAnsi="Times New Roman"/>
          <w:sz w:val="24"/>
          <w:szCs w:val="24"/>
        </w:rPr>
        <w:t xml:space="preserve"> what happened next. [Court now references the plaintiff’s complaint.] Plaintiff alleges that, as Mr. Dizmang stood in the tree line approximately 20 feet from the road, [Paramedic] Fischer ‘suddenly and violently tackled’ him to the ground…. As alleged, Defendant Fischer put Mr. Dizmang into a chokehold by wrapping his arms around his neck while Defendant Reed handcuffed Mr. Dizmang’s hands behind his back….  Defendant Fischer maintained this hold for approximately 30 seconds…. Mr. Dizmang stopped moving.</w:t>
      </w:r>
    </w:p>
    <w:p w14:paraId="53C6B823" w14:textId="77777777" w:rsidR="00062DA4" w:rsidRPr="00CA2B3F" w:rsidRDefault="00062DA4" w:rsidP="00062DA4">
      <w:pPr>
        <w:pStyle w:val="NoSpacing"/>
        <w:rPr>
          <w:rFonts w:ascii="Times New Roman" w:hAnsi="Times New Roman"/>
          <w:sz w:val="24"/>
          <w:szCs w:val="24"/>
        </w:rPr>
      </w:pPr>
    </w:p>
    <w:p w14:paraId="0992F1E8"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then rolled Mr. Dizmang face down on the ground, with his</w:t>
      </w:r>
    </w:p>
    <w:p w14:paraId="655706EE"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hands on the back of Mr. Dizmang’s neck and ‘driving his body weight downward, [Mr. Dizmang’s] neck and face into the ground. … Plaintiff alleges that Defendant Fischer stayed in that position, ‘with his body weight on [Mr. Dizmang’s] neck and back,’ for approximately forty-five seconds….Defendants Fischer and Reed then rolled Mr. Dizmang into a seated position….  At that point, Mr. Dizmang still had a faint pulse, but he was struggling to breathe and was unresponsive to questions and commands…. A bystander repeatedly told Mr. Dizmang, </w:t>
      </w:r>
      <w:proofErr w:type="gramStart"/>
      <w:r w:rsidRPr="00CA2B3F">
        <w:rPr>
          <w:rFonts w:ascii="Times New Roman" w:hAnsi="Times New Roman"/>
          <w:sz w:val="24"/>
          <w:szCs w:val="24"/>
        </w:rPr>
        <w:t>‘talk</w:t>
      </w:r>
      <w:proofErr w:type="gramEnd"/>
      <w:r w:rsidRPr="00CA2B3F">
        <w:rPr>
          <w:rFonts w:ascii="Times New Roman" w:hAnsi="Times New Roman"/>
          <w:sz w:val="24"/>
          <w:szCs w:val="24"/>
        </w:rPr>
        <w:t xml:space="preserve"> to me,’ but he never responded…. Defendant Reed called for an ambulance…. Defendants Reed and Fischer left Mr. Dizmang in handcuffs…. He remained handcuffed for nearly seven minutes before he was loaded onto a stretcher and moved into an ambulance…. As alleged,</w:t>
      </w:r>
    </w:p>
    <w:p w14:paraId="56B1B466"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took no actions to provide medical care or resuscitate Mr. Dizmang….</w:t>
      </w:r>
    </w:p>
    <w:p w14:paraId="7A62820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commented, ‘He’s not aspirating’ and ‘I want to attempt a</w:t>
      </w:r>
    </w:p>
    <w:p w14:paraId="3022F94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nasal airway.’ …Medical staff attempted resuscitation measures once Mr. Dizmang was</w:t>
      </w:r>
    </w:p>
    <w:p w14:paraId="48C1A4D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transferred to the ambulance…. Once at the hospital, emergency room staff also attempted life-saving measures, but Mr. Dizmang was pronounced dead at 6:16 p.m.”</w:t>
      </w:r>
    </w:p>
    <w:p w14:paraId="47DE48C3" w14:textId="77777777" w:rsidR="00062DA4" w:rsidRPr="00CA2B3F" w:rsidRDefault="00062DA4" w:rsidP="00062DA4">
      <w:pPr>
        <w:pStyle w:val="NoSpacing"/>
        <w:rPr>
          <w:rFonts w:ascii="Times New Roman" w:hAnsi="Times New Roman"/>
          <w:sz w:val="24"/>
          <w:szCs w:val="24"/>
        </w:rPr>
      </w:pPr>
    </w:p>
    <w:p w14:paraId="359A4D90"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The Court held:</w:t>
      </w:r>
    </w:p>
    <w:p w14:paraId="7B9E564A" w14:textId="77777777" w:rsidR="00062DA4" w:rsidRPr="00CA2B3F" w:rsidRDefault="00062DA4" w:rsidP="00062DA4">
      <w:pPr>
        <w:pStyle w:val="NoSpacing"/>
        <w:rPr>
          <w:rFonts w:ascii="Times New Roman" w:hAnsi="Times New Roman"/>
          <w:sz w:val="24"/>
          <w:szCs w:val="24"/>
        </w:rPr>
      </w:pPr>
    </w:p>
    <w:p w14:paraId="046151F1"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“Here, based on the allegations in the complaint, it appears that [Paramedic] Fischer</w:t>
      </w:r>
    </w:p>
    <w:p w14:paraId="2491442C"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was not attempting to arrest Mr. Dizmang or otherwise enforce the law; he was trying to</w:t>
      </w:r>
    </w:p>
    <w:p w14:paraId="73F1199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subdue him so that he could be properly treated…. </w:t>
      </w:r>
      <w:proofErr w:type="gramStart"/>
      <w:r w:rsidRPr="00CA2B3F">
        <w:rPr>
          <w:rFonts w:ascii="Times New Roman" w:hAnsi="Times New Roman"/>
          <w:sz w:val="24"/>
          <w:szCs w:val="24"/>
        </w:rPr>
        <w:t>It is clear that Mr. Dizmang</w:t>
      </w:r>
      <w:proofErr w:type="gramEnd"/>
      <w:r w:rsidRPr="00CA2B3F">
        <w:rPr>
          <w:rFonts w:ascii="Times New Roman" w:hAnsi="Times New Roman"/>
          <w:sz w:val="24"/>
          <w:szCs w:val="24"/>
        </w:rPr>
        <w:t xml:space="preserve"> needed </w:t>
      </w:r>
    </w:p>
    <w:p w14:paraId="03705669"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treatment and that Defendant Fischer was attempting to fulfill his role as a treatment provider.</w:t>
      </w:r>
    </w:p>
    <w:p w14:paraId="07AF9A71" w14:textId="77777777" w:rsidR="00062DA4" w:rsidRPr="00CA2B3F" w:rsidRDefault="00062DA4" w:rsidP="00062DA4">
      <w:pPr>
        <w:pStyle w:val="NoSpacing"/>
        <w:rPr>
          <w:rFonts w:ascii="Times New Roman" w:hAnsi="Times New Roman"/>
          <w:sz w:val="24"/>
          <w:szCs w:val="24"/>
        </w:rPr>
      </w:pPr>
    </w:p>
    <w:p w14:paraId="76C49F8A"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70295DB4"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Even if a paramedic’s attempt to provide treatment amounts to a violation of a constitutional right to be free from </w:t>
      </w:r>
      <w:proofErr w:type="gramStart"/>
      <w:r w:rsidRPr="00CA2B3F">
        <w:rPr>
          <w:rFonts w:ascii="Times New Roman" w:hAnsi="Times New Roman"/>
          <w:sz w:val="24"/>
          <w:szCs w:val="24"/>
        </w:rPr>
        <w:t>an unlawful</w:t>
      </w:r>
      <w:proofErr w:type="gramEnd"/>
      <w:r w:rsidRPr="00CA2B3F">
        <w:rPr>
          <w:rFonts w:ascii="Times New Roman" w:hAnsi="Times New Roman"/>
          <w:sz w:val="24"/>
          <w:szCs w:val="24"/>
        </w:rPr>
        <w:t xml:space="preserve"> seizure, the right was not clearly established. The Tenth Circuit has not opined on whether or in what circumstances a paramedic can effectuate a Fourth Amendment seizure…. Thus, the Court grants Defendant Fischer’s motion to dismiss and declines to exercise supplemental jurisdiction over state law claims brought here.</w:t>
      </w:r>
    </w:p>
    <w:p w14:paraId="7DFCA3DE" w14:textId="77777777" w:rsidR="00062DA4" w:rsidRPr="00CA2B3F" w:rsidRDefault="00062DA4" w:rsidP="00062DA4">
      <w:pPr>
        <w:pStyle w:val="NoSpacing"/>
        <w:rPr>
          <w:rFonts w:ascii="Times New Roman" w:hAnsi="Times New Roman"/>
          <w:sz w:val="24"/>
          <w:szCs w:val="24"/>
        </w:rPr>
      </w:pPr>
    </w:p>
    <w:p w14:paraId="602787FD"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6798D6FD" w14:textId="77777777" w:rsidR="00062DA4" w:rsidRPr="00CA2B3F" w:rsidRDefault="00062DA4" w:rsidP="00062DA4">
      <w:pPr>
        <w:pStyle w:val="NoSpacing"/>
        <w:rPr>
          <w:rFonts w:ascii="Times New Roman" w:hAnsi="Times New Roman"/>
          <w:sz w:val="24"/>
          <w:szCs w:val="24"/>
        </w:rPr>
      </w:pPr>
    </w:p>
    <w:p w14:paraId="6D7C9F32"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[Police Officer] Reed is also entitled to qualified immunity based on the second prong. Plaintiff has not pointed to any Tenth Circuit precedent establishing a Fourth Amendment claim based on a failure to intervene in a paramedic’s alleged use of excessive </w:t>
      </w:r>
      <w:proofErr w:type="gramStart"/>
      <w:r w:rsidRPr="00CA2B3F">
        <w:rPr>
          <w:rFonts w:ascii="Times New Roman" w:hAnsi="Times New Roman"/>
          <w:sz w:val="24"/>
          <w:szCs w:val="24"/>
        </w:rPr>
        <w:t>force.”</w:t>
      </w:r>
      <w:proofErr w:type="gramEnd"/>
    </w:p>
    <w:p w14:paraId="60F42198" w14:textId="77777777" w:rsidR="00062DA4" w:rsidRPr="00CA2B3F" w:rsidRDefault="00062DA4" w:rsidP="00062DA4">
      <w:pPr>
        <w:pStyle w:val="NoSpacing"/>
        <w:rPr>
          <w:rFonts w:ascii="Times New Roman" w:hAnsi="Times New Roman"/>
          <w:sz w:val="24"/>
          <w:szCs w:val="24"/>
        </w:rPr>
      </w:pPr>
    </w:p>
    <w:p w14:paraId="10B9BBBC" w14:textId="77777777" w:rsidR="00062DA4" w:rsidRPr="00CA2B3F" w:rsidRDefault="00062DA4" w:rsidP="00062DA4">
      <w:pPr>
        <w:rPr>
          <w:rFonts w:ascii="Times New Roman" w:hAnsi="Times New Roman"/>
          <w:b/>
          <w:bCs/>
          <w:sz w:val="24"/>
          <w:szCs w:val="24"/>
        </w:rPr>
      </w:pPr>
      <w:r w:rsidRPr="00CA2B3F">
        <w:rPr>
          <w:rFonts w:ascii="Times New Roman" w:hAnsi="Times New Roman"/>
          <w:b/>
          <w:sz w:val="24"/>
          <w:szCs w:val="24"/>
        </w:rPr>
        <w:t xml:space="preserve">Legal Lesson Learned:  Critical Response Teams are a wonderful community asset; when subduing a mental </w:t>
      </w:r>
      <w:proofErr w:type="gramStart"/>
      <w:r w:rsidRPr="00CA2B3F">
        <w:rPr>
          <w:rFonts w:ascii="Times New Roman" w:hAnsi="Times New Roman"/>
          <w:b/>
          <w:sz w:val="24"/>
          <w:szCs w:val="24"/>
        </w:rPr>
        <w:t>patient</w:t>
      </w:r>
      <w:proofErr w:type="gramEnd"/>
      <w:r w:rsidRPr="00CA2B3F">
        <w:rPr>
          <w:rFonts w:ascii="Times New Roman" w:hAnsi="Times New Roman"/>
          <w:b/>
          <w:sz w:val="24"/>
          <w:szCs w:val="24"/>
        </w:rPr>
        <w:t xml:space="preserve"> it is helpful to have a member of the team videotape the conduct</w:t>
      </w:r>
    </w:p>
    <w:p w14:paraId="4063C3E9" w14:textId="77777777" w:rsidR="00062DA4" w:rsidRPr="00CA2B3F" w:rsidRDefault="00062DA4" w:rsidP="00062DA4">
      <w:pPr>
        <w:rPr>
          <w:rFonts w:ascii="Times New Roman" w:hAnsi="Times New Roman"/>
          <w:b/>
          <w:bCs/>
          <w:sz w:val="24"/>
          <w:szCs w:val="24"/>
        </w:rPr>
      </w:pPr>
    </w:p>
    <w:p w14:paraId="3EE97FDB" w14:textId="7695F3BE" w:rsidR="00062DA4" w:rsidRDefault="001A4CAA" w:rsidP="000C4DF5">
      <w:pPr>
        <w:pStyle w:val="NoSpacing"/>
        <w:rPr>
          <w:rFonts w:ascii="Arial Black" w:hAnsi="Arial Black"/>
          <w:sz w:val="24"/>
          <w:szCs w:val="24"/>
        </w:rPr>
      </w:pPr>
      <w:r>
        <w:rPr>
          <w:rFonts w:ascii="Arial Black" w:hAnsi="Arial Black"/>
          <w:sz w:val="24"/>
          <w:szCs w:val="24"/>
        </w:rPr>
        <w:t>15-36</w:t>
      </w:r>
      <w:r w:rsidR="00144037">
        <w:rPr>
          <w:rFonts w:ascii="Arial Black" w:hAnsi="Arial Black"/>
          <w:sz w:val="24"/>
          <w:szCs w:val="24"/>
        </w:rPr>
        <w:t xml:space="preserve"> [also filed, Chap. 6]</w:t>
      </w:r>
    </w:p>
    <w:p w14:paraId="3EE8DB43" w14:textId="77777777" w:rsidR="00144037" w:rsidRDefault="00144037" w:rsidP="000C4DF5">
      <w:pPr>
        <w:pStyle w:val="NoSpacing"/>
        <w:rPr>
          <w:rFonts w:ascii="Arial Black" w:hAnsi="Arial Black"/>
          <w:sz w:val="24"/>
          <w:szCs w:val="24"/>
        </w:rPr>
      </w:pPr>
    </w:p>
    <w:p w14:paraId="02D321ED" w14:textId="77777777" w:rsidR="001A4CAA" w:rsidRPr="000B7F2C" w:rsidRDefault="001A4CAA" w:rsidP="001A4CAA">
      <w:pPr>
        <w:rPr>
          <w:rFonts w:ascii="Arial Black" w:hAnsi="Arial Black"/>
          <w:sz w:val="28"/>
          <w:szCs w:val="28"/>
        </w:rPr>
      </w:pPr>
      <w:r w:rsidRPr="000B7F2C">
        <w:rPr>
          <w:rFonts w:ascii="Arial Black" w:hAnsi="Arial Black"/>
          <w:sz w:val="28"/>
          <w:szCs w:val="28"/>
        </w:rPr>
        <w:t>AR: PTSD –1 YR OF “DIAGNOSIS” TO FILE WORK COMP</w:t>
      </w:r>
    </w:p>
    <w:p w14:paraId="78C93492" w14:textId="77777777" w:rsidR="001A4CAA" w:rsidRPr="00144037" w:rsidRDefault="001A4CAA" w:rsidP="001A4CAA">
      <w:pPr>
        <w:rPr>
          <w:rFonts w:ascii="Times New Roman" w:hAnsi="Times New Roman"/>
          <w:sz w:val="24"/>
          <w:szCs w:val="24"/>
        </w:rPr>
      </w:pPr>
      <w:r w:rsidRPr="00144037">
        <w:rPr>
          <w:rFonts w:ascii="Times New Roman" w:hAnsi="Times New Roman"/>
          <w:sz w:val="24"/>
          <w:szCs w:val="24"/>
        </w:rPr>
        <w:t xml:space="preserve">On January 27, 2025, in </w:t>
      </w:r>
      <w:r w:rsidRPr="00144037">
        <w:rPr>
          <w:rFonts w:ascii="Times New Roman" w:hAnsi="Times New Roman"/>
          <w:sz w:val="24"/>
          <w:szCs w:val="24"/>
          <w:u w:val="single"/>
        </w:rPr>
        <w:t>City of Tucson v. The Industrial Commission of Arizona; Christopher Mercer, Respondent Employee</w:t>
      </w:r>
      <w:r w:rsidRPr="00144037">
        <w:rPr>
          <w:rFonts w:ascii="Times New Roman" w:hAnsi="Times New Roman"/>
          <w:sz w:val="24"/>
          <w:szCs w:val="24"/>
        </w:rPr>
        <w:t xml:space="preserve">, the Court of Appeals of Arizona, Second Division, (3 to 0; unpublished decision) upheld the Administrative Law Judge who ruled the 1-Year statute of limitations to file worker’s comp claim starts when the official diagnosis of PTSD has been made, not when employee has sought help for mental issues.  Time line: In 2017, with anger issues, his Captain suggested he see a psychiatrist; met six times between 2017 and 2021; in 2020 moved to slower station; April 2022 attended music festival off duty and helped female patient who feel 15 feet; that night at home threatened suicide including pulling trigger of 9 mil firearm (presumably unloaded); hospitalized 28 days at facility for first responders where for first time was diagnosed with PTSD; filed works comp claim July 30, 2022.  </w:t>
      </w:r>
      <w:hyperlink r:id="rId2520" w:history="1">
        <w:r w:rsidRPr="00144037">
          <w:rPr>
            <w:rStyle w:val="Hyperlink"/>
            <w:rFonts w:ascii="Times New Roman" w:hAnsi="Times New Roman"/>
            <w:sz w:val="24"/>
            <w:szCs w:val="24"/>
          </w:rPr>
          <w:t>https://cases.justia.com/arizona/court-of-appeals-division-two-unpublished/2025-2-ca-ic-2024-0003.pdf?ts=1738026580</w:t>
        </w:r>
      </w:hyperlink>
      <w:r w:rsidRPr="00144037">
        <w:rPr>
          <w:rFonts w:ascii="Times New Roman" w:hAnsi="Times New Roman"/>
          <w:sz w:val="24"/>
          <w:szCs w:val="24"/>
        </w:rPr>
        <w:t xml:space="preserve"> </w:t>
      </w:r>
    </w:p>
    <w:p w14:paraId="59F2BD13" w14:textId="77777777" w:rsidR="001A4CAA" w:rsidRPr="00144037" w:rsidRDefault="001A4CAA" w:rsidP="001A4CAA">
      <w:pPr>
        <w:rPr>
          <w:rFonts w:ascii="Times New Roman" w:hAnsi="Times New Roman"/>
          <w:sz w:val="24"/>
          <w:szCs w:val="24"/>
        </w:rPr>
      </w:pPr>
    </w:p>
    <w:p w14:paraId="504C725E" w14:textId="77777777" w:rsidR="001A4CAA" w:rsidRPr="00144037" w:rsidRDefault="001A4CAA" w:rsidP="001A4CAA">
      <w:pPr>
        <w:pStyle w:val="NoSpacing"/>
        <w:rPr>
          <w:rFonts w:ascii="Times New Roman" w:hAnsi="Times New Roman"/>
          <w:sz w:val="24"/>
          <w:szCs w:val="24"/>
        </w:rPr>
      </w:pPr>
      <w:r w:rsidRPr="00144037">
        <w:rPr>
          <w:rFonts w:ascii="Times New Roman" w:hAnsi="Times New Roman"/>
          <w:sz w:val="24"/>
          <w:szCs w:val="24"/>
        </w:rPr>
        <w:t xml:space="preserve">The Court wrote: </w:t>
      </w:r>
    </w:p>
    <w:p w14:paraId="1FCC72A4" w14:textId="77777777" w:rsidR="001A4CAA" w:rsidRPr="00144037" w:rsidRDefault="001A4CAA" w:rsidP="001A4CAA">
      <w:pPr>
        <w:pStyle w:val="NoSpacing"/>
        <w:rPr>
          <w:rFonts w:ascii="Times New Roman" w:hAnsi="Times New Roman"/>
          <w:sz w:val="24"/>
          <w:szCs w:val="24"/>
        </w:rPr>
      </w:pPr>
    </w:p>
    <w:p w14:paraId="0156C60A" w14:textId="77777777" w:rsidR="001A4CAA" w:rsidRPr="00144037" w:rsidRDefault="001A4CAA" w:rsidP="001A4CAA">
      <w:pPr>
        <w:pStyle w:val="NoSpacing"/>
        <w:ind w:left="720"/>
        <w:rPr>
          <w:rFonts w:ascii="Times New Roman" w:hAnsi="Times New Roman"/>
          <w:sz w:val="24"/>
          <w:szCs w:val="24"/>
        </w:rPr>
      </w:pPr>
      <w:r w:rsidRPr="00144037">
        <w:rPr>
          <w:rFonts w:ascii="Times New Roman" w:hAnsi="Times New Roman"/>
          <w:sz w:val="24"/>
          <w:szCs w:val="24"/>
        </w:rPr>
        <w:t>“The ALJ determined that he was never ‘officially diagnosed with PTSD’ until April 2022, and there was ‘insufficient evidence to find that his symptoms had become serious and acute enough to meet the diagnosis for PTSD’ before then. The ALJ further explained that April 2022 was also the point at which Mercer first required inpatient psychiatric treatment and first became unable to return to work. Accordingly, the ALJ determined that Mercer’s July 2022 ICA claim was timely.</w:t>
      </w:r>
    </w:p>
    <w:p w14:paraId="78F8138B" w14:textId="77777777" w:rsidR="001A4CAA" w:rsidRPr="00144037" w:rsidRDefault="001A4CAA" w:rsidP="001A4CAA">
      <w:pPr>
        <w:pStyle w:val="NoSpacing"/>
        <w:rPr>
          <w:rFonts w:ascii="Times New Roman" w:hAnsi="Times New Roman"/>
          <w:sz w:val="24"/>
          <w:szCs w:val="24"/>
        </w:rPr>
      </w:pPr>
    </w:p>
    <w:p w14:paraId="6012B840" w14:textId="77777777" w:rsidR="001A4CAA" w:rsidRPr="00144037" w:rsidRDefault="001A4CAA" w:rsidP="001A4CAA">
      <w:pPr>
        <w:pStyle w:val="NoSpacing"/>
        <w:ind w:firstLine="720"/>
        <w:rPr>
          <w:rFonts w:ascii="Times New Roman" w:hAnsi="Times New Roman"/>
          <w:sz w:val="24"/>
          <w:szCs w:val="24"/>
        </w:rPr>
      </w:pPr>
      <w:r w:rsidRPr="00144037">
        <w:rPr>
          <w:rFonts w:ascii="Times New Roman" w:hAnsi="Times New Roman"/>
          <w:sz w:val="24"/>
          <w:szCs w:val="24"/>
        </w:rPr>
        <w:t>***</w:t>
      </w:r>
    </w:p>
    <w:p w14:paraId="49336543" w14:textId="77777777" w:rsidR="001A4CAA" w:rsidRPr="00144037" w:rsidRDefault="001A4CAA" w:rsidP="001A4CAA">
      <w:pPr>
        <w:pStyle w:val="NoSpacing"/>
        <w:rPr>
          <w:rFonts w:ascii="Times New Roman" w:hAnsi="Times New Roman"/>
          <w:sz w:val="24"/>
          <w:szCs w:val="24"/>
        </w:rPr>
      </w:pPr>
    </w:p>
    <w:p w14:paraId="53C09866" w14:textId="77777777" w:rsidR="001A4CAA" w:rsidRPr="00144037" w:rsidRDefault="001A4CAA" w:rsidP="001A4CAA">
      <w:pPr>
        <w:pStyle w:val="NoSpacing"/>
        <w:ind w:left="720"/>
        <w:rPr>
          <w:rFonts w:ascii="Times New Roman" w:hAnsi="Times New Roman"/>
          <w:sz w:val="24"/>
          <w:szCs w:val="24"/>
        </w:rPr>
      </w:pPr>
      <w:r w:rsidRPr="00144037">
        <w:rPr>
          <w:rFonts w:ascii="Times New Roman" w:hAnsi="Times New Roman"/>
          <w:sz w:val="24"/>
          <w:szCs w:val="24"/>
        </w:rPr>
        <w:t>[T]</w:t>
      </w:r>
      <w:proofErr w:type="gramStart"/>
      <w:r w:rsidRPr="00144037">
        <w:rPr>
          <w:rFonts w:ascii="Times New Roman" w:hAnsi="Times New Roman"/>
          <w:sz w:val="24"/>
          <w:szCs w:val="24"/>
        </w:rPr>
        <w:t>he</w:t>
      </w:r>
      <w:proofErr w:type="gramEnd"/>
      <w:r w:rsidRPr="00144037">
        <w:rPr>
          <w:rFonts w:ascii="Times New Roman" w:hAnsi="Times New Roman"/>
          <w:sz w:val="24"/>
          <w:szCs w:val="24"/>
        </w:rPr>
        <w:t xml:space="preserve"> City contends it produced expert testimony that Mercer’s PTSD was diagnosable prior to July 2021, it has satisfied some portion of the test for the accrual of mental injuries. Not so.” </w:t>
      </w:r>
    </w:p>
    <w:p w14:paraId="1EA371D3" w14:textId="77777777" w:rsidR="001A4CAA" w:rsidRPr="00144037" w:rsidRDefault="001A4CAA" w:rsidP="001A4CAA">
      <w:pPr>
        <w:pStyle w:val="NoSpacing"/>
        <w:rPr>
          <w:rFonts w:ascii="Times New Roman" w:hAnsi="Times New Roman"/>
          <w:b/>
          <w:bCs/>
          <w:sz w:val="24"/>
          <w:szCs w:val="24"/>
        </w:rPr>
      </w:pPr>
    </w:p>
    <w:p w14:paraId="7F526D49" w14:textId="77777777" w:rsidR="001A4CAA" w:rsidRPr="00144037" w:rsidRDefault="001A4CAA" w:rsidP="001A4CAA">
      <w:pPr>
        <w:pStyle w:val="NoSpacing"/>
        <w:rPr>
          <w:rFonts w:ascii="Times New Roman" w:hAnsi="Times New Roman"/>
          <w:b/>
          <w:bCs/>
          <w:sz w:val="24"/>
          <w:szCs w:val="24"/>
        </w:rPr>
      </w:pPr>
      <w:r w:rsidRPr="00144037">
        <w:rPr>
          <w:rFonts w:ascii="Times New Roman" w:hAnsi="Times New Roman"/>
          <w:b/>
          <w:sz w:val="24"/>
          <w:szCs w:val="24"/>
        </w:rPr>
        <w:t xml:space="preserve">Legal Lesson Learned: Excellent decision; city can’t force employees to file workers comp claim when they are merely seeking assistance. </w:t>
      </w:r>
    </w:p>
    <w:p w14:paraId="18378E38" w14:textId="77777777" w:rsidR="001A4CAA" w:rsidRPr="00144037" w:rsidRDefault="001A4CAA" w:rsidP="001A4CAA">
      <w:pPr>
        <w:pStyle w:val="NoSpacing"/>
        <w:rPr>
          <w:rFonts w:ascii="Times New Roman" w:hAnsi="Times New Roman"/>
          <w:sz w:val="24"/>
          <w:szCs w:val="24"/>
        </w:rPr>
      </w:pPr>
    </w:p>
    <w:p w14:paraId="7C23C1EA" w14:textId="77777777" w:rsidR="001A4CAA" w:rsidRPr="00144037" w:rsidRDefault="001A4CAA" w:rsidP="000C4DF5">
      <w:pPr>
        <w:pStyle w:val="NoSpacing"/>
        <w:rPr>
          <w:rFonts w:ascii="Times New Roman" w:hAnsi="Times New Roman"/>
          <w:sz w:val="24"/>
          <w:szCs w:val="24"/>
        </w:rPr>
      </w:pPr>
    </w:p>
    <w:p w14:paraId="49D9197F" w14:textId="77777777" w:rsidR="004D6FB2" w:rsidRDefault="004D6FB2" w:rsidP="000C4DF5">
      <w:pPr>
        <w:pStyle w:val="NoSpacing"/>
        <w:rPr>
          <w:rFonts w:ascii="Arial Black" w:hAnsi="Arial Black"/>
          <w:sz w:val="24"/>
          <w:szCs w:val="24"/>
        </w:rPr>
      </w:pPr>
    </w:p>
    <w:p w14:paraId="1A8CACB4" w14:textId="77777777" w:rsidR="004D6FB2" w:rsidRDefault="004D6FB2" w:rsidP="000C4DF5">
      <w:pPr>
        <w:pStyle w:val="NoSpacing"/>
        <w:rPr>
          <w:rFonts w:ascii="Arial Black" w:hAnsi="Arial Black"/>
          <w:sz w:val="24"/>
          <w:szCs w:val="24"/>
        </w:rPr>
      </w:pPr>
    </w:p>
    <w:p w14:paraId="2031D947" w14:textId="28B3F362" w:rsidR="00503691" w:rsidRDefault="00503691" w:rsidP="000C4DF5">
      <w:pPr>
        <w:pStyle w:val="NoSpacing"/>
        <w:rPr>
          <w:rFonts w:ascii="Arial Black" w:hAnsi="Arial Black"/>
          <w:sz w:val="24"/>
          <w:szCs w:val="24"/>
        </w:rPr>
      </w:pPr>
      <w:r>
        <w:rPr>
          <w:rFonts w:ascii="Arial Black" w:hAnsi="Arial Black"/>
          <w:sz w:val="24"/>
          <w:szCs w:val="24"/>
        </w:rPr>
        <w:t>15-35</w:t>
      </w:r>
    </w:p>
    <w:p w14:paraId="7D8A8A4B" w14:textId="77777777" w:rsidR="00503691" w:rsidRDefault="00503691" w:rsidP="000C4DF5">
      <w:pPr>
        <w:pStyle w:val="NoSpacing"/>
        <w:rPr>
          <w:rFonts w:ascii="Arial Black" w:hAnsi="Arial Black"/>
          <w:sz w:val="24"/>
          <w:szCs w:val="24"/>
        </w:rPr>
      </w:pPr>
    </w:p>
    <w:p w14:paraId="091FA3E1" w14:textId="23260C29" w:rsidR="008619DE" w:rsidRPr="00A34AEC" w:rsidRDefault="008619DE" w:rsidP="008619DE">
      <w:pPr>
        <w:pStyle w:val="NoSpacing"/>
        <w:rPr>
          <w:rFonts w:ascii="Arial Black" w:hAnsi="Arial Black"/>
          <w:b/>
          <w:sz w:val="28"/>
          <w:szCs w:val="28"/>
        </w:rPr>
      </w:pPr>
      <w:r>
        <w:rPr>
          <w:rFonts w:ascii="Arial Black" w:hAnsi="Arial Black"/>
          <w:b/>
          <w:sz w:val="28"/>
          <w:szCs w:val="28"/>
        </w:rPr>
        <w:t xml:space="preserve">TX: SUICIDE ATT. – DORM FIRE – </w:t>
      </w:r>
      <w:r w:rsidR="00441F95">
        <w:rPr>
          <w:rFonts w:ascii="Arial Black" w:hAnsi="Arial Black"/>
          <w:b/>
          <w:sz w:val="28"/>
          <w:szCs w:val="28"/>
        </w:rPr>
        <w:t>AIR FORCE DISCHARGE</w:t>
      </w:r>
      <w:r>
        <w:rPr>
          <w:rFonts w:ascii="Arial Black" w:hAnsi="Arial Black"/>
          <w:b/>
          <w:sz w:val="28"/>
          <w:szCs w:val="28"/>
        </w:rPr>
        <w:t xml:space="preserve"> </w:t>
      </w:r>
    </w:p>
    <w:p w14:paraId="1DDEA12B" w14:textId="77777777" w:rsidR="008619DE" w:rsidRDefault="008619DE" w:rsidP="008619DE">
      <w:pPr>
        <w:pStyle w:val="NoSpacing"/>
        <w:rPr>
          <w:b/>
        </w:rPr>
      </w:pPr>
    </w:p>
    <w:p w14:paraId="00D9AB78" w14:textId="77777777" w:rsidR="008619DE" w:rsidRPr="008619DE" w:rsidRDefault="008619DE" w:rsidP="008619DE">
      <w:pPr>
        <w:pStyle w:val="NoSpacing"/>
        <w:rPr>
          <w:rFonts w:ascii="Times New Roman" w:hAnsi="Times New Roman"/>
          <w:bCs/>
          <w:sz w:val="24"/>
          <w:szCs w:val="24"/>
        </w:rPr>
      </w:pPr>
      <w:r w:rsidRPr="008619DE">
        <w:rPr>
          <w:rFonts w:ascii="Times New Roman" w:hAnsi="Times New Roman"/>
          <w:sz w:val="24"/>
          <w:szCs w:val="24"/>
        </w:rPr>
        <w:t xml:space="preserve">On Dec. 23, 2024, in </w:t>
      </w:r>
      <w:r w:rsidRPr="008619DE">
        <w:rPr>
          <w:rFonts w:ascii="Times New Roman" w:hAnsi="Times New Roman"/>
          <w:sz w:val="24"/>
          <w:szCs w:val="24"/>
          <w:u w:val="single"/>
        </w:rPr>
        <w:t>United States v. Randy B. Giles, Jr., Airman Basic (E-1), U.S. Air Force</w:t>
      </w:r>
      <w:r w:rsidRPr="008619DE">
        <w:rPr>
          <w:rFonts w:ascii="Times New Roman" w:hAnsi="Times New Roman"/>
          <w:sz w:val="24"/>
          <w:szCs w:val="24"/>
        </w:rPr>
        <w:t xml:space="preserve">, the United States Air Force Court of Criminal Appeals, held (3 to 0) that the bad-conduct discharge, confinement for 30 days, and forfeiture of $1,917.00 pay for one month was appropriate penalty, given the attempted suicide by starting a fire on Aug. 16, </w:t>
      </w:r>
      <w:proofErr w:type="gramStart"/>
      <w:r w:rsidRPr="008619DE">
        <w:rPr>
          <w:rFonts w:ascii="Times New Roman" w:hAnsi="Times New Roman"/>
          <w:sz w:val="24"/>
          <w:szCs w:val="24"/>
        </w:rPr>
        <w:t>2022</w:t>
      </w:r>
      <w:proofErr w:type="gramEnd"/>
      <w:r w:rsidRPr="008619DE">
        <w:rPr>
          <w:rFonts w:ascii="Times New Roman" w:hAnsi="Times New Roman"/>
          <w:sz w:val="24"/>
          <w:szCs w:val="24"/>
        </w:rPr>
        <w:t xml:space="preserve"> in his dormitory room at Sheppard Air Force Base (AFB), Wichita Falls, Texas.  Instructors had sent him to be evaluated by Air Force mental, which allowed him to return to his dorm. The Court wrote:</w:t>
      </w:r>
    </w:p>
    <w:p w14:paraId="3993BA97" w14:textId="77777777" w:rsidR="008619DE" w:rsidRPr="008619DE" w:rsidRDefault="008619DE" w:rsidP="008619DE">
      <w:pPr>
        <w:pStyle w:val="NoSpacing"/>
        <w:rPr>
          <w:rFonts w:ascii="Times New Roman" w:hAnsi="Times New Roman"/>
          <w:bCs/>
          <w:sz w:val="24"/>
          <w:szCs w:val="24"/>
        </w:rPr>
      </w:pPr>
    </w:p>
    <w:p w14:paraId="7369FBD5" w14:textId="77777777" w:rsidR="008619DE" w:rsidRPr="008619DE" w:rsidRDefault="008619DE" w:rsidP="008619DE">
      <w:pPr>
        <w:pStyle w:val="NoSpacing"/>
        <w:ind w:left="720"/>
        <w:rPr>
          <w:rFonts w:ascii="Times New Roman" w:hAnsi="Times New Roman"/>
          <w:b/>
          <w:sz w:val="24"/>
          <w:szCs w:val="24"/>
        </w:rPr>
      </w:pPr>
      <w:r w:rsidRPr="008619DE">
        <w:rPr>
          <w:rFonts w:ascii="Times New Roman" w:hAnsi="Times New Roman"/>
          <w:sz w:val="24"/>
          <w:szCs w:val="24"/>
        </w:rPr>
        <w:t xml:space="preserve">“We are not persuaded Appellant’s bad-conduct discharge is inappropriately severe. Contrary to Appellant’s argument, he was not prosecuted for attempting suicide; he was prosecuted for the serious offense of aggravated arson and related offenses, which created a risk to the health and safety to many of his fellow Airmen as well as himself. Appellant pleaded guilty to the charges, unconditionally admitting his criminal responsibility. Based on his guilty pleas, Appellant faced a maximum punishment that included a dishonorable discharge and confinement for 25 years, among other penalties. Through the  admitted evidence and Appellant’s unsworn statements, the court members were well-informed of the nature of his mental health problems and the progress of his inpatient treatment. The court members likely took these factors into account when they adjudged a relatively lenient sentence including only 30 days of confinement and one month of forfeitures—entirely nullified by the sentence credit the military judge awarded—in addition to the bad-conduct discharge. Having </w:t>
      </w:r>
      <w:proofErr w:type="gramStart"/>
      <w:r w:rsidRPr="008619DE">
        <w:rPr>
          <w:rFonts w:ascii="Times New Roman" w:hAnsi="Times New Roman"/>
          <w:sz w:val="24"/>
          <w:szCs w:val="24"/>
        </w:rPr>
        <w:t>given individualized consideration to</w:t>
      </w:r>
      <w:proofErr w:type="gramEnd"/>
      <w:r w:rsidRPr="008619DE">
        <w:rPr>
          <w:rFonts w:ascii="Times New Roman" w:hAnsi="Times New Roman"/>
          <w:sz w:val="24"/>
          <w:szCs w:val="24"/>
        </w:rPr>
        <w:t xml:space="preserve"> Appellant, the nature and seriousness of the offenses, Appellant’s record of service, and all other matters contained in the record of trial, we conclude Appellant’s sentence is not inappropriately severe.” </w:t>
      </w:r>
      <w:hyperlink r:id="rId2521" w:history="1">
        <w:r w:rsidRPr="008619DE">
          <w:rPr>
            <w:rStyle w:val="Hyperlink"/>
            <w:rFonts w:ascii="Times New Roman" w:hAnsi="Times New Roman"/>
            <w:b/>
            <w:sz w:val="24"/>
            <w:szCs w:val="24"/>
          </w:rPr>
          <w:t>https://afcca.law.af.mil/afcca_opinions/cp/giles_-_40482_u_2091447.pdf</w:t>
        </w:r>
      </w:hyperlink>
      <w:r w:rsidRPr="008619DE">
        <w:rPr>
          <w:rFonts w:ascii="Times New Roman" w:hAnsi="Times New Roman"/>
          <w:b/>
          <w:sz w:val="24"/>
          <w:szCs w:val="24"/>
        </w:rPr>
        <w:t xml:space="preserve"> </w:t>
      </w:r>
    </w:p>
    <w:p w14:paraId="43EF22E6" w14:textId="77777777" w:rsidR="008619DE" w:rsidRDefault="008619DE" w:rsidP="008619DE">
      <w:pPr>
        <w:pStyle w:val="NoSpacing"/>
        <w:ind w:left="720"/>
        <w:rPr>
          <w:bCs/>
        </w:rPr>
      </w:pPr>
      <w:r>
        <w:t xml:space="preserve"> </w:t>
      </w:r>
    </w:p>
    <w:p w14:paraId="4172A425" w14:textId="77777777" w:rsidR="009A3152" w:rsidRPr="00441F95" w:rsidRDefault="009A3152" w:rsidP="009A3152">
      <w:pPr>
        <w:pStyle w:val="NoSpacing"/>
        <w:rPr>
          <w:rFonts w:ascii="Times New Roman" w:hAnsi="Times New Roman"/>
          <w:bCs/>
          <w:sz w:val="24"/>
          <w:szCs w:val="24"/>
        </w:rPr>
      </w:pPr>
      <w:r w:rsidRPr="00441F95">
        <w:rPr>
          <w:rFonts w:ascii="Times New Roman" w:hAnsi="Times New Roman"/>
          <w:sz w:val="24"/>
          <w:szCs w:val="24"/>
        </w:rPr>
        <w:t xml:space="preserve">HOLDING:  </w:t>
      </w:r>
    </w:p>
    <w:p w14:paraId="660FE5A6" w14:textId="77777777" w:rsidR="009A3152" w:rsidRPr="00441F95" w:rsidRDefault="009A3152" w:rsidP="009A3152">
      <w:pPr>
        <w:pStyle w:val="NoSpacing"/>
        <w:rPr>
          <w:rFonts w:ascii="Times New Roman" w:hAnsi="Times New Roman"/>
          <w:bCs/>
          <w:sz w:val="24"/>
          <w:szCs w:val="24"/>
        </w:rPr>
      </w:pPr>
    </w:p>
    <w:p w14:paraId="0AE9F2B7" w14:textId="77777777" w:rsidR="009A3152" w:rsidRPr="00441F95" w:rsidRDefault="009A3152" w:rsidP="009A3152">
      <w:pPr>
        <w:pStyle w:val="NoSpacing"/>
        <w:ind w:left="720"/>
        <w:rPr>
          <w:rFonts w:ascii="Times New Roman" w:hAnsi="Times New Roman"/>
          <w:bCs/>
          <w:sz w:val="24"/>
          <w:szCs w:val="24"/>
        </w:rPr>
      </w:pPr>
      <w:r w:rsidRPr="00441F95">
        <w:rPr>
          <w:rFonts w:ascii="Times New Roman" w:hAnsi="Times New Roman"/>
          <w:sz w:val="24"/>
          <w:szCs w:val="24"/>
        </w:rPr>
        <w:t>“The findings as entered are correct in law, the sentence as entered is correct in law and fact, and no error materially prejudicial to the substantial rights of Appellant occurred. Articles 59(a) and 66(d), UCMJ, 10 U.S.C. §§ 859(a), 866(d). Accordingly, the findings and sentence are AFFIRMED.”</w:t>
      </w:r>
    </w:p>
    <w:p w14:paraId="4C110F0D" w14:textId="77777777" w:rsidR="009A3152" w:rsidRPr="00441F95" w:rsidRDefault="009A3152" w:rsidP="009A3152">
      <w:pPr>
        <w:pStyle w:val="NoSpacing"/>
        <w:ind w:left="720"/>
        <w:rPr>
          <w:rFonts w:ascii="Times New Roman" w:hAnsi="Times New Roman"/>
          <w:bCs/>
          <w:sz w:val="24"/>
          <w:szCs w:val="24"/>
        </w:rPr>
      </w:pPr>
    </w:p>
    <w:p w14:paraId="457B44E2" w14:textId="77777777" w:rsidR="009A3152" w:rsidRPr="00441F95" w:rsidRDefault="009A3152" w:rsidP="009A3152">
      <w:pPr>
        <w:pStyle w:val="NoSpacing"/>
        <w:rPr>
          <w:rFonts w:ascii="Times New Roman" w:hAnsi="Times New Roman"/>
          <w:b/>
          <w:sz w:val="24"/>
          <w:szCs w:val="24"/>
        </w:rPr>
      </w:pPr>
      <w:r w:rsidRPr="00441F95">
        <w:rPr>
          <w:rFonts w:ascii="Times New Roman" w:hAnsi="Times New Roman"/>
          <w:b/>
          <w:sz w:val="24"/>
          <w:szCs w:val="24"/>
        </w:rPr>
        <w:t xml:space="preserve">Legal Lesson Learned:  A fellow airman properly reported the arson threat to Instructors, who promptly referred him for mental evaluation.  It is unfortunate that the evaluation did not immediately lead to inpatient treatment. </w:t>
      </w:r>
    </w:p>
    <w:p w14:paraId="593B6C33" w14:textId="77777777" w:rsidR="00503691" w:rsidRPr="00441F95" w:rsidRDefault="00503691" w:rsidP="000C4DF5">
      <w:pPr>
        <w:pStyle w:val="NoSpacing"/>
        <w:rPr>
          <w:rFonts w:ascii="Times New Roman" w:hAnsi="Times New Roman"/>
          <w:sz w:val="24"/>
          <w:szCs w:val="24"/>
        </w:rPr>
      </w:pPr>
    </w:p>
    <w:p w14:paraId="0327D0AA" w14:textId="77777777" w:rsidR="00503691" w:rsidRDefault="00503691" w:rsidP="000C4DF5">
      <w:pPr>
        <w:pStyle w:val="NoSpacing"/>
        <w:rPr>
          <w:rFonts w:ascii="Arial Black" w:hAnsi="Arial Black"/>
          <w:sz w:val="24"/>
          <w:szCs w:val="24"/>
        </w:rPr>
      </w:pPr>
    </w:p>
    <w:p w14:paraId="57C0408D" w14:textId="77777777" w:rsidR="00955FF9" w:rsidRDefault="006547A0" w:rsidP="000C4DF5">
      <w:pPr>
        <w:pStyle w:val="NoSpacing"/>
        <w:rPr>
          <w:rFonts w:ascii="Arial Black" w:hAnsi="Arial Black"/>
          <w:sz w:val="24"/>
          <w:szCs w:val="24"/>
        </w:rPr>
      </w:pPr>
      <w:r>
        <w:rPr>
          <w:rFonts w:ascii="Arial Black" w:hAnsi="Arial Black"/>
          <w:sz w:val="24"/>
          <w:szCs w:val="24"/>
        </w:rPr>
        <w:t>15-34</w:t>
      </w:r>
      <w:r w:rsidR="00955FF9">
        <w:rPr>
          <w:rFonts w:ascii="Arial Black" w:hAnsi="Arial Black"/>
          <w:sz w:val="24"/>
          <w:szCs w:val="24"/>
        </w:rPr>
        <w:t xml:space="preserve">  </w:t>
      </w:r>
    </w:p>
    <w:p w14:paraId="1693C9B8" w14:textId="77777777" w:rsidR="00955FF9" w:rsidRDefault="00955FF9" w:rsidP="000C4DF5">
      <w:pPr>
        <w:pStyle w:val="NoSpacing"/>
        <w:rPr>
          <w:rFonts w:ascii="Arial Black" w:hAnsi="Arial Black"/>
          <w:sz w:val="24"/>
          <w:szCs w:val="24"/>
        </w:rPr>
      </w:pPr>
    </w:p>
    <w:p w14:paraId="01C62B28" w14:textId="342D26F5" w:rsidR="006547A0" w:rsidRDefault="008A552F" w:rsidP="000C4DF5">
      <w:pPr>
        <w:pStyle w:val="NoSpacing"/>
        <w:rPr>
          <w:rFonts w:ascii="Arial Black" w:hAnsi="Arial Black"/>
          <w:sz w:val="24"/>
          <w:szCs w:val="24"/>
        </w:rPr>
      </w:pPr>
      <w:r>
        <w:rPr>
          <w:rFonts w:ascii="Arial Black" w:hAnsi="Arial Black"/>
          <w:sz w:val="24"/>
          <w:szCs w:val="24"/>
        </w:rPr>
        <w:t xml:space="preserve">AR: </w:t>
      </w:r>
      <w:r w:rsidR="00955FF9">
        <w:rPr>
          <w:rFonts w:ascii="Arial Black" w:hAnsi="Arial Black"/>
          <w:sz w:val="24"/>
          <w:szCs w:val="24"/>
        </w:rPr>
        <w:t>FF DENIED WORKERS COMP – LACK PROOF PTSD CAUSED BY JOB</w:t>
      </w:r>
    </w:p>
    <w:p w14:paraId="59401C46" w14:textId="77777777" w:rsidR="006547A0" w:rsidRPr="005D4D24" w:rsidRDefault="006547A0" w:rsidP="000C4DF5">
      <w:pPr>
        <w:pStyle w:val="NoSpacing"/>
        <w:rPr>
          <w:rFonts w:ascii="Times New Roman" w:hAnsi="Times New Roman"/>
          <w:sz w:val="24"/>
          <w:szCs w:val="24"/>
        </w:rPr>
      </w:pPr>
    </w:p>
    <w:p w14:paraId="2BCEF997" w14:textId="671A12BA"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 xml:space="preserve">On September 26, 2024, in </w:t>
      </w:r>
      <w:r w:rsidRPr="005D4D24">
        <w:rPr>
          <w:rFonts w:ascii="Times New Roman" w:hAnsi="Times New Roman"/>
          <w:sz w:val="24"/>
          <w:szCs w:val="24"/>
          <w:u w:val="single"/>
        </w:rPr>
        <w:t>Jerald Franzmeier v. Industrial Commission of Arizona; City of Tolleson</w:t>
      </w:r>
      <w:r w:rsidRPr="005D4D24">
        <w:rPr>
          <w:rFonts w:ascii="Times New Roman" w:hAnsi="Times New Roman"/>
          <w:sz w:val="24"/>
          <w:szCs w:val="24"/>
        </w:rPr>
        <w:t xml:space="preserve">, the Court of Appeals of Arizona, First Division, held (3 to 0) that the firefighter was properly denied workers comp.  While fighting a fire in November 2021, Franzmeier experienced a “sudden alteration in [his] mental status” that left him confused and disorientated, and caused him to hallucinate; he was diagnosed by a psychiatrist with PTSD. In </w:t>
      </w:r>
      <w:proofErr w:type="gramStart"/>
      <w:r w:rsidRPr="005D4D24">
        <w:rPr>
          <w:rFonts w:ascii="Times New Roman" w:hAnsi="Times New Roman"/>
          <w:sz w:val="24"/>
          <w:szCs w:val="24"/>
        </w:rPr>
        <w:t>May</w:t>
      </w:r>
      <w:r w:rsidR="00955FF9">
        <w:rPr>
          <w:rFonts w:ascii="Times New Roman" w:hAnsi="Times New Roman"/>
          <w:sz w:val="24"/>
          <w:szCs w:val="24"/>
        </w:rPr>
        <w:t>,</w:t>
      </w:r>
      <w:proofErr w:type="gramEnd"/>
      <w:r w:rsidRPr="005D4D24">
        <w:rPr>
          <w:rFonts w:ascii="Times New Roman" w:hAnsi="Times New Roman"/>
          <w:sz w:val="24"/>
          <w:szCs w:val="24"/>
        </w:rPr>
        <w:t xml:space="preserve"> 2022 he filed a worker’s comp claim that alleged he got COVID from fellow firefighter on Aug. 21, 2020 [a week after he had flow to Maryland wearing mask and gloves on the plane] and that “long COVID” was the cause of his PTSD. The Court wrote: “However, Franzmeier offered no competent evidence showing, with a reasonable degree of medical probability, that his COVID-19 infection contributed to his mental injury.”  </w:t>
      </w:r>
      <w:hyperlink r:id="rId2522" w:history="1">
        <w:r w:rsidRPr="005D4D24">
          <w:rPr>
            <w:rStyle w:val="Hyperlink"/>
            <w:rFonts w:ascii="Times New Roman" w:hAnsi="Times New Roman"/>
            <w:sz w:val="24"/>
            <w:szCs w:val="24"/>
          </w:rPr>
          <w:t>https://cases.justia.com/arizona/court-of-appeals-division-one-unpublished/2024-1-ca-ic-23-0013.pdf?ts=1727375455</w:t>
        </w:r>
      </w:hyperlink>
    </w:p>
    <w:p w14:paraId="3E49EECC" w14:textId="77777777" w:rsidR="005D4D24" w:rsidRPr="005D4D24" w:rsidRDefault="005D4D24" w:rsidP="005D4D24">
      <w:pPr>
        <w:pStyle w:val="NoSpacing"/>
        <w:rPr>
          <w:rFonts w:ascii="Times New Roman" w:hAnsi="Times New Roman"/>
          <w:sz w:val="24"/>
          <w:szCs w:val="24"/>
        </w:rPr>
      </w:pPr>
    </w:p>
    <w:p w14:paraId="355AD2E4"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THE COURT HELD:</w:t>
      </w:r>
    </w:p>
    <w:p w14:paraId="785932F1"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 xml:space="preserve"> </w:t>
      </w:r>
    </w:p>
    <w:p w14:paraId="110437A6"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“Thus, Franzmeier needed to offer medical expert opinion evidence linking his mental injury to his employment, but he offered none. Instead, he testified to what his doctors told him, that there was ‘the possibility of a COVID claim,’ but his testimony made clear that these opinions were speculative. The Respondents presented the only competent medical evidence on causation through Dr. Lee, who opined that Franzmeier was probably infected during his cross-country trip.</w:t>
      </w:r>
    </w:p>
    <w:p w14:paraId="69D78497" w14:textId="77777777" w:rsidR="005D4D24" w:rsidRPr="005D4D24" w:rsidRDefault="005D4D24" w:rsidP="005D4D24">
      <w:pPr>
        <w:pStyle w:val="NoSpacing"/>
        <w:ind w:left="720"/>
        <w:rPr>
          <w:rFonts w:ascii="Times New Roman" w:hAnsi="Times New Roman"/>
          <w:sz w:val="24"/>
          <w:szCs w:val="24"/>
        </w:rPr>
      </w:pPr>
    </w:p>
    <w:p w14:paraId="0C0671EB"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6E4D0EC6" w14:textId="77777777" w:rsidR="005D4D24" w:rsidRPr="005D4D24" w:rsidRDefault="005D4D24" w:rsidP="005D4D24">
      <w:pPr>
        <w:pStyle w:val="NoSpacing"/>
        <w:ind w:left="720"/>
        <w:rPr>
          <w:rFonts w:ascii="Times New Roman" w:hAnsi="Times New Roman"/>
          <w:sz w:val="24"/>
          <w:szCs w:val="24"/>
        </w:rPr>
      </w:pPr>
    </w:p>
    <w:p w14:paraId="1D3CA9EF"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Meanwhile, in preparation for the February 2023 hearing [before Worker’s Comp. Administrative Law Judge] , neurologist Dr. Leo Kahn performed an independent medical examination of Franzmeier at the Respondents’ request. Dr. Kahn physically examined Franzmeier and reviewed the available records, including medical records.</w:t>
      </w:r>
    </w:p>
    <w:p w14:paraId="3B4FEDCC"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Dr. Kahn acknowledged Franzmeier’s underlying psychological condition but concluded that no objective evidence supported Franzmeier’s claim that he sustained a neurological injury from contracting COVID-19 in 2020.”</w:t>
      </w:r>
    </w:p>
    <w:p w14:paraId="046278E4" w14:textId="77777777" w:rsidR="005D4D24" w:rsidRPr="005D4D24" w:rsidRDefault="005D4D24" w:rsidP="005D4D24">
      <w:pPr>
        <w:pStyle w:val="NoSpacing"/>
        <w:ind w:left="720"/>
        <w:rPr>
          <w:rFonts w:ascii="Times New Roman" w:hAnsi="Times New Roman"/>
          <w:sz w:val="24"/>
          <w:szCs w:val="24"/>
        </w:rPr>
      </w:pPr>
    </w:p>
    <w:p w14:paraId="50C464C5"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FACTS:</w:t>
      </w:r>
    </w:p>
    <w:p w14:paraId="195ABE46" w14:textId="77777777" w:rsidR="005D4D24" w:rsidRPr="005D4D24" w:rsidRDefault="005D4D24" w:rsidP="005D4D24">
      <w:pPr>
        <w:pStyle w:val="NoSpacing"/>
        <w:rPr>
          <w:rFonts w:ascii="Times New Roman" w:hAnsi="Times New Roman"/>
          <w:sz w:val="24"/>
          <w:szCs w:val="24"/>
        </w:rPr>
      </w:pPr>
    </w:p>
    <w:p w14:paraId="49423BB3"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“For nearly two decades, Franzmeier worked as a paramedic and firefighter for the City of Tolleson (‘City’). On August 18, 2020, he flew home to Arizona after visiting family in Maryland. The next day, he returned to work for a 48-hour shift, working closely with others at the fire station. On August 21, a co-worker tested positive for COVID-19. Five days later, Franzmeier tested positive. For the next ten days, Franzmeier quarantined at home before returning to work without incident. He experienced mild symptoms but never sought medical attention.</w:t>
      </w:r>
    </w:p>
    <w:p w14:paraId="0CF92BAE" w14:textId="77777777" w:rsidR="005D4D24" w:rsidRPr="005D4D24" w:rsidRDefault="005D4D24" w:rsidP="005D4D24">
      <w:pPr>
        <w:pStyle w:val="NoSpacing"/>
        <w:ind w:left="720"/>
        <w:rPr>
          <w:rFonts w:ascii="Times New Roman" w:hAnsi="Times New Roman"/>
          <w:sz w:val="24"/>
          <w:szCs w:val="24"/>
        </w:rPr>
      </w:pPr>
    </w:p>
    <w:p w14:paraId="4E0D6A08"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73A99B1B" w14:textId="77777777" w:rsidR="005D4D24" w:rsidRPr="005D4D24" w:rsidRDefault="005D4D24" w:rsidP="005D4D24">
      <w:pPr>
        <w:pStyle w:val="NoSpacing"/>
        <w:rPr>
          <w:rFonts w:ascii="Times New Roman" w:hAnsi="Times New Roman"/>
          <w:sz w:val="24"/>
          <w:szCs w:val="24"/>
        </w:rPr>
      </w:pPr>
    </w:p>
    <w:p w14:paraId="4CB051B8"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 xml:space="preserve">More than a year later, while fighting a fire in November 2021, Franzmeier experienced a “sudden alteration in [his] mental status” that left him confused and disorientated, and caused him to hallucinate. He was taken off duty and evaluated by a psychiatrist, who diagnosed him with post-traumatic stress </w:t>
      </w:r>
      <w:proofErr w:type="gramStart"/>
      <w:r w:rsidRPr="005D4D24">
        <w:rPr>
          <w:rFonts w:ascii="Times New Roman" w:hAnsi="Times New Roman"/>
          <w:sz w:val="24"/>
          <w:szCs w:val="24"/>
        </w:rPr>
        <w:t>disorder (‘</w:t>
      </w:r>
      <w:proofErr w:type="gramEnd"/>
      <w:r w:rsidRPr="005D4D24">
        <w:rPr>
          <w:rFonts w:ascii="Times New Roman" w:hAnsi="Times New Roman"/>
          <w:sz w:val="24"/>
          <w:szCs w:val="24"/>
        </w:rPr>
        <w:t xml:space="preserve">PTSD’). Franzmeier believed his PTSD and other mental health symptoms resulted from ‘long COVID’ or </w:t>
      </w:r>
      <w:proofErr w:type="gramStart"/>
      <w:r w:rsidRPr="005D4D24">
        <w:rPr>
          <w:rFonts w:ascii="Times New Roman" w:hAnsi="Times New Roman"/>
          <w:sz w:val="24"/>
          <w:szCs w:val="24"/>
        </w:rPr>
        <w:t>a post-</w:t>
      </w:r>
      <w:proofErr w:type="gramEnd"/>
    </w:p>
    <w:p w14:paraId="233BE3E0"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COVID condition. He also believed he contracted the COVID-19 virus in August 2020 while at work and not during his earlier travels to and from Maryland.</w:t>
      </w:r>
    </w:p>
    <w:p w14:paraId="4BA1CEA8" w14:textId="77777777" w:rsidR="005D4D24" w:rsidRPr="005D4D24" w:rsidRDefault="005D4D24" w:rsidP="005D4D24">
      <w:pPr>
        <w:pStyle w:val="NoSpacing"/>
        <w:ind w:left="720"/>
        <w:rPr>
          <w:rFonts w:ascii="Times New Roman" w:hAnsi="Times New Roman"/>
          <w:sz w:val="24"/>
          <w:szCs w:val="24"/>
        </w:rPr>
      </w:pPr>
    </w:p>
    <w:p w14:paraId="1981EB69"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2830CF99" w14:textId="77777777" w:rsidR="005D4D24" w:rsidRPr="005D4D24" w:rsidRDefault="005D4D24" w:rsidP="005D4D24">
      <w:pPr>
        <w:pStyle w:val="NoSpacing"/>
        <w:ind w:left="720"/>
        <w:rPr>
          <w:rFonts w:ascii="Times New Roman" w:hAnsi="Times New Roman"/>
          <w:sz w:val="24"/>
          <w:szCs w:val="24"/>
        </w:rPr>
      </w:pPr>
    </w:p>
    <w:p w14:paraId="7398D9C0"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The week before the scheduled hearing (Nov. 2022), Franzmeier’s wife checked him into an inpatient care facility for PTSD. Consequently, the ICA hearing was postponed to February 2023.</w:t>
      </w:r>
    </w:p>
    <w:p w14:paraId="49E68B4B" w14:textId="77777777" w:rsidR="005D4D24" w:rsidRPr="005D4D24" w:rsidRDefault="005D4D24" w:rsidP="005D4D24">
      <w:pPr>
        <w:pStyle w:val="NoSpacing"/>
        <w:ind w:left="720"/>
        <w:rPr>
          <w:rFonts w:ascii="Times New Roman" w:hAnsi="Times New Roman"/>
          <w:sz w:val="24"/>
          <w:szCs w:val="24"/>
        </w:rPr>
      </w:pPr>
    </w:p>
    <w:p w14:paraId="2C7A8F7E"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74DFA70B"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 xml:space="preserve">Franzmeier represented himself and, outside of his own testimony, called no witnesses. When asked why he had not requested a medical expert to testify on his behalf, Franzmeier responded, ‘I believe that the -- </w:t>
      </w:r>
      <w:proofErr w:type="spellStart"/>
      <w:r w:rsidRPr="005D4D24">
        <w:rPr>
          <w:rFonts w:ascii="Times New Roman" w:hAnsi="Times New Roman"/>
          <w:sz w:val="24"/>
          <w:szCs w:val="24"/>
        </w:rPr>
        <w:t>the</w:t>
      </w:r>
      <w:proofErr w:type="spellEnd"/>
      <w:r w:rsidRPr="005D4D24">
        <w:rPr>
          <w:rFonts w:ascii="Times New Roman" w:hAnsi="Times New Roman"/>
          <w:sz w:val="24"/>
          <w:szCs w:val="24"/>
        </w:rPr>
        <w:t xml:space="preserve"> incident speaks for itself as -- </w:t>
      </w:r>
      <w:proofErr w:type="spellStart"/>
      <w:r w:rsidRPr="005D4D24">
        <w:rPr>
          <w:rFonts w:ascii="Times New Roman" w:hAnsi="Times New Roman"/>
          <w:sz w:val="24"/>
          <w:szCs w:val="24"/>
        </w:rPr>
        <w:t>as</w:t>
      </w:r>
      <w:proofErr w:type="spellEnd"/>
      <w:r w:rsidRPr="005D4D24">
        <w:rPr>
          <w:rFonts w:ascii="Times New Roman" w:hAnsi="Times New Roman"/>
          <w:sz w:val="24"/>
          <w:szCs w:val="24"/>
        </w:rPr>
        <w:t xml:space="preserve"> far as -- </w:t>
      </w:r>
      <w:proofErr w:type="spellStart"/>
      <w:r w:rsidRPr="005D4D24">
        <w:rPr>
          <w:rFonts w:ascii="Times New Roman" w:hAnsi="Times New Roman"/>
          <w:sz w:val="24"/>
          <w:szCs w:val="24"/>
        </w:rPr>
        <w:t>as</w:t>
      </w:r>
      <w:proofErr w:type="spellEnd"/>
      <w:r w:rsidRPr="005D4D24">
        <w:rPr>
          <w:rFonts w:ascii="Times New Roman" w:hAnsi="Times New Roman"/>
          <w:sz w:val="24"/>
          <w:szCs w:val="24"/>
        </w:rPr>
        <w:t xml:space="preserve"> mathematical possibilities.’ Franzmeier then testified that he believed he contracted the</w:t>
      </w:r>
    </w:p>
    <w:p w14:paraId="43183BC5"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virus in August 2020 while at work, not while traveling to or from Maryland. In describing the injury he suffered, he recounted his PTSD symptoms and other cognitive events experienced in November 2021 and the months that followed. The ALJ asked Franzmeier whether he was asserting a claim that COVID-19 caused his mental health issues. Franzmeier testified that he had undergone an MRI that suggested ‘the possibility of a COVID claim because of COVID exposures,’ and further stated that the flashback he experienced in November 2021 ‘could be an exacerbation of COVID.’ But when the ALJ pressed whether any doctor had opined that COVID-19 caused his PTSD symptoms, Franzmeier admitted that none had. Franzmeier concluded his testimony by asserting that during the relevant ‘14-day incubation period,’ he had worked and slept for 304 hours (out of the 336 total hours), which he claimed established only a 10% probability that he became infected outside of work.”</w:t>
      </w:r>
    </w:p>
    <w:p w14:paraId="13B9C844" w14:textId="77777777" w:rsidR="005D4D24" w:rsidRPr="005D4D24" w:rsidRDefault="005D4D24" w:rsidP="005D4D24">
      <w:pPr>
        <w:pStyle w:val="NoSpacing"/>
        <w:ind w:left="720"/>
        <w:rPr>
          <w:rFonts w:ascii="Times New Roman" w:hAnsi="Times New Roman"/>
          <w:sz w:val="24"/>
          <w:szCs w:val="24"/>
        </w:rPr>
      </w:pPr>
    </w:p>
    <w:p w14:paraId="5944880E" w14:textId="77777777" w:rsidR="005D4D24" w:rsidRPr="005D4D24" w:rsidRDefault="005D4D24" w:rsidP="005D4D24">
      <w:pPr>
        <w:pStyle w:val="NoSpacing"/>
        <w:rPr>
          <w:rFonts w:ascii="Times New Roman" w:hAnsi="Times New Roman"/>
          <w:b/>
          <w:bCs/>
          <w:sz w:val="24"/>
          <w:szCs w:val="24"/>
        </w:rPr>
      </w:pPr>
      <w:r w:rsidRPr="005D4D24">
        <w:rPr>
          <w:rFonts w:ascii="Times New Roman" w:hAnsi="Times New Roman"/>
          <w:b/>
          <w:bCs/>
          <w:sz w:val="24"/>
          <w:szCs w:val="24"/>
        </w:rPr>
        <w:t>Legal Lesson Learned: The firefighter never offered any expert testimony or other proof that his PTSD was caused by exposure to COVID-19.</w:t>
      </w:r>
    </w:p>
    <w:p w14:paraId="36133904" w14:textId="77777777" w:rsidR="006547A0" w:rsidRDefault="006547A0" w:rsidP="000C4DF5">
      <w:pPr>
        <w:pStyle w:val="NoSpacing"/>
        <w:rPr>
          <w:rFonts w:ascii="Arial Black" w:hAnsi="Arial Black"/>
          <w:sz w:val="24"/>
          <w:szCs w:val="24"/>
        </w:rPr>
      </w:pPr>
    </w:p>
    <w:p w14:paraId="7E2A7071" w14:textId="77777777" w:rsidR="006547A0" w:rsidRDefault="006547A0" w:rsidP="000C4DF5">
      <w:pPr>
        <w:pStyle w:val="NoSpacing"/>
        <w:rPr>
          <w:rFonts w:ascii="Arial Black" w:hAnsi="Arial Black"/>
          <w:sz w:val="24"/>
          <w:szCs w:val="24"/>
        </w:rPr>
      </w:pPr>
    </w:p>
    <w:p w14:paraId="592AA11A" w14:textId="77777777" w:rsidR="006547A0" w:rsidRDefault="006547A0" w:rsidP="000C4DF5">
      <w:pPr>
        <w:pStyle w:val="NoSpacing"/>
        <w:rPr>
          <w:rFonts w:ascii="Arial Black" w:hAnsi="Arial Black"/>
          <w:sz w:val="24"/>
          <w:szCs w:val="24"/>
        </w:rPr>
      </w:pPr>
    </w:p>
    <w:p w14:paraId="2EFC7D46" w14:textId="3D2896B6" w:rsidR="003F2037" w:rsidRDefault="003F2037" w:rsidP="000C4DF5">
      <w:pPr>
        <w:pStyle w:val="NoSpacing"/>
        <w:rPr>
          <w:rFonts w:ascii="Arial Black" w:hAnsi="Arial Black"/>
          <w:sz w:val="24"/>
          <w:szCs w:val="24"/>
        </w:rPr>
      </w:pPr>
      <w:r>
        <w:rPr>
          <w:rFonts w:ascii="Arial Black" w:hAnsi="Arial Black"/>
          <w:sz w:val="24"/>
          <w:szCs w:val="24"/>
        </w:rPr>
        <w:t>15-33</w:t>
      </w:r>
    </w:p>
    <w:p w14:paraId="6498C0D0" w14:textId="4B45EBAE" w:rsidR="003F2037" w:rsidRPr="004A2F1A" w:rsidRDefault="003F2037" w:rsidP="003F2037">
      <w:pPr>
        <w:rPr>
          <w:rFonts w:ascii="Arial Black" w:hAnsi="Arial Black"/>
          <w:b/>
          <w:bCs/>
          <w:sz w:val="28"/>
        </w:rPr>
      </w:pPr>
      <w:r>
        <w:rPr>
          <w:rFonts w:ascii="Arial Black" w:hAnsi="Arial Black"/>
          <w:b/>
          <w:bCs/>
          <w:sz w:val="28"/>
        </w:rPr>
        <w:t xml:space="preserve">IL: FEMALE FF / MEDIC – PTSD AFTER FATHER’S DEATH – NO “LINE-OF-DUTY” PENSION – RECEIVES NON-DUTY PENSION </w:t>
      </w:r>
    </w:p>
    <w:p w14:paraId="5329C80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 xml:space="preserve">On September 25, 2024, in </w:t>
      </w:r>
      <w:r w:rsidRPr="006547A0">
        <w:rPr>
          <w:rFonts w:ascii="Times New Roman" w:hAnsi="Times New Roman"/>
          <w:sz w:val="24"/>
          <w:szCs w:val="24"/>
          <w:u w:val="single"/>
        </w:rPr>
        <w:t>Cheryl Mayer v. The Board of Trustees of the Calumet City Firefighters Pension</w:t>
      </w:r>
      <w:r w:rsidRPr="006547A0">
        <w:rPr>
          <w:rFonts w:ascii="Times New Roman" w:hAnsi="Times New Roman"/>
          <w:sz w:val="24"/>
          <w:szCs w:val="24"/>
        </w:rPr>
        <w:t xml:space="preserve">, the Court of Appeals of Illinois, First District, Third Division, held (3 to 0) that the Board correctly denied her a “line-of-duty” pension based on findings of four independent medical evaluators, and the fact that prior to her father’s death in </w:t>
      </w:r>
      <w:proofErr w:type="gramStart"/>
      <w:r w:rsidRPr="006547A0">
        <w:rPr>
          <w:rFonts w:ascii="Times New Roman" w:hAnsi="Times New Roman"/>
          <w:sz w:val="24"/>
          <w:szCs w:val="24"/>
        </w:rPr>
        <w:t>April,</w:t>
      </w:r>
      <w:proofErr w:type="gramEnd"/>
      <w:r w:rsidRPr="006547A0">
        <w:rPr>
          <w:rFonts w:ascii="Times New Roman" w:hAnsi="Times New Roman"/>
          <w:sz w:val="24"/>
          <w:szCs w:val="24"/>
        </w:rPr>
        <w:t xml:space="preserve"> 2020, she could handle difficult EMS and other runs, including 2015 (active shooter scene), 2018 (suicide</w:t>
      </w:r>
    </w:p>
    <w:p w14:paraId="04EB6D91"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 xml:space="preserve">by hanging), and 2019 (suicide by self-inflicted gunshot wound).  The Court wrote: “Contrary to plaintiff’s contentions, the record reveals that the Board did not solely rely on the independent medical evaluators’ opinions as to the cause of her medical condition. The Board also relied on plaintiff’s own testimony, where she acknowledged that she did not abuse alcohol or suffer from depression or PTSD, until after her father’s death.” </w:t>
      </w:r>
      <w:hyperlink r:id="rId2523" w:history="1">
        <w:r w:rsidRPr="006547A0">
          <w:rPr>
            <w:rStyle w:val="Hyperlink"/>
            <w:rFonts w:ascii="Times New Roman" w:hAnsi="Times New Roman"/>
            <w:sz w:val="24"/>
            <w:szCs w:val="24"/>
          </w:rPr>
          <w:t>https://ilcourtsaudio.blob.core.windows.net/antilles-resources/resources/519d3cc5-abe9-4494-b624-73bca90ee228/Mayer%20v.%20%20Calumet%20Firefighters%20Pension%20Fund,%202024%20IL%20App%20(1st)%20232059-U.pdf</w:t>
        </w:r>
      </w:hyperlink>
      <w:r w:rsidRPr="006547A0">
        <w:rPr>
          <w:rFonts w:ascii="Times New Roman" w:hAnsi="Times New Roman"/>
          <w:sz w:val="24"/>
          <w:szCs w:val="24"/>
        </w:rPr>
        <w:t xml:space="preserve"> </w:t>
      </w:r>
    </w:p>
    <w:p w14:paraId="56D70FEB" w14:textId="77777777" w:rsidR="003F2037" w:rsidRPr="006547A0" w:rsidRDefault="003F2037" w:rsidP="003F2037">
      <w:pPr>
        <w:pStyle w:val="NoSpacing"/>
        <w:rPr>
          <w:rFonts w:ascii="Times New Roman" w:hAnsi="Times New Roman"/>
          <w:sz w:val="24"/>
          <w:szCs w:val="24"/>
        </w:rPr>
      </w:pPr>
    </w:p>
    <w:p w14:paraId="138A85B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THE COURT HELD:</w:t>
      </w:r>
    </w:p>
    <w:p w14:paraId="44385AB4" w14:textId="77777777" w:rsidR="003F2037" w:rsidRPr="006547A0" w:rsidRDefault="003F2037" w:rsidP="003F2037">
      <w:pPr>
        <w:pStyle w:val="NoSpacing"/>
        <w:rPr>
          <w:rFonts w:ascii="Times New Roman" w:hAnsi="Times New Roman"/>
          <w:sz w:val="24"/>
          <w:szCs w:val="24"/>
        </w:rPr>
      </w:pPr>
    </w:p>
    <w:p w14:paraId="40FC7F1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ab/>
        <w:t>“To be entitled to a line-of-duty disability pension, a claimant is required to establish a</w:t>
      </w:r>
    </w:p>
    <w:p w14:paraId="31A444B6"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causal connection between the claimant’s disability and an act of duty.</w:t>
      </w:r>
    </w:p>
    <w:p w14:paraId="05ECCC2B" w14:textId="77777777" w:rsidR="003F2037" w:rsidRPr="006547A0" w:rsidRDefault="003F2037" w:rsidP="003F2037">
      <w:pPr>
        <w:pStyle w:val="NoSpacing"/>
        <w:ind w:firstLine="720"/>
        <w:rPr>
          <w:rFonts w:ascii="Times New Roman" w:hAnsi="Times New Roman"/>
          <w:sz w:val="24"/>
          <w:szCs w:val="24"/>
        </w:rPr>
      </w:pPr>
    </w:p>
    <w:p w14:paraId="68613D20"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w:t>
      </w:r>
    </w:p>
    <w:p w14:paraId="7572D49B"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Here, the independent medical evaluators all agreed that plaintiff suffered from preexisting mental and emotional issues that contributed to her disability, namely, depression, anxiety disorder, and PTSD. The issue is whether plaintiff’s preexisting conditions were aggravated by her duties as a firefighter/paramedic, thereby establishing a causal connection between her disability and service as a firefighter/paramedic.</w:t>
      </w:r>
    </w:p>
    <w:p w14:paraId="5153324C" w14:textId="77777777" w:rsidR="003F2037" w:rsidRPr="006547A0" w:rsidRDefault="003F2037" w:rsidP="003F2037">
      <w:pPr>
        <w:pStyle w:val="NoSpacing"/>
        <w:ind w:left="720"/>
        <w:rPr>
          <w:rFonts w:ascii="Times New Roman" w:hAnsi="Times New Roman"/>
          <w:sz w:val="24"/>
          <w:szCs w:val="24"/>
        </w:rPr>
      </w:pPr>
    </w:p>
    <w:p w14:paraId="7FBD6E57"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213EEC8E" w14:textId="77777777" w:rsidR="003F2037" w:rsidRPr="006547A0" w:rsidRDefault="003F2037" w:rsidP="003F2037">
      <w:pPr>
        <w:pStyle w:val="NoSpacing"/>
        <w:rPr>
          <w:rFonts w:ascii="Times New Roman" w:hAnsi="Times New Roman"/>
          <w:sz w:val="24"/>
          <w:szCs w:val="24"/>
        </w:rPr>
      </w:pPr>
    </w:p>
    <w:p w14:paraId="0605BB43"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Contrary to plaintiff’s contentions, the record reveals that the Board did not solely rely on</w:t>
      </w:r>
    </w:p>
    <w:p w14:paraId="24EDAB3E"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the independent medical evaluators’ opinions as to the cause of her medical condition. The Board also relied on plaintiff’s own testimony, where she acknowledged that she did not abuse alcohol or suffer from depression or PTSD, until after her father’s death. The documentary evidence and testimony presented at the administrative hearing gave rise to a factual issue concerning whether plaintiff’s preexisting conditions were aggravated by her duties as a firefighter/paramedic.</w:t>
      </w:r>
    </w:p>
    <w:p w14:paraId="4CCF4250" w14:textId="77777777" w:rsidR="003F2037" w:rsidRPr="006547A0" w:rsidRDefault="003F2037" w:rsidP="003F2037">
      <w:pPr>
        <w:pStyle w:val="NoSpacing"/>
        <w:ind w:left="720"/>
        <w:rPr>
          <w:rFonts w:ascii="Times New Roman" w:hAnsi="Times New Roman"/>
          <w:sz w:val="24"/>
          <w:szCs w:val="24"/>
        </w:rPr>
      </w:pPr>
    </w:p>
    <w:p w14:paraId="462FDA4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34D54F6D"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The Board made a factual finding that plaintiff failed to meet her burden of establishing a</w:t>
      </w:r>
    </w:p>
    <w:p w14:paraId="7654D193"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causal connection between her preexisting conditions and her duties as a firefighter/paramedic. </w:t>
      </w:r>
      <w:proofErr w:type="gramStart"/>
      <w:r w:rsidRPr="006547A0">
        <w:rPr>
          <w:rFonts w:ascii="Times New Roman" w:hAnsi="Times New Roman"/>
          <w:sz w:val="24"/>
          <w:szCs w:val="24"/>
        </w:rPr>
        <w:t>In light of</w:t>
      </w:r>
      <w:proofErr w:type="gramEnd"/>
      <w:r w:rsidRPr="006547A0">
        <w:rPr>
          <w:rFonts w:ascii="Times New Roman" w:hAnsi="Times New Roman"/>
          <w:sz w:val="24"/>
          <w:szCs w:val="24"/>
        </w:rPr>
        <w:t xml:space="preserve"> the record before us, and the deference we must afford to a board’s credibility determinations and factual findings, we cannot say that the Board’s finding that plaintiff failed to meet her burden of proof was against the manifest weight of the evidence. We find that the Board’s </w:t>
      </w:r>
      <w:proofErr w:type="gramStart"/>
      <w:r w:rsidRPr="006547A0">
        <w:rPr>
          <w:rFonts w:ascii="Times New Roman" w:hAnsi="Times New Roman"/>
          <w:sz w:val="24"/>
          <w:szCs w:val="24"/>
        </w:rPr>
        <w:t>finding was</w:t>
      </w:r>
      <w:proofErr w:type="gramEnd"/>
      <w:r w:rsidRPr="006547A0">
        <w:rPr>
          <w:rFonts w:ascii="Times New Roman" w:hAnsi="Times New Roman"/>
          <w:sz w:val="24"/>
          <w:szCs w:val="24"/>
        </w:rPr>
        <w:t xml:space="preserve"> supported by competent </w:t>
      </w:r>
      <w:proofErr w:type="gramStart"/>
      <w:r w:rsidRPr="006547A0">
        <w:rPr>
          <w:rFonts w:ascii="Times New Roman" w:hAnsi="Times New Roman"/>
          <w:sz w:val="24"/>
          <w:szCs w:val="24"/>
        </w:rPr>
        <w:t>evidence.”</w:t>
      </w:r>
      <w:proofErr w:type="gramEnd"/>
    </w:p>
    <w:p w14:paraId="2EF8F176" w14:textId="77777777" w:rsidR="003F2037" w:rsidRPr="006547A0" w:rsidRDefault="003F2037" w:rsidP="003F2037">
      <w:pPr>
        <w:pStyle w:val="NoSpacing"/>
        <w:ind w:left="720"/>
        <w:rPr>
          <w:rFonts w:ascii="Times New Roman" w:hAnsi="Times New Roman"/>
          <w:sz w:val="24"/>
          <w:szCs w:val="24"/>
        </w:rPr>
      </w:pPr>
    </w:p>
    <w:p w14:paraId="1F53F57D"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FACTS:</w:t>
      </w:r>
    </w:p>
    <w:p w14:paraId="72FD8A08" w14:textId="77777777" w:rsidR="003F2037" w:rsidRPr="006547A0" w:rsidRDefault="003F2037" w:rsidP="003F2037">
      <w:pPr>
        <w:pStyle w:val="NoSpacing"/>
        <w:rPr>
          <w:rFonts w:ascii="Times New Roman" w:hAnsi="Times New Roman"/>
          <w:sz w:val="24"/>
          <w:szCs w:val="24"/>
        </w:rPr>
      </w:pPr>
    </w:p>
    <w:p w14:paraId="03A55C02"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“Plaintiff was 46 years old at the time of the hearing and the married mother of two sons,</w:t>
      </w:r>
    </w:p>
    <w:p w14:paraId="79C75904" w14:textId="77777777" w:rsidR="003F2037" w:rsidRPr="006547A0" w:rsidRDefault="003F2037" w:rsidP="003F2037">
      <w:pPr>
        <w:pStyle w:val="NoSpacing"/>
        <w:ind w:left="720"/>
        <w:rPr>
          <w:rFonts w:ascii="Times New Roman" w:hAnsi="Times New Roman"/>
          <w:sz w:val="24"/>
          <w:szCs w:val="24"/>
        </w:rPr>
      </w:pPr>
      <w:proofErr w:type="gramStart"/>
      <w:r w:rsidRPr="006547A0">
        <w:rPr>
          <w:rFonts w:ascii="Times New Roman" w:hAnsi="Times New Roman"/>
          <w:sz w:val="24"/>
          <w:szCs w:val="24"/>
        </w:rPr>
        <w:t>both over</w:t>
      </w:r>
      <w:proofErr w:type="gramEnd"/>
      <w:r w:rsidRPr="006547A0">
        <w:rPr>
          <w:rFonts w:ascii="Times New Roman" w:hAnsi="Times New Roman"/>
          <w:sz w:val="24"/>
          <w:szCs w:val="24"/>
        </w:rPr>
        <w:t xml:space="preserve"> twenty-one years of age. Plaintiff’s background included instances of domestic conflict between her mother and father; the murder of her older brother when she was nine years old; sexual molestation by a neighbor’s teenaged son when she was ten and eleven years old; and verbal and physical abuse by her mother, until she left home at eighteen. In 1998, plaintiff was successfully treated with Zoloft for post-partum depression after the birth of her second son.</w:t>
      </w:r>
    </w:p>
    <w:p w14:paraId="6FAEF9AB" w14:textId="77777777" w:rsidR="003F2037" w:rsidRPr="006547A0" w:rsidRDefault="003F2037" w:rsidP="003F2037">
      <w:pPr>
        <w:pStyle w:val="NoSpacing"/>
        <w:rPr>
          <w:rFonts w:ascii="Times New Roman" w:hAnsi="Times New Roman"/>
          <w:sz w:val="24"/>
          <w:szCs w:val="24"/>
        </w:rPr>
      </w:pPr>
    </w:p>
    <w:p w14:paraId="26AD01D8"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ab/>
        <w:t>***</w:t>
      </w:r>
    </w:p>
    <w:p w14:paraId="562C8486" w14:textId="77777777" w:rsidR="003F2037" w:rsidRPr="006547A0" w:rsidRDefault="003F2037" w:rsidP="003F2037">
      <w:pPr>
        <w:pStyle w:val="NoSpacing"/>
        <w:rPr>
          <w:rFonts w:ascii="Times New Roman" w:hAnsi="Times New Roman"/>
          <w:sz w:val="24"/>
          <w:szCs w:val="24"/>
        </w:rPr>
      </w:pPr>
    </w:p>
    <w:p w14:paraId="04E4E658"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Plaintiff joined the Calumet Fire Department as a firefighter/paramedic on March 1, 2009. Before she was hired, plaintiff underwent and passed physical and psychological examinations. She was neither diagnosed with nor receiving treatment for any psychiatric conditions.</w:t>
      </w:r>
    </w:p>
    <w:p w14:paraId="5C657364" w14:textId="77777777" w:rsidR="003F2037" w:rsidRPr="006547A0" w:rsidRDefault="003F2037" w:rsidP="003F2037">
      <w:pPr>
        <w:pStyle w:val="NoSpacing"/>
        <w:ind w:left="720"/>
        <w:rPr>
          <w:rFonts w:ascii="Times New Roman" w:hAnsi="Times New Roman"/>
          <w:sz w:val="24"/>
          <w:szCs w:val="24"/>
        </w:rPr>
      </w:pPr>
    </w:p>
    <w:p w14:paraId="3B08B0B9"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57708A8A" w14:textId="77777777" w:rsidR="003F2037" w:rsidRPr="006547A0" w:rsidRDefault="003F2037" w:rsidP="003F2037">
      <w:pPr>
        <w:pStyle w:val="NoSpacing"/>
        <w:rPr>
          <w:rFonts w:ascii="Times New Roman" w:hAnsi="Times New Roman"/>
          <w:sz w:val="24"/>
          <w:szCs w:val="24"/>
        </w:rPr>
      </w:pPr>
    </w:p>
    <w:p w14:paraId="137FA81A"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In July 2020, plaintiff began receiving psychological counseling from Dr. Katie Johnson,</w:t>
      </w:r>
    </w:p>
    <w:p w14:paraId="2360AA5D"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a licensed clinical professional counselor. On August 14, 2020, plaintiff reported to Johnson that she had suicidal ideations and had posted to Facebook that she put a firearm </w:t>
      </w:r>
      <w:proofErr w:type="gramStart"/>
      <w:r w:rsidRPr="006547A0">
        <w:rPr>
          <w:rFonts w:ascii="Times New Roman" w:hAnsi="Times New Roman"/>
          <w:sz w:val="24"/>
          <w:szCs w:val="24"/>
        </w:rPr>
        <w:t>to</w:t>
      </w:r>
      <w:proofErr w:type="gramEnd"/>
      <w:r w:rsidRPr="006547A0">
        <w:rPr>
          <w:rFonts w:ascii="Times New Roman" w:hAnsi="Times New Roman"/>
          <w:sz w:val="24"/>
          <w:szCs w:val="24"/>
        </w:rPr>
        <w:t xml:space="preserve"> her head and contemplated committing suicide. Plaintiff was eventually referred to Dr. Kelsey Oster, for a neuropsychological evaluation. She was admitted into a 28-day inpatient substance-abuse program at Advanced Recovery Systems in Orlando, Florida. Plaintiff testified that the program helped her stop drinking. After her discharge from the program, plaintiff continued working full duty without restrictions. At the time of the hearing, plaintiff was still seeing Dr. Johnson ‘every week to two weeks.’</w:t>
      </w:r>
    </w:p>
    <w:p w14:paraId="4E747F1C" w14:textId="77777777" w:rsidR="003F2037" w:rsidRPr="006547A0" w:rsidRDefault="003F2037" w:rsidP="003F2037">
      <w:pPr>
        <w:pStyle w:val="NoSpacing"/>
        <w:ind w:left="720"/>
        <w:rPr>
          <w:rFonts w:ascii="Times New Roman" w:hAnsi="Times New Roman"/>
          <w:sz w:val="24"/>
          <w:szCs w:val="24"/>
        </w:rPr>
      </w:pPr>
    </w:p>
    <w:p w14:paraId="663D406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56DC39C2" w14:textId="77777777" w:rsidR="003F2037" w:rsidRPr="006547A0" w:rsidRDefault="003F2037" w:rsidP="003F2037">
      <w:pPr>
        <w:pStyle w:val="NoSpacing"/>
        <w:rPr>
          <w:rFonts w:ascii="Times New Roman" w:hAnsi="Times New Roman"/>
          <w:sz w:val="24"/>
          <w:szCs w:val="24"/>
        </w:rPr>
      </w:pPr>
    </w:p>
    <w:p w14:paraId="59A0A3DD"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On February 12, 2021, plaintiff responded to a call involving a man in full cardiac arrest.</w:t>
      </w:r>
    </w:p>
    <w:p w14:paraId="02BB2DB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As plaintiff was attempting resuscitation efforts, a female family member, who did not have a ‘do-not-resuscitate’ order or a power of attorney, started yelling not to touch him. When plaintiff’s supervisor instructed emergency personnel to honor the woman’s wishes, plaintiff became upset and asked why they were not following the pandemic protocols. Plaintiff left the house and began complaining and swearing to a nearby police officer. Plaintiff returned to the station, but did not finish her shift, claiming she was sick and needed to go home. That was the last day plaintiff worked in a full and unrestricted capacity as a firefighter/paramedic for the Calumet Fire Department.”</w:t>
      </w:r>
    </w:p>
    <w:p w14:paraId="61D512C1" w14:textId="77777777" w:rsidR="003F2037" w:rsidRPr="006547A0" w:rsidRDefault="003F2037" w:rsidP="003F2037">
      <w:pPr>
        <w:pStyle w:val="NoSpacing"/>
        <w:ind w:left="720"/>
        <w:rPr>
          <w:rFonts w:ascii="Times New Roman" w:hAnsi="Times New Roman"/>
          <w:sz w:val="24"/>
          <w:szCs w:val="24"/>
        </w:rPr>
      </w:pPr>
    </w:p>
    <w:p w14:paraId="463D5114" w14:textId="77777777" w:rsidR="003F2037" w:rsidRPr="006547A0" w:rsidRDefault="003F2037" w:rsidP="003F2037">
      <w:pPr>
        <w:pStyle w:val="NoSpacing"/>
        <w:rPr>
          <w:rFonts w:ascii="Times New Roman" w:hAnsi="Times New Roman"/>
          <w:b/>
          <w:bCs/>
          <w:sz w:val="24"/>
          <w:szCs w:val="24"/>
        </w:rPr>
      </w:pPr>
      <w:r w:rsidRPr="006547A0">
        <w:rPr>
          <w:rFonts w:ascii="Times New Roman" w:hAnsi="Times New Roman"/>
          <w:b/>
          <w:bCs/>
          <w:sz w:val="24"/>
          <w:szCs w:val="24"/>
        </w:rPr>
        <w:t xml:space="preserve">Legal Lesson Learned: The Board’s independent medical experts found that she could perform her duties as firefighter / medic, despite her anxiety and depression, until death of her father.   </w:t>
      </w:r>
    </w:p>
    <w:p w14:paraId="395C4A60" w14:textId="77777777" w:rsidR="003F2037" w:rsidRPr="006547A0" w:rsidRDefault="003F2037" w:rsidP="003F2037">
      <w:pPr>
        <w:pStyle w:val="NoSpacing"/>
        <w:rPr>
          <w:rFonts w:ascii="Times New Roman" w:hAnsi="Times New Roman"/>
          <w:sz w:val="24"/>
          <w:szCs w:val="24"/>
        </w:rPr>
      </w:pPr>
    </w:p>
    <w:p w14:paraId="249E241C"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Note:  Dr. </w:t>
      </w:r>
      <w:proofErr w:type="spellStart"/>
      <w:r w:rsidRPr="006547A0">
        <w:rPr>
          <w:rFonts w:ascii="Times New Roman" w:hAnsi="Times New Roman"/>
          <w:sz w:val="24"/>
          <w:szCs w:val="24"/>
        </w:rPr>
        <w:t>Ganellen</w:t>
      </w:r>
      <w:proofErr w:type="spellEnd"/>
      <w:r w:rsidRPr="006547A0">
        <w:rPr>
          <w:rFonts w:ascii="Times New Roman" w:hAnsi="Times New Roman"/>
          <w:sz w:val="24"/>
          <w:szCs w:val="24"/>
        </w:rPr>
        <w:t xml:space="preserve"> noted that plaintiff’s medical records revealed she was being treated for anxiety and depression as early as 2018, but that these conditions “markedly” worsened after the death of her father in April 2020.</w:t>
      </w:r>
    </w:p>
    <w:p w14:paraId="61DC1AD7" w14:textId="77777777" w:rsidR="003F2037" w:rsidRPr="006547A0" w:rsidRDefault="003F2037" w:rsidP="003F2037">
      <w:pPr>
        <w:pStyle w:val="NoSpacing"/>
        <w:ind w:left="720"/>
        <w:rPr>
          <w:rFonts w:ascii="Times New Roman" w:hAnsi="Times New Roman"/>
          <w:sz w:val="24"/>
          <w:szCs w:val="24"/>
        </w:rPr>
      </w:pPr>
    </w:p>
    <w:p w14:paraId="53FE8DAF"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678E5BC5" w14:textId="77777777" w:rsidR="003F2037" w:rsidRPr="006547A0" w:rsidRDefault="003F2037" w:rsidP="003F2037">
      <w:pPr>
        <w:pStyle w:val="NoSpacing"/>
        <w:rPr>
          <w:rFonts w:ascii="Times New Roman" w:hAnsi="Times New Roman"/>
          <w:sz w:val="24"/>
          <w:szCs w:val="24"/>
        </w:rPr>
      </w:pPr>
    </w:p>
    <w:p w14:paraId="5B6395AB"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Dr. Conroe noted that plaintiff exhibited symptoms of anxiety and depression prior to her father’s death, but that ‘they were moderate and did not interfere with her functioning at work.’ According to the doctor, the death of plaintiff’s father ‘lessened her stress tolerance and affected her ability to respond appropriately to similar subsequent emergencies.’ Dr. Conroe determined that work events ‘were not the cause of [plaintiff’s] disability, but rather her father’s death and the surrounding circumstances fueled her emotional reactions to these demanding situations.’”</w:t>
      </w:r>
    </w:p>
    <w:p w14:paraId="4D44D47E" w14:textId="77777777" w:rsidR="003F2037" w:rsidRDefault="003F2037" w:rsidP="000C4DF5">
      <w:pPr>
        <w:pStyle w:val="NoSpacing"/>
        <w:rPr>
          <w:rFonts w:ascii="Arial Black" w:hAnsi="Arial Black"/>
          <w:sz w:val="24"/>
          <w:szCs w:val="24"/>
        </w:rPr>
      </w:pPr>
    </w:p>
    <w:p w14:paraId="7725BE34" w14:textId="77777777" w:rsidR="003F2037" w:rsidRDefault="003F2037" w:rsidP="000C4DF5">
      <w:pPr>
        <w:pStyle w:val="NoSpacing"/>
        <w:rPr>
          <w:rFonts w:ascii="Arial Black" w:hAnsi="Arial Black"/>
          <w:sz w:val="24"/>
          <w:szCs w:val="24"/>
        </w:rPr>
      </w:pPr>
    </w:p>
    <w:p w14:paraId="329FE35D" w14:textId="77777777" w:rsidR="003F2037" w:rsidRDefault="003F2037" w:rsidP="000C4DF5">
      <w:pPr>
        <w:pStyle w:val="NoSpacing"/>
        <w:rPr>
          <w:rFonts w:ascii="Arial Black" w:hAnsi="Arial Black"/>
          <w:sz w:val="24"/>
          <w:szCs w:val="24"/>
        </w:rPr>
      </w:pPr>
    </w:p>
    <w:p w14:paraId="425F8798" w14:textId="7DFECA32" w:rsidR="00AB3777" w:rsidRDefault="00AB3777" w:rsidP="000C4DF5">
      <w:pPr>
        <w:pStyle w:val="NoSpacing"/>
        <w:rPr>
          <w:rFonts w:ascii="Arial Black" w:hAnsi="Arial Black"/>
          <w:sz w:val="24"/>
          <w:szCs w:val="24"/>
        </w:rPr>
      </w:pPr>
      <w:r>
        <w:rPr>
          <w:rFonts w:ascii="Arial Black" w:hAnsi="Arial Black"/>
          <w:sz w:val="24"/>
          <w:szCs w:val="24"/>
        </w:rPr>
        <w:t>15-32</w:t>
      </w:r>
    </w:p>
    <w:p w14:paraId="1B018D5B" w14:textId="77777777" w:rsidR="00AB3777" w:rsidRDefault="00AB3777" w:rsidP="000C4DF5">
      <w:pPr>
        <w:pStyle w:val="NoSpacing"/>
        <w:rPr>
          <w:rFonts w:ascii="Arial Black" w:hAnsi="Arial Black"/>
          <w:sz w:val="24"/>
          <w:szCs w:val="24"/>
        </w:rPr>
      </w:pPr>
    </w:p>
    <w:p w14:paraId="5676A8E1" w14:textId="78952469" w:rsidR="009622FF" w:rsidRPr="003066C5" w:rsidRDefault="009622FF" w:rsidP="009622FF">
      <w:pPr>
        <w:rPr>
          <w:rFonts w:ascii="Arial Black" w:hAnsi="Arial Black"/>
          <w:b/>
          <w:bCs/>
          <w:sz w:val="28"/>
          <w:szCs w:val="28"/>
        </w:rPr>
      </w:pPr>
      <w:r>
        <w:rPr>
          <w:rFonts w:ascii="Arial Black" w:hAnsi="Arial Black"/>
          <w:b/>
          <w:bCs/>
          <w:sz w:val="28"/>
          <w:szCs w:val="28"/>
        </w:rPr>
        <w:t>ME: DROWNING / PSYCH - FF SHOUTED: “GONNA KICK HIS ASS IF HE GETS OUT OF THAT WATER” – CASE DISMISSED</w:t>
      </w:r>
    </w:p>
    <w:p w14:paraId="2139B35B" w14:textId="77777777" w:rsidR="009622FF" w:rsidRDefault="009622FF" w:rsidP="009622FF">
      <w:pPr>
        <w:jc w:val="both"/>
        <w:rPr>
          <w:rFonts w:ascii="Times New Roman" w:hAnsi="Times New Roman"/>
          <w:sz w:val="24"/>
          <w:szCs w:val="24"/>
        </w:rPr>
      </w:pPr>
      <w:r>
        <w:rPr>
          <w:rFonts w:ascii="Times New Roman" w:hAnsi="Times New Roman"/>
          <w:sz w:val="24"/>
          <w:szCs w:val="24"/>
        </w:rPr>
        <w:t xml:space="preserve">On Aug. 1, 2024, in </w:t>
      </w:r>
      <w:r w:rsidRPr="002D27CC">
        <w:rPr>
          <w:rFonts w:ascii="Times New Roman" w:hAnsi="Times New Roman"/>
          <w:sz w:val="24"/>
          <w:szCs w:val="24"/>
          <w:u w:val="single"/>
        </w:rPr>
        <w:t>John Cohen v. City of Portland, et al.</w:t>
      </w:r>
      <w:r>
        <w:rPr>
          <w:rFonts w:ascii="Times New Roman" w:hAnsi="Times New Roman"/>
          <w:sz w:val="24"/>
          <w:szCs w:val="24"/>
        </w:rPr>
        <w:t>, the U.S. Court of Appeals for 1</w:t>
      </w:r>
      <w:r w:rsidRPr="002D27CC">
        <w:rPr>
          <w:rFonts w:ascii="Times New Roman" w:hAnsi="Times New Roman"/>
          <w:sz w:val="24"/>
          <w:szCs w:val="24"/>
          <w:vertAlign w:val="superscript"/>
        </w:rPr>
        <w:t>st</w:t>
      </w:r>
      <w:r>
        <w:rPr>
          <w:rFonts w:ascii="Times New Roman" w:hAnsi="Times New Roman"/>
          <w:sz w:val="24"/>
          <w:szCs w:val="24"/>
        </w:rPr>
        <w:t xml:space="preserve"> Circuit (Boston), held (3 to 0) that Federal District Court judge properly granted summary judgment to City, police officers and the firefighter who made the “kick ass” comments.  </w:t>
      </w:r>
      <w:proofErr w:type="spellStart"/>
      <w:r>
        <w:rPr>
          <w:rFonts w:ascii="Times New Roman" w:hAnsi="Times New Roman"/>
          <w:sz w:val="24"/>
          <w:szCs w:val="24"/>
        </w:rPr>
        <w:t>Regardling</w:t>
      </w:r>
      <w:proofErr w:type="spellEnd"/>
      <w:r>
        <w:rPr>
          <w:rFonts w:ascii="Times New Roman" w:hAnsi="Times New Roman"/>
          <w:sz w:val="24"/>
          <w:szCs w:val="24"/>
        </w:rPr>
        <w:t xml:space="preserve"> the claim against the firefighter, on appeal “</w:t>
      </w:r>
      <w:r w:rsidRPr="00A85C9C">
        <w:rPr>
          <w:rFonts w:ascii="Times New Roman" w:hAnsi="Times New Roman"/>
          <w:sz w:val="24"/>
          <w:szCs w:val="24"/>
        </w:rPr>
        <w:t xml:space="preserve">the estate simply asserts that Cohen was in shallow water, and therefore </w:t>
      </w:r>
      <w:r>
        <w:rPr>
          <w:rFonts w:ascii="Times New Roman" w:hAnsi="Times New Roman"/>
          <w:sz w:val="24"/>
          <w:szCs w:val="24"/>
        </w:rPr>
        <w:t>‘</w:t>
      </w:r>
      <w:r w:rsidRPr="00A85C9C">
        <w:rPr>
          <w:rFonts w:ascii="Times New Roman" w:hAnsi="Times New Roman"/>
          <w:sz w:val="24"/>
          <w:szCs w:val="24"/>
        </w:rPr>
        <w:t>may have been able to come out of the water</w:t>
      </w:r>
      <w:r>
        <w:rPr>
          <w:rFonts w:ascii="Times New Roman" w:hAnsi="Times New Roman"/>
          <w:sz w:val="24"/>
          <w:szCs w:val="24"/>
        </w:rPr>
        <w:t>’</w:t>
      </w:r>
      <w:r w:rsidRPr="00A85C9C">
        <w:rPr>
          <w:rFonts w:ascii="Times New Roman" w:hAnsi="Times New Roman"/>
          <w:sz w:val="24"/>
          <w:szCs w:val="24"/>
        </w:rPr>
        <w:t xml:space="preserve"> absent </w:t>
      </w:r>
      <w:r>
        <w:rPr>
          <w:rFonts w:ascii="Times New Roman" w:hAnsi="Times New Roman"/>
          <w:sz w:val="24"/>
          <w:szCs w:val="24"/>
        </w:rPr>
        <w:t xml:space="preserve">[firefighter Ronald] </w:t>
      </w:r>
      <w:r w:rsidRPr="00A85C9C">
        <w:rPr>
          <w:rFonts w:ascii="Times New Roman" w:hAnsi="Times New Roman"/>
          <w:sz w:val="24"/>
          <w:szCs w:val="24"/>
        </w:rPr>
        <w:t xml:space="preserve">Giroux's threat. Even if we assume that Cohen could have come out of the water in defiance of Giroux's bellowed threat, this assumption </w:t>
      </w:r>
      <w:proofErr w:type="gramStart"/>
      <w:r w:rsidRPr="00A85C9C">
        <w:rPr>
          <w:rFonts w:ascii="Times New Roman" w:hAnsi="Times New Roman"/>
          <w:sz w:val="24"/>
          <w:szCs w:val="24"/>
        </w:rPr>
        <w:t>would</w:t>
      </w:r>
      <w:proofErr w:type="gramEnd"/>
      <w:r w:rsidRPr="00A85C9C">
        <w:rPr>
          <w:rFonts w:ascii="Times New Roman" w:hAnsi="Times New Roman"/>
          <w:sz w:val="24"/>
          <w:szCs w:val="24"/>
        </w:rPr>
        <w:t xml:space="preserve"> not justify finding that (1) he would have done so, (2) he would have done so before the rescue boat arrived, or (3) doing so would have prevented his eventual death.</w:t>
      </w:r>
      <w:r>
        <w:rPr>
          <w:rFonts w:ascii="Times New Roman" w:hAnsi="Times New Roman"/>
          <w:sz w:val="24"/>
          <w:szCs w:val="24"/>
        </w:rPr>
        <w:t xml:space="preserve">” </w:t>
      </w:r>
      <w:hyperlink r:id="rId2524" w:history="1">
        <w:r w:rsidRPr="005A083B">
          <w:rPr>
            <w:rStyle w:val="Hyperlink"/>
            <w:rFonts w:ascii="Times New Roman" w:hAnsi="Times New Roman"/>
            <w:sz w:val="24"/>
            <w:szCs w:val="24"/>
          </w:rPr>
          <w:t>https://caselaw.findlaw.com/court/us-1st-circuit/116442772.html</w:t>
        </w:r>
      </w:hyperlink>
      <w:r>
        <w:rPr>
          <w:rFonts w:ascii="Times New Roman" w:hAnsi="Times New Roman"/>
          <w:sz w:val="24"/>
          <w:szCs w:val="24"/>
        </w:rPr>
        <w:t xml:space="preserve"> </w:t>
      </w:r>
    </w:p>
    <w:p w14:paraId="3DA267F3" w14:textId="77777777" w:rsidR="009622FF" w:rsidRDefault="009622FF" w:rsidP="009622FF">
      <w:pPr>
        <w:rPr>
          <w:rFonts w:ascii="Times New Roman" w:hAnsi="Times New Roman"/>
          <w:sz w:val="24"/>
          <w:szCs w:val="24"/>
        </w:rPr>
      </w:pPr>
      <w:r>
        <w:rPr>
          <w:rFonts w:ascii="Times New Roman" w:hAnsi="Times New Roman"/>
          <w:sz w:val="24"/>
          <w:szCs w:val="24"/>
        </w:rPr>
        <w:t>THE COURT HELD:</w:t>
      </w:r>
    </w:p>
    <w:p w14:paraId="1A7AB078" w14:textId="77777777" w:rsidR="009622FF" w:rsidRPr="0039533E" w:rsidRDefault="009622FF" w:rsidP="009622FF">
      <w:pPr>
        <w:ind w:left="720"/>
        <w:rPr>
          <w:rFonts w:ascii="Times New Roman" w:hAnsi="Times New Roman"/>
          <w:sz w:val="24"/>
          <w:szCs w:val="24"/>
        </w:rPr>
      </w:pPr>
      <w:r w:rsidRPr="0039533E">
        <w:rPr>
          <w:rFonts w:ascii="Times New Roman" w:hAnsi="Times New Roman"/>
          <w:sz w:val="24"/>
          <w:szCs w:val="24"/>
        </w:rPr>
        <w:t xml:space="preserve">“We first consider the state-created danger claim against Giroux. Giroux arrived at the Back Cove at 1:42 p.m. Cohen had already been in the water for around twenty minutes. Giroux did not know that Cohen was </w:t>
      </w:r>
      <w:proofErr w:type="gramStart"/>
      <w:r w:rsidRPr="0039533E">
        <w:rPr>
          <w:rFonts w:ascii="Times New Roman" w:hAnsi="Times New Roman"/>
          <w:sz w:val="24"/>
          <w:szCs w:val="24"/>
        </w:rPr>
        <w:t>in the midst of</w:t>
      </w:r>
      <w:proofErr w:type="gramEnd"/>
      <w:r w:rsidRPr="0039533E">
        <w:rPr>
          <w:rFonts w:ascii="Times New Roman" w:hAnsi="Times New Roman"/>
          <w:sz w:val="24"/>
          <w:szCs w:val="24"/>
        </w:rPr>
        <w:t xml:space="preserve"> a psychotic episode. He knew only that Cohen had assaulted his girlfriend before fleeing into the water. At 1:43 p.m., Giroux called out: “Tell him we're </w:t>
      </w:r>
      <w:proofErr w:type="spellStart"/>
      <w:r w:rsidRPr="0039533E">
        <w:rPr>
          <w:rFonts w:ascii="Times New Roman" w:hAnsi="Times New Roman"/>
          <w:sz w:val="24"/>
          <w:szCs w:val="24"/>
        </w:rPr>
        <w:t>gonna</w:t>
      </w:r>
      <w:proofErr w:type="spellEnd"/>
      <w:r w:rsidRPr="0039533E">
        <w:rPr>
          <w:rFonts w:ascii="Times New Roman" w:hAnsi="Times New Roman"/>
          <w:sz w:val="24"/>
          <w:szCs w:val="24"/>
        </w:rPr>
        <w:t xml:space="preserve"> kick his ass if he gets out of that water.” Giroux's only other involvement at the scene was to hand</w:t>
      </w:r>
      <w:r>
        <w:rPr>
          <w:rFonts w:ascii="Times New Roman" w:hAnsi="Times New Roman"/>
          <w:sz w:val="24"/>
          <w:szCs w:val="24"/>
        </w:rPr>
        <w:t xml:space="preserve"> [Police Sergeant Michael]</w:t>
      </w:r>
      <w:r w:rsidRPr="0039533E">
        <w:rPr>
          <w:rFonts w:ascii="Times New Roman" w:hAnsi="Times New Roman"/>
          <w:sz w:val="24"/>
          <w:szCs w:val="24"/>
        </w:rPr>
        <w:t xml:space="preserve"> Rand a life jacket for </w:t>
      </w:r>
      <w:r>
        <w:rPr>
          <w:rFonts w:ascii="Times New Roman" w:hAnsi="Times New Roman"/>
          <w:sz w:val="24"/>
          <w:szCs w:val="24"/>
        </w:rPr>
        <w:t xml:space="preserve">[police officer Blake] </w:t>
      </w:r>
      <w:r w:rsidRPr="0039533E">
        <w:rPr>
          <w:rFonts w:ascii="Times New Roman" w:hAnsi="Times New Roman"/>
          <w:sz w:val="24"/>
          <w:szCs w:val="24"/>
        </w:rPr>
        <w:t>Cunningham</w:t>
      </w:r>
      <w:r>
        <w:rPr>
          <w:rFonts w:ascii="Times New Roman" w:hAnsi="Times New Roman"/>
          <w:sz w:val="24"/>
          <w:szCs w:val="24"/>
        </w:rPr>
        <w:t xml:space="preserve"> [a former U.S. Coast Guard rescue swimmer]</w:t>
      </w:r>
      <w:r w:rsidRPr="00A1474A">
        <w:rPr>
          <w:rFonts w:ascii="Times New Roman" w:hAnsi="Times New Roman"/>
          <w:sz w:val="24"/>
          <w:szCs w:val="24"/>
        </w:rPr>
        <w:t>.</w:t>
      </w:r>
    </w:p>
    <w:p w14:paraId="6FD0A13D" w14:textId="77777777" w:rsidR="009622FF" w:rsidRDefault="009622FF" w:rsidP="009622FF">
      <w:pPr>
        <w:ind w:left="720"/>
        <w:rPr>
          <w:rFonts w:ascii="Times New Roman" w:hAnsi="Times New Roman"/>
          <w:sz w:val="24"/>
          <w:szCs w:val="24"/>
        </w:rPr>
      </w:pPr>
      <w:r>
        <w:rPr>
          <w:rFonts w:ascii="Times New Roman" w:hAnsi="Times New Roman"/>
          <w:sz w:val="24"/>
          <w:szCs w:val="24"/>
        </w:rPr>
        <w:t>***</w:t>
      </w:r>
    </w:p>
    <w:p w14:paraId="31C6A376" w14:textId="77777777" w:rsidR="009622FF" w:rsidRPr="0039533E" w:rsidRDefault="009622FF" w:rsidP="009622FF">
      <w:pPr>
        <w:ind w:left="720"/>
        <w:rPr>
          <w:rFonts w:ascii="Times New Roman" w:hAnsi="Times New Roman"/>
          <w:sz w:val="24"/>
          <w:szCs w:val="24"/>
        </w:rPr>
      </w:pPr>
      <w:r w:rsidRPr="0039533E">
        <w:rPr>
          <w:rFonts w:ascii="Times New Roman" w:hAnsi="Times New Roman"/>
          <w:sz w:val="24"/>
          <w:szCs w:val="24"/>
        </w:rPr>
        <w:t>Here, the district court found that no reasonable jury could conclude that Giroux's threat factually or legally caused Cohen's death. See Cohen ex rel. Est. of Cohen v. City of Portland, No. 2:21-CV-00267-NT, 2023 WL 8187213, at *10 (D. Me. Nov. 27, 2023). Specifically, the court found that a jury could only find causation via a series of increasingly speculative inferences:</w:t>
      </w:r>
    </w:p>
    <w:p w14:paraId="2C79BAEA" w14:textId="77777777" w:rsidR="009622FF" w:rsidRDefault="009622FF" w:rsidP="009622FF">
      <w:pPr>
        <w:ind w:left="1440"/>
        <w:rPr>
          <w:rFonts w:ascii="Times New Roman" w:hAnsi="Times New Roman"/>
          <w:sz w:val="24"/>
          <w:szCs w:val="24"/>
        </w:rPr>
      </w:pPr>
      <w:r w:rsidRPr="0039533E">
        <w:rPr>
          <w:rFonts w:ascii="Times New Roman" w:hAnsi="Times New Roman"/>
          <w:sz w:val="24"/>
          <w:szCs w:val="24"/>
        </w:rPr>
        <w:t>[The jury] would have to find that Cohen could have made the deliberate choice to come to shore while in a state of alleged psychosis, would have been able to get himself to shore after having been in the cold water for twenty minutes already, could have done so faster than the rescue boat ultimately did, and would not have died of hypothermia or drowning if he had started for the shore at the time the comment was made.</w:t>
      </w:r>
      <w:r>
        <w:rPr>
          <w:rFonts w:ascii="Times New Roman" w:hAnsi="Times New Roman"/>
          <w:sz w:val="24"/>
          <w:szCs w:val="24"/>
        </w:rPr>
        <w:t>”</w:t>
      </w:r>
    </w:p>
    <w:p w14:paraId="0A43522F" w14:textId="77777777" w:rsidR="00713EF6" w:rsidRDefault="00713EF6" w:rsidP="00713EF6">
      <w:pPr>
        <w:rPr>
          <w:rFonts w:ascii="Times New Roman" w:hAnsi="Times New Roman"/>
          <w:b/>
          <w:bCs/>
          <w:sz w:val="24"/>
          <w:szCs w:val="24"/>
        </w:rPr>
      </w:pPr>
      <w:r w:rsidRPr="00CB3ACA">
        <w:rPr>
          <w:rFonts w:ascii="Times New Roman" w:hAnsi="Times New Roman"/>
          <w:b/>
          <w:bCs/>
          <w:sz w:val="24"/>
          <w:szCs w:val="24"/>
        </w:rPr>
        <w:t>Legal Lesson Learned: No liability</w:t>
      </w:r>
      <w:r>
        <w:rPr>
          <w:rFonts w:ascii="Times New Roman" w:hAnsi="Times New Roman"/>
          <w:b/>
          <w:bCs/>
          <w:sz w:val="24"/>
          <w:szCs w:val="24"/>
        </w:rPr>
        <w:t xml:space="preserve"> </w:t>
      </w:r>
      <w:r w:rsidRPr="00CB3ACA">
        <w:rPr>
          <w:rFonts w:ascii="Times New Roman" w:hAnsi="Times New Roman"/>
          <w:b/>
          <w:bCs/>
          <w:sz w:val="24"/>
          <w:szCs w:val="24"/>
        </w:rPr>
        <w:t>but avoid making threatening remarks at an emergency scene</w:t>
      </w:r>
      <w:r>
        <w:rPr>
          <w:rFonts w:ascii="Times New Roman" w:hAnsi="Times New Roman"/>
          <w:b/>
          <w:bCs/>
          <w:sz w:val="24"/>
          <w:szCs w:val="24"/>
        </w:rPr>
        <w:t xml:space="preserve">; particularly dealing with psycho patient. </w:t>
      </w:r>
      <w:r w:rsidRPr="00CB3ACA">
        <w:rPr>
          <w:rFonts w:ascii="Times New Roman" w:hAnsi="Times New Roman"/>
          <w:b/>
          <w:bCs/>
          <w:sz w:val="24"/>
          <w:szCs w:val="24"/>
        </w:rPr>
        <w:t xml:space="preserve"> </w:t>
      </w:r>
    </w:p>
    <w:p w14:paraId="53B49057" w14:textId="77777777" w:rsidR="00713EF6" w:rsidRDefault="00713EF6" w:rsidP="00713EF6">
      <w:pPr>
        <w:rPr>
          <w:rFonts w:ascii="Times New Roman" w:hAnsi="Times New Roman"/>
          <w:sz w:val="24"/>
          <w:szCs w:val="24"/>
        </w:rPr>
      </w:pPr>
      <w:r>
        <w:rPr>
          <w:rFonts w:ascii="Times New Roman" w:hAnsi="Times New Roman"/>
          <w:b/>
          <w:bCs/>
          <w:sz w:val="24"/>
          <w:szCs w:val="24"/>
        </w:rPr>
        <w:tab/>
      </w:r>
      <w:r w:rsidRPr="000B0B4D">
        <w:rPr>
          <w:rFonts w:ascii="Times New Roman" w:hAnsi="Times New Roman"/>
          <w:sz w:val="24"/>
          <w:szCs w:val="24"/>
        </w:rPr>
        <w:t xml:space="preserve">Note: Court remarked about </w:t>
      </w:r>
      <w:r>
        <w:rPr>
          <w:rFonts w:ascii="Times New Roman" w:hAnsi="Times New Roman"/>
          <w:sz w:val="24"/>
          <w:szCs w:val="24"/>
        </w:rPr>
        <w:t xml:space="preserve">Police Department’s rescue efforts </w:t>
      </w:r>
      <w:r w:rsidRPr="000B0B4D">
        <w:rPr>
          <w:rFonts w:ascii="Times New Roman" w:hAnsi="Times New Roman"/>
          <w:sz w:val="24"/>
          <w:szCs w:val="24"/>
        </w:rPr>
        <w:t xml:space="preserve">at the scene. </w:t>
      </w:r>
    </w:p>
    <w:p w14:paraId="51124D72" w14:textId="77777777" w:rsidR="00713EF6" w:rsidRPr="00A155F3" w:rsidRDefault="00713EF6" w:rsidP="00713EF6">
      <w:pPr>
        <w:ind w:left="1440"/>
        <w:rPr>
          <w:rFonts w:ascii="Times New Roman" w:hAnsi="Times New Roman"/>
          <w:sz w:val="24"/>
          <w:szCs w:val="24"/>
        </w:rPr>
      </w:pPr>
      <w:r>
        <w:rPr>
          <w:rFonts w:ascii="Times New Roman" w:hAnsi="Times New Roman"/>
          <w:sz w:val="24"/>
          <w:szCs w:val="24"/>
        </w:rPr>
        <w:t>“’</w:t>
      </w:r>
      <w:r w:rsidRPr="00F57035">
        <w:rPr>
          <w:rFonts w:ascii="Times New Roman" w:hAnsi="Times New Roman"/>
          <w:sz w:val="24"/>
          <w:szCs w:val="24"/>
        </w:rPr>
        <w:t>Protect and serve</w:t>
      </w:r>
      <w:r>
        <w:rPr>
          <w:rFonts w:ascii="Times New Roman" w:hAnsi="Times New Roman"/>
          <w:sz w:val="24"/>
          <w:szCs w:val="24"/>
        </w:rPr>
        <w:t>’</w:t>
      </w:r>
      <w:r w:rsidRPr="00F57035">
        <w:rPr>
          <w:rFonts w:ascii="Times New Roman" w:hAnsi="Times New Roman"/>
          <w:sz w:val="24"/>
          <w:szCs w:val="24"/>
        </w:rPr>
        <w:t xml:space="preserve"> is the motto of the Portland Police Department. Even acknowledging the challenge posed by Cohen's behavior, the efforts of the responding officers likely fell short of the aspirations behind that motto. </w:t>
      </w:r>
      <w:proofErr w:type="gramStart"/>
      <w:r w:rsidRPr="00F57035">
        <w:rPr>
          <w:rFonts w:ascii="Times New Roman" w:hAnsi="Times New Roman"/>
          <w:sz w:val="24"/>
          <w:szCs w:val="24"/>
        </w:rPr>
        <w:t>That being said, this</w:t>
      </w:r>
      <w:proofErr w:type="gramEnd"/>
      <w:r w:rsidRPr="00F57035">
        <w:rPr>
          <w:rFonts w:ascii="Times New Roman" w:hAnsi="Times New Roman"/>
          <w:sz w:val="24"/>
          <w:szCs w:val="24"/>
        </w:rPr>
        <w:t xml:space="preserve"> appeal turns on whether any defendant violated Cohen's constitutional rights. And for the foregoing reasons, the answer is clearly no. The district court's dismissal and summary judgment orders are therefore affirmed.</w:t>
      </w:r>
      <w:r>
        <w:rPr>
          <w:rFonts w:ascii="Times New Roman" w:hAnsi="Times New Roman"/>
          <w:sz w:val="24"/>
          <w:szCs w:val="24"/>
        </w:rPr>
        <w:t>”</w:t>
      </w:r>
    </w:p>
    <w:p w14:paraId="6B25D127" w14:textId="77777777" w:rsidR="00AB3777" w:rsidRDefault="00AB3777" w:rsidP="000C4DF5">
      <w:pPr>
        <w:pStyle w:val="NoSpacing"/>
        <w:rPr>
          <w:rFonts w:ascii="Arial Black" w:hAnsi="Arial Black"/>
          <w:sz w:val="24"/>
          <w:szCs w:val="24"/>
        </w:rPr>
      </w:pPr>
    </w:p>
    <w:p w14:paraId="1C0B9EB6" w14:textId="77777777" w:rsidR="00AB3777" w:rsidRDefault="00AB3777" w:rsidP="000C4DF5">
      <w:pPr>
        <w:pStyle w:val="NoSpacing"/>
        <w:rPr>
          <w:rFonts w:ascii="Arial Black" w:hAnsi="Arial Black"/>
          <w:sz w:val="24"/>
          <w:szCs w:val="24"/>
        </w:rPr>
      </w:pPr>
    </w:p>
    <w:p w14:paraId="38BA5786" w14:textId="65E1A1DE" w:rsidR="00C825BD" w:rsidRDefault="00C825BD" w:rsidP="000C4DF5">
      <w:pPr>
        <w:pStyle w:val="NoSpacing"/>
        <w:rPr>
          <w:rFonts w:ascii="Arial Black" w:hAnsi="Arial Black"/>
          <w:sz w:val="24"/>
          <w:szCs w:val="24"/>
        </w:rPr>
      </w:pPr>
      <w:r>
        <w:rPr>
          <w:rFonts w:ascii="Arial Black" w:hAnsi="Arial Black"/>
          <w:sz w:val="24"/>
          <w:szCs w:val="24"/>
        </w:rPr>
        <w:t>15-31</w:t>
      </w:r>
    </w:p>
    <w:p w14:paraId="1D93AEC6" w14:textId="77777777" w:rsidR="00AE4AE1" w:rsidRPr="009B0477" w:rsidRDefault="00AE4AE1" w:rsidP="00AE4AE1">
      <w:pPr>
        <w:pStyle w:val="NormalWeb"/>
        <w:rPr>
          <w:rFonts w:ascii="Arial Black" w:hAnsi="Arial Black"/>
          <w:sz w:val="28"/>
          <w:szCs w:val="28"/>
        </w:rPr>
      </w:pPr>
      <w:r>
        <w:rPr>
          <w:rFonts w:ascii="Arial Black" w:hAnsi="Arial Black"/>
          <w:sz w:val="28"/>
          <w:szCs w:val="28"/>
        </w:rPr>
        <w:t>WA: FF WITH PTSD IN 2010 – NO INJURY / NO WORKERS COMP – LAW CHANGED 2018 BUT LAW NOT RETROACTIVE</w:t>
      </w:r>
    </w:p>
    <w:p w14:paraId="45A4AEBB" w14:textId="77777777" w:rsidR="00AE4AE1" w:rsidRPr="00AE4AE1" w:rsidRDefault="00AE4AE1" w:rsidP="00AE4AE1">
      <w:pPr>
        <w:pStyle w:val="NormalWeb"/>
      </w:pPr>
      <w:r w:rsidRPr="00AE4AE1">
        <w:t xml:space="preserve">On May 2, 2024, in </w:t>
      </w:r>
      <w:r w:rsidRPr="00AE4AE1">
        <w:rPr>
          <w:u w:val="single"/>
        </w:rPr>
        <w:t>Frank Shaw v. Kittitas Valley Fire and Rescue, et al.</w:t>
      </w:r>
      <w:r w:rsidRPr="00AE4AE1">
        <w:t xml:space="preserve">, the Court of Appeals of Washington, Division 3, held (3 to 1; unpublished opinion), that the firefighter paramedic (1989 – 2007) was not entitled to workers’ compensation since he suffered no physical injury. On June 7, 2018, the laws in Washington changed, to allow for occupational disease claims resulting from PTSD for certain firefighters, in an amendment to the Industrial Insurance Act, Title 51 RCW. </w:t>
      </w:r>
      <w:r w:rsidRPr="00AE4AE1">
        <w:rPr>
          <w:rStyle w:val="Emphasis"/>
          <w:rFonts w:eastAsiaTheme="majorEastAsia"/>
        </w:rPr>
        <w:t>See</w:t>
      </w:r>
      <w:r w:rsidRPr="00AE4AE1">
        <w:t xml:space="preserve"> former RCW 51.08.142 (2018); Laws of 2018, ch. 264. The Court held:</w:t>
      </w:r>
    </w:p>
    <w:p w14:paraId="0D6D8B56" w14:textId="59D01CBD" w:rsidR="00C825BD" w:rsidRDefault="00AE4AE1" w:rsidP="00AE4AE1">
      <w:pPr>
        <w:pStyle w:val="NoSpacing"/>
        <w:ind w:left="720"/>
        <w:rPr>
          <w:rStyle w:val="Hyperlink"/>
          <w:rFonts w:ascii="Times New Roman" w:hAnsi="Times New Roman"/>
          <w:sz w:val="24"/>
          <w:szCs w:val="24"/>
        </w:rPr>
      </w:pPr>
      <w:r w:rsidRPr="00AE4AE1">
        <w:rPr>
          <w:rFonts w:ascii="Times New Roman" w:hAnsi="Times New Roman"/>
          <w:sz w:val="24"/>
          <w:szCs w:val="24"/>
        </w:rPr>
        <w:t xml:space="preserve">“Looking first to the retroactivity test, the legislature did not adopt any language explicitly providing for retroactivity. Mr. Shaw argues that the legislature's choice of various adjectives and verbs </w:t>
      </w:r>
      <w:proofErr w:type="gramStart"/>
      <w:r w:rsidRPr="00AE4AE1">
        <w:rPr>
          <w:rFonts w:ascii="Times New Roman" w:hAnsi="Times New Roman"/>
          <w:sz w:val="24"/>
          <w:szCs w:val="24"/>
        </w:rPr>
        <w:t>reveal</w:t>
      </w:r>
      <w:proofErr w:type="gramEnd"/>
      <w:r w:rsidRPr="00AE4AE1">
        <w:rPr>
          <w:rFonts w:ascii="Times New Roman" w:hAnsi="Times New Roman"/>
          <w:sz w:val="24"/>
          <w:szCs w:val="24"/>
        </w:rPr>
        <w:t xml:space="preserve"> retroactive intent. We reject this reasoning. An explicit choice as to retroactivity is not one that turns on analyzing subtle textual clues. The legislature </w:t>
      </w:r>
      <w:proofErr w:type="gramStart"/>
      <w:r w:rsidRPr="00AE4AE1">
        <w:rPr>
          <w:rFonts w:ascii="Times New Roman" w:hAnsi="Times New Roman"/>
          <w:sz w:val="24"/>
          <w:szCs w:val="24"/>
        </w:rPr>
        <w:t>is well aware that</w:t>
      </w:r>
      <w:proofErr w:type="gramEnd"/>
      <w:r w:rsidRPr="00AE4AE1">
        <w:rPr>
          <w:rFonts w:ascii="Times New Roman" w:hAnsi="Times New Roman"/>
          <w:sz w:val="24"/>
          <w:szCs w:val="24"/>
        </w:rPr>
        <w:t xml:space="preserve"> it must make an explicit declaration if it intends a statute to have retroactive effect. It is accustomed to passing statutes with clear and explicit statements as to retroactivity. </w:t>
      </w:r>
      <w:r w:rsidRPr="00AE4AE1">
        <w:rPr>
          <w:rStyle w:val="Emphasis"/>
          <w:rFonts w:ascii="Times New Roman" w:eastAsiaTheme="majorEastAsia" w:hAnsi="Times New Roman"/>
          <w:sz w:val="24"/>
          <w:szCs w:val="24"/>
        </w:rPr>
        <w:t>See, e.g.</w:t>
      </w:r>
      <w:r w:rsidRPr="00AE4AE1">
        <w:rPr>
          <w:rFonts w:ascii="Times New Roman" w:hAnsi="Times New Roman"/>
          <w:sz w:val="24"/>
          <w:szCs w:val="24"/>
        </w:rPr>
        <w:t xml:space="preserve">, RCW 51.32.187(5)(c); RCW 67.16.300; Laws of 2023, ch. 171 § 13; Laws of 2019, ch. 159 § 6; Laws of 2007, ch. 317, § 3. But no explicit statement was made here. Mr. Shaw's arguments to the contrary </w:t>
      </w:r>
      <w:proofErr w:type="gramStart"/>
      <w:r w:rsidRPr="00AE4AE1">
        <w:rPr>
          <w:rFonts w:ascii="Times New Roman" w:hAnsi="Times New Roman"/>
          <w:sz w:val="24"/>
          <w:szCs w:val="24"/>
        </w:rPr>
        <w:t>fail</w:t>
      </w:r>
      <w:proofErr w:type="gramEnd"/>
      <w:r w:rsidRPr="00AE4AE1">
        <w:rPr>
          <w:rFonts w:ascii="Times New Roman" w:hAnsi="Times New Roman"/>
          <w:sz w:val="24"/>
          <w:szCs w:val="24"/>
        </w:rPr>
        <w:t xml:space="preserve">.” </w:t>
      </w:r>
      <w:hyperlink r:id="rId2525" w:history="1">
        <w:r w:rsidRPr="00AE4AE1">
          <w:rPr>
            <w:rStyle w:val="Hyperlink"/>
            <w:rFonts w:ascii="Times New Roman" w:hAnsi="Times New Roman"/>
            <w:sz w:val="24"/>
            <w:szCs w:val="24"/>
          </w:rPr>
          <w:t>https://casetext.com/case/shaw-v-kittitas-valley-fire-rescue</w:t>
        </w:r>
      </w:hyperlink>
    </w:p>
    <w:p w14:paraId="2BAA0A7A" w14:textId="77777777" w:rsidR="000E1441" w:rsidRDefault="000E1441" w:rsidP="00AE4AE1">
      <w:pPr>
        <w:pStyle w:val="NoSpacing"/>
        <w:ind w:left="720"/>
        <w:rPr>
          <w:rStyle w:val="Hyperlink"/>
          <w:rFonts w:ascii="Times New Roman" w:hAnsi="Times New Roman"/>
          <w:sz w:val="24"/>
          <w:szCs w:val="24"/>
        </w:rPr>
      </w:pPr>
    </w:p>
    <w:p w14:paraId="518329DF" w14:textId="77777777" w:rsidR="000E1441" w:rsidRDefault="000E1441" w:rsidP="000E1441">
      <w:pPr>
        <w:pStyle w:val="NormalWeb"/>
        <w:rPr>
          <w:b/>
          <w:bCs/>
        </w:rPr>
      </w:pPr>
      <w:r w:rsidRPr="00551B71">
        <w:rPr>
          <w:b/>
          <w:bCs/>
        </w:rPr>
        <w:t>Legal Lesson Learned:</w:t>
      </w:r>
      <w:r>
        <w:rPr>
          <w:b/>
          <w:bCs/>
        </w:rPr>
        <w:t xml:space="preserve"> PTSD statute was not retroactive. </w:t>
      </w:r>
    </w:p>
    <w:p w14:paraId="2FEA4281" w14:textId="77777777" w:rsidR="000E1441" w:rsidRDefault="000E1441" w:rsidP="000E1441">
      <w:pPr>
        <w:pStyle w:val="NormalWeb"/>
        <w:ind w:left="720"/>
      </w:pPr>
      <w:r w:rsidRPr="00145389">
        <w:t>Note: See this law f</w:t>
      </w:r>
      <w:r>
        <w:t>i</w:t>
      </w:r>
      <w:r w:rsidRPr="00145389">
        <w:t xml:space="preserve">rm review of new WA law. </w:t>
      </w:r>
      <w:hyperlink r:id="rId2526" w:history="1">
        <w:r w:rsidRPr="00145389">
          <w:rPr>
            <w:rStyle w:val="Hyperlink"/>
          </w:rPr>
          <w:t>https://www.firstresponderptsdclaims.com/faq/</w:t>
        </w:r>
      </w:hyperlink>
      <w:r w:rsidRPr="00145389">
        <w:t xml:space="preserve"> </w:t>
      </w:r>
    </w:p>
    <w:p w14:paraId="49061752" w14:textId="77777777" w:rsidR="000E1441" w:rsidRDefault="000E1441" w:rsidP="000E1441">
      <w:pPr>
        <w:pStyle w:val="NormalWeb"/>
        <w:ind w:left="720"/>
      </w:pPr>
      <w:r>
        <w:t>“Eligible ‘</w:t>
      </w:r>
      <w:proofErr w:type="gramStart"/>
      <w:r>
        <w:t>firefighters’</w:t>
      </w:r>
      <w:proofErr w:type="gramEnd"/>
      <w:r>
        <w:t xml:space="preserve"> must meet at least one of the definitions set forth in </w:t>
      </w:r>
      <w:hyperlink r:id="rId2527" w:tgtFrame="_blank" w:history="1">
        <w:r>
          <w:rPr>
            <w:rStyle w:val="Hyperlink"/>
            <w:rFonts w:eastAsiaTheme="majorEastAsia"/>
          </w:rPr>
          <w:t>RCW 41.26.030(17)(a)(b)(c) and (h)</w:t>
        </w:r>
      </w:hyperlink>
      <w:r>
        <w:t>, which include:</w:t>
      </w:r>
    </w:p>
    <w:p w14:paraId="09B97112"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Any person who is serving on a full time, fully compensated basis as a member of a fire department of an employer and who is serving in a position which requires passing a civil service examination for firefighter, and who is actively employed as such;</w:t>
      </w:r>
    </w:p>
    <w:p w14:paraId="2A336F92"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 xml:space="preserve">Anyone who is actively employed as a </w:t>
      </w:r>
      <w:proofErr w:type="gramStart"/>
      <w:r w:rsidRPr="00A8246F">
        <w:rPr>
          <w:rFonts w:ascii="Times New Roman" w:hAnsi="Times New Roman"/>
          <w:sz w:val="24"/>
          <w:szCs w:val="24"/>
        </w:rPr>
        <w:t>full time</w:t>
      </w:r>
      <w:proofErr w:type="gramEnd"/>
      <w:r w:rsidRPr="00A8246F">
        <w:rPr>
          <w:rFonts w:ascii="Times New Roman" w:hAnsi="Times New Roman"/>
          <w:sz w:val="24"/>
          <w:szCs w:val="24"/>
        </w:rPr>
        <w:t xml:space="preserve"> firefighter where the fire department does not have a civil service examination;</w:t>
      </w:r>
    </w:p>
    <w:p w14:paraId="124BF814"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Supervisory firefighter personnel; and,</w:t>
      </w:r>
    </w:p>
    <w:p w14:paraId="0778C80C"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 xml:space="preserve">Any person who is employed on a full-time, fully compensated basis by an employer as an emergency medical technician that meets the requirements of </w:t>
      </w:r>
      <w:hyperlink r:id="rId2528" w:tgtFrame="_blank" w:history="1">
        <w:r w:rsidRPr="00A8246F">
          <w:rPr>
            <w:rStyle w:val="Hyperlink"/>
            <w:rFonts w:ascii="Times New Roman" w:hAnsi="Times New Roman"/>
            <w:sz w:val="24"/>
            <w:szCs w:val="24"/>
          </w:rPr>
          <w:t>RCW 18.71.200</w:t>
        </w:r>
      </w:hyperlink>
      <w:r w:rsidRPr="00A8246F">
        <w:rPr>
          <w:rFonts w:ascii="Times New Roman" w:hAnsi="Times New Roman"/>
          <w:sz w:val="24"/>
          <w:szCs w:val="24"/>
        </w:rPr>
        <w:t> or </w:t>
      </w:r>
      <w:hyperlink r:id="rId2529" w:tgtFrame="_blank" w:history="1">
        <w:r w:rsidRPr="00A8246F">
          <w:rPr>
            <w:rStyle w:val="Hyperlink"/>
            <w:rFonts w:ascii="Times New Roman" w:hAnsi="Times New Roman"/>
            <w:sz w:val="24"/>
            <w:szCs w:val="24"/>
          </w:rPr>
          <w:t>18.73.030(12)</w:t>
        </w:r>
      </w:hyperlink>
      <w:r w:rsidRPr="00A8246F">
        <w:rPr>
          <w:rFonts w:ascii="Times New Roman" w:hAnsi="Times New Roman"/>
          <w:sz w:val="24"/>
          <w:szCs w:val="24"/>
        </w:rPr>
        <w:t xml:space="preserve">, and whose duties include providing emergency medical services as defined in </w:t>
      </w:r>
      <w:hyperlink r:id="rId2530" w:tgtFrame="_blank" w:history="1">
        <w:r w:rsidRPr="00A8246F">
          <w:rPr>
            <w:rStyle w:val="Hyperlink"/>
            <w:rFonts w:ascii="Times New Roman" w:hAnsi="Times New Roman"/>
            <w:sz w:val="24"/>
            <w:szCs w:val="24"/>
          </w:rPr>
          <w:t>RCW 18.73.030</w:t>
        </w:r>
      </w:hyperlink>
      <w:r w:rsidRPr="00A8246F">
        <w:rPr>
          <w:rFonts w:ascii="Times New Roman" w:hAnsi="Times New Roman"/>
          <w:sz w:val="24"/>
          <w:szCs w:val="24"/>
        </w:rPr>
        <w:t>.</w:t>
      </w:r>
    </w:p>
    <w:p w14:paraId="3F9F315A" w14:textId="77777777" w:rsidR="000E1441" w:rsidRPr="00145389" w:rsidRDefault="000E1441" w:rsidP="000E1441">
      <w:pPr>
        <w:spacing w:before="100" w:beforeAutospacing="1" w:after="100" w:afterAutospacing="1" w:line="240" w:lineRule="auto"/>
        <w:ind w:left="720"/>
      </w:pPr>
      <w:r>
        <w:t>***</w:t>
      </w:r>
    </w:p>
    <w:p w14:paraId="59351DFD" w14:textId="77777777" w:rsidR="000E1441" w:rsidRPr="00551B71" w:rsidRDefault="000E1441" w:rsidP="000E1441">
      <w:pPr>
        <w:pStyle w:val="NormalWeb"/>
        <w:ind w:left="720"/>
        <w:rPr>
          <w:b/>
          <w:bCs/>
        </w:rPr>
      </w:pPr>
      <w:r>
        <w:t>Washington State is taking steps to help our firefighters, paramedics, and police officers suffering from PTSD due to their inherently stressful jobs. More work remains to be done as the new law does not apply to volunteer firefighters, reserve police officers or other professional first responders depending upon their membership in certain state retirement plans.”</w:t>
      </w:r>
    </w:p>
    <w:p w14:paraId="5B1BB888" w14:textId="77777777" w:rsidR="000E1441" w:rsidRPr="00AE4AE1" w:rsidRDefault="000E1441" w:rsidP="00AE4AE1">
      <w:pPr>
        <w:pStyle w:val="NoSpacing"/>
        <w:ind w:left="720"/>
        <w:rPr>
          <w:rFonts w:ascii="Times New Roman" w:hAnsi="Times New Roman"/>
          <w:sz w:val="24"/>
          <w:szCs w:val="24"/>
        </w:rPr>
      </w:pPr>
    </w:p>
    <w:p w14:paraId="6067544E" w14:textId="77777777" w:rsidR="00C825BD" w:rsidRDefault="00C825BD" w:rsidP="000C4DF5">
      <w:pPr>
        <w:pStyle w:val="NoSpacing"/>
        <w:rPr>
          <w:rFonts w:ascii="Arial Black" w:hAnsi="Arial Black"/>
          <w:sz w:val="24"/>
          <w:szCs w:val="24"/>
        </w:rPr>
      </w:pPr>
    </w:p>
    <w:p w14:paraId="21EAC371" w14:textId="5FBC932F" w:rsidR="00725A91" w:rsidRDefault="00725A91" w:rsidP="000C4DF5">
      <w:pPr>
        <w:pStyle w:val="NoSpacing"/>
        <w:rPr>
          <w:rFonts w:ascii="Arial Black" w:hAnsi="Arial Black"/>
          <w:sz w:val="24"/>
          <w:szCs w:val="24"/>
        </w:rPr>
      </w:pPr>
      <w:r>
        <w:rPr>
          <w:rFonts w:ascii="Arial Black" w:hAnsi="Arial Black"/>
          <w:sz w:val="24"/>
          <w:szCs w:val="24"/>
        </w:rPr>
        <w:t>15-30</w:t>
      </w:r>
    </w:p>
    <w:p w14:paraId="43EFE65C" w14:textId="77777777" w:rsidR="00725A91" w:rsidRDefault="00725A91" w:rsidP="00725A91">
      <w:pPr>
        <w:pStyle w:val="NormalWeb"/>
        <w:rPr>
          <w:rFonts w:ascii="Arial Black" w:hAnsi="Arial Black"/>
          <w:sz w:val="28"/>
          <w:szCs w:val="28"/>
        </w:rPr>
      </w:pPr>
      <w:r>
        <w:rPr>
          <w:rFonts w:ascii="Arial Black" w:hAnsi="Arial Black"/>
          <w:sz w:val="28"/>
          <w:szCs w:val="28"/>
        </w:rPr>
        <w:t>AR: PTSD – CAREER FF DISABILITY RETIREMENT – BUT STILL VOL. FF – NOT ELIGIBLE DUTY- RELATED DISABILITY</w:t>
      </w:r>
    </w:p>
    <w:p w14:paraId="656533CE" w14:textId="77777777" w:rsidR="00725A91" w:rsidRDefault="00725A91" w:rsidP="00725A91">
      <w:pPr>
        <w:pStyle w:val="NoSpacing"/>
        <w:rPr>
          <w:rFonts w:ascii="Times New Roman" w:hAnsi="Times New Roman"/>
          <w:sz w:val="24"/>
          <w:szCs w:val="24"/>
        </w:rPr>
      </w:pPr>
      <w:r w:rsidRPr="006C40B3">
        <w:rPr>
          <w:rFonts w:ascii="Times New Roman" w:hAnsi="Times New Roman"/>
          <w:sz w:val="24"/>
          <w:szCs w:val="24"/>
        </w:rPr>
        <w:t xml:space="preserve">On April 24, 2024, in </w:t>
      </w:r>
      <w:r w:rsidRPr="006C40B3">
        <w:rPr>
          <w:rFonts w:ascii="Times New Roman" w:hAnsi="Times New Roman"/>
          <w:sz w:val="24"/>
          <w:szCs w:val="24"/>
          <w:u w:val="single"/>
        </w:rPr>
        <w:t xml:space="preserve">Gregory Mills v. Arkansas Local Police </w:t>
      </w:r>
      <w:proofErr w:type="gramStart"/>
      <w:r w:rsidRPr="006C40B3">
        <w:rPr>
          <w:rFonts w:ascii="Times New Roman" w:hAnsi="Times New Roman"/>
          <w:sz w:val="24"/>
          <w:szCs w:val="24"/>
          <w:u w:val="single"/>
        </w:rPr>
        <w:t>And</w:t>
      </w:r>
      <w:proofErr w:type="gramEnd"/>
      <w:r w:rsidRPr="006C40B3">
        <w:rPr>
          <w:rFonts w:ascii="Times New Roman" w:hAnsi="Times New Roman"/>
          <w:sz w:val="24"/>
          <w:szCs w:val="24"/>
          <w:u w:val="single"/>
        </w:rPr>
        <w:t xml:space="preserve"> Fire Retirement System</w:t>
      </w:r>
      <w:r w:rsidRPr="006C40B3">
        <w:rPr>
          <w:rFonts w:ascii="Times New Roman" w:hAnsi="Times New Roman"/>
          <w:sz w:val="24"/>
          <w:szCs w:val="24"/>
        </w:rPr>
        <w:t xml:space="preserve">, the Arkansas Court of Appeals held (3 to 0) the retirement Board decision was supported by substantial evidence. </w:t>
      </w:r>
      <w:r>
        <w:rPr>
          <w:rFonts w:ascii="Times New Roman" w:hAnsi="Times New Roman"/>
          <w:sz w:val="24"/>
          <w:szCs w:val="24"/>
        </w:rPr>
        <w:t xml:space="preserve"> Oct. 2019 FD placed him on medical leave when informed by his doctor needed to avoid trauma events; terminated April 4, </w:t>
      </w:r>
      <w:proofErr w:type="gramStart"/>
      <w:r>
        <w:rPr>
          <w:rFonts w:ascii="Times New Roman" w:hAnsi="Times New Roman"/>
          <w:sz w:val="24"/>
          <w:szCs w:val="24"/>
        </w:rPr>
        <w:t>2020</w:t>
      </w:r>
      <w:proofErr w:type="gramEnd"/>
      <w:r>
        <w:rPr>
          <w:rFonts w:ascii="Times New Roman" w:hAnsi="Times New Roman"/>
          <w:sz w:val="24"/>
          <w:szCs w:val="24"/>
        </w:rPr>
        <w:t xml:space="preserve"> when he was </w:t>
      </w:r>
      <w:proofErr w:type="gramStart"/>
      <w:r>
        <w:rPr>
          <w:rFonts w:ascii="Times New Roman" w:hAnsi="Times New Roman"/>
          <w:sz w:val="24"/>
          <w:szCs w:val="24"/>
        </w:rPr>
        <w:t>approved</w:t>
      </w:r>
      <w:proofErr w:type="gramEnd"/>
      <w:r>
        <w:rPr>
          <w:rFonts w:ascii="Times New Roman" w:hAnsi="Times New Roman"/>
          <w:sz w:val="24"/>
          <w:szCs w:val="24"/>
        </w:rPr>
        <w:t xml:space="preserve"> long-term disability.  Retirement board rejected his claim for duty-related disability retirement benefits since he is still running as a volunteer at another FD; trial court agreed.   State statute:  </w:t>
      </w:r>
    </w:p>
    <w:p w14:paraId="7681649D" w14:textId="77777777" w:rsidR="00725A91" w:rsidRDefault="00725A91" w:rsidP="00725A91">
      <w:pPr>
        <w:pStyle w:val="NoSpacing"/>
        <w:rPr>
          <w:rFonts w:ascii="Times New Roman" w:hAnsi="Times New Roman"/>
          <w:sz w:val="24"/>
          <w:szCs w:val="24"/>
        </w:rPr>
      </w:pPr>
    </w:p>
    <w:p w14:paraId="5CFDC1C3" w14:textId="77777777" w:rsidR="00725A91" w:rsidRPr="00ED333B" w:rsidRDefault="00725A91" w:rsidP="00725A91">
      <w:pPr>
        <w:pStyle w:val="NoSpacing"/>
        <w:ind w:firstLine="720"/>
        <w:rPr>
          <w:rFonts w:ascii="Times New Roman" w:hAnsi="Times New Roman"/>
          <w:sz w:val="24"/>
          <w:szCs w:val="24"/>
        </w:rPr>
      </w:pPr>
      <w:r>
        <w:rPr>
          <w:rFonts w:ascii="Times New Roman" w:hAnsi="Times New Roman"/>
          <w:sz w:val="24"/>
          <w:szCs w:val="24"/>
        </w:rPr>
        <w:t>“</w:t>
      </w:r>
      <w:r w:rsidRPr="00ED333B">
        <w:rPr>
          <w:rFonts w:ascii="Times New Roman" w:hAnsi="Times New Roman"/>
          <w:sz w:val="24"/>
          <w:szCs w:val="24"/>
        </w:rPr>
        <w:t>Any active member who while an active member becomes totally and</w:t>
      </w:r>
    </w:p>
    <w:p w14:paraId="0DFF30E2" w14:textId="77777777" w:rsidR="00725A91" w:rsidRPr="00ED33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permanently physically or mentally incapacitated for any suitable duty as an employee</w:t>
      </w:r>
    </w:p>
    <w:p w14:paraId="1202F5D1" w14:textId="77777777" w:rsidR="00725A91" w:rsidRPr="00ED33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as the result of a personal injury or disease that the board finds to have arisen out of</w:t>
      </w:r>
    </w:p>
    <w:p w14:paraId="169D10BF" w14:textId="77777777" w:rsidR="00725A91" w:rsidRPr="006C7C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 xml:space="preserve">and </w:t>
      </w:r>
      <w:proofErr w:type="gramStart"/>
      <w:r w:rsidRPr="00ED333B">
        <w:rPr>
          <w:rFonts w:ascii="Times New Roman" w:hAnsi="Times New Roman"/>
          <w:sz w:val="24"/>
          <w:szCs w:val="24"/>
        </w:rPr>
        <w:t>in the course of</w:t>
      </w:r>
      <w:proofErr w:type="gramEnd"/>
      <w:r w:rsidRPr="00ED333B">
        <w:rPr>
          <w:rFonts w:ascii="Times New Roman" w:hAnsi="Times New Roman"/>
          <w:sz w:val="24"/>
          <w:szCs w:val="24"/>
        </w:rPr>
        <w:t xml:space="preserve"> his or her actual performance of duty as an employee may be</w:t>
      </w:r>
      <w:r>
        <w:rPr>
          <w:rFonts w:ascii="Times New Roman" w:hAnsi="Times New Roman"/>
          <w:sz w:val="24"/>
          <w:szCs w:val="24"/>
        </w:rPr>
        <w:t xml:space="preserve"> </w:t>
      </w:r>
      <w:r w:rsidRPr="006C7C3B">
        <w:rPr>
          <w:rFonts w:ascii="Times New Roman" w:hAnsi="Times New Roman"/>
          <w:sz w:val="24"/>
          <w:szCs w:val="24"/>
        </w:rPr>
        <w:t>3</w:t>
      </w:r>
    </w:p>
    <w:p w14:paraId="22981D3F" w14:textId="77777777" w:rsidR="00725A91" w:rsidRPr="006C7C3B" w:rsidRDefault="00725A91" w:rsidP="00725A91">
      <w:pPr>
        <w:pStyle w:val="NoSpacing"/>
        <w:ind w:firstLine="720"/>
        <w:rPr>
          <w:rFonts w:ascii="Times New Roman" w:hAnsi="Times New Roman"/>
          <w:sz w:val="24"/>
          <w:szCs w:val="24"/>
        </w:rPr>
      </w:pPr>
      <w:r w:rsidRPr="006C7C3B">
        <w:rPr>
          <w:rFonts w:ascii="Times New Roman" w:hAnsi="Times New Roman"/>
          <w:sz w:val="24"/>
          <w:szCs w:val="24"/>
        </w:rPr>
        <w:t>retired by the board upon proper application filed with the board by or on behalf of</w:t>
      </w:r>
    </w:p>
    <w:p w14:paraId="40A6B3A8" w14:textId="77777777" w:rsidR="00725A91" w:rsidRDefault="00725A91" w:rsidP="00725A91">
      <w:pPr>
        <w:pStyle w:val="NoSpacing"/>
        <w:ind w:firstLine="720"/>
        <w:rPr>
          <w:rFonts w:ascii="Times New Roman" w:hAnsi="Times New Roman"/>
          <w:sz w:val="24"/>
          <w:szCs w:val="24"/>
        </w:rPr>
      </w:pPr>
      <w:r w:rsidRPr="006C7C3B">
        <w:rPr>
          <w:rFonts w:ascii="Times New Roman" w:hAnsi="Times New Roman"/>
          <w:sz w:val="24"/>
          <w:szCs w:val="24"/>
        </w:rPr>
        <w:t>the member or former member.</w:t>
      </w:r>
      <w:r>
        <w:rPr>
          <w:rFonts w:ascii="Times New Roman" w:hAnsi="Times New Roman"/>
          <w:sz w:val="24"/>
          <w:szCs w:val="24"/>
        </w:rPr>
        <w:t>”</w:t>
      </w:r>
    </w:p>
    <w:p w14:paraId="56470F98" w14:textId="77777777" w:rsidR="00725A91" w:rsidRDefault="00725A91" w:rsidP="00725A91">
      <w:pPr>
        <w:pStyle w:val="NoSpacing"/>
        <w:rPr>
          <w:rFonts w:ascii="Times New Roman" w:hAnsi="Times New Roman"/>
          <w:sz w:val="24"/>
          <w:szCs w:val="24"/>
        </w:rPr>
      </w:pPr>
    </w:p>
    <w:p w14:paraId="7F2E12B5" w14:textId="77777777" w:rsidR="00725A91" w:rsidRPr="006C40B3" w:rsidRDefault="00725A91" w:rsidP="00725A91">
      <w:pPr>
        <w:pStyle w:val="NoSpacing"/>
        <w:rPr>
          <w:rFonts w:ascii="Times New Roman" w:hAnsi="Times New Roman"/>
          <w:sz w:val="24"/>
          <w:szCs w:val="24"/>
        </w:rPr>
      </w:pPr>
      <w:hyperlink r:id="rId2531" w:history="1">
        <w:r w:rsidRPr="0005504F">
          <w:rPr>
            <w:rStyle w:val="Hyperlink"/>
            <w:rFonts w:ascii="Times New Roman" w:hAnsi="Times New Roman"/>
            <w:sz w:val="24"/>
            <w:szCs w:val="24"/>
          </w:rPr>
          <w:t>https://cases.justia.com/arkansas/court-of-appeals/2024-cv-22-650.pdf?ts=1713971302</w:t>
        </w:r>
      </w:hyperlink>
      <w:r>
        <w:rPr>
          <w:rFonts w:ascii="Times New Roman" w:hAnsi="Times New Roman"/>
          <w:sz w:val="24"/>
          <w:szCs w:val="24"/>
        </w:rPr>
        <w:t xml:space="preserve"> </w:t>
      </w:r>
    </w:p>
    <w:p w14:paraId="25909773" w14:textId="77777777" w:rsidR="00725A91" w:rsidRDefault="00725A91" w:rsidP="00725A91">
      <w:pPr>
        <w:pStyle w:val="NoSpacing"/>
        <w:rPr>
          <w:rFonts w:ascii="Times New Roman" w:hAnsi="Times New Roman"/>
          <w:sz w:val="24"/>
          <w:szCs w:val="24"/>
        </w:rPr>
      </w:pPr>
    </w:p>
    <w:p w14:paraId="370EED9F" w14:textId="77777777" w:rsidR="00725A91" w:rsidRDefault="00725A91" w:rsidP="00725A91">
      <w:pPr>
        <w:pStyle w:val="NormalWeb"/>
      </w:pPr>
      <w:r>
        <w:t>COURT HELD:</w:t>
      </w:r>
    </w:p>
    <w:p w14:paraId="52BEB43E" w14:textId="77777777" w:rsidR="00725A91" w:rsidRDefault="00725A91" w:rsidP="00725A91">
      <w:pPr>
        <w:pStyle w:val="NormalWeb"/>
        <w:ind w:left="720"/>
      </w:pPr>
      <w:r>
        <w:t>“On April 4, 2020, the Bella Vista Fire Department terminated his employment because Mills was notified that he had been approved for a long-term disability policy.</w:t>
      </w:r>
    </w:p>
    <w:p w14:paraId="7915934D" w14:textId="77777777" w:rsidR="00725A91" w:rsidRDefault="00725A91" w:rsidP="00725A91">
      <w:pPr>
        <w:pStyle w:val="NormalWeb"/>
        <w:ind w:left="720"/>
      </w:pPr>
      <w:r>
        <w:t>***</w:t>
      </w:r>
    </w:p>
    <w:p w14:paraId="4BC0D693"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t xml:space="preserve">The Board’s designated physician,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examined Mills and reviewed his</w:t>
      </w:r>
    </w:p>
    <w:p w14:paraId="3FF4AAEE"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t xml:space="preserve">medical records submitted to LOPFI. On June 29, 2020,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xml:space="preserve"> issued a detailed</w:t>
      </w:r>
    </w:p>
    <w:p w14:paraId="284E4B06"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t>report and determined that Mills was not totally and permanently disabled from his</w:t>
      </w:r>
    </w:p>
    <w:p w14:paraId="5EA0E17F" w14:textId="77777777" w:rsidR="00725A91" w:rsidRPr="00A271C9" w:rsidRDefault="00725A91" w:rsidP="00725A91">
      <w:pPr>
        <w:pStyle w:val="NoSpacing"/>
        <w:ind w:left="720"/>
        <w:rPr>
          <w:rFonts w:ascii="Times New Roman" w:hAnsi="Times New Roman"/>
          <w:sz w:val="24"/>
          <w:szCs w:val="24"/>
        </w:rPr>
      </w:pPr>
      <w:r w:rsidRPr="00A271C9">
        <w:rPr>
          <w:rFonts w:ascii="Times New Roman" w:hAnsi="Times New Roman"/>
          <w:sz w:val="24"/>
          <w:szCs w:val="24"/>
        </w:rPr>
        <w:t xml:space="preserve">firefighting activity.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xml:space="preserve"> concluded that Mills met the criteria for PTSD and that it</w:t>
      </w:r>
      <w:r>
        <w:rPr>
          <w:rFonts w:ascii="Times New Roman" w:hAnsi="Times New Roman"/>
          <w:sz w:val="24"/>
          <w:szCs w:val="24"/>
        </w:rPr>
        <w:t xml:space="preserve"> </w:t>
      </w:r>
      <w:r w:rsidRPr="00A271C9">
        <w:rPr>
          <w:rFonts w:ascii="Times New Roman" w:hAnsi="Times New Roman"/>
          <w:sz w:val="24"/>
          <w:szCs w:val="24"/>
        </w:rPr>
        <w:t>was more likely than not that Mills’s PTSD arose from his employment. However, she opined</w:t>
      </w:r>
      <w:r>
        <w:rPr>
          <w:rFonts w:ascii="Times New Roman" w:hAnsi="Times New Roman"/>
          <w:sz w:val="24"/>
          <w:szCs w:val="24"/>
        </w:rPr>
        <w:t xml:space="preserve"> </w:t>
      </w:r>
      <w:r w:rsidRPr="00A271C9">
        <w:rPr>
          <w:rFonts w:ascii="Times New Roman" w:hAnsi="Times New Roman"/>
          <w:sz w:val="24"/>
          <w:szCs w:val="24"/>
        </w:rPr>
        <w:t>that the disability was not total and permanent due, among other things, to Mills’s mental</w:t>
      </w:r>
      <w:r>
        <w:rPr>
          <w:rFonts w:ascii="Times New Roman" w:hAnsi="Times New Roman"/>
          <w:sz w:val="24"/>
          <w:szCs w:val="24"/>
        </w:rPr>
        <w:t xml:space="preserve"> </w:t>
      </w:r>
      <w:r w:rsidRPr="00A271C9">
        <w:rPr>
          <w:rFonts w:ascii="Times New Roman" w:hAnsi="Times New Roman"/>
          <w:sz w:val="24"/>
          <w:szCs w:val="24"/>
        </w:rPr>
        <w:t>status, the severity of his impairment, his noted improvement in symptoms with treatment,</w:t>
      </w:r>
      <w:r>
        <w:rPr>
          <w:rFonts w:ascii="Times New Roman" w:hAnsi="Times New Roman"/>
          <w:sz w:val="24"/>
          <w:szCs w:val="24"/>
        </w:rPr>
        <w:t xml:space="preserve"> </w:t>
      </w:r>
      <w:r w:rsidRPr="00A271C9">
        <w:rPr>
          <w:rFonts w:ascii="Times New Roman" w:hAnsi="Times New Roman"/>
          <w:sz w:val="24"/>
          <w:szCs w:val="24"/>
        </w:rPr>
        <w:t>his presentation, and the fact that he continued to volunteer with the Little Flock Fire</w:t>
      </w:r>
      <w:r>
        <w:rPr>
          <w:rFonts w:ascii="Times New Roman" w:hAnsi="Times New Roman"/>
          <w:sz w:val="24"/>
          <w:szCs w:val="24"/>
        </w:rPr>
        <w:t xml:space="preserve"> </w:t>
      </w:r>
      <w:r w:rsidRPr="00A271C9">
        <w:rPr>
          <w:rFonts w:ascii="Times New Roman" w:hAnsi="Times New Roman"/>
          <w:sz w:val="24"/>
          <w:szCs w:val="24"/>
        </w:rPr>
        <w:t>Department in addition to his full-time employment with the Bella Vista Fire Department</w:t>
      </w:r>
      <w:r>
        <w:rPr>
          <w:rFonts w:ascii="Times New Roman" w:hAnsi="Times New Roman"/>
          <w:sz w:val="24"/>
          <w:szCs w:val="24"/>
        </w:rPr>
        <w:t xml:space="preserve"> </w:t>
      </w:r>
      <w:r w:rsidRPr="00A271C9">
        <w:rPr>
          <w:rFonts w:ascii="Times New Roman" w:hAnsi="Times New Roman"/>
          <w:sz w:val="24"/>
          <w:szCs w:val="24"/>
        </w:rPr>
        <w:t>for a period of years after he started seeking help for his PTSD symptoms.</w:t>
      </w:r>
      <w:r>
        <w:rPr>
          <w:rFonts w:ascii="Times New Roman" w:hAnsi="Times New Roman"/>
          <w:sz w:val="24"/>
          <w:szCs w:val="24"/>
        </w:rPr>
        <w:t>”</w:t>
      </w:r>
    </w:p>
    <w:p w14:paraId="5CF7A771" w14:textId="77777777" w:rsidR="00725A91" w:rsidRDefault="00725A91" w:rsidP="00725A91">
      <w:pPr>
        <w:pStyle w:val="NormalWeb"/>
        <w:spacing w:before="0" w:beforeAutospacing="0"/>
        <w:rPr>
          <w:b/>
          <w:bCs/>
          <w:color w:val="454545"/>
          <w:shd w:val="clear" w:color="auto" w:fill="FFFFFF"/>
        </w:rPr>
      </w:pPr>
    </w:p>
    <w:p w14:paraId="72351711" w14:textId="77777777" w:rsidR="00725A91" w:rsidRDefault="00725A91" w:rsidP="00725A91">
      <w:pPr>
        <w:pStyle w:val="NoSpacing"/>
        <w:ind w:left="720"/>
        <w:rPr>
          <w:rFonts w:ascii="Times New Roman" w:hAnsi="Times New Roman"/>
          <w:sz w:val="24"/>
          <w:szCs w:val="24"/>
          <w:shd w:val="clear" w:color="auto" w:fill="FFFFFF"/>
        </w:rPr>
      </w:pPr>
    </w:p>
    <w:p w14:paraId="79C2E055" w14:textId="77777777" w:rsidR="00725A91" w:rsidRPr="00A961ED" w:rsidRDefault="00725A91" w:rsidP="00725A91">
      <w:pPr>
        <w:pStyle w:val="NoSpacing"/>
        <w:rPr>
          <w:rFonts w:ascii="Times New Roman" w:hAnsi="Times New Roman"/>
          <w:b/>
          <w:bCs/>
          <w:sz w:val="24"/>
          <w:szCs w:val="24"/>
          <w:shd w:val="clear" w:color="auto" w:fill="FFFFFF"/>
        </w:rPr>
      </w:pPr>
      <w:r w:rsidRPr="00A961ED">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Firefighter failed to prove he was “</w:t>
      </w:r>
      <w:r w:rsidRPr="00CC13B5">
        <w:rPr>
          <w:rFonts w:ascii="Times New Roman" w:hAnsi="Times New Roman"/>
          <w:b/>
          <w:bCs/>
          <w:sz w:val="24"/>
          <w:szCs w:val="24"/>
          <w:shd w:val="clear" w:color="auto" w:fill="FFFFFF"/>
        </w:rPr>
        <w:t>totally and</w:t>
      </w:r>
      <w:r>
        <w:rPr>
          <w:rFonts w:ascii="Times New Roman" w:hAnsi="Times New Roman"/>
          <w:b/>
          <w:bCs/>
          <w:sz w:val="24"/>
          <w:szCs w:val="24"/>
          <w:shd w:val="clear" w:color="auto" w:fill="FFFFFF"/>
        </w:rPr>
        <w:t xml:space="preserve"> </w:t>
      </w:r>
      <w:r w:rsidRPr="00CC13B5">
        <w:rPr>
          <w:rFonts w:ascii="Times New Roman" w:hAnsi="Times New Roman"/>
          <w:b/>
          <w:bCs/>
          <w:sz w:val="24"/>
          <w:szCs w:val="24"/>
          <w:shd w:val="clear" w:color="auto" w:fill="FFFFFF"/>
        </w:rPr>
        <w:t>permanently physically or mentally incapacitated for any suitable duty as an employee</w:t>
      </w:r>
      <w:r>
        <w:rPr>
          <w:rFonts w:ascii="Times New Roman" w:hAnsi="Times New Roman"/>
          <w:b/>
          <w:bCs/>
          <w:sz w:val="24"/>
          <w:szCs w:val="24"/>
          <w:shd w:val="clear" w:color="auto" w:fill="FFFFFF"/>
        </w:rPr>
        <w:t>.”</w:t>
      </w:r>
    </w:p>
    <w:p w14:paraId="44251224" w14:textId="77777777" w:rsidR="00725A91" w:rsidRDefault="00725A91" w:rsidP="00725A91">
      <w:pPr>
        <w:pStyle w:val="NormalWeb"/>
        <w:spacing w:before="0" w:beforeAutospacing="0"/>
        <w:jc w:val="center"/>
        <w:rPr>
          <w:b/>
          <w:bCs/>
          <w:color w:val="454545"/>
          <w:shd w:val="clear" w:color="auto" w:fill="FFFFFF"/>
        </w:rPr>
      </w:pPr>
    </w:p>
    <w:p w14:paraId="5D35D341" w14:textId="77777777" w:rsidR="00725A91" w:rsidRPr="000E0B66" w:rsidRDefault="00725A91" w:rsidP="00725A91">
      <w:pPr>
        <w:pStyle w:val="NormalWeb"/>
        <w:spacing w:before="0" w:beforeAutospacing="0"/>
      </w:pPr>
    </w:p>
    <w:p w14:paraId="3D830BE7" w14:textId="77777777" w:rsidR="00725A91" w:rsidRDefault="00725A91" w:rsidP="000C4DF5">
      <w:pPr>
        <w:pStyle w:val="NoSpacing"/>
        <w:rPr>
          <w:rFonts w:ascii="Arial Black" w:hAnsi="Arial Black"/>
          <w:sz w:val="24"/>
          <w:szCs w:val="24"/>
        </w:rPr>
      </w:pPr>
    </w:p>
    <w:p w14:paraId="4CAAF129" w14:textId="77777777" w:rsidR="00725A91" w:rsidRDefault="00725A91" w:rsidP="000C4DF5">
      <w:pPr>
        <w:pStyle w:val="NoSpacing"/>
        <w:rPr>
          <w:rFonts w:ascii="Arial Black" w:hAnsi="Arial Black"/>
          <w:sz w:val="24"/>
          <w:szCs w:val="24"/>
        </w:rPr>
      </w:pPr>
    </w:p>
    <w:p w14:paraId="4623BC08" w14:textId="4658831E" w:rsidR="006F1059" w:rsidRDefault="006F1059" w:rsidP="000C4DF5">
      <w:pPr>
        <w:pStyle w:val="NoSpacing"/>
        <w:rPr>
          <w:rFonts w:ascii="Arial Black" w:hAnsi="Arial Black"/>
          <w:sz w:val="24"/>
          <w:szCs w:val="24"/>
        </w:rPr>
      </w:pPr>
      <w:r>
        <w:rPr>
          <w:rFonts w:ascii="Arial Black" w:hAnsi="Arial Black"/>
          <w:sz w:val="24"/>
          <w:szCs w:val="24"/>
        </w:rPr>
        <w:t>15-29</w:t>
      </w:r>
    </w:p>
    <w:p w14:paraId="4EFCCE20" w14:textId="77777777" w:rsidR="00776614" w:rsidRPr="00801B4D" w:rsidRDefault="00776614" w:rsidP="00776614">
      <w:pPr>
        <w:pStyle w:val="Heading1"/>
        <w:rPr>
          <w:rFonts w:ascii="Arial Black" w:hAnsi="Arial Black"/>
          <w:b w:val="0"/>
          <w:bCs w:val="0"/>
          <w:sz w:val="28"/>
          <w:szCs w:val="28"/>
        </w:rPr>
      </w:pPr>
      <w:r>
        <w:rPr>
          <w:rFonts w:ascii="Arial Black" w:hAnsi="Arial Black"/>
          <w:b w:val="0"/>
          <w:bCs w:val="0"/>
          <w:sz w:val="28"/>
          <w:szCs w:val="28"/>
        </w:rPr>
        <w:t>NY: PTSD - PERUVIAN FDNY FF – HAZING – HOSTILE WORK ATMOSPHERE – 2015-2021 – FIRED - CASE PROCEED</w:t>
      </w:r>
    </w:p>
    <w:p w14:paraId="537C7193" w14:textId="77777777" w:rsidR="00776614" w:rsidRDefault="00776614" w:rsidP="00776614">
      <w:pPr>
        <w:pStyle w:val="Heading1"/>
        <w:rPr>
          <w:b w:val="0"/>
          <w:bCs w:val="0"/>
          <w:sz w:val="24"/>
          <w:szCs w:val="24"/>
        </w:rPr>
      </w:pPr>
      <w:r>
        <w:rPr>
          <w:b w:val="0"/>
          <w:bCs w:val="0"/>
          <w:sz w:val="24"/>
          <w:szCs w:val="24"/>
        </w:rPr>
        <w:t xml:space="preserve">Jan. 5, 2024, Court granted FDNY motion for protective order (pre-trial discovery extended to March 15, 2024).  On March 31, 2023, in </w:t>
      </w:r>
      <w:r w:rsidRPr="00A65A6D">
        <w:rPr>
          <w:b w:val="0"/>
          <w:bCs w:val="0"/>
          <w:sz w:val="24"/>
          <w:szCs w:val="24"/>
          <w:u w:val="single"/>
        </w:rPr>
        <w:t>Joseph Mendoza v. City of New York, et al</w:t>
      </w:r>
      <w:r>
        <w:rPr>
          <w:b w:val="0"/>
          <w:bCs w:val="0"/>
          <w:sz w:val="24"/>
          <w:szCs w:val="24"/>
        </w:rPr>
        <w:t xml:space="preserve">., U.S. District Court Judge Lashann Dearcy Hall, U.S. District Court for Eastern District of New York, dismissed most of the plaintiff’s claims, but denied the defense motion to dismiss Section 1983 hostile work environment claim. </w:t>
      </w:r>
    </w:p>
    <w:p w14:paraId="681DE6F9" w14:textId="77777777" w:rsidR="00776614" w:rsidRDefault="00776614" w:rsidP="00776614">
      <w:pPr>
        <w:pStyle w:val="paragraph"/>
      </w:pPr>
      <w:r>
        <w:t xml:space="preserve">The Court held: </w:t>
      </w:r>
    </w:p>
    <w:p w14:paraId="5E32BEBD" w14:textId="77777777" w:rsidR="00776614" w:rsidRDefault="00776614" w:rsidP="00776614">
      <w:pPr>
        <w:pStyle w:val="paragraph"/>
        <w:ind w:left="720"/>
      </w:pPr>
      <w:r>
        <w:t xml:space="preserve">“Plaintiff's hostile work environment claims warrant different treatment. “A charge alleging a hostile work environment claim . . . will not be time barred so long as all acts which constitute the claim are part of the same unlawful employment practice and at least one act falls within the time period.” </w:t>
      </w:r>
      <w:r>
        <w:rPr>
          <w:i/>
          <w:iCs/>
        </w:rPr>
        <w:t>Sotomayor v. City of New York</w:t>
      </w:r>
      <w:r>
        <w:t xml:space="preserve">, </w:t>
      </w:r>
      <w:hyperlink r:id="rId2532" w:anchor="p250" w:history="1">
        <w:r>
          <w:rPr>
            <w:rStyle w:val="Hyperlink"/>
          </w:rPr>
          <w:t>862 F.Supp.2d 226, 250</w:t>
        </w:r>
      </w:hyperlink>
      <w:r>
        <w:t xml:space="preserve"> (E.D.N.Y. 2012) (quoting </w:t>
      </w:r>
      <w:r>
        <w:rPr>
          <w:i/>
          <w:iCs/>
        </w:rPr>
        <w:t>Morgan</w:t>
      </w:r>
      <w:r>
        <w:t>, 536 U.S. at 122). As Plaintiff correctly argues, the amended complaint alleges a continuous and ongoing period of racial harassment that began in 2015 and continued through at least May 2019, when he alleges he received a racially offensive text message in the group chat. (</w:t>
      </w:r>
      <w:r>
        <w:rPr>
          <w:i/>
          <w:iCs/>
        </w:rPr>
        <w:t>See</w:t>
      </w:r>
      <w:r>
        <w:t xml:space="preserve"> Pl's </w:t>
      </w:r>
      <w:proofErr w:type="spellStart"/>
      <w:r>
        <w:t>Opp'n</w:t>
      </w:r>
      <w:proofErr w:type="spellEnd"/>
      <w:r>
        <w:t xml:space="preserve"> at 6-7; </w:t>
      </w:r>
      <w:r>
        <w:rPr>
          <w:i/>
          <w:iCs/>
        </w:rPr>
        <w:t>see also</w:t>
      </w:r>
      <w:r>
        <w:t xml:space="preserve"> Am. </w:t>
      </w:r>
      <w:proofErr w:type="spellStart"/>
      <w:r>
        <w:t>Compl</w:t>
      </w:r>
      <w:proofErr w:type="spellEnd"/>
      <w:r>
        <w:t xml:space="preserve">. ¶¶ 23, 38, 56.) Plaintiff alleges he was subjected to racially demeaning conduct throughout this </w:t>
      </w:r>
      <w:proofErr w:type="gramStart"/>
      <w:r>
        <w:t>time period</w:t>
      </w:r>
      <w:proofErr w:type="gramEnd"/>
      <w:r>
        <w:t>, and none of those individual comments or racial incidents could constitute a discrete act or be considered unrelated to the racial incidents he experienced within the limitations period.”</w:t>
      </w:r>
      <w:r w:rsidRPr="00D36ABB">
        <w:t xml:space="preserve"> </w:t>
      </w:r>
      <w:hyperlink r:id="rId2533" w:history="1">
        <w:r w:rsidRPr="00E007C4">
          <w:rPr>
            <w:rStyle w:val="Hyperlink"/>
          </w:rPr>
          <w:t>https://casetext.com/case/mendoza-v-the-city-of-new-york-3</w:t>
        </w:r>
      </w:hyperlink>
      <w:r>
        <w:t xml:space="preserve"> </w:t>
      </w:r>
    </w:p>
    <w:p w14:paraId="6D11FED5" w14:textId="77777777" w:rsidR="00776614" w:rsidRPr="00EB6336" w:rsidRDefault="00776614" w:rsidP="00776614">
      <w:pPr>
        <w:pStyle w:val="paragraph"/>
        <w:rPr>
          <w:b/>
          <w:bCs/>
        </w:rPr>
      </w:pPr>
      <w:r w:rsidRPr="00EB6336">
        <w:rPr>
          <w:b/>
          <w:bCs/>
        </w:rPr>
        <w:t xml:space="preserve">Legal Lesson Learned: </w:t>
      </w:r>
      <w:r>
        <w:rPr>
          <w:b/>
          <w:bCs/>
        </w:rPr>
        <w:t xml:space="preserve">Continuous hazing can lead to hostile work atmosphere litigation. </w:t>
      </w:r>
    </w:p>
    <w:p w14:paraId="66A64024" w14:textId="77777777" w:rsidR="006F1059" w:rsidRDefault="006F1059" w:rsidP="000C4DF5">
      <w:pPr>
        <w:pStyle w:val="NoSpacing"/>
        <w:rPr>
          <w:rFonts w:ascii="Arial Black" w:hAnsi="Arial Black"/>
          <w:sz w:val="24"/>
          <w:szCs w:val="24"/>
        </w:rPr>
      </w:pPr>
    </w:p>
    <w:p w14:paraId="3EDD726D" w14:textId="77777777" w:rsidR="006F1059" w:rsidRDefault="006F1059" w:rsidP="000C4DF5">
      <w:pPr>
        <w:pStyle w:val="NoSpacing"/>
        <w:rPr>
          <w:rFonts w:ascii="Arial Black" w:hAnsi="Arial Black"/>
          <w:sz w:val="24"/>
          <w:szCs w:val="24"/>
        </w:rPr>
      </w:pPr>
    </w:p>
    <w:p w14:paraId="065E298F" w14:textId="63F165DB" w:rsidR="003A2816" w:rsidRDefault="003A2816" w:rsidP="000C4DF5">
      <w:pPr>
        <w:pStyle w:val="NoSpacing"/>
        <w:rPr>
          <w:rFonts w:ascii="Arial Black" w:hAnsi="Arial Black"/>
          <w:sz w:val="24"/>
          <w:szCs w:val="24"/>
        </w:rPr>
      </w:pPr>
      <w:r>
        <w:rPr>
          <w:rFonts w:ascii="Arial Black" w:hAnsi="Arial Black"/>
          <w:sz w:val="24"/>
          <w:szCs w:val="24"/>
        </w:rPr>
        <w:t>15-28</w:t>
      </w:r>
    </w:p>
    <w:p w14:paraId="719B7E88" w14:textId="77777777" w:rsidR="00787369" w:rsidRDefault="00787369" w:rsidP="00787369">
      <w:pPr>
        <w:pStyle w:val="NormalWeb"/>
        <w:rPr>
          <w:rFonts w:ascii="Arial Black" w:hAnsi="Arial Black"/>
          <w:b/>
          <w:bCs/>
          <w:sz w:val="28"/>
          <w:szCs w:val="28"/>
        </w:rPr>
      </w:pPr>
      <w:r>
        <w:rPr>
          <w:rFonts w:ascii="Arial Black" w:hAnsi="Arial Black"/>
          <w:b/>
          <w:bCs/>
          <w:sz w:val="28"/>
          <w:szCs w:val="28"/>
        </w:rPr>
        <w:t xml:space="preserve">OH: MENTAL CALL / SUICIDE GUNSHOT – DEPUTIES NOT RECKLESS - CALLED MOBILE CRISIS - NOT LIABLE </w:t>
      </w:r>
    </w:p>
    <w:p w14:paraId="75520E94" w14:textId="77777777" w:rsidR="00787369" w:rsidRDefault="00787369" w:rsidP="00787369">
      <w:pPr>
        <w:pStyle w:val="NormalWeb"/>
      </w:pPr>
      <w:r>
        <w:t xml:space="preserve">On Dec. 28, 2023, in </w:t>
      </w:r>
      <w:r w:rsidRPr="00DF2081">
        <w:rPr>
          <w:u w:val="single"/>
        </w:rPr>
        <w:t>Sarah Wilson, Administrator of the Estate of Jack Huelsman, et al. v. Eric Gregory, et al.</w:t>
      </w:r>
      <w:r>
        <w:t>, the Court of Appeals of Ohio, Twelfth District, held (3 to 0) that lawsuit against two Deputy Sheriff’s for not taking the patient to mental health facility was properly dismissed, since patient at that time did not appear to be a risk to himself or others.  The Court held:  “We find that the Deputies did not engage in reckless conduct because there is no evidence in the record that they consciously disregarded or were indifferent to a known or obvious risk of harm to Jack [Huelsmann].”.</w:t>
      </w:r>
      <w:hyperlink r:id="rId2534" w:history="1">
        <w:r w:rsidRPr="0044657D">
          <w:rPr>
            <w:rStyle w:val="Hyperlink"/>
          </w:rPr>
          <w:t>https://cases.justia.com/ohio/twelfth-district-court-of-appeals/2023-ca2023-06-039.pdf?ts=1703791198</w:t>
        </w:r>
      </w:hyperlink>
    </w:p>
    <w:p w14:paraId="4FA17AAC" w14:textId="77777777" w:rsidR="004C2189" w:rsidRDefault="004C2189" w:rsidP="004C2189">
      <w:pPr>
        <w:pStyle w:val="NormalWeb"/>
        <w:rPr>
          <w:b/>
          <w:bCs/>
        </w:rPr>
      </w:pPr>
      <w:r w:rsidRPr="00190E94">
        <w:rPr>
          <w:b/>
          <w:bCs/>
        </w:rPr>
        <w:t>Legal Lesson Learned:</w:t>
      </w:r>
      <w:r>
        <w:rPr>
          <w:b/>
          <w:bCs/>
        </w:rPr>
        <w:t xml:space="preserve"> A tragic outcome to a mental health run; lengthy litigation, if the Deputies had not cancelled EMS there would have been four witnesses to testify about patient’s condition.  </w:t>
      </w:r>
    </w:p>
    <w:p w14:paraId="00EBF9F8" w14:textId="77777777" w:rsidR="004C2189" w:rsidRDefault="004C2189" w:rsidP="004C2189">
      <w:pPr>
        <w:pStyle w:val="NormalWeb"/>
        <w:ind w:left="720"/>
      </w:pPr>
      <w:r>
        <w:t xml:space="preserve">Note: FEDERAL LAWSUIT. Plaintiff  had originally filed a lawsuit against the Deputies in Federal court. On Sept. 30, 2020, U.S. District Court granted summary judgment to the Deputies. </w:t>
      </w:r>
      <w:hyperlink r:id="rId2535" w:history="1">
        <w:r w:rsidRPr="003C00DD">
          <w:rPr>
            <w:rStyle w:val="Hyperlink"/>
          </w:rPr>
          <w:t>https://caselaw.findlaw.com/court/us-dis-crt-s-d-ohi-wes-div/2089388.html</w:t>
        </w:r>
      </w:hyperlink>
      <w:r>
        <w:t>. On July 1, 2021, the 6</w:t>
      </w:r>
      <w:r w:rsidRPr="0021237F">
        <w:rPr>
          <w:vertAlign w:val="superscript"/>
        </w:rPr>
        <w:t>th</w:t>
      </w:r>
      <w:r>
        <w:t xml:space="preserve"> Circuit Court of Appeals directed District Court judge “to determine whether to exercise supplemental jurisdiction” over the state law claims that remain.”</w:t>
      </w:r>
      <w:r>
        <w:tab/>
        <w:t xml:space="preserve"> </w:t>
      </w:r>
      <w:hyperlink r:id="rId2536" w:history="1">
        <w:r w:rsidRPr="003C00DD">
          <w:rPr>
            <w:rStyle w:val="Hyperlink"/>
          </w:rPr>
          <w:t>https://www.opn.ca6.uscourts.gov/opinions.pdf/21a0151p-06.pdf</w:t>
        </w:r>
      </w:hyperlink>
      <w:r>
        <w:t>.] On Aug. 18, 2021, the U.S. District Court judge declined to exercise supplemental jurisdiction and dismisses all remaining claims without prejudice.</w:t>
      </w:r>
      <w:r w:rsidRPr="00D83569">
        <w:t xml:space="preserve"> </w:t>
      </w:r>
      <w:hyperlink r:id="rId2537" w:history="1">
        <w:r w:rsidRPr="003C00DD">
          <w:rPr>
            <w:rStyle w:val="Hyperlink"/>
          </w:rPr>
          <w:t>https://casetext.com/case/wilson-v-gregory-4</w:t>
        </w:r>
      </w:hyperlink>
    </w:p>
    <w:p w14:paraId="77E15EA1" w14:textId="77777777" w:rsidR="004C2189" w:rsidRDefault="004C2189" w:rsidP="004C2189">
      <w:pPr>
        <w:pStyle w:val="NoSpacing"/>
        <w:ind w:firstLine="720"/>
        <w:rPr>
          <w:rFonts w:ascii="Times New Roman" w:hAnsi="Times New Roman"/>
          <w:sz w:val="24"/>
          <w:szCs w:val="24"/>
        </w:rPr>
      </w:pPr>
      <w:r>
        <w:rPr>
          <w:rFonts w:ascii="Times New Roman" w:hAnsi="Times New Roman"/>
          <w:sz w:val="24"/>
          <w:szCs w:val="24"/>
        </w:rPr>
        <w:t>6</w:t>
      </w:r>
      <w:r w:rsidRPr="00102E41">
        <w:rPr>
          <w:rFonts w:ascii="Times New Roman" w:hAnsi="Times New Roman"/>
          <w:sz w:val="24"/>
          <w:szCs w:val="24"/>
          <w:vertAlign w:val="superscript"/>
        </w:rPr>
        <w:t>th</w:t>
      </w:r>
      <w:r>
        <w:rPr>
          <w:rFonts w:ascii="Times New Roman" w:hAnsi="Times New Roman"/>
          <w:sz w:val="24"/>
          <w:szCs w:val="24"/>
        </w:rPr>
        <w:t xml:space="preserve"> Circuit focused on EMS being cancelled. </w:t>
      </w:r>
    </w:p>
    <w:p w14:paraId="1BF847E5" w14:textId="77777777" w:rsidR="004C2189" w:rsidRDefault="004C2189" w:rsidP="004C2189">
      <w:pPr>
        <w:pStyle w:val="NoSpacing"/>
        <w:ind w:left="1440"/>
        <w:rPr>
          <w:rFonts w:ascii="Times New Roman" w:hAnsi="Times New Roman"/>
          <w:sz w:val="24"/>
          <w:szCs w:val="24"/>
        </w:rPr>
      </w:pPr>
    </w:p>
    <w:p w14:paraId="1EEACF85" w14:textId="77777777" w:rsidR="004C2189" w:rsidRDefault="004C2189" w:rsidP="004C2189">
      <w:pPr>
        <w:pStyle w:val="NoSpacing"/>
        <w:ind w:left="720"/>
        <w:rPr>
          <w:rFonts w:ascii="Times New Roman" w:hAnsi="Times New Roman"/>
          <w:sz w:val="24"/>
          <w:szCs w:val="24"/>
        </w:rPr>
      </w:pPr>
      <w:r w:rsidRPr="00692EF2">
        <w:rPr>
          <w:rFonts w:ascii="Times New Roman" w:hAnsi="Times New Roman"/>
          <w:sz w:val="24"/>
          <w:szCs w:val="24"/>
        </w:rPr>
        <w:t>In the meantime, emergency medical services (EMS) personnel had arrived and were</w:t>
      </w:r>
      <w:r>
        <w:rPr>
          <w:rFonts w:ascii="Times New Roman" w:hAnsi="Times New Roman"/>
          <w:sz w:val="24"/>
          <w:szCs w:val="24"/>
        </w:rPr>
        <w:t xml:space="preserve"> </w:t>
      </w:r>
      <w:r w:rsidRPr="00692EF2">
        <w:rPr>
          <w:rFonts w:ascii="Times New Roman" w:hAnsi="Times New Roman"/>
          <w:sz w:val="24"/>
          <w:szCs w:val="24"/>
        </w:rPr>
        <w:t>waiting for the Deputies’ go-ahead. Though EMS personnel’s ability to provide mental health</w:t>
      </w:r>
      <w:r>
        <w:rPr>
          <w:rFonts w:ascii="Times New Roman" w:hAnsi="Times New Roman"/>
          <w:sz w:val="24"/>
          <w:szCs w:val="24"/>
        </w:rPr>
        <w:t xml:space="preserve"> </w:t>
      </w:r>
      <w:r w:rsidRPr="00692EF2">
        <w:rPr>
          <w:rFonts w:ascii="Times New Roman" w:hAnsi="Times New Roman"/>
          <w:sz w:val="24"/>
          <w:szCs w:val="24"/>
        </w:rPr>
        <w:t>services was limited to asking basic questions to test a person’s mental acuity, their training and</w:t>
      </w:r>
      <w:r>
        <w:rPr>
          <w:rFonts w:ascii="Times New Roman" w:hAnsi="Times New Roman"/>
          <w:sz w:val="24"/>
          <w:szCs w:val="24"/>
        </w:rPr>
        <w:t xml:space="preserve"> </w:t>
      </w:r>
      <w:r w:rsidRPr="00692EF2">
        <w:rPr>
          <w:rFonts w:ascii="Times New Roman" w:hAnsi="Times New Roman"/>
          <w:sz w:val="24"/>
          <w:szCs w:val="24"/>
        </w:rPr>
        <w:t>policy permitted them to assess a person’s mental condition and make a recommendation to a</w:t>
      </w:r>
      <w:r>
        <w:rPr>
          <w:rFonts w:ascii="Times New Roman" w:hAnsi="Times New Roman"/>
          <w:sz w:val="24"/>
          <w:szCs w:val="24"/>
        </w:rPr>
        <w:t xml:space="preserve"> </w:t>
      </w:r>
      <w:r w:rsidRPr="00692EF2">
        <w:rPr>
          <w:rFonts w:ascii="Times New Roman" w:hAnsi="Times New Roman"/>
          <w:sz w:val="24"/>
          <w:szCs w:val="24"/>
        </w:rPr>
        <w:t>deputy that the person should or should not be detained. Within four minutes of his arrival at the</w:t>
      </w:r>
      <w:r>
        <w:rPr>
          <w:rFonts w:ascii="Times New Roman" w:hAnsi="Times New Roman"/>
          <w:sz w:val="24"/>
          <w:szCs w:val="24"/>
        </w:rPr>
        <w:t xml:space="preserve"> </w:t>
      </w:r>
      <w:proofErr w:type="spellStart"/>
      <w:r w:rsidRPr="00692EF2">
        <w:rPr>
          <w:rFonts w:ascii="Times New Roman" w:hAnsi="Times New Roman"/>
          <w:sz w:val="24"/>
          <w:szCs w:val="24"/>
        </w:rPr>
        <w:t>Huelsmans</w:t>
      </w:r>
      <w:proofErr w:type="spellEnd"/>
      <w:r w:rsidRPr="00692EF2">
        <w:rPr>
          <w:rFonts w:ascii="Times New Roman" w:hAnsi="Times New Roman"/>
          <w:sz w:val="24"/>
          <w:szCs w:val="24"/>
        </w:rPr>
        <w:t>’ home, Deputy Gregory called off EMS.</w:t>
      </w:r>
    </w:p>
    <w:p w14:paraId="3127E50E" w14:textId="77777777" w:rsidR="004C2189" w:rsidRDefault="004C2189" w:rsidP="004C2189">
      <w:pPr>
        <w:pStyle w:val="NoSpacing"/>
        <w:rPr>
          <w:rFonts w:ascii="Times New Roman" w:hAnsi="Times New Roman"/>
          <w:sz w:val="24"/>
          <w:szCs w:val="24"/>
        </w:rPr>
      </w:pPr>
    </w:p>
    <w:p w14:paraId="628B055A" w14:textId="77777777" w:rsidR="004C2189" w:rsidRDefault="004C2189" w:rsidP="004C2189">
      <w:pPr>
        <w:pStyle w:val="NoSpacing"/>
        <w:ind w:firstLine="720"/>
        <w:rPr>
          <w:rFonts w:ascii="Times New Roman" w:hAnsi="Times New Roman"/>
          <w:sz w:val="24"/>
          <w:szCs w:val="24"/>
        </w:rPr>
      </w:pPr>
      <w:r>
        <w:rPr>
          <w:rFonts w:ascii="Times New Roman" w:hAnsi="Times New Roman"/>
          <w:sz w:val="24"/>
          <w:szCs w:val="24"/>
        </w:rPr>
        <w:t>***</w:t>
      </w:r>
    </w:p>
    <w:p w14:paraId="0A59418A" w14:textId="77777777" w:rsidR="004C2189" w:rsidRDefault="004C2189" w:rsidP="004C2189">
      <w:pPr>
        <w:pStyle w:val="NoSpacing"/>
        <w:ind w:left="720"/>
        <w:rPr>
          <w:rFonts w:ascii="Times New Roman" w:hAnsi="Times New Roman"/>
          <w:sz w:val="24"/>
          <w:szCs w:val="24"/>
        </w:rPr>
      </w:pPr>
      <w:r w:rsidRPr="003C7982">
        <w:rPr>
          <w:rFonts w:ascii="Times New Roman" w:hAnsi="Times New Roman"/>
          <w:sz w:val="24"/>
          <w:szCs w:val="24"/>
        </w:rPr>
        <w:t>A reasonable juror could conclude from some combination of these indicia that</w:t>
      </w:r>
      <w:r>
        <w:rPr>
          <w:rFonts w:ascii="Times New Roman" w:hAnsi="Times New Roman"/>
          <w:sz w:val="24"/>
          <w:szCs w:val="24"/>
        </w:rPr>
        <w:t xml:space="preserve"> </w:t>
      </w:r>
      <w:r w:rsidRPr="003C7982">
        <w:rPr>
          <w:rFonts w:ascii="Times New Roman" w:hAnsi="Times New Roman"/>
          <w:sz w:val="24"/>
          <w:szCs w:val="24"/>
        </w:rPr>
        <w:t>the risk of Mr. Huelsman’s suicide was indeed obvious and that Deputies Gregory and/or Walsh</w:t>
      </w:r>
      <w:r>
        <w:rPr>
          <w:rFonts w:ascii="Times New Roman" w:hAnsi="Times New Roman"/>
          <w:sz w:val="24"/>
          <w:szCs w:val="24"/>
        </w:rPr>
        <w:t xml:space="preserve"> </w:t>
      </w:r>
      <w:r w:rsidRPr="003C7982">
        <w:rPr>
          <w:rFonts w:ascii="Times New Roman" w:hAnsi="Times New Roman"/>
          <w:sz w:val="24"/>
          <w:szCs w:val="24"/>
        </w:rPr>
        <w:t>acted recklessly as a result. It may well be that when presented with this case, a jury would</w:t>
      </w:r>
      <w:r>
        <w:rPr>
          <w:rFonts w:ascii="Times New Roman" w:hAnsi="Times New Roman"/>
          <w:sz w:val="24"/>
          <w:szCs w:val="24"/>
        </w:rPr>
        <w:t xml:space="preserve"> </w:t>
      </w:r>
      <w:r w:rsidRPr="003C7982">
        <w:rPr>
          <w:rFonts w:ascii="Times New Roman" w:hAnsi="Times New Roman"/>
          <w:sz w:val="24"/>
          <w:szCs w:val="24"/>
        </w:rPr>
        <w:t>conclude Deputies Gregory and/or Walsh did not act recklessly on the rationales that the separate</w:t>
      </w:r>
      <w:r>
        <w:rPr>
          <w:rFonts w:ascii="Times New Roman" w:hAnsi="Times New Roman"/>
          <w:sz w:val="24"/>
          <w:szCs w:val="24"/>
        </w:rPr>
        <w:t xml:space="preserve"> </w:t>
      </w:r>
      <w:r w:rsidRPr="003C7982">
        <w:rPr>
          <w:rFonts w:ascii="Times New Roman" w:hAnsi="Times New Roman"/>
          <w:sz w:val="24"/>
          <w:szCs w:val="24"/>
        </w:rPr>
        <w:t>writing discusses. But on this record and given Ohio courts’ strong preference for a jury to</w:t>
      </w:r>
      <w:r>
        <w:rPr>
          <w:rFonts w:ascii="Times New Roman" w:hAnsi="Times New Roman"/>
          <w:sz w:val="24"/>
          <w:szCs w:val="24"/>
        </w:rPr>
        <w:t xml:space="preserve"> </w:t>
      </w:r>
      <w:r w:rsidRPr="003C7982">
        <w:rPr>
          <w:rFonts w:ascii="Times New Roman" w:hAnsi="Times New Roman"/>
          <w:sz w:val="24"/>
          <w:szCs w:val="24"/>
        </w:rPr>
        <w:t xml:space="preserve">determine whether </w:t>
      </w:r>
      <w:proofErr w:type="gramStart"/>
      <w:r w:rsidRPr="003C7982">
        <w:rPr>
          <w:rFonts w:ascii="Times New Roman" w:hAnsi="Times New Roman"/>
          <w:sz w:val="24"/>
          <w:szCs w:val="24"/>
        </w:rPr>
        <w:t>particular acts</w:t>
      </w:r>
      <w:proofErr w:type="gramEnd"/>
      <w:r w:rsidRPr="003C7982">
        <w:rPr>
          <w:rFonts w:ascii="Times New Roman" w:hAnsi="Times New Roman"/>
          <w:sz w:val="24"/>
          <w:szCs w:val="24"/>
        </w:rPr>
        <w:t xml:space="preserve"> or decisions demonstrate recklessness, the grant of statutory</w:t>
      </w:r>
      <w:r>
        <w:rPr>
          <w:rFonts w:ascii="Times New Roman" w:hAnsi="Times New Roman"/>
          <w:sz w:val="24"/>
          <w:szCs w:val="24"/>
        </w:rPr>
        <w:t xml:space="preserve"> </w:t>
      </w:r>
      <w:r w:rsidRPr="003C7982">
        <w:rPr>
          <w:rFonts w:ascii="Times New Roman" w:hAnsi="Times New Roman"/>
          <w:sz w:val="24"/>
          <w:szCs w:val="24"/>
        </w:rPr>
        <w:t>immunity to Deputies Gregory and Walsh, and therefore the grant of summary judgment in their</w:t>
      </w:r>
      <w:r>
        <w:rPr>
          <w:rFonts w:ascii="Times New Roman" w:hAnsi="Times New Roman"/>
          <w:sz w:val="24"/>
          <w:szCs w:val="24"/>
        </w:rPr>
        <w:t xml:space="preserve"> </w:t>
      </w:r>
      <w:r w:rsidRPr="003C7982">
        <w:rPr>
          <w:rFonts w:ascii="Times New Roman" w:hAnsi="Times New Roman"/>
          <w:sz w:val="24"/>
          <w:szCs w:val="24"/>
        </w:rPr>
        <w:t xml:space="preserve">favor on the </w:t>
      </w:r>
      <w:proofErr w:type="spellStart"/>
      <w:r w:rsidRPr="003C7982">
        <w:rPr>
          <w:rFonts w:ascii="Times New Roman" w:hAnsi="Times New Roman"/>
          <w:sz w:val="24"/>
          <w:szCs w:val="24"/>
        </w:rPr>
        <w:t>Huelsmans</w:t>
      </w:r>
      <w:proofErr w:type="spellEnd"/>
      <w:r w:rsidRPr="003C7982">
        <w:rPr>
          <w:rFonts w:ascii="Times New Roman" w:hAnsi="Times New Roman"/>
          <w:sz w:val="24"/>
          <w:szCs w:val="24"/>
        </w:rPr>
        <w:t>’ state law claims, was also error.</w:t>
      </w:r>
    </w:p>
    <w:p w14:paraId="1D33F791" w14:textId="77777777" w:rsidR="004C2189" w:rsidRDefault="004C2189" w:rsidP="004C2189">
      <w:pPr>
        <w:pStyle w:val="NormalWeb"/>
        <w:ind w:left="720"/>
      </w:pPr>
      <w:r w:rsidRPr="00784817">
        <w:t>Note</w:t>
      </w:r>
      <w:r>
        <w:t xml:space="preserve"> – Pink Slip</w:t>
      </w:r>
    </w:p>
    <w:p w14:paraId="6DAD447F" w14:textId="77777777" w:rsidR="004C2189" w:rsidRDefault="004C2189" w:rsidP="004C2189">
      <w:pPr>
        <w:pStyle w:val="NormalWeb"/>
        <w:ind w:left="720"/>
      </w:pPr>
      <w:r w:rsidRPr="00784817">
        <w:t xml:space="preserve">In Ohio, police officers have authority to “pink slip” an individual for </w:t>
      </w:r>
      <w:proofErr w:type="gramStart"/>
      <w:r w:rsidRPr="00784817">
        <w:t>72 hour</w:t>
      </w:r>
      <w:proofErr w:type="gramEnd"/>
      <w:r w:rsidRPr="00784817">
        <w:t xml:space="preserve"> mental health hold, under Ohio Rev. Code 5122.10</w:t>
      </w:r>
      <w:r>
        <w:t xml:space="preserve">: “substantial risk of physical harm to self or others.”  </w:t>
      </w:r>
      <w:hyperlink r:id="rId2538" w:history="1">
        <w:r w:rsidRPr="003C00DD">
          <w:rPr>
            <w:rStyle w:val="Hyperlink"/>
          </w:rPr>
          <w:t>https://codes.ohio.gov/ohio-revised-code/section-5122.10/9-17-2014</w:t>
        </w:r>
      </w:hyperlink>
      <w:r>
        <w:t xml:space="preserve"> </w:t>
      </w:r>
    </w:p>
    <w:p w14:paraId="2B29BFA3" w14:textId="77777777" w:rsidR="004C2189" w:rsidRPr="00784817" w:rsidRDefault="004C2189" w:rsidP="004C2189">
      <w:pPr>
        <w:pStyle w:val="NormalWeb"/>
        <w:ind w:left="720"/>
      </w:pPr>
      <w:r w:rsidRPr="00784817">
        <w:t>See</w:t>
      </w:r>
      <w:r>
        <w:t xml:space="preserve"> also</w:t>
      </w:r>
      <w:r w:rsidRPr="00784817">
        <w:t xml:space="preserve"> this research publication by Legislative </w:t>
      </w:r>
      <w:r>
        <w:t xml:space="preserve">Service Commission for </w:t>
      </w:r>
      <w:r w:rsidRPr="00784817">
        <w:t xml:space="preserve">Ohio General Assembly, “Involuntary Treatment for Mental Illness.” </w:t>
      </w:r>
      <w:hyperlink r:id="rId2539" w:history="1">
        <w:r w:rsidRPr="00784817">
          <w:rPr>
            <w:rStyle w:val="Hyperlink"/>
          </w:rPr>
          <w:t>https://www.lsc.ohio.gov/assets/organizations/legislative-service-commission/files/involuntary-treatment-for-mental-illness.pdf</w:t>
        </w:r>
      </w:hyperlink>
      <w:r w:rsidRPr="00784817">
        <w:t xml:space="preserve"> </w:t>
      </w:r>
    </w:p>
    <w:p w14:paraId="6E590CC7" w14:textId="77777777" w:rsidR="003A2816" w:rsidRDefault="003A2816" w:rsidP="000C4DF5">
      <w:pPr>
        <w:pStyle w:val="NoSpacing"/>
        <w:rPr>
          <w:rFonts w:ascii="Arial Black" w:hAnsi="Arial Black"/>
          <w:sz w:val="24"/>
          <w:szCs w:val="24"/>
        </w:rPr>
      </w:pPr>
    </w:p>
    <w:p w14:paraId="24B8BCF5" w14:textId="77777777" w:rsidR="003A2816" w:rsidRDefault="003A2816" w:rsidP="000C4DF5">
      <w:pPr>
        <w:pStyle w:val="NoSpacing"/>
        <w:rPr>
          <w:rFonts w:ascii="Arial Black" w:hAnsi="Arial Black"/>
          <w:sz w:val="24"/>
          <w:szCs w:val="24"/>
        </w:rPr>
      </w:pPr>
    </w:p>
    <w:p w14:paraId="523569D9" w14:textId="77777777" w:rsidR="003A2816" w:rsidRDefault="003A2816" w:rsidP="000C4DF5">
      <w:pPr>
        <w:pStyle w:val="NoSpacing"/>
        <w:rPr>
          <w:rFonts w:ascii="Arial Black" w:hAnsi="Arial Black"/>
          <w:sz w:val="24"/>
          <w:szCs w:val="24"/>
        </w:rPr>
      </w:pPr>
    </w:p>
    <w:p w14:paraId="5344F339" w14:textId="5E35D4E6" w:rsidR="00EC5D4A" w:rsidRDefault="00EC5D4A" w:rsidP="000C4DF5">
      <w:pPr>
        <w:pStyle w:val="NoSpacing"/>
        <w:rPr>
          <w:rFonts w:ascii="Arial Black" w:hAnsi="Arial Black"/>
          <w:sz w:val="24"/>
          <w:szCs w:val="24"/>
        </w:rPr>
      </w:pPr>
      <w:r>
        <w:rPr>
          <w:rFonts w:ascii="Arial Black" w:hAnsi="Arial Black"/>
          <w:sz w:val="24"/>
          <w:szCs w:val="24"/>
        </w:rPr>
        <w:t>15-27</w:t>
      </w:r>
    </w:p>
    <w:p w14:paraId="395AC890" w14:textId="77777777" w:rsidR="00EC5D4A" w:rsidRDefault="00EC5D4A" w:rsidP="00EC5D4A">
      <w:pPr>
        <w:pStyle w:val="NormalWeb"/>
        <w:rPr>
          <w:rFonts w:ascii="Arial Black" w:hAnsi="Arial Black"/>
          <w:b/>
          <w:bCs/>
          <w:sz w:val="28"/>
          <w:szCs w:val="28"/>
        </w:rPr>
      </w:pPr>
      <w:r>
        <w:rPr>
          <w:rFonts w:ascii="Arial Black" w:hAnsi="Arial Black"/>
          <w:b/>
          <w:bCs/>
          <w:sz w:val="28"/>
          <w:szCs w:val="28"/>
        </w:rPr>
        <w:t>WV: MENTAL CALL / SUICIDE – LAWUIT PROCEED SHERIFF POLICY “NO SUNDAY” RESPONSES – EMS / PD IMMUNITY</w:t>
      </w:r>
    </w:p>
    <w:p w14:paraId="27105A09" w14:textId="6ACD061D" w:rsidR="00EC5D4A" w:rsidRDefault="00EC5D4A" w:rsidP="00EC5D4A">
      <w:pPr>
        <w:pStyle w:val="NoSpacing"/>
        <w:rPr>
          <w:rStyle w:val="Hyperlink"/>
          <w:rFonts w:ascii="Times New Roman" w:hAnsi="Times New Roman"/>
          <w:sz w:val="24"/>
          <w:szCs w:val="24"/>
        </w:rPr>
      </w:pPr>
      <w:r w:rsidRPr="00EC5D4A">
        <w:rPr>
          <w:rFonts w:ascii="Times New Roman" w:hAnsi="Times New Roman"/>
          <w:sz w:val="24"/>
          <w:szCs w:val="24"/>
        </w:rPr>
        <w:t xml:space="preserve">On Dec. 21, 2023, in </w:t>
      </w:r>
      <w:r w:rsidRPr="00EC5D4A">
        <w:rPr>
          <w:rFonts w:ascii="Times New Roman" w:hAnsi="Times New Roman"/>
          <w:sz w:val="24"/>
          <w:szCs w:val="24"/>
          <w:u w:val="single"/>
        </w:rPr>
        <w:t>Rex Eagon and Diane Egon, individually as co-administrators of the Estate of Darien M. Eagon v. Cambell County Emergency Medical Service, et al</w:t>
      </w:r>
      <w:r w:rsidRPr="00EC5D4A">
        <w:rPr>
          <w:rFonts w:ascii="Times New Roman" w:hAnsi="Times New Roman"/>
          <w:sz w:val="24"/>
          <w:szCs w:val="24"/>
        </w:rPr>
        <w:t xml:space="preserve">., U.S. District Court Judge Robert C. Chambers, United States District Court, S.D. West Virginia, Huntington Division, held that City of Huntington police officers and County EMS are immune from liability, but plaintiffs may proceed with pre-trial discovery on allegations that County Sheriff.  The Court wrote: “Certainly, there are no allegations that Sheriff Zerkle or any employee of the Sheriff's Department were at the scene, had any knowledge of Ms. Eagon's situation, or ever had any contact with her. Without any of these connections with Ms. Eagon, the Court agrees with the County Defendants that Plaintiffs have not plausibly alleged Sheriff Zerkle acted with direct ‘intent’ to inflict emotional distress upon Ms. Eagon or her parents. However, for purposes of a motion to dismiss, the Court must assume the truthfulness of Plaintiffs' allegation that Sheriff Zerkle adopted, enforced, and made known to EMS and HPD that his </w:t>
      </w:r>
      <w:proofErr w:type="gramStart"/>
      <w:r w:rsidRPr="00EC5D4A">
        <w:rPr>
          <w:rFonts w:ascii="Times New Roman" w:hAnsi="Times New Roman"/>
          <w:sz w:val="24"/>
          <w:szCs w:val="24"/>
        </w:rPr>
        <w:t>Department</w:t>
      </w:r>
      <w:proofErr w:type="gramEnd"/>
      <w:r w:rsidRPr="00EC5D4A">
        <w:rPr>
          <w:rFonts w:ascii="Times New Roman" w:hAnsi="Times New Roman"/>
          <w:sz w:val="24"/>
          <w:szCs w:val="24"/>
        </w:rPr>
        <w:t xml:space="preserve"> had a custom, practice, or policy of not dispatching deputies to respond to any mental health crises on a Sunday, regardless of how urgent or dire the situation presents. From this vantage, the Court finds this allegation is sufficient to plausibly allege Sheriff Zerkle intentionally acted so recklessly that it was substantially certain that someone like Plaintiffs would suffer emotional distress. Additionally, it is plausible that such custom, practice, or policy could be found to be ‘atrocious, intolerable, and so extreme and outrageous as to exceed the bounds of decency[.]’ </w:t>
      </w:r>
      <w:r w:rsidRPr="00EC5D4A">
        <w:rPr>
          <w:rStyle w:val="Emphasis"/>
          <w:rFonts w:ascii="Times New Roman" w:hAnsi="Times New Roman"/>
          <w:sz w:val="24"/>
          <w:szCs w:val="24"/>
        </w:rPr>
        <w:t>Hoops</w:t>
      </w:r>
      <w:r w:rsidRPr="00EC5D4A">
        <w:rPr>
          <w:rFonts w:ascii="Times New Roman" w:hAnsi="Times New Roman"/>
          <w:sz w:val="24"/>
          <w:szCs w:val="24"/>
        </w:rPr>
        <w:t xml:space="preserve">, 2022 WL 2400039, at *7 (internal quotation marks and citation omitted). Therefore, the Court finds Count IV is sufficient as to Sheriff Zerkle and </w:t>
      </w:r>
      <w:r w:rsidRPr="00EC5D4A">
        <w:rPr>
          <w:rStyle w:val="Strong"/>
          <w:rFonts w:ascii="Times New Roman" w:hAnsi="Times New Roman"/>
          <w:b w:val="0"/>
          <w:bCs w:val="0"/>
          <w:sz w:val="24"/>
          <w:szCs w:val="24"/>
        </w:rPr>
        <w:t>DENIES</w:t>
      </w:r>
      <w:r w:rsidRPr="00EC5D4A">
        <w:rPr>
          <w:rFonts w:ascii="Times New Roman" w:hAnsi="Times New Roman"/>
          <w:sz w:val="24"/>
          <w:szCs w:val="24"/>
        </w:rPr>
        <w:t xml:space="preserve"> the County Defendants' motion to have this Count dismissed against him.</w:t>
      </w:r>
      <w:r w:rsidRPr="00EC5D4A">
        <w:rPr>
          <w:rFonts w:ascii="Times New Roman" w:hAnsi="Times New Roman"/>
          <w:sz w:val="24"/>
          <w:szCs w:val="24"/>
          <w:vertAlign w:val="superscript"/>
        </w:rPr>
        <w:t xml:space="preserve">” </w:t>
      </w:r>
      <w:hyperlink r:id="rId2540" w:history="1">
        <w:r w:rsidRPr="00EC5D4A">
          <w:rPr>
            <w:rStyle w:val="Hyperlink"/>
            <w:rFonts w:ascii="Times New Roman" w:hAnsi="Times New Roman"/>
            <w:sz w:val="24"/>
            <w:szCs w:val="24"/>
          </w:rPr>
          <w:t>https://public.fastcase.com/ZZhmr5v9wN%2FXOe5IsQ%2FqD7d2ApzwrZCQvAZQlM%2B4VVcvgALpNi2VKyyjI%2Bz22f3P?utm_medium=email&amp;_hsmi=226712652&amp;_hsenc=p2ANqtz-9QV0nznODHw4_m_j0AE4K8p0b7Wes2e9d7AzOOyb86IGbeyJ8jbpovdpcqHFVtvrmWyxti44YX_ZuNCNTYmJshWS7Dxw&amp;utm_content=226712652&amp;utm_source=hs_email</w:t>
        </w:r>
      </w:hyperlink>
    </w:p>
    <w:p w14:paraId="1AB70322" w14:textId="77777777" w:rsidR="003A2816" w:rsidRDefault="003A2816" w:rsidP="00EC5D4A">
      <w:pPr>
        <w:pStyle w:val="NoSpacing"/>
        <w:rPr>
          <w:rStyle w:val="Hyperlink"/>
          <w:rFonts w:ascii="Times New Roman" w:hAnsi="Times New Roman"/>
          <w:sz w:val="24"/>
          <w:szCs w:val="24"/>
        </w:rPr>
      </w:pPr>
    </w:p>
    <w:p w14:paraId="0EFF8B1F" w14:textId="77777777" w:rsidR="003A2816" w:rsidRDefault="003A2816" w:rsidP="003A2816">
      <w:pPr>
        <w:pStyle w:val="NormalWeb"/>
        <w:rPr>
          <w:b/>
          <w:bCs/>
        </w:rPr>
      </w:pPr>
      <w:r w:rsidRPr="00E57983">
        <w:rPr>
          <w:b/>
          <w:bCs/>
        </w:rPr>
        <w:t xml:space="preserve">Legal Lesson Learned: </w:t>
      </w:r>
      <w:r>
        <w:rPr>
          <w:b/>
          <w:bCs/>
        </w:rPr>
        <w:t xml:space="preserve">Police body camera footage of interaction with </w:t>
      </w:r>
      <w:proofErr w:type="gramStart"/>
      <w:r>
        <w:rPr>
          <w:b/>
          <w:bCs/>
        </w:rPr>
        <w:t>patient</w:t>
      </w:r>
      <w:proofErr w:type="gramEnd"/>
      <w:r>
        <w:rPr>
          <w:b/>
          <w:bCs/>
        </w:rPr>
        <w:t xml:space="preserve"> very helpful; EMS should likewise consider using body cameras on mental health and other patient refusals. </w:t>
      </w:r>
    </w:p>
    <w:p w14:paraId="7C88DF87" w14:textId="77777777" w:rsidR="003A2816" w:rsidRPr="006E25D9" w:rsidRDefault="003A2816" w:rsidP="003A2816">
      <w:pPr>
        <w:pStyle w:val="NormalWeb"/>
        <w:ind w:left="720"/>
      </w:pPr>
      <w:r w:rsidRPr="006E25D9">
        <w:t xml:space="preserve">Note:  The Court referenced </w:t>
      </w:r>
      <w:proofErr w:type="gramStart"/>
      <w:r>
        <w:t>in its decision (Footnote 3) this interview</w:t>
      </w:r>
      <w:proofErr w:type="gramEnd"/>
      <w:r>
        <w:t xml:space="preserve">. </w:t>
      </w:r>
      <w:r w:rsidRPr="006E25D9">
        <w:t xml:space="preserve">West Virginia Public Broadcasting, Cabell Sheriff Says System Broken As 20 Percent </w:t>
      </w:r>
      <w:proofErr w:type="gramStart"/>
      <w:r w:rsidRPr="006E25D9">
        <w:t>Of</w:t>
      </w:r>
      <w:proofErr w:type="gramEnd"/>
      <w:r w:rsidRPr="006E25D9">
        <w:t xml:space="preserve"> Mental Safety Pickups Go Unanswered </w:t>
      </w:r>
      <w:proofErr w:type="gramStart"/>
      <w:r w:rsidRPr="006E25D9">
        <w:t>In</w:t>
      </w:r>
      <w:proofErr w:type="gramEnd"/>
      <w:r w:rsidRPr="006E25D9">
        <w:t xml:space="preserve"> County (Apr. 5, 2021) </w:t>
      </w:r>
      <w:r w:rsidRPr="006E25D9">
        <w:rPr>
          <w:rStyle w:val="Emphasis"/>
        </w:rPr>
        <w:t>https://perma.cc/4EPP-E4TC</w:t>
      </w:r>
      <w:r w:rsidRPr="006E25D9">
        <w:t>.</w:t>
      </w:r>
    </w:p>
    <w:p w14:paraId="29F431E2" w14:textId="77777777" w:rsidR="003A2816" w:rsidRPr="006B4455" w:rsidRDefault="003A2816" w:rsidP="003A2816">
      <w:pPr>
        <w:pStyle w:val="NormalWeb"/>
        <w:ind w:left="720"/>
      </w:pPr>
      <w:r w:rsidRPr="006B4455">
        <w:t xml:space="preserve">“Cabell Sheriff Says System Broken As 20 Percent </w:t>
      </w:r>
      <w:proofErr w:type="gramStart"/>
      <w:r w:rsidRPr="006B4455">
        <w:t>Of</w:t>
      </w:r>
      <w:proofErr w:type="gramEnd"/>
      <w:r w:rsidRPr="006B4455">
        <w:t xml:space="preserve"> Mental Safety Pickups Go Unanswered </w:t>
      </w:r>
      <w:proofErr w:type="gramStart"/>
      <w:r w:rsidRPr="006B4455">
        <w:t>In</w:t>
      </w:r>
      <w:proofErr w:type="gramEnd"/>
      <w:r w:rsidRPr="006B4455">
        <w:t xml:space="preserve"> County,” April 5, 2021.  </w:t>
      </w:r>
      <w:hyperlink r:id="rId2541" w:history="1">
        <w:r w:rsidRPr="006B4455">
          <w:rPr>
            <w:rStyle w:val="Hyperlink"/>
          </w:rPr>
          <w:t>https://perma.cc/4EPP-E4TC</w:t>
        </w:r>
      </w:hyperlink>
      <w:r w:rsidRPr="006B4455">
        <w:t xml:space="preserve"> </w:t>
      </w:r>
    </w:p>
    <w:p w14:paraId="182A7E0D" w14:textId="77777777" w:rsidR="003A2816" w:rsidRPr="002A3F08" w:rsidRDefault="003A2816" w:rsidP="003A2816">
      <w:pPr>
        <w:pStyle w:val="NormalWeb"/>
        <w:ind w:left="720"/>
      </w:pPr>
      <w:r>
        <w:t>“</w:t>
      </w:r>
      <w:r w:rsidRPr="002A3F08">
        <w:t xml:space="preserve">In West Virginia, when a person is thought to be a threat to themselves or others, they can be involuntarily committed to a mental health facility through a process known as a </w:t>
      </w:r>
      <w:r>
        <w:t>‘</w:t>
      </w:r>
      <w:r w:rsidRPr="002A3F08">
        <w:t>mental hygiene petition.</w:t>
      </w:r>
      <w:r>
        <w:t>’</w:t>
      </w:r>
      <w:r w:rsidRPr="002A3F08">
        <w:t xml:space="preserve"> These petitions, usually taken out by a family member or outreach worker, </w:t>
      </w:r>
      <w:proofErr w:type="gramStart"/>
      <w:r w:rsidRPr="002A3F08">
        <w:t>have to</w:t>
      </w:r>
      <w:proofErr w:type="gramEnd"/>
      <w:r w:rsidRPr="002A3F08">
        <w:t xml:space="preserve"> be approved by a county court and require a sheriff’s deputy to help transport the person being committed.</w:t>
      </w:r>
    </w:p>
    <w:p w14:paraId="31326F1F" w14:textId="77777777" w:rsidR="003A2816" w:rsidRDefault="003A2816" w:rsidP="003A2816">
      <w:pPr>
        <w:pStyle w:val="NormalWeb"/>
        <w:ind w:left="720"/>
      </w:pPr>
      <w:r w:rsidRPr="002A3F08">
        <w:t>But in Cabell County, data from a mental health facility show at least 75 mental hygiene orders went unanswered by the Cabell County Sheriff’s Department in 2020. The sheriff says his department is overwhelmed.</w:t>
      </w:r>
    </w:p>
    <w:p w14:paraId="76DDCD27" w14:textId="77777777" w:rsidR="003A2816" w:rsidRDefault="003A2816" w:rsidP="003A2816">
      <w:pPr>
        <w:pStyle w:val="NormalWeb"/>
        <w:ind w:left="720"/>
      </w:pPr>
      <w:r>
        <w:t>***</w:t>
      </w:r>
    </w:p>
    <w:p w14:paraId="361449A7" w14:textId="77777777" w:rsidR="003A2816" w:rsidRDefault="003A2816" w:rsidP="003A2816">
      <w:pPr>
        <w:pStyle w:val="NormalWeb"/>
        <w:ind w:left="720"/>
      </w:pPr>
      <w:r>
        <w:t>Cabell County Sheriff Chuck Zerkle explains the mental hygiene process at his office in Huntington, West Virginia, on Wednesday, March 31, 2021.</w:t>
      </w:r>
    </w:p>
    <w:p w14:paraId="435A6881" w14:textId="77777777" w:rsidR="003A2816" w:rsidRDefault="003A2816" w:rsidP="003A2816">
      <w:pPr>
        <w:pStyle w:val="NormalWeb"/>
        <w:ind w:left="720"/>
      </w:pPr>
      <w:r>
        <w:t xml:space="preserve">Zerkle added that in 2020 alone, his office received approximately one mental hygiene order </w:t>
      </w:r>
      <w:r>
        <w:rPr>
          <w:i/>
          <w:iCs/>
        </w:rPr>
        <w:t>a day</w:t>
      </w:r>
      <w:r>
        <w:t xml:space="preserve"> from the courts. And per the WV State Code, only sheriffs and their deputies are approved to execute mental hygiene. He says his office can’t keep up.</w:t>
      </w:r>
    </w:p>
    <w:p w14:paraId="7E67F8B9" w14:textId="77777777" w:rsidR="003A2816" w:rsidRDefault="003A2816" w:rsidP="003A2816">
      <w:pPr>
        <w:pStyle w:val="NormalWeb"/>
        <w:ind w:left="1440"/>
      </w:pPr>
      <w:r>
        <w:rPr>
          <w:b/>
          <w:bCs/>
        </w:rPr>
        <w:t>“</w:t>
      </w:r>
      <w:r>
        <w:t>We all want to agree that we’re all wanting to help ourselves dig out of this opioid issue and the mental health issue. But you’ve got a small minority of law enforcement that is saddled with doing this.</w:t>
      </w:r>
    </w:p>
    <w:p w14:paraId="75BDC591" w14:textId="77777777" w:rsidR="003A2816" w:rsidRDefault="003A2816" w:rsidP="003A2816">
      <w:pPr>
        <w:pStyle w:val="NormalWeb"/>
        <w:ind w:left="720"/>
      </w:pPr>
      <w:r>
        <w:t>For Zerkle, the only way to fix the problem is to change the law regarding mental hygiene orders. He doesn’t see why lawmakers can’t approve all law enforcement agencies to do these pickups.</w:t>
      </w:r>
    </w:p>
    <w:p w14:paraId="0C514F54" w14:textId="77777777" w:rsidR="003A2816" w:rsidRDefault="003A2816" w:rsidP="003A2816">
      <w:pPr>
        <w:pStyle w:val="NormalWeb"/>
        <w:ind w:left="1440"/>
      </w:pPr>
      <w:r>
        <w:t>“My perfect world would be law enforcement would secure them, get them to the facility, get the stuff started, and then we leave and turn it over to someone else that’s medically trained to take care of these people,” he said.</w:t>
      </w:r>
    </w:p>
    <w:p w14:paraId="265D028A" w14:textId="77777777" w:rsidR="003A2816" w:rsidRDefault="003A2816" w:rsidP="003A2816">
      <w:pPr>
        <w:pStyle w:val="NormalWeb"/>
        <w:ind w:left="720"/>
      </w:pPr>
      <w:r>
        <w:t xml:space="preserve">Currently, two bills have been introduced by Sen. Charles Trump, a Republican from Morgan County, that would address mental hygiene orders in the state. The new bills would expand the window deputies have to pick people up from 10 to 20 days and remove the need for deputies to first take people to the hospital prior to transporting them to a mental health facility. </w:t>
      </w:r>
      <w:proofErr w:type="gramStart"/>
      <w:r>
        <w:t>Both of these</w:t>
      </w:r>
      <w:proofErr w:type="gramEnd"/>
      <w:r>
        <w:t xml:space="preserve"> bills have made it out of the senate and are currently being heard by the House Health and Human Resources Committee.”</w:t>
      </w:r>
    </w:p>
    <w:p w14:paraId="59372460" w14:textId="77777777" w:rsidR="003A2816" w:rsidRDefault="003A2816" w:rsidP="003A2816">
      <w:pPr>
        <w:pStyle w:val="NoSpacing"/>
        <w:ind w:left="720"/>
        <w:rPr>
          <w:rFonts w:ascii="Times New Roman" w:hAnsi="Times New Roman"/>
          <w:sz w:val="24"/>
          <w:szCs w:val="24"/>
        </w:rPr>
      </w:pPr>
    </w:p>
    <w:p w14:paraId="6D7079DA" w14:textId="77777777" w:rsidR="003A2816" w:rsidRPr="00EC5D4A" w:rsidRDefault="003A2816" w:rsidP="00EC5D4A">
      <w:pPr>
        <w:pStyle w:val="NoSpacing"/>
        <w:rPr>
          <w:rFonts w:ascii="Times New Roman" w:hAnsi="Times New Roman"/>
          <w:sz w:val="24"/>
          <w:szCs w:val="24"/>
        </w:rPr>
      </w:pPr>
    </w:p>
    <w:p w14:paraId="35B31B3D" w14:textId="77777777" w:rsidR="00EC5D4A" w:rsidRDefault="00EC5D4A" w:rsidP="000C4DF5">
      <w:pPr>
        <w:pStyle w:val="NoSpacing"/>
        <w:rPr>
          <w:rFonts w:ascii="Arial Black" w:hAnsi="Arial Black"/>
          <w:sz w:val="24"/>
          <w:szCs w:val="24"/>
        </w:rPr>
      </w:pPr>
    </w:p>
    <w:p w14:paraId="6F0DB125" w14:textId="1733B4FD" w:rsidR="00832745" w:rsidRDefault="00832745" w:rsidP="000C4DF5">
      <w:pPr>
        <w:pStyle w:val="NoSpacing"/>
        <w:rPr>
          <w:rFonts w:ascii="Arial Black" w:hAnsi="Arial Black"/>
          <w:sz w:val="24"/>
          <w:szCs w:val="24"/>
        </w:rPr>
      </w:pPr>
      <w:r>
        <w:rPr>
          <w:rFonts w:ascii="Arial Black" w:hAnsi="Arial Black"/>
          <w:sz w:val="24"/>
          <w:szCs w:val="24"/>
        </w:rPr>
        <w:t>15-26</w:t>
      </w:r>
    </w:p>
    <w:p w14:paraId="58D4A639" w14:textId="77777777" w:rsidR="00832745" w:rsidRDefault="00832745" w:rsidP="00832745">
      <w:pPr>
        <w:pStyle w:val="NormalWeb"/>
        <w:rPr>
          <w:rFonts w:ascii="Arial Black" w:hAnsi="Arial Black"/>
          <w:sz w:val="28"/>
          <w:szCs w:val="28"/>
        </w:rPr>
      </w:pPr>
      <w:r>
        <w:rPr>
          <w:rFonts w:ascii="Arial Black" w:hAnsi="Arial Black"/>
          <w:sz w:val="28"/>
          <w:szCs w:val="28"/>
        </w:rPr>
        <w:t xml:space="preserve">WA: NEW PTSD LAW NOT RETROACTIVE – FF HAD EXHIBITED PTSD PRIOR EFFECTIVE DATE – NOT COVERED </w:t>
      </w:r>
    </w:p>
    <w:p w14:paraId="70F9BF95" w14:textId="77777777" w:rsidR="00832745" w:rsidRDefault="00832745" w:rsidP="00832745">
      <w:pPr>
        <w:pStyle w:val="NormalWeb"/>
      </w:pPr>
      <w:r>
        <w:t xml:space="preserve">On Oct. 2, 2023, in </w:t>
      </w:r>
      <w:r>
        <w:rPr>
          <w:u w:val="single"/>
        </w:rPr>
        <w:t>Frank DeYoung v. The City of Mount Vernon and the Department of Labor and Industries</w:t>
      </w:r>
      <w:r>
        <w:t xml:space="preserve">, the Court of Appeals of the State of Washington, held (3 to 0) that the new PTSD statute for police and fire, making PTSD </w:t>
      </w:r>
      <w:proofErr w:type="spellStart"/>
      <w:proofErr w:type="gramStart"/>
      <w:r>
        <w:t>a</w:t>
      </w:r>
      <w:proofErr w:type="spellEnd"/>
      <w:proofErr w:type="gramEnd"/>
      <w:r>
        <w:t xml:space="preserve"> occupational disease, is not retroactive.  The Court held that the firefighter’s claim on Oct. 24, </w:t>
      </w:r>
      <w:proofErr w:type="gramStart"/>
      <w:r>
        <w:t>2019</w:t>
      </w:r>
      <w:proofErr w:type="gramEnd"/>
      <w:r>
        <w:t xml:space="preserve"> is not covered by the statute. “DeYoung also asserts that the requirement in RCW 51.32.185(5) that a firefighter must have served at least ten years before they are eligible to make a claim indicates the legislature’s intent to apply the statute retroactively. According to DeYoung, applying the statute prospectively would mean that no firefighter will be eligible to file a claim for occupational disease benefits for PTSD until 2028. Id. The plain language of the statute does not support such an interpretation. The statute establishes that only firefighters who have served the minimum number of years may file a claim for occupational disease benefits for PTSD. Nothing about the provision is indicative of retroactivity.” </w:t>
      </w:r>
      <w:hyperlink r:id="rId2542" w:history="1">
        <w:r>
          <w:rPr>
            <w:rStyle w:val="Hyperlink"/>
          </w:rPr>
          <w:t>https://cases.justia.com/washington/court-of-appeals-division-i/2023-84561-6-0.pdf?ts=1696273779</w:t>
        </w:r>
      </w:hyperlink>
      <w:r>
        <w:t xml:space="preserve"> </w:t>
      </w:r>
    </w:p>
    <w:p w14:paraId="49B95CAC" w14:textId="77777777" w:rsidR="000518BE" w:rsidRDefault="000518BE" w:rsidP="000518BE">
      <w:pPr>
        <w:pStyle w:val="Heading1"/>
        <w:rPr>
          <w:sz w:val="24"/>
          <w:szCs w:val="24"/>
        </w:rPr>
      </w:pPr>
      <w:r>
        <w:rPr>
          <w:sz w:val="24"/>
          <w:szCs w:val="24"/>
        </w:rPr>
        <w:t xml:space="preserve">Legal Lesson Learned: Legislatures when drafting new benefits for firefighters should in the statute or the legislative history make clear whether the law is retroactive. </w:t>
      </w:r>
    </w:p>
    <w:p w14:paraId="63268BF8" w14:textId="77777777" w:rsidR="00832745" w:rsidRDefault="00832745" w:rsidP="000C4DF5">
      <w:pPr>
        <w:pStyle w:val="NoSpacing"/>
        <w:rPr>
          <w:rFonts w:ascii="Arial Black" w:hAnsi="Arial Black"/>
          <w:sz w:val="24"/>
          <w:szCs w:val="24"/>
        </w:rPr>
      </w:pPr>
    </w:p>
    <w:p w14:paraId="0D52EABB" w14:textId="77777777" w:rsidR="00832745" w:rsidRDefault="00832745" w:rsidP="000C4DF5">
      <w:pPr>
        <w:pStyle w:val="NoSpacing"/>
        <w:rPr>
          <w:rFonts w:ascii="Arial Black" w:hAnsi="Arial Black"/>
          <w:sz w:val="24"/>
          <w:szCs w:val="24"/>
        </w:rPr>
      </w:pPr>
    </w:p>
    <w:p w14:paraId="302C51AA" w14:textId="7B51D485" w:rsidR="00D66BAA" w:rsidRDefault="00D66BAA" w:rsidP="000C4DF5">
      <w:pPr>
        <w:pStyle w:val="NoSpacing"/>
        <w:rPr>
          <w:rFonts w:ascii="Arial Black" w:hAnsi="Arial Black"/>
          <w:sz w:val="24"/>
          <w:szCs w:val="24"/>
        </w:rPr>
      </w:pPr>
      <w:r>
        <w:rPr>
          <w:rFonts w:ascii="Arial Black" w:hAnsi="Arial Black"/>
          <w:sz w:val="24"/>
          <w:szCs w:val="24"/>
        </w:rPr>
        <w:t>15-25</w:t>
      </w:r>
    </w:p>
    <w:p w14:paraId="7A84A0DA" w14:textId="6B2DAF80" w:rsidR="00D66BAA" w:rsidRDefault="00D66BAA" w:rsidP="00D66BAA">
      <w:pPr>
        <w:pStyle w:val="NormalWeb"/>
        <w:rPr>
          <w:rFonts w:ascii="Arial Black" w:hAnsi="Arial Black"/>
          <w:sz w:val="28"/>
          <w:szCs w:val="28"/>
        </w:rPr>
      </w:pPr>
      <w:r>
        <w:rPr>
          <w:rFonts w:ascii="Arial Black" w:hAnsi="Arial Black"/>
          <w:sz w:val="28"/>
          <w:szCs w:val="28"/>
        </w:rPr>
        <w:t xml:space="preserve">IL: PTSD - DENIED LINE-OF-DUTY DISABILITY PENSION – FELL OFF LADDER 2007 – STRESS FROM DEMOTION 2019 </w:t>
      </w:r>
    </w:p>
    <w:p w14:paraId="4D1BB1D9" w14:textId="77777777" w:rsidR="00D66BAA" w:rsidRDefault="00D66BAA" w:rsidP="00D66BAA">
      <w:pPr>
        <w:pStyle w:val="NormalWeb"/>
      </w:pPr>
      <w:r>
        <w:t xml:space="preserve">On March 24, 2023, in </w:t>
      </w:r>
      <w:r>
        <w:rPr>
          <w:u w:val="single"/>
        </w:rPr>
        <w:t>Arthur Szymala v, Romeoville Firefighters’ Pension Fund, et al</w:t>
      </w:r>
      <w:r>
        <w:t xml:space="preserve">., the Court of Appeals of Illinois, Third District, held (3 to 0) that the Pension Board, and the trial court judge, each properly held that the firefighter was not entitled to Line-Of-Duty disability; the firefighter claimed he was disabled due to his posttraumatic stress disorder (PTSD) and major depressive disorder. </w:t>
      </w:r>
    </w:p>
    <w:p w14:paraId="3A82A5FA" w14:textId="77777777" w:rsidR="00D66BAA" w:rsidRDefault="00D66BAA" w:rsidP="00D66BAA">
      <w:pPr>
        <w:pStyle w:val="NormalWeb"/>
        <w:ind w:left="720"/>
      </w:pPr>
      <w:r>
        <w:t xml:space="preserve">The Court of Appeals referenced Board decision, which was made after the firefighter was examined by three independent medical experts (IMEs): “The Board concluded that the plaintiff did not prove a disability, noting: (1) the minor injuries reported after the fall that he fully recovered from, (2) Dr. Eschbach's opinion linking the fall and his condition was based on incomplete and inaccurate information, (3) the plaintiff succeeded in his career for many years following the fall and was promoted after a competitive test, (4) the plaintiff reported a change in work conditions when the department brought in a new battalion chief who frequently challenged the plaintiff's work performance (evidencing a personal dispute rather than a deficit in brain functioning from a fall seven to eight years prior), and (5) the plaintiff only ever reported the claimed conditions immediately following his demotion.” </w:t>
      </w:r>
      <w:hyperlink r:id="rId2543" w:history="1">
        <w:r>
          <w:rPr>
            <w:rStyle w:val="Hyperlink"/>
          </w:rPr>
          <w:t>https://ilcourtsaudio.blob.core.windows.net/antilles-resources/resources/92cdfb54-2dda-4342-acee-d86ea11493ea/Szymala%20v.%20Romeoville%20Firefighters%27%20Pension%20Fund,%202023%20IL%20App%20(3d)%20220093-U.pdf</w:t>
        </w:r>
      </w:hyperlink>
      <w:r>
        <w:t xml:space="preserve"> </w:t>
      </w:r>
    </w:p>
    <w:p w14:paraId="412640FC" w14:textId="77777777" w:rsidR="00D66BAA" w:rsidRDefault="00D66BAA" w:rsidP="00D66BAA">
      <w:pPr>
        <w:pStyle w:val="NormalWeb"/>
        <w:ind w:left="720"/>
      </w:pPr>
      <w:r>
        <w:t xml:space="preserve">“In 2013, the plaintiff was promoted to lieutenant following a competitive promotional testing process. However, he testified that management decided that his performance as lieutenant was inadequate between 2015 and 2018. Around May 2017, the plaintiff was placed on a ‘Performance Improvement Plan’, which included an evaluation of his work performance as lieutenant from May 24, 2017, through February 28, 2018. He </w:t>
      </w:r>
      <w:proofErr w:type="gramStart"/>
      <w:r>
        <w:t>entered into</w:t>
      </w:r>
      <w:proofErr w:type="gramEnd"/>
      <w:r>
        <w:t xml:space="preserve"> a ‘Last Chance Agreement’ in April 2018, where he acknowledged deficiencies in his work performance and agreed to improve these areas during a period of 60 work shifts or risk </w:t>
      </w:r>
      <w:proofErr w:type="gramStart"/>
      <w:r>
        <w:t>a demotion</w:t>
      </w:r>
      <w:proofErr w:type="gramEnd"/>
      <w:r>
        <w:t xml:space="preserve">. The agreement </w:t>
      </w:r>
      <w:proofErr w:type="gramStart"/>
      <w:r>
        <w:t>provided that</w:t>
      </w:r>
      <w:proofErr w:type="gramEnd"/>
      <w:r>
        <w:t xml:space="preserve"> he failed to meet various guidelines, such as working as a team, leading personnel, communicating effectively, and working calmly in stressful situations.</w:t>
      </w:r>
    </w:p>
    <w:p w14:paraId="7397E33A" w14:textId="77777777" w:rsidR="00D66BAA" w:rsidRDefault="00D66BAA" w:rsidP="00D66BAA">
      <w:pPr>
        <w:pStyle w:val="NormalWeb"/>
        <w:ind w:left="720"/>
      </w:pPr>
      <w:r>
        <w:t>***</w:t>
      </w:r>
    </w:p>
    <w:p w14:paraId="24F5268D" w14:textId="77777777" w:rsidR="00D66BAA" w:rsidRDefault="00D66BAA" w:rsidP="00D66BAA">
      <w:pPr>
        <w:pStyle w:val="NormalWeb"/>
        <w:ind w:left="720"/>
      </w:pPr>
      <w:r>
        <w:t>On January 29, 2019, the plaintiff attended a meeting with Chief Kent Adams, other fire department officials, and the Union Executive Board. During the meeting, Chief Adams informed the plaintiff that he failed to satisfactorily complete the Performance Improvement Plan and terms of the Last Chance Agreement and that his performance as lieutenant remained inadequate. The plaintiff was also informed that he was being demoted from lieutenant to firefighter/paramedic effectively immediately.”</w:t>
      </w:r>
    </w:p>
    <w:p w14:paraId="6BD4BA13" w14:textId="77777777" w:rsidR="00D66BAA" w:rsidRDefault="00D66BAA" w:rsidP="00D66BAA">
      <w:pPr>
        <w:pStyle w:val="NormalWeb"/>
        <w:rPr>
          <w:b/>
          <w:bCs/>
        </w:rPr>
      </w:pPr>
      <w:r>
        <w:rPr>
          <w:b/>
          <w:bCs/>
        </w:rPr>
        <w:t xml:space="preserve">Legal Lesson Learned: Working for a “difficult” Battalion Chief may </w:t>
      </w:r>
      <w:proofErr w:type="gramStart"/>
      <w:r>
        <w:rPr>
          <w:b/>
          <w:bCs/>
        </w:rPr>
        <w:t>definitely cause</w:t>
      </w:r>
      <w:proofErr w:type="gramEnd"/>
      <w:r>
        <w:rPr>
          <w:b/>
          <w:bCs/>
        </w:rPr>
        <w:t xml:space="preserve"> stress, but it is not proof of a line-of-duty disability.</w:t>
      </w:r>
    </w:p>
    <w:p w14:paraId="5AF35659" w14:textId="77777777" w:rsidR="00D66BAA" w:rsidRDefault="00D66BAA" w:rsidP="00D66BAA">
      <w:pPr>
        <w:pStyle w:val="NormalWeb"/>
        <w:rPr>
          <w:b/>
          <w:bCs/>
        </w:rPr>
      </w:pPr>
    </w:p>
    <w:p w14:paraId="1CF19242" w14:textId="77777777" w:rsidR="00D66BAA" w:rsidRDefault="00D66BAA" w:rsidP="000C4DF5">
      <w:pPr>
        <w:pStyle w:val="NoSpacing"/>
        <w:rPr>
          <w:rFonts w:ascii="Arial Black" w:hAnsi="Arial Black"/>
          <w:sz w:val="24"/>
          <w:szCs w:val="24"/>
        </w:rPr>
      </w:pPr>
    </w:p>
    <w:p w14:paraId="1D7CB2FD" w14:textId="77777777" w:rsidR="00D66BAA" w:rsidRDefault="00D66BAA" w:rsidP="000C4DF5">
      <w:pPr>
        <w:pStyle w:val="NoSpacing"/>
        <w:rPr>
          <w:rFonts w:ascii="Arial Black" w:hAnsi="Arial Black"/>
          <w:sz w:val="24"/>
          <w:szCs w:val="24"/>
        </w:rPr>
      </w:pPr>
    </w:p>
    <w:p w14:paraId="03DF357C" w14:textId="77777777" w:rsidR="00D66BAA" w:rsidRDefault="00D66BAA" w:rsidP="000C4DF5">
      <w:pPr>
        <w:pStyle w:val="NoSpacing"/>
        <w:rPr>
          <w:rFonts w:ascii="Arial Black" w:hAnsi="Arial Black"/>
          <w:sz w:val="24"/>
          <w:szCs w:val="24"/>
        </w:rPr>
      </w:pPr>
    </w:p>
    <w:p w14:paraId="0593526A" w14:textId="53EB45BD" w:rsidR="00F55395" w:rsidRDefault="00F55395" w:rsidP="000C4DF5">
      <w:pPr>
        <w:pStyle w:val="NoSpacing"/>
        <w:rPr>
          <w:rFonts w:ascii="Arial Black" w:hAnsi="Arial Black"/>
          <w:sz w:val="24"/>
          <w:szCs w:val="24"/>
        </w:rPr>
      </w:pPr>
      <w:r>
        <w:rPr>
          <w:rFonts w:ascii="Arial Black" w:hAnsi="Arial Black"/>
          <w:sz w:val="24"/>
          <w:szCs w:val="24"/>
        </w:rPr>
        <w:t>15-24</w:t>
      </w:r>
    </w:p>
    <w:p w14:paraId="0B98FCC8" w14:textId="77777777" w:rsidR="00F55395" w:rsidRPr="00AD7734" w:rsidRDefault="00F55395" w:rsidP="00F55395">
      <w:pPr>
        <w:pStyle w:val="NormalWeb"/>
        <w:rPr>
          <w:rFonts w:ascii="Arial Black" w:hAnsi="Arial Black"/>
          <w:b/>
          <w:bCs/>
          <w:sz w:val="28"/>
          <w:szCs w:val="28"/>
        </w:rPr>
      </w:pPr>
      <w:r>
        <w:rPr>
          <w:rFonts w:ascii="Arial Black" w:hAnsi="Arial Black"/>
          <w:b/>
          <w:bCs/>
          <w:sz w:val="28"/>
          <w:szCs w:val="28"/>
        </w:rPr>
        <w:t>LA: FD FINANCE MGR. – EAP COUNSELING SESSIONS ONLY AFTER WORK – RESIGNED - NO CONSTRUCTIVE DISCHARGE</w:t>
      </w:r>
    </w:p>
    <w:p w14:paraId="07262CBF" w14:textId="77777777" w:rsidR="00F55395" w:rsidRDefault="00F55395" w:rsidP="00F55395">
      <w:pPr>
        <w:pStyle w:val="NormalWeb"/>
      </w:pPr>
      <w:r>
        <w:t xml:space="preserve">On March 1, 2023, in </w:t>
      </w:r>
      <w:r w:rsidRPr="00AD7734">
        <w:rPr>
          <w:u w:val="single"/>
        </w:rPr>
        <w:t>Sherita Ann Cooks v. The City of Shreveport, et al</w:t>
      </w:r>
      <w:r>
        <w:t xml:space="preserve">., the Court of Appeals of Louisiana, Second Circuit, held (3 to 0) that the trial court properly dismissed her claim of that workplace was so hostile that she was forced to quit.  The Court wrote: “The plaintiff's summary judgment evidence falls far short of prima facie proof of constructive termination. The entirety of the evidence that she cites in support of that claim consists of an April 2016 email exchange between her and Chief Tolliver wherein the plaintiff requested an explanation as to why she could not attend an EAP session during her lunch hour, even though it would take more than one hour when including travel time. The plaintiff offered to compensate the </w:t>
      </w:r>
      <w:proofErr w:type="gramStart"/>
      <w:r>
        <w:t>City</w:t>
      </w:r>
      <w:proofErr w:type="gramEnd"/>
      <w:r>
        <w:t xml:space="preserve"> for the time the session required </w:t>
      </w:r>
      <w:proofErr w:type="gramStart"/>
      <w:r>
        <w:t>in excess of</w:t>
      </w:r>
      <w:proofErr w:type="gramEnd"/>
      <w:r>
        <w:t xml:space="preserve"> the allotted one-hour lunch by taking sick leave. In response, Chief Tolliver granted the plaintiff permission to attend one session during her lunch hour, but stated that, thereafter, the plaintiff would have to adhere to the fire department's policy of requiring that EAP sessions take place after work hours.” </w:t>
      </w:r>
      <w:hyperlink r:id="rId2544" w:history="1">
        <w:r w:rsidRPr="003F256B">
          <w:rPr>
            <w:rStyle w:val="Hyperlink"/>
            <w:rFonts w:eastAsiaTheme="majorEastAsia"/>
          </w:rPr>
          <w:t>https://law.justia.com/cases/louisiana/second-circuit-court-of-appeal/2023/54-841-ca.html</w:t>
        </w:r>
      </w:hyperlink>
      <w:r>
        <w:t xml:space="preserve"> </w:t>
      </w:r>
    </w:p>
    <w:p w14:paraId="5E8F55AE" w14:textId="77777777" w:rsidR="00F55395" w:rsidRDefault="00F55395" w:rsidP="00F55395">
      <w:pPr>
        <w:pStyle w:val="NormalWeb"/>
        <w:ind w:left="720"/>
      </w:pPr>
      <w:r>
        <w:t>“This case stems from the plaintiff's employment as a financial accreditation manager with the Shreveport Fire Department, which began in June 2014. In or around December 2014, the plaintiff's immediate supervisor, Chief of Communications, Kathy Rushworth (‘Chief Rushworth’), allegedly ordered the plaintiff to spend her personal money on official fire department business and indicated that plaintiff would be reimbursed from an "off the books" bank account known as the International CAD Consortium fund (‘ICC fund’). It contained money that was to fund a consortium event; the event was later canceled, but the money was not refunded. The plaintiff alleged that her assistant, Ashley Wiggins (‘Wiggins’), and Chief Rushworth, used the ICC fund as a ‘slush fund,’ and that Chief Rushworth instructed her to not open the ICC bank statements or mention the ICC fund to the finance auditor or Violet Anderson, the Assistant Chief of Communications.</w:t>
      </w:r>
    </w:p>
    <w:p w14:paraId="3BD6DA30" w14:textId="77777777" w:rsidR="00F55395" w:rsidRDefault="00F55395" w:rsidP="00F55395">
      <w:pPr>
        <w:pStyle w:val="NormalWeb"/>
        <w:ind w:left="720"/>
      </w:pPr>
      <w:r>
        <w:t>***</w:t>
      </w:r>
    </w:p>
    <w:p w14:paraId="3C7D4572" w14:textId="77777777" w:rsidR="00F55395" w:rsidRDefault="00F55395" w:rsidP="00F55395">
      <w:pPr>
        <w:pStyle w:val="NormalWeb"/>
        <w:ind w:left="720"/>
      </w:pPr>
      <w:r>
        <w:t xml:space="preserve">Also, in April 2016, because of the stress that the hostile work environment and the slush fund matter allegedly </w:t>
      </w:r>
      <w:proofErr w:type="gramStart"/>
      <w:r>
        <w:t>caused her</w:t>
      </w:r>
      <w:proofErr w:type="gramEnd"/>
      <w:r>
        <w:t xml:space="preserve">, the plaintiff voluntarily began counseling or psychiatry sessions pursuant to the city's employee assistance </w:t>
      </w:r>
      <w:proofErr w:type="gramStart"/>
      <w:r>
        <w:t>program (‘</w:t>
      </w:r>
      <w:proofErr w:type="gramEnd"/>
      <w:r>
        <w:t>EAP’). However, with only one exception, she was not allowed to use her sick leave to attend these sessions during the workday. Furthermore, as previously stated, the plaintiff took a two-month sabbatical beginning in April 2016. It bears repeating that when the plaintiff returned to work in June 2016, both Chief Rushworth and Wiggins were no longer employed with the Shreveport Fire Department. The plaintiff did not quit her job until November 2016.”</w:t>
      </w:r>
    </w:p>
    <w:p w14:paraId="2CDDF05F" w14:textId="77777777" w:rsidR="00F55395" w:rsidRPr="00927A58" w:rsidRDefault="00F55395" w:rsidP="00F55395">
      <w:pPr>
        <w:pStyle w:val="NormalWeb"/>
        <w:rPr>
          <w:b/>
          <w:bCs/>
        </w:rPr>
      </w:pPr>
      <w:r w:rsidRPr="00927A58">
        <w:rPr>
          <w:b/>
          <w:bCs/>
        </w:rPr>
        <w:t>Legal Lesson Learned:</w:t>
      </w:r>
      <w:r>
        <w:rPr>
          <w:b/>
          <w:bCs/>
        </w:rPr>
        <w:t xml:space="preserve">  Employee Assistance Programs (EAP) can be very beneficial.  Consider adding a provision in employee handbook allowing sick leave to be used.  </w:t>
      </w:r>
    </w:p>
    <w:p w14:paraId="4D2B278C" w14:textId="757CC001" w:rsidR="00F55395" w:rsidRDefault="00F55395" w:rsidP="000C4DF5">
      <w:pPr>
        <w:pStyle w:val="NoSpacing"/>
        <w:rPr>
          <w:rFonts w:ascii="Arial Black" w:hAnsi="Arial Black"/>
          <w:sz w:val="24"/>
          <w:szCs w:val="24"/>
        </w:rPr>
      </w:pPr>
    </w:p>
    <w:p w14:paraId="79593F02" w14:textId="77777777" w:rsidR="00F55395" w:rsidRDefault="00F55395" w:rsidP="000C4DF5">
      <w:pPr>
        <w:pStyle w:val="NoSpacing"/>
        <w:rPr>
          <w:rFonts w:ascii="Arial Black" w:hAnsi="Arial Black"/>
          <w:sz w:val="24"/>
          <w:szCs w:val="24"/>
        </w:rPr>
      </w:pPr>
    </w:p>
    <w:p w14:paraId="1239225A" w14:textId="77777777" w:rsidR="00F55395" w:rsidRDefault="00F55395" w:rsidP="000C4DF5">
      <w:pPr>
        <w:pStyle w:val="NoSpacing"/>
        <w:rPr>
          <w:rFonts w:ascii="Arial Black" w:hAnsi="Arial Black"/>
          <w:sz w:val="24"/>
          <w:szCs w:val="24"/>
        </w:rPr>
      </w:pPr>
    </w:p>
    <w:p w14:paraId="4DDEDF4C" w14:textId="6FD324D6" w:rsidR="00F55395" w:rsidRDefault="00F55395" w:rsidP="000C4DF5">
      <w:pPr>
        <w:pStyle w:val="NoSpacing"/>
        <w:rPr>
          <w:rFonts w:ascii="Arial Black" w:hAnsi="Arial Black"/>
          <w:sz w:val="24"/>
          <w:szCs w:val="24"/>
        </w:rPr>
      </w:pPr>
      <w:r>
        <w:rPr>
          <w:rFonts w:ascii="Arial Black" w:hAnsi="Arial Black"/>
          <w:sz w:val="24"/>
          <w:szCs w:val="24"/>
        </w:rPr>
        <w:t>15-23</w:t>
      </w:r>
    </w:p>
    <w:p w14:paraId="41E250C5" w14:textId="77777777" w:rsidR="00F55395" w:rsidRDefault="00F55395" w:rsidP="00F55395">
      <w:pPr>
        <w:pStyle w:val="NormalWeb"/>
        <w:rPr>
          <w:rFonts w:ascii="Arial Black" w:hAnsi="Arial Black"/>
          <w:b/>
          <w:bCs/>
          <w:sz w:val="28"/>
          <w:szCs w:val="28"/>
        </w:rPr>
      </w:pPr>
      <w:r>
        <w:rPr>
          <w:rFonts w:ascii="Arial Black" w:hAnsi="Arial Black"/>
          <w:b/>
          <w:bCs/>
          <w:sz w:val="28"/>
          <w:szCs w:val="28"/>
        </w:rPr>
        <w:t xml:space="preserve">FL: BAT. CHIEF “EXTREMELY ANXIOUS” MAKING EMER. RUNS – DENIED OFFICE WORK ONLY - PIP - FIRED </w:t>
      </w:r>
    </w:p>
    <w:p w14:paraId="22417CBF" w14:textId="77777777" w:rsidR="00F55395" w:rsidRDefault="00F55395" w:rsidP="00F55395">
      <w:pPr>
        <w:pStyle w:val="NormalWeb"/>
      </w:pPr>
      <w:r w:rsidRPr="00930FD8">
        <w:t xml:space="preserve">On Feb. 14, 2023, in </w:t>
      </w:r>
      <w:r w:rsidRPr="00930FD8">
        <w:rPr>
          <w:u w:val="single"/>
        </w:rPr>
        <w:t>William Valencia v. Haines City, Florida,</w:t>
      </w:r>
      <w:r w:rsidRPr="00930FD8">
        <w:t xml:space="preserve"> </w:t>
      </w:r>
      <w:r>
        <w:t xml:space="preserve">U.S. District Court Judge Tom Barber granted City’s motion for summary judgment.  The Battalion Chief suffered from high blood pressure and anxiety, and in 2018 the Fire Chief allowed him to do administrative work and not make emergency runs. In February 2019, Jeffrey Davidson became the new Fire Chief. Plaintiff asked Davidson to excuse him from running calls. Davidson did not agree, and he asked Plaintiff to provide medical documentation to support the request, which Plaintiff never did. He was placed on a 90-day Performance Improvement Plan [PIPO|] in </w:t>
      </w:r>
      <w:proofErr w:type="gramStart"/>
      <w:r>
        <w:t>Nov. 2019, and</w:t>
      </w:r>
      <w:proofErr w:type="gramEnd"/>
      <w:r>
        <w:t xml:space="preserve"> ultimately fired after a pre-disciplinary hearing on April 10, 2020.  The Court held: “In short, Defendant has pointed to legitimate reasons that would motivate a reasonable employer to take the actions it did, and Plaintiff has not shown that the reasons were pretextual under the standards set forth above. Defendant may have been high-handed, unfair, or wrong, but Plaintiff has pointed to no evidence that its stated reasons were not the real reasons. Accordingly, Defendant's motion for summary judgment is granted.” </w:t>
      </w:r>
      <w:hyperlink r:id="rId2545" w:history="1">
        <w:r w:rsidRPr="00933DFB">
          <w:rPr>
            <w:rStyle w:val="Hyperlink"/>
            <w:rFonts w:eastAsiaTheme="majorEastAsia"/>
          </w:rPr>
          <w:t>https://storage.courtlistener.com/recap/gov.uscourts.flmd.392068/gov.uscourts.flmd.392068.43.0.pdf</w:t>
        </w:r>
      </w:hyperlink>
      <w:r>
        <w:t xml:space="preserve"> </w:t>
      </w:r>
    </w:p>
    <w:p w14:paraId="455B636F" w14:textId="77777777" w:rsidR="00F55395" w:rsidRPr="00930FD8" w:rsidRDefault="00F55395" w:rsidP="00F55395">
      <w:pPr>
        <w:pStyle w:val="NormalWeb"/>
        <w:ind w:left="720"/>
        <w:rPr>
          <w:rFonts w:ascii="Arial Black" w:hAnsi="Arial Black"/>
          <w:b/>
          <w:bCs/>
          <w:sz w:val="28"/>
          <w:szCs w:val="28"/>
        </w:rPr>
      </w:pPr>
      <w:r>
        <w:t xml:space="preserve">“Defendant [Fire Department] has offered legitimate non-discriminatory and non-retaliatory reasons for Plaintiff's discipline and termination, identifying numerous specific incidents and problems with Plaintiff's performance as Battalion Chief in 2019. Chief Davidson supported his recommendation that Plaintiff be terminated by citing the following issues, among others: multiple instances of improper use of a department purchasing card for supplies without using a tax exemption as required by department policy, failure to turn in an assignment in time for Davidson to use at a meeting, failure to send part of another assignment until reminded to do so by Davidson, turning in a report that was due in October on November 1, 2019, failing to attend a training class as directed, failing to prepare a draft purchasing procedure as directed, and coming to a meeting without a list of specific job responsibilities as directed.” </w:t>
      </w:r>
    </w:p>
    <w:p w14:paraId="5E026E11" w14:textId="77777777" w:rsidR="00F55395" w:rsidRDefault="00F55395" w:rsidP="00F55395">
      <w:pPr>
        <w:pStyle w:val="NormalWeb"/>
        <w:rPr>
          <w:b/>
          <w:bCs/>
        </w:rPr>
      </w:pPr>
      <w:r w:rsidRPr="006C0460">
        <w:rPr>
          <w:b/>
          <w:bCs/>
        </w:rPr>
        <w:t>Legal Lesson Learned:</w:t>
      </w:r>
      <w:r>
        <w:rPr>
          <w:b/>
          <w:bCs/>
        </w:rPr>
        <w:t xml:space="preserve">  A “PIP” can be an effective management tool.    </w:t>
      </w:r>
    </w:p>
    <w:p w14:paraId="1E456CBA" w14:textId="77777777" w:rsidR="00F55395" w:rsidRPr="006C0460" w:rsidRDefault="00F55395" w:rsidP="00F55395">
      <w:pPr>
        <w:pStyle w:val="NormalWeb"/>
        <w:ind w:left="720"/>
        <w:rPr>
          <w:b/>
          <w:bCs/>
        </w:rPr>
      </w:pPr>
      <w:r w:rsidRPr="00FE0DD3">
        <w:t xml:space="preserve">Note: See EEOC description of “reasonable </w:t>
      </w:r>
      <w:r>
        <w:t>a</w:t>
      </w:r>
      <w:r w:rsidRPr="00FE0DD3">
        <w:t>ccommodations” obligations under ADA</w:t>
      </w:r>
      <w:r>
        <w:t>.</w:t>
      </w:r>
      <w:r w:rsidRPr="00FE0DD3">
        <w:t xml:space="preserve"> “</w:t>
      </w:r>
      <w:r>
        <w:t xml:space="preserve">An employer doesn't have to provide an accommodation if doing so would cause undue hardship to the business.  Undue hardship means that the accommodation would be too difficult or too expensive to provide, </w:t>
      </w:r>
      <w:proofErr w:type="gramStart"/>
      <w:r>
        <w:t>in light of</w:t>
      </w:r>
      <w:proofErr w:type="gramEnd"/>
      <w:r>
        <w:t xml:space="preserve"> the employer's size, financial resources, and the needs of the business.” </w:t>
      </w:r>
      <w:hyperlink r:id="rId2546" w:history="1">
        <w:r w:rsidRPr="00557FA1">
          <w:rPr>
            <w:rStyle w:val="Hyperlink"/>
            <w:rFonts w:eastAsiaTheme="majorEastAsia"/>
          </w:rPr>
          <w:t>https://www.eeoc.gov/disability-discrimination-and-employment-decisions</w:t>
        </w:r>
      </w:hyperlink>
      <w:r>
        <w:t xml:space="preserve"> </w:t>
      </w:r>
    </w:p>
    <w:p w14:paraId="0F2963B2" w14:textId="77777777" w:rsidR="00F55395" w:rsidRDefault="00F55395" w:rsidP="000C4DF5">
      <w:pPr>
        <w:pStyle w:val="NoSpacing"/>
        <w:rPr>
          <w:rFonts w:ascii="Arial Black" w:hAnsi="Arial Black"/>
          <w:sz w:val="24"/>
          <w:szCs w:val="24"/>
        </w:rPr>
      </w:pPr>
    </w:p>
    <w:p w14:paraId="02A65238" w14:textId="77777777" w:rsidR="00F55395" w:rsidRDefault="00F55395" w:rsidP="000C4DF5">
      <w:pPr>
        <w:pStyle w:val="NoSpacing"/>
        <w:rPr>
          <w:rFonts w:ascii="Arial Black" w:hAnsi="Arial Black"/>
          <w:sz w:val="24"/>
          <w:szCs w:val="24"/>
        </w:rPr>
      </w:pPr>
    </w:p>
    <w:p w14:paraId="1DF8E2A4" w14:textId="77777777" w:rsidR="00F55395" w:rsidRDefault="00F55395" w:rsidP="000C4DF5">
      <w:pPr>
        <w:pStyle w:val="NoSpacing"/>
        <w:rPr>
          <w:rFonts w:ascii="Arial Black" w:hAnsi="Arial Black"/>
          <w:sz w:val="24"/>
          <w:szCs w:val="24"/>
        </w:rPr>
      </w:pPr>
    </w:p>
    <w:p w14:paraId="2346BD04" w14:textId="41ACD1C9" w:rsidR="00BA3CDE" w:rsidRDefault="00BA3CDE" w:rsidP="000C4DF5">
      <w:pPr>
        <w:pStyle w:val="NoSpacing"/>
        <w:rPr>
          <w:rFonts w:ascii="Arial Black" w:hAnsi="Arial Black"/>
          <w:sz w:val="24"/>
          <w:szCs w:val="24"/>
        </w:rPr>
      </w:pPr>
      <w:r>
        <w:rPr>
          <w:rFonts w:ascii="Arial Black" w:hAnsi="Arial Black"/>
          <w:sz w:val="24"/>
          <w:szCs w:val="24"/>
        </w:rPr>
        <w:t>15-22</w:t>
      </w:r>
    </w:p>
    <w:p w14:paraId="27E01CB9" w14:textId="77777777" w:rsidR="00BA3CDE" w:rsidRPr="009024DC" w:rsidRDefault="00BA3CDE" w:rsidP="00BA3CDE">
      <w:pPr>
        <w:pStyle w:val="NormalWeb"/>
        <w:rPr>
          <w:rFonts w:ascii="Arial Black" w:hAnsi="Arial Black"/>
          <w:sz w:val="28"/>
          <w:szCs w:val="28"/>
        </w:rPr>
      </w:pPr>
      <w:r>
        <w:rPr>
          <w:rFonts w:ascii="Arial Black" w:hAnsi="Arial Black"/>
          <w:sz w:val="28"/>
          <w:szCs w:val="28"/>
        </w:rPr>
        <w:t xml:space="preserve">MN: PTSD STATUTORY PRESUMPTION - DEPUTY GET WORKER COMP – COUNTY PSYCH IME NOT FOR 10 MONTHS </w:t>
      </w:r>
    </w:p>
    <w:p w14:paraId="5BBAA844" w14:textId="77777777" w:rsidR="00BA3CDE" w:rsidRDefault="00BA3CDE" w:rsidP="00BA3CDE">
      <w:pPr>
        <w:pStyle w:val="NormalWeb"/>
      </w:pPr>
      <w:r>
        <w:t xml:space="preserve">On Dec. 21, 2022, in </w:t>
      </w:r>
      <w:r w:rsidRPr="00DB4210">
        <w:t>Douglas Juntunen v. Carlton County, et al.,</w:t>
      </w:r>
      <w:r>
        <w:t xml:space="preserve"> the Supreme Court of Minnesota held (7 to 0; including 2 concurring opinions) that Deputy Juntunen is entitled to workers compensation. The Deputy’s psychiatrist concluded he suffered from PTSD on the date of the exam, Aug. 20, 2019. The County took 10 months to arrange for their psychiatrist to conduct an independent medical exam (July 20, 2020), who concluded that the Deputy now suffers from major depression but not PTSD. The County therefore failed to rebut the Minnesota statutory presumption for emergency responders.  The Deputy also submitted proof of seeking mental help after the suicide of a former partner in 2016.  He contacted County EAP who referred him to Beth Jordan, a licensed mental health clinician, who he saw four our times during next 3 months. Then in Dec. 2018, he renewed meeting with the Beth Jordan when he found it </w:t>
      </w:r>
      <w:proofErr w:type="gramStart"/>
      <w:r>
        <w:t>more and more</w:t>
      </w:r>
      <w:proofErr w:type="gramEnd"/>
      <w:r>
        <w:t xml:space="preserve"> difficult to report to duty.  Over the next few months, he met with Jordan a few times a month, and he received eye movement desensitization and reprocessing (EMDR) therapy to process the pursuit and suicide, his partner's suicide, his mother's death, and the death of a 16-year-old boy in MVA who had just received his driver’s license. The Workers Comp administrative law judge denied coverage based on the County’s psychiatrist’s report.  On appeal, the Workers' Compensation Court of Appeals reversed since that report was 10 months after the Deputy’s report of PTSD (Aug. 20, 2019).  The Minnesota statutory presumption law became effective for claims made on or after Jan. 1, 2019.</w:t>
      </w:r>
    </w:p>
    <w:p w14:paraId="22D62859" w14:textId="77777777" w:rsidR="00BA3CDE" w:rsidRPr="00B57D9A" w:rsidRDefault="00BA3CDE" w:rsidP="00BA3CDE">
      <w:pPr>
        <w:pStyle w:val="NormalWeb"/>
        <w:ind w:left="720"/>
      </w:pPr>
      <w:r>
        <w:t>“</w:t>
      </w:r>
      <w:r w:rsidRPr="00B57D9A">
        <w:t xml:space="preserve">The employer argues that Dr. Arbisi's opinion from July 2020 was sufficient to rebut the presumption. We disagree. The WCCA determined that the County did not rebut the presumption for the following reason: </w:t>
      </w:r>
    </w:p>
    <w:p w14:paraId="0CD6AA8A" w14:textId="77777777" w:rsidR="00BA3CDE" w:rsidRDefault="00BA3CDE" w:rsidP="00BA3CDE">
      <w:pPr>
        <w:spacing w:after="100" w:line="240" w:lineRule="auto"/>
        <w:ind w:left="1440"/>
        <w:rPr>
          <w:rFonts w:ascii="Times New Roman" w:eastAsia="Times New Roman" w:hAnsi="Times New Roman"/>
          <w:sz w:val="24"/>
          <w:szCs w:val="24"/>
        </w:rPr>
      </w:pPr>
      <w:r w:rsidRPr="00B57D9A">
        <w:rPr>
          <w:rFonts w:ascii="Times New Roman" w:eastAsia="Times New Roman" w:hAnsi="Times New Roman"/>
          <w:sz w:val="24"/>
          <w:szCs w:val="24"/>
        </w:rPr>
        <w:t>The presumption [based on Dr. Keller's diagnosis in September 2019] established that at the time of his disablement from work, the employee had compensable PTSD. To rebut, the employer needed to offer evidence that at the time of the employee's disablement, he did not have a PTSD diagnosis. The employer failed to do so as Dr. Arbisi's opinion was, at the time of his July 2020 evaluation and for the 30 days preceding that evaluation, that the employee did not have a PTSD diagnosis. His opinion, in both his report and his deposition testimony, failed to address the issue surrounding the statutory presumption, specifically whether the employee had a diagnosis of PTSD in September 2019.</w:t>
      </w:r>
      <w:r>
        <w:rPr>
          <w:rFonts w:ascii="Times New Roman" w:eastAsia="Times New Roman" w:hAnsi="Times New Roman"/>
          <w:sz w:val="24"/>
          <w:szCs w:val="24"/>
        </w:rPr>
        <w:t>”</w:t>
      </w:r>
    </w:p>
    <w:p w14:paraId="22591932" w14:textId="77777777" w:rsidR="00BA3CDE" w:rsidRPr="00B57D9A" w:rsidRDefault="00BA3CDE" w:rsidP="00BA3CDE">
      <w:pPr>
        <w:spacing w:after="100" w:line="240" w:lineRule="auto"/>
        <w:ind w:left="720"/>
        <w:rPr>
          <w:rFonts w:ascii="Times New Roman" w:eastAsia="Times New Roman" w:hAnsi="Times New Roman"/>
          <w:sz w:val="24"/>
          <w:szCs w:val="24"/>
        </w:rPr>
      </w:pPr>
      <w:hyperlink r:id="rId2547" w:history="1">
        <w:r w:rsidRPr="006B595F">
          <w:rPr>
            <w:rStyle w:val="Hyperlink"/>
            <w:rFonts w:ascii="Times New Roman" w:eastAsia="Times New Roman" w:hAnsi="Times New Roman"/>
            <w:sz w:val="24"/>
            <w:szCs w:val="24"/>
          </w:rPr>
          <w:t>https://mn.gov/workcomp-stat/2021/Juntunen%20-%2012-28-21.html</w:t>
        </w:r>
      </w:hyperlink>
      <w:r>
        <w:rPr>
          <w:rFonts w:ascii="Times New Roman" w:eastAsia="Times New Roman" w:hAnsi="Times New Roman"/>
          <w:sz w:val="24"/>
          <w:szCs w:val="24"/>
        </w:rPr>
        <w:t xml:space="preserve"> </w:t>
      </w:r>
    </w:p>
    <w:p w14:paraId="4F285B52" w14:textId="77777777" w:rsidR="00BA3CDE" w:rsidRPr="00B57D9A" w:rsidRDefault="00BA3CDE" w:rsidP="00BA3CDE">
      <w:pPr>
        <w:pStyle w:val="NormalWeb"/>
        <w:rPr>
          <w:b/>
          <w:bCs/>
        </w:rPr>
      </w:pPr>
      <w:r w:rsidRPr="00B57D9A">
        <w:rPr>
          <w:b/>
          <w:bCs/>
        </w:rPr>
        <w:t xml:space="preserve">Legal Lesson Learned: </w:t>
      </w:r>
      <w:r>
        <w:rPr>
          <w:b/>
          <w:bCs/>
        </w:rPr>
        <w:t xml:space="preserve"> Statutory presumption for emergency responders </w:t>
      </w:r>
      <w:proofErr w:type="gramStart"/>
      <w:r>
        <w:rPr>
          <w:b/>
          <w:bCs/>
        </w:rPr>
        <w:t>are</w:t>
      </w:r>
      <w:proofErr w:type="gramEnd"/>
      <w:r>
        <w:rPr>
          <w:b/>
          <w:bCs/>
        </w:rPr>
        <w:t xml:space="preserve"> extremely helpful for those seeking workers comp for PTSD,</w:t>
      </w:r>
    </w:p>
    <w:p w14:paraId="5A442F8E" w14:textId="77777777" w:rsidR="00BA3CDE" w:rsidRDefault="00BA3CDE" w:rsidP="00BA3CDE">
      <w:pPr>
        <w:pStyle w:val="NormalWeb"/>
        <w:ind w:left="720"/>
      </w:pPr>
      <w:r>
        <w:t>Note: Two of the seven Minnesota Supreme Court Justices issued a concurring opinion. Justice Anderson wrote:</w:t>
      </w:r>
    </w:p>
    <w:p w14:paraId="04E14177" w14:textId="77777777" w:rsidR="00BA3CDE" w:rsidRPr="00C02792" w:rsidRDefault="00BA3CDE" w:rsidP="00BA3CDE">
      <w:pPr>
        <w:pStyle w:val="NormalWeb"/>
        <w:ind w:left="720"/>
      </w:pPr>
      <w:r>
        <w:t xml:space="preserve">“This [opinion] leaves local government units, and by extension, taxpayers, potentially required to pay disability compensation to any covered employee who is diagnosed with PTSD from the time the employee files the claim until the employer can schedule an independent medical examination, regardless of the validity of the initial diagnosis. *** What amendments, if any, are necessary to clarify the operation of Minn. Stat. § 176.011, subd. 15(e), are within the purview of the Legislative and Executive branches of our government. I write separately only to highlight some potential issues that may, or may not, require further action by those branches.” </w:t>
      </w:r>
      <w:hyperlink r:id="rId2548" w:history="1">
        <w:r w:rsidRPr="00037B1A">
          <w:rPr>
            <w:rStyle w:val="Hyperlink"/>
            <w:rFonts w:eastAsiaTheme="majorEastAsia"/>
          </w:rPr>
          <w:t>https://public.fastcase.com/J%2FJP6pdidelsXxEE4k%2BLMrxVcam7rKBSdRgmN0M2d%2BrW9J8HXjyMcs%2BCJsDK%2Fusk%2B2E9D%2F1BAqASOG07gYFsTW16dm6lb%2FBgwI52A7gDyzw%3D?utm_medium=email&amp;_hsmi=226712652&amp;_hsenc=p2ANqtz-9PBrRsgZ6dWHR_pYoIAB1lqWQVVefDA3UXzg06QZf9i4O0NAY5ywCEjL-xcfOhIm7moLGvuFP1IQS4Gks-qJ07TvkP3Q&amp;utm_content=226712652&amp;utm_source=hs_email</w:t>
        </w:r>
      </w:hyperlink>
    </w:p>
    <w:p w14:paraId="6C9B9641" w14:textId="77777777" w:rsidR="00BA3CDE" w:rsidRDefault="00BA3CDE" w:rsidP="000C4DF5">
      <w:pPr>
        <w:pStyle w:val="NoSpacing"/>
        <w:rPr>
          <w:rFonts w:ascii="Arial Black" w:hAnsi="Arial Black"/>
          <w:sz w:val="24"/>
          <w:szCs w:val="24"/>
        </w:rPr>
      </w:pPr>
    </w:p>
    <w:p w14:paraId="5B8AED27" w14:textId="77777777" w:rsidR="00BA3CDE" w:rsidRDefault="00BA3CDE" w:rsidP="000C4DF5">
      <w:pPr>
        <w:pStyle w:val="NoSpacing"/>
        <w:rPr>
          <w:rFonts w:ascii="Arial Black" w:hAnsi="Arial Black"/>
          <w:sz w:val="24"/>
          <w:szCs w:val="24"/>
        </w:rPr>
      </w:pPr>
    </w:p>
    <w:p w14:paraId="7C1A1458" w14:textId="77777777" w:rsidR="00BA3CDE" w:rsidRDefault="00BA3CDE" w:rsidP="000C4DF5">
      <w:pPr>
        <w:pStyle w:val="NoSpacing"/>
        <w:rPr>
          <w:rFonts w:ascii="Arial Black" w:hAnsi="Arial Black"/>
          <w:sz w:val="24"/>
          <w:szCs w:val="24"/>
        </w:rPr>
      </w:pPr>
    </w:p>
    <w:p w14:paraId="167E6E98" w14:textId="7BB8D040" w:rsidR="00BA3CDE" w:rsidRDefault="00BA3CDE" w:rsidP="000C4DF5">
      <w:pPr>
        <w:pStyle w:val="NoSpacing"/>
        <w:rPr>
          <w:rFonts w:ascii="Arial Black" w:hAnsi="Arial Black"/>
          <w:sz w:val="24"/>
          <w:szCs w:val="24"/>
        </w:rPr>
      </w:pPr>
      <w:r>
        <w:rPr>
          <w:rFonts w:ascii="Arial Black" w:hAnsi="Arial Black"/>
          <w:sz w:val="24"/>
          <w:szCs w:val="24"/>
        </w:rPr>
        <w:t>15-21</w:t>
      </w:r>
    </w:p>
    <w:p w14:paraId="3810AAC9" w14:textId="77777777" w:rsidR="00BA3CDE" w:rsidRDefault="00BA3CDE" w:rsidP="00BA3CDE">
      <w:pPr>
        <w:pStyle w:val="NormalWeb"/>
        <w:rPr>
          <w:rFonts w:ascii="Arial Black" w:hAnsi="Arial Black"/>
          <w:sz w:val="28"/>
          <w:szCs w:val="28"/>
        </w:rPr>
      </w:pPr>
      <w:r>
        <w:rPr>
          <w:rFonts w:ascii="Arial Black" w:hAnsi="Arial Black"/>
          <w:sz w:val="28"/>
          <w:szCs w:val="28"/>
        </w:rPr>
        <w:t>MN: DEPUTY SHERIFF SUICIDE – “KILLED IN LINE-OF-DUTY” PENSION AWARDED TO WIFE – COURT OVERTURNS ALJ</w:t>
      </w:r>
    </w:p>
    <w:p w14:paraId="72749FA8" w14:textId="77777777" w:rsidR="00BA3CDE" w:rsidRDefault="00BA3CDE" w:rsidP="00BA3CDE">
      <w:pPr>
        <w:pStyle w:val="NormalWeb"/>
      </w:pPr>
      <w:r>
        <w:t xml:space="preserve">On Dec. 19, 2022, in </w:t>
      </w:r>
      <w:r w:rsidRPr="00036152">
        <w:rPr>
          <w:u w:val="single"/>
        </w:rPr>
        <w:t xml:space="preserve">In </w:t>
      </w:r>
      <w:proofErr w:type="gramStart"/>
      <w:r w:rsidRPr="00036152">
        <w:rPr>
          <w:u w:val="single"/>
        </w:rPr>
        <w:t>The</w:t>
      </w:r>
      <w:proofErr w:type="gramEnd"/>
      <w:r w:rsidRPr="00036152">
        <w:rPr>
          <w:u w:val="single"/>
        </w:rPr>
        <w:t xml:space="preserve"> Matter </w:t>
      </w:r>
      <w:proofErr w:type="gramStart"/>
      <w:r w:rsidRPr="00036152">
        <w:rPr>
          <w:u w:val="single"/>
        </w:rPr>
        <w:t>Of</w:t>
      </w:r>
      <w:proofErr w:type="gramEnd"/>
      <w:r w:rsidRPr="00036152">
        <w:rPr>
          <w:u w:val="single"/>
        </w:rPr>
        <w:t xml:space="preserve"> </w:t>
      </w:r>
      <w:proofErr w:type="gramStart"/>
      <w:r w:rsidRPr="00036152">
        <w:rPr>
          <w:u w:val="single"/>
        </w:rPr>
        <w:t>A</w:t>
      </w:r>
      <w:proofErr w:type="gramEnd"/>
      <w:r w:rsidRPr="00036152">
        <w:rPr>
          <w:u w:val="single"/>
        </w:rPr>
        <w:t xml:space="preserve"> Public Safety Officer Death Benefit </w:t>
      </w:r>
      <w:proofErr w:type="gramStart"/>
      <w:r w:rsidRPr="00036152">
        <w:rPr>
          <w:u w:val="single"/>
        </w:rPr>
        <w:t>For</w:t>
      </w:r>
      <w:proofErr w:type="gramEnd"/>
      <w:r w:rsidRPr="00036152">
        <w:rPr>
          <w:u w:val="single"/>
        </w:rPr>
        <w:t xml:space="preserve"> Jerome Ri</w:t>
      </w:r>
      <w:r>
        <w:rPr>
          <w:u w:val="single"/>
        </w:rPr>
        <w:t>h</w:t>
      </w:r>
      <w:r w:rsidRPr="00036152">
        <w:rPr>
          <w:u w:val="single"/>
        </w:rPr>
        <w:t>card Lannon (deceased)</w:t>
      </w:r>
      <w:r>
        <w:t>, the Court of Appeals on Minnesota, held (3 to 0) that Administrative Law Judge incorrectly ruled that a deputy’s suicide cannot be considered a “line of duty death.” Deputy Lannon committed suicide in 2018; he had been employed by Washington County Sheriff’s Office since 1999 and had responded to numerous critical incidents including a double murder, multiple suicides, a child's sexual assault, and fatal vehicle crashes. He was also involved in high-stress situations like apprehending a suspect in a domestic dispute who had fired a weapon in the home. Inn 2015, Deputy Lannon was diagnosed with anxiety and depression. In 2016, he began attending therapy to address symptoms of anxiety and depression. In September 2018, he was further injured in a serious car accident and in Nov. 2018 a supervisor brought him to a hospital because he was experiencing suicidal ideations; after his release he committed suicide on Nov. 26, 2018.</w:t>
      </w:r>
    </w:p>
    <w:p w14:paraId="7F1DEA89" w14:textId="77777777" w:rsidR="00BA3CDE" w:rsidRDefault="00BA3CDE" w:rsidP="00BA3CDE">
      <w:pPr>
        <w:pStyle w:val="NormalWeb"/>
        <w:ind w:left="720"/>
      </w:pPr>
      <w:r>
        <w:t xml:space="preserve">“The primary question before us is whether a public safety officer who dies by suicide </w:t>
      </w:r>
      <w:proofErr w:type="gramStart"/>
      <w:r>
        <w:t>as a result of</w:t>
      </w:r>
      <w:proofErr w:type="gramEnd"/>
      <w:r>
        <w:t xml:space="preserve"> job-related PTSD</w:t>
      </w:r>
      <w:r>
        <w:rPr>
          <w:vertAlign w:val="superscript"/>
        </w:rPr>
        <w:t xml:space="preserve"> </w:t>
      </w:r>
      <w:r>
        <w:t xml:space="preserve">is ‘killed in the line of duty’ within the meaning of the death-benefit statute, Minn. Stat. § 299A.44…. We conclude that ‘killed in the line of duty,’ as used in Minn. Stat. § 299A.44, includes a death by suicide resulting from PTSD caused by performing duties peculiar to a public safety officer. Accordingly, survivors of such an officer may qualify for the death benefit provided by Minn. Stat. § 299A.44. We further conclude that relator has presented sufficient evidence to raise a genuine issue of material fact as to whether Deputy Lannon's death by suicide meets that qualification. We therefore reverse and remand to the Office of Administrative Hearings for further proceedings consistent with this </w:t>
      </w:r>
      <w:proofErr w:type="gramStart"/>
      <w:r>
        <w:t>opinion.”</w:t>
      </w:r>
      <w:proofErr w:type="gramEnd"/>
      <w:r>
        <w:t xml:space="preserve"> </w:t>
      </w:r>
      <w:hyperlink r:id="rId2549" w:history="1">
        <w:r w:rsidRPr="00212B30">
          <w:rPr>
            <w:rStyle w:val="Hyperlink"/>
            <w:rFonts w:eastAsiaTheme="majorEastAsia"/>
          </w:rPr>
          <w:t>https://law.justia.com/cases/minnesota/court-of-appeals/2022/a22-0507.html</w:t>
        </w:r>
      </w:hyperlink>
      <w:r>
        <w:t xml:space="preserve"> </w:t>
      </w:r>
    </w:p>
    <w:p w14:paraId="39BB8960" w14:textId="77777777" w:rsidR="00BA3CDE" w:rsidRDefault="00BA3CDE" w:rsidP="00BA3CDE">
      <w:pPr>
        <w:pStyle w:val="NormalWeb"/>
        <w:rPr>
          <w:b/>
          <w:bCs/>
        </w:rPr>
      </w:pPr>
      <w:r w:rsidRPr="003E7459">
        <w:rPr>
          <w:b/>
          <w:bCs/>
        </w:rPr>
        <w:t>Legal Lesson Learned:</w:t>
      </w:r>
      <w:r>
        <w:rPr>
          <w:b/>
          <w:bCs/>
        </w:rPr>
        <w:t xml:space="preserve"> Suicide by public safety officers is a nationwide issue. I hope the widow receives LODD benefits. </w:t>
      </w:r>
    </w:p>
    <w:p w14:paraId="0D6689E0" w14:textId="77777777" w:rsidR="00BA3CDE" w:rsidRDefault="00BA3CDE" w:rsidP="000C4DF5">
      <w:pPr>
        <w:pStyle w:val="NoSpacing"/>
        <w:rPr>
          <w:rFonts w:ascii="Arial Black" w:hAnsi="Arial Black"/>
          <w:sz w:val="24"/>
          <w:szCs w:val="24"/>
        </w:rPr>
      </w:pPr>
    </w:p>
    <w:p w14:paraId="4F8138BD" w14:textId="77777777" w:rsidR="00BA3CDE" w:rsidRDefault="00BA3CDE" w:rsidP="000C4DF5">
      <w:pPr>
        <w:pStyle w:val="NoSpacing"/>
        <w:rPr>
          <w:rFonts w:ascii="Arial Black" w:hAnsi="Arial Black"/>
          <w:sz w:val="24"/>
          <w:szCs w:val="24"/>
        </w:rPr>
      </w:pPr>
    </w:p>
    <w:p w14:paraId="30B1D0F1" w14:textId="77777777" w:rsidR="00BA3CDE" w:rsidRDefault="00BA3CDE" w:rsidP="000C4DF5">
      <w:pPr>
        <w:pStyle w:val="NoSpacing"/>
        <w:rPr>
          <w:rFonts w:ascii="Arial Black" w:hAnsi="Arial Black"/>
          <w:sz w:val="24"/>
          <w:szCs w:val="24"/>
        </w:rPr>
      </w:pPr>
    </w:p>
    <w:p w14:paraId="44243A38" w14:textId="2B6A8660" w:rsidR="00F31C1B" w:rsidRDefault="00F31C1B" w:rsidP="000C4DF5">
      <w:pPr>
        <w:pStyle w:val="NoSpacing"/>
        <w:rPr>
          <w:rFonts w:ascii="Arial Black" w:hAnsi="Arial Black"/>
          <w:sz w:val="24"/>
          <w:szCs w:val="24"/>
        </w:rPr>
      </w:pPr>
      <w:r>
        <w:rPr>
          <w:rFonts w:ascii="Arial Black" w:hAnsi="Arial Black"/>
          <w:sz w:val="24"/>
          <w:szCs w:val="24"/>
        </w:rPr>
        <w:t>15-20</w:t>
      </w:r>
    </w:p>
    <w:p w14:paraId="7A442755" w14:textId="77777777" w:rsidR="00F31C1B" w:rsidRDefault="00F31C1B" w:rsidP="00F31C1B">
      <w:pPr>
        <w:spacing w:before="100" w:beforeAutospacing="1" w:after="100" w:afterAutospacing="1" w:line="240" w:lineRule="auto"/>
        <w:outlineLvl w:val="0"/>
        <w:rPr>
          <w:rFonts w:ascii="Times New Roman" w:eastAsia="Times New Roman" w:hAnsi="Times New Roman"/>
          <w:b/>
          <w:bCs/>
          <w:kern w:val="36"/>
          <w:sz w:val="48"/>
          <w:szCs w:val="48"/>
        </w:rPr>
      </w:pPr>
      <w:bookmarkStart w:id="570" w:name="_Hlk120872340"/>
      <w:r>
        <w:rPr>
          <w:rFonts w:ascii="Arial Black" w:eastAsia="Times New Roman" w:hAnsi="Arial Black"/>
          <w:b/>
          <w:bCs/>
          <w:kern w:val="36"/>
          <w:sz w:val="28"/>
          <w:szCs w:val="28"/>
        </w:rPr>
        <w:t>FL: PTSD – MEDIC WINS WORKERS’ COMP – WHILE TRAUMA RUNS PRIOR NEW STATUTE, LOSS WAGES AFTER 2018 LAW</w:t>
      </w: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F31C1B" w:rsidRPr="004879C2" w14:paraId="71B79F3C" w14:textId="77777777" w:rsidTr="00317ED5">
        <w:trPr>
          <w:tblCellSpacing w:w="15" w:type="dxa"/>
        </w:trPr>
        <w:tc>
          <w:tcPr>
            <w:tcW w:w="0" w:type="auto"/>
            <w:vAlign w:val="center"/>
          </w:tcPr>
          <w:p w14:paraId="23A5ECE1" w14:textId="77777777" w:rsidR="00F31C1B" w:rsidRDefault="00F31C1B" w:rsidP="00317ED5">
            <w:pPr>
              <w:spacing w:after="0" w:line="240" w:lineRule="auto"/>
              <w:rPr>
                <w:rFonts w:ascii="Times New Roman" w:eastAsia="Times New Roman" w:hAnsi="Times New Roman"/>
                <w:kern w:val="36"/>
                <w:sz w:val="24"/>
                <w:szCs w:val="24"/>
              </w:rPr>
            </w:pPr>
            <w:r>
              <w:rPr>
                <w:rFonts w:ascii="Times New Roman" w:eastAsia="Times New Roman" w:hAnsi="Times New Roman"/>
                <w:kern w:val="36"/>
                <w:sz w:val="24"/>
                <w:szCs w:val="24"/>
              </w:rPr>
              <w:t xml:space="preserve">On Nov. 2, 2022, in </w:t>
            </w:r>
            <w:r w:rsidRPr="004879C2">
              <w:rPr>
                <w:rFonts w:ascii="Times New Roman" w:eastAsia="Times New Roman" w:hAnsi="Times New Roman"/>
                <w:kern w:val="36"/>
                <w:sz w:val="24"/>
                <w:szCs w:val="24"/>
                <w:u w:val="single"/>
              </w:rPr>
              <w:t>Mandy Lynn Wyatt v. Polk County Board of Commissioners, et al</w:t>
            </w:r>
            <w:r>
              <w:rPr>
                <w:rFonts w:ascii="Times New Roman" w:eastAsia="Times New Roman" w:hAnsi="Times New Roman"/>
                <w:kern w:val="36"/>
                <w:sz w:val="24"/>
                <w:szCs w:val="24"/>
              </w:rPr>
              <w:t xml:space="preserve">., the Florida Court of Appeals, First District, held (3 to 0) that the firefighter is entitled to workers comp coverage for PTSD.  She first began experiencing nightmares in 2016; began seeing a therapist in 2017; after trauma runs involving children in 2017 and 2018, she left the Department on Nov. 27. 2018.   Statute no longer requires proof of physical injury for workers comp. claim for mental stress. The new Florida statute expanding coverage for emergency responders with PTSD, without need to prove physical injury, was effective Oct. 1, 2018. She lost wages </w:t>
            </w:r>
            <w:proofErr w:type="gramStart"/>
            <w:r>
              <w:rPr>
                <w:rFonts w:ascii="Times New Roman" w:eastAsia="Times New Roman" w:hAnsi="Times New Roman"/>
                <w:kern w:val="36"/>
                <w:sz w:val="24"/>
                <w:szCs w:val="24"/>
              </w:rPr>
              <w:t>because</w:t>
            </w:r>
            <w:proofErr w:type="gramEnd"/>
            <w:r>
              <w:rPr>
                <w:rFonts w:ascii="Times New Roman" w:eastAsia="Times New Roman" w:hAnsi="Times New Roman"/>
                <w:kern w:val="36"/>
                <w:sz w:val="24"/>
                <w:szCs w:val="24"/>
              </w:rPr>
              <w:t xml:space="preserve"> her PTSD after the effective date of the statute and is therefore entitled to workers’ comp for her prior traumatic incidents. </w:t>
            </w:r>
          </w:p>
          <w:p w14:paraId="2F7D371A" w14:textId="77777777" w:rsidR="00F31C1B" w:rsidRPr="006158E8" w:rsidRDefault="00F31C1B" w:rsidP="00317ED5">
            <w:pPr>
              <w:spacing w:after="0" w:line="240" w:lineRule="auto"/>
              <w:rPr>
                <w:rFonts w:ascii="Times New Roman" w:eastAsia="Times New Roman" w:hAnsi="Times New Roman"/>
                <w:sz w:val="24"/>
                <w:szCs w:val="24"/>
              </w:rPr>
            </w:pPr>
          </w:p>
        </w:tc>
      </w:tr>
    </w:tbl>
    <w:bookmarkEnd w:id="570"/>
    <w:p w14:paraId="2C64A2E1" w14:textId="77777777" w:rsidR="00F31C1B" w:rsidRDefault="00F31C1B" w:rsidP="00F31C1B">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806239">
        <w:rPr>
          <w:rStyle w:val="markedcontent"/>
          <w:rFonts w:ascii="Times New Roman" w:hAnsi="Times New Roman"/>
          <w:sz w:val="24"/>
          <w:szCs w:val="24"/>
        </w:rPr>
        <w:t>Application of section 112.1815 makes a difference in the</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determination of a claim like Wyatt’s. For example, Wyatt does not</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claim to have suffered a physical injury at work, and the Workers’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Compensation Law generally places strict limits on</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compensability for a mental or nervous work injury. A</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compensable physical injury must be the major contributing cause</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of the mental or nervous injury, and temporary benefits may not</w:t>
      </w:r>
      <w:r w:rsidRPr="00806239">
        <w:br/>
      </w:r>
      <w:r w:rsidRPr="00806239">
        <w:rPr>
          <w:rStyle w:val="markedcontent"/>
          <w:rFonts w:ascii="Times New Roman" w:hAnsi="Times New Roman"/>
          <w:sz w:val="24"/>
          <w:szCs w:val="24"/>
        </w:rPr>
        <w:t>be paid for more than six months following the date of maximum</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medical improvement for the physical injury. See § 440.093, Fla.</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Stat. (2018). Under this provision (considered alone), Wyatt’s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claimed injury would not be compensable at all. Since its original</w:t>
      </w:r>
      <w:r>
        <w:rPr>
          <w:rStyle w:val="markedcontent"/>
          <w:rFonts w:ascii="Times New Roman" w:hAnsi="Times New Roman"/>
          <w:sz w:val="24"/>
          <w:szCs w:val="24"/>
        </w:rPr>
        <w:t xml:space="preserve"> e</w:t>
      </w:r>
      <w:r w:rsidRPr="00806239">
        <w:rPr>
          <w:rStyle w:val="markedcontent"/>
          <w:rFonts w:ascii="Times New Roman" w:hAnsi="Times New Roman"/>
          <w:sz w:val="24"/>
          <w:szCs w:val="24"/>
        </w:rPr>
        <w:t>nactment in 2007, however, section 112.1815 has eased this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limitation for first responders like Wyatt by allowing for medical</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benefits under section 440.13 to treat a mental or nervous injury</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 xml:space="preserve">suffered at work, even if it was </w:t>
      </w:r>
      <w:r>
        <w:rPr>
          <w:rStyle w:val="markedcontent"/>
          <w:rFonts w:ascii="Times New Roman" w:hAnsi="Times New Roman"/>
          <w:sz w:val="24"/>
          <w:szCs w:val="24"/>
        </w:rPr>
        <w:t>‘</w:t>
      </w:r>
      <w:r w:rsidRPr="00806239">
        <w:rPr>
          <w:rStyle w:val="markedcontent"/>
          <w:rFonts w:ascii="Times New Roman" w:hAnsi="Times New Roman"/>
          <w:sz w:val="24"/>
          <w:szCs w:val="24"/>
        </w:rPr>
        <w:t>unaccompanied by a physical</w:t>
      </w:r>
      <w:r w:rsidRPr="00806239">
        <w:br/>
      </w:r>
      <w:r w:rsidRPr="00806239">
        <w:rPr>
          <w:rStyle w:val="markedcontent"/>
          <w:rFonts w:ascii="Times New Roman" w:hAnsi="Times New Roman"/>
          <w:sz w:val="24"/>
          <w:szCs w:val="24"/>
        </w:rPr>
        <w:t>injury.</w:t>
      </w:r>
      <w:r>
        <w:rPr>
          <w:rStyle w:val="markedcontent"/>
          <w:rFonts w:ascii="Times New Roman" w:hAnsi="Times New Roman"/>
          <w:sz w:val="24"/>
          <w:szCs w:val="24"/>
        </w:rPr>
        <w:t>’</w:t>
      </w:r>
      <w:r w:rsidRPr="00806239">
        <w:rPr>
          <w:rStyle w:val="markedcontent"/>
          <w:rFonts w:ascii="Times New Roman" w:hAnsi="Times New Roman"/>
          <w:sz w:val="24"/>
          <w:szCs w:val="24"/>
        </w:rPr>
        <w:t xml:space="preserve"> § 112.1815(2)(a)3., Fla. Stat. (2018)</w:t>
      </w:r>
      <w:r>
        <w:rPr>
          <w:rStyle w:val="markedcontent"/>
          <w:rFonts w:ascii="Times New Roman" w:hAnsi="Times New Roman"/>
          <w:sz w:val="24"/>
          <w:szCs w:val="24"/>
        </w:rPr>
        <w:t>.</w:t>
      </w:r>
    </w:p>
    <w:p w14:paraId="2BC962BD" w14:textId="77777777" w:rsidR="00F31C1B" w:rsidRDefault="00F31C1B" w:rsidP="00F31C1B">
      <w:pPr>
        <w:pStyle w:val="NoSpacing"/>
        <w:ind w:left="720"/>
        <w:rPr>
          <w:rStyle w:val="markedcontent"/>
          <w:rFonts w:ascii="Times New Roman" w:hAnsi="Times New Roman"/>
          <w:sz w:val="24"/>
          <w:szCs w:val="24"/>
        </w:rPr>
      </w:pPr>
    </w:p>
    <w:p w14:paraId="67DDADB2" w14:textId="77777777" w:rsidR="00F31C1B" w:rsidRDefault="00F31C1B" w:rsidP="00F31C1B">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p>
    <w:p w14:paraId="3E5D78FB" w14:textId="77777777" w:rsidR="00F31C1B" w:rsidRPr="004879C2" w:rsidRDefault="00F31C1B" w:rsidP="00F31C1B">
      <w:pPr>
        <w:pStyle w:val="NoSpacing"/>
        <w:ind w:left="720"/>
        <w:rPr>
          <w:rFonts w:ascii="Times New Roman" w:eastAsia="Times New Roman" w:hAnsi="Times New Roman"/>
          <w:b/>
          <w:bCs/>
          <w:kern w:val="36"/>
          <w:sz w:val="24"/>
          <w:szCs w:val="24"/>
        </w:rPr>
      </w:pPr>
      <w:r>
        <w:rPr>
          <w:rFonts w:ascii="Times New Roman" w:hAnsi="Times New Roman"/>
          <w:sz w:val="24"/>
          <w:szCs w:val="24"/>
        </w:rPr>
        <w:t xml:space="preserve">In </w:t>
      </w:r>
      <w:r w:rsidRPr="004879C2">
        <w:rPr>
          <w:rFonts w:ascii="Times New Roman" w:hAnsi="Times New Roman"/>
          <w:sz w:val="24"/>
          <w:szCs w:val="24"/>
        </w:rPr>
        <w:t xml:space="preserve">2018, the Legislature added </w:t>
      </w:r>
      <w:proofErr w:type="gramStart"/>
      <w:r w:rsidRPr="004879C2">
        <w:rPr>
          <w:rFonts w:ascii="Times New Roman" w:hAnsi="Times New Roman"/>
          <w:sz w:val="24"/>
          <w:szCs w:val="24"/>
        </w:rPr>
        <w:t>a subsection</w:t>
      </w:r>
      <w:proofErr w:type="gramEnd"/>
      <w:r w:rsidRPr="004879C2">
        <w:rPr>
          <w:rFonts w:ascii="Times New Roman" w:hAnsi="Times New Roman"/>
          <w:sz w:val="24"/>
          <w:szCs w:val="24"/>
        </w:rPr>
        <w:t xml:space="preserve"> five to section 112.1815. </w:t>
      </w:r>
      <w:r w:rsidRPr="004879C2">
        <w:rPr>
          <w:rStyle w:val="Emphasis"/>
          <w:rFonts w:ascii="Times New Roman" w:hAnsi="Times New Roman"/>
          <w:sz w:val="24"/>
          <w:szCs w:val="24"/>
        </w:rPr>
        <w:t>See</w:t>
      </w:r>
      <w:r w:rsidRPr="004879C2">
        <w:rPr>
          <w:rFonts w:ascii="Times New Roman" w:hAnsi="Times New Roman"/>
          <w:sz w:val="24"/>
          <w:szCs w:val="24"/>
        </w:rPr>
        <w:t xml:space="preserve"> ch. 2018-124, § 1, at 1655-57, Laws of Fla. The law took effect October 1, 2018, which was after Wyatt's exposure to the various traumas that we identified above, but before Wyatt suffered lost wages </w:t>
      </w:r>
      <w:proofErr w:type="gramStart"/>
      <w:r w:rsidRPr="004879C2">
        <w:rPr>
          <w:rFonts w:ascii="Times New Roman" w:hAnsi="Times New Roman"/>
          <w:sz w:val="24"/>
          <w:szCs w:val="24"/>
        </w:rPr>
        <w:t>as a result of</w:t>
      </w:r>
      <w:proofErr w:type="gramEnd"/>
      <w:r w:rsidRPr="004879C2">
        <w:rPr>
          <w:rFonts w:ascii="Times New Roman" w:hAnsi="Times New Roman"/>
          <w:sz w:val="24"/>
          <w:szCs w:val="24"/>
        </w:rPr>
        <w:t xml:space="preserve"> going out of work for her PTSD. </w:t>
      </w:r>
      <w:r w:rsidRPr="004879C2">
        <w:rPr>
          <w:rStyle w:val="Emphasis"/>
          <w:rFonts w:ascii="Times New Roman" w:hAnsi="Times New Roman"/>
          <w:sz w:val="24"/>
          <w:szCs w:val="24"/>
        </w:rPr>
        <w:t>See id.</w:t>
      </w:r>
      <w:r w:rsidRPr="004879C2">
        <w:rPr>
          <w:rFonts w:ascii="Times New Roman" w:hAnsi="Times New Roman"/>
          <w:sz w:val="24"/>
          <w:szCs w:val="24"/>
        </w:rPr>
        <w:t xml:space="preserve"> § 3, at 1657. The new provision expands compensability for first responders who suffer specifically from PTSD, a particular type of mental injury that ordinarily would have to be addressed under subparagraph (2)(a)3., which we just discussed. Subsection five now directs that PTSD suffered by a first responder be considered a </w:t>
      </w:r>
      <w:r>
        <w:rPr>
          <w:rFonts w:ascii="Times New Roman" w:hAnsi="Times New Roman"/>
          <w:sz w:val="24"/>
          <w:szCs w:val="24"/>
        </w:rPr>
        <w:t>‘</w:t>
      </w:r>
      <w:r w:rsidRPr="004879C2">
        <w:rPr>
          <w:rFonts w:ascii="Times New Roman" w:hAnsi="Times New Roman"/>
          <w:sz w:val="24"/>
          <w:szCs w:val="24"/>
        </w:rPr>
        <w:t>compensable occupational disease</w:t>
      </w:r>
      <w:r>
        <w:rPr>
          <w:rFonts w:ascii="Times New Roman" w:hAnsi="Times New Roman"/>
          <w:sz w:val="24"/>
          <w:szCs w:val="24"/>
        </w:rPr>
        <w:t>’</w:t>
      </w:r>
      <w:r w:rsidRPr="004879C2">
        <w:rPr>
          <w:rFonts w:ascii="Times New Roman" w:hAnsi="Times New Roman"/>
          <w:sz w:val="24"/>
          <w:szCs w:val="24"/>
        </w:rPr>
        <w:t xml:space="preserve"> as provided in section 440.151. § 112.1815(5)(a), (c)1, Fla. Stat. (2018); </w:t>
      </w:r>
      <w:r w:rsidRPr="004879C2">
        <w:rPr>
          <w:rStyle w:val="Emphasis"/>
          <w:rFonts w:ascii="Times New Roman" w:hAnsi="Times New Roman"/>
          <w:sz w:val="24"/>
          <w:szCs w:val="24"/>
        </w:rPr>
        <w:t>see Wilkes</w:t>
      </w:r>
      <w:r w:rsidRPr="004879C2">
        <w:rPr>
          <w:rFonts w:ascii="Times New Roman" w:hAnsi="Times New Roman"/>
          <w:sz w:val="24"/>
          <w:szCs w:val="24"/>
        </w:rPr>
        <w:t xml:space="preserve">, 309 So.3d at 688. Under section 440.151, then, a first responder who cannot work because of PTSD is entitled to not just medical benefits but also indemnity for lost wages stemming from the disability-even without any accompanying physical injury. </w:t>
      </w:r>
      <w:r w:rsidRPr="004879C2">
        <w:rPr>
          <w:rStyle w:val="Emphasis"/>
          <w:rFonts w:ascii="Times New Roman" w:hAnsi="Times New Roman"/>
          <w:sz w:val="24"/>
          <w:szCs w:val="24"/>
        </w:rPr>
        <w:t>Cf.</w:t>
      </w:r>
      <w:r w:rsidRPr="004879C2">
        <w:rPr>
          <w:rFonts w:ascii="Times New Roman" w:hAnsi="Times New Roman"/>
          <w:sz w:val="24"/>
          <w:szCs w:val="24"/>
        </w:rPr>
        <w:t xml:space="preserve"> § 440.151(1), Fla. Stat. (providing that an employee </w:t>
      </w:r>
      <w:r>
        <w:rPr>
          <w:rFonts w:ascii="Times New Roman" w:hAnsi="Times New Roman"/>
          <w:sz w:val="24"/>
          <w:szCs w:val="24"/>
        </w:rPr>
        <w:t>‘</w:t>
      </w:r>
      <w:r w:rsidRPr="004879C2">
        <w:rPr>
          <w:rFonts w:ascii="Times New Roman" w:hAnsi="Times New Roman"/>
          <w:sz w:val="24"/>
          <w:szCs w:val="24"/>
        </w:rPr>
        <w:t>shall be entitled to compensation as provided by this chapter</w:t>
      </w:r>
      <w:r>
        <w:rPr>
          <w:rFonts w:ascii="Times New Roman" w:hAnsi="Times New Roman"/>
          <w:sz w:val="24"/>
          <w:szCs w:val="24"/>
        </w:rPr>
        <w:t>’</w:t>
      </w:r>
      <w:r w:rsidRPr="004879C2">
        <w:rPr>
          <w:rFonts w:ascii="Times New Roman" w:hAnsi="Times New Roman"/>
          <w:sz w:val="24"/>
          <w:szCs w:val="24"/>
        </w:rPr>
        <w:t xml:space="preserve"> if the employee becomes disabled </w:t>
      </w:r>
      <w:proofErr w:type="gramStart"/>
      <w:r w:rsidRPr="004879C2">
        <w:rPr>
          <w:rFonts w:ascii="Times New Roman" w:hAnsi="Times New Roman"/>
          <w:sz w:val="24"/>
          <w:szCs w:val="24"/>
        </w:rPr>
        <w:t>as a result of</w:t>
      </w:r>
      <w:proofErr w:type="gramEnd"/>
      <w:r w:rsidRPr="004879C2">
        <w:rPr>
          <w:rFonts w:ascii="Times New Roman" w:hAnsi="Times New Roman"/>
          <w:sz w:val="24"/>
          <w:szCs w:val="24"/>
        </w:rPr>
        <w:t xml:space="preserve"> </w:t>
      </w:r>
      <w:r>
        <w:rPr>
          <w:rFonts w:ascii="Times New Roman" w:hAnsi="Times New Roman"/>
          <w:sz w:val="24"/>
          <w:szCs w:val="24"/>
        </w:rPr>
        <w:t>‘</w:t>
      </w:r>
      <w:r w:rsidRPr="004879C2">
        <w:rPr>
          <w:rFonts w:ascii="Times New Roman" w:hAnsi="Times New Roman"/>
          <w:sz w:val="24"/>
          <w:szCs w:val="24"/>
        </w:rPr>
        <w:t>an occupational disease</w:t>
      </w:r>
      <w:r>
        <w:rPr>
          <w:rFonts w:ascii="Times New Roman" w:hAnsi="Times New Roman"/>
          <w:sz w:val="24"/>
          <w:szCs w:val="24"/>
        </w:rPr>
        <w:t>’</w:t>
      </w:r>
      <w:r w:rsidRPr="004879C2">
        <w:rPr>
          <w:rFonts w:ascii="Times New Roman" w:hAnsi="Times New Roman"/>
          <w:sz w:val="24"/>
          <w:szCs w:val="24"/>
        </w:rPr>
        <w:t>).</w:t>
      </w:r>
      <w:r>
        <w:rPr>
          <w:rFonts w:ascii="Times New Roman" w:hAnsi="Times New Roman"/>
          <w:sz w:val="24"/>
          <w:szCs w:val="24"/>
        </w:rPr>
        <w:t xml:space="preserve"> </w:t>
      </w:r>
      <w:hyperlink r:id="rId2550" w:history="1">
        <w:r w:rsidRPr="00E8516D">
          <w:rPr>
            <w:rStyle w:val="Hyperlink"/>
            <w:rFonts w:ascii="Times New Roman" w:hAnsi="Times New Roman"/>
            <w:sz w:val="24"/>
            <w:szCs w:val="24"/>
          </w:rPr>
          <w:t>https://law.justia.com/cases/florida/first-district-court-of-appeal/2022/19-4601.html</w:t>
        </w:r>
      </w:hyperlink>
      <w:r>
        <w:rPr>
          <w:rFonts w:ascii="Times New Roman" w:hAnsi="Times New Roman"/>
          <w:sz w:val="24"/>
          <w:szCs w:val="24"/>
        </w:rPr>
        <w:t xml:space="preserve"> </w:t>
      </w:r>
    </w:p>
    <w:p w14:paraId="6ACA9F0A" w14:textId="0B489CE4" w:rsidR="00F31C1B" w:rsidRDefault="00F31C1B" w:rsidP="000C4DF5">
      <w:pPr>
        <w:pStyle w:val="NoSpacing"/>
        <w:rPr>
          <w:rFonts w:ascii="Arial Black" w:hAnsi="Arial Black"/>
          <w:sz w:val="24"/>
          <w:szCs w:val="24"/>
        </w:rPr>
      </w:pPr>
    </w:p>
    <w:p w14:paraId="4AD468EC" w14:textId="77777777" w:rsidR="00F31C1B" w:rsidRPr="0084660B" w:rsidRDefault="00F31C1B" w:rsidP="00F31C1B">
      <w:pPr>
        <w:pStyle w:val="NormalWeb"/>
        <w:rPr>
          <w:b/>
          <w:bCs/>
        </w:rPr>
      </w:pPr>
      <w:r w:rsidRPr="0084660B">
        <w:rPr>
          <w:b/>
          <w:bCs/>
        </w:rPr>
        <w:t>Legal Lesson Learned:</w:t>
      </w:r>
      <w:r>
        <w:rPr>
          <w:b/>
          <w:bCs/>
        </w:rPr>
        <w:t xml:space="preserve"> The new PTSD statute covers </w:t>
      </w:r>
      <w:proofErr w:type="gramStart"/>
      <w:r>
        <w:rPr>
          <w:b/>
          <w:bCs/>
        </w:rPr>
        <w:t>loses</w:t>
      </w:r>
      <w:proofErr w:type="gramEnd"/>
      <w:r>
        <w:rPr>
          <w:b/>
          <w:bCs/>
        </w:rPr>
        <w:t xml:space="preserve"> of income incurred after its effective date. </w:t>
      </w:r>
    </w:p>
    <w:p w14:paraId="7BB78774" w14:textId="77777777" w:rsidR="00F31C1B" w:rsidRDefault="00F31C1B" w:rsidP="000C4DF5">
      <w:pPr>
        <w:pStyle w:val="NoSpacing"/>
        <w:rPr>
          <w:rFonts w:ascii="Arial Black" w:hAnsi="Arial Black"/>
          <w:sz w:val="24"/>
          <w:szCs w:val="24"/>
        </w:rPr>
      </w:pPr>
    </w:p>
    <w:p w14:paraId="1E206E4D" w14:textId="77777777" w:rsidR="00F31C1B" w:rsidRDefault="00F31C1B" w:rsidP="000C4DF5">
      <w:pPr>
        <w:pStyle w:val="NoSpacing"/>
        <w:rPr>
          <w:rFonts w:ascii="Arial Black" w:hAnsi="Arial Black"/>
          <w:sz w:val="24"/>
          <w:szCs w:val="24"/>
        </w:rPr>
      </w:pPr>
    </w:p>
    <w:p w14:paraId="1984BEA9" w14:textId="3CDA4F49" w:rsidR="00936792" w:rsidRDefault="00936792" w:rsidP="000C4DF5">
      <w:pPr>
        <w:pStyle w:val="NoSpacing"/>
        <w:rPr>
          <w:rFonts w:ascii="Arial Black" w:hAnsi="Arial Black"/>
          <w:sz w:val="24"/>
          <w:szCs w:val="24"/>
        </w:rPr>
      </w:pPr>
      <w:r>
        <w:rPr>
          <w:rFonts w:ascii="Arial Black" w:hAnsi="Arial Black"/>
          <w:sz w:val="24"/>
          <w:szCs w:val="24"/>
        </w:rPr>
        <w:t>15-19</w:t>
      </w:r>
    </w:p>
    <w:p w14:paraId="032E18E6" w14:textId="77777777" w:rsidR="00FC62FF" w:rsidRDefault="00FC62FF" w:rsidP="00FC62FF">
      <w:pPr>
        <w:spacing w:before="100" w:beforeAutospacing="1" w:after="100" w:afterAutospacing="1" w:line="240" w:lineRule="auto"/>
        <w:rPr>
          <w:rFonts w:ascii="Arial Black" w:hAnsi="Arial Black"/>
          <w:sz w:val="28"/>
          <w:szCs w:val="28"/>
        </w:rPr>
      </w:pPr>
      <w:bookmarkStart w:id="571" w:name="_Hlk107816326"/>
      <w:r>
        <w:rPr>
          <w:rFonts w:ascii="Arial Black" w:hAnsi="Arial Black"/>
          <w:sz w:val="28"/>
          <w:szCs w:val="28"/>
        </w:rPr>
        <w:t>IL: PTSD - CAPTAIN RESPONDED TO DOG ATTACK ON CHILD -  LINE OF DUTY PENSION, AND WORKERS COMP PPD</w:t>
      </w:r>
    </w:p>
    <w:p w14:paraId="6E7D542F" w14:textId="16AFBA2F" w:rsidR="00501BDD" w:rsidRDefault="00FC62FF" w:rsidP="00FC62FF">
      <w:pPr>
        <w:pStyle w:val="NoSpacing"/>
        <w:rPr>
          <w:rStyle w:val="Hyperlink"/>
          <w:sz w:val="24"/>
          <w:szCs w:val="24"/>
        </w:rPr>
      </w:pPr>
      <w:r>
        <w:rPr>
          <w:rFonts w:ascii="Times New Roman" w:hAnsi="Times New Roman"/>
          <w:sz w:val="24"/>
          <w:szCs w:val="24"/>
        </w:rPr>
        <w:t xml:space="preserve">On June 27, 2022, in </w:t>
      </w:r>
      <w:r>
        <w:rPr>
          <w:rFonts w:ascii="Times New Roman" w:hAnsi="Times New Roman"/>
          <w:sz w:val="24"/>
          <w:szCs w:val="24"/>
          <w:u w:val="single"/>
        </w:rPr>
        <w:t>City of Springfield v. The Illinois Workers’ Compensation Commission (Robert Talbott)</w:t>
      </w:r>
      <w:r>
        <w:rPr>
          <w:rFonts w:ascii="Times New Roman" w:hAnsi="Times New Roman"/>
          <w:sz w:val="24"/>
          <w:szCs w:val="24"/>
        </w:rPr>
        <w:t xml:space="preserve">, the Court of Appeals of Illinois, Fourth District (Workers’ Compensation Commission Division), held (5 to 0), </w:t>
      </w:r>
      <w:r>
        <w:rPr>
          <w:rFonts w:ascii="Times New Roman" w:eastAsia="Times New Roman" w:hAnsi="Times New Roman"/>
          <w:sz w:val="24"/>
          <w:szCs w:val="24"/>
        </w:rPr>
        <w:t xml:space="preserve">2022 IL App (4th) 210338WC-U, that the Commission properly held that Captain Robert Talbott, who </w:t>
      </w:r>
      <w:r w:rsidRPr="00F95159">
        <w:rPr>
          <w:rFonts w:ascii="Times New Roman" w:hAnsi="Times New Roman"/>
          <w:sz w:val="24"/>
          <w:szCs w:val="24"/>
        </w:rPr>
        <w:t>was awarded a line-of-duty disability pension on June 30, 2017</w:t>
      </w:r>
      <w:r>
        <w:rPr>
          <w:rFonts w:ascii="Times New Roman" w:hAnsi="Times New Roman"/>
          <w:sz w:val="24"/>
          <w:szCs w:val="24"/>
        </w:rPr>
        <w:t xml:space="preserve">, was also eligible to receive workers comp PPD [permanent partial disability] award </w:t>
      </w:r>
      <w:r w:rsidRPr="0058484A">
        <w:rPr>
          <w:rFonts w:ascii="Times New Roman" w:hAnsi="Times New Roman"/>
          <w:sz w:val="24"/>
          <w:szCs w:val="24"/>
        </w:rPr>
        <w:t>$721.66 per week for 250 weeks</w:t>
      </w:r>
      <w:r>
        <w:rPr>
          <w:rFonts w:ascii="Times New Roman" w:hAnsi="Times New Roman"/>
          <w:sz w:val="24"/>
          <w:szCs w:val="24"/>
        </w:rPr>
        <w:t xml:space="preserve">; case remanded to Commission to re-calculate award. The </w:t>
      </w:r>
      <w:r w:rsidRPr="00FC1C3B">
        <w:rPr>
          <w:rFonts w:ascii="Times New Roman" w:hAnsi="Times New Roman"/>
          <w:sz w:val="24"/>
          <w:szCs w:val="24"/>
        </w:rPr>
        <w:t>claimant developed PTSD following the dog-attack incident and it was causing emotional symptoms that were preventing him from returning to work.</w:t>
      </w:r>
      <w:r>
        <w:rPr>
          <w:rFonts w:ascii="Times New Roman" w:hAnsi="Times New Roman"/>
          <w:sz w:val="24"/>
          <w:szCs w:val="24"/>
        </w:rPr>
        <w:t xml:space="preserve"> Captain Robert Talbott on April 11, </w:t>
      </w:r>
      <w:proofErr w:type="gramStart"/>
      <w:r>
        <w:rPr>
          <w:rFonts w:ascii="Times New Roman" w:hAnsi="Times New Roman"/>
          <w:sz w:val="24"/>
          <w:szCs w:val="24"/>
        </w:rPr>
        <w:t>2015</w:t>
      </w:r>
      <w:proofErr w:type="gramEnd"/>
      <w:r>
        <w:rPr>
          <w:rFonts w:ascii="Times New Roman" w:hAnsi="Times New Roman"/>
          <w:sz w:val="24"/>
          <w:szCs w:val="24"/>
        </w:rPr>
        <w:t xml:space="preserve"> responded to a terrible dog bite scene, that contributed with subsequent diagnosis of PTSD.   Claimant was awarded a line-of-duty disability pension on June 30, 2017. The </w:t>
      </w:r>
      <w:proofErr w:type="gramStart"/>
      <w:r>
        <w:rPr>
          <w:rFonts w:ascii="Times New Roman" w:hAnsi="Times New Roman"/>
          <w:sz w:val="24"/>
          <w:szCs w:val="24"/>
        </w:rPr>
        <w:t>City</w:t>
      </w:r>
      <w:proofErr w:type="gramEnd"/>
      <w:r>
        <w:rPr>
          <w:rFonts w:ascii="Times New Roman" w:hAnsi="Times New Roman"/>
          <w:sz w:val="24"/>
          <w:szCs w:val="24"/>
        </w:rPr>
        <w:t xml:space="preserve"> challenged an award of “permanent partial disability” arguing he could work in other professions, such as his 14 years parttime work at a funeral home. </w:t>
      </w:r>
      <w:hyperlink r:id="rId2551" w:history="1">
        <w:r>
          <w:rPr>
            <w:rStyle w:val="Hyperlink"/>
            <w:sz w:val="24"/>
            <w:szCs w:val="24"/>
          </w:rPr>
          <w:t>https://public.fastcase.com/J%2FJP6pdidelsXxEE4k%2BLMmppr1xeX1%2Bm2bW38%2FPoc%2BjXR15UXAVR8dC2RoWWa4H5Xq9pVObZCpSmCaBhyWr74I1EN1To2hIbHKD6%2F8UayPI%3D</w:t>
        </w:r>
      </w:hyperlink>
      <w:bookmarkEnd w:id="571"/>
    </w:p>
    <w:p w14:paraId="6E865B0A" w14:textId="335F70CA" w:rsidR="00FC62FF" w:rsidRDefault="00FC62FF" w:rsidP="00FC62FF">
      <w:pPr>
        <w:pStyle w:val="NoSpacing"/>
        <w:rPr>
          <w:rStyle w:val="Hyperlink"/>
          <w:sz w:val="24"/>
          <w:szCs w:val="24"/>
        </w:rPr>
      </w:pPr>
    </w:p>
    <w:p w14:paraId="62551E09" w14:textId="77777777" w:rsidR="00FC62FF" w:rsidRDefault="00FC62FF" w:rsidP="00FC62FF">
      <w:pPr>
        <w:spacing w:before="100" w:beforeAutospacing="1" w:after="100" w:afterAutospacing="1" w:line="240" w:lineRule="auto"/>
        <w:rPr>
          <w:rFonts w:ascii="Times New Roman" w:eastAsia="Times New Roman" w:hAnsi="Times New Roman"/>
          <w:b/>
          <w:bCs/>
          <w:sz w:val="24"/>
          <w:szCs w:val="24"/>
        </w:rPr>
      </w:pPr>
      <w:bookmarkStart w:id="572" w:name="_Hlk107816439"/>
      <w:r>
        <w:rPr>
          <w:rFonts w:ascii="Times New Roman" w:eastAsia="Times New Roman" w:hAnsi="Times New Roman"/>
          <w:b/>
          <w:bCs/>
          <w:sz w:val="24"/>
          <w:szCs w:val="24"/>
        </w:rPr>
        <w:t xml:space="preserve">Legal Lesson Learned: PTSD can lead to a line-of-duty disability retirement and a  permanent partial disability award.   </w:t>
      </w:r>
    </w:p>
    <w:bookmarkEnd w:id="572"/>
    <w:p w14:paraId="73076866" w14:textId="7E3D0A96" w:rsidR="00FC62FF" w:rsidRDefault="00FC62FF" w:rsidP="00FC62FF">
      <w:pPr>
        <w:pStyle w:val="NoSpacing"/>
        <w:rPr>
          <w:rStyle w:val="Hyperlink"/>
          <w:sz w:val="24"/>
          <w:szCs w:val="24"/>
        </w:rPr>
      </w:pPr>
    </w:p>
    <w:p w14:paraId="06CC0E50" w14:textId="5D4DC33D" w:rsidR="00FC62FF" w:rsidRDefault="00FC62FF" w:rsidP="00FC62FF">
      <w:pPr>
        <w:pStyle w:val="NoSpacing"/>
        <w:rPr>
          <w:rStyle w:val="Hyperlink"/>
          <w:sz w:val="24"/>
          <w:szCs w:val="24"/>
        </w:rPr>
      </w:pPr>
    </w:p>
    <w:p w14:paraId="0B47F380" w14:textId="77777777" w:rsidR="00FC62FF" w:rsidRDefault="00FC62FF" w:rsidP="00FC62FF">
      <w:pPr>
        <w:pStyle w:val="NoSpacing"/>
        <w:rPr>
          <w:rFonts w:ascii="Arial Black" w:hAnsi="Arial Black"/>
          <w:sz w:val="24"/>
          <w:szCs w:val="24"/>
        </w:rPr>
      </w:pPr>
    </w:p>
    <w:p w14:paraId="6C8648F6" w14:textId="77777777" w:rsidR="00936792" w:rsidRDefault="00936792" w:rsidP="000C4DF5">
      <w:pPr>
        <w:pStyle w:val="NoSpacing"/>
        <w:rPr>
          <w:rFonts w:ascii="Arial Black" w:hAnsi="Arial Black"/>
          <w:sz w:val="24"/>
          <w:szCs w:val="24"/>
        </w:rPr>
      </w:pPr>
    </w:p>
    <w:p w14:paraId="28423E59" w14:textId="14932886" w:rsidR="009453FA" w:rsidRDefault="009453FA" w:rsidP="000C4DF5">
      <w:pPr>
        <w:pStyle w:val="NoSpacing"/>
        <w:rPr>
          <w:rFonts w:ascii="Arial Black" w:hAnsi="Arial Black"/>
          <w:sz w:val="24"/>
          <w:szCs w:val="24"/>
        </w:rPr>
      </w:pPr>
      <w:r>
        <w:rPr>
          <w:rFonts w:ascii="Arial Black" w:hAnsi="Arial Black"/>
          <w:sz w:val="24"/>
          <w:szCs w:val="24"/>
        </w:rPr>
        <w:t>15-18</w:t>
      </w:r>
    </w:p>
    <w:p w14:paraId="6E82213A" w14:textId="77777777" w:rsidR="009453FA" w:rsidRDefault="009453FA" w:rsidP="009453FA">
      <w:pPr>
        <w:spacing w:before="100" w:beforeAutospacing="1" w:after="100" w:afterAutospacing="1" w:line="240" w:lineRule="auto"/>
        <w:rPr>
          <w:rFonts w:ascii="Arial Black" w:hAnsi="Arial Black"/>
          <w:sz w:val="28"/>
          <w:szCs w:val="28"/>
        </w:rPr>
      </w:pPr>
      <w:bookmarkStart w:id="573" w:name="_Hlk99871263"/>
      <w:r>
        <w:rPr>
          <w:rFonts w:ascii="Arial Black" w:hAnsi="Arial Black"/>
          <w:sz w:val="28"/>
          <w:szCs w:val="28"/>
        </w:rPr>
        <w:t xml:space="preserve">NJ: PTSD - OFFICER CALLED TO FF’S SUICIDE WITH SHOTGUN – NOT CLOSE FRIENDS - NO ACCIDENTAL DISAB. </w:t>
      </w:r>
    </w:p>
    <w:p w14:paraId="1141A8BB" w14:textId="77777777" w:rsidR="009453FA" w:rsidRDefault="009453FA" w:rsidP="009453F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30, 2022, in </w:t>
      </w:r>
      <w:r w:rsidRPr="00483D1D">
        <w:rPr>
          <w:rFonts w:ascii="Times New Roman" w:hAnsi="Times New Roman"/>
          <w:sz w:val="24"/>
          <w:szCs w:val="24"/>
          <w:u w:val="single"/>
        </w:rPr>
        <w:t>Barry Mesmer v. Board of Trustee, Police And Firemen’s Retirement System</w:t>
      </w:r>
      <w:r>
        <w:rPr>
          <w:rFonts w:ascii="Times New Roman" w:hAnsi="Times New Roman"/>
          <w:sz w:val="24"/>
          <w:szCs w:val="24"/>
        </w:rPr>
        <w:t xml:space="preserve">, the Superior Court of New Jersey, Appellate Division, held (3 to 0), unpublished decision, the Board properly denied the application for accidental disability retirement; the deceased firefighter was someone he casually knew, but not close friends; under New Jersey case law the traumatic event must be “undesigned and unexpected” in job duties of a police officer.  </w:t>
      </w:r>
      <w:hyperlink r:id="rId2552" w:history="1">
        <w:r w:rsidRPr="002477AB">
          <w:rPr>
            <w:rStyle w:val="Hyperlink"/>
            <w:rFonts w:ascii="Times New Roman" w:eastAsia="Times New Roman" w:hAnsi="Times New Roman"/>
            <w:sz w:val="24"/>
            <w:szCs w:val="24"/>
          </w:rPr>
          <w:t>https://www.njcourts.gov/attorneys/assets/opinions/appellate/unpublished/a3633-19.pdf</w:t>
        </w:r>
      </w:hyperlink>
    </w:p>
    <w:bookmarkEnd w:id="573"/>
    <w:p w14:paraId="1EF2CEC0"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A63115">
        <w:rPr>
          <w:rFonts w:ascii="Times New Roman" w:eastAsia="Times New Roman" w:hAnsi="Times New Roman"/>
          <w:sz w:val="24"/>
          <w:szCs w:val="24"/>
        </w:rPr>
        <w:t xml:space="preserve">Mesmer received training, both at the police academy and through the course of his career in law enforcement, in responding to situations involving graphic and gruesome deaths. Mesmer was not a rookie officer and, during his career in law enforcement, he responded to at least ten calls involving gruesome and disfigured dead bodies or serious injuries. Mesmer conceded he did not experience any disabling mental injury after responding to those deaths and he returned to work without incident after each of those events. </w:t>
      </w:r>
    </w:p>
    <w:p w14:paraId="63F253CB" w14:textId="77777777" w:rsidR="009453FA" w:rsidRPr="00A63115" w:rsidRDefault="009453FA" w:rsidP="009453FA">
      <w:pPr>
        <w:spacing w:before="100" w:beforeAutospacing="1" w:after="100" w:afterAutospacing="1" w:line="240" w:lineRule="auto"/>
        <w:ind w:left="720"/>
        <w:rPr>
          <w:rFonts w:ascii="Times New Roman" w:hAnsi="Times New Roman"/>
          <w:sz w:val="24"/>
          <w:szCs w:val="24"/>
        </w:rPr>
      </w:pPr>
      <w:r w:rsidRPr="00A63115">
        <w:rPr>
          <w:rFonts w:ascii="Times New Roman" w:hAnsi="Times New Roman"/>
          <w:sz w:val="24"/>
          <w:szCs w:val="24"/>
        </w:rPr>
        <w:t xml:space="preserve">Additionally, while Mesmer knew M.H., the two men were not even casual friends. Mesmer provided no evidence of any close, personal relationship with the deceased that might have satisfied the undesigned and unexpected requirement under </w:t>
      </w:r>
      <w:r w:rsidRPr="00A63115">
        <w:rPr>
          <w:rStyle w:val="Emphasis"/>
          <w:rFonts w:ascii="Times New Roman" w:hAnsi="Times New Roman"/>
          <w:sz w:val="24"/>
          <w:szCs w:val="24"/>
        </w:rPr>
        <w:t>Richardson</w:t>
      </w:r>
      <w:r w:rsidRPr="00A63115">
        <w:rPr>
          <w:rFonts w:ascii="Times New Roman" w:hAnsi="Times New Roman"/>
          <w:sz w:val="24"/>
          <w:szCs w:val="24"/>
        </w:rPr>
        <w:t xml:space="preserve">. </w:t>
      </w:r>
    </w:p>
    <w:p w14:paraId="62858DDA" w14:textId="77777777" w:rsidR="009453FA" w:rsidRPr="00A63115" w:rsidRDefault="009453FA" w:rsidP="009453FA">
      <w:pPr>
        <w:spacing w:before="100" w:beforeAutospacing="1" w:after="100" w:afterAutospacing="1" w:line="240" w:lineRule="auto"/>
        <w:ind w:left="720"/>
        <w:rPr>
          <w:rFonts w:ascii="Times New Roman" w:eastAsia="Times New Roman" w:hAnsi="Times New Roman"/>
          <w:sz w:val="24"/>
          <w:szCs w:val="24"/>
        </w:rPr>
      </w:pPr>
      <w:r w:rsidRPr="00A63115">
        <w:rPr>
          <w:rFonts w:ascii="Times New Roman" w:eastAsia="Times New Roman" w:hAnsi="Times New Roman"/>
          <w:sz w:val="24"/>
          <w:szCs w:val="24"/>
        </w:rPr>
        <w:t xml:space="preserve">Mesmer knew he was responding to a suicide at an address where he knew the homeowner. On this record, nothing about the events of February 14, 2016, fell outside the scope of Mesmer's general duties as a police officer. Given the totality of the circumstances, it was not unreasonable for Mesmer to anticipate the aftermath of M.H.'s suicide. </w:t>
      </w:r>
    </w:p>
    <w:p w14:paraId="389FCEBE"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sidRPr="00A63115">
        <w:rPr>
          <w:rFonts w:ascii="Times New Roman" w:eastAsia="Times New Roman" w:hAnsi="Times New Roman"/>
          <w:sz w:val="24"/>
          <w:szCs w:val="24"/>
        </w:rPr>
        <w:t>On this record, we are satisfied there is ample credible evidence supporting the denial of Mesmer's application for ADR benefits and the Board's decision was not arbitrary, capricious, or unreasonable.</w:t>
      </w:r>
      <w:r>
        <w:rPr>
          <w:rFonts w:ascii="Times New Roman" w:eastAsia="Times New Roman" w:hAnsi="Times New Roman"/>
          <w:sz w:val="24"/>
          <w:szCs w:val="24"/>
        </w:rPr>
        <w:t xml:space="preserve">” </w:t>
      </w:r>
      <w:hyperlink r:id="rId2553" w:history="1">
        <w:r w:rsidRPr="002477AB">
          <w:rPr>
            <w:rStyle w:val="Hyperlink"/>
            <w:rFonts w:ascii="Times New Roman" w:eastAsia="Times New Roman" w:hAnsi="Times New Roman"/>
            <w:sz w:val="24"/>
            <w:szCs w:val="24"/>
          </w:rPr>
          <w:t>https://www.njcourts.gov/attorneys/assets/opinions/appellate/unpublished/a3633-19.pdf</w:t>
        </w:r>
      </w:hyperlink>
      <w:r>
        <w:rPr>
          <w:rFonts w:ascii="Times New Roman" w:eastAsia="Times New Roman" w:hAnsi="Times New Roman"/>
          <w:sz w:val="24"/>
          <w:szCs w:val="24"/>
        </w:rPr>
        <w:t xml:space="preserve"> </w:t>
      </w:r>
    </w:p>
    <w:p w14:paraId="54BC8C61" w14:textId="77777777" w:rsidR="009453FA" w:rsidRPr="005F0249" w:rsidRDefault="009453FA" w:rsidP="009453FA">
      <w:pPr>
        <w:spacing w:before="100" w:beforeAutospacing="1" w:after="100" w:afterAutospacing="1" w:line="240" w:lineRule="auto"/>
        <w:rPr>
          <w:rFonts w:ascii="Times New Roman" w:eastAsia="Times New Roman" w:hAnsi="Times New Roman"/>
          <w:b/>
          <w:bCs/>
          <w:sz w:val="24"/>
          <w:szCs w:val="24"/>
        </w:rPr>
      </w:pPr>
      <w:r w:rsidRPr="005F0249">
        <w:rPr>
          <w:rFonts w:ascii="Times New Roman" w:hAnsi="Times New Roman"/>
          <w:b/>
          <w:bCs/>
          <w:sz w:val="24"/>
          <w:szCs w:val="24"/>
        </w:rPr>
        <w:t>Legal Lesson Learned:</w:t>
      </w:r>
      <w:r>
        <w:rPr>
          <w:rFonts w:ascii="Times New Roman" w:hAnsi="Times New Roman"/>
          <w:b/>
          <w:bCs/>
          <w:sz w:val="24"/>
          <w:szCs w:val="24"/>
        </w:rPr>
        <w:t xml:space="preserve"> Under N.J. case law, this single traumatic event leading to PTSD did not qualify for added retirement benefits. </w:t>
      </w:r>
    </w:p>
    <w:p w14:paraId="1D7F54EC" w14:textId="77777777" w:rsidR="009453FA" w:rsidRDefault="009453FA" w:rsidP="000C4DF5">
      <w:pPr>
        <w:pStyle w:val="NoSpacing"/>
        <w:rPr>
          <w:rFonts w:ascii="Arial Black" w:hAnsi="Arial Black"/>
          <w:sz w:val="24"/>
          <w:szCs w:val="24"/>
        </w:rPr>
      </w:pPr>
    </w:p>
    <w:p w14:paraId="19EA6567" w14:textId="77777777" w:rsidR="009453FA" w:rsidRDefault="009453FA" w:rsidP="000C4DF5">
      <w:pPr>
        <w:pStyle w:val="NoSpacing"/>
        <w:rPr>
          <w:rFonts w:ascii="Arial Black" w:hAnsi="Arial Black"/>
          <w:sz w:val="24"/>
          <w:szCs w:val="24"/>
        </w:rPr>
      </w:pPr>
    </w:p>
    <w:p w14:paraId="660D1BD2" w14:textId="77777777" w:rsidR="009453FA" w:rsidRDefault="009453FA" w:rsidP="000C4DF5">
      <w:pPr>
        <w:pStyle w:val="NoSpacing"/>
        <w:rPr>
          <w:rFonts w:ascii="Arial Black" w:hAnsi="Arial Black"/>
          <w:sz w:val="24"/>
          <w:szCs w:val="24"/>
        </w:rPr>
      </w:pPr>
    </w:p>
    <w:p w14:paraId="5A7859D0" w14:textId="5040EE91" w:rsidR="009453FA" w:rsidRDefault="009453FA" w:rsidP="000C4DF5">
      <w:pPr>
        <w:pStyle w:val="NoSpacing"/>
        <w:rPr>
          <w:rFonts w:ascii="Arial Black" w:hAnsi="Arial Black"/>
          <w:sz w:val="24"/>
          <w:szCs w:val="24"/>
        </w:rPr>
      </w:pPr>
      <w:r>
        <w:rPr>
          <w:rFonts w:ascii="Arial Black" w:hAnsi="Arial Black"/>
          <w:sz w:val="24"/>
          <w:szCs w:val="24"/>
        </w:rPr>
        <w:t>15-17</w:t>
      </w:r>
    </w:p>
    <w:p w14:paraId="7971465A" w14:textId="77777777" w:rsidR="009453FA" w:rsidRPr="00C130F0" w:rsidRDefault="009453FA" w:rsidP="009453FA">
      <w:pPr>
        <w:spacing w:before="100" w:beforeAutospacing="1" w:after="100" w:afterAutospacing="1" w:line="240" w:lineRule="auto"/>
        <w:rPr>
          <w:rFonts w:ascii="Arial Black" w:eastAsia="Times New Roman" w:hAnsi="Arial Black"/>
          <w:b/>
          <w:bCs/>
          <w:sz w:val="28"/>
          <w:szCs w:val="28"/>
        </w:rPr>
      </w:pPr>
      <w:bookmarkStart w:id="574" w:name="_Hlk99871308"/>
      <w:r>
        <w:rPr>
          <w:rFonts w:ascii="Arial Black" w:eastAsia="Times New Roman" w:hAnsi="Arial Black"/>
          <w:b/>
          <w:bCs/>
          <w:sz w:val="28"/>
          <w:szCs w:val="28"/>
        </w:rPr>
        <w:t>MD: PTSD - MEDICAL LEAVE 1-YR – OFFERED TAKE DEMOTION TO FF - CAN’T PERFORM DUTIES - NO FED. VIOL.</w:t>
      </w:r>
    </w:p>
    <w:p w14:paraId="09A4D8D8" w14:textId="77777777" w:rsidR="009453FA" w:rsidRDefault="009453FA" w:rsidP="009453FA">
      <w:pPr>
        <w:spacing w:before="100" w:beforeAutospacing="1" w:after="100" w:afterAutospacing="1" w:line="240" w:lineRule="auto"/>
        <w:rPr>
          <w:rFonts w:ascii="Times New Roman" w:hAnsi="Times New Roman"/>
          <w:sz w:val="24"/>
          <w:szCs w:val="24"/>
        </w:rPr>
      </w:pPr>
      <w:r w:rsidRPr="00632C03">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18, 2022, in </w:t>
      </w:r>
      <w:r w:rsidRPr="00632C03">
        <w:rPr>
          <w:rFonts w:ascii="Times New Roman" w:eastAsia="Times New Roman" w:hAnsi="Times New Roman"/>
          <w:sz w:val="24"/>
          <w:szCs w:val="24"/>
          <w:u w:val="single"/>
        </w:rPr>
        <w:t>Stanley Abler v. Mayor and City Council of Baltimore</w:t>
      </w:r>
      <w:r>
        <w:rPr>
          <w:rFonts w:ascii="Times New Roman" w:eastAsia="Times New Roman" w:hAnsi="Times New Roman"/>
          <w:sz w:val="24"/>
          <w:szCs w:val="24"/>
        </w:rPr>
        <w:t xml:space="preserve">, Beth P. Gesner, Chief U.S. Magistrate Judge, U.S. District Court for District of Maryland, granted the defense motion for summary judgment, finding no violation of the federal Rehabilitation Act since he could no longer perform the duties of a medic or a firefighter.  Paramedic Abler </w:t>
      </w:r>
      <w:r w:rsidRPr="00C130F0">
        <w:rPr>
          <w:rFonts w:ascii="Times New Roman" w:hAnsi="Times New Roman"/>
          <w:sz w:val="24"/>
          <w:szCs w:val="24"/>
        </w:rPr>
        <w:t>suffered from PTSD stemming from an incident in April 2015</w:t>
      </w:r>
      <w:r>
        <w:rPr>
          <w:rFonts w:ascii="Times New Roman" w:hAnsi="Times New Roman"/>
          <w:sz w:val="24"/>
          <w:szCs w:val="24"/>
        </w:rPr>
        <w:t xml:space="preserve"> [no details about the incident in Court’s opinion].  “</w:t>
      </w:r>
      <w:r w:rsidRPr="00632C03">
        <w:rPr>
          <w:rFonts w:ascii="Times New Roman" w:hAnsi="Times New Roman"/>
          <w:sz w:val="24"/>
          <w:szCs w:val="24"/>
        </w:rPr>
        <w:t>After reporting to the Baltimore City Public Safety Infirmary (</w:t>
      </w:r>
      <w:r>
        <w:rPr>
          <w:rFonts w:ascii="Times New Roman" w:hAnsi="Times New Roman"/>
          <w:sz w:val="24"/>
          <w:szCs w:val="24"/>
        </w:rPr>
        <w:t>‘</w:t>
      </w:r>
      <w:r w:rsidRPr="00632C03">
        <w:rPr>
          <w:rFonts w:ascii="Times New Roman" w:hAnsi="Times New Roman"/>
          <w:sz w:val="24"/>
          <w:szCs w:val="24"/>
        </w:rPr>
        <w:t>PSI</w:t>
      </w:r>
      <w:r>
        <w:rPr>
          <w:rFonts w:ascii="Times New Roman" w:hAnsi="Times New Roman"/>
          <w:sz w:val="24"/>
          <w:szCs w:val="24"/>
        </w:rPr>
        <w:t>’</w:t>
      </w:r>
      <w:r w:rsidRPr="00632C03">
        <w:rPr>
          <w:rFonts w:ascii="Times New Roman" w:hAnsi="Times New Roman"/>
          <w:sz w:val="24"/>
          <w:szCs w:val="24"/>
        </w:rPr>
        <w:t>) for a medical evaluation, plaintiff was placed on medical leave effective June 7, 2015</w:t>
      </w:r>
      <w:r>
        <w:rPr>
          <w:rFonts w:ascii="Times New Roman" w:hAnsi="Times New Roman"/>
          <w:sz w:val="24"/>
          <w:szCs w:val="24"/>
        </w:rPr>
        <w:t xml:space="preserve">…. </w:t>
      </w:r>
      <w:r w:rsidRPr="00632C03">
        <w:rPr>
          <w:rFonts w:ascii="Times New Roman" w:hAnsi="Times New Roman"/>
          <w:sz w:val="24"/>
          <w:szCs w:val="24"/>
        </w:rPr>
        <w:t xml:space="preserve">Plaintiff remained on medical leave </w:t>
      </w:r>
      <w:r>
        <w:rPr>
          <w:rFonts w:ascii="Times New Roman" w:hAnsi="Times New Roman"/>
          <w:sz w:val="24"/>
          <w:szCs w:val="24"/>
        </w:rPr>
        <w:t xml:space="preserve">for a year, and his clinician noted he was “disabled from all work.” He requested a reduction in rank to return to work as a firefighter, but this was not granted and was forced to retire on </w:t>
      </w:r>
      <w:r w:rsidRPr="00332157">
        <w:rPr>
          <w:rFonts w:ascii="Times New Roman" w:hAnsi="Times New Roman"/>
          <w:sz w:val="24"/>
          <w:szCs w:val="24"/>
        </w:rPr>
        <w:t>November 22, 2016</w:t>
      </w:r>
      <w:r>
        <w:rPr>
          <w:rFonts w:ascii="Times New Roman" w:hAnsi="Times New Roman"/>
          <w:sz w:val="24"/>
          <w:szCs w:val="24"/>
        </w:rPr>
        <w:t xml:space="preserve">. </w:t>
      </w:r>
      <w:hyperlink r:id="rId2554" w:history="1">
        <w:r w:rsidRPr="002477AB">
          <w:rPr>
            <w:rStyle w:val="Hyperlink"/>
            <w:rFonts w:ascii="Times New Roman" w:hAnsi="Times New Roman"/>
            <w:sz w:val="24"/>
            <w:szCs w:val="24"/>
          </w:rPr>
          <w:t>https://casetext.com/case/abler-v-mayor-of-balt</w:t>
        </w:r>
      </w:hyperlink>
      <w:r>
        <w:rPr>
          <w:rFonts w:ascii="Times New Roman" w:hAnsi="Times New Roman"/>
          <w:sz w:val="24"/>
          <w:szCs w:val="24"/>
        </w:rPr>
        <w:t xml:space="preserve"> </w:t>
      </w:r>
    </w:p>
    <w:bookmarkEnd w:id="574"/>
    <w:p w14:paraId="141F8A8C"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B0831">
        <w:rPr>
          <w:rFonts w:ascii="Times New Roman" w:eastAsia="Times New Roman" w:hAnsi="Times New Roman"/>
          <w:sz w:val="24"/>
          <w:szCs w:val="24"/>
        </w:rPr>
        <w:t>Here, plaintiff argues that he and his clinician believed he could perform the essential functions of a firefighter</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Plaintiff, however, provides no evidence to support his claim. Instead, plaintiff references documents indicating that the BCFD engaged in the interactive process with other disabled employees, but these documents do not provide evidence of </w:t>
      </w:r>
      <w:r w:rsidRPr="00AB0831">
        <w:rPr>
          <w:rFonts w:ascii="Times New Roman" w:eastAsia="Times New Roman" w:hAnsi="Times New Roman"/>
          <w:i/>
          <w:iCs/>
          <w:sz w:val="24"/>
          <w:szCs w:val="24"/>
        </w:rPr>
        <w:t>plaintiff's</w:t>
      </w:r>
      <w:r w:rsidRPr="00AB0831">
        <w:rPr>
          <w:rFonts w:ascii="Times New Roman" w:eastAsia="Times New Roman" w:hAnsi="Times New Roman"/>
          <w:sz w:val="24"/>
          <w:szCs w:val="24"/>
        </w:rPr>
        <w:t xml:space="preserve"> ability to perform the essential functions of a firefighter or some other position within the BCFD</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Further, plaintiff contends that while his medical providers noted that he </w:t>
      </w:r>
      <w:proofErr w:type="gramStart"/>
      <w:r w:rsidRPr="00AB0831">
        <w:rPr>
          <w:rFonts w:ascii="Times New Roman" w:eastAsia="Times New Roman" w:hAnsi="Times New Roman"/>
          <w:sz w:val="24"/>
          <w:szCs w:val="24"/>
        </w:rPr>
        <w:t>was not able to</w:t>
      </w:r>
      <w:proofErr w:type="gramEnd"/>
      <w:r w:rsidRPr="00AB0831">
        <w:rPr>
          <w:rFonts w:ascii="Times New Roman" w:eastAsia="Times New Roman" w:hAnsi="Times New Roman"/>
          <w:sz w:val="24"/>
          <w:szCs w:val="24"/>
        </w:rPr>
        <w:t xml:space="preserve"> work as a paramedic, they did not otherwise indicate that he was unable to perform as a firefighter or in a variety of other positions</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Plaintiff's argument, however, is not supported by the record. For example, while plaintiff's clinician opined that plaintiff was </w:t>
      </w:r>
      <w:r>
        <w:rPr>
          <w:rFonts w:ascii="Times New Roman" w:eastAsia="Times New Roman" w:hAnsi="Times New Roman"/>
          <w:sz w:val="24"/>
          <w:szCs w:val="24"/>
        </w:rPr>
        <w:t>‘</w:t>
      </w:r>
      <w:r w:rsidRPr="00AB0831">
        <w:rPr>
          <w:rFonts w:ascii="Times New Roman" w:eastAsia="Times New Roman" w:hAnsi="Times New Roman"/>
          <w:sz w:val="24"/>
          <w:szCs w:val="24"/>
        </w:rPr>
        <w:t>permanently disabled from returning to the BCFD as a Paramedic,</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she also noted, two days before plaintiff retired, that plaintiff was </w:t>
      </w:r>
      <w:r>
        <w:rPr>
          <w:rFonts w:ascii="Times New Roman" w:eastAsia="Times New Roman" w:hAnsi="Times New Roman"/>
          <w:sz w:val="24"/>
          <w:szCs w:val="24"/>
        </w:rPr>
        <w:t>‘</w:t>
      </w:r>
      <w:r w:rsidRPr="00AB0831">
        <w:rPr>
          <w:rFonts w:ascii="Times New Roman" w:eastAsia="Times New Roman" w:hAnsi="Times New Roman"/>
          <w:sz w:val="24"/>
          <w:szCs w:val="24"/>
        </w:rPr>
        <w:t xml:space="preserve">disabled from </w:t>
      </w:r>
      <w:r w:rsidRPr="00AB0831">
        <w:rPr>
          <w:rFonts w:ascii="Times New Roman" w:eastAsia="Times New Roman" w:hAnsi="Times New Roman"/>
          <w:i/>
          <w:iCs/>
          <w:sz w:val="24"/>
          <w:szCs w:val="24"/>
        </w:rPr>
        <w:t>all work</w:t>
      </w:r>
      <w:r w:rsidRPr="00AB0831">
        <w:rPr>
          <w:rFonts w:ascii="Times New Roman" w:eastAsia="Times New Roman" w:hAnsi="Times New Roman"/>
          <w:sz w:val="24"/>
          <w:szCs w:val="24"/>
        </w:rPr>
        <w:t xml:space="preserve"> at this time</w:t>
      </w:r>
      <w:r>
        <w:rPr>
          <w:rFonts w:ascii="Times New Roman" w:eastAsia="Times New Roman" w:hAnsi="Times New Roman"/>
          <w:sz w:val="24"/>
          <w:szCs w:val="24"/>
        </w:rPr>
        <w:t>’</w:t>
      </w:r>
      <w:r w:rsidRPr="00AB0831">
        <w:rPr>
          <w:rFonts w:ascii="Times New Roman" w:eastAsia="Times New Roman" w:hAnsi="Times New Roman"/>
          <w:sz w:val="24"/>
          <w:szCs w:val="24"/>
        </w:rPr>
        <w:t xml:space="preserve"> and that she would </w:t>
      </w:r>
      <w:r>
        <w:rPr>
          <w:rFonts w:ascii="Times New Roman" w:eastAsia="Times New Roman" w:hAnsi="Times New Roman"/>
          <w:sz w:val="24"/>
          <w:szCs w:val="24"/>
        </w:rPr>
        <w:t>‘</w:t>
      </w:r>
      <w:r w:rsidRPr="00AB0831">
        <w:rPr>
          <w:rFonts w:ascii="Times New Roman" w:eastAsia="Times New Roman" w:hAnsi="Times New Roman"/>
          <w:sz w:val="24"/>
          <w:szCs w:val="24"/>
        </w:rPr>
        <w:t>re-evaluate his condition in two months to see if he is prepared to try to enter the job force in a different position.</w:t>
      </w:r>
      <w:r>
        <w:rPr>
          <w:rFonts w:ascii="Times New Roman" w:eastAsia="Times New Roman" w:hAnsi="Times New Roman"/>
          <w:sz w:val="24"/>
          <w:szCs w:val="24"/>
        </w:rPr>
        <w:t>’</w:t>
      </w:r>
      <w:r w:rsidRPr="00AB0831">
        <w:rPr>
          <w:rFonts w:ascii="Times New Roman" w:eastAsia="Times New Roman" w:hAnsi="Times New Roman"/>
          <w:sz w:val="24"/>
          <w:szCs w:val="24"/>
        </w:rPr>
        <w:t xml:space="preserve"> (emphasis added). </w:t>
      </w:r>
    </w:p>
    <w:p w14:paraId="1912D98E" w14:textId="77777777" w:rsidR="009453FA" w:rsidRDefault="009453FA" w:rsidP="009453FA">
      <w:pPr>
        <w:spacing w:before="100" w:beforeAutospacing="1" w:after="100" w:afterAutospacing="1" w:line="240" w:lineRule="auto"/>
        <w:ind w:left="720"/>
        <w:rPr>
          <w:rFonts w:ascii="Times New Roman" w:hAnsi="Times New Roman"/>
          <w:sz w:val="24"/>
          <w:szCs w:val="24"/>
        </w:rPr>
      </w:pPr>
      <w:r w:rsidRPr="00C130F0">
        <w:rPr>
          <w:rFonts w:ascii="Times New Roman" w:hAnsi="Times New Roman"/>
          <w:sz w:val="24"/>
          <w:szCs w:val="24"/>
        </w:rPr>
        <w:t>In addition, plaintiff admits that he “was not able to do any job functions, for the entire year [he] was off injured</w:t>
      </w:r>
      <w:r>
        <w:rPr>
          <w:rFonts w:ascii="Times New Roman" w:hAnsi="Times New Roman"/>
          <w:sz w:val="24"/>
          <w:szCs w:val="24"/>
        </w:rPr>
        <w:t>….</w:t>
      </w:r>
      <w:r w:rsidRPr="00C130F0">
        <w:rPr>
          <w:rFonts w:ascii="Times New Roman" w:hAnsi="Times New Roman"/>
          <w:sz w:val="24"/>
          <w:szCs w:val="24"/>
        </w:rPr>
        <w:t>”</w:t>
      </w:r>
      <w:r>
        <w:rPr>
          <w:rFonts w:ascii="Times New Roman" w:hAnsi="Times New Roman"/>
          <w:sz w:val="24"/>
          <w:szCs w:val="24"/>
        </w:rPr>
        <w:t xml:space="preserve"> </w:t>
      </w:r>
      <w:r w:rsidRPr="00C130F0">
        <w:rPr>
          <w:rFonts w:ascii="Times New Roman" w:hAnsi="Times New Roman"/>
          <w:sz w:val="24"/>
          <w:szCs w:val="24"/>
        </w:rPr>
        <w:t xml:space="preserve"> Further, plaintiff indicated in his answers to defendant's interrogatories that he suffered from PTSD stemming from an incident in April 2015, and he struggled with </w:t>
      </w:r>
      <w:r>
        <w:rPr>
          <w:rFonts w:ascii="Times New Roman" w:hAnsi="Times New Roman"/>
          <w:sz w:val="24"/>
          <w:szCs w:val="24"/>
        </w:rPr>
        <w:t>‘</w:t>
      </w:r>
      <w:r w:rsidRPr="00C130F0">
        <w:rPr>
          <w:rFonts w:ascii="Times New Roman" w:hAnsi="Times New Roman"/>
          <w:sz w:val="24"/>
          <w:szCs w:val="24"/>
        </w:rPr>
        <w:t>depression, anxiety, insomnia, flashback [sic], [and] cognitive issues that make it hard to focus, at times it is extremely debilitating where daily activities of living are difficult</w:t>
      </w:r>
      <w:r>
        <w:rPr>
          <w:rFonts w:ascii="Times New Roman" w:hAnsi="Times New Roman"/>
          <w:sz w:val="24"/>
          <w:szCs w:val="24"/>
        </w:rPr>
        <w:t xml:space="preserve">….’ </w:t>
      </w:r>
      <w:r w:rsidRPr="00C130F0">
        <w:rPr>
          <w:rFonts w:ascii="Times New Roman" w:hAnsi="Times New Roman"/>
          <w:sz w:val="24"/>
          <w:szCs w:val="24"/>
        </w:rPr>
        <w:t xml:space="preserve">Plaintiff, however, fails to provide any evidence of how, despite his PTSD and </w:t>
      </w:r>
      <w:r>
        <w:rPr>
          <w:rFonts w:ascii="Times New Roman" w:hAnsi="Times New Roman"/>
          <w:sz w:val="24"/>
          <w:szCs w:val="24"/>
        </w:rPr>
        <w:t>‘</w:t>
      </w:r>
      <w:r w:rsidRPr="00C130F0">
        <w:rPr>
          <w:rFonts w:ascii="Times New Roman" w:hAnsi="Times New Roman"/>
          <w:sz w:val="24"/>
          <w:szCs w:val="24"/>
        </w:rPr>
        <w:t>extremely debilitating</w:t>
      </w:r>
      <w:r>
        <w:rPr>
          <w:rFonts w:ascii="Times New Roman" w:hAnsi="Times New Roman"/>
          <w:sz w:val="24"/>
          <w:szCs w:val="24"/>
        </w:rPr>
        <w:t>’</w:t>
      </w:r>
      <w:r w:rsidRPr="00C130F0">
        <w:rPr>
          <w:rFonts w:ascii="Times New Roman" w:hAnsi="Times New Roman"/>
          <w:sz w:val="24"/>
          <w:szCs w:val="24"/>
        </w:rPr>
        <w:t xml:space="preserve"> medical conditions, he was able to perform the essential functions of a firefighter, such as extinguishing fires and rescuing emergency victims</w:t>
      </w:r>
      <w:r>
        <w:rPr>
          <w:rFonts w:ascii="Times New Roman" w:hAnsi="Times New Roman"/>
          <w:sz w:val="24"/>
          <w:szCs w:val="24"/>
        </w:rPr>
        <w:t xml:space="preserve">…. </w:t>
      </w:r>
      <w:r w:rsidRPr="00C130F0">
        <w:rPr>
          <w:rFonts w:ascii="Times New Roman" w:hAnsi="Times New Roman"/>
          <w:sz w:val="24"/>
          <w:szCs w:val="24"/>
        </w:rPr>
        <w:t xml:space="preserve"> The court, therefore, concludes that plaintiff has failed to offer evidence that he was able to perform the essential functions of a firefighter or some other position within the BCFD</w:t>
      </w:r>
      <w:r>
        <w:rPr>
          <w:rFonts w:ascii="Times New Roman" w:hAnsi="Times New Roman"/>
          <w:sz w:val="24"/>
          <w:szCs w:val="24"/>
        </w:rPr>
        <w:t xml:space="preserve">…. </w:t>
      </w:r>
      <w:r w:rsidRPr="00C130F0">
        <w:rPr>
          <w:rFonts w:ascii="Times New Roman" w:hAnsi="Times New Roman"/>
          <w:sz w:val="24"/>
          <w:szCs w:val="24"/>
        </w:rPr>
        <w:t>Accordingly, plaintiff fails to satisfy the third element of his prima facie claim of failure to accommodate under the Rehabilitation Act.</w:t>
      </w:r>
      <w:r>
        <w:rPr>
          <w:rFonts w:ascii="Times New Roman" w:hAnsi="Times New Roman"/>
          <w:sz w:val="24"/>
          <w:szCs w:val="24"/>
        </w:rPr>
        <w:t xml:space="preserve">” </w:t>
      </w:r>
      <w:hyperlink r:id="rId2555" w:history="1">
        <w:r w:rsidRPr="002477AB">
          <w:rPr>
            <w:rStyle w:val="Hyperlink"/>
            <w:rFonts w:ascii="Times New Roman" w:hAnsi="Times New Roman"/>
            <w:sz w:val="24"/>
            <w:szCs w:val="24"/>
          </w:rPr>
          <w:t>https://casetext.com/case/abler-v-mayor-of-balt</w:t>
        </w:r>
      </w:hyperlink>
      <w:r>
        <w:rPr>
          <w:rFonts w:ascii="Times New Roman" w:hAnsi="Times New Roman"/>
          <w:sz w:val="24"/>
          <w:szCs w:val="24"/>
        </w:rPr>
        <w:t xml:space="preserve"> </w:t>
      </w:r>
    </w:p>
    <w:p w14:paraId="50B1BB29" w14:textId="77777777" w:rsidR="009453FA" w:rsidRDefault="009453FA" w:rsidP="009453FA">
      <w:pPr>
        <w:spacing w:before="100" w:beforeAutospacing="1" w:after="100" w:afterAutospacing="1" w:line="240" w:lineRule="auto"/>
        <w:rPr>
          <w:rFonts w:ascii="Times New Roman" w:eastAsia="Times New Roman" w:hAnsi="Times New Roman"/>
          <w:b/>
          <w:bCs/>
          <w:sz w:val="24"/>
          <w:szCs w:val="24"/>
        </w:rPr>
      </w:pPr>
      <w:r w:rsidRPr="00E94438">
        <w:rPr>
          <w:rFonts w:ascii="Times New Roman" w:hAnsi="Times New Roman"/>
          <w:b/>
          <w:bCs/>
          <w:sz w:val="24"/>
          <w:szCs w:val="24"/>
        </w:rPr>
        <w:t>Legal Lesson Learned:</w:t>
      </w:r>
      <w:r>
        <w:rPr>
          <w:rFonts w:ascii="Times New Roman" w:hAnsi="Times New Roman"/>
          <w:b/>
          <w:bCs/>
          <w:sz w:val="24"/>
          <w:szCs w:val="24"/>
        </w:rPr>
        <w:t xml:space="preserve"> The clinician’s determination that he was disabled “from all work” meant FD did not need to try find an accommodation. </w:t>
      </w:r>
    </w:p>
    <w:p w14:paraId="4CFC683A" w14:textId="77777777" w:rsidR="009453FA" w:rsidRDefault="009453FA" w:rsidP="000C4DF5">
      <w:pPr>
        <w:pStyle w:val="NoSpacing"/>
        <w:rPr>
          <w:rFonts w:ascii="Arial Black" w:hAnsi="Arial Black"/>
          <w:sz w:val="24"/>
          <w:szCs w:val="24"/>
        </w:rPr>
      </w:pPr>
    </w:p>
    <w:p w14:paraId="0740C8A6" w14:textId="77777777" w:rsidR="009453FA" w:rsidRDefault="009453FA" w:rsidP="000C4DF5">
      <w:pPr>
        <w:pStyle w:val="NoSpacing"/>
        <w:rPr>
          <w:rFonts w:ascii="Arial Black" w:hAnsi="Arial Black"/>
          <w:sz w:val="24"/>
          <w:szCs w:val="24"/>
        </w:rPr>
      </w:pPr>
    </w:p>
    <w:p w14:paraId="48B53E80" w14:textId="77777777" w:rsidR="009453FA" w:rsidRDefault="009453FA" w:rsidP="000C4DF5">
      <w:pPr>
        <w:pStyle w:val="NoSpacing"/>
        <w:rPr>
          <w:rFonts w:ascii="Arial Black" w:hAnsi="Arial Black"/>
          <w:sz w:val="24"/>
          <w:szCs w:val="24"/>
        </w:rPr>
      </w:pPr>
    </w:p>
    <w:p w14:paraId="140F5CEE" w14:textId="032E6A42" w:rsidR="009453FA" w:rsidRDefault="009453FA" w:rsidP="000C4DF5">
      <w:pPr>
        <w:pStyle w:val="NoSpacing"/>
        <w:rPr>
          <w:rFonts w:ascii="Arial Black" w:hAnsi="Arial Black"/>
          <w:sz w:val="24"/>
          <w:szCs w:val="24"/>
        </w:rPr>
      </w:pPr>
      <w:r>
        <w:rPr>
          <w:rFonts w:ascii="Arial Black" w:hAnsi="Arial Black"/>
          <w:sz w:val="24"/>
          <w:szCs w:val="24"/>
        </w:rPr>
        <w:t>15-16 [also filed, Chap. 7]</w:t>
      </w:r>
    </w:p>
    <w:p w14:paraId="63389D1E" w14:textId="4ADC5C59" w:rsidR="009453FA" w:rsidRDefault="009453FA" w:rsidP="000C4DF5">
      <w:pPr>
        <w:pStyle w:val="NoSpacing"/>
        <w:rPr>
          <w:rFonts w:ascii="Arial Black" w:hAnsi="Arial Black"/>
          <w:sz w:val="24"/>
          <w:szCs w:val="24"/>
        </w:rPr>
      </w:pPr>
    </w:p>
    <w:p w14:paraId="74DD3C21" w14:textId="77777777" w:rsidR="009453FA" w:rsidRDefault="009453FA" w:rsidP="009453F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TX: PTSD - FEMALE FF NUDE VIDEO FOR HER HUSBAND (FF) – LEARNED 9 YRS LATER FF WATCHED IT – MAY SUE FD </w:t>
      </w:r>
    </w:p>
    <w:p w14:paraId="6658C05D" w14:textId="77777777" w:rsidR="009453FA" w:rsidRPr="004D78BE" w:rsidRDefault="009453FA" w:rsidP="009453F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11, 2022, in </w:t>
      </w:r>
      <w:r w:rsidRPr="004C0507">
        <w:rPr>
          <w:rFonts w:ascii="Times New Roman" w:eastAsia="Times New Roman" w:hAnsi="Times New Roman"/>
          <w:sz w:val="24"/>
          <w:szCs w:val="24"/>
          <w:u w:val="single"/>
        </w:rPr>
        <w:t xml:space="preserve">Melinda </w:t>
      </w:r>
      <w:proofErr w:type="spellStart"/>
      <w:r w:rsidRPr="004C0507">
        <w:rPr>
          <w:rFonts w:ascii="Times New Roman" w:eastAsia="Times New Roman" w:hAnsi="Times New Roman"/>
          <w:sz w:val="24"/>
          <w:szCs w:val="24"/>
          <w:u w:val="single"/>
        </w:rPr>
        <w:t>Abbt</w:t>
      </w:r>
      <w:proofErr w:type="spellEnd"/>
      <w:r w:rsidRPr="004C0507">
        <w:rPr>
          <w:rFonts w:ascii="Times New Roman" w:eastAsia="Times New Roman" w:hAnsi="Times New Roman"/>
          <w:sz w:val="24"/>
          <w:szCs w:val="24"/>
          <w:u w:val="single"/>
        </w:rPr>
        <w:t xml:space="preserve"> v. City of Houston, John Chris Barrientes</w:t>
      </w:r>
      <w:r>
        <w:rPr>
          <w:rFonts w:ascii="Times New Roman" w:eastAsia="Times New Roman" w:hAnsi="Times New Roman"/>
          <w:sz w:val="24"/>
          <w:szCs w:val="24"/>
        </w:rPr>
        <w:t>, the U.S. Court of Appeals for 5</w:t>
      </w:r>
      <w:r w:rsidRPr="004C0507">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(New Orleans) held (3 to 0) that the lawsuit against the City of Houston and Captain Barrientes should be reinstated. </w:t>
      </w:r>
      <w:r w:rsidRPr="003170E5">
        <w:rPr>
          <w:rFonts w:ascii="Times New Roman" w:hAnsi="Times New Roman"/>
          <w:sz w:val="24"/>
          <w:szCs w:val="24"/>
        </w:rPr>
        <w:t>“</w:t>
      </w:r>
      <w:proofErr w:type="spellStart"/>
      <w:r w:rsidRPr="003170E5">
        <w:rPr>
          <w:rFonts w:ascii="Times New Roman" w:hAnsi="Times New Roman"/>
          <w:sz w:val="24"/>
          <w:szCs w:val="24"/>
        </w:rPr>
        <w:t>Abbt</w:t>
      </w:r>
      <w:proofErr w:type="spellEnd"/>
      <w:r w:rsidRPr="003170E5">
        <w:rPr>
          <w:rFonts w:ascii="Times New Roman" w:hAnsi="Times New Roman"/>
          <w:sz w:val="24"/>
          <w:szCs w:val="24"/>
        </w:rPr>
        <w:t xml:space="preserve"> has presented sufficient evidence to create a genuine dispute as to whether the City knew or should have known about the </w:t>
      </w:r>
      <w:proofErr w:type="gramStart"/>
      <w:r w:rsidRPr="003170E5">
        <w:rPr>
          <w:rFonts w:ascii="Times New Roman" w:hAnsi="Times New Roman"/>
          <w:sz w:val="24"/>
          <w:szCs w:val="24"/>
        </w:rPr>
        <w:t>harassment, and</w:t>
      </w:r>
      <w:proofErr w:type="gramEnd"/>
      <w:r w:rsidRPr="003170E5">
        <w:rPr>
          <w:rFonts w:ascii="Times New Roman" w:hAnsi="Times New Roman"/>
          <w:sz w:val="24"/>
          <w:szCs w:val="24"/>
        </w:rPr>
        <w:t xml:space="preserve"> thus can be held liable.”</w:t>
      </w:r>
      <w:r>
        <w:rPr>
          <w:rFonts w:ascii="Times New Roman" w:hAnsi="Times New Roman"/>
          <w:sz w:val="24"/>
          <w:szCs w:val="24"/>
        </w:rPr>
        <w:t xml:space="preserve"> </w:t>
      </w:r>
      <w:hyperlink r:id="rId2556" w:history="1">
        <w:r w:rsidRPr="000247F2">
          <w:rPr>
            <w:rStyle w:val="Hyperlink"/>
            <w:rFonts w:ascii="Times New Roman" w:eastAsia="Times New Roman" w:hAnsi="Times New Roman"/>
            <w:sz w:val="24"/>
            <w:szCs w:val="24"/>
          </w:rPr>
          <w:t>https://www.ca5.uscourts.gov/opinions/pub/21/21-20085-CV0.pdf</w:t>
        </w:r>
      </w:hyperlink>
      <w:r>
        <w:rPr>
          <w:rFonts w:ascii="Times New Roman" w:eastAsia="Times New Roman" w:hAnsi="Times New Roman"/>
          <w:sz w:val="24"/>
          <w:szCs w:val="24"/>
        </w:rPr>
        <w:t xml:space="preserve"> </w:t>
      </w:r>
    </w:p>
    <w:p w14:paraId="75D8A2CC" w14:textId="77777777" w:rsidR="009453FA" w:rsidRDefault="009453FA" w:rsidP="009453F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In a Concurring Opinion, Justice James C. Ho wrote: </w:t>
      </w:r>
    </w:p>
    <w:p w14:paraId="12EA6559" w14:textId="77777777" w:rsidR="009453FA" w:rsidRPr="004D78BE"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4D78BE">
        <w:rPr>
          <w:rFonts w:ascii="Times New Roman" w:eastAsia="Times New Roman" w:hAnsi="Times New Roman"/>
          <w:sz w:val="24"/>
          <w:szCs w:val="24"/>
        </w:rPr>
        <w:t xml:space="preserve">Melinda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is a firefighter. But at least two of her male superiors at the Houston Fire Department-Chris Barrientes and David Elliott-and perhaps countless others treated her as nothing more than a sexual object. They accessed a private, intimate, nude video that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had obviously made exclusively for her husband. They did so without her knowledge or permission. And they watched it repeatedly, both on and off-duty, alone and in front of co-workers, </w:t>
      </w:r>
      <w:r w:rsidRPr="004D78BE">
        <w:rPr>
          <w:rFonts w:ascii="Times New Roman" w:eastAsia="Times New Roman" w:hAnsi="Times New Roman"/>
          <w:i/>
          <w:iCs/>
          <w:sz w:val="24"/>
          <w:szCs w:val="24"/>
        </w:rPr>
        <w:t>for over nine years</w:t>
      </w:r>
      <w:r w:rsidRPr="004D78BE">
        <w:rPr>
          <w:rFonts w:ascii="Times New Roman" w:eastAsia="Times New Roman" w:hAnsi="Times New Roman"/>
          <w:sz w:val="24"/>
          <w:szCs w:val="24"/>
        </w:rPr>
        <w:t xml:space="preserve">. The only reason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ever discovered this most invasive violation of privacy was because Elliott finally confessed to her husband. Even to this day,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cannot be sure whether anyone else at the Department has already seen the video-or may watch it in the future.</w:t>
      </w:r>
      <w:r>
        <w:rPr>
          <w:rFonts w:ascii="Times New Roman" w:eastAsia="Times New Roman" w:hAnsi="Times New Roman"/>
          <w:sz w:val="24"/>
          <w:szCs w:val="24"/>
        </w:rPr>
        <w:t xml:space="preserve">”  </w:t>
      </w:r>
      <w:hyperlink r:id="rId2557" w:history="1">
        <w:r w:rsidRPr="000247F2">
          <w:rPr>
            <w:rStyle w:val="Hyperlink"/>
            <w:rFonts w:ascii="Times New Roman" w:eastAsia="Times New Roman" w:hAnsi="Times New Roman"/>
            <w:sz w:val="24"/>
            <w:szCs w:val="24"/>
          </w:rPr>
          <w:t>https://www.ca5.uscourts.gov/opinions/pub/21/21-20085-CV0.pdf</w:t>
        </w:r>
      </w:hyperlink>
      <w:r>
        <w:rPr>
          <w:rFonts w:ascii="Times New Roman" w:eastAsia="Times New Roman" w:hAnsi="Times New Roman"/>
          <w:sz w:val="24"/>
          <w:szCs w:val="24"/>
        </w:rPr>
        <w:t xml:space="preserve"> </w:t>
      </w:r>
    </w:p>
    <w:p w14:paraId="7C1D7575" w14:textId="77777777" w:rsidR="009453FA" w:rsidRDefault="009453FA" w:rsidP="009453FA">
      <w:pPr>
        <w:pStyle w:val="NormalWeb"/>
        <w:rPr>
          <w:b/>
          <w:bCs/>
        </w:rPr>
      </w:pPr>
      <w:r w:rsidRPr="00DA6A29">
        <w:rPr>
          <w:b/>
          <w:bCs/>
        </w:rPr>
        <w:t>Legal Lesson Learned:</w:t>
      </w:r>
      <w:r>
        <w:rPr>
          <w:b/>
          <w:bCs/>
        </w:rPr>
        <w:t xml:space="preserve"> Terrible facts; City would be wise to quickly settle this case. </w:t>
      </w:r>
    </w:p>
    <w:p w14:paraId="02CFB19B" w14:textId="77777777" w:rsidR="009453FA" w:rsidRDefault="009453FA" w:rsidP="000C4DF5">
      <w:pPr>
        <w:pStyle w:val="NoSpacing"/>
        <w:rPr>
          <w:rFonts w:ascii="Arial Black" w:hAnsi="Arial Black"/>
          <w:sz w:val="24"/>
          <w:szCs w:val="24"/>
        </w:rPr>
      </w:pPr>
    </w:p>
    <w:p w14:paraId="5DB3B55C" w14:textId="77777777" w:rsidR="009453FA" w:rsidRDefault="009453FA" w:rsidP="000C4DF5">
      <w:pPr>
        <w:pStyle w:val="NoSpacing"/>
        <w:rPr>
          <w:rFonts w:ascii="Arial Black" w:hAnsi="Arial Black"/>
          <w:sz w:val="24"/>
          <w:szCs w:val="24"/>
        </w:rPr>
      </w:pPr>
    </w:p>
    <w:p w14:paraId="19612664" w14:textId="0DF07B37" w:rsidR="00221640" w:rsidRDefault="00221640" w:rsidP="000C4DF5">
      <w:pPr>
        <w:pStyle w:val="NoSpacing"/>
        <w:rPr>
          <w:rFonts w:ascii="Arial Black" w:hAnsi="Arial Black"/>
          <w:sz w:val="24"/>
          <w:szCs w:val="24"/>
        </w:rPr>
      </w:pPr>
      <w:r>
        <w:rPr>
          <w:rFonts w:ascii="Arial Black" w:hAnsi="Arial Black"/>
          <w:sz w:val="24"/>
          <w:szCs w:val="24"/>
        </w:rPr>
        <w:t>15-15</w:t>
      </w:r>
    </w:p>
    <w:p w14:paraId="0A03C679" w14:textId="77777777" w:rsidR="00221640" w:rsidRPr="003A47ED" w:rsidRDefault="00221640" w:rsidP="00221640">
      <w:pPr>
        <w:spacing w:before="100" w:beforeAutospacing="1" w:after="100" w:afterAutospacing="1" w:line="240" w:lineRule="auto"/>
        <w:rPr>
          <w:rFonts w:ascii="Arial Black" w:eastAsia="Times New Roman" w:hAnsi="Arial Black"/>
          <w:b/>
          <w:bCs/>
          <w:sz w:val="28"/>
          <w:szCs w:val="28"/>
        </w:rPr>
      </w:pPr>
      <w:bookmarkStart w:id="575" w:name="_Hlk99871184"/>
      <w:r>
        <w:rPr>
          <w:rFonts w:ascii="Arial Black" w:eastAsia="Times New Roman" w:hAnsi="Arial Black"/>
          <w:b/>
          <w:bCs/>
          <w:sz w:val="28"/>
          <w:szCs w:val="28"/>
        </w:rPr>
        <w:t>CA: PTSD – CHP TROOPER – FIREARM RETURNED – KILLED WIFE – SHOT HER BOYFRIEND, SUICIDE – NO IMMUNITY</w:t>
      </w:r>
    </w:p>
    <w:p w14:paraId="4DE1CAA0" w14:textId="77777777" w:rsidR="00221640" w:rsidRDefault="00221640" w:rsidP="00221640">
      <w:pPr>
        <w:spacing w:before="100" w:beforeAutospacing="1" w:after="100" w:afterAutospacing="1" w:line="240" w:lineRule="auto"/>
        <w:rPr>
          <w:rFonts w:ascii="Times New Roman" w:hAnsi="Times New Roman"/>
          <w:sz w:val="24"/>
          <w:szCs w:val="24"/>
        </w:rPr>
      </w:pPr>
      <w:r w:rsidRPr="00021501">
        <w:rPr>
          <w:rFonts w:ascii="Times New Roman" w:eastAsia="Times New Roman" w:hAnsi="Times New Roman"/>
          <w:sz w:val="24"/>
          <w:szCs w:val="24"/>
        </w:rPr>
        <w:t xml:space="preserve">On Feb. 25, 2022, in </w:t>
      </w:r>
      <w:r w:rsidRPr="00021501">
        <w:rPr>
          <w:rFonts w:ascii="Times New Roman" w:eastAsia="Times New Roman" w:hAnsi="Times New Roman"/>
          <w:sz w:val="24"/>
          <w:szCs w:val="24"/>
          <w:u w:val="single"/>
        </w:rPr>
        <w:t>Phil</w:t>
      </w:r>
      <w:r>
        <w:rPr>
          <w:rFonts w:ascii="Times New Roman" w:eastAsia="Times New Roman" w:hAnsi="Times New Roman"/>
          <w:sz w:val="24"/>
          <w:szCs w:val="24"/>
          <w:u w:val="single"/>
        </w:rPr>
        <w:t xml:space="preserve"> </w:t>
      </w:r>
      <w:proofErr w:type="spellStart"/>
      <w:r w:rsidRPr="00021501">
        <w:rPr>
          <w:rFonts w:ascii="Times New Roman" w:eastAsia="Times New Roman" w:hAnsi="Times New Roman"/>
          <w:sz w:val="24"/>
          <w:szCs w:val="24"/>
          <w:u w:val="single"/>
        </w:rPr>
        <w:t>Debeaubien</w:t>
      </w:r>
      <w:proofErr w:type="spellEnd"/>
      <w:r w:rsidRPr="00021501">
        <w:rPr>
          <w:rFonts w:ascii="Times New Roman" w:eastAsia="Times New Roman" w:hAnsi="Times New Roman"/>
          <w:sz w:val="24"/>
          <w:szCs w:val="24"/>
          <w:u w:val="single"/>
        </w:rPr>
        <w:t xml:space="preserve"> v. State of California, California Highway Patrol, Todd Brown, et al.</w:t>
      </w:r>
      <w:r w:rsidRPr="00021501">
        <w:rPr>
          <w:rFonts w:ascii="Times New Roman" w:eastAsia="Times New Roman" w:hAnsi="Times New Roman"/>
          <w:sz w:val="24"/>
          <w:szCs w:val="24"/>
        </w:rPr>
        <w:t xml:space="preserve">, U.S. District Court Judge William B. </w:t>
      </w:r>
      <w:proofErr w:type="spellStart"/>
      <w:r w:rsidRPr="00021501">
        <w:rPr>
          <w:rFonts w:ascii="Times New Roman" w:eastAsia="Times New Roman" w:hAnsi="Times New Roman"/>
          <w:sz w:val="24"/>
          <w:szCs w:val="24"/>
        </w:rPr>
        <w:t>Shubb</w:t>
      </w:r>
      <w:proofErr w:type="spellEnd"/>
      <w:r w:rsidRPr="00021501">
        <w:rPr>
          <w:rFonts w:ascii="Times New Roman" w:eastAsia="Times New Roman" w:hAnsi="Times New Roman"/>
          <w:sz w:val="24"/>
          <w:szCs w:val="24"/>
        </w:rPr>
        <w:t xml:space="preserve">, U.S. District Court for Eastern District of California, in a lawsuit filed by </w:t>
      </w:r>
      <w:r>
        <w:rPr>
          <w:rFonts w:ascii="Times New Roman" w:eastAsia="Times New Roman" w:hAnsi="Times New Roman"/>
          <w:sz w:val="24"/>
          <w:szCs w:val="24"/>
        </w:rPr>
        <w:t xml:space="preserve">estranged wife’s boyfriend who was shot in arm, </w:t>
      </w:r>
      <w:r w:rsidRPr="00021501">
        <w:rPr>
          <w:rFonts w:ascii="Times New Roman" w:eastAsia="Times New Roman" w:hAnsi="Times New Roman"/>
          <w:sz w:val="24"/>
          <w:szCs w:val="24"/>
        </w:rPr>
        <w:t>denied the State of California and the CHP supervisors’ motion for summary judgment</w:t>
      </w:r>
      <w:r>
        <w:rPr>
          <w:rFonts w:ascii="Times New Roman" w:eastAsia="Times New Roman" w:hAnsi="Times New Roman"/>
          <w:sz w:val="24"/>
          <w:szCs w:val="24"/>
        </w:rPr>
        <w:t xml:space="preserve">. The service weapon had been returned after EAP counselors advised CHP he could return to work. </w:t>
      </w:r>
      <w:hyperlink r:id="rId2558" w:history="1">
        <w:r w:rsidRPr="002477AB">
          <w:rPr>
            <w:rStyle w:val="Hyperlink"/>
            <w:rFonts w:ascii="Times New Roman" w:eastAsia="Times New Roman" w:hAnsi="Times New Roman"/>
            <w:sz w:val="24"/>
            <w:szCs w:val="24"/>
          </w:rPr>
          <w:t>https://public.fastcase.com/waZtJvSA54UAurM2rmIZz6DHvxBXKDNOBT4bWQ9B2C2XMExqnhPDmJ4RTlgjq%2FCO3g5z%2BjC1yjBDqKCmneuiR5bS8Q3ELHfgftRpjN8MXvk%3D</w:t>
        </w:r>
      </w:hyperlink>
      <w:bookmarkEnd w:id="575"/>
      <w:r>
        <w:rPr>
          <w:rFonts w:ascii="Times New Roman" w:eastAsia="Times New Roman" w:hAnsi="Times New Roman"/>
          <w:sz w:val="24"/>
          <w:szCs w:val="24"/>
        </w:rPr>
        <w:t xml:space="preserve"> </w:t>
      </w:r>
    </w:p>
    <w:p w14:paraId="6A273E94" w14:textId="77777777" w:rsidR="00221640" w:rsidRDefault="00221640" w:rsidP="00221640">
      <w:pPr>
        <w:pStyle w:val="NormalWeb"/>
        <w:ind w:left="720" w:firstLine="60"/>
      </w:pPr>
      <w:r>
        <w:t xml:space="preserve">“Plaintiff Philip </w:t>
      </w:r>
      <w:proofErr w:type="spellStart"/>
      <w:r>
        <w:t>Debeaubien</w:t>
      </w:r>
      <w:proofErr w:type="spellEnd"/>
      <w:r>
        <w:t xml:space="preserve"> (‘plaintiff’) brought this section 1983 action against the State of California; the California Highway Patrol (‘CHP’); CHP officers Todd Brown, Reggie Whitehead, Ryan Stonebraker, Brent Newman, and Jeremy Dobler (collectively the ‘CHP defendants’); Joy Graf; and Sabrena Swain; for various alleged constitutional and state tort offenses…</w:t>
      </w:r>
      <w:r>
        <w:rPr>
          <w:vertAlign w:val="superscript"/>
        </w:rPr>
        <w:t xml:space="preserve">. </w:t>
      </w:r>
      <w:r>
        <w:t xml:space="preserve"> The case arises out of events on September 3, 2018, wherein CHP officer Brad Wheat (‘Wheat’) shot plaintiff before fatally shooting Wheat's wife and himself.</w:t>
      </w:r>
    </w:p>
    <w:p w14:paraId="7E98A787" w14:textId="77777777" w:rsidR="00221640" w:rsidRDefault="00221640" w:rsidP="00221640">
      <w:pPr>
        <w:pStyle w:val="NormalWeb"/>
        <w:ind w:left="720" w:firstLine="60"/>
      </w:pPr>
      <w:r>
        <w:t>***</w:t>
      </w:r>
    </w:p>
    <w:p w14:paraId="415FD83C" w14:textId="77777777" w:rsidR="00221640" w:rsidRDefault="00221640" w:rsidP="0022164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[Motion to dismiss is] </w:t>
      </w:r>
      <w:r w:rsidRPr="007E70C2">
        <w:rPr>
          <w:rFonts w:ascii="Times New Roman" w:hAnsi="Times New Roman"/>
          <w:sz w:val="24"/>
          <w:szCs w:val="24"/>
        </w:rPr>
        <w:t>DENIED as to defendants Dobler, Brown, Stonebraker, State of California, and California Highway Patrol on the issue of whether these defendants owed plaintiff a duty not to entrust Wheat with a firearm</w:t>
      </w:r>
      <w:r>
        <w:rPr>
          <w:rFonts w:ascii="Times New Roman" w:hAnsi="Times New Roman"/>
          <w:sz w:val="24"/>
          <w:szCs w:val="24"/>
        </w:rPr>
        <w:t xml:space="preserve">.” </w:t>
      </w:r>
    </w:p>
    <w:p w14:paraId="14F748BF" w14:textId="77777777" w:rsidR="00221640" w:rsidRPr="00021501" w:rsidRDefault="00221640" w:rsidP="00221640">
      <w:pPr>
        <w:pStyle w:val="Heading1"/>
        <w:rPr>
          <w:sz w:val="24"/>
          <w:szCs w:val="24"/>
        </w:rPr>
      </w:pPr>
      <w:r>
        <w:rPr>
          <w:b w:val="0"/>
          <w:bCs w:val="0"/>
          <w:sz w:val="24"/>
          <w:szCs w:val="24"/>
        </w:rPr>
        <w:t xml:space="preserve">Watch the Jan. 26, </w:t>
      </w:r>
      <w:proofErr w:type="gramStart"/>
      <w:r>
        <w:rPr>
          <w:b w:val="0"/>
          <w:bCs w:val="0"/>
          <w:sz w:val="24"/>
          <w:szCs w:val="24"/>
        </w:rPr>
        <w:t>2022</w:t>
      </w:r>
      <w:proofErr w:type="gramEnd"/>
      <w:r>
        <w:rPr>
          <w:b w:val="0"/>
          <w:bCs w:val="0"/>
          <w:sz w:val="24"/>
          <w:szCs w:val="24"/>
        </w:rPr>
        <w:t xml:space="preserve"> TV interview with Plaintiff - includes bystander video of scene on </w:t>
      </w:r>
      <w:proofErr w:type="gramStart"/>
      <w:r>
        <w:rPr>
          <w:b w:val="0"/>
          <w:bCs w:val="0"/>
          <w:sz w:val="24"/>
          <w:szCs w:val="24"/>
        </w:rPr>
        <w:t>Sept,</w:t>
      </w:r>
      <w:proofErr w:type="gramEnd"/>
      <w:r>
        <w:rPr>
          <w:b w:val="0"/>
          <w:bCs w:val="0"/>
          <w:sz w:val="24"/>
          <w:szCs w:val="24"/>
        </w:rPr>
        <w:t xml:space="preserve"> 3, 2018 where you can hear shots being fired. </w:t>
      </w:r>
    </w:p>
    <w:p w14:paraId="6DAE7DC8" w14:textId="77777777" w:rsidR="00221640" w:rsidRDefault="00221640" w:rsidP="00221640">
      <w:pPr>
        <w:pStyle w:val="ListParagraph"/>
        <w:spacing w:before="100" w:beforeAutospacing="1" w:after="100" w:afterAutospacing="1" w:line="240" w:lineRule="auto"/>
        <w:ind w:left="1440"/>
        <w:rPr>
          <w:rStyle w:val="Hyperlink"/>
          <w:rFonts w:ascii="Times New Roman" w:hAnsi="Times New Roman" w:cs="Times New Roman"/>
          <w:sz w:val="24"/>
          <w:szCs w:val="24"/>
        </w:rPr>
      </w:pPr>
      <w:r w:rsidRPr="00021501">
        <w:rPr>
          <w:rFonts w:ascii="Times New Roman" w:hAnsi="Times New Roman" w:cs="Times New Roman"/>
          <w:sz w:val="24"/>
          <w:szCs w:val="24"/>
        </w:rPr>
        <w:t xml:space="preserve">“He’s suing the CHP after an off-duty officer shot him. Here’s what he hopes to change.  Bystander video shows part of the 2018 murder-suicide incident involving CHP Lt. Brad Wheat and his estranged wife, Mary. Trae </w:t>
      </w:r>
      <w:proofErr w:type="spellStart"/>
      <w:r w:rsidRPr="00021501">
        <w:rPr>
          <w:rFonts w:ascii="Times New Roman" w:hAnsi="Times New Roman" w:cs="Times New Roman"/>
          <w:sz w:val="24"/>
          <w:szCs w:val="24"/>
        </w:rPr>
        <w:t>deBeaubien</w:t>
      </w:r>
      <w:proofErr w:type="spellEnd"/>
      <w:r w:rsidRPr="00021501">
        <w:rPr>
          <w:rFonts w:ascii="Times New Roman" w:hAnsi="Times New Roman" w:cs="Times New Roman"/>
          <w:sz w:val="24"/>
          <w:szCs w:val="24"/>
        </w:rPr>
        <w:t xml:space="preserve">, who was dating Mary, was also shot and is suing the agency for returning Wheat's gun after he made threats.” </w:t>
      </w:r>
      <w:hyperlink r:id="rId2559" w:history="1">
        <w:r w:rsidRPr="00021501">
          <w:rPr>
            <w:rStyle w:val="Hyperlink"/>
            <w:rFonts w:ascii="Times New Roman" w:hAnsi="Times New Roman" w:cs="Times New Roman"/>
            <w:sz w:val="24"/>
            <w:szCs w:val="24"/>
          </w:rPr>
          <w:t>https://www.sacbee.com/news/local/article257698263.html</w:t>
        </w:r>
      </w:hyperlink>
    </w:p>
    <w:p w14:paraId="5A1C5CE9" w14:textId="77777777" w:rsidR="00221640" w:rsidRDefault="00221640" w:rsidP="00221640">
      <w:pPr>
        <w:spacing w:before="100" w:beforeAutospacing="1" w:after="100" w:afterAutospacing="1" w:line="240" w:lineRule="auto"/>
        <w:rPr>
          <w:rStyle w:val="Hyperlink"/>
          <w:rFonts w:ascii="Times New Roman" w:hAnsi="Times New Roman"/>
          <w:sz w:val="24"/>
          <w:szCs w:val="24"/>
        </w:rPr>
      </w:pPr>
      <w:r w:rsidRPr="0050050C">
        <w:rPr>
          <w:rFonts w:ascii="Times New Roman" w:hAnsi="Times New Roman"/>
          <w:sz w:val="24"/>
          <w:szCs w:val="24"/>
        </w:rPr>
        <w:t xml:space="preserve">Feb. 25, 2022: “An Off-Duty Cop Murdered His Ex-Girlfriend. The California Highway Patrol Ignored the Red Flags.” </w:t>
      </w:r>
      <w:hyperlink r:id="rId2560" w:history="1">
        <w:r w:rsidRPr="0050050C">
          <w:rPr>
            <w:rStyle w:val="Hyperlink"/>
            <w:rFonts w:ascii="Times New Roman" w:hAnsi="Times New Roman"/>
            <w:sz w:val="24"/>
            <w:szCs w:val="24"/>
          </w:rPr>
          <w:t>https://gemm.site/2022/02/25/an-off-duty-cop-murdered-his-ex-girlfriend-the-california-highway-patrol-ignored-the-red-flags/</w:t>
        </w:r>
      </w:hyperlink>
    </w:p>
    <w:p w14:paraId="65052A0E" w14:textId="77777777" w:rsidR="009453FA" w:rsidRPr="004B6F15" w:rsidRDefault="009453FA" w:rsidP="009453FA">
      <w:pPr>
        <w:pStyle w:val="NormalWeb"/>
        <w:rPr>
          <w:b/>
          <w:bCs/>
        </w:rPr>
      </w:pPr>
      <w:r w:rsidRPr="004B6F15">
        <w:rPr>
          <w:b/>
          <w:bCs/>
        </w:rPr>
        <w:t xml:space="preserve">Legal Lesson Learned: Returning a service weapon to a police officer suffering </w:t>
      </w:r>
      <w:r>
        <w:rPr>
          <w:b/>
          <w:bCs/>
        </w:rPr>
        <w:t xml:space="preserve">from PTSD or other serious </w:t>
      </w:r>
      <w:r w:rsidRPr="004B6F15">
        <w:rPr>
          <w:b/>
          <w:bCs/>
        </w:rPr>
        <w:t>mental should only be done after a Fitness for Duty</w:t>
      </w:r>
      <w:r>
        <w:rPr>
          <w:b/>
          <w:bCs/>
        </w:rPr>
        <w:t xml:space="preserve"> (FFDE)</w:t>
      </w:r>
      <w:r w:rsidRPr="004B6F15">
        <w:rPr>
          <w:b/>
          <w:bCs/>
        </w:rPr>
        <w:t xml:space="preserve"> psychological evaluation (FFDE) by an appropriately trained and competent licensed mental health professional.</w:t>
      </w:r>
    </w:p>
    <w:p w14:paraId="122B53A6" w14:textId="7F0701A2" w:rsidR="009453FA" w:rsidRPr="00B572BA" w:rsidRDefault="009453FA" w:rsidP="009453FA">
      <w:pPr>
        <w:spacing w:before="100" w:beforeAutospacing="1" w:after="100" w:afterAutospacing="1" w:line="240" w:lineRule="auto"/>
        <w:ind w:left="720"/>
        <w:rPr>
          <w:rFonts w:ascii="Times New Roman" w:eastAsia="Times New Roman" w:hAnsi="Times New Roman"/>
          <w:sz w:val="24"/>
          <w:szCs w:val="24"/>
        </w:rPr>
      </w:pPr>
      <w:r w:rsidRPr="00B572BA">
        <w:rPr>
          <w:rFonts w:ascii="Times New Roman" w:eastAsia="Times New Roman" w:hAnsi="Times New Roman"/>
          <w:sz w:val="24"/>
          <w:szCs w:val="24"/>
        </w:rPr>
        <w:t xml:space="preserve">Note: Dr. Eric Birkley, Psychologist, has kindly provided this info on Fitness </w:t>
      </w:r>
      <w:proofErr w:type="gramStart"/>
      <w:r w:rsidRPr="00B572BA">
        <w:rPr>
          <w:rFonts w:ascii="Times New Roman" w:eastAsia="Times New Roman" w:hAnsi="Times New Roman"/>
          <w:sz w:val="24"/>
          <w:szCs w:val="24"/>
        </w:rPr>
        <w:t>For</w:t>
      </w:r>
      <w:proofErr w:type="gramEnd"/>
      <w:r w:rsidRPr="00B572BA">
        <w:rPr>
          <w:rFonts w:ascii="Times New Roman" w:eastAsia="Times New Roman" w:hAnsi="Times New Roman"/>
          <w:sz w:val="24"/>
          <w:szCs w:val="24"/>
        </w:rPr>
        <w:t xml:space="preserve"> Duty Evaluations </w:t>
      </w:r>
      <w:bookmarkStart w:id="576" w:name="_Hlk99975468"/>
      <w:r w:rsidRPr="00B572BA">
        <w:rPr>
          <w:rFonts w:ascii="Times New Roman" w:eastAsia="Times New Roman" w:hAnsi="Times New Roman"/>
          <w:sz w:val="24"/>
          <w:szCs w:val="24"/>
        </w:rPr>
        <w:t xml:space="preserve">[posted with her permission]. </w:t>
      </w:r>
      <w:bookmarkEnd w:id="576"/>
      <w:r w:rsidRPr="00B572BA">
        <w:rPr>
          <w:rFonts w:ascii="Times New Roman" w:eastAsia="Times New Roman" w:hAnsi="Times New Roman"/>
          <w:sz w:val="24"/>
          <w:szCs w:val="24"/>
        </w:rPr>
        <w:t xml:space="preserve">On May 26, 2022, Dr. Birley and the author of this </w:t>
      </w:r>
      <w:proofErr w:type="gramStart"/>
      <w:r w:rsidRPr="00B572BA">
        <w:rPr>
          <w:rFonts w:ascii="Times New Roman" w:eastAsia="Times New Roman" w:hAnsi="Times New Roman"/>
          <w:sz w:val="24"/>
          <w:szCs w:val="24"/>
        </w:rPr>
        <w:t>newsletter,</w:t>
      </w:r>
      <w:proofErr w:type="gramEnd"/>
      <w:r w:rsidRPr="00B572BA">
        <w:rPr>
          <w:rFonts w:ascii="Times New Roman" w:eastAsia="Times New Roman" w:hAnsi="Times New Roman"/>
          <w:sz w:val="24"/>
          <w:szCs w:val="24"/>
        </w:rPr>
        <w:t xml:space="preserve"> will both be on a panel for First Responder Mental Health Symposium. </w:t>
      </w:r>
      <w:hyperlink r:id="rId2561" w:history="1">
        <w:r w:rsidRPr="00B572BA">
          <w:rPr>
            <w:rStyle w:val="Hyperlink"/>
            <w:rFonts w:ascii="Times New Roman" w:eastAsia="Times New Roman" w:hAnsi="Times New Roman"/>
            <w:sz w:val="24"/>
            <w:szCs w:val="24"/>
          </w:rPr>
          <w:t>https://ceas.uc.edu/academics/departments/aerospace-engineering-mechanics/fire-science/news.html</w:t>
        </w:r>
      </w:hyperlink>
      <w:r w:rsidRPr="00B572BA">
        <w:rPr>
          <w:rFonts w:ascii="Times New Roman" w:eastAsia="Times New Roman" w:hAnsi="Times New Roman"/>
          <w:sz w:val="24"/>
          <w:szCs w:val="24"/>
        </w:rPr>
        <w:t xml:space="preserve"> </w:t>
      </w:r>
    </w:p>
    <w:p w14:paraId="2334C4BF"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3/25/2022</w:t>
      </w:r>
    </w:p>
    <w:p w14:paraId="3A6CAB21"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Hi Larry,</w:t>
      </w:r>
    </w:p>
    <w:p w14:paraId="75EDDF5C"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I would specify that when an employed officer makes specific threats of violence that the criterion standard is (under all circumstances I can think of) met to order a Fitness for Duty psychological evaluation (FFDE) by an appropriately trained and competent licensed mental health professional.  Part of that professional’s job is to provide feedback to the first responder agency on whether the criterion standard for a FFDE is met given the facts of the case. As mental health professionals, we expect that if a person is </w:t>
      </w:r>
      <w:proofErr w:type="gramStart"/>
      <w:r w:rsidRPr="00B572BA">
        <w:rPr>
          <w:rFonts w:ascii="Times New Roman" w:hAnsi="Times New Roman"/>
          <w:sz w:val="24"/>
          <w:szCs w:val="24"/>
        </w:rPr>
        <w:t>referred</w:t>
      </w:r>
      <w:proofErr w:type="gramEnd"/>
      <w:r w:rsidRPr="00B572BA">
        <w:rPr>
          <w:rFonts w:ascii="Times New Roman" w:hAnsi="Times New Roman"/>
          <w:sz w:val="24"/>
          <w:szCs w:val="24"/>
        </w:rPr>
        <w:t xml:space="preserve"> for a Fitness for Duty evaluation that they will most likely be placed on administrative leave, and/or other actions have been taken by the agency to limit their duties appropriately. </w:t>
      </w:r>
    </w:p>
    <w:p w14:paraId="419ECC79" w14:textId="77777777" w:rsidR="009453FA" w:rsidRPr="00B572BA" w:rsidRDefault="009453FA" w:rsidP="009453FA">
      <w:pPr>
        <w:rPr>
          <w:rFonts w:ascii="Times New Roman" w:hAnsi="Times New Roman"/>
          <w:sz w:val="24"/>
          <w:szCs w:val="24"/>
        </w:rPr>
      </w:pPr>
    </w:p>
    <w:p w14:paraId="04172822"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This is the criterion standard for a fitness for duty evaluation: “According to the Americans with Disabilities Act (ADA), when an employer has a reasonable belief, based on objective evidence, that a police officer may have a psychological condition that impairs his or her ability to perform essential job functions or poses a direct threat, an FFDE is “job-related and consistent with business necessity” (42 U.S.C. §12112[d][4][A]; 29 C.F.R. §1630.14[c]). Case law has established that an employer need not wait for objective evidence of impaired performance before justifying an FFDE when the employee is engaged in dangerous work.”</w:t>
      </w:r>
    </w:p>
    <w:p w14:paraId="076B6298" w14:textId="77777777" w:rsidR="009453FA" w:rsidRPr="00B572BA" w:rsidRDefault="009453FA" w:rsidP="009453FA">
      <w:pPr>
        <w:rPr>
          <w:rFonts w:ascii="Times New Roman" w:hAnsi="Times New Roman"/>
          <w:sz w:val="24"/>
          <w:szCs w:val="24"/>
        </w:rPr>
      </w:pPr>
    </w:p>
    <w:p w14:paraId="3DB20436"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I perform FFDE for LEOs and most often agencies aren’t abreast of the criterion standard for ordering an FFDE and order one too prematurely (when someone is an “asshole” but does not have an identifiable mental health impairment) or wait too long as in this case as they may be unaware of their options. FFDEs are designed to safeguard the public and the agency and save departments/taxpayers millions – they cost around $3500 for a psychologist to </w:t>
      </w:r>
      <w:proofErr w:type="gramStart"/>
      <w:r w:rsidRPr="00B572BA">
        <w:rPr>
          <w:rFonts w:ascii="Times New Roman" w:hAnsi="Times New Roman"/>
          <w:sz w:val="24"/>
          <w:szCs w:val="24"/>
        </w:rPr>
        <w:t>perform</w:t>
      </w:r>
      <w:proofErr w:type="gramEnd"/>
      <w:r w:rsidRPr="00B572BA">
        <w:rPr>
          <w:rFonts w:ascii="Times New Roman" w:hAnsi="Times New Roman"/>
          <w:sz w:val="24"/>
          <w:szCs w:val="24"/>
        </w:rPr>
        <w:t xml:space="preserve"> and some departments don’t consider the alternative cost of a lawsuit. </w:t>
      </w:r>
    </w:p>
    <w:p w14:paraId="663936AF"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Hope this is helpful! I attached a key article written by two leading police psychologists who literally wrote the book on FFDEs for LEO with several case law examples included. </w:t>
      </w:r>
    </w:p>
    <w:p w14:paraId="3BF3C68B" w14:textId="77777777" w:rsidR="009453FA" w:rsidRPr="00B572BA" w:rsidRDefault="009453FA" w:rsidP="001E264B">
      <w:pPr>
        <w:pStyle w:val="NoSpacing"/>
        <w:ind w:left="720"/>
        <w:rPr>
          <w:rFonts w:ascii="Times New Roman" w:hAnsi="Times New Roman"/>
          <w:sz w:val="24"/>
          <w:szCs w:val="24"/>
        </w:rPr>
      </w:pPr>
      <w:r w:rsidRPr="00B572BA">
        <w:rPr>
          <w:rFonts w:ascii="Times New Roman" w:hAnsi="Times New Roman"/>
          <w:sz w:val="24"/>
          <w:szCs w:val="24"/>
        </w:rPr>
        <w:t xml:space="preserve">Current Issues in Psychological Fitness-for-Duty Evaluations of Law Enforcement Officers: Legal and Practice Implications (2016): </w:t>
      </w:r>
      <w:hyperlink r:id="rId2562" w:history="1">
        <w:r w:rsidRPr="00B572BA">
          <w:rPr>
            <w:rStyle w:val="Hyperlink"/>
            <w:rFonts w:ascii="Times New Roman" w:hAnsi="Times New Roman"/>
            <w:sz w:val="24"/>
            <w:szCs w:val="24"/>
          </w:rPr>
          <w:t>Mayer ^0 Corey 2016 Current Issues in FFD evaluations of LEOs.pdf</w:t>
        </w:r>
      </w:hyperlink>
      <w:r w:rsidRPr="00B572BA">
        <w:rPr>
          <w:rFonts w:ascii="Times New Roman" w:hAnsi="Times New Roman"/>
          <w:sz w:val="24"/>
          <w:szCs w:val="24"/>
        </w:rPr>
        <w:t xml:space="preserve"> </w:t>
      </w:r>
    </w:p>
    <w:p w14:paraId="12149CB6" w14:textId="77777777" w:rsidR="009453FA" w:rsidRPr="00B572BA" w:rsidRDefault="009453FA" w:rsidP="009453FA">
      <w:pPr>
        <w:ind w:left="720"/>
        <w:rPr>
          <w:rFonts w:ascii="Times New Roman" w:hAnsi="Times New Roman"/>
          <w:sz w:val="24"/>
          <w:szCs w:val="24"/>
        </w:rPr>
      </w:pPr>
    </w:p>
    <w:p w14:paraId="3BCCC045"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Erica</w:t>
      </w:r>
    </w:p>
    <w:p w14:paraId="3E170A4B"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Erica Birkley, PhD</w:t>
      </w:r>
    </w:p>
    <w:p w14:paraId="14F2BFC2"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Associate Professor</w:t>
      </w:r>
    </w:p>
    <w:p w14:paraId="3FB32728"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Psychologist</w:t>
      </w:r>
    </w:p>
    <w:p w14:paraId="56F1ED6A"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UC Department of Psychiatry and Behavioral Neuroscience</w:t>
      </w:r>
    </w:p>
    <w:p w14:paraId="1A2DEB14"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513-585-7742 (direct office)</w:t>
      </w:r>
    </w:p>
    <w:p w14:paraId="6EA0237F"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513-585-7700 (scheduling desk)</w:t>
      </w:r>
    </w:p>
    <w:p w14:paraId="107EB90C"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513-585-7778 (fax)</w:t>
      </w:r>
    </w:p>
    <w:p w14:paraId="688DC937" w14:textId="77777777" w:rsidR="009453FA" w:rsidRPr="00B572BA" w:rsidRDefault="009453FA" w:rsidP="009453FA">
      <w:pPr>
        <w:pStyle w:val="NoSpacing"/>
        <w:ind w:firstLine="720"/>
        <w:rPr>
          <w:rFonts w:ascii="Times New Roman" w:hAnsi="Times New Roman"/>
          <w:sz w:val="24"/>
          <w:szCs w:val="24"/>
        </w:rPr>
      </w:pPr>
      <w:hyperlink r:id="rId2563" w:history="1">
        <w:r w:rsidRPr="00B572BA">
          <w:rPr>
            <w:rStyle w:val="Hyperlink"/>
            <w:rFonts w:ascii="Times New Roman" w:hAnsi="Times New Roman"/>
            <w:sz w:val="24"/>
            <w:szCs w:val="24"/>
          </w:rPr>
          <w:t>Birkleea@ucmail.uc.edu</w:t>
        </w:r>
      </w:hyperlink>
    </w:p>
    <w:p w14:paraId="226D243D" w14:textId="77777777" w:rsidR="009453FA" w:rsidRPr="00B572BA" w:rsidRDefault="009453FA" w:rsidP="009453FA">
      <w:pPr>
        <w:pStyle w:val="NoSpacing"/>
        <w:ind w:firstLine="720"/>
        <w:rPr>
          <w:rFonts w:ascii="Times New Roman" w:hAnsi="Times New Roman"/>
          <w:sz w:val="24"/>
          <w:szCs w:val="24"/>
        </w:rPr>
      </w:pPr>
    </w:p>
    <w:p w14:paraId="31AE6274" w14:textId="77777777" w:rsidR="00221640" w:rsidRPr="00B572BA" w:rsidRDefault="00221640" w:rsidP="000C4DF5">
      <w:pPr>
        <w:pStyle w:val="NoSpacing"/>
        <w:rPr>
          <w:rFonts w:ascii="Times New Roman" w:hAnsi="Times New Roman"/>
          <w:sz w:val="24"/>
          <w:szCs w:val="24"/>
        </w:rPr>
      </w:pPr>
    </w:p>
    <w:p w14:paraId="10C296ED" w14:textId="77777777" w:rsidR="00221640" w:rsidRDefault="00221640" w:rsidP="000C4DF5">
      <w:pPr>
        <w:pStyle w:val="NoSpacing"/>
        <w:rPr>
          <w:rFonts w:ascii="Arial Black" w:hAnsi="Arial Black"/>
          <w:sz w:val="24"/>
          <w:szCs w:val="24"/>
        </w:rPr>
      </w:pPr>
    </w:p>
    <w:p w14:paraId="5E6AE4AD" w14:textId="77777777" w:rsidR="00221640" w:rsidRDefault="00221640" w:rsidP="000C4DF5">
      <w:pPr>
        <w:pStyle w:val="NoSpacing"/>
        <w:rPr>
          <w:rFonts w:ascii="Arial Black" w:hAnsi="Arial Black"/>
          <w:sz w:val="24"/>
          <w:szCs w:val="24"/>
        </w:rPr>
      </w:pPr>
    </w:p>
    <w:p w14:paraId="7DF0D82F" w14:textId="1424AF6F" w:rsidR="00FF5FCF" w:rsidRDefault="00BD3FE4" w:rsidP="000C4DF5">
      <w:pPr>
        <w:pStyle w:val="NoSpacing"/>
        <w:rPr>
          <w:rFonts w:ascii="Arial Black" w:hAnsi="Arial Black"/>
          <w:sz w:val="24"/>
          <w:szCs w:val="24"/>
        </w:rPr>
      </w:pPr>
      <w:r>
        <w:rPr>
          <w:rFonts w:ascii="Arial Black" w:hAnsi="Arial Black"/>
          <w:sz w:val="24"/>
          <w:szCs w:val="24"/>
        </w:rPr>
        <w:t>15-14</w:t>
      </w:r>
      <w:r w:rsidR="00680939">
        <w:rPr>
          <w:rFonts w:ascii="Arial Black" w:hAnsi="Arial Black"/>
          <w:sz w:val="24"/>
          <w:szCs w:val="24"/>
        </w:rPr>
        <w:t xml:space="preserve"> [also filed Chap. 10]</w:t>
      </w:r>
    </w:p>
    <w:p w14:paraId="65841AB0" w14:textId="77777777" w:rsidR="00BD3FE4" w:rsidRDefault="00BD3FE4" w:rsidP="00BD3FE4">
      <w:pPr>
        <w:pStyle w:val="NormalWeb"/>
        <w:rPr>
          <w:rFonts w:ascii="Arial Black" w:hAnsi="Arial Black"/>
          <w:b/>
          <w:bCs/>
          <w:sz w:val="28"/>
          <w:szCs w:val="28"/>
        </w:rPr>
      </w:pPr>
      <w:r>
        <w:rPr>
          <w:rFonts w:ascii="Arial Black" w:hAnsi="Arial Black"/>
          <w:b/>
          <w:bCs/>
          <w:sz w:val="28"/>
          <w:szCs w:val="28"/>
        </w:rPr>
        <w:t xml:space="preserve">MA: CAPTAIN PSYCHIATRICT EXAM – FIRE CHIEF DENIED IMMUNITY – ALLEGED RETALIATION / BREACH OF FMLA </w:t>
      </w:r>
    </w:p>
    <w:p w14:paraId="1800C362" w14:textId="77777777" w:rsidR="00BD3FE4" w:rsidRDefault="00BD3FE4" w:rsidP="00BD3FE4">
      <w:pPr>
        <w:pStyle w:val="NormalWeb"/>
      </w:pPr>
      <w:r w:rsidRPr="00944162">
        <w:t xml:space="preserve">On </w:t>
      </w:r>
      <w:r>
        <w:t xml:space="preserve">Jan. 26, 2022, in </w:t>
      </w:r>
      <w:r w:rsidRPr="00944162">
        <w:rPr>
          <w:u w:val="single"/>
        </w:rPr>
        <w:t>Andrew Brennan v. City of Everett and Anthony Carli</w:t>
      </w:r>
      <w:r>
        <w:t>, the Appeals Court of Massachusetts held (3 to 0; unpublished decision) that trial judge properly denied the Fire Chief Anthony Carli’s  motion to be dismissed from lawsuit based on qualified immunity.  “</w:t>
      </w:r>
      <w:r w:rsidRPr="00DE5CFC">
        <w:t>Here, Brennan alleged that Carli placed him on leave and provided false information to medical evaluators under the false belief that Brennan was mentally unfit.</w:t>
      </w:r>
      <w:r>
        <w:t xml:space="preserve">” </w:t>
      </w:r>
      <w:hyperlink r:id="rId2564" w:history="1">
        <w:r w:rsidRPr="003B2357">
          <w:rPr>
            <w:rStyle w:val="Hyperlink"/>
            <w:rFonts w:eastAsiaTheme="majorEastAsia"/>
          </w:rPr>
          <w:t>https://public.fastcase.com/9SKwsfNqTc6OieYDhNMyM%2BsbSTu241pOZ38l1fL3GtOxRE1iLhH6RZm0FIyTdVeF1XRK6Ebg7B5equTDg4ZQiMxFMDQEZko4UYsaxrmOuYk%3D</w:t>
        </w:r>
      </w:hyperlink>
      <w:r>
        <w:t xml:space="preserve"> </w:t>
      </w:r>
      <w:r w:rsidRPr="00266965">
        <w:t xml:space="preserve"> </w:t>
      </w:r>
      <w:r>
        <w:t xml:space="preserve"> </w:t>
      </w:r>
    </w:p>
    <w:p w14:paraId="2A469E66" w14:textId="7EC0D23D" w:rsidR="00BD3FE4" w:rsidRDefault="00BD3FE4" w:rsidP="00BD3FE4">
      <w:pPr>
        <w:spacing w:before="100" w:beforeAutospacing="1" w:after="100" w:afterAutospacing="1" w:line="240" w:lineRule="auto"/>
        <w:rPr>
          <w:rFonts w:ascii="Times New Roman" w:hAnsi="Times New Roman"/>
          <w:b/>
          <w:bCs/>
          <w:sz w:val="24"/>
          <w:szCs w:val="24"/>
        </w:rPr>
      </w:pPr>
      <w:r w:rsidRPr="003B747D">
        <w:rPr>
          <w:rFonts w:ascii="Times New Roman" w:hAnsi="Times New Roman"/>
          <w:b/>
          <w:bCs/>
          <w:sz w:val="24"/>
          <w:szCs w:val="24"/>
        </w:rPr>
        <w:t>Legal Lesson Learned:</w:t>
      </w:r>
      <w:r>
        <w:rPr>
          <w:rFonts w:ascii="Times New Roman" w:hAnsi="Times New Roman"/>
          <w:b/>
          <w:bCs/>
          <w:sz w:val="24"/>
          <w:szCs w:val="24"/>
        </w:rPr>
        <w:t xml:space="preserve">  If employee may need psychiatric evaluation, provide specific information to the medical evaluators; and if employee asks about FMLA, provide form to request leave.  </w:t>
      </w:r>
    </w:p>
    <w:p w14:paraId="06CE7F4D" w14:textId="77777777" w:rsidR="00FB73E3" w:rsidRDefault="00FB73E3" w:rsidP="00BD3FE4">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FB73E3">
        <w:rPr>
          <w:rFonts w:ascii="Times New Roman" w:hAnsi="Times New Roman"/>
          <w:sz w:val="24"/>
          <w:szCs w:val="24"/>
        </w:rPr>
        <w:t>Note:</w:t>
      </w:r>
      <w:r>
        <w:rPr>
          <w:rFonts w:ascii="Times New Roman" w:hAnsi="Times New Roman"/>
          <w:sz w:val="24"/>
          <w:szCs w:val="24"/>
        </w:rPr>
        <w:t xml:space="preserve"> The Court wrote:</w:t>
      </w:r>
    </w:p>
    <w:p w14:paraId="464E7BC6" w14:textId="3AF66325" w:rsidR="00FB73E3" w:rsidRPr="003B747D" w:rsidRDefault="00FB73E3" w:rsidP="00FB73E3">
      <w:pPr>
        <w:spacing w:before="100" w:beforeAutospacing="1" w:after="100" w:afterAutospacing="1" w:line="240" w:lineRule="auto"/>
        <w:ind w:left="720"/>
        <w:rPr>
          <w:rFonts w:ascii="Times New Roman" w:hAnsi="Times New Roman"/>
          <w:b/>
          <w:bCs/>
          <w:sz w:val="24"/>
          <w:szCs w:val="24"/>
        </w:rPr>
      </w:pPr>
      <w:r w:rsidRPr="00DE5CFC">
        <w:rPr>
          <w:rFonts w:ascii="Times New Roman" w:eastAsia="Times New Roman" w:hAnsi="Times New Roman"/>
          <w:i/>
          <w:iCs/>
          <w:sz w:val="24"/>
          <w:szCs w:val="24"/>
        </w:rPr>
        <w:t>FMLA interference claim</w:t>
      </w:r>
      <w:r w:rsidRPr="00DE5CFC">
        <w:rPr>
          <w:rFonts w:ascii="Times New Roman" w:eastAsia="Times New Roman" w:hAnsi="Times New Roman"/>
          <w:sz w:val="24"/>
          <w:szCs w:val="24"/>
        </w:rPr>
        <w:t xml:space="preserve">. Employers are required to notify employees of their FMLA rights and to respond promptly to employee questions about the applicability and procedures for FMLA leave. See 29 C.F.R. §§ 825.300 (c)(1), (d) (2019). More specifically, an employer must provide an employee who requests FMLA leave with notice of eligibility within five business days absent extenuating circumstances. See 29 C.F.R. § 825.300(b)(1) (2019). Here, Brennan claimed that Carli interfered with his FMLA rights by refusing to provide him with information about these rights upon </w:t>
      </w:r>
      <w:proofErr w:type="gramStart"/>
      <w:r w:rsidRPr="00DE5CFC">
        <w:rPr>
          <w:rFonts w:ascii="Times New Roman" w:eastAsia="Times New Roman" w:hAnsi="Times New Roman"/>
          <w:sz w:val="24"/>
          <w:szCs w:val="24"/>
        </w:rPr>
        <w:t>request</w:t>
      </w:r>
      <w:proofErr w:type="gramEnd"/>
      <w:r w:rsidRPr="00DE5CFC">
        <w:rPr>
          <w:rFonts w:ascii="Times New Roman" w:eastAsia="Times New Roman" w:hAnsi="Times New Roman"/>
          <w:sz w:val="24"/>
          <w:szCs w:val="24"/>
        </w:rPr>
        <w:t xml:space="preserve"> thereby causing </w:t>
      </w:r>
      <w:proofErr w:type="gramStart"/>
      <w:r w:rsidRPr="00DE5CFC">
        <w:rPr>
          <w:rFonts w:ascii="Times New Roman" w:eastAsia="Times New Roman" w:hAnsi="Times New Roman"/>
          <w:sz w:val="24"/>
          <w:szCs w:val="24"/>
        </w:rPr>
        <w:t>damages</w:t>
      </w:r>
      <w:proofErr w:type="gramEnd"/>
      <w:r w:rsidRPr="00DE5CFC">
        <w:rPr>
          <w:rFonts w:ascii="Times New Roman" w:eastAsia="Times New Roman" w:hAnsi="Times New Roman"/>
          <w:sz w:val="24"/>
          <w:szCs w:val="24"/>
        </w:rPr>
        <w:t xml:space="preserve">. On these facts, the complaint alleged violations of clearly established law of which a reasonable fire chief would be aware. Cf. </w:t>
      </w:r>
      <w:r w:rsidRPr="00DE5CFC">
        <w:rPr>
          <w:rFonts w:ascii="Times New Roman" w:eastAsia="Times New Roman" w:hAnsi="Times New Roman"/>
          <w:i/>
          <w:iCs/>
          <w:sz w:val="24"/>
          <w:szCs w:val="24"/>
        </w:rPr>
        <w:t>Crevier</w:t>
      </w:r>
      <w:r w:rsidRPr="00DE5CFC">
        <w:rPr>
          <w:rFonts w:ascii="Times New Roman" w:eastAsia="Times New Roman" w:hAnsi="Times New Roman"/>
          <w:sz w:val="24"/>
          <w:szCs w:val="24"/>
        </w:rPr>
        <w:t xml:space="preserve"> </w:t>
      </w:r>
      <w:r w:rsidRPr="00DE5CFC">
        <w:rPr>
          <w:rFonts w:ascii="Times New Roman" w:eastAsia="Times New Roman" w:hAnsi="Times New Roman"/>
          <w:i/>
          <w:iCs/>
          <w:sz w:val="24"/>
          <w:szCs w:val="24"/>
        </w:rPr>
        <w:t>v. Spencer</w:t>
      </w:r>
      <w:r w:rsidRPr="00DE5CFC">
        <w:rPr>
          <w:rFonts w:ascii="Times New Roman" w:eastAsia="Times New Roman" w:hAnsi="Times New Roman"/>
          <w:sz w:val="24"/>
          <w:szCs w:val="24"/>
        </w:rPr>
        <w:t>, 600 F.Supp.2d 242, 257 (D. Mass. 2008) (</w:t>
      </w:r>
      <w:r>
        <w:rPr>
          <w:rFonts w:ascii="Times New Roman" w:eastAsia="Times New Roman" w:hAnsi="Times New Roman"/>
          <w:sz w:val="24"/>
          <w:szCs w:val="24"/>
        </w:rPr>
        <w:t>‘</w:t>
      </w:r>
      <w:r w:rsidRPr="00DE5CFC">
        <w:rPr>
          <w:rFonts w:ascii="Times New Roman" w:eastAsia="Times New Roman" w:hAnsi="Times New Roman"/>
          <w:sz w:val="24"/>
          <w:szCs w:val="24"/>
        </w:rPr>
        <w:t>employer's failure to explain FMLA procedures can constitute interference with employee's FMLA rights</w:t>
      </w:r>
      <w:r>
        <w:rPr>
          <w:rFonts w:ascii="Times New Roman" w:eastAsia="Times New Roman" w:hAnsi="Times New Roman"/>
          <w:sz w:val="24"/>
          <w:szCs w:val="24"/>
        </w:rPr>
        <w:t>’</w:t>
      </w:r>
      <w:r w:rsidRPr="00DE5CFC">
        <w:rPr>
          <w:rFonts w:ascii="Times New Roman" w:eastAsia="Times New Roman" w:hAnsi="Times New Roman"/>
          <w:sz w:val="24"/>
          <w:szCs w:val="24"/>
        </w:rPr>
        <w:t xml:space="preserve"> [quotation and citation omitted]).</w:t>
      </w:r>
      <w:r>
        <w:rPr>
          <w:rFonts w:ascii="Times New Roman" w:eastAsia="Times New Roman" w:hAnsi="Times New Roman"/>
          <w:sz w:val="24"/>
          <w:szCs w:val="24"/>
        </w:rPr>
        <w:t xml:space="preserve">” </w:t>
      </w:r>
      <w:hyperlink r:id="rId2565" w:history="1">
        <w:r w:rsidRPr="003B2357">
          <w:rPr>
            <w:rStyle w:val="Hyperlink"/>
            <w:rFonts w:ascii="Times New Roman" w:eastAsia="Times New Roman" w:hAnsi="Times New Roman"/>
            <w:sz w:val="24"/>
            <w:szCs w:val="24"/>
          </w:rPr>
          <w:t>https://public.fastcase.com/9SKwsfNqTc6OieYDhNMyM%2BsbSTu241pOZ38l1fL3GtOxRE1iLhH6RZm0FIyTdVeF1XRK6Ebg7B5equTDg4ZQiMxFMDQEZko4UYsaxrmOuYk%3D</w:t>
        </w:r>
      </w:hyperlink>
    </w:p>
    <w:p w14:paraId="4E4C707C" w14:textId="77777777" w:rsidR="00BD3FE4" w:rsidRDefault="00BD3FE4" w:rsidP="000C4DF5">
      <w:pPr>
        <w:pStyle w:val="NoSpacing"/>
        <w:rPr>
          <w:rFonts w:ascii="Arial Black" w:hAnsi="Arial Black"/>
          <w:sz w:val="24"/>
          <w:szCs w:val="24"/>
        </w:rPr>
      </w:pPr>
    </w:p>
    <w:p w14:paraId="25D50362" w14:textId="77777777" w:rsidR="00BD3FE4" w:rsidRDefault="00BD3FE4" w:rsidP="000C4DF5">
      <w:pPr>
        <w:pStyle w:val="NoSpacing"/>
        <w:rPr>
          <w:rFonts w:ascii="Arial Black" w:hAnsi="Arial Black"/>
          <w:sz w:val="24"/>
          <w:szCs w:val="24"/>
        </w:rPr>
      </w:pPr>
    </w:p>
    <w:p w14:paraId="3975DF93" w14:textId="77777777" w:rsidR="00BD3FE4" w:rsidRDefault="00BD3FE4" w:rsidP="000C4DF5">
      <w:pPr>
        <w:pStyle w:val="NoSpacing"/>
        <w:rPr>
          <w:rFonts w:ascii="Arial Black" w:hAnsi="Arial Black"/>
          <w:sz w:val="24"/>
          <w:szCs w:val="24"/>
        </w:rPr>
      </w:pPr>
    </w:p>
    <w:p w14:paraId="4484AD43" w14:textId="77EF7C06" w:rsidR="00FF5FCF" w:rsidRDefault="00FF5FCF" w:rsidP="000C4DF5">
      <w:pPr>
        <w:pStyle w:val="NoSpacing"/>
        <w:rPr>
          <w:rFonts w:ascii="Arial Black" w:hAnsi="Arial Black"/>
          <w:sz w:val="24"/>
          <w:szCs w:val="24"/>
        </w:rPr>
      </w:pPr>
      <w:r>
        <w:rPr>
          <w:rFonts w:ascii="Arial Black" w:hAnsi="Arial Black"/>
          <w:sz w:val="24"/>
          <w:szCs w:val="24"/>
        </w:rPr>
        <w:t>15-13</w:t>
      </w:r>
    </w:p>
    <w:p w14:paraId="2B2759EB" w14:textId="77777777" w:rsidR="00FF5FCF" w:rsidRPr="00CD0CC5" w:rsidRDefault="00FF5FCF" w:rsidP="00FF5FC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NY:  PTSD - </w:t>
      </w:r>
      <w:r>
        <w:rPr>
          <w:rFonts w:ascii="Arial Black" w:eastAsia="Times New Roman" w:hAnsi="Arial Black"/>
          <w:sz w:val="28"/>
          <w:szCs w:val="28"/>
        </w:rPr>
        <w:t>BASED ON SEVERAL INCIDENTS 26 YRS ON FD –</w:t>
      </w:r>
      <w:r>
        <w:rPr>
          <w:rFonts w:ascii="Arial Black" w:eastAsia="Times New Roman" w:hAnsi="Arial Black"/>
          <w:b/>
          <w:bCs/>
          <w:sz w:val="28"/>
          <w:szCs w:val="28"/>
        </w:rPr>
        <w:t>WOR</w:t>
      </w:r>
      <w:r>
        <w:rPr>
          <w:rFonts w:ascii="Arial Black" w:eastAsia="Times New Roman" w:hAnsi="Arial Black"/>
          <w:sz w:val="28"/>
          <w:szCs w:val="28"/>
        </w:rPr>
        <w:t>KER’S COMP – DON’T NEED “EXTRAORDINARY” EVENT</w:t>
      </w:r>
    </w:p>
    <w:p w14:paraId="1FB14744" w14:textId="77777777" w:rsidR="00FF5FCF" w:rsidRPr="002D426A" w:rsidRDefault="00FF5FCF" w:rsidP="00FF5FCF">
      <w:pPr>
        <w:spacing w:before="100" w:beforeAutospacing="1" w:after="100" w:afterAutospacing="1" w:line="240" w:lineRule="auto"/>
        <w:rPr>
          <w:rFonts w:ascii="Times New Roman" w:eastAsia="Times New Roman" w:hAnsi="Times New Roman"/>
          <w:sz w:val="24"/>
          <w:szCs w:val="24"/>
        </w:rPr>
      </w:pPr>
      <w:r w:rsidRPr="00CD0CC5">
        <w:rPr>
          <w:rFonts w:ascii="Times New Roman" w:eastAsia="Times New Roman" w:hAnsi="Times New Roman"/>
          <w:sz w:val="24"/>
          <w:szCs w:val="24"/>
        </w:rPr>
        <w:t xml:space="preserve">On Dec. </w:t>
      </w:r>
      <w:r>
        <w:rPr>
          <w:rFonts w:ascii="Times New Roman" w:eastAsia="Times New Roman" w:hAnsi="Times New Roman"/>
          <w:sz w:val="24"/>
          <w:szCs w:val="24"/>
        </w:rPr>
        <w:t xml:space="preserve">23, 2021, </w:t>
      </w:r>
      <w:r w:rsidRPr="00CD0CC5">
        <w:rPr>
          <w:rFonts w:ascii="Times New Roman" w:eastAsia="Times New Roman" w:hAnsi="Times New Roman"/>
          <w:sz w:val="24"/>
          <w:szCs w:val="24"/>
          <w:u w:val="single"/>
        </w:rPr>
        <w:t>In the Matter of the Claim of Brian C. Reith v. City of Albany, and Workers. Compensation Board</w:t>
      </w:r>
      <w:r>
        <w:rPr>
          <w:rFonts w:ascii="Times New Roman" w:eastAsia="Times New Roman" w:hAnsi="Times New Roman"/>
          <w:sz w:val="24"/>
          <w:szCs w:val="24"/>
        </w:rPr>
        <w:t xml:space="preserve">, the Supreme Court of New York (Third Department, held (4 to 0) that the Workers Compensation Board is reversed and the firefighter is entitled to workers comp since he </w:t>
      </w:r>
      <w:r w:rsidRPr="00C46511">
        <w:rPr>
          <w:rFonts w:ascii="Times New Roman" w:eastAsia="Times New Roman" w:hAnsi="Times New Roman"/>
          <w:sz w:val="24"/>
          <w:szCs w:val="24"/>
        </w:rPr>
        <w:t>did “</w:t>
      </w:r>
      <w:r w:rsidRPr="00C46511">
        <w:rPr>
          <w:rFonts w:ascii="Times New Roman" w:hAnsi="Times New Roman"/>
          <w:sz w:val="24"/>
          <w:szCs w:val="24"/>
        </w:rPr>
        <w:t xml:space="preserve">sustain a </w:t>
      </w:r>
      <w:proofErr w:type="gramStart"/>
      <w:r w:rsidRPr="002D426A">
        <w:rPr>
          <w:rFonts w:ascii="Times New Roman" w:hAnsi="Times New Roman"/>
          <w:sz w:val="24"/>
          <w:szCs w:val="24"/>
        </w:rPr>
        <w:t>causally-related</w:t>
      </w:r>
      <w:proofErr w:type="gramEnd"/>
      <w:r w:rsidRPr="002D426A">
        <w:rPr>
          <w:rFonts w:ascii="Times New Roman" w:hAnsi="Times New Roman"/>
          <w:sz w:val="24"/>
          <w:szCs w:val="24"/>
        </w:rPr>
        <w:t xml:space="preserve"> psychological injury” based on several incidents. </w:t>
      </w:r>
      <w:r>
        <w:rPr>
          <w:rFonts w:ascii="Times New Roman" w:hAnsi="Times New Roman"/>
          <w:sz w:val="24"/>
          <w:szCs w:val="24"/>
        </w:rPr>
        <w:t xml:space="preserve"> New York in 2017 amended statute so no longer must prove stressful incident was “greater than that which other similarly situated workers experienced in the normal work environment.”</w:t>
      </w:r>
    </w:p>
    <w:p w14:paraId="6F07CCB3" w14:textId="77777777" w:rsidR="00FF5FCF" w:rsidRPr="00C46511" w:rsidRDefault="00FF5FCF" w:rsidP="00FF5FCF">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C46511">
        <w:rPr>
          <w:rFonts w:ascii="Times New Roman" w:hAnsi="Times New Roman"/>
          <w:sz w:val="24"/>
          <w:szCs w:val="24"/>
        </w:rPr>
        <w:t xml:space="preserve">During the hearing, claimant explained that he had witnessed several traumatic incidents during his nearly 26-year career as a firefighter, including a suicide, a triple homicide of children, car accidents with fatalities and individuals who had been "dead for days stuck to the floor." He also recounted spraining his ankle after he slipped on brain matter while rendering aid to a victim, experiencing CPR regurgitation while attempting to resuscitate a fellow firefighter and dragging a woman out of a fire, which resulted in </w:t>
      </w:r>
      <w:r>
        <w:rPr>
          <w:rFonts w:ascii="Times New Roman" w:hAnsi="Times New Roman"/>
          <w:sz w:val="24"/>
          <w:szCs w:val="24"/>
        </w:rPr>
        <w:t>‘</w:t>
      </w:r>
      <w:proofErr w:type="spellStart"/>
      <w:r w:rsidRPr="00C46511">
        <w:rPr>
          <w:rFonts w:ascii="Times New Roman" w:hAnsi="Times New Roman"/>
          <w:sz w:val="24"/>
          <w:szCs w:val="24"/>
        </w:rPr>
        <w:t>deglov</w:t>
      </w:r>
      <w:proofErr w:type="spellEnd"/>
      <w:r w:rsidRPr="00C46511">
        <w:rPr>
          <w:rFonts w:ascii="Times New Roman" w:hAnsi="Times New Roman"/>
          <w:sz w:val="24"/>
          <w:szCs w:val="24"/>
        </w:rPr>
        <w:t>[</w:t>
      </w:r>
      <w:proofErr w:type="spellStart"/>
      <w:r w:rsidRPr="00C46511">
        <w:rPr>
          <w:rFonts w:ascii="Times New Roman" w:hAnsi="Times New Roman"/>
          <w:sz w:val="24"/>
          <w:szCs w:val="24"/>
        </w:rPr>
        <w:t>ing</w:t>
      </w:r>
      <w:proofErr w:type="spellEnd"/>
      <w:r w:rsidRPr="00C46511">
        <w:rPr>
          <w:rFonts w:ascii="Times New Roman" w:hAnsi="Times New Roman"/>
          <w:sz w:val="24"/>
          <w:szCs w:val="24"/>
        </w:rPr>
        <w:t>] her.</w:t>
      </w:r>
      <w:r>
        <w:rPr>
          <w:rFonts w:ascii="Times New Roman" w:hAnsi="Times New Roman"/>
          <w:sz w:val="24"/>
          <w:szCs w:val="24"/>
        </w:rPr>
        <w:t xml:space="preserve">’ *** We reverse. </w:t>
      </w:r>
      <w:r w:rsidRPr="002D426A">
        <w:rPr>
          <w:rFonts w:ascii="Times New Roman" w:hAnsi="Times New Roman"/>
          <w:sz w:val="24"/>
          <w:szCs w:val="24"/>
        </w:rPr>
        <w:t xml:space="preserve">Prior to the enactment of Workers' Compensation Law § 10 (3) (b) in April 2017 (see L 2017, ch 59, part NNN, subpart I, § 1), a claimant seeking to recover for a psychological injury was required to </w:t>
      </w:r>
      <w:r>
        <w:rPr>
          <w:rFonts w:ascii="Times New Roman" w:hAnsi="Times New Roman"/>
          <w:sz w:val="24"/>
          <w:szCs w:val="24"/>
        </w:rPr>
        <w:t>‘</w:t>
      </w:r>
      <w:r w:rsidRPr="002D426A">
        <w:rPr>
          <w:rFonts w:ascii="Times New Roman" w:hAnsi="Times New Roman"/>
          <w:sz w:val="24"/>
          <w:szCs w:val="24"/>
        </w:rPr>
        <w:t>demonstrate that the stress that caused the claimed mental injury was greater than that which other similarly situated workers experienced in the normal work environment</w:t>
      </w:r>
      <w:r>
        <w:rPr>
          <w:rFonts w:ascii="Times New Roman" w:hAnsi="Times New Roman"/>
          <w:sz w:val="24"/>
          <w:szCs w:val="24"/>
        </w:rPr>
        <w:t xml:space="preserve">’ … </w:t>
      </w:r>
      <w:r w:rsidRPr="002D426A">
        <w:rPr>
          <w:rFonts w:ascii="Times New Roman" w:hAnsi="Times New Roman"/>
          <w:sz w:val="24"/>
          <w:szCs w:val="24"/>
        </w:rPr>
        <w:t xml:space="preserve">The statutory amendment, however, effectively removed that hurdle for certain first responders by providing, as relevant here, that where a firefighter </w:t>
      </w:r>
      <w:r>
        <w:rPr>
          <w:rFonts w:ascii="Times New Roman" w:hAnsi="Times New Roman"/>
          <w:sz w:val="24"/>
          <w:szCs w:val="24"/>
        </w:rPr>
        <w:t>‘</w:t>
      </w:r>
      <w:r w:rsidRPr="002D426A">
        <w:rPr>
          <w:rFonts w:ascii="Times New Roman" w:hAnsi="Times New Roman"/>
          <w:sz w:val="24"/>
          <w:szCs w:val="24"/>
        </w:rPr>
        <w:t>files a claim for mental injury premised upon extraordinary work-related stress incurred in a work-related emergency, the [B]</w:t>
      </w:r>
      <w:proofErr w:type="spellStart"/>
      <w:r w:rsidRPr="002D426A">
        <w:rPr>
          <w:rFonts w:ascii="Times New Roman" w:hAnsi="Times New Roman"/>
          <w:sz w:val="24"/>
          <w:szCs w:val="24"/>
        </w:rPr>
        <w:t>oard</w:t>
      </w:r>
      <w:proofErr w:type="spellEnd"/>
      <w:r w:rsidRPr="002D426A">
        <w:rPr>
          <w:rFonts w:ascii="Times New Roman" w:hAnsi="Times New Roman"/>
          <w:sz w:val="24"/>
          <w:szCs w:val="24"/>
        </w:rPr>
        <w:t xml:space="preserve"> may not disallow the claim, upon a factual finding that the stress was not greater than that which usually occurs in the normal work environment</w:t>
      </w:r>
      <w:r>
        <w:rPr>
          <w:rFonts w:ascii="Times New Roman" w:hAnsi="Times New Roman"/>
          <w:sz w:val="24"/>
          <w:szCs w:val="24"/>
        </w:rPr>
        <w:t>’</w:t>
      </w:r>
      <w:r w:rsidRPr="002D426A">
        <w:rPr>
          <w:rFonts w:ascii="Times New Roman" w:hAnsi="Times New Roman"/>
          <w:sz w:val="24"/>
          <w:szCs w:val="24"/>
        </w:rPr>
        <w:t xml:space="preserve"> (Workers' Compensation Law § 10 [3] [b]; see Matter of McMillan v Town of New Castle, 162 A.D.3d 1425, 1426 [2018]).</w:t>
      </w:r>
      <w:r>
        <w:rPr>
          <w:rFonts w:ascii="Times New Roman" w:hAnsi="Times New Roman"/>
          <w:sz w:val="24"/>
          <w:szCs w:val="24"/>
        </w:rPr>
        <w:t xml:space="preserve">” </w:t>
      </w:r>
      <w:hyperlink r:id="rId2566" w:history="1">
        <w:r w:rsidRPr="00EC5853">
          <w:rPr>
            <w:rStyle w:val="Hyperlink"/>
            <w:rFonts w:ascii="Times New Roman" w:hAnsi="Times New Roman"/>
            <w:sz w:val="24"/>
            <w:szCs w:val="24"/>
          </w:rPr>
          <w:t>https://law.justia.com/cases/new-york/appellate-division-third-department/2021/532779.html</w:t>
        </w:r>
      </w:hyperlink>
      <w:r>
        <w:rPr>
          <w:rFonts w:ascii="Times New Roman" w:hAnsi="Times New Roman"/>
          <w:sz w:val="24"/>
          <w:szCs w:val="24"/>
        </w:rPr>
        <w:t xml:space="preserve"> </w:t>
      </w:r>
    </w:p>
    <w:p w14:paraId="277BA0BB" w14:textId="77777777" w:rsidR="00AC5DED" w:rsidRPr="00E21469" w:rsidRDefault="00AC5DED" w:rsidP="00AC5DED">
      <w:pPr>
        <w:spacing w:before="100" w:beforeAutospacing="1" w:after="100" w:afterAutospacing="1" w:line="240" w:lineRule="auto"/>
        <w:rPr>
          <w:rFonts w:ascii="Times New Roman" w:eastAsia="Times New Roman" w:hAnsi="Times New Roman"/>
          <w:b/>
          <w:bCs/>
          <w:sz w:val="24"/>
          <w:szCs w:val="24"/>
        </w:rPr>
      </w:pPr>
      <w:r w:rsidRPr="00E21469">
        <w:rPr>
          <w:rFonts w:ascii="Times New Roman" w:hAnsi="Times New Roman"/>
          <w:b/>
          <w:bCs/>
          <w:sz w:val="24"/>
          <w:szCs w:val="24"/>
        </w:rPr>
        <w:t>Legal Lesson Learned:</w:t>
      </w:r>
      <w:r>
        <w:rPr>
          <w:rFonts w:ascii="Times New Roman" w:hAnsi="Times New Roman"/>
          <w:b/>
          <w:bCs/>
          <w:sz w:val="24"/>
          <w:szCs w:val="24"/>
        </w:rPr>
        <w:t xml:space="preserve"> Great decision, and helpful statute, recognizing that PTSD can arise from multiple incidents. </w:t>
      </w:r>
    </w:p>
    <w:p w14:paraId="4CD1FAD4" w14:textId="77777777" w:rsidR="00AC5DED"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Workers Comp. Board wisely recognized the 2017 statutory amendment applied to multiple incidents, not just a singular event. </w:t>
      </w:r>
    </w:p>
    <w:p w14:paraId="2E906923" w14:textId="77777777" w:rsidR="00AC5DED" w:rsidRDefault="00AC5DED" w:rsidP="00AC5DED">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Footnote 1: “</w:t>
      </w:r>
      <w:r w:rsidRPr="00E21469">
        <w:rPr>
          <w:rFonts w:ascii="Times New Roman" w:hAnsi="Times New Roman"/>
          <w:sz w:val="24"/>
          <w:szCs w:val="24"/>
        </w:rPr>
        <w:t xml:space="preserve">The Board initially ruled - citing the singular form of the phrase </w:t>
      </w:r>
      <w:r>
        <w:rPr>
          <w:rFonts w:ascii="Times New Roman" w:hAnsi="Times New Roman"/>
          <w:sz w:val="24"/>
          <w:szCs w:val="24"/>
        </w:rPr>
        <w:t>‘</w:t>
      </w:r>
      <w:r w:rsidRPr="00E21469">
        <w:rPr>
          <w:rFonts w:ascii="Times New Roman" w:hAnsi="Times New Roman"/>
          <w:sz w:val="24"/>
          <w:szCs w:val="24"/>
        </w:rPr>
        <w:t>in a work-related emergency</w:t>
      </w:r>
      <w:r>
        <w:rPr>
          <w:rFonts w:ascii="Times New Roman" w:hAnsi="Times New Roman"/>
          <w:sz w:val="24"/>
          <w:szCs w:val="24"/>
        </w:rPr>
        <w:t>’</w:t>
      </w:r>
      <w:r w:rsidRPr="00E21469">
        <w:rPr>
          <w:rFonts w:ascii="Times New Roman" w:hAnsi="Times New Roman"/>
          <w:sz w:val="24"/>
          <w:szCs w:val="24"/>
        </w:rPr>
        <w:t xml:space="preserve"> - that the statutory amendment did not apply where the injury sustained was the product of stress-inducing events incurred over </w:t>
      </w:r>
      <w:proofErr w:type="gramStart"/>
      <w:r w:rsidRPr="00E21469">
        <w:rPr>
          <w:rFonts w:ascii="Times New Roman" w:hAnsi="Times New Roman"/>
          <w:sz w:val="24"/>
          <w:szCs w:val="24"/>
        </w:rPr>
        <w:t>a period of time</w:t>
      </w:r>
      <w:proofErr w:type="gramEnd"/>
      <w:r w:rsidRPr="00E21469">
        <w:rPr>
          <w:rFonts w:ascii="Times New Roman" w:hAnsi="Times New Roman"/>
          <w:sz w:val="24"/>
          <w:szCs w:val="24"/>
        </w:rPr>
        <w:t xml:space="preserve">. Upon reconsideration, the Board effectively reversed course, ruling that the amendment could apply where, as here, a claimant </w:t>
      </w:r>
      <w:r>
        <w:rPr>
          <w:rFonts w:ascii="Times New Roman" w:hAnsi="Times New Roman"/>
          <w:sz w:val="24"/>
          <w:szCs w:val="24"/>
        </w:rPr>
        <w:t>‘</w:t>
      </w:r>
      <w:r w:rsidRPr="00E21469">
        <w:rPr>
          <w:rFonts w:ascii="Times New Roman" w:hAnsi="Times New Roman"/>
          <w:sz w:val="24"/>
          <w:szCs w:val="24"/>
        </w:rPr>
        <w:t>alleges multiple incidents of exposure rather than one singular event</w:t>
      </w:r>
      <w:r>
        <w:rPr>
          <w:rFonts w:ascii="Times New Roman" w:hAnsi="Times New Roman"/>
          <w:sz w:val="24"/>
          <w:szCs w:val="24"/>
        </w:rPr>
        <w:t>’</w:t>
      </w:r>
      <w:r w:rsidRPr="00E21469">
        <w:rPr>
          <w:rFonts w:ascii="Times New Roman" w:hAnsi="Times New Roman"/>
          <w:sz w:val="24"/>
          <w:szCs w:val="24"/>
        </w:rPr>
        <w:t xml:space="preserve"> (citing Employer: Town of New Castle, 2018 WL 6132752, *4, 2018 NY Wrk Comp LEXIS 11628, *10 [WCB No. G140 4105, Nov. 16, 2018]).</w:t>
      </w:r>
      <w:r>
        <w:rPr>
          <w:rFonts w:ascii="Times New Roman" w:hAnsi="Times New Roman"/>
          <w:sz w:val="24"/>
          <w:szCs w:val="24"/>
        </w:rPr>
        <w:t>”</w:t>
      </w:r>
    </w:p>
    <w:p w14:paraId="751E408C" w14:textId="77777777" w:rsidR="00AC5DED" w:rsidRDefault="00AC5DED" w:rsidP="00AC5DED">
      <w:pPr>
        <w:ind w:left="720"/>
      </w:pPr>
      <w:r>
        <w:rPr>
          <w:rFonts w:ascii="Times New Roman" w:hAnsi="Times New Roman"/>
          <w:sz w:val="24"/>
          <w:szCs w:val="24"/>
        </w:rPr>
        <w:t xml:space="preserve">In Ohio, Governor DeWine on Jan. 9, </w:t>
      </w:r>
      <w:proofErr w:type="gramStart"/>
      <w:r>
        <w:rPr>
          <w:rFonts w:ascii="Times New Roman" w:hAnsi="Times New Roman"/>
          <w:sz w:val="24"/>
          <w:szCs w:val="24"/>
        </w:rPr>
        <w:t>2021</w:t>
      </w:r>
      <w:proofErr w:type="gramEnd"/>
      <w:r>
        <w:rPr>
          <w:rFonts w:ascii="Times New Roman" w:hAnsi="Times New Roman"/>
          <w:sz w:val="24"/>
          <w:szCs w:val="24"/>
        </w:rPr>
        <w:t xml:space="preserve"> signed into law House Bill 308, which created a fund for first responders who become disabled from PTSD, without any need to also have physical injury. See statutory language: </w:t>
      </w:r>
      <w:hyperlink r:id="rId2567" w:history="1">
        <w:r w:rsidRPr="00EC5853">
          <w:rPr>
            <w:rStyle w:val="Hyperlink"/>
            <w:rFonts w:ascii="Times New Roman" w:hAnsi="Times New Roman"/>
            <w:sz w:val="24"/>
            <w:szCs w:val="24"/>
          </w:rPr>
          <w:t>https://search-prod.lis.state.oh.us/solarapi/v1/general_assembly_133/bills/hb308/EN/06?format=pdf</w:t>
        </w:r>
      </w:hyperlink>
      <w:r>
        <w:rPr>
          <w:rFonts w:ascii="Times New Roman" w:hAnsi="Times New Roman"/>
          <w:sz w:val="24"/>
          <w:szCs w:val="24"/>
        </w:rPr>
        <w:t xml:space="preserve"> </w:t>
      </w:r>
    </w:p>
    <w:p w14:paraId="249F3D16" w14:textId="77777777" w:rsidR="00AC5DED" w:rsidRPr="00BF5169" w:rsidRDefault="00AC5DED" w:rsidP="00AC5DED">
      <w:pPr>
        <w:spacing w:before="100" w:beforeAutospacing="1" w:after="100" w:afterAutospacing="1" w:line="240" w:lineRule="auto"/>
        <w:ind w:left="1440"/>
        <w:rPr>
          <w:rFonts w:ascii="Times New Roman" w:hAnsi="Times New Roman"/>
          <w:sz w:val="24"/>
          <w:szCs w:val="24"/>
        </w:rPr>
      </w:pPr>
      <w:r w:rsidRPr="00BF5169">
        <w:rPr>
          <w:rFonts w:ascii="Times New Roman" w:hAnsi="Times New Roman"/>
          <w:sz w:val="24"/>
          <w:szCs w:val="24"/>
        </w:rPr>
        <w:t>Sec. 126.65. (A) The state post-traumatic stress fund is created in the state treasury. The</w:t>
      </w:r>
      <w:r>
        <w:rPr>
          <w:rFonts w:ascii="Times New Roman" w:hAnsi="Times New Roman"/>
          <w:sz w:val="24"/>
          <w:szCs w:val="24"/>
        </w:rPr>
        <w:t xml:space="preserve"> </w:t>
      </w:r>
      <w:r w:rsidRPr="00BF5169">
        <w:rPr>
          <w:rFonts w:ascii="Times New Roman" w:hAnsi="Times New Roman"/>
          <w:sz w:val="24"/>
          <w:szCs w:val="24"/>
        </w:rPr>
        <w:t>director of budget and management shall be the trustee of the fund.</w:t>
      </w:r>
      <w:r w:rsidRPr="00BF5169">
        <w:rPr>
          <w:rFonts w:ascii="Times New Roman" w:hAnsi="Times New Roman"/>
          <w:sz w:val="24"/>
          <w:szCs w:val="24"/>
        </w:rPr>
        <w:br/>
        <w:t>(B) The state post-traumatic stress fund shall be used for the following purposes:</w:t>
      </w:r>
      <w:r w:rsidRPr="00BF5169">
        <w:rPr>
          <w:rFonts w:ascii="Times New Roman" w:hAnsi="Times New Roman"/>
          <w:sz w:val="24"/>
          <w:szCs w:val="24"/>
        </w:rPr>
        <w:br/>
        <w:t>(1) Payment of compensation for lost wages that result from a public safety officer being</w:t>
      </w:r>
      <w:r>
        <w:rPr>
          <w:rFonts w:ascii="Times New Roman" w:hAnsi="Times New Roman"/>
          <w:sz w:val="24"/>
          <w:szCs w:val="24"/>
        </w:rPr>
        <w:t xml:space="preserve"> </w:t>
      </w:r>
      <w:r w:rsidRPr="00BF5169">
        <w:rPr>
          <w:rFonts w:ascii="Times New Roman" w:hAnsi="Times New Roman"/>
          <w:sz w:val="24"/>
          <w:szCs w:val="24"/>
        </w:rPr>
        <w:t>disabled by post-traumatic stress disorder received in the course of, and arising</w:t>
      </w:r>
      <w:r>
        <w:rPr>
          <w:rFonts w:ascii="Times New Roman" w:hAnsi="Times New Roman"/>
          <w:sz w:val="24"/>
          <w:szCs w:val="24"/>
        </w:rPr>
        <w:t xml:space="preserve"> </w:t>
      </w:r>
      <w:r w:rsidRPr="00BF5169">
        <w:rPr>
          <w:rFonts w:ascii="Times New Roman" w:hAnsi="Times New Roman"/>
          <w:sz w:val="24"/>
          <w:szCs w:val="24"/>
        </w:rPr>
        <w:t>out of, employment</w:t>
      </w:r>
      <w:r>
        <w:rPr>
          <w:rFonts w:ascii="Times New Roman" w:hAnsi="Times New Roman"/>
          <w:sz w:val="24"/>
          <w:szCs w:val="24"/>
        </w:rPr>
        <w:t xml:space="preserve"> </w:t>
      </w:r>
      <w:r w:rsidRPr="00BF5169">
        <w:rPr>
          <w:rFonts w:ascii="Times New Roman" w:hAnsi="Times New Roman"/>
          <w:sz w:val="24"/>
          <w:szCs w:val="24"/>
        </w:rPr>
        <w:t>as a public safety officer but without an accompanying physical injury.</w:t>
      </w:r>
      <w:r>
        <w:rPr>
          <w:rFonts w:ascii="Times New Roman" w:hAnsi="Times New Roman"/>
          <w:sz w:val="24"/>
          <w:szCs w:val="24"/>
        </w:rPr>
        <w:t>”</w:t>
      </w:r>
    </w:p>
    <w:p w14:paraId="15B3BB5B" w14:textId="77777777" w:rsidR="00FF5FCF" w:rsidRDefault="00FF5FCF" w:rsidP="000C4DF5">
      <w:pPr>
        <w:pStyle w:val="NoSpacing"/>
        <w:rPr>
          <w:rFonts w:ascii="Arial Black" w:hAnsi="Arial Black"/>
          <w:sz w:val="24"/>
          <w:szCs w:val="24"/>
        </w:rPr>
      </w:pPr>
    </w:p>
    <w:p w14:paraId="2A7D86C2" w14:textId="77777777" w:rsidR="00FF5FCF" w:rsidRDefault="00FF5FCF" w:rsidP="000C4DF5">
      <w:pPr>
        <w:pStyle w:val="NoSpacing"/>
        <w:rPr>
          <w:rFonts w:ascii="Arial Black" w:hAnsi="Arial Black"/>
          <w:sz w:val="24"/>
          <w:szCs w:val="24"/>
        </w:rPr>
      </w:pPr>
    </w:p>
    <w:p w14:paraId="3A709F00" w14:textId="30F7B8E9" w:rsidR="00663A6A" w:rsidRDefault="00BD1702" w:rsidP="000C4DF5">
      <w:pPr>
        <w:pStyle w:val="NoSpacing"/>
        <w:rPr>
          <w:rFonts w:ascii="Arial Black" w:hAnsi="Arial Black"/>
          <w:sz w:val="24"/>
          <w:szCs w:val="24"/>
        </w:rPr>
      </w:pPr>
      <w:r>
        <w:rPr>
          <w:rFonts w:ascii="Arial Black" w:hAnsi="Arial Black"/>
          <w:sz w:val="24"/>
          <w:szCs w:val="24"/>
        </w:rPr>
        <w:t>15-12</w:t>
      </w:r>
    </w:p>
    <w:p w14:paraId="3B86D474" w14:textId="77777777" w:rsidR="00BD1702" w:rsidRDefault="00BD1702" w:rsidP="00BD1702">
      <w:pPr>
        <w:pStyle w:val="NormalWeb"/>
        <w:rPr>
          <w:rFonts w:ascii="Arial Black" w:hAnsi="Arial Black"/>
          <w:b/>
          <w:bCs/>
          <w:sz w:val="28"/>
          <w:szCs w:val="28"/>
        </w:rPr>
      </w:pPr>
      <w:r>
        <w:rPr>
          <w:rFonts w:ascii="Arial Black" w:hAnsi="Arial Black"/>
          <w:b/>
          <w:bCs/>
          <w:sz w:val="28"/>
          <w:szCs w:val="28"/>
        </w:rPr>
        <w:t xml:space="preserve">PA: PET THERAPY DOG – IN COURT TO COMFORT 13-YEAR- OLD AUSTIC CHILD – WITNESS TO A MURDER </w:t>
      </w:r>
    </w:p>
    <w:p w14:paraId="3E914B38" w14:textId="77777777" w:rsidR="00BD1702" w:rsidRDefault="00BD1702" w:rsidP="00BD1702">
      <w:pPr>
        <w:pStyle w:val="NormalWeb"/>
      </w:pPr>
      <w:r>
        <w:t xml:space="preserve">On September 22, 2021, in </w:t>
      </w:r>
      <w:r>
        <w:rPr>
          <w:u w:val="single"/>
        </w:rPr>
        <w:t>Commonwealth of Pennsylvania v. Sheron Jalen Purnell</w:t>
      </w:r>
      <w:r>
        <w:t xml:space="preserve">, the Supreme Court of Pennsylvania (Middle District) held (7 to 0) that judge properly allowed the comfort dog in the courtroom, and upheld jury verdict of guilty of third-degree murder and sentence of 20.5 to 47 years of imprisonment. </w:t>
      </w:r>
    </w:p>
    <w:p w14:paraId="66FF7E74" w14:textId="77777777" w:rsidR="00BD1702" w:rsidRDefault="00BD1702" w:rsidP="00BD1702">
      <w:pPr>
        <w:pStyle w:val="NormalWeb"/>
        <w:ind w:left="720"/>
      </w:pPr>
      <w:r>
        <w:t xml:space="preserve">“We granted allowance of appeal in this matter to consider the appropriate test to apply to a trial court’s determination concerning whether a witness in a criminal case may utilize a ‘comfort dog’ for support during his or her trial testimony. We hold that a trial court should balance the degree to which the accommodation will assist the witness in testifying in a truthful manner against any possible prejudice </w:t>
      </w:r>
      <w:proofErr w:type="gramStart"/>
      <w:r>
        <w:t>to</w:t>
      </w:r>
      <w:proofErr w:type="gramEnd"/>
      <w:r>
        <w:t xml:space="preserve"> the defendant’s right to a fair trial. Here, the trial court allowed a witness to testify with the assistance of a comfort dog, and the Superior Court concluded that the trial court did not abuse its discretion in this regard. For the reasons stated below, we agree with the Superior Court and, therefore, affirm that court’s judgment.</w:t>
      </w:r>
    </w:p>
    <w:p w14:paraId="72A3238B" w14:textId="77777777" w:rsidR="00BD1702" w:rsidRDefault="00BD1702" w:rsidP="00BD1702">
      <w:pPr>
        <w:pStyle w:val="NormalWeb"/>
        <w:ind w:left="720"/>
      </w:pPr>
      <w:r>
        <w:t>***</w:t>
      </w:r>
    </w:p>
    <w:p w14:paraId="779791EA" w14:textId="77777777" w:rsidR="00BD1702" w:rsidRDefault="00BD1702" w:rsidP="00BD1702">
      <w:pPr>
        <w:pStyle w:val="NormalWeb"/>
        <w:ind w:left="720"/>
      </w:pPr>
      <w:r>
        <w:t xml:space="preserve">The court noted that: (1) its legal reasoning for allowing the dog to be present could be found on the record; (2) the dog was situated under the witness box prior to the jury entering the courtroom and could not be seen by the jury, and (3) it provided instructions to the jury concerning the presence of the dog.”  </w:t>
      </w:r>
      <w:hyperlink r:id="rId2568" w:history="1">
        <w:r>
          <w:rPr>
            <w:rStyle w:val="Hyperlink"/>
          </w:rPr>
          <w:t>https://casetext.com/case/commonwealth-v-purnell-10</w:t>
        </w:r>
      </w:hyperlink>
      <w:r>
        <w:t xml:space="preserve"> </w:t>
      </w:r>
    </w:p>
    <w:p w14:paraId="4F9F6DE5" w14:textId="77777777" w:rsidR="00BD1702" w:rsidRDefault="00BD1702" w:rsidP="00BD1702">
      <w:pPr>
        <w:pStyle w:val="Heading1"/>
        <w:rPr>
          <w:sz w:val="24"/>
          <w:szCs w:val="24"/>
        </w:rPr>
      </w:pPr>
      <w:r>
        <w:rPr>
          <w:sz w:val="24"/>
          <w:szCs w:val="24"/>
        </w:rPr>
        <w:t xml:space="preserve">Legal Lesson Learned: Great decision! Dogs can also comfort emergency responders. </w:t>
      </w:r>
    </w:p>
    <w:p w14:paraId="59782E83" w14:textId="31639F4C" w:rsidR="00BD1702" w:rsidRDefault="00BD1702" w:rsidP="00BD1702">
      <w:pPr>
        <w:pStyle w:val="NoSpacing"/>
        <w:ind w:left="720"/>
        <w:rPr>
          <w:rFonts w:ascii="Arial Black" w:hAnsi="Arial Black"/>
          <w:sz w:val="24"/>
          <w:szCs w:val="24"/>
        </w:rPr>
      </w:pPr>
      <w:r>
        <w:rPr>
          <w:sz w:val="24"/>
          <w:szCs w:val="24"/>
        </w:rPr>
        <w:t xml:space="preserve">See article: “Comfort Dogs Allowed </w:t>
      </w:r>
      <w:proofErr w:type="gramStart"/>
      <w:r>
        <w:rPr>
          <w:sz w:val="24"/>
          <w:szCs w:val="24"/>
        </w:rPr>
        <w:t>For</w:t>
      </w:r>
      <w:proofErr w:type="gramEnd"/>
      <w:r>
        <w:rPr>
          <w:sz w:val="24"/>
          <w:szCs w:val="24"/>
        </w:rPr>
        <w:t xml:space="preserve"> Some During Criminal Trials, PA Supreme Court Rules (9/22/2021).” </w:t>
      </w:r>
      <w:hyperlink r:id="rId2569" w:history="1">
        <w:r w:rsidRPr="00936B2D">
          <w:rPr>
            <w:rStyle w:val="Hyperlink"/>
            <w:b/>
            <w:bCs/>
            <w:sz w:val="24"/>
            <w:szCs w:val="24"/>
          </w:rPr>
          <w:t>https://dailyvoice.com/pennsylvania/chester/news/comfort-dogs-allowed-for-some-during-criminal-trials-pa-supreme-court-rules/816798/</w:t>
        </w:r>
      </w:hyperlink>
    </w:p>
    <w:p w14:paraId="2DFEE32E" w14:textId="77777777" w:rsidR="00BD1702" w:rsidRDefault="00BD1702" w:rsidP="000C4DF5">
      <w:pPr>
        <w:pStyle w:val="NoSpacing"/>
        <w:rPr>
          <w:rFonts w:ascii="Arial Black" w:hAnsi="Arial Black"/>
          <w:sz w:val="24"/>
          <w:szCs w:val="24"/>
        </w:rPr>
      </w:pPr>
      <w:bookmarkStart w:id="577" w:name="_Hlk66950092"/>
    </w:p>
    <w:p w14:paraId="041FD798" w14:textId="77777777" w:rsidR="00BD1702" w:rsidRDefault="00BD1702" w:rsidP="000C4DF5">
      <w:pPr>
        <w:pStyle w:val="NoSpacing"/>
        <w:rPr>
          <w:rFonts w:ascii="Arial Black" w:hAnsi="Arial Black"/>
          <w:sz w:val="24"/>
          <w:szCs w:val="24"/>
        </w:rPr>
      </w:pPr>
    </w:p>
    <w:p w14:paraId="694FA015" w14:textId="265E20DF" w:rsidR="00F37F48" w:rsidRDefault="00F37F48" w:rsidP="000C4DF5">
      <w:pPr>
        <w:pStyle w:val="NoSpacing"/>
        <w:rPr>
          <w:rFonts w:ascii="Arial Black" w:hAnsi="Arial Black"/>
          <w:sz w:val="24"/>
          <w:szCs w:val="24"/>
        </w:rPr>
      </w:pPr>
      <w:r>
        <w:rPr>
          <w:rFonts w:ascii="Arial Black" w:hAnsi="Arial Black"/>
          <w:sz w:val="24"/>
          <w:szCs w:val="24"/>
        </w:rPr>
        <w:t>15-11</w:t>
      </w:r>
    </w:p>
    <w:p w14:paraId="67BD830B" w14:textId="6C591B07" w:rsidR="00F37F48" w:rsidRDefault="00F37F48" w:rsidP="000C4DF5">
      <w:pPr>
        <w:pStyle w:val="NoSpacing"/>
        <w:rPr>
          <w:rFonts w:ascii="Arial Black" w:hAnsi="Arial Black"/>
          <w:sz w:val="24"/>
          <w:szCs w:val="24"/>
        </w:rPr>
      </w:pPr>
    </w:p>
    <w:p w14:paraId="04B4A2EE" w14:textId="77777777" w:rsidR="00F37F48" w:rsidRDefault="00F37F48" w:rsidP="00F37F48">
      <w:pPr>
        <w:rPr>
          <w:rFonts w:asciiTheme="minorHAnsi" w:hAnsiTheme="minorHAnsi" w:cstheme="minorBidi"/>
        </w:rPr>
      </w:pPr>
      <w:r>
        <w:rPr>
          <w:rFonts w:ascii="Arial Black" w:hAnsi="Arial Black"/>
          <w:sz w:val="28"/>
          <w:szCs w:val="28"/>
        </w:rPr>
        <w:t xml:space="preserve">WV: FF WITH PTSD – 20 YRS ON THE JOB – DENIED WORKERS COMP – STATE LAW REQUIRES THERE BE PHYSICAL INJURY </w:t>
      </w:r>
    </w:p>
    <w:p w14:paraId="20DB28E1"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11, 2020, in </w:t>
      </w:r>
      <w:r>
        <w:rPr>
          <w:rFonts w:ascii="Times New Roman" w:eastAsia="Times New Roman" w:hAnsi="Times New Roman"/>
          <w:sz w:val="24"/>
          <w:szCs w:val="24"/>
          <w:u w:val="single"/>
        </w:rPr>
        <w:t>John Angle v. City of Huntington</w:t>
      </w:r>
      <w:r>
        <w:rPr>
          <w:rFonts w:ascii="Times New Roman" w:eastAsia="Times New Roman" w:hAnsi="Times New Roman"/>
          <w:sz w:val="24"/>
          <w:szCs w:val="24"/>
        </w:rPr>
        <w:t xml:space="preserve">, the State of West Virginia Supreme Court of Appeals, held (5 to 0) that under state statute he was not entitled to workers comp for his PTSD.  </w:t>
      </w:r>
    </w:p>
    <w:bookmarkEnd w:id="577"/>
    <w:p w14:paraId="12BBFDDB" w14:textId="77777777" w:rsidR="00F37F48" w:rsidRDefault="00F37F48" w:rsidP="00F37F48">
      <w:pPr>
        <w:ind w:left="720"/>
        <w:rPr>
          <w:rFonts w:ascii="Times New Roman" w:eastAsiaTheme="minorHAnsi" w:hAnsi="Times New Roman"/>
          <w:sz w:val="24"/>
          <w:szCs w:val="24"/>
        </w:rPr>
      </w:pPr>
      <w:r>
        <w:rPr>
          <w:rFonts w:ascii="Times New Roman" w:hAnsi="Times New Roman"/>
          <w:sz w:val="24"/>
          <w:szCs w:val="24"/>
        </w:rPr>
        <w:t>“All of Mr. Angle's symptoms, and the requested diagnoses, were caused by nonphysical means and did not result in any physical injury or disease. Pursuant to West Virginia Code § 23-4-1F, the claim was properly denied.</w:t>
      </w:r>
    </w:p>
    <w:p w14:paraId="5106844A" w14:textId="77777777" w:rsidR="00F37F48" w:rsidRDefault="00F37F48" w:rsidP="00F37F48">
      <w:pPr>
        <w:ind w:left="720"/>
        <w:rPr>
          <w:rFonts w:ascii="Times New Roman" w:hAnsi="Times New Roman"/>
          <w:sz w:val="24"/>
          <w:szCs w:val="24"/>
        </w:rPr>
      </w:pPr>
      <w:r>
        <w:rPr>
          <w:rFonts w:ascii="Times New Roman" w:hAnsi="Times New Roman"/>
          <w:sz w:val="24"/>
          <w:szCs w:val="24"/>
        </w:rPr>
        <w:t>***</w:t>
      </w:r>
    </w:p>
    <w:p w14:paraId="020DDA89" w14:textId="77777777" w:rsidR="00F37F48" w:rsidRDefault="00F37F48" w:rsidP="00F37F48">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West Virginia Code § 23-4-1F provides that: </w:t>
      </w:r>
    </w:p>
    <w:p w14:paraId="68857077" w14:textId="77777777" w:rsidR="00F37F48" w:rsidRDefault="00F37F48" w:rsidP="00F37F48">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no alleged injury or disease shall be recognized as a compensable injury or disease which was solely caused by nonphysical </w:t>
      </w:r>
      <w:proofErr w:type="gramStart"/>
      <w:r>
        <w:rPr>
          <w:rFonts w:ascii="Times New Roman" w:eastAsia="Times New Roman" w:hAnsi="Times New Roman"/>
          <w:sz w:val="24"/>
          <w:szCs w:val="24"/>
        </w:rPr>
        <w:t>means</w:t>
      </w:r>
      <w:proofErr w:type="gramEnd"/>
      <w:r>
        <w:rPr>
          <w:rFonts w:ascii="Times New Roman" w:eastAsia="Times New Roman" w:hAnsi="Times New Roman"/>
          <w:sz w:val="24"/>
          <w:szCs w:val="24"/>
        </w:rPr>
        <w:t xml:space="preserve"> and which did not result in any physical injury or disease to the person claiming benefits. It is the purpose of this section to clarify that so-called mental-mental claims are not compensable under this chapter.” </w:t>
      </w:r>
      <w:bookmarkStart w:id="578" w:name="_Hlk66950115"/>
      <w:r w:rsidR="00F00958">
        <w:fldChar w:fldCharType="begin"/>
      </w:r>
      <w:r w:rsidR="00F00958">
        <w:instrText xml:space="preserve"> HYPERLINK "https://law.justia.com/cases/west-virginia/supreme-court/2020/19-0970.html" </w:instrText>
      </w:r>
      <w:r w:rsidR="00F00958">
        <w:fldChar w:fldCharType="separate"/>
      </w:r>
      <w:r>
        <w:rPr>
          <w:rStyle w:val="Hyperlink"/>
        </w:rPr>
        <w:t>https://law.justia.com/cases/west-virginia/supreme-court/2020/19-0970.html</w:t>
      </w:r>
      <w:r w:rsidR="00F00958">
        <w:rPr>
          <w:rStyle w:val="Hyperlink"/>
        </w:rPr>
        <w:fldChar w:fldCharType="end"/>
      </w:r>
      <w:r>
        <w:rPr>
          <w:rFonts w:ascii="Times New Roman" w:eastAsia="Times New Roman" w:hAnsi="Times New Roman"/>
          <w:sz w:val="24"/>
          <w:szCs w:val="24"/>
        </w:rPr>
        <w:t xml:space="preserve"> </w:t>
      </w:r>
    </w:p>
    <w:p w14:paraId="73D221EE" w14:textId="77777777" w:rsidR="00F37F48" w:rsidRDefault="00F37F48" w:rsidP="00F37F48">
      <w:pPr>
        <w:pStyle w:val="NormalWeb"/>
        <w:rPr>
          <w:b/>
          <w:bCs/>
        </w:rPr>
      </w:pPr>
      <w:r>
        <w:rPr>
          <w:b/>
          <w:bCs/>
        </w:rPr>
        <w:t>Legal Lesson Learned: Some states have now enacted statutes allowing PTSD coverage without physical injury.</w:t>
      </w:r>
    </w:p>
    <w:p w14:paraId="5F6C98D3" w14:textId="77777777" w:rsidR="00F37F48" w:rsidRPr="00500548" w:rsidRDefault="00F37F48" w:rsidP="00F37F48">
      <w:pPr>
        <w:pStyle w:val="Heading1"/>
        <w:ind w:left="720"/>
        <w:rPr>
          <w:b w:val="0"/>
          <w:bCs w:val="0"/>
          <w:sz w:val="24"/>
          <w:szCs w:val="24"/>
        </w:rPr>
      </w:pPr>
      <w:bookmarkStart w:id="579" w:name="_Hlk66950170"/>
      <w:r>
        <w:rPr>
          <w:b w:val="0"/>
          <w:bCs w:val="0"/>
          <w:sz w:val="24"/>
          <w:szCs w:val="24"/>
        </w:rPr>
        <w:t>Note:</w:t>
      </w:r>
      <w:r>
        <w:t xml:space="preserve">  </w:t>
      </w:r>
      <w:r>
        <w:rPr>
          <w:b w:val="0"/>
          <w:bCs w:val="0"/>
          <w:sz w:val="24"/>
          <w:szCs w:val="24"/>
        </w:rPr>
        <w:t xml:space="preserve">Feb. 13, 2020: “Ohio House passes bill expanding first </w:t>
      </w:r>
      <w:proofErr w:type="gramStart"/>
      <w:r>
        <w:rPr>
          <w:b w:val="0"/>
          <w:bCs w:val="0"/>
          <w:sz w:val="24"/>
          <w:szCs w:val="24"/>
        </w:rPr>
        <w:t>responders</w:t>
      </w:r>
      <w:proofErr w:type="gramEnd"/>
      <w:r>
        <w:rPr>
          <w:b w:val="0"/>
          <w:bCs w:val="0"/>
          <w:sz w:val="24"/>
          <w:szCs w:val="24"/>
        </w:rPr>
        <w:t xml:space="preserve"> workers' compensation for PTSD. The legislation would allow first responders to seek workers' compensation even if they don't have a physical condition that led to PTSD.” </w:t>
      </w:r>
      <w:hyperlink r:id="rId2570" w:history="1">
        <w:r w:rsidRPr="00500548">
          <w:rPr>
            <w:rStyle w:val="Hyperlink"/>
            <w:b w:val="0"/>
            <w:bCs w:val="0"/>
            <w:sz w:val="24"/>
            <w:szCs w:val="24"/>
          </w:rPr>
          <w:t>https://www.firerescue1.com/ptsd/articles/ohio-house-passes-bill-expanding-first-responders-workers-compensation-for-ptsd-QXXQPU6H47rb9Z8o/</w:t>
        </w:r>
      </w:hyperlink>
      <w:r w:rsidRPr="00500548">
        <w:rPr>
          <w:b w:val="0"/>
          <w:bCs w:val="0"/>
          <w:sz w:val="24"/>
          <w:szCs w:val="24"/>
        </w:rPr>
        <w:t xml:space="preserve"> </w:t>
      </w:r>
    </w:p>
    <w:p w14:paraId="316EDA2C" w14:textId="642FD01C" w:rsidR="00F37F48" w:rsidRPr="00F37F48" w:rsidRDefault="00F37F48" w:rsidP="00F37F48">
      <w:pPr>
        <w:pStyle w:val="NoSpacing"/>
        <w:ind w:left="720"/>
        <w:rPr>
          <w:rFonts w:ascii="Times New Roman" w:hAnsi="Times New Roman"/>
          <w:sz w:val="24"/>
          <w:szCs w:val="24"/>
        </w:rPr>
      </w:pPr>
      <w:r w:rsidRPr="00F37F48">
        <w:rPr>
          <w:rFonts w:ascii="Times New Roman" w:hAnsi="Times New Roman"/>
          <w:sz w:val="24"/>
          <w:szCs w:val="24"/>
        </w:rPr>
        <w:t xml:space="preserve">See also: “Nine states (California, Connecticut, Idaho, Louisiana, Nevada, New Hampshire, New Mexico, Oregon, and Texas) have passed legislation addressing benefits for first responders with PTSD in 2019. In 2018, 2 states (Florida and Washington) passed legislation expanding benefits for first responders with </w:t>
      </w:r>
      <w:proofErr w:type="gramStart"/>
      <w:r w:rsidRPr="00F37F48">
        <w:rPr>
          <w:rFonts w:ascii="Times New Roman" w:hAnsi="Times New Roman"/>
          <w:sz w:val="24"/>
          <w:szCs w:val="24"/>
        </w:rPr>
        <w:t>PTSD.”</w:t>
      </w:r>
      <w:proofErr w:type="gramEnd"/>
      <w:r w:rsidRPr="00F37F48">
        <w:rPr>
          <w:rFonts w:ascii="Times New Roman" w:hAnsi="Times New Roman"/>
          <w:sz w:val="24"/>
          <w:szCs w:val="24"/>
        </w:rPr>
        <w:t xml:space="preserve"> </w:t>
      </w:r>
      <w:hyperlink r:id="rId2571" w:history="1">
        <w:r w:rsidRPr="00F37F48">
          <w:rPr>
            <w:rStyle w:val="Hyperlink"/>
            <w:rFonts w:ascii="Times New Roman" w:hAnsi="Times New Roman"/>
            <w:sz w:val="24"/>
            <w:szCs w:val="24"/>
          </w:rPr>
          <w:t>https://www.gerberholderlaw.com/workers-comp-ptsd-by-state/</w:t>
        </w:r>
      </w:hyperlink>
    </w:p>
    <w:bookmarkEnd w:id="578"/>
    <w:bookmarkEnd w:id="579"/>
    <w:p w14:paraId="2ABA6CC2" w14:textId="77777777" w:rsidR="00F37F48" w:rsidRDefault="00F37F48" w:rsidP="000C4DF5">
      <w:pPr>
        <w:pStyle w:val="NoSpacing"/>
        <w:rPr>
          <w:rFonts w:ascii="Arial Black" w:hAnsi="Arial Black"/>
          <w:sz w:val="24"/>
          <w:szCs w:val="24"/>
        </w:rPr>
      </w:pPr>
    </w:p>
    <w:p w14:paraId="7F791A4D" w14:textId="2EBD2ED5" w:rsidR="00663A6A" w:rsidRDefault="00663A6A" w:rsidP="000C4DF5">
      <w:pPr>
        <w:pStyle w:val="NoSpacing"/>
        <w:rPr>
          <w:rFonts w:ascii="Arial Black" w:hAnsi="Arial Black"/>
          <w:sz w:val="24"/>
          <w:szCs w:val="24"/>
        </w:rPr>
      </w:pPr>
      <w:r>
        <w:rPr>
          <w:rFonts w:ascii="Arial Black" w:hAnsi="Arial Black"/>
          <w:sz w:val="24"/>
          <w:szCs w:val="24"/>
        </w:rPr>
        <w:t>15-10</w:t>
      </w:r>
    </w:p>
    <w:p w14:paraId="4F1BA4A6" w14:textId="72885F60" w:rsidR="00663A6A" w:rsidRDefault="00663A6A" w:rsidP="000C4DF5">
      <w:pPr>
        <w:pStyle w:val="NoSpacing"/>
        <w:rPr>
          <w:rFonts w:ascii="Arial Black" w:hAnsi="Arial Black"/>
          <w:sz w:val="24"/>
          <w:szCs w:val="24"/>
        </w:rPr>
      </w:pPr>
    </w:p>
    <w:p w14:paraId="7E695BC6" w14:textId="77777777" w:rsidR="00663A6A" w:rsidRDefault="00663A6A" w:rsidP="00663A6A">
      <w:pPr>
        <w:pStyle w:val="NoSpacing"/>
        <w:rPr>
          <w:rFonts w:ascii="Arial Black" w:hAnsi="Arial Black"/>
          <w:sz w:val="28"/>
          <w:szCs w:val="28"/>
        </w:rPr>
      </w:pPr>
      <w:r>
        <w:rPr>
          <w:rFonts w:ascii="Arial Black" w:hAnsi="Arial Black"/>
          <w:sz w:val="28"/>
          <w:szCs w:val="28"/>
        </w:rPr>
        <w:t xml:space="preserve">TX: PARAMEDIC WITH PTSD – DENIED “ON-DUTY” DISABILITY PENSION – 75% Of SALARY - CONFLICING PSYCHOLOGISTS </w:t>
      </w:r>
    </w:p>
    <w:p w14:paraId="2AF2B909" w14:textId="77777777" w:rsidR="00663A6A" w:rsidRDefault="00663A6A" w:rsidP="00663A6A">
      <w:pPr>
        <w:pStyle w:val="NoSpacing"/>
        <w:rPr>
          <w:rFonts w:ascii="Arial Black" w:hAnsi="Arial Black"/>
          <w:sz w:val="28"/>
          <w:szCs w:val="28"/>
        </w:rPr>
      </w:pPr>
    </w:p>
    <w:p w14:paraId="3CB15CB8" w14:textId="77777777" w:rsidR="00663A6A" w:rsidRDefault="00663A6A" w:rsidP="00663A6A">
      <w:pPr>
        <w:pStyle w:val="NoSpacing"/>
        <w:rPr>
          <w:rFonts w:ascii="Times New Roman" w:hAnsi="Times New Roman"/>
          <w:sz w:val="24"/>
          <w:szCs w:val="24"/>
        </w:rPr>
      </w:pPr>
      <w:r>
        <w:rPr>
          <w:rFonts w:ascii="Times New Roman" w:hAnsi="Times New Roman"/>
          <w:sz w:val="24"/>
          <w:szCs w:val="24"/>
        </w:rPr>
        <w:t xml:space="preserve">On Nov. 17, 2020, in </w:t>
      </w:r>
      <w:r w:rsidRPr="008B5E95">
        <w:rPr>
          <w:rFonts w:ascii="Times New Roman" w:hAnsi="Times New Roman"/>
          <w:sz w:val="24"/>
          <w:szCs w:val="24"/>
          <w:u w:val="single"/>
        </w:rPr>
        <w:t xml:space="preserve">Gregory Green v. Houston Firefighters’ Relief </w:t>
      </w:r>
      <w:proofErr w:type="gramStart"/>
      <w:r w:rsidRPr="008B5E95">
        <w:rPr>
          <w:rFonts w:ascii="Times New Roman" w:hAnsi="Times New Roman"/>
          <w:sz w:val="24"/>
          <w:szCs w:val="24"/>
          <w:u w:val="single"/>
        </w:rPr>
        <w:t>And</w:t>
      </w:r>
      <w:proofErr w:type="gramEnd"/>
      <w:r w:rsidRPr="008B5E95">
        <w:rPr>
          <w:rFonts w:ascii="Times New Roman" w:hAnsi="Times New Roman"/>
          <w:sz w:val="24"/>
          <w:szCs w:val="24"/>
          <w:u w:val="single"/>
        </w:rPr>
        <w:t xml:space="preserve"> Retirement Fund</w:t>
      </w:r>
      <w:r>
        <w:rPr>
          <w:rFonts w:ascii="Times New Roman" w:hAnsi="Times New Roman"/>
          <w:sz w:val="24"/>
          <w:szCs w:val="24"/>
        </w:rPr>
        <w:t xml:space="preserve">, the State of Texas in the Fourteenth Court of Appeals, held (3 to 0) that trial court correctly upheld the Board to deny on-duty disability pension for paramedic with 17-years of experience,  given conflicting opinions of two mental health professionals.  Plaintiff may be eligible for a non-duty disability pension; on-duty disability pensions are 75% of average salary if not capable of any gainful future employment; or 50% if can’t perform firefighter duties. </w:t>
      </w:r>
    </w:p>
    <w:p w14:paraId="7B3EDF7F" w14:textId="77777777" w:rsidR="00663A6A" w:rsidRDefault="00663A6A" w:rsidP="00663A6A">
      <w:pPr>
        <w:pStyle w:val="NoSpacing"/>
        <w:rPr>
          <w:rFonts w:ascii="Times New Roman" w:hAnsi="Times New Roman"/>
          <w:sz w:val="24"/>
          <w:szCs w:val="24"/>
        </w:rPr>
      </w:pPr>
    </w:p>
    <w:p w14:paraId="74BFD55E" w14:textId="564A8A7B" w:rsidR="00663A6A" w:rsidRDefault="00663A6A" w:rsidP="00663A6A">
      <w:pPr>
        <w:pStyle w:val="NoSpacing"/>
        <w:rPr>
          <w:rStyle w:val="Hyperlink"/>
          <w:rFonts w:ascii="Times New Roman" w:hAnsi="Times New Roman"/>
          <w:sz w:val="24"/>
          <w:szCs w:val="24"/>
        </w:rPr>
      </w:pPr>
      <w:r>
        <w:rPr>
          <w:rFonts w:ascii="Times New Roman" w:hAnsi="Times New Roman"/>
          <w:sz w:val="24"/>
          <w:szCs w:val="24"/>
        </w:rPr>
        <w:t>“</w:t>
      </w:r>
      <w:r w:rsidRPr="008B5E95">
        <w:rPr>
          <w:rFonts w:ascii="Times New Roman" w:hAnsi="Times New Roman"/>
          <w:sz w:val="24"/>
          <w:szCs w:val="24"/>
        </w:rPr>
        <w:t xml:space="preserve">The evidence before the Board and subsequently before the trial court was in direct conflict. </w:t>
      </w:r>
      <w:r>
        <w:rPr>
          <w:rFonts w:ascii="Times New Roman" w:hAnsi="Times New Roman"/>
          <w:sz w:val="24"/>
          <w:szCs w:val="24"/>
        </w:rPr>
        <w:t xml:space="preserve">[Dr. Ashley] </w:t>
      </w:r>
      <w:r w:rsidRPr="008B5E95">
        <w:rPr>
          <w:rFonts w:ascii="Times New Roman" w:hAnsi="Times New Roman"/>
          <w:sz w:val="24"/>
          <w:szCs w:val="24"/>
        </w:rPr>
        <w:t xml:space="preserve">Woolbert opined that Green experienced disability to the degree that he could not perform any full-time work. </w:t>
      </w:r>
      <w:r>
        <w:rPr>
          <w:rFonts w:ascii="Times New Roman" w:hAnsi="Times New Roman"/>
          <w:sz w:val="24"/>
          <w:szCs w:val="24"/>
        </w:rPr>
        <w:t xml:space="preserve">[Dr. Edwin] </w:t>
      </w:r>
      <w:r w:rsidRPr="008B5E95">
        <w:rPr>
          <w:rFonts w:ascii="Times New Roman" w:hAnsi="Times New Roman"/>
          <w:sz w:val="24"/>
          <w:szCs w:val="24"/>
        </w:rPr>
        <w:t>Johnstone, on the other hand, opined that Green</w:t>
      </w:r>
      <w:r>
        <w:rPr>
          <w:rFonts w:ascii="Times New Roman" w:hAnsi="Times New Roman"/>
          <w:sz w:val="24"/>
          <w:szCs w:val="24"/>
        </w:rPr>
        <w:t>’</w:t>
      </w:r>
      <w:r w:rsidRPr="008B5E95">
        <w:rPr>
          <w:rFonts w:ascii="Times New Roman" w:hAnsi="Times New Roman"/>
          <w:sz w:val="24"/>
          <w:szCs w:val="24"/>
        </w:rPr>
        <w:t>s only limitation in performing full-time work was the physical limitation of his shoulder. In a substantial evidence review the agency</w:t>
      </w:r>
      <w:r>
        <w:rPr>
          <w:rFonts w:ascii="Times New Roman" w:hAnsi="Times New Roman"/>
          <w:sz w:val="24"/>
          <w:szCs w:val="24"/>
        </w:rPr>
        <w:t>’</w:t>
      </w:r>
      <w:r w:rsidRPr="008B5E95">
        <w:rPr>
          <w:rFonts w:ascii="Times New Roman" w:hAnsi="Times New Roman"/>
          <w:sz w:val="24"/>
          <w:szCs w:val="24"/>
        </w:rPr>
        <w:t xml:space="preserve">s action will be sustained if the evidence is such that reasonable minds could have reached the conclusion that the agency must have reached to justify its actions. </w:t>
      </w:r>
      <w:r w:rsidRPr="008B5E95">
        <w:rPr>
          <w:rFonts w:ascii="Times New Roman" w:hAnsi="Times New Roman"/>
          <w:i/>
          <w:iCs/>
          <w:sz w:val="24"/>
          <w:szCs w:val="24"/>
        </w:rPr>
        <w:t xml:space="preserve">Texas Health Facilities </w:t>
      </w:r>
      <w:proofErr w:type="spellStart"/>
      <w:r w:rsidRPr="008B5E95">
        <w:rPr>
          <w:rFonts w:ascii="Times New Roman" w:hAnsi="Times New Roman"/>
          <w:i/>
          <w:iCs/>
          <w:sz w:val="24"/>
          <w:szCs w:val="24"/>
        </w:rPr>
        <w:t>Com</w:t>
      </w:r>
      <w:r>
        <w:rPr>
          <w:rFonts w:ascii="Times New Roman" w:hAnsi="Times New Roman"/>
          <w:i/>
          <w:iCs/>
          <w:sz w:val="24"/>
          <w:szCs w:val="24"/>
        </w:rPr>
        <w:t>’</w:t>
      </w:r>
      <w:r w:rsidRPr="008B5E95">
        <w:rPr>
          <w:rFonts w:ascii="Times New Roman" w:hAnsi="Times New Roman"/>
          <w:i/>
          <w:iCs/>
          <w:sz w:val="24"/>
          <w:szCs w:val="24"/>
        </w:rPr>
        <w:t>n</w:t>
      </w:r>
      <w:proofErr w:type="spellEnd"/>
      <w:r w:rsidRPr="008B5E95">
        <w:rPr>
          <w:rFonts w:ascii="Times New Roman" w:hAnsi="Times New Roman"/>
          <w:sz w:val="24"/>
          <w:szCs w:val="24"/>
        </w:rPr>
        <w:t>, 665 S.W.2d at 453. Because the evidence was conflicting, the Board could have determined after reviewing Johnstone</w:t>
      </w:r>
      <w:r>
        <w:rPr>
          <w:rFonts w:ascii="Times New Roman" w:hAnsi="Times New Roman"/>
          <w:sz w:val="24"/>
          <w:szCs w:val="24"/>
        </w:rPr>
        <w:t>’</w:t>
      </w:r>
      <w:r w:rsidRPr="008B5E95">
        <w:rPr>
          <w:rFonts w:ascii="Times New Roman" w:hAnsi="Times New Roman"/>
          <w:sz w:val="24"/>
          <w:szCs w:val="24"/>
        </w:rPr>
        <w:t xml:space="preserve">s reports that Green did not qualify under the Act for on-duty disability. </w:t>
      </w:r>
      <w:r w:rsidRPr="008B5E95">
        <w:rPr>
          <w:rFonts w:ascii="Times New Roman" w:hAnsi="Times New Roman"/>
          <w:i/>
          <w:iCs/>
          <w:sz w:val="24"/>
          <w:szCs w:val="24"/>
        </w:rPr>
        <w:t>See id</w:t>
      </w:r>
      <w:r w:rsidRPr="008B5E95">
        <w:rPr>
          <w:rFonts w:ascii="Times New Roman" w:hAnsi="Times New Roman"/>
          <w:sz w:val="24"/>
          <w:szCs w:val="24"/>
        </w:rPr>
        <w:t>. (If there is evidence to support either affirmative or negative findings on a specific matter, the decision of the agency must be upheld).</w:t>
      </w:r>
      <w:r>
        <w:rPr>
          <w:rFonts w:ascii="Times New Roman" w:hAnsi="Times New Roman"/>
          <w:sz w:val="24"/>
          <w:szCs w:val="24"/>
        </w:rPr>
        <w:t>”</w:t>
      </w:r>
      <w:r w:rsidRPr="008B5E95">
        <w:t xml:space="preserve"> </w:t>
      </w:r>
      <w:hyperlink r:id="rId2572" w:history="1">
        <w:r w:rsidRPr="00804FA5">
          <w:rPr>
            <w:rStyle w:val="Hyperlink"/>
            <w:rFonts w:ascii="Times New Roman" w:hAnsi="Times New Roman"/>
            <w:sz w:val="24"/>
            <w:szCs w:val="24"/>
          </w:rPr>
          <w:t>https://public.fastcase.com/Wl%2B2t%2BeVuI35%2FN70vAMFZlfrbL2Iv9t8X190JkA%2BKSgGR212V5tgaR0%2FcTyilOxc</w:t>
        </w:r>
      </w:hyperlink>
    </w:p>
    <w:p w14:paraId="04AF6728" w14:textId="58150E2C" w:rsidR="00663A6A" w:rsidRDefault="00663A6A" w:rsidP="00663A6A">
      <w:pPr>
        <w:pStyle w:val="NoSpacing"/>
        <w:rPr>
          <w:rStyle w:val="Hyperlink"/>
          <w:rFonts w:ascii="Times New Roman" w:hAnsi="Times New Roman"/>
          <w:sz w:val="24"/>
          <w:szCs w:val="24"/>
        </w:rPr>
      </w:pPr>
    </w:p>
    <w:p w14:paraId="78DAE717" w14:textId="77777777" w:rsidR="00663A6A" w:rsidRPr="00D22C73" w:rsidRDefault="00663A6A" w:rsidP="00663A6A">
      <w:pPr>
        <w:pStyle w:val="NormalWeb"/>
        <w:rPr>
          <w:b/>
          <w:bCs/>
        </w:rPr>
      </w:pPr>
      <w:r w:rsidRPr="00D22C73">
        <w:rPr>
          <w:b/>
          <w:bCs/>
        </w:rPr>
        <w:t>Legal Lesson Learned:</w:t>
      </w:r>
      <w:r>
        <w:rPr>
          <w:b/>
          <w:bCs/>
        </w:rPr>
        <w:t xml:space="preserve"> Given the conflicting experts’ reports, Courts will uphold decisions of Boards. </w:t>
      </w:r>
    </w:p>
    <w:p w14:paraId="3ACD8101" w14:textId="77777777" w:rsidR="00663A6A" w:rsidRDefault="00663A6A" w:rsidP="00663A6A">
      <w:pPr>
        <w:pStyle w:val="NoSpacing"/>
        <w:rPr>
          <w:rFonts w:ascii="Arial Black" w:hAnsi="Arial Black"/>
          <w:sz w:val="24"/>
          <w:szCs w:val="24"/>
        </w:rPr>
      </w:pPr>
    </w:p>
    <w:p w14:paraId="7A4E4CD9" w14:textId="77777777" w:rsidR="00663A6A" w:rsidRDefault="00663A6A" w:rsidP="000C4DF5">
      <w:pPr>
        <w:pStyle w:val="NoSpacing"/>
        <w:rPr>
          <w:rFonts w:ascii="Arial Black" w:hAnsi="Arial Black"/>
          <w:sz w:val="24"/>
          <w:szCs w:val="24"/>
        </w:rPr>
      </w:pPr>
    </w:p>
    <w:p w14:paraId="375271BB" w14:textId="63F2F282" w:rsidR="000F18B0" w:rsidRDefault="001C563D" w:rsidP="000C4DF5">
      <w:pPr>
        <w:pStyle w:val="NoSpacing"/>
        <w:rPr>
          <w:rFonts w:ascii="Arial Black" w:hAnsi="Arial Black"/>
          <w:sz w:val="24"/>
          <w:szCs w:val="24"/>
        </w:rPr>
      </w:pPr>
      <w:r>
        <w:rPr>
          <w:rFonts w:ascii="Arial Black" w:hAnsi="Arial Black"/>
          <w:sz w:val="24"/>
          <w:szCs w:val="24"/>
        </w:rPr>
        <w:t>15-</w:t>
      </w:r>
      <w:r w:rsidR="001A653A">
        <w:rPr>
          <w:rFonts w:ascii="Arial Black" w:hAnsi="Arial Black"/>
          <w:sz w:val="24"/>
          <w:szCs w:val="24"/>
        </w:rPr>
        <w:t>9</w:t>
      </w:r>
    </w:p>
    <w:p w14:paraId="23FC37D0" w14:textId="1DF5E8CD" w:rsidR="001C563D" w:rsidRDefault="001C563D" w:rsidP="000C4DF5">
      <w:pPr>
        <w:pStyle w:val="NoSpacing"/>
        <w:rPr>
          <w:rFonts w:ascii="Arial Black" w:hAnsi="Arial Black"/>
          <w:sz w:val="24"/>
          <w:szCs w:val="24"/>
        </w:rPr>
      </w:pPr>
    </w:p>
    <w:p w14:paraId="50D0D24B" w14:textId="77777777" w:rsidR="001C563D" w:rsidRPr="00BF19C3" w:rsidRDefault="001C563D" w:rsidP="001C563D">
      <w:pPr>
        <w:pStyle w:val="NoSpacing"/>
        <w:rPr>
          <w:rFonts w:ascii="Arial Black" w:hAnsi="Arial Black"/>
          <w:sz w:val="28"/>
          <w:szCs w:val="28"/>
        </w:rPr>
      </w:pPr>
      <w:r w:rsidRPr="00BF19C3">
        <w:rPr>
          <w:rFonts w:ascii="Arial Black" w:hAnsi="Arial Black"/>
          <w:sz w:val="28"/>
          <w:szCs w:val="28"/>
        </w:rPr>
        <w:t xml:space="preserve">SC: </w:t>
      </w:r>
      <w:r>
        <w:rPr>
          <w:rFonts w:ascii="Arial Black" w:hAnsi="Arial Black"/>
          <w:sz w:val="28"/>
          <w:szCs w:val="28"/>
        </w:rPr>
        <w:t>PARAMEDIC ON BAD MVA RUN – PTSD / PANIC ATTACKS – TOLD HOSP. CAN NO LONGER DO JOB, TERMINATED</w:t>
      </w:r>
    </w:p>
    <w:p w14:paraId="264B2C36" w14:textId="77777777" w:rsidR="006E50D9" w:rsidRDefault="006E50D9" w:rsidP="001C563D">
      <w:pPr>
        <w:pStyle w:val="NoSpacing"/>
        <w:rPr>
          <w:rFonts w:ascii="Times New Roman" w:hAnsi="Times New Roman"/>
          <w:sz w:val="24"/>
          <w:szCs w:val="24"/>
        </w:rPr>
      </w:pPr>
    </w:p>
    <w:p w14:paraId="7DF0C9D3" w14:textId="36F313CB" w:rsidR="001C563D" w:rsidRDefault="001C563D" w:rsidP="001C563D">
      <w:pPr>
        <w:pStyle w:val="NoSpacing"/>
        <w:rPr>
          <w:rStyle w:val="Hyperlink"/>
          <w:rFonts w:ascii="Times New Roman" w:hAnsi="Times New Roman"/>
          <w:sz w:val="24"/>
          <w:szCs w:val="24"/>
        </w:rPr>
      </w:pPr>
      <w:r w:rsidRPr="00633872">
        <w:rPr>
          <w:rFonts w:ascii="Times New Roman" w:hAnsi="Times New Roman"/>
          <w:sz w:val="24"/>
          <w:szCs w:val="24"/>
        </w:rPr>
        <w:t xml:space="preserve">On </w:t>
      </w:r>
      <w:r>
        <w:rPr>
          <w:rFonts w:ascii="Times New Roman" w:hAnsi="Times New Roman"/>
          <w:sz w:val="24"/>
          <w:szCs w:val="24"/>
        </w:rPr>
        <w:t xml:space="preserve">June 25, 2020, in </w:t>
      </w:r>
      <w:r w:rsidRPr="00633872">
        <w:rPr>
          <w:rFonts w:ascii="Times New Roman" w:hAnsi="Times New Roman"/>
          <w:sz w:val="24"/>
          <w:szCs w:val="24"/>
          <w:u w:val="single"/>
        </w:rPr>
        <w:t>Stephen E. Sanders v. McLeod Health</w:t>
      </w:r>
      <w:r>
        <w:rPr>
          <w:rFonts w:ascii="Times New Roman" w:hAnsi="Times New Roman"/>
          <w:sz w:val="24"/>
          <w:szCs w:val="24"/>
          <w:u w:val="single"/>
        </w:rPr>
        <w:t xml:space="preserve"> </w:t>
      </w:r>
      <w:proofErr w:type="spellStart"/>
      <w:r w:rsidRPr="00633872">
        <w:rPr>
          <w:rFonts w:ascii="Times New Roman" w:hAnsi="Times New Roman"/>
          <w:sz w:val="24"/>
          <w:szCs w:val="24"/>
          <w:u w:val="single"/>
        </w:rPr>
        <w:t>Claredon</w:t>
      </w:r>
      <w:proofErr w:type="spellEnd"/>
      <w:r>
        <w:rPr>
          <w:rFonts w:ascii="Times New Roman" w:hAnsi="Times New Roman"/>
          <w:sz w:val="24"/>
          <w:szCs w:val="24"/>
        </w:rPr>
        <w:t>, U.S. District Court Judge David C. Norton, U.S. District Court of South Carolina, Charleston Division, granted the hospital’s motion for summary judgment; on A</w:t>
      </w:r>
      <w:r w:rsidRPr="001B71D1">
        <w:rPr>
          <w:rFonts w:ascii="Times New Roman" w:eastAsia="Times New Roman" w:hAnsi="Times New Roman"/>
          <w:sz w:val="24"/>
          <w:szCs w:val="24"/>
        </w:rPr>
        <w:t xml:space="preserve">ugust 10, 2017, </w:t>
      </w:r>
      <w:r>
        <w:rPr>
          <w:rFonts w:ascii="Times New Roman" w:eastAsia="Times New Roman" w:hAnsi="Times New Roman"/>
          <w:sz w:val="24"/>
          <w:szCs w:val="24"/>
        </w:rPr>
        <w:t xml:space="preserve">he responded MVA involving </w:t>
      </w:r>
      <w:r w:rsidRPr="001B71D1">
        <w:rPr>
          <w:rFonts w:ascii="Times New Roman" w:eastAsia="Times New Roman" w:hAnsi="Times New Roman"/>
          <w:sz w:val="24"/>
          <w:szCs w:val="24"/>
        </w:rPr>
        <w:t>logging truck and an SUV</w:t>
      </w:r>
      <w:r>
        <w:rPr>
          <w:rFonts w:ascii="Times New Roman" w:eastAsia="Times New Roman" w:hAnsi="Times New Roman"/>
          <w:sz w:val="24"/>
          <w:szCs w:val="24"/>
        </w:rPr>
        <w:t xml:space="preserve">, where SUV driver was trapped by logs and died. </w:t>
      </w:r>
      <w:r>
        <w:rPr>
          <w:rFonts w:ascii="Times New Roman" w:hAnsi="Times New Roman"/>
          <w:sz w:val="24"/>
          <w:szCs w:val="24"/>
        </w:rPr>
        <w:t>Court wrote: “</w:t>
      </w:r>
      <w:r>
        <w:rPr>
          <w:rFonts w:ascii="Times New Roman" w:eastAsia="Times New Roman" w:hAnsi="Times New Roman"/>
          <w:sz w:val="24"/>
          <w:szCs w:val="24"/>
        </w:rPr>
        <w:t xml:space="preserve">[T]here </w:t>
      </w:r>
      <w:r w:rsidRPr="00BF19C3">
        <w:rPr>
          <w:rFonts w:ascii="Times New Roman" w:eastAsia="Times New Roman" w:hAnsi="Times New Roman"/>
          <w:sz w:val="24"/>
          <w:szCs w:val="24"/>
        </w:rPr>
        <w:t xml:space="preserve">is evidence in the record that Sanders could not perform the essential functions of his job at the time of his August 18, </w:t>
      </w:r>
      <w:proofErr w:type="gramStart"/>
      <w:r w:rsidRPr="00BF19C3">
        <w:rPr>
          <w:rFonts w:ascii="Times New Roman" w:eastAsia="Times New Roman" w:hAnsi="Times New Roman"/>
          <w:sz w:val="24"/>
          <w:szCs w:val="24"/>
        </w:rPr>
        <w:t>2017</w:t>
      </w:r>
      <w:proofErr w:type="gramEnd"/>
      <w:r w:rsidRPr="00BF19C3">
        <w:rPr>
          <w:rFonts w:ascii="Times New Roman" w:eastAsia="Times New Roman" w:hAnsi="Times New Roman"/>
          <w:sz w:val="24"/>
          <w:szCs w:val="24"/>
        </w:rPr>
        <w:t xml:space="preserve"> discharge. Sanders testified in his deposition that shortly after the August 10th accident, he began experiencing </w:t>
      </w:r>
      <w:r>
        <w:rPr>
          <w:rFonts w:ascii="Times New Roman" w:eastAsia="Times New Roman" w:hAnsi="Times New Roman"/>
          <w:sz w:val="24"/>
          <w:szCs w:val="24"/>
        </w:rPr>
        <w:t>‘</w:t>
      </w:r>
      <w:r w:rsidRPr="00BF19C3">
        <w:rPr>
          <w:rFonts w:ascii="Times New Roman" w:eastAsia="Times New Roman" w:hAnsi="Times New Roman"/>
          <w:sz w:val="24"/>
          <w:szCs w:val="24"/>
        </w:rPr>
        <w:t>severe . . . emotional problems</w:t>
      </w:r>
      <w:r>
        <w:rPr>
          <w:rFonts w:ascii="Times New Roman" w:eastAsia="Times New Roman" w:hAnsi="Times New Roman"/>
          <w:sz w:val="24"/>
          <w:szCs w:val="24"/>
        </w:rPr>
        <w:t>’</w:t>
      </w:r>
      <w:r w:rsidRPr="00BF19C3">
        <w:rPr>
          <w:rFonts w:ascii="Times New Roman" w:eastAsia="Times New Roman" w:hAnsi="Times New Roman"/>
          <w:sz w:val="24"/>
          <w:szCs w:val="24"/>
        </w:rPr>
        <w:t>, including "anxiety, depression [and] panic attacks</w:t>
      </w:r>
      <w:r>
        <w:rPr>
          <w:rFonts w:ascii="Times New Roman" w:eastAsia="Times New Roman" w:hAnsi="Times New Roman"/>
          <w:sz w:val="24"/>
          <w:szCs w:val="24"/>
        </w:rPr>
        <w:t xml:space="preserve"> …. </w:t>
      </w:r>
      <w:r w:rsidRPr="00BF19C3">
        <w:rPr>
          <w:rFonts w:ascii="Times New Roman" w:eastAsia="Times New Roman" w:hAnsi="Times New Roman"/>
          <w:sz w:val="24"/>
          <w:szCs w:val="24"/>
        </w:rPr>
        <w:t xml:space="preserve">As a result, Sanders noted that he </w:t>
      </w:r>
      <w:r>
        <w:rPr>
          <w:rFonts w:ascii="Times New Roman" w:eastAsia="Times New Roman" w:hAnsi="Times New Roman"/>
          <w:sz w:val="24"/>
          <w:szCs w:val="24"/>
        </w:rPr>
        <w:t>‘</w:t>
      </w:r>
      <w:r w:rsidRPr="00BF19C3">
        <w:rPr>
          <w:rFonts w:ascii="Times New Roman" w:eastAsia="Times New Roman" w:hAnsi="Times New Roman"/>
          <w:sz w:val="24"/>
          <w:szCs w:val="24"/>
        </w:rPr>
        <w:t>couldn't stay around</w:t>
      </w:r>
      <w:r>
        <w:rPr>
          <w:rFonts w:ascii="Times New Roman" w:eastAsia="Times New Roman" w:hAnsi="Times New Roman"/>
          <w:sz w:val="24"/>
          <w:szCs w:val="24"/>
        </w:rPr>
        <w:t>’</w:t>
      </w:r>
      <w:r w:rsidRPr="00BF19C3">
        <w:rPr>
          <w:rFonts w:ascii="Times New Roman" w:eastAsia="Times New Roman" w:hAnsi="Times New Roman"/>
          <w:sz w:val="24"/>
          <w:szCs w:val="24"/>
        </w:rPr>
        <w:t xml:space="preserve"> his place of work</w:t>
      </w:r>
      <w:r>
        <w:rPr>
          <w:rFonts w:ascii="Times New Roman" w:eastAsia="Times New Roman" w:hAnsi="Times New Roman"/>
          <w:sz w:val="24"/>
          <w:szCs w:val="24"/>
        </w:rPr>
        <w:t>… A</w:t>
      </w:r>
      <w:r w:rsidRPr="008D16D6">
        <w:rPr>
          <w:rFonts w:ascii="Times New Roman" w:hAnsi="Times New Roman"/>
          <w:sz w:val="24"/>
          <w:szCs w:val="24"/>
        </w:rPr>
        <w:t>s the first element of a prima facie case of disability discrimination, Sanders must show that he was a qualified individual with a disability at the time of his firing. There is no dispute that Sanders suffered from PTSD, a disability under the ADA, at the time of his discharge. The court's inquiry thus focuses on whether Sanders was a "qualified individual." Under the ADA, "the term 'qualified individual' means an individual who, with or without reasonable accommodation, can perform the essential functions of the employment position that such individual holds or desires." 42 U.S.C. § 12111(8). The court agrees with the R&amp;R that summary judgment is warranted on this basis because there is no evidence in the record that Sanders could perform the essential functions of his job at the time of his firing.</w:t>
      </w:r>
      <w:r>
        <w:rPr>
          <w:rFonts w:ascii="Times New Roman" w:hAnsi="Times New Roman"/>
          <w:sz w:val="24"/>
          <w:szCs w:val="24"/>
        </w:rPr>
        <w:t xml:space="preserve"> </w:t>
      </w:r>
      <w:hyperlink r:id="rId2573" w:history="1">
        <w:r w:rsidRPr="006B0F65">
          <w:rPr>
            <w:rStyle w:val="Hyperlink"/>
            <w:rFonts w:ascii="Times New Roman" w:hAnsi="Times New Roman"/>
            <w:sz w:val="24"/>
            <w:szCs w:val="24"/>
          </w:rPr>
          <w:t>https://public.fastcase.com/Wl%2B2t%2BeVuI35%2FN70vAMFZkQk422sTW9%2BWIlpk%2BnE1B7e7DrNn16tDd9SfmLDmtL4</w:t>
        </w:r>
      </w:hyperlink>
    </w:p>
    <w:p w14:paraId="73C013E4" w14:textId="2AC80811" w:rsidR="001C563D" w:rsidRDefault="001C563D" w:rsidP="001C563D">
      <w:pPr>
        <w:pStyle w:val="NoSpacing"/>
        <w:rPr>
          <w:rStyle w:val="Hyperlink"/>
          <w:rFonts w:ascii="Times New Roman" w:hAnsi="Times New Roman"/>
          <w:sz w:val="24"/>
          <w:szCs w:val="24"/>
        </w:rPr>
      </w:pPr>
    </w:p>
    <w:p w14:paraId="73A3596F" w14:textId="77777777" w:rsidR="001C563D" w:rsidRDefault="001C563D" w:rsidP="001C563D">
      <w:pPr>
        <w:pStyle w:val="NoSpacing"/>
        <w:tabs>
          <w:tab w:val="left" w:pos="3040"/>
        </w:tabs>
        <w:rPr>
          <w:rFonts w:ascii="Times New Roman" w:hAnsi="Times New Roman"/>
          <w:b/>
          <w:bCs/>
          <w:sz w:val="24"/>
          <w:szCs w:val="24"/>
        </w:rPr>
      </w:pPr>
      <w:r w:rsidRPr="008D16D6">
        <w:rPr>
          <w:rFonts w:ascii="Times New Roman" w:hAnsi="Times New Roman"/>
          <w:b/>
          <w:bCs/>
          <w:sz w:val="24"/>
          <w:szCs w:val="24"/>
        </w:rPr>
        <w:t>Legal Lessons Learned</w:t>
      </w:r>
      <w:r>
        <w:rPr>
          <w:rFonts w:ascii="Times New Roman" w:hAnsi="Times New Roman"/>
          <w:b/>
          <w:bCs/>
          <w:sz w:val="24"/>
          <w:szCs w:val="24"/>
        </w:rPr>
        <w:t xml:space="preserve">:  If the paramedic had asked the hospital for a leave of absence or other reasonable accommodation, and the hospital refused, this lawsuit might not have been dismissed. </w:t>
      </w:r>
    </w:p>
    <w:p w14:paraId="56EA3FED" w14:textId="77777777" w:rsidR="001C563D" w:rsidRDefault="001C563D" w:rsidP="001C563D">
      <w:pPr>
        <w:pStyle w:val="NoSpacing"/>
        <w:rPr>
          <w:rFonts w:ascii="Arial Black" w:hAnsi="Arial Black"/>
          <w:sz w:val="24"/>
          <w:szCs w:val="24"/>
        </w:rPr>
      </w:pPr>
    </w:p>
    <w:p w14:paraId="4598F4E3" w14:textId="62952EA5" w:rsidR="001C563D" w:rsidRDefault="001A653A" w:rsidP="000C4DF5">
      <w:pPr>
        <w:pStyle w:val="NoSpacing"/>
        <w:rPr>
          <w:rFonts w:ascii="Arial Black" w:hAnsi="Arial Black"/>
          <w:sz w:val="24"/>
          <w:szCs w:val="24"/>
        </w:rPr>
      </w:pPr>
      <w:r>
        <w:rPr>
          <w:rFonts w:ascii="Arial Black" w:hAnsi="Arial Black"/>
          <w:sz w:val="24"/>
          <w:szCs w:val="24"/>
        </w:rPr>
        <w:t>15-8</w:t>
      </w:r>
    </w:p>
    <w:p w14:paraId="102B4DAE" w14:textId="684FC89A" w:rsidR="001A653A" w:rsidRDefault="001A653A" w:rsidP="000C4DF5">
      <w:pPr>
        <w:pStyle w:val="NoSpacing"/>
        <w:rPr>
          <w:rFonts w:ascii="Arial Black" w:hAnsi="Arial Black"/>
          <w:sz w:val="24"/>
          <w:szCs w:val="24"/>
        </w:rPr>
      </w:pPr>
    </w:p>
    <w:p w14:paraId="5402370D" w14:textId="77777777" w:rsidR="001A653A" w:rsidRPr="00B64EBC" w:rsidRDefault="001A653A" w:rsidP="001A653A">
      <w:pPr>
        <w:pStyle w:val="NoSpacing"/>
        <w:rPr>
          <w:rFonts w:ascii="Arial Black" w:hAnsi="Arial Black"/>
          <w:b/>
          <w:bCs/>
          <w:sz w:val="28"/>
          <w:szCs w:val="28"/>
        </w:rPr>
      </w:pPr>
      <w:bookmarkStart w:id="580" w:name="_Hlk66950286"/>
      <w:r w:rsidRPr="00B64EBC">
        <w:rPr>
          <w:rFonts w:ascii="Arial Black" w:hAnsi="Arial Black"/>
          <w:b/>
          <w:bCs/>
          <w:sz w:val="28"/>
          <w:szCs w:val="28"/>
        </w:rPr>
        <w:t>NJ:</w:t>
      </w:r>
      <w:r>
        <w:rPr>
          <w:rFonts w:ascii="Arial Black" w:hAnsi="Arial Black"/>
          <w:b/>
          <w:bCs/>
          <w:sz w:val="28"/>
          <w:szCs w:val="28"/>
        </w:rPr>
        <w:t xml:space="preserve">  FF FAILED PSYCHOLOGICAL EXAM FOR CAREER POSITION – FORMER MARINE – MEDICAL DISCHARGE WITH PTSD – APPEAL DENIED</w:t>
      </w:r>
    </w:p>
    <w:p w14:paraId="7406C22A" w14:textId="77777777" w:rsidR="001A653A" w:rsidRDefault="001A653A" w:rsidP="001A653A">
      <w:pPr>
        <w:pStyle w:val="NoSpacing"/>
        <w:rPr>
          <w:rFonts w:ascii="Times New Roman" w:hAnsi="Times New Roman"/>
          <w:sz w:val="24"/>
          <w:szCs w:val="24"/>
        </w:rPr>
      </w:pPr>
    </w:p>
    <w:p w14:paraId="4253BA4C" w14:textId="77777777" w:rsidR="001A653A" w:rsidRPr="00C32347" w:rsidRDefault="001A653A" w:rsidP="001A653A">
      <w:pPr>
        <w:pStyle w:val="NoSpacing"/>
        <w:rPr>
          <w:rFonts w:ascii="Times New Roman" w:eastAsia="Times New Roman" w:hAnsi="Times New Roman"/>
          <w:b/>
          <w:bCs/>
          <w:sz w:val="24"/>
          <w:szCs w:val="24"/>
        </w:rPr>
      </w:pPr>
      <w:r w:rsidRPr="00B64EBC">
        <w:rPr>
          <w:rFonts w:ascii="Times New Roman" w:hAnsi="Times New Roman"/>
          <w:sz w:val="24"/>
          <w:szCs w:val="24"/>
        </w:rPr>
        <w:t xml:space="preserve">On </w:t>
      </w:r>
      <w:r>
        <w:rPr>
          <w:rFonts w:ascii="Times New Roman" w:hAnsi="Times New Roman"/>
          <w:sz w:val="24"/>
          <w:szCs w:val="24"/>
        </w:rPr>
        <w:t xml:space="preserve">June 12, 2020, in </w:t>
      </w:r>
      <w:r w:rsidRPr="00B64EBC">
        <w:rPr>
          <w:rFonts w:ascii="Times New Roman" w:hAnsi="Times New Roman"/>
          <w:sz w:val="24"/>
          <w:szCs w:val="24"/>
          <w:u w:val="single"/>
        </w:rPr>
        <w:t>Frank Rivera v. Township of Cranford</w:t>
      </w:r>
      <w:r>
        <w:rPr>
          <w:rFonts w:ascii="Times New Roman" w:hAnsi="Times New Roman"/>
          <w:sz w:val="24"/>
          <w:szCs w:val="24"/>
        </w:rPr>
        <w:t>, the Superior Court of New Jersey, Appellate Division, held (unpublished opinion) that the jury’s decision in favor of the Township is affirmed. The Court wrote: “P</w:t>
      </w:r>
      <w:r w:rsidRPr="00C32347">
        <w:rPr>
          <w:rFonts w:ascii="Times New Roman" w:hAnsi="Times New Roman"/>
          <w:sz w:val="24"/>
          <w:szCs w:val="24"/>
        </w:rPr>
        <w:t>laintiff's</w:t>
      </w:r>
      <w:r>
        <w:rPr>
          <w:rFonts w:ascii="Times New Roman" w:hAnsi="Times New Roman"/>
          <w:sz w:val="24"/>
          <w:szCs w:val="24"/>
        </w:rPr>
        <w:t xml:space="preserve"> </w:t>
      </w:r>
      <w:r w:rsidRPr="00C32347">
        <w:rPr>
          <w:rFonts w:ascii="Times New Roman" w:hAnsi="Times New Roman"/>
          <w:sz w:val="24"/>
          <w:szCs w:val="24"/>
        </w:rPr>
        <w:t>superiors</w:t>
      </w:r>
      <w:r>
        <w:rPr>
          <w:rFonts w:ascii="Times New Roman" w:hAnsi="Times New Roman"/>
          <w:sz w:val="24"/>
          <w:szCs w:val="24"/>
        </w:rPr>
        <w:t xml:space="preserve"> </w:t>
      </w:r>
      <w:r w:rsidRPr="00C32347">
        <w:rPr>
          <w:rFonts w:ascii="Times New Roman" w:hAnsi="Times New Roman"/>
          <w:sz w:val="24"/>
          <w:szCs w:val="24"/>
        </w:rPr>
        <w:t>denied ever hearing about any issues stemming from plaintiff's military service or any medical diagnoses or treatment.</w:t>
      </w:r>
      <w:r>
        <w:rPr>
          <w:rFonts w:ascii="Times New Roman" w:hAnsi="Times New Roman"/>
          <w:sz w:val="24"/>
          <w:szCs w:val="24"/>
        </w:rPr>
        <w:t xml:space="preserve"> </w:t>
      </w:r>
      <w:r w:rsidRPr="00C32347">
        <w:rPr>
          <w:rFonts w:ascii="Times New Roman" w:hAnsi="Times New Roman"/>
          <w:sz w:val="24"/>
          <w:szCs w:val="24"/>
        </w:rPr>
        <w:t>There is no evidence to support the conclusion that the persons responsible for deciding whether to appoint plaintiff as a career firefighter–Dolan and the Township Committee–had either engaged in making or had heard the negative comments</w:t>
      </w:r>
      <w:r>
        <w:rPr>
          <w:rFonts w:ascii="Times New Roman" w:hAnsi="Times New Roman"/>
          <w:sz w:val="24"/>
          <w:szCs w:val="24"/>
        </w:rPr>
        <w:t xml:space="preserve">.”  </w:t>
      </w:r>
      <w:hyperlink r:id="rId2574" w:history="1">
        <w:r w:rsidRPr="00F9258E">
          <w:rPr>
            <w:rStyle w:val="Hyperlink"/>
            <w:rFonts w:ascii="Times New Roman" w:hAnsi="Times New Roman"/>
            <w:sz w:val="24"/>
            <w:szCs w:val="24"/>
          </w:rPr>
          <w:t>https://images.law.com/contrib/content/uploads/documents/399/44956/psych.pdf</w:t>
        </w:r>
      </w:hyperlink>
      <w:r>
        <w:rPr>
          <w:rFonts w:ascii="Times New Roman" w:hAnsi="Times New Roman"/>
          <w:sz w:val="24"/>
          <w:szCs w:val="24"/>
        </w:rPr>
        <w:t xml:space="preserve"> </w:t>
      </w:r>
    </w:p>
    <w:p w14:paraId="57CFA538" w14:textId="0BC8A4DB" w:rsidR="001A653A" w:rsidRDefault="001A653A" w:rsidP="000C4DF5">
      <w:pPr>
        <w:pStyle w:val="NoSpacing"/>
        <w:rPr>
          <w:rFonts w:ascii="Arial Black" w:hAnsi="Arial Black"/>
          <w:sz w:val="24"/>
          <w:szCs w:val="24"/>
        </w:rPr>
      </w:pPr>
    </w:p>
    <w:p w14:paraId="7AA1980D" w14:textId="77777777" w:rsidR="001A653A" w:rsidRDefault="001A653A" w:rsidP="001A653A">
      <w:pPr>
        <w:pStyle w:val="NoSpacing"/>
        <w:rPr>
          <w:rFonts w:ascii="Times New Roman" w:hAnsi="Times New Roman"/>
          <w:b/>
          <w:bCs/>
          <w:sz w:val="24"/>
          <w:szCs w:val="24"/>
        </w:rPr>
      </w:pPr>
      <w:r w:rsidRPr="00EA7DA2">
        <w:rPr>
          <w:rFonts w:ascii="Times New Roman" w:hAnsi="Times New Roman"/>
          <w:b/>
          <w:bCs/>
          <w:sz w:val="24"/>
          <w:szCs w:val="24"/>
        </w:rPr>
        <w:t xml:space="preserve">Legal Lessons Learned: </w:t>
      </w:r>
      <w:r>
        <w:rPr>
          <w:rFonts w:ascii="Times New Roman" w:hAnsi="Times New Roman"/>
          <w:b/>
          <w:bCs/>
          <w:sz w:val="24"/>
          <w:szCs w:val="24"/>
        </w:rPr>
        <w:t>PTSD is a difficult burden.  Question: Would you allow the firefighter in this case to later take another psychological exam?</w:t>
      </w:r>
    </w:p>
    <w:p w14:paraId="24531546" w14:textId="77777777" w:rsidR="001A653A" w:rsidRDefault="001A653A" w:rsidP="001A653A">
      <w:pPr>
        <w:pStyle w:val="NoSpacing"/>
        <w:rPr>
          <w:rFonts w:ascii="Times New Roman" w:hAnsi="Times New Roman"/>
          <w:b/>
          <w:bCs/>
          <w:sz w:val="24"/>
          <w:szCs w:val="24"/>
        </w:rPr>
      </w:pPr>
    </w:p>
    <w:p w14:paraId="2263DD4C" w14:textId="77777777" w:rsidR="001A653A" w:rsidRPr="00EA7DA2" w:rsidRDefault="001A653A" w:rsidP="001A653A">
      <w:pPr>
        <w:pStyle w:val="NoSpacing"/>
        <w:ind w:left="720"/>
        <w:rPr>
          <w:rFonts w:ascii="Times New Roman" w:hAnsi="Times New Roman"/>
          <w:sz w:val="24"/>
          <w:szCs w:val="24"/>
        </w:rPr>
      </w:pPr>
      <w:r w:rsidRPr="00EA7DA2">
        <w:rPr>
          <w:rFonts w:ascii="Times New Roman" w:hAnsi="Times New Roman"/>
          <w:sz w:val="24"/>
          <w:szCs w:val="24"/>
        </w:rPr>
        <w:t xml:space="preserve">Note: </w:t>
      </w:r>
      <w:r>
        <w:rPr>
          <w:rFonts w:ascii="Times New Roman" w:hAnsi="Times New Roman"/>
          <w:sz w:val="24"/>
          <w:szCs w:val="24"/>
        </w:rPr>
        <w:t xml:space="preserve">See this article: </w:t>
      </w:r>
      <w:r w:rsidRPr="00EA7DA2">
        <w:rPr>
          <w:rFonts w:ascii="Times New Roman" w:hAnsi="Times New Roman"/>
          <w:sz w:val="24"/>
          <w:szCs w:val="24"/>
          <w:u w:val="single"/>
        </w:rPr>
        <w:t>Tips on how to pass your Firefighter Psychological Test</w:t>
      </w:r>
      <w:r w:rsidRPr="00EA7DA2">
        <w:rPr>
          <w:rFonts w:ascii="Times New Roman" w:hAnsi="Times New Roman"/>
          <w:sz w:val="24"/>
          <w:szCs w:val="24"/>
        </w:rPr>
        <w:t xml:space="preserve"> (June 24, 2019):</w:t>
      </w:r>
      <w:r>
        <w:rPr>
          <w:rFonts w:ascii="Times New Roman" w:hAnsi="Times New Roman"/>
          <w:sz w:val="24"/>
          <w:szCs w:val="24"/>
        </w:rPr>
        <w:t xml:space="preserve"> </w:t>
      </w:r>
      <w:r w:rsidRPr="00EA7DA2">
        <w:rPr>
          <w:rFonts w:ascii="Times New Roman" w:hAnsi="Times New Roman"/>
          <w:sz w:val="24"/>
          <w:szCs w:val="24"/>
        </w:rPr>
        <w:t xml:space="preserve">First, consider answering the questions briefly and honestly with the best of your ability. Secondly, before you answer any questions from the interviewer, take time to think and come up with the correct answer. Thirdly, don’t rush with your answers, be calm consider the questions for some time, take a deep breath and offer your solutions. </w:t>
      </w:r>
      <w:hyperlink r:id="rId2575" w:history="1">
        <w:r w:rsidRPr="00EA7DA2">
          <w:rPr>
            <w:rStyle w:val="Hyperlink"/>
            <w:rFonts w:ascii="Times New Roman" w:hAnsi="Times New Roman"/>
            <w:sz w:val="24"/>
            <w:szCs w:val="24"/>
          </w:rPr>
          <w:t>http://www.firefighters-exam.com/2019/06/24/tips-on-how-to-pass-your-firefighter-psychological-test/</w:t>
        </w:r>
      </w:hyperlink>
      <w:r w:rsidRPr="00EA7DA2">
        <w:rPr>
          <w:rFonts w:ascii="Times New Roman" w:hAnsi="Times New Roman"/>
          <w:sz w:val="24"/>
          <w:szCs w:val="24"/>
        </w:rPr>
        <w:t xml:space="preserve"> </w:t>
      </w:r>
    </w:p>
    <w:bookmarkEnd w:id="580"/>
    <w:p w14:paraId="6C2D6F4B" w14:textId="77777777" w:rsidR="001A653A" w:rsidRDefault="001A653A" w:rsidP="001A653A">
      <w:pPr>
        <w:pStyle w:val="NoSpacing"/>
        <w:rPr>
          <w:rFonts w:ascii="Times New Roman" w:hAnsi="Times New Roman"/>
          <w:sz w:val="24"/>
          <w:szCs w:val="24"/>
        </w:rPr>
      </w:pPr>
    </w:p>
    <w:p w14:paraId="2B691D9B" w14:textId="77777777" w:rsidR="001A653A" w:rsidRDefault="001A653A" w:rsidP="000C4DF5">
      <w:pPr>
        <w:pStyle w:val="NoSpacing"/>
        <w:rPr>
          <w:rFonts w:ascii="Arial Black" w:hAnsi="Arial Black"/>
          <w:sz w:val="24"/>
          <w:szCs w:val="24"/>
        </w:rPr>
      </w:pPr>
    </w:p>
    <w:p w14:paraId="0FC9FF6E" w14:textId="77777777" w:rsidR="001C563D" w:rsidRDefault="001C563D" w:rsidP="000C4DF5">
      <w:pPr>
        <w:pStyle w:val="NoSpacing"/>
        <w:rPr>
          <w:rFonts w:ascii="Arial Black" w:hAnsi="Arial Black"/>
          <w:sz w:val="24"/>
          <w:szCs w:val="24"/>
        </w:rPr>
      </w:pPr>
    </w:p>
    <w:p w14:paraId="05856C7B" w14:textId="17F792DE" w:rsidR="00FA7B26" w:rsidRDefault="00FA7B26" w:rsidP="000C4DF5">
      <w:pPr>
        <w:pStyle w:val="NoSpacing"/>
        <w:rPr>
          <w:rFonts w:ascii="Arial Black" w:hAnsi="Arial Black"/>
          <w:sz w:val="24"/>
          <w:szCs w:val="24"/>
        </w:rPr>
      </w:pPr>
      <w:r>
        <w:rPr>
          <w:rFonts w:ascii="Arial Black" w:hAnsi="Arial Black"/>
          <w:sz w:val="24"/>
          <w:szCs w:val="24"/>
        </w:rPr>
        <w:t>15-7</w:t>
      </w:r>
    </w:p>
    <w:p w14:paraId="5321AC53" w14:textId="77777777" w:rsidR="00FA7B26" w:rsidRDefault="00FA7B26" w:rsidP="00FA7B26">
      <w:pPr>
        <w:spacing w:before="100" w:beforeAutospacing="1" w:after="100" w:afterAutospacing="1" w:line="240" w:lineRule="auto"/>
        <w:jc w:val="both"/>
        <w:rPr>
          <w:rFonts w:ascii="Arial Black" w:eastAsia="Times New Roman" w:hAnsi="Arial Black"/>
          <w:b/>
          <w:bCs/>
          <w:sz w:val="28"/>
          <w:szCs w:val="28"/>
        </w:rPr>
      </w:pPr>
      <w:r w:rsidRPr="00EF0D90">
        <w:rPr>
          <w:rFonts w:ascii="Arial Black" w:eastAsia="Times New Roman" w:hAnsi="Arial Black"/>
          <w:b/>
          <w:bCs/>
          <w:sz w:val="28"/>
          <w:szCs w:val="28"/>
        </w:rPr>
        <w:t xml:space="preserve">NY: </w:t>
      </w:r>
      <w:r>
        <w:rPr>
          <w:rFonts w:ascii="Arial Black" w:eastAsia="Times New Roman" w:hAnsi="Arial Black"/>
          <w:b/>
          <w:bCs/>
          <w:sz w:val="28"/>
          <w:szCs w:val="28"/>
        </w:rPr>
        <w:t>FORMER FDNY EMT WITH PTSD – U.S. SOCIAL SECURITY DENIED BECAUSE SHE CAN PERFORM OTHER JOBS – COURT ORDERS SOCIAL SECURITY TO MAKE FUTHER REVIEW</w:t>
      </w:r>
    </w:p>
    <w:p w14:paraId="7D0C1229" w14:textId="195A357B" w:rsidR="00FA7B26" w:rsidRDefault="00FA7B26" w:rsidP="00FA7B26">
      <w:pPr>
        <w:pStyle w:val="NoSpacing"/>
        <w:rPr>
          <w:rStyle w:val="Hyperlink"/>
          <w:sz w:val="24"/>
          <w:szCs w:val="24"/>
        </w:rPr>
      </w:pPr>
      <w:r w:rsidRPr="002C5236">
        <w:rPr>
          <w:rFonts w:ascii="Times New Roman" w:eastAsia="Times New Roman" w:hAnsi="Times New Roman"/>
          <w:sz w:val="24"/>
          <w:szCs w:val="24"/>
        </w:rPr>
        <w:t xml:space="preserve">On May 18, 2020, in </w:t>
      </w:r>
      <w:r w:rsidRPr="002C5236">
        <w:rPr>
          <w:rFonts w:ascii="Times New Roman" w:eastAsia="Times New Roman" w:hAnsi="Times New Roman"/>
          <w:sz w:val="24"/>
          <w:szCs w:val="24"/>
          <w:u w:val="single"/>
        </w:rPr>
        <w:t xml:space="preserve">Eileen </w:t>
      </w:r>
      <w:proofErr w:type="spellStart"/>
      <w:r w:rsidRPr="002C5236">
        <w:rPr>
          <w:rFonts w:ascii="Times New Roman" w:eastAsia="Times New Roman" w:hAnsi="Times New Roman"/>
          <w:sz w:val="24"/>
          <w:szCs w:val="24"/>
          <w:u w:val="single"/>
        </w:rPr>
        <w:t>Dechberry</w:t>
      </w:r>
      <w:proofErr w:type="spellEnd"/>
      <w:r w:rsidRPr="002C5236">
        <w:rPr>
          <w:rFonts w:ascii="Times New Roman" w:eastAsia="Times New Roman" w:hAnsi="Times New Roman"/>
          <w:sz w:val="24"/>
          <w:szCs w:val="24"/>
          <w:u w:val="single"/>
        </w:rPr>
        <w:t xml:space="preserve"> v. Nancy A. Berryhill, Acting Commissioner of Social Security</w:t>
      </w:r>
      <w:r>
        <w:rPr>
          <w:rFonts w:ascii="Times New Roman" w:eastAsia="Times New Roman" w:hAnsi="Times New Roman"/>
          <w:sz w:val="24"/>
          <w:szCs w:val="24"/>
        </w:rPr>
        <w:t xml:space="preserve">, Chief U.S. District Court Judge Roslynn R. Mauskopf, Eastern District of New York (Brooklyn) granted the EMT’s motion to remand to Social Security for further review. </w:t>
      </w:r>
      <w:hyperlink r:id="rId2576" w:history="1">
        <w:r w:rsidRPr="00502F08">
          <w:rPr>
            <w:rStyle w:val="Hyperlink"/>
            <w:sz w:val="24"/>
            <w:szCs w:val="24"/>
          </w:rPr>
          <w:t>https://public.fastcase.com/Wl%2B2t%2BeVuI35%2FN70vAMFZhAr68AdbratCNmy2dcHSKg4lqOPhLPvbyL5oFysv%2FPr</w:t>
        </w:r>
      </w:hyperlink>
    </w:p>
    <w:p w14:paraId="375C20C4" w14:textId="77777777" w:rsidR="00FA7B26" w:rsidRPr="002C5236" w:rsidRDefault="00FA7B26" w:rsidP="00FA7B26">
      <w:pPr>
        <w:spacing w:before="100" w:beforeAutospacing="1" w:after="100" w:afterAutospacing="1" w:line="240" w:lineRule="auto"/>
        <w:rPr>
          <w:rFonts w:ascii="Times New Roman" w:eastAsia="Times New Roman" w:hAnsi="Times New Roman"/>
          <w:b/>
          <w:bCs/>
          <w:sz w:val="24"/>
          <w:szCs w:val="24"/>
        </w:rPr>
      </w:pPr>
      <w:r w:rsidRPr="00EA4371">
        <w:rPr>
          <w:rFonts w:ascii="Times New Roman" w:eastAsia="Times New Roman" w:hAnsi="Times New Roman"/>
          <w:b/>
          <w:bCs/>
          <w:sz w:val="24"/>
          <w:szCs w:val="24"/>
        </w:rPr>
        <w:t xml:space="preserve">Legal Lessons Learned: Mental health for emergency responders is thankfully now an item of great attention in </w:t>
      </w:r>
      <w:proofErr w:type="gramStart"/>
      <w:r w:rsidRPr="00EA4371">
        <w:rPr>
          <w:rFonts w:ascii="Times New Roman" w:eastAsia="Times New Roman" w:hAnsi="Times New Roman"/>
          <w:b/>
          <w:bCs/>
          <w:sz w:val="24"/>
          <w:szCs w:val="24"/>
        </w:rPr>
        <w:t>the Fire</w:t>
      </w:r>
      <w:proofErr w:type="gramEnd"/>
      <w:r w:rsidRPr="00EA4371">
        <w:rPr>
          <w:rFonts w:ascii="Times New Roman" w:eastAsia="Times New Roman" w:hAnsi="Times New Roman"/>
          <w:b/>
          <w:bCs/>
          <w:sz w:val="24"/>
          <w:szCs w:val="24"/>
        </w:rPr>
        <w:t xml:space="preserve">, EMS and Law Enforcement, including Peer Support Teams. </w:t>
      </w:r>
    </w:p>
    <w:p w14:paraId="74AD4C7C" w14:textId="77777777" w:rsidR="00FA7B26" w:rsidRDefault="00FA7B26" w:rsidP="00FA7B26">
      <w:pPr>
        <w:pStyle w:val="NoSpacing"/>
        <w:rPr>
          <w:rFonts w:ascii="Arial Black" w:hAnsi="Arial Black"/>
          <w:sz w:val="24"/>
          <w:szCs w:val="24"/>
        </w:rPr>
      </w:pPr>
    </w:p>
    <w:p w14:paraId="572BB697" w14:textId="77777777" w:rsidR="00FA7B26" w:rsidRDefault="00FA7B26" w:rsidP="000C4DF5">
      <w:pPr>
        <w:pStyle w:val="NoSpacing"/>
        <w:rPr>
          <w:rFonts w:ascii="Arial Black" w:hAnsi="Arial Black"/>
          <w:sz w:val="24"/>
          <w:szCs w:val="24"/>
        </w:rPr>
      </w:pPr>
    </w:p>
    <w:p w14:paraId="3E8B772B" w14:textId="77777777" w:rsidR="00FA7B26" w:rsidRDefault="00FA7B26" w:rsidP="000C4DF5">
      <w:pPr>
        <w:pStyle w:val="NoSpacing"/>
        <w:rPr>
          <w:rFonts w:ascii="Arial Black" w:hAnsi="Arial Black"/>
          <w:sz w:val="24"/>
          <w:szCs w:val="24"/>
        </w:rPr>
      </w:pPr>
    </w:p>
    <w:p w14:paraId="610B8C77" w14:textId="4308AAC1" w:rsidR="00366CDD" w:rsidRPr="00D8433A" w:rsidRDefault="00366CDD" w:rsidP="000C4DF5">
      <w:pPr>
        <w:pStyle w:val="NoSpacing"/>
        <w:rPr>
          <w:rFonts w:ascii="Times New Roman" w:hAnsi="Times New Roman"/>
          <w:sz w:val="24"/>
          <w:szCs w:val="24"/>
        </w:rPr>
      </w:pPr>
      <w:r>
        <w:rPr>
          <w:rFonts w:ascii="Arial Black" w:hAnsi="Arial Black"/>
          <w:sz w:val="24"/>
          <w:szCs w:val="24"/>
        </w:rPr>
        <w:t>15-</w:t>
      </w:r>
      <w:r w:rsidR="000F18B0">
        <w:rPr>
          <w:rFonts w:ascii="Arial Black" w:hAnsi="Arial Black"/>
          <w:sz w:val="24"/>
          <w:szCs w:val="24"/>
        </w:rPr>
        <w:t>6</w:t>
      </w:r>
      <w:r>
        <w:rPr>
          <w:rFonts w:ascii="Arial Black" w:hAnsi="Arial Black"/>
          <w:sz w:val="24"/>
          <w:szCs w:val="24"/>
        </w:rPr>
        <w:t xml:space="preserve"> </w:t>
      </w:r>
      <w:r w:rsidRPr="00D8433A">
        <w:rPr>
          <w:rFonts w:ascii="Times New Roman" w:hAnsi="Times New Roman"/>
          <w:sz w:val="24"/>
          <w:szCs w:val="24"/>
        </w:rPr>
        <w:t>[Also filed, Chap. 9 &amp; Chap. 10]</w:t>
      </w:r>
    </w:p>
    <w:p w14:paraId="60B2594B"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r w:rsidRPr="00A670C3">
        <w:rPr>
          <w:rFonts w:ascii="Arial Black" w:eastAsia="Times New Roman" w:hAnsi="Arial Black"/>
          <w:sz w:val="28"/>
          <w:szCs w:val="28"/>
        </w:rPr>
        <w:t xml:space="preserve">PA: </w:t>
      </w:r>
      <w:r>
        <w:rPr>
          <w:rFonts w:ascii="Arial Black" w:eastAsia="Times New Roman" w:hAnsi="Arial Black"/>
          <w:sz w:val="28"/>
          <w:szCs w:val="28"/>
        </w:rPr>
        <w:t>FF PANIC ATTACK ON DUTY – PTSD, MEDICATION – NO LONGER QUALIFIED AS FF – TERMINATION NOT VIOL. ADA</w:t>
      </w:r>
    </w:p>
    <w:p w14:paraId="35186AF6"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p w14:paraId="04CC3B9C"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hyperlink r:id="rId2577" w:history="1">
        <w:r w:rsidRPr="00377614">
          <w:rPr>
            <w:rStyle w:val="Hyperlink"/>
          </w:rPr>
          <w:t>https://public.fastcase.com/Wl%2B2t%2BeVuI35%2FN70vAMFZkkc03nKI8qkpSJ%2FzmzLggswfoR1RvbDETmM60pPGUhc</w:t>
        </w:r>
      </w:hyperlink>
      <w:r>
        <w:t xml:space="preserve"> </w:t>
      </w:r>
    </w:p>
    <w:p w14:paraId="2A1773CA" w14:textId="77777777" w:rsidR="00366CDD" w:rsidRPr="00DE2E06" w:rsidRDefault="00366CDD" w:rsidP="00366CDD">
      <w:pPr>
        <w:rPr>
          <w:rFonts w:ascii="Times New Roman" w:hAnsi="Times New Roman"/>
          <w:b/>
          <w:bCs/>
          <w:sz w:val="24"/>
          <w:szCs w:val="24"/>
        </w:rPr>
      </w:pPr>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FMLA also addressed (see below).</w:t>
      </w:r>
    </w:p>
    <w:p w14:paraId="60C1D4FD" w14:textId="77777777" w:rsidR="00366CDD" w:rsidRPr="00063DF6" w:rsidRDefault="00366CDD" w:rsidP="00366CDD">
      <w:pPr>
        <w:pStyle w:val="NormalWeb"/>
        <w:ind w:left="720"/>
        <w:rPr>
          <w:b/>
          <w:bCs/>
        </w:rPr>
      </w:pPr>
      <w:r w:rsidRPr="00063DF6">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 xml:space="preserve">…. </w:t>
      </w:r>
      <w:r w:rsidRPr="00A670C3">
        <w:rPr>
          <w:bCs/>
        </w:rPr>
        <w:t xml:space="preserve"> </w:t>
      </w:r>
      <w:r>
        <w:rPr>
          <w:bCs/>
        </w:rPr>
        <w:tab/>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10C495C5" w14:textId="77777777" w:rsidR="00366CDD" w:rsidRDefault="00366CDD" w:rsidP="000C4DF5">
      <w:pPr>
        <w:pStyle w:val="NoSpacing"/>
        <w:rPr>
          <w:rFonts w:ascii="Arial Black" w:hAnsi="Arial Black"/>
          <w:sz w:val="24"/>
          <w:szCs w:val="24"/>
        </w:rPr>
      </w:pPr>
    </w:p>
    <w:p w14:paraId="27E214B3" w14:textId="0DAB946C" w:rsidR="00366CDD" w:rsidRDefault="0012517E" w:rsidP="000C4DF5">
      <w:pPr>
        <w:pStyle w:val="NoSpacing"/>
        <w:rPr>
          <w:rFonts w:ascii="Arial Black" w:hAnsi="Arial Black"/>
          <w:sz w:val="24"/>
          <w:szCs w:val="24"/>
        </w:rPr>
      </w:pPr>
      <w:r>
        <w:rPr>
          <w:rFonts w:ascii="Arial Black" w:hAnsi="Arial Black"/>
          <w:sz w:val="24"/>
          <w:szCs w:val="24"/>
        </w:rPr>
        <w:t>15-5</w:t>
      </w:r>
    </w:p>
    <w:p w14:paraId="3EA60D97" w14:textId="7ACBA758" w:rsidR="0012517E" w:rsidRDefault="0012517E" w:rsidP="000C4DF5">
      <w:pPr>
        <w:pStyle w:val="NoSpacing"/>
        <w:rPr>
          <w:rFonts w:ascii="Arial Black" w:hAnsi="Arial Black"/>
          <w:sz w:val="24"/>
          <w:szCs w:val="24"/>
        </w:rPr>
      </w:pPr>
    </w:p>
    <w:p w14:paraId="31EE0F7E" w14:textId="77777777" w:rsidR="0012517E" w:rsidRPr="00C6323F" w:rsidRDefault="0012517E" w:rsidP="0012517E">
      <w:pPr>
        <w:pStyle w:val="NoSpacing"/>
        <w:rPr>
          <w:rFonts w:ascii="Arial Black" w:hAnsi="Arial Black"/>
          <w:sz w:val="28"/>
          <w:szCs w:val="28"/>
        </w:rPr>
      </w:pPr>
      <w:r w:rsidRPr="00C6323F">
        <w:rPr>
          <w:rFonts w:ascii="Arial Black" w:hAnsi="Arial Black"/>
          <w:sz w:val="28"/>
          <w:szCs w:val="28"/>
        </w:rPr>
        <w:t>MA:</w:t>
      </w:r>
      <w:r>
        <w:rPr>
          <w:rFonts w:ascii="Arial Black" w:hAnsi="Arial Black"/>
          <w:sz w:val="28"/>
          <w:szCs w:val="28"/>
        </w:rPr>
        <w:t xml:space="preserve"> ANGER MGT, THREATS TO “GO POSTAL” – PAID LEAVE 1-YR - DIDN’T COMPLY RETURN-TO-WORK REQUIREMENTS - FIRED</w:t>
      </w:r>
    </w:p>
    <w:p w14:paraId="14D5319D" w14:textId="77777777" w:rsidR="0012517E" w:rsidRDefault="0012517E" w:rsidP="0012517E">
      <w:pPr>
        <w:pStyle w:val="NoSpacing"/>
        <w:rPr>
          <w:b/>
          <w:bCs/>
          <w:sz w:val="24"/>
          <w:szCs w:val="24"/>
        </w:rPr>
      </w:pPr>
    </w:p>
    <w:p w14:paraId="51DD0988" w14:textId="77777777"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2, 2020, in </w:t>
      </w:r>
      <w:r w:rsidRPr="00D61723">
        <w:rPr>
          <w:rFonts w:ascii="Times New Roman" w:hAnsi="Times New Roman"/>
          <w:bCs/>
          <w:sz w:val="24"/>
          <w:szCs w:val="24"/>
          <w:u w:val="single"/>
        </w:rPr>
        <w:t>Gerald Alston v. Town of Brookline, Massachusetts</w:t>
      </w:r>
      <w:r w:rsidRPr="00D61723">
        <w:rPr>
          <w:rFonts w:ascii="Times New Roman" w:hAnsi="Times New Roman"/>
          <w:bCs/>
          <w:sz w:val="24"/>
          <w:szCs w:val="24"/>
        </w:rPr>
        <w:t xml:space="preserve">, Senior U.S. District Court Judge George A. O’Toole, Jr., District of Massachusetts, granted summary judgment for the Town, finding that he failed to meet the Fire Chiefs return to work requirements, including completing an anger management course, and passing a fitness for duty evaluation, and drug test.  </w:t>
      </w:r>
    </w:p>
    <w:p w14:paraId="27C39AC6" w14:textId="77777777" w:rsidR="0012517E" w:rsidRPr="00D61723" w:rsidRDefault="0012517E" w:rsidP="0012517E">
      <w:pPr>
        <w:pStyle w:val="NoSpacing"/>
        <w:rPr>
          <w:rFonts w:ascii="Times New Roman" w:hAnsi="Times New Roman"/>
          <w:sz w:val="24"/>
          <w:szCs w:val="24"/>
        </w:rPr>
      </w:pPr>
    </w:p>
    <w:p w14:paraId="362B84D2" w14:textId="2E4D1637" w:rsidR="0012517E" w:rsidRDefault="0012517E" w:rsidP="000C4DF5">
      <w:pPr>
        <w:pStyle w:val="NoSpacing"/>
        <w:rPr>
          <w:rFonts w:ascii="Arial Black" w:hAnsi="Arial Black"/>
          <w:sz w:val="24"/>
          <w:szCs w:val="24"/>
        </w:rPr>
      </w:pPr>
      <w:r w:rsidRPr="00D61723">
        <w:rPr>
          <w:rFonts w:ascii="Times New Roman" w:hAnsi="Times New Roman"/>
          <w:bCs/>
          <w:sz w:val="24"/>
          <w:szCs w:val="24"/>
        </w:rPr>
        <w:t xml:space="preserve">“Alston was evaluated both by a psychiatrist chosen by the Town and, after his request for evaluation by a different doctor, an evaluation by a psychiatrist from the Massachusetts General Hospital was arranged. Both psychiatrists recommended essentially the same return-to-work conditions for Alston, and it is undisputed that Alston never complied with those conditions. Nor did he provide any conflicting opinion from another psychiatrist.” </w:t>
      </w:r>
      <w:hyperlink r:id="rId2578" w:history="1">
        <w:r w:rsidRPr="00D61723">
          <w:rPr>
            <w:rStyle w:val="Hyperlink"/>
            <w:rFonts w:ascii="Times New Roman" w:hAnsi="Times New Roman"/>
            <w:b/>
            <w:sz w:val="24"/>
            <w:szCs w:val="24"/>
          </w:rPr>
          <w:t>https://jgpr.net/wp-content/uploads/2020/04/433-MSJ-Order.pdf</w:t>
        </w:r>
      </w:hyperlink>
    </w:p>
    <w:p w14:paraId="7E877980" w14:textId="77777777" w:rsidR="0012517E" w:rsidRPr="00D61723" w:rsidRDefault="0012517E" w:rsidP="0012517E">
      <w:pPr>
        <w:spacing w:before="100" w:beforeAutospacing="1" w:after="100" w:afterAutospacing="1" w:line="240" w:lineRule="auto"/>
        <w:rPr>
          <w:rFonts w:ascii="Times New Roman" w:hAnsi="Times New Roman"/>
          <w:b/>
          <w:bCs/>
          <w:sz w:val="24"/>
          <w:szCs w:val="24"/>
        </w:rPr>
      </w:pPr>
      <w:r w:rsidRPr="00D61723">
        <w:rPr>
          <w:rFonts w:ascii="Times New Roman" w:hAnsi="Times New Roman"/>
          <w:b/>
          <w:bCs/>
          <w:sz w:val="24"/>
          <w:szCs w:val="24"/>
        </w:rPr>
        <w:t xml:space="preserve">Legal Lessons Learned: The Town wisely proposed a return-to-work plan and provided adequate time for completion of the plan. </w:t>
      </w:r>
    </w:p>
    <w:p w14:paraId="06C27836" w14:textId="77777777" w:rsidR="0012517E" w:rsidRDefault="0012517E" w:rsidP="000C4DF5">
      <w:pPr>
        <w:pStyle w:val="NoSpacing"/>
        <w:rPr>
          <w:rFonts w:ascii="Arial Black" w:hAnsi="Arial Black"/>
          <w:sz w:val="24"/>
          <w:szCs w:val="24"/>
        </w:rPr>
      </w:pPr>
    </w:p>
    <w:p w14:paraId="73BA4259" w14:textId="77777777" w:rsidR="0012517E" w:rsidRDefault="0012517E" w:rsidP="000C4DF5">
      <w:pPr>
        <w:pStyle w:val="NoSpacing"/>
        <w:rPr>
          <w:rFonts w:ascii="Arial Black" w:hAnsi="Arial Black"/>
          <w:sz w:val="24"/>
          <w:szCs w:val="24"/>
        </w:rPr>
      </w:pPr>
    </w:p>
    <w:p w14:paraId="7BA4DB8C" w14:textId="77777777" w:rsidR="0012517E" w:rsidRDefault="0012517E" w:rsidP="000C4DF5">
      <w:pPr>
        <w:pStyle w:val="NoSpacing"/>
        <w:rPr>
          <w:rFonts w:ascii="Arial Black" w:hAnsi="Arial Black"/>
          <w:sz w:val="24"/>
          <w:szCs w:val="24"/>
        </w:rPr>
      </w:pPr>
    </w:p>
    <w:p w14:paraId="23429A29" w14:textId="4B9058A0" w:rsidR="006508FC" w:rsidRDefault="006508FC" w:rsidP="000C4DF5">
      <w:pPr>
        <w:pStyle w:val="NoSpacing"/>
        <w:rPr>
          <w:rFonts w:ascii="Arial Black" w:hAnsi="Arial Black"/>
          <w:sz w:val="24"/>
          <w:szCs w:val="24"/>
        </w:rPr>
      </w:pPr>
      <w:r>
        <w:rPr>
          <w:rFonts w:ascii="Arial Black" w:hAnsi="Arial Black"/>
          <w:sz w:val="24"/>
          <w:szCs w:val="24"/>
        </w:rPr>
        <w:t>15-4</w:t>
      </w:r>
    </w:p>
    <w:p w14:paraId="124103C3" w14:textId="633A0915" w:rsidR="006508FC" w:rsidRDefault="006508FC" w:rsidP="000C4DF5">
      <w:pPr>
        <w:pStyle w:val="NoSpacing"/>
        <w:rPr>
          <w:rFonts w:ascii="Arial Black" w:hAnsi="Arial Black"/>
          <w:sz w:val="24"/>
          <w:szCs w:val="24"/>
        </w:rPr>
      </w:pPr>
    </w:p>
    <w:p w14:paraId="3342711F" w14:textId="77777777" w:rsidR="006508FC" w:rsidRPr="006508FC" w:rsidRDefault="006508FC" w:rsidP="000C4DF5">
      <w:pPr>
        <w:pStyle w:val="NoSpacing"/>
        <w:rPr>
          <w:rFonts w:ascii="Arial Black" w:hAnsi="Arial Black" w:cs="Arial"/>
          <w:sz w:val="28"/>
          <w:szCs w:val="28"/>
        </w:rPr>
      </w:pPr>
      <w:bookmarkStart w:id="581" w:name="_Hlk39772708"/>
      <w:r w:rsidRPr="006508FC">
        <w:rPr>
          <w:rFonts w:ascii="Arial Black" w:hAnsi="Arial Black" w:cs="Arial"/>
          <w:sz w:val="28"/>
          <w:szCs w:val="28"/>
        </w:rPr>
        <w:t>NY: PTSD - CAR FIRE / MASK DISLODGED BY SNOW - PSYCHIATRIST’S NOTES FF INTERVIEW - ACCIDENTAL DISAB. RETIREMENT DENIED</w:t>
      </w:r>
    </w:p>
    <w:p w14:paraId="7E98E737" w14:textId="77777777" w:rsidR="00BC17B3" w:rsidRDefault="006508FC" w:rsidP="000C4DF5">
      <w:pPr>
        <w:pStyle w:val="NoSpacing"/>
        <w:rPr>
          <w:rFonts w:ascii="Times New Roman" w:hAnsi="Times New Roman"/>
          <w:sz w:val="24"/>
          <w:szCs w:val="24"/>
        </w:rPr>
      </w:pPr>
      <w:r w:rsidRPr="0036327D">
        <w:rPr>
          <w:rFonts w:ascii="Times New Roman" w:hAnsi="Times New Roman"/>
          <w:sz w:val="24"/>
          <w:szCs w:val="24"/>
        </w:rPr>
        <w:t xml:space="preserve">On April 25, 2019, In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Matter of Alexander Hanon v. Thomas P. </w:t>
      </w:r>
      <w:proofErr w:type="spellStart"/>
      <w:r w:rsidRPr="0036327D">
        <w:rPr>
          <w:rFonts w:ascii="Times New Roman" w:hAnsi="Times New Roman"/>
          <w:sz w:val="24"/>
          <w:szCs w:val="24"/>
        </w:rPr>
        <w:t>PiNapoli</w:t>
      </w:r>
      <w:proofErr w:type="spellEnd"/>
      <w:r w:rsidRPr="0036327D">
        <w:rPr>
          <w:rFonts w:ascii="Times New Roman" w:hAnsi="Times New Roman"/>
          <w:sz w:val="24"/>
          <w:szCs w:val="24"/>
        </w:rPr>
        <w:t xml:space="preserve">, State Comptroller, the New York Appellate Division, Third Department, (5 to 0), upheld the denial of his claim. </w:t>
      </w:r>
    </w:p>
    <w:p w14:paraId="3AE55E68" w14:textId="77777777" w:rsidR="00BC17B3" w:rsidRDefault="00BC17B3" w:rsidP="000C4DF5">
      <w:pPr>
        <w:pStyle w:val="NoSpacing"/>
        <w:rPr>
          <w:rFonts w:ascii="Times New Roman" w:hAnsi="Times New Roman"/>
          <w:sz w:val="24"/>
          <w:szCs w:val="24"/>
        </w:rPr>
      </w:pPr>
    </w:p>
    <w:p w14:paraId="447B6224" w14:textId="4AEB2B35" w:rsidR="006508FC" w:rsidRPr="0036327D" w:rsidRDefault="006508FC" w:rsidP="00BC17B3">
      <w:pPr>
        <w:pStyle w:val="NoSpacing"/>
        <w:ind w:left="720"/>
        <w:rPr>
          <w:rFonts w:ascii="Times New Roman" w:hAnsi="Times New Roman"/>
          <w:sz w:val="24"/>
          <w:szCs w:val="24"/>
        </w:rPr>
      </w:pPr>
      <w:r w:rsidRPr="0036327D">
        <w:rPr>
          <w:rFonts w:ascii="Times New Roman" w:hAnsi="Times New Roman"/>
          <w:sz w:val="24"/>
          <w:szCs w:val="24"/>
        </w:rPr>
        <w:t>“Leslie Citrome, the psychiatrist who conducted an independent medical examination of petitioner on behalf of the Retirement System, opined that petitioner's PTSD and depressive disorder were causally related to [his off duty] June 2010 motor vehicle accident. He stated that the February 2010 accident [car fire run, snow from garage roof] was incidental to his psychiatric assessment as petitioner only mentioned this incident briefly, indicating that he suffered cardiac problems from inhaling smoke, and focused primarily on the June 2010 motor vehicle accident in discussing his history of psychiatric problems and symptoms.</w:t>
      </w:r>
      <w:r w:rsidR="00F4486C" w:rsidRPr="0036327D">
        <w:rPr>
          <w:rFonts w:ascii="Times New Roman" w:hAnsi="Times New Roman"/>
          <w:sz w:val="24"/>
          <w:szCs w:val="24"/>
        </w:rPr>
        <w:t xml:space="preserve"> </w:t>
      </w:r>
      <w:hyperlink r:id="rId2579" w:history="1">
        <w:r w:rsidR="00F4486C" w:rsidRPr="0036327D">
          <w:rPr>
            <w:rStyle w:val="Hyperlink"/>
            <w:rFonts w:ascii="Times New Roman" w:hAnsi="Times New Roman"/>
            <w:sz w:val="24"/>
            <w:szCs w:val="24"/>
          </w:rPr>
          <w:t>https://law.justia.com/cases/new-york/appellate-division-third-department/2019/527240.html</w:t>
        </w:r>
      </w:hyperlink>
      <w:r w:rsidR="00F4486C" w:rsidRPr="0036327D">
        <w:rPr>
          <w:rFonts w:ascii="Times New Roman" w:hAnsi="Times New Roman"/>
          <w:sz w:val="24"/>
          <w:szCs w:val="24"/>
        </w:rPr>
        <w:t xml:space="preserve"> </w:t>
      </w:r>
    </w:p>
    <w:bookmarkEnd w:id="581"/>
    <w:p w14:paraId="5A659DE9" w14:textId="0767D8A7" w:rsidR="00F4486C" w:rsidRPr="0036327D" w:rsidRDefault="00F4486C" w:rsidP="000C4DF5">
      <w:pPr>
        <w:pStyle w:val="NoSpacing"/>
        <w:rPr>
          <w:rFonts w:ascii="Times New Roman" w:hAnsi="Times New Roman"/>
          <w:sz w:val="24"/>
          <w:szCs w:val="24"/>
        </w:rPr>
      </w:pPr>
    </w:p>
    <w:p w14:paraId="35EF2C73" w14:textId="76F511DB" w:rsidR="00F4486C" w:rsidRPr="0036327D" w:rsidRDefault="00F4486C" w:rsidP="000C4DF5">
      <w:pPr>
        <w:pStyle w:val="NoSpacing"/>
        <w:rPr>
          <w:rFonts w:ascii="Times New Roman" w:hAnsi="Times New Roman"/>
          <w:b/>
          <w:bCs/>
          <w:sz w:val="24"/>
          <w:szCs w:val="24"/>
        </w:rPr>
      </w:pPr>
      <w:bookmarkStart w:id="582" w:name="_Hlk40516405"/>
      <w:r w:rsidRPr="0036327D">
        <w:rPr>
          <w:rFonts w:ascii="Times New Roman" w:hAnsi="Times New Roman"/>
          <w:b/>
          <w:bCs/>
          <w:sz w:val="24"/>
          <w:szCs w:val="24"/>
        </w:rPr>
        <w:t>Legal Lessons Learned: Courts rely on the expert testimony of independent medical examiners. Psychiatrist’s notes from interview with firefighter become part of the “psychiatric history” of patient.</w:t>
      </w:r>
    </w:p>
    <w:p w14:paraId="32BAED14" w14:textId="4825EF1B" w:rsidR="00F4486C" w:rsidRPr="0036327D" w:rsidRDefault="00F4486C" w:rsidP="000C4DF5">
      <w:pPr>
        <w:pStyle w:val="NoSpacing"/>
        <w:rPr>
          <w:rFonts w:ascii="Times New Roman" w:hAnsi="Times New Roman"/>
          <w:b/>
          <w:bCs/>
          <w:sz w:val="24"/>
          <w:szCs w:val="24"/>
        </w:rPr>
      </w:pPr>
    </w:p>
    <w:bookmarkEnd w:id="582"/>
    <w:p w14:paraId="6D7D57FC" w14:textId="77777777" w:rsidR="0012517E" w:rsidRDefault="0012517E" w:rsidP="000C4DF5">
      <w:pPr>
        <w:pStyle w:val="NoSpacing"/>
        <w:rPr>
          <w:rFonts w:ascii="Arial Black" w:hAnsi="Arial Black"/>
          <w:sz w:val="24"/>
          <w:szCs w:val="24"/>
        </w:rPr>
      </w:pPr>
    </w:p>
    <w:p w14:paraId="0B7DC144" w14:textId="6C8CB80A" w:rsidR="000C4DF5" w:rsidRDefault="000C4DF5" w:rsidP="000C4DF5">
      <w:pPr>
        <w:pStyle w:val="NoSpacing"/>
        <w:rPr>
          <w:rFonts w:ascii="Arial Black" w:hAnsi="Arial Black"/>
          <w:sz w:val="24"/>
          <w:szCs w:val="24"/>
        </w:rPr>
      </w:pPr>
      <w:r>
        <w:rPr>
          <w:rFonts w:ascii="Arial Black" w:hAnsi="Arial Black"/>
          <w:sz w:val="24"/>
          <w:szCs w:val="24"/>
        </w:rPr>
        <w:t>15-3</w:t>
      </w:r>
    </w:p>
    <w:p w14:paraId="589F27BD" w14:textId="77777777" w:rsidR="00F326E5" w:rsidRDefault="00F326E5" w:rsidP="00F326E5">
      <w:pPr>
        <w:pStyle w:val="NoSpacing"/>
        <w:rPr>
          <w:rFonts w:ascii="FeTimes New Roman" w:hAnsi="FeTimes New Roman"/>
          <w:sz w:val="24"/>
          <w:szCs w:val="24"/>
        </w:rPr>
      </w:pPr>
    </w:p>
    <w:p w14:paraId="6CC47458" w14:textId="08A9F7D7" w:rsidR="00F326E5" w:rsidRDefault="00F326E5" w:rsidP="00F326E5">
      <w:pPr>
        <w:pStyle w:val="NoSpacing"/>
        <w:rPr>
          <w:rFonts w:ascii="Arial Black" w:hAnsi="Arial Black"/>
          <w:sz w:val="28"/>
          <w:szCs w:val="28"/>
        </w:rPr>
      </w:pPr>
      <w:bookmarkStart w:id="583" w:name="_Hlk39772756"/>
      <w:bookmarkStart w:id="584" w:name="_Hlk41155654"/>
      <w:bookmarkStart w:id="585" w:name="_Hlk7348353"/>
      <w:r w:rsidRPr="0091233E">
        <w:rPr>
          <w:rFonts w:ascii="Arial Black" w:hAnsi="Arial Black"/>
          <w:sz w:val="28"/>
          <w:szCs w:val="28"/>
        </w:rPr>
        <w:t xml:space="preserve">IL: </w:t>
      </w:r>
      <w:r>
        <w:rPr>
          <w:rFonts w:ascii="Arial Black" w:hAnsi="Arial Black"/>
          <w:sz w:val="28"/>
          <w:szCs w:val="28"/>
        </w:rPr>
        <w:t>PTSD –</w:t>
      </w:r>
      <w:r w:rsidR="000F18B0">
        <w:rPr>
          <w:rFonts w:ascii="Arial Black" w:hAnsi="Arial Black"/>
          <w:sz w:val="28"/>
          <w:szCs w:val="28"/>
        </w:rPr>
        <w:t xml:space="preserve"> </w:t>
      </w:r>
      <w:r>
        <w:rPr>
          <w:rFonts w:ascii="Arial Black" w:hAnsi="Arial Black"/>
          <w:sz w:val="28"/>
          <w:szCs w:val="28"/>
        </w:rPr>
        <w:t>COURT ORDERS DISABILITY PENSION - CHICAGO PARAMEDIC’S TRAUMATIC WORK EXPERIENCES</w:t>
      </w:r>
    </w:p>
    <w:p w14:paraId="3FDC7CBB" w14:textId="77777777" w:rsidR="000F18B0" w:rsidRDefault="000F18B0" w:rsidP="00F326E5">
      <w:pPr>
        <w:rPr>
          <w:rFonts w:ascii="Times New Roman" w:hAnsi="Times New Roman"/>
          <w:sz w:val="24"/>
          <w:szCs w:val="24"/>
        </w:rPr>
      </w:pPr>
    </w:p>
    <w:p w14:paraId="1F71FDEB" w14:textId="26F5D441" w:rsidR="00BC17B3" w:rsidRDefault="00F326E5" w:rsidP="00F326E5">
      <w:pPr>
        <w:rPr>
          <w:rFonts w:ascii="Times New Roman" w:hAnsi="Times New Roman"/>
          <w:sz w:val="24"/>
          <w:szCs w:val="24"/>
        </w:rPr>
      </w:pPr>
      <w:r w:rsidRPr="00BC17B3">
        <w:rPr>
          <w:rFonts w:ascii="Times New Roman" w:hAnsi="Times New Roman"/>
          <w:sz w:val="24"/>
          <w:szCs w:val="24"/>
        </w:rPr>
        <w:t xml:space="preserve">On Feb. 1, 2019, in </w:t>
      </w:r>
      <w:r w:rsidRPr="00BC17B3">
        <w:rPr>
          <w:rFonts w:ascii="Times New Roman" w:hAnsi="Times New Roman"/>
          <w:sz w:val="24"/>
          <w:szCs w:val="24"/>
          <w:u w:val="single"/>
        </w:rPr>
        <w:t>Leah Siwinski v. The Retirement Board of the Fireman’s Annuity and Benefit Fund of the City of Chicago</w:t>
      </w:r>
      <w:r w:rsidRPr="00BC17B3">
        <w:rPr>
          <w:rFonts w:ascii="Times New Roman" w:hAnsi="Times New Roman"/>
          <w:sz w:val="24"/>
          <w:szCs w:val="24"/>
        </w:rPr>
        <w:t xml:space="preserve">, the Appellate Court of Illinois (First District) held (3 to 0), </w:t>
      </w:r>
    </w:p>
    <w:p w14:paraId="47B04962" w14:textId="09AF26D9" w:rsidR="00F326E5" w:rsidRPr="00BC17B3" w:rsidRDefault="00F326E5" w:rsidP="00BC17B3">
      <w:pPr>
        <w:ind w:left="720"/>
        <w:rPr>
          <w:rFonts w:ascii="Times New Roman" w:eastAsia="Times New Roman" w:hAnsi="Times New Roman"/>
          <w:bCs/>
          <w:sz w:val="24"/>
          <w:szCs w:val="24"/>
        </w:rPr>
      </w:pPr>
      <w:r w:rsidRPr="00BC17B3">
        <w:rPr>
          <w:rFonts w:ascii="Times New Roman" w:hAnsi="Times New Roman"/>
          <w:sz w:val="24"/>
          <w:szCs w:val="24"/>
        </w:rPr>
        <w:t xml:space="preserve">“In summary, because the manifest weight of the evidence showed that the plaintiff sustained PTSD arising from an act or acts of duty while working for CFD, and as a result, was disabled from performing any of her assigned duties, we reverse the decision of the Board that denied her a duty disability pension, and reverse the decision of the circuit court, which confirmed the Board’s decision." </w:t>
      </w:r>
      <w:hyperlink r:id="rId2580" w:history="1">
        <w:r w:rsidRPr="00BC17B3">
          <w:rPr>
            <w:rStyle w:val="Hyperlink"/>
            <w:rFonts w:ascii="Times New Roman" w:hAnsi="Times New Roman"/>
            <w:sz w:val="24"/>
            <w:szCs w:val="24"/>
          </w:rPr>
          <w:t>https://law.justia.com/cases/illinois/court-of-appeals-first-appellate-district/2019/1-18-0388.html</w:t>
        </w:r>
      </w:hyperlink>
      <w:r w:rsidRPr="00BC17B3">
        <w:rPr>
          <w:rFonts w:ascii="Times New Roman" w:eastAsia="Times New Roman" w:hAnsi="Times New Roman"/>
          <w:bCs/>
          <w:sz w:val="24"/>
          <w:szCs w:val="24"/>
        </w:rPr>
        <w:t xml:space="preserve"> </w:t>
      </w:r>
    </w:p>
    <w:p w14:paraId="50FC005A" w14:textId="77777777" w:rsidR="00F326E5" w:rsidRPr="00BC17B3" w:rsidRDefault="00F326E5" w:rsidP="00F326E5">
      <w:pPr>
        <w:rPr>
          <w:rFonts w:ascii="Times New Roman" w:hAnsi="Times New Roman"/>
          <w:b/>
          <w:sz w:val="24"/>
          <w:szCs w:val="24"/>
        </w:rPr>
      </w:pPr>
      <w:bookmarkStart w:id="586" w:name="_Hlk40516463"/>
      <w:bookmarkEnd w:id="583"/>
      <w:r w:rsidRPr="00BC17B3">
        <w:rPr>
          <w:rFonts w:ascii="Times New Roman" w:hAnsi="Times New Roman"/>
          <w:b/>
          <w:sz w:val="24"/>
          <w:szCs w:val="24"/>
        </w:rPr>
        <w:t xml:space="preserve">Legal Lesson Learned:  PTSD is a recognized disability issue in </w:t>
      </w:r>
      <w:proofErr w:type="gramStart"/>
      <w:r w:rsidRPr="00BC17B3">
        <w:rPr>
          <w:rFonts w:ascii="Times New Roman" w:hAnsi="Times New Roman"/>
          <w:b/>
          <w:sz w:val="24"/>
          <w:szCs w:val="24"/>
        </w:rPr>
        <w:t>the emergency</w:t>
      </w:r>
      <w:proofErr w:type="gramEnd"/>
      <w:r w:rsidRPr="00BC17B3">
        <w:rPr>
          <w:rFonts w:ascii="Times New Roman" w:hAnsi="Times New Roman"/>
          <w:b/>
          <w:sz w:val="24"/>
          <w:szCs w:val="24"/>
        </w:rPr>
        <w:t xml:space="preserve"> services. </w:t>
      </w:r>
    </w:p>
    <w:p w14:paraId="6EA66F09" w14:textId="33AC367F" w:rsidR="00F326E5" w:rsidRPr="00BC17B3" w:rsidRDefault="000164B1" w:rsidP="00F326E5">
      <w:pPr>
        <w:pStyle w:val="NoSpacing"/>
        <w:ind w:left="720"/>
        <w:rPr>
          <w:rFonts w:ascii="Times New Roman" w:hAnsi="Times New Roman"/>
          <w:sz w:val="24"/>
          <w:szCs w:val="24"/>
        </w:rPr>
      </w:pPr>
      <w:r>
        <w:rPr>
          <w:rFonts w:ascii="Times New Roman" w:eastAsia="Times New Roman" w:hAnsi="Times New Roman"/>
          <w:bCs/>
          <w:sz w:val="24"/>
          <w:szCs w:val="24"/>
        </w:rPr>
        <w:t xml:space="preserve">Note: </w:t>
      </w:r>
      <w:r w:rsidR="00F326E5" w:rsidRPr="00BC17B3">
        <w:rPr>
          <w:rFonts w:ascii="Times New Roman" w:eastAsia="Times New Roman" w:hAnsi="Times New Roman"/>
          <w:bCs/>
          <w:sz w:val="24"/>
          <w:szCs w:val="24"/>
        </w:rPr>
        <w:t xml:space="preserve">See April 13, </w:t>
      </w:r>
      <w:proofErr w:type="gramStart"/>
      <w:r w:rsidR="00F326E5" w:rsidRPr="00BC17B3">
        <w:rPr>
          <w:rFonts w:ascii="Times New Roman" w:eastAsia="Times New Roman" w:hAnsi="Times New Roman"/>
          <w:bCs/>
          <w:sz w:val="24"/>
          <w:szCs w:val="24"/>
        </w:rPr>
        <w:t>2018</w:t>
      </w:r>
      <w:proofErr w:type="gramEnd"/>
      <w:r w:rsidR="00F326E5" w:rsidRPr="00BC17B3">
        <w:rPr>
          <w:rFonts w:ascii="Times New Roman" w:eastAsia="Times New Roman" w:hAnsi="Times New Roman"/>
          <w:bCs/>
          <w:sz w:val="24"/>
          <w:szCs w:val="24"/>
        </w:rPr>
        <w:t xml:space="preserve"> article: </w:t>
      </w:r>
      <w:r w:rsidR="00F326E5" w:rsidRPr="00BC17B3">
        <w:rPr>
          <w:rFonts w:ascii="Times New Roman" w:hAnsi="Times New Roman"/>
          <w:sz w:val="24"/>
          <w:szCs w:val="24"/>
        </w:rPr>
        <w:t xml:space="preserve">Study: More firefighters died by suicide than in the line of duty in 2017 - A study found that 103 firefighters and 140 police officers died by suicide in 2017. </w:t>
      </w:r>
      <w:hyperlink r:id="rId2581" w:history="1">
        <w:r w:rsidR="00F326E5" w:rsidRPr="00BC17B3">
          <w:rPr>
            <w:rStyle w:val="Hyperlink"/>
            <w:rFonts w:ascii="Times New Roman" w:hAnsi="Times New Roman"/>
            <w:sz w:val="24"/>
            <w:szCs w:val="24"/>
          </w:rPr>
          <w:t>https://www.firerescue1.com/fallen-firefighters/articles/379994018-Study-More-firefighters-died-by-suicide-than-in-the-line-of-duty-in-2017/</w:t>
        </w:r>
      </w:hyperlink>
      <w:r w:rsidR="00F326E5" w:rsidRPr="00BC17B3">
        <w:rPr>
          <w:rFonts w:ascii="Times New Roman" w:hAnsi="Times New Roman"/>
          <w:sz w:val="24"/>
          <w:szCs w:val="24"/>
        </w:rPr>
        <w:t xml:space="preserve"> </w:t>
      </w:r>
      <w:bookmarkEnd w:id="584"/>
      <w:r w:rsidR="00F326E5" w:rsidRPr="00BC17B3">
        <w:rPr>
          <w:rFonts w:ascii="Times New Roman" w:hAnsi="Times New Roman"/>
          <w:sz w:val="24"/>
          <w:szCs w:val="24"/>
        </w:rPr>
        <w:br/>
      </w:r>
    </w:p>
    <w:bookmarkEnd w:id="585"/>
    <w:bookmarkEnd w:id="586"/>
    <w:p w14:paraId="4269EABC" w14:textId="77777777" w:rsidR="000C4DF5" w:rsidRDefault="000C4DF5" w:rsidP="000C4DF5">
      <w:pPr>
        <w:pStyle w:val="NoSpacing"/>
        <w:rPr>
          <w:sz w:val="24"/>
          <w:szCs w:val="24"/>
        </w:rPr>
      </w:pPr>
    </w:p>
    <w:p w14:paraId="485914DD" w14:textId="77777777" w:rsidR="00BC17B3" w:rsidRDefault="00BC17B3" w:rsidP="000C4DF5">
      <w:pPr>
        <w:pStyle w:val="NoSpacing"/>
        <w:rPr>
          <w:rFonts w:ascii="Arial Black" w:hAnsi="Arial Black"/>
          <w:sz w:val="24"/>
          <w:szCs w:val="24"/>
        </w:rPr>
      </w:pPr>
    </w:p>
    <w:p w14:paraId="0E28ACF9" w14:textId="50C8F483" w:rsidR="000C4DF5" w:rsidRDefault="000C4DF5" w:rsidP="000C4DF5">
      <w:pPr>
        <w:pStyle w:val="NoSpacing"/>
        <w:rPr>
          <w:rFonts w:ascii="Arial Black" w:hAnsi="Arial Black"/>
          <w:sz w:val="24"/>
          <w:szCs w:val="24"/>
        </w:rPr>
      </w:pPr>
      <w:r>
        <w:rPr>
          <w:rFonts w:ascii="Arial Black" w:hAnsi="Arial Black"/>
          <w:sz w:val="24"/>
          <w:szCs w:val="24"/>
        </w:rPr>
        <w:t>15-2</w:t>
      </w:r>
    </w:p>
    <w:p w14:paraId="7ED320D9" w14:textId="77777777" w:rsidR="000C4DF5" w:rsidRDefault="000C4DF5" w:rsidP="00F326E5">
      <w:pPr>
        <w:pStyle w:val="NoSpacing"/>
        <w:rPr>
          <w:rFonts w:ascii="Arial Black" w:eastAsia="Times New Roman" w:hAnsi="Arial Black" w:cs="Arial"/>
          <w:sz w:val="28"/>
          <w:szCs w:val="28"/>
        </w:rPr>
      </w:pPr>
      <w:bookmarkStart w:id="587" w:name="_Hlk7184137"/>
    </w:p>
    <w:p w14:paraId="364BAE1A" w14:textId="745F15C5" w:rsidR="00F326E5" w:rsidRDefault="00F326E5" w:rsidP="00F326E5">
      <w:pPr>
        <w:pStyle w:val="NoSpacing"/>
        <w:rPr>
          <w:rFonts w:ascii="Arial Black" w:eastAsia="Times New Roman" w:hAnsi="Arial Black" w:cs="Arial"/>
          <w:sz w:val="28"/>
          <w:szCs w:val="28"/>
        </w:rPr>
      </w:pPr>
      <w:bookmarkStart w:id="588" w:name="_Hlk39820545"/>
      <w:r w:rsidRPr="00A15120">
        <w:rPr>
          <w:rFonts w:ascii="Arial Black" w:eastAsia="Times New Roman" w:hAnsi="Arial Black" w:cs="Arial"/>
          <w:sz w:val="28"/>
          <w:szCs w:val="28"/>
        </w:rPr>
        <w:t>MN</w:t>
      </w:r>
      <w:r>
        <w:rPr>
          <w:rFonts w:ascii="Arial Black" w:eastAsia="Times New Roman" w:hAnsi="Arial Black" w:cs="Arial"/>
          <w:sz w:val="28"/>
          <w:szCs w:val="28"/>
        </w:rPr>
        <w:t xml:space="preserve">: </w:t>
      </w:r>
      <w:r w:rsidRPr="00A15120">
        <w:rPr>
          <w:rFonts w:ascii="Arial Black" w:eastAsia="Times New Roman" w:hAnsi="Arial Black" w:cs="Arial"/>
          <w:sz w:val="28"/>
          <w:szCs w:val="28"/>
        </w:rPr>
        <w:t>PTSD – NEW STATUT</w:t>
      </w:r>
      <w:r>
        <w:rPr>
          <w:rFonts w:ascii="Arial Black" w:eastAsia="Times New Roman" w:hAnsi="Arial Black" w:cs="Arial"/>
          <w:sz w:val="28"/>
          <w:szCs w:val="28"/>
        </w:rPr>
        <w:t xml:space="preserve">ORY </w:t>
      </w:r>
      <w:r w:rsidRPr="00A15120">
        <w:rPr>
          <w:rFonts w:ascii="Arial Black" w:eastAsia="Times New Roman" w:hAnsi="Arial Black" w:cs="Arial"/>
          <w:sz w:val="28"/>
          <w:szCs w:val="28"/>
        </w:rPr>
        <w:t xml:space="preserve">PRESUMPTION </w:t>
      </w:r>
      <w:r>
        <w:rPr>
          <w:rFonts w:ascii="Arial Black" w:eastAsia="Times New Roman" w:hAnsi="Arial Black" w:cs="Arial"/>
          <w:sz w:val="28"/>
          <w:szCs w:val="28"/>
        </w:rPr>
        <w:t xml:space="preserve">THAT PTSD IS WORKPLACE </w:t>
      </w:r>
    </w:p>
    <w:p w14:paraId="476D646C" w14:textId="77777777" w:rsidR="00BC17B3" w:rsidRDefault="00F326E5" w:rsidP="00F326E5">
      <w:pPr>
        <w:rPr>
          <w:rFonts w:ascii="Times New Roman" w:hAnsi="Times New Roman"/>
          <w:sz w:val="24"/>
          <w:szCs w:val="24"/>
        </w:rPr>
      </w:pPr>
      <w:r w:rsidRPr="00BC17B3">
        <w:rPr>
          <w:rFonts w:ascii="Times New Roman" w:hAnsi="Times New Roman"/>
          <w:sz w:val="24"/>
          <w:szCs w:val="24"/>
        </w:rPr>
        <w:t xml:space="preserve">Effective Jan. 1, 2019, the new state statute, </w:t>
      </w:r>
    </w:p>
    <w:p w14:paraId="1062ECBF" w14:textId="08307E64" w:rsidR="00F326E5" w:rsidRPr="00BC17B3" w:rsidRDefault="00F326E5" w:rsidP="00BC17B3">
      <w:pPr>
        <w:ind w:left="720"/>
        <w:rPr>
          <w:rFonts w:ascii="Times New Roman" w:eastAsia="Times New Roman" w:hAnsi="Times New Roman"/>
          <w:sz w:val="24"/>
          <w:szCs w:val="24"/>
        </w:rPr>
      </w:pPr>
      <w:proofErr w:type="gramStart"/>
      <w:r w:rsidRPr="00BC17B3">
        <w:rPr>
          <w:rFonts w:ascii="Times New Roman" w:hAnsi="Times New Roman"/>
          <w:sz w:val="24"/>
          <w:szCs w:val="24"/>
        </w:rPr>
        <w:t>“post</w:t>
      </w:r>
      <w:proofErr w:type="gramEnd"/>
      <w:r w:rsidRPr="00BC17B3">
        <w:rPr>
          <w:rFonts w:ascii="Times New Roman" w:hAnsi="Times New Roman"/>
          <w:sz w:val="24"/>
          <w:szCs w:val="24"/>
        </w:rPr>
        <w:t xml:space="preserve">-traumatic stress disorder was reclassified as an occupational disease for first responders. That includes police officers, firefighters, paramedics, emergency medical technicians, and nurses who provide emergency medical services outside of a medical facility.” </w:t>
      </w:r>
      <w:hyperlink r:id="rId2582" w:history="1">
        <w:r w:rsidRPr="00BC17B3">
          <w:rPr>
            <w:rStyle w:val="Hyperlink"/>
            <w:rFonts w:ascii="Times New Roman" w:hAnsi="Times New Roman"/>
            <w:sz w:val="24"/>
            <w:szCs w:val="24"/>
          </w:rPr>
          <w:t>https://www.postbulletin.com/news/public_safety/ptsd-now-an-occupational-disease-for-first-responders/article_27a2353c-15d3-11e9-a864-cb74a37ce7f1.html</w:t>
        </w:r>
      </w:hyperlink>
      <w:bookmarkEnd w:id="588"/>
      <w:r w:rsidRPr="00BC17B3">
        <w:rPr>
          <w:rFonts w:ascii="Times New Roman" w:hAnsi="Times New Roman"/>
          <w:b/>
          <w:sz w:val="24"/>
          <w:szCs w:val="24"/>
        </w:rPr>
        <w:t xml:space="preserve"> </w:t>
      </w:r>
    </w:p>
    <w:p w14:paraId="3E2111EF" w14:textId="77777777" w:rsidR="00F326E5" w:rsidRPr="00BC17B3" w:rsidRDefault="00F326E5" w:rsidP="00F326E5">
      <w:pPr>
        <w:pStyle w:val="Heading1"/>
        <w:rPr>
          <w:sz w:val="24"/>
          <w:szCs w:val="24"/>
        </w:rPr>
      </w:pPr>
      <w:r w:rsidRPr="00BC17B3">
        <w:rPr>
          <w:sz w:val="24"/>
          <w:szCs w:val="24"/>
        </w:rPr>
        <w:t xml:space="preserve">Legal Lessons Learned: Several states have enacted similar statutes.  See “Update: Workers’ Comp Coverage for Firefighters,” </w:t>
      </w:r>
      <w:hyperlink r:id="rId2583" w:history="1">
        <w:r w:rsidRPr="00BC17B3">
          <w:rPr>
            <w:rStyle w:val="Hyperlink"/>
            <w:b w:val="0"/>
            <w:sz w:val="24"/>
            <w:szCs w:val="24"/>
          </w:rPr>
          <w:t>https://www.wci360.com/update-workers-comp-coverage-for-firefighters/</w:t>
        </w:r>
      </w:hyperlink>
      <w:r w:rsidRPr="00BC17B3">
        <w:rPr>
          <w:sz w:val="24"/>
          <w:szCs w:val="24"/>
        </w:rPr>
        <w:t xml:space="preserve">.  </w:t>
      </w:r>
    </w:p>
    <w:p w14:paraId="15B9E0A8" w14:textId="77777777" w:rsidR="00F326E5" w:rsidRPr="00BC17B3" w:rsidRDefault="00F326E5" w:rsidP="00F326E5">
      <w:pPr>
        <w:spacing w:before="100" w:beforeAutospacing="1" w:after="100" w:afterAutospacing="1"/>
        <w:ind w:left="360"/>
        <w:rPr>
          <w:rFonts w:ascii="Times New Roman" w:hAnsi="Times New Roman"/>
          <w:sz w:val="24"/>
          <w:szCs w:val="24"/>
        </w:rPr>
      </w:pPr>
      <w:r w:rsidRPr="00BC17B3">
        <w:rPr>
          <w:rFonts w:ascii="Times New Roman" w:hAnsi="Times New Roman"/>
          <w:sz w:val="24"/>
          <w:szCs w:val="24"/>
        </w:rPr>
        <w:t xml:space="preserve">See also this report: </w:t>
      </w:r>
      <w:hyperlink r:id="rId2584" w:history="1">
        <w:r w:rsidRPr="00BC17B3">
          <w:rPr>
            <w:rStyle w:val="Hyperlink"/>
            <w:rFonts w:ascii="Times New Roman" w:hAnsi="Times New Roman"/>
            <w:sz w:val="24"/>
            <w:szCs w:val="24"/>
          </w:rPr>
          <w:t>https://www.minnesotacomp.com/blog/2018/11/post-traumatic-stress-disorder-may-become-a-presumptive-condition-for-first-responders/</w:t>
        </w:r>
      </w:hyperlink>
      <w:r w:rsidRPr="00BC17B3">
        <w:rPr>
          <w:rFonts w:ascii="Times New Roman" w:eastAsia="Times New Roman" w:hAnsi="Times New Roman"/>
          <w:sz w:val="24"/>
          <w:szCs w:val="24"/>
        </w:rPr>
        <w:t xml:space="preserve">  </w:t>
      </w:r>
    </w:p>
    <w:p w14:paraId="16EC56EA"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 xml:space="preserve">So far in 2018, of 103 state bills dealt with workers compensation provisions for first responders and only 6 bills past passed “true occupational presumption for PTSD.”  </w:t>
      </w:r>
      <w:hyperlink r:id="rId2585" w:tgtFrame="_blank" w:history="1">
        <w:r w:rsidRPr="00BC17B3">
          <w:rPr>
            <w:rStyle w:val="Hyperlink"/>
            <w:rFonts w:ascii="Times New Roman" w:hAnsi="Times New Roman"/>
            <w:sz w:val="24"/>
            <w:szCs w:val="24"/>
          </w:rPr>
          <w:t>Washington State</w:t>
        </w:r>
      </w:hyperlink>
      <w:r w:rsidRPr="00BC17B3">
        <w:rPr>
          <w:rFonts w:ascii="Times New Roman" w:hAnsi="Times New Roman"/>
          <w:sz w:val="24"/>
          <w:szCs w:val="24"/>
        </w:rPr>
        <w:t>, Florida, Vermont, Hawaii, New Jersey, and New Hampshire enacted inclusion of the PTSD presumption into their workers’ compensation legislation.</w:t>
      </w:r>
    </w:p>
    <w:p w14:paraId="03CF063C"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In 2017, Colorado passed a bill recognizing PTSD as compensable under workers compensation. Then the state passed a bill allowing the treatment of PTSD using medical marijuana.</w:t>
      </w:r>
    </w:p>
    <w:p w14:paraId="382EDA41"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South Carolina created a $500,000 fund to help fund first responders out of pocket medical costs related to the treatment of PTSD.</w:t>
      </w:r>
    </w:p>
    <w:p w14:paraId="7877BAC3"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Texas passed an act that eases the burden for first responders filing PTSD claims, requiring the lower standard of proof: “preponderance of evidence” and without the need to declare medical impairment.</w:t>
      </w:r>
    </w:p>
    <w:p w14:paraId="2444D22A" w14:textId="77777777" w:rsidR="00F326E5" w:rsidRPr="00BC17B3" w:rsidRDefault="00F326E5" w:rsidP="00F326E5">
      <w:pPr>
        <w:numPr>
          <w:ilvl w:val="0"/>
          <w:numId w:val="2"/>
        </w:numPr>
        <w:spacing w:before="100" w:beforeAutospacing="1" w:after="100" w:afterAutospacing="1" w:line="240" w:lineRule="auto"/>
        <w:rPr>
          <w:rFonts w:ascii="Times New Roman" w:eastAsia="Times New Roman" w:hAnsi="Times New Roman"/>
          <w:sz w:val="24"/>
          <w:szCs w:val="24"/>
        </w:rPr>
      </w:pPr>
      <w:r w:rsidRPr="00BC17B3">
        <w:rPr>
          <w:rFonts w:ascii="Times New Roman" w:hAnsi="Times New Roman"/>
          <w:sz w:val="24"/>
          <w:szCs w:val="24"/>
        </w:rPr>
        <w:t xml:space="preserve">New York included PTSD references in the 2018 budget that would allow first responders to claim personal injury based on “extraordinary work-related stress” [Hanson &amp; Watson, “Addressing the Emergence of PTSD Presumption: Issues and Solutions” pdf]. </w:t>
      </w:r>
    </w:p>
    <w:p w14:paraId="7F3F4A87" w14:textId="77777777" w:rsidR="00F326E5" w:rsidRPr="00BC17B3" w:rsidRDefault="00F326E5" w:rsidP="00F326E5">
      <w:pPr>
        <w:pStyle w:val="Heading1"/>
        <w:ind w:left="720"/>
        <w:rPr>
          <w:sz w:val="24"/>
          <w:szCs w:val="24"/>
        </w:rPr>
      </w:pPr>
      <w:r w:rsidRPr="00BC17B3">
        <w:rPr>
          <w:sz w:val="24"/>
          <w:szCs w:val="24"/>
        </w:rPr>
        <w:t xml:space="preserve">See also Jan. 17, </w:t>
      </w:r>
      <w:proofErr w:type="gramStart"/>
      <w:r w:rsidRPr="00BC17B3">
        <w:rPr>
          <w:sz w:val="24"/>
          <w:szCs w:val="24"/>
        </w:rPr>
        <w:t>2019</w:t>
      </w:r>
      <w:proofErr w:type="gramEnd"/>
      <w:r w:rsidRPr="00BC17B3">
        <w:rPr>
          <w:sz w:val="24"/>
          <w:szCs w:val="24"/>
        </w:rPr>
        <w:t xml:space="preserve"> article from Massachusetts: “Critical incident intervention for first responders bill signed into law.” </w:t>
      </w:r>
      <w:hyperlink r:id="rId2586" w:history="1">
        <w:r w:rsidRPr="00BC17B3">
          <w:rPr>
            <w:rStyle w:val="Hyperlink"/>
            <w:sz w:val="24"/>
            <w:szCs w:val="24"/>
          </w:rPr>
          <w:t>https://www.wwlp.com/news/massachusetts/critical-incident-intervention-for-first-responders-bill-signed-into-law/1706453191</w:t>
        </w:r>
      </w:hyperlink>
      <w:r w:rsidRPr="00BC17B3">
        <w:rPr>
          <w:sz w:val="24"/>
          <w:szCs w:val="24"/>
        </w:rPr>
        <w:t xml:space="preserve"> </w:t>
      </w:r>
    </w:p>
    <w:bookmarkEnd w:id="587"/>
    <w:p w14:paraId="5FAAE6C5" w14:textId="77777777" w:rsidR="00536545" w:rsidRDefault="00536545" w:rsidP="000C4DF5">
      <w:pPr>
        <w:pStyle w:val="NoSpacing"/>
        <w:rPr>
          <w:rFonts w:ascii="Arial Black" w:hAnsi="Arial Black"/>
          <w:sz w:val="24"/>
          <w:szCs w:val="24"/>
        </w:rPr>
      </w:pPr>
    </w:p>
    <w:p w14:paraId="34B2A7A8" w14:textId="2D16D30A" w:rsidR="000C4DF5" w:rsidRDefault="000C4DF5" w:rsidP="000C4DF5">
      <w:pPr>
        <w:pStyle w:val="NoSpacing"/>
        <w:rPr>
          <w:rFonts w:ascii="Arial Black" w:hAnsi="Arial Black"/>
          <w:sz w:val="24"/>
          <w:szCs w:val="24"/>
        </w:rPr>
      </w:pPr>
      <w:r>
        <w:rPr>
          <w:rFonts w:ascii="Arial Black" w:hAnsi="Arial Black"/>
          <w:sz w:val="24"/>
          <w:szCs w:val="24"/>
        </w:rPr>
        <w:t>15-1</w:t>
      </w:r>
    </w:p>
    <w:p w14:paraId="0A6358D3" w14:textId="77777777" w:rsidR="00F326E5" w:rsidRDefault="00F326E5" w:rsidP="00F326E5">
      <w:pPr>
        <w:pStyle w:val="NoSpacing"/>
        <w:rPr>
          <w:sz w:val="24"/>
          <w:szCs w:val="24"/>
        </w:rPr>
      </w:pPr>
    </w:p>
    <w:p w14:paraId="34F9950D" w14:textId="0EB6C5DB" w:rsidR="00F326E5" w:rsidRDefault="00F326E5" w:rsidP="00F326E5">
      <w:pPr>
        <w:pStyle w:val="NoSpacing"/>
        <w:rPr>
          <w:rFonts w:ascii="Arial Black" w:hAnsi="Arial Black"/>
          <w:b/>
          <w:sz w:val="28"/>
          <w:szCs w:val="28"/>
        </w:rPr>
      </w:pPr>
      <w:bookmarkStart w:id="589" w:name="_Hlk39772846"/>
      <w:bookmarkStart w:id="590" w:name="_Hlk7348476"/>
      <w:r w:rsidRPr="008C56F7">
        <w:rPr>
          <w:rFonts w:ascii="Arial Black" w:hAnsi="Arial Black"/>
          <w:b/>
          <w:sz w:val="28"/>
          <w:szCs w:val="28"/>
        </w:rPr>
        <w:t>NJ</w:t>
      </w:r>
      <w:r>
        <w:rPr>
          <w:rFonts w:ascii="Arial Black" w:hAnsi="Arial Black"/>
          <w:b/>
          <w:sz w:val="28"/>
          <w:szCs w:val="28"/>
        </w:rPr>
        <w:t xml:space="preserve">: </w:t>
      </w:r>
      <w:r w:rsidRPr="008C56F7">
        <w:rPr>
          <w:rFonts w:ascii="Arial Black" w:hAnsi="Arial Black"/>
          <w:b/>
          <w:sz w:val="28"/>
          <w:szCs w:val="28"/>
        </w:rPr>
        <w:t xml:space="preserve">PTSD – </w:t>
      </w:r>
      <w:r>
        <w:rPr>
          <w:rFonts w:ascii="Arial Black" w:hAnsi="Arial Black"/>
          <w:b/>
          <w:sz w:val="28"/>
          <w:szCs w:val="28"/>
        </w:rPr>
        <w:t xml:space="preserve">POLICE OFFICERS MUST PROVE EXPERIENCED “TERRIFYING” &amp; “UNEXPECTED” EVENT </w:t>
      </w:r>
    </w:p>
    <w:p w14:paraId="3E2AA062" w14:textId="77777777" w:rsidR="005B7BBD" w:rsidRDefault="00F326E5" w:rsidP="00F326E5">
      <w:pPr>
        <w:pStyle w:val="NoSpacing"/>
        <w:rPr>
          <w:rFonts w:ascii="Times New Roman" w:eastAsia="Times New Roman" w:hAnsi="Times New Roman"/>
          <w:sz w:val="24"/>
          <w:szCs w:val="24"/>
        </w:rPr>
      </w:pPr>
      <w:r w:rsidRPr="00BC17B3">
        <w:rPr>
          <w:rFonts w:ascii="Times New Roman" w:eastAsia="Times New Roman" w:hAnsi="Times New Roman"/>
          <w:sz w:val="24"/>
          <w:szCs w:val="24"/>
        </w:rPr>
        <w:t xml:space="preserve">On June 5, 2018, in </w:t>
      </w:r>
      <w:r w:rsidRPr="00BC17B3">
        <w:rPr>
          <w:rFonts w:ascii="Times New Roman" w:eastAsia="Times New Roman" w:hAnsi="Times New Roman"/>
          <w:sz w:val="24"/>
          <w:szCs w:val="24"/>
          <w:u w:val="single"/>
        </w:rPr>
        <w:t>Christopher Mount v. Board of Trustees, Police and Fireman’s Retirement System</w:t>
      </w:r>
      <w:r w:rsidRPr="00BC17B3">
        <w:rPr>
          <w:rFonts w:ascii="Times New Roman" w:eastAsia="Times New Roman" w:hAnsi="Times New Roman"/>
          <w:sz w:val="24"/>
          <w:szCs w:val="24"/>
        </w:rPr>
        <w:t xml:space="preserve">, the New Jersey Supreme Court (7 to 0) held in two cases (1) that police officer who observed three teenagers burned to death in MVA may have a claim; but (2) police hostage negotiator has no claim when SWAT Team killed the assailant.  </w:t>
      </w:r>
    </w:p>
    <w:p w14:paraId="2F23A738" w14:textId="77777777" w:rsidR="005B7BBD" w:rsidRDefault="005B7BBD" w:rsidP="00F326E5">
      <w:pPr>
        <w:pStyle w:val="NoSpacing"/>
        <w:rPr>
          <w:rFonts w:ascii="Times New Roman" w:eastAsia="Times New Roman" w:hAnsi="Times New Roman"/>
          <w:sz w:val="24"/>
          <w:szCs w:val="24"/>
        </w:rPr>
      </w:pPr>
    </w:p>
    <w:p w14:paraId="65D7E4CB" w14:textId="0457960A" w:rsidR="00F326E5" w:rsidRPr="00BC17B3" w:rsidRDefault="00F326E5" w:rsidP="005B7BBD">
      <w:pPr>
        <w:pStyle w:val="NoSpacing"/>
        <w:ind w:left="720"/>
        <w:rPr>
          <w:rFonts w:ascii="Times New Roman" w:eastAsia="Times New Roman" w:hAnsi="Times New Roman"/>
          <w:sz w:val="24"/>
          <w:szCs w:val="24"/>
        </w:rPr>
      </w:pPr>
      <w:r w:rsidRPr="00BC17B3">
        <w:rPr>
          <w:rFonts w:ascii="Times New Roman" w:eastAsia="Times New Roman" w:hAnsi="Times New Roman"/>
          <w:sz w:val="24"/>
          <w:szCs w:val="24"/>
        </w:rPr>
        <w:t xml:space="preserve">“Although the shooting was clearly devastating to Martinez -- an officer exemplary for his professionalism and compassion in highly stressful circumstances -- it was not “unexpected….” </w:t>
      </w:r>
    </w:p>
    <w:p w14:paraId="26712E1E" w14:textId="61523A8C" w:rsidR="00F326E5" w:rsidRPr="00BC17B3" w:rsidRDefault="005B7BBD" w:rsidP="005B7BBD">
      <w:pPr>
        <w:ind w:firstLine="720"/>
        <w:rPr>
          <w:rFonts w:ascii="Times New Roman" w:eastAsia="Times New Roman" w:hAnsi="Times New Roman"/>
          <w:sz w:val="24"/>
          <w:szCs w:val="24"/>
        </w:rPr>
      </w:pPr>
      <w:hyperlink r:id="rId2587" w:history="1">
        <w:r w:rsidRPr="00D07486">
          <w:rPr>
            <w:rStyle w:val="Hyperlink"/>
            <w:rFonts w:ascii="Times New Roman" w:hAnsi="Times New Roman"/>
            <w:sz w:val="24"/>
            <w:szCs w:val="24"/>
          </w:rPr>
          <w:t>https://law.justia.com/cases/new-jersey/supreme-court/2018/a-9-16.html</w:t>
        </w:r>
      </w:hyperlink>
      <w:bookmarkEnd w:id="589"/>
      <w:r w:rsidR="00F326E5" w:rsidRPr="00BC17B3">
        <w:rPr>
          <w:rFonts w:ascii="Times New Roman" w:eastAsia="Times New Roman" w:hAnsi="Times New Roman"/>
          <w:sz w:val="24"/>
          <w:szCs w:val="24"/>
        </w:rPr>
        <w:t xml:space="preserve"> </w:t>
      </w:r>
    </w:p>
    <w:p w14:paraId="5F02FDBA" w14:textId="336E5178" w:rsidR="00F326E5" w:rsidRPr="00BC17B3" w:rsidRDefault="00F326E5" w:rsidP="00F326E5">
      <w:pPr>
        <w:pStyle w:val="HTMLPreformatted"/>
        <w:rPr>
          <w:rFonts w:ascii="Times New Roman" w:hAnsi="Times New Roman" w:cs="Times New Roman"/>
          <w:b/>
          <w:sz w:val="24"/>
          <w:szCs w:val="24"/>
        </w:rPr>
      </w:pPr>
      <w:bookmarkStart w:id="591" w:name="_Hlk40516566"/>
      <w:r w:rsidRPr="00BC17B3">
        <w:rPr>
          <w:rFonts w:ascii="Times New Roman" w:hAnsi="Times New Roman" w:cs="Times New Roman"/>
          <w:b/>
          <w:sz w:val="24"/>
          <w:szCs w:val="24"/>
        </w:rPr>
        <w:t xml:space="preserve">Legal Lessons Learned:  PTSD accidental disbenefit ability claims, with no physical injury, are particularly difficult </w:t>
      </w:r>
      <w:r w:rsidR="000164B1">
        <w:rPr>
          <w:rFonts w:ascii="Times New Roman" w:hAnsi="Times New Roman" w:cs="Times New Roman"/>
          <w:b/>
          <w:sz w:val="24"/>
          <w:szCs w:val="24"/>
        </w:rPr>
        <w:t>to prove.</w:t>
      </w:r>
    </w:p>
    <w:bookmarkEnd w:id="591"/>
    <w:p w14:paraId="10CCB7B1" w14:textId="77777777" w:rsidR="00F326E5" w:rsidRDefault="00F326E5" w:rsidP="00F326E5">
      <w:pPr>
        <w:rPr>
          <w:rFonts w:ascii="Arial Black" w:hAnsi="Arial Black"/>
          <w:sz w:val="40"/>
          <w:szCs w:val="40"/>
        </w:rPr>
      </w:pPr>
      <w:r>
        <w:rPr>
          <w:rFonts w:ascii="Arial Black" w:hAnsi="Arial Black"/>
          <w:sz w:val="40"/>
          <w:szCs w:val="40"/>
        </w:rPr>
        <w:br w:type="page"/>
      </w:r>
    </w:p>
    <w:bookmarkEnd w:id="590"/>
    <w:p w14:paraId="18AFC317" w14:textId="77777777" w:rsidR="00F326E5" w:rsidRPr="007732FA" w:rsidRDefault="00F326E5" w:rsidP="00F326E5">
      <w:pPr>
        <w:pStyle w:val="NoSpacing"/>
        <w:rPr>
          <w:rFonts w:ascii="Arial Black" w:hAnsi="Arial Black"/>
          <w:sz w:val="40"/>
          <w:szCs w:val="40"/>
        </w:rPr>
      </w:pPr>
    </w:p>
    <w:p w14:paraId="1C364A7F" w14:textId="77777777" w:rsidR="00635D7C" w:rsidRDefault="00635D7C" w:rsidP="00F326E5">
      <w:pPr>
        <w:pStyle w:val="NoSpacing"/>
        <w:rPr>
          <w:rFonts w:ascii="Arial Black" w:hAnsi="Arial Black"/>
          <w:sz w:val="40"/>
          <w:szCs w:val="40"/>
        </w:rPr>
      </w:pPr>
    </w:p>
    <w:p w14:paraId="1EF127B7" w14:textId="77777777" w:rsidR="00635D7C" w:rsidRDefault="00635D7C" w:rsidP="00F326E5">
      <w:pPr>
        <w:pStyle w:val="NoSpacing"/>
        <w:rPr>
          <w:rFonts w:ascii="Arial Black" w:hAnsi="Arial Black"/>
          <w:sz w:val="40"/>
          <w:szCs w:val="40"/>
        </w:rPr>
      </w:pPr>
    </w:p>
    <w:p w14:paraId="5DC8F06C" w14:textId="77777777" w:rsidR="00635D7C" w:rsidRDefault="00635D7C" w:rsidP="00F326E5">
      <w:pPr>
        <w:pStyle w:val="NoSpacing"/>
        <w:rPr>
          <w:rFonts w:ascii="Arial Black" w:hAnsi="Arial Black"/>
          <w:sz w:val="40"/>
          <w:szCs w:val="40"/>
        </w:rPr>
      </w:pPr>
    </w:p>
    <w:p w14:paraId="50F1B38C" w14:textId="77777777" w:rsidR="00635D7C" w:rsidRDefault="00635D7C" w:rsidP="00F326E5">
      <w:pPr>
        <w:pStyle w:val="NoSpacing"/>
        <w:rPr>
          <w:rFonts w:ascii="Arial Black" w:hAnsi="Arial Black"/>
          <w:sz w:val="40"/>
          <w:szCs w:val="40"/>
        </w:rPr>
      </w:pPr>
    </w:p>
    <w:p w14:paraId="07D35F4C" w14:textId="77777777" w:rsidR="00635D7C" w:rsidRDefault="00635D7C" w:rsidP="00F326E5">
      <w:pPr>
        <w:pStyle w:val="NoSpacing"/>
        <w:rPr>
          <w:rFonts w:ascii="Arial Black" w:hAnsi="Arial Black"/>
          <w:sz w:val="40"/>
          <w:szCs w:val="40"/>
        </w:rPr>
      </w:pPr>
    </w:p>
    <w:p w14:paraId="18AC572B" w14:textId="77777777" w:rsidR="00635D7C" w:rsidRDefault="00635D7C" w:rsidP="00F326E5">
      <w:pPr>
        <w:pStyle w:val="NoSpacing"/>
        <w:rPr>
          <w:rFonts w:ascii="Arial Black" w:hAnsi="Arial Black"/>
          <w:sz w:val="40"/>
          <w:szCs w:val="40"/>
        </w:rPr>
      </w:pPr>
    </w:p>
    <w:p w14:paraId="4E504245" w14:textId="77777777" w:rsidR="00635D7C" w:rsidRDefault="00635D7C" w:rsidP="00F326E5">
      <w:pPr>
        <w:pStyle w:val="NoSpacing"/>
        <w:rPr>
          <w:rFonts w:ascii="Arial Black" w:hAnsi="Arial Black"/>
          <w:sz w:val="40"/>
          <w:szCs w:val="40"/>
        </w:rPr>
      </w:pPr>
    </w:p>
    <w:p w14:paraId="5F3A9ACC" w14:textId="77777777" w:rsidR="00635D7C" w:rsidRDefault="00635D7C" w:rsidP="00F326E5">
      <w:pPr>
        <w:pStyle w:val="NoSpacing"/>
        <w:rPr>
          <w:rFonts w:ascii="Arial Black" w:hAnsi="Arial Black"/>
          <w:sz w:val="40"/>
          <w:szCs w:val="40"/>
        </w:rPr>
      </w:pPr>
    </w:p>
    <w:p w14:paraId="5C936DAB" w14:textId="77777777" w:rsidR="00635D7C" w:rsidRDefault="00635D7C" w:rsidP="00F326E5">
      <w:pPr>
        <w:pStyle w:val="NoSpacing"/>
        <w:rPr>
          <w:rFonts w:ascii="Arial Black" w:hAnsi="Arial Black"/>
          <w:sz w:val="40"/>
          <w:szCs w:val="40"/>
        </w:rPr>
      </w:pPr>
    </w:p>
    <w:p w14:paraId="0C1B4DD9" w14:textId="77777777" w:rsidR="00635D7C" w:rsidRDefault="00635D7C" w:rsidP="00F326E5">
      <w:pPr>
        <w:pStyle w:val="NoSpacing"/>
        <w:rPr>
          <w:rFonts w:ascii="Arial Black" w:hAnsi="Arial Black"/>
          <w:sz w:val="40"/>
          <w:szCs w:val="40"/>
        </w:rPr>
      </w:pPr>
    </w:p>
    <w:p w14:paraId="4DBF6E21" w14:textId="77777777" w:rsidR="00635D7C" w:rsidRDefault="00635D7C" w:rsidP="00F326E5">
      <w:pPr>
        <w:pStyle w:val="NoSpacing"/>
        <w:rPr>
          <w:rFonts w:ascii="Arial Black" w:hAnsi="Arial Black"/>
          <w:sz w:val="40"/>
          <w:szCs w:val="40"/>
        </w:rPr>
      </w:pPr>
    </w:p>
    <w:p w14:paraId="06207580" w14:textId="77777777" w:rsidR="00635D7C" w:rsidRDefault="00635D7C" w:rsidP="00F326E5">
      <w:pPr>
        <w:pStyle w:val="NoSpacing"/>
        <w:rPr>
          <w:rFonts w:ascii="Arial Black" w:hAnsi="Arial Black"/>
          <w:sz w:val="40"/>
          <w:szCs w:val="40"/>
        </w:rPr>
      </w:pPr>
    </w:p>
    <w:p w14:paraId="44DE41E7" w14:textId="77777777" w:rsidR="00635D7C" w:rsidRDefault="00635D7C" w:rsidP="00F326E5">
      <w:pPr>
        <w:pStyle w:val="NoSpacing"/>
        <w:rPr>
          <w:rFonts w:ascii="Arial Black" w:hAnsi="Arial Black"/>
          <w:sz w:val="40"/>
          <w:szCs w:val="40"/>
        </w:rPr>
      </w:pPr>
    </w:p>
    <w:p w14:paraId="2E176D95" w14:textId="77777777" w:rsidR="00635D7C" w:rsidRDefault="00635D7C" w:rsidP="00F326E5">
      <w:pPr>
        <w:pStyle w:val="NoSpacing"/>
        <w:rPr>
          <w:rFonts w:ascii="Arial Black" w:hAnsi="Arial Black"/>
          <w:sz w:val="40"/>
          <w:szCs w:val="40"/>
        </w:rPr>
      </w:pPr>
    </w:p>
    <w:p w14:paraId="7BA50ADF" w14:textId="77777777" w:rsidR="00635D7C" w:rsidRDefault="00635D7C" w:rsidP="00F326E5">
      <w:pPr>
        <w:pStyle w:val="NoSpacing"/>
        <w:rPr>
          <w:rFonts w:ascii="Arial Black" w:hAnsi="Arial Black"/>
          <w:sz w:val="40"/>
          <w:szCs w:val="40"/>
        </w:rPr>
      </w:pPr>
    </w:p>
    <w:p w14:paraId="3ED9AA9C" w14:textId="77777777" w:rsidR="00635D7C" w:rsidRDefault="00635D7C" w:rsidP="00F326E5">
      <w:pPr>
        <w:pStyle w:val="NoSpacing"/>
        <w:rPr>
          <w:rFonts w:ascii="Arial Black" w:hAnsi="Arial Black"/>
          <w:sz w:val="40"/>
          <w:szCs w:val="40"/>
        </w:rPr>
      </w:pPr>
    </w:p>
    <w:p w14:paraId="3B1CCA71" w14:textId="77777777" w:rsidR="00635D7C" w:rsidRDefault="00635D7C" w:rsidP="00F326E5">
      <w:pPr>
        <w:pStyle w:val="NoSpacing"/>
        <w:rPr>
          <w:rFonts w:ascii="Arial Black" w:hAnsi="Arial Black"/>
          <w:sz w:val="40"/>
          <w:szCs w:val="40"/>
        </w:rPr>
      </w:pPr>
    </w:p>
    <w:p w14:paraId="3FA9F2CE" w14:textId="77777777" w:rsidR="00635D7C" w:rsidRDefault="00635D7C" w:rsidP="00F326E5">
      <w:pPr>
        <w:pStyle w:val="NoSpacing"/>
        <w:rPr>
          <w:rFonts w:ascii="Arial Black" w:hAnsi="Arial Black"/>
          <w:sz w:val="40"/>
          <w:szCs w:val="40"/>
        </w:rPr>
      </w:pPr>
    </w:p>
    <w:p w14:paraId="789A0237" w14:textId="77777777" w:rsidR="00635D7C" w:rsidRDefault="00635D7C" w:rsidP="00F326E5">
      <w:pPr>
        <w:pStyle w:val="NoSpacing"/>
        <w:rPr>
          <w:rFonts w:ascii="Arial Black" w:hAnsi="Arial Black"/>
          <w:sz w:val="40"/>
          <w:szCs w:val="40"/>
        </w:rPr>
      </w:pPr>
    </w:p>
    <w:p w14:paraId="7BA9F1B7" w14:textId="77777777" w:rsidR="00635D7C" w:rsidRDefault="00635D7C" w:rsidP="00F326E5">
      <w:pPr>
        <w:pStyle w:val="NoSpacing"/>
        <w:rPr>
          <w:rFonts w:ascii="Arial Black" w:hAnsi="Arial Black"/>
          <w:sz w:val="40"/>
          <w:szCs w:val="40"/>
        </w:rPr>
      </w:pPr>
    </w:p>
    <w:p w14:paraId="54E0BB6D" w14:textId="77777777" w:rsidR="00635D7C" w:rsidRDefault="00635D7C" w:rsidP="00F326E5">
      <w:pPr>
        <w:pStyle w:val="NoSpacing"/>
        <w:rPr>
          <w:rFonts w:ascii="Arial Black" w:hAnsi="Arial Black"/>
          <w:sz w:val="40"/>
          <w:szCs w:val="40"/>
        </w:rPr>
      </w:pPr>
    </w:p>
    <w:p w14:paraId="5C112D6B" w14:textId="77777777" w:rsidR="00635D7C" w:rsidRDefault="00635D7C" w:rsidP="00F326E5">
      <w:pPr>
        <w:pStyle w:val="NoSpacing"/>
        <w:rPr>
          <w:rFonts w:ascii="Arial Black" w:hAnsi="Arial Black"/>
          <w:sz w:val="40"/>
          <w:szCs w:val="40"/>
        </w:rPr>
      </w:pPr>
    </w:p>
    <w:p w14:paraId="4DB8AF4F" w14:textId="77777777" w:rsidR="00635D7C" w:rsidRDefault="00635D7C" w:rsidP="00F326E5">
      <w:pPr>
        <w:pStyle w:val="NoSpacing"/>
        <w:rPr>
          <w:rFonts w:ascii="Arial Black" w:hAnsi="Arial Black"/>
          <w:sz w:val="40"/>
          <w:szCs w:val="40"/>
        </w:rPr>
      </w:pPr>
    </w:p>
    <w:p w14:paraId="0CE0FD25" w14:textId="77777777" w:rsidR="00635D7C" w:rsidRDefault="00635D7C" w:rsidP="00F326E5">
      <w:pPr>
        <w:pStyle w:val="NoSpacing"/>
        <w:rPr>
          <w:rFonts w:ascii="Arial Black" w:hAnsi="Arial Black"/>
          <w:sz w:val="40"/>
          <w:szCs w:val="40"/>
        </w:rPr>
      </w:pPr>
    </w:p>
    <w:p w14:paraId="29DC0F44" w14:textId="412A3FDE" w:rsidR="00F326E5" w:rsidRDefault="00F326E5" w:rsidP="00F326E5">
      <w:pPr>
        <w:pStyle w:val="NoSpacing"/>
        <w:rPr>
          <w:rFonts w:ascii="Arial Black" w:hAnsi="Arial Black"/>
          <w:sz w:val="40"/>
          <w:szCs w:val="40"/>
        </w:rPr>
      </w:pPr>
      <w:r w:rsidRPr="007732FA">
        <w:rPr>
          <w:rFonts w:ascii="Arial Black" w:hAnsi="Arial Black"/>
          <w:sz w:val="40"/>
          <w:szCs w:val="40"/>
        </w:rPr>
        <w:t>Chap. 16</w:t>
      </w:r>
      <w:r w:rsidRPr="007732FA">
        <w:rPr>
          <w:rFonts w:ascii="Arial Black" w:hAnsi="Arial Black"/>
          <w:sz w:val="40"/>
          <w:szCs w:val="40"/>
        </w:rPr>
        <w:tab/>
      </w:r>
      <w:r w:rsidRPr="007732FA">
        <w:rPr>
          <w:rFonts w:ascii="Arial Black" w:hAnsi="Arial Black"/>
          <w:sz w:val="40"/>
          <w:szCs w:val="40"/>
        </w:rPr>
        <w:tab/>
        <w:t>Discipline</w:t>
      </w:r>
      <w:r w:rsidRPr="007732FA">
        <w:rPr>
          <w:rFonts w:ascii="Arial Black" w:hAnsi="Arial Black"/>
          <w:sz w:val="40"/>
          <w:szCs w:val="40"/>
        </w:rPr>
        <w:tab/>
      </w:r>
      <w:r w:rsidR="00BC5936">
        <w:rPr>
          <w:rFonts w:ascii="Arial Black" w:hAnsi="Arial Black"/>
          <w:sz w:val="40"/>
          <w:szCs w:val="40"/>
        </w:rPr>
        <w:t>, incl. Social Media</w:t>
      </w:r>
    </w:p>
    <w:p w14:paraId="7A42693C" w14:textId="77777777" w:rsidR="00F326E5" w:rsidRDefault="00F326E5" w:rsidP="00F326E5">
      <w:pPr>
        <w:pStyle w:val="NoSpacing"/>
        <w:rPr>
          <w:b/>
          <w:sz w:val="24"/>
          <w:szCs w:val="24"/>
        </w:rPr>
      </w:pPr>
    </w:p>
    <w:p w14:paraId="189D66C0" w14:textId="77777777" w:rsidR="00631CB0" w:rsidRDefault="00631CB0" w:rsidP="00655CE7">
      <w:pPr>
        <w:pStyle w:val="NoSpacing"/>
        <w:rPr>
          <w:rFonts w:ascii="Arial Black" w:hAnsi="Arial Black"/>
          <w:b/>
          <w:sz w:val="28"/>
          <w:szCs w:val="28"/>
        </w:rPr>
      </w:pPr>
    </w:p>
    <w:p w14:paraId="2A73D144" w14:textId="1BC34A7A" w:rsidR="0080796A" w:rsidRDefault="0080796A" w:rsidP="0080796A">
      <w:pPr>
        <w:pStyle w:val="NoSpacing"/>
        <w:rPr>
          <w:rFonts w:ascii="Arial Black" w:hAnsi="Arial Black"/>
          <w:sz w:val="28"/>
          <w:szCs w:val="28"/>
        </w:rPr>
      </w:pPr>
      <w:r>
        <w:rPr>
          <w:rFonts w:ascii="Arial Black" w:hAnsi="Arial Black"/>
          <w:b/>
          <w:sz w:val="28"/>
          <w:szCs w:val="28"/>
        </w:rPr>
        <w:t>16-1</w:t>
      </w:r>
      <w:r>
        <w:rPr>
          <w:rFonts w:ascii="Arial Black" w:hAnsi="Arial Black"/>
          <w:b/>
          <w:sz w:val="28"/>
          <w:szCs w:val="28"/>
        </w:rPr>
        <w:t>73</w:t>
      </w:r>
    </w:p>
    <w:p w14:paraId="5C4862FD" w14:textId="77777777" w:rsidR="0080796A" w:rsidRDefault="0080796A" w:rsidP="00631CB0">
      <w:pPr>
        <w:pStyle w:val="NoSpacing"/>
        <w:rPr>
          <w:rFonts w:ascii="Arial Black" w:hAnsi="Arial Black"/>
          <w:sz w:val="28"/>
          <w:szCs w:val="28"/>
        </w:rPr>
      </w:pPr>
    </w:p>
    <w:p w14:paraId="0CC631DE" w14:textId="77777777" w:rsidR="0080796A" w:rsidRDefault="0080796A" w:rsidP="00631CB0">
      <w:pPr>
        <w:pStyle w:val="NoSpacing"/>
        <w:rPr>
          <w:rFonts w:ascii="Arial Black" w:hAnsi="Arial Black"/>
          <w:sz w:val="28"/>
          <w:szCs w:val="28"/>
        </w:rPr>
      </w:pPr>
    </w:p>
    <w:p w14:paraId="468D4107" w14:textId="600A78B9" w:rsidR="00631CB0" w:rsidRDefault="00631CB0" w:rsidP="00631CB0">
      <w:pPr>
        <w:pStyle w:val="NoSpacing"/>
        <w:rPr>
          <w:rFonts w:ascii="Arial Black" w:hAnsi="Arial Black"/>
          <w:sz w:val="28"/>
          <w:szCs w:val="28"/>
        </w:rPr>
      </w:pPr>
      <w:r>
        <w:rPr>
          <w:rFonts w:ascii="Arial Black" w:hAnsi="Arial Black"/>
          <w:sz w:val="28"/>
          <w:szCs w:val="28"/>
        </w:rPr>
        <w:t>LA: TURNOUT COAT LOST - $1,810 – 60-DAY INVEST WAVED</w:t>
      </w:r>
    </w:p>
    <w:p w14:paraId="340473F3" w14:textId="77777777" w:rsidR="00631CB0" w:rsidRDefault="00631CB0" w:rsidP="00631CB0">
      <w:pPr>
        <w:pStyle w:val="NoSpacing"/>
        <w:rPr>
          <w:rFonts w:ascii="Arial Black" w:hAnsi="Arial Black"/>
          <w:sz w:val="28"/>
          <w:szCs w:val="28"/>
        </w:rPr>
      </w:pPr>
    </w:p>
    <w:p w14:paraId="29E0F2EB" w14:textId="77777777" w:rsidR="00631CB0" w:rsidRDefault="00631CB0" w:rsidP="00631CB0">
      <w:pPr>
        <w:pStyle w:val="NoSpacing"/>
      </w:pPr>
      <w:r>
        <w:t xml:space="preserve">On September 25, 2026, in </w:t>
      </w:r>
      <w:r w:rsidRPr="00B9530C">
        <w:rPr>
          <w:u w:val="single"/>
        </w:rPr>
        <w:t>William Briggs v. Department of Fire</w:t>
      </w:r>
      <w:r>
        <w:t xml:space="preserve">, the </w:t>
      </w:r>
      <w:r w:rsidRPr="00B9792E">
        <w:t>Court of Appeals of Louisiana, Fourth Circuit</w:t>
      </w:r>
      <w:r>
        <w:t xml:space="preserve"> held (3 to 0) that the </w:t>
      </w:r>
      <w:r w:rsidRPr="003F54B9">
        <w:t>Civil Service Commission of the City of New Orlean</w:t>
      </w:r>
      <w:r>
        <w:t xml:space="preserve">s properly reversed the hearing </w:t>
      </w:r>
      <w:proofErr w:type="gramStart"/>
      <w:r>
        <w:t>officer, and</w:t>
      </w:r>
      <w:proofErr w:type="gramEnd"/>
      <w:r>
        <w:t xml:space="preserve"> held that the fine must be paid.  After a structure fire, the firefighter was sprayed down and left his turnout coat drying on intake valve – where it was lost returning to station.  The firefighter requested a thirty-day extension of time for pre-disciplinary hearing (on vacation) and cannot now claim the city violated state’s Firefighter Bill of Rights statute requiring investigations </w:t>
      </w:r>
      <w:proofErr w:type="gramStart"/>
      <w:r>
        <w:t>be</w:t>
      </w:r>
      <w:proofErr w:type="gramEnd"/>
      <w:r>
        <w:t xml:space="preserve"> concluded in 60 days. “</w:t>
      </w:r>
      <w:r w:rsidRPr="00C97EF7">
        <w:t xml:space="preserve">Firefighter Briggs testified that he agreed to the June 19, </w:t>
      </w:r>
      <w:proofErr w:type="gramStart"/>
      <w:r w:rsidRPr="00C97EF7">
        <w:t>2025</w:t>
      </w:r>
      <w:proofErr w:type="gramEnd"/>
      <w:r w:rsidRPr="00C97EF7">
        <w:t xml:space="preserve"> date. Although Firefighter Briggs initially requested only a thirty-day extension, his subsequent written agreement to the June 19, </w:t>
      </w:r>
      <w:proofErr w:type="gramStart"/>
      <w:r w:rsidRPr="00C97EF7">
        <w:t>2025</w:t>
      </w:r>
      <w:proofErr w:type="gramEnd"/>
      <w:r w:rsidRPr="00C97EF7">
        <w:t xml:space="preserve"> hearing date demonstrates his consent to an extension beyond the period originally </w:t>
      </w:r>
      <w:proofErr w:type="gramStart"/>
      <w:r w:rsidRPr="00C97EF7">
        <w:t>requested.</w:t>
      </w:r>
      <w:r>
        <w:t>”</w:t>
      </w:r>
      <w:proofErr w:type="gramEnd"/>
      <w:r>
        <w:t xml:space="preserve"> </w:t>
      </w:r>
    </w:p>
    <w:p w14:paraId="35D3D958" w14:textId="77777777" w:rsidR="00631CB0" w:rsidRDefault="00631CB0" w:rsidP="00631CB0">
      <w:pPr>
        <w:pStyle w:val="NoSpacing"/>
      </w:pPr>
      <w:hyperlink r:id="rId2588" w:history="1">
        <w:r w:rsidRPr="009D17DA">
          <w:rPr>
            <w:rStyle w:val="Hyperlink"/>
          </w:rPr>
          <w:t>https://cases.justia.com/louisiana/fourth-circuit-court-of-appeal/2026-2026-ca-0114.pdf?ts=1790381783</w:t>
        </w:r>
      </w:hyperlink>
      <w:r>
        <w:t xml:space="preserve"> </w:t>
      </w:r>
    </w:p>
    <w:p w14:paraId="1B45D2BF" w14:textId="77777777" w:rsidR="00631CB0" w:rsidRDefault="00631CB0" w:rsidP="00631CB0">
      <w:pPr>
        <w:pStyle w:val="NoSpacing"/>
      </w:pPr>
    </w:p>
    <w:p w14:paraId="60B2B1B1" w14:textId="77777777" w:rsidR="00631CB0" w:rsidRPr="00B9792E" w:rsidRDefault="00631CB0" w:rsidP="00631CB0">
      <w:pPr>
        <w:pStyle w:val="NoSpacing"/>
      </w:pPr>
      <w:r>
        <w:t xml:space="preserve">THE COURT WROTE: </w:t>
      </w:r>
    </w:p>
    <w:p w14:paraId="4257B801" w14:textId="77777777" w:rsidR="00631CB0" w:rsidRPr="00B9530C" w:rsidRDefault="00631CB0" w:rsidP="00631CB0">
      <w:pPr>
        <w:pStyle w:val="NoSpacing"/>
      </w:pPr>
    </w:p>
    <w:p w14:paraId="3A3ADD00" w14:textId="77777777" w:rsidR="00631CB0" w:rsidRDefault="00631CB0" w:rsidP="00631CB0">
      <w:pPr>
        <w:pStyle w:val="NoSpacing"/>
        <w:ind w:left="720"/>
      </w:pPr>
      <w:r>
        <w:t>“</w:t>
      </w:r>
      <w:r w:rsidRPr="005D36DE">
        <w:t xml:space="preserve">Firefighter Briggs, appearing </w:t>
      </w:r>
      <w:r w:rsidRPr="005D36DE">
        <w:rPr>
          <w:i/>
          <w:iCs/>
        </w:rPr>
        <w:t>pro se</w:t>
      </w:r>
      <w:r w:rsidRPr="005D36DE">
        <w:t>, testified that he is a firefighter assigned to Engine 27 on the 1st Platoon. On March 21, 2025, he was called to a structure fire at a residential home in his territory. After extinguishing the fire with his team, Firefighter Briggs stated that it was his normal routine to rinse off his equipment, which is referred to as "</w:t>
      </w:r>
      <w:proofErr w:type="spellStart"/>
      <w:r w:rsidRPr="005D36DE">
        <w:t>decon</w:t>
      </w:r>
      <w:proofErr w:type="spellEnd"/>
      <w:r w:rsidRPr="005D36DE">
        <w:t>." His operator, who was the driver of the fire truck, sprayed him down and then he hung his bunker jacket on the intake</w:t>
      </w:r>
      <w:r w:rsidRPr="005D36DE">
        <w:rPr>
          <w:vertAlign w:val="superscript"/>
        </w:rPr>
        <w:t>[</w:t>
      </w:r>
      <w:hyperlink r:id="rId2589" w:anchor="ftn.FN3" w:history="1">
        <w:r w:rsidRPr="005D36DE">
          <w:rPr>
            <w:rStyle w:val="Hyperlink"/>
            <w:vertAlign w:val="superscript"/>
          </w:rPr>
          <w:t>3</w:t>
        </w:r>
      </w:hyperlink>
      <w:r w:rsidRPr="005D36DE">
        <w:rPr>
          <w:vertAlign w:val="superscript"/>
        </w:rPr>
        <w:t>]</w:t>
      </w:r>
      <w:r w:rsidRPr="005D36DE">
        <w:t xml:space="preserve">to let it drip dry. Soon thereafter, the chief on scene released Firefighter Briggs and his team, and they left. Once he returned to the fire station, he realized that he forgot his coat on the intake. Firefighter Briggs immediately notified Captain Gavin Murray ("Capt. Murray"), and the two returned to search for it. They canvassed the area but were unable to recover the jacket. Firefighter Briggs testified that he believed his bunker jacket had blown off the intake and was subsequently taken by someone. </w:t>
      </w:r>
    </w:p>
    <w:p w14:paraId="7F3D0C48" w14:textId="77777777" w:rsidR="00631CB0" w:rsidRDefault="00631CB0" w:rsidP="00631CB0">
      <w:pPr>
        <w:pStyle w:val="NoSpacing"/>
        <w:ind w:left="720"/>
      </w:pPr>
    </w:p>
    <w:p w14:paraId="640D2AB4" w14:textId="77777777" w:rsidR="00631CB0" w:rsidRPr="005D36DE" w:rsidRDefault="00631CB0" w:rsidP="00631CB0">
      <w:pPr>
        <w:pStyle w:val="NoSpacing"/>
        <w:ind w:left="720"/>
      </w:pPr>
      <w:r>
        <w:t>***</w:t>
      </w:r>
    </w:p>
    <w:p w14:paraId="682C21AA" w14:textId="77777777" w:rsidR="00631CB0" w:rsidRPr="005D36DE" w:rsidRDefault="00631CB0" w:rsidP="00631CB0">
      <w:pPr>
        <w:pStyle w:val="NoSpacing"/>
        <w:ind w:left="720"/>
      </w:pPr>
      <w:r w:rsidRPr="005D36DE">
        <w:t xml:space="preserve">On March 27, 2025, Firefighter Briggs was charged with the loss of his bunker jacket. He testified that on May 5, 2025, he received an email from the NOFD instructing him that a pre-disciplinary meeting would be held on May 8, 2025. Per advice from his superior, Firefighter Briggs replied to the email writing that he was in Florida on vacation and requested a thirty-day extension for the disciplinary hearing, which was granted. </w:t>
      </w:r>
    </w:p>
    <w:p w14:paraId="001474A4" w14:textId="77777777" w:rsidR="00631CB0" w:rsidRDefault="00631CB0" w:rsidP="00631CB0">
      <w:pPr>
        <w:pStyle w:val="NoSpacing"/>
      </w:pPr>
    </w:p>
    <w:p w14:paraId="2BCB710D" w14:textId="77777777" w:rsidR="00631CB0" w:rsidRDefault="00631CB0" w:rsidP="00631CB0">
      <w:pPr>
        <w:pStyle w:val="NoSpacing"/>
      </w:pPr>
      <w:r>
        <w:tab/>
        <w:t>***</w:t>
      </w:r>
    </w:p>
    <w:p w14:paraId="36BCBF6A" w14:textId="77777777" w:rsidR="00631CB0" w:rsidRDefault="00631CB0" w:rsidP="00631CB0">
      <w:pPr>
        <w:pStyle w:val="NoSpacing"/>
        <w:ind w:left="720"/>
      </w:pPr>
      <w:r w:rsidRPr="008B27E3">
        <w:t>Firefighter Briggs explained to the hearing examiner that his appeal should be granted because he requested a thirty-day extension for a pre-disciplinary hearing that was scheduled to take place on May 8, 2025. According to Firefighter Briggs, that thirty-day extension would have lapsed on June 7, 2025, which was 72 days from the date the investigation began on March 27, 2025. He concluded that</w:t>
      </w:r>
      <w:r>
        <w:t xml:space="preserve">  </w:t>
      </w:r>
      <w:r w:rsidRPr="0018213D">
        <w:t>the NOFD violated his Firefighter Bill of Rights when they extended the pre-disciplinary hearing beyond the thirty-day extension that he requested.</w:t>
      </w:r>
    </w:p>
    <w:p w14:paraId="020815C3" w14:textId="77777777" w:rsidR="00631CB0" w:rsidRDefault="00631CB0" w:rsidP="00631CB0">
      <w:pPr>
        <w:pStyle w:val="NoSpacing"/>
        <w:ind w:left="720"/>
      </w:pPr>
    </w:p>
    <w:p w14:paraId="0B377B90" w14:textId="77777777" w:rsidR="00631CB0" w:rsidRDefault="00631CB0" w:rsidP="00631CB0">
      <w:pPr>
        <w:pStyle w:val="NoSpacing"/>
        <w:ind w:left="720"/>
      </w:pPr>
      <w:r>
        <w:t>***</w:t>
      </w:r>
    </w:p>
    <w:p w14:paraId="6A8BECBF" w14:textId="77777777" w:rsidR="00631CB0" w:rsidRDefault="00631CB0" w:rsidP="00631CB0">
      <w:pPr>
        <w:pStyle w:val="NoSpacing"/>
        <w:ind w:left="720"/>
      </w:pPr>
      <w:r w:rsidRPr="005456D5">
        <w:t xml:space="preserve">In response to that June 13, </w:t>
      </w:r>
      <w:proofErr w:type="gramStart"/>
      <w:r w:rsidRPr="005456D5">
        <w:t>2025</w:t>
      </w:r>
      <w:proofErr w:type="gramEnd"/>
      <w:r w:rsidRPr="005456D5">
        <w:t xml:space="preserve"> email, he said that he </w:t>
      </w:r>
      <w:r>
        <w:t>‘</w:t>
      </w:r>
      <w:r w:rsidRPr="005456D5">
        <w:t>would be there</w:t>
      </w:r>
      <w:r>
        <w:t>’</w:t>
      </w:r>
      <w:r w:rsidRPr="005456D5">
        <w:t xml:space="preserve"> in reference to the pre-disciplinary hearing scheduled </w:t>
      </w:r>
      <w:proofErr w:type="gramStart"/>
      <w:r w:rsidRPr="005456D5">
        <w:t>on</w:t>
      </w:r>
      <w:proofErr w:type="gramEnd"/>
      <w:r w:rsidRPr="005456D5">
        <w:t xml:space="preserve"> June 19, 2025. Moreover, at the hearing on August 26, 2025, Firefighter Briggs testified that he agreed to the June 19, </w:t>
      </w:r>
      <w:proofErr w:type="gramStart"/>
      <w:r w:rsidRPr="005456D5">
        <w:t>2025</w:t>
      </w:r>
      <w:proofErr w:type="gramEnd"/>
      <w:r w:rsidRPr="005456D5">
        <w:t xml:space="preserve"> date. Although Firefighter Briggs initially requested only a thirty-day extension, his subsequent written agreement to the June 19, </w:t>
      </w:r>
      <w:proofErr w:type="gramStart"/>
      <w:r w:rsidRPr="005456D5">
        <w:t>2025</w:t>
      </w:r>
      <w:proofErr w:type="gramEnd"/>
      <w:r w:rsidRPr="005456D5">
        <w:t xml:space="preserve"> hearing date demonstrates his consent to an extension beyond the period originally </w:t>
      </w:r>
      <w:proofErr w:type="gramStart"/>
      <w:r w:rsidRPr="005456D5">
        <w:t>requested.</w:t>
      </w:r>
      <w:r>
        <w:t>”</w:t>
      </w:r>
      <w:proofErr w:type="gramEnd"/>
    </w:p>
    <w:p w14:paraId="15065D62" w14:textId="77777777" w:rsidR="00631CB0" w:rsidRDefault="00631CB0" w:rsidP="00631CB0">
      <w:pPr>
        <w:pStyle w:val="NoSpacing"/>
        <w:ind w:left="720"/>
      </w:pPr>
    </w:p>
    <w:p w14:paraId="3039226A" w14:textId="77777777" w:rsidR="00631CB0" w:rsidRPr="00E40EC5" w:rsidRDefault="00631CB0" w:rsidP="00631CB0">
      <w:pPr>
        <w:pStyle w:val="NoSpacing"/>
        <w:rPr>
          <w:b/>
          <w:bCs/>
        </w:rPr>
      </w:pPr>
      <w:r>
        <w:rPr>
          <w:b/>
        </w:rPr>
        <w:t xml:space="preserve">Legal lesson learned: The Civil Service Commission and the Court properly found that the firefighter agreed to an extension of time beyond the 60-day statute. </w:t>
      </w:r>
    </w:p>
    <w:p w14:paraId="1AE9FDA0" w14:textId="77777777" w:rsidR="00631CB0" w:rsidRDefault="00631CB0" w:rsidP="00631CB0">
      <w:pPr>
        <w:pStyle w:val="NoSpacing"/>
        <w:ind w:left="720"/>
      </w:pPr>
    </w:p>
    <w:p w14:paraId="1DB390AF" w14:textId="77777777" w:rsidR="00631CB0" w:rsidRDefault="00631CB0" w:rsidP="00631CB0">
      <w:pPr>
        <w:pStyle w:val="NoSpacing"/>
        <w:ind w:left="720"/>
      </w:pPr>
      <w:r>
        <w:t xml:space="preserve">Note: See December 11, </w:t>
      </w:r>
      <w:proofErr w:type="gramStart"/>
      <w:r>
        <w:t>2025</w:t>
      </w:r>
      <w:proofErr w:type="gramEnd"/>
      <w:r>
        <w:t xml:space="preserve"> decision by Civil Service Commission. </w:t>
      </w:r>
      <w:hyperlink r:id="rId2590" w:history="1">
        <w:r w:rsidRPr="00100364">
          <w:rPr>
            <w:rStyle w:val="Hyperlink"/>
          </w:rPr>
          <w:t>https://nola.gov/getattachment/cefa600c-f2f5-4d0d-99f9-fd0d14adc8f0/Briggs,-William-9751/</w:t>
        </w:r>
      </w:hyperlink>
      <w:r>
        <w:t xml:space="preserve"> </w:t>
      </w:r>
    </w:p>
    <w:p w14:paraId="0CC24DD6" w14:textId="77777777" w:rsidR="00631CB0" w:rsidRDefault="00631CB0" w:rsidP="00631CB0">
      <w:pPr>
        <w:pStyle w:val="NoSpacing"/>
      </w:pPr>
    </w:p>
    <w:p w14:paraId="1530D06E" w14:textId="77777777" w:rsidR="00631CB0" w:rsidRDefault="00631CB0" w:rsidP="00631CB0">
      <w:pPr>
        <w:pStyle w:val="NoSpacing"/>
      </w:pPr>
      <w:r>
        <w:tab/>
        <w:t xml:space="preserve">See YouTube: </w:t>
      </w:r>
      <w:hyperlink r:id="rId2591" w:history="1">
        <w:r w:rsidRPr="00100364">
          <w:rPr>
            <w:rStyle w:val="Hyperlink"/>
          </w:rPr>
          <w:t>https://www.facebook.com/reel/1853994902451720</w:t>
        </w:r>
      </w:hyperlink>
      <w:r>
        <w:t xml:space="preserve"> </w:t>
      </w:r>
    </w:p>
    <w:p w14:paraId="0CB8BC98" w14:textId="77777777" w:rsidR="00631CB0" w:rsidRDefault="00631CB0" w:rsidP="00631CB0">
      <w:pPr>
        <w:pStyle w:val="NoSpacing"/>
      </w:pPr>
    </w:p>
    <w:p w14:paraId="2627C247" w14:textId="77777777" w:rsidR="00631CB0" w:rsidRDefault="00631CB0" w:rsidP="00631CB0">
      <w:pPr>
        <w:pStyle w:val="NoSpacing"/>
      </w:pPr>
    </w:p>
    <w:p w14:paraId="6A8BFB32" w14:textId="305A8491" w:rsidR="0080796A" w:rsidRDefault="0080796A" w:rsidP="0080796A">
      <w:pPr>
        <w:pStyle w:val="NoSpacing"/>
        <w:rPr>
          <w:rFonts w:ascii="Arial Black" w:hAnsi="Arial Black"/>
          <w:sz w:val="28"/>
          <w:szCs w:val="28"/>
        </w:rPr>
      </w:pPr>
      <w:r>
        <w:rPr>
          <w:rFonts w:ascii="Arial Black" w:hAnsi="Arial Black"/>
          <w:b/>
          <w:sz w:val="28"/>
          <w:szCs w:val="28"/>
        </w:rPr>
        <w:t>16-1</w:t>
      </w:r>
      <w:r>
        <w:rPr>
          <w:rFonts w:ascii="Arial Black" w:hAnsi="Arial Black"/>
          <w:b/>
          <w:sz w:val="28"/>
          <w:szCs w:val="28"/>
        </w:rPr>
        <w:t>72</w:t>
      </w:r>
    </w:p>
    <w:p w14:paraId="024EB11E" w14:textId="77777777" w:rsidR="00631CB0" w:rsidRDefault="00631CB0" w:rsidP="00631CB0">
      <w:pPr>
        <w:pStyle w:val="NoSpacing"/>
      </w:pPr>
    </w:p>
    <w:p w14:paraId="1FED8153" w14:textId="77777777" w:rsidR="00631CB0" w:rsidRPr="00BF4CBC" w:rsidRDefault="00631CB0" w:rsidP="00631CB0">
      <w:pPr>
        <w:pStyle w:val="NoSpacing"/>
        <w:rPr>
          <w:rFonts w:ascii="Arial Black" w:hAnsi="Arial Black"/>
          <w:sz w:val="28"/>
          <w:szCs w:val="28"/>
        </w:rPr>
      </w:pPr>
      <w:r>
        <w:rPr>
          <w:rFonts w:ascii="Arial Black" w:hAnsi="Arial Black"/>
          <w:sz w:val="28"/>
          <w:szCs w:val="28"/>
        </w:rPr>
        <w:t>NY: FF TAKEN OFF FDNY RESCUE 1 – NOT TITLE VII CASE</w:t>
      </w:r>
    </w:p>
    <w:p w14:paraId="7587142F" w14:textId="77777777" w:rsidR="00631CB0" w:rsidRDefault="00631CB0" w:rsidP="00631CB0">
      <w:pPr>
        <w:pStyle w:val="NoSpacing"/>
      </w:pPr>
    </w:p>
    <w:p w14:paraId="5A1E4768" w14:textId="77777777" w:rsidR="00631CB0" w:rsidRDefault="00631CB0" w:rsidP="00631CB0">
      <w:pPr>
        <w:pStyle w:val="NoSpacing"/>
      </w:pPr>
      <w:r>
        <w:t xml:space="preserve">On September 24, 2026, in </w:t>
      </w:r>
      <w:r w:rsidRPr="00C2089A">
        <w:rPr>
          <w:u w:val="single"/>
        </w:rPr>
        <w:t>Daniel Hyland v. New York City Fire Department, et al</w:t>
      </w:r>
      <w:r>
        <w:t>., U.S. District Court Judge Eric N. Vitaliano, United States District Court for the Eastern District of New York, granted the City’s motion to dismiss.  He was transferred out of Rescue 1 – “</w:t>
      </w:r>
      <w:r w:rsidRPr="00EE4408">
        <w:t>FDNY's premier rescue company within the Special Operations Comman</w:t>
      </w:r>
      <w:r>
        <w:t xml:space="preserve">d” – when he wrote a letter on September 3, </w:t>
      </w:r>
      <w:proofErr w:type="gramStart"/>
      <w:r>
        <w:t>2019</w:t>
      </w:r>
      <w:proofErr w:type="gramEnd"/>
      <w:r>
        <w:t xml:space="preserve"> in support of a Captain that had been removed </w:t>
      </w:r>
      <w:r w:rsidRPr="004E2682">
        <w:t xml:space="preserve">after </w:t>
      </w:r>
      <w:r>
        <w:t xml:space="preserve">the </w:t>
      </w:r>
      <w:proofErr w:type="gramStart"/>
      <w:r>
        <w:t>Captain</w:t>
      </w:r>
      <w:proofErr w:type="gramEnd"/>
      <w:r>
        <w:t xml:space="preserve"> “</w:t>
      </w:r>
      <w:r w:rsidRPr="004E2682">
        <w:t>had allegedly lost support of certain Rescue 1 members</w:t>
      </w:r>
      <w:r>
        <w:t xml:space="preserve">.”  The Court dismissed the lawsuit for two reasons: first, it was not filed within 300 days when FD in July 2000 cancelled his return to Rescue 1; second, the letter was not a “protected activity” under Title VII. </w:t>
      </w:r>
    </w:p>
    <w:p w14:paraId="56A65631" w14:textId="77777777" w:rsidR="00631CB0" w:rsidRDefault="00631CB0" w:rsidP="00631CB0">
      <w:pPr>
        <w:pStyle w:val="NoSpacing"/>
      </w:pPr>
      <w:hyperlink r:id="rId2592" w:history="1">
        <w:r w:rsidRPr="00CC3A18">
          <w:rPr>
            <w:rStyle w:val="Hyperlink"/>
          </w:rPr>
          <w:t>https://public.fastcase.com/Jhe1Qn%2BmJndQYQU6z%2FeNmxi4PaOcam37CuVR4PMMuop9FGToKQtiQd30kaMEJbo3CL%2BYN%2B6EfwCT7dt88wxkzpGzQCNmNk3%2F0pVyFH6jtSI%3D?utm_medium=email&amp;_hsenc=p2ANqtz-_UH_fvmHtdTd5OahpBFKe0bhZ4iSNbkGmDj6kzzEpGQN_wOqsN3vuic8Df0wkIDG6b_26qwBRjtD5KfFaQS1quHcXtdA&amp;_hsmi=226712652&amp;utm_content=226712652&amp;utm_source=hs_email</w:t>
        </w:r>
      </w:hyperlink>
      <w:r>
        <w:t xml:space="preserve"> </w:t>
      </w:r>
    </w:p>
    <w:p w14:paraId="464587D7" w14:textId="77777777" w:rsidR="00631CB0" w:rsidRDefault="00631CB0" w:rsidP="00631CB0">
      <w:pPr>
        <w:pStyle w:val="NoSpacing"/>
      </w:pPr>
    </w:p>
    <w:p w14:paraId="74792E7A" w14:textId="77777777" w:rsidR="00631CB0" w:rsidRDefault="00631CB0" w:rsidP="00631CB0">
      <w:pPr>
        <w:pStyle w:val="NoSpacing"/>
      </w:pPr>
      <w:r>
        <w:t xml:space="preserve">THE COURT WROTE: </w:t>
      </w:r>
    </w:p>
    <w:p w14:paraId="67F8E352" w14:textId="77777777" w:rsidR="00631CB0" w:rsidRDefault="00631CB0" w:rsidP="00631CB0">
      <w:pPr>
        <w:pStyle w:val="NoSpacing"/>
      </w:pPr>
    </w:p>
    <w:p w14:paraId="5235BB4C" w14:textId="77777777" w:rsidR="00631CB0" w:rsidRDefault="00631CB0" w:rsidP="00631CB0">
      <w:pPr>
        <w:pStyle w:val="NoSpacing"/>
        <w:ind w:left="720"/>
      </w:pPr>
      <w:r>
        <w:t>“</w:t>
      </w:r>
      <w:r w:rsidRPr="004F2D46">
        <w:t>When rumors circulated that Rescue 1 did not wish for Captain Robert Morris to return to the command after he had allegedly lost support of certain Rescue 1 members, Hyland wrote a letter in his support on September 3, 2019</w:t>
      </w:r>
      <w:r>
        <w:t xml:space="preserve">…. </w:t>
      </w:r>
      <w:r w:rsidRPr="004F2D46">
        <w:t>He confided in an Equal Employment Opportunity (</w:t>
      </w:r>
      <w:r>
        <w:t>‘</w:t>
      </w:r>
      <w:r w:rsidRPr="004F2D46">
        <w:t>EEO</w:t>
      </w:r>
      <w:r>
        <w:t>’</w:t>
      </w:r>
      <w:r w:rsidRPr="004F2D46">
        <w:t>) counselor that his then-interim captain was harassing him due to that letter</w:t>
      </w:r>
      <w:r>
        <w:t>….</w:t>
      </w:r>
      <w:r w:rsidRPr="004F2D46">
        <w:t xml:space="preserve">Hyland claims that his work environment turned hostile, as demonstrated by the hanging of a walking cane-with </w:t>
      </w:r>
      <w:r>
        <w:t>‘</w:t>
      </w:r>
      <w:r w:rsidRPr="004F2D46">
        <w:t>Firefighter Attitude Adjustment Cane</w:t>
      </w:r>
      <w:r>
        <w:t>’</w:t>
      </w:r>
      <w:r w:rsidRPr="004F2D46">
        <w:t xml:space="preserve"> and </w:t>
      </w:r>
      <w:r>
        <w:t>‘</w:t>
      </w:r>
      <w:r w:rsidRPr="004F2D46">
        <w:t>Hyland</w:t>
      </w:r>
      <w:r>
        <w:t xml:space="preserve">’ </w:t>
      </w:r>
      <w:r w:rsidRPr="004F2D46">
        <w:t xml:space="preserve"> written on it-in the firehouse office, which he interpreted as a threat of violence</w:t>
      </w:r>
      <w:r>
        <w:t xml:space="preserve">…. </w:t>
      </w:r>
      <w:r w:rsidRPr="004F2D46">
        <w:t xml:space="preserve">In October 2019, Hyland filed his first EEO complaint; soon thereafter, he says, </w:t>
      </w:r>
      <w:r>
        <w:t>‘</w:t>
      </w:r>
      <w:r w:rsidRPr="004F2D46">
        <w:t xml:space="preserve">he was recommended to go </w:t>
      </w:r>
      <w:proofErr w:type="gramStart"/>
      <w:r w:rsidRPr="004F2D46">
        <w:t>on temporary detail”</w:t>
      </w:r>
      <w:proofErr w:type="gramEnd"/>
      <w:r w:rsidRPr="004F2D46">
        <w:t xml:space="preserve"> to facilitate an investigation.</w:t>
      </w:r>
      <w:r>
        <w:t>’</w:t>
      </w:r>
      <w:r w:rsidRPr="004F2D46">
        <w:t xml:space="preserve"> </w:t>
      </w:r>
      <w:r>
        <w:t xml:space="preserve">… </w:t>
      </w:r>
      <w:r w:rsidRPr="00E52119">
        <w:t>In July 2020 he was reassigned to Rescue 1; but three days prior to the scheduled return, he claims Commissioner Nigro canceled the reassignment and placed him in Rescue 5, where he remains</w:t>
      </w:r>
      <w:r>
        <w:t>.</w:t>
      </w:r>
    </w:p>
    <w:p w14:paraId="725F2BC5" w14:textId="77777777" w:rsidR="00631CB0" w:rsidRDefault="00631CB0" w:rsidP="00631CB0">
      <w:pPr>
        <w:pStyle w:val="NoSpacing"/>
        <w:ind w:left="720"/>
      </w:pPr>
    </w:p>
    <w:p w14:paraId="481F2A9D" w14:textId="77777777" w:rsidR="00631CB0" w:rsidRDefault="00631CB0" w:rsidP="00631CB0">
      <w:pPr>
        <w:pStyle w:val="NoSpacing"/>
        <w:ind w:left="720"/>
      </w:pPr>
      <w:r>
        <w:t>***</w:t>
      </w:r>
    </w:p>
    <w:p w14:paraId="6EB2A139" w14:textId="77777777" w:rsidR="00631CB0" w:rsidRDefault="00631CB0" w:rsidP="00631CB0">
      <w:pPr>
        <w:pStyle w:val="NoSpacing"/>
        <w:ind w:left="720"/>
      </w:pPr>
      <w:r w:rsidRPr="00A265A3">
        <w:t>In support of dismissal, defendants argue that the 300-day clock started when defendants canceled Hyland's transfer in July 2020</w:t>
      </w:r>
      <w:r>
        <w:t xml:space="preserve"> … </w:t>
      </w:r>
      <w:r w:rsidRPr="00A265A3">
        <w:t>rendering any EEOC claim filed after April or May 2021 time-barred</w:t>
      </w:r>
      <w:r>
        <w:t xml:space="preserve">….  </w:t>
      </w:r>
      <w:r w:rsidRPr="007A1944">
        <w:t xml:space="preserve">Hyland contends that defendants </w:t>
      </w:r>
      <w:r>
        <w:t>‘</w:t>
      </w:r>
      <w:r w:rsidRPr="007A1944">
        <w:t>committed [two] additional adverse action[s]</w:t>
      </w:r>
      <w:r>
        <w:t xml:space="preserve">’ </w:t>
      </w:r>
      <w:r w:rsidRPr="007A1944">
        <w:t xml:space="preserve"> by denying the two transfer requests filed in fall 2023</w:t>
      </w:r>
      <w:r>
        <w:t xml:space="preserve">…. </w:t>
      </w:r>
      <w:r w:rsidRPr="000D69C5">
        <w:t xml:space="preserve">Hyland's argument paints </w:t>
      </w:r>
      <w:proofErr w:type="gramStart"/>
      <w:r w:rsidRPr="000D69C5">
        <w:t>all of</w:t>
      </w:r>
      <w:proofErr w:type="gramEnd"/>
      <w:r w:rsidRPr="000D69C5">
        <w:t xml:space="preserve"> the denials of his transfer requests as discrete decisions, but Hyland alleges no new retaliatory predicates. Without that, at best, the transfer requests filed in October and November 2023 are </w:t>
      </w:r>
      <w:r>
        <w:t>‘</w:t>
      </w:r>
      <w:r w:rsidRPr="000D69C5">
        <w:t>requests to reconsider</w:t>
      </w:r>
      <w:r>
        <w:t>’</w:t>
      </w:r>
      <w:r w:rsidRPr="000D69C5">
        <w:t xml:space="preserve"> the denial from 2020 and </w:t>
      </w:r>
      <w:r>
        <w:t>‘</w:t>
      </w:r>
      <w:r w:rsidRPr="000D69C5">
        <w:t>cannot extend the limitations period applicable to the civil rights laws.</w:t>
      </w:r>
      <w:r>
        <w:t>’</w:t>
      </w:r>
    </w:p>
    <w:p w14:paraId="55DFFFE4" w14:textId="77777777" w:rsidR="00631CB0" w:rsidRDefault="00631CB0" w:rsidP="00631CB0">
      <w:pPr>
        <w:pStyle w:val="NoSpacing"/>
        <w:ind w:left="720"/>
      </w:pPr>
    </w:p>
    <w:p w14:paraId="0D68B528" w14:textId="77777777" w:rsidR="00631CB0" w:rsidRDefault="00631CB0" w:rsidP="00631CB0">
      <w:pPr>
        <w:pStyle w:val="NoSpacing"/>
        <w:ind w:left="720"/>
      </w:pPr>
      <w:r>
        <w:t>***</w:t>
      </w:r>
    </w:p>
    <w:p w14:paraId="04FA8585" w14:textId="77777777" w:rsidR="00631CB0" w:rsidRPr="004F2D46" w:rsidRDefault="00631CB0" w:rsidP="00631CB0">
      <w:pPr>
        <w:pStyle w:val="NoSpacing"/>
        <w:ind w:left="720"/>
      </w:pPr>
      <w:r>
        <w:t xml:space="preserve">  </w:t>
      </w:r>
    </w:p>
    <w:p w14:paraId="19E0E575" w14:textId="77777777" w:rsidR="00631CB0" w:rsidRDefault="00631CB0" w:rsidP="00631CB0">
      <w:pPr>
        <w:pStyle w:val="NoSpacing"/>
        <w:ind w:left="720"/>
      </w:pPr>
      <w:r w:rsidRPr="00801B8D">
        <w:t xml:space="preserve">Likewise, the letter neither states nor implies that Captain Morris's removal derived from or was affiliated with discrimination under Title VII. </w:t>
      </w:r>
      <w:r w:rsidRPr="00801B8D">
        <w:rPr>
          <w:i/>
          <w:iCs/>
        </w:rPr>
        <w:t>See</w:t>
      </w:r>
      <w:r w:rsidRPr="00801B8D">
        <w:t xml:space="preserve"> Mot. Ex. A, at 2. Hyland's tally of colleagues who would support Captain Morris's return aims to debunk rumors, not to oppose statutorily proscribed conduct</w:t>
      </w:r>
      <w:r>
        <w:t xml:space="preserve">…. </w:t>
      </w:r>
      <w:r w:rsidRPr="00801B8D">
        <w:t xml:space="preserve">Accordingly, this letter does not qualify as a foundation for a Title VII claim in the Second Circuit, where general complaints about employment-related concerns do not qualify on their own as </w:t>
      </w:r>
      <w:r>
        <w:t>‘</w:t>
      </w:r>
      <w:r w:rsidRPr="00801B8D">
        <w:t>protected activity.</w:t>
      </w:r>
      <w:r>
        <w:t xml:space="preserve">’” </w:t>
      </w:r>
    </w:p>
    <w:p w14:paraId="63CF7E70" w14:textId="77777777" w:rsidR="00631CB0" w:rsidRDefault="00631CB0" w:rsidP="00631CB0">
      <w:pPr>
        <w:pStyle w:val="NoSpacing"/>
      </w:pPr>
    </w:p>
    <w:p w14:paraId="2A326CB9" w14:textId="77777777" w:rsidR="00631CB0" w:rsidRPr="007240DF" w:rsidRDefault="00631CB0" w:rsidP="00631CB0">
      <w:pPr>
        <w:pStyle w:val="NoSpacing"/>
        <w:rPr>
          <w:b/>
          <w:bCs/>
        </w:rPr>
      </w:pPr>
      <w:r>
        <w:t xml:space="preserve"> </w:t>
      </w:r>
      <w:r>
        <w:rPr>
          <w:b/>
        </w:rPr>
        <w:t xml:space="preserve">Legal lesson learned: Under Title VII of the Civil Rights Act of 1984, the lawsuit had to be filed within 300 days of the discriminatory act. </w:t>
      </w:r>
    </w:p>
    <w:p w14:paraId="6B81CD78" w14:textId="77777777" w:rsidR="00631CB0" w:rsidRDefault="00631CB0" w:rsidP="00631CB0">
      <w:pPr>
        <w:pStyle w:val="NoSpacing"/>
      </w:pPr>
    </w:p>
    <w:p w14:paraId="6DB473BF" w14:textId="77777777" w:rsidR="00631CB0" w:rsidRDefault="00631CB0" w:rsidP="00631CB0">
      <w:pPr>
        <w:pStyle w:val="NoSpacing"/>
      </w:pPr>
    </w:p>
    <w:p w14:paraId="3EC949AB" w14:textId="77777777" w:rsidR="00631CB0" w:rsidRDefault="00631CB0" w:rsidP="00631CB0">
      <w:pPr>
        <w:pStyle w:val="NoSpacing"/>
      </w:pPr>
    </w:p>
    <w:p w14:paraId="4B1BF286" w14:textId="77777777" w:rsidR="00631CB0" w:rsidRDefault="00631CB0" w:rsidP="00631CB0">
      <w:pPr>
        <w:pStyle w:val="NoSpacing"/>
      </w:pPr>
    </w:p>
    <w:p w14:paraId="0A33CA83" w14:textId="77777777" w:rsidR="00631CB0" w:rsidRDefault="00631CB0" w:rsidP="00631CB0">
      <w:pPr>
        <w:pStyle w:val="NoSpacing"/>
      </w:pPr>
    </w:p>
    <w:p w14:paraId="7FECB02B" w14:textId="77777777" w:rsidR="00631CB0" w:rsidRDefault="00631CB0" w:rsidP="00631CB0">
      <w:pPr>
        <w:pStyle w:val="NoSpacing"/>
      </w:pPr>
    </w:p>
    <w:p w14:paraId="21D7E836" w14:textId="3BB71905" w:rsidR="0080796A" w:rsidRDefault="0080796A" w:rsidP="0080796A">
      <w:pPr>
        <w:pStyle w:val="NoSpacing"/>
        <w:rPr>
          <w:rFonts w:ascii="Arial Black" w:hAnsi="Arial Black"/>
          <w:sz w:val="28"/>
          <w:szCs w:val="28"/>
        </w:rPr>
      </w:pPr>
      <w:r>
        <w:rPr>
          <w:rFonts w:ascii="Arial Black" w:hAnsi="Arial Black"/>
          <w:b/>
          <w:sz w:val="28"/>
          <w:szCs w:val="28"/>
        </w:rPr>
        <w:t>16-1</w:t>
      </w:r>
      <w:r>
        <w:rPr>
          <w:rFonts w:ascii="Arial Black" w:hAnsi="Arial Black"/>
          <w:b/>
          <w:sz w:val="28"/>
          <w:szCs w:val="28"/>
        </w:rPr>
        <w:t>71</w:t>
      </w:r>
    </w:p>
    <w:p w14:paraId="5338C86E" w14:textId="77777777" w:rsidR="00631CB0" w:rsidRDefault="00631CB0" w:rsidP="00631CB0">
      <w:pPr>
        <w:pStyle w:val="NoSpacing"/>
        <w:rPr>
          <w:rFonts w:ascii="Arial Black" w:hAnsi="Arial Black"/>
          <w:sz w:val="28"/>
          <w:szCs w:val="28"/>
        </w:rPr>
      </w:pPr>
    </w:p>
    <w:p w14:paraId="446E0405" w14:textId="77777777" w:rsidR="00631CB0" w:rsidRPr="00210101" w:rsidRDefault="00631CB0" w:rsidP="00631CB0">
      <w:pPr>
        <w:pStyle w:val="NoSpacing"/>
        <w:rPr>
          <w:rFonts w:ascii="Arial Black" w:hAnsi="Arial Black"/>
          <w:sz w:val="28"/>
          <w:szCs w:val="28"/>
        </w:rPr>
      </w:pPr>
      <w:r>
        <w:rPr>
          <w:rFonts w:ascii="Arial Black" w:hAnsi="Arial Black"/>
          <w:sz w:val="28"/>
          <w:szCs w:val="28"/>
        </w:rPr>
        <w:t>CO: ADMIN EMPLOYEE – PIP – FIRED CAUSE / NEW CHIEF</w:t>
      </w:r>
    </w:p>
    <w:p w14:paraId="4B9D0869" w14:textId="77777777" w:rsidR="00631CB0" w:rsidRDefault="00631CB0" w:rsidP="00631CB0">
      <w:pPr>
        <w:pStyle w:val="NoSpacing"/>
      </w:pPr>
    </w:p>
    <w:p w14:paraId="625880C1" w14:textId="77777777" w:rsidR="00631CB0" w:rsidRDefault="00631CB0" w:rsidP="00631CB0">
      <w:pPr>
        <w:pStyle w:val="NoSpacing"/>
      </w:pPr>
      <w:r>
        <w:t xml:space="preserve">On September 23, 2026, in </w:t>
      </w:r>
      <w:r w:rsidRPr="005C658E">
        <w:rPr>
          <w:u w:val="single"/>
        </w:rPr>
        <w:t>Deborah Bardol v. City of Salida</w:t>
      </w:r>
      <w:r>
        <w:t xml:space="preserve">, U.S. Magistrate Judge Kathryn A. </w:t>
      </w:r>
      <w:proofErr w:type="spellStart"/>
      <w:r>
        <w:t>Starnella</w:t>
      </w:r>
      <w:proofErr w:type="spellEnd"/>
      <w:r>
        <w:t xml:space="preserve">, United States District Court for District of Colorado, granted city’s motion to dismiss the lawsuit.  The plaintiff was the civilian “Administrative Coordinator” for the FD and in August 2023 complained to City about the former Fire Chiefs suggestive comments.  When the new Fire Chief took over in March 2024, he required her to be competent in </w:t>
      </w:r>
      <w:r w:rsidRPr="00243D6D">
        <w:t>Microsoft Word and Excel, Facebook, Canva, web design, accounting, and budgeting</w:t>
      </w:r>
      <w:r>
        <w:t xml:space="preserve">. Within one month, she was placed on Performance Improvement Plan, and then fired in </w:t>
      </w:r>
      <w:proofErr w:type="gramStart"/>
      <w:r>
        <w:t>August,</w:t>
      </w:r>
      <w:proofErr w:type="gramEnd"/>
      <w:r>
        <w:t xml:space="preserve"> 2024.  “[Fire Chief] </w:t>
      </w:r>
      <w:r w:rsidRPr="00646B40">
        <w:t>Jonke's ongoing dissatisfaction with her work, and that these issues were the primary reason for her termination undermine her theory that retaliation was the but for cause of her termination</w:t>
      </w:r>
      <w:r>
        <w:t xml:space="preserve">” </w:t>
      </w:r>
      <w:hyperlink r:id="rId2593" w:history="1">
        <w:r w:rsidRPr="00FD1476">
          <w:rPr>
            <w:rStyle w:val="Hyperlink"/>
          </w:rPr>
          <w:t>https://public.fastcase.com/Jhe1Qn%2BmJndQYQU6z%2FeNm03rSbT1WPluXAyI3UWCR2L7V%2Bey%2BJ8wdDrtAB2umGFhZFKTsfuHJZ%2BClJu5yYg23%2FI8uYDwA8OuOOAqECdXc7s%3D?utm_medium=email&amp;_hsenc=p2ANqtz-8jQXFpshzWyDRKMA3zpT0tHp6z1S5GiGhPHCM5rup0a_jGkFJkmnkt2CbZtblHgzjrR7970e07wy4vVnc0PyM0sbY29A&amp;_hsmi=226712652&amp;utm_content=226712652&amp;utm_source=hs_email</w:t>
        </w:r>
      </w:hyperlink>
      <w:r>
        <w:t xml:space="preserve">  </w:t>
      </w:r>
    </w:p>
    <w:p w14:paraId="7850596E" w14:textId="77777777" w:rsidR="00631CB0" w:rsidRDefault="00631CB0" w:rsidP="00631CB0">
      <w:pPr>
        <w:pStyle w:val="NoSpacing"/>
      </w:pPr>
    </w:p>
    <w:p w14:paraId="3D83D1B0" w14:textId="77777777" w:rsidR="00631CB0" w:rsidRDefault="00631CB0" w:rsidP="00631CB0">
      <w:pPr>
        <w:pStyle w:val="NoSpacing"/>
      </w:pPr>
      <w:r>
        <w:t>THE COURT WROTE:</w:t>
      </w:r>
    </w:p>
    <w:p w14:paraId="0510292E" w14:textId="77777777" w:rsidR="00631CB0" w:rsidRDefault="00631CB0" w:rsidP="00631CB0">
      <w:pPr>
        <w:pStyle w:val="NoSpacing"/>
      </w:pPr>
    </w:p>
    <w:p w14:paraId="58086DD3" w14:textId="77777777" w:rsidR="00631CB0" w:rsidRDefault="00631CB0" w:rsidP="00631CB0">
      <w:pPr>
        <w:pStyle w:val="NoSpacing"/>
        <w:ind w:left="720"/>
      </w:pPr>
      <w:r>
        <w:t>“</w:t>
      </w:r>
      <w:r w:rsidRPr="0056351F">
        <w:t xml:space="preserve">In March 2024, Aaron Jonke took over as Chief of the Fire Department, and he was </w:t>
      </w:r>
      <w:r>
        <w:t>‘</w:t>
      </w:r>
      <w:r w:rsidRPr="0056351F">
        <w:t>especially stern to [Plaintiff] when it came to work expectations.</w:t>
      </w:r>
      <w:r>
        <w:t xml:space="preserve">’… </w:t>
      </w:r>
      <w:r w:rsidRPr="0056351F">
        <w:t xml:space="preserve"> He assigned her </w:t>
      </w:r>
      <w:r>
        <w:t>‘</w:t>
      </w:r>
      <w:r w:rsidRPr="0056351F">
        <w:t>new tasks which were not in [her] job description and [she] managed to learn new duties slowly and surely.</w:t>
      </w:r>
      <w:r>
        <w:t xml:space="preserve">’ … </w:t>
      </w:r>
      <w:r w:rsidRPr="0056351F">
        <w:t>These tasks required competency with Microsoft Word and Excel, Facebook, Canva, web design, accounting, and budgeting-skills that Plaintiff did not possess but tried to learn from YouTube videos when her time allowed</w:t>
      </w:r>
      <w:r>
        <w:t xml:space="preserve">…. </w:t>
      </w:r>
      <w:r w:rsidRPr="0056351F">
        <w:t xml:space="preserve">Nevertheless, within a month of taking over as Chief, Jonke put Plaintiff on a performance </w:t>
      </w:r>
      <w:r>
        <w:t>i</w:t>
      </w:r>
      <w:r w:rsidRPr="0056351F">
        <w:t xml:space="preserve">mprovement plan because Plaintiff </w:t>
      </w:r>
      <w:r>
        <w:t>‘</w:t>
      </w:r>
      <w:r w:rsidRPr="0056351F">
        <w:t>was not working fast enough to reach his expectation for an administrator</w:t>
      </w:r>
      <w:r>
        <w:t xml:space="preserve">…. </w:t>
      </w:r>
      <w:r w:rsidRPr="0056351F">
        <w:t xml:space="preserve">Jonke terminated Plaintiff in August 2024 because she </w:t>
      </w:r>
      <w:r>
        <w:t>‘</w:t>
      </w:r>
      <w:r w:rsidRPr="0056351F">
        <w:t>could not fulfill the duties of [her] current role at the Fire Department.</w:t>
      </w:r>
      <w:r>
        <w:t xml:space="preserve">’ </w:t>
      </w:r>
    </w:p>
    <w:p w14:paraId="566A269F" w14:textId="77777777" w:rsidR="00631CB0" w:rsidRDefault="00631CB0" w:rsidP="00631CB0">
      <w:pPr>
        <w:pStyle w:val="NoSpacing"/>
        <w:ind w:left="720"/>
      </w:pPr>
    </w:p>
    <w:p w14:paraId="41587BFA" w14:textId="77777777" w:rsidR="00631CB0" w:rsidRDefault="00631CB0" w:rsidP="00631CB0">
      <w:pPr>
        <w:pStyle w:val="NoSpacing"/>
        <w:ind w:left="720"/>
      </w:pPr>
      <w:r w:rsidRPr="0056351F">
        <w:t xml:space="preserve">Plaintiff asked Jonke if she was being fired because she did not get along with </w:t>
      </w:r>
      <w:r>
        <w:t xml:space="preserve">[Assistant Fire Chief </w:t>
      </w:r>
      <w:r w:rsidRPr="00EA74FE">
        <w:t>Kathy</w:t>
      </w:r>
      <w:r>
        <w:t xml:space="preserve">] </w:t>
      </w:r>
      <w:r w:rsidRPr="0056351F">
        <w:t xml:space="preserve">Rohrich, to which Jonke allegedly replied, </w:t>
      </w:r>
      <w:r>
        <w:t>‘</w:t>
      </w:r>
      <w:r w:rsidRPr="0056351F">
        <w:t>It is very awkward in that office,</w:t>
      </w:r>
      <w:r>
        <w:t xml:space="preserve">’ </w:t>
      </w:r>
      <w:r w:rsidRPr="0056351F">
        <w:t xml:space="preserve">Plaintiff's relationship with Rohrich </w:t>
      </w:r>
      <w:r>
        <w:t>‘</w:t>
      </w:r>
      <w:r w:rsidRPr="0056351F">
        <w:t>just [was] not working,</w:t>
      </w:r>
      <w:r>
        <w:t>’</w:t>
      </w:r>
      <w:r w:rsidRPr="0056351F">
        <w:t xml:space="preserve"> and </w:t>
      </w:r>
      <w:r>
        <w:t>‘</w:t>
      </w:r>
      <w:r w:rsidRPr="0056351F">
        <w:t>she is sworn personnel and a career fireman and you are just an administrator.</w:t>
      </w:r>
      <w:r>
        <w:t xml:space="preserve">’ … </w:t>
      </w:r>
      <w:r w:rsidRPr="0056351F">
        <w:t xml:space="preserve">Plaintiff alleges her belief that she was terminated in retaliation for her complaint to the </w:t>
      </w:r>
      <w:proofErr w:type="gramStart"/>
      <w:r w:rsidRPr="0056351F">
        <w:t>City</w:t>
      </w:r>
      <w:proofErr w:type="gramEnd"/>
      <w:r w:rsidRPr="0056351F">
        <w:t>.</w:t>
      </w:r>
    </w:p>
    <w:p w14:paraId="7A98F3F8" w14:textId="77777777" w:rsidR="00631CB0" w:rsidRDefault="00631CB0" w:rsidP="00631CB0">
      <w:pPr>
        <w:pStyle w:val="NoSpacing"/>
        <w:ind w:left="720"/>
      </w:pPr>
    </w:p>
    <w:p w14:paraId="58D45C3D" w14:textId="77777777" w:rsidR="00631CB0" w:rsidRPr="0056351F" w:rsidRDefault="00631CB0" w:rsidP="00631CB0">
      <w:pPr>
        <w:pStyle w:val="NoSpacing"/>
        <w:ind w:left="720"/>
      </w:pPr>
      <w:r>
        <w:t>***</w:t>
      </w:r>
      <w:r w:rsidRPr="0056351F">
        <w:t xml:space="preserve"> </w:t>
      </w:r>
    </w:p>
    <w:p w14:paraId="65E386C5" w14:textId="77777777" w:rsidR="00631CB0" w:rsidRDefault="00631CB0" w:rsidP="00631CB0">
      <w:pPr>
        <w:pStyle w:val="NoSpacing"/>
      </w:pPr>
    </w:p>
    <w:p w14:paraId="64B62202" w14:textId="77777777" w:rsidR="00631CB0" w:rsidRDefault="00631CB0" w:rsidP="00631CB0">
      <w:pPr>
        <w:pStyle w:val="NoSpacing"/>
        <w:ind w:left="720"/>
      </w:pPr>
      <w:r w:rsidRPr="00646B40">
        <w:t xml:space="preserve">Plaintiff's unfamiliarity with skills that Jonke believed were critical to the job, her slow pace, </w:t>
      </w:r>
      <w:r>
        <w:t xml:space="preserve">[Fire Chief] </w:t>
      </w:r>
      <w:r w:rsidRPr="00646B40">
        <w:t xml:space="preserve">Jonke's ongoing dissatisfaction with her work, and that these issues were the primary reason for her termination undermine her theory that retaliation was the but for </w:t>
      </w:r>
      <w:proofErr w:type="gramStart"/>
      <w:r w:rsidRPr="00646B40">
        <w:t>cause</w:t>
      </w:r>
      <w:proofErr w:type="gramEnd"/>
      <w:r w:rsidRPr="00646B40">
        <w:t xml:space="preserve"> of her termination</w:t>
      </w:r>
      <w:r>
        <w:t>.”</w:t>
      </w:r>
    </w:p>
    <w:p w14:paraId="3A439CE4" w14:textId="77777777" w:rsidR="00631CB0" w:rsidRDefault="00631CB0" w:rsidP="00631CB0">
      <w:pPr>
        <w:pStyle w:val="NoSpacing"/>
        <w:ind w:left="720"/>
      </w:pPr>
    </w:p>
    <w:p w14:paraId="4EE69B76" w14:textId="77777777" w:rsidR="00631CB0" w:rsidRPr="003F413D" w:rsidRDefault="00631CB0" w:rsidP="00631CB0">
      <w:pPr>
        <w:rPr>
          <w:b/>
          <w:bCs/>
        </w:rPr>
      </w:pPr>
      <w:r>
        <w:rPr>
          <w:b/>
        </w:rPr>
        <w:t xml:space="preserve">Legal lesson learned: Placing a poor performing employee on a PIP is an effective management tool, that can support a subsequent termination decision. </w:t>
      </w:r>
    </w:p>
    <w:p w14:paraId="7FE6E663" w14:textId="77777777" w:rsidR="00631CB0" w:rsidRDefault="00631CB0" w:rsidP="00631CB0">
      <w:pPr>
        <w:pStyle w:val="NoSpacing"/>
      </w:pPr>
    </w:p>
    <w:p w14:paraId="58217314" w14:textId="77777777" w:rsidR="00631CB0" w:rsidRDefault="00631CB0" w:rsidP="00631CB0">
      <w:pPr>
        <w:pStyle w:val="NoSpacing"/>
      </w:pPr>
    </w:p>
    <w:p w14:paraId="3DCEBC4C" w14:textId="5ADA69A4" w:rsidR="0080796A" w:rsidRDefault="0080796A" w:rsidP="0080796A">
      <w:pPr>
        <w:pStyle w:val="NoSpacing"/>
        <w:rPr>
          <w:rFonts w:ascii="Arial Black" w:hAnsi="Arial Black"/>
          <w:sz w:val="28"/>
          <w:szCs w:val="28"/>
        </w:rPr>
      </w:pPr>
      <w:r>
        <w:rPr>
          <w:rFonts w:ascii="Arial Black" w:hAnsi="Arial Black"/>
          <w:b/>
          <w:sz w:val="28"/>
          <w:szCs w:val="28"/>
        </w:rPr>
        <w:t>16-1</w:t>
      </w:r>
      <w:r>
        <w:rPr>
          <w:rFonts w:ascii="Arial Black" w:hAnsi="Arial Black"/>
          <w:b/>
          <w:sz w:val="28"/>
          <w:szCs w:val="28"/>
        </w:rPr>
        <w:t>70</w:t>
      </w:r>
    </w:p>
    <w:p w14:paraId="7AD7019E" w14:textId="77777777" w:rsidR="00631CB0" w:rsidRDefault="00631CB0" w:rsidP="00631CB0">
      <w:pPr>
        <w:pStyle w:val="NoSpacing"/>
        <w:rPr>
          <w:rFonts w:ascii="Arial Black" w:hAnsi="Arial Black"/>
          <w:sz w:val="28"/>
          <w:szCs w:val="28"/>
        </w:rPr>
      </w:pPr>
    </w:p>
    <w:p w14:paraId="2565F493" w14:textId="77777777" w:rsidR="00631CB0" w:rsidRPr="001354C4" w:rsidRDefault="00631CB0" w:rsidP="00631CB0">
      <w:pPr>
        <w:rPr>
          <w:rFonts w:ascii="Arial Black" w:hAnsi="Arial Black"/>
          <w:b/>
          <w:sz w:val="28"/>
          <w:szCs w:val="28"/>
        </w:rPr>
      </w:pPr>
      <w:r>
        <w:rPr>
          <w:rFonts w:ascii="Arial Black" w:hAnsi="Arial Black"/>
          <w:b/>
          <w:sz w:val="28"/>
          <w:szCs w:val="28"/>
        </w:rPr>
        <w:t xml:space="preserve">WV: VOL FF FIRED – PROB / NO EMER VEH PERMIT - AT WILL </w:t>
      </w:r>
    </w:p>
    <w:p w14:paraId="53646DB7" w14:textId="77777777" w:rsidR="00631CB0" w:rsidRDefault="00631CB0" w:rsidP="00631CB0">
      <w:pPr>
        <w:rPr>
          <w:b/>
        </w:rPr>
      </w:pPr>
      <w:r>
        <w:t xml:space="preserve">On September 17, 2026, in </w:t>
      </w:r>
      <w:r w:rsidRPr="00541591">
        <w:rPr>
          <w:u w:val="single"/>
        </w:rPr>
        <w:t>Patrick Gregory Spainhour v. Jefferson Volunteer Fire Department, et al.</w:t>
      </w:r>
      <w:r>
        <w:t xml:space="preserve">, U.S. District Court Judge Thomas E. Johnston, </w:t>
      </w:r>
      <w:r w:rsidRPr="00861F3E">
        <w:t>United States District Court for Southern District of West Virginia, Charleston Division</w:t>
      </w:r>
      <w:r>
        <w:t xml:space="preserve">, dismissed this lawsuit filed pro se [no attorney].    Judge Johnston concurred in the February 13, </w:t>
      </w:r>
      <w:proofErr w:type="gramStart"/>
      <w:r>
        <w:t>2026</w:t>
      </w:r>
      <w:proofErr w:type="gramEnd"/>
      <w:r>
        <w:t xml:space="preserve"> Report and Recommendation of U.S. Magistrate Judge; an unpaid volunteer he serves “at will” and is not an “employee” under the state’s Whistleblower statute. The plaintiff joined the FD in April 2021 and was terminated four months into his six-month probationary period on August 16, 2021. He made complaints to the Fire Chief, Board Members about several items, including perceived age discrimination, and that he </w:t>
      </w:r>
      <w:r w:rsidRPr="00D833A2">
        <w:t>had participated in over fifteen 15 fire drills but “[had] not been introduced to the pick-up truck</w:t>
      </w:r>
      <w:r>
        <w:t xml:space="preserve">” (probationary members not permitted to operate FD vehicles).  He also complained to State Fire Marshal about not getting an </w:t>
      </w:r>
      <w:r w:rsidRPr="001354C4">
        <w:t>Emergency Vehicle Permit</w:t>
      </w:r>
      <w:r>
        <w:t xml:space="preserve"> (probationary members no permitted to drive personal vehicles as emergency vehicles).   “Here, Plaintiff was an at-will employee that could be subject to termination at any time. It is undisputed that Plaintiff was an unpaid probationary volunteer at the time of his termination. Plaintiff was aware that he was a probationary member, and that full membership with the Jefferson Volunteer Fire Department (‘JVFRD’) was contingent on the completion of this probationary period…. As such, absent any contractual agreement or statutory exemption guaranteeing future employment, Plaintiff had </w:t>
      </w:r>
      <w:proofErr w:type="gramStart"/>
      <w:r>
        <w:t>no</w:t>
      </w:r>
      <w:proofErr w:type="gramEnd"/>
      <w:r>
        <w:t xml:space="preserve"> protected ‘property’ interest in his continued employment with </w:t>
      </w:r>
      <w:proofErr w:type="gramStart"/>
      <w:r>
        <w:t>JVFD.”</w:t>
      </w:r>
      <w:proofErr w:type="gramEnd"/>
      <w:r>
        <w:t xml:space="preserve"> </w:t>
      </w:r>
      <w:hyperlink r:id="rId2594" w:history="1">
        <w:r w:rsidRPr="00BE159C">
          <w:rPr>
            <w:rStyle w:val="Hyperlink"/>
            <w:b/>
          </w:rPr>
          <w:t>https://cases.justia.com/federal/district-courts/west-virginia/wvsdce/2:2023cv00338/236654/125/0.pdf?ts=1789757288</w:t>
        </w:r>
      </w:hyperlink>
      <w:r>
        <w:rPr>
          <w:b/>
        </w:rPr>
        <w:t xml:space="preserve"> </w:t>
      </w:r>
    </w:p>
    <w:p w14:paraId="4ED1D5CE" w14:textId="77777777" w:rsidR="00631CB0" w:rsidRDefault="00631CB0" w:rsidP="00631CB0">
      <w:pPr>
        <w:pStyle w:val="NoSpacing"/>
      </w:pPr>
      <w:r>
        <w:t xml:space="preserve"> </w:t>
      </w:r>
    </w:p>
    <w:p w14:paraId="63040EE2" w14:textId="77777777" w:rsidR="00631CB0" w:rsidRDefault="00631CB0" w:rsidP="00631CB0">
      <w:pPr>
        <w:pStyle w:val="NoSpacing"/>
      </w:pPr>
      <w:r>
        <w:t xml:space="preserve">THE COURT WROTE: </w:t>
      </w:r>
    </w:p>
    <w:p w14:paraId="2DBBE625" w14:textId="77777777" w:rsidR="00631CB0" w:rsidRDefault="00631CB0" w:rsidP="00631CB0">
      <w:pPr>
        <w:pStyle w:val="NoSpacing"/>
      </w:pPr>
    </w:p>
    <w:p w14:paraId="1C78DE74" w14:textId="77777777" w:rsidR="00631CB0" w:rsidRDefault="00631CB0" w:rsidP="00631CB0">
      <w:pPr>
        <w:pStyle w:val="NoSpacing"/>
        <w:ind w:left="720"/>
      </w:pPr>
      <w:r>
        <w:t>“</w:t>
      </w:r>
      <w:r w:rsidRPr="00033D1E">
        <w:t>West Virginia has a whistleblower statute for public employees, West Virginia Code § 6C-</w:t>
      </w:r>
      <w:r>
        <w:t xml:space="preserve"> </w:t>
      </w:r>
      <w:r w:rsidRPr="00033D1E">
        <w:t>1-3(a), which provides that “[n]o employer may discharge, threaten, or otherwise discriminate or</w:t>
      </w:r>
      <w:r>
        <w:t xml:space="preserve"> </w:t>
      </w:r>
      <w:r w:rsidRPr="00033D1E">
        <w:t>retaliate against an employee . . . because the employee . . . makes a good faith report . . . verbally</w:t>
      </w:r>
      <w:r>
        <w:t xml:space="preserve"> </w:t>
      </w:r>
      <w:r w:rsidRPr="00033D1E">
        <w:t>or in writing ... to the employer or appropriate authority, [of] an instance of wrongdoing or waste.”</w:t>
      </w:r>
      <w:r>
        <w:t xml:space="preserve"> </w:t>
      </w:r>
      <w:r w:rsidRPr="00033D1E">
        <w:t>An individual qualifies as an “employee” under the act when he “performs a full or part-time</w:t>
      </w:r>
      <w:r>
        <w:t xml:space="preserve"> </w:t>
      </w:r>
      <w:r w:rsidRPr="00033D1E">
        <w:t>service for wages, salary, or other remuneration under a contract of hire, written or oral, express</w:t>
      </w:r>
      <w:r>
        <w:t xml:space="preserve"> </w:t>
      </w:r>
      <w:r w:rsidRPr="00033D1E">
        <w:t>or implied, for a public body.” W. Va. Code § 6C-1-3(b) (emphasis added). The Magistrate</w:t>
      </w:r>
      <w:r>
        <w:t xml:space="preserve"> </w:t>
      </w:r>
      <w:r w:rsidRPr="00033D1E">
        <w:t>Judge found that Plaintiff’s position as an unpaid volunteer firefighter fell outside the scope of this</w:t>
      </w:r>
      <w:r>
        <w:t xml:space="preserve"> </w:t>
      </w:r>
      <w:r w:rsidRPr="00033D1E">
        <w:t>statutory definition. The Court agrees.</w:t>
      </w:r>
      <w:r>
        <w:t>”</w:t>
      </w:r>
    </w:p>
    <w:p w14:paraId="63FAC6C7" w14:textId="77777777" w:rsidR="00631CB0" w:rsidRDefault="00631CB0" w:rsidP="00631CB0">
      <w:pPr>
        <w:pStyle w:val="NoSpacing"/>
        <w:ind w:left="720"/>
      </w:pPr>
    </w:p>
    <w:p w14:paraId="26A8BACD" w14:textId="77777777" w:rsidR="00631CB0" w:rsidRDefault="00631CB0" w:rsidP="00631CB0">
      <w:pPr>
        <w:rPr>
          <w:b/>
          <w:bCs/>
        </w:rPr>
      </w:pPr>
      <w:r>
        <w:rPr>
          <w:b/>
        </w:rPr>
        <w:t xml:space="preserve">Legal lesson learned: Volunteer firefighter is an “at will” employee. </w:t>
      </w:r>
    </w:p>
    <w:p w14:paraId="321323A3" w14:textId="77777777" w:rsidR="00631CB0" w:rsidRDefault="00631CB0" w:rsidP="00631CB0">
      <w:pPr>
        <w:ind w:left="720"/>
      </w:pPr>
      <w:r>
        <w:t xml:space="preserve">Note: See the February 13, </w:t>
      </w:r>
      <w:proofErr w:type="gramStart"/>
      <w:r>
        <w:t>2026</w:t>
      </w:r>
      <w:proofErr w:type="gramEnd"/>
      <w:r>
        <w:t xml:space="preserve"> Report and Recommendation by U.S. Magistrate Judge </w:t>
      </w:r>
      <w:r w:rsidRPr="00DE3929">
        <w:t>Dwane L. Tinsley</w:t>
      </w:r>
      <w:r>
        <w:t xml:space="preserve">.  Former Fire Chief </w:t>
      </w:r>
      <w:r w:rsidRPr="007C085B">
        <w:t>Jonathan Vandergriff,</w:t>
      </w:r>
      <w:r>
        <w:t xml:space="preserve"> who had </w:t>
      </w:r>
      <w:proofErr w:type="gramStart"/>
      <w:r>
        <w:t>approved</w:t>
      </w:r>
      <w:proofErr w:type="gramEnd"/>
      <w:r>
        <w:t xml:space="preserve"> plaintiff’s application to join the fire department, submitted an affidavit, including: </w:t>
      </w:r>
    </w:p>
    <w:p w14:paraId="234B03E6" w14:textId="77777777" w:rsidR="00631CB0" w:rsidRDefault="00631CB0" w:rsidP="00631CB0">
      <w:pPr>
        <w:ind w:left="1440"/>
      </w:pPr>
      <w:r w:rsidRPr="00287992">
        <w:t xml:space="preserve">Finally, Mr. Vandergriff attests that the signature that appears on the copy of the original Private Emergency Vehicle Permit Application submitted to the Office of the State Fire Marshal by the Plaintiff—which appears to bear Mr. Vandergriff's signature in blue ink as the “Authorizing Fire Chief”—“is not that of my signature.” </w:t>
      </w:r>
    </w:p>
    <w:p w14:paraId="0FE166AC" w14:textId="77777777" w:rsidR="00631CB0" w:rsidRDefault="00631CB0" w:rsidP="00631CB0">
      <w:pPr>
        <w:ind w:left="720"/>
        <w:rPr>
          <w:b/>
        </w:rPr>
      </w:pPr>
      <w:hyperlink r:id="rId2595" w:history="1">
        <w:r w:rsidRPr="00BE159C">
          <w:rPr>
            <w:rStyle w:val="Hyperlink"/>
            <w:b/>
          </w:rPr>
          <w:t>https://public.fastcase.com/Jhe1Qn%2BmJndQYQU6z%2FeNm3RLKGFsbQlAsBqB9VhMFs2nZMI7aE%2FIShB44KF9EqBQKmmg8N3891QmvqmW%2BMZDam9ilv3NugS0h%2BpZi%2Fk7hiQ%3D?utm_medium=email&amp;_hsenc=p2ANqtz-_qvf43POBmVQiVEBt1NpS2Cd7hySyRJuodRhGUkD9Bvbh003R5OBMdHybHEnV3pYTykcRlBIKt2a5HMm-whLhOvyvCcA&amp;_hsmi=226712652&amp;utm_content=226712652&amp;utm_source=hs_email</w:t>
        </w:r>
      </w:hyperlink>
      <w:r>
        <w:rPr>
          <w:b/>
        </w:rPr>
        <w:t xml:space="preserve"> </w:t>
      </w:r>
    </w:p>
    <w:p w14:paraId="6E270023" w14:textId="77777777" w:rsidR="00631CB0" w:rsidRDefault="00631CB0" w:rsidP="00655CE7">
      <w:pPr>
        <w:pStyle w:val="NoSpacing"/>
        <w:rPr>
          <w:rFonts w:ascii="Arial Black" w:hAnsi="Arial Black"/>
          <w:b/>
          <w:sz w:val="28"/>
          <w:szCs w:val="28"/>
        </w:rPr>
      </w:pPr>
    </w:p>
    <w:p w14:paraId="6CA69A7F" w14:textId="77777777" w:rsidR="00631CB0" w:rsidRDefault="00631CB0" w:rsidP="00655CE7">
      <w:pPr>
        <w:pStyle w:val="NoSpacing"/>
        <w:rPr>
          <w:rFonts w:ascii="Arial Black" w:hAnsi="Arial Black"/>
          <w:b/>
          <w:sz w:val="28"/>
          <w:szCs w:val="28"/>
        </w:rPr>
      </w:pPr>
    </w:p>
    <w:p w14:paraId="6942E663" w14:textId="77777777" w:rsidR="00631CB0" w:rsidRDefault="00631CB0" w:rsidP="00655CE7">
      <w:pPr>
        <w:pStyle w:val="NoSpacing"/>
        <w:rPr>
          <w:rFonts w:ascii="Arial Black" w:hAnsi="Arial Black"/>
          <w:b/>
          <w:sz w:val="28"/>
          <w:szCs w:val="28"/>
        </w:rPr>
      </w:pPr>
    </w:p>
    <w:p w14:paraId="4143348E" w14:textId="4E81EBE1" w:rsidR="00B207FB" w:rsidRDefault="00B207FB" w:rsidP="00655CE7">
      <w:pPr>
        <w:pStyle w:val="NoSpacing"/>
        <w:rPr>
          <w:rFonts w:ascii="Arial Black" w:hAnsi="Arial Black"/>
          <w:sz w:val="28"/>
          <w:szCs w:val="28"/>
        </w:rPr>
      </w:pPr>
      <w:r>
        <w:rPr>
          <w:rFonts w:ascii="Arial Black" w:hAnsi="Arial Black"/>
          <w:b/>
          <w:sz w:val="28"/>
          <w:szCs w:val="28"/>
        </w:rPr>
        <w:t>16-169</w:t>
      </w:r>
    </w:p>
    <w:p w14:paraId="2B6C1C7B" w14:textId="77777777" w:rsidR="00B207FB" w:rsidRDefault="00B207FB" w:rsidP="00655CE7">
      <w:pPr>
        <w:pStyle w:val="NoSpacing"/>
        <w:rPr>
          <w:rFonts w:ascii="Arial Black" w:hAnsi="Arial Black"/>
          <w:sz w:val="28"/>
          <w:szCs w:val="28"/>
        </w:rPr>
      </w:pPr>
    </w:p>
    <w:p w14:paraId="396B4500" w14:textId="4A43F072" w:rsidR="00655CE7" w:rsidRPr="00FF662B" w:rsidRDefault="00655CE7" w:rsidP="00655CE7">
      <w:pPr>
        <w:pStyle w:val="NoSpacing"/>
        <w:rPr>
          <w:rFonts w:ascii="Arial Black" w:hAnsi="Arial Black"/>
          <w:sz w:val="28"/>
          <w:szCs w:val="28"/>
        </w:rPr>
      </w:pPr>
      <w:r>
        <w:rPr>
          <w:rFonts w:ascii="Arial Black" w:hAnsi="Arial Black"/>
          <w:sz w:val="28"/>
          <w:szCs w:val="28"/>
        </w:rPr>
        <w:t xml:space="preserve">CA: FIRE MAR – FIRED – DIDN’T CLAIM “WHISLEBLOWER”  </w:t>
      </w:r>
    </w:p>
    <w:p w14:paraId="6342F015" w14:textId="77777777" w:rsidR="00655CE7" w:rsidRDefault="00655CE7" w:rsidP="00655CE7">
      <w:pPr>
        <w:pStyle w:val="NoSpacing"/>
      </w:pPr>
    </w:p>
    <w:p w14:paraId="1A0142BA" w14:textId="77777777" w:rsidR="00655CE7" w:rsidRDefault="00655CE7" w:rsidP="00655CE7">
      <w:pPr>
        <w:pStyle w:val="NoSpacing"/>
        <w:rPr>
          <w:b/>
        </w:rPr>
      </w:pPr>
      <w:r>
        <w:t xml:space="preserve">On August 26, 2026, in </w:t>
      </w:r>
      <w:r w:rsidRPr="008D48A5">
        <w:rPr>
          <w:u w:val="single"/>
        </w:rPr>
        <w:t>Orlando Arriola v. City of Oakland</w:t>
      </w:r>
      <w:r>
        <w:t xml:space="preserve">, the </w:t>
      </w:r>
      <w:r w:rsidRPr="008D48A5">
        <w:t>California Court of Appeals, First District, Fourth Division</w:t>
      </w:r>
      <w:r>
        <w:t xml:space="preserve"> held (3 to 0; unpublished decision) that trial court properly dismissed his lawsuit since he sued under </w:t>
      </w:r>
      <w:r w:rsidRPr="00775CD1">
        <w:t>Fair Employment and Housing Act</w:t>
      </w:r>
      <w:r>
        <w:t xml:space="preserve"> (discrimination) and no proof his race or age was the reason for termination.  Not clear why he didn’t file a claim of violation of whistleblower protections under Labor Code section 1102.5.   In April 2019 he began working as an Okland Fire Marshal, and in May he “initiated an administrative investigation” about deficiencies in the Fire Marshal’s Office, and in December 2021 he was summoned by the </w:t>
      </w:r>
      <w:r w:rsidRPr="00B36D8C">
        <w:t>Alameda County District Attorney’s Office</w:t>
      </w:r>
      <w:r>
        <w:t xml:space="preserve"> to testify before a grand jury.  “Thereafter, Fire Chief through the Chief-of-Staff attempted order [Arriola] to provide a detailed report of his presentation before the Grand Jury, which [Arriola] had to decline given the confidentiality he had as a witness as well as his agreement with the Alameda County District Attorney’s Office.”  He resigned in lieu of termination on February 4, 2022. </w:t>
      </w:r>
      <w:hyperlink r:id="rId2596" w:history="1">
        <w:r w:rsidRPr="008D5F99">
          <w:rPr>
            <w:rStyle w:val="Hyperlink"/>
            <w:b/>
          </w:rPr>
          <w:t>https://www4.courts.ca.gov/opinions/nonpub/A174302.PDF</w:t>
        </w:r>
      </w:hyperlink>
      <w:r>
        <w:rPr>
          <w:b/>
        </w:rPr>
        <w:t xml:space="preserve"> </w:t>
      </w:r>
    </w:p>
    <w:p w14:paraId="3D699F08" w14:textId="77777777" w:rsidR="00655CE7" w:rsidRDefault="00655CE7" w:rsidP="00655CE7">
      <w:pPr>
        <w:pStyle w:val="NoSpacing"/>
        <w:rPr>
          <w:b/>
        </w:rPr>
      </w:pPr>
    </w:p>
    <w:p w14:paraId="1806B7FF" w14:textId="77777777" w:rsidR="00655CE7" w:rsidRDefault="00655CE7" w:rsidP="00655CE7">
      <w:pPr>
        <w:pStyle w:val="NoSpacing"/>
      </w:pPr>
      <w:r>
        <w:t xml:space="preserve">THE COURT WROTE: </w:t>
      </w:r>
    </w:p>
    <w:p w14:paraId="54CD6D0E" w14:textId="77777777" w:rsidR="00655CE7" w:rsidRPr="008D48A5" w:rsidRDefault="00655CE7" w:rsidP="00655CE7">
      <w:pPr>
        <w:pStyle w:val="NoSpacing"/>
        <w:rPr>
          <w:bCs/>
        </w:rPr>
      </w:pPr>
    </w:p>
    <w:p w14:paraId="67DD8D7F" w14:textId="77777777" w:rsidR="00655CE7" w:rsidRDefault="00655CE7" w:rsidP="00655CE7">
      <w:pPr>
        <w:pStyle w:val="NoSpacing"/>
        <w:ind w:left="720"/>
      </w:pPr>
      <w:r>
        <w:t>“Arriola alleged that the defendants in the case, including respondent City of</w:t>
      </w:r>
    </w:p>
    <w:p w14:paraId="398A320E" w14:textId="77777777" w:rsidR="00655CE7" w:rsidRDefault="00655CE7" w:rsidP="00655CE7">
      <w:pPr>
        <w:pStyle w:val="NoSpacing"/>
        <w:ind w:left="720"/>
      </w:pPr>
      <w:proofErr w:type="gramStart"/>
      <w:r>
        <w:t>Oakland,</w:t>
      </w:r>
      <w:proofErr w:type="gramEnd"/>
      <w:r>
        <w:t xml:space="preserve"> retaliated against him because of his engagement in FEHA-protected activities when, as a City of Oakland Fire Marshal, he investigated into and reported about certain matters, testified before a grand jury, and would not tell his superior the content of his testimony. He appeals on the ground that he brought valid FEHA claims and that he deserves the opportunity to at least conduct discovery…. </w:t>
      </w:r>
      <w:r w:rsidRPr="00A7784F">
        <w:t xml:space="preserve">Arriola does not show that the </w:t>
      </w:r>
      <w:proofErr w:type="gramStart"/>
      <w:r w:rsidRPr="00A7784F">
        <w:t>City</w:t>
      </w:r>
      <w:proofErr w:type="gramEnd"/>
      <w:r w:rsidRPr="00A7784F">
        <w:t xml:space="preserve"> took any adverse actions against</w:t>
      </w:r>
      <w:r>
        <w:t xml:space="preserve"> </w:t>
      </w:r>
      <w:r w:rsidRPr="00A7784F">
        <w:t xml:space="preserve">him </w:t>
      </w:r>
      <w:r w:rsidRPr="00A7784F">
        <w:rPr>
          <w:i/>
          <w:iCs/>
        </w:rPr>
        <w:t>because</w:t>
      </w:r>
      <w:r w:rsidRPr="00A7784F">
        <w:t xml:space="preserve"> he engaged in FEHA-protected activities</w:t>
      </w:r>
      <w:r>
        <w:t xml:space="preserve"> [</w:t>
      </w:r>
      <w:r w:rsidRPr="00C46880">
        <w:t>Fair Employment and Housing Act</w:t>
      </w:r>
      <w:r>
        <w:t>]</w:t>
      </w:r>
      <w:r w:rsidRPr="00A7784F">
        <w:t>. Accordingly, we will</w:t>
      </w:r>
      <w:r>
        <w:t xml:space="preserve"> </w:t>
      </w:r>
      <w:r w:rsidRPr="00A7784F">
        <w:t>affirm.</w:t>
      </w:r>
      <w:r>
        <w:t xml:space="preserve"> The gist of Arriola’s SAC is that he was pushed out of his Fire Marshal position with the OFD after preparing an investigative report about certain OFD matters, testifying before a grand jury about the OFD, and refusing to tell his superior about the content of his testimony.</w:t>
      </w:r>
    </w:p>
    <w:p w14:paraId="05AF12AA" w14:textId="77777777" w:rsidR="00655CE7" w:rsidRDefault="00655CE7" w:rsidP="00655CE7">
      <w:pPr>
        <w:pStyle w:val="NoSpacing"/>
        <w:ind w:left="720"/>
      </w:pPr>
    </w:p>
    <w:p w14:paraId="286BB37D" w14:textId="77777777" w:rsidR="00655CE7" w:rsidRDefault="00655CE7" w:rsidP="00655CE7">
      <w:pPr>
        <w:pStyle w:val="NoSpacing"/>
        <w:ind w:left="720"/>
      </w:pPr>
      <w:r>
        <w:t>***</w:t>
      </w:r>
    </w:p>
    <w:p w14:paraId="46D190EF" w14:textId="77777777" w:rsidR="00655CE7" w:rsidRDefault="00655CE7" w:rsidP="00655CE7">
      <w:pPr>
        <w:pStyle w:val="NoSpacing"/>
        <w:ind w:left="720"/>
      </w:pPr>
      <w:r>
        <w:t xml:space="preserve">In support, he characterizes his allegations as that ‘Respondents intentionally retaliated against Arriola because he provided a report of information regarding division weaknesses, opportunities for improvement and support and attention needs of the facility. Furthermore, the retaliation increased when Mr. Arriola adhered to being called a witness for a grand jury regarding his report. Most notably, the retaliation worsened when [Arriola] refused to share his testimony with Respondents, which he has the legal right to do as there is no law or protocol that requires Mr. Arriola </w:t>
      </w:r>
      <w:proofErr w:type="gramStart"/>
      <w:r>
        <w:t>share</w:t>
      </w:r>
      <w:proofErr w:type="gramEnd"/>
      <w:r>
        <w:t xml:space="preserve"> confidential statements with anyone but those within the Court. This caused an eruption of retaliatory acts.’</w:t>
      </w:r>
    </w:p>
    <w:p w14:paraId="70B20873" w14:textId="77777777" w:rsidR="00655CE7" w:rsidRDefault="00655CE7" w:rsidP="00655CE7">
      <w:pPr>
        <w:pStyle w:val="NoSpacing"/>
        <w:ind w:left="720"/>
      </w:pPr>
    </w:p>
    <w:p w14:paraId="78FB05A1" w14:textId="77777777" w:rsidR="00655CE7" w:rsidRDefault="00655CE7" w:rsidP="00655CE7">
      <w:pPr>
        <w:pStyle w:val="NoSpacing"/>
        <w:ind w:left="720"/>
      </w:pPr>
      <w:r>
        <w:t xml:space="preserve">Arriola’s claim of error is unpersuasive. He simply repeats what the trial court—and we—find to be conclusory and insufficient contentions in his SAC of the City’s alleged retaliation for his ‘whistleblower’ activities, without ever alleging how the City’s actions violated FEHA…. None of these alleged activities involve protected activities. Therefore, his appeal fails. [Footnote 2: Arriola’s contentions are more akin to a claim of retaliation for whistleblower activity under Labor Code section 1102.5, subdivision (b), but he did not base any of his claims on that statute or argue its application below, nor does he argue its application on appeal. Therefore, we do not discuss it </w:t>
      </w:r>
      <w:proofErr w:type="gramStart"/>
      <w:r>
        <w:t>further, or</w:t>
      </w:r>
      <w:proofErr w:type="gramEnd"/>
      <w:r>
        <w:t xml:space="preserve"> express any view on whether such a claim would have been viable.]”</w:t>
      </w:r>
    </w:p>
    <w:p w14:paraId="5113FA62" w14:textId="77777777" w:rsidR="00655CE7" w:rsidRDefault="00655CE7" w:rsidP="00655CE7">
      <w:pPr>
        <w:pStyle w:val="NoSpacing"/>
        <w:ind w:left="720"/>
      </w:pPr>
    </w:p>
    <w:p w14:paraId="0679560D" w14:textId="77777777" w:rsidR="00655CE7" w:rsidRDefault="00655CE7" w:rsidP="00655CE7">
      <w:pPr>
        <w:pStyle w:val="NoSpacing"/>
        <w:rPr>
          <w:b/>
          <w:bCs/>
        </w:rPr>
      </w:pPr>
      <w:r>
        <w:rPr>
          <w:b/>
        </w:rPr>
        <w:t>Legal lesson learned:  The former Fire Marshall should have filed under CA whistleblower law.</w:t>
      </w:r>
    </w:p>
    <w:p w14:paraId="77E6D908" w14:textId="77777777" w:rsidR="00655CE7" w:rsidRDefault="00655CE7" w:rsidP="00655CE7">
      <w:pPr>
        <w:pStyle w:val="NoSpacing"/>
        <w:rPr>
          <w:b/>
          <w:bCs/>
        </w:rPr>
      </w:pPr>
    </w:p>
    <w:p w14:paraId="6E20FD77" w14:textId="77777777" w:rsidR="00655CE7" w:rsidRPr="001D3FFE" w:rsidRDefault="00655CE7" w:rsidP="00655CE7">
      <w:pPr>
        <w:pStyle w:val="NoSpacing"/>
        <w:ind w:left="720"/>
        <w:rPr>
          <w:b/>
        </w:rPr>
      </w:pPr>
      <w:r w:rsidRPr="00A54A6B">
        <w:t xml:space="preserve">Note: </w:t>
      </w:r>
      <w:r>
        <w:t xml:space="preserve">  CA Labor Code 1102.5: </w:t>
      </w:r>
      <w:hyperlink r:id="rId2597" w:history="1">
        <w:r w:rsidRPr="006A7B1F">
          <w:rPr>
            <w:rStyle w:val="Hyperlink"/>
            <w:b/>
          </w:rPr>
          <w:t>https://leginfo.legislature.ca.gov/faces/codes_displaySection.xhtml?lawCode=LAB&amp;sectionNum=1102.5</w:t>
        </w:r>
      </w:hyperlink>
      <w:r>
        <w:rPr>
          <w:b/>
        </w:rPr>
        <w:t xml:space="preserve"> </w:t>
      </w:r>
    </w:p>
    <w:p w14:paraId="02A8BE49" w14:textId="77777777" w:rsidR="00655CE7" w:rsidRPr="001D3FFE" w:rsidRDefault="00655CE7" w:rsidP="00655CE7">
      <w:pPr>
        <w:pStyle w:val="NoSpacing"/>
        <w:ind w:left="720"/>
      </w:pPr>
      <w:r w:rsidRPr="001D3FFE">
        <w:t>(a) An employer, or any person acting on behalf of the employer, shall not make, adopt, or enforce any rule, regulation, or policy preventing an employee from disclosing information to a government or law enforcement agency, to a person with authority over the employee, or to another employee who has authority to investigate, discover, or correct the violation or noncompliance, or from providing information to, or testifying before, any public body conducting an investigation, hearing, or inquiry, if the employee has reasonable cause to believe that the information discloses a violation of state or federal statute, or a violation of or noncompliance with a local, state, or federal rule or regulation, regardless of whether disclosing the information is part of the employee’s job duties.</w:t>
      </w:r>
    </w:p>
    <w:p w14:paraId="1E98BA55" w14:textId="77777777" w:rsidR="00655CE7" w:rsidRPr="001D3FFE" w:rsidRDefault="00655CE7" w:rsidP="00655CE7">
      <w:pPr>
        <w:pStyle w:val="NoSpacing"/>
        <w:ind w:left="720"/>
      </w:pPr>
      <w:r w:rsidRPr="001D3FFE">
        <w:t>(b) An employer, or any person acting on behalf of the employer, shall not retaliate against an employee for disclosing information, or because the employer believes that the employee disclosed or may disclose information, to a government or law enforcement agency, to a person with authority over the employee or another employee who has the authority to investigate, discover, or correct the violation or noncompliance, or for providing information to, or testifying before, any public body conducting an investigation, hearing, or inquiry, if the employee has reasonable cause to believe that the information discloses a violation of state or federal statute, or a violation of or noncompliance with a local, state, or federal rule or regulation, regardless of whether disclosing the information is part of the employee’s job duties.</w:t>
      </w:r>
    </w:p>
    <w:p w14:paraId="6431111E" w14:textId="77777777" w:rsidR="00655CE7" w:rsidRPr="00A54A6B" w:rsidRDefault="00655CE7" w:rsidP="00655CE7">
      <w:pPr>
        <w:pStyle w:val="NoSpacing"/>
      </w:pPr>
    </w:p>
    <w:p w14:paraId="2BF3C873" w14:textId="2D552C5B" w:rsidR="00B207FB" w:rsidRDefault="00B207FB" w:rsidP="00B207FB">
      <w:pPr>
        <w:pStyle w:val="NoSpacing"/>
        <w:rPr>
          <w:rFonts w:ascii="Arial Black" w:hAnsi="Arial Black"/>
          <w:b/>
          <w:sz w:val="28"/>
          <w:szCs w:val="28"/>
        </w:rPr>
      </w:pPr>
      <w:r>
        <w:rPr>
          <w:rFonts w:ascii="Arial Black" w:hAnsi="Arial Black"/>
          <w:b/>
          <w:sz w:val="28"/>
          <w:szCs w:val="28"/>
        </w:rPr>
        <w:t>16-168</w:t>
      </w:r>
    </w:p>
    <w:p w14:paraId="08699311" w14:textId="77777777" w:rsidR="00655CE7" w:rsidRDefault="00655CE7" w:rsidP="002C229D">
      <w:pPr>
        <w:pStyle w:val="NoSpacing"/>
        <w:rPr>
          <w:rFonts w:ascii="Arial Black" w:hAnsi="Arial Black"/>
          <w:b/>
          <w:sz w:val="28"/>
          <w:szCs w:val="28"/>
        </w:rPr>
      </w:pPr>
    </w:p>
    <w:p w14:paraId="3C9973E8" w14:textId="77777777" w:rsidR="003F06DA" w:rsidRDefault="003F06DA" w:rsidP="003F06DA">
      <w:pPr>
        <w:pStyle w:val="NoSpacing"/>
        <w:rPr>
          <w:rFonts w:ascii="Arial Black" w:hAnsi="Arial Black"/>
          <w:sz w:val="28"/>
          <w:szCs w:val="28"/>
        </w:rPr>
      </w:pPr>
      <w:r>
        <w:rPr>
          <w:rFonts w:ascii="Arial Black" w:hAnsi="Arial Black"/>
          <w:sz w:val="28"/>
          <w:szCs w:val="28"/>
        </w:rPr>
        <w:t>MD: 46-YR RECRUIT – FIRED - POOR PERFORM / WELL DOC</w:t>
      </w:r>
    </w:p>
    <w:p w14:paraId="660068CA" w14:textId="77777777" w:rsidR="003F06DA" w:rsidRDefault="003F06DA" w:rsidP="003F06DA">
      <w:pPr>
        <w:pStyle w:val="NoSpacing"/>
        <w:rPr>
          <w:rFonts w:ascii="Arial Black" w:hAnsi="Arial Black"/>
          <w:sz w:val="28"/>
          <w:szCs w:val="28"/>
        </w:rPr>
      </w:pPr>
    </w:p>
    <w:p w14:paraId="38C10199" w14:textId="77777777" w:rsidR="003F06DA" w:rsidRDefault="003F06DA" w:rsidP="003F06DA">
      <w:pPr>
        <w:rPr>
          <w:b/>
        </w:rPr>
      </w:pPr>
      <w:r>
        <w:t xml:space="preserve">On August 20, 2026, in </w:t>
      </w:r>
      <w:r w:rsidRPr="00FB5B37">
        <w:rPr>
          <w:u w:val="single"/>
        </w:rPr>
        <w:t xml:space="preserve">Robert D. Whittaker III v. Howard County, Mayland and Howard County Fire </w:t>
      </w:r>
      <w:proofErr w:type="gramStart"/>
      <w:r w:rsidRPr="00FB5B37">
        <w:rPr>
          <w:u w:val="single"/>
        </w:rPr>
        <w:t>And</w:t>
      </w:r>
      <w:proofErr w:type="gramEnd"/>
      <w:r w:rsidRPr="00FB5B37">
        <w:rPr>
          <w:u w:val="single"/>
        </w:rPr>
        <w:t xml:space="preserve"> Rescue Services</w:t>
      </w:r>
      <w:r>
        <w:t xml:space="preserve">, </w:t>
      </w:r>
      <w:r w:rsidRPr="00C82F18">
        <w:t>the United States Court of Appeals, Fourth Circuit</w:t>
      </w:r>
      <w:r>
        <w:t xml:space="preserve"> (Richmond, VA) held (3 to 0) that U.S. Magistrate Judge properly granted summary judgment for Howard County; it was well documented that he was fired shortly before graduation for insubordination and poor performance. </w:t>
      </w:r>
      <w:hyperlink r:id="rId2598" w:history="1">
        <w:r w:rsidRPr="00EC784F">
          <w:rPr>
            <w:rStyle w:val="Hyperlink"/>
            <w:b/>
          </w:rPr>
          <w:t>https://www.ca4.uscourts.gov/opinions/232019.U.pdf</w:t>
        </w:r>
      </w:hyperlink>
      <w:r>
        <w:rPr>
          <w:b/>
        </w:rPr>
        <w:t xml:space="preserve"> </w:t>
      </w:r>
    </w:p>
    <w:p w14:paraId="5F6719DB" w14:textId="77777777" w:rsidR="003F06DA" w:rsidRPr="00C82F18" w:rsidRDefault="003F06DA" w:rsidP="003F06DA">
      <w:r>
        <w:t xml:space="preserve">THE COURT WROTE: </w:t>
      </w:r>
    </w:p>
    <w:p w14:paraId="1157C725" w14:textId="77777777" w:rsidR="003F06DA" w:rsidRPr="00DD0CEE" w:rsidRDefault="003F06DA" w:rsidP="003F06DA">
      <w:pPr>
        <w:pStyle w:val="NoSpacing"/>
        <w:ind w:firstLine="720"/>
      </w:pPr>
      <w:r>
        <w:t>“</w:t>
      </w:r>
      <w:r w:rsidRPr="00DD0CEE">
        <w:t>Robert Whittaker was selected by the Howard County Department of Fire and</w:t>
      </w:r>
    </w:p>
    <w:p w14:paraId="6F7F8F16" w14:textId="77777777" w:rsidR="003F06DA" w:rsidRPr="00DD0CEE" w:rsidRDefault="003F06DA" w:rsidP="003F06DA">
      <w:pPr>
        <w:pStyle w:val="NoSpacing"/>
        <w:ind w:firstLine="720"/>
      </w:pPr>
      <w:r w:rsidRPr="00DD0CEE">
        <w:t xml:space="preserve">Rescue Services (the </w:t>
      </w:r>
      <w:r>
        <w:t>‘</w:t>
      </w:r>
      <w:r w:rsidRPr="00DD0CEE">
        <w:t>Department</w:t>
      </w:r>
      <w:r>
        <w:t>’</w:t>
      </w:r>
      <w:r w:rsidRPr="00DD0CEE">
        <w:t>) to participate in its training academy. At age 46, he</w:t>
      </w:r>
    </w:p>
    <w:p w14:paraId="0BA1251F" w14:textId="77777777" w:rsidR="003F06DA" w:rsidRPr="00DD0CEE" w:rsidRDefault="003F06DA" w:rsidP="003F06DA">
      <w:pPr>
        <w:pStyle w:val="NoSpacing"/>
        <w:ind w:firstLine="720"/>
      </w:pPr>
      <w:r w:rsidRPr="00DD0CEE">
        <w:t>was the oldest trainee in his class. Whittaker advanced through the Department’s training</w:t>
      </w:r>
    </w:p>
    <w:p w14:paraId="4019DFEB" w14:textId="77777777" w:rsidR="003F06DA" w:rsidRPr="00DD0CEE" w:rsidRDefault="003F06DA" w:rsidP="003F06DA">
      <w:pPr>
        <w:pStyle w:val="NoSpacing"/>
        <w:ind w:firstLine="720"/>
      </w:pPr>
      <w:r w:rsidRPr="00DD0CEE">
        <w:t xml:space="preserve">academy (the </w:t>
      </w:r>
      <w:r>
        <w:t>‘</w:t>
      </w:r>
      <w:r w:rsidRPr="00DD0CEE">
        <w:t>Academy</w:t>
      </w:r>
      <w:r>
        <w:t>’</w:t>
      </w:r>
      <w:r w:rsidRPr="00DD0CEE">
        <w:t>) but was terminated just before graduation. That termination</w:t>
      </w:r>
    </w:p>
    <w:p w14:paraId="3BB0030D" w14:textId="77777777" w:rsidR="003F06DA" w:rsidRDefault="003F06DA" w:rsidP="003F06DA">
      <w:pPr>
        <w:pStyle w:val="NoSpacing"/>
        <w:ind w:firstLine="720"/>
      </w:pPr>
      <w:r w:rsidRPr="00DD0CEE">
        <w:t>was based on Whittaker’s insubordination and poor performance at the Academy.</w:t>
      </w:r>
    </w:p>
    <w:p w14:paraId="6A71EAE7" w14:textId="77777777" w:rsidR="003F06DA" w:rsidRDefault="003F06DA" w:rsidP="003F06DA">
      <w:pPr>
        <w:pStyle w:val="NoSpacing"/>
        <w:ind w:firstLine="720"/>
      </w:pPr>
    </w:p>
    <w:p w14:paraId="2F4D9050" w14:textId="77777777" w:rsidR="003F06DA" w:rsidRPr="00DD0CEE" w:rsidRDefault="003F06DA" w:rsidP="003F06DA">
      <w:pPr>
        <w:pStyle w:val="NoSpacing"/>
        <w:ind w:firstLine="720"/>
      </w:pPr>
      <w:r>
        <w:t>***</w:t>
      </w:r>
    </w:p>
    <w:p w14:paraId="4DA61239" w14:textId="77777777" w:rsidR="003F06DA" w:rsidRPr="00BA0E4F" w:rsidRDefault="003F06DA" w:rsidP="003F06DA">
      <w:pPr>
        <w:pStyle w:val="NoSpacing"/>
        <w:ind w:firstLine="720"/>
      </w:pPr>
      <w:r w:rsidRPr="00BA0E4F">
        <w:t>The Department asserts that Whittaker was not meeting their legitimate expectations</w:t>
      </w:r>
    </w:p>
    <w:p w14:paraId="7715E148" w14:textId="77777777" w:rsidR="003F06DA" w:rsidRPr="00BA0E4F" w:rsidRDefault="003F06DA" w:rsidP="003F06DA">
      <w:pPr>
        <w:pStyle w:val="NoSpacing"/>
        <w:ind w:firstLine="720"/>
      </w:pPr>
      <w:r w:rsidRPr="00BA0E4F">
        <w:t>based on the record evidence of Whittaker’s poor performance and insubordination</w:t>
      </w:r>
      <w:r>
        <w:t xml:space="preserve">…. </w:t>
      </w:r>
    </w:p>
    <w:p w14:paraId="1D70796D" w14:textId="77777777" w:rsidR="003F06DA" w:rsidRDefault="003F06DA" w:rsidP="003F06DA">
      <w:pPr>
        <w:pStyle w:val="NoSpacing"/>
        <w:ind w:left="720"/>
      </w:pPr>
      <w:r w:rsidRPr="00BA0E4F">
        <w:t>After reviewing the</w:t>
      </w:r>
      <w:r>
        <w:t xml:space="preserve"> </w:t>
      </w:r>
      <w:r w:rsidRPr="00BA0E4F">
        <w:t>record, we agree. Counseling Reports and emails show that in the two months before his</w:t>
      </w:r>
      <w:r>
        <w:t xml:space="preserve"> </w:t>
      </w:r>
      <w:r w:rsidRPr="00BA0E4F">
        <w:t>termination, Whittaker was made aware of staff concerns about his performance in core</w:t>
      </w:r>
      <w:r>
        <w:t xml:space="preserve"> </w:t>
      </w:r>
      <w:r w:rsidRPr="00BA0E4F">
        <w:t>firefighting skills, including his trouble navigating mazes, hesitancy during ladder</w:t>
      </w:r>
      <w:r>
        <w:t xml:space="preserve"> exercises, and lack of fireground speed…. Contemporaneously prepared internal memoranda and emails further note the same performance issues and raise concerns about his insubordination, detailing incidents where he talked back to instructors … and became ‘frustrated and insubordinate’ under stress or when asked to complete tasks in real life scenarios… The insubordination alone is a legitimate, nondiscriminatory basis for termination as an employee is not ‘meeting [his] employer’s legitimate expectation if [he] was insubordinate.’ Everroad v. Scott Truck Sys., Inc., 604 F.3d 471, 478 (7th Cir. 2010). But taking it together with the performance concerns, no reasonable jury would conclude that Whittaker was meeting the Department’s legitimate expectations.”</w:t>
      </w:r>
    </w:p>
    <w:p w14:paraId="7EEEFE38" w14:textId="77777777" w:rsidR="003F06DA" w:rsidRDefault="003F06DA" w:rsidP="003F06DA">
      <w:pPr>
        <w:pStyle w:val="NoSpacing"/>
        <w:ind w:left="720"/>
      </w:pPr>
    </w:p>
    <w:p w14:paraId="319BB051" w14:textId="77777777" w:rsidR="003F06DA" w:rsidRPr="005B70FD" w:rsidRDefault="003F06DA" w:rsidP="003F06DA">
      <w:pPr>
        <w:pStyle w:val="NoSpacing"/>
        <w:rPr>
          <w:b/>
          <w:bCs/>
        </w:rPr>
      </w:pPr>
      <w:r>
        <w:rPr>
          <w:b/>
        </w:rPr>
        <w:t xml:space="preserve">Legal lesson learned: Excellent documentation on poor performance. </w:t>
      </w:r>
    </w:p>
    <w:p w14:paraId="3CC7E493" w14:textId="77777777" w:rsidR="003F06DA" w:rsidRDefault="003F06DA" w:rsidP="003F06DA">
      <w:pPr>
        <w:pStyle w:val="NoSpacing"/>
      </w:pPr>
    </w:p>
    <w:p w14:paraId="4B750166" w14:textId="77777777" w:rsidR="00B207FB" w:rsidRDefault="00B207FB" w:rsidP="00B207FB">
      <w:pPr>
        <w:pStyle w:val="NoSpacing"/>
        <w:rPr>
          <w:rFonts w:ascii="Arial Black" w:hAnsi="Arial Black"/>
          <w:b/>
          <w:sz w:val="28"/>
          <w:szCs w:val="28"/>
        </w:rPr>
      </w:pPr>
    </w:p>
    <w:p w14:paraId="043EA124" w14:textId="77777777" w:rsidR="00B207FB" w:rsidRDefault="00B207FB" w:rsidP="00B207FB">
      <w:pPr>
        <w:pStyle w:val="NoSpacing"/>
        <w:rPr>
          <w:rFonts w:ascii="Arial Black" w:hAnsi="Arial Black"/>
          <w:b/>
          <w:sz w:val="28"/>
          <w:szCs w:val="28"/>
        </w:rPr>
      </w:pPr>
    </w:p>
    <w:p w14:paraId="4E519CA8" w14:textId="77777777" w:rsidR="00B207FB" w:rsidRDefault="00B207FB" w:rsidP="00B207FB">
      <w:pPr>
        <w:pStyle w:val="NoSpacing"/>
        <w:rPr>
          <w:rFonts w:ascii="Arial Black" w:hAnsi="Arial Black"/>
          <w:b/>
          <w:sz w:val="28"/>
          <w:szCs w:val="28"/>
        </w:rPr>
      </w:pPr>
    </w:p>
    <w:p w14:paraId="7B010265" w14:textId="71B8819F" w:rsidR="00B207FB" w:rsidRDefault="00B207FB" w:rsidP="00B207FB">
      <w:pPr>
        <w:pStyle w:val="NoSpacing"/>
        <w:rPr>
          <w:rFonts w:ascii="Arial Black" w:hAnsi="Arial Black"/>
          <w:b/>
          <w:sz w:val="28"/>
          <w:szCs w:val="28"/>
        </w:rPr>
      </w:pPr>
      <w:r>
        <w:rPr>
          <w:rFonts w:ascii="Arial Black" w:hAnsi="Arial Black"/>
          <w:b/>
          <w:sz w:val="28"/>
          <w:szCs w:val="28"/>
        </w:rPr>
        <w:t>16-167</w:t>
      </w:r>
    </w:p>
    <w:p w14:paraId="1C63D2C4" w14:textId="77777777" w:rsidR="003F06DA" w:rsidRDefault="003F06DA" w:rsidP="002C229D">
      <w:pPr>
        <w:pStyle w:val="NoSpacing"/>
        <w:rPr>
          <w:rFonts w:ascii="Arial Black" w:hAnsi="Arial Black"/>
          <w:b/>
          <w:sz w:val="28"/>
          <w:szCs w:val="28"/>
        </w:rPr>
      </w:pPr>
    </w:p>
    <w:p w14:paraId="77BFFA8A" w14:textId="77777777" w:rsidR="00A14CA1" w:rsidRDefault="00A14CA1" w:rsidP="002C229D">
      <w:pPr>
        <w:pStyle w:val="NoSpacing"/>
        <w:rPr>
          <w:rFonts w:ascii="Arial Black" w:hAnsi="Arial Black"/>
          <w:b/>
          <w:sz w:val="28"/>
          <w:szCs w:val="28"/>
        </w:rPr>
      </w:pPr>
    </w:p>
    <w:p w14:paraId="5A90900B" w14:textId="77777777" w:rsidR="00A14CA1" w:rsidRPr="00BD4CB5" w:rsidRDefault="00A14CA1" w:rsidP="00A14CA1">
      <w:pPr>
        <w:rPr>
          <w:rFonts w:ascii="Arial Black" w:hAnsi="Arial Black"/>
          <w:b/>
          <w:sz w:val="28"/>
          <w:szCs w:val="28"/>
        </w:rPr>
      </w:pPr>
      <w:r>
        <w:rPr>
          <w:rFonts w:ascii="Arial Black" w:hAnsi="Arial Black"/>
          <w:b/>
          <w:sz w:val="28"/>
          <w:szCs w:val="28"/>
        </w:rPr>
        <w:t>TN: EXPLORER PROG - 60YR VOL RAPES 16YR – PRISON</w:t>
      </w:r>
    </w:p>
    <w:p w14:paraId="76F2DD9E" w14:textId="77777777" w:rsidR="00A14CA1" w:rsidRDefault="00A14CA1" w:rsidP="00A14CA1">
      <w:pPr>
        <w:pStyle w:val="NoSpacing"/>
        <w:rPr>
          <w:bCs/>
        </w:rPr>
      </w:pPr>
      <w:r>
        <w:t xml:space="preserve">On August 18, 2026, in </w:t>
      </w:r>
      <w:r w:rsidRPr="000D7E59">
        <w:rPr>
          <w:u w:val="single"/>
        </w:rPr>
        <w:t>State of Tennessee v. Anthony Lawrence Johnson</w:t>
      </w:r>
      <w:r>
        <w:t xml:space="preserve">, the </w:t>
      </w:r>
      <w:r w:rsidRPr="004462F8">
        <w:t>Court of Criminal Appeals of Tennessee</w:t>
      </w:r>
      <w:r>
        <w:t>, held (3 to 0) that the defendant was properly convicted by jury. “</w:t>
      </w:r>
      <w:r w:rsidRPr="006616F2">
        <w:t>The victim testified that she met Defendant during the summer of 2021, while she</w:t>
      </w:r>
      <w:r>
        <w:t xml:space="preserve"> </w:t>
      </w:r>
      <w:r w:rsidRPr="006616F2">
        <w:t xml:space="preserve">was a student at Johnson County High School. She participated in </w:t>
      </w:r>
      <w:r>
        <w:t>‘</w:t>
      </w:r>
      <w:r w:rsidRPr="006616F2">
        <w:t xml:space="preserve">the Explorer </w:t>
      </w:r>
      <w:proofErr w:type="gramStart"/>
      <w:r w:rsidRPr="006616F2">
        <w:t>program,</w:t>
      </w:r>
      <w:r>
        <w:t>’</w:t>
      </w:r>
      <w:proofErr w:type="gramEnd"/>
      <w:r>
        <w:t xml:space="preserve"> </w:t>
      </w:r>
      <w:r w:rsidRPr="006616F2">
        <w:t xml:space="preserve">which allowed students to volunteer with the rescue squad and </w:t>
      </w:r>
      <w:r>
        <w:t>‘</w:t>
      </w:r>
      <w:r w:rsidRPr="006616F2">
        <w:t>ride along and help out</w:t>
      </w:r>
      <w:r>
        <w:t xml:space="preserve"> </w:t>
      </w:r>
      <w:r w:rsidRPr="006616F2">
        <w:t>with the EMTs and paramedics.</w:t>
      </w:r>
      <w:r>
        <w:t>’</w:t>
      </w:r>
      <w:r w:rsidRPr="006616F2">
        <w:t xml:space="preserve"> Her career goal was to work in </w:t>
      </w:r>
      <w:r>
        <w:t>‘</w:t>
      </w:r>
      <w:r w:rsidRPr="006616F2">
        <w:t>the medical field.</w:t>
      </w:r>
      <w:r>
        <w:t>’</w:t>
      </w:r>
      <w:r w:rsidRPr="006616F2">
        <w:t xml:space="preserve"> The</w:t>
      </w:r>
      <w:r>
        <w:t xml:space="preserve"> </w:t>
      </w:r>
      <w:r w:rsidRPr="006616F2">
        <w:t>victim was sixteen years old at the time. The victim met Defendant, who was sixty years</w:t>
      </w:r>
      <w:r>
        <w:t xml:space="preserve"> </w:t>
      </w:r>
      <w:r w:rsidRPr="006616F2">
        <w:t>old, because he was a volunteer with the rescue squad.</w:t>
      </w:r>
      <w:r>
        <w:t xml:space="preserve"> </w:t>
      </w:r>
      <w:r w:rsidRPr="006616F2">
        <w:t>In June of 2021, Defendant asked the victim if she wanted a job caring for his horses.</w:t>
      </w:r>
      <w:r>
        <w:t>” “</w:t>
      </w:r>
      <w:r w:rsidRPr="009E0E9D">
        <w:t>The court imposed an effective sentence of eleven years to be served at 100 percent</w:t>
      </w:r>
      <w:r>
        <w:t xml:space="preserve">.”  </w:t>
      </w:r>
      <w:hyperlink r:id="rId2599" w:history="1">
        <w:r w:rsidRPr="0047172C">
          <w:rPr>
            <w:rStyle w:val="Hyperlink"/>
          </w:rPr>
          <w:t>https://cases.justia.com/tennessee/court-of-criminal-appeals/2026-e2025-00835-cca-r3-cd.pdf?ts=1787176489</w:t>
        </w:r>
      </w:hyperlink>
      <w:r>
        <w:t xml:space="preserve"> </w:t>
      </w:r>
    </w:p>
    <w:p w14:paraId="5E2CFE9E" w14:textId="77777777" w:rsidR="00A14CA1" w:rsidRDefault="00A14CA1" w:rsidP="00A14CA1">
      <w:pPr>
        <w:rPr>
          <w:bCs/>
        </w:rPr>
      </w:pPr>
    </w:p>
    <w:p w14:paraId="7F30D5ED" w14:textId="77777777" w:rsidR="00A14CA1" w:rsidRDefault="00A14CA1" w:rsidP="00A14CA1">
      <w:pPr>
        <w:rPr>
          <w:bCs/>
        </w:rPr>
      </w:pPr>
      <w:r>
        <w:t>THE COURT WROTE:</w:t>
      </w:r>
    </w:p>
    <w:p w14:paraId="0F8BDFD5" w14:textId="77777777" w:rsidR="00A14CA1" w:rsidRPr="002E605D" w:rsidRDefault="00A14CA1" w:rsidP="00A14CA1">
      <w:pPr>
        <w:pStyle w:val="NoSpacing"/>
        <w:ind w:firstLine="720"/>
      </w:pPr>
      <w:r>
        <w:t>“</w:t>
      </w:r>
      <w:r w:rsidRPr="002E605D">
        <w:t>In June of 2021, Defendant asked the victim if she wanted a job caring for his horses.</w:t>
      </w:r>
    </w:p>
    <w:p w14:paraId="0416B63D" w14:textId="77777777" w:rsidR="00A14CA1" w:rsidRPr="002E605D" w:rsidRDefault="00A14CA1" w:rsidP="00A14CA1">
      <w:pPr>
        <w:pStyle w:val="NoSpacing"/>
        <w:ind w:firstLine="720"/>
      </w:pPr>
      <w:r w:rsidRPr="002E605D">
        <w:t>The victim had an interview with Kerri Kennedy, Defendant’s live-in girlfriend, who</w:t>
      </w:r>
    </w:p>
    <w:p w14:paraId="7659FD0D" w14:textId="77777777" w:rsidR="00A14CA1" w:rsidRPr="002E605D" w:rsidRDefault="00A14CA1" w:rsidP="00A14CA1">
      <w:pPr>
        <w:pStyle w:val="NoSpacing"/>
        <w:ind w:firstLine="720"/>
      </w:pPr>
      <w:r w:rsidRPr="002E605D">
        <w:t>owned the horses. Ms. Kennedy hired the victim to work with the horses. The victim</w:t>
      </w:r>
    </w:p>
    <w:p w14:paraId="754DD315" w14:textId="77777777" w:rsidR="00A14CA1" w:rsidRPr="002E605D" w:rsidRDefault="00A14CA1" w:rsidP="00A14CA1">
      <w:pPr>
        <w:pStyle w:val="NoSpacing"/>
        <w:ind w:firstLine="720"/>
      </w:pPr>
      <w:r w:rsidRPr="002E605D">
        <w:t>described her duties, which included feeding the horses two to three times a day, training</w:t>
      </w:r>
    </w:p>
    <w:p w14:paraId="45A7B41B" w14:textId="77777777" w:rsidR="00A14CA1" w:rsidRPr="002E605D" w:rsidRDefault="00A14CA1" w:rsidP="00A14CA1">
      <w:pPr>
        <w:pStyle w:val="NoSpacing"/>
        <w:ind w:firstLine="720"/>
      </w:pPr>
      <w:r w:rsidRPr="002E605D">
        <w:t xml:space="preserve">and riding </w:t>
      </w:r>
      <w:proofErr w:type="gramStart"/>
      <w:r w:rsidRPr="002E605D">
        <w:t>them, and</w:t>
      </w:r>
      <w:proofErr w:type="gramEnd"/>
      <w:r w:rsidRPr="002E605D">
        <w:t xml:space="preserve"> grooming them. She sometimes purchased supplies for the horses</w:t>
      </w:r>
    </w:p>
    <w:p w14:paraId="4DB543CD" w14:textId="77777777" w:rsidR="00A14CA1" w:rsidRDefault="00A14CA1" w:rsidP="00A14CA1">
      <w:pPr>
        <w:pStyle w:val="NoSpacing"/>
        <w:ind w:firstLine="720"/>
      </w:pPr>
      <w:r w:rsidRPr="002E605D">
        <w:t>using Defendant’s debit card. Defendant paid her cash for her work.</w:t>
      </w:r>
    </w:p>
    <w:p w14:paraId="3DF70110" w14:textId="77777777" w:rsidR="00A14CA1" w:rsidRDefault="00A14CA1" w:rsidP="00A14CA1">
      <w:pPr>
        <w:pStyle w:val="NoSpacing"/>
        <w:ind w:firstLine="720"/>
      </w:pPr>
    </w:p>
    <w:p w14:paraId="47F0AABD" w14:textId="77777777" w:rsidR="00A14CA1" w:rsidRDefault="00A14CA1" w:rsidP="00A14CA1">
      <w:pPr>
        <w:pStyle w:val="NoSpacing"/>
        <w:ind w:firstLine="720"/>
      </w:pPr>
      <w:r>
        <w:t>***</w:t>
      </w:r>
    </w:p>
    <w:p w14:paraId="76D2EC06" w14:textId="77777777" w:rsidR="00A14CA1" w:rsidRPr="001514A7" w:rsidRDefault="00A14CA1" w:rsidP="00A14CA1">
      <w:pPr>
        <w:pStyle w:val="NoSpacing"/>
        <w:ind w:firstLine="720"/>
      </w:pPr>
      <w:r w:rsidRPr="001514A7">
        <w:t>On July 23, 2021, the victim went upstairs to clean a bedroom, and Defendant</w:t>
      </w:r>
    </w:p>
    <w:p w14:paraId="14B59A71" w14:textId="77777777" w:rsidR="00A14CA1" w:rsidRPr="001514A7" w:rsidRDefault="00A14CA1" w:rsidP="00A14CA1">
      <w:pPr>
        <w:pStyle w:val="NoSpacing"/>
        <w:ind w:firstLine="720"/>
      </w:pPr>
      <w:r w:rsidRPr="001514A7">
        <w:t>entered the room while she was cleaning. Defendant pushed her onto the bed and pulled</w:t>
      </w:r>
    </w:p>
    <w:p w14:paraId="15F2A90F" w14:textId="77777777" w:rsidR="00A14CA1" w:rsidRPr="001514A7" w:rsidRDefault="00A14CA1" w:rsidP="00A14CA1">
      <w:pPr>
        <w:pStyle w:val="NoSpacing"/>
        <w:ind w:firstLine="720"/>
      </w:pPr>
      <w:r w:rsidRPr="001514A7">
        <w:t xml:space="preserve">down her pants and panties. She testified he </w:t>
      </w:r>
      <w:r>
        <w:t>‘</w:t>
      </w:r>
      <w:r w:rsidRPr="001514A7">
        <w:t>put his tongue and hands in [her] vagina.</w:t>
      </w:r>
      <w:r>
        <w:t>’</w:t>
      </w:r>
    </w:p>
    <w:p w14:paraId="194C6D48" w14:textId="77777777" w:rsidR="00A14CA1" w:rsidRPr="001514A7" w:rsidRDefault="00A14CA1" w:rsidP="00A14CA1">
      <w:pPr>
        <w:pStyle w:val="NoSpacing"/>
        <w:ind w:firstLine="720"/>
      </w:pPr>
      <w:r w:rsidRPr="001514A7">
        <w:t xml:space="preserve">The victim asked him to stop </w:t>
      </w:r>
      <w:r>
        <w:t>‘</w:t>
      </w:r>
      <w:r w:rsidRPr="001514A7">
        <w:t xml:space="preserve">multiple </w:t>
      </w:r>
      <w:proofErr w:type="gramStart"/>
      <w:r w:rsidRPr="001514A7">
        <w:t>times</w:t>
      </w:r>
      <w:r>
        <w:t>’</w:t>
      </w:r>
      <w:proofErr w:type="gramEnd"/>
      <w:r w:rsidRPr="001514A7">
        <w:t xml:space="preserve"> and Defendant </w:t>
      </w:r>
      <w:r>
        <w:t>‘</w:t>
      </w:r>
      <w:r w:rsidRPr="001514A7">
        <w:t>kept on going.</w:t>
      </w:r>
      <w:r>
        <w:t>’</w:t>
      </w:r>
      <w:r w:rsidRPr="001514A7">
        <w:t xml:space="preserve"> Defendant</w:t>
      </w:r>
    </w:p>
    <w:p w14:paraId="24092BEA" w14:textId="77777777" w:rsidR="00A14CA1" w:rsidRPr="001514A7" w:rsidRDefault="00A14CA1" w:rsidP="00A14CA1">
      <w:pPr>
        <w:pStyle w:val="NoSpacing"/>
        <w:ind w:firstLine="720"/>
      </w:pPr>
      <w:r w:rsidRPr="001514A7">
        <w:t xml:space="preserve">only stopped when the victim kicked him in the shoulder. She testified, </w:t>
      </w:r>
      <w:r>
        <w:t>‘</w:t>
      </w:r>
      <w:r w:rsidRPr="001514A7">
        <w:t>When I kicked</w:t>
      </w:r>
    </w:p>
    <w:p w14:paraId="0EE671CC" w14:textId="77777777" w:rsidR="00A14CA1" w:rsidRPr="001514A7" w:rsidRDefault="00A14CA1" w:rsidP="00A14CA1">
      <w:pPr>
        <w:pStyle w:val="NoSpacing"/>
        <w:ind w:firstLine="720"/>
      </w:pPr>
      <w:r w:rsidRPr="001514A7">
        <w:t>him, it pushed him back pretty good, and I went back downstairs and I left after that.</w:t>
      </w:r>
      <w:r>
        <w:t>’</w:t>
      </w:r>
      <w:r w:rsidRPr="001514A7">
        <w:t xml:space="preserve"> The</w:t>
      </w:r>
    </w:p>
    <w:p w14:paraId="39A86505" w14:textId="77777777" w:rsidR="00A14CA1" w:rsidRDefault="00A14CA1" w:rsidP="00A14CA1">
      <w:pPr>
        <w:pStyle w:val="NoSpacing"/>
        <w:ind w:left="720"/>
      </w:pPr>
      <w:r w:rsidRPr="001514A7">
        <w:t xml:space="preserve">victim </w:t>
      </w:r>
      <w:r>
        <w:t>‘</w:t>
      </w:r>
      <w:r w:rsidRPr="001514A7">
        <w:t>went home and maybe thought it was a mistake.</w:t>
      </w:r>
      <w:r>
        <w:t>’</w:t>
      </w:r>
      <w:r w:rsidRPr="001514A7">
        <w:t xml:space="preserve"> She planned to return to work</w:t>
      </w:r>
      <w:r>
        <w:t xml:space="preserve"> the next morning, but she was ‘[a] little bit’ scared to go back to Defendant’s house. She</w:t>
      </w:r>
    </w:p>
    <w:p w14:paraId="0C38365A" w14:textId="77777777" w:rsidR="00A14CA1" w:rsidRDefault="00A14CA1" w:rsidP="00A14CA1">
      <w:pPr>
        <w:pStyle w:val="NoSpacing"/>
        <w:ind w:firstLine="720"/>
      </w:pPr>
      <w:r>
        <w:t>was ‘not feeling good after the day before that with what he had done.</w:t>
      </w:r>
    </w:p>
    <w:p w14:paraId="6389E3C0" w14:textId="77777777" w:rsidR="00A14CA1" w:rsidRDefault="00A14CA1" w:rsidP="00A14CA1">
      <w:pPr>
        <w:pStyle w:val="NoSpacing"/>
        <w:ind w:firstLine="720"/>
      </w:pPr>
    </w:p>
    <w:p w14:paraId="3BF31A69" w14:textId="77777777" w:rsidR="00A14CA1" w:rsidRDefault="00A14CA1" w:rsidP="00A14CA1">
      <w:pPr>
        <w:pStyle w:val="NoSpacing"/>
        <w:ind w:firstLine="720"/>
      </w:pPr>
      <w:r>
        <w:t>***</w:t>
      </w:r>
    </w:p>
    <w:p w14:paraId="784909EE" w14:textId="77777777" w:rsidR="00A14CA1" w:rsidRDefault="00A14CA1" w:rsidP="00A14CA1">
      <w:pPr>
        <w:pStyle w:val="NoSpacing"/>
        <w:ind w:firstLine="720"/>
      </w:pPr>
      <w:r>
        <w:t>[On July 24, 2021] the victim got on the elevator to go upstairs to get a bottle of water.</w:t>
      </w:r>
    </w:p>
    <w:p w14:paraId="250EDCDC" w14:textId="77777777" w:rsidR="00A14CA1" w:rsidRDefault="00A14CA1" w:rsidP="00A14CA1">
      <w:pPr>
        <w:pStyle w:val="NoSpacing"/>
        <w:ind w:firstLine="720"/>
      </w:pPr>
      <w:r>
        <w:t>As she got onto the elevator to go back downstairs to feed the horses, Defendant followed</w:t>
      </w:r>
    </w:p>
    <w:p w14:paraId="463B9EE4" w14:textId="77777777" w:rsidR="00A14CA1" w:rsidRDefault="00A14CA1" w:rsidP="00A14CA1">
      <w:pPr>
        <w:pStyle w:val="NoSpacing"/>
        <w:ind w:firstLine="720"/>
      </w:pPr>
      <w:r>
        <w:t>her onto the elevator and stopped it. He pulled down her pants and panties and again ‘put</w:t>
      </w:r>
    </w:p>
    <w:p w14:paraId="784B68CA" w14:textId="77777777" w:rsidR="00A14CA1" w:rsidRDefault="00A14CA1" w:rsidP="00A14CA1">
      <w:pPr>
        <w:pStyle w:val="NoSpacing"/>
        <w:ind w:firstLine="720"/>
      </w:pPr>
      <w:r>
        <w:t>his mouth and fingers back in [her].’ The victim testified it was painful and she again told</w:t>
      </w:r>
    </w:p>
    <w:p w14:paraId="00001708" w14:textId="77777777" w:rsidR="00A14CA1" w:rsidRDefault="00A14CA1" w:rsidP="00A14CA1">
      <w:pPr>
        <w:pStyle w:val="NoSpacing"/>
        <w:ind w:firstLine="720"/>
      </w:pPr>
      <w:r>
        <w:t>Defendant to stop multiple times. Defendant’s hands were behind her thighs, and she was</w:t>
      </w:r>
    </w:p>
    <w:p w14:paraId="1E8034F2" w14:textId="77777777" w:rsidR="00A14CA1" w:rsidRDefault="00A14CA1" w:rsidP="00A14CA1">
      <w:pPr>
        <w:pStyle w:val="NoSpacing"/>
        <w:ind w:firstLine="720"/>
      </w:pPr>
      <w:r>
        <w:t>‘</w:t>
      </w:r>
      <w:proofErr w:type="gramStart"/>
      <w:r>
        <w:t>pinned</w:t>
      </w:r>
      <w:proofErr w:type="gramEnd"/>
      <w:r>
        <w:t xml:space="preserve"> up against the wall in the corner.’ She </w:t>
      </w:r>
      <w:proofErr w:type="gramStart"/>
      <w:r>
        <w:t>testified, ‘</w:t>
      </w:r>
      <w:proofErr w:type="gramEnd"/>
      <w:r>
        <w:t>with him pushing pressure on</w:t>
      </w:r>
    </w:p>
    <w:p w14:paraId="377BF3BE" w14:textId="77777777" w:rsidR="00A14CA1" w:rsidRDefault="00A14CA1" w:rsidP="00A14CA1">
      <w:pPr>
        <w:pStyle w:val="NoSpacing"/>
        <w:ind w:firstLine="720"/>
      </w:pPr>
      <w:r>
        <w:t>my legs, it was hard for me to go anywhere.’ She was holding a water bottle in one hand</w:t>
      </w:r>
    </w:p>
    <w:p w14:paraId="2942A0C2" w14:textId="77777777" w:rsidR="00A14CA1" w:rsidRDefault="00A14CA1" w:rsidP="00A14CA1">
      <w:pPr>
        <w:pStyle w:val="NoSpacing"/>
        <w:ind w:firstLine="720"/>
      </w:pPr>
      <w:r>
        <w:t xml:space="preserve">and her phone in the other. She </w:t>
      </w:r>
      <w:proofErr w:type="gramStart"/>
      <w:r>
        <w:t>testified, ‘</w:t>
      </w:r>
      <w:proofErr w:type="gramEnd"/>
      <w:r>
        <w:t>I don’t know why I took a picture, but I took a</w:t>
      </w:r>
    </w:p>
    <w:p w14:paraId="7C1DF90E" w14:textId="77777777" w:rsidR="00A14CA1" w:rsidRDefault="00A14CA1" w:rsidP="00A14CA1">
      <w:pPr>
        <w:pStyle w:val="NoSpacing"/>
        <w:ind w:firstLine="720"/>
      </w:pPr>
      <w:r>
        <w:t>picture of him doing it just – I guess just to have to – if any – if I felt like I needed to say</w:t>
      </w:r>
    </w:p>
    <w:p w14:paraId="24E89256" w14:textId="77777777" w:rsidR="00A14CA1" w:rsidRDefault="00A14CA1" w:rsidP="00A14CA1">
      <w:pPr>
        <w:pStyle w:val="NoSpacing"/>
        <w:ind w:firstLine="720"/>
      </w:pPr>
      <w:r>
        <w:t>something.’ The photo the victim took with her phone was introduced as an exhibit.”</w:t>
      </w:r>
    </w:p>
    <w:p w14:paraId="0942B7A6" w14:textId="77777777" w:rsidR="00A14CA1" w:rsidRDefault="00A14CA1" w:rsidP="00A14CA1">
      <w:pPr>
        <w:pStyle w:val="NoSpacing"/>
        <w:ind w:firstLine="720"/>
      </w:pPr>
    </w:p>
    <w:p w14:paraId="5F8C1CF1" w14:textId="77777777" w:rsidR="00A14CA1" w:rsidRPr="00A241FB" w:rsidRDefault="00A14CA1" w:rsidP="00A14CA1">
      <w:pPr>
        <w:rPr>
          <w:b/>
          <w:bCs/>
        </w:rPr>
      </w:pPr>
      <w:r>
        <w:rPr>
          <w:b/>
        </w:rPr>
        <w:t xml:space="preserve">Legal lesson learned: Explorer programs need strict rule – no personal interaction with participants. </w:t>
      </w:r>
    </w:p>
    <w:p w14:paraId="1D3F27E3" w14:textId="77777777" w:rsidR="00A14CA1" w:rsidRDefault="00A14CA1" w:rsidP="00A14CA1">
      <w:pPr>
        <w:pStyle w:val="NoSpacing"/>
        <w:ind w:firstLine="720"/>
      </w:pPr>
    </w:p>
    <w:p w14:paraId="3B6C3DA0" w14:textId="7F8A62E6" w:rsidR="00B207FB" w:rsidRDefault="00B207FB" w:rsidP="00B207FB">
      <w:pPr>
        <w:pStyle w:val="NoSpacing"/>
        <w:rPr>
          <w:rFonts w:ascii="Arial Black" w:hAnsi="Arial Black"/>
          <w:b/>
          <w:sz w:val="28"/>
          <w:szCs w:val="28"/>
        </w:rPr>
      </w:pPr>
      <w:r>
        <w:rPr>
          <w:rFonts w:ascii="Arial Black" w:hAnsi="Arial Black"/>
          <w:b/>
          <w:sz w:val="28"/>
          <w:szCs w:val="28"/>
        </w:rPr>
        <w:t>16-166</w:t>
      </w:r>
    </w:p>
    <w:p w14:paraId="3C0D0549" w14:textId="77777777" w:rsidR="00A14CA1" w:rsidRDefault="00A14CA1" w:rsidP="002C229D">
      <w:pPr>
        <w:pStyle w:val="NoSpacing"/>
        <w:rPr>
          <w:rFonts w:ascii="Arial Black" w:hAnsi="Arial Black"/>
          <w:b/>
          <w:sz w:val="28"/>
          <w:szCs w:val="28"/>
        </w:rPr>
      </w:pPr>
    </w:p>
    <w:p w14:paraId="52493BB1" w14:textId="77777777" w:rsidR="00466092" w:rsidRPr="006041D5" w:rsidRDefault="00466092" w:rsidP="00466092">
      <w:pPr>
        <w:pStyle w:val="NoSpacing"/>
        <w:rPr>
          <w:rFonts w:ascii="Arial Black" w:hAnsi="Arial Black"/>
          <w:sz w:val="28"/>
          <w:szCs w:val="28"/>
        </w:rPr>
      </w:pPr>
      <w:r>
        <w:rPr>
          <w:rFonts w:ascii="Arial Black" w:hAnsi="Arial Black"/>
          <w:sz w:val="28"/>
          <w:szCs w:val="28"/>
        </w:rPr>
        <w:t>OH: CHIEF FIRED W/O HEARING – CITY MGR NO IMMUNITY</w:t>
      </w:r>
    </w:p>
    <w:p w14:paraId="5E83CC5E" w14:textId="77777777" w:rsidR="00466092" w:rsidRDefault="00466092" w:rsidP="00466092">
      <w:pPr>
        <w:pStyle w:val="NoSpacing"/>
      </w:pPr>
    </w:p>
    <w:p w14:paraId="01440E8A" w14:textId="77777777" w:rsidR="00466092" w:rsidRDefault="00466092" w:rsidP="00466092">
      <w:pPr>
        <w:pStyle w:val="NoSpacing"/>
      </w:pPr>
      <w:r>
        <w:t xml:space="preserve">On August 13, 2926, in </w:t>
      </w:r>
      <w:r w:rsidRPr="002934AC">
        <w:rPr>
          <w:u w:val="single"/>
        </w:rPr>
        <w:t>Michael Washington v. City of Cincinnati</w:t>
      </w:r>
      <w:r>
        <w:t xml:space="preserve">, the United States Court of Appeals for Sixth Circuit held (2 to 1) that the trial court judge properly held that the City Manager was not entitled to qualified immunity for pre-deprivation violations of Washington’s procedural due process rights, and that she was not entitled to statutory immunity for the defamation claim.  The case will now proceed to trial.  </w:t>
      </w:r>
      <w:hyperlink r:id="rId2600" w:history="1">
        <w:r w:rsidRPr="00971BCC">
          <w:rPr>
            <w:rStyle w:val="Hyperlink"/>
          </w:rPr>
          <w:t>https://files.constantcontact.com/c0e462b4101/e141b674-435b-44eb-8111-03664eafd509.pdf</w:t>
        </w:r>
      </w:hyperlink>
    </w:p>
    <w:p w14:paraId="2AEE7630" w14:textId="77777777" w:rsidR="00466092" w:rsidRDefault="00466092" w:rsidP="00466092">
      <w:pPr>
        <w:pStyle w:val="NoSpacing"/>
      </w:pPr>
      <w:r>
        <w:t xml:space="preserve"> </w:t>
      </w:r>
    </w:p>
    <w:p w14:paraId="1938CFCE" w14:textId="77777777" w:rsidR="00466092" w:rsidRDefault="00466092" w:rsidP="00466092">
      <w:pPr>
        <w:pStyle w:val="NoSpacing"/>
      </w:pPr>
      <w:r>
        <w:t>THE COURT WROTE:</w:t>
      </w:r>
    </w:p>
    <w:p w14:paraId="3388D1F0" w14:textId="77777777" w:rsidR="00466092" w:rsidRDefault="00466092" w:rsidP="00466092">
      <w:pPr>
        <w:pStyle w:val="NoSpacing"/>
      </w:pPr>
    </w:p>
    <w:p w14:paraId="22EAB9F2" w14:textId="77777777" w:rsidR="00466092" w:rsidRDefault="00466092" w:rsidP="00466092">
      <w:pPr>
        <w:pStyle w:val="NoSpacing"/>
        <w:ind w:left="720"/>
      </w:pPr>
      <w:r>
        <w:t>“This procedural due process case concerns the discharge of a public employee by a government official. Michael Washington, a longtime employee of the Cincinnati Fire Department, was promoted to Fire Chief in 2021. Around two years later, he was terminated from this position with no opportunity for a pretermination hearing. Washington sued the City of Cincinnati and the City Manager, Sheryl Long, for</w:t>
      </w:r>
    </w:p>
    <w:p w14:paraId="21EC3B44" w14:textId="77777777" w:rsidR="00466092" w:rsidRDefault="00466092" w:rsidP="00466092">
      <w:pPr>
        <w:pStyle w:val="NoSpacing"/>
        <w:ind w:left="720"/>
      </w:pPr>
      <w:r>
        <w:t>violations of his federal and state procedural due process rights, as well as defamation under Ohio state law. At summary judgment, the district court held that Long was not entitled to qualified immunity for pre-deprivation violations of Washington’s procedural due process rights, and that she was not entitled to statutory immunity for the defamation claim. Long and the City filed this interlocutory appeal challenging both denials of immunity. For the following reasons, we AFFIRM.</w:t>
      </w:r>
    </w:p>
    <w:p w14:paraId="7EAA6053" w14:textId="77777777" w:rsidR="00466092" w:rsidRDefault="00466092" w:rsidP="00466092">
      <w:pPr>
        <w:pStyle w:val="NoSpacing"/>
        <w:ind w:left="720"/>
      </w:pPr>
    </w:p>
    <w:p w14:paraId="693E56AF" w14:textId="77777777" w:rsidR="00466092" w:rsidRDefault="00466092" w:rsidP="00466092">
      <w:pPr>
        <w:pStyle w:val="NoSpacing"/>
        <w:ind w:left="720"/>
      </w:pPr>
      <w:r>
        <w:t>***</w:t>
      </w:r>
    </w:p>
    <w:p w14:paraId="179069D8" w14:textId="77777777" w:rsidR="00466092" w:rsidRDefault="00466092" w:rsidP="00466092">
      <w:pPr>
        <w:pStyle w:val="NoSpacing"/>
        <w:ind w:left="720"/>
      </w:pPr>
      <w:r>
        <w:t>Washington began working for the City of Cincinnati Fire Department in 1993. In May</w:t>
      </w:r>
    </w:p>
    <w:p w14:paraId="1A393706" w14:textId="77777777" w:rsidR="00466092" w:rsidRDefault="00466092" w:rsidP="00466092">
      <w:pPr>
        <w:pStyle w:val="NoSpacing"/>
        <w:ind w:left="720"/>
      </w:pPr>
      <w:r>
        <w:t>2021, he was promoted to Fire Chief. The Cincinnati City Charter (the “Charter”), per a 2001 amendment, contains the following language governing the Fire Chief position:</w:t>
      </w:r>
    </w:p>
    <w:p w14:paraId="20009375" w14:textId="77777777" w:rsidR="00466092" w:rsidRDefault="00466092" w:rsidP="00466092">
      <w:pPr>
        <w:pStyle w:val="NoSpacing"/>
        <w:ind w:left="720"/>
      </w:pPr>
    </w:p>
    <w:p w14:paraId="5125C4C6" w14:textId="77777777" w:rsidR="00466092" w:rsidRDefault="00466092" w:rsidP="00466092">
      <w:pPr>
        <w:pStyle w:val="NoSpacing"/>
        <w:ind w:left="720" w:firstLine="720"/>
      </w:pPr>
      <w:r>
        <w:t>The positions of fire chief and assistant fire chief shall be in the unclassified civil</w:t>
      </w:r>
    </w:p>
    <w:p w14:paraId="30FAAE88" w14:textId="77777777" w:rsidR="00466092" w:rsidRDefault="00466092" w:rsidP="00466092">
      <w:pPr>
        <w:pStyle w:val="NoSpacing"/>
        <w:ind w:left="720" w:firstLine="720"/>
      </w:pPr>
      <w:r>
        <w:t>service of the city and exempt from all competitive examination requirements. . . .</w:t>
      </w:r>
    </w:p>
    <w:p w14:paraId="1C065FA4" w14:textId="77777777" w:rsidR="00466092" w:rsidRDefault="00466092" w:rsidP="00466092">
      <w:pPr>
        <w:pStyle w:val="NoSpacing"/>
        <w:ind w:left="720" w:firstLine="720"/>
      </w:pPr>
      <w:r>
        <w:t>The fire chief may be removed at any time by the city manager. After the fire</w:t>
      </w:r>
    </w:p>
    <w:p w14:paraId="3B8FCDF3" w14:textId="77777777" w:rsidR="00466092" w:rsidRDefault="00466092" w:rsidP="00466092">
      <w:pPr>
        <w:pStyle w:val="NoSpacing"/>
        <w:ind w:left="720" w:firstLine="720"/>
      </w:pPr>
      <w:r>
        <w:t xml:space="preserve">chief has served six </w:t>
      </w:r>
      <w:proofErr w:type="gramStart"/>
      <w:r>
        <w:t>months,</w:t>
      </w:r>
      <w:proofErr w:type="gramEnd"/>
      <w:r>
        <w:t xml:space="preserve"> he or she shall be subject to removal only for cause</w:t>
      </w:r>
    </w:p>
    <w:p w14:paraId="16DCC609" w14:textId="77777777" w:rsidR="00466092" w:rsidRDefault="00466092" w:rsidP="00466092">
      <w:pPr>
        <w:pStyle w:val="NoSpacing"/>
        <w:ind w:left="720" w:firstLine="720"/>
      </w:pPr>
      <w:r>
        <w:t>including incompetency, inefficiency, dishonesty, insubordination, unsatisfactory</w:t>
      </w:r>
    </w:p>
    <w:p w14:paraId="2EA60A2F" w14:textId="77777777" w:rsidR="00466092" w:rsidRDefault="00466092" w:rsidP="00466092">
      <w:pPr>
        <w:pStyle w:val="NoSpacing"/>
        <w:ind w:left="720" w:firstLine="720"/>
      </w:pPr>
      <w:r>
        <w:t>performance, any other failure of good behavior, any other acts of misfeasance,</w:t>
      </w:r>
    </w:p>
    <w:p w14:paraId="32E1686B" w14:textId="77777777" w:rsidR="00466092" w:rsidRDefault="00466092" w:rsidP="00466092">
      <w:pPr>
        <w:pStyle w:val="NoSpacing"/>
        <w:ind w:left="720" w:firstLine="720"/>
      </w:pPr>
      <w:r>
        <w:t>malfeasance, or nonfeasance in office, or conviction of any felony. If removed</w:t>
      </w:r>
    </w:p>
    <w:p w14:paraId="0C6FA552" w14:textId="77777777" w:rsidR="00466092" w:rsidRDefault="00466092" w:rsidP="00466092">
      <w:pPr>
        <w:pStyle w:val="NoSpacing"/>
        <w:ind w:left="720" w:firstLine="720"/>
      </w:pPr>
      <w:r>
        <w:t>for cause the fire chief may demand written charges and the right to be heard</w:t>
      </w:r>
    </w:p>
    <w:p w14:paraId="3225E31A" w14:textId="77777777" w:rsidR="00466092" w:rsidRDefault="00466092" w:rsidP="00466092">
      <w:pPr>
        <w:pStyle w:val="NoSpacing"/>
        <w:ind w:left="720" w:firstLine="720"/>
      </w:pPr>
      <w:r>
        <w:t>thereon before the city manager. Pending the completion of such hearing the city</w:t>
      </w:r>
    </w:p>
    <w:p w14:paraId="72862BA4" w14:textId="77777777" w:rsidR="00466092" w:rsidRDefault="00466092" w:rsidP="00466092">
      <w:pPr>
        <w:pStyle w:val="NoSpacing"/>
        <w:ind w:left="720" w:firstLine="720"/>
      </w:pPr>
      <w:r>
        <w:t>manager may suspend the fire chief from office.</w:t>
      </w:r>
    </w:p>
    <w:p w14:paraId="2045328F" w14:textId="77777777" w:rsidR="00466092" w:rsidRDefault="00466092" w:rsidP="00466092">
      <w:pPr>
        <w:pStyle w:val="NoSpacing"/>
        <w:ind w:left="720" w:firstLine="720"/>
      </w:pPr>
      <w:r w:rsidRPr="00937ACE">
        <w:t>Charter of the City of Cincinnati, Art. V, § 6.</w:t>
      </w:r>
    </w:p>
    <w:p w14:paraId="19B154B8" w14:textId="77777777" w:rsidR="00466092" w:rsidRDefault="00466092" w:rsidP="00466092">
      <w:pPr>
        <w:pStyle w:val="NoSpacing"/>
      </w:pPr>
    </w:p>
    <w:p w14:paraId="430BD63C" w14:textId="77777777" w:rsidR="00466092" w:rsidRDefault="00466092" w:rsidP="00466092">
      <w:pPr>
        <w:pStyle w:val="NoSpacing"/>
        <w:ind w:left="720"/>
      </w:pPr>
      <w:r>
        <w:t>When Washington was promoted to Fire Chief, he signed a memorandum titled ‘Understanding of Unclassified Appointment’ (the ‘MOU’), which provides, in full, as follows:</w:t>
      </w:r>
    </w:p>
    <w:p w14:paraId="382688E6" w14:textId="77777777" w:rsidR="00466092" w:rsidRDefault="00466092" w:rsidP="00466092">
      <w:pPr>
        <w:pStyle w:val="NoSpacing"/>
      </w:pPr>
    </w:p>
    <w:p w14:paraId="395EB5DF" w14:textId="77777777" w:rsidR="00466092" w:rsidRDefault="00466092" w:rsidP="00466092">
      <w:pPr>
        <w:pStyle w:val="NoSpacing"/>
        <w:ind w:left="720" w:firstLine="720"/>
      </w:pPr>
      <w:r>
        <w:t>The position of Fire Chief is an unclassified position.</w:t>
      </w:r>
    </w:p>
    <w:p w14:paraId="01740F72" w14:textId="77777777" w:rsidR="00466092" w:rsidRDefault="00466092" w:rsidP="00466092">
      <w:pPr>
        <w:pStyle w:val="NoSpacing"/>
        <w:ind w:left="720" w:firstLine="720"/>
      </w:pPr>
      <w:r>
        <w:t>Employees accepting employment in unclassified positions serve at the pleasure</w:t>
      </w:r>
    </w:p>
    <w:p w14:paraId="5C813D50" w14:textId="77777777" w:rsidR="00466092" w:rsidRDefault="00466092" w:rsidP="00466092">
      <w:pPr>
        <w:pStyle w:val="NoSpacing"/>
        <w:ind w:left="720" w:firstLine="720"/>
      </w:pPr>
      <w:r>
        <w:t>of the appointing authority and can be dismissed from employment without cause</w:t>
      </w:r>
    </w:p>
    <w:p w14:paraId="651A090B" w14:textId="77777777" w:rsidR="00466092" w:rsidRDefault="00466092" w:rsidP="00466092">
      <w:pPr>
        <w:pStyle w:val="NoSpacing"/>
        <w:ind w:left="720" w:firstLine="720"/>
      </w:pPr>
      <w:r>
        <w:t>at any time. In addition, unclassified employees are not recognized under the</w:t>
      </w:r>
    </w:p>
    <w:p w14:paraId="32D9CE47" w14:textId="77777777" w:rsidR="00466092" w:rsidRDefault="00466092" w:rsidP="00466092">
      <w:pPr>
        <w:pStyle w:val="NoSpacing"/>
        <w:ind w:left="720" w:firstLine="720"/>
      </w:pPr>
      <w:r>
        <w:t>Civil Service system and are, therefore, not afforded civil service protections</w:t>
      </w:r>
    </w:p>
    <w:p w14:paraId="68CB471E" w14:textId="77777777" w:rsidR="00466092" w:rsidRDefault="00466092" w:rsidP="00466092">
      <w:pPr>
        <w:pStyle w:val="NoSpacing"/>
        <w:ind w:left="720" w:firstLine="720"/>
      </w:pPr>
      <w:r>
        <w:t>and/or hearings granted to classified employees. In accepting unclassified</w:t>
      </w:r>
    </w:p>
    <w:p w14:paraId="5974351F" w14:textId="77777777" w:rsidR="00466092" w:rsidRDefault="00466092" w:rsidP="00466092">
      <w:pPr>
        <w:pStyle w:val="NoSpacing"/>
        <w:ind w:left="720" w:firstLine="720"/>
      </w:pPr>
      <w:r>
        <w:t>appointments, employees forfeit the right to seek other employment via lateral</w:t>
      </w:r>
    </w:p>
    <w:p w14:paraId="5A26BD54" w14:textId="77777777" w:rsidR="00466092" w:rsidRDefault="00466092" w:rsidP="00466092">
      <w:pPr>
        <w:pStyle w:val="NoSpacing"/>
        <w:ind w:left="720" w:firstLine="720"/>
      </w:pPr>
      <w:r>
        <w:t>transfers and the opportunity to take competitive, promotional exams.</w:t>
      </w:r>
    </w:p>
    <w:p w14:paraId="1B3A1BE8" w14:textId="77777777" w:rsidR="00466092" w:rsidRDefault="00466092" w:rsidP="00466092">
      <w:pPr>
        <w:pStyle w:val="NoSpacing"/>
        <w:ind w:left="720" w:firstLine="720"/>
      </w:pPr>
      <w:r>
        <w:t>By signing below, I, Michael A. Washington, Sr., understand that the position of</w:t>
      </w:r>
    </w:p>
    <w:p w14:paraId="1F4D4556" w14:textId="77777777" w:rsidR="00466092" w:rsidRDefault="00466092" w:rsidP="00466092">
      <w:pPr>
        <w:pStyle w:val="NoSpacing"/>
        <w:ind w:left="720" w:firstLine="720"/>
      </w:pPr>
      <w:r>
        <w:t>Fire Chief, which I am accepting, is an unclassified position and that I have read</w:t>
      </w:r>
    </w:p>
    <w:p w14:paraId="7269B49A" w14:textId="77777777" w:rsidR="00466092" w:rsidRDefault="00466092" w:rsidP="00466092">
      <w:pPr>
        <w:pStyle w:val="NoSpacing"/>
        <w:ind w:left="720" w:firstLine="720"/>
      </w:pPr>
      <w:r>
        <w:t>and understand the explanation of unclassified positions detailed in this</w:t>
      </w:r>
    </w:p>
    <w:p w14:paraId="5C427945" w14:textId="77777777" w:rsidR="00466092" w:rsidRDefault="00466092" w:rsidP="00466092">
      <w:pPr>
        <w:pStyle w:val="NoSpacing"/>
        <w:ind w:left="720" w:firstLine="720"/>
      </w:pPr>
      <w:r>
        <w:t>document.</w:t>
      </w:r>
    </w:p>
    <w:p w14:paraId="7D3339AF" w14:textId="77777777" w:rsidR="00466092" w:rsidRDefault="00466092" w:rsidP="00466092">
      <w:pPr>
        <w:pStyle w:val="NoSpacing"/>
        <w:ind w:left="720" w:firstLine="720"/>
      </w:pPr>
    </w:p>
    <w:p w14:paraId="3138E4D0" w14:textId="77777777" w:rsidR="00466092" w:rsidRPr="008A338C" w:rsidRDefault="00466092" w:rsidP="00466092">
      <w:pPr>
        <w:pStyle w:val="NoSpacing"/>
        <w:ind w:firstLine="720"/>
      </w:pPr>
      <w:r w:rsidRPr="008A338C">
        <w:t>On March 24, 2023, Washington was called to a meeting at City Hall, where Long,</w:t>
      </w:r>
    </w:p>
    <w:p w14:paraId="6EAECB50" w14:textId="77777777" w:rsidR="00466092" w:rsidRPr="008A338C" w:rsidRDefault="00466092" w:rsidP="00466092">
      <w:pPr>
        <w:pStyle w:val="NoSpacing"/>
        <w:ind w:left="720"/>
      </w:pPr>
      <w:r w:rsidRPr="008A338C">
        <w:t xml:space="preserve">accompanied by two Human Resources representatives, told him that he was being </w:t>
      </w:r>
      <w:proofErr w:type="gramStart"/>
      <w:r w:rsidRPr="008A338C">
        <w:t>terminated,</w:t>
      </w:r>
      <w:proofErr w:type="gramEnd"/>
      <w:r>
        <w:t xml:space="preserve"> </w:t>
      </w:r>
      <w:proofErr w:type="gramStart"/>
      <w:r w:rsidRPr="008A338C">
        <w:t>effective</w:t>
      </w:r>
      <w:proofErr w:type="gramEnd"/>
      <w:r w:rsidRPr="008A338C">
        <w:t xml:space="preserve"> immediately. Long then handed him a termination letter. The letter began with an</w:t>
      </w:r>
      <w:r>
        <w:t xml:space="preserve"> </w:t>
      </w:r>
      <w:r w:rsidRPr="008A338C">
        <w:t xml:space="preserve">excerpt of the Charter language providing that </w:t>
      </w:r>
      <w:r>
        <w:t>‘</w:t>
      </w:r>
      <w:r w:rsidRPr="008A338C">
        <w:t>[a]</w:t>
      </w:r>
      <w:proofErr w:type="spellStart"/>
      <w:r w:rsidRPr="008A338C">
        <w:t>fter</w:t>
      </w:r>
      <w:proofErr w:type="spellEnd"/>
      <w:r w:rsidRPr="008A338C">
        <w:t xml:space="preserve"> the fire chief has served six months, he or</w:t>
      </w:r>
      <w:r>
        <w:t xml:space="preserve"> </w:t>
      </w:r>
      <w:r w:rsidRPr="008A338C">
        <w:t>she shall be subject to removal only for cause,</w:t>
      </w:r>
      <w:r>
        <w:t>’</w:t>
      </w:r>
      <w:r w:rsidRPr="008A338C">
        <w:t xml:space="preserve"> then provided five reasons for Washington’s</w:t>
      </w:r>
      <w:r>
        <w:t xml:space="preserve"> </w:t>
      </w:r>
      <w:r w:rsidRPr="008A338C">
        <w:t>termination: (1) poor workplace culture under his leadership, (2) that he was absent from a high-rise fire, (3) that he mishandled personnel matters when a lieutenant was charged with assault,</w:t>
      </w:r>
      <w:r>
        <w:t xml:space="preserve"> </w:t>
      </w:r>
      <w:r w:rsidRPr="008A338C">
        <w:t>(4) that he mismanaged the acquisition of a new training facility, and (5) ineffective</w:t>
      </w:r>
      <w:r>
        <w:t xml:space="preserve"> </w:t>
      </w:r>
      <w:r w:rsidRPr="008A338C">
        <w:t xml:space="preserve">communication with Long and others. After the meeting, </w:t>
      </w:r>
      <w:proofErr w:type="gramStart"/>
      <w:r w:rsidRPr="008A338C">
        <w:t>Long</w:t>
      </w:r>
      <w:proofErr w:type="gramEnd"/>
      <w:r w:rsidRPr="008A338C">
        <w:t xml:space="preserve"> informed the </w:t>
      </w:r>
      <w:proofErr w:type="gramStart"/>
      <w:r w:rsidRPr="008A338C">
        <w:t>Mayor</w:t>
      </w:r>
      <w:proofErr w:type="gramEnd"/>
      <w:r w:rsidRPr="008A338C">
        <w:t xml:space="preserve"> and</w:t>
      </w:r>
      <w:r>
        <w:t xml:space="preserve"> </w:t>
      </w:r>
      <w:r w:rsidRPr="008A338C">
        <w:t>members of the City Council that Washington had been terminated for cause, listing her reasons</w:t>
      </w:r>
      <w:r>
        <w:t xml:space="preserve"> </w:t>
      </w:r>
      <w:r w:rsidRPr="008A338C">
        <w:t xml:space="preserve">for terminating him in a memorandum titled </w:t>
      </w:r>
      <w:r>
        <w:t>‘</w:t>
      </w:r>
      <w:r w:rsidRPr="008A338C">
        <w:t>For Your Information.</w:t>
      </w:r>
      <w:r>
        <w:t>’</w:t>
      </w:r>
      <w:r w:rsidRPr="008A338C">
        <w:t xml:space="preserve"> On the same day, </w:t>
      </w:r>
      <w:proofErr w:type="gramStart"/>
      <w:r w:rsidRPr="008A338C">
        <w:t>Long</w:t>
      </w:r>
      <w:proofErr w:type="gramEnd"/>
      <w:r>
        <w:t xml:space="preserve"> </w:t>
      </w:r>
      <w:r w:rsidRPr="008A338C">
        <w:t>notified local media outlets of Washington’s termination by providing a copy of the termination</w:t>
      </w:r>
      <w:r>
        <w:t xml:space="preserve"> </w:t>
      </w:r>
      <w:r w:rsidRPr="008A338C">
        <w:t>letter and making statements in interviews consistent with the letter and memorandum.</w:t>
      </w:r>
      <w:r>
        <w:t xml:space="preserve"> </w:t>
      </w:r>
      <w:r w:rsidRPr="008A338C">
        <w:t>Washington subsequently requested a post-termination hearing before a neutral decisionmaker,</w:t>
      </w:r>
    </w:p>
    <w:p w14:paraId="42BAAE67" w14:textId="77777777" w:rsidR="00466092" w:rsidRDefault="00466092" w:rsidP="00466092">
      <w:pPr>
        <w:pStyle w:val="NoSpacing"/>
        <w:ind w:left="720"/>
      </w:pPr>
      <w:r w:rsidRPr="008A338C">
        <w:t xml:space="preserve">and </w:t>
      </w:r>
      <w:proofErr w:type="gramStart"/>
      <w:r w:rsidRPr="008A338C">
        <w:t>Long</w:t>
      </w:r>
      <w:proofErr w:type="gramEnd"/>
      <w:r w:rsidRPr="008A338C">
        <w:t xml:space="preserve"> and the City responded by offering him a hearing before Long. No post-termination</w:t>
      </w:r>
      <w:r>
        <w:t xml:space="preserve"> </w:t>
      </w:r>
      <w:r w:rsidRPr="008A338C">
        <w:t>hearing took place.</w:t>
      </w:r>
    </w:p>
    <w:p w14:paraId="0EC18674" w14:textId="77777777" w:rsidR="00466092" w:rsidRDefault="00466092" w:rsidP="00466092">
      <w:pPr>
        <w:pStyle w:val="NoSpacing"/>
      </w:pPr>
    </w:p>
    <w:p w14:paraId="314FCC3C" w14:textId="77777777" w:rsidR="00466092" w:rsidRDefault="00466092" w:rsidP="00466092">
      <w:pPr>
        <w:pStyle w:val="NoSpacing"/>
        <w:ind w:firstLine="720"/>
      </w:pPr>
      <w:r>
        <w:t>***</w:t>
      </w:r>
    </w:p>
    <w:p w14:paraId="5D5AE732" w14:textId="77777777" w:rsidR="00466092" w:rsidRDefault="00466092" w:rsidP="00466092">
      <w:pPr>
        <w:pStyle w:val="NoSpacing"/>
        <w:ind w:left="720"/>
      </w:pPr>
      <w:r>
        <w:t>For all these reasons, a reasonable official in Long’s position (a) would have known that</w:t>
      </w:r>
    </w:p>
    <w:p w14:paraId="03645B5C" w14:textId="77777777" w:rsidR="00466092" w:rsidRDefault="00466092" w:rsidP="00466092">
      <w:pPr>
        <w:pStyle w:val="NoSpacing"/>
        <w:ind w:firstLine="720"/>
      </w:pPr>
      <w:r>
        <w:t>Washington, in his position as Fire Chief under the Charter, accrued for-cause protection</w:t>
      </w:r>
    </w:p>
    <w:p w14:paraId="3C118501" w14:textId="77777777" w:rsidR="00466092" w:rsidRDefault="00466092" w:rsidP="00466092">
      <w:pPr>
        <w:pStyle w:val="NoSpacing"/>
        <w:ind w:firstLine="720"/>
      </w:pPr>
      <w:r>
        <w:t>following his six-month probationary period; and (b) would not have presumed the MOU</w:t>
      </w:r>
    </w:p>
    <w:p w14:paraId="07285421" w14:textId="77777777" w:rsidR="00466092" w:rsidRDefault="00466092" w:rsidP="00466092">
      <w:pPr>
        <w:pStyle w:val="NoSpacing"/>
        <w:ind w:left="720"/>
      </w:pPr>
      <w:r>
        <w:t xml:space="preserve">operated as a waiver of the rights afforded by that status. Long’s failure to provide Washington with any pre-termination process before firing him on March 24, 2023, was a violation of clearly established </w:t>
      </w:r>
      <w:proofErr w:type="gramStart"/>
      <w:r>
        <w:t>law.”</w:t>
      </w:r>
      <w:proofErr w:type="gramEnd"/>
    </w:p>
    <w:p w14:paraId="31302485" w14:textId="77777777" w:rsidR="00466092" w:rsidRDefault="00466092" w:rsidP="00466092">
      <w:pPr>
        <w:pStyle w:val="NoSpacing"/>
        <w:ind w:left="720"/>
      </w:pPr>
    </w:p>
    <w:p w14:paraId="1EF5D471" w14:textId="77777777" w:rsidR="00466092" w:rsidRDefault="00466092" w:rsidP="00466092">
      <w:pPr>
        <w:pStyle w:val="NoSpacing"/>
      </w:pPr>
      <w:r>
        <w:t>DISSENT (Circuit Judge Chad Readler)</w:t>
      </w:r>
    </w:p>
    <w:p w14:paraId="57E3A986" w14:textId="77777777" w:rsidR="00466092" w:rsidRDefault="00466092" w:rsidP="00466092">
      <w:pPr>
        <w:pStyle w:val="NoSpacing"/>
      </w:pPr>
    </w:p>
    <w:p w14:paraId="53EB558A" w14:textId="77777777" w:rsidR="00466092" w:rsidRDefault="00466092" w:rsidP="00466092">
      <w:pPr>
        <w:pStyle w:val="NoSpacing"/>
        <w:ind w:left="720"/>
      </w:pPr>
      <w:r>
        <w:t xml:space="preserve">“Washington signed a document that indicated he was an unclassified employee, provided for no property right in his employment, and allowed for his immediate termination. Because it was far from clearly established that Long could not immediately terminate Washington’s employment under these circumstances, she is entitled to qualified </w:t>
      </w:r>
      <w:proofErr w:type="gramStart"/>
      <w:r>
        <w:t>immunity.”</w:t>
      </w:r>
      <w:proofErr w:type="gramEnd"/>
    </w:p>
    <w:p w14:paraId="063D8380" w14:textId="77777777" w:rsidR="00466092" w:rsidRDefault="00466092" w:rsidP="00466092">
      <w:pPr>
        <w:pStyle w:val="NoSpacing"/>
        <w:ind w:left="720"/>
      </w:pPr>
    </w:p>
    <w:p w14:paraId="00EA7C5A" w14:textId="77777777" w:rsidR="00466092" w:rsidRDefault="00466092" w:rsidP="00466092">
      <w:pPr>
        <w:pStyle w:val="NoSpacing"/>
        <w:rPr>
          <w:b/>
          <w:bCs/>
        </w:rPr>
      </w:pPr>
      <w:r>
        <w:rPr>
          <w:b/>
        </w:rPr>
        <w:t xml:space="preserve">Legal lesson learned:  When the City Charter provides that Fire Chiefs and Assistant Chiefs, after having served six months, can only be fired for cause, then City must provide pre-termination hearing.  </w:t>
      </w:r>
    </w:p>
    <w:p w14:paraId="3EB13AAC" w14:textId="77777777" w:rsidR="00466092" w:rsidRDefault="00466092" w:rsidP="00466092">
      <w:pPr>
        <w:pStyle w:val="NoSpacing"/>
        <w:rPr>
          <w:b/>
          <w:bCs/>
        </w:rPr>
      </w:pPr>
    </w:p>
    <w:p w14:paraId="3024B83F" w14:textId="77777777" w:rsidR="00466092" w:rsidRDefault="00466092" w:rsidP="00466092">
      <w:pPr>
        <w:pStyle w:val="NoSpacing"/>
        <w:ind w:left="720"/>
      </w:pPr>
      <w:r>
        <w:t>Note: This is an important decision that will impact Ohio and other municipalities in the 6</w:t>
      </w:r>
      <w:r w:rsidRPr="001332FF">
        <w:rPr>
          <w:vertAlign w:val="superscript"/>
        </w:rPr>
        <w:t>th</w:t>
      </w:r>
      <w:r>
        <w:t xml:space="preserve"> Circuit (Ohio, Kentucky, Michigan, Tennessee).  The Ohio Municipal League warned cities in Ohio:</w:t>
      </w:r>
    </w:p>
    <w:p w14:paraId="0BBD0D13" w14:textId="77777777" w:rsidR="00466092" w:rsidRDefault="00466092" w:rsidP="00466092">
      <w:pPr>
        <w:pStyle w:val="NoSpacing"/>
        <w:ind w:left="720"/>
        <w:rPr>
          <w:b/>
        </w:rPr>
      </w:pPr>
    </w:p>
    <w:p w14:paraId="6EAB509D" w14:textId="77777777" w:rsidR="00466092" w:rsidRDefault="00466092" w:rsidP="00466092">
      <w:pPr>
        <w:pStyle w:val="NoSpacing"/>
        <w:ind w:left="720"/>
      </w:pPr>
      <w:r>
        <w:rPr>
          <w:b/>
        </w:rPr>
        <w:t>“</w:t>
      </w:r>
      <w:r w:rsidRPr="00E32D3E">
        <w:rPr>
          <w:b/>
        </w:rPr>
        <w:t>SIXTH CIRCUIT DECISION RAISES QUALIFIED IMMUNITY CONCERNS</w:t>
      </w:r>
      <w:r>
        <w:rPr>
          <w:b/>
        </w:rPr>
        <w:t xml:space="preserve">.   </w:t>
      </w:r>
      <w:r w:rsidRPr="00E32D3E">
        <w:t>Aug. 27, 2026.</w:t>
      </w:r>
      <w:r>
        <w:rPr>
          <w:b/>
        </w:rPr>
        <w:t xml:space="preserve">  </w:t>
      </w:r>
      <w:hyperlink r:id="rId2601" w:history="1">
        <w:r w:rsidRPr="00971BCC">
          <w:rPr>
            <w:rStyle w:val="Hyperlink"/>
          </w:rPr>
          <w:t>https://omlohio.org/m/newsflash/home/detail/52</w:t>
        </w:r>
      </w:hyperlink>
      <w:r>
        <w:t xml:space="preserve"> </w:t>
      </w:r>
    </w:p>
    <w:p w14:paraId="3D409883" w14:textId="77777777" w:rsidR="00466092" w:rsidRDefault="00466092" w:rsidP="00466092">
      <w:pPr>
        <w:pStyle w:val="NoSpacing"/>
        <w:ind w:left="720"/>
      </w:pPr>
    </w:p>
    <w:p w14:paraId="7227AEA1" w14:textId="77777777" w:rsidR="00466092" w:rsidRPr="0069350D" w:rsidRDefault="00466092" w:rsidP="00466092">
      <w:pPr>
        <w:pStyle w:val="NoSpacing"/>
        <w:ind w:firstLine="720"/>
        <w:rPr>
          <w:b/>
        </w:rPr>
      </w:pPr>
      <w:r>
        <w:rPr>
          <w:b/>
        </w:rPr>
        <w:t>“</w:t>
      </w:r>
      <w:r w:rsidRPr="0069350D">
        <w:rPr>
          <w:b/>
        </w:rPr>
        <w:t>Why Does It Matter for Municipalities?</w:t>
      </w:r>
    </w:p>
    <w:p w14:paraId="77635CE8" w14:textId="77777777" w:rsidR="00466092" w:rsidRDefault="00466092" w:rsidP="00466092">
      <w:pPr>
        <w:pStyle w:val="NoSpacing"/>
        <w:ind w:left="720"/>
      </w:pPr>
      <w:r w:rsidRPr="0069350D">
        <w:t>If the decision stands, OML is concerned it could make it easier for plaintiffs to overcome qualified immunity in due process cases, increasing potential legal exposure for municipal officials throughout Ohio and the Sixth Circuit.</w:t>
      </w:r>
      <w:r>
        <w:t xml:space="preserve"> </w:t>
      </w:r>
      <w:r w:rsidRPr="0069350D">
        <w:t xml:space="preserve">The case also provides a practical reminder that before terminating an appointed official or other employee, municipalities should review their charter, ordinances, employment agreements and policies to determine whether </w:t>
      </w:r>
      <w:r>
        <w:t>‘</w:t>
      </w:r>
      <w:r w:rsidRPr="0069350D">
        <w:t>for cause</w:t>
      </w:r>
      <w:r>
        <w:t>’</w:t>
      </w:r>
      <w:r w:rsidRPr="0069350D">
        <w:t xml:space="preserve"> protections or other provisions trigger constitutional due process requirements.</w:t>
      </w:r>
    </w:p>
    <w:p w14:paraId="39F02B64" w14:textId="77777777" w:rsidR="00466092" w:rsidRDefault="00466092" w:rsidP="00466092">
      <w:pPr>
        <w:pStyle w:val="NoSpacing"/>
        <w:rPr>
          <w:b/>
        </w:rPr>
      </w:pPr>
    </w:p>
    <w:p w14:paraId="4DBD5F96" w14:textId="77777777" w:rsidR="00466092" w:rsidRPr="0069350D" w:rsidRDefault="00466092" w:rsidP="00466092">
      <w:pPr>
        <w:pStyle w:val="NoSpacing"/>
        <w:ind w:firstLine="720"/>
        <w:rPr>
          <w:b/>
        </w:rPr>
      </w:pPr>
      <w:r w:rsidRPr="0069350D">
        <w:rPr>
          <w:b/>
        </w:rPr>
        <w:t>OML Supporting Further Review</w:t>
      </w:r>
    </w:p>
    <w:p w14:paraId="7508E989" w14:textId="77777777" w:rsidR="00466092" w:rsidRPr="0069350D" w:rsidRDefault="00466092" w:rsidP="00466092">
      <w:pPr>
        <w:pStyle w:val="NoSpacing"/>
        <w:ind w:left="720"/>
      </w:pPr>
      <w:r w:rsidRPr="0069350D">
        <w:t>Because of the broader implications for municipalities, OML intends to participate in an amicus brief supporting a request for the full Sixth Circuit to rehear the qualified-immunity portion of the case. OML believes established precedent requires a sufficiently particularized showing that an official's conduct violated clearly established law before qualified immunity can be denied.</w:t>
      </w:r>
      <w:r>
        <w:t>”</w:t>
      </w:r>
    </w:p>
    <w:p w14:paraId="71F42A1F" w14:textId="77777777" w:rsidR="00466092" w:rsidRPr="0069350D" w:rsidRDefault="00466092" w:rsidP="00466092">
      <w:pPr>
        <w:pStyle w:val="NoSpacing"/>
        <w:ind w:left="720"/>
      </w:pPr>
    </w:p>
    <w:p w14:paraId="0FA89AD9" w14:textId="77777777" w:rsidR="00466092" w:rsidRDefault="00466092" w:rsidP="002C229D">
      <w:pPr>
        <w:pStyle w:val="NoSpacing"/>
        <w:rPr>
          <w:rFonts w:ascii="Arial Black" w:hAnsi="Arial Black"/>
          <w:b/>
          <w:sz w:val="28"/>
          <w:szCs w:val="28"/>
        </w:rPr>
      </w:pPr>
    </w:p>
    <w:p w14:paraId="27CD5A9D" w14:textId="4C5030C8" w:rsidR="00B207FB" w:rsidRDefault="00B207FB" w:rsidP="00B207FB">
      <w:pPr>
        <w:pStyle w:val="NoSpacing"/>
        <w:rPr>
          <w:rFonts w:ascii="Arial Black" w:hAnsi="Arial Black"/>
          <w:b/>
          <w:sz w:val="28"/>
          <w:szCs w:val="28"/>
        </w:rPr>
      </w:pPr>
      <w:r>
        <w:rPr>
          <w:rFonts w:ascii="Arial Black" w:hAnsi="Arial Black"/>
          <w:b/>
          <w:sz w:val="28"/>
          <w:szCs w:val="28"/>
        </w:rPr>
        <w:t>16-165</w:t>
      </w:r>
    </w:p>
    <w:p w14:paraId="7A0B3E27" w14:textId="77777777" w:rsidR="00B207FB" w:rsidRDefault="00B207FB" w:rsidP="002C229D">
      <w:pPr>
        <w:pStyle w:val="NoSpacing"/>
        <w:rPr>
          <w:rFonts w:ascii="Arial Black" w:hAnsi="Arial Black"/>
          <w:b/>
          <w:sz w:val="28"/>
          <w:szCs w:val="28"/>
        </w:rPr>
      </w:pPr>
    </w:p>
    <w:p w14:paraId="74CDBB02" w14:textId="77777777" w:rsidR="00B207FB" w:rsidRPr="00DE0FE9" w:rsidRDefault="00B207FB" w:rsidP="00B207FB">
      <w:pPr>
        <w:rPr>
          <w:rFonts w:ascii="Arial Black" w:hAnsi="Arial Black"/>
          <w:b/>
          <w:sz w:val="28"/>
          <w:szCs w:val="28"/>
        </w:rPr>
      </w:pPr>
      <w:r>
        <w:rPr>
          <w:rFonts w:ascii="Arial Black" w:hAnsi="Arial Black"/>
          <w:b/>
          <w:sz w:val="28"/>
          <w:szCs w:val="28"/>
        </w:rPr>
        <w:t>NC: CAPTAIN’S SOCIAL MEDIA POSTS – 3 WARNINGS - FIRED</w:t>
      </w:r>
    </w:p>
    <w:p w14:paraId="138C43E0" w14:textId="77777777" w:rsidR="00B207FB" w:rsidRDefault="00B207FB" w:rsidP="00B207FB">
      <w:pPr>
        <w:rPr>
          <w:bCs/>
        </w:rPr>
      </w:pPr>
      <w:r>
        <w:t>On August 10, 2026</w:t>
      </w:r>
      <w:proofErr w:type="gramStart"/>
      <w:r>
        <w:t>, in</w:t>
      </w:r>
      <w:proofErr w:type="gramEnd"/>
      <w:r>
        <w:t xml:space="preserve"> </w:t>
      </w:r>
      <w:r w:rsidRPr="00DD52A4">
        <w:rPr>
          <w:u w:val="single"/>
        </w:rPr>
        <w:t>Dustin Robert Jones v. The City of Greensboro and Greensboro Fire Department</w:t>
      </w:r>
      <w:r>
        <w:t xml:space="preserve">, U.S. District Court Judge </w:t>
      </w:r>
      <w:r w:rsidRPr="002B4ADB">
        <w:t>Thomas D. Schroeder</w:t>
      </w:r>
      <w:r>
        <w:t xml:space="preserve">, United States District Court for the Middle District of North Carolina, granted the City’s motion for summary judgment.  Applying the “balancing test” of U.S. Supreme Court (Pickering v. Board of Education, 1968; </w:t>
      </w:r>
      <w:hyperlink r:id="rId2602" w:history="1">
        <w:r w:rsidRPr="00444613">
          <w:rPr>
            <w:rStyle w:val="Hyperlink"/>
          </w:rPr>
          <w:t>https://www.oyez.org/cases/1967/510</w:t>
        </w:r>
      </w:hyperlink>
      <w:r>
        <w:t xml:space="preserve"> ), the </w:t>
      </w:r>
      <w:proofErr w:type="gramStart"/>
      <w:r>
        <w:t>City</w:t>
      </w:r>
      <w:proofErr w:type="gramEnd"/>
      <w:r>
        <w:t xml:space="preserve"> </w:t>
      </w:r>
      <w:r w:rsidRPr="004E116B">
        <w:t>reasonably perceived Jones's continued posting as insubordinate. “A public employee's interest in speaking on matters of public concern ‘does not require that a public employer tolerate associated behavior that it reasonably believed was disruptive and insubordinate.'”</w:t>
      </w:r>
      <w:r w:rsidRPr="00602CCC">
        <w:t xml:space="preserve"> </w:t>
      </w:r>
      <w:hyperlink r:id="rId2603" w:history="1">
        <w:r w:rsidRPr="00444613">
          <w:rPr>
            <w:rStyle w:val="Hyperlink"/>
          </w:rPr>
          <w:t>https://cases.justia.com/federal/district-courts/north-carolina/ncmdce/1:2024cv00450/98804/21/0.pdf?ts=1743522862</w:t>
        </w:r>
      </w:hyperlink>
      <w:r>
        <w:t xml:space="preserve"> </w:t>
      </w:r>
    </w:p>
    <w:p w14:paraId="07149D81" w14:textId="77777777" w:rsidR="00B207FB" w:rsidRDefault="00B207FB" w:rsidP="00B207FB">
      <w:pPr>
        <w:rPr>
          <w:bCs/>
        </w:rPr>
      </w:pPr>
      <w:r>
        <w:t xml:space="preserve">THE COURT WROTE: </w:t>
      </w:r>
    </w:p>
    <w:p w14:paraId="3CEB0906" w14:textId="77777777" w:rsidR="00B207FB" w:rsidRDefault="00B207FB" w:rsidP="00B207FB">
      <w:pPr>
        <w:ind w:left="720"/>
        <w:rPr>
          <w:bCs/>
        </w:rPr>
      </w:pPr>
      <w:r>
        <w:t>“</w:t>
      </w:r>
      <w:r w:rsidRPr="004E116B">
        <w:t>The record demonstrates that Jones received three coaching sessions in which supervisors expressed disapproval of his posts</w:t>
      </w:r>
      <w:r>
        <w:t xml:space="preserve">…. </w:t>
      </w:r>
      <w:r w:rsidRPr="004E116B">
        <w:t xml:space="preserve">Though his post regarding </w:t>
      </w:r>
      <w:proofErr w:type="spellStart"/>
      <w:r w:rsidRPr="004E116B">
        <w:t>Tyre</w:t>
      </w:r>
      <w:proofErr w:type="spellEnd"/>
      <w:r w:rsidRPr="004E116B">
        <w:t xml:space="preserve"> Nichols was </w:t>
      </w:r>
      <w:r>
        <w:t>‘</w:t>
      </w:r>
      <w:r w:rsidRPr="004E116B">
        <w:t>just within policy,</w:t>
      </w:r>
      <w:r>
        <w:t>’</w:t>
      </w:r>
      <w:r w:rsidRPr="004E116B">
        <w:t xml:space="preserve"> Chief Robinson cautioned Jones at the third session to </w:t>
      </w:r>
      <w:r>
        <w:t>‘</w:t>
      </w:r>
      <w:r w:rsidRPr="004E116B">
        <w:t>be careful.</w:t>
      </w:r>
      <w:r>
        <w:t>’</w:t>
      </w:r>
      <w:r>
        <w:rPr>
          <w:vertAlign w:val="superscript"/>
        </w:rPr>
        <w:t xml:space="preserve"> </w:t>
      </w:r>
      <w:r>
        <w:t xml:space="preserve">…. </w:t>
      </w:r>
      <w:r w:rsidRPr="004E116B">
        <w:t xml:space="preserve"> Chief Robinson's handwritten notes from this meeting further indicate that he </w:t>
      </w:r>
      <w:r>
        <w:t>‘</w:t>
      </w:r>
      <w:r w:rsidRPr="004E116B">
        <w:t>ask[ed] [Jones] to stop with the post[s] that could be viewed as offensive.</w:t>
      </w:r>
      <w:r>
        <w:t xml:space="preserve">’ … </w:t>
      </w:r>
      <w:r w:rsidRPr="004E116B">
        <w:t xml:space="preserve">Indeed, Jones himself understood from the coaching sessions with GFD leadership that his </w:t>
      </w:r>
      <w:r>
        <w:t>‘</w:t>
      </w:r>
      <w:r w:rsidRPr="004E116B">
        <w:t>employment could be threatened</w:t>
      </w:r>
      <w:r>
        <w:t xml:space="preserve">’ </w:t>
      </w:r>
      <w:r w:rsidRPr="004E116B">
        <w:t xml:space="preserve"> if he continued posting controversial political speech to his social media</w:t>
      </w:r>
      <w:r>
        <w:t xml:space="preserve">…. </w:t>
      </w:r>
      <w:r w:rsidRPr="004E116B">
        <w:t xml:space="preserve">Yet, as Jones's counsel conceded at the hearing, his subsequent posts continued to test the boundary of acceptability within the GFD's policy, and he crossed the line with, at minimum, the repost stating: </w:t>
      </w:r>
      <w:r>
        <w:t>‘</w:t>
      </w:r>
      <w:r w:rsidRPr="004E116B">
        <w:t>IF I'VE EVER OFFENDED YOU, I'M SORRY . . . THAT YOU'RE A LITTLE BITCH.</w:t>
      </w:r>
      <w:r>
        <w:t>’</w:t>
      </w:r>
      <w:r w:rsidRPr="004E116B">
        <w:t xml:space="preserve">  </w:t>
      </w:r>
    </w:p>
    <w:p w14:paraId="1FC5F6A3" w14:textId="77777777" w:rsidR="00B207FB" w:rsidRDefault="00B207FB" w:rsidP="00B207FB">
      <w:pPr>
        <w:rPr>
          <w:bCs/>
        </w:rPr>
      </w:pPr>
      <w:r>
        <w:tab/>
        <w:t>***</w:t>
      </w:r>
    </w:p>
    <w:p w14:paraId="08937B53" w14:textId="77777777" w:rsidR="00B207FB" w:rsidRDefault="00B207FB" w:rsidP="00B207FB">
      <w:pPr>
        <w:ind w:left="720" w:firstLine="60"/>
      </w:pPr>
      <w:r w:rsidRPr="00DE0FE9">
        <w:t xml:space="preserve">Jones's leadership position </w:t>
      </w:r>
      <w:r>
        <w:t xml:space="preserve">[as Captain] </w:t>
      </w:r>
      <w:r w:rsidRPr="00DE0FE9">
        <w:t xml:space="preserve">exacerbated the potential disruption caused by his posts. </w:t>
      </w:r>
      <w:r>
        <w:t>‘</w:t>
      </w:r>
      <w:r w:rsidRPr="00DE0FE9">
        <w:t xml:space="preserve">The expressive activities of a highly placed supervisory employee will be more disruptive to the operation of the workplace than similar activity by a </w:t>
      </w:r>
      <w:proofErr w:type="gramStart"/>
      <w:r w:rsidRPr="00DE0FE9">
        <w:t>low level</w:t>
      </w:r>
      <w:proofErr w:type="gramEnd"/>
      <w:r w:rsidRPr="00DE0FE9">
        <w:t xml:space="preserve"> employee with little authority or discretion.” </w:t>
      </w:r>
      <w:r w:rsidRPr="00DE0FE9">
        <w:rPr>
          <w:i/>
          <w:iCs/>
        </w:rPr>
        <w:t>Id.</w:t>
      </w:r>
      <w:r w:rsidRPr="00DE0FE9">
        <w:t xml:space="preserve"> (citation modified) (quoting </w:t>
      </w:r>
      <w:r w:rsidRPr="00DE0FE9">
        <w:rPr>
          <w:i/>
          <w:iCs/>
        </w:rPr>
        <w:t>McEvoy v. Spencer</w:t>
      </w:r>
      <w:r w:rsidRPr="00DE0FE9">
        <w:t xml:space="preserve">, 124 F.3d 92, 103 (2d Cir. 1997)). And here, according to Chief Robinson, captains </w:t>
      </w:r>
      <w:r>
        <w:t>‘</w:t>
      </w:r>
      <w:r w:rsidRPr="00DE0FE9">
        <w:t>set the standard</w:t>
      </w:r>
      <w:r>
        <w:t>’</w:t>
      </w:r>
      <w:r w:rsidRPr="00DE0FE9">
        <w:t xml:space="preserve"> within the GFD</w:t>
      </w:r>
      <w:r>
        <w:t xml:space="preserve">…. </w:t>
      </w:r>
      <w:r w:rsidRPr="00DE0FE9">
        <w:t>Thus, as a captain, Jones wa</w:t>
      </w:r>
      <w:r>
        <w:t>s ‘</w:t>
      </w:r>
      <w:r w:rsidRPr="00DE0FE9">
        <w:t>responsible for ensuring implementation of the GFD's policy and mission</w:t>
      </w:r>
      <w:r>
        <w:t xml:space="preserve">…. </w:t>
      </w:r>
      <w:r w:rsidRPr="00DE0FE9">
        <w:t xml:space="preserve">Yet as noted, according to one battalion chief, personnel throughout the GFD knew that Jones had </w:t>
      </w:r>
      <w:proofErr w:type="gramStart"/>
      <w:r w:rsidRPr="00DE0FE9">
        <w:t xml:space="preserve">been </w:t>
      </w:r>
      <w:r>
        <w:t>‘</w:t>
      </w:r>
      <w:r w:rsidRPr="00DE0FE9">
        <w:t>coached</w:t>
      </w:r>
      <w:r>
        <w:t>’</w:t>
      </w:r>
      <w:proofErr w:type="gramEnd"/>
      <w:r w:rsidRPr="00DE0FE9">
        <w:t xml:space="preserve"> on his </w:t>
      </w:r>
      <w:r>
        <w:t>‘</w:t>
      </w:r>
      <w:r w:rsidRPr="00DE0FE9">
        <w:t xml:space="preserve">offensive </w:t>
      </w:r>
      <w:proofErr w:type="gramStart"/>
      <w:r w:rsidRPr="00DE0FE9">
        <w:t>posts</w:t>
      </w:r>
      <w:r>
        <w:t>’</w:t>
      </w:r>
      <w:proofErr w:type="gramEnd"/>
      <w:r w:rsidRPr="00DE0FE9">
        <w:t xml:space="preserve"> but continued posting, thereby creating a perception of public </w:t>
      </w:r>
      <w:proofErr w:type="gramStart"/>
      <w:r w:rsidRPr="00DE0FE9">
        <w:t>defiance.</w:t>
      </w:r>
      <w:r>
        <w:t>”</w:t>
      </w:r>
      <w:proofErr w:type="gramEnd"/>
    </w:p>
    <w:p w14:paraId="1CEEC3CB" w14:textId="77777777" w:rsidR="00B207FB" w:rsidRPr="005C547A" w:rsidRDefault="00B207FB" w:rsidP="00B207FB">
      <w:pPr>
        <w:rPr>
          <w:b/>
        </w:rPr>
      </w:pPr>
      <w:r>
        <w:rPr>
          <w:b/>
        </w:rPr>
        <w:t xml:space="preserve">Legal lesson learned: Social media posts can lead to termination. </w:t>
      </w:r>
    </w:p>
    <w:p w14:paraId="0EDA15C5" w14:textId="77777777" w:rsidR="00B207FB" w:rsidRDefault="00B207FB" w:rsidP="00B207FB">
      <w:pPr>
        <w:rPr>
          <w:bCs/>
        </w:rPr>
      </w:pPr>
      <w:r>
        <w:tab/>
        <w:t>Note: His posts included:</w:t>
      </w:r>
    </w:p>
    <w:p w14:paraId="5F81E3EE" w14:textId="77777777" w:rsidR="00B207FB" w:rsidRDefault="00B207FB" w:rsidP="00B207FB">
      <w:pPr>
        <w:pStyle w:val="ListParagraph"/>
        <w:numPr>
          <w:ilvl w:val="0"/>
          <w:numId w:val="44"/>
        </w:numPr>
      </w:pPr>
      <w:r>
        <w:t>2021: P</w:t>
      </w:r>
      <w:r w:rsidRPr="004571D4">
        <w:t>hotograph of the interior of the private residence and noted, “Just an example of some of our ‘working conditions' ...</w:t>
      </w:r>
      <w:r>
        <w:t xml:space="preserve"> </w:t>
      </w:r>
      <w:r w:rsidRPr="004571D4">
        <w:t xml:space="preserve">from our job last night.” </w:t>
      </w:r>
    </w:p>
    <w:p w14:paraId="1512189A" w14:textId="77777777" w:rsidR="00B207FB" w:rsidRPr="0076107D" w:rsidRDefault="00B207FB" w:rsidP="00B207FB">
      <w:pPr>
        <w:pStyle w:val="ListParagraph"/>
        <w:numPr>
          <w:ilvl w:val="0"/>
          <w:numId w:val="44"/>
        </w:numPr>
        <w:rPr>
          <w:bCs/>
        </w:rPr>
      </w:pPr>
      <w:r>
        <w:t>Nov. 2022: R</w:t>
      </w:r>
      <w:r w:rsidRPr="00C3283D">
        <w:t xml:space="preserve">eposted a Facebook video of Guilford County Sheriff Danny Rogers dancing at the North Carolina A&amp;T State University homecoming parade, on which Jones commented, “This is the clown in charge of keeping you safe. Freaking Joke.” </w:t>
      </w:r>
      <w:r>
        <w:t>…</w:t>
      </w:r>
      <w:r w:rsidRPr="00C3283D">
        <w:t xml:space="preserve"> The original poster had previously commented, “When </w:t>
      </w:r>
      <w:proofErr w:type="spellStart"/>
      <w:r w:rsidRPr="00C3283D">
        <w:t>yo</w:t>
      </w:r>
      <w:proofErr w:type="spellEnd"/>
      <w:r w:rsidRPr="00C3283D">
        <w:t>[</w:t>
      </w:r>
      <w:proofErr w:type="spellStart"/>
      <w:r w:rsidRPr="00C3283D">
        <w:t>ur</w:t>
      </w:r>
      <w:proofErr w:type="spellEnd"/>
      <w:r w:rsidRPr="00C3283D">
        <w:t xml:space="preserve">] Sherrif [sic] is black.” </w:t>
      </w:r>
      <w:r w:rsidRPr="0076107D">
        <w:t xml:space="preserve"> </w:t>
      </w:r>
    </w:p>
    <w:p w14:paraId="72467813" w14:textId="77777777" w:rsidR="00B207FB" w:rsidRPr="0076107D" w:rsidRDefault="00B207FB" w:rsidP="00B207FB">
      <w:pPr>
        <w:pStyle w:val="ListParagraph"/>
        <w:numPr>
          <w:ilvl w:val="0"/>
          <w:numId w:val="44"/>
        </w:numPr>
        <w:rPr>
          <w:bCs/>
        </w:rPr>
      </w:pPr>
      <w:r w:rsidRPr="0076107D">
        <w:t>Feb. 2023:  F</w:t>
      </w:r>
      <w:r w:rsidRPr="00811CB9">
        <w:t xml:space="preserve">ollowing the killing of </w:t>
      </w:r>
      <w:proofErr w:type="spellStart"/>
      <w:r w:rsidRPr="00811CB9">
        <w:t>Tyre</w:t>
      </w:r>
      <w:proofErr w:type="spellEnd"/>
      <w:r w:rsidRPr="00811CB9">
        <w:t xml:space="preserve"> Nichols by Memphis police, Jones shared the headline of a related FOX8 WGHP news article and commented, </w:t>
      </w:r>
      <w:r>
        <w:t>“</w:t>
      </w:r>
      <w:r w:rsidRPr="00811CB9">
        <w:t>will we see another George Floyd reaction? Will city's [sic] burn??? ALL LIVES MATTER</w:t>
      </w:r>
      <w:r>
        <w:t>.”</w:t>
      </w:r>
    </w:p>
    <w:p w14:paraId="14797095" w14:textId="77777777" w:rsidR="00B207FB" w:rsidRDefault="00B207FB" w:rsidP="00B207FB">
      <w:pPr>
        <w:pStyle w:val="ListParagraph"/>
        <w:numPr>
          <w:ilvl w:val="0"/>
          <w:numId w:val="44"/>
        </w:numPr>
      </w:pPr>
      <w:r w:rsidRPr="00811CB9">
        <w:t>Jones also posted a screenshot from Wikipedia around the same time, which read in part: “</w:t>
      </w:r>
      <w:r w:rsidRPr="0076107D">
        <w:rPr>
          <w:b/>
        </w:rPr>
        <w:t>Freedom of speech</w:t>
      </w:r>
      <w:r w:rsidRPr="00811CB9">
        <w:t xml:space="preserve"> is a principle that supports the freedom of an individual or community to articulate their opinions and ideas without fear of retaliation, censorship, or legal sanction</w:t>
      </w:r>
      <w:r>
        <w:t>.</w:t>
      </w:r>
    </w:p>
    <w:p w14:paraId="11E0CB64" w14:textId="77777777" w:rsidR="00B207FB" w:rsidRPr="00045CCC" w:rsidRDefault="00B207FB" w:rsidP="00B207FB">
      <w:pPr>
        <w:pStyle w:val="NoSpacing"/>
        <w:numPr>
          <w:ilvl w:val="0"/>
          <w:numId w:val="44"/>
        </w:numPr>
      </w:pPr>
      <w:r w:rsidRPr="00045CCC">
        <w:t xml:space="preserve">Over the next several months, Jones continued posting controversial material to his Facebook page. These posts included the following: </w:t>
      </w:r>
    </w:p>
    <w:p w14:paraId="77E764D6" w14:textId="77777777" w:rsidR="00B207FB" w:rsidRDefault="00B207FB" w:rsidP="00B207FB">
      <w:pPr>
        <w:pStyle w:val="NoSpacing"/>
      </w:pPr>
    </w:p>
    <w:p w14:paraId="031457B6" w14:textId="77777777" w:rsidR="00B207FB" w:rsidRPr="00045CCC" w:rsidRDefault="00B207FB" w:rsidP="00B207FB">
      <w:pPr>
        <w:pStyle w:val="NoSpacing"/>
        <w:numPr>
          <w:ilvl w:val="0"/>
          <w:numId w:val="44"/>
        </w:numPr>
      </w:pPr>
      <w:r w:rsidRPr="00045CCC">
        <w:t xml:space="preserve">A photograph of a keychain stating, “IF I'VE EVER OFFENDED YOU, I'M SORRY . . . THAT YOU'RE A LITTLE BITCH,” with Jones adding, “[‘]Bout right </w:t>
      </w:r>
      <w:proofErr w:type="gramStart"/>
      <w:r w:rsidRPr="00045CCC">
        <w:t>.....</w:t>
      </w:r>
      <w:proofErr w:type="gramEnd"/>
      <w:r w:rsidRPr="00045CCC">
        <w:t xml:space="preserve">” </w:t>
      </w:r>
    </w:p>
    <w:p w14:paraId="3E759F3C" w14:textId="77777777" w:rsidR="00B207FB" w:rsidRDefault="00B207FB" w:rsidP="00B207FB">
      <w:pPr>
        <w:pStyle w:val="NoSpacing"/>
      </w:pPr>
    </w:p>
    <w:p w14:paraId="416A8A87" w14:textId="77777777" w:rsidR="00B207FB" w:rsidRPr="00045CCC" w:rsidRDefault="00B207FB" w:rsidP="00B207FB">
      <w:pPr>
        <w:pStyle w:val="NoSpacing"/>
        <w:numPr>
          <w:ilvl w:val="0"/>
          <w:numId w:val="44"/>
        </w:numPr>
      </w:pPr>
      <w:r w:rsidRPr="00045CCC">
        <w:t xml:space="preserve">“Straight Pride. it's Natural, it's Worked for Thousands of years, and you Can Make Babies.” </w:t>
      </w:r>
    </w:p>
    <w:p w14:paraId="2F5143B2" w14:textId="77777777" w:rsidR="00B207FB" w:rsidRDefault="00B207FB" w:rsidP="00B207FB">
      <w:pPr>
        <w:pStyle w:val="NoSpacing"/>
        <w:ind w:firstLine="720"/>
      </w:pPr>
    </w:p>
    <w:p w14:paraId="5B9ED7A8" w14:textId="77777777" w:rsidR="00B207FB" w:rsidRPr="00045CCC" w:rsidRDefault="00B207FB" w:rsidP="00B207FB">
      <w:pPr>
        <w:pStyle w:val="NoSpacing"/>
        <w:numPr>
          <w:ilvl w:val="0"/>
          <w:numId w:val="44"/>
        </w:numPr>
      </w:pPr>
      <w:r w:rsidRPr="00045CCC">
        <w:t xml:space="preserve">“IF THIS IS A WOMAN,” (superimposed on a photograph of Rachel Levine, United States Assistant Secretary for Health during the COVID-19 pandemic) “THIS IS A FISHING POLE” (superimposed on a photograph of an assault rifle). </w:t>
      </w:r>
    </w:p>
    <w:p w14:paraId="77C4399F" w14:textId="77777777" w:rsidR="00B207FB" w:rsidRPr="00045CCC" w:rsidRDefault="00B207FB" w:rsidP="00B207FB">
      <w:pPr>
        <w:pStyle w:val="NoSpacing"/>
      </w:pPr>
    </w:p>
    <w:p w14:paraId="3DE370B0" w14:textId="77777777" w:rsidR="00B207FB" w:rsidRDefault="00B207FB" w:rsidP="00B207FB">
      <w:pPr>
        <w:pStyle w:val="NoSpacing"/>
        <w:numPr>
          <w:ilvl w:val="0"/>
          <w:numId w:val="44"/>
        </w:numPr>
      </w:pPr>
      <w:r w:rsidRPr="00045CCC">
        <w:t xml:space="preserve">“You know what's insane .... A white person can paint their [sic] face black and be accused of being a racist. Yet a man can dress as a woman and be called a hero ......”; this post, dated April 25, 2023, was accompanied by a definition of blackface from Wikipedia. </w:t>
      </w:r>
    </w:p>
    <w:p w14:paraId="5966E761" w14:textId="77777777" w:rsidR="00B207FB" w:rsidRPr="00045CCC" w:rsidRDefault="00B207FB" w:rsidP="00B207FB">
      <w:pPr>
        <w:pStyle w:val="NoSpacing"/>
        <w:ind w:left="720"/>
      </w:pPr>
    </w:p>
    <w:p w14:paraId="5BC74D1A" w14:textId="77777777" w:rsidR="00B207FB" w:rsidRPr="00045CCC" w:rsidRDefault="00B207FB" w:rsidP="00B207FB">
      <w:pPr>
        <w:pStyle w:val="NoSpacing"/>
        <w:numPr>
          <w:ilvl w:val="0"/>
          <w:numId w:val="44"/>
        </w:numPr>
      </w:pPr>
      <w:r w:rsidRPr="00045CCC">
        <w:t xml:space="preserve">“I identify as invisible. I'm </w:t>
      </w:r>
      <w:proofErr w:type="spellStart"/>
      <w:r w:rsidRPr="00045CCC">
        <w:t>TRANSparent</w:t>
      </w:r>
      <w:proofErr w:type="spellEnd"/>
      <w:r w:rsidRPr="00045CCC">
        <w:t xml:space="preserve"> ....</w:t>
      </w:r>
      <w:r>
        <w:t xml:space="preserve"> </w:t>
      </w:r>
      <w:r w:rsidRPr="00045CCC">
        <w:t xml:space="preserve">My pronouns are who/where?” This post was also made on April 25, 2023.  </w:t>
      </w:r>
    </w:p>
    <w:p w14:paraId="07E5C89F" w14:textId="77777777" w:rsidR="00B207FB" w:rsidRPr="004571D4" w:rsidRDefault="00B207FB" w:rsidP="00B207FB">
      <w:pPr>
        <w:pStyle w:val="NoSpacing"/>
      </w:pPr>
    </w:p>
    <w:p w14:paraId="1BDFD3D1" w14:textId="77777777" w:rsidR="00B207FB" w:rsidRDefault="00B207FB" w:rsidP="002C229D">
      <w:pPr>
        <w:pStyle w:val="NoSpacing"/>
        <w:rPr>
          <w:rFonts w:ascii="Arial Black" w:hAnsi="Arial Black"/>
          <w:b/>
          <w:sz w:val="28"/>
          <w:szCs w:val="28"/>
        </w:rPr>
      </w:pPr>
    </w:p>
    <w:p w14:paraId="6CC2C2D8" w14:textId="77777777" w:rsidR="00655CE7" w:rsidRDefault="00655CE7" w:rsidP="002C229D">
      <w:pPr>
        <w:pStyle w:val="NoSpacing"/>
        <w:rPr>
          <w:rFonts w:ascii="Arial Black" w:hAnsi="Arial Black"/>
          <w:b/>
          <w:sz w:val="28"/>
          <w:szCs w:val="28"/>
        </w:rPr>
      </w:pPr>
    </w:p>
    <w:p w14:paraId="233B6A57" w14:textId="77777777" w:rsidR="00655CE7" w:rsidRDefault="00655CE7" w:rsidP="002C229D">
      <w:pPr>
        <w:pStyle w:val="NoSpacing"/>
        <w:rPr>
          <w:rFonts w:ascii="Arial Black" w:hAnsi="Arial Black"/>
          <w:b/>
          <w:sz w:val="28"/>
          <w:szCs w:val="28"/>
        </w:rPr>
      </w:pPr>
    </w:p>
    <w:p w14:paraId="2C42CFFE" w14:textId="06B9DC0C" w:rsidR="002C229D" w:rsidRDefault="002C229D" w:rsidP="002C229D">
      <w:pPr>
        <w:pStyle w:val="NoSpacing"/>
        <w:rPr>
          <w:rFonts w:ascii="Arial Black" w:hAnsi="Arial Black"/>
          <w:b/>
          <w:sz w:val="28"/>
          <w:szCs w:val="28"/>
        </w:rPr>
      </w:pPr>
      <w:r>
        <w:rPr>
          <w:rFonts w:ascii="Arial Black" w:hAnsi="Arial Black"/>
          <w:b/>
          <w:sz w:val="28"/>
          <w:szCs w:val="28"/>
        </w:rPr>
        <w:t>16-164</w:t>
      </w:r>
    </w:p>
    <w:p w14:paraId="0D604C8F" w14:textId="77777777" w:rsidR="002C229D" w:rsidRDefault="002C229D" w:rsidP="002C229D">
      <w:pPr>
        <w:pStyle w:val="NoSpacing"/>
        <w:rPr>
          <w:rFonts w:ascii="Arial Black" w:hAnsi="Arial Black"/>
          <w:b/>
          <w:sz w:val="28"/>
          <w:szCs w:val="28"/>
        </w:rPr>
      </w:pPr>
    </w:p>
    <w:p w14:paraId="0860131C" w14:textId="1A320E6E" w:rsidR="002C229D" w:rsidRDefault="002C229D" w:rsidP="002C229D">
      <w:pPr>
        <w:pStyle w:val="NoSpacing"/>
        <w:rPr>
          <w:rFonts w:ascii="Arial Black" w:hAnsi="Arial Black"/>
          <w:b/>
          <w:sz w:val="28"/>
          <w:szCs w:val="28"/>
        </w:rPr>
      </w:pPr>
      <w:r>
        <w:rPr>
          <w:rFonts w:ascii="Arial Black" w:hAnsi="Arial Black"/>
          <w:b/>
          <w:sz w:val="28"/>
          <w:szCs w:val="28"/>
        </w:rPr>
        <w:t>PA: EMT – FIRED / REMOVED FD ROUTER – NO UNEMP COMP</w:t>
      </w:r>
    </w:p>
    <w:p w14:paraId="68C9E0BA" w14:textId="77777777" w:rsidR="002C229D" w:rsidRDefault="002C229D" w:rsidP="002C229D">
      <w:pPr>
        <w:pStyle w:val="NoSpacing"/>
        <w:rPr>
          <w:rFonts w:ascii="Arial Black" w:hAnsi="Arial Black"/>
          <w:b/>
          <w:sz w:val="28"/>
          <w:szCs w:val="28"/>
        </w:rPr>
      </w:pPr>
    </w:p>
    <w:p w14:paraId="23BF2B52" w14:textId="77777777" w:rsidR="002C229D" w:rsidRDefault="002C229D" w:rsidP="002C229D">
      <w:pPr>
        <w:pStyle w:val="NoSpacing"/>
      </w:pPr>
      <w:r w:rsidRPr="006B6BDF">
        <w:t xml:space="preserve">On July 24, 2026, in </w:t>
      </w:r>
      <w:r w:rsidRPr="006B6BDF">
        <w:rPr>
          <w:u w:val="single"/>
        </w:rPr>
        <w:t>Malvin Ray Gross v. Unemployment Compensation Board of Review,</w:t>
      </w:r>
      <w:r w:rsidRPr="006B6BDF">
        <w:t xml:space="preserve"> </w:t>
      </w:r>
      <w:r>
        <w:t xml:space="preserve">the  Commonwealth Court of Pennsylvania held (3 to 0; unpublished decision) that the Board properly denied the plaintiff unemployment; he was fired for </w:t>
      </w:r>
      <w:r w:rsidRPr="00100161">
        <w:t>willful misconduct</w:t>
      </w:r>
      <w:r>
        <w:t xml:space="preserve">.  </w:t>
      </w:r>
      <w:hyperlink r:id="rId2604" w:history="1">
        <w:r w:rsidRPr="00CB1E6C">
          <w:rPr>
            <w:rStyle w:val="Hyperlink"/>
          </w:rPr>
          <w:t>https://public.fastcase.com/Jhe1Qn%2BmJndQYQU6z%2FeNm84TSwxTK6G3n62PkU8179htaq5wGjVaUGYSJZSOVzdWyhegWgMqWmHwKwmFy%2BjUN%2FGu5ej6EThZiUJZJf%2FCENA%3D?utm_medium=email&amp;_hsenc=p2ANqtz--F9WEozIdQ7a7aHBPLqx4N-sY1B7PgbJLvKD0e3ZvBos8ijqQnFOLSe1dlkTtitVjG_F048kZlc8yI0LMoiTGsCqcSQA&amp;_hsmi=226712652&amp;utm_content=226712652&amp;utm_source=hs_email</w:t>
        </w:r>
      </w:hyperlink>
      <w:r>
        <w:t xml:space="preserve"> </w:t>
      </w:r>
    </w:p>
    <w:p w14:paraId="77EDA3E8" w14:textId="77777777" w:rsidR="002C229D" w:rsidRDefault="002C229D" w:rsidP="002C229D">
      <w:pPr>
        <w:pStyle w:val="NoSpacing"/>
      </w:pPr>
    </w:p>
    <w:p w14:paraId="72B5E12E" w14:textId="77777777" w:rsidR="002C229D" w:rsidRDefault="002C229D" w:rsidP="002C229D">
      <w:pPr>
        <w:pStyle w:val="NoSpacing"/>
      </w:pPr>
      <w:r>
        <w:t>THE COURT WROTE;</w:t>
      </w:r>
    </w:p>
    <w:p w14:paraId="468CA31D" w14:textId="77777777" w:rsidR="002C229D" w:rsidRDefault="002C229D" w:rsidP="002C229D">
      <w:pPr>
        <w:pStyle w:val="NoSpacing"/>
      </w:pPr>
    </w:p>
    <w:p w14:paraId="1C5A5DB0" w14:textId="77777777" w:rsidR="002C229D" w:rsidRDefault="002C229D" w:rsidP="002C229D">
      <w:pPr>
        <w:pStyle w:val="NoSpacing"/>
      </w:pPr>
      <w:r>
        <w:t>“E</w:t>
      </w:r>
      <w:r w:rsidRPr="00022FE0">
        <w:t>vangelical Community Hospital (Employer) employed Claimant as an Emergency Medical Technician from August 15, 2016, through May 21, 2024,</w:t>
      </w:r>
      <w:r>
        <w:t xml:space="preserve">… </w:t>
      </w:r>
      <w:r w:rsidRPr="00022FE0">
        <w:t xml:space="preserve"> </w:t>
      </w:r>
      <w:proofErr w:type="gramStart"/>
      <w:r w:rsidRPr="00022FE0">
        <w:t>at</w:t>
      </w:r>
      <w:proofErr w:type="gramEnd"/>
      <w:r w:rsidRPr="00022FE0">
        <w:t xml:space="preserve"> which time Employer discharged him for violating Employer's User Account Access Policy, Information Systems Software and Hardware Installation Policy</w:t>
      </w:r>
      <w:r>
        <w:t xml:space="preserve">.  </w:t>
      </w:r>
      <w:r w:rsidRPr="00022FE0">
        <w:t>Deputy Chief Baker testified Claimant admitted to removing the router and replacing it with his own to print from the fire department computer to one of the hospital's printers</w:t>
      </w:r>
      <w:r>
        <w:t xml:space="preserve">…. </w:t>
      </w:r>
      <w:r w:rsidRPr="00022FE0">
        <w:t>On March 14, 2024,</w:t>
      </w:r>
      <w:r>
        <w:t xml:space="preserve"> </w:t>
      </w:r>
      <w:r w:rsidRPr="00022FE0">
        <w:t xml:space="preserve"> [E]</w:t>
      </w:r>
      <w:proofErr w:type="spellStart"/>
      <w:r w:rsidRPr="00022FE0">
        <w:t>mployer</w:t>
      </w:r>
      <w:proofErr w:type="spellEnd"/>
      <w:r w:rsidRPr="00022FE0">
        <w:t xml:space="preserve"> became aware that</w:t>
      </w:r>
      <w:r>
        <w:t xml:space="preserve"> </w:t>
      </w:r>
      <w:r w:rsidRPr="00022FE0">
        <w:t>[C]</w:t>
      </w:r>
      <w:proofErr w:type="spellStart"/>
      <w:r w:rsidRPr="00022FE0">
        <w:t>laimant</w:t>
      </w:r>
      <w:proofErr w:type="spellEnd"/>
      <w:r w:rsidRPr="00022FE0">
        <w:t xml:space="preserve"> had been observed removing a router from his locker and connecting it to existing information technology equipment. During the investigation, [E]</w:t>
      </w:r>
      <w:proofErr w:type="spellStart"/>
      <w:r w:rsidRPr="00022FE0">
        <w:t>mployer</w:t>
      </w:r>
      <w:proofErr w:type="spellEnd"/>
      <w:r w:rsidRPr="00022FE0">
        <w:t>['s] witnesses observed [C]</w:t>
      </w:r>
      <w:proofErr w:type="spellStart"/>
      <w:r w:rsidRPr="00022FE0">
        <w:t>laimant</w:t>
      </w:r>
      <w:proofErr w:type="spellEnd"/>
      <w:r w:rsidRPr="00022FE0">
        <w:t xml:space="preserve"> on video provided by the Milton Fire Department removing a device from his locker, manipulating cables and equipment, and then leaving the area with a device in a plastic grocery bag</w:t>
      </w:r>
      <w:r>
        <w:t>.</w:t>
      </w:r>
    </w:p>
    <w:p w14:paraId="51C8EDB9" w14:textId="77777777" w:rsidR="002C229D" w:rsidRDefault="002C229D" w:rsidP="002C229D">
      <w:pPr>
        <w:pStyle w:val="NoSpacing"/>
      </w:pPr>
    </w:p>
    <w:p w14:paraId="2454A24F" w14:textId="77777777" w:rsidR="002C229D" w:rsidRDefault="002C229D" w:rsidP="002C229D">
      <w:pPr>
        <w:pStyle w:val="NoSpacing"/>
      </w:pPr>
      <w:r>
        <w:t>***</w:t>
      </w:r>
    </w:p>
    <w:p w14:paraId="5DE36AD8" w14:textId="77777777" w:rsidR="002C229D" w:rsidRDefault="002C229D" w:rsidP="002C229D">
      <w:pPr>
        <w:pStyle w:val="NoSpacing"/>
      </w:pPr>
      <w:r w:rsidRPr="00C704EF">
        <w:t>[C]</w:t>
      </w:r>
      <w:proofErr w:type="spellStart"/>
      <w:r w:rsidRPr="00C704EF">
        <w:t>laimant</w:t>
      </w:r>
      <w:proofErr w:type="spellEnd"/>
      <w:r w:rsidRPr="00C704EF">
        <w:t xml:space="preserve"> failed to address these assertions [that the router was his personal property that he loaned to Employer and that he had a receipt regarding his purchase of the router in question] during the hearing despite having the opportunity to do so. The Referee explicitly asked the [C]</w:t>
      </w:r>
      <w:proofErr w:type="spellStart"/>
      <w:r w:rsidRPr="00C704EF">
        <w:t>laimant</w:t>
      </w:r>
      <w:proofErr w:type="spellEnd"/>
      <w:r w:rsidRPr="00C704EF">
        <w:t xml:space="preserve"> why he moved the router; despite this, the [C]</w:t>
      </w:r>
      <w:proofErr w:type="spellStart"/>
      <w:r w:rsidRPr="00C704EF">
        <w:t>laimant</w:t>
      </w:r>
      <w:proofErr w:type="spellEnd"/>
      <w:r w:rsidRPr="00C704EF">
        <w:t xml:space="preserve"> did not assert ownership of the equipment or produce any documentation, such as the receipt, to support his claim at that time. The Board is limited to the evidence presented during the hearing when making its decision, and therefore, it cannot consider the receipt submitted after the hearing</w:t>
      </w:r>
      <w:r>
        <w:t xml:space="preserve">…. </w:t>
      </w:r>
      <w:r w:rsidRPr="00020BD6">
        <w:t xml:space="preserve">Because he did not present any evidence at the hearing, Claimant did not establish good </w:t>
      </w:r>
      <w:proofErr w:type="gramStart"/>
      <w:r w:rsidRPr="00020BD6">
        <w:t>cause existed</w:t>
      </w:r>
      <w:proofErr w:type="gramEnd"/>
      <w:r w:rsidRPr="00020BD6">
        <w:t xml:space="preserve"> for violating Employer's Policies. Consequently, we are constrained to hold the Board did not err in concluding Claimant was ineligible for benefits under Section 402(e).</w:t>
      </w:r>
      <w:r>
        <w:t>”</w:t>
      </w:r>
    </w:p>
    <w:p w14:paraId="7886B882" w14:textId="77777777" w:rsidR="002C229D" w:rsidRDefault="002C229D" w:rsidP="002C229D">
      <w:pPr>
        <w:pStyle w:val="NoSpacing"/>
      </w:pPr>
    </w:p>
    <w:p w14:paraId="63613D79" w14:textId="77777777" w:rsidR="002C229D" w:rsidRPr="00020BD6" w:rsidRDefault="002C229D" w:rsidP="002C229D">
      <w:pPr>
        <w:pStyle w:val="NoSpacing"/>
        <w:rPr>
          <w:b/>
          <w:bCs/>
        </w:rPr>
      </w:pPr>
      <w:r>
        <w:rPr>
          <w:b/>
        </w:rPr>
        <w:t xml:space="preserve">Legal lesson learned: The EMT was fired for </w:t>
      </w:r>
      <w:r w:rsidRPr="00020BD6">
        <w:rPr>
          <w:b/>
        </w:rPr>
        <w:t xml:space="preserve">willful misconduct and is therefore not entitled to unemployment. </w:t>
      </w:r>
    </w:p>
    <w:p w14:paraId="24803AAD" w14:textId="77777777" w:rsidR="002C229D" w:rsidRPr="00020BD6" w:rsidRDefault="002C229D" w:rsidP="002C229D">
      <w:pPr>
        <w:pStyle w:val="NoSpacing"/>
        <w:rPr>
          <w:b/>
          <w:bCs/>
        </w:rPr>
      </w:pPr>
    </w:p>
    <w:p w14:paraId="6657D204" w14:textId="77777777" w:rsidR="002C229D" w:rsidRDefault="002C229D" w:rsidP="002C229D">
      <w:pPr>
        <w:pStyle w:val="NoSpacing"/>
      </w:pPr>
    </w:p>
    <w:p w14:paraId="5220D51E" w14:textId="77777777" w:rsidR="002C229D" w:rsidRDefault="002C229D" w:rsidP="002C229D">
      <w:pPr>
        <w:pStyle w:val="NoSpacing"/>
        <w:rPr>
          <w:b/>
          <w:sz w:val="20"/>
          <w:szCs w:val="20"/>
        </w:rPr>
      </w:pPr>
    </w:p>
    <w:p w14:paraId="509CCECB" w14:textId="77777777" w:rsidR="002C229D" w:rsidRPr="002C229D" w:rsidRDefault="002C229D" w:rsidP="002C229D">
      <w:pPr>
        <w:pStyle w:val="NoSpacing"/>
        <w:rPr>
          <w:rFonts w:ascii="Arial Black" w:hAnsi="Arial Black"/>
          <w:b/>
          <w:sz w:val="24"/>
          <w:szCs w:val="24"/>
        </w:rPr>
      </w:pPr>
    </w:p>
    <w:p w14:paraId="2AB614FE" w14:textId="77777777" w:rsidR="002C229D" w:rsidRPr="002C229D" w:rsidRDefault="002C229D" w:rsidP="002C229D">
      <w:pPr>
        <w:pStyle w:val="NoSpacing"/>
        <w:rPr>
          <w:rFonts w:ascii="Arial Black" w:hAnsi="Arial Black"/>
          <w:b/>
          <w:sz w:val="24"/>
          <w:szCs w:val="24"/>
        </w:rPr>
      </w:pPr>
    </w:p>
    <w:p w14:paraId="6BE38D44" w14:textId="288B8576" w:rsidR="002C229D" w:rsidRPr="002C229D" w:rsidRDefault="002C229D" w:rsidP="002C229D">
      <w:pPr>
        <w:pStyle w:val="NoSpacing"/>
        <w:rPr>
          <w:rFonts w:ascii="Arial Black" w:hAnsi="Arial Black"/>
          <w:b/>
          <w:sz w:val="24"/>
          <w:szCs w:val="24"/>
        </w:rPr>
      </w:pPr>
      <w:r w:rsidRPr="002C229D">
        <w:rPr>
          <w:rFonts w:ascii="Arial Black" w:hAnsi="Arial Black"/>
          <w:b/>
          <w:sz w:val="24"/>
          <w:szCs w:val="24"/>
        </w:rPr>
        <w:t>16-163</w:t>
      </w:r>
    </w:p>
    <w:p w14:paraId="0D6B5A9B" w14:textId="77777777" w:rsidR="002C229D" w:rsidRDefault="002C229D" w:rsidP="002C229D">
      <w:pPr>
        <w:pStyle w:val="NoSpacing"/>
        <w:rPr>
          <w:b/>
        </w:rPr>
      </w:pPr>
    </w:p>
    <w:p w14:paraId="13AF63B0" w14:textId="77777777" w:rsidR="002C229D" w:rsidRDefault="002C229D" w:rsidP="002C229D">
      <w:pPr>
        <w:pStyle w:val="NoSpacing"/>
        <w:rPr>
          <w:rFonts w:ascii="Arial Black" w:hAnsi="Arial Black"/>
          <w:sz w:val="28"/>
          <w:szCs w:val="28"/>
        </w:rPr>
      </w:pPr>
      <w:r>
        <w:rPr>
          <w:rFonts w:ascii="Arial Black" w:hAnsi="Arial Black"/>
          <w:sz w:val="28"/>
          <w:szCs w:val="28"/>
        </w:rPr>
        <w:t xml:space="preserve">NY: FF FIRED / REFUSED COVID - NO UNEMP COMP </w:t>
      </w:r>
    </w:p>
    <w:p w14:paraId="4A9025B0" w14:textId="77777777" w:rsidR="002C229D" w:rsidRDefault="002C229D" w:rsidP="002C229D">
      <w:pPr>
        <w:pStyle w:val="NoSpacing"/>
        <w:rPr>
          <w:rFonts w:ascii="Arial Black" w:hAnsi="Arial Black"/>
          <w:sz w:val="28"/>
          <w:szCs w:val="28"/>
        </w:rPr>
      </w:pPr>
    </w:p>
    <w:p w14:paraId="1702A71C" w14:textId="77777777" w:rsidR="002C229D" w:rsidRDefault="002C229D" w:rsidP="002C229D">
      <w:pPr>
        <w:pStyle w:val="NoSpacing"/>
      </w:pPr>
      <w:r>
        <w:t xml:space="preserve">On July 23, 2026, </w:t>
      </w:r>
      <w:r w:rsidRPr="0033224C">
        <w:rPr>
          <w:u w:val="single"/>
        </w:rPr>
        <w:t>In the Matter of the Claim of Jack Lin</w:t>
      </w:r>
      <w:r>
        <w:t xml:space="preserve">, the NY </w:t>
      </w:r>
      <w:r w:rsidRPr="0033224C">
        <w:t>Supreme Court, Appellate Division, Third Department</w:t>
      </w:r>
      <w:r>
        <w:t xml:space="preserve"> held (5 to 0) that the claimant was properly denied unemployment since he </w:t>
      </w:r>
      <w:r w:rsidRPr="0048241A">
        <w:t>voluntarily left his employment without good cause.</w:t>
      </w:r>
      <w:r>
        <w:t xml:space="preserve"> </w:t>
      </w:r>
      <w:hyperlink r:id="rId2605" w:history="1">
        <w:r w:rsidRPr="004D58FA">
          <w:rPr>
            <w:rStyle w:val="Hyperlink"/>
          </w:rPr>
          <w:t>https://www.nycourts.gov/reporter/current/3dseries/2026/2026_04537.shtml</w:t>
        </w:r>
      </w:hyperlink>
      <w:r>
        <w:t xml:space="preserve"> </w:t>
      </w:r>
    </w:p>
    <w:p w14:paraId="5BD18C4D" w14:textId="77777777" w:rsidR="002C229D" w:rsidRDefault="002C229D" w:rsidP="002C229D">
      <w:pPr>
        <w:pStyle w:val="NoSpacing"/>
      </w:pPr>
    </w:p>
    <w:p w14:paraId="1100497B" w14:textId="77777777" w:rsidR="002C229D" w:rsidRPr="0033224C" w:rsidRDefault="002C229D" w:rsidP="002C229D">
      <w:pPr>
        <w:pStyle w:val="NoSpacing"/>
        <w:rPr>
          <w:bCs/>
        </w:rPr>
      </w:pPr>
      <w:r>
        <w:t xml:space="preserve">THE COURT WROTE: </w:t>
      </w:r>
    </w:p>
    <w:p w14:paraId="530FAF8D" w14:textId="77777777" w:rsidR="002C229D" w:rsidRDefault="002C229D" w:rsidP="002C229D">
      <w:pPr>
        <w:pStyle w:val="NoSpacing"/>
      </w:pPr>
    </w:p>
    <w:p w14:paraId="1BCE9316" w14:textId="77777777" w:rsidR="002C229D" w:rsidRDefault="002C229D" w:rsidP="002C229D">
      <w:pPr>
        <w:pStyle w:val="NoSpacing"/>
      </w:pPr>
      <w:r>
        <w:t>“</w:t>
      </w:r>
      <w:r w:rsidRPr="00340E6E">
        <w:t>In October 2021, the New York City Commissioner of Health and Mental Hygiene mandated that all city employees, with exceptions not relevant here, obtain a COVID-19 vaccine by October 29, 2021. Claimant, an emergency medical technician for the New York City Fire Department, sought a religious exemption from the mandate. The employer denied claimant's request</w:t>
      </w:r>
      <w:r>
        <w:t xml:space="preserve">…. </w:t>
      </w:r>
      <w:r w:rsidRPr="003605EF">
        <w:t xml:space="preserve">Nevertheless, claimant acknowledged that he received the yellow fever vaccine prior to performing missionary work in Kenya in 2015, and that he probably would get a COVID-19 vaccine if it was required to perform missionary work in the future, explaining that we know more about the vaccines than when the mandate was first imposed. When asked to explain the difference between participation in a mission and performing his job as an emergency medical technician, claimant again explained that we now know more about the COVID-19 vaccines. Claimant also testified to, at times, taking </w:t>
      </w:r>
      <w:proofErr w:type="gramStart"/>
      <w:r w:rsidRPr="003605EF">
        <w:t>over-the-counter</w:t>
      </w:r>
      <w:proofErr w:type="gramEnd"/>
      <w:r w:rsidRPr="003605EF">
        <w:t xml:space="preserve"> and prescription drugs, including muscle relaxers and pain medication. Although claimant had expressed concerns regarding the use of fetal stem cells in the COVID-19 vaccines, he testified that he had never researched whether any of the prior vaccinations or medications he had taken had been developed using fetal stem cells</w:t>
      </w:r>
      <w:r>
        <w:t>.</w:t>
      </w:r>
    </w:p>
    <w:p w14:paraId="5EED64D1" w14:textId="77777777" w:rsidR="002C229D" w:rsidRDefault="002C229D" w:rsidP="002C229D">
      <w:pPr>
        <w:pStyle w:val="NoSpacing"/>
      </w:pPr>
    </w:p>
    <w:p w14:paraId="54419E1C" w14:textId="77777777" w:rsidR="002C229D" w:rsidRDefault="002C229D" w:rsidP="002C229D">
      <w:pPr>
        <w:pStyle w:val="NoSpacing"/>
      </w:pPr>
      <w:r>
        <w:t>***</w:t>
      </w:r>
    </w:p>
    <w:p w14:paraId="745B7F7F" w14:textId="77777777" w:rsidR="002C229D" w:rsidRDefault="002C229D" w:rsidP="002C229D">
      <w:pPr>
        <w:pStyle w:val="NoSpacing"/>
      </w:pPr>
    </w:p>
    <w:p w14:paraId="7537177B" w14:textId="77777777" w:rsidR="002C229D" w:rsidRDefault="002C229D" w:rsidP="002C229D">
      <w:pPr>
        <w:pStyle w:val="NoSpacing"/>
      </w:pPr>
      <w:r w:rsidRPr="006C6F07">
        <w:t>Given claimant's inconsistent testimony and admission to taking vaccines in the past and willingness to take them in the future, it was reasonable for the Board to conclude that his refusal to comply with the vaccination mandate was for personal and secular reasons, including safety concerns, rather than for sincerely held religious beliefs and, therefore, that he voluntarily left his employment without good caus</w:t>
      </w:r>
      <w:r>
        <w:t>e.”</w:t>
      </w:r>
    </w:p>
    <w:p w14:paraId="5D8CBCB2" w14:textId="77777777" w:rsidR="002C229D" w:rsidRDefault="002C229D" w:rsidP="002C229D">
      <w:pPr>
        <w:pStyle w:val="NoSpacing"/>
      </w:pPr>
    </w:p>
    <w:p w14:paraId="7B2FF1F8" w14:textId="77777777" w:rsidR="002C229D" w:rsidRPr="0060293A" w:rsidRDefault="002C229D" w:rsidP="002C229D">
      <w:pPr>
        <w:pStyle w:val="NoSpacing"/>
        <w:rPr>
          <w:b/>
          <w:bCs/>
        </w:rPr>
      </w:pPr>
      <w:r>
        <w:rPr>
          <w:b/>
        </w:rPr>
        <w:t>Legal lesson learned: No unemployment compensation if you leave employment without good cause.</w:t>
      </w:r>
    </w:p>
    <w:p w14:paraId="7962BA37" w14:textId="77777777" w:rsidR="002C229D" w:rsidRDefault="002C229D" w:rsidP="002C229D">
      <w:pPr>
        <w:pStyle w:val="NoSpacing"/>
        <w:rPr>
          <w:b/>
        </w:rPr>
      </w:pPr>
    </w:p>
    <w:p w14:paraId="5B8ECB63" w14:textId="77777777" w:rsidR="002C229D" w:rsidRDefault="002C229D" w:rsidP="002C229D">
      <w:pPr>
        <w:pStyle w:val="NoSpacing"/>
        <w:rPr>
          <w:b/>
        </w:rPr>
      </w:pPr>
    </w:p>
    <w:p w14:paraId="101D751A" w14:textId="77777777" w:rsidR="002C229D" w:rsidRDefault="002C229D" w:rsidP="002C229D">
      <w:pPr>
        <w:pStyle w:val="NoSpacing"/>
        <w:rPr>
          <w:b/>
        </w:rPr>
      </w:pPr>
    </w:p>
    <w:p w14:paraId="55221BA5" w14:textId="77777777" w:rsidR="002C229D" w:rsidRDefault="002C229D" w:rsidP="002C229D">
      <w:pPr>
        <w:pStyle w:val="NoSpacing"/>
        <w:rPr>
          <w:b/>
          <w:sz w:val="20"/>
          <w:szCs w:val="20"/>
        </w:rPr>
      </w:pPr>
    </w:p>
    <w:p w14:paraId="188B616F" w14:textId="77777777" w:rsidR="002C229D" w:rsidRDefault="002C229D" w:rsidP="002C229D">
      <w:pPr>
        <w:pStyle w:val="NoSpacing"/>
        <w:rPr>
          <w:b/>
          <w:sz w:val="20"/>
          <w:szCs w:val="20"/>
        </w:rPr>
      </w:pPr>
    </w:p>
    <w:p w14:paraId="3625A6A8" w14:textId="77777777" w:rsidR="002C229D" w:rsidRDefault="002C229D" w:rsidP="002C229D">
      <w:pPr>
        <w:pStyle w:val="NoSpacing"/>
        <w:rPr>
          <w:b/>
          <w:sz w:val="20"/>
          <w:szCs w:val="20"/>
        </w:rPr>
      </w:pPr>
    </w:p>
    <w:p w14:paraId="5D7751DF" w14:textId="77777777" w:rsidR="002C229D" w:rsidRDefault="002C229D" w:rsidP="002C229D">
      <w:pPr>
        <w:pStyle w:val="NoSpacing"/>
        <w:rPr>
          <w:b/>
          <w:sz w:val="20"/>
          <w:szCs w:val="20"/>
        </w:rPr>
      </w:pPr>
    </w:p>
    <w:p w14:paraId="448F4756" w14:textId="406E22B6" w:rsidR="002C229D" w:rsidRPr="002C229D" w:rsidRDefault="002C229D" w:rsidP="002C229D">
      <w:pPr>
        <w:pStyle w:val="NoSpacing"/>
        <w:rPr>
          <w:rFonts w:ascii="Arial Black" w:hAnsi="Arial Black"/>
          <w:sz w:val="24"/>
          <w:szCs w:val="24"/>
        </w:rPr>
      </w:pPr>
      <w:r w:rsidRPr="002C229D">
        <w:rPr>
          <w:rFonts w:ascii="Arial Black" w:hAnsi="Arial Black"/>
          <w:sz w:val="24"/>
          <w:szCs w:val="24"/>
        </w:rPr>
        <w:t>16-162</w:t>
      </w:r>
    </w:p>
    <w:p w14:paraId="2F05F3CB" w14:textId="77777777" w:rsidR="002C229D" w:rsidRDefault="002C229D" w:rsidP="002C229D">
      <w:pPr>
        <w:pStyle w:val="NoSpacing"/>
      </w:pPr>
    </w:p>
    <w:p w14:paraId="47B093D8" w14:textId="77777777" w:rsidR="002C229D" w:rsidRDefault="002C229D" w:rsidP="002C229D">
      <w:pPr>
        <w:pStyle w:val="NoSpacing"/>
        <w:rPr>
          <w:rFonts w:ascii="Arial Black" w:hAnsi="Arial Black"/>
          <w:sz w:val="28"/>
          <w:szCs w:val="28"/>
        </w:rPr>
      </w:pPr>
      <w:r>
        <w:rPr>
          <w:rFonts w:ascii="Arial Black" w:hAnsi="Arial Black"/>
          <w:sz w:val="28"/>
          <w:szCs w:val="28"/>
        </w:rPr>
        <w:t xml:space="preserve">OH: CHIEF INDICTED / SECRET RECORDINGS - REHIRED </w:t>
      </w:r>
    </w:p>
    <w:p w14:paraId="5C24AAFF" w14:textId="77777777" w:rsidR="002C229D" w:rsidRDefault="002C229D" w:rsidP="002C229D">
      <w:pPr>
        <w:pStyle w:val="NoSpacing"/>
      </w:pPr>
    </w:p>
    <w:p w14:paraId="05C0D733" w14:textId="77777777" w:rsidR="002C229D" w:rsidRDefault="002C229D" w:rsidP="002C229D">
      <w:pPr>
        <w:pStyle w:val="NoSpacing"/>
        <w:rPr>
          <w:bCs/>
        </w:rPr>
      </w:pPr>
      <w:r>
        <w:t xml:space="preserve">On July 8, 2026, in </w:t>
      </w:r>
      <w:r w:rsidRPr="00F616C1">
        <w:rPr>
          <w:u w:val="single"/>
        </w:rPr>
        <w:t>State Ex Rel. Brandon Montgomery v. Judy Ruckman</w:t>
      </w:r>
      <w:r>
        <w:t xml:space="preserve">, the </w:t>
      </w:r>
      <w:r w:rsidRPr="00E17CC8">
        <w:t>Court of Appeals of Ohio, Seventh District, Jefferson</w:t>
      </w:r>
      <w:r>
        <w:t xml:space="preserve"> County held (3 to 0) that the Fire Chief’s case is moot – after Feb. 14, 2025 termination, he was reinstated on September 15, 2025 Council members of Village</w:t>
      </w:r>
      <w:r w:rsidRPr="00CB0CC4">
        <w:t xml:space="preserve"> of Mingo Junction</w:t>
      </w:r>
      <w:r>
        <w:t xml:space="preserve"> (vote 3 to 2).  He remains on administrative leave pending outcome of a felony indictment; Court declined to hear his complaint Mayor cancel his paid leave Nov. 3, 2025. </w:t>
      </w:r>
      <w:hyperlink r:id="rId2606" w:history="1">
        <w:r w:rsidRPr="008449D0">
          <w:rPr>
            <w:rStyle w:val="Hyperlink"/>
          </w:rPr>
          <w:t>https://www.supremecourt.ohio.gov/rod/docs/pdf/7/2026/2026-Ohio-2671.pdf</w:t>
        </w:r>
      </w:hyperlink>
    </w:p>
    <w:p w14:paraId="520C7BD8" w14:textId="77777777" w:rsidR="002C229D" w:rsidRDefault="002C229D" w:rsidP="002C229D">
      <w:pPr>
        <w:pStyle w:val="NoSpacing"/>
        <w:rPr>
          <w:bCs/>
        </w:rPr>
      </w:pPr>
    </w:p>
    <w:p w14:paraId="43F7EFC6" w14:textId="77777777" w:rsidR="002C229D" w:rsidRPr="00D8212E" w:rsidRDefault="002C229D" w:rsidP="002C229D">
      <w:pPr>
        <w:pStyle w:val="NoSpacing"/>
        <w:ind w:left="720"/>
        <w:rPr>
          <w:bCs/>
        </w:rPr>
      </w:pPr>
      <w:r>
        <w:t>Press Report May 1, 2025: “</w:t>
      </w:r>
      <w:r w:rsidRPr="00D8212E">
        <w:t>Brandon Montgomery, the village fire chief who was on administrative leave until his Feb. 14 termination, has been indicted by a special Jefferson County Grand jury.</w:t>
      </w:r>
      <w:r>
        <w:t xml:space="preserve"> </w:t>
      </w:r>
      <w:r w:rsidRPr="00D8212E">
        <w:t xml:space="preserve">Montgomery, 37, was ordered Wednesday to stand trial on charges he illegally intercepted wire, oral or electronic communications over a </w:t>
      </w:r>
      <w:proofErr w:type="gramStart"/>
      <w:r w:rsidRPr="00D8212E">
        <w:t>4.5 year</w:t>
      </w:r>
      <w:proofErr w:type="gramEnd"/>
      <w:r w:rsidRPr="00D8212E">
        <w:t xml:space="preserve"> period -- beginning in January 2020 and continuing through June 24.</w:t>
      </w:r>
      <w:r>
        <w:t>”</w:t>
      </w:r>
      <w:r w:rsidRPr="00EE66C6">
        <w:t xml:space="preserve"> </w:t>
      </w:r>
      <w:hyperlink r:id="rId2607" w:history="1">
        <w:r w:rsidRPr="00F859BA">
          <w:rPr>
            <w:rStyle w:val="Hyperlink"/>
          </w:rPr>
          <w:t>https://www.heraldstaronline.com/news/local-news/2025/05/former-mingo-fire-chief-indicted-by-grand-jury/</w:t>
        </w:r>
      </w:hyperlink>
      <w:r>
        <w:t xml:space="preserve"> </w:t>
      </w:r>
    </w:p>
    <w:p w14:paraId="19B664C3" w14:textId="77777777" w:rsidR="002C229D" w:rsidRDefault="002C229D" w:rsidP="002C229D">
      <w:pPr>
        <w:pStyle w:val="NoSpacing"/>
        <w:rPr>
          <w:bCs/>
        </w:rPr>
      </w:pPr>
    </w:p>
    <w:p w14:paraId="05443A8D" w14:textId="77777777" w:rsidR="002C229D" w:rsidRDefault="002C229D" w:rsidP="002C229D">
      <w:pPr>
        <w:pStyle w:val="NoSpacing"/>
        <w:rPr>
          <w:bCs/>
        </w:rPr>
      </w:pPr>
    </w:p>
    <w:p w14:paraId="2586DF0F" w14:textId="77777777" w:rsidR="002C229D" w:rsidRDefault="002C229D" w:rsidP="002C229D">
      <w:pPr>
        <w:pStyle w:val="NoSpacing"/>
        <w:rPr>
          <w:bCs/>
        </w:rPr>
      </w:pPr>
      <w:r>
        <w:t>THE COURT WROTE:  “</w:t>
      </w:r>
      <w:r w:rsidRPr="00FB2876">
        <w:t>Montgomery’s motion for summary judgment asserts that on</w:t>
      </w:r>
      <w:r>
        <w:t xml:space="preserve"> </w:t>
      </w:r>
      <w:r w:rsidRPr="00FB2876">
        <w:t xml:space="preserve">November 3, 2025, </w:t>
      </w:r>
      <w:r>
        <w:t xml:space="preserve">[Mayor] </w:t>
      </w:r>
      <w:r w:rsidRPr="00FB2876">
        <w:t>Ruckman placed him on unpaid leave (while maintaining his benefits)</w:t>
      </w:r>
      <w:r>
        <w:t xml:space="preserve"> </w:t>
      </w:r>
      <w:r w:rsidRPr="00FB2876">
        <w:t>on the ground that it was not sustainable for the Village to continue paying his full salary</w:t>
      </w:r>
      <w:r>
        <w:t xml:space="preserve"> </w:t>
      </w:r>
      <w:r w:rsidRPr="00FB2876">
        <w:t>while ensuring that the Fire Department remained properly managed and staffed.</w:t>
      </w:r>
      <w:r>
        <w:t xml:space="preserve"> </w:t>
      </w:r>
      <w:r w:rsidRPr="00FB2876">
        <w:t>Montgomery contends that this action violates Article 33, Section I of the CBA, which</w:t>
      </w:r>
      <w:r>
        <w:t xml:space="preserve"> </w:t>
      </w:r>
      <w:r w:rsidRPr="00FB2876">
        <w:t xml:space="preserve">provides: </w:t>
      </w:r>
      <w:r>
        <w:t xml:space="preserve">     ‘</w:t>
      </w:r>
      <w:r w:rsidRPr="00FB2876">
        <w:t>Any employee charged with or under indictment for a felony that is not</w:t>
      </w:r>
      <w:r>
        <w:t xml:space="preserve"> </w:t>
      </w:r>
      <w:r w:rsidRPr="00FB2876">
        <w:t>disciplined or discharged by the employer, shall be place [sic] on a leave of absence with</w:t>
      </w:r>
      <w:r>
        <w:t xml:space="preserve"> </w:t>
      </w:r>
      <w:r w:rsidRPr="00FB2876">
        <w:t>pay until resolution of the court proceedings.</w:t>
      </w:r>
      <w:r>
        <w:t xml:space="preserve">’… </w:t>
      </w:r>
    </w:p>
    <w:p w14:paraId="4227FFE4" w14:textId="77777777" w:rsidR="002C229D" w:rsidRDefault="002C229D" w:rsidP="002C229D">
      <w:pPr>
        <w:pStyle w:val="NoSpacing"/>
        <w:rPr>
          <w:bCs/>
        </w:rPr>
      </w:pPr>
    </w:p>
    <w:p w14:paraId="1390A592" w14:textId="77777777" w:rsidR="002C229D" w:rsidRDefault="002C229D" w:rsidP="002C229D">
      <w:pPr>
        <w:pStyle w:val="NoSpacing"/>
        <w:rPr>
          <w:bCs/>
        </w:rPr>
      </w:pPr>
      <w:r>
        <w:t>***</w:t>
      </w:r>
    </w:p>
    <w:p w14:paraId="2F2CA06A" w14:textId="77777777" w:rsidR="002C229D" w:rsidRDefault="002C229D" w:rsidP="002C229D">
      <w:pPr>
        <w:pStyle w:val="NoSpacing"/>
        <w:rPr>
          <w:bCs/>
        </w:rPr>
      </w:pPr>
    </w:p>
    <w:p w14:paraId="5E12DC32" w14:textId="77777777" w:rsidR="002C229D" w:rsidRDefault="002C229D" w:rsidP="002C229D">
      <w:pPr>
        <w:pStyle w:val="NoSpacing"/>
        <w:rPr>
          <w:bCs/>
        </w:rPr>
      </w:pPr>
      <w:r w:rsidRPr="00667BD1">
        <w:t>Whatever obligations Article 33, Section I may</w:t>
      </w:r>
      <w:r>
        <w:t xml:space="preserve"> </w:t>
      </w:r>
      <w:r w:rsidRPr="00667BD1">
        <w:t xml:space="preserve">impose on </w:t>
      </w:r>
      <w:r>
        <w:t xml:space="preserve">[Mayor] </w:t>
      </w:r>
      <w:r w:rsidRPr="00667BD1">
        <w:t xml:space="preserve">Ruckman </w:t>
      </w:r>
      <w:proofErr w:type="gramStart"/>
      <w:r w:rsidRPr="00667BD1">
        <w:t>as a consequence of</w:t>
      </w:r>
      <w:proofErr w:type="gramEnd"/>
      <w:r w:rsidRPr="00667BD1">
        <w:t xml:space="preserve"> those later events present a different</w:t>
      </w:r>
      <w:r>
        <w:t xml:space="preserve"> </w:t>
      </w:r>
      <w:r w:rsidRPr="00667BD1">
        <w:t>controversy, on a different theory, requiring a properly pleaded claim and a properly</w:t>
      </w:r>
      <w:r>
        <w:t xml:space="preserve"> </w:t>
      </w:r>
      <w:r w:rsidRPr="00667BD1">
        <w:t>developed evidentiary record.</w:t>
      </w:r>
      <w:r>
        <w:t xml:space="preserve">”  </w:t>
      </w:r>
    </w:p>
    <w:p w14:paraId="14965444" w14:textId="77777777" w:rsidR="002C229D" w:rsidRDefault="002C229D" w:rsidP="002C229D">
      <w:pPr>
        <w:pStyle w:val="NoSpacing"/>
      </w:pPr>
    </w:p>
    <w:p w14:paraId="662B6FF8" w14:textId="77777777" w:rsidR="002C229D" w:rsidRPr="00E84724" w:rsidRDefault="002C229D" w:rsidP="002C229D">
      <w:pPr>
        <w:pStyle w:val="NoSpacing"/>
        <w:rPr>
          <w:b/>
          <w:bCs/>
        </w:rPr>
      </w:pPr>
      <w:r>
        <w:rPr>
          <w:b/>
        </w:rPr>
        <w:t xml:space="preserve">Legal lesson learned:  Felony indictment of a Fire Chief will generally result in being placed on administrative leave.  Whether that is paid or unpaid leave is separate issue – in this case needing further evidence. </w:t>
      </w:r>
    </w:p>
    <w:p w14:paraId="2B7370EF" w14:textId="77777777" w:rsidR="002C229D" w:rsidRDefault="002C229D" w:rsidP="002C229D">
      <w:pPr>
        <w:pStyle w:val="NoSpacing"/>
      </w:pPr>
    </w:p>
    <w:p w14:paraId="06C053A0" w14:textId="77777777" w:rsidR="002C229D" w:rsidRDefault="002C229D" w:rsidP="002C229D">
      <w:pPr>
        <w:pStyle w:val="NoSpacing"/>
        <w:ind w:left="720"/>
        <w:rPr>
          <w:bCs/>
        </w:rPr>
      </w:pPr>
      <w:r>
        <w:t xml:space="preserve">Note: See Sept. 15, </w:t>
      </w:r>
      <w:proofErr w:type="gramStart"/>
      <w:r>
        <w:t>2025</w:t>
      </w:r>
      <w:proofErr w:type="gramEnd"/>
      <w:r>
        <w:t xml:space="preserve"> article: </w:t>
      </w:r>
      <w:r w:rsidRPr="005D77AE">
        <w:t>Former Mingo Junction fire chief reinstated after hearing [</w:t>
      </w:r>
      <w:proofErr w:type="gramStart"/>
      <w:r w:rsidRPr="005D77AE">
        <w:t>includes</w:t>
      </w:r>
      <w:proofErr w:type="gramEnd"/>
      <w:r w:rsidRPr="005D77AE">
        <w:t xml:space="preserve"> TV video]. </w:t>
      </w:r>
      <w:hyperlink r:id="rId2608" w:history="1">
        <w:r w:rsidRPr="005D77AE">
          <w:rPr>
            <w:rStyle w:val="Hyperlink"/>
          </w:rPr>
          <w:t>https://wtov9.com/news/local/former-mingo-junction-fire-chief-reinstated-after-hearing</w:t>
        </w:r>
      </w:hyperlink>
      <w:r w:rsidRPr="005D77AE">
        <w:t xml:space="preserve"> </w:t>
      </w:r>
    </w:p>
    <w:p w14:paraId="1B54C997" w14:textId="77777777" w:rsidR="002C229D" w:rsidRDefault="002C229D" w:rsidP="002C229D">
      <w:pPr>
        <w:pStyle w:val="NoSpacing"/>
        <w:ind w:left="720"/>
        <w:rPr>
          <w:bCs/>
        </w:rPr>
      </w:pPr>
    </w:p>
    <w:p w14:paraId="1EC65CA1" w14:textId="77777777" w:rsidR="002C229D" w:rsidRPr="005D77AE" w:rsidRDefault="002C229D" w:rsidP="002C229D">
      <w:pPr>
        <w:pStyle w:val="NoSpacing"/>
        <w:rPr>
          <w:bCs/>
        </w:rPr>
      </w:pPr>
    </w:p>
    <w:p w14:paraId="14042B2F" w14:textId="0C3007AF" w:rsidR="002C229D" w:rsidRPr="002C229D" w:rsidRDefault="002C229D" w:rsidP="002C229D">
      <w:pPr>
        <w:pStyle w:val="NoSpacing"/>
        <w:rPr>
          <w:rFonts w:ascii="Arial Black" w:hAnsi="Arial Black"/>
          <w:b/>
          <w:sz w:val="24"/>
          <w:szCs w:val="24"/>
        </w:rPr>
      </w:pPr>
      <w:r w:rsidRPr="002C229D">
        <w:rPr>
          <w:rFonts w:ascii="Arial Black" w:hAnsi="Arial Black"/>
          <w:b/>
          <w:sz w:val="24"/>
          <w:szCs w:val="24"/>
        </w:rPr>
        <w:t>16-161</w:t>
      </w:r>
    </w:p>
    <w:p w14:paraId="0171E32E" w14:textId="77777777" w:rsidR="002C229D" w:rsidRDefault="002C229D" w:rsidP="002C229D">
      <w:pPr>
        <w:pStyle w:val="NoSpacing"/>
        <w:rPr>
          <w:b/>
        </w:rPr>
      </w:pPr>
    </w:p>
    <w:p w14:paraId="7EF97453" w14:textId="77777777" w:rsidR="002C229D" w:rsidRPr="0043553C" w:rsidRDefault="002C229D" w:rsidP="002C229D">
      <w:pPr>
        <w:pStyle w:val="NoSpacing"/>
        <w:rPr>
          <w:rFonts w:ascii="Arial Black" w:hAnsi="Arial Black"/>
          <w:b/>
          <w:sz w:val="28"/>
          <w:szCs w:val="28"/>
        </w:rPr>
      </w:pPr>
      <w:r>
        <w:rPr>
          <w:rFonts w:ascii="Arial Black" w:hAnsi="Arial Black"/>
          <w:b/>
          <w:sz w:val="28"/>
          <w:szCs w:val="28"/>
        </w:rPr>
        <w:t>CO: CHIEF FIRED NEW B0ARD – NO 1</w:t>
      </w:r>
      <w:r w:rsidRPr="000B2A1F">
        <w:rPr>
          <w:rFonts w:ascii="Arial Black" w:hAnsi="Arial Black"/>
          <w:b/>
          <w:sz w:val="28"/>
          <w:szCs w:val="28"/>
          <w:vertAlign w:val="superscript"/>
        </w:rPr>
        <w:t>st</w:t>
      </w:r>
      <w:r>
        <w:rPr>
          <w:rFonts w:ascii="Arial Black" w:hAnsi="Arial Black"/>
          <w:b/>
          <w:sz w:val="28"/>
          <w:szCs w:val="28"/>
        </w:rPr>
        <w:t xml:space="preserve"> AMEND / DUTIES</w:t>
      </w:r>
    </w:p>
    <w:p w14:paraId="42F09494" w14:textId="77777777" w:rsidR="002C229D" w:rsidRDefault="002C229D" w:rsidP="002C229D">
      <w:pPr>
        <w:pStyle w:val="NoSpacing"/>
        <w:rPr>
          <w:b/>
        </w:rPr>
      </w:pPr>
    </w:p>
    <w:p w14:paraId="2280D87F" w14:textId="77777777" w:rsidR="002C229D" w:rsidRDefault="002C229D" w:rsidP="002C229D">
      <w:pPr>
        <w:pStyle w:val="NoSpacing"/>
        <w:rPr>
          <w:b/>
        </w:rPr>
      </w:pPr>
      <w:r>
        <w:t xml:space="preserve">On July 7, 2026, in </w:t>
      </w:r>
      <w:r w:rsidRPr="002E44C0">
        <w:rPr>
          <w:u w:val="single"/>
        </w:rPr>
        <w:t>Erik Holt v. Florissant Fire Protection District</w:t>
      </w:r>
      <w:r>
        <w:t xml:space="preserve">, the United States Court of Appeals for Tenth Circuit (Denver) held (3 to 0) that the newly elected Fire Board (5 new members) had legal right to fire the Fire Chief (only full-time member) for allowing insurance to lapse.  The Chief claimed he was fired in retaliation - an incumbent Board member filed a complaint of </w:t>
      </w:r>
      <w:r w:rsidRPr="00916737">
        <w:t>Election Violations in Teller County District Court</w:t>
      </w:r>
      <w:r>
        <w:t xml:space="preserve">, and the Chief provided investigator with video of the voting at the station to the criminal investigator. First Amendment protection does not apply to comments or actions performing official duties. </w:t>
      </w:r>
    </w:p>
    <w:p w14:paraId="43FE34BD" w14:textId="77777777" w:rsidR="002C229D" w:rsidRDefault="002C229D" w:rsidP="002C229D">
      <w:pPr>
        <w:pStyle w:val="NoSpacing"/>
      </w:pPr>
      <w:hyperlink r:id="rId2609" w:history="1">
        <w:r w:rsidRPr="003158CB">
          <w:rPr>
            <w:rStyle w:val="Hyperlink"/>
            <w:b/>
          </w:rPr>
          <w:t>https://cases.justia.com/federal/appellate-courts/ca10/25-1159/25-1159-2026-07-07.pdf?ts=1783443762</w:t>
        </w:r>
      </w:hyperlink>
    </w:p>
    <w:p w14:paraId="0A39FDC5" w14:textId="77777777" w:rsidR="002C229D" w:rsidRDefault="002C229D" w:rsidP="002C229D">
      <w:pPr>
        <w:pStyle w:val="NoSpacing"/>
      </w:pPr>
    </w:p>
    <w:p w14:paraId="6DC93080" w14:textId="77777777" w:rsidR="002C229D" w:rsidRDefault="002C229D" w:rsidP="002C229D">
      <w:pPr>
        <w:pStyle w:val="NoSpacing"/>
      </w:pPr>
      <w:r>
        <w:t xml:space="preserve">THE COURT WROTE; </w:t>
      </w:r>
    </w:p>
    <w:p w14:paraId="5A5698B5" w14:textId="77777777" w:rsidR="002C229D" w:rsidRDefault="002C229D" w:rsidP="002C229D">
      <w:pPr>
        <w:pStyle w:val="NoSpacing"/>
      </w:pPr>
    </w:p>
    <w:p w14:paraId="472D3B7C" w14:textId="77777777" w:rsidR="002C229D" w:rsidRDefault="002C229D" w:rsidP="002C229D">
      <w:pPr>
        <w:pStyle w:val="NoSpacing"/>
      </w:pPr>
      <w:r>
        <w:t>“</w:t>
      </w:r>
      <w:r w:rsidRPr="00207B10">
        <w:t>Erik Holt was employed as Fire Chief by the Florissant Fire Protection District (</w:t>
      </w:r>
      <w:r>
        <w:t>‘</w:t>
      </w:r>
      <w:r w:rsidRPr="00207B10">
        <w:t>FFPD</w:t>
      </w:r>
      <w:r>
        <w:t>’</w:t>
      </w:r>
      <w:r w:rsidRPr="00207B10">
        <w:t>)</w:t>
      </w:r>
      <w:r>
        <w:t xml:space="preserve">…. </w:t>
      </w:r>
      <w:r w:rsidRPr="00916737">
        <w:t>FFPD employed Holt as Fire Chief from April 2022 until June 22, 2023</w:t>
      </w:r>
      <w:r>
        <w:t xml:space="preserve">…. </w:t>
      </w:r>
      <w:r w:rsidRPr="00916737">
        <w:t>During Holt's tenure as Fire Chief, he was the only full-time employee at FFPD. Holt managed the closed-circuit security system, which was operated by a third-party vendor. Holt also controlled physical access to the fire station. Indeed, the record indicates Holt had the power to prevent even members of the board from accessing the firehouse</w:t>
      </w:r>
      <w:r>
        <w:t xml:space="preserve">. </w:t>
      </w:r>
      <w:r w:rsidRPr="00916737">
        <w:t>   On May 2, 2023, an election was held for the FFPD Board, which resulted in the election of five non-incumbent candidates. On the day of the election, Holt was acting in his capacity as Fire Chief. He did not, however, have any official duties as to the conducting of the election. The election took place, with Holt present, at Fire Station 1 at 2606 W. Highway 24, Florissant, Colorado, and by mail-in ballot.  </w:t>
      </w:r>
      <w:r>
        <w:t xml:space="preserve">On </w:t>
      </w:r>
      <w:r w:rsidRPr="00916737">
        <w:t xml:space="preserve">May 15, 2023, Starla Thompson, the incumbent FFPD President, filed a Complaint of Election Violations in Teller County District Court, alleging election fraud against the non-incumbent candidates and election workers. Holt was contacted by an investigator from the Teller County District Attorney's Office, Clint Kramer, who requested that Holt provide footage of the election recorded on FFPD's closed-circuit security system. Holt, with no other individuals present, met with Kramer and provided him with the election-day surveillance video from the fire station. Kramer viewed the videos in Holt's </w:t>
      </w:r>
      <w:proofErr w:type="gramStart"/>
      <w:r w:rsidRPr="00916737">
        <w:t>presence, but</w:t>
      </w:r>
      <w:proofErr w:type="gramEnd"/>
      <w:r w:rsidRPr="00916737">
        <w:t xml:space="preserve"> did not consult Holt as to which portions of the video Kramer should watch. Holt provided oral statements in response to </w:t>
      </w:r>
      <w:r w:rsidRPr="007605D7">
        <w:t xml:space="preserve">Kramer's questions about the video, questions such </w:t>
      </w:r>
      <w:proofErr w:type="gramStart"/>
      <w:r w:rsidRPr="007605D7">
        <w:t xml:space="preserve">as </w:t>
      </w:r>
      <w:r>
        <w:t>‘</w:t>
      </w:r>
      <w:r w:rsidRPr="007605D7">
        <w:t>[h]</w:t>
      </w:r>
      <w:proofErr w:type="gramEnd"/>
      <w:r w:rsidRPr="007605D7">
        <w:t>ow far do you think these people were from this position?</w:t>
      </w:r>
      <w:r>
        <w:t>’</w:t>
      </w:r>
      <w:r w:rsidRPr="007605D7">
        <w:t xml:space="preserve"> Holt also identified individuals appearing on the surveillance video. Furthermore, pursuant to his control of physical access to the fire station, Holt allowed the investigator to view the scene and take measurements</w:t>
      </w:r>
      <w:r>
        <w:t xml:space="preserve">…. </w:t>
      </w:r>
      <w:r w:rsidRPr="007F631E">
        <w:t xml:space="preserve">On June 27, 2023, the Teller County District Court dismissed Thompson's Complaint of Election Violations with prejudice. </w:t>
      </w:r>
    </w:p>
    <w:p w14:paraId="2D4FD4D2" w14:textId="77777777" w:rsidR="002C229D" w:rsidRDefault="002C229D" w:rsidP="002C229D">
      <w:pPr>
        <w:pStyle w:val="NoSpacing"/>
      </w:pPr>
    </w:p>
    <w:p w14:paraId="6AA44EC8" w14:textId="77777777" w:rsidR="002C229D" w:rsidRDefault="002C229D" w:rsidP="002C229D">
      <w:pPr>
        <w:pStyle w:val="NoSpacing"/>
      </w:pPr>
      <w:r>
        <w:t>***</w:t>
      </w:r>
    </w:p>
    <w:p w14:paraId="3C6F4E56" w14:textId="77777777" w:rsidR="002C229D" w:rsidRDefault="002C229D" w:rsidP="002C229D">
      <w:pPr>
        <w:pStyle w:val="NoSpacing"/>
      </w:pPr>
      <w:r w:rsidRPr="007F631E">
        <w:t xml:space="preserve">The new FFPD board terminated Holt's employment on June 22, 2023, ostensibly because Holt's failure to timely renew FFPD's insurance led to a lapse in coverage. Holt asserts the lapsing of the FFPD's insurance is a </w:t>
      </w:r>
      <w:proofErr w:type="gramStart"/>
      <w:r w:rsidRPr="007F631E">
        <w:t>pretext</w:t>
      </w:r>
      <w:proofErr w:type="gramEnd"/>
      <w:r w:rsidRPr="007F631E">
        <w:t xml:space="preserve"> and his termination was, in fact, undertaken in retaliation for his cooperation with a criminal investigator about the new Board's alleged conduct during the May 2, 2023, election</w:t>
      </w:r>
      <w:r>
        <w:t xml:space="preserve">…. </w:t>
      </w:r>
      <w:r w:rsidRPr="00207B10">
        <w:t xml:space="preserve">The district court granted summary judgment to FFPD on the first element of the five-element </w:t>
      </w:r>
      <w:r w:rsidRPr="00207B10">
        <w:rPr>
          <w:i/>
          <w:iCs/>
        </w:rPr>
        <w:t>Garcetti</w:t>
      </w:r>
      <w:r w:rsidRPr="00207B10">
        <w:t>/</w:t>
      </w:r>
      <w:r w:rsidRPr="00207B10">
        <w:rPr>
          <w:i/>
          <w:iCs/>
        </w:rPr>
        <w:t>Pickering</w:t>
      </w:r>
      <w:r w:rsidRPr="00207B10">
        <w:t xml:space="preserve"> test</w:t>
      </w:r>
      <w:r>
        <w:t xml:space="preserve">… </w:t>
      </w:r>
      <w:r w:rsidRPr="00207B10">
        <w:t>That is, the district court concluded Holt's speech was not protected by the First Amendment because the speech was uttered pursuant to Holt's official duties as Fire Chief</w:t>
      </w:r>
      <w:r>
        <w:t xml:space="preserve">…. </w:t>
      </w:r>
      <w:r w:rsidRPr="00207B10">
        <w:t>Holt appeals. Based on the record before the district court,</w:t>
      </w:r>
      <w:r>
        <w:rPr>
          <w:vertAlign w:val="superscript"/>
        </w:rPr>
        <w:t xml:space="preserve"> </w:t>
      </w:r>
      <w:r w:rsidRPr="00207B10">
        <w:t xml:space="preserve"> Holt failed to demonstrate his speech was not made pursuant to his official dutie</w:t>
      </w:r>
      <w:r>
        <w:t xml:space="preserve">s. [Footnote 4: </w:t>
      </w:r>
      <w:r w:rsidRPr="00717F75">
        <w:t xml:space="preserve">The other four elements a public employee must establish to prevail on a First Amendment claim, none of which are at issue in this case, are as follows: (2) the speech involved </w:t>
      </w:r>
      <w:r>
        <w:t>‘</w:t>
      </w:r>
      <w:r w:rsidRPr="00717F75">
        <w:t>a matter of public concern</w:t>
      </w:r>
      <w:r>
        <w:t>’</w:t>
      </w:r>
      <w:r w:rsidRPr="00717F75">
        <w:t xml:space="preserve">; (3) the government's interests as an employer in promoting the efficiency of the public service did not outweigh the plaintiff's interests in free speech; (4) </w:t>
      </w:r>
      <w:r>
        <w:t>‘</w:t>
      </w:r>
      <w:r w:rsidRPr="00717F75">
        <w:t>[t]he protected speech was a motivating factor in the adverse employment action</w:t>
      </w:r>
      <w:r>
        <w:t>’</w:t>
      </w:r>
      <w:r w:rsidRPr="00717F75">
        <w:t xml:space="preserve">; and (5) the public employee would not have </w:t>
      </w:r>
      <w:r>
        <w:t>‘</w:t>
      </w:r>
      <w:r w:rsidRPr="00717F75">
        <w:t>made the same employment decision in the absence of the protected speech.</w:t>
      </w:r>
      <w:r>
        <w:t>’</w:t>
      </w:r>
      <w:r w:rsidRPr="00717F75">
        <w:t xml:space="preserve"> </w:t>
      </w:r>
      <w:r w:rsidRPr="00717F75">
        <w:rPr>
          <w:i/>
          <w:iCs/>
        </w:rPr>
        <w:t>Timmins v. Plotkin</w:t>
      </w:r>
      <w:r w:rsidRPr="00717F75">
        <w:t>, 157 F.4th 1275, 1277 (10th Cir. 2025)</w:t>
      </w:r>
      <w:r>
        <w:t>.]”</w:t>
      </w:r>
    </w:p>
    <w:p w14:paraId="151D0080" w14:textId="77777777" w:rsidR="002C229D" w:rsidRDefault="002C229D" w:rsidP="002C229D">
      <w:pPr>
        <w:pStyle w:val="NoSpacing"/>
      </w:pPr>
    </w:p>
    <w:p w14:paraId="14A8FE60" w14:textId="77777777" w:rsidR="002C229D" w:rsidRPr="00FD2A62" w:rsidRDefault="002C229D" w:rsidP="002C229D">
      <w:pPr>
        <w:pStyle w:val="NoSpacing"/>
        <w:rPr>
          <w:b/>
          <w:bCs/>
        </w:rPr>
      </w:pPr>
      <w:r>
        <w:rPr>
          <w:b/>
        </w:rPr>
        <w:t xml:space="preserve">Legal </w:t>
      </w:r>
      <w:proofErr w:type="gramStart"/>
      <w:r>
        <w:rPr>
          <w:b/>
        </w:rPr>
        <w:t>lesson</w:t>
      </w:r>
      <w:proofErr w:type="gramEnd"/>
      <w:r>
        <w:rPr>
          <w:b/>
        </w:rPr>
        <w:t xml:space="preserve"> learned: First Amendment protection is limited; speech involving matters of public concern, not official duties.</w:t>
      </w:r>
    </w:p>
    <w:p w14:paraId="3233747B" w14:textId="77777777" w:rsidR="002C229D" w:rsidRPr="00916737" w:rsidRDefault="002C229D" w:rsidP="002C229D">
      <w:pPr>
        <w:pStyle w:val="NoSpacing"/>
      </w:pPr>
    </w:p>
    <w:p w14:paraId="7B0850B9" w14:textId="77777777" w:rsidR="002C229D" w:rsidRDefault="002C229D" w:rsidP="002C229D">
      <w:pPr>
        <w:pStyle w:val="NoSpacing"/>
        <w:rPr>
          <w:b/>
        </w:rPr>
      </w:pPr>
    </w:p>
    <w:p w14:paraId="090DB256" w14:textId="77777777" w:rsidR="002C229D" w:rsidRDefault="002C229D" w:rsidP="002C229D">
      <w:pPr>
        <w:pStyle w:val="NoSpacing"/>
        <w:rPr>
          <w:b/>
          <w:sz w:val="20"/>
          <w:szCs w:val="20"/>
        </w:rPr>
      </w:pPr>
    </w:p>
    <w:p w14:paraId="5B615D3B" w14:textId="77777777" w:rsidR="005A4098" w:rsidRDefault="005A4098" w:rsidP="00DA3352">
      <w:pPr>
        <w:pStyle w:val="NoSpacing"/>
        <w:rPr>
          <w:rFonts w:ascii="Arial Black" w:hAnsi="Arial Black"/>
          <w:b/>
          <w:sz w:val="24"/>
          <w:szCs w:val="24"/>
        </w:rPr>
      </w:pPr>
    </w:p>
    <w:p w14:paraId="0D3A2C84" w14:textId="77777777" w:rsidR="005611CE" w:rsidRDefault="005611CE" w:rsidP="00E77EA7">
      <w:pPr>
        <w:pStyle w:val="NoSpacing"/>
        <w:rPr>
          <w:rFonts w:ascii="Arial Black" w:hAnsi="Arial Black"/>
          <w:b/>
          <w:sz w:val="24"/>
          <w:szCs w:val="24"/>
        </w:rPr>
      </w:pPr>
    </w:p>
    <w:p w14:paraId="744B667D" w14:textId="77777777" w:rsidR="005611CE" w:rsidRDefault="005611CE" w:rsidP="00E77EA7">
      <w:pPr>
        <w:pStyle w:val="NoSpacing"/>
        <w:rPr>
          <w:rFonts w:ascii="Arial Black" w:hAnsi="Arial Black"/>
          <w:b/>
          <w:sz w:val="24"/>
          <w:szCs w:val="24"/>
        </w:rPr>
      </w:pPr>
    </w:p>
    <w:p w14:paraId="3CCC365B" w14:textId="77777777" w:rsidR="005611CE" w:rsidRDefault="005611CE" w:rsidP="00E77EA7">
      <w:pPr>
        <w:pStyle w:val="NoSpacing"/>
        <w:rPr>
          <w:rFonts w:ascii="Arial Black" w:hAnsi="Arial Black"/>
          <w:b/>
          <w:sz w:val="24"/>
          <w:szCs w:val="24"/>
        </w:rPr>
      </w:pPr>
    </w:p>
    <w:p w14:paraId="46308E51" w14:textId="0BA7BB61" w:rsidR="00E77EA7" w:rsidRDefault="00E77EA7" w:rsidP="00E77EA7">
      <w:pPr>
        <w:pStyle w:val="NoSpacing"/>
        <w:rPr>
          <w:rFonts w:ascii="Arial Black" w:hAnsi="Arial Black"/>
          <w:b/>
          <w:sz w:val="24"/>
          <w:szCs w:val="24"/>
        </w:rPr>
      </w:pPr>
      <w:r>
        <w:rPr>
          <w:rFonts w:ascii="Arial Black" w:hAnsi="Arial Black"/>
          <w:b/>
          <w:sz w:val="24"/>
          <w:szCs w:val="24"/>
        </w:rPr>
        <w:t>16-1</w:t>
      </w:r>
      <w:r w:rsidR="000676A0">
        <w:rPr>
          <w:rFonts w:ascii="Arial Black" w:hAnsi="Arial Black"/>
          <w:b/>
          <w:sz w:val="24"/>
          <w:szCs w:val="24"/>
        </w:rPr>
        <w:t>60</w:t>
      </w:r>
    </w:p>
    <w:p w14:paraId="31929BFC" w14:textId="77777777" w:rsidR="005A4098" w:rsidRDefault="005A4098" w:rsidP="00DA3352">
      <w:pPr>
        <w:pStyle w:val="NoSpacing"/>
        <w:rPr>
          <w:rFonts w:ascii="Arial Black" w:hAnsi="Arial Black"/>
          <w:b/>
          <w:sz w:val="24"/>
          <w:szCs w:val="24"/>
        </w:rPr>
      </w:pPr>
    </w:p>
    <w:p w14:paraId="594B4569" w14:textId="0DD0A5A4" w:rsidR="005A4098" w:rsidRPr="00291717" w:rsidRDefault="005A4098" w:rsidP="005A4098">
      <w:pPr>
        <w:rPr>
          <w:rFonts w:ascii="Arial Black" w:hAnsi="Arial Black"/>
          <w:b/>
          <w:sz w:val="28"/>
          <w:szCs w:val="28"/>
        </w:rPr>
      </w:pPr>
      <w:r>
        <w:rPr>
          <w:rFonts w:ascii="Arial Black" w:hAnsi="Arial Black"/>
          <w:b/>
          <w:sz w:val="28"/>
          <w:szCs w:val="28"/>
        </w:rPr>
        <w:t>MT: VOL. FIRED</w:t>
      </w:r>
      <w:r w:rsidR="00E77EA7">
        <w:rPr>
          <w:rFonts w:ascii="Arial Black" w:hAnsi="Arial Black"/>
          <w:b/>
          <w:sz w:val="28"/>
          <w:szCs w:val="28"/>
        </w:rPr>
        <w:t xml:space="preserve"> / CRIM CH</w:t>
      </w:r>
      <w:r w:rsidR="00DE6BEF">
        <w:rPr>
          <w:rFonts w:ascii="Arial Black" w:hAnsi="Arial Black"/>
          <w:b/>
          <w:sz w:val="28"/>
          <w:szCs w:val="28"/>
        </w:rPr>
        <w:t>ARGE</w:t>
      </w:r>
      <w:r w:rsidR="00E77EA7">
        <w:rPr>
          <w:rFonts w:ascii="Arial Black" w:hAnsi="Arial Black"/>
          <w:b/>
          <w:sz w:val="28"/>
          <w:szCs w:val="28"/>
        </w:rPr>
        <w:t xml:space="preserve"> - </w:t>
      </w:r>
      <w:r>
        <w:rPr>
          <w:rFonts w:ascii="Arial Black" w:hAnsi="Arial Black"/>
          <w:b/>
          <w:sz w:val="28"/>
          <w:szCs w:val="28"/>
        </w:rPr>
        <w:t>DUE PROCESS RIGHTS</w:t>
      </w:r>
    </w:p>
    <w:p w14:paraId="37B2AC14" w14:textId="77777777" w:rsidR="005A4098" w:rsidRDefault="005A4098" w:rsidP="005A4098">
      <w:pPr>
        <w:pStyle w:val="NoSpacing"/>
      </w:pPr>
      <w:r>
        <w:t xml:space="preserve">On June 25, 2026, in </w:t>
      </w:r>
      <w:r w:rsidRPr="00F52987">
        <w:rPr>
          <w:u w:val="single"/>
        </w:rPr>
        <w:t>Andrew Hoel v. Lake County, et al</w:t>
      </w:r>
      <w:r>
        <w:t xml:space="preserve">., U.S. District Court Judge Dana L. Christensen, United States District Court for Montana, Missoula Division, denied the motion to dismiss by the five members of the Board of </w:t>
      </w:r>
      <w:r w:rsidRPr="003254DA">
        <w:t>Polson Rural Fire District</w:t>
      </w:r>
      <w:r>
        <w:t xml:space="preserve">, and the lawsuit by the 16-year volunteer may continue.  The judge held that while there is no state statute on whether a volunteer in a rural fire district has a “property interest” in the position, and no Montana Supreme Court opinion on the issue, the plaintiff has </w:t>
      </w:r>
      <w:r w:rsidRPr="00372501">
        <w:t>alleged a plausible claim that a protected property interest exists</w:t>
      </w:r>
      <w:r>
        <w:t>.  The Court wrote: “</w:t>
      </w:r>
      <w:r w:rsidRPr="00372501">
        <w:t>Viewing Hoel's allegations in the light most favorable to him, as required at this stage of the proceeding, he has alleged a plausible claim that a protected property interest exists.</w:t>
      </w:r>
      <w:r>
        <w:t>”</w:t>
      </w:r>
    </w:p>
    <w:p w14:paraId="5C805A6C" w14:textId="77777777" w:rsidR="005A4098" w:rsidRDefault="005A4098" w:rsidP="005A4098">
      <w:pPr>
        <w:rPr>
          <w:b/>
        </w:rPr>
      </w:pPr>
      <w:hyperlink r:id="rId2610" w:history="1">
        <w:r w:rsidRPr="00014504">
          <w:rPr>
            <w:rStyle w:val="Hyperlink"/>
            <w:b/>
          </w:rPr>
          <w:t>https://public.fastcase.com/Jhe1Qn%2BmJndQYQU6z%2FeNm8xp5bcQpM0LeCpj95rZ5gNEdVG1ibFcIduRcZ%2B3IipaZYnYIym7VYjtpqKVlaUqasfnn8Tz1CVmcjSIlOE%2BPZg%3D?utm_medium=email&amp;_hsenc=p2ANqtz-9jjfQQEOm_2mMKI3z_PNL0spa8WgXuU5UtiIChSVPrFWGJFWa_yPhDa2X3hbtFntOPOz5eOn48J2_-s790WqIcSfBsuw&amp;_hsmi=226712652&amp;utm_content=226712652&amp;utm_source=hs_email</w:t>
        </w:r>
      </w:hyperlink>
      <w:r>
        <w:rPr>
          <w:b/>
        </w:rPr>
        <w:t xml:space="preserve"> </w:t>
      </w:r>
    </w:p>
    <w:p w14:paraId="4319D54C" w14:textId="77777777" w:rsidR="005A4098" w:rsidRDefault="005A4098" w:rsidP="005A4098">
      <w:pPr>
        <w:pStyle w:val="NoSpacing"/>
        <w:rPr>
          <w:b/>
          <w:bCs/>
        </w:rPr>
      </w:pPr>
      <w:r w:rsidRPr="005138E2">
        <w:rPr>
          <w:b/>
        </w:rPr>
        <w:t>FACTS:</w:t>
      </w:r>
    </w:p>
    <w:p w14:paraId="5118AC4F" w14:textId="77777777" w:rsidR="005A4098" w:rsidRPr="0054668F" w:rsidRDefault="005A4098" w:rsidP="005A4098">
      <w:pPr>
        <w:pStyle w:val="NoSpacing"/>
      </w:pPr>
    </w:p>
    <w:p w14:paraId="3A973B86" w14:textId="77777777" w:rsidR="005A4098" w:rsidRDefault="005A4098" w:rsidP="005A4098">
      <w:pPr>
        <w:pStyle w:val="NoSpacing"/>
      </w:pPr>
      <w:r>
        <w:t>“</w:t>
      </w:r>
      <w:r w:rsidRPr="0054668F">
        <w:t xml:space="preserve">Andrew Hoel was a member of the Polson Rural Fire District for 16 years. In 2023, Hoel settled a dispute involving a jointly owned LLC with Defendants Matthew Dougherty and Nancy Dougherty. Following the settlement, the </w:t>
      </w:r>
      <w:proofErr w:type="spellStart"/>
      <w:r w:rsidRPr="0054668F">
        <w:t>Doughertys</w:t>
      </w:r>
      <w:proofErr w:type="spellEnd"/>
      <w:r w:rsidRPr="0054668F">
        <w:t xml:space="preserve"> made a series of defamatory statements and allegations of criminal conduct against Hoel, prompting Lake County to charge him with two felony counts of exploitation of older person, incapacitated person, or person with developmental disability, Mont. Code Ann. § 45-6-333. </w:t>
      </w:r>
    </w:p>
    <w:p w14:paraId="56D361F0" w14:textId="77777777" w:rsidR="005A4098" w:rsidRDefault="005A4098" w:rsidP="005A4098">
      <w:pPr>
        <w:pStyle w:val="NoSpacing"/>
      </w:pPr>
    </w:p>
    <w:p w14:paraId="0661215D" w14:textId="77777777" w:rsidR="005A4098" w:rsidRDefault="005A4098" w:rsidP="005A4098">
      <w:pPr>
        <w:pStyle w:val="NoSpacing"/>
      </w:pPr>
      <w:r w:rsidRPr="0054668F">
        <w:t xml:space="preserve">Board Members, acting as Trustees of the Polson Rural Fire District, revoked Hoel's membership based on these criminal charges. Hoel appealed, and Board Members responded by notifying Hoel </w:t>
      </w:r>
      <w:proofErr w:type="gramStart"/>
      <w:r w:rsidRPr="0054668F">
        <w:t xml:space="preserve">that </w:t>
      </w:r>
      <w:r>
        <w:t>‘</w:t>
      </w:r>
      <w:r w:rsidRPr="0054668F">
        <w:t>[</w:t>
      </w:r>
      <w:proofErr w:type="gramEnd"/>
      <w:r w:rsidRPr="0054668F">
        <w:t>t]</w:t>
      </w:r>
      <w:proofErr w:type="gramStart"/>
      <w:r w:rsidRPr="0054668F">
        <w:t>he</w:t>
      </w:r>
      <w:proofErr w:type="gramEnd"/>
      <w:r w:rsidRPr="0054668F">
        <w:t xml:space="preserve"> Board will take no action on the appeal until a future appropriate time when your situation has stabilized. It will be in touch at that time.</w:t>
      </w:r>
      <w:r>
        <w:t>’</w:t>
      </w:r>
      <w:r w:rsidRPr="0054668F">
        <w:t xml:space="preserve"> After criminal charges against Hoel were dismissed, he wrote to the Polson Rural Fire District to renew his appeal. Board Members responded that his appeal had already been denied. In terminating Hoel, Board Members failed to comply with the Polson Rural Fire District's disciplinary policies.</w:t>
      </w:r>
      <w:r>
        <w:t>”</w:t>
      </w:r>
    </w:p>
    <w:p w14:paraId="574992D9" w14:textId="77777777" w:rsidR="005A4098" w:rsidRDefault="005A4098" w:rsidP="005A4098">
      <w:pPr>
        <w:pStyle w:val="NoSpacing"/>
      </w:pPr>
    </w:p>
    <w:p w14:paraId="3C937329" w14:textId="77777777" w:rsidR="005A4098" w:rsidRPr="00A03529" w:rsidRDefault="005A4098" w:rsidP="005A4098">
      <w:pPr>
        <w:pStyle w:val="NoSpacing"/>
        <w:rPr>
          <w:b/>
          <w:bCs/>
        </w:rPr>
      </w:pPr>
      <w:r w:rsidRPr="00A03529">
        <w:rPr>
          <w:b/>
        </w:rPr>
        <w:t>COURT HELD:</w:t>
      </w:r>
    </w:p>
    <w:p w14:paraId="7FB5CE0C" w14:textId="77777777" w:rsidR="005A4098" w:rsidRPr="0054668F" w:rsidRDefault="005A4098" w:rsidP="005A4098">
      <w:pPr>
        <w:pStyle w:val="NoSpacing"/>
      </w:pPr>
    </w:p>
    <w:p w14:paraId="7CAEA09C" w14:textId="77777777" w:rsidR="005A4098" w:rsidRPr="00372501" w:rsidRDefault="005A4098" w:rsidP="005A4098">
      <w:pPr>
        <w:pStyle w:val="NoSpacing"/>
      </w:pPr>
      <w:r>
        <w:t>“</w:t>
      </w:r>
      <w:r w:rsidRPr="00372501">
        <w:t xml:space="preserve">Montana statutes are silent on whether volunteer members of rural fire districts enjoy any removal protections. Paid municipal firefighters enjoy for-cause termination protections, </w:t>
      </w:r>
      <w:r w:rsidRPr="00372501">
        <w:rPr>
          <w:i/>
          <w:iCs/>
        </w:rPr>
        <w:t>see</w:t>
      </w:r>
      <w:r w:rsidRPr="00372501">
        <w:t xml:space="preserve"> Mont. Code Ann. § 7-33-4123, and mandatory suspension procedures, </w:t>
      </w:r>
      <w:r w:rsidRPr="00372501">
        <w:rPr>
          <w:i/>
          <w:iCs/>
        </w:rPr>
        <w:t>see</w:t>
      </w:r>
      <w:r w:rsidRPr="00372501">
        <w:t xml:space="preserve"> Mont. Code Ann. § 7-33-4124, while city </w:t>
      </w:r>
      <w:r>
        <w:t>‘</w:t>
      </w:r>
      <w:r w:rsidRPr="00372501">
        <w:t xml:space="preserve">volunteer fire </w:t>
      </w:r>
      <w:proofErr w:type="gramStart"/>
      <w:r w:rsidRPr="00372501">
        <w:t>departments,</w:t>
      </w:r>
      <w:r>
        <w:t>’</w:t>
      </w:r>
      <w:proofErr w:type="gramEnd"/>
      <w:r w:rsidRPr="00372501">
        <w:t xml:space="preserve"> established under Part 41 are explicitly exempted from these provisions. Mont. Code Ann. § 7-33-4110. Rural fire districts like Polson, meanwhile, are legally distinct from volunteer fire departments even if they are composed entirely of volunteers. Highlighting this distinction, Montana Code Annotated § 7-33-4510(c) clarifies that </w:t>
      </w:r>
      <w:r>
        <w:t>‘</w:t>
      </w:r>
      <w:r w:rsidRPr="00372501">
        <w:t>a member of a volunteer fire department provided for in [§] 7-33-4109</w:t>
      </w:r>
      <w:r>
        <w:t>’</w:t>
      </w:r>
      <w:r w:rsidRPr="00372501">
        <w:t xml:space="preserve"> does not fall within the definition of a “volunteer firefighter,” and is therefore ineligible for worker's compensation. Therefore, no statute addresses whether volunteer members of a rural fire district are subject to removal protections or not. </w:t>
      </w:r>
    </w:p>
    <w:p w14:paraId="5254836C" w14:textId="77777777" w:rsidR="005A4098" w:rsidRDefault="005A4098" w:rsidP="005A4098">
      <w:pPr>
        <w:pStyle w:val="NoSpacing"/>
      </w:pPr>
      <w:r w:rsidRPr="00372501">
        <w:t>         </w:t>
      </w:r>
    </w:p>
    <w:p w14:paraId="0F429EBA" w14:textId="77777777" w:rsidR="005A4098" w:rsidRDefault="005A4098" w:rsidP="005A4098">
      <w:pPr>
        <w:pStyle w:val="NoSpacing"/>
      </w:pPr>
      <w:r w:rsidRPr="00372501">
        <w:t xml:space="preserve">Nor has the Montana Supreme Court directly addressed whether volunteer members of a rural fire district have a property interest in their volunteer status. In </w:t>
      </w:r>
      <w:r w:rsidRPr="00372501">
        <w:rPr>
          <w:i/>
          <w:iCs/>
        </w:rPr>
        <w:t>State v. Robertson,</w:t>
      </w:r>
      <w:r w:rsidRPr="00372501">
        <w:t xml:space="preserve"> however, the Court held that a rural fire district board could not suspend volunteers because their bylaws did not </w:t>
      </w:r>
      <w:r>
        <w:t>‘</w:t>
      </w:r>
      <w:r w:rsidRPr="00372501">
        <w:t>authorize</w:t>
      </w:r>
      <w:r>
        <w:t>’</w:t>
      </w:r>
      <w:r w:rsidRPr="00372501">
        <w:t xml:space="preserve"> them to do so. 336 P.3d 367, 371-72 (Mont. 2014</w:t>
      </w:r>
      <w:proofErr w:type="gramStart"/>
      <w:r w:rsidRPr="00372501">
        <w:t>) (</w:t>
      </w:r>
      <w:r>
        <w:t>‘</w:t>
      </w:r>
      <w:proofErr w:type="gramEnd"/>
      <w:r w:rsidRPr="00372501">
        <w:t>[T]</w:t>
      </w:r>
      <w:proofErr w:type="gramStart"/>
      <w:r w:rsidRPr="00372501">
        <w:t>he</w:t>
      </w:r>
      <w:proofErr w:type="gramEnd"/>
      <w:r w:rsidRPr="00372501">
        <w:t xml:space="preserve"> by-laws are altogether silent on the suspension of [fire district] members.</w:t>
      </w:r>
      <w:r>
        <w:t>’</w:t>
      </w:r>
      <w:r w:rsidRPr="00372501">
        <w:t xml:space="preserve">). Although </w:t>
      </w:r>
      <w:r w:rsidRPr="00372501">
        <w:rPr>
          <w:i/>
          <w:iCs/>
        </w:rPr>
        <w:t>Robertson</w:t>
      </w:r>
      <w:r w:rsidRPr="00372501">
        <w:t xml:space="preserve"> was decided in the context of a criminal trespass charge, </w:t>
      </w:r>
      <w:r w:rsidRPr="00372501">
        <w:rPr>
          <w:i/>
          <w:iCs/>
        </w:rPr>
        <w:t>see id,</w:t>
      </w:r>
      <w:r w:rsidRPr="00372501">
        <w:t xml:space="preserve"> the Court's reasoning indicates that, depending on the precise language in their bylaws, Board Members may not have had the authority to terminate Hoel at will. If the bylaws contain for-cause protections or specific removal criteria, they could create a reasonable expectation of continued volunteer status. Viewing Hoel's allegations in the light most favorable to him, as required at this stage of the proceeding, he has alleged a plausible claim that a protected property interest exists.</w:t>
      </w:r>
      <w:r>
        <w:t>”</w:t>
      </w:r>
    </w:p>
    <w:p w14:paraId="09D00CE8" w14:textId="77777777" w:rsidR="005A4098" w:rsidRDefault="005A4098" w:rsidP="005A4098">
      <w:pPr>
        <w:pStyle w:val="NoSpacing"/>
      </w:pPr>
    </w:p>
    <w:p w14:paraId="0D8BD0C3" w14:textId="77777777" w:rsidR="005A4098" w:rsidRPr="004A6680" w:rsidRDefault="005A4098" w:rsidP="005A4098">
      <w:pPr>
        <w:pStyle w:val="NoSpacing"/>
        <w:rPr>
          <w:b/>
          <w:bCs/>
        </w:rPr>
      </w:pPr>
      <w:r>
        <w:rPr>
          <w:b/>
        </w:rPr>
        <w:t>Legal lesson learned: State laws control whether volunteer firefighters have a right to due process hearing before Fire Board; providing such a hearing can help avoid litigation such as this case.</w:t>
      </w:r>
    </w:p>
    <w:p w14:paraId="47D49052" w14:textId="77777777" w:rsidR="005A4098" w:rsidRPr="0034231D" w:rsidRDefault="005A4098" w:rsidP="005A4098">
      <w:pPr>
        <w:pStyle w:val="NoSpacing"/>
      </w:pPr>
      <w:r w:rsidRPr="0034231D">
        <w:t xml:space="preserve"> </w:t>
      </w:r>
    </w:p>
    <w:p w14:paraId="4E403929" w14:textId="77777777" w:rsidR="005A4098" w:rsidRDefault="005A4098" w:rsidP="00DA3352">
      <w:pPr>
        <w:pStyle w:val="NoSpacing"/>
        <w:rPr>
          <w:rFonts w:ascii="Arial Black" w:hAnsi="Arial Black"/>
          <w:b/>
          <w:sz w:val="24"/>
          <w:szCs w:val="24"/>
        </w:rPr>
      </w:pPr>
    </w:p>
    <w:p w14:paraId="4060FC99" w14:textId="3B096321" w:rsidR="000676A0" w:rsidRDefault="000676A0" w:rsidP="000676A0">
      <w:pPr>
        <w:pStyle w:val="NoSpacing"/>
        <w:rPr>
          <w:rFonts w:ascii="Arial Black" w:hAnsi="Arial Black"/>
          <w:b/>
          <w:sz w:val="24"/>
          <w:szCs w:val="24"/>
        </w:rPr>
      </w:pPr>
      <w:r>
        <w:rPr>
          <w:rFonts w:ascii="Arial Black" w:hAnsi="Arial Black"/>
          <w:b/>
          <w:sz w:val="24"/>
          <w:szCs w:val="24"/>
        </w:rPr>
        <w:t>16-158 [also filed Chap. 18]</w:t>
      </w:r>
    </w:p>
    <w:p w14:paraId="6B51E8E8" w14:textId="77777777" w:rsidR="000676A0" w:rsidRDefault="000676A0" w:rsidP="00DA3352">
      <w:pPr>
        <w:pStyle w:val="NoSpacing"/>
        <w:rPr>
          <w:rFonts w:ascii="Arial Black" w:hAnsi="Arial Black"/>
          <w:b/>
          <w:sz w:val="24"/>
          <w:szCs w:val="24"/>
        </w:rPr>
      </w:pPr>
    </w:p>
    <w:p w14:paraId="25EB91F6" w14:textId="77777777" w:rsidR="005A4098" w:rsidRDefault="005A4098" w:rsidP="00DA3352">
      <w:pPr>
        <w:pStyle w:val="NoSpacing"/>
        <w:rPr>
          <w:rFonts w:ascii="Arial Black" w:hAnsi="Arial Black"/>
          <w:b/>
          <w:sz w:val="24"/>
          <w:szCs w:val="24"/>
        </w:rPr>
      </w:pPr>
    </w:p>
    <w:p w14:paraId="66AD47D2" w14:textId="77777777" w:rsidR="00E13167" w:rsidRPr="00554749" w:rsidRDefault="00E13167" w:rsidP="00E13167">
      <w:pPr>
        <w:pStyle w:val="NoSpacing"/>
        <w:rPr>
          <w:rFonts w:ascii="Arial Black" w:hAnsi="Arial Black"/>
          <w:sz w:val="28"/>
          <w:szCs w:val="28"/>
        </w:rPr>
      </w:pPr>
      <w:r>
        <w:rPr>
          <w:rFonts w:ascii="Arial Black" w:hAnsi="Arial Black"/>
          <w:sz w:val="28"/>
          <w:szCs w:val="28"/>
        </w:rPr>
        <w:t>CO: BABY “SAFE HAVEN LAW” – MOM STAYS “ANONYMOUS”</w:t>
      </w:r>
    </w:p>
    <w:p w14:paraId="20A93ACD" w14:textId="77777777" w:rsidR="00E13167" w:rsidRDefault="00E13167" w:rsidP="00E13167">
      <w:pPr>
        <w:pStyle w:val="NoSpacing"/>
      </w:pPr>
    </w:p>
    <w:p w14:paraId="17419973" w14:textId="77777777" w:rsidR="00E13167" w:rsidRDefault="00E13167" w:rsidP="00E13167">
      <w:r>
        <w:t xml:space="preserve">On June 8, 2026, </w:t>
      </w:r>
      <w:r w:rsidRPr="0018279B">
        <w:rPr>
          <w:u w:val="single"/>
        </w:rPr>
        <w:t>In Re The People of the State of Colorado, In The Interest of Minor Child:</w:t>
      </w:r>
      <w:r>
        <w:rPr>
          <w:u w:val="single"/>
        </w:rPr>
        <w:t xml:space="preserve"> </w:t>
      </w:r>
      <w:r w:rsidRPr="0018279B">
        <w:rPr>
          <w:u w:val="single"/>
        </w:rPr>
        <w:t>G.D.M. v. Morgan County Department of Human Services</w:t>
      </w:r>
      <w:r>
        <w:t xml:space="preserve">, </w:t>
      </w:r>
      <w:r w:rsidRPr="0018279B">
        <w:t>the Supreme Court of Colorado, En Banc</w:t>
      </w:r>
      <w:r>
        <w:t xml:space="preserve"> (6 to 1) held that with baby born in ambulance in hospital parking lot, and mother told EMS she wanted to give the baby up for adoption, the County Department of Human Services had no right to know mother’s or father’s identity. The Court wrote: “</w:t>
      </w:r>
      <w:r w:rsidRPr="00B548EE">
        <w:t>Together, these tools of construction speak in a quiet but unmistakable voice, leading us to infer that parents who avail themselves of this law are entitled to anonymity and confidentiality.</w:t>
      </w:r>
      <w:r>
        <w:t xml:space="preserve">” </w:t>
      </w:r>
      <w:hyperlink r:id="rId2611" w:history="1">
        <w:r w:rsidRPr="003E6F82">
          <w:rPr>
            <w:rStyle w:val="Hyperlink"/>
          </w:rPr>
          <w:t>https://caselaw.findlaw.com/court/co-supreme-court/111256.html</w:t>
        </w:r>
      </w:hyperlink>
      <w:r>
        <w:t xml:space="preserve"> </w:t>
      </w:r>
    </w:p>
    <w:p w14:paraId="4AA8957C" w14:textId="77777777" w:rsidR="00E13167" w:rsidRDefault="00E13167" w:rsidP="00E13167">
      <w:pPr>
        <w:rPr>
          <w:b/>
        </w:rPr>
      </w:pPr>
    </w:p>
    <w:p w14:paraId="407BA58A" w14:textId="77777777" w:rsidR="00E13167" w:rsidRDefault="00E13167" w:rsidP="00E13167">
      <w:pPr>
        <w:rPr>
          <w:b/>
        </w:rPr>
      </w:pPr>
      <w:r>
        <w:rPr>
          <w:b/>
        </w:rPr>
        <w:t>FACTS:</w:t>
      </w:r>
    </w:p>
    <w:p w14:paraId="628A83C2" w14:textId="77777777" w:rsidR="00E13167" w:rsidRPr="00CA4A65" w:rsidRDefault="00E13167" w:rsidP="00E13167">
      <w:pPr>
        <w:pStyle w:val="NoSpacing"/>
      </w:pPr>
      <w:r>
        <w:t>“</w:t>
      </w:r>
      <w:r w:rsidRPr="00CA4A65">
        <w:t>In this case, M.O.M. (</w:t>
      </w:r>
      <w:r>
        <w:t>‘</w:t>
      </w:r>
      <w:r w:rsidRPr="00CA4A65">
        <w:t>Birth Mother</w:t>
      </w:r>
      <w:r>
        <w:t>’</w:t>
      </w:r>
      <w:r w:rsidRPr="00CA4A65">
        <w:t xml:space="preserve">) gave birth to G.D.M. in the back of an ambulance in the parking lot of a hospital. She immediately told medical staff that she neither wanted nor had the means to care for G.D.M. She added that the baby's father was not in the picture, so she wanted to give the baby up for adoption. </w:t>
      </w:r>
    </w:p>
    <w:p w14:paraId="76EDA781" w14:textId="77777777" w:rsidR="00E13167" w:rsidRDefault="00E13167" w:rsidP="00E13167">
      <w:pPr>
        <w:pStyle w:val="NoSpacing"/>
      </w:pPr>
      <w:r w:rsidRPr="00CA4A65">
        <w:t>       </w:t>
      </w:r>
    </w:p>
    <w:p w14:paraId="163FEDA3" w14:textId="77777777" w:rsidR="00E13167" w:rsidRDefault="00E13167" w:rsidP="00E13167">
      <w:pPr>
        <w:pStyle w:val="NoSpacing"/>
      </w:pPr>
      <w:r w:rsidRPr="00CA4A65">
        <w:t xml:space="preserve">The Morgan County Department of Human </w:t>
      </w:r>
      <w:proofErr w:type="gramStart"/>
      <w:r w:rsidRPr="00CA4A65">
        <w:t>Services (</w:t>
      </w:r>
      <w:r>
        <w:t>‘</w:t>
      </w:r>
      <w:r w:rsidRPr="00CA4A65">
        <w:t>MCDHS</w:t>
      </w:r>
      <w:r>
        <w:t>’</w:t>
      </w:r>
      <w:r w:rsidRPr="00CA4A65">
        <w:t>)</w:t>
      </w:r>
      <w:proofErr w:type="gramEnd"/>
      <w:r w:rsidRPr="00CA4A65">
        <w:t xml:space="preserve"> promptly initiated this dependency or </w:t>
      </w:r>
      <w:proofErr w:type="gramStart"/>
      <w:r w:rsidRPr="00CA4A65">
        <w:t>neglect</w:t>
      </w:r>
      <w:proofErr w:type="gramEnd"/>
      <w:r w:rsidRPr="00CA4A65">
        <w:t xml:space="preserve"> proceeding. Treating this case like any other abandonment matter, MCDHS </w:t>
      </w:r>
      <w:proofErr w:type="gramStart"/>
      <w:r w:rsidRPr="00CA4A65">
        <w:t>conducted an investigation</w:t>
      </w:r>
      <w:proofErr w:type="gramEnd"/>
      <w:r w:rsidRPr="00CA4A65">
        <w:t xml:space="preserve"> and, after discovering Birth Mother's identity, undertook </w:t>
      </w:r>
      <w:r>
        <w:t>‘</w:t>
      </w:r>
      <w:r w:rsidRPr="00CA4A65">
        <w:t xml:space="preserve">due </w:t>
      </w:r>
      <w:proofErr w:type="gramStart"/>
      <w:r w:rsidRPr="00CA4A65">
        <w:t>diligence</w:t>
      </w:r>
      <w:r>
        <w:t>’</w:t>
      </w:r>
      <w:proofErr w:type="gramEnd"/>
      <w:r>
        <w:t xml:space="preserve"> </w:t>
      </w:r>
      <w:r w:rsidRPr="00CA4A65">
        <w:t xml:space="preserve">efforts by contacting her family members in search of appropriate placement options. When the juvenile court realized what was occurring, it intervened to </w:t>
      </w:r>
      <w:proofErr w:type="gramStart"/>
      <w:r w:rsidRPr="00CA4A65">
        <w:t>course correct</w:t>
      </w:r>
      <w:proofErr w:type="gramEnd"/>
      <w:r w:rsidRPr="00CA4A65">
        <w:t xml:space="preserve"> by written order. The </w:t>
      </w:r>
      <w:r>
        <w:t xml:space="preserve"> </w:t>
      </w:r>
      <w:r w:rsidRPr="00CA4A65">
        <w:t>court halted MCDHS's efforts, concluding that Birth Mother had a right to anonymity and confidentiality under the Safe Haven Law.</w:t>
      </w:r>
    </w:p>
    <w:p w14:paraId="2D8C3DBD" w14:textId="77777777" w:rsidR="00E13167" w:rsidRDefault="00E13167" w:rsidP="00E13167">
      <w:pPr>
        <w:pStyle w:val="NoSpacing"/>
      </w:pPr>
    </w:p>
    <w:p w14:paraId="782945FC" w14:textId="77777777" w:rsidR="00E13167" w:rsidRDefault="00E13167" w:rsidP="00E13167">
      <w:pPr>
        <w:pStyle w:val="NoSpacing"/>
      </w:pPr>
      <w:r w:rsidRPr="00DC2200">
        <w:t>MCDHS disagreed. It filed a C.A.R. 21 petition asking us to shed light on the question, and we issued an order to show cause. MCDHS contends that the juvenile court went astray in determining that Birth Mother is entitled to anonymity and confidentiality under the Safe Haven Law. As a result, MCDHS asserts, the court improperly blocked its efforts to identify appropriate placement options for G.D.M. among Birth Mother's family members</w:t>
      </w:r>
      <w:r>
        <w:t xml:space="preserve">.” </w:t>
      </w:r>
    </w:p>
    <w:p w14:paraId="626EDBF1" w14:textId="77777777" w:rsidR="00E13167" w:rsidRDefault="00E13167" w:rsidP="00E13167">
      <w:pPr>
        <w:pStyle w:val="NoSpacing"/>
      </w:pPr>
    </w:p>
    <w:p w14:paraId="51F88F15" w14:textId="77777777" w:rsidR="00E13167" w:rsidRDefault="00E13167" w:rsidP="00E13167">
      <w:pPr>
        <w:pStyle w:val="NoSpacing"/>
        <w:rPr>
          <w:b/>
          <w:bCs/>
        </w:rPr>
      </w:pPr>
      <w:r w:rsidRPr="001F38F4">
        <w:rPr>
          <w:b/>
        </w:rPr>
        <w:t xml:space="preserve">COURT HELD: </w:t>
      </w:r>
    </w:p>
    <w:p w14:paraId="4795ECFF" w14:textId="77777777" w:rsidR="00E13167" w:rsidRDefault="00E13167" w:rsidP="00E13167">
      <w:pPr>
        <w:pStyle w:val="NoSpacing"/>
        <w:rPr>
          <w:b/>
          <w:bCs/>
        </w:rPr>
      </w:pPr>
    </w:p>
    <w:p w14:paraId="5DB1E0B4" w14:textId="77777777" w:rsidR="00E13167" w:rsidRDefault="00E13167" w:rsidP="00E13167">
      <w:pPr>
        <w:pStyle w:val="NoSpacing"/>
      </w:pPr>
      <w:r>
        <w:t>“</w:t>
      </w:r>
      <w:r w:rsidRPr="0090196A">
        <w:t xml:space="preserve">Colorado's Safe Haven Law, section 19-3-304.5(1)(b), C.R.S. (2025), affords parents of newborns a vital refuge: It allows them to voluntarily relinquish a child who is seventy-two hours old or younger into the protective hands of either a firefighter (when the firefighter is at a fire station) or certain hospital or clinic staff members (when they are at a hospital or community clinic emergency center), as long as the parent does </w:t>
      </w:r>
      <w:r>
        <w:t>‘</w:t>
      </w:r>
      <w:r w:rsidRPr="0090196A">
        <w:t>not express an intent to return for the child.</w:t>
      </w:r>
      <w:r>
        <w:t>’</w:t>
      </w:r>
      <w:r w:rsidRPr="0090196A">
        <w:t xml:space="preserve"> In extending this lifeline, the legislature also provided an assurance: Any parent who takes advantage of the Safe Haven Law</w:t>
      </w:r>
      <w:r>
        <w:t xml:space="preserve">’ </w:t>
      </w:r>
      <w:r w:rsidRPr="0090196A">
        <w:t>shall not, for that reason alone, be found to be responsible in a confirmed report of abuse or neglect.</w:t>
      </w:r>
      <w:r>
        <w:t>’</w:t>
      </w:r>
      <w:r w:rsidRPr="0090196A">
        <w:t xml:space="preserve"> § 19-3-304.5(8). </w:t>
      </w:r>
    </w:p>
    <w:p w14:paraId="0C065314" w14:textId="77777777" w:rsidR="00E13167" w:rsidRDefault="00E13167" w:rsidP="00E13167">
      <w:pPr>
        <w:pStyle w:val="NoSpacing"/>
      </w:pPr>
    </w:p>
    <w:p w14:paraId="69ADD924" w14:textId="77777777" w:rsidR="00E13167" w:rsidRDefault="00E13167" w:rsidP="00E13167">
      <w:pPr>
        <w:pStyle w:val="NoSpacing"/>
      </w:pPr>
      <w:r>
        <w:t>***</w:t>
      </w:r>
    </w:p>
    <w:p w14:paraId="4D7020BB" w14:textId="77777777" w:rsidR="00E13167" w:rsidRDefault="00E13167" w:rsidP="00E13167">
      <w:pPr>
        <w:pStyle w:val="NoSpacing"/>
      </w:pPr>
      <w:r w:rsidRPr="0082533A">
        <w:t>In short, the statute's broader provisions and the architecture they blueprint signal that the legislature meant to bestow a parent who properly invokes the Safe Haven Law with anonymity and confidentiality.</w:t>
      </w:r>
      <w:r>
        <w:t>”</w:t>
      </w:r>
    </w:p>
    <w:p w14:paraId="61A479ED" w14:textId="77777777" w:rsidR="00E13167" w:rsidRDefault="00E13167" w:rsidP="00E13167">
      <w:pPr>
        <w:pStyle w:val="NoSpacing"/>
      </w:pPr>
    </w:p>
    <w:p w14:paraId="7DE66AAF" w14:textId="77777777" w:rsidR="00E13167" w:rsidRDefault="00E13167" w:rsidP="00E13167">
      <w:pPr>
        <w:pStyle w:val="NoSpacing"/>
        <w:rPr>
          <w:b/>
          <w:bCs/>
        </w:rPr>
      </w:pPr>
      <w:r w:rsidRPr="0082533A">
        <w:rPr>
          <w:b/>
        </w:rPr>
        <w:t xml:space="preserve">Legal lesson learned: </w:t>
      </w:r>
      <w:r>
        <w:rPr>
          <w:b/>
        </w:rPr>
        <w:t xml:space="preserve">Excellent decision; helpful if statutes are explicit that mother can remain anonymous. </w:t>
      </w:r>
    </w:p>
    <w:p w14:paraId="78F8478C" w14:textId="77777777" w:rsidR="00E13167" w:rsidRDefault="00E13167" w:rsidP="00DA3352">
      <w:pPr>
        <w:pStyle w:val="NoSpacing"/>
        <w:rPr>
          <w:rFonts w:ascii="Arial Black" w:hAnsi="Arial Black"/>
          <w:b/>
          <w:sz w:val="24"/>
          <w:szCs w:val="24"/>
        </w:rPr>
      </w:pPr>
    </w:p>
    <w:p w14:paraId="4157AD52" w14:textId="77777777" w:rsidR="00E13167" w:rsidRDefault="00E13167" w:rsidP="00DA3352">
      <w:pPr>
        <w:pStyle w:val="NoSpacing"/>
        <w:rPr>
          <w:rFonts w:ascii="Arial Black" w:hAnsi="Arial Black"/>
          <w:b/>
          <w:sz w:val="24"/>
          <w:szCs w:val="24"/>
        </w:rPr>
      </w:pPr>
    </w:p>
    <w:p w14:paraId="47D237A3" w14:textId="77777777" w:rsidR="00E13167" w:rsidRDefault="00E13167" w:rsidP="00DA3352">
      <w:pPr>
        <w:pStyle w:val="NoSpacing"/>
        <w:rPr>
          <w:rFonts w:ascii="Arial Black" w:hAnsi="Arial Black"/>
          <w:b/>
          <w:sz w:val="24"/>
          <w:szCs w:val="24"/>
        </w:rPr>
      </w:pPr>
    </w:p>
    <w:p w14:paraId="5116A0AD" w14:textId="5BA0EDDE" w:rsidR="0049781A" w:rsidRDefault="009A2956" w:rsidP="00DA3352">
      <w:pPr>
        <w:pStyle w:val="NoSpacing"/>
        <w:rPr>
          <w:rFonts w:ascii="Arial Black" w:hAnsi="Arial Black"/>
          <w:b/>
          <w:sz w:val="24"/>
          <w:szCs w:val="24"/>
        </w:rPr>
      </w:pPr>
      <w:r>
        <w:rPr>
          <w:rFonts w:ascii="Arial Black" w:hAnsi="Arial Black"/>
          <w:b/>
          <w:sz w:val="24"/>
          <w:szCs w:val="24"/>
        </w:rPr>
        <w:t>16-158</w:t>
      </w:r>
    </w:p>
    <w:p w14:paraId="6B0E59AD" w14:textId="77777777" w:rsidR="00F72BA0" w:rsidRDefault="00F72BA0" w:rsidP="00DA3352">
      <w:pPr>
        <w:pStyle w:val="NoSpacing"/>
        <w:rPr>
          <w:rFonts w:ascii="Arial Black" w:hAnsi="Arial Black"/>
          <w:b/>
          <w:sz w:val="24"/>
          <w:szCs w:val="24"/>
        </w:rPr>
      </w:pPr>
    </w:p>
    <w:p w14:paraId="7E9BC879" w14:textId="77777777" w:rsidR="0042436E" w:rsidRPr="00AE5143" w:rsidRDefault="0042436E" w:rsidP="0042436E">
      <w:pPr>
        <w:rPr>
          <w:rFonts w:ascii="Arial Black" w:hAnsi="Arial Black"/>
          <w:b/>
          <w:sz w:val="28"/>
          <w:szCs w:val="28"/>
        </w:rPr>
      </w:pPr>
      <w:r>
        <w:rPr>
          <w:rFonts w:ascii="Arial Black" w:hAnsi="Arial Black"/>
          <w:b/>
          <w:sz w:val="28"/>
          <w:szCs w:val="28"/>
        </w:rPr>
        <w:t>OH: GEORGE FLOYD UNREST / FF “STAND ON THEIR NECK”</w:t>
      </w:r>
    </w:p>
    <w:p w14:paraId="3966D374" w14:textId="77777777" w:rsidR="0042436E" w:rsidRPr="00F86093" w:rsidRDefault="0042436E" w:rsidP="0042436E">
      <w:pPr>
        <w:pStyle w:val="NoSpacing"/>
        <w:rPr>
          <w:bCs/>
        </w:rPr>
      </w:pPr>
      <w:r w:rsidRPr="00321167">
        <w:t xml:space="preserve">On May 28, 2026, in </w:t>
      </w:r>
      <w:r w:rsidRPr="004F629C">
        <w:rPr>
          <w:u w:val="single"/>
        </w:rPr>
        <w:t xml:space="preserve">Robin Garrison v. City of Columbus, </w:t>
      </w:r>
      <w:r w:rsidRPr="00321167">
        <w:rPr>
          <w:u w:val="single"/>
        </w:rPr>
        <w:t>et al.</w:t>
      </w:r>
      <w:r w:rsidRPr="00321167">
        <w:t xml:space="preserve">, </w:t>
      </w:r>
      <w:r>
        <w:t xml:space="preserve">the </w:t>
      </w:r>
      <w:r w:rsidRPr="00737AF0">
        <w:t>Court of Appeals of Ohio, Tenth District</w:t>
      </w:r>
      <w:r>
        <w:t xml:space="preserve"> held (3 to 0) that he was properly fired. During civil unrest in Columbus after George Floyd was killed in Minneapolis, Mr. Garrison was on duty in the Columbus FD Fire Alarm Office and told fellow firefighters (including black female firefighter) on May 31, 2020: “Just stand on their neck and wait until they get there. It will be okay.”  His Lieutenant immediately took him out of the room to “deescalate the situation” and submitted a report and ordered him to </w:t>
      </w:r>
      <w:proofErr w:type="gramStart"/>
      <w:r>
        <w:t>counseling</w:t>
      </w:r>
      <w:proofErr w:type="gramEnd"/>
      <w:r>
        <w:t xml:space="preserve">.  THE COURT WROTE: “Upon review, we conclude that the common pleas court’s reasoning and finding that Garrison violated the City’s rules and anti-harassment policy is sound. Here, there is no dispute that Garrison made the ‘stand on their </w:t>
      </w:r>
      <w:proofErr w:type="gramStart"/>
      <w:r>
        <w:t>neck’</w:t>
      </w:r>
      <w:proofErr w:type="gramEnd"/>
      <w:r>
        <w:t xml:space="preserve"> comment. Even outside the context of the protests, Garrison’s ‘stand on their neck’ comment in a room full of firefighters, one of which is African American, condones abusive or violent behavior. However, we cannot look at the statement in isolation. As aptly contextualized by the common pleas court, Garrison’s comment occurred during a period ‘when protests were breaking out all over the country, including in Columbus, and only days after the murder of George Floyd, an </w:t>
      </w:r>
      <w:proofErr w:type="gramStart"/>
      <w:r>
        <w:t>African-American</w:t>
      </w:r>
      <w:proofErr w:type="gramEnd"/>
      <w:r>
        <w:t xml:space="preserve">, by a Minneapolis police officer who stepped on his neck.’… Garrison explained that he intended the statement to be heard by others as a ‘joke’ to lighten the mood during a tense period. Implicit in Garrison’s testimony is the admission that he wanted the individuals in the FAO to hear the remark. The fact that the comment was not ‘directed’ at any one person is immaterial as the comment was intended for everyone in the FAO, which includes Finnegan, at that time. Therefore, the context of the comment, i.e. during the George Floyd protests, only compounds the abhorrent nature of the remark.” </w:t>
      </w:r>
      <w:hyperlink r:id="rId2612" w:history="1">
        <w:r w:rsidRPr="00F86093">
          <w:rPr>
            <w:rStyle w:val="Hyperlink"/>
          </w:rPr>
          <w:t>https://www.supremecourt.ohio.gov/rod/docs/pdf/10/2026/2026-Ohio-1981.pdf</w:t>
        </w:r>
      </w:hyperlink>
    </w:p>
    <w:p w14:paraId="38CAC89B" w14:textId="77777777" w:rsidR="0042436E" w:rsidRDefault="0042436E" w:rsidP="0042436E">
      <w:pPr>
        <w:pStyle w:val="NoSpacing"/>
      </w:pPr>
      <w:r>
        <w:t xml:space="preserve"> </w:t>
      </w:r>
    </w:p>
    <w:p w14:paraId="567EB661" w14:textId="77777777" w:rsidR="0042436E" w:rsidRDefault="0042436E" w:rsidP="0042436E">
      <w:pPr>
        <w:pStyle w:val="NoSpacing"/>
      </w:pPr>
      <w:r>
        <w:t>THE COURT HELD:</w:t>
      </w:r>
    </w:p>
    <w:p w14:paraId="5627796F" w14:textId="77777777" w:rsidR="0042436E" w:rsidRDefault="0042436E" w:rsidP="0042436E">
      <w:pPr>
        <w:pStyle w:val="NoSpacing"/>
      </w:pPr>
    </w:p>
    <w:p w14:paraId="436A7B21" w14:textId="77777777" w:rsidR="0042436E" w:rsidRDefault="0042436E" w:rsidP="0042436E">
      <w:pPr>
        <w:pStyle w:val="NoSpacing"/>
        <w:ind w:firstLine="720"/>
      </w:pPr>
      <w:r>
        <w:t>“Elizabeth Finnegan, an African American woman, worked with Garrison in</w:t>
      </w:r>
    </w:p>
    <w:p w14:paraId="670278BA" w14:textId="77777777" w:rsidR="0042436E" w:rsidRDefault="0042436E" w:rsidP="0042436E">
      <w:pPr>
        <w:pStyle w:val="NoSpacing"/>
        <w:ind w:left="720"/>
      </w:pPr>
      <w:r>
        <w:t>the FAO on May 31, 2020…. On the date of the incident, Finnegan recalled</w:t>
      </w:r>
    </w:p>
    <w:p w14:paraId="64DE6C4F" w14:textId="77777777" w:rsidR="0042436E" w:rsidRDefault="0042436E" w:rsidP="0042436E">
      <w:pPr>
        <w:pStyle w:val="NoSpacing"/>
        <w:ind w:left="720"/>
      </w:pPr>
      <w:r>
        <w:t xml:space="preserve">there were protests all around Columbus in response to the murder of George Floyd….Finnegan commented that ‘it was hard to believe that in 2020 we were dealing with incidents like that.’ … During the May 31, </w:t>
      </w:r>
      <w:proofErr w:type="gramStart"/>
      <w:r>
        <w:t>2020</w:t>
      </w:r>
      <w:proofErr w:type="gramEnd"/>
      <w:r>
        <w:t xml:space="preserve"> shift, Finnegan was stationed</w:t>
      </w:r>
    </w:p>
    <w:p w14:paraId="43EDEC63" w14:textId="77777777" w:rsidR="0042436E" w:rsidRDefault="0042436E" w:rsidP="0042436E">
      <w:pPr>
        <w:pStyle w:val="NoSpacing"/>
        <w:ind w:left="720"/>
      </w:pPr>
      <w:r>
        <w:t>close to Garrison and recalled that an officer with Engine 15 asked for an estimated time of arrival on a row one and law enforcement….  After Garrison ended the call, he</w:t>
      </w:r>
    </w:p>
    <w:p w14:paraId="19927C11" w14:textId="77777777" w:rsidR="0042436E" w:rsidRPr="007131C1" w:rsidRDefault="0042436E" w:rsidP="0042436E">
      <w:pPr>
        <w:pStyle w:val="NoSpacing"/>
        <w:ind w:firstLine="720"/>
      </w:pPr>
      <w:r>
        <w:t>stated, ‘Just stand on their neck and wait until they get there</w:t>
      </w:r>
      <w:proofErr w:type="gramStart"/>
      <w:r>
        <w:t>.</w:t>
      </w:r>
      <w:proofErr w:type="gramEnd"/>
      <w:r>
        <w:t xml:space="preserve"> It will be okay.’ … </w:t>
      </w:r>
    </w:p>
    <w:p w14:paraId="23AE5372" w14:textId="77777777" w:rsidR="0042436E" w:rsidRDefault="0042436E" w:rsidP="0042436E">
      <w:pPr>
        <w:pStyle w:val="NoSpacing"/>
        <w:ind w:firstLine="720"/>
      </w:pPr>
      <w:r w:rsidRPr="003B0139">
        <w:t>Finnegan was interviewed by internal affairs soon after the incident.</w:t>
      </w:r>
    </w:p>
    <w:p w14:paraId="71C409E3" w14:textId="77777777" w:rsidR="0042436E" w:rsidRDefault="0042436E" w:rsidP="0042436E">
      <w:pPr>
        <w:pStyle w:val="NoSpacing"/>
        <w:ind w:firstLine="720"/>
      </w:pPr>
    </w:p>
    <w:p w14:paraId="08BC42A1" w14:textId="77777777" w:rsidR="0042436E" w:rsidRDefault="0042436E" w:rsidP="0042436E">
      <w:pPr>
        <w:pStyle w:val="NoSpacing"/>
        <w:ind w:firstLine="720"/>
      </w:pPr>
      <w:r>
        <w:t>***</w:t>
      </w:r>
    </w:p>
    <w:p w14:paraId="3954C306" w14:textId="77777777" w:rsidR="0042436E" w:rsidRDefault="0042436E" w:rsidP="0042436E">
      <w:pPr>
        <w:pStyle w:val="NoSpacing"/>
        <w:ind w:left="720"/>
      </w:pPr>
      <w:r>
        <w:t>Keller is a FAO lieutenant for the Columbus Division of Fire…. Keller recalled that Garrison ‘made a statement or a comment referring to standing on someone’s neck.’…  After the statement, Keller removed Garrison from the room to deescalate the situation…. Keller told Garrison that the statement was offensive and unprofessional, which Garrison agreed…. Keller recalled that Garrison later apologized for the comment to the entire room…. Keller gave Garrison a ‘form PI-17’ for counseling to ‘go over the rules, show him the rules that he broke.’… Keller was not involved in the subsequent investigation or decision to discipline Garrison for the incident.”</w:t>
      </w:r>
    </w:p>
    <w:p w14:paraId="03CAA14A" w14:textId="77777777" w:rsidR="0042436E" w:rsidRDefault="0042436E" w:rsidP="0042436E">
      <w:pPr>
        <w:pStyle w:val="NoSpacing"/>
        <w:ind w:left="720"/>
      </w:pPr>
    </w:p>
    <w:p w14:paraId="0F9A3AC6" w14:textId="77777777" w:rsidR="0042436E" w:rsidRDefault="0042436E" w:rsidP="0042436E">
      <w:pPr>
        <w:pStyle w:val="NoSpacing"/>
        <w:rPr>
          <w:b/>
          <w:bCs/>
        </w:rPr>
      </w:pPr>
      <w:r>
        <w:rPr>
          <w:b/>
        </w:rPr>
        <w:t>Legal lesson learned: Court made it clear that comments that can be viewed as “</w:t>
      </w:r>
      <w:r w:rsidRPr="00106A51">
        <w:rPr>
          <w:b/>
        </w:rPr>
        <w:t>abusive or violent behavior</w:t>
      </w:r>
      <w:r>
        <w:rPr>
          <w:b/>
        </w:rPr>
        <w:t xml:space="preserve">” can lead to termination. </w:t>
      </w:r>
    </w:p>
    <w:p w14:paraId="2ACD7BD2" w14:textId="77777777" w:rsidR="0042436E" w:rsidRDefault="0042436E" w:rsidP="0042436E">
      <w:pPr>
        <w:pStyle w:val="NoSpacing"/>
        <w:rPr>
          <w:b/>
          <w:bCs/>
        </w:rPr>
      </w:pPr>
    </w:p>
    <w:p w14:paraId="2814027B" w14:textId="77777777" w:rsidR="0042436E" w:rsidRPr="005C75EE" w:rsidRDefault="0042436E" w:rsidP="0042436E">
      <w:pPr>
        <w:pStyle w:val="NoSpacing"/>
      </w:pPr>
      <w:r>
        <w:rPr>
          <w:b/>
        </w:rPr>
        <w:tab/>
      </w:r>
      <w:r w:rsidRPr="005C75EE">
        <w:t xml:space="preserve">Note: The firefighter had previously been on a “last chance agreement.” </w:t>
      </w:r>
    </w:p>
    <w:p w14:paraId="22AFDE56" w14:textId="77777777" w:rsidR="0042436E" w:rsidRDefault="0042436E" w:rsidP="0042436E">
      <w:pPr>
        <w:pStyle w:val="NoSpacing"/>
        <w:ind w:left="720"/>
      </w:pPr>
    </w:p>
    <w:p w14:paraId="4FF13ED1" w14:textId="77777777" w:rsidR="0042436E" w:rsidRDefault="0042436E" w:rsidP="0042436E">
      <w:pPr>
        <w:pStyle w:val="NoSpacing"/>
        <w:ind w:left="1440"/>
      </w:pPr>
      <w:r>
        <w:t>“On redirect [at Civil Service Commission hearing], [</w:t>
      </w:r>
      <w:r w:rsidRPr="006159CA">
        <w:t>Assistant Chief David</w:t>
      </w:r>
      <w:r>
        <w:t xml:space="preserve">] Baugh stated that he was aware of Garrison’s multiple disciplinary infractions prior to these two incidents…. ‘One was dishonesty regarding where he was </w:t>
      </w:r>
      <w:proofErr w:type="gramStart"/>
      <w:r>
        <w:t>at for</w:t>
      </w:r>
      <w:proofErr w:type="gramEnd"/>
      <w:r>
        <w:t xml:space="preserve"> work, and he served 48-hour suspension. And the other was an incident that involved him exposing himself to a civilian while in uniform. And by exposing himself, I mean exposing his genitals to a civilian while in uniform. And he was offered a last chance agreement for a certain time frame.’ … That last chance agreement had expired by the time of these new cases.</w:t>
      </w:r>
    </w:p>
    <w:p w14:paraId="7503ACE4" w14:textId="77777777" w:rsidR="0042436E" w:rsidRDefault="0042436E" w:rsidP="0042436E">
      <w:pPr>
        <w:pStyle w:val="NoSpacing"/>
        <w:ind w:left="720"/>
      </w:pPr>
    </w:p>
    <w:p w14:paraId="290CA648" w14:textId="77777777" w:rsidR="0042436E" w:rsidRDefault="0042436E" w:rsidP="0042436E">
      <w:pPr>
        <w:pStyle w:val="NoSpacing"/>
      </w:pPr>
    </w:p>
    <w:p w14:paraId="6553F0F2" w14:textId="77777777" w:rsidR="0042436E" w:rsidRDefault="0042436E" w:rsidP="0042436E">
      <w:pPr>
        <w:pStyle w:val="NoSpacing"/>
      </w:pPr>
    </w:p>
    <w:p w14:paraId="5ECE069E" w14:textId="0B94ECC3" w:rsidR="0042436E" w:rsidRDefault="00F72BA0" w:rsidP="0042436E">
      <w:pPr>
        <w:pStyle w:val="NoSpacing"/>
        <w:rPr>
          <w:rFonts w:ascii="Arial Black" w:hAnsi="Arial Black"/>
          <w:b/>
          <w:sz w:val="24"/>
          <w:szCs w:val="24"/>
        </w:rPr>
      </w:pPr>
      <w:r>
        <w:rPr>
          <w:rFonts w:ascii="Arial Black" w:hAnsi="Arial Black"/>
          <w:b/>
          <w:sz w:val="24"/>
          <w:szCs w:val="24"/>
        </w:rPr>
        <w:t>16-157</w:t>
      </w:r>
    </w:p>
    <w:p w14:paraId="53E0766E" w14:textId="77777777" w:rsidR="00F72BA0" w:rsidRDefault="00F72BA0" w:rsidP="0042436E">
      <w:pPr>
        <w:pStyle w:val="NoSpacing"/>
        <w:rPr>
          <w:rFonts w:ascii="Arial Black" w:hAnsi="Arial Black"/>
          <w:b/>
          <w:bCs/>
          <w:sz w:val="28"/>
          <w:szCs w:val="28"/>
        </w:rPr>
      </w:pPr>
    </w:p>
    <w:p w14:paraId="20E0CABE" w14:textId="77777777" w:rsidR="0042436E" w:rsidRDefault="0042436E" w:rsidP="0042436E">
      <w:pPr>
        <w:pStyle w:val="NoSpacing"/>
        <w:rPr>
          <w:rFonts w:ascii="Arial Black" w:hAnsi="Arial Black"/>
          <w:b/>
          <w:bCs/>
          <w:sz w:val="28"/>
          <w:szCs w:val="28"/>
        </w:rPr>
      </w:pPr>
      <w:r>
        <w:rPr>
          <w:rFonts w:ascii="Arial Black" w:hAnsi="Arial Black"/>
          <w:b/>
          <w:sz w:val="28"/>
          <w:szCs w:val="28"/>
        </w:rPr>
        <w:t>CA: ABSENCE WITHOUT LEAVE – FIRED – CASE DISMISSED</w:t>
      </w:r>
    </w:p>
    <w:p w14:paraId="6ACEB1B7" w14:textId="77777777" w:rsidR="0042436E" w:rsidRDefault="0042436E" w:rsidP="0042436E">
      <w:pPr>
        <w:pStyle w:val="NoSpacing"/>
        <w:rPr>
          <w:rFonts w:ascii="Arial Black" w:hAnsi="Arial Black"/>
          <w:b/>
          <w:bCs/>
          <w:sz w:val="28"/>
          <w:szCs w:val="28"/>
        </w:rPr>
      </w:pPr>
    </w:p>
    <w:p w14:paraId="16849964" w14:textId="77777777" w:rsidR="0042436E" w:rsidRPr="00530300" w:rsidRDefault="0042436E" w:rsidP="0042436E">
      <w:pPr>
        <w:pStyle w:val="NoSpacing"/>
      </w:pPr>
      <w:r w:rsidRPr="00864ACD">
        <w:t xml:space="preserve">On May 22, 2026, </w:t>
      </w:r>
      <w:r>
        <w:t xml:space="preserve">in </w:t>
      </w:r>
      <w:r w:rsidRPr="00864ACD">
        <w:rPr>
          <w:u w:val="single"/>
        </w:rPr>
        <w:t>Jason Casillas v. Department of Forestry and Fire Protection</w:t>
      </w:r>
      <w:r>
        <w:t xml:space="preserve">, U.S. District Court Judge </w:t>
      </w:r>
      <w:r w:rsidRPr="00440BB8">
        <w:t>Benjamin J. Cheeks</w:t>
      </w:r>
      <w:r>
        <w:t xml:space="preserve">, United States District Court for Southern District of California, grated Cal Fire’s motion to dismiss.  Absent without </w:t>
      </w:r>
      <w:proofErr w:type="gramStart"/>
      <w:r>
        <w:t>leave</w:t>
      </w:r>
      <w:proofErr w:type="gramEnd"/>
      <w:r>
        <w:t xml:space="preserve"> CAL FIRE Sandiego on </w:t>
      </w:r>
      <w:r w:rsidRPr="00940156">
        <w:t>September 1, 2024</w:t>
      </w:r>
      <w:r>
        <w:t xml:space="preserve">, and again on </w:t>
      </w:r>
      <w:r w:rsidRPr="00940156">
        <w:t>September 18, 2024</w:t>
      </w:r>
      <w:r>
        <w:t>; terminated on September 28, 2024.  THE COURT WROTE: “O</w:t>
      </w:r>
      <w:r w:rsidRPr="006425C2">
        <w:t>n September 28, 2024, Battalion Chief Clays (</w:t>
      </w:r>
      <w:r>
        <w:t>‘</w:t>
      </w:r>
      <w:r w:rsidRPr="006425C2">
        <w:t>Clays</w:t>
      </w:r>
      <w:r>
        <w:t>’</w:t>
      </w:r>
      <w:r w:rsidRPr="006425C2">
        <w:t>) served Plaintiff with two separate adverse action documents. The first was a Notice of Termination with Cause, and the second placed Plaintiff on Administrative Time Off</w:t>
      </w:r>
      <w:r>
        <w:t xml:space="preserve">…. </w:t>
      </w:r>
      <w:r w:rsidRPr="006425C2">
        <w:t>Plaintiff argues that the documentation violated CAL FIRE's Progressive Disciplinary Policy and Procedures because he did not receive a development plan to correct any mistakes before he received the Notice of Termination with Cause</w:t>
      </w:r>
      <w:r>
        <w:t xml:space="preserve">…. </w:t>
      </w:r>
      <w:r w:rsidRPr="00072792">
        <w:t>Accordingly, the Court finds that the Complaint fails to state a plausible claim for relief and grants Defendant's motion to dismiss without prejudice.</w:t>
      </w:r>
      <w:r>
        <w:t xml:space="preserve">” </w:t>
      </w:r>
      <w:hyperlink r:id="rId2613" w:history="1">
        <w:r w:rsidRPr="00530300">
          <w:rPr>
            <w:rStyle w:val="Hyperlink"/>
          </w:rPr>
          <w:t>https://public.fastcase.com/Jhe1Qn%2BmJndQYQU6z%2FeNm3FkCM2jWCAdlM1JWFE9c8I4cu8UE8nnROw9g8pQru3qX50wM6VA5Q6C6W7bTimjewt8baK5LV89G9hOJ3Hoqaw%3D?utm_medium=email&amp;_hsenc=p2ANqtz-_BuWF_rVxZJ_ThXodME56Qn02TlxXtEPZR0pM596-W86IiSz4xrEN_MpysqbI906jQkVOKXR9ddhRRIzUH7APhy4Ve8A&amp;_hsmi=226712652&amp;utm_content=226712652&amp;utm_source=hs_email</w:t>
        </w:r>
      </w:hyperlink>
      <w:r w:rsidRPr="00530300">
        <w:t xml:space="preserve"> </w:t>
      </w:r>
    </w:p>
    <w:p w14:paraId="77FD57FB" w14:textId="77777777" w:rsidR="0042436E" w:rsidRPr="00530300" w:rsidRDefault="0042436E" w:rsidP="0042436E">
      <w:pPr>
        <w:pStyle w:val="NoSpacing"/>
      </w:pPr>
      <w:r w:rsidRPr="00530300">
        <w:t xml:space="preserve"> </w:t>
      </w:r>
    </w:p>
    <w:p w14:paraId="4D254366" w14:textId="77777777" w:rsidR="0042436E" w:rsidRDefault="0042436E" w:rsidP="0042436E">
      <w:pPr>
        <w:pStyle w:val="NoSpacing"/>
      </w:pPr>
      <w:r>
        <w:t>THE COURT HELD:</w:t>
      </w:r>
    </w:p>
    <w:p w14:paraId="29978CC7" w14:textId="77777777" w:rsidR="0042436E" w:rsidRDefault="0042436E" w:rsidP="0042436E">
      <w:pPr>
        <w:pStyle w:val="NoSpacing"/>
      </w:pPr>
    </w:p>
    <w:p w14:paraId="36007746" w14:textId="77777777" w:rsidR="0042436E" w:rsidRPr="00940156" w:rsidRDefault="0042436E" w:rsidP="0042436E">
      <w:pPr>
        <w:pStyle w:val="NoSpacing"/>
        <w:ind w:left="720"/>
      </w:pPr>
      <w:r>
        <w:t>“</w:t>
      </w:r>
      <w:r w:rsidRPr="00940156">
        <w:t>Plaintiff claims that on August 31, 2024, he told Fire Captain Haven (</w:t>
      </w:r>
      <w:r>
        <w:t>‘</w:t>
      </w:r>
      <w:r w:rsidRPr="00940156">
        <w:t>Haven</w:t>
      </w:r>
      <w:r>
        <w:t>’</w:t>
      </w:r>
      <w:r w:rsidRPr="00940156">
        <w:t>) that he would not be coming to work on September 1, 2024</w:t>
      </w:r>
      <w:r>
        <w:t xml:space="preserve">…. </w:t>
      </w:r>
      <w:r w:rsidRPr="00940156">
        <w:t xml:space="preserve">On September 1, 2024, Plaintiff asserts that he told </w:t>
      </w:r>
      <w:r>
        <w:t xml:space="preserve">[Fire Captain] </w:t>
      </w:r>
      <w:proofErr w:type="spellStart"/>
      <w:r w:rsidRPr="00940156">
        <w:t>Woychak</w:t>
      </w:r>
      <w:proofErr w:type="spellEnd"/>
      <w:r w:rsidRPr="00940156">
        <w:t xml:space="preserve"> that he had given Haven notice that he would not be working that day. Yet, on September 15, 2024, </w:t>
      </w:r>
      <w:proofErr w:type="spellStart"/>
      <w:r w:rsidRPr="00940156">
        <w:t>Woychak</w:t>
      </w:r>
      <w:proofErr w:type="spellEnd"/>
      <w:r w:rsidRPr="00940156">
        <w:t xml:space="preserve"> told Plaintiff that he would be documented as </w:t>
      </w:r>
      <w:r>
        <w:t>‘</w:t>
      </w:r>
      <w:r w:rsidRPr="00940156">
        <w:t>absent without leave</w:t>
      </w:r>
      <w:r>
        <w:t>’</w:t>
      </w:r>
      <w:r w:rsidRPr="00940156">
        <w:t xml:space="preserve"> for the September 1, 2024, shift</w:t>
      </w:r>
      <w:r>
        <w:t>….</w:t>
      </w:r>
      <w:r w:rsidRPr="00940156">
        <w:t xml:space="preserve"> </w:t>
      </w:r>
    </w:p>
    <w:p w14:paraId="4AEC8F1F" w14:textId="77777777" w:rsidR="0042436E" w:rsidRDefault="0042436E" w:rsidP="0042436E">
      <w:pPr>
        <w:pStyle w:val="NoSpacing"/>
      </w:pPr>
      <w:r w:rsidRPr="00940156">
        <w:t>         </w:t>
      </w:r>
    </w:p>
    <w:p w14:paraId="703B782B" w14:textId="77777777" w:rsidR="0042436E" w:rsidRDefault="0042436E" w:rsidP="0042436E">
      <w:pPr>
        <w:pStyle w:val="NoSpacing"/>
        <w:ind w:left="720"/>
      </w:pPr>
      <w:r w:rsidRPr="00940156">
        <w:t>On September 18, 2024, Plaintiff informed firefighter Vincent Media that he was leaving work because of an emergency involving his spouse</w:t>
      </w:r>
      <w:r>
        <w:t xml:space="preserve">…. </w:t>
      </w:r>
      <w:r w:rsidRPr="00940156">
        <w:t xml:space="preserve">Later that day, Plaintiff claims he spoke to Division Chief </w:t>
      </w:r>
      <w:proofErr w:type="gramStart"/>
      <w:r w:rsidRPr="00940156">
        <w:t>Reynolds (</w:t>
      </w:r>
      <w:r>
        <w:t>‘</w:t>
      </w:r>
      <w:r w:rsidRPr="00940156">
        <w:t>Reynolds</w:t>
      </w:r>
      <w:r>
        <w:t>’</w:t>
      </w:r>
      <w:r w:rsidRPr="00940156">
        <w:t>)</w:t>
      </w:r>
      <w:proofErr w:type="gramEnd"/>
      <w:r w:rsidRPr="00940156">
        <w:t xml:space="preserve">, who told </w:t>
      </w:r>
      <w:proofErr w:type="gramStart"/>
      <w:r w:rsidRPr="00940156">
        <w:t xml:space="preserve">Plaintiff </w:t>
      </w:r>
      <w:r>
        <w:t>‘</w:t>
      </w:r>
      <w:r w:rsidRPr="00940156">
        <w:t>[</w:t>
      </w:r>
      <w:proofErr w:type="gramEnd"/>
      <w:r w:rsidRPr="00940156">
        <w:t>n]</w:t>
      </w:r>
      <w:proofErr w:type="spellStart"/>
      <w:r w:rsidRPr="00940156">
        <w:t>ext</w:t>
      </w:r>
      <w:proofErr w:type="spellEnd"/>
      <w:r w:rsidRPr="00940156">
        <w:t xml:space="preserve"> time, please let a supervisor know, and if there is anything that you need, let us know.</w:t>
      </w:r>
      <w:r>
        <w:t>’ …</w:t>
      </w:r>
      <w:r w:rsidRPr="00940156">
        <w:t xml:space="preserve">According to Plaintiff, Reynolds knew that Plaintiff had been on FMLA leave, yet Plaintiff claims that this critical information was never documented in the Notice of Termination with Cause. </w:t>
      </w:r>
    </w:p>
    <w:p w14:paraId="347DF6A5" w14:textId="77777777" w:rsidR="0042436E" w:rsidRDefault="0042436E" w:rsidP="0042436E">
      <w:pPr>
        <w:pStyle w:val="NoSpacing"/>
        <w:ind w:left="720"/>
      </w:pPr>
    </w:p>
    <w:p w14:paraId="5F6BD681" w14:textId="77777777" w:rsidR="0042436E" w:rsidRDefault="0042436E" w:rsidP="0042436E">
      <w:pPr>
        <w:pStyle w:val="NoSpacing"/>
        <w:ind w:left="720"/>
      </w:pPr>
      <w:r>
        <w:t>***</w:t>
      </w:r>
    </w:p>
    <w:p w14:paraId="47110667" w14:textId="77777777" w:rsidR="0042436E" w:rsidRDefault="0042436E" w:rsidP="0042436E">
      <w:pPr>
        <w:pStyle w:val="NoSpacing"/>
        <w:ind w:left="720"/>
      </w:pPr>
      <w:r w:rsidRPr="004A01EE">
        <w:t xml:space="preserve">Despite being advised in the Complaint for Employment Discrimination to </w:t>
      </w:r>
      <w:r>
        <w:t>‘</w:t>
      </w:r>
      <w:r w:rsidRPr="004A01EE">
        <w:t>write a short and plain statement of the claim</w:t>
      </w:r>
      <w:r>
        <w:t>’</w:t>
      </w:r>
      <w:r w:rsidRPr="004A01EE">
        <w:t xml:space="preserve"> in which he should “state how each defendant was involved and what each defendant did” that violated his rights, Plaintiff's claims do not meet this standard. In the first claim alone, Plaintiff lists 39 separate laws or common law rights he claims have been violated, including the Firefighters Procedural Bill of Rights Act, California Evidence Code § 210, Violation of Weingarten Rights, among numerous others</w:t>
      </w:r>
      <w:r>
        <w:t xml:space="preserve">…. </w:t>
      </w:r>
      <w:r w:rsidRPr="004A01EE">
        <w:t xml:space="preserve">He then lists Defendant CAL FIRE and Battalion Chief J. Clays as the defendants who purportedly violated his rights, but he does not connect the conduct of CAL FIRE or Clays to the asserted legal protections in the statement of facts. As a result, Plaintiff has not sufficiently alleged a cause of action against either of them. Claims two through six </w:t>
      </w:r>
      <w:proofErr w:type="gramStart"/>
      <w:r w:rsidRPr="004A01EE">
        <w:t>fare</w:t>
      </w:r>
      <w:proofErr w:type="gramEnd"/>
      <w:r w:rsidRPr="004A01EE">
        <w:t xml:space="preserve"> no better. While the Court is required to liberally construe Plaintiff's claims, it cannot provide the elements of a cause of action for him in the Complaint.</w:t>
      </w:r>
      <w:r>
        <w:t>”</w:t>
      </w:r>
    </w:p>
    <w:p w14:paraId="732F7AB3" w14:textId="77777777" w:rsidR="0042436E" w:rsidRDefault="0042436E" w:rsidP="0042436E">
      <w:pPr>
        <w:pStyle w:val="NoSpacing"/>
        <w:ind w:left="720"/>
      </w:pPr>
    </w:p>
    <w:p w14:paraId="7F832AB2" w14:textId="77777777" w:rsidR="0042436E" w:rsidRPr="004A01EE" w:rsidRDefault="0042436E" w:rsidP="0042436E">
      <w:pPr>
        <w:pStyle w:val="NoSpacing"/>
        <w:rPr>
          <w:b/>
          <w:bCs/>
        </w:rPr>
      </w:pPr>
      <w:r>
        <w:rPr>
          <w:b/>
        </w:rPr>
        <w:t xml:space="preserve">Legal lesson learned: Absence without leave can result in termination; it is a serious offense. </w:t>
      </w:r>
    </w:p>
    <w:p w14:paraId="6609F0AA" w14:textId="77777777" w:rsidR="0042436E" w:rsidRDefault="0042436E" w:rsidP="0042436E">
      <w:pPr>
        <w:pStyle w:val="NoSpacing"/>
      </w:pPr>
    </w:p>
    <w:p w14:paraId="7A480B4D" w14:textId="77777777" w:rsidR="0049781A" w:rsidRDefault="0049781A" w:rsidP="00DA3352">
      <w:pPr>
        <w:pStyle w:val="NoSpacing"/>
        <w:rPr>
          <w:rFonts w:ascii="Arial Black" w:hAnsi="Arial Black"/>
          <w:b/>
          <w:sz w:val="24"/>
          <w:szCs w:val="24"/>
        </w:rPr>
      </w:pPr>
    </w:p>
    <w:p w14:paraId="7FE14CD0" w14:textId="77777777" w:rsidR="0049781A" w:rsidRDefault="0049781A" w:rsidP="00DA3352">
      <w:pPr>
        <w:pStyle w:val="NoSpacing"/>
        <w:rPr>
          <w:rFonts w:ascii="Arial Black" w:hAnsi="Arial Black"/>
          <w:b/>
          <w:sz w:val="24"/>
          <w:szCs w:val="24"/>
        </w:rPr>
      </w:pPr>
    </w:p>
    <w:p w14:paraId="6D471EE3" w14:textId="38E68DF9" w:rsidR="007265BA" w:rsidRDefault="007265BA" w:rsidP="00DA3352">
      <w:pPr>
        <w:pStyle w:val="NoSpacing"/>
        <w:rPr>
          <w:rFonts w:ascii="Arial Black" w:hAnsi="Arial Black"/>
          <w:b/>
          <w:sz w:val="24"/>
          <w:szCs w:val="24"/>
        </w:rPr>
      </w:pPr>
      <w:r>
        <w:rPr>
          <w:rFonts w:ascii="Arial Black" w:hAnsi="Arial Black"/>
          <w:b/>
          <w:sz w:val="24"/>
          <w:szCs w:val="24"/>
        </w:rPr>
        <w:t>16-156 [also filed, Chap. 8, Racial Discri</w:t>
      </w:r>
      <w:r w:rsidR="00EB490D">
        <w:rPr>
          <w:rFonts w:ascii="Arial Black" w:hAnsi="Arial Black"/>
          <w:b/>
          <w:sz w:val="24"/>
          <w:szCs w:val="24"/>
        </w:rPr>
        <w:t>mination]</w:t>
      </w:r>
    </w:p>
    <w:p w14:paraId="0056A9A9" w14:textId="77777777" w:rsidR="007265BA" w:rsidRDefault="007265BA" w:rsidP="00DA3352">
      <w:pPr>
        <w:pStyle w:val="NoSpacing"/>
        <w:rPr>
          <w:rFonts w:ascii="Arial Black" w:hAnsi="Arial Black"/>
          <w:b/>
          <w:sz w:val="24"/>
          <w:szCs w:val="24"/>
        </w:rPr>
      </w:pPr>
    </w:p>
    <w:p w14:paraId="1656A95A" w14:textId="77777777" w:rsidR="007265BA" w:rsidRPr="00DA19ED" w:rsidRDefault="007265BA" w:rsidP="007265BA">
      <w:pPr>
        <w:rPr>
          <w:rFonts w:ascii="Arial Black" w:hAnsi="Arial Black"/>
          <w:b/>
          <w:sz w:val="28"/>
          <w:szCs w:val="28"/>
        </w:rPr>
      </w:pPr>
      <w:r>
        <w:rPr>
          <w:rFonts w:ascii="Arial Black" w:hAnsi="Arial Black"/>
          <w:b/>
          <w:sz w:val="28"/>
          <w:szCs w:val="28"/>
        </w:rPr>
        <w:t xml:space="preserve">VA: BLACK FF – FIRED – THREATS VIOLENCE IN STATION </w:t>
      </w:r>
    </w:p>
    <w:p w14:paraId="15AB9014" w14:textId="77777777" w:rsidR="007265BA" w:rsidRDefault="007265BA" w:rsidP="007265BA">
      <w:pPr>
        <w:pStyle w:val="NoSpacing"/>
        <w:rPr>
          <w:b/>
        </w:rPr>
      </w:pPr>
      <w:r>
        <w:t xml:space="preserve">On May 19, 2026, in </w:t>
      </w:r>
      <w:r w:rsidRPr="00AD6041">
        <w:rPr>
          <w:u w:val="single"/>
        </w:rPr>
        <w:t>Brian Younger v. City of Lynchburg</w:t>
      </w:r>
      <w:r>
        <w:t xml:space="preserve">, U.S. District Court Judge Norman K. Moon, United States District Court for the Western District of Virginia, </w:t>
      </w:r>
      <w:r w:rsidRPr="00D12863">
        <w:t>Lynchburg Division</w:t>
      </w:r>
      <w:r>
        <w:t xml:space="preserve">, granted the City’s motion for summary judgment.  The firefighter was fired on June 4, </w:t>
      </w:r>
      <w:proofErr w:type="gramStart"/>
      <w:r>
        <w:t>2024</w:t>
      </w:r>
      <w:proofErr w:type="gramEnd"/>
      <w:r>
        <w:t xml:space="preserve"> after an incident on July 16, </w:t>
      </w:r>
      <w:proofErr w:type="gramStart"/>
      <w:r>
        <w:t>2024</w:t>
      </w:r>
      <w:proofErr w:type="gramEnd"/>
      <w:r>
        <w:t xml:space="preserve"> where he asked a white firefighter. At start of morning shift, to move his personal items to another bunkbed, and Younger became upset it was not done immediately.  THE COURT WROTE:  “Younger complains that he was treated differently from his White co-workers. Younger, however, does not establish sufficient similarity between what he did on July 16, 2022, and what his White co-workers did. Specifically, several fellow firefighters were recorded using racial slurs off-duty and those firefighters were not disciplined by the LFD. In contrast, though, Younger used racialized and threatening language against a co-worker in the fire station.” </w:t>
      </w:r>
      <w:hyperlink r:id="rId2614" w:history="1">
        <w:r w:rsidRPr="00D00712">
          <w:rPr>
            <w:rStyle w:val="Hyperlink"/>
            <w:b/>
          </w:rPr>
          <w:t>https://cases.justia.com/federal/district-courts/virginia/vawdce/6:2024cv00051/132979/41/0.pdf?ts=1779390167</w:t>
        </w:r>
      </w:hyperlink>
      <w:r>
        <w:rPr>
          <w:b/>
        </w:rPr>
        <w:t xml:space="preserve"> </w:t>
      </w:r>
    </w:p>
    <w:p w14:paraId="71C31373" w14:textId="77777777" w:rsidR="007265BA" w:rsidRDefault="007265BA" w:rsidP="007265BA">
      <w:pPr>
        <w:pStyle w:val="NoSpacing"/>
        <w:rPr>
          <w:bCs/>
        </w:rPr>
      </w:pPr>
    </w:p>
    <w:p w14:paraId="63CE07DB" w14:textId="77777777" w:rsidR="007265BA" w:rsidRDefault="007265BA" w:rsidP="007265BA">
      <w:pPr>
        <w:pStyle w:val="NoSpacing"/>
        <w:rPr>
          <w:bCs/>
        </w:rPr>
      </w:pPr>
      <w:r>
        <w:t>THE COURT HELD:</w:t>
      </w:r>
    </w:p>
    <w:p w14:paraId="721037BE" w14:textId="77777777" w:rsidR="007265BA" w:rsidRDefault="007265BA" w:rsidP="007265BA">
      <w:pPr>
        <w:pStyle w:val="NoSpacing"/>
        <w:rPr>
          <w:bCs/>
        </w:rPr>
      </w:pPr>
    </w:p>
    <w:p w14:paraId="73377665" w14:textId="77777777" w:rsidR="007265BA" w:rsidRDefault="007265BA" w:rsidP="007265BA">
      <w:pPr>
        <w:pStyle w:val="NoSpacing"/>
        <w:ind w:left="720"/>
      </w:pPr>
      <w:r>
        <w:t xml:space="preserve">“The </w:t>
      </w:r>
      <w:proofErr w:type="gramStart"/>
      <w:r>
        <w:t>City</w:t>
      </w:r>
      <w:proofErr w:type="gramEnd"/>
      <w:r>
        <w:t xml:space="preserve"> claims it terminated Younger because of events that occurred on the morning of July 16, 2022. During the early morning shift change at LFD Station 5, Younger entered the station bedroom to place his belongings on a bunkbed. However, upon his arrival, he discovered that Firefighter Brennen Lawson, who had worked the previous shift, had already placed his items on the bed Younger intended to use….Younger found Lawson and asked him to move his belongings…. Lawson agreed but did not move his</w:t>
      </w:r>
    </w:p>
    <w:p w14:paraId="31C602FE" w14:textId="77777777" w:rsidR="007265BA" w:rsidRDefault="007265BA" w:rsidP="007265BA">
      <w:pPr>
        <w:pStyle w:val="NoSpacing"/>
        <w:ind w:firstLine="720"/>
      </w:pPr>
      <w:r>
        <w:t xml:space="preserve">belongings as promptly as Younger expected. </w:t>
      </w:r>
    </w:p>
    <w:p w14:paraId="146D9F52" w14:textId="77777777" w:rsidR="007265BA" w:rsidRDefault="007265BA" w:rsidP="007265BA">
      <w:pPr>
        <w:pStyle w:val="NoSpacing"/>
      </w:pPr>
    </w:p>
    <w:p w14:paraId="4C85C67C" w14:textId="77777777" w:rsidR="007265BA" w:rsidRDefault="007265BA" w:rsidP="007265BA">
      <w:pPr>
        <w:pStyle w:val="NoSpacing"/>
        <w:ind w:firstLine="720"/>
      </w:pPr>
      <w:r>
        <w:t>Although accounts differ as to whether either party made threatening movements towards</w:t>
      </w:r>
    </w:p>
    <w:p w14:paraId="431C57A4" w14:textId="77777777" w:rsidR="007265BA" w:rsidRDefault="007265BA" w:rsidP="007265BA">
      <w:pPr>
        <w:pStyle w:val="NoSpacing"/>
        <w:ind w:left="720"/>
      </w:pPr>
      <w:r>
        <w:t>the other during the exchange, neither party disputes that Younger made several comments directed at Lawson, who is a White male, including that: (</w:t>
      </w:r>
      <w:proofErr w:type="spellStart"/>
      <w:r>
        <w:t>i</w:t>
      </w:r>
      <w:proofErr w:type="spellEnd"/>
      <w:r>
        <w:t xml:space="preserve">) Lawson was ‘a racist scumbag that couldn’t keep his wife happy’; (ii) that Lawson had ‘pushed’ his wife ‘right into the embrace of another Black man’; (iii) that his wife was ‘in California’ ‘loving that black dick she was taking out West’; (iv) that Younger did not know why ‘y’all racists keep dating and marrying women who aren’t racists’; (v) that if Lawson came towards him he would ‘fuck you all up out here’; and (iv) that Lawson better ‘stay away from [Younger] or else.’” </w:t>
      </w:r>
    </w:p>
    <w:p w14:paraId="315B0B31" w14:textId="77777777" w:rsidR="007265BA" w:rsidRDefault="007265BA" w:rsidP="007265BA">
      <w:pPr>
        <w:pStyle w:val="NoSpacing"/>
        <w:ind w:left="720"/>
      </w:pPr>
    </w:p>
    <w:p w14:paraId="0CC91DC3" w14:textId="77777777" w:rsidR="007265BA" w:rsidRDefault="007265BA" w:rsidP="007265BA">
      <w:pPr>
        <w:pStyle w:val="NoSpacing"/>
        <w:rPr>
          <w:b/>
          <w:bCs/>
        </w:rPr>
      </w:pPr>
      <w:r>
        <w:rPr>
          <w:b/>
        </w:rPr>
        <w:t xml:space="preserve">Legal lesson learned: Threats of violence cannot be tolerated, without regard to the race of the offender.  </w:t>
      </w:r>
    </w:p>
    <w:p w14:paraId="1A8775D8" w14:textId="77777777" w:rsidR="007265BA" w:rsidRDefault="007265BA" w:rsidP="007265BA">
      <w:pPr>
        <w:rPr>
          <w:rFonts w:ascii="Arial Black" w:hAnsi="Arial Black"/>
          <w:b/>
          <w:sz w:val="24"/>
          <w:szCs w:val="24"/>
        </w:rPr>
      </w:pPr>
    </w:p>
    <w:p w14:paraId="59C09531" w14:textId="77777777" w:rsidR="007265BA" w:rsidRDefault="007265BA" w:rsidP="007265BA">
      <w:pPr>
        <w:rPr>
          <w:rFonts w:ascii="Arial Black" w:hAnsi="Arial Black"/>
          <w:b/>
          <w:sz w:val="24"/>
          <w:szCs w:val="24"/>
        </w:rPr>
      </w:pPr>
    </w:p>
    <w:p w14:paraId="72CBFA85" w14:textId="77777777" w:rsidR="007265BA" w:rsidRDefault="007265BA" w:rsidP="00DA3352">
      <w:pPr>
        <w:pStyle w:val="NoSpacing"/>
        <w:rPr>
          <w:rFonts w:ascii="Arial Black" w:hAnsi="Arial Black"/>
          <w:b/>
          <w:sz w:val="24"/>
          <w:szCs w:val="24"/>
        </w:rPr>
      </w:pPr>
    </w:p>
    <w:p w14:paraId="229C38CE" w14:textId="77777777" w:rsidR="007265BA" w:rsidRDefault="007265BA" w:rsidP="00DA3352">
      <w:pPr>
        <w:pStyle w:val="NoSpacing"/>
        <w:rPr>
          <w:rFonts w:ascii="Arial Black" w:hAnsi="Arial Black"/>
          <w:b/>
          <w:sz w:val="24"/>
          <w:szCs w:val="24"/>
        </w:rPr>
      </w:pPr>
    </w:p>
    <w:p w14:paraId="3B67F2EF" w14:textId="77777777" w:rsidR="007265BA" w:rsidRDefault="007265BA" w:rsidP="00DA3352">
      <w:pPr>
        <w:pStyle w:val="NoSpacing"/>
        <w:rPr>
          <w:rFonts w:ascii="Arial Black" w:hAnsi="Arial Black"/>
          <w:b/>
          <w:sz w:val="24"/>
          <w:szCs w:val="24"/>
        </w:rPr>
      </w:pPr>
    </w:p>
    <w:p w14:paraId="4B0F1F23" w14:textId="5E3BE909" w:rsidR="00DA3352" w:rsidRDefault="00DA3352" w:rsidP="00DA3352">
      <w:pPr>
        <w:pStyle w:val="NoSpacing"/>
        <w:rPr>
          <w:rFonts w:ascii="Arial Black" w:hAnsi="Arial Black"/>
          <w:b/>
          <w:sz w:val="24"/>
          <w:szCs w:val="24"/>
        </w:rPr>
      </w:pPr>
      <w:r>
        <w:rPr>
          <w:rFonts w:ascii="Arial Black" w:hAnsi="Arial Black"/>
          <w:b/>
          <w:sz w:val="24"/>
          <w:szCs w:val="24"/>
        </w:rPr>
        <w:t>16-155</w:t>
      </w:r>
    </w:p>
    <w:p w14:paraId="5B5B81C1" w14:textId="77777777" w:rsidR="00E11253" w:rsidRDefault="00E11253" w:rsidP="002F7727">
      <w:pPr>
        <w:pStyle w:val="NoSpacing"/>
        <w:rPr>
          <w:rFonts w:ascii="Arial Black" w:hAnsi="Arial Black"/>
          <w:b/>
          <w:sz w:val="24"/>
          <w:szCs w:val="24"/>
        </w:rPr>
      </w:pPr>
    </w:p>
    <w:p w14:paraId="15E6990D" w14:textId="77777777" w:rsidR="00F838A9" w:rsidRPr="00E67138" w:rsidRDefault="00F838A9" w:rsidP="00F838A9">
      <w:pPr>
        <w:pStyle w:val="NoSpacing"/>
        <w:rPr>
          <w:rFonts w:ascii="Arial Black" w:hAnsi="Arial Black"/>
          <w:b/>
          <w:sz w:val="28"/>
          <w:szCs w:val="28"/>
        </w:rPr>
      </w:pPr>
      <w:r>
        <w:rPr>
          <w:rFonts w:ascii="Arial Black" w:hAnsi="Arial Black"/>
          <w:b/>
          <w:sz w:val="28"/>
          <w:szCs w:val="28"/>
        </w:rPr>
        <w:t>LA: 48-HR DISCIPLINE SET ASIDE – NO BILL RIGHTS NOTICE</w:t>
      </w:r>
    </w:p>
    <w:p w14:paraId="4A8A3F05" w14:textId="77777777" w:rsidR="00F838A9" w:rsidRDefault="00F838A9" w:rsidP="00F838A9">
      <w:pPr>
        <w:pStyle w:val="NoSpacing"/>
        <w:rPr>
          <w:b/>
        </w:rPr>
      </w:pPr>
    </w:p>
    <w:p w14:paraId="34A07E9B" w14:textId="77777777" w:rsidR="00F838A9" w:rsidRDefault="00F838A9" w:rsidP="00F838A9">
      <w:pPr>
        <w:pStyle w:val="NoSpacing"/>
        <w:rPr>
          <w:bCs/>
        </w:rPr>
      </w:pPr>
      <w:r>
        <w:t xml:space="preserve">On April 29, 2026, in </w:t>
      </w:r>
      <w:r w:rsidRPr="000B1335">
        <w:rPr>
          <w:u w:val="single"/>
        </w:rPr>
        <w:t>Donald Adams v. New Orleans Fire Department</w:t>
      </w:r>
      <w:r>
        <w:t xml:space="preserve">, the </w:t>
      </w:r>
      <w:r w:rsidRPr="000B1335">
        <w:t>Court of Appeals of Louisiana, Fourth Circuit</w:t>
      </w:r>
      <w:r>
        <w:t xml:space="preserve"> held (2 to 1) that 48-hour suspension is set aside; he was disciplined  for leaving a courthouse while the rest of 4-member team looked for cause of smoke alarm. The Court wrote: </w:t>
      </w:r>
    </w:p>
    <w:p w14:paraId="0C25C758" w14:textId="77777777" w:rsidR="00F838A9" w:rsidRDefault="00F838A9" w:rsidP="00F838A9">
      <w:pPr>
        <w:pStyle w:val="NoSpacing"/>
        <w:ind w:left="720" w:firstLine="60"/>
        <w:rPr>
          <w:bCs/>
        </w:rPr>
      </w:pPr>
    </w:p>
    <w:p w14:paraId="205D35F1" w14:textId="77777777" w:rsidR="00F838A9" w:rsidRDefault="00F838A9" w:rsidP="00F838A9">
      <w:pPr>
        <w:pStyle w:val="NoSpacing"/>
        <w:ind w:left="720" w:firstLine="60"/>
      </w:pPr>
      <w:r>
        <w:t xml:space="preserve">“First Platoon Deputy Chief </w:t>
      </w:r>
      <w:r w:rsidRPr="00960F97">
        <w:t xml:space="preserve">Castle completed his investigation and on April 22, 2024, he issued a letter to Adams informing him that he was suspended for 48 hours for violating fire department policy. The letter advised Adams that, </w:t>
      </w:r>
      <w:r>
        <w:t>‘</w:t>
      </w:r>
      <w:r w:rsidRPr="00960F97">
        <w:t xml:space="preserve">Specifically, on </w:t>
      </w:r>
      <w:r>
        <w:t xml:space="preserve">[March 17, </w:t>
      </w:r>
      <w:r w:rsidRPr="00960F97">
        <w:t>2024</w:t>
      </w:r>
      <w:r>
        <w:t>]</w:t>
      </w:r>
      <w:r w:rsidRPr="00960F97">
        <w:t xml:space="preserve"> while on an incident investigating an alarm you exited the building without the captain's permission while the rest of the crew remained inside to confirm the alarm status and mitigate the incident</w:t>
      </w:r>
      <w:r>
        <w:t xml:space="preserve">…. </w:t>
      </w:r>
      <w:r w:rsidRPr="00654C32">
        <w:t>We are constrained to hold that the strict statutory requirements of La. R.S. 33:2181 were not met in this process</w:t>
      </w:r>
      <w:r>
        <w:t xml:space="preserve">…. </w:t>
      </w:r>
      <w:r w:rsidRPr="00DB6DA9">
        <w:t>At no point in the investigation was Adams notified of his rights under the Firefighter's Bill of Rights. To the extent that the record in this case reveals the substance of the investigation we conclude that the investigators were Edwards and Castle.</w:t>
      </w:r>
      <w:r>
        <w:t xml:space="preserve"> </w:t>
      </w:r>
      <w:hyperlink r:id="rId2615" w:history="1">
        <w:r w:rsidRPr="00A118A9">
          <w:rPr>
            <w:rStyle w:val="Hyperlink"/>
          </w:rPr>
          <w:t>https://caselaw.findlaw.com/court/la-court-of-appeal/118312488.html</w:t>
        </w:r>
      </w:hyperlink>
      <w:r>
        <w:t xml:space="preserve"> </w:t>
      </w:r>
    </w:p>
    <w:p w14:paraId="32EB1028" w14:textId="77777777" w:rsidR="00F838A9" w:rsidRDefault="00F838A9" w:rsidP="00F838A9">
      <w:pPr>
        <w:pStyle w:val="NoSpacing"/>
      </w:pPr>
    </w:p>
    <w:p w14:paraId="7ED78B72" w14:textId="77777777" w:rsidR="00F838A9" w:rsidRDefault="00F838A9" w:rsidP="00F838A9">
      <w:pPr>
        <w:pStyle w:val="NoSpacing"/>
      </w:pPr>
      <w:r>
        <w:t>THE COURT HELD:</w:t>
      </w:r>
    </w:p>
    <w:p w14:paraId="2E0D881B" w14:textId="77777777" w:rsidR="00F838A9" w:rsidRDefault="00F838A9" w:rsidP="00F838A9">
      <w:pPr>
        <w:pStyle w:val="NoSpacing"/>
      </w:pPr>
    </w:p>
    <w:p w14:paraId="582B38AB" w14:textId="77777777" w:rsidR="00F838A9" w:rsidRDefault="00F838A9" w:rsidP="00F838A9">
      <w:pPr>
        <w:pStyle w:val="NoSpacing"/>
        <w:ind w:left="720"/>
      </w:pPr>
      <w:r>
        <w:t>“</w:t>
      </w:r>
      <w:r w:rsidRPr="009B5BDC">
        <w:t xml:space="preserve">On March 17, 2024, firefighters from Engine Company 20 were called out to the Second City Courthouse on Morgan Street in Algiers. The firefighters involved were Captain Randolph </w:t>
      </w:r>
      <w:proofErr w:type="gramStart"/>
      <w:r w:rsidRPr="009B5BDC">
        <w:t>Edwards (</w:t>
      </w:r>
      <w:r>
        <w:t>‘</w:t>
      </w:r>
      <w:r w:rsidRPr="009B5BDC">
        <w:t>Edwards</w:t>
      </w:r>
      <w:r>
        <w:t>’</w:t>
      </w:r>
      <w:r w:rsidRPr="009B5BDC">
        <w:t>)</w:t>
      </w:r>
      <w:proofErr w:type="gramEnd"/>
      <w:r w:rsidRPr="009B5BDC">
        <w:t xml:space="preserve">, Anthony </w:t>
      </w:r>
      <w:proofErr w:type="gramStart"/>
      <w:r w:rsidRPr="009B5BDC">
        <w:t>Donseroaux (</w:t>
      </w:r>
      <w:r>
        <w:t>‘</w:t>
      </w:r>
      <w:proofErr w:type="spellStart"/>
      <w:r w:rsidRPr="009B5BDC">
        <w:t>Donseroaux</w:t>
      </w:r>
      <w:proofErr w:type="spellEnd"/>
      <w:r>
        <w:t>’</w:t>
      </w:r>
      <w:r w:rsidRPr="009B5BDC">
        <w:t>)</w:t>
      </w:r>
      <w:proofErr w:type="gramEnd"/>
      <w:r w:rsidRPr="009B5BDC">
        <w:t xml:space="preserve">, Milton </w:t>
      </w:r>
      <w:proofErr w:type="gramStart"/>
      <w:r w:rsidRPr="009B5BDC">
        <w:t>Smith (</w:t>
      </w:r>
      <w:r>
        <w:t>‘</w:t>
      </w:r>
      <w:r w:rsidRPr="009B5BDC">
        <w:t>Smith</w:t>
      </w:r>
      <w:r>
        <w:t>’</w:t>
      </w:r>
      <w:r w:rsidRPr="009B5BDC">
        <w:t>)</w:t>
      </w:r>
      <w:proofErr w:type="gramEnd"/>
      <w:r w:rsidRPr="009B5BDC">
        <w:t xml:space="preserve"> and Adams. It was the third callout to this address that day. On the two prior occasions, the team </w:t>
      </w:r>
      <w:proofErr w:type="gramStart"/>
      <w:r w:rsidRPr="009B5BDC">
        <w:t>was not able to</w:t>
      </w:r>
      <w:proofErr w:type="gramEnd"/>
      <w:r w:rsidRPr="009B5BDC">
        <w:t xml:space="preserve"> get into the courthouse. On this third occasion, a building representative was present and let the men in. They searched the building and found no evidence of fire. They were unable to stop the alarm. While awaiting someone from the alarm company to stop the false alarm, Edwards, who was the ranking firefighter on the scene, began a conversation with the building representative on matters unrelated to the fire call. </w:t>
      </w:r>
      <w:r>
        <w:t xml:space="preserve"> </w:t>
      </w:r>
      <w:r w:rsidRPr="009B5BDC">
        <w:t>         </w:t>
      </w:r>
    </w:p>
    <w:p w14:paraId="0D29CF31" w14:textId="77777777" w:rsidR="00F838A9" w:rsidRDefault="00F838A9" w:rsidP="00F838A9">
      <w:pPr>
        <w:pStyle w:val="NoSpacing"/>
        <w:ind w:left="720"/>
      </w:pPr>
    </w:p>
    <w:p w14:paraId="17FE40D4" w14:textId="77777777" w:rsidR="00F838A9" w:rsidRDefault="00F838A9" w:rsidP="00F838A9">
      <w:pPr>
        <w:pStyle w:val="NoSpacing"/>
        <w:ind w:left="720"/>
      </w:pPr>
      <w:r w:rsidRPr="009B5BDC">
        <w:t xml:space="preserve">Approximately 10 to 15 minutes after the building was searched, the captain and other firefighters walked outside and saw Adams talking to Smith, the firetruck operator. The building representative commented that the two firefighters by the truck were ready to leave. Edwards then walked to the truck and chastised Adams for leaving the scene inside the building and informed him that he should stay next to his captain. </w:t>
      </w:r>
    </w:p>
    <w:p w14:paraId="1009B712" w14:textId="77777777" w:rsidR="00F838A9" w:rsidRPr="009B5BDC" w:rsidRDefault="00F838A9" w:rsidP="00F838A9">
      <w:pPr>
        <w:pStyle w:val="NoSpacing"/>
        <w:ind w:left="720"/>
      </w:pPr>
    </w:p>
    <w:p w14:paraId="5FC0EDE7" w14:textId="77777777" w:rsidR="00F838A9" w:rsidRDefault="00F838A9" w:rsidP="00F838A9">
      <w:pPr>
        <w:pStyle w:val="NoSpacing"/>
        <w:ind w:left="720"/>
      </w:pPr>
      <w:r w:rsidRPr="009B5BDC">
        <w:t xml:space="preserve">Edwards alleges that Adams told him, </w:t>
      </w:r>
      <w:proofErr w:type="gramStart"/>
      <w:r>
        <w:t>‘</w:t>
      </w:r>
      <w:r w:rsidRPr="009B5BDC">
        <w:t>you</w:t>
      </w:r>
      <w:proofErr w:type="gramEnd"/>
      <w:r w:rsidRPr="009B5BDC">
        <w:t xml:space="preserve"> think you're in charge of f*****g </w:t>
      </w:r>
      <w:r>
        <w:t xml:space="preserve"> </w:t>
      </w:r>
      <w:r w:rsidRPr="009B5BDC">
        <w:t>E20 but you're not in charge.</w:t>
      </w:r>
      <w:r>
        <w:t xml:space="preserve">’ </w:t>
      </w:r>
      <w:r w:rsidRPr="009B5BDC">
        <w:t xml:space="preserve"> Adams alleges that he said, </w:t>
      </w:r>
      <w:r>
        <w:t>‘</w:t>
      </w:r>
      <w:r w:rsidRPr="009B5BDC">
        <w:t>you think you're in charge of E20 but it's a team.</w:t>
      </w:r>
      <w:r>
        <w:t xml:space="preserve">’ </w:t>
      </w:r>
      <w:r w:rsidRPr="009B5BDC">
        <w:t xml:space="preserve">Neither Smith nor </w:t>
      </w:r>
      <w:proofErr w:type="spellStart"/>
      <w:r w:rsidRPr="009B5BDC">
        <w:t>Donseroaux</w:t>
      </w:r>
      <w:proofErr w:type="spellEnd"/>
      <w:r w:rsidRPr="009B5BDC">
        <w:t xml:space="preserve"> heard the profanity that Edwards described but both witnesses testified that the conversation was heated. Smith, who </w:t>
      </w:r>
      <w:proofErr w:type="gramStart"/>
      <w:r w:rsidRPr="009B5BDC">
        <w:t>was outside at all times</w:t>
      </w:r>
      <w:proofErr w:type="gramEnd"/>
      <w:r w:rsidRPr="009B5BDC">
        <w:t xml:space="preserve">, explained that he called Adams to the truck to ask if the inspection revealed anything. </w:t>
      </w:r>
    </w:p>
    <w:p w14:paraId="077391E2" w14:textId="77777777" w:rsidR="00F838A9" w:rsidRDefault="00F838A9" w:rsidP="00F838A9">
      <w:pPr>
        <w:pStyle w:val="NoSpacing"/>
        <w:ind w:left="720"/>
      </w:pPr>
    </w:p>
    <w:p w14:paraId="77B05235" w14:textId="77777777" w:rsidR="00F838A9" w:rsidRDefault="00F838A9" w:rsidP="00F838A9">
      <w:pPr>
        <w:pStyle w:val="NoSpacing"/>
        <w:ind w:left="720"/>
      </w:pPr>
      <w:r>
        <w:t>***</w:t>
      </w:r>
    </w:p>
    <w:p w14:paraId="424EA38E" w14:textId="77777777" w:rsidR="00F838A9" w:rsidRDefault="00F838A9" w:rsidP="00F838A9">
      <w:pPr>
        <w:pStyle w:val="NoSpacing"/>
        <w:ind w:left="720"/>
      </w:pPr>
      <w:r w:rsidRPr="00A9657E">
        <w:t xml:space="preserve">After the incident, Edwards asked every member of the team to write a Special Report (statement) regarding the call out. </w:t>
      </w:r>
      <w:r>
        <w:t xml:space="preserve"> </w:t>
      </w:r>
      <w:r w:rsidRPr="00A9657E">
        <w:t xml:space="preserve">Edwards completed a Documentation of Disciplinary </w:t>
      </w:r>
      <w:proofErr w:type="gramStart"/>
      <w:r w:rsidRPr="00A9657E">
        <w:t>Action (</w:t>
      </w:r>
      <w:r>
        <w:t>‘</w:t>
      </w:r>
      <w:proofErr w:type="gramEnd"/>
      <w:r w:rsidRPr="00A9657E">
        <w:t>DDA</w:t>
      </w:r>
      <w:r>
        <w:t>’</w:t>
      </w:r>
      <w:r w:rsidRPr="00A9657E">
        <w:t xml:space="preserve">) form charging Adams with violating NOFDRR57 of the New Orleans Fire </w:t>
      </w:r>
      <w:proofErr w:type="gramStart"/>
      <w:r w:rsidRPr="00A9657E">
        <w:t>Department (</w:t>
      </w:r>
      <w:r>
        <w:t>‘</w:t>
      </w:r>
      <w:proofErr w:type="gramEnd"/>
      <w:r w:rsidRPr="00A9657E">
        <w:t>NOFD</w:t>
      </w:r>
      <w:r>
        <w:t>’</w:t>
      </w:r>
      <w:r w:rsidRPr="00A9657E">
        <w:t xml:space="preserve">) Rules and Regulations. RR 57 provides that, </w:t>
      </w:r>
      <w:r>
        <w:t>‘</w:t>
      </w:r>
      <w:r w:rsidRPr="00A9657E">
        <w:t>At fire scenes or emergency calls, members shall not perform tasks without direction or orders from command or perform tasks that do not support incident objectives (i.e. freelancing).</w:t>
      </w:r>
      <w:r>
        <w:t>’</w:t>
      </w:r>
    </w:p>
    <w:p w14:paraId="5DE5526E" w14:textId="77777777" w:rsidR="00F838A9" w:rsidRDefault="00F838A9" w:rsidP="00F838A9">
      <w:pPr>
        <w:pStyle w:val="NoSpacing"/>
        <w:ind w:left="720"/>
      </w:pPr>
    </w:p>
    <w:p w14:paraId="4198299E" w14:textId="77777777" w:rsidR="00F838A9" w:rsidRDefault="00F838A9" w:rsidP="00F838A9">
      <w:pPr>
        <w:pStyle w:val="NoSpacing"/>
        <w:ind w:left="720"/>
      </w:pPr>
      <w:r>
        <w:t>***</w:t>
      </w:r>
    </w:p>
    <w:p w14:paraId="05815C35" w14:textId="77777777" w:rsidR="00F838A9" w:rsidRPr="00F24C16" w:rsidRDefault="00F838A9" w:rsidP="00F838A9">
      <w:pPr>
        <w:pStyle w:val="NoSpacing"/>
        <w:ind w:left="720"/>
      </w:pPr>
      <w:r w:rsidRPr="00F24C16">
        <w:t xml:space="preserve">We believe that Edwards' initiation of a disciplinary procedure based on Adams' actions was appropriate. In this case, it does not appear that there was an emergency in progress when Adams decided to walk away from the working group in the courthouse. However, it is the very nature of emergencies that they occur without warning. No one was injured and there was no loss of life or property in this situation. For that, everyone must be grateful to good fortune. In the business of protecting life and property, good fortune is never a substitute for safe procedure. </w:t>
      </w:r>
    </w:p>
    <w:p w14:paraId="4EBB0D82" w14:textId="77777777" w:rsidR="00F838A9" w:rsidRDefault="00F838A9" w:rsidP="00F838A9">
      <w:pPr>
        <w:pStyle w:val="NoSpacing"/>
        <w:ind w:left="720"/>
      </w:pPr>
      <w:r w:rsidRPr="00F24C16">
        <w:t>         </w:t>
      </w:r>
    </w:p>
    <w:p w14:paraId="79020D2A" w14:textId="77777777" w:rsidR="00F838A9" w:rsidRDefault="00F838A9" w:rsidP="00F838A9">
      <w:pPr>
        <w:pStyle w:val="NoSpacing"/>
        <w:ind w:left="720"/>
      </w:pPr>
      <w:r w:rsidRPr="00F24C16">
        <w:t>Having noted for the record this court's support for the intention of the disciplinary proceeding, we find that the decision of the CSC was not manifestly erroneous. We are constrained to hold that the strict statutory requirements of La. R.S. 33:2181 were not met in this process.</w:t>
      </w:r>
      <w:r>
        <w:t>”</w:t>
      </w:r>
    </w:p>
    <w:p w14:paraId="5EBFF566" w14:textId="77777777" w:rsidR="00F838A9" w:rsidRDefault="00F838A9" w:rsidP="00F838A9">
      <w:pPr>
        <w:pStyle w:val="NoSpacing"/>
        <w:ind w:left="720"/>
      </w:pPr>
    </w:p>
    <w:p w14:paraId="05362EB0" w14:textId="77777777" w:rsidR="00F838A9" w:rsidRDefault="00F838A9" w:rsidP="00F838A9">
      <w:pPr>
        <w:pStyle w:val="NoSpacing"/>
      </w:pPr>
      <w:r>
        <w:t>DISSENT:</w:t>
      </w:r>
    </w:p>
    <w:p w14:paraId="0AA9C73E" w14:textId="77777777" w:rsidR="00F838A9" w:rsidRDefault="00F838A9" w:rsidP="00F838A9">
      <w:pPr>
        <w:pStyle w:val="NoSpacing"/>
      </w:pPr>
    </w:p>
    <w:p w14:paraId="2E4D5CEE" w14:textId="77777777" w:rsidR="00F838A9" w:rsidRDefault="00F838A9" w:rsidP="00F838A9">
      <w:pPr>
        <w:pStyle w:val="NoSpacing"/>
        <w:ind w:left="720"/>
      </w:pPr>
      <w:r>
        <w:t xml:space="preserve">“The distinction between investigation and formal investigation is an important one. Initial steps taken to prepare for a formal investigation (i.e., gathering witness statements, promulgating Documentation of Disciplinary Action) are distinguishable from the formal investigation itself. A formal investigation cannot commence unless and until a complaint is lodged, evidence is gathered, and such documentation is submitted to the appointing authority to determine whether a formal investigation is </w:t>
      </w:r>
      <w:proofErr w:type="gramStart"/>
      <w:r>
        <w:t>merited.”</w:t>
      </w:r>
      <w:proofErr w:type="gramEnd"/>
      <w:r>
        <w:t xml:space="preserve"> </w:t>
      </w:r>
      <w:hyperlink r:id="rId2616" w:history="1">
        <w:r w:rsidRPr="00A118A9">
          <w:rPr>
            <w:rStyle w:val="Hyperlink"/>
          </w:rPr>
          <w:t>https://cases.justia.com/louisiana/fourth-circuit-court-of-appeal/2026-2025-ca-0639-0.pdf?ts=1777519082</w:t>
        </w:r>
      </w:hyperlink>
      <w:r>
        <w:t xml:space="preserve"> </w:t>
      </w:r>
    </w:p>
    <w:p w14:paraId="68F2F445" w14:textId="77777777" w:rsidR="00F838A9" w:rsidRDefault="00F838A9" w:rsidP="00F838A9">
      <w:pPr>
        <w:pStyle w:val="NoSpacing"/>
        <w:ind w:left="720"/>
      </w:pPr>
    </w:p>
    <w:p w14:paraId="4B91E4CA" w14:textId="77777777" w:rsidR="00F838A9" w:rsidRPr="009B5BDC" w:rsidRDefault="00F838A9" w:rsidP="00F838A9">
      <w:pPr>
        <w:pStyle w:val="NoSpacing"/>
      </w:pPr>
      <w:r>
        <w:rPr>
          <w:b/>
        </w:rPr>
        <w:t xml:space="preserve">Legal lesson learned: This is second New Orleans FD recent case where discipline is set aside.  There is a clear need for written guidance from State’s Attorney General on when a “formal investigation” is deemed to start. </w:t>
      </w:r>
    </w:p>
    <w:p w14:paraId="3702FE89" w14:textId="77777777" w:rsidR="00F838A9" w:rsidRDefault="00F838A9" w:rsidP="00F838A9">
      <w:pPr>
        <w:pStyle w:val="NoSpacing"/>
      </w:pPr>
    </w:p>
    <w:p w14:paraId="31B6C0CC" w14:textId="77777777" w:rsidR="00DA3352" w:rsidRDefault="00DA3352" w:rsidP="00DA3352">
      <w:pPr>
        <w:pStyle w:val="NoSpacing"/>
        <w:rPr>
          <w:rFonts w:ascii="Arial Black" w:hAnsi="Arial Black"/>
          <w:b/>
          <w:sz w:val="24"/>
          <w:szCs w:val="24"/>
        </w:rPr>
      </w:pPr>
    </w:p>
    <w:p w14:paraId="1841EA4D" w14:textId="45282F98" w:rsidR="00DA3352" w:rsidRDefault="00DA3352" w:rsidP="00DA3352">
      <w:pPr>
        <w:pStyle w:val="NoSpacing"/>
        <w:rPr>
          <w:rFonts w:ascii="Arial Black" w:hAnsi="Arial Black"/>
          <w:b/>
          <w:sz w:val="24"/>
          <w:szCs w:val="24"/>
        </w:rPr>
      </w:pPr>
      <w:r>
        <w:rPr>
          <w:rFonts w:ascii="Arial Black" w:hAnsi="Arial Black"/>
          <w:b/>
          <w:sz w:val="24"/>
          <w:szCs w:val="24"/>
        </w:rPr>
        <w:t>16-154</w:t>
      </w:r>
    </w:p>
    <w:p w14:paraId="33C65973" w14:textId="77777777" w:rsidR="00DA3352" w:rsidRDefault="00DA3352" w:rsidP="00DA3352">
      <w:pPr>
        <w:pStyle w:val="NoSpacing"/>
        <w:rPr>
          <w:rFonts w:ascii="Arial Black" w:hAnsi="Arial Black"/>
          <w:b/>
          <w:sz w:val="24"/>
          <w:szCs w:val="24"/>
        </w:rPr>
      </w:pPr>
    </w:p>
    <w:p w14:paraId="0CADA8D4" w14:textId="77777777" w:rsidR="00C03046" w:rsidRPr="00807158" w:rsidRDefault="00C03046" w:rsidP="00C03046">
      <w:pPr>
        <w:pStyle w:val="NoSpacing"/>
        <w:rPr>
          <w:rFonts w:ascii="Arial Black" w:hAnsi="Arial Black"/>
          <w:b/>
          <w:sz w:val="28"/>
          <w:szCs w:val="28"/>
        </w:rPr>
      </w:pPr>
      <w:r>
        <w:rPr>
          <w:rFonts w:ascii="Arial Black" w:hAnsi="Arial Black"/>
          <w:b/>
          <w:sz w:val="28"/>
          <w:szCs w:val="28"/>
        </w:rPr>
        <w:t>LA: 36-HR DISCIPLINE SET ASIDE– NO BILL RIGHTS NOTICE</w:t>
      </w:r>
    </w:p>
    <w:p w14:paraId="7D3285CF" w14:textId="77777777" w:rsidR="00C03046" w:rsidRDefault="00C03046" w:rsidP="00C03046">
      <w:pPr>
        <w:pStyle w:val="NoSpacing"/>
      </w:pPr>
    </w:p>
    <w:p w14:paraId="16444A44" w14:textId="77777777" w:rsidR="00C03046" w:rsidRDefault="00C03046" w:rsidP="00C03046">
      <w:pPr>
        <w:pStyle w:val="NoSpacing"/>
      </w:pPr>
      <w:r>
        <w:t xml:space="preserve">On April 28, 2026, in </w:t>
      </w:r>
      <w:r w:rsidRPr="00AB5D12">
        <w:rPr>
          <w:u w:val="single"/>
        </w:rPr>
        <w:t>Michael Murphy v. New Orleans Fire Department</w:t>
      </w:r>
      <w:r>
        <w:t xml:space="preserve">, the </w:t>
      </w:r>
      <w:r w:rsidRPr="00AB5D12">
        <w:t>Court of Appeals of Louisiana, Fourth Circuit</w:t>
      </w:r>
      <w:r>
        <w:t xml:space="preserve"> held (3 to 0) that under the Louisiana </w:t>
      </w:r>
      <w:r w:rsidRPr="007D2D81">
        <w:t>Firefighter Bill of Rights</w:t>
      </w:r>
      <w:r>
        <w:t xml:space="preserve">, even though there is no question that the Fire Apparatus Operator’s failed to wear seat belts on December 2 and December 11, </w:t>
      </w:r>
      <w:proofErr w:type="gramStart"/>
      <w:r>
        <w:t>2024</w:t>
      </w:r>
      <w:proofErr w:type="gramEnd"/>
      <w:r>
        <w:t xml:space="preserve"> when driving </w:t>
      </w:r>
      <w:r w:rsidRPr="004C28D7">
        <w:t>Fire Engine 14</w:t>
      </w:r>
      <w:r>
        <w:t xml:space="preserve">. The NOFD Samsara video monitoring system recorded </w:t>
      </w:r>
      <w:proofErr w:type="gramStart"/>
      <w:r>
        <w:t>the seatbelt</w:t>
      </w:r>
      <w:proofErr w:type="gramEnd"/>
      <w:r>
        <w:t xml:space="preserve"> infractions and alerted Captain Jason Dufrene, who on December 20, </w:t>
      </w:r>
      <w:proofErr w:type="gramStart"/>
      <w:r>
        <w:t>2024</w:t>
      </w:r>
      <w:proofErr w:type="gramEnd"/>
      <w:r>
        <w:t xml:space="preserve"> issued the charges.  The Civil Service Commission held (2 to 1) that there was no “formal investigation” under the Bill of Rights which would require the following notices: “notify the employee in writing of the nature of the investigation, of the identity and authority of the person conducting such investigation, and of the specific charges or violations being investigated. The Commission held: “Captain Dufrene’s routine review of photos or videos from an electronic monitoring system does not rise to the level of a formal investigation.” The Court of Appeals disagreed and set aside the suspensions. “The NOFD conducted a formal investigation of Mr. Murphy’s seatbelt violations without providing written notice of an investigation. The SAMSARA evidence does not abrogate the Firefighter Bill of Rights. Accordingly, we find that Mr. Murphy’s discipline was an absolute </w:t>
      </w:r>
      <w:proofErr w:type="gramStart"/>
      <w:r>
        <w:t>nullity.”</w:t>
      </w:r>
      <w:proofErr w:type="gramEnd"/>
      <w:r>
        <w:t xml:space="preserve"> </w:t>
      </w:r>
      <w:hyperlink r:id="rId2617" w:history="1">
        <w:r w:rsidRPr="00CF721F">
          <w:rPr>
            <w:rStyle w:val="Hyperlink"/>
          </w:rPr>
          <w:t>https://www.la4th.org/opinion/2025/4959829_1.pdf</w:t>
        </w:r>
      </w:hyperlink>
      <w:r>
        <w:t xml:space="preserve"> </w:t>
      </w:r>
    </w:p>
    <w:p w14:paraId="54E1D41D" w14:textId="77777777" w:rsidR="00C03046" w:rsidRDefault="00C03046" w:rsidP="00C03046">
      <w:pPr>
        <w:pStyle w:val="NoSpacing"/>
      </w:pPr>
    </w:p>
    <w:p w14:paraId="76934C53" w14:textId="77777777" w:rsidR="00C03046" w:rsidRDefault="00C03046" w:rsidP="00C03046">
      <w:pPr>
        <w:pStyle w:val="NoSpacing"/>
      </w:pPr>
      <w:r>
        <w:t>THE COURT HELD:</w:t>
      </w:r>
    </w:p>
    <w:p w14:paraId="0BE40CA8" w14:textId="77777777" w:rsidR="00C03046" w:rsidRDefault="00C03046" w:rsidP="00C03046">
      <w:pPr>
        <w:pStyle w:val="NoSpacing"/>
      </w:pPr>
    </w:p>
    <w:p w14:paraId="46C6504A" w14:textId="77777777" w:rsidR="00C03046" w:rsidRDefault="00C03046" w:rsidP="00C03046">
      <w:pPr>
        <w:pStyle w:val="NoSpacing"/>
        <w:ind w:firstLine="720"/>
      </w:pPr>
      <w:r>
        <w:t>“[The] NOFD asserts that no formal investigation was warranted or</w:t>
      </w:r>
    </w:p>
    <w:p w14:paraId="4102F6C2" w14:textId="77777777" w:rsidR="00C03046" w:rsidRDefault="00C03046" w:rsidP="00C03046">
      <w:pPr>
        <w:pStyle w:val="NoSpacing"/>
        <w:ind w:firstLine="720"/>
      </w:pPr>
      <w:r>
        <w:t>conducted due to the conclusive SAMSARA video evidence of Mr. Murphy’s</w:t>
      </w:r>
    </w:p>
    <w:p w14:paraId="29C13C15" w14:textId="77777777" w:rsidR="00C03046" w:rsidRDefault="00C03046" w:rsidP="00C03046">
      <w:pPr>
        <w:pStyle w:val="NoSpacing"/>
        <w:ind w:firstLine="720"/>
      </w:pPr>
      <w:r>
        <w:t xml:space="preserve">infractions. Nonetheless, the NOFD </w:t>
      </w:r>
      <w:proofErr w:type="gramStart"/>
      <w:r>
        <w:t>contends, ‘</w:t>
      </w:r>
      <w:proofErr w:type="gramEnd"/>
      <w:r>
        <w:t>[t]o the extent any investigation</w:t>
      </w:r>
    </w:p>
    <w:p w14:paraId="752AAFAB" w14:textId="77777777" w:rsidR="00C03046" w:rsidRDefault="00C03046" w:rsidP="00C03046">
      <w:pPr>
        <w:pStyle w:val="NoSpacing"/>
        <w:ind w:firstLine="720"/>
      </w:pPr>
      <w:r>
        <w:t>was conducted, which is denied, it was informal and had not arisen to the level of a</w:t>
      </w:r>
    </w:p>
    <w:p w14:paraId="01A21C40" w14:textId="77777777" w:rsidR="00C03046" w:rsidRDefault="00C03046" w:rsidP="00C03046">
      <w:pPr>
        <w:pStyle w:val="NoSpacing"/>
        <w:ind w:firstLine="720"/>
      </w:pPr>
      <w:r>
        <w:t>formal investigation and the required procedural steps pursuant to La R.S.</w:t>
      </w:r>
    </w:p>
    <w:p w14:paraId="432270BB" w14:textId="77777777" w:rsidR="00C03046" w:rsidRDefault="00C03046" w:rsidP="00C03046">
      <w:pPr>
        <w:pStyle w:val="NoSpacing"/>
        <w:ind w:firstLine="720"/>
      </w:pPr>
      <w:r>
        <w:t>§33:2181(B).’</w:t>
      </w:r>
    </w:p>
    <w:p w14:paraId="1B4B9998" w14:textId="77777777" w:rsidR="00C03046" w:rsidRDefault="00C03046" w:rsidP="00C03046">
      <w:pPr>
        <w:pStyle w:val="NoSpacing"/>
        <w:ind w:firstLine="720"/>
      </w:pPr>
    </w:p>
    <w:p w14:paraId="3E500B20" w14:textId="77777777" w:rsidR="00C03046" w:rsidRDefault="00C03046" w:rsidP="00C03046">
      <w:pPr>
        <w:pStyle w:val="NoSpacing"/>
        <w:ind w:firstLine="720"/>
      </w:pPr>
      <w:r>
        <w:t>***</w:t>
      </w:r>
    </w:p>
    <w:p w14:paraId="1FC7993A" w14:textId="77777777" w:rsidR="00C03046" w:rsidRDefault="00C03046" w:rsidP="00C03046">
      <w:pPr>
        <w:pStyle w:val="NoSpacing"/>
      </w:pPr>
    </w:p>
    <w:p w14:paraId="474E0E4D" w14:textId="77777777" w:rsidR="00C03046" w:rsidRDefault="00C03046" w:rsidP="00C03046">
      <w:pPr>
        <w:pStyle w:val="NoSpacing"/>
        <w:ind w:firstLine="720"/>
      </w:pPr>
      <w:r>
        <w:t>We must determine whether the NOFD conducted a formal investigation of</w:t>
      </w:r>
    </w:p>
    <w:p w14:paraId="18877DB6" w14:textId="77777777" w:rsidR="00C03046" w:rsidRDefault="00C03046" w:rsidP="00C03046">
      <w:pPr>
        <w:pStyle w:val="NoSpacing"/>
        <w:ind w:firstLine="720"/>
      </w:pPr>
      <w:r>
        <w:t>Mr. Murphy.</w:t>
      </w:r>
    </w:p>
    <w:p w14:paraId="20EE6B83" w14:textId="77777777" w:rsidR="00C03046" w:rsidRDefault="00C03046" w:rsidP="00C03046">
      <w:pPr>
        <w:pStyle w:val="NoSpacing"/>
        <w:ind w:firstLine="720"/>
      </w:pPr>
    </w:p>
    <w:p w14:paraId="759F437F" w14:textId="77777777" w:rsidR="00C03046" w:rsidRDefault="00C03046" w:rsidP="00C03046">
      <w:pPr>
        <w:pStyle w:val="NoSpacing"/>
        <w:ind w:firstLine="720"/>
      </w:pPr>
      <w:r>
        <w:t xml:space="preserve">As stated above, </w:t>
      </w:r>
      <w:proofErr w:type="gramStart"/>
      <w:r>
        <w:t>the NOFD</w:t>
      </w:r>
      <w:proofErr w:type="gramEnd"/>
      <w:r>
        <w:t xml:space="preserve"> is required to provide notice in writing of a</w:t>
      </w:r>
    </w:p>
    <w:p w14:paraId="79ED6734" w14:textId="77777777" w:rsidR="00C03046" w:rsidRDefault="00C03046" w:rsidP="00C03046">
      <w:pPr>
        <w:pStyle w:val="NoSpacing"/>
        <w:ind w:firstLine="720"/>
      </w:pPr>
      <w:r>
        <w:t>formal investigation into a firefighter’s conduct. “The Louisiana Attorney</w:t>
      </w:r>
    </w:p>
    <w:p w14:paraId="239D30B3" w14:textId="77777777" w:rsidR="00C03046" w:rsidRDefault="00C03046" w:rsidP="00C03046">
      <w:pPr>
        <w:pStyle w:val="NoSpacing"/>
        <w:ind w:firstLine="720"/>
      </w:pPr>
      <w:r>
        <w:t>General’s office has interpreted La. R.S. 33:2181 as applying to all situations when</w:t>
      </w:r>
    </w:p>
    <w:p w14:paraId="606211C6" w14:textId="77777777" w:rsidR="00C03046" w:rsidRDefault="00C03046" w:rsidP="00C03046">
      <w:pPr>
        <w:pStyle w:val="NoSpacing"/>
        <w:ind w:firstLine="720"/>
      </w:pPr>
      <w:r>
        <w:t>an authorized person makes an inquiry or collects evidence with a view to</w:t>
      </w:r>
    </w:p>
    <w:p w14:paraId="2D50D576" w14:textId="77777777" w:rsidR="00C03046" w:rsidRDefault="00C03046" w:rsidP="00C03046">
      <w:pPr>
        <w:pStyle w:val="NoSpacing"/>
        <w:ind w:firstLine="720"/>
      </w:pPr>
      <w:r>
        <w:t>disciplinary action.” Farrelly, 2019-216, p. 4, 284 So.3d at 683 (citing La. Att’y</w:t>
      </w:r>
    </w:p>
    <w:p w14:paraId="1119E55D" w14:textId="77777777" w:rsidR="00C03046" w:rsidRDefault="00C03046" w:rsidP="00C03046">
      <w:pPr>
        <w:pStyle w:val="NoSpacing"/>
        <w:ind w:firstLine="720"/>
      </w:pPr>
      <w:r>
        <w:t>Gen. Op. No. 13-0207, 2014 WL 1404481). This Court held that a formal</w:t>
      </w:r>
    </w:p>
    <w:p w14:paraId="2980DDEE" w14:textId="77777777" w:rsidR="00C03046" w:rsidRDefault="00C03046" w:rsidP="00C03046">
      <w:pPr>
        <w:pStyle w:val="NoSpacing"/>
        <w:ind w:firstLine="720"/>
      </w:pPr>
      <w:r>
        <w:t>investigation began when the NOFD was made aware of the firefighter’s alleged</w:t>
      </w:r>
    </w:p>
    <w:p w14:paraId="4FCEAF54" w14:textId="77777777" w:rsidR="00C03046" w:rsidRDefault="00C03046" w:rsidP="00C03046">
      <w:pPr>
        <w:pStyle w:val="NoSpacing"/>
        <w:ind w:firstLine="720"/>
      </w:pPr>
      <w:r>
        <w:t xml:space="preserve">behavior and evidence </w:t>
      </w:r>
      <w:proofErr w:type="gramStart"/>
      <w:r>
        <w:t>was</w:t>
      </w:r>
      <w:proofErr w:type="gramEnd"/>
      <w:r>
        <w:t xml:space="preserve"> received.</w:t>
      </w:r>
    </w:p>
    <w:p w14:paraId="47290860" w14:textId="77777777" w:rsidR="00C03046" w:rsidRDefault="00C03046" w:rsidP="00C03046">
      <w:pPr>
        <w:pStyle w:val="NoSpacing"/>
        <w:ind w:firstLine="720"/>
      </w:pPr>
    </w:p>
    <w:p w14:paraId="0C332312" w14:textId="77777777" w:rsidR="00C03046" w:rsidRDefault="00C03046" w:rsidP="00C03046">
      <w:pPr>
        <w:pStyle w:val="NoSpacing"/>
        <w:ind w:firstLine="720"/>
      </w:pPr>
      <w:r>
        <w:t>***</w:t>
      </w:r>
    </w:p>
    <w:p w14:paraId="20D51500" w14:textId="77777777" w:rsidR="00C03046" w:rsidRDefault="00C03046" w:rsidP="00C03046">
      <w:pPr>
        <w:pStyle w:val="NoSpacing"/>
        <w:ind w:left="720"/>
      </w:pPr>
      <w:r>
        <w:t>Louisiana Revised Statutes: 33:2181(B), a portion of the Firefighter Bill of Rights, provides:</w:t>
      </w:r>
    </w:p>
    <w:p w14:paraId="299361F7" w14:textId="77777777" w:rsidR="00C03046" w:rsidRDefault="00C03046" w:rsidP="00C03046">
      <w:pPr>
        <w:pStyle w:val="NoSpacing"/>
        <w:ind w:left="720" w:firstLine="720"/>
      </w:pPr>
      <w:r>
        <w:t>B. Whenever a fire employee is under investigation, the following</w:t>
      </w:r>
    </w:p>
    <w:p w14:paraId="162206B7" w14:textId="77777777" w:rsidR="00C03046" w:rsidRDefault="00C03046" w:rsidP="00C03046">
      <w:pPr>
        <w:pStyle w:val="NoSpacing"/>
        <w:ind w:left="720" w:firstLine="720"/>
      </w:pPr>
      <w:r>
        <w:t>minimum standards shall apply:</w:t>
      </w:r>
    </w:p>
    <w:p w14:paraId="326866FC" w14:textId="77777777" w:rsidR="00C03046" w:rsidRDefault="00C03046" w:rsidP="00C03046">
      <w:pPr>
        <w:pStyle w:val="NoSpacing"/>
        <w:ind w:left="720" w:firstLine="720"/>
      </w:pPr>
      <w:r>
        <w:t>(1) Prior to commencing a formal investigation of a fire employee,</w:t>
      </w:r>
    </w:p>
    <w:p w14:paraId="6A43967B" w14:textId="77777777" w:rsidR="00C03046" w:rsidRDefault="00C03046" w:rsidP="00C03046">
      <w:pPr>
        <w:pStyle w:val="NoSpacing"/>
        <w:ind w:left="720" w:firstLine="720"/>
      </w:pPr>
      <w:r>
        <w:t>the appointing authority shall notify the employee in writing of the</w:t>
      </w:r>
    </w:p>
    <w:p w14:paraId="3DF0CAB8" w14:textId="77777777" w:rsidR="00C03046" w:rsidRDefault="00C03046" w:rsidP="00C03046">
      <w:pPr>
        <w:pStyle w:val="NoSpacing"/>
        <w:ind w:left="720" w:firstLine="720"/>
      </w:pPr>
      <w:r>
        <w:t>nature of the investigation, of the identity and authority of the</w:t>
      </w:r>
    </w:p>
    <w:p w14:paraId="599DCD1C" w14:textId="77777777" w:rsidR="00C03046" w:rsidRDefault="00C03046" w:rsidP="00C03046">
      <w:pPr>
        <w:pStyle w:val="NoSpacing"/>
        <w:ind w:left="720" w:firstLine="720"/>
      </w:pPr>
      <w:r>
        <w:t>person conducting such investigation, and of the specific charges or</w:t>
      </w:r>
    </w:p>
    <w:p w14:paraId="15D283F7" w14:textId="77777777" w:rsidR="00C03046" w:rsidRDefault="00C03046" w:rsidP="00C03046">
      <w:pPr>
        <w:pStyle w:val="NoSpacing"/>
        <w:ind w:left="720" w:firstLine="720"/>
      </w:pPr>
      <w:r>
        <w:t>violations being investigated.”</w:t>
      </w:r>
    </w:p>
    <w:p w14:paraId="481D5792" w14:textId="77777777" w:rsidR="00C03046" w:rsidRDefault="00C03046" w:rsidP="00C03046">
      <w:pPr>
        <w:pStyle w:val="NoSpacing"/>
        <w:ind w:firstLine="720"/>
      </w:pPr>
    </w:p>
    <w:p w14:paraId="28B568C3" w14:textId="77777777" w:rsidR="00C03046" w:rsidRDefault="00C03046" w:rsidP="00C03046">
      <w:pPr>
        <w:pStyle w:val="NoSpacing"/>
        <w:ind w:firstLine="720"/>
      </w:pPr>
    </w:p>
    <w:p w14:paraId="5280C9D2" w14:textId="77777777" w:rsidR="00C03046" w:rsidRPr="008F3E61" w:rsidRDefault="00C03046" w:rsidP="00C03046">
      <w:pPr>
        <w:pStyle w:val="NoSpacing"/>
        <w:rPr>
          <w:b/>
          <w:bCs/>
        </w:rPr>
      </w:pPr>
      <w:r w:rsidRPr="008F3E61">
        <w:rPr>
          <w:b/>
        </w:rPr>
        <w:t>Legal lesson learned:</w:t>
      </w:r>
      <w:r>
        <w:rPr>
          <w:b/>
        </w:rPr>
        <w:t xml:space="preserve"> Given this very broad decision about “formal” investigations, the fire department should consider providing written notice for all infractions that can lead to discipline. </w:t>
      </w:r>
    </w:p>
    <w:p w14:paraId="31CB53FB" w14:textId="77777777" w:rsidR="00C03046" w:rsidRDefault="00C03046" w:rsidP="00C03046">
      <w:pPr>
        <w:pStyle w:val="NoSpacing"/>
        <w:ind w:firstLine="720"/>
      </w:pPr>
    </w:p>
    <w:p w14:paraId="6061A417" w14:textId="77777777" w:rsidR="00C03046" w:rsidRDefault="00C03046" w:rsidP="00C03046">
      <w:pPr>
        <w:pStyle w:val="NoSpacing"/>
        <w:ind w:left="720"/>
      </w:pPr>
      <w:r>
        <w:t xml:space="preserve">Note: Read the Civil Service Commission report. </w:t>
      </w:r>
      <w:hyperlink r:id="rId2618" w:history="1">
        <w:r w:rsidRPr="00D41613">
          <w:rPr>
            <w:rStyle w:val="Hyperlink"/>
          </w:rPr>
          <w:t>https://nola.gov/getattachment/a5d775b2-685d-43c3-a7ff-ae60a9dcf745/Murphy,-Michael-9697-9698/</w:t>
        </w:r>
      </w:hyperlink>
      <w:r>
        <w:t xml:space="preserve">  </w:t>
      </w:r>
    </w:p>
    <w:p w14:paraId="1CE0F361" w14:textId="77777777" w:rsidR="00C03046" w:rsidRDefault="00C03046" w:rsidP="00C03046">
      <w:pPr>
        <w:pStyle w:val="NoSpacing"/>
      </w:pPr>
    </w:p>
    <w:p w14:paraId="7CE58EBA" w14:textId="77777777" w:rsidR="00C03046" w:rsidRDefault="00C03046" w:rsidP="00C03046">
      <w:pPr>
        <w:pStyle w:val="NoSpacing"/>
        <w:ind w:left="1440"/>
      </w:pPr>
      <w:r>
        <w:t xml:space="preserve">“Deputy Chief Larry White instructed the District Chief to instruct Captain Wiltz to charge Operator Murphy with a violation of the seatbelt policy. Captain Wiltz charged Operator Murphy on December 20, 2024, with violating the seatbelt policy, RR-55. Operator Murphy prepared a special report about the seatbelt infraction, which District Chiefs Ashburn and </w:t>
      </w:r>
      <w:proofErr w:type="spellStart"/>
      <w:r>
        <w:t>Kuruda</w:t>
      </w:r>
      <w:proofErr w:type="spellEnd"/>
      <w:r>
        <w:t xml:space="preserve"> required him to rewrite several times. (Tr. at 94-95). Operator Murphy appeared at a pre-disciplinary hearing before a panel of Deputy Chief White and two District Chiefs on January 16, 2025. NOFD suspended Operator Murphy for 12 hours for the December 2 offense, the minimum penalty for the offense under NOFD policy. (Tr. at 44). NOFD suspended Operator Murphy for 24 hours for the second offense on December 11, the minimum penalty for a second offense. (Tr. At 44).” </w:t>
      </w:r>
    </w:p>
    <w:p w14:paraId="0DA16225" w14:textId="77777777" w:rsidR="00C03046" w:rsidRDefault="00C03046" w:rsidP="00C03046">
      <w:pPr>
        <w:pStyle w:val="NoSpacing"/>
        <w:ind w:left="1440"/>
      </w:pPr>
      <w:hyperlink r:id="rId2619" w:history="1">
        <w:r w:rsidRPr="00CF721F">
          <w:rPr>
            <w:rStyle w:val="Hyperlink"/>
          </w:rPr>
          <w:t>https://nola.gov/getattachment/a5d775b2-685d-43c3-a7ff-ae60a9dcf745/Murphy,-Michael-9697-9698/</w:t>
        </w:r>
      </w:hyperlink>
      <w:r>
        <w:t xml:space="preserve"> </w:t>
      </w:r>
    </w:p>
    <w:p w14:paraId="53F5D4F2" w14:textId="77777777" w:rsidR="00E11253" w:rsidRDefault="00E11253" w:rsidP="002F7727">
      <w:pPr>
        <w:pStyle w:val="NoSpacing"/>
        <w:rPr>
          <w:rFonts w:ascii="Arial Black" w:hAnsi="Arial Black"/>
          <w:b/>
          <w:sz w:val="24"/>
          <w:szCs w:val="24"/>
        </w:rPr>
      </w:pPr>
    </w:p>
    <w:p w14:paraId="2B440090" w14:textId="4028E5AE" w:rsidR="00DA3352" w:rsidRDefault="00DA3352" w:rsidP="00DA3352">
      <w:pPr>
        <w:pStyle w:val="NoSpacing"/>
        <w:rPr>
          <w:rFonts w:ascii="Arial Black" w:hAnsi="Arial Black"/>
          <w:b/>
          <w:sz w:val="24"/>
          <w:szCs w:val="24"/>
        </w:rPr>
      </w:pPr>
      <w:r>
        <w:rPr>
          <w:rFonts w:ascii="Arial Black" w:hAnsi="Arial Black"/>
          <w:b/>
          <w:sz w:val="24"/>
          <w:szCs w:val="24"/>
        </w:rPr>
        <w:t>16-153</w:t>
      </w:r>
    </w:p>
    <w:p w14:paraId="6AD66682" w14:textId="77777777" w:rsidR="00DA3352" w:rsidRDefault="00DA3352" w:rsidP="00DA3352">
      <w:pPr>
        <w:pStyle w:val="NoSpacing"/>
        <w:rPr>
          <w:rFonts w:ascii="Arial Black" w:hAnsi="Arial Black"/>
          <w:b/>
          <w:sz w:val="24"/>
          <w:szCs w:val="24"/>
        </w:rPr>
      </w:pPr>
    </w:p>
    <w:p w14:paraId="356FBC20" w14:textId="77777777" w:rsidR="00DA3352" w:rsidRDefault="00DA3352" w:rsidP="002F7727">
      <w:pPr>
        <w:pStyle w:val="NoSpacing"/>
        <w:rPr>
          <w:rFonts w:ascii="Arial Black" w:hAnsi="Arial Black"/>
          <w:b/>
          <w:sz w:val="24"/>
          <w:szCs w:val="24"/>
        </w:rPr>
      </w:pPr>
    </w:p>
    <w:p w14:paraId="7B284716" w14:textId="77777777" w:rsidR="00DA3352" w:rsidRPr="0030539D" w:rsidRDefault="00DA3352" w:rsidP="00DA3352">
      <w:pPr>
        <w:pStyle w:val="NoSpacing"/>
        <w:rPr>
          <w:rFonts w:ascii="Arial Black" w:hAnsi="Arial Black"/>
          <w:b/>
          <w:sz w:val="28"/>
          <w:szCs w:val="28"/>
        </w:rPr>
      </w:pPr>
      <w:r w:rsidRPr="0030539D">
        <w:rPr>
          <w:rFonts w:ascii="Arial Black" w:hAnsi="Arial Black"/>
          <w:b/>
          <w:sz w:val="28"/>
          <w:szCs w:val="28"/>
        </w:rPr>
        <w:t xml:space="preserve">MA: </w:t>
      </w:r>
      <w:r>
        <w:rPr>
          <w:rFonts w:ascii="Arial Black" w:hAnsi="Arial Black"/>
          <w:b/>
          <w:sz w:val="28"/>
          <w:szCs w:val="28"/>
        </w:rPr>
        <w:t>FIRE CHIEF – FIRED - SCAMMERS – NO DEFEMATION</w:t>
      </w:r>
    </w:p>
    <w:p w14:paraId="533C0390" w14:textId="77777777" w:rsidR="00DA3352" w:rsidRDefault="00DA3352" w:rsidP="00DA3352">
      <w:pPr>
        <w:pStyle w:val="NoSpacing"/>
      </w:pPr>
    </w:p>
    <w:p w14:paraId="40618CCB" w14:textId="77777777" w:rsidR="00DA3352" w:rsidRDefault="00DA3352" w:rsidP="00DA3352">
      <w:pPr>
        <w:pStyle w:val="NoSpacing"/>
      </w:pPr>
      <w:r>
        <w:t xml:space="preserve">On March 26, 2026, in </w:t>
      </w:r>
      <w:r w:rsidRPr="00C81E1F">
        <w:rPr>
          <w:u w:val="single"/>
        </w:rPr>
        <w:t>Ernest J. Cardillo, Jr. v. Donald M. Chabon</w:t>
      </w:r>
      <w:r>
        <w:t xml:space="preserve">, the </w:t>
      </w:r>
      <w:r w:rsidRPr="005E251C">
        <w:t>Appeals Court of Massachusetts</w:t>
      </w:r>
      <w:r>
        <w:t xml:space="preserve"> held (3 to 0) that trial court properly granted summary judgment to </w:t>
      </w:r>
      <w:r w:rsidRPr="00C12454">
        <w:t xml:space="preserve">because </w:t>
      </w:r>
      <w:r>
        <w:t xml:space="preserve">the Town of </w:t>
      </w:r>
      <w:r w:rsidRPr="005A489C">
        <w:t>Stockbridge</w:t>
      </w:r>
      <w:r>
        <w:t>’s</w:t>
      </w:r>
      <w:r w:rsidRPr="005A489C">
        <w:t xml:space="preserve"> Selectboard Chair Donald M. Chabon</w:t>
      </w:r>
      <w:r>
        <w:t xml:space="preserve">’s </w:t>
      </w:r>
      <w:r w:rsidRPr="00C12454">
        <w:t xml:space="preserve">statements to a newspaper reporter </w:t>
      </w:r>
      <w:r>
        <w:t xml:space="preserve">about the former Fire Chief </w:t>
      </w:r>
      <w:r w:rsidRPr="00C12454">
        <w:t>were</w:t>
      </w:r>
      <w:r>
        <w:t xml:space="preserve"> not </w:t>
      </w:r>
      <w:r w:rsidRPr="00C12454">
        <w:t xml:space="preserve">defamatory and </w:t>
      </w:r>
      <w:r>
        <w:t xml:space="preserve">not </w:t>
      </w:r>
      <w:r w:rsidRPr="00C12454">
        <w:t>made with actual malice</w:t>
      </w:r>
      <w:r>
        <w:t xml:space="preserve">.  </w:t>
      </w:r>
      <w:r w:rsidRPr="0030539D">
        <w:t>On February 8, 2019, the Springfield Republican newspaper published an article in response to members of the fire department protesting Cardillo's termination. The article stated that Cardillo was terminated after repeatedly falling "victim to scammers" in the purchasing of equipment for the fire department. The article reported that the selectboard had estimated that Cardillo's actions cost the town around $83,000. Chabon told the reporter that after Cardillo had learned that he had been taken advantage of, he tried to conceal the purchases and "[h]e changed the books." After the newspaper article was published, Cardillo filed suit against Chabon alleging defamation and infliction of emotional distress.</w:t>
      </w:r>
      <w:r>
        <w:t xml:space="preserve"> </w:t>
      </w:r>
      <w:hyperlink r:id="rId2620" w:history="1">
        <w:r w:rsidRPr="00682DA7">
          <w:rPr>
            <w:rStyle w:val="Hyperlink"/>
          </w:rPr>
          <w:t>https://public.fastcase.com/Jhe1Qn%2BmJndQYQU6z%2FeNm0JH5q8gWciAXAF9bixHugWdaYIct3CF769DEA6AolcFot0MADEgf34paIS5RxXYfLHjDYkVz561VNE3Py00FLo%3D?utm_medium=email&amp;_hsenc=p2ANqtz--lMiV9AKrZhOCKCU8G42zfsMnA0WduNXw5NGIFgBNIi3qKeq5uCBwN2k8_bjKsGZk1kObDueEzHePI446cTwvuol4Y2w&amp;_hsmi=226712652&amp;utm_content=226712652&amp;utm_source=hs_email</w:t>
        </w:r>
      </w:hyperlink>
      <w:r>
        <w:t xml:space="preserve"> </w:t>
      </w:r>
    </w:p>
    <w:p w14:paraId="79632DA5" w14:textId="77777777" w:rsidR="00DA3352" w:rsidRDefault="00DA3352" w:rsidP="00DA3352">
      <w:pPr>
        <w:pStyle w:val="NoSpacing"/>
      </w:pPr>
    </w:p>
    <w:p w14:paraId="6CDB1457" w14:textId="77777777" w:rsidR="00DA3352" w:rsidRDefault="00DA3352" w:rsidP="00DA3352">
      <w:pPr>
        <w:pStyle w:val="NoSpacing"/>
      </w:pPr>
      <w:r>
        <w:t>THE COURT HELD:</w:t>
      </w:r>
    </w:p>
    <w:p w14:paraId="2BA8421F" w14:textId="77777777" w:rsidR="00DA3352" w:rsidRDefault="00DA3352" w:rsidP="00DA3352">
      <w:pPr>
        <w:pStyle w:val="NoSpacing"/>
      </w:pPr>
    </w:p>
    <w:p w14:paraId="70FD641E" w14:textId="77777777" w:rsidR="00DA3352" w:rsidRDefault="00DA3352" w:rsidP="00DA3352">
      <w:pPr>
        <w:pStyle w:val="NoSpacing"/>
        <w:ind w:left="720"/>
      </w:pPr>
      <w:r>
        <w:t>“</w:t>
      </w:r>
      <w:r w:rsidRPr="00EA4E4C">
        <w:t>In 2012, Cardillo was appointed to the position of fire chief for the town of Stockbridge. That same year, Cardillo received an unsolicited telephone call from a sales representative of a New York company, Pioneer Products Inc. (Pioneer). Cardillo agreed to purchase four gallons of fire hose and gear cleaner from Pioneer. While the parties did not sign a written contract, it is undisputed that Cardillo agreed to this purchase and submitted the invoice to the town for payment.</w:t>
      </w:r>
      <w:r w:rsidRPr="00EA4E4C">
        <w:rPr>
          <w:vertAlign w:val="superscript"/>
        </w:rPr>
        <w:t>[</w:t>
      </w:r>
      <w:hyperlink r:id="rId2621" w:anchor="ftn.FN3" w:history="1">
        <w:r w:rsidRPr="00EA4E4C">
          <w:rPr>
            <w:rStyle w:val="Hyperlink"/>
            <w:vertAlign w:val="superscript"/>
          </w:rPr>
          <w:t>3</w:t>
        </w:r>
      </w:hyperlink>
      <w:r w:rsidRPr="00EA4E4C">
        <w:rPr>
          <w:vertAlign w:val="superscript"/>
        </w:rPr>
        <w:t>]</w:t>
      </w:r>
      <w:r w:rsidRPr="00EA4E4C">
        <w:t xml:space="preserve"> Sometime after the initial purchase, Cardillo was contacted by Pioneer and told that the purchase price paid for his first order was contingent on accepting additional shipments. The sales representative told Cardillo that if he did not place an additional order, Pioneer would submit an amended invoice for the first shipment at a significantly higher price. Although there did not appear to be anything in writing memorializing Pioneer's claim that the price could be increased retroactively, Cardillo felt pressured and placed an additional order to avoid the ballooning costs. </w:t>
      </w:r>
    </w:p>
    <w:p w14:paraId="43F6D054" w14:textId="77777777" w:rsidR="00DA3352" w:rsidRDefault="00DA3352" w:rsidP="00DA3352">
      <w:pPr>
        <w:pStyle w:val="NoSpacing"/>
        <w:ind w:left="720"/>
      </w:pPr>
    </w:p>
    <w:p w14:paraId="6EA3030D" w14:textId="77777777" w:rsidR="00DA3352" w:rsidRDefault="00DA3352" w:rsidP="00DA3352">
      <w:pPr>
        <w:pStyle w:val="NoSpacing"/>
        <w:ind w:left="720"/>
      </w:pPr>
      <w:r>
        <w:t>***</w:t>
      </w:r>
    </w:p>
    <w:p w14:paraId="7EB8F012" w14:textId="77777777" w:rsidR="00DA3352" w:rsidRDefault="00DA3352" w:rsidP="00DA3352">
      <w:pPr>
        <w:pStyle w:val="NoSpacing"/>
        <w:ind w:left="720"/>
      </w:pPr>
    </w:p>
    <w:p w14:paraId="17DEE78A" w14:textId="77777777" w:rsidR="00DA3352" w:rsidRDefault="00DA3352" w:rsidP="00DA3352">
      <w:pPr>
        <w:pStyle w:val="NoSpacing"/>
        <w:ind w:left="720"/>
      </w:pPr>
      <w:r w:rsidRPr="000F2420">
        <w:t xml:space="preserve">December 2016, Cardillo agreed to purchase $6,779 of deicer from Pioneer. However, Cardillo's spreadsheet identified the vendor as Fire Tech instead of Pioneer. Two months later, Cardillo purchased additional deicer from Pioneer totaling $6,780 but logged the vendor as Meadow Farm and described the expenditure as fuel. The pattern was repeated in 2017, when Cardillo purchased over $7,500 of supplies (heavy duty truck wash and hose and gear cleaner) despite making the same purchase several months </w:t>
      </w:r>
      <w:proofErr w:type="gramStart"/>
      <w:r w:rsidRPr="000F2420">
        <w:t>previous</w:t>
      </w:r>
      <w:proofErr w:type="gramEnd"/>
      <w:r w:rsidRPr="000F2420">
        <w:t>. This purchase was from Noble, but Cardillo listed the vendor as Stock Motor Car on the spreadsheets.</w:t>
      </w:r>
    </w:p>
    <w:p w14:paraId="5D655C7E" w14:textId="77777777" w:rsidR="00DA3352" w:rsidRDefault="00DA3352" w:rsidP="00DA3352">
      <w:pPr>
        <w:pStyle w:val="NoSpacing"/>
        <w:ind w:left="720"/>
      </w:pPr>
    </w:p>
    <w:p w14:paraId="149A32EE" w14:textId="77777777" w:rsidR="00DA3352" w:rsidRDefault="00DA3352" w:rsidP="00DA3352">
      <w:pPr>
        <w:pStyle w:val="NoSpacing"/>
        <w:ind w:left="720"/>
      </w:pPr>
      <w:r>
        <w:t>***</w:t>
      </w:r>
    </w:p>
    <w:p w14:paraId="7AA0902D" w14:textId="77777777" w:rsidR="00DA3352" w:rsidRDefault="00DA3352" w:rsidP="00DA3352">
      <w:pPr>
        <w:pStyle w:val="NoSpacing"/>
        <w:ind w:left="720"/>
      </w:pPr>
      <w:r w:rsidRPr="00575870">
        <w:t xml:space="preserve">In 2018, one of Cardillo's purchases came to the attention of the town administrator, resulting in the selectboard retaining town counsel. Town </w:t>
      </w:r>
      <w:proofErr w:type="spellStart"/>
      <w:r w:rsidRPr="00575870">
        <w:t>counsel</w:t>
      </w:r>
      <w:proofErr w:type="spellEnd"/>
      <w:r w:rsidRPr="00575870">
        <w:t xml:space="preserve"> (Miyares) was tasked with investigating Cardillo's purchases from Pioneer and a related company, Noble Industrial Supply Corp. (Noble), and issuing a report (the </w:t>
      </w:r>
      <w:r>
        <w:t>‘</w:t>
      </w:r>
      <w:r w:rsidRPr="00575870">
        <w:t>Miyares report</w:t>
      </w:r>
      <w:r>
        <w:t>’</w:t>
      </w:r>
      <w:r w:rsidRPr="00575870">
        <w:t xml:space="preserve">). The Miyares report found that both Pioneer and Noble had a history of defrauding </w:t>
      </w:r>
      <w:proofErr w:type="gramStart"/>
      <w:r w:rsidRPr="00575870">
        <w:t>small town</w:t>
      </w:r>
      <w:proofErr w:type="gramEnd"/>
      <w:r w:rsidRPr="00575870">
        <w:t xml:space="preserve"> governments, especially fire departments. The Better Business Bureau had received complaints that the companies would initially offer to sell a product at a "seemingly favorable price" but then later demand additional purchases be made to avoid being charged for prior purchases at a higher rate. Pioneer and Noble shipped more </w:t>
      </w:r>
      <w:proofErr w:type="gramStart"/>
      <w:r w:rsidRPr="00575870">
        <w:t>products,</w:t>
      </w:r>
      <w:proofErr w:type="gramEnd"/>
      <w:r w:rsidRPr="00575870">
        <w:t xml:space="preserve"> each time with the representation that the customer had to accept the delivery to avoid additional charges. Even when customers complained that they had an adequate supply of a particular product, the message from Pioneer and Noble was firm. They would offer to switch to a different product, but the customer was obligated to pay for additional purchases.</w:t>
      </w:r>
    </w:p>
    <w:p w14:paraId="7CC805A1" w14:textId="77777777" w:rsidR="00DA3352" w:rsidRDefault="00DA3352" w:rsidP="00DA3352">
      <w:pPr>
        <w:pStyle w:val="NoSpacing"/>
        <w:ind w:left="720"/>
      </w:pPr>
    </w:p>
    <w:p w14:paraId="208CF849" w14:textId="77777777" w:rsidR="00DA3352" w:rsidRDefault="00DA3352" w:rsidP="00DA3352">
      <w:pPr>
        <w:pStyle w:val="NoSpacing"/>
        <w:ind w:left="720"/>
      </w:pPr>
      <w:r>
        <w:t>***</w:t>
      </w:r>
    </w:p>
    <w:p w14:paraId="5B1DD9AA" w14:textId="77777777" w:rsidR="00DA3352" w:rsidRPr="00B52D12" w:rsidRDefault="00DA3352" w:rsidP="00DA3352">
      <w:pPr>
        <w:pStyle w:val="NoSpacing"/>
        <w:ind w:left="720"/>
      </w:pPr>
      <w:r w:rsidRPr="00B52D12">
        <w:t> Here, Chabon's statement, read as a whole, communicated that the town incurred a substantial cost when Cardillo fell prey to a purchasing scam orchestrated by Pioneer and Noble. The gist of Chabon's statement, even if the precise amount of loss to the town was inaccurate, is substantially true. The impact on the reader was the same regardless of whether Chabon's or Miyares's estimate reflected a thorough accounting of the financial harm to the town</w:t>
      </w:r>
      <w:r>
        <w:t xml:space="preserve">…. </w:t>
      </w:r>
      <w:r w:rsidRPr="00B52D12">
        <w:t xml:space="preserve">We conclude that, given the substance of the statement and when read as a whole, Chabon's statement was essentially true and was insufficient to establish falsehood for purposes of a claim of </w:t>
      </w:r>
      <w:proofErr w:type="gramStart"/>
      <w:r w:rsidRPr="00B52D12">
        <w:t>defamation.</w:t>
      </w:r>
      <w:r>
        <w:t>”</w:t>
      </w:r>
      <w:proofErr w:type="gramEnd"/>
    </w:p>
    <w:p w14:paraId="23344419" w14:textId="77777777" w:rsidR="00DA3352" w:rsidRDefault="00DA3352" w:rsidP="00DA3352">
      <w:pPr>
        <w:pStyle w:val="NoSpacing"/>
        <w:ind w:left="720"/>
      </w:pPr>
    </w:p>
    <w:p w14:paraId="272537CB" w14:textId="77777777" w:rsidR="00DA3352" w:rsidRDefault="00DA3352" w:rsidP="00DA3352">
      <w:pPr>
        <w:pStyle w:val="NoSpacing"/>
        <w:ind w:left="720"/>
      </w:pPr>
    </w:p>
    <w:p w14:paraId="59DA2FE0" w14:textId="77777777" w:rsidR="00DA3352" w:rsidRPr="00575870" w:rsidRDefault="00DA3352" w:rsidP="00DA3352">
      <w:pPr>
        <w:rPr>
          <w:b/>
          <w:bCs/>
        </w:rPr>
      </w:pPr>
      <w:r>
        <w:rPr>
          <w:b/>
        </w:rPr>
        <w:t xml:space="preserve">Legal lesson learned: The Town’s statements to the reporter were “essentially true” – no defamation. </w:t>
      </w:r>
    </w:p>
    <w:p w14:paraId="68BECF6C" w14:textId="77777777" w:rsidR="00DA3352" w:rsidRDefault="00DA3352" w:rsidP="002F7727">
      <w:pPr>
        <w:pStyle w:val="NoSpacing"/>
        <w:rPr>
          <w:rFonts w:ascii="Arial Black" w:hAnsi="Arial Black"/>
          <w:b/>
          <w:sz w:val="24"/>
          <w:szCs w:val="24"/>
        </w:rPr>
      </w:pPr>
    </w:p>
    <w:p w14:paraId="46276CEB" w14:textId="77777777" w:rsidR="00DA3352" w:rsidRDefault="00DA3352" w:rsidP="002F7727">
      <w:pPr>
        <w:pStyle w:val="NoSpacing"/>
        <w:rPr>
          <w:rFonts w:ascii="Arial Black" w:hAnsi="Arial Black"/>
          <w:b/>
          <w:sz w:val="24"/>
          <w:szCs w:val="24"/>
        </w:rPr>
      </w:pPr>
    </w:p>
    <w:p w14:paraId="62D4D5DF" w14:textId="77777777" w:rsidR="00DA3352" w:rsidRDefault="00DA3352" w:rsidP="002F7727">
      <w:pPr>
        <w:pStyle w:val="NoSpacing"/>
        <w:rPr>
          <w:rFonts w:ascii="Arial Black" w:hAnsi="Arial Black"/>
          <w:b/>
          <w:sz w:val="24"/>
          <w:szCs w:val="24"/>
        </w:rPr>
      </w:pPr>
    </w:p>
    <w:p w14:paraId="0258C0DE" w14:textId="77777777" w:rsidR="00DA3352" w:rsidRDefault="00DA3352" w:rsidP="002F7727">
      <w:pPr>
        <w:pStyle w:val="NoSpacing"/>
        <w:rPr>
          <w:rFonts w:ascii="Arial Black" w:hAnsi="Arial Black"/>
          <w:b/>
          <w:sz w:val="24"/>
          <w:szCs w:val="24"/>
        </w:rPr>
      </w:pPr>
    </w:p>
    <w:p w14:paraId="74CA35A5" w14:textId="04267F7F" w:rsidR="008F1833" w:rsidRDefault="0075332D" w:rsidP="002F7727">
      <w:pPr>
        <w:pStyle w:val="NoSpacing"/>
        <w:rPr>
          <w:rFonts w:ascii="Arial Black" w:hAnsi="Arial Black"/>
          <w:b/>
          <w:sz w:val="24"/>
          <w:szCs w:val="24"/>
        </w:rPr>
      </w:pPr>
      <w:r>
        <w:rPr>
          <w:rFonts w:ascii="Arial Black" w:hAnsi="Arial Black"/>
          <w:b/>
          <w:sz w:val="24"/>
          <w:szCs w:val="24"/>
        </w:rPr>
        <w:t>16-15</w:t>
      </w:r>
      <w:r w:rsidR="000301F2">
        <w:rPr>
          <w:rFonts w:ascii="Arial Black" w:hAnsi="Arial Black"/>
          <w:b/>
          <w:sz w:val="24"/>
          <w:szCs w:val="24"/>
        </w:rPr>
        <w:t>2</w:t>
      </w:r>
    </w:p>
    <w:p w14:paraId="000BA964" w14:textId="77777777" w:rsidR="0075332D" w:rsidRDefault="0075332D" w:rsidP="002F7727">
      <w:pPr>
        <w:pStyle w:val="NoSpacing"/>
        <w:rPr>
          <w:rFonts w:ascii="Arial Black" w:hAnsi="Arial Black"/>
          <w:b/>
          <w:sz w:val="24"/>
          <w:szCs w:val="24"/>
        </w:rPr>
      </w:pPr>
    </w:p>
    <w:p w14:paraId="7805EB33" w14:textId="77777777" w:rsidR="009352C7" w:rsidRPr="00495C7E" w:rsidRDefault="009352C7" w:rsidP="009352C7">
      <w:pPr>
        <w:pStyle w:val="NoSpacing"/>
        <w:rPr>
          <w:rFonts w:ascii="Arial Black" w:hAnsi="Arial Black"/>
          <w:sz w:val="28"/>
          <w:szCs w:val="28"/>
        </w:rPr>
      </w:pPr>
      <w:r>
        <w:rPr>
          <w:rFonts w:ascii="Arial Black" w:hAnsi="Arial Black"/>
          <w:sz w:val="28"/>
          <w:szCs w:val="28"/>
        </w:rPr>
        <w:t>TX: FF MISD – NO WRITTEN NOTICE TO CHIEF – 3 DAY SUSP</w:t>
      </w:r>
    </w:p>
    <w:p w14:paraId="161CF772" w14:textId="77777777" w:rsidR="009352C7" w:rsidRDefault="009352C7" w:rsidP="009352C7">
      <w:pPr>
        <w:pStyle w:val="NoSpacing"/>
      </w:pPr>
    </w:p>
    <w:p w14:paraId="704D83E3" w14:textId="77777777" w:rsidR="009352C7" w:rsidRDefault="009352C7" w:rsidP="009352C7">
      <w:pPr>
        <w:pStyle w:val="NoSpacing"/>
      </w:pPr>
      <w:r>
        <w:t xml:space="preserve">On March 17, 2026, in </w:t>
      </w:r>
      <w:r w:rsidRPr="002C29C3">
        <w:rPr>
          <w:u w:val="single"/>
        </w:rPr>
        <w:t>Fenton Petry v. City of Houston, Texas, and Police Officers and Firefighters Civil Service Commission</w:t>
      </w:r>
      <w:r>
        <w:t xml:space="preserve">, the </w:t>
      </w:r>
      <w:r w:rsidRPr="002C29C3">
        <w:t>Court of Appeals of Texas, Fourteenth District</w:t>
      </w:r>
      <w:r>
        <w:t xml:space="preserve"> held that both the “independent hearing examiner” and a District Court judge properly upheld the 3-day suspension for firefighter’s failure to inform the fire chief of his misdemeanor conviction of </w:t>
      </w:r>
      <w:r w:rsidRPr="004C4F78">
        <w:t>abuse of official capacity</w:t>
      </w:r>
      <w:r>
        <w:t xml:space="preserve">.  Fire Department regulations require firefighters to give written notice to the Fire Chief within twenty-four hours of “any court hearing dates and results involving a criminal matter.” </w:t>
      </w:r>
      <w:hyperlink r:id="rId2622" w:history="1">
        <w:r w:rsidRPr="004D13CD">
          <w:rPr>
            <w:rStyle w:val="Hyperlink"/>
          </w:rPr>
          <w:t>https://search.txcourts.gov/SearchMedia.aspx?MediaVersionID=2b0bcd7a-4ade-4d61-a274-df674ed3857f&amp;coa=coa14&amp;DT=Opinion&amp;MediaID=e76a99e8-4da0-48c8-9433-ea85e5f312cd</w:t>
        </w:r>
      </w:hyperlink>
      <w:r>
        <w:t xml:space="preserve"> </w:t>
      </w:r>
    </w:p>
    <w:p w14:paraId="68C9937F" w14:textId="77777777" w:rsidR="009352C7" w:rsidRDefault="009352C7" w:rsidP="009352C7">
      <w:pPr>
        <w:pStyle w:val="NoSpacing"/>
      </w:pPr>
    </w:p>
    <w:p w14:paraId="182C6F0B" w14:textId="77777777" w:rsidR="009352C7" w:rsidRPr="004C4F78" w:rsidRDefault="009352C7" w:rsidP="009352C7">
      <w:pPr>
        <w:pStyle w:val="NoSpacing"/>
      </w:pPr>
      <w:r>
        <w:t xml:space="preserve"> THE COURT HELD:  “</w:t>
      </w:r>
      <w:r w:rsidRPr="004C4F78">
        <w:t>Fenton Petry, the firefighter at issue, was charged with a felony count of</w:t>
      </w:r>
    </w:p>
    <w:p w14:paraId="7BACAECB" w14:textId="77777777" w:rsidR="009352C7" w:rsidRPr="004C4F78" w:rsidRDefault="009352C7" w:rsidP="009352C7">
      <w:pPr>
        <w:pStyle w:val="NoSpacing"/>
      </w:pPr>
      <w:r w:rsidRPr="004C4F78">
        <w:t>misuse of official information. See Tex. Penal Code § 39.06. He later pleaded guilty</w:t>
      </w:r>
    </w:p>
    <w:p w14:paraId="2ABA8B9F" w14:textId="77777777" w:rsidR="009352C7" w:rsidRDefault="009352C7" w:rsidP="009352C7">
      <w:pPr>
        <w:pStyle w:val="NoSpacing"/>
        <w:rPr>
          <w:bCs/>
        </w:rPr>
      </w:pPr>
      <w:r w:rsidRPr="004C4F78">
        <w:t>to a lesser misdemeanor count of abuse of official capacity</w:t>
      </w:r>
      <w:r>
        <w:t xml:space="preserve">…. </w:t>
      </w:r>
      <w:r w:rsidRPr="00235407">
        <w:t>Another document attached to the court slip alluded to a conviction. This</w:t>
      </w:r>
      <w:r>
        <w:t xml:space="preserve"> </w:t>
      </w:r>
      <w:r w:rsidRPr="00235407">
        <w:t xml:space="preserve">document was styled as </w:t>
      </w:r>
      <w:r>
        <w:t>‘</w:t>
      </w:r>
      <w:r w:rsidRPr="00235407">
        <w:t>Collections Instructions,</w:t>
      </w:r>
      <w:r>
        <w:t>’</w:t>
      </w:r>
      <w:r w:rsidRPr="00235407">
        <w:t xml:space="preserve"> and it contained a note saying</w:t>
      </w:r>
      <w:r>
        <w:t xml:space="preserve"> ‘</w:t>
      </w:r>
      <w:r w:rsidRPr="00235407">
        <w:t>$100 fine, Class C, court cost payment plan granted.</w:t>
      </w:r>
      <w:r>
        <w:t>’</w:t>
      </w:r>
      <w:r w:rsidRPr="00235407">
        <w:t xml:space="preserve"> But the document did not</w:t>
      </w:r>
      <w:r>
        <w:t xml:space="preserve"> </w:t>
      </w:r>
      <w:r w:rsidRPr="00235407">
        <w:t>identify the offense or even state that there had been a conviction.</w:t>
      </w:r>
      <w:r>
        <w:t>”</w:t>
      </w:r>
    </w:p>
    <w:p w14:paraId="518B1F90" w14:textId="77777777" w:rsidR="009352C7" w:rsidRDefault="009352C7" w:rsidP="009352C7">
      <w:pPr>
        <w:pStyle w:val="NoSpacing"/>
      </w:pPr>
    </w:p>
    <w:p w14:paraId="6146B81E" w14:textId="77777777" w:rsidR="009352C7" w:rsidRDefault="009352C7" w:rsidP="009352C7">
      <w:pPr>
        <w:pStyle w:val="NoSpacing"/>
      </w:pPr>
      <w:r>
        <w:t>***</w:t>
      </w:r>
    </w:p>
    <w:p w14:paraId="71124ACF" w14:textId="77777777" w:rsidR="009352C7" w:rsidRDefault="009352C7" w:rsidP="009352C7">
      <w:pPr>
        <w:pStyle w:val="NoSpacing"/>
      </w:pPr>
      <w:r>
        <w:t>Petry testified that he timely gave a copy of the judgment of conviction to his station captain, rather than the Fire Chief. But he also indicated that he anticipated that his captain would forward that judgment up the chain of command to the Fire Chief…. The Assistant Fire Chief further testified that the captain did not inform anyone in the chain of command about Petry’s conviction, and that the burden of providing that notice ultimately fell on Petry. The Assistant Fire Chief said that Petry knew of this burden because he had complied with it in the past when such notice happened to paint him in a beneficial light. The Assistant Fire Chief referred to an earlier occasion when Petry had been charged with DWI, and Petry directly notified the Fire Chief after that charge had been dismissed.”</w:t>
      </w:r>
    </w:p>
    <w:p w14:paraId="65CCE753" w14:textId="77777777" w:rsidR="009352C7" w:rsidRDefault="009352C7" w:rsidP="009352C7">
      <w:pPr>
        <w:pStyle w:val="NoSpacing"/>
        <w:rPr>
          <w:bCs/>
        </w:rPr>
      </w:pPr>
    </w:p>
    <w:p w14:paraId="00D34C60" w14:textId="77777777" w:rsidR="009352C7" w:rsidRDefault="009352C7" w:rsidP="009352C7">
      <w:pPr>
        <w:pStyle w:val="NoSpacing"/>
        <w:rPr>
          <w:b/>
        </w:rPr>
      </w:pPr>
      <w:r w:rsidRPr="00CA50E8">
        <w:rPr>
          <w:b/>
        </w:rPr>
        <w:t xml:space="preserve">Legal lesson learned: </w:t>
      </w:r>
      <w:r>
        <w:rPr>
          <w:b/>
        </w:rPr>
        <w:t xml:space="preserve">Excellent Fire Department policy – 24-hour written notice to Fire Chief of </w:t>
      </w:r>
      <w:r w:rsidRPr="00411EF9">
        <w:rPr>
          <w:b/>
        </w:rPr>
        <w:t>“any court hearing dates and results involving a criminal matter.”</w:t>
      </w:r>
    </w:p>
    <w:p w14:paraId="44A09BC3" w14:textId="77777777" w:rsidR="000301F2" w:rsidRDefault="000301F2" w:rsidP="009352C7">
      <w:pPr>
        <w:pStyle w:val="NoSpacing"/>
        <w:rPr>
          <w:b/>
        </w:rPr>
      </w:pPr>
    </w:p>
    <w:p w14:paraId="53648DB5" w14:textId="77777777" w:rsidR="000301F2" w:rsidRDefault="000301F2" w:rsidP="009352C7">
      <w:pPr>
        <w:pStyle w:val="NoSpacing"/>
        <w:rPr>
          <w:b/>
        </w:rPr>
      </w:pPr>
    </w:p>
    <w:p w14:paraId="51FDF3A1" w14:textId="75ABF0CC" w:rsidR="000301F2" w:rsidRPr="003C1133" w:rsidRDefault="000301F2" w:rsidP="009352C7">
      <w:pPr>
        <w:pStyle w:val="NoSpacing"/>
        <w:rPr>
          <w:b/>
          <w:sz w:val="28"/>
          <w:szCs w:val="28"/>
        </w:rPr>
      </w:pPr>
      <w:r w:rsidRPr="003C1133">
        <w:rPr>
          <w:b/>
          <w:sz w:val="28"/>
          <w:szCs w:val="28"/>
        </w:rPr>
        <w:t>16-151</w:t>
      </w:r>
    </w:p>
    <w:p w14:paraId="55C28911" w14:textId="77777777" w:rsidR="000301F2" w:rsidRDefault="000301F2" w:rsidP="009352C7">
      <w:pPr>
        <w:pStyle w:val="NoSpacing"/>
        <w:rPr>
          <w:b/>
        </w:rPr>
      </w:pPr>
    </w:p>
    <w:p w14:paraId="133CC37A" w14:textId="77777777" w:rsidR="000301F2" w:rsidRDefault="000301F2" w:rsidP="000301F2">
      <w:pPr>
        <w:pStyle w:val="NoSpacing"/>
        <w:rPr>
          <w:rFonts w:ascii="Arial Black" w:hAnsi="Arial Black"/>
          <w:sz w:val="28"/>
          <w:szCs w:val="28"/>
        </w:rPr>
      </w:pPr>
      <w:r>
        <w:rPr>
          <w:rFonts w:ascii="Arial Black" w:hAnsi="Arial Black"/>
          <w:sz w:val="28"/>
          <w:szCs w:val="28"/>
        </w:rPr>
        <w:t>MO: BC FIRED – USED AFFF STRUCTURE FIRE – VIOL ORDER</w:t>
      </w:r>
    </w:p>
    <w:p w14:paraId="1D23EAA0" w14:textId="77777777" w:rsidR="000301F2" w:rsidRDefault="000301F2" w:rsidP="000301F2">
      <w:pPr>
        <w:pStyle w:val="NoSpacing"/>
        <w:rPr>
          <w:rFonts w:ascii="Arial Black" w:hAnsi="Arial Black"/>
          <w:sz w:val="28"/>
          <w:szCs w:val="28"/>
        </w:rPr>
      </w:pPr>
    </w:p>
    <w:p w14:paraId="05ECC4A9" w14:textId="77777777" w:rsidR="000301F2" w:rsidRDefault="000301F2" w:rsidP="000301F2">
      <w:pPr>
        <w:pStyle w:val="NoSpacing"/>
      </w:pPr>
      <w:r>
        <w:t xml:space="preserve">On March 3, 2026, in </w:t>
      </w:r>
      <w:r w:rsidRPr="002E2C1B">
        <w:rPr>
          <w:u w:val="single"/>
        </w:rPr>
        <w:t>David Matusik v. Lake Ozark Fire Protection District</w:t>
      </w:r>
      <w:r>
        <w:t xml:space="preserve">, the </w:t>
      </w:r>
      <w:r w:rsidRPr="007F3B5A">
        <w:t>Court of Appeals of Missouri, Western District, Third Division</w:t>
      </w:r>
      <w:r>
        <w:t xml:space="preserve"> held (3 to 0) that the </w:t>
      </w:r>
      <w:r w:rsidRPr="00D37D10">
        <w:t>Board of Directors</w:t>
      </w:r>
      <w:r>
        <w:t xml:space="preserve"> held a due process hearing and had </w:t>
      </w:r>
      <w:r w:rsidRPr="00AB4BDB">
        <w:t>just cause to terminate Matusik’s employment.</w:t>
      </w:r>
      <w:r>
        <w:t xml:space="preserve">  New Fire Chief was hired in April 2023, and in </w:t>
      </w:r>
      <w:r w:rsidRPr="003E2F37">
        <w:t xml:space="preserve">November 2023, </w:t>
      </w:r>
      <w:r>
        <w:t xml:space="preserve">he </w:t>
      </w:r>
      <w:r w:rsidRPr="003E2F37">
        <w:t xml:space="preserve">discovered the </w:t>
      </w:r>
      <w:proofErr w:type="gramStart"/>
      <w:r w:rsidRPr="003E2F37">
        <w:t>District</w:t>
      </w:r>
      <w:proofErr w:type="gramEnd"/>
      <w:r w:rsidRPr="003E2F37">
        <w:t xml:space="preserve"> was still using AFFF</w:t>
      </w:r>
      <w:r>
        <w:t xml:space="preserve"> foam (cancer risk); on November 11, </w:t>
      </w:r>
      <w:proofErr w:type="gramStart"/>
      <w:r>
        <w:t>2023</w:t>
      </w:r>
      <w:proofErr w:type="gramEnd"/>
      <w:r>
        <w:t xml:space="preserve"> issued a written order prohibiting its use “unless an absolute life safety issue exists.” Less </w:t>
      </w:r>
      <w:proofErr w:type="spellStart"/>
      <w:r>
        <w:t>that</w:t>
      </w:r>
      <w:proofErr w:type="spellEnd"/>
      <w:r>
        <w:t xml:space="preserve"> two weeks later, on November 24, 2023, Matusik responded to a rekindled fire; was a “wind driven” fire that had spread to two homes beyond the initial involved home, and he decided to use the AFFF at the fire. The Fire Chief recommended his termination for this decision, plus working a shift trade that he converted to overtime pay without Chief’s permission. The Battalion Chief appealed to Circuit Court judge that reversed the termination;  the Court of Appeals reinstated the termination. </w:t>
      </w:r>
      <w:hyperlink r:id="rId2623" w:history="1">
        <w:r w:rsidRPr="002E59C2">
          <w:rPr>
            <w:rStyle w:val="Hyperlink"/>
          </w:rPr>
          <w:t>https://cases.justia.com/missouri/court-of-appeals/2026-wd88004.pdf?ts=1772555406</w:t>
        </w:r>
      </w:hyperlink>
      <w:r>
        <w:t xml:space="preserve"> </w:t>
      </w:r>
    </w:p>
    <w:p w14:paraId="67413446" w14:textId="77777777" w:rsidR="000301F2" w:rsidRDefault="000301F2" w:rsidP="000301F2">
      <w:pPr>
        <w:pStyle w:val="NoSpacing"/>
      </w:pPr>
    </w:p>
    <w:p w14:paraId="4B7F5A10" w14:textId="77777777" w:rsidR="000301F2" w:rsidRDefault="000301F2" w:rsidP="000301F2">
      <w:pPr>
        <w:pStyle w:val="NoSpacing"/>
      </w:pPr>
      <w:r>
        <w:t xml:space="preserve">THE COURT HELD: “We affirm the decision of the Board and remand the cause to the circuit court with directions to reinstate the Board’s decision terminating Matusik’s employment… With respect to his use of the AFFF, the Board found that Matusik was aware of Fire Chief’s order regarding the use of AFFF and knew that use of the foam without a life safety emergency was prohibited. The Board also discounted Matusik’s testimony that Fire Chief’s order gave him discretion to use AFFF because the only discretion afforded was if there was a life safety issue. The Board concluded that the evidence did not support </w:t>
      </w:r>
      <w:proofErr w:type="gramStart"/>
      <w:r>
        <w:t>a finding</w:t>
      </w:r>
      <w:proofErr w:type="gramEnd"/>
      <w:r>
        <w:t xml:space="preserve"> that any person’s life was in danger and that Matusik had other options available to him to fight the fire. The Board found Matusik’s decision to use the AFFF contradicted a direct order and was not supported by the facts…. </w:t>
      </w:r>
      <w:r w:rsidRPr="004474C8">
        <w:t>The Board affirmed the disciplinary recommendation and terminated Matusik’s employment.</w:t>
      </w:r>
      <w:r>
        <w:t>”</w:t>
      </w:r>
    </w:p>
    <w:p w14:paraId="6FAF0295" w14:textId="77777777" w:rsidR="000301F2" w:rsidRDefault="000301F2" w:rsidP="000301F2">
      <w:pPr>
        <w:pStyle w:val="NoSpacing"/>
      </w:pPr>
    </w:p>
    <w:p w14:paraId="2803081D" w14:textId="77777777" w:rsidR="000301F2" w:rsidRDefault="000301F2" w:rsidP="000301F2">
      <w:pPr>
        <w:pStyle w:val="NoSpacing"/>
      </w:pPr>
      <w:r w:rsidRPr="00C015D9">
        <w:rPr>
          <w:b/>
        </w:rPr>
        <w:t xml:space="preserve">Legal lesson learned: </w:t>
      </w:r>
      <w:r>
        <w:rPr>
          <w:b/>
        </w:rPr>
        <w:t xml:space="preserve">The Battalion Chief disobeyed the Chief’s order to not use AFFF foam. </w:t>
      </w:r>
    </w:p>
    <w:p w14:paraId="175B0F4A" w14:textId="77777777" w:rsidR="000301F2" w:rsidRDefault="000301F2" w:rsidP="000301F2">
      <w:pPr>
        <w:pStyle w:val="NoSpacing"/>
      </w:pPr>
    </w:p>
    <w:p w14:paraId="1B6639B1" w14:textId="77777777" w:rsidR="000301F2" w:rsidRPr="001C5BE8" w:rsidRDefault="000301F2" w:rsidP="000301F2">
      <w:pPr>
        <w:pStyle w:val="NoSpacing"/>
        <w:ind w:left="720"/>
        <w:rPr>
          <w:bCs/>
        </w:rPr>
      </w:pPr>
      <w:r w:rsidRPr="000425E7">
        <w:t>Note: See</w:t>
      </w:r>
      <w:r>
        <w:t xml:space="preserve"> July 8, </w:t>
      </w:r>
      <w:proofErr w:type="gramStart"/>
      <w:r>
        <w:t>2024</w:t>
      </w:r>
      <w:proofErr w:type="gramEnd"/>
      <w:r>
        <w:t xml:space="preserve"> GAO report: “</w:t>
      </w:r>
      <w:r w:rsidRPr="001C5BE8">
        <w:t>Firefighting Foam: DOD is Working to Address Challenges to Transitioning to PFAS-Free Alternatives</w:t>
      </w:r>
      <w:r>
        <w:t xml:space="preserve">.” </w:t>
      </w:r>
      <w:hyperlink r:id="rId2624" w:history="1">
        <w:r w:rsidRPr="0045422A">
          <w:rPr>
            <w:rStyle w:val="Hyperlink"/>
          </w:rPr>
          <w:t>https://www.gao.gov/products/gao-24-107322</w:t>
        </w:r>
      </w:hyperlink>
      <w:r>
        <w:t xml:space="preserve"> </w:t>
      </w:r>
    </w:p>
    <w:p w14:paraId="3BBFEA6E" w14:textId="77777777" w:rsidR="000301F2" w:rsidRDefault="000301F2" w:rsidP="000301F2">
      <w:pPr>
        <w:pStyle w:val="NoSpacing"/>
        <w:ind w:left="720"/>
        <w:rPr>
          <w:bCs/>
        </w:rPr>
      </w:pPr>
    </w:p>
    <w:p w14:paraId="4C916177" w14:textId="77777777" w:rsidR="000301F2" w:rsidRDefault="000301F2" w:rsidP="000301F2">
      <w:pPr>
        <w:pStyle w:val="NoSpacing"/>
        <w:ind w:left="720"/>
      </w:pPr>
      <w:r>
        <w:t>“</w:t>
      </w:r>
      <w:r w:rsidRPr="00C435C4">
        <w:t>The Defense Department is required to transition away from using firefighting foam that contains PFAS, a class of chemicals that poses health risks and has been found in drinking water around bases. This kind of foam has been considered the most effective product for suppressing jet fuel fires.</w:t>
      </w:r>
      <w:r>
        <w:t>”</w:t>
      </w:r>
    </w:p>
    <w:p w14:paraId="0054F477" w14:textId="77777777" w:rsidR="000301F2" w:rsidRDefault="000301F2" w:rsidP="000301F2">
      <w:pPr>
        <w:pStyle w:val="NoSpacing"/>
        <w:ind w:left="720"/>
      </w:pPr>
    </w:p>
    <w:p w14:paraId="66E250A5" w14:textId="77777777" w:rsidR="000301F2" w:rsidRPr="00CA50E8" w:rsidRDefault="000301F2" w:rsidP="009352C7">
      <w:pPr>
        <w:pStyle w:val="NoSpacing"/>
        <w:rPr>
          <w:b/>
        </w:rPr>
      </w:pPr>
    </w:p>
    <w:p w14:paraId="5A1523A9" w14:textId="77777777" w:rsidR="009352C7" w:rsidRDefault="009352C7" w:rsidP="002F7727">
      <w:pPr>
        <w:pStyle w:val="NoSpacing"/>
        <w:rPr>
          <w:rFonts w:ascii="Arial Black" w:hAnsi="Arial Black"/>
          <w:b/>
          <w:sz w:val="24"/>
          <w:szCs w:val="24"/>
        </w:rPr>
      </w:pPr>
    </w:p>
    <w:p w14:paraId="67954119" w14:textId="77777777" w:rsidR="0075332D" w:rsidRDefault="0075332D" w:rsidP="002F7727">
      <w:pPr>
        <w:pStyle w:val="NoSpacing"/>
        <w:rPr>
          <w:rFonts w:ascii="Arial Black" w:hAnsi="Arial Black"/>
          <w:b/>
          <w:sz w:val="24"/>
          <w:szCs w:val="24"/>
        </w:rPr>
      </w:pPr>
    </w:p>
    <w:p w14:paraId="6E80C789" w14:textId="77777777" w:rsidR="0075332D" w:rsidRDefault="0075332D" w:rsidP="002F7727">
      <w:pPr>
        <w:pStyle w:val="NoSpacing"/>
        <w:rPr>
          <w:rFonts w:ascii="Arial Black" w:hAnsi="Arial Black"/>
          <w:b/>
          <w:sz w:val="24"/>
          <w:szCs w:val="24"/>
        </w:rPr>
      </w:pPr>
    </w:p>
    <w:p w14:paraId="1983BDF7" w14:textId="63EF4D99" w:rsidR="008F1833" w:rsidRDefault="002F409C" w:rsidP="002F7727">
      <w:pPr>
        <w:pStyle w:val="NoSpacing"/>
        <w:rPr>
          <w:rFonts w:ascii="Arial Black" w:hAnsi="Arial Black"/>
          <w:b/>
          <w:sz w:val="24"/>
          <w:szCs w:val="24"/>
        </w:rPr>
      </w:pPr>
      <w:r>
        <w:rPr>
          <w:rFonts w:ascii="Arial Black" w:hAnsi="Arial Black"/>
          <w:b/>
          <w:sz w:val="24"/>
          <w:szCs w:val="24"/>
        </w:rPr>
        <w:t>16-150</w:t>
      </w:r>
      <w:r w:rsidR="00DB1FBE">
        <w:rPr>
          <w:rFonts w:ascii="Arial Black" w:hAnsi="Arial Black"/>
          <w:b/>
          <w:sz w:val="24"/>
          <w:szCs w:val="24"/>
        </w:rPr>
        <w:t xml:space="preserve">  </w:t>
      </w:r>
      <w:r w:rsidR="00DB1FBE" w:rsidRPr="00DB1FBE">
        <w:rPr>
          <w:rFonts w:ascii="Times New Roman" w:hAnsi="Times New Roman"/>
          <w:b/>
          <w:sz w:val="24"/>
          <w:szCs w:val="24"/>
        </w:rPr>
        <w:t>[also filed, Chap. 13]</w:t>
      </w:r>
      <w:r w:rsidR="00DB1FBE">
        <w:rPr>
          <w:rFonts w:ascii="Arial Black" w:hAnsi="Arial Black"/>
          <w:b/>
          <w:sz w:val="24"/>
          <w:szCs w:val="24"/>
        </w:rPr>
        <w:t xml:space="preserve"> </w:t>
      </w:r>
    </w:p>
    <w:p w14:paraId="145F0D18" w14:textId="77777777" w:rsidR="00DB1FBE" w:rsidRDefault="00DB1FBE" w:rsidP="002F7727">
      <w:pPr>
        <w:pStyle w:val="NoSpacing"/>
        <w:rPr>
          <w:rFonts w:ascii="Arial Black" w:hAnsi="Arial Black"/>
          <w:b/>
          <w:sz w:val="24"/>
          <w:szCs w:val="24"/>
        </w:rPr>
      </w:pPr>
    </w:p>
    <w:p w14:paraId="322B0E8A" w14:textId="77777777" w:rsidR="002F409C" w:rsidRDefault="002F409C" w:rsidP="002F409C">
      <w:pPr>
        <w:pStyle w:val="NoSpacing"/>
        <w:rPr>
          <w:rFonts w:ascii="Arial Black" w:hAnsi="Arial Black"/>
          <w:b/>
          <w:sz w:val="28"/>
          <w:szCs w:val="28"/>
        </w:rPr>
      </w:pPr>
      <w:r>
        <w:rPr>
          <w:rFonts w:ascii="Arial Black" w:hAnsi="Arial Black"/>
          <w:b/>
          <w:sz w:val="28"/>
          <w:szCs w:val="28"/>
        </w:rPr>
        <w:t xml:space="preserve">FL: B/C FIRED – REFUSED TO ISSUE COVID REPRIMANDS </w:t>
      </w:r>
    </w:p>
    <w:p w14:paraId="38D9810D" w14:textId="77777777" w:rsidR="002F409C" w:rsidRDefault="002F409C" w:rsidP="002F409C">
      <w:pPr>
        <w:pStyle w:val="NoSpacing"/>
        <w:rPr>
          <w:rFonts w:ascii="Arial Black" w:hAnsi="Arial Black"/>
          <w:b/>
          <w:sz w:val="28"/>
          <w:szCs w:val="28"/>
        </w:rPr>
      </w:pPr>
    </w:p>
    <w:p w14:paraId="0B38A88E" w14:textId="77777777" w:rsidR="002F409C" w:rsidRDefault="002F409C" w:rsidP="002F409C">
      <w:pPr>
        <w:pStyle w:val="NoSpacing"/>
        <w:rPr>
          <w:bCs/>
        </w:rPr>
      </w:pPr>
      <w:r>
        <w:t xml:space="preserve">On February 13, 2026, in </w:t>
      </w:r>
      <w:r w:rsidRPr="00805F39">
        <w:rPr>
          <w:u w:val="single"/>
        </w:rPr>
        <w:t>Stephen M. Davis v. Orange County</w:t>
      </w:r>
      <w:r>
        <w:t xml:space="preserve">, the United States Court of Appeals for the Eleventh Circuit (Atlanta) held (3 to 0; unpublished decision) that his lawsuit was properly dismissed.  </w:t>
      </w:r>
      <w:r w:rsidRPr="00CD2C4C">
        <w:t xml:space="preserve">Davis worked for the department for 15 years and advanced through the ranks to battalion chief. In 2021, Davis was terminated after he did not reprimand department personnel who refused the Orange County’s mandated COVID-19 vaccine. </w:t>
      </w:r>
      <w:r>
        <w:t xml:space="preserve"> Davis has failed to allege an” objectively reasonable” belief that issuing the written reprimands to firefighters who hadn’t timely provided a vaccination certificate or exemption request, because the union had negotiated an MOU with the County that COVID reprimands could not be considered or used in a union member’s performance evaluation, and that no further disciplinary action could be taken against employees who didn’t file a timely vaccination certificate or exemption request. </w:t>
      </w:r>
      <w:hyperlink r:id="rId2625" w:history="1">
        <w:r w:rsidRPr="002B0907">
          <w:rPr>
            <w:rStyle w:val="Hyperlink"/>
          </w:rPr>
          <w:t>https://www.govinfo.gov/content/pkg/USCOURTS-ca11-25-11434/pdf/USCOURTS-ca11-25-11434-0.pdf</w:t>
        </w:r>
      </w:hyperlink>
      <w:r>
        <w:t xml:space="preserve"> </w:t>
      </w:r>
    </w:p>
    <w:p w14:paraId="17A6FCB2" w14:textId="77777777" w:rsidR="002F409C" w:rsidRDefault="002F409C" w:rsidP="002F409C">
      <w:pPr>
        <w:pStyle w:val="NoSpacing"/>
        <w:rPr>
          <w:bCs/>
        </w:rPr>
      </w:pPr>
    </w:p>
    <w:p w14:paraId="7C38F979" w14:textId="77777777" w:rsidR="002F409C" w:rsidRDefault="002F409C" w:rsidP="002F409C">
      <w:pPr>
        <w:pStyle w:val="NoSpacing"/>
      </w:pPr>
      <w:r>
        <w:t>THE COURT HELD: “It is undisputed that Davis’s termination was an adverse employment action caused by his refusal to issue reprimands for violations of the department’s COVID-19 policy, so this case comes down to whether that refusal was protected activity…. Here, Davis asserts that he believed the reprimands he was ordered to issue violated Title VII’s anti-discrimination provision. That belief wasn’t objectively reasonable….  The memorandum of understanding between the union representing Orange County firefighters and the county stated that the reprimands could not be considered or used in a union member’s performance</w:t>
      </w:r>
    </w:p>
    <w:p w14:paraId="30C79BBB" w14:textId="77777777" w:rsidR="002F409C" w:rsidRDefault="002F409C" w:rsidP="002F409C">
      <w:pPr>
        <w:pStyle w:val="NoSpacing"/>
      </w:pPr>
      <w:r>
        <w:t xml:space="preserve">evaluation, and that no further disciplinary action could be taken against employees who didn’t file a timely vaccination certificate or exemption request. In other words, the reprimands were toothless—they themselves didn’t rise to the level of an adverse employment action, and a future adverse employment action couldn’t be based on them…. In other words, the reprimands were toothless—they themselves didn’t rise to the level of an adverse employment action, and a future adverse employment action couldn’t be based on them. </w:t>
      </w:r>
      <w:proofErr w:type="gramStart"/>
      <w:r>
        <w:t>So</w:t>
      </w:r>
      <w:proofErr w:type="gramEnd"/>
      <w:r>
        <w:t xml:space="preserve"> Davis has failed to allege an objectively reasonable belief that a written reprimand—that by its own terms could</w:t>
      </w:r>
    </w:p>
    <w:p w14:paraId="74AE29AD" w14:textId="77777777" w:rsidR="002F409C" w:rsidRDefault="002F409C" w:rsidP="002F409C">
      <w:pPr>
        <w:pStyle w:val="NoSpacing"/>
      </w:pPr>
      <w:r>
        <w:t>not impact the terms or conditions of a firefighter’s employment— would disadvantage, harm, or make “worse off” his subordinates’ employment in any way.”</w:t>
      </w:r>
    </w:p>
    <w:p w14:paraId="5881BC65" w14:textId="77777777" w:rsidR="002F409C" w:rsidRDefault="002F409C" w:rsidP="002F409C">
      <w:pPr>
        <w:pStyle w:val="NoSpacing"/>
      </w:pPr>
    </w:p>
    <w:p w14:paraId="042553EC" w14:textId="77777777" w:rsidR="002F409C" w:rsidRDefault="002F409C" w:rsidP="002F409C">
      <w:pPr>
        <w:pStyle w:val="NoSpacing"/>
        <w:rPr>
          <w:b/>
          <w:bCs/>
        </w:rPr>
      </w:pPr>
      <w:r>
        <w:rPr>
          <w:b/>
        </w:rPr>
        <w:t>Legal lesson learned:  Davis should have consulted an employment layer before refusing to issue the COVID reprimands.</w:t>
      </w:r>
    </w:p>
    <w:p w14:paraId="2711476C" w14:textId="77777777" w:rsidR="002F409C" w:rsidRDefault="002F409C" w:rsidP="002F409C">
      <w:pPr>
        <w:pStyle w:val="NoSpacing"/>
        <w:rPr>
          <w:b/>
          <w:bCs/>
        </w:rPr>
      </w:pPr>
    </w:p>
    <w:p w14:paraId="5CEDC709" w14:textId="77777777" w:rsidR="002F409C" w:rsidRDefault="002F409C" w:rsidP="002F409C">
      <w:pPr>
        <w:pStyle w:val="NoSpacing"/>
        <w:ind w:left="720"/>
      </w:pPr>
      <w:r>
        <w:t xml:space="preserve">Note: See June 15, </w:t>
      </w:r>
      <w:proofErr w:type="gramStart"/>
      <w:r>
        <w:t>2024</w:t>
      </w:r>
      <w:proofErr w:type="gramEnd"/>
      <w:r>
        <w:t xml:space="preserve"> article</w:t>
      </w:r>
      <w:r w:rsidRPr="001260AC">
        <w:rPr>
          <w:b/>
        </w:rPr>
        <w:t xml:space="preserve">: </w:t>
      </w:r>
      <w:r>
        <w:rPr>
          <w:b/>
        </w:rPr>
        <w:t>“</w:t>
      </w:r>
      <w:r w:rsidRPr="001260AC">
        <w:t>BREAKING: Former Orange County Fire Rescue battalion chief announces candidacy for County Commission District 1</w:t>
      </w:r>
      <w:r>
        <w:t xml:space="preserve">. </w:t>
      </w:r>
      <w:hyperlink r:id="rId2626" w:history="1">
        <w:r w:rsidRPr="002B0907">
          <w:rPr>
            <w:rStyle w:val="Hyperlink"/>
          </w:rPr>
          <w:t>https://www.orangeobserver.com/news/2024/jun/15/breaking-former-orange-county-fire-rescue-battalion-chief-announces-candidacy-for-county-commission-district-1/</w:t>
        </w:r>
      </w:hyperlink>
      <w:r>
        <w:t xml:space="preserve"> </w:t>
      </w:r>
    </w:p>
    <w:p w14:paraId="28F98514" w14:textId="77777777" w:rsidR="002F409C" w:rsidRDefault="002F409C" w:rsidP="002F409C">
      <w:pPr>
        <w:pStyle w:val="NoSpacing"/>
        <w:ind w:left="720"/>
      </w:pPr>
    </w:p>
    <w:p w14:paraId="07731DD2" w14:textId="77777777" w:rsidR="002F409C" w:rsidRPr="00A21182" w:rsidRDefault="002F409C" w:rsidP="002F409C">
      <w:pPr>
        <w:pStyle w:val="NoSpacing"/>
        <w:ind w:left="720"/>
      </w:pPr>
      <w:r>
        <w:t>“</w:t>
      </w:r>
      <w:r w:rsidRPr="00722EC8">
        <w:t xml:space="preserve">Stephen Davis, a former Orange County Fire Rescue battalion chief has filed as a qualified write-in candidate for the </w:t>
      </w:r>
      <w:proofErr w:type="gramStart"/>
      <w:r w:rsidRPr="00722EC8">
        <w:t>District</w:t>
      </w:r>
      <w:proofErr w:type="gramEnd"/>
      <w:r w:rsidRPr="00722EC8">
        <w:t xml:space="preserve"> 1 Orange County Commission seat.</w:t>
      </w:r>
      <w:r>
        <w:t xml:space="preserve"> </w:t>
      </w:r>
      <w:r w:rsidRPr="00722EC8">
        <w:t xml:space="preserve">Davis joins incumbent Nicole Wilson and challenger Austin Arthur in the race. </w:t>
      </w:r>
      <w:proofErr w:type="spellStart"/>
      <w:r w:rsidRPr="00722EC8">
        <w:t>Davis’</w:t>
      </w:r>
      <w:proofErr w:type="spellEnd"/>
      <w:r w:rsidRPr="00722EC8">
        <w:t xml:space="preserve"> candidacy also moves the race from November general election up to the primary ballot, Aug. 20.</w:t>
      </w:r>
      <w:r>
        <w:t xml:space="preserve"> </w:t>
      </w:r>
      <w:r w:rsidRPr="00722EC8">
        <w:t xml:space="preserve">If one candidate gets 50% plus one vote in the primary, that person wins the seat, Orange County Supervisor of Elections Public Information Officer Christopher Heath said. </w:t>
      </w:r>
      <w:r>
        <w:t xml:space="preserve"> </w:t>
      </w:r>
      <w:r w:rsidRPr="00722EC8">
        <w:t>Davis worked for the department for 15 years and advanced through the ranks to battalion chief. In 2021, Davis was terminated after he did not reprimand department personnel who refused the Orange County’s mandated COVID-19 vaccine.</w:t>
      </w:r>
      <w:r w:rsidRPr="00A21182">
        <w:rPr>
          <w:rFonts w:eastAsia="Times New Roman"/>
        </w:rPr>
        <w:t xml:space="preserve"> </w:t>
      </w:r>
      <w:r w:rsidRPr="00A21182">
        <w:t xml:space="preserve">He later filed a lawsuit against the county for wrongful termination </w:t>
      </w:r>
      <w:proofErr w:type="gramStart"/>
      <w:r w:rsidRPr="00A21182">
        <w:t>and also</w:t>
      </w:r>
      <w:proofErr w:type="gramEnd"/>
      <w:r w:rsidRPr="00A21182">
        <w:t xml:space="preserve"> has written a book about his experience.</w:t>
      </w:r>
      <w:r>
        <w:t xml:space="preserve"> ‘</w:t>
      </w:r>
      <w:r w:rsidRPr="00A21182">
        <w:t>History has now proven Orange County was wrong to mandate the so-called vaccine,</w:t>
      </w:r>
      <w:r>
        <w:t>’</w:t>
      </w:r>
      <w:r w:rsidRPr="00A21182">
        <w:t xml:space="preserve"> Davis said. </w:t>
      </w:r>
      <w:r>
        <w:t>‘</w:t>
      </w:r>
      <w:r w:rsidRPr="00A21182">
        <w:t>It did not stop the spread. Worse, Commissioner Nicole Wilson ridiculed and showed disdain for the firefighters who refused it. That’s why I’m running — to make sure this issue does not go away.</w:t>
      </w:r>
      <w:r>
        <w:t>’”</w:t>
      </w:r>
    </w:p>
    <w:p w14:paraId="664BB4B0" w14:textId="77777777" w:rsidR="002F409C" w:rsidRPr="00722EC8" w:rsidRDefault="002F409C" w:rsidP="002F409C">
      <w:pPr>
        <w:pStyle w:val="NoSpacing"/>
        <w:ind w:left="720"/>
      </w:pPr>
    </w:p>
    <w:p w14:paraId="015FB502" w14:textId="77777777" w:rsidR="002F409C" w:rsidRDefault="002F409C" w:rsidP="002F409C">
      <w:pPr>
        <w:pStyle w:val="NoSpacing"/>
      </w:pPr>
    </w:p>
    <w:p w14:paraId="4FAFC4E0" w14:textId="23635BD7" w:rsidR="002F409C" w:rsidRPr="008A774F" w:rsidRDefault="00B8457C" w:rsidP="008A774F">
      <w:pPr>
        <w:pStyle w:val="NoSpacing"/>
        <w:rPr>
          <w:rFonts w:ascii="Arial Black" w:hAnsi="Arial Black"/>
          <w:sz w:val="28"/>
          <w:szCs w:val="28"/>
        </w:rPr>
      </w:pPr>
      <w:r w:rsidRPr="008A774F">
        <w:rPr>
          <w:rFonts w:ascii="Arial Black" w:hAnsi="Arial Black"/>
          <w:sz w:val="28"/>
          <w:szCs w:val="28"/>
        </w:rPr>
        <w:t>16-149</w:t>
      </w:r>
    </w:p>
    <w:p w14:paraId="2E59CE5D" w14:textId="77777777" w:rsidR="00B8457C" w:rsidRDefault="00B8457C" w:rsidP="002F409C">
      <w:pPr>
        <w:pStyle w:val="NoSpacing"/>
        <w:ind w:left="720"/>
      </w:pPr>
    </w:p>
    <w:p w14:paraId="0F963F48" w14:textId="77777777" w:rsidR="00B8457C" w:rsidRPr="008A1D44" w:rsidRDefault="00B8457C" w:rsidP="00B8457C">
      <w:pPr>
        <w:pStyle w:val="NoSpacing"/>
        <w:rPr>
          <w:rFonts w:ascii="Arial Black" w:hAnsi="Arial Black"/>
          <w:sz w:val="28"/>
          <w:szCs w:val="28"/>
        </w:rPr>
      </w:pPr>
      <w:r>
        <w:rPr>
          <w:rFonts w:ascii="Arial Black" w:hAnsi="Arial Black"/>
          <w:sz w:val="28"/>
          <w:szCs w:val="28"/>
        </w:rPr>
        <w:t>TX: FEMALE LT – 5-DAY &amp; 10-DAY SUSP - LEAVING STATION</w:t>
      </w:r>
    </w:p>
    <w:p w14:paraId="1206711F" w14:textId="77777777" w:rsidR="00B8457C" w:rsidRDefault="00B8457C" w:rsidP="00B8457C">
      <w:pPr>
        <w:pStyle w:val="NoSpacing"/>
      </w:pPr>
      <w:r w:rsidRPr="008A1D44">
        <w:t> </w:t>
      </w:r>
    </w:p>
    <w:p w14:paraId="1C2E5C13" w14:textId="77777777" w:rsidR="00B8457C" w:rsidRDefault="00B8457C" w:rsidP="00B8457C">
      <w:pPr>
        <w:pStyle w:val="NoSpacing"/>
      </w:pPr>
      <w:r>
        <w:t xml:space="preserve">On February 12, 2026, in </w:t>
      </w:r>
      <w:r w:rsidRPr="003851F7">
        <w:rPr>
          <w:u w:val="single"/>
        </w:rPr>
        <w:t>City of Pharr v. Lt. Krystle Guerra</w:t>
      </w:r>
      <w:r>
        <w:t xml:space="preserve">, the </w:t>
      </w:r>
      <w:r w:rsidRPr="003851F7">
        <w:t>Court of Appeals of Texas, Thirteenth District, Corpus Christi-Edinburg</w:t>
      </w:r>
      <w:r>
        <w:t xml:space="preserve">, held that the </w:t>
      </w:r>
      <w:r w:rsidRPr="00D62030">
        <w:t>City of Pharr Fire &amp; Police Civil Service Commission</w:t>
      </w:r>
      <w:r>
        <w:t xml:space="preserve"> upheld her two separate suspensions after hearings, and the trial court should have dismissed her lawsuit.   </w:t>
      </w:r>
      <w:hyperlink r:id="rId2627" w:history="1">
        <w:r w:rsidRPr="00C72C21">
          <w:rPr>
            <w:rStyle w:val="Hyperlink"/>
          </w:rPr>
          <w:t>https://cases.justia.com/texas/thirteenth-court-of-appeals/2026-13-24-00112-cv.pdf?ts=1770913029</w:t>
        </w:r>
      </w:hyperlink>
      <w:r>
        <w:t xml:space="preserve"> </w:t>
      </w:r>
    </w:p>
    <w:p w14:paraId="398F0604" w14:textId="77777777" w:rsidR="00B8457C" w:rsidRDefault="00B8457C" w:rsidP="00B8457C">
      <w:pPr>
        <w:pStyle w:val="NoSpacing"/>
      </w:pPr>
    </w:p>
    <w:p w14:paraId="3EE69B60" w14:textId="77777777" w:rsidR="00B8457C" w:rsidRDefault="00B8457C" w:rsidP="00B8457C">
      <w:pPr>
        <w:pStyle w:val="NoSpacing"/>
      </w:pPr>
      <w:r>
        <w:t>THE COURT HELD: “</w:t>
      </w:r>
      <w:r w:rsidRPr="00363CB9">
        <w:t>On June 22, 2021, Guerra received written notice that then-Fire Chief Leonardo Perez was investigating allegations that she violated Department policies on multiple occasions. The allegations largely centered on several reports that, without prior authorization, Guerra repeatedly left her assigned fire station and district to conduct personal business or socialize at other stations while on duty.</w:t>
      </w:r>
      <w:r>
        <w:t xml:space="preserve"> </w:t>
      </w:r>
      <w:r w:rsidRPr="00363CB9">
        <w:t xml:space="preserve">During a disciplinary hearing before Chief Perez, Guerra did not dispute those allegations; instead, she generally claimed that it was common for other Department personnel to run personal errands during work hours. Chief Perez invited Guerra to provide examples to support her contention. In a follow-up email to Chief Perez, she accused him of running personal errands while on duty and cited specific instances of him allegedly doing so. After considering Guerra's response, Chief Perez found the allegations against her to be true and suspended Guerra for five days without pay. </w:t>
      </w:r>
      <w:r>
        <w:t xml:space="preserve">*** </w:t>
      </w:r>
      <w:r w:rsidRPr="00001403">
        <w:t xml:space="preserve">In January 2022, Chief Perez's successor, Pilar Rodriguez, sent Guerra written notice of contemplated discipline concerning two incidents. Guerra was accused of </w:t>
      </w:r>
      <w:r>
        <w:t>‘</w:t>
      </w:r>
      <w:r w:rsidRPr="00001403">
        <w:t>exchanging time</w:t>
      </w:r>
      <w:r>
        <w:t>’</w:t>
      </w:r>
      <w:r w:rsidRPr="00001403">
        <w:t xml:space="preserve"> with another lieutenant in violation of a supervisor's prior directive not to do so. She was also accused of leaving her post for two hours without obtaining prior authorization from her immediate supervisor or notifying others above her in the chain of command.</w:t>
      </w:r>
      <w:r>
        <w:t xml:space="preserve"> *** </w:t>
      </w:r>
      <w:r w:rsidRPr="00802436">
        <w:t xml:space="preserve">Guerra alleged in her petition that her protected activities consisted of </w:t>
      </w:r>
      <w:r>
        <w:t>‘</w:t>
      </w:r>
      <w:r w:rsidRPr="00802436">
        <w:t>reporting misbehavior by a male firefighter and [Chief Perez]</w:t>
      </w:r>
      <w:r>
        <w:t>’</w:t>
      </w:r>
      <w:r w:rsidRPr="00802436">
        <w:t xml:space="preserve"> and that her transfer to another station and suspensions constituted </w:t>
      </w:r>
      <w:r>
        <w:t>‘</w:t>
      </w:r>
      <w:r w:rsidRPr="00802436">
        <w:t>retaliation</w:t>
      </w:r>
      <w:r>
        <w:t>’</w:t>
      </w:r>
      <w:r w:rsidRPr="00802436">
        <w:t xml:space="preserve"> for making these reports. However, as she described in her own petition, the January 2021 report concerned </w:t>
      </w:r>
      <w:proofErr w:type="gramStart"/>
      <w:r w:rsidRPr="00802436">
        <w:t xml:space="preserve">a subordinate's </w:t>
      </w:r>
      <w:r>
        <w:t>‘</w:t>
      </w:r>
      <w:proofErr w:type="gramEnd"/>
      <w:r w:rsidRPr="00802436">
        <w:t>work performance issues." For example, Guerra reported that this employee's job performance was "unsatisfactory</w:t>
      </w:r>
      <w:r>
        <w:t>’</w:t>
      </w:r>
      <w:r w:rsidRPr="00802436">
        <w:t xml:space="preserve"> because of his poor interpersonal skills. Nowhere in the report did Guerra state that the employee had engaged in any kind of discriminatory behavior</w:t>
      </w:r>
      <w:r>
        <w:t xml:space="preserve">…. </w:t>
      </w:r>
      <w:r w:rsidRPr="00C83518">
        <w:t>In short, Guerra's pleadings and evidence conclusively establish that her retaliation claims are based on activities that are not protected by Chapter 2</w:t>
      </w:r>
      <w:r>
        <w:t>1.”</w:t>
      </w:r>
    </w:p>
    <w:p w14:paraId="2FE37623" w14:textId="77777777" w:rsidR="00B8457C" w:rsidRDefault="00B8457C" w:rsidP="00B8457C">
      <w:pPr>
        <w:pStyle w:val="NoSpacing"/>
      </w:pPr>
    </w:p>
    <w:p w14:paraId="4437E266" w14:textId="77777777" w:rsidR="00B8457C" w:rsidRPr="00FB3A46" w:rsidRDefault="00B8457C" w:rsidP="00B8457C">
      <w:pPr>
        <w:pStyle w:val="NoSpacing"/>
        <w:rPr>
          <w:b/>
          <w:bCs/>
        </w:rPr>
      </w:pPr>
      <w:r w:rsidRPr="00FB3A46">
        <w:rPr>
          <w:b/>
        </w:rPr>
        <w:t xml:space="preserve">Legal lesson learned: </w:t>
      </w:r>
      <w:r>
        <w:rPr>
          <w:b/>
        </w:rPr>
        <w:t xml:space="preserve">Laving a station without permission, particularly when you are the OIC, can lead to discipline. </w:t>
      </w:r>
    </w:p>
    <w:p w14:paraId="4C666750" w14:textId="77777777" w:rsidR="00B8457C" w:rsidRDefault="00B8457C" w:rsidP="002F409C">
      <w:pPr>
        <w:pStyle w:val="NoSpacing"/>
        <w:ind w:left="720"/>
      </w:pPr>
    </w:p>
    <w:p w14:paraId="2520933B" w14:textId="77777777" w:rsidR="002F409C" w:rsidRPr="005E4175" w:rsidRDefault="002F409C" w:rsidP="002F409C">
      <w:pPr>
        <w:pStyle w:val="NoSpacing"/>
        <w:ind w:left="720"/>
        <w:rPr>
          <w:bCs/>
        </w:rPr>
      </w:pPr>
    </w:p>
    <w:p w14:paraId="015843BB" w14:textId="77777777" w:rsidR="002F409C" w:rsidRDefault="002F409C" w:rsidP="002F7727">
      <w:pPr>
        <w:pStyle w:val="NoSpacing"/>
        <w:rPr>
          <w:rFonts w:ascii="Arial Black" w:hAnsi="Arial Black"/>
          <w:b/>
          <w:sz w:val="24"/>
          <w:szCs w:val="24"/>
        </w:rPr>
      </w:pPr>
    </w:p>
    <w:p w14:paraId="0CD8FBB3" w14:textId="77777777" w:rsidR="002F409C" w:rsidRDefault="002F409C" w:rsidP="002F7727">
      <w:pPr>
        <w:pStyle w:val="NoSpacing"/>
        <w:rPr>
          <w:rFonts w:ascii="Arial Black" w:hAnsi="Arial Black"/>
          <w:b/>
          <w:sz w:val="24"/>
          <w:szCs w:val="24"/>
        </w:rPr>
      </w:pPr>
    </w:p>
    <w:p w14:paraId="657BAB78" w14:textId="77777777" w:rsidR="002F409C" w:rsidRDefault="002F409C" w:rsidP="002F7727">
      <w:pPr>
        <w:pStyle w:val="NoSpacing"/>
        <w:rPr>
          <w:rFonts w:ascii="Arial Black" w:hAnsi="Arial Black"/>
          <w:b/>
          <w:sz w:val="24"/>
          <w:szCs w:val="24"/>
        </w:rPr>
      </w:pPr>
    </w:p>
    <w:p w14:paraId="1D2F6AFE" w14:textId="77777777" w:rsidR="002F409C" w:rsidRDefault="002F409C" w:rsidP="002F7727">
      <w:pPr>
        <w:pStyle w:val="NoSpacing"/>
        <w:rPr>
          <w:rFonts w:ascii="Arial Black" w:hAnsi="Arial Black"/>
          <w:b/>
          <w:sz w:val="24"/>
          <w:szCs w:val="24"/>
        </w:rPr>
      </w:pPr>
    </w:p>
    <w:p w14:paraId="2D4EEB85" w14:textId="546E0E82" w:rsidR="008F1833" w:rsidRDefault="008F1833" w:rsidP="002F7727">
      <w:pPr>
        <w:pStyle w:val="NoSpacing"/>
        <w:rPr>
          <w:rFonts w:ascii="Arial Black" w:hAnsi="Arial Black"/>
          <w:b/>
          <w:sz w:val="24"/>
          <w:szCs w:val="24"/>
        </w:rPr>
      </w:pPr>
      <w:r>
        <w:rPr>
          <w:rFonts w:ascii="Arial Black" w:hAnsi="Arial Black"/>
          <w:b/>
          <w:sz w:val="24"/>
          <w:szCs w:val="24"/>
        </w:rPr>
        <w:t>16-148</w:t>
      </w:r>
    </w:p>
    <w:p w14:paraId="3629D51F" w14:textId="77777777" w:rsidR="008F1833" w:rsidRDefault="008F1833" w:rsidP="002F7727">
      <w:pPr>
        <w:pStyle w:val="NoSpacing"/>
        <w:rPr>
          <w:rFonts w:ascii="Arial Black" w:hAnsi="Arial Black"/>
          <w:b/>
          <w:sz w:val="24"/>
          <w:szCs w:val="24"/>
        </w:rPr>
      </w:pPr>
    </w:p>
    <w:p w14:paraId="2425D079" w14:textId="3802543F" w:rsidR="008F1833" w:rsidRPr="008F1833" w:rsidRDefault="008F1833" w:rsidP="008F1833">
      <w:pPr>
        <w:pStyle w:val="NoSpacing"/>
        <w:rPr>
          <w:rFonts w:ascii="Times New Roman" w:hAnsi="Times New Roman"/>
          <w:b/>
          <w:sz w:val="24"/>
          <w:szCs w:val="24"/>
        </w:rPr>
      </w:pPr>
      <w:r>
        <w:rPr>
          <w:rFonts w:ascii="Arial Black" w:hAnsi="Arial Black"/>
          <w:b/>
          <w:sz w:val="28"/>
          <w:szCs w:val="28"/>
        </w:rPr>
        <w:t xml:space="preserve">FL: FF FIRED – ANNUAL PHYSICAL – TRIED AVOID TB TEST </w:t>
      </w:r>
      <w:r w:rsidRPr="008F1833">
        <w:rPr>
          <w:rFonts w:ascii="Times New Roman" w:hAnsi="Times New Roman"/>
          <w:b/>
          <w:sz w:val="24"/>
          <w:szCs w:val="24"/>
        </w:rPr>
        <w:t>[also filed, Chap. 1</w:t>
      </w:r>
      <w:r>
        <w:rPr>
          <w:rFonts w:ascii="Times New Roman" w:hAnsi="Times New Roman"/>
          <w:b/>
          <w:sz w:val="24"/>
          <w:szCs w:val="24"/>
        </w:rPr>
        <w:t>4</w:t>
      </w:r>
      <w:r w:rsidRPr="008F1833">
        <w:rPr>
          <w:rFonts w:ascii="Times New Roman" w:hAnsi="Times New Roman"/>
          <w:b/>
          <w:sz w:val="24"/>
          <w:szCs w:val="24"/>
        </w:rPr>
        <w:t>]</w:t>
      </w:r>
    </w:p>
    <w:p w14:paraId="59BB6ECC" w14:textId="77777777" w:rsidR="008F1833" w:rsidRDefault="008F1833" w:rsidP="008F1833">
      <w:pPr>
        <w:pStyle w:val="NoSpacing"/>
        <w:rPr>
          <w:b/>
        </w:rPr>
      </w:pPr>
    </w:p>
    <w:p w14:paraId="069674D6" w14:textId="77777777" w:rsidR="008F1833" w:rsidRPr="00FF0E3F" w:rsidRDefault="008F1833" w:rsidP="008F1833">
      <w:pPr>
        <w:pStyle w:val="NoSpacing"/>
        <w:rPr>
          <w:bCs/>
        </w:rPr>
      </w:pPr>
      <w:r w:rsidRPr="001D2253">
        <w:t xml:space="preserve">On February 6, 2026, in </w:t>
      </w:r>
      <w:r w:rsidRPr="001D2253">
        <w:rPr>
          <w:u w:val="single"/>
        </w:rPr>
        <w:t>Nathaniel Griffin v. City of South Pasadena and The St. Petersburg International Association of Fire Fighters, Local 747</w:t>
      </w:r>
      <w:r w:rsidRPr="001D2253">
        <w:t xml:space="preserve">, </w:t>
      </w:r>
      <w:r>
        <w:t xml:space="preserve">U.S. District Court Judge William F. Jung, </w:t>
      </w:r>
      <w:r w:rsidRPr="00FF0E3F">
        <w:t>United States District Court for the Middle District of Florida, Tampa Division</w:t>
      </w:r>
      <w:r>
        <w:t xml:space="preserve">, dismissed the lawsuit against both the </w:t>
      </w:r>
      <w:proofErr w:type="gramStart"/>
      <w:r>
        <w:t>City</w:t>
      </w:r>
      <w:proofErr w:type="gramEnd"/>
      <w:r>
        <w:t xml:space="preserve"> and the Local.  Firefighter, paramedic Griffin, on </w:t>
      </w:r>
      <w:r w:rsidRPr="00F470E1">
        <w:t xml:space="preserve">August 12, </w:t>
      </w:r>
      <w:proofErr w:type="gramStart"/>
      <w:r w:rsidRPr="00F470E1">
        <w:t>2022</w:t>
      </w:r>
      <w:proofErr w:type="gramEnd"/>
      <w:r w:rsidRPr="00F470E1">
        <w:t xml:space="preserve"> underwent his annual physical examination at Life Scan Wellness Center</w:t>
      </w:r>
      <w:r>
        <w:t xml:space="preserve">; he </w:t>
      </w:r>
      <w:r w:rsidRPr="00F470E1">
        <w:t>completed most of the medical examination without issue, except for the TB test</w:t>
      </w:r>
      <w:r>
        <w:t xml:space="preserve">, when asked </w:t>
      </w:r>
      <w:r w:rsidRPr="00F470E1">
        <w:t>the Life Scan technician to skip the TB test but fraudulently report that a test had been done.</w:t>
      </w:r>
      <w:r>
        <w:t xml:space="preserve">  The Fire Chief gave the plaintiff an opportunity to </w:t>
      </w:r>
      <w:proofErr w:type="gramStart"/>
      <w:r>
        <w:t>resigned</w:t>
      </w:r>
      <w:proofErr w:type="gramEnd"/>
      <w:r>
        <w:t xml:space="preserve">; he refused and was fired on September 13, 2022. </w:t>
      </w:r>
      <w:hyperlink r:id="rId2628" w:history="1">
        <w:r w:rsidRPr="00C72C21">
          <w:rPr>
            <w:rStyle w:val="Hyperlink"/>
          </w:rPr>
          <w:t>https://cases.justia.com/federal/district-courts/florida/flmdce/8:2025cv02787/448658/35/0.pdf</w:t>
        </w:r>
      </w:hyperlink>
      <w:r>
        <w:t xml:space="preserve"> </w:t>
      </w:r>
    </w:p>
    <w:p w14:paraId="550CD85C" w14:textId="77777777" w:rsidR="008F1833" w:rsidRDefault="008F1833" w:rsidP="008F1833">
      <w:pPr>
        <w:pStyle w:val="NoSpacing"/>
        <w:rPr>
          <w:bCs/>
        </w:rPr>
      </w:pPr>
    </w:p>
    <w:p w14:paraId="68D5181D" w14:textId="77777777" w:rsidR="008F1833" w:rsidRDefault="008F1833" w:rsidP="008F1833">
      <w:pPr>
        <w:pStyle w:val="NoSpacing"/>
      </w:pPr>
      <w:r>
        <w:t>THE COURT HELD: “</w:t>
      </w:r>
      <w:r w:rsidRPr="005C306F">
        <w:t>When evaluating the results of the physical examination, the CBA requires the physician to follow the national guidelines set forth in the National Fire Protection Association (</w:t>
      </w:r>
      <w:r>
        <w:t>‘</w:t>
      </w:r>
      <w:r w:rsidRPr="005C306F">
        <w:t>NFPA</w:t>
      </w:r>
      <w:r>
        <w:t>’</w:t>
      </w:r>
      <w:r w:rsidRPr="005C306F">
        <w:t>) 1582, Chapter 9</w:t>
      </w:r>
      <w:r>
        <w:t xml:space="preserve">…. </w:t>
      </w:r>
      <w:r w:rsidRPr="005C306F">
        <w:t xml:space="preserve"> As relevant to this lawsuit, the annual physical examination includes tuberculosis (</w:t>
      </w:r>
      <w:r>
        <w:t>‘</w:t>
      </w:r>
      <w:r w:rsidRPr="005C306F">
        <w:t>TB</w:t>
      </w:r>
      <w:r>
        <w:t>’</w:t>
      </w:r>
      <w:r w:rsidRPr="005C306F">
        <w:t>) testing, which may require an additional chest X-ray if the TB test comes back positive</w:t>
      </w:r>
      <w:r>
        <w:t xml:space="preserve">…. </w:t>
      </w:r>
      <w:r w:rsidRPr="005C306F">
        <w:t xml:space="preserve">Plaintiff alleges that at some unspecified point during the CBA negotiations, he objected to the CBA agreement due </w:t>
      </w:r>
      <w:r>
        <w:t>‘</w:t>
      </w:r>
      <w:r w:rsidRPr="005C306F">
        <w:t>to the breath [sic] and intrusive nature of the mandatory medical examinations.</w:t>
      </w:r>
      <w:r>
        <w:t xml:space="preserve">’ … </w:t>
      </w:r>
      <w:r w:rsidRPr="005C306F">
        <w:t xml:space="preserve">Plaintiff further alleges that he continually voiced his objection to the CBA, even after the agreement was adopted on August 28, 2019. </w:t>
      </w:r>
      <w:r>
        <w:t xml:space="preserve">***  </w:t>
      </w:r>
      <w:r w:rsidRPr="00901B14">
        <w:t>Based on a careful review of the pleadings, the Court grants the City's motion to dismiss. As discussed below, Plaintiff has failed to state a claim under the ADA, GINA, Title VII, and Section 1983</w:t>
      </w:r>
      <w:r>
        <w:t xml:space="preserve">…. </w:t>
      </w:r>
      <w:r w:rsidRPr="003E7359">
        <w:t xml:space="preserve">Here, even when accepting the meager factual allegations as true, Plaintiff fails to allege any Fourth Amendment violation since the Complaint fails to allege that any private interests outweigh the City's interest in public safety. The Complaint vaguely asserts that the August 2022 physical examination violated </w:t>
      </w:r>
      <w:r>
        <w:t>‘</w:t>
      </w:r>
      <w:r w:rsidRPr="003E7359">
        <w:t xml:space="preserve">Plaintiff's personal privacy </w:t>
      </w:r>
      <w:proofErr w:type="gramStart"/>
      <w:r w:rsidRPr="003E7359">
        <w:t>rights</w:t>
      </w:r>
      <w:r>
        <w:t>’</w:t>
      </w:r>
      <w:proofErr w:type="gramEnd"/>
      <w:r w:rsidRPr="003E7359">
        <w:t xml:space="preserve"> due to the exam's </w:t>
      </w:r>
      <w:r>
        <w:t>‘</w:t>
      </w:r>
      <w:r w:rsidRPr="003E7359">
        <w:t>breadth and intrusive nature.</w:t>
      </w:r>
      <w:r>
        <w:t xml:space="preserve">’ … </w:t>
      </w:r>
      <w:r w:rsidRPr="003E7359">
        <w:t xml:space="preserve">But Plaintiff never specifies what aspect of the physical examination was so </w:t>
      </w:r>
      <w:r>
        <w:t>‘</w:t>
      </w:r>
      <w:proofErr w:type="spellStart"/>
      <w:r w:rsidRPr="003E7359">
        <w:t>intrusiv</w:t>
      </w:r>
      <w:proofErr w:type="spellEnd"/>
      <w:r>
        <w:t>’</w:t>
      </w:r>
      <w:r w:rsidRPr="003E7359">
        <w:t xml:space="preserve"> and overbroad that it violated Plaintiff's diminished expectation of privacy due to his job as a firefighter and paramedic. </w:t>
      </w:r>
      <w:r w:rsidRPr="003E7359">
        <w:rPr>
          <w:i/>
          <w:iCs/>
        </w:rPr>
        <w:t xml:space="preserve">See </w:t>
      </w:r>
      <w:proofErr w:type="spellStart"/>
      <w:r w:rsidRPr="003E7359">
        <w:rPr>
          <w:i/>
          <w:iCs/>
        </w:rPr>
        <w:t>Nat'l</w:t>
      </w:r>
      <w:proofErr w:type="spellEnd"/>
      <w:r w:rsidRPr="003E7359">
        <w:rPr>
          <w:i/>
          <w:iCs/>
        </w:rPr>
        <w:t xml:space="preserve"> Treasury Emps. Union v. Von Raab</w:t>
      </w:r>
      <w:r w:rsidRPr="003E7359">
        <w:t>, 489 U.S. 656, 671 (1989) (</w:t>
      </w:r>
      <w:r>
        <w:t>‘</w:t>
      </w:r>
      <w:r w:rsidRPr="003E7359">
        <w:t>[I]t is plain that certain forms of public employment may diminish privacy expectations even with respect to . . . personal searches.</w:t>
      </w:r>
      <w:r>
        <w:t>’</w:t>
      </w:r>
      <w:r w:rsidRPr="003E7359">
        <w:t xml:space="preserve">); </w:t>
      </w:r>
      <w:r w:rsidRPr="003E7359">
        <w:rPr>
          <w:i/>
          <w:iCs/>
        </w:rPr>
        <w:t>Scott</w:t>
      </w:r>
      <w:r w:rsidRPr="003E7359">
        <w:t>, 717 F.3d at 869 (</w:t>
      </w:r>
      <w:r>
        <w:t>‘</w:t>
      </w:r>
      <w:r w:rsidRPr="003E7359">
        <w:t xml:space="preserve">Another category-a natural extension of the Supreme Court's holding in </w:t>
      </w:r>
      <w:r w:rsidRPr="003E7359">
        <w:rPr>
          <w:i/>
          <w:iCs/>
        </w:rPr>
        <w:t>Von Raab</w:t>
      </w:r>
      <w:r w:rsidRPr="003E7359">
        <w:t>-encompasses . . . firefighters.</w:t>
      </w:r>
      <w:r>
        <w:t>’</w:t>
      </w:r>
      <w:r w:rsidRPr="003E7359">
        <w:t xml:space="preserve">); </w:t>
      </w:r>
      <w:r w:rsidRPr="003E7359">
        <w:rPr>
          <w:i/>
          <w:iCs/>
        </w:rPr>
        <w:t>Williams v. Bd. of Regents of Univ. Sys. of Georgia</w:t>
      </w:r>
      <w:r w:rsidRPr="003E7359">
        <w:t>, No. CV 120-100, 2021 WL 2827293, at *7 (S.D. Ga. July 7, 2021) (dismissing the plaintiff's Fourth Amendment search and seizure claim, as her employer's drug test fell under the special needs exception).</w:t>
      </w:r>
      <w:r>
        <w:t xml:space="preserve"> ***  Local 747’s motion seeks dismissal of the single ADA discrimination claim</w:t>
      </w:r>
    </w:p>
    <w:p w14:paraId="520AF071" w14:textId="77777777" w:rsidR="008F1833" w:rsidRDefault="008F1833" w:rsidP="008F1833">
      <w:pPr>
        <w:pStyle w:val="NoSpacing"/>
      </w:pPr>
      <w:r>
        <w:t xml:space="preserve">in Count IX. Local 747 asserts that the ADA claim is time-barred since Plaintiff ‘failed to file a charge against the Local challenging the medical exam requirement at issue within 300 days after Local 747 entered into the CBA on August 28, 2019.’ … Plaintiff’s discrimination charge must have been filed with the FCHR or the EEOC within 300 days—i.e., by June 23, 2020.” </w:t>
      </w:r>
    </w:p>
    <w:p w14:paraId="08B70C13" w14:textId="77777777" w:rsidR="008F1833" w:rsidRDefault="008F1833" w:rsidP="008F1833">
      <w:pPr>
        <w:pStyle w:val="NoSpacing"/>
      </w:pPr>
    </w:p>
    <w:p w14:paraId="7156F364" w14:textId="77777777" w:rsidR="008F1833" w:rsidRDefault="008F1833" w:rsidP="008F1833">
      <w:pPr>
        <w:pStyle w:val="NoSpacing"/>
        <w:rPr>
          <w:b/>
          <w:bCs/>
        </w:rPr>
      </w:pPr>
      <w:r w:rsidRPr="00C65E3A">
        <w:rPr>
          <w:b/>
        </w:rPr>
        <w:t xml:space="preserve">Legal lesson learned: </w:t>
      </w:r>
      <w:r>
        <w:rPr>
          <w:b/>
        </w:rPr>
        <w:t xml:space="preserve">Very unusual to have a firefighter complain about annual physical. </w:t>
      </w:r>
    </w:p>
    <w:p w14:paraId="2FC42FE7" w14:textId="77777777" w:rsidR="008F1833" w:rsidRDefault="008F1833" w:rsidP="008F1833">
      <w:pPr>
        <w:pStyle w:val="NoSpacing"/>
        <w:rPr>
          <w:b/>
          <w:bCs/>
        </w:rPr>
      </w:pPr>
      <w:r>
        <w:rPr>
          <w:b/>
        </w:rPr>
        <w:tab/>
      </w:r>
      <w:r w:rsidRPr="00EA4E78">
        <w:t>Note: In Footnote 7, the Court wrote</w:t>
      </w:r>
      <w:r>
        <w:rPr>
          <w:b/>
        </w:rPr>
        <w:t xml:space="preserve">: </w:t>
      </w:r>
    </w:p>
    <w:p w14:paraId="146E6C0A" w14:textId="77777777" w:rsidR="008F1833" w:rsidRDefault="008F1833" w:rsidP="008F1833">
      <w:pPr>
        <w:pStyle w:val="NoSpacing"/>
        <w:ind w:left="720"/>
      </w:pPr>
      <w:r>
        <w:rPr>
          <w:b/>
        </w:rPr>
        <w:t>“</w:t>
      </w:r>
      <w:r w:rsidRPr="00975937">
        <w:t xml:space="preserve">Firefighters reside in close quarters. They must be strong and hale. They must be able to provide emergency lifesaving techniques in difficult circumstances to people of varying health. </w:t>
      </w:r>
      <w:r w:rsidRPr="00975937">
        <w:rPr>
          <w:i/>
          <w:iCs/>
        </w:rPr>
        <w:t>See Cremeens v. City of Montgomery, Ala.</w:t>
      </w:r>
      <w:r w:rsidRPr="00975937">
        <w:t xml:space="preserve">, 427 </w:t>
      </w:r>
      <w:proofErr w:type="spellStart"/>
      <w:r w:rsidRPr="00975937">
        <w:t>Fed.Appx</w:t>
      </w:r>
      <w:proofErr w:type="spellEnd"/>
      <w:r w:rsidRPr="00975937">
        <w:t>. 855, 858 (11th Cir. 2011) (</w:t>
      </w:r>
      <w:r>
        <w:t>‘</w:t>
      </w:r>
      <w:r w:rsidRPr="00975937">
        <w:t>The physical fitness requirements are directly related to a Fire Investigator's duty to fight fires, and they are necessary to ensure that Fire Investigators are able to perform that function when called upon to do so.).</w:t>
      </w:r>
      <w:r>
        <w:t>”</w:t>
      </w:r>
    </w:p>
    <w:p w14:paraId="6B337B2B" w14:textId="77777777" w:rsidR="008F1833" w:rsidRPr="003E7359" w:rsidRDefault="008F1833" w:rsidP="008F1833">
      <w:pPr>
        <w:pStyle w:val="NoSpacing"/>
        <w:rPr>
          <w:b/>
          <w:bCs/>
        </w:rPr>
      </w:pPr>
    </w:p>
    <w:p w14:paraId="5CA43F86" w14:textId="77777777" w:rsidR="008F1833" w:rsidRDefault="008F1833" w:rsidP="002F7727">
      <w:pPr>
        <w:pStyle w:val="NoSpacing"/>
        <w:rPr>
          <w:rFonts w:ascii="Arial Black" w:hAnsi="Arial Black"/>
          <w:b/>
          <w:sz w:val="24"/>
          <w:szCs w:val="24"/>
        </w:rPr>
      </w:pPr>
    </w:p>
    <w:p w14:paraId="7C861934" w14:textId="77777777" w:rsidR="008F1833" w:rsidRDefault="008F1833" w:rsidP="002F7727">
      <w:pPr>
        <w:pStyle w:val="NoSpacing"/>
        <w:rPr>
          <w:rFonts w:ascii="Arial Black" w:hAnsi="Arial Black"/>
          <w:b/>
          <w:sz w:val="24"/>
          <w:szCs w:val="24"/>
        </w:rPr>
      </w:pPr>
    </w:p>
    <w:p w14:paraId="73FA9069" w14:textId="77777777" w:rsidR="008F1833" w:rsidRDefault="008F1833" w:rsidP="002F7727">
      <w:pPr>
        <w:pStyle w:val="NoSpacing"/>
        <w:rPr>
          <w:rFonts w:ascii="Arial Black" w:hAnsi="Arial Black"/>
          <w:b/>
          <w:sz w:val="24"/>
          <w:szCs w:val="24"/>
        </w:rPr>
      </w:pPr>
    </w:p>
    <w:p w14:paraId="4E085C1C" w14:textId="3F81DCA6" w:rsidR="00E775DC" w:rsidRDefault="00D03249" w:rsidP="002F7727">
      <w:pPr>
        <w:pStyle w:val="NoSpacing"/>
        <w:rPr>
          <w:rFonts w:ascii="Arial Black" w:hAnsi="Arial Black"/>
          <w:b/>
          <w:sz w:val="24"/>
          <w:szCs w:val="24"/>
        </w:rPr>
      </w:pPr>
      <w:r>
        <w:rPr>
          <w:rFonts w:ascii="Arial Black" w:hAnsi="Arial Black"/>
          <w:b/>
          <w:sz w:val="24"/>
          <w:szCs w:val="24"/>
        </w:rPr>
        <w:t>16-147</w:t>
      </w:r>
    </w:p>
    <w:p w14:paraId="13A2D7BC" w14:textId="77777777" w:rsidR="00D03249" w:rsidRDefault="00D03249" w:rsidP="002F7727">
      <w:pPr>
        <w:pStyle w:val="NoSpacing"/>
        <w:rPr>
          <w:rFonts w:ascii="Arial Black" w:hAnsi="Arial Black"/>
          <w:b/>
          <w:sz w:val="24"/>
          <w:szCs w:val="24"/>
        </w:rPr>
      </w:pPr>
    </w:p>
    <w:p w14:paraId="3215AEE9" w14:textId="7C81C2E3" w:rsidR="00C01200" w:rsidRDefault="00C01200" w:rsidP="00C01200">
      <w:r>
        <w:rPr>
          <w:rFonts w:ascii="Arial Black" w:hAnsi="Arial Black"/>
          <w:b/>
          <w:sz w:val="28"/>
          <w:szCs w:val="28"/>
        </w:rPr>
        <w:t xml:space="preserve">IL: CPT / FFs WORE TRUMP MASKS STATION – </w:t>
      </w:r>
      <w:r w:rsidR="006648D0">
        <w:rPr>
          <w:rFonts w:ascii="Arial Black" w:hAnsi="Arial Black"/>
          <w:b/>
          <w:sz w:val="28"/>
          <w:szCs w:val="28"/>
        </w:rPr>
        <w:t xml:space="preserve">CASE </w:t>
      </w:r>
      <w:r>
        <w:rPr>
          <w:rFonts w:ascii="Arial Black" w:hAnsi="Arial Black"/>
          <w:b/>
          <w:sz w:val="28"/>
          <w:szCs w:val="28"/>
        </w:rPr>
        <w:t>PROCEED</w:t>
      </w:r>
    </w:p>
    <w:p w14:paraId="04E3E00A" w14:textId="77777777" w:rsidR="00C01200" w:rsidRDefault="00C01200" w:rsidP="00C01200">
      <w:pPr>
        <w:pStyle w:val="NoSpacing"/>
      </w:pPr>
      <w:r>
        <w:t xml:space="preserve">On January 27, 2026, in </w:t>
      </w:r>
      <w:r w:rsidRPr="00F55727">
        <w:rPr>
          <w:u w:val="single"/>
        </w:rPr>
        <w:t>Curt Koopman v. City of Evanston, et al</w:t>
      </w:r>
      <w:r>
        <w:t xml:space="preserve">., U.S. District Court Judge </w:t>
      </w:r>
      <w:r w:rsidRPr="00F55727">
        <w:t>Joan B. Gottschall</w:t>
      </w:r>
      <w:r>
        <w:t xml:space="preserve">, United States District Court for Northern District of Illinois, Eastern Division, denied the City’s motion to dismiss. The </w:t>
      </w:r>
      <w:proofErr w:type="gramStart"/>
      <w:r>
        <w:t>Captain</w:t>
      </w:r>
      <w:proofErr w:type="gramEnd"/>
      <w:r>
        <w:t xml:space="preserve"> and other members of his crew briefly wore Trump masks while watch the inauguration on TV, and a photo was taken.  During the disciplinary interrogation, the </w:t>
      </w:r>
      <w:proofErr w:type="gramStart"/>
      <w:r>
        <w:t>Captain</w:t>
      </w:r>
      <w:proofErr w:type="gramEnd"/>
      <w:r>
        <w:t xml:space="preserve"> was </w:t>
      </w:r>
      <w:proofErr w:type="gramStart"/>
      <w:r>
        <w:t>asked</w:t>
      </w:r>
      <w:proofErr w:type="gramEnd"/>
      <w:r>
        <w:t xml:space="preserve"> “whether he supported Donald Trump during the recent presidential election.”</w:t>
      </w:r>
      <w:r w:rsidRPr="008367D7">
        <w:t xml:space="preserve"> </w:t>
      </w:r>
      <w:hyperlink r:id="rId2629" w:history="1">
        <w:r w:rsidRPr="00560ED8">
          <w:rPr>
            <w:rStyle w:val="Hyperlink"/>
          </w:rPr>
          <w:t>https://cases.justia.com/federal/district-courts/illinois/ilndce/1:2025cv10892/485962/24/0.pdf?ts=1769597667</w:t>
        </w:r>
      </w:hyperlink>
      <w:r>
        <w:t xml:space="preserve"> </w:t>
      </w:r>
    </w:p>
    <w:p w14:paraId="3516865F" w14:textId="77777777" w:rsidR="00C01200" w:rsidRDefault="00C01200" w:rsidP="00C01200">
      <w:pPr>
        <w:pStyle w:val="NoSpacing"/>
      </w:pPr>
    </w:p>
    <w:p w14:paraId="3C2DC0D4" w14:textId="77777777" w:rsidR="00C01200" w:rsidRDefault="00C01200" w:rsidP="00C01200">
      <w:pPr>
        <w:pStyle w:val="NoSpacing"/>
      </w:pPr>
      <w:r>
        <w:t xml:space="preserve">THE COURT HELD: </w:t>
      </w:r>
    </w:p>
    <w:p w14:paraId="424B6872" w14:textId="77777777" w:rsidR="00C01200" w:rsidRDefault="00C01200" w:rsidP="00C01200">
      <w:pPr>
        <w:pStyle w:val="NoSpacing"/>
      </w:pPr>
    </w:p>
    <w:p w14:paraId="61F2B8AD" w14:textId="77777777" w:rsidR="00C01200" w:rsidRDefault="00C01200" w:rsidP="00C01200">
      <w:pPr>
        <w:pStyle w:val="NoSpacing"/>
        <w:ind w:left="720"/>
      </w:pPr>
      <w:r>
        <w:t>“Koopman’s complaint alleges that on ‘January 20, 2025, Plaintiff and multiple other members of the Evanston Fire Department briefly donned Donald Trump masks</w:t>
      </w:r>
    </w:p>
    <w:p w14:paraId="37A3A7D4" w14:textId="77777777" w:rsidR="00C01200" w:rsidRDefault="00C01200" w:rsidP="00C01200">
      <w:pPr>
        <w:pStyle w:val="NoSpacing"/>
        <w:ind w:firstLine="720"/>
      </w:pPr>
      <w:r>
        <w:t>while watching the presidential inauguration on television.’ …Further, plaintiff</w:t>
      </w:r>
    </w:p>
    <w:p w14:paraId="1C6A47D6" w14:textId="77777777" w:rsidR="00C01200" w:rsidRDefault="00C01200" w:rsidP="00C01200">
      <w:pPr>
        <w:pStyle w:val="NoSpacing"/>
        <w:ind w:left="720"/>
      </w:pPr>
      <w:r>
        <w:t xml:space="preserve">alleges, ‘[a]t some point thereafter, someone posted an image of Plaintiff and several other members of the Evanston Fire Department wearing Donald Trump masks on an internet site.’… ‘When wearing the mask,’ plaintiff alleges, he ‘did not make any political statement, or express any political views.’… </w:t>
      </w:r>
    </w:p>
    <w:p w14:paraId="34528BB9" w14:textId="77777777" w:rsidR="00C01200" w:rsidRDefault="00C01200" w:rsidP="00C01200">
      <w:pPr>
        <w:pStyle w:val="NoSpacing"/>
        <w:ind w:left="720"/>
      </w:pPr>
    </w:p>
    <w:p w14:paraId="5DC70DC6" w14:textId="77777777" w:rsidR="00C01200" w:rsidRDefault="00C01200" w:rsidP="00C01200">
      <w:pPr>
        <w:pStyle w:val="NoSpacing"/>
        <w:ind w:left="720"/>
      </w:pPr>
      <w:r>
        <w:t>‘On or about January 23, 2025, Plaintiff received written notification that he was being subjected to a disciplinary investigation,’ which required his attendance at a ‘disciplinary</w:t>
      </w:r>
    </w:p>
    <w:p w14:paraId="38684F67" w14:textId="77777777" w:rsidR="00C01200" w:rsidRDefault="00C01200" w:rsidP="00C01200">
      <w:pPr>
        <w:pStyle w:val="NoSpacing"/>
        <w:ind w:left="720"/>
      </w:pPr>
      <w:r>
        <w:t xml:space="preserve">interrogation.’… Plaintiff alleges that during the interrogation, ‘Defendant [Fire Chief Paul] </w:t>
      </w:r>
      <w:proofErr w:type="spellStart"/>
      <w:r>
        <w:t>Polep</w:t>
      </w:r>
      <w:proofErr w:type="spellEnd"/>
      <w:r>
        <w:t xml:space="preserve"> ordered Plaintiff to answer all questions,’ including ‘whether he supported Donald Trump during the recent presidential election.’… After being ‘required to reveal that he was a supporter of Donald Trump,’ plaintiff ‘was subjected to a seven (7) shift suspension by Defendant </w:t>
      </w:r>
      <w:proofErr w:type="spellStart"/>
      <w:r>
        <w:t>Polep</w:t>
      </w:r>
      <w:proofErr w:type="spellEnd"/>
      <w:r>
        <w:t xml:space="preserve">.’ …The suspension, plaintiff alleges, ‘was motivated by a desire to punish Plaintiff for his political support of a presidential candidate [who] was unpopular in the City of Evanston.’ … Koopman lost wages </w:t>
      </w:r>
      <w:proofErr w:type="gramStart"/>
      <w:r>
        <w:t>as a result of</w:t>
      </w:r>
      <w:proofErr w:type="gramEnd"/>
      <w:r>
        <w:t xml:space="preserve"> the suspension.</w:t>
      </w:r>
    </w:p>
    <w:p w14:paraId="14BB0088" w14:textId="77777777" w:rsidR="00C01200" w:rsidRDefault="00C01200" w:rsidP="00C01200">
      <w:pPr>
        <w:pStyle w:val="NoSpacing"/>
        <w:ind w:left="720"/>
      </w:pPr>
    </w:p>
    <w:p w14:paraId="65101A46" w14:textId="77777777" w:rsidR="00C01200" w:rsidRDefault="00C01200" w:rsidP="00C01200">
      <w:pPr>
        <w:pStyle w:val="NoSpacing"/>
        <w:ind w:left="720"/>
      </w:pPr>
      <w:r>
        <w:t>***</w:t>
      </w:r>
    </w:p>
    <w:p w14:paraId="35CCEA76" w14:textId="77777777" w:rsidR="00C01200" w:rsidRDefault="00C01200" w:rsidP="00C01200">
      <w:pPr>
        <w:pStyle w:val="NoSpacing"/>
        <w:ind w:firstLine="720"/>
      </w:pPr>
      <w:r>
        <w:t>The court need not decide whether the complaint’s allegation of the reason for plaintiff’s</w:t>
      </w:r>
    </w:p>
    <w:p w14:paraId="114B9473" w14:textId="77777777" w:rsidR="00C01200" w:rsidRDefault="00C01200" w:rsidP="00C01200">
      <w:pPr>
        <w:pStyle w:val="NoSpacing"/>
        <w:ind w:firstLine="720"/>
      </w:pPr>
      <w:r>
        <w:t>discipline, standing alone, would be considered plausible because the transcript of the</w:t>
      </w:r>
    </w:p>
    <w:p w14:paraId="1B8AC29E" w14:textId="77777777" w:rsidR="00C01200" w:rsidRDefault="00C01200" w:rsidP="00C01200">
      <w:pPr>
        <w:pStyle w:val="NoSpacing"/>
        <w:ind w:left="720"/>
      </w:pPr>
      <w:proofErr w:type="gramStart"/>
      <w:r>
        <w:t>disciplinary</w:t>
      </w:r>
      <w:proofErr w:type="gramEnd"/>
      <w:r>
        <w:t xml:space="preserve"> interrogation offered by defendants provides evidence that plaintiff’s political affiliation was explicitly considered before he was disciplined. Plaintiff’s “support” of Donald Trump, which as far as the complaint alleges was limited to his personal beliefs and his vote, is constitutionally protected…. Because plaintiff has alleged a plausible First Amendment retaliation claim, the motion to dismiss for failure to allege that the plaintiff engaged in conduct protected by the First Amendment is denied.</w:t>
      </w:r>
    </w:p>
    <w:p w14:paraId="3558DBC6" w14:textId="77777777" w:rsidR="00C01200" w:rsidRDefault="00C01200" w:rsidP="00C01200">
      <w:pPr>
        <w:pStyle w:val="NoSpacing"/>
        <w:ind w:left="720"/>
      </w:pPr>
    </w:p>
    <w:p w14:paraId="2CF4137F" w14:textId="77777777" w:rsidR="00C01200" w:rsidRDefault="00C01200" w:rsidP="00C01200">
      <w:pPr>
        <w:pStyle w:val="NoSpacing"/>
        <w:ind w:left="720"/>
      </w:pPr>
      <w:r>
        <w:t>***</w:t>
      </w:r>
    </w:p>
    <w:p w14:paraId="2A9CBD70" w14:textId="77777777" w:rsidR="00C01200" w:rsidRDefault="00C01200" w:rsidP="00C01200">
      <w:pPr>
        <w:pStyle w:val="NoSpacing"/>
        <w:ind w:firstLine="720"/>
      </w:pPr>
      <w:r>
        <w:t>With a few exceptions like the need for governmental efficiency or effectiveness (which</w:t>
      </w:r>
    </w:p>
    <w:p w14:paraId="5A1C4468" w14:textId="77777777" w:rsidR="00C01200" w:rsidRDefault="00C01200" w:rsidP="00C01200">
      <w:pPr>
        <w:pStyle w:val="NoSpacing"/>
        <w:ind w:left="720"/>
      </w:pPr>
      <w:r>
        <w:t>would not appear to apply to plaintiff’s actions in the privacy of his conscience or the sanctity of the voting booth), a government employer may not discipline an employee because the employee supports a particular political candidate. See Heffernan v. City of Paterson, 578 U.S. 266, 270 (2016).”</w:t>
      </w:r>
    </w:p>
    <w:p w14:paraId="09793801" w14:textId="77777777" w:rsidR="00C01200" w:rsidRDefault="00C01200" w:rsidP="00C01200">
      <w:pPr>
        <w:pStyle w:val="NoSpacing"/>
        <w:ind w:left="720"/>
      </w:pPr>
    </w:p>
    <w:p w14:paraId="0A663943" w14:textId="77777777" w:rsidR="00C01200" w:rsidRDefault="00C01200" w:rsidP="00C01200">
      <w:pPr>
        <w:pStyle w:val="NoSpacing"/>
        <w:rPr>
          <w:b/>
          <w:bCs/>
        </w:rPr>
      </w:pPr>
      <w:r>
        <w:rPr>
          <w:b/>
        </w:rPr>
        <w:t xml:space="preserve">Legal lesson learned: Captain’s conduct was </w:t>
      </w:r>
      <w:proofErr w:type="gramStart"/>
      <w:r>
        <w:rPr>
          <w:b/>
        </w:rPr>
        <w:t>stupid, but</w:t>
      </w:r>
      <w:proofErr w:type="gramEnd"/>
      <w:r>
        <w:rPr>
          <w:b/>
        </w:rPr>
        <w:t xml:space="preserve"> avoid asking employees about their political views in the disciplinary process.  </w:t>
      </w:r>
    </w:p>
    <w:p w14:paraId="0EAF69FA" w14:textId="77777777" w:rsidR="00C01200" w:rsidRDefault="00C01200" w:rsidP="00C01200">
      <w:pPr>
        <w:pStyle w:val="NoSpacing"/>
        <w:rPr>
          <w:b/>
          <w:bCs/>
        </w:rPr>
      </w:pPr>
    </w:p>
    <w:p w14:paraId="7A815CDB" w14:textId="77777777" w:rsidR="00C01200" w:rsidRDefault="00C01200" w:rsidP="00C01200">
      <w:pPr>
        <w:pStyle w:val="NoSpacing"/>
        <w:ind w:left="720"/>
      </w:pPr>
      <w:r w:rsidRPr="00FF0890">
        <w:t>Note:</w:t>
      </w:r>
      <w:r>
        <w:t xml:space="preserve"> The U.S. Supreme Court in </w:t>
      </w:r>
      <w:r w:rsidRPr="00FF0890">
        <w:t>Heffernan v. City of Paterson, 578 U.S. 266, 270 (2016)</w:t>
      </w:r>
      <w:r>
        <w:t xml:space="preserve"> held:</w:t>
      </w:r>
    </w:p>
    <w:p w14:paraId="4FD430DF" w14:textId="77777777" w:rsidR="00C01200" w:rsidRPr="00FF0890" w:rsidRDefault="00C01200" w:rsidP="00C01200">
      <w:pPr>
        <w:pStyle w:val="NoSpacing"/>
        <w:ind w:left="720"/>
      </w:pPr>
      <w:r>
        <w:t>“</w:t>
      </w:r>
      <w:r w:rsidRPr="00E21DE5">
        <w:t xml:space="preserve">In this case a government official </w:t>
      </w:r>
      <w:r>
        <w:t xml:space="preserve">[police chief] </w:t>
      </w:r>
      <w:r w:rsidRPr="00E21DE5">
        <w:t>demoted an employee</w:t>
      </w:r>
      <w:r>
        <w:t xml:space="preserve"> [detective demoted to patrol officer]</w:t>
      </w:r>
      <w:r w:rsidRPr="00E21DE5">
        <w:t xml:space="preserve"> because the official believed, but </w:t>
      </w:r>
      <w:r w:rsidRPr="00E21DE5">
        <w:rPr>
          <w:i/>
          <w:iCs/>
        </w:rPr>
        <w:t>incorrectly</w:t>
      </w:r>
      <w:r w:rsidRPr="00E21DE5">
        <w:t xml:space="preserve"> believed, that the employee had supported a particular candidate for mayor. The question is whether the official’s factual mistake makes a critical legal difference. Even though the employee had not in fact engaged in protected political activity, did his demotion </w:t>
      </w:r>
      <w:r>
        <w:t>‘</w:t>
      </w:r>
      <w:r w:rsidRPr="00E21DE5">
        <w:t>deprive</w:t>
      </w:r>
      <w:r>
        <w:t>’</w:t>
      </w:r>
      <w:r w:rsidRPr="00E21DE5">
        <w:t xml:space="preserve"> him of a </w:t>
      </w:r>
      <w:r>
        <w:t>‘</w:t>
      </w:r>
      <w:r w:rsidRPr="00E21DE5">
        <w:t>right . . . secured by the Constitution</w:t>
      </w:r>
      <w:r>
        <w:t>’</w:t>
      </w:r>
      <w:r w:rsidRPr="00E21DE5">
        <w:t>? 42 U. S. C. §1983. We hold that it did.</w:t>
      </w:r>
      <w:r>
        <w:t xml:space="preserve">” </w:t>
      </w:r>
      <w:hyperlink r:id="rId2630" w:history="1">
        <w:r w:rsidRPr="00560ED8">
          <w:rPr>
            <w:rStyle w:val="Hyperlink"/>
          </w:rPr>
          <w:t>https://supreme.justia.com/cases/federal/us/578/14-1280/</w:t>
        </w:r>
      </w:hyperlink>
      <w:r>
        <w:t xml:space="preserve"> </w:t>
      </w:r>
    </w:p>
    <w:p w14:paraId="1A63C9D5" w14:textId="77777777" w:rsidR="00C01200" w:rsidRDefault="00C01200" w:rsidP="00C01200">
      <w:pPr>
        <w:pStyle w:val="NoSpacing"/>
      </w:pPr>
    </w:p>
    <w:p w14:paraId="0142BCA9" w14:textId="77777777" w:rsidR="00C01200" w:rsidRDefault="00C01200" w:rsidP="00C01200">
      <w:pPr>
        <w:rPr>
          <w:b/>
        </w:rPr>
      </w:pPr>
    </w:p>
    <w:p w14:paraId="423CD073" w14:textId="77777777" w:rsidR="00C01200" w:rsidRDefault="00C01200" w:rsidP="002F7727">
      <w:pPr>
        <w:pStyle w:val="NoSpacing"/>
        <w:rPr>
          <w:rFonts w:ascii="Arial Black" w:hAnsi="Arial Black"/>
          <w:b/>
          <w:sz w:val="24"/>
          <w:szCs w:val="24"/>
        </w:rPr>
      </w:pPr>
    </w:p>
    <w:p w14:paraId="507A821A" w14:textId="77777777" w:rsidR="00D03249" w:rsidRDefault="00D03249" w:rsidP="002F7727">
      <w:pPr>
        <w:pStyle w:val="NoSpacing"/>
        <w:rPr>
          <w:rFonts w:ascii="Arial Black" w:hAnsi="Arial Black"/>
          <w:b/>
          <w:sz w:val="24"/>
          <w:szCs w:val="24"/>
        </w:rPr>
      </w:pPr>
    </w:p>
    <w:p w14:paraId="0C46DBFB" w14:textId="77777777" w:rsidR="00D03249" w:rsidRDefault="00D03249" w:rsidP="002F7727">
      <w:pPr>
        <w:pStyle w:val="NoSpacing"/>
        <w:rPr>
          <w:rFonts w:ascii="Arial Black" w:hAnsi="Arial Black"/>
          <w:b/>
          <w:sz w:val="24"/>
          <w:szCs w:val="24"/>
        </w:rPr>
      </w:pPr>
    </w:p>
    <w:p w14:paraId="6FBB0CE9" w14:textId="06DDF684" w:rsidR="00745B4B" w:rsidRDefault="00745B4B" w:rsidP="002F7727">
      <w:pPr>
        <w:pStyle w:val="NoSpacing"/>
        <w:rPr>
          <w:rFonts w:ascii="Arial Black" w:hAnsi="Arial Black"/>
          <w:b/>
          <w:sz w:val="24"/>
          <w:szCs w:val="24"/>
        </w:rPr>
      </w:pPr>
      <w:r>
        <w:rPr>
          <w:rFonts w:ascii="Arial Black" w:hAnsi="Arial Black"/>
          <w:b/>
          <w:sz w:val="24"/>
          <w:szCs w:val="24"/>
        </w:rPr>
        <w:t>16-146</w:t>
      </w:r>
    </w:p>
    <w:p w14:paraId="45A40338" w14:textId="77777777" w:rsidR="00745B4B" w:rsidRDefault="00745B4B" w:rsidP="002F7727">
      <w:pPr>
        <w:pStyle w:val="NoSpacing"/>
        <w:rPr>
          <w:rFonts w:ascii="Arial Black" w:hAnsi="Arial Black"/>
          <w:b/>
          <w:sz w:val="24"/>
          <w:szCs w:val="24"/>
        </w:rPr>
      </w:pPr>
    </w:p>
    <w:p w14:paraId="1FB1EA57" w14:textId="77777777" w:rsidR="00BA59D3" w:rsidRPr="002B3436" w:rsidRDefault="00BA59D3" w:rsidP="00BA59D3">
      <w:pPr>
        <w:rPr>
          <w:rFonts w:ascii="Arial Black" w:hAnsi="Arial Black"/>
          <w:b/>
          <w:sz w:val="28"/>
          <w:szCs w:val="28"/>
        </w:rPr>
      </w:pPr>
      <w:r>
        <w:rPr>
          <w:rFonts w:ascii="Arial Black" w:hAnsi="Arial Black"/>
          <w:b/>
          <w:sz w:val="28"/>
          <w:szCs w:val="28"/>
        </w:rPr>
        <w:t>NV: CITY MGR FIRED – 2022 VIDEO FIRE CHIEF RESIGNING</w:t>
      </w:r>
    </w:p>
    <w:p w14:paraId="0777C8C0" w14:textId="77777777" w:rsidR="00BA59D3" w:rsidRDefault="00BA59D3" w:rsidP="00BA59D3">
      <w:r>
        <w:t xml:space="preserve">On January 22, 2026, in </w:t>
      </w:r>
      <w:r w:rsidRPr="008674C8">
        <w:rPr>
          <w:u w:val="single"/>
        </w:rPr>
        <w:t>Neil C. Krutz v. The City of Sparks</w:t>
      </w:r>
      <w:r>
        <w:t xml:space="preserve">, U.S. District Court Judge Miranda M. Du, United States District Court for the District of Nevada, held that the terminated City Manager lawsuit may proceed with his lawsuit on some claims, including that he was fired on September 5, </w:t>
      </w:r>
      <w:proofErr w:type="gramStart"/>
      <w:r>
        <w:t>2023</w:t>
      </w:r>
      <w:proofErr w:type="gramEnd"/>
      <w:r>
        <w:t xml:space="preserve"> in violation of his </w:t>
      </w:r>
      <w:r w:rsidRPr="00FC1E14">
        <w:t>procedural due process protections</w:t>
      </w:r>
      <w:r>
        <w:t xml:space="preserve">. His contract included a provision allowing termination “for cause”). On December 5, 2022, the fire chief resigned over pending drug charge, and the City Manager made a video reporting the resignation.   In 2024, the city settled with the former chief about the public leak of the video for $381,000.   </w:t>
      </w:r>
      <w:hyperlink r:id="rId2631" w:history="1">
        <w:r w:rsidRPr="003E5AED">
          <w:rPr>
            <w:rStyle w:val="Hyperlink"/>
          </w:rPr>
          <w:t>https://cases.justia.com/federal/district-courts/nevada/nvdce/3:2025cv00159/173760/49/0.pdf</w:t>
        </w:r>
      </w:hyperlink>
    </w:p>
    <w:p w14:paraId="195D299F" w14:textId="77777777" w:rsidR="00BA59D3" w:rsidRDefault="00BA59D3" w:rsidP="00BA59D3">
      <w:r>
        <w:t>THE COURT HELD:</w:t>
      </w:r>
    </w:p>
    <w:p w14:paraId="26127142" w14:textId="77777777" w:rsidR="00BA59D3" w:rsidRDefault="00BA59D3" w:rsidP="00BA59D3">
      <w:pPr>
        <w:ind w:left="720"/>
      </w:pPr>
      <w:r>
        <w:t>Footnote 5:  “</w:t>
      </w:r>
      <w:r w:rsidRPr="00270580">
        <w:t>The parties dispute whether Krutz publicly disseminated the video statement or whether it was instead leaked to the public</w:t>
      </w:r>
      <w:r>
        <w:t xml:space="preserve">…. </w:t>
      </w:r>
      <w:r w:rsidRPr="00270580">
        <w:t>Defendants contend that Krutz posted the video on YouTube</w:t>
      </w:r>
      <w:r>
        <w:t xml:space="preserve"> …</w:t>
      </w:r>
      <w:r w:rsidRPr="00270580">
        <w:t xml:space="preserve"> whereas Krutz asserts that the video was shared privately via email with only the City of Sparks Fire Department employees, Mayor Lawson, Councilmembers Abbott, </w:t>
      </w:r>
      <w:proofErr w:type="spellStart"/>
      <w:r w:rsidRPr="00270580">
        <w:t>VanderWell</w:t>
      </w:r>
      <w:proofErr w:type="spellEnd"/>
      <w:r w:rsidRPr="00270580">
        <w:t>, Anderson, Bybee, and Dahir, and Assistant City Managers Alyson McCormick and John Martini</w:t>
      </w:r>
      <w:r>
        <w:t>.”</w:t>
      </w:r>
    </w:p>
    <w:p w14:paraId="2C8FC92B" w14:textId="77777777" w:rsidR="00BA59D3" w:rsidRPr="00270580" w:rsidRDefault="00BA59D3" w:rsidP="00BA59D3">
      <w:pPr>
        <w:rPr>
          <w:b/>
          <w:bCs/>
        </w:rPr>
      </w:pPr>
      <w:r>
        <w:rPr>
          <w:b/>
        </w:rPr>
        <w:t xml:space="preserve">Legal Lesson Learned: When a Fire Chief or other senior manager resigns, be very cautious in communicating info beyond the fact that there was a resignation; consult with legal counsel. </w:t>
      </w:r>
    </w:p>
    <w:p w14:paraId="23254872" w14:textId="77777777" w:rsidR="00BA59D3" w:rsidRPr="0059689A" w:rsidRDefault="00BA59D3" w:rsidP="00BA59D3">
      <w:pPr>
        <w:ind w:left="720"/>
        <w:rPr>
          <w:bCs/>
        </w:rPr>
      </w:pPr>
      <w:r>
        <w:t xml:space="preserve">Note: See September 23, </w:t>
      </w:r>
      <w:proofErr w:type="gramStart"/>
      <w:r>
        <w:t>2024</w:t>
      </w:r>
      <w:proofErr w:type="gramEnd"/>
      <w:r>
        <w:t xml:space="preserve"> article and TV Video: “</w:t>
      </w:r>
      <w:r w:rsidRPr="0059689A">
        <w:t>Former Sparks Fire Chief pleads no contest to drug-related charge</w:t>
      </w:r>
      <w:r>
        <w:t xml:space="preserve">.” </w:t>
      </w:r>
      <w:hyperlink r:id="rId2632" w:history="1">
        <w:r w:rsidRPr="00700587">
          <w:rPr>
            <w:rStyle w:val="Hyperlink"/>
          </w:rPr>
          <w:t>https://www.2news.com/news/local/former-sparks-fire-chief-pleads-no-contest-to-drug-related-charge/article_484d699c-7023-11ed-b795-ff8664a2c2d9.html</w:t>
        </w:r>
      </w:hyperlink>
      <w:r>
        <w:t xml:space="preserve"> </w:t>
      </w:r>
    </w:p>
    <w:p w14:paraId="6858FE60" w14:textId="77777777" w:rsidR="00BA59D3" w:rsidRDefault="00BA59D3" w:rsidP="00BA59D3">
      <w:pPr>
        <w:pStyle w:val="NoSpacing"/>
        <w:ind w:left="720"/>
      </w:pPr>
      <w:r>
        <w:t>“</w:t>
      </w:r>
      <w:r w:rsidRPr="00793EF3">
        <w:t>Former Sparks Fire Chief Mark Lawson pleaded no-contest last month to a drug-related charge brought against him in Dec. 2022.</w:t>
      </w:r>
      <w:r>
        <w:t xml:space="preserve"> </w:t>
      </w:r>
      <w:r w:rsidRPr="00793EF3">
        <w:t xml:space="preserve">Included in the court’s judgement, Lawson is guilty of conspiracy to possess a drug that may not be introduced into interstate commerce, and he will have to pay </w:t>
      </w:r>
      <w:proofErr w:type="gramStart"/>
      <w:r w:rsidRPr="00793EF3">
        <w:t>a $2,000 fine and complete eight hours of substance abuse education</w:t>
      </w:r>
      <w:proofErr w:type="gramEnd"/>
      <w:r w:rsidRPr="00793EF3">
        <w:t>.</w:t>
      </w:r>
      <w:r>
        <w:t xml:space="preserve"> </w:t>
      </w:r>
      <w:r w:rsidRPr="00793EF3">
        <w:t>Earlier this year, the City of Sparks paid Lawson $381,000 to settle a lawsuit over his firing. His attorneys argued that he was unfairly fired for pending criminal charges, and that the City’s actions damaged Lawson’s reputation and ability to seek reemployment.</w:t>
      </w:r>
      <w:r>
        <w:t>”</w:t>
      </w:r>
    </w:p>
    <w:p w14:paraId="39239539" w14:textId="77777777" w:rsidR="00BA59D3" w:rsidRDefault="00BA59D3" w:rsidP="00BA59D3">
      <w:pPr>
        <w:pStyle w:val="NoSpacing"/>
        <w:ind w:left="720"/>
      </w:pPr>
    </w:p>
    <w:p w14:paraId="25207836" w14:textId="77777777" w:rsidR="00BA59D3" w:rsidRDefault="00BA59D3" w:rsidP="00BA59D3">
      <w:pPr>
        <w:ind w:left="720"/>
      </w:pPr>
      <w:r w:rsidRPr="00574E88">
        <w:t>See also: Sept. 5, 2024</w:t>
      </w:r>
      <w:r>
        <w:t xml:space="preserve">, </w:t>
      </w:r>
      <w:r w:rsidRPr="00574E88">
        <w:t xml:space="preserve">Sparks City Council Special Meeting. </w:t>
      </w:r>
      <w:hyperlink r:id="rId2633" w:history="1">
        <w:r w:rsidRPr="00700587">
          <w:rPr>
            <w:rStyle w:val="Hyperlink"/>
          </w:rPr>
          <w:t>https://www.youtube.com/watch?v=5NXiLsCyQwc</w:t>
        </w:r>
      </w:hyperlink>
      <w:r>
        <w:t xml:space="preserve">. </w:t>
      </w:r>
      <w:r w:rsidRPr="00574E88">
        <w:t xml:space="preserve">IAFF President calls for termination of City Manager (at 2:07) </w:t>
      </w:r>
    </w:p>
    <w:p w14:paraId="69B0748D" w14:textId="77777777" w:rsidR="00BA59D3" w:rsidRDefault="00BA59D3" w:rsidP="00BA59D3">
      <w:pPr>
        <w:ind w:left="720"/>
        <w:rPr>
          <w:bCs/>
        </w:rPr>
      </w:pPr>
      <w:r>
        <w:t xml:space="preserve">See also: May 9, 2023: City Manager Survives Termination Vote [3 to 2]:  </w:t>
      </w:r>
      <w:hyperlink r:id="rId2634" w:history="1">
        <w:r w:rsidRPr="00700587">
          <w:rPr>
            <w:rStyle w:val="Hyperlink"/>
          </w:rPr>
          <w:t>https://www.youtube.com/watch?v=RmdIuKRFVuU</w:t>
        </w:r>
      </w:hyperlink>
      <w:r>
        <w:t xml:space="preserve"> </w:t>
      </w:r>
    </w:p>
    <w:p w14:paraId="31742342" w14:textId="77777777" w:rsidR="00BA59D3" w:rsidRDefault="00BA59D3" w:rsidP="00BA59D3">
      <w:pPr>
        <w:rPr>
          <w:rFonts w:ascii="Arial Black" w:hAnsi="Arial Black"/>
          <w:b/>
          <w:sz w:val="28"/>
          <w:szCs w:val="28"/>
        </w:rPr>
      </w:pPr>
    </w:p>
    <w:p w14:paraId="17AC9864" w14:textId="77777777" w:rsidR="00745B4B" w:rsidRDefault="00745B4B" w:rsidP="002F7727">
      <w:pPr>
        <w:pStyle w:val="NoSpacing"/>
        <w:rPr>
          <w:rFonts w:ascii="Arial Black" w:hAnsi="Arial Black"/>
          <w:b/>
          <w:sz w:val="24"/>
          <w:szCs w:val="24"/>
        </w:rPr>
      </w:pPr>
    </w:p>
    <w:p w14:paraId="5ED2FB86" w14:textId="77777777" w:rsidR="00745B4B" w:rsidRDefault="00745B4B" w:rsidP="002F7727">
      <w:pPr>
        <w:pStyle w:val="NoSpacing"/>
        <w:rPr>
          <w:rFonts w:ascii="Arial Black" w:hAnsi="Arial Black"/>
          <w:b/>
          <w:sz w:val="24"/>
          <w:szCs w:val="24"/>
        </w:rPr>
      </w:pPr>
    </w:p>
    <w:p w14:paraId="59215DCB" w14:textId="77777777" w:rsidR="00745B4B" w:rsidRDefault="00745B4B" w:rsidP="002F7727">
      <w:pPr>
        <w:pStyle w:val="NoSpacing"/>
        <w:rPr>
          <w:rFonts w:ascii="Arial Black" w:hAnsi="Arial Black"/>
          <w:b/>
          <w:sz w:val="24"/>
          <w:szCs w:val="24"/>
        </w:rPr>
      </w:pPr>
    </w:p>
    <w:p w14:paraId="78A4212F" w14:textId="5F08368B" w:rsidR="00A66F20" w:rsidRDefault="00A66F20" w:rsidP="002F7727">
      <w:pPr>
        <w:pStyle w:val="NoSpacing"/>
        <w:rPr>
          <w:rFonts w:ascii="Arial Black" w:hAnsi="Arial Black"/>
          <w:b/>
          <w:sz w:val="24"/>
          <w:szCs w:val="24"/>
        </w:rPr>
      </w:pPr>
      <w:r>
        <w:rPr>
          <w:rFonts w:ascii="Arial Black" w:hAnsi="Arial Black"/>
          <w:b/>
          <w:sz w:val="24"/>
          <w:szCs w:val="24"/>
        </w:rPr>
        <w:t>16-145</w:t>
      </w:r>
    </w:p>
    <w:p w14:paraId="60F6E9A0" w14:textId="77777777" w:rsidR="00745B4B" w:rsidRDefault="00745B4B" w:rsidP="002F7727">
      <w:pPr>
        <w:pStyle w:val="NoSpacing"/>
        <w:rPr>
          <w:rFonts w:ascii="Arial Black" w:hAnsi="Arial Black"/>
          <w:b/>
          <w:sz w:val="24"/>
          <w:szCs w:val="24"/>
        </w:rPr>
      </w:pPr>
    </w:p>
    <w:p w14:paraId="06A161C9" w14:textId="77777777" w:rsidR="00745B4B" w:rsidRDefault="00745B4B" w:rsidP="00745B4B">
      <w:pPr>
        <w:rPr>
          <w:rFonts w:ascii="Arial Black" w:hAnsi="Arial Black"/>
          <w:b/>
          <w:sz w:val="28"/>
          <w:szCs w:val="28"/>
        </w:rPr>
      </w:pPr>
      <w:r>
        <w:rPr>
          <w:rFonts w:ascii="Arial Black" w:hAnsi="Arial Black"/>
          <w:b/>
          <w:sz w:val="28"/>
          <w:szCs w:val="28"/>
        </w:rPr>
        <w:t xml:space="preserve">OH: CHIEF FIRED – NO FED CT TRO / STATE CT CASE  </w:t>
      </w:r>
    </w:p>
    <w:p w14:paraId="783106BA" w14:textId="77777777" w:rsidR="00745B4B" w:rsidRDefault="00745B4B" w:rsidP="00745B4B">
      <w:pPr>
        <w:rPr>
          <w:bCs/>
        </w:rPr>
      </w:pPr>
      <w:r w:rsidRPr="00967F0E">
        <w:t xml:space="preserve">On January 7, 2026, </w:t>
      </w:r>
      <w:r>
        <w:t xml:space="preserve">in </w:t>
      </w:r>
      <w:r w:rsidRPr="00793D2D">
        <w:rPr>
          <w:u w:val="single"/>
        </w:rPr>
        <w:t>Jeremy Betsa v. City of Avon Lake, Ohio</w:t>
      </w:r>
      <w:r>
        <w:rPr>
          <w:u w:val="single"/>
        </w:rPr>
        <w:t xml:space="preserve">, IAFF Local </w:t>
      </w:r>
      <w:r w:rsidRPr="00007CC8">
        <w:rPr>
          <w:u w:val="single"/>
        </w:rPr>
        <w:t>1361</w:t>
      </w:r>
      <w:r>
        <w:rPr>
          <w:u w:val="single"/>
        </w:rPr>
        <w:t xml:space="preserve">, et al., </w:t>
      </w:r>
      <w:r>
        <w:t xml:space="preserve"> U.S. Magistrate Judge James E. Grimes, Jr., issued a Report and Recommendation to U.S. District Court Judge Donald C. Nugent, United States District Court for the Northern District of Ohio, Eastern Division, recommending the Court deny Jeremy Betsa’s December 15, 2025 “Emergency Motion </w:t>
      </w:r>
      <w:proofErr w:type="gramStart"/>
      <w:r>
        <w:t>For</w:t>
      </w:r>
      <w:proofErr w:type="gramEnd"/>
      <w:r>
        <w:t xml:space="preserve"> A Temporary Restraining Order.”  He had a pending lawsuit in </w:t>
      </w:r>
      <w:r w:rsidRPr="00030F83">
        <w:t>Lorain County Court of Common Plea</w:t>
      </w:r>
      <w:r>
        <w:t xml:space="preserve">, also seeking a TRO (been suspended with pay since August 2025; he was ultimately fired December 31, </w:t>
      </w:r>
      <w:proofErr w:type="gramStart"/>
      <w:r>
        <w:t>2025</w:t>
      </w:r>
      <w:proofErr w:type="gramEnd"/>
      <w:r>
        <w:t xml:space="preserve"> </w:t>
      </w:r>
      <w:r w:rsidRPr="001240F1">
        <w:t>for “workplace conduct and leadership</w:t>
      </w:r>
      <w:r>
        <w:t xml:space="preserve">” issues),  Federal courts follow “abstention” doctrine where they decline to intervene in matters already pending in state court. He can appeal his termination to the City’s Civil Service Commission. </w:t>
      </w:r>
      <w:hyperlink r:id="rId2635" w:history="1">
        <w:r w:rsidRPr="00091B3B">
          <w:rPr>
            <w:rStyle w:val="Hyperlink"/>
          </w:rPr>
          <w:t>https://public.fastcase.com/Jhe1Qn%2BmJndQYQU6z%2FeNmypmOFzJk4IjV67xdVBvH10%2BbioR%2BE7hDrSDKPa8oeXy4gUzK0dNFlYVAdtPS9qapAikGtcKVY%2BDC%2Fxrd0A1wWk%3D?utm_medium=email&amp;_hsenc=p2ANqtz--Rb3GwipZHtCJJMLiUWpVHk6Q4w73GSXOI_LD5Raf1axu72BnOP1L2YEQ80fNqXbpHCp329zbZOj3hD1ZT_BRNOO8R9w&amp;_hsmi=226712652&amp;utm_content=226712652&amp;utm_source=hs_email</w:t>
        </w:r>
      </w:hyperlink>
      <w:r>
        <w:t xml:space="preserve"> </w:t>
      </w:r>
    </w:p>
    <w:p w14:paraId="0BDBFBF1" w14:textId="77777777" w:rsidR="00745B4B" w:rsidRDefault="00745B4B" w:rsidP="00745B4B">
      <w:pPr>
        <w:rPr>
          <w:rFonts w:eastAsia="Times New Roman"/>
          <w:bCs/>
        </w:rPr>
      </w:pPr>
      <w:r>
        <w:t>THE MAGISTRATE WROTE:</w:t>
      </w:r>
      <w:r w:rsidRPr="00CE0948">
        <w:rPr>
          <w:rFonts w:eastAsia="Times New Roman"/>
        </w:rPr>
        <w:t xml:space="preserve"> </w:t>
      </w:r>
    </w:p>
    <w:p w14:paraId="115D1576" w14:textId="77777777" w:rsidR="00745B4B" w:rsidRDefault="00745B4B" w:rsidP="00745B4B">
      <w:pPr>
        <w:ind w:left="720"/>
        <w:rPr>
          <w:rFonts w:eastAsia="Times New Roman"/>
          <w:bCs/>
        </w:rPr>
      </w:pPr>
      <w:r>
        <w:rPr>
          <w:rFonts w:eastAsia="Times New Roman"/>
        </w:rPr>
        <w:t>“</w:t>
      </w:r>
      <w:r w:rsidRPr="00416673">
        <w:rPr>
          <w:rFonts w:eastAsia="Times New Roman"/>
        </w:rPr>
        <w:t>The District Court referred Betsa's Motion to me on January 2, 2026. Doc. 28. That day, I set a hearing by videoconference for January 6</w:t>
      </w:r>
      <w:r>
        <w:rPr>
          <w:rFonts w:eastAsia="Times New Roman"/>
        </w:rPr>
        <w:t xml:space="preserve">…. </w:t>
      </w:r>
      <w:r w:rsidRPr="009E6596">
        <w:rPr>
          <w:rFonts w:eastAsia="Times New Roman"/>
        </w:rPr>
        <w:t xml:space="preserve">To recap, Betsa has two lawsuits pending related to the same factual </w:t>
      </w:r>
      <w:proofErr w:type="gramStart"/>
      <w:r w:rsidRPr="009E6596">
        <w:rPr>
          <w:rFonts w:eastAsia="Times New Roman"/>
        </w:rPr>
        <w:t>matter—</w:t>
      </w:r>
      <w:proofErr w:type="gramEnd"/>
      <w:r w:rsidRPr="009E6596">
        <w:rPr>
          <w:rFonts w:eastAsia="Times New Roman"/>
        </w:rPr>
        <w:t>one in state court and one in federal court. Also pending in both cases are Betsa's TRO motions. The heart of Betsa's lawsuits, and his TRO motions, are his claims that the City suspended him, and later terminated him, in violation of Ohio law and his federal due process rights. At the TRO hearing, Betsa explained that his Ohio lawsuit focuses on his state-law claims, whereas his federal lawsuit focuses on federal claims.</w:t>
      </w:r>
    </w:p>
    <w:p w14:paraId="3B0CF93A" w14:textId="77777777" w:rsidR="00745B4B" w:rsidRDefault="00745B4B" w:rsidP="00745B4B">
      <w:pPr>
        <w:ind w:left="720"/>
        <w:rPr>
          <w:rFonts w:eastAsia="Times New Roman"/>
          <w:bCs/>
        </w:rPr>
      </w:pPr>
      <w:r>
        <w:rPr>
          <w:rFonts w:eastAsia="Times New Roman"/>
        </w:rPr>
        <w:t>***</w:t>
      </w:r>
    </w:p>
    <w:p w14:paraId="7BC20A19" w14:textId="77777777" w:rsidR="00745B4B" w:rsidRPr="00CE0948" w:rsidRDefault="00745B4B" w:rsidP="00745B4B">
      <w:pPr>
        <w:ind w:left="720"/>
      </w:pPr>
      <w:r w:rsidRPr="00CE0948">
        <w:t xml:space="preserve">Betsa hasn't shown a likelihood of success on his due process claim because this Court should abstain from deciding the issue under the authority of </w:t>
      </w:r>
      <w:proofErr w:type="gramStart"/>
      <w:r w:rsidRPr="00CE0948">
        <w:rPr>
          <w:i/>
          <w:iCs/>
        </w:rPr>
        <w:t>Younger</w:t>
      </w:r>
      <w:proofErr w:type="gramEnd"/>
      <w:r w:rsidRPr="00CE0948">
        <w:rPr>
          <w:i/>
          <w:iCs/>
        </w:rPr>
        <w:t xml:space="preserve"> v. Harris</w:t>
      </w:r>
      <w:r w:rsidRPr="00CE0948">
        <w:t xml:space="preserve">, 401 U.S. 37 (1971). </w:t>
      </w:r>
    </w:p>
    <w:p w14:paraId="5E0A4DBA" w14:textId="77777777" w:rsidR="00745B4B" w:rsidRDefault="00745B4B" w:rsidP="00745B4B">
      <w:pPr>
        <w:ind w:left="720"/>
      </w:pPr>
      <w:r>
        <w:t>‘</w:t>
      </w:r>
      <w:r w:rsidRPr="00CE0948">
        <w:t xml:space="preserve">Under </w:t>
      </w:r>
      <w:r w:rsidRPr="00CE0948">
        <w:rPr>
          <w:i/>
          <w:iCs/>
        </w:rPr>
        <w:t>Younger</w:t>
      </w:r>
      <w:r w:rsidRPr="00CE0948">
        <w:t xml:space="preserve"> abstention ... a federal court must decline to interfere with pending state civil or criminal proceedings when important state interests are involved.</w:t>
      </w:r>
      <w:r>
        <w:t>’</w:t>
      </w:r>
      <w:r w:rsidRPr="00CE0948">
        <w:t xml:space="preserve"> </w:t>
      </w:r>
      <w:r w:rsidRPr="00CE0948">
        <w:rPr>
          <w:i/>
          <w:iCs/>
        </w:rPr>
        <w:t>O'Neill v. Coughlan</w:t>
      </w:r>
      <w:r w:rsidRPr="00CE0948">
        <w:t xml:space="preserve">, 511 F.3d 638, 641 (6th Cir. 2008) (citations omitted). </w:t>
      </w:r>
      <w:r>
        <w:t>‘</w:t>
      </w:r>
      <w:r w:rsidRPr="00CE0948">
        <w:rPr>
          <w:i/>
          <w:iCs/>
        </w:rPr>
        <w:t>Younger</w:t>
      </w:r>
      <w:r w:rsidRPr="00CE0948">
        <w:t xml:space="preserve"> abstention is not a question of </w:t>
      </w:r>
      <w:proofErr w:type="gramStart"/>
      <w:r w:rsidRPr="00CE0948">
        <w:t>jurisdiction, but</w:t>
      </w:r>
      <w:proofErr w:type="gramEnd"/>
      <w:r w:rsidRPr="00CE0948">
        <w:t xml:space="preserve"> is rather based on ‘strong policies counseling against the exercise of such jurisdiction.' </w:t>
      </w:r>
      <w:r w:rsidRPr="00CE0948">
        <w:rPr>
          <w:i/>
          <w:iCs/>
        </w:rPr>
        <w:t>Id</w:t>
      </w:r>
      <w:r w:rsidRPr="00CE0948">
        <w:t xml:space="preserve">. (citing </w:t>
      </w:r>
      <w:r w:rsidRPr="00CE0948">
        <w:rPr>
          <w:i/>
          <w:iCs/>
        </w:rPr>
        <w:t>Ohio Civil Rights Comm'n v. Dayton Christian Sch., Inc</w:t>
      </w:r>
      <w:r w:rsidRPr="00CE0948">
        <w:t xml:space="preserve">., 477 U.S. 619, 626 (1986). </w:t>
      </w:r>
    </w:p>
    <w:p w14:paraId="4C54C118" w14:textId="77777777" w:rsidR="00745B4B" w:rsidRDefault="00745B4B" w:rsidP="00745B4B">
      <w:pPr>
        <w:ind w:left="720"/>
      </w:pPr>
      <w:r>
        <w:t>***</w:t>
      </w:r>
    </w:p>
    <w:p w14:paraId="6A809E77" w14:textId="77777777" w:rsidR="00745B4B" w:rsidRDefault="00745B4B" w:rsidP="00745B4B">
      <w:pPr>
        <w:ind w:left="720"/>
      </w:pPr>
      <w:r w:rsidRPr="001633A5">
        <w:t xml:space="preserve">Even if Betsa had cleanly separated his state-law and federal claims in the relevant venues, which he has not done, abstention under </w:t>
      </w:r>
      <w:r w:rsidRPr="001633A5">
        <w:rPr>
          <w:i/>
          <w:iCs/>
        </w:rPr>
        <w:t>Younger</w:t>
      </w:r>
      <w:r w:rsidRPr="001633A5">
        <w:t xml:space="preserve"> would still be warranted. This is so because Betsa's procedural due process claim is inextricably intertwined with his state-law procedural issues which he has raised in his state case. Indeed, Betsa concedes that he is not arguing that Ohio's disciplinary and termination procedures are unconstitutional. This means that if the City properly adhered to Ohio law when it suspended and terminated Betsa, it necessarily </w:t>
      </w:r>
      <w:r w:rsidRPr="001633A5">
        <w:rPr>
          <w:i/>
          <w:iCs/>
        </w:rPr>
        <w:t>did not</w:t>
      </w:r>
      <w:r w:rsidRPr="001633A5">
        <w:t xml:space="preserve"> violate Betsa's due process rights.</w:t>
      </w:r>
      <w:r w:rsidRPr="001633A5">
        <w:rPr>
          <w:vertAlign w:val="superscript"/>
        </w:rPr>
        <w:t>[</w:t>
      </w:r>
      <w:r w:rsidRPr="001633A5">
        <w:t xml:space="preserve"> And Betsa has only asked the Ohio court—not this Court—to determine whether the City properly adhered to Ohio law. </w:t>
      </w:r>
      <w:proofErr w:type="gramStart"/>
      <w:r w:rsidRPr="001633A5">
        <w:t>So</w:t>
      </w:r>
      <w:proofErr w:type="gramEnd"/>
      <w:r w:rsidRPr="001633A5">
        <w:t xml:space="preserve"> the Ohio court should resolve Betsa's state-law claim before this Court wades into Betsa's related due process </w:t>
      </w:r>
      <w:proofErr w:type="gramStart"/>
      <w:r w:rsidRPr="001633A5">
        <w:t>claim.</w:t>
      </w:r>
      <w:r>
        <w:t>”</w:t>
      </w:r>
      <w:proofErr w:type="gramEnd"/>
    </w:p>
    <w:p w14:paraId="634C38E2" w14:textId="77777777" w:rsidR="00745B4B" w:rsidRDefault="00745B4B" w:rsidP="00745B4B">
      <w:pPr>
        <w:rPr>
          <w:b/>
          <w:bCs/>
        </w:rPr>
      </w:pPr>
      <w:r>
        <w:rPr>
          <w:b/>
        </w:rPr>
        <w:t>Legal lesson learned:  Federal courts will normally abstain when the employee has already filed a lawsuit in state court on similar issues.</w:t>
      </w:r>
    </w:p>
    <w:p w14:paraId="7E2F2764" w14:textId="77777777" w:rsidR="00745B4B" w:rsidRDefault="00745B4B" w:rsidP="00745B4B">
      <w:pPr>
        <w:ind w:left="720"/>
      </w:pPr>
      <w:r w:rsidRPr="00D55245">
        <w:t xml:space="preserve">Note: </w:t>
      </w:r>
      <w:r w:rsidRPr="001B7700">
        <w:rPr>
          <w:vanish/>
        </w:rPr>
        <w:t>Top of Form</w:t>
      </w:r>
    </w:p>
    <w:p w14:paraId="720719BE" w14:textId="77777777" w:rsidR="00745B4B" w:rsidRDefault="00745B4B" w:rsidP="00745B4B">
      <w:pPr>
        <w:ind w:left="720"/>
        <w:rPr>
          <w:bCs/>
        </w:rPr>
      </w:pPr>
      <w:r>
        <w:t>Jan. 1, 2026:</w:t>
      </w:r>
      <w:r w:rsidRPr="000D33A9">
        <w:t xml:space="preserve">Avon Lake terminates fire chief after investigation into 'workplace conduct and leadership </w:t>
      </w:r>
      <w:r>
        <w:t>[</w:t>
      </w:r>
      <w:r w:rsidRPr="000D33A9">
        <w:t xml:space="preserve">TV VIDEO.]: </w:t>
      </w:r>
      <w:hyperlink r:id="rId2636" w:history="1">
        <w:r w:rsidRPr="000D33A9">
          <w:rPr>
            <w:rStyle w:val="Hyperlink"/>
          </w:rPr>
          <w:t>https://www.youtube.com/watch?v=NQ_XX2qp684</w:t>
        </w:r>
      </w:hyperlink>
      <w:r w:rsidRPr="000D33A9">
        <w:t xml:space="preserve"> </w:t>
      </w:r>
    </w:p>
    <w:p w14:paraId="157375F4" w14:textId="77777777" w:rsidR="00745B4B" w:rsidRDefault="00745B4B" w:rsidP="00745B4B">
      <w:pPr>
        <w:ind w:left="720"/>
      </w:pPr>
      <w:r>
        <w:t xml:space="preserve">Jan. 1, 2026: </w:t>
      </w:r>
      <w:hyperlink r:id="rId2637" w:history="1">
        <w:r w:rsidRPr="00F620D0">
          <w:rPr>
            <w:rStyle w:val="Hyperlink"/>
          </w:rPr>
          <w:t>https://www.wkyc.com/article/news/local/lorain-county/3news-investigates-avon-lake-terminates-fire-chief-investigation-into-workplace-conduct-leadership/95-a94cb6d7-c3ff-4355-be21-18103dc8f3f4</w:t>
        </w:r>
      </w:hyperlink>
    </w:p>
    <w:p w14:paraId="33029F2D" w14:textId="77777777" w:rsidR="00745B4B" w:rsidRDefault="00745B4B" w:rsidP="002F7727">
      <w:pPr>
        <w:pStyle w:val="NoSpacing"/>
        <w:rPr>
          <w:rFonts w:ascii="Arial Black" w:hAnsi="Arial Black"/>
          <w:b/>
          <w:sz w:val="24"/>
          <w:szCs w:val="24"/>
        </w:rPr>
      </w:pPr>
    </w:p>
    <w:p w14:paraId="6F649BBA" w14:textId="77777777" w:rsidR="00A66F20" w:rsidRDefault="00A66F20" w:rsidP="002F7727">
      <w:pPr>
        <w:pStyle w:val="NoSpacing"/>
        <w:rPr>
          <w:rFonts w:ascii="Arial Black" w:hAnsi="Arial Black"/>
          <w:b/>
          <w:sz w:val="24"/>
          <w:szCs w:val="24"/>
        </w:rPr>
      </w:pPr>
    </w:p>
    <w:p w14:paraId="699EA9B7" w14:textId="77777777" w:rsidR="00A66F20" w:rsidRDefault="00A66F20" w:rsidP="002F7727">
      <w:pPr>
        <w:pStyle w:val="NoSpacing"/>
        <w:rPr>
          <w:rFonts w:ascii="Arial Black" w:hAnsi="Arial Black"/>
          <w:b/>
          <w:sz w:val="24"/>
          <w:szCs w:val="24"/>
        </w:rPr>
      </w:pPr>
    </w:p>
    <w:p w14:paraId="1C8459CD" w14:textId="77777777" w:rsidR="00A66F20" w:rsidRDefault="00A66F20" w:rsidP="002F7727">
      <w:pPr>
        <w:pStyle w:val="NoSpacing"/>
        <w:rPr>
          <w:rFonts w:ascii="Arial Black" w:hAnsi="Arial Black"/>
          <w:b/>
          <w:sz w:val="24"/>
          <w:szCs w:val="24"/>
        </w:rPr>
      </w:pPr>
    </w:p>
    <w:p w14:paraId="437AE70E" w14:textId="06E1B90A" w:rsidR="006D1F52" w:rsidRDefault="006D1F52" w:rsidP="002F7727">
      <w:pPr>
        <w:pStyle w:val="NoSpacing"/>
        <w:rPr>
          <w:rFonts w:ascii="Arial Black" w:hAnsi="Arial Black"/>
          <w:b/>
          <w:sz w:val="24"/>
          <w:szCs w:val="24"/>
        </w:rPr>
      </w:pPr>
      <w:r>
        <w:rPr>
          <w:rFonts w:ascii="Arial Black" w:hAnsi="Arial Black"/>
          <w:b/>
          <w:sz w:val="24"/>
          <w:szCs w:val="24"/>
        </w:rPr>
        <w:t>16-144</w:t>
      </w:r>
    </w:p>
    <w:p w14:paraId="7E665A36" w14:textId="77777777" w:rsidR="006D1F52" w:rsidRDefault="006D1F52" w:rsidP="002F7727">
      <w:pPr>
        <w:pStyle w:val="NoSpacing"/>
        <w:rPr>
          <w:rFonts w:ascii="Arial Black" w:hAnsi="Arial Black"/>
          <w:b/>
          <w:sz w:val="24"/>
          <w:szCs w:val="24"/>
        </w:rPr>
      </w:pPr>
    </w:p>
    <w:p w14:paraId="33A27F3A" w14:textId="102937FE" w:rsidR="006D1F52" w:rsidRDefault="006D1F52" w:rsidP="006D1F52">
      <w:pPr>
        <w:rPr>
          <w:rFonts w:ascii="Arial Black" w:hAnsi="Arial Black"/>
          <w:sz w:val="28"/>
          <w:szCs w:val="28"/>
        </w:rPr>
      </w:pPr>
      <w:r>
        <w:rPr>
          <w:rFonts w:ascii="Arial Black" w:hAnsi="Arial Black"/>
          <w:sz w:val="28"/>
          <w:szCs w:val="28"/>
        </w:rPr>
        <w:t xml:space="preserve">MA: FF FIRED – MUST </w:t>
      </w:r>
      <w:r w:rsidR="00357F5D">
        <w:rPr>
          <w:rFonts w:ascii="Arial Black" w:hAnsi="Arial Black"/>
          <w:sz w:val="28"/>
          <w:szCs w:val="28"/>
        </w:rPr>
        <w:t xml:space="preserve">FIRST </w:t>
      </w:r>
      <w:r>
        <w:rPr>
          <w:rFonts w:ascii="Arial Black" w:hAnsi="Arial Black"/>
          <w:sz w:val="28"/>
          <w:szCs w:val="28"/>
        </w:rPr>
        <w:t>APPEAL TO CIVIL SERVICE COMM.</w:t>
      </w:r>
    </w:p>
    <w:p w14:paraId="7BF79807" w14:textId="77777777" w:rsidR="006D1F52" w:rsidRDefault="006D1F52" w:rsidP="006D1F52">
      <w:r>
        <w:t xml:space="preserve">On January 5, 2026, in </w:t>
      </w:r>
      <w:r w:rsidRPr="00EC756F">
        <w:rPr>
          <w:u w:val="single"/>
        </w:rPr>
        <w:t>Casley Bailey v. Boston Fire Department</w:t>
      </w:r>
      <w:r>
        <w:t xml:space="preserve">, the Commonwealth of Massachusetts Appeal Court held (3 to 0; unpublished opinion) that the trial court properly denied his “emergency motion for a preliminary injunction to stay the disciplinary proceedings.” He was fired the same day (regarding alleged workplace injury) he filed his complaint; he must first exercise his appeal rights to the state’s Civil Service Commission (where he has previously appealed </w:t>
      </w:r>
      <w:proofErr w:type="gramStart"/>
      <w:r>
        <w:t>other</w:t>
      </w:r>
      <w:proofErr w:type="gramEnd"/>
      <w:r>
        <w:t xml:space="preserve"> discipline). </w:t>
      </w:r>
      <w:hyperlink r:id="rId2638" w:history="1">
        <w:r w:rsidRPr="001D590B">
          <w:rPr>
            <w:rStyle w:val="Hyperlink"/>
          </w:rPr>
          <w:t>file:///C:/Users/lawre/Downloads/25P0275.pdf</w:t>
        </w:r>
      </w:hyperlink>
      <w:r>
        <w:t xml:space="preserve">  </w:t>
      </w:r>
    </w:p>
    <w:p w14:paraId="64903B14" w14:textId="77777777" w:rsidR="006D1F52" w:rsidRDefault="006D1F52" w:rsidP="006D1F52">
      <w:r>
        <w:t>THE COURT HELD:</w:t>
      </w:r>
    </w:p>
    <w:p w14:paraId="0C3755E5" w14:textId="77777777" w:rsidR="006D1F52" w:rsidRDefault="006D1F52" w:rsidP="006D1F52">
      <w:pPr>
        <w:pStyle w:val="NoSpacing"/>
        <w:ind w:left="720"/>
      </w:pPr>
      <w:r>
        <w:t>“The plaintiff, Casley Bailey, filed a complaint in the Superior Court against the defendant Boston Fire Department (department) seeking to stay the department's ongoing</w:t>
      </w:r>
    </w:p>
    <w:p w14:paraId="41E6EDAF" w14:textId="77777777" w:rsidR="006D1F52" w:rsidRDefault="006D1F52" w:rsidP="006D1F52">
      <w:pPr>
        <w:pStyle w:val="NoSpacing"/>
        <w:ind w:left="720"/>
      </w:pPr>
      <w:r>
        <w:t>disciplinary action against him. He accompanied the complaint with an emergency motion for a preliminary injunction to stay the disciplinary proceedings.</w:t>
      </w:r>
    </w:p>
    <w:p w14:paraId="533934F4" w14:textId="77777777" w:rsidR="006D1F52" w:rsidRDefault="006D1F52" w:rsidP="006D1F52">
      <w:pPr>
        <w:pStyle w:val="NoSpacing"/>
        <w:ind w:left="720"/>
      </w:pPr>
    </w:p>
    <w:p w14:paraId="54B16170" w14:textId="77777777" w:rsidR="006D1F52" w:rsidRDefault="006D1F52" w:rsidP="006D1F52">
      <w:pPr>
        <w:pStyle w:val="NoSpacing"/>
        <w:ind w:left="720"/>
      </w:pPr>
      <w:r>
        <w:t xml:space="preserve">Meanwhile, the same day the plaintiff filed his complaint, the department announced its final decision and discharged him from service as a firefighter. In opposition to the preliminary injunction, the department argued that the request should be dismissed as moot </w:t>
      </w:r>
      <w:proofErr w:type="gramStart"/>
      <w:r>
        <w:t>and also</w:t>
      </w:r>
      <w:proofErr w:type="gramEnd"/>
      <w:r>
        <w:t xml:space="preserve"> for failure to exhaust administrative remedies. After a hearing, a Superior Court judge denied injunctive relief on the ground that the plaintiff ‘must first exhaust his administrative remedies before coming to Court.’ Shortly thereafter the judge dismissed the complaint because the only relief the plaintiff sought -- the stay of the disciplinary</w:t>
      </w:r>
    </w:p>
    <w:p w14:paraId="33F3D5A3" w14:textId="77777777" w:rsidR="006D1F52" w:rsidRDefault="006D1F52" w:rsidP="006D1F52">
      <w:pPr>
        <w:pStyle w:val="NoSpacing"/>
        <w:ind w:left="720"/>
      </w:pPr>
      <w:r>
        <w:t>procedures -- had been denied.</w:t>
      </w:r>
    </w:p>
    <w:p w14:paraId="2C57A0CA" w14:textId="77777777" w:rsidR="006D1F52" w:rsidRDefault="006D1F52" w:rsidP="006D1F52">
      <w:pPr>
        <w:pStyle w:val="NoSpacing"/>
        <w:ind w:left="720"/>
      </w:pPr>
    </w:p>
    <w:p w14:paraId="38C01F4E" w14:textId="77777777" w:rsidR="006D1F52" w:rsidRDefault="006D1F52" w:rsidP="006D1F52">
      <w:pPr>
        <w:pStyle w:val="NoSpacing"/>
        <w:ind w:left="720"/>
      </w:pPr>
      <w:r>
        <w:t xml:space="preserve">The plaintiff appeals </w:t>
      </w:r>
      <w:proofErr w:type="gramStart"/>
      <w:r>
        <w:t>from</w:t>
      </w:r>
      <w:proofErr w:type="gramEnd"/>
      <w:r>
        <w:t xml:space="preserve"> the dismissal of his complaint. He asserts that the physician who examined him in connection with his claimed work-related injury forged a medical release; that the department chief who oversaw the disciplinary action was biased against him; that his union colluded with the department and failed to provide adequate representation, "rendering administrative remedies futile"; that the judge failed to consider his claim of irreparable harm, particularly the loss of health insurance for his family; and, finally, that he was disciplined more severely than similarly situated</w:t>
      </w:r>
    </w:p>
    <w:p w14:paraId="3D7DB679" w14:textId="77777777" w:rsidR="006D1F52" w:rsidRDefault="006D1F52" w:rsidP="006D1F52">
      <w:pPr>
        <w:pStyle w:val="NoSpacing"/>
        <w:ind w:left="720"/>
      </w:pPr>
      <w:r>
        <w:t xml:space="preserve">firefighters. </w:t>
      </w:r>
    </w:p>
    <w:p w14:paraId="1ACE1035" w14:textId="77777777" w:rsidR="006D1F52" w:rsidRDefault="006D1F52" w:rsidP="006D1F52">
      <w:pPr>
        <w:pStyle w:val="NoSpacing"/>
        <w:ind w:left="720"/>
      </w:pPr>
    </w:p>
    <w:p w14:paraId="6E508955" w14:textId="77777777" w:rsidR="006D1F52" w:rsidRDefault="006D1F52" w:rsidP="006D1F52">
      <w:pPr>
        <w:pStyle w:val="NoSpacing"/>
        <w:ind w:left="720"/>
      </w:pPr>
      <w:r>
        <w:t>Notwithstanding these claims of ‘fraudulent evidence, procedural misconduct, and labor law violations,’ we conclude that the judge did not abuse his discretion in denying the</w:t>
      </w:r>
    </w:p>
    <w:p w14:paraId="22B1780B" w14:textId="77777777" w:rsidR="006D1F52" w:rsidRDefault="006D1F52" w:rsidP="006D1F52">
      <w:pPr>
        <w:pStyle w:val="NoSpacing"/>
        <w:ind w:left="720"/>
      </w:pPr>
      <w:r>
        <w:t>injunction and dismissing the complaint for failure to exhaust available remedies.</w:t>
      </w:r>
    </w:p>
    <w:p w14:paraId="0D5702B5" w14:textId="77777777" w:rsidR="006D1F52" w:rsidRDefault="006D1F52" w:rsidP="006D1F52">
      <w:pPr>
        <w:pStyle w:val="NoSpacing"/>
        <w:ind w:left="720"/>
      </w:pPr>
    </w:p>
    <w:p w14:paraId="5E0FA2E2" w14:textId="77777777" w:rsidR="006D1F52" w:rsidRDefault="006D1F52" w:rsidP="006D1F52">
      <w:pPr>
        <w:pStyle w:val="NoSpacing"/>
        <w:ind w:left="720"/>
      </w:pPr>
      <w:r>
        <w:t>***</w:t>
      </w:r>
    </w:p>
    <w:p w14:paraId="18E89CBC" w14:textId="77777777" w:rsidR="006D1F52" w:rsidRDefault="006D1F52" w:rsidP="006D1F52">
      <w:pPr>
        <w:pStyle w:val="NoSpacing"/>
        <w:ind w:left="720"/>
      </w:pPr>
    </w:p>
    <w:p w14:paraId="2ED1899A" w14:textId="77777777" w:rsidR="006D1F52" w:rsidRDefault="006D1F52" w:rsidP="006D1F52">
      <w:pPr>
        <w:pStyle w:val="NoSpacing"/>
        <w:ind w:left="720"/>
      </w:pPr>
      <w:r>
        <w:t>Moreover, at the time the preliminary injunction was denied and the case was dismissed, the plaintiff had not yet availed himself of the remedies available to him under the civil service statute, G. L</w:t>
      </w:r>
      <w:proofErr w:type="gramStart"/>
      <w:r>
        <w:t>. c</w:t>
      </w:r>
      <w:proofErr w:type="gramEnd"/>
      <w:r>
        <w:t>. 31, §§ 41-45. The plaintiff was a tenured civil servant entitled to the protection of the statute. Documents in the plaintiff's record appendix show that within one month of the dismissal of his complaint he was actively challenging his termination in proceedings before the Civil Service Commission (commission).</w:t>
      </w:r>
    </w:p>
    <w:p w14:paraId="3798A05A" w14:textId="77777777" w:rsidR="006D1F52" w:rsidRDefault="006D1F52" w:rsidP="006D1F52">
      <w:pPr>
        <w:pStyle w:val="NoSpacing"/>
        <w:ind w:left="720"/>
      </w:pPr>
    </w:p>
    <w:p w14:paraId="754C7A81" w14:textId="77777777" w:rsidR="006D1F52" w:rsidRDefault="006D1F52" w:rsidP="006D1F52">
      <w:pPr>
        <w:pStyle w:val="NoSpacing"/>
        <w:ind w:left="720"/>
      </w:pPr>
      <w:r>
        <w:t xml:space="preserve">The plaintiff's claim of irreparable harm -- the harm from loss of employment -- is generally not sufficient to obtain an </w:t>
      </w:r>
      <w:proofErr w:type="gramStart"/>
      <w:r>
        <w:t>injunction.”</w:t>
      </w:r>
      <w:proofErr w:type="gramEnd"/>
    </w:p>
    <w:p w14:paraId="12049097" w14:textId="77777777" w:rsidR="006D1F52" w:rsidRDefault="006D1F52" w:rsidP="006D1F52">
      <w:pPr>
        <w:pStyle w:val="NoSpacing"/>
        <w:ind w:left="720"/>
      </w:pPr>
    </w:p>
    <w:p w14:paraId="542BAFB8" w14:textId="77777777" w:rsidR="006D1F52" w:rsidRDefault="006D1F52" w:rsidP="006D1F52">
      <w:pPr>
        <w:pStyle w:val="NoSpacing"/>
        <w:rPr>
          <w:b/>
          <w:bCs/>
        </w:rPr>
      </w:pPr>
      <w:r>
        <w:rPr>
          <w:b/>
        </w:rPr>
        <w:t xml:space="preserve">Legal lesson learned: Must first exhaust administrative right of appeal to Civil Service Commission before seeking judicial relief. </w:t>
      </w:r>
    </w:p>
    <w:p w14:paraId="2B010EE5" w14:textId="77777777" w:rsidR="006D1F52" w:rsidRDefault="006D1F52" w:rsidP="006D1F52">
      <w:pPr>
        <w:pStyle w:val="NoSpacing"/>
        <w:rPr>
          <w:b/>
          <w:bCs/>
        </w:rPr>
      </w:pPr>
    </w:p>
    <w:p w14:paraId="62A533FE" w14:textId="77777777" w:rsidR="006D1F52" w:rsidRDefault="006D1F52" w:rsidP="006D1F52">
      <w:pPr>
        <w:pStyle w:val="NoSpacing"/>
      </w:pPr>
      <w:r>
        <w:rPr>
          <w:b/>
        </w:rPr>
        <w:tab/>
      </w:r>
      <w:r>
        <w:t xml:space="preserve">Note:  See his prior discipline appeals. </w:t>
      </w:r>
    </w:p>
    <w:p w14:paraId="76C87814" w14:textId="77777777" w:rsidR="006D1F52" w:rsidRDefault="006D1F52" w:rsidP="006D1F52">
      <w:pPr>
        <w:ind w:left="720"/>
      </w:pPr>
      <w:r>
        <w:t xml:space="preserve">February 6, 2025: Civil Service Commission: </w:t>
      </w:r>
      <w:hyperlink r:id="rId2639" w:history="1">
        <w:r w:rsidRPr="002B4D2D">
          <w:rPr>
            <w:rStyle w:val="Hyperlink"/>
          </w:rPr>
          <w:t>https://www.mass.gov/doc/bailey-casley-v-boston-fire-department-2625/download</w:t>
        </w:r>
      </w:hyperlink>
      <w:r>
        <w:t xml:space="preserve"> </w:t>
      </w:r>
    </w:p>
    <w:p w14:paraId="03B38B2F" w14:textId="77777777" w:rsidR="006D1F52" w:rsidRDefault="006D1F52" w:rsidP="006D1F52">
      <w:pPr>
        <w:pStyle w:val="NoSpacing"/>
        <w:ind w:left="720"/>
        <w:rPr>
          <w:bCs/>
        </w:rPr>
      </w:pPr>
      <w:r>
        <w:t>“</w:t>
      </w:r>
      <w:r w:rsidRPr="00301812">
        <w:t>The Commission affirmed the decision of the Boston Fire Department (BFD) to suspend a</w:t>
      </w:r>
      <w:r>
        <w:t xml:space="preserve"> </w:t>
      </w:r>
      <w:r w:rsidRPr="00301812">
        <w:t>firefighter for 60 days for violation of rules related to untruthfulness and misrepresentation</w:t>
      </w:r>
      <w:r>
        <w:t xml:space="preserve"> </w:t>
      </w:r>
      <w:r w:rsidRPr="00301812">
        <w:t>regarding the unauthorized use of emergency lights and sirens on his personal vehicle.</w:t>
      </w:r>
      <w:r>
        <w:t>”</w:t>
      </w:r>
    </w:p>
    <w:p w14:paraId="19EF3D8D" w14:textId="77777777" w:rsidR="006D1F52" w:rsidRDefault="006D1F52" w:rsidP="006D1F52">
      <w:pPr>
        <w:pStyle w:val="NoSpacing"/>
        <w:ind w:left="720"/>
      </w:pPr>
    </w:p>
    <w:p w14:paraId="0A191BE6" w14:textId="77777777" w:rsidR="006D1F52" w:rsidRDefault="006D1F52" w:rsidP="006D1F52">
      <w:pPr>
        <w:pStyle w:val="NoSpacing"/>
        <w:ind w:left="720"/>
      </w:pPr>
      <w:r>
        <w:t xml:space="preserve">May 6, 2024: Civil Service Commission - </w:t>
      </w:r>
      <w:hyperlink r:id="rId2640" w:history="1">
        <w:r w:rsidRPr="001D590B">
          <w:rPr>
            <w:rStyle w:val="Hyperlink"/>
          </w:rPr>
          <w:t>https://www.mass.gov/doc/bailey-casley-v-boston-fire-department-62724/download</w:t>
        </w:r>
      </w:hyperlink>
    </w:p>
    <w:p w14:paraId="004FF996" w14:textId="77777777" w:rsidR="006D1F52" w:rsidRDefault="006D1F52" w:rsidP="006D1F52">
      <w:pPr>
        <w:pStyle w:val="NoSpacing"/>
        <w:ind w:left="720"/>
      </w:pPr>
      <w:r>
        <w:t>“The four-tour suspension [took FMLA leave to take Lt. exam] is modified to a two-tour</w:t>
      </w:r>
    </w:p>
    <w:p w14:paraId="1726975B" w14:textId="77777777" w:rsidR="006D1F52" w:rsidRDefault="006D1F52" w:rsidP="006D1F52">
      <w:pPr>
        <w:pStyle w:val="NoSpacing"/>
        <w:ind w:left="720"/>
      </w:pPr>
      <w:r>
        <w:t>suspension and the Appellant shall be restored to his position for the two remaining tours</w:t>
      </w:r>
    </w:p>
    <w:p w14:paraId="3E8949D0" w14:textId="77777777" w:rsidR="006D1F52" w:rsidRDefault="006D1F52" w:rsidP="006D1F52">
      <w:pPr>
        <w:pStyle w:val="NoSpacing"/>
        <w:ind w:left="720"/>
        <w:rPr>
          <w:b/>
        </w:rPr>
      </w:pPr>
      <w:r>
        <w:t>without loss of pay or other benefits.”</w:t>
      </w:r>
      <w:r>
        <w:rPr>
          <w:b/>
        </w:rPr>
        <w:t xml:space="preserve"> </w:t>
      </w:r>
    </w:p>
    <w:p w14:paraId="33E18AE9" w14:textId="77777777" w:rsidR="006D1F52" w:rsidRDefault="006D1F52" w:rsidP="006D1F52">
      <w:pPr>
        <w:rPr>
          <w:b/>
        </w:rPr>
      </w:pPr>
    </w:p>
    <w:p w14:paraId="6E9ACA3C" w14:textId="77777777" w:rsidR="006D1F52" w:rsidRDefault="006D1F52" w:rsidP="006D1F52">
      <w:pPr>
        <w:rPr>
          <w:b/>
        </w:rPr>
      </w:pPr>
    </w:p>
    <w:p w14:paraId="090583EB" w14:textId="77777777" w:rsidR="006D1F52" w:rsidRDefault="006D1F52" w:rsidP="002F7727">
      <w:pPr>
        <w:pStyle w:val="NoSpacing"/>
        <w:rPr>
          <w:rFonts w:ascii="Arial Black" w:hAnsi="Arial Black"/>
          <w:b/>
          <w:sz w:val="24"/>
          <w:szCs w:val="24"/>
        </w:rPr>
      </w:pPr>
    </w:p>
    <w:p w14:paraId="368C562E" w14:textId="77777777" w:rsidR="006D1F52" w:rsidRDefault="006D1F52" w:rsidP="002F7727">
      <w:pPr>
        <w:pStyle w:val="NoSpacing"/>
        <w:rPr>
          <w:rFonts w:ascii="Arial Black" w:hAnsi="Arial Black"/>
          <w:b/>
          <w:sz w:val="24"/>
          <w:szCs w:val="24"/>
        </w:rPr>
      </w:pPr>
    </w:p>
    <w:p w14:paraId="75EB0486" w14:textId="77777777" w:rsidR="006D1F52" w:rsidRDefault="006D1F52" w:rsidP="002F7727">
      <w:pPr>
        <w:pStyle w:val="NoSpacing"/>
        <w:rPr>
          <w:rFonts w:ascii="Arial Black" w:hAnsi="Arial Black"/>
          <w:b/>
          <w:sz w:val="24"/>
          <w:szCs w:val="24"/>
        </w:rPr>
      </w:pPr>
    </w:p>
    <w:p w14:paraId="5789EED6" w14:textId="40D2E6BF" w:rsidR="00966476" w:rsidRDefault="00966476"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143</w:t>
      </w:r>
    </w:p>
    <w:p w14:paraId="7A11CE31" w14:textId="77777777" w:rsidR="004F5159" w:rsidRDefault="004F5159" w:rsidP="002F7727">
      <w:pPr>
        <w:pStyle w:val="NoSpacing"/>
        <w:rPr>
          <w:rFonts w:ascii="Arial Black" w:hAnsi="Arial Black"/>
          <w:b/>
          <w:sz w:val="24"/>
          <w:szCs w:val="24"/>
        </w:rPr>
      </w:pPr>
    </w:p>
    <w:p w14:paraId="6459F85A" w14:textId="77777777" w:rsidR="000637E4" w:rsidRPr="00E72C24" w:rsidRDefault="000637E4" w:rsidP="000637E4">
      <w:pPr>
        <w:rPr>
          <w:rFonts w:ascii="Arial Black" w:hAnsi="Arial Black"/>
          <w:b/>
          <w:sz w:val="28"/>
          <w:szCs w:val="28"/>
        </w:rPr>
      </w:pPr>
      <w:r>
        <w:rPr>
          <w:rFonts w:ascii="Arial Black" w:hAnsi="Arial Black"/>
          <w:b/>
          <w:sz w:val="28"/>
          <w:szCs w:val="28"/>
        </w:rPr>
        <w:t>CA: KOBE BRYANT CRASH – PHOTOS – NO RETALIATION</w:t>
      </w:r>
    </w:p>
    <w:p w14:paraId="6A9986A9" w14:textId="77777777" w:rsidR="000637E4" w:rsidRDefault="000637E4" w:rsidP="000637E4">
      <w:pPr>
        <w:pStyle w:val="NoSpacing"/>
      </w:pPr>
      <w:r>
        <w:t xml:space="preserve">On December 23, 2025, in </w:t>
      </w:r>
      <w:r w:rsidRPr="00524324">
        <w:rPr>
          <w:u w:val="single"/>
        </w:rPr>
        <w:t>Brian Jordan v. County of Los Angeles</w:t>
      </w:r>
      <w:r>
        <w:t xml:space="preserve">, the </w:t>
      </w:r>
      <w:r w:rsidRPr="00524324">
        <w:t>California Court of Appeals, Second District, Third Division</w:t>
      </w:r>
      <w:r>
        <w:t xml:space="preserve"> held (3 to 0, unpublished decision) that trial court properly dismissed the former Captain’s lawsuit for retaliation.  </w:t>
      </w:r>
      <w:r w:rsidRPr="00726530">
        <w:t>Jordan responded to the</w:t>
      </w:r>
      <w:r>
        <w:t xml:space="preserve"> </w:t>
      </w:r>
      <w:r w:rsidRPr="00726530">
        <w:t xml:space="preserve">scene of the </w:t>
      </w:r>
      <w:r>
        <w:t xml:space="preserve">Jan. 26, </w:t>
      </w:r>
      <w:proofErr w:type="gramStart"/>
      <w:r>
        <w:t>2020</w:t>
      </w:r>
      <w:proofErr w:type="gramEnd"/>
      <w:r>
        <w:t xml:space="preserve"> </w:t>
      </w:r>
      <w:r w:rsidRPr="00726530">
        <w:t>helicopter crash that killed NBA star Kobe Bryant</w:t>
      </w:r>
      <w:r>
        <w:t xml:space="preserve">, his daughter, Christopher Chester’s wife and daughter, among others.  He was ordered to take photos of the scene.  </w:t>
      </w:r>
      <w:r w:rsidRPr="00726530">
        <w:t>He alleged that he was later told to lie about taking</w:t>
      </w:r>
      <w:r>
        <w:t xml:space="preserve"> </w:t>
      </w:r>
      <w:r w:rsidRPr="00726530">
        <w:t>those photos. He further alleged that when he refused to lie, the</w:t>
      </w:r>
      <w:r>
        <w:t xml:space="preserve"> </w:t>
      </w:r>
      <w:r w:rsidRPr="00726530">
        <w:t>County retaliated against him by failing to pay for his legal</w:t>
      </w:r>
      <w:r>
        <w:t xml:space="preserve"> </w:t>
      </w:r>
      <w:r w:rsidRPr="00726530">
        <w:t>representation in an action brought by the crash victims’</w:t>
      </w:r>
      <w:r>
        <w:t xml:space="preserve"> </w:t>
      </w:r>
      <w:r w:rsidRPr="00726530">
        <w:t>families</w:t>
      </w:r>
      <w:r>
        <w:t xml:space="preserve"> (November 2021 deposition and August 2022 trial) </w:t>
      </w:r>
      <w:r w:rsidRPr="00726530">
        <w:t>and by denying him a retirement badge.</w:t>
      </w:r>
      <w:r>
        <w:t xml:space="preserve">  </w:t>
      </w:r>
      <w:hyperlink r:id="rId2641" w:history="1">
        <w:r w:rsidRPr="00F75E71">
          <w:rPr>
            <w:rStyle w:val="Hyperlink"/>
          </w:rPr>
          <w:t>https://www4.courts.ca.gov/opinions/nonpub/B333041.PDF</w:t>
        </w:r>
      </w:hyperlink>
      <w:r>
        <w:t xml:space="preserve"> </w:t>
      </w:r>
    </w:p>
    <w:p w14:paraId="1ECFE5CD" w14:textId="77777777" w:rsidR="000637E4" w:rsidRDefault="000637E4" w:rsidP="000637E4">
      <w:pPr>
        <w:pStyle w:val="NoSpacing"/>
      </w:pPr>
    </w:p>
    <w:p w14:paraId="28AFAC3C" w14:textId="77777777" w:rsidR="000637E4" w:rsidRDefault="000637E4" w:rsidP="000637E4">
      <w:pPr>
        <w:pStyle w:val="NoSpacing"/>
      </w:pPr>
      <w:r>
        <w:t>THE COURT HELD:</w:t>
      </w:r>
    </w:p>
    <w:p w14:paraId="766F4D90" w14:textId="77777777" w:rsidR="000637E4" w:rsidRDefault="000637E4" w:rsidP="000637E4">
      <w:pPr>
        <w:pStyle w:val="NoSpacing"/>
      </w:pPr>
    </w:p>
    <w:p w14:paraId="26FF905D" w14:textId="77777777" w:rsidR="000637E4" w:rsidRDefault="000637E4" w:rsidP="000637E4">
      <w:pPr>
        <w:pStyle w:val="NoSpacing"/>
        <w:ind w:left="720"/>
      </w:pPr>
      <w:r>
        <w:t>“A superior officer, Anthony Marrone, ordered Jordan, in the scope of Jordan’s work as a safety officer for the LACFD, to photograph the crash site. Jordan did so. An unnamed superior officer later told Jordan to delete all photos he had taken, and he complied. According to the complaint, at an unspecified later date, ‘defendants’ told Jordan to claim he had not taken any pictures. He refused to do so.</w:t>
      </w:r>
    </w:p>
    <w:p w14:paraId="35520DC9" w14:textId="77777777" w:rsidR="000637E4" w:rsidRDefault="000637E4" w:rsidP="000637E4">
      <w:pPr>
        <w:pStyle w:val="NoSpacing"/>
        <w:ind w:left="720"/>
      </w:pPr>
    </w:p>
    <w:p w14:paraId="27E7B53B" w14:textId="77777777" w:rsidR="000637E4" w:rsidRDefault="000637E4" w:rsidP="000637E4">
      <w:pPr>
        <w:pStyle w:val="NoSpacing"/>
        <w:ind w:left="720"/>
      </w:pPr>
      <w:r>
        <w:t>***</w:t>
      </w:r>
    </w:p>
    <w:p w14:paraId="7F2070C5" w14:textId="77777777" w:rsidR="000637E4" w:rsidRDefault="000637E4" w:rsidP="000637E4">
      <w:pPr>
        <w:pStyle w:val="NoSpacing"/>
        <w:ind w:left="720"/>
      </w:pPr>
      <w:r>
        <w:t>On December 2, 2020, Jordan applied for disability retirement. On December 3, he received a Notice of Intent to Terminate (Notice) from the LACFD. The Notice was based on the claim that Jordan had taken and disseminated photos of the crash site without authorization.</w:t>
      </w:r>
    </w:p>
    <w:p w14:paraId="1A933BB1" w14:textId="77777777" w:rsidR="000637E4" w:rsidRDefault="000637E4" w:rsidP="000637E4">
      <w:pPr>
        <w:pStyle w:val="NoSpacing"/>
        <w:ind w:left="720"/>
      </w:pPr>
    </w:p>
    <w:p w14:paraId="1D65AE2C" w14:textId="77777777" w:rsidR="000637E4" w:rsidRDefault="000637E4" w:rsidP="000637E4">
      <w:pPr>
        <w:pStyle w:val="NoSpacing"/>
        <w:ind w:left="720"/>
      </w:pPr>
      <w:r>
        <w:t>***</w:t>
      </w:r>
    </w:p>
    <w:p w14:paraId="60D7A2A7" w14:textId="77777777" w:rsidR="000637E4" w:rsidRDefault="000637E4" w:rsidP="000637E4">
      <w:pPr>
        <w:pStyle w:val="NoSpacing"/>
        <w:ind w:left="720"/>
      </w:pPr>
    </w:p>
    <w:p w14:paraId="4B87C43F" w14:textId="77777777" w:rsidR="000637E4" w:rsidRDefault="000637E4" w:rsidP="000637E4">
      <w:pPr>
        <w:pStyle w:val="NoSpacing"/>
        <w:ind w:left="720"/>
      </w:pPr>
      <w:r>
        <w:t>In May 2021, Christopher Chester named Jordan as a defendant in his lawsuit concerning the crash photographs. Jordan retained an attorney to represent him in the matter. The</w:t>
      </w:r>
    </w:p>
    <w:p w14:paraId="32808E16" w14:textId="77777777" w:rsidR="000637E4" w:rsidRDefault="000637E4" w:rsidP="000637E4">
      <w:pPr>
        <w:pStyle w:val="NoSpacing"/>
        <w:ind w:left="720"/>
      </w:pPr>
      <w:r>
        <w:t>County, through Deputy Fire Chief William McCloud, offered to pay for Jordan’s legal defense, but [Jordan alleges] only if he was willing to change lawyers and testify that he did not take any pictures at the crash site. Jordan rejected the County’s offer through his attorney.</w:t>
      </w:r>
    </w:p>
    <w:p w14:paraId="08D7BCBC" w14:textId="77777777" w:rsidR="000637E4" w:rsidRDefault="000637E4" w:rsidP="000637E4">
      <w:pPr>
        <w:pStyle w:val="NoSpacing"/>
        <w:ind w:left="720"/>
      </w:pPr>
    </w:p>
    <w:p w14:paraId="57702A7F" w14:textId="77777777" w:rsidR="000637E4" w:rsidRDefault="000637E4" w:rsidP="000637E4">
      <w:pPr>
        <w:pStyle w:val="NoSpacing"/>
        <w:ind w:left="720"/>
      </w:pPr>
      <w:r>
        <w:t>***</w:t>
      </w:r>
    </w:p>
    <w:p w14:paraId="051B3ECE" w14:textId="77777777" w:rsidR="000637E4" w:rsidRDefault="000637E4" w:rsidP="000637E4">
      <w:pPr>
        <w:pStyle w:val="NoSpacing"/>
        <w:ind w:left="720"/>
      </w:pPr>
      <w:r>
        <w:t>Thus, the only employment action at issue is the Notice. However, the County’s issuance of the Notice in December 2020 could not be retaliation for Jordan’s deposition and trial</w:t>
      </w:r>
    </w:p>
    <w:p w14:paraId="01451133" w14:textId="77777777" w:rsidR="000637E4" w:rsidRDefault="000637E4" w:rsidP="000637E4">
      <w:pPr>
        <w:pStyle w:val="NoSpacing"/>
        <w:ind w:left="720"/>
      </w:pPr>
      <w:r>
        <w:t>testimony which did not take place until November 2021 and August 2022, respectively…. However, Jordan’s government claim, which he attached to the</w:t>
      </w:r>
    </w:p>
    <w:p w14:paraId="51B17305" w14:textId="77777777" w:rsidR="000637E4" w:rsidRDefault="000637E4" w:rsidP="000637E4">
      <w:pPr>
        <w:pStyle w:val="NoSpacing"/>
        <w:ind w:left="720"/>
      </w:pPr>
      <w:r>
        <w:t>second amended complaint, indicates that this conversation occurred after he was named as a defendant in the Chester action in May 2021, several months after the County issued the Notice…. it is apparent on the face of the complaint that there could be no causal link between the protected activity and the actionable alleged retaliatory conduct.”</w:t>
      </w:r>
    </w:p>
    <w:p w14:paraId="1F966814" w14:textId="77777777" w:rsidR="000637E4" w:rsidRDefault="000637E4" w:rsidP="000637E4">
      <w:pPr>
        <w:pStyle w:val="NoSpacing"/>
        <w:ind w:left="720"/>
      </w:pPr>
    </w:p>
    <w:p w14:paraId="68237D5D" w14:textId="77777777" w:rsidR="000637E4" w:rsidRDefault="000637E4" w:rsidP="000637E4">
      <w:pPr>
        <w:pStyle w:val="NoSpacing"/>
        <w:rPr>
          <w:b/>
          <w:bCs/>
        </w:rPr>
      </w:pPr>
      <w:r>
        <w:rPr>
          <w:b/>
        </w:rPr>
        <w:t xml:space="preserve">Legal lesson learned: If ever ordered to destroy photos or other evidence, or to lie about your </w:t>
      </w:r>
      <w:proofErr w:type="gramStart"/>
      <w:r>
        <w:rPr>
          <w:b/>
        </w:rPr>
        <w:t>on duty</w:t>
      </w:r>
      <w:proofErr w:type="gramEnd"/>
      <w:r>
        <w:rPr>
          <w:b/>
        </w:rPr>
        <w:t xml:space="preserve"> conduct, immediately report it to a senior supervisor or prosecutor. </w:t>
      </w:r>
    </w:p>
    <w:p w14:paraId="348D382B" w14:textId="77777777" w:rsidR="000637E4" w:rsidRDefault="000637E4" w:rsidP="000637E4">
      <w:pPr>
        <w:pStyle w:val="NoSpacing"/>
        <w:rPr>
          <w:b/>
          <w:bCs/>
        </w:rPr>
      </w:pPr>
    </w:p>
    <w:p w14:paraId="28B0AC3A" w14:textId="77777777" w:rsidR="000637E4" w:rsidRDefault="000637E4" w:rsidP="000637E4">
      <w:pPr>
        <w:pStyle w:val="NoSpacing"/>
        <w:ind w:firstLine="720"/>
      </w:pPr>
      <w:r w:rsidRPr="003847B3">
        <w:t xml:space="preserve">Note: For example, see Ohio Revised Code – Whistleblower statute: </w:t>
      </w:r>
    </w:p>
    <w:p w14:paraId="1CCC0869" w14:textId="77777777" w:rsidR="000637E4" w:rsidRPr="00D47016" w:rsidRDefault="000637E4" w:rsidP="000637E4">
      <w:pPr>
        <w:pStyle w:val="NoSpacing"/>
        <w:ind w:firstLine="720"/>
        <w:rPr>
          <w:b/>
          <w:bCs/>
        </w:rPr>
      </w:pPr>
      <w:r w:rsidRPr="00D47016">
        <w:t>Section 4113.52 | Reporting violations by state and local officials and employees</w:t>
      </w:r>
    </w:p>
    <w:p w14:paraId="5A6B67BB" w14:textId="77777777" w:rsidR="000637E4" w:rsidRPr="003847B3" w:rsidRDefault="000637E4" w:rsidP="000637E4">
      <w:pPr>
        <w:pStyle w:val="NoSpacing"/>
        <w:ind w:firstLine="720"/>
      </w:pPr>
      <w:hyperlink r:id="rId2642" w:history="1">
        <w:r w:rsidRPr="00F75E71">
          <w:rPr>
            <w:rStyle w:val="Hyperlink"/>
          </w:rPr>
          <w:t>https://codes.ohio.gov/ohio-revised-code/section-4113.52</w:t>
        </w:r>
      </w:hyperlink>
      <w:r>
        <w:t xml:space="preserve"> </w:t>
      </w:r>
    </w:p>
    <w:p w14:paraId="657744A0" w14:textId="77777777" w:rsidR="000637E4" w:rsidRDefault="000637E4" w:rsidP="000637E4">
      <w:pPr>
        <w:pStyle w:val="NoSpacing"/>
        <w:ind w:left="720"/>
        <w:rPr>
          <w:bCs/>
        </w:rPr>
      </w:pPr>
    </w:p>
    <w:p w14:paraId="2B90AA35" w14:textId="77777777" w:rsidR="000637E4" w:rsidRPr="00727820" w:rsidRDefault="000637E4" w:rsidP="000637E4">
      <w:pPr>
        <w:pStyle w:val="NoSpacing"/>
        <w:ind w:left="720"/>
        <w:rPr>
          <w:bCs/>
        </w:rPr>
      </w:pPr>
      <w:r>
        <w:t>“</w:t>
      </w:r>
      <w:r w:rsidRPr="00727820">
        <w:t xml:space="preserve">(f) If a person becomes aware in the course of the person's employment of a violation of any state or federal statute or any ordinance or regulation of a political subdivision that the person's employer has authority to correct, and the person reasonably believes that the violation is a criminal offense that is likely to cause an imminent risk of physical harm to persons or a hazard to public health or safety, a felony, or an improper solicitation for a contribution, the person orally shall notify the person's supervisor or other responsible officer of the person's employer of the violation and subsequently shall file with that supervisor or officer a written report that provides sufficient detail to identify and describe the violation. If the employer does not correct the violation or make a reasonable and good faith effort to correct the violation within twenty-four hours after the oral notification or the receipt of the report, whichever is earlier, the person may file a written report that provides sufficient detail to identify and describe the violation with the prosecuting authority of the county or municipal corporation where the violation occurred, with a peace officer, with the inspector general if the violation is within the inspector general's jurisdiction, with the auditor of state's fraud-reporting system under section </w:t>
      </w:r>
      <w:hyperlink r:id="rId2643" w:history="1">
        <w:r w:rsidRPr="00727820">
          <w:rPr>
            <w:rStyle w:val="Hyperlink"/>
          </w:rPr>
          <w:t>117.103</w:t>
        </w:r>
      </w:hyperlink>
      <w:r w:rsidRPr="00727820">
        <w:t xml:space="preserve"> of the Revised Code if applicable, or with any other appropriate public official or agency that has regulatory authority over the employer and the industry, trade, or business in which the employer is engaged.</w:t>
      </w:r>
      <w:r>
        <w:t>”</w:t>
      </w:r>
    </w:p>
    <w:p w14:paraId="67DE854C" w14:textId="77777777" w:rsidR="000637E4" w:rsidRDefault="000637E4" w:rsidP="000637E4">
      <w:pPr>
        <w:pStyle w:val="NoSpacing"/>
        <w:ind w:left="720"/>
      </w:pPr>
    </w:p>
    <w:p w14:paraId="5EACB0D7" w14:textId="77777777" w:rsidR="000637E4" w:rsidRDefault="000637E4" w:rsidP="000637E4">
      <w:pPr>
        <w:pStyle w:val="NoSpacing"/>
      </w:pPr>
    </w:p>
    <w:p w14:paraId="22090817" w14:textId="77777777" w:rsidR="000637E4" w:rsidRDefault="000637E4" w:rsidP="000637E4">
      <w:pPr>
        <w:pStyle w:val="NoSpacing"/>
        <w:ind w:left="720"/>
      </w:pPr>
    </w:p>
    <w:p w14:paraId="5957C0A1" w14:textId="55687991" w:rsidR="00790D60" w:rsidRDefault="000637E4"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142</w:t>
      </w:r>
    </w:p>
    <w:p w14:paraId="084CF9C5" w14:textId="77777777" w:rsidR="00FC6682" w:rsidRDefault="00FC6682" w:rsidP="002F7727">
      <w:pPr>
        <w:pStyle w:val="NoSpacing"/>
        <w:rPr>
          <w:rFonts w:ascii="Arial Black" w:hAnsi="Arial Black"/>
          <w:b/>
          <w:sz w:val="24"/>
          <w:szCs w:val="24"/>
        </w:rPr>
      </w:pPr>
    </w:p>
    <w:p w14:paraId="1B7C880B" w14:textId="77777777" w:rsidR="00FC6682" w:rsidRPr="0072287A" w:rsidRDefault="00FC6682" w:rsidP="00FC6682">
      <w:pPr>
        <w:pStyle w:val="NoSpacing"/>
        <w:rPr>
          <w:rFonts w:ascii="Arial Black" w:hAnsi="Arial Black"/>
          <w:sz w:val="28"/>
          <w:szCs w:val="28"/>
        </w:rPr>
      </w:pPr>
      <w:r>
        <w:rPr>
          <w:rFonts w:ascii="Arial Black" w:hAnsi="Arial Black"/>
          <w:sz w:val="28"/>
          <w:szCs w:val="28"/>
        </w:rPr>
        <w:t xml:space="preserve">FEMA: 13-DAY SUSP – PROFANITY – TENSION FEMALES  </w:t>
      </w:r>
    </w:p>
    <w:p w14:paraId="137BD6FB" w14:textId="77777777" w:rsidR="00FC6682" w:rsidRDefault="00FC6682" w:rsidP="00FC6682">
      <w:pPr>
        <w:pStyle w:val="NoSpacing"/>
      </w:pPr>
    </w:p>
    <w:p w14:paraId="10F30B84" w14:textId="77777777" w:rsidR="00FC6682" w:rsidRDefault="00FC6682" w:rsidP="00FC6682">
      <w:pPr>
        <w:pStyle w:val="NoSpacing"/>
      </w:pPr>
      <w:r>
        <w:t xml:space="preserve">On December 22, 2025, in </w:t>
      </w:r>
      <w:r w:rsidRPr="004E708C">
        <w:rPr>
          <w:u w:val="single"/>
        </w:rPr>
        <w:t xml:space="preserve">Karl Rabenhorst v. Kristi L. Noem, Secretary, Department of Homeland </w:t>
      </w:r>
      <w:r>
        <w:rPr>
          <w:u w:val="single"/>
        </w:rPr>
        <w:t>S</w:t>
      </w:r>
      <w:r w:rsidRPr="004E708C">
        <w:rPr>
          <w:u w:val="single"/>
        </w:rPr>
        <w:t>ecurity</w:t>
      </w:r>
      <w:r>
        <w:t xml:space="preserve">, the U.S. Court of Appeals for Seventh Circuit (Chicago) held (3 to 0) that the DHS was properly granted summary judgment; the former FEMA employee was suspended for 13 days and also removed from deployment in Puerto Rice in October 2017 because of his misconduct. </w:t>
      </w:r>
      <w:hyperlink r:id="rId2644" w:history="1">
        <w:r w:rsidRPr="001402A1">
          <w:rPr>
            <w:rStyle w:val="Hyperlink"/>
          </w:rPr>
          <w:t>https://cases.justia.com/federal/appellate-courts/ca7/24-1297/24-1297-2025-12-22.pdf?ts=1766437242</w:t>
        </w:r>
      </w:hyperlink>
      <w:r>
        <w:t xml:space="preserve"> </w:t>
      </w:r>
    </w:p>
    <w:p w14:paraId="570D807F" w14:textId="77777777" w:rsidR="00FC6682" w:rsidRDefault="00FC6682" w:rsidP="00FC6682">
      <w:pPr>
        <w:pStyle w:val="NoSpacing"/>
      </w:pPr>
    </w:p>
    <w:p w14:paraId="3C077528" w14:textId="77777777" w:rsidR="00FC6682" w:rsidRDefault="00FC6682" w:rsidP="00FC6682">
      <w:pPr>
        <w:pStyle w:val="NoSpacing"/>
      </w:pPr>
    </w:p>
    <w:p w14:paraId="05266463" w14:textId="77777777" w:rsidR="00FC6682" w:rsidRDefault="00FC6682" w:rsidP="00FC6682">
      <w:pPr>
        <w:pStyle w:val="NoSpacing"/>
      </w:pPr>
      <w:r>
        <w:t>THE COURT HELD:</w:t>
      </w:r>
    </w:p>
    <w:p w14:paraId="2CE5F02D" w14:textId="77777777" w:rsidR="00FC6682" w:rsidRDefault="00FC6682" w:rsidP="00FC6682">
      <w:pPr>
        <w:pStyle w:val="NoSpacing"/>
      </w:pPr>
    </w:p>
    <w:p w14:paraId="0C3BA965" w14:textId="77777777" w:rsidR="00FC6682" w:rsidRDefault="00FC6682" w:rsidP="00FC6682">
      <w:pPr>
        <w:pStyle w:val="NoSpacing"/>
        <w:ind w:left="720"/>
      </w:pPr>
      <w:r>
        <w:t xml:space="preserve">“Rabenhorst was deployed to Puerto Rico in October 2017 in the wake of Hurricane Maria. Based on his military aviation and air operations experience, Rabenhorst was assigned to help oversee Puerto Rico air operations related to the disaster relief effort, including the airlifting of emergency aid to the island and medical evacuations from the island. In that capacity, Rabenhorst was working with female FEMA employees in their twenties who, according to him, knew nothing about air operations and management. Tensions arose between Rabenhorst and his female coworkers, and </w:t>
      </w:r>
      <w:proofErr w:type="gramStart"/>
      <w:r>
        <w:t>a number of</w:t>
      </w:r>
      <w:proofErr w:type="gramEnd"/>
      <w:r>
        <w:t xml:space="preserve"> the women became uncomfortable working with him. During staff meetings, Rabenhorst reportedly used profanity, treated his female coworkers and supervisors with disrespect, and on one </w:t>
      </w:r>
    </w:p>
    <w:p w14:paraId="67DE4043" w14:textId="77777777" w:rsidR="00FC6682" w:rsidRDefault="00FC6682" w:rsidP="00FC6682">
      <w:pPr>
        <w:pStyle w:val="NoSpacing"/>
        <w:ind w:left="720"/>
      </w:pPr>
      <w:r>
        <w:t>occasion referred to one or more of female colleagues as ‘sorority girls’ and remarked as to one of them that he had ‘paddled the butts of daughters who were older than her.’ Ultimately, approximately one month after Rabenhorst arrived in Puerto Rico, Josie Arcurio, the FEMA official serving as chief of staff for the relief effort, decided to remove him from the operation for cause, in view of his treatment of co-workers, and had him escorted out of the air operations branch in the view of other employees.</w:t>
      </w:r>
    </w:p>
    <w:p w14:paraId="5454297F" w14:textId="77777777" w:rsidR="00FC6682" w:rsidRDefault="00FC6682" w:rsidP="00FC6682">
      <w:pPr>
        <w:pStyle w:val="NoSpacing"/>
        <w:ind w:left="720"/>
      </w:pPr>
    </w:p>
    <w:p w14:paraId="3BC8E134" w14:textId="77777777" w:rsidR="00FC6682" w:rsidRDefault="00FC6682" w:rsidP="00FC6682">
      <w:pPr>
        <w:pStyle w:val="NoSpacing"/>
        <w:ind w:left="720"/>
      </w:pPr>
      <w:r>
        <w:t>***</w:t>
      </w:r>
    </w:p>
    <w:p w14:paraId="2474493B" w14:textId="77777777" w:rsidR="00FC6682" w:rsidRDefault="00FC6682" w:rsidP="00FC6682">
      <w:pPr>
        <w:pStyle w:val="NoSpacing"/>
        <w:ind w:left="720"/>
      </w:pPr>
      <w:r>
        <w:t xml:space="preserve">There was nothing suggesting that O’Leary [his </w:t>
      </w:r>
      <w:proofErr w:type="gramStart"/>
      <w:r>
        <w:t>Supervisor</w:t>
      </w:r>
      <w:proofErr w:type="gramEnd"/>
      <w:r>
        <w:t xml:space="preserve">] may have harbored a retaliatory animus; nothing indicating that </w:t>
      </w:r>
      <w:proofErr w:type="gramStart"/>
      <w:r>
        <w:t>similarly-situated</w:t>
      </w:r>
      <w:proofErr w:type="gramEnd"/>
      <w:r>
        <w:t xml:space="preserve"> employees were treated more leniently than Rabenhorst; and nothing suggesting that O’Leary’s stated reasons for disciplining Rabenhorst were pretextual.”</w:t>
      </w:r>
    </w:p>
    <w:p w14:paraId="1C2A1EE6" w14:textId="77777777" w:rsidR="00FC6682" w:rsidRDefault="00FC6682" w:rsidP="00FC6682">
      <w:pPr>
        <w:pStyle w:val="NoSpacing"/>
      </w:pPr>
    </w:p>
    <w:p w14:paraId="16F01574" w14:textId="77777777" w:rsidR="00FC6682" w:rsidRPr="00B85FEC" w:rsidRDefault="00FC6682" w:rsidP="00FC6682">
      <w:pPr>
        <w:pStyle w:val="NoSpacing"/>
        <w:rPr>
          <w:b/>
          <w:bCs/>
        </w:rPr>
      </w:pPr>
      <w:r>
        <w:rPr>
          <w:b/>
        </w:rPr>
        <w:t xml:space="preserve">Legal lesson learned: Inappropriate comments can lead to discipline. </w:t>
      </w:r>
    </w:p>
    <w:p w14:paraId="5CF76F7A" w14:textId="77777777" w:rsidR="00FC6682" w:rsidRDefault="00FC6682" w:rsidP="002F7727">
      <w:pPr>
        <w:pStyle w:val="NoSpacing"/>
        <w:rPr>
          <w:rFonts w:ascii="Arial Black" w:hAnsi="Arial Black"/>
          <w:b/>
          <w:sz w:val="24"/>
          <w:szCs w:val="24"/>
        </w:rPr>
      </w:pPr>
    </w:p>
    <w:p w14:paraId="570C3AA8" w14:textId="77777777" w:rsidR="00FC6682" w:rsidRDefault="00FC6682" w:rsidP="002F7727">
      <w:pPr>
        <w:pStyle w:val="NoSpacing"/>
        <w:rPr>
          <w:rFonts w:ascii="Arial Black" w:hAnsi="Arial Black"/>
          <w:b/>
          <w:sz w:val="24"/>
          <w:szCs w:val="24"/>
        </w:rPr>
      </w:pPr>
    </w:p>
    <w:p w14:paraId="4376075D" w14:textId="1D3C8363" w:rsidR="00FC6682" w:rsidRDefault="00FC6682"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141</w:t>
      </w:r>
    </w:p>
    <w:p w14:paraId="0F111372" w14:textId="77777777" w:rsidR="00A26558" w:rsidRDefault="00A26558" w:rsidP="002F7727">
      <w:pPr>
        <w:pStyle w:val="NoSpacing"/>
        <w:rPr>
          <w:rFonts w:ascii="Arial Black" w:hAnsi="Arial Black"/>
          <w:b/>
          <w:sz w:val="24"/>
          <w:szCs w:val="24"/>
        </w:rPr>
      </w:pPr>
    </w:p>
    <w:p w14:paraId="42224E97" w14:textId="2B785E23" w:rsidR="00A26558" w:rsidRPr="00EF05BE" w:rsidRDefault="00A26558" w:rsidP="00A26558">
      <w:pPr>
        <w:rPr>
          <w:rFonts w:ascii="Arial Black" w:hAnsi="Arial Black"/>
          <w:bCs/>
          <w:sz w:val="28"/>
          <w:szCs w:val="28"/>
        </w:rPr>
      </w:pPr>
      <w:r>
        <w:rPr>
          <w:rFonts w:ascii="Arial Black" w:hAnsi="Arial Black"/>
          <w:sz w:val="28"/>
          <w:szCs w:val="28"/>
        </w:rPr>
        <w:t xml:space="preserve">IL: FF CONVICTED – ENTERED FALSE HRS </w:t>
      </w:r>
      <w:r w:rsidR="006063CB">
        <w:rPr>
          <w:rFonts w:ascii="Arial Black" w:hAnsi="Arial Black"/>
          <w:sz w:val="28"/>
          <w:szCs w:val="28"/>
        </w:rPr>
        <w:t xml:space="preserve">FOR </w:t>
      </w:r>
      <w:r>
        <w:rPr>
          <w:rFonts w:ascii="Arial Black" w:hAnsi="Arial Black"/>
          <w:sz w:val="28"/>
          <w:szCs w:val="28"/>
        </w:rPr>
        <w:t xml:space="preserve">2 YRS - $17,000 </w:t>
      </w:r>
    </w:p>
    <w:p w14:paraId="392DCE60" w14:textId="77777777" w:rsidR="00A26558" w:rsidRDefault="00A26558" w:rsidP="00A26558">
      <w:pPr>
        <w:rPr>
          <w:bCs/>
        </w:rPr>
      </w:pPr>
      <w:r>
        <w:t xml:space="preserve">On December 15, 2025, in </w:t>
      </w:r>
      <w:r w:rsidRPr="007072AE">
        <w:rPr>
          <w:u w:val="single"/>
        </w:rPr>
        <w:t>The People of the State of Illinois v. Greg Algrim</w:t>
      </w:r>
      <w:r>
        <w:t xml:space="preserve">, the </w:t>
      </w:r>
      <w:r w:rsidRPr="007072AE">
        <w:t>Appellate Court of Illinois, Second District</w:t>
      </w:r>
      <w:r>
        <w:t xml:space="preserve"> held (3 to 0) that the firefighter, with 22 years on the job, was properly convicted in bench trial of </w:t>
      </w:r>
      <w:r w:rsidRPr="00B02511">
        <w:t>19 counts of theft</w:t>
      </w:r>
      <w:r>
        <w:t xml:space="preserve">, which occurred </w:t>
      </w:r>
      <w:r w:rsidRPr="00C75DBC">
        <w:t>between August 2, 2019, and September 10, 2021</w:t>
      </w:r>
      <w:r>
        <w:t xml:space="preserve">. The firefighter had administrator privileges with the scheduling software, and would add a false day that he worked a shift, and then after he was paid by direct </w:t>
      </w:r>
      <w:proofErr w:type="gramStart"/>
      <w:r>
        <w:t>deposit</w:t>
      </w:r>
      <w:proofErr w:type="gramEnd"/>
      <w:r>
        <w:t xml:space="preserve"> he would delete the false entry.  </w:t>
      </w:r>
      <w:r w:rsidRPr="008D6B98">
        <w:t xml:space="preserve">The </w:t>
      </w:r>
      <w:r>
        <w:t xml:space="preserve">trial </w:t>
      </w:r>
      <w:r w:rsidRPr="008D6B98">
        <w:t>court sentenced him to three</w:t>
      </w:r>
      <w:r>
        <w:t xml:space="preserve"> </w:t>
      </w:r>
      <w:r w:rsidRPr="008D6B98">
        <w:t>years’ probation and ordered him to pay $17,211.52 in restitution.</w:t>
      </w:r>
      <w:r>
        <w:t xml:space="preserve"> </w:t>
      </w:r>
      <w:hyperlink r:id="rId2645" w:history="1">
        <w:r w:rsidRPr="00811005">
          <w:rPr>
            <w:rStyle w:val="Hyperlink"/>
          </w:rPr>
          <w:t>https://cases.justia.com/illinois/court-of-appeals-second-appellate-district/2025-2-24-0565.pdf?ts=1765847849</w:t>
        </w:r>
      </w:hyperlink>
      <w:r>
        <w:t xml:space="preserve"> </w:t>
      </w:r>
    </w:p>
    <w:p w14:paraId="2D52FDCF" w14:textId="77777777" w:rsidR="00A26558" w:rsidRDefault="00A26558" w:rsidP="00A26558">
      <w:pPr>
        <w:rPr>
          <w:bCs/>
        </w:rPr>
      </w:pPr>
      <w:r>
        <w:t>THE COURT HELD:</w:t>
      </w:r>
    </w:p>
    <w:p w14:paraId="63DFCC3B" w14:textId="77777777" w:rsidR="00A26558" w:rsidRDefault="00A26558" w:rsidP="00A26558">
      <w:pPr>
        <w:pStyle w:val="NoSpacing"/>
        <w:ind w:left="720"/>
      </w:pPr>
      <w:r>
        <w:t>“</w:t>
      </w:r>
      <w:r w:rsidRPr="00C75DBC">
        <w:t>Defendant worked as a firefighter for the Elburn and Countryside Fire Protection District</w:t>
      </w:r>
      <w:r>
        <w:t xml:space="preserve"> </w:t>
      </w:r>
      <w:r w:rsidRPr="00C75DBC">
        <w:t>(District) until September 20, 2021, when he was placed on paid administrative leave pending the</w:t>
      </w:r>
      <w:r>
        <w:t xml:space="preserve"> </w:t>
      </w:r>
      <w:proofErr w:type="gramStart"/>
      <w:r w:rsidRPr="00C75DBC">
        <w:t>District’s</w:t>
      </w:r>
      <w:proofErr w:type="gramEnd"/>
      <w:r w:rsidRPr="00C75DBC">
        <w:t xml:space="preserve"> inquiry into discrepancies between the </w:t>
      </w:r>
      <w:proofErr w:type="gramStart"/>
      <w:r w:rsidRPr="00C75DBC">
        <w:t>hours</w:t>
      </w:r>
      <w:proofErr w:type="gramEnd"/>
      <w:r w:rsidRPr="00C75DBC">
        <w:t xml:space="preserve"> he had been paid for and the hours he had</w:t>
      </w:r>
      <w:r>
        <w:t xml:space="preserve"> </w:t>
      </w:r>
      <w:proofErr w:type="gramStart"/>
      <w:r w:rsidRPr="00C75DBC">
        <w:t>actually worked</w:t>
      </w:r>
      <w:proofErr w:type="gramEnd"/>
      <w:r w:rsidRPr="00C75DBC">
        <w:t>. The police interviewed defendant on September 30, 2021, and he subsequently</w:t>
      </w:r>
      <w:r>
        <w:t xml:space="preserve"> </w:t>
      </w:r>
      <w:r w:rsidRPr="00C75DBC">
        <w:t xml:space="preserve">resigned on November 25, 2021. </w:t>
      </w:r>
    </w:p>
    <w:p w14:paraId="1BAAF211" w14:textId="77777777" w:rsidR="00A26558" w:rsidRDefault="00A26558" w:rsidP="00A26558">
      <w:pPr>
        <w:pStyle w:val="NoSpacing"/>
        <w:ind w:left="720"/>
      </w:pPr>
    </w:p>
    <w:p w14:paraId="0815289B" w14:textId="77777777" w:rsidR="00A26558" w:rsidRDefault="00A26558" w:rsidP="00A26558">
      <w:pPr>
        <w:pStyle w:val="NoSpacing"/>
        <w:ind w:left="720"/>
      </w:pPr>
      <w:r w:rsidRPr="00C75DBC">
        <w:t>On July 20, 2022, a grand jury indicted defendant on 20 counts</w:t>
      </w:r>
      <w:r>
        <w:t xml:space="preserve"> </w:t>
      </w:r>
      <w:r w:rsidRPr="00C75DBC">
        <w:t>of theft that occurred between August 2, 2019, and September 10, 2021</w:t>
      </w:r>
      <w:proofErr w:type="gramStart"/>
      <w:r>
        <w:t>…..</w:t>
      </w:r>
      <w:proofErr w:type="gramEnd"/>
      <w:r>
        <w:t xml:space="preserve"> Defendant waived his right to a jury trial, and a bench trial was held over the course of four days in 2024: February 1 and 2, March 21, and April 9.</w:t>
      </w:r>
    </w:p>
    <w:p w14:paraId="2EC37F27" w14:textId="77777777" w:rsidR="00A26558" w:rsidRDefault="00A26558" w:rsidP="00A26558">
      <w:pPr>
        <w:pStyle w:val="NoSpacing"/>
        <w:ind w:left="720"/>
      </w:pPr>
    </w:p>
    <w:p w14:paraId="1CF1C187" w14:textId="77777777" w:rsidR="00A26558" w:rsidRDefault="00A26558" w:rsidP="00A26558">
      <w:pPr>
        <w:pStyle w:val="NoSpacing"/>
        <w:ind w:left="720"/>
      </w:pPr>
      <w:r>
        <w:t>***</w:t>
      </w:r>
    </w:p>
    <w:p w14:paraId="019A2107" w14:textId="77777777" w:rsidR="00A26558" w:rsidRDefault="00A26558" w:rsidP="00A26558">
      <w:pPr>
        <w:pStyle w:val="NoSpacing"/>
      </w:pPr>
    </w:p>
    <w:p w14:paraId="10F1B9E0" w14:textId="77777777" w:rsidR="00A26558" w:rsidRDefault="00A26558" w:rsidP="00A26558">
      <w:pPr>
        <w:pStyle w:val="NoSpacing"/>
        <w:ind w:left="720"/>
      </w:pPr>
      <w:r>
        <w:t xml:space="preserve">The State first called Merry Morris, who had worked as a financial specialist for the </w:t>
      </w:r>
      <w:proofErr w:type="gramStart"/>
      <w:r>
        <w:t>District</w:t>
      </w:r>
      <w:proofErr w:type="gramEnd"/>
      <w:r>
        <w:t xml:space="preserve"> for nearly 12 years. In that role, Morris processed payroll for the </w:t>
      </w:r>
      <w:proofErr w:type="gramStart"/>
      <w:r>
        <w:t>District</w:t>
      </w:r>
      <w:proofErr w:type="gramEnd"/>
      <w:r>
        <w:t>. When asked to describe her role in the payroll process, Morris stated:</w:t>
      </w:r>
    </w:p>
    <w:p w14:paraId="24747FEC" w14:textId="77777777" w:rsidR="00A26558" w:rsidRDefault="00A26558" w:rsidP="00A26558">
      <w:pPr>
        <w:pStyle w:val="NoSpacing"/>
      </w:pPr>
    </w:p>
    <w:p w14:paraId="245C52E5" w14:textId="77777777" w:rsidR="00A26558" w:rsidRDefault="00A26558" w:rsidP="00A26558">
      <w:pPr>
        <w:pStyle w:val="NoSpacing"/>
        <w:ind w:left="720" w:firstLine="720"/>
      </w:pPr>
      <w:r>
        <w:t>“Once I was advised that the timecards had been looked at [by supervisors], then I</w:t>
      </w:r>
    </w:p>
    <w:p w14:paraId="04E4E856" w14:textId="77777777" w:rsidR="00A26558" w:rsidRDefault="00A26558" w:rsidP="00A26558">
      <w:pPr>
        <w:pStyle w:val="NoSpacing"/>
        <w:ind w:left="1440"/>
      </w:pPr>
      <w:r>
        <w:t>would pull the schedule from the scheduling software and download that into an Excel spreadsheet, and then I would look over the spreadsheet for any obvious anomalies or errors, and then that was downloaded into the payroll company’s software so that checks could be written.”</w:t>
      </w:r>
    </w:p>
    <w:p w14:paraId="5CB1CB7F" w14:textId="77777777" w:rsidR="00A26558" w:rsidRDefault="00A26558" w:rsidP="00A26558">
      <w:pPr>
        <w:pStyle w:val="NoSpacing"/>
      </w:pPr>
    </w:p>
    <w:p w14:paraId="2BD8BBB0" w14:textId="77777777" w:rsidR="00A26558" w:rsidRDefault="00A26558" w:rsidP="00A26558">
      <w:pPr>
        <w:pStyle w:val="NoSpacing"/>
        <w:ind w:left="720"/>
      </w:pPr>
      <w:r>
        <w:t xml:space="preserve">Defendant was one of three employees who had administrator privileges with the scheduling software. Morris said she had no way to check whether employees worked the number of hours listed; she “wasn’t there, so [she] had no means of doing that.” Employees were paid every other Friday and were required to report their hours by Monday morning preceding </w:t>
      </w:r>
      <w:proofErr w:type="gramStart"/>
      <w:r>
        <w:t>a payday</w:t>
      </w:r>
      <w:proofErr w:type="gramEnd"/>
      <w:r>
        <w:t>. The hours reported by employees had to be approved by their “officers.” All payments were made by direct deposit.</w:t>
      </w:r>
    </w:p>
    <w:p w14:paraId="34A52A5A" w14:textId="77777777" w:rsidR="00A26558" w:rsidRDefault="00A26558" w:rsidP="00A26558">
      <w:pPr>
        <w:pStyle w:val="NoSpacing"/>
        <w:ind w:left="720"/>
      </w:pPr>
    </w:p>
    <w:p w14:paraId="3F568940" w14:textId="77777777" w:rsidR="00A26558" w:rsidRDefault="00A26558" w:rsidP="00A26558">
      <w:pPr>
        <w:pStyle w:val="NoSpacing"/>
        <w:ind w:left="720"/>
      </w:pPr>
      <w:r>
        <w:t>***</w:t>
      </w:r>
    </w:p>
    <w:p w14:paraId="75DC2BD2" w14:textId="77777777" w:rsidR="00A26558" w:rsidRDefault="00A26558" w:rsidP="00A26558">
      <w:pPr>
        <w:pStyle w:val="NoSpacing"/>
        <w:ind w:firstLine="720"/>
      </w:pPr>
    </w:p>
    <w:p w14:paraId="1A8A13BF" w14:textId="77777777" w:rsidR="00A26558" w:rsidRDefault="00A26558" w:rsidP="00A26558">
      <w:pPr>
        <w:pStyle w:val="NoSpacing"/>
        <w:ind w:left="720"/>
      </w:pPr>
      <w:r>
        <w:t xml:space="preserve">[Assistant Fire Chief] Huneke testified that, on September 10, 2021, defendant informed him that an employee of the </w:t>
      </w:r>
      <w:proofErr w:type="gramStart"/>
      <w:r>
        <w:t>District</w:t>
      </w:r>
      <w:proofErr w:type="gramEnd"/>
      <w:r>
        <w:t xml:space="preserve"> had not received overtime pay for a particular day. When Huneke accessed the scheduling software to investigate the issue, he happened to notice that defendant appeared on the schedule as a fourth medic on the day in question. Huneke explained that, typically, only three medics were assigned to each ambulance. Huneke verified that defendant received pay for working that day. Huneke then texted defendant to ask if he had been paid for working that day. Defendant replied that he was unsure whether he had been paid, but if he had, it was a mistake and the money should be deducted from his next paycheck. Huneke notified Joe Cluchey, the fire chief at the time, of defendant’s payroll discrepancy. Cluchey instructed Huneke to examine the entire payroll for other discrepancies. Huneke found two additional payroll discrepancies, both for wages paid to defendant. Huneke did not find discrepancies for any other employee.</w:t>
      </w:r>
    </w:p>
    <w:p w14:paraId="3E2454FD" w14:textId="77777777" w:rsidR="00A26558" w:rsidRDefault="00A26558" w:rsidP="00A26558">
      <w:pPr>
        <w:pStyle w:val="NoSpacing"/>
      </w:pPr>
    </w:p>
    <w:p w14:paraId="12DD3625" w14:textId="77777777" w:rsidR="00A26558" w:rsidRDefault="00A26558" w:rsidP="00A26558">
      <w:pPr>
        <w:pStyle w:val="NoSpacing"/>
      </w:pPr>
      <w:r>
        <w:tab/>
        <w:t>***</w:t>
      </w:r>
    </w:p>
    <w:p w14:paraId="4B72E0D0" w14:textId="77777777" w:rsidR="00A26558" w:rsidRDefault="00A26558" w:rsidP="00A26558">
      <w:pPr>
        <w:pStyle w:val="NoSpacing"/>
        <w:ind w:left="720"/>
      </w:pPr>
      <w:r>
        <w:t xml:space="preserve">The log for the scheduling software showed that, on July 29 at 7:45 a.m., defendant signed into the scheduling software. At 7:57 a.m., defendant added himself to the schedule as a medic for voluntary overtime from 7 a.m. on July 24 to 7 a.m. on July 25. Payroll processing occurred the following Monday, July 29. On August 2, defendant signed into the scheduling software and deleted the 24-hour overtime shift that he had added. Huneke went on to testify about other discrepancies in the reports that inflated defendant’s pay. Huneke stated that his investigation found no discrepancies affecting other </w:t>
      </w:r>
      <w:proofErr w:type="gramStart"/>
      <w:r>
        <w:t>employees.”</w:t>
      </w:r>
      <w:proofErr w:type="gramEnd"/>
    </w:p>
    <w:p w14:paraId="11276E52" w14:textId="77777777" w:rsidR="00A26558" w:rsidRDefault="00A26558" w:rsidP="00A26558">
      <w:pPr>
        <w:pStyle w:val="NoSpacing"/>
        <w:ind w:left="720"/>
      </w:pPr>
    </w:p>
    <w:p w14:paraId="30C002B4" w14:textId="77777777" w:rsidR="00A26558" w:rsidRDefault="00A26558" w:rsidP="00A26558">
      <w:pPr>
        <w:pStyle w:val="NoSpacing"/>
        <w:rPr>
          <w:b/>
          <w:bCs/>
        </w:rPr>
      </w:pPr>
      <w:r>
        <w:rPr>
          <w:b/>
        </w:rPr>
        <w:t xml:space="preserve">Legal lesson learned:  Payroll software should reflect all entries and deletions; and should be audited at least each year by auditing entity. </w:t>
      </w:r>
    </w:p>
    <w:p w14:paraId="51346EBC" w14:textId="77777777" w:rsidR="00A26558" w:rsidRDefault="00A26558" w:rsidP="00A26558">
      <w:pPr>
        <w:pStyle w:val="NoSpacing"/>
        <w:rPr>
          <w:b/>
          <w:bCs/>
        </w:rPr>
      </w:pPr>
    </w:p>
    <w:p w14:paraId="6388F6BD" w14:textId="77777777" w:rsidR="00A26558" w:rsidRDefault="00A26558" w:rsidP="00A26558">
      <w:pPr>
        <w:pStyle w:val="NoSpacing"/>
        <w:rPr>
          <w:b/>
          <w:bCs/>
        </w:rPr>
      </w:pPr>
    </w:p>
    <w:p w14:paraId="00D9E491" w14:textId="51B58937" w:rsidR="00A26558" w:rsidRDefault="00A26558"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140</w:t>
      </w:r>
    </w:p>
    <w:p w14:paraId="47B46F42" w14:textId="77777777" w:rsidR="00583923" w:rsidRDefault="00583923" w:rsidP="002F7727">
      <w:pPr>
        <w:pStyle w:val="NoSpacing"/>
        <w:rPr>
          <w:rFonts w:ascii="Arial Black" w:hAnsi="Arial Black"/>
          <w:b/>
          <w:sz w:val="24"/>
          <w:szCs w:val="24"/>
        </w:rPr>
      </w:pPr>
    </w:p>
    <w:p w14:paraId="27B05BF3" w14:textId="2948F767" w:rsidR="00583923" w:rsidRPr="00C51DC6" w:rsidRDefault="00583923" w:rsidP="00583923">
      <w:pPr>
        <w:pStyle w:val="NoSpacing"/>
        <w:rPr>
          <w:rFonts w:ascii="Arial Black" w:hAnsi="Arial Black"/>
          <w:bCs/>
          <w:sz w:val="28"/>
          <w:szCs w:val="28"/>
        </w:rPr>
      </w:pPr>
      <w:r>
        <w:rPr>
          <w:rFonts w:ascii="Arial Black" w:hAnsi="Arial Black"/>
          <w:sz w:val="28"/>
          <w:szCs w:val="28"/>
        </w:rPr>
        <w:t>NY: FDNY – COVID RELIGIOUS APPEAL – NO CASE</w:t>
      </w:r>
    </w:p>
    <w:p w14:paraId="33C43BAA" w14:textId="77777777" w:rsidR="00583923" w:rsidRDefault="00583923" w:rsidP="00583923">
      <w:pPr>
        <w:pStyle w:val="NoSpacing"/>
        <w:ind w:left="720"/>
        <w:rPr>
          <w:bCs/>
        </w:rPr>
      </w:pPr>
    </w:p>
    <w:p w14:paraId="0A31C00E" w14:textId="77777777" w:rsidR="00583923" w:rsidRDefault="00583923" w:rsidP="00583923">
      <w:pPr>
        <w:rPr>
          <w:bCs/>
        </w:rPr>
      </w:pPr>
      <w:r>
        <w:t xml:space="preserve">On December 17, 2025, </w:t>
      </w:r>
      <w:r w:rsidRPr="00C54553">
        <w:rPr>
          <w:u w:val="single"/>
        </w:rPr>
        <w:t xml:space="preserve">In </w:t>
      </w:r>
      <w:proofErr w:type="gramStart"/>
      <w:r w:rsidRPr="00C54553">
        <w:rPr>
          <w:u w:val="single"/>
        </w:rPr>
        <w:t>The</w:t>
      </w:r>
      <w:proofErr w:type="gramEnd"/>
      <w:r w:rsidRPr="00C54553">
        <w:rPr>
          <w:u w:val="single"/>
        </w:rPr>
        <w:t xml:space="preserve"> Matter</w:t>
      </w:r>
      <w:r w:rsidRPr="00B2157A">
        <w:rPr>
          <w:u w:val="single"/>
        </w:rPr>
        <w:t xml:space="preserve"> of Christopher Hughes v. New York City Fire Department, et al</w:t>
      </w:r>
      <w:r w:rsidRPr="00B2157A">
        <w:t>.,</w:t>
      </w:r>
      <w:r w:rsidRPr="0013709D">
        <w:rPr>
          <w:b/>
        </w:rPr>
        <w:t xml:space="preserve"> </w:t>
      </w:r>
      <w:r w:rsidRPr="00B2157A">
        <w:t>the Supreme Court of New York, Second Department</w:t>
      </w:r>
      <w:r>
        <w:t xml:space="preserve"> held (4 to 0) that the trial court judge decision reinstating the firefighter is reversed; NYFD properly fired the plaintiff on July 27, </w:t>
      </w:r>
      <w:proofErr w:type="gramStart"/>
      <w:r>
        <w:t>2022</w:t>
      </w:r>
      <w:proofErr w:type="gramEnd"/>
      <w:r>
        <w:t xml:space="preserve"> after denying his religious accommodation request. </w:t>
      </w:r>
      <w:hyperlink r:id="rId2646" w:history="1">
        <w:r w:rsidRPr="00B346EB">
          <w:rPr>
            <w:rStyle w:val="Hyperlink"/>
          </w:rPr>
          <w:t>https://law.justia.com/cases/new-york/appellate-division-second-department/2025/2024-01225.html</w:t>
        </w:r>
      </w:hyperlink>
      <w:r>
        <w:t xml:space="preserve"> </w:t>
      </w:r>
    </w:p>
    <w:p w14:paraId="31A17DA7" w14:textId="77777777" w:rsidR="00583923" w:rsidRDefault="00583923" w:rsidP="00583923">
      <w:pPr>
        <w:pStyle w:val="NoSpacing"/>
      </w:pPr>
      <w:r>
        <w:t>THE COURT HELD:</w:t>
      </w:r>
    </w:p>
    <w:p w14:paraId="1B5E3BB9" w14:textId="77777777" w:rsidR="00583923" w:rsidRDefault="00583923" w:rsidP="00583923">
      <w:pPr>
        <w:pStyle w:val="NoSpacing"/>
      </w:pPr>
    </w:p>
    <w:p w14:paraId="0925E9B3" w14:textId="77777777" w:rsidR="00583923" w:rsidRDefault="00583923" w:rsidP="00583923">
      <w:pPr>
        <w:pStyle w:val="NoSpacing"/>
        <w:ind w:left="720"/>
      </w:pPr>
      <w:r>
        <w:t>“</w:t>
      </w:r>
      <w:r w:rsidRPr="00042449">
        <w:t>The petitioner was a firefighter with the New York City Fire Department (hereinafter the FDNY). By order dated October 20, 2021, the New York City Commissioner of Health and Mental Hygiene issued a mandate requiring all City employees, among others, to submit proof that they had received at least one dose of a COVID-19 vaccine by October 29, 2021 (hereinafter the vaccine mandate). On November 1, 2021, the petitioner was placed on leave, without pay, since he failed to submit proof of vaccination or request a reasonable accommodation by the specified deadline.</w:t>
      </w:r>
    </w:p>
    <w:p w14:paraId="0E832211" w14:textId="77777777" w:rsidR="00583923" w:rsidRDefault="00583923" w:rsidP="00583923">
      <w:pPr>
        <w:pStyle w:val="NoSpacing"/>
      </w:pPr>
    </w:p>
    <w:p w14:paraId="57BE95D4" w14:textId="77777777" w:rsidR="00583923" w:rsidRDefault="00583923" w:rsidP="00583923">
      <w:pPr>
        <w:pStyle w:val="NoSpacing"/>
        <w:ind w:left="720"/>
      </w:pPr>
      <w:r w:rsidRPr="00507DFD">
        <w:t xml:space="preserve">On November 5, 2021, the petitioner submitted a request to the FDNY's Equal Employment Opportunity Office for a reasonable accommodation from the vaccine mandate based on his religion, which was denied on December 8, 2021. The petitioner then appealed to the City of New York Reasonable Accommodation Appeals Panel (hereinafter the Panel). In a determination dated July 11, 2022, the Panel upheld the FDNY's denial of the petitioner's request for </w:t>
      </w:r>
      <w:proofErr w:type="gramStart"/>
      <w:r w:rsidRPr="00507DFD">
        <w:t>a reasonable</w:t>
      </w:r>
      <w:proofErr w:type="gramEnd"/>
      <w:r w:rsidRPr="00507DFD">
        <w:t xml:space="preserve"> accommodation. The FDNY then terminated the petitioner's employment on July 27, 2022.</w:t>
      </w:r>
    </w:p>
    <w:p w14:paraId="4586D3EF" w14:textId="77777777" w:rsidR="00583923" w:rsidRDefault="00583923" w:rsidP="00583923">
      <w:pPr>
        <w:pStyle w:val="NoSpacing"/>
        <w:ind w:left="720"/>
      </w:pPr>
    </w:p>
    <w:p w14:paraId="607D6392" w14:textId="77777777" w:rsidR="00583923" w:rsidRDefault="00583923" w:rsidP="00583923">
      <w:pPr>
        <w:pStyle w:val="NoSpacing"/>
        <w:ind w:left="720"/>
      </w:pPr>
      <w:r>
        <w:t>***</w:t>
      </w:r>
    </w:p>
    <w:p w14:paraId="4561B985" w14:textId="77777777" w:rsidR="00583923" w:rsidRDefault="00583923" w:rsidP="00583923">
      <w:pPr>
        <w:pStyle w:val="NoSpacing"/>
        <w:ind w:left="720"/>
      </w:pPr>
      <w:r w:rsidRPr="00E03C01">
        <w:t xml:space="preserve">Supreme Court, Kings County (Joy F. Campanelli, J), dated October 18, </w:t>
      </w:r>
      <w:proofErr w:type="gramStart"/>
      <w:r w:rsidRPr="00E03C01">
        <w:t>2023</w:t>
      </w:r>
      <w:proofErr w:type="gramEnd"/>
      <w:r>
        <w:t xml:space="preserve"> … </w:t>
      </w:r>
      <w:r w:rsidRPr="00E03C01">
        <w:t>granted the petition, in effect, annulled the determination dated July 11, 2022, directed the New York City Fire Department and the City of New York to reinstate the petitioner to his position as a firefighter with a reasonable accommodation from the vaccine mandate and back pay, and directed that the petitioner was entitled to an award of attorneys' fees.</w:t>
      </w:r>
    </w:p>
    <w:p w14:paraId="51170938" w14:textId="77777777" w:rsidR="00583923" w:rsidRDefault="00583923" w:rsidP="00583923">
      <w:pPr>
        <w:pStyle w:val="NoSpacing"/>
        <w:ind w:left="720"/>
      </w:pPr>
    </w:p>
    <w:p w14:paraId="7BC98461" w14:textId="77777777" w:rsidR="00583923" w:rsidRDefault="00583923" w:rsidP="00583923">
      <w:pPr>
        <w:pStyle w:val="NoSpacing"/>
        <w:ind w:left="720"/>
      </w:pPr>
      <w:r>
        <w:t>***</w:t>
      </w:r>
    </w:p>
    <w:p w14:paraId="7CE871AC" w14:textId="77777777" w:rsidR="00583923" w:rsidRDefault="00583923" w:rsidP="00583923">
      <w:pPr>
        <w:pStyle w:val="NoSpacing"/>
        <w:ind w:left="720"/>
      </w:pPr>
    </w:p>
    <w:p w14:paraId="7C5DDE2C" w14:textId="77777777" w:rsidR="00583923" w:rsidRDefault="00583923" w:rsidP="00583923">
      <w:pPr>
        <w:pStyle w:val="NoSpacing"/>
        <w:ind w:left="720"/>
      </w:pPr>
      <w:r w:rsidRPr="008D4AC1">
        <w:t xml:space="preserve">The </w:t>
      </w:r>
      <w:r>
        <w:t xml:space="preserve">[FDNY] </w:t>
      </w:r>
      <w:r w:rsidRPr="008D4AC1">
        <w:t>provided information on the process for reviewing accommodation requests related to the vaccine mandate and informed employees on how to appeal request denials. The record demonstrates that the petitioner availed himself of this process. Moreover, the record shows that there were multiple communications between the petitioner, the FDNY, and the Panel regarding the petitioner's request. The petitioner "failed to establish that, under the unique circumstances present at the time of the vaccine mandate, the NYCHRL required a more robust or individual dialogue" (</w:t>
      </w:r>
      <w:r w:rsidRPr="008D4AC1">
        <w:rPr>
          <w:i/>
          <w:iCs/>
        </w:rPr>
        <w:t>Matter of Smith v New York City Fire Dept.</w:t>
      </w:r>
      <w:r w:rsidRPr="008D4AC1">
        <w:t>, 239 AD3d at 872).</w:t>
      </w:r>
      <w:r>
        <w:t>”</w:t>
      </w:r>
    </w:p>
    <w:p w14:paraId="38214694" w14:textId="77777777" w:rsidR="00583923" w:rsidRDefault="00583923" w:rsidP="00583923">
      <w:pPr>
        <w:pStyle w:val="NoSpacing"/>
        <w:ind w:left="720"/>
      </w:pPr>
    </w:p>
    <w:p w14:paraId="6F9D7AB2" w14:textId="77777777" w:rsidR="00583923" w:rsidRPr="00431A3E" w:rsidRDefault="00583923" w:rsidP="00583923">
      <w:pPr>
        <w:pStyle w:val="NoSpacing"/>
        <w:rPr>
          <w:b/>
          <w:bCs/>
        </w:rPr>
      </w:pPr>
      <w:r>
        <w:rPr>
          <w:b/>
        </w:rPr>
        <w:t xml:space="preserve">Legal lesson learned: </w:t>
      </w:r>
      <w:r w:rsidRPr="00431A3E">
        <w:rPr>
          <w:b/>
        </w:rPr>
        <w:t xml:space="preserve">The </w:t>
      </w:r>
      <w:r>
        <w:rPr>
          <w:b/>
        </w:rPr>
        <w:t xml:space="preserve">Supreme </w:t>
      </w:r>
      <w:r w:rsidRPr="00431A3E">
        <w:rPr>
          <w:b/>
        </w:rPr>
        <w:t>Court</w:t>
      </w:r>
      <w:r>
        <w:rPr>
          <w:b/>
        </w:rPr>
        <w:t xml:space="preserve"> of New York</w:t>
      </w:r>
      <w:r w:rsidRPr="00431A3E">
        <w:rPr>
          <w:b/>
        </w:rPr>
        <w:t xml:space="preserve"> has repeatedly upheld </w:t>
      </w:r>
      <w:r>
        <w:rPr>
          <w:b/>
        </w:rPr>
        <w:t xml:space="preserve">termination decisions after firefighters </w:t>
      </w:r>
      <w:proofErr w:type="gramStart"/>
      <w:r>
        <w:rPr>
          <w:b/>
        </w:rPr>
        <w:t>has</w:t>
      </w:r>
      <w:proofErr w:type="gramEnd"/>
      <w:r>
        <w:rPr>
          <w:b/>
        </w:rPr>
        <w:t xml:space="preserve"> appealed to t</w:t>
      </w:r>
      <w:r w:rsidRPr="00431A3E">
        <w:rPr>
          <w:b/>
        </w:rPr>
        <w:t>he City of New York Reasonable Accommodation Appeals Panel</w:t>
      </w:r>
      <w:r>
        <w:rPr>
          <w:b/>
        </w:rPr>
        <w:t>.</w:t>
      </w:r>
    </w:p>
    <w:p w14:paraId="07790431" w14:textId="77777777" w:rsidR="00583923" w:rsidRDefault="00583923" w:rsidP="00583923">
      <w:pPr>
        <w:rPr>
          <w:b/>
        </w:rPr>
      </w:pPr>
    </w:p>
    <w:p w14:paraId="28FDB25D" w14:textId="77777777" w:rsidR="00583923" w:rsidRDefault="00583923" w:rsidP="002F7727">
      <w:pPr>
        <w:pStyle w:val="NoSpacing"/>
        <w:rPr>
          <w:rFonts w:ascii="Arial Black" w:hAnsi="Arial Black"/>
          <w:b/>
          <w:sz w:val="24"/>
          <w:szCs w:val="24"/>
        </w:rPr>
      </w:pPr>
    </w:p>
    <w:p w14:paraId="47FC3B6E" w14:textId="77777777" w:rsidR="00966476" w:rsidRDefault="00966476" w:rsidP="002F7727">
      <w:pPr>
        <w:pStyle w:val="NoSpacing"/>
        <w:rPr>
          <w:rFonts w:ascii="Arial Black" w:hAnsi="Arial Black"/>
          <w:b/>
          <w:sz w:val="24"/>
          <w:szCs w:val="24"/>
        </w:rPr>
      </w:pPr>
    </w:p>
    <w:p w14:paraId="10446712" w14:textId="77777777" w:rsidR="00966476" w:rsidRDefault="00966476" w:rsidP="002F7727">
      <w:pPr>
        <w:pStyle w:val="NoSpacing"/>
        <w:rPr>
          <w:rFonts w:ascii="Arial Black" w:hAnsi="Arial Black"/>
          <w:b/>
          <w:sz w:val="24"/>
          <w:szCs w:val="24"/>
        </w:rPr>
      </w:pPr>
    </w:p>
    <w:p w14:paraId="0D1E15C8" w14:textId="3280BFA2" w:rsidR="00E775DC" w:rsidRDefault="00E775DC"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9</w:t>
      </w:r>
    </w:p>
    <w:p w14:paraId="4BCCC6D2" w14:textId="77777777" w:rsidR="007E0BE0" w:rsidRDefault="007E0BE0" w:rsidP="00E775DC">
      <w:pPr>
        <w:pStyle w:val="NoSpacing"/>
        <w:rPr>
          <w:rFonts w:ascii="Arial Black" w:hAnsi="Arial Black"/>
          <w:sz w:val="28"/>
          <w:szCs w:val="28"/>
        </w:rPr>
      </w:pPr>
    </w:p>
    <w:p w14:paraId="507A8B4A" w14:textId="4A161267" w:rsidR="00E775DC" w:rsidRDefault="00E775DC" w:rsidP="00E775DC">
      <w:pPr>
        <w:pStyle w:val="NoSpacing"/>
        <w:rPr>
          <w:rFonts w:ascii="Arial Black" w:hAnsi="Arial Black"/>
          <w:sz w:val="28"/>
          <w:szCs w:val="28"/>
        </w:rPr>
      </w:pPr>
      <w:r>
        <w:rPr>
          <w:rFonts w:ascii="Arial Black" w:hAnsi="Arial Black"/>
          <w:sz w:val="28"/>
          <w:szCs w:val="28"/>
        </w:rPr>
        <w:t>OH: FF ARRESTED CHILD PORN – IN JAIL UNTIL TRIAL</w:t>
      </w:r>
    </w:p>
    <w:p w14:paraId="083E6BAE" w14:textId="77777777" w:rsidR="00E775DC" w:rsidRDefault="00E775DC" w:rsidP="00E775DC">
      <w:pPr>
        <w:pStyle w:val="NoSpacing"/>
        <w:rPr>
          <w:rFonts w:ascii="Arial Black" w:hAnsi="Arial Black"/>
          <w:sz w:val="28"/>
          <w:szCs w:val="28"/>
        </w:rPr>
      </w:pPr>
    </w:p>
    <w:p w14:paraId="5DB5A4DC" w14:textId="77777777" w:rsidR="00E775DC" w:rsidRDefault="00E775DC" w:rsidP="00E775DC">
      <w:pPr>
        <w:pStyle w:val="NoSpacing"/>
      </w:pPr>
      <w:r>
        <w:t xml:space="preserve">On November 18, </w:t>
      </w:r>
      <w:proofErr w:type="gramStart"/>
      <w:r>
        <w:t>2025</w:t>
      </w:r>
      <w:proofErr w:type="gramEnd"/>
      <w:r>
        <w:t xml:space="preserve"> in </w:t>
      </w:r>
      <w:r w:rsidRPr="00831A9A">
        <w:rPr>
          <w:u w:val="single"/>
        </w:rPr>
        <w:t>United States of America v. Carson A. Bigham</w:t>
      </w:r>
      <w:r>
        <w:t xml:space="preserve">, U.S. District Court Judge Algenon L. Marbley, United States District Court for Southern District of Ohio, Eastern Division, denied the firefighter’s </w:t>
      </w:r>
      <w:r w:rsidRPr="00006775">
        <w:t>Motion for the Revocation of Detention</w:t>
      </w:r>
      <w:r>
        <w:t xml:space="preserve">; he was arrested on May 22, 2025, and denied release by U.S. Magistrate Judge </w:t>
      </w:r>
      <w:r w:rsidRPr="001337BD">
        <w:t>Kimberly A. Jolson</w:t>
      </w:r>
      <w:r>
        <w:t>. The Government advised the Court that Bigham, us</w:t>
      </w:r>
      <w:r w:rsidRPr="00A96EF6">
        <w:t>ing an alias</w:t>
      </w:r>
      <w:r>
        <w:t xml:space="preserve"> starting </w:t>
      </w:r>
      <w:proofErr w:type="spellStart"/>
      <w:r>
        <w:t>n</w:t>
      </w:r>
      <w:proofErr w:type="spellEnd"/>
      <w:r>
        <w:t xml:space="preserve"> August 2024, </w:t>
      </w:r>
      <w:r w:rsidRPr="00A96EF6">
        <w:t>began communicating with a one Mr. Richard Tyler Campbell over Snapchat, where they discussed having sex with minors.</w:t>
      </w:r>
      <w:r>
        <w:t xml:space="preserve">  THE COURT WROTE: “</w:t>
      </w:r>
      <w:r w:rsidRPr="00434B35">
        <w:t>Here, the weight of evidence of Bigham's dangerousness is apparent. Carson Bigham is a firefighter entrusted with public safety.</w:t>
      </w:r>
      <w:r>
        <w:t xml:space="preserve"> *** </w:t>
      </w:r>
      <w:r w:rsidRPr="00434B35">
        <w:t>He even left his underwear and a used condom for Campbell outside the Columbus fire station he worked at as a “show of good faith.” (</w:t>
      </w:r>
      <w:r w:rsidRPr="00434B35">
        <w:rPr>
          <w:i/>
          <w:iCs/>
        </w:rPr>
        <w:t>Id.</w:t>
      </w:r>
      <w:r w:rsidRPr="00434B35">
        <w:t xml:space="preserve"> at 12-13). Bigham used his own fire station as a personal playground for his fetishes and took brazen, public steps to view and obtain more child pornography. This demonstrates the danger that he would pose to minors and the public if released. This factor also weighs in favor of detention.</w:t>
      </w:r>
      <w:r>
        <w:t xml:space="preserve">” </w:t>
      </w:r>
    </w:p>
    <w:p w14:paraId="1C828409" w14:textId="77777777" w:rsidR="00E775DC" w:rsidRDefault="00E775DC" w:rsidP="00E775DC">
      <w:pPr>
        <w:pStyle w:val="NoSpacing"/>
      </w:pPr>
      <w:hyperlink r:id="rId2647" w:history="1">
        <w:r w:rsidRPr="00583A8C">
          <w:rPr>
            <w:rStyle w:val="Hyperlink"/>
          </w:rPr>
          <w:t>https://public.fastcase.com/jaEE2PXzRXmZ99jOLMt1Io06bpL9%2FLcVXr53aaIUyQvAP5%2BtJH87Oz9onDjzcythnenHIV2f708%2FwR4gt4qkO1f7jeRt%2FKEtj1yUDHm75oU%3D?utm_medium=email&amp;_hsenc=p2ANqtz-_2UmH9uPWr2Na6-FEToPkSf6GcL7PU5KfrxYC2lQgS-z6zkFrF54nulArls3PhR-gkNqFrsBzQlt3BvLsHbxpWeUso_A&amp;_hsmi=226712652&amp;utm_content=226712652&amp;utm_source=hs_email</w:t>
        </w:r>
      </w:hyperlink>
      <w:r>
        <w:t xml:space="preserve"> </w:t>
      </w:r>
    </w:p>
    <w:p w14:paraId="56100743" w14:textId="77777777" w:rsidR="00E775DC" w:rsidRDefault="00E775DC" w:rsidP="00E775DC">
      <w:pPr>
        <w:pStyle w:val="NoSpacing"/>
      </w:pPr>
    </w:p>
    <w:p w14:paraId="3FF385CF" w14:textId="77777777" w:rsidR="00E775DC" w:rsidRDefault="00E775DC" w:rsidP="00E775DC">
      <w:pPr>
        <w:pStyle w:val="NoSpacing"/>
      </w:pPr>
      <w:r>
        <w:t>THE COURT HELD:</w:t>
      </w:r>
    </w:p>
    <w:p w14:paraId="7C612253" w14:textId="77777777" w:rsidR="00E775DC" w:rsidRDefault="00E775DC" w:rsidP="00E775DC">
      <w:pPr>
        <w:pStyle w:val="NoSpacing"/>
      </w:pPr>
    </w:p>
    <w:p w14:paraId="356EB8F9" w14:textId="77777777" w:rsidR="00E775DC" w:rsidRDefault="00E775DC" w:rsidP="00E775DC">
      <w:pPr>
        <w:pStyle w:val="NoSpacing"/>
        <w:ind w:left="720"/>
        <w:rPr>
          <w:bCs/>
        </w:rPr>
      </w:pPr>
      <w:r>
        <w:t>“</w:t>
      </w:r>
      <w:r w:rsidRPr="00A13912">
        <w:t> Mr. Bigham is a firefighter in the Columbus area who is charged with possession of child pornography</w:t>
      </w:r>
      <w:r>
        <w:t xml:space="preserve">…. </w:t>
      </w:r>
      <w:r w:rsidRPr="00A13912">
        <w:t>The Government alleges that in August 2024, Bigham, using an alias, began communicating with a one Mr. Richard Tyler Campbell over Snapchat, where they discussed having sex with minors</w:t>
      </w:r>
      <w:r>
        <w:t xml:space="preserve">…. </w:t>
      </w:r>
      <w:r w:rsidRPr="00A13912">
        <w:t xml:space="preserve">Campbell sent Bigham a video of an adult man engaging in sex acts prepubescent minor who appeared to be 6 or 7 years old. Bigham expressed gratitude and requested specific child pornography from Campbell, including pornography that would depict the minor child </w:t>
      </w:r>
      <w:r>
        <w:t>‘</w:t>
      </w:r>
      <w:r w:rsidRPr="00A13912">
        <w:t>bent over</w:t>
      </w:r>
      <w:r>
        <w:t>’</w:t>
      </w:r>
      <w:r w:rsidRPr="00A13912">
        <w:t xml:space="preserve"> in the way that Bigham </w:t>
      </w:r>
      <w:r>
        <w:t>‘</w:t>
      </w:r>
      <w:r w:rsidRPr="00A13912">
        <w:t>[would] want her.</w:t>
      </w:r>
      <w:r>
        <w:t xml:space="preserve">’ … </w:t>
      </w:r>
      <w:r w:rsidRPr="00A13912">
        <w:t xml:space="preserve"> The two met at a restaurant for lunch, where they watched child pornography on Campbell's phone-including videos of a minor victim being sexually assaulted. Campbell told Bigham that this video showing sexual assault of a minor depicted Campbell</w:t>
      </w:r>
      <w:r>
        <w:t xml:space="preserve">…. </w:t>
      </w:r>
    </w:p>
    <w:p w14:paraId="73BAF4CE" w14:textId="77777777" w:rsidR="00E775DC" w:rsidRDefault="00E775DC" w:rsidP="00E775DC">
      <w:pPr>
        <w:pStyle w:val="NoSpacing"/>
        <w:ind w:left="720"/>
        <w:rPr>
          <w:bCs/>
        </w:rPr>
      </w:pPr>
    </w:p>
    <w:p w14:paraId="664E868F" w14:textId="77777777" w:rsidR="00E775DC" w:rsidRDefault="00E775DC" w:rsidP="00E775DC">
      <w:pPr>
        <w:pStyle w:val="NoSpacing"/>
        <w:ind w:left="720"/>
      </w:pPr>
      <w:r w:rsidRPr="008D447A">
        <w:t xml:space="preserve">Law enforcement executed a search warrant </w:t>
      </w:r>
      <w:proofErr w:type="gramStart"/>
      <w:r w:rsidRPr="008D447A">
        <w:t>of</w:t>
      </w:r>
      <w:proofErr w:type="gramEnd"/>
      <w:r w:rsidRPr="008D447A">
        <w:t xml:space="preserve"> Campbell's residence in February 2025, and after reviewing Campbell's devices, discovered the correspondence with Bigham. Campbell was arrested in March 2025, and Bigham was arrested and ordered temporarily detained on May 22, 2025</w:t>
      </w:r>
      <w:r>
        <w:t xml:space="preserve">…. </w:t>
      </w:r>
      <w:r w:rsidRPr="008D447A">
        <w:t>The Magistrate Judge held a detention hearing on May 27 where the Government proffered Bigham's full confession to law enforcement; Bigham was ordered detained pending trial</w:t>
      </w:r>
      <w:r>
        <w:t xml:space="preserve">… </w:t>
      </w:r>
      <w:r w:rsidRPr="008D447A">
        <w:t xml:space="preserve">Law enforcement completed its forensic review of Bigham's cellular phone following his detention, locating his correspondence with Campbell, along with </w:t>
      </w:r>
      <w:r>
        <w:t>‘</w:t>
      </w:r>
      <w:r w:rsidRPr="008D447A">
        <w:t>one other file of child pornography.</w:t>
      </w:r>
      <w:r>
        <w:t xml:space="preserve">’ … </w:t>
      </w:r>
      <w:r w:rsidRPr="008D447A">
        <w:t xml:space="preserve">Bigham moved to revoke his detention pursuant to 18 U.S.C. § 3145(b) on September 19, 2025, arguing that no substantial </w:t>
      </w:r>
      <w:r>
        <w:t>‘</w:t>
      </w:r>
      <w:r w:rsidRPr="008D447A">
        <w:t>trove</w:t>
      </w:r>
      <w:r>
        <w:t>’</w:t>
      </w:r>
      <w:r w:rsidRPr="008D447A">
        <w:t xml:space="preserve"> of child pornography had materialized</w:t>
      </w:r>
      <w:r>
        <w:t xml:space="preserve">…. </w:t>
      </w:r>
      <w:r w:rsidRPr="008D447A">
        <w:t xml:space="preserve"> The Government opposed revocation of his pre-trial detention, and on October 31, this Court heard argument on the issue.</w:t>
      </w:r>
    </w:p>
    <w:p w14:paraId="6D8D0260" w14:textId="77777777" w:rsidR="00E775DC" w:rsidRDefault="00E775DC" w:rsidP="00E775DC">
      <w:pPr>
        <w:pStyle w:val="NoSpacing"/>
        <w:ind w:left="720"/>
      </w:pPr>
    </w:p>
    <w:p w14:paraId="55A10254" w14:textId="77777777" w:rsidR="00E775DC" w:rsidRDefault="00E775DC" w:rsidP="00E775DC">
      <w:pPr>
        <w:pStyle w:val="NoSpacing"/>
        <w:ind w:left="720"/>
      </w:pPr>
      <w:r>
        <w:t>***</w:t>
      </w:r>
    </w:p>
    <w:p w14:paraId="1CE32842" w14:textId="77777777" w:rsidR="00E775DC" w:rsidRDefault="00E775DC" w:rsidP="00E775DC">
      <w:pPr>
        <w:pStyle w:val="NoSpacing"/>
        <w:ind w:left="720"/>
      </w:pPr>
    </w:p>
    <w:p w14:paraId="518C3A5A" w14:textId="77777777" w:rsidR="00E775DC" w:rsidRDefault="00E775DC" w:rsidP="00E775DC">
      <w:pPr>
        <w:pStyle w:val="NoSpacing"/>
        <w:ind w:left="720"/>
      </w:pPr>
      <w:r w:rsidRPr="00434B35">
        <w:t>Yet, according to the Government, Bigham requested child pornography from Campbell. Bigham did not notify authorities when he was under the impression that Campbell was abusing a minor; instead, he plotted with Campbell to have sexual relations with a minor he believed to be Campbell's niece</w:t>
      </w:r>
      <w:r>
        <w:t xml:space="preserve">…. </w:t>
      </w:r>
      <w:r w:rsidRPr="00434B35">
        <w:t xml:space="preserve">Bigham was excited and sexually stimulated by minors being abused, failed to report this abuse, and allegedly stated that his sexual interest in 12-to-15-year-old minors presented challenges because they could </w:t>
      </w:r>
      <w:r>
        <w:t>‘</w:t>
      </w:r>
      <w:r w:rsidRPr="00434B35">
        <w:t>remember faces, tattle, whatever</w:t>
      </w:r>
      <w:proofErr w:type="gramStart"/>
      <w:r>
        <w:t>…..</w:t>
      </w:r>
      <w:proofErr w:type="gramEnd"/>
      <w:r>
        <w:t xml:space="preserve">’ </w:t>
      </w:r>
    </w:p>
    <w:p w14:paraId="0BA76863" w14:textId="77777777" w:rsidR="00E775DC" w:rsidRDefault="00E775DC" w:rsidP="00E775DC">
      <w:pPr>
        <w:pStyle w:val="NoSpacing"/>
        <w:ind w:left="720"/>
        <w:rPr>
          <w:bCs/>
        </w:rPr>
      </w:pPr>
    </w:p>
    <w:p w14:paraId="305C61B4" w14:textId="78337BD7" w:rsidR="00E775DC" w:rsidRDefault="00E775DC" w:rsidP="00E775DC">
      <w:pPr>
        <w:pStyle w:val="NoSpacing"/>
        <w:rPr>
          <w:b/>
        </w:rPr>
      </w:pPr>
      <w:r>
        <w:rPr>
          <w:b/>
        </w:rPr>
        <w:t>Legal lesson learned:  Child pornography is a very serious offense</w:t>
      </w:r>
      <w:r w:rsidR="007E0BE0">
        <w:rPr>
          <w:b/>
        </w:rPr>
        <w:t>.</w:t>
      </w:r>
      <w:r>
        <w:rPr>
          <w:b/>
        </w:rPr>
        <w:t xml:space="preserve"> </w:t>
      </w:r>
    </w:p>
    <w:p w14:paraId="631CF1A8" w14:textId="77777777" w:rsidR="00E775DC" w:rsidRDefault="00E775DC" w:rsidP="00E775DC">
      <w:pPr>
        <w:pStyle w:val="NoSpacing"/>
        <w:rPr>
          <w:b/>
        </w:rPr>
      </w:pPr>
    </w:p>
    <w:p w14:paraId="686FADDE" w14:textId="77777777" w:rsidR="00E775DC" w:rsidRDefault="00E775DC" w:rsidP="00E775DC">
      <w:pPr>
        <w:pStyle w:val="NoSpacing"/>
        <w:ind w:left="720"/>
      </w:pPr>
      <w:r w:rsidRPr="00505347">
        <w:t xml:space="preserve">Note: See May 22, </w:t>
      </w:r>
      <w:proofErr w:type="gramStart"/>
      <w:r w:rsidRPr="00505347">
        <w:t>2025</w:t>
      </w:r>
      <w:proofErr w:type="gramEnd"/>
      <w:r w:rsidRPr="00505347">
        <w:t xml:space="preserve"> article</w:t>
      </w:r>
      <w:r>
        <w:t>: “</w:t>
      </w:r>
      <w:r w:rsidRPr="00505347">
        <w:t xml:space="preserve">Columbus firefighter living in Lancaster accused of receiving child pornography.  </w:t>
      </w:r>
      <w:r w:rsidRPr="00E54ACC">
        <w:t>A Fairfield County man who works as a Columbus firefighter was arrested on Wednesday, May 21, on federal child pornography charges, the U.S. Attorney's Office for the Southern District of Ohio has announced</w:t>
      </w:r>
      <w:r>
        <w:t xml:space="preserve">…. </w:t>
      </w:r>
      <w:r w:rsidRPr="00FE13DF">
        <w:t xml:space="preserve">Steven Stein, president of the Columbus Firefighters Union IAFF Local No. 67, is aware of Bigham's arrest and said the union is taking the charges </w:t>
      </w:r>
      <w:r>
        <w:t>‘</w:t>
      </w:r>
      <w:r w:rsidRPr="00FE13DF">
        <w:t>very seriously.</w:t>
      </w:r>
      <w:r>
        <w:t>’ ‘</w:t>
      </w:r>
      <w:r w:rsidRPr="0057230C">
        <w:t>As Fire Fighters and members of this community we want to provide the best possible service to the citizens of Columbus— that means holding our members to the highest standards of trust and responsibility,</w:t>
      </w:r>
      <w:r>
        <w:t>’</w:t>
      </w:r>
      <w:r w:rsidRPr="0057230C">
        <w:t xml:space="preserve"> Stein said in a prepared statement.</w:t>
      </w:r>
      <w:r>
        <w:t>”</w:t>
      </w:r>
    </w:p>
    <w:p w14:paraId="1F6E16CF" w14:textId="77777777" w:rsidR="00E775DC" w:rsidRPr="00505347" w:rsidRDefault="00E775DC" w:rsidP="00E775DC">
      <w:pPr>
        <w:pStyle w:val="NoSpacing"/>
        <w:ind w:left="720"/>
        <w:rPr>
          <w:bCs/>
        </w:rPr>
      </w:pPr>
      <w:hyperlink r:id="rId2648" w:history="1">
        <w:r w:rsidRPr="003869A6">
          <w:rPr>
            <w:rStyle w:val="Hyperlink"/>
          </w:rPr>
          <w:t>https://www.dispatch.com/story/news/crime/2025/05/22/columbus-firefighter-child-porn-charges-lancaster-ohio-carson-bigham/83795834007/</w:t>
        </w:r>
      </w:hyperlink>
      <w:r w:rsidRPr="00505347">
        <w:t xml:space="preserve"> </w:t>
      </w:r>
    </w:p>
    <w:p w14:paraId="5D6DD206" w14:textId="77777777" w:rsidR="00E775DC" w:rsidRPr="00A13912" w:rsidRDefault="00E775DC" w:rsidP="00E775DC">
      <w:pPr>
        <w:pStyle w:val="NoSpacing"/>
        <w:rPr>
          <w:bCs/>
        </w:rPr>
      </w:pPr>
    </w:p>
    <w:p w14:paraId="7E16EC77" w14:textId="77777777" w:rsidR="00E775DC" w:rsidRDefault="00E775DC" w:rsidP="002F7727">
      <w:pPr>
        <w:pStyle w:val="NoSpacing"/>
        <w:rPr>
          <w:rFonts w:ascii="Arial Black" w:hAnsi="Arial Black"/>
          <w:b/>
          <w:sz w:val="24"/>
          <w:szCs w:val="24"/>
        </w:rPr>
      </w:pPr>
    </w:p>
    <w:p w14:paraId="25CB65A0" w14:textId="77777777" w:rsidR="00E775DC" w:rsidRDefault="00E775DC" w:rsidP="002F7727">
      <w:pPr>
        <w:pStyle w:val="NoSpacing"/>
        <w:rPr>
          <w:rFonts w:ascii="Arial Black" w:hAnsi="Arial Black"/>
          <w:b/>
          <w:sz w:val="24"/>
          <w:szCs w:val="24"/>
        </w:rPr>
      </w:pPr>
    </w:p>
    <w:p w14:paraId="1E7B7CAD" w14:textId="77777777" w:rsidR="00E775DC" w:rsidRDefault="00E775DC" w:rsidP="002F7727">
      <w:pPr>
        <w:pStyle w:val="NoSpacing"/>
        <w:rPr>
          <w:rFonts w:ascii="Arial Black" w:hAnsi="Arial Black"/>
          <w:b/>
          <w:sz w:val="24"/>
          <w:szCs w:val="24"/>
        </w:rPr>
      </w:pPr>
    </w:p>
    <w:p w14:paraId="7D4DD69B" w14:textId="694B23CD" w:rsidR="00E775DC" w:rsidRDefault="00E775DC"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8</w:t>
      </w:r>
    </w:p>
    <w:p w14:paraId="0541BAB5" w14:textId="77777777" w:rsidR="00311014" w:rsidRDefault="00311014" w:rsidP="002F7727">
      <w:pPr>
        <w:pStyle w:val="NoSpacing"/>
        <w:rPr>
          <w:rFonts w:ascii="Arial Black" w:hAnsi="Arial Black"/>
          <w:b/>
          <w:sz w:val="24"/>
          <w:szCs w:val="24"/>
        </w:rPr>
      </w:pPr>
    </w:p>
    <w:p w14:paraId="4F3FED32" w14:textId="77777777" w:rsidR="00311014" w:rsidRPr="00D83843" w:rsidRDefault="00311014" w:rsidP="00311014">
      <w:pPr>
        <w:rPr>
          <w:rFonts w:ascii="Arial Black" w:hAnsi="Arial Black"/>
          <w:b/>
          <w:sz w:val="28"/>
          <w:szCs w:val="28"/>
        </w:rPr>
      </w:pPr>
      <w:r>
        <w:rPr>
          <w:rFonts w:ascii="Arial Black" w:hAnsi="Arial Black"/>
          <w:b/>
          <w:sz w:val="28"/>
          <w:szCs w:val="28"/>
        </w:rPr>
        <w:t xml:space="preserve">CA: MECHANIC’S THREAT – “TARONE” - KILLED FF STAT. 81 </w:t>
      </w:r>
    </w:p>
    <w:p w14:paraId="627B7280" w14:textId="77777777" w:rsidR="00311014" w:rsidRDefault="00311014" w:rsidP="00311014">
      <w:pPr>
        <w:pStyle w:val="NoSpacing"/>
      </w:pPr>
      <w:r w:rsidRPr="00DE351B">
        <w:t xml:space="preserve">On October 31, 2025, in </w:t>
      </w:r>
      <w:r w:rsidRPr="00DE351B">
        <w:rPr>
          <w:u w:val="single"/>
        </w:rPr>
        <w:t>County of Los Angeles v. Neill Francis Niblett</w:t>
      </w:r>
      <w:r w:rsidRPr="00DE351B">
        <w:t xml:space="preserve">, </w:t>
      </w:r>
      <w:r>
        <w:t xml:space="preserve">the </w:t>
      </w:r>
      <w:r w:rsidRPr="00DE351B">
        <w:t>California Court of Appeals, Second District, First Division</w:t>
      </w:r>
      <w:r>
        <w:t xml:space="preserve"> held (3 to 0) that trial court judge properly issued a three-year </w:t>
      </w:r>
      <w:r w:rsidRPr="005B58D8">
        <w:t>workplace violence restraining order on January 18, 2023</w:t>
      </w:r>
      <w:r>
        <w:t xml:space="preserve">, on the petition filed by the LA County Fire Department on behalf of an Assistant Fire Chief.  Neill Niblett is barred until Jan. 18, </w:t>
      </w:r>
      <w:proofErr w:type="gramStart"/>
      <w:r>
        <w:t>2026</w:t>
      </w:r>
      <w:proofErr w:type="gramEnd"/>
      <w:r>
        <w:t xml:space="preserve"> from harassing the Assistant Fire Chief or entering his </w:t>
      </w:r>
      <w:proofErr w:type="gramStart"/>
      <w:r>
        <w:t>workplace, and</w:t>
      </w:r>
      <w:proofErr w:type="gramEnd"/>
      <w:r>
        <w:t xml:space="preserve"> prohibits Niblett from possessing firearms or ammunition. THE COURT WROTE:  “</w:t>
      </w:r>
      <w:r w:rsidRPr="003B559C">
        <w:t>In sum, the trial court reasonably could have found it</w:t>
      </w:r>
      <w:r>
        <w:t xml:space="preserve"> </w:t>
      </w:r>
      <w:r w:rsidRPr="003B559C">
        <w:t xml:space="preserve">highly probable that by telling Hughes, </w:t>
      </w:r>
      <w:r>
        <w:t>‘</w:t>
      </w:r>
      <w:r w:rsidRPr="003B559C">
        <w:t>If they don’t change</w:t>
      </w:r>
      <w:r>
        <w:t xml:space="preserve"> </w:t>
      </w:r>
      <w:r w:rsidRPr="003B559C">
        <w:t>things in this department, they’re going to have another situation</w:t>
      </w:r>
      <w:r>
        <w:t xml:space="preserve"> </w:t>
      </w:r>
      <w:r w:rsidRPr="003B559C">
        <w:t>like they had with Tatone,</w:t>
      </w:r>
      <w:r>
        <w:t>’</w:t>
      </w:r>
      <w:r w:rsidRPr="003B559C">
        <w:t xml:space="preserve"> </w:t>
      </w:r>
      <w:r>
        <w:t xml:space="preserve">[who shot and killed another firefighter in Station 81 on June 1, 2021] </w:t>
      </w:r>
      <w:r w:rsidRPr="003B559C">
        <w:t>Niblett made a knowing and willful</w:t>
      </w:r>
      <w:r>
        <w:t xml:space="preserve"> </w:t>
      </w:r>
      <w:r w:rsidRPr="003B559C">
        <w:t>statement that would place a reasonable person in fear for his or</w:t>
      </w:r>
      <w:r>
        <w:t xml:space="preserve"> </w:t>
      </w:r>
      <w:r w:rsidRPr="003B559C">
        <w:t>her safety</w:t>
      </w:r>
      <w:r>
        <w:t xml:space="preserve">.”  </w:t>
      </w:r>
      <w:hyperlink r:id="rId2649" w:history="1">
        <w:r w:rsidRPr="00B165D1">
          <w:rPr>
            <w:rStyle w:val="Hyperlink"/>
          </w:rPr>
          <w:t>https://cases.justia.com/california/court-of-appeal/2025-b327744.pdf?ts=1764194477</w:t>
        </w:r>
      </w:hyperlink>
      <w:r>
        <w:t xml:space="preserve"> </w:t>
      </w:r>
    </w:p>
    <w:p w14:paraId="34E48273" w14:textId="77777777" w:rsidR="00311014" w:rsidRDefault="00311014" w:rsidP="00311014">
      <w:pPr>
        <w:pStyle w:val="NoSpacing"/>
      </w:pPr>
    </w:p>
    <w:p w14:paraId="3D6D4979" w14:textId="77777777" w:rsidR="00311014" w:rsidRDefault="00311014" w:rsidP="00311014">
      <w:pPr>
        <w:pStyle w:val="NoSpacing"/>
        <w:rPr>
          <w:bCs/>
        </w:rPr>
      </w:pPr>
      <w:r>
        <w:t>THE COURT HELD:</w:t>
      </w:r>
    </w:p>
    <w:p w14:paraId="24A87CAD" w14:textId="77777777" w:rsidR="00311014" w:rsidRDefault="00311014" w:rsidP="00311014">
      <w:pPr>
        <w:pStyle w:val="NoSpacing"/>
        <w:rPr>
          <w:bCs/>
        </w:rPr>
      </w:pPr>
    </w:p>
    <w:p w14:paraId="6EC3CAE4" w14:textId="77777777" w:rsidR="00311014" w:rsidRDefault="00311014" w:rsidP="00311014">
      <w:pPr>
        <w:ind w:left="720"/>
      </w:pPr>
      <w:r>
        <w:t xml:space="preserve">“Prior to the commencement of the instant action, Niblett was employed as a senior mechanic at the County’s fire department and Assistant Chief [A/C - Court did not use his last name] was Niblett’s supervisor.  </w:t>
      </w:r>
    </w:p>
    <w:p w14:paraId="684B890F" w14:textId="77777777" w:rsidR="00311014" w:rsidRDefault="00311014" w:rsidP="00311014">
      <w:pPr>
        <w:pStyle w:val="NoSpacing"/>
        <w:ind w:left="720"/>
      </w:pPr>
      <w:r>
        <w:t>***</w:t>
      </w:r>
    </w:p>
    <w:p w14:paraId="34D5E495" w14:textId="77777777" w:rsidR="00311014" w:rsidRDefault="00311014" w:rsidP="00311014">
      <w:pPr>
        <w:pStyle w:val="NoSpacing"/>
        <w:ind w:left="720"/>
      </w:pPr>
      <w:r>
        <w:t>According to the County, on October 5, 2022, Niblett acted in a ‘verbally abusive’ manner toward [A/C] after [A/C] asked Niblett to pick up parts Niblett had left on the floor of a fire department facility. The County further avers that on October 11, 2022, Niblett made the following statement to Cari Hughes, a secretary for the fire department: ‘If they don’t change things in this department, they’re going to have another situation like they had with Tatone.’ There is no dispute that in June 2021, a firefighter named ‘Tatone’ fatally shot another firefighter at Station 81.</w:t>
      </w:r>
    </w:p>
    <w:p w14:paraId="0CAF03B2" w14:textId="77777777" w:rsidR="00311014" w:rsidRDefault="00311014" w:rsidP="00311014">
      <w:pPr>
        <w:pStyle w:val="NoSpacing"/>
        <w:ind w:left="720"/>
      </w:pPr>
    </w:p>
    <w:p w14:paraId="312D75CB" w14:textId="77777777" w:rsidR="00311014" w:rsidRDefault="00311014" w:rsidP="00311014">
      <w:pPr>
        <w:pStyle w:val="NoSpacing"/>
        <w:ind w:left="720"/>
      </w:pPr>
      <w:r>
        <w:t>***</w:t>
      </w:r>
    </w:p>
    <w:p w14:paraId="380CB414" w14:textId="77777777" w:rsidR="00311014" w:rsidRDefault="00311014" w:rsidP="00311014">
      <w:pPr>
        <w:pStyle w:val="NoSpacing"/>
        <w:ind w:left="720"/>
        <w:rPr>
          <w:bCs/>
        </w:rPr>
      </w:pPr>
      <w:r>
        <w:t xml:space="preserve">Footnote 5: [A/C] </w:t>
      </w:r>
      <w:r w:rsidRPr="00DB7C6D">
        <w:t xml:space="preserve">testified that the County </w:t>
      </w:r>
      <w:r>
        <w:t>‘</w:t>
      </w:r>
      <w:r w:rsidRPr="00DB7C6D">
        <w:t>placed [Niblett] off of</w:t>
      </w:r>
      <w:r>
        <w:t xml:space="preserve"> </w:t>
      </w:r>
      <w:r w:rsidRPr="00DB7C6D">
        <w:t>work</w:t>
      </w:r>
      <w:r>
        <w:t>’</w:t>
      </w:r>
      <w:r w:rsidRPr="00DB7C6D">
        <w:t xml:space="preserve"> because of his threatening conduct</w:t>
      </w:r>
      <w:r>
        <w:t xml:space="preserve">…. </w:t>
      </w:r>
    </w:p>
    <w:p w14:paraId="5A653A1B" w14:textId="77777777" w:rsidR="00311014" w:rsidRDefault="00311014" w:rsidP="00311014">
      <w:pPr>
        <w:pStyle w:val="NoSpacing"/>
        <w:ind w:left="720"/>
        <w:rPr>
          <w:bCs/>
        </w:rPr>
      </w:pPr>
    </w:p>
    <w:p w14:paraId="78730BA6" w14:textId="77777777" w:rsidR="00311014" w:rsidRDefault="00311014" w:rsidP="00311014">
      <w:pPr>
        <w:pStyle w:val="NoSpacing"/>
        <w:ind w:left="720"/>
      </w:pPr>
      <w:r>
        <w:t>***</w:t>
      </w:r>
    </w:p>
    <w:p w14:paraId="7092EA72" w14:textId="77777777" w:rsidR="00311014" w:rsidRDefault="00311014" w:rsidP="00311014">
      <w:pPr>
        <w:pStyle w:val="NoSpacing"/>
        <w:ind w:left="720"/>
      </w:pPr>
    </w:p>
    <w:p w14:paraId="4F38FD17" w14:textId="77777777" w:rsidR="00311014" w:rsidRDefault="00311014" w:rsidP="00311014">
      <w:pPr>
        <w:pStyle w:val="NoSpacing"/>
        <w:ind w:left="720"/>
      </w:pPr>
      <w:r>
        <w:t xml:space="preserve">Niblett insists he was not threatening to shoot department </w:t>
      </w:r>
      <w:proofErr w:type="gramStart"/>
      <w:r>
        <w:t>management, but</w:t>
      </w:r>
      <w:proofErr w:type="gramEnd"/>
      <w:r>
        <w:t xml:space="preserve"> instead made ‘a hypothetical warning about potential consequences of poor management . . . .’  As</w:t>
      </w:r>
    </w:p>
    <w:p w14:paraId="585247ED" w14:textId="77777777" w:rsidR="00311014" w:rsidRDefault="00311014" w:rsidP="00311014">
      <w:pPr>
        <w:pStyle w:val="NoSpacing"/>
        <w:ind w:left="720"/>
      </w:pPr>
      <w:r>
        <w:t xml:space="preserve">explained above, the trial court rationally could have inferred it is highly probable that a reasonable person hearing this statement would have feared for his or her </w:t>
      </w:r>
      <w:proofErr w:type="gramStart"/>
      <w:r>
        <w:t>safety.”</w:t>
      </w:r>
      <w:proofErr w:type="gramEnd"/>
    </w:p>
    <w:p w14:paraId="679E3081" w14:textId="77777777" w:rsidR="00311014" w:rsidRDefault="00311014" w:rsidP="00311014">
      <w:pPr>
        <w:pStyle w:val="NoSpacing"/>
        <w:ind w:left="720"/>
      </w:pPr>
    </w:p>
    <w:p w14:paraId="3AB7A3CC" w14:textId="3576294C" w:rsidR="00311014" w:rsidRPr="005419F9" w:rsidRDefault="00311014" w:rsidP="00311014">
      <w:pPr>
        <w:pStyle w:val="NoSpacing"/>
        <w:rPr>
          <w:b/>
          <w:bCs/>
        </w:rPr>
      </w:pPr>
      <w:r>
        <w:rPr>
          <w:b/>
        </w:rPr>
        <w:t>Legal Lesson Learned:  Threats of workplace violence must be taken very seriously; immediate suspension from duty</w:t>
      </w:r>
      <w:r w:rsidR="00DB3D9D">
        <w:rPr>
          <w:b/>
        </w:rPr>
        <w:t xml:space="preserve">, notify police </w:t>
      </w:r>
      <w:r>
        <w:rPr>
          <w:b/>
        </w:rPr>
        <w:t xml:space="preserve">and </w:t>
      </w:r>
      <w:r w:rsidR="00DB3D9D">
        <w:rPr>
          <w:b/>
        </w:rPr>
        <w:t xml:space="preserve">conduct </w:t>
      </w:r>
      <w:r>
        <w:rPr>
          <w:b/>
        </w:rPr>
        <w:t>prompt investigation.</w:t>
      </w:r>
    </w:p>
    <w:p w14:paraId="3213A845" w14:textId="77777777" w:rsidR="00311014" w:rsidRDefault="00311014" w:rsidP="00311014">
      <w:pPr>
        <w:pStyle w:val="NoSpacing"/>
        <w:ind w:left="720"/>
        <w:rPr>
          <w:bCs/>
        </w:rPr>
      </w:pPr>
    </w:p>
    <w:p w14:paraId="372B2CC5" w14:textId="77777777" w:rsidR="00311014" w:rsidRDefault="00311014" w:rsidP="00311014">
      <w:pPr>
        <w:pStyle w:val="NoSpacing"/>
        <w:ind w:left="720"/>
      </w:pPr>
      <w:r>
        <w:t xml:space="preserve">Note: See this September 11, </w:t>
      </w:r>
      <w:proofErr w:type="gramStart"/>
      <w:r>
        <w:t>2024</w:t>
      </w:r>
      <w:proofErr w:type="gramEnd"/>
      <w:r>
        <w:t xml:space="preserve"> article.   “</w:t>
      </w:r>
      <w:r w:rsidRPr="002772E6">
        <w:t>L.A. County pays $7.2M to family of firefighter killed in firehouse shooting. A station captain later told investigators that Firefighter Carlon had voiced concerns his harasser would one day shoot and kill him.</w:t>
      </w:r>
      <w:r>
        <w:t xml:space="preserve"> </w:t>
      </w:r>
      <w:r w:rsidRPr="0003781D">
        <w:t>More than three years after a firefighter was shot and killed by a co-worker at a remote station in Agua Dulce, the Los Angeles County Board of Supervisors agreed Tuesday to pay his family $7.2 million.</w:t>
      </w:r>
      <w:r>
        <w:t xml:space="preserve"> </w:t>
      </w:r>
      <w:r w:rsidRPr="0003781D">
        <w:t xml:space="preserve">Tory Carlon was fatally shot while on duty at L.A. County Fire Station 81 on June 1, 2021. The following year, Carlon’s widow, Heidi, and the couple’s three children filed a wrongful-death lawsuit against L.A. County, alleging fire officials had known about the shooter’s </w:t>
      </w:r>
      <w:r>
        <w:t>‘</w:t>
      </w:r>
      <w:r w:rsidRPr="0003781D">
        <w:t>dangerous conduct</w:t>
      </w:r>
      <w:r>
        <w:t>’</w:t>
      </w:r>
      <w:r w:rsidRPr="0003781D">
        <w:t xml:space="preserve"> for years.</w:t>
      </w:r>
      <w:r>
        <w:t xml:space="preserve"> </w:t>
      </w:r>
      <w:r w:rsidRPr="00063FAE">
        <w:t>The gunman, Jonathan Tatone, also shot and injured Fire Capt. Arnoldo Sandoval, before later killing himself. Last year, the board agreed to pay Sandoval nearly $2.6 million.</w:t>
      </w:r>
      <w:r>
        <w:t xml:space="preserve">” </w:t>
      </w:r>
      <w:hyperlink r:id="rId2650" w:history="1">
        <w:r w:rsidRPr="00A22012">
          <w:rPr>
            <w:rStyle w:val="Hyperlink"/>
          </w:rPr>
          <w:t>https://www.firerescue1.com/legal/l-a-county-pays-7-2m-to-family-of-firefighter-killed-in-firehouse-shooting</w:t>
        </w:r>
      </w:hyperlink>
      <w:r>
        <w:t xml:space="preserve"> </w:t>
      </w:r>
    </w:p>
    <w:p w14:paraId="0E6142E8" w14:textId="77777777" w:rsidR="00311014" w:rsidRDefault="00311014" w:rsidP="00311014">
      <w:pPr>
        <w:pStyle w:val="NoSpacing"/>
        <w:ind w:left="720"/>
      </w:pPr>
    </w:p>
    <w:p w14:paraId="445080BE" w14:textId="77777777" w:rsidR="00311014" w:rsidRDefault="00311014" w:rsidP="00311014">
      <w:pPr>
        <w:pStyle w:val="NoSpacing"/>
        <w:ind w:left="720"/>
      </w:pPr>
    </w:p>
    <w:p w14:paraId="4D034EAB" w14:textId="77777777" w:rsidR="00311014" w:rsidRDefault="00311014" w:rsidP="002F7727">
      <w:pPr>
        <w:pStyle w:val="NoSpacing"/>
        <w:rPr>
          <w:rFonts w:ascii="Arial Black" w:hAnsi="Arial Black"/>
          <w:b/>
          <w:sz w:val="24"/>
          <w:szCs w:val="24"/>
        </w:rPr>
      </w:pPr>
    </w:p>
    <w:p w14:paraId="48B47D83" w14:textId="77777777" w:rsidR="00311014" w:rsidRDefault="00311014" w:rsidP="002F7727">
      <w:pPr>
        <w:pStyle w:val="NoSpacing"/>
        <w:rPr>
          <w:rFonts w:ascii="Arial Black" w:hAnsi="Arial Black"/>
          <w:b/>
          <w:sz w:val="24"/>
          <w:szCs w:val="24"/>
        </w:rPr>
      </w:pPr>
    </w:p>
    <w:p w14:paraId="592360CE" w14:textId="77777777" w:rsidR="00E775DC" w:rsidRDefault="00E775DC" w:rsidP="002F7727">
      <w:pPr>
        <w:pStyle w:val="NoSpacing"/>
        <w:rPr>
          <w:rFonts w:ascii="Arial Black" w:hAnsi="Arial Black"/>
          <w:b/>
          <w:sz w:val="24"/>
          <w:szCs w:val="24"/>
        </w:rPr>
      </w:pPr>
    </w:p>
    <w:p w14:paraId="7413FEE7" w14:textId="3C164EA6"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7</w:t>
      </w:r>
    </w:p>
    <w:p w14:paraId="0D8CF808" w14:textId="77777777" w:rsidR="002F7727" w:rsidRDefault="002F7727" w:rsidP="001F4CDF">
      <w:pPr>
        <w:pStyle w:val="NoSpacing"/>
        <w:rPr>
          <w:rFonts w:ascii="Arial Black" w:hAnsi="Arial Black"/>
          <w:sz w:val="28"/>
          <w:szCs w:val="28"/>
        </w:rPr>
      </w:pPr>
    </w:p>
    <w:p w14:paraId="72AE168A" w14:textId="35DD803A" w:rsidR="001F4CDF" w:rsidRPr="00B763EB" w:rsidRDefault="001F4CDF" w:rsidP="001F4CDF">
      <w:pPr>
        <w:pStyle w:val="NoSpacing"/>
        <w:rPr>
          <w:rFonts w:ascii="Arial Black" w:hAnsi="Arial Black"/>
          <w:sz w:val="28"/>
          <w:szCs w:val="28"/>
        </w:rPr>
      </w:pPr>
      <w:r>
        <w:rPr>
          <w:rFonts w:ascii="Arial Black" w:hAnsi="Arial Black"/>
          <w:sz w:val="28"/>
          <w:szCs w:val="28"/>
        </w:rPr>
        <w:t xml:space="preserve">NC: FF AFFAIR – WOMAN TOLD FD “STALKING” – FF FIRED </w:t>
      </w:r>
    </w:p>
    <w:p w14:paraId="1BA39FAD" w14:textId="77777777" w:rsidR="001F4CDF" w:rsidRDefault="001F4CDF" w:rsidP="001F4CDF">
      <w:pPr>
        <w:pStyle w:val="NoSpacing"/>
      </w:pPr>
    </w:p>
    <w:p w14:paraId="6F3166EB" w14:textId="77777777" w:rsidR="001F4CDF" w:rsidRDefault="001F4CDF" w:rsidP="001F4CDF">
      <w:pPr>
        <w:pStyle w:val="NoSpacing"/>
      </w:pPr>
      <w:r>
        <w:t xml:space="preserve">On September 15, 2025, in </w:t>
      </w:r>
      <w:r w:rsidRPr="00B26718">
        <w:rPr>
          <w:u w:val="single"/>
        </w:rPr>
        <w:t>Robert Patterson v. City of Graham, et al</w:t>
      </w:r>
      <w:r w:rsidRPr="000A6483">
        <w:rPr>
          <w:u w:val="single"/>
        </w:rPr>
        <w:t>.</w:t>
      </w:r>
      <w:r>
        <w:t xml:space="preserve">, U.S. Magistrate Judge </w:t>
      </w:r>
      <w:r w:rsidRPr="00D35A64">
        <w:t>L. Patrick Auld</w:t>
      </w:r>
      <w:r>
        <w:t xml:space="preserve">, United States District Court for Middle District of North Carolina, issued an opinion and recommendation that the U.S. District Court judge dismiss the firefighter’s lawsuit claiming age discrimination and hostile workplace.  </w:t>
      </w:r>
    </w:p>
    <w:p w14:paraId="5546329E" w14:textId="77777777" w:rsidR="001F4CDF" w:rsidRDefault="001F4CDF" w:rsidP="001F4CDF">
      <w:pPr>
        <w:pStyle w:val="NoSpacing"/>
      </w:pPr>
    </w:p>
    <w:p w14:paraId="0110AAF3" w14:textId="77777777" w:rsidR="001F4CDF" w:rsidRDefault="001F4CDF" w:rsidP="001F4CDF">
      <w:pPr>
        <w:pStyle w:val="NoSpacing"/>
      </w:pPr>
      <w:r w:rsidRPr="00913B5B">
        <w:rPr>
          <w:b/>
        </w:rPr>
        <w:t>THE MAGISTRATE WROTE</w:t>
      </w:r>
      <w:r>
        <w:t>: “</w:t>
      </w:r>
      <w:r w:rsidRPr="00C01814">
        <w:t>Plaintiff contends that Defendants terminated his employment because of his age</w:t>
      </w:r>
      <w:r>
        <w:t>…. [T]</w:t>
      </w:r>
      <w:r w:rsidRPr="00253C24">
        <w:t>he Amended Complaint reveals that Plaintiff experienced his termination (and non-promotion) only after the revelation of his affair with a married woman and the volatile aftermath of the cessation of that affair, which involved allegations of violence and criminally inappropriate conduct by Plaintiff and other community members (</w:t>
      </w:r>
      <w:r w:rsidRPr="00253C24">
        <w:rPr>
          <w:i/>
          <w:iCs/>
        </w:rPr>
        <w:t>see, e.g.</w:t>
      </w:r>
      <w:r w:rsidRPr="00253C24">
        <w:t xml:space="preserve">, Docket Entries 12-2 to 12-4 (confirming the </w:t>
      </w:r>
      <w:proofErr w:type="spellStart"/>
      <w:r w:rsidRPr="00253C24">
        <w:t>Wrenns</w:t>
      </w:r>
      <w:proofErr w:type="spellEnd"/>
      <w:r w:rsidRPr="00253C24">
        <w:t>' status as members of City community)). These circumstances render implausible any notion that age bias motivated Defendants' termination of Plaintiff's employment, necessitating dismissal of Plaintiff's ADEA discrimination claim.</w:t>
      </w:r>
      <w:r>
        <w:t xml:space="preserve"> *** </w:t>
      </w:r>
      <w:r w:rsidRPr="00174919">
        <w:t>A plaintiff must provide objective facts or dates linking his termination[ or non-promotion] to his protected conduct other than his own opinions about a supervisor's motives. Plaintiff provides only his own opinions about the cause of his termination[ and non-promotion], with objective facts and dates that do not align with retaliation as a plausible motive. Thus, Plaintiff falls short of alleging facts sufficient for a retaliation case</w:t>
      </w:r>
      <w:r>
        <w:t>.</w:t>
      </w:r>
      <w:r w:rsidRPr="00174919">
        <w:t xml:space="preserve">... </w:t>
      </w:r>
      <w:r>
        <w:t xml:space="preserve"> </w:t>
      </w:r>
      <w:hyperlink r:id="rId2651" w:history="1">
        <w:r w:rsidRPr="00B31461">
          <w:rPr>
            <w:rStyle w:val="Hyperlink"/>
          </w:rPr>
          <w:t>https://public.fastcase.com/jaEE2PXzRXmZ99jOLMt1Ilcjd44wj1gOUELzUZUXmDmbuUsOiVZitmDUzsj9wpOSz4ErC%2Bb83%2Bac%2Bxbf2Y5XWbaFtY83bMRM%2FnYjCn7PkRA%3D?utm_medium=email&amp;_hsenc=p2ANqtz-_fx1n9_ms4yphjYB4YK1tT4ojMXKWZyFtyDBkZEK1fupUD4WQ_rkXhMfyPQZmyXGwaNXHPYYCETcsN16Fd9R-eiG6PHw&amp;_hsmi=226712652&amp;utm_content=226712652&amp;utm_source=hs_email</w:t>
        </w:r>
      </w:hyperlink>
      <w:r>
        <w:t xml:space="preserve"> </w:t>
      </w:r>
    </w:p>
    <w:p w14:paraId="777ACDB1" w14:textId="77777777" w:rsidR="001F4CDF" w:rsidRDefault="001F4CDF" w:rsidP="001F4CDF">
      <w:pPr>
        <w:pStyle w:val="NoSpacing"/>
      </w:pPr>
    </w:p>
    <w:p w14:paraId="3D31FFF4" w14:textId="77777777" w:rsidR="001F4CDF" w:rsidRPr="00913B5B" w:rsidRDefault="001F4CDF" w:rsidP="001F4CDF">
      <w:pPr>
        <w:pStyle w:val="NoSpacing"/>
        <w:rPr>
          <w:b/>
          <w:bCs/>
        </w:rPr>
      </w:pPr>
      <w:r w:rsidRPr="00913B5B">
        <w:rPr>
          <w:b/>
        </w:rPr>
        <w:t>KEY FACTS:</w:t>
      </w:r>
    </w:p>
    <w:p w14:paraId="42351460" w14:textId="77777777" w:rsidR="001F4CDF" w:rsidRDefault="001F4CDF" w:rsidP="001F4CDF">
      <w:pPr>
        <w:pStyle w:val="NoSpacing"/>
      </w:pPr>
    </w:p>
    <w:p w14:paraId="095B6D76" w14:textId="77777777" w:rsidR="001F4CDF" w:rsidRDefault="001F4CDF" w:rsidP="001F4CDF">
      <w:pPr>
        <w:pStyle w:val="NoSpacing"/>
        <w:ind w:left="720"/>
      </w:pPr>
      <w:r>
        <w:t>“</w:t>
      </w:r>
      <w:r w:rsidRPr="003D716B">
        <w:t>In October 2022 Plaintiff advised Chief Cole that he was involved in an affair that had ended, and that the wife had threatened that her husband would do everything in his power to get him fired. [Plaintiff] also informed [Chief Cole] that: a) the wife was previously in an affair that ended in a murder-suicide in 2009, with the failed suicide attempt on her part; b) the wife attempted suicide again October 18, 2022; and c) he was extremely fearful of what measures this couple would take to have him fired</w:t>
      </w:r>
      <w:r>
        <w:t>….‘</w:t>
      </w:r>
      <w:r w:rsidRPr="003D716B">
        <w:t>On October 25, 2022, an internal affairs investigation was opened against Plaintiff for an affair he had with Mrs. Wrenn that occurred while he was off duty</w:t>
      </w:r>
      <w:r>
        <w:t>….’</w:t>
      </w:r>
      <w:r w:rsidRPr="003D716B">
        <w:t xml:space="preserve">  </w:t>
      </w:r>
    </w:p>
    <w:p w14:paraId="1382FF64" w14:textId="77777777" w:rsidR="001F4CDF" w:rsidRPr="003D716B" w:rsidRDefault="001F4CDF" w:rsidP="001F4CDF">
      <w:pPr>
        <w:pStyle w:val="NoSpacing"/>
        <w:ind w:left="720"/>
      </w:pPr>
    </w:p>
    <w:p w14:paraId="238C69A9" w14:textId="77777777" w:rsidR="001F4CDF" w:rsidRDefault="001F4CDF" w:rsidP="001F4CDF">
      <w:pPr>
        <w:pStyle w:val="NoSpacing"/>
        <w:ind w:left="720"/>
      </w:pPr>
      <w:r>
        <w:t>‘</w:t>
      </w:r>
      <w:r w:rsidRPr="003D716B">
        <w:t xml:space="preserve">On October 28, </w:t>
      </w:r>
      <w:proofErr w:type="gramStart"/>
      <w:r w:rsidRPr="003D716B">
        <w:t>2022</w:t>
      </w:r>
      <w:proofErr w:type="gramEnd"/>
      <w:r w:rsidRPr="003D716B">
        <w:t xml:space="preserve"> Mrs. Wrenn advised the City of Graham Fire Department's Fire Chief, Defendant Cole and City of Graham Investigator, Billy Clayton, that Plaintiff was responsible for the whistleblower complaints against Chief Cole and Capt. Moore.</w:t>
      </w:r>
      <w:r>
        <w:t>’</w:t>
      </w:r>
      <w:r w:rsidRPr="003D716B">
        <w:t xml:space="preserve"> </w:t>
      </w:r>
      <w:r>
        <w:t>…</w:t>
      </w:r>
      <w:r w:rsidRPr="003D716B">
        <w:t xml:space="preserve"> </w:t>
      </w:r>
      <w:r>
        <w:t>‘</w:t>
      </w:r>
      <w:r w:rsidRPr="003D716B">
        <w:t>On October 28, 2022 Mrs. Wrenn also advised Chief Cole and Investigator Billy Clayton that Plaintiff planned to expose Chief Cole and City Manager Megan Garner in their direct attempts to ‘poison the well'</w:t>
      </w:r>
      <w:r>
        <w:t>….</w:t>
      </w:r>
      <w:r w:rsidRPr="003D716B">
        <w:t>After Mrs. Wrenn's involvement with the Plaintiff had been exposed in mid-October 2022, and the involvement between these two parties had ended, Mrs. Wrenn willfully and falsely misled her husband to believe she had been threatened and forced to remain involved with Plaintiff for fear of retaliation</w:t>
      </w:r>
      <w:r>
        <w:t>….</w:t>
      </w:r>
      <w:r w:rsidRPr="003D716B">
        <w:t xml:space="preserve"> </w:t>
      </w:r>
    </w:p>
    <w:p w14:paraId="5CBE3310" w14:textId="77777777" w:rsidR="001F4CDF" w:rsidRDefault="001F4CDF" w:rsidP="001F4CDF">
      <w:pPr>
        <w:pStyle w:val="NoSpacing"/>
        <w:ind w:left="720"/>
      </w:pPr>
    </w:p>
    <w:p w14:paraId="07B9CF46" w14:textId="77777777" w:rsidR="001F4CDF" w:rsidRDefault="001F4CDF" w:rsidP="001F4CDF">
      <w:pPr>
        <w:pStyle w:val="NoSpacing"/>
        <w:ind w:left="720"/>
      </w:pPr>
      <w:r>
        <w:t>***</w:t>
      </w:r>
    </w:p>
    <w:p w14:paraId="7E515777" w14:textId="77777777" w:rsidR="001F4CDF" w:rsidRPr="005709ED" w:rsidRDefault="001F4CDF" w:rsidP="001F4CDF">
      <w:pPr>
        <w:pStyle w:val="NoSpacing"/>
        <w:ind w:left="720"/>
      </w:pPr>
      <w:r>
        <w:t>‘</w:t>
      </w:r>
      <w:r w:rsidRPr="005709ED">
        <w:t>Plaintiff received a pre-disciplinary conference notice on May 10, 2023. He was denied an attorney again. He filed a formal complaint against Fire Chief Tommy Cole for retaliation with the City Manager, Megan Garner.</w:t>
      </w:r>
      <w:r>
        <w:t>’ …</w:t>
      </w:r>
      <w:r w:rsidRPr="005709ED">
        <w:t xml:space="preserve"> Nonetheless: </w:t>
      </w:r>
      <w:r>
        <w:t xml:space="preserve">  </w:t>
      </w:r>
      <w:r w:rsidRPr="005709ED">
        <w:t xml:space="preserve">On May 17, 2023, Plaintiff was placed on paid administrative leave and was terminated via email after 8:00 pm that evening. Mrs. Wrenn was contacted that same day by the City of Graham and advised of his termination. He </w:t>
      </w:r>
      <w:proofErr w:type="gramStart"/>
      <w:r w:rsidRPr="005709ED">
        <w:t>appealed</w:t>
      </w:r>
      <w:proofErr w:type="gramEnd"/>
      <w:r w:rsidRPr="005709ED">
        <w:t xml:space="preserve"> the termination. [City Manager] Garner was the person who presided over his appeals hearing and made the decision to uphold his termination.</w:t>
      </w:r>
      <w:r>
        <w:t xml:space="preserve">” </w:t>
      </w:r>
    </w:p>
    <w:p w14:paraId="1195626D" w14:textId="77777777" w:rsidR="001F4CDF" w:rsidRPr="003D716B" w:rsidRDefault="001F4CDF" w:rsidP="001F4CDF">
      <w:pPr>
        <w:pStyle w:val="NoSpacing"/>
        <w:ind w:left="720"/>
      </w:pPr>
    </w:p>
    <w:p w14:paraId="2AED9C2E" w14:textId="77777777" w:rsidR="001F4CDF" w:rsidRPr="00E415CE" w:rsidRDefault="001F4CDF" w:rsidP="001F4CDF">
      <w:pPr>
        <w:pStyle w:val="NoSpacing"/>
        <w:rPr>
          <w:b/>
          <w:bCs/>
        </w:rPr>
      </w:pPr>
      <w:r>
        <w:rPr>
          <w:b/>
        </w:rPr>
        <w:t xml:space="preserve">Legal lesson learned:  Affair can lead to ugly allegations and internal investigations. </w:t>
      </w:r>
    </w:p>
    <w:p w14:paraId="788D6D78" w14:textId="77777777" w:rsidR="001F4CDF" w:rsidRDefault="001F4CDF" w:rsidP="001F4CDF">
      <w:pPr>
        <w:pStyle w:val="NoSpacing"/>
        <w:ind w:left="720"/>
      </w:pPr>
    </w:p>
    <w:p w14:paraId="4CAA8A56" w14:textId="77777777" w:rsidR="00D11FFB" w:rsidRDefault="00D11FFB" w:rsidP="002F7727">
      <w:pPr>
        <w:pStyle w:val="NoSpacing"/>
        <w:rPr>
          <w:rFonts w:ascii="Arial Black" w:hAnsi="Arial Black"/>
          <w:b/>
          <w:sz w:val="24"/>
          <w:szCs w:val="24"/>
        </w:rPr>
      </w:pPr>
    </w:p>
    <w:p w14:paraId="5195B3FD" w14:textId="1C282F47"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6</w:t>
      </w:r>
    </w:p>
    <w:p w14:paraId="39E749BB" w14:textId="77777777" w:rsidR="002F7727" w:rsidRDefault="002F7727" w:rsidP="008F4B50">
      <w:pPr>
        <w:pStyle w:val="NoSpacing"/>
        <w:rPr>
          <w:rFonts w:ascii="Arial Black" w:hAnsi="Arial Black"/>
          <w:sz w:val="28"/>
          <w:szCs w:val="28"/>
        </w:rPr>
      </w:pPr>
    </w:p>
    <w:p w14:paraId="20A5B6C5" w14:textId="0479249E" w:rsidR="008F4B50" w:rsidRDefault="008F4B50" w:rsidP="008F4B50">
      <w:pPr>
        <w:pStyle w:val="NoSpacing"/>
        <w:rPr>
          <w:rFonts w:ascii="Arial Black" w:hAnsi="Arial Black"/>
          <w:sz w:val="28"/>
          <w:szCs w:val="28"/>
        </w:rPr>
      </w:pPr>
      <w:r>
        <w:rPr>
          <w:rFonts w:ascii="Arial Black" w:hAnsi="Arial Black"/>
          <w:sz w:val="28"/>
          <w:szCs w:val="28"/>
        </w:rPr>
        <w:t xml:space="preserve">FL: FORMER CHIEF – SEX </w:t>
      </w:r>
      <w:r w:rsidR="0061722F">
        <w:rPr>
          <w:rFonts w:ascii="Arial Black" w:hAnsi="Arial Black"/>
          <w:sz w:val="28"/>
          <w:szCs w:val="28"/>
        </w:rPr>
        <w:t xml:space="preserve">WITH </w:t>
      </w:r>
      <w:r>
        <w:rPr>
          <w:rFonts w:ascii="Arial Black" w:hAnsi="Arial Black"/>
          <w:sz w:val="28"/>
          <w:szCs w:val="28"/>
        </w:rPr>
        <w:t>HIS MINOR CHILD – LIFE PRISON</w:t>
      </w:r>
    </w:p>
    <w:p w14:paraId="10615D7D" w14:textId="77777777" w:rsidR="008F4B50" w:rsidRDefault="008F4B50" w:rsidP="008F4B50">
      <w:pPr>
        <w:pStyle w:val="NoSpacing"/>
      </w:pPr>
    </w:p>
    <w:p w14:paraId="024C478D" w14:textId="77777777" w:rsidR="008F4B50" w:rsidRDefault="008F4B50" w:rsidP="008F4B50">
      <w:pPr>
        <w:pStyle w:val="NoSpacing"/>
      </w:pPr>
      <w:r>
        <w:t xml:space="preserve">On September 4, 2025, in </w:t>
      </w:r>
      <w:r w:rsidRPr="006B7EF4">
        <w:rPr>
          <w:u w:val="single"/>
        </w:rPr>
        <w:t>Jamie Douglas Geer v. Secretary, Department of Corrections</w:t>
      </w:r>
      <w:r>
        <w:t xml:space="preserve">, </w:t>
      </w:r>
      <w:r w:rsidRPr="006B7EF4">
        <w:t>U</w:t>
      </w:r>
      <w:r>
        <w:t>.</w:t>
      </w:r>
      <w:r w:rsidRPr="006B7EF4">
        <w:t xml:space="preserve">S. District </w:t>
      </w:r>
      <w:r>
        <w:t>Court Judge Kathryn Kimball Mizelle, United States District Court for Middle District of Florida (Tampa Division) held that Geer, former Fire Chief of City of Clearwater, is denied habeas corpus and must serve sentence of life in prison in Florida prison.</w:t>
      </w:r>
    </w:p>
    <w:p w14:paraId="4361961C" w14:textId="77777777" w:rsidR="008F4B50" w:rsidRDefault="008F4B50" w:rsidP="008F4B50">
      <w:pPr>
        <w:pStyle w:val="NoSpacing"/>
      </w:pPr>
    </w:p>
    <w:p w14:paraId="11C87842" w14:textId="77777777" w:rsidR="008F4B50" w:rsidRDefault="008F4B50" w:rsidP="008F4B50">
      <w:pPr>
        <w:pStyle w:val="NoSpacing"/>
      </w:pPr>
      <w:r w:rsidRPr="00D70E6E">
        <w:rPr>
          <w:b/>
        </w:rPr>
        <w:t>THE COURT HELD</w:t>
      </w:r>
      <w:r>
        <w:t>:  “</w:t>
      </w:r>
      <w:r w:rsidRPr="003802F4">
        <w:t>Geer, a Florida prisoner, timely filed a pro se second amended petition for writ of habeas corpus under 28 U.S.C. § 2254</w:t>
      </w:r>
      <w:r>
        <w:t xml:space="preserve">…. </w:t>
      </w:r>
      <w:r w:rsidRPr="003802F4">
        <w:t>Also, Geer moved for an evidentiary hearing</w:t>
      </w:r>
      <w:r>
        <w:t xml:space="preserve">…. </w:t>
      </w:r>
      <w:r w:rsidRPr="003802F4">
        <w:t xml:space="preserve">Having considered the second amended </w:t>
      </w:r>
      <w:proofErr w:type="gramStart"/>
      <w:r w:rsidRPr="003802F4">
        <w:t>petition,</w:t>
      </w:r>
      <w:r>
        <w:t>…</w:t>
      </w:r>
      <w:proofErr w:type="gramEnd"/>
      <w:r>
        <w:t xml:space="preserve"> </w:t>
      </w:r>
      <w:r w:rsidRPr="003802F4">
        <w:t>the response in opposition</w:t>
      </w:r>
      <w:r>
        <w:t xml:space="preserve"> … </w:t>
      </w:r>
      <w:r w:rsidRPr="003802F4">
        <w:t>and the reply and the supplemental reply</w:t>
      </w:r>
      <w:r>
        <w:t xml:space="preserve"> … </w:t>
      </w:r>
      <w:r w:rsidRPr="003802F4">
        <w:t>the petition is denied</w:t>
      </w:r>
      <w:r>
        <w:t xml:space="preserve">.” </w:t>
      </w:r>
      <w:hyperlink r:id="rId2652" w:history="1">
        <w:r w:rsidRPr="00204094">
          <w:rPr>
            <w:rStyle w:val="Hyperlink"/>
          </w:rPr>
          <w:t>https://app.midpage.ai/document/geer-v-secretary-department-of-11133637?refG=true</w:t>
        </w:r>
      </w:hyperlink>
      <w:r>
        <w:t xml:space="preserve"> </w:t>
      </w:r>
    </w:p>
    <w:p w14:paraId="52BA3C6A" w14:textId="77777777" w:rsidR="008F4B50" w:rsidRDefault="008F4B50" w:rsidP="008F4B50">
      <w:pPr>
        <w:pStyle w:val="NoSpacing"/>
      </w:pPr>
    </w:p>
    <w:p w14:paraId="4DAC9070" w14:textId="77777777" w:rsidR="008F4B50" w:rsidRPr="003802F4" w:rsidRDefault="008F4B50" w:rsidP="008F4B50">
      <w:pPr>
        <w:pStyle w:val="NoSpacing"/>
        <w:rPr>
          <w:b/>
          <w:bCs/>
        </w:rPr>
      </w:pPr>
      <w:r w:rsidRPr="003802F4">
        <w:rPr>
          <w:b/>
        </w:rPr>
        <w:t xml:space="preserve">KEY FACTS: </w:t>
      </w:r>
    </w:p>
    <w:p w14:paraId="702E0209" w14:textId="77777777" w:rsidR="008F4B50" w:rsidRDefault="008F4B50" w:rsidP="008F4B50">
      <w:pPr>
        <w:pStyle w:val="NoSpacing"/>
      </w:pPr>
    </w:p>
    <w:p w14:paraId="3010FBF2" w14:textId="77777777" w:rsidR="008F4B50" w:rsidRDefault="008F4B50" w:rsidP="008F4B50">
      <w:pPr>
        <w:pStyle w:val="NoSpacing"/>
        <w:ind w:left="720"/>
      </w:pPr>
      <w:r>
        <w:t>“</w:t>
      </w:r>
      <w:r w:rsidRPr="007139A8">
        <w:t>A state court jury convicted Geer of sexual battery, lewd and lascivious battery, and unlawful sexual activity with a minor</w:t>
      </w:r>
      <w:r>
        <w:t xml:space="preserve">…. </w:t>
      </w:r>
      <w:r w:rsidRPr="007139A8">
        <w:t>The state trial court sentenced him to life in prison for the sexual battery conviction, a concurrent fifteen years in prison for the lewd and lascivious battery conviction, and a consecutive fifteen years in prison for the unlawful sexual activity with a minor conviction</w:t>
      </w:r>
      <w:r>
        <w:t xml:space="preserve">…. </w:t>
      </w:r>
      <w:r w:rsidRPr="007139A8">
        <w:t>The state appellate court per curiam affirmed the convictions and sentences</w:t>
      </w:r>
      <w:r>
        <w:t>….</w:t>
      </w:r>
    </w:p>
    <w:p w14:paraId="169E4351" w14:textId="77777777" w:rsidR="008F4B50" w:rsidRDefault="008F4B50" w:rsidP="008F4B50">
      <w:pPr>
        <w:pStyle w:val="NoSpacing"/>
        <w:ind w:left="720"/>
      </w:pPr>
    </w:p>
    <w:p w14:paraId="50892A14" w14:textId="77777777" w:rsidR="008F4B50" w:rsidRDefault="008F4B50" w:rsidP="008F4B50">
      <w:pPr>
        <w:pStyle w:val="NoSpacing"/>
        <w:ind w:left="720"/>
      </w:pPr>
      <w:r>
        <w:t>***</w:t>
      </w:r>
    </w:p>
    <w:p w14:paraId="39202F30" w14:textId="77777777" w:rsidR="008F4B50" w:rsidRDefault="008F4B50" w:rsidP="008F4B50">
      <w:pPr>
        <w:pStyle w:val="NoSpacing"/>
        <w:ind w:left="720"/>
      </w:pPr>
      <w:r w:rsidRPr="002D71DC">
        <w:t xml:space="preserve">At trial, the victim, who was nineteen, testified that Geer began to engage in sexual activity with </w:t>
      </w:r>
      <w:r>
        <w:t>‘</w:t>
      </w:r>
      <w:r w:rsidRPr="002D71DC">
        <w:t>her when she was seven, began to engage in oral sex with her when she was eleven, and began to engage in vaginal sex with her when she was fifteen.</w:t>
      </w:r>
      <w:r>
        <w:t xml:space="preserve">’ </w:t>
      </w:r>
      <w:r w:rsidRPr="008E332A">
        <w:t>A state court jury convicted Geer</w:t>
      </w:r>
      <w:r>
        <w:t xml:space="preserve"> in 2012</w:t>
      </w:r>
      <w:r w:rsidRPr="008E332A">
        <w:t xml:space="preserve"> of sexual battery, lewd and lascivious battery, and unlawful sexual activity with a minor</w:t>
      </w:r>
      <w:r>
        <w:t xml:space="preserve"> (started at age 7)</w:t>
      </w:r>
      <w:r w:rsidRPr="008E332A">
        <w:t xml:space="preserve">. </w:t>
      </w:r>
      <w:r>
        <w:t>T</w:t>
      </w:r>
      <w:r w:rsidRPr="008E332A">
        <w:t>he state trial court sentenced him to life in prison for the sexual battery conviction, a concurrent fifteen years in prison for the lewd and lascivious battery conviction, and a consecutive fifteen years in prison for unlawful sexual activity with a minor conviction.</w:t>
      </w:r>
      <w:r>
        <w:t xml:space="preserve">” </w:t>
      </w:r>
    </w:p>
    <w:p w14:paraId="22BF09D3" w14:textId="77777777" w:rsidR="008F4B50" w:rsidRDefault="008F4B50" w:rsidP="008F4B50">
      <w:pPr>
        <w:pStyle w:val="NoSpacing"/>
      </w:pPr>
    </w:p>
    <w:p w14:paraId="15E89EC6" w14:textId="77777777" w:rsidR="008F4B50" w:rsidRPr="00827C25" w:rsidRDefault="008F4B50" w:rsidP="008F4B50">
      <w:pPr>
        <w:pStyle w:val="NoSpacing"/>
        <w:rPr>
          <w:b/>
        </w:rPr>
      </w:pPr>
      <w:r w:rsidRPr="00827C25">
        <w:rPr>
          <w:b/>
        </w:rPr>
        <w:t xml:space="preserve">Legal lesson learned: </w:t>
      </w:r>
      <w:r>
        <w:rPr>
          <w:b/>
        </w:rPr>
        <w:t xml:space="preserve">Terrible conduct; life in prison appropriate sentence. </w:t>
      </w:r>
    </w:p>
    <w:p w14:paraId="181FD179" w14:textId="77777777" w:rsidR="008F4B50" w:rsidRDefault="008F4B50" w:rsidP="008F4B50">
      <w:pPr>
        <w:pStyle w:val="NoSpacing"/>
        <w:ind w:left="720"/>
      </w:pPr>
    </w:p>
    <w:p w14:paraId="17B3C3A2" w14:textId="77777777" w:rsidR="008F4B50" w:rsidRPr="0040299C" w:rsidRDefault="008F4B50" w:rsidP="008F4B50">
      <w:pPr>
        <w:pStyle w:val="NoSpacing"/>
        <w:ind w:left="720"/>
        <w:rPr>
          <w:rFonts w:ascii="Arial Black" w:hAnsi="Arial Black"/>
          <w:b/>
          <w:sz w:val="28"/>
          <w:szCs w:val="28"/>
        </w:rPr>
      </w:pPr>
      <w:r>
        <w:t xml:space="preserve">Note: </w:t>
      </w:r>
      <w:r w:rsidRPr="00827C25">
        <w:t xml:space="preserve">See </w:t>
      </w:r>
      <w:r w:rsidRPr="0040299C">
        <w:t xml:space="preserve">April 27, </w:t>
      </w:r>
      <w:proofErr w:type="gramStart"/>
      <w:r w:rsidRPr="0040299C">
        <w:t>2012</w:t>
      </w:r>
      <w:proofErr w:type="gramEnd"/>
      <w:r w:rsidRPr="0040299C">
        <w:t xml:space="preserve"> article, “Ex-fire chief convicted in child sex abuse trial. A former Clearwater fire chief is going to prison for life for having sex with a minor</w:t>
      </w:r>
      <w:r>
        <w:t>.”</w:t>
      </w:r>
    </w:p>
    <w:p w14:paraId="6664EBED" w14:textId="77777777" w:rsidR="008F4B50" w:rsidRDefault="008F4B50" w:rsidP="008F4B50">
      <w:pPr>
        <w:pStyle w:val="NoSpacing"/>
        <w:ind w:left="720"/>
        <w:rPr>
          <w:b/>
        </w:rPr>
      </w:pPr>
      <w:hyperlink r:id="rId2653" w:history="1">
        <w:r w:rsidRPr="006219A0">
          <w:rPr>
            <w:rStyle w:val="Hyperlink"/>
            <w:b/>
          </w:rPr>
          <w:t>https://www.wtsp.com/article/news/local/ex-fire-chief-convicted-in-child-sex-abuse-trial/67-376283027</w:t>
        </w:r>
      </w:hyperlink>
      <w:r w:rsidRPr="00AB2879">
        <w:rPr>
          <w:b/>
        </w:rPr>
        <w:t xml:space="preserve"> </w:t>
      </w:r>
    </w:p>
    <w:p w14:paraId="48BBC747" w14:textId="77777777" w:rsidR="008F4B50" w:rsidRDefault="008F4B50" w:rsidP="008F4B50">
      <w:pPr>
        <w:pStyle w:val="NoSpacing"/>
        <w:ind w:left="720"/>
        <w:rPr>
          <w:bCs/>
        </w:rPr>
      </w:pPr>
    </w:p>
    <w:p w14:paraId="66D8C303" w14:textId="77777777" w:rsidR="008F4B50" w:rsidRPr="002376C5" w:rsidRDefault="008F4B50" w:rsidP="008F4B50">
      <w:pPr>
        <w:pStyle w:val="NoSpacing"/>
        <w:ind w:left="720"/>
        <w:rPr>
          <w:bCs/>
        </w:rPr>
      </w:pPr>
      <w:r>
        <w:t xml:space="preserve">See closing arguments [VIDEO]: </w:t>
      </w:r>
      <w:hyperlink r:id="rId2654" w:history="1">
        <w:r w:rsidRPr="00FE3641">
          <w:rPr>
            <w:rStyle w:val="Hyperlink"/>
          </w:rPr>
          <w:t>https://www.youtube.com/watch?v=J9a7dzpchr4</w:t>
        </w:r>
      </w:hyperlink>
      <w:r>
        <w:t xml:space="preserve"> </w:t>
      </w:r>
    </w:p>
    <w:p w14:paraId="24BE2A3A" w14:textId="77777777" w:rsidR="008F4B50" w:rsidRDefault="008F4B50" w:rsidP="008F4B50">
      <w:pPr>
        <w:pStyle w:val="NoSpacing"/>
        <w:ind w:left="720"/>
        <w:rPr>
          <w:bCs/>
        </w:rPr>
      </w:pPr>
    </w:p>
    <w:p w14:paraId="5137F7DA" w14:textId="11F90AC5"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5</w:t>
      </w:r>
    </w:p>
    <w:p w14:paraId="056E02E6" w14:textId="77777777" w:rsidR="00524648" w:rsidRDefault="00524648" w:rsidP="00F326E5">
      <w:pPr>
        <w:pStyle w:val="NoSpacing"/>
        <w:rPr>
          <w:rFonts w:ascii="Arial Black" w:hAnsi="Arial Black"/>
          <w:b/>
          <w:sz w:val="24"/>
          <w:szCs w:val="24"/>
        </w:rPr>
      </w:pPr>
    </w:p>
    <w:p w14:paraId="08BE13CD" w14:textId="2EE029D2" w:rsidR="00C222A8" w:rsidRPr="004F4C85" w:rsidRDefault="00C222A8" w:rsidP="00C222A8">
      <w:pPr>
        <w:pStyle w:val="NoSpacing"/>
        <w:rPr>
          <w:rFonts w:ascii="Arial Black" w:hAnsi="Arial Black"/>
          <w:sz w:val="28"/>
          <w:szCs w:val="28"/>
        </w:rPr>
      </w:pPr>
      <w:r>
        <w:rPr>
          <w:rFonts w:ascii="Arial Black" w:hAnsi="Arial Black"/>
          <w:sz w:val="28"/>
          <w:szCs w:val="28"/>
        </w:rPr>
        <w:t>LA: CAPT TRANF</w:t>
      </w:r>
      <w:r w:rsidR="0061722F">
        <w:rPr>
          <w:rFonts w:ascii="Arial Black" w:hAnsi="Arial Black"/>
          <w:sz w:val="28"/>
          <w:szCs w:val="28"/>
        </w:rPr>
        <w:t>ER</w:t>
      </w:r>
      <w:r>
        <w:rPr>
          <w:rFonts w:ascii="Arial Black" w:hAnsi="Arial Black"/>
          <w:sz w:val="28"/>
          <w:szCs w:val="28"/>
        </w:rPr>
        <w:t xml:space="preserve"> - NOT “DISCIPLINE” – FF BILL OF RIGHTS </w:t>
      </w:r>
    </w:p>
    <w:p w14:paraId="7F0A5D96" w14:textId="77777777" w:rsidR="00C222A8" w:rsidRDefault="00C222A8" w:rsidP="00C222A8">
      <w:pPr>
        <w:pStyle w:val="NoSpacing"/>
      </w:pPr>
    </w:p>
    <w:p w14:paraId="4BB53396" w14:textId="77777777" w:rsidR="00C222A8" w:rsidRDefault="00C222A8" w:rsidP="00C222A8">
      <w:pPr>
        <w:pStyle w:val="NoSpacing"/>
      </w:pPr>
      <w:r>
        <w:t xml:space="preserve">On Aug. 28, 2025, in </w:t>
      </w:r>
      <w:r w:rsidRPr="00AA47E1">
        <w:rPr>
          <w:u w:val="single"/>
        </w:rPr>
        <w:t>Marlan Hyde, Sr. v. New Orleans Fire Department</w:t>
      </w:r>
      <w:r>
        <w:t xml:space="preserve">, the </w:t>
      </w:r>
      <w:r w:rsidRPr="00D2578E">
        <w:t>Court of Appeals of Louisiana, Fourth Circuit</w:t>
      </w:r>
      <w:r>
        <w:t xml:space="preserve"> held (3 to 0) that the City Civil Service Commission properly held that the transfer from District Four to District Three, three months after the December 17, 2023 “physical altercation” with another fire captain, Craig Armant, was not a disciplinary action.   The pre-disciplinary hearing was conducted on March 20, 2024, and the FD decided to not issue any discipline, to avoid any violation of “60-day rule” of Louisiana Firefighters Bill of Rights Act. “Any investigation of a fire employee . . . shall be completed within sixty days, including the conducting of any pre-disciplinary hearing or conference.  </w:t>
      </w:r>
    </w:p>
    <w:p w14:paraId="0188D125" w14:textId="77777777" w:rsidR="00C222A8" w:rsidRDefault="00C222A8" w:rsidP="00C222A8">
      <w:pPr>
        <w:pStyle w:val="NoSpacing"/>
      </w:pPr>
    </w:p>
    <w:p w14:paraId="78CC2F23" w14:textId="77777777" w:rsidR="00C222A8" w:rsidRPr="00733C69" w:rsidRDefault="00C222A8" w:rsidP="00C222A8">
      <w:pPr>
        <w:pStyle w:val="NoSpacing"/>
        <w:rPr>
          <w:b/>
          <w:bCs/>
        </w:rPr>
      </w:pPr>
      <w:r w:rsidRPr="00733C69">
        <w:rPr>
          <w:b/>
        </w:rPr>
        <w:t xml:space="preserve">THE COURT HELD: </w:t>
      </w:r>
      <w:r>
        <w:t xml:space="preserve">In its October 3, </w:t>
      </w:r>
      <w:proofErr w:type="gramStart"/>
      <w:r>
        <w:t>2024</w:t>
      </w:r>
      <w:proofErr w:type="gramEnd"/>
      <w:r>
        <w:t xml:space="preserve"> decision, the Commission found that NOFD’s transfer of Hyde without any attendant loss in pay “[was] not discipline” under Civil Service Rule II, § 4.13 ‘so [he] has no right of appeal’  and denied Hyde’s civil service appeal. This appeal follows…. Accordingly, we find no error in the Commission’s determination that Hyde’s transfer was not disciplinary in nature, such that he had no right under Civil Service Rule II, § </w:t>
      </w:r>
      <w:proofErr w:type="gramStart"/>
      <w:r>
        <w:t>4.1</w:t>
      </w:r>
      <w:proofErr w:type="gramEnd"/>
      <w:r>
        <w:t xml:space="preserve"> to appeal the transfer. We find this assignment without merit… Hyde has failed to demonstrate that his transfer will cause him to suffer any negative effect. Accordingly, the Court finds that Hyde’s transfer does not amount to an adverse action under the Firefighters Bill of Rights.” </w:t>
      </w:r>
      <w:hyperlink r:id="rId2655" w:history="1">
        <w:r w:rsidRPr="00494FBC">
          <w:rPr>
            <w:rStyle w:val="Hyperlink"/>
            <w:b/>
          </w:rPr>
          <w:t>https://cases.justia.com/louisiana/fourth-circuit-court-of-appeal/2025-2025-ca-0114.pdf?ts=1756426619</w:t>
        </w:r>
      </w:hyperlink>
    </w:p>
    <w:p w14:paraId="4C39427C" w14:textId="77777777" w:rsidR="00C222A8" w:rsidRDefault="00C222A8" w:rsidP="00C222A8">
      <w:pPr>
        <w:pStyle w:val="NoSpacing"/>
      </w:pPr>
    </w:p>
    <w:p w14:paraId="4BB85C4C" w14:textId="77777777" w:rsidR="00C222A8" w:rsidRPr="00F86675" w:rsidRDefault="00C222A8" w:rsidP="00C222A8">
      <w:pPr>
        <w:pStyle w:val="NoSpacing"/>
        <w:rPr>
          <w:b/>
          <w:bCs/>
        </w:rPr>
      </w:pPr>
      <w:r w:rsidRPr="00F86675">
        <w:rPr>
          <w:b/>
        </w:rPr>
        <w:t xml:space="preserve">KEY FACTS: </w:t>
      </w:r>
    </w:p>
    <w:p w14:paraId="7AB9B3DC" w14:textId="77777777" w:rsidR="00C222A8" w:rsidRDefault="00C222A8" w:rsidP="00C222A8">
      <w:pPr>
        <w:pStyle w:val="NoSpacing"/>
      </w:pPr>
    </w:p>
    <w:p w14:paraId="41360079" w14:textId="77777777" w:rsidR="00C222A8" w:rsidRDefault="00C222A8" w:rsidP="00C222A8">
      <w:pPr>
        <w:pStyle w:val="NoSpacing"/>
        <w:ind w:left="720"/>
      </w:pPr>
      <w:r>
        <w:t>“On December 17, 2023, Hyde engaged in a physical altercation with another fire captain, Craig Armant (‘Captain Armant’), at a fire station in the Fourth District where they both worked. Following the altercation, NOFD initiated an investigation into the incident.</w:t>
      </w:r>
    </w:p>
    <w:p w14:paraId="4FBCFE0B" w14:textId="77777777" w:rsidR="00C222A8" w:rsidRDefault="00C222A8" w:rsidP="00C222A8">
      <w:pPr>
        <w:pStyle w:val="NoSpacing"/>
      </w:pPr>
    </w:p>
    <w:p w14:paraId="206ACEE7" w14:textId="77777777" w:rsidR="00C222A8" w:rsidRDefault="00C222A8" w:rsidP="00C222A8">
      <w:pPr>
        <w:pStyle w:val="NoSpacing"/>
      </w:pPr>
      <w:r>
        <w:tab/>
        <w:t>***</w:t>
      </w:r>
    </w:p>
    <w:p w14:paraId="3C9044C4" w14:textId="77777777" w:rsidR="00C222A8" w:rsidRDefault="00C222A8" w:rsidP="00C222A8">
      <w:pPr>
        <w:pStyle w:val="NoSpacing"/>
      </w:pPr>
    </w:p>
    <w:p w14:paraId="05AAECAC" w14:textId="77777777" w:rsidR="00C222A8" w:rsidRDefault="00C222A8" w:rsidP="00C222A8">
      <w:pPr>
        <w:pStyle w:val="NoSpacing"/>
        <w:ind w:left="720"/>
      </w:pPr>
      <w:r>
        <w:t xml:space="preserve">On January 24, 2024, NOFD charged Hyde with violating its departmental rule RR-25, which provides </w:t>
      </w:r>
      <w:proofErr w:type="gramStart"/>
      <w:r>
        <w:t>that, ‘[</w:t>
      </w:r>
      <w:proofErr w:type="gramEnd"/>
      <w:r>
        <w:t>t]</w:t>
      </w:r>
      <w:proofErr w:type="spellStart"/>
      <w:r>
        <w:t>hreats</w:t>
      </w:r>
      <w:proofErr w:type="spellEnd"/>
      <w:r>
        <w:t xml:space="preserve"> or acts of physical violence against the public or other members is strictly prohibited.’ A pre-disciplinary hearing was conducted on March 20, 2024. At the hearing, Hyde, through his representative, raised NOFD’s failure to complete the investigation into the December 17, </w:t>
      </w:r>
      <w:proofErr w:type="gramStart"/>
      <w:r>
        <w:t>2023</w:t>
      </w:r>
      <w:proofErr w:type="gramEnd"/>
      <w:r>
        <w:t xml:space="preserve"> incident within sixty days, as required by the Firefighters Bill of Rights, La. R.S.33:2181 et seq., and requested that the disciplinary matter be ‘thrown out immediately.’ The request was denied.</w:t>
      </w:r>
    </w:p>
    <w:p w14:paraId="09463151" w14:textId="77777777" w:rsidR="00C222A8" w:rsidRDefault="00C222A8" w:rsidP="00C222A8">
      <w:pPr>
        <w:pStyle w:val="NoSpacing"/>
        <w:ind w:left="720"/>
      </w:pPr>
    </w:p>
    <w:p w14:paraId="64DEB80E" w14:textId="77777777" w:rsidR="00C222A8" w:rsidRDefault="00C222A8" w:rsidP="00C222A8">
      <w:pPr>
        <w:pStyle w:val="NoSpacing"/>
        <w:ind w:left="720"/>
      </w:pPr>
      <w:r>
        <w:t>***</w:t>
      </w:r>
    </w:p>
    <w:p w14:paraId="4F47E3CD" w14:textId="77777777" w:rsidR="00C222A8" w:rsidRDefault="00C222A8" w:rsidP="00C222A8">
      <w:pPr>
        <w:pStyle w:val="NoSpacing"/>
        <w:ind w:left="720"/>
      </w:pPr>
      <w:r>
        <w:t xml:space="preserve">On March 25, 2024, Deputy Chief Larry White verbally informed Hyde that NOFD was transferring him to a fire station in the Third District. Hyde objected to the transfer and requested a meeting with the Superintendent of Fire of NOFD, Roman Nelson, to discuss the transfer. Superintendent Nelson and Deputy Superintendent of Operations Armand Bourdais met with Hyde and his representative the following day at fire headquarters. During this meeting, Superintendent Nelson informed Hyde that no disciplinary action would be taken against him for the December 17, </w:t>
      </w:r>
      <w:proofErr w:type="gramStart"/>
      <w:r>
        <w:t>2023</w:t>
      </w:r>
      <w:proofErr w:type="gramEnd"/>
      <w:r>
        <w:t xml:space="preserve"> incident, but that he was being transferred due to safety concerns.</w:t>
      </w:r>
    </w:p>
    <w:p w14:paraId="13FB0CD6" w14:textId="77777777" w:rsidR="00C222A8" w:rsidRDefault="00C222A8" w:rsidP="00C222A8">
      <w:pPr>
        <w:pStyle w:val="NoSpacing"/>
        <w:ind w:left="720"/>
      </w:pPr>
    </w:p>
    <w:p w14:paraId="21282DA9" w14:textId="77777777" w:rsidR="00C222A8" w:rsidRDefault="00C222A8" w:rsidP="00C222A8">
      <w:pPr>
        <w:pStyle w:val="NoSpacing"/>
        <w:ind w:left="720"/>
      </w:pPr>
      <w:r>
        <w:t>***</w:t>
      </w:r>
    </w:p>
    <w:p w14:paraId="1D6C5D8D" w14:textId="77777777" w:rsidR="00C222A8" w:rsidRDefault="00C222A8" w:rsidP="00C222A8">
      <w:pPr>
        <w:pStyle w:val="NoSpacing"/>
      </w:pPr>
    </w:p>
    <w:p w14:paraId="614DA3B1" w14:textId="77777777" w:rsidR="00C222A8" w:rsidRDefault="00C222A8" w:rsidP="00C222A8">
      <w:pPr>
        <w:pStyle w:val="NoSpacing"/>
        <w:ind w:left="720"/>
      </w:pPr>
      <w:r>
        <w:t>Hyde was transferred to the Third District effective March 28, 2024. NOFD issued a letter to Hyde on April 18, 2024, informing him that no action would be taken against him due to the expiration of the 60-day period set forth in the Firefighters Bill of Rights.”</w:t>
      </w:r>
    </w:p>
    <w:p w14:paraId="7A8DA35A" w14:textId="77777777" w:rsidR="00C222A8" w:rsidRDefault="00C222A8" w:rsidP="00C222A8">
      <w:pPr>
        <w:pStyle w:val="NoSpacing"/>
        <w:ind w:left="720"/>
      </w:pPr>
    </w:p>
    <w:p w14:paraId="26C09CAC" w14:textId="77777777" w:rsidR="00C222A8" w:rsidRDefault="00C222A8" w:rsidP="00C222A8">
      <w:pPr>
        <w:pStyle w:val="NoSpacing"/>
        <w:ind w:left="720"/>
      </w:pPr>
    </w:p>
    <w:p w14:paraId="46473864" w14:textId="622D5839" w:rsidR="00C222A8" w:rsidRDefault="00C222A8" w:rsidP="00C222A8">
      <w:pPr>
        <w:pStyle w:val="NoSpacing"/>
        <w:rPr>
          <w:b/>
          <w:bCs/>
        </w:rPr>
      </w:pPr>
      <w:r>
        <w:rPr>
          <w:b/>
        </w:rPr>
        <w:t xml:space="preserve">Legal lesson learned: Transfer to another station is not </w:t>
      </w:r>
      <w:proofErr w:type="gramStart"/>
      <w:r>
        <w:rPr>
          <w:b/>
        </w:rPr>
        <w:t>discipline</w:t>
      </w:r>
      <w:proofErr w:type="gramEnd"/>
      <w:r>
        <w:rPr>
          <w:b/>
        </w:rPr>
        <w:t xml:space="preserve"> in violation of the state’s </w:t>
      </w:r>
      <w:r w:rsidRPr="00A94B6A">
        <w:rPr>
          <w:b/>
        </w:rPr>
        <w:t>Firefighters Bill of Rights</w:t>
      </w:r>
      <w:r w:rsidR="00E73B34">
        <w:rPr>
          <w:b/>
        </w:rPr>
        <w:t xml:space="preserve">. </w:t>
      </w:r>
    </w:p>
    <w:p w14:paraId="354B403A" w14:textId="77777777" w:rsidR="00C222A8" w:rsidRDefault="00C222A8" w:rsidP="00C222A8">
      <w:pPr>
        <w:pStyle w:val="NoSpacing"/>
        <w:rPr>
          <w:b/>
          <w:bCs/>
        </w:rPr>
      </w:pPr>
    </w:p>
    <w:p w14:paraId="23672FA5" w14:textId="77777777" w:rsidR="00D11FFB" w:rsidRDefault="00D11FFB" w:rsidP="002F7727">
      <w:pPr>
        <w:pStyle w:val="NoSpacing"/>
        <w:rPr>
          <w:rFonts w:ascii="Arial Black" w:hAnsi="Arial Black"/>
          <w:b/>
          <w:sz w:val="24"/>
          <w:szCs w:val="24"/>
        </w:rPr>
      </w:pPr>
    </w:p>
    <w:p w14:paraId="4449F8A5" w14:textId="158B7DD6" w:rsidR="002F7727" w:rsidRDefault="00075CD4" w:rsidP="002F7727">
      <w:pPr>
        <w:pStyle w:val="NoSpacing"/>
        <w:rPr>
          <w:rFonts w:ascii="Arial Black" w:hAnsi="Arial Black"/>
          <w:b/>
          <w:sz w:val="24"/>
          <w:szCs w:val="24"/>
        </w:rPr>
      </w:pPr>
      <w:r>
        <w:rPr>
          <w:rFonts w:ascii="Arial Black" w:hAnsi="Arial Black"/>
          <w:b/>
          <w:sz w:val="24"/>
          <w:szCs w:val="24"/>
        </w:rPr>
        <w:t>16-134</w:t>
      </w:r>
    </w:p>
    <w:p w14:paraId="0D8C1A27" w14:textId="77777777" w:rsidR="00140433" w:rsidRDefault="00140433" w:rsidP="002F7727">
      <w:pPr>
        <w:pStyle w:val="NoSpacing"/>
        <w:rPr>
          <w:rFonts w:ascii="Arial Black" w:hAnsi="Arial Black"/>
          <w:b/>
          <w:sz w:val="24"/>
          <w:szCs w:val="24"/>
        </w:rPr>
      </w:pPr>
    </w:p>
    <w:p w14:paraId="3656767C" w14:textId="77777777" w:rsidR="00140433" w:rsidRPr="00A63A50" w:rsidRDefault="00140433" w:rsidP="00140433">
      <w:pPr>
        <w:rPr>
          <w:rFonts w:ascii="Arial Black" w:hAnsi="Arial Black"/>
          <w:sz w:val="28"/>
          <w:szCs w:val="28"/>
        </w:rPr>
      </w:pPr>
      <w:r>
        <w:rPr>
          <w:rFonts w:ascii="Arial Black" w:hAnsi="Arial Black"/>
          <w:sz w:val="28"/>
          <w:szCs w:val="28"/>
        </w:rPr>
        <w:t>AR: FACEBOOK - FIRED – “BALANCING” - CASE TO TRIAL</w:t>
      </w:r>
    </w:p>
    <w:p w14:paraId="4DC2725C" w14:textId="77777777" w:rsidR="00075CD4" w:rsidRDefault="00075CD4" w:rsidP="00075CD4">
      <w:pPr>
        <w:pStyle w:val="NoSpacing"/>
      </w:pPr>
      <w:r>
        <w:t xml:space="preserve">On Aug. 13, 2025, in </w:t>
      </w:r>
      <w:r w:rsidRPr="00642A93">
        <w:rPr>
          <w:u w:val="single"/>
        </w:rPr>
        <w:t>Steven Melton v. City of Forrest City</w:t>
      </w:r>
      <w:r w:rsidRPr="00423BB5">
        <w:t xml:space="preserve">, </w:t>
      </w:r>
      <w:r>
        <w:t>the United States Court of Appeals for the 8</w:t>
      </w:r>
      <w:r w:rsidRPr="00751559">
        <w:rPr>
          <w:vertAlign w:val="superscript"/>
        </w:rPr>
        <w:t>th</w:t>
      </w:r>
      <w:r>
        <w:t xml:space="preserve"> Circuit (St. Louis) held (3 to 0) that the trial court improperly granted summary judgement to the city’ the pro-life firefighter is entitled to a jury trial.  Under the U.S. Supreme Court’s </w:t>
      </w:r>
      <w:r w:rsidRPr="004E09A7">
        <w:rPr>
          <w:i/>
          <w:iCs/>
        </w:rPr>
        <w:t>Pickering</w:t>
      </w:r>
      <w:r>
        <w:t xml:space="preserve"> “balancing” decision, the Facebook posting caused little disruption to the fire department during the two weeks it was posted, but the </w:t>
      </w:r>
      <w:proofErr w:type="gramStart"/>
      <w:r>
        <w:t>Mayor</w:t>
      </w:r>
      <w:proofErr w:type="gramEnd"/>
      <w:r>
        <w:t xml:space="preserve"> feared great community outrage. THE COURT WROTE: “Does a Forrest City fireman who lost his job because he posted a provocative image on his personal Facebook page have a First Amendment retaliation claim that can get to a jury? We conclude that he does…. Steven Melton is a pro-life, evangelical Christian. In June 2020, he reposted a black-and-white image on Facebook [see posting in this decision] that depicted a silhouette of a baby in the womb with a rope around its neck. His intent was to convey that he was ‘anti-abortion.’  … The problem is that there was no showing that Melton’s post had an impact  on the fire department itself. No current firefighter complained or confronted him about it. Nor did any co-worker or supervisor refuse to work with him.” </w:t>
      </w:r>
      <w:hyperlink r:id="rId2656" w:history="1">
        <w:r w:rsidRPr="009C046C">
          <w:rPr>
            <w:rStyle w:val="Hyperlink"/>
          </w:rPr>
          <w:t>https://cases.justia.com/federal/appellate-courts/ca8/23-3398/23-3398-2025-08-13.pdf?ts=1755099027</w:t>
        </w:r>
      </w:hyperlink>
      <w:r>
        <w:t xml:space="preserve"> </w:t>
      </w:r>
    </w:p>
    <w:p w14:paraId="37AA167A" w14:textId="77777777" w:rsidR="00075CD4" w:rsidRDefault="00075CD4" w:rsidP="00075CD4">
      <w:pPr>
        <w:pStyle w:val="NoSpacing"/>
      </w:pPr>
    </w:p>
    <w:p w14:paraId="132D251C" w14:textId="77777777" w:rsidR="00075CD4" w:rsidRDefault="00075CD4" w:rsidP="00075CD4">
      <w:r>
        <w:t>THE COURT HELD:</w:t>
      </w:r>
    </w:p>
    <w:p w14:paraId="45F54E08" w14:textId="77777777" w:rsidR="00075CD4" w:rsidRDefault="00075CD4" w:rsidP="00075CD4">
      <w:pPr>
        <w:pStyle w:val="NoSpacing"/>
        <w:ind w:left="720"/>
      </w:pPr>
      <w:r>
        <w:t xml:space="preserve">“Two weeks after he posted it, a retired fire-department supervisor complained to Melton that he thought it looked like a noose around the neck of a black child. It upset him because the caption of the image, ‘I can’t </w:t>
      </w:r>
      <w:proofErr w:type="gramStart"/>
      <w:r>
        <w:t>breathe!,</w:t>
      </w:r>
      <w:proofErr w:type="gramEnd"/>
      <w:r>
        <w:t>’ was associated with the protests surrounding George Floyd’s death. Melton agreed to delete it immediately.</w:t>
      </w:r>
    </w:p>
    <w:p w14:paraId="6EBF5ED9" w14:textId="77777777" w:rsidR="00075CD4" w:rsidRDefault="00075CD4" w:rsidP="00075CD4">
      <w:pPr>
        <w:pStyle w:val="NoSpacing"/>
      </w:pPr>
    </w:p>
    <w:p w14:paraId="3EA691C9" w14:textId="77777777" w:rsidR="00075CD4" w:rsidRDefault="00075CD4" w:rsidP="00075CD4">
      <w:pPr>
        <w:pStyle w:val="NoSpacing"/>
        <w:ind w:left="720"/>
      </w:pPr>
      <w:r>
        <w:t>Deleting it was not enough for Mayor Cedric Williams, who called him into his office the next day. Although Melton was ‘apologetic,’ the mayor placed him on administrative leave pending an investigation. After a single day reviewing Melton’s Facebook page and discussing the post with the current fire chief, two retired firefighters, several attorneys, and a human-resources officer, the mayor decided to fire Melton over the image’s ‘egregious nature.’</w:t>
      </w:r>
    </w:p>
    <w:p w14:paraId="173395AD" w14:textId="77777777" w:rsidR="00075CD4" w:rsidRDefault="00075CD4" w:rsidP="00075CD4">
      <w:pPr>
        <w:pStyle w:val="NoSpacing"/>
        <w:ind w:left="720"/>
      </w:pPr>
    </w:p>
    <w:p w14:paraId="3101D688" w14:textId="77777777" w:rsidR="00075CD4" w:rsidRDefault="00075CD4" w:rsidP="00075CD4">
      <w:pPr>
        <w:pStyle w:val="NoSpacing"/>
        <w:ind w:left="720"/>
      </w:pPr>
      <w:r>
        <w:t>He was concerned about the ‘huge firestorm’ it had created. Among other things, the fire chief’s phone had been ‘blowing up,’ ‘several’ police officers had become ‘very upset,’ and the ‘phone lines’ were jammed with calls from angry city-council members and citizens. Some said that Melton ‘should not be a part of the . . . fire department responding to calls.’  A few even said that they did not want ‘him coming to their house . . . for a medical call or fire emergency.”’ According to the mayor, these complaints ‘threaten[ed] the City’s ability to administer public services.’</w:t>
      </w:r>
    </w:p>
    <w:p w14:paraId="2E8FDA3A" w14:textId="77777777" w:rsidR="00075CD4" w:rsidRDefault="00075CD4" w:rsidP="00075CD4">
      <w:pPr>
        <w:pStyle w:val="NoSpacing"/>
        <w:ind w:left="720"/>
      </w:pPr>
    </w:p>
    <w:p w14:paraId="5FB3AD19" w14:textId="77777777" w:rsidR="00075CD4" w:rsidRDefault="00075CD4" w:rsidP="00075CD4">
      <w:pPr>
        <w:pStyle w:val="NoSpacing"/>
        <w:ind w:left="720"/>
      </w:pPr>
      <w:r>
        <w:t>Melton found out about the decision to fire him from the local news. In response to a ‘media request,’ Mayor Williams had issued a press release stating that ‘[q]</w:t>
      </w:r>
      <w:proofErr w:type="spellStart"/>
      <w:r>
        <w:t>uestionable</w:t>
      </w:r>
      <w:proofErr w:type="spellEnd"/>
      <w:r>
        <w:t xml:space="preserve"> social[-]media posts’ had led to his termination. It marked the end of his ‘four and a half years’ of ‘unblemished’ service.”</w:t>
      </w:r>
    </w:p>
    <w:p w14:paraId="0B04839C" w14:textId="77777777" w:rsidR="00075CD4" w:rsidRDefault="00075CD4" w:rsidP="00075CD4">
      <w:pPr>
        <w:pStyle w:val="NoSpacing"/>
        <w:ind w:left="720"/>
      </w:pPr>
    </w:p>
    <w:p w14:paraId="47399DE3" w14:textId="77777777" w:rsidR="00075CD4" w:rsidRDefault="00075CD4" w:rsidP="00075CD4">
      <w:pPr>
        <w:pStyle w:val="NoSpacing"/>
        <w:rPr>
          <w:b/>
          <w:bCs/>
        </w:rPr>
      </w:pPr>
      <w:r w:rsidRPr="0057733E">
        <w:rPr>
          <w:b/>
        </w:rPr>
        <w:t xml:space="preserve">Legal lesson learned: </w:t>
      </w:r>
      <w:r>
        <w:rPr>
          <w:b/>
        </w:rPr>
        <w:t>Emergency responders must be extremely careful in their social media posts; we are living in a hyper-sensitive age.</w:t>
      </w:r>
    </w:p>
    <w:p w14:paraId="086AD95F" w14:textId="77777777" w:rsidR="00075CD4" w:rsidRDefault="00075CD4" w:rsidP="00075CD4">
      <w:pPr>
        <w:pStyle w:val="NoSpacing"/>
        <w:rPr>
          <w:b/>
          <w:bCs/>
        </w:rPr>
      </w:pPr>
    </w:p>
    <w:p w14:paraId="0621C511" w14:textId="77777777" w:rsidR="00075CD4" w:rsidRPr="0059407F" w:rsidRDefault="00075CD4" w:rsidP="00075CD4">
      <w:pPr>
        <w:pStyle w:val="NoSpacing"/>
        <w:ind w:left="720"/>
        <w:rPr>
          <w:bCs/>
        </w:rPr>
      </w:pPr>
      <w:r>
        <w:t xml:space="preserve">Note: See Nov. 12, </w:t>
      </w:r>
      <w:proofErr w:type="gramStart"/>
      <w:r>
        <w:t>2025</w:t>
      </w:r>
      <w:proofErr w:type="gramEnd"/>
      <w:r>
        <w:t xml:space="preserve"> article: </w:t>
      </w:r>
      <w:r w:rsidRPr="0059407F">
        <w:t>Toledo fire lieutenant fired after investigation into social media post about Charlie Kirk</w:t>
      </w:r>
      <w:r>
        <w:t xml:space="preserve">. </w:t>
      </w:r>
      <w:hyperlink r:id="rId2657" w:history="1">
        <w:r w:rsidRPr="009C046C">
          <w:rPr>
            <w:rStyle w:val="Hyperlink"/>
          </w:rPr>
          <w:t>https://www.wtol.com/article/news/local/toledo-fire-lieutenant-fired-investigation-social-media-post-about-charlie-kirk/512-599961fb-9233-4ebc-8628-cfa2b96c7722</w:t>
        </w:r>
      </w:hyperlink>
      <w:r>
        <w:t xml:space="preserve"> </w:t>
      </w:r>
    </w:p>
    <w:p w14:paraId="5891CF74" w14:textId="77777777" w:rsidR="00075CD4" w:rsidRPr="0059407F" w:rsidRDefault="00075CD4" w:rsidP="00075CD4">
      <w:pPr>
        <w:pStyle w:val="NoSpacing"/>
        <w:rPr>
          <w:bCs/>
        </w:rPr>
      </w:pPr>
      <w:r w:rsidRPr="0059407F">
        <w:t xml:space="preserve"> </w:t>
      </w:r>
    </w:p>
    <w:p w14:paraId="099BF3AC" w14:textId="77777777" w:rsidR="00075CD4" w:rsidRDefault="00075CD4" w:rsidP="002F7727">
      <w:pPr>
        <w:pStyle w:val="NoSpacing"/>
        <w:rPr>
          <w:rFonts w:ascii="Arial Black" w:hAnsi="Arial Black"/>
          <w:b/>
          <w:sz w:val="24"/>
          <w:szCs w:val="24"/>
        </w:rPr>
      </w:pPr>
    </w:p>
    <w:p w14:paraId="2B58F3C1" w14:textId="77777777" w:rsidR="00075CD4" w:rsidRDefault="00075CD4" w:rsidP="002F7727">
      <w:pPr>
        <w:pStyle w:val="NoSpacing"/>
        <w:rPr>
          <w:rFonts w:ascii="Arial Black" w:hAnsi="Arial Black"/>
          <w:b/>
          <w:sz w:val="24"/>
          <w:szCs w:val="24"/>
        </w:rPr>
      </w:pPr>
    </w:p>
    <w:p w14:paraId="29F44B31" w14:textId="77777777" w:rsidR="00075CD4" w:rsidRDefault="00075CD4" w:rsidP="002F7727">
      <w:pPr>
        <w:pStyle w:val="NoSpacing"/>
        <w:rPr>
          <w:rFonts w:ascii="Arial Black" w:hAnsi="Arial Black"/>
          <w:b/>
          <w:sz w:val="24"/>
          <w:szCs w:val="24"/>
        </w:rPr>
      </w:pPr>
    </w:p>
    <w:p w14:paraId="2DB36602" w14:textId="77777777" w:rsidR="00075CD4" w:rsidRDefault="00075CD4" w:rsidP="002F7727">
      <w:pPr>
        <w:pStyle w:val="NoSpacing"/>
        <w:rPr>
          <w:rFonts w:ascii="Arial Black" w:hAnsi="Arial Black"/>
          <w:b/>
          <w:sz w:val="24"/>
          <w:szCs w:val="24"/>
        </w:rPr>
      </w:pPr>
    </w:p>
    <w:p w14:paraId="4C115D60" w14:textId="77777777" w:rsidR="002F7727" w:rsidRDefault="002F7727" w:rsidP="002F7727">
      <w:pPr>
        <w:pStyle w:val="NoSpacing"/>
        <w:rPr>
          <w:rFonts w:ascii="Arial Black" w:hAnsi="Arial Black"/>
          <w:b/>
          <w:sz w:val="24"/>
          <w:szCs w:val="24"/>
        </w:rPr>
      </w:pPr>
    </w:p>
    <w:p w14:paraId="0932CFD9" w14:textId="64D4A02A" w:rsidR="002F7727" w:rsidRDefault="002F7727" w:rsidP="002F7727">
      <w:pPr>
        <w:pStyle w:val="NoSpacing"/>
        <w:rPr>
          <w:rFonts w:ascii="Arial Black" w:hAnsi="Arial Black"/>
          <w:b/>
          <w:sz w:val="24"/>
          <w:szCs w:val="24"/>
        </w:rPr>
      </w:pPr>
      <w:r>
        <w:rPr>
          <w:rFonts w:ascii="Arial Black" w:hAnsi="Arial Black"/>
          <w:b/>
          <w:sz w:val="24"/>
          <w:szCs w:val="24"/>
        </w:rPr>
        <w:t>16-133</w:t>
      </w:r>
    </w:p>
    <w:p w14:paraId="22EBBA21" w14:textId="77777777" w:rsidR="00C222A8" w:rsidRDefault="00C222A8" w:rsidP="00C222A8">
      <w:pPr>
        <w:pStyle w:val="NoSpacing"/>
      </w:pPr>
    </w:p>
    <w:p w14:paraId="0B7DB272" w14:textId="75F28435" w:rsidR="008C05B9" w:rsidRPr="00966909" w:rsidRDefault="008C05B9" w:rsidP="008C05B9">
      <w:pPr>
        <w:pStyle w:val="NoSpacing"/>
        <w:rPr>
          <w:rFonts w:ascii="Arial Black" w:hAnsi="Arial Black"/>
          <w:sz w:val="28"/>
          <w:szCs w:val="28"/>
        </w:rPr>
      </w:pPr>
      <w:r>
        <w:rPr>
          <w:rFonts w:ascii="Arial Black" w:hAnsi="Arial Black"/>
          <w:sz w:val="28"/>
          <w:szCs w:val="28"/>
        </w:rPr>
        <w:t>VA: FACEBOOK POSTS</w:t>
      </w:r>
      <w:r w:rsidR="006D160C">
        <w:rPr>
          <w:rFonts w:ascii="Arial Black" w:hAnsi="Arial Black"/>
          <w:sz w:val="28"/>
          <w:szCs w:val="28"/>
        </w:rPr>
        <w:t xml:space="preserve"> – ABOUT </w:t>
      </w:r>
      <w:r>
        <w:rPr>
          <w:rFonts w:ascii="Arial Black" w:hAnsi="Arial Black"/>
          <w:sz w:val="28"/>
          <w:szCs w:val="28"/>
        </w:rPr>
        <w:t>TRANSGENDERS – CAPT FIRED</w:t>
      </w:r>
    </w:p>
    <w:p w14:paraId="70336A9C" w14:textId="77777777" w:rsidR="008C05B9" w:rsidRDefault="008C05B9" w:rsidP="008C05B9">
      <w:pPr>
        <w:pStyle w:val="NoSpacing"/>
      </w:pPr>
    </w:p>
    <w:p w14:paraId="7F8DC4C9" w14:textId="543310C7" w:rsidR="008C05B9" w:rsidRDefault="008C05B9" w:rsidP="008C05B9">
      <w:pPr>
        <w:pStyle w:val="NoSpacing"/>
      </w:pPr>
      <w:r>
        <w:t xml:space="preserve">On June 2, 2025, in </w:t>
      </w:r>
      <w:r w:rsidRPr="000A24BF">
        <w:rPr>
          <w:u w:val="single"/>
        </w:rPr>
        <w:t xml:space="preserve">Martin </w:t>
      </w:r>
      <w:proofErr w:type="spellStart"/>
      <w:r w:rsidRPr="000A24BF">
        <w:rPr>
          <w:u w:val="single"/>
        </w:rPr>
        <w:t>Misjuns</w:t>
      </w:r>
      <w:proofErr w:type="spellEnd"/>
      <w:r w:rsidRPr="000A24BF">
        <w:rPr>
          <w:u w:val="single"/>
        </w:rPr>
        <w:t xml:space="preserve"> v. City of Lynchburg</w:t>
      </w:r>
      <w:r>
        <w:t xml:space="preserve">, the United States Court of Appeals for the Fourth Circuit (Richmond, VA) held (3 to 0) that the City properly fired the </w:t>
      </w:r>
      <w:proofErr w:type="gramStart"/>
      <w:r>
        <w:t>Captain</w:t>
      </w:r>
      <w:proofErr w:type="gramEnd"/>
      <w:r>
        <w:t xml:space="preserve"> for the offensive Facebook posts.  The trial court </w:t>
      </w:r>
      <w:proofErr w:type="gramStart"/>
      <w:r>
        <w:t>had granted</w:t>
      </w:r>
      <w:proofErr w:type="gramEnd"/>
      <w:r>
        <w:t xml:space="preserve"> City’s motion to dismiss.  </w:t>
      </w:r>
      <w:r w:rsidR="00AA584B">
        <w:t xml:space="preserve"> </w:t>
      </w:r>
      <w:hyperlink r:id="rId2658" w:history="1">
        <w:r w:rsidR="00AA584B" w:rsidRPr="00586BA9">
          <w:rPr>
            <w:rStyle w:val="Hyperlink"/>
          </w:rPr>
          <w:t>https://cases.justia.com/federal/appellate-courts/ca4/24-1782/24-1782-2025-06-05.pdf?ts=1749150038</w:t>
        </w:r>
      </w:hyperlink>
    </w:p>
    <w:p w14:paraId="7CC36101" w14:textId="77777777" w:rsidR="008C05B9" w:rsidRDefault="008C05B9" w:rsidP="008C05B9">
      <w:pPr>
        <w:pStyle w:val="NoSpacing"/>
      </w:pPr>
    </w:p>
    <w:p w14:paraId="6E6D6BA8" w14:textId="77777777" w:rsidR="008C05B9" w:rsidRDefault="008C05B9" w:rsidP="008C05B9">
      <w:pPr>
        <w:pStyle w:val="NoSpacing"/>
      </w:pPr>
      <w:r w:rsidRPr="00045997">
        <w:rPr>
          <w:b/>
        </w:rPr>
        <w:t xml:space="preserve">THE COURT HELD: </w:t>
      </w:r>
      <w:r>
        <w:rPr>
          <w:b/>
        </w:rPr>
        <w:t xml:space="preserve"> “</w:t>
      </w:r>
      <w:r>
        <w:t xml:space="preserve">On January 26, 2021, </w:t>
      </w:r>
      <w:proofErr w:type="spellStart"/>
      <w:r>
        <w:t>Misjuns</w:t>
      </w:r>
      <w:proofErr w:type="spellEnd"/>
      <w:r>
        <w:t xml:space="preserve"> posted four cartoons on his public figure Facebook page with the caption “#</w:t>
      </w:r>
      <w:proofErr w:type="spellStart"/>
      <w:r>
        <w:t>BidenErasedWomen</w:t>
      </w:r>
      <w:proofErr w:type="spellEnd"/>
      <w:r>
        <w:t xml:space="preserve"> – Coming to your daughters [sic] high school locker room in the near future.” … The cartoons depicted offensive stereotypes</w:t>
      </w:r>
    </w:p>
    <w:p w14:paraId="76C7F574" w14:textId="77777777" w:rsidR="008C05B9" w:rsidRDefault="008C05B9" w:rsidP="008C05B9">
      <w:pPr>
        <w:pStyle w:val="NoSpacing"/>
      </w:pPr>
      <w:r>
        <w:t xml:space="preserve">of transgender women in bathrooms and participating in sports…. </w:t>
      </w:r>
      <w:proofErr w:type="spellStart"/>
      <w:r>
        <w:t>Misjuns</w:t>
      </w:r>
      <w:proofErr w:type="spellEnd"/>
      <w:r>
        <w:t xml:space="preserve"> became aware of the citizen complaints. On February 1, 2021, he posted a meme to his public figure Facebook page with the caption, ‘Let’s set something straight for the attacks I’ve been taking from a local activist group . . ..’  The meme stated:  ‘In the beginning, God created Adam &amp; Eve. Adam could never be a Madam. Eve could never become Steve. Anyone who tells you otherwise defies the one true God. Threatening anyone for believing &amp; saying this is most likely a hate crime.”’ </w:t>
      </w:r>
    </w:p>
    <w:p w14:paraId="702052DB" w14:textId="77777777" w:rsidR="008C05B9" w:rsidRDefault="008C05B9" w:rsidP="008C05B9">
      <w:pPr>
        <w:pStyle w:val="NoSpacing"/>
      </w:pPr>
    </w:p>
    <w:p w14:paraId="2317952B" w14:textId="77777777" w:rsidR="008C05B9" w:rsidRDefault="008C05B9" w:rsidP="008C05B9">
      <w:pPr>
        <w:pStyle w:val="NoSpacing"/>
      </w:pPr>
      <w:r>
        <w:t>***</w:t>
      </w:r>
    </w:p>
    <w:p w14:paraId="5AC264F7" w14:textId="77777777" w:rsidR="008C05B9" w:rsidRDefault="008C05B9" w:rsidP="008C05B9">
      <w:pPr>
        <w:pStyle w:val="NoSpacing"/>
      </w:pPr>
    </w:p>
    <w:p w14:paraId="6EA84978" w14:textId="77777777" w:rsidR="008C05B9" w:rsidRDefault="008C05B9" w:rsidP="008C05B9">
      <w:pPr>
        <w:pStyle w:val="NoSpacing"/>
      </w:pPr>
      <w:r>
        <w:t>The plaintiff has every right to express his views, hateful though they be. But he has</w:t>
      </w:r>
    </w:p>
    <w:p w14:paraId="49177675" w14:textId="77777777" w:rsidR="008C05B9" w:rsidRDefault="008C05B9" w:rsidP="008C05B9">
      <w:pPr>
        <w:pStyle w:val="NoSpacing"/>
      </w:pPr>
      <w:r>
        <w:t>no right to impair the Fire Department’s work and efficiency. His transparently bigoted</w:t>
      </w:r>
    </w:p>
    <w:p w14:paraId="242835B5" w14:textId="77777777" w:rsidR="008C05B9" w:rsidRDefault="008C05B9" w:rsidP="008C05B9">
      <w:pPr>
        <w:pStyle w:val="NoSpacing"/>
      </w:pPr>
      <w:r>
        <w:t>remarks gave rise to a reasonable apprehension on the part of Lynchburg’s citizens that the</w:t>
      </w:r>
    </w:p>
    <w:p w14:paraId="35A11401" w14:textId="77777777" w:rsidR="008C05B9" w:rsidRDefault="008C05B9" w:rsidP="008C05B9">
      <w:pPr>
        <w:pStyle w:val="NoSpacing"/>
      </w:pPr>
      <w:r>
        <w:t xml:space="preserve">Fire Department’s </w:t>
      </w:r>
      <w:proofErr w:type="gramStart"/>
      <w:r>
        <w:t>emergency-response</w:t>
      </w:r>
      <w:proofErr w:type="gramEnd"/>
      <w:r>
        <w:t xml:space="preserve"> tasks would not be carried out in an even-handed</w:t>
      </w:r>
    </w:p>
    <w:p w14:paraId="7F894D7D" w14:textId="77777777" w:rsidR="008C05B9" w:rsidRDefault="008C05B9" w:rsidP="008C05B9">
      <w:pPr>
        <w:pStyle w:val="NoSpacing"/>
      </w:pPr>
      <w:r>
        <w:t>and unbiased way.</w:t>
      </w:r>
    </w:p>
    <w:p w14:paraId="516EC086" w14:textId="77777777" w:rsidR="008C05B9" w:rsidRDefault="008C05B9" w:rsidP="008C05B9">
      <w:pPr>
        <w:pStyle w:val="NoSpacing"/>
      </w:pPr>
    </w:p>
    <w:p w14:paraId="20DCC84C" w14:textId="77777777" w:rsidR="008C05B9" w:rsidRDefault="008C05B9" w:rsidP="008C05B9">
      <w:pPr>
        <w:pStyle w:val="NoSpacing"/>
      </w:pPr>
      <w:r>
        <w:t>The city, in turn, was fully justified in responding to the possible corruption of its</w:t>
      </w:r>
    </w:p>
    <w:p w14:paraId="50FCC980" w14:textId="77777777" w:rsidR="008C05B9" w:rsidRDefault="008C05B9" w:rsidP="008C05B9">
      <w:pPr>
        <w:pStyle w:val="NoSpacing"/>
      </w:pPr>
      <w:r>
        <w:t xml:space="preserve">basic services and to the negative effects on recruitment that the well-known views </w:t>
      </w:r>
      <w:proofErr w:type="gramStart"/>
      <w:r>
        <w:t>of a</w:t>
      </w:r>
      <w:proofErr w:type="gramEnd"/>
    </w:p>
    <w:p w14:paraId="0CCB0EB1" w14:textId="77777777" w:rsidR="008C05B9" w:rsidRDefault="008C05B9" w:rsidP="008C05B9">
      <w:pPr>
        <w:pStyle w:val="NoSpacing"/>
      </w:pPr>
      <w:r>
        <w:t>well-known Captain in the Fire Department would likely have. There was nothing</w:t>
      </w:r>
    </w:p>
    <w:p w14:paraId="64FF51F3" w14:textId="77777777" w:rsidR="008C05B9" w:rsidRDefault="008C05B9" w:rsidP="008C05B9">
      <w:pPr>
        <w:pStyle w:val="NoSpacing"/>
      </w:pPr>
      <w:r>
        <w:t>pretextual in the City’s invocation of the principles of good governance here, and the Supreme Court in Pickering v. Board of Education, 391 U.S. 563 (1968) and its numerous</w:t>
      </w:r>
    </w:p>
    <w:p w14:paraId="31F7B337" w14:textId="77777777" w:rsidR="008C05B9" w:rsidRDefault="008C05B9" w:rsidP="008C05B9">
      <w:pPr>
        <w:pStyle w:val="NoSpacing"/>
      </w:pPr>
      <w:r>
        <w:t>progeny has granted municipalities, in a case such as this, the right to act precisely as the</w:t>
      </w:r>
    </w:p>
    <w:p w14:paraId="06A319F4" w14:textId="77777777" w:rsidR="008C05B9" w:rsidRDefault="008C05B9" w:rsidP="008C05B9">
      <w:pPr>
        <w:pStyle w:val="NoSpacing"/>
      </w:pPr>
      <w:r>
        <w:t xml:space="preserve">City did.” </w:t>
      </w:r>
      <w:hyperlink r:id="rId2659" w:history="1">
        <w:r w:rsidRPr="00586BA9">
          <w:rPr>
            <w:rStyle w:val="Hyperlink"/>
          </w:rPr>
          <w:t>https://cases.justia.com/federal/appellate-courts/ca4/24-1782/24-1782-2025-06-05.pdf?ts=1749150038</w:t>
        </w:r>
      </w:hyperlink>
      <w:r>
        <w:t xml:space="preserve"> </w:t>
      </w:r>
    </w:p>
    <w:p w14:paraId="3A27585E" w14:textId="77777777" w:rsidR="008C05B9" w:rsidRPr="00045997" w:rsidRDefault="008C05B9" w:rsidP="008C05B9">
      <w:pPr>
        <w:pStyle w:val="NoSpacing"/>
        <w:rPr>
          <w:b/>
          <w:bCs/>
        </w:rPr>
      </w:pPr>
    </w:p>
    <w:p w14:paraId="1275E6DE" w14:textId="77777777" w:rsidR="008C05B9" w:rsidRDefault="008C05B9" w:rsidP="008C05B9">
      <w:pPr>
        <w:pStyle w:val="NoSpacing"/>
        <w:rPr>
          <w:b/>
          <w:bCs/>
        </w:rPr>
      </w:pPr>
      <w:r>
        <w:rPr>
          <w:b/>
        </w:rPr>
        <w:t xml:space="preserve">KEY FACTS: </w:t>
      </w:r>
    </w:p>
    <w:p w14:paraId="50268885" w14:textId="77777777" w:rsidR="008C05B9" w:rsidRDefault="008C05B9" w:rsidP="008C05B9">
      <w:pPr>
        <w:pStyle w:val="NoSpacing"/>
        <w:rPr>
          <w:b/>
          <w:bCs/>
        </w:rPr>
      </w:pPr>
    </w:p>
    <w:p w14:paraId="71504728" w14:textId="77777777" w:rsidR="008C05B9" w:rsidRPr="001342C2" w:rsidRDefault="008C05B9" w:rsidP="008C05B9">
      <w:pPr>
        <w:pStyle w:val="NoSpacing"/>
        <w:ind w:firstLine="720"/>
        <w:rPr>
          <w:bCs/>
        </w:rPr>
      </w:pPr>
      <w:r>
        <w:t>“</w:t>
      </w:r>
      <w:r w:rsidRPr="001342C2">
        <w:t xml:space="preserve">Martin </w:t>
      </w:r>
      <w:proofErr w:type="spellStart"/>
      <w:r w:rsidRPr="001342C2">
        <w:t>Misjuns</w:t>
      </w:r>
      <w:proofErr w:type="spellEnd"/>
      <w:r w:rsidRPr="001342C2">
        <w:t xml:space="preserve"> was employed as a Fire Captain and paramedic by the </w:t>
      </w:r>
      <w:proofErr w:type="gramStart"/>
      <w:r w:rsidRPr="001342C2">
        <w:t>City</w:t>
      </w:r>
      <w:proofErr w:type="gramEnd"/>
      <w:r w:rsidRPr="001342C2">
        <w:t xml:space="preserve"> of</w:t>
      </w:r>
    </w:p>
    <w:p w14:paraId="2FC6B880" w14:textId="77777777" w:rsidR="008C05B9" w:rsidRPr="001342C2" w:rsidRDefault="008C05B9" w:rsidP="008C05B9">
      <w:pPr>
        <w:pStyle w:val="NoSpacing"/>
        <w:ind w:firstLine="720"/>
        <w:rPr>
          <w:bCs/>
        </w:rPr>
      </w:pPr>
      <w:r w:rsidRPr="001342C2">
        <w:t>Lynchburg as part of the Lynchburg Fire Department (“LFD”)</w:t>
      </w:r>
      <w:r>
        <w:t xml:space="preserve">…. </w:t>
      </w:r>
      <w:r w:rsidRPr="001342C2">
        <w:t>He was also a</w:t>
      </w:r>
    </w:p>
    <w:p w14:paraId="75A0E0C9" w14:textId="77777777" w:rsidR="008C05B9" w:rsidRPr="001342C2" w:rsidRDefault="008C05B9" w:rsidP="008C05B9">
      <w:pPr>
        <w:pStyle w:val="NoSpacing"/>
        <w:ind w:firstLine="720"/>
        <w:rPr>
          <w:bCs/>
        </w:rPr>
      </w:pPr>
      <w:r w:rsidRPr="001342C2">
        <w:t>union representative with IAFF Local 1146, the Lynchburg division of the International</w:t>
      </w:r>
    </w:p>
    <w:p w14:paraId="37DC7A81" w14:textId="77777777" w:rsidR="008C05B9" w:rsidRPr="001342C2" w:rsidRDefault="008C05B9" w:rsidP="008C05B9">
      <w:pPr>
        <w:pStyle w:val="NoSpacing"/>
        <w:ind w:firstLine="720"/>
        <w:rPr>
          <w:bCs/>
        </w:rPr>
      </w:pPr>
      <w:r w:rsidRPr="001342C2">
        <w:t>Association of Fire Fighters labor union, and Ward I Chair for the Lynchburg Republican</w:t>
      </w:r>
    </w:p>
    <w:p w14:paraId="20546787" w14:textId="77777777" w:rsidR="008C05B9" w:rsidRDefault="008C05B9" w:rsidP="008C05B9">
      <w:pPr>
        <w:pStyle w:val="NoSpacing"/>
        <w:ind w:firstLine="720"/>
        <w:rPr>
          <w:bCs/>
        </w:rPr>
      </w:pPr>
      <w:r w:rsidRPr="001342C2">
        <w:t>City Committee</w:t>
      </w:r>
      <w:r>
        <w:t xml:space="preserve">…. </w:t>
      </w:r>
    </w:p>
    <w:p w14:paraId="61147684" w14:textId="77777777" w:rsidR="008C05B9" w:rsidRPr="001342C2" w:rsidRDefault="008C05B9" w:rsidP="008C05B9">
      <w:pPr>
        <w:pStyle w:val="NoSpacing"/>
        <w:ind w:firstLine="720"/>
        <w:rPr>
          <w:bCs/>
        </w:rPr>
      </w:pPr>
    </w:p>
    <w:p w14:paraId="691382F0" w14:textId="77777777" w:rsidR="008C05B9" w:rsidRPr="001342C2" w:rsidRDefault="008C05B9" w:rsidP="008C05B9">
      <w:pPr>
        <w:pStyle w:val="NoSpacing"/>
        <w:ind w:firstLine="720"/>
        <w:rPr>
          <w:bCs/>
        </w:rPr>
      </w:pPr>
      <w:r w:rsidRPr="001342C2">
        <w:t xml:space="preserve">Before the events that </w:t>
      </w:r>
      <w:proofErr w:type="gramStart"/>
      <w:r w:rsidRPr="001342C2">
        <w:t>serve</w:t>
      </w:r>
      <w:proofErr w:type="gramEnd"/>
      <w:r w:rsidRPr="001342C2">
        <w:t xml:space="preserve"> as the basis of this suit, </w:t>
      </w:r>
      <w:proofErr w:type="gramStart"/>
      <w:r w:rsidRPr="001342C2">
        <w:t>there</w:t>
      </w:r>
      <w:proofErr w:type="gramEnd"/>
      <w:r w:rsidRPr="001342C2">
        <w:t xml:space="preserve"> were already deep-seated</w:t>
      </w:r>
    </w:p>
    <w:p w14:paraId="2C931AFD" w14:textId="77777777" w:rsidR="008C05B9" w:rsidRPr="001342C2" w:rsidRDefault="008C05B9" w:rsidP="008C05B9">
      <w:pPr>
        <w:pStyle w:val="NoSpacing"/>
        <w:ind w:firstLine="720"/>
        <w:rPr>
          <w:bCs/>
        </w:rPr>
      </w:pPr>
      <w:r w:rsidRPr="001342C2">
        <w:t xml:space="preserve">tensions between </w:t>
      </w:r>
      <w:proofErr w:type="spellStart"/>
      <w:r w:rsidRPr="001342C2">
        <w:t>Misjuns</w:t>
      </w:r>
      <w:proofErr w:type="spellEnd"/>
      <w:r w:rsidRPr="001342C2">
        <w:t xml:space="preserve"> and the City. For example, </w:t>
      </w:r>
      <w:proofErr w:type="spellStart"/>
      <w:r w:rsidRPr="001342C2">
        <w:t>Misjuns</w:t>
      </w:r>
      <w:proofErr w:type="spellEnd"/>
      <w:r w:rsidRPr="001342C2">
        <w:t xml:space="preserve"> alleged that LFD engaged</w:t>
      </w:r>
    </w:p>
    <w:p w14:paraId="227F21AC" w14:textId="77777777" w:rsidR="008C05B9" w:rsidRPr="0023213A" w:rsidRDefault="008C05B9" w:rsidP="008C05B9">
      <w:pPr>
        <w:pStyle w:val="NoSpacing"/>
        <w:ind w:left="720"/>
        <w:rPr>
          <w:bCs/>
        </w:rPr>
      </w:pPr>
      <w:r w:rsidRPr="001342C2">
        <w:t xml:space="preserve">in </w:t>
      </w:r>
      <w:r>
        <w:t>‘</w:t>
      </w:r>
      <w:r w:rsidRPr="001342C2">
        <w:t xml:space="preserve">discriminatory training and promotion practices” against him in 2019 and 2020. </w:t>
      </w:r>
      <w:r>
        <w:t xml:space="preserve">… </w:t>
      </w:r>
      <w:r w:rsidRPr="001342C2">
        <w:t xml:space="preserve"> He also alleged </w:t>
      </w:r>
      <w:proofErr w:type="gramStart"/>
      <w:r w:rsidRPr="001342C2">
        <w:t>politically-motivated</w:t>
      </w:r>
      <w:proofErr w:type="gramEnd"/>
      <w:r w:rsidRPr="001342C2">
        <w:t xml:space="preserve"> actions.</w:t>
      </w:r>
      <w:r>
        <w:t xml:space="preserve"> </w:t>
      </w:r>
      <w:r w:rsidRPr="0023213A">
        <w:t>In spring 2020, IAFF Local 1146 and</w:t>
      </w:r>
    </w:p>
    <w:p w14:paraId="023B7B16" w14:textId="77777777" w:rsidR="008C05B9" w:rsidRPr="0023213A" w:rsidRDefault="008C05B9" w:rsidP="008C05B9">
      <w:pPr>
        <w:pStyle w:val="NoSpacing"/>
        <w:ind w:left="720"/>
        <w:rPr>
          <w:bCs/>
        </w:rPr>
      </w:pPr>
      <w:proofErr w:type="spellStart"/>
      <w:r w:rsidRPr="0023213A">
        <w:t>Misjuns</w:t>
      </w:r>
      <w:proofErr w:type="spellEnd"/>
      <w:r w:rsidRPr="0023213A">
        <w:t xml:space="preserve"> supported Republican candidates for Lynchburg City Council who ran against</w:t>
      </w:r>
    </w:p>
    <w:p w14:paraId="3EEDA5ED" w14:textId="77777777" w:rsidR="008C05B9" w:rsidRPr="0023213A" w:rsidRDefault="008C05B9" w:rsidP="008C05B9">
      <w:pPr>
        <w:pStyle w:val="NoSpacing"/>
        <w:ind w:left="720"/>
        <w:rPr>
          <w:bCs/>
        </w:rPr>
      </w:pPr>
      <w:r w:rsidRPr="0023213A">
        <w:t>candidates supported by the Democratic majority on City Council, including Defendants</w:t>
      </w:r>
    </w:p>
    <w:p w14:paraId="3E035203" w14:textId="77777777" w:rsidR="008C05B9" w:rsidRPr="0023213A" w:rsidRDefault="008C05B9" w:rsidP="008C05B9">
      <w:pPr>
        <w:pStyle w:val="NoSpacing"/>
        <w:ind w:left="720"/>
        <w:rPr>
          <w:bCs/>
        </w:rPr>
      </w:pPr>
      <w:r w:rsidRPr="0023213A">
        <w:t>Mayor Mary Dolan and Vice-Mayor Beau Wright</w:t>
      </w:r>
      <w:r>
        <w:t xml:space="preserve">…. </w:t>
      </w:r>
      <w:r w:rsidRPr="0023213A">
        <w:t>One of the Deputy Fire</w:t>
      </w:r>
    </w:p>
    <w:p w14:paraId="206E1090" w14:textId="77777777" w:rsidR="008C05B9" w:rsidRPr="009B4C07" w:rsidRDefault="008C05B9" w:rsidP="008C05B9">
      <w:pPr>
        <w:pStyle w:val="NoSpacing"/>
        <w:ind w:left="720"/>
        <w:rPr>
          <w:bCs/>
        </w:rPr>
      </w:pPr>
      <w:r w:rsidRPr="0023213A">
        <w:t xml:space="preserve">Chiefs allegedly </w:t>
      </w:r>
      <w:r>
        <w:t>‘</w:t>
      </w:r>
      <w:r w:rsidRPr="0023213A">
        <w:t>began a pattern of harassing behavior</w:t>
      </w:r>
      <w:r>
        <w:t>’</w:t>
      </w:r>
      <w:r w:rsidRPr="0023213A">
        <w:t xml:space="preserve"> against </w:t>
      </w:r>
      <w:proofErr w:type="spellStart"/>
      <w:r w:rsidRPr="0023213A">
        <w:t>Misjuns</w:t>
      </w:r>
      <w:proofErr w:type="spellEnd"/>
      <w:r w:rsidRPr="0023213A">
        <w:t>, including</w:t>
      </w:r>
      <w:r>
        <w:t xml:space="preserve"> </w:t>
      </w:r>
      <w:r w:rsidRPr="009B4C07">
        <w:t>sending him a text message that he did not approve of Local 1146’s post supporting the</w:t>
      </w:r>
    </w:p>
    <w:p w14:paraId="397E2520" w14:textId="77777777" w:rsidR="008C05B9" w:rsidRDefault="008C05B9" w:rsidP="008C05B9">
      <w:pPr>
        <w:pStyle w:val="NoSpacing"/>
        <w:ind w:left="720"/>
        <w:rPr>
          <w:bCs/>
        </w:rPr>
      </w:pPr>
      <w:r w:rsidRPr="009B4C07">
        <w:t>Republican candidates.</w:t>
      </w:r>
    </w:p>
    <w:p w14:paraId="37631B09" w14:textId="77777777" w:rsidR="008C05B9" w:rsidRDefault="008C05B9" w:rsidP="008C05B9">
      <w:pPr>
        <w:pStyle w:val="NoSpacing"/>
        <w:ind w:left="720"/>
        <w:rPr>
          <w:bCs/>
        </w:rPr>
      </w:pPr>
    </w:p>
    <w:p w14:paraId="7010FD03" w14:textId="77777777" w:rsidR="008C05B9" w:rsidRDefault="008C05B9" w:rsidP="008C05B9">
      <w:pPr>
        <w:pStyle w:val="NoSpacing"/>
        <w:ind w:left="720"/>
        <w:rPr>
          <w:bCs/>
        </w:rPr>
      </w:pPr>
      <w:r>
        <w:t>***</w:t>
      </w:r>
    </w:p>
    <w:p w14:paraId="56C746A3" w14:textId="77777777" w:rsidR="008C05B9" w:rsidRPr="00831D7E" w:rsidRDefault="008C05B9" w:rsidP="008C05B9">
      <w:pPr>
        <w:pStyle w:val="NoSpacing"/>
        <w:ind w:left="720"/>
        <w:rPr>
          <w:bCs/>
        </w:rPr>
      </w:pPr>
      <w:r w:rsidRPr="00831D7E">
        <w:t xml:space="preserve">On March 25, 2021, </w:t>
      </w:r>
      <w:proofErr w:type="spellStart"/>
      <w:r w:rsidRPr="00831D7E">
        <w:t>Misjuns</w:t>
      </w:r>
      <w:proofErr w:type="spellEnd"/>
      <w:r w:rsidRPr="00831D7E">
        <w:t xml:space="preserve"> received a letter from Fire Chief Wormser, which he</w:t>
      </w:r>
    </w:p>
    <w:p w14:paraId="35EDC072" w14:textId="77777777" w:rsidR="008C05B9" w:rsidRPr="00831D7E" w:rsidRDefault="008C05B9" w:rsidP="008C05B9">
      <w:pPr>
        <w:pStyle w:val="NoSpacing"/>
        <w:ind w:left="720"/>
        <w:rPr>
          <w:bCs/>
        </w:rPr>
      </w:pPr>
      <w:r w:rsidRPr="00831D7E">
        <w:t xml:space="preserve">alleged Wormser sent </w:t>
      </w:r>
      <w:r>
        <w:t>‘</w:t>
      </w:r>
      <w:r w:rsidRPr="00831D7E">
        <w:t>in response to instructions from one or more of Dolan, Wright, and</w:t>
      </w:r>
    </w:p>
    <w:p w14:paraId="7CFC9819" w14:textId="77777777" w:rsidR="008C05B9" w:rsidRPr="00831D7E" w:rsidRDefault="008C05B9" w:rsidP="008C05B9">
      <w:pPr>
        <w:pStyle w:val="NoSpacing"/>
        <w:ind w:left="720"/>
        <w:rPr>
          <w:bCs/>
        </w:rPr>
      </w:pPr>
      <w:r w:rsidRPr="00831D7E">
        <w:t>Wodicka.</w:t>
      </w:r>
      <w:r>
        <w:t xml:space="preserve">’ … </w:t>
      </w:r>
      <w:r w:rsidRPr="00831D7E">
        <w:t xml:space="preserve">The letter ordered </w:t>
      </w:r>
      <w:proofErr w:type="spellStart"/>
      <w:r w:rsidRPr="00831D7E">
        <w:t>Misjuns</w:t>
      </w:r>
      <w:proofErr w:type="spellEnd"/>
      <w:r w:rsidRPr="00831D7E">
        <w:t xml:space="preserve"> to attend an </w:t>
      </w:r>
      <w:r>
        <w:t>‘</w:t>
      </w:r>
      <w:r w:rsidRPr="00831D7E">
        <w:t>interrogation</w:t>
      </w:r>
      <w:r>
        <w:t>’</w:t>
      </w:r>
      <w:r w:rsidRPr="00831D7E">
        <w:t xml:space="preserve"> </w:t>
      </w:r>
      <w:proofErr w:type="gramStart"/>
      <w:r w:rsidRPr="00831D7E">
        <w:t>on</w:t>
      </w:r>
      <w:proofErr w:type="gramEnd"/>
      <w:r w:rsidRPr="00831D7E">
        <w:t xml:space="preserve"> March</w:t>
      </w:r>
    </w:p>
    <w:p w14:paraId="0163EA40" w14:textId="77777777" w:rsidR="008C05B9" w:rsidRPr="00831D7E" w:rsidRDefault="008C05B9" w:rsidP="008C05B9">
      <w:pPr>
        <w:pStyle w:val="NoSpacing"/>
        <w:ind w:left="720"/>
        <w:rPr>
          <w:bCs/>
        </w:rPr>
      </w:pPr>
      <w:r w:rsidRPr="00831D7E">
        <w:t>29 to discuss several citizen complaints regarding the cartoons and meme</w:t>
      </w:r>
      <w:r>
        <w:t xml:space="preserve">…. </w:t>
      </w:r>
      <w:r w:rsidRPr="00831D7E">
        <w:t xml:space="preserve">Wormser also informed </w:t>
      </w:r>
      <w:proofErr w:type="spellStart"/>
      <w:r w:rsidRPr="00831D7E">
        <w:t>Misjuns</w:t>
      </w:r>
      <w:proofErr w:type="spellEnd"/>
      <w:r w:rsidRPr="00831D7E">
        <w:t xml:space="preserve"> that he was under investigation for social media</w:t>
      </w:r>
      <w:r>
        <w:t xml:space="preserve"> </w:t>
      </w:r>
      <w:r w:rsidRPr="00831D7E">
        <w:t>statements making political criticisms of Dolan</w:t>
      </w:r>
      <w:r>
        <w:t xml:space="preserve">…. </w:t>
      </w:r>
      <w:r w:rsidRPr="00831D7E">
        <w:t>The record shows that Wormser</w:t>
      </w:r>
    </w:p>
    <w:p w14:paraId="711E53C4" w14:textId="77777777" w:rsidR="008C05B9" w:rsidRPr="00831D7E" w:rsidRDefault="008C05B9" w:rsidP="008C05B9">
      <w:pPr>
        <w:pStyle w:val="NoSpacing"/>
        <w:ind w:left="720"/>
        <w:rPr>
          <w:bCs/>
        </w:rPr>
      </w:pPr>
      <w:r w:rsidRPr="00831D7E">
        <w:t xml:space="preserve">provided </w:t>
      </w:r>
      <w:proofErr w:type="spellStart"/>
      <w:r w:rsidRPr="00831D7E">
        <w:t>Misjuns</w:t>
      </w:r>
      <w:proofErr w:type="spellEnd"/>
      <w:r w:rsidRPr="00831D7E">
        <w:t xml:space="preserve"> with a notice of the complaints made against him</w:t>
      </w:r>
      <w:r>
        <w:t xml:space="preserve">…. </w:t>
      </w:r>
      <w:r w:rsidRPr="00831D7E">
        <w:t xml:space="preserve"> </w:t>
      </w:r>
      <w:proofErr w:type="gramStart"/>
      <w:r w:rsidRPr="00831D7E">
        <w:t>On</w:t>
      </w:r>
      <w:proofErr w:type="gramEnd"/>
      <w:r w:rsidRPr="00831D7E">
        <w:t xml:space="preserve"> March</w:t>
      </w:r>
    </w:p>
    <w:p w14:paraId="33808116" w14:textId="77777777" w:rsidR="008C05B9" w:rsidRDefault="008C05B9" w:rsidP="008C05B9">
      <w:pPr>
        <w:pStyle w:val="NoSpacing"/>
        <w:ind w:left="720"/>
        <w:rPr>
          <w:bCs/>
        </w:rPr>
      </w:pPr>
      <w:r w:rsidRPr="00831D7E">
        <w:t xml:space="preserve">29, 2021, the initial </w:t>
      </w:r>
      <w:r>
        <w:t>‘</w:t>
      </w:r>
      <w:r w:rsidRPr="00831D7E">
        <w:t>interrogation</w:t>
      </w:r>
      <w:r>
        <w:t>’</w:t>
      </w:r>
      <w:r w:rsidRPr="00831D7E">
        <w:t xml:space="preserve"> occurred</w:t>
      </w:r>
      <w:r>
        <w:t xml:space="preserve">…. </w:t>
      </w:r>
      <w:r w:rsidRPr="00831D7E">
        <w:t xml:space="preserve">Per </w:t>
      </w:r>
      <w:proofErr w:type="spellStart"/>
      <w:r w:rsidRPr="00831D7E">
        <w:t>Misjuns</w:t>
      </w:r>
      <w:proofErr w:type="spellEnd"/>
      <w:r w:rsidRPr="00831D7E">
        <w:t>’ account, Deputy Fire Chief Robert Lipscomb then began collecting</w:t>
      </w:r>
      <w:r>
        <w:t xml:space="preserve"> </w:t>
      </w:r>
      <w:r w:rsidRPr="00831D7E">
        <w:t xml:space="preserve">allegedly false reports accusing </w:t>
      </w:r>
      <w:proofErr w:type="spellStart"/>
      <w:r w:rsidRPr="00831D7E">
        <w:t>Misjuns</w:t>
      </w:r>
      <w:proofErr w:type="spellEnd"/>
      <w:r w:rsidRPr="00831D7E">
        <w:t xml:space="preserve"> of creating a hostile work environment</w:t>
      </w:r>
      <w:r>
        <w:t xml:space="preserve">…. </w:t>
      </w:r>
      <w:r w:rsidRPr="00831D7E">
        <w:t xml:space="preserve">On May 10, 2021, Wormser notified </w:t>
      </w:r>
      <w:proofErr w:type="spellStart"/>
      <w:r w:rsidRPr="00831D7E">
        <w:t>Misjuns</w:t>
      </w:r>
      <w:proofErr w:type="spellEnd"/>
      <w:r w:rsidRPr="00831D7E">
        <w:t xml:space="preserve"> of his decision to suspend </w:t>
      </w:r>
      <w:proofErr w:type="spellStart"/>
      <w:r w:rsidRPr="00831D7E">
        <w:t>Misjuns</w:t>
      </w:r>
      <w:proofErr w:type="spellEnd"/>
      <w:r>
        <w:t xml:space="preserve">…. </w:t>
      </w:r>
      <w:r w:rsidRPr="00831D7E">
        <w:t xml:space="preserve">On June 27, Lipscomb ordered </w:t>
      </w:r>
      <w:proofErr w:type="spellStart"/>
      <w:r w:rsidRPr="00831D7E">
        <w:t>Misjuns</w:t>
      </w:r>
      <w:proofErr w:type="spellEnd"/>
      <w:r w:rsidRPr="00831D7E">
        <w:t xml:space="preserve"> to attend a second </w:t>
      </w:r>
      <w:r>
        <w:t>‘</w:t>
      </w:r>
      <w:r w:rsidRPr="00831D7E">
        <w:t>interrogation,</w:t>
      </w:r>
      <w:r>
        <w:t xml:space="preserve">’ </w:t>
      </w:r>
      <w:r w:rsidRPr="00831D7E">
        <w:t>which</w:t>
      </w:r>
      <w:r>
        <w:t xml:space="preserve"> </w:t>
      </w:r>
      <w:r w:rsidRPr="00831D7E">
        <w:t>occurred on August 2</w:t>
      </w:r>
      <w:r>
        <w:t>….</w:t>
      </w:r>
      <w:r w:rsidRPr="00831D7E">
        <w:t xml:space="preserve">On October 18, 2021, Wormser notified </w:t>
      </w:r>
      <w:proofErr w:type="spellStart"/>
      <w:r w:rsidRPr="00831D7E">
        <w:t>Misjuns</w:t>
      </w:r>
      <w:proofErr w:type="spellEnd"/>
      <w:r w:rsidRPr="00831D7E">
        <w:t xml:space="preserve"> via letter that</w:t>
      </w:r>
      <w:r>
        <w:t xml:space="preserve"> </w:t>
      </w:r>
      <w:r w:rsidRPr="00831D7E">
        <w:t xml:space="preserve">he was terminated from employment. </w:t>
      </w:r>
    </w:p>
    <w:p w14:paraId="63E50A2C" w14:textId="77777777" w:rsidR="008C05B9" w:rsidRDefault="008C05B9" w:rsidP="008C05B9">
      <w:pPr>
        <w:pStyle w:val="NoSpacing"/>
        <w:ind w:left="720"/>
        <w:rPr>
          <w:bCs/>
        </w:rPr>
      </w:pPr>
    </w:p>
    <w:p w14:paraId="64C42A60" w14:textId="77777777" w:rsidR="008C05B9" w:rsidRDefault="008C05B9" w:rsidP="008C05B9">
      <w:pPr>
        <w:pStyle w:val="NoSpacing"/>
        <w:ind w:left="720"/>
        <w:rPr>
          <w:bCs/>
        </w:rPr>
      </w:pPr>
      <w:r>
        <w:t>***</w:t>
      </w:r>
    </w:p>
    <w:p w14:paraId="549A9065" w14:textId="77777777" w:rsidR="008C05B9" w:rsidRPr="00327189" w:rsidRDefault="008C05B9" w:rsidP="008C05B9">
      <w:pPr>
        <w:pStyle w:val="NoSpacing"/>
        <w:ind w:left="720"/>
        <w:rPr>
          <w:bCs/>
        </w:rPr>
      </w:pPr>
      <w:proofErr w:type="spellStart"/>
      <w:r w:rsidRPr="00327189">
        <w:t>Misjuns</w:t>
      </w:r>
      <w:proofErr w:type="spellEnd"/>
      <w:r w:rsidRPr="00327189">
        <w:t xml:space="preserve"> appealed his firing in accordance with the City’s grievance procedures,</w:t>
      </w:r>
    </w:p>
    <w:p w14:paraId="48A265A2" w14:textId="77777777" w:rsidR="008C05B9" w:rsidRPr="00327189" w:rsidRDefault="008C05B9" w:rsidP="008C05B9">
      <w:pPr>
        <w:pStyle w:val="NoSpacing"/>
        <w:ind w:left="720"/>
        <w:rPr>
          <w:bCs/>
        </w:rPr>
      </w:pPr>
      <w:r w:rsidRPr="00327189">
        <w:t>including appealing to the City’s Employee Appeal Board. J.A. 17. In March 2022, the</w:t>
      </w:r>
    </w:p>
    <w:p w14:paraId="1921C3C2" w14:textId="77777777" w:rsidR="008C05B9" w:rsidRDefault="008C05B9" w:rsidP="008C05B9">
      <w:pPr>
        <w:pStyle w:val="NoSpacing"/>
        <w:ind w:left="720"/>
        <w:rPr>
          <w:bCs/>
        </w:rPr>
      </w:pPr>
      <w:r w:rsidRPr="00327189">
        <w:t>Board upheld his firing.</w:t>
      </w:r>
      <w:r>
        <w:t>”</w:t>
      </w:r>
    </w:p>
    <w:p w14:paraId="3F5F9D07" w14:textId="77777777" w:rsidR="008C05B9" w:rsidRDefault="008C05B9" w:rsidP="008C05B9">
      <w:pPr>
        <w:pStyle w:val="NoSpacing"/>
        <w:ind w:left="720"/>
        <w:rPr>
          <w:bCs/>
        </w:rPr>
      </w:pPr>
    </w:p>
    <w:p w14:paraId="5217EE2F" w14:textId="77777777" w:rsidR="008C05B9" w:rsidRPr="00327189" w:rsidRDefault="008C05B9" w:rsidP="008C05B9">
      <w:pPr>
        <w:pStyle w:val="NoSpacing"/>
        <w:rPr>
          <w:b/>
        </w:rPr>
      </w:pPr>
      <w:r>
        <w:rPr>
          <w:b/>
        </w:rPr>
        <w:t>Legal lesson learned: Firefighters and other public employees must exercise extreme care in posting on social media that may offend residents.</w:t>
      </w:r>
    </w:p>
    <w:p w14:paraId="7B195657" w14:textId="77777777" w:rsidR="008C05B9" w:rsidRDefault="008C05B9" w:rsidP="008C05B9">
      <w:pPr>
        <w:pStyle w:val="NoSpacing"/>
      </w:pPr>
    </w:p>
    <w:p w14:paraId="16123C92" w14:textId="77777777" w:rsidR="008C05B9" w:rsidRDefault="008C05B9" w:rsidP="008C05B9">
      <w:pPr>
        <w:pStyle w:val="NoSpacing"/>
      </w:pPr>
    </w:p>
    <w:p w14:paraId="1F9753FC" w14:textId="77777777" w:rsidR="008C05B9" w:rsidRDefault="008C05B9" w:rsidP="00F326E5">
      <w:pPr>
        <w:pStyle w:val="NoSpacing"/>
        <w:rPr>
          <w:rFonts w:ascii="Arial Black" w:hAnsi="Arial Black"/>
          <w:b/>
          <w:sz w:val="24"/>
          <w:szCs w:val="24"/>
        </w:rPr>
      </w:pPr>
    </w:p>
    <w:p w14:paraId="0AE5CBD7" w14:textId="77777777" w:rsidR="009821C1" w:rsidRDefault="009821C1" w:rsidP="00F326E5">
      <w:pPr>
        <w:pStyle w:val="NoSpacing"/>
        <w:rPr>
          <w:rFonts w:ascii="Arial Black" w:hAnsi="Arial Black"/>
          <w:b/>
          <w:sz w:val="24"/>
          <w:szCs w:val="24"/>
        </w:rPr>
      </w:pPr>
    </w:p>
    <w:p w14:paraId="3958DB02" w14:textId="79279C17" w:rsidR="00C466BB" w:rsidRDefault="00C466BB" w:rsidP="00F326E5">
      <w:pPr>
        <w:pStyle w:val="NoSpacing"/>
        <w:rPr>
          <w:rFonts w:ascii="Arial Black" w:hAnsi="Arial Black"/>
          <w:b/>
          <w:sz w:val="24"/>
          <w:szCs w:val="24"/>
        </w:rPr>
      </w:pPr>
      <w:r>
        <w:rPr>
          <w:rFonts w:ascii="Arial Black" w:hAnsi="Arial Black"/>
          <w:b/>
          <w:sz w:val="24"/>
          <w:szCs w:val="24"/>
        </w:rPr>
        <w:t>16-132</w:t>
      </w:r>
    </w:p>
    <w:p w14:paraId="6F21E9E8" w14:textId="77777777" w:rsidR="00C466BB" w:rsidRDefault="00C466BB" w:rsidP="00F326E5">
      <w:pPr>
        <w:pStyle w:val="NoSpacing"/>
        <w:rPr>
          <w:rFonts w:ascii="Arial Black" w:hAnsi="Arial Black"/>
          <w:b/>
          <w:sz w:val="24"/>
          <w:szCs w:val="24"/>
        </w:rPr>
      </w:pPr>
    </w:p>
    <w:p w14:paraId="2DA93EF4" w14:textId="1DE46D19" w:rsidR="00331400" w:rsidRPr="00C34488" w:rsidRDefault="00331400" w:rsidP="00331400">
      <w:pPr>
        <w:pStyle w:val="NoSpacing"/>
        <w:rPr>
          <w:rFonts w:ascii="Arial Black" w:hAnsi="Arial Black"/>
          <w:sz w:val="28"/>
          <w:szCs w:val="28"/>
        </w:rPr>
      </w:pPr>
      <w:r w:rsidRPr="00C34488">
        <w:rPr>
          <w:rFonts w:ascii="Arial Black" w:hAnsi="Arial Black"/>
          <w:sz w:val="28"/>
          <w:szCs w:val="28"/>
        </w:rPr>
        <w:t>OH: FORMER CHIEF’S DEFAMATION CLAIM REINSTATED –</w:t>
      </w:r>
      <w:r w:rsidR="009B1B97">
        <w:rPr>
          <w:rFonts w:ascii="Arial Black" w:hAnsi="Arial Black"/>
          <w:sz w:val="28"/>
          <w:szCs w:val="28"/>
        </w:rPr>
        <w:t xml:space="preserve"> </w:t>
      </w:r>
      <w:r>
        <w:rPr>
          <w:rFonts w:ascii="Arial Black" w:hAnsi="Arial Black"/>
          <w:sz w:val="28"/>
          <w:szCs w:val="28"/>
        </w:rPr>
        <w:t xml:space="preserve">PUBLIC OFFICIALS – MUST PROVE “ACTUAL MALICE” </w:t>
      </w:r>
    </w:p>
    <w:p w14:paraId="50E0F2F4" w14:textId="77777777" w:rsidR="00331400" w:rsidRDefault="00331400" w:rsidP="00331400">
      <w:pPr>
        <w:pStyle w:val="NoSpacing"/>
      </w:pPr>
    </w:p>
    <w:p w14:paraId="60D54C16" w14:textId="77777777" w:rsidR="00331400" w:rsidRPr="009D0025" w:rsidRDefault="00331400" w:rsidP="00331400">
      <w:pPr>
        <w:pStyle w:val="NoSpacing"/>
        <w:rPr>
          <w:rFonts w:ascii="Times New Roman" w:hAnsi="Times New Roman"/>
          <w:sz w:val="24"/>
          <w:szCs w:val="24"/>
        </w:rPr>
      </w:pPr>
      <w:r w:rsidRPr="009D0025">
        <w:rPr>
          <w:rFonts w:ascii="Times New Roman" w:hAnsi="Times New Roman"/>
          <w:sz w:val="24"/>
          <w:szCs w:val="24"/>
        </w:rPr>
        <w:t xml:space="preserve">On Aug. 29, 2025, in </w:t>
      </w:r>
      <w:r w:rsidRPr="009D0025">
        <w:rPr>
          <w:rFonts w:ascii="Times New Roman" w:hAnsi="Times New Roman"/>
          <w:sz w:val="24"/>
          <w:szCs w:val="24"/>
          <w:u w:val="single"/>
        </w:rPr>
        <w:t>Kent D. Johnson v. City of Port Clinton</w:t>
      </w:r>
      <w:r w:rsidRPr="009D0025">
        <w:rPr>
          <w:rFonts w:ascii="Times New Roman" w:hAnsi="Times New Roman"/>
          <w:sz w:val="24"/>
          <w:szCs w:val="24"/>
        </w:rPr>
        <w:t>, the Court of Appeals of Ohio, Sixth District, Ottawa County, held (3 to 0) that trial judge improperly dismissed the defamation claim in his lawsuit; all his other claims were properly dismissed: Violation of Civil Service Statutes; Infliction of Emotional Distress; Violation of Rights under the Ohio Constitution; Wrongful Termination; and Retaliation.</w:t>
      </w:r>
    </w:p>
    <w:p w14:paraId="71D4D2D6" w14:textId="77777777" w:rsidR="00331400" w:rsidRPr="009D0025" w:rsidRDefault="00331400" w:rsidP="00331400">
      <w:pPr>
        <w:pStyle w:val="NoSpacing"/>
        <w:rPr>
          <w:rFonts w:ascii="Times New Roman" w:hAnsi="Times New Roman"/>
          <w:sz w:val="24"/>
          <w:szCs w:val="24"/>
        </w:rPr>
      </w:pPr>
    </w:p>
    <w:p w14:paraId="0CA95CB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“In sum, appellant alleged sufficient facts that, if proven, would satisfy all the elements of a claim for defamation. The trial court, therefore, erred when it granted [City’s] motion for judgment on the pleadings as to that claim…. [Trial Court judge’s] judgment dismissing appellant’s third claim for defamation is reversed, and the matter is remanded to the trial court for further proceedings on that claim only.” </w:t>
      </w:r>
      <w:hyperlink r:id="rId2660" w:history="1">
        <w:r w:rsidRPr="009D0025">
          <w:rPr>
            <w:rStyle w:val="Hyperlink"/>
            <w:rFonts w:ascii="Times New Roman" w:hAnsi="Times New Roman"/>
            <w:sz w:val="24"/>
            <w:szCs w:val="24"/>
          </w:rPr>
          <w:t>https://www.supremecourt.ohio.gov/rod/docs/pdf/6/2025/2025-Ohio-3100.pdf</w:t>
        </w:r>
      </w:hyperlink>
      <w:r w:rsidRPr="009D0025">
        <w:rPr>
          <w:rFonts w:ascii="Times New Roman" w:hAnsi="Times New Roman"/>
          <w:sz w:val="24"/>
          <w:szCs w:val="24"/>
        </w:rPr>
        <w:t xml:space="preserve"> </w:t>
      </w:r>
    </w:p>
    <w:p w14:paraId="5855E35E" w14:textId="77777777" w:rsidR="00331400" w:rsidRPr="009D0025" w:rsidRDefault="00331400" w:rsidP="00331400">
      <w:pPr>
        <w:pStyle w:val="NoSpacing"/>
        <w:rPr>
          <w:rFonts w:ascii="Times New Roman" w:hAnsi="Times New Roman"/>
          <w:sz w:val="24"/>
          <w:szCs w:val="24"/>
        </w:rPr>
      </w:pPr>
    </w:p>
    <w:p w14:paraId="72006AA8" w14:textId="77777777" w:rsidR="00331400" w:rsidRPr="009D0025" w:rsidRDefault="00331400" w:rsidP="00331400">
      <w:pPr>
        <w:pStyle w:val="NoSpacing"/>
        <w:rPr>
          <w:rFonts w:ascii="Times New Roman" w:hAnsi="Times New Roman"/>
          <w:sz w:val="24"/>
          <w:szCs w:val="24"/>
        </w:rPr>
      </w:pPr>
      <w:r w:rsidRPr="009D0025">
        <w:rPr>
          <w:rFonts w:ascii="Times New Roman" w:hAnsi="Times New Roman"/>
          <w:sz w:val="24"/>
          <w:szCs w:val="24"/>
        </w:rPr>
        <w:t>THREE KEY SUMMARIES:</w:t>
      </w:r>
    </w:p>
    <w:p w14:paraId="1508A33F" w14:textId="77777777" w:rsidR="00331400" w:rsidRPr="009D0025" w:rsidRDefault="00331400" w:rsidP="00331400">
      <w:pPr>
        <w:pStyle w:val="NoSpacing"/>
        <w:rPr>
          <w:rFonts w:ascii="Times New Roman" w:hAnsi="Times New Roman"/>
          <w:sz w:val="24"/>
          <w:szCs w:val="24"/>
        </w:rPr>
      </w:pPr>
    </w:p>
    <w:p w14:paraId="076B773D"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 xml:space="preserve">“On January 17, 2024,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removed him from his position…. Appellant has been employed by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as a fire fighter since 1992 and has served as Fire Chief since 2008.   </w:t>
      </w:r>
    </w:p>
    <w:p w14:paraId="40CA2059"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During that time, he has never been reprimanded or disciplined. On June 6, 2023, Dina Shenker, Law Director for the City, received a phone call from the attorney for Port Clinton EMS employee, Rebecca Huskey, alleging that appellant sexually harassed his client. Shenker and Tina Colston, Director of Safety and Service for the City, placed appellant on administrative leave that day, informing him that he was prohibited from being at the Port Clinton Fire Station and from having any contact with Huskey. They also informed him that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was referring the matter to Clemans Nelson Associates (‘Clemans’) for an investigation.”</w:t>
      </w:r>
    </w:p>
    <w:p w14:paraId="2547D139" w14:textId="77777777" w:rsidR="00331400" w:rsidRPr="009D0025" w:rsidRDefault="00331400" w:rsidP="00331400">
      <w:pPr>
        <w:pStyle w:val="NoSpacing"/>
        <w:ind w:left="720"/>
        <w:rPr>
          <w:rFonts w:ascii="Times New Roman" w:hAnsi="Times New Roman"/>
          <w:sz w:val="24"/>
          <w:szCs w:val="24"/>
        </w:rPr>
      </w:pPr>
    </w:p>
    <w:p w14:paraId="4F3237D8" w14:textId="77777777" w:rsidR="00331400" w:rsidRPr="009D0025" w:rsidRDefault="00331400" w:rsidP="00331400">
      <w:pPr>
        <w:pStyle w:val="NoSpacing"/>
        <w:ind w:left="720"/>
        <w:rPr>
          <w:rFonts w:ascii="Times New Roman" w:hAnsi="Times New Roman"/>
          <w:sz w:val="24"/>
          <w:szCs w:val="24"/>
        </w:rPr>
      </w:pPr>
    </w:p>
    <w:p w14:paraId="549545E4"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 xml:space="preserve">“Clemans submitted its report on December 15, 2023. That same day, Colston and the mayor of the city, Michael Snider, served appellant with a ‘Notice of </w:t>
      </w:r>
      <w:proofErr w:type="spellStart"/>
      <w:r w:rsidRPr="009D0025">
        <w:rPr>
          <w:rFonts w:ascii="Times New Roman" w:hAnsi="Times New Roman"/>
          <w:sz w:val="24"/>
          <w:szCs w:val="24"/>
        </w:rPr>
        <w:t>Predisciplinary</w:t>
      </w:r>
      <w:proofErr w:type="spellEnd"/>
      <w:r w:rsidRPr="009D0025">
        <w:rPr>
          <w:rFonts w:ascii="Times New Roman" w:hAnsi="Times New Roman"/>
          <w:sz w:val="24"/>
          <w:szCs w:val="24"/>
        </w:rPr>
        <w:t xml:space="preserve"> Conference” to be held on December 21, 2023, regarding three charges. Two of the charges pertained to payroll matters concerning Huskey. The third referenced</w:t>
      </w:r>
    </w:p>
    <w:p w14:paraId="7DA70F4B"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Huskey’s sexual harassment claim. Each of the charges was listed as ‘Group III</w:t>
      </w:r>
    </w:p>
    <w:p w14:paraId="0D02BDCA"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Offenses’ and warned that a violation would be subject to ‘discipline for cause up to and</w:t>
      </w:r>
    </w:p>
    <w:p w14:paraId="3D37A681"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including termination of employment.’ The hearing was rescheduled to January 9, 2024,</w:t>
      </w:r>
    </w:p>
    <w:p w14:paraId="1AFB7E9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upon appellant’s request. *** The </w:t>
      </w:r>
      <w:proofErr w:type="spellStart"/>
      <w:r w:rsidRPr="009D0025">
        <w:rPr>
          <w:rFonts w:ascii="Times New Roman" w:hAnsi="Times New Roman"/>
          <w:sz w:val="24"/>
          <w:szCs w:val="24"/>
        </w:rPr>
        <w:t>predisciplinary</w:t>
      </w:r>
      <w:proofErr w:type="spellEnd"/>
      <w:r w:rsidRPr="009D0025">
        <w:rPr>
          <w:rFonts w:ascii="Times New Roman" w:hAnsi="Times New Roman"/>
          <w:sz w:val="24"/>
          <w:szCs w:val="24"/>
        </w:rPr>
        <w:t xml:space="preserve"> conference occurred as scheduled on January 9, 2024. Colston served as the hearing officer. *** Colston failed to</w:t>
      </w:r>
    </w:p>
    <w:p w14:paraId="3D33B3D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prepare a written report with findings of fact and failed to provide it to appellant in a</w:t>
      </w:r>
    </w:p>
    <w:p w14:paraId="0386B179"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timely manner.”</w:t>
      </w:r>
    </w:p>
    <w:p w14:paraId="6153202F" w14:textId="77777777" w:rsidR="00331400" w:rsidRPr="009D0025" w:rsidRDefault="00331400" w:rsidP="00331400">
      <w:pPr>
        <w:pStyle w:val="NoSpacing"/>
        <w:ind w:left="720"/>
        <w:rPr>
          <w:rFonts w:ascii="Times New Roman" w:hAnsi="Times New Roman"/>
          <w:sz w:val="24"/>
          <w:szCs w:val="24"/>
        </w:rPr>
      </w:pPr>
    </w:p>
    <w:p w14:paraId="4D0691E0"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“Here, appellant argues that the complaint alleges that appellees defamed</w:t>
      </w:r>
    </w:p>
    <w:p w14:paraId="1017204F"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him when it </w:t>
      </w:r>
      <w:proofErr w:type="gramStart"/>
      <w:r w:rsidRPr="009D0025">
        <w:rPr>
          <w:rFonts w:ascii="Times New Roman" w:hAnsi="Times New Roman"/>
          <w:sz w:val="24"/>
          <w:szCs w:val="24"/>
        </w:rPr>
        <w:t>published</w:t>
      </w:r>
      <w:proofErr w:type="gramEnd"/>
      <w:r w:rsidRPr="009D0025">
        <w:rPr>
          <w:rFonts w:ascii="Times New Roman" w:hAnsi="Times New Roman"/>
          <w:sz w:val="24"/>
          <w:szCs w:val="24"/>
        </w:rPr>
        <w:t xml:space="preserve"> to news media, other City employees, and members of the fire</w:t>
      </w:r>
    </w:p>
    <w:p w14:paraId="623F39AF"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department the Order of Removal that charged him with intentionally overpaying</w:t>
      </w:r>
    </w:p>
    <w:p w14:paraId="2E94D740"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Huskey. *** The parties agree that appellant is a public figure, and thus he must prove that </w:t>
      </w:r>
      <w:proofErr w:type="gramStart"/>
      <w:r w:rsidRPr="009D0025">
        <w:rPr>
          <w:rFonts w:ascii="Times New Roman" w:hAnsi="Times New Roman"/>
          <w:sz w:val="24"/>
          <w:szCs w:val="24"/>
        </w:rPr>
        <w:t>appellees</w:t>
      </w:r>
      <w:proofErr w:type="gramEnd"/>
      <w:r w:rsidRPr="009D0025">
        <w:rPr>
          <w:rFonts w:ascii="Times New Roman" w:hAnsi="Times New Roman"/>
          <w:sz w:val="24"/>
          <w:szCs w:val="24"/>
        </w:rPr>
        <w:t xml:space="preserve"> acted with actual malice. Scott v. News-Herald, 25 Ohio St.3d 243, 248 (1986). ‘Actual malice’ means that the statement was published “with knowledge that it was false or with reckless disregard of whether it was false or not.’ Id., quoting New York Times Co. v. Sullivan, 376 U.S. 254, 279-280 (1964). In this case, contrary to </w:t>
      </w:r>
      <w:proofErr w:type="gramStart"/>
      <w:r w:rsidRPr="009D0025">
        <w:rPr>
          <w:rFonts w:ascii="Times New Roman" w:hAnsi="Times New Roman"/>
          <w:sz w:val="24"/>
          <w:szCs w:val="24"/>
        </w:rPr>
        <w:t>appellees’</w:t>
      </w:r>
      <w:proofErr w:type="gramEnd"/>
      <w:r w:rsidRPr="009D0025">
        <w:rPr>
          <w:rFonts w:ascii="Times New Roman" w:hAnsi="Times New Roman"/>
          <w:sz w:val="24"/>
          <w:szCs w:val="24"/>
        </w:rPr>
        <w:t xml:space="preserve"> argument, paragraph 58 of the complaint directly alleges that the claims were made ‘intentionally, recklessly, with actual knowledge of their falsity and with actual malice.’ *** In sum, under the notice pleading standards, the complaint alleges that</w:t>
      </w:r>
    </w:p>
    <w:p w14:paraId="1F128293"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appellees made a false statement that appellant committed a crime of dishonesty or moral</w:t>
      </w:r>
    </w:p>
    <w:p w14:paraId="2428107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turpitude constituting defamation per se, the statement was published to news media</w:t>
      </w:r>
    </w:p>
    <w:p w14:paraId="300BFDD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outlets and City employees, and it was made with actual malice. Therefore, we hold that</w:t>
      </w:r>
    </w:p>
    <w:p w14:paraId="5715264C" w14:textId="77777777" w:rsidR="00331400" w:rsidRPr="009D0025" w:rsidRDefault="00331400" w:rsidP="00331400">
      <w:pPr>
        <w:pStyle w:val="NoSpacing"/>
        <w:ind w:left="720"/>
        <w:rPr>
          <w:rFonts w:ascii="Times New Roman" w:hAnsi="Times New Roman"/>
          <w:sz w:val="24"/>
          <w:szCs w:val="24"/>
        </w:rPr>
      </w:pPr>
      <w:proofErr w:type="gramStart"/>
      <w:r w:rsidRPr="009D0025">
        <w:rPr>
          <w:rFonts w:ascii="Times New Roman" w:hAnsi="Times New Roman"/>
          <w:sz w:val="24"/>
          <w:szCs w:val="24"/>
        </w:rPr>
        <w:t>the</w:t>
      </w:r>
      <w:proofErr w:type="gramEnd"/>
      <w:r w:rsidRPr="009D0025">
        <w:rPr>
          <w:rFonts w:ascii="Times New Roman" w:hAnsi="Times New Roman"/>
          <w:sz w:val="24"/>
          <w:szCs w:val="24"/>
        </w:rPr>
        <w:t xml:space="preserve"> complaint alleges all the elements for a defamation action, and the trial court erred in</w:t>
      </w:r>
    </w:p>
    <w:p w14:paraId="616B169C"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granting appellees’ motion for judgment on the pleadings.”</w:t>
      </w:r>
    </w:p>
    <w:p w14:paraId="644F592E" w14:textId="77777777" w:rsidR="00331400" w:rsidRPr="009D0025" w:rsidRDefault="00331400" w:rsidP="00331400">
      <w:pPr>
        <w:pStyle w:val="NoSpacing"/>
        <w:ind w:left="720"/>
        <w:rPr>
          <w:rFonts w:ascii="Times New Roman" w:hAnsi="Times New Roman"/>
          <w:sz w:val="24"/>
          <w:szCs w:val="24"/>
        </w:rPr>
      </w:pPr>
    </w:p>
    <w:p w14:paraId="531D12E0" w14:textId="77777777" w:rsidR="00331400" w:rsidRPr="009D0025" w:rsidRDefault="00331400" w:rsidP="00331400">
      <w:pPr>
        <w:pStyle w:val="NoSpacing"/>
        <w:rPr>
          <w:rFonts w:ascii="Times New Roman" w:hAnsi="Times New Roman"/>
          <w:color w:val="C00000"/>
          <w:sz w:val="24"/>
          <w:szCs w:val="24"/>
        </w:rPr>
      </w:pPr>
      <w:r w:rsidRPr="009D0025">
        <w:rPr>
          <w:rFonts w:ascii="Times New Roman" w:hAnsi="Times New Roman"/>
          <w:b/>
          <w:sz w:val="24"/>
          <w:szCs w:val="24"/>
        </w:rPr>
        <w:t xml:space="preserve">Legal lesson learned: Former Fire Chief is a public official; he has an uphill task proving “actual malice” under New York Times v. Sullivan. </w:t>
      </w:r>
      <w:hyperlink r:id="rId2661" w:history="1">
        <w:r w:rsidRPr="009D0025">
          <w:rPr>
            <w:rStyle w:val="Hyperlink"/>
            <w:rFonts w:ascii="Times New Roman" w:hAnsi="Times New Roman"/>
            <w:b/>
            <w:sz w:val="24"/>
            <w:szCs w:val="24"/>
          </w:rPr>
          <w:t>https://supreme.justia.com/cases/federal/us/376/254/</w:t>
        </w:r>
      </w:hyperlink>
      <w:r w:rsidRPr="009D0025">
        <w:rPr>
          <w:rFonts w:ascii="Times New Roman" w:hAnsi="Times New Roman"/>
          <w:b/>
          <w:sz w:val="24"/>
          <w:szCs w:val="24"/>
        </w:rPr>
        <w:t xml:space="preserve"> </w:t>
      </w:r>
    </w:p>
    <w:p w14:paraId="1D69FB10" w14:textId="77777777" w:rsidR="00331400" w:rsidRPr="009D0025" w:rsidRDefault="00331400" w:rsidP="00331400">
      <w:pPr>
        <w:pStyle w:val="NoSpacing"/>
        <w:rPr>
          <w:rFonts w:ascii="Times New Roman" w:hAnsi="Times New Roman"/>
          <w:color w:val="C00000"/>
          <w:sz w:val="24"/>
          <w:szCs w:val="24"/>
        </w:rPr>
      </w:pPr>
    </w:p>
    <w:p w14:paraId="05D1469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Note: See July 11, </w:t>
      </w:r>
      <w:proofErr w:type="gramStart"/>
      <w:r w:rsidRPr="009D0025">
        <w:rPr>
          <w:rFonts w:ascii="Times New Roman" w:hAnsi="Times New Roman"/>
          <w:sz w:val="24"/>
          <w:szCs w:val="24"/>
        </w:rPr>
        <w:t>2025</w:t>
      </w:r>
      <w:proofErr w:type="gramEnd"/>
      <w:r w:rsidRPr="009D0025">
        <w:rPr>
          <w:rFonts w:ascii="Times New Roman" w:hAnsi="Times New Roman"/>
          <w:sz w:val="24"/>
          <w:szCs w:val="24"/>
        </w:rPr>
        <w:t xml:space="preserve"> article, “Judge sentences former Port Clinton fire chief in sexual harassment case.” </w:t>
      </w:r>
    </w:p>
    <w:p w14:paraId="488CF387" w14:textId="77777777" w:rsidR="00331400" w:rsidRPr="009D0025" w:rsidRDefault="00331400" w:rsidP="00331400">
      <w:pPr>
        <w:pStyle w:val="NoSpacing"/>
        <w:ind w:left="720"/>
        <w:rPr>
          <w:rFonts w:ascii="Times New Roman" w:hAnsi="Times New Roman"/>
          <w:sz w:val="24"/>
          <w:szCs w:val="24"/>
        </w:rPr>
      </w:pPr>
      <w:hyperlink r:id="rId2662" w:history="1">
        <w:r w:rsidRPr="009D0025">
          <w:rPr>
            <w:rStyle w:val="Hyperlink"/>
            <w:rFonts w:ascii="Times New Roman" w:hAnsi="Times New Roman"/>
            <w:sz w:val="24"/>
            <w:szCs w:val="24"/>
          </w:rPr>
          <w:t>https://www.wtol.com/article/news/crime/port-clinton-fire-chief-kent-johnson-sentenced-to-jail-for-sexual-harassment-case/512-0facde5b-63e1-457e-9908-521ed4a422af</w:t>
        </w:r>
      </w:hyperlink>
      <w:r w:rsidRPr="009D0025">
        <w:rPr>
          <w:rFonts w:ascii="Times New Roman" w:hAnsi="Times New Roman"/>
          <w:sz w:val="24"/>
          <w:szCs w:val="24"/>
        </w:rPr>
        <w:t xml:space="preserve"> </w:t>
      </w:r>
    </w:p>
    <w:p w14:paraId="62676D7D" w14:textId="77777777" w:rsidR="00331400" w:rsidRPr="009D0025" w:rsidRDefault="00331400" w:rsidP="00331400">
      <w:pPr>
        <w:pStyle w:val="NoSpacing"/>
        <w:rPr>
          <w:rFonts w:ascii="Times New Roman" w:hAnsi="Times New Roman"/>
          <w:sz w:val="24"/>
          <w:szCs w:val="24"/>
        </w:rPr>
      </w:pPr>
    </w:p>
    <w:p w14:paraId="34E04062" w14:textId="77777777" w:rsidR="00331400" w:rsidRPr="009D0025" w:rsidRDefault="00331400" w:rsidP="00331400">
      <w:pPr>
        <w:pStyle w:val="NoSpacing"/>
        <w:rPr>
          <w:rFonts w:ascii="Times New Roman" w:hAnsi="Times New Roman"/>
          <w:color w:val="C00000"/>
          <w:sz w:val="24"/>
          <w:szCs w:val="24"/>
        </w:rPr>
      </w:pPr>
    </w:p>
    <w:p w14:paraId="1A12BFA1" w14:textId="77777777" w:rsidR="00331400" w:rsidRPr="009D0025" w:rsidRDefault="00331400" w:rsidP="00331400">
      <w:pPr>
        <w:pStyle w:val="NoSpacing"/>
        <w:jc w:val="center"/>
        <w:rPr>
          <w:rFonts w:ascii="Times New Roman" w:hAnsi="Times New Roman"/>
          <w:color w:val="C00000"/>
          <w:sz w:val="24"/>
          <w:szCs w:val="24"/>
        </w:rPr>
      </w:pPr>
    </w:p>
    <w:p w14:paraId="318C70E1" w14:textId="77777777" w:rsidR="00C466BB" w:rsidRPr="009D0025" w:rsidRDefault="00C466BB" w:rsidP="00F326E5">
      <w:pPr>
        <w:pStyle w:val="NoSpacing"/>
        <w:rPr>
          <w:rFonts w:ascii="Times New Roman" w:hAnsi="Times New Roman"/>
          <w:b/>
          <w:sz w:val="24"/>
          <w:szCs w:val="24"/>
        </w:rPr>
      </w:pPr>
    </w:p>
    <w:p w14:paraId="689006E1" w14:textId="77777777" w:rsidR="00C466BB" w:rsidRPr="009D0025" w:rsidRDefault="00C466BB" w:rsidP="00F326E5">
      <w:pPr>
        <w:pStyle w:val="NoSpacing"/>
        <w:rPr>
          <w:rFonts w:ascii="Times New Roman" w:hAnsi="Times New Roman"/>
          <w:b/>
          <w:sz w:val="24"/>
          <w:szCs w:val="24"/>
        </w:rPr>
      </w:pPr>
    </w:p>
    <w:p w14:paraId="4FA2B992" w14:textId="77777777" w:rsidR="00C466BB" w:rsidRPr="009D0025" w:rsidRDefault="00C466BB" w:rsidP="00F326E5">
      <w:pPr>
        <w:pStyle w:val="NoSpacing"/>
        <w:rPr>
          <w:rFonts w:ascii="Times New Roman" w:hAnsi="Times New Roman"/>
          <w:b/>
          <w:sz w:val="24"/>
          <w:szCs w:val="24"/>
        </w:rPr>
      </w:pPr>
    </w:p>
    <w:p w14:paraId="75522B3B" w14:textId="7864D740" w:rsidR="00524648" w:rsidRPr="009D0025" w:rsidRDefault="00524648" w:rsidP="00F326E5">
      <w:pPr>
        <w:pStyle w:val="NoSpacing"/>
        <w:rPr>
          <w:rFonts w:ascii="Times New Roman" w:hAnsi="Times New Roman"/>
          <w:b/>
          <w:sz w:val="24"/>
          <w:szCs w:val="24"/>
        </w:rPr>
      </w:pPr>
      <w:r w:rsidRPr="009D0025">
        <w:rPr>
          <w:rFonts w:ascii="Times New Roman" w:hAnsi="Times New Roman"/>
          <w:b/>
          <w:sz w:val="24"/>
          <w:szCs w:val="24"/>
        </w:rPr>
        <w:t>16-131</w:t>
      </w:r>
    </w:p>
    <w:p w14:paraId="422897A9" w14:textId="77777777" w:rsidR="00524648" w:rsidRDefault="00524648" w:rsidP="00F326E5">
      <w:pPr>
        <w:pStyle w:val="NoSpacing"/>
        <w:rPr>
          <w:rFonts w:ascii="Arial Black" w:hAnsi="Arial Black"/>
          <w:b/>
          <w:sz w:val="24"/>
          <w:szCs w:val="24"/>
        </w:rPr>
      </w:pPr>
    </w:p>
    <w:p w14:paraId="23E72A14" w14:textId="77777777" w:rsidR="00524648" w:rsidRPr="002D352D" w:rsidRDefault="00524648" w:rsidP="00524648">
      <w:pPr>
        <w:pStyle w:val="NoSpacing"/>
        <w:rPr>
          <w:rFonts w:ascii="Arial Black" w:hAnsi="Arial Black"/>
          <w:b/>
          <w:sz w:val="28"/>
          <w:szCs w:val="28"/>
        </w:rPr>
      </w:pPr>
      <w:r w:rsidRPr="00C34488">
        <w:rPr>
          <w:rFonts w:ascii="Arial Black" w:hAnsi="Arial Black"/>
          <w:b/>
          <w:sz w:val="28"/>
          <w:szCs w:val="28"/>
        </w:rPr>
        <w:t xml:space="preserve">OH: FORMER CINCINNATI FIRE </w:t>
      </w:r>
      <w:r w:rsidRPr="00C34488">
        <w:rPr>
          <w:rFonts w:ascii="Arial Black" w:hAnsi="Arial Black"/>
          <w:sz w:val="28"/>
          <w:szCs w:val="28"/>
        </w:rPr>
        <w:t>CHIEF - NO PRIOR NOTICE O</w:t>
      </w:r>
      <w:r w:rsidRPr="00C34488">
        <w:rPr>
          <w:rFonts w:ascii="Arial Black" w:hAnsi="Arial Black"/>
          <w:b/>
          <w:sz w:val="28"/>
          <w:szCs w:val="28"/>
        </w:rPr>
        <w:t>F CHARGES / NO PRE-TERMINATION HEARING</w:t>
      </w:r>
    </w:p>
    <w:p w14:paraId="7645F603" w14:textId="77777777" w:rsidR="00524648" w:rsidRPr="00C34488" w:rsidRDefault="00524648" w:rsidP="00524648">
      <w:pPr>
        <w:pStyle w:val="NoSpacing"/>
        <w:rPr>
          <w:rFonts w:ascii="Arial Black" w:hAnsi="Arial Black"/>
          <w:b/>
        </w:rPr>
      </w:pPr>
    </w:p>
    <w:p w14:paraId="74FBCC7E" w14:textId="77777777" w:rsidR="00524648" w:rsidRPr="00C34488" w:rsidRDefault="00524648" w:rsidP="00524648">
      <w:pPr>
        <w:pStyle w:val="NoSpacing"/>
      </w:pPr>
      <w:r w:rsidRPr="00C34488">
        <w:t xml:space="preserve">On Aug. 26, 2025, in </w:t>
      </w:r>
      <w:r w:rsidRPr="00C34488">
        <w:rPr>
          <w:u w:val="single"/>
        </w:rPr>
        <w:t>Michael J. Washington v. City of Cincinnati, et al</w:t>
      </w:r>
      <w:r w:rsidRPr="00C34488">
        <w:t>.,</w:t>
      </w:r>
      <w:r w:rsidRPr="00C34488">
        <w:rPr>
          <w:b/>
        </w:rPr>
        <w:t xml:space="preserve"> </w:t>
      </w:r>
      <w:r w:rsidRPr="00C34488">
        <w:t>Stephanie K. Bowman, United States Chief Magistrate Judge</w:t>
      </w:r>
      <w:r>
        <w:t xml:space="preserve"> Stephanie K. Bowman</w:t>
      </w:r>
      <w:r w:rsidRPr="00C34488">
        <w:t xml:space="preserve">, United States District Court for Southern District of Ohio, held that his lawsuit may proceed to trial [scheduled for September 29, 2025]. </w:t>
      </w:r>
    </w:p>
    <w:p w14:paraId="7AE10444" w14:textId="77777777" w:rsidR="00524648" w:rsidRDefault="00524648" w:rsidP="00524648">
      <w:pPr>
        <w:pStyle w:val="NoSpacing"/>
      </w:pPr>
    </w:p>
    <w:p w14:paraId="256DA6B5" w14:textId="77777777" w:rsidR="00524648" w:rsidRPr="00C34488" w:rsidRDefault="00524648" w:rsidP="00524648">
      <w:pPr>
        <w:pStyle w:val="NoSpacing"/>
        <w:ind w:left="720"/>
      </w:pPr>
      <w:r w:rsidRPr="00C34488">
        <w:t xml:space="preserve">“Defendants Long [City Manager Sheryl Long] and the </w:t>
      </w:r>
      <w:proofErr w:type="gramStart"/>
      <w:r w:rsidRPr="00C34488">
        <w:t>City</w:t>
      </w:r>
      <w:proofErr w:type="gramEnd"/>
      <w:r w:rsidRPr="00C34488">
        <w:t xml:space="preserve"> failed to provide Washington with adequate pretermination procedural due process when they terminated him on March 24, 2023, in violation of the Due Process Clause of the Fourteenth</w:t>
      </w:r>
    </w:p>
    <w:p w14:paraId="7AA126EC" w14:textId="77777777" w:rsidR="00524648" w:rsidRDefault="00524648" w:rsidP="00524648">
      <w:pPr>
        <w:pStyle w:val="NoSpacing"/>
        <w:ind w:left="720"/>
      </w:pPr>
      <w:r w:rsidRPr="00C34488">
        <w:t xml:space="preserve">Amendment.  *** </w:t>
      </w:r>
      <w:r>
        <w:t>No one disputes that the Charter language gave City Manager Long the authority to fire Plaintiff, albeit ‘only for cause’ given his length of service. But even the Charter language confirms that a pretermination hearing before the City Manager was required. *** Thus, before executing her authority to terminate Washington, Long</w:t>
      </w:r>
    </w:p>
    <w:p w14:paraId="135F1C48" w14:textId="77777777" w:rsidR="00524648" w:rsidRDefault="00524648" w:rsidP="00524648">
      <w:pPr>
        <w:pStyle w:val="NoSpacing"/>
        <w:ind w:left="720"/>
      </w:pPr>
      <w:r>
        <w:t>was required to provide him with advance oral or written notice of the charges against</w:t>
      </w:r>
    </w:p>
    <w:p w14:paraId="42CCA30A" w14:textId="77777777" w:rsidR="00524648" w:rsidRDefault="00524648" w:rsidP="00524648">
      <w:pPr>
        <w:pStyle w:val="NoSpacing"/>
        <w:ind w:left="720"/>
      </w:pPr>
      <w:r>
        <w:t>him, an explanation of her evidence, and a hearing at which Plaintiff had a reasonable</w:t>
      </w:r>
    </w:p>
    <w:p w14:paraId="3F9788E8" w14:textId="77777777" w:rsidR="00524648" w:rsidRDefault="00524648" w:rsidP="00524648">
      <w:pPr>
        <w:pStyle w:val="NoSpacing"/>
        <w:ind w:left="720"/>
      </w:pPr>
      <w:r>
        <w:t xml:space="preserve">opportunity to respond. *** </w:t>
      </w:r>
      <w:r w:rsidRPr="00C34488">
        <w:t>These remaining issues shall proceed to trial: (a) the adequacy of the post-termination process and whether Plaintiff waived his post-termination hearing;</w:t>
      </w:r>
      <w:r>
        <w:t xml:space="preserve"> </w:t>
      </w:r>
      <w:r w:rsidRPr="00C34488">
        <w:t>(b) whether Defendants had cause to terminate Plaintiff; (c) whether Defendant</w:t>
      </w:r>
      <w:r>
        <w:t xml:space="preserve"> </w:t>
      </w:r>
      <w:r w:rsidRPr="00C34488">
        <w:t xml:space="preserve">Long defamed Plaintiff; and (d) what damages, if any, Plaintiff may recover.”  </w:t>
      </w:r>
    </w:p>
    <w:p w14:paraId="336BF0B1" w14:textId="77777777" w:rsidR="00524648" w:rsidRPr="00C34488" w:rsidRDefault="00524648" w:rsidP="00524648">
      <w:pPr>
        <w:pStyle w:val="NoSpacing"/>
        <w:ind w:left="720"/>
      </w:pPr>
      <w:hyperlink r:id="rId2663" w:history="1">
        <w:r w:rsidRPr="00C34488">
          <w:rPr>
            <w:rStyle w:val="Hyperlink"/>
          </w:rPr>
          <w:t>https://cases.justia.com/federal/district-courts/ohio/ohsdce/1:2023cv00230/279336/47/0.pdf?ts=1756299215</w:t>
        </w:r>
      </w:hyperlink>
      <w:r w:rsidRPr="00C34488">
        <w:t xml:space="preserve"> </w:t>
      </w:r>
    </w:p>
    <w:p w14:paraId="4EFD89EC" w14:textId="77777777" w:rsidR="00524648" w:rsidRPr="00C34488" w:rsidRDefault="00524648" w:rsidP="00524648">
      <w:pPr>
        <w:pStyle w:val="NoSpacing"/>
      </w:pPr>
    </w:p>
    <w:p w14:paraId="6FA0F17B" w14:textId="77777777" w:rsidR="00524648" w:rsidRPr="00C34488" w:rsidRDefault="00524648" w:rsidP="00524648">
      <w:pPr>
        <w:pStyle w:val="NoSpacing"/>
        <w:rPr>
          <w:rFonts w:ascii="Arial Black" w:hAnsi="Arial Black"/>
        </w:rPr>
      </w:pPr>
    </w:p>
    <w:p w14:paraId="0C5CF838" w14:textId="77777777" w:rsidR="00524648" w:rsidRPr="00C34488" w:rsidRDefault="00524648" w:rsidP="00524648">
      <w:pPr>
        <w:pStyle w:val="NoSpacing"/>
      </w:pPr>
      <w:r w:rsidRPr="00C34488">
        <w:t xml:space="preserve">THREE KEY </w:t>
      </w:r>
      <w:r>
        <w:t>SUMMARIES:</w:t>
      </w:r>
    </w:p>
    <w:p w14:paraId="65AB2B9F" w14:textId="77777777" w:rsidR="00524648" w:rsidRPr="00C34488" w:rsidRDefault="00524648" w:rsidP="00524648">
      <w:pPr>
        <w:pStyle w:val="NoSpacing"/>
        <w:rPr>
          <w:rFonts w:ascii="Arial Black" w:hAnsi="Arial Black"/>
        </w:rPr>
      </w:pPr>
    </w:p>
    <w:p w14:paraId="72B56433" w14:textId="77777777" w:rsidR="00524648" w:rsidRPr="00C34488" w:rsidRDefault="00524648" w:rsidP="00524648">
      <w:pPr>
        <w:pStyle w:val="NoSpacing"/>
        <w:numPr>
          <w:ilvl w:val="0"/>
          <w:numId w:val="28"/>
        </w:numPr>
      </w:pPr>
      <w:r w:rsidRPr="00C34488">
        <w:t>“Plaintiff’s thirty-year career came to an abrupt close on March 24, 2023, when he</w:t>
      </w:r>
    </w:p>
    <w:p w14:paraId="33D1F8E1" w14:textId="77777777" w:rsidR="00524648" w:rsidRPr="00C34488" w:rsidRDefault="00524648" w:rsidP="00524648">
      <w:pPr>
        <w:pStyle w:val="NoSpacing"/>
        <w:ind w:firstLine="720"/>
      </w:pPr>
      <w:r w:rsidRPr="00C34488">
        <w:t>was summoned to a meeting at City Hall. City Manager Sheryl Long and two Human</w:t>
      </w:r>
    </w:p>
    <w:p w14:paraId="1945AF6D" w14:textId="77777777" w:rsidR="00524648" w:rsidRPr="00C34488" w:rsidRDefault="00524648" w:rsidP="00524648">
      <w:pPr>
        <w:pStyle w:val="NoSpacing"/>
        <w:ind w:firstLine="720"/>
      </w:pPr>
      <w:r w:rsidRPr="00C34488">
        <w:t>Resources representatives attended the meeting. Once Washington arrived, Long told</w:t>
      </w:r>
    </w:p>
    <w:p w14:paraId="21679A5A" w14:textId="77777777" w:rsidR="00524648" w:rsidRPr="00C34488" w:rsidRDefault="00524648" w:rsidP="00524648">
      <w:pPr>
        <w:pStyle w:val="NoSpacing"/>
        <w:ind w:firstLine="720"/>
      </w:pPr>
      <w:r w:rsidRPr="00C34488">
        <w:t>Washington that he was being terminated, effective immediately, and handed him a</w:t>
      </w:r>
    </w:p>
    <w:p w14:paraId="1E99398D" w14:textId="77777777" w:rsidR="00524648" w:rsidRPr="00C34488" w:rsidRDefault="00524648" w:rsidP="00524648">
      <w:pPr>
        <w:pStyle w:val="NoSpacing"/>
        <w:ind w:firstLine="720"/>
      </w:pPr>
      <w:r w:rsidRPr="00C34488">
        <w:t>termination letter. The termination letter accused Plaintiff of various leadership and</w:t>
      </w:r>
    </w:p>
    <w:p w14:paraId="77419B4E" w14:textId="77777777" w:rsidR="00524648" w:rsidRPr="00C34488" w:rsidRDefault="00524648" w:rsidP="00524648">
      <w:pPr>
        <w:pStyle w:val="NoSpacing"/>
        <w:ind w:firstLine="720"/>
      </w:pPr>
      <w:r w:rsidRPr="00C34488">
        <w:t>conduct failures, including: (1) poor workplace culture; (2) absence from a high-rise fire;</w:t>
      </w:r>
    </w:p>
    <w:p w14:paraId="2AEFEB4F" w14:textId="77777777" w:rsidR="00524648" w:rsidRPr="00C34488" w:rsidRDefault="00524648" w:rsidP="00524648">
      <w:pPr>
        <w:pStyle w:val="NoSpacing"/>
        <w:ind w:firstLine="720"/>
      </w:pPr>
      <w:r w:rsidRPr="00C34488">
        <w:t>(3) mishandling of personnel matters regarding a lieutenant charged with assault; (4)</w:t>
      </w:r>
    </w:p>
    <w:p w14:paraId="512305CC" w14:textId="77777777" w:rsidR="00524648" w:rsidRPr="00C34488" w:rsidRDefault="00524648" w:rsidP="00524648">
      <w:pPr>
        <w:pStyle w:val="NoSpacing"/>
        <w:ind w:firstLine="720"/>
      </w:pPr>
      <w:r w:rsidRPr="00C34488">
        <w:t>ineffective management of the acquisition of a training facility; and (5) ineffective</w:t>
      </w:r>
    </w:p>
    <w:p w14:paraId="47A2439E" w14:textId="77777777" w:rsidR="00524648" w:rsidRPr="00C34488" w:rsidRDefault="00524648" w:rsidP="00524648">
      <w:pPr>
        <w:pStyle w:val="NoSpacing"/>
        <w:ind w:left="720"/>
      </w:pPr>
      <w:r w:rsidRPr="00C34488">
        <w:t xml:space="preserve">communication with Long and others…. When she left the meeting, </w:t>
      </w:r>
      <w:proofErr w:type="gramStart"/>
      <w:r w:rsidRPr="00C34488">
        <w:t>Long</w:t>
      </w:r>
      <w:proofErr w:type="gramEnd"/>
      <w:r w:rsidRPr="00C34488">
        <w:t xml:space="preserve"> notified the </w:t>
      </w:r>
      <w:proofErr w:type="gramStart"/>
      <w:r w:rsidRPr="00C34488">
        <w:t>Mayor</w:t>
      </w:r>
      <w:proofErr w:type="gramEnd"/>
      <w:r w:rsidRPr="00C34488">
        <w:t xml:space="preserve"> and members of City Council that Plaintiff had been terminated for cause…. In a Memorandum entitled “For Your Information,” Long listed her reasons for terminating</w:t>
      </w:r>
    </w:p>
    <w:p w14:paraId="3708DC71" w14:textId="77777777" w:rsidR="00524648" w:rsidRPr="00C34488" w:rsidRDefault="00524648" w:rsidP="00524648">
      <w:pPr>
        <w:pStyle w:val="NoSpacing"/>
        <w:ind w:left="720"/>
      </w:pPr>
      <w:r w:rsidRPr="00C34488">
        <w:t xml:space="preserve">Washington, and announced his interim replacement…. The same morning, </w:t>
      </w:r>
      <w:proofErr w:type="gramStart"/>
      <w:r w:rsidRPr="00C34488">
        <w:t>Long</w:t>
      </w:r>
      <w:proofErr w:type="gramEnd"/>
      <w:r w:rsidRPr="00C34488">
        <w:t xml:space="preserve"> notified media outlets of Washington’s termination and replacement, providing a copy of the termination letter and making statements in interviews consistent with the statements in the termination letter and Memorandum. *** A review of the [Memorandum]… reveals specific examples of misconduct (e.g., ‘multiple women have come forward with concerns about the workplace environment,’ Washington ‘never moved forward’ with the climate assessment)</w:t>
      </w:r>
      <w:r>
        <w:t>.”</w:t>
      </w:r>
      <w:r w:rsidRPr="00C34488">
        <w:t xml:space="preserve"> </w:t>
      </w:r>
    </w:p>
    <w:p w14:paraId="69FD9EEF" w14:textId="77777777" w:rsidR="00524648" w:rsidRPr="00C34488" w:rsidRDefault="00524648" w:rsidP="00524648">
      <w:pPr>
        <w:pStyle w:val="NoSpacing"/>
      </w:pPr>
    </w:p>
    <w:p w14:paraId="41C72665" w14:textId="77777777" w:rsidR="00524648" w:rsidRPr="00C34488" w:rsidRDefault="00524648" w:rsidP="00524648">
      <w:pPr>
        <w:pStyle w:val="NoSpacing"/>
        <w:numPr>
          <w:ilvl w:val="0"/>
          <w:numId w:val="28"/>
        </w:numPr>
      </w:pPr>
      <w:r w:rsidRPr="00C34488">
        <w:t>“Plaintiff requested a post-termination hearing before a neutral decisionmaker.</w:t>
      </w:r>
    </w:p>
    <w:p w14:paraId="1018B5EE" w14:textId="77777777" w:rsidR="00524648" w:rsidRPr="00C34488" w:rsidRDefault="00524648" w:rsidP="00524648">
      <w:pPr>
        <w:pStyle w:val="NoSpacing"/>
        <w:ind w:firstLine="720"/>
      </w:pPr>
      <w:r w:rsidRPr="00C34488">
        <w:t xml:space="preserve">Defendants responded by offering a post-termination hearing before Long, citing </w:t>
      </w:r>
      <w:proofErr w:type="gramStart"/>
      <w:r w:rsidRPr="00C34488">
        <w:t>to</w:t>
      </w:r>
      <w:proofErr w:type="gramEnd"/>
      <w:r w:rsidRPr="00C34488">
        <w:t xml:space="preserve"> the</w:t>
      </w:r>
    </w:p>
    <w:p w14:paraId="1F0818A5" w14:textId="77777777" w:rsidR="00524648" w:rsidRPr="00C34488" w:rsidRDefault="00524648" w:rsidP="00524648">
      <w:pPr>
        <w:pStyle w:val="NoSpacing"/>
        <w:ind w:left="720"/>
      </w:pPr>
      <w:r w:rsidRPr="00C34488">
        <w:t>City Charter…. No hearing was ever held.”</w:t>
      </w:r>
    </w:p>
    <w:p w14:paraId="14A639BA" w14:textId="77777777" w:rsidR="00524648" w:rsidRPr="00C34488" w:rsidRDefault="00524648" w:rsidP="00524648">
      <w:pPr>
        <w:pStyle w:val="NoSpacing"/>
      </w:pPr>
    </w:p>
    <w:p w14:paraId="4801487F" w14:textId="77777777" w:rsidR="00524648" w:rsidRPr="00C34488" w:rsidRDefault="00524648" w:rsidP="00524648">
      <w:pPr>
        <w:pStyle w:val="NoSpacing"/>
        <w:ind w:left="720" w:firstLine="720"/>
      </w:pPr>
      <w:r w:rsidRPr="00C34488">
        <w:t xml:space="preserve">City Charter provides: </w:t>
      </w:r>
    </w:p>
    <w:p w14:paraId="74470541" w14:textId="77777777" w:rsidR="00524648" w:rsidRPr="00C34488" w:rsidRDefault="00524648" w:rsidP="00524648">
      <w:pPr>
        <w:pStyle w:val="NoSpacing"/>
      </w:pPr>
    </w:p>
    <w:p w14:paraId="63A175A3" w14:textId="77777777" w:rsidR="00524648" w:rsidRPr="00C34488" w:rsidRDefault="00524648" w:rsidP="00524648">
      <w:pPr>
        <w:pStyle w:val="NoSpacing"/>
        <w:ind w:left="1440"/>
      </w:pPr>
      <w:r w:rsidRPr="00C34488">
        <w:t>“After the fire chief has served six months, he or she shall be subject to removal only for cause including incompetency, inefficiency, dishonesty, insubordination, unsatisfactory performance, any other failure of good behavior, any other acts of misfeasance, malfeasance, or nonfeasance in office, or conviction of any felony. If removed for cause the fire chief may demand written charges and the right to be heard thereon before the city manager. Pending the completion of such hearing the city manager may suspend the fire chief from office.”</w:t>
      </w:r>
    </w:p>
    <w:p w14:paraId="442AE520" w14:textId="77777777" w:rsidR="00524648" w:rsidRPr="00C34488" w:rsidRDefault="00524648" w:rsidP="00524648">
      <w:pPr>
        <w:pStyle w:val="NoSpacing"/>
      </w:pPr>
    </w:p>
    <w:p w14:paraId="3CA4E094" w14:textId="77777777" w:rsidR="00524648" w:rsidRPr="00C34488" w:rsidRDefault="00524648" w:rsidP="00524648">
      <w:pPr>
        <w:pStyle w:val="NoSpacing"/>
        <w:numPr>
          <w:ilvl w:val="0"/>
          <w:numId w:val="28"/>
        </w:numPr>
      </w:pPr>
      <w:r w:rsidRPr="00C34488">
        <w:t xml:space="preserve">“Here, Long's purposeful decision not to investigate or even to permit Washington to respond to the bullet points in the termination letter, combined with making allegedly false representations of verifiable facts within her knowledge, is sufficient to support a finding of actual malice…. No one disputes that the Charter language gave City Manager Long the authority to fire Plaintiff, albeit ‘only for cause’ given his length of service. But even the Charter language confirms that a pretermination hearing before the City Manager was required…. In </w:t>
      </w:r>
      <w:r w:rsidRPr="00C34488">
        <w:rPr>
          <w:u w:val="single"/>
        </w:rPr>
        <w:t>Loudermill</w:t>
      </w:r>
      <w:r w:rsidRPr="00C34488">
        <w:t>, the Supreme Court explained that suspension with pay strikes a balance between a government’s interest in immediate termination and an employee’s constitutional right to a pretermination hearing.”</w:t>
      </w:r>
    </w:p>
    <w:p w14:paraId="1C487372" w14:textId="77777777" w:rsidR="00524648" w:rsidRPr="00C34488" w:rsidRDefault="00524648" w:rsidP="00524648">
      <w:pPr>
        <w:pStyle w:val="NoSpacing"/>
      </w:pPr>
    </w:p>
    <w:p w14:paraId="2281A28D" w14:textId="77777777" w:rsidR="00524648" w:rsidRPr="00C34488" w:rsidRDefault="00524648" w:rsidP="00524648">
      <w:pPr>
        <w:pStyle w:val="NoSpacing"/>
        <w:rPr>
          <w:b/>
        </w:rPr>
      </w:pPr>
      <w:r w:rsidRPr="00C34488">
        <w:rPr>
          <w:b/>
        </w:rPr>
        <w:t xml:space="preserve">Legal lesson learned: A jury will now decide if the </w:t>
      </w:r>
      <w:r>
        <w:rPr>
          <w:b/>
        </w:rPr>
        <w:t xml:space="preserve">former Chief is entitled to damages when the </w:t>
      </w:r>
      <w:r w:rsidRPr="00C34488">
        <w:rPr>
          <w:b/>
        </w:rPr>
        <w:t xml:space="preserve">City Manager </w:t>
      </w:r>
      <w:r>
        <w:rPr>
          <w:b/>
        </w:rPr>
        <w:t xml:space="preserve">did not offer a pre-termination hearing; read the 1985 U.S. Supreme Court decision in </w:t>
      </w:r>
      <w:r w:rsidRPr="00C34488">
        <w:rPr>
          <w:b/>
          <w:u w:val="single"/>
        </w:rPr>
        <w:t>Cleveland Board of Education v. Loudermill</w:t>
      </w:r>
      <w:r w:rsidRPr="00C34488">
        <w:t xml:space="preserve">, </w:t>
      </w:r>
      <w:hyperlink r:id="rId2664" w:history="1">
        <w:r w:rsidRPr="00820086">
          <w:rPr>
            <w:rStyle w:val="Hyperlink"/>
          </w:rPr>
          <w:t>https://supreme.justia.com/cases/federal/us/470/532/</w:t>
        </w:r>
      </w:hyperlink>
      <w:r>
        <w:t xml:space="preserve"> </w:t>
      </w:r>
      <w:r w:rsidRPr="00C34488">
        <w:rPr>
          <w:b/>
        </w:rPr>
        <w:t xml:space="preserve"> </w:t>
      </w:r>
    </w:p>
    <w:p w14:paraId="6245AF4C" w14:textId="77777777" w:rsidR="00524648" w:rsidRPr="00C34488" w:rsidRDefault="00524648" w:rsidP="00524648">
      <w:pPr>
        <w:pStyle w:val="NoSpacing"/>
      </w:pPr>
    </w:p>
    <w:p w14:paraId="2662D9AB" w14:textId="77777777" w:rsidR="00524648" w:rsidRPr="00C34488" w:rsidRDefault="00524648" w:rsidP="00524648">
      <w:pPr>
        <w:pStyle w:val="NoSpacing"/>
        <w:ind w:left="720"/>
      </w:pPr>
      <w:r w:rsidRPr="00C34488">
        <w:t xml:space="preserve">Note: See Aug. 27, </w:t>
      </w:r>
      <w:proofErr w:type="gramStart"/>
      <w:r w:rsidRPr="00C34488">
        <w:t>2025</w:t>
      </w:r>
      <w:proofErr w:type="gramEnd"/>
      <w:r w:rsidRPr="00C34488">
        <w:t xml:space="preserve"> article, “Former Cincinnati fire chief's wrongful termination lawsuit is set for trial.”  </w:t>
      </w:r>
      <w:hyperlink r:id="rId2665" w:history="1">
        <w:r w:rsidRPr="00820086">
          <w:rPr>
            <w:rStyle w:val="Hyperlink"/>
          </w:rPr>
          <w:t>https://www.wvxu.org/politics/2025-08-27/michael-washington-wrongful-termination-lawsuit-trial</w:t>
        </w:r>
      </w:hyperlink>
      <w:r>
        <w:t xml:space="preserve"> </w:t>
      </w:r>
    </w:p>
    <w:p w14:paraId="39452D8B" w14:textId="77777777" w:rsidR="00524648" w:rsidRPr="00C34488" w:rsidRDefault="00524648" w:rsidP="00524648">
      <w:pPr>
        <w:pStyle w:val="NoSpacing"/>
        <w:rPr>
          <w:b/>
        </w:rPr>
      </w:pPr>
    </w:p>
    <w:p w14:paraId="33272C8D" w14:textId="77777777" w:rsidR="00524648" w:rsidRDefault="00524648" w:rsidP="00F326E5">
      <w:pPr>
        <w:pStyle w:val="NoSpacing"/>
        <w:rPr>
          <w:rFonts w:ascii="Arial Black" w:hAnsi="Arial Black"/>
          <w:b/>
          <w:sz w:val="24"/>
          <w:szCs w:val="24"/>
        </w:rPr>
      </w:pPr>
    </w:p>
    <w:p w14:paraId="680433B8" w14:textId="77777777" w:rsidR="00524648" w:rsidRDefault="00524648" w:rsidP="00F326E5">
      <w:pPr>
        <w:pStyle w:val="NoSpacing"/>
        <w:rPr>
          <w:rFonts w:ascii="Arial Black" w:hAnsi="Arial Black"/>
          <w:b/>
          <w:sz w:val="24"/>
          <w:szCs w:val="24"/>
        </w:rPr>
      </w:pPr>
    </w:p>
    <w:p w14:paraId="4E3E1644" w14:textId="77777777" w:rsidR="00524648" w:rsidRDefault="00524648" w:rsidP="00F326E5">
      <w:pPr>
        <w:pStyle w:val="NoSpacing"/>
        <w:rPr>
          <w:rFonts w:ascii="Arial Black" w:hAnsi="Arial Black"/>
          <w:b/>
          <w:sz w:val="24"/>
          <w:szCs w:val="24"/>
        </w:rPr>
      </w:pPr>
    </w:p>
    <w:p w14:paraId="08C6050E" w14:textId="77777777" w:rsidR="00524648" w:rsidRDefault="00524648" w:rsidP="00F326E5">
      <w:pPr>
        <w:pStyle w:val="NoSpacing"/>
        <w:rPr>
          <w:rFonts w:ascii="Arial Black" w:hAnsi="Arial Black"/>
          <w:b/>
          <w:sz w:val="24"/>
          <w:szCs w:val="24"/>
        </w:rPr>
      </w:pPr>
    </w:p>
    <w:p w14:paraId="388BCCFD" w14:textId="6C515F68" w:rsidR="000C4268" w:rsidRPr="000C4268" w:rsidRDefault="000C4268" w:rsidP="00F326E5">
      <w:pPr>
        <w:pStyle w:val="NoSpacing"/>
        <w:rPr>
          <w:rFonts w:ascii="Arial Black" w:hAnsi="Arial Black"/>
          <w:b/>
          <w:sz w:val="24"/>
          <w:szCs w:val="24"/>
        </w:rPr>
      </w:pPr>
      <w:r w:rsidRPr="000C4268">
        <w:rPr>
          <w:rFonts w:ascii="Arial Black" w:hAnsi="Arial Black"/>
          <w:b/>
          <w:sz w:val="24"/>
          <w:szCs w:val="24"/>
        </w:rPr>
        <w:t>16-130</w:t>
      </w:r>
    </w:p>
    <w:p w14:paraId="21E7035D" w14:textId="77777777" w:rsidR="00635D7C" w:rsidRDefault="00635D7C" w:rsidP="00CF19EA">
      <w:pPr>
        <w:pStyle w:val="NoSpacing"/>
        <w:rPr>
          <w:rFonts w:ascii="Arial Black" w:hAnsi="Arial Black"/>
          <w:sz w:val="28"/>
          <w:szCs w:val="28"/>
        </w:rPr>
      </w:pPr>
    </w:p>
    <w:p w14:paraId="042BABBF" w14:textId="77777777" w:rsidR="00DB5954" w:rsidRPr="00DD4F1A" w:rsidRDefault="00DB5954" w:rsidP="00DB5954">
      <w:pPr>
        <w:rPr>
          <w:rFonts w:ascii="Arial Black" w:hAnsi="Arial Black"/>
          <w:b/>
          <w:sz w:val="28"/>
          <w:szCs w:val="28"/>
        </w:rPr>
      </w:pPr>
      <w:r>
        <w:rPr>
          <w:rFonts w:ascii="Arial Black" w:hAnsi="Arial Black"/>
          <w:b/>
          <w:sz w:val="28"/>
          <w:szCs w:val="28"/>
        </w:rPr>
        <w:t>IN: FIRE CHIEF CONV. FRAUD – FD STOP ONLINE SALE PROP.</w:t>
      </w:r>
    </w:p>
    <w:p w14:paraId="1A6864FA" w14:textId="77777777" w:rsidR="00DB5954" w:rsidRPr="004B4757" w:rsidRDefault="00DB5954" w:rsidP="00DB5954">
      <w:pPr>
        <w:rPr>
          <w:rFonts w:ascii="Times New Roman" w:hAnsi="Times New Roman"/>
          <w:sz w:val="24"/>
          <w:szCs w:val="24"/>
        </w:rPr>
      </w:pPr>
      <w:r w:rsidRPr="004B4757">
        <w:rPr>
          <w:rFonts w:ascii="Times New Roman" w:hAnsi="Times New Roman"/>
          <w:sz w:val="24"/>
          <w:szCs w:val="24"/>
        </w:rPr>
        <w:t xml:space="preserve">On July 18, 2025, in </w:t>
      </w:r>
      <w:r w:rsidRPr="004B4757">
        <w:rPr>
          <w:rFonts w:ascii="Times New Roman" w:hAnsi="Times New Roman"/>
          <w:sz w:val="24"/>
          <w:szCs w:val="24"/>
          <w:u w:val="single"/>
        </w:rPr>
        <w:t>Utica Township Volunteer Fire Fighters Association d/b/a New Chapel EMS, and Utica Township Fire Department Incorporated d/b/a New Chapel Fire &amp; EMS v. Board of Trustees, Utica Township Fire Protection District</w:t>
      </w:r>
      <w:r w:rsidRPr="004B4757">
        <w:rPr>
          <w:rFonts w:ascii="Times New Roman" w:hAnsi="Times New Roman"/>
          <w:sz w:val="24"/>
          <w:szCs w:val="24"/>
        </w:rPr>
        <w:t xml:space="preserve">, the </w:t>
      </w:r>
      <w:r w:rsidRPr="004B4757">
        <w:rPr>
          <w:rFonts w:ascii="Times New Roman" w:hAnsi="Times New Roman"/>
          <w:bCs/>
          <w:sz w:val="24"/>
          <w:szCs w:val="24"/>
        </w:rPr>
        <w:t>Court of Appeals of Indiana</w:t>
      </w:r>
      <w:r w:rsidRPr="004B4757">
        <w:rPr>
          <w:rFonts w:ascii="Times New Roman" w:hAnsi="Times New Roman"/>
          <w:sz w:val="24"/>
          <w:szCs w:val="24"/>
        </w:rPr>
        <w:t xml:space="preserve"> held (3 to 0) that trial court properly issued a preliminary injunction on behalf of the Board of Trustees of the Utica Township Fire Protection District, preventing the Association and  the Department from selling various items of Fire District property via online sites.  Jamey Noel was the CEO of both the Association and the Department, and a former Indiana State Trooper; in Oct. 2014 he was sentenced to 15 years in prison under plea agreement.  According to press report: “Additionally included in the plea deal is an agreement for Noel to pay back more than $3.1 million in public funds: $2,870,924 to the Utica Volunteer Firefighters Association; $61,190 to the Clark County Sheriff’s Department; $173,155 to the Indiana Department of Revenue; and $35,245 to the Indiana State Police… Using findings from a long-term Indiana State Police investigation, state prosecutors alleged Noel used millions of taxpayer dollars from the Utica Volunteer Firefighters Association and New Chapel EMS to buy cars, planes, vacations, clothing and other personal luxury purchases. Investigators said public funds were also used to pay for college tuition and child </w:t>
      </w:r>
      <w:proofErr w:type="gramStart"/>
      <w:r w:rsidRPr="004B4757">
        <w:rPr>
          <w:rFonts w:ascii="Times New Roman" w:hAnsi="Times New Roman"/>
          <w:sz w:val="24"/>
          <w:szCs w:val="24"/>
        </w:rPr>
        <w:t>support.”</w:t>
      </w:r>
      <w:proofErr w:type="gramEnd"/>
      <w:r w:rsidRPr="004B4757">
        <w:rPr>
          <w:rFonts w:ascii="Times New Roman" w:hAnsi="Times New Roman"/>
          <w:sz w:val="24"/>
          <w:szCs w:val="24"/>
        </w:rPr>
        <w:t xml:space="preserve"> </w:t>
      </w:r>
      <w:hyperlink r:id="rId2666" w:history="1">
        <w:r w:rsidRPr="004B4757">
          <w:rPr>
            <w:rStyle w:val="Hyperlink"/>
            <w:rFonts w:ascii="Times New Roman" w:hAnsi="Times New Roman"/>
            <w:sz w:val="24"/>
            <w:szCs w:val="24"/>
          </w:rPr>
          <w:t>https://indianacapitalchronicle.com/2024/10/14/former-indiana-sheriff-jamey-noel-sentenced-to-15-years-in-prison-as-part-of-plea-deal/</w:t>
        </w:r>
      </w:hyperlink>
      <w:r w:rsidRPr="004B4757">
        <w:rPr>
          <w:rFonts w:ascii="Times New Roman" w:hAnsi="Times New Roman"/>
          <w:sz w:val="24"/>
          <w:szCs w:val="24"/>
        </w:rPr>
        <w:t xml:space="preserve"> .  THE COURT HELD:  “New Chapel first asserts that the trial court lacked sufficient evidence of the value of the Fire District's property that New Chapel was attempting to misappropriate. But New Chapel is incorrect. The Fire District made it abundantly clear at the hearing that it had expended substantial sums on certain equipment, including nearly $700,000 on three vehicles alone. The record also makes New Chapel's ability to pay reasonable financial damages to the Fire District clear, including New Chapel's own admissions to the court. New Chapel's argument here is not supported by either the record or cogent </w:t>
      </w:r>
      <w:proofErr w:type="gramStart"/>
      <w:r w:rsidRPr="004B4757">
        <w:rPr>
          <w:rFonts w:ascii="Times New Roman" w:hAnsi="Times New Roman"/>
          <w:sz w:val="24"/>
          <w:szCs w:val="24"/>
        </w:rPr>
        <w:t>reasoning.”</w:t>
      </w:r>
      <w:proofErr w:type="gramEnd"/>
      <w:r w:rsidRPr="004B4757">
        <w:rPr>
          <w:rFonts w:ascii="Times New Roman" w:hAnsi="Times New Roman"/>
          <w:sz w:val="24"/>
          <w:szCs w:val="24"/>
        </w:rPr>
        <w:t xml:space="preserve"> </w:t>
      </w:r>
      <w:hyperlink r:id="rId2667" w:history="1">
        <w:r w:rsidRPr="004B4757">
          <w:rPr>
            <w:rStyle w:val="Hyperlink"/>
            <w:rFonts w:ascii="Times New Roman" w:hAnsi="Times New Roman"/>
            <w:sz w:val="24"/>
            <w:szCs w:val="24"/>
          </w:rPr>
          <w:t>https://cases.justia.com/indiana/court-of-appeals/2025-24a-pl-02646.pdf?ts=1752863306</w:t>
        </w:r>
      </w:hyperlink>
      <w:r w:rsidRPr="004B4757">
        <w:rPr>
          <w:rFonts w:ascii="Times New Roman" w:hAnsi="Times New Roman"/>
          <w:sz w:val="24"/>
          <w:szCs w:val="24"/>
        </w:rPr>
        <w:t xml:space="preserve"> </w:t>
      </w:r>
    </w:p>
    <w:p w14:paraId="17AFDDD8" w14:textId="77777777" w:rsidR="004B4757" w:rsidRPr="004B4757" w:rsidRDefault="004B4757" w:rsidP="004B4757">
      <w:pPr>
        <w:rPr>
          <w:rFonts w:ascii="Times New Roman" w:hAnsi="Times New Roman"/>
          <w:b/>
          <w:sz w:val="24"/>
          <w:szCs w:val="24"/>
        </w:rPr>
      </w:pPr>
      <w:r w:rsidRPr="004B4757">
        <w:rPr>
          <w:rFonts w:ascii="Times New Roman" w:hAnsi="Times New Roman"/>
          <w:b/>
          <w:sz w:val="24"/>
          <w:szCs w:val="24"/>
        </w:rPr>
        <w:t xml:space="preserve">Legal lesson learned:  Conduct annual financial audits. </w:t>
      </w:r>
    </w:p>
    <w:p w14:paraId="50DE6270" w14:textId="77777777" w:rsidR="004B4757" w:rsidRPr="004B4757" w:rsidRDefault="004B4757" w:rsidP="004B4757">
      <w:pPr>
        <w:ind w:left="720"/>
        <w:rPr>
          <w:rFonts w:ascii="Times New Roman" w:hAnsi="Times New Roman"/>
          <w:sz w:val="24"/>
          <w:szCs w:val="24"/>
        </w:rPr>
      </w:pPr>
      <w:r w:rsidRPr="004B4757">
        <w:rPr>
          <w:rFonts w:ascii="Times New Roman" w:hAnsi="Times New Roman"/>
          <w:sz w:val="24"/>
          <w:szCs w:val="24"/>
        </w:rPr>
        <w:t xml:space="preserve">Note:  Watch this July 28, 2025 – YouTube: “Utica Fire Department still reeling from Jamey Noel Scandal as debt, distrust remain.” </w:t>
      </w:r>
      <w:hyperlink r:id="rId2668" w:history="1">
        <w:r w:rsidRPr="004B4757">
          <w:rPr>
            <w:rStyle w:val="Hyperlink"/>
            <w:rFonts w:ascii="Times New Roman" w:hAnsi="Times New Roman"/>
            <w:sz w:val="24"/>
            <w:szCs w:val="24"/>
          </w:rPr>
          <w:t>https://www.youtube.com/watch?v=roZMeWZrCG4</w:t>
        </w:r>
      </w:hyperlink>
      <w:r w:rsidRPr="004B4757">
        <w:rPr>
          <w:rFonts w:ascii="Times New Roman" w:hAnsi="Times New Roman"/>
          <w:sz w:val="24"/>
          <w:szCs w:val="24"/>
        </w:rPr>
        <w:t xml:space="preserve">  </w:t>
      </w:r>
    </w:p>
    <w:p w14:paraId="61E33337" w14:textId="77777777" w:rsidR="000C4268" w:rsidRDefault="000C4268" w:rsidP="00075D20">
      <w:pPr>
        <w:pStyle w:val="NoSpacing"/>
        <w:rPr>
          <w:rFonts w:ascii="Arial Black" w:hAnsi="Arial Black"/>
          <w:sz w:val="24"/>
          <w:szCs w:val="24"/>
        </w:rPr>
      </w:pPr>
    </w:p>
    <w:p w14:paraId="081EEA86" w14:textId="254BA41A" w:rsidR="000F4170" w:rsidRDefault="000C4268" w:rsidP="00075D20">
      <w:pPr>
        <w:pStyle w:val="NoSpacing"/>
        <w:rPr>
          <w:rFonts w:ascii="Arial Black" w:hAnsi="Arial Black"/>
          <w:sz w:val="24"/>
          <w:szCs w:val="24"/>
        </w:rPr>
      </w:pPr>
      <w:r>
        <w:rPr>
          <w:rFonts w:ascii="Arial Black" w:hAnsi="Arial Black"/>
          <w:sz w:val="24"/>
          <w:szCs w:val="24"/>
        </w:rPr>
        <w:t>16-129</w:t>
      </w:r>
    </w:p>
    <w:p w14:paraId="123327BD" w14:textId="77777777" w:rsidR="00075D20" w:rsidRDefault="00075D20" w:rsidP="00FB04CF">
      <w:pPr>
        <w:pStyle w:val="NoSpacing"/>
        <w:rPr>
          <w:rFonts w:ascii="Arial Black" w:hAnsi="Arial Black"/>
          <w:sz w:val="24"/>
          <w:szCs w:val="24"/>
        </w:rPr>
      </w:pPr>
    </w:p>
    <w:p w14:paraId="7CEA9B98" w14:textId="77777777" w:rsidR="00680D61" w:rsidRPr="0078246B" w:rsidRDefault="00680D61" w:rsidP="00680D61">
      <w:pPr>
        <w:rPr>
          <w:rFonts w:ascii="Arial Black" w:hAnsi="Arial Black"/>
          <w:b/>
          <w:sz w:val="28"/>
          <w:szCs w:val="28"/>
        </w:rPr>
      </w:pPr>
      <w:r>
        <w:rPr>
          <w:rFonts w:ascii="Arial Black" w:hAnsi="Arial Black"/>
          <w:b/>
          <w:sz w:val="28"/>
          <w:szCs w:val="28"/>
        </w:rPr>
        <w:t>PA: FF / SEX 8</w:t>
      </w:r>
      <w:r w:rsidRPr="00CC082C">
        <w:rPr>
          <w:rFonts w:ascii="Arial Black" w:hAnsi="Arial Black"/>
          <w:b/>
          <w:sz w:val="28"/>
          <w:szCs w:val="28"/>
          <w:vertAlign w:val="superscript"/>
        </w:rPr>
        <w:t>th</w:t>
      </w:r>
      <w:r>
        <w:rPr>
          <w:rFonts w:ascii="Arial Black" w:hAnsi="Arial Black"/>
          <w:b/>
          <w:sz w:val="28"/>
          <w:szCs w:val="28"/>
        </w:rPr>
        <w:t xml:space="preserve"> GRADER - FED. &amp; PA JUDGES – STAY PRISON </w:t>
      </w:r>
    </w:p>
    <w:p w14:paraId="4F601A8B" w14:textId="77777777" w:rsidR="00680D61" w:rsidRPr="000C4268" w:rsidRDefault="00680D61" w:rsidP="00680D61">
      <w:pPr>
        <w:pStyle w:val="NoSpacing"/>
        <w:rPr>
          <w:rFonts w:ascii="Times New Roman" w:hAnsi="Times New Roman"/>
          <w:sz w:val="24"/>
          <w:szCs w:val="24"/>
        </w:rPr>
      </w:pPr>
      <w:r w:rsidRPr="000C4268">
        <w:rPr>
          <w:rFonts w:ascii="Times New Roman" w:hAnsi="Times New Roman"/>
          <w:sz w:val="24"/>
          <w:szCs w:val="24"/>
        </w:rPr>
        <w:t xml:space="preserve">On July 14, 2025, in </w:t>
      </w:r>
      <w:r w:rsidRPr="000C4268">
        <w:rPr>
          <w:rFonts w:ascii="Times New Roman" w:hAnsi="Times New Roman"/>
          <w:sz w:val="24"/>
          <w:szCs w:val="24"/>
          <w:u w:val="single"/>
        </w:rPr>
        <w:t>Christopher Anthony Taylor v. George M. Little</w:t>
      </w:r>
      <w:r w:rsidRPr="000C4268">
        <w:rPr>
          <w:rFonts w:ascii="Times New Roman" w:hAnsi="Times New Roman"/>
          <w:sz w:val="24"/>
          <w:szCs w:val="24"/>
        </w:rPr>
        <w:t xml:space="preserve">, U.S. District Court Judge Robert D. Mariani, United States District Court for Middle District of Pennsylvania, denied Mr. Taylor’s petition for a </w:t>
      </w:r>
      <w:proofErr w:type="spellStart"/>
      <w:r w:rsidRPr="000C4268">
        <w:rPr>
          <w:rFonts w:ascii="Times New Roman" w:hAnsi="Times New Roman"/>
          <w:sz w:val="24"/>
          <w:szCs w:val="24"/>
        </w:rPr>
        <w:t>write</w:t>
      </w:r>
      <w:proofErr w:type="spellEnd"/>
      <w:r w:rsidRPr="000C4268">
        <w:rPr>
          <w:rFonts w:ascii="Times New Roman" w:hAnsi="Times New Roman"/>
          <w:sz w:val="24"/>
          <w:szCs w:val="24"/>
        </w:rPr>
        <w:t xml:space="preserve"> of habeas corpus; he is currently serving an 8 – 16 -year prison sentence in Pennsylvania state prison for having sexual relations with 8</w:t>
      </w:r>
      <w:r w:rsidRPr="000C4268">
        <w:rPr>
          <w:rFonts w:ascii="Times New Roman" w:hAnsi="Times New Roman"/>
          <w:sz w:val="24"/>
          <w:szCs w:val="24"/>
          <w:vertAlign w:val="superscript"/>
        </w:rPr>
        <w:t>th</w:t>
      </w:r>
      <w:r w:rsidRPr="000C4268">
        <w:rPr>
          <w:rFonts w:ascii="Times New Roman" w:hAnsi="Times New Roman"/>
          <w:sz w:val="24"/>
          <w:szCs w:val="24"/>
        </w:rPr>
        <w:t xml:space="preserve"> grade cadet.  On March 6, 2013, following a jury trial, Taylor was convicted of one count each of statutory sexual assault [victim was 8</w:t>
      </w:r>
      <w:r w:rsidRPr="000C4268">
        <w:rPr>
          <w:rFonts w:ascii="Times New Roman" w:hAnsi="Times New Roman"/>
          <w:sz w:val="24"/>
          <w:szCs w:val="24"/>
          <w:vertAlign w:val="superscript"/>
        </w:rPr>
        <w:t>th</w:t>
      </w:r>
      <w:r w:rsidRPr="000C4268">
        <w:rPr>
          <w:rFonts w:ascii="Times New Roman" w:hAnsi="Times New Roman"/>
          <w:sz w:val="24"/>
          <w:szCs w:val="24"/>
        </w:rPr>
        <w:t xml:space="preserve"> grader, fire cadet, when started sexual relations], aggravated indecent assault—less than 16 years of age, indecent assault—less than 16 years of age, unlawful contact with a minor—sexual offenses, involuntary deviate sexual intercourse—less than 16 years of age, and corruption of minors.  A trial court later denied his petition for release, and on Nov. 22, 2021, the Superior Court of Pennsylvania likewise denied his release from prison, and on June 2, 2022, the Pennsylvania Supreme Court denied Taylor's petition for allowance of appeal.  THE COURT HELD:  “Further, under 28 U.S.C. § 2254(e)(1), a federal court is required to presume that a state court's findings of fact are correct. A petitioner may only rebut this presumption with clear and convincing evidence of the state court's error…. The Court will deny the § 2254 petition for writ of habeas corpus.”</w:t>
      </w:r>
    </w:p>
    <w:p w14:paraId="51DF41C2" w14:textId="34E717F2" w:rsidR="00680D61" w:rsidRPr="000C4268" w:rsidRDefault="00680D61" w:rsidP="00680D61">
      <w:pPr>
        <w:pStyle w:val="NoSpacing"/>
        <w:rPr>
          <w:rFonts w:ascii="Times New Roman" w:hAnsi="Times New Roman"/>
          <w:sz w:val="24"/>
          <w:szCs w:val="24"/>
        </w:rPr>
      </w:pPr>
      <w:hyperlink r:id="rId2669" w:history="1">
        <w:r w:rsidRPr="000C4268">
          <w:rPr>
            <w:rStyle w:val="Hyperlink"/>
            <w:rFonts w:ascii="Times New Roman" w:hAnsi="Times New Roman"/>
            <w:sz w:val="24"/>
            <w:szCs w:val="24"/>
          </w:rPr>
          <w:t>https://public.fastcase.com/jaEE2PXzRXmZ99jOLMt1IqmI6%2FwIkVosxkHnLXFS%2Fh3vCPBsdexRYsXhu3dcS77RM93%2Fb%2FlmP%2FEht28r%2FEOUuz%2BdIsVF1KqStdKclsmvBXo%3D?utm_medium=email&amp;_hsenc=p2ANqtz-_Dn6dsk63fb2EPfPT1163Ju7zkOyiRsNHg_eV5kST7JoaZI-2AGCvSnryJrMriUeP5UHxNkfyzrDvNunm7WCvoOt678w&amp;_hsmi=226712652&amp;utm_content=226712652&amp;utm_source=hs_email</w:t>
        </w:r>
      </w:hyperlink>
    </w:p>
    <w:p w14:paraId="5B731448" w14:textId="77777777" w:rsidR="000C4268" w:rsidRDefault="000C4268" w:rsidP="000C4268">
      <w:pPr>
        <w:rPr>
          <w:b/>
        </w:rPr>
      </w:pPr>
      <w:r w:rsidRPr="000C4268">
        <w:rPr>
          <w:rFonts w:ascii="Times New Roman" w:hAnsi="Times New Roman"/>
          <w:b/>
          <w:sz w:val="24"/>
          <w:szCs w:val="24"/>
        </w:rPr>
        <w:t>Legal lesson learned: Sex with a minor led to prison, and judges in PA and U.S. District Court have denied his release</w:t>
      </w:r>
      <w:r>
        <w:rPr>
          <w:b/>
        </w:rPr>
        <w:t xml:space="preserve">. </w:t>
      </w:r>
    </w:p>
    <w:p w14:paraId="3592CBBE" w14:textId="77777777" w:rsidR="00075D20" w:rsidRDefault="00075D20" w:rsidP="00FB04CF">
      <w:pPr>
        <w:pStyle w:val="NoSpacing"/>
        <w:rPr>
          <w:rFonts w:ascii="Arial Black" w:hAnsi="Arial Black"/>
          <w:sz w:val="24"/>
          <w:szCs w:val="24"/>
        </w:rPr>
      </w:pPr>
    </w:p>
    <w:p w14:paraId="7FFBC2C6" w14:textId="77777777" w:rsidR="00075D20" w:rsidRDefault="00075D20" w:rsidP="00FB04CF">
      <w:pPr>
        <w:pStyle w:val="NoSpacing"/>
        <w:rPr>
          <w:rFonts w:ascii="Arial Black" w:hAnsi="Arial Black"/>
          <w:sz w:val="24"/>
          <w:szCs w:val="24"/>
        </w:rPr>
      </w:pPr>
    </w:p>
    <w:p w14:paraId="4B82F522" w14:textId="5B9F0E7D" w:rsidR="00FB04CF" w:rsidRDefault="00FB04CF" w:rsidP="00FB04CF">
      <w:pPr>
        <w:pStyle w:val="NoSpacing"/>
        <w:rPr>
          <w:rFonts w:ascii="Arial Black" w:hAnsi="Arial Black"/>
          <w:sz w:val="24"/>
          <w:szCs w:val="24"/>
        </w:rPr>
      </w:pPr>
      <w:r>
        <w:rPr>
          <w:rFonts w:ascii="Arial Black" w:hAnsi="Arial Black"/>
          <w:sz w:val="24"/>
          <w:szCs w:val="24"/>
        </w:rPr>
        <w:t>16-128</w:t>
      </w:r>
    </w:p>
    <w:p w14:paraId="10CE0ADA" w14:textId="77777777" w:rsidR="00FB04CF" w:rsidRDefault="00FB04CF" w:rsidP="00CF19EA">
      <w:pPr>
        <w:pStyle w:val="NoSpacing"/>
        <w:rPr>
          <w:rFonts w:ascii="Arial Black" w:hAnsi="Arial Black"/>
          <w:sz w:val="28"/>
          <w:szCs w:val="28"/>
        </w:rPr>
      </w:pPr>
    </w:p>
    <w:p w14:paraId="1F241C7E" w14:textId="52BBA427" w:rsidR="00444FB7" w:rsidRPr="005967C5" w:rsidRDefault="00444FB7" w:rsidP="00444FB7">
      <w:pPr>
        <w:pStyle w:val="NoSpacing"/>
        <w:rPr>
          <w:rFonts w:ascii="Arial Black" w:hAnsi="Arial Black"/>
          <w:sz w:val="28"/>
          <w:szCs w:val="28"/>
        </w:rPr>
      </w:pPr>
      <w:r w:rsidRPr="005967C5">
        <w:rPr>
          <w:rFonts w:ascii="Arial Black" w:hAnsi="Arial Black"/>
          <w:sz w:val="28"/>
          <w:szCs w:val="28"/>
        </w:rPr>
        <w:t xml:space="preserve">HI: INVEST OF 2 B/C – PAID SUSP. 6-MO - NOT “DISCIPLINE” </w:t>
      </w:r>
    </w:p>
    <w:p w14:paraId="4765D6C1" w14:textId="77777777" w:rsidR="00444FB7" w:rsidRPr="00393E4D" w:rsidRDefault="00444FB7" w:rsidP="00444FB7">
      <w:pPr>
        <w:pStyle w:val="NoSpacing"/>
        <w:rPr>
          <w:rFonts w:ascii="Times New Roman" w:hAnsi="Times New Roman"/>
          <w:sz w:val="24"/>
          <w:szCs w:val="24"/>
        </w:rPr>
      </w:pPr>
    </w:p>
    <w:p w14:paraId="28EC80CF" w14:textId="77777777" w:rsidR="00444FB7" w:rsidRPr="00393E4D" w:rsidRDefault="00444FB7" w:rsidP="00444FB7">
      <w:pPr>
        <w:pStyle w:val="NoSpacing"/>
        <w:rPr>
          <w:rFonts w:ascii="Times New Roman" w:hAnsi="Times New Roman"/>
          <w:sz w:val="24"/>
          <w:szCs w:val="24"/>
        </w:rPr>
      </w:pPr>
      <w:r w:rsidRPr="00393E4D">
        <w:rPr>
          <w:rFonts w:ascii="Times New Roman" w:hAnsi="Times New Roman"/>
          <w:sz w:val="24"/>
          <w:szCs w:val="24"/>
        </w:rPr>
        <w:t xml:space="preserve">On June 27, 2025, in </w:t>
      </w:r>
      <w:r w:rsidRPr="00393E4D">
        <w:rPr>
          <w:rFonts w:ascii="Times New Roman" w:hAnsi="Times New Roman"/>
          <w:sz w:val="24"/>
          <w:szCs w:val="24"/>
          <w:u w:val="single"/>
        </w:rPr>
        <w:t>Steve F. Loyola and Ty Aaron Madeiros v. County of Hawaii</w:t>
      </w:r>
      <w:r w:rsidRPr="00393E4D">
        <w:rPr>
          <w:rFonts w:ascii="Times New Roman" w:hAnsi="Times New Roman"/>
          <w:sz w:val="24"/>
          <w:szCs w:val="24"/>
        </w:rPr>
        <w:t xml:space="preserve">, the Intermediate Court of Appeals of Hawaii held (3 to 0; unpublished decision) that the trial court judge and the Merit Appeals Board of the County (MAP) properly found that the two Battalion Chiefs were never “disciplined” when they were suspended with pay from November 21, 2014 until June 2015 while retired Police Chief conducted an investigation of their allegations of unsatisfactory management by Fire Chief Darren J. Rosario.  The investigation was conducted by a retired Police Chief after the Battalion Chief made written allegations against the Fire Chief: (1) Medeiros on September 15, </w:t>
      </w:r>
      <w:proofErr w:type="gramStart"/>
      <w:r w:rsidRPr="00393E4D">
        <w:rPr>
          <w:rFonts w:ascii="Times New Roman" w:hAnsi="Times New Roman"/>
          <w:sz w:val="24"/>
          <w:szCs w:val="24"/>
        </w:rPr>
        <w:t>2014</w:t>
      </w:r>
      <w:proofErr w:type="gramEnd"/>
      <w:r w:rsidRPr="00393E4D">
        <w:rPr>
          <w:rFonts w:ascii="Times New Roman" w:hAnsi="Times New Roman"/>
          <w:sz w:val="24"/>
          <w:szCs w:val="24"/>
        </w:rPr>
        <w:t xml:space="preserve"> sent a memorandum to the Fire Chief, copying the Mayor and the Fire Commission, requesting the Fire Chief's resignation to protect HFD from ‘further damage’ and to protect the safety of HFD personnel. (2) Loyola on September 23, </w:t>
      </w:r>
      <w:proofErr w:type="gramStart"/>
      <w:r w:rsidRPr="00393E4D">
        <w:rPr>
          <w:rFonts w:ascii="Times New Roman" w:hAnsi="Times New Roman"/>
          <w:sz w:val="24"/>
          <w:szCs w:val="24"/>
        </w:rPr>
        <w:t>2014</w:t>
      </w:r>
      <w:proofErr w:type="gramEnd"/>
      <w:r w:rsidRPr="00393E4D">
        <w:rPr>
          <w:rFonts w:ascii="Times New Roman" w:hAnsi="Times New Roman"/>
          <w:sz w:val="24"/>
          <w:szCs w:val="24"/>
        </w:rPr>
        <w:t xml:space="preserve"> sent a ‘Letter of No Confidence’ in the Fire Chief to the Fire Commission requesting Fire Chief's removal for ‘unsatisfactory management.’  The retired Police Chief interviewed 23 </w:t>
      </w:r>
      <w:proofErr w:type="gramStart"/>
      <w:r w:rsidRPr="00393E4D">
        <w:rPr>
          <w:rFonts w:ascii="Times New Roman" w:hAnsi="Times New Roman"/>
          <w:sz w:val="24"/>
          <w:szCs w:val="24"/>
        </w:rPr>
        <w:t>people, and</w:t>
      </w:r>
      <w:proofErr w:type="gramEnd"/>
      <w:r w:rsidRPr="00393E4D">
        <w:rPr>
          <w:rFonts w:ascii="Times New Roman" w:hAnsi="Times New Roman"/>
          <w:sz w:val="24"/>
          <w:szCs w:val="24"/>
        </w:rPr>
        <w:t xml:space="preserve"> submitted a 106-page final report on June 9, 2015, concluding most of allegations against the Fire Chief were ‘speculative,’ ‘unsubstantiated’ and ‘uncorroborated’ and the two Battalion Chiefs had violated six FD regulations.  THE COURT HELD: “The record supports that the approximately six-months-long duration of Appellants' paid administrative leave, from November 21, </w:t>
      </w:r>
      <w:proofErr w:type="gramStart"/>
      <w:r w:rsidRPr="00393E4D">
        <w:rPr>
          <w:rFonts w:ascii="Times New Roman" w:hAnsi="Times New Roman"/>
          <w:sz w:val="24"/>
          <w:szCs w:val="24"/>
        </w:rPr>
        <w:t>2014</w:t>
      </w:r>
      <w:proofErr w:type="gramEnd"/>
      <w:r w:rsidRPr="00393E4D">
        <w:rPr>
          <w:rFonts w:ascii="Times New Roman" w:hAnsi="Times New Roman"/>
          <w:sz w:val="24"/>
          <w:szCs w:val="24"/>
        </w:rPr>
        <w:t xml:space="preserve"> to June 2015, while the investigation was being completed, was reasonable due to the volume of interviews conducted (23 witnesses), the large number of allegations (27 total) raised by Appellants, and the Fire Chief's accusations against the Appellants…. Appellants' ‘indefinite leave with </w:t>
      </w:r>
      <w:proofErr w:type="spellStart"/>
      <w:r w:rsidRPr="00393E4D">
        <w:rPr>
          <w:rFonts w:ascii="Times New Roman" w:hAnsi="Times New Roman"/>
          <w:sz w:val="24"/>
          <w:szCs w:val="24"/>
        </w:rPr>
        <w:t>pay"’challenge</w:t>
      </w:r>
      <w:proofErr w:type="spellEnd"/>
      <w:r w:rsidRPr="00393E4D">
        <w:rPr>
          <w:rFonts w:ascii="Times New Roman" w:hAnsi="Times New Roman"/>
          <w:sz w:val="24"/>
          <w:szCs w:val="24"/>
        </w:rPr>
        <w:t xml:space="preserve"> lacks merit…. We conclude the Circuit Court correctly affirmed the MAB's conclusion resolving the claim of entitlement to overtime while on paid administrative leave…. Appellants' ‘denial of overtime’ challenge lacks merit.” </w:t>
      </w:r>
    </w:p>
    <w:p w14:paraId="14163EBF" w14:textId="77777777" w:rsidR="00444FB7" w:rsidRPr="00393E4D" w:rsidRDefault="00444FB7" w:rsidP="00444FB7">
      <w:pPr>
        <w:pStyle w:val="NoSpacing"/>
        <w:rPr>
          <w:rFonts w:ascii="Times New Roman" w:hAnsi="Times New Roman"/>
          <w:sz w:val="24"/>
          <w:szCs w:val="24"/>
        </w:rPr>
      </w:pPr>
      <w:hyperlink r:id="rId2670" w:history="1">
        <w:r w:rsidRPr="00393E4D">
          <w:rPr>
            <w:rStyle w:val="Hyperlink"/>
            <w:rFonts w:ascii="Times New Roman" w:hAnsi="Times New Roman"/>
            <w:sz w:val="24"/>
            <w:szCs w:val="24"/>
          </w:rPr>
          <w:t>https://www.courts.state.hi.us/wp-content/uploads/2025/06/CAAP-22-0000641sdo.pdf</w:t>
        </w:r>
      </w:hyperlink>
      <w:r w:rsidRPr="00393E4D">
        <w:rPr>
          <w:rFonts w:ascii="Times New Roman" w:hAnsi="Times New Roman"/>
          <w:sz w:val="24"/>
          <w:szCs w:val="24"/>
        </w:rPr>
        <w:t xml:space="preserve"> </w:t>
      </w:r>
    </w:p>
    <w:p w14:paraId="3471EC0C" w14:textId="77777777" w:rsidR="00444FB7" w:rsidRPr="00393E4D" w:rsidRDefault="00444FB7" w:rsidP="00444FB7">
      <w:pPr>
        <w:pStyle w:val="NoSpacing"/>
        <w:rPr>
          <w:rFonts w:ascii="Times New Roman" w:hAnsi="Times New Roman"/>
          <w:sz w:val="24"/>
          <w:szCs w:val="24"/>
        </w:rPr>
      </w:pPr>
    </w:p>
    <w:p w14:paraId="00C50028" w14:textId="77777777" w:rsidR="00393E4D" w:rsidRDefault="00393E4D" w:rsidP="00393E4D">
      <w:pPr>
        <w:pStyle w:val="NoSpacing"/>
        <w:rPr>
          <w:rFonts w:ascii="Times New Roman" w:hAnsi="Times New Roman"/>
          <w:b/>
          <w:sz w:val="24"/>
          <w:szCs w:val="24"/>
        </w:rPr>
      </w:pPr>
      <w:r w:rsidRPr="00393E4D">
        <w:rPr>
          <w:rFonts w:ascii="Times New Roman" w:hAnsi="Times New Roman"/>
          <w:b/>
          <w:sz w:val="24"/>
          <w:szCs w:val="24"/>
        </w:rPr>
        <w:t xml:space="preserve">Legal lesson learned: Suspension without loss of pay is a reasonable management response to investigate serious allegations.  </w:t>
      </w:r>
    </w:p>
    <w:p w14:paraId="3E5B5B44" w14:textId="77777777" w:rsidR="00C305D0" w:rsidRDefault="00C305D0" w:rsidP="00393E4D">
      <w:pPr>
        <w:pStyle w:val="NoSpacing"/>
        <w:rPr>
          <w:rFonts w:ascii="Times New Roman" w:hAnsi="Times New Roman"/>
          <w:b/>
          <w:sz w:val="24"/>
          <w:szCs w:val="24"/>
        </w:rPr>
      </w:pPr>
    </w:p>
    <w:p w14:paraId="2A2803B5" w14:textId="77777777" w:rsidR="00C305D0" w:rsidRDefault="00C305D0" w:rsidP="00393E4D">
      <w:pPr>
        <w:pStyle w:val="NoSpacing"/>
        <w:rPr>
          <w:rFonts w:ascii="Times New Roman" w:hAnsi="Times New Roman"/>
          <w:b/>
          <w:sz w:val="24"/>
          <w:szCs w:val="24"/>
        </w:rPr>
      </w:pPr>
    </w:p>
    <w:p w14:paraId="5E569175" w14:textId="12BB879B" w:rsidR="00FB04CF" w:rsidRDefault="00FB04CF" w:rsidP="00FB04CF">
      <w:pPr>
        <w:pStyle w:val="NoSpacing"/>
        <w:rPr>
          <w:rFonts w:ascii="Arial Black" w:hAnsi="Arial Black"/>
          <w:sz w:val="24"/>
          <w:szCs w:val="24"/>
        </w:rPr>
      </w:pPr>
      <w:r>
        <w:rPr>
          <w:rFonts w:ascii="Arial Black" w:hAnsi="Arial Black"/>
          <w:sz w:val="24"/>
          <w:szCs w:val="24"/>
        </w:rPr>
        <w:t>16-127</w:t>
      </w:r>
    </w:p>
    <w:p w14:paraId="4A1E5FCF" w14:textId="77777777" w:rsidR="00FB04CF" w:rsidRDefault="00FB04CF" w:rsidP="00393E4D">
      <w:pPr>
        <w:pStyle w:val="NoSpacing"/>
        <w:rPr>
          <w:rFonts w:ascii="Times New Roman" w:hAnsi="Times New Roman"/>
          <w:b/>
          <w:sz w:val="24"/>
          <w:szCs w:val="24"/>
        </w:rPr>
      </w:pPr>
    </w:p>
    <w:p w14:paraId="7BCC0E89" w14:textId="77777777" w:rsidR="00FB04CF" w:rsidRDefault="00FB04CF" w:rsidP="00393E4D">
      <w:pPr>
        <w:pStyle w:val="NoSpacing"/>
        <w:rPr>
          <w:rFonts w:ascii="Times New Roman" w:hAnsi="Times New Roman"/>
          <w:b/>
          <w:sz w:val="24"/>
          <w:szCs w:val="24"/>
        </w:rPr>
      </w:pPr>
    </w:p>
    <w:p w14:paraId="18318FD4" w14:textId="77777777" w:rsidR="00C305D0" w:rsidRDefault="00C305D0" w:rsidP="00C305D0">
      <w:pPr>
        <w:rPr>
          <w:rFonts w:ascii="Arial Black" w:hAnsi="Arial Black"/>
          <w:b/>
          <w:sz w:val="28"/>
          <w:szCs w:val="28"/>
        </w:rPr>
      </w:pPr>
      <w:r>
        <w:rPr>
          <w:rFonts w:ascii="Arial Black" w:hAnsi="Arial Black"/>
          <w:b/>
          <w:sz w:val="28"/>
          <w:szCs w:val="28"/>
        </w:rPr>
        <w:t xml:space="preserve">DE: DEP. CHIEF – SEX 15-YR OLD CADET – 35-YRS IN PRISON </w:t>
      </w:r>
    </w:p>
    <w:p w14:paraId="40676EDD" w14:textId="77777777" w:rsidR="00C305D0" w:rsidRPr="00BF3522" w:rsidRDefault="00C305D0" w:rsidP="00C305D0">
      <w:pPr>
        <w:pStyle w:val="NoSpacing"/>
        <w:rPr>
          <w:rFonts w:ascii="Times New Roman" w:hAnsi="Times New Roman"/>
          <w:bCs/>
          <w:sz w:val="24"/>
          <w:szCs w:val="24"/>
        </w:rPr>
      </w:pPr>
      <w:r w:rsidRPr="00BF3522">
        <w:rPr>
          <w:rFonts w:ascii="Times New Roman" w:hAnsi="Times New Roman"/>
          <w:sz w:val="24"/>
          <w:szCs w:val="24"/>
        </w:rPr>
        <w:t xml:space="preserve">On June 24, 2025, in </w:t>
      </w:r>
      <w:r w:rsidRPr="00BF3522">
        <w:rPr>
          <w:rFonts w:ascii="Times New Roman" w:hAnsi="Times New Roman"/>
          <w:sz w:val="24"/>
          <w:szCs w:val="24"/>
          <w:u w:val="single"/>
        </w:rPr>
        <w:t>Dwayne L. Pearson v. State of Delaware</w:t>
      </w:r>
      <w:r w:rsidRPr="00BF3522">
        <w:rPr>
          <w:rFonts w:ascii="Times New Roman" w:hAnsi="Times New Roman"/>
          <w:sz w:val="24"/>
          <w:szCs w:val="24"/>
        </w:rPr>
        <w:t xml:space="preserve">, the Supreme Court of Delaware held (5 to 0) that the former Deputy Fire Chief was properly convicted of for sexual abuse of a child “by a person in a position of trust, authority or supervision.”  In May 2022, fifteen-year-old M.M. was voted in as a Mill Creek junior firefighter.  Dwayne Peasrson was Deputy Fire Chief of neighboring Belvedere Fire Department; the evidence showed he groomed her into having several sexual contacts in August 2022.  He was arrested in January 2023, indicted and then proceeded to trial on January 22, 2024, convicted by a jury and sentenced July 3, </w:t>
      </w:r>
      <w:proofErr w:type="gramStart"/>
      <w:r w:rsidRPr="00BF3522">
        <w:rPr>
          <w:rFonts w:ascii="Times New Roman" w:hAnsi="Times New Roman"/>
          <w:sz w:val="24"/>
          <w:szCs w:val="24"/>
        </w:rPr>
        <w:t>2024</w:t>
      </w:r>
      <w:proofErr w:type="gramEnd"/>
      <w:r w:rsidRPr="00BF3522">
        <w:rPr>
          <w:rFonts w:ascii="Times New Roman" w:hAnsi="Times New Roman"/>
          <w:sz w:val="24"/>
          <w:szCs w:val="24"/>
        </w:rPr>
        <w:t xml:space="preserve"> to 35 years in prison.  THE COURT HELD: “A reasonable jury could find that Pearson stood in a ‘position of trust, authority or supervision’ over M.M. under subsection (e)(2) of the statute.” </w:t>
      </w:r>
    </w:p>
    <w:p w14:paraId="42F3A5EF" w14:textId="5B14ECA0" w:rsidR="00C305D0" w:rsidRPr="00BF3522" w:rsidRDefault="00C305D0" w:rsidP="00C305D0">
      <w:pPr>
        <w:pStyle w:val="NoSpacing"/>
        <w:rPr>
          <w:rFonts w:ascii="Times New Roman" w:hAnsi="Times New Roman"/>
          <w:sz w:val="24"/>
          <w:szCs w:val="24"/>
        </w:rPr>
      </w:pPr>
      <w:hyperlink r:id="rId2671" w:history="1">
        <w:r w:rsidRPr="00BF3522">
          <w:rPr>
            <w:rStyle w:val="Hyperlink"/>
            <w:rFonts w:ascii="Times New Roman" w:hAnsi="Times New Roman"/>
            <w:sz w:val="24"/>
            <w:szCs w:val="24"/>
          </w:rPr>
          <w:t>https://courts.delaware.gov/Opinions/Download.aspx?id=381340</w:t>
        </w:r>
      </w:hyperlink>
      <w:r w:rsidRPr="00BF3522">
        <w:rPr>
          <w:rFonts w:ascii="Times New Roman" w:hAnsi="Times New Roman"/>
          <w:sz w:val="24"/>
          <w:szCs w:val="24"/>
        </w:rPr>
        <w:t xml:space="preserve">  </w:t>
      </w:r>
    </w:p>
    <w:p w14:paraId="1D24BF21" w14:textId="77777777" w:rsidR="00BF3522" w:rsidRPr="00BF3522" w:rsidRDefault="00BF3522" w:rsidP="00C305D0">
      <w:pPr>
        <w:pStyle w:val="NoSpacing"/>
        <w:rPr>
          <w:rFonts w:ascii="Times New Roman" w:hAnsi="Times New Roman"/>
          <w:sz w:val="24"/>
          <w:szCs w:val="24"/>
        </w:rPr>
      </w:pPr>
    </w:p>
    <w:p w14:paraId="4695CDA7" w14:textId="77777777" w:rsidR="00BF3522" w:rsidRPr="00BF3522" w:rsidRDefault="00BF3522" w:rsidP="00BF3522">
      <w:pPr>
        <w:pStyle w:val="NoSpacing"/>
        <w:rPr>
          <w:rFonts w:ascii="Times New Roman" w:hAnsi="Times New Roman"/>
          <w:b/>
          <w:bCs/>
          <w:sz w:val="24"/>
          <w:szCs w:val="24"/>
        </w:rPr>
      </w:pPr>
      <w:r w:rsidRPr="00BF3522">
        <w:rPr>
          <w:rFonts w:ascii="Times New Roman" w:hAnsi="Times New Roman"/>
          <w:b/>
          <w:sz w:val="24"/>
          <w:szCs w:val="24"/>
        </w:rPr>
        <w:t xml:space="preserve">Legal lesson learned: Former Deputy Chief now in prison and has exhausted all his state court appeals. </w:t>
      </w:r>
    </w:p>
    <w:p w14:paraId="7BFF4BDE" w14:textId="77777777" w:rsidR="00BF3522" w:rsidRPr="00BF3522" w:rsidRDefault="00BF3522" w:rsidP="00BF3522">
      <w:pPr>
        <w:pStyle w:val="NoSpacing"/>
        <w:rPr>
          <w:rFonts w:ascii="Times New Roman" w:hAnsi="Times New Roman"/>
          <w:b/>
          <w:bCs/>
          <w:sz w:val="24"/>
          <w:szCs w:val="24"/>
        </w:rPr>
      </w:pPr>
      <w:r w:rsidRPr="00BF3522">
        <w:rPr>
          <w:rFonts w:ascii="Times New Roman" w:hAnsi="Times New Roman"/>
          <w:b/>
          <w:sz w:val="24"/>
          <w:szCs w:val="24"/>
        </w:rPr>
        <w:tab/>
      </w:r>
    </w:p>
    <w:p w14:paraId="0C0E7970" w14:textId="77777777" w:rsidR="00BF3522" w:rsidRPr="00BF3522" w:rsidRDefault="00BF3522" w:rsidP="00BF3522">
      <w:pPr>
        <w:pStyle w:val="NoSpacing"/>
        <w:rPr>
          <w:rFonts w:ascii="Times New Roman" w:hAnsi="Times New Roman"/>
          <w:sz w:val="24"/>
          <w:szCs w:val="24"/>
        </w:rPr>
      </w:pPr>
      <w:r w:rsidRPr="00BF3522">
        <w:rPr>
          <w:rFonts w:ascii="Times New Roman" w:hAnsi="Times New Roman"/>
          <w:b/>
          <w:sz w:val="24"/>
          <w:szCs w:val="24"/>
        </w:rPr>
        <w:tab/>
      </w:r>
      <w:r w:rsidRPr="00BF3522">
        <w:rPr>
          <w:rFonts w:ascii="Times New Roman" w:hAnsi="Times New Roman"/>
          <w:sz w:val="24"/>
          <w:szCs w:val="24"/>
        </w:rPr>
        <w:t xml:space="preserve">Note: See this article, “Former Deputy Fire Chief Arrested for Rape” (Jan. 13, 2023). </w:t>
      </w:r>
    </w:p>
    <w:p w14:paraId="225585D8" w14:textId="77777777" w:rsidR="00BF3522" w:rsidRPr="00BF3522" w:rsidRDefault="00BF3522" w:rsidP="00BF3522">
      <w:pPr>
        <w:ind w:firstLine="720"/>
        <w:rPr>
          <w:rFonts w:ascii="Times New Roman" w:hAnsi="Times New Roman"/>
          <w:b/>
          <w:sz w:val="24"/>
          <w:szCs w:val="24"/>
        </w:rPr>
      </w:pPr>
      <w:hyperlink r:id="rId2672" w:history="1">
        <w:r w:rsidRPr="00BF3522">
          <w:rPr>
            <w:rStyle w:val="Hyperlink"/>
            <w:rFonts w:ascii="Times New Roman" w:hAnsi="Times New Roman"/>
            <w:sz w:val="24"/>
            <w:szCs w:val="24"/>
          </w:rPr>
          <w:t>https://dsp.delaware.gov/2023/01/13/former-deputy-fire-chief-arrested-for-rape/</w:t>
        </w:r>
      </w:hyperlink>
      <w:r w:rsidRPr="00BF3522">
        <w:rPr>
          <w:rFonts w:ascii="Times New Roman" w:hAnsi="Times New Roman"/>
          <w:b/>
          <w:sz w:val="24"/>
          <w:szCs w:val="24"/>
        </w:rPr>
        <w:t xml:space="preserve"> </w:t>
      </w:r>
    </w:p>
    <w:p w14:paraId="45FC863C" w14:textId="77777777" w:rsidR="00BF3522" w:rsidRPr="00BF3522" w:rsidRDefault="00BF3522" w:rsidP="00BF3522">
      <w:pPr>
        <w:ind w:left="720"/>
        <w:rPr>
          <w:rFonts w:ascii="Times New Roman" w:hAnsi="Times New Roman"/>
          <w:b/>
          <w:sz w:val="24"/>
          <w:szCs w:val="24"/>
        </w:rPr>
      </w:pPr>
      <w:r w:rsidRPr="00BF3522">
        <w:rPr>
          <w:rFonts w:ascii="Times New Roman" w:hAnsi="Times New Roman"/>
          <w:sz w:val="24"/>
          <w:szCs w:val="24"/>
        </w:rPr>
        <w:t xml:space="preserve">This is his second appeal (and our second review of this case); on June 10, 2024, his appeal to the Superior Court of Delaware was denied. </w:t>
      </w:r>
      <w:hyperlink r:id="rId2673" w:history="1">
        <w:r w:rsidRPr="00BF3522">
          <w:rPr>
            <w:rStyle w:val="Hyperlink"/>
            <w:rFonts w:ascii="Times New Roman" w:hAnsi="Times New Roman"/>
            <w:sz w:val="24"/>
            <w:szCs w:val="24"/>
          </w:rPr>
          <w:t>https://cases.justia.com/delaware/superior-court/2024-2301003924.pdf?ts=1718040749</w:t>
        </w:r>
      </w:hyperlink>
    </w:p>
    <w:p w14:paraId="176631EB" w14:textId="77777777" w:rsidR="00BF3522" w:rsidRPr="00393E4D" w:rsidRDefault="00BF3522" w:rsidP="00C305D0">
      <w:pPr>
        <w:pStyle w:val="NoSpacing"/>
        <w:rPr>
          <w:rFonts w:ascii="Times New Roman" w:hAnsi="Times New Roman"/>
          <w:b/>
          <w:bCs/>
          <w:sz w:val="24"/>
          <w:szCs w:val="24"/>
        </w:rPr>
      </w:pPr>
    </w:p>
    <w:p w14:paraId="769D8FA5" w14:textId="3FDAA4E1" w:rsidR="00FB04CF" w:rsidRDefault="00FB04CF" w:rsidP="00FB04CF">
      <w:pPr>
        <w:pStyle w:val="NoSpacing"/>
        <w:rPr>
          <w:rFonts w:ascii="Arial Black" w:hAnsi="Arial Black"/>
          <w:sz w:val="24"/>
          <w:szCs w:val="24"/>
        </w:rPr>
      </w:pPr>
      <w:r>
        <w:rPr>
          <w:rFonts w:ascii="Arial Black" w:hAnsi="Arial Black"/>
          <w:sz w:val="24"/>
          <w:szCs w:val="24"/>
        </w:rPr>
        <w:t>16-126</w:t>
      </w:r>
    </w:p>
    <w:p w14:paraId="20A3A9EB" w14:textId="77777777" w:rsidR="00393E4D" w:rsidRDefault="00393E4D" w:rsidP="00393E4D">
      <w:pPr>
        <w:pStyle w:val="NoSpacing"/>
        <w:ind w:left="720"/>
      </w:pPr>
    </w:p>
    <w:p w14:paraId="39CFDEA7" w14:textId="77777777" w:rsidR="00FB04CF" w:rsidRDefault="00FB04CF" w:rsidP="00393E4D">
      <w:pPr>
        <w:pStyle w:val="NoSpacing"/>
        <w:ind w:left="720"/>
      </w:pPr>
    </w:p>
    <w:p w14:paraId="6F25DC5E" w14:textId="77777777" w:rsidR="004160C7" w:rsidRDefault="004160C7" w:rsidP="004160C7">
      <w:pPr>
        <w:rPr>
          <w:rFonts w:ascii="Arial Black" w:hAnsi="Arial Black"/>
          <w:b/>
          <w:sz w:val="28"/>
          <w:szCs w:val="28"/>
        </w:rPr>
      </w:pPr>
      <w:r>
        <w:rPr>
          <w:rFonts w:ascii="Arial Black" w:hAnsi="Arial Black"/>
          <w:b/>
          <w:sz w:val="28"/>
          <w:szCs w:val="28"/>
        </w:rPr>
        <w:t>TX: CHIEF FIRED – DIDN’T TELL CITY / TESTIFYING FF CASE</w:t>
      </w:r>
    </w:p>
    <w:p w14:paraId="1A83FD55" w14:textId="77777777" w:rsidR="004160C7" w:rsidRPr="000174EF" w:rsidRDefault="004160C7" w:rsidP="004160C7">
      <w:pPr>
        <w:pStyle w:val="NoSpacing"/>
        <w:rPr>
          <w:rFonts w:ascii="Times New Roman" w:hAnsi="Times New Roman"/>
          <w:sz w:val="24"/>
          <w:szCs w:val="24"/>
        </w:rPr>
      </w:pPr>
      <w:r w:rsidRPr="000174EF">
        <w:rPr>
          <w:rFonts w:ascii="Times New Roman" w:hAnsi="Times New Roman"/>
          <w:sz w:val="24"/>
          <w:szCs w:val="24"/>
        </w:rPr>
        <w:t xml:space="preserve">On June 16, 2025, in </w:t>
      </w:r>
      <w:r w:rsidRPr="000174EF">
        <w:rPr>
          <w:rFonts w:ascii="Times New Roman" w:hAnsi="Times New Roman"/>
          <w:sz w:val="24"/>
          <w:szCs w:val="24"/>
          <w:u w:val="single"/>
        </w:rPr>
        <w:t>Mark Hamilton v. The City of Wilmer, Texas, et al</w:t>
      </w:r>
      <w:r w:rsidRPr="000174EF">
        <w:rPr>
          <w:rFonts w:ascii="Times New Roman" w:hAnsi="Times New Roman"/>
          <w:sz w:val="24"/>
          <w:szCs w:val="24"/>
        </w:rPr>
        <w:t xml:space="preserve">., the U.S. Court of Appeals for the Fifth Circuit (New Orleans) held (3 to 0) that the trial court properly granted the City’s motion for summary judgment.  Fire Chief did not have First Amendment right to testify in a firefighter’s criminal probation revocation hearing. Failure to get prior permission by City Administrator, or City Attorney, was serious breach of “maintaining proper discipline in public service.” The Chief’s testimony “could have been seen as an endorsement on behalf of the Fire Department rather than merely his personal opinion.”  In 2019 the firefighter was arrested for putting recording equipment in the bathroom of the fire station (he claimed it was to find out who stole items from his locker).  He was eventually returned to duty, and on probation in criminal case.  The Fire Chief received a subpoena on June 22, 2022, for a hearing the next day – but he didn’t tell City Administrator or City Attorney. The firefighter told him it was simply about getting new legal counsel. The June 23, </w:t>
      </w:r>
      <w:proofErr w:type="gramStart"/>
      <w:r w:rsidRPr="000174EF">
        <w:rPr>
          <w:rFonts w:ascii="Times New Roman" w:hAnsi="Times New Roman"/>
          <w:sz w:val="24"/>
          <w:szCs w:val="24"/>
        </w:rPr>
        <w:t>2022</w:t>
      </w:r>
      <w:proofErr w:type="gramEnd"/>
      <w:r w:rsidRPr="000174EF">
        <w:rPr>
          <w:rFonts w:ascii="Times New Roman" w:hAnsi="Times New Roman"/>
          <w:sz w:val="24"/>
          <w:szCs w:val="24"/>
        </w:rPr>
        <w:t xml:space="preserve"> hearing was </w:t>
      </w:r>
      <w:proofErr w:type="gramStart"/>
      <w:r w:rsidRPr="000174EF">
        <w:rPr>
          <w:rFonts w:ascii="Times New Roman" w:hAnsi="Times New Roman"/>
          <w:sz w:val="24"/>
          <w:szCs w:val="24"/>
        </w:rPr>
        <w:t>actually about</w:t>
      </w:r>
      <w:proofErr w:type="gramEnd"/>
      <w:r w:rsidRPr="000174EF">
        <w:rPr>
          <w:rFonts w:ascii="Times New Roman" w:hAnsi="Times New Roman"/>
          <w:sz w:val="24"/>
          <w:szCs w:val="24"/>
        </w:rPr>
        <w:t xml:space="preserve"> County Prosecutor seeking to revoke probation because the firefighter had “visited adult sexually oriented websites on his phone.”  At the conclusion of the hearing the Chief was “shocked” when judge revoked the firefighter’s probation and ordered him into custody to serve three months (270 days) in prison.  The firefighter resigned that day.  The Fire Chief didn’t inform City </w:t>
      </w:r>
      <w:proofErr w:type="gramStart"/>
      <w:r w:rsidRPr="000174EF">
        <w:rPr>
          <w:rFonts w:ascii="Times New Roman" w:hAnsi="Times New Roman"/>
          <w:sz w:val="24"/>
          <w:szCs w:val="24"/>
        </w:rPr>
        <w:t>Administrator</w:t>
      </w:r>
      <w:proofErr w:type="gramEnd"/>
      <w:r w:rsidRPr="000174EF">
        <w:rPr>
          <w:rFonts w:ascii="Times New Roman" w:hAnsi="Times New Roman"/>
          <w:sz w:val="24"/>
          <w:szCs w:val="24"/>
        </w:rPr>
        <w:t xml:space="preserve"> didn’t immediately inform the City Administrator about the hearing results or the resignation; he waited until the following afternoon.  THE COURT HELD: “The issue here is whether Hamilton has stated a claim that he was fired in retaliation for protected First Amendment activity. We find that he has not, so we AFFIRM the decision of the district court.”</w:t>
      </w:r>
    </w:p>
    <w:p w14:paraId="29885B5E" w14:textId="4D927D67" w:rsidR="004160C7" w:rsidRPr="000174EF" w:rsidRDefault="00910AD4" w:rsidP="00A359DC">
      <w:pPr>
        <w:pStyle w:val="NoSpacing"/>
        <w:rPr>
          <w:rFonts w:ascii="Times New Roman" w:hAnsi="Times New Roman"/>
          <w:sz w:val="24"/>
          <w:szCs w:val="24"/>
        </w:rPr>
      </w:pPr>
      <w:hyperlink r:id="rId2674" w:history="1">
        <w:r w:rsidRPr="000174EF">
          <w:rPr>
            <w:rStyle w:val="Hyperlink"/>
            <w:rFonts w:ascii="Times New Roman" w:hAnsi="Times New Roman"/>
            <w:sz w:val="24"/>
            <w:szCs w:val="24"/>
          </w:rPr>
          <w:t>https://www.ca5.uscourts.gov/opinions/pub/23/23-10881-CV0.pdf</w:t>
        </w:r>
      </w:hyperlink>
    </w:p>
    <w:p w14:paraId="514F0559" w14:textId="77777777" w:rsidR="00635D7C" w:rsidRPr="000174EF" w:rsidRDefault="00635D7C" w:rsidP="00CF19EA">
      <w:pPr>
        <w:pStyle w:val="NoSpacing"/>
        <w:rPr>
          <w:rFonts w:ascii="Times New Roman" w:hAnsi="Times New Roman"/>
          <w:sz w:val="24"/>
          <w:szCs w:val="24"/>
        </w:rPr>
      </w:pPr>
    </w:p>
    <w:p w14:paraId="1CDF3564" w14:textId="77777777" w:rsidR="000174EF" w:rsidRPr="000174EF" w:rsidRDefault="000174EF" w:rsidP="000174EF">
      <w:pPr>
        <w:pStyle w:val="NoSpacing"/>
        <w:rPr>
          <w:rFonts w:ascii="Times New Roman" w:hAnsi="Times New Roman"/>
          <w:sz w:val="24"/>
          <w:szCs w:val="24"/>
        </w:rPr>
      </w:pPr>
      <w:r w:rsidRPr="000174EF">
        <w:rPr>
          <w:rFonts w:ascii="Times New Roman" w:hAnsi="Times New Roman"/>
          <w:b/>
          <w:sz w:val="24"/>
          <w:szCs w:val="24"/>
        </w:rPr>
        <w:t xml:space="preserve">Legal lesson learned: If subpoenaed to testify about a firefighter in a criminal </w:t>
      </w:r>
      <w:r w:rsidRPr="000174EF">
        <w:rPr>
          <w:rFonts w:ascii="Times New Roman" w:hAnsi="Times New Roman"/>
          <w:b/>
          <w:bCs/>
          <w:sz w:val="24"/>
          <w:szCs w:val="24"/>
        </w:rPr>
        <w:t xml:space="preserve">or other court </w:t>
      </w:r>
      <w:r w:rsidRPr="000174EF">
        <w:rPr>
          <w:rFonts w:ascii="Times New Roman" w:hAnsi="Times New Roman"/>
          <w:b/>
          <w:sz w:val="24"/>
          <w:szCs w:val="24"/>
        </w:rPr>
        <w:t xml:space="preserve">proceeding, inform </w:t>
      </w:r>
      <w:r w:rsidRPr="000174EF">
        <w:rPr>
          <w:rFonts w:ascii="Times New Roman" w:hAnsi="Times New Roman"/>
          <w:b/>
          <w:bCs/>
          <w:sz w:val="24"/>
          <w:szCs w:val="24"/>
        </w:rPr>
        <w:t xml:space="preserve">Manager and </w:t>
      </w:r>
      <w:r w:rsidRPr="000174EF">
        <w:rPr>
          <w:rFonts w:ascii="Times New Roman" w:hAnsi="Times New Roman"/>
          <w:b/>
          <w:sz w:val="24"/>
          <w:szCs w:val="24"/>
        </w:rPr>
        <w:t xml:space="preserve">Legal Counsel and follow their advice.  </w:t>
      </w:r>
    </w:p>
    <w:p w14:paraId="0DDE1BDA" w14:textId="77777777" w:rsidR="000174EF" w:rsidRPr="000174EF" w:rsidRDefault="000174EF" w:rsidP="00CF19EA">
      <w:pPr>
        <w:pStyle w:val="NoSpacing"/>
        <w:rPr>
          <w:rFonts w:ascii="Times New Roman" w:hAnsi="Times New Roman"/>
          <w:sz w:val="24"/>
          <w:szCs w:val="24"/>
        </w:rPr>
      </w:pPr>
    </w:p>
    <w:p w14:paraId="3E3F347F" w14:textId="77777777" w:rsidR="00635D7C" w:rsidRDefault="00635D7C" w:rsidP="00CF19EA">
      <w:pPr>
        <w:pStyle w:val="NoSpacing"/>
        <w:rPr>
          <w:rFonts w:ascii="Arial Black" w:hAnsi="Arial Black"/>
          <w:sz w:val="28"/>
          <w:szCs w:val="28"/>
        </w:rPr>
      </w:pPr>
    </w:p>
    <w:p w14:paraId="29782655" w14:textId="3B2A3EE3" w:rsidR="00FB04CF" w:rsidRDefault="00FB04CF" w:rsidP="00FB04CF">
      <w:pPr>
        <w:pStyle w:val="NoSpacing"/>
        <w:rPr>
          <w:rFonts w:ascii="Arial Black" w:hAnsi="Arial Black"/>
          <w:sz w:val="24"/>
          <w:szCs w:val="24"/>
        </w:rPr>
      </w:pPr>
      <w:r>
        <w:rPr>
          <w:rFonts w:ascii="Arial Black" w:hAnsi="Arial Black"/>
          <w:sz w:val="24"/>
          <w:szCs w:val="24"/>
        </w:rPr>
        <w:t>16-125</w:t>
      </w:r>
    </w:p>
    <w:p w14:paraId="014AB115" w14:textId="77777777" w:rsidR="00FB04CF" w:rsidRDefault="00FB04CF" w:rsidP="00E631C5">
      <w:pPr>
        <w:pStyle w:val="NoSpacing"/>
        <w:rPr>
          <w:rFonts w:ascii="Arial Black" w:hAnsi="Arial Black"/>
          <w:sz w:val="28"/>
          <w:szCs w:val="28"/>
        </w:rPr>
      </w:pPr>
    </w:p>
    <w:p w14:paraId="2539C951" w14:textId="0F9A3CFE" w:rsidR="00E631C5" w:rsidRDefault="00E631C5" w:rsidP="00E631C5">
      <w:pPr>
        <w:pStyle w:val="NoSpacing"/>
        <w:rPr>
          <w:rFonts w:ascii="Arial Black" w:hAnsi="Arial Black"/>
          <w:sz w:val="28"/>
          <w:szCs w:val="28"/>
        </w:rPr>
      </w:pPr>
      <w:r>
        <w:rPr>
          <w:rFonts w:ascii="Arial Black" w:hAnsi="Arial Black"/>
          <w:sz w:val="28"/>
          <w:szCs w:val="28"/>
        </w:rPr>
        <w:t xml:space="preserve">NJ: EMS CHIEF / OFFICE ROMANCE </w:t>
      </w:r>
      <w:r w:rsidR="009B1B97">
        <w:rPr>
          <w:rFonts w:ascii="Arial Black" w:hAnsi="Arial Black"/>
          <w:sz w:val="28"/>
          <w:szCs w:val="28"/>
        </w:rPr>
        <w:t xml:space="preserve">WITH </w:t>
      </w:r>
      <w:r>
        <w:rPr>
          <w:rFonts w:ascii="Arial Black" w:hAnsi="Arial Black"/>
          <w:sz w:val="28"/>
          <w:szCs w:val="28"/>
        </w:rPr>
        <w:t>SUBORDINATE – FIRED</w:t>
      </w:r>
    </w:p>
    <w:p w14:paraId="447C31A6" w14:textId="77777777" w:rsidR="009B1B97" w:rsidRPr="00FB04CF" w:rsidRDefault="009B1B97" w:rsidP="009B1B97">
      <w:pPr>
        <w:pStyle w:val="NoSpacing"/>
        <w:rPr>
          <w:rFonts w:ascii="Times New Roman" w:hAnsi="Times New Roman"/>
          <w:sz w:val="24"/>
          <w:szCs w:val="24"/>
        </w:rPr>
      </w:pPr>
      <w:hyperlink r:id="rId2675" w:history="1">
        <w:r w:rsidRPr="00FB04CF">
          <w:rPr>
            <w:rStyle w:val="Hyperlink"/>
            <w:rFonts w:ascii="Times New Roman" w:hAnsi="Times New Roman"/>
            <w:sz w:val="24"/>
            <w:szCs w:val="24"/>
          </w:rPr>
          <w:t>https://www.njcourts.gov/system/files/court-opinions/2025/a1587-23.pdf</w:t>
        </w:r>
      </w:hyperlink>
      <w:r w:rsidRPr="00FB04CF">
        <w:rPr>
          <w:rFonts w:ascii="Times New Roman" w:hAnsi="Times New Roman"/>
          <w:sz w:val="24"/>
          <w:szCs w:val="24"/>
        </w:rPr>
        <w:t xml:space="preserve"> </w:t>
      </w:r>
    </w:p>
    <w:p w14:paraId="65FD60EC" w14:textId="77777777" w:rsidR="009B1B97" w:rsidRDefault="009B1B97" w:rsidP="00E631C5">
      <w:pPr>
        <w:pStyle w:val="NoSpacing"/>
        <w:rPr>
          <w:rFonts w:ascii="Arial Black" w:hAnsi="Arial Black"/>
          <w:sz w:val="28"/>
          <w:szCs w:val="28"/>
        </w:rPr>
      </w:pPr>
    </w:p>
    <w:p w14:paraId="34ECEAE3" w14:textId="77777777" w:rsidR="00E631C5" w:rsidRPr="00FB04CF" w:rsidRDefault="00E631C5" w:rsidP="00E631C5">
      <w:pPr>
        <w:pStyle w:val="NoSpacing"/>
        <w:rPr>
          <w:rFonts w:ascii="Times New Roman" w:hAnsi="Times New Roman"/>
          <w:sz w:val="24"/>
          <w:szCs w:val="24"/>
        </w:rPr>
      </w:pPr>
      <w:r w:rsidRPr="00FB04CF">
        <w:rPr>
          <w:rFonts w:ascii="Times New Roman" w:hAnsi="Times New Roman"/>
          <w:sz w:val="24"/>
          <w:szCs w:val="24"/>
        </w:rPr>
        <w:t xml:space="preserve">On May 20, 2025, </w:t>
      </w:r>
      <w:r w:rsidRPr="00FB04CF">
        <w:rPr>
          <w:rFonts w:ascii="Times New Roman" w:hAnsi="Times New Roman"/>
          <w:sz w:val="24"/>
          <w:szCs w:val="24"/>
          <w:u w:val="single"/>
        </w:rPr>
        <w:t xml:space="preserve">In </w:t>
      </w:r>
      <w:proofErr w:type="gramStart"/>
      <w:r w:rsidRPr="00FB04CF">
        <w:rPr>
          <w:rFonts w:ascii="Times New Roman" w:hAnsi="Times New Roman"/>
          <w:sz w:val="24"/>
          <w:szCs w:val="24"/>
          <w:u w:val="single"/>
        </w:rPr>
        <w:t>The</w:t>
      </w:r>
      <w:proofErr w:type="gramEnd"/>
      <w:r w:rsidRPr="00FB04CF">
        <w:rPr>
          <w:rFonts w:ascii="Times New Roman" w:hAnsi="Times New Roman"/>
          <w:sz w:val="24"/>
          <w:szCs w:val="24"/>
          <w:u w:val="single"/>
        </w:rPr>
        <w:t xml:space="preserve"> Matter </w:t>
      </w:r>
      <w:proofErr w:type="gramStart"/>
      <w:r w:rsidRPr="00FB04CF">
        <w:rPr>
          <w:rFonts w:ascii="Times New Roman" w:hAnsi="Times New Roman"/>
          <w:sz w:val="24"/>
          <w:szCs w:val="24"/>
          <w:u w:val="single"/>
        </w:rPr>
        <w:t>Of</w:t>
      </w:r>
      <w:proofErr w:type="gramEnd"/>
      <w:r w:rsidRPr="00FB04CF">
        <w:rPr>
          <w:rFonts w:ascii="Times New Roman" w:hAnsi="Times New Roman"/>
          <w:sz w:val="24"/>
          <w:szCs w:val="24"/>
          <w:u w:val="single"/>
        </w:rPr>
        <w:t xml:space="preserve"> Michelle Sampson. Upper Township, Department of Recreation and Public Health</w:t>
      </w:r>
      <w:r w:rsidRPr="00FB04CF">
        <w:rPr>
          <w:rFonts w:ascii="Times New Roman" w:hAnsi="Times New Roman"/>
          <w:sz w:val="24"/>
          <w:szCs w:val="24"/>
        </w:rPr>
        <w:t xml:space="preserve">, the Superior Court of New Jersey, Appellate Division, held (2 to 0; unpublished decision) that the New Jersey Civil Service Commission on December 20, </w:t>
      </w:r>
      <w:proofErr w:type="gramStart"/>
      <w:r w:rsidRPr="00FB04CF">
        <w:rPr>
          <w:rFonts w:ascii="Times New Roman" w:hAnsi="Times New Roman"/>
          <w:sz w:val="24"/>
          <w:szCs w:val="24"/>
        </w:rPr>
        <w:t>2023</w:t>
      </w:r>
      <w:proofErr w:type="gramEnd"/>
      <w:r w:rsidRPr="00FB04CF">
        <w:rPr>
          <w:rFonts w:ascii="Times New Roman" w:hAnsi="Times New Roman"/>
          <w:sz w:val="24"/>
          <w:szCs w:val="24"/>
        </w:rPr>
        <w:t xml:space="preserve"> properly upheld Township’s firing M. Sampson for repeatedly violating the Dating Policy.  Petitioner and [her boyfriend] J.H. were engaged in a romantic relationship that began and ended in 2007 while both were co-employees. In 2016, petitioner and J.H., both married to others, rekindled their romantic relationship and began an extra-marital affair and never reported this to the Township. THE COURT HELD: “Petitioner should have disclosed the conflict or abstained from taking part in the hiring process once M.H. [wife of J.H.] was a candidate. As such, the Agency's final decision was not arbitrary and capricious.”  </w:t>
      </w:r>
    </w:p>
    <w:p w14:paraId="7FFBE4B9" w14:textId="77777777" w:rsidR="00E631C5" w:rsidRPr="00FB04CF" w:rsidRDefault="00E631C5" w:rsidP="00E631C5">
      <w:pPr>
        <w:pStyle w:val="NoSpacing"/>
        <w:rPr>
          <w:rFonts w:ascii="Times New Roman" w:hAnsi="Times New Roman"/>
          <w:sz w:val="24"/>
          <w:szCs w:val="24"/>
        </w:rPr>
      </w:pPr>
      <w:hyperlink r:id="rId2676" w:history="1">
        <w:r w:rsidRPr="00FB04CF">
          <w:rPr>
            <w:rStyle w:val="Hyperlink"/>
            <w:rFonts w:ascii="Times New Roman" w:hAnsi="Times New Roman"/>
            <w:sz w:val="24"/>
            <w:szCs w:val="24"/>
          </w:rPr>
          <w:t>https://www.njcourts.gov/system/files/court-opinions/2025/a1587-23.pdf</w:t>
        </w:r>
      </w:hyperlink>
      <w:r w:rsidRPr="00FB04CF">
        <w:rPr>
          <w:rFonts w:ascii="Times New Roman" w:hAnsi="Times New Roman"/>
          <w:sz w:val="24"/>
          <w:szCs w:val="24"/>
        </w:rPr>
        <w:t xml:space="preserve"> </w:t>
      </w:r>
    </w:p>
    <w:p w14:paraId="7D827A60" w14:textId="77777777" w:rsidR="00E631C5" w:rsidRPr="00FB04CF" w:rsidRDefault="00E631C5" w:rsidP="00E631C5">
      <w:pPr>
        <w:pStyle w:val="NoSpacing"/>
        <w:rPr>
          <w:rFonts w:ascii="Times New Roman" w:hAnsi="Times New Roman"/>
          <w:sz w:val="24"/>
          <w:szCs w:val="24"/>
        </w:rPr>
      </w:pPr>
    </w:p>
    <w:p w14:paraId="257DBC9E" w14:textId="77777777" w:rsidR="00FB04CF" w:rsidRPr="00FB04CF" w:rsidRDefault="00FB04CF" w:rsidP="00FB04CF">
      <w:pPr>
        <w:pStyle w:val="NoSpacing"/>
        <w:rPr>
          <w:rFonts w:ascii="Times New Roman" w:hAnsi="Times New Roman"/>
          <w:b/>
          <w:bCs/>
          <w:sz w:val="24"/>
          <w:szCs w:val="24"/>
        </w:rPr>
      </w:pPr>
      <w:r w:rsidRPr="00FB04CF">
        <w:rPr>
          <w:rFonts w:ascii="Times New Roman" w:hAnsi="Times New Roman"/>
          <w:b/>
          <w:sz w:val="24"/>
          <w:szCs w:val="24"/>
        </w:rPr>
        <w:t>Legal lesson learned:  A “Dating Policy” requiring supervisors to report dating of subordinates is an excellent management tool.</w:t>
      </w:r>
    </w:p>
    <w:p w14:paraId="63B9D170" w14:textId="77777777" w:rsidR="00FB04CF" w:rsidRPr="00FB04CF" w:rsidRDefault="00FB04CF" w:rsidP="00FB04CF">
      <w:pPr>
        <w:pStyle w:val="NoSpacing"/>
        <w:rPr>
          <w:rFonts w:ascii="Times New Roman" w:hAnsi="Times New Roman"/>
          <w:sz w:val="24"/>
          <w:szCs w:val="24"/>
        </w:rPr>
      </w:pPr>
    </w:p>
    <w:p w14:paraId="45D2239A" w14:textId="77777777" w:rsidR="00E631C5" w:rsidRDefault="00E631C5" w:rsidP="00CF19EA">
      <w:pPr>
        <w:pStyle w:val="NoSpacing"/>
        <w:rPr>
          <w:rFonts w:ascii="Arial Black" w:hAnsi="Arial Black"/>
          <w:sz w:val="28"/>
          <w:szCs w:val="28"/>
        </w:rPr>
      </w:pPr>
    </w:p>
    <w:p w14:paraId="5ACCE129" w14:textId="4DFC0E5F" w:rsidR="00FB04CF" w:rsidRDefault="00FB04CF" w:rsidP="00FB04CF">
      <w:pPr>
        <w:pStyle w:val="NoSpacing"/>
        <w:rPr>
          <w:rFonts w:ascii="Arial Black" w:hAnsi="Arial Black"/>
          <w:sz w:val="24"/>
          <w:szCs w:val="24"/>
        </w:rPr>
      </w:pPr>
      <w:r>
        <w:rPr>
          <w:rFonts w:ascii="Arial Black" w:hAnsi="Arial Black"/>
          <w:sz w:val="24"/>
          <w:szCs w:val="24"/>
        </w:rPr>
        <w:t>16-124</w:t>
      </w:r>
    </w:p>
    <w:p w14:paraId="5FFDFBE5" w14:textId="77777777" w:rsidR="00E631C5" w:rsidRDefault="00E631C5" w:rsidP="00CF19EA">
      <w:pPr>
        <w:pStyle w:val="NoSpacing"/>
        <w:rPr>
          <w:rFonts w:ascii="Arial Black" w:hAnsi="Arial Black"/>
          <w:sz w:val="28"/>
          <w:szCs w:val="28"/>
        </w:rPr>
      </w:pPr>
    </w:p>
    <w:p w14:paraId="1D187F3B" w14:textId="19CDB21F" w:rsidR="00CF19EA" w:rsidRPr="006F2B87" w:rsidRDefault="00CF19EA" w:rsidP="00CF19EA">
      <w:pPr>
        <w:pStyle w:val="NoSpacing"/>
        <w:rPr>
          <w:rFonts w:ascii="Arial Black" w:hAnsi="Arial Black"/>
          <w:sz w:val="28"/>
          <w:szCs w:val="28"/>
        </w:rPr>
      </w:pPr>
      <w:r w:rsidRPr="006F2B87">
        <w:rPr>
          <w:rFonts w:ascii="Arial Black" w:hAnsi="Arial Black"/>
          <w:sz w:val="28"/>
          <w:szCs w:val="28"/>
        </w:rPr>
        <w:t>OR:  FF FIRED – MISUSE SICK LEAVE – GPS TRACKER</w:t>
      </w:r>
      <w:r>
        <w:rPr>
          <w:rFonts w:ascii="Arial Black" w:hAnsi="Arial Black"/>
          <w:sz w:val="28"/>
          <w:szCs w:val="28"/>
        </w:rPr>
        <w:t xml:space="preserve"> / CELL</w:t>
      </w:r>
    </w:p>
    <w:p w14:paraId="4FD5B1F4" w14:textId="77777777" w:rsidR="00CF19EA" w:rsidRPr="006F2B87" w:rsidRDefault="00CF19EA" w:rsidP="00CF19EA">
      <w:pPr>
        <w:pStyle w:val="NoSpacing"/>
      </w:pPr>
    </w:p>
    <w:p w14:paraId="5418CE55" w14:textId="77777777" w:rsidR="00CF19EA" w:rsidRPr="00CF19EA" w:rsidRDefault="00CF19EA" w:rsidP="00CF19EA">
      <w:pPr>
        <w:pStyle w:val="NoSpacing"/>
        <w:rPr>
          <w:rFonts w:ascii="Times New Roman" w:hAnsi="Times New Roman"/>
          <w:sz w:val="24"/>
          <w:szCs w:val="24"/>
        </w:rPr>
      </w:pPr>
      <w:r w:rsidRPr="00CF19EA">
        <w:rPr>
          <w:rFonts w:ascii="Times New Roman" w:hAnsi="Times New Roman"/>
          <w:sz w:val="24"/>
          <w:szCs w:val="24"/>
        </w:rPr>
        <w:t xml:space="preserve">On May 2, 2025, in </w:t>
      </w:r>
      <w:r w:rsidRPr="00CF19EA">
        <w:rPr>
          <w:rFonts w:ascii="Times New Roman" w:hAnsi="Times New Roman"/>
          <w:sz w:val="24"/>
          <w:szCs w:val="24"/>
          <w:u w:val="single"/>
        </w:rPr>
        <w:t>Zachary Taylor v. Sweet Home Fire &amp; Ambulance District; Mark Nicholas Tyler et al</w:t>
      </w:r>
      <w:r w:rsidRPr="00CF19EA">
        <w:rPr>
          <w:rFonts w:ascii="Times New Roman" w:hAnsi="Times New Roman"/>
          <w:sz w:val="24"/>
          <w:szCs w:val="24"/>
        </w:rPr>
        <w:t xml:space="preserve">., U.S. District Court Judge Mustafa T. </w:t>
      </w:r>
      <w:proofErr w:type="spellStart"/>
      <w:r w:rsidRPr="00CF19EA">
        <w:rPr>
          <w:rFonts w:ascii="Times New Roman" w:hAnsi="Times New Roman"/>
          <w:sz w:val="24"/>
          <w:szCs w:val="24"/>
        </w:rPr>
        <w:t>Kasubhai</w:t>
      </w:r>
      <w:proofErr w:type="spellEnd"/>
      <w:r w:rsidRPr="00CF19EA">
        <w:rPr>
          <w:rFonts w:ascii="Times New Roman" w:hAnsi="Times New Roman"/>
          <w:sz w:val="24"/>
          <w:szCs w:val="24"/>
        </w:rPr>
        <w:t xml:space="preserve">, United States District Court for the District of Oregon, held that the plaintiff, who was fired on March 29, </w:t>
      </w:r>
      <w:proofErr w:type="gramStart"/>
      <w:r w:rsidRPr="00CF19EA">
        <w:rPr>
          <w:rFonts w:ascii="Times New Roman" w:hAnsi="Times New Roman"/>
          <w:sz w:val="24"/>
          <w:szCs w:val="24"/>
        </w:rPr>
        <w:t>2023</w:t>
      </w:r>
      <w:proofErr w:type="gramEnd"/>
      <w:r w:rsidRPr="00CF19EA">
        <w:rPr>
          <w:rFonts w:ascii="Times New Roman" w:hAnsi="Times New Roman"/>
          <w:sz w:val="24"/>
          <w:szCs w:val="24"/>
        </w:rPr>
        <w:t xml:space="preserve"> for misuse of sick time may proceed with claim that Fire Chief tracked his location using GPS on his personal cell phone.  Plaintiff is pro se (no attorney) and six claims were dismissed, but 4</w:t>
      </w:r>
      <w:r w:rsidRPr="00CF19EA">
        <w:rPr>
          <w:rFonts w:ascii="Times New Roman" w:hAnsi="Times New Roman"/>
          <w:sz w:val="24"/>
          <w:szCs w:val="24"/>
          <w:vertAlign w:val="superscript"/>
        </w:rPr>
        <w:t>th</w:t>
      </w:r>
      <w:r w:rsidRPr="00CF19EA">
        <w:rPr>
          <w:rFonts w:ascii="Times New Roman" w:hAnsi="Times New Roman"/>
          <w:sz w:val="24"/>
          <w:szCs w:val="24"/>
        </w:rPr>
        <w:t xml:space="preserve"> Amendment claim and claim he was denied Civil Service hearing may proceed with pre-trial discovery.  </w:t>
      </w:r>
    </w:p>
    <w:p w14:paraId="56B073E9" w14:textId="77777777" w:rsidR="00CF19EA" w:rsidRPr="00CF19EA" w:rsidRDefault="00CF19EA" w:rsidP="00CF19EA">
      <w:pPr>
        <w:pStyle w:val="NoSpacing"/>
        <w:rPr>
          <w:rFonts w:ascii="Times New Roman" w:hAnsi="Times New Roman"/>
          <w:sz w:val="24"/>
          <w:szCs w:val="24"/>
        </w:rPr>
      </w:pPr>
    </w:p>
    <w:p w14:paraId="5A7DDF2B" w14:textId="4A5B941A" w:rsidR="007B4499" w:rsidRPr="00CF19EA" w:rsidRDefault="00CF19EA" w:rsidP="00CF19EA">
      <w:pPr>
        <w:pStyle w:val="NoSpacing"/>
        <w:rPr>
          <w:rFonts w:ascii="Times New Roman" w:hAnsi="Times New Roman"/>
          <w:sz w:val="24"/>
          <w:szCs w:val="24"/>
        </w:rPr>
      </w:pPr>
      <w:r w:rsidRPr="00CF19EA">
        <w:rPr>
          <w:rFonts w:ascii="Times New Roman" w:hAnsi="Times New Roman"/>
          <w:sz w:val="24"/>
          <w:szCs w:val="24"/>
        </w:rPr>
        <w:t xml:space="preserve">The Court wrote: “Third Claim - Unreasonable Search and Seizure. Plaintiff's Third Claim is a § 1983 claim alleging that Barringer violated Plaintiff's Fourth Amendment rights by using a first responder application installed on Plaintiff's phone to track Plaintiff's location for a non-emergency response purpose. FAC [First Amended Complaint] ¶ 175. Plaintiff alleges that on April 18, 2022, he called in sick to work because he was nervous about Barringer being there. FAC ¶ 71-72. Barringer became immediately suspicious that Plaintiff was abusing his use of sick time. FAC ¶ 72. Barringer located Plaintiff using the first responder application installed on Plaintiff's phone and drove twenty-two miles from work to spy on Plaintiff. FAC ¶ 72. Plaintiff was then placed on administrative leave pending a fit for duty evaluation. FAC ¶ 175. *** The remainder of Plaintiff's FAC relates to an investigation that took place from May 2022 to March 2023 regarding Plaintiff's alleged misuse of sick leave. </w:t>
      </w:r>
      <w:r w:rsidRPr="00CF19EA">
        <w:rPr>
          <w:rFonts w:ascii="Times New Roman" w:hAnsi="Times New Roman"/>
          <w:i/>
          <w:iCs/>
          <w:sz w:val="24"/>
          <w:szCs w:val="24"/>
        </w:rPr>
        <w:t>Id</w:t>
      </w:r>
      <w:r w:rsidRPr="00CF19EA">
        <w:rPr>
          <w:rFonts w:ascii="Times New Roman" w:hAnsi="Times New Roman"/>
          <w:sz w:val="24"/>
          <w:szCs w:val="24"/>
        </w:rPr>
        <w:t xml:space="preserve">. ¶¶ 70-133. Plaintiff was placed on administrative leave for eleven </w:t>
      </w:r>
      <w:proofErr w:type="gramStart"/>
      <w:r w:rsidRPr="00CF19EA">
        <w:rPr>
          <w:rFonts w:ascii="Times New Roman" w:hAnsi="Times New Roman"/>
          <w:sz w:val="24"/>
          <w:szCs w:val="24"/>
        </w:rPr>
        <w:t>months, and</w:t>
      </w:r>
      <w:proofErr w:type="gramEnd"/>
      <w:r w:rsidRPr="00CF19EA">
        <w:rPr>
          <w:rFonts w:ascii="Times New Roman" w:hAnsi="Times New Roman"/>
          <w:sz w:val="24"/>
          <w:szCs w:val="24"/>
        </w:rPr>
        <w:t xml:space="preserve"> ultimately terminated from his position on March 29, 2023. </w:t>
      </w:r>
      <w:r w:rsidRPr="00CF19EA">
        <w:rPr>
          <w:rFonts w:ascii="Times New Roman" w:hAnsi="Times New Roman"/>
          <w:i/>
          <w:iCs/>
          <w:sz w:val="24"/>
          <w:szCs w:val="24"/>
        </w:rPr>
        <w:t>Id.</w:t>
      </w:r>
      <w:r w:rsidRPr="00CF19EA">
        <w:rPr>
          <w:rFonts w:ascii="Times New Roman" w:hAnsi="Times New Roman"/>
          <w:sz w:val="24"/>
          <w:szCs w:val="24"/>
        </w:rPr>
        <w:t xml:space="preserve"> ¶¶ 43, 72, 131, 145. *** The underlying conduct giving rise to Plaintiff's Third Claim occurred within the two-year statute of limitations. Defendants did not move to dismiss this claim against Barringer on substantive </w:t>
      </w:r>
      <w:proofErr w:type="gramStart"/>
      <w:r w:rsidRPr="00CF19EA">
        <w:rPr>
          <w:rFonts w:ascii="Times New Roman" w:hAnsi="Times New Roman"/>
          <w:sz w:val="24"/>
          <w:szCs w:val="24"/>
        </w:rPr>
        <w:t>grounds.”</w:t>
      </w:r>
      <w:proofErr w:type="gramEnd"/>
      <w:r w:rsidRPr="00CF19EA">
        <w:rPr>
          <w:rFonts w:ascii="Times New Roman" w:hAnsi="Times New Roman"/>
          <w:sz w:val="24"/>
          <w:szCs w:val="24"/>
        </w:rPr>
        <w:t xml:space="preserve">  </w:t>
      </w:r>
      <w:hyperlink r:id="rId2677" w:history="1">
        <w:r w:rsidRPr="00CF19EA">
          <w:rPr>
            <w:rStyle w:val="Hyperlink"/>
            <w:rFonts w:ascii="Times New Roman" w:hAnsi="Times New Roman"/>
            <w:sz w:val="24"/>
            <w:szCs w:val="24"/>
          </w:rPr>
          <w:t>https://public.fastcase.com/jaEE2PXzRXmZ99jOLMt1Im1keUzBtfiIHvEUrgtpCe4tsCgV6NtJX3IH6wzppmaYdMf24%2B5puOWV6%2FBXnYGObJXUVli9SMl09cYxEMCDiBI%3D?utm_medium=email&amp;_hsenc=p2ANqtz-_d7OiIN91ZAk7Y1LfM1ALZw-U0OSyNxgKb6pVH2Z92AnZk8gKeX6P0Vdjf87FJH4FQPvAXMckV1s5VI4fjARMOTrnriQ&amp;_hsmi=226712652&amp;utm_content=226712652&amp;utm_source=hs_email</w:t>
        </w:r>
      </w:hyperlink>
    </w:p>
    <w:p w14:paraId="47192970" w14:textId="77777777" w:rsidR="009701FE" w:rsidRDefault="009701FE" w:rsidP="00F91F9F">
      <w:pPr>
        <w:pStyle w:val="NoSpacing"/>
        <w:rPr>
          <w:rFonts w:ascii="Arial Black" w:hAnsi="Arial Black"/>
          <w:sz w:val="24"/>
          <w:szCs w:val="24"/>
        </w:rPr>
      </w:pPr>
    </w:p>
    <w:p w14:paraId="2446681C" w14:textId="77777777" w:rsidR="0020461D" w:rsidRPr="001F3D0F" w:rsidRDefault="0020461D" w:rsidP="0020461D">
      <w:pPr>
        <w:pStyle w:val="NoSpacing"/>
        <w:rPr>
          <w:rFonts w:ascii="Times New Roman" w:hAnsi="Times New Roman"/>
          <w:b/>
          <w:bCs/>
          <w:sz w:val="24"/>
          <w:szCs w:val="24"/>
        </w:rPr>
      </w:pPr>
      <w:r w:rsidRPr="001F3D0F">
        <w:rPr>
          <w:rFonts w:ascii="Times New Roman" w:hAnsi="Times New Roman"/>
          <w:b/>
          <w:sz w:val="24"/>
          <w:szCs w:val="24"/>
        </w:rPr>
        <w:t xml:space="preserve">Legal Lesson Learned: Case will now proceed to pre-trial discovery.  If </w:t>
      </w:r>
      <w:r w:rsidRPr="001F3D0F">
        <w:rPr>
          <w:rFonts w:ascii="Times New Roman" w:hAnsi="Times New Roman"/>
          <w:b/>
          <w:bCs/>
          <w:sz w:val="24"/>
          <w:szCs w:val="24"/>
        </w:rPr>
        <w:t>F</w:t>
      </w:r>
      <w:r w:rsidRPr="001F3D0F">
        <w:rPr>
          <w:rFonts w:ascii="Times New Roman" w:hAnsi="Times New Roman"/>
          <w:b/>
          <w:sz w:val="24"/>
          <w:szCs w:val="24"/>
        </w:rPr>
        <w:t xml:space="preserve">ire </w:t>
      </w:r>
      <w:r w:rsidRPr="001F3D0F">
        <w:rPr>
          <w:rFonts w:ascii="Times New Roman" w:hAnsi="Times New Roman"/>
          <w:b/>
          <w:bCs/>
          <w:sz w:val="24"/>
          <w:szCs w:val="24"/>
        </w:rPr>
        <w:t xml:space="preserve">or EMS </w:t>
      </w:r>
      <w:r w:rsidRPr="001F3D0F">
        <w:rPr>
          <w:rFonts w:ascii="Times New Roman" w:hAnsi="Times New Roman"/>
          <w:b/>
          <w:sz w:val="24"/>
          <w:szCs w:val="24"/>
        </w:rPr>
        <w:t xml:space="preserve">department requires personnel to have a GPS locator on their personal cell, consult with legal counsel about laws in your state on requiring personnel to sign a written consent. </w:t>
      </w:r>
    </w:p>
    <w:p w14:paraId="3C14BA89" w14:textId="77777777" w:rsidR="0020461D" w:rsidRPr="001F3D0F" w:rsidRDefault="0020461D" w:rsidP="0020461D">
      <w:pPr>
        <w:pStyle w:val="NoSpacing"/>
        <w:rPr>
          <w:rFonts w:ascii="Times New Roman" w:hAnsi="Times New Roman"/>
          <w:b/>
          <w:bCs/>
          <w:sz w:val="24"/>
          <w:szCs w:val="24"/>
        </w:rPr>
      </w:pPr>
    </w:p>
    <w:p w14:paraId="0244F4BD" w14:textId="77777777" w:rsidR="0020461D" w:rsidRPr="001F3D0F" w:rsidRDefault="0020461D" w:rsidP="0020461D">
      <w:pPr>
        <w:pStyle w:val="NoSpacing"/>
        <w:ind w:left="720"/>
        <w:rPr>
          <w:rFonts w:ascii="Times New Roman" w:hAnsi="Times New Roman"/>
          <w:sz w:val="24"/>
          <w:szCs w:val="24"/>
        </w:rPr>
      </w:pPr>
      <w:r w:rsidRPr="001F3D0F">
        <w:rPr>
          <w:rFonts w:ascii="Times New Roman" w:hAnsi="Times New Roman"/>
          <w:sz w:val="24"/>
          <w:szCs w:val="24"/>
        </w:rPr>
        <w:t xml:space="preserve">Note: See this article: “Stay Compliant: Employee GPS Tracking Laws by State.” </w:t>
      </w:r>
      <w:hyperlink r:id="rId2678" w:history="1">
        <w:r w:rsidRPr="001F3D0F">
          <w:rPr>
            <w:rStyle w:val="Hyperlink"/>
            <w:rFonts w:ascii="Times New Roman" w:hAnsi="Times New Roman"/>
            <w:sz w:val="24"/>
            <w:szCs w:val="24"/>
          </w:rPr>
          <w:t>https://timeero.com/resources-page/employee-gps-tracking-laws</w:t>
        </w:r>
      </w:hyperlink>
      <w:r w:rsidRPr="001F3D0F">
        <w:rPr>
          <w:rFonts w:ascii="Times New Roman" w:hAnsi="Times New Roman"/>
          <w:sz w:val="24"/>
          <w:szCs w:val="24"/>
        </w:rPr>
        <w:t xml:space="preserve"> </w:t>
      </w:r>
    </w:p>
    <w:p w14:paraId="2A6D9768" w14:textId="77777777" w:rsidR="0020461D" w:rsidRPr="001F3D0F" w:rsidRDefault="0020461D" w:rsidP="0020461D">
      <w:pPr>
        <w:pStyle w:val="NoSpacing"/>
        <w:ind w:firstLine="720"/>
        <w:rPr>
          <w:rFonts w:ascii="Times New Roman" w:hAnsi="Times New Roman"/>
          <w:sz w:val="24"/>
          <w:szCs w:val="24"/>
        </w:rPr>
      </w:pPr>
      <w:r w:rsidRPr="001F3D0F">
        <w:rPr>
          <w:rFonts w:ascii="Times New Roman" w:hAnsi="Times New Roman"/>
          <w:sz w:val="24"/>
          <w:szCs w:val="24"/>
        </w:rPr>
        <w:t xml:space="preserve">“Wondering if it’s legal to track your employees’ location with GPS? </w:t>
      </w:r>
    </w:p>
    <w:p w14:paraId="495632B8" w14:textId="77777777" w:rsidR="0020461D" w:rsidRPr="001F3D0F" w:rsidRDefault="0020461D" w:rsidP="0020461D">
      <w:pPr>
        <w:pStyle w:val="NoSpacing"/>
        <w:ind w:left="720"/>
        <w:rPr>
          <w:rFonts w:ascii="Times New Roman" w:hAnsi="Times New Roman"/>
          <w:sz w:val="24"/>
          <w:szCs w:val="24"/>
        </w:rPr>
      </w:pPr>
      <w:r w:rsidRPr="001F3D0F">
        <w:rPr>
          <w:rFonts w:ascii="Times New Roman" w:hAnsi="Times New Roman"/>
          <w:sz w:val="24"/>
          <w:szCs w:val="24"/>
        </w:rPr>
        <w:t>The answer isn't as simple as yes or no. While federal laws offer some guidance, state-specific regulations play a crucial role in determining what's permissible.‍ For example, in California, you must get explicit consent from your employees before tracking their location, even if they’re using company-owned vehicles.  But, in states like Georgia, there are no specific laws regarding GPS tracking.”</w:t>
      </w:r>
    </w:p>
    <w:p w14:paraId="0AE4A7B2" w14:textId="77777777" w:rsidR="0020461D" w:rsidRPr="006F2B87" w:rsidRDefault="0020461D" w:rsidP="0020461D">
      <w:pPr>
        <w:pStyle w:val="NoSpacing"/>
      </w:pPr>
    </w:p>
    <w:p w14:paraId="585E930F" w14:textId="77777777" w:rsidR="009701FE" w:rsidRDefault="009701FE" w:rsidP="00F91F9F">
      <w:pPr>
        <w:pStyle w:val="NoSpacing"/>
        <w:rPr>
          <w:rFonts w:ascii="Arial Black" w:hAnsi="Arial Black"/>
          <w:sz w:val="24"/>
          <w:szCs w:val="24"/>
        </w:rPr>
      </w:pPr>
    </w:p>
    <w:p w14:paraId="0FC4A08A" w14:textId="77777777" w:rsidR="009701FE" w:rsidRDefault="009701FE" w:rsidP="00F91F9F">
      <w:pPr>
        <w:pStyle w:val="NoSpacing"/>
        <w:rPr>
          <w:rFonts w:ascii="Arial Black" w:hAnsi="Arial Black"/>
          <w:sz w:val="24"/>
          <w:szCs w:val="24"/>
        </w:rPr>
      </w:pPr>
    </w:p>
    <w:p w14:paraId="580EF99E" w14:textId="77777777" w:rsidR="009701FE" w:rsidRDefault="009701FE" w:rsidP="00F91F9F">
      <w:pPr>
        <w:pStyle w:val="NoSpacing"/>
        <w:rPr>
          <w:rFonts w:ascii="Arial Black" w:hAnsi="Arial Black"/>
          <w:sz w:val="24"/>
          <w:szCs w:val="24"/>
        </w:rPr>
      </w:pPr>
    </w:p>
    <w:p w14:paraId="5BA545B6" w14:textId="77777777" w:rsidR="009701FE" w:rsidRDefault="009701FE" w:rsidP="00F91F9F">
      <w:pPr>
        <w:pStyle w:val="NoSpacing"/>
        <w:rPr>
          <w:rFonts w:ascii="Arial Black" w:hAnsi="Arial Black"/>
          <w:sz w:val="24"/>
          <w:szCs w:val="24"/>
        </w:rPr>
      </w:pPr>
    </w:p>
    <w:p w14:paraId="2CFB880A" w14:textId="518AF9FD" w:rsidR="007B4499" w:rsidRDefault="007B4499" w:rsidP="00F91F9F">
      <w:pPr>
        <w:pStyle w:val="NoSpacing"/>
        <w:rPr>
          <w:rFonts w:ascii="Arial Black" w:hAnsi="Arial Black"/>
          <w:sz w:val="24"/>
          <w:szCs w:val="24"/>
        </w:rPr>
      </w:pPr>
      <w:r>
        <w:rPr>
          <w:rFonts w:ascii="Arial Black" w:hAnsi="Arial Black"/>
          <w:sz w:val="24"/>
          <w:szCs w:val="24"/>
        </w:rPr>
        <w:t>16-123</w:t>
      </w:r>
    </w:p>
    <w:p w14:paraId="4F5E2AE5" w14:textId="32FE14A6" w:rsidR="00B927E4" w:rsidRDefault="00B927E4" w:rsidP="00B927E4">
      <w:pPr>
        <w:rPr>
          <w:rFonts w:ascii="Arial Black" w:hAnsi="Arial Black"/>
          <w:b/>
          <w:sz w:val="28"/>
          <w:szCs w:val="28"/>
        </w:rPr>
      </w:pPr>
      <w:r>
        <w:rPr>
          <w:rFonts w:ascii="Arial Black" w:hAnsi="Arial Black"/>
          <w:b/>
          <w:sz w:val="28"/>
          <w:szCs w:val="28"/>
        </w:rPr>
        <w:t xml:space="preserve">MI:  FF WHISTLEBLOWER – </w:t>
      </w:r>
      <w:r w:rsidR="000A6C09">
        <w:rPr>
          <w:rFonts w:ascii="Arial Black" w:hAnsi="Arial Black"/>
          <w:b/>
          <w:sz w:val="28"/>
          <w:szCs w:val="28"/>
        </w:rPr>
        <w:t xml:space="preserve">REPORTED </w:t>
      </w:r>
      <w:r>
        <w:rPr>
          <w:rFonts w:ascii="Arial Black" w:hAnsi="Arial Black"/>
          <w:b/>
          <w:sz w:val="28"/>
          <w:szCs w:val="28"/>
        </w:rPr>
        <w:t xml:space="preserve">TIMECARD FRAUD </w:t>
      </w:r>
      <w:r w:rsidR="00DC0946">
        <w:rPr>
          <w:rFonts w:ascii="Arial Black" w:hAnsi="Arial Black"/>
          <w:b/>
          <w:sz w:val="28"/>
          <w:szCs w:val="28"/>
        </w:rPr>
        <w:t>–</w:t>
      </w:r>
      <w:r>
        <w:rPr>
          <w:rFonts w:ascii="Arial Black" w:hAnsi="Arial Black"/>
          <w:b/>
          <w:sz w:val="28"/>
          <w:szCs w:val="28"/>
        </w:rPr>
        <w:t xml:space="preserve"> </w:t>
      </w:r>
      <w:r w:rsidR="00DC0946">
        <w:rPr>
          <w:rFonts w:ascii="Arial Black" w:hAnsi="Arial Black"/>
          <w:b/>
          <w:sz w:val="28"/>
          <w:szCs w:val="28"/>
        </w:rPr>
        <w:t xml:space="preserve">CASE </w:t>
      </w:r>
      <w:r>
        <w:rPr>
          <w:rFonts w:ascii="Arial Black" w:hAnsi="Arial Black"/>
          <w:b/>
          <w:sz w:val="28"/>
          <w:szCs w:val="28"/>
        </w:rPr>
        <w:t>PROCEED</w:t>
      </w:r>
    </w:p>
    <w:p w14:paraId="6AA06D7A" w14:textId="77777777" w:rsidR="00B927E4" w:rsidRPr="00B927E4" w:rsidRDefault="00B927E4" w:rsidP="00B927E4">
      <w:pPr>
        <w:pStyle w:val="NoSpacing"/>
        <w:rPr>
          <w:rFonts w:ascii="Times New Roman" w:hAnsi="Times New Roman"/>
          <w:sz w:val="24"/>
          <w:szCs w:val="24"/>
        </w:rPr>
      </w:pPr>
      <w:r w:rsidRPr="00B927E4">
        <w:rPr>
          <w:rFonts w:ascii="Times New Roman" w:hAnsi="Times New Roman"/>
          <w:sz w:val="24"/>
          <w:szCs w:val="24"/>
        </w:rPr>
        <w:t xml:space="preserve">On April 24, 2025, in </w:t>
      </w:r>
      <w:r w:rsidRPr="00B927E4">
        <w:rPr>
          <w:rFonts w:ascii="Times New Roman" w:hAnsi="Times New Roman"/>
          <w:sz w:val="24"/>
          <w:szCs w:val="24"/>
          <w:u w:val="single"/>
        </w:rPr>
        <w:t>Craig Williamson v. City of Riverview</w:t>
      </w:r>
      <w:r w:rsidRPr="00B927E4">
        <w:rPr>
          <w:rFonts w:ascii="Times New Roman" w:hAnsi="Times New Roman"/>
          <w:sz w:val="24"/>
          <w:szCs w:val="24"/>
        </w:rPr>
        <w:t xml:space="preserve">, the Court of Appeals of Michigan held (3 to 0) that trial court improperly dismissed his current lawsuit for being filed untimely.  Craig Williamson worked as a firefighter and officer for the </w:t>
      </w:r>
      <w:proofErr w:type="gramStart"/>
      <w:r w:rsidRPr="00B927E4">
        <w:rPr>
          <w:rFonts w:ascii="Times New Roman" w:hAnsi="Times New Roman"/>
          <w:sz w:val="24"/>
          <w:szCs w:val="24"/>
        </w:rPr>
        <w:t>City</w:t>
      </w:r>
      <w:proofErr w:type="gramEnd"/>
      <w:r w:rsidRPr="00B927E4">
        <w:rPr>
          <w:rFonts w:ascii="Times New Roman" w:hAnsi="Times New Roman"/>
          <w:sz w:val="24"/>
          <w:szCs w:val="24"/>
        </w:rPr>
        <w:t xml:space="preserve"> for  “several decades” and claims he suffered retaliation for reporting in 2015 “what he believed to be timecard fraud among some of his colleagues.” On May 30, 2018, plaintiff filed his first complaint in the Wayne Circuit Court, alleging the retaliatory actions taken against him in violation of the Whistleblowers’ Protection Act (WPA). In October 2018, the fire department charged plaintiff with violations of staffing policies; after a hearing, the fire department suspended plaintiff for 90 days and demoted him to lieutenant. On November 26, 2018, plaintiff filed a supplemental complaint, alleging additional violations of the WPA related to the staffing issue. Plaintiff alleged that defendant forced him to work alone or with only one other firefighter, had discriminated against him by suspending him on December 23, 2019, because he was asking co-workers to support him in this lawsuit, and had treated him “like a pariah in the workplace” since 2015 and continuing until his recent suspension. Plaintiff alleged that his “work environment has become hostile, intolerable and unsafe for Plaintiff as a result of Defendant’s retaliation.” </w:t>
      </w:r>
    </w:p>
    <w:p w14:paraId="2794DCCE" w14:textId="77777777" w:rsidR="00B927E4" w:rsidRDefault="00B927E4" w:rsidP="00B927E4">
      <w:pPr>
        <w:pStyle w:val="NoSpacing"/>
        <w:rPr>
          <w:rFonts w:ascii="Times New Roman" w:hAnsi="Times New Roman"/>
          <w:sz w:val="24"/>
          <w:szCs w:val="24"/>
        </w:rPr>
      </w:pPr>
      <w:hyperlink r:id="rId2679" w:history="1">
        <w:r w:rsidRPr="00B927E4">
          <w:rPr>
            <w:rStyle w:val="Hyperlink"/>
            <w:rFonts w:ascii="Times New Roman" w:hAnsi="Times New Roman"/>
            <w:sz w:val="24"/>
            <w:szCs w:val="24"/>
          </w:rPr>
          <w:t>https://cases.justia.com/michigan/court-of-appeals-unpublished/2025-368047.pdf?ts=1745586008</w:t>
        </w:r>
      </w:hyperlink>
      <w:r w:rsidRPr="00B927E4">
        <w:rPr>
          <w:rFonts w:ascii="Times New Roman" w:hAnsi="Times New Roman"/>
          <w:sz w:val="24"/>
          <w:szCs w:val="24"/>
        </w:rPr>
        <w:t xml:space="preserve"> </w:t>
      </w:r>
    </w:p>
    <w:p w14:paraId="318F69F5" w14:textId="77777777" w:rsidR="00EB44F4" w:rsidRDefault="00EB44F4" w:rsidP="00B927E4">
      <w:pPr>
        <w:pStyle w:val="NoSpacing"/>
        <w:rPr>
          <w:rFonts w:ascii="Times New Roman" w:hAnsi="Times New Roman"/>
          <w:sz w:val="24"/>
          <w:szCs w:val="24"/>
        </w:rPr>
      </w:pPr>
    </w:p>
    <w:p w14:paraId="6EEE63F8" w14:textId="77777777" w:rsidR="00EB44F4" w:rsidRPr="00EB44F4" w:rsidRDefault="00EB44F4" w:rsidP="00EB44F4">
      <w:pPr>
        <w:pStyle w:val="NoSpacing"/>
        <w:rPr>
          <w:rFonts w:ascii="Times New Roman" w:hAnsi="Times New Roman"/>
          <w:b/>
          <w:sz w:val="24"/>
          <w:szCs w:val="24"/>
        </w:rPr>
      </w:pPr>
      <w:r w:rsidRPr="00EB44F4">
        <w:rPr>
          <w:rFonts w:ascii="Times New Roman" w:hAnsi="Times New Roman"/>
          <w:b/>
          <w:sz w:val="24"/>
          <w:szCs w:val="24"/>
        </w:rPr>
        <w:t xml:space="preserve">Legal Lesson Learned: Courts are reluctant to dismiss whistleblower cases until pre-trial discovery is completed. </w:t>
      </w:r>
    </w:p>
    <w:p w14:paraId="4A7E2066" w14:textId="77777777" w:rsidR="00EB44F4" w:rsidRPr="00EB44F4" w:rsidRDefault="00EB44F4" w:rsidP="00EB44F4">
      <w:pPr>
        <w:pStyle w:val="NoSpacing"/>
        <w:rPr>
          <w:rFonts w:ascii="Times New Roman" w:hAnsi="Times New Roman"/>
          <w:bCs/>
          <w:sz w:val="24"/>
          <w:szCs w:val="24"/>
        </w:rPr>
      </w:pPr>
    </w:p>
    <w:p w14:paraId="63ADB3E8" w14:textId="77777777" w:rsidR="00EB44F4" w:rsidRPr="00EB44F4" w:rsidRDefault="00EB44F4" w:rsidP="00EB44F4">
      <w:pPr>
        <w:pStyle w:val="NoSpacing"/>
        <w:ind w:left="720"/>
        <w:rPr>
          <w:rFonts w:ascii="Times New Roman" w:hAnsi="Times New Roman"/>
          <w:bCs/>
          <w:sz w:val="24"/>
          <w:szCs w:val="24"/>
        </w:rPr>
      </w:pPr>
      <w:r w:rsidRPr="00EB44F4">
        <w:rPr>
          <w:rFonts w:ascii="Times New Roman" w:hAnsi="Times New Roman"/>
          <w:sz w:val="24"/>
          <w:szCs w:val="24"/>
        </w:rPr>
        <w:t>Note:  The Michigan Whistleblower Protect Act prohibits an employer from discharging, threatening, or otherwise discriminating against an employee “regarding the employee’s compensation, terms, conditions, location, or privileges of employment” because the employee reported, or was about to report, a violation or suspected violation of law to a public body, “verbally or in writing.” MCL 15.362</w:t>
      </w:r>
    </w:p>
    <w:p w14:paraId="758AF538" w14:textId="77777777" w:rsidR="00EB44F4" w:rsidRPr="00EB44F4" w:rsidRDefault="00EB44F4" w:rsidP="00B927E4">
      <w:pPr>
        <w:pStyle w:val="NoSpacing"/>
        <w:rPr>
          <w:rFonts w:ascii="Times New Roman" w:hAnsi="Times New Roman"/>
          <w:sz w:val="24"/>
          <w:szCs w:val="24"/>
        </w:rPr>
      </w:pPr>
    </w:p>
    <w:p w14:paraId="14E78B81" w14:textId="77777777" w:rsidR="00B927E4" w:rsidRPr="00B927E4" w:rsidRDefault="00B927E4" w:rsidP="00B927E4">
      <w:pPr>
        <w:pStyle w:val="NoSpacing"/>
        <w:rPr>
          <w:rFonts w:ascii="Times New Roman" w:hAnsi="Times New Roman"/>
          <w:sz w:val="24"/>
          <w:szCs w:val="24"/>
        </w:rPr>
      </w:pPr>
    </w:p>
    <w:p w14:paraId="57F0E3C0" w14:textId="77777777" w:rsidR="00B927E4" w:rsidRDefault="00B927E4" w:rsidP="00F91F9F">
      <w:pPr>
        <w:pStyle w:val="NoSpacing"/>
        <w:rPr>
          <w:rFonts w:ascii="Arial Black" w:hAnsi="Arial Black"/>
          <w:sz w:val="24"/>
          <w:szCs w:val="24"/>
        </w:rPr>
      </w:pPr>
    </w:p>
    <w:p w14:paraId="0B23CB25" w14:textId="77777777" w:rsidR="007B4499" w:rsidRDefault="007B4499" w:rsidP="00F91F9F">
      <w:pPr>
        <w:pStyle w:val="NoSpacing"/>
        <w:rPr>
          <w:rFonts w:ascii="Arial Black" w:hAnsi="Arial Black"/>
          <w:sz w:val="24"/>
          <w:szCs w:val="24"/>
        </w:rPr>
      </w:pPr>
    </w:p>
    <w:p w14:paraId="470C5165" w14:textId="77777777" w:rsidR="007B4499" w:rsidRDefault="007B4499" w:rsidP="00F91F9F">
      <w:pPr>
        <w:pStyle w:val="NoSpacing"/>
        <w:rPr>
          <w:rFonts w:ascii="Arial Black" w:hAnsi="Arial Black"/>
          <w:sz w:val="24"/>
          <w:szCs w:val="24"/>
        </w:rPr>
      </w:pPr>
    </w:p>
    <w:p w14:paraId="50931163" w14:textId="7734FE4A" w:rsidR="008E4442" w:rsidRDefault="008E4442" w:rsidP="00F91F9F">
      <w:pPr>
        <w:pStyle w:val="NoSpacing"/>
        <w:rPr>
          <w:rFonts w:ascii="Arial Black" w:hAnsi="Arial Black"/>
          <w:sz w:val="24"/>
          <w:szCs w:val="24"/>
        </w:rPr>
      </w:pPr>
      <w:r>
        <w:rPr>
          <w:rFonts w:ascii="Arial Black" w:hAnsi="Arial Black"/>
          <w:sz w:val="24"/>
          <w:szCs w:val="24"/>
        </w:rPr>
        <w:t>16-122</w:t>
      </w:r>
    </w:p>
    <w:p w14:paraId="5BBFAE15" w14:textId="77777777" w:rsidR="008E4442" w:rsidRDefault="008E4442" w:rsidP="00F91F9F">
      <w:pPr>
        <w:pStyle w:val="NoSpacing"/>
        <w:rPr>
          <w:rFonts w:ascii="Arial Black" w:hAnsi="Arial Black"/>
          <w:sz w:val="24"/>
          <w:szCs w:val="24"/>
        </w:rPr>
      </w:pPr>
    </w:p>
    <w:p w14:paraId="2C90BC01" w14:textId="77777777" w:rsidR="008E4442" w:rsidRDefault="008E4442" w:rsidP="008E4442">
      <w:pPr>
        <w:pStyle w:val="NoSpacing"/>
        <w:rPr>
          <w:rFonts w:ascii="Arial Black" w:hAnsi="Arial Black"/>
          <w:bCs/>
          <w:sz w:val="28"/>
          <w:szCs w:val="28"/>
        </w:rPr>
      </w:pPr>
      <w:r>
        <w:rPr>
          <w:rFonts w:ascii="Arial Black" w:hAnsi="Arial Black"/>
          <w:sz w:val="28"/>
          <w:szCs w:val="28"/>
        </w:rPr>
        <w:t>CO: CHIEF FIRED BY NEW BOARD – VIDEO / INSUR. LAPSE</w:t>
      </w:r>
    </w:p>
    <w:p w14:paraId="478935F3" w14:textId="77777777" w:rsidR="008E4442" w:rsidRDefault="008E4442" w:rsidP="008E4442">
      <w:pPr>
        <w:pStyle w:val="NoSpacing"/>
        <w:rPr>
          <w:rFonts w:ascii="Arial Black" w:hAnsi="Arial Black"/>
          <w:bCs/>
          <w:sz w:val="28"/>
          <w:szCs w:val="28"/>
        </w:rPr>
      </w:pPr>
    </w:p>
    <w:p w14:paraId="75E77EF8" w14:textId="77777777" w:rsidR="008E4442" w:rsidRPr="00803906" w:rsidRDefault="008E4442" w:rsidP="008E4442">
      <w:pPr>
        <w:pStyle w:val="NoSpacing"/>
        <w:rPr>
          <w:rFonts w:ascii="Times New Roman" w:hAnsi="Times New Roman"/>
          <w:bCs/>
          <w:sz w:val="24"/>
          <w:szCs w:val="24"/>
        </w:rPr>
      </w:pPr>
      <w:r w:rsidRPr="00803906">
        <w:rPr>
          <w:rFonts w:ascii="Times New Roman" w:hAnsi="Times New Roman"/>
          <w:sz w:val="24"/>
          <w:szCs w:val="24"/>
        </w:rPr>
        <w:t xml:space="preserve">On March 28, 2025, in </w:t>
      </w:r>
      <w:r w:rsidRPr="00803906">
        <w:rPr>
          <w:rFonts w:ascii="Times New Roman" w:hAnsi="Times New Roman"/>
          <w:sz w:val="24"/>
          <w:szCs w:val="24"/>
          <w:u w:val="single"/>
        </w:rPr>
        <w:t>Erik Holt v. Florissant Fire Protection District</w:t>
      </w:r>
      <w:r w:rsidRPr="00803906">
        <w:rPr>
          <w:rFonts w:ascii="Times New Roman" w:hAnsi="Times New Roman"/>
          <w:sz w:val="24"/>
          <w:szCs w:val="24"/>
        </w:rPr>
        <w:t xml:space="preserve">, U.S. District Court Judge </w:t>
      </w:r>
    </w:p>
    <w:p w14:paraId="4CFEEC2D" w14:textId="77777777" w:rsidR="008E4442" w:rsidRPr="00803906" w:rsidRDefault="008E4442" w:rsidP="008E4442">
      <w:pPr>
        <w:pStyle w:val="NoSpacing"/>
        <w:rPr>
          <w:rFonts w:ascii="Times New Roman" w:hAnsi="Times New Roman"/>
          <w:bCs/>
          <w:sz w:val="24"/>
          <w:szCs w:val="24"/>
        </w:rPr>
      </w:pPr>
      <w:r w:rsidRPr="00803906">
        <w:rPr>
          <w:rFonts w:ascii="Times New Roman" w:hAnsi="Times New Roman"/>
          <w:sz w:val="24"/>
          <w:szCs w:val="24"/>
        </w:rPr>
        <w:t xml:space="preserve">Nina Y. Wang, U.S. District Court of Colorado, granted the FD’s motion for summary judgment on the former Fire Chiefs sole remaining claim of First Amendment retaliation.  He was the only full-time employee of the Fire District since April 2022.  On May 2, 2023, an election was held at the Fire Station and mail in ballots for the FD Board, which resulted in the election of five non-incumbent candidates (taking office June 10).  The former Board President filed a civil lawsuit </w:t>
      </w:r>
      <w:proofErr w:type="gramStart"/>
      <w:r w:rsidRPr="00803906">
        <w:rPr>
          <w:rFonts w:ascii="Times New Roman" w:hAnsi="Times New Roman"/>
          <w:sz w:val="24"/>
          <w:szCs w:val="24"/>
        </w:rPr>
        <w:t>and also</w:t>
      </w:r>
      <w:proofErr w:type="gramEnd"/>
      <w:r w:rsidRPr="00803906">
        <w:rPr>
          <w:rFonts w:ascii="Times New Roman" w:hAnsi="Times New Roman"/>
          <w:sz w:val="24"/>
          <w:szCs w:val="24"/>
        </w:rPr>
        <w:t xml:space="preserve"> made a complaint to Teller County District Attorney's Office alleging the non-incumbents and their poll watchers violated state law against electioneering at polling places.  Without telling new Board President, on May 19 or 20 the Fire Chief met with DA investigator and turned over fire station security camera video of the May 2 voting at the station.  In early June the FD briefly lost insurance coverage for non-payment; the Fire Chief blamed new Board President, Paul del Toro, for freezing the district’s bank account without authorization. The Board fired Holt on June 22.  On Nov. 7, 2024, U.S. District Court Judge Wang dismissed most of the Chief’s initial lawsuit </w:t>
      </w:r>
      <w:proofErr w:type="gramStart"/>
      <w:r w:rsidRPr="00803906">
        <w:rPr>
          <w:rFonts w:ascii="Times New Roman" w:hAnsi="Times New Roman"/>
          <w:sz w:val="24"/>
          <w:szCs w:val="24"/>
        </w:rPr>
        <w:t>on the basis of</w:t>
      </w:r>
      <w:proofErr w:type="gramEnd"/>
      <w:r w:rsidRPr="00803906">
        <w:rPr>
          <w:rFonts w:ascii="Times New Roman" w:hAnsi="Times New Roman"/>
          <w:sz w:val="24"/>
          <w:szCs w:val="24"/>
        </w:rPr>
        <w:t xml:space="preserve"> governmental immunity – public entities such as FD are not liable under Colorado law for misconduct by its employees, even “willful or wanton misconduct.”  The Court allowed only the First Amendment retaliation claim to proceed – and now Judge Wang has dismissed that claim under </w:t>
      </w:r>
      <w:r w:rsidRPr="00803906">
        <w:rPr>
          <w:rFonts w:ascii="Times New Roman" w:hAnsi="Times New Roman"/>
          <w:i/>
          <w:iCs/>
          <w:sz w:val="24"/>
          <w:szCs w:val="24"/>
        </w:rPr>
        <w:t>Pickering v. Bd. Of Ed.</w:t>
      </w:r>
      <w:r w:rsidRPr="00803906">
        <w:rPr>
          <w:rFonts w:ascii="Times New Roman" w:hAnsi="Times New Roman"/>
          <w:sz w:val="24"/>
          <w:szCs w:val="24"/>
        </w:rPr>
        <w:t xml:space="preserve"> balancing test.  No First Amendment protection against retaliation since Fire Chief was not speaking as a citizen addressing matters of public concern.  </w:t>
      </w:r>
    </w:p>
    <w:p w14:paraId="6AB74C64" w14:textId="77777777" w:rsidR="008E4442" w:rsidRPr="00803906" w:rsidRDefault="008E4442" w:rsidP="008E4442">
      <w:pPr>
        <w:pStyle w:val="NoSpacing"/>
        <w:rPr>
          <w:rFonts w:ascii="Times New Roman" w:hAnsi="Times New Roman"/>
          <w:bCs/>
          <w:sz w:val="24"/>
          <w:szCs w:val="24"/>
        </w:rPr>
      </w:pPr>
      <w:hyperlink r:id="rId2680" w:history="1">
        <w:r w:rsidRPr="00803906">
          <w:rPr>
            <w:rStyle w:val="Hyperlink"/>
            <w:rFonts w:ascii="Times New Roman" w:hAnsi="Times New Roman"/>
            <w:sz w:val="24"/>
            <w:szCs w:val="24"/>
          </w:rPr>
          <w:t>https://public.fastcase.com/jaEE2PXzRXmZ99jOLMt1IhQHA9AMm9CcSN%2BGfYyS2p0Y8T4gWwr35mn7gDgy%2FrLSk1%2BX3TZDVCgonvjR5kmTn9ieZn6lPYykAdycfBPhja8%3D?utm_medium=email&amp;_hsenc=p2ANqtz-96viAoOgtBhpN3k-FXu0IciBKBTpaPEffa5PyEi7FQVITmUz8Kiu79qOEJdxGOe1egzOzFwK07j5P1hSXOAN4VGdmpNA&amp;_hsmi=226712652&amp;utm_content=226712652&amp;utm_source=hs_email</w:t>
        </w:r>
      </w:hyperlink>
      <w:r w:rsidRPr="00803906">
        <w:rPr>
          <w:rFonts w:ascii="Times New Roman" w:hAnsi="Times New Roman"/>
          <w:sz w:val="24"/>
          <w:szCs w:val="24"/>
        </w:rPr>
        <w:t xml:space="preserve">   </w:t>
      </w:r>
    </w:p>
    <w:p w14:paraId="2F92C4B2" w14:textId="77777777" w:rsidR="008E4442" w:rsidRPr="00803906" w:rsidRDefault="008E4442" w:rsidP="00F91F9F">
      <w:pPr>
        <w:pStyle w:val="NoSpacing"/>
        <w:rPr>
          <w:rFonts w:ascii="Times New Roman" w:hAnsi="Times New Roman"/>
          <w:sz w:val="24"/>
          <w:szCs w:val="24"/>
        </w:rPr>
      </w:pPr>
    </w:p>
    <w:p w14:paraId="2FB96EAB" w14:textId="77777777" w:rsidR="00803906" w:rsidRPr="00803906" w:rsidRDefault="00803906" w:rsidP="00803906">
      <w:pPr>
        <w:pStyle w:val="NoSpacing"/>
        <w:rPr>
          <w:rFonts w:ascii="Times New Roman" w:hAnsi="Times New Roman"/>
          <w:b/>
          <w:bCs/>
          <w:sz w:val="24"/>
          <w:szCs w:val="24"/>
        </w:rPr>
      </w:pPr>
      <w:r w:rsidRPr="00803906">
        <w:rPr>
          <w:rFonts w:ascii="Times New Roman" w:hAnsi="Times New Roman"/>
          <w:b/>
          <w:sz w:val="24"/>
          <w:szCs w:val="24"/>
        </w:rPr>
        <w:t xml:space="preserve">Legal Lesson Learned: </w:t>
      </w:r>
      <w:r w:rsidRPr="00803906">
        <w:rPr>
          <w:rFonts w:ascii="Times New Roman" w:hAnsi="Times New Roman"/>
          <w:b/>
          <w:i/>
          <w:iCs/>
          <w:sz w:val="24"/>
          <w:szCs w:val="24"/>
        </w:rPr>
        <w:t>Pickering</w:t>
      </w:r>
      <w:r w:rsidRPr="00803906">
        <w:rPr>
          <w:rFonts w:ascii="Times New Roman" w:hAnsi="Times New Roman"/>
          <w:b/>
          <w:sz w:val="24"/>
          <w:szCs w:val="24"/>
        </w:rPr>
        <w:t xml:space="preserve"> balancing test led to dismissal of this lawsuit – “interests of public employees in commenting on matters of public concern must be balanced with the employer's interests in promoting the efficiency of the public services.”</w:t>
      </w:r>
    </w:p>
    <w:p w14:paraId="77D774E7" w14:textId="77777777" w:rsidR="00803906" w:rsidRPr="00803906" w:rsidRDefault="00803906" w:rsidP="00803906">
      <w:pPr>
        <w:pStyle w:val="NoSpacing"/>
        <w:rPr>
          <w:rFonts w:ascii="Times New Roman" w:hAnsi="Times New Roman"/>
          <w:b/>
          <w:bCs/>
          <w:sz w:val="24"/>
          <w:szCs w:val="24"/>
        </w:rPr>
      </w:pPr>
    </w:p>
    <w:p w14:paraId="1FACB981" w14:textId="77777777" w:rsidR="00803906" w:rsidRPr="00803906" w:rsidRDefault="00803906" w:rsidP="00803906">
      <w:pPr>
        <w:pStyle w:val="NoSpacing"/>
        <w:ind w:left="720"/>
        <w:rPr>
          <w:rFonts w:ascii="Times New Roman" w:hAnsi="Times New Roman"/>
          <w:bCs/>
          <w:sz w:val="24"/>
          <w:szCs w:val="24"/>
        </w:rPr>
      </w:pPr>
      <w:r w:rsidRPr="00803906">
        <w:rPr>
          <w:rFonts w:ascii="Times New Roman" w:hAnsi="Times New Roman"/>
          <w:sz w:val="24"/>
          <w:szCs w:val="24"/>
        </w:rPr>
        <w:t xml:space="preserve">Note: See Nov. 24, </w:t>
      </w:r>
      <w:proofErr w:type="gramStart"/>
      <w:r w:rsidRPr="00803906">
        <w:rPr>
          <w:rFonts w:ascii="Times New Roman" w:hAnsi="Times New Roman"/>
          <w:sz w:val="24"/>
          <w:szCs w:val="24"/>
        </w:rPr>
        <w:t>2023</w:t>
      </w:r>
      <w:proofErr w:type="gramEnd"/>
      <w:r w:rsidRPr="00803906">
        <w:rPr>
          <w:rFonts w:ascii="Times New Roman" w:hAnsi="Times New Roman"/>
          <w:sz w:val="24"/>
          <w:szCs w:val="24"/>
        </w:rPr>
        <w:t xml:space="preserve"> article, “Federal judge partially dismisses ex-Florissant fire chief's wrongful termination claims. Erik Holt is continuing to pursue his First Amendment retaliation claim against his former </w:t>
      </w:r>
      <w:proofErr w:type="gramStart"/>
      <w:r w:rsidRPr="00803906">
        <w:rPr>
          <w:rFonts w:ascii="Times New Roman" w:hAnsi="Times New Roman"/>
          <w:sz w:val="24"/>
          <w:szCs w:val="24"/>
        </w:rPr>
        <w:t>employer.”</w:t>
      </w:r>
      <w:proofErr w:type="gramEnd"/>
      <w:r w:rsidRPr="00803906">
        <w:rPr>
          <w:rFonts w:ascii="Times New Roman" w:hAnsi="Times New Roman"/>
          <w:sz w:val="24"/>
          <w:szCs w:val="24"/>
        </w:rPr>
        <w:t xml:space="preserve"> </w:t>
      </w:r>
      <w:hyperlink r:id="rId2681" w:anchor="google_vignette" w:history="1">
        <w:r w:rsidRPr="00803906">
          <w:rPr>
            <w:rStyle w:val="Hyperlink"/>
            <w:rFonts w:ascii="Times New Roman" w:hAnsi="Times New Roman"/>
            <w:sz w:val="24"/>
            <w:szCs w:val="24"/>
          </w:rPr>
          <w:t>https://www.coloradopolitics.com/courts/federal-judge-partially-dismisses-ex-florissant-fire-chiefs-wrongful-termination-claims/article_7d67c6be-898a-11ee-b97e-7732fa191308.html#google_vignette</w:t>
        </w:r>
      </w:hyperlink>
      <w:r w:rsidRPr="00803906">
        <w:rPr>
          <w:rFonts w:ascii="Times New Roman" w:hAnsi="Times New Roman"/>
          <w:sz w:val="24"/>
          <w:szCs w:val="24"/>
        </w:rPr>
        <w:t xml:space="preserve"> </w:t>
      </w:r>
    </w:p>
    <w:p w14:paraId="40555FCE" w14:textId="77777777" w:rsidR="00803906" w:rsidRPr="00803906" w:rsidRDefault="00803906" w:rsidP="00803906">
      <w:pPr>
        <w:pStyle w:val="NoSpacing"/>
        <w:rPr>
          <w:rFonts w:ascii="Times New Roman" w:hAnsi="Times New Roman"/>
          <w:bCs/>
          <w:sz w:val="24"/>
          <w:szCs w:val="24"/>
        </w:rPr>
      </w:pPr>
    </w:p>
    <w:p w14:paraId="264948CA" w14:textId="77777777" w:rsidR="00803906" w:rsidRDefault="00803906" w:rsidP="00803906">
      <w:pPr>
        <w:pStyle w:val="NoSpacing"/>
        <w:ind w:left="720"/>
        <w:rPr>
          <w:bCs/>
        </w:rPr>
      </w:pPr>
      <w:r w:rsidRPr="00803906">
        <w:rPr>
          <w:rFonts w:ascii="Times New Roman" w:hAnsi="Times New Roman"/>
          <w:sz w:val="24"/>
          <w:szCs w:val="24"/>
        </w:rPr>
        <w:t xml:space="preserve">See Nov. 7, </w:t>
      </w:r>
      <w:proofErr w:type="gramStart"/>
      <w:r w:rsidRPr="00803906">
        <w:rPr>
          <w:rFonts w:ascii="Times New Roman" w:hAnsi="Times New Roman"/>
          <w:sz w:val="24"/>
          <w:szCs w:val="24"/>
        </w:rPr>
        <w:t>2024</w:t>
      </w:r>
      <w:proofErr w:type="gramEnd"/>
      <w:r w:rsidRPr="00803906">
        <w:rPr>
          <w:rFonts w:ascii="Times New Roman" w:hAnsi="Times New Roman"/>
          <w:sz w:val="24"/>
          <w:szCs w:val="24"/>
        </w:rPr>
        <w:t xml:space="preserve"> Court decision: </w:t>
      </w:r>
      <w:hyperlink r:id="rId2682" w:history="1">
        <w:r w:rsidRPr="00803906">
          <w:rPr>
            <w:rStyle w:val="Hyperlink"/>
            <w:rFonts w:ascii="Times New Roman" w:hAnsi="Times New Roman"/>
            <w:sz w:val="24"/>
            <w:szCs w:val="24"/>
          </w:rPr>
          <w:t>https://www.govinfo.gov/content/pkg/USCOURTS-cod-1_23-cv-01798/pdf/USCOURTS-cod-1_23-cv-01798-0.pdf</w:t>
        </w:r>
      </w:hyperlink>
      <w:r>
        <w:t xml:space="preserve"> </w:t>
      </w:r>
    </w:p>
    <w:p w14:paraId="59A52641" w14:textId="77777777" w:rsidR="00803906" w:rsidRDefault="00803906" w:rsidP="00F91F9F">
      <w:pPr>
        <w:pStyle w:val="NoSpacing"/>
        <w:rPr>
          <w:rFonts w:ascii="Arial Black" w:hAnsi="Arial Black"/>
          <w:sz w:val="24"/>
          <w:szCs w:val="24"/>
        </w:rPr>
      </w:pPr>
    </w:p>
    <w:p w14:paraId="180867B0" w14:textId="77777777" w:rsidR="008E4442" w:rsidRDefault="008E4442" w:rsidP="00F91F9F">
      <w:pPr>
        <w:pStyle w:val="NoSpacing"/>
        <w:rPr>
          <w:rFonts w:ascii="Arial Black" w:hAnsi="Arial Black"/>
          <w:sz w:val="24"/>
          <w:szCs w:val="24"/>
        </w:rPr>
      </w:pPr>
    </w:p>
    <w:p w14:paraId="34C0EC45" w14:textId="77777777" w:rsidR="008E4442" w:rsidRDefault="008E4442" w:rsidP="00F91F9F">
      <w:pPr>
        <w:pStyle w:val="NoSpacing"/>
        <w:rPr>
          <w:rFonts w:ascii="Arial Black" w:hAnsi="Arial Black"/>
          <w:sz w:val="24"/>
          <w:szCs w:val="24"/>
        </w:rPr>
      </w:pPr>
    </w:p>
    <w:p w14:paraId="7A27FEF6" w14:textId="157E9904" w:rsidR="00457219" w:rsidRDefault="00FD3A33" w:rsidP="00F91F9F">
      <w:pPr>
        <w:pStyle w:val="NoSpacing"/>
        <w:rPr>
          <w:rFonts w:ascii="Arial Black" w:hAnsi="Arial Black"/>
          <w:sz w:val="24"/>
          <w:szCs w:val="24"/>
        </w:rPr>
      </w:pPr>
      <w:r>
        <w:rPr>
          <w:rFonts w:ascii="Arial Black" w:hAnsi="Arial Black"/>
          <w:sz w:val="24"/>
          <w:szCs w:val="24"/>
        </w:rPr>
        <w:t>16-121</w:t>
      </w:r>
    </w:p>
    <w:p w14:paraId="5099BBA7" w14:textId="77777777" w:rsidR="008E4442" w:rsidRDefault="008E4442" w:rsidP="00FD3A33">
      <w:pPr>
        <w:rPr>
          <w:rFonts w:ascii="Arial Black" w:hAnsi="Arial Black"/>
          <w:b/>
          <w:sz w:val="28"/>
          <w:szCs w:val="28"/>
        </w:rPr>
      </w:pPr>
    </w:p>
    <w:p w14:paraId="7F4E000E" w14:textId="532A9835" w:rsidR="00FD3A33" w:rsidRPr="000B7F2C" w:rsidRDefault="00FD3A33" w:rsidP="00FD3A33">
      <w:pPr>
        <w:rPr>
          <w:rFonts w:ascii="Arial Black" w:hAnsi="Arial Black"/>
          <w:b/>
          <w:sz w:val="28"/>
          <w:szCs w:val="28"/>
        </w:rPr>
      </w:pPr>
      <w:r w:rsidRPr="000B7F2C">
        <w:rPr>
          <w:rFonts w:ascii="Arial Black" w:hAnsi="Arial Black"/>
          <w:b/>
          <w:sz w:val="28"/>
          <w:szCs w:val="28"/>
        </w:rPr>
        <w:t xml:space="preserve">CA: CHIEF FIRED B/C </w:t>
      </w:r>
      <w:r w:rsidR="000D4A64">
        <w:rPr>
          <w:rFonts w:ascii="Arial Black" w:hAnsi="Arial Black"/>
          <w:b/>
          <w:sz w:val="28"/>
          <w:szCs w:val="28"/>
        </w:rPr>
        <w:t>–</w:t>
      </w:r>
      <w:r w:rsidRPr="000B7F2C">
        <w:rPr>
          <w:rFonts w:ascii="Arial Black" w:hAnsi="Arial Black"/>
          <w:b/>
          <w:sz w:val="28"/>
          <w:szCs w:val="28"/>
        </w:rPr>
        <w:t xml:space="preserve"> </w:t>
      </w:r>
      <w:r w:rsidR="000D4A64">
        <w:rPr>
          <w:rFonts w:ascii="Arial Black" w:hAnsi="Arial Black"/>
          <w:b/>
          <w:sz w:val="28"/>
          <w:szCs w:val="28"/>
        </w:rPr>
        <w:t xml:space="preserve">AGAINST </w:t>
      </w:r>
      <w:r w:rsidRPr="000B7F2C">
        <w:rPr>
          <w:rFonts w:ascii="Arial Black" w:hAnsi="Arial Black"/>
          <w:b/>
          <w:sz w:val="28"/>
          <w:szCs w:val="28"/>
        </w:rPr>
        <w:t xml:space="preserve">CITY </w:t>
      </w:r>
      <w:r w:rsidR="000D4A64">
        <w:rPr>
          <w:rFonts w:ascii="Arial Black" w:hAnsi="Arial Black"/>
          <w:b/>
          <w:sz w:val="28"/>
          <w:szCs w:val="28"/>
        </w:rPr>
        <w:t xml:space="preserve">ADVICE </w:t>
      </w:r>
      <w:r w:rsidR="0046766E">
        <w:rPr>
          <w:rFonts w:ascii="Arial Black" w:hAnsi="Arial Black"/>
          <w:b/>
          <w:sz w:val="28"/>
          <w:szCs w:val="28"/>
        </w:rPr>
        <w:t>–</w:t>
      </w:r>
      <w:r w:rsidR="000D4A64">
        <w:rPr>
          <w:rFonts w:ascii="Arial Black" w:hAnsi="Arial Black"/>
          <w:b/>
          <w:sz w:val="28"/>
          <w:szCs w:val="28"/>
        </w:rPr>
        <w:t xml:space="preserve"> </w:t>
      </w:r>
      <w:r w:rsidR="0046766E">
        <w:rPr>
          <w:rFonts w:ascii="Arial Black" w:hAnsi="Arial Black"/>
          <w:b/>
          <w:sz w:val="28"/>
          <w:szCs w:val="28"/>
        </w:rPr>
        <w:t>CASE PROCEED</w:t>
      </w:r>
    </w:p>
    <w:p w14:paraId="6E6506EE" w14:textId="77777777" w:rsidR="00FD3A33" w:rsidRPr="00FD3A33" w:rsidRDefault="00FD3A33" w:rsidP="00FD3A33">
      <w:pPr>
        <w:rPr>
          <w:rFonts w:ascii="Times New Roman" w:hAnsi="Times New Roman"/>
          <w:sz w:val="24"/>
          <w:szCs w:val="24"/>
        </w:rPr>
      </w:pPr>
      <w:r w:rsidRPr="00FD3A33">
        <w:rPr>
          <w:rFonts w:ascii="Times New Roman" w:hAnsi="Times New Roman"/>
          <w:sz w:val="24"/>
          <w:szCs w:val="24"/>
        </w:rPr>
        <w:t xml:space="preserve">On Feb. 21, 2025, in </w:t>
      </w:r>
      <w:r w:rsidRPr="00FD3A33">
        <w:rPr>
          <w:rFonts w:ascii="Times New Roman" w:hAnsi="Times New Roman"/>
          <w:sz w:val="24"/>
          <w:szCs w:val="24"/>
          <w:u w:val="single"/>
        </w:rPr>
        <w:t>Patrick Vargas v. City of Tracy, South San Joaquin County Fire Authority; Randall Bradley, et al</w:t>
      </w:r>
      <w:r w:rsidRPr="00FD3A33">
        <w:rPr>
          <w:rFonts w:ascii="Times New Roman" w:hAnsi="Times New Roman"/>
          <w:sz w:val="24"/>
          <w:szCs w:val="24"/>
        </w:rPr>
        <w:t xml:space="preserve">., United States District Court Judge William B. </w:t>
      </w:r>
      <w:proofErr w:type="spellStart"/>
      <w:r w:rsidRPr="00FD3A33">
        <w:rPr>
          <w:rFonts w:ascii="Times New Roman" w:hAnsi="Times New Roman"/>
          <w:sz w:val="24"/>
          <w:szCs w:val="24"/>
        </w:rPr>
        <w:t>Shubb</w:t>
      </w:r>
      <w:proofErr w:type="spellEnd"/>
      <w:r w:rsidRPr="00FD3A33">
        <w:rPr>
          <w:rFonts w:ascii="Times New Roman" w:hAnsi="Times New Roman"/>
          <w:sz w:val="24"/>
          <w:szCs w:val="24"/>
        </w:rPr>
        <w:t xml:space="preserve">, U.S. District Court for Eastern District of California, denied the defense motion for summary judgment by County Fire Authority and Fire Chief Randall Bradley.  Battalion Chief Vargas’ wife on city council and opposed city fire department becoming county department.  He was suspended during investigation of harassment, but “City officials concluded that the harassment investigation did not provide a basis to terminate plaintiff and directed that plaintiff be removed from administrative leave and return to work, but [Fire Chief] Bradley terminated plaintiff on January 12, 2022.” </w:t>
      </w:r>
      <w:hyperlink r:id="rId2683" w:history="1">
        <w:r w:rsidRPr="00FD3A33">
          <w:rPr>
            <w:rStyle w:val="Hyperlink"/>
            <w:rFonts w:ascii="Times New Roman" w:hAnsi="Times New Roman"/>
            <w:sz w:val="24"/>
            <w:szCs w:val="24"/>
          </w:rPr>
          <w:t>https://public.fastcase.com/jaEE2PXzRXmZ99jOLMt1IvnyNWPww1WM4x9Gu%2FtN0VhNRAtIpNmmlJ0KM%2F7ZbO911LK6og3L2kiKY%2FASa5mScG8uOsEhAwFbnlzs62F6rSE%3D?utm_medium=email&amp;_hsenc=p2ANqtz-8WZqH_E7rdb_OeZm87WsAQDzZautt0uiTp2Bj7gwVxym265a6f7pCBzZ-RPNW5j-Z8_i7kqeL1it9h0mjMyyn0Q0mh5A&amp;_hsmi=226712652&amp;utm_content=226712652&amp;utm_source=hs_email</w:t>
        </w:r>
      </w:hyperlink>
      <w:r w:rsidRPr="00FD3A33">
        <w:rPr>
          <w:rFonts w:ascii="Times New Roman" w:hAnsi="Times New Roman"/>
          <w:sz w:val="24"/>
          <w:szCs w:val="24"/>
        </w:rPr>
        <w:t xml:space="preserve"> </w:t>
      </w:r>
    </w:p>
    <w:p w14:paraId="34C7BD64" w14:textId="77777777" w:rsidR="00FD3A33" w:rsidRPr="00FD3A33" w:rsidRDefault="00FD3A33" w:rsidP="00FD3A33">
      <w:pPr>
        <w:pStyle w:val="NoSpacing"/>
        <w:rPr>
          <w:rFonts w:ascii="Times New Roman" w:hAnsi="Times New Roman"/>
          <w:sz w:val="24"/>
          <w:szCs w:val="24"/>
        </w:rPr>
      </w:pPr>
      <w:r w:rsidRPr="00FD3A33">
        <w:rPr>
          <w:rFonts w:ascii="Times New Roman" w:hAnsi="Times New Roman"/>
          <w:sz w:val="24"/>
          <w:szCs w:val="24"/>
        </w:rPr>
        <w:t>The Court wrote:</w:t>
      </w:r>
    </w:p>
    <w:p w14:paraId="6DB97294" w14:textId="77777777" w:rsidR="00FD3A33" w:rsidRPr="00FD3A33" w:rsidRDefault="00FD3A33" w:rsidP="00FD3A33">
      <w:pPr>
        <w:pStyle w:val="NoSpacing"/>
        <w:rPr>
          <w:rFonts w:ascii="Times New Roman" w:hAnsi="Times New Roman"/>
          <w:sz w:val="24"/>
          <w:szCs w:val="24"/>
        </w:rPr>
      </w:pPr>
    </w:p>
    <w:p w14:paraId="7E6D7C04"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 xml:space="preserve">“Bradley brought allegations of timecard fraud to [City] Human Resources Director Kimberly Murdaugh on September 15, </w:t>
      </w:r>
      <w:proofErr w:type="gramStart"/>
      <w:r w:rsidRPr="00FD3A33">
        <w:rPr>
          <w:rFonts w:ascii="Times New Roman" w:hAnsi="Times New Roman"/>
          <w:sz w:val="24"/>
          <w:szCs w:val="24"/>
        </w:rPr>
        <w:t>2020</w:t>
      </w:r>
      <w:proofErr w:type="gramEnd"/>
      <w:r w:rsidRPr="00FD3A33">
        <w:rPr>
          <w:rFonts w:ascii="Times New Roman" w:hAnsi="Times New Roman"/>
          <w:sz w:val="24"/>
          <w:szCs w:val="24"/>
        </w:rPr>
        <w:t xml:space="preserve"> and third-party investigators ultimately found the allegation unsupported on March 23, 2021….On March 31, 2021, Bradley contacted Ms. Murdaugh and implored her to further investigate plaintiff, and harassment allegations against plaintiff surfaced on April 7, 2021, prompting a second investigation during which Bradley placed plaintiff on paid administrative leave. City officials concluded that the harassment investigation did not provide a basis to terminate plaintiff and directed that plaintiff be removed from administrative leave and return to work, but Bradley terminated plaintiff on January 12, 2022.</w:t>
      </w:r>
    </w:p>
    <w:p w14:paraId="493BA727" w14:textId="77777777" w:rsidR="00FD3A33" w:rsidRPr="00FD3A33" w:rsidRDefault="00FD3A33" w:rsidP="00FD3A33">
      <w:pPr>
        <w:pStyle w:val="NoSpacing"/>
        <w:rPr>
          <w:rFonts w:ascii="Times New Roman" w:hAnsi="Times New Roman"/>
          <w:sz w:val="24"/>
          <w:szCs w:val="24"/>
        </w:rPr>
      </w:pPr>
    </w:p>
    <w:p w14:paraId="10886D32" w14:textId="77777777" w:rsidR="00FD3A33" w:rsidRPr="00FD3A33" w:rsidRDefault="00FD3A33" w:rsidP="00FD3A33">
      <w:pPr>
        <w:pStyle w:val="NoSpacing"/>
        <w:ind w:firstLine="720"/>
        <w:rPr>
          <w:rFonts w:ascii="Times New Roman" w:hAnsi="Times New Roman"/>
          <w:sz w:val="24"/>
          <w:szCs w:val="24"/>
        </w:rPr>
      </w:pPr>
      <w:r w:rsidRPr="00FD3A33">
        <w:rPr>
          <w:rFonts w:ascii="Times New Roman" w:hAnsi="Times New Roman"/>
          <w:sz w:val="24"/>
          <w:szCs w:val="24"/>
        </w:rPr>
        <w:t>***</w:t>
      </w:r>
    </w:p>
    <w:p w14:paraId="5CD1CB76"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 xml:space="preserve">Plaintiff contends that Bradley, on behalf of the Fire Authority, took adverse employment actions against him based on Bradley's perception that plaintiff spoke negatively of the Plan [to replace city fire department with County department] to his wife, Ms. Vargas, who was a city councilor and was involved in the adoption and implementation of the Plan. Regardless of whether plaintiff </w:t>
      </w:r>
      <w:proofErr w:type="gramStart"/>
      <w:r w:rsidRPr="00FD3A33">
        <w:rPr>
          <w:rFonts w:ascii="Times New Roman" w:hAnsi="Times New Roman"/>
          <w:sz w:val="24"/>
          <w:szCs w:val="24"/>
        </w:rPr>
        <w:t>actually spoke</w:t>
      </w:r>
      <w:proofErr w:type="gramEnd"/>
      <w:r w:rsidRPr="00FD3A33">
        <w:rPr>
          <w:rFonts w:ascii="Times New Roman" w:hAnsi="Times New Roman"/>
          <w:sz w:val="24"/>
          <w:szCs w:val="24"/>
        </w:rPr>
        <w:t xml:space="preserve"> to his wife about the Plan, a retaliation claim based on ‘perceived speech’--i.e., speech that the plaintiff was incorrectly thought to have made -- is cognizable under the First Amendment.</w:t>
      </w:r>
    </w:p>
    <w:p w14:paraId="777765D3" w14:textId="77777777" w:rsidR="00FD3A33" w:rsidRPr="00FD3A33" w:rsidRDefault="00FD3A33" w:rsidP="00FD3A33">
      <w:pPr>
        <w:pStyle w:val="NoSpacing"/>
        <w:rPr>
          <w:rFonts w:ascii="Times New Roman" w:hAnsi="Times New Roman"/>
          <w:sz w:val="24"/>
          <w:szCs w:val="24"/>
        </w:rPr>
      </w:pPr>
    </w:p>
    <w:p w14:paraId="3A8A4870" w14:textId="77777777" w:rsidR="00FD3A33" w:rsidRPr="00FD3A33" w:rsidRDefault="00FD3A33" w:rsidP="00FD3A33">
      <w:pPr>
        <w:pStyle w:val="NoSpacing"/>
        <w:ind w:firstLine="720"/>
        <w:rPr>
          <w:rFonts w:ascii="Times New Roman" w:hAnsi="Times New Roman"/>
          <w:sz w:val="24"/>
          <w:szCs w:val="24"/>
        </w:rPr>
      </w:pPr>
      <w:r w:rsidRPr="00FD3A33">
        <w:rPr>
          <w:rFonts w:ascii="Times New Roman" w:hAnsi="Times New Roman"/>
          <w:sz w:val="24"/>
          <w:szCs w:val="24"/>
        </w:rPr>
        <w:t>***</w:t>
      </w:r>
    </w:p>
    <w:p w14:paraId="6609C308"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There is also evidence tending to show that Bradley's proffered reason for plaintiff's termination was pretextual. After an independent investigation found that the harassment investigation into plaintiff was biased by Bradley's involvement, City officials concluded that the harassment investigation's findings did not warrant termination and instructed Bradley to remove plaintiff from administrative leave, but Bradley terminated plaintiff regardless.”</w:t>
      </w:r>
    </w:p>
    <w:p w14:paraId="1F8BFBA6" w14:textId="77777777" w:rsidR="00FD3A33" w:rsidRPr="00FD3A33" w:rsidRDefault="00FD3A33" w:rsidP="00FD3A33">
      <w:pPr>
        <w:pStyle w:val="NoSpacing"/>
        <w:rPr>
          <w:rFonts w:ascii="Times New Roman" w:hAnsi="Times New Roman"/>
          <w:sz w:val="24"/>
          <w:szCs w:val="24"/>
        </w:rPr>
      </w:pPr>
    </w:p>
    <w:p w14:paraId="5841DECD" w14:textId="77777777" w:rsidR="00FD3A33" w:rsidRPr="00FD3A33" w:rsidRDefault="00FD3A33" w:rsidP="00FD3A33">
      <w:pPr>
        <w:pStyle w:val="NoSpacing"/>
        <w:rPr>
          <w:rFonts w:ascii="Times New Roman" w:hAnsi="Times New Roman"/>
          <w:b/>
          <w:bCs/>
          <w:sz w:val="24"/>
          <w:szCs w:val="24"/>
        </w:rPr>
      </w:pPr>
      <w:r w:rsidRPr="00FD3A33">
        <w:rPr>
          <w:rFonts w:ascii="Times New Roman" w:hAnsi="Times New Roman"/>
          <w:b/>
          <w:sz w:val="24"/>
          <w:szCs w:val="24"/>
        </w:rPr>
        <w:t>Legal Lesson Learned: Terminating a Battalion Chief, despite an independent investigation and city recommendation not to fire, raises serious suspicion of retaliation that can now go to a jury trial.</w:t>
      </w:r>
    </w:p>
    <w:p w14:paraId="720D53F5" w14:textId="77777777" w:rsidR="00FD3A33" w:rsidRDefault="00FD3A33" w:rsidP="00FD3A33">
      <w:pPr>
        <w:rPr>
          <w:bCs/>
        </w:rPr>
      </w:pPr>
    </w:p>
    <w:p w14:paraId="4147ECA3" w14:textId="77777777" w:rsidR="00FD3A33" w:rsidRDefault="00FD3A33" w:rsidP="00F91F9F">
      <w:pPr>
        <w:pStyle w:val="NoSpacing"/>
        <w:rPr>
          <w:rFonts w:ascii="Arial Black" w:hAnsi="Arial Black"/>
          <w:sz w:val="24"/>
          <w:szCs w:val="24"/>
        </w:rPr>
      </w:pPr>
    </w:p>
    <w:p w14:paraId="5498AE2F" w14:textId="77777777" w:rsidR="00457219" w:rsidRDefault="00457219" w:rsidP="00F91F9F">
      <w:pPr>
        <w:pStyle w:val="NoSpacing"/>
        <w:rPr>
          <w:rFonts w:ascii="Arial Black" w:hAnsi="Arial Black"/>
          <w:sz w:val="24"/>
          <w:szCs w:val="24"/>
        </w:rPr>
      </w:pPr>
    </w:p>
    <w:p w14:paraId="359452B6" w14:textId="6B6D2105" w:rsidR="008A7077" w:rsidRDefault="008A7077" w:rsidP="00F91F9F">
      <w:pPr>
        <w:pStyle w:val="NoSpacing"/>
        <w:rPr>
          <w:rFonts w:ascii="Arial Black" w:hAnsi="Arial Black"/>
          <w:sz w:val="24"/>
          <w:szCs w:val="24"/>
        </w:rPr>
      </w:pPr>
      <w:r>
        <w:rPr>
          <w:rFonts w:ascii="Arial Black" w:hAnsi="Arial Black"/>
          <w:sz w:val="24"/>
          <w:szCs w:val="24"/>
        </w:rPr>
        <w:t>16-120</w:t>
      </w:r>
    </w:p>
    <w:p w14:paraId="2E0B30AD" w14:textId="77777777" w:rsidR="008A7077" w:rsidRDefault="008A7077" w:rsidP="00F91F9F">
      <w:pPr>
        <w:pStyle w:val="NoSpacing"/>
        <w:rPr>
          <w:rFonts w:ascii="Arial Black" w:hAnsi="Arial Black"/>
          <w:sz w:val="24"/>
          <w:szCs w:val="24"/>
        </w:rPr>
      </w:pPr>
    </w:p>
    <w:p w14:paraId="6ACBAAEA" w14:textId="36061B21" w:rsidR="008A7077" w:rsidRDefault="008A7077" w:rsidP="008A7077">
      <w:pPr>
        <w:rPr>
          <w:rFonts w:ascii="Arial Black" w:hAnsi="Arial Black"/>
          <w:b/>
          <w:sz w:val="28"/>
          <w:szCs w:val="28"/>
        </w:rPr>
      </w:pPr>
      <w:r>
        <w:rPr>
          <w:rFonts w:ascii="Arial Black" w:hAnsi="Arial Black"/>
          <w:b/>
          <w:sz w:val="28"/>
          <w:szCs w:val="28"/>
        </w:rPr>
        <w:t xml:space="preserve">WV: OWNER </w:t>
      </w:r>
      <w:r w:rsidR="0046766E">
        <w:rPr>
          <w:rFonts w:ascii="Arial Black" w:hAnsi="Arial Black"/>
          <w:b/>
          <w:sz w:val="28"/>
          <w:szCs w:val="28"/>
        </w:rPr>
        <w:t>“</w:t>
      </w:r>
      <w:r>
        <w:rPr>
          <w:rFonts w:ascii="Arial Black" w:hAnsi="Arial Black"/>
          <w:b/>
          <w:sz w:val="28"/>
          <w:szCs w:val="28"/>
        </w:rPr>
        <w:t>STAT EMS</w:t>
      </w:r>
      <w:r w:rsidR="0046766E">
        <w:rPr>
          <w:rFonts w:ascii="Arial Black" w:hAnsi="Arial Black"/>
          <w:b/>
          <w:sz w:val="28"/>
          <w:szCs w:val="28"/>
        </w:rPr>
        <w:t>” COMPANY</w:t>
      </w:r>
      <w:r>
        <w:rPr>
          <w:rFonts w:ascii="Arial Black" w:hAnsi="Arial Black"/>
          <w:b/>
          <w:sz w:val="28"/>
          <w:szCs w:val="28"/>
        </w:rPr>
        <w:t xml:space="preserve"> – $3.3M UNPAID TAXES – CONV</w:t>
      </w:r>
      <w:r w:rsidR="0046766E">
        <w:rPr>
          <w:rFonts w:ascii="Arial Black" w:hAnsi="Arial Black"/>
          <w:b/>
          <w:sz w:val="28"/>
          <w:szCs w:val="28"/>
        </w:rPr>
        <w:t>ICTED</w:t>
      </w:r>
    </w:p>
    <w:p w14:paraId="2268C460" w14:textId="77777777" w:rsidR="008A7077" w:rsidRPr="00DF71DE" w:rsidRDefault="008A7077" w:rsidP="008A7077">
      <w:pPr>
        <w:pStyle w:val="NoSpacing"/>
        <w:rPr>
          <w:rFonts w:ascii="Times New Roman" w:hAnsi="Times New Roman"/>
          <w:sz w:val="24"/>
          <w:szCs w:val="24"/>
        </w:rPr>
      </w:pPr>
      <w:r w:rsidRPr="00DF71DE">
        <w:rPr>
          <w:rFonts w:ascii="Times New Roman" w:hAnsi="Times New Roman"/>
          <w:sz w:val="24"/>
          <w:szCs w:val="24"/>
        </w:rPr>
        <w:t xml:space="preserve">On Jan. 2, 2025, in </w:t>
      </w:r>
      <w:r w:rsidRPr="00DF71DE">
        <w:rPr>
          <w:rFonts w:ascii="Times New Roman" w:hAnsi="Times New Roman"/>
          <w:sz w:val="24"/>
          <w:szCs w:val="24"/>
          <w:u w:val="single"/>
        </w:rPr>
        <w:t>United States of America v. Christopher Smyth</w:t>
      </w:r>
      <w:r w:rsidRPr="00DF71DE">
        <w:rPr>
          <w:rFonts w:ascii="Times New Roman" w:hAnsi="Times New Roman"/>
          <w:sz w:val="24"/>
          <w:szCs w:val="24"/>
        </w:rPr>
        <w:t xml:space="preserve">, U.S. District Court Chief Judge Frank W. Volk denied the defendant’s request for a downward departure from the federal sentencing guidelines.  He was convicted by a jury on May 3, </w:t>
      </w:r>
      <w:proofErr w:type="gramStart"/>
      <w:r w:rsidRPr="00DF71DE">
        <w:rPr>
          <w:rFonts w:ascii="Times New Roman" w:hAnsi="Times New Roman"/>
          <w:sz w:val="24"/>
          <w:szCs w:val="24"/>
        </w:rPr>
        <w:t>2024</w:t>
      </w:r>
      <w:proofErr w:type="gramEnd"/>
      <w:r w:rsidRPr="00DF71DE">
        <w:rPr>
          <w:rFonts w:ascii="Times New Roman" w:hAnsi="Times New Roman"/>
          <w:sz w:val="24"/>
          <w:szCs w:val="24"/>
        </w:rPr>
        <w:t xml:space="preserve"> by a federal jury in Beckley, West Virginia, for failing to pay the taxes withheld from employees’ wages at an ambulance service he operated and for obstructing the IRS.   Judge Volk was not impressed by the argument that the defendant was motivated by a desire to protect his community by continuing critical emergency services.  “Simply put, Mr. Smyth could have paid the trust fund taxes he had already collected from STAT EMS employees. He redirected the funds elsewhere.”  Mr. Smith will be sentenced on March 3, 2025. </w:t>
      </w:r>
      <w:hyperlink r:id="rId2684" w:history="1">
        <w:r w:rsidRPr="00DF71DE">
          <w:rPr>
            <w:rStyle w:val="Hyperlink"/>
            <w:rFonts w:ascii="Times New Roman" w:hAnsi="Times New Roman"/>
            <w:sz w:val="24"/>
            <w:szCs w:val="24"/>
          </w:rPr>
          <w:t>https://www.wvsd.uscourts.gov/sites/wvsd/files/opinions/MOO_20250102_5_22-cr-00182.pdf</w:t>
        </w:r>
      </w:hyperlink>
      <w:r w:rsidRPr="00DF71DE">
        <w:rPr>
          <w:rFonts w:ascii="Times New Roman" w:hAnsi="Times New Roman"/>
          <w:sz w:val="24"/>
          <w:szCs w:val="24"/>
        </w:rPr>
        <w:t xml:space="preserve"> </w:t>
      </w:r>
    </w:p>
    <w:p w14:paraId="284269F9" w14:textId="77777777" w:rsidR="008A7077" w:rsidRPr="00DF71DE" w:rsidRDefault="008A7077" w:rsidP="008A7077">
      <w:pPr>
        <w:pStyle w:val="NoSpacing"/>
        <w:rPr>
          <w:rFonts w:ascii="Times New Roman" w:hAnsi="Times New Roman"/>
          <w:sz w:val="24"/>
          <w:szCs w:val="24"/>
        </w:rPr>
      </w:pPr>
    </w:p>
    <w:p w14:paraId="16E839CB" w14:textId="77777777" w:rsidR="008A7077" w:rsidRPr="00DF71DE" w:rsidRDefault="008A7077" w:rsidP="008A7077">
      <w:pPr>
        <w:pStyle w:val="NoSpacing"/>
        <w:rPr>
          <w:rFonts w:ascii="Times New Roman" w:hAnsi="Times New Roman"/>
          <w:sz w:val="24"/>
          <w:szCs w:val="24"/>
        </w:rPr>
      </w:pPr>
      <w:r w:rsidRPr="00DF71DE">
        <w:rPr>
          <w:rFonts w:ascii="Times New Roman" w:hAnsi="Times New Roman"/>
          <w:sz w:val="24"/>
          <w:szCs w:val="24"/>
        </w:rPr>
        <w:t>The Court wrote:</w:t>
      </w:r>
    </w:p>
    <w:p w14:paraId="65FDED65" w14:textId="77777777" w:rsidR="008A7077" w:rsidRPr="00DF71DE" w:rsidRDefault="008A7077" w:rsidP="008A7077">
      <w:pPr>
        <w:pStyle w:val="NoSpacing"/>
        <w:rPr>
          <w:rFonts w:ascii="Times New Roman" w:hAnsi="Times New Roman"/>
          <w:sz w:val="24"/>
          <w:szCs w:val="24"/>
        </w:rPr>
      </w:pPr>
    </w:p>
    <w:p w14:paraId="598934ED"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“Mr. Smyth contends his criminal conduct was motivated by a desire to protect his</w:t>
      </w:r>
    </w:p>
    <w:p w14:paraId="7FC03DE3"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 xml:space="preserve">community by continuing critical emergency services. [ECF 148 at 4]. He claims STAT EMS lacked sufficient funds to pay the trust fund taxes, </w:t>
      </w:r>
      <w:proofErr w:type="gramStart"/>
      <w:r w:rsidRPr="00DF71DE">
        <w:rPr>
          <w:rFonts w:ascii="Times New Roman" w:hAnsi="Times New Roman"/>
          <w:sz w:val="24"/>
          <w:szCs w:val="24"/>
        </w:rPr>
        <w:t>inasmuch as</w:t>
      </w:r>
      <w:proofErr w:type="gramEnd"/>
      <w:r w:rsidRPr="00DF71DE">
        <w:rPr>
          <w:rFonts w:ascii="Times New Roman" w:hAnsi="Times New Roman"/>
          <w:sz w:val="24"/>
          <w:szCs w:val="24"/>
        </w:rPr>
        <w:t xml:space="preserve"> </w:t>
      </w:r>
      <w:proofErr w:type="gramStart"/>
      <w:r w:rsidRPr="00DF71DE">
        <w:rPr>
          <w:rFonts w:ascii="Times New Roman" w:hAnsi="Times New Roman"/>
          <w:sz w:val="24"/>
          <w:szCs w:val="24"/>
        </w:rPr>
        <w:t>it earlier</w:t>
      </w:r>
      <w:proofErr w:type="gramEnd"/>
      <w:r w:rsidRPr="00DF71DE">
        <w:rPr>
          <w:rFonts w:ascii="Times New Roman" w:hAnsi="Times New Roman"/>
          <w:sz w:val="24"/>
          <w:szCs w:val="24"/>
        </w:rPr>
        <w:t xml:space="preserve"> absorbed two failed ambulance companies. [Id. at 3–4]. He further contends the IRS acknowledged the importance of the services by foregoing levy against STAT EMS or liquidating its assets. [Id. at 4]. For these reasons, he seeks the subject departure and a downward variance.</w:t>
      </w:r>
    </w:p>
    <w:p w14:paraId="0D132CD9" w14:textId="77777777" w:rsidR="008A7077" w:rsidRPr="00DF71DE" w:rsidRDefault="008A7077" w:rsidP="008A7077">
      <w:pPr>
        <w:pStyle w:val="NoSpacing"/>
        <w:rPr>
          <w:rFonts w:ascii="Times New Roman" w:hAnsi="Times New Roman"/>
          <w:sz w:val="24"/>
          <w:szCs w:val="24"/>
        </w:rPr>
      </w:pPr>
    </w:p>
    <w:p w14:paraId="33AC2C37"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w:t>
      </w:r>
    </w:p>
    <w:p w14:paraId="6F291A56" w14:textId="77777777" w:rsidR="008A7077" w:rsidRPr="00DF71DE" w:rsidRDefault="008A7077" w:rsidP="008A7077">
      <w:pPr>
        <w:pStyle w:val="NoSpacing"/>
        <w:rPr>
          <w:rFonts w:ascii="Times New Roman" w:hAnsi="Times New Roman"/>
          <w:sz w:val="24"/>
          <w:szCs w:val="24"/>
        </w:rPr>
      </w:pPr>
    </w:p>
    <w:p w14:paraId="16E445B6"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Mr. Smyth’s decades-long dodge of his taxpayer obligations deprived the Sovereign of monies used to fund essential governmental services. It is our elected representatives who hold the privilege and responsibility for funding decisions. Instead of permitting those policy decisions to be made by the ones to whom the power is reserved, however, Mr. Smyth made his own funding allocation. And he seeks a reduction for doing so. The approach is quite distorted.</w:t>
      </w:r>
    </w:p>
    <w:p w14:paraId="4E532352" w14:textId="77777777" w:rsidR="008A7077" w:rsidRPr="00DF71DE" w:rsidRDefault="008A7077" w:rsidP="008A7077">
      <w:pPr>
        <w:pStyle w:val="NoSpacing"/>
        <w:rPr>
          <w:rFonts w:ascii="Times New Roman" w:hAnsi="Times New Roman"/>
          <w:sz w:val="24"/>
          <w:szCs w:val="24"/>
        </w:rPr>
      </w:pPr>
    </w:p>
    <w:p w14:paraId="667ED036"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Mr. Smyth also contends his crimes resulted from insufficient funds after absorbing</w:t>
      </w:r>
    </w:p>
    <w:p w14:paraId="2A069623"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 xml:space="preserve">two failed ambulance services in 2014. [ECF 148 at 3–4]. That is inaccurate. His tax crimes started long prior. [See PSR at 5]. The trial surfaced not only Mr. Smyth’s failure to pay his trust fund taxes, but also his decision to pay himself, his family, his friends, and the businesses they operated. Mr. Smyth also managed to meet his tax obligations shortly after coming </w:t>
      </w:r>
      <w:proofErr w:type="gramStart"/>
      <w:r w:rsidRPr="00DF71DE">
        <w:rPr>
          <w:rFonts w:ascii="Times New Roman" w:hAnsi="Times New Roman"/>
          <w:sz w:val="24"/>
          <w:szCs w:val="24"/>
        </w:rPr>
        <w:t>under</w:t>
      </w:r>
      <w:proofErr w:type="gramEnd"/>
      <w:r w:rsidRPr="00DF71DE">
        <w:rPr>
          <w:rFonts w:ascii="Times New Roman" w:hAnsi="Times New Roman"/>
          <w:sz w:val="24"/>
          <w:szCs w:val="24"/>
        </w:rPr>
        <w:t xml:space="preserve"> criminal investigation. Simply put, Mr. Smyth could have paid the trust fund taxes he had already collected from STAT EMS employees. He redirected the funds elsewhere.</w:t>
      </w:r>
    </w:p>
    <w:p w14:paraId="59BA937B" w14:textId="77777777" w:rsidR="008A7077" w:rsidRPr="00DF71DE" w:rsidRDefault="008A7077" w:rsidP="008A7077">
      <w:pPr>
        <w:pStyle w:val="NoSpacing"/>
        <w:rPr>
          <w:rFonts w:ascii="Times New Roman" w:hAnsi="Times New Roman"/>
          <w:sz w:val="24"/>
          <w:szCs w:val="24"/>
        </w:rPr>
      </w:pPr>
    </w:p>
    <w:p w14:paraId="65B8BC8F"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In sum, Mr. Smyth shorted the Sovereign and the tax-paying public. Under such</w:t>
      </w:r>
    </w:p>
    <w:p w14:paraId="7B26A2D8"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circumstances, a downward departure is inappropriate. A ruling on the variance request awaits further development by counsel at sentencing.”</w:t>
      </w:r>
    </w:p>
    <w:p w14:paraId="14424410" w14:textId="77777777" w:rsidR="008A7077" w:rsidRPr="00DF71DE" w:rsidRDefault="008A7077" w:rsidP="008A7077">
      <w:pPr>
        <w:pStyle w:val="NoSpacing"/>
        <w:ind w:left="720"/>
        <w:rPr>
          <w:rFonts w:ascii="Times New Roman" w:hAnsi="Times New Roman"/>
          <w:sz w:val="24"/>
          <w:szCs w:val="24"/>
        </w:rPr>
      </w:pPr>
    </w:p>
    <w:p w14:paraId="4D39DC93" w14:textId="77777777" w:rsidR="008A7077" w:rsidRPr="00DF71DE" w:rsidRDefault="008A7077" w:rsidP="008A7077">
      <w:pPr>
        <w:pStyle w:val="NoSpacing"/>
        <w:rPr>
          <w:rFonts w:ascii="Times New Roman" w:hAnsi="Times New Roman"/>
          <w:b/>
          <w:bCs/>
          <w:sz w:val="24"/>
          <w:szCs w:val="24"/>
        </w:rPr>
      </w:pPr>
      <w:r w:rsidRPr="00DF71DE">
        <w:rPr>
          <w:rFonts w:ascii="Times New Roman" w:hAnsi="Times New Roman"/>
          <w:b/>
          <w:sz w:val="24"/>
          <w:szCs w:val="24"/>
        </w:rPr>
        <w:t xml:space="preserve">Legal Lesson Learned:  Failure to pay taxes can result in jail time. </w:t>
      </w:r>
    </w:p>
    <w:p w14:paraId="3FCFC72C" w14:textId="77777777" w:rsidR="008A7077" w:rsidRPr="00DF71DE" w:rsidRDefault="008A7077" w:rsidP="008A7077">
      <w:pPr>
        <w:rPr>
          <w:rFonts w:ascii="Times New Roman" w:hAnsi="Times New Roman"/>
          <w:b/>
          <w:sz w:val="24"/>
          <w:szCs w:val="24"/>
        </w:rPr>
      </w:pPr>
    </w:p>
    <w:p w14:paraId="2118BFAC" w14:textId="77777777"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Note: See May 3, 2024, U.S. Department of Justice press release, “West Virginia Ambulance Services Business Owner Convicted of Tax Crimes.”</w:t>
      </w:r>
    </w:p>
    <w:p w14:paraId="4D7DF769" w14:textId="77777777"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“A federal jury in Beckley, West Virginia, convicted a man yesterday for failing to pay the taxes withheld from employees’ wages at an ambulance service he operated and for obstructing the IRS.   According to evidence presented at trial, from 2012 through part of 2017, Christopher Jason Smyth operated Stat EMS LLC, an ambulance service located in Pineville, West Virginia. Smyth created Stat EMS after a previous ambulance business Smyth operated accrued millions of dollars of employment tax liabilities and filed for bankruptcy. Smyth caused Stat EMS to be founded in the name of a nominee owner but continued operating the business in the same manner as before.</w:t>
      </w:r>
    </w:p>
    <w:p w14:paraId="74894D62" w14:textId="25178C41"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 xml:space="preserve">At Stat EMS, Smyth was responsible for withholding Social Security, Medicare and income taxes from employees’ wages and paying them to the IRS. For two quarters in 2016, Smyth, however, did not fully pay the taxes to the IRS. Instead, he paid various personal expenses and transferred funds to businesses held by his friends and family. The IRS determined that Stat EMS accrued approximately $3.3 million in unpaid </w:t>
      </w:r>
      <w:proofErr w:type="gramStart"/>
      <w:r w:rsidR="00DF71DE" w:rsidRPr="00DF71DE">
        <w:rPr>
          <w:rFonts w:ascii="Times New Roman" w:hAnsi="Times New Roman"/>
          <w:sz w:val="24"/>
          <w:szCs w:val="24"/>
        </w:rPr>
        <w:t>taxes.</w:t>
      </w:r>
      <w:r w:rsidR="00DF71DE">
        <w:rPr>
          <w:rFonts w:ascii="Times New Roman" w:hAnsi="Times New Roman"/>
          <w:sz w:val="24"/>
          <w:szCs w:val="24"/>
        </w:rPr>
        <w:t>”</w:t>
      </w:r>
      <w:proofErr w:type="gramEnd"/>
    </w:p>
    <w:p w14:paraId="526AAB6D" w14:textId="77777777" w:rsidR="008A7077" w:rsidRDefault="008A7077" w:rsidP="008A7077">
      <w:pPr>
        <w:rPr>
          <w:b/>
        </w:rPr>
      </w:pPr>
    </w:p>
    <w:p w14:paraId="6DF1A81F" w14:textId="77777777" w:rsidR="008A7077" w:rsidRDefault="008A7077" w:rsidP="00F91F9F">
      <w:pPr>
        <w:pStyle w:val="NoSpacing"/>
        <w:rPr>
          <w:rFonts w:ascii="Arial Black" w:hAnsi="Arial Black"/>
          <w:sz w:val="24"/>
          <w:szCs w:val="24"/>
        </w:rPr>
      </w:pPr>
    </w:p>
    <w:p w14:paraId="2DE44799" w14:textId="77777777" w:rsidR="008A7077" w:rsidRDefault="008A7077" w:rsidP="00F91F9F">
      <w:pPr>
        <w:pStyle w:val="NoSpacing"/>
        <w:rPr>
          <w:rFonts w:ascii="Arial Black" w:hAnsi="Arial Black"/>
          <w:sz w:val="24"/>
          <w:szCs w:val="24"/>
        </w:rPr>
      </w:pPr>
    </w:p>
    <w:p w14:paraId="4FF3EEEA" w14:textId="77777777" w:rsidR="008A7077" w:rsidRDefault="008A7077" w:rsidP="00F91F9F">
      <w:pPr>
        <w:pStyle w:val="NoSpacing"/>
        <w:rPr>
          <w:rFonts w:ascii="Arial Black" w:hAnsi="Arial Black"/>
          <w:sz w:val="24"/>
          <w:szCs w:val="24"/>
        </w:rPr>
      </w:pPr>
    </w:p>
    <w:p w14:paraId="1A3E4068" w14:textId="299B901A" w:rsidR="00921B8A" w:rsidRDefault="00921B8A" w:rsidP="00F91F9F">
      <w:pPr>
        <w:pStyle w:val="NoSpacing"/>
        <w:rPr>
          <w:rFonts w:ascii="Arial Black" w:hAnsi="Arial Black"/>
          <w:sz w:val="24"/>
          <w:szCs w:val="24"/>
        </w:rPr>
      </w:pPr>
      <w:r>
        <w:rPr>
          <w:rFonts w:ascii="Arial Black" w:hAnsi="Arial Black"/>
          <w:sz w:val="24"/>
          <w:szCs w:val="24"/>
        </w:rPr>
        <w:t>16-119</w:t>
      </w:r>
    </w:p>
    <w:p w14:paraId="0BBF3020" w14:textId="77777777" w:rsidR="00921B8A" w:rsidRDefault="00921B8A" w:rsidP="00F91F9F">
      <w:pPr>
        <w:pStyle w:val="NoSpacing"/>
        <w:rPr>
          <w:rFonts w:ascii="Arial Black" w:hAnsi="Arial Black"/>
          <w:sz w:val="24"/>
          <w:szCs w:val="24"/>
        </w:rPr>
      </w:pPr>
    </w:p>
    <w:p w14:paraId="3F309FF6" w14:textId="77777777" w:rsidR="0063723E" w:rsidRPr="00913FB8" w:rsidRDefault="0063723E" w:rsidP="0063723E">
      <w:pPr>
        <w:pStyle w:val="NoSpacing"/>
        <w:rPr>
          <w:rFonts w:ascii="Arial Black" w:hAnsi="Arial Black"/>
          <w:sz w:val="28"/>
          <w:szCs w:val="28"/>
        </w:rPr>
      </w:pPr>
      <w:r>
        <w:rPr>
          <w:rFonts w:ascii="Arial Black" w:hAnsi="Arial Black"/>
          <w:sz w:val="28"/>
          <w:szCs w:val="28"/>
        </w:rPr>
        <w:t xml:space="preserve">MI: WHISTLEBLOWER, REPT BAD TIRES – LATER FIRED </w:t>
      </w:r>
    </w:p>
    <w:p w14:paraId="4775763C" w14:textId="77777777" w:rsidR="0063723E" w:rsidRDefault="0063723E" w:rsidP="0063723E">
      <w:pPr>
        <w:pStyle w:val="NoSpacing"/>
      </w:pPr>
    </w:p>
    <w:p w14:paraId="05A387C3" w14:textId="77777777" w:rsidR="00054479" w:rsidRPr="00054479" w:rsidRDefault="00054479" w:rsidP="00054479">
      <w:pPr>
        <w:pStyle w:val="NoSpacing"/>
        <w:rPr>
          <w:rFonts w:ascii="Times New Roman" w:hAnsi="Times New Roman"/>
          <w:sz w:val="24"/>
          <w:szCs w:val="24"/>
        </w:rPr>
      </w:pPr>
      <w:r w:rsidRPr="00054479">
        <w:rPr>
          <w:rFonts w:ascii="Times New Roman" w:hAnsi="Times New Roman"/>
          <w:sz w:val="24"/>
          <w:szCs w:val="24"/>
        </w:rPr>
        <w:t xml:space="preserve">On Dec. 19, 2024, in </w:t>
      </w:r>
      <w:r w:rsidRPr="00054479">
        <w:rPr>
          <w:rFonts w:ascii="Times New Roman" w:hAnsi="Times New Roman"/>
          <w:sz w:val="24"/>
          <w:szCs w:val="24"/>
          <w:u w:val="single"/>
        </w:rPr>
        <w:t>Dale Gorm v. Northern Bay Ambulance &amp; Rescue</w:t>
      </w:r>
      <w:r w:rsidRPr="00054479">
        <w:rPr>
          <w:rFonts w:ascii="Times New Roman" w:hAnsi="Times New Roman"/>
          <w:sz w:val="24"/>
          <w:szCs w:val="24"/>
        </w:rPr>
        <w:t xml:space="preserve">, the Michigan Court of Appeals held (3 to 0; unpublished decision) that the trial court improperly granted summary judgment to the ambulance company.  In 2022, Paramedic Gorm complained twice to Chairman of Board about poor tires on the ambulances </w:t>
      </w:r>
      <w:proofErr w:type="gramStart"/>
      <w:r w:rsidRPr="00054479">
        <w:rPr>
          <w:rFonts w:ascii="Times New Roman" w:hAnsi="Times New Roman"/>
          <w:sz w:val="24"/>
          <w:szCs w:val="24"/>
        </w:rPr>
        <w:t>and also</w:t>
      </w:r>
      <w:proofErr w:type="gramEnd"/>
      <w:r w:rsidRPr="00054479">
        <w:rPr>
          <w:rFonts w:ascii="Times New Roman" w:hAnsi="Times New Roman"/>
          <w:sz w:val="24"/>
          <w:szCs w:val="24"/>
        </w:rPr>
        <w:t xml:space="preserve"> complained that the Operations Manager, Ms. Jones, was doing poor job and should be fired.  The complaint was about two months prior to being fired.  On July 1, 2022, he inadvertently found on the common-use copier a document with EMS salary info and social security numbers, and he showed it two other EMS on duty.  He was fired July 14 for “privacy breach.” </w:t>
      </w:r>
      <w:hyperlink r:id="rId2685" w:history="1">
        <w:r w:rsidRPr="00054479">
          <w:rPr>
            <w:rStyle w:val="Hyperlink"/>
            <w:rFonts w:ascii="Times New Roman" w:hAnsi="Times New Roman"/>
            <w:sz w:val="24"/>
            <w:szCs w:val="24"/>
          </w:rPr>
          <w:t>https://cases.justia.com/michigan/court-of-appeals-unpublished/2024-368783.pdf?ts=1734703212</w:t>
        </w:r>
      </w:hyperlink>
      <w:r w:rsidRPr="00054479">
        <w:rPr>
          <w:rFonts w:ascii="Times New Roman" w:hAnsi="Times New Roman"/>
          <w:sz w:val="24"/>
          <w:szCs w:val="24"/>
        </w:rPr>
        <w:t xml:space="preserve"> </w:t>
      </w:r>
    </w:p>
    <w:p w14:paraId="0B490466" w14:textId="77777777" w:rsidR="00054479" w:rsidRDefault="00054479" w:rsidP="0063723E">
      <w:pPr>
        <w:pStyle w:val="NoSpacing"/>
        <w:rPr>
          <w:rFonts w:ascii="Times New Roman" w:hAnsi="Times New Roman"/>
          <w:sz w:val="24"/>
          <w:szCs w:val="24"/>
        </w:rPr>
      </w:pPr>
    </w:p>
    <w:p w14:paraId="5A8633E4" w14:textId="77777777" w:rsidR="00054479" w:rsidRDefault="00054479" w:rsidP="0063723E">
      <w:pPr>
        <w:pStyle w:val="NoSpacing"/>
        <w:rPr>
          <w:rFonts w:ascii="Times New Roman" w:hAnsi="Times New Roman"/>
          <w:sz w:val="24"/>
          <w:szCs w:val="24"/>
        </w:rPr>
      </w:pPr>
    </w:p>
    <w:p w14:paraId="0E41B549" w14:textId="18EDB9E4" w:rsidR="0063723E" w:rsidRPr="0063723E" w:rsidRDefault="0063723E" w:rsidP="0063723E">
      <w:pPr>
        <w:pStyle w:val="NoSpacing"/>
        <w:rPr>
          <w:rFonts w:ascii="Times New Roman" w:hAnsi="Times New Roman"/>
          <w:sz w:val="24"/>
          <w:szCs w:val="24"/>
        </w:rPr>
      </w:pPr>
      <w:r w:rsidRPr="0063723E">
        <w:rPr>
          <w:rFonts w:ascii="Times New Roman" w:hAnsi="Times New Roman"/>
          <w:sz w:val="24"/>
          <w:szCs w:val="24"/>
        </w:rPr>
        <w:t>The Cour</w:t>
      </w:r>
      <w:r w:rsidR="0080636C">
        <w:rPr>
          <w:rFonts w:ascii="Times New Roman" w:hAnsi="Times New Roman"/>
          <w:sz w:val="24"/>
          <w:szCs w:val="24"/>
        </w:rPr>
        <w:t>t wrote</w:t>
      </w:r>
      <w:r w:rsidRPr="0063723E">
        <w:rPr>
          <w:rFonts w:ascii="Times New Roman" w:hAnsi="Times New Roman"/>
          <w:sz w:val="24"/>
          <w:szCs w:val="24"/>
        </w:rPr>
        <w:t xml:space="preserve">: </w:t>
      </w:r>
    </w:p>
    <w:p w14:paraId="0A9C3108" w14:textId="77777777" w:rsidR="0080636C" w:rsidRDefault="0080636C" w:rsidP="0063723E">
      <w:pPr>
        <w:pStyle w:val="NoSpacing"/>
        <w:ind w:firstLine="720"/>
        <w:rPr>
          <w:rFonts w:ascii="Times New Roman" w:hAnsi="Times New Roman"/>
          <w:sz w:val="24"/>
          <w:szCs w:val="24"/>
        </w:rPr>
      </w:pPr>
    </w:p>
    <w:p w14:paraId="09D46BE5" w14:textId="73010EA8" w:rsidR="0063723E" w:rsidRPr="0063723E" w:rsidRDefault="0063723E" w:rsidP="0063723E">
      <w:pPr>
        <w:pStyle w:val="NoSpacing"/>
        <w:ind w:firstLine="720"/>
        <w:rPr>
          <w:rFonts w:ascii="Times New Roman" w:hAnsi="Times New Roman"/>
          <w:sz w:val="24"/>
          <w:szCs w:val="24"/>
        </w:rPr>
      </w:pPr>
      <w:r w:rsidRPr="0063723E">
        <w:rPr>
          <w:rFonts w:ascii="Times New Roman" w:hAnsi="Times New Roman"/>
          <w:sz w:val="24"/>
          <w:szCs w:val="24"/>
        </w:rPr>
        <w:t>“In sum, plaintiff presented sufficient circumstantial evidence to allow a reasonable fact-</w:t>
      </w:r>
    </w:p>
    <w:p w14:paraId="353BDEC7" w14:textId="2511A5E6" w:rsidR="0063723E" w:rsidRPr="0063723E" w:rsidRDefault="0063723E" w:rsidP="0063723E">
      <w:pPr>
        <w:pStyle w:val="NoSpacing"/>
        <w:ind w:left="720"/>
        <w:rPr>
          <w:rFonts w:ascii="Times New Roman" w:hAnsi="Times New Roman"/>
          <w:sz w:val="24"/>
          <w:szCs w:val="24"/>
        </w:rPr>
      </w:pPr>
      <w:r w:rsidRPr="0063723E">
        <w:rPr>
          <w:rFonts w:ascii="Times New Roman" w:hAnsi="Times New Roman"/>
          <w:sz w:val="24"/>
          <w:szCs w:val="24"/>
        </w:rPr>
        <w:t xml:space="preserve">finder to infer that plaintiff’s protected activity, i.e., reporting Jones’s failures to the Chairman, was a motivating factor in the decision to terminate him. A reasonable </w:t>
      </w:r>
      <w:proofErr w:type="gramStart"/>
      <w:r w:rsidRPr="0063723E">
        <w:rPr>
          <w:rFonts w:ascii="Times New Roman" w:hAnsi="Times New Roman"/>
          <w:sz w:val="24"/>
          <w:szCs w:val="24"/>
        </w:rPr>
        <w:t>fact-finder</w:t>
      </w:r>
      <w:proofErr w:type="gramEnd"/>
      <w:r w:rsidRPr="0063723E">
        <w:rPr>
          <w:rFonts w:ascii="Times New Roman" w:hAnsi="Times New Roman"/>
          <w:sz w:val="24"/>
          <w:szCs w:val="24"/>
        </w:rPr>
        <w:t xml:space="preserve"> could also infer that the proposed legitimate business reason—the privacy breach—was just a pretext. Therefore, there is an issue of fact as to why plaintiff was fired ‘upon which reasonable minds might differ.’ West, 469 Mich at 183.” </w:t>
      </w:r>
    </w:p>
    <w:p w14:paraId="30460BB9" w14:textId="77777777" w:rsidR="00850F47" w:rsidRDefault="00850F47" w:rsidP="002E3928">
      <w:pPr>
        <w:pStyle w:val="NoSpacing"/>
      </w:pPr>
    </w:p>
    <w:p w14:paraId="6110C56C" w14:textId="42FE4912" w:rsidR="002E3928" w:rsidRPr="00850F47" w:rsidRDefault="002E3928" w:rsidP="002E3928">
      <w:pPr>
        <w:pStyle w:val="NoSpacing"/>
        <w:rPr>
          <w:rFonts w:ascii="Times New Roman" w:hAnsi="Times New Roman"/>
          <w:sz w:val="24"/>
          <w:szCs w:val="24"/>
        </w:rPr>
      </w:pPr>
      <w:r w:rsidRPr="00850F47">
        <w:rPr>
          <w:rFonts w:ascii="Times New Roman" w:hAnsi="Times New Roman"/>
          <w:sz w:val="24"/>
          <w:szCs w:val="24"/>
        </w:rPr>
        <w:t>HOLDING:</w:t>
      </w:r>
    </w:p>
    <w:p w14:paraId="5B729953" w14:textId="77777777" w:rsidR="002E3928" w:rsidRPr="00850F47" w:rsidRDefault="002E3928" w:rsidP="002E3928">
      <w:pPr>
        <w:pStyle w:val="NoSpacing"/>
        <w:ind w:left="720"/>
        <w:rPr>
          <w:rFonts w:ascii="Times New Roman" w:hAnsi="Times New Roman"/>
          <w:sz w:val="24"/>
          <w:szCs w:val="24"/>
        </w:rPr>
      </w:pPr>
    </w:p>
    <w:p w14:paraId="5670DDDE"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“Plaintiff filed a lawsuit alleging that defendant retaliated against him in violation of the</w:t>
      </w:r>
    </w:p>
    <w:p w14:paraId="42FC69E3"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Whistleblowers’ Protection Act (WPA), MCL 15.369 et seq</w:t>
      </w:r>
      <w:proofErr w:type="gramStart"/>
      <w:r w:rsidRPr="00850F47">
        <w:rPr>
          <w:rFonts w:ascii="Times New Roman" w:hAnsi="Times New Roman"/>
          <w:sz w:val="24"/>
          <w:szCs w:val="24"/>
        </w:rPr>
        <w:t>.…</w:t>
      </w:r>
      <w:proofErr w:type="gramEnd"/>
      <w:r w:rsidRPr="00850F47">
        <w:rPr>
          <w:rFonts w:ascii="Times New Roman" w:hAnsi="Times New Roman"/>
          <w:sz w:val="24"/>
          <w:szCs w:val="24"/>
        </w:rPr>
        <w:t xml:space="preserve"> Pursuant to MCL 15.362, the WPA prohibits an employer from taking adverse employment action against an employee who </w:t>
      </w:r>
      <w:proofErr w:type="gramStart"/>
      <w:r w:rsidRPr="00850F47">
        <w:rPr>
          <w:rFonts w:ascii="Times New Roman" w:hAnsi="Times New Roman"/>
          <w:sz w:val="24"/>
          <w:szCs w:val="24"/>
        </w:rPr>
        <w:t>reports, ‘</w:t>
      </w:r>
      <w:proofErr w:type="gramEnd"/>
      <w:r w:rsidRPr="00850F47">
        <w:rPr>
          <w:rFonts w:ascii="Times New Roman" w:hAnsi="Times New Roman"/>
          <w:sz w:val="24"/>
          <w:szCs w:val="24"/>
        </w:rPr>
        <w:t>or is about to report, a violation or suspected violation</w:t>
      </w:r>
    </w:p>
    <w:p w14:paraId="6876F3F1"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of law to a public body,’ verbally or in writing.</w:t>
      </w:r>
    </w:p>
    <w:p w14:paraId="36795385" w14:textId="77777777" w:rsidR="002E3928" w:rsidRPr="00850F47" w:rsidRDefault="002E3928" w:rsidP="002E3928">
      <w:pPr>
        <w:pStyle w:val="NoSpacing"/>
        <w:ind w:left="720"/>
        <w:rPr>
          <w:rFonts w:ascii="Times New Roman" w:hAnsi="Times New Roman"/>
          <w:sz w:val="24"/>
          <w:szCs w:val="24"/>
        </w:rPr>
      </w:pPr>
    </w:p>
    <w:p w14:paraId="6785EF87"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w:t>
      </w:r>
    </w:p>
    <w:p w14:paraId="1843028F" w14:textId="77777777" w:rsidR="002E3928" w:rsidRPr="00850F47" w:rsidRDefault="002E3928" w:rsidP="002E3928">
      <w:pPr>
        <w:pStyle w:val="NoSpacing"/>
        <w:ind w:firstLine="720"/>
        <w:rPr>
          <w:rFonts w:ascii="Times New Roman" w:hAnsi="Times New Roman"/>
          <w:sz w:val="24"/>
          <w:szCs w:val="24"/>
        </w:rPr>
      </w:pPr>
      <w:r w:rsidRPr="00850F47">
        <w:rPr>
          <w:rFonts w:ascii="Times New Roman" w:hAnsi="Times New Roman"/>
          <w:sz w:val="24"/>
          <w:szCs w:val="24"/>
        </w:rPr>
        <w:t>In this case, plaintiff reported twice about poorly maintained tires. It is undisputed that</w:t>
      </w:r>
    </w:p>
    <w:p w14:paraId="5DC5ECBB" w14:textId="77777777" w:rsidR="002E3928" w:rsidRPr="00850F47" w:rsidRDefault="002E3928" w:rsidP="002E3928">
      <w:pPr>
        <w:pStyle w:val="NoSpacing"/>
        <w:ind w:firstLine="720"/>
        <w:rPr>
          <w:rFonts w:ascii="Times New Roman" w:hAnsi="Times New Roman"/>
          <w:sz w:val="24"/>
          <w:szCs w:val="24"/>
        </w:rPr>
      </w:pPr>
      <w:proofErr w:type="gramStart"/>
      <w:r w:rsidRPr="00850F47">
        <w:rPr>
          <w:rFonts w:ascii="Times New Roman" w:hAnsi="Times New Roman"/>
          <w:sz w:val="24"/>
          <w:szCs w:val="24"/>
        </w:rPr>
        <w:t>both</w:t>
      </w:r>
      <w:proofErr w:type="gramEnd"/>
      <w:r w:rsidRPr="00850F47">
        <w:rPr>
          <w:rFonts w:ascii="Times New Roman" w:hAnsi="Times New Roman"/>
          <w:sz w:val="24"/>
          <w:szCs w:val="24"/>
        </w:rPr>
        <w:t xml:space="preserve"> of those reports constitute a protected activity under the WPA.</w:t>
      </w:r>
    </w:p>
    <w:p w14:paraId="0D17B866" w14:textId="77777777" w:rsidR="002E3928" w:rsidRPr="00850F47" w:rsidRDefault="002E3928" w:rsidP="002E3928">
      <w:pPr>
        <w:pStyle w:val="NoSpacing"/>
        <w:ind w:firstLine="720"/>
        <w:rPr>
          <w:rFonts w:ascii="Times New Roman" w:hAnsi="Times New Roman"/>
          <w:sz w:val="24"/>
          <w:szCs w:val="24"/>
        </w:rPr>
      </w:pPr>
    </w:p>
    <w:p w14:paraId="6209DB33" w14:textId="77777777" w:rsidR="002E3928" w:rsidRPr="00850F47" w:rsidRDefault="002E3928" w:rsidP="002E3928">
      <w:pPr>
        <w:pStyle w:val="NoSpacing"/>
        <w:ind w:firstLine="720"/>
        <w:rPr>
          <w:rFonts w:ascii="Times New Roman" w:hAnsi="Times New Roman"/>
          <w:sz w:val="24"/>
          <w:szCs w:val="24"/>
        </w:rPr>
      </w:pPr>
      <w:r w:rsidRPr="00850F47">
        <w:rPr>
          <w:rFonts w:ascii="Times New Roman" w:hAnsi="Times New Roman"/>
          <w:sz w:val="24"/>
          <w:szCs w:val="24"/>
        </w:rPr>
        <w:t>***</w:t>
      </w:r>
    </w:p>
    <w:p w14:paraId="2F2B0B92"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 xml:space="preserve">There is no clear reason why Jones fired plaintiff but did not take any disciplinary actions against Granger, even though Granger </w:t>
      </w:r>
      <w:proofErr w:type="gramStart"/>
      <w:r w:rsidRPr="00850F47">
        <w:rPr>
          <w:rFonts w:ascii="Times New Roman" w:hAnsi="Times New Roman"/>
          <w:sz w:val="24"/>
          <w:szCs w:val="24"/>
        </w:rPr>
        <w:t>actually took</w:t>
      </w:r>
      <w:proofErr w:type="gramEnd"/>
      <w:r w:rsidRPr="00850F47">
        <w:rPr>
          <w:rFonts w:ascii="Times New Roman" w:hAnsi="Times New Roman"/>
          <w:sz w:val="24"/>
          <w:szCs w:val="24"/>
        </w:rPr>
        <w:t xml:space="preserve"> extra steps and indicated her plan to use private and sensitive information against her colleague, albeit jokingly. If a party submits documentary evidence to support his or her position, the jury should decide issues of </w:t>
      </w:r>
      <w:proofErr w:type="gramStart"/>
      <w:r w:rsidRPr="00850F47">
        <w:rPr>
          <w:rFonts w:ascii="Times New Roman" w:hAnsi="Times New Roman"/>
          <w:sz w:val="24"/>
          <w:szCs w:val="24"/>
        </w:rPr>
        <w:t>credibility.”</w:t>
      </w:r>
      <w:proofErr w:type="gramEnd"/>
    </w:p>
    <w:p w14:paraId="2167A3ED" w14:textId="77777777" w:rsidR="002E3928" w:rsidRPr="00850F47" w:rsidRDefault="002E3928" w:rsidP="002E3928">
      <w:pPr>
        <w:pStyle w:val="NoSpacing"/>
        <w:ind w:left="720"/>
        <w:rPr>
          <w:rFonts w:ascii="Times New Roman" w:hAnsi="Times New Roman"/>
          <w:sz w:val="24"/>
          <w:szCs w:val="24"/>
        </w:rPr>
      </w:pPr>
    </w:p>
    <w:p w14:paraId="2008844E" w14:textId="4F1FDF64" w:rsidR="002E3928" w:rsidRPr="00850F47" w:rsidRDefault="002E3928" w:rsidP="002E3928">
      <w:pPr>
        <w:pStyle w:val="NoSpacing"/>
        <w:rPr>
          <w:rFonts w:ascii="Times New Roman" w:hAnsi="Times New Roman"/>
          <w:b/>
          <w:bCs/>
          <w:sz w:val="24"/>
          <w:szCs w:val="24"/>
        </w:rPr>
      </w:pPr>
      <w:r w:rsidRPr="00850F47">
        <w:rPr>
          <w:rFonts w:ascii="Times New Roman" w:hAnsi="Times New Roman"/>
          <w:b/>
          <w:sz w:val="24"/>
          <w:szCs w:val="24"/>
        </w:rPr>
        <w:t>Legal Lesson Learned:  Employees, including “at will” employees</w:t>
      </w:r>
      <w:r w:rsidRPr="00850F47">
        <w:rPr>
          <w:rFonts w:ascii="Times New Roman" w:hAnsi="Times New Roman"/>
          <w:b/>
          <w:bCs/>
          <w:sz w:val="24"/>
          <w:szCs w:val="24"/>
        </w:rPr>
        <w:t>,</w:t>
      </w:r>
      <w:r w:rsidRPr="00850F47">
        <w:rPr>
          <w:rFonts w:ascii="Times New Roman" w:hAnsi="Times New Roman"/>
          <w:b/>
          <w:sz w:val="24"/>
          <w:szCs w:val="24"/>
        </w:rPr>
        <w:t xml:space="preserve"> are</w:t>
      </w:r>
      <w:r w:rsidR="00850F47">
        <w:rPr>
          <w:rFonts w:ascii="Times New Roman" w:hAnsi="Times New Roman"/>
          <w:b/>
          <w:sz w:val="24"/>
          <w:szCs w:val="24"/>
        </w:rPr>
        <w:t xml:space="preserve"> covered</w:t>
      </w:r>
      <w:r w:rsidRPr="00850F47">
        <w:rPr>
          <w:rFonts w:ascii="Times New Roman" w:hAnsi="Times New Roman"/>
          <w:b/>
          <w:sz w:val="24"/>
          <w:szCs w:val="24"/>
        </w:rPr>
        <w:t xml:space="preserve"> under the state’s Whistleblower’s Protection Act</w:t>
      </w:r>
      <w:r w:rsidRPr="00850F47">
        <w:rPr>
          <w:rFonts w:ascii="Times New Roman" w:hAnsi="Times New Roman"/>
          <w:b/>
          <w:bCs/>
          <w:sz w:val="24"/>
          <w:szCs w:val="24"/>
        </w:rPr>
        <w:t>.</w:t>
      </w:r>
    </w:p>
    <w:p w14:paraId="57B112F2" w14:textId="77777777" w:rsidR="0063723E" w:rsidRPr="00850F47" w:rsidRDefault="0063723E" w:rsidP="00F91F9F">
      <w:pPr>
        <w:pStyle w:val="NoSpacing"/>
        <w:rPr>
          <w:rFonts w:ascii="Times New Roman" w:hAnsi="Times New Roman"/>
          <w:sz w:val="24"/>
          <w:szCs w:val="24"/>
        </w:rPr>
      </w:pPr>
    </w:p>
    <w:p w14:paraId="77A11727" w14:textId="77777777" w:rsidR="00921B8A" w:rsidRDefault="00921B8A" w:rsidP="00F91F9F">
      <w:pPr>
        <w:pStyle w:val="NoSpacing"/>
        <w:rPr>
          <w:rFonts w:ascii="Arial Black" w:hAnsi="Arial Black"/>
          <w:sz w:val="24"/>
          <w:szCs w:val="24"/>
        </w:rPr>
      </w:pPr>
    </w:p>
    <w:p w14:paraId="41FAEF5D" w14:textId="77777777" w:rsidR="00921B8A" w:rsidRDefault="00921B8A" w:rsidP="00F91F9F">
      <w:pPr>
        <w:pStyle w:val="NoSpacing"/>
        <w:rPr>
          <w:rFonts w:ascii="Arial Black" w:hAnsi="Arial Black"/>
          <w:sz w:val="24"/>
          <w:szCs w:val="24"/>
        </w:rPr>
      </w:pPr>
    </w:p>
    <w:p w14:paraId="414A2F96" w14:textId="7A0236BD" w:rsidR="00034955" w:rsidRDefault="00034955" w:rsidP="00F91F9F">
      <w:pPr>
        <w:pStyle w:val="NoSpacing"/>
        <w:rPr>
          <w:rFonts w:ascii="Arial Black" w:hAnsi="Arial Black"/>
          <w:sz w:val="24"/>
          <w:szCs w:val="24"/>
        </w:rPr>
      </w:pPr>
      <w:r>
        <w:rPr>
          <w:rFonts w:ascii="Arial Black" w:hAnsi="Arial Black"/>
          <w:sz w:val="24"/>
          <w:szCs w:val="24"/>
        </w:rPr>
        <w:t>16-118</w:t>
      </w:r>
    </w:p>
    <w:p w14:paraId="3EDBF3D1" w14:textId="77777777" w:rsidR="00034955" w:rsidRDefault="00034955" w:rsidP="00F91F9F">
      <w:pPr>
        <w:pStyle w:val="NoSpacing"/>
        <w:rPr>
          <w:rFonts w:ascii="Arial Black" w:hAnsi="Arial Black"/>
          <w:sz w:val="24"/>
          <w:szCs w:val="24"/>
        </w:rPr>
      </w:pPr>
    </w:p>
    <w:p w14:paraId="01F143A2" w14:textId="77777777" w:rsidR="00512D69" w:rsidRPr="00CF26B4" w:rsidRDefault="00512D69" w:rsidP="00512D69">
      <w:pPr>
        <w:rPr>
          <w:rFonts w:ascii="Arial Black" w:hAnsi="Arial Black"/>
          <w:b/>
          <w:sz w:val="28"/>
          <w:szCs w:val="28"/>
        </w:rPr>
      </w:pPr>
      <w:r>
        <w:rPr>
          <w:rFonts w:ascii="Arial Black" w:hAnsi="Arial Black"/>
          <w:b/>
          <w:sz w:val="28"/>
          <w:szCs w:val="28"/>
        </w:rPr>
        <w:t>PA: AIR MEDICAL PILOT FIRED – NO PRE-FLIGHT CHECKLIST – “AT WILL” – VERY LARGE JURY VERDICT SET ASIDE</w:t>
      </w:r>
    </w:p>
    <w:p w14:paraId="1FBC5992" w14:textId="77777777" w:rsidR="00512D69" w:rsidRPr="006F7539" w:rsidRDefault="00512D69" w:rsidP="00512D69">
      <w:pPr>
        <w:pStyle w:val="NoSpacing"/>
        <w:rPr>
          <w:rFonts w:ascii="Times New Roman" w:hAnsi="Times New Roman"/>
          <w:sz w:val="24"/>
          <w:szCs w:val="24"/>
        </w:rPr>
      </w:pPr>
      <w:r w:rsidRPr="006F7539">
        <w:rPr>
          <w:rFonts w:ascii="Times New Roman" w:hAnsi="Times New Roman"/>
          <w:sz w:val="24"/>
          <w:szCs w:val="24"/>
        </w:rPr>
        <w:t xml:space="preserve">On Nov. 18, 2024, in </w:t>
      </w:r>
      <w:r w:rsidRPr="006F7539">
        <w:rPr>
          <w:rFonts w:ascii="Times New Roman" w:hAnsi="Times New Roman"/>
          <w:sz w:val="24"/>
          <w:szCs w:val="24"/>
          <w:u w:val="single"/>
        </w:rPr>
        <w:t>Patrick DeVore v. Metro Aviation, Inc., et al</w:t>
      </w:r>
      <w:r w:rsidRPr="006F7539">
        <w:rPr>
          <w:rFonts w:ascii="Times New Roman" w:hAnsi="Times New Roman"/>
          <w:sz w:val="24"/>
          <w:szCs w:val="24"/>
        </w:rPr>
        <w:t xml:space="preserve">., the Superior Court of Pennsylvania held (3 to 0) that the pilot was properly fired.  The Court wrote: “[T]he trial court erred in allowing DeVore to invoke the public policy exception and pursue a wrongful termination claim under the facts of this case. *** The jury awarded DeVore $1,142,582.00 in economic damages, as well as non-economic damages in the amounts of $500,000.000 for harm to reputation, $300,000.00 for pain and suffering, $300,000.00 for  embarrassment and humiliation, and $257,418.00 for loss of the ability to enjoy the pleasures of </w:t>
      </w:r>
      <w:proofErr w:type="gramStart"/>
      <w:r w:rsidRPr="006F7539">
        <w:rPr>
          <w:rFonts w:ascii="Times New Roman" w:hAnsi="Times New Roman"/>
          <w:sz w:val="24"/>
          <w:szCs w:val="24"/>
        </w:rPr>
        <w:t>life.”</w:t>
      </w:r>
      <w:proofErr w:type="gramEnd"/>
    </w:p>
    <w:p w14:paraId="17C506F7" w14:textId="77777777" w:rsidR="00512D69" w:rsidRPr="006F7539" w:rsidRDefault="00512D69" w:rsidP="00512D69">
      <w:pPr>
        <w:rPr>
          <w:rFonts w:ascii="Times New Roman" w:hAnsi="Times New Roman"/>
          <w:bCs/>
          <w:sz w:val="24"/>
          <w:szCs w:val="24"/>
        </w:rPr>
      </w:pPr>
      <w:hyperlink r:id="rId2686" w:history="1">
        <w:r w:rsidRPr="006F7539">
          <w:rPr>
            <w:rStyle w:val="Hyperlink"/>
            <w:rFonts w:ascii="Times New Roman" w:hAnsi="Times New Roman"/>
            <w:sz w:val="24"/>
            <w:szCs w:val="24"/>
          </w:rPr>
          <w:t>https://www.pacourts.us/assets/opinions/Superior/out/J-A22023-23o%20-%20106151918288524284.pdf?cb=1</w:t>
        </w:r>
      </w:hyperlink>
      <w:r w:rsidRPr="006F7539">
        <w:rPr>
          <w:rFonts w:ascii="Times New Roman" w:hAnsi="Times New Roman"/>
          <w:sz w:val="24"/>
          <w:szCs w:val="24"/>
        </w:rPr>
        <w:t xml:space="preserve"> </w:t>
      </w:r>
    </w:p>
    <w:p w14:paraId="35AF606C" w14:textId="5340E7B7" w:rsidR="006F7539" w:rsidRPr="006F7539" w:rsidRDefault="006F7539" w:rsidP="006F7539">
      <w:pPr>
        <w:pStyle w:val="NoSpacing"/>
        <w:rPr>
          <w:rFonts w:ascii="Times New Roman" w:hAnsi="Times New Roman"/>
          <w:b/>
          <w:bCs/>
          <w:sz w:val="24"/>
          <w:szCs w:val="24"/>
        </w:rPr>
      </w:pPr>
      <w:r w:rsidRPr="006F7539">
        <w:rPr>
          <w:rFonts w:ascii="Times New Roman" w:hAnsi="Times New Roman"/>
          <w:b/>
          <w:sz w:val="24"/>
          <w:szCs w:val="24"/>
        </w:rPr>
        <w:t xml:space="preserve">Legal Lesson Learned:  The pilot was an “at will” employee and was terminated for allegedly failing to perform a pre-flight checklist.   </w:t>
      </w:r>
    </w:p>
    <w:p w14:paraId="4E253BE1" w14:textId="77777777" w:rsidR="00034955" w:rsidRDefault="00034955" w:rsidP="00F91F9F">
      <w:pPr>
        <w:pStyle w:val="NoSpacing"/>
        <w:rPr>
          <w:rFonts w:ascii="Arial Black" w:hAnsi="Arial Black"/>
          <w:sz w:val="24"/>
          <w:szCs w:val="24"/>
        </w:rPr>
      </w:pPr>
    </w:p>
    <w:p w14:paraId="40EB049C" w14:textId="77777777" w:rsidR="00034955" w:rsidRDefault="00034955" w:rsidP="00F91F9F">
      <w:pPr>
        <w:pStyle w:val="NoSpacing"/>
        <w:rPr>
          <w:rFonts w:ascii="Arial Black" w:hAnsi="Arial Black"/>
          <w:sz w:val="24"/>
          <w:szCs w:val="24"/>
        </w:rPr>
      </w:pPr>
    </w:p>
    <w:p w14:paraId="267AB9E4" w14:textId="0576FD96" w:rsidR="001A19F9" w:rsidRDefault="001A19F9" w:rsidP="00F91F9F">
      <w:pPr>
        <w:pStyle w:val="NoSpacing"/>
        <w:rPr>
          <w:rFonts w:ascii="Arial Black" w:hAnsi="Arial Black"/>
          <w:sz w:val="24"/>
          <w:szCs w:val="24"/>
        </w:rPr>
      </w:pPr>
      <w:r>
        <w:rPr>
          <w:rFonts w:ascii="Arial Black" w:hAnsi="Arial Black"/>
          <w:sz w:val="24"/>
          <w:szCs w:val="24"/>
        </w:rPr>
        <w:t>16-117</w:t>
      </w:r>
    </w:p>
    <w:p w14:paraId="1199C76C" w14:textId="77777777" w:rsidR="00034955" w:rsidRDefault="00034955" w:rsidP="001A19F9">
      <w:pPr>
        <w:pStyle w:val="NoSpacing"/>
        <w:rPr>
          <w:rFonts w:ascii="Arial Black" w:hAnsi="Arial Black"/>
          <w:sz w:val="28"/>
          <w:szCs w:val="28"/>
        </w:rPr>
      </w:pPr>
    </w:p>
    <w:p w14:paraId="734D687A" w14:textId="17256B80" w:rsidR="001A19F9" w:rsidRDefault="001A19F9" w:rsidP="001A19F9">
      <w:pPr>
        <w:pStyle w:val="NoSpacing"/>
        <w:rPr>
          <w:rFonts w:ascii="Arial Black" w:hAnsi="Arial Black"/>
          <w:sz w:val="28"/>
          <w:szCs w:val="28"/>
        </w:rPr>
      </w:pPr>
      <w:r>
        <w:rPr>
          <w:rFonts w:ascii="Arial Black" w:hAnsi="Arial Black"/>
          <w:sz w:val="28"/>
          <w:szCs w:val="28"/>
        </w:rPr>
        <w:t>MI: FIREFIGHTER HAD SEX WITH 14-YEAR-OLD GIRL – FIRE CHIEF’S DAUGHTER – TO PRISON – 180 TO 540 MONTHS</w:t>
      </w:r>
    </w:p>
    <w:p w14:paraId="7BADFD1D" w14:textId="77777777" w:rsidR="001A19F9" w:rsidRDefault="001A19F9" w:rsidP="001A19F9">
      <w:pPr>
        <w:pStyle w:val="NoSpacing"/>
      </w:pPr>
    </w:p>
    <w:p w14:paraId="5CD437D8" w14:textId="77777777" w:rsidR="001A19F9" w:rsidRPr="00034955" w:rsidRDefault="001A19F9" w:rsidP="001A19F9">
      <w:pPr>
        <w:pStyle w:val="NoSpacing"/>
        <w:rPr>
          <w:rFonts w:ascii="Times New Roman" w:hAnsi="Times New Roman"/>
          <w:sz w:val="24"/>
          <w:szCs w:val="24"/>
        </w:rPr>
      </w:pPr>
      <w:r w:rsidRPr="00034955">
        <w:rPr>
          <w:rFonts w:ascii="Times New Roman" w:hAnsi="Times New Roman"/>
          <w:sz w:val="24"/>
          <w:szCs w:val="24"/>
        </w:rPr>
        <w:t xml:space="preserve">On Nov. 18, 2024, in </w:t>
      </w:r>
      <w:r w:rsidRPr="00034955">
        <w:rPr>
          <w:rFonts w:ascii="Times New Roman" w:hAnsi="Times New Roman"/>
          <w:sz w:val="24"/>
          <w:szCs w:val="24"/>
          <w:u w:val="single"/>
        </w:rPr>
        <w:t>People of State of Michigan v. Caleb Zechariah-Lee Kimel</w:t>
      </w:r>
      <w:r w:rsidRPr="00034955">
        <w:rPr>
          <w:rFonts w:ascii="Times New Roman" w:hAnsi="Times New Roman"/>
          <w:sz w:val="24"/>
          <w:szCs w:val="24"/>
        </w:rPr>
        <w:t xml:space="preserve">, the Court of Appeals of Michigan held (3 to 0; unpublished decision) that trial court judge properly sentenced the defendant to prison.  The Court wrote: “The trial court stated that it wanted defendant to think about how ‘for just a couple of moments of selfish gratification [he had] caused this child a lifetime of pain,’ she would never forget what defendant had done, and she would ‘need help for the rest of her life.’ … Accordingly, the trial court sentenced defendant, within the guidelines, to 180 to 540 months in prison for the CSC-I [criminal sexual conduct] conviction and 71 to 180 months in prison for the CSC-II convictions.” </w:t>
      </w:r>
      <w:hyperlink r:id="rId2687" w:history="1">
        <w:r w:rsidRPr="00034955">
          <w:rPr>
            <w:rStyle w:val="Hyperlink"/>
            <w:rFonts w:ascii="Times New Roman" w:hAnsi="Times New Roman"/>
            <w:sz w:val="24"/>
            <w:szCs w:val="24"/>
          </w:rPr>
          <w:t>https://cases.justia.com/michigan/court-of-appeals-unpublished/2024-365464.pdf?ts=1732024807</w:t>
        </w:r>
      </w:hyperlink>
      <w:r w:rsidRPr="00034955">
        <w:rPr>
          <w:rFonts w:ascii="Times New Roman" w:hAnsi="Times New Roman"/>
          <w:sz w:val="24"/>
          <w:szCs w:val="24"/>
        </w:rPr>
        <w:t xml:space="preserve"> </w:t>
      </w:r>
    </w:p>
    <w:p w14:paraId="207CEAEE" w14:textId="77777777" w:rsidR="001A19F9" w:rsidRPr="00034955" w:rsidRDefault="001A19F9" w:rsidP="00F91F9F">
      <w:pPr>
        <w:pStyle w:val="NoSpacing"/>
        <w:rPr>
          <w:rFonts w:ascii="Times New Roman" w:hAnsi="Times New Roman"/>
          <w:sz w:val="24"/>
          <w:szCs w:val="24"/>
        </w:rPr>
      </w:pPr>
    </w:p>
    <w:p w14:paraId="0E14CACB" w14:textId="77777777" w:rsidR="00034955" w:rsidRPr="00034955" w:rsidRDefault="00034955" w:rsidP="00034955">
      <w:pPr>
        <w:pStyle w:val="NoSpacing"/>
        <w:rPr>
          <w:rFonts w:ascii="Times New Roman" w:hAnsi="Times New Roman"/>
          <w:b/>
          <w:bCs/>
          <w:sz w:val="24"/>
          <w:szCs w:val="24"/>
        </w:rPr>
      </w:pPr>
      <w:r w:rsidRPr="00034955">
        <w:rPr>
          <w:rFonts w:ascii="Times New Roman" w:hAnsi="Times New Roman"/>
          <w:b/>
          <w:sz w:val="24"/>
          <w:szCs w:val="24"/>
        </w:rPr>
        <w:t xml:space="preserve">Legal Lesson Learned: Firefighter was properly sentenced to prison.  </w:t>
      </w:r>
    </w:p>
    <w:p w14:paraId="33E25CF4" w14:textId="77777777" w:rsidR="00034955" w:rsidRPr="00034955" w:rsidRDefault="00034955" w:rsidP="00F91F9F">
      <w:pPr>
        <w:pStyle w:val="NoSpacing"/>
        <w:rPr>
          <w:rFonts w:ascii="Times New Roman" w:hAnsi="Times New Roman"/>
          <w:sz w:val="24"/>
          <w:szCs w:val="24"/>
        </w:rPr>
      </w:pPr>
    </w:p>
    <w:p w14:paraId="48A461C4" w14:textId="77777777" w:rsidR="001A19F9" w:rsidRDefault="001A19F9" w:rsidP="00F91F9F">
      <w:pPr>
        <w:pStyle w:val="NoSpacing"/>
        <w:rPr>
          <w:rFonts w:ascii="Arial Black" w:hAnsi="Arial Black"/>
          <w:sz w:val="24"/>
          <w:szCs w:val="24"/>
        </w:rPr>
      </w:pPr>
    </w:p>
    <w:p w14:paraId="0160177C" w14:textId="77777777" w:rsidR="001A19F9" w:rsidRDefault="001A19F9" w:rsidP="00F91F9F">
      <w:pPr>
        <w:pStyle w:val="NoSpacing"/>
        <w:rPr>
          <w:rFonts w:ascii="Arial Black" w:hAnsi="Arial Black"/>
          <w:sz w:val="24"/>
          <w:szCs w:val="24"/>
        </w:rPr>
      </w:pPr>
    </w:p>
    <w:p w14:paraId="3A87ED5C" w14:textId="654774FE" w:rsidR="004E152C" w:rsidRDefault="004E152C" w:rsidP="00F91F9F">
      <w:pPr>
        <w:pStyle w:val="NoSpacing"/>
        <w:rPr>
          <w:rFonts w:ascii="Arial Black" w:hAnsi="Arial Black"/>
          <w:sz w:val="24"/>
          <w:szCs w:val="24"/>
        </w:rPr>
      </w:pPr>
      <w:r>
        <w:rPr>
          <w:rFonts w:ascii="Arial Black" w:hAnsi="Arial Black"/>
          <w:sz w:val="24"/>
          <w:szCs w:val="24"/>
        </w:rPr>
        <w:t>16-116</w:t>
      </w:r>
    </w:p>
    <w:p w14:paraId="569AC362" w14:textId="77777777" w:rsidR="004E152C" w:rsidRDefault="004E152C" w:rsidP="00F91F9F">
      <w:pPr>
        <w:pStyle w:val="NoSpacing"/>
        <w:rPr>
          <w:rFonts w:ascii="Arial Black" w:hAnsi="Arial Black"/>
          <w:sz w:val="24"/>
          <w:szCs w:val="24"/>
        </w:rPr>
      </w:pPr>
    </w:p>
    <w:p w14:paraId="2B59CC4E" w14:textId="77777777" w:rsidR="00684C64" w:rsidRPr="00D60720" w:rsidRDefault="00684C64" w:rsidP="00684C64">
      <w:pPr>
        <w:pStyle w:val="NoSpacing"/>
        <w:rPr>
          <w:rFonts w:ascii="Times New Roman" w:hAnsi="Times New Roman"/>
          <w:b/>
          <w:bCs/>
          <w:sz w:val="24"/>
          <w:szCs w:val="24"/>
        </w:rPr>
      </w:pPr>
      <w:r w:rsidRPr="00D60720">
        <w:rPr>
          <w:rFonts w:ascii="Times New Roman" w:hAnsi="Times New Roman"/>
          <w:b/>
          <w:bCs/>
          <w:sz w:val="24"/>
          <w:szCs w:val="24"/>
        </w:rPr>
        <w:t xml:space="preserve">NY: NO DEFAMATION -  REPORTED FF USING TOWING CO. FD BUSINESS - THEFT BUS SEAT / CATALYTIC CONVERTER </w:t>
      </w:r>
    </w:p>
    <w:p w14:paraId="2EFF8D4D" w14:textId="77777777" w:rsidR="00684C64" w:rsidRPr="00D60720" w:rsidRDefault="00684C64" w:rsidP="00684C64">
      <w:pPr>
        <w:pStyle w:val="NoSpacing"/>
        <w:rPr>
          <w:rFonts w:ascii="Times New Roman" w:hAnsi="Times New Roman"/>
          <w:sz w:val="24"/>
          <w:szCs w:val="24"/>
        </w:rPr>
      </w:pPr>
    </w:p>
    <w:p w14:paraId="1CDC88F5" w14:textId="77777777" w:rsidR="00684C64" w:rsidRPr="00D60720" w:rsidRDefault="00684C64" w:rsidP="00684C64">
      <w:pPr>
        <w:pStyle w:val="NoSpacing"/>
        <w:rPr>
          <w:rFonts w:ascii="Times New Roman" w:hAnsi="Times New Roman"/>
          <w:sz w:val="24"/>
          <w:szCs w:val="24"/>
        </w:rPr>
      </w:pPr>
      <w:r w:rsidRPr="00D60720">
        <w:rPr>
          <w:rFonts w:ascii="Times New Roman" w:hAnsi="Times New Roman"/>
          <w:sz w:val="24"/>
          <w:szCs w:val="24"/>
        </w:rPr>
        <w:t xml:space="preserve">On Oct. 17, 2024, in </w:t>
      </w:r>
      <w:r w:rsidRPr="00D60720">
        <w:rPr>
          <w:rFonts w:ascii="Times New Roman" w:hAnsi="Times New Roman"/>
          <w:sz w:val="24"/>
          <w:szCs w:val="24"/>
          <w:u w:val="single"/>
        </w:rPr>
        <w:t>Timothy Halpin v. George M. Banks, et al</w:t>
      </w:r>
      <w:r w:rsidRPr="00D60720">
        <w:rPr>
          <w:rFonts w:ascii="Times New Roman" w:hAnsi="Times New Roman"/>
          <w:sz w:val="24"/>
          <w:szCs w:val="24"/>
        </w:rPr>
        <w:t xml:space="preserve">., the New York Appellate Division, Third Department, held (5 to 0): “Appeal from an order of the Supreme Court (Kevin R. Bryant, J.), entered May 26, </w:t>
      </w:r>
      <w:proofErr w:type="gramStart"/>
      <w:r w:rsidRPr="00D60720">
        <w:rPr>
          <w:rFonts w:ascii="Times New Roman" w:hAnsi="Times New Roman"/>
          <w:sz w:val="24"/>
          <w:szCs w:val="24"/>
        </w:rPr>
        <w:t>2023</w:t>
      </w:r>
      <w:proofErr w:type="gramEnd"/>
      <w:r w:rsidRPr="00D60720">
        <w:rPr>
          <w:rFonts w:ascii="Times New Roman" w:hAnsi="Times New Roman"/>
          <w:sz w:val="24"/>
          <w:szCs w:val="24"/>
        </w:rPr>
        <w:t xml:space="preserve"> in Ulster County, which granted defendants' motion for summary judgment dismissing the complaint. *** Appeal from an order of the Supreme Court (Kevin R. Bryant, J.), entered May 26, </w:t>
      </w:r>
      <w:proofErr w:type="gramStart"/>
      <w:r w:rsidRPr="00D60720">
        <w:rPr>
          <w:rFonts w:ascii="Times New Roman" w:hAnsi="Times New Roman"/>
          <w:sz w:val="24"/>
          <w:szCs w:val="24"/>
        </w:rPr>
        <w:t>2023</w:t>
      </w:r>
      <w:proofErr w:type="gramEnd"/>
      <w:r w:rsidRPr="00D60720">
        <w:rPr>
          <w:rFonts w:ascii="Times New Roman" w:hAnsi="Times New Roman"/>
          <w:sz w:val="24"/>
          <w:szCs w:val="24"/>
        </w:rPr>
        <w:t xml:space="preserve"> in Ulster County, which granted defendants' motion for summary judgment dismissing the complaint. *** Supreme Court also properly dismissed the complaint against PEFD. The Board investigated plaintiff's complaint against Banks and is vested with discretion to determine if disciplinary action should be taken or if the matter should be closed (</w:t>
      </w:r>
      <w:r w:rsidRPr="00D60720">
        <w:rPr>
          <w:rFonts w:ascii="Times New Roman" w:hAnsi="Times New Roman"/>
          <w:i/>
          <w:iCs/>
          <w:sz w:val="24"/>
          <w:szCs w:val="24"/>
        </w:rPr>
        <w:t xml:space="preserve">see </w:t>
      </w:r>
      <w:r w:rsidRPr="00D60720">
        <w:rPr>
          <w:rFonts w:ascii="Times New Roman" w:hAnsi="Times New Roman"/>
          <w:sz w:val="24"/>
          <w:szCs w:val="24"/>
        </w:rPr>
        <w:t>Port Ewen Fire District Personnel Policy § 8).”</w:t>
      </w:r>
    </w:p>
    <w:p w14:paraId="537EEB81" w14:textId="77777777" w:rsidR="00684C64" w:rsidRPr="00D60720" w:rsidRDefault="00684C64" w:rsidP="00684C64">
      <w:pPr>
        <w:pStyle w:val="NoSpacing"/>
        <w:rPr>
          <w:rFonts w:ascii="Times New Roman" w:hAnsi="Times New Roman"/>
          <w:sz w:val="24"/>
          <w:szCs w:val="24"/>
        </w:rPr>
      </w:pPr>
      <w:r w:rsidRPr="00D60720">
        <w:rPr>
          <w:rFonts w:ascii="Times New Roman" w:hAnsi="Times New Roman"/>
          <w:sz w:val="24"/>
          <w:szCs w:val="24"/>
        </w:rPr>
        <w:t xml:space="preserve"> </w:t>
      </w:r>
      <w:hyperlink r:id="rId2688" w:history="1">
        <w:r w:rsidRPr="00D60720">
          <w:rPr>
            <w:rStyle w:val="Hyperlink"/>
            <w:rFonts w:ascii="Times New Roman" w:hAnsi="Times New Roman"/>
            <w:sz w:val="24"/>
            <w:szCs w:val="24"/>
          </w:rPr>
          <w:t>https://law.justia.com/cases/new-york/appellate-division-third-department/2024/cv-23-1185.html</w:t>
        </w:r>
      </w:hyperlink>
      <w:r w:rsidRPr="00D60720">
        <w:rPr>
          <w:rFonts w:ascii="Times New Roman" w:hAnsi="Times New Roman"/>
          <w:sz w:val="24"/>
          <w:szCs w:val="24"/>
        </w:rPr>
        <w:t xml:space="preserve"> </w:t>
      </w:r>
    </w:p>
    <w:p w14:paraId="27CA5DEB" w14:textId="77777777" w:rsidR="000F4991" w:rsidRPr="00D60720" w:rsidRDefault="000F4991" w:rsidP="00684C64">
      <w:pPr>
        <w:pStyle w:val="NoSpacing"/>
        <w:rPr>
          <w:rFonts w:ascii="Times New Roman" w:hAnsi="Times New Roman"/>
          <w:sz w:val="24"/>
          <w:szCs w:val="24"/>
        </w:rPr>
      </w:pPr>
    </w:p>
    <w:p w14:paraId="4315477F" w14:textId="77777777" w:rsidR="000F4991" w:rsidRPr="00D60720" w:rsidRDefault="000F4991" w:rsidP="000F4991">
      <w:pPr>
        <w:pStyle w:val="NoSpacing"/>
        <w:rPr>
          <w:rFonts w:ascii="Times New Roman" w:hAnsi="Times New Roman"/>
          <w:b/>
          <w:bCs/>
          <w:sz w:val="24"/>
          <w:szCs w:val="24"/>
        </w:rPr>
      </w:pPr>
      <w:r w:rsidRPr="00D60720">
        <w:rPr>
          <w:rFonts w:ascii="Times New Roman" w:hAnsi="Times New Roman"/>
          <w:b/>
          <w:sz w:val="24"/>
          <w:szCs w:val="24"/>
        </w:rPr>
        <w:t xml:space="preserve">Legal Lesson Learned:  Qualified privilege when </w:t>
      </w:r>
      <w:r w:rsidRPr="00D60720">
        <w:rPr>
          <w:rFonts w:ascii="Times New Roman" w:hAnsi="Times New Roman"/>
          <w:b/>
          <w:bCs/>
          <w:sz w:val="24"/>
          <w:szCs w:val="24"/>
        </w:rPr>
        <w:t xml:space="preserve">honestly </w:t>
      </w:r>
      <w:r w:rsidRPr="00D60720">
        <w:rPr>
          <w:rFonts w:ascii="Times New Roman" w:hAnsi="Times New Roman"/>
          <w:b/>
          <w:sz w:val="24"/>
          <w:szCs w:val="24"/>
        </w:rPr>
        <w:t xml:space="preserve">reporting possible wrongdoing to Fire Department Board. </w:t>
      </w:r>
    </w:p>
    <w:p w14:paraId="22649F31" w14:textId="77777777" w:rsidR="000F4991" w:rsidRDefault="000F4991" w:rsidP="000F4991">
      <w:pPr>
        <w:pStyle w:val="NoSpacing"/>
        <w:ind w:left="720"/>
      </w:pPr>
    </w:p>
    <w:p w14:paraId="221963C5" w14:textId="77777777" w:rsidR="000F4991" w:rsidRDefault="000F4991" w:rsidP="00684C64">
      <w:pPr>
        <w:pStyle w:val="NoSpacing"/>
      </w:pPr>
    </w:p>
    <w:p w14:paraId="14CB0D18" w14:textId="3DC14767" w:rsidR="004E152C" w:rsidRDefault="004E152C" w:rsidP="00F91F9F">
      <w:pPr>
        <w:pStyle w:val="NoSpacing"/>
        <w:rPr>
          <w:rFonts w:ascii="Arial Black" w:hAnsi="Arial Black"/>
          <w:sz w:val="24"/>
          <w:szCs w:val="24"/>
        </w:rPr>
      </w:pPr>
      <w:r>
        <w:rPr>
          <w:rFonts w:ascii="Arial Black" w:hAnsi="Arial Black"/>
          <w:sz w:val="24"/>
          <w:szCs w:val="24"/>
        </w:rPr>
        <w:t>16-115</w:t>
      </w:r>
    </w:p>
    <w:p w14:paraId="495CABB3" w14:textId="77777777" w:rsidR="004E152C" w:rsidRDefault="004E152C" w:rsidP="00F91F9F">
      <w:pPr>
        <w:pStyle w:val="NoSpacing"/>
        <w:rPr>
          <w:rFonts w:ascii="Arial Black" w:hAnsi="Arial Black"/>
          <w:sz w:val="24"/>
          <w:szCs w:val="24"/>
        </w:rPr>
      </w:pPr>
    </w:p>
    <w:p w14:paraId="4C95D845" w14:textId="3245D586" w:rsidR="0038724B" w:rsidRPr="00182CF1" w:rsidRDefault="0038724B" w:rsidP="0038724B">
      <w:pPr>
        <w:pStyle w:val="NoSpacing"/>
        <w:rPr>
          <w:rFonts w:ascii="Times New Roman" w:hAnsi="Times New Roman"/>
          <w:b/>
          <w:bCs/>
          <w:sz w:val="24"/>
          <w:szCs w:val="24"/>
        </w:rPr>
      </w:pPr>
      <w:r w:rsidRPr="00182CF1">
        <w:rPr>
          <w:rFonts w:ascii="Times New Roman" w:hAnsi="Times New Roman"/>
          <w:b/>
          <w:bCs/>
          <w:sz w:val="24"/>
          <w:szCs w:val="24"/>
        </w:rPr>
        <w:t>UT</w:t>
      </w:r>
      <w:r w:rsidR="00D1140F">
        <w:rPr>
          <w:rFonts w:ascii="Times New Roman" w:hAnsi="Times New Roman"/>
          <w:b/>
          <w:bCs/>
          <w:sz w:val="24"/>
          <w:szCs w:val="24"/>
        </w:rPr>
        <w:t>:</w:t>
      </w:r>
      <w:r w:rsidRPr="00182CF1">
        <w:rPr>
          <w:rFonts w:ascii="Times New Roman" w:hAnsi="Times New Roman"/>
          <w:b/>
          <w:bCs/>
          <w:sz w:val="24"/>
          <w:szCs w:val="24"/>
        </w:rPr>
        <w:t xml:space="preserve"> ASSISTANT FIRE CHIEF – PLED GUITY TO FORCIBLE RAPE OF FEMALE FF – SENTENCED 1-15 YEARS</w:t>
      </w:r>
    </w:p>
    <w:p w14:paraId="2B969AD2" w14:textId="77777777" w:rsidR="0038724B" w:rsidRPr="00182CF1" w:rsidRDefault="0038724B" w:rsidP="0038724B">
      <w:pPr>
        <w:pStyle w:val="NoSpacing"/>
        <w:rPr>
          <w:rFonts w:ascii="Times New Roman" w:hAnsi="Times New Roman"/>
          <w:b/>
          <w:bCs/>
          <w:sz w:val="24"/>
          <w:szCs w:val="24"/>
        </w:rPr>
      </w:pPr>
    </w:p>
    <w:p w14:paraId="4BBE3644"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 xml:space="preserve">On Oct. 3, 2024, in  </w:t>
      </w:r>
      <w:r w:rsidRPr="00182CF1">
        <w:rPr>
          <w:rFonts w:ascii="Times New Roman" w:hAnsi="Times New Roman"/>
          <w:sz w:val="24"/>
          <w:szCs w:val="24"/>
          <w:u w:val="single"/>
        </w:rPr>
        <w:t>State of Utah v. Austin James Corry</w:t>
      </w:r>
      <w:r w:rsidRPr="00182CF1">
        <w:rPr>
          <w:rFonts w:ascii="Times New Roman" w:hAnsi="Times New Roman"/>
          <w:sz w:val="24"/>
          <w:szCs w:val="24"/>
        </w:rPr>
        <w:t>. The Utah Court of Appeals held (3 to 0): “Austin James Corry, an assistant fire chief, pled guilty to four counts of forcible sexual abuse of a female firefighter he supervised. In its presentence report, Adult Probation and Parole</w:t>
      </w:r>
    </w:p>
    <w:p w14:paraId="5B34AF96"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(AP&amp;P) recommended a prison sentence even though the Utah Sentencing Commission’s Adult Sentencing &amp; Release Guidelines recommended that Corry serve up to 210 days in jail and Corry</w:t>
      </w:r>
    </w:p>
    <w:p w14:paraId="0F40E204"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 xml:space="preserve">had already served more than 210 days in pretrial detention. *** We discern </w:t>
      </w:r>
      <w:proofErr w:type="gramStart"/>
      <w:r w:rsidRPr="00182CF1">
        <w:rPr>
          <w:rFonts w:ascii="Times New Roman" w:hAnsi="Times New Roman"/>
          <w:sz w:val="24"/>
          <w:szCs w:val="24"/>
        </w:rPr>
        <w:t>either</w:t>
      </w:r>
      <w:proofErr w:type="gramEnd"/>
      <w:r w:rsidRPr="00182CF1">
        <w:rPr>
          <w:rFonts w:ascii="Times New Roman" w:hAnsi="Times New Roman"/>
          <w:sz w:val="24"/>
          <w:szCs w:val="24"/>
        </w:rPr>
        <w:t xml:space="preserve"> no</w:t>
      </w:r>
    </w:p>
    <w:p w14:paraId="472B62BC"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 xml:space="preserve">error or no prejudice related to each of these claims and therefore affirm Corry’s sentence.” </w:t>
      </w:r>
    </w:p>
    <w:p w14:paraId="6677915F" w14:textId="77777777" w:rsidR="0038724B" w:rsidRPr="00182CF1" w:rsidRDefault="0038724B" w:rsidP="0038724B">
      <w:pPr>
        <w:pStyle w:val="NoSpacing"/>
        <w:rPr>
          <w:rFonts w:ascii="Times New Roman" w:hAnsi="Times New Roman"/>
          <w:sz w:val="24"/>
          <w:szCs w:val="24"/>
        </w:rPr>
      </w:pPr>
      <w:hyperlink r:id="rId2689" w:history="1">
        <w:r w:rsidRPr="00182CF1">
          <w:rPr>
            <w:rStyle w:val="Hyperlink"/>
            <w:rFonts w:ascii="Times New Roman" w:hAnsi="Times New Roman"/>
            <w:sz w:val="24"/>
            <w:szCs w:val="24"/>
          </w:rPr>
          <w:t>https://cases.justia.com/utah/court-of-appeals-published/2024-20220074-ca.pdf?ts=172806708</w:t>
        </w:r>
      </w:hyperlink>
      <w:r w:rsidRPr="00182CF1">
        <w:rPr>
          <w:rFonts w:ascii="Times New Roman" w:hAnsi="Times New Roman"/>
          <w:sz w:val="24"/>
          <w:szCs w:val="24"/>
        </w:rPr>
        <w:t xml:space="preserve"> </w:t>
      </w:r>
    </w:p>
    <w:p w14:paraId="600A8F14" w14:textId="77777777" w:rsidR="00D60720" w:rsidRPr="00182CF1" w:rsidRDefault="00D60720" w:rsidP="00F91F9F">
      <w:pPr>
        <w:pStyle w:val="NoSpacing"/>
        <w:rPr>
          <w:rFonts w:ascii="Times New Roman" w:hAnsi="Times New Roman"/>
          <w:sz w:val="24"/>
          <w:szCs w:val="24"/>
        </w:rPr>
      </w:pPr>
    </w:p>
    <w:p w14:paraId="1CED42F5" w14:textId="77777777" w:rsidR="00182CF1" w:rsidRPr="00182CF1" w:rsidRDefault="00182CF1" w:rsidP="00182CF1">
      <w:pPr>
        <w:pStyle w:val="NoSpacing"/>
        <w:rPr>
          <w:rFonts w:ascii="Times New Roman" w:hAnsi="Times New Roman"/>
          <w:b/>
          <w:bCs/>
          <w:sz w:val="24"/>
          <w:szCs w:val="24"/>
        </w:rPr>
      </w:pPr>
      <w:r w:rsidRPr="00182CF1">
        <w:rPr>
          <w:rFonts w:ascii="Times New Roman" w:hAnsi="Times New Roman"/>
          <w:b/>
          <w:sz w:val="24"/>
          <w:szCs w:val="24"/>
        </w:rPr>
        <w:t>Legal Lesson Learned: A prison sentence was appropriate for this terrible conduct.</w:t>
      </w:r>
    </w:p>
    <w:p w14:paraId="4170BC1C" w14:textId="77777777" w:rsidR="00182CF1" w:rsidRDefault="00182CF1" w:rsidP="00F91F9F">
      <w:pPr>
        <w:pStyle w:val="NoSpacing"/>
        <w:rPr>
          <w:rFonts w:ascii="Arial Black" w:hAnsi="Arial Black"/>
          <w:sz w:val="24"/>
          <w:szCs w:val="24"/>
        </w:rPr>
      </w:pPr>
    </w:p>
    <w:p w14:paraId="30E88255" w14:textId="77777777" w:rsidR="00D60720" w:rsidRDefault="00D60720" w:rsidP="00F91F9F">
      <w:pPr>
        <w:pStyle w:val="NoSpacing"/>
        <w:rPr>
          <w:rFonts w:ascii="Arial Black" w:hAnsi="Arial Black"/>
          <w:sz w:val="24"/>
          <w:szCs w:val="24"/>
        </w:rPr>
      </w:pPr>
    </w:p>
    <w:p w14:paraId="7EB7C904" w14:textId="101FD985" w:rsidR="004E152C" w:rsidRDefault="004E152C" w:rsidP="00F91F9F">
      <w:pPr>
        <w:pStyle w:val="NoSpacing"/>
        <w:rPr>
          <w:rFonts w:ascii="Arial Black" w:hAnsi="Arial Black"/>
          <w:sz w:val="24"/>
          <w:szCs w:val="24"/>
        </w:rPr>
      </w:pPr>
      <w:r>
        <w:rPr>
          <w:rFonts w:ascii="Arial Black" w:hAnsi="Arial Black"/>
          <w:sz w:val="24"/>
          <w:szCs w:val="24"/>
        </w:rPr>
        <w:t>16-114</w:t>
      </w:r>
    </w:p>
    <w:p w14:paraId="1844E75E" w14:textId="77777777" w:rsidR="004E152C" w:rsidRDefault="004E152C" w:rsidP="00F91F9F">
      <w:pPr>
        <w:pStyle w:val="NoSpacing"/>
        <w:rPr>
          <w:rFonts w:ascii="Arial Black" w:hAnsi="Arial Black"/>
          <w:sz w:val="24"/>
          <w:szCs w:val="24"/>
        </w:rPr>
      </w:pPr>
    </w:p>
    <w:p w14:paraId="34F9FE01" w14:textId="77777777" w:rsidR="00DC3117" w:rsidRPr="00924F58" w:rsidRDefault="00DC3117" w:rsidP="00DC3117">
      <w:pPr>
        <w:pStyle w:val="NoSpacing"/>
        <w:rPr>
          <w:rFonts w:ascii="Times New Roman" w:hAnsi="Times New Roman"/>
          <w:b/>
          <w:bCs/>
          <w:sz w:val="24"/>
          <w:szCs w:val="24"/>
        </w:rPr>
      </w:pPr>
      <w:r w:rsidRPr="00924F58">
        <w:rPr>
          <w:rFonts w:ascii="Times New Roman" w:hAnsi="Times New Roman"/>
          <w:b/>
          <w:bCs/>
          <w:sz w:val="24"/>
          <w:szCs w:val="24"/>
        </w:rPr>
        <w:t>MI: WHISTLEBLOWER PROTECTION ACT – AC FIRED AFTER TOLD FD BOARD - FIRE CHIEF CONDUCT - CASE PROCEED</w:t>
      </w:r>
    </w:p>
    <w:p w14:paraId="75923DBC" w14:textId="77777777" w:rsidR="00DC3117" w:rsidRPr="00924F58" w:rsidRDefault="00DC3117" w:rsidP="00DC3117">
      <w:pPr>
        <w:pStyle w:val="NoSpacing"/>
        <w:rPr>
          <w:rFonts w:ascii="Times New Roman" w:hAnsi="Times New Roman"/>
          <w:b/>
          <w:bCs/>
          <w:sz w:val="24"/>
          <w:szCs w:val="24"/>
        </w:rPr>
      </w:pPr>
    </w:p>
    <w:p w14:paraId="0657392E" w14:textId="77777777" w:rsidR="00DC3117" w:rsidRPr="00924F58" w:rsidRDefault="00DC3117" w:rsidP="00DC3117">
      <w:pPr>
        <w:pStyle w:val="NoSpacing"/>
        <w:rPr>
          <w:rFonts w:ascii="Times New Roman" w:hAnsi="Times New Roman"/>
          <w:sz w:val="24"/>
          <w:szCs w:val="24"/>
        </w:rPr>
      </w:pPr>
      <w:r w:rsidRPr="00924F58">
        <w:rPr>
          <w:rFonts w:ascii="Times New Roman" w:hAnsi="Times New Roman"/>
          <w:sz w:val="24"/>
          <w:szCs w:val="24"/>
        </w:rPr>
        <w:t xml:space="preserve">On Sept. 5, 2024, in </w:t>
      </w:r>
      <w:r w:rsidRPr="00924F58">
        <w:rPr>
          <w:rFonts w:ascii="Times New Roman" w:hAnsi="Times New Roman"/>
          <w:sz w:val="24"/>
          <w:szCs w:val="24"/>
          <w:u w:val="single"/>
        </w:rPr>
        <w:t>Eric Dale v. Marshall Township</w:t>
      </w:r>
      <w:r w:rsidRPr="00924F58">
        <w:rPr>
          <w:rFonts w:ascii="Times New Roman" w:hAnsi="Times New Roman"/>
          <w:sz w:val="24"/>
          <w:szCs w:val="24"/>
        </w:rPr>
        <w:t xml:space="preserve">, the Michigan Court of Appeals held (3 to 0; unpublished opinion): “Because Dale established that he was engaged in a protected activity and that there was a causal connection between his protected activity and his termination, the trial court legally erred by holding that he failed to establish a prima facie case under the WPA [The Whistleblowers’ Protection Act]. Accordingly, we reverse the trial court’s grant of summary disposition to the township.” </w:t>
      </w:r>
    </w:p>
    <w:p w14:paraId="5B395221" w14:textId="77777777" w:rsidR="00DC3117" w:rsidRPr="00924F58" w:rsidRDefault="00DC3117" w:rsidP="00DC3117">
      <w:pPr>
        <w:pStyle w:val="NoSpacing"/>
        <w:rPr>
          <w:rFonts w:ascii="Times New Roman" w:hAnsi="Times New Roman"/>
          <w:sz w:val="24"/>
          <w:szCs w:val="24"/>
        </w:rPr>
      </w:pPr>
      <w:r w:rsidRPr="00924F58">
        <w:rPr>
          <w:rFonts w:ascii="Times New Roman" w:hAnsi="Times New Roman"/>
          <w:sz w:val="24"/>
          <w:szCs w:val="24"/>
        </w:rPr>
        <w:t xml:space="preserve"> </w:t>
      </w:r>
      <w:hyperlink r:id="rId2690" w:history="1">
        <w:r w:rsidRPr="00924F58">
          <w:rPr>
            <w:rStyle w:val="Hyperlink"/>
            <w:rFonts w:ascii="Times New Roman" w:hAnsi="Times New Roman"/>
            <w:sz w:val="24"/>
            <w:szCs w:val="24"/>
          </w:rPr>
          <w:t>https://www.courts.michigan.gov/siteassets/case-documents/uploads/OPINIONS/FINAL/COA/20240905_C364971_42_364971.OPN.PDF</w:t>
        </w:r>
      </w:hyperlink>
      <w:r w:rsidRPr="00924F58">
        <w:rPr>
          <w:rFonts w:ascii="Times New Roman" w:hAnsi="Times New Roman"/>
          <w:sz w:val="24"/>
          <w:szCs w:val="24"/>
        </w:rPr>
        <w:t xml:space="preserve"> </w:t>
      </w:r>
    </w:p>
    <w:p w14:paraId="4110B393" w14:textId="77777777" w:rsidR="00DC3117" w:rsidRPr="00924F58" w:rsidRDefault="00DC3117" w:rsidP="00DC3117">
      <w:pPr>
        <w:pStyle w:val="NoSpacing"/>
        <w:rPr>
          <w:rFonts w:ascii="Times New Roman" w:hAnsi="Times New Roman"/>
          <w:sz w:val="24"/>
          <w:szCs w:val="24"/>
        </w:rPr>
      </w:pPr>
    </w:p>
    <w:p w14:paraId="7A725BF0" w14:textId="77777777" w:rsidR="00924F58" w:rsidRPr="00924F58" w:rsidRDefault="00924F58" w:rsidP="00924F58">
      <w:pPr>
        <w:pStyle w:val="NoSpacing"/>
        <w:rPr>
          <w:rFonts w:ascii="Times New Roman" w:hAnsi="Times New Roman"/>
          <w:b/>
          <w:bCs/>
          <w:sz w:val="24"/>
          <w:szCs w:val="24"/>
        </w:rPr>
      </w:pPr>
      <w:r w:rsidRPr="00924F58">
        <w:rPr>
          <w:rFonts w:ascii="Times New Roman" w:hAnsi="Times New Roman"/>
          <w:b/>
          <w:sz w:val="24"/>
          <w:szCs w:val="24"/>
        </w:rPr>
        <w:t xml:space="preserve">Legal Lesson Learned: The State’s Whistleblower Protection Act is important protection against retaliation. </w:t>
      </w:r>
    </w:p>
    <w:p w14:paraId="103DF4EF" w14:textId="77777777" w:rsidR="00924F58" w:rsidRDefault="00924F58" w:rsidP="00924F58">
      <w:pPr>
        <w:rPr>
          <w:rFonts w:asciiTheme="majorHAnsi" w:hAnsiTheme="majorHAnsi"/>
          <w:b/>
          <w:bCs/>
          <w:sz w:val="28"/>
          <w:szCs w:val="28"/>
        </w:rPr>
      </w:pPr>
    </w:p>
    <w:p w14:paraId="19252D7B" w14:textId="77777777" w:rsidR="00DC3117" w:rsidRDefault="00DC3117" w:rsidP="00F91F9F">
      <w:pPr>
        <w:pStyle w:val="NoSpacing"/>
        <w:rPr>
          <w:rFonts w:ascii="Arial Black" w:hAnsi="Arial Black"/>
          <w:sz w:val="24"/>
          <w:szCs w:val="24"/>
        </w:rPr>
      </w:pPr>
    </w:p>
    <w:p w14:paraId="5B559D58" w14:textId="77777777" w:rsidR="00DC3117" w:rsidRDefault="00DC3117" w:rsidP="00F91F9F">
      <w:pPr>
        <w:pStyle w:val="NoSpacing"/>
        <w:rPr>
          <w:rFonts w:ascii="Arial Black" w:hAnsi="Arial Black"/>
          <w:sz w:val="24"/>
          <w:szCs w:val="24"/>
        </w:rPr>
      </w:pPr>
    </w:p>
    <w:p w14:paraId="626E1A76" w14:textId="77777777" w:rsidR="00DC3117" w:rsidRDefault="00DC3117" w:rsidP="00F91F9F">
      <w:pPr>
        <w:pStyle w:val="NoSpacing"/>
        <w:rPr>
          <w:rFonts w:ascii="Arial Black" w:hAnsi="Arial Black"/>
          <w:sz w:val="24"/>
          <w:szCs w:val="24"/>
        </w:rPr>
      </w:pPr>
    </w:p>
    <w:p w14:paraId="47879A3A" w14:textId="7E82290F" w:rsidR="005F3DA4" w:rsidRDefault="005F3DA4" w:rsidP="00F91F9F">
      <w:pPr>
        <w:pStyle w:val="NoSpacing"/>
        <w:rPr>
          <w:rFonts w:ascii="Arial Black" w:hAnsi="Arial Black"/>
          <w:sz w:val="24"/>
          <w:szCs w:val="24"/>
        </w:rPr>
      </w:pPr>
      <w:r>
        <w:rPr>
          <w:rFonts w:ascii="Arial Black" w:hAnsi="Arial Black"/>
          <w:sz w:val="24"/>
          <w:szCs w:val="24"/>
        </w:rPr>
        <w:t>16-113</w:t>
      </w:r>
      <w:r w:rsidR="004C0E50">
        <w:rPr>
          <w:rFonts w:ascii="Arial Black" w:hAnsi="Arial Black"/>
          <w:sz w:val="24"/>
          <w:szCs w:val="24"/>
        </w:rPr>
        <w:t xml:space="preserve"> </w:t>
      </w:r>
    </w:p>
    <w:p w14:paraId="05A2D13C" w14:textId="77777777" w:rsidR="005F3DA4" w:rsidRDefault="005F3DA4" w:rsidP="00F91F9F">
      <w:pPr>
        <w:pStyle w:val="NoSpacing"/>
        <w:rPr>
          <w:rFonts w:ascii="Arial Black" w:hAnsi="Arial Black"/>
          <w:sz w:val="24"/>
          <w:szCs w:val="24"/>
        </w:rPr>
      </w:pPr>
    </w:p>
    <w:p w14:paraId="67ABDE65" w14:textId="77777777" w:rsidR="00A313D5" w:rsidRPr="00711EF1" w:rsidRDefault="00A313D5" w:rsidP="00A313D5">
      <w:pPr>
        <w:pStyle w:val="NoSpacing"/>
        <w:rPr>
          <w:rFonts w:ascii="Arial Black" w:hAnsi="Arial Black"/>
          <w:sz w:val="28"/>
        </w:rPr>
      </w:pPr>
      <w:r>
        <w:rPr>
          <w:rFonts w:ascii="Arial Black" w:hAnsi="Arial Black"/>
          <w:sz w:val="28"/>
        </w:rPr>
        <w:t>MI: FIRE CHIEF 1</w:t>
      </w:r>
      <w:r w:rsidRPr="00114554">
        <w:rPr>
          <w:rFonts w:ascii="Arial Black" w:hAnsi="Arial Black"/>
          <w:sz w:val="28"/>
          <w:vertAlign w:val="superscript"/>
        </w:rPr>
        <w:t>ST</w:t>
      </w:r>
      <w:r>
        <w:rPr>
          <w:rFonts w:ascii="Arial Black" w:hAnsi="Arial Black"/>
          <w:sz w:val="28"/>
        </w:rPr>
        <w:t xml:space="preserve"> AMEND. RIGHT REFUSE TO CHANGE REPORT / LIE  – DEATH TWO BOYS, POOR FD SEARCH</w:t>
      </w:r>
    </w:p>
    <w:p w14:paraId="477FABE5" w14:textId="77777777" w:rsidR="00A313D5" w:rsidRDefault="00A313D5" w:rsidP="00A313D5">
      <w:pPr>
        <w:pStyle w:val="NoSpacing"/>
        <w:rPr>
          <w:szCs w:val="24"/>
        </w:rPr>
      </w:pPr>
    </w:p>
    <w:p w14:paraId="77E345FC" w14:textId="044BD4C7" w:rsidR="00A313D5" w:rsidRPr="00194CC1" w:rsidRDefault="00A313D5" w:rsidP="00A313D5">
      <w:pPr>
        <w:pStyle w:val="NoSpacing"/>
        <w:rPr>
          <w:rFonts w:ascii="Times New Roman" w:hAnsi="Times New Roman"/>
          <w:sz w:val="24"/>
          <w:szCs w:val="24"/>
        </w:rPr>
      </w:pPr>
      <w:r w:rsidRPr="00194CC1">
        <w:rPr>
          <w:rFonts w:ascii="Times New Roman" w:hAnsi="Times New Roman"/>
          <w:sz w:val="24"/>
          <w:szCs w:val="24"/>
        </w:rPr>
        <w:t xml:space="preserve">On Aug. 22, 2024, in </w:t>
      </w:r>
      <w:r w:rsidRPr="00194CC1">
        <w:rPr>
          <w:rFonts w:ascii="Times New Roman" w:hAnsi="Times New Roman"/>
          <w:sz w:val="24"/>
          <w:szCs w:val="24"/>
          <w:u w:val="single"/>
        </w:rPr>
        <w:t>Raymond C. Barton v. Sheldon Neeley</w:t>
      </w:r>
      <w:r w:rsidRPr="00194CC1">
        <w:rPr>
          <w:rFonts w:ascii="Times New Roman" w:hAnsi="Times New Roman"/>
          <w:sz w:val="24"/>
          <w:szCs w:val="24"/>
        </w:rPr>
        <w:t xml:space="preserve">, the U.S. Court of Appeals for Sixth Circuit (Cincinnati) held (3 to 0) that the Federal District Court Judge in Michigan properly denied the </w:t>
      </w:r>
      <w:proofErr w:type="gramStart"/>
      <w:r w:rsidRPr="00194CC1">
        <w:rPr>
          <w:rFonts w:ascii="Times New Roman" w:hAnsi="Times New Roman"/>
          <w:sz w:val="24"/>
          <w:szCs w:val="24"/>
        </w:rPr>
        <w:t>Mayor’s</w:t>
      </w:r>
      <w:proofErr w:type="gramEnd"/>
      <w:r w:rsidRPr="00194CC1">
        <w:rPr>
          <w:rFonts w:ascii="Times New Roman" w:hAnsi="Times New Roman"/>
          <w:sz w:val="24"/>
          <w:szCs w:val="24"/>
        </w:rPr>
        <w:t xml:space="preserve"> motion to dismiss the case on qualified immunity.  The Court wrote: “Two young African American boys died after two City of Flint firefighters failed to properly sweep a burning house. Then-City Fire Chief, plaintiff Raymond Barton, tried to discharge the firefighters for gross misconduct, but Flint’s Mayor, defendant Sheldon Neeley, intervened and allegedly covered up the firefighters’ malfeasance to advance his support from the firefighters’ union in an upcoming election. When Chief Barton refused Mayor Neeley’s directives to cover up the malfeasance, Neeley fired Barton. *** However, Barton’s speech at the city council meeting is not the only speech at issue in this case. Barton’s relevant speech also included (1) his refusal to change his report on his own, and (2) his refusal to make a public announcement saying that he initiated and agreed with the changed report. Indeed, Barton pleads that these refusals ultimately led to the termination of his employment. It is well established that the First Amendment protects “both the right to speak freely and the right to refrain from speaking at all.” Wooley v. Maynard, 430 U.S. 705, 714 (1977). After reviewing the content and context of this refusal-to-speak conduct, Fox, 605 F.3d at 348, we conclude that Barton sufficiently alleged that his unwillingness to lie in order to further Neeley’s political campaign was not within the scope of his official duties, see Boulton v.</w:t>
      </w:r>
      <w:r w:rsidR="00194CC1">
        <w:rPr>
          <w:rFonts w:ascii="Times New Roman" w:hAnsi="Times New Roman"/>
          <w:sz w:val="24"/>
          <w:szCs w:val="24"/>
        </w:rPr>
        <w:t xml:space="preserve"> </w:t>
      </w:r>
      <w:r w:rsidRPr="00194CC1">
        <w:rPr>
          <w:rFonts w:ascii="Times New Roman" w:hAnsi="Times New Roman"/>
          <w:sz w:val="24"/>
          <w:szCs w:val="24"/>
        </w:rPr>
        <w:t xml:space="preserve">Swanson, 795 F.3d 526, 534 (6th Cir. 2015) (explaining that the ‘exception to First Amendment protection’—speech made pursuant to one’s official duties—'must be read narrowly’). ***[W]e hold that it is clearly established that public employees cannot be compelled to make false statements on matters of public concern in response to threats of retaliation.”  </w:t>
      </w:r>
      <w:hyperlink r:id="rId2691" w:history="1">
        <w:r w:rsidRPr="00194CC1">
          <w:rPr>
            <w:rStyle w:val="Hyperlink"/>
            <w:rFonts w:ascii="Times New Roman" w:hAnsi="Times New Roman"/>
            <w:sz w:val="24"/>
            <w:szCs w:val="24"/>
          </w:rPr>
          <w:t>https://www.opn.ca6.uscourts.gov/opinions.pdf/24a0201p-06.pdf</w:t>
        </w:r>
      </w:hyperlink>
      <w:r w:rsidRPr="00194CC1">
        <w:rPr>
          <w:rFonts w:ascii="Times New Roman" w:hAnsi="Times New Roman"/>
          <w:sz w:val="24"/>
          <w:szCs w:val="24"/>
        </w:rPr>
        <w:t xml:space="preserve"> </w:t>
      </w:r>
    </w:p>
    <w:p w14:paraId="6500D19A" w14:textId="77777777" w:rsidR="00A313D5" w:rsidRPr="00194CC1" w:rsidRDefault="00A313D5" w:rsidP="00A313D5">
      <w:pPr>
        <w:pStyle w:val="NoSpacing"/>
        <w:rPr>
          <w:rFonts w:ascii="Times New Roman" w:hAnsi="Times New Roman"/>
          <w:sz w:val="24"/>
          <w:szCs w:val="24"/>
        </w:rPr>
      </w:pPr>
    </w:p>
    <w:p w14:paraId="6B75E0ED" w14:textId="77777777" w:rsidR="00A313D5" w:rsidRPr="00194CC1" w:rsidRDefault="00A313D5" w:rsidP="00A313D5">
      <w:pPr>
        <w:pStyle w:val="NoSpacing"/>
        <w:rPr>
          <w:rFonts w:ascii="Times New Roman" w:hAnsi="Times New Roman"/>
          <w:sz w:val="24"/>
          <w:szCs w:val="24"/>
        </w:rPr>
      </w:pPr>
    </w:p>
    <w:p w14:paraId="2442D817" w14:textId="77777777" w:rsidR="00A313D5" w:rsidRPr="00194CC1" w:rsidRDefault="00A313D5" w:rsidP="00A313D5">
      <w:pPr>
        <w:pStyle w:val="NoSpacing"/>
        <w:rPr>
          <w:rFonts w:ascii="Times New Roman" w:hAnsi="Times New Roman"/>
          <w:sz w:val="24"/>
          <w:szCs w:val="24"/>
        </w:rPr>
      </w:pPr>
      <w:r w:rsidRPr="00194CC1">
        <w:rPr>
          <w:rFonts w:ascii="Times New Roman" w:hAnsi="Times New Roman"/>
          <w:sz w:val="24"/>
          <w:szCs w:val="24"/>
        </w:rPr>
        <w:t>THE COURT HELD:</w:t>
      </w:r>
    </w:p>
    <w:p w14:paraId="3368A4BA" w14:textId="77777777" w:rsidR="00A313D5" w:rsidRPr="00194CC1" w:rsidRDefault="00A313D5" w:rsidP="00A313D5">
      <w:pPr>
        <w:pStyle w:val="NoSpacing"/>
        <w:rPr>
          <w:rFonts w:ascii="Times New Roman" w:hAnsi="Times New Roman"/>
          <w:sz w:val="24"/>
          <w:szCs w:val="24"/>
        </w:rPr>
      </w:pPr>
    </w:p>
    <w:p w14:paraId="50843A27" w14:textId="77777777" w:rsidR="00A313D5" w:rsidRPr="00194CC1" w:rsidRDefault="00A313D5" w:rsidP="00A313D5">
      <w:pPr>
        <w:pStyle w:val="NoSpacing"/>
        <w:ind w:left="720"/>
        <w:rPr>
          <w:rFonts w:ascii="Times New Roman" w:hAnsi="Times New Roman"/>
          <w:sz w:val="24"/>
          <w:szCs w:val="24"/>
        </w:rPr>
      </w:pPr>
      <w:r w:rsidRPr="00194CC1">
        <w:rPr>
          <w:rFonts w:ascii="Times New Roman" w:hAnsi="Times New Roman"/>
          <w:sz w:val="24"/>
          <w:szCs w:val="24"/>
        </w:rPr>
        <w:t xml:space="preserve">“The “critical question” is whether Barton’s official duties included taking actions that furthered Neeley’s reelection efforts. See id. At most, Barton’s refusals of  Neeley’s threats ‘merely concern[ed]’ his duties as Fire Chief, which is not enough to constitute public speech. See id.; Boulton, 795 F.3d at 534; </w:t>
      </w:r>
      <w:proofErr w:type="spellStart"/>
      <w:r w:rsidRPr="00194CC1">
        <w:rPr>
          <w:rFonts w:ascii="Times New Roman" w:hAnsi="Times New Roman"/>
          <w:sz w:val="24"/>
          <w:szCs w:val="24"/>
        </w:rPr>
        <w:t>Jackler</w:t>
      </w:r>
      <w:proofErr w:type="spellEnd"/>
      <w:r w:rsidRPr="00194CC1">
        <w:rPr>
          <w:rFonts w:ascii="Times New Roman" w:hAnsi="Times New Roman"/>
          <w:sz w:val="24"/>
          <w:szCs w:val="24"/>
        </w:rPr>
        <w:t>, 658 F.3d at 241 (‘In the context of the demands [by a superior] that [a public employee] retract his truthful statements and make statements that were false, we conclude that his refusals to accede to those demands constituted speech activity that was significantly different from the mere filing of his initial [r]</w:t>
      </w:r>
      <w:proofErr w:type="spellStart"/>
      <w:r w:rsidRPr="00194CC1">
        <w:rPr>
          <w:rFonts w:ascii="Times New Roman" w:hAnsi="Times New Roman"/>
          <w:sz w:val="24"/>
          <w:szCs w:val="24"/>
        </w:rPr>
        <w:t>eport</w:t>
      </w:r>
      <w:proofErr w:type="spellEnd"/>
      <w:r w:rsidRPr="00194CC1">
        <w:rPr>
          <w:rFonts w:ascii="Times New Roman" w:hAnsi="Times New Roman"/>
          <w:sz w:val="24"/>
          <w:szCs w:val="24"/>
        </w:rPr>
        <w:t xml:space="preserve">.’). In sum, Barton was (refraining from) speaking in his capacity as a private citizen when he declined to help Neeley win re-election and cover up racism within the fire department, which he alleges caused his termination as Fire Chief. </w:t>
      </w:r>
      <w:proofErr w:type="gramStart"/>
      <w:r w:rsidRPr="00194CC1">
        <w:rPr>
          <w:rFonts w:ascii="Times New Roman" w:hAnsi="Times New Roman"/>
          <w:sz w:val="24"/>
          <w:szCs w:val="24"/>
        </w:rPr>
        <w:t>So</w:t>
      </w:r>
      <w:proofErr w:type="gramEnd"/>
      <w:r w:rsidRPr="00194CC1">
        <w:rPr>
          <w:rFonts w:ascii="Times New Roman" w:hAnsi="Times New Roman"/>
          <w:sz w:val="24"/>
          <w:szCs w:val="24"/>
        </w:rPr>
        <w:t xml:space="preserve"> we affirm the district court’s holding that Barton plausibly alleged a violation of his constitutional </w:t>
      </w:r>
      <w:proofErr w:type="gramStart"/>
      <w:r w:rsidRPr="00194CC1">
        <w:rPr>
          <w:rFonts w:ascii="Times New Roman" w:hAnsi="Times New Roman"/>
          <w:sz w:val="24"/>
          <w:szCs w:val="24"/>
        </w:rPr>
        <w:t>rights.”</w:t>
      </w:r>
      <w:proofErr w:type="gramEnd"/>
    </w:p>
    <w:p w14:paraId="7BB7C80D" w14:textId="77777777" w:rsidR="00A313D5" w:rsidRPr="00194CC1" w:rsidRDefault="00A313D5" w:rsidP="00A313D5">
      <w:pPr>
        <w:pStyle w:val="NoSpacing"/>
        <w:rPr>
          <w:rFonts w:ascii="Times New Roman" w:hAnsi="Times New Roman"/>
          <w:sz w:val="24"/>
          <w:szCs w:val="24"/>
        </w:rPr>
      </w:pPr>
    </w:p>
    <w:p w14:paraId="4537AE55" w14:textId="77777777" w:rsidR="00A313D5" w:rsidRPr="00194CC1" w:rsidRDefault="00A313D5" w:rsidP="00A313D5">
      <w:pPr>
        <w:pStyle w:val="NoSpacing"/>
        <w:ind w:left="720"/>
        <w:rPr>
          <w:rFonts w:ascii="Times New Roman" w:hAnsi="Times New Roman"/>
          <w:sz w:val="24"/>
          <w:szCs w:val="24"/>
        </w:rPr>
      </w:pPr>
    </w:p>
    <w:p w14:paraId="0427CAB3" w14:textId="77777777" w:rsidR="00A313D5" w:rsidRPr="00194CC1" w:rsidRDefault="00A313D5" w:rsidP="00A313D5">
      <w:pPr>
        <w:pStyle w:val="NoSpacing"/>
        <w:rPr>
          <w:rFonts w:ascii="Times New Roman" w:hAnsi="Times New Roman"/>
          <w:b/>
          <w:bCs/>
          <w:sz w:val="24"/>
          <w:szCs w:val="24"/>
        </w:rPr>
      </w:pPr>
      <w:r w:rsidRPr="00194CC1">
        <w:rPr>
          <w:rFonts w:ascii="Times New Roman" w:hAnsi="Times New Roman"/>
          <w:b/>
          <w:bCs/>
          <w:sz w:val="24"/>
          <w:szCs w:val="24"/>
        </w:rPr>
        <w:t>Legal Lesson Learned: Great decision; can be great precedent in future cases.</w:t>
      </w:r>
    </w:p>
    <w:p w14:paraId="393102D0" w14:textId="77777777" w:rsidR="005F3DA4" w:rsidRDefault="005F3DA4" w:rsidP="00F91F9F">
      <w:pPr>
        <w:pStyle w:val="NoSpacing"/>
        <w:rPr>
          <w:rFonts w:ascii="Arial Black" w:hAnsi="Arial Black"/>
          <w:sz w:val="24"/>
          <w:szCs w:val="24"/>
        </w:rPr>
      </w:pPr>
    </w:p>
    <w:p w14:paraId="5091C95A" w14:textId="77777777" w:rsidR="005F3DA4" w:rsidRDefault="005F3DA4" w:rsidP="00F91F9F">
      <w:pPr>
        <w:pStyle w:val="NoSpacing"/>
        <w:rPr>
          <w:rFonts w:ascii="Arial Black" w:hAnsi="Arial Black"/>
          <w:sz w:val="24"/>
          <w:szCs w:val="24"/>
        </w:rPr>
      </w:pPr>
    </w:p>
    <w:p w14:paraId="36723288" w14:textId="77777777" w:rsidR="005F3DA4" w:rsidRDefault="005F3DA4" w:rsidP="00F91F9F">
      <w:pPr>
        <w:pStyle w:val="NoSpacing"/>
        <w:rPr>
          <w:rFonts w:ascii="Arial Black" w:hAnsi="Arial Black"/>
          <w:sz w:val="24"/>
          <w:szCs w:val="24"/>
        </w:rPr>
      </w:pPr>
    </w:p>
    <w:p w14:paraId="703C4748" w14:textId="03E655B2" w:rsidR="00CE27F4" w:rsidRDefault="00CE27F4" w:rsidP="00F91F9F">
      <w:pPr>
        <w:pStyle w:val="NoSpacing"/>
        <w:rPr>
          <w:rFonts w:ascii="Arial Black" w:hAnsi="Arial Black"/>
          <w:sz w:val="24"/>
          <w:szCs w:val="24"/>
        </w:rPr>
      </w:pPr>
      <w:r>
        <w:rPr>
          <w:rFonts w:ascii="Arial Black" w:hAnsi="Arial Black"/>
          <w:sz w:val="24"/>
          <w:szCs w:val="24"/>
        </w:rPr>
        <w:t>16-112</w:t>
      </w:r>
    </w:p>
    <w:p w14:paraId="61F0921F" w14:textId="77777777" w:rsidR="00FE25A3" w:rsidRDefault="00FE25A3" w:rsidP="00F91F9F">
      <w:pPr>
        <w:pStyle w:val="NoSpacing"/>
        <w:rPr>
          <w:rFonts w:ascii="Arial Black" w:hAnsi="Arial Black"/>
          <w:sz w:val="24"/>
          <w:szCs w:val="24"/>
        </w:rPr>
      </w:pPr>
    </w:p>
    <w:p w14:paraId="50F4DCE8" w14:textId="77777777" w:rsidR="00FE25A3" w:rsidRPr="007718BF" w:rsidRDefault="00FE25A3" w:rsidP="00FE25A3">
      <w:pPr>
        <w:rPr>
          <w:rFonts w:ascii="Arial Black" w:hAnsi="Arial Black"/>
          <w:sz w:val="28"/>
          <w:szCs w:val="28"/>
        </w:rPr>
      </w:pPr>
      <w:r>
        <w:rPr>
          <w:rFonts w:ascii="Arial Black" w:hAnsi="Arial Black"/>
          <w:sz w:val="28"/>
          <w:szCs w:val="28"/>
        </w:rPr>
        <w:t>NJ: FF FIRED - “DELIBERATE SHELL GAME” - RETURNED MILITARY LEAVE – BUT ALSO STAYED ON ACTIVE DUTY</w:t>
      </w:r>
    </w:p>
    <w:p w14:paraId="5CCB900A" w14:textId="77777777" w:rsidR="00FE25A3" w:rsidRPr="00DD5D06" w:rsidRDefault="00FE25A3" w:rsidP="00FE25A3">
      <w:pPr>
        <w:rPr>
          <w:rFonts w:ascii="Times New Roman" w:hAnsi="Times New Roman"/>
          <w:sz w:val="24"/>
          <w:szCs w:val="24"/>
        </w:rPr>
      </w:pPr>
      <w:r w:rsidRPr="00DD5D06">
        <w:rPr>
          <w:rFonts w:ascii="Times New Roman" w:hAnsi="Times New Roman"/>
          <w:sz w:val="24"/>
          <w:szCs w:val="24"/>
        </w:rPr>
        <w:t xml:space="preserve">On July 31, 2024, </w:t>
      </w:r>
      <w:r w:rsidRPr="00DD5D06">
        <w:rPr>
          <w:rFonts w:ascii="Times New Roman" w:hAnsi="Times New Roman"/>
          <w:sz w:val="24"/>
          <w:szCs w:val="24"/>
          <w:u w:val="single"/>
        </w:rPr>
        <w:t xml:space="preserve">In </w:t>
      </w:r>
      <w:proofErr w:type="gramStart"/>
      <w:r w:rsidRPr="00DD5D06">
        <w:rPr>
          <w:rFonts w:ascii="Times New Roman" w:hAnsi="Times New Roman"/>
          <w:sz w:val="24"/>
          <w:szCs w:val="24"/>
          <w:u w:val="single"/>
        </w:rPr>
        <w:t>The</w:t>
      </w:r>
      <w:proofErr w:type="gramEnd"/>
      <w:r w:rsidRPr="00DD5D06">
        <w:rPr>
          <w:rFonts w:ascii="Times New Roman" w:hAnsi="Times New Roman"/>
          <w:sz w:val="24"/>
          <w:szCs w:val="24"/>
          <w:u w:val="single"/>
        </w:rPr>
        <w:t xml:space="preserve"> Matter </w:t>
      </w:r>
      <w:proofErr w:type="gramStart"/>
      <w:r w:rsidRPr="00DD5D06">
        <w:rPr>
          <w:rFonts w:ascii="Times New Roman" w:hAnsi="Times New Roman"/>
          <w:sz w:val="24"/>
          <w:szCs w:val="24"/>
          <w:u w:val="single"/>
        </w:rPr>
        <w:t>Of</w:t>
      </w:r>
      <w:proofErr w:type="gramEnd"/>
      <w:r w:rsidRPr="00DD5D06">
        <w:rPr>
          <w:rFonts w:ascii="Times New Roman" w:hAnsi="Times New Roman"/>
          <w:sz w:val="24"/>
          <w:szCs w:val="24"/>
          <w:u w:val="single"/>
        </w:rPr>
        <w:t xml:space="preserve"> John Tayag-Kosky, Town </w:t>
      </w:r>
      <w:proofErr w:type="gramStart"/>
      <w:r w:rsidRPr="00DD5D06">
        <w:rPr>
          <w:rFonts w:ascii="Times New Roman" w:hAnsi="Times New Roman"/>
          <w:sz w:val="24"/>
          <w:szCs w:val="24"/>
          <w:u w:val="single"/>
        </w:rPr>
        <w:t>Of</w:t>
      </w:r>
      <w:proofErr w:type="gramEnd"/>
      <w:r w:rsidRPr="00DD5D06">
        <w:rPr>
          <w:rFonts w:ascii="Times New Roman" w:hAnsi="Times New Roman"/>
          <w:sz w:val="24"/>
          <w:szCs w:val="24"/>
          <w:u w:val="single"/>
        </w:rPr>
        <w:t xml:space="preserve"> Kearny Fire Department</w:t>
      </w:r>
      <w:r w:rsidRPr="00DD5D06">
        <w:rPr>
          <w:rFonts w:ascii="Times New Roman" w:hAnsi="Times New Roman"/>
          <w:sz w:val="24"/>
          <w:szCs w:val="24"/>
        </w:rPr>
        <w:t>, the Superior Court of New Jersey, Appellate Division, held (2 to 0; unpublished opinion), that the Civil Service Commission properly upheld the termination.  In 20</w:t>
      </w:r>
      <w:r>
        <w:rPr>
          <w:rFonts w:ascii="Times New Roman" w:hAnsi="Times New Roman"/>
          <w:sz w:val="24"/>
          <w:szCs w:val="24"/>
        </w:rPr>
        <w:t>1</w:t>
      </w:r>
      <w:r w:rsidRPr="00DD5D06">
        <w:rPr>
          <w:rFonts w:ascii="Times New Roman" w:hAnsi="Times New Roman"/>
          <w:sz w:val="24"/>
          <w:szCs w:val="24"/>
        </w:rPr>
        <w:t xml:space="preserve">4, when he returned from active duty to FD, he worked 24 / </w:t>
      </w:r>
      <w:proofErr w:type="gramStart"/>
      <w:r w:rsidRPr="00DD5D06">
        <w:rPr>
          <w:rFonts w:ascii="Times New Roman" w:hAnsi="Times New Roman"/>
          <w:sz w:val="24"/>
          <w:szCs w:val="24"/>
        </w:rPr>
        <w:t>72 hour</w:t>
      </w:r>
      <w:proofErr w:type="gramEnd"/>
      <w:r w:rsidRPr="00DD5D06">
        <w:rPr>
          <w:rFonts w:ascii="Times New Roman" w:hAnsi="Times New Roman"/>
          <w:sz w:val="24"/>
          <w:szCs w:val="24"/>
        </w:rPr>
        <w:t xml:space="preserve"> shift.  He </w:t>
      </w:r>
      <w:r>
        <w:rPr>
          <w:rFonts w:ascii="Times New Roman" w:hAnsi="Times New Roman"/>
          <w:sz w:val="24"/>
          <w:szCs w:val="24"/>
        </w:rPr>
        <w:t>“</w:t>
      </w:r>
      <w:r w:rsidRPr="00DD5D06">
        <w:rPr>
          <w:rFonts w:ascii="Times New Roman" w:hAnsi="Times New Roman"/>
          <w:sz w:val="24"/>
          <w:szCs w:val="24"/>
        </w:rPr>
        <w:t>actively concealed</w:t>
      </w:r>
      <w:r>
        <w:rPr>
          <w:rFonts w:ascii="Times New Roman" w:hAnsi="Times New Roman"/>
          <w:sz w:val="24"/>
          <w:szCs w:val="24"/>
        </w:rPr>
        <w:t>” from FD</w:t>
      </w:r>
      <w:r w:rsidRPr="00DD5D06">
        <w:rPr>
          <w:rFonts w:ascii="Times New Roman" w:hAnsi="Times New Roman"/>
          <w:sz w:val="24"/>
          <w:szCs w:val="24"/>
        </w:rPr>
        <w:t xml:space="preserve"> </w:t>
      </w:r>
      <w:r>
        <w:rPr>
          <w:rFonts w:ascii="Times New Roman" w:hAnsi="Times New Roman"/>
          <w:sz w:val="24"/>
          <w:szCs w:val="24"/>
        </w:rPr>
        <w:t xml:space="preserve">[2014-2018] </w:t>
      </w:r>
      <w:r w:rsidRPr="00DD5D06">
        <w:rPr>
          <w:rFonts w:ascii="Times New Roman" w:hAnsi="Times New Roman"/>
          <w:sz w:val="24"/>
          <w:szCs w:val="24"/>
        </w:rPr>
        <w:t>that he was still employed as a full-time military recruiter and an active-duty member of the Army National Guard</w:t>
      </w:r>
      <w:r>
        <w:rPr>
          <w:rFonts w:ascii="Times New Roman" w:hAnsi="Times New Roman"/>
          <w:sz w:val="24"/>
          <w:szCs w:val="24"/>
        </w:rPr>
        <w:t>, and concealed from Army he was working as a career FF</w:t>
      </w:r>
      <w:r w:rsidRPr="00DD5D06">
        <w:rPr>
          <w:rFonts w:ascii="Times New Roman" w:hAnsi="Times New Roman"/>
          <w:sz w:val="24"/>
          <w:szCs w:val="24"/>
        </w:rPr>
        <w:t xml:space="preserve">. The Court rejected his argument that under “progressive discipline” the firing was too harsh.  </w:t>
      </w:r>
      <w:hyperlink r:id="rId2692" w:history="1">
        <w:r w:rsidRPr="00DD5D06">
          <w:rPr>
            <w:rStyle w:val="Hyperlink"/>
            <w:rFonts w:ascii="Times New Roman" w:hAnsi="Times New Roman"/>
            <w:sz w:val="24"/>
            <w:szCs w:val="24"/>
          </w:rPr>
          <w:t>https://www.njcourts.gov/system/files/court-opinions/2024/a1537-22.pdf</w:t>
        </w:r>
      </w:hyperlink>
      <w:r w:rsidRPr="00DD5D06">
        <w:rPr>
          <w:rFonts w:ascii="Times New Roman" w:hAnsi="Times New Roman"/>
          <w:sz w:val="24"/>
          <w:szCs w:val="24"/>
        </w:rPr>
        <w:t xml:space="preserve"> </w:t>
      </w:r>
    </w:p>
    <w:p w14:paraId="0861AEB8" w14:textId="77777777" w:rsidR="00FE25A3" w:rsidRPr="007718BF" w:rsidRDefault="00FE25A3" w:rsidP="00FE25A3">
      <w:pPr>
        <w:rPr>
          <w:rFonts w:ascii="Times New Roman" w:hAnsi="Times New Roman"/>
          <w:sz w:val="24"/>
          <w:szCs w:val="24"/>
        </w:rPr>
      </w:pPr>
      <w:r w:rsidRPr="007718BF">
        <w:rPr>
          <w:rFonts w:ascii="Times New Roman" w:hAnsi="Times New Roman"/>
          <w:sz w:val="24"/>
          <w:szCs w:val="24"/>
        </w:rPr>
        <w:t>THE COURT HELD:</w:t>
      </w:r>
    </w:p>
    <w:p w14:paraId="26788F94" w14:textId="77777777" w:rsidR="00FE25A3" w:rsidRDefault="00FE25A3" w:rsidP="00FE25A3">
      <w:pPr>
        <w:ind w:left="720"/>
        <w:rPr>
          <w:rFonts w:ascii="Times New Roman" w:hAnsi="Times New Roman"/>
          <w:sz w:val="24"/>
          <w:szCs w:val="24"/>
        </w:rPr>
      </w:pPr>
      <w:r>
        <w:rPr>
          <w:rFonts w:ascii="Times New Roman" w:hAnsi="Times New Roman"/>
          <w:sz w:val="24"/>
          <w:szCs w:val="24"/>
        </w:rPr>
        <w:t>“</w:t>
      </w:r>
      <w:r w:rsidRPr="007718BF">
        <w:rPr>
          <w:rFonts w:ascii="Times New Roman" w:hAnsi="Times New Roman"/>
          <w:sz w:val="24"/>
          <w:szCs w:val="24"/>
        </w:rPr>
        <w:t>Kosky argues termination was not justified and violated</w:t>
      </w:r>
      <w:r>
        <w:rPr>
          <w:rFonts w:ascii="Times New Roman" w:hAnsi="Times New Roman"/>
          <w:sz w:val="24"/>
          <w:szCs w:val="24"/>
        </w:rPr>
        <w:t xml:space="preserve"> </w:t>
      </w:r>
      <w:r w:rsidRPr="007718BF">
        <w:rPr>
          <w:rFonts w:ascii="Times New Roman" w:hAnsi="Times New Roman"/>
          <w:sz w:val="24"/>
          <w:szCs w:val="24"/>
        </w:rPr>
        <w:t>principles of progressive discipline since he had no prior discipline or</w:t>
      </w:r>
      <w:r>
        <w:rPr>
          <w:rFonts w:ascii="Times New Roman" w:hAnsi="Times New Roman"/>
          <w:sz w:val="24"/>
          <w:szCs w:val="24"/>
        </w:rPr>
        <w:t xml:space="preserve"> </w:t>
      </w:r>
      <w:r w:rsidRPr="007718BF">
        <w:rPr>
          <w:rFonts w:ascii="Times New Roman" w:hAnsi="Times New Roman"/>
          <w:sz w:val="24"/>
          <w:szCs w:val="24"/>
        </w:rPr>
        <w:t>infractions with the Department. In making its determination on this issue, the</w:t>
      </w:r>
      <w:r>
        <w:rPr>
          <w:rFonts w:ascii="Times New Roman" w:hAnsi="Times New Roman"/>
          <w:sz w:val="24"/>
          <w:szCs w:val="24"/>
        </w:rPr>
        <w:t xml:space="preserve"> </w:t>
      </w:r>
      <w:r w:rsidRPr="007718BF">
        <w:rPr>
          <w:rFonts w:ascii="Times New Roman" w:hAnsi="Times New Roman"/>
          <w:sz w:val="24"/>
          <w:szCs w:val="24"/>
        </w:rPr>
        <w:t>Commission reviewed the ALJ's detailed findings and conclusions, including</w:t>
      </w:r>
      <w:r>
        <w:rPr>
          <w:rFonts w:ascii="Times New Roman" w:hAnsi="Times New Roman"/>
          <w:sz w:val="24"/>
          <w:szCs w:val="24"/>
        </w:rPr>
        <w:t xml:space="preserve"> </w:t>
      </w:r>
      <w:r w:rsidRPr="007718BF">
        <w:rPr>
          <w:rFonts w:ascii="Times New Roman" w:hAnsi="Times New Roman"/>
          <w:sz w:val="24"/>
          <w:szCs w:val="24"/>
        </w:rPr>
        <w:t>that Kosky's testimony was not credible and his actions warranted a departure</w:t>
      </w:r>
      <w:r>
        <w:rPr>
          <w:rFonts w:ascii="Times New Roman" w:hAnsi="Times New Roman"/>
          <w:sz w:val="24"/>
          <w:szCs w:val="24"/>
        </w:rPr>
        <w:t xml:space="preserve"> </w:t>
      </w:r>
      <w:r w:rsidRPr="007718BF">
        <w:rPr>
          <w:rFonts w:ascii="Times New Roman" w:hAnsi="Times New Roman"/>
          <w:sz w:val="24"/>
          <w:szCs w:val="24"/>
        </w:rPr>
        <w:t xml:space="preserve">from progressive discipline. Progressive discipline is not </w:t>
      </w:r>
      <w:r>
        <w:rPr>
          <w:rFonts w:ascii="Times New Roman" w:hAnsi="Times New Roman"/>
          <w:sz w:val="24"/>
          <w:szCs w:val="24"/>
        </w:rPr>
        <w:t>‘</w:t>
      </w:r>
      <w:r w:rsidRPr="007718BF">
        <w:rPr>
          <w:rFonts w:ascii="Times New Roman" w:hAnsi="Times New Roman"/>
          <w:sz w:val="24"/>
          <w:szCs w:val="24"/>
        </w:rPr>
        <w:t>a fixed and</w:t>
      </w:r>
      <w:r>
        <w:rPr>
          <w:rFonts w:ascii="Times New Roman" w:hAnsi="Times New Roman"/>
          <w:sz w:val="24"/>
          <w:szCs w:val="24"/>
        </w:rPr>
        <w:t xml:space="preserve"> </w:t>
      </w:r>
      <w:r w:rsidRPr="007718BF">
        <w:rPr>
          <w:rFonts w:ascii="Times New Roman" w:hAnsi="Times New Roman"/>
          <w:sz w:val="24"/>
          <w:szCs w:val="24"/>
        </w:rPr>
        <w:t>immutable rule to be followed without question</w:t>
      </w:r>
      <w:r>
        <w:rPr>
          <w:rFonts w:ascii="Times New Roman" w:hAnsi="Times New Roman"/>
          <w:sz w:val="24"/>
          <w:szCs w:val="24"/>
        </w:rPr>
        <w:t>’</w:t>
      </w:r>
      <w:r w:rsidRPr="007718BF">
        <w:rPr>
          <w:rFonts w:ascii="Times New Roman" w:hAnsi="Times New Roman"/>
          <w:sz w:val="24"/>
          <w:szCs w:val="24"/>
        </w:rPr>
        <w:t xml:space="preserve"> because </w:t>
      </w:r>
      <w:r>
        <w:rPr>
          <w:rFonts w:ascii="Times New Roman" w:hAnsi="Times New Roman"/>
          <w:sz w:val="24"/>
          <w:szCs w:val="24"/>
        </w:rPr>
        <w:t>‘</w:t>
      </w:r>
      <w:r w:rsidRPr="007718BF">
        <w:rPr>
          <w:rFonts w:ascii="Times New Roman" w:hAnsi="Times New Roman"/>
          <w:sz w:val="24"/>
          <w:szCs w:val="24"/>
        </w:rPr>
        <w:t>some disciplinary</w:t>
      </w:r>
      <w:r>
        <w:rPr>
          <w:rFonts w:ascii="Times New Roman" w:hAnsi="Times New Roman"/>
          <w:sz w:val="24"/>
          <w:szCs w:val="24"/>
        </w:rPr>
        <w:t xml:space="preserve"> </w:t>
      </w:r>
      <w:r w:rsidRPr="007718BF">
        <w:rPr>
          <w:rFonts w:ascii="Times New Roman" w:hAnsi="Times New Roman"/>
          <w:sz w:val="24"/>
          <w:szCs w:val="24"/>
        </w:rPr>
        <w:t>infractions are so serious that removal is appropriate notwithstanding a largely</w:t>
      </w:r>
      <w:r>
        <w:rPr>
          <w:rFonts w:ascii="Times New Roman" w:hAnsi="Times New Roman"/>
          <w:sz w:val="24"/>
          <w:szCs w:val="24"/>
        </w:rPr>
        <w:t xml:space="preserve"> </w:t>
      </w:r>
      <w:r w:rsidRPr="007718BF">
        <w:rPr>
          <w:rFonts w:ascii="Times New Roman" w:hAnsi="Times New Roman"/>
          <w:sz w:val="24"/>
          <w:szCs w:val="24"/>
        </w:rPr>
        <w:t>unblemished prior record.</w:t>
      </w:r>
      <w:r>
        <w:rPr>
          <w:rFonts w:ascii="Times New Roman" w:hAnsi="Times New Roman"/>
          <w:sz w:val="24"/>
          <w:szCs w:val="24"/>
        </w:rPr>
        <w:t>’</w:t>
      </w:r>
      <w:r w:rsidRPr="007718BF">
        <w:rPr>
          <w:rFonts w:ascii="Times New Roman" w:hAnsi="Times New Roman"/>
          <w:sz w:val="24"/>
          <w:szCs w:val="24"/>
        </w:rPr>
        <w:t xml:space="preserve"> Stallworth, 208 N.J. at 196 (citing Carter, 191 N.J.</w:t>
      </w:r>
      <w:r>
        <w:rPr>
          <w:rFonts w:ascii="Times New Roman" w:hAnsi="Times New Roman"/>
          <w:sz w:val="24"/>
          <w:szCs w:val="24"/>
        </w:rPr>
        <w:t xml:space="preserve"> </w:t>
      </w:r>
      <w:r w:rsidRPr="007718BF">
        <w:rPr>
          <w:rFonts w:ascii="Times New Roman" w:hAnsi="Times New Roman"/>
          <w:sz w:val="24"/>
          <w:szCs w:val="24"/>
        </w:rPr>
        <w:t>at 484); Herrmann, 192 N.J. at 34-36. The Commission's decision was clearly</w:t>
      </w:r>
      <w:r>
        <w:rPr>
          <w:rFonts w:ascii="Times New Roman" w:hAnsi="Times New Roman"/>
          <w:sz w:val="24"/>
          <w:szCs w:val="24"/>
        </w:rPr>
        <w:t xml:space="preserve"> </w:t>
      </w:r>
      <w:r w:rsidRPr="007718BF">
        <w:rPr>
          <w:rFonts w:ascii="Times New Roman" w:hAnsi="Times New Roman"/>
          <w:sz w:val="24"/>
          <w:szCs w:val="24"/>
        </w:rPr>
        <w:t>supported by the record which showed Kosky deliberately deceived the</w:t>
      </w:r>
      <w:r>
        <w:rPr>
          <w:rFonts w:ascii="Times New Roman" w:hAnsi="Times New Roman"/>
          <w:sz w:val="24"/>
          <w:szCs w:val="24"/>
        </w:rPr>
        <w:t xml:space="preserve"> </w:t>
      </w:r>
      <w:r w:rsidRPr="007718BF">
        <w:rPr>
          <w:rFonts w:ascii="Times New Roman" w:hAnsi="Times New Roman"/>
          <w:sz w:val="24"/>
          <w:szCs w:val="24"/>
        </w:rPr>
        <w:t xml:space="preserve">Department by failing to disclose he was holding two full-time positions </w:t>
      </w:r>
      <w:proofErr w:type="gramStart"/>
      <w:r w:rsidRPr="007718BF">
        <w:rPr>
          <w:rFonts w:ascii="Times New Roman" w:hAnsi="Times New Roman"/>
          <w:sz w:val="24"/>
          <w:szCs w:val="24"/>
        </w:rPr>
        <w:t>in an</w:t>
      </w:r>
      <w:r>
        <w:rPr>
          <w:rFonts w:ascii="Times New Roman" w:hAnsi="Times New Roman"/>
          <w:sz w:val="24"/>
          <w:szCs w:val="24"/>
        </w:rPr>
        <w:t xml:space="preserve"> </w:t>
      </w:r>
      <w:r w:rsidRPr="007718BF">
        <w:rPr>
          <w:rFonts w:ascii="Times New Roman" w:hAnsi="Times New Roman"/>
          <w:sz w:val="24"/>
          <w:szCs w:val="24"/>
        </w:rPr>
        <w:t>effort to</w:t>
      </w:r>
      <w:proofErr w:type="gramEnd"/>
      <w:r w:rsidRPr="007718BF">
        <w:rPr>
          <w:rFonts w:ascii="Times New Roman" w:hAnsi="Times New Roman"/>
          <w:sz w:val="24"/>
          <w:szCs w:val="24"/>
        </w:rPr>
        <w:t xml:space="preserve"> gain personal advantage in the form of additional pension and health</w:t>
      </w:r>
      <w:r>
        <w:rPr>
          <w:rFonts w:ascii="Times New Roman" w:hAnsi="Times New Roman"/>
          <w:sz w:val="24"/>
          <w:szCs w:val="24"/>
        </w:rPr>
        <w:t xml:space="preserve"> </w:t>
      </w:r>
      <w:r w:rsidRPr="007718BF">
        <w:rPr>
          <w:rFonts w:ascii="Times New Roman" w:hAnsi="Times New Roman"/>
          <w:sz w:val="24"/>
          <w:szCs w:val="24"/>
        </w:rPr>
        <w:t>benefits.</w:t>
      </w:r>
      <w:r>
        <w:rPr>
          <w:rFonts w:ascii="Times New Roman" w:hAnsi="Times New Roman"/>
          <w:sz w:val="24"/>
          <w:szCs w:val="24"/>
        </w:rPr>
        <w:t>”</w:t>
      </w:r>
    </w:p>
    <w:p w14:paraId="6F2EE934" w14:textId="77777777" w:rsidR="004C22AB" w:rsidRDefault="004C22AB" w:rsidP="004C22AB">
      <w:pPr>
        <w:rPr>
          <w:rFonts w:ascii="Times New Roman" w:hAnsi="Times New Roman"/>
          <w:b/>
          <w:bCs/>
          <w:sz w:val="24"/>
          <w:szCs w:val="24"/>
        </w:rPr>
      </w:pPr>
      <w:r w:rsidRPr="00346E64">
        <w:rPr>
          <w:rFonts w:ascii="Times New Roman" w:hAnsi="Times New Roman"/>
          <w:b/>
          <w:bCs/>
          <w:sz w:val="24"/>
          <w:szCs w:val="24"/>
        </w:rPr>
        <w:t xml:space="preserve">Legal Lesson Learned: </w:t>
      </w:r>
      <w:r>
        <w:rPr>
          <w:rFonts w:ascii="Times New Roman" w:hAnsi="Times New Roman"/>
          <w:b/>
          <w:bCs/>
          <w:sz w:val="24"/>
          <w:szCs w:val="24"/>
        </w:rPr>
        <w:t xml:space="preserve">Termination was appropriate; progressive discipline </w:t>
      </w:r>
      <w:proofErr w:type="gramStart"/>
      <w:r>
        <w:rPr>
          <w:rFonts w:ascii="Times New Roman" w:hAnsi="Times New Roman"/>
          <w:b/>
          <w:bCs/>
          <w:sz w:val="24"/>
          <w:szCs w:val="24"/>
        </w:rPr>
        <w:t>not appropriate</w:t>
      </w:r>
      <w:proofErr w:type="gramEnd"/>
      <w:r>
        <w:rPr>
          <w:rFonts w:ascii="Times New Roman" w:hAnsi="Times New Roman"/>
          <w:b/>
          <w:bCs/>
          <w:sz w:val="24"/>
          <w:szCs w:val="24"/>
        </w:rPr>
        <w:t xml:space="preserve"> who someone conducting a “deliberate shell game.” </w:t>
      </w:r>
    </w:p>
    <w:p w14:paraId="75B5586A" w14:textId="77777777" w:rsidR="004C22AB" w:rsidRPr="00270653" w:rsidRDefault="004C22AB" w:rsidP="004C22AB">
      <w:pPr>
        <w:ind w:left="720"/>
        <w:rPr>
          <w:rFonts w:ascii="Times New Roman" w:hAnsi="Times New Roman"/>
          <w:sz w:val="24"/>
          <w:szCs w:val="24"/>
        </w:rPr>
      </w:pPr>
      <w:r w:rsidRPr="00270653">
        <w:rPr>
          <w:rFonts w:ascii="Times New Roman" w:hAnsi="Times New Roman"/>
          <w:sz w:val="24"/>
          <w:szCs w:val="24"/>
        </w:rPr>
        <w:t xml:space="preserve">Note: Read the Civil Service Commission report. </w:t>
      </w:r>
      <w:hyperlink r:id="rId2693" w:history="1">
        <w:r w:rsidRPr="00270653">
          <w:rPr>
            <w:rStyle w:val="Hyperlink"/>
            <w:rFonts w:ascii="Times New Roman" w:hAnsi="Times New Roman"/>
            <w:sz w:val="24"/>
            <w:szCs w:val="24"/>
          </w:rPr>
          <w:t>https://www.nj.gov/csc/about/meetings/decisions/pdf/2023/01-18-23/A005%20TAYAG-KOSKY%20JOHN.pdf</w:t>
        </w:r>
      </w:hyperlink>
      <w:r w:rsidRPr="00270653">
        <w:rPr>
          <w:rFonts w:ascii="Times New Roman" w:hAnsi="Times New Roman"/>
          <w:sz w:val="24"/>
          <w:szCs w:val="24"/>
        </w:rPr>
        <w:t xml:space="preserve"> </w:t>
      </w:r>
    </w:p>
    <w:p w14:paraId="696E8BC4" w14:textId="77777777" w:rsidR="00FE25A3" w:rsidRDefault="00FE25A3" w:rsidP="00F91F9F">
      <w:pPr>
        <w:pStyle w:val="NoSpacing"/>
        <w:rPr>
          <w:rFonts w:ascii="Arial Black" w:hAnsi="Arial Black"/>
          <w:sz w:val="24"/>
          <w:szCs w:val="24"/>
        </w:rPr>
      </w:pPr>
    </w:p>
    <w:p w14:paraId="146E111B" w14:textId="77777777" w:rsidR="00CE27F4" w:rsidRDefault="00CE27F4" w:rsidP="00F91F9F">
      <w:pPr>
        <w:pStyle w:val="NoSpacing"/>
        <w:rPr>
          <w:rFonts w:ascii="Arial Black" w:hAnsi="Arial Black"/>
          <w:sz w:val="24"/>
          <w:szCs w:val="24"/>
        </w:rPr>
      </w:pPr>
    </w:p>
    <w:p w14:paraId="67ADA7A1" w14:textId="77777777" w:rsidR="00CE27F4" w:rsidRDefault="00CE27F4" w:rsidP="00F91F9F">
      <w:pPr>
        <w:pStyle w:val="NoSpacing"/>
        <w:rPr>
          <w:rFonts w:ascii="Arial Black" w:hAnsi="Arial Black"/>
          <w:sz w:val="24"/>
          <w:szCs w:val="24"/>
        </w:rPr>
      </w:pPr>
    </w:p>
    <w:p w14:paraId="58529998" w14:textId="5D92E6D0" w:rsidR="00B55AFC" w:rsidRDefault="00BB3D8E" w:rsidP="00F91F9F">
      <w:pPr>
        <w:pStyle w:val="NoSpacing"/>
        <w:rPr>
          <w:rFonts w:ascii="Arial Black" w:hAnsi="Arial Black"/>
          <w:sz w:val="24"/>
          <w:szCs w:val="24"/>
        </w:rPr>
      </w:pPr>
      <w:r>
        <w:rPr>
          <w:rFonts w:ascii="Arial Black" w:hAnsi="Arial Black"/>
          <w:sz w:val="24"/>
          <w:szCs w:val="24"/>
        </w:rPr>
        <w:t>16-111</w:t>
      </w:r>
    </w:p>
    <w:p w14:paraId="499ED00B" w14:textId="77777777" w:rsidR="00BB3D8E" w:rsidRDefault="00BB3D8E" w:rsidP="00F91F9F">
      <w:pPr>
        <w:pStyle w:val="NoSpacing"/>
        <w:rPr>
          <w:rFonts w:ascii="Arial Black" w:hAnsi="Arial Black"/>
          <w:sz w:val="24"/>
          <w:szCs w:val="24"/>
        </w:rPr>
      </w:pPr>
    </w:p>
    <w:p w14:paraId="43D6E405" w14:textId="77777777" w:rsidR="00B34746" w:rsidRDefault="00B34746" w:rsidP="00B34746">
      <w:pPr>
        <w:pStyle w:val="NoSpacing"/>
        <w:rPr>
          <w:rFonts w:ascii="Arial Black" w:hAnsi="Arial Black"/>
          <w:sz w:val="28"/>
          <w:szCs w:val="28"/>
        </w:rPr>
      </w:pPr>
      <w:r w:rsidRPr="0049649C">
        <w:rPr>
          <w:rFonts w:ascii="Arial Black" w:hAnsi="Arial Black"/>
          <w:sz w:val="28"/>
          <w:szCs w:val="28"/>
        </w:rPr>
        <w:t xml:space="preserve">CA: </w:t>
      </w:r>
      <w:r>
        <w:rPr>
          <w:rFonts w:ascii="Arial Black" w:hAnsi="Arial Black"/>
          <w:sz w:val="28"/>
          <w:szCs w:val="28"/>
        </w:rPr>
        <w:t xml:space="preserve">FIRE </w:t>
      </w:r>
      <w:r w:rsidRPr="0049649C">
        <w:rPr>
          <w:rFonts w:ascii="Arial Black" w:hAnsi="Arial Black"/>
          <w:sz w:val="28"/>
          <w:szCs w:val="28"/>
        </w:rPr>
        <w:t>CHIEF</w:t>
      </w:r>
      <w:r>
        <w:rPr>
          <w:rFonts w:ascii="Arial Black" w:hAnsi="Arial Black"/>
          <w:sz w:val="28"/>
          <w:szCs w:val="28"/>
        </w:rPr>
        <w:t xml:space="preserve"> FIRED – “RELIGIOUS DISCRIMINATION” CASE WAS DISMISSED – 9</w:t>
      </w:r>
      <w:r w:rsidRPr="005322F9">
        <w:rPr>
          <w:rFonts w:ascii="Arial Black" w:hAnsi="Arial Black"/>
          <w:sz w:val="28"/>
          <w:szCs w:val="28"/>
          <w:vertAlign w:val="superscript"/>
        </w:rPr>
        <w:t>th</w:t>
      </w:r>
      <w:r>
        <w:rPr>
          <w:rFonts w:ascii="Arial Black" w:hAnsi="Arial Black"/>
          <w:sz w:val="28"/>
          <w:szCs w:val="28"/>
        </w:rPr>
        <w:t xml:space="preserve"> CIR. NO “EN BANC” REVIEW</w:t>
      </w:r>
    </w:p>
    <w:p w14:paraId="25F66989" w14:textId="77777777" w:rsidR="00B34746" w:rsidRDefault="00B34746" w:rsidP="00B34746">
      <w:pPr>
        <w:pStyle w:val="NoSpacing"/>
      </w:pPr>
    </w:p>
    <w:p w14:paraId="793B7ED0" w14:textId="77777777" w:rsidR="00B34746" w:rsidRDefault="00B34746" w:rsidP="00B34746">
      <w:pPr>
        <w:pStyle w:val="NoSpacing"/>
        <w:rPr>
          <w:rFonts w:ascii="Times New Roman" w:hAnsi="Times New Roman"/>
          <w:sz w:val="24"/>
          <w:szCs w:val="24"/>
        </w:rPr>
      </w:pPr>
      <w:r w:rsidRPr="00675CE0">
        <w:rPr>
          <w:rFonts w:ascii="Times New Roman" w:hAnsi="Times New Roman"/>
          <w:sz w:val="24"/>
          <w:szCs w:val="24"/>
        </w:rPr>
        <w:t xml:space="preserve">On May 17, 2024, in </w:t>
      </w:r>
      <w:r w:rsidRPr="00675CE0">
        <w:rPr>
          <w:rFonts w:ascii="Times New Roman" w:hAnsi="Times New Roman"/>
          <w:sz w:val="24"/>
          <w:szCs w:val="24"/>
          <w:u w:val="single"/>
        </w:rPr>
        <w:t>Ronald Hittle v. City of Stockton, California</w:t>
      </w:r>
      <w:r w:rsidRPr="00675CE0">
        <w:rPr>
          <w:rFonts w:ascii="Times New Roman" w:hAnsi="Times New Roman"/>
          <w:sz w:val="24"/>
          <w:szCs w:val="24"/>
        </w:rPr>
        <w:t xml:space="preserve">, </w:t>
      </w:r>
      <w:r>
        <w:rPr>
          <w:rFonts w:ascii="Times New Roman" w:hAnsi="Times New Roman"/>
          <w:sz w:val="24"/>
          <w:szCs w:val="24"/>
        </w:rPr>
        <w:t>U.S. Court of Appeals for 9</w:t>
      </w:r>
      <w:r w:rsidRPr="00082FD4">
        <w:rPr>
          <w:rFonts w:ascii="Times New Roman" w:hAnsi="Times New Roman"/>
          <w:sz w:val="24"/>
          <w:szCs w:val="24"/>
          <w:vertAlign w:val="superscript"/>
        </w:rPr>
        <w:t>th</w:t>
      </w:r>
      <w:r>
        <w:rPr>
          <w:rFonts w:ascii="Times New Roman" w:hAnsi="Times New Roman"/>
          <w:sz w:val="24"/>
          <w:szCs w:val="24"/>
        </w:rPr>
        <w:t xml:space="preserve"> Circuit (San Francisco) a majority of the 29 Circuit Judges declined to hear his appeal, and </w:t>
      </w:r>
      <w:r w:rsidRPr="00675CE0">
        <w:rPr>
          <w:rFonts w:ascii="Times New Roman" w:hAnsi="Times New Roman"/>
          <w:sz w:val="24"/>
          <w:szCs w:val="24"/>
        </w:rPr>
        <w:t>the 3-</w:t>
      </w:r>
      <w:r>
        <w:rPr>
          <w:rFonts w:ascii="Times New Roman" w:hAnsi="Times New Roman"/>
          <w:sz w:val="24"/>
          <w:szCs w:val="24"/>
        </w:rPr>
        <w:t>J</w:t>
      </w:r>
      <w:r w:rsidRPr="00675CE0">
        <w:rPr>
          <w:rFonts w:ascii="Times New Roman" w:hAnsi="Times New Roman"/>
          <w:sz w:val="24"/>
          <w:szCs w:val="24"/>
        </w:rPr>
        <w:t xml:space="preserve">udge panel </w:t>
      </w:r>
      <w:r>
        <w:rPr>
          <w:rFonts w:ascii="Times New Roman" w:hAnsi="Times New Roman"/>
          <w:sz w:val="24"/>
          <w:szCs w:val="24"/>
        </w:rPr>
        <w:t xml:space="preserve">that originally denied his appeal on Aug. 4, </w:t>
      </w:r>
      <w:proofErr w:type="gramStart"/>
      <w:r>
        <w:rPr>
          <w:rFonts w:ascii="Times New Roman" w:hAnsi="Times New Roman"/>
          <w:sz w:val="24"/>
          <w:szCs w:val="24"/>
        </w:rPr>
        <w:t>2023</w:t>
      </w:r>
      <w:proofErr w:type="gramEnd"/>
      <w:r>
        <w:rPr>
          <w:rFonts w:ascii="Times New Roman" w:hAnsi="Times New Roman"/>
          <w:sz w:val="24"/>
          <w:szCs w:val="24"/>
        </w:rPr>
        <w:t xml:space="preserve"> issued a more detailed second decision.  The </w:t>
      </w:r>
      <w:proofErr w:type="gramStart"/>
      <w:r>
        <w:rPr>
          <w:rFonts w:ascii="Times New Roman" w:hAnsi="Times New Roman"/>
          <w:sz w:val="24"/>
          <w:szCs w:val="24"/>
        </w:rPr>
        <w:t>City</w:t>
      </w:r>
      <w:proofErr w:type="gramEnd"/>
      <w:r>
        <w:rPr>
          <w:rFonts w:ascii="Times New Roman" w:hAnsi="Times New Roman"/>
          <w:sz w:val="24"/>
          <w:szCs w:val="24"/>
        </w:rPr>
        <w:t xml:space="preserve"> fired Chief Hittle on Sept. 30, </w:t>
      </w:r>
      <w:proofErr w:type="gramStart"/>
      <w:r>
        <w:rPr>
          <w:rFonts w:ascii="Times New Roman" w:hAnsi="Times New Roman"/>
          <w:sz w:val="24"/>
          <w:szCs w:val="24"/>
        </w:rPr>
        <w:t>2011</w:t>
      </w:r>
      <w:proofErr w:type="gramEnd"/>
      <w:r>
        <w:rPr>
          <w:rFonts w:ascii="Times New Roman" w:hAnsi="Times New Roman"/>
          <w:sz w:val="24"/>
          <w:szCs w:val="24"/>
        </w:rPr>
        <w:t xml:space="preserve"> after it retained an outside attorney who wrote </w:t>
      </w:r>
      <w:proofErr w:type="gramStart"/>
      <w:r>
        <w:rPr>
          <w:rFonts w:ascii="Times New Roman" w:hAnsi="Times New Roman"/>
          <w:sz w:val="24"/>
          <w:szCs w:val="24"/>
        </w:rPr>
        <w:t>250 page</w:t>
      </w:r>
      <w:proofErr w:type="gramEnd"/>
      <w:r>
        <w:rPr>
          <w:rFonts w:ascii="Times New Roman" w:hAnsi="Times New Roman"/>
          <w:sz w:val="24"/>
          <w:szCs w:val="24"/>
        </w:rPr>
        <w:t xml:space="preserve"> investigative report that included allegations the Chief had formed a “Christian Coalition” in FD, including taking three officers in a FD vehicle to Aug. 5 &amp; 6, 2020 a Christian “</w:t>
      </w:r>
      <w:r w:rsidRPr="005616B7">
        <w:rPr>
          <w:rFonts w:ascii="Times New Roman" w:hAnsi="Times New Roman"/>
          <w:sz w:val="24"/>
          <w:szCs w:val="24"/>
        </w:rPr>
        <w:t>Global Leadership Summit</w:t>
      </w:r>
      <w:r>
        <w:rPr>
          <w:rFonts w:ascii="Times New Roman" w:hAnsi="Times New Roman"/>
          <w:sz w:val="24"/>
          <w:szCs w:val="24"/>
        </w:rPr>
        <w:t xml:space="preserve">” conference at a church in Livermore, on city time.  The 3-Judge panel in its May 17, </w:t>
      </w:r>
      <w:proofErr w:type="gramStart"/>
      <w:r>
        <w:rPr>
          <w:rFonts w:ascii="Times New Roman" w:hAnsi="Times New Roman"/>
          <w:sz w:val="24"/>
          <w:szCs w:val="24"/>
        </w:rPr>
        <w:t>2024</w:t>
      </w:r>
      <w:proofErr w:type="gramEnd"/>
      <w:r>
        <w:rPr>
          <w:rFonts w:ascii="Times New Roman" w:hAnsi="Times New Roman"/>
          <w:sz w:val="24"/>
          <w:szCs w:val="24"/>
        </w:rPr>
        <w:t xml:space="preserve"> decision held:</w:t>
      </w:r>
    </w:p>
    <w:p w14:paraId="7A7CEDCA" w14:textId="77777777" w:rsidR="00B34746" w:rsidRDefault="00B34746" w:rsidP="00B34746">
      <w:pPr>
        <w:pStyle w:val="NoSpacing"/>
        <w:rPr>
          <w:rFonts w:ascii="Times New Roman" w:hAnsi="Times New Roman"/>
          <w:sz w:val="24"/>
          <w:szCs w:val="24"/>
        </w:rPr>
      </w:pPr>
    </w:p>
    <w:p w14:paraId="25BB64E2" w14:textId="77777777" w:rsidR="00B34746" w:rsidRDefault="00B34746" w:rsidP="00B34746">
      <w:pPr>
        <w:pStyle w:val="NoSpacing"/>
        <w:ind w:left="720"/>
        <w:rPr>
          <w:rFonts w:ascii="Times New Roman" w:hAnsi="Times New Roman"/>
          <w:sz w:val="24"/>
          <w:szCs w:val="24"/>
        </w:rPr>
      </w:pPr>
      <w:r>
        <w:rPr>
          <w:rFonts w:ascii="Times New Roman" w:hAnsi="Times New Roman"/>
          <w:sz w:val="24"/>
          <w:szCs w:val="24"/>
        </w:rPr>
        <w:t>“</w:t>
      </w:r>
      <w:r w:rsidRPr="00F62C43">
        <w:rPr>
          <w:rFonts w:ascii="Times New Roman" w:hAnsi="Times New Roman"/>
          <w:sz w:val="24"/>
          <w:szCs w:val="24"/>
        </w:rPr>
        <w:t xml:space="preserve">The </w:t>
      </w:r>
      <w:proofErr w:type="gramStart"/>
      <w:r w:rsidRPr="00F62C43">
        <w:rPr>
          <w:rFonts w:ascii="Times New Roman" w:hAnsi="Times New Roman"/>
          <w:sz w:val="24"/>
          <w:szCs w:val="24"/>
        </w:rPr>
        <w:t>City</w:t>
      </w:r>
      <w:proofErr w:type="gramEnd"/>
      <w:r w:rsidRPr="00F62C43">
        <w:rPr>
          <w:rFonts w:ascii="Times New Roman" w:hAnsi="Times New Roman"/>
          <w:sz w:val="24"/>
          <w:szCs w:val="24"/>
        </w:rPr>
        <w:t xml:space="preserve"> hired an outside independent</w:t>
      </w:r>
      <w:r>
        <w:rPr>
          <w:rFonts w:ascii="Times New Roman" w:hAnsi="Times New Roman"/>
          <w:sz w:val="24"/>
          <w:szCs w:val="24"/>
        </w:rPr>
        <w:t xml:space="preserve"> </w:t>
      </w:r>
      <w:r w:rsidRPr="00F62C43">
        <w:rPr>
          <w:rFonts w:ascii="Times New Roman" w:hAnsi="Times New Roman"/>
          <w:sz w:val="24"/>
          <w:szCs w:val="24"/>
        </w:rPr>
        <w:t>investigator, Trudy Largent (</w:t>
      </w:r>
      <w:r>
        <w:rPr>
          <w:rFonts w:ascii="Times New Roman" w:hAnsi="Times New Roman"/>
          <w:sz w:val="24"/>
          <w:szCs w:val="24"/>
        </w:rPr>
        <w:t>‘</w:t>
      </w:r>
      <w:r w:rsidRPr="00F62C43">
        <w:rPr>
          <w:rFonts w:ascii="Times New Roman" w:hAnsi="Times New Roman"/>
          <w:sz w:val="24"/>
          <w:szCs w:val="24"/>
        </w:rPr>
        <w:t>Largent</w:t>
      </w:r>
      <w:r>
        <w:rPr>
          <w:rFonts w:ascii="Times New Roman" w:hAnsi="Times New Roman"/>
          <w:sz w:val="24"/>
          <w:szCs w:val="24"/>
        </w:rPr>
        <w:t>’</w:t>
      </w:r>
      <w:r w:rsidRPr="00F62C43">
        <w:rPr>
          <w:rFonts w:ascii="Times New Roman" w:hAnsi="Times New Roman"/>
          <w:sz w:val="24"/>
          <w:szCs w:val="24"/>
        </w:rPr>
        <w:t>),</w:t>
      </w:r>
      <w:r>
        <w:rPr>
          <w:rFonts w:ascii="Times New Roman" w:hAnsi="Times New Roman"/>
          <w:sz w:val="24"/>
          <w:szCs w:val="24"/>
        </w:rPr>
        <w:t xml:space="preserve"> [CA attorney] </w:t>
      </w:r>
      <w:r w:rsidRPr="00F62C43">
        <w:rPr>
          <w:rFonts w:ascii="Times New Roman" w:hAnsi="Times New Roman"/>
          <w:sz w:val="24"/>
          <w:szCs w:val="24"/>
        </w:rPr>
        <w:t>to investigate</w:t>
      </w:r>
      <w:r>
        <w:rPr>
          <w:rFonts w:ascii="Times New Roman" w:hAnsi="Times New Roman"/>
          <w:sz w:val="24"/>
          <w:szCs w:val="24"/>
        </w:rPr>
        <w:t xml:space="preserve"> </w:t>
      </w:r>
      <w:r w:rsidRPr="00F62C43">
        <w:rPr>
          <w:rFonts w:ascii="Times New Roman" w:hAnsi="Times New Roman"/>
          <w:sz w:val="24"/>
          <w:szCs w:val="24"/>
        </w:rPr>
        <w:t>various allegations of misconduct. In a 250-page report</w:t>
      </w:r>
      <w:r>
        <w:rPr>
          <w:rFonts w:ascii="Times New Roman" w:hAnsi="Times New Roman"/>
          <w:sz w:val="24"/>
          <w:szCs w:val="24"/>
        </w:rPr>
        <w:t xml:space="preserve">  </w:t>
      </w:r>
      <w:r w:rsidRPr="009A57BD">
        <w:rPr>
          <w:rFonts w:ascii="Times New Roman" w:hAnsi="Times New Roman"/>
          <w:sz w:val="24"/>
          <w:szCs w:val="24"/>
        </w:rPr>
        <w:t xml:space="preserve">referencing over 50 exhibits, Largent sustained almost </w:t>
      </w:r>
      <w:proofErr w:type="gramStart"/>
      <w:r w:rsidRPr="009A57BD">
        <w:rPr>
          <w:rFonts w:ascii="Times New Roman" w:hAnsi="Times New Roman"/>
          <w:sz w:val="24"/>
          <w:szCs w:val="24"/>
        </w:rPr>
        <w:t>all of</w:t>
      </w:r>
      <w:proofErr w:type="gramEnd"/>
      <w:r>
        <w:rPr>
          <w:rFonts w:ascii="Times New Roman" w:hAnsi="Times New Roman"/>
          <w:sz w:val="24"/>
          <w:szCs w:val="24"/>
        </w:rPr>
        <w:t xml:space="preserve"> </w:t>
      </w:r>
      <w:r w:rsidRPr="009A57BD">
        <w:rPr>
          <w:rFonts w:ascii="Times New Roman" w:hAnsi="Times New Roman"/>
          <w:sz w:val="24"/>
          <w:szCs w:val="24"/>
        </w:rPr>
        <w:t>the allegations of misconduct against Hittle.</w:t>
      </w:r>
      <w:r>
        <w:rPr>
          <w:rFonts w:ascii="Times New Roman" w:hAnsi="Times New Roman"/>
          <w:sz w:val="24"/>
          <w:szCs w:val="24"/>
        </w:rPr>
        <w:t xml:space="preserve"> </w:t>
      </w:r>
      <w:r w:rsidRPr="009A57BD">
        <w:rPr>
          <w:rFonts w:ascii="Times New Roman" w:hAnsi="Times New Roman"/>
          <w:sz w:val="24"/>
          <w:szCs w:val="24"/>
        </w:rPr>
        <w:t>Largent’s Report specifically concluded that Hittle:</w:t>
      </w:r>
      <w:r>
        <w:rPr>
          <w:rFonts w:ascii="Times New Roman" w:hAnsi="Times New Roman"/>
          <w:sz w:val="24"/>
          <w:szCs w:val="24"/>
        </w:rPr>
        <w:t xml:space="preserve"> </w:t>
      </w:r>
      <w:r w:rsidRPr="009A57BD">
        <w:rPr>
          <w:rFonts w:ascii="Times New Roman" w:hAnsi="Times New Roman"/>
          <w:sz w:val="24"/>
          <w:szCs w:val="24"/>
        </w:rPr>
        <w:t>(1) lacked effectiveness and judgment in his ongoing</w:t>
      </w:r>
      <w:r>
        <w:rPr>
          <w:rFonts w:ascii="Times New Roman" w:hAnsi="Times New Roman"/>
          <w:sz w:val="24"/>
          <w:szCs w:val="24"/>
        </w:rPr>
        <w:t xml:space="preserve"> </w:t>
      </w:r>
      <w:r w:rsidRPr="009A57BD">
        <w:rPr>
          <w:rFonts w:ascii="Times New Roman" w:hAnsi="Times New Roman"/>
          <w:sz w:val="24"/>
          <w:szCs w:val="24"/>
        </w:rPr>
        <w:t>leadership of the Fire Department; (2) used City time and a</w:t>
      </w:r>
      <w:r>
        <w:rPr>
          <w:rFonts w:ascii="Times New Roman" w:hAnsi="Times New Roman"/>
          <w:sz w:val="24"/>
          <w:szCs w:val="24"/>
        </w:rPr>
        <w:t xml:space="preserve"> </w:t>
      </w:r>
      <w:r w:rsidRPr="009A57BD">
        <w:rPr>
          <w:rFonts w:ascii="Times New Roman" w:hAnsi="Times New Roman"/>
          <w:sz w:val="24"/>
          <w:szCs w:val="24"/>
        </w:rPr>
        <w:t>City vehicle to attend a religious event, and approved on-duty attendance of other Fire Department managers to do the</w:t>
      </w:r>
      <w:r>
        <w:rPr>
          <w:rFonts w:ascii="Times New Roman" w:hAnsi="Times New Roman"/>
          <w:sz w:val="24"/>
          <w:szCs w:val="24"/>
        </w:rPr>
        <w:t xml:space="preserve"> </w:t>
      </w:r>
      <w:r w:rsidRPr="009A57BD">
        <w:rPr>
          <w:rFonts w:ascii="Times New Roman" w:hAnsi="Times New Roman"/>
          <w:sz w:val="24"/>
          <w:szCs w:val="24"/>
        </w:rPr>
        <w:t>same; (3) failed to properly report his time off; (4) engaged</w:t>
      </w:r>
      <w:r>
        <w:rPr>
          <w:rFonts w:ascii="Times New Roman" w:hAnsi="Times New Roman"/>
          <w:sz w:val="24"/>
          <w:szCs w:val="24"/>
        </w:rPr>
        <w:t xml:space="preserve"> </w:t>
      </w:r>
      <w:r w:rsidRPr="009A57BD">
        <w:rPr>
          <w:rFonts w:ascii="Times New Roman" w:hAnsi="Times New Roman"/>
          <w:sz w:val="24"/>
          <w:szCs w:val="24"/>
        </w:rPr>
        <w:t>in potential favoritism of certain Fire Department employees</w:t>
      </w:r>
      <w:r>
        <w:rPr>
          <w:rFonts w:ascii="Times New Roman" w:hAnsi="Times New Roman"/>
          <w:sz w:val="24"/>
          <w:szCs w:val="24"/>
        </w:rPr>
        <w:t xml:space="preserve"> </w:t>
      </w:r>
      <w:r w:rsidRPr="009A57BD">
        <w:rPr>
          <w:rFonts w:ascii="Times New Roman" w:hAnsi="Times New Roman"/>
          <w:sz w:val="24"/>
          <w:szCs w:val="24"/>
        </w:rPr>
        <w:t>based on a financial conflict of interest not disclosed to the</w:t>
      </w:r>
      <w:r>
        <w:rPr>
          <w:rFonts w:ascii="Times New Roman" w:hAnsi="Times New Roman"/>
          <w:sz w:val="24"/>
          <w:szCs w:val="24"/>
        </w:rPr>
        <w:t xml:space="preserve"> </w:t>
      </w:r>
      <w:r w:rsidRPr="009A57BD">
        <w:rPr>
          <w:rFonts w:ascii="Times New Roman" w:hAnsi="Times New Roman"/>
          <w:sz w:val="24"/>
          <w:szCs w:val="24"/>
        </w:rPr>
        <w:t>City; (5) endorsed a private consultant’s business in</w:t>
      </w:r>
      <w:r>
        <w:rPr>
          <w:rFonts w:ascii="Times New Roman" w:hAnsi="Times New Roman"/>
          <w:sz w:val="24"/>
          <w:szCs w:val="24"/>
        </w:rPr>
        <w:t xml:space="preserve"> </w:t>
      </w:r>
      <w:r w:rsidRPr="009A57BD">
        <w:rPr>
          <w:rFonts w:ascii="Times New Roman" w:hAnsi="Times New Roman"/>
          <w:sz w:val="24"/>
          <w:szCs w:val="24"/>
        </w:rPr>
        <w:t>violation of City policy; and (6) had potentially conflicting</w:t>
      </w:r>
      <w:r>
        <w:rPr>
          <w:rFonts w:ascii="Times New Roman" w:hAnsi="Times New Roman"/>
          <w:sz w:val="24"/>
          <w:szCs w:val="24"/>
        </w:rPr>
        <w:t xml:space="preserve"> </w:t>
      </w:r>
      <w:r w:rsidRPr="009A57BD">
        <w:rPr>
          <w:rFonts w:ascii="Times New Roman" w:hAnsi="Times New Roman"/>
          <w:sz w:val="24"/>
          <w:szCs w:val="24"/>
        </w:rPr>
        <w:t>loyalties in his management role and responsibilities,</w:t>
      </w:r>
      <w:r>
        <w:rPr>
          <w:rFonts w:ascii="Times New Roman" w:hAnsi="Times New Roman"/>
          <w:sz w:val="24"/>
          <w:szCs w:val="24"/>
        </w:rPr>
        <w:t xml:space="preserve"> </w:t>
      </w:r>
      <w:r w:rsidRPr="009A57BD">
        <w:rPr>
          <w:rFonts w:ascii="Times New Roman" w:hAnsi="Times New Roman"/>
          <w:sz w:val="24"/>
          <w:szCs w:val="24"/>
        </w:rPr>
        <w:t>including Hittle’s relationship with the head of the local</w:t>
      </w:r>
      <w:r>
        <w:rPr>
          <w:rFonts w:ascii="Times New Roman" w:hAnsi="Times New Roman"/>
          <w:sz w:val="24"/>
          <w:szCs w:val="24"/>
        </w:rPr>
        <w:t xml:space="preserve"> </w:t>
      </w:r>
      <w:r w:rsidRPr="009A57BD">
        <w:rPr>
          <w:rFonts w:ascii="Times New Roman" w:hAnsi="Times New Roman"/>
          <w:sz w:val="24"/>
          <w:szCs w:val="24"/>
        </w:rPr>
        <w:t>firefighters’ union. Based on the independent findings and</w:t>
      </w:r>
      <w:r>
        <w:rPr>
          <w:rFonts w:ascii="Times New Roman" w:hAnsi="Times New Roman"/>
          <w:sz w:val="24"/>
          <w:szCs w:val="24"/>
        </w:rPr>
        <w:t xml:space="preserve"> </w:t>
      </w:r>
      <w:r w:rsidRPr="009A57BD">
        <w:rPr>
          <w:rFonts w:ascii="Times New Roman" w:hAnsi="Times New Roman"/>
          <w:sz w:val="24"/>
          <w:szCs w:val="24"/>
        </w:rPr>
        <w:t xml:space="preserve">conclusions set forth in Largent’s report, the </w:t>
      </w:r>
      <w:proofErr w:type="gramStart"/>
      <w:r w:rsidRPr="009A57BD">
        <w:rPr>
          <w:rFonts w:ascii="Times New Roman" w:hAnsi="Times New Roman"/>
          <w:sz w:val="24"/>
          <w:szCs w:val="24"/>
        </w:rPr>
        <w:t>City</w:t>
      </w:r>
      <w:proofErr w:type="gramEnd"/>
      <w:r w:rsidRPr="009A57BD">
        <w:rPr>
          <w:rFonts w:ascii="Times New Roman" w:hAnsi="Times New Roman"/>
          <w:sz w:val="24"/>
          <w:szCs w:val="24"/>
        </w:rPr>
        <w:t xml:space="preserve"> removed</w:t>
      </w:r>
      <w:r>
        <w:rPr>
          <w:rFonts w:ascii="Times New Roman" w:hAnsi="Times New Roman"/>
          <w:sz w:val="24"/>
          <w:szCs w:val="24"/>
        </w:rPr>
        <w:t xml:space="preserve"> </w:t>
      </w:r>
      <w:r w:rsidRPr="009A57BD">
        <w:rPr>
          <w:rFonts w:ascii="Times New Roman" w:hAnsi="Times New Roman"/>
          <w:sz w:val="24"/>
          <w:szCs w:val="24"/>
        </w:rPr>
        <w:t>Hittle from his position as Fire Chief.</w:t>
      </w:r>
    </w:p>
    <w:p w14:paraId="2119E761" w14:textId="77777777" w:rsidR="00B34746" w:rsidRDefault="00B34746" w:rsidP="00B34746">
      <w:pPr>
        <w:pStyle w:val="NoSpacing"/>
        <w:ind w:left="720"/>
        <w:rPr>
          <w:rFonts w:ascii="Times New Roman" w:hAnsi="Times New Roman"/>
          <w:sz w:val="24"/>
          <w:szCs w:val="24"/>
        </w:rPr>
      </w:pPr>
    </w:p>
    <w:p w14:paraId="79CE2D55" w14:textId="77777777" w:rsidR="00B34746" w:rsidRDefault="00B34746" w:rsidP="00B34746">
      <w:pPr>
        <w:pStyle w:val="NoSpacing"/>
        <w:ind w:left="720"/>
        <w:rPr>
          <w:rFonts w:ascii="Times New Roman" w:hAnsi="Times New Roman"/>
          <w:sz w:val="24"/>
          <w:szCs w:val="24"/>
        </w:rPr>
      </w:pPr>
      <w:r>
        <w:rPr>
          <w:rFonts w:ascii="Times New Roman" w:hAnsi="Times New Roman"/>
          <w:sz w:val="24"/>
          <w:szCs w:val="24"/>
        </w:rPr>
        <w:t>***</w:t>
      </w:r>
    </w:p>
    <w:p w14:paraId="75ADFF73" w14:textId="77777777" w:rsidR="00B34746" w:rsidRDefault="00B34746" w:rsidP="00B34746">
      <w:pPr>
        <w:pStyle w:val="NoSpacing"/>
        <w:ind w:left="720"/>
        <w:rPr>
          <w:rFonts w:ascii="Times New Roman" w:hAnsi="Times New Roman"/>
          <w:sz w:val="24"/>
          <w:szCs w:val="24"/>
        </w:rPr>
      </w:pPr>
    </w:p>
    <w:p w14:paraId="2F2DDC6F" w14:textId="77777777" w:rsidR="00B34746" w:rsidRDefault="00B34746" w:rsidP="00B34746">
      <w:pPr>
        <w:pStyle w:val="NoSpacing"/>
        <w:ind w:left="720"/>
        <w:rPr>
          <w:rFonts w:ascii="Times New Roman" w:hAnsi="Times New Roman"/>
          <w:sz w:val="24"/>
          <w:szCs w:val="24"/>
        </w:rPr>
      </w:pPr>
      <w:r w:rsidRPr="00E2791B">
        <w:rPr>
          <w:rFonts w:ascii="Times New Roman" w:hAnsi="Times New Roman"/>
          <w:sz w:val="24"/>
          <w:szCs w:val="24"/>
        </w:rPr>
        <w:t>To summarize, we hold that, based on the record before</w:t>
      </w:r>
      <w:r>
        <w:rPr>
          <w:rFonts w:ascii="Times New Roman" w:hAnsi="Times New Roman"/>
          <w:sz w:val="24"/>
          <w:szCs w:val="24"/>
        </w:rPr>
        <w:t xml:space="preserve"> </w:t>
      </w:r>
      <w:r w:rsidRPr="00E2791B">
        <w:rPr>
          <w:rFonts w:ascii="Times New Roman" w:hAnsi="Times New Roman"/>
          <w:sz w:val="24"/>
          <w:szCs w:val="24"/>
        </w:rPr>
        <w:t>us, the district court’s granting of summary judgment in</w:t>
      </w:r>
      <w:r>
        <w:rPr>
          <w:rFonts w:ascii="Times New Roman" w:hAnsi="Times New Roman"/>
          <w:sz w:val="24"/>
          <w:szCs w:val="24"/>
        </w:rPr>
        <w:t xml:space="preserve"> </w:t>
      </w:r>
      <w:r w:rsidRPr="00E2791B">
        <w:rPr>
          <w:rFonts w:ascii="Times New Roman" w:hAnsi="Times New Roman"/>
          <w:sz w:val="24"/>
          <w:szCs w:val="24"/>
        </w:rPr>
        <w:t>Defendants’ favor was appropriate where Defendants’</w:t>
      </w:r>
      <w:r>
        <w:rPr>
          <w:rFonts w:ascii="Times New Roman" w:hAnsi="Times New Roman"/>
          <w:sz w:val="24"/>
          <w:szCs w:val="24"/>
        </w:rPr>
        <w:t xml:space="preserve"> l</w:t>
      </w:r>
      <w:r w:rsidRPr="005A0758">
        <w:rPr>
          <w:rFonts w:ascii="Times New Roman" w:hAnsi="Times New Roman"/>
          <w:sz w:val="24"/>
          <w:szCs w:val="24"/>
        </w:rPr>
        <w:t>egitimate, non-discriminatory reasons for firing Hittle were,</w:t>
      </w:r>
      <w:r>
        <w:rPr>
          <w:rFonts w:ascii="Times New Roman" w:hAnsi="Times New Roman"/>
          <w:sz w:val="24"/>
          <w:szCs w:val="24"/>
        </w:rPr>
        <w:t xml:space="preserve"> </w:t>
      </w:r>
      <w:r w:rsidRPr="005A0758">
        <w:rPr>
          <w:rFonts w:ascii="Times New Roman" w:hAnsi="Times New Roman"/>
          <w:sz w:val="24"/>
          <w:szCs w:val="24"/>
        </w:rPr>
        <w:t>in sum, sufficient to rebut Hittle’s evidence of</w:t>
      </w:r>
      <w:r>
        <w:rPr>
          <w:rFonts w:ascii="Times New Roman" w:hAnsi="Times New Roman"/>
          <w:sz w:val="24"/>
          <w:szCs w:val="24"/>
        </w:rPr>
        <w:t xml:space="preserve"> </w:t>
      </w:r>
      <w:r w:rsidRPr="005A0758">
        <w:rPr>
          <w:rFonts w:ascii="Times New Roman" w:hAnsi="Times New Roman"/>
          <w:sz w:val="24"/>
          <w:szCs w:val="24"/>
        </w:rPr>
        <w:t>discrimination, and Hittle has failed to persuasively argue</w:t>
      </w:r>
      <w:r>
        <w:rPr>
          <w:rFonts w:ascii="Times New Roman" w:hAnsi="Times New Roman"/>
          <w:sz w:val="24"/>
          <w:szCs w:val="24"/>
        </w:rPr>
        <w:t xml:space="preserve"> </w:t>
      </w:r>
      <w:r w:rsidRPr="005A0758">
        <w:rPr>
          <w:rFonts w:ascii="Times New Roman" w:hAnsi="Times New Roman"/>
          <w:sz w:val="24"/>
          <w:szCs w:val="24"/>
        </w:rPr>
        <w:t>that these non-discriminatory reasons were pretextual.</w:t>
      </w:r>
      <w:r>
        <w:rPr>
          <w:rFonts w:ascii="Times New Roman" w:hAnsi="Times New Roman"/>
          <w:sz w:val="24"/>
          <w:szCs w:val="24"/>
        </w:rPr>
        <w:t xml:space="preserve"> </w:t>
      </w:r>
      <w:r w:rsidRPr="005A0758">
        <w:rPr>
          <w:rFonts w:ascii="Times New Roman" w:hAnsi="Times New Roman"/>
          <w:sz w:val="24"/>
          <w:szCs w:val="24"/>
        </w:rPr>
        <w:t>When discriminatory remarks are merely quoting third</w:t>
      </w:r>
      <w:r>
        <w:rPr>
          <w:rFonts w:ascii="Times New Roman" w:hAnsi="Times New Roman"/>
          <w:sz w:val="24"/>
          <w:szCs w:val="24"/>
        </w:rPr>
        <w:t xml:space="preserve"> </w:t>
      </w:r>
      <w:r w:rsidRPr="005A0758">
        <w:rPr>
          <w:rFonts w:ascii="Times New Roman" w:hAnsi="Times New Roman"/>
          <w:sz w:val="24"/>
          <w:szCs w:val="24"/>
        </w:rPr>
        <w:t>parties and the real issue is public perception or other forms</w:t>
      </w:r>
      <w:r>
        <w:rPr>
          <w:rFonts w:ascii="Times New Roman" w:hAnsi="Times New Roman"/>
          <w:sz w:val="24"/>
          <w:szCs w:val="24"/>
        </w:rPr>
        <w:t xml:space="preserve"> </w:t>
      </w:r>
      <w:r w:rsidRPr="005A0758">
        <w:rPr>
          <w:rFonts w:ascii="Times New Roman" w:hAnsi="Times New Roman"/>
          <w:sz w:val="24"/>
          <w:szCs w:val="24"/>
        </w:rPr>
        <w:t>of misconduct (such as engaging in an activity that does not</w:t>
      </w:r>
      <w:r>
        <w:rPr>
          <w:rFonts w:ascii="Times New Roman" w:hAnsi="Times New Roman"/>
          <w:sz w:val="24"/>
          <w:szCs w:val="24"/>
        </w:rPr>
        <w:t xml:space="preserve"> </w:t>
      </w:r>
      <w:r w:rsidRPr="005A0758">
        <w:rPr>
          <w:rFonts w:ascii="Times New Roman" w:hAnsi="Times New Roman"/>
          <w:sz w:val="24"/>
          <w:szCs w:val="24"/>
        </w:rPr>
        <w:t>benefit the employer), there is no genuine issue of material</w:t>
      </w:r>
      <w:r>
        <w:rPr>
          <w:rFonts w:ascii="Times New Roman" w:hAnsi="Times New Roman"/>
          <w:sz w:val="24"/>
          <w:szCs w:val="24"/>
        </w:rPr>
        <w:t xml:space="preserve"> </w:t>
      </w:r>
      <w:r w:rsidRPr="005A0758">
        <w:rPr>
          <w:rFonts w:ascii="Times New Roman" w:hAnsi="Times New Roman"/>
          <w:sz w:val="24"/>
          <w:szCs w:val="24"/>
        </w:rPr>
        <w:t>fact that the employer was discriminatory. For the foregoing</w:t>
      </w:r>
      <w:r>
        <w:rPr>
          <w:rFonts w:ascii="Times New Roman" w:hAnsi="Times New Roman"/>
          <w:sz w:val="24"/>
          <w:szCs w:val="24"/>
        </w:rPr>
        <w:t xml:space="preserve"> </w:t>
      </w:r>
      <w:r w:rsidRPr="005A0758">
        <w:rPr>
          <w:rFonts w:ascii="Times New Roman" w:hAnsi="Times New Roman"/>
          <w:sz w:val="24"/>
          <w:szCs w:val="24"/>
        </w:rPr>
        <w:t>reasons, the judgment of the district court is AFFIRMED.</w:t>
      </w:r>
      <w:r>
        <w:rPr>
          <w:rFonts w:ascii="Times New Roman" w:hAnsi="Times New Roman"/>
          <w:sz w:val="24"/>
          <w:szCs w:val="24"/>
        </w:rPr>
        <w:t xml:space="preserve">” </w:t>
      </w:r>
      <w:hyperlink r:id="rId2694" w:history="1">
        <w:r w:rsidRPr="00065774">
          <w:rPr>
            <w:rStyle w:val="Hyperlink"/>
            <w:rFonts w:ascii="Times New Roman" w:hAnsi="Times New Roman"/>
            <w:sz w:val="24"/>
            <w:szCs w:val="24"/>
          </w:rPr>
          <w:t>https://cases.justia.com/federal/appellate-courts/ca9/22-15485/22-15485-2024-05-17.pdf?ts=1715961637</w:t>
        </w:r>
      </w:hyperlink>
      <w:r>
        <w:rPr>
          <w:rFonts w:ascii="Times New Roman" w:hAnsi="Times New Roman"/>
          <w:sz w:val="24"/>
          <w:szCs w:val="24"/>
        </w:rPr>
        <w:t xml:space="preserve"> </w:t>
      </w:r>
    </w:p>
    <w:p w14:paraId="0D6E5955" w14:textId="77777777" w:rsidR="00B34746" w:rsidRDefault="00B34746" w:rsidP="00B34746">
      <w:pPr>
        <w:pStyle w:val="NoSpacing"/>
        <w:rPr>
          <w:rFonts w:ascii="Times New Roman" w:hAnsi="Times New Roman"/>
          <w:sz w:val="24"/>
          <w:szCs w:val="24"/>
        </w:rPr>
      </w:pPr>
    </w:p>
    <w:p w14:paraId="5E34946E" w14:textId="77777777" w:rsidR="006428AD" w:rsidRPr="00D36E4C" w:rsidRDefault="006428AD" w:rsidP="006428AD">
      <w:pPr>
        <w:pStyle w:val="NoSpacing"/>
        <w:rPr>
          <w:rFonts w:ascii="Times New Roman" w:hAnsi="Times New Roman"/>
          <w:b/>
          <w:bCs/>
          <w:sz w:val="24"/>
          <w:szCs w:val="24"/>
        </w:rPr>
      </w:pPr>
      <w:r>
        <w:rPr>
          <w:rFonts w:ascii="Times New Roman" w:hAnsi="Times New Roman"/>
          <w:b/>
          <w:bCs/>
          <w:sz w:val="24"/>
          <w:szCs w:val="24"/>
        </w:rPr>
        <w:t xml:space="preserve">Legal Lesson Learned: Religious discrimination claim is very difficult to prove, particularly after outside investigator submits a 250-page report detailing leadership issues. </w:t>
      </w:r>
    </w:p>
    <w:p w14:paraId="222F1ED3" w14:textId="77777777" w:rsidR="006428AD" w:rsidRDefault="006428AD" w:rsidP="006428AD">
      <w:pPr>
        <w:pStyle w:val="NoSpacing"/>
        <w:rPr>
          <w:rFonts w:ascii="Times New Roman" w:hAnsi="Times New Roman"/>
          <w:sz w:val="24"/>
          <w:szCs w:val="24"/>
        </w:rPr>
      </w:pPr>
    </w:p>
    <w:p w14:paraId="04BE367C" w14:textId="77777777" w:rsidR="006428AD" w:rsidRDefault="006428AD" w:rsidP="006428AD">
      <w:pPr>
        <w:pStyle w:val="NoSpacing"/>
        <w:ind w:left="720"/>
        <w:rPr>
          <w:rFonts w:ascii="Times New Roman" w:hAnsi="Times New Roman"/>
          <w:sz w:val="24"/>
          <w:szCs w:val="24"/>
        </w:rPr>
      </w:pPr>
      <w:r>
        <w:rPr>
          <w:rFonts w:ascii="Times New Roman" w:hAnsi="Times New Roman"/>
          <w:sz w:val="24"/>
          <w:szCs w:val="24"/>
        </w:rPr>
        <w:t xml:space="preserve">Note: Here is the 3-Judge panel’s original Aug. 4, </w:t>
      </w:r>
      <w:proofErr w:type="gramStart"/>
      <w:r>
        <w:rPr>
          <w:rFonts w:ascii="Times New Roman" w:hAnsi="Times New Roman"/>
          <w:sz w:val="24"/>
          <w:szCs w:val="24"/>
        </w:rPr>
        <w:t>2023</w:t>
      </w:r>
      <w:proofErr w:type="gramEnd"/>
      <w:r>
        <w:rPr>
          <w:rFonts w:ascii="Times New Roman" w:hAnsi="Times New Roman"/>
          <w:sz w:val="24"/>
          <w:szCs w:val="24"/>
        </w:rPr>
        <w:t xml:space="preserve"> decision: </w:t>
      </w:r>
      <w:hyperlink r:id="rId2695" w:history="1">
        <w:r w:rsidRPr="00065774">
          <w:rPr>
            <w:rStyle w:val="Hyperlink"/>
            <w:rFonts w:ascii="Times New Roman" w:hAnsi="Times New Roman"/>
            <w:sz w:val="24"/>
            <w:szCs w:val="24"/>
          </w:rPr>
          <w:t>https://cdn.ca9.uscourts.gov/datastore/opinions/2023/08/04/22-15485.pdf</w:t>
        </w:r>
      </w:hyperlink>
      <w:r>
        <w:rPr>
          <w:rFonts w:ascii="Times New Roman" w:hAnsi="Times New Roman"/>
          <w:sz w:val="24"/>
          <w:szCs w:val="24"/>
        </w:rPr>
        <w:t xml:space="preserve"> </w:t>
      </w:r>
    </w:p>
    <w:p w14:paraId="546F6C32" w14:textId="77777777" w:rsidR="00BB3D8E" w:rsidRDefault="00BB3D8E" w:rsidP="00F91F9F">
      <w:pPr>
        <w:pStyle w:val="NoSpacing"/>
        <w:rPr>
          <w:rFonts w:ascii="Arial Black" w:hAnsi="Arial Black"/>
          <w:sz w:val="24"/>
          <w:szCs w:val="24"/>
        </w:rPr>
      </w:pPr>
    </w:p>
    <w:p w14:paraId="714A47CA" w14:textId="77777777" w:rsidR="00BB3D8E" w:rsidRDefault="00BB3D8E" w:rsidP="00F91F9F">
      <w:pPr>
        <w:pStyle w:val="NoSpacing"/>
        <w:rPr>
          <w:rFonts w:ascii="Arial Black" w:hAnsi="Arial Black"/>
          <w:sz w:val="24"/>
          <w:szCs w:val="24"/>
        </w:rPr>
      </w:pPr>
    </w:p>
    <w:p w14:paraId="26DC3301" w14:textId="77777777" w:rsidR="00BB3D8E" w:rsidRDefault="00BB3D8E" w:rsidP="00F91F9F">
      <w:pPr>
        <w:pStyle w:val="NoSpacing"/>
        <w:rPr>
          <w:rFonts w:ascii="Arial Black" w:hAnsi="Arial Black"/>
          <w:sz w:val="24"/>
          <w:szCs w:val="24"/>
        </w:rPr>
      </w:pPr>
    </w:p>
    <w:p w14:paraId="3D67BB98" w14:textId="49B10366" w:rsidR="00B55AFC" w:rsidRDefault="00536594" w:rsidP="00F91F9F">
      <w:pPr>
        <w:pStyle w:val="NoSpacing"/>
        <w:rPr>
          <w:rFonts w:ascii="Arial Black" w:hAnsi="Arial Black"/>
          <w:sz w:val="24"/>
          <w:szCs w:val="24"/>
        </w:rPr>
      </w:pPr>
      <w:r>
        <w:rPr>
          <w:rFonts w:ascii="Arial Black" w:hAnsi="Arial Black"/>
          <w:sz w:val="24"/>
          <w:szCs w:val="24"/>
        </w:rPr>
        <w:t>16-110</w:t>
      </w:r>
    </w:p>
    <w:p w14:paraId="573E9808" w14:textId="77777777" w:rsidR="00536594" w:rsidRDefault="00536594" w:rsidP="00536594">
      <w:pPr>
        <w:pStyle w:val="NormalWeb"/>
        <w:shd w:val="clear" w:color="auto" w:fill="FFFFFF"/>
        <w:spacing w:before="0" w:beforeAutospacing="0"/>
        <w:rPr>
          <w:rFonts w:ascii="Arial Black" w:hAnsi="Arial Black"/>
          <w:sz w:val="28"/>
          <w:szCs w:val="28"/>
        </w:rPr>
      </w:pPr>
      <w:r>
        <w:rPr>
          <w:rFonts w:ascii="Arial Black" w:hAnsi="Arial Black"/>
          <w:sz w:val="28"/>
          <w:szCs w:val="28"/>
        </w:rPr>
        <w:t xml:space="preserve">OR: FIRE CHIEF FIRED – SUES FF / BOARD DEFAMATION -MUST PROVE “MALICE” – STRONG “ANTI-SLAPP” DEFENSE </w:t>
      </w:r>
    </w:p>
    <w:p w14:paraId="175B5B4D" w14:textId="77777777" w:rsidR="00536594" w:rsidRDefault="00536594" w:rsidP="00536594">
      <w:pPr>
        <w:pStyle w:val="NormalWeb"/>
        <w:shd w:val="clear" w:color="auto" w:fill="FFFFFF"/>
        <w:spacing w:before="0" w:beforeAutospacing="0"/>
      </w:pPr>
      <w:r>
        <w:t xml:space="preserve">On May 15, 2024, in </w:t>
      </w:r>
      <w:r w:rsidRPr="00A82D99">
        <w:rPr>
          <w:u w:val="single"/>
        </w:rPr>
        <w:t xml:space="preserve">Joel A. Medina v. Columbia River Fire &amp; Rescue, an Oregon Municipality, </w:t>
      </w:r>
      <w:r w:rsidRPr="00263156">
        <w:rPr>
          <w:u w:val="single"/>
        </w:rPr>
        <w:t>Rhonda Melton</w:t>
      </w:r>
      <w:r>
        <w:t xml:space="preserve">, </w:t>
      </w:r>
      <w:r w:rsidRPr="00A82D99">
        <w:rPr>
          <w:u w:val="single"/>
        </w:rPr>
        <w:t>et al.,</w:t>
      </w:r>
      <w:r>
        <w:t xml:space="preserve"> United States District Court Judge Marco A. Hernandez, U.S. District Court for the District of Oregon, held that lawsuit may proceed and Chief as a public official can only succeed as can prove “malice” by those who spoke to FD Board and posted items on social media.  The judge denied Rhonda Melton’s defense motion to immediately dismiss the case under the Oregon “anti-SLAPP” statute (strategic lawsuit against public participation) which is designed to protect public and reporters when commenting on public officials.   In April 2023, Defendant Rhonda Melton prepared and published statements on social media about Plaintiff.  In </w:t>
      </w:r>
      <w:proofErr w:type="gramStart"/>
      <w:r>
        <w:t>May,</w:t>
      </w:r>
      <w:proofErr w:type="gramEnd"/>
      <w:r>
        <w:t xml:space="preserve"> 2023, three new members were elected to the Board, who sought his termination, and in August the Board terminated him. The Court ordered that the lawsuit proceed with pretrial discovery, noting that the Fire Chief as a public official must prove “malice” to sue others for defamation. The Court held”</w:t>
      </w:r>
    </w:p>
    <w:p w14:paraId="26CA5E22" w14:textId="77777777" w:rsidR="00536594" w:rsidRDefault="00536594" w:rsidP="00536594">
      <w:pPr>
        <w:pStyle w:val="NormalWeb"/>
        <w:ind w:left="720"/>
      </w:pPr>
      <w:r>
        <w:t>“Defendant asserts that her statements, both verbal and written, fall under two of the four categories of protected speech in [Oregon anti-SLAPP statute] O.R.S. 31.150(2). Def. Mot. 7-8. The statute protects “[a]</w:t>
      </w:r>
      <w:proofErr w:type="spellStart"/>
      <w:r>
        <w:t>ny</w:t>
      </w:r>
      <w:proofErr w:type="spellEnd"/>
      <w:r>
        <w:t xml:space="preserve"> oral statement made, or written statement or other document presented, in a place open to the public or a public forum in connection with an issue of public interest” and “[a]</w:t>
      </w:r>
      <w:proofErr w:type="spellStart"/>
      <w:r>
        <w:t>ny</w:t>
      </w:r>
      <w:proofErr w:type="spellEnd"/>
      <w:r>
        <w:t xml:space="preserve"> other conduct in furtherance of the exercise of the constitutional right of petition or the constitutional right of free speech in connection with a public issue or an issue of public interest.” O.R.S. 31.150(2)(c) and (d). </w:t>
      </w:r>
      <w:proofErr w:type="gramStart"/>
      <w:r>
        <w:t>Defendant</w:t>
      </w:r>
      <w:proofErr w:type="gramEnd"/>
      <w:r>
        <w:t xml:space="preserve"> made oral statements at CRFR Board meetings and posted written statements on the Columbia County Transparency &amp; Accountability Facebook page. Melton Decl. ¶¶ 2-7, </w:t>
      </w:r>
      <w:proofErr w:type="spellStart"/>
      <w:r>
        <w:t>Exs</w:t>
      </w:r>
      <w:proofErr w:type="spellEnd"/>
      <w:r>
        <w:t xml:space="preserve">. 1-5; Medina Decl. ¶¶ 5, 6, 8, 11; </w:t>
      </w:r>
      <w:proofErr w:type="spellStart"/>
      <w:r>
        <w:t>Exs</w:t>
      </w:r>
      <w:proofErr w:type="spellEnd"/>
      <w:r>
        <w:t xml:space="preserve">. 2, 3, 5, 8. In these statements, Defendant criticized actions Plaintiff took as CRFR Chief and expressed concerns about CRFR leadership. Plaintiff acknowledges that Defendant has met her initial burden to show that her statements were made in a public forum and in connection with an issue of public interest. Pl. Resp. 3, ECF 42. The Court agrees that Defendant has met her initial burden under the anti-SLAPP statute. </w:t>
      </w:r>
    </w:p>
    <w:p w14:paraId="3C8A0AEE" w14:textId="77777777" w:rsidR="00536594" w:rsidRDefault="00536594" w:rsidP="00536594">
      <w:pPr>
        <w:pStyle w:val="NormalWeb"/>
        <w:ind w:left="720"/>
      </w:pPr>
      <w:r>
        <w:t>***</w:t>
      </w:r>
    </w:p>
    <w:p w14:paraId="16D2185E" w14:textId="77777777" w:rsidR="00536594" w:rsidRDefault="00536594" w:rsidP="00536594">
      <w:pPr>
        <w:pStyle w:val="NormalWeb"/>
        <w:shd w:val="clear" w:color="auto" w:fill="FFFFFF"/>
        <w:spacing w:before="0" w:beforeAutospacing="0"/>
        <w:ind w:left="720"/>
      </w:pPr>
      <w:r>
        <w:t xml:space="preserve">However, factual issues preclude a determination of whether Plaintiff is likely to succeed on his claims. The Court therefore concludes that Plaintiff is entitled to </w:t>
      </w:r>
      <w:proofErr w:type="gramStart"/>
      <w:r>
        <w:t>discovery on</w:t>
      </w:r>
      <w:proofErr w:type="gramEnd"/>
      <w:r>
        <w:t xml:space="preserve"> those factual issues.</w:t>
      </w:r>
    </w:p>
    <w:p w14:paraId="14FD81B4" w14:textId="77777777" w:rsidR="00536594" w:rsidRDefault="00536594" w:rsidP="00536594">
      <w:pPr>
        <w:pStyle w:val="NormalWeb"/>
        <w:shd w:val="clear" w:color="auto" w:fill="FFFFFF"/>
        <w:spacing w:before="0" w:beforeAutospacing="0"/>
        <w:ind w:firstLine="720"/>
      </w:pPr>
      <w:r>
        <w:t>***</w:t>
      </w:r>
    </w:p>
    <w:p w14:paraId="5C6588AB" w14:textId="77777777" w:rsidR="00536594" w:rsidRDefault="00536594" w:rsidP="00536594">
      <w:pPr>
        <w:pStyle w:val="NormalWeb"/>
        <w:shd w:val="clear" w:color="auto" w:fill="FFFFFF"/>
        <w:spacing w:before="0" w:beforeAutospacing="0"/>
        <w:ind w:left="720"/>
      </w:pPr>
      <w:r>
        <w:t>To the extent Defendant's statements are actionable under the First Amendment, Plaintiff must be permitted to engage in discovery to determine whether they are true or false. While the purpose of Oregon's anti-SLAPP statute is to avoid extended proceedings on claims that improperly chill free speech, the Court must balance this against Plaintiff's right to fully litigate his claims.</w:t>
      </w:r>
    </w:p>
    <w:p w14:paraId="3E38DD64" w14:textId="77777777" w:rsidR="00536594" w:rsidRDefault="00536594" w:rsidP="00536594">
      <w:pPr>
        <w:pStyle w:val="NormalWeb"/>
        <w:shd w:val="clear" w:color="auto" w:fill="FFFFFF"/>
        <w:spacing w:before="0" w:beforeAutospacing="0"/>
        <w:ind w:left="720"/>
      </w:pPr>
      <w:r>
        <w:t>***</w:t>
      </w:r>
    </w:p>
    <w:p w14:paraId="269213EE" w14:textId="77777777" w:rsidR="00536594" w:rsidRDefault="00536594" w:rsidP="00536594">
      <w:pPr>
        <w:pStyle w:val="NormalWeb"/>
        <w:shd w:val="clear" w:color="auto" w:fill="FFFFFF"/>
        <w:spacing w:before="0" w:beforeAutospacing="0"/>
        <w:ind w:left="720"/>
      </w:pPr>
      <w:r>
        <w:t xml:space="preserve">Plaintiff also acknowledges that because he was a public official at the time Defendant made the statements and they concerned his actions as chief, he must show that Defendant made them with knowledge that they were false or in reckless disregard of whether they were true or false. Pl. Resp. 6 (citing </w:t>
      </w:r>
      <w:r>
        <w:rPr>
          <w:rStyle w:val="Emphasis"/>
          <w:rFonts w:eastAsiaTheme="majorEastAsia"/>
        </w:rPr>
        <w:t>New York Times Co. v. Sullivan</w:t>
      </w:r>
      <w:r>
        <w:t xml:space="preserve">, 376 U.S. 254, 279-80 (1964)).”  </w:t>
      </w:r>
      <w:hyperlink r:id="rId2696" w:history="1">
        <w:r w:rsidRPr="00DF21B2">
          <w:rPr>
            <w:rStyle w:val="Hyperlink"/>
          </w:rPr>
          <w:t>https://casetext.com/case/medina-v-columbia-river-fire-rescue</w:t>
        </w:r>
      </w:hyperlink>
      <w:r>
        <w:t xml:space="preserve"> </w:t>
      </w:r>
    </w:p>
    <w:p w14:paraId="6A4450C9" w14:textId="77777777" w:rsidR="00BB3D8E" w:rsidRDefault="00BB3D8E" w:rsidP="00BB3D8E">
      <w:pPr>
        <w:pStyle w:val="NormalWeb"/>
        <w:rPr>
          <w:b/>
          <w:bCs/>
        </w:rPr>
      </w:pPr>
      <w:r w:rsidRPr="00354274">
        <w:rPr>
          <w:b/>
          <w:bCs/>
        </w:rPr>
        <w:t xml:space="preserve">Legal Lesson Learned: </w:t>
      </w:r>
      <w:r>
        <w:rPr>
          <w:b/>
          <w:bCs/>
        </w:rPr>
        <w:t>The former Fire Chief has an uphill challenge – he must prove “malice” and FD Board members and others also have the “anti-SLAPP” statute as a defense.</w:t>
      </w:r>
    </w:p>
    <w:p w14:paraId="59DC1585" w14:textId="77777777" w:rsidR="00BB3D8E" w:rsidRPr="007879D8" w:rsidRDefault="00BB3D8E" w:rsidP="00BB3D8E">
      <w:pPr>
        <w:pStyle w:val="NormalWeb"/>
        <w:ind w:left="720"/>
      </w:pPr>
      <w:r w:rsidRPr="007879D8">
        <w:t>Note:</w:t>
      </w:r>
      <w:r>
        <w:t xml:space="preserve"> See “Reporters Committee </w:t>
      </w:r>
      <w:proofErr w:type="gramStart"/>
      <w:r>
        <w:t>For</w:t>
      </w:r>
      <w:proofErr w:type="gramEnd"/>
      <w:r>
        <w:t xml:space="preserve"> Predom of the Press – Anti-SLAPP Legal Guide.” </w:t>
      </w:r>
      <w:hyperlink r:id="rId2697" w:history="1">
        <w:r w:rsidRPr="00DF21B2">
          <w:rPr>
            <w:rStyle w:val="Hyperlink"/>
          </w:rPr>
          <w:t>https://www.rcfp.org/anti-slapp-legal-guide/</w:t>
        </w:r>
      </w:hyperlink>
      <w:r>
        <w:t xml:space="preserve"> </w:t>
      </w:r>
    </w:p>
    <w:p w14:paraId="6B327BBC" w14:textId="77777777" w:rsidR="00BB3D8E" w:rsidRDefault="00BB3D8E" w:rsidP="00BB3D8E">
      <w:pPr>
        <w:pStyle w:val="NormalWeb"/>
        <w:ind w:left="1440"/>
      </w:pPr>
      <w:r>
        <w:t>“Anti-SLAPP laws provide defendants a way to quickly dismiss meritless lawsuits — known as SLAPPs or strategic lawsuits against public participation — filed against them for exercising speech, press, assembly, petition, or association rights. These laws aim to discourage the filing of SLAPP suits and prevent them from imposing significant litigation costs and chilling protected speech. In recent years, several states have adopted or amended their anti-SLAPP laws. As of May 2024, 34 states and the District of Columbia have anti-SLAPP laws, including Arizona, Arkansas, California, Colorado, Connecticut, Delaware, Florida, Georgia, Hawaii, Illinois, Indiana, Kansas, Kentucky, Louisiana, Maine, Maryland, Massachusetts, Minnesota, Missouri, Nebraska, Nevada, New Jersey, New Mexico, New York, Oklahoma, Oregon, Pennsylvania, Rhode Island, Tennessee, Texas, Utah, Vermont, Virginia, and Washington.”</w:t>
      </w:r>
    </w:p>
    <w:p w14:paraId="6A0830A2" w14:textId="77777777" w:rsidR="00536594" w:rsidRDefault="00536594" w:rsidP="00F91F9F">
      <w:pPr>
        <w:pStyle w:val="NoSpacing"/>
        <w:rPr>
          <w:rFonts w:ascii="Arial Black" w:hAnsi="Arial Black"/>
          <w:sz w:val="24"/>
          <w:szCs w:val="24"/>
        </w:rPr>
      </w:pPr>
    </w:p>
    <w:p w14:paraId="10143062" w14:textId="77777777" w:rsidR="00B55AFC" w:rsidRDefault="00B55AFC" w:rsidP="00F91F9F">
      <w:pPr>
        <w:pStyle w:val="NoSpacing"/>
        <w:rPr>
          <w:rFonts w:ascii="Arial Black" w:hAnsi="Arial Black"/>
          <w:sz w:val="24"/>
          <w:szCs w:val="24"/>
        </w:rPr>
      </w:pPr>
    </w:p>
    <w:p w14:paraId="5FCFCBF7" w14:textId="77777777" w:rsidR="00B55AFC" w:rsidRDefault="00B55AFC" w:rsidP="00F91F9F">
      <w:pPr>
        <w:pStyle w:val="NoSpacing"/>
        <w:rPr>
          <w:rFonts w:ascii="Arial Black" w:hAnsi="Arial Black"/>
          <w:sz w:val="24"/>
          <w:szCs w:val="24"/>
        </w:rPr>
      </w:pPr>
    </w:p>
    <w:p w14:paraId="69C00C79" w14:textId="7190EC8D" w:rsidR="00F91F9F" w:rsidRDefault="00F91F9F" w:rsidP="00F91F9F">
      <w:pPr>
        <w:pStyle w:val="NoSpacing"/>
        <w:rPr>
          <w:rFonts w:ascii="Arial Black" w:hAnsi="Arial Black"/>
          <w:sz w:val="24"/>
          <w:szCs w:val="24"/>
        </w:rPr>
      </w:pPr>
      <w:r>
        <w:rPr>
          <w:rFonts w:ascii="Arial Black" w:hAnsi="Arial Black"/>
          <w:sz w:val="24"/>
          <w:szCs w:val="24"/>
        </w:rPr>
        <w:t>16-109</w:t>
      </w:r>
    </w:p>
    <w:p w14:paraId="3FC639D7" w14:textId="77777777" w:rsidR="001D190A" w:rsidRDefault="001D190A" w:rsidP="00F326E5">
      <w:pPr>
        <w:pStyle w:val="NoSpacing"/>
        <w:rPr>
          <w:rFonts w:ascii="Arial Black" w:hAnsi="Arial Black"/>
          <w:sz w:val="24"/>
          <w:szCs w:val="24"/>
        </w:rPr>
      </w:pPr>
    </w:p>
    <w:p w14:paraId="4A3F40C7" w14:textId="77777777" w:rsidR="00F91F9F" w:rsidRPr="00E670DB" w:rsidRDefault="00F91F9F" w:rsidP="00F91F9F">
      <w:pPr>
        <w:pStyle w:val="NormalWeb"/>
        <w:spacing w:before="0" w:beforeAutospacing="0"/>
        <w:rPr>
          <w:rFonts w:ascii="Arial Black" w:hAnsi="Arial Black"/>
          <w:sz w:val="28"/>
          <w:szCs w:val="28"/>
        </w:rPr>
      </w:pPr>
      <w:r>
        <w:rPr>
          <w:rFonts w:ascii="Arial Black" w:hAnsi="Arial Black"/>
          <w:sz w:val="28"/>
          <w:szCs w:val="28"/>
        </w:rPr>
        <w:t>IL: FF PLED GUILTY – SEX 17-YR OLD FD CADET – AFTER RETIRED HIS PENSION WAS REVOKED - 5 YRS LATER</w:t>
      </w:r>
    </w:p>
    <w:p w14:paraId="77A4F6EB"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 xml:space="preserve">On March 20, 2024, in </w:t>
      </w:r>
      <w:r w:rsidRPr="00B524D0">
        <w:rPr>
          <w:rFonts w:ascii="Times New Roman" w:hAnsi="Times New Roman"/>
          <w:sz w:val="24"/>
          <w:szCs w:val="24"/>
          <w:u w:val="single"/>
        </w:rPr>
        <w:t>John Trapp v. City of Burbank Firefighters’ Pension Fund, et al</w:t>
      </w:r>
      <w:r>
        <w:rPr>
          <w:rFonts w:ascii="Times New Roman" w:hAnsi="Times New Roman"/>
          <w:sz w:val="24"/>
          <w:szCs w:val="24"/>
        </w:rPr>
        <w:t xml:space="preserve">., the Appellate Court of Illinois, First Judicial District, held (3 to 0) that the Pension Board and trial court judge properly held that the firefighter, who had sex with a </w:t>
      </w:r>
      <w:proofErr w:type="gramStart"/>
      <w:r>
        <w:rPr>
          <w:rFonts w:ascii="Times New Roman" w:hAnsi="Times New Roman"/>
          <w:sz w:val="24"/>
          <w:szCs w:val="24"/>
        </w:rPr>
        <w:t>17 year-old</w:t>
      </w:r>
      <w:proofErr w:type="gramEnd"/>
      <w:r>
        <w:rPr>
          <w:rFonts w:ascii="Times New Roman" w:hAnsi="Times New Roman"/>
          <w:sz w:val="24"/>
          <w:szCs w:val="24"/>
        </w:rPr>
        <w:t xml:space="preserve">-cadet when he was still employed as a firefighter, can lose his pension five years after he retired. </w:t>
      </w:r>
    </w:p>
    <w:p w14:paraId="3A9FDCBC" w14:textId="77777777" w:rsidR="00744AE5" w:rsidRDefault="00744AE5" w:rsidP="00744AE5">
      <w:pPr>
        <w:pStyle w:val="NoSpacing"/>
        <w:rPr>
          <w:rFonts w:ascii="Times New Roman" w:hAnsi="Times New Roman"/>
          <w:sz w:val="24"/>
          <w:szCs w:val="24"/>
          <w:shd w:val="clear" w:color="auto" w:fill="FFFFFF"/>
        </w:rPr>
      </w:pPr>
    </w:p>
    <w:p w14:paraId="0B8E65DE" w14:textId="6891C0D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B19102C" w14:textId="77777777" w:rsidR="00744AE5" w:rsidRDefault="00744AE5" w:rsidP="00F91F9F">
      <w:pPr>
        <w:pStyle w:val="NoSpacing"/>
        <w:rPr>
          <w:rFonts w:ascii="Times New Roman" w:hAnsi="Times New Roman"/>
          <w:sz w:val="24"/>
          <w:szCs w:val="24"/>
        </w:rPr>
      </w:pPr>
    </w:p>
    <w:p w14:paraId="67A09DF9"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r w:rsidRPr="000B2A57">
        <w:rPr>
          <w:rFonts w:ascii="Times New Roman" w:hAnsi="Times New Roman"/>
          <w:sz w:val="24"/>
          <w:szCs w:val="24"/>
        </w:rPr>
        <w:t xml:space="preserve">Section 4-138 of the Code provides as follows: </w:t>
      </w:r>
      <w:r>
        <w:rPr>
          <w:rFonts w:ascii="Times New Roman" w:hAnsi="Times New Roman"/>
          <w:sz w:val="24"/>
          <w:szCs w:val="24"/>
        </w:rPr>
        <w:t>‘</w:t>
      </w:r>
      <w:r w:rsidRPr="000B2A57">
        <w:rPr>
          <w:rFonts w:ascii="Times New Roman" w:hAnsi="Times New Roman"/>
          <w:sz w:val="24"/>
          <w:szCs w:val="24"/>
        </w:rPr>
        <w:t>None of the benefits provided under this</w:t>
      </w:r>
      <w:r>
        <w:rPr>
          <w:rFonts w:ascii="Times New Roman" w:hAnsi="Times New Roman"/>
          <w:sz w:val="24"/>
          <w:szCs w:val="24"/>
        </w:rPr>
        <w:t xml:space="preserve"> </w:t>
      </w:r>
      <w:r w:rsidRPr="000B2A57">
        <w:rPr>
          <w:rFonts w:ascii="Times New Roman" w:hAnsi="Times New Roman"/>
          <w:sz w:val="24"/>
          <w:szCs w:val="24"/>
        </w:rPr>
        <w:t>Article shall be paid to any person who is convicted of any felony relating to or arising out of or</w:t>
      </w:r>
      <w:r>
        <w:rPr>
          <w:rFonts w:ascii="Times New Roman" w:hAnsi="Times New Roman"/>
          <w:sz w:val="24"/>
          <w:szCs w:val="24"/>
        </w:rPr>
        <w:t xml:space="preserve"> </w:t>
      </w:r>
      <w:r w:rsidRPr="000B2A57">
        <w:rPr>
          <w:rFonts w:ascii="Times New Roman" w:hAnsi="Times New Roman"/>
          <w:sz w:val="24"/>
          <w:szCs w:val="24"/>
        </w:rPr>
        <w:t>in connection with service as a firefighter.</w:t>
      </w:r>
      <w:r>
        <w:rPr>
          <w:rFonts w:ascii="Times New Roman" w:hAnsi="Times New Roman"/>
          <w:sz w:val="24"/>
          <w:szCs w:val="24"/>
        </w:rPr>
        <w:t>’</w:t>
      </w:r>
      <w:r w:rsidRPr="000B2A57">
        <w:rPr>
          <w:rFonts w:ascii="Times New Roman" w:hAnsi="Times New Roman"/>
          <w:sz w:val="24"/>
          <w:szCs w:val="24"/>
        </w:rPr>
        <w:t xml:space="preserve"> 40 ILCS 5/4-138 (West 2022).</w:t>
      </w:r>
    </w:p>
    <w:p w14:paraId="17D94535" w14:textId="77777777" w:rsidR="00F91F9F" w:rsidRDefault="00F91F9F" w:rsidP="00F91F9F">
      <w:pPr>
        <w:pStyle w:val="NoSpacing"/>
        <w:ind w:left="720"/>
        <w:rPr>
          <w:rFonts w:ascii="Times New Roman" w:hAnsi="Times New Roman"/>
          <w:sz w:val="24"/>
          <w:szCs w:val="24"/>
        </w:rPr>
      </w:pPr>
    </w:p>
    <w:p w14:paraId="0540BD60"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p>
    <w:p w14:paraId="1FADCB6B"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ab/>
      </w:r>
    </w:p>
    <w:p w14:paraId="69617C8B" w14:textId="77777777" w:rsidR="00F91F9F" w:rsidRPr="000307C4" w:rsidRDefault="00F91F9F" w:rsidP="00F91F9F">
      <w:pPr>
        <w:pStyle w:val="NoSpacing"/>
        <w:ind w:firstLine="720"/>
        <w:rPr>
          <w:rFonts w:ascii="Times New Roman" w:hAnsi="Times New Roman"/>
          <w:sz w:val="24"/>
          <w:szCs w:val="24"/>
        </w:rPr>
      </w:pPr>
      <w:r w:rsidRPr="000307C4">
        <w:rPr>
          <w:rFonts w:ascii="Times New Roman" w:hAnsi="Times New Roman"/>
          <w:sz w:val="24"/>
          <w:szCs w:val="24"/>
        </w:rPr>
        <w:t>Here, plaintiff was plainly ineligible for a pension benefit under the terms of section</w:t>
      </w:r>
    </w:p>
    <w:p w14:paraId="5BF3D4EF" w14:textId="77777777" w:rsidR="00F91F9F" w:rsidRDefault="00F91F9F" w:rsidP="00F91F9F">
      <w:pPr>
        <w:pStyle w:val="NoSpacing"/>
        <w:ind w:left="720"/>
        <w:rPr>
          <w:rFonts w:ascii="Times New Roman" w:hAnsi="Times New Roman"/>
          <w:sz w:val="24"/>
          <w:szCs w:val="24"/>
        </w:rPr>
      </w:pPr>
      <w:r w:rsidRPr="000307C4">
        <w:rPr>
          <w:rFonts w:ascii="Times New Roman" w:hAnsi="Times New Roman"/>
          <w:sz w:val="24"/>
          <w:szCs w:val="24"/>
        </w:rPr>
        <w:t>4-138. The Board was therefore required by statute to divest plaintiff of his pension award because</w:t>
      </w:r>
      <w:r>
        <w:rPr>
          <w:rFonts w:ascii="Times New Roman" w:hAnsi="Times New Roman"/>
          <w:sz w:val="24"/>
          <w:szCs w:val="24"/>
        </w:rPr>
        <w:t xml:space="preserve"> </w:t>
      </w:r>
      <w:r w:rsidRPr="000307C4">
        <w:rPr>
          <w:rFonts w:ascii="Times New Roman" w:hAnsi="Times New Roman"/>
          <w:sz w:val="24"/>
          <w:szCs w:val="24"/>
        </w:rPr>
        <w:t>it no longer had the power to pay that money pursuant to section 4-138.</w:t>
      </w:r>
    </w:p>
    <w:p w14:paraId="343CB901" w14:textId="77777777" w:rsidR="00F91F9F" w:rsidRDefault="00F91F9F" w:rsidP="00F91F9F">
      <w:pPr>
        <w:pStyle w:val="NoSpacing"/>
        <w:ind w:left="720"/>
        <w:rPr>
          <w:rFonts w:ascii="Times New Roman" w:hAnsi="Times New Roman"/>
          <w:sz w:val="24"/>
          <w:szCs w:val="24"/>
        </w:rPr>
      </w:pPr>
    </w:p>
    <w:p w14:paraId="18922F96" w14:textId="77777777" w:rsidR="00F91F9F" w:rsidRPr="00642077" w:rsidRDefault="00F91F9F" w:rsidP="00F91F9F">
      <w:pPr>
        <w:pStyle w:val="NoSpacing"/>
        <w:ind w:firstLine="720"/>
        <w:rPr>
          <w:rFonts w:ascii="Times New Roman" w:hAnsi="Times New Roman"/>
          <w:sz w:val="24"/>
          <w:szCs w:val="24"/>
        </w:rPr>
      </w:pPr>
      <w:r w:rsidRPr="00642077">
        <w:rPr>
          <w:rFonts w:ascii="Times New Roman" w:hAnsi="Times New Roman"/>
          <w:sz w:val="24"/>
          <w:szCs w:val="24"/>
        </w:rPr>
        <w:t xml:space="preserve">Nonetheless, plaintiff argues </w:t>
      </w:r>
      <w:proofErr w:type="gramStart"/>
      <w:r w:rsidRPr="00642077">
        <w:rPr>
          <w:rFonts w:ascii="Times New Roman" w:hAnsi="Times New Roman"/>
          <w:sz w:val="24"/>
          <w:szCs w:val="24"/>
        </w:rPr>
        <w:t>that,</w:t>
      </w:r>
      <w:proofErr w:type="gramEnd"/>
      <w:r w:rsidRPr="00642077">
        <w:rPr>
          <w:rFonts w:ascii="Times New Roman" w:hAnsi="Times New Roman"/>
          <w:sz w:val="24"/>
          <w:szCs w:val="24"/>
        </w:rPr>
        <w:t xml:space="preserve"> at the time the Board granted his pension benefit</w:t>
      </w:r>
    </w:p>
    <w:p w14:paraId="3B384743" w14:textId="77777777" w:rsidR="00F91F9F" w:rsidRPr="00642077" w:rsidRDefault="00F91F9F" w:rsidP="00F91F9F">
      <w:pPr>
        <w:pStyle w:val="NoSpacing"/>
        <w:ind w:left="720"/>
        <w:rPr>
          <w:rFonts w:ascii="Times New Roman" w:hAnsi="Times New Roman"/>
          <w:sz w:val="24"/>
          <w:szCs w:val="24"/>
        </w:rPr>
      </w:pPr>
      <w:r w:rsidRPr="00642077">
        <w:rPr>
          <w:rFonts w:ascii="Times New Roman" w:hAnsi="Times New Roman"/>
          <w:sz w:val="24"/>
          <w:szCs w:val="24"/>
        </w:rPr>
        <w:t xml:space="preserve">application, it knew of the </w:t>
      </w:r>
      <w:r>
        <w:rPr>
          <w:rFonts w:ascii="Times New Roman" w:hAnsi="Times New Roman"/>
          <w:sz w:val="24"/>
          <w:szCs w:val="24"/>
        </w:rPr>
        <w:t>‘</w:t>
      </w:r>
      <w:r w:rsidRPr="00642077">
        <w:rPr>
          <w:rFonts w:ascii="Times New Roman" w:hAnsi="Times New Roman"/>
          <w:sz w:val="24"/>
          <w:szCs w:val="24"/>
        </w:rPr>
        <w:t>underlying facts of the allegations against [him]</w:t>
      </w:r>
      <w:r>
        <w:rPr>
          <w:rFonts w:ascii="Times New Roman" w:hAnsi="Times New Roman"/>
          <w:sz w:val="24"/>
          <w:szCs w:val="24"/>
        </w:rPr>
        <w:t>’</w:t>
      </w:r>
      <w:r w:rsidRPr="00642077">
        <w:rPr>
          <w:rFonts w:ascii="Times New Roman" w:hAnsi="Times New Roman"/>
          <w:sz w:val="24"/>
          <w:szCs w:val="24"/>
        </w:rPr>
        <w:t xml:space="preserve"> but failed to retain</w:t>
      </w:r>
      <w:r>
        <w:rPr>
          <w:rFonts w:ascii="Times New Roman" w:hAnsi="Times New Roman"/>
          <w:sz w:val="24"/>
          <w:szCs w:val="24"/>
        </w:rPr>
        <w:t xml:space="preserve"> </w:t>
      </w:r>
      <w:r w:rsidRPr="00642077">
        <w:rPr>
          <w:rFonts w:ascii="Times New Roman" w:hAnsi="Times New Roman"/>
          <w:sz w:val="24"/>
          <w:szCs w:val="24"/>
        </w:rPr>
        <w:t>jurisdiction</w:t>
      </w:r>
      <w:r>
        <w:rPr>
          <w:rFonts w:ascii="Times New Roman" w:hAnsi="Times New Roman"/>
          <w:sz w:val="24"/>
          <w:szCs w:val="24"/>
        </w:rPr>
        <w:t>’</w:t>
      </w:r>
      <w:r w:rsidRPr="00642077">
        <w:rPr>
          <w:rFonts w:ascii="Times New Roman" w:hAnsi="Times New Roman"/>
          <w:sz w:val="24"/>
          <w:szCs w:val="24"/>
        </w:rPr>
        <w:t xml:space="preserve"> pending the outcome of the investigation. Plaintiff then concludes that the Board’s</w:t>
      </w:r>
      <w:r>
        <w:rPr>
          <w:rFonts w:ascii="Times New Roman" w:hAnsi="Times New Roman"/>
          <w:sz w:val="24"/>
          <w:szCs w:val="24"/>
        </w:rPr>
        <w:t xml:space="preserve"> </w:t>
      </w:r>
      <w:r w:rsidRPr="00642077">
        <w:rPr>
          <w:rFonts w:ascii="Times New Roman" w:hAnsi="Times New Roman"/>
          <w:sz w:val="24"/>
          <w:szCs w:val="24"/>
        </w:rPr>
        <w:t xml:space="preserve">failure to do so deprived it of jurisdiction to </w:t>
      </w:r>
      <w:r>
        <w:rPr>
          <w:rFonts w:ascii="Times New Roman" w:hAnsi="Times New Roman"/>
          <w:sz w:val="24"/>
          <w:szCs w:val="24"/>
        </w:rPr>
        <w:t>‘</w:t>
      </w:r>
      <w:r w:rsidRPr="00642077">
        <w:rPr>
          <w:rFonts w:ascii="Times New Roman" w:hAnsi="Times New Roman"/>
          <w:sz w:val="24"/>
          <w:szCs w:val="24"/>
        </w:rPr>
        <w:t>review *** and reverse its September 12, 2017,</w:t>
      </w:r>
      <w:r>
        <w:rPr>
          <w:rFonts w:ascii="Times New Roman" w:hAnsi="Times New Roman"/>
          <w:sz w:val="24"/>
          <w:szCs w:val="24"/>
        </w:rPr>
        <w:t xml:space="preserve"> </w:t>
      </w:r>
      <w:r w:rsidRPr="00642077">
        <w:rPr>
          <w:rFonts w:ascii="Times New Roman" w:hAnsi="Times New Roman"/>
          <w:sz w:val="24"/>
          <w:szCs w:val="24"/>
        </w:rPr>
        <w:t>administrative decision.</w:t>
      </w:r>
      <w:r>
        <w:rPr>
          <w:rFonts w:ascii="Times New Roman" w:hAnsi="Times New Roman"/>
          <w:sz w:val="24"/>
          <w:szCs w:val="24"/>
        </w:rPr>
        <w:t>’</w:t>
      </w:r>
      <w:r w:rsidRPr="00642077">
        <w:rPr>
          <w:rFonts w:ascii="Times New Roman" w:hAnsi="Times New Roman"/>
          <w:sz w:val="24"/>
          <w:szCs w:val="24"/>
        </w:rPr>
        <w:t xml:space="preserve"> As noted above, the Board’s September 2022 decision was the result of</w:t>
      </w:r>
      <w:r>
        <w:rPr>
          <w:rFonts w:ascii="Times New Roman" w:hAnsi="Times New Roman"/>
          <w:sz w:val="24"/>
          <w:szCs w:val="24"/>
        </w:rPr>
        <w:t xml:space="preserve"> </w:t>
      </w:r>
      <w:r w:rsidRPr="00642077">
        <w:rPr>
          <w:rFonts w:ascii="Times New Roman" w:hAnsi="Times New Roman"/>
          <w:sz w:val="24"/>
          <w:szCs w:val="24"/>
        </w:rPr>
        <w:t>a new action, not a reversal of its September 2017 decision. Moreover, plaintiff’s suggestion that</w:t>
      </w:r>
      <w:r>
        <w:rPr>
          <w:rFonts w:ascii="Times New Roman" w:hAnsi="Times New Roman"/>
          <w:sz w:val="24"/>
          <w:szCs w:val="24"/>
        </w:rPr>
        <w:t xml:space="preserve"> </w:t>
      </w:r>
      <w:r w:rsidRPr="00642077">
        <w:rPr>
          <w:rFonts w:ascii="Times New Roman" w:hAnsi="Times New Roman"/>
          <w:sz w:val="24"/>
          <w:szCs w:val="24"/>
        </w:rPr>
        <w:t>the Board retain jurisdiction to enable it to divest a member of his award following a duty-related</w:t>
      </w:r>
      <w:r>
        <w:rPr>
          <w:rFonts w:ascii="Times New Roman" w:hAnsi="Times New Roman"/>
          <w:sz w:val="24"/>
          <w:szCs w:val="24"/>
        </w:rPr>
        <w:t xml:space="preserve"> </w:t>
      </w:r>
      <w:r w:rsidRPr="00642077">
        <w:rPr>
          <w:rFonts w:ascii="Times New Roman" w:hAnsi="Times New Roman"/>
          <w:sz w:val="24"/>
          <w:szCs w:val="24"/>
        </w:rPr>
        <w:t>felony conviction would require the Board to retain jurisdiction in every granting of a member’s</w:t>
      </w:r>
      <w:r>
        <w:rPr>
          <w:rFonts w:ascii="Times New Roman" w:hAnsi="Times New Roman"/>
          <w:sz w:val="24"/>
          <w:szCs w:val="24"/>
        </w:rPr>
        <w:t xml:space="preserve"> </w:t>
      </w:r>
      <w:r w:rsidRPr="00642077">
        <w:rPr>
          <w:rFonts w:ascii="Times New Roman" w:hAnsi="Times New Roman"/>
          <w:sz w:val="24"/>
          <w:szCs w:val="24"/>
        </w:rPr>
        <w:t>application for a pension benefit. Plaintiff provides no indication—and we have found none—that</w:t>
      </w:r>
      <w:r>
        <w:rPr>
          <w:rFonts w:ascii="Times New Roman" w:hAnsi="Times New Roman"/>
          <w:sz w:val="24"/>
          <w:szCs w:val="24"/>
        </w:rPr>
        <w:t xml:space="preserve"> </w:t>
      </w:r>
      <w:r w:rsidRPr="00642077">
        <w:rPr>
          <w:rFonts w:ascii="Times New Roman" w:hAnsi="Times New Roman"/>
          <w:sz w:val="24"/>
          <w:szCs w:val="24"/>
        </w:rPr>
        <w:t>the legislature intended such an absurdity.</w:t>
      </w:r>
      <w:r>
        <w:rPr>
          <w:rFonts w:ascii="Times New Roman" w:hAnsi="Times New Roman"/>
          <w:sz w:val="24"/>
          <w:szCs w:val="24"/>
        </w:rPr>
        <w:t xml:space="preserve">”  </w:t>
      </w:r>
      <w:hyperlink r:id="rId2698" w:history="1">
        <w:r w:rsidRPr="0090046C">
          <w:rPr>
            <w:rStyle w:val="Hyperlink"/>
            <w:rFonts w:ascii="Times New Roman" w:hAnsi="Times New Roman"/>
            <w:sz w:val="24"/>
            <w:szCs w:val="24"/>
          </w:rPr>
          <w:t>https://ilcourtsaudio.blob.core.windows.net/antilles-resources/resources/3038c42d-d9bb-4837-b172-ba33498af3cf/Trapp%20v.%20City%20of%20Burbank%20Firefighters'%20Pension%20Fund,%202024%20IL%20App%20(1st)%20231311-U.pdf</w:t>
        </w:r>
      </w:hyperlink>
      <w:r>
        <w:rPr>
          <w:rFonts w:ascii="Times New Roman" w:hAnsi="Times New Roman"/>
          <w:sz w:val="24"/>
          <w:szCs w:val="24"/>
        </w:rPr>
        <w:t xml:space="preserve"> </w:t>
      </w:r>
    </w:p>
    <w:p w14:paraId="7912B0E6" w14:textId="77777777" w:rsidR="00F91F9F" w:rsidRDefault="00F91F9F" w:rsidP="00F91F9F">
      <w:pPr>
        <w:pStyle w:val="NoSpacing"/>
        <w:rPr>
          <w:rFonts w:ascii="Times New Roman" w:hAnsi="Times New Roman"/>
          <w:sz w:val="24"/>
          <w:szCs w:val="24"/>
        </w:rPr>
      </w:pPr>
    </w:p>
    <w:p w14:paraId="4372954F" w14:textId="77777777" w:rsidR="00F91F9F" w:rsidRDefault="00F91F9F" w:rsidP="00F91F9F">
      <w:pPr>
        <w:pStyle w:val="NoSpacing"/>
        <w:ind w:left="720"/>
        <w:rPr>
          <w:rFonts w:ascii="Times New Roman" w:hAnsi="Times New Roman"/>
          <w:sz w:val="24"/>
          <w:szCs w:val="24"/>
        </w:rPr>
      </w:pPr>
    </w:p>
    <w:p w14:paraId="1DD6C195" w14:textId="77777777" w:rsidR="00F91F9F" w:rsidRPr="00A63E2B" w:rsidRDefault="00F91F9F" w:rsidP="00F91F9F">
      <w:pPr>
        <w:pStyle w:val="NoSpacing"/>
        <w:rPr>
          <w:rFonts w:ascii="Times New Roman" w:hAnsi="Times New Roman"/>
          <w:b/>
          <w:bCs/>
          <w:sz w:val="24"/>
          <w:szCs w:val="24"/>
        </w:rPr>
      </w:pPr>
      <w:r>
        <w:rPr>
          <w:rFonts w:ascii="Times New Roman" w:hAnsi="Times New Roman"/>
          <w:b/>
          <w:bCs/>
          <w:sz w:val="24"/>
          <w:szCs w:val="24"/>
        </w:rPr>
        <w:t xml:space="preserve">Legal Lesson Learned: A service-connected felony led to forfeiture of his pension; wonder why it took 5 years.  </w:t>
      </w:r>
    </w:p>
    <w:p w14:paraId="52CD285A" w14:textId="77777777" w:rsidR="00F91F9F" w:rsidRDefault="00F91F9F" w:rsidP="00F91F9F">
      <w:pPr>
        <w:pStyle w:val="NormalWeb"/>
        <w:spacing w:before="0" w:beforeAutospacing="0"/>
        <w:jc w:val="center"/>
      </w:pPr>
    </w:p>
    <w:p w14:paraId="2391D984" w14:textId="77777777" w:rsidR="00F91F9F" w:rsidRDefault="00F91F9F" w:rsidP="00F91F9F">
      <w:pPr>
        <w:pStyle w:val="NormalWeb"/>
        <w:spacing w:before="0" w:beforeAutospacing="0"/>
      </w:pPr>
    </w:p>
    <w:p w14:paraId="70BE8FFD" w14:textId="52177A6A" w:rsidR="00F91F9F" w:rsidRDefault="00F91F9F" w:rsidP="00F91F9F">
      <w:pPr>
        <w:pStyle w:val="NoSpacing"/>
        <w:rPr>
          <w:rFonts w:ascii="Arial Black" w:hAnsi="Arial Black"/>
          <w:sz w:val="24"/>
          <w:szCs w:val="24"/>
        </w:rPr>
      </w:pPr>
      <w:r>
        <w:rPr>
          <w:rFonts w:ascii="Arial Black" w:hAnsi="Arial Black"/>
          <w:sz w:val="24"/>
          <w:szCs w:val="24"/>
        </w:rPr>
        <w:t>16-108</w:t>
      </w:r>
    </w:p>
    <w:p w14:paraId="4D70B4C4" w14:textId="77777777" w:rsidR="00F91F9F" w:rsidRPr="002D1156" w:rsidRDefault="00F91F9F" w:rsidP="00F91F9F">
      <w:pPr>
        <w:pStyle w:val="NoSpacing"/>
        <w:rPr>
          <w:rFonts w:ascii="Times New Roman" w:hAnsi="Times New Roman"/>
          <w:color w:val="454545"/>
          <w:sz w:val="24"/>
          <w:szCs w:val="24"/>
        </w:rPr>
      </w:pPr>
    </w:p>
    <w:p w14:paraId="0C7BBDD4" w14:textId="77777777" w:rsidR="00F91F9F" w:rsidRDefault="00F91F9F" w:rsidP="00F91F9F">
      <w:pPr>
        <w:spacing w:before="100" w:beforeAutospacing="1" w:after="100" w:afterAutospacing="1" w:line="240" w:lineRule="auto"/>
        <w:rPr>
          <w:rFonts w:ascii="Arial Black" w:hAnsi="Arial Black"/>
          <w:sz w:val="28"/>
          <w:szCs w:val="28"/>
        </w:rPr>
      </w:pPr>
      <w:r>
        <w:rPr>
          <w:rFonts w:ascii="Arial Black" w:hAnsi="Arial Black"/>
          <w:sz w:val="28"/>
          <w:szCs w:val="28"/>
        </w:rPr>
        <w:t>WI: VOL. FF FIRED AFTER COMPLAINED ABOUT HOW PD QUESTIONED HIM - “WHISTLEBLOWER” CASE PROCEED</w:t>
      </w:r>
    </w:p>
    <w:p w14:paraId="022E131C" w14:textId="77777777" w:rsidR="00F91F9F" w:rsidRDefault="00F91F9F" w:rsidP="00F91F9F">
      <w:pPr>
        <w:spacing w:before="100" w:beforeAutospacing="1" w:after="100" w:afterAutospacing="1" w:line="240" w:lineRule="auto"/>
        <w:rPr>
          <w:rFonts w:ascii="Times New Roman" w:hAnsi="Times New Roman"/>
          <w:sz w:val="24"/>
          <w:szCs w:val="24"/>
        </w:rPr>
      </w:pPr>
      <w:r w:rsidRPr="0018036B">
        <w:rPr>
          <w:rFonts w:ascii="Times New Roman" w:hAnsi="Times New Roman"/>
          <w:sz w:val="24"/>
          <w:szCs w:val="24"/>
        </w:rPr>
        <w:t xml:space="preserve">On March 22, 2024, in </w:t>
      </w:r>
      <w:r w:rsidRPr="0018036B">
        <w:rPr>
          <w:rFonts w:ascii="Times New Roman" w:hAnsi="Times New Roman"/>
          <w:sz w:val="24"/>
          <w:szCs w:val="24"/>
          <w:u w:val="single"/>
        </w:rPr>
        <w:t xml:space="preserve">Matthew Donahue v. Village of </w:t>
      </w:r>
      <w:proofErr w:type="spellStart"/>
      <w:r w:rsidRPr="0018036B">
        <w:rPr>
          <w:rFonts w:ascii="Times New Roman" w:hAnsi="Times New Roman"/>
          <w:sz w:val="24"/>
          <w:szCs w:val="24"/>
          <w:u w:val="single"/>
        </w:rPr>
        <w:t>Elm</w:t>
      </w:r>
      <w:proofErr w:type="spellEnd"/>
      <w:r w:rsidRPr="0018036B">
        <w:rPr>
          <w:rFonts w:ascii="Times New Roman" w:hAnsi="Times New Roman"/>
          <w:sz w:val="24"/>
          <w:szCs w:val="24"/>
          <w:u w:val="single"/>
        </w:rPr>
        <w:t xml:space="preserve"> Grove, et al</w:t>
      </w:r>
      <w:r w:rsidRPr="0018036B">
        <w:rPr>
          <w:rFonts w:ascii="Times New Roman" w:hAnsi="Times New Roman"/>
          <w:sz w:val="24"/>
          <w:szCs w:val="24"/>
        </w:rPr>
        <w:t xml:space="preserve">., United States District Court Chief Judge Pamela Pepper, U.S. District Court for Eastern District of Wisconsin, held the volunteer’s claim </w:t>
      </w:r>
      <w:r>
        <w:rPr>
          <w:rFonts w:ascii="Times New Roman" w:hAnsi="Times New Roman"/>
          <w:sz w:val="24"/>
          <w:szCs w:val="24"/>
        </w:rPr>
        <w:t xml:space="preserve">of retaliation </w:t>
      </w:r>
      <w:r w:rsidRPr="0018036B">
        <w:rPr>
          <w:rFonts w:ascii="Times New Roman" w:hAnsi="Times New Roman"/>
          <w:sz w:val="24"/>
          <w:szCs w:val="24"/>
        </w:rPr>
        <w:t>may proceed to pre-trial discovery</w:t>
      </w:r>
      <w:r>
        <w:rPr>
          <w:rFonts w:ascii="Times New Roman" w:hAnsi="Times New Roman"/>
          <w:sz w:val="24"/>
          <w:szCs w:val="24"/>
        </w:rPr>
        <w:t xml:space="preserve">, after he files an Amended Complaint with more details. </w:t>
      </w:r>
      <w:r w:rsidRPr="003B51B9">
        <w:rPr>
          <w:rFonts w:ascii="Times New Roman" w:hAnsi="Times New Roman"/>
          <w:sz w:val="24"/>
          <w:szCs w:val="24"/>
        </w:rPr>
        <w:t xml:space="preserve">On March 6, 2019, he was questioned by officers from the </w:t>
      </w:r>
      <w:proofErr w:type="spellStart"/>
      <w:r w:rsidRPr="003B51B9">
        <w:rPr>
          <w:rFonts w:ascii="Times New Roman" w:hAnsi="Times New Roman"/>
          <w:sz w:val="24"/>
          <w:szCs w:val="24"/>
        </w:rPr>
        <w:t>Elm</w:t>
      </w:r>
      <w:proofErr w:type="spellEnd"/>
      <w:r w:rsidRPr="003B51B9">
        <w:rPr>
          <w:rFonts w:ascii="Times New Roman" w:hAnsi="Times New Roman"/>
          <w:sz w:val="24"/>
          <w:szCs w:val="24"/>
        </w:rPr>
        <w:t xml:space="preserve"> Grove and Brookfield Police Departments</w:t>
      </w:r>
      <w:r>
        <w:rPr>
          <w:rFonts w:ascii="Times New Roman" w:hAnsi="Times New Roman"/>
          <w:sz w:val="24"/>
          <w:szCs w:val="24"/>
        </w:rPr>
        <w:t xml:space="preserve"> after the PD received a complaint from Father Peter Berger of St. Mary’s Church. “</w:t>
      </w:r>
      <w:r w:rsidRPr="00D81337">
        <w:rPr>
          <w:rFonts w:ascii="Times New Roman" w:hAnsi="Times New Roman"/>
          <w:sz w:val="24"/>
          <w:szCs w:val="24"/>
        </w:rPr>
        <w:t>The plaintiff was a member of St. Mary's congregation; recently Father Berger had officiated at the plaintiff's marriage and on March 6, 2019, the two had exchanged emails regarding a personal issue ‘between the Church and [the plaintiff].</w:t>
      </w:r>
      <w:r>
        <w:rPr>
          <w:rFonts w:ascii="Times New Roman" w:hAnsi="Times New Roman"/>
          <w:sz w:val="24"/>
          <w:szCs w:val="24"/>
        </w:rPr>
        <w:t>”  The plaintiff filed complaint against PD, and Village Manager directed Fire Chief to investigate, leading to his termination.</w:t>
      </w:r>
    </w:p>
    <w:p w14:paraId="5F80AC92" w14:textId="7777777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C9FC947" w14:textId="77777777" w:rsidR="00F91F9F" w:rsidRDefault="00F91F9F" w:rsidP="00F91F9F">
      <w:pPr>
        <w:pStyle w:val="NormalWeb"/>
        <w:ind w:left="720"/>
      </w:pPr>
      <w:r>
        <w:t xml:space="preserve">“Construing these allegations in the light most favorable to the plaintiff, the court concludes that the plaintiff has alleged that he engaged in activity protected by the First Amendment-making a complaint through his statement of charges. He has alleged that he suffered a deprivation that likely would deter his First Amendment activity in the future-he was subjected to an investigation, a hearing and removal. And he has alleged that the fact he made complaints caused the fire department to investigate him, which led to the commission's hearing and his removal. He has alleged that [Village Manager David] DeAngelis knew of his First Amendment activity (by alleging that DeAngelis received his statement of charges and advised the village board about them), that DeAngelis basically rejected the plaintiff's complaints by advising the board of trustees not to investigate them and by misrepresenting them and that DeAngelis caused at least one deprivation-the institution of a fire department investigation into the plaintiff-which led to the others. While the allegations against [Village Manager] DeAngelis are sparse, they are sufficient to state a plausible claim at the pleading stage.” </w:t>
      </w:r>
      <w:hyperlink r:id="rId2699" w:history="1">
        <w:r w:rsidRPr="00525B4E">
          <w:rPr>
            <w:rStyle w:val="Hyperlink"/>
          </w:rPr>
          <w:t>https://public.fastcase.com/H1P9uiW3J20SFp%2BGCG%2BxLf0QXfMdGqdqZlQXVQLOVSo%2BRVxC5joRx%2Bn0W0bwooepXLY2KUKQY%2FNa4DzAR11NEG8M8s0LDdmLgDmSoVIjHEI%3D?utm_medium=email&amp;_hsmi=226712652&amp;_hsenc=p2ANqtz--j20uR-GYo6WCSGz4uB5jXz0CJaW80ssMVqf4KPGqbFwk9_LUt6on4Dgf3xdmVustFIoMmyBcwEiGPMrkJq9j9MAGPKA&amp;utm_content=226712652&amp;utm_source=hs_email</w:t>
        </w:r>
      </w:hyperlink>
      <w:r>
        <w:t xml:space="preserve"> </w:t>
      </w:r>
    </w:p>
    <w:p w14:paraId="6FAC588A" w14:textId="77777777" w:rsidR="00F91F9F" w:rsidRPr="004C7B9F" w:rsidRDefault="00F91F9F" w:rsidP="00F91F9F">
      <w:pPr>
        <w:pStyle w:val="NormalWeb"/>
        <w:rPr>
          <w:b/>
          <w:bCs/>
        </w:rPr>
      </w:pPr>
      <w:r w:rsidRPr="004C7B9F">
        <w:rPr>
          <w:b/>
          <w:bCs/>
        </w:rPr>
        <w:t>Legal Lesson Learned:</w:t>
      </w:r>
      <w:r>
        <w:rPr>
          <w:b/>
          <w:bCs/>
        </w:rPr>
        <w:t xml:space="preserve"> Filing a complaint about alleged police misconduct is protected conduct under 1</w:t>
      </w:r>
      <w:r w:rsidRPr="00676A56">
        <w:rPr>
          <w:b/>
          <w:bCs/>
          <w:vertAlign w:val="superscript"/>
        </w:rPr>
        <w:t>st</w:t>
      </w:r>
      <w:r>
        <w:rPr>
          <w:b/>
          <w:bCs/>
        </w:rPr>
        <w:t xml:space="preserve"> Amendment and state whistleblower law.</w:t>
      </w:r>
    </w:p>
    <w:p w14:paraId="41CD8A76"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4966F504" w14:textId="348C765F" w:rsidR="00F91F9F" w:rsidRDefault="00F91F9F" w:rsidP="00F91F9F">
      <w:pPr>
        <w:pStyle w:val="NoSpacing"/>
        <w:rPr>
          <w:rFonts w:ascii="Arial Black" w:hAnsi="Arial Black"/>
          <w:sz w:val="24"/>
          <w:szCs w:val="24"/>
        </w:rPr>
      </w:pPr>
      <w:r>
        <w:rPr>
          <w:rFonts w:ascii="Arial Black" w:hAnsi="Arial Black"/>
          <w:sz w:val="24"/>
          <w:szCs w:val="24"/>
        </w:rPr>
        <w:t>16-107</w:t>
      </w:r>
    </w:p>
    <w:p w14:paraId="5DF4A4F1" w14:textId="77777777" w:rsidR="00F91F9F" w:rsidRDefault="00F91F9F" w:rsidP="00F91F9F">
      <w:pPr>
        <w:pStyle w:val="NoSpacing"/>
        <w:rPr>
          <w:rFonts w:ascii="Arial Black" w:hAnsi="Arial Black"/>
          <w:sz w:val="28"/>
          <w:szCs w:val="28"/>
        </w:rPr>
      </w:pPr>
    </w:p>
    <w:p w14:paraId="0D6889BF" w14:textId="77777777" w:rsidR="00F91F9F" w:rsidRPr="009140CD" w:rsidRDefault="00F91F9F" w:rsidP="00F91F9F">
      <w:pPr>
        <w:pStyle w:val="NoSpacing"/>
        <w:rPr>
          <w:rFonts w:ascii="Arial Black" w:hAnsi="Arial Black"/>
          <w:sz w:val="28"/>
          <w:szCs w:val="28"/>
        </w:rPr>
      </w:pPr>
      <w:r>
        <w:rPr>
          <w:rFonts w:ascii="Arial Black" w:hAnsi="Arial Black"/>
          <w:sz w:val="28"/>
          <w:szCs w:val="28"/>
        </w:rPr>
        <w:t>NH: POLICE OFFICER RESIGNATION / PD INTERNAL AFFAIRS DOCS OUT PERSONNEL FILE – CT. ORDERS DOCS RELEASED</w:t>
      </w:r>
    </w:p>
    <w:p w14:paraId="7E790FD7" w14:textId="77777777" w:rsidR="00F91F9F" w:rsidRDefault="00F91F9F" w:rsidP="00F91F9F">
      <w:pPr>
        <w:pStyle w:val="NoSpacing"/>
        <w:rPr>
          <w:rFonts w:ascii="Times New Roman" w:hAnsi="Times New Roman"/>
          <w:sz w:val="24"/>
          <w:szCs w:val="24"/>
        </w:rPr>
      </w:pPr>
    </w:p>
    <w:p w14:paraId="0561B8CC"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 xml:space="preserve">On March 20, 2024, in </w:t>
      </w:r>
      <w:r w:rsidRPr="00310885">
        <w:rPr>
          <w:rFonts w:ascii="Times New Roman" w:hAnsi="Times New Roman"/>
          <w:sz w:val="24"/>
          <w:szCs w:val="24"/>
          <w:u w:val="single"/>
        </w:rPr>
        <w:t>Jonathan Stone v. City of Claremont</w:t>
      </w:r>
      <w:r>
        <w:rPr>
          <w:rFonts w:ascii="Times New Roman" w:hAnsi="Times New Roman"/>
          <w:sz w:val="24"/>
          <w:szCs w:val="24"/>
        </w:rPr>
        <w:t xml:space="preserve">, the Supreme Court of New Hampshire, held (5 to 0) that the 2007 resignation agreement with former City police officer and his union, removing from his personnel file the internal affairs investigation and notice of termination, does not protect the requested records from disclosure. </w:t>
      </w:r>
    </w:p>
    <w:p w14:paraId="39169A74"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0FB302C" w14:textId="77777777" w:rsidR="00F91F9F" w:rsidRDefault="00F91F9F" w:rsidP="00F91F9F">
      <w:pPr>
        <w:pStyle w:val="NoSpacing"/>
        <w:rPr>
          <w:rFonts w:ascii="Times New Roman" w:hAnsi="Times New Roman"/>
          <w:sz w:val="24"/>
          <w:szCs w:val="24"/>
        </w:rPr>
      </w:pPr>
    </w:p>
    <w:p w14:paraId="0F73B518" w14:textId="77777777" w:rsidR="00F91F9F" w:rsidRPr="00B3168D" w:rsidRDefault="00F91F9F" w:rsidP="00F91F9F">
      <w:pPr>
        <w:pStyle w:val="NoSpacing"/>
        <w:ind w:left="720"/>
        <w:rPr>
          <w:rFonts w:ascii="Times New Roman" w:hAnsi="Times New Roman"/>
          <w:sz w:val="24"/>
          <w:szCs w:val="24"/>
        </w:rPr>
      </w:pPr>
      <w:r>
        <w:rPr>
          <w:rFonts w:ascii="Times New Roman" w:hAnsi="Times New Roman"/>
          <w:sz w:val="24"/>
          <w:szCs w:val="24"/>
        </w:rPr>
        <w:t>“</w:t>
      </w:r>
      <w:r w:rsidRPr="00B3168D">
        <w:rPr>
          <w:rFonts w:ascii="Times New Roman" w:hAnsi="Times New Roman"/>
          <w:sz w:val="24"/>
          <w:szCs w:val="24"/>
        </w:rPr>
        <w:t xml:space="preserve">The intervenors </w:t>
      </w:r>
      <w:r>
        <w:rPr>
          <w:rFonts w:ascii="Times New Roman" w:hAnsi="Times New Roman"/>
          <w:sz w:val="24"/>
          <w:szCs w:val="24"/>
        </w:rPr>
        <w:t xml:space="preserve">[ACLU and Union Leader Corp., Union Leader Corp] </w:t>
      </w:r>
      <w:r w:rsidRPr="00B3168D">
        <w:rPr>
          <w:rFonts w:ascii="Times New Roman" w:hAnsi="Times New Roman"/>
          <w:sz w:val="24"/>
          <w:szCs w:val="24"/>
        </w:rPr>
        <w:t>contend that the purging provision</w:t>
      </w:r>
      <w:r>
        <w:rPr>
          <w:rFonts w:ascii="Times New Roman" w:hAnsi="Times New Roman"/>
          <w:sz w:val="24"/>
          <w:szCs w:val="24"/>
        </w:rPr>
        <w:t xml:space="preserve"> </w:t>
      </w:r>
      <w:r w:rsidRPr="00B3168D">
        <w:rPr>
          <w:rFonts w:ascii="Times New Roman" w:hAnsi="Times New Roman"/>
          <w:sz w:val="24"/>
          <w:szCs w:val="24"/>
        </w:rPr>
        <w:t>of the Stipulated Award does not state that the relevant records will be</w:t>
      </w:r>
    </w:p>
    <w:p w14:paraId="64F71A88" w14:textId="77777777" w:rsidR="00F91F9F" w:rsidRDefault="00F91F9F" w:rsidP="00F91F9F">
      <w:pPr>
        <w:pStyle w:val="NoSpacing"/>
        <w:ind w:left="720"/>
        <w:rPr>
          <w:rFonts w:ascii="Times New Roman" w:hAnsi="Times New Roman"/>
          <w:sz w:val="24"/>
          <w:szCs w:val="24"/>
        </w:rPr>
      </w:pPr>
      <w:r w:rsidRPr="00B3168D">
        <w:rPr>
          <w:rFonts w:ascii="Times New Roman" w:hAnsi="Times New Roman"/>
          <w:sz w:val="24"/>
          <w:szCs w:val="24"/>
        </w:rPr>
        <w:t>destroyed or that they will cease to exist within the CPD. According to the</w:t>
      </w:r>
      <w:r>
        <w:rPr>
          <w:rFonts w:ascii="Times New Roman" w:hAnsi="Times New Roman"/>
          <w:sz w:val="24"/>
          <w:szCs w:val="24"/>
        </w:rPr>
        <w:t xml:space="preserve"> </w:t>
      </w:r>
      <w:r w:rsidRPr="00B3168D">
        <w:rPr>
          <w:rFonts w:ascii="Times New Roman" w:hAnsi="Times New Roman"/>
          <w:sz w:val="24"/>
          <w:szCs w:val="24"/>
        </w:rPr>
        <w:t>intervenors, the Stipulated Award provides only that the relevant records will</w:t>
      </w:r>
      <w:r>
        <w:rPr>
          <w:rFonts w:ascii="Times New Roman" w:hAnsi="Times New Roman"/>
          <w:sz w:val="24"/>
          <w:szCs w:val="24"/>
        </w:rPr>
        <w:t xml:space="preserve"> </w:t>
      </w:r>
      <w:r w:rsidRPr="00B3168D">
        <w:rPr>
          <w:rFonts w:ascii="Times New Roman" w:hAnsi="Times New Roman"/>
          <w:sz w:val="24"/>
          <w:szCs w:val="24"/>
        </w:rPr>
        <w:t>be purged from the plaintiff’s personnel file but does not state that the records</w:t>
      </w:r>
      <w:r>
        <w:rPr>
          <w:rFonts w:ascii="Times New Roman" w:hAnsi="Times New Roman"/>
          <w:sz w:val="24"/>
          <w:szCs w:val="24"/>
        </w:rPr>
        <w:t xml:space="preserve"> </w:t>
      </w:r>
      <w:r w:rsidRPr="00B3168D">
        <w:rPr>
          <w:rFonts w:ascii="Times New Roman" w:hAnsi="Times New Roman"/>
          <w:sz w:val="24"/>
          <w:szCs w:val="24"/>
        </w:rPr>
        <w:t>will be purged from all other locations. Similarly, the intervenors argue that</w:t>
      </w:r>
      <w:r>
        <w:rPr>
          <w:rFonts w:ascii="Times New Roman" w:hAnsi="Times New Roman"/>
          <w:sz w:val="24"/>
          <w:szCs w:val="24"/>
        </w:rPr>
        <w:t xml:space="preserve"> </w:t>
      </w:r>
      <w:r w:rsidRPr="00B3168D">
        <w:rPr>
          <w:rFonts w:ascii="Times New Roman" w:hAnsi="Times New Roman"/>
          <w:sz w:val="24"/>
          <w:szCs w:val="24"/>
        </w:rPr>
        <w:t xml:space="preserve">the confidentiality provision </w:t>
      </w:r>
      <w:r>
        <w:rPr>
          <w:rFonts w:ascii="Times New Roman" w:hAnsi="Times New Roman"/>
          <w:sz w:val="24"/>
          <w:szCs w:val="24"/>
        </w:rPr>
        <w:t>‘</w:t>
      </w:r>
      <w:r w:rsidRPr="00B3168D">
        <w:rPr>
          <w:rFonts w:ascii="Times New Roman" w:hAnsi="Times New Roman"/>
          <w:sz w:val="24"/>
          <w:szCs w:val="24"/>
        </w:rPr>
        <w:t>does not provide the blanket confidentiality that</w:t>
      </w:r>
      <w:r>
        <w:rPr>
          <w:rFonts w:ascii="Times New Roman" w:hAnsi="Times New Roman"/>
          <w:sz w:val="24"/>
          <w:szCs w:val="24"/>
        </w:rPr>
        <w:t xml:space="preserve"> </w:t>
      </w:r>
      <w:r w:rsidRPr="00B3168D">
        <w:rPr>
          <w:rFonts w:ascii="Times New Roman" w:hAnsi="Times New Roman"/>
          <w:sz w:val="24"/>
          <w:szCs w:val="24"/>
        </w:rPr>
        <w:t>[the plaintiff] asserts.</w:t>
      </w:r>
      <w:r>
        <w:rPr>
          <w:rFonts w:ascii="Times New Roman" w:hAnsi="Times New Roman"/>
          <w:sz w:val="24"/>
          <w:szCs w:val="24"/>
        </w:rPr>
        <w:t>’</w:t>
      </w:r>
      <w:r w:rsidRPr="00B3168D">
        <w:rPr>
          <w:rFonts w:ascii="Times New Roman" w:hAnsi="Times New Roman"/>
          <w:sz w:val="24"/>
          <w:szCs w:val="24"/>
        </w:rPr>
        <w:t xml:space="preserve"> Rather, the Stipulated Award </w:t>
      </w:r>
      <w:r>
        <w:rPr>
          <w:rFonts w:ascii="Times New Roman" w:hAnsi="Times New Roman"/>
          <w:sz w:val="24"/>
          <w:szCs w:val="24"/>
        </w:rPr>
        <w:t>‘</w:t>
      </w:r>
      <w:r w:rsidRPr="00B3168D">
        <w:rPr>
          <w:rFonts w:ascii="Times New Roman" w:hAnsi="Times New Roman"/>
          <w:sz w:val="24"/>
          <w:szCs w:val="24"/>
        </w:rPr>
        <w:t>makes clear that its</w:t>
      </w:r>
      <w:r>
        <w:rPr>
          <w:rFonts w:ascii="Times New Roman" w:hAnsi="Times New Roman"/>
          <w:sz w:val="24"/>
          <w:szCs w:val="24"/>
        </w:rPr>
        <w:t xml:space="preserve"> </w:t>
      </w:r>
      <w:r w:rsidRPr="00B3168D">
        <w:rPr>
          <w:rFonts w:ascii="Times New Roman" w:hAnsi="Times New Roman"/>
          <w:sz w:val="24"/>
          <w:szCs w:val="24"/>
        </w:rPr>
        <w:t>confidentiality provision applies ‘except to the extent required by . . . law,’</w:t>
      </w:r>
      <w:r>
        <w:rPr>
          <w:rFonts w:ascii="Times New Roman" w:hAnsi="Times New Roman"/>
          <w:sz w:val="24"/>
          <w:szCs w:val="24"/>
        </w:rPr>
        <w:t xml:space="preserve"> </w:t>
      </w:r>
      <w:r w:rsidRPr="00B3168D">
        <w:rPr>
          <w:rFonts w:ascii="Times New Roman" w:hAnsi="Times New Roman"/>
          <w:sz w:val="24"/>
          <w:szCs w:val="24"/>
        </w:rPr>
        <w:t>which includes the requirements of RSA ch. 91-A.</w:t>
      </w:r>
      <w:r>
        <w:rPr>
          <w:rFonts w:ascii="Times New Roman" w:hAnsi="Times New Roman"/>
          <w:sz w:val="24"/>
          <w:szCs w:val="24"/>
        </w:rPr>
        <w:t>’</w:t>
      </w:r>
      <w:r w:rsidRPr="00B3168D">
        <w:rPr>
          <w:rFonts w:ascii="Times New Roman" w:hAnsi="Times New Roman"/>
          <w:sz w:val="24"/>
          <w:szCs w:val="24"/>
        </w:rPr>
        <w:t xml:space="preserve"> We agree with the</w:t>
      </w:r>
      <w:r>
        <w:rPr>
          <w:rFonts w:ascii="Times New Roman" w:hAnsi="Times New Roman"/>
          <w:sz w:val="24"/>
          <w:szCs w:val="24"/>
        </w:rPr>
        <w:t xml:space="preserve"> </w:t>
      </w:r>
      <w:r w:rsidRPr="00B3168D">
        <w:rPr>
          <w:rFonts w:ascii="Times New Roman" w:hAnsi="Times New Roman"/>
          <w:sz w:val="24"/>
          <w:szCs w:val="24"/>
        </w:rPr>
        <w:t>intervenors.</w:t>
      </w:r>
    </w:p>
    <w:p w14:paraId="76C1B1D0" w14:textId="77777777" w:rsidR="00F91F9F" w:rsidRDefault="00F91F9F" w:rsidP="00F91F9F">
      <w:pPr>
        <w:pStyle w:val="NoSpacing"/>
        <w:ind w:left="720"/>
        <w:rPr>
          <w:rFonts w:ascii="Times New Roman" w:hAnsi="Times New Roman"/>
          <w:sz w:val="24"/>
          <w:szCs w:val="24"/>
        </w:rPr>
      </w:pPr>
    </w:p>
    <w:p w14:paraId="7FCF73AB"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p>
    <w:p w14:paraId="549551BE" w14:textId="77777777" w:rsidR="00F91F9F" w:rsidRDefault="00F91F9F" w:rsidP="00F91F9F">
      <w:pPr>
        <w:pStyle w:val="NoSpacing"/>
        <w:rPr>
          <w:rFonts w:ascii="Times New Roman" w:hAnsi="Times New Roman"/>
          <w:sz w:val="24"/>
          <w:szCs w:val="24"/>
        </w:rPr>
      </w:pPr>
    </w:p>
    <w:p w14:paraId="7F6DD224"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I</w:t>
      </w:r>
      <w:r w:rsidRPr="00B5597E">
        <w:rPr>
          <w:rFonts w:ascii="Times New Roman" w:hAnsi="Times New Roman"/>
          <w:sz w:val="24"/>
          <w:szCs w:val="24"/>
        </w:rPr>
        <w:t>n summary, we conclude that the 2007 Stipulated Award does not</w:t>
      </w:r>
      <w:r>
        <w:rPr>
          <w:rFonts w:ascii="Times New Roman" w:hAnsi="Times New Roman"/>
          <w:sz w:val="24"/>
          <w:szCs w:val="24"/>
        </w:rPr>
        <w:t xml:space="preserve"> </w:t>
      </w:r>
      <w:r w:rsidRPr="00B5597E">
        <w:rPr>
          <w:rFonts w:ascii="Times New Roman" w:hAnsi="Times New Roman"/>
          <w:sz w:val="24"/>
          <w:szCs w:val="24"/>
        </w:rPr>
        <w:t xml:space="preserve">protect the requested records at issue on appeal from </w:t>
      </w:r>
      <w:proofErr w:type="gramStart"/>
      <w:r w:rsidRPr="00B5597E">
        <w:rPr>
          <w:rFonts w:ascii="Times New Roman" w:hAnsi="Times New Roman"/>
          <w:sz w:val="24"/>
          <w:szCs w:val="24"/>
        </w:rPr>
        <w:t>disclosure.</w:t>
      </w:r>
      <w:r>
        <w:rPr>
          <w:rFonts w:ascii="Times New Roman" w:hAnsi="Times New Roman"/>
          <w:sz w:val="24"/>
          <w:szCs w:val="24"/>
        </w:rPr>
        <w:t>”</w:t>
      </w:r>
      <w:proofErr w:type="gramEnd"/>
      <w:r>
        <w:rPr>
          <w:rFonts w:ascii="Times New Roman" w:hAnsi="Times New Roman"/>
          <w:sz w:val="24"/>
          <w:szCs w:val="24"/>
        </w:rPr>
        <w:t xml:space="preserve"> </w:t>
      </w:r>
      <w:hyperlink r:id="rId2700" w:history="1">
        <w:r w:rsidRPr="0090046C">
          <w:rPr>
            <w:rStyle w:val="Hyperlink"/>
            <w:rFonts w:ascii="Times New Roman" w:hAnsi="Times New Roman"/>
            <w:sz w:val="24"/>
            <w:szCs w:val="24"/>
          </w:rPr>
          <w:t>https://www.courts.nh.gov/sites/g/files/ehbemt471/files/documents/2024-03/20230083stone.pdf</w:t>
        </w:r>
      </w:hyperlink>
      <w:r>
        <w:rPr>
          <w:rFonts w:ascii="Times New Roman" w:hAnsi="Times New Roman"/>
          <w:sz w:val="24"/>
          <w:szCs w:val="24"/>
        </w:rPr>
        <w:t xml:space="preserve"> </w:t>
      </w:r>
    </w:p>
    <w:p w14:paraId="3323B367" w14:textId="77777777" w:rsidR="00F91F9F" w:rsidRDefault="00F91F9F" w:rsidP="00F91F9F">
      <w:pPr>
        <w:pStyle w:val="NoSpacing"/>
        <w:ind w:left="720"/>
        <w:rPr>
          <w:rFonts w:ascii="Times New Roman" w:hAnsi="Times New Roman"/>
          <w:sz w:val="24"/>
          <w:szCs w:val="24"/>
        </w:rPr>
      </w:pPr>
    </w:p>
    <w:p w14:paraId="5EC0FC00" w14:textId="77777777" w:rsidR="00F91F9F" w:rsidRDefault="00F91F9F" w:rsidP="00F91F9F">
      <w:pPr>
        <w:rPr>
          <w:rFonts w:ascii="Times New Roman" w:hAnsi="Times New Roman"/>
          <w:sz w:val="24"/>
          <w:szCs w:val="24"/>
        </w:rPr>
      </w:pPr>
    </w:p>
    <w:p w14:paraId="2C906923" w14:textId="77777777" w:rsidR="00F91F9F" w:rsidRPr="00354746" w:rsidRDefault="00F91F9F" w:rsidP="00F91F9F">
      <w:pPr>
        <w:rPr>
          <w:rFonts w:ascii="Times New Roman" w:hAnsi="Times New Roman"/>
          <w:b/>
          <w:bCs/>
          <w:sz w:val="24"/>
          <w:szCs w:val="24"/>
        </w:rPr>
      </w:pPr>
      <w:r w:rsidRPr="00354746">
        <w:rPr>
          <w:rFonts w:ascii="Times New Roman" w:hAnsi="Times New Roman"/>
          <w:b/>
          <w:bCs/>
          <w:sz w:val="24"/>
          <w:szCs w:val="24"/>
        </w:rPr>
        <w:t xml:space="preserve">Legal Lesson Learned: </w:t>
      </w:r>
      <w:r>
        <w:rPr>
          <w:rFonts w:ascii="Times New Roman" w:hAnsi="Times New Roman"/>
          <w:b/>
          <w:bCs/>
          <w:sz w:val="24"/>
          <w:szCs w:val="24"/>
        </w:rPr>
        <w:t xml:space="preserve">It is common in a resignation agreement to remove investigative documents from a personnel file, but Court may later require disclosure under state public records statute. </w:t>
      </w:r>
    </w:p>
    <w:p w14:paraId="3B1E3516" w14:textId="77777777" w:rsidR="00F91F9F" w:rsidRDefault="00F91F9F" w:rsidP="00F91F9F">
      <w:pPr>
        <w:ind w:left="720"/>
        <w:rPr>
          <w:rFonts w:ascii="Times New Roman" w:hAnsi="Times New Roman"/>
          <w:sz w:val="24"/>
          <w:szCs w:val="24"/>
        </w:rPr>
      </w:pPr>
      <w:r w:rsidRPr="00AB7992">
        <w:rPr>
          <w:rFonts w:ascii="Times New Roman" w:hAnsi="Times New Roman"/>
          <w:sz w:val="24"/>
          <w:szCs w:val="24"/>
        </w:rPr>
        <w:t xml:space="preserve">Note: </w:t>
      </w:r>
      <w:r>
        <w:rPr>
          <w:rFonts w:ascii="Times New Roman" w:hAnsi="Times New Roman"/>
          <w:sz w:val="24"/>
          <w:szCs w:val="24"/>
        </w:rPr>
        <w:t xml:space="preserve">Justice Hantz Marconi concurred </w:t>
      </w:r>
      <w:proofErr w:type="gramStart"/>
      <w:r>
        <w:rPr>
          <w:rFonts w:ascii="Times New Roman" w:hAnsi="Times New Roman"/>
          <w:sz w:val="24"/>
          <w:szCs w:val="24"/>
        </w:rPr>
        <w:t>in</w:t>
      </w:r>
      <w:proofErr w:type="gramEnd"/>
      <w:r>
        <w:rPr>
          <w:rFonts w:ascii="Times New Roman" w:hAnsi="Times New Roman"/>
          <w:sz w:val="24"/>
          <w:szCs w:val="24"/>
        </w:rPr>
        <w:t xml:space="preserve"> the decision, but wrote a Concurring Opinion where he stated:</w:t>
      </w:r>
    </w:p>
    <w:p w14:paraId="10E770E0" w14:textId="77777777" w:rsidR="00F91F9F" w:rsidRPr="00597B2D" w:rsidRDefault="00F91F9F" w:rsidP="00F91F9F">
      <w:pPr>
        <w:pStyle w:val="NoSpacing"/>
        <w:ind w:left="720" w:firstLine="720"/>
        <w:rPr>
          <w:rFonts w:ascii="Times New Roman" w:hAnsi="Times New Roman"/>
          <w:sz w:val="24"/>
          <w:szCs w:val="24"/>
        </w:rPr>
      </w:pPr>
      <w:r>
        <w:rPr>
          <w:rFonts w:ascii="Times New Roman" w:hAnsi="Times New Roman"/>
          <w:sz w:val="24"/>
          <w:szCs w:val="24"/>
        </w:rPr>
        <w:t>“</w:t>
      </w:r>
      <w:r w:rsidRPr="00597B2D">
        <w:rPr>
          <w:rFonts w:ascii="Times New Roman" w:hAnsi="Times New Roman"/>
          <w:sz w:val="24"/>
          <w:szCs w:val="24"/>
        </w:rPr>
        <w:t>I am concerned that the majority’s opinion takes an incremental</w:t>
      </w:r>
    </w:p>
    <w:p w14:paraId="19E1F9B9"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step, under the facts of this case, to preclude the use of confidential</w:t>
      </w:r>
    </w:p>
    <w:p w14:paraId="0D35F877"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settlements by governmental entities. Such agreements can serve an</w:t>
      </w:r>
    </w:p>
    <w:p w14:paraId="6A89A0EE"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important purpose, and our developing RSA 91-A jurisprudence, along with</w:t>
      </w:r>
    </w:p>
    <w:p w14:paraId="3CEFB10A"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other record retention policies, may reduce or eliminate the availability of this</w:t>
      </w:r>
    </w:p>
    <w:p w14:paraId="526799A9"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device. Restrictions on confidential settlement agreements with respect to</w:t>
      </w:r>
    </w:p>
    <w:p w14:paraId="6B7EB7BE"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public employees, and in particular, law enforcement officers, raise policy</w:t>
      </w:r>
    </w:p>
    <w:p w14:paraId="775BDB92" w14:textId="77777777" w:rsidR="00F91F9F" w:rsidRPr="00597B2D" w:rsidRDefault="00F91F9F" w:rsidP="00F91F9F">
      <w:pPr>
        <w:pStyle w:val="NoSpacing"/>
        <w:ind w:left="1440"/>
        <w:rPr>
          <w:rFonts w:ascii="Times New Roman" w:hAnsi="Times New Roman"/>
          <w:sz w:val="24"/>
          <w:szCs w:val="24"/>
        </w:rPr>
      </w:pPr>
      <w:r w:rsidRPr="00597B2D">
        <w:rPr>
          <w:rFonts w:ascii="Times New Roman" w:hAnsi="Times New Roman"/>
          <w:sz w:val="24"/>
          <w:szCs w:val="24"/>
        </w:rPr>
        <w:t>considerations beyond the outcome of this case.</w:t>
      </w:r>
      <w:r>
        <w:rPr>
          <w:rFonts w:ascii="Times New Roman" w:hAnsi="Times New Roman"/>
          <w:sz w:val="24"/>
          <w:szCs w:val="24"/>
        </w:rPr>
        <w:t xml:space="preserve">” </w:t>
      </w:r>
      <w:hyperlink r:id="rId2701" w:history="1">
        <w:r w:rsidRPr="0090046C">
          <w:rPr>
            <w:rStyle w:val="Hyperlink"/>
            <w:rFonts w:ascii="Times New Roman" w:hAnsi="Times New Roman"/>
            <w:sz w:val="24"/>
            <w:szCs w:val="24"/>
          </w:rPr>
          <w:t>https://www.courts.nh.gov/sites/g/files/ehbemt471/files/documents/2024-03/20230083stone.pdf</w:t>
        </w:r>
      </w:hyperlink>
      <w:r>
        <w:rPr>
          <w:rFonts w:ascii="Times New Roman" w:hAnsi="Times New Roman"/>
          <w:sz w:val="24"/>
          <w:szCs w:val="24"/>
        </w:rPr>
        <w:t xml:space="preserve"> </w:t>
      </w:r>
    </w:p>
    <w:p w14:paraId="1A037171" w14:textId="77777777" w:rsidR="00F91F9F" w:rsidRDefault="00F91F9F" w:rsidP="00F91F9F">
      <w:pPr>
        <w:ind w:left="720"/>
        <w:rPr>
          <w:rFonts w:ascii="Times New Roman" w:hAnsi="Times New Roman"/>
          <w:sz w:val="24"/>
          <w:szCs w:val="24"/>
        </w:rPr>
      </w:pPr>
    </w:p>
    <w:p w14:paraId="1123CA34" w14:textId="77777777" w:rsidR="00F91F9F" w:rsidRPr="00AB7992" w:rsidRDefault="00F91F9F" w:rsidP="00F91F9F">
      <w:pPr>
        <w:ind w:left="1440"/>
        <w:rPr>
          <w:rFonts w:ascii="Times New Roman" w:hAnsi="Times New Roman"/>
          <w:sz w:val="24"/>
          <w:szCs w:val="24"/>
        </w:rPr>
      </w:pPr>
      <w:r w:rsidRPr="00AB7992">
        <w:rPr>
          <w:rFonts w:ascii="Times New Roman" w:hAnsi="Times New Roman"/>
          <w:sz w:val="24"/>
          <w:szCs w:val="24"/>
        </w:rPr>
        <w:t xml:space="preserve">See March 20, </w:t>
      </w:r>
      <w:proofErr w:type="gramStart"/>
      <w:r w:rsidRPr="00AB7992">
        <w:rPr>
          <w:rFonts w:ascii="Times New Roman" w:hAnsi="Times New Roman"/>
          <w:sz w:val="24"/>
          <w:szCs w:val="24"/>
        </w:rPr>
        <w:t>2024</w:t>
      </w:r>
      <w:proofErr w:type="gramEnd"/>
      <w:r w:rsidRPr="00AB7992">
        <w:rPr>
          <w:rFonts w:ascii="Times New Roman" w:hAnsi="Times New Roman"/>
          <w:sz w:val="24"/>
          <w:szCs w:val="24"/>
        </w:rPr>
        <w:t xml:space="preserve"> article, “Court denies ex-officer’s attempt to block records’ release.” </w:t>
      </w:r>
      <w:hyperlink r:id="rId2702" w:history="1">
        <w:r w:rsidRPr="0090046C">
          <w:rPr>
            <w:rStyle w:val="Hyperlink"/>
            <w:rFonts w:ascii="Times New Roman" w:hAnsi="Times New Roman"/>
            <w:sz w:val="24"/>
            <w:szCs w:val="24"/>
          </w:rPr>
          <w:t>https://www.vnews.com/Jonathan-Stone-loses-his-appeal-to-state-supreme-court-to-keep-personnel-records-private-54453646</w:t>
        </w:r>
      </w:hyperlink>
      <w:r>
        <w:rPr>
          <w:rFonts w:ascii="Times New Roman" w:hAnsi="Times New Roman"/>
          <w:sz w:val="24"/>
          <w:szCs w:val="24"/>
        </w:rPr>
        <w:t xml:space="preserve"> </w:t>
      </w:r>
    </w:p>
    <w:p w14:paraId="2510F1AD" w14:textId="77777777" w:rsidR="00F91F9F" w:rsidRDefault="00F91F9F" w:rsidP="00F91F9F">
      <w:pPr>
        <w:pStyle w:val="NormalWeb"/>
        <w:spacing w:before="0" w:beforeAutospacing="0"/>
        <w:ind w:left="1440"/>
      </w:pPr>
      <w:r>
        <w:t>“In a decision that could ripple across the law enforcement community around the state, the New Hampshire Supreme Court has ruled that a former Claremont officer and current state legislator’s disciplinary records relating to his time as a police officer for the city can be released to the public.”</w:t>
      </w:r>
    </w:p>
    <w:p w14:paraId="161449F3" w14:textId="77777777" w:rsidR="00F91F9F" w:rsidRDefault="00F91F9F" w:rsidP="00F91F9F">
      <w:pPr>
        <w:pStyle w:val="Heading1"/>
        <w:ind w:left="1440"/>
        <w:rPr>
          <w:sz w:val="24"/>
          <w:szCs w:val="24"/>
        </w:rPr>
      </w:pPr>
      <w:r w:rsidRPr="00EE2C86">
        <w:rPr>
          <w:sz w:val="24"/>
          <w:szCs w:val="24"/>
        </w:rPr>
        <w:t xml:space="preserve">See also Nov. 14, </w:t>
      </w:r>
      <w:proofErr w:type="gramStart"/>
      <w:r w:rsidRPr="00EE2C86">
        <w:rPr>
          <w:sz w:val="24"/>
          <w:szCs w:val="24"/>
        </w:rPr>
        <w:t>2023</w:t>
      </w:r>
      <w:proofErr w:type="gramEnd"/>
      <w:r w:rsidRPr="00EE2C86">
        <w:rPr>
          <w:sz w:val="24"/>
          <w:szCs w:val="24"/>
        </w:rPr>
        <w:t xml:space="preserve"> article, “Rep. Jon Stone’s Records </w:t>
      </w:r>
      <w:proofErr w:type="gramStart"/>
      <w:r w:rsidRPr="00EE2C86">
        <w:rPr>
          <w:sz w:val="24"/>
          <w:szCs w:val="24"/>
        </w:rPr>
        <w:t>As</w:t>
      </w:r>
      <w:proofErr w:type="gramEnd"/>
      <w:r w:rsidRPr="00EE2C86">
        <w:rPr>
          <w:sz w:val="24"/>
          <w:szCs w:val="24"/>
        </w:rPr>
        <w:t xml:space="preserve"> a Cop Are Humiliating, Lawyer Tells NH Supreme Court.”</w:t>
      </w:r>
      <w:r>
        <w:rPr>
          <w:sz w:val="24"/>
          <w:szCs w:val="24"/>
        </w:rPr>
        <w:t xml:space="preserve"> </w:t>
      </w:r>
      <w:hyperlink r:id="rId2703" w:history="1">
        <w:r w:rsidRPr="0090046C">
          <w:rPr>
            <w:rStyle w:val="Hyperlink"/>
            <w:sz w:val="24"/>
            <w:szCs w:val="24"/>
          </w:rPr>
          <w:t>https://indepthnh.org/2023/11/14/rep-jon-stones-records-as-a-cop-are-humiliating-lawyer-tells-nh-supreme-court/</w:t>
        </w:r>
      </w:hyperlink>
      <w:r>
        <w:rPr>
          <w:sz w:val="24"/>
          <w:szCs w:val="24"/>
        </w:rPr>
        <w:t xml:space="preserve"> </w:t>
      </w:r>
    </w:p>
    <w:p w14:paraId="2365A96C" w14:textId="77777777" w:rsidR="00F91F9F" w:rsidRDefault="00F91F9F" w:rsidP="00F91F9F">
      <w:pPr>
        <w:pStyle w:val="NormalWeb"/>
        <w:ind w:left="1440"/>
      </w:pPr>
      <w:r>
        <w:t>“Whatever is in the Claremont Police Department’s internal affairs records that state Rep. Jon Stone is trying to hide from the public, it’s bad, his lawyer told the New Hampshire Supreme Court on Tuesday.  ‘It will embarrass and humiliate my client, and it will embarrass and humiliate multiple people in the city of Claremont,</w:t>
      </w:r>
      <w:proofErr w:type="gramStart"/>
      <w:r>
        <w:t>’ attorney Peter DeCato said</w:t>
      </w:r>
      <w:proofErr w:type="gramEnd"/>
      <w:r>
        <w:t>. *** After Stone left the department, then Police Chief Alex Scott would subsequently file a Form B with the New Hampshire Police Standards and Training Council informing the council Stone was terminated for reasons of moral turpitude.”</w:t>
      </w:r>
    </w:p>
    <w:p w14:paraId="0E216C47"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3343A3AE"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44EB136A"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38FD1E4C" w14:textId="581332B8" w:rsidR="00F91F9F" w:rsidRDefault="00F91F9F" w:rsidP="00F91F9F">
      <w:pPr>
        <w:pStyle w:val="NoSpacing"/>
        <w:rPr>
          <w:rFonts w:ascii="Arial Black" w:hAnsi="Arial Black"/>
          <w:sz w:val="24"/>
          <w:szCs w:val="24"/>
        </w:rPr>
      </w:pPr>
      <w:r>
        <w:rPr>
          <w:rFonts w:ascii="Arial Black" w:hAnsi="Arial Black"/>
          <w:sz w:val="24"/>
          <w:szCs w:val="24"/>
        </w:rPr>
        <w:t>16-106</w:t>
      </w:r>
    </w:p>
    <w:p w14:paraId="11B4A05B" w14:textId="4FE9DF47" w:rsidR="00F91F9F" w:rsidRPr="004B4468" w:rsidRDefault="00F91F9F" w:rsidP="00F91F9F">
      <w:pPr>
        <w:spacing w:before="100" w:beforeAutospacing="1" w:after="100" w:afterAutospacing="1" w:line="240" w:lineRule="auto"/>
        <w:outlineLvl w:val="0"/>
        <w:rPr>
          <w:rFonts w:ascii="Arial Black" w:hAnsi="Arial Black"/>
          <w:sz w:val="28"/>
          <w:szCs w:val="28"/>
        </w:rPr>
      </w:pPr>
      <w:r>
        <w:rPr>
          <w:rFonts w:ascii="Arial Black" w:hAnsi="Arial Black"/>
          <w:sz w:val="28"/>
          <w:szCs w:val="28"/>
        </w:rPr>
        <w:t xml:space="preserve">WI: CIVIL UNREST – FF ORDERED TO EVACUATE STATION TO ANOTHER STATION – SAYS MIGHT “LAY UP” – FIRED </w:t>
      </w:r>
    </w:p>
    <w:p w14:paraId="59788AD7" w14:textId="77777777" w:rsidR="00F91F9F" w:rsidRDefault="00F91F9F" w:rsidP="00F91F9F">
      <w:pPr>
        <w:spacing w:before="100" w:beforeAutospacing="1" w:after="100" w:afterAutospacing="1" w:line="240" w:lineRule="auto"/>
        <w:outlineLvl w:val="0"/>
        <w:rPr>
          <w:rFonts w:ascii="Times New Roman" w:hAnsi="Times New Roman"/>
          <w:sz w:val="24"/>
          <w:szCs w:val="24"/>
        </w:rPr>
      </w:pPr>
      <w:proofErr w:type="gramStart"/>
      <w:r>
        <w:rPr>
          <w:rFonts w:ascii="Times New Roman" w:hAnsi="Times New Roman"/>
          <w:sz w:val="24"/>
          <w:szCs w:val="24"/>
        </w:rPr>
        <w:t>On March</w:t>
      </w:r>
      <w:proofErr w:type="gramEnd"/>
      <w:r>
        <w:rPr>
          <w:rFonts w:ascii="Times New Roman" w:hAnsi="Times New Roman"/>
          <w:sz w:val="24"/>
          <w:szCs w:val="24"/>
        </w:rPr>
        <w:t xml:space="preserve"> 5, 2024, </w:t>
      </w:r>
      <w:r w:rsidRPr="00577C94">
        <w:rPr>
          <w:rFonts w:ascii="Times New Roman" w:hAnsi="Times New Roman"/>
          <w:sz w:val="24"/>
          <w:szCs w:val="24"/>
          <w:u w:val="single"/>
        </w:rPr>
        <w:t>in Michael. S. Peden v. City of Milwaukee Board of Fire and Police Commissioners</w:t>
      </w:r>
      <w:r>
        <w:rPr>
          <w:rFonts w:ascii="Times New Roman" w:hAnsi="Times New Roman"/>
          <w:sz w:val="24"/>
          <w:szCs w:val="24"/>
        </w:rPr>
        <w:t xml:space="preserve">, the Court of Appeals of Wisconsin, District I, held (3 to 0; unpublished decision) that the Board properly upheld the termination after a fair hearing. </w:t>
      </w:r>
      <w:r w:rsidRPr="006D4804">
        <w:rPr>
          <w:rFonts w:ascii="Times New Roman" w:hAnsi="Times New Roman"/>
          <w:sz w:val="24"/>
          <w:szCs w:val="24"/>
        </w:rPr>
        <w:t>Peden explained that he believed that</w:t>
      </w:r>
      <w:r>
        <w:rPr>
          <w:rFonts w:ascii="Times New Roman" w:hAnsi="Times New Roman"/>
          <w:sz w:val="24"/>
          <w:szCs w:val="24"/>
        </w:rPr>
        <w:t xml:space="preserve"> another firefighter</w:t>
      </w:r>
      <w:r w:rsidRPr="006D4804">
        <w:rPr>
          <w:rFonts w:ascii="Times New Roman" w:hAnsi="Times New Roman"/>
          <w:sz w:val="24"/>
          <w:szCs w:val="24"/>
        </w:rPr>
        <w:t>, who had allegedly framed him in a past sexual assault case, was scheduled to be working at the other station</w:t>
      </w:r>
      <w:r>
        <w:rPr>
          <w:rFonts w:ascii="Times New Roman" w:hAnsi="Times New Roman"/>
          <w:sz w:val="24"/>
          <w:szCs w:val="24"/>
        </w:rPr>
        <w:t xml:space="preserve">; he never claimed he was actual ill. </w:t>
      </w:r>
    </w:p>
    <w:p w14:paraId="23D7E072"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0733466" w14:textId="77777777" w:rsidR="00F91F9F" w:rsidRPr="00792421" w:rsidRDefault="00F91F9F" w:rsidP="00F91F9F">
      <w:pPr>
        <w:spacing w:before="100" w:beforeAutospacing="1" w:after="100" w:afterAutospacing="1" w:line="240" w:lineRule="auto"/>
        <w:ind w:left="720"/>
        <w:outlineLvl w:val="0"/>
        <w:rPr>
          <w:rFonts w:ascii="Times New Roman" w:hAnsi="Times New Roman"/>
          <w:sz w:val="24"/>
          <w:szCs w:val="24"/>
        </w:rPr>
      </w:pPr>
      <w:r>
        <w:t>“</w:t>
      </w:r>
      <w:r w:rsidRPr="00792421">
        <w:rPr>
          <w:rFonts w:ascii="Times New Roman" w:hAnsi="Times New Roman"/>
          <w:sz w:val="24"/>
          <w:szCs w:val="24"/>
        </w:rPr>
        <w:t>The Board heard testimony from multiple witnesses, including Assistant Chief Aaron Lipski, Peden, Rebecca Coffee-Peden's former defense attorney who represented him in the sexual assault case-and psychotherapist Jay Schrinsky, who opined that Peden suffers from posttraumatic stress disorder (PTSD) stemming from the sexual assault case. The Board unanimously concluded that Peden should be terminated.</w:t>
      </w:r>
    </w:p>
    <w:p w14:paraId="5EADDBCF" w14:textId="77777777" w:rsidR="00F91F9F" w:rsidRDefault="00F91F9F" w:rsidP="00F91F9F">
      <w:pPr>
        <w:pStyle w:val="NormalWeb"/>
        <w:ind w:left="720"/>
      </w:pPr>
      <w:r>
        <w:t>***</w:t>
      </w:r>
    </w:p>
    <w:p w14:paraId="4ED67B3A" w14:textId="77777777" w:rsidR="00F91F9F" w:rsidRDefault="00F91F9F" w:rsidP="00F91F9F">
      <w:pPr>
        <w:pStyle w:val="NormalWeb"/>
        <w:ind w:left="720"/>
      </w:pPr>
      <w:r>
        <w:t>In this case, Peden was terminated for his refusal to comply with a direct order to transfer to a different station for the duration of his shift during civil unrest. As the City argued in closing at the administrative hearing, ‘[t]his case boils down to was [Peden] given a direct order? Was he capable of following that direct order? Did he choose not to follow that direct order?’ The circumstances surrounding the sexual assault case against Peden were not relevant.</w:t>
      </w:r>
    </w:p>
    <w:p w14:paraId="15423C03" w14:textId="77777777" w:rsidR="00F91F9F" w:rsidRDefault="00F91F9F" w:rsidP="00F91F9F">
      <w:pPr>
        <w:pStyle w:val="NormalWeb"/>
        <w:ind w:left="720"/>
      </w:pPr>
      <w:r>
        <w:t>***</w:t>
      </w:r>
    </w:p>
    <w:p w14:paraId="2904EDB2" w14:textId="77777777" w:rsidR="00F91F9F" w:rsidRDefault="00F91F9F" w:rsidP="00F91F9F">
      <w:pPr>
        <w:pStyle w:val="NormalWeb"/>
        <w:ind w:left="720"/>
      </w:pPr>
      <w:r w:rsidRPr="00DC5CF1">
        <w:t>Footnote 1:  In 2017, Peden was charged with second-degree sexual assault of another firefighter, Aleah Ellis. Jason Strzelecki, also a firefighter and Ellis's then-boyfriend, was interviewed in the investigation. In 2019, the criminal case was dismissed.</w:t>
      </w:r>
      <w:r>
        <w:t xml:space="preserve">”  </w:t>
      </w:r>
      <w:hyperlink r:id="rId2704" w:history="1">
        <w:r w:rsidRPr="0090149E">
          <w:rPr>
            <w:rStyle w:val="Hyperlink"/>
          </w:rPr>
          <w:t>https://public.fastcase.com/H1P9uiW3J20SFp%2BGCG%2BxLYnumIVIfsGACQtvjphi2XY03JuMe7fj8LYdA6mgqlK3BbmtQ%2FoJ5o3JnUu66xez4U0Yi6wQOqSsnYT7%2FU1%2BNuI%3D?utm_medium=email&amp;_hsmi=226712652&amp;_hsenc=p2ANqtz-_mOZCnm_LbXEmI1zB76drE4EDUF13YglxTvTeEnBHhjbPE-34_IMopnnbUF8mE8HxS5G0Ftb4dM_ZSxt2dhhqJsyxB9A&amp;utm_content=226712652&amp;utm_source=hs_email</w:t>
        </w:r>
      </w:hyperlink>
      <w:r>
        <w:t xml:space="preserve"> </w:t>
      </w:r>
    </w:p>
    <w:p w14:paraId="63E9E340" w14:textId="77777777" w:rsidR="00F91F9F" w:rsidRDefault="00F91F9F" w:rsidP="00F91F9F">
      <w:pPr>
        <w:spacing w:before="100" w:beforeAutospacing="1" w:after="100" w:afterAutospacing="1" w:line="240" w:lineRule="auto"/>
        <w:outlineLvl w:val="0"/>
        <w:rPr>
          <w:rFonts w:ascii="Times New Roman" w:hAnsi="Times New Roman"/>
          <w:b/>
          <w:bCs/>
          <w:sz w:val="24"/>
          <w:szCs w:val="24"/>
        </w:rPr>
      </w:pPr>
      <w:r w:rsidRPr="00122C10">
        <w:rPr>
          <w:rFonts w:ascii="Times New Roman" w:hAnsi="Times New Roman"/>
          <w:b/>
          <w:bCs/>
          <w:sz w:val="24"/>
          <w:szCs w:val="24"/>
        </w:rPr>
        <w:t>Legal Lesson Learned:</w:t>
      </w:r>
      <w:r>
        <w:rPr>
          <w:rFonts w:ascii="Times New Roman" w:hAnsi="Times New Roman"/>
          <w:b/>
          <w:bCs/>
          <w:sz w:val="24"/>
          <w:szCs w:val="24"/>
        </w:rPr>
        <w:t xml:space="preserve"> Violating a direct order can be basis for termination, particularly in a period of civil unrest where fire stations were being evacuated to protect the firefighters. </w:t>
      </w:r>
    </w:p>
    <w:p w14:paraId="0C2612DC" w14:textId="77777777" w:rsidR="00F91F9F" w:rsidRDefault="00F91F9F" w:rsidP="00F326E5">
      <w:pPr>
        <w:pStyle w:val="NoSpacing"/>
        <w:rPr>
          <w:rFonts w:ascii="Arial Black" w:hAnsi="Arial Black"/>
          <w:sz w:val="24"/>
          <w:szCs w:val="24"/>
        </w:rPr>
      </w:pPr>
    </w:p>
    <w:p w14:paraId="530D1534" w14:textId="77777777" w:rsidR="00F91F9F" w:rsidRDefault="00F91F9F" w:rsidP="00F326E5">
      <w:pPr>
        <w:pStyle w:val="NoSpacing"/>
        <w:rPr>
          <w:rFonts w:ascii="Arial Black" w:hAnsi="Arial Black"/>
          <w:sz w:val="24"/>
          <w:szCs w:val="24"/>
        </w:rPr>
      </w:pPr>
    </w:p>
    <w:p w14:paraId="0BA43EA7" w14:textId="77777777" w:rsidR="00F91F9F" w:rsidRDefault="00F91F9F" w:rsidP="00F326E5">
      <w:pPr>
        <w:pStyle w:val="NoSpacing"/>
        <w:rPr>
          <w:rFonts w:ascii="Arial Black" w:hAnsi="Arial Black"/>
          <w:sz w:val="24"/>
          <w:szCs w:val="24"/>
        </w:rPr>
      </w:pPr>
    </w:p>
    <w:p w14:paraId="377CCFDE" w14:textId="77777777" w:rsidR="00F91F9F" w:rsidRDefault="00F91F9F" w:rsidP="00F326E5">
      <w:pPr>
        <w:pStyle w:val="NoSpacing"/>
        <w:rPr>
          <w:rFonts w:ascii="Arial Black" w:hAnsi="Arial Black"/>
          <w:sz w:val="24"/>
          <w:szCs w:val="24"/>
        </w:rPr>
      </w:pPr>
    </w:p>
    <w:p w14:paraId="552C734D" w14:textId="37043548" w:rsidR="00D1090F" w:rsidRDefault="00D1090F" w:rsidP="00F326E5">
      <w:pPr>
        <w:pStyle w:val="NoSpacing"/>
        <w:rPr>
          <w:rFonts w:ascii="Arial Black" w:hAnsi="Arial Black"/>
          <w:sz w:val="24"/>
          <w:szCs w:val="24"/>
        </w:rPr>
      </w:pPr>
      <w:r>
        <w:rPr>
          <w:rFonts w:ascii="Arial Black" w:hAnsi="Arial Black"/>
          <w:sz w:val="24"/>
          <w:szCs w:val="24"/>
        </w:rPr>
        <w:t>16-105</w:t>
      </w:r>
    </w:p>
    <w:p w14:paraId="000C4F3D" w14:textId="77777777" w:rsidR="006E77A8" w:rsidRPr="00D26276" w:rsidRDefault="006E77A8" w:rsidP="006E77A8">
      <w:pPr>
        <w:spacing w:before="100" w:beforeAutospacing="1" w:after="100" w:afterAutospacing="1"/>
        <w:outlineLvl w:val="0"/>
        <w:rPr>
          <w:rFonts w:ascii="Arial Black" w:eastAsia="Times New Roman" w:hAnsi="Arial Black"/>
          <w:b/>
          <w:bCs/>
          <w:kern w:val="36"/>
          <w:sz w:val="28"/>
          <w:szCs w:val="28"/>
        </w:rPr>
      </w:pPr>
      <w:r>
        <w:rPr>
          <w:rFonts w:ascii="Arial Black" w:eastAsia="Times New Roman" w:hAnsi="Arial Black"/>
          <w:b/>
          <w:bCs/>
          <w:kern w:val="36"/>
          <w:sz w:val="28"/>
          <w:szCs w:val="28"/>
        </w:rPr>
        <w:t>OH: CINCINNATI FIRE CHIEF WAS FIRED – NOT “AT WILL” AFTER 6 MO. PROB. - ONLY “FOR CAUSE” – CASE PROCEED</w:t>
      </w:r>
    </w:p>
    <w:p w14:paraId="7348841D" w14:textId="77777777" w:rsidR="006E77A8" w:rsidRDefault="006E77A8" w:rsidP="006E77A8">
      <w:pPr>
        <w:pStyle w:val="NoSpacing"/>
        <w:rPr>
          <w:rFonts w:ascii="Times New Roman" w:hAnsi="Times New Roman"/>
          <w:sz w:val="24"/>
          <w:szCs w:val="24"/>
        </w:rPr>
      </w:pPr>
      <w:r>
        <w:rPr>
          <w:rFonts w:ascii="Times New Roman" w:hAnsi="Times New Roman"/>
          <w:sz w:val="24"/>
          <w:szCs w:val="24"/>
        </w:rPr>
        <w:t xml:space="preserve">On Feb. 7, 2023, in </w:t>
      </w:r>
      <w:r w:rsidRPr="00DC5906">
        <w:rPr>
          <w:rFonts w:ascii="Times New Roman" w:hAnsi="Times New Roman"/>
          <w:sz w:val="24"/>
          <w:szCs w:val="24"/>
          <w:u w:val="single"/>
        </w:rPr>
        <w:t>Michael Washington v. City of Cincinnati and Sheryl Long</w:t>
      </w:r>
      <w:r>
        <w:rPr>
          <w:rFonts w:ascii="Times New Roman" w:hAnsi="Times New Roman"/>
          <w:sz w:val="24"/>
          <w:szCs w:val="24"/>
        </w:rPr>
        <w:t>, U.S. District Court Judge Douglas R. Cole, U.S. District Court for Southern District of Ohio (Western Division) denied Citty’s motion for dismissal; finding that “</w:t>
      </w:r>
      <w:r w:rsidRPr="00945D7C">
        <w:rPr>
          <w:rFonts w:ascii="Times New Roman" w:hAnsi="Times New Roman"/>
          <w:sz w:val="24"/>
          <w:szCs w:val="24"/>
        </w:rPr>
        <w:t>Washington has validly pleaded claims for state and federal due process</w:t>
      </w:r>
      <w:r>
        <w:rPr>
          <w:rFonts w:ascii="Times New Roman" w:hAnsi="Times New Roman"/>
          <w:sz w:val="24"/>
          <w:szCs w:val="24"/>
        </w:rPr>
        <w:t xml:space="preserve"> </w:t>
      </w:r>
      <w:r w:rsidRPr="00945D7C">
        <w:rPr>
          <w:rFonts w:ascii="Times New Roman" w:hAnsi="Times New Roman"/>
          <w:sz w:val="24"/>
          <w:szCs w:val="24"/>
        </w:rPr>
        <w:t>violations, defamation, and entitlement to declaratory relief. Furthermore, based on</w:t>
      </w:r>
      <w:r>
        <w:rPr>
          <w:rFonts w:ascii="Times New Roman" w:hAnsi="Times New Roman"/>
          <w:sz w:val="24"/>
          <w:szCs w:val="24"/>
        </w:rPr>
        <w:t xml:space="preserve"> </w:t>
      </w:r>
      <w:r w:rsidRPr="00945D7C">
        <w:rPr>
          <w:rFonts w:ascii="Times New Roman" w:hAnsi="Times New Roman"/>
          <w:sz w:val="24"/>
          <w:szCs w:val="24"/>
        </w:rPr>
        <w:t xml:space="preserve">the allegations in the Amended Complaint, </w:t>
      </w:r>
      <w:r>
        <w:rPr>
          <w:rFonts w:ascii="Times New Roman" w:hAnsi="Times New Roman"/>
          <w:sz w:val="24"/>
          <w:szCs w:val="24"/>
        </w:rPr>
        <w:t>[City Mgr.]</w:t>
      </w:r>
      <w:r w:rsidRPr="00945D7C">
        <w:rPr>
          <w:rFonts w:ascii="Times New Roman" w:hAnsi="Times New Roman"/>
          <w:sz w:val="24"/>
          <w:szCs w:val="24"/>
        </w:rPr>
        <w:t>Long cannot rely on either qualified or</w:t>
      </w:r>
      <w:r>
        <w:rPr>
          <w:rFonts w:ascii="Times New Roman" w:hAnsi="Times New Roman"/>
          <w:sz w:val="24"/>
          <w:szCs w:val="24"/>
        </w:rPr>
        <w:t xml:space="preserve"> </w:t>
      </w:r>
      <w:r w:rsidRPr="00945D7C">
        <w:rPr>
          <w:rFonts w:ascii="Times New Roman" w:hAnsi="Times New Roman"/>
          <w:sz w:val="24"/>
          <w:szCs w:val="24"/>
        </w:rPr>
        <w:t>state-law immunity to extinguish the individual-capacity claims against her.</w:t>
      </w:r>
      <w:r>
        <w:rPr>
          <w:rFonts w:ascii="Times New Roman" w:hAnsi="Times New Roman"/>
          <w:sz w:val="24"/>
          <w:szCs w:val="24"/>
        </w:rPr>
        <w:t xml:space="preserve">” </w:t>
      </w:r>
    </w:p>
    <w:p w14:paraId="40014C24" w14:textId="77777777" w:rsidR="006E77A8" w:rsidRDefault="006E77A8" w:rsidP="006E77A8">
      <w:pPr>
        <w:pStyle w:val="NoSpacing"/>
        <w:rPr>
          <w:rFonts w:ascii="Times New Roman" w:hAnsi="Times New Roman"/>
          <w:sz w:val="24"/>
          <w:szCs w:val="24"/>
        </w:rPr>
      </w:pPr>
    </w:p>
    <w:p w14:paraId="0CD2CF15" w14:textId="77777777" w:rsidR="006E77A8" w:rsidRDefault="006E77A8" w:rsidP="006E77A8">
      <w:pPr>
        <w:pStyle w:val="NoSpacing"/>
        <w:rPr>
          <w:rFonts w:ascii="Times New Roman" w:hAnsi="Times New Roman"/>
          <w:sz w:val="24"/>
          <w:szCs w:val="24"/>
        </w:rPr>
      </w:pPr>
      <w:r>
        <w:rPr>
          <w:rFonts w:ascii="Times New Roman" w:hAnsi="Times New Roman"/>
          <w:sz w:val="24"/>
          <w:szCs w:val="24"/>
        </w:rPr>
        <w:t>The Court held:</w:t>
      </w:r>
    </w:p>
    <w:p w14:paraId="0E5F0F7B" w14:textId="77777777" w:rsidR="006E77A8" w:rsidRDefault="006E77A8" w:rsidP="006E77A8">
      <w:pPr>
        <w:pStyle w:val="NoSpacing"/>
        <w:ind w:firstLine="720"/>
        <w:rPr>
          <w:rFonts w:ascii="Times New Roman" w:hAnsi="Times New Roman"/>
          <w:sz w:val="24"/>
          <w:szCs w:val="24"/>
        </w:rPr>
      </w:pPr>
    </w:p>
    <w:p w14:paraId="6FE193A8" w14:textId="77777777" w:rsidR="006E77A8" w:rsidRPr="00D26276" w:rsidRDefault="006E77A8" w:rsidP="006E77A8">
      <w:pPr>
        <w:pStyle w:val="NoSpacing"/>
        <w:ind w:firstLine="720"/>
        <w:rPr>
          <w:rFonts w:ascii="Times New Roman" w:hAnsi="Times New Roman"/>
          <w:sz w:val="24"/>
          <w:szCs w:val="24"/>
        </w:rPr>
      </w:pPr>
      <w:r>
        <w:rPr>
          <w:rFonts w:ascii="Times New Roman" w:hAnsi="Times New Roman"/>
          <w:sz w:val="24"/>
          <w:szCs w:val="24"/>
        </w:rPr>
        <w:t>“</w:t>
      </w:r>
      <w:r w:rsidRPr="00D26276">
        <w:rPr>
          <w:rFonts w:ascii="Times New Roman" w:hAnsi="Times New Roman"/>
          <w:sz w:val="24"/>
          <w:szCs w:val="24"/>
        </w:rPr>
        <w:t>As explained further below, the Court concludes dismissal is unwarranted.</w:t>
      </w:r>
    </w:p>
    <w:p w14:paraId="3BEA9A27"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Washington has alleged a cognizable property interest in his employment under the</w:t>
      </w:r>
    </w:p>
    <w:p w14:paraId="3228A967"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City’s charter, which made him removable only “for cause.” Thus, Washington’s due</w:t>
      </w:r>
    </w:p>
    <w:p w14:paraId="5CF7A916"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process claims and attendant demand for declaratory relief premised on the due</w:t>
      </w:r>
    </w:p>
    <w:p w14:paraId="241E9493"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process violations clear the 12(b)(6) hurdle. The Amended Complaint also plausibly</w:t>
      </w:r>
    </w:p>
    <w:p w14:paraId="44368E3D"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states a claim for defamation—but Washington can proceed to the merits of this claim</w:t>
      </w:r>
    </w:p>
    <w:p w14:paraId="7BFB94E5"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 xml:space="preserve">on only two of the allegedly defamatory </w:t>
      </w:r>
      <w:proofErr w:type="gramStart"/>
      <w:r w:rsidRPr="00D26276">
        <w:rPr>
          <w:rFonts w:ascii="Times New Roman" w:hAnsi="Times New Roman"/>
          <w:sz w:val="24"/>
          <w:szCs w:val="24"/>
        </w:rPr>
        <w:t>statements</w:t>
      </w:r>
      <w:proofErr w:type="gramEnd"/>
      <w:r w:rsidRPr="00D26276">
        <w:rPr>
          <w:rFonts w:ascii="Times New Roman" w:hAnsi="Times New Roman"/>
          <w:sz w:val="24"/>
          <w:szCs w:val="24"/>
        </w:rPr>
        <w:t xml:space="preserve"> he identifies in the Amended</w:t>
      </w:r>
    </w:p>
    <w:p w14:paraId="7D8C141E"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Complaint. Finally, Long’s claims of immunity from suit in her individual capacity</w:t>
      </w:r>
    </w:p>
    <w:p w14:paraId="01ECB7B7" w14:textId="77777777" w:rsidR="006E77A8" w:rsidRPr="00D26276" w:rsidRDefault="006E77A8" w:rsidP="006E77A8">
      <w:pPr>
        <w:pStyle w:val="NoSpacing"/>
        <w:ind w:left="720"/>
        <w:rPr>
          <w:rFonts w:ascii="Times New Roman" w:hAnsi="Times New Roman"/>
          <w:sz w:val="24"/>
          <w:szCs w:val="24"/>
        </w:rPr>
      </w:pPr>
      <w:r w:rsidRPr="00D26276">
        <w:rPr>
          <w:rFonts w:ascii="Times New Roman" w:hAnsi="Times New Roman"/>
          <w:sz w:val="24"/>
          <w:szCs w:val="24"/>
        </w:rPr>
        <w:t>fall short at this stage of the litigation.</w:t>
      </w:r>
      <w:r>
        <w:rPr>
          <w:rFonts w:ascii="Times New Roman" w:hAnsi="Times New Roman"/>
          <w:sz w:val="24"/>
          <w:szCs w:val="24"/>
        </w:rPr>
        <w:t xml:space="preserve">” </w:t>
      </w:r>
      <w:hyperlink r:id="rId2705" w:history="1">
        <w:r w:rsidRPr="00216BB3">
          <w:rPr>
            <w:rStyle w:val="Hyperlink"/>
            <w:rFonts w:ascii="Times New Roman" w:hAnsi="Times New Roman"/>
            <w:sz w:val="24"/>
            <w:szCs w:val="24"/>
          </w:rPr>
          <w:t>https://cases.justia.com/federal/district-courts/ohio/ohsdce/1:2023cv00230/279336/13/0.pdf?ts=1707452867</w:t>
        </w:r>
      </w:hyperlink>
      <w:r>
        <w:rPr>
          <w:rFonts w:ascii="Times New Roman" w:hAnsi="Times New Roman"/>
          <w:sz w:val="24"/>
          <w:szCs w:val="24"/>
        </w:rPr>
        <w:t xml:space="preserve"> </w:t>
      </w:r>
    </w:p>
    <w:p w14:paraId="763C1CFC" w14:textId="77777777" w:rsidR="006E77A8" w:rsidRDefault="006E77A8" w:rsidP="006E77A8">
      <w:pPr>
        <w:pStyle w:val="NoSpacing"/>
        <w:rPr>
          <w:rFonts w:ascii="Times New Roman" w:hAnsi="Times New Roman"/>
          <w:b/>
          <w:bCs/>
          <w:sz w:val="24"/>
          <w:szCs w:val="24"/>
        </w:rPr>
      </w:pPr>
      <w:r w:rsidRPr="00BB6010">
        <w:rPr>
          <w:rFonts w:ascii="Times New Roman" w:hAnsi="Times New Roman"/>
          <w:b/>
          <w:bCs/>
          <w:sz w:val="24"/>
          <w:szCs w:val="24"/>
        </w:rPr>
        <w:t>Legal Lesson Learned:</w:t>
      </w:r>
      <w:r>
        <w:rPr>
          <w:rFonts w:ascii="Times New Roman" w:hAnsi="Times New Roman"/>
          <w:b/>
          <w:bCs/>
          <w:sz w:val="24"/>
          <w:szCs w:val="24"/>
        </w:rPr>
        <w:t xml:space="preserve"> Provide due process to Fire Chief or other senior officers, even if position is “unclassified” and not covered by civil service protection, including written notice of concerns, and then if concerns not addressed, a pre-disciplinary conference. </w:t>
      </w:r>
    </w:p>
    <w:p w14:paraId="7B30F823" w14:textId="77777777" w:rsidR="006E77A8" w:rsidRDefault="006E77A8" w:rsidP="006E77A8">
      <w:pPr>
        <w:pStyle w:val="NoSpacing"/>
        <w:rPr>
          <w:rFonts w:ascii="Times New Roman" w:hAnsi="Times New Roman"/>
          <w:b/>
          <w:bCs/>
          <w:sz w:val="24"/>
          <w:szCs w:val="24"/>
        </w:rPr>
      </w:pPr>
    </w:p>
    <w:p w14:paraId="20AC5C04" w14:textId="77777777" w:rsidR="006E77A8" w:rsidRPr="00F93B49" w:rsidRDefault="006E77A8" w:rsidP="006E77A8">
      <w:pPr>
        <w:pStyle w:val="NoSpacing"/>
        <w:rPr>
          <w:rFonts w:ascii="Times New Roman" w:hAnsi="Times New Roman"/>
          <w:sz w:val="24"/>
          <w:szCs w:val="24"/>
        </w:rPr>
      </w:pPr>
      <w:r>
        <w:rPr>
          <w:rFonts w:ascii="Times New Roman" w:hAnsi="Times New Roman"/>
          <w:b/>
          <w:bCs/>
          <w:sz w:val="24"/>
          <w:szCs w:val="24"/>
        </w:rPr>
        <w:tab/>
      </w:r>
      <w:r w:rsidRPr="00F93B49">
        <w:rPr>
          <w:rFonts w:ascii="Times New Roman" w:hAnsi="Times New Roman"/>
          <w:sz w:val="24"/>
          <w:szCs w:val="24"/>
        </w:rPr>
        <w:t>Note: The Court wrote: “And Washington alleges that he was given no pre-deprivation</w:t>
      </w:r>
    </w:p>
    <w:p w14:paraId="0F52BE54" w14:textId="77777777" w:rsidR="006E77A8" w:rsidRPr="00F93B49" w:rsidRDefault="006E77A8" w:rsidP="006E77A8">
      <w:pPr>
        <w:pStyle w:val="NoSpacing"/>
        <w:ind w:left="720"/>
        <w:rPr>
          <w:rFonts w:ascii="Times New Roman" w:hAnsi="Times New Roman"/>
          <w:sz w:val="24"/>
          <w:szCs w:val="24"/>
        </w:rPr>
      </w:pPr>
      <w:r w:rsidRPr="00F93B49">
        <w:rPr>
          <w:rFonts w:ascii="Times New Roman" w:hAnsi="Times New Roman"/>
          <w:sz w:val="24"/>
          <w:szCs w:val="24"/>
        </w:rPr>
        <w:t xml:space="preserve">notice or hearing </w:t>
      </w:r>
      <w:r>
        <w:rPr>
          <w:rFonts w:ascii="Times New Roman" w:hAnsi="Times New Roman"/>
          <w:sz w:val="24"/>
          <w:szCs w:val="24"/>
        </w:rPr>
        <w:t xml:space="preserve"> - </w:t>
      </w:r>
      <w:r w:rsidRPr="00F93B49">
        <w:rPr>
          <w:rFonts w:ascii="Times New Roman" w:hAnsi="Times New Roman"/>
          <w:sz w:val="24"/>
          <w:szCs w:val="24"/>
        </w:rPr>
        <w:t>thereby plausibly alleging a lack of adequate pre-deprivation process to challenge Long’s termination decision. Cleveland Bd. of Ed. v.</w:t>
      </w:r>
      <w:r>
        <w:rPr>
          <w:rFonts w:ascii="Times New Roman" w:hAnsi="Times New Roman"/>
          <w:sz w:val="24"/>
          <w:szCs w:val="24"/>
        </w:rPr>
        <w:t xml:space="preserve"> </w:t>
      </w:r>
      <w:r w:rsidRPr="00F93B49">
        <w:rPr>
          <w:rFonts w:ascii="Times New Roman" w:hAnsi="Times New Roman"/>
          <w:sz w:val="24"/>
          <w:szCs w:val="24"/>
        </w:rPr>
        <w:t>Loudermill, 470 U.S. 532, 542 (1985)</w:t>
      </w:r>
      <w:r>
        <w:rPr>
          <w:rFonts w:ascii="Times New Roman" w:hAnsi="Times New Roman"/>
          <w:sz w:val="24"/>
          <w:szCs w:val="24"/>
        </w:rPr>
        <w:t xml:space="preserve">. </w:t>
      </w:r>
    </w:p>
    <w:p w14:paraId="745C4AD2" w14:textId="77777777" w:rsidR="006E77A8" w:rsidRPr="003F6B2A" w:rsidRDefault="006E77A8" w:rsidP="006E77A8">
      <w:pPr>
        <w:spacing w:before="100" w:beforeAutospacing="1" w:after="100" w:afterAutospacing="1"/>
        <w:ind w:left="720"/>
        <w:outlineLvl w:val="0"/>
        <w:rPr>
          <w:rStyle w:val="Hyperlink"/>
          <w:rFonts w:ascii="Times New Roman" w:eastAsia="Times New Roman" w:hAnsi="Times New Roman"/>
          <w:kern w:val="36"/>
          <w:sz w:val="24"/>
          <w:szCs w:val="24"/>
        </w:rPr>
      </w:pPr>
      <w:r w:rsidRPr="003F6B2A">
        <w:rPr>
          <w:rFonts w:ascii="Times New Roman" w:eastAsia="Times New Roman" w:hAnsi="Times New Roman"/>
          <w:kern w:val="36"/>
          <w:sz w:val="24"/>
          <w:szCs w:val="24"/>
        </w:rPr>
        <w:t xml:space="preserve">See Feb. 8, </w:t>
      </w:r>
      <w:proofErr w:type="gramStart"/>
      <w:r w:rsidRPr="003F6B2A">
        <w:rPr>
          <w:rFonts w:ascii="Times New Roman" w:eastAsia="Times New Roman" w:hAnsi="Times New Roman"/>
          <w:kern w:val="36"/>
          <w:sz w:val="24"/>
          <w:szCs w:val="24"/>
        </w:rPr>
        <w:t>2024</w:t>
      </w:r>
      <w:proofErr w:type="gramEnd"/>
      <w:r w:rsidRPr="003F6B2A">
        <w:rPr>
          <w:rFonts w:ascii="Times New Roman" w:eastAsia="Times New Roman" w:hAnsi="Times New Roman"/>
          <w:kern w:val="36"/>
          <w:sz w:val="24"/>
          <w:szCs w:val="24"/>
        </w:rPr>
        <w:t xml:space="preserve"> article, “'First step towards justice': Court says ex-Cincinnati fire chief can sue city over firing.” </w:t>
      </w:r>
      <w:hyperlink r:id="rId2706" w:history="1">
        <w:r w:rsidRPr="003F6B2A">
          <w:rPr>
            <w:rStyle w:val="Hyperlink"/>
            <w:rFonts w:ascii="Times New Roman" w:eastAsia="Times New Roman" w:hAnsi="Times New Roman"/>
            <w:kern w:val="36"/>
            <w:sz w:val="24"/>
            <w:szCs w:val="24"/>
          </w:rPr>
          <w:t>https://www.cincinnati.com/story/news/politics/2024/02/08/court-former-fire-chief-michael-washington-can-sue-city/72523727007/</w:t>
        </w:r>
      </w:hyperlink>
    </w:p>
    <w:p w14:paraId="13AF3DDF" w14:textId="77777777" w:rsidR="006E77A8" w:rsidRDefault="006E77A8" w:rsidP="006E77A8">
      <w:pPr>
        <w:pStyle w:val="NormalWeb"/>
        <w:jc w:val="center"/>
      </w:pPr>
    </w:p>
    <w:p w14:paraId="23333F33" w14:textId="77777777" w:rsidR="006E77A8" w:rsidRDefault="006E77A8" w:rsidP="00F326E5">
      <w:pPr>
        <w:pStyle w:val="NoSpacing"/>
        <w:rPr>
          <w:rFonts w:ascii="Arial Black" w:hAnsi="Arial Black"/>
          <w:sz w:val="24"/>
          <w:szCs w:val="24"/>
        </w:rPr>
      </w:pPr>
    </w:p>
    <w:p w14:paraId="1EF89963" w14:textId="77777777" w:rsidR="00D1090F" w:rsidRDefault="00D1090F" w:rsidP="00F326E5">
      <w:pPr>
        <w:pStyle w:val="NoSpacing"/>
        <w:rPr>
          <w:rFonts w:ascii="Arial Black" w:hAnsi="Arial Black"/>
          <w:sz w:val="24"/>
          <w:szCs w:val="24"/>
        </w:rPr>
      </w:pPr>
    </w:p>
    <w:p w14:paraId="12056DFE" w14:textId="77777777" w:rsidR="00D1090F" w:rsidRDefault="00D1090F" w:rsidP="00F326E5">
      <w:pPr>
        <w:pStyle w:val="NoSpacing"/>
        <w:rPr>
          <w:rFonts w:ascii="Arial Black" w:hAnsi="Arial Black"/>
          <w:sz w:val="24"/>
          <w:szCs w:val="24"/>
        </w:rPr>
      </w:pPr>
    </w:p>
    <w:p w14:paraId="6644EEF6" w14:textId="25503B73" w:rsidR="00004BED" w:rsidRDefault="00004BED" w:rsidP="00F326E5">
      <w:pPr>
        <w:pStyle w:val="NoSpacing"/>
        <w:rPr>
          <w:rFonts w:ascii="Arial Black" w:hAnsi="Arial Black"/>
          <w:sz w:val="24"/>
          <w:szCs w:val="24"/>
        </w:rPr>
      </w:pPr>
      <w:r>
        <w:rPr>
          <w:rFonts w:ascii="Arial Black" w:hAnsi="Arial Black"/>
          <w:sz w:val="24"/>
          <w:szCs w:val="24"/>
        </w:rPr>
        <w:t>16-104</w:t>
      </w:r>
    </w:p>
    <w:p w14:paraId="01D2753C" w14:textId="77777777" w:rsidR="00004BED" w:rsidRPr="001C660F" w:rsidRDefault="00004BED" w:rsidP="00004BED">
      <w:pPr>
        <w:pStyle w:val="Heading1"/>
        <w:rPr>
          <w:rFonts w:ascii="Arial Black" w:hAnsi="Arial Black"/>
          <w:sz w:val="28"/>
          <w:szCs w:val="28"/>
        </w:rPr>
      </w:pPr>
      <w:r>
        <w:rPr>
          <w:rFonts w:ascii="Arial Black" w:hAnsi="Arial Black"/>
          <w:sz w:val="28"/>
          <w:szCs w:val="28"/>
        </w:rPr>
        <w:t>DC: FEMA -  SUSPENDED 13 DAYS – WELL DOCUMENTED REPRIMANDS – CASE DISMISSED, NO RETALIATION</w:t>
      </w:r>
    </w:p>
    <w:p w14:paraId="01E82C0F" w14:textId="77777777" w:rsidR="00004BED" w:rsidRDefault="00004BED" w:rsidP="00004BED">
      <w:pPr>
        <w:pStyle w:val="NoSpacing"/>
        <w:rPr>
          <w:rFonts w:ascii="Times New Roman" w:hAnsi="Times New Roman"/>
          <w:sz w:val="24"/>
          <w:szCs w:val="24"/>
        </w:rPr>
      </w:pPr>
      <w:r>
        <w:rPr>
          <w:rFonts w:ascii="Times New Roman" w:hAnsi="Times New Roman"/>
          <w:sz w:val="24"/>
          <w:szCs w:val="24"/>
        </w:rPr>
        <w:t xml:space="preserve">On Jan. 22, 2024, in </w:t>
      </w:r>
      <w:r w:rsidRPr="00D859E0">
        <w:rPr>
          <w:rFonts w:ascii="Times New Roman" w:hAnsi="Times New Roman"/>
          <w:sz w:val="24"/>
          <w:szCs w:val="24"/>
          <w:u w:val="single"/>
        </w:rPr>
        <w:t>Karl Rabenhorst v. Alejandro Mayorkas, Secretary, U.S. Department of Homeland Security</w:t>
      </w:r>
      <w:r>
        <w:rPr>
          <w:rFonts w:ascii="Times New Roman" w:hAnsi="Times New Roman"/>
          <w:sz w:val="24"/>
          <w:szCs w:val="24"/>
        </w:rPr>
        <w:t xml:space="preserve">, U.S. District Court Judge Manish S. Shah, U.S. District Court for Northern District of Illinois (Eastern Division), granted the Government’s motion for summary judgment.  </w:t>
      </w:r>
    </w:p>
    <w:p w14:paraId="42EEE3D7" w14:textId="77777777" w:rsidR="00004BED" w:rsidRDefault="00004BED" w:rsidP="00004BED">
      <w:pPr>
        <w:pStyle w:val="NoSpacing"/>
        <w:rPr>
          <w:rFonts w:ascii="Times New Roman" w:hAnsi="Times New Roman"/>
          <w:sz w:val="24"/>
          <w:szCs w:val="24"/>
        </w:rPr>
      </w:pPr>
    </w:p>
    <w:p w14:paraId="61A775E8" w14:textId="77777777" w:rsidR="00004BED" w:rsidRDefault="00004BED" w:rsidP="00004BED">
      <w:pPr>
        <w:pStyle w:val="NoSpacing"/>
        <w:ind w:left="720"/>
        <w:rPr>
          <w:rFonts w:ascii="Times New Roman" w:hAnsi="Times New Roman"/>
          <w:sz w:val="24"/>
          <w:szCs w:val="24"/>
        </w:rPr>
      </w:pPr>
      <w:r>
        <w:rPr>
          <w:rFonts w:ascii="Times New Roman" w:hAnsi="Times New Roman"/>
          <w:sz w:val="24"/>
          <w:szCs w:val="24"/>
        </w:rPr>
        <w:t>“</w:t>
      </w:r>
      <w:r w:rsidRPr="00395707">
        <w:rPr>
          <w:rFonts w:ascii="Times New Roman" w:hAnsi="Times New Roman"/>
          <w:sz w:val="24"/>
          <w:szCs w:val="24"/>
        </w:rPr>
        <w:t>Rabenhorst also fails to offer any evidence</w:t>
      </w:r>
      <w:r>
        <w:rPr>
          <w:rFonts w:ascii="Times New Roman" w:hAnsi="Times New Roman"/>
          <w:sz w:val="24"/>
          <w:szCs w:val="24"/>
        </w:rPr>
        <w:t xml:space="preserve"> </w:t>
      </w:r>
      <w:r w:rsidRPr="00395707">
        <w:rPr>
          <w:rFonts w:ascii="Times New Roman" w:hAnsi="Times New Roman"/>
          <w:sz w:val="24"/>
          <w:szCs w:val="24"/>
        </w:rPr>
        <w:t>of ambiguous statements of animus or similarly situated employees who were treated</w:t>
      </w:r>
      <w:r>
        <w:rPr>
          <w:rFonts w:ascii="Times New Roman" w:hAnsi="Times New Roman"/>
          <w:sz w:val="24"/>
          <w:szCs w:val="24"/>
        </w:rPr>
        <w:t xml:space="preserve"> </w:t>
      </w:r>
      <w:r w:rsidRPr="00395707">
        <w:rPr>
          <w:rFonts w:ascii="Times New Roman" w:hAnsi="Times New Roman"/>
          <w:sz w:val="24"/>
          <w:szCs w:val="24"/>
        </w:rPr>
        <w:t>differently. Rabenhorst has not presented any evidence that O’Leary’s reasons for the</w:t>
      </w:r>
      <w:r>
        <w:rPr>
          <w:rFonts w:ascii="Times New Roman" w:hAnsi="Times New Roman"/>
          <w:sz w:val="24"/>
          <w:szCs w:val="24"/>
        </w:rPr>
        <w:t xml:space="preserve"> </w:t>
      </w:r>
      <w:r w:rsidRPr="00395707">
        <w:rPr>
          <w:rFonts w:ascii="Times New Roman" w:hAnsi="Times New Roman"/>
          <w:sz w:val="24"/>
          <w:szCs w:val="24"/>
        </w:rPr>
        <w:t>suspension were pretextual. There is no evidence that would allow a jury to find that</w:t>
      </w:r>
      <w:r>
        <w:rPr>
          <w:rFonts w:ascii="Times New Roman" w:hAnsi="Times New Roman"/>
          <w:sz w:val="24"/>
          <w:szCs w:val="24"/>
        </w:rPr>
        <w:t xml:space="preserve"> </w:t>
      </w:r>
      <w:r w:rsidRPr="00395707">
        <w:rPr>
          <w:rFonts w:ascii="Times New Roman" w:hAnsi="Times New Roman"/>
          <w:sz w:val="24"/>
          <w:szCs w:val="24"/>
        </w:rPr>
        <w:t>O’Leary’s decision to suspend Rabenhorst without pay for 13 days was motivated by</w:t>
      </w:r>
      <w:r>
        <w:rPr>
          <w:rFonts w:ascii="Times New Roman" w:hAnsi="Times New Roman"/>
          <w:sz w:val="24"/>
          <w:szCs w:val="24"/>
        </w:rPr>
        <w:t xml:space="preserve"> </w:t>
      </w:r>
      <w:r w:rsidRPr="00395707">
        <w:rPr>
          <w:rFonts w:ascii="Times New Roman" w:hAnsi="Times New Roman"/>
          <w:sz w:val="24"/>
          <w:szCs w:val="24"/>
        </w:rPr>
        <w:t>anything but Rabenhorst’s misconduct.</w:t>
      </w:r>
      <w:r>
        <w:rPr>
          <w:rFonts w:ascii="Times New Roman" w:hAnsi="Times New Roman"/>
          <w:sz w:val="24"/>
          <w:szCs w:val="24"/>
        </w:rPr>
        <w:t xml:space="preserve">” </w:t>
      </w:r>
    </w:p>
    <w:p w14:paraId="036982FA" w14:textId="7063306D" w:rsidR="00004BED" w:rsidRDefault="00004BED" w:rsidP="00004BED">
      <w:pPr>
        <w:pStyle w:val="NoSpacing"/>
        <w:rPr>
          <w:rFonts w:ascii="Arial Black" w:hAnsi="Arial Black"/>
          <w:sz w:val="24"/>
          <w:szCs w:val="24"/>
        </w:rPr>
      </w:pPr>
      <w:hyperlink r:id="rId2707" w:history="1">
        <w:r w:rsidRPr="00624A20">
          <w:rPr>
            <w:rStyle w:val="Hyperlink"/>
            <w:rFonts w:ascii="Times New Roman" w:hAnsi="Times New Roman"/>
            <w:sz w:val="24"/>
            <w:szCs w:val="24"/>
          </w:rPr>
          <w:t>https://cases.justia.com/federal/district-courts/illinois/ilndce/1:2021cv03620/405182/52/0.pdf?ts=1706027592</w:t>
        </w:r>
      </w:hyperlink>
    </w:p>
    <w:p w14:paraId="2361AB0B" w14:textId="77777777" w:rsidR="00004BED" w:rsidRDefault="00004BED" w:rsidP="00F326E5">
      <w:pPr>
        <w:pStyle w:val="NoSpacing"/>
        <w:rPr>
          <w:rFonts w:ascii="Arial Black" w:hAnsi="Arial Black"/>
          <w:sz w:val="24"/>
          <w:szCs w:val="24"/>
        </w:rPr>
      </w:pPr>
    </w:p>
    <w:p w14:paraId="5805E9E1" w14:textId="77777777" w:rsidR="001B7DE1" w:rsidRDefault="001B7DE1" w:rsidP="001B7DE1">
      <w:pPr>
        <w:pStyle w:val="NoSpacing"/>
        <w:rPr>
          <w:b/>
          <w:bCs/>
        </w:rPr>
      </w:pPr>
      <w:r w:rsidRPr="004041F9">
        <w:rPr>
          <w:rFonts w:ascii="Times New Roman" w:hAnsi="Times New Roman"/>
          <w:b/>
          <w:bCs/>
          <w:sz w:val="24"/>
          <w:szCs w:val="24"/>
        </w:rPr>
        <w:t xml:space="preserve">Legal Lesson Learned: </w:t>
      </w:r>
      <w:r>
        <w:rPr>
          <w:rFonts w:ascii="Times New Roman" w:hAnsi="Times New Roman"/>
          <w:b/>
          <w:bCs/>
          <w:sz w:val="24"/>
          <w:szCs w:val="24"/>
        </w:rPr>
        <w:t xml:space="preserve">Thorough documentation of discipline led to dismissal of this lawsuit.  </w:t>
      </w:r>
    </w:p>
    <w:p w14:paraId="0AACF249" w14:textId="77777777" w:rsidR="00004BED" w:rsidRDefault="00004BED" w:rsidP="00F326E5">
      <w:pPr>
        <w:pStyle w:val="NoSpacing"/>
        <w:rPr>
          <w:rFonts w:ascii="Arial Black" w:hAnsi="Arial Black"/>
          <w:sz w:val="24"/>
          <w:szCs w:val="24"/>
        </w:rPr>
      </w:pPr>
    </w:p>
    <w:p w14:paraId="58796F2F" w14:textId="77777777" w:rsidR="001B7DE1" w:rsidRDefault="001B7DE1" w:rsidP="00F326E5">
      <w:pPr>
        <w:pStyle w:val="NoSpacing"/>
        <w:rPr>
          <w:rFonts w:ascii="Arial Black" w:hAnsi="Arial Black"/>
          <w:sz w:val="24"/>
          <w:szCs w:val="24"/>
        </w:rPr>
      </w:pPr>
    </w:p>
    <w:p w14:paraId="586C9110" w14:textId="77777777" w:rsidR="001B7DE1" w:rsidRDefault="001B7DE1" w:rsidP="00F326E5">
      <w:pPr>
        <w:pStyle w:val="NoSpacing"/>
        <w:rPr>
          <w:rFonts w:ascii="Arial Black" w:hAnsi="Arial Black"/>
          <w:sz w:val="24"/>
          <w:szCs w:val="24"/>
        </w:rPr>
      </w:pPr>
    </w:p>
    <w:p w14:paraId="1D8E9AEC" w14:textId="74EB8728" w:rsidR="001D190A" w:rsidRDefault="001D190A" w:rsidP="00F326E5">
      <w:pPr>
        <w:pStyle w:val="NoSpacing"/>
        <w:rPr>
          <w:rFonts w:ascii="Arial Black" w:hAnsi="Arial Black"/>
          <w:sz w:val="24"/>
          <w:szCs w:val="24"/>
        </w:rPr>
      </w:pPr>
      <w:r>
        <w:rPr>
          <w:rFonts w:ascii="Arial Black" w:hAnsi="Arial Black"/>
          <w:sz w:val="24"/>
          <w:szCs w:val="24"/>
        </w:rPr>
        <w:t>16-103</w:t>
      </w:r>
    </w:p>
    <w:p w14:paraId="312C76B5" w14:textId="77777777" w:rsidR="001D190A" w:rsidRDefault="001D190A" w:rsidP="00F326E5">
      <w:pPr>
        <w:pStyle w:val="NoSpacing"/>
        <w:rPr>
          <w:rFonts w:ascii="Arial Black" w:hAnsi="Arial Black"/>
          <w:sz w:val="24"/>
          <w:szCs w:val="24"/>
        </w:rPr>
      </w:pPr>
    </w:p>
    <w:p w14:paraId="35599DF1" w14:textId="77777777" w:rsidR="001D190A" w:rsidRPr="00A34D02" w:rsidRDefault="001D190A" w:rsidP="001D190A">
      <w:pPr>
        <w:pStyle w:val="NoSpacing"/>
        <w:rPr>
          <w:rFonts w:ascii="Arial Black" w:hAnsi="Arial Black"/>
          <w:sz w:val="28"/>
          <w:szCs w:val="28"/>
        </w:rPr>
      </w:pPr>
      <w:r>
        <w:rPr>
          <w:rFonts w:ascii="Arial Black" w:hAnsi="Arial Black"/>
          <w:sz w:val="28"/>
          <w:szCs w:val="28"/>
        </w:rPr>
        <w:t>WV: FF TERMINATION UPHELD - ARRESTS DOMESTIC VIOL – DISCHARGED FIREARM - CIVIL SERVICE COMM. REVERSED</w:t>
      </w:r>
    </w:p>
    <w:p w14:paraId="4A0CF2D4" w14:textId="77777777" w:rsidR="001D190A" w:rsidRDefault="001D190A" w:rsidP="001D190A">
      <w:pPr>
        <w:pStyle w:val="NoSpacing"/>
        <w:rPr>
          <w:rFonts w:ascii="Times New Roman" w:hAnsi="Times New Roman"/>
          <w:sz w:val="24"/>
          <w:szCs w:val="24"/>
        </w:rPr>
      </w:pPr>
    </w:p>
    <w:p w14:paraId="6DCC8568" w14:textId="77777777" w:rsidR="001D190A" w:rsidRDefault="001D190A" w:rsidP="001D190A">
      <w:pPr>
        <w:pStyle w:val="NoSpacing"/>
        <w:rPr>
          <w:rFonts w:ascii="Times New Roman" w:hAnsi="Times New Roman"/>
          <w:sz w:val="24"/>
          <w:szCs w:val="24"/>
        </w:rPr>
      </w:pPr>
      <w:r>
        <w:rPr>
          <w:rFonts w:ascii="Times New Roman" w:hAnsi="Times New Roman"/>
          <w:sz w:val="24"/>
          <w:szCs w:val="24"/>
        </w:rPr>
        <w:t xml:space="preserve">On Dec. 27, 2023, in </w:t>
      </w:r>
      <w:r w:rsidRPr="00ED4A72">
        <w:rPr>
          <w:rFonts w:ascii="Times New Roman" w:hAnsi="Times New Roman"/>
          <w:sz w:val="24"/>
          <w:szCs w:val="24"/>
          <w:u w:val="single"/>
        </w:rPr>
        <w:t>Nicholas Graley v. City of South Charleston</w:t>
      </w:r>
      <w:r>
        <w:rPr>
          <w:rFonts w:ascii="Times New Roman" w:hAnsi="Times New Roman"/>
          <w:sz w:val="24"/>
          <w:szCs w:val="24"/>
        </w:rPr>
        <w:t xml:space="preserve">, the Intermediate Court of Appeals of West Virginia held (3 to 0) that the firefighters </w:t>
      </w:r>
      <w:proofErr w:type="gramStart"/>
      <w:r>
        <w:rPr>
          <w:rFonts w:ascii="Times New Roman" w:hAnsi="Times New Roman"/>
          <w:sz w:val="24"/>
          <w:szCs w:val="24"/>
        </w:rPr>
        <w:t>was</w:t>
      </w:r>
      <w:proofErr w:type="gramEnd"/>
      <w:r>
        <w:rPr>
          <w:rFonts w:ascii="Times New Roman" w:hAnsi="Times New Roman"/>
          <w:sz w:val="24"/>
          <w:szCs w:val="24"/>
        </w:rPr>
        <w:t xml:space="preserve"> properly terminated, upholding the decision of the Circuit Court judge of </w:t>
      </w:r>
      <w:r w:rsidRPr="00A95B2F">
        <w:rPr>
          <w:rFonts w:ascii="Times New Roman" w:hAnsi="Times New Roman"/>
          <w:sz w:val="24"/>
          <w:szCs w:val="24"/>
        </w:rPr>
        <w:t xml:space="preserve">Kanawha </w:t>
      </w:r>
      <w:r>
        <w:rPr>
          <w:rFonts w:ascii="Times New Roman" w:hAnsi="Times New Roman"/>
          <w:sz w:val="24"/>
          <w:szCs w:val="24"/>
        </w:rPr>
        <w:t>County; the City’s Civil Service Commission decision to only suspend firefighter reversed.  The Court held: “</w:t>
      </w:r>
      <w:r w:rsidRPr="0023429B">
        <w:rPr>
          <w:rFonts w:ascii="Times New Roman" w:hAnsi="Times New Roman"/>
          <w:sz w:val="24"/>
          <w:szCs w:val="24"/>
        </w:rPr>
        <w:t>Further, the final order of the Commission is reversed because the Commission</w:t>
      </w:r>
      <w:r>
        <w:rPr>
          <w:rFonts w:ascii="Times New Roman" w:hAnsi="Times New Roman"/>
          <w:sz w:val="24"/>
          <w:szCs w:val="24"/>
        </w:rPr>
        <w:t xml:space="preserve"> </w:t>
      </w:r>
      <w:r w:rsidRPr="0023429B">
        <w:rPr>
          <w:rFonts w:ascii="Times New Roman" w:hAnsi="Times New Roman"/>
          <w:sz w:val="24"/>
          <w:szCs w:val="24"/>
        </w:rPr>
        <w:t>entirely failed to consider important aspects of the case and offered explanations that ran</w:t>
      </w:r>
      <w:r>
        <w:rPr>
          <w:rFonts w:ascii="Times New Roman" w:hAnsi="Times New Roman"/>
          <w:sz w:val="24"/>
          <w:szCs w:val="24"/>
        </w:rPr>
        <w:t xml:space="preserve"> </w:t>
      </w:r>
      <w:r w:rsidRPr="0023429B">
        <w:rPr>
          <w:rFonts w:ascii="Times New Roman" w:hAnsi="Times New Roman"/>
          <w:sz w:val="24"/>
          <w:szCs w:val="24"/>
        </w:rPr>
        <w:t>counter to the evidence.</w:t>
      </w:r>
      <w:r>
        <w:rPr>
          <w:rFonts w:ascii="Times New Roman" w:hAnsi="Times New Roman"/>
          <w:sz w:val="24"/>
          <w:szCs w:val="24"/>
        </w:rPr>
        <w:t xml:space="preserve"> </w:t>
      </w:r>
      <w:r w:rsidRPr="0023429B">
        <w:rPr>
          <w:rFonts w:ascii="Times New Roman" w:hAnsi="Times New Roman"/>
          <w:sz w:val="24"/>
          <w:szCs w:val="24"/>
        </w:rPr>
        <w:t>For instance, the Commission failed to consider any of the facts related to the May</w:t>
      </w:r>
      <w:r>
        <w:rPr>
          <w:rFonts w:ascii="Times New Roman" w:hAnsi="Times New Roman"/>
          <w:sz w:val="24"/>
          <w:szCs w:val="24"/>
        </w:rPr>
        <w:t xml:space="preserve"> </w:t>
      </w:r>
      <w:r w:rsidRPr="0023429B">
        <w:rPr>
          <w:rFonts w:ascii="Times New Roman" w:hAnsi="Times New Roman"/>
          <w:sz w:val="24"/>
          <w:szCs w:val="24"/>
        </w:rPr>
        <w:t>30, 2019, incident wherein Mr. Graley was involved in an altercation while drinking in</w:t>
      </w:r>
      <w:r>
        <w:rPr>
          <w:rFonts w:ascii="Times New Roman" w:hAnsi="Times New Roman"/>
          <w:sz w:val="24"/>
          <w:szCs w:val="24"/>
        </w:rPr>
        <w:t xml:space="preserve"> </w:t>
      </w:r>
      <w:r w:rsidRPr="0023429B">
        <w:rPr>
          <w:rFonts w:ascii="Times New Roman" w:hAnsi="Times New Roman"/>
          <w:sz w:val="24"/>
          <w:szCs w:val="24"/>
        </w:rPr>
        <w:t>public then followed members of that altercation home after being asked not to, discharged</w:t>
      </w:r>
      <w:r>
        <w:rPr>
          <w:rFonts w:ascii="Times New Roman" w:hAnsi="Times New Roman"/>
          <w:sz w:val="24"/>
          <w:szCs w:val="24"/>
        </w:rPr>
        <w:t xml:space="preserve"> </w:t>
      </w:r>
      <w:r w:rsidRPr="0023429B">
        <w:rPr>
          <w:rFonts w:ascii="Times New Roman" w:hAnsi="Times New Roman"/>
          <w:sz w:val="24"/>
          <w:szCs w:val="24"/>
        </w:rPr>
        <w:t>his firearm from his vehicle, and initially lied to law enforcement about his actions. The</w:t>
      </w:r>
      <w:r>
        <w:rPr>
          <w:rFonts w:ascii="Times New Roman" w:hAnsi="Times New Roman"/>
          <w:sz w:val="24"/>
          <w:szCs w:val="24"/>
        </w:rPr>
        <w:t xml:space="preserve"> </w:t>
      </w:r>
      <w:r w:rsidRPr="0023429B">
        <w:rPr>
          <w:rFonts w:ascii="Times New Roman" w:hAnsi="Times New Roman"/>
          <w:sz w:val="24"/>
          <w:szCs w:val="24"/>
        </w:rPr>
        <w:t>Commission also failed to consider that Mr. Graley lied about, or minimized, his actions</w:t>
      </w:r>
      <w:r>
        <w:rPr>
          <w:rFonts w:ascii="Times New Roman" w:hAnsi="Times New Roman"/>
          <w:sz w:val="24"/>
          <w:szCs w:val="24"/>
        </w:rPr>
        <w:t xml:space="preserve"> </w:t>
      </w:r>
      <w:r w:rsidRPr="0023429B">
        <w:rPr>
          <w:rFonts w:ascii="Times New Roman" w:hAnsi="Times New Roman"/>
          <w:sz w:val="24"/>
          <w:szCs w:val="24"/>
        </w:rPr>
        <w:t xml:space="preserve">concerning this incident to Chief </w:t>
      </w:r>
      <w:proofErr w:type="gramStart"/>
      <w:r w:rsidRPr="0023429B">
        <w:rPr>
          <w:rFonts w:ascii="Times New Roman" w:hAnsi="Times New Roman"/>
          <w:sz w:val="24"/>
          <w:szCs w:val="24"/>
        </w:rPr>
        <w:t>White.</w:t>
      </w:r>
      <w:r>
        <w:rPr>
          <w:rFonts w:ascii="Times New Roman" w:hAnsi="Times New Roman"/>
          <w:sz w:val="24"/>
          <w:szCs w:val="24"/>
        </w:rPr>
        <w:t>”</w:t>
      </w:r>
      <w:proofErr w:type="gramEnd"/>
      <w:r>
        <w:rPr>
          <w:rFonts w:ascii="Times New Roman" w:hAnsi="Times New Roman"/>
          <w:sz w:val="24"/>
          <w:szCs w:val="24"/>
        </w:rPr>
        <w:t xml:space="preserve">  </w:t>
      </w:r>
      <w:hyperlink r:id="rId2708" w:history="1">
        <w:r w:rsidRPr="00911235">
          <w:rPr>
            <w:rStyle w:val="Hyperlink"/>
            <w:rFonts w:ascii="Times New Roman" w:hAnsi="Times New Roman"/>
            <w:sz w:val="24"/>
            <w:szCs w:val="24"/>
          </w:rPr>
          <w:t>https://www.courtswv.gov/sites/default/pubfilesmnt/2023-12/22-ICA-267_MD.pdf</w:t>
        </w:r>
      </w:hyperlink>
      <w:r>
        <w:rPr>
          <w:rFonts w:ascii="Times New Roman" w:hAnsi="Times New Roman"/>
          <w:sz w:val="24"/>
          <w:szCs w:val="24"/>
        </w:rPr>
        <w:t xml:space="preserve"> </w:t>
      </w:r>
    </w:p>
    <w:p w14:paraId="27A990B8" w14:textId="77777777" w:rsidR="004E344B" w:rsidRDefault="004E344B" w:rsidP="004E344B">
      <w:pPr>
        <w:pStyle w:val="NormalWeb"/>
        <w:rPr>
          <w:b/>
          <w:bCs/>
        </w:rPr>
      </w:pPr>
      <w:r>
        <w:rPr>
          <w:b/>
          <w:bCs/>
        </w:rPr>
        <w:t>Legal Lesson Learned: Fire Chief properly terminated, not suspended firefighter; four Judges properly overruled Civil Service Commission.</w:t>
      </w:r>
    </w:p>
    <w:p w14:paraId="5AE1E8B7" w14:textId="77777777" w:rsidR="004E344B" w:rsidRDefault="004E344B" w:rsidP="00F326E5">
      <w:pPr>
        <w:pStyle w:val="NoSpacing"/>
        <w:rPr>
          <w:rFonts w:ascii="Arial Black" w:hAnsi="Arial Black"/>
          <w:sz w:val="24"/>
          <w:szCs w:val="24"/>
        </w:rPr>
      </w:pPr>
    </w:p>
    <w:p w14:paraId="55D05BAB" w14:textId="77777777" w:rsidR="001D190A" w:rsidRDefault="001D190A" w:rsidP="00F326E5">
      <w:pPr>
        <w:pStyle w:val="NoSpacing"/>
        <w:rPr>
          <w:rFonts w:ascii="Arial Black" w:hAnsi="Arial Black"/>
          <w:sz w:val="24"/>
          <w:szCs w:val="24"/>
        </w:rPr>
      </w:pPr>
    </w:p>
    <w:p w14:paraId="05462BEA" w14:textId="77777777" w:rsidR="001D190A" w:rsidRDefault="001D190A" w:rsidP="00F326E5">
      <w:pPr>
        <w:pStyle w:val="NoSpacing"/>
        <w:rPr>
          <w:rFonts w:ascii="Arial Black" w:hAnsi="Arial Black"/>
          <w:sz w:val="24"/>
          <w:szCs w:val="24"/>
        </w:rPr>
      </w:pPr>
    </w:p>
    <w:p w14:paraId="7EEFFA19" w14:textId="02DA218F" w:rsidR="00A01262" w:rsidRDefault="00ED6448" w:rsidP="00F326E5">
      <w:pPr>
        <w:pStyle w:val="NoSpacing"/>
        <w:rPr>
          <w:rFonts w:ascii="Arial Black" w:hAnsi="Arial Black"/>
          <w:sz w:val="24"/>
          <w:szCs w:val="24"/>
        </w:rPr>
      </w:pPr>
      <w:r>
        <w:rPr>
          <w:rFonts w:ascii="Arial Black" w:hAnsi="Arial Black"/>
          <w:sz w:val="24"/>
          <w:szCs w:val="24"/>
        </w:rPr>
        <w:t>16-102</w:t>
      </w:r>
    </w:p>
    <w:p w14:paraId="6B35D75F" w14:textId="77777777" w:rsidR="008B2E73" w:rsidRPr="006268B1" w:rsidRDefault="008B2E73" w:rsidP="008B2E73">
      <w:pPr>
        <w:pStyle w:val="NormalWeb"/>
        <w:rPr>
          <w:rFonts w:ascii="Arial Black" w:hAnsi="Arial Black"/>
          <w:b/>
          <w:bCs/>
          <w:sz w:val="28"/>
          <w:szCs w:val="28"/>
        </w:rPr>
      </w:pPr>
      <w:r>
        <w:rPr>
          <w:rFonts w:ascii="Arial Black" w:hAnsi="Arial Black"/>
          <w:b/>
          <w:bCs/>
          <w:sz w:val="28"/>
          <w:szCs w:val="28"/>
        </w:rPr>
        <w:t>CA: FD OFFICER WRONGFULLY FIRED – “INTENTIONAL”  VIOL. DUE PROCESS BY CHIEF – JURY: $3M DAMAGES</w:t>
      </w:r>
    </w:p>
    <w:p w14:paraId="0B944DE7" w14:textId="77777777" w:rsidR="008B2E73" w:rsidRDefault="008B2E73" w:rsidP="008B2E73">
      <w:pPr>
        <w:pStyle w:val="NoSpacing"/>
      </w:pPr>
      <w:r w:rsidRPr="00271EFB">
        <w:rPr>
          <w:rFonts w:ascii="Times New Roman" w:hAnsi="Times New Roman"/>
          <w:sz w:val="24"/>
          <w:szCs w:val="24"/>
        </w:rPr>
        <w:t xml:space="preserve">On Dec. 19, 2023, in </w:t>
      </w:r>
      <w:r w:rsidRPr="00271EFB">
        <w:rPr>
          <w:rFonts w:ascii="Times New Roman" w:hAnsi="Times New Roman"/>
          <w:sz w:val="24"/>
          <w:szCs w:val="24"/>
          <w:u w:val="single"/>
        </w:rPr>
        <w:t>Timothy O’Hara v. Liberty Rural County Fire Protection District, et al</w:t>
      </w:r>
      <w:r w:rsidRPr="00271EFB">
        <w:rPr>
          <w:rFonts w:ascii="Times New Roman" w:hAnsi="Times New Roman"/>
          <w:sz w:val="24"/>
          <w:szCs w:val="24"/>
        </w:rPr>
        <w:t xml:space="preserve">., the California Court of Appeals, Third District, San Joaquin, held (3 to 0; unpublished decision) that jury properly found the Fire Chief intentionally </w:t>
      </w:r>
      <w:r>
        <w:rPr>
          <w:rFonts w:ascii="Times New Roman" w:hAnsi="Times New Roman"/>
          <w:sz w:val="24"/>
          <w:szCs w:val="24"/>
        </w:rPr>
        <w:t>violated</w:t>
      </w:r>
      <w:r w:rsidRPr="00271EFB">
        <w:rPr>
          <w:rFonts w:ascii="Times New Roman" w:hAnsi="Times New Roman"/>
          <w:sz w:val="24"/>
          <w:szCs w:val="24"/>
        </w:rPr>
        <w:t xml:space="preserve"> the</w:t>
      </w:r>
      <w:r>
        <w:rPr>
          <w:rFonts w:ascii="Times New Roman" w:hAnsi="Times New Roman"/>
          <w:sz w:val="24"/>
          <w:szCs w:val="24"/>
        </w:rPr>
        <w:t xml:space="preserve"> CA </w:t>
      </w:r>
      <w:r w:rsidRPr="00907648">
        <w:rPr>
          <w:rFonts w:ascii="Times New Roman" w:hAnsi="Times New Roman"/>
          <w:sz w:val="24"/>
          <w:szCs w:val="24"/>
        </w:rPr>
        <w:t>Firefighters Procedural Bill of Rights Act</w:t>
      </w:r>
      <w:r w:rsidRPr="00271EFB">
        <w:rPr>
          <w:rFonts w:ascii="Times New Roman" w:hAnsi="Times New Roman"/>
          <w:sz w:val="24"/>
          <w:szCs w:val="24"/>
        </w:rPr>
        <w:t xml:space="preserve"> by denying Shift Supervisor</w:t>
      </w:r>
      <w:r>
        <w:rPr>
          <w:rFonts w:ascii="Times New Roman" w:hAnsi="Times New Roman"/>
          <w:sz w:val="24"/>
          <w:szCs w:val="24"/>
        </w:rPr>
        <w:t xml:space="preserve"> Tim O’Hara </w:t>
      </w:r>
      <w:r w:rsidRPr="00271EFB">
        <w:rPr>
          <w:rFonts w:ascii="Times New Roman" w:hAnsi="Times New Roman"/>
          <w:sz w:val="24"/>
          <w:szCs w:val="24"/>
        </w:rPr>
        <w:t xml:space="preserve">(12 years on FD) due process, and effectively ending his career in fire service at age 51.  The Court </w:t>
      </w:r>
      <w:proofErr w:type="gramStart"/>
      <w:r w:rsidRPr="00271EFB">
        <w:rPr>
          <w:rFonts w:ascii="Times New Roman" w:hAnsi="Times New Roman"/>
          <w:sz w:val="24"/>
          <w:szCs w:val="24"/>
        </w:rPr>
        <w:t xml:space="preserve">held: </w:t>
      </w:r>
      <w:r>
        <w:rPr>
          <w:rFonts w:ascii="Times New Roman" w:hAnsi="Times New Roman"/>
          <w:sz w:val="24"/>
          <w:szCs w:val="24"/>
        </w:rPr>
        <w:t>“</w:t>
      </w:r>
      <w:proofErr w:type="gramEnd"/>
      <w:r>
        <w:rPr>
          <w:rFonts w:ascii="Times New Roman" w:hAnsi="Times New Roman"/>
          <w:sz w:val="24"/>
          <w:szCs w:val="24"/>
        </w:rPr>
        <w:t xml:space="preserve">[Fire Chief] </w:t>
      </w:r>
      <w:r w:rsidRPr="00271EFB">
        <w:rPr>
          <w:rFonts w:ascii="Times New Roman" w:hAnsi="Times New Roman"/>
          <w:sz w:val="24"/>
          <w:szCs w:val="24"/>
        </w:rPr>
        <w:t>Seifert and the District give similarly short shrift to the deliberate</w:t>
      </w:r>
      <w:r>
        <w:rPr>
          <w:rFonts w:ascii="Times New Roman" w:hAnsi="Times New Roman"/>
          <w:sz w:val="24"/>
          <w:szCs w:val="24"/>
        </w:rPr>
        <w:t xml:space="preserve"> </w:t>
      </w:r>
      <w:r w:rsidRPr="00271EFB">
        <w:rPr>
          <w:rFonts w:ascii="Times New Roman" w:hAnsi="Times New Roman"/>
          <w:sz w:val="24"/>
          <w:szCs w:val="24"/>
        </w:rPr>
        <w:t>flouting standard with which the jury was instructed and offer no challenge to the special</w:t>
      </w:r>
      <w:r>
        <w:rPr>
          <w:rFonts w:ascii="Times New Roman" w:hAnsi="Times New Roman"/>
          <w:sz w:val="24"/>
          <w:szCs w:val="24"/>
        </w:rPr>
        <w:t xml:space="preserve"> </w:t>
      </w:r>
      <w:r w:rsidRPr="00271EFB">
        <w:rPr>
          <w:rFonts w:ascii="Times New Roman" w:hAnsi="Times New Roman"/>
          <w:sz w:val="24"/>
          <w:szCs w:val="24"/>
        </w:rPr>
        <w:t>verdict finding that Seifert intentionally trammeled O’Hara’s rights under the FPBOR.</w:t>
      </w:r>
      <w:r>
        <w:rPr>
          <w:rFonts w:ascii="Times New Roman" w:hAnsi="Times New Roman"/>
          <w:sz w:val="24"/>
          <w:szCs w:val="24"/>
        </w:rPr>
        <w:t xml:space="preserve"> </w:t>
      </w:r>
      <w:r w:rsidRPr="00271EFB">
        <w:rPr>
          <w:rFonts w:ascii="Times New Roman" w:hAnsi="Times New Roman"/>
          <w:sz w:val="24"/>
          <w:szCs w:val="24"/>
        </w:rPr>
        <w:t>Under the circumstances, we need not consider whether the evidence compels findings in</w:t>
      </w:r>
      <w:r>
        <w:rPr>
          <w:rFonts w:ascii="Times New Roman" w:hAnsi="Times New Roman"/>
          <w:sz w:val="24"/>
          <w:szCs w:val="24"/>
        </w:rPr>
        <w:t xml:space="preserve"> </w:t>
      </w:r>
      <w:r w:rsidRPr="00271EFB">
        <w:rPr>
          <w:rFonts w:ascii="Times New Roman" w:hAnsi="Times New Roman"/>
          <w:sz w:val="24"/>
          <w:szCs w:val="24"/>
        </w:rPr>
        <w:t>their favor on the theory they violated substantive due process by intentionally and</w:t>
      </w:r>
      <w:r>
        <w:rPr>
          <w:rFonts w:ascii="Times New Roman" w:hAnsi="Times New Roman"/>
          <w:sz w:val="24"/>
          <w:szCs w:val="24"/>
        </w:rPr>
        <w:t xml:space="preserve"> </w:t>
      </w:r>
      <w:r w:rsidRPr="00271EFB">
        <w:rPr>
          <w:rFonts w:ascii="Times New Roman" w:hAnsi="Times New Roman"/>
          <w:sz w:val="24"/>
          <w:szCs w:val="24"/>
        </w:rPr>
        <w:t>deliberately flouting the FPBOR as part of a personal vendetta against O’Hara. We need</w:t>
      </w:r>
      <w:r>
        <w:rPr>
          <w:rFonts w:ascii="Times New Roman" w:hAnsi="Times New Roman"/>
          <w:sz w:val="24"/>
          <w:szCs w:val="24"/>
        </w:rPr>
        <w:t xml:space="preserve"> </w:t>
      </w:r>
      <w:r w:rsidRPr="00271EFB">
        <w:rPr>
          <w:rFonts w:ascii="Times New Roman" w:hAnsi="Times New Roman"/>
          <w:sz w:val="24"/>
          <w:szCs w:val="24"/>
        </w:rPr>
        <w:t>only conclude that Seifert and the District have failed to show the evidence compels</w:t>
      </w:r>
      <w:r>
        <w:rPr>
          <w:rFonts w:ascii="Times New Roman" w:hAnsi="Times New Roman"/>
          <w:sz w:val="24"/>
          <w:szCs w:val="24"/>
        </w:rPr>
        <w:t xml:space="preserve"> </w:t>
      </w:r>
      <w:r w:rsidRPr="00271EFB">
        <w:rPr>
          <w:rFonts w:ascii="Times New Roman" w:hAnsi="Times New Roman"/>
          <w:sz w:val="24"/>
          <w:szCs w:val="24"/>
        </w:rPr>
        <w:t>findings in their favor on substantive due process as a matter of law. They likewise fail</w:t>
      </w:r>
      <w:r>
        <w:rPr>
          <w:rFonts w:ascii="Times New Roman" w:hAnsi="Times New Roman"/>
          <w:sz w:val="24"/>
          <w:szCs w:val="24"/>
        </w:rPr>
        <w:t xml:space="preserve"> </w:t>
      </w:r>
      <w:r w:rsidRPr="00271EFB">
        <w:rPr>
          <w:rFonts w:ascii="Times New Roman" w:hAnsi="Times New Roman"/>
          <w:sz w:val="24"/>
          <w:szCs w:val="24"/>
        </w:rPr>
        <w:t xml:space="preserve">to show the trial court </w:t>
      </w:r>
      <w:proofErr w:type="gramStart"/>
      <w:r w:rsidRPr="00271EFB">
        <w:rPr>
          <w:rFonts w:ascii="Times New Roman" w:hAnsi="Times New Roman"/>
          <w:sz w:val="24"/>
          <w:szCs w:val="24"/>
        </w:rPr>
        <w:t>erred</w:t>
      </w:r>
      <w:proofErr w:type="gramEnd"/>
      <w:r w:rsidRPr="00271EFB">
        <w:rPr>
          <w:rFonts w:ascii="Times New Roman" w:hAnsi="Times New Roman"/>
          <w:sz w:val="24"/>
          <w:szCs w:val="24"/>
        </w:rPr>
        <w:t xml:space="preserve"> in denying the motions for judgment notwithstanding the</w:t>
      </w:r>
      <w:r>
        <w:rPr>
          <w:rFonts w:ascii="Times New Roman" w:hAnsi="Times New Roman"/>
          <w:sz w:val="24"/>
          <w:szCs w:val="24"/>
        </w:rPr>
        <w:t xml:space="preserve"> </w:t>
      </w:r>
      <w:r w:rsidRPr="00271EFB">
        <w:rPr>
          <w:rFonts w:ascii="Times New Roman" w:hAnsi="Times New Roman"/>
          <w:sz w:val="24"/>
          <w:szCs w:val="24"/>
        </w:rPr>
        <w:t xml:space="preserve">verdict so far as the section 1983 cause of action was </w:t>
      </w:r>
      <w:proofErr w:type="gramStart"/>
      <w:r w:rsidRPr="00271EFB">
        <w:rPr>
          <w:rFonts w:ascii="Times New Roman" w:hAnsi="Times New Roman"/>
          <w:sz w:val="24"/>
          <w:szCs w:val="24"/>
        </w:rPr>
        <w:t>concerned.</w:t>
      </w:r>
      <w:r>
        <w:rPr>
          <w:rFonts w:ascii="Times New Roman" w:hAnsi="Times New Roman"/>
          <w:sz w:val="24"/>
          <w:szCs w:val="24"/>
        </w:rPr>
        <w:t>”</w:t>
      </w:r>
      <w:proofErr w:type="gramEnd"/>
      <w:r>
        <w:rPr>
          <w:rFonts w:ascii="Times New Roman" w:hAnsi="Times New Roman"/>
          <w:sz w:val="24"/>
          <w:szCs w:val="24"/>
        </w:rPr>
        <w:t xml:space="preserve"> </w:t>
      </w:r>
      <w:hyperlink r:id="rId2709" w:history="1">
        <w:r w:rsidRPr="0044657D">
          <w:rPr>
            <w:rStyle w:val="Hyperlink"/>
          </w:rPr>
          <w:t>https://www.courts.ca.gov/opinions/nonpub/C096135.PDF</w:t>
        </w:r>
      </w:hyperlink>
      <w:r>
        <w:t xml:space="preserve"> </w:t>
      </w:r>
    </w:p>
    <w:p w14:paraId="7E0B7735" w14:textId="77777777" w:rsidR="00460215" w:rsidRPr="002263B6" w:rsidRDefault="00460215" w:rsidP="00460215">
      <w:pPr>
        <w:pStyle w:val="NormalWeb"/>
        <w:rPr>
          <w:b/>
          <w:bCs/>
        </w:rPr>
      </w:pPr>
      <w:r w:rsidRPr="002263B6">
        <w:rPr>
          <w:b/>
          <w:bCs/>
        </w:rPr>
        <w:t>Legal Lesson Learned:</w:t>
      </w:r>
      <w:r>
        <w:rPr>
          <w:b/>
          <w:bCs/>
        </w:rPr>
        <w:t xml:space="preserve"> Very expensive lesson learned; the Fire Chief should have held a  pre-disciplinary conference, and the Fire Board should have provided a hearing. </w:t>
      </w:r>
    </w:p>
    <w:p w14:paraId="18E931DB" w14:textId="77777777" w:rsidR="00460215" w:rsidRDefault="00460215" w:rsidP="00460215">
      <w:pPr>
        <w:pStyle w:val="NormalWeb"/>
      </w:pPr>
    </w:p>
    <w:p w14:paraId="14F41ECC" w14:textId="6C38F8F9" w:rsidR="00787BFA" w:rsidRDefault="00787BFA" w:rsidP="00F326E5">
      <w:pPr>
        <w:pStyle w:val="NoSpacing"/>
        <w:rPr>
          <w:rFonts w:ascii="Arial Black" w:hAnsi="Arial Black"/>
          <w:sz w:val="24"/>
          <w:szCs w:val="24"/>
        </w:rPr>
      </w:pPr>
      <w:r>
        <w:rPr>
          <w:rFonts w:ascii="Arial Black" w:hAnsi="Arial Black"/>
          <w:sz w:val="24"/>
          <w:szCs w:val="24"/>
        </w:rPr>
        <w:t>16-101</w:t>
      </w:r>
    </w:p>
    <w:p w14:paraId="62B7F616" w14:textId="77777777" w:rsidR="00230D1C" w:rsidRDefault="00230D1C" w:rsidP="00230D1C">
      <w:pPr>
        <w:pStyle w:val="NormalWeb"/>
        <w:rPr>
          <w:rFonts w:ascii="Arial Black" w:hAnsi="Arial Black"/>
          <w:b/>
          <w:bCs/>
          <w:sz w:val="28"/>
          <w:szCs w:val="28"/>
        </w:rPr>
      </w:pPr>
      <w:r>
        <w:rPr>
          <w:rFonts w:ascii="Arial Black" w:hAnsi="Arial Black"/>
          <w:b/>
          <w:bCs/>
          <w:sz w:val="28"/>
          <w:szCs w:val="28"/>
        </w:rPr>
        <w:t>LA: ASSIST. FIRE CHIEF – DEMOTED 6 MO. PROB. PERIOD – TWO REPRIMANDS – CIVIL SERVICE BOARD REVERSED</w:t>
      </w:r>
    </w:p>
    <w:p w14:paraId="4668979D" w14:textId="77777777" w:rsidR="00230D1C" w:rsidRDefault="00230D1C" w:rsidP="00230D1C">
      <w:pPr>
        <w:pStyle w:val="NormalWeb"/>
        <w:rPr>
          <w:b/>
          <w:bCs/>
        </w:rPr>
      </w:pPr>
      <w:r w:rsidRPr="00BF4B35">
        <w:t xml:space="preserve">On Dec. 13, 2023, in </w:t>
      </w:r>
      <w:r w:rsidRPr="007D14BE">
        <w:rPr>
          <w:u w:val="single"/>
        </w:rPr>
        <w:t>E. “Ben” Zahn, III v. Kenner Municipal Fire and Police Civil Service  Board</w:t>
      </w:r>
      <w:r>
        <w:t xml:space="preserve">, the Court of Appeals of Louisiana, Fifth Circuit, held (3 to 0) that the Civil Service Board incorrectly ordered Joseph Sunseri reappointed as Assistant Fire Chief.  The Court wrote:” Mr. Sunseri received written reprimands on January 21, </w:t>
      </w:r>
      <w:proofErr w:type="gramStart"/>
      <w:r>
        <w:t>2019</w:t>
      </w:r>
      <w:proofErr w:type="gramEnd"/>
      <w:r>
        <w:t xml:space="preserve"> and March 29, 2019. The first reprimand was issued because he submitted ‘vague and then inappropriate documentation’ from several of his subordinate firefighters in response to an investigation of property damage that a citizen sustained while the department was responding to a call, in violation of several of the Department's Rules of Conduct. The second reprimand Mr. Sunseri received was for a violation of Rule of Conduct Article 50.2 - Conduct Unbecoming an Officer - after Mr. Sunseri questioned a request to perform welfare checks on Department members out on sick leave due to surgery and stated, ‘This is getting absurd.’ in a February 28, 2019 email addressed to Chief Ryan Bergeron, Chief of Administration Terence Morris, and Chief of Administration Charles Hudson…***The Board's findings do not provide a rational basis for the Board's conclusory finding that Kenner [Fire Department] did not provide Mr. Sunseri a fair opportunity to prove his ability in the position of Assistant Chief. It is not clear from the report what inferences the Board made, or which facts it determined Mr. Sunseri proved in support of his appeal (other than Kenner's failure to timely provide written notice of his rejection pursuant to La. R.S. 33:2495(C)). The lack of evidence to support the Board's decision left the district court no choice but to conclude that the Board's decision was arbitrary and </w:t>
      </w:r>
      <w:proofErr w:type="gramStart"/>
      <w:r>
        <w:t>capricious, and</w:t>
      </w:r>
      <w:proofErr w:type="gramEnd"/>
      <w:r>
        <w:t xml:space="preserve"> not made in good faith and for statutory cause.” </w:t>
      </w:r>
      <w:hyperlink r:id="rId2710" w:history="1">
        <w:r w:rsidRPr="009A4BDE">
          <w:rPr>
            <w:rStyle w:val="Hyperlink"/>
          </w:rPr>
          <w:t>https://casetext.com/case/zahn-v-kenner-mun-fire-police-civil-serv-bd</w:t>
        </w:r>
      </w:hyperlink>
      <w:r>
        <w:t xml:space="preserve"> </w:t>
      </w:r>
    </w:p>
    <w:p w14:paraId="087E81D0" w14:textId="77777777" w:rsidR="00ED6448" w:rsidRDefault="00ED6448" w:rsidP="00ED6448">
      <w:pPr>
        <w:pStyle w:val="NormalWeb"/>
        <w:rPr>
          <w:b/>
          <w:bCs/>
        </w:rPr>
      </w:pPr>
      <w:r>
        <w:rPr>
          <w:b/>
          <w:bCs/>
        </w:rPr>
        <w:t xml:space="preserve">Legal Lesson Learned: The Civil Service Board failed to write detailed “Finding of Fact” to support reinstatement decision. When appealing to the Board, the firefighter should consider videotaping and transcribing the proceedings. </w:t>
      </w:r>
    </w:p>
    <w:p w14:paraId="4A9F777E" w14:textId="77777777" w:rsidR="00230D1C" w:rsidRDefault="00230D1C" w:rsidP="00F326E5">
      <w:pPr>
        <w:pStyle w:val="NoSpacing"/>
        <w:rPr>
          <w:rFonts w:ascii="Arial Black" w:hAnsi="Arial Black"/>
          <w:sz w:val="24"/>
          <w:szCs w:val="24"/>
        </w:rPr>
      </w:pPr>
    </w:p>
    <w:p w14:paraId="7974626C" w14:textId="77777777" w:rsidR="00787BFA" w:rsidRDefault="00787BFA" w:rsidP="00F326E5">
      <w:pPr>
        <w:pStyle w:val="NoSpacing"/>
        <w:rPr>
          <w:rFonts w:ascii="Arial Black" w:hAnsi="Arial Black"/>
          <w:sz w:val="24"/>
          <w:szCs w:val="24"/>
        </w:rPr>
      </w:pPr>
    </w:p>
    <w:p w14:paraId="314CD559" w14:textId="77777777" w:rsidR="00787BFA" w:rsidRDefault="00787BFA" w:rsidP="00F326E5">
      <w:pPr>
        <w:pStyle w:val="NoSpacing"/>
        <w:rPr>
          <w:rFonts w:ascii="Arial Black" w:hAnsi="Arial Black"/>
          <w:sz w:val="24"/>
          <w:szCs w:val="24"/>
        </w:rPr>
      </w:pPr>
    </w:p>
    <w:p w14:paraId="67A876D4" w14:textId="00F0CF49" w:rsidR="009F4E32" w:rsidRDefault="00024992" w:rsidP="00F326E5">
      <w:pPr>
        <w:pStyle w:val="NoSpacing"/>
        <w:rPr>
          <w:rFonts w:ascii="Arial Black" w:hAnsi="Arial Black"/>
          <w:sz w:val="24"/>
          <w:szCs w:val="24"/>
        </w:rPr>
      </w:pPr>
      <w:r>
        <w:rPr>
          <w:rFonts w:ascii="Arial Black" w:hAnsi="Arial Black"/>
          <w:sz w:val="24"/>
          <w:szCs w:val="24"/>
        </w:rPr>
        <w:t>16-100</w:t>
      </w:r>
    </w:p>
    <w:p w14:paraId="7328B403" w14:textId="77777777" w:rsidR="00147626" w:rsidRDefault="00147626" w:rsidP="00147626">
      <w:pPr>
        <w:pStyle w:val="NormalWeb"/>
        <w:rPr>
          <w:rFonts w:ascii="Arial Black" w:hAnsi="Arial Black"/>
          <w:b/>
          <w:bCs/>
          <w:sz w:val="28"/>
          <w:szCs w:val="28"/>
        </w:rPr>
      </w:pPr>
      <w:r>
        <w:rPr>
          <w:rFonts w:ascii="Arial Black" w:hAnsi="Arial Black"/>
          <w:b/>
          <w:bCs/>
          <w:sz w:val="28"/>
          <w:szCs w:val="28"/>
        </w:rPr>
        <w:t>LA: ASSIST. FIRE CHIEF – DEMOTED 6 MO. PROB. PERIOD – TWO REPRIMANDS – CIVIL SERVICE BOARD REVERSED</w:t>
      </w:r>
    </w:p>
    <w:p w14:paraId="7B8ED50A" w14:textId="77777777" w:rsidR="00147626" w:rsidRDefault="00147626" w:rsidP="00147626">
      <w:pPr>
        <w:pStyle w:val="NormalWeb"/>
      </w:pPr>
      <w:r w:rsidRPr="00BF4B35">
        <w:t xml:space="preserve">On Dec. 13, 2023, in </w:t>
      </w:r>
      <w:r w:rsidRPr="007D14BE">
        <w:rPr>
          <w:u w:val="single"/>
        </w:rPr>
        <w:t>E. “Ben” Zahn, III v. Kenner Municipal Fire and Police Civil Service  Board</w:t>
      </w:r>
      <w:r>
        <w:t xml:space="preserve">, the Court of Appeals of Louisiana, Fifth Circuit, held (3 to 0) that the Civil Service Board incorrectly ordered Joseph Sunseri reappointed as Assistant Fire Chief.  The Court wrote:” Mr. Sunseri received written reprimands on January 21, </w:t>
      </w:r>
      <w:proofErr w:type="gramStart"/>
      <w:r>
        <w:t>2019</w:t>
      </w:r>
      <w:proofErr w:type="gramEnd"/>
      <w:r>
        <w:t xml:space="preserve"> and March 29, 2019. The first reprimand was issued because he submitted ‘vague and then inappropriate documentation’ from several of his subordinate firefighters in response to an investigation of property damage that a citizen sustained while the department was responding to a call, in violation of several of the Department's Rules of Conduct. The second reprimand Mr. Sunseri received was for a violation of Rule of Conduct Article 50.2 - Conduct Unbecoming an Officer - after Mr. Sunseri questioned a request to perform welfare checks on Department members out on sick leave due to surgery and stated, ‘This is getting absurd.’ in a February 28, 2019 email addressed to Chief Ryan Bergeron, Chief of Administration Terence Morris, and Chief of Administration Charles Hudson…***The Board's findings do not provide a rational basis for the Board's conclusory finding that Kenner [Fire Department] did not provide Mr. Sunseri a fair opportunity to prove his ability in the position of Assistant Chief. It is not clear from the report what inferences the Board made, or which facts it determined Mr. Sunseri proved in support of his appeal (other than Kenner's failure to timely provide written notice of his rejection pursuant to La. R.S. 33:2495(C)). The lack of evidence to support the Board's decision left the district court no choice but to conclude that the Board's decision was arbitrary and </w:t>
      </w:r>
      <w:proofErr w:type="gramStart"/>
      <w:r>
        <w:t>capricious, and</w:t>
      </w:r>
      <w:proofErr w:type="gramEnd"/>
      <w:r>
        <w:t xml:space="preserve"> not made in good faith and for statutory cause.” </w:t>
      </w:r>
      <w:hyperlink r:id="rId2711" w:history="1">
        <w:r w:rsidRPr="009A4BDE">
          <w:rPr>
            <w:rStyle w:val="Hyperlink"/>
          </w:rPr>
          <w:t>https://casetext.com/case/zahn-v-kenner-mun-fire-police-civil-serv-bd</w:t>
        </w:r>
      </w:hyperlink>
      <w:r>
        <w:t xml:space="preserve"> </w:t>
      </w:r>
    </w:p>
    <w:p w14:paraId="683A9D9D" w14:textId="77777777" w:rsidR="00787BFA" w:rsidRDefault="00787BFA" w:rsidP="00787BFA">
      <w:pPr>
        <w:pStyle w:val="NormalWeb"/>
        <w:rPr>
          <w:b/>
          <w:bCs/>
        </w:rPr>
      </w:pPr>
      <w:r>
        <w:rPr>
          <w:b/>
          <w:bCs/>
        </w:rPr>
        <w:t xml:space="preserve">Legal Lesson Learned: The Civil Service Board failed to write detailed “Finding of Fact” to support reinstatement decision. When appealing to the Board, the firefighter should consider videotaping and transcribing the proceedings. </w:t>
      </w:r>
    </w:p>
    <w:p w14:paraId="5119DCDB" w14:textId="77777777" w:rsidR="00787BFA" w:rsidRDefault="00787BFA" w:rsidP="00147626">
      <w:pPr>
        <w:pStyle w:val="NormalWeb"/>
        <w:rPr>
          <w:b/>
          <w:bCs/>
        </w:rPr>
      </w:pPr>
    </w:p>
    <w:p w14:paraId="796489F0" w14:textId="77777777" w:rsidR="00024992" w:rsidRDefault="00024992" w:rsidP="00F326E5">
      <w:pPr>
        <w:pStyle w:val="NoSpacing"/>
        <w:rPr>
          <w:rFonts w:ascii="Arial Black" w:hAnsi="Arial Black"/>
          <w:sz w:val="24"/>
          <w:szCs w:val="24"/>
        </w:rPr>
      </w:pPr>
    </w:p>
    <w:p w14:paraId="54F1B51B" w14:textId="77777777" w:rsidR="00024992" w:rsidRDefault="00024992" w:rsidP="00F326E5">
      <w:pPr>
        <w:pStyle w:val="NoSpacing"/>
        <w:rPr>
          <w:rFonts w:ascii="Arial Black" w:hAnsi="Arial Black"/>
          <w:sz w:val="24"/>
          <w:szCs w:val="24"/>
        </w:rPr>
      </w:pPr>
    </w:p>
    <w:p w14:paraId="23C5A7ED" w14:textId="77777777" w:rsidR="00024992" w:rsidRDefault="00024992" w:rsidP="00F326E5">
      <w:pPr>
        <w:pStyle w:val="NoSpacing"/>
        <w:rPr>
          <w:rFonts w:ascii="Arial Black" w:hAnsi="Arial Black"/>
          <w:sz w:val="24"/>
          <w:szCs w:val="24"/>
        </w:rPr>
      </w:pPr>
    </w:p>
    <w:p w14:paraId="6708A5EB" w14:textId="57BDB495" w:rsidR="009F4E32" w:rsidRDefault="009F4E32" w:rsidP="00F326E5">
      <w:pPr>
        <w:pStyle w:val="NoSpacing"/>
        <w:rPr>
          <w:rFonts w:ascii="Arial Black" w:hAnsi="Arial Black"/>
          <w:sz w:val="24"/>
          <w:szCs w:val="24"/>
        </w:rPr>
      </w:pPr>
      <w:r>
        <w:rPr>
          <w:rFonts w:ascii="Arial Black" w:hAnsi="Arial Black"/>
          <w:sz w:val="24"/>
          <w:szCs w:val="24"/>
        </w:rPr>
        <w:t>16-99</w:t>
      </w:r>
    </w:p>
    <w:p w14:paraId="02B7F1CC" w14:textId="77777777" w:rsidR="009F4E32" w:rsidRPr="00717F66" w:rsidRDefault="009F4E32" w:rsidP="009F4E32">
      <w:pPr>
        <w:pStyle w:val="NormalWeb"/>
        <w:rPr>
          <w:rFonts w:ascii="Arial Black" w:hAnsi="Arial Black"/>
          <w:b/>
          <w:bCs/>
          <w:sz w:val="28"/>
          <w:szCs w:val="28"/>
        </w:rPr>
      </w:pPr>
      <w:r>
        <w:rPr>
          <w:rFonts w:ascii="Arial Black" w:hAnsi="Arial Black"/>
          <w:b/>
          <w:bCs/>
          <w:sz w:val="28"/>
          <w:szCs w:val="28"/>
        </w:rPr>
        <w:t xml:space="preserve">IN: FF MEDICAL LEAVE – BUT WORKING MEDIC ANOTHER FD – FALSE DISAB. BENEFITS APPLICATION – FIRED  </w:t>
      </w:r>
    </w:p>
    <w:p w14:paraId="65C3D2A8" w14:textId="77777777" w:rsidR="009F4E32" w:rsidRDefault="009F4E32" w:rsidP="009F4E32">
      <w:pPr>
        <w:pStyle w:val="NormalWeb"/>
      </w:pPr>
      <w:r w:rsidRPr="00625E97">
        <w:t xml:space="preserve">On Dec. 8, 2023, in </w:t>
      </w:r>
      <w:r w:rsidRPr="00625E97">
        <w:rPr>
          <w:u w:val="single"/>
        </w:rPr>
        <w:t>Mark A. Goodlett v. Town of Clarksville and Town of Clarksville Fire Department,</w:t>
      </w:r>
      <w:r w:rsidRPr="00625E97">
        <w:t xml:space="preserve"> </w:t>
      </w:r>
      <w:r>
        <w:t xml:space="preserve">the Court of Appeals of Indiana held (3 to 0) that trial court judge properly upheld the termination of the firefighter. Progressive discipline policy is only a “guide.” The Court held:  “The Board [Town of Clarksville Board of Police and Fire Commissioners] properly exercised its authority under </w:t>
      </w:r>
      <w:hyperlink r:id="rId2712" w:history="1">
        <w:r>
          <w:rPr>
            <w:rStyle w:val="Hyperlink"/>
          </w:rPr>
          <w:t>Indiana Code section 36-8-3-4</w:t>
        </w:r>
      </w:hyperlink>
      <w:r>
        <w:t xml:space="preserve"> and the department's General Orders. Accordingly, the Board's decision to terminate Goodlett for neglect of duty, immoral conduct, conduct unbecoming an officer, violations of department rules, and breaches of discipline was not arbitrary and capricious, and it did not otherwise violate Goodlett's due process rights.” </w:t>
      </w:r>
      <w:hyperlink r:id="rId2713" w:history="1">
        <w:r w:rsidRPr="0024537E">
          <w:rPr>
            <w:rStyle w:val="Hyperlink"/>
          </w:rPr>
          <w:t>https://casetext.com/case/goodlett-v-town-of-clarksville</w:t>
        </w:r>
      </w:hyperlink>
      <w:r>
        <w:t xml:space="preserve"> </w:t>
      </w:r>
    </w:p>
    <w:p w14:paraId="508F3DA8" w14:textId="77777777" w:rsidR="00024992" w:rsidRPr="003845F4" w:rsidRDefault="00024992" w:rsidP="00024992">
      <w:pPr>
        <w:pStyle w:val="paragraph"/>
        <w:rPr>
          <w:b/>
          <w:bCs/>
        </w:rPr>
      </w:pPr>
      <w:r w:rsidRPr="003845F4">
        <w:rPr>
          <w:b/>
          <w:bCs/>
        </w:rPr>
        <w:t xml:space="preserve">Legal Lesson Learned:  </w:t>
      </w:r>
      <w:r>
        <w:rPr>
          <w:b/>
          <w:bCs/>
        </w:rPr>
        <w:t xml:space="preserve">Progressive discipline policy stated it is “merely a guide.” </w:t>
      </w:r>
    </w:p>
    <w:p w14:paraId="2FE51734" w14:textId="77777777" w:rsidR="009F4E32" w:rsidRDefault="009F4E32" w:rsidP="00F326E5">
      <w:pPr>
        <w:pStyle w:val="NoSpacing"/>
        <w:rPr>
          <w:rFonts w:ascii="Arial Black" w:hAnsi="Arial Black"/>
          <w:sz w:val="24"/>
          <w:szCs w:val="24"/>
        </w:rPr>
      </w:pPr>
    </w:p>
    <w:p w14:paraId="0221527B" w14:textId="77777777" w:rsidR="009F4E32" w:rsidRDefault="009F4E32" w:rsidP="00F326E5">
      <w:pPr>
        <w:pStyle w:val="NoSpacing"/>
        <w:rPr>
          <w:rFonts w:ascii="Arial Black" w:hAnsi="Arial Black"/>
          <w:sz w:val="24"/>
          <w:szCs w:val="24"/>
        </w:rPr>
      </w:pPr>
    </w:p>
    <w:p w14:paraId="7542A717" w14:textId="77777777" w:rsidR="0042334A" w:rsidRDefault="0042334A" w:rsidP="00F326E5">
      <w:pPr>
        <w:pStyle w:val="NoSpacing"/>
        <w:rPr>
          <w:rFonts w:ascii="Arial Black" w:hAnsi="Arial Black"/>
          <w:sz w:val="24"/>
          <w:szCs w:val="24"/>
        </w:rPr>
      </w:pPr>
    </w:p>
    <w:p w14:paraId="3EC4DE6C" w14:textId="13C88AEF" w:rsidR="0042334A" w:rsidRDefault="0042334A" w:rsidP="00F326E5">
      <w:pPr>
        <w:pStyle w:val="NoSpacing"/>
        <w:rPr>
          <w:rFonts w:ascii="Arial Black" w:hAnsi="Arial Black"/>
          <w:sz w:val="24"/>
          <w:szCs w:val="24"/>
        </w:rPr>
      </w:pPr>
      <w:r>
        <w:rPr>
          <w:rFonts w:ascii="Arial Black" w:hAnsi="Arial Black"/>
          <w:sz w:val="24"/>
          <w:szCs w:val="24"/>
        </w:rPr>
        <w:t>16-98</w:t>
      </w:r>
    </w:p>
    <w:p w14:paraId="3FC87A0E" w14:textId="77777777" w:rsidR="0042334A" w:rsidRDefault="0042334A" w:rsidP="00F326E5">
      <w:pPr>
        <w:pStyle w:val="NoSpacing"/>
        <w:rPr>
          <w:rFonts w:ascii="Arial Black" w:hAnsi="Arial Black"/>
          <w:sz w:val="24"/>
          <w:szCs w:val="24"/>
        </w:rPr>
      </w:pPr>
    </w:p>
    <w:p w14:paraId="4FEA0319" w14:textId="77777777" w:rsidR="00706FEC" w:rsidRDefault="00706FEC" w:rsidP="00706FEC">
      <w:pPr>
        <w:pStyle w:val="NoSpacing"/>
        <w:rPr>
          <w:rFonts w:ascii="Arial Black" w:hAnsi="Arial Black"/>
          <w:b/>
          <w:sz w:val="28"/>
          <w:szCs w:val="28"/>
        </w:rPr>
      </w:pPr>
      <w:r>
        <w:rPr>
          <w:rFonts w:ascii="Arial Black" w:hAnsi="Arial Black"/>
          <w:b/>
          <w:sz w:val="28"/>
          <w:szCs w:val="28"/>
        </w:rPr>
        <w:t>MI: FIRE CHIEF FIRED – MAYOR REFUSED TO FIRE TWO FF AFTER DEATH 2 BOYS – 1</w:t>
      </w:r>
      <w:r w:rsidRPr="002F340D">
        <w:rPr>
          <w:rFonts w:ascii="Arial Black" w:hAnsi="Arial Black"/>
          <w:b/>
          <w:sz w:val="28"/>
          <w:szCs w:val="28"/>
          <w:vertAlign w:val="superscript"/>
        </w:rPr>
        <w:t>st</w:t>
      </w:r>
      <w:r>
        <w:rPr>
          <w:rFonts w:ascii="Arial Black" w:hAnsi="Arial Black"/>
          <w:b/>
          <w:sz w:val="28"/>
          <w:szCs w:val="28"/>
        </w:rPr>
        <w:t xml:space="preserve"> AMEND. RETALIATION PROCEED </w:t>
      </w:r>
    </w:p>
    <w:p w14:paraId="1B2E4E73" w14:textId="77777777" w:rsidR="00706FEC" w:rsidRDefault="00706FEC" w:rsidP="00706FEC">
      <w:pPr>
        <w:pStyle w:val="NoSpacing"/>
        <w:rPr>
          <w:rFonts w:ascii="Times New Roman" w:hAnsi="Times New Roman"/>
          <w:bCs/>
          <w:sz w:val="24"/>
          <w:szCs w:val="24"/>
        </w:rPr>
      </w:pPr>
    </w:p>
    <w:p w14:paraId="28DFC9B5" w14:textId="4FB984F3" w:rsidR="00706FEC" w:rsidRDefault="00706FEC" w:rsidP="00706FEC">
      <w:pPr>
        <w:pStyle w:val="NoSpacing"/>
        <w:rPr>
          <w:rFonts w:ascii="Times New Roman" w:hAnsi="Times New Roman"/>
          <w:bCs/>
          <w:sz w:val="24"/>
          <w:szCs w:val="24"/>
        </w:rPr>
      </w:pPr>
      <w:r w:rsidRPr="00C755A6">
        <w:rPr>
          <w:rFonts w:ascii="Times New Roman" w:hAnsi="Times New Roman"/>
          <w:bCs/>
          <w:sz w:val="24"/>
          <w:szCs w:val="24"/>
        </w:rPr>
        <w:t xml:space="preserve">On Nov. 20, 2023, in </w:t>
      </w:r>
      <w:r w:rsidRPr="00AE5219">
        <w:rPr>
          <w:rFonts w:ascii="Times New Roman" w:hAnsi="Times New Roman"/>
          <w:bCs/>
          <w:sz w:val="24"/>
          <w:szCs w:val="24"/>
          <w:u w:val="single"/>
        </w:rPr>
        <w:t>Raymond C. Barton v. Sheldon Neely and City of Flint, Michigan</w:t>
      </w:r>
      <w:r>
        <w:rPr>
          <w:rFonts w:ascii="Times New Roman" w:hAnsi="Times New Roman"/>
          <w:bCs/>
          <w:sz w:val="24"/>
          <w:szCs w:val="24"/>
        </w:rPr>
        <w:t xml:space="preserve">, U.S. District Court Judge Nancy G. Edmunds held that the former Fire Chiefs claim of First Amendment retaliation may proceed against the Mayor and the City. The Court refused to grant qualified immunity to the </w:t>
      </w:r>
      <w:proofErr w:type="gramStart"/>
      <w:r>
        <w:rPr>
          <w:rFonts w:ascii="Times New Roman" w:hAnsi="Times New Roman"/>
          <w:bCs/>
          <w:sz w:val="24"/>
          <w:szCs w:val="24"/>
        </w:rPr>
        <w:t>Mayor</w:t>
      </w:r>
      <w:proofErr w:type="gramEnd"/>
      <w:r>
        <w:rPr>
          <w:rFonts w:ascii="Times New Roman" w:hAnsi="Times New Roman"/>
          <w:bCs/>
          <w:sz w:val="24"/>
          <w:szCs w:val="24"/>
        </w:rPr>
        <w:t xml:space="preserve"> and ordered pre-trial discovery to proceed.  While the Fire Chief was an “at will” employee, he is protected from retaliation for telling City Council that he recommended termination of two firefighters for failure to find two boys during search second floor of house fire.  </w:t>
      </w:r>
      <w:proofErr w:type="gramStart"/>
      <w:r>
        <w:rPr>
          <w:rFonts w:ascii="Times New Roman" w:hAnsi="Times New Roman"/>
          <w:bCs/>
          <w:sz w:val="24"/>
          <w:szCs w:val="24"/>
        </w:rPr>
        <w:t>Mayor’s</w:t>
      </w:r>
      <w:proofErr w:type="gramEnd"/>
      <w:r>
        <w:rPr>
          <w:rFonts w:ascii="Times New Roman" w:hAnsi="Times New Roman"/>
          <w:bCs/>
          <w:sz w:val="24"/>
          <w:szCs w:val="24"/>
        </w:rPr>
        <w:t xml:space="preserve"> repeatedly told Fire Chief to only suspend the firefighters since Mayor was running for reelection and wanted Union support. </w:t>
      </w:r>
      <w:hyperlink r:id="rId2714" w:history="1">
        <w:r w:rsidRPr="00553FEF">
          <w:rPr>
            <w:rStyle w:val="Hyperlink"/>
            <w:rFonts w:ascii="Times New Roman" w:hAnsi="Times New Roman"/>
            <w:bCs/>
            <w:sz w:val="24"/>
            <w:szCs w:val="24"/>
          </w:rPr>
          <w:t>https://cases.justia.com/federal/district-courts/michigan/miedce/2:2023cv10051/366865/15/0.pdf?ts=1700584910</w:t>
        </w:r>
      </w:hyperlink>
      <w:r>
        <w:rPr>
          <w:rFonts w:ascii="Times New Roman" w:hAnsi="Times New Roman"/>
          <w:bCs/>
          <w:sz w:val="24"/>
          <w:szCs w:val="24"/>
        </w:rPr>
        <w:t xml:space="preserve"> </w:t>
      </w:r>
    </w:p>
    <w:p w14:paraId="055ABC7F" w14:textId="77777777" w:rsidR="00286CE9" w:rsidRDefault="00286CE9" w:rsidP="00706FEC">
      <w:pPr>
        <w:pStyle w:val="NoSpacing"/>
        <w:rPr>
          <w:rFonts w:ascii="Times New Roman" w:hAnsi="Times New Roman"/>
          <w:bCs/>
          <w:sz w:val="24"/>
          <w:szCs w:val="24"/>
        </w:rPr>
      </w:pPr>
    </w:p>
    <w:p w14:paraId="62384D65" w14:textId="77777777" w:rsidR="00286CE9" w:rsidRDefault="00286CE9" w:rsidP="00286CE9">
      <w:pPr>
        <w:pStyle w:val="NoSpacing"/>
        <w:rPr>
          <w:rFonts w:ascii="Times New Roman" w:hAnsi="Times New Roman"/>
          <w:b/>
          <w:sz w:val="24"/>
          <w:szCs w:val="24"/>
        </w:rPr>
      </w:pPr>
      <w:r w:rsidRPr="00B662B4">
        <w:rPr>
          <w:rFonts w:ascii="Times New Roman" w:hAnsi="Times New Roman"/>
          <w:b/>
          <w:sz w:val="24"/>
          <w:szCs w:val="24"/>
        </w:rPr>
        <w:t>Legal Lesson Learned:</w:t>
      </w:r>
      <w:r>
        <w:rPr>
          <w:rFonts w:ascii="Times New Roman" w:hAnsi="Times New Roman"/>
          <w:b/>
          <w:sz w:val="24"/>
          <w:szCs w:val="24"/>
        </w:rPr>
        <w:t xml:space="preserve">  Even “at will” Fire Chiefs are protected from retaliation for his First Amendment comments to City Council as a private citizen. </w:t>
      </w:r>
    </w:p>
    <w:p w14:paraId="24FE1933" w14:textId="77777777" w:rsidR="00286CE9" w:rsidRDefault="00286CE9" w:rsidP="00286CE9">
      <w:pPr>
        <w:pStyle w:val="Heading1"/>
        <w:ind w:left="720"/>
        <w:rPr>
          <w:b w:val="0"/>
          <w:bCs w:val="0"/>
          <w:sz w:val="24"/>
          <w:szCs w:val="24"/>
        </w:rPr>
      </w:pPr>
      <w:r w:rsidRPr="00064C32">
        <w:rPr>
          <w:b w:val="0"/>
          <w:sz w:val="24"/>
          <w:szCs w:val="24"/>
        </w:rPr>
        <w:t>Note: See Nov. 2</w:t>
      </w:r>
      <w:r>
        <w:rPr>
          <w:b w:val="0"/>
          <w:sz w:val="24"/>
          <w:szCs w:val="24"/>
        </w:rPr>
        <w:t>0</w:t>
      </w:r>
      <w:r w:rsidRPr="00064C32">
        <w:rPr>
          <w:b w:val="0"/>
          <w:sz w:val="24"/>
          <w:szCs w:val="24"/>
        </w:rPr>
        <w:t xml:space="preserve">, </w:t>
      </w:r>
      <w:proofErr w:type="gramStart"/>
      <w:r w:rsidRPr="00064C32">
        <w:rPr>
          <w:b w:val="0"/>
          <w:sz w:val="24"/>
          <w:szCs w:val="24"/>
        </w:rPr>
        <w:t>2023</w:t>
      </w:r>
      <w:proofErr w:type="gramEnd"/>
      <w:r w:rsidRPr="00064C32">
        <w:rPr>
          <w:b w:val="0"/>
          <w:sz w:val="24"/>
          <w:szCs w:val="24"/>
        </w:rPr>
        <w:t xml:space="preserve"> article, </w:t>
      </w:r>
      <w:r w:rsidRPr="00A7321C">
        <w:rPr>
          <w:b w:val="0"/>
          <w:bCs w:val="0"/>
          <w:sz w:val="24"/>
          <w:szCs w:val="24"/>
        </w:rPr>
        <w:t xml:space="preserve">“Judge rules lawsuit filed by former fire chief against Flint mayor can continue.” </w:t>
      </w:r>
      <w:hyperlink r:id="rId2715" w:history="1">
        <w:r w:rsidRPr="00A7321C">
          <w:rPr>
            <w:rStyle w:val="Hyperlink"/>
            <w:b w:val="0"/>
            <w:bCs w:val="0"/>
            <w:sz w:val="24"/>
            <w:szCs w:val="24"/>
          </w:rPr>
          <w:t>https://midmichigannow.com/news/local/judge-rules-lawsuit-filed-by-former-fire-chief-against-flint-mayor-can-continue</w:t>
        </w:r>
      </w:hyperlink>
      <w:r w:rsidRPr="00A7321C">
        <w:rPr>
          <w:b w:val="0"/>
          <w:bCs w:val="0"/>
          <w:sz w:val="24"/>
          <w:szCs w:val="24"/>
        </w:rPr>
        <w:t xml:space="preserve"> </w:t>
      </w:r>
    </w:p>
    <w:p w14:paraId="43197685" w14:textId="77777777" w:rsidR="00286CE9" w:rsidRDefault="00286CE9" w:rsidP="00286CE9">
      <w:pPr>
        <w:pStyle w:val="NoSpacing"/>
        <w:ind w:firstLine="720"/>
        <w:rPr>
          <w:rFonts w:ascii="Times New Roman" w:hAnsi="Times New Roman"/>
          <w:bCs/>
          <w:sz w:val="24"/>
          <w:szCs w:val="24"/>
        </w:rPr>
      </w:pPr>
      <w:r>
        <w:rPr>
          <w:rFonts w:ascii="Times New Roman" w:hAnsi="Times New Roman"/>
          <w:bCs/>
          <w:sz w:val="24"/>
          <w:szCs w:val="24"/>
        </w:rPr>
        <w:t xml:space="preserve">The </w:t>
      </w:r>
      <w:r w:rsidRPr="00A05EF8">
        <w:rPr>
          <w:rFonts w:ascii="Times New Roman" w:hAnsi="Times New Roman"/>
          <w:bCs/>
          <w:sz w:val="24"/>
          <w:szCs w:val="24"/>
        </w:rPr>
        <w:t xml:space="preserve">Court </w:t>
      </w:r>
      <w:r>
        <w:rPr>
          <w:rFonts w:ascii="Times New Roman" w:hAnsi="Times New Roman"/>
          <w:bCs/>
          <w:sz w:val="24"/>
          <w:szCs w:val="24"/>
        </w:rPr>
        <w:t>referenced detailed facts from the Fire Chiefs amended complaint:</w:t>
      </w:r>
      <w:r w:rsidRPr="00A05EF8">
        <w:rPr>
          <w:rFonts w:ascii="Times New Roman" w:hAnsi="Times New Roman"/>
          <w:bCs/>
          <w:sz w:val="24"/>
          <w:szCs w:val="24"/>
        </w:rPr>
        <w:t xml:space="preserve"> </w:t>
      </w:r>
    </w:p>
    <w:p w14:paraId="42E4A09C" w14:textId="77777777" w:rsidR="00286CE9" w:rsidRDefault="00286CE9" w:rsidP="00286CE9">
      <w:pPr>
        <w:pStyle w:val="NoSpacing"/>
        <w:rPr>
          <w:rFonts w:ascii="Times New Roman" w:hAnsi="Times New Roman"/>
          <w:bCs/>
          <w:sz w:val="24"/>
          <w:szCs w:val="24"/>
        </w:rPr>
      </w:pPr>
    </w:p>
    <w:p w14:paraId="57F267C6" w14:textId="77777777" w:rsidR="00286CE9" w:rsidRPr="00E90346" w:rsidRDefault="00286CE9" w:rsidP="00286CE9">
      <w:pPr>
        <w:pStyle w:val="NoSpacing"/>
        <w:rPr>
          <w:rFonts w:ascii="Times New Roman" w:hAnsi="Times New Roman"/>
          <w:b/>
          <w:sz w:val="24"/>
          <w:szCs w:val="24"/>
        </w:rPr>
      </w:pPr>
      <w:r>
        <w:rPr>
          <w:rFonts w:ascii="Times New Roman" w:hAnsi="Times New Roman"/>
          <w:bCs/>
          <w:sz w:val="24"/>
          <w:szCs w:val="24"/>
        </w:rPr>
        <w:tab/>
      </w:r>
      <w:r>
        <w:rPr>
          <w:rFonts w:ascii="Times New Roman" w:hAnsi="Times New Roman"/>
          <w:b/>
          <w:sz w:val="24"/>
          <w:szCs w:val="24"/>
        </w:rPr>
        <w:t>“</w:t>
      </w:r>
      <w:r w:rsidRPr="00E90346">
        <w:rPr>
          <w:rFonts w:ascii="Times New Roman" w:hAnsi="Times New Roman"/>
          <w:bCs/>
          <w:sz w:val="24"/>
          <w:szCs w:val="24"/>
        </w:rPr>
        <w:t>This lawsuit arises out of the discharge of Plaintiff from his position as Flint City</w:t>
      </w:r>
    </w:p>
    <w:p w14:paraId="0983EE60" w14:textId="77777777" w:rsidR="00286CE9"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 xml:space="preserve">Fire Chief by Defendant Neely, Flint City Mayor. On May 28, 2022, a fire broke out at a house on Pulaski Street in Flint, Michigan. (ECF No. 2, PageID.18–19.) Six firefighters arrived at the scene of the fire, where they were told that residents were likely still inside. (Id. at PageID.19.) Two firefighters conducted a search for </w:t>
      </w:r>
      <w:proofErr w:type="gramStart"/>
      <w:r w:rsidRPr="00E90346">
        <w:rPr>
          <w:rFonts w:ascii="Times New Roman" w:hAnsi="Times New Roman"/>
          <w:bCs/>
          <w:sz w:val="24"/>
          <w:szCs w:val="24"/>
        </w:rPr>
        <w:t>persons</w:t>
      </w:r>
      <w:proofErr w:type="gramEnd"/>
      <w:r w:rsidRPr="00E90346">
        <w:rPr>
          <w:rFonts w:ascii="Times New Roman" w:hAnsi="Times New Roman"/>
          <w:bCs/>
          <w:sz w:val="24"/>
          <w:szCs w:val="24"/>
        </w:rPr>
        <w:t xml:space="preserve"> on the second floor of the home. (Id.) Both claimed they thoroughly searched all rooms on the upper level and used infrared equipment and thermal imaging to aid in the search. (Id.) The two firefighters then returned to the first floor and told the other firefighters there was no one else in the home. (Id.) At that point, a second set of firefighters went up to the second floor and immediately found two young boys in a bedroom. (Id. at PageID.20.) Neither boy was covered by any objects or obstructions and were visible to the naked eye. (Id.) The boys were discovered approximately seven minutes after the first two firefighters had asserted that the house was all clear. (Id.) The boys died </w:t>
      </w:r>
      <w:proofErr w:type="gramStart"/>
      <w:r w:rsidRPr="00E90346">
        <w:rPr>
          <w:rFonts w:ascii="Times New Roman" w:hAnsi="Times New Roman"/>
          <w:bCs/>
          <w:sz w:val="24"/>
          <w:szCs w:val="24"/>
        </w:rPr>
        <w:t>as a result of</w:t>
      </w:r>
      <w:proofErr w:type="gramEnd"/>
      <w:r w:rsidRPr="00E90346">
        <w:rPr>
          <w:rFonts w:ascii="Times New Roman" w:hAnsi="Times New Roman"/>
          <w:bCs/>
          <w:sz w:val="24"/>
          <w:szCs w:val="24"/>
        </w:rPr>
        <w:t xml:space="preserve"> the fire. (Id. at PageID.17.)</w:t>
      </w:r>
    </w:p>
    <w:p w14:paraId="255C8B61" w14:textId="77777777" w:rsidR="00286CE9" w:rsidRDefault="00286CE9" w:rsidP="00286CE9">
      <w:pPr>
        <w:pStyle w:val="NoSpacing"/>
        <w:ind w:left="720"/>
        <w:rPr>
          <w:rFonts w:ascii="Times New Roman" w:hAnsi="Times New Roman"/>
          <w:bCs/>
          <w:sz w:val="24"/>
          <w:szCs w:val="24"/>
        </w:rPr>
      </w:pPr>
    </w:p>
    <w:p w14:paraId="6A5BCC0C" w14:textId="77777777" w:rsidR="00286CE9" w:rsidRPr="00E90346" w:rsidRDefault="00286CE9" w:rsidP="00286CE9">
      <w:pPr>
        <w:pStyle w:val="NoSpacing"/>
        <w:ind w:left="720"/>
        <w:rPr>
          <w:rFonts w:ascii="Times New Roman" w:hAnsi="Times New Roman"/>
          <w:bCs/>
          <w:sz w:val="24"/>
          <w:szCs w:val="24"/>
        </w:rPr>
      </w:pPr>
      <w:r>
        <w:rPr>
          <w:rFonts w:ascii="Times New Roman" w:hAnsi="Times New Roman"/>
          <w:bCs/>
          <w:sz w:val="24"/>
          <w:szCs w:val="24"/>
        </w:rPr>
        <w:t>***</w:t>
      </w:r>
    </w:p>
    <w:p w14:paraId="5EAFD0F5" w14:textId="77777777" w:rsidR="00286CE9" w:rsidRPr="00E90346" w:rsidRDefault="00286CE9" w:rsidP="00286CE9">
      <w:pPr>
        <w:pStyle w:val="NoSpacing"/>
        <w:rPr>
          <w:rFonts w:ascii="Times New Roman" w:hAnsi="Times New Roman"/>
          <w:bCs/>
          <w:sz w:val="24"/>
          <w:szCs w:val="24"/>
        </w:rPr>
      </w:pPr>
    </w:p>
    <w:p w14:paraId="19F036BA" w14:textId="77777777" w:rsidR="00286CE9"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According to Plaintiff, the firefighters did not comply with the investigation and were unwilling to correct factual misrepresentations in their official reports on the fire. (Id. at PageID.21.)</w:t>
      </w:r>
    </w:p>
    <w:p w14:paraId="2F702A61" w14:textId="77777777" w:rsidR="00286CE9" w:rsidRDefault="00286CE9" w:rsidP="00286CE9">
      <w:pPr>
        <w:pStyle w:val="NoSpacing"/>
        <w:ind w:left="720"/>
        <w:rPr>
          <w:rFonts w:ascii="Times New Roman" w:hAnsi="Times New Roman"/>
          <w:bCs/>
          <w:sz w:val="24"/>
          <w:szCs w:val="24"/>
        </w:rPr>
      </w:pPr>
    </w:p>
    <w:p w14:paraId="7D16968A" w14:textId="77777777" w:rsidR="00286CE9" w:rsidRPr="00E90346" w:rsidRDefault="00286CE9" w:rsidP="00286CE9">
      <w:pPr>
        <w:pStyle w:val="NoSpacing"/>
        <w:ind w:left="720"/>
        <w:rPr>
          <w:rFonts w:ascii="Times New Roman" w:hAnsi="Times New Roman"/>
          <w:bCs/>
          <w:sz w:val="24"/>
          <w:szCs w:val="24"/>
        </w:rPr>
      </w:pPr>
      <w:r>
        <w:rPr>
          <w:rFonts w:ascii="Times New Roman" w:hAnsi="Times New Roman"/>
          <w:bCs/>
          <w:sz w:val="24"/>
          <w:szCs w:val="24"/>
        </w:rPr>
        <w:t>***</w:t>
      </w:r>
    </w:p>
    <w:p w14:paraId="669A1B06" w14:textId="77777777" w:rsidR="00286CE9" w:rsidRPr="00E90346" w:rsidRDefault="00286CE9" w:rsidP="00286CE9">
      <w:pPr>
        <w:pStyle w:val="NoSpacing"/>
        <w:rPr>
          <w:rFonts w:ascii="Times New Roman" w:hAnsi="Times New Roman"/>
          <w:bCs/>
          <w:sz w:val="24"/>
          <w:szCs w:val="24"/>
        </w:rPr>
      </w:pPr>
    </w:p>
    <w:p w14:paraId="410BAECA"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then recommended that the firefighters be suspended without pay pending</w:t>
      </w:r>
    </w:p>
    <w:p w14:paraId="783D4DA7"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 final investigation and discharged at the conclusion of the investigation. (Id.) When</w:t>
      </w:r>
    </w:p>
    <w:p w14:paraId="62D8EA7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informed the city council and other city officials of his recommendations,</w:t>
      </w:r>
    </w:p>
    <w:p w14:paraId="36A6C4BF"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Defendant Neely instructed Plaintiff to change his factual findings and recommendations.</w:t>
      </w:r>
    </w:p>
    <w:p w14:paraId="36D6A91B"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(Id.) Plaintiff’s Amended Complaint states that Defendant Neely wanted Plaintiff to</w:t>
      </w:r>
    </w:p>
    <w:p w14:paraId="642242DA" w14:textId="77777777" w:rsidR="00286CE9" w:rsidRPr="00E90346" w:rsidRDefault="00286CE9" w:rsidP="00286CE9">
      <w:pPr>
        <w:pStyle w:val="NoSpacing"/>
        <w:ind w:firstLine="720"/>
        <w:rPr>
          <w:rFonts w:ascii="Times New Roman" w:hAnsi="Times New Roman"/>
          <w:bCs/>
          <w:sz w:val="24"/>
          <w:szCs w:val="24"/>
        </w:rPr>
      </w:pPr>
      <w:r>
        <w:rPr>
          <w:rFonts w:ascii="Times New Roman" w:hAnsi="Times New Roman"/>
          <w:bCs/>
          <w:sz w:val="24"/>
          <w:szCs w:val="24"/>
        </w:rPr>
        <w:t>‘</w:t>
      </w:r>
      <w:proofErr w:type="gramStart"/>
      <w:r w:rsidRPr="00E90346">
        <w:rPr>
          <w:rFonts w:ascii="Times New Roman" w:hAnsi="Times New Roman"/>
          <w:bCs/>
          <w:sz w:val="24"/>
          <w:szCs w:val="24"/>
        </w:rPr>
        <w:t>disguise</w:t>
      </w:r>
      <w:proofErr w:type="gramEnd"/>
      <w:r w:rsidRPr="00E90346">
        <w:rPr>
          <w:rFonts w:ascii="Times New Roman" w:hAnsi="Times New Roman"/>
          <w:bCs/>
          <w:sz w:val="24"/>
          <w:szCs w:val="24"/>
        </w:rPr>
        <w:t xml:space="preserve"> the firefighters’ misconduct, suspend the firefighters with pay, and drop his 3</w:t>
      </w:r>
    </w:p>
    <w:p w14:paraId="116BA16E"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recommendation that they be discharged.</w:t>
      </w:r>
      <w:r>
        <w:rPr>
          <w:rFonts w:ascii="Times New Roman" w:hAnsi="Times New Roman"/>
          <w:bCs/>
          <w:sz w:val="24"/>
          <w:szCs w:val="24"/>
        </w:rPr>
        <w:t>’</w:t>
      </w:r>
      <w:r w:rsidRPr="00E90346">
        <w:rPr>
          <w:rFonts w:ascii="Times New Roman" w:hAnsi="Times New Roman"/>
          <w:bCs/>
          <w:sz w:val="24"/>
          <w:szCs w:val="24"/>
        </w:rPr>
        <w:t xml:space="preserve"> (Id.) Defendant Neely then informed Plaintiff</w:t>
      </w:r>
    </w:p>
    <w:p w14:paraId="691CB294"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that Defendant Neely and his wife were up for election and re-election in their respective</w:t>
      </w:r>
    </w:p>
    <w:p w14:paraId="0CFBCBC2"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positions and needed the support of the firefighters’ union. (Id.) Plaintiff interpreted that</w:t>
      </w:r>
    </w:p>
    <w:p w14:paraId="32C48BD9" w14:textId="77777777" w:rsidR="00286CE9" w:rsidRPr="00E90346"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to mean that Defendant Neely wanted to “cover up [the firefighters’] wrongdoing and fraud for the sole purpose of winning personal political support from the firefighters’ union.” (Id.)</w:t>
      </w:r>
    </w:p>
    <w:p w14:paraId="3935CA6A" w14:textId="77777777" w:rsidR="00286CE9" w:rsidRPr="00E90346" w:rsidRDefault="00286CE9" w:rsidP="00286CE9">
      <w:pPr>
        <w:pStyle w:val="NoSpacing"/>
        <w:rPr>
          <w:rFonts w:ascii="Times New Roman" w:hAnsi="Times New Roman"/>
          <w:bCs/>
          <w:sz w:val="24"/>
          <w:szCs w:val="24"/>
        </w:rPr>
      </w:pPr>
    </w:p>
    <w:p w14:paraId="5FA32264"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refused to change his findings and recommendations or make false</w:t>
      </w:r>
    </w:p>
    <w:p w14:paraId="106B4706"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statements about the incident. (Id. at PageID.22.) Defendant Neely continued to insist</w:t>
      </w:r>
    </w:p>
    <w:p w14:paraId="7E906BD8" w14:textId="77777777" w:rsidR="00286CE9" w:rsidRPr="00E90346" w:rsidRDefault="00286CE9" w:rsidP="00286CE9">
      <w:pPr>
        <w:pStyle w:val="NoSpacing"/>
        <w:ind w:firstLine="720"/>
        <w:rPr>
          <w:rFonts w:ascii="Times New Roman" w:hAnsi="Times New Roman"/>
          <w:bCs/>
          <w:sz w:val="24"/>
          <w:szCs w:val="24"/>
        </w:rPr>
      </w:pPr>
      <w:proofErr w:type="gramStart"/>
      <w:r w:rsidRPr="00E90346">
        <w:rPr>
          <w:rFonts w:ascii="Times New Roman" w:hAnsi="Times New Roman"/>
          <w:bCs/>
          <w:sz w:val="24"/>
          <w:szCs w:val="24"/>
        </w:rPr>
        <w:t>Plaintiff</w:t>
      </w:r>
      <w:proofErr w:type="gramEnd"/>
      <w:r w:rsidRPr="00E90346">
        <w:rPr>
          <w:rFonts w:ascii="Times New Roman" w:hAnsi="Times New Roman"/>
          <w:bCs/>
          <w:sz w:val="24"/>
          <w:szCs w:val="24"/>
        </w:rPr>
        <w:t xml:space="preserve"> </w:t>
      </w:r>
      <w:proofErr w:type="gramStart"/>
      <w:r w:rsidRPr="00E90346">
        <w:rPr>
          <w:rFonts w:ascii="Times New Roman" w:hAnsi="Times New Roman"/>
          <w:bCs/>
          <w:sz w:val="24"/>
          <w:szCs w:val="24"/>
        </w:rPr>
        <w:t>change</w:t>
      </w:r>
      <w:proofErr w:type="gramEnd"/>
      <w:r w:rsidRPr="00E90346">
        <w:rPr>
          <w:rFonts w:ascii="Times New Roman" w:hAnsi="Times New Roman"/>
          <w:bCs/>
          <w:sz w:val="24"/>
          <w:szCs w:val="24"/>
        </w:rPr>
        <w:t xml:space="preserve"> his recommendations. (Id.) Plaintiff continued to refuse. (Id.)</w:t>
      </w:r>
    </w:p>
    <w:p w14:paraId="0586464B" w14:textId="77777777" w:rsidR="00286CE9" w:rsidRPr="00E90346" w:rsidRDefault="00286CE9" w:rsidP="00286CE9">
      <w:pPr>
        <w:pStyle w:val="NoSpacing"/>
        <w:rPr>
          <w:rFonts w:ascii="Times New Roman" w:hAnsi="Times New Roman"/>
          <w:bCs/>
          <w:sz w:val="24"/>
          <w:szCs w:val="24"/>
        </w:rPr>
      </w:pPr>
    </w:p>
    <w:p w14:paraId="0B43527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 xml:space="preserve">In October 2023, Plaintiff learned that Defendant Neely had </w:t>
      </w:r>
      <w:r>
        <w:rPr>
          <w:rFonts w:ascii="Times New Roman" w:hAnsi="Times New Roman"/>
          <w:bCs/>
          <w:sz w:val="24"/>
          <w:szCs w:val="24"/>
        </w:rPr>
        <w:t>‘</w:t>
      </w:r>
      <w:r w:rsidRPr="00E90346">
        <w:rPr>
          <w:rFonts w:ascii="Times New Roman" w:hAnsi="Times New Roman"/>
          <w:bCs/>
          <w:sz w:val="24"/>
          <w:szCs w:val="24"/>
        </w:rPr>
        <w:t>unilaterally and</w:t>
      </w:r>
    </w:p>
    <w:p w14:paraId="30BE4617"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Surreptitiously</w:t>
      </w:r>
      <w:r>
        <w:rPr>
          <w:rFonts w:ascii="Times New Roman" w:hAnsi="Times New Roman"/>
          <w:bCs/>
          <w:sz w:val="24"/>
          <w:szCs w:val="24"/>
        </w:rPr>
        <w:t xml:space="preserve">’ </w:t>
      </w:r>
      <w:r w:rsidRPr="00E90346">
        <w:rPr>
          <w:rFonts w:ascii="Times New Roman" w:hAnsi="Times New Roman"/>
          <w:bCs/>
          <w:sz w:val="24"/>
          <w:szCs w:val="24"/>
        </w:rPr>
        <w:t>changed Plaintiff’s official recommendation. (Id.) Defendant Neely then</w:t>
      </w:r>
    </w:p>
    <w:p w14:paraId="0E93AB1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instructed Plaintiff to make a public statement saying Plaintiff initiated the change and</w:t>
      </w:r>
    </w:p>
    <w:p w14:paraId="52163BF5"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agreed with it. (Id. at PageID.23.) Plaintiff refused. (Id.) Defendant Neely continued to</w:t>
      </w:r>
    </w:p>
    <w:p w14:paraId="3A071A38"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insist that Plaintiff make the public statement. (Id.) Plaintiff again refused and told</w:t>
      </w:r>
    </w:p>
    <w:p w14:paraId="3D85A59E"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 xml:space="preserve">Defendant </w:t>
      </w:r>
      <w:proofErr w:type="gramStart"/>
      <w:r w:rsidRPr="00E90346">
        <w:rPr>
          <w:rFonts w:ascii="Times New Roman" w:hAnsi="Times New Roman"/>
          <w:bCs/>
          <w:sz w:val="24"/>
          <w:szCs w:val="24"/>
        </w:rPr>
        <w:t>Neely</w:t>
      </w:r>
      <w:proofErr w:type="gramEnd"/>
      <w:r w:rsidRPr="00E90346">
        <w:rPr>
          <w:rFonts w:ascii="Times New Roman" w:hAnsi="Times New Roman"/>
          <w:bCs/>
          <w:sz w:val="24"/>
          <w:szCs w:val="24"/>
        </w:rPr>
        <w:t xml:space="preserve"> that he would not make false statements regarding his original findings</w:t>
      </w:r>
    </w:p>
    <w:p w14:paraId="4B2F7EFB"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and recommendations about the incident. (Id.)</w:t>
      </w:r>
    </w:p>
    <w:p w14:paraId="78274231" w14:textId="77777777" w:rsidR="00286CE9" w:rsidRPr="00C755A6" w:rsidRDefault="00286CE9" w:rsidP="00286CE9">
      <w:pPr>
        <w:pStyle w:val="NoSpacing"/>
        <w:ind w:left="720"/>
        <w:rPr>
          <w:rFonts w:ascii="Times New Roman" w:hAnsi="Times New Roman"/>
          <w:bCs/>
          <w:sz w:val="24"/>
          <w:szCs w:val="24"/>
        </w:rPr>
      </w:pPr>
    </w:p>
    <w:p w14:paraId="21CA1FF2" w14:textId="77777777" w:rsidR="00286CE9" w:rsidRDefault="00286CE9" w:rsidP="00706FEC">
      <w:pPr>
        <w:pStyle w:val="NoSpacing"/>
        <w:rPr>
          <w:rFonts w:ascii="Times New Roman" w:hAnsi="Times New Roman"/>
          <w:bCs/>
          <w:sz w:val="24"/>
          <w:szCs w:val="24"/>
        </w:rPr>
      </w:pPr>
    </w:p>
    <w:p w14:paraId="2C49EA4A" w14:textId="77777777" w:rsidR="00706FEC" w:rsidRDefault="00706FEC" w:rsidP="00706FEC">
      <w:pPr>
        <w:pStyle w:val="NoSpacing"/>
        <w:ind w:left="720"/>
        <w:rPr>
          <w:rFonts w:ascii="Times New Roman" w:hAnsi="Times New Roman"/>
          <w:bCs/>
          <w:sz w:val="24"/>
          <w:szCs w:val="24"/>
        </w:rPr>
      </w:pPr>
    </w:p>
    <w:p w14:paraId="626ECE37" w14:textId="21095888" w:rsidR="00706FEC" w:rsidRDefault="00286CE9" w:rsidP="00F326E5">
      <w:pPr>
        <w:pStyle w:val="NoSpacing"/>
        <w:rPr>
          <w:rFonts w:ascii="Arial Black" w:hAnsi="Arial Black"/>
          <w:sz w:val="24"/>
          <w:szCs w:val="24"/>
        </w:rPr>
      </w:pPr>
      <w:r>
        <w:rPr>
          <w:rFonts w:ascii="Arial Black" w:hAnsi="Arial Black"/>
          <w:sz w:val="24"/>
          <w:szCs w:val="24"/>
        </w:rPr>
        <w:t>16-</w:t>
      </w:r>
      <w:r w:rsidR="00E135DF">
        <w:rPr>
          <w:rFonts w:ascii="Arial Black" w:hAnsi="Arial Black"/>
          <w:sz w:val="24"/>
          <w:szCs w:val="24"/>
        </w:rPr>
        <w:t>97</w:t>
      </w:r>
    </w:p>
    <w:p w14:paraId="433690C3" w14:textId="77777777" w:rsidR="00920338" w:rsidRDefault="00920338" w:rsidP="00F326E5">
      <w:pPr>
        <w:pStyle w:val="NoSpacing"/>
        <w:rPr>
          <w:rFonts w:ascii="Arial Black" w:hAnsi="Arial Black"/>
          <w:sz w:val="24"/>
          <w:szCs w:val="24"/>
        </w:rPr>
      </w:pPr>
    </w:p>
    <w:p w14:paraId="23E67678" w14:textId="77777777" w:rsidR="00920338" w:rsidRDefault="00920338" w:rsidP="00920338">
      <w:pPr>
        <w:pStyle w:val="NormalWeb"/>
        <w:rPr>
          <w:rFonts w:ascii="Arial Black" w:hAnsi="Arial Black"/>
          <w:sz w:val="28"/>
          <w:szCs w:val="28"/>
        </w:rPr>
      </w:pPr>
      <w:r>
        <w:rPr>
          <w:rFonts w:ascii="Arial Black" w:hAnsi="Arial Black"/>
          <w:sz w:val="28"/>
          <w:szCs w:val="28"/>
        </w:rPr>
        <w:t>CO: NEW FIRE BOARD ELECTED – FIRED FIRE CHIEF – MAY SUE RETALIATION – HE REPORTED POSS. ELECTION FRAUD</w:t>
      </w:r>
    </w:p>
    <w:p w14:paraId="3836A862" w14:textId="5B5B9C47" w:rsidR="00920338" w:rsidRDefault="00920338" w:rsidP="00920338">
      <w:pPr>
        <w:pStyle w:val="NoSpacing"/>
        <w:rPr>
          <w:rStyle w:val="Hyperlink"/>
          <w:rFonts w:ascii="Times New Roman" w:hAnsi="Times New Roman"/>
          <w:sz w:val="24"/>
          <w:szCs w:val="24"/>
        </w:rPr>
      </w:pPr>
      <w:r w:rsidRPr="001D0A41">
        <w:rPr>
          <w:rFonts w:ascii="Times New Roman" w:hAnsi="Times New Roman"/>
          <w:sz w:val="24"/>
          <w:szCs w:val="24"/>
        </w:rPr>
        <w:t xml:space="preserve">On Nov. 17, 2023, in </w:t>
      </w:r>
      <w:r w:rsidRPr="001D0A41">
        <w:rPr>
          <w:rFonts w:ascii="Times New Roman" w:hAnsi="Times New Roman"/>
          <w:sz w:val="24"/>
          <w:szCs w:val="24"/>
          <w:u w:val="single"/>
        </w:rPr>
        <w:t>Erik Holt v. Florissant Fire Protection District</w:t>
      </w:r>
      <w:r w:rsidRPr="001D0A41">
        <w:rPr>
          <w:rFonts w:ascii="Times New Roman" w:hAnsi="Times New Roman"/>
          <w:sz w:val="24"/>
          <w:szCs w:val="24"/>
        </w:rPr>
        <w:t>, U.S. District Court Judge Nina Y. Wang, U.S. District Court for District of Colorado, held that the plaintiff’s 1</w:t>
      </w:r>
      <w:r w:rsidRPr="001D0A41">
        <w:rPr>
          <w:rFonts w:ascii="Times New Roman" w:hAnsi="Times New Roman"/>
          <w:sz w:val="24"/>
          <w:szCs w:val="24"/>
          <w:vertAlign w:val="superscript"/>
        </w:rPr>
        <w:t>st</w:t>
      </w:r>
      <w:r w:rsidRPr="001D0A41">
        <w:rPr>
          <w:rFonts w:ascii="Times New Roman" w:hAnsi="Times New Roman"/>
          <w:sz w:val="24"/>
          <w:szCs w:val="24"/>
        </w:rPr>
        <w:t xml:space="preserve"> Amendment retaliation claim may proceed to pre-trial discovery, but under Colorado law he cannot sue the Fire District for wrongful termination since it enjoys immunity under the Colorado Governmental Immunity Act (“CGIA”).  The Town held an election at the Fire District for Board </w:t>
      </w:r>
      <w:proofErr w:type="gramStart"/>
      <w:r w:rsidRPr="001D0A41">
        <w:rPr>
          <w:rFonts w:ascii="Times New Roman" w:hAnsi="Times New Roman"/>
          <w:sz w:val="24"/>
          <w:szCs w:val="24"/>
        </w:rPr>
        <w:t>members</w:t>
      </w:r>
      <w:proofErr w:type="gramEnd"/>
      <w:r w:rsidRPr="001D0A41">
        <w:rPr>
          <w:rFonts w:ascii="Times New Roman" w:hAnsi="Times New Roman"/>
          <w:sz w:val="24"/>
          <w:szCs w:val="24"/>
        </w:rPr>
        <w:t xml:space="preserve"> and five new members were elected, but Fire Chief was advised that there </w:t>
      </w:r>
      <w:proofErr w:type="gramStart"/>
      <w:r w:rsidRPr="001D0A41">
        <w:rPr>
          <w:rFonts w:ascii="Times New Roman" w:hAnsi="Times New Roman"/>
          <w:sz w:val="24"/>
          <w:szCs w:val="24"/>
        </w:rPr>
        <w:t>was</w:t>
      </w:r>
      <w:proofErr w:type="gramEnd"/>
      <w:r w:rsidRPr="001D0A41">
        <w:rPr>
          <w:rFonts w:ascii="Times New Roman" w:hAnsi="Times New Roman"/>
          <w:sz w:val="24"/>
          <w:szCs w:val="24"/>
        </w:rPr>
        <w:t xml:space="preserve"> intimidation and harassment of voters at the election and he gathered videotapes which he provided to criminal investigators.  </w:t>
      </w:r>
      <w:hyperlink r:id="rId2716" w:history="1">
        <w:r w:rsidRPr="001D0A41">
          <w:rPr>
            <w:rStyle w:val="Hyperlink"/>
            <w:rFonts w:ascii="Times New Roman" w:hAnsi="Times New Roman"/>
            <w:sz w:val="24"/>
            <w:szCs w:val="24"/>
          </w:rPr>
          <w:t>https://casetext.com/case/holt-v-florissant-fire-prot-dist</w:t>
        </w:r>
      </w:hyperlink>
    </w:p>
    <w:p w14:paraId="693F647D" w14:textId="77777777" w:rsidR="00F33C79" w:rsidRDefault="00F33C79" w:rsidP="00920338">
      <w:pPr>
        <w:pStyle w:val="NoSpacing"/>
        <w:rPr>
          <w:rStyle w:val="Hyperlink"/>
          <w:rFonts w:ascii="Times New Roman" w:hAnsi="Times New Roman"/>
          <w:sz w:val="24"/>
          <w:szCs w:val="24"/>
        </w:rPr>
      </w:pPr>
    </w:p>
    <w:p w14:paraId="3AE390AA" w14:textId="77777777" w:rsidR="00F33C79" w:rsidRDefault="00F33C79" w:rsidP="00F33C79">
      <w:pPr>
        <w:rPr>
          <w:rFonts w:ascii="Times New Roman" w:hAnsi="Times New Roman"/>
          <w:b/>
          <w:bCs/>
          <w:sz w:val="24"/>
          <w:szCs w:val="24"/>
        </w:rPr>
      </w:pPr>
      <w:r w:rsidRPr="00154003">
        <w:rPr>
          <w:rFonts w:ascii="Times New Roman" w:hAnsi="Times New Roman"/>
          <w:b/>
          <w:bCs/>
          <w:sz w:val="24"/>
          <w:szCs w:val="24"/>
        </w:rPr>
        <w:t xml:space="preserve">Legal Lesson Learned: The Fire Chief may now proceed with pre-trial discovery under his First Amendment claim of retaliation. </w:t>
      </w:r>
    </w:p>
    <w:p w14:paraId="3346B6E7" w14:textId="77777777" w:rsidR="00F33C79" w:rsidRDefault="00F33C79" w:rsidP="00920338">
      <w:pPr>
        <w:pStyle w:val="NoSpacing"/>
        <w:rPr>
          <w:rFonts w:ascii="Arial Black" w:hAnsi="Arial Black"/>
          <w:sz w:val="24"/>
          <w:szCs w:val="24"/>
        </w:rPr>
      </w:pPr>
    </w:p>
    <w:p w14:paraId="46D6E15C" w14:textId="77777777" w:rsidR="00F33C79" w:rsidRDefault="00F33C79" w:rsidP="00920338">
      <w:pPr>
        <w:pStyle w:val="NoSpacing"/>
        <w:rPr>
          <w:rFonts w:ascii="Arial Black" w:hAnsi="Arial Black"/>
          <w:sz w:val="24"/>
          <w:szCs w:val="24"/>
        </w:rPr>
      </w:pPr>
    </w:p>
    <w:p w14:paraId="0A0EB8E9" w14:textId="54E3E27F" w:rsidR="00F33C79" w:rsidRDefault="00F33C79" w:rsidP="00920338">
      <w:pPr>
        <w:pStyle w:val="NoSpacing"/>
        <w:rPr>
          <w:rFonts w:ascii="Arial Black" w:hAnsi="Arial Black"/>
          <w:sz w:val="24"/>
          <w:szCs w:val="24"/>
        </w:rPr>
      </w:pPr>
      <w:r>
        <w:rPr>
          <w:rFonts w:ascii="Arial Black" w:hAnsi="Arial Black"/>
          <w:sz w:val="24"/>
          <w:szCs w:val="24"/>
        </w:rPr>
        <w:t>16-96</w:t>
      </w:r>
    </w:p>
    <w:p w14:paraId="767DCC3B" w14:textId="77777777" w:rsidR="0046271A" w:rsidRDefault="0046271A" w:rsidP="0046271A">
      <w:pPr>
        <w:rPr>
          <w:rFonts w:ascii="Arial Black" w:hAnsi="Arial Black"/>
          <w:b/>
          <w:bCs/>
          <w:sz w:val="28"/>
          <w:szCs w:val="28"/>
        </w:rPr>
      </w:pPr>
      <w:r>
        <w:rPr>
          <w:rFonts w:ascii="Arial Black" w:hAnsi="Arial Black"/>
          <w:b/>
          <w:bCs/>
          <w:sz w:val="28"/>
          <w:szCs w:val="28"/>
        </w:rPr>
        <w:t>MA: BOSTON FF – SOCIAL MEDIA POSTS ATTACKING RELIGION, SEXUAL ORIENTATION, RACE - FIRED</w:t>
      </w:r>
    </w:p>
    <w:p w14:paraId="5310F73B" w14:textId="77777777" w:rsidR="0046271A" w:rsidRDefault="0046271A" w:rsidP="0046271A">
      <w:pPr>
        <w:rPr>
          <w:rFonts w:ascii="Times New Roman" w:hAnsi="Times New Roman"/>
          <w:sz w:val="24"/>
          <w:szCs w:val="24"/>
        </w:rPr>
      </w:pPr>
      <w:r w:rsidRPr="00C972D3">
        <w:rPr>
          <w:rFonts w:ascii="Times New Roman" w:hAnsi="Times New Roman"/>
          <w:sz w:val="24"/>
          <w:szCs w:val="24"/>
        </w:rPr>
        <w:t xml:space="preserve">On </w:t>
      </w:r>
      <w:r>
        <w:rPr>
          <w:rFonts w:ascii="Times New Roman" w:hAnsi="Times New Roman"/>
          <w:sz w:val="24"/>
          <w:szCs w:val="24"/>
        </w:rPr>
        <w:t xml:space="preserve">Nov. 6, 2023, in </w:t>
      </w:r>
      <w:r w:rsidRPr="00442665">
        <w:rPr>
          <w:rFonts w:ascii="Times New Roman" w:hAnsi="Times New Roman"/>
          <w:sz w:val="24"/>
          <w:szCs w:val="24"/>
          <w:u w:val="single"/>
        </w:rPr>
        <w:t>Octavius Rowe v. Civil Service Commission</w:t>
      </w:r>
      <w:r>
        <w:rPr>
          <w:rFonts w:ascii="Times New Roman" w:hAnsi="Times New Roman"/>
          <w:sz w:val="24"/>
          <w:szCs w:val="24"/>
        </w:rPr>
        <w:t xml:space="preserve">, the Appeals Court of Massachusetts held (3 to 0) that the Boston Fire Department and the city’s Civil Service Commission properly upheld the termination of the firefighter.  The Black firefighter claimed that white firefighters were treated less harshly, but two firefighters had resigned and a third received a suspension for less serious misconduct.   </w:t>
      </w:r>
      <w:hyperlink r:id="rId2717" w:history="1">
        <w:r w:rsidRPr="00182321">
          <w:rPr>
            <w:rStyle w:val="Hyperlink"/>
            <w:rFonts w:ascii="Times New Roman" w:hAnsi="Times New Roman"/>
            <w:sz w:val="24"/>
            <w:szCs w:val="24"/>
          </w:rPr>
          <w:t>https://caselaw.findlaw.com/court/ma-court-of-appeals/115411600.html</w:t>
        </w:r>
      </w:hyperlink>
      <w:r>
        <w:rPr>
          <w:rFonts w:ascii="Times New Roman" w:hAnsi="Times New Roman"/>
          <w:sz w:val="24"/>
          <w:szCs w:val="24"/>
        </w:rPr>
        <w:t xml:space="preserve"> </w:t>
      </w:r>
    </w:p>
    <w:p w14:paraId="4C47C07C" w14:textId="77777777" w:rsidR="00075DAE" w:rsidRDefault="00075DAE" w:rsidP="00075DAE">
      <w:pPr>
        <w:rPr>
          <w:rFonts w:ascii="Times New Roman" w:hAnsi="Times New Roman"/>
          <w:b/>
          <w:bCs/>
          <w:sz w:val="24"/>
          <w:szCs w:val="24"/>
        </w:rPr>
      </w:pPr>
      <w:r w:rsidRPr="00025468">
        <w:rPr>
          <w:rFonts w:ascii="Times New Roman" w:hAnsi="Times New Roman"/>
          <w:b/>
          <w:bCs/>
          <w:sz w:val="24"/>
          <w:szCs w:val="24"/>
        </w:rPr>
        <w:t>Legal Lesson Learned:</w:t>
      </w:r>
      <w:r>
        <w:rPr>
          <w:rFonts w:ascii="Times New Roman" w:hAnsi="Times New Roman"/>
          <w:b/>
          <w:bCs/>
          <w:sz w:val="24"/>
          <w:szCs w:val="24"/>
        </w:rPr>
        <w:t xml:space="preserve"> Social media posts by fire or EMS can result in discipline, including termination.</w:t>
      </w:r>
    </w:p>
    <w:p w14:paraId="5ED6EE38" w14:textId="77777777" w:rsidR="0046271A" w:rsidRDefault="0046271A" w:rsidP="00920338">
      <w:pPr>
        <w:pStyle w:val="NoSpacing"/>
        <w:rPr>
          <w:rFonts w:ascii="Arial Black" w:hAnsi="Arial Black"/>
          <w:sz w:val="24"/>
          <w:szCs w:val="24"/>
        </w:rPr>
      </w:pPr>
    </w:p>
    <w:p w14:paraId="07A94F39" w14:textId="77777777" w:rsidR="0042334A" w:rsidRDefault="0042334A" w:rsidP="00F326E5">
      <w:pPr>
        <w:pStyle w:val="NoSpacing"/>
        <w:rPr>
          <w:rFonts w:ascii="Arial Black" w:hAnsi="Arial Black"/>
          <w:sz w:val="24"/>
          <w:szCs w:val="24"/>
        </w:rPr>
      </w:pPr>
    </w:p>
    <w:p w14:paraId="0DA0457B" w14:textId="77777777" w:rsidR="0042334A" w:rsidRDefault="0042334A" w:rsidP="00F326E5">
      <w:pPr>
        <w:pStyle w:val="NoSpacing"/>
        <w:rPr>
          <w:rFonts w:ascii="Arial Black" w:hAnsi="Arial Black"/>
          <w:sz w:val="24"/>
          <w:szCs w:val="24"/>
        </w:rPr>
      </w:pPr>
    </w:p>
    <w:p w14:paraId="7CA5F048" w14:textId="0550F3A9" w:rsidR="000518BE" w:rsidRDefault="000518BE" w:rsidP="00F326E5">
      <w:pPr>
        <w:pStyle w:val="NoSpacing"/>
        <w:rPr>
          <w:rFonts w:ascii="Arial Black" w:hAnsi="Arial Black"/>
          <w:sz w:val="24"/>
          <w:szCs w:val="24"/>
        </w:rPr>
      </w:pPr>
      <w:r>
        <w:rPr>
          <w:rFonts w:ascii="Arial Black" w:hAnsi="Arial Black"/>
          <w:sz w:val="24"/>
          <w:szCs w:val="24"/>
        </w:rPr>
        <w:t>16-95</w:t>
      </w:r>
    </w:p>
    <w:p w14:paraId="54B09E71" w14:textId="77777777" w:rsidR="000518BE" w:rsidRDefault="000518BE" w:rsidP="000518BE">
      <w:pPr>
        <w:pStyle w:val="NormalWeb"/>
        <w:rPr>
          <w:rFonts w:ascii="Arial Black" w:hAnsi="Arial Black"/>
          <w:b/>
          <w:bCs/>
          <w:sz w:val="28"/>
          <w:szCs w:val="28"/>
        </w:rPr>
      </w:pPr>
      <w:r>
        <w:rPr>
          <w:rFonts w:ascii="Arial Black" w:hAnsi="Arial Black"/>
          <w:b/>
          <w:bCs/>
          <w:sz w:val="28"/>
          <w:szCs w:val="28"/>
        </w:rPr>
        <w:t>LA: “OFFICE ROMANCE” - WIFE OF ASSISTANT FIRE CHIEF DIVORCES - MARRIES DIST. CHIEF – FIRED – NO CASE</w:t>
      </w:r>
    </w:p>
    <w:p w14:paraId="08523464" w14:textId="16BB4525" w:rsidR="000518BE" w:rsidRPr="000518BE" w:rsidRDefault="000518BE" w:rsidP="000518BE">
      <w:pPr>
        <w:pStyle w:val="NoSpacing"/>
        <w:rPr>
          <w:rFonts w:ascii="Times New Roman" w:hAnsi="Times New Roman"/>
          <w:sz w:val="24"/>
          <w:szCs w:val="24"/>
        </w:rPr>
      </w:pPr>
      <w:r w:rsidRPr="000518BE">
        <w:rPr>
          <w:rFonts w:ascii="Times New Roman" w:hAnsi="Times New Roman"/>
          <w:sz w:val="24"/>
          <w:szCs w:val="24"/>
        </w:rPr>
        <w:t xml:space="preserve">On Oct. 19, 2023, in </w:t>
      </w:r>
      <w:r w:rsidRPr="000518BE">
        <w:rPr>
          <w:rFonts w:ascii="Times New Roman" w:hAnsi="Times New Roman"/>
          <w:sz w:val="24"/>
          <w:szCs w:val="24"/>
          <w:u w:val="single"/>
        </w:rPr>
        <w:t xml:space="preserve">Stacie </w:t>
      </w:r>
      <w:proofErr w:type="spellStart"/>
      <w:r w:rsidRPr="000518BE">
        <w:rPr>
          <w:rFonts w:ascii="Times New Roman" w:hAnsi="Times New Roman"/>
          <w:sz w:val="24"/>
          <w:szCs w:val="24"/>
          <w:u w:val="single"/>
        </w:rPr>
        <w:t>Dellucky</w:t>
      </w:r>
      <w:proofErr w:type="spellEnd"/>
      <w:r w:rsidRPr="000518BE">
        <w:rPr>
          <w:rFonts w:ascii="Times New Roman" w:hAnsi="Times New Roman"/>
          <w:sz w:val="24"/>
          <w:szCs w:val="24"/>
          <w:u w:val="single"/>
        </w:rPr>
        <w:t xml:space="preserve"> &amp; Frank Dellucky v. St. George Fire Protection District, et al.</w:t>
      </w:r>
      <w:r w:rsidRPr="000518BE">
        <w:rPr>
          <w:rFonts w:ascii="Times New Roman" w:hAnsi="Times New Roman"/>
          <w:sz w:val="24"/>
          <w:szCs w:val="24"/>
        </w:rPr>
        <w:t>, U.S. District Court Judge Brian A, Jackson granted defense motion for summary judgment. The Court held: “Specifically, Frank voluntarily resigned to avoid participating in an employee disciplinary investigation, after he sent sordid Facebook messages to the co-worker referenced above. (</w:t>
      </w:r>
      <w:r w:rsidRPr="000518BE">
        <w:rPr>
          <w:rStyle w:val="Emphasis"/>
          <w:rFonts w:ascii="Times New Roman" w:hAnsi="Times New Roman"/>
          <w:sz w:val="24"/>
          <w:szCs w:val="24"/>
        </w:rPr>
        <w:t>Id.</w:t>
      </w:r>
      <w:r w:rsidRPr="000518BE">
        <w:rPr>
          <w:rFonts w:ascii="Times New Roman" w:hAnsi="Times New Roman"/>
          <w:sz w:val="24"/>
          <w:szCs w:val="24"/>
        </w:rPr>
        <w:t xml:space="preserve"> ¶¶ 23-29). In conjunction with his resignation, Frank executed a Settlement Agreement with the </w:t>
      </w:r>
      <w:proofErr w:type="gramStart"/>
      <w:r w:rsidRPr="000518BE">
        <w:rPr>
          <w:rFonts w:ascii="Times New Roman" w:hAnsi="Times New Roman"/>
          <w:sz w:val="24"/>
          <w:szCs w:val="24"/>
        </w:rPr>
        <w:t>District, ‘</w:t>
      </w:r>
      <w:proofErr w:type="gramEnd"/>
      <w:r w:rsidRPr="000518BE">
        <w:rPr>
          <w:rFonts w:ascii="Times New Roman" w:hAnsi="Times New Roman"/>
          <w:sz w:val="24"/>
          <w:szCs w:val="24"/>
        </w:rPr>
        <w:t xml:space="preserve">through its duly authorized Fire Chief and Appointing Authority, Gerard C. Tarleton.’ *** Here, no evidence suggests that </w:t>
      </w:r>
      <w:proofErr w:type="gramStart"/>
      <w:r w:rsidRPr="000518BE">
        <w:rPr>
          <w:rFonts w:ascii="Times New Roman" w:hAnsi="Times New Roman"/>
          <w:sz w:val="24"/>
          <w:szCs w:val="24"/>
        </w:rPr>
        <w:t>Defendants' ‘</w:t>
      </w:r>
      <w:proofErr w:type="gramEnd"/>
      <w:r w:rsidRPr="000518BE">
        <w:rPr>
          <w:rFonts w:ascii="Times New Roman" w:hAnsi="Times New Roman"/>
          <w:sz w:val="24"/>
          <w:szCs w:val="24"/>
        </w:rPr>
        <w:t xml:space="preserve">policy’ against Stacie marrying Frank was aimed </w:t>
      </w:r>
      <w:proofErr w:type="gramStart"/>
      <w:r w:rsidRPr="000518BE">
        <w:rPr>
          <w:rFonts w:ascii="Times New Roman" w:hAnsi="Times New Roman"/>
          <w:sz w:val="24"/>
          <w:szCs w:val="24"/>
        </w:rPr>
        <w:t>to prohibit ‘</w:t>
      </w:r>
      <w:proofErr w:type="gramEnd"/>
      <w:r w:rsidRPr="000518BE">
        <w:rPr>
          <w:rFonts w:ascii="Times New Roman" w:hAnsi="Times New Roman"/>
          <w:sz w:val="24"/>
          <w:szCs w:val="24"/>
        </w:rPr>
        <w:t xml:space="preserve">one class of people from being with another.’ To the contrary, Defendants only prohibited Stacie from marrying Frank to avoid chain-of-command and workplace morale issues that would arise from Stacie being managed by Chad Roberson, the District's Assistant Fire Chief, and Stacie's ex-husband. Stacie disregarded this prohibition, married Frank, and lost her job. But this was merely an ‘incidental’ consequence because Defendants' actions did ‘not prohibit the relationship itself.’” </w:t>
      </w:r>
      <w:hyperlink r:id="rId2718" w:history="1">
        <w:r w:rsidRPr="000518BE">
          <w:rPr>
            <w:rStyle w:val="Hyperlink"/>
            <w:rFonts w:ascii="Times New Roman" w:hAnsi="Times New Roman"/>
            <w:sz w:val="24"/>
            <w:szCs w:val="24"/>
          </w:rPr>
          <w:t>https://cases.justia.com/federal/district-courts/louisiana/lamdce/3:2021cv00287/59089/59/0.pdf?ts=1697816120</w:t>
        </w:r>
      </w:hyperlink>
    </w:p>
    <w:p w14:paraId="684925B8" w14:textId="77777777" w:rsidR="000518BE" w:rsidRDefault="000518BE" w:rsidP="00F326E5">
      <w:pPr>
        <w:pStyle w:val="NoSpacing"/>
        <w:rPr>
          <w:rFonts w:ascii="Arial Black" w:hAnsi="Arial Black"/>
          <w:sz w:val="24"/>
          <w:szCs w:val="24"/>
        </w:rPr>
      </w:pPr>
    </w:p>
    <w:p w14:paraId="1A2A8C3E" w14:textId="77777777" w:rsidR="000518BE" w:rsidRDefault="000518BE" w:rsidP="000518BE">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Many Fire Departments and political subdivisions have anti-nepotism policies. </w:t>
      </w:r>
    </w:p>
    <w:p w14:paraId="6A548ADF" w14:textId="77777777" w:rsidR="000518BE" w:rsidRDefault="000518BE" w:rsidP="00F326E5">
      <w:pPr>
        <w:pStyle w:val="NoSpacing"/>
        <w:rPr>
          <w:rFonts w:ascii="Arial Black" w:hAnsi="Arial Black"/>
          <w:sz w:val="24"/>
          <w:szCs w:val="24"/>
        </w:rPr>
      </w:pPr>
    </w:p>
    <w:p w14:paraId="39307E82" w14:textId="77777777" w:rsidR="000518BE" w:rsidRDefault="000518BE" w:rsidP="00F326E5">
      <w:pPr>
        <w:pStyle w:val="NoSpacing"/>
        <w:rPr>
          <w:rFonts w:ascii="Arial Black" w:hAnsi="Arial Black"/>
          <w:sz w:val="24"/>
          <w:szCs w:val="24"/>
        </w:rPr>
      </w:pPr>
    </w:p>
    <w:p w14:paraId="7D51B9DA" w14:textId="4860808D" w:rsidR="009B0593" w:rsidRDefault="008F7EBA" w:rsidP="00F326E5">
      <w:pPr>
        <w:pStyle w:val="NoSpacing"/>
        <w:rPr>
          <w:rFonts w:ascii="Arial Black" w:hAnsi="Arial Black"/>
          <w:sz w:val="24"/>
          <w:szCs w:val="24"/>
        </w:rPr>
      </w:pPr>
      <w:r>
        <w:rPr>
          <w:rFonts w:ascii="Arial Black" w:hAnsi="Arial Black"/>
          <w:sz w:val="24"/>
          <w:szCs w:val="24"/>
        </w:rPr>
        <w:t>16-94</w:t>
      </w:r>
    </w:p>
    <w:p w14:paraId="06EF77C1" w14:textId="77777777" w:rsidR="008F7EBA" w:rsidRDefault="008F7EBA" w:rsidP="00F326E5">
      <w:pPr>
        <w:pStyle w:val="NoSpacing"/>
        <w:rPr>
          <w:rFonts w:ascii="Arial Black" w:hAnsi="Arial Black"/>
          <w:sz w:val="24"/>
          <w:szCs w:val="24"/>
        </w:rPr>
      </w:pPr>
    </w:p>
    <w:p w14:paraId="13F8432C" w14:textId="77777777" w:rsidR="008F7EBA" w:rsidRPr="000A219B" w:rsidRDefault="008F7EBA" w:rsidP="008F7EBA">
      <w:pPr>
        <w:pStyle w:val="NoSpacing"/>
        <w:rPr>
          <w:rFonts w:ascii="Arial Black" w:hAnsi="Arial Black"/>
          <w:sz w:val="28"/>
          <w:szCs w:val="28"/>
        </w:rPr>
      </w:pPr>
      <w:r>
        <w:rPr>
          <w:rFonts w:ascii="Arial Black" w:hAnsi="Arial Black"/>
          <w:sz w:val="28"/>
          <w:szCs w:val="28"/>
        </w:rPr>
        <w:t xml:space="preserve">TN: FD CAPT. DEMOTED - FACEBOOK POSTS GEORGE FLOYD RIOTS – CASE PROCEED / “BALACING TEST” </w:t>
      </w:r>
    </w:p>
    <w:p w14:paraId="3635BD6F" w14:textId="77777777" w:rsidR="008F7EBA" w:rsidRDefault="008F7EBA" w:rsidP="008F7EBA">
      <w:pPr>
        <w:pStyle w:val="NoSpacing"/>
        <w:rPr>
          <w:rFonts w:ascii="Times New Roman" w:hAnsi="Times New Roman"/>
          <w:sz w:val="24"/>
          <w:szCs w:val="24"/>
        </w:rPr>
      </w:pPr>
    </w:p>
    <w:p w14:paraId="46B12BFB" w14:textId="77777777" w:rsidR="008F7EBA" w:rsidRDefault="008F7EBA" w:rsidP="008F7EBA">
      <w:pPr>
        <w:pStyle w:val="NoSpacing"/>
        <w:rPr>
          <w:rFonts w:ascii="Times New Roman" w:hAnsi="Times New Roman"/>
          <w:sz w:val="24"/>
          <w:szCs w:val="24"/>
        </w:rPr>
      </w:pPr>
      <w:r>
        <w:rPr>
          <w:rFonts w:ascii="Times New Roman" w:hAnsi="Times New Roman"/>
          <w:sz w:val="24"/>
          <w:szCs w:val="24"/>
        </w:rPr>
        <w:t xml:space="preserve">On Sept. 19, 2023, in </w:t>
      </w:r>
      <w:r w:rsidRPr="003B777F">
        <w:rPr>
          <w:rFonts w:ascii="Times New Roman" w:hAnsi="Times New Roman"/>
          <w:sz w:val="24"/>
          <w:szCs w:val="24"/>
          <w:u w:val="single"/>
        </w:rPr>
        <w:t xml:space="preserve">Tracy R. Turner v. Metropolitan Government of Nashville </w:t>
      </w:r>
      <w:proofErr w:type="gramStart"/>
      <w:r w:rsidRPr="003B777F">
        <w:rPr>
          <w:rFonts w:ascii="Times New Roman" w:hAnsi="Times New Roman"/>
          <w:sz w:val="24"/>
          <w:szCs w:val="24"/>
          <w:u w:val="single"/>
        </w:rPr>
        <w:t>And</w:t>
      </w:r>
      <w:proofErr w:type="gramEnd"/>
      <w:r w:rsidRPr="003B777F">
        <w:rPr>
          <w:rFonts w:ascii="Times New Roman" w:hAnsi="Times New Roman"/>
          <w:sz w:val="24"/>
          <w:szCs w:val="24"/>
          <w:u w:val="single"/>
        </w:rPr>
        <w:t xml:space="preserve"> Davidson County,</w:t>
      </w:r>
      <w:r>
        <w:rPr>
          <w:rFonts w:ascii="Times New Roman" w:hAnsi="Times New Roman"/>
          <w:sz w:val="24"/>
          <w:szCs w:val="24"/>
        </w:rPr>
        <w:t xml:space="preserve"> U.S. District Court Judge Eli Richardson, U.S. District Court for the Middle District of Tennessee, Nashville Division, denied the City’s motion for summary judgment.  The </w:t>
      </w:r>
      <w:proofErr w:type="gramStart"/>
      <w:r>
        <w:rPr>
          <w:rFonts w:ascii="Times New Roman" w:hAnsi="Times New Roman"/>
          <w:sz w:val="24"/>
          <w:szCs w:val="24"/>
        </w:rPr>
        <w:t>Captain</w:t>
      </w:r>
      <w:proofErr w:type="gramEnd"/>
      <w:r>
        <w:rPr>
          <w:rFonts w:ascii="Times New Roman" w:hAnsi="Times New Roman"/>
          <w:sz w:val="24"/>
          <w:szCs w:val="24"/>
        </w:rPr>
        <w:t xml:space="preserve"> was demoted to firefighter, ordered to attend “sensitivity” training and moved to another station. While there were several calls from citizens about the posts, there was little evidence that the </w:t>
      </w:r>
      <w:proofErr w:type="gramStart"/>
      <w:r>
        <w:rPr>
          <w:rFonts w:ascii="Times New Roman" w:hAnsi="Times New Roman"/>
          <w:sz w:val="24"/>
          <w:szCs w:val="24"/>
        </w:rPr>
        <w:t>Captain’s</w:t>
      </w:r>
      <w:proofErr w:type="gramEnd"/>
      <w:r>
        <w:rPr>
          <w:rFonts w:ascii="Times New Roman" w:hAnsi="Times New Roman"/>
          <w:sz w:val="24"/>
          <w:szCs w:val="24"/>
        </w:rPr>
        <w:t xml:space="preserve"> posts had disruptive impact on the Fire Department. </w:t>
      </w:r>
    </w:p>
    <w:p w14:paraId="15F1222A" w14:textId="77777777" w:rsidR="008F7EBA" w:rsidRDefault="008F7EBA" w:rsidP="008F7EBA">
      <w:pPr>
        <w:pStyle w:val="NoSpacing"/>
        <w:rPr>
          <w:rFonts w:ascii="Times New Roman" w:hAnsi="Times New Roman"/>
          <w:sz w:val="24"/>
          <w:szCs w:val="24"/>
        </w:rPr>
      </w:pPr>
    </w:p>
    <w:p w14:paraId="5EB860E6" w14:textId="77777777" w:rsidR="008F7EBA" w:rsidRPr="003B777F" w:rsidRDefault="008F7EBA" w:rsidP="008F7EBA">
      <w:pPr>
        <w:pStyle w:val="NoSpacing"/>
        <w:ind w:left="720"/>
        <w:rPr>
          <w:rFonts w:ascii="Times New Roman" w:hAnsi="Times New Roman"/>
          <w:sz w:val="24"/>
          <w:szCs w:val="24"/>
        </w:rPr>
      </w:pPr>
      <w:r>
        <w:rPr>
          <w:rFonts w:ascii="Times New Roman" w:hAnsi="Times New Roman"/>
          <w:sz w:val="24"/>
          <w:szCs w:val="24"/>
        </w:rPr>
        <w:t>The Court held: “</w:t>
      </w:r>
      <w:r w:rsidRPr="003B777F">
        <w:rPr>
          <w:rFonts w:ascii="Times New Roman" w:hAnsi="Times New Roman"/>
          <w:sz w:val="24"/>
          <w:szCs w:val="24"/>
        </w:rPr>
        <w:t>From May through July 2020, Plaintiff posted on Facebook his opinions on several topics</w:t>
      </w:r>
      <w:r>
        <w:rPr>
          <w:rFonts w:ascii="Times New Roman" w:hAnsi="Times New Roman"/>
          <w:sz w:val="24"/>
          <w:szCs w:val="24"/>
        </w:rPr>
        <w:t xml:space="preserve"> </w:t>
      </w:r>
      <w:r w:rsidRPr="003B777F">
        <w:rPr>
          <w:rFonts w:ascii="Times New Roman" w:hAnsi="Times New Roman"/>
          <w:sz w:val="24"/>
          <w:szCs w:val="24"/>
        </w:rPr>
        <w:t>of national interest. For example, Plaintiff referred to people reacting violently to the death of</w:t>
      </w:r>
      <w:r>
        <w:rPr>
          <w:rFonts w:ascii="Times New Roman" w:hAnsi="Times New Roman"/>
          <w:sz w:val="24"/>
          <w:szCs w:val="24"/>
        </w:rPr>
        <w:t xml:space="preserve"> </w:t>
      </w:r>
      <w:r w:rsidRPr="003B777F">
        <w:rPr>
          <w:rFonts w:ascii="Times New Roman" w:hAnsi="Times New Roman"/>
          <w:sz w:val="24"/>
          <w:szCs w:val="24"/>
        </w:rPr>
        <w:t xml:space="preserve">George Floyd as </w:t>
      </w:r>
      <w:r>
        <w:rPr>
          <w:rFonts w:ascii="Times New Roman" w:hAnsi="Times New Roman"/>
          <w:sz w:val="24"/>
          <w:szCs w:val="24"/>
        </w:rPr>
        <w:t>‘</w:t>
      </w:r>
      <w:r w:rsidRPr="003B777F">
        <w:rPr>
          <w:rFonts w:ascii="Times New Roman" w:hAnsi="Times New Roman"/>
          <w:sz w:val="24"/>
          <w:szCs w:val="24"/>
        </w:rPr>
        <w:t>animals.</w:t>
      </w:r>
      <w:r>
        <w:rPr>
          <w:rFonts w:ascii="Times New Roman" w:hAnsi="Times New Roman"/>
          <w:sz w:val="24"/>
          <w:szCs w:val="24"/>
        </w:rPr>
        <w:t xml:space="preserve">’ </w:t>
      </w:r>
      <w:r w:rsidRPr="003B777F">
        <w:rPr>
          <w:rFonts w:ascii="Times New Roman" w:hAnsi="Times New Roman"/>
          <w:sz w:val="24"/>
          <w:szCs w:val="24"/>
        </w:rPr>
        <w:t xml:space="preserve">He made other posts referring to </w:t>
      </w:r>
      <w:r>
        <w:rPr>
          <w:rFonts w:ascii="Times New Roman" w:hAnsi="Times New Roman"/>
          <w:sz w:val="24"/>
          <w:szCs w:val="24"/>
        </w:rPr>
        <w:t>‘</w:t>
      </w:r>
      <w:r w:rsidRPr="003B777F">
        <w:rPr>
          <w:rFonts w:ascii="Times New Roman" w:hAnsi="Times New Roman"/>
          <w:sz w:val="24"/>
          <w:szCs w:val="24"/>
        </w:rPr>
        <w:t>Anti-Fa and BLM thugs,</w:t>
      </w:r>
      <w:r>
        <w:rPr>
          <w:rFonts w:ascii="Times New Roman" w:hAnsi="Times New Roman"/>
          <w:sz w:val="24"/>
          <w:szCs w:val="24"/>
        </w:rPr>
        <w:t>’</w:t>
      </w:r>
      <w:r w:rsidRPr="003B777F">
        <w:rPr>
          <w:rFonts w:ascii="Times New Roman" w:hAnsi="Times New Roman"/>
          <w:sz w:val="24"/>
          <w:szCs w:val="24"/>
        </w:rPr>
        <w:t xml:space="preserve"> and other</w:t>
      </w:r>
      <w:r>
        <w:rPr>
          <w:rFonts w:ascii="Times New Roman" w:hAnsi="Times New Roman"/>
          <w:sz w:val="24"/>
          <w:szCs w:val="24"/>
        </w:rPr>
        <w:t xml:space="preserve"> </w:t>
      </w:r>
      <w:r w:rsidRPr="003B777F">
        <w:rPr>
          <w:rFonts w:ascii="Times New Roman" w:hAnsi="Times New Roman"/>
          <w:sz w:val="24"/>
          <w:szCs w:val="24"/>
        </w:rPr>
        <w:t xml:space="preserve">generally negative posts about protestors, BLM, and the </w:t>
      </w:r>
      <w:r>
        <w:rPr>
          <w:rFonts w:ascii="Times New Roman" w:hAnsi="Times New Roman"/>
          <w:sz w:val="24"/>
          <w:szCs w:val="24"/>
        </w:rPr>
        <w:t>‘</w:t>
      </w:r>
      <w:r w:rsidRPr="003B777F">
        <w:rPr>
          <w:rFonts w:ascii="Times New Roman" w:hAnsi="Times New Roman"/>
          <w:sz w:val="24"/>
          <w:szCs w:val="24"/>
        </w:rPr>
        <w:t>Left agenda</w:t>
      </w:r>
      <w:r>
        <w:rPr>
          <w:rFonts w:ascii="Times New Roman" w:hAnsi="Times New Roman"/>
          <w:sz w:val="24"/>
          <w:szCs w:val="24"/>
        </w:rPr>
        <w:t xml:space="preserve">.’ </w:t>
      </w:r>
    </w:p>
    <w:p w14:paraId="626A47DF" w14:textId="77777777" w:rsidR="008F7EBA" w:rsidRDefault="008F7EBA" w:rsidP="008F7EBA">
      <w:pPr>
        <w:pStyle w:val="NoSpacing"/>
        <w:ind w:left="720"/>
        <w:rPr>
          <w:rFonts w:ascii="Times New Roman" w:hAnsi="Times New Roman"/>
          <w:sz w:val="24"/>
          <w:szCs w:val="24"/>
        </w:rPr>
      </w:pPr>
    </w:p>
    <w:p w14:paraId="22541A91" w14:textId="77777777" w:rsidR="008F7EBA" w:rsidRDefault="008F7EBA" w:rsidP="008F7EBA">
      <w:pPr>
        <w:pStyle w:val="NoSpacing"/>
        <w:ind w:left="720"/>
        <w:rPr>
          <w:rFonts w:ascii="Times New Roman" w:hAnsi="Times New Roman"/>
          <w:sz w:val="24"/>
          <w:szCs w:val="24"/>
        </w:rPr>
      </w:pPr>
      <w:r>
        <w:rPr>
          <w:rFonts w:ascii="Times New Roman" w:hAnsi="Times New Roman"/>
          <w:sz w:val="24"/>
          <w:szCs w:val="24"/>
        </w:rPr>
        <w:t>***</w:t>
      </w:r>
    </w:p>
    <w:p w14:paraId="0F8BFD60" w14:textId="77777777" w:rsidR="008F7EBA" w:rsidRDefault="008F7EBA" w:rsidP="008F7EBA">
      <w:pPr>
        <w:pStyle w:val="NoSpacing"/>
        <w:ind w:left="720"/>
        <w:rPr>
          <w:rFonts w:ascii="Times New Roman" w:hAnsi="Times New Roman"/>
          <w:sz w:val="24"/>
          <w:szCs w:val="24"/>
        </w:rPr>
      </w:pPr>
    </w:p>
    <w:p w14:paraId="08841768" w14:textId="77777777" w:rsidR="008F7EBA" w:rsidRDefault="008F7EBA" w:rsidP="008F7EBA">
      <w:pPr>
        <w:pStyle w:val="NoSpacing"/>
        <w:ind w:left="720"/>
        <w:rPr>
          <w:rFonts w:ascii="Times New Roman" w:hAnsi="Times New Roman"/>
          <w:sz w:val="24"/>
          <w:szCs w:val="24"/>
        </w:rPr>
      </w:pPr>
      <w:r w:rsidRPr="003B777F">
        <w:rPr>
          <w:rFonts w:ascii="Times New Roman" w:hAnsi="Times New Roman"/>
          <w:sz w:val="24"/>
          <w:szCs w:val="24"/>
        </w:rPr>
        <w:t>Defendant filed its motion for summary judgment and memoranda in support, arguing that</w:t>
      </w:r>
      <w:r>
        <w:rPr>
          <w:rFonts w:ascii="Times New Roman" w:hAnsi="Times New Roman"/>
          <w:sz w:val="24"/>
          <w:szCs w:val="24"/>
        </w:rPr>
        <w:t xml:space="preserve"> </w:t>
      </w:r>
      <w:r w:rsidRPr="003B777F">
        <w:rPr>
          <w:rFonts w:ascii="Times New Roman" w:hAnsi="Times New Roman"/>
          <w:sz w:val="24"/>
          <w:szCs w:val="24"/>
        </w:rPr>
        <w:t>(1) Plaintiff’s speech does not receive the highest level of protection under the First Amendment</w:t>
      </w:r>
      <w:r>
        <w:rPr>
          <w:rFonts w:ascii="Times New Roman" w:hAnsi="Times New Roman"/>
          <w:sz w:val="24"/>
          <w:szCs w:val="24"/>
        </w:rPr>
        <w:t xml:space="preserve"> </w:t>
      </w:r>
      <w:r w:rsidRPr="003B777F">
        <w:rPr>
          <w:rFonts w:ascii="Times New Roman" w:hAnsi="Times New Roman"/>
          <w:sz w:val="24"/>
          <w:szCs w:val="24"/>
        </w:rPr>
        <w:t>and (2) under so-called Pickering balancing (as established in Pickering v. Bd. Of Ed. Of Tup. High</w:t>
      </w:r>
      <w:r>
        <w:rPr>
          <w:rFonts w:ascii="Times New Roman" w:hAnsi="Times New Roman"/>
          <w:sz w:val="24"/>
          <w:szCs w:val="24"/>
        </w:rPr>
        <w:t xml:space="preserve"> </w:t>
      </w:r>
      <w:r w:rsidRPr="003B777F">
        <w:rPr>
          <w:rFonts w:ascii="Times New Roman" w:hAnsi="Times New Roman"/>
          <w:sz w:val="24"/>
          <w:szCs w:val="24"/>
        </w:rPr>
        <w:t>Sch. Dist. 205, Will Cnty., 391 U.S. 563, 568 (1968)</w:t>
      </w:r>
      <w:r>
        <w:rPr>
          <w:rFonts w:ascii="Times New Roman" w:hAnsi="Times New Roman"/>
          <w:sz w:val="24"/>
          <w:szCs w:val="24"/>
        </w:rPr>
        <w:t xml:space="preserve"> </w:t>
      </w:r>
      <w:r w:rsidRPr="003B777F">
        <w:rPr>
          <w:rFonts w:ascii="Times New Roman" w:hAnsi="Times New Roman"/>
          <w:sz w:val="24"/>
          <w:szCs w:val="24"/>
        </w:rPr>
        <w:t>(establishing that the Court must weigh the</w:t>
      </w:r>
      <w:r>
        <w:rPr>
          <w:rFonts w:ascii="Times New Roman" w:hAnsi="Times New Roman"/>
          <w:sz w:val="24"/>
          <w:szCs w:val="24"/>
        </w:rPr>
        <w:t xml:space="preserve"> </w:t>
      </w:r>
      <w:r w:rsidRPr="003B777F">
        <w:rPr>
          <w:rFonts w:ascii="Times New Roman" w:hAnsi="Times New Roman"/>
          <w:sz w:val="24"/>
          <w:szCs w:val="24"/>
        </w:rPr>
        <w:t>interests of the state against those of the public official in commenting on matters of public</w:t>
      </w:r>
      <w:r>
        <w:rPr>
          <w:rFonts w:ascii="Times New Roman" w:hAnsi="Times New Roman"/>
          <w:sz w:val="24"/>
          <w:szCs w:val="24"/>
        </w:rPr>
        <w:t xml:space="preserve"> </w:t>
      </w:r>
      <w:r w:rsidRPr="003B777F">
        <w:rPr>
          <w:rFonts w:ascii="Times New Roman" w:hAnsi="Times New Roman"/>
          <w:sz w:val="24"/>
          <w:szCs w:val="24"/>
        </w:rPr>
        <w:t>concern)), the Fire Department’s interest in public trust and efficiency outweigh Plaintiff’s</w:t>
      </w:r>
      <w:r>
        <w:rPr>
          <w:rFonts w:ascii="Times New Roman" w:hAnsi="Times New Roman"/>
          <w:sz w:val="24"/>
          <w:szCs w:val="24"/>
        </w:rPr>
        <w:t xml:space="preserve"> </w:t>
      </w:r>
      <w:r w:rsidRPr="003B777F">
        <w:rPr>
          <w:rFonts w:ascii="Times New Roman" w:hAnsi="Times New Roman"/>
          <w:sz w:val="24"/>
          <w:szCs w:val="24"/>
        </w:rPr>
        <w:t>countervailing speech interests.</w:t>
      </w:r>
    </w:p>
    <w:p w14:paraId="4E82A7DA" w14:textId="77777777" w:rsidR="008F7EBA" w:rsidRDefault="008F7EBA" w:rsidP="008F7EBA">
      <w:pPr>
        <w:pStyle w:val="NoSpacing"/>
        <w:ind w:left="720"/>
        <w:rPr>
          <w:rFonts w:ascii="Times New Roman" w:hAnsi="Times New Roman"/>
          <w:sz w:val="24"/>
          <w:szCs w:val="24"/>
        </w:rPr>
      </w:pPr>
    </w:p>
    <w:p w14:paraId="056E4372" w14:textId="77777777" w:rsidR="008F7EBA" w:rsidRDefault="008F7EBA" w:rsidP="008F7EBA">
      <w:pPr>
        <w:pStyle w:val="NoSpacing"/>
        <w:ind w:left="720"/>
        <w:rPr>
          <w:rFonts w:ascii="Times New Roman" w:hAnsi="Times New Roman"/>
          <w:sz w:val="24"/>
          <w:szCs w:val="24"/>
        </w:rPr>
      </w:pPr>
      <w:r>
        <w:rPr>
          <w:rFonts w:ascii="Times New Roman" w:hAnsi="Times New Roman"/>
          <w:sz w:val="24"/>
          <w:szCs w:val="24"/>
        </w:rPr>
        <w:t>***</w:t>
      </w:r>
    </w:p>
    <w:p w14:paraId="721E1971" w14:textId="77777777" w:rsidR="008F7EBA" w:rsidRDefault="008F7EBA" w:rsidP="008F7EBA">
      <w:pPr>
        <w:pStyle w:val="NoSpacing"/>
        <w:ind w:left="720"/>
        <w:rPr>
          <w:rFonts w:ascii="Times New Roman" w:hAnsi="Times New Roman"/>
          <w:sz w:val="24"/>
          <w:szCs w:val="24"/>
        </w:rPr>
      </w:pPr>
      <w:r w:rsidRPr="00057C7A">
        <w:rPr>
          <w:rFonts w:ascii="Times New Roman" w:hAnsi="Times New Roman"/>
          <w:sz w:val="24"/>
          <w:szCs w:val="24"/>
        </w:rPr>
        <w:t>And although Defendant relies on the testimony of Mark Young</w:t>
      </w:r>
      <w:r>
        <w:rPr>
          <w:rFonts w:ascii="Times New Roman" w:hAnsi="Times New Roman"/>
          <w:sz w:val="24"/>
          <w:szCs w:val="24"/>
        </w:rPr>
        <w:t xml:space="preserve"> [</w:t>
      </w:r>
      <w:r w:rsidRPr="00057C7A">
        <w:rPr>
          <w:rFonts w:ascii="Times New Roman" w:hAnsi="Times New Roman"/>
          <w:sz w:val="24"/>
          <w:szCs w:val="24"/>
        </w:rPr>
        <w:t>president of the local firefighter union</w:t>
      </w:r>
      <w:r>
        <w:rPr>
          <w:rFonts w:ascii="Times New Roman" w:hAnsi="Times New Roman"/>
          <w:sz w:val="24"/>
          <w:szCs w:val="24"/>
        </w:rPr>
        <w:t xml:space="preserve">] </w:t>
      </w:r>
      <w:r w:rsidRPr="00057C7A">
        <w:rPr>
          <w:rFonts w:ascii="Times New Roman" w:hAnsi="Times New Roman"/>
          <w:sz w:val="24"/>
          <w:szCs w:val="24"/>
        </w:rPr>
        <w:t>and Summers</w:t>
      </w:r>
      <w:r>
        <w:rPr>
          <w:rFonts w:ascii="Times New Roman" w:hAnsi="Times New Roman"/>
          <w:sz w:val="24"/>
          <w:szCs w:val="24"/>
        </w:rPr>
        <w:t xml:space="preserve"> [HR Director]</w:t>
      </w:r>
      <w:r w:rsidRPr="00057C7A">
        <w:rPr>
          <w:rFonts w:ascii="Times New Roman" w:hAnsi="Times New Roman"/>
          <w:sz w:val="24"/>
          <w:szCs w:val="24"/>
        </w:rPr>
        <w:t xml:space="preserve"> to establish</w:t>
      </w:r>
      <w:r>
        <w:rPr>
          <w:rFonts w:ascii="Times New Roman" w:hAnsi="Times New Roman"/>
          <w:sz w:val="24"/>
          <w:szCs w:val="24"/>
        </w:rPr>
        <w:t xml:space="preserve"> </w:t>
      </w:r>
      <w:r w:rsidRPr="00057C7A">
        <w:rPr>
          <w:rFonts w:ascii="Times New Roman" w:hAnsi="Times New Roman"/>
          <w:sz w:val="24"/>
          <w:szCs w:val="24"/>
        </w:rPr>
        <w:t>that NFD received many calls, their testimony fails to support that there was disruption to NFD’s</w:t>
      </w:r>
      <w:r>
        <w:rPr>
          <w:rFonts w:ascii="Times New Roman" w:hAnsi="Times New Roman"/>
          <w:sz w:val="24"/>
          <w:szCs w:val="24"/>
        </w:rPr>
        <w:t xml:space="preserve"> </w:t>
      </w:r>
      <w:r w:rsidRPr="00057C7A">
        <w:rPr>
          <w:rFonts w:ascii="Times New Roman" w:hAnsi="Times New Roman"/>
          <w:sz w:val="24"/>
          <w:szCs w:val="24"/>
        </w:rPr>
        <w:t>operations caused by Plaintiff’s speech. Summers testified that to his understanding, there was no</w:t>
      </w:r>
      <w:r>
        <w:rPr>
          <w:rFonts w:ascii="Times New Roman" w:hAnsi="Times New Roman"/>
          <w:sz w:val="24"/>
          <w:szCs w:val="24"/>
        </w:rPr>
        <w:t xml:space="preserve"> </w:t>
      </w:r>
      <w:r w:rsidRPr="00057C7A">
        <w:rPr>
          <w:rFonts w:ascii="Times New Roman" w:hAnsi="Times New Roman"/>
          <w:sz w:val="24"/>
          <w:szCs w:val="24"/>
        </w:rPr>
        <w:t xml:space="preserve">discernible disruption to NFD’s </w:t>
      </w:r>
      <w:r>
        <w:rPr>
          <w:rFonts w:ascii="Times New Roman" w:hAnsi="Times New Roman"/>
          <w:sz w:val="24"/>
          <w:szCs w:val="24"/>
        </w:rPr>
        <w:t>‘</w:t>
      </w:r>
      <w:r w:rsidRPr="00057C7A">
        <w:rPr>
          <w:rFonts w:ascii="Times New Roman" w:hAnsi="Times New Roman"/>
          <w:sz w:val="24"/>
          <w:szCs w:val="24"/>
        </w:rPr>
        <w:t>workflow</w:t>
      </w:r>
      <w:r>
        <w:rPr>
          <w:rFonts w:ascii="Times New Roman" w:hAnsi="Times New Roman"/>
          <w:sz w:val="24"/>
          <w:szCs w:val="24"/>
        </w:rPr>
        <w:t>’</w:t>
      </w:r>
      <w:r w:rsidRPr="00057C7A">
        <w:rPr>
          <w:rFonts w:ascii="Times New Roman" w:hAnsi="Times New Roman"/>
          <w:sz w:val="24"/>
          <w:szCs w:val="24"/>
        </w:rPr>
        <w:t xml:space="preserve"> </w:t>
      </w:r>
      <w:proofErr w:type="gramStart"/>
      <w:r w:rsidRPr="00057C7A">
        <w:rPr>
          <w:rFonts w:ascii="Times New Roman" w:hAnsi="Times New Roman"/>
          <w:sz w:val="24"/>
          <w:szCs w:val="24"/>
        </w:rPr>
        <w:t>as a result of</w:t>
      </w:r>
      <w:proofErr w:type="gramEnd"/>
      <w:r w:rsidRPr="00057C7A">
        <w:rPr>
          <w:rFonts w:ascii="Times New Roman" w:hAnsi="Times New Roman"/>
          <w:sz w:val="24"/>
          <w:szCs w:val="24"/>
        </w:rPr>
        <w:t xml:space="preserve"> that speech</w:t>
      </w:r>
      <w:r>
        <w:rPr>
          <w:rFonts w:ascii="Times New Roman" w:hAnsi="Times New Roman"/>
          <w:sz w:val="24"/>
          <w:szCs w:val="24"/>
        </w:rPr>
        <w:t xml:space="preserve"> … </w:t>
      </w:r>
      <w:r w:rsidRPr="00057C7A">
        <w:rPr>
          <w:rFonts w:ascii="Times New Roman" w:hAnsi="Times New Roman"/>
          <w:sz w:val="24"/>
          <w:szCs w:val="24"/>
        </w:rPr>
        <w:t xml:space="preserve"> and</w:t>
      </w:r>
      <w:r>
        <w:rPr>
          <w:rFonts w:ascii="Times New Roman" w:hAnsi="Times New Roman"/>
          <w:sz w:val="24"/>
          <w:szCs w:val="24"/>
        </w:rPr>
        <w:t xml:space="preserve"> </w:t>
      </w:r>
      <w:r w:rsidRPr="00057C7A">
        <w:rPr>
          <w:rFonts w:ascii="Times New Roman" w:hAnsi="Times New Roman"/>
          <w:sz w:val="24"/>
          <w:szCs w:val="24"/>
        </w:rPr>
        <w:t>Young testified to having no knowledge of the existence of various circumstances (effect on NFD</w:t>
      </w:r>
      <w:r>
        <w:rPr>
          <w:rFonts w:ascii="Times New Roman" w:hAnsi="Times New Roman"/>
          <w:sz w:val="24"/>
          <w:szCs w:val="24"/>
        </w:rPr>
        <w:t xml:space="preserve"> </w:t>
      </w:r>
      <w:r w:rsidRPr="00057C7A">
        <w:rPr>
          <w:rFonts w:ascii="Times New Roman" w:hAnsi="Times New Roman"/>
          <w:sz w:val="24"/>
          <w:szCs w:val="24"/>
        </w:rPr>
        <w:t>morale or close working relationships, unwillingness of NFD personnel to work with Plaintiff,</w:t>
      </w:r>
      <w:r>
        <w:rPr>
          <w:rFonts w:ascii="Times New Roman" w:hAnsi="Times New Roman"/>
          <w:sz w:val="24"/>
          <w:szCs w:val="24"/>
        </w:rPr>
        <w:t xml:space="preserve"> </w:t>
      </w:r>
      <w:r w:rsidRPr="00057C7A">
        <w:rPr>
          <w:rFonts w:ascii="Times New Roman" w:hAnsi="Times New Roman"/>
          <w:sz w:val="24"/>
          <w:szCs w:val="24"/>
        </w:rPr>
        <w:t>impairment of Plaintiff’s own performance as a firefighter, and undermining of NFD’s mission</w:t>
      </w:r>
      <w:r>
        <w:rPr>
          <w:rFonts w:ascii="Times New Roman" w:hAnsi="Times New Roman"/>
          <w:sz w:val="24"/>
          <w:szCs w:val="24"/>
        </w:rPr>
        <w:t xml:space="preserve">) … </w:t>
      </w:r>
      <w:r w:rsidRPr="00057C7A">
        <w:rPr>
          <w:rFonts w:ascii="Times New Roman" w:hAnsi="Times New Roman"/>
          <w:sz w:val="24"/>
          <w:szCs w:val="24"/>
        </w:rPr>
        <w:t xml:space="preserve"> that would be the kinds of things that would cause disruption; the Court</w:t>
      </w:r>
      <w:r>
        <w:rPr>
          <w:rFonts w:ascii="Times New Roman" w:hAnsi="Times New Roman"/>
          <w:sz w:val="24"/>
          <w:szCs w:val="24"/>
        </w:rPr>
        <w:t xml:space="preserve"> </w:t>
      </w:r>
      <w:r w:rsidRPr="00057C7A">
        <w:rPr>
          <w:rFonts w:ascii="Times New Roman" w:hAnsi="Times New Roman"/>
          <w:sz w:val="24"/>
          <w:szCs w:val="24"/>
        </w:rPr>
        <w:t>does not see where his testimony leaves room for an inference of disruption to NFD operations.</w:t>
      </w:r>
      <w:r>
        <w:rPr>
          <w:rFonts w:ascii="Times New Roman" w:hAnsi="Times New Roman"/>
          <w:sz w:val="24"/>
          <w:szCs w:val="24"/>
        </w:rPr>
        <w:t xml:space="preserve"> </w:t>
      </w:r>
      <w:r w:rsidRPr="00057C7A">
        <w:rPr>
          <w:rFonts w:ascii="Times New Roman" w:hAnsi="Times New Roman"/>
          <w:sz w:val="24"/>
          <w:szCs w:val="24"/>
        </w:rPr>
        <w:t>Thus, Defendant has not met its burden in showing that there is no genuine dispute of material fact</w:t>
      </w:r>
      <w:r>
        <w:rPr>
          <w:rFonts w:ascii="Times New Roman" w:hAnsi="Times New Roman"/>
          <w:sz w:val="24"/>
          <w:szCs w:val="24"/>
        </w:rPr>
        <w:t xml:space="preserve"> </w:t>
      </w:r>
      <w:r w:rsidRPr="00057C7A">
        <w:rPr>
          <w:rFonts w:ascii="Times New Roman" w:hAnsi="Times New Roman"/>
          <w:sz w:val="24"/>
          <w:szCs w:val="24"/>
        </w:rPr>
        <w:t>regarding factor (c), and this factor weighs in favor of Plaintiff</w:t>
      </w:r>
      <w:r>
        <w:rPr>
          <w:rFonts w:ascii="Times New Roman" w:hAnsi="Times New Roman"/>
          <w:sz w:val="24"/>
          <w:szCs w:val="24"/>
        </w:rPr>
        <w:t xml:space="preserve">…. </w:t>
      </w:r>
    </w:p>
    <w:p w14:paraId="07C30AA0" w14:textId="77777777" w:rsidR="008F7EBA" w:rsidRPr="000A219B" w:rsidRDefault="008F7EBA" w:rsidP="008F7EBA">
      <w:pPr>
        <w:pStyle w:val="NoSpacing"/>
        <w:ind w:firstLine="720"/>
        <w:rPr>
          <w:rFonts w:ascii="Times New Roman" w:hAnsi="Times New Roman"/>
          <w:sz w:val="24"/>
          <w:szCs w:val="24"/>
        </w:rPr>
      </w:pPr>
      <w:r w:rsidRPr="000A219B">
        <w:rPr>
          <w:rFonts w:ascii="Times New Roman" w:hAnsi="Times New Roman"/>
          <w:sz w:val="24"/>
          <w:szCs w:val="24"/>
        </w:rPr>
        <w:t>For the reasons discussed herein, the Court will deny Defendant’s motion for summary</w:t>
      </w:r>
    </w:p>
    <w:p w14:paraId="607B584A" w14:textId="77777777" w:rsidR="008F7EBA" w:rsidRDefault="008F7EBA" w:rsidP="008F7EBA">
      <w:pPr>
        <w:pStyle w:val="NoSpacing"/>
        <w:ind w:left="720"/>
        <w:rPr>
          <w:rFonts w:ascii="Times New Roman" w:hAnsi="Times New Roman"/>
          <w:sz w:val="24"/>
          <w:szCs w:val="24"/>
        </w:rPr>
      </w:pPr>
      <w:r w:rsidRPr="000A219B">
        <w:rPr>
          <w:rFonts w:ascii="Times New Roman" w:hAnsi="Times New Roman"/>
          <w:sz w:val="24"/>
          <w:szCs w:val="24"/>
        </w:rPr>
        <w:t>Judgment</w:t>
      </w:r>
      <w:r>
        <w:rPr>
          <w:rFonts w:ascii="Times New Roman" w:hAnsi="Times New Roman"/>
          <w:sz w:val="24"/>
          <w:szCs w:val="24"/>
        </w:rPr>
        <w:t xml:space="preserve">. </w:t>
      </w:r>
      <w:hyperlink r:id="rId2719" w:history="1">
        <w:r w:rsidRPr="00C13311">
          <w:rPr>
            <w:rStyle w:val="Hyperlink"/>
            <w:rFonts w:ascii="Times New Roman" w:hAnsi="Times New Roman"/>
            <w:sz w:val="24"/>
            <w:szCs w:val="24"/>
          </w:rPr>
          <w:t>https://cases.justia.com/federal/district-courts/tennessee/tnmdce/3:2021cv00042/85053/46/0.pdf?ts=1695225093</w:t>
        </w:r>
      </w:hyperlink>
      <w:r>
        <w:rPr>
          <w:rFonts w:ascii="Times New Roman" w:hAnsi="Times New Roman"/>
          <w:sz w:val="24"/>
          <w:szCs w:val="24"/>
        </w:rPr>
        <w:t xml:space="preserve"> </w:t>
      </w:r>
    </w:p>
    <w:p w14:paraId="2DE3B735" w14:textId="77777777" w:rsidR="008F7EBA" w:rsidRDefault="008F7EBA" w:rsidP="00F326E5">
      <w:pPr>
        <w:pStyle w:val="NoSpacing"/>
        <w:rPr>
          <w:rFonts w:ascii="Arial Black" w:hAnsi="Arial Black"/>
          <w:sz w:val="24"/>
          <w:szCs w:val="24"/>
        </w:rPr>
      </w:pPr>
    </w:p>
    <w:p w14:paraId="2319F427" w14:textId="77777777" w:rsidR="008F7EBA" w:rsidRPr="00057C7A" w:rsidRDefault="008F7EBA" w:rsidP="008F7EBA">
      <w:pPr>
        <w:pStyle w:val="NoSpacing"/>
        <w:rPr>
          <w:rFonts w:ascii="Times New Roman" w:hAnsi="Times New Roman"/>
          <w:b/>
          <w:bCs/>
          <w:sz w:val="24"/>
          <w:szCs w:val="24"/>
        </w:rPr>
      </w:pPr>
      <w:r w:rsidRPr="00057C7A">
        <w:rPr>
          <w:rFonts w:ascii="Times New Roman" w:hAnsi="Times New Roman"/>
          <w:b/>
          <w:bCs/>
          <w:sz w:val="24"/>
          <w:szCs w:val="24"/>
        </w:rPr>
        <w:t xml:space="preserve">Legal Lesson Learned: </w:t>
      </w:r>
      <w:r>
        <w:rPr>
          <w:rFonts w:ascii="Times New Roman" w:hAnsi="Times New Roman"/>
          <w:b/>
          <w:bCs/>
          <w:sz w:val="24"/>
          <w:szCs w:val="24"/>
        </w:rPr>
        <w:t xml:space="preserve"> The Pickering “balancing test” requires Court to examine the impact on FD of social media posts.  FD officers must be particularly cautious about posts that might appear racial in nature.</w:t>
      </w:r>
    </w:p>
    <w:p w14:paraId="35B84E4A" w14:textId="77777777" w:rsidR="008F7EBA" w:rsidRDefault="008F7EBA" w:rsidP="008F7EBA">
      <w:pPr>
        <w:pStyle w:val="NoSpacing"/>
        <w:rPr>
          <w:rFonts w:ascii="Times New Roman" w:hAnsi="Times New Roman"/>
          <w:sz w:val="24"/>
          <w:szCs w:val="24"/>
        </w:rPr>
      </w:pPr>
    </w:p>
    <w:p w14:paraId="7AA049B7" w14:textId="77777777" w:rsidR="008F7EBA" w:rsidRDefault="008F7EBA" w:rsidP="008F7EBA">
      <w:pPr>
        <w:pStyle w:val="NoSpacing"/>
        <w:rPr>
          <w:rFonts w:ascii="Times New Roman" w:hAnsi="Times New Roman"/>
          <w:sz w:val="24"/>
          <w:szCs w:val="24"/>
        </w:rPr>
      </w:pPr>
      <w:r>
        <w:rPr>
          <w:rFonts w:ascii="Times New Roman" w:hAnsi="Times New Roman"/>
          <w:sz w:val="24"/>
          <w:szCs w:val="24"/>
        </w:rPr>
        <w:tab/>
        <w:t>Note:  See Footnote 10 of the opinion:</w:t>
      </w:r>
    </w:p>
    <w:p w14:paraId="7238F3B4" w14:textId="77777777" w:rsidR="008F7EBA" w:rsidRDefault="008F7EBA" w:rsidP="008F7EBA">
      <w:pPr>
        <w:pStyle w:val="NoSpacing"/>
        <w:rPr>
          <w:rFonts w:ascii="Times New Roman" w:hAnsi="Times New Roman"/>
          <w:sz w:val="24"/>
          <w:szCs w:val="24"/>
        </w:rPr>
      </w:pPr>
    </w:p>
    <w:p w14:paraId="0DEA34E8" w14:textId="77777777" w:rsidR="008F7EBA" w:rsidRDefault="008F7EBA" w:rsidP="008F7EBA">
      <w:pPr>
        <w:pStyle w:val="NoSpacing"/>
        <w:ind w:left="1440"/>
        <w:rPr>
          <w:rFonts w:ascii="Times New Roman" w:hAnsi="Times New Roman"/>
          <w:sz w:val="24"/>
          <w:szCs w:val="24"/>
        </w:rPr>
      </w:pPr>
      <w:r>
        <w:rPr>
          <w:rFonts w:ascii="Times New Roman" w:hAnsi="Times New Roman"/>
          <w:sz w:val="24"/>
          <w:szCs w:val="24"/>
        </w:rPr>
        <w:t>“</w:t>
      </w:r>
      <w:r w:rsidRPr="00E2462F">
        <w:rPr>
          <w:rFonts w:ascii="Times New Roman" w:hAnsi="Times New Roman"/>
          <w:sz w:val="24"/>
          <w:szCs w:val="24"/>
        </w:rPr>
        <w:t>The Court declines to opine on whether these comments were necessarily racially biased, in the sense of</w:t>
      </w:r>
      <w:r>
        <w:rPr>
          <w:rFonts w:ascii="Times New Roman" w:hAnsi="Times New Roman"/>
          <w:sz w:val="24"/>
          <w:szCs w:val="24"/>
        </w:rPr>
        <w:t xml:space="preserve"> </w:t>
      </w:r>
      <w:r w:rsidRPr="00E2462F">
        <w:rPr>
          <w:rFonts w:ascii="Times New Roman" w:hAnsi="Times New Roman"/>
          <w:sz w:val="24"/>
          <w:szCs w:val="24"/>
        </w:rPr>
        <w:t>reflecting bias against Black members of the community, or whether instead they reflected a bias only</w:t>
      </w:r>
      <w:r>
        <w:rPr>
          <w:rFonts w:ascii="Times New Roman" w:hAnsi="Times New Roman"/>
          <w:sz w:val="24"/>
          <w:szCs w:val="24"/>
        </w:rPr>
        <w:t xml:space="preserve"> </w:t>
      </w:r>
      <w:r w:rsidRPr="00E2462F">
        <w:rPr>
          <w:rFonts w:ascii="Times New Roman" w:hAnsi="Times New Roman"/>
          <w:sz w:val="24"/>
          <w:szCs w:val="24"/>
        </w:rPr>
        <w:t>against two kinds of individuals —rioters, and members and supporters of Black Lives Matter—that, to say</w:t>
      </w:r>
      <w:r>
        <w:rPr>
          <w:rFonts w:ascii="Times New Roman" w:hAnsi="Times New Roman"/>
          <w:sz w:val="24"/>
          <w:szCs w:val="24"/>
        </w:rPr>
        <w:t xml:space="preserve"> </w:t>
      </w:r>
      <w:r w:rsidRPr="00E2462F">
        <w:rPr>
          <w:rFonts w:ascii="Times New Roman" w:hAnsi="Times New Roman"/>
          <w:sz w:val="24"/>
          <w:szCs w:val="24"/>
        </w:rPr>
        <w:t>the very least, obviously include persons who are not Black.</w:t>
      </w:r>
      <w:r>
        <w:rPr>
          <w:rFonts w:ascii="Times New Roman" w:hAnsi="Times New Roman"/>
          <w:sz w:val="24"/>
          <w:szCs w:val="24"/>
        </w:rPr>
        <w:t>”</w:t>
      </w:r>
    </w:p>
    <w:p w14:paraId="19578138" w14:textId="77777777" w:rsidR="008F7EBA" w:rsidRDefault="008F7EBA" w:rsidP="00F326E5">
      <w:pPr>
        <w:pStyle w:val="NoSpacing"/>
        <w:rPr>
          <w:rFonts w:ascii="Arial Black" w:hAnsi="Arial Black"/>
          <w:sz w:val="24"/>
          <w:szCs w:val="24"/>
        </w:rPr>
      </w:pPr>
    </w:p>
    <w:p w14:paraId="08EB4090" w14:textId="67037E16" w:rsidR="008F7EBA" w:rsidRDefault="008F7EBA" w:rsidP="00F326E5">
      <w:pPr>
        <w:pStyle w:val="NoSpacing"/>
        <w:rPr>
          <w:rFonts w:ascii="Arial Black" w:hAnsi="Arial Black"/>
          <w:sz w:val="24"/>
          <w:szCs w:val="24"/>
        </w:rPr>
      </w:pPr>
      <w:r>
        <w:rPr>
          <w:rFonts w:ascii="Arial Black" w:hAnsi="Arial Black"/>
          <w:sz w:val="24"/>
          <w:szCs w:val="24"/>
        </w:rPr>
        <w:t>16-93</w:t>
      </w:r>
    </w:p>
    <w:p w14:paraId="5298DF02" w14:textId="77777777" w:rsidR="008F7EBA" w:rsidRDefault="008F7EBA" w:rsidP="00F326E5">
      <w:pPr>
        <w:pStyle w:val="NoSpacing"/>
        <w:rPr>
          <w:rFonts w:ascii="Arial Black" w:hAnsi="Arial Black"/>
          <w:sz w:val="24"/>
          <w:szCs w:val="24"/>
        </w:rPr>
      </w:pPr>
    </w:p>
    <w:p w14:paraId="042E905A" w14:textId="77777777" w:rsidR="008F7EBA" w:rsidRPr="00E87A47" w:rsidRDefault="008F7EBA" w:rsidP="008F7EBA">
      <w:pPr>
        <w:rPr>
          <w:rFonts w:ascii="Arial Black" w:eastAsia="Times New Roman" w:hAnsi="Arial Black" w:cs="Segoe UI"/>
          <w:sz w:val="28"/>
          <w:szCs w:val="28"/>
        </w:rPr>
      </w:pPr>
      <w:r>
        <w:rPr>
          <w:rFonts w:ascii="Arial Black" w:eastAsia="Times New Roman" w:hAnsi="Arial Black" w:cs="Segoe UI"/>
          <w:sz w:val="28"/>
          <w:szCs w:val="28"/>
        </w:rPr>
        <w:t xml:space="preserve">NC: CHILD SEXUAL ASSAULTED BY FF AT FD – 24-30 YRS PRISON – VICTIM CAN NOW SUE WITHIN  2-YRS FF CONV. </w:t>
      </w:r>
    </w:p>
    <w:p w14:paraId="09647D7A" w14:textId="77777777" w:rsidR="008F7EBA" w:rsidRDefault="008F7EBA" w:rsidP="008F7EBA">
      <w:pPr>
        <w:pStyle w:val="NoSpacing"/>
        <w:rPr>
          <w:rFonts w:ascii="Times New Roman" w:hAnsi="Times New Roman"/>
          <w:sz w:val="24"/>
          <w:szCs w:val="24"/>
        </w:rPr>
      </w:pPr>
      <w:r w:rsidRPr="00040EC5">
        <w:rPr>
          <w:rFonts w:ascii="Times New Roman" w:hAnsi="Times New Roman"/>
          <w:sz w:val="24"/>
          <w:szCs w:val="24"/>
        </w:rPr>
        <w:t xml:space="preserve">On Sept. 12, 2023, in </w:t>
      </w:r>
      <w:r w:rsidRPr="00040EC5">
        <w:rPr>
          <w:rFonts w:ascii="Times New Roman" w:hAnsi="Times New Roman"/>
          <w:sz w:val="24"/>
          <w:szCs w:val="24"/>
          <w:u w:val="single"/>
        </w:rPr>
        <w:t xml:space="preserve">Michael Taylor v. The Piney Grove Volunteer Fire </w:t>
      </w:r>
      <w:proofErr w:type="gramStart"/>
      <w:r w:rsidRPr="00040EC5">
        <w:rPr>
          <w:rFonts w:ascii="Times New Roman" w:hAnsi="Times New Roman"/>
          <w:sz w:val="24"/>
          <w:szCs w:val="24"/>
          <w:u w:val="single"/>
        </w:rPr>
        <w:t>And</w:t>
      </w:r>
      <w:proofErr w:type="gramEnd"/>
      <w:r w:rsidRPr="00040EC5">
        <w:rPr>
          <w:rFonts w:ascii="Times New Roman" w:hAnsi="Times New Roman"/>
          <w:sz w:val="24"/>
          <w:szCs w:val="24"/>
          <w:u w:val="single"/>
        </w:rPr>
        <w:t xml:space="preserve"> Rescue Department, Inc., et al.</w:t>
      </w:r>
      <w:r w:rsidRPr="00040EC5">
        <w:rPr>
          <w:rFonts w:ascii="Times New Roman" w:hAnsi="Times New Roman"/>
          <w:sz w:val="24"/>
          <w:szCs w:val="24"/>
        </w:rPr>
        <w:t xml:space="preserve">, the Court of Appeals of North Carolina held (2 to 1) that the State Legislature can lawfully expand the statute of limitation for juveniles to sue </w:t>
      </w:r>
      <w:r>
        <w:rPr>
          <w:rFonts w:ascii="Times New Roman" w:hAnsi="Times New Roman"/>
          <w:sz w:val="24"/>
          <w:szCs w:val="24"/>
        </w:rPr>
        <w:t xml:space="preserve">when they become adults </w:t>
      </w:r>
      <w:r w:rsidRPr="00040EC5">
        <w:rPr>
          <w:rFonts w:ascii="Times New Roman" w:hAnsi="Times New Roman"/>
          <w:sz w:val="24"/>
          <w:szCs w:val="24"/>
        </w:rPr>
        <w:t xml:space="preserve">for child sexual abuse under the Sexual Assault Fast </w:t>
      </w:r>
      <w:r>
        <w:rPr>
          <w:rFonts w:ascii="Times New Roman" w:hAnsi="Times New Roman"/>
          <w:sz w:val="24"/>
          <w:szCs w:val="24"/>
        </w:rPr>
        <w:t>R</w:t>
      </w:r>
      <w:r w:rsidRPr="00040EC5">
        <w:rPr>
          <w:rFonts w:ascii="Times New Roman" w:hAnsi="Times New Roman"/>
          <w:sz w:val="24"/>
          <w:szCs w:val="24"/>
        </w:rPr>
        <w:t xml:space="preserve">eporting </w:t>
      </w:r>
      <w:proofErr w:type="gramStart"/>
      <w:r>
        <w:rPr>
          <w:rFonts w:ascii="Times New Roman" w:hAnsi="Times New Roman"/>
          <w:sz w:val="24"/>
          <w:szCs w:val="24"/>
        </w:rPr>
        <w:t>A</w:t>
      </w:r>
      <w:r w:rsidRPr="00040EC5">
        <w:rPr>
          <w:rFonts w:ascii="Times New Roman" w:hAnsi="Times New Roman"/>
          <w:sz w:val="24"/>
          <w:szCs w:val="24"/>
        </w:rPr>
        <w:t>nd</w:t>
      </w:r>
      <w:proofErr w:type="gramEnd"/>
      <w:r w:rsidRPr="00040EC5">
        <w:rPr>
          <w:rFonts w:ascii="Times New Roman" w:hAnsi="Times New Roman"/>
          <w:sz w:val="24"/>
          <w:szCs w:val="24"/>
        </w:rPr>
        <w:t xml:space="preserve"> Enforcement Act</w:t>
      </w:r>
      <w:r>
        <w:rPr>
          <w:rFonts w:ascii="Times New Roman" w:hAnsi="Times New Roman"/>
          <w:sz w:val="24"/>
          <w:szCs w:val="24"/>
        </w:rPr>
        <w:t xml:space="preserve"> (“</w:t>
      </w:r>
      <w:r w:rsidRPr="00040EC5">
        <w:rPr>
          <w:rFonts w:ascii="Times New Roman" w:hAnsi="Times New Roman"/>
          <w:sz w:val="24"/>
          <w:szCs w:val="24"/>
        </w:rPr>
        <w:t xml:space="preserve">SAFE Child Act”).  </w:t>
      </w:r>
      <w:r>
        <w:rPr>
          <w:rFonts w:ascii="Times New Roman" w:hAnsi="Times New Roman"/>
          <w:sz w:val="24"/>
          <w:szCs w:val="24"/>
        </w:rPr>
        <w:t>The North Carolina legislature amended the law to give child victims the right to sue two years after the conviction of the assailant. Michael Taylor turned 18 in April 2000; under prior law he had three years to sue the assailant (April 2003).  Under new statute, he could sue two years after the conviction of his assailant.  The firefighter pled guilty in 2019 to multiple counts of sexual assault and is now serving 24-to-</w:t>
      </w:r>
      <w:proofErr w:type="gramStart"/>
      <w:r>
        <w:rPr>
          <w:rFonts w:ascii="Times New Roman" w:hAnsi="Times New Roman"/>
          <w:sz w:val="24"/>
          <w:szCs w:val="24"/>
        </w:rPr>
        <w:t>30 year</w:t>
      </w:r>
      <w:proofErr w:type="gramEnd"/>
      <w:r>
        <w:rPr>
          <w:rFonts w:ascii="Times New Roman" w:hAnsi="Times New Roman"/>
          <w:sz w:val="24"/>
          <w:szCs w:val="24"/>
        </w:rPr>
        <w:t xml:space="preserve"> sentence in state prison.  The Court held that this lawsuit was timely filed on March 4, 2020.  </w:t>
      </w:r>
    </w:p>
    <w:p w14:paraId="6F2E6E4F" w14:textId="77777777" w:rsidR="008F7EBA" w:rsidRDefault="008F7EBA" w:rsidP="008F7EBA">
      <w:pPr>
        <w:pStyle w:val="NoSpacing"/>
        <w:rPr>
          <w:rFonts w:ascii="Times New Roman" w:hAnsi="Times New Roman"/>
          <w:sz w:val="24"/>
          <w:szCs w:val="24"/>
        </w:rPr>
      </w:pPr>
    </w:p>
    <w:p w14:paraId="634AC75B" w14:textId="77777777" w:rsidR="008F7EBA" w:rsidRDefault="008F7EBA" w:rsidP="008F7EBA">
      <w:pPr>
        <w:pStyle w:val="NoSpacing"/>
        <w:ind w:left="720" w:firstLine="60"/>
        <w:rPr>
          <w:rFonts w:ascii="Times New Roman" w:hAnsi="Times New Roman"/>
          <w:sz w:val="24"/>
          <w:szCs w:val="24"/>
        </w:rPr>
      </w:pPr>
      <w:r w:rsidRPr="00040EC5">
        <w:rPr>
          <w:rFonts w:ascii="Times New Roman" w:hAnsi="Times New Roman"/>
          <w:sz w:val="24"/>
          <w:szCs w:val="24"/>
        </w:rPr>
        <w:t>“Because we agree with Appellants that the North Carolina Constitution does not prohibit the General Assembly from reviving Plaintiff’s civil claims under the SAFE Child Act as set forth in McKinney, we reverse and remand the trial court’s order for further proceedings not inconsistent with this opinion.</w:t>
      </w:r>
    </w:p>
    <w:p w14:paraId="46CED53C" w14:textId="77777777" w:rsidR="008F7EBA" w:rsidRDefault="008F7EBA" w:rsidP="008F7EBA">
      <w:pPr>
        <w:pStyle w:val="NoSpacing"/>
        <w:ind w:left="720" w:firstLine="60"/>
        <w:rPr>
          <w:rFonts w:ascii="Times New Roman" w:hAnsi="Times New Roman"/>
          <w:sz w:val="24"/>
          <w:szCs w:val="24"/>
        </w:rPr>
      </w:pPr>
    </w:p>
    <w:p w14:paraId="07D73D36" w14:textId="77777777" w:rsidR="008F7EBA" w:rsidRDefault="008F7EBA" w:rsidP="008F7EBA">
      <w:pPr>
        <w:pStyle w:val="NoSpacing"/>
        <w:ind w:left="720" w:firstLine="60"/>
        <w:rPr>
          <w:rFonts w:ascii="Times New Roman" w:hAnsi="Times New Roman"/>
          <w:sz w:val="24"/>
          <w:szCs w:val="24"/>
        </w:rPr>
      </w:pPr>
      <w:r>
        <w:rPr>
          <w:rFonts w:ascii="Times New Roman" w:hAnsi="Times New Roman"/>
          <w:sz w:val="24"/>
          <w:szCs w:val="24"/>
        </w:rPr>
        <w:t>***</w:t>
      </w:r>
    </w:p>
    <w:p w14:paraId="6753EEFF" w14:textId="77777777" w:rsidR="008F7EBA" w:rsidRDefault="008F7EBA" w:rsidP="008F7EBA">
      <w:pPr>
        <w:pStyle w:val="NoSpacing"/>
        <w:ind w:left="720"/>
        <w:rPr>
          <w:rFonts w:ascii="Times New Roman" w:hAnsi="Times New Roman"/>
          <w:sz w:val="24"/>
          <w:szCs w:val="24"/>
        </w:rPr>
      </w:pPr>
      <w:r w:rsidRPr="002A67C8">
        <w:rPr>
          <w:rFonts w:ascii="Times New Roman" w:hAnsi="Times New Roman"/>
          <w:sz w:val="24"/>
          <w:szCs w:val="24"/>
        </w:rPr>
        <w:t>In the 2000s, 2010s, and early 2020s—and largely after Plaintiff’s tort claims</w:t>
      </w:r>
      <w:r>
        <w:rPr>
          <w:rFonts w:ascii="Times New Roman" w:hAnsi="Times New Roman"/>
          <w:sz w:val="24"/>
          <w:szCs w:val="24"/>
        </w:rPr>
        <w:t xml:space="preserve"> </w:t>
      </w:r>
      <w:r w:rsidRPr="002A67C8">
        <w:rPr>
          <w:rFonts w:ascii="Times New Roman" w:hAnsi="Times New Roman"/>
          <w:sz w:val="24"/>
          <w:szCs w:val="24"/>
        </w:rPr>
        <w:t>had expired—scientific research into childhood sexual trauma solidified around two</w:t>
      </w:r>
      <w:r>
        <w:rPr>
          <w:rFonts w:ascii="Times New Roman" w:hAnsi="Times New Roman"/>
          <w:sz w:val="24"/>
          <w:szCs w:val="24"/>
        </w:rPr>
        <w:t xml:space="preserve"> </w:t>
      </w:r>
      <w:r w:rsidRPr="002A67C8">
        <w:rPr>
          <w:rFonts w:ascii="Times New Roman" w:hAnsi="Times New Roman"/>
          <w:sz w:val="24"/>
          <w:szCs w:val="24"/>
        </w:rPr>
        <w:t>key facts: (1) victims of childhood sexual abuse frequently delayed disclosure of their</w:t>
      </w:r>
      <w:r>
        <w:rPr>
          <w:rFonts w:ascii="Times New Roman" w:hAnsi="Times New Roman"/>
          <w:sz w:val="24"/>
          <w:szCs w:val="24"/>
        </w:rPr>
        <w:t xml:space="preserve"> </w:t>
      </w:r>
      <w:r w:rsidRPr="002A67C8">
        <w:rPr>
          <w:rFonts w:ascii="Times New Roman" w:hAnsi="Times New Roman"/>
          <w:sz w:val="24"/>
          <w:szCs w:val="24"/>
        </w:rPr>
        <w:t>trauma well into adulthood; and (2) the abuse frequently resulted in lifelong injury</w:t>
      </w:r>
      <w:r>
        <w:rPr>
          <w:rFonts w:ascii="Times New Roman" w:hAnsi="Times New Roman"/>
          <w:sz w:val="24"/>
          <w:szCs w:val="24"/>
        </w:rPr>
        <w:t xml:space="preserve">…. </w:t>
      </w:r>
      <w:r w:rsidRPr="002A67C8">
        <w:rPr>
          <w:rFonts w:ascii="Times New Roman" w:hAnsi="Times New Roman"/>
          <w:sz w:val="24"/>
          <w:szCs w:val="24"/>
        </w:rPr>
        <w:t>Legislatures across the country responded to these scientific developments</w:t>
      </w:r>
      <w:r>
        <w:rPr>
          <w:rFonts w:ascii="Times New Roman" w:hAnsi="Times New Roman"/>
          <w:sz w:val="24"/>
          <w:szCs w:val="24"/>
        </w:rPr>
        <w:t xml:space="preserve"> </w:t>
      </w:r>
      <w:r w:rsidRPr="002A67C8">
        <w:rPr>
          <w:rFonts w:ascii="Times New Roman" w:hAnsi="Times New Roman"/>
          <w:sz w:val="24"/>
          <w:szCs w:val="24"/>
        </w:rPr>
        <w:t>by, among other actions, enacting statutes reviving stale civil claims for child sexual</w:t>
      </w:r>
      <w:r>
        <w:rPr>
          <w:rFonts w:ascii="Times New Roman" w:hAnsi="Times New Roman"/>
          <w:sz w:val="24"/>
          <w:szCs w:val="24"/>
        </w:rPr>
        <w:t xml:space="preserve"> </w:t>
      </w:r>
      <w:r w:rsidRPr="002A67C8">
        <w:rPr>
          <w:rFonts w:ascii="Times New Roman" w:hAnsi="Times New Roman"/>
          <w:sz w:val="24"/>
          <w:szCs w:val="24"/>
        </w:rPr>
        <w:t>abuse that had previously expired under the applicable statutes of limitation.</w:t>
      </w:r>
      <w:r>
        <w:rPr>
          <w:rFonts w:ascii="Times New Roman" w:hAnsi="Times New Roman"/>
          <w:sz w:val="24"/>
          <w:szCs w:val="24"/>
        </w:rPr>
        <w:t xml:space="preserve">” </w:t>
      </w:r>
    </w:p>
    <w:p w14:paraId="1A049730" w14:textId="77777777" w:rsidR="008F7EBA" w:rsidRPr="00040EC5" w:rsidRDefault="008F7EBA" w:rsidP="008F7EBA">
      <w:pPr>
        <w:pStyle w:val="NoSpacing"/>
        <w:ind w:left="720" w:firstLine="60"/>
        <w:rPr>
          <w:rFonts w:ascii="Times New Roman" w:hAnsi="Times New Roman"/>
          <w:sz w:val="24"/>
          <w:szCs w:val="24"/>
        </w:rPr>
      </w:pPr>
      <w:hyperlink r:id="rId2720" w:history="1">
        <w:r w:rsidRPr="002230B5">
          <w:rPr>
            <w:rStyle w:val="Hyperlink"/>
            <w:rFonts w:ascii="Times New Roman" w:hAnsi="Times New Roman"/>
            <w:sz w:val="24"/>
            <w:szCs w:val="24"/>
          </w:rPr>
          <w:t>https://cases.justia.com/north-carolina/court-of-appeals/2023-22-259.pdf?ts=1694553709</w:t>
        </w:r>
      </w:hyperlink>
      <w:r w:rsidRPr="00040EC5">
        <w:rPr>
          <w:rFonts w:ascii="Times New Roman" w:hAnsi="Times New Roman"/>
          <w:sz w:val="24"/>
          <w:szCs w:val="24"/>
        </w:rPr>
        <w:t xml:space="preserve"> </w:t>
      </w:r>
    </w:p>
    <w:p w14:paraId="52BA10CC" w14:textId="77777777" w:rsidR="008F7EBA" w:rsidRDefault="008F7EBA" w:rsidP="008F7EBA">
      <w:pPr>
        <w:pStyle w:val="NoSpacing"/>
        <w:rPr>
          <w:rFonts w:ascii="Times New Roman" w:hAnsi="Times New Roman"/>
          <w:b/>
          <w:bCs/>
          <w:sz w:val="24"/>
          <w:szCs w:val="24"/>
        </w:rPr>
      </w:pPr>
    </w:p>
    <w:p w14:paraId="7D98C8DC" w14:textId="402B2869" w:rsidR="008F7EBA" w:rsidRPr="002A67C8" w:rsidRDefault="008F7EBA" w:rsidP="008F7EBA">
      <w:pPr>
        <w:pStyle w:val="NoSpacing"/>
        <w:rPr>
          <w:rFonts w:ascii="Times New Roman" w:hAnsi="Times New Roman"/>
          <w:b/>
          <w:bCs/>
          <w:sz w:val="24"/>
          <w:szCs w:val="24"/>
        </w:rPr>
      </w:pPr>
      <w:r w:rsidRPr="002A67C8">
        <w:rPr>
          <w:rFonts w:ascii="Times New Roman" w:hAnsi="Times New Roman"/>
          <w:b/>
          <w:bCs/>
          <w:sz w:val="24"/>
          <w:szCs w:val="24"/>
        </w:rPr>
        <w:t>Legal Lesson Learned:</w:t>
      </w:r>
      <w:r>
        <w:rPr>
          <w:rFonts w:ascii="Times New Roman" w:hAnsi="Times New Roman"/>
          <w:b/>
          <w:bCs/>
          <w:sz w:val="24"/>
          <w:szCs w:val="24"/>
        </w:rPr>
        <w:t xml:space="preserve"> Many state legislatures have likewise expanded the statute of limitations for victims of sexual assault as children. </w:t>
      </w:r>
    </w:p>
    <w:p w14:paraId="695E9F13" w14:textId="77777777" w:rsidR="008F7EBA" w:rsidRDefault="008F7EBA" w:rsidP="008F7EBA">
      <w:pPr>
        <w:pStyle w:val="NoSpacing"/>
        <w:ind w:left="720"/>
        <w:rPr>
          <w:rFonts w:ascii="Times New Roman" w:hAnsi="Times New Roman"/>
          <w:sz w:val="24"/>
          <w:szCs w:val="24"/>
        </w:rPr>
      </w:pPr>
    </w:p>
    <w:p w14:paraId="6E097F2E" w14:textId="77777777" w:rsidR="008F7EBA" w:rsidRPr="00842639" w:rsidRDefault="008F7EBA" w:rsidP="008F7EBA">
      <w:pPr>
        <w:pStyle w:val="NoSpacing"/>
        <w:ind w:left="720"/>
        <w:rPr>
          <w:rFonts w:ascii="Times New Roman" w:hAnsi="Times New Roman"/>
          <w:sz w:val="24"/>
          <w:szCs w:val="24"/>
        </w:rPr>
      </w:pPr>
      <w:r w:rsidRPr="00842639">
        <w:rPr>
          <w:rFonts w:ascii="Times New Roman" w:hAnsi="Times New Roman"/>
          <w:sz w:val="24"/>
          <w:szCs w:val="24"/>
        </w:rPr>
        <w:t xml:space="preserve">Note: See June 26, </w:t>
      </w:r>
      <w:proofErr w:type="gramStart"/>
      <w:r w:rsidRPr="00842639">
        <w:rPr>
          <w:rFonts w:ascii="Times New Roman" w:hAnsi="Times New Roman"/>
          <w:sz w:val="24"/>
          <w:szCs w:val="24"/>
        </w:rPr>
        <w:t>2019</w:t>
      </w:r>
      <w:proofErr w:type="gramEnd"/>
      <w:r w:rsidRPr="00842639">
        <w:rPr>
          <w:rFonts w:ascii="Times New Roman" w:hAnsi="Times New Roman"/>
          <w:sz w:val="24"/>
          <w:szCs w:val="24"/>
        </w:rPr>
        <w:t xml:space="preserve"> article, 'He stole my innocence, my childhood, my virginity:' Former YMCA counselor convicted of child sex abuse.” A search warrant revealed at least eight possible victims, one of them who was 10 years old at the time.  </w:t>
      </w:r>
      <w:hyperlink r:id="rId2721" w:history="1">
        <w:r w:rsidRPr="00842639">
          <w:rPr>
            <w:rStyle w:val="Hyperlink"/>
            <w:rFonts w:ascii="Times New Roman" w:hAnsi="Times New Roman"/>
            <w:sz w:val="24"/>
            <w:szCs w:val="24"/>
          </w:rPr>
          <w:t>https://www.wxii12.com/article/former-ymca-counselor-volunteer-firefighter-pleads-guilty-to-sexually-assaulting-young-boys/28196918</w:t>
        </w:r>
      </w:hyperlink>
      <w:r w:rsidRPr="00842639">
        <w:rPr>
          <w:rFonts w:ascii="Times New Roman" w:hAnsi="Times New Roman"/>
          <w:sz w:val="24"/>
          <w:szCs w:val="24"/>
        </w:rPr>
        <w:t xml:space="preserve"> </w:t>
      </w:r>
    </w:p>
    <w:p w14:paraId="7D60FB66" w14:textId="77777777" w:rsidR="008F7EBA" w:rsidRDefault="008F7EBA" w:rsidP="008F7EBA">
      <w:pPr>
        <w:pStyle w:val="NormalWeb"/>
      </w:pPr>
    </w:p>
    <w:p w14:paraId="7BDB1E76" w14:textId="77777777" w:rsidR="008F7EBA" w:rsidRDefault="008F7EBA" w:rsidP="00F326E5">
      <w:pPr>
        <w:pStyle w:val="NoSpacing"/>
        <w:rPr>
          <w:rFonts w:ascii="Arial Black" w:hAnsi="Arial Black"/>
          <w:sz w:val="24"/>
          <w:szCs w:val="24"/>
        </w:rPr>
      </w:pPr>
    </w:p>
    <w:p w14:paraId="55B7855A" w14:textId="77777777" w:rsidR="008F7EBA" w:rsidRDefault="008F7EBA" w:rsidP="00F326E5">
      <w:pPr>
        <w:pStyle w:val="NoSpacing"/>
        <w:rPr>
          <w:rFonts w:ascii="Arial Black" w:hAnsi="Arial Black"/>
          <w:sz w:val="24"/>
          <w:szCs w:val="24"/>
        </w:rPr>
      </w:pPr>
    </w:p>
    <w:p w14:paraId="3C17A371" w14:textId="4D050C59" w:rsidR="009B0593" w:rsidRDefault="009B0593" w:rsidP="00F326E5">
      <w:pPr>
        <w:pStyle w:val="NoSpacing"/>
        <w:rPr>
          <w:rFonts w:ascii="Arial Black" w:hAnsi="Arial Black"/>
          <w:sz w:val="24"/>
          <w:szCs w:val="24"/>
        </w:rPr>
      </w:pPr>
      <w:r>
        <w:rPr>
          <w:rFonts w:ascii="Arial Black" w:hAnsi="Arial Black"/>
          <w:sz w:val="24"/>
          <w:szCs w:val="24"/>
        </w:rPr>
        <w:t>16-92</w:t>
      </w:r>
    </w:p>
    <w:p w14:paraId="45AECEE9" w14:textId="77777777" w:rsidR="009B0593" w:rsidRDefault="009B0593" w:rsidP="009B0593">
      <w:pPr>
        <w:pStyle w:val="NormalWeb"/>
        <w:rPr>
          <w:rFonts w:ascii="Arial Black" w:hAnsi="Arial Black"/>
          <w:b/>
          <w:bCs/>
          <w:sz w:val="28"/>
          <w:szCs w:val="28"/>
        </w:rPr>
      </w:pPr>
      <w:r>
        <w:rPr>
          <w:rFonts w:ascii="Arial Black" w:hAnsi="Arial Black"/>
          <w:b/>
          <w:bCs/>
          <w:sz w:val="28"/>
          <w:szCs w:val="28"/>
        </w:rPr>
        <w:t>CA: BORDER PATROL SUPERVISOR ARRESTED AT BAR - FALSELY TOLD EMS DIABETIC 1 – FIRED LACK CANDOR</w:t>
      </w:r>
    </w:p>
    <w:p w14:paraId="5E44AA5E" w14:textId="77777777" w:rsidR="009B0593" w:rsidRDefault="009B0593" w:rsidP="009B0593">
      <w:pPr>
        <w:pStyle w:val="NormalWeb"/>
      </w:pPr>
      <w:r>
        <w:t xml:space="preserve">On Aug. 18, 2023, in </w:t>
      </w:r>
      <w:r w:rsidRPr="00425C38">
        <w:rPr>
          <w:u w:val="single"/>
        </w:rPr>
        <w:t>Nick Santos v. Department of Homeland Security</w:t>
      </w:r>
      <w:r>
        <w:t xml:space="preserve">, the United States of America Merit Systems Protection Board (2 to 0) reversed Administrative Law Judge and upheld the termination of the Agent for lack of candor. </w:t>
      </w:r>
    </w:p>
    <w:p w14:paraId="0B48BD4E" w14:textId="77777777" w:rsidR="009B0593" w:rsidRDefault="009B0593" w:rsidP="009B0593">
      <w:pPr>
        <w:pStyle w:val="NormalWeb"/>
      </w:pPr>
      <w:r>
        <w:tab/>
        <w:t>The Board held:</w:t>
      </w:r>
    </w:p>
    <w:p w14:paraId="0093150F" w14:textId="77777777" w:rsidR="009B0593" w:rsidRPr="009B0593" w:rsidRDefault="009B0593" w:rsidP="009B0593">
      <w:pPr>
        <w:pStyle w:val="NormalWeb"/>
        <w:ind w:left="720"/>
      </w:pPr>
      <w:r>
        <w:t xml:space="preserve">“In this case, the agency has provided evidence that the appellant's </w:t>
      </w:r>
      <w:proofErr w:type="gramStart"/>
      <w:r>
        <w:t>off-duty</w:t>
      </w:r>
      <w:proofErr w:type="gramEnd"/>
      <w:r>
        <w:t xml:space="preserve"> conduct adversely affected its trust and confidence in the appellant's ability to serve as a Supervisory Border Patrol Agent. *** We have considered relevant mitigating factors, including the appellant's length of service, his record of performance-based awards, and the rehabilitative potential evidenced by his willingness to admit </w:t>
      </w:r>
      <w:proofErr w:type="gramStart"/>
      <w:r>
        <w:t>to conduct</w:t>
      </w:r>
      <w:proofErr w:type="gramEnd"/>
      <w:r>
        <w:t xml:space="preserve"> unbecoming. However, considering that the sustained charge of lack of candor could potentially result in the appellant's </w:t>
      </w:r>
      <w:r>
        <w:rPr>
          <w:rStyle w:val="Emphasis"/>
        </w:rPr>
        <w:t>Giglio</w:t>
      </w:r>
      <w:r>
        <w:t xml:space="preserve"> impairment [footnote 4] it is doubtful that an alternative sanction, such as a suspension or demotion to a nonsupervisory law enforcement position, would be a viable option in this case. We find that the penalty of </w:t>
      </w:r>
      <w:r w:rsidRPr="009B0593">
        <w:t>removal is within the bounds of reasonableness, and we therefore sustain it.</w:t>
      </w:r>
    </w:p>
    <w:p w14:paraId="6FF92FE1" w14:textId="259B8B03" w:rsidR="009B0593" w:rsidRPr="009B0593" w:rsidRDefault="009B0593" w:rsidP="009B0593">
      <w:pPr>
        <w:pStyle w:val="NoSpacing"/>
        <w:ind w:left="720"/>
        <w:rPr>
          <w:rFonts w:ascii="Times New Roman" w:hAnsi="Times New Roman"/>
          <w:sz w:val="24"/>
          <w:szCs w:val="24"/>
        </w:rPr>
      </w:pPr>
      <w:r w:rsidRPr="009B0593">
        <w:rPr>
          <w:rFonts w:ascii="Times New Roman" w:hAnsi="Times New Roman"/>
          <w:sz w:val="24"/>
          <w:szCs w:val="24"/>
        </w:rPr>
        <w:t xml:space="preserve">Footnote 4: </w:t>
      </w:r>
      <w:r w:rsidRPr="009B0593">
        <w:rPr>
          <w:rFonts w:ascii="Times New Roman" w:eastAsiaTheme="minorHAnsi" w:hAnsi="Times New Roman"/>
          <w:kern w:val="2"/>
          <w:sz w:val="24"/>
          <w:szCs w:val="24"/>
          <w14:ligatures w14:val="standardContextual"/>
        </w:rPr>
        <w:t xml:space="preserve">In </w:t>
      </w:r>
      <w:r w:rsidRPr="009B0593">
        <w:rPr>
          <w:rFonts w:ascii="Times New Roman" w:eastAsiaTheme="minorHAnsi" w:hAnsi="Times New Roman"/>
          <w:i/>
          <w:iCs/>
          <w:kern w:val="2"/>
          <w:sz w:val="24"/>
          <w:szCs w:val="24"/>
          <w14:ligatures w14:val="standardContextual"/>
        </w:rPr>
        <w:t>Giglio v. United States</w:t>
      </w:r>
      <w:r w:rsidRPr="009B0593">
        <w:rPr>
          <w:rFonts w:ascii="Times New Roman" w:eastAsiaTheme="minorHAnsi" w:hAnsi="Times New Roman"/>
          <w:kern w:val="2"/>
          <w:sz w:val="24"/>
          <w:szCs w:val="24"/>
          <w14:ligatures w14:val="standardContextual"/>
        </w:rPr>
        <w:t xml:space="preserve">, 405 U.S. 150, 154 (1972), the Supreme Court held that the Government must disclose evidence affecting the credibility of Government witnesses. Subsequent case law has extended this rule to require Government agencies to review the personnel files of Government witnesses and disclose material that could cast doubt on their credibility or potential for bias. </w:t>
      </w:r>
      <w:r w:rsidRPr="009B0593">
        <w:rPr>
          <w:rFonts w:ascii="Times New Roman" w:eastAsiaTheme="minorHAnsi" w:hAnsi="Times New Roman"/>
          <w:i/>
          <w:iCs/>
          <w:kern w:val="2"/>
          <w:sz w:val="24"/>
          <w:szCs w:val="24"/>
          <w14:ligatures w14:val="standardContextual"/>
        </w:rPr>
        <w:t>See United States v. Henthorn</w:t>
      </w:r>
      <w:r w:rsidRPr="009B0593">
        <w:rPr>
          <w:rFonts w:ascii="Times New Roman" w:eastAsiaTheme="minorHAnsi" w:hAnsi="Times New Roman"/>
          <w:kern w:val="2"/>
          <w:sz w:val="24"/>
          <w:szCs w:val="24"/>
          <w14:ligatures w14:val="standardContextual"/>
        </w:rPr>
        <w:t xml:space="preserve">, 931 F.2d 29, 30-31 (9th Cir. 1991).” </w:t>
      </w:r>
      <w:hyperlink r:id="rId2722" w:history="1">
        <w:r w:rsidRPr="009B0593">
          <w:rPr>
            <w:rStyle w:val="Hyperlink"/>
            <w:rFonts w:ascii="Times New Roman" w:eastAsiaTheme="majorEastAsia" w:hAnsi="Times New Roman"/>
            <w:sz w:val="24"/>
            <w:szCs w:val="24"/>
          </w:rPr>
          <w:t>https://www.mspb.gov/decisions/nonprecedential/SANTOS_NICK_SF_0752_20_0114_I_1_FINAL_ORDER_2060932.pdf</w:t>
        </w:r>
      </w:hyperlink>
    </w:p>
    <w:p w14:paraId="2173CA09" w14:textId="77777777" w:rsidR="009B0593" w:rsidRDefault="009B0593" w:rsidP="00F326E5">
      <w:pPr>
        <w:pStyle w:val="NoSpacing"/>
        <w:rPr>
          <w:rFonts w:ascii="Arial Black" w:hAnsi="Arial Black"/>
          <w:sz w:val="24"/>
          <w:szCs w:val="24"/>
        </w:rPr>
      </w:pPr>
    </w:p>
    <w:p w14:paraId="7AD918E2" w14:textId="77777777" w:rsidR="009B0593" w:rsidRDefault="009B0593" w:rsidP="009B0593">
      <w:pPr>
        <w:rPr>
          <w:rFonts w:ascii="Times New Roman" w:hAnsi="Times New Roman"/>
          <w:b/>
          <w:bCs/>
          <w:sz w:val="24"/>
          <w:szCs w:val="24"/>
        </w:rPr>
      </w:pPr>
      <w:r w:rsidRPr="0060003D">
        <w:rPr>
          <w:rFonts w:ascii="Times New Roman" w:hAnsi="Times New Roman"/>
          <w:b/>
          <w:bCs/>
          <w:sz w:val="24"/>
          <w:szCs w:val="24"/>
        </w:rPr>
        <w:t xml:space="preserve">Legal Lesson Learned: </w:t>
      </w:r>
      <w:r>
        <w:rPr>
          <w:rFonts w:ascii="Times New Roman" w:hAnsi="Times New Roman"/>
          <w:b/>
          <w:bCs/>
          <w:sz w:val="24"/>
          <w:szCs w:val="24"/>
        </w:rPr>
        <w:t xml:space="preserve"> Under the U.S. Supreme Court’s decision in Giglio v. United States. if this Supervisor Agent testifies in a criminal case the Government may need to disclose the “lack of candor” administrative charge.</w:t>
      </w:r>
    </w:p>
    <w:p w14:paraId="243AB25B" w14:textId="759C8F68" w:rsidR="009B0593" w:rsidRDefault="009B0593" w:rsidP="009B0593">
      <w:pPr>
        <w:pStyle w:val="NoSpacing"/>
        <w:ind w:left="720"/>
        <w:rPr>
          <w:rFonts w:ascii="Arial Black" w:hAnsi="Arial Black"/>
          <w:sz w:val="24"/>
          <w:szCs w:val="24"/>
        </w:rPr>
      </w:pPr>
      <w:r>
        <w:rPr>
          <w:rFonts w:ascii="Times New Roman" w:hAnsi="Times New Roman"/>
          <w:sz w:val="24"/>
          <w:szCs w:val="24"/>
        </w:rPr>
        <w:t xml:space="preserve">Note: </w:t>
      </w:r>
      <w:r w:rsidRPr="00B07F0E">
        <w:rPr>
          <w:rFonts w:ascii="Times New Roman" w:hAnsi="Times New Roman"/>
          <w:sz w:val="24"/>
          <w:szCs w:val="24"/>
        </w:rPr>
        <w:t xml:space="preserve">In </w:t>
      </w:r>
      <w:r w:rsidRPr="00B07F0E">
        <w:rPr>
          <w:rStyle w:val="Strong"/>
          <w:rFonts w:ascii="Times New Roman" w:hAnsi="Times New Roman"/>
          <w:sz w:val="24"/>
          <w:szCs w:val="24"/>
          <w:u w:val="single"/>
        </w:rPr>
        <w:t>Giglio v. United States</w:t>
      </w:r>
      <w:r w:rsidRPr="00B07F0E">
        <w:rPr>
          <w:rStyle w:val="Strong"/>
          <w:rFonts w:ascii="Times New Roman" w:hAnsi="Times New Roman"/>
          <w:sz w:val="24"/>
          <w:szCs w:val="24"/>
        </w:rPr>
        <w:t xml:space="preserve">, </w:t>
      </w:r>
      <w:hyperlink r:id="rId2723" w:history="1">
        <w:r w:rsidRPr="00B07F0E">
          <w:rPr>
            <w:rStyle w:val="Hyperlink"/>
            <w:rFonts w:ascii="Times New Roman" w:hAnsi="Times New Roman"/>
            <w:sz w:val="24"/>
            <w:szCs w:val="24"/>
          </w:rPr>
          <w:t>405 U.S. 150</w:t>
        </w:r>
      </w:hyperlink>
      <w:r w:rsidRPr="00B07F0E">
        <w:rPr>
          <w:rStyle w:val="Strong"/>
          <w:rFonts w:ascii="Times New Roman" w:hAnsi="Times New Roman"/>
          <w:sz w:val="24"/>
          <w:szCs w:val="24"/>
        </w:rPr>
        <w:t xml:space="preserve"> (1972), the U.S. Supreme Court </w:t>
      </w:r>
      <w:r>
        <w:rPr>
          <w:rStyle w:val="Strong"/>
          <w:rFonts w:ascii="Times New Roman" w:hAnsi="Times New Roman"/>
          <w:sz w:val="24"/>
          <w:szCs w:val="24"/>
        </w:rPr>
        <w:t xml:space="preserve">reversed the conviction of </w:t>
      </w:r>
      <w:r w:rsidRPr="00B07F0E">
        <w:rPr>
          <w:rFonts w:ascii="Times New Roman" w:eastAsia="Times New Roman" w:hAnsi="Times New Roman"/>
          <w:sz w:val="24"/>
          <w:szCs w:val="24"/>
        </w:rPr>
        <w:t xml:space="preserve">passing forged money </w:t>
      </w:r>
      <w:proofErr w:type="gramStart"/>
      <w:r w:rsidRPr="00B07F0E">
        <w:rPr>
          <w:rFonts w:ascii="Times New Roman" w:eastAsia="Times New Roman" w:hAnsi="Times New Roman"/>
          <w:sz w:val="24"/>
          <w:szCs w:val="24"/>
        </w:rPr>
        <w:t>orders, and</w:t>
      </w:r>
      <w:proofErr w:type="gramEnd"/>
      <w:r w:rsidRPr="00B07F0E">
        <w:rPr>
          <w:rFonts w:ascii="Times New Roman" w:eastAsia="Times New Roman" w:hAnsi="Times New Roman"/>
          <w:sz w:val="24"/>
          <w:szCs w:val="24"/>
        </w:rPr>
        <w:t xml:space="preserve"> </w:t>
      </w:r>
      <w:r>
        <w:rPr>
          <w:rFonts w:ascii="Times New Roman" w:eastAsia="Times New Roman" w:hAnsi="Times New Roman"/>
          <w:sz w:val="24"/>
          <w:szCs w:val="24"/>
        </w:rPr>
        <w:t xml:space="preserve">ordered a new trial.  </w:t>
      </w:r>
      <w:r w:rsidRPr="00B07F0E">
        <w:rPr>
          <w:rFonts w:ascii="Times New Roman" w:eastAsia="Times New Roman" w:hAnsi="Times New Roman"/>
          <w:sz w:val="24"/>
          <w:szCs w:val="24"/>
        </w:rPr>
        <w:t xml:space="preserve">While appeal was pending in the Court of Appeals, defense counsel discovered new evidence indicating that the Government had failed to disclose an alleged promise made to its key witness [bank teller who gave defendant </w:t>
      </w:r>
      <w:r w:rsidRPr="00B07F0E">
        <w:rPr>
          <w:rStyle w:val="headertext"/>
          <w:rFonts w:ascii="Times New Roman" w:hAnsi="Times New Roman"/>
          <w:sz w:val="24"/>
          <w:szCs w:val="24"/>
        </w:rPr>
        <w:t>one of the bank's customer signature cards]</w:t>
      </w:r>
      <w:r w:rsidRPr="00B07F0E">
        <w:rPr>
          <w:rFonts w:ascii="Times New Roman" w:eastAsia="Times New Roman" w:hAnsi="Times New Roman"/>
          <w:sz w:val="24"/>
          <w:szCs w:val="24"/>
        </w:rPr>
        <w:t xml:space="preserve"> that he would not be prosecuted if he testified for the Government.</w:t>
      </w:r>
      <w:r>
        <w:rPr>
          <w:rFonts w:ascii="Times New Roman" w:eastAsia="Times New Roman" w:hAnsi="Times New Roman"/>
          <w:sz w:val="24"/>
          <w:szCs w:val="24"/>
        </w:rPr>
        <w:t xml:space="preserve"> </w:t>
      </w:r>
      <w:hyperlink r:id="rId2724" w:history="1">
        <w:r w:rsidRPr="003B4116">
          <w:rPr>
            <w:rStyle w:val="Hyperlink"/>
            <w:rFonts w:ascii="Times New Roman" w:hAnsi="Times New Roman"/>
            <w:sz w:val="24"/>
            <w:szCs w:val="24"/>
          </w:rPr>
          <w:t>https://supreme.justia.com/cases/federal/us/405/150/</w:t>
        </w:r>
      </w:hyperlink>
    </w:p>
    <w:p w14:paraId="7BFD5CB6" w14:textId="77777777" w:rsidR="009B0593" w:rsidRDefault="009B0593" w:rsidP="00F326E5">
      <w:pPr>
        <w:pStyle w:val="NoSpacing"/>
        <w:rPr>
          <w:rFonts w:ascii="Arial Black" w:hAnsi="Arial Black"/>
          <w:sz w:val="24"/>
          <w:szCs w:val="24"/>
        </w:rPr>
      </w:pPr>
    </w:p>
    <w:p w14:paraId="0FB525D4" w14:textId="77777777" w:rsidR="0055155D" w:rsidRDefault="0055155D" w:rsidP="00F326E5">
      <w:pPr>
        <w:pStyle w:val="NoSpacing"/>
        <w:rPr>
          <w:rFonts w:ascii="Arial Black" w:hAnsi="Arial Black"/>
          <w:sz w:val="24"/>
          <w:szCs w:val="24"/>
        </w:rPr>
      </w:pPr>
    </w:p>
    <w:p w14:paraId="045E7499" w14:textId="43A44342" w:rsidR="009B0593" w:rsidRDefault="009B0593" w:rsidP="00F326E5">
      <w:pPr>
        <w:pStyle w:val="NoSpacing"/>
        <w:rPr>
          <w:rFonts w:ascii="Arial Black" w:hAnsi="Arial Black"/>
          <w:sz w:val="24"/>
          <w:szCs w:val="24"/>
        </w:rPr>
      </w:pPr>
      <w:r>
        <w:rPr>
          <w:rFonts w:ascii="Arial Black" w:hAnsi="Arial Black"/>
          <w:sz w:val="24"/>
          <w:szCs w:val="24"/>
        </w:rPr>
        <w:t>16-91</w:t>
      </w:r>
    </w:p>
    <w:p w14:paraId="40BF1727" w14:textId="77777777" w:rsidR="0055155D" w:rsidRDefault="0055155D" w:rsidP="00F326E5">
      <w:pPr>
        <w:pStyle w:val="NoSpacing"/>
        <w:rPr>
          <w:rFonts w:ascii="Arial Black" w:hAnsi="Arial Black"/>
          <w:sz w:val="24"/>
          <w:szCs w:val="24"/>
        </w:rPr>
      </w:pPr>
    </w:p>
    <w:p w14:paraId="4D050A68" w14:textId="77777777" w:rsidR="0055155D" w:rsidRPr="00C5347C" w:rsidRDefault="0055155D" w:rsidP="0055155D">
      <w:pPr>
        <w:pStyle w:val="NormalWeb"/>
        <w:rPr>
          <w:rFonts w:ascii="Arial Black" w:hAnsi="Arial Black"/>
          <w:b/>
          <w:bCs/>
          <w:sz w:val="28"/>
          <w:szCs w:val="28"/>
        </w:rPr>
      </w:pPr>
      <w:r>
        <w:rPr>
          <w:rFonts w:ascii="Arial Black" w:hAnsi="Arial Black"/>
          <w:b/>
          <w:bCs/>
          <w:sz w:val="28"/>
          <w:szCs w:val="28"/>
        </w:rPr>
        <w:t xml:space="preserve">TX: SIX FFs FIRED – OUTSIDE INVEST. THEY HARRASED CO-WORKERS – NOT RETALIATION UNION REQ. CHANGE SHIFT </w:t>
      </w:r>
    </w:p>
    <w:p w14:paraId="556D0375" w14:textId="77777777" w:rsidR="0055155D" w:rsidRDefault="0055155D" w:rsidP="0055155D">
      <w:pPr>
        <w:pStyle w:val="NormalWeb"/>
      </w:pPr>
      <w:r>
        <w:t xml:space="preserve">On Aug. 15, 2023, in </w:t>
      </w:r>
      <w:r w:rsidRPr="00C5347C">
        <w:rPr>
          <w:u w:val="single"/>
        </w:rPr>
        <w:t>Stan Kozlowsi, et al. v. William Buck, individually and in his official capacity as Fire Chief, et al</w:t>
      </w:r>
      <w:r>
        <w:t>., the U.S. Court of Appeals for 5</w:t>
      </w:r>
      <w:r w:rsidRPr="00C5347C">
        <w:rPr>
          <w:vertAlign w:val="superscript"/>
        </w:rPr>
        <w:t>th</w:t>
      </w:r>
      <w:r>
        <w:t xml:space="preserve"> Circuit (New Orlean), held (3 to 0) that the U.S. District Court judge properly dismissed their lawsuit.  The FD used an outside investigator to investigate allegations of harassment.  There was no proof of retaliation because union officers pushed for a shift change; the discipline was imposed nine months after Fire Chief approved union request for shift change.   </w:t>
      </w:r>
    </w:p>
    <w:p w14:paraId="522A8AE0" w14:textId="77777777" w:rsidR="0055155D" w:rsidRDefault="0055155D" w:rsidP="0055155D">
      <w:pPr>
        <w:pStyle w:val="NormalWeb"/>
        <w:ind w:left="720"/>
      </w:pPr>
      <w:r>
        <w:t>Court of Appeals held: “The firefighters insist they were disciplined because of their union activities. But their claims rest on speculation and hearsay. Because that is not enough to establish a genuine dispute of material fact as to causation, we AFFIRM.”</w:t>
      </w:r>
      <w:r w:rsidRPr="00A6118A">
        <w:t xml:space="preserve"> </w:t>
      </w:r>
      <w:hyperlink r:id="rId2725" w:history="1">
        <w:r w:rsidRPr="00955A98">
          <w:rPr>
            <w:rStyle w:val="Hyperlink"/>
            <w:rFonts w:eastAsiaTheme="majorEastAsia"/>
          </w:rPr>
          <w:t>https://law.justia.com/cases/federal/appellate-courts/ca5/22-40438/22-40438-2023-08-15.html</w:t>
        </w:r>
      </w:hyperlink>
      <w:r>
        <w:t xml:space="preserve"> </w:t>
      </w:r>
    </w:p>
    <w:p w14:paraId="4738EBFC" w14:textId="77777777" w:rsidR="0055155D" w:rsidRDefault="0055155D" w:rsidP="0055155D">
      <w:pPr>
        <w:pStyle w:val="NormalWeb"/>
        <w:rPr>
          <w:b/>
          <w:bCs/>
        </w:rPr>
      </w:pPr>
      <w:r w:rsidRPr="00B64C15">
        <w:rPr>
          <w:b/>
          <w:bCs/>
        </w:rPr>
        <w:t xml:space="preserve">Legal Lesson Learned: FD may retain an outside investigator to review complaints of harassment. </w:t>
      </w:r>
    </w:p>
    <w:p w14:paraId="49C95D17" w14:textId="77777777" w:rsidR="0055155D" w:rsidRDefault="0055155D" w:rsidP="00F326E5">
      <w:pPr>
        <w:pStyle w:val="NoSpacing"/>
        <w:rPr>
          <w:rFonts w:ascii="Arial Black" w:hAnsi="Arial Black"/>
          <w:sz w:val="24"/>
          <w:szCs w:val="24"/>
        </w:rPr>
      </w:pPr>
    </w:p>
    <w:p w14:paraId="76C7C136" w14:textId="77777777" w:rsidR="009B0593" w:rsidRDefault="009B0593" w:rsidP="00F326E5">
      <w:pPr>
        <w:pStyle w:val="NoSpacing"/>
        <w:rPr>
          <w:rFonts w:ascii="Arial Black" w:hAnsi="Arial Black"/>
          <w:sz w:val="24"/>
          <w:szCs w:val="24"/>
        </w:rPr>
      </w:pPr>
    </w:p>
    <w:p w14:paraId="18381D8D" w14:textId="36ABC595" w:rsidR="00F771FA" w:rsidRDefault="00F771FA" w:rsidP="00F326E5">
      <w:pPr>
        <w:pStyle w:val="NoSpacing"/>
        <w:rPr>
          <w:rFonts w:ascii="Arial Black" w:hAnsi="Arial Black"/>
          <w:sz w:val="24"/>
          <w:szCs w:val="24"/>
        </w:rPr>
      </w:pPr>
      <w:r>
        <w:rPr>
          <w:rFonts w:ascii="Arial Black" w:hAnsi="Arial Black"/>
          <w:sz w:val="24"/>
          <w:szCs w:val="24"/>
        </w:rPr>
        <w:t>16-90</w:t>
      </w:r>
    </w:p>
    <w:p w14:paraId="7657200C" w14:textId="77777777" w:rsidR="00F771FA" w:rsidRPr="008F62D2" w:rsidRDefault="00F771FA" w:rsidP="00F771FA">
      <w:pPr>
        <w:pStyle w:val="NormalWeb"/>
        <w:rPr>
          <w:rFonts w:ascii="Arial Black" w:hAnsi="Arial Black"/>
          <w:sz w:val="28"/>
          <w:szCs w:val="28"/>
        </w:rPr>
      </w:pPr>
      <w:r>
        <w:rPr>
          <w:rFonts w:ascii="Arial Black" w:hAnsi="Arial Black"/>
          <w:sz w:val="28"/>
          <w:szCs w:val="28"/>
        </w:rPr>
        <w:t>FL: B/C FIRED – NO WHISTLEBLOWER PROTECTION – REFUSED ORDER TO REPRIMAND FFs COVID VACCINATION</w:t>
      </w:r>
    </w:p>
    <w:p w14:paraId="077573AF" w14:textId="77777777" w:rsidR="00F771FA" w:rsidRPr="00F771FA" w:rsidRDefault="00F771FA" w:rsidP="00F771FA">
      <w:pPr>
        <w:pStyle w:val="NormalWeb"/>
      </w:pPr>
      <w:r w:rsidRPr="00F771FA">
        <w:t xml:space="preserve">On July 25, 2023, in </w:t>
      </w:r>
      <w:r w:rsidRPr="00F771FA">
        <w:rPr>
          <w:u w:val="single"/>
        </w:rPr>
        <w:t>Stephen M. Davis v. Orange County</w:t>
      </w:r>
      <w:r w:rsidRPr="00F771FA">
        <w:t xml:space="preserve">, U.S. District Court Judge Paul G. Byron. for Middle District of Florida, Orlando Division, granted the County’s motion to dismiss, holding that Florida Whistleblower Act only protects officers who refuse to follow an order that would create a “substantial and specific danger to the public's health, safety, or welfare.”  On October 5, 2021, Assistant Chief Kimberly Buffkin gave an order to the Battalion Chiefs to issue written reprimands for those employees on a provided list for failure to comply with the vaccination policy [FF not facing further discipline].  Battalion Chief Davis thought some on his list had complied, and he met with Assistant Chief and when he refused to issue </w:t>
      </w:r>
      <w:proofErr w:type="gramStart"/>
      <w:r w:rsidRPr="00F771FA">
        <w:t>reprimands</w:t>
      </w:r>
      <w:proofErr w:type="gramEnd"/>
      <w:r w:rsidRPr="00F771FA">
        <w:t xml:space="preserve"> he was immediately suspended and later fired on Oct. 13, </w:t>
      </w:r>
      <w:proofErr w:type="gramStart"/>
      <w:r w:rsidRPr="00F771FA">
        <w:t>2021</w:t>
      </w:r>
      <w:proofErr w:type="gramEnd"/>
      <w:r w:rsidRPr="00F771FA">
        <w:t xml:space="preserve"> after a pre-determination hearing. The Battalion Chief had previously joined a lawsuit in State court challenging any discipline of firefighters who refused to get vaccinated.  After his termination he went to arbitration and the arbitrator ruled against him. </w:t>
      </w:r>
    </w:p>
    <w:p w14:paraId="3FE3B5D9" w14:textId="77777777" w:rsidR="00F771FA" w:rsidRPr="00F771FA" w:rsidRDefault="00F771FA" w:rsidP="00F771FA">
      <w:pPr>
        <w:pStyle w:val="NormalWeb"/>
      </w:pPr>
      <w:r w:rsidRPr="00F771FA">
        <w:t xml:space="preserve">The Court held: </w:t>
      </w:r>
    </w:p>
    <w:p w14:paraId="1DC4254B" w14:textId="77777777" w:rsidR="00F771FA" w:rsidRPr="00F771FA" w:rsidRDefault="00F771FA" w:rsidP="00F771FA">
      <w:pPr>
        <w:pStyle w:val="NormalWeb"/>
      </w:pPr>
      <w:r w:rsidRPr="00F771FA">
        <w:t xml:space="preserve">“[N]o reasonable person in Plaintiff's position would have believed that Defendant would not wipe out this discipline from the records of its employees who did, in fact, comply with the policy after its human resource lists were accurately updated as Defendant, through Assistant Chief Buffkin, had reiterated would occur. </w:t>
      </w:r>
    </w:p>
    <w:p w14:paraId="08D77176" w14:textId="77777777" w:rsidR="00F771FA" w:rsidRPr="00F771FA" w:rsidRDefault="00F771FA" w:rsidP="00F771FA">
      <w:pPr>
        <w:pStyle w:val="NormalWeb"/>
      </w:pPr>
      <w:r w:rsidRPr="00F771FA">
        <w:t>***</w:t>
      </w:r>
    </w:p>
    <w:p w14:paraId="76741DB8" w14:textId="4C286CB8" w:rsidR="00F771FA" w:rsidRPr="00F771FA" w:rsidRDefault="00F771FA" w:rsidP="00F771FA">
      <w:pPr>
        <w:pStyle w:val="NoSpacing"/>
        <w:rPr>
          <w:rStyle w:val="Hyperlink"/>
          <w:rFonts w:ascii="Times New Roman" w:eastAsiaTheme="majorEastAsia" w:hAnsi="Times New Roman"/>
          <w:sz w:val="24"/>
          <w:szCs w:val="24"/>
        </w:rPr>
      </w:pPr>
      <w:r w:rsidRPr="00F771FA">
        <w:rPr>
          <w:rFonts w:ascii="Times New Roman" w:hAnsi="Times New Roman"/>
          <w:sz w:val="24"/>
          <w:szCs w:val="24"/>
        </w:rPr>
        <w:t xml:space="preserve">What is more, the insinuation that such a bureaucratic snafu could have plausibly created a ‘substantial and specific danger to the public's health, safety, or welfare’ is not tenable. </w:t>
      </w:r>
      <w:r w:rsidRPr="00F771FA">
        <w:rPr>
          <w:rStyle w:val="Emphasis"/>
          <w:rFonts w:ascii="Times New Roman" w:hAnsi="Times New Roman"/>
          <w:sz w:val="24"/>
          <w:szCs w:val="24"/>
        </w:rPr>
        <w:t>Id.</w:t>
      </w:r>
      <w:r w:rsidRPr="00F771FA">
        <w:rPr>
          <w:rFonts w:ascii="Times New Roman" w:hAnsi="Times New Roman"/>
          <w:sz w:val="24"/>
          <w:szCs w:val="24"/>
        </w:rPr>
        <w:t xml:space="preserve"> Accordingly, Plaintiff fails to plausibly allege he engaged in protected activity under the FWA [Florida Whistleblower Act] and thus fails to state such a claim.” </w:t>
      </w:r>
      <w:hyperlink r:id="rId2726" w:history="1">
        <w:r w:rsidRPr="00F771FA">
          <w:rPr>
            <w:rStyle w:val="Hyperlink"/>
            <w:rFonts w:ascii="Times New Roman" w:eastAsiaTheme="majorEastAsia" w:hAnsi="Times New Roman"/>
            <w:sz w:val="24"/>
            <w:szCs w:val="24"/>
          </w:rPr>
          <w:t>https://public.fastcase.com/ZZhmr5v9wN%2FXOe5IsQ%2FqD51KXiWhfZ5Tknms713VsyNiKeidGSjUYd5fLyeguf86yRHn46LHKSVIqu1aE%2FP%2F4wzm%2Bs9CN3Gxx%2Fta1hJ8xsU%3D?utm_medium=email&amp;_hsmi=226712652&amp;_hsenc=p2ANqtz--6hfqXp_6GwCwKFg5My80cUvTOTZgLDUuB3F-yLygp7svvTJd39SzNL3yXkJv1N0M6expfT3HAdh1FcYblCg0-pEKOfg&amp;utm_content=226712652&amp;utm_source=hs_email</w:t>
        </w:r>
      </w:hyperlink>
    </w:p>
    <w:p w14:paraId="65FEB787" w14:textId="77777777" w:rsidR="00F771FA" w:rsidRDefault="00F771FA" w:rsidP="00F771FA">
      <w:pPr>
        <w:pStyle w:val="NoSpacing"/>
        <w:rPr>
          <w:rStyle w:val="Hyperlink"/>
          <w:rFonts w:eastAsiaTheme="majorEastAsia"/>
        </w:rPr>
      </w:pPr>
    </w:p>
    <w:p w14:paraId="7736A1B1" w14:textId="77777777" w:rsidR="00F771FA" w:rsidRPr="00A95E8C" w:rsidRDefault="00F771FA" w:rsidP="00F771FA">
      <w:pPr>
        <w:pStyle w:val="NormalWeb"/>
        <w:rPr>
          <w:b/>
          <w:bCs/>
        </w:rPr>
      </w:pPr>
      <w:r w:rsidRPr="00A95E8C">
        <w:rPr>
          <w:b/>
          <w:bCs/>
        </w:rPr>
        <w:t>Legal Lesson Learned: The Florida whistleblower act allows refusal of an order only if following the order would have either created a “substantial and specific danger to the public's health, safety, or welfare” or constituted an “act or suspected act of gross mismanagement, malfeasance, misfeasance, gross waste of public funds, . . . or gross neglect of duty.” FLA. STAT. § 112.3187(5).</w:t>
      </w:r>
    </w:p>
    <w:p w14:paraId="0B7734F0" w14:textId="77777777" w:rsidR="00F771FA" w:rsidRDefault="00F771FA" w:rsidP="00F771FA">
      <w:pPr>
        <w:pStyle w:val="NoSpacing"/>
        <w:rPr>
          <w:rFonts w:ascii="Arial Black" w:hAnsi="Arial Black"/>
          <w:sz w:val="24"/>
          <w:szCs w:val="24"/>
        </w:rPr>
      </w:pPr>
    </w:p>
    <w:p w14:paraId="10F4071B" w14:textId="77777777" w:rsidR="00F771FA" w:rsidRDefault="00F771FA" w:rsidP="00F326E5">
      <w:pPr>
        <w:pStyle w:val="NoSpacing"/>
        <w:rPr>
          <w:rFonts w:ascii="Arial Black" w:hAnsi="Arial Black"/>
          <w:sz w:val="24"/>
          <w:szCs w:val="24"/>
        </w:rPr>
      </w:pPr>
    </w:p>
    <w:p w14:paraId="10B8D94A" w14:textId="3BD26185" w:rsidR="00D33F96" w:rsidRDefault="00D33F96" w:rsidP="00F326E5">
      <w:pPr>
        <w:pStyle w:val="NoSpacing"/>
        <w:rPr>
          <w:rFonts w:ascii="Arial Black" w:hAnsi="Arial Black"/>
          <w:sz w:val="24"/>
          <w:szCs w:val="24"/>
        </w:rPr>
      </w:pPr>
      <w:r>
        <w:rPr>
          <w:rFonts w:ascii="Arial Black" w:hAnsi="Arial Black"/>
          <w:sz w:val="24"/>
          <w:szCs w:val="24"/>
        </w:rPr>
        <w:t>16-89</w:t>
      </w:r>
    </w:p>
    <w:p w14:paraId="3001C671" w14:textId="77777777" w:rsidR="00F771FA" w:rsidRDefault="00F771FA" w:rsidP="00F326E5">
      <w:pPr>
        <w:pStyle w:val="NoSpacing"/>
        <w:rPr>
          <w:rFonts w:ascii="Arial Black" w:hAnsi="Arial Black"/>
          <w:sz w:val="24"/>
          <w:szCs w:val="24"/>
        </w:rPr>
      </w:pPr>
    </w:p>
    <w:p w14:paraId="39DE11FC" w14:textId="77777777" w:rsidR="00D33F96" w:rsidRDefault="00D33F96" w:rsidP="00D33F96">
      <w:pPr>
        <w:rPr>
          <w:rFonts w:ascii="Arial Black" w:hAnsi="Arial Black"/>
          <w:sz w:val="28"/>
          <w:szCs w:val="28"/>
        </w:rPr>
      </w:pPr>
      <w:r>
        <w:rPr>
          <w:rFonts w:ascii="Arial Black" w:hAnsi="Arial Black"/>
          <w:sz w:val="28"/>
          <w:szCs w:val="28"/>
        </w:rPr>
        <w:t>NY: STATE PASSES “FF BILL OF RIGHTS” LAW – INDEP.  HEARING OFFICERS FOR DISCIPLINE - CASE REMANDED</w:t>
      </w:r>
    </w:p>
    <w:p w14:paraId="1764CCDD" w14:textId="77777777" w:rsidR="00D33F96" w:rsidRDefault="00D33F96" w:rsidP="00D33F96">
      <w:pPr>
        <w:rPr>
          <w:rFonts w:ascii="Times New Roman" w:hAnsi="Times New Roman"/>
          <w:sz w:val="24"/>
          <w:szCs w:val="24"/>
        </w:rPr>
      </w:pPr>
      <w:r>
        <w:rPr>
          <w:rFonts w:ascii="Times New Roman" w:hAnsi="Times New Roman"/>
          <w:sz w:val="24"/>
          <w:szCs w:val="24"/>
        </w:rPr>
        <w:t xml:space="preserve">On June 22, 2023, </w:t>
      </w:r>
      <w:r w:rsidRPr="00655D75">
        <w:rPr>
          <w:rFonts w:ascii="Times New Roman" w:hAnsi="Times New Roman"/>
          <w:sz w:val="24"/>
          <w:szCs w:val="24"/>
          <w:u w:val="single"/>
        </w:rPr>
        <w:t xml:space="preserve">In </w:t>
      </w:r>
      <w:proofErr w:type="gramStart"/>
      <w:r w:rsidRPr="00655D75">
        <w:rPr>
          <w:rFonts w:ascii="Times New Roman" w:hAnsi="Times New Roman"/>
          <w:sz w:val="24"/>
          <w:szCs w:val="24"/>
          <w:u w:val="single"/>
        </w:rPr>
        <w:t>The</w:t>
      </w:r>
      <w:proofErr w:type="gramEnd"/>
      <w:r w:rsidRPr="00655D75">
        <w:rPr>
          <w:rFonts w:ascii="Times New Roman" w:hAnsi="Times New Roman"/>
          <w:sz w:val="24"/>
          <w:szCs w:val="24"/>
          <w:u w:val="single"/>
        </w:rPr>
        <w:t xml:space="preserve"> Matter of Local 32, International Association of Firefighters, AFL-CIO, Utica Professional Firefighters Association v. New York State Public Employment Relations Board</w:t>
      </w:r>
      <w:r>
        <w:rPr>
          <w:rFonts w:ascii="Times New Roman" w:hAnsi="Times New Roman"/>
          <w:sz w:val="24"/>
          <w:szCs w:val="24"/>
        </w:rPr>
        <w:t xml:space="preserve">, the Supreme Court of New York, Third Department, held (5 to 0) that in light of new State law, PERS </w:t>
      </w:r>
      <w:r w:rsidRPr="00FD3278">
        <w:rPr>
          <w:rFonts w:ascii="Times New Roman" w:hAnsi="Times New Roman"/>
          <w:sz w:val="24"/>
          <w:szCs w:val="24"/>
        </w:rPr>
        <w:t>[New York Public Employment Relations Board]</w:t>
      </w:r>
      <w:r>
        <w:rPr>
          <w:rFonts w:ascii="Times New Roman" w:hAnsi="Times New Roman"/>
          <w:sz w:val="24"/>
          <w:szCs w:val="24"/>
        </w:rPr>
        <w:t xml:space="preserve"> must be given new opportunity to decide whether City of Utica must negotiate changes in disciplinary interrogation practices. The new law, “</w:t>
      </w:r>
      <w:r w:rsidRPr="000B64C0">
        <w:rPr>
          <w:rFonts w:ascii="Times New Roman" w:hAnsi="Times New Roman"/>
          <w:sz w:val="24"/>
          <w:szCs w:val="24"/>
        </w:rPr>
        <w:t>New York State firefighter bill of rights act</w:t>
      </w:r>
      <w:r>
        <w:rPr>
          <w:rFonts w:ascii="Times New Roman" w:hAnsi="Times New Roman"/>
          <w:sz w:val="24"/>
          <w:szCs w:val="24"/>
        </w:rPr>
        <w:t>,</w:t>
      </w:r>
      <w:r w:rsidRPr="000B64C0">
        <w:rPr>
          <w:rFonts w:ascii="Times New Roman" w:hAnsi="Times New Roman"/>
          <w:sz w:val="24"/>
          <w:szCs w:val="24"/>
        </w:rPr>
        <w:t>”</w:t>
      </w:r>
      <w:r>
        <w:rPr>
          <w:rFonts w:ascii="Times New Roman" w:hAnsi="Times New Roman"/>
          <w:sz w:val="24"/>
          <w:szCs w:val="24"/>
        </w:rPr>
        <w:t xml:space="preserve"> effective March 1, 2023, provides that paid firefighters in cities less than one million population now have right to independent hearing officer before discipline, including termination, can be imposed.  The legislative history of the new law also addresses “presumption of negotiability” before a city may change its disciplinary practices. </w:t>
      </w:r>
    </w:p>
    <w:p w14:paraId="1113E55F" w14:textId="77777777" w:rsidR="00D33F96" w:rsidRPr="00EA61D4" w:rsidRDefault="00D33F96" w:rsidP="00D33F96">
      <w:pPr>
        <w:rPr>
          <w:rFonts w:ascii="Times New Roman" w:hAnsi="Times New Roman"/>
          <w:sz w:val="24"/>
          <w:szCs w:val="24"/>
        </w:rPr>
      </w:pPr>
      <w:r>
        <w:rPr>
          <w:rFonts w:ascii="Times New Roman" w:hAnsi="Times New Roman"/>
          <w:sz w:val="24"/>
          <w:szCs w:val="24"/>
        </w:rPr>
        <w:t>The Court held: “</w:t>
      </w:r>
      <w:r w:rsidRPr="000B64C0">
        <w:rPr>
          <w:rFonts w:ascii="Times New Roman" w:hAnsi="Times New Roman"/>
          <w:sz w:val="24"/>
          <w:szCs w:val="24"/>
        </w:rPr>
        <w:t xml:space="preserve">During the pendency of this appeal, the Legislature enacted the New York State Firefighter Bill of Rights Act (L 2022, ch 674), which amended both the Taylor Law and Civil Service Law § 75, addressing removal of and other disciplinary action against public employees. The Senate Introducer's memorandum in support of the bill recognized that "court decisions have noted that... several statutes contain[ ] provisions favoring the local control of police and fire discipline that would override the Taylor Law presumption of negotiability," and, against that backdrop, the Legislature saw it necessary to "declare it to be the public policy of the State of New York that[,] for firefighters, disciplinary procedures are terms and conditions of employment subject to mandatory negotiation under the Taylor Law" (Senate Introducer's Mem in Support of 2022 NY Senate Bill S8481, enacted as L 2022, ch 674). The act thus amends the </w:t>
      </w:r>
      <w:proofErr w:type="gramStart"/>
      <w:r w:rsidRPr="00EA61D4">
        <w:rPr>
          <w:rFonts w:ascii="Times New Roman" w:hAnsi="Times New Roman"/>
          <w:sz w:val="24"/>
          <w:szCs w:val="24"/>
        </w:rPr>
        <w:t>aforementioned statutes</w:t>
      </w:r>
      <w:proofErr w:type="gramEnd"/>
      <w:r w:rsidRPr="000B64C0">
        <w:rPr>
          <w:rFonts w:ascii="Times New Roman" w:hAnsi="Times New Roman"/>
          <w:sz w:val="24"/>
          <w:szCs w:val="24"/>
        </w:rPr>
        <w:t xml:space="preserve"> accordingly (</w:t>
      </w:r>
      <w:r w:rsidRPr="000B64C0">
        <w:rPr>
          <w:rStyle w:val="Emphasis"/>
          <w:rFonts w:ascii="Times New Roman" w:hAnsi="Times New Roman"/>
          <w:sz w:val="24"/>
          <w:szCs w:val="24"/>
        </w:rPr>
        <w:t>see</w:t>
      </w:r>
      <w:r w:rsidRPr="000B64C0">
        <w:rPr>
          <w:rFonts w:ascii="Times New Roman" w:hAnsi="Times New Roman"/>
          <w:sz w:val="24"/>
          <w:szCs w:val="24"/>
        </w:rPr>
        <w:t xml:space="preserve"> Civil Service Law §§ 75 [2-a]; 201 [4]; 204-a [4]).</w:t>
      </w:r>
      <w:r>
        <w:rPr>
          <w:rFonts w:ascii="Times New Roman" w:hAnsi="Times New Roman"/>
          <w:sz w:val="24"/>
          <w:szCs w:val="24"/>
        </w:rPr>
        <w:t xml:space="preserve">” </w:t>
      </w:r>
      <w:hyperlink r:id="rId2727" w:history="1">
        <w:r w:rsidRPr="00EA61D4">
          <w:rPr>
            <w:rStyle w:val="Hyperlink"/>
            <w:sz w:val="24"/>
            <w:szCs w:val="24"/>
          </w:rPr>
          <w:t>https://law.justia.com/cases/new-york/appellate-division-third-department/2023/535052.html</w:t>
        </w:r>
      </w:hyperlink>
      <w:r w:rsidRPr="00EA61D4">
        <w:rPr>
          <w:rFonts w:ascii="Times New Roman" w:hAnsi="Times New Roman"/>
          <w:sz w:val="24"/>
          <w:szCs w:val="24"/>
        </w:rPr>
        <w:t xml:space="preserve">   </w:t>
      </w:r>
    </w:p>
    <w:p w14:paraId="138FDCDF" w14:textId="77777777" w:rsidR="00D33F96" w:rsidRPr="00FD3278" w:rsidRDefault="00D33F96" w:rsidP="00D33F96">
      <w:pPr>
        <w:rPr>
          <w:rFonts w:ascii="Times New Roman" w:hAnsi="Times New Roman"/>
          <w:b/>
          <w:bCs/>
          <w:sz w:val="24"/>
          <w:szCs w:val="24"/>
        </w:rPr>
      </w:pPr>
      <w:r w:rsidRPr="00FD3278">
        <w:rPr>
          <w:rFonts w:ascii="Times New Roman" w:hAnsi="Times New Roman"/>
          <w:b/>
          <w:bCs/>
          <w:sz w:val="24"/>
          <w:szCs w:val="24"/>
        </w:rPr>
        <w:t xml:space="preserve">Legal Lesson Learned: </w:t>
      </w:r>
      <w:r>
        <w:rPr>
          <w:rFonts w:ascii="Times New Roman" w:hAnsi="Times New Roman"/>
          <w:b/>
          <w:bCs/>
          <w:sz w:val="24"/>
          <w:szCs w:val="24"/>
        </w:rPr>
        <w:t xml:space="preserve">PERS will now decide if Utica Local’s charge is well founded.  </w:t>
      </w:r>
    </w:p>
    <w:p w14:paraId="1119234B" w14:textId="77777777" w:rsidR="00D33F96" w:rsidRDefault="00D33F96" w:rsidP="00D33F96">
      <w:pPr>
        <w:ind w:left="720"/>
        <w:rPr>
          <w:rFonts w:ascii="Times New Roman" w:hAnsi="Times New Roman"/>
          <w:sz w:val="24"/>
          <w:szCs w:val="24"/>
        </w:rPr>
      </w:pPr>
      <w:r>
        <w:rPr>
          <w:rFonts w:ascii="Times New Roman" w:hAnsi="Times New Roman"/>
          <w:sz w:val="24"/>
          <w:szCs w:val="24"/>
        </w:rPr>
        <w:t xml:space="preserve">Note: Several states have enacted a “Firefighter Bill of Rights” such as California, Florida, New Mexico and Illinois, which broadly address procedural rights in discipline, including written notice of charges.  This new NY law only addresses the right to third-party independent hearing officer.  </w:t>
      </w:r>
      <w:hyperlink r:id="rId2728" w:history="1">
        <w:r w:rsidRPr="00104E3B">
          <w:rPr>
            <w:rStyle w:val="Hyperlink"/>
            <w:sz w:val="24"/>
            <w:szCs w:val="24"/>
          </w:rPr>
          <w:t>https://legislation.nysenate.gov/pdf/bills/2021/S8481</w:t>
        </w:r>
      </w:hyperlink>
      <w:r>
        <w:rPr>
          <w:rFonts w:ascii="Times New Roman" w:hAnsi="Times New Roman"/>
          <w:sz w:val="24"/>
          <w:szCs w:val="24"/>
        </w:rPr>
        <w:t xml:space="preserve"> </w:t>
      </w:r>
    </w:p>
    <w:p w14:paraId="0C6BA447" w14:textId="77777777" w:rsidR="00D33F96" w:rsidRPr="00DD572C" w:rsidRDefault="00D33F96" w:rsidP="00D33F96">
      <w:pPr>
        <w:ind w:left="1440"/>
        <w:rPr>
          <w:rFonts w:ascii="Times New Roman" w:eastAsia="Times New Roman" w:hAnsi="Times New Roman"/>
          <w:sz w:val="24"/>
          <w:szCs w:val="24"/>
        </w:rPr>
      </w:pPr>
      <w:r>
        <w:rPr>
          <w:rFonts w:ascii="Times New Roman" w:hAnsi="Times New Roman"/>
          <w:sz w:val="24"/>
          <w:szCs w:val="24"/>
        </w:rPr>
        <w:t>“S</w:t>
      </w:r>
      <w:r w:rsidRPr="00DD572C">
        <w:rPr>
          <w:rFonts w:ascii="Times New Roman" w:eastAsia="Times New Roman" w:hAnsi="Times New Roman"/>
          <w:sz w:val="24"/>
          <w:szCs w:val="24"/>
        </w:rPr>
        <w:t>ection 75 of the civil service law is amended by adding a new</w:t>
      </w:r>
      <w:r>
        <w:rPr>
          <w:rFonts w:ascii="Times New Roman" w:eastAsia="Times New Roman" w:hAnsi="Times New Roman"/>
          <w:sz w:val="24"/>
          <w:szCs w:val="24"/>
        </w:rPr>
        <w:t xml:space="preserve"> </w:t>
      </w:r>
      <w:r w:rsidRPr="00DD572C">
        <w:rPr>
          <w:rFonts w:ascii="Times New Roman" w:eastAsia="Times New Roman" w:hAnsi="Times New Roman"/>
          <w:sz w:val="24"/>
          <w:szCs w:val="24"/>
        </w:rPr>
        <w:t>subdivision 2-a to read as follows:</w:t>
      </w:r>
    </w:p>
    <w:p w14:paraId="1889FBD5" w14:textId="77777777" w:rsidR="00D33F96" w:rsidRPr="00DD572C" w:rsidRDefault="00D33F96" w:rsidP="00D33F9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DD572C">
        <w:rPr>
          <w:rFonts w:ascii="Times New Roman" w:eastAsia="Times New Roman" w:hAnsi="Times New Roman"/>
          <w:sz w:val="24"/>
          <w:szCs w:val="24"/>
        </w:rPr>
        <w:t>2-a.</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I</w:t>
      </w:r>
      <w:r w:rsidRPr="00DD572C">
        <w:rPr>
          <w:rFonts w:ascii="Times New Roman" w:eastAsia="Times New Roman" w:hAnsi="Times New Roman"/>
          <w:sz w:val="24"/>
          <w:szCs w:val="24"/>
        </w:rPr>
        <w:t>ndependent</w:t>
      </w:r>
      <w:proofErr w:type="gramEnd"/>
      <w:r w:rsidRPr="00DD572C">
        <w:rPr>
          <w:rFonts w:ascii="Times New Roman" w:eastAsia="Times New Roman" w:hAnsi="Times New Roman"/>
          <w:sz w:val="24"/>
          <w:szCs w:val="24"/>
        </w:rPr>
        <w:t xml:space="preserve"> hearing officer. (a) Notwithstanding any other</w:t>
      </w:r>
      <w:r>
        <w:rPr>
          <w:rFonts w:ascii="Times New Roman" w:eastAsia="Times New Roman" w:hAnsi="Times New Roman"/>
          <w:sz w:val="24"/>
          <w:szCs w:val="24"/>
        </w:rPr>
        <w:t xml:space="preserve"> </w:t>
      </w:r>
      <w:r w:rsidRPr="00DD572C">
        <w:rPr>
          <w:rFonts w:ascii="Times New Roman" w:eastAsia="Times New Roman" w:hAnsi="Times New Roman"/>
          <w:sz w:val="24"/>
          <w:szCs w:val="24"/>
        </w:rPr>
        <w:t>provision of law to the contrary, including but not limited to subdivision four of section seventy-six of this title, any paid officer or</w:t>
      </w:r>
      <w:r>
        <w:rPr>
          <w:rFonts w:ascii="Times New Roman" w:eastAsia="Times New Roman" w:hAnsi="Times New Roman"/>
          <w:sz w:val="24"/>
          <w:szCs w:val="24"/>
        </w:rPr>
        <w:t xml:space="preserve"> </w:t>
      </w:r>
      <w:r w:rsidRPr="00DD572C">
        <w:rPr>
          <w:rFonts w:ascii="Times New Roman" w:eastAsia="Times New Roman" w:hAnsi="Times New Roman"/>
          <w:sz w:val="24"/>
          <w:szCs w:val="24"/>
        </w:rPr>
        <w:t>member of an organized fire company or fire department of a city of less</w:t>
      </w:r>
      <w:r>
        <w:rPr>
          <w:rFonts w:ascii="Times New Roman" w:eastAsia="Times New Roman" w:hAnsi="Times New Roman"/>
          <w:sz w:val="24"/>
          <w:szCs w:val="24"/>
        </w:rPr>
        <w:t xml:space="preserve"> </w:t>
      </w:r>
      <w:r w:rsidRPr="00DD572C">
        <w:rPr>
          <w:rFonts w:ascii="Times New Roman" w:eastAsia="Times New Roman" w:hAnsi="Times New Roman"/>
          <w:sz w:val="24"/>
          <w:szCs w:val="24"/>
        </w:rPr>
        <w:t>than one million population, or town, village or fire district who is</w:t>
      </w:r>
      <w:r>
        <w:rPr>
          <w:rFonts w:ascii="Times New Roman" w:eastAsia="Times New Roman" w:hAnsi="Times New Roman"/>
          <w:sz w:val="24"/>
          <w:szCs w:val="24"/>
        </w:rPr>
        <w:t xml:space="preserve"> </w:t>
      </w:r>
      <w:r w:rsidRPr="00DD572C">
        <w:rPr>
          <w:rFonts w:ascii="Times New Roman" w:eastAsia="Times New Roman" w:hAnsi="Times New Roman"/>
          <w:sz w:val="24"/>
          <w:szCs w:val="24"/>
        </w:rPr>
        <w:t>represented by a certified or recognized employee organization pursuant</w:t>
      </w:r>
      <w:r>
        <w:rPr>
          <w:rFonts w:ascii="Times New Roman" w:eastAsia="Times New Roman" w:hAnsi="Times New Roman"/>
          <w:sz w:val="24"/>
          <w:szCs w:val="24"/>
        </w:rPr>
        <w:t xml:space="preserve"> </w:t>
      </w:r>
      <w:r w:rsidRPr="00DD572C">
        <w:rPr>
          <w:rFonts w:ascii="Times New Roman" w:eastAsia="Times New Roman" w:hAnsi="Times New Roman"/>
          <w:sz w:val="24"/>
          <w:szCs w:val="24"/>
        </w:rPr>
        <w:t>to article fourteen of this chapter shall not be subjected to the pena</w:t>
      </w:r>
      <w:r>
        <w:rPr>
          <w:rFonts w:ascii="Times New Roman" w:eastAsia="Times New Roman" w:hAnsi="Times New Roman"/>
          <w:sz w:val="24"/>
          <w:szCs w:val="24"/>
        </w:rPr>
        <w:t>l</w:t>
      </w:r>
      <w:r w:rsidRPr="00DD572C">
        <w:rPr>
          <w:rFonts w:ascii="Times New Roman" w:eastAsia="Times New Roman" w:hAnsi="Times New Roman"/>
          <w:sz w:val="24"/>
          <w:szCs w:val="24"/>
        </w:rPr>
        <w:t>ty of dismissal from service or any other discipline if the hearing,</w:t>
      </w:r>
      <w:r>
        <w:rPr>
          <w:rFonts w:ascii="Times New Roman" w:eastAsia="Times New Roman" w:hAnsi="Times New Roman"/>
          <w:sz w:val="24"/>
          <w:szCs w:val="24"/>
        </w:rPr>
        <w:t xml:space="preserve"> </w:t>
      </w:r>
      <w:r w:rsidRPr="00DD572C">
        <w:rPr>
          <w:rFonts w:ascii="Times New Roman" w:eastAsia="Times New Roman" w:hAnsi="Times New Roman"/>
          <w:sz w:val="24"/>
          <w:szCs w:val="24"/>
        </w:rPr>
        <w:t>upon such charge, has been conducted by someone other than an</w:t>
      </w:r>
      <w:r>
        <w:rPr>
          <w:rFonts w:ascii="Times New Roman" w:eastAsia="Times New Roman" w:hAnsi="Times New Roman"/>
          <w:sz w:val="24"/>
          <w:szCs w:val="24"/>
        </w:rPr>
        <w:t xml:space="preserve"> </w:t>
      </w:r>
      <w:r w:rsidRPr="00DD572C">
        <w:rPr>
          <w:rFonts w:ascii="Times New Roman" w:eastAsia="Times New Roman" w:hAnsi="Times New Roman"/>
          <w:sz w:val="24"/>
          <w:szCs w:val="24"/>
        </w:rPr>
        <w:t>independent hearing officer to be agreed to by the employer and the person</w:t>
      </w:r>
      <w:r>
        <w:rPr>
          <w:rFonts w:ascii="Times New Roman" w:eastAsia="Times New Roman" w:hAnsi="Times New Roman"/>
          <w:sz w:val="24"/>
          <w:szCs w:val="24"/>
        </w:rPr>
        <w:t xml:space="preserve"> </w:t>
      </w:r>
      <w:r w:rsidRPr="00DD572C">
        <w:rPr>
          <w:rFonts w:ascii="Times New Roman" w:eastAsia="Times New Roman" w:hAnsi="Times New Roman"/>
          <w:sz w:val="24"/>
          <w:szCs w:val="24"/>
        </w:rPr>
        <w:t>against whom disciplinary action is proposed.</w:t>
      </w:r>
      <w:r>
        <w:rPr>
          <w:rFonts w:ascii="Times New Roman" w:eastAsia="Times New Roman" w:hAnsi="Times New Roman"/>
          <w:sz w:val="24"/>
          <w:szCs w:val="24"/>
        </w:rPr>
        <w:t xml:space="preserve">” </w:t>
      </w:r>
    </w:p>
    <w:p w14:paraId="008ECB29" w14:textId="77777777" w:rsidR="00D33F96" w:rsidRDefault="00D33F96" w:rsidP="00D33F96">
      <w:pPr>
        <w:rPr>
          <w:rFonts w:ascii="Arial Black" w:hAnsi="Arial Black"/>
          <w:sz w:val="28"/>
          <w:szCs w:val="28"/>
        </w:rPr>
      </w:pPr>
    </w:p>
    <w:p w14:paraId="492F6261" w14:textId="3122BF31" w:rsidR="00D33F96" w:rsidRDefault="00D33F96" w:rsidP="00F326E5">
      <w:pPr>
        <w:pStyle w:val="NoSpacing"/>
        <w:rPr>
          <w:rFonts w:ascii="Arial Black" w:hAnsi="Arial Black"/>
          <w:sz w:val="24"/>
          <w:szCs w:val="24"/>
        </w:rPr>
      </w:pPr>
      <w:r>
        <w:rPr>
          <w:rFonts w:ascii="Arial Black" w:hAnsi="Arial Black"/>
          <w:sz w:val="24"/>
          <w:szCs w:val="24"/>
        </w:rPr>
        <w:t>16-88</w:t>
      </w:r>
    </w:p>
    <w:p w14:paraId="29D32E5E" w14:textId="77777777" w:rsidR="00D33F96" w:rsidRDefault="00D33F96" w:rsidP="00F326E5">
      <w:pPr>
        <w:pStyle w:val="NoSpacing"/>
        <w:rPr>
          <w:rFonts w:ascii="Arial Black" w:hAnsi="Arial Black"/>
          <w:sz w:val="24"/>
          <w:szCs w:val="24"/>
        </w:rPr>
      </w:pPr>
    </w:p>
    <w:p w14:paraId="5C591DED" w14:textId="77777777" w:rsidR="00D33F96" w:rsidRPr="00687D28" w:rsidRDefault="00D33F96" w:rsidP="00D33F9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IL: ANGRY LT. PUSHED FEMALE LT. WALL 3 TIMES – SUSP. 24 HRS - NO PROOF FD CONDONED THIS CONDUCT</w:t>
      </w:r>
    </w:p>
    <w:p w14:paraId="61DDFFA9" w14:textId="77777777" w:rsidR="00D33F96" w:rsidRDefault="00D33F96" w:rsidP="00D33F96">
      <w:pPr>
        <w:pStyle w:val="NormalWeb"/>
      </w:pPr>
      <w:r>
        <w:t xml:space="preserve">On June 15, 2023, in </w:t>
      </w:r>
      <w:r w:rsidRPr="0096290C">
        <w:rPr>
          <w:u w:val="single"/>
        </w:rPr>
        <w:t>Michelle Giese v. City of Kankakee, Damon Schuldt and Nathan Boyce</w:t>
      </w:r>
      <w:r>
        <w:t>, the U.S. Court of Appeals for 7</w:t>
      </w:r>
      <w:r w:rsidRPr="0096290C">
        <w:rPr>
          <w:vertAlign w:val="superscript"/>
        </w:rPr>
        <w:t>th</w:t>
      </w:r>
      <w:r>
        <w:t xml:space="preserve"> Circuit (Chicago) held (3 to 0) that U.S. District Court had properly granted summary judgment to all defendants, and there was no proof FD condoning aggressive conduct or a “code of silence.” </w:t>
      </w:r>
    </w:p>
    <w:p w14:paraId="1CA5EC2F" w14:textId="77777777" w:rsidR="00D33F96" w:rsidRPr="0096290C" w:rsidRDefault="00D33F96" w:rsidP="00D33F96">
      <w:pPr>
        <w:pStyle w:val="NormalWeb"/>
      </w:pPr>
      <w:r>
        <w:t>The Court held: “</w:t>
      </w:r>
      <w:r w:rsidRPr="0096290C">
        <w:t>We are sympathetic to Giese, who continues to suffer mental and physical injuries from an attack that should never have occurred. But Giese's remedy, if any, is not in federal court.</w:t>
      </w:r>
      <w:r>
        <w:t xml:space="preserve"> *** </w:t>
      </w:r>
      <w:r w:rsidRPr="0096290C">
        <w:t xml:space="preserve">On the merits, Giese's claim fails because none of her evidence, separately or taken together, creates a genuine dispute regarding whether the defendants had </w:t>
      </w:r>
      <w:proofErr w:type="gramStart"/>
      <w:r w:rsidRPr="0096290C">
        <w:t>a practice</w:t>
      </w:r>
      <w:proofErr w:type="gramEnd"/>
      <w:r w:rsidRPr="0096290C">
        <w:t xml:space="preserve"> of condoning aggressive behavior, resulting in a constitutional injury. Although we have previously recognized that a defendant's </w:t>
      </w:r>
      <w:r>
        <w:t>‘</w:t>
      </w:r>
      <w:r w:rsidRPr="0096290C">
        <w:t>code of silence</w:t>
      </w:r>
      <w:r>
        <w:t>’</w:t>
      </w:r>
      <w:r w:rsidRPr="0096290C">
        <w:t xml:space="preserve"> can give rise to a valid </w:t>
      </w:r>
      <w:r w:rsidRPr="0096290C">
        <w:rPr>
          <w:i/>
          <w:iCs/>
        </w:rPr>
        <w:t>Monell</w:t>
      </w:r>
      <w:r w:rsidRPr="0096290C">
        <w:t xml:space="preserve"> claim, such a claim requires more than evidence of </w:t>
      </w:r>
      <w:r>
        <w:t>‘</w:t>
      </w:r>
      <w:r w:rsidRPr="0096290C">
        <w:t>individual misconduct by ... officers</w:t>
      </w:r>
      <w:r>
        <w:t>’</w:t>
      </w:r>
      <w:r w:rsidRPr="0096290C">
        <w:t xml:space="preserve">; it requires </w:t>
      </w:r>
      <w:r>
        <w:t>‘</w:t>
      </w:r>
      <w:r w:rsidRPr="0096290C">
        <w:t xml:space="preserve">a </w:t>
      </w:r>
      <w:r w:rsidRPr="0096290C">
        <w:rPr>
          <w:i/>
          <w:iCs/>
        </w:rPr>
        <w:t>widespread practice</w:t>
      </w:r>
      <w:r w:rsidRPr="0096290C">
        <w:t xml:space="preserve"> that permeates a critical mass of an institutional body.</w:t>
      </w:r>
      <w:r>
        <w:t>’</w:t>
      </w:r>
      <w:r w:rsidRPr="0096290C">
        <w:t xml:space="preserve"> </w:t>
      </w:r>
      <w:r w:rsidRPr="0096290C">
        <w:rPr>
          <w:i/>
          <w:iCs/>
        </w:rPr>
        <w:t>Rossi v. City of Chicago,</w:t>
      </w:r>
      <w:r w:rsidRPr="0096290C">
        <w:t xml:space="preserve"> 790 F.3d 729, 737 (7th Cir. 2015); </w:t>
      </w:r>
      <w:r w:rsidRPr="0096290C">
        <w:rPr>
          <w:i/>
          <w:iCs/>
        </w:rPr>
        <w:t>see also Sledd v. Lindsay</w:t>
      </w:r>
      <w:r w:rsidRPr="0096290C">
        <w:t>, 102 F.3d 282, 289 (7th Cir. 1996).</w:t>
      </w:r>
      <w:r>
        <w:t xml:space="preserve">” </w:t>
      </w:r>
      <w:hyperlink r:id="rId2729" w:history="1">
        <w:r w:rsidRPr="00812663">
          <w:rPr>
            <w:rStyle w:val="Hyperlink"/>
          </w:rPr>
          <w:t>https://caselaw.findlaw.com/court/us-7th-circuit/2204869.html</w:t>
        </w:r>
      </w:hyperlink>
      <w:r>
        <w:t xml:space="preserve"> </w:t>
      </w:r>
    </w:p>
    <w:p w14:paraId="0E0A2BA2" w14:textId="77777777" w:rsidR="00D33F96" w:rsidRPr="007B4180" w:rsidRDefault="00D33F96" w:rsidP="00D33F96">
      <w:pPr>
        <w:spacing w:before="100" w:beforeAutospacing="1" w:after="100" w:afterAutospacing="1" w:line="240" w:lineRule="auto"/>
        <w:rPr>
          <w:rFonts w:ascii="Times New Roman" w:eastAsia="Times New Roman" w:hAnsi="Times New Roman"/>
          <w:b/>
          <w:bCs/>
          <w:sz w:val="24"/>
          <w:szCs w:val="24"/>
        </w:rPr>
      </w:pPr>
      <w:r w:rsidRPr="007B4180">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Plaintiff did not have evidence to prove alleged violent workplace or “code of silence.”</w:t>
      </w:r>
    </w:p>
    <w:p w14:paraId="042F589D" w14:textId="77777777" w:rsidR="00D33F96" w:rsidRDefault="00D33F96" w:rsidP="00F326E5">
      <w:pPr>
        <w:pStyle w:val="NoSpacing"/>
        <w:rPr>
          <w:rFonts w:ascii="Arial Black" w:hAnsi="Arial Black"/>
          <w:sz w:val="24"/>
          <w:szCs w:val="24"/>
        </w:rPr>
      </w:pPr>
    </w:p>
    <w:p w14:paraId="7B0F7E38" w14:textId="77777777" w:rsidR="00D33F96" w:rsidRDefault="00D33F96" w:rsidP="00F326E5">
      <w:pPr>
        <w:pStyle w:val="NoSpacing"/>
        <w:rPr>
          <w:rFonts w:ascii="Arial Black" w:hAnsi="Arial Black"/>
          <w:sz w:val="24"/>
          <w:szCs w:val="24"/>
        </w:rPr>
      </w:pPr>
    </w:p>
    <w:p w14:paraId="307BE832" w14:textId="77777777" w:rsidR="00D33F96" w:rsidRDefault="00D33F96" w:rsidP="00F326E5">
      <w:pPr>
        <w:pStyle w:val="NoSpacing"/>
        <w:rPr>
          <w:rFonts w:ascii="Arial Black" w:hAnsi="Arial Black"/>
          <w:sz w:val="24"/>
          <w:szCs w:val="24"/>
        </w:rPr>
      </w:pPr>
    </w:p>
    <w:p w14:paraId="4EBBDE3F" w14:textId="1C6A2E38" w:rsidR="00C032D6" w:rsidRDefault="00C032D6" w:rsidP="00F326E5">
      <w:pPr>
        <w:pStyle w:val="NoSpacing"/>
        <w:rPr>
          <w:rFonts w:ascii="Arial Black" w:hAnsi="Arial Black"/>
          <w:sz w:val="24"/>
          <w:szCs w:val="24"/>
        </w:rPr>
      </w:pPr>
      <w:r>
        <w:rPr>
          <w:rFonts w:ascii="Arial Black" w:hAnsi="Arial Black"/>
          <w:sz w:val="24"/>
          <w:szCs w:val="24"/>
        </w:rPr>
        <w:t>16-87</w:t>
      </w:r>
    </w:p>
    <w:p w14:paraId="4B41C1C2" w14:textId="77777777" w:rsidR="00C032D6" w:rsidRDefault="00C032D6" w:rsidP="00C032D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U.S. SUP. CT: FACEBOOK CYBERSTALKING POSTS TO FEMALE SINGER – PROS. PROVE DEF. INTENDED THREAT</w:t>
      </w:r>
    </w:p>
    <w:p w14:paraId="34B31C0C" w14:textId="77777777" w:rsidR="00C032D6" w:rsidRDefault="00C032D6" w:rsidP="00C032D6">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June 27, 2023, in </w:t>
      </w:r>
      <w:r>
        <w:rPr>
          <w:rFonts w:ascii="Times New Roman" w:eastAsia="Times New Roman" w:hAnsi="Times New Roman"/>
          <w:sz w:val="24"/>
          <w:szCs w:val="24"/>
          <w:u w:val="single"/>
        </w:rPr>
        <w:t>Counterman v. Colorado</w:t>
      </w:r>
      <w:r>
        <w:rPr>
          <w:rFonts w:ascii="Times New Roman" w:eastAsia="Times New Roman" w:hAnsi="Times New Roman"/>
          <w:sz w:val="24"/>
          <w:szCs w:val="24"/>
        </w:rPr>
        <w:t>, the U.S. Supreme Court held (7 to 2) in an opinion by Justice Elena Kagan, that Billy Cunningham, who was convicted by a jury under state stalking statute, and sentenced to 4 ½ years in prison, after sending hundreds of Facebook posts to a local singer / musician. Several of his posts expressed anger at C. W. and envisaged harm befalling her: “Fuck off permanently….” “Staying in cyber life is going to kill you….” “You’re not being good for human relations. Die.”  The Court reversed the conviction since state prosecutors did not introduce any evidence, other than his Facebook posts, of his intentions to harm the singer.  If state decides to try him again, they must include proof that the “defendant had some understanding of his statements’ threatening character.”</w:t>
      </w:r>
      <w:r>
        <w:t xml:space="preserve"> </w:t>
      </w:r>
      <w:hyperlink r:id="rId2730" w:history="1">
        <w:r>
          <w:rPr>
            <w:rStyle w:val="Hyperlink"/>
            <w:sz w:val="24"/>
            <w:szCs w:val="24"/>
          </w:rPr>
          <w:t>https://www.supremecourt.gov/opinions/22pdf/22-138_43j7.pdf</w:t>
        </w:r>
      </w:hyperlink>
      <w:r>
        <w:rPr>
          <w:rFonts w:ascii="Times New Roman" w:eastAsia="Times New Roman" w:hAnsi="Times New Roman"/>
          <w:sz w:val="24"/>
          <w:szCs w:val="24"/>
        </w:rPr>
        <w:t xml:space="preserve"> </w:t>
      </w:r>
    </w:p>
    <w:p w14:paraId="73927333" w14:textId="77777777" w:rsidR="00C032D6" w:rsidRDefault="00C032D6" w:rsidP="00C032D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Fire &amp; EMS Departments should review employee handbooks and confirm there is a section on threatening conduct, including online posts.</w:t>
      </w:r>
    </w:p>
    <w:p w14:paraId="545A6582" w14:textId="77777777" w:rsidR="00C032D6" w:rsidRDefault="00C032D6" w:rsidP="00C032D6">
      <w:pPr>
        <w:spacing w:before="100" w:beforeAutospacing="1" w:after="100" w:afterAutospacing="1" w:line="240" w:lineRule="auto"/>
        <w:ind w:left="720"/>
        <w:rPr>
          <w:rFonts w:ascii="Times New Roman" w:hAnsi="Times New Roman"/>
          <w:kern w:val="2"/>
          <w:sz w:val="24"/>
          <w:szCs w:val="24"/>
          <w14:ligatures w14:val="standardContextual"/>
        </w:rPr>
      </w:pPr>
      <w:r>
        <w:rPr>
          <w:rFonts w:ascii="Times New Roman" w:eastAsia="Times New Roman" w:hAnsi="Times New Roman"/>
          <w:sz w:val="24"/>
          <w:szCs w:val="24"/>
        </w:rPr>
        <w:t xml:space="preserve">Note: See photo of this stalker, and the victim: </w:t>
      </w:r>
      <w:hyperlink r:id="rId2731" w:history="1">
        <w:r>
          <w:rPr>
            <w:rStyle w:val="Hyperlink"/>
            <w:sz w:val="24"/>
            <w:szCs w:val="24"/>
          </w:rPr>
          <w:t>https://www.dailymail.co.uk/news/article-12240293/Man-accused-stalking-local-Colorado-musician-stalking-conviction-tossed-Supreme-Court.html</w:t>
        </w:r>
      </w:hyperlink>
      <w:r>
        <w:rPr>
          <w:rFonts w:ascii="Times New Roman" w:eastAsia="Times New Roman" w:hAnsi="Times New Roman"/>
          <w:sz w:val="24"/>
          <w:szCs w:val="24"/>
        </w:rPr>
        <w:t xml:space="preserve">. </w:t>
      </w:r>
      <w:r>
        <w:rPr>
          <w:rFonts w:ascii="Times New Roman" w:hAnsi="Times New Roman"/>
          <w:sz w:val="24"/>
          <w:szCs w:val="24"/>
        </w:rPr>
        <w:t>“Counterman had a history of making violent threats to women and was on supervised release from one such federal conviction during the two years he continuously messaged Whalen.”</w:t>
      </w:r>
    </w:p>
    <w:p w14:paraId="2AF52157" w14:textId="77777777" w:rsidR="00C032D6" w:rsidRDefault="00C032D6" w:rsidP="00C032D6">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 xml:space="preserve">On June 30, 2023, the U.S. Supreme Court has decided another First Amendment case: </w:t>
      </w:r>
      <w:r>
        <w:rPr>
          <w:rFonts w:ascii="Times New Roman" w:hAnsi="Times New Roman"/>
          <w:sz w:val="24"/>
          <w:szCs w:val="24"/>
          <w:u w:val="single"/>
        </w:rPr>
        <w:t>303 Creative LLC et al. v. Elenis, et al</w:t>
      </w:r>
      <w:r>
        <w:rPr>
          <w:rFonts w:ascii="Times New Roman" w:hAnsi="Times New Roman"/>
          <w:sz w:val="24"/>
          <w:szCs w:val="24"/>
        </w:rPr>
        <w:t>., holding (6 to 3) that Colorado Anti-Discrimination Act (CADA) cannot require wedding website owner to design websites for gay couples.  “</w:t>
      </w:r>
      <w:r>
        <w:rPr>
          <w:rFonts w:ascii="Times New Roman" w:eastAsia="Times New Roman" w:hAnsi="Times New Roman"/>
          <w:sz w:val="24"/>
          <w:szCs w:val="24"/>
        </w:rPr>
        <w:t xml:space="preserve">Specifically, she worries that, if she enters the wedding website business, the State will force her to convey messages inconsistent with her belief that marriage should be reserved to unions between one man and one woman. *** The First Amendment envisions the United States as a rich and complex place where all persons are free to think and speak as they wish, not as the government demands. Because Colorado seeks to deny that promise, the judgment is Reversed.” </w:t>
      </w:r>
      <w:hyperlink r:id="rId2732" w:history="1">
        <w:r>
          <w:rPr>
            <w:rStyle w:val="Hyperlink"/>
            <w:sz w:val="24"/>
            <w:szCs w:val="24"/>
          </w:rPr>
          <w:t>https://www.supremecourt.gov/opinions/22pdf/21-476_c185.pdf</w:t>
        </w:r>
      </w:hyperlink>
      <w:r>
        <w:rPr>
          <w:rFonts w:ascii="Times New Roman" w:eastAsia="Times New Roman" w:hAnsi="Times New Roman"/>
          <w:sz w:val="24"/>
          <w:szCs w:val="24"/>
        </w:rPr>
        <w:t xml:space="preserve"> </w:t>
      </w:r>
    </w:p>
    <w:p w14:paraId="190CDCC7" w14:textId="77777777" w:rsidR="00C032D6" w:rsidRDefault="00C032D6" w:rsidP="00C032D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Online threatening conduct can take many forms.  On June 30, 2023, a former Deputy U.S. Marshal was sentenced to 10 years in prison for cyberstalking, perjury and obstruction. </w:t>
      </w:r>
      <w:hyperlink r:id="rId2733" w:history="1">
        <w:r>
          <w:rPr>
            <w:rStyle w:val="Hyperlink"/>
            <w:sz w:val="24"/>
            <w:szCs w:val="24"/>
          </w:rPr>
          <w:t>https://www.justice.gov/opa/pr/former-deputy-us-marshal-sentenced-cyberstalking-perjury-and-obstruction</w:t>
        </w:r>
      </w:hyperlink>
      <w:r>
        <w:rPr>
          <w:rFonts w:ascii="Times New Roman" w:eastAsia="Times New Roman" w:hAnsi="Times New Roman"/>
          <w:sz w:val="24"/>
          <w:szCs w:val="24"/>
        </w:rPr>
        <w:t xml:space="preserve"> </w:t>
      </w:r>
    </w:p>
    <w:p w14:paraId="1D7E6D6D" w14:textId="77777777" w:rsidR="00C032D6" w:rsidRDefault="00C032D6" w:rsidP="00C032D6">
      <w:pPr>
        <w:spacing w:before="100" w:beforeAutospacing="1" w:after="100" w:afterAutospacing="1" w:line="240" w:lineRule="auto"/>
        <w:ind w:left="1440"/>
        <w:rPr>
          <w:rFonts w:ascii="Times New Roman" w:hAnsi="Times New Roman"/>
          <w:kern w:val="2"/>
          <w:sz w:val="24"/>
          <w:szCs w:val="24"/>
          <w14:ligatures w14:val="standardContextual"/>
        </w:rPr>
      </w:pPr>
      <w:r>
        <w:rPr>
          <w:rFonts w:ascii="Times New Roman" w:hAnsi="Times New Roman"/>
          <w:sz w:val="24"/>
          <w:szCs w:val="24"/>
        </w:rPr>
        <w:t xml:space="preserve">“According to court documents and evidence presented at trial, Ian R. Diaz, 45, of Glendora, California, and his then-wife, an unindicted co-conspirator (CC-1), posed as a person with whom Diaz was formerly in a relationship (Jane Doe). In that guise, they sent themselves harassing and threatening electronic communications that contained apparent threats to harm CC-1; solicited and lured men found through Craigslist ‘personal’ advertisements to engage in so-called ‘rape fantasies’ in an attempt to stage a purported sexual assault on CC-1 orchestrated by Jane Doe; and staged one or more hoax sexual assaults and attempted sexual assaults on CC-1. Diaz and CC-1 then reported this conduct to local law enforcement, falsely claiming that Jane Doe posed a genuine and serious threat to Diaz and CC-1. Their actions caused local law enforcement to arrest, charge, and detain Jane Doe in jail for nearly three months for conduct for which Diaz and CC-1 framed </w:t>
      </w:r>
      <w:proofErr w:type="gramStart"/>
      <w:r>
        <w:rPr>
          <w:rFonts w:ascii="Times New Roman" w:hAnsi="Times New Roman"/>
          <w:sz w:val="24"/>
          <w:szCs w:val="24"/>
        </w:rPr>
        <w:t>her.”</w:t>
      </w:r>
      <w:proofErr w:type="gramEnd"/>
    </w:p>
    <w:p w14:paraId="2533B209" w14:textId="77777777" w:rsidR="00C032D6" w:rsidRDefault="00C032D6" w:rsidP="00F326E5">
      <w:pPr>
        <w:pStyle w:val="NoSpacing"/>
        <w:rPr>
          <w:rFonts w:ascii="Arial Black" w:hAnsi="Arial Black"/>
          <w:sz w:val="24"/>
          <w:szCs w:val="24"/>
        </w:rPr>
      </w:pPr>
    </w:p>
    <w:p w14:paraId="65A53843" w14:textId="77777777" w:rsidR="00C032D6" w:rsidRDefault="00C032D6" w:rsidP="00F326E5">
      <w:pPr>
        <w:pStyle w:val="NoSpacing"/>
        <w:rPr>
          <w:rFonts w:ascii="Arial Black" w:hAnsi="Arial Black"/>
          <w:sz w:val="24"/>
          <w:szCs w:val="24"/>
        </w:rPr>
      </w:pPr>
    </w:p>
    <w:p w14:paraId="69EE7B23" w14:textId="77777777" w:rsidR="00C032D6" w:rsidRDefault="00C032D6" w:rsidP="00F326E5">
      <w:pPr>
        <w:pStyle w:val="NoSpacing"/>
        <w:rPr>
          <w:rFonts w:ascii="Arial Black" w:hAnsi="Arial Black"/>
          <w:sz w:val="24"/>
          <w:szCs w:val="24"/>
        </w:rPr>
      </w:pPr>
    </w:p>
    <w:p w14:paraId="46092BEC" w14:textId="0E6C4061" w:rsidR="00A01262" w:rsidRDefault="00A01262" w:rsidP="00F326E5">
      <w:pPr>
        <w:pStyle w:val="NoSpacing"/>
        <w:rPr>
          <w:rFonts w:ascii="Arial Black" w:hAnsi="Arial Black"/>
          <w:sz w:val="24"/>
          <w:szCs w:val="24"/>
        </w:rPr>
      </w:pPr>
      <w:r>
        <w:rPr>
          <w:rFonts w:ascii="Arial Black" w:hAnsi="Arial Black"/>
          <w:sz w:val="24"/>
          <w:szCs w:val="24"/>
        </w:rPr>
        <w:t>16-86</w:t>
      </w:r>
    </w:p>
    <w:p w14:paraId="0B6CEF60" w14:textId="77777777" w:rsidR="00A01262" w:rsidRDefault="00A01262" w:rsidP="00F326E5">
      <w:pPr>
        <w:pStyle w:val="NoSpacing"/>
        <w:rPr>
          <w:rFonts w:ascii="Arial Black" w:hAnsi="Arial Black"/>
          <w:sz w:val="24"/>
          <w:szCs w:val="24"/>
        </w:rPr>
      </w:pPr>
    </w:p>
    <w:p w14:paraId="2E3F3D83" w14:textId="77777777" w:rsidR="00A01262" w:rsidRDefault="00A01262" w:rsidP="00A01262">
      <w:pPr>
        <w:pStyle w:val="NormalWeb"/>
        <w:rPr>
          <w:b/>
          <w:bCs/>
        </w:rPr>
      </w:pPr>
      <w:bookmarkStart w:id="592" w:name="_Hlk136860992"/>
      <w:r>
        <w:rPr>
          <w:rFonts w:ascii="Arial Black" w:hAnsi="Arial Black"/>
          <w:b/>
          <w:bCs/>
          <w:sz w:val="28"/>
          <w:szCs w:val="28"/>
        </w:rPr>
        <w:t>TX: HOUSTON ROCKETS PLAYER DROVE HIGH-WATER VEHICLE / SIREN – D/C SUSP. 3 DAYS NOT REPORTING</w:t>
      </w:r>
    </w:p>
    <w:bookmarkEnd w:id="592"/>
    <w:p w14:paraId="4B2783AF" w14:textId="77777777" w:rsidR="00A01262" w:rsidRDefault="00A01262" w:rsidP="00A01262">
      <w:pPr>
        <w:pStyle w:val="NormalWeb"/>
      </w:pPr>
      <w:r w:rsidRPr="00DB6B29">
        <w:t xml:space="preserve">On May 23, 2023, in </w:t>
      </w:r>
      <w:r w:rsidRPr="00DB6B29">
        <w:rPr>
          <w:u w:val="single"/>
        </w:rPr>
        <w:t>City of Houston v. Steven M. Dunbar</w:t>
      </w:r>
      <w:r>
        <w:t xml:space="preserve">, the Court of Appeals of Texas, Fourteenth District, held (3 to 1) that the 3-day suspension without pay for not submitting formal report of the incident was properly upheld by Civil Service Commission. The Court of Appeals reversed a District Court judge who had held a “trial de novo” and overturned the suspension.  </w:t>
      </w:r>
      <w:hyperlink r:id="rId2734" w:history="1">
        <w:r w:rsidRPr="009A7773">
          <w:rPr>
            <w:rStyle w:val="Hyperlink"/>
            <w:rFonts w:eastAsiaTheme="majorEastAsia"/>
          </w:rPr>
          <w:t>https://public.fastcase.com/ZZhmr5v9wN%2FXOe5IsQ%2FqD%2FO0LT6Pz0KJcARt671qvqgQi3DbocRDtQ4betl84jRGTGzfHSJMEalmGTdX9780fy05zDa4clbi%2BS%2BLkJBZYf4%3D?utm_medium=email&amp;_hsmi=226712652&amp;_hsenc=p2ANqtz-9l-n7ipvtzcORFmZd03PYol8SHQvcVi0Z6evQ7ScfpqYiZ21zByukFjNZtNWzEIrK0lXEwA0RlErFoyPgnUEJbLhoGpw&amp;utm_content=226712652&amp;utm_source=hs_email</w:t>
        </w:r>
      </w:hyperlink>
      <w:r>
        <w:t xml:space="preserve"> </w:t>
      </w:r>
    </w:p>
    <w:p w14:paraId="45F3BA26" w14:textId="77777777" w:rsidR="00A01262" w:rsidRDefault="00A01262" w:rsidP="00A01262">
      <w:pPr>
        <w:pStyle w:val="NormalWeb"/>
        <w:ind w:left="720"/>
      </w:pPr>
      <w:r>
        <w:t xml:space="preserve">“Dunbar nonetheless argues he had no duty to report the conduct he witnessed. Dunbar first argues that he did not have enough information to report any violation ‘by well-sustained charges,’ as prescribed by section 6.06. The evidence, however, shows that Dunbar witnessed a Houston Rockets player driving a high-water vehicle despite his knowledge that such vehicles could only be driven by HFD members with specific credentials, which would appear to be substantial evidence of a violation of the provisions listed above. Dunbar further argues that he could not determine whether a violation had taken place because he was aware of other events at which athletes had ridden on or driven HFD vehicles. Evidence of such incidents, however, does not dispel substantial evidence of a reportable violation in this </w:t>
      </w:r>
      <w:proofErr w:type="gramStart"/>
      <w:r>
        <w:t>instance.”</w:t>
      </w:r>
      <w:proofErr w:type="gramEnd"/>
      <w:r w:rsidRPr="00137F5F">
        <w:t xml:space="preserve"> </w:t>
      </w:r>
    </w:p>
    <w:p w14:paraId="0D09FDE5" w14:textId="77777777" w:rsidR="00A01262" w:rsidRPr="00137F5F" w:rsidRDefault="00A01262" w:rsidP="00A01262">
      <w:pPr>
        <w:pStyle w:val="NormalWeb"/>
        <w:rPr>
          <w:b/>
          <w:bCs/>
        </w:rPr>
      </w:pPr>
      <w:r w:rsidRPr="00137F5F">
        <w:rPr>
          <w:b/>
          <w:bCs/>
        </w:rPr>
        <w:t xml:space="preserve">Legal Lesson Learned:  </w:t>
      </w:r>
      <w:r>
        <w:rPr>
          <w:b/>
          <w:bCs/>
        </w:rPr>
        <w:t xml:space="preserve">Do not allow civilians to drive your apparatus, including professional athletes at a PR event. </w:t>
      </w:r>
    </w:p>
    <w:p w14:paraId="2FB42D6B" w14:textId="77777777" w:rsidR="00A01262" w:rsidRDefault="00A01262" w:rsidP="00F326E5">
      <w:pPr>
        <w:pStyle w:val="NoSpacing"/>
        <w:rPr>
          <w:rFonts w:ascii="Arial Black" w:hAnsi="Arial Black"/>
          <w:sz w:val="24"/>
          <w:szCs w:val="24"/>
        </w:rPr>
      </w:pPr>
    </w:p>
    <w:p w14:paraId="7B49B0FE" w14:textId="77777777" w:rsidR="00A01262" w:rsidRDefault="00A01262" w:rsidP="00F326E5">
      <w:pPr>
        <w:pStyle w:val="NoSpacing"/>
        <w:rPr>
          <w:rFonts w:ascii="Arial Black" w:hAnsi="Arial Black"/>
          <w:sz w:val="24"/>
          <w:szCs w:val="24"/>
        </w:rPr>
      </w:pPr>
    </w:p>
    <w:p w14:paraId="34ADBA42" w14:textId="68E6DA18" w:rsidR="006A02A4" w:rsidRDefault="006A02A4" w:rsidP="00F326E5">
      <w:pPr>
        <w:pStyle w:val="NoSpacing"/>
        <w:rPr>
          <w:rFonts w:ascii="Arial Black" w:hAnsi="Arial Black"/>
          <w:sz w:val="24"/>
          <w:szCs w:val="24"/>
        </w:rPr>
      </w:pPr>
      <w:r>
        <w:rPr>
          <w:rFonts w:ascii="Arial Black" w:hAnsi="Arial Black"/>
          <w:sz w:val="24"/>
          <w:szCs w:val="24"/>
        </w:rPr>
        <w:t>16-85</w:t>
      </w:r>
    </w:p>
    <w:p w14:paraId="260DA05A" w14:textId="77777777" w:rsidR="006A02A4" w:rsidRDefault="006A02A4" w:rsidP="006A02A4">
      <w:pPr>
        <w:pStyle w:val="NoSpacing"/>
        <w:rPr>
          <w:rStyle w:val="Emphasis"/>
          <w:rFonts w:ascii="Arial Black" w:hAnsi="Arial Black"/>
          <w:i w:val="0"/>
          <w:iCs w:val="0"/>
          <w:sz w:val="28"/>
          <w:szCs w:val="28"/>
        </w:rPr>
      </w:pPr>
    </w:p>
    <w:p w14:paraId="0B1723DE" w14:textId="57F67C5B" w:rsidR="006A02A4" w:rsidRPr="006A02A4" w:rsidRDefault="006A02A4" w:rsidP="006A02A4">
      <w:pPr>
        <w:pStyle w:val="NoSpacing"/>
        <w:rPr>
          <w:rStyle w:val="Emphasis"/>
          <w:rFonts w:ascii="Arial Black" w:hAnsi="Arial Black"/>
          <w:i w:val="0"/>
          <w:iCs w:val="0"/>
          <w:sz w:val="28"/>
          <w:szCs w:val="28"/>
        </w:rPr>
      </w:pPr>
      <w:r w:rsidRPr="006A02A4">
        <w:rPr>
          <w:rStyle w:val="Emphasis"/>
          <w:rFonts w:ascii="Arial Black" w:hAnsi="Arial Black"/>
          <w:i w:val="0"/>
          <w:iCs w:val="0"/>
          <w:sz w:val="28"/>
          <w:szCs w:val="28"/>
        </w:rPr>
        <w:t>IL (4/19/2023) – POLICE DISPATCHER FIRED – CONV. RESISTING PD – NO PD ENTRY HOME DISPUTE WITH KIDS</w:t>
      </w:r>
    </w:p>
    <w:p w14:paraId="11C7AB3B" w14:textId="77777777" w:rsidR="006A02A4" w:rsidRPr="006A02A4" w:rsidRDefault="006A02A4" w:rsidP="006A02A4">
      <w:pPr>
        <w:pStyle w:val="NoSpacing"/>
      </w:pPr>
    </w:p>
    <w:p w14:paraId="715CAAF3" w14:textId="77B7AEFE" w:rsidR="006A02A4" w:rsidRDefault="006A02A4" w:rsidP="00F326E5">
      <w:pPr>
        <w:pStyle w:val="NoSpacing"/>
        <w:rPr>
          <w:rFonts w:ascii="Arial Black" w:hAnsi="Arial Black"/>
          <w:sz w:val="24"/>
          <w:szCs w:val="24"/>
        </w:rPr>
      </w:pPr>
      <w:r w:rsidRPr="003C1643">
        <w:rPr>
          <w:rFonts w:ascii="Times New Roman" w:hAnsi="Times New Roman"/>
          <w:sz w:val="24"/>
          <w:szCs w:val="24"/>
          <w:u w:val="single"/>
        </w:rPr>
        <w:t xml:space="preserve">Nancy McDonald v. </w:t>
      </w:r>
      <w:proofErr w:type="spellStart"/>
      <w:r w:rsidRPr="003C1643">
        <w:rPr>
          <w:rFonts w:ascii="Times New Roman" w:hAnsi="Times New Roman"/>
          <w:sz w:val="24"/>
          <w:szCs w:val="24"/>
          <w:u w:val="single"/>
        </w:rPr>
        <w:t>Dupage</w:t>
      </w:r>
      <w:proofErr w:type="spellEnd"/>
      <w:r w:rsidRPr="003C1643">
        <w:rPr>
          <w:rFonts w:ascii="Times New Roman" w:hAnsi="Times New Roman"/>
          <w:sz w:val="24"/>
          <w:szCs w:val="24"/>
          <w:u w:val="single"/>
        </w:rPr>
        <w:t xml:space="preserve"> Public Safety Communications d/b/a Du-Comm</w:t>
      </w:r>
      <w:r w:rsidRPr="003C1643">
        <w:rPr>
          <w:rFonts w:ascii="Times New Roman" w:hAnsi="Times New Roman"/>
          <w:sz w:val="24"/>
          <w:szCs w:val="24"/>
        </w:rPr>
        <w:t xml:space="preserve">, U.S. District Court Judge Charles P. </w:t>
      </w:r>
      <w:proofErr w:type="spellStart"/>
      <w:r w:rsidRPr="003C1643">
        <w:rPr>
          <w:rFonts w:ascii="Times New Roman" w:hAnsi="Times New Roman"/>
          <w:sz w:val="24"/>
          <w:szCs w:val="24"/>
        </w:rPr>
        <w:t>Kocoras</w:t>
      </w:r>
      <w:proofErr w:type="spellEnd"/>
      <w:r w:rsidRPr="003C1643">
        <w:rPr>
          <w:rFonts w:ascii="Times New Roman" w:hAnsi="Times New Roman"/>
          <w:sz w:val="24"/>
          <w:szCs w:val="24"/>
        </w:rPr>
        <w:t xml:space="preserve">, U.S. District Court for Northern District of Illinois, Eastern Division.  </w:t>
      </w:r>
    </w:p>
    <w:p w14:paraId="4D44A7B5" w14:textId="77777777" w:rsidR="006A02A4" w:rsidRPr="003C1643" w:rsidRDefault="006A02A4" w:rsidP="006A02A4">
      <w:pPr>
        <w:pStyle w:val="NoSpacing"/>
        <w:rPr>
          <w:rFonts w:ascii="Times New Roman" w:hAnsi="Times New Roman"/>
          <w:sz w:val="24"/>
          <w:szCs w:val="24"/>
        </w:rPr>
      </w:pPr>
      <w:hyperlink r:id="rId2735" w:history="1">
        <w:r w:rsidRPr="003C1643">
          <w:rPr>
            <w:rStyle w:val="Hyperlink"/>
            <w:rFonts w:ascii="Times New Roman" w:hAnsi="Times New Roman"/>
            <w:sz w:val="24"/>
            <w:szCs w:val="24"/>
          </w:rPr>
          <w:t>https://public.fastcase.com/ZZhmr5v9wN%2FXOe5IsQ%2FqD%2FbRI5yk0CTLrJ1wUlp23a2jtoF9iRGzOsDdRZIWd9GyXFY2izvgsnflzL0%2FFWSL%2FPpsQUa%2FiEphINoTWEFNJVE%3D?utm_medium=email&amp;_hsmi=226712652&amp;_hsenc=p2ANqtz-8tSxN7q872uN51HDKRs8bBT2KkYc5se6Y34IcB-qusszHk_1kcdMtqv3s-tJTiEGYg-zZ48WEGXoPe6gX9Sz_hnuHHnA&amp;utm_content=226712652&amp;utm_source=hs_email</w:t>
        </w:r>
      </w:hyperlink>
      <w:r w:rsidRPr="003C1643">
        <w:rPr>
          <w:rFonts w:ascii="Times New Roman" w:hAnsi="Times New Roman"/>
          <w:sz w:val="24"/>
          <w:szCs w:val="24"/>
        </w:rPr>
        <w:t xml:space="preserve"> </w:t>
      </w:r>
    </w:p>
    <w:p w14:paraId="5DE2AEB5" w14:textId="77777777" w:rsidR="006A02A4" w:rsidRPr="003C1643" w:rsidRDefault="006A02A4" w:rsidP="006A02A4">
      <w:pPr>
        <w:pStyle w:val="NormalWeb"/>
        <w:rPr>
          <w:b/>
          <w:bCs/>
        </w:rPr>
      </w:pPr>
      <w:r w:rsidRPr="003C1643">
        <w:rPr>
          <w:b/>
          <w:bCs/>
        </w:rPr>
        <w:t xml:space="preserve">Legal Lesson Learned: A police dispatcher must avoid conduct leading to arrest for obstructing police. </w:t>
      </w:r>
    </w:p>
    <w:p w14:paraId="37EDCE52" w14:textId="77777777" w:rsidR="006A02A4" w:rsidRDefault="006A02A4" w:rsidP="00F326E5">
      <w:pPr>
        <w:pStyle w:val="NoSpacing"/>
        <w:rPr>
          <w:rFonts w:ascii="Arial Black" w:hAnsi="Arial Black"/>
          <w:sz w:val="24"/>
          <w:szCs w:val="24"/>
        </w:rPr>
      </w:pPr>
    </w:p>
    <w:p w14:paraId="5BEC1FA8" w14:textId="77777777" w:rsidR="006A02A4" w:rsidRDefault="006A02A4" w:rsidP="00F326E5">
      <w:pPr>
        <w:pStyle w:val="NoSpacing"/>
        <w:rPr>
          <w:rFonts w:ascii="Arial Black" w:hAnsi="Arial Black"/>
          <w:sz w:val="24"/>
          <w:szCs w:val="24"/>
        </w:rPr>
      </w:pPr>
    </w:p>
    <w:p w14:paraId="37AA26D6" w14:textId="3910FDFA" w:rsidR="007F5C26" w:rsidRDefault="00D66BAA" w:rsidP="00F326E5">
      <w:pPr>
        <w:pStyle w:val="NoSpacing"/>
        <w:rPr>
          <w:rFonts w:ascii="Arial Black" w:hAnsi="Arial Black"/>
          <w:sz w:val="24"/>
          <w:szCs w:val="24"/>
        </w:rPr>
      </w:pPr>
      <w:r>
        <w:rPr>
          <w:rFonts w:ascii="Arial Black" w:hAnsi="Arial Black"/>
          <w:sz w:val="24"/>
          <w:szCs w:val="24"/>
        </w:rPr>
        <w:t>16-84</w:t>
      </w:r>
    </w:p>
    <w:p w14:paraId="23F3B2E3" w14:textId="77777777" w:rsidR="00D66BAA" w:rsidRDefault="00D66BAA" w:rsidP="00D66BAA">
      <w:pPr>
        <w:pStyle w:val="NormalWeb"/>
        <w:rPr>
          <w:rFonts w:ascii="Arial Black" w:hAnsi="Arial Black" w:cs="Arial"/>
          <w:sz w:val="28"/>
          <w:szCs w:val="28"/>
        </w:rPr>
      </w:pPr>
      <w:r>
        <w:rPr>
          <w:rFonts w:ascii="Arial Black" w:hAnsi="Arial Black" w:cs="Arial"/>
          <w:sz w:val="28"/>
          <w:szCs w:val="28"/>
        </w:rPr>
        <w:t>FL: FIRE CHIEF HAS “ABSOLUTE IMMUNITY” DEFAMATION – 6 FF FIRED DEFACING BLACK LT’s FAMILY PICTURES</w:t>
      </w:r>
    </w:p>
    <w:p w14:paraId="5722628A" w14:textId="77777777" w:rsidR="00D66BAA" w:rsidRDefault="00D66BAA" w:rsidP="00D66BAA">
      <w:pPr>
        <w:pStyle w:val="NormalWeb"/>
      </w:pPr>
      <w:r>
        <w:t xml:space="preserve">On March 24, 2023, the Florida Supreme Court declined to hear the appeal of three firefighters, who were part of a group of six fired on Nov. 1, 2017. </w:t>
      </w:r>
      <w:hyperlink r:id="rId2736" w:history="1">
        <w:r>
          <w:rPr>
            <w:rStyle w:val="Hyperlink"/>
          </w:rPr>
          <w:t>https://public.fastcase.com/ppbqSQpNDaJE%2F8PlIk0b8GrZRoSxZNSyZ1IPMsly8LQqd8zJpEjl6u9Blu91YAS9</w:t>
        </w:r>
      </w:hyperlink>
      <w:r>
        <w:t xml:space="preserve">.  Three firefighters won their jobs back after arbitration and then sued the Fire Chief and City for defamation.  They alleged they were put in a false light when the Fire Chief issued a Press Release with their photos, and held a Press Conference that connected the three firefighters (A-Shift firefighters) not only with drawing of the phallic images on the family photos of a Black Lieutenant (occurred on Sept. 9, 2017, A-Shift), but also falsely connected them with and the placing of a string shaped like a noose over one of the Lt’s family photos (Sept. 10, 2017, B-Shift firefighters). </w:t>
      </w:r>
    </w:p>
    <w:p w14:paraId="5D2B2B30" w14:textId="77777777" w:rsidR="00D66BAA" w:rsidRDefault="00D66BAA" w:rsidP="00D66BAA">
      <w:pPr>
        <w:pStyle w:val="NormalWeb"/>
        <w:ind w:left="720"/>
      </w:pPr>
      <w:r>
        <w:t xml:space="preserve">The State Supreme Court thereby declined to set aside the Florida Third District Court of Appeals decision on Aug. 24, </w:t>
      </w:r>
      <w:proofErr w:type="gramStart"/>
      <w:r>
        <w:t>2022</w:t>
      </w:r>
      <w:proofErr w:type="gramEnd"/>
      <w:r>
        <w:t xml:space="preserve"> which held Fire Chief enjoys “absolute immunity” from defamation lawsuit.  Court of Appeals held (3 to 0), “In Florida, public officials are </w:t>
      </w:r>
      <w:proofErr w:type="gramStart"/>
      <w:r>
        <w:t>absolutely immune</w:t>
      </w:r>
      <w:proofErr w:type="gramEnd"/>
      <w:r>
        <w:t xml:space="preserve"> from suit for defamation </w:t>
      </w:r>
      <w:proofErr w:type="gramStart"/>
      <w:r>
        <w:t>as long as</w:t>
      </w:r>
      <w:proofErr w:type="gramEnd"/>
      <w:r>
        <w:t xml:space="preserve"> their allegedly defamatory statements were made within the scope of their duties….Here, Chief </w:t>
      </w:r>
      <w:proofErr w:type="spellStart"/>
      <w:r>
        <w:t>Zahralban</w:t>
      </w:r>
      <w:proofErr w:type="spellEnd"/>
      <w:r>
        <w:t xml:space="preserve"> is the director of the City’s fire-rescue department…. Therefore, Chief </w:t>
      </w:r>
      <w:proofErr w:type="spellStart"/>
      <w:r>
        <w:t>Zahralban</w:t>
      </w:r>
      <w:proofErr w:type="spellEnd"/>
      <w:r>
        <w:t xml:space="preserve"> and the City are </w:t>
      </w:r>
      <w:proofErr w:type="gramStart"/>
      <w:r>
        <w:t>absolutely immune</w:t>
      </w:r>
      <w:proofErr w:type="gramEnd"/>
      <w:r>
        <w:t xml:space="preserve"> from suit for Chief Zahralban’s written and oral statements relating to the City’s termination of the Respondents as the statements were made within the scope of Chief Zahralban’s duties as the director of the City’s fire-rescue department.” </w:t>
      </w:r>
      <w:hyperlink r:id="rId2737" w:history="1">
        <w:r>
          <w:rPr>
            <w:rStyle w:val="Hyperlink"/>
          </w:rPr>
          <w:t>https://law.justia.com/cases/florida/third-district-court-of-appeal/2022/3d21-2413.html</w:t>
        </w:r>
      </w:hyperlink>
      <w:r>
        <w:t xml:space="preserve"> </w:t>
      </w:r>
    </w:p>
    <w:p w14:paraId="5C24AF38" w14:textId="77777777" w:rsidR="00D66BAA" w:rsidRDefault="00D66BAA" w:rsidP="00D66BAA">
      <w:pPr>
        <w:pStyle w:val="NormalWeb"/>
        <w:ind w:left="720"/>
      </w:pPr>
      <w:r>
        <w:t xml:space="preserve">The Fire Chief issued a written Press Release on Nov. 2, 2017, and held a Press Conference on Nov. 3. The written Press Release stated, in part, as follows: </w:t>
      </w:r>
    </w:p>
    <w:p w14:paraId="0662EEEF" w14:textId="77777777" w:rsidR="00D66BAA" w:rsidRDefault="00D66BAA" w:rsidP="00D66BAA">
      <w:pPr>
        <w:pStyle w:val="NormalWeb"/>
        <w:ind w:left="1440"/>
      </w:pPr>
      <w:r>
        <w:t xml:space="preserve">“On September 9th, 2017, a member with the City of Miami Fire Rescue was a victim of a hideous, distasteful act of hate in one of our fire stations. This </w:t>
      </w:r>
      <w:proofErr w:type="gramStart"/>
      <w:r>
        <w:t>Lieutenant of</w:t>
      </w:r>
      <w:proofErr w:type="gramEnd"/>
      <w:r>
        <w:t xml:space="preserve"> 17 </w:t>
      </w:r>
      <w:proofErr w:type="gramStart"/>
      <w:r>
        <w:t>years with the department</w:t>
      </w:r>
      <w:proofErr w:type="gramEnd"/>
      <w:r>
        <w:t xml:space="preserve">, discovered his family photos were defaced with lewd and sexually explicit renderings and a </w:t>
      </w:r>
      <w:proofErr w:type="gramStart"/>
      <w:r>
        <w:t>noose</w:t>
      </w:r>
      <w:proofErr w:type="gramEnd"/>
      <w:r>
        <w:t xml:space="preserve"> draped over one [of] the photos. This was immediately reported to my staff and as a result, I personally responded to the station. Appalled by my observation, I immediately requested the Miami Police Department investigate the matter and temporarily transferred all personnel assigned to that station, </w:t>
      </w:r>
      <w:proofErr w:type="gramStart"/>
      <w:r>
        <w:t>per</w:t>
      </w:r>
      <w:proofErr w:type="gramEnd"/>
      <w:r>
        <w:t xml:space="preserve"> our department policy. During the investigation, findings determined eleven (11) personnel had some involvement with the incident and they were relieved of duty. Additional evidence discovered identified six (6) of those individuals directly involved and swift administrative action was implemented. Under my authority, a Captain, a Lieutenant and 4 firefighters were terminated for offenses surrounding egregious and hateful conduct.”</w:t>
      </w:r>
    </w:p>
    <w:p w14:paraId="1C74F668" w14:textId="77777777" w:rsidR="00D66BAA" w:rsidRDefault="00D66BAA" w:rsidP="00D66BAA">
      <w:pPr>
        <w:pStyle w:val="NormalWeb"/>
        <w:rPr>
          <w:b/>
          <w:bCs/>
        </w:rPr>
      </w:pPr>
      <w:r>
        <w:rPr>
          <w:b/>
          <w:bCs/>
        </w:rPr>
        <w:t xml:space="preserve">Legal Lesson Learned: Helpful Florida decision about a “hideous, distasteful act of hate.” </w:t>
      </w:r>
    </w:p>
    <w:p w14:paraId="4E1DB45E" w14:textId="77777777" w:rsidR="00D66BAA" w:rsidRDefault="00D66BAA" w:rsidP="00D66BAA">
      <w:pPr>
        <w:pStyle w:val="Heading1"/>
        <w:ind w:left="720"/>
        <w:rPr>
          <w:b w:val="0"/>
          <w:bCs w:val="0"/>
          <w:sz w:val="24"/>
          <w:szCs w:val="24"/>
        </w:rPr>
      </w:pPr>
      <w:r>
        <w:rPr>
          <w:b w:val="0"/>
          <w:bCs w:val="0"/>
          <w:sz w:val="24"/>
          <w:szCs w:val="24"/>
        </w:rPr>
        <w:t xml:space="preserve">Note: See March 27, </w:t>
      </w:r>
      <w:proofErr w:type="gramStart"/>
      <w:r>
        <w:rPr>
          <w:b w:val="0"/>
          <w:bCs w:val="0"/>
          <w:sz w:val="24"/>
          <w:szCs w:val="24"/>
        </w:rPr>
        <w:t>2023</w:t>
      </w:r>
      <w:proofErr w:type="gramEnd"/>
      <w:r>
        <w:rPr>
          <w:b w:val="0"/>
          <w:bCs w:val="0"/>
          <w:sz w:val="24"/>
          <w:szCs w:val="24"/>
        </w:rPr>
        <w:t xml:space="preserve"> Press Coverage: “Florida Supreme Court turns down Miami firefighter defamation case.” </w:t>
      </w:r>
      <w:hyperlink r:id="rId2738" w:history="1">
        <w:r>
          <w:rPr>
            <w:rStyle w:val="Hyperlink"/>
            <w:b w:val="0"/>
            <w:bCs w:val="0"/>
            <w:sz w:val="24"/>
            <w:szCs w:val="24"/>
          </w:rPr>
          <w:t>https://www.cbsnews.com/miami/news/florida-supreme-court-turns-down-miami-firefighter-defamation-case/</w:t>
        </w:r>
      </w:hyperlink>
      <w:r>
        <w:rPr>
          <w:b w:val="0"/>
          <w:bCs w:val="0"/>
          <w:sz w:val="24"/>
          <w:szCs w:val="24"/>
        </w:rPr>
        <w:t xml:space="preserve"> </w:t>
      </w:r>
    </w:p>
    <w:p w14:paraId="649D6A04" w14:textId="77777777" w:rsidR="00D66BAA" w:rsidRDefault="00D66BAA" w:rsidP="00D66BAA">
      <w:pPr>
        <w:pStyle w:val="NormalWeb"/>
      </w:pPr>
    </w:p>
    <w:p w14:paraId="342253C0" w14:textId="33E8A81E" w:rsidR="00D66BAA" w:rsidRDefault="00D66BAA" w:rsidP="00F326E5">
      <w:pPr>
        <w:pStyle w:val="NoSpacing"/>
        <w:rPr>
          <w:rFonts w:ascii="Arial Black" w:hAnsi="Arial Black"/>
          <w:sz w:val="24"/>
          <w:szCs w:val="24"/>
        </w:rPr>
      </w:pPr>
      <w:r>
        <w:rPr>
          <w:rFonts w:ascii="Arial Black" w:hAnsi="Arial Black"/>
          <w:sz w:val="24"/>
          <w:szCs w:val="24"/>
        </w:rPr>
        <w:t>16-83</w:t>
      </w:r>
    </w:p>
    <w:p w14:paraId="7F866694" w14:textId="621A3A3E" w:rsidR="00D66BAA" w:rsidRDefault="00D66BAA" w:rsidP="00F326E5">
      <w:pPr>
        <w:pStyle w:val="NoSpacing"/>
        <w:rPr>
          <w:rFonts w:ascii="Arial Black" w:hAnsi="Arial Black"/>
          <w:sz w:val="24"/>
          <w:szCs w:val="24"/>
        </w:rPr>
      </w:pPr>
    </w:p>
    <w:p w14:paraId="5DC9089D" w14:textId="77777777" w:rsidR="00D66BAA" w:rsidRDefault="00D66BAA" w:rsidP="00D66BAA">
      <w:pPr>
        <w:pStyle w:val="NormalWeb"/>
        <w:rPr>
          <w:rFonts w:ascii="Arial Black" w:hAnsi="Arial Black"/>
          <w:sz w:val="28"/>
          <w:szCs w:val="28"/>
        </w:rPr>
      </w:pPr>
      <w:r>
        <w:rPr>
          <w:rFonts w:ascii="Arial Black" w:hAnsi="Arial Black"/>
          <w:sz w:val="28"/>
          <w:szCs w:val="28"/>
        </w:rPr>
        <w:t>TN:  FF CONV. ASSAULT WITH .38 - FIRED – LIMITED CROSS-EXAM CHIEF OTHER FF DISCIPLINE WAS APPROPRIATE</w:t>
      </w:r>
    </w:p>
    <w:p w14:paraId="045C5504" w14:textId="77777777" w:rsidR="00D66BAA" w:rsidRDefault="00D66BAA" w:rsidP="00D66BAA">
      <w:pPr>
        <w:pStyle w:val="NormalWeb"/>
      </w:pPr>
      <w:r>
        <w:t xml:space="preserve">On March 21, 2023, in </w:t>
      </w:r>
      <w:r>
        <w:rPr>
          <w:u w:val="single"/>
        </w:rPr>
        <w:t>Paul Zachary Moss v. Shelby County Civil Service Merit Board</w:t>
      </w:r>
      <w:r>
        <w:t xml:space="preserve">, the Supreme Court of Tennessee, held (5 to 0) that the Civil Service Board properly limited cross-examination of the Fire Chief after he testified about his “uniform” policy of terminating firefighters convicted of misuse of firearms. The Court noted that at the Board hearing: “During cross-examination, counsel for Mr. Moss attempted to question Chief Benson about whether he had uniformly applied this policy to prior disciplinary incidents, specifically asking about a firefighter who had committed sexual assault. Chief Benson testified that ‘a firefighter who committed sexual </w:t>
      </w:r>
      <w:proofErr w:type="gramStart"/>
      <w:r>
        <w:t>battery</w:t>
      </w:r>
      <w:proofErr w:type="gramEnd"/>
      <w:r>
        <w:t xml:space="preserve"> would likely be terminated.’ When Mr. Moss's attorney asked Chief Benson why he had not terminated that </w:t>
      </w:r>
      <w:proofErr w:type="gramStart"/>
      <w:r>
        <w:t>particular firefighter</w:t>
      </w:r>
      <w:proofErr w:type="gramEnd"/>
      <w:r>
        <w:t xml:space="preserve">, counsel for the Fire Department objected to the line of questioning as irrelevant. The Board sustained the objection and declined to hear evidence relating to the prior discipline.”  The TN Court of Appeals held this violated the firefighters due process rights. </w:t>
      </w:r>
    </w:p>
    <w:p w14:paraId="65363618" w14:textId="77777777" w:rsidR="00D66BAA" w:rsidRDefault="00D66BAA" w:rsidP="00D66BAA">
      <w:pPr>
        <w:pStyle w:val="NormalWeb"/>
        <w:ind w:left="720"/>
      </w:pPr>
      <w:r>
        <w:t xml:space="preserve">The TN Supreme Court ruled overturned the Court of Appeals: “If allowed to stand, the Court of Appeals decision would confine civil service agencies to a level of imposed discipline in line with previous instances. For example, if a civil service agency wants to "crack down" on particularly troubling behavior within the agency, it would be limited to whatever discipline was previously meted out in the past, essentially nullifying any deterrent effect. There is also the issue of pragmatism. If Mr. Moss's argument carries the day, merit boards (and the courts to which their decisions are appealed) will sift through instances of past discipline to determine whether the prior instances are analogous to the cases before them. And, at the very least, Mr. Moss's position does not fit within the "limited scope of review" utilized by this Court in reviewing administrative agency decisions and would undermine the deference we have traditionally given to agencies </w:t>
      </w:r>
      <w:proofErr w:type="gramStart"/>
      <w:r>
        <w:t>with regard to</w:t>
      </w:r>
      <w:proofErr w:type="gramEnd"/>
      <w:r>
        <w:t xml:space="preserve"> personnel matters…. In sum, the Board's decision to exclude Mr. Moss's disparate discipline evidence was not a clear error in judgment…. The Board did not abuse its discretion in determining that the evidence was irrelevant to the issue of whether there was just cause to terminate Mr. Moss's employment.” </w:t>
      </w:r>
      <w:hyperlink r:id="rId2739" w:history="1">
        <w:r>
          <w:rPr>
            <w:rStyle w:val="Hyperlink"/>
          </w:rPr>
          <w:t>https://www.tncourts.gov/sites/default/files/OpinionsPDFVersion/MOSS%20-%20Majority%20Opinion.pdf</w:t>
        </w:r>
      </w:hyperlink>
      <w:r>
        <w:t xml:space="preserve"> </w:t>
      </w:r>
    </w:p>
    <w:p w14:paraId="6BC62709" w14:textId="77777777" w:rsidR="00D66BAA" w:rsidRDefault="00D66BAA" w:rsidP="00D66BAA">
      <w:pPr>
        <w:pStyle w:val="NormalWeb"/>
        <w:ind w:left="720"/>
      </w:pPr>
      <w:r>
        <w:t xml:space="preserve">“On November 1, 2013, several individuals held a political rally on an interstate overpass in Memphis. Rally participants held signs that advocated for the impeachment of then-President Barack Obama, and at least one individual wore a plastic mask depicting President Obama. Passing motorists reacted negatively to the demonstration. Fearful of the possibility of violence, participants called the Memphis Police </w:t>
      </w:r>
      <w:proofErr w:type="gramStart"/>
      <w:r>
        <w:t>Department (‘</w:t>
      </w:r>
      <w:proofErr w:type="gramEnd"/>
      <w:r>
        <w:t xml:space="preserve">MPD’) for assistance. </w:t>
      </w:r>
    </w:p>
    <w:p w14:paraId="2BD468D3" w14:textId="77777777" w:rsidR="00D66BAA" w:rsidRDefault="00D66BAA" w:rsidP="00D66BAA">
      <w:pPr>
        <w:pStyle w:val="NormalWeb"/>
        <w:ind w:left="720" w:firstLine="60"/>
      </w:pPr>
      <w:r>
        <w:t xml:space="preserve">Paul Zachary Moss arrived at the overpass after his wife, a rally attendee, said she </w:t>
      </w:r>
      <w:proofErr w:type="gramStart"/>
      <w:r>
        <w:t>feared for</w:t>
      </w:r>
      <w:proofErr w:type="gramEnd"/>
      <w:r>
        <w:t xml:space="preserve"> her safety. Mr. Moss approached the scene armed with a .38 caliber handgun. Upon learning that an attendee, Thomas Mason Ezzell, Jr., wore the ‘Obama mask,’ Mr. Moss became angry. The situation escalated into a physical altercation between Mr. Moss, Mr. Ezzell, and another rally attendee, Earl Mayfield. Mr. Moss pointed his handgun at both men, threatening to kill them. Mr. Ezzell and Mr. Mayfield relented, and Mr. Moss returned to his truck where he was disarmed and arrested by MPD officers. Mr. Moss informed the Fire Department about the incident. </w:t>
      </w:r>
    </w:p>
    <w:p w14:paraId="0EC63781" w14:textId="77777777" w:rsidR="00D66BAA" w:rsidRDefault="00D66BAA" w:rsidP="00D66BAA">
      <w:pPr>
        <w:pStyle w:val="NormalWeb"/>
        <w:ind w:left="720" w:firstLine="60"/>
      </w:pPr>
      <w:r>
        <w:t>***</w:t>
      </w:r>
    </w:p>
    <w:p w14:paraId="654C02F6" w14:textId="77777777" w:rsidR="00D66BAA" w:rsidRDefault="00D66BAA" w:rsidP="00D66BA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[At the Board hearing] Mr. Moss said he became upset and yelled at Mr. Ezzell because Mr. Moss's wife had been put in a dangerous situation. He admitted saying to Mr. Ezzell, ‘Are you stupid?’ He also acknowledged that he was ‘trying to be heard,’ but denied swinging at, grabbing, or punching Mr. Ezzell. Mr. Moss explained that Mr. Mayfield hit him from behind and put him on the ground in a headlock, and Mr. Ezzell tried to grab his arms. When Mr. Moss freed himself, he </w:t>
      </w:r>
      <w:proofErr w:type="gramStart"/>
      <w:r>
        <w:rPr>
          <w:rFonts w:ascii="Times New Roman" w:eastAsia="Times New Roman" w:hAnsi="Times New Roman"/>
          <w:sz w:val="24"/>
          <w:szCs w:val="24"/>
        </w:rPr>
        <w:t>pulled</w:t>
      </w:r>
      <w:proofErr w:type="gramEnd"/>
      <w:r>
        <w:rPr>
          <w:rFonts w:ascii="Times New Roman" w:eastAsia="Times New Roman" w:hAnsi="Times New Roman"/>
          <w:sz w:val="24"/>
          <w:szCs w:val="24"/>
        </w:rPr>
        <w:t xml:space="preserve"> his gun because he felt he was in imminent danger. The police arrested Mr. Moss and took him to the police station. After his release, Mr. Moss reported his arrest to his battalion chief. </w:t>
      </w:r>
    </w:p>
    <w:p w14:paraId="301A92ED" w14:textId="77777777" w:rsidR="00D66BAA" w:rsidRDefault="00D66BAA" w:rsidP="00D66BAA">
      <w:pPr>
        <w:spacing w:after="100" w:line="240" w:lineRule="auto"/>
        <w:ind w:left="720"/>
      </w:pPr>
      <w:r>
        <w:rPr>
          <w:rFonts w:ascii="Times New Roman" w:eastAsia="Times New Roman" w:hAnsi="Times New Roman"/>
          <w:sz w:val="24"/>
          <w:szCs w:val="24"/>
        </w:rPr>
        <w:t>***</w:t>
      </w:r>
    </w:p>
    <w:p w14:paraId="068355BC" w14:textId="77777777" w:rsidR="00D66BAA" w:rsidRDefault="00D66BAA" w:rsidP="00D66BAA">
      <w:pPr>
        <w:pStyle w:val="NormalWeb"/>
        <w:ind w:left="720" w:firstLine="60"/>
      </w:pPr>
      <w:r>
        <w:t xml:space="preserve">Later, a grand jury indicted Mr. Moss on two counts of aggravated assault. He entered an </w:t>
      </w:r>
      <w:r>
        <w:rPr>
          <w:rStyle w:val="Emphasis"/>
        </w:rPr>
        <w:t>Alford</w:t>
      </w:r>
      <w:r>
        <w:t xml:space="preserve"> plea to one count of aggravated assault. After successfully completing three years of judicial diversion, the diverted charge was </w:t>
      </w:r>
      <w:proofErr w:type="gramStart"/>
      <w:r>
        <w:t>dismissed.”</w:t>
      </w:r>
      <w:proofErr w:type="gramEnd"/>
    </w:p>
    <w:p w14:paraId="777CB348" w14:textId="77777777" w:rsidR="00D66BAA" w:rsidRDefault="00D66BAA" w:rsidP="00D66BAA">
      <w:pPr>
        <w:pStyle w:val="NormalWeb"/>
        <w:rPr>
          <w:rStyle w:val="Emphasis"/>
          <w:b/>
          <w:bCs/>
        </w:rPr>
      </w:pPr>
      <w:r>
        <w:rPr>
          <w:b/>
          <w:bCs/>
        </w:rPr>
        <w:t xml:space="preserve">Legal Lesson Learned: Serious facts involving improper use of </w:t>
      </w:r>
      <w:proofErr w:type="gramStart"/>
      <w:r>
        <w:rPr>
          <w:b/>
          <w:bCs/>
        </w:rPr>
        <w:t>firearm</w:t>
      </w:r>
      <w:proofErr w:type="gramEnd"/>
      <w:r>
        <w:rPr>
          <w:b/>
          <w:bCs/>
        </w:rPr>
        <w:t xml:space="preserve"> has led to termination. </w:t>
      </w:r>
    </w:p>
    <w:p w14:paraId="23394DBE" w14:textId="77777777" w:rsidR="00D66BAA" w:rsidRDefault="00D66BAA" w:rsidP="00F326E5">
      <w:pPr>
        <w:pStyle w:val="NoSpacing"/>
        <w:rPr>
          <w:rFonts w:ascii="Arial Black" w:hAnsi="Arial Black"/>
          <w:sz w:val="24"/>
          <w:szCs w:val="24"/>
        </w:rPr>
      </w:pPr>
    </w:p>
    <w:p w14:paraId="5058242C" w14:textId="77777777" w:rsidR="00D66BAA" w:rsidRDefault="00D66BAA" w:rsidP="00F326E5">
      <w:pPr>
        <w:pStyle w:val="NoSpacing"/>
        <w:rPr>
          <w:rFonts w:ascii="Arial Black" w:hAnsi="Arial Black"/>
          <w:sz w:val="24"/>
          <w:szCs w:val="24"/>
        </w:rPr>
      </w:pPr>
    </w:p>
    <w:p w14:paraId="58773990" w14:textId="77777777" w:rsidR="00D66BAA" w:rsidRDefault="00D66BAA" w:rsidP="00F326E5">
      <w:pPr>
        <w:pStyle w:val="NoSpacing"/>
        <w:rPr>
          <w:rFonts w:ascii="Arial Black" w:hAnsi="Arial Black"/>
          <w:sz w:val="24"/>
          <w:szCs w:val="24"/>
        </w:rPr>
      </w:pPr>
    </w:p>
    <w:p w14:paraId="0550BF23" w14:textId="60708A51" w:rsidR="00F55395" w:rsidRDefault="00F55395" w:rsidP="00F326E5">
      <w:pPr>
        <w:pStyle w:val="NoSpacing"/>
        <w:rPr>
          <w:rFonts w:ascii="Arial Black" w:hAnsi="Arial Black"/>
          <w:sz w:val="24"/>
          <w:szCs w:val="24"/>
        </w:rPr>
      </w:pPr>
      <w:r>
        <w:rPr>
          <w:rFonts w:ascii="Arial Black" w:hAnsi="Arial Black"/>
          <w:sz w:val="24"/>
          <w:szCs w:val="24"/>
        </w:rPr>
        <w:t>16-82</w:t>
      </w:r>
    </w:p>
    <w:p w14:paraId="1DDBF8C0" w14:textId="77777777" w:rsidR="00F55395" w:rsidRDefault="00F55395" w:rsidP="00F55395">
      <w:pPr>
        <w:pStyle w:val="NormalWeb"/>
        <w:rPr>
          <w:rFonts w:ascii="Arial Black" w:hAnsi="Arial Black"/>
          <w:sz w:val="28"/>
          <w:szCs w:val="28"/>
        </w:rPr>
      </w:pPr>
      <w:r>
        <w:rPr>
          <w:rFonts w:ascii="Arial Black" w:hAnsi="Arial Black"/>
          <w:sz w:val="28"/>
          <w:szCs w:val="28"/>
        </w:rPr>
        <w:t>IL: RACIST FACEBOOK POSTINGS – CHICAGO FF FIRED –CASE PROCEED DISCOVERY – “BALANCING” TEST</w:t>
      </w:r>
    </w:p>
    <w:p w14:paraId="1AE290EE" w14:textId="77777777" w:rsidR="00F55395" w:rsidRDefault="00F55395" w:rsidP="00F55395">
      <w:pPr>
        <w:pStyle w:val="NormalWeb"/>
      </w:pPr>
      <w:r>
        <w:t xml:space="preserve">On March 3, 2023, in </w:t>
      </w:r>
      <w:r w:rsidRPr="007543F8">
        <w:rPr>
          <w:u w:val="single"/>
        </w:rPr>
        <w:t>Sam Inendino v. Lori Lightfoot, City of Chicago, et al</w:t>
      </w:r>
      <w:r>
        <w:t xml:space="preserve">., U.S. District Court Judge Thomas M. Durkin, Northern District of Illinois, denied in part the City’s motion to dismiss.  The Judge wrote: “The Seventh Circuit, however, has advised courts that the relative balancing of the state's interests against the employee's interests should not be decided at the pleading stage because it is “preferable to leave to the defendant the burden of raising justification as an affirmative defense.” </w:t>
      </w:r>
      <w:r>
        <w:rPr>
          <w:rStyle w:val="Emphasis"/>
        </w:rPr>
        <w:t>Gustafson v. Jones</w:t>
      </w:r>
      <w:r>
        <w:t xml:space="preserve">, 117 F.3d 1015, 1019 (7th Cir. 1997); </w:t>
      </w:r>
      <w:r>
        <w:rPr>
          <w:rStyle w:val="Emphasis"/>
        </w:rPr>
        <w:t>Glass v. Dachel</w:t>
      </w:r>
      <w:r>
        <w:t xml:space="preserve">, 2 F.3d 733, 744 (7th Cir. 1993) (explaining that the state bears the burden of demonstrating an interest which outweighs the employee's interest in speaking). *** </w:t>
      </w:r>
      <w:r w:rsidRPr="00FB7CED">
        <w:t xml:space="preserve"> </w:t>
      </w:r>
      <w:r>
        <w:t xml:space="preserve">Therefore, and because the </w:t>
      </w:r>
      <w:r>
        <w:rPr>
          <w:rStyle w:val="Emphasis"/>
        </w:rPr>
        <w:t>Pickering</w:t>
      </w:r>
      <w:r>
        <w:t xml:space="preserve"> </w:t>
      </w:r>
      <w:r w:rsidRPr="00FB7CED">
        <w:rPr>
          <w:color w:val="000000" w:themeColor="text1"/>
        </w:rPr>
        <w:t>[</w:t>
      </w:r>
      <w:hyperlink r:id="rId2740" w:tgtFrame="_blank" w:history="1">
        <w:r w:rsidRPr="00FB7CED">
          <w:rPr>
            <w:rStyle w:val="Emphasis"/>
            <w:color w:val="000000" w:themeColor="text1"/>
          </w:rPr>
          <w:t xml:space="preserve">Pickering v. Board of Education, </w:t>
        </w:r>
        <w:r w:rsidRPr="00FB7CED">
          <w:rPr>
            <w:rStyle w:val="Hyperlink"/>
            <w:rFonts w:eastAsiaTheme="majorEastAsia"/>
            <w:color w:val="000000" w:themeColor="text1"/>
          </w:rPr>
          <w:t>391 U.S. 563 (1968)</w:t>
        </w:r>
      </w:hyperlink>
      <w:r w:rsidRPr="00FB7CED">
        <w:rPr>
          <w:rStyle w:val="s1"/>
        </w:rPr>
        <w:t>]</w:t>
      </w:r>
      <w:r>
        <w:rPr>
          <w:rStyle w:val="s1"/>
        </w:rPr>
        <w:t xml:space="preserve"> </w:t>
      </w:r>
      <w:r>
        <w:t>balancing test is highly fact dependent, its application ‘will be possible only after the parties have had an opportunity to conduct some discovery.’”</w:t>
      </w:r>
      <w:r w:rsidRPr="00FB7CED">
        <w:t xml:space="preserve"> </w:t>
      </w:r>
      <w:hyperlink r:id="rId2741" w:history="1">
        <w:r w:rsidRPr="00C863CC">
          <w:rPr>
            <w:rStyle w:val="Hyperlink"/>
            <w:rFonts w:eastAsiaTheme="majorEastAsia"/>
          </w:rPr>
          <w:t>https://public.fastcase.com/J%2FJP6pdidelsXxEE4k%2BLMjaDEWROmrH16cfc6gra3ASxsA6ABb5gmKr7dgTVPZFAyucR%2F24MD4mhTmh6U3JDqNSXBmdIcjdrjArbqC4ueHA%3D?utm_medium=email&amp;_hsmi=226712652&amp;_hsenc=p2ANqtz-8djIG1sQ_3FyKMXC40KW2oDEllslyVj_QIL_DW9IJ-72SY8jUMapn9qVvf0Txy9Aeh2fYzSIF_AEMjkupRX651B5mjNw&amp;utm_content=226712652&amp;utm_source=hs_email</w:t>
        </w:r>
      </w:hyperlink>
      <w:r>
        <w:t xml:space="preserve"> </w:t>
      </w:r>
    </w:p>
    <w:p w14:paraId="00DEB043" w14:textId="77777777" w:rsidR="00F55395" w:rsidRDefault="00F55395" w:rsidP="00F55395">
      <w:pPr>
        <w:pStyle w:val="NormalWeb"/>
        <w:ind w:left="720"/>
      </w:pPr>
      <w:proofErr w:type="spellStart"/>
      <w:r>
        <w:t>Inendino</w:t>
      </w:r>
      <w:proofErr w:type="spellEnd"/>
      <w:r>
        <w:t xml:space="preserve"> was employed as a Chicago firefighter and EMT beginning in May 2005….  He served as a firefighter with Engine 54 and Truck 20 in the Englewood neighborhood of Chicago without incident for sixteen years until he was terminated on June 8, 2021….  </w:t>
      </w:r>
      <w:proofErr w:type="spellStart"/>
      <w:r>
        <w:t>Inendino</w:t>
      </w:r>
      <w:proofErr w:type="spellEnd"/>
      <w:r>
        <w:t xml:space="preserve"> was well-respected within his workplace, acted as the cook in the firehouse, and never had any complaints against him by the public until the incidents at issue. </w:t>
      </w:r>
    </w:p>
    <w:p w14:paraId="7A1CBDD9" w14:textId="77777777" w:rsidR="00F55395" w:rsidRDefault="00F55395" w:rsidP="00F55395">
      <w:pPr>
        <w:pStyle w:val="NormalWeb"/>
        <w:ind w:left="720"/>
      </w:pPr>
      <w:r>
        <w:t>***</w:t>
      </w:r>
    </w:p>
    <w:p w14:paraId="3BAC20EC" w14:textId="77777777" w:rsidR="00F55395" w:rsidRDefault="00F55395" w:rsidP="00F55395">
      <w:pPr>
        <w:pStyle w:val="NormalWeb"/>
        <w:ind w:left="720"/>
      </w:pPr>
      <w:r>
        <w:t xml:space="preserve">In October 2019, </w:t>
      </w:r>
      <w:proofErr w:type="spellStart"/>
      <w:r>
        <w:t>Inendino</w:t>
      </w:r>
      <w:proofErr w:type="spellEnd"/>
      <w:r>
        <w:t xml:space="preserve"> commented on a Hispanic person's post which complained about the poster's brother's treatment by a Chicago Police Department lieutenant….  After some back and forth, </w:t>
      </w:r>
      <w:proofErr w:type="spellStart"/>
      <w:r>
        <w:t>Inendino</w:t>
      </w:r>
      <w:proofErr w:type="spellEnd"/>
      <w:r>
        <w:t xml:space="preserve"> stated, ‘Your comments are all weak... can't talk I have to go to work to pay for all your scumbag kids that </w:t>
      </w:r>
      <w:proofErr w:type="gramStart"/>
      <w:r>
        <w:t>you</w:t>
      </w:r>
      <w:proofErr w:type="gramEnd"/>
      <w:r>
        <w:t xml:space="preserve"> welfare fucks keep having,”’ and ‘[ . . .] that's a good come back. NOT get all HOOD on me YO. take your ass back over the border where </w:t>
      </w:r>
      <w:proofErr w:type="spellStart"/>
      <w:r>
        <w:t>ya</w:t>
      </w:r>
      <w:proofErr w:type="spellEnd"/>
      <w:r>
        <w:t xml:space="preserve"> belong. </w:t>
      </w:r>
      <w:proofErr w:type="spellStart"/>
      <w:proofErr w:type="gramStart"/>
      <w:r>
        <w:t>gotta</w:t>
      </w:r>
      <w:proofErr w:type="spellEnd"/>
      <w:proofErr w:type="gramEnd"/>
      <w:r>
        <w:t xml:space="preserve"> go I have a real job.’</w:t>
      </w:r>
    </w:p>
    <w:p w14:paraId="5577E31D" w14:textId="77777777" w:rsidR="00F55395" w:rsidRDefault="00F55395" w:rsidP="00F55395">
      <w:pPr>
        <w:pStyle w:val="NormalWeb"/>
        <w:ind w:left="720"/>
        <w:rPr>
          <w:rStyle w:val="Emphasis"/>
        </w:rPr>
      </w:pPr>
      <w:r>
        <w:t>***</w:t>
      </w:r>
      <w:r>
        <w:rPr>
          <w:rStyle w:val="Emphasis"/>
        </w:rPr>
        <w:t>.</w:t>
      </w:r>
    </w:p>
    <w:p w14:paraId="7350A028" w14:textId="77777777" w:rsidR="00F55395" w:rsidRDefault="00F55395" w:rsidP="00F55395">
      <w:pPr>
        <w:pStyle w:val="NormalWeb"/>
        <w:ind w:left="720"/>
      </w:pPr>
      <w:proofErr w:type="spellStart"/>
      <w:r>
        <w:t>Inendino's</w:t>
      </w:r>
      <w:proofErr w:type="spellEnd"/>
      <w:r>
        <w:t xml:space="preserve"> other Facebook posts contained in the OIG report contain a mix of fairly inflammatory politically and racially charged memes, including criticisms and personal attacks of [Chicago Mayor Lori] Lightfoot like, ‘you could take one out of the ghetto but can't take the ghetto out of them, what a dirty </w:t>
      </w:r>
      <w:proofErr w:type="spellStart"/>
      <w:r>
        <w:t>hoodrat</w:t>
      </w:r>
      <w:proofErr w:type="spellEnd"/>
      <w:r>
        <w:t xml:space="preserve"> she is,’ ‘hope she chokes on something,’ and ‘fluent in ghetto….’He also posted a petition to recall Lightfoot. </w:t>
      </w:r>
    </w:p>
    <w:p w14:paraId="771D0973" w14:textId="77777777" w:rsidR="00F55395" w:rsidRDefault="00F55395" w:rsidP="00F55395">
      <w:pPr>
        <w:pStyle w:val="NormalWeb"/>
        <w:ind w:left="720"/>
      </w:pPr>
      <w:r>
        <w:t>***</w:t>
      </w:r>
    </w:p>
    <w:p w14:paraId="300088C6" w14:textId="77777777" w:rsidR="00F55395" w:rsidRDefault="00F55395" w:rsidP="00F55395">
      <w:pPr>
        <w:pStyle w:val="NormalWeb"/>
        <w:ind w:left="720"/>
      </w:pPr>
      <w:r w:rsidRPr="007543F8">
        <w:t xml:space="preserve">Other examples contained in the OIG report include an image of pregnant black women, captioned, </w:t>
      </w:r>
      <w:r>
        <w:t>‘</w:t>
      </w:r>
      <w:r w:rsidRPr="007543F8">
        <w:t>the real housewives of public housing</w:t>
      </w:r>
      <w:r>
        <w:t xml:space="preserve">…; </w:t>
      </w:r>
      <w:r w:rsidRPr="007543F8">
        <w:t>various memes about black-on-black crime statistics</w:t>
      </w:r>
      <w:r>
        <w:t>…</w:t>
      </w:r>
      <w:r w:rsidRPr="007543F8">
        <w:t xml:space="preserve">; posts supporting a shooting at a protest in Kenosha, Wisconsin (including captions like, </w:t>
      </w:r>
      <w:r>
        <w:t>‘</w:t>
      </w:r>
      <w:r w:rsidRPr="007543F8">
        <w:t>Good for him should aim for the torso!!!</w:t>
      </w:r>
      <w:r>
        <w:t>’</w:t>
      </w:r>
      <w:r w:rsidRPr="007543F8">
        <w:t>)</w:t>
      </w:r>
      <w:r>
        <w:t>…</w:t>
      </w:r>
      <w:r w:rsidRPr="007543F8">
        <w:t>; comments about wanting to leave Chicago because of crime and protests</w:t>
      </w:r>
      <w:r>
        <w:t xml:space="preserve"> ….</w:t>
      </w:r>
      <w:r w:rsidRPr="007543F8">
        <w:t xml:space="preserve">; comments calling looters </w:t>
      </w:r>
      <w:r>
        <w:t>‘</w:t>
      </w:r>
      <w:r w:rsidRPr="007543F8">
        <w:t>animals</w:t>
      </w:r>
      <w:r>
        <w:t>’</w:t>
      </w:r>
      <w:r w:rsidRPr="007543F8">
        <w:t xml:space="preserve"> and implying they receive government aid</w:t>
      </w:r>
      <w:r>
        <w:t>…</w:t>
      </w:r>
      <w:r w:rsidRPr="007543F8">
        <w:t>; memes discussing why the shooting of Breonna Taylor was justified</w:t>
      </w:r>
      <w:r>
        <w:t xml:space="preserve"> …</w:t>
      </w:r>
      <w:r w:rsidRPr="007543F8">
        <w:t>; a post making fun of an Asian-American White House correspondent's accent</w:t>
      </w:r>
      <w:r>
        <w:t>…</w:t>
      </w:r>
      <w:r w:rsidRPr="007543F8">
        <w:t xml:space="preserve">; and a cartoon image of a truck running over stick figures with the caption, </w:t>
      </w:r>
      <w:r>
        <w:t>‘</w:t>
      </w:r>
      <w:r w:rsidRPr="007543F8">
        <w:t>All Lives Splatter. Nobody Cares About Your Protest. Keep Your Ass Out of the Road</w:t>
      </w:r>
      <w:r>
        <w:t xml:space="preserve">…’” </w:t>
      </w:r>
    </w:p>
    <w:p w14:paraId="1F8BE17C" w14:textId="77777777" w:rsidR="00F55395" w:rsidRPr="00AA1ACA" w:rsidRDefault="00F55395" w:rsidP="00F55395">
      <w:pPr>
        <w:pStyle w:val="NormalWeb"/>
        <w:rPr>
          <w:b/>
          <w:bCs/>
        </w:rPr>
      </w:pPr>
      <w:r w:rsidRPr="00AA1ACA">
        <w:rPr>
          <w:b/>
          <w:bCs/>
        </w:rPr>
        <w:t xml:space="preserve">Legal Lesson Learned: </w:t>
      </w:r>
      <w:r>
        <w:rPr>
          <w:b/>
          <w:bCs/>
        </w:rPr>
        <w:t>U</w:t>
      </w:r>
      <w:r w:rsidRPr="00AA1ACA">
        <w:rPr>
          <w:b/>
          <w:bCs/>
        </w:rPr>
        <w:t xml:space="preserve">nder the </w:t>
      </w:r>
      <w:r w:rsidRPr="00AA1ACA">
        <w:rPr>
          <w:b/>
          <w:bCs/>
          <w:u w:val="single"/>
        </w:rPr>
        <w:t xml:space="preserve">Pickering </w:t>
      </w:r>
      <w:r w:rsidRPr="00AA1ACA">
        <w:rPr>
          <w:b/>
          <w:bCs/>
        </w:rPr>
        <w:t xml:space="preserve">“balancing test” the City </w:t>
      </w:r>
      <w:r>
        <w:rPr>
          <w:b/>
          <w:bCs/>
        </w:rPr>
        <w:t xml:space="preserve">clearly </w:t>
      </w:r>
      <w:r w:rsidRPr="00AA1ACA">
        <w:rPr>
          <w:b/>
          <w:bCs/>
        </w:rPr>
        <w:t xml:space="preserve">has a legitimate interest in limiting </w:t>
      </w:r>
      <w:r>
        <w:rPr>
          <w:b/>
          <w:bCs/>
        </w:rPr>
        <w:t xml:space="preserve">Facebook posts that are </w:t>
      </w:r>
      <w:r w:rsidRPr="00AA1ACA">
        <w:rPr>
          <w:b/>
          <w:bCs/>
        </w:rPr>
        <w:t>highly offensive</w:t>
      </w:r>
      <w:r>
        <w:rPr>
          <w:b/>
          <w:bCs/>
        </w:rPr>
        <w:t xml:space="preserve"> to the public. </w:t>
      </w:r>
    </w:p>
    <w:p w14:paraId="4C02AE0D" w14:textId="77777777" w:rsidR="00F55395" w:rsidRDefault="00F55395" w:rsidP="00F326E5">
      <w:pPr>
        <w:pStyle w:val="NoSpacing"/>
        <w:rPr>
          <w:rFonts w:ascii="Arial Black" w:hAnsi="Arial Black"/>
          <w:sz w:val="24"/>
          <w:szCs w:val="24"/>
        </w:rPr>
      </w:pPr>
    </w:p>
    <w:p w14:paraId="63501D18" w14:textId="77777777" w:rsidR="00F55395" w:rsidRDefault="00F55395" w:rsidP="00F326E5">
      <w:pPr>
        <w:pStyle w:val="NoSpacing"/>
        <w:rPr>
          <w:rFonts w:ascii="Arial Black" w:hAnsi="Arial Black"/>
          <w:sz w:val="24"/>
          <w:szCs w:val="24"/>
        </w:rPr>
      </w:pPr>
    </w:p>
    <w:p w14:paraId="25F8105C" w14:textId="77777777" w:rsidR="00F55395" w:rsidRDefault="00F55395" w:rsidP="00F326E5">
      <w:pPr>
        <w:pStyle w:val="NoSpacing"/>
        <w:rPr>
          <w:rFonts w:ascii="Arial Black" w:hAnsi="Arial Black"/>
          <w:sz w:val="24"/>
          <w:szCs w:val="24"/>
        </w:rPr>
      </w:pPr>
    </w:p>
    <w:p w14:paraId="7229565A" w14:textId="13790D18" w:rsidR="00F31C1B" w:rsidRDefault="008A4533" w:rsidP="00F326E5">
      <w:pPr>
        <w:pStyle w:val="NoSpacing"/>
        <w:rPr>
          <w:rFonts w:ascii="Arial Black" w:hAnsi="Arial Black"/>
          <w:sz w:val="24"/>
          <w:szCs w:val="24"/>
        </w:rPr>
      </w:pPr>
      <w:r>
        <w:rPr>
          <w:rFonts w:ascii="Arial Black" w:hAnsi="Arial Black"/>
          <w:sz w:val="24"/>
          <w:szCs w:val="24"/>
        </w:rPr>
        <w:t>16-81</w:t>
      </w:r>
    </w:p>
    <w:p w14:paraId="09DDE34D" w14:textId="77777777" w:rsidR="008A4533" w:rsidRPr="00E15641" w:rsidRDefault="008A4533" w:rsidP="008A4533">
      <w:pPr>
        <w:pStyle w:val="NormalWeb"/>
        <w:rPr>
          <w:rFonts w:ascii="Arial Black" w:hAnsi="Arial Black"/>
          <w:b/>
          <w:bCs/>
          <w:sz w:val="28"/>
          <w:szCs w:val="28"/>
        </w:rPr>
      </w:pPr>
      <w:r>
        <w:rPr>
          <w:rFonts w:ascii="Arial Black" w:hAnsi="Arial Black"/>
          <w:b/>
          <w:bCs/>
          <w:sz w:val="28"/>
          <w:szCs w:val="28"/>
        </w:rPr>
        <w:t>OH: CLEVELAND EMS CAPTAIN FIRED – FACEBOOK POST – WISHED HE HAD KILLED TAMIR RICE – “BALANCING TEST”</w:t>
      </w:r>
    </w:p>
    <w:p w14:paraId="2065AA8F" w14:textId="77777777" w:rsidR="008A4533" w:rsidRDefault="008A4533" w:rsidP="008A4533">
      <w:pPr>
        <w:pStyle w:val="NormalWeb"/>
      </w:pPr>
      <w:r>
        <w:t xml:space="preserve">On Jan. 25, 2023, in </w:t>
      </w:r>
      <w:r w:rsidRPr="00DD39F8">
        <w:rPr>
          <w:u w:val="single"/>
        </w:rPr>
        <w:t>Jamie Marquardt v. Nicole Carlton, et al</w:t>
      </w:r>
      <w:r>
        <w:t xml:space="preserve">., the U.S. Court of Appeals for the Sixth Circuit (Cincinnati) held (3 to 0; unpublished decision) that U.S. District Court Judge in Cleveland properly granted summary judgment to the City of Cleveland; the City's interest as an employer outweighed Marquardt's </w:t>
      </w:r>
      <w:proofErr w:type="gramStart"/>
      <w:r>
        <w:t>free speech</w:t>
      </w:r>
      <w:proofErr w:type="gramEnd"/>
      <w:r>
        <w:t xml:space="preserve"> interest.  [T]he district court, applying the balancing test announced in </w:t>
      </w:r>
      <w:r>
        <w:rPr>
          <w:rStyle w:val="Emphasis"/>
        </w:rPr>
        <w:t>Pickering v. Board of Education</w:t>
      </w:r>
      <w:r>
        <w:t xml:space="preserve">, 391 U.S. 563 (1968), held that defendants were nonetheless entitled to summary judgment on Marquardt's First Amendment claim because the City's interest as an employer outweighed Marquardt's </w:t>
      </w:r>
      <w:proofErr w:type="gramStart"/>
      <w:r>
        <w:t>free speech</w:t>
      </w:r>
      <w:proofErr w:type="gramEnd"/>
      <w:r>
        <w:t xml:space="preserve"> interest. The Court of Appeals agreed. “Commissioner Carlton testified that she believed City services would be disrupted if Marquardt was identified as the author of the posts. Her conclusion, she explained, was informed by earlier ‘civil unrest within the City of Cleveland related to the Tamir Rice incident.’ Any visceral reaction to Marquardt's posts, Carlton predicted, would lead to further ‘protest[s],’ ‘disharmony amongst EMS staff,’ and employees ‘</w:t>
      </w:r>
      <w:proofErr w:type="spellStart"/>
      <w:r>
        <w:t>refus</w:t>
      </w:r>
      <w:proofErr w:type="spellEnd"/>
      <w:r>
        <w:t>[</w:t>
      </w:r>
      <w:proofErr w:type="spellStart"/>
      <w:r>
        <w:t>ing</w:t>
      </w:r>
      <w:proofErr w:type="spellEnd"/>
      <w:r>
        <w:t xml:space="preserve">] to work with Mr. Marquardt.’  Her conclusion is well taken. </w:t>
      </w:r>
      <w:hyperlink r:id="rId2742" w:history="1">
        <w:r w:rsidRPr="001F75F8">
          <w:rPr>
            <w:rStyle w:val="Hyperlink"/>
          </w:rPr>
          <w:t>https://law.justia.com/cases/federal/appellate-courts/ca6/21-3832/21-3832-2023-01-25.html</w:t>
        </w:r>
      </w:hyperlink>
      <w:r>
        <w:t xml:space="preserve"> </w:t>
      </w:r>
    </w:p>
    <w:p w14:paraId="774D0284" w14:textId="77777777" w:rsidR="008A4533" w:rsidRDefault="008A4533" w:rsidP="008A4533">
      <w:pPr>
        <w:pStyle w:val="NormalWeb"/>
        <w:ind w:left="720" w:firstLine="60"/>
      </w:pPr>
      <w:r>
        <w:t xml:space="preserve">“Eight years ago, twelve-year-old Tamir Rice was shot and killed by a police officer. What happened that day has been well documented. A 911 caller reported a ‘guy in the park with a pistol’ that was ‘probably fake.’ Dispatchers informed officers that there was a male sitting on a swing pointing a gun at people. Officers responded to the report. Within seconds of arriving at the park, one officer shot Rice. Rice's ‘pistol’ was later determined to be an airsoft gun with the orange toy markings removed. Cleveland EMS responded and transported Rice to the hospital. He died the next day from his injuries. Protestors, decrying the use of lethal force, flooded Cleveland's streets. The controversy over the shooting did not end in its immediate aftermath. Some fourteen months later, the event was once again the focus of national scrutiny when news broke that Cleveland EMS billed Rice's family $500 for his ambulance ride. </w:t>
      </w:r>
      <w:r>
        <w:rPr>
          <w:rStyle w:val="Emphasis"/>
        </w:rPr>
        <w:t>Marquardt v. Carlton</w:t>
      </w:r>
      <w:r>
        <w:t xml:space="preserve">, 971 F.3d 546, 550 (6th Cir. 2020) (citing Christine Hauser, </w:t>
      </w:r>
      <w:r>
        <w:rPr>
          <w:rStyle w:val="Emphasis"/>
        </w:rPr>
        <w:t>Cleveland Drops Attempt to Collect $500 From Tamir Rice Family</w:t>
      </w:r>
      <w:r>
        <w:t xml:space="preserve">, N.Y. Times (Feb. 11, 2016), </w:t>
      </w:r>
      <w:proofErr w:type="gramStart"/>
      <w:r>
        <w:t>https://www.nytimes.com/2016/02/12/us/cleveland-500-bill-tamir-rice-shooting.html</w:t>
      </w:r>
      <w:proofErr w:type="gramEnd"/>
      <w:r>
        <w:t xml:space="preserve"> (last accessed Jan. 23, 2023)).</w:t>
      </w:r>
    </w:p>
    <w:p w14:paraId="60668899" w14:textId="77777777" w:rsidR="008A4533" w:rsidRDefault="008A4533" w:rsidP="008A4533">
      <w:pPr>
        <w:pStyle w:val="NormalWeb"/>
        <w:ind w:left="720" w:firstLine="60"/>
      </w:pPr>
      <w:r>
        <w:t>***</w:t>
      </w:r>
    </w:p>
    <w:p w14:paraId="58933F28" w14:textId="77777777" w:rsidR="008A4533" w:rsidRDefault="008A4533" w:rsidP="008A4533">
      <w:pPr>
        <w:pStyle w:val="NormalWeb"/>
        <w:ind w:left="720" w:firstLine="60"/>
      </w:pPr>
      <w:r>
        <w:t xml:space="preserve">Just days later, two posts referring to the shooting appeared on the private Facebook page of Jamie Marquardt, a Cleveland EMS Captain. One stated, ‘Let me be the first on record to have the balls to say Tamir Rice should have been </w:t>
      </w:r>
      <w:proofErr w:type="gramStart"/>
      <w:r>
        <w:t>shot</w:t>
      </w:r>
      <w:proofErr w:type="gramEnd"/>
      <w:r>
        <w:t xml:space="preserve"> and I am glad he is dead</w:t>
      </w:r>
      <w:proofErr w:type="gramStart"/>
      <w:r>
        <w:t>.</w:t>
      </w:r>
      <w:proofErr w:type="gramEnd"/>
      <w:r>
        <w:t xml:space="preserve"> I wish I was in the park that day as he terrorized innocent patrons by pointing a gun at them walking around acting </w:t>
      </w:r>
      <w:proofErr w:type="gramStart"/>
      <w:r>
        <w:t>bad</w:t>
      </w:r>
      <w:proofErr w:type="gramEnd"/>
      <w:r>
        <w:t xml:space="preserve">. I am upset I did not get the chance to kill the little criminal fucker.’ The other said, ‘How would you feel if you were walking in the park and some ghetto rat pointed a gun </w:t>
      </w:r>
      <w:proofErr w:type="gramStart"/>
      <w:r>
        <w:t>in</w:t>
      </w:r>
      <w:proofErr w:type="gramEnd"/>
      <w:r>
        <w:t xml:space="preserve"> your face</w:t>
      </w:r>
      <w:proofErr w:type="gramStart"/>
      <w:r>
        <w:t>?</w:t>
      </w:r>
      <w:proofErr w:type="gramEnd"/>
      <w:r>
        <w:t xml:space="preserve"> Would you look to him as a hero? Cleveland sees this felony hood rat as a hero.’  Marquardt denied making the posts, deleted them, and created a new post disavowing their content.</w:t>
      </w:r>
    </w:p>
    <w:p w14:paraId="23EAB8C0" w14:textId="77777777" w:rsidR="008A4533" w:rsidRDefault="008A4533" w:rsidP="008A4533">
      <w:pPr>
        <w:pStyle w:val="NormalWeb"/>
        <w:ind w:left="720" w:firstLine="60"/>
      </w:pPr>
      <w:r>
        <w:t>***</w:t>
      </w:r>
    </w:p>
    <w:p w14:paraId="7EBE61B5" w14:textId="77777777" w:rsidR="008A4533" w:rsidRDefault="008A4533" w:rsidP="008A4533">
      <w:pPr>
        <w:pStyle w:val="NormalWeb"/>
        <w:ind w:left="720"/>
      </w:pPr>
      <w:r>
        <w:t xml:space="preserve">Two of Marquardt's co-workers, paramedics, saw the posts the morning they appeared. Both contacted EMS Captain Michael Threat. They expressed worry about Marquardt's wellbeing and the risk of "potential civil unrest" should the posts be seen by the public because there was already "a lot in the media" addressing the Rice incident. </w:t>
      </w:r>
    </w:p>
    <w:p w14:paraId="68B7534A" w14:textId="77777777" w:rsidR="008A4533" w:rsidRDefault="008A4533" w:rsidP="008A4533">
      <w:pPr>
        <w:pStyle w:val="NormalWeb"/>
        <w:ind w:left="720"/>
      </w:pPr>
      <w:r>
        <w:t xml:space="preserve">The reports made their way to EMS Commissioner Nicole Carlton. Carlton requested that the City's Office of Integrity Control investigate. During the investigation, Marquardt remained on the job, denying that he authored the posts. </w:t>
      </w:r>
    </w:p>
    <w:p w14:paraId="5C032582" w14:textId="77777777" w:rsidR="008A4533" w:rsidRDefault="008A4533" w:rsidP="008A4533">
      <w:pPr>
        <w:pStyle w:val="NormalWeb"/>
        <w:ind w:left="720"/>
      </w:pPr>
      <w:r>
        <w:t xml:space="preserve">Within three days of the posts appearing on Marquardt's Facebook page, they caught the eye of the Cleveland NAACP President, who condemned them in an article on Cleveland.com. By then, Marquardt acknowledges, the posts had become a national story. </w:t>
      </w:r>
    </w:p>
    <w:p w14:paraId="7FC2CE14" w14:textId="77777777" w:rsidR="008A4533" w:rsidRDefault="008A4533" w:rsidP="008A4533">
      <w:pPr>
        <w:pStyle w:val="NormalWeb"/>
        <w:ind w:left="720"/>
      </w:pPr>
      <w:r>
        <w:t xml:space="preserve">Roughly a month later, Carlton fired Marquardt, attributing authorship of the posts to him. By making those posts, Carlton concluded, Marquardt violated a host of policies-from EMS's mission statement, pledge to the community, and social media policy to the City's civil service commission rules. Marquardt's termination letter stated that the posts were inflammatory, caused disruption (emphasizing that Marquardt's co-workers ‘expressed concern for their own welfare and </w:t>
      </w:r>
      <w:proofErr w:type="gramStart"/>
      <w:r>
        <w:t>safety’)</w:t>
      </w:r>
      <w:proofErr w:type="gramEnd"/>
      <w:r>
        <w:t>, and cast the EMS division as ‘disrespectful of the tragedy.’</w:t>
      </w:r>
    </w:p>
    <w:p w14:paraId="6F68DE02" w14:textId="77777777" w:rsidR="008A4533" w:rsidRDefault="008A4533" w:rsidP="008A4533">
      <w:pPr>
        <w:pStyle w:val="NormalWeb"/>
        <w:ind w:left="720"/>
      </w:pPr>
      <w:r>
        <w:t>***</w:t>
      </w:r>
    </w:p>
    <w:p w14:paraId="2519DF99" w14:textId="77777777" w:rsidR="008A4533" w:rsidRDefault="008A4533" w:rsidP="008A4533">
      <w:pPr>
        <w:pStyle w:val="NormalWeb"/>
        <w:ind w:left="720"/>
      </w:pPr>
      <w:r>
        <w:t xml:space="preserve">All told, the charged speech at issue and its actual and predicted disruptive effect on the City's services tip the </w:t>
      </w:r>
      <w:r>
        <w:rPr>
          <w:rStyle w:val="Emphasis"/>
        </w:rPr>
        <w:t>Pickering</w:t>
      </w:r>
      <w:r>
        <w:t xml:space="preserve"> balance in its favor.”</w:t>
      </w:r>
    </w:p>
    <w:p w14:paraId="6CA3C792" w14:textId="77777777" w:rsidR="008A4533" w:rsidRPr="001D5000" w:rsidRDefault="008A4533" w:rsidP="008A4533">
      <w:pPr>
        <w:pStyle w:val="NormalWeb"/>
        <w:rPr>
          <w:b/>
          <w:bCs/>
        </w:rPr>
      </w:pPr>
      <w:r w:rsidRPr="001D5000">
        <w:rPr>
          <w:b/>
          <w:bCs/>
        </w:rPr>
        <w:t>Legal Lesson Learned:</w:t>
      </w:r>
      <w:r>
        <w:rPr>
          <w:b/>
          <w:bCs/>
        </w:rPr>
        <w:t xml:space="preserve"> Another career ended by stupid Facebook post. </w:t>
      </w:r>
    </w:p>
    <w:p w14:paraId="19486881" w14:textId="77777777" w:rsidR="008A4533" w:rsidRDefault="008A4533" w:rsidP="00F326E5">
      <w:pPr>
        <w:pStyle w:val="NoSpacing"/>
        <w:rPr>
          <w:rFonts w:ascii="Arial Black" w:hAnsi="Arial Black"/>
          <w:sz w:val="24"/>
          <w:szCs w:val="24"/>
        </w:rPr>
      </w:pPr>
    </w:p>
    <w:p w14:paraId="7A6DBC7D" w14:textId="77777777" w:rsidR="008A4533" w:rsidRDefault="008A4533" w:rsidP="00F326E5">
      <w:pPr>
        <w:pStyle w:val="NoSpacing"/>
        <w:rPr>
          <w:rFonts w:ascii="Arial Black" w:hAnsi="Arial Black"/>
          <w:sz w:val="24"/>
          <w:szCs w:val="24"/>
        </w:rPr>
      </w:pPr>
    </w:p>
    <w:p w14:paraId="5376902B" w14:textId="65FCB3C5" w:rsidR="008A4533" w:rsidRDefault="008A4533" w:rsidP="00F326E5">
      <w:pPr>
        <w:pStyle w:val="NoSpacing"/>
        <w:rPr>
          <w:rFonts w:ascii="Arial Black" w:hAnsi="Arial Black"/>
          <w:sz w:val="24"/>
          <w:szCs w:val="24"/>
        </w:rPr>
      </w:pPr>
      <w:r>
        <w:rPr>
          <w:rFonts w:ascii="Arial Black" w:hAnsi="Arial Black"/>
          <w:sz w:val="24"/>
          <w:szCs w:val="24"/>
        </w:rPr>
        <w:t>16-80</w:t>
      </w:r>
    </w:p>
    <w:p w14:paraId="28F382B1" w14:textId="20E98816" w:rsidR="008A4533" w:rsidRDefault="008A4533" w:rsidP="00F326E5">
      <w:pPr>
        <w:pStyle w:val="NoSpacing"/>
        <w:rPr>
          <w:rFonts w:ascii="Arial Black" w:hAnsi="Arial Black"/>
          <w:sz w:val="24"/>
          <w:szCs w:val="24"/>
        </w:rPr>
      </w:pPr>
    </w:p>
    <w:p w14:paraId="127A89A6" w14:textId="77777777" w:rsidR="008A4533" w:rsidRPr="00CE7EC2" w:rsidRDefault="008A4533" w:rsidP="008A4533">
      <w:pPr>
        <w:pStyle w:val="NormalWeb"/>
        <w:rPr>
          <w:rFonts w:ascii="Arial Black" w:hAnsi="Arial Black"/>
          <w:sz w:val="28"/>
          <w:szCs w:val="28"/>
        </w:rPr>
      </w:pPr>
      <w:r>
        <w:rPr>
          <w:rFonts w:ascii="Arial Black" w:hAnsi="Arial Black"/>
          <w:sz w:val="28"/>
          <w:szCs w:val="28"/>
        </w:rPr>
        <w:t xml:space="preserve">DC: U.S. AIR FORCE FIRE CHIEF – ALLOWED OVERTIME – FIRING REDUCED 14-DAY SUSP – LATE APPEAL BY AGENCY </w:t>
      </w:r>
    </w:p>
    <w:p w14:paraId="01FF5989" w14:textId="77777777" w:rsidR="008A4533" w:rsidRDefault="008A4533" w:rsidP="008A4533">
      <w:pPr>
        <w:pStyle w:val="NormalWeb"/>
      </w:pPr>
      <w:r>
        <w:t xml:space="preserve">On Jan. 18, 2023, in </w:t>
      </w:r>
      <w:r w:rsidRPr="009903F1">
        <w:rPr>
          <w:u w:val="single"/>
        </w:rPr>
        <w:t>Derick Eshelman v. Department of the Air Force</w:t>
      </w:r>
      <w:r>
        <w:t>, the U.S. Merit Systems Protection Board held (3 to 0; but concurring opinion) that they will not overturn the Administrative Judge’s decision since the Air Force missed filing an appeal through the e-Appeal system (only missed deadline by several minutes), without good explanation for the late filing.  The Fire Chief was assigned to a British air base, Royal Air Force (RAF) Croughton.  For three years he and other firefighters worked unauthorized overtime, at a higher rate of pay, at cost of approximately $263,000.  The Fire Chief’s supervisor sought to terminate him for conduct unbecoming an officer. The Chief acknowledged errors:  “</w:t>
      </w:r>
      <w:r w:rsidRPr="00DA4BE2">
        <w:t xml:space="preserve">Although I felt I had good reasons to work the embedded schedule, the extra money earned from the additional time worked was a benefit that was part of the decision. The money aspect made it worth doing all the extra hours and is and was simply the wrong thing to do. I </w:t>
      </w:r>
      <w:proofErr w:type="spellStart"/>
      <w:r w:rsidRPr="00DA4BE2">
        <w:t>tru</w:t>
      </w:r>
      <w:r>
        <w:t>e</w:t>
      </w:r>
      <w:r w:rsidRPr="00DA4BE2">
        <w:t>ly</w:t>
      </w:r>
      <w:proofErr w:type="spellEnd"/>
      <w:r w:rsidRPr="00DA4BE2">
        <w:t xml:space="preserve"> [sic] regret costing the Air Force </w:t>
      </w:r>
      <w:proofErr w:type="gramStart"/>
      <w:r w:rsidRPr="00DA4BE2">
        <w:t>the additional</w:t>
      </w:r>
      <w:proofErr w:type="gramEnd"/>
      <w:r w:rsidRPr="00DA4BE2">
        <w:t xml:space="preserve"> money . . . I should have listened to those around me and those trying to help get me on the right path.</w:t>
      </w:r>
      <w:r>
        <w:t xml:space="preserve">” The Board did not accept excuse for the late filing of the </w:t>
      </w:r>
      <w:proofErr w:type="gramStart"/>
      <w:r>
        <w:t>appeal, and</w:t>
      </w:r>
      <w:proofErr w:type="gramEnd"/>
      <w:r>
        <w:t xml:space="preserve"> held: “Although the agency's petition for review was untimely by mere minutes, we are not persuaded by the explanation provided. The agency's representative is familiar with the e-Appeal system, having used it throughout this appeal…. She is also familiar with the potential consequences of her untimeliness, having been sanctioned for her untimeliness below…. Nevertheless, the Board's e-Appeal logs indicate that she did not log into the system to begin the process of filing the petition for review until 11:38 p.m. on the day it was due…. Moreover, as detailed above, although the agency asserts that there were two failed attempts at filing the petition before the deadline to do so, the Board's e-Appeal logs reflect otherwise…. Accordingly, we dismiss the petition for review as untimely filed.” </w:t>
      </w:r>
      <w:hyperlink r:id="rId2743" w:history="1">
        <w:r w:rsidRPr="00D25822">
          <w:rPr>
            <w:rStyle w:val="Hyperlink"/>
          </w:rPr>
          <w:t>https://public.fastcase.com/J%2FJP6pdidelsXxEE4k%2BLMtME52xOaCaWV6UEDIP7bM8%2BFioZsbaXPEF4Uybj3YzCUfNXrAB4VqpO9mZPyOoJgEUGCgAECduXHqgYvcPti4I%3D?utm_medium=email&amp;_hsmi=226712652&amp;_hsenc=p2ANqtz--o5Z4w0RvL2X6ywspxSAhs9CG2i2QDJ7wcq_MEc7ECUlDYedCzwhXzcOpR3uJdZVvbiJhZF7E92unvtoIdalIehJ_GiA&amp;utm_content=226712652&amp;utm_source=hs_email</w:t>
        </w:r>
      </w:hyperlink>
      <w:r>
        <w:t xml:space="preserve"> </w:t>
      </w:r>
    </w:p>
    <w:p w14:paraId="3C1A8109" w14:textId="77777777" w:rsidR="008A4533" w:rsidRDefault="008A4533" w:rsidP="008A4533">
      <w:pPr>
        <w:pStyle w:val="NormalWeb"/>
      </w:pPr>
      <w:r>
        <w:t xml:space="preserve">Concurring Opinion by Member Tristan L. Leavitt made it clear she disagreed with reduced punishment.  </w:t>
      </w:r>
    </w:p>
    <w:p w14:paraId="5FD50CD0" w14:textId="77777777" w:rsidR="008A4533" w:rsidRDefault="008A4533" w:rsidP="008A4533">
      <w:pPr>
        <w:pStyle w:val="NormalWeb"/>
        <w:ind w:left="720"/>
      </w:pPr>
      <w:r>
        <w:t xml:space="preserve"> “I write separately to express my disagreement with the administrative judge's determination to mitigate the penalty of removal to a 14-day suspension.</w:t>
      </w:r>
    </w:p>
    <w:p w14:paraId="0B59708A" w14:textId="77777777" w:rsidR="008A4533" w:rsidRDefault="008A4533" w:rsidP="008A4533">
      <w:pPr>
        <w:pStyle w:val="NormalWeb"/>
        <w:ind w:left="720"/>
      </w:pPr>
      <w:r>
        <w:t>[The Fire Chief’s supervisor wrote] ‘The offense of working longer hours than authorized is a very serious one…’ He considered the appellant's supervisory role, finding ‘the level of trust required to be a manager and supervisor of other fire fighters has been tarnished significantly’ and that the appellant …cannot continue to service in the leadership role because his trustworthiness is in question.’”</w:t>
      </w:r>
    </w:p>
    <w:p w14:paraId="013F23F8" w14:textId="77777777" w:rsidR="008A4533" w:rsidRPr="008A4533" w:rsidRDefault="008A4533" w:rsidP="008A4533">
      <w:pPr>
        <w:pStyle w:val="NormalWeb"/>
        <w:rPr>
          <w:rStyle w:val="Emphasis"/>
          <w:b/>
          <w:bCs/>
          <w:i w:val="0"/>
          <w:iCs w:val="0"/>
        </w:rPr>
      </w:pPr>
      <w:r w:rsidRPr="008A4533">
        <w:rPr>
          <w:rStyle w:val="Emphasis"/>
          <w:b/>
          <w:bCs/>
          <w:i w:val="0"/>
          <w:iCs w:val="0"/>
        </w:rPr>
        <w:t>Legal Lesson Learned:  Late appeal by the U.S. Air Force representative.</w:t>
      </w:r>
    </w:p>
    <w:p w14:paraId="3A1667EB" w14:textId="089D777E" w:rsidR="008A4533" w:rsidRDefault="008A4533" w:rsidP="00F326E5">
      <w:pPr>
        <w:pStyle w:val="NoSpacing"/>
        <w:rPr>
          <w:rFonts w:ascii="Arial Black" w:hAnsi="Arial Black"/>
          <w:sz w:val="24"/>
          <w:szCs w:val="24"/>
        </w:rPr>
      </w:pPr>
    </w:p>
    <w:p w14:paraId="1BFDDD70" w14:textId="7C863EFF" w:rsidR="008A4533" w:rsidRDefault="008A4533" w:rsidP="00F326E5">
      <w:pPr>
        <w:pStyle w:val="NoSpacing"/>
        <w:rPr>
          <w:rFonts w:ascii="Arial Black" w:hAnsi="Arial Black"/>
          <w:sz w:val="24"/>
          <w:szCs w:val="24"/>
        </w:rPr>
      </w:pPr>
      <w:r>
        <w:rPr>
          <w:rFonts w:ascii="Arial Black" w:hAnsi="Arial Black"/>
          <w:sz w:val="24"/>
          <w:szCs w:val="24"/>
        </w:rPr>
        <w:t>16-79</w:t>
      </w:r>
    </w:p>
    <w:p w14:paraId="3E44D8C2" w14:textId="6ED28FAD" w:rsidR="008A4533" w:rsidRDefault="008A4533" w:rsidP="00F326E5">
      <w:pPr>
        <w:pStyle w:val="NoSpacing"/>
        <w:rPr>
          <w:rFonts w:ascii="Arial Black" w:hAnsi="Arial Black"/>
          <w:sz w:val="24"/>
          <w:szCs w:val="24"/>
        </w:rPr>
      </w:pPr>
    </w:p>
    <w:p w14:paraId="1E62A913" w14:textId="77777777" w:rsidR="008A4533" w:rsidRPr="00261417" w:rsidRDefault="008A4533" w:rsidP="008A4533">
      <w:pPr>
        <w:pStyle w:val="NormalWeb"/>
        <w:rPr>
          <w:rFonts w:ascii="Arial Black" w:hAnsi="Arial Black"/>
          <w:sz w:val="28"/>
          <w:szCs w:val="28"/>
        </w:rPr>
      </w:pPr>
      <w:r>
        <w:rPr>
          <w:rFonts w:ascii="Arial Black" w:hAnsi="Arial Black"/>
          <w:sz w:val="28"/>
          <w:szCs w:val="28"/>
        </w:rPr>
        <w:t>NJ: FF DISPUTE WITH ANOTHER FF – FIRED GUN INTO APARTMENT DOOR –TERMINATION UPHELD, LATE APPEAL</w:t>
      </w:r>
    </w:p>
    <w:p w14:paraId="49FCF174" w14:textId="77777777" w:rsidR="008A4533" w:rsidRDefault="008A4533" w:rsidP="008A4533">
      <w:pPr>
        <w:pStyle w:val="ekqk"/>
      </w:pPr>
      <w:r>
        <w:t xml:space="preserve">On Jan. 9, 2023, </w:t>
      </w:r>
      <w:r w:rsidRPr="00261417">
        <w:rPr>
          <w:u w:val="single"/>
        </w:rPr>
        <w:t xml:space="preserve">In </w:t>
      </w:r>
      <w:proofErr w:type="gramStart"/>
      <w:r w:rsidRPr="00261417">
        <w:rPr>
          <w:u w:val="single"/>
        </w:rPr>
        <w:t>The</w:t>
      </w:r>
      <w:proofErr w:type="gramEnd"/>
      <w:r w:rsidRPr="00261417">
        <w:rPr>
          <w:u w:val="single"/>
        </w:rPr>
        <w:t xml:space="preserve"> Matter </w:t>
      </w:r>
      <w:proofErr w:type="gramStart"/>
      <w:r w:rsidRPr="00261417">
        <w:rPr>
          <w:u w:val="single"/>
        </w:rPr>
        <w:t>Of</w:t>
      </w:r>
      <w:proofErr w:type="gramEnd"/>
      <w:r w:rsidRPr="00261417">
        <w:rPr>
          <w:u w:val="single"/>
        </w:rPr>
        <w:t xml:space="preserve"> </w:t>
      </w:r>
      <w:proofErr w:type="spellStart"/>
      <w:r w:rsidRPr="00261417">
        <w:rPr>
          <w:u w:val="single"/>
        </w:rPr>
        <w:t>Gamill</w:t>
      </w:r>
      <w:proofErr w:type="spellEnd"/>
      <w:r w:rsidRPr="00261417">
        <w:rPr>
          <w:u w:val="single"/>
        </w:rPr>
        <w:t xml:space="preserve"> Haidara, City of Newark, Fire Department</w:t>
      </w:r>
      <w:r>
        <w:t xml:space="preserve">, the Superior Court of New Jersey, Appellate Division, held (2 to 0) that the Civil Service Commission properly refused to hear his request for a hearing – he and his attorney failed to timely file the request.  After his arrest on March 1, </w:t>
      </w:r>
      <w:proofErr w:type="gramStart"/>
      <w:r>
        <w:t>2016</w:t>
      </w:r>
      <w:proofErr w:type="gramEnd"/>
      <w:r>
        <w:t xml:space="preserve"> for firing gun through apartment door of another Newark firefighter [see below article], he was suspended without pay and eventually terminated. He had 21 days (Aug. 13, 2018) to file his request for a hearing with the city’s Civil Service Commission; he retained an attorney and then left the country to help an ailing relative.  Upon return to USA on Sept. 16, 2018, he learned that no request for a hearing was ever filed; he retained another attorney who sought unsuccessfully to negotiate a return-to-work </w:t>
      </w:r>
      <w:proofErr w:type="gramStart"/>
      <w:r>
        <w:t>agreement, and</w:t>
      </w:r>
      <w:proofErr w:type="gramEnd"/>
      <w:r>
        <w:t xml:space="preserve"> didn’t file a request for hearing until May 30, 2019; it was denied by the Commission on July 1, 2019; subsequent request for reconsideration was also denied. The Court of Appeals agreed with the Commission. “On the facts presented here, Haidara's two-year delay in filing for reconsideration prejudiced the </w:t>
      </w:r>
      <w:proofErr w:type="gramStart"/>
      <w:r>
        <w:t>City</w:t>
      </w:r>
      <w:proofErr w:type="gramEnd"/>
      <w:r>
        <w:t xml:space="preserve">, thereby precluding a finding of good cause.” </w:t>
      </w:r>
      <w:hyperlink r:id="rId2744" w:history="1">
        <w:r w:rsidRPr="00346E6A">
          <w:rPr>
            <w:rStyle w:val="Hyperlink"/>
          </w:rPr>
          <w:t>https://www.njcourts.gov/sites/default/files/court-opinions/2023/a3688-20.pdf</w:t>
        </w:r>
      </w:hyperlink>
      <w:r>
        <w:t xml:space="preserve"> </w:t>
      </w:r>
    </w:p>
    <w:p w14:paraId="07C7C7C9" w14:textId="77777777" w:rsidR="008A4533" w:rsidRPr="00373FBE" w:rsidRDefault="008A4533" w:rsidP="008A4533">
      <w:pPr>
        <w:pStyle w:val="ekqk"/>
        <w:ind w:left="720"/>
        <w:rPr>
          <w:sz w:val="20"/>
          <w:szCs w:val="20"/>
        </w:rPr>
      </w:pPr>
      <w:r>
        <w:t xml:space="preserve">See March 2, </w:t>
      </w:r>
      <w:proofErr w:type="gramStart"/>
      <w:r>
        <w:t>2016</w:t>
      </w:r>
      <w:proofErr w:type="gramEnd"/>
      <w:r>
        <w:t xml:space="preserve"> article about his arrest: “</w:t>
      </w:r>
      <w:r w:rsidRPr="00373FBE">
        <w:rPr>
          <w:b/>
          <w:bCs/>
        </w:rPr>
        <w:t>At-home dispute between Newark firefighters end in gunfire, arrest</w:t>
      </w:r>
      <w:r>
        <w:rPr>
          <w:b/>
          <w:bCs/>
        </w:rPr>
        <w:t>.”</w:t>
      </w:r>
      <w:r w:rsidRPr="00373FBE">
        <w:rPr>
          <w:b/>
          <w:bCs/>
        </w:rPr>
        <w:t xml:space="preserve"> </w:t>
      </w:r>
      <w:hyperlink r:id="rId2745" w:history="1">
        <w:r w:rsidRPr="00373FBE">
          <w:rPr>
            <w:rStyle w:val="Hyperlink"/>
          </w:rPr>
          <w:t>https://abc7ny.com/newark-firefighters-firefighter-arrest-gunfire/1228031/</w:t>
        </w:r>
      </w:hyperlink>
      <w:r w:rsidRPr="00373FBE">
        <w:rPr>
          <w:sz w:val="20"/>
          <w:szCs w:val="20"/>
        </w:rPr>
        <w:t xml:space="preserve"> </w:t>
      </w:r>
    </w:p>
    <w:p w14:paraId="164818ED" w14:textId="77777777" w:rsidR="008A4533" w:rsidRDefault="008A4533" w:rsidP="008A4533">
      <w:pPr>
        <w:pStyle w:val="ekqk"/>
        <w:ind w:left="720"/>
      </w:pPr>
      <w:r>
        <w:t>“NEWARK, New Jersey -- Newark authorities say a dispute between two city firefighters at a home where they both live ended with one firing a shot through the other man's apartment door. Gamil Haidara faces several weapons charges. He's been suspended without pay. Authorities say the firefighters live in separate apartments at the Clifton Avenue home. They were arguing late Tuesday night when Haidara allegedly pulled out a gun. The victim ran into his apartment, and authorities say Haidara eventually fired one shot into the door before fleeing the building. Two police officers who happened to be in the area saw Haidara running with a gun in his hand. He was soon arrested. Haidara has been a city firefighter for eight years. Authorities say he was being treated at a hospital for ‘unspecified symptoms,’ but declined further comment. It wasn't known Wednesday if he's retained an attorney.”</w:t>
      </w:r>
    </w:p>
    <w:p w14:paraId="66F10AB2" w14:textId="77777777" w:rsidR="008A4533" w:rsidRPr="00174DB6" w:rsidRDefault="008A4533" w:rsidP="008A4533">
      <w:pPr>
        <w:pStyle w:val="ekqk"/>
        <w:rPr>
          <w:b/>
          <w:bCs/>
        </w:rPr>
      </w:pPr>
      <w:r w:rsidRPr="00174DB6">
        <w:rPr>
          <w:b/>
          <w:bCs/>
        </w:rPr>
        <w:t>Legal Lesson Learned</w:t>
      </w:r>
      <w:r>
        <w:rPr>
          <w:b/>
          <w:bCs/>
        </w:rPr>
        <w:t xml:space="preserve">: Termination for firing </w:t>
      </w:r>
      <w:proofErr w:type="gramStart"/>
      <w:r>
        <w:rPr>
          <w:b/>
          <w:bCs/>
        </w:rPr>
        <w:t>gun</w:t>
      </w:r>
      <w:proofErr w:type="gramEnd"/>
      <w:r>
        <w:rPr>
          <w:b/>
          <w:bCs/>
        </w:rPr>
        <w:t xml:space="preserve"> through apartment door is highly likely going to result in termination. </w:t>
      </w:r>
    </w:p>
    <w:p w14:paraId="5DFCB6D4" w14:textId="77777777" w:rsidR="00D55B6E" w:rsidRDefault="00D55B6E" w:rsidP="00F326E5">
      <w:pPr>
        <w:pStyle w:val="NoSpacing"/>
        <w:rPr>
          <w:rFonts w:ascii="Arial Black" w:hAnsi="Arial Black"/>
          <w:sz w:val="24"/>
          <w:szCs w:val="24"/>
        </w:rPr>
      </w:pPr>
    </w:p>
    <w:p w14:paraId="1EDED03E" w14:textId="0891D749" w:rsidR="008A4533" w:rsidRDefault="008A4533" w:rsidP="00F326E5">
      <w:pPr>
        <w:pStyle w:val="NoSpacing"/>
        <w:rPr>
          <w:rFonts w:ascii="Arial Black" w:hAnsi="Arial Black"/>
          <w:sz w:val="24"/>
          <w:szCs w:val="24"/>
        </w:rPr>
      </w:pPr>
      <w:r>
        <w:rPr>
          <w:rFonts w:ascii="Arial Black" w:hAnsi="Arial Black"/>
          <w:sz w:val="24"/>
          <w:szCs w:val="24"/>
        </w:rPr>
        <w:t>16-78</w:t>
      </w:r>
    </w:p>
    <w:p w14:paraId="65B76E9B" w14:textId="77777777" w:rsidR="008A4533" w:rsidRPr="00265C24" w:rsidRDefault="008A4533" w:rsidP="008A4533">
      <w:pPr>
        <w:pStyle w:val="NormalWeb"/>
        <w:rPr>
          <w:rFonts w:ascii="Arial Black" w:hAnsi="Arial Black"/>
          <w:sz w:val="28"/>
          <w:szCs w:val="28"/>
        </w:rPr>
      </w:pPr>
      <w:r>
        <w:rPr>
          <w:rFonts w:ascii="Arial Black" w:hAnsi="Arial Black"/>
          <w:sz w:val="28"/>
          <w:szCs w:val="28"/>
        </w:rPr>
        <w:t>CT: FF FIRED FIGHT IN STATION - ARRESTED – “HOSTILE WORKPLACE” CLAIM LACKS SPECIFICS – CAN REFILE</w:t>
      </w:r>
    </w:p>
    <w:p w14:paraId="491B2340" w14:textId="77777777" w:rsidR="008A4533" w:rsidRDefault="008A4533" w:rsidP="008A4533">
      <w:pPr>
        <w:pStyle w:val="NormalWeb"/>
      </w:pPr>
      <w:r>
        <w:t xml:space="preserve">On Jan. 6, 2023, in </w:t>
      </w:r>
      <w:r w:rsidRPr="00265C24">
        <w:rPr>
          <w:u w:val="single"/>
        </w:rPr>
        <w:t>Michael Apatow v. Town of Stratford, et al</w:t>
      </w:r>
      <w:r>
        <w:t>., U.S. District Court Judge Janet C. Hall, U.S. District Court for District of Connecticut, granted the defense motion to dismiss.  The firefighter alleges he has PTSD from hostilities from fellow firefighters.  After 13 years on the FD, he was fired on Dec. 20, 2018.  He was arrested and fired for another incident where a firefighter “hid essential components of the plaintiff's fire safety gear…. While tensions were high, another firefighter intervened and cornered Apatow…. This intimidation ‘</w:t>
      </w:r>
      <w:proofErr w:type="spellStart"/>
      <w:r>
        <w:t>forc</w:t>
      </w:r>
      <w:proofErr w:type="spellEnd"/>
      <w:r>
        <w:t xml:space="preserve">[ed Apatow]’ to defend himself.”  Judge held: “However, there are no allegations that the defendants lied to police or made a false report to induce Apatow's arrest. Indeed, Apatow readily admits that he participated in a physical altercation with a colleague…which appears to be the grounds for the call to police, his arrest, and his prosecution… Additionally, if Apatow is alleging that the circumstances of his termination - including the call to police, his arrest, and his subsequent prosecution-were extreme and outrageous, his claim also fails. ‘Connecticut courts have held that a report to the police typically does not constitute the type of ‘extreme and outrageous' conduct necessary to support a claim for intentional infliction of emotional distress.” </w:t>
      </w:r>
      <w:hyperlink r:id="rId2746" w:history="1">
        <w:r w:rsidRPr="00D25822">
          <w:rPr>
            <w:rStyle w:val="Hyperlink"/>
          </w:rPr>
          <w:t>https://public.fastcase.com/J%2FJP6pdidelsXxEE4k%2BLMvAA4wdVAozHclcXP6KMfdj8CYqWYkZ5IhtTDMjNxRFWt37yGVInB8Zz%2FIGBMgeG32vITwI53h9KaHKQGHtOktA%3D?utm_medium=email&amp;_hsmi=226712652&amp;_hsenc=p2ANqtz-_Mw2AEs2jMeK8CMsm-FXL9B_q1HIVWLrxWyxNhgUshAzXtvMAG3R8e40Q3eYuBvp5AUcCDxAlMrpInvyyHAC9DF5hGYw&amp;utm_content=226712652&amp;utm_source=hs_email</w:t>
        </w:r>
      </w:hyperlink>
      <w:r>
        <w:t xml:space="preserve"> </w:t>
      </w:r>
    </w:p>
    <w:p w14:paraId="3124259E" w14:textId="77777777" w:rsidR="008A4533" w:rsidRDefault="008A4533" w:rsidP="008A4533">
      <w:pPr>
        <w:pStyle w:val="NormalWeb"/>
      </w:pPr>
      <w:r>
        <w:t xml:space="preserve">Plaintiff alleges hostile workplace; given 21 days to refile with more details. </w:t>
      </w:r>
    </w:p>
    <w:p w14:paraId="52C3F04B" w14:textId="77777777" w:rsidR="008A4533" w:rsidRDefault="008A4533" w:rsidP="008A4533">
      <w:pPr>
        <w:pStyle w:val="NormalWeb"/>
        <w:ind w:left="720"/>
      </w:pPr>
      <w:r>
        <w:t xml:space="preserve">His “time with the SFD was also marred by epithets from his fellow firefighters in reference to his girlfriend's Black son as well as a working environment that was generally ‘exceedingly hostile and intimidating….’ Heated arguments were a regular occurrence in the firehouse, and these disagreements were known to escalate to violence… On one occasion, a colleague threw a wooden cutting board in a ‘frisbee-like’ manner at the plaintiff.  Apatow attempted to file a written complaint about the incident, but it was refused by the Assistant Chief, who directed him instead to ‘go out back and fight, fight it out….’ The firefighter who flung the cutting board at Apatow faced no disciplinary action, and supervisors at the SFD took ‘no steps’ to ameliorate the hostility among the firefighters…. The state of the work environment induced Post Traumatic Stress </w:t>
      </w:r>
      <w:proofErr w:type="gramStart"/>
      <w:r>
        <w:t>Disorder (‘</w:t>
      </w:r>
      <w:proofErr w:type="gramEnd"/>
      <w:r>
        <w:t xml:space="preserve">PTSD’) and cardiac distress for </w:t>
      </w:r>
      <w:proofErr w:type="gramStart"/>
      <w:r>
        <w:t>Apatow.”</w:t>
      </w:r>
      <w:proofErr w:type="gramEnd"/>
    </w:p>
    <w:p w14:paraId="41E65B8A" w14:textId="77777777" w:rsidR="008A4533" w:rsidRDefault="008A4533" w:rsidP="008A4533">
      <w:pPr>
        <w:pStyle w:val="NormalWeb"/>
        <w:ind w:left="720"/>
      </w:pPr>
      <w:r>
        <w:t>***</w:t>
      </w:r>
    </w:p>
    <w:p w14:paraId="3D52A55C" w14:textId="77777777" w:rsidR="008A4533" w:rsidRDefault="008A4533" w:rsidP="008A4533">
      <w:pPr>
        <w:pStyle w:val="NormalWeb"/>
        <w:ind w:left="720"/>
      </w:pPr>
      <w:r>
        <w:t xml:space="preserve">“The Complaint does not provide detail on the incident that the defendants allege led to Apatow's </w:t>
      </w:r>
      <w:proofErr w:type="gramStart"/>
      <w:r>
        <w:t>firing-noting</w:t>
      </w:r>
      <w:proofErr w:type="gramEnd"/>
      <w:r>
        <w:t xml:space="preserve"> only that the plaintiff was forced to ‘defendant [sic] himself,’ </w:t>
      </w:r>
    </w:p>
    <w:p w14:paraId="269E874D" w14:textId="77777777" w:rsidR="008A4533" w:rsidRDefault="008A4533" w:rsidP="008A4533">
      <w:pPr>
        <w:pStyle w:val="NormalWeb"/>
        <w:ind w:left="720"/>
      </w:pPr>
      <w:r>
        <w:t>***</w:t>
      </w:r>
    </w:p>
    <w:p w14:paraId="2AB95663" w14:textId="77777777" w:rsidR="008A4533" w:rsidRDefault="008A4533" w:rsidP="008A4533">
      <w:pPr>
        <w:pStyle w:val="NormalWeb"/>
        <w:ind w:left="720"/>
      </w:pPr>
      <w:r>
        <w:t>It is unclear from the Complaint and Apatow's Memorandum in Opposition precisely what conduct he alleges is extreme and outrageous. If Apatow intends to assert that it was the discrimination and retaliation he experienced at SFD, his claim fails.</w:t>
      </w:r>
    </w:p>
    <w:p w14:paraId="2333DD66" w14:textId="77777777" w:rsidR="008A4533" w:rsidRDefault="008A4533" w:rsidP="008A4533">
      <w:pPr>
        <w:pStyle w:val="NormalWeb"/>
        <w:ind w:left="720"/>
      </w:pPr>
      <w:r>
        <w:t>***</w:t>
      </w:r>
    </w:p>
    <w:p w14:paraId="17C145D5" w14:textId="77777777" w:rsidR="008A4533" w:rsidRDefault="008A4533" w:rsidP="008A4533">
      <w:pPr>
        <w:pStyle w:val="NormalWeb"/>
        <w:ind w:left="720"/>
      </w:pPr>
      <w:r>
        <w:t xml:space="preserve">Additionally, if Apatow is alleging that the circumstances of his termination- including the call to police, his arrest, and his subsequent prosecution-were extreme and outrageous, his claim also </w:t>
      </w:r>
      <w:proofErr w:type="gramStart"/>
      <w:r>
        <w:t>fails.”</w:t>
      </w:r>
      <w:proofErr w:type="gramEnd"/>
    </w:p>
    <w:p w14:paraId="6CA0C38F" w14:textId="77777777" w:rsidR="008A4533" w:rsidRPr="00EC4449" w:rsidRDefault="008A4533" w:rsidP="008A4533">
      <w:pPr>
        <w:pStyle w:val="NormalWeb"/>
        <w:rPr>
          <w:b/>
          <w:bCs/>
        </w:rPr>
      </w:pPr>
      <w:r w:rsidRPr="00EC4449">
        <w:rPr>
          <w:b/>
          <w:bCs/>
        </w:rPr>
        <w:t xml:space="preserve">Legal Lesson Learned: </w:t>
      </w:r>
      <w:r>
        <w:rPr>
          <w:b/>
          <w:bCs/>
        </w:rPr>
        <w:t>FD may call police for an assault by a firefighter.</w:t>
      </w:r>
    </w:p>
    <w:p w14:paraId="00AF7210" w14:textId="77777777" w:rsidR="008A4533" w:rsidRDefault="008A4533" w:rsidP="00F326E5">
      <w:pPr>
        <w:pStyle w:val="NoSpacing"/>
        <w:rPr>
          <w:rFonts w:ascii="Arial Black" w:hAnsi="Arial Black"/>
          <w:sz w:val="24"/>
          <w:szCs w:val="24"/>
        </w:rPr>
      </w:pPr>
    </w:p>
    <w:p w14:paraId="24E5C927" w14:textId="77777777" w:rsidR="008A4533" w:rsidRDefault="008A4533" w:rsidP="00F326E5">
      <w:pPr>
        <w:pStyle w:val="NoSpacing"/>
        <w:rPr>
          <w:rFonts w:ascii="Arial Black" w:hAnsi="Arial Black"/>
          <w:sz w:val="24"/>
          <w:szCs w:val="24"/>
        </w:rPr>
      </w:pPr>
    </w:p>
    <w:p w14:paraId="0F0729F3" w14:textId="77777777" w:rsidR="008A4533" w:rsidRDefault="008A4533" w:rsidP="00F326E5">
      <w:pPr>
        <w:pStyle w:val="NoSpacing"/>
        <w:rPr>
          <w:rFonts w:ascii="Arial Black" w:hAnsi="Arial Black"/>
          <w:sz w:val="24"/>
          <w:szCs w:val="24"/>
        </w:rPr>
      </w:pPr>
    </w:p>
    <w:p w14:paraId="1CC312D7" w14:textId="723C5148" w:rsidR="00F31C1B" w:rsidRDefault="00F31C1B" w:rsidP="00F326E5">
      <w:pPr>
        <w:pStyle w:val="NoSpacing"/>
        <w:rPr>
          <w:rFonts w:ascii="Arial Black" w:hAnsi="Arial Black"/>
          <w:sz w:val="24"/>
          <w:szCs w:val="24"/>
        </w:rPr>
      </w:pPr>
      <w:r>
        <w:rPr>
          <w:rFonts w:ascii="Arial Black" w:hAnsi="Arial Black"/>
          <w:sz w:val="24"/>
          <w:szCs w:val="24"/>
        </w:rPr>
        <w:t>16-77</w:t>
      </w:r>
    </w:p>
    <w:p w14:paraId="345D3183" w14:textId="044A0562" w:rsidR="00F31C1B" w:rsidRDefault="00F31C1B" w:rsidP="00F31C1B">
      <w:pPr>
        <w:pStyle w:val="NormalWeb"/>
        <w:rPr>
          <w:rFonts w:ascii="Arial Black" w:hAnsi="Arial Black"/>
          <w:b/>
          <w:bCs/>
          <w:sz w:val="28"/>
          <w:szCs w:val="28"/>
        </w:rPr>
      </w:pPr>
      <w:r>
        <w:rPr>
          <w:rFonts w:ascii="Arial Black" w:hAnsi="Arial Black"/>
          <w:b/>
          <w:bCs/>
          <w:sz w:val="28"/>
          <w:szCs w:val="28"/>
        </w:rPr>
        <w:t>NM: LT. DISCIPLINED FOR “PUSHING HIS RELIGION” – WORKPLACE HOSTILITY NOT SEVERE AND PERVASIVE</w:t>
      </w:r>
    </w:p>
    <w:p w14:paraId="7641358B" w14:textId="77777777" w:rsidR="00F31C1B" w:rsidRDefault="00F31C1B" w:rsidP="00F31C1B">
      <w:pPr>
        <w:pStyle w:val="NormalWeb"/>
      </w:pPr>
      <w:r>
        <w:t xml:space="preserve">On Nov. 30, 2022, in </w:t>
      </w:r>
      <w:r w:rsidRPr="00817A36">
        <w:rPr>
          <w:u w:val="single"/>
        </w:rPr>
        <w:t>Ryan S. Lucero v. City of Albuquerque</w:t>
      </w:r>
      <w:r>
        <w:t xml:space="preserve">, the Court of Appeals of New Mexico held (3 to 0) that trial court properly granted summary judgment for the city; the plaintiff was not disciplined for being a “conservative pro-Christian” but instead for his “pushing his politics and religion on people” while at work and his confrontation with his Captain at Station 5.     </w:t>
      </w:r>
    </w:p>
    <w:p w14:paraId="3EB01639" w14:textId="77777777" w:rsidR="00F31C1B" w:rsidRDefault="00F31C1B" w:rsidP="00F31C1B">
      <w:pPr>
        <w:pStyle w:val="NormalWeb"/>
        <w:ind w:left="720"/>
      </w:pPr>
      <w:r>
        <w:t>“Lucero further maintains that in May 2016, after he was promoted to lieutenant and assigned to Station 5, his captain, A.B., ‘made jokes behind [his] back.’ As proof that his treatment at Station 5 was based on religious animus, Lucero cites an incident with A.B. in June 2016. According to his deposition testimony, Lucero went to A.B.'s office to ask why there was friction between them. A.B.'s response was that he did not like how Lucero ‘push[ed] his politics and religion on people.’ After that, according to Lucero's affidavit, A.</w:t>
      </w:r>
      <w:proofErr w:type="gramStart"/>
      <w:r>
        <w:t>B. ‘</w:t>
      </w:r>
      <w:proofErr w:type="gramEnd"/>
      <w:r>
        <w:t>grabbed [him] and threw [him] against the wall.’</w:t>
      </w:r>
    </w:p>
    <w:p w14:paraId="045164F3" w14:textId="77777777" w:rsidR="00F31C1B" w:rsidRDefault="00F31C1B" w:rsidP="00F31C1B">
      <w:pPr>
        <w:pStyle w:val="NormalWeb"/>
        <w:ind w:left="720"/>
      </w:pPr>
      <w:r>
        <w:t xml:space="preserve">*** </w:t>
      </w:r>
    </w:p>
    <w:p w14:paraId="419A6265" w14:textId="77777777" w:rsidR="00F31C1B" w:rsidRDefault="00F31C1B" w:rsidP="00F31C1B">
      <w:pPr>
        <w:pStyle w:val="NormalWeb"/>
        <w:ind w:left="720"/>
      </w:pPr>
      <w:r>
        <w:t xml:space="preserve">In support of his retaliation claims, Lucero maintains that he was subjected to various retaliatory actions by the </w:t>
      </w:r>
      <w:proofErr w:type="gramStart"/>
      <w:r>
        <w:t>City</w:t>
      </w:r>
      <w:proofErr w:type="gramEnd"/>
      <w:r>
        <w:t xml:space="preserve"> following his report of the June incident to his area commander, in which he expressed his belief that he was being treated differently because of his religion. Such actions included being placed in a floating position and being denied opportunities for overtime and a transfer to his desired station.</w:t>
      </w:r>
    </w:p>
    <w:p w14:paraId="5ABD854C" w14:textId="77777777" w:rsidR="00F31C1B" w:rsidRDefault="00F31C1B" w:rsidP="00F31C1B">
      <w:pPr>
        <w:pStyle w:val="NormalWeb"/>
        <w:ind w:left="720"/>
      </w:pPr>
      <w:r>
        <w:t>***</w:t>
      </w:r>
    </w:p>
    <w:p w14:paraId="4351CE1E" w14:textId="33AF8ED3" w:rsidR="00F31C1B" w:rsidRPr="00F31C1B" w:rsidRDefault="00F31C1B" w:rsidP="00F31C1B">
      <w:pPr>
        <w:pStyle w:val="NoSpacing"/>
        <w:ind w:left="720"/>
        <w:rPr>
          <w:rFonts w:ascii="Times New Roman" w:hAnsi="Times New Roman"/>
          <w:sz w:val="24"/>
          <w:szCs w:val="24"/>
        </w:rPr>
      </w:pPr>
      <w:r w:rsidRPr="00F31C1B">
        <w:rPr>
          <w:rFonts w:ascii="Times New Roman" w:hAnsi="Times New Roman"/>
          <w:sz w:val="24"/>
          <w:szCs w:val="24"/>
        </w:rPr>
        <w:t xml:space="preserve">As relevant here, to make out a hostile work environment claim, Lucero must make two basic showings…. </w:t>
      </w:r>
      <w:proofErr w:type="gramStart"/>
      <w:r w:rsidRPr="00F31C1B">
        <w:rPr>
          <w:rFonts w:ascii="Times New Roman" w:hAnsi="Times New Roman"/>
          <w:sz w:val="24"/>
          <w:szCs w:val="24"/>
        </w:rPr>
        <w:t>First, that</w:t>
      </w:r>
      <w:proofErr w:type="gramEnd"/>
      <w:r w:rsidRPr="00F31C1B">
        <w:rPr>
          <w:rFonts w:ascii="Times New Roman" w:hAnsi="Times New Roman"/>
          <w:sz w:val="24"/>
          <w:szCs w:val="24"/>
        </w:rPr>
        <w:t xml:space="preserve"> he was subjected to an objectively and subjectively hostile work environment.... </w:t>
      </w:r>
      <w:r w:rsidRPr="00F31C1B">
        <w:rPr>
          <w:rStyle w:val="Emphasis"/>
          <w:rFonts w:ascii="Times New Roman" w:hAnsi="Times New Roman"/>
          <w:sz w:val="24"/>
          <w:szCs w:val="24"/>
        </w:rPr>
        <w:t>See id.</w:t>
      </w:r>
      <w:r w:rsidRPr="00F31C1B">
        <w:rPr>
          <w:rFonts w:ascii="Times New Roman" w:hAnsi="Times New Roman"/>
          <w:sz w:val="24"/>
          <w:szCs w:val="24"/>
        </w:rPr>
        <w:t xml:space="preserve">; </w:t>
      </w:r>
      <w:r w:rsidRPr="00F31C1B">
        <w:rPr>
          <w:rStyle w:val="Emphasis"/>
          <w:rFonts w:ascii="Times New Roman" w:hAnsi="Times New Roman"/>
          <w:sz w:val="24"/>
          <w:szCs w:val="24"/>
        </w:rPr>
        <w:t>see also Herald v. Bd. of Regents of Univ. of N.M.</w:t>
      </w:r>
      <w:r w:rsidRPr="00F31C1B">
        <w:rPr>
          <w:rFonts w:ascii="Times New Roman" w:hAnsi="Times New Roman"/>
          <w:sz w:val="24"/>
          <w:szCs w:val="24"/>
        </w:rPr>
        <w:t xml:space="preserve">, 2015-NMCA-104, ¶ 53, 357 P.3d 438 (providing that, to make out a hostile work environment claim, the harassing conduct must be ‘so severe and pervasive that the workplace is transformed into a hostile and abusive environment for the employee’….  Second, that the harassing conduct was based on his religion…. We accordingly affirm the district court's grant of summary judgment on Lucero's religious discrimination claim.” </w:t>
      </w:r>
      <w:hyperlink r:id="rId2747" w:history="1">
        <w:r w:rsidRPr="00F31C1B">
          <w:rPr>
            <w:rStyle w:val="Hyperlink"/>
            <w:rFonts w:ascii="Times New Roman" w:eastAsiaTheme="majorEastAsia" w:hAnsi="Times New Roman"/>
            <w:sz w:val="24"/>
            <w:szCs w:val="24"/>
          </w:rPr>
          <w:t>https://public.fastcase.com/J%2FJP6pdidelsXxEE4k%2BLMpGubXoiBI9N5c5PiCjiKje3s5hlj34tgYA4JUqhEnHu5%2B5A2YVGp5a5q0QWGlZ62xJPhOyoXNaYGEvkYwXaoTE%3D?utm_medium=email&amp;_hsmi=226712652&amp;_hsenc=p2ANqtz-8eQQAtjUmF0fegxTEoYBNzAO-SWgh5MKAZ8ooS_Vj6VgR_AfS9P2NoltKqIQKTjr9fMeFfYMtr9y658qMKNZJxq-ULqA&amp;utm_content=226712652&amp;utm_source=hs_email</w:t>
        </w:r>
      </w:hyperlink>
    </w:p>
    <w:p w14:paraId="3008616D" w14:textId="77777777" w:rsidR="00F31C1B" w:rsidRDefault="00F31C1B" w:rsidP="00F326E5">
      <w:pPr>
        <w:pStyle w:val="NoSpacing"/>
        <w:rPr>
          <w:rFonts w:ascii="Arial Black" w:hAnsi="Arial Black"/>
          <w:sz w:val="24"/>
          <w:szCs w:val="24"/>
        </w:rPr>
      </w:pPr>
    </w:p>
    <w:p w14:paraId="2ED991EB" w14:textId="77777777" w:rsidR="00F31C1B" w:rsidRPr="00F46331" w:rsidRDefault="00F31C1B" w:rsidP="00F31C1B">
      <w:pPr>
        <w:pStyle w:val="NormalWeb"/>
        <w:rPr>
          <w:b/>
          <w:bCs/>
        </w:rPr>
      </w:pPr>
      <w:r w:rsidRPr="00F46331">
        <w:rPr>
          <w:b/>
          <w:bCs/>
        </w:rPr>
        <w:t>Legal Lesson Learned:</w:t>
      </w:r>
      <w:r>
        <w:rPr>
          <w:b/>
          <w:bCs/>
        </w:rPr>
        <w:t xml:space="preserve"> Hostile work atmosphere claim requires proof of “severe” workplace environment. </w:t>
      </w:r>
    </w:p>
    <w:p w14:paraId="6BBFC075" w14:textId="77777777" w:rsidR="00F31C1B" w:rsidRDefault="00F31C1B" w:rsidP="00F31C1B">
      <w:pPr>
        <w:pStyle w:val="NormalWeb"/>
      </w:pPr>
      <w:r>
        <w:tab/>
        <w:t>Note: Court in Footnote 2 referenced plaintiff watching Fox News.</w:t>
      </w:r>
    </w:p>
    <w:p w14:paraId="36472B69" w14:textId="77777777" w:rsidR="00F31C1B" w:rsidRPr="00F46331" w:rsidRDefault="00F31C1B" w:rsidP="00F31C1B">
      <w:pPr>
        <w:pStyle w:val="NormalWeb"/>
        <w:ind w:left="720"/>
        <w:rPr>
          <w:b/>
          <w:bCs/>
        </w:rPr>
      </w:pPr>
      <w:r>
        <w:t>“</w:t>
      </w:r>
      <w:r w:rsidRPr="00F46331">
        <w:t xml:space="preserve">Although Lucero additionally asserts, in an affidavit he submitted in his response to the City's motion for summary judgment, that A.B. criticized him for watching a </w:t>
      </w:r>
      <w:r>
        <w:t>‘</w:t>
      </w:r>
      <w:r w:rsidRPr="00F46331">
        <w:t>conservative, pro-Christian news channel,</w:t>
      </w:r>
      <w:r>
        <w:t>’</w:t>
      </w:r>
      <w:r w:rsidRPr="00F46331">
        <w:t xml:space="preserve"> he does not rely on A.B.'s criticism of Lucero's news source as proof of religious animus. Moreover, the news source Lucero cites is apparently Fox News. In his deposition, Lucero agreed that </w:t>
      </w:r>
      <w:r>
        <w:t>‘</w:t>
      </w:r>
      <w:r w:rsidRPr="00F46331">
        <w:t>Fox News is a well-known Republican-affiliated news source</w:t>
      </w:r>
      <w:r>
        <w:t xml:space="preserve">’ </w:t>
      </w:r>
      <w:r w:rsidRPr="00F46331">
        <w:t xml:space="preserve">and testified that A.B.'s disapproval of Lucero watching Fox News was political, not religious. We observe that, although Lucero alleged discrimination based on </w:t>
      </w:r>
      <w:r>
        <w:t>‘</w:t>
      </w:r>
      <w:r w:rsidRPr="00F46331">
        <w:t>political views</w:t>
      </w:r>
      <w:r>
        <w:t>’</w:t>
      </w:r>
      <w:r w:rsidRPr="00F46331">
        <w:t xml:space="preserve"> in his administrative grievance, he did not advance such a claim in his complaint in district court, nor did he raise any claim based on the First Amendment to the United States Constitution. We therefore disregard his assertions concerning the news channel.</w:t>
      </w:r>
      <w:r>
        <w:t>”</w:t>
      </w:r>
    </w:p>
    <w:p w14:paraId="377023A8" w14:textId="77777777" w:rsidR="00F31C1B" w:rsidRDefault="00F31C1B" w:rsidP="00F326E5">
      <w:pPr>
        <w:pStyle w:val="NoSpacing"/>
        <w:rPr>
          <w:rFonts w:ascii="Arial Black" w:hAnsi="Arial Black"/>
          <w:sz w:val="24"/>
          <w:szCs w:val="24"/>
        </w:rPr>
      </w:pPr>
    </w:p>
    <w:p w14:paraId="0B2F40E7" w14:textId="77777777" w:rsidR="00F31C1B" w:rsidRDefault="00F31C1B" w:rsidP="00F326E5">
      <w:pPr>
        <w:pStyle w:val="NoSpacing"/>
        <w:rPr>
          <w:rFonts w:ascii="Arial Black" w:hAnsi="Arial Black"/>
          <w:sz w:val="24"/>
          <w:szCs w:val="24"/>
        </w:rPr>
      </w:pPr>
    </w:p>
    <w:p w14:paraId="4065D204" w14:textId="7376E746" w:rsidR="00F31C1B" w:rsidRDefault="00F31C1B" w:rsidP="00F326E5">
      <w:pPr>
        <w:pStyle w:val="NoSpacing"/>
        <w:rPr>
          <w:rFonts w:ascii="Arial Black" w:hAnsi="Arial Black"/>
          <w:sz w:val="24"/>
          <w:szCs w:val="24"/>
        </w:rPr>
      </w:pPr>
      <w:r>
        <w:rPr>
          <w:rFonts w:ascii="Arial Black" w:hAnsi="Arial Black"/>
          <w:sz w:val="24"/>
          <w:szCs w:val="24"/>
        </w:rPr>
        <w:t>16-76</w:t>
      </w:r>
    </w:p>
    <w:p w14:paraId="33934AE3" w14:textId="34ACB404" w:rsidR="00F31C1B" w:rsidRDefault="00F31C1B" w:rsidP="00F326E5">
      <w:pPr>
        <w:pStyle w:val="NoSpacing"/>
        <w:rPr>
          <w:rFonts w:ascii="Arial Black" w:hAnsi="Arial Black"/>
          <w:sz w:val="24"/>
          <w:szCs w:val="24"/>
        </w:rPr>
      </w:pPr>
    </w:p>
    <w:p w14:paraId="16874A0D" w14:textId="77777777" w:rsidR="00F31C1B" w:rsidRDefault="00F31C1B" w:rsidP="00F31C1B">
      <w:pPr>
        <w:pStyle w:val="NormalWeb"/>
        <w:rPr>
          <w:rFonts w:ascii="Arial Black" w:hAnsi="Arial Black"/>
          <w:sz w:val="28"/>
          <w:szCs w:val="28"/>
        </w:rPr>
      </w:pPr>
      <w:r>
        <w:rPr>
          <w:rFonts w:ascii="Arial Black" w:hAnsi="Arial Black"/>
          <w:sz w:val="28"/>
          <w:szCs w:val="28"/>
        </w:rPr>
        <w:t xml:space="preserve">IN: VOLUNTEER FF – PLED GULTY ARSON - 5 STRUCTURE FIRES, WANTED TO BE “HERO” – 20 YEARS PRISON </w:t>
      </w:r>
    </w:p>
    <w:p w14:paraId="5F308BDE" w14:textId="77777777" w:rsidR="00F31C1B" w:rsidRDefault="00F31C1B" w:rsidP="00F31C1B">
      <w:pPr>
        <w:pStyle w:val="NormalWeb"/>
      </w:pPr>
      <w:r>
        <w:t xml:space="preserve">On Nov. 29, 2022, in </w:t>
      </w:r>
      <w:r w:rsidRPr="00957183">
        <w:rPr>
          <w:u w:val="single"/>
        </w:rPr>
        <w:t>Adam Selbee v. State of Indiana</w:t>
      </w:r>
      <w:r>
        <w:t>, the Court of Appeals of Indiana held (3 to 0) that the defendant knowingly pled guilty after consulting with legal counsel; his claim of ineffective legal counsel is denied. Selbee pled guilty to the arson charges and was sentenced, pursuant to the terms of his plea agreement, to an aggregate term of thirty-two years, with twenty years executed and twelve years suspended to probation.</w:t>
      </w:r>
    </w:p>
    <w:p w14:paraId="6472B7DC" w14:textId="77777777" w:rsidR="00F31C1B" w:rsidRDefault="00F31C1B" w:rsidP="00F31C1B">
      <w:pPr>
        <w:pStyle w:val="NormalWeb"/>
        <w:ind w:left="720"/>
      </w:pPr>
      <w:r>
        <w:t>“Beginning in July of 2016, Selbee, using combustibles or ignitable liquid, set five structure fires and three ;hay bale fires….’ The structure fires included the following types of buildings: a gymnasium, a non-residential structure on a couple's property, and a residence. The fires were set on different days in July, September, and October of 2016. In addition to setting the fires, Selbee-who was a volunteer fire fighter and an EMT-later indicated that ‘he said [he] enjoyed responding to [the fires] and, and kind of being a hero</w:t>
      </w:r>
      <w:proofErr w:type="gramStart"/>
      <w:r>
        <w:t>.…</w:t>
      </w:r>
      <w:proofErr w:type="gramEnd"/>
      <w:r>
        <w:t xml:space="preserve"> He kind of got a pleasure from doing that…. ‘ </w:t>
      </w:r>
    </w:p>
    <w:p w14:paraId="20046890" w14:textId="77777777" w:rsidR="00F31C1B" w:rsidRPr="00376BC8" w:rsidRDefault="00F31C1B" w:rsidP="00F31C1B">
      <w:pPr>
        <w:pStyle w:val="NormalWeb"/>
        <w:ind w:left="720"/>
        <w:rPr>
          <w:rFonts w:ascii="Arial Black" w:hAnsi="Arial Black"/>
          <w:b/>
          <w:bCs/>
          <w:sz w:val="28"/>
          <w:szCs w:val="28"/>
        </w:rPr>
      </w:pPr>
      <w:r>
        <w:t>***</w:t>
      </w:r>
    </w:p>
    <w:p w14:paraId="6082D737" w14:textId="420DDF2E" w:rsidR="00F31C1B" w:rsidRPr="00F31C1B" w:rsidRDefault="00F31C1B" w:rsidP="00F31C1B">
      <w:pPr>
        <w:pStyle w:val="NoSpacing"/>
        <w:ind w:left="720"/>
        <w:rPr>
          <w:rStyle w:val="Hyperlink"/>
          <w:rFonts w:ascii="Times New Roman" w:eastAsiaTheme="majorEastAsia" w:hAnsi="Times New Roman"/>
          <w:sz w:val="24"/>
          <w:szCs w:val="24"/>
        </w:rPr>
      </w:pPr>
      <w:r w:rsidRPr="00F31C1B">
        <w:rPr>
          <w:rFonts w:ascii="Times New Roman" w:hAnsi="Times New Roman"/>
          <w:sz w:val="24"/>
          <w:szCs w:val="24"/>
        </w:rPr>
        <w:t xml:space="preserve">On May 25, 2017, Selbee entered into a plea agreement, under the terms of which Selbee agreed to plead guilty to all four arson counts in exchange for the dismissal of the criminal-mischief counts and a separate criminal case.” </w:t>
      </w:r>
      <w:hyperlink r:id="rId2748" w:history="1">
        <w:r w:rsidRPr="00F31C1B">
          <w:rPr>
            <w:rStyle w:val="Hyperlink"/>
            <w:rFonts w:ascii="Times New Roman" w:eastAsiaTheme="majorEastAsia" w:hAnsi="Times New Roman"/>
            <w:sz w:val="24"/>
            <w:szCs w:val="24"/>
          </w:rPr>
          <w:t>https://public.courts.in.gov/Decisions/api/Document/Opinion?Id=BlYPkLxVHgH9AX_il3izt1lEOiPnwm0plhkYRvgS1Eap1sEgbSi8um2d6l97LpRN0</w:t>
        </w:r>
      </w:hyperlink>
    </w:p>
    <w:p w14:paraId="2937AF1F" w14:textId="5845EFB5" w:rsidR="00F31C1B" w:rsidRDefault="00F31C1B" w:rsidP="00F31C1B">
      <w:pPr>
        <w:pStyle w:val="NoSpacing"/>
        <w:rPr>
          <w:rStyle w:val="Hyperlink"/>
          <w:rFonts w:eastAsiaTheme="majorEastAsia"/>
        </w:rPr>
      </w:pPr>
    </w:p>
    <w:p w14:paraId="2B5C197A" w14:textId="77777777" w:rsidR="00F31C1B" w:rsidRPr="00BF28F1" w:rsidRDefault="00F31C1B" w:rsidP="00F31C1B">
      <w:pPr>
        <w:pStyle w:val="NormalWeb"/>
        <w:rPr>
          <w:b/>
          <w:bCs/>
          <w:vertAlign w:val="superscript"/>
        </w:rPr>
      </w:pPr>
      <w:r w:rsidRPr="00BF28F1">
        <w:rPr>
          <w:b/>
          <w:bCs/>
        </w:rPr>
        <w:t>Legal Lesson Learned:</w:t>
      </w:r>
      <w:r>
        <w:rPr>
          <w:b/>
          <w:bCs/>
        </w:rPr>
        <w:t xml:space="preserve">  Arsons by firefighters seeking to be “heroes” is unfortunately a </w:t>
      </w:r>
      <w:proofErr w:type="spellStart"/>
      <w:proofErr w:type="gramStart"/>
      <w:r>
        <w:rPr>
          <w:b/>
          <w:bCs/>
        </w:rPr>
        <w:t>well known</w:t>
      </w:r>
      <w:proofErr w:type="spellEnd"/>
      <w:proofErr w:type="gramEnd"/>
      <w:r>
        <w:rPr>
          <w:b/>
          <w:bCs/>
        </w:rPr>
        <w:t xml:space="preserve"> issue. </w:t>
      </w:r>
    </w:p>
    <w:p w14:paraId="074A190B" w14:textId="77777777" w:rsidR="00F31C1B" w:rsidRPr="00BF28F1" w:rsidRDefault="00F31C1B" w:rsidP="00F31C1B">
      <w:pPr>
        <w:pStyle w:val="NormalWeb"/>
        <w:ind w:left="720"/>
      </w:pPr>
      <w:r w:rsidRPr="00BF28F1">
        <w:t>Note: See articles on firefighter</w:t>
      </w:r>
      <w:r>
        <w:t xml:space="preserve"> </w:t>
      </w:r>
      <w:r w:rsidRPr="00BF28F1">
        <w:t>arsonists.</w:t>
      </w:r>
    </w:p>
    <w:p w14:paraId="40AF658E" w14:textId="77777777" w:rsidR="00F31C1B" w:rsidRPr="00BF28F1" w:rsidRDefault="00F31C1B" w:rsidP="00F31C1B">
      <w:pPr>
        <w:pStyle w:val="NormalWeb"/>
        <w:ind w:left="720"/>
      </w:pPr>
      <w:hyperlink r:id="rId2749" w:history="1">
        <w:r w:rsidRPr="00BF28F1">
          <w:rPr>
            <w:rStyle w:val="Hyperlink"/>
            <w:rFonts w:eastAsiaTheme="majorEastAsia"/>
          </w:rPr>
          <w:t>https://www.nvfc.org/firefighter-arson/</w:t>
        </w:r>
      </w:hyperlink>
      <w:r w:rsidRPr="00BF28F1">
        <w:t xml:space="preserve"> </w:t>
      </w:r>
    </w:p>
    <w:p w14:paraId="23D7D905" w14:textId="77777777" w:rsidR="00F31C1B" w:rsidRPr="00BF28F1" w:rsidRDefault="00F31C1B" w:rsidP="00F31C1B">
      <w:pPr>
        <w:pStyle w:val="NormalWeb"/>
        <w:ind w:left="720"/>
      </w:pPr>
      <w:hyperlink r:id="rId2750" w:history="1">
        <w:r w:rsidRPr="00BF28F1">
          <w:rPr>
            <w:rStyle w:val="Hyperlink"/>
            <w:rFonts w:eastAsiaTheme="majorEastAsia"/>
          </w:rPr>
          <w:t>https://www.firerescue1.com/arson-investigation/articles/understanding-the-firefighter-arsonist-j06dtElH3OMZMwBS/</w:t>
        </w:r>
      </w:hyperlink>
      <w:r w:rsidRPr="00BF28F1">
        <w:t xml:space="preserve"> </w:t>
      </w:r>
    </w:p>
    <w:p w14:paraId="2AAD65E4" w14:textId="77777777" w:rsidR="00F31C1B" w:rsidRPr="00BF28F1" w:rsidRDefault="00F31C1B" w:rsidP="00F31C1B">
      <w:pPr>
        <w:pStyle w:val="NormalWeb"/>
        <w:ind w:left="720"/>
      </w:pPr>
      <w:hyperlink r:id="rId2751" w:history="1">
        <w:r w:rsidRPr="00BF28F1">
          <w:rPr>
            <w:rStyle w:val="Hyperlink"/>
            <w:rFonts w:eastAsiaTheme="majorEastAsia"/>
          </w:rPr>
          <w:t>https://www.cbc.ca/news/canada/edmonton/fires-set-by-firefighters-a-long-standing-problem-experts-say-1.3563183</w:t>
        </w:r>
      </w:hyperlink>
      <w:r w:rsidRPr="00BF28F1">
        <w:t xml:space="preserve"> </w:t>
      </w:r>
    </w:p>
    <w:p w14:paraId="592AA3D5" w14:textId="77777777" w:rsidR="00F31C1B" w:rsidRPr="00BF28F1" w:rsidRDefault="00F31C1B" w:rsidP="00F31C1B">
      <w:pPr>
        <w:pStyle w:val="NormalWeb"/>
        <w:ind w:left="720"/>
      </w:pPr>
      <w:hyperlink r:id="rId2752" w:history="1">
        <w:r w:rsidRPr="00BF28F1">
          <w:rPr>
            <w:rStyle w:val="Hyperlink"/>
            <w:rFonts w:eastAsiaTheme="majorEastAsia"/>
          </w:rPr>
          <w:t>https://burned.journalism.cuny.edu/the-diverse-minds-of-arsonists/</w:t>
        </w:r>
      </w:hyperlink>
      <w:r w:rsidRPr="00BF28F1">
        <w:t xml:space="preserve"> </w:t>
      </w:r>
    </w:p>
    <w:p w14:paraId="53DC1192" w14:textId="77777777" w:rsidR="00F31C1B" w:rsidRPr="00BF28F1" w:rsidRDefault="00F31C1B" w:rsidP="00F31C1B">
      <w:pPr>
        <w:pStyle w:val="NormalWeb"/>
        <w:ind w:left="720"/>
      </w:pPr>
      <w:hyperlink r:id="rId2753" w:history="1">
        <w:r w:rsidRPr="00BF28F1">
          <w:rPr>
            <w:rStyle w:val="Hyperlink"/>
            <w:rFonts w:eastAsiaTheme="majorEastAsia"/>
          </w:rPr>
          <w:t>https://edmontonjournal.com/news/crime/firefighters-who-start-fires-a-look-at-the-phenomenon-of-firefighter-arson</w:t>
        </w:r>
      </w:hyperlink>
      <w:r w:rsidRPr="00BF28F1">
        <w:t xml:space="preserve">  </w:t>
      </w:r>
    </w:p>
    <w:p w14:paraId="3C9AFD29" w14:textId="77777777" w:rsidR="00F31C1B" w:rsidRDefault="00F31C1B" w:rsidP="00F31C1B">
      <w:pPr>
        <w:pStyle w:val="NoSpacing"/>
        <w:rPr>
          <w:rFonts w:ascii="Times New Roman" w:hAnsi="Times New Roman"/>
          <w:sz w:val="24"/>
          <w:szCs w:val="24"/>
        </w:rPr>
      </w:pPr>
    </w:p>
    <w:p w14:paraId="56C106A9" w14:textId="77777777" w:rsidR="00F31C1B" w:rsidRDefault="00F31C1B" w:rsidP="00F326E5">
      <w:pPr>
        <w:pStyle w:val="NoSpacing"/>
        <w:rPr>
          <w:rFonts w:ascii="Arial Black" w:hAnsi="Arial Black"/>
          <w:sz w:val="24"/>
          <w:szCs w:val="24"/>
        </w:rPr>
      </w:pPr>
    </w:p>
    <w:p w14:paraId="3CF6CEF3" w14:textId="5A6F7CE6" w:rsidR="00F31C1B" w:rsidRDefault="00F31C1B" w:rsidP="00F326E5">
      <w:pPr>
        <w:pStyle w:val="NoSpacing"/>
        <w:rPr>
          <w:rFonts w:ascii="Arial Black" w:hAnsi="Arial Black"/>
          <w:sz w:val="24"/>
          <w:szCs w:val="24"/>
        </w:rPr>
      </w:pPr>
      <w:r>
        <w:rPr>
          <w:rFonts w:ascii="Arial Black" w:hAnsi="Arial Black"/>
          <w:sz w:val="24"/>
          <w:szCs w:val="24"/>
        </w:rPr>
        <w:t>16-75</w:t>
      </w:r>
    </w:p>
    <w:p w14:paraId="127C7C1B" w14:textId="77777777" w:rsidR="00F31C1B" w:rsidRDefault="00F31C1B" w:rsidP="00F326E5">
      <w:pPr>
        <w:pStyle w:val="NoSpacing"/>
        <w:rPr>
          <w:rFonts w:ascii="Arial Black" w:hAnsi="Arial Black"/>
          <w:sz w:val="24"/>
          <w:szCs w:val="24"/>
        </w:rPr>
      </w:pPr>
    </w:p>
    <w:p w14:paraId="73C4446A" w14:textId="77777777" w:rsidR="00F31C1B" w:rsidRDefault="00F31C1B" w:rsidP="00F31C1B">
      <w:pPr>
        <w:pStyle w:val="NormalWeb"/>
        <w:rPr>
          <w:rFonts w:ascii="Arial Black" w:hAnsi="Arial Black"/>
          <w:b/>
          <w:bCs/>
          <w:sz w:val="28"/>
          <w:szCs w:val="28"/>
        </w:rPr>
      </w:pPr>
      <w:r>
        <w:rPr>
          <w:rFonts w:ascii="Arial Black" w:hAnsi="Arial Black"/>
          <w:b/>
          <w:bCs/>
          <w:sz w:val="28"/>
          <w:szCs w:val="28"/>
        </w:rPr>
        <w:t xml:space="preserve">GA: BREACH CHAIN OF COMMAND – FF CALLED COUNTY COMM. AIDE – 5 TRUCKS OOS - DEMOTED, NO 1st. AMEND. </w:t>
      </w:r>
    </w:p>
    <w:p w14:paraId="4B818241" w14:textId="77777777" w:rsidR="00F31C1B" w:rsidRDefault="00F31C1B" w:rsidP="00F31C1B">
      <w:pPr>
        <w:pStyle w:val="NormalWeb"/>
      </w:pPr>
      <w:r w:rsidRPr="003F09C4">
        <w:t xml:space="preserve">On </w:t>
      </w:r>
      <w:r>
        <w:t xml:space="preserve">Nov. 22, 2022, in </w:t>
      </w:r>
      <w:r w:rsidRPr="003F09C4">
        <w:rPr>
          <w:u w:val="single"/>
        </w:rPr>
        <w:t>Scott Millspaugh v. Conn County Fire And Emergency Services</w:t>
      </w:r>
      <w:r>
        <w:t>, the U.S. Court of Appeals for the 11</w:t>
      </w:r>
      <w:r w:rsidRPr="003F09C4">
        <w:rPr>
          <w:vertAlign w:val="superscript"/>
        </w:rPr>
        <w:t>th</w:t>
      </w:r>
      <w:r>
        <w:t xml:space="preserve"> Circuit (Atlanta) held (3 to 0 ) (unpublished decision) that trial court properly granted summary judgment for Cobb County; the firefighter failed to go up chain of command about his concerns about apparatus and staffing before leaving voicemail with Commissioner’s assistant and was properly demoted from FF III to FF II. </w:t>
      </w:r>
    </w:p>
    <w:p w14:paraId="426ED93F" w14:textId="77777777" w:rsidR="00F31C1B" w:rsidRDefault="00F31C1B" w:rsidP="00F31C1B">
      <w:pPr>
        <w:pStyle w:val="NormalWeb"/>
        <w:ind w:left="720"/>
      </w:pPr>
      <w:r>
        <w:t>“[W[e hold that Millspaugh spoke as a public employee when leaving his voicemail and that his voicemail was not protected by the First Amendment. We also hold that the Individual Defendants were entitled to qualified immunity. We, therefore, affirm the district court's order granting summary judgment. ***   But even if Millspaugh's voicemail were protected speech under the First Amendment, the district court correctly determined that the Defendants' interest in promoting the efficiency of fire suppression services outweighed Millspaugh's interest in the speech.”</w:t>
      </w:r>
      <w:r>
        <w:rPr>
          <w:rStyle w:val="Emphasis"/>
        </w:rPr>
        <w:t xml:space="preserve"> </w:t>
      </w:r>
      <w:hyperlink r:id="rId2754" w:history="1">
        <w:r w:rsidRPr="003B3F7F">
          <w:rPr>
            <w:rStyle w:val="Hyperlink"/>
            <w:rFonts w:eastAsiaTheme="majorEastAsia"/>
          </w:rPr>
          <w:t>https://law.justia.com/cases/federal/appellate-courts/ca11/22-10132/22-10132-2022-11-22.html</w:t>
        </w:r>
      </w:hyperlink>
      <w:r>
        <w:t xml:space="preserve"> </w:t>
      </w:r>
    </w:p>
    <w:p w14:paraId="518BB491" w14:textId="77777777" w:rsidR="00F31C1B" w:rsidRPr="00E3663A" w:rsidRDefault="00F31C1B" w:rsidP="00F31C1B">
      <w:pPr>
        <w:pStyle w:val="NormalWeb"/>
        <w:rPr>
          <w:b/>
          <w:bCs/>
        </w:rPr>
      </w:pPr>
      <w:r w:rsidRPr="00E3663A">
        <w:rPr>
          <w:b/>
          <w:bCs/>
        </w:rPr>
        <w:t>Legal Lesson Learned:</w:t>
      </w:r>
      <w:r>
        <w:rPr>
          <w:b/>
          <w:bCs/>
        </w:rPr>
        <w:t xml:space="preserve"> Breaching chain of command can result in discipline.  First Amendment only protects firefighter’s speech when speaking as a citizen on a matter of interest to public. </w:t>
      </w:r>
    </w:p>
    <w:p w14:paraId="77E76750" w14:textId="77777777" w:rsidR="00F31C1B" w:rsidRDefault="00F31C1B" w:rsidP="00F326E5">
      <w:pPr>
        <w:pStyle w:val="NoSpacing"/>
        <w:rPr>
          <w:rFonts w:ascii="Arial Black" w:hAnsi="Arial Black"/>
          <w:sz w:val="24"/>
          <w:szCs w:val="24"/>
        </w:rPr>
      </w:pPr>
    </w:p>
    <w:p w14:paraId="7EFAB8DC" w14:textId="77777777" w:rsidR="00F31C1B" w:rsidRDefault="00F31C1B" w:rsidP="00F326E5">
      <w:pPr>
        <w:pStyle w:val="NoSpacing"/>
        <w:rPr>
          <w:rFonts w:ascii="Arial Black" w:hAnsi="Arial Black"/>
          <w:sz w:val="24"/>
          <w:szCs w:val="24"/>
        </w:rPr>
      </w:pPr>
    </w:p>
    <w:p w14:paraId="5FC06A8B" w14:textId="77777777" w:rsidR="00F31C1B" w:rsidRDefault="00F31C1B" w:rsidP="00F326E5">
      <w:pPr>
        <w:pStyle w:val="NoSpacing"/>
        <w:rPr>
          <w:rFonts w:ascii="Arial Black" w:hAnsi="Arial Black"/>
          <w:sz w:val="24"/>
          <w:szCs w:val="24"/>
        </w:rPr>
      </w:pPr>
    </w:p>
    <w:p w14:paraId="3020BE39" w14:textId="79F6D2A1" w:rsidR="00F31C1B" w:rsidRDefault="00F31C1B" w:rsidP="00F326E5">
      <w:pPr>
        <w:pStyle w:val="NoSpacing"/>
        <w:rPr>
          <w:rFonts w:ascii="Arial Black" w:hAnsi="Arial Black"/>
          <w:sz w:val="24"/>
          <w:szCs w:val="24"/>
        </w:rPr>
      </w:pPr>
      <w:r>
        <w:rPr>
          <w:rFonts w:ascii="Arial Black" w:hAnsi="Arial Black"/>
          <w:sz w:val="24"/>
          <w:szCs w:val="24"/>
        </w:rPr>
        <w:t>16-74</w:t>
      </w:r>
    </w:p>
    <w:p w14:paraId="0CFB752F" w14:textId="25CB537C" w:rsidR="00F31C1B" w:rsidRDefault="00F31C1B" w:rsidP="00F326E5">
      <w:pPr>
        <w:pStyle w:val="NoSpacing"/>
        <w:rPr>
          <w:rFonts w:ascii="Arial Black" w:hAnsi="Arial Black"/>
          <w:sz w:val="24"/>
          <w:szCs w:val="24"/>
        </w:rPr>
      </w:pPr>
    </w:p>
    <w:p w14:paraId="79FBC192" w14:textId="77777777" w:rsidR="009C612E" w:rsidRDefault="009C612E" w:rsidP="009C612E">
      <w:pPr>
        <w:pStyle w:val="NormalWeb"/>
        <w:rPr>
          <w:rFonts w:ascii="Arial Black" w:hAnsi="Arial Black"/>
          <w:b/>
          <w:bCs/>
          <w:sz w:val="28"/>
          <w:szCs w:val="28"/>
        </w:rPr>
      </w:pPr>
      <w:r>
        <w:rPr>
          <w:rFonts w:ascii="Arial Black" w:hAnsi="Arial Black"/>
          <w:b/>
          <w:bCs/>
          <w:sz w:val="28"/>
          <w:szCs w:val="28"/>
        </w:rPr>
        <w:t xml:space="preserve">CA: CAPT. FIRED - ASSUALT BROTHER (FF) AT PARTY – NO “WHISTLEBLOWER” DEFENSE FOR RPT. BROTHER’S FRAUD </w:t>
      </w:r>
    </w:p>
    <w:p w14:paraId="5648DBA7" w14:textId="77777777" w:rsidR="00F31C1B" w:rsidRDefault="00F31C1B" w:rsidP="00F31C1B">
      <w:pPr>
        <w:pStyle w:val="NormalWeb"/>
      </w:pPr>
      <w:r w:rsidRPr="00AC5A14">
        <w:t xml:space="preserve">On </w:t>
      </w:r>
      <w:r>
        <w:t xml:space="preserve">Nov. 14, 2022, in </w:t>
      </w:r>
      <w:r w:rsidRPr="000661F4">
        <w:rPr>
          <w:u w:val="single"/>
        </w:rPr>
        <w:t xml:space="preserve">Sean Olguin v. City of </w:t>
      </w:r>
      <w:proofErr w:type="spellStart"/>
      <w:r w:rsidRPr="000661F4">
        <w:rPr>
          <w:u w:val="single"/>
        </w:rPr>
        <w:t>Hollistter</w:t>
      </w:r>
      <w:proofErr w:type="spellEnd"/>
      <w:r>
        <w:t xml:space="preserve">, the California Court of Appeals, Sixth Circuit, held (3 to 0; unpublished opinion) that Captain was properly fired, after a pre-termination meeting with Fire Chief, and then hearing with City Manager.  During these meetings he claimed his </w:t>
      </w:r>
      <w:proofErr w:type="spellStart"/>
      <w:proofErr w:type="gramStart"/>
      <w:r>
        <w:t>bother</w:t>
      </w:r>
      <w:proofErr w:type="spellEnd"/>
      <w:proofErr w:type="gramEnd"/>
      <w:r>
        <w:t xml:space="preserve"> was committing insurance fraud by faking his injuries; but there is no causal link between plaintiff's disclosure and his termination.</w:t>
      </w:r>
    </w:p>
    <w:p w14:paraId="441F761A" w14:textId="77777777" w:rsidR="00F31C1B" w:rsidRDefault="00F31C1B" w:rsidP="00F31C1B">
      <w:pPr>
        <w:pStyle w:val="NormalWeb"/>
        <w:ind w:left="720"/>
      </w:pPr>
      <w:r>
        <w:t>“The allegations in plaintiff's complaint are based on his disclosure of unlawful conduct (in the form of insurance fraud) by plaintiff's brother, a city firefighter.</w:t>
      </w:r>
    </w:p>
    <w:p w14:paraId="06029486" w14:textId="77777777" w:rsidR="00F31C1B" w:rsidRDefault="00F31C1B" w:rsidP="00F31C1B">
      <w:pPr>
        <w:pStyle w:val="NormalWeb"/>
        <w:ind w:firstLine="720"/>
      </w:pPr>
      <w:r>
        <w:t>***</w:t>
      </w:r>
    </w:p>
    <w:p w14:paraId="044E737F" w14:textId="2C087A53" w:rsidR="00F31C1B" w:rsidRPr="00F31C1B" w:rsidRDefault="00F31C1B" w:rsidP="00F31C1B">
      <w:pPr>
        <w:pStyle w:val="NoSpacing"/>
        <w:ind w:left="720"/>
        <w:rPr>
          <w:rFonts w:ascii="Times New Roman" w:hAnsi="Times New Roman"/>
          <w:sz w:val="24"/>
          <w:szCs w:val="24"/>
        </w:rPr>
      </w:pPr>
      <w:r w:rsidRPr="00F31C1B">
        <w:rPr>
          <w:rFonts w:ascii="Times New Roman" w:hAnsi="Times New Roman"/>
          <w:sz w:val="24"/>
          <w:szCs w:val="24"/>
        </w:rPr>
        <w:t xml:space="preserve">Plaintiff's complaint nonetheless fails as a matter of law because it draws no causal link between plaintiff's disclosure and his termination. </w:t>
      </w:r>
      <w:proofErr w:type="gramStart"/>
      <w:r w:rsidRPr="00F31C1B">
        <w:rPr>
          <w:rFonts w:ascii="Times New Roman" w:hAnsi="Times New Roman"/>
          <w:sz w:val="24"/>
          <w:szCs w:val="24"/>
        </w:rPr>
        <w:t>Plaintiff was</w:t>
      </w:r>
      <w:proofErr w:type="gramEnd"/>
      <w:r w:rsidRPr="00F31C1B">
        <w:rPr>
          <w:rFonts w:ascii="Times New Roman" w:hAnsi="Times New Roman"/>
          <w:sz w:val="24"/>
          <w:szCs w:val="24"/>
        </w:rPr>
        <w:t xml:space="preserve"> issued a notice of intended termination in October 2019, following an extensive internal affairs investigation into the October 2018 altercation. Plaintiff's </w:t>
      </w:r>
      <w:r w:rsidRPr="00F31C1B">
        <w:rPr>
          <w:rStyle w:val="Emphasis"/>
          <w:rFonts w:ascii="Times New Roman" w:hAnsi="Times New Roman"/>
          <w:sz w:val="24"/>
          <w:szCs w:val="24"/>
        </w:rPr>
        <w:t>Skelly</w:t>
      </w:r>
      <w:r w:rsidRPr="00F31C1B">
        <w:rPr>
          <w:rFonts w:ascii="Times New Roman" w:hAnsi="Times New Roman"/>
          <w:sz w:val="24"/>
          <w:szCs w:val="24"/>
        </w:rPr>
        <w:t xml:space="preserve"> hearing-at which he challenged the misconduct charges in part through disclosure about his brother's alleged fraud-occurred after the investigation and notice of intended termination…. If the rules </w:t>
      </w:r>
      <w:proofErr w:type="gramStart"/>
      <w:r w:rsidRPr="00F31C1B">
        <w:rPr>
          <w:rFonts w:ascii="Times New Roman" w:hAnsi="Times New Roman"/>
          <w:sz w:val="24"/>
          <w:szCs w:val="24"/>
        </w:rPr>
        <w:t>were</w:t>
      </w:r>
      <w:proofErr w:type="gramEnd"/>
      <w:r w:rsidRPr="00F31C1B">
        <w:rPr>
          <w:rFonts w:ascii="Times New Roman" w:hAnsi="Times New Roman"/>
          <w:sz w:val="24"/>
          <w:szCs w:val="24"/>
        </w:rPr>
        <w:t xml:space="preserve"> otherwise, a plaintiff could orchestrate a retaliation claim by purporting to reveal an unlawful act of a coworker at any time during a disciplinary </w:t>
      </w:r>
      <w:proofErr w:type="gramStart"/>
      <w:r w:rsidRPr="00F31C1B">
        <w:rPr>
          <w:rFonts w:ascii="Times New Roman" w:hAnsi="Times New Roman"/>
          <w:sz w:val="24"/>
          <w:szCs w:val="24"/>
        </w:rPr>
        <w:t>process.”</w:t>
      </w:r>
      <w:proofErr w:type="gramEnd"/>
      <w:r w:rsidRPr="00F31C1B">
        <w:rPr>
          <w:rFonts w:ascii="Times New Roman" w:hAnsi="Times New Roman"/>
          <w:sz w:val="24"/>
          <w:szCs w:val="24"/>
        </w:rPr>
        <w:t xml:space="preserve"> </w:t>
      </w:r>
      <w:hyperlink r:id="rId2755" w:history="1">
        <w:r w:rsidRPr="00F31C1B">
          <w:rPr>
            <w:rStyle w:val="Hyperlink"/>
            <w:rFonts w:ascii="Times New Roman" w:eastAsiaTheme="majorEastAsia" w:hAnsi="Times New Roman"/>
            <w:sz w:val="24"/>
            <w:szCs w:val="24"/>
          </w:rPr>
          <w:t>https://casetext.com/case/olguin-v-city-of-hollister</w:t>
        </w:r>
      </w:hyperlink>
    </w:p>
    <w:p w14:paraId="474DF74A" w14:textId="39E88EFA" w:rsidR="00F31C1B" w:rsidRDefault="00F31C1B" w:rsidP="00F326E5">
      <w:pPr>
        <w:pStyle w:val="NoSpacing"/>
        <w:rPr>
          <w:rFonts w:ascii="Arial Black" w:hAnsi="Arial Black"/>
          <w:sz w:val="24"/>
          <w:szCs w:val="24"/>
        </w:rPr>
      </w:pPr>
    </w:p>
    <w:p w14:paraId="0F2DADE6" w14:textId="77777777" w:rsidR="00F31C1B" w:rsidRPr="00E56DA1" w:rsidRDefault="00F31C1B" w:rsidP="00F31C1B">
      <w:pPr>
        <w:pStyle w:val="NormalWeb"/>
        <w:rPr>
          <w:b/>
          <w:bCs/>
        </w:rPr>
      </w:pPr>
      <w:r w:rsidRPr="00E56DA1">
        <w:rPr>
          <w:b/>
          <w:bCs/>
        </w:rPr>
        <w:t>Legal Lesson Learned:</w:t>
      </w:r>
      <w:r>
        <w:rPr>
          <w:b/>
          <w:bCs/>
        </w:rPr>
        <w:t xml:space="preserve"> Off duty conduct can lead to termination. </w:t>
      </w:r>
    </w:p>
    <w:p w14:paraId="29C1E9A8" w14:textId="77777777" w:rsidR="00F31C1B" w:rsidRDefault="00F31C1B" w:rsidP="00F326E5">
      <w:pPr>
        <w:pStyle w:val="NoSpacing"/>
        <w:rPr>
          <w:rFonts w:ascii="Arial Black" w:hAnsi="Arial Black"/>
          <w:sz w:val="24"/>
          <w:szCs w:val="24"/>
        </w:rPr>
      </w:pPr>
    </w:p>
    <w:p w14:paraId="51FA653C" w14:textId="77777777" w:rsidR="00F31C1B" w:rsidRDefault="00F31C1B" w:rsidP="00F326E5">
      <w:pPr>
        <w:pStyle w:val="NoSpacing"/>
        <w:rPr>
          <w:rFonts w:ascii="Arial Black" w:hAnsi="Arial Black"/>
          <w:sz w:val="24"/>
          <w:szCs w:val="24"/>
        </w:rPr>
      </w:pPr>
    </w:p>
    <w:p w14:paraId="49FDFF09" w14:textId="732E4AD9" w:rsidR="00755E16" w:rsidRDefault="00755E16" w:rsidP="00F326E5">
      <w:pPr>
        <w:pStyle w:val="NoSpacing"/>
        <w:rPr>
          <w:rFonts w:ascii="Arial Black" w:hAnsi="Arial Black"/>
          <w:sz w:val="24"/>
          <w:szCs w:val="24"/>
        </w:rPr>
      </w:pPr>
      <w:r>
        <w:rPr>
          <w:rFonts w:ascii="Arial Black" w:hAnsi="Arial Black"/>
          <w:sz w:val="24"/>
          <w:szCs w:val="24"/>
        </w:rPr>
        <w:t>16-7</w:t>
      </w:r>
      <w:r w:rsidR="00487B06">
        <w:rPr>
          <w:rFonts w:ascii="Arial Black" w:hAnsi="Arial Black"/>
          <w:sz w:val="24"/>
          <w:szCs w:val="24"/>
        </w:rPr>
        <w:t>3</w:t>
      </w:r>
    </w:p>
    <w:p w14:paraId="57B7AD14"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 xml:space="preserve">OH: PRE-DISCIP. CONF. INADEQUATE – MEDIC FIRED UNAUTHORIZED BLOOD DRAW FOR PD – CASE PROCEED  </w:t>
      </w:r>
    </w:p>
    <w:p w14:paraId="3C77AEF5" w14:textId="77777777" w:rsidR="00755E16" w:rsidRDefault="00755E16" w:rsidP="00755E16">
      <w:pPr>
        <w:pStyle w:val="NormalWeb"/>
      </w:pPr>
      <w:r>
        <w:t xml:space="preserve">On Sept. 26, 2022, in </w:t>
      </w:r>
      <w:r>
        <w:rPr>
          <w:u w:val="single"/>
        </w:rPr>
        <w:t>Mitchell Plunk v. Chester Township</w:t>
      </w:r>
      <w:r>
        <w:t>, U.S. District Court Judge James S. Gwin, U.S. District Court for Northern District of Ohio, denied the Township’s motion for summary judgment in the paramedic’s lawsuit, who was fired after 9 years with the Township, who sued for violating his procedural due process rights.  The Medical Director apparently had concluded that the paramedic didn’t complete EMS run report about the blood draw he performed at the Police Station because he wanted the Medical Director at his other FD to confirm this was authorized.</w:t>
      </w:r>
    </w:p>
    <w:p w14:paraId="2B6EE0ED" w14:textId="567FCCE9" w:rsidR="00755E16" w:rsidRPr="00755E16" w:rsidRDefault="00755E16" w:rsidP="00755E16">
      <w:pPr>
        <w:pStyle w:val="NoSpacing"/>
        <w:ind w:left="720"/>
        <w:rPr>
          <w:rFonts w:ascii="Times New Roman" w:hAnsi="Times New Roman"/>
          <w:sz w:val="24"/>
          <w:szCs w:val="24"/>
        </w:rPr>
      </w:pPr>
      <w:r w:rsidRPr="00755E16">
        <w:rPr>
          <w:rFonts w:ascii="Times New Roman" w:hAnsi="Times New Roman"/>
          <w:sz w:val="24"/>
          <w:szCs w:val="24"/>
        </w:rPr>
        <w:t xml:space="preserve">“Before ending Plaintiff's long-held employment, Defendant gave Plunk a hearing. The hearing did not let Plaintiff challenge the medical director's decision…. Because Defendant Chester Township and the medical director acted in concert to remove Plaintiff Plunk without giving Plunk an opportunity to challenge their decision's basis, the Court </w:t>
      </w:r>
      <w:r w:rsidRPr="00755E16">
        <w:rPr>
          <w:rStyle w:val="Strong"/>
          <w:rFonts w:ascii="Times New Roman" w:hAnsi="Times New Roman"/>
          <w:sz w:val="24"/>
          <w:szCs w:val="24"/>
        </w:rPr>
        <w:t>DENIES</w:t>
      </w:r>
      <w:r w:rsidRPr="00755E16">
        <w:rPr>
          <w:rFonts w:ascii="Times New Roman" w:hAnsi="Times New Roman"/>
          <w:sz w:val="24"/>
          <w:szCs w:val="24"/>
        </w:rPr>
        <w:t xml:space="preserve"> Defendant's motion. </w:t>
      </w:r>
      <w:hyperlink r:id="rId2756" w:history="1">
        <w:r w:rsidRPr="00755E16">
          <w:rPr>
            <w:rStyle w:val="Hyperlink"/>
            <w:rFonts w:ascii="Times New Roman" w:hAnsi="Times New Roman"/>
            <w:sz w:val="24"/>
            <w:szCs w:val="24"/>
          </w:rPr>
          <w:t>https://public.fastcase.com/J%2FJP6pdidelsXxEE4k%2BLMjmPooMwsB33SF6fQbdKtm0G0C1GTVTWTSbOoR0BGdHWdmqT3nxx5N34mFb%2FQIY0wnFPK7Gz1IkNE53DDevS6vE%3D?utm_medium=email&amp;_hsmi=226712652&amp;_hsenc=p2ANqtz--MKBV4Y804r56tzWY_uVAuJIZ65L25irdtNU6ZdfUrAAPtscNAIDyxYykxQ2RxJby9_Fy5S6I1PNXJg84F7LwVp6Ejlw&amp;utm_content=226712652&amp;utm_source=hs_email</w:t>
        </w:r>
      </w:hyperlink>
    </w:p>
    <w:p w14:paraId="6C05649D" w14:textId="77777777" w:rsidR="00755E16" w:rsidRDefault="00755E16" w:rsidP="00F326E5">
      <w:pPr>
        <w:pStyle w:val="NoSpacing"/>
        <w:rPr>
          <w:rFonts w:ascii="Arial Black" w:hAnsi="Arial Black"/>
          <w:sz w:val="24"/>
          <w:szCs w:val="24"/>
        </w:rPr>
      </w:pPr>
    </w:p>
    <w:p w14:paraId="48CB180C" w14:textId="77777777" w:rsidR="00755E16" w:rsidRDefault="00755E16" w:rsidP="00F326E5">
      <w:pPr>
        <w:pStyle w:val="NoSpacing"/>
        <w:rPr>
          <w:rFonts w:ascii="Arial Black" w:hAnsi="Arial Black"/>
          <w:sz w:val="24"/>
          <w:szCs w:val="24"/>
        </w:rPr>
      </w:pPr>
    </w:p>
    <w:p w14:paraId="107FF0EA" w14:textId="77628554" w:rsidR="003E45EB" w:rsidRDefault="003E45EB" w:rsidP="00F326E5">
      <w:pPr>
        <w:pStyle w:val="NoSpacing"/>
        <w:rPr>
          <w:rFonts w:ascii="Arial Black" w:hAnsi="Arial Black"/>
          <w:sz w:val="24"/>
          <w:szCs w:val="24"/>
        </w:rPr>
      </w:pPr>
      <w:r>
        <w:rPr>
          <w:rFonts w:ascii="Arial Black" w:hAnsi="Arial Black"/>
          <w:sz w:val="24"/>
          <w:szCs w:val="24"/>
        </w:rPr>
        <w:t>16-7</w:t>
      </w:r>
      <w:r w:rsidR="00487B06">
        <w:rPr>
          <w:rFonts w:ascii="Arial Black" w:hAnsi="Arial Black"/>
          <w:sz w:val="24"/>
          <w:szCs w:val="24"/>
        </w:rPr>
        <w:t>2</w:t>
      </w:r>
    </w:p>
    <w:p w14:paraId="11447361" w14:textId="77777777" w:rsidR="003E45EB" w:rsidRDefault="003E45EB" w:rsidP="003E45EB">
      <w:pPr>
        <w:pStyle w:val="NoSpacing"/>
        <w:rPr>
          <w:rFonts w:ascii="Arial Black" w:hAnsi="Arial Black"/>
          <w:sz w:val="28"/>
          <w:szCs w:val="28"/>
        </w:rPr>
      </w:pPr>
    </w:p>
    <w:p w14:paraId="4DCD5863" w14:textId="2EB5D8A1" w:rsidR="003E45EB" w:rsidRPr="003C0A6A" w:rsidRDefault="003E45EB" w:rsidP="003E45EB">
      <w:pPr>
        <w:pStyle w:val="NoSpacing"/>
      </w:pPr>
      <w:r w:rsidRPr="006032BB">
        <w:rPr>
          <w:rFonts w:ascii="Arial Black" w:hAnsi="Arial Black"/>
          <w:sz w:val="28"/>
          <w:szCs w:val="28"/>
        </w:rPr>
        <w:t>OK: FIRE CHIEF FIRED</w:t>
      </w:r>
      <w:r>
        <w:rPr>
          <w:rFonts w:ascii="Arial Black" w:hAnsi="Arial Black"/>
          <w:sz w:val="28"/>
          <w:szCs w:val="28"/>
        </w:rPr>
        <w:t xml:space="preserve"> – LAWSUIT REINSTATED – MAY NOT BE “AT WILL” EMPLOYEE – LACK OF DUE PROCESS</w:t>
      </w:r>
    </w:p>
    <w:p w14:paraId="59C4B8E3" w14:textId="77777777" w:rsidR="003E45EB" w:rsidRPr="00B361A5" w:rsidRDefault="003E45EB" w:rsidP="003E45EB">
      <w:pPr>
        <w:pStyle w:val="NormalWeb"/>
      </w:pPr>
      <w:r>
        <w:t xml:space="preserve">On Aug. 19, 2022, in </w:t>
      </w:r>
      <w:r w:rsidRPr="006032BB">
        <w:rPr>
          <w:u w:val="single"/>
        </w:rPr>
        <w:t>Stephen Parmenter v. City of Nowata, Oklahoma</w:t>
      </w:r>
      <w:r>
        <w:t>, the U.S. Court of Appeals for Tenth Circuit (Denver) held (3 to 0) that trial court improperly granted summary judgment to the City and remanded the case.  “</w:t>
      </w:r>
      <w:r w:rsidRPr="00B361A5">
        <w:t>The United States District Court for the Northern District of Oklahoma granted the City's motion for summary judgment, holding (1) that Mr. Parmenter did not have a protected interest in his job and therefore was not entitled to procedural due process, and (2) that in any event he was provided adequate process. Mr. Parmenter appealed. We reverse and remand for further proceedings to determine whether Mr. Parmenter had a protected interest in his position, and if so whether he received sufficient process.</w:t>
      </w:r>
      <w:r>
        <w:t xml:space="preserve">” </w:t>
      </w:r>
      <w:hyperlink r:id="rId2757" w:history="1">
        <w:r w:rsidRPr="005E2F1B">
          <w:rPr>
            <w:rStyle w:val="Hyperlink"/>
            <w:rFonts w:eastAsiaTheme="majorEastAsia"/>
          </w:rPr>
          <w:t>https://law.justia.com/cases/federal/appellate-courts/ca10/20-5113/20-5113-2022-08-19.html</w:t>
        </w:r>
      </w:hyperlink>
      <w:r>
        <w:t xml:space="preserve"> </w:t>
      </w:r>
    </w:p>
    <w:p w14:paraId="7197605A" w14:textId="77777777" w:rsidR="003E45EB" w:rsidRPr="00FE6238" w:rsidRDefault="003E45EB" w:rsidP="003E45EB">
      <w:pPr>
        <w:spacing w:before="100" w:beforeAutospacing="1" w:after="100" w:afterAutospacing="1" w:line="240" w:lineRule="auto"/>
        <w:rPr>
          <w:rFonts w:ascii="Times New Roman" w:hAnsi="Times New Roman"/>
          <w:b/>
          <w:bCs/>
          <w:sz w:val="24"/>
          <w:szCs w:val="24"/>
        </w:rPr>
      </w:pPr>
      <w:r w:rsidRPr="00FE6238">
        <w:rPr>
          <w:rFonts w:ascii="Times New Roman" w:hAnsi="Times New Roman"/>
          <w:b/>
          <w:bCs/>
          <w:sz w:val="24"/>
          <w:szCs w:val="24"/>
        </w:rPr>
        <w:t xml:space="preserve">Legal Lesson Learned:  </w:t>
      </w:r>
      <w:r>
        <w:rPr>
          <w:rFonts w:ascii="Times New Roman" w:hAnsi="Times New Roman"/>
          <w:b/>
          <w:bCs/>
          <w:sz w:val="24"/>
          <w:szCs w:val="24"/>
        </w:rPr>
        <w:t xml:space="preserve">Even if employee is “at will” it is best practice to provide employee with written notice of charges and a pre-disciplinary meeting.  </w:t>
      </w:r>
    </w:p>
    <w:p w14:paraId="26BA2294" w14:textId="46336EDD" w:rsidR="003E45EB" w:rsidRDefault="00487B06" w:rsidP="00F326E5">
      <w:pPr>
        <w:pStyle w:val="NoSpacing"/>
        <w:rPr>
          <w:rFonts w:ascii="Arial Black" w:hAnsi="Arial Black"/>
          <w:sz w:val="24"/>
          <w:szCs w:val="24"/>
        </w:rPr>
      </w:pPr>
      <w:r>
        <w:rPr>
          <w:rFonts w:ascii="Arial Black" w:hAnsi="Arial Black"/>
          <w:sz w:val="24"/>
          <w:szCs w:val="24"/>
        </w:rPr>
        <w:t>16-71</w:t>
      </w:r>
    </w:p>
    <w:p w14:paraId="4657ADC9" w14:textId="77777777" w:rsidR="00487B06" w:rsidRPr="00487B06" w:rsidRDefault="00487B06" w:rsidP="00487B06">
      <w:pPr>
        <w:pStyle w:val="NormalWeb"/>
        <w:rPr>
          <w:rFonts w:ascii="Arial Black" w:hAnsi="Arial Black"/>
          <w:b/>
          <w:bCs/>
          <w:sz w:val="28"/>
          <w:szCs w:val="28"/>
        </w:rPr>
      </w:pPr>
      <w:r w:rsidRPr="00487B06">
        <w:rPr>
          <w:rFonts w:ascii="Arial Black" w:hAnsi="Arial Black"/>
          <w:b/>
          <w:bCs/>
          <w:sz w:val="28"/>
          <w:szCs w:val="28"/>
        </w:rPr>
        <w:t>OH: ORANGE TOWNSHIP FF REINSTATED – ARBITRATOR DECISION UPHELD</w:t>
      </w:r>
    </w:p>
    <w:p w14:paraId="2CB2DE4C" w14:textId="77777777" w:rsidR="00487B06" w:rsidRPr="00487B06" w:rsidRDefault="00487B06" w:rsidP="00487B06">
      <w:pPr>
        <w:pStyle w:val="NormalWeb"/>
        <w:rPr>
          <w:rStyle w:val="markedcontent"/>
        </w:rPr>
      </w:pPr>
      <w:r w:rsidRPr="00487B06">
        <w:rPr>
          <w:bCs/>
        </w:rPr>
        <w:t xml:space="preserve">On Aug. 8, 2022, in </w:t>
      </w:r>
      <w:r w:rsidRPr="00487B06">
        <w:rPr>
          <w:rStyle w:val="markedcontent"/>
        </w:rPr>
        <w:t xml:space="preserve">Orange Twp. v. </w:t>
      </w:r>
      <w:proofErr w:type="spellStart"/>
      <w:r w:rsidRPr="00487B06">
        <w:rPr>
          <w:rStyle w:val="markedcontent"/>
        </w:rPr>
        <w:t>Internatl</w:t>
      </w:r>
      <w:proofErr w:type="spellEnd"/>
      <w:r w:rsidRPr="00487B06">
        <w:rPr>
          <w:rStyle w:val="markedcontent"/>
        </w:rPr>
        <w:t xml:space="preserve">. Assn. of Fire Fighters Local 3816, 2022-Ohio-2757, Court of Appeals of Delaware County held (3 to 0) the firefighters to be reinstated. </w:t>
      </w:r>
      <w:hyperlink r:id="rId2758" w:history="1">
        <w:r w:rsidRPr="00487B06">
          <w:rPr>
            <w:rStyle w:val="Hyperlink"/>
          </w:rPr>
          <w:t>https://www.supremecourt.ohio.gov/rod/docs/pdf/5/2022/2022-Ohio-2757.pdf</w:t>
        </w:r>
      </w:hyperlink>
      <w:r w:rsidRPr="00487B06">
        <w:rPr>
          <w:rStyle w:val="markedcontent"/>
        </w:rPr>
        <w:t xml:space="preserve"> </w:t>
      </w:r>
    </w:p>
    <w:p w14:paraId="6506E120" w14:textId="77777777" w:rsidR="00487B06" w:rsidRPr="00487B06" w:rsidRDefault="00487B06" w:rsidP="00487B06">
      <w:pPr>
        <w:pStyle w:val="NormalWeb"/>
        <w:rPr>
          <w:rStyle w:val="markedcontent"/>
        </w:rPr>
      </w:pPr>
      <w:r w:rsidRPr="00487B06">
        <w:rPr>
          <w:rStyle w:val="markedcontent"/>
        </w:rPr>
        <w:t xml:space="preserve">“In October 2016, Marcus Musser started working as a part-time firefighter for appellant and was assigned to 1-Unit at Station 361. The </w:t>
      </w:r>
      <w:proofErr w:type="spellStart"/>
      <w:r w:rsidRPr="00487B06">
        <w:rPr>
          <w:rStyle w:val="markedcontent"/>
        </w:rPr>
        <w:t>grievants</w:t>
      </w:r>
      <w:proofErr w:type="spellEnd"/>
      <w:r w:rsidRPr="00487B06">
        <w:rPr>
          <w:rStyle w:val="markedcontent"/>
        </w:rPr>
        <w:t xml:space="preserve"> herein are fellow firefighter Bradley Belville and appellant's chain of command, Lieutenant David Martin and Captain John Hodges. In September 2019, Musser requested a transfer and was</w:t>
      </w:r>
      <w:r w:rsidRPr="00487B06">
        <w:br/>
      </w:r>
      <w:r w:rsidRPr="00487B06">
        <w:rPr>
          <w:rStyle w:val="markedcontent"/>
        </w:rPr>
        <w:t>subsequently transferred to 2-Unit. Fire Chief Matt Noble interviewed Musser regarding his transfer request.</w:t>
      </w:r>
      <w:r w:rsidRPr="00487B06">
        <w:br/>
      </w:r>
      <w:r w:rsidRPr="00487B06">
        <w:rPr>
          <w:rStyle w:val="markedcontent"/>
        </w:rPr>
        <w:t xml:space="preserve">Thereafter, Chief Noble conducted an investigation, held </w:t>
      </w:r>
      <w:proofErr w:type="spellStart"/>
      <w:r w:rsidRPr="00487B06">
        <w:rPr>
          <w:rStyle w:val="markedcontent"/>
        </w:rPr>
        <w:t>predisciplinary</w:t>
      </w:r>
      <w:proofErr w:type="spellEnd"/>
      <w:r w:rsidRPr="00487B06">
        <w:rPr>
          <w:rStyle w:val="markedcontent"/>
        </w:rPr>
        <w:t xml:space="preserve"> hearings, and in reports dated December 5, 2019, recommended the termination of the </w:t>
      </w:r>
      <w:proofErr w:type="spellStart"/>
      <w:r w:rsidRPr="00487B06">
        <w:rPr>
          <w:rStyle w:val="markedcontent"/>
        </w:rPr>
        <w:t>grievants</w:t>
      </w:r>
      <w:proofErr w:type="spellEnd"/>
      <w:r w:rsidRPr="00487B06">
        <w:rPr>
          <w:rStyle w:val="markedcontent"/>
        </w:rPr>
        <w:t xml:space="preserve"> for violating several sections of the Orange Township policies including threats or acts of physical violence against a coworker, abusive behavior, hazing, harassment of a</w:t>
      </w:r>
      <w:r w:rsidRPr="00487B06">
        <w:br/>
      </w:r>
      <w:r w:rsidRPr="00487B06">
        <w:rPr>
          <w:rStyle w:val="markedcontent"/>
        </w:rPr>
        <w:t xml:space="preserve">coworker, conduct unbecoming, neglect of duty, and failure to meet essential job functions. *** The arbitrator determined the facts did not rise to the level of just cause. Contract interpretation is left to the discretion of the arbitrator </w:t>
      </w:r>
      <w:proofErr w:type="gramStart"/>
      <w:r w:rsidRPr="00487B06">
        <w:rPr>
          <w:rStyle w:val="markedcontent"/>
        </w:rPr>
        <w:t>as long as</w:t>
      </w:r>
      <w:proofErr w:type="gramEnd"/>
      <w:r w:rsidRPr="00487B06">
        <w:rPr>
          <w:rStyle w:val="markedcontent"/>
        </w:rPr>
        <w:t xml:space="preserve"> it does not conflict with an express term in the CBA and/or cannot be rationally derived from the terms of the CBA. We cannot find either to apply in this case.”</w:t>
      </w:r>
    </w:p>
    <w:p w14:paraId="0BC1E463" w14:textId="77777777" w:rsidR="003E45EB" w:rsidRDefault="003E45EB" w:rsidP="00F326E5">
      <w:pPr>
        <w:pStyle w:val="NoSpacing"/>
        <w:rPr>
          <w:rFonts w:ascii="Arial Black" w:hAnsi="Arial Black"/>
          <w:sz w:val="24"/>
          <w:szCs w:val="24"/>
        </w:rPr>
      </w:pPr>
    </w:p>
    <w:p w14:paraId="2038F830" w14:textId="77777777" w:rsidR="00487B06" w:rsidRDefault="00487B06" w:rsidP="00F326E5">
      <w:pPr>
        <w:pStyle w:val="NoSpacing"/>
        <w:rPr>
          <w:rFonts w:ascii="Arial Black" w:hAnsi="Arial Black"/>
          <w:sz w:val="24"/>
          <w:szCs w:val="24"/>
        </w:rPr>
      </w:pPr>
    </w:p>
    <w:p w14:paraId="4A703F08" w14:textId="77777777" w:rsidR="00487B06" w:rsidRDefault="00487B06" w:rsidP="00F326E5">
      <w:pPr>
        <w:pStyle w:val="NoSpacing"/>
        <w:rPr>
          <w:rFonts w:ascii="Arial Black" w:hAnsi="Arial Black"/>
          <w:sz w:val="24"/>
          <w:szCs w:val="24"/>
        </w:rPr>
      </w:pPr>
    </w:p>
    <w:p w14:paraId="56A1E4B4" w14:textId="77777777" w:rsidR="00487B06" w:rsidRDefault="00487B06" w:rsidP="00F326E5">
      <w:pPr>
        <w:pStyle w:val="NoSpacing"/>
        <w:rPr>
          <w:rFonts w:ascii="Arial Black" w:hAnsi="Arial Black"/>
          <w:sz w:val="24"/>
          <w:szCs w:val="24"/>
        </w:rPr>
      </w:pPr>
    </w:p>
    <w:p w14:paraId="0B549152" w14:textId="77777777" w:rsidR="00487B06" w:rsidRDefault="00487B06" w:rsidP="00F326E5">
      <w:pPr>
        <w:pStyle w:val="NoSpacing"/>
        <w:rPr>
          <w:rFonts w:ascii="Arial Black" w:hAnsi="Arial Black"/>
          <w:sz w:val="24"/>
          <w:szCs w:val="24"/>
        </w:rPr>
      </w:pPr>
    </w:p>
    <w:p w14:paraId="12435A16" w14:textId="1BCFBB63" w:rsidR="007051EE" w:rsidRDefault="007051EE" w:rsidP="00F326E5">
      <w:pPr>
        <w:pStyle w:val="NoSpacing"/>
        <w:rPr>
          <w:rFonts w:ascii="Arial Black" w:hAnsi="Arial Black"/>
          <w:sz w:val="24"/>
          <w:szCs w:val="24"/>
        </w:rPr>
      </w:pPr>
      <w:r>
        <w:rPr>
          <w:rFonts w:ascii="Arial Black" w:hAnsi="Arial Black"/>
          <w:sz w:val="24"/>
          <w:szCs w:val="24"/>
        </w:rPr>
        <w:t>16-7</w:t>
      </w:r>
      <w:r w:rsidR="00C24A79">
        <w:rPr>
          <w:rFonts w:ascii="Arial Black" w:hAnsi="Arial Black"/>
          <w:sz w:val="24"/>
          <w:szCs w:val="24"/>
        </w:rPr>
        <w:t>0</w:t>
      </w:r>
    </w:p>
    <w:p w14:paraId="10978E10" w14:textId="77777777" w:rsidR="007051EE" w:rsidRPr="00B873A1" w:rsidRDefault="007051EE" w:rsidP="007051EE">
      <w:pPr>
        <w:spacing w:before="100" w:beforeAutospacing="1" w:after="100" w:afterAutospacing="1" w:line="240" w:lineRule="auto"/>
        <w:rPr>
          <w:rFonts w:ascii="Arial Black" w:eastAsia="Times New Roman" w:hAnsi="Arial Black"/>
          <w:b/>
          <w:bCs/>
          <w:sz w:val="28"/>
          <w:szCs w:val="28"/>
        </w:rPr>
      </w:pPr>
      <w:r w:rsidRPr="00B873A1">
        <w:rPr>
          <w:rFonts w:ascii="Arial Black" w:eastAsia="Times New Roman" w:hAnsi="Arial Black"/>
          <w:b/>
          <w:bCs/>
          <w:sz w:val="28"/>
          <w:szCs w:val="28"/>
        </w:rPr>
        <w:t xml:space="preserve">TX: LT. FIRED, REINSTATED AFTER 4 YRS – HIS INCOME DURING SUSPENSION MORE THAN </w:t>
      </w:r>
      <w:r>
        <w:rPr>
          <w:rFonts w:ascii="Arial Black" w:eastAsia="Times New Roman" w:hAnsi="Arial Black"/>
          <w:b/>
          <w:bCs/>
          <w:sz w:val="28"/>
          <w:szCs w:val="28"/>
        </w:rPr>
        <w:t xml:space="preserve">FF - </w:t>
      </w:r>
      <w:r w:rsidRPr="00B873A1">
        <w:rPr>
          <w:rFonts w:ascii="Arial Black" w:eastAsia="Times New Roman" w:hAnsi="Arial Black"/>
          <w:b/>
          <w:bCs/>
          <w:sz w:val="28"/>
          <w:szCs w:val="28"/>
        </w:rPr>
        <w:t>PARTIAL BACK PAY</w:t>
      </w:r>
    </w:p>
    <w:p w14:paraId="2131C279" w14:textId="77777777" w:rsidR="007051EE" w:rsidRDefault="007051EE" w:rsidP="007051EE">
      <w:pPr>
        <w:rPr>
          <w:rFonts w:ascii="Times New Roman" w:eastAsia="Times New Roman" w:hAnsi="Times New Roman"/>
          <w:sz w:val="24"/>
          <w:szCs w:val="24"/>
        </w:rPr>
      </w:pPr>
      <w:r w:rsidRPr="00293AC3">
        <w:rPr>
          <w:rFonts w:ascii="Times New Roman" w:eastAsia="Times New Roman" w:hAnsi="Times New Roman"/>
          <w:sz w:val="24"/>
          <w:szCs w:val="24"/>
        </w:rPr>
        <w:t xml:space="preserve">On July 28, 2022, in </w:t>
      </w:r>
      <w:r w:rsidRPr="00293AC3">
        <w:rPr>
          <w:rFonts w:ascii="Times New Roman" w:eastAsia="Times New Roman" w:hAnsi="Times New Roman"/>
          <w:sz w:val="24"/>
          <w:szCs w:val="24"/>
          <w:u w:val="single"/>
        </w:rPr>
        <w:t>Fabian Scott Butler v. City of Big Springs, Texas</w:t>
      </w:r>
      <w:r>
        <w:rPr>
          <w:rFonts w:ascii="Times New Roman" w:eastAsia="Times New Roman" w:hAnsi="Times New Roman"/>
          <w:sz w:val="24"/>
          <w:szCs w:val="24"/>
        </w:rPr>
        <w:t xml:space="preserve">, the TX Eleventh Circuit Court of Appeals reversed a trial court </w:t>
      </w:r>
      <w:proofErr w:type="gramStart"/>
      <w:r>
        <w:rPr>
          <w:rFonts w:ascii="Times New Roman" w:eastAsia="Times New Roman" w:hAnsi="Times New Roman"/>
          <w:sz w:val="24"/>
          <w:szCs w:val="24"/>
        </w:rPr>
        <w:t>that which</w:t>
      </w:r>
      <w:proofErr w:type="gramEnd"/>
      <w:r>
        <w:rPr>
          <w:rFonts w:ascii="Times New Roman" w:eastAsia="Times New Roman" w:hAnsi="Times New Roman"/>
          <w:sz w:val="24"/>
          <w:szCs w:val="24"/>
        </w:rPr>
        <w:t xml:space="preserve"> had agreed with City that Lt. Butler was not entitled to any back pay.  Court of Appeals held that Butler is entitled to back pay for any FD pay </w:t>
      </w:r>
      <w:proofErr w:type="gramStart"/>
      <w:r>
        <w:rPr>
          <w:rFonts w:ascii="Times New Roman" w:eastAsia="Times New Roman" w:hAnsi="Times New Roman"/>
          <w:sz w:val="24"/>
          <w:szCs w:val="24"/>
        </w:rPr>
        <w:t>periods</w:t>
      </w:r>
      <w:proofErr w:type="gramEnd"/>
      <w:r>
        <w:rPr>
          <w:rFonts w:ascii="Times New Roman" w:eastAsia="Times New Roman" w:hAnsi="Times New Roman"/>
          <w:sz w:val="24"/>
          <w:szCs w:val="24"/>
        </w:rPr>
        <w:t xml:space="preserve"> where his outside income was less than he would have made on FD.  </w:t>
      </w:r>
      <w:hyperlink r:id="rId2759" w:history="1">
        <w:r w:rsidRPr="00081EF4">
          <w:rPr>
            <w:rStyle w:val="Hyperlink"/>
            <w:rFonts w:ascii="Times New Roman" w:eastAsia="Times New Roman" w:hAnsi="Times New Roman"/>
            <w:sz w:val="24"/>
            <w:szCs w:val="24"/>
          </w:rPr>
          <w:t>https://cases.justia.com/texas/eleventh-court-of-appeals/2022-11-21-00026-cv.pdf?ts=1659010960</w:t>
        </w:r>
      </w:hyperlink>
      <w:r>
        <w:rPr>
          <w:rFonts w:ascii="Times New Roman" w:eastAsia="Times New Roman" w:hAnsi="Times New Roman"/>
          <w:sz w:val="24"/>
          <w:szCs w:val="24"/>
        </w:rPr>
        <w:t xml:space="preserve"> </w:t>
      </w:r>
    </w:p>
    <w:p w14:paraId="2987B6F8" w14:textId="77777777" w:rsidR="007051EE" w:rsidRDefault="007051EE" w:rsidP="007051EE">
      <w:pPr>
        <w:rPr>
          <w:rStyle w:val="markedcontent"/>
          <w:rFonts w:ascii="Times New Roman" w:hAnsi="Times New Roman"/>
          <w:b/>
          <w:bCs/>
          <w:sz w:val="24"/>
          <w:szCs w:val="24"/>
        </w:rPr>
      </w:pPr>
      <w:r w:rsidRPr="00104D9E">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Progressive discipline; the offense needs to be extremely serious to terminate a career firefighter who has never previously been suspended. </w:t>
      </w:r>
    </w:p>
    <w:p w14:paraId="56832288" w14:textId="77777777" w:rsidR="007051EE" w:rsidRPr="00BF0238" w:rsidRDefault="007051EE" w:rsidP="007051EE">
      <w:pPr>
        <w:ind w:left="720"/>
        <w:rPr>
          <w:rStyle w:val="markedcontent"/>
          <w:rFonts w:ascii="Times New Roman" w:hAnsi="Times New Roman"/>
          <w:sz w:val="24"/>
          <w:szCs w:val="24"/>
        </w:rPr>
      </w:pPr>
      <w:r>
        <w:rPr>
          <w:rStyle w:val="markedcontent"/>
          <w:rFonts w:ascii="Times New Roman" w:hAnsi="Times New Roman"/>
          <w:sz w:val="24"/>
          <w:szCs w:val="24"/>
        </w:rPr>
        <w:t xml:space="preserve">Note:  Not clear why the fire department rehired the plaintiff on Sept. 23, 2019.  A search </w:t>
      </w:r>
      <w:proofErr w:type="gramStart"/>
      <w:r>
        <w:rPr>
          <w:rStyle w:val="markedcontent"/>
          <w:rFonts w:ascii="Times New Roman" w:hAnsi="Times New Roman"/>
          <w:sz w:val="24"/>
          <w:szCs w:val="24"/>
        </w:rPr>
        <w:t>of</w:t>
      </w:r>
      <w:proofErr w:type="gramEnd"/>
      <w:r>
        <w:rPr>
          <w:rStyle w:val="markedcontent"/>
          <w:rFonts w:ascii="Times New Roman" w:hAnsi="Times New Roman"/>
          <w:sz w:val="24"/>
          <w:szCs w:val="24"/>
        </w:rPr>
        <w:t xml:space="preserve"> Federal Court records reflects that on Sept. 4. 2015, the Plaintiff filed a lawsuit against the fire department in U.S. District Court, Northern District of Texas (Abilene Division), and on October 17, </w:t>
      </w:r>
      <w:proofErr w:type="gramStart"/>
      <w:r>
        <w:rPr>
          <w:rStyle w:val="markedcontent"/>
          <w:rFonts w:ascii="Times New Roman" w:hAnsi="Times New Roman"/>
          <w:sz w:val="24"/>
          <w:szCs w:val="24"/>
        </w:rPr>
        <w:t>2017</w:t>
      </w:r>
      <w:proofErr w:type="gramEnd"/>
      <w:r>
        <w:rPr>
          <w:rStyle w:val="markedcontent"/>
          <w:rFonts w:ascii="Times New Roman" w:hAnsi="Times New Roman"/>
          <w:sz w:val="24"/>
          <w:szCs w:val="24"/>
        </w:rPr>
        <w:t xml:space="preserve"> a jury held for the fire department. </w:t>
      </w:r>
      <w:hyperlink r:id="rId2760" w:history="1">
        <w:r w:rsidRPr="00BF0238">
          <w:rPr>
            <w:rStyle w:val="Hyperlink"/>
            <w:rFonts w:ascii="Times New Roman" w:hAnsi="Times New Roman"/>
            <w:sz w:val="24"/>
            <w:szCs w:val="24"/>
          </w:rPr>
          <w:t>Case Title Butler v. City of Big Spring.pdf</w:t>
        </w:r>
      </w:hyperlink>
      <w:r w:rsidRPr="00BF0238">
        <w:rPr>
          <w:rFonts w:ascii="Times New Roman" w:hAnsi="Times New Roman"/>
          <w:sz w:val="24"/>
          <w:szCs w:val="24"/>
        </w:rPr>
        <w:t xml:space="preserve">. </w:t>
      </w:r>
      <w:r>
        <w:rPr>
          <w:rFonts w:ascii="Times New Roman" w:hAnsi="Times New Roman"/>
          <w:sz w:val="24"/>
          <w:szCs w:val="24"/>
        </w:rPr>
        <w:t xml:space="preserve"> </w:t>
      </w:r>
    </w:p>
    <w:p w14:paraId="6B575653" w14:textId="77777777" w:rsidR="007051EE" w:rsidRDefault="007051EE" w:rsidP="00F326E5">
      <w:pPr>
        <w:pStyle w:val="NoSpacing"/>
        <w:rPr>
          <w:rFonts w:ascii="Arial Black" w:hAnsi="Arial Black"/>
          <w:sz w:val="24"/>
          <w:szCs w:val="24"/>
        </w:rPr>
      </w:pPr>
    </w:p>
    <w:p w14:paraId="6612A982" w14:textId="77777777" w:rsidR="007051EE" w:rsidRDefault="007051EE" w:rsidP="00F326E5">
      <w:pPr>
        <w:pStyle w:val="NoSpacing"/>
        <w:rPr>
          <w:rFonts w:ascii="Arial Black" w:hAnsi="Arial Black"/>
          <w:sz w:val="24"/>
          <w:szCs w:val="24"/>
        </w:rPr>
      </w:pPr>
    </w:p>
    <w:p w14:paraId="49755AB2" w14:textId="77777777" w:rsidR="007051EE" w:rsidRDefault="007051EE" w:rsidP="00F326E5">
      <w:pPr>
        <w:pStyle w:val="NoSpacing"/>
        <w:rPr>
          <w:rFonts w:ascii="Arial Black" w:hAnsi="Arial Black"/>
          <w:sz w:val="24"/>
          <w:szCs w:val="24"/>
        </w:rPr>
      </w:pPr>
    </w:p>
    <w:p w14:paraId="3F8FAD9F" w14:textId="74FDD8DC" w:rsidR="007051EE" w:rsidRDefault="007051EE" w:rsidP="00F326E5">
      <w:pPr>
        <w:pStyle w:val="NoSpacing"/>
        <w:rPr>
          <w:rFonts w:ascii="Arial Black" w:hAnsi="Arial Black"/>
          <w:sz w:val="24"/>
          <w:szCs w:val="24"/>
        </w:rPr>
      </w:pPr>
      <w:r>
        <w:rPr>
          <w:rFonts w:ascii="Arial Black" w:hAnsi="Arial Black"/>
          <w:sz w:val="24"/>
          <w:szCs w:val="24"/>
        </w:rPr>
        <w:t>16-69</w:t>
      </w:r>
    </w:p>
    <w:p w14:paraId="1C4FE465" w14:textId="77777777" w:rsidR="007051EE" w:rsidRDefault="007051EE" w:rsidP="007051E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MA: BACKGROUND CHECK – FD APPLICANT ARREST 7 YRS PRIOR HIT GIRLFRIEND – NO CONV / CAN SUE REPORT CO. </w:t>
      </w:r>
    </w:p>
    <w:p w14:paraId="3FF9BF72" w14:textId="77777777" w:rsidR="007051EE" w:rsidRDefault="007051EE" w:rsidP="007051EE">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July 7, 2022, in </w:t>
      </w:r>
      <w:r w:rsidRPr="0009131B">
        <w:rPr>
          <w:rFonts w:ascii="Times New Roman" w:eastAsia="Times New Roman" w:hAnsi="Times New Roman"/>
          <w:sz w:val="24"/>
          <w:szCs w:val="24"/>
          <w:u w:val="single"/>
        </w:rPr>
        <w:t>Gerald Meuse v. National P.I. Services, LLC et al</w:t>
      </w:r>
      <w:r>
        <w:rPr>
          <w:rFonts w:ascii="Times New Roman" w:eastAsia="Times New Roman" w:hAnsi="Times New Roman"/>
          <w:sz w:val="24"/>
          <w:szCs w:val="24"/>
        </w:rPr>
        <w:t xml:space="preserve">., U.S. District Court judge Allison D. Burroughs, U.S. District Court for the District of Massachusetts, held that the plaintiff may file an amended complaint against the defendant Consumer Reporting Agency (CRA) under the “seven-year lookback” limits in the federal Fair Credit Reporting Act, </w:t>
      </w:r>
      <w:r w:rsidRPr="005F79BA">
        <w:rPr>
          <w:rFonts w:ascii="Times New Roman" w:hAnsi="Times New Roman"/>
          <w:sz w:val="24"/>
          <w:szCs w:val="24"/>
        </w:rPr>
        <w:t>and</w:t>
      </w:r>
      <w:r>
        <w:rPr>
          <w:rFonts w:ascii="Times New Roman" w:hAnsi="Times New Roman"/>
          <w:sz w:val="24"/>
          <w:szCs w:val="24"/>
        </w:rPr>
        <w:t xml:space="preserve"> also prohibitions on use of arrest records under </w:t>
      </w:r>
      <w:r w:rsidRPr="005F79BA">
        <w:rPr>
          <w:rFonts w:ascii="Times New Roman" w:hAnsi="Times New Roman"/>
          <w:sz w:val="24"/>
          <w:szCs w:val="24"/>
        </w:rPr>
        <w:t>Massachusetts</w:t>
      </w:r>
      <w:r>
        <w:rPr>
          <w:rFonts w:ascii="Times New Roman" w:hAnsi="Times New Roman"/>
          <w:sz w:val="24"/>
          <w:szCs w:val="24"/>
        </w:rPr>
        <w:t xml:space="preserve"> laws. </w:t>
      </w:r>
      <w:r w:rsidRPr="005F79BA">
        <w:rPr>
          <w:rFonts w:ascii="Times New Roman" w:hAnsi="Times New Roman"/>
          <w:sz w:val="24"/>
          <w:szCs w:val="24"/>
        </w:rPr>
        <w:t xml:space="preserve"> </w:t>
      </w:r>
      <w:r>
        <w:rPr>
          <w:rFonts w:ascii="Times New Roman" w:hAnsi="Times New Roman"/>
          <w:sz w:val="24"/>
          <w:szCs w:val="24"/>
        </w:rPr>
        <w:t>“</w:t>
      </w:r>
      <w:r w:rsidRPr="0095474C">
        <w:rPr>
          <w:rFonts w:ascii="Times New Roman" w:hAnsi="Times New Roman"/>
          <w:sz w:val="24"/>
          <w:szCs w:val="24"/>
        </w:rPr>
        <w:t xml:space="preserve">Section 1681c(a)(2) provides that CRAs must exclude from consumer reports </w:t>
      </w:r>
      <w:r>
        <w:rPr>
          <w:rFonts w:ascii="Times New Roman" w:hAnsi="Times New Roman"/>
          <w:sz w:val="24"/>
          <w:szCs w:val="24"/>
        </w:rPr>
        <w:t>‘</w:t>
      </w:r>
      <w:r w:rsidRPr="0095474C">
        <w:rPr>
          <w:rFonts w:ascii="Times New Roman" w:hAnsi="Times New Roman"/>
          <w:sz w:val="24"/>
          <w:szCs w:val="24"/>
        </w:rPr>
        <w:t>[c]</w:t>
      </w:r>
      <w:proofErr w:type="spellStart"/>
      <w:r w:rsidRPr="0095474C">
        <w:rPr>
          <w:rFonts w:ascii="Times New Roman" w:hAnsi="Times New Roman"/>
          <w:sz w:val="24"/>
          <w:szCs w:val="24"/>
        </w:rPr>
        <w:t>ivil</w:t>
      </w:r>
      <w:proofErr w:type="spellEnd"/>
      <w:r w:rsidRPr="0095474C">
        <w:rPr>
          <w:rFonts w:ascii="Times New Roman" w:hAnsi="Times New Roman"/>
          <w:sz w:val="24"/>
          <w:szCs w:val="24"/>
        </w:rPr>
        <w:t xml:space="preserve"> suits . . . and records of arrest that, from the date of entry, antedate the report by more than seven years[.]</w:t>
      </w:r>
      <w:r>
        <w:rPr>
          <w:rFonts w:ascii="Times New Roman" w:hAnsi="Times New Roman"/>
          <w:sz w:val="24"/>
          <w:szCs w:val="24"/>
        </w:rPr>
        <w:t>’</w:t>
      </w:r>
      <w:r w:rsidRPr="0095474C">
        <w:rPr>
          <w:rFonts w:ascii="Times New Roman" w:hAnsi="Times New Roman"/>
          <w:sz w:val="24"/>
          <w:szCs w:val="24"/>
        </w:rPr>
        <w:t xml:space="preserve"> The Amended Complaint asserts that Defendant violated § 1681c(a) by </w:t>
      </w:r>
      <w:r>
        <w:rPr>
          <w:rFonts w:ascii="Times New Roman" w:hAnsi="Times New Roman"/>
          <w:sz w:val="24"/>
          <w:szCs w:val="24"/>
        </w:rPr>
        <w:t>‘</w:t>
      </w:r>
      <w:proofErr w:type="spellStart"/>
      <w:r w:rsidRPr="0095474C">
        <w:rPr>
          <w:rFonts w:ascii="Times New Roman" w:hAnsi="Times New Roman"/>
          <w:sz w:val="24"/>
          <w:szCs w:val="24"/>
        </w:rPr>
        <w:t>disclos</w:t>
      </w:r>
      <w:proofErr w:type="spellEnd"/>
      <w:r w:rsidRPr="0095474C">
        <w:rPr>
          <w:rFonts w:ascii="Times New Roman" w:hAnsi="Times New Roman"/>
          <w:sz w:val="24"/>
          <w:szCs w:val="24"/>
        </w:rPr>
        <w:t>[</w:t>
      </w:r>
      <w:proofErr w:type="spellStart"/>
      <w:r w:rsidRPr="0095474C">
        <w:rPr>
          <w:rFonts w:ascii="Times New Roman" w:hAnsi="Times New Roman"/>
          <w:sz w:val="24"/>
          <w:szCs w:val="24"/>
        </w:rPr>
        <w:t>ing</w:t>
      </w:r>
      <w:proofErr w:type="spellEnd"/>
      <w:r w:rsidRPr="0095474C">
        <w:rPr>
          <w:rFonts w:ascii="Times New Roman" w:hAnsi="Times New Roman"/>
          <w:sz w:val="24"/>
          <w:szCs w:val="24"/>
        </w:rPr>
        <w:t>] [in the October 2019 Report] that in 2011 Plaintiff was arrested</w:t>
      </w:r>
      <w:r>
        <w:rPr>
          <w:rFonts w:ascii="Times New Roman" w:hAnsi="Times New Roman"/>
          <w:sz w:val="24"/>
          <w:szCs w:val="24"/>
        </w:rPr>
        <w:t xml:space="preserve">….’ </w:t>
      </w:r>
      <w:r w:rsidRPr="0095474C">
        <w:rPr>
          <w:rFonts w:ascii="Times New Roman" w:hAnsi="Times New Roman"/>
          <w:sz w:val="24"/>
          <w:szCs w:val="24"/>
        </w:rPr>
        <w:t xml:space="preserve"> </w:t>
      </w:r>
      <w:proofErr w:type="gramStart"/>
      <w:r w:rsidRPr="0095474C">
        <w:rPr>
          <w:rFonts w:ascii="Times New Roman" w:hAnsi="Times New Roman"/>
          <w:sz w:val="24"/>
          <w:szCs w:val="24"/>
        </w:rPr>
        <w:t>Thus</w:t>
      </w:r>
      <w:proofErr w:type="gramEnd"/>
      <w:r w:rsidRPr="0095474C">
        <w:rPr>
          <w:rFonts w:ascii="Times New Roman" w:hAnsi="Times New Roman"/>
          <w:sz w:val="24"/>
          <w:szCs w:val="24"/>
        </w:rPr>
        <w:t xml:space="preserve"> it plainly alleges the inclusion of information-his arrest-prohibited by § 1681c(a)(2). Therefore, the Court finds that Plaintiff has plausibly alleged a violation of § 1681c(a)(2).</w:t>
      </w:r>
      <w:r>
        <w:rPr>
          <w:rFonts w:ascii="Times New Roman" w:hAnsi="Times New Roman"/>
          <w:sz w:val="24"/>
          <w:szCs w:val="24"/>
        </w:rPr>
        <w:t xml:space="preserve">”  </w:t>
      </w:r>
      <w:hyperlink r:id="rId2761" w:history="1">
        <w:r w:rsidRPr="00177C22">
          <w:rPr>
            <w:rStyle w:val="Hyperlink"/>
            <w:rFonts w:ascii="Times New Roman" w:hAnsi="Times New Roman"/>
            <w:sz w:val="24"/>
            <w:szCs w:val="24"/>
          </w:rPr>
          <w:t>https://public.fastcase.com/J%2FJP6pdidelsXxEE4k%2BLMrj3s4T1D9o6YeH1P6QHRjfPwtPh7UBJw6%2FlyLsxvHVQo4RL4odtX24b6W6EIP3%2BuhoyWwf2ZSyK36dgjdjOjEg%3D</w:t>
        </w:r>
      </w:hyperlink>
      <w:r>
        <w:rPr>
          <w:rFonts w:ascii="Times New Roman" w:hAnsi="Times New Roman"/>
          <w:sz w:val="24"/>
          <w:szCs w:val="24"/>
        </w:rPr>
        <w:t xml:space="preserve"> </w:t>
      </w:r>
    </w:p>
    <w:p w14:paraId="6C1B621E" w14:textId="77777777" w:rsidR="007051EE" w:rsidRPr="00E633FE" w:rsidRDefault="007051EE" w:rsidP="007051EE">
      <w:pPr>
        <w:spacing w:before="100" w:beforeAutospacing="1" w:after="100" w:afterAutospacing="1" w:line="240" w:lineRule="auto"/>
        <w:rPr>
          <w:rFonts w:ascii="Times New Roman" w:eastAsia="Times New Roman" w:hAnsi="Times New Roman"/>
          <w:b/>
          <w:bCs/>
          <w:sz w:val="24"/>
          <w:szCs w:val="24"/>
        </w:rPr>
      </w:pPr>
      <w:r w:rsidRPr="00E633FE">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Fire &amp; EMS departments may hire consumer reporting agency to conduct a background check on an applicant; the report must comply with federal and state laws about arrests without convictions.  </w:t>
      </w:r>
    </w:p>
    <w:p w14:paraId="7190119B" w14:textId="77777777" w:rsidR="007051EE" w:rsidRDefault="007051EE" w:rsidP="007051EE">
      <w:pPr>
        <w:spacing w:before="100" w:beforeAutospacing="1" w:after="100" w:afterAutospacing="1" w:line="240" w:lineRule="auto"/>
        <w:ind w:left="720"/>
        <w:rPr>
          <w:rFonts w:ascii="Times New Roman" w:eastAsia="Times New Roman" w:hAnsi="Times New Roman"/>
          <w:sz w:val="24"/>
          <w:szCs w:val="24"/>
        </w:rPr>
      </w:pPr>
      <w:r w:rsidRPr="00314821">
        <w:rPr>
          <w:rFonts w:ascii="Times New Roman" w:eastAsia="Times New Roman" w:hAnsi="Times New Roman"/>
          <w:sz w:val="24"/>
          <w:szCs w:val="24"/>
        </w:rPr>
        <w:t xml:space="preserve">Note: </w:t>
      </w:r>
      <w:r>
        <w:rPr>
          <w:rFonts w:ascii="Times New Roman" w:eastAsia="Times New Roman" w:hAnsi="Times New Roman"/>
          <w:sz w:val="24"/>
          <w:szCs w:val="24"/>
        </w:rPr>
        <w:t xml:space="preserve">Some states prohibit prospective employers from asking applicants about arrest records where there was no conviction. The Court reviewed Massachusetts law. </w:t>
      </w:r>
    </w:p>
    <w:p w14:paraId="3F005920" w14:textId="77777777" w:rsidR="007051EE" w:rsidRDefault="007051EE" w:rsidP="007051E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314821">
        <w:rPr>
          <w:rFonts w:ascii="Times New Roman" w:hAnsi="Times New Roman"/>
          <w:sz w:val="24"/>
          <w:szCs w:val="24"/>
        </w:rPr>
        <w:t xml:space="preserve">Chapter 151B, § 4(9), in part, prohibits </w:t>
      </w:r>
      <w:r>
        <w:rPr>
          <w:rFonts w:ascii="Times New Roman" w:hAnsi="Times New Roman"/>
          <w:sz w:val="24"/>
          <w:szCs w:val="24"/>
        </w:rPr>
        <w:t>‘</w:t>
      </w:r>
      <w:proofErr w:type="spellStart"/>
      <w:r w:rsidRPr="00314821">
        <w:rPr>
          <w:rFonts w:ascii="Times New Roman" w:hAnsi="Times New Roman"/>
          <w:sz w:val="24"/>
          <w:szCs w:val="24"/>
        </w:rPr>
        <w:t>discriminat</w:t>
      </w:r>
      <w:proofErr w:type="spellEnd"/>
      <w:r w:rsidRPr="00314821">
        <w:rPr>
          <w:rFonts w:ascii="Times New Roman" w:hAnsi="Times New Roman"/>
          <w:sz w:val="24"/>
          <w:szCs w:val="24"/>
        </w:rPr>
        <w:t>[ion] against any person by reason of his or her failure to furnish such information through a written application or oral inquiry or otherwise regarding: (</w:t>
      </w:r>
      <w:proofErr w:type="spellStart"/>
      <w:r w:rsidRPr="00314821">
        <w:rPr>
          <w:rFonts w:ascii="Times New Roman" w:hAnsi="Times New Roman"/>
          <w:sz w:val="24"/>
          <w:szCs w:val="24"/>
        </w:rPr>
        <w:t>i</w:t>
      </w:r>
      <w:proofErr w:type="spellEnd"/>
      <w:r w:rsidRPr="00314821">
        <w:rPr>
          <w:rFonts w:ascii="Times New Roman" w:hAnsi="Times New Roman"/>
          <w:sz w:val="24"/>
          <w:szCs w:val="24"/>
        </w:rPr>
        <w:t>) an arrest, detention, or disposition regarding any violation of law in which no conviction resulted.</w:t>
      </w:r>
      <w:r>
        <w:rPr>
          <w:rFonts w:ascii="Times New Roman" w:hAnsi="Times New Roman"/>
          <w:sz w:val="24"/>
          <w:szCs w:val="24"/>
        </w:rPr>
        <w:t>’</w:t>
      </w:r>
      <w:r w:rsidRPr="00314821">
        <w:rPr>
          <w:rFonts w:ascii="Times New Roman" w:hAnsi="Times New Roman"/>
          <w:sz w:val="24"/>
          <w:szCs w:val="24"/>
        </w:rPr>
        <w:t xml:space="preserve"> The statute also prohibits an employer, or their agent, from requesting any information regarding an arrest that did not result in a conviction. </w:t>
      </w:r>
      <w:r w:rsidRPr="00314821">
        <w:rPr>
          <w:rFonts w:ascii="Times New Roman" w:hAnsi="Times New Roman"/>
          <w:i/>
          <w:iCs/>
          <w:sz w:val="24"/>
          <w:szCs w:val="24"/>
        </w:rPr>
        <w:t>Id.</w:t>
      </w:r>
      <w:r w:rsidRPr="00314821">
        <w:rPr>
          <w:rFonts w:ascii="Times New Roman" w:hAnsi="Times New Roman"/>
          <w:sz w:val="24"/>
          <w:szCs w:val="24"/>
        </w:rPr>
        <w:t xml:space="preserve"> The statute does not, however, prohibit employers from obtaining information about criminal charges from another source. Indeed, the Supreme Judicial Court of Massachusetts has held that Chapter 151B, § 4(9) was intended </w:t>
      </w:r>
      <w:r>
        <w:rPr>
          <w:rFonts w:ascii="Times New Roman" w:hAnsi="Times New Roman"/>
          <w:sz w:val="24"/>
          <w:szCs w:val="24"/>
        </w:rPr>
        <w:t>‘</w:t>
      </w:r>
      <w:r w:rsidRPr="00314821">
        <w:rPr>
          <w:rFonts w:ascii="Times New Roman" w:hAnsi="Times New Roman"/>
          <w:sz w:val="24"/>
          <w:szCs w:val="24"/>
        </w:rPr>
        <w:t>to protect employees from such requests from their employers and not to proscribe employers from seeking such information elsewhere.</w:t>
      </w:r>
      <w:r>
        <w:rPr>
          <w:rFonts w:ascii="Times New Roman" w:hAnsi="Times New Roman"/>
          <w:sz w:val="24"/>
          <w:szCs w:val="24"/>
        </w:rPr>
        <w:t>’</w:t>
      </w:r>
      <w:r w:rsidRPr="00314821">
        <w:rPr>
          <w:rFonts w:ascii="Times New Roman" w:hAnsi="Times New Roman"/>
          <w:sz w:val="24"/>
          <w:szCs w:val="24"/>
        </w:rPr>
        <w:t xml:space="preserve"> </w:t>
      </w:r>
      <w:r w:rsidRPr="00314821">
        <w:rPr>
          <w:rFonts w:ascii="Times New Roman" w:hAnsi="Times New Roman"/>
          <w:i/>
          <w:iCs/>
          <w:sz w:val="24"/>
          <w:szCs w:val="24"/>
        </w:rPr>
        <w:t>Bynes v. School Comm. of Boston,</w:t>
      </w:r>
      <w:r w:rsidRPr="00314821">
        <w:rPr>
          <w:rFonts w:ascii="Times New Roman" w:hAnsi="Times New Roman"/>
          <w:sz w:val="24"/>
          <w:szCs w:val="24"/>
        </w:rPr>
        <w:t xml:space="preserve"> 411 Mass. 264, 268 (Mass. 1991).</w:t>
      </w:r>
      <w:r>
        <w:rPr>
          <w:rFonts w:ascii="Times New Roman" w:hAnsi="Times New Roman"/>
          <w:sz w:val="24"/>
          <w:szCs w:val="24"/>
        </w:rPr>
        <w:t xml:space="preserve">” </w:t>
      </w:r>
      <w:hyperlink r:id="rId2762" w:history="1">
        <w:r w:rsidRPr="00177C22">
          <w:rPr>
            <w:rStyle w:val="Hyperlink"/>
            <w:rFonts w:ascii="Times New Roman" w:hAnsi="Times New Roman"/>
            <w:sz w:val="24"/>
            <w:szCs w:val="24"/>
          </w:rPr>
          <w:t>https://public.fastcase.com/J%2FJP6pdidelsXxEE4k%2BLMrj3s4T1D9o6YeH1P6QHRjfPwtPh7UBJw6%2FlyLsxvHVQo4RL4odtX24b6W6EIP3%2BuhoyWwf2ZSyK36dgjdjOjEg%3D</w:t>
        </w:r>
      </w:hyperlink>
      <w:r>
        <w:rPr>
          <w:rFonts w:ascii="Times New Roman" w:hAnsi="Times New Roman"/>
          <w:sz w:val="24"/>
          <w:szCs w:val="24"/>
        </w:rPr>
        <w:t xml:space="preserve"> </w:t>
      </w:r>
    </w:p>
    <w:p w14:paraId="0B67F72C" w14:textId="77777777" w:rsidR="007051EE" w:rsidRDefault="007051EE" w:rsidP="007051E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Under Ohio law:</w:t>
      </w:r>
    </w:p>
    <w:p w14:paraId="2E81FE98" w14:textId="77777777" w:rsidR="007051EE" w:rsidRDefault="007051EE" w:rsidP="007051EE">
      <w:pPr>
        <w:pStyle w:val="NormalWeb"/>
        <w:ind w:left="720"/>
      </w:pPr>
      <w:r>
        <w:t xml:space="preserve">“Ohio employers are required to </w:t>
      </w:r>
      <w:r>
        <w:rPr>
          <w:rStyle w:val="Strong"/>
        </w:rPr>
        <w:t>provide advance, written notice</w:t>
      </w:r>
      <w:r>
        <w:t xml:space="preserve"> of their intent to conduct </w:t>
      </w:r>
      <w:hyperlink r:id="rId2763" w:history="1">
        <w:r>
          <w:rPr>
            <w:rStyle w:val="Hyperlink"/>
            <w:rFonts w:eastAsiaTheme="majorEastAsia"/>
          </w:rPr>
          <w:t>pre-employment background checks</w:t>
        </w:r>
      </w:hyperlink>
      <w:r>
        <w:t xml:space="preserve">. The FCRA also requires employers to secure their applicants’ written consent before conducting employment background checks. If a background check reveals negative information in Ohio, employers must adhere to the two-step </w:t>
      </w:r>
      <w:hyperlink r:id="rId2764" w:history="1">
        <w:r>
          <w:rPr>
            <w:rStyle w:val="Hyperlink"/>
            <w:rFonts w:eastAsiaTheme="majorEastAsia"/>
          </w:rPr>
          <w:t>adverse action process</w:t>
        </w:r>
      </w:hyperlink>
      <w:r>
        <w:t xml:space="preserve"> before a final hiring decision is made.</w:t>
      </w:r>
    </w:p>
    <w:p w14:paraId="4C10DC1E" w14:textId="77777777" w:rsidR="007051EE" w:rsidRDefault="007051EE" w:rsidP="007051EE">
      <w:pPr>
        <w:pStyle w:val="NormalWeb"/>
        <w:ind w:left="720"/>
      </w:pPr>
      <w:r>
        <w:t>***</w:t>
      </w:r>
    </w:p>
    <w:p w14:paraId="3DD94F01" w14:textId="77777777" w:rsidR="007051EE" w:rsidRDefault="007051EE" w:rsidP="007051EE">
      <w:pPr>
        <w:pStyle w:val="NormalWeb"/>
        <w:ind w:left="720"/>
      </w:pPr>
      <w:r>
        <w:t xml:space="preserve">Public employers must follow the </w:t>
      </w:r>
      <w:r>
        <w:rPr>
          <w:rStyle w:val="Strong"/>
        </w:rPr>
        <w:t>state’s ban-the-box law</w:t>
      </w:r>
      <w:r>
        <w:t xml:space="preserve">. The Department of Administrative Services issued </w:t>
      </w:r>
      <w:hyperlink r:id="rId2765" w:history="1">
        <w:r>
          <w:rPr>
            <w:rStyle w:val="Hyperlink"/>
            <w:rFonts w:eastAsiaTheme="majorEastAsia"/>
          </w:rPr>
          <w:t>policy HR-29</w:t>
        </w:r>
      </w:hyperlink>
      <w:r>
        <w:t xml:space="preserve"> in 2015. This law prohibits public-sector employers from asking questions about criminal </w:t>
      </w:r>
      <w:proofErr w:type="gramStart"/>
      <w:r>
        <w:t>history information</w:t>
      </w:r>
      <w:proofErr w:type="gramEnd"/>
      <w:r>
        <w:t xml:space="preserve"> during the early phases of the hiring process.</w:t>
      </w:r>
    </w:p>
    <w:p w14:paraId="54B8A69D" w14:textId="77777777" w:rsidR="007051EE" w:rsidRDefault="007051EE" w:rsidP="007051EE">
      <w:pPr>
        <w:pStyle w:val="NormalWeb"/>
        <w:ind w:left="720"/>
      </w:pPr>
      <w:r>
        <w:t xml:space="preserve">Under </w:t>
      </w:r>
      <w:hyperlink r:id="rId2766" w:history="1">
        <w:r>
          <w:rPr>
            <w:rStyle w:val="Hyperlink"/>
            <w:rFonts w:eastAsiaTheme="majorEastAsia"/>
          </w:rPr>
          <w:t>ORC § 2953.32</w:t>
        </w:r>
      </w:hyperlink>
      <w:r>
        <w:t xml:space="preserve">, eligible offenders may petition the court to have certain criminal records sealed or expunged. Employers </w:t>
      </w:r>
      <w:r>
        <w:rPr>
          <w:rStyle w:val="Strong"/>
        </w:rPr>
        <w:t>are not allowed to ask applicants or employees</w:t>
      </w:r>
      <w:r>
        <w:t xml:space="preserve"> about sealed, expunged, pardoned, or erased records.” </w:t>
      </w:r>
      <w:hyperlink r:id="rId2767" w:history="1">
        <w:r w:rsidRPr="00177C22">
          <w:rPr>
            <w:rStyle w:val="Hyperlink"/>
            <w:rFonts w:eastAsiaTheme="majorEastAsia"/>
          </w:rPr>
          <w:t>https://iprospectcheck.com/ohio-background-check/</w:t>
        </w:r>
      </w:hyperlink>
      <w:r>
        <w:t xml:space="preserve"> </w:t>
      </w:r>
    </w:p>
    <w:p w14:paraId="4ADCB94A" w14:textId="77777777" w:rsidR="007051EE" w:rsidRDefault="007051EE" w:rsidP="007051EE">
      <w:pPr>
        <w:spacing w:before="100" w:beforeAutospacing="1" w:after="100" w:afterAutospacing="1" w:line="240" w:lineRule="auto"/>
        <w:rPr>
          <w:rFonts w:ascii="Times New Roman" w:hAnsi="Times New Roman"/>
          <w:sz w:val="24"/>
          <w:szCs w:val="24"/>
        </w:rPr>
      </w:pPr>
    </w:p>
    <w:p w14:paraId="0D94B0D0" w14:textId="77777777" w:rsidR="007051EE" w:rsidRDefault="007051EE" w:rsidP="00F326E5">
      <w:pPr>
        <w:pStyle w:val="NoSpacing"/>
        <w:rPr>
          <w:rFonts w:ascii="Arial Black" w:hAnsi="Arial Black"/>
          <w:sz w:val="24"/>
          <w:szCs w:val="24"/>
        </w:rPr>
      </w:pPr>
    </w:p>
    <w:p w14:paraId="7595D729" w14:textId="77777777" w:rsidR="007051EE" w:rsidRDefault="007051EE" w:rsidP="00F326E5">
      <w:pPr>
        <w:pStyle w:val="NoSpacing"/>
        <w:rPr>
          <w:rFonts w:ascii="Arial Black" w:hAnsi="Arial Black"/>
          <w:sz w:val="24"/>
          <w:szCs w:val="24"/>
        </w:rPr>
      </w:pPr>
    </w:p>
    <w:p w14:paraId="24E0C573" w14:textId="77777777" w:rsidR="007051EE" w:rsidRDefault="007051EE" w:rsidP="00F326E5">
      <w:pPr>
        <w:pStyle w:val="NoSpacing"/>
        <w:rPr>
          <w:rFonts w:ascii="Arial Black" w:hAnsi="Arial Black"/>
          <w:sz w:val="24"/>
          <w:szCs w:val="24"/>
        </w:rPr>
      </w:pPr>
    </w:p>
    <w:p w14:paraId="16AA628D" w14:textId="106C46B2" w:rsidR="00BA51CC" w:rsidRDefault="00BA51CC" w:rsidP="00F326E5">
      <w:pPr>
        <w:pStyle w:val="NoSpacing"/>
        <w:rPr>
          <w:rFonts w:ascii="Arial Black" w:hAnsi="Arial Black"/>
          <w:sz w:val="24"/>
          <w:szCs w:val="24"/>
        </w:rPr>
      </w:pPr>
      <w:r>
        <w:rPr>
          <w:rFonts w:ascii="Arial Black" w:hAnsi="Arial Black"/>
          <w:sz w:val="24"/>
          <w:szCs w:val="24"/>
        </w:rPr>
        <w:t>16-68</w:t>
      </w:r>
    </w:p>
    <w:p w14:paraId="45C7ACD3" w14:textId="77777777" w:rsidR="00BA51CC" w:rsidRDefault="00BA51CC" w:rsidP="00BA51CC">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NEW WIFE MAY HAVE ALTERED WILL OF DECEASED FF – BATT. CHIEF ONLY SIGNED AS WIT. ORIGINAL - REHIRED</w:t>
      </w:r>
    </w:p>
    <w:p w14:paraId="545B87A3" w14:textId="59E48596" w:rsidR="00BA51CC" w:rsidRDefault="00BA51CC" w:rsidP="00BA51CC">
      <w:pPr>
        <w:pStyle w:val="NoSpacing"/>
        <w:rPr>
          <w:rStyle w:val="Hyperlink"/>
          <w:rFonts w:ascii="Times New Roman" w:hAnsi="Times New Roman"/>
          <w:sz w:val="24"/>
          <w:szCs w:val="24"/>
        </w:rPr>
      </w:pPr>
      <w:r w:rsidRPr="003572C6">
        <w:rPr>
          <w:rFonts w:ascii="Times New Roman" w:eastAsia="Times New Roman" w:hAnsi="Times New Roman"/>
          <w:sz w:val="24"/>
          <w:szCs w:val="24"/>
        </w:rPr>
        <w:t xml:space="preserve">On April 26, 2022, </w:t>
      </w:r>
      <w:r w:rsidRPr="005A463F">
        <w:rPr>
          <w:rFonts w:ascii="Times New Roman" w:eastAsia="Times New Roman" w:hAnsi="Times New Roman"/>
          <w:sz w:val="24"/>
          <w:szCs w:val="24"/>
        </w:rPr>
        <w:t xml:space="preserve">in </w:t>
      </w:r>
      <w:r w:rsidRPr="003572C6">
        <w:rPr>
          <w:rFonts w:ascii="Times New Roman" w:eastAsia="Times New Roman" w:hAnsi="Times New Roman"/>
          <w:sz w:val="24"/>
          <w:szCs w:val="24"/>
          <w:u w:val="single"/>
        </w:rPr>
        <w:t>City of Memphis v. Beverly Prye</w:t>
      </w:r>
      <w:r>
        <w:rPr>
          <w:rFonts w:ascii="Times New Roman" w:eastAsia="Times New Roman" w:hAnsi="Times New Roman"/>
          <w:sz w:val="24"/>
          <w:szCs w:val="24"/>
        </w:rPr>
        <w:t xml:space="preserve">, the Court of Appeals of Tennessee in Jackson held (3 to 0) that the City failed to prove that Battalion Chief Prye, a 21-year member of the Memphis FD, knew that the Will of late </w:t>
      </w:r>
      <w:r w:rsidRPr="003572C6">
        <w:rPr>
          <w:rFonts w:ascii="Times New Roman" w:hAnsi="Times New Roman"/>
          <w:sz w:val="24"/>
          <w:szCs w:val="24"/>
        </w:rPr>
        <w:t>Ulysses Jones, Jr</w:t>
      </w:r>
      <w:r>
        <w:rPr>
          <w:rFonts w:ascii="Times New Roman" w:hAnsi="Times New Roman"/>
          <w:sz w:val="24"/>
          <w:szCs w:val="24"/>
        </w:rPr>
        <w:t xml:space="preserve">. was a forgery.  Mr. Jones was also employed with Memphis FD until his death in </w:t>
      </w:r>
      <w:proofErr w:type="gramStart"/>
      <w:r>
        <w:rPr>
          <w:rFonts w:ascii="Times New Roman" w:hAnsi="Times New Roman"/>
          <w:sz w:val="24"/>
          <w:szCs w:val="24"/>
        </w:rPr>
        <w:t>Nov. 2010, and</w:t>
      </w:r>
      <w:proofErr w:type="gramEnd"/>
      <w:r>
        <w:rPr>
          <w:rFonts w:ascii="Times New Roman" w:hAnsi="Times New Roman"/>
          <w:sz w:val="24"/>
          <w:szCs w:val="24"/>
        </w:rPr>
        <w:t xml:space="preserve"> told Ms. Prye of his intentions to marry his girlfriend, Ms. Sandra Richards. The Court raised the possibility that the Will that was submitted to Probate Court by Ms. Richards, leaving all his estate to her, might not have been the document witnessed by the Battalion Chief. </w:t>
      </w:r>
      <w:hyperlink r:id="rId2768" w:history="1">
        <w:r w:rsidRPr="00C8589E">
          <w:rPr>
            <w:rStyle w:val="Hyperlink"/>
            <w:rFonts w:ascii="Times New Roman" w:hAnsi="Times New Roman"/>
            <w:sz w:val="24"/>
            <w:szCs w:val="24"/>
          </w:rPr>
          <w:t>https://www.tncourts.gov/sites/default/files/pryebeverlyopn.pdf</w:t>
        </w:r>
      </w:hyperlink>
    </w:p>
    <w:p w14:paraId="655F7501" w14:textId="77777777" w:rsidR="00BA51CC" w:rsidRPr="00A302C2" w:rsidRDefault="00BA51CC" w:rsidP="00BA51CC">
      <w:pPr>
        <w:spacing w:before="100" w:beforeAutospacing="1" w:after="100" w:afterAutospacing="1" w:line="240" w:lineRule="auto"/>
        <w:rPr>
          <w:rFonts w:ascii="Times New Roman" w:hAnsi="Times New Roman"/>
          <w:sz w:val="24"/>
          <w:szCs w:val="24"/>
        </w:rPr>
      </w:pPr>
      <w:r w:rsidRPr="00D23681">
        <w:rPr>
          <w:rFonts w:ascii="Times New Roman" w:hAnsi="Times New Roman"/>
          <w:b/>
          <w:bCs/>
          <w:sz w:val="24"/>
          <w:szCs w:val="24"/>
        </w:rPr>
        <w:t>Legal Lesson Learned</w:t>
      </w:r>
      <w:r>
        <w:rPr>
          <w:rFonts w:ascii="Times New Roman" w:hAnsi="Times New Roman"/>
          <w:b/>
          <w:bCs/>
          <w:sz w:val="24"/>
          <w:szCs w:val="24"/>
        </w:rPr>
        <w:t xml:space="preserve">: Employee reinstated with full back pay and benefits. </w:t>
      </w:r>
    </w:p>
    <w:p w14:paraId="04E1CC18" w14:textId="77777777" w:rsidR="00BA51CC" w:rsidRDefault="00BA51CC" w:rsidP="00BA51CC">
      <w:pPr>
        <w:pStyle w:val="NoSpacing"/>
        <w:rPr>
          <w:rFonts w:ascii="Arial Black" w:hAnsi="Arial Black"/>
          <w:sz w:val="24"/>
          <w:szCs w:val="24"/>
        </w:rPr>
      </w:pPr>
    </w:p>
    <w:p w14:paraId="5839D367" w14:textId="77777777" w:rsidR="00BA51CC" w:rsidRDefault="00BA51CC" w:rsidP="00F326E5">
      <w:pPr>
        <w:pStyle w:val="NoSpacing"/>
        <w:rPr>
          <w:rFonts w:ascii="Arial Black" w:hAnsi="Arial Black"/>
          <w:sz w:val="24"/>
          <w:szCs w:val="24"/>
        </w:rPr>
      </w:pPr>
    </w:p>
    <w:p w14:paraId="0D8B812F" w14:textId="77777777" w:rsidR="00BA51CC" w:rsidRDefault="00BA51CC" w:rsidP="00F326E5">
      <w:pPr>
        <w:pStyle w:val="NoSpacing"/>
        <w:rPr>
          <w:rFonts w:ascii="Arial Black" w:hAnsi="Arial Black"/>
          <w:sz w:val="24"/>
          <w:szCs w:val="24"/>
        </w:rPr>
      </w:pPr>
    </w:p>
    <w:p w14:paraId="2FFF2718" w14:textId="3D700563" w:rsidR="00BA51CC" w:rsidRDefault="00BA51CC" w:rsidP="00F326E5">
      <w:pPr>
        <w:pStyle w:val="NoSpacing"/>
        <w:rPr>
          <w:rFonts w:ascii="Arial Black" w:hAnsi="Arial Black"/>
          <w:sz w:val="24"/>
          <w:szCs w:val="24"/>
        </w:rPr>
      </w:pPr>
      <w:r>
        <w:rPr>
          <w:rFonts w:ascii="Arial Black" w:hAnsi="Arial Black"/>
          <w:sz w:val="24"/>
          <w:szCs w:val="24"/>
        </w:rPr>
        <w:t>16-67</w:t>
      </w:r>
    </w:p>
    <w:p w14:paraId="69475352" w14:textId="77777777" w:rsidR="00BA51CC" w:rsidRPr="006A4F17" w:rsidRDefault="00BA51CC" w:rsidP="00BA51CC">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GA: FIRE CHIEF FIRED – AFFAIR – 1</w:t>
      </w:r>
      <w:r w:rsidRPr="00701857">
        <w:rPr>
          <w:rFonts w:ascii="Arial Black" w:eastAsia="Times New Roman" w:hAnsi="Arial Black"/>
          <w:sz w:val="28"/>
          <w:szCs w:val="28"/>
          <w:vertAlign w:val="superscript"/>
        </w:rPr>
        <w:t>st</w:t>
      </w:r>
      <w:r>
        <w:rPr>
          <w:rFonts w:ascii="Arial Black" w:eastAsia="Times New Roman" w:hAnsi="Arial Black"/>
          <w:sz w:val="28"/>
          <w:szCs w:val="28"/>
        </w:rPr>
        <w:t xml:space="preserve"> AMEND. RIGHT TO SPEAK – “SHOP WITH A HERO” SHOULD BE PRIVATE $</w:t>
      </w:r>
    </w:p>
    <w:p w14:paraId="04B5FBD7" w14:textId="01FF2257" w:rsidR="00BA51CC" w:rsidRDefault="00BA51CC" w:rsidP="00BA51CC">
      <w:pPr>
        <w:pStyle w:val="NoSpacing"/>
        <w:rPr>
          <w:rStyle w:val="Hyperlink"/>
          <w:rFonts w:ascii="Times New Roman" w:hAnsi="Times New Roman"/>
          <w:sz w:val="24"/>
          <w:szCs w:val="24"/>
        </w:rPr>
      </w:pPr>
      <w:r>
        <w:rPr>
          <w:rFonts w:ascii="Times New Roman" w:eastAsia="Times New Roman" w:hAnsi="Times New Roman"/>
          <w:sz w:val="24"/>
          <w:szCs w:val="24"/>
        </w:rPr>
        <w:t xml:space="preserve">On April 13, 2022, in </w:t>
      </w:r>
      <w:r w:rsidRPr="000428C8">
        <w:rPr>
          <w:rFonts w:ascii="Times New Roman" w:eastAsia="Times New Roman" w:hAnsi="Times New Roman"/>
          <w:sz w:val="24"/>
          <w:szCs w:val="24"/>
          <w:u w:val="single"/>
        </w:rPr>
        <w:t>William Owens v. Logan Propes, R,V, Watts and the City of Monroe</w:t>
      </w:r>
      <w:r>
        <w:rPr>
          <w:rFonts w:ascii="Times New Roman" w:eastAsia="Times New Roman" w:hAnsi="Times New Roman"/>
          <w:sz w:val="24"/>
          <w:szCs w:val="24"/>
        </w:rPr>
        <w:t>, U.S. District Court Judge Clay D. Land, U.S. District Court for the Middle District of Georgia (Athens Division), held that the former Fire Chief’s claim of breach of his 1</w:t>
      </w:r>
      <w:r w:rsidRPr="00D90B93">
        <w:rPr>
          <w:rFonts w:ascii="Times New Roman" w:eastAsia="Times New Roman" w:hAnsi="Times New Roman"/>
          <w:sz w:val="24"/>
          <w:szCs w:val="24"/>
          <w:vertAlign w:val="superscript"/>
        </w:rPr>
        <w:t>st</w:t>
      </w:r>
      <w:r>
        <w:rPr>
          <w:rFonts w:ascii="Times New Roman" w:eastAsia="Times New Roman" w:hAnsi="Times New Roman"/>
          <w:sz w:val="24"/>
          <w:szCs w:val="24"/>
        </w:rPr>
        <w:t xml:space="preserve"> Amendment right of free speech may proceed. </w:t>
      </w:r>
      <w:r>
        <w:rPr>
          <w:rFonts w:ascii="Times New Roman" w:hAnsi="Times New Roman"/>
          <w:sz w:val="24"/>
          <w:szCs w:val="24"/>
        </w:rPr>
        <w:t xml:space="preserve">In May, 2020 (about same time as the public comments), Police Chief R.V. Watts and City Administrator Logan Propes learned that the Fire Chief William Owens was having a relationship with K.I. (her son saw exchanges on her Apple watch), and </w:t>
      </w:r>
      <w:r w:rsidRPr="00190143">
        <w:rPr>
          <w:rFonts w:ascii="Times New Roman" w:hAnsi="Times New Roman"/>
          <w:sz w:val="24"/>
          <w:szCs w:val="24"/>
        </w:rPr>
        <w:t>Propes demanded that Owens resign and threatened that if he did not, Owens would be terminated for “conduct unbecoming” based on his relationship with K.I. Owens advised the City of the actions taken by Watts and Propes with regard to K.I.'s Apple watch. Soon after that, Owens was terminated from his job as fire chief.</w:t>
      </w:r>
      <w:r>
        <w:rPr>
          <w:rFonts w:ascii="Times New Roman" w:hAnsi="Times New Roman"/>
          <w:sz w:val="24"/>
          <w:szCs w:val="24"/>
        </w:rPr>
        <w:t xml:space="preserve"> </w:t>
      </w:r>
      <w:r>
        <w:rPr>
          <w:rFonts w:ascii="Times New Roman" w:eastAsia="Times New Roman" w:hAnsi="Times New Roman"/>
          <w:sz w:val="24"/>
          <w:szCs w:val="24"/>
        </w:rPr>
        <w:t xml:space="preserve">Owens alleges that his comments at a public meeting that the “Shop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Hero” police and firefighter program should be funded by a private not-for-profit organization.  The program had been proposed by realtors, was administered by the City Administrator, and there were questions from members of the public about missing funds.  The trial judge held that the Fire Chiefs comments may have been a motivating factor in the City’s decision to terminate him.  Under the U.S. Supreme Court’s “balancing test” in Pickering v. Board of Education, 391 U.S. 563 (1968), the Fire Chief was speaking as a private citizen, not a public official.  The judge referenced, </w:t>
      </w:r>
      <w:r w:rsidRPr="00D25C58">
        <w:rPr>
          <w:rStyle w:val="Emphasis"/>
          <w:rFonts w:ascii="Times New Roman" w:hAnsi="Times New Roman"/>
          <w:sz w:val="24"/>
          <w:szCs w:val="24"/>
        </w:rPr>
        <w:t>Garcetti v. Ceballos</w:t>
      </w:r>
      <w:r w:rsidRPr="00D25C58">
        <w:rPr>
          <w:rFonts w:ascii="Times New Roman" w:hAnsi="Times New Roman"/>
          <w:sz w:val="24"/>
          <w:szCs w:val="24"/>
        </w:rPr>
        <w:t>, 547 U.S. 410, 417 (2006)</w:t>
      </w:r>
      <w:r>
        <w:rPr>
          <w:rFonts w:ascii="Times New Roman" w:hAnsi="Times New Roman"/>
          <w:sz w:val="24"/>
          <w:szCs w:val="24"/>
        </w:rPr>
        <w:t xml:space="preserve">, where U.S. Supreme Court held the </w:t>
      </w:r>
      <w:r w:rsidRPr="00D25C58">
        <w:rPr>
          <w:rFonts w:ascii="Times New Roman" w:hAnsi="Times New Roman"/>
          <w:sz w:val="24"/>
          <w:szCs w:val="24"/>
        </w:rPr>
        <w:t xml:space="preserve">First Amendment still provides some protection for a public employee who speaks (1) “as a citizen” (2) “addressing matters of public concern.” </w:t>
      </w:r>
      <w:r w:rsidRPr="00D25C58">
        <w:rPr>
          <w:rStyle w:val="Emphasis"/>
          <w:rFonts w:ascii="Times New Roman" w:hAnsi="Times New Roman"/>
          <w:sz w:val="24"/>
          <w:szCs w:val="24"/>
        </w:rPr>
        <w:t>Id.</w:t>
      </w:r>
      <w:r w:rsidRPr="00D25C58">
        <w:rPr>
          <w:rFonts w:ascii="Times New Roman" w:hAnsi="Times New Roman"/>
          <w:sz w:val="24"/>
          <w:szCs w:val="24"/>
        </w:rPr>
        <w:t xml:space="preserve"> If the employee speaks as a citizen</w:t>
      </w:r>
      <w:r>
        <w:rPr>
          <w:rFonts w:ascii="Times New Roman" w:hAnsi="Times New Roman"/>
          <w:sz w:val="24"/>
          <w:szCs w:val="24"/>
        </w:rPr>
        <w:t xml:space="preserve">.  </w:t>
      </w:r>
      <w:hyperlink r:id="rId2769" w:history="1">
        <w:r w:rsidRPr="00552F99">
          <w:rPr>
            <w:rStyle w:val="Hyperlink"/>
            <w:rFonts w:ascii="Times New Roman" w:hAnsi="Times New Roman"/>
            <w:sz w:val="24"/>
            <w:szCs w:val="24"/>
          </w:rPr>
          <w:t>https://casetext.com/case/owens-v-propes</w:t>
        </w:r>
      </w:hyperlink>
    </w:p>
    <w:p w14:paraId="33D50BFE" w14:textId="0F39E572" w:rsidR="00BA51CC" w:rsidRDefault="00BA51CC" w:rsidP="00BA51CC">
      <w:pPr>
        <w:pStyle w:val="NoSpacing"/>
        <w:rPr>
          <w:rStyle w:val="Hyperlink"/>
          <w:rFonts w:ascii="Times New Roman" w:hAnsi="Times New Roman"/>
          <w:sz w:val="24"/>
          <w:szCs w:val="24"/>
        </w:rPr>
      </w:pPr>
    </w:p>
    <w:p w14:paraId="7102314C" w14:textId="77777777" w:rsidR="00BA51CC" w:rsidRPr="00817FDB" w:rsidRDefault="00BA51CC" w:rsidP="00BA51CC">
      <w:pPr>
        <w:spacing w:before="100" w:beforeAutospacing="1" w:after="100" w:afterAutospacing="1" w:line="240" w:lineRule="auto"/>
        <w:rPr>
          <w:rFonts w:ascii="Times New Roman" w:eastAsia="Times New Roman" w:hAnsi="Times New Roman"/>
          <w:b/>
          <w:bCs/>
          <w:sz w:val="24"/>
          <w:szCs w:val="24"/>
        </w:rPr>
      </w:pPr>
      <w:r w:rsidRPr="00817FD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Public officials, including fire chiefs and firefighters have only limited 1</w:t>
      </w:r>
      <w:r w:rsidRPr="00817FDB">
        <w:rPr>
          <w:rFonts w:ascii="Times New Roman" w:eastAsia="Times New Roman" w:hAnsi="Times New Roman"/>
          <w:b/>
          <w:bCs/>
          <w:sz w:val="24"/>
          <w:szCs w:val="24"/>
          <w:vertAlign w:val="superscript"/>
        </w:rPr>
        <w:t>st</w:t>
      </w:r>
      <w:r>
        <w:rPr>
          <w:rFonts w:ascii="Times New Roman" w:eastAsia="Times New Roman" w:hAnsi="Times New Roman"/>
          <w:b/>
          <w:bCs/>
          <w:sz w:val="24"/>
          <w:szCs w:val="24"/>
        </w:rPr>
        <w:t xml:space="preserve"> Amendment rights under the </w:t>
      </w:r>
      <w:r w:rsidRPr="00817EA6">
        <w:rPr>
          <w:rFonts w:ascii="Times New Roman" w:eastAsia="Times New Roman" w:hAnsi="Times New Roman"/>
          <w:b/>
          <w:bCs/>
          <w:i/>
          <w:iCs/>
          <w:sz w:val="24"/>
          <w:szCs w:val="24"/>
        </w:rPr>
        <w:t>Pickering</w:t>
      </w:r>
      <w:r>
        <w:rPr>
          <w:rFonts w:ascii="Times New Roman" w:eastAsia="Times New Roman" w:hAnsi="Times New Roman"/>
          <w:b/>
          <w:bCs/>
          <w:sz w:val="24"/>
          <w:szCs w:val="24"/>
        </w:rPr>
        <w:t xml:space="preserve"> “balancing test” when discussing official activities; here the trial court found that the Fire Chief was speaking as a private citizen. </w:t>
      </w:r>
    </w:p>
    <w:p w14:paraId="3B240C8C" w14:textId="7C2A13A9" w:rsidR="00BA51CC" w:rsidRPr="00BA51CC" w:rsidRDefault="00BA51CC" w:rsidP="00BA51CC">
      <w:pPr>
        <w:pStyle w:val="NoSpacing"/>
        <w:ind w:left="720"/>
        <w:rPr>
          <w:rFonts w:ascii="Times New Roman" w:hAnsi="Times New Roman"/>
          <w:sz w:val="24"/>
          <w:szCs w:val="24"/>
        </w:rPr>
      </w:pPr>
      <w:r w:rsidRPr="00BA51CC">
        <w:rPr>
          <w:rFonts w:ascii="Times New Roman" w:hAnsi="Times New Roman"/>
          <w:sz w:val="24"/>
          <w:szCs w:val="24"/>
        </w:rPr>
        <w:t xml:space="preserve">Note: See article (July 6, 2021): “Owens refused to resign; Fire chief's alleged relationship, financial management lead to firing.” </w:t>
      </w:r>
      <w:hyperlink r:id="rId2770" w:history="1">
        <w:r w:rsidRPr="00BA51CC">
          <w:rPr>
            <w:rStyle w:val="Hyperlink"/>
            <w:rFonts w:ascii="Times New Roman" w:hAnsi="Times New Roman"/>
            <w:sz w:val="24"/>
            <w:szCs w:val="24"/>
          </w:rPr>
          <w:t>https://www.waltontribune.com/article_108b8906-f48f-11ea-baf7-07788894fc4c.html</w:t>
        </w:r>
      </w:hyperlink>
    </w:p>
    <w:p w14:paraId="7F8BF022" w14:textId="77777777" w:rsidR="00BA51CC" w:rsidRDefault="00BA51CC" w:rsidP="00F326E5">
      <w:pPr>
        <w:pStyle w:val="NoSpacing"/>
        <w:rPr>
          <w:rFonts w:ascii="Arial Black" w:hAnsi="Arial Black"/>
          <w:sz w:val="24"/>
          <w:szCs w:val="24"/>
        </w:rPr>
      </w:pPr>
    </w:p>
    <w:p w14:paraId="26CCD078" w14:textId="77777777" w:rsidR="00BA51CC" w:rsidRDefault="00BA51CC" w:rsidP="00F326E5">
      <w:pPr>
        <w:pStyle w:val="NoSpacing"/>
        <w:rPr>
          <w:rFonts w:ascii="Arial Black" w:hAnsi="Arial Black"/>
          <w:sz w:val="24"/>
          <w:szCs w:val="24"/>
        </w:rPr>
      </w:pPr>
    </w:p>
    <w:p w14:paraId="4951670B" w14:textId="3688525F" w:rsidR="00BA51CC" w:rsidRDefault="00BA51CC" w:rsidP="00F326E5">
      <w:pPr>
        <w:pStyle w:val="NoSpacing"/>
        <w:rPr>
          <w:rFonts w:ascii="Arial Black" w:hAnsi="Arial Black"/>
          <w:sz w:val="24"/>
          <w:szCs w:val="24"/>
        </w:rPr>
      </w:pPr>
      <w:r>
        <w:rPr>
          <w:rFonts w:ascii="Arial Black" w:hAnsi="Arial Black"/>
          <w:sz w:val="24"/>
          <w:szCs w:val="24"/>
        </w:rPr>
        <w:t>16-66</w:t>
      </w:r>
    </w:p>
    <w:p w14:paraId="4A0E4F9E" w14:textId="77777777" w:rsidR="00BA51CC" w:rsidRPr="008635F6" w:rsidRDefault="00BA51CC" w:rsidP="00BA51CC">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FL: NAVAL FIRE TRAINING OFFICER FIRED - TOLD UPDATE TRAINING RECORDS – NO WHISTLEBLOWER RETALIATION</w:t>
      </w:r>
    </w:p>
    <w:p w14:paraId="0F6252C7" w14:textId="38A9CB3F" w:rsidR="00BA51CC" w:rsidRDefault="00BA51CC" w:rsidP="00BA51CC">
      <w:pPr>
        <w:pStyle w:val="NoSpacing"/>
        <w:rPr>
          <w:rStyle w:val="Hyperlink"/>
          <w:rFonts w:ascii="Times New Roman" w:hAnsi="Times New Roman"/>
          <w:sz w:val="24"/>
          <w:szCs w:val="24"/>
        </w:rPr>
      </w:pPr>
      <w:r w:rsidRPr="000A2685">
        <w:rPr>
          <w:rFonts w:ascii="Times New Roman" w:eastAsia="Times New Roman" w:hAnsi="Times New Roman"/>
          <w:sz w:val="24"/>
          <w:szCs w:val="24"/>
        </w:rPr>
        <w:t xml:space="preserve">On </w:t>
      </w:r>
      <w:r>
        <w:rPr>
          <w:rFonts w:ascii="Times New Roman" w:eastAsia="Times New Roman" w:hAnsi="Times New Roman"/>
          <w:sz w:val="24"/>
          <w:szCs w:val="24"/>
        </w:rPr>
        <w:t xml:space="preserve">April 1, 2022, in </w:t>
      </w:r>
      <w:r w:rsidRPr="000A2685">
        <w:rPr>
          <w:rFonts w:ascii="Times New Roman" w:eastAsia="Times New Roman" w:hAnsi="Times New Roman"/>
          <w:sz w:val="24"/>
          <w:szCs w:val="24"/>
          <w:u w:val="single"/>
        </w:rPr>
        <w:t>David A, Rickel v. Department of the Navy</w:t>
      </w:r>
      <w:r>
        <w:rPr>
          <w:rFonts w:ascii="Times New Roman" w:eastAsia="Times New Roman" w:hAnsi="Times New Roman"/>
          <w:sz w:val="24"/>
          <w:szCs w:val="24"/>
        </w:rPr>
        <w:t xml:space="preserve">, the U.S. Court of Appeals for Federal Circuit (D.C.) held (3 to 0) that there was substantial evidence to support the decision of </w:t>
      </w:r>
      <w:r w:rsidRPr="00A91835">
        <w:rPr>
          <w:rFonts w:ascii="Times New Roman" w:hAnsi="Times New Roman"/>
          <w:sz w:val="24"/>
          <w:szCs w:val="24"/>
        </w:rPr>
        <w:t>Merit Systems Protection Board</w:t>
      </w:r>
      <w:r>
        <w:rPr>
          <w:rFonts w:ascii="Times New Roman" w:hAnsi="Times New Roman"/>
          <w:sz w:val="24"/>
          <w:szCs w:val="24"/>
        </w:rPr>
        <w:t xml:space="preserve">, which upheld the termination decision by Captain Brian Weiss, Executive Officer of Naval Air Station Jacksonville.  The plaintiff was the only employee in the Fire Service training office. In late 2016, he applied for Deputy Fire </w:t>
      </w:r>
      <w:proofErr w:type="gramStart"/>
      <w:r>
        <w:rPr>
          <w:rFonts w:ascii="Times New Roman" w:hAnsi="Times New Roman"/>
          <w:sz w:val="24"/>
          <w:szCs w:val="24"/>
        </w:rPr>
        <w:t>Chief</w:t>
      </w:r>
      <w:proofErr w:type="gramEnd"/>
      <w:r>
        <w:rPr>
          <w:rFonts w:ascii="Times New Roman" w:hAnsi="Times New Roman"/>
          <w:sz w:val="24"/>
          <w:szCs w:val="24"/>
        </w:rPr>
        <w:t xml:space="preserve">, but </w:t>
      </w:r>
      <w:proofErr w:type="gramStart"/>
      <w:r>
        <w:rPr>
          <w:rFonts w:ascii="Times New Roman" w:hAnsi="Times New Roman"/>
          <w:sz w:val="24"/>
          <w:szCs w:val="24"/>
        </w:rPr>
        <w:t>position went to</w:t>
      </w:r>
      <w:proofErr w:type="gramEnd"/>
      <w:r>
        <w:rPr>
          <w:rFonts w:ascii="Times New Roman" w:hAnsi="Times New Roman"/>
          <w:sz w:val="24"/>
          <w:szCs w:val="24"/>
        </w:rPr>
        <w:t xml:space="preserve"> the </w:t>
      </w:r>
      <w:proofErr w:type="gramStart"/>
      <w:r>
        <w:rPr>
          <w:rFonts w:ascii="Times New Roman" w:hAnsi="Times New Roman"/>
          <w:sz w:val="24"/>
          <w:szCs w:val="24"/>
        </w:rPr>
        <w:t>current</w:t>
      </w:r>
      <w:proofErr w:type="gramEnd"/>
      <w:r>
        <w:rPr>
          <w:rFonts w:ascii="Times New Roman" w:hAnsi="Times New Roman"/>
          <w:sz w:val="24"/>
          <w:szCs w:val="24"/>
        </w:rPr>
        <w:t xml:space="preserve"> Assistant Chief of Operations.  The plaintiff sent an e-mail to Fire Chief, challenging the Assistant Chief’s “candor in his application” and further alleging there have been at least 5 other promotions who lacked credentials and therefore posed a “life safety risk” to the Navy. He was fired June 8, </w:t>
      </w:r>
      <w:proofErr w:type="gramStart"/>
      <w:r>
        <w:rPr>
          <w:rFonts w:ascii="Times New Roman" w:hAnsi="Times New Roman"/>
          <w:sz w:val="24"/>
          <w:szCs w:val="24"/>
        </w:rPr>
        <w:t>2019</w:t>
      </w:r>
      <w:proofErr w:type="gramEnd"/>
      <w:r>
        <w:rPr>
          <w:rFonts w:ascii="Times New Roman" w:hAnsi="Times New Roman"/>
          <w:sz w:val="24"/>
          <w:szCs w:val="24"/>
        </w:rPr>
        <w:t xml:space="preserve"> for repeated failure to update training records, including being ordered to do so on June 15, 2017; Dec. 2018; and in March 2019 the </w:t>
      </w:r>
      <w:r w:rsidRPr="00FB6C77">
        <w:rPr>
          <w:rFonts w:ascii="Times New Roman" w:hAnsi="Times New Roman"/>
          <w:sz w:val="24"/>
          <w:szCs w:val="24"/>
        </w:rPr>
        <w:t>Deputy Chief took between March 5 and March 25 to update the records, noting that it only took about 16.5 hours to "get the folders done and inspection ready</w:t>
      </w:r>
      <w:r>
        <w:rPr>
          <w:rFonts w:ascii="Times New Roman" w:hAnsi="Times New Roman"/>
          <w:sz w:val="24"/>
          <w:szCs w:val="24"/>
        </w:rPr>
        <w:t>.</w:t>
      </w:r>
      <w:r w:rsidRPr="00FB6C77">
        <w:rPr>
          <w:rFonts w:ascii="Times New Roman" w:hAnsi="Times New Roman"/>
          <w:sz w:val="24"/>
          <w:szCs w:val="24"/>
        </w:rPr>
        <w:t xml:space="preserve">" </w:t>
      </w:r>
      <w:r>
        <w:rPr>
          <w:rFonts w:ascii="Times New Roman" w:hAnsi="Times New Roman"/>
          <w:sz w:val="24"/>
          <w:szCs w:val="24"/>
        </w:rPr>
        <w:t xml:space="preserve"> </w:t>
      </w:r>
      <w:hyperlink r:id="rId2771" w:history="1">
        <w:r w:rsidRPr="00D45A3B">
          <w:rPr>
            <w:rStyle w:val="Hyperlink"/>
            <w:rFonts w:ascii="Times New Roman" w:hAnsi="Times New Roman"/>
            <w:sz w:val="24"/>
            <w:szCs w:val="24"/>
          </w:rPr>
          <w:t>https://law.justia.com/cases/federal/appellate-courts/cafc/20-2147/20-2147-2022-04-18.html</w:t>
        </w:r>
      </w:hyperlink>
    </w:p>
    <w:p w14:paraId="64E70D9F" w14:textId="0F026F85" w:rsidR="00BA51CC" w:rsidRDefault="00BA51CC" w:rsidP="00BA51CC">
      <w:pPr>
        <w:pStyle w:val="NoSpacing"/>
        <w:rPr>
          <w:rStyle w:val="Hyperlink"/>
          <w:rFonts w:ascii="Times New Roman" w:hAnsi="Times New Roman"/>
          <w:sz w:val="24"/>
          <w:szCs w:val="24"/>
        </w:rPr>
      </w:pPr>
    </w:p>
    <w:p w14:paraId="361806C7" w14:textId="77777777" w:rsidR="00BA51CC" w:rsidRPr="00C30B2C" w:rsidRDefault="00BA51CC" w:rsidP="00BA51CC">
      <w:pPr>
        <w:pStyle w:val="NormalWeb"/>
        <w:rPr>
          <w:b/>
          <w:bCs/>
        </w:rPr>
      </w:pPr>
      <w:r w:rsidRPr="00C30B2C">
        <w:rPr>
          <w:b/>
          <w:bCs/>
        </w:rPr>
        <w:t>Legal Lesson Learned:</w:t>
      </w:r>
      <w:r>
        <w:rPr>
          <w:b/>
          <w:bCs/>
        </w:rPr>
        <w:t xml:space="preserve"> “Whistleblower” claims can be defeated with detailed records proving refusal to follow orders. </w:t>
      </w:r>
    </w:p>
    <w:p w14:paraId="6B7D043A" w14:textId="77777777" w:rsidR="00BA51CC" w:rsidRDefault="00BA51CC" w:rsidP="00BA51CC">
      <w:pPr>
        <w:pStyle w:val="NoSpacing"/>
        <w:rPr>
          <w:rFonts w:ascii="Arial Black" w:hAnsi="Arial Black"/>
          <w:sz w:val="24"/>
          <w:szCs w:val="24"/>
        </w:rPr>
      </w:pPr>
    </w:p>
    <w:p w14:paraId="1762BAE3" w14:textId="77777777" w:rsidR="00BA51CC" w:rsidRDefault="00BA51CC" w:rsidP="00F326E5">
      <w:pPr>
        <w:pStyle w:val="NoSpacing"/>
        <w:rPr>
          <w:rFonts w:ascii="Arial Black" w:hAnsi="Arial Black"/>
          <w:sz w:val="24"/>
          <w:szCs w:val="24"/>
        </w:rPr>
      </w:pPr>
    </w:p>
    <w:p w14:paraId="52FF0F29" w14:textId="52EADE65" w:rsidR="007F5C26" w:rsidRDefault="007F5C26" w:rsidP="00F326E5">
      <w:pPr>
        <w:pStyle w:val="NoSpacing"/>
        <w:rPr>
          <w:rFonts w:ascii="Arial Black" w:hAnsi="Arial Black"/>
          <w:sz w:val="24"/>
          <w:szCs w:val="24"/>
        </w:rPr>
      </w:pPr>
      <w:r>
        <w:rPr>
          <w:rFonts w:ascii="Arial Black" w:hAnsi="Arial Black"/>
          <w:sz w:val="24"/>
          <w:szCs w:val="24"/>
        </w:rPr>
        <w:t>16-65 [also filed, Chap. 17]</w:t>
      </w:r>
    </w:p>
    <w:p w14:paraId="023E3E9D" w14:textId="77777777" w:rsidR="007F5C26" w:rsidRDefault="007F5C26" w:rsidP="007F5C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ARBITRATOR MAY REDUCE PENALTY – NEW SHIFT RELIEF - ASSISTANT CHIEF’S LOSS PAY OVERTURNED</w:t>
      </w:r>
    </w:p>
    <w:p w14:paraId="28F4C635" w14:textId="77777777" w:rsidR="007F5C26" w:rsidRPr="00AA2A35" w:rsidRDefault="007F5C26" w:rsidP="007F5C26">
      <w:pPr>
        <w:spacing w:before="100" w:beforeAutospacing="1" w:after="100" w:afterAutospacing="1" w:line="240" w:lineRule="auto"/>
        <w:rPr>
          <w:rFonts w:ascii="Times New Roman" w:eastAsia="Times New Roman" w:hAnsi="Times New Roman"/>
          <w:sz w:val="24"/>
          <w:szCs w:val="24"/>
        </w:rPr>
      </w:pPr>
      <w:r w:rsidRPr="00AA2A35">
        <w:rPr>
          <w:rFonts w:ascii="Times New Roman" w:hAnsi="Times New Roman"/>
          <w:sz w:val="24"/>
          <w:szCs w:val="24"/>
        </w:rPr>
        <w:t xml:space="preserve">On March 17, 2022, in </w:t>
      </w:r>
      <w:r w:rsidRPr="00AA2A35">
        <w:rPr>
          <w:rFonts w:ascii="Times New Roman" w:hAnsi="Times New Roman"/>
          <w:sz w:val="24"/>
          <w:szCs w:val="24"/>
          <w:u w:val="single"/>
        </w:rPr>
        <w:t>Association of Cleveland Fire Fighters, Local 93 v. City of Cleveland</w:t>
      </w:r>
      <w:r w:rsidRPr="00AA2A35">
        <w:rPr>
          <w:rFonts w:ascii="Times New Roman" w:hAnsi="Times New Roman"/>
          <w:sz w:val="24"/>
          <w:szCs w:val="24"/>
        </w:rPr>
        <w:t>, the Court of Appeals of Ohio, 8</w:t>
      </w:r>
      <w:r w:rsidRPr="00AA2A35">
        <w:rPr>
          <w:rFonts w:ascii="Times New Roman" w:hAnsi="Times New Roman"/>
          <w:sz w:val="24"/>
          <w:szCs w:val="24"/>
          <w:vertAlign w:val="superscript"/>
        </w:rPr>
        <w:t>th</w:t>
      </w:r>
      <w:r w:rsidRPr="00AA2A35">
        <w:rPr>
          <w:rFonts w:ascii="Times New Roman" w:hAnsi="Times New Roman"/>
          <w:sz w:val="24"/>
          <w:szCs w:val="24"/>
        </w:rPr>
        <w:t xml:space="preserve"> District (Cuyahoga County), held (3 to 0) that a Common Pleas judge improperly set aside the arbitrator’s award which found the charge of “gross insubordination” by Assistant Fire Chief was not proven, but the facts supported a “conduct unbecoming” charge. The Assistant Fire Chief was charged with 16 charges for trying to get the vacationing Fire Chief to overturn Acting Fire Chiefs order to follow the new shift relief procedure (to save overtime money, when the incoming Assistant Chief called off, he can only be replaced by on duty officer of lesser rank).  The arbitrator had authority to vacate the most serious charge of “gross insubordination” and the 24-hour suspension, and to direct the FD to change in his personnel file with an official reprimand for one of the lesser charges, “conduct unbecoming an employee in the public service,” with no loss of wages. </w:t>
      </w:r>
      <w:hyperlink r:id="rId2772" w:history="1">
        <w:r w:rsidRPr="00AA2A35">
          <w:rPr>
            <w:rStyle w:val="Hyperlink"/>
            <w:rFonts w:ascii="Times New Roman" w:eastAsia="Times New Roman" w:hAnsi="Times New Roman"/>
            <w:sz w:val="24"/>
            <w:szCs w:val="24"/>
          </w:rPr>
          <w:t>https://www.supremecourt.ohio.gov/rod/docs/pdf/8/2022/2022-Ohio-824.pdf</w:t>
        </w:r>
      </w:hyperlink>
      <w:r w:rsidRPr="00AA2A35">
        <w:rPr>
          <w:rFonts w:ascii="Times New Roman" w:eastAsia="Times New Roman" w:hAnsi="Times New Roman"/>
          <w:sz w:val="24"/>
          <w:szCs w:val="24"/>
        </w:rPr>
        <w:t xml:space="preserve"> </w:t>
      </w:r>
    </w:p>
    <w:p w14:paraId="5164A96F" w14:textId="77777777" w:rsidR="007F5C26" w:rsidRPr="00892AD5"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92AD5">
        <w:rPr>
          <w:rFonts w:ascii="Times New Roman" w:eastAsia="Times New Roman" w:hAnsi="Times New Roman"/>
          <w:sz w:val="24"/>
          <w:szCs w:val="24"/>
        </w:rPr>
        <w:t xml:space="preserve">In focusing solely on the question of gross insubordination, the Union disregards the fact that the parties stipulated to </w:t>
      </w:r>
      <w:r w:rsidRPr="00892AD5">
        <w:rPr>
          <w:rFonts w:ascii="Times New Roman" w:eastAsia="Times New Roman" w:hAnsi="Times New Roman"/>
          <w:i/>
          <w:iCs/>
          <w:sz w:val="24"/>
          <w:szCs w:val="24"/>
        </w:rPr>
        <w:t>two</w:t>
      </w:r>
      <w:r w:rsidRPr="00892AD5">
        <w:rPr>
          <w:rFonts w:ascii="Times New Roman" w:eastAsia="Times New Roman" w:hAnsi="Times New Roman"/>
          <w:sz w:val="24"/>
          <w:szCs w:val="24"/>
        </w:rPr>
        <w:t xml:space="preserve"> questions before submitting the matter to arbitration. The first question was whether the city had just cause to suspend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a day and issue him an official reprimand. The question of just cause was not confined to "gross insubordination." Rather, the question concerned whether the city had just </w:t>
      </w:r>
      <w:proofErr w:type="gramStart"/>
      <w:r w:rsidRPr="00892AD5">
        <w:rPr>
          <w:rFonts w:ascii="Times New Roman" w:eastAsia="Times New Roman" w:hAnsi="Times New Roman"/>
          <w:sz w:val="24"/>
          <w:szCs w:val="24"/>
        </w:rPr>
        <w:t>cause</w:t>
      </w:r>
      <w:proofErr w:type="gramEnd"/>
      <w:r w:rsidRPr="00892AD5">
        <w:rPr>
          <w:rFonts w:ascii="Times New Roman" w:eastAsia="Times New Roman" w:hAnsi="Times New Roman"/>
          <w:sz w:val="24"/>
          <w:szCs w:val="24"/>
        </w:rPr>
        <w:t xml:space="preserve"> discipline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his conduct. </w:t>
      </w:r>
    </w:p>
    <w:p w14:paraId="1DC4F16D" w14:textId="77777777" w:rsidR="007F5C26"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15D36C6B" w14:textId="276E9DDE" w:rsidR="007F5C26" w:rsidRDefault="007F5C26" w:rsidP="007F5C26">
      <w:pPr>
        <w:pStyle w:val="NoSpacing"/>
        <w:rPr>
          <w:rFonts w:ascii="Arial Black" w:hAnsi="Arial Black"/>
          <w:sz w:val="24"/>
          <w:szCs w:val="24"/>
        </w:rPr>
      </w:pPr>
      <w:r w:rsidRPr="0091695D">
        <w:rPr>
          <w:rFonts w:ascii="Times New Roman" w:hAnsi="Times New Roman"/>
          <w:sz w:val="24"/>
          <w:szCs w:val="24"/>
        </w:rPr>
        <w:t xml:space="preserve">The Union nevertheless maintains that the arbitrator exceeded his powers by creating a new charge not submitted to arbitration and issuing a penalty based on that charge. The charge of conduct unbecoming was not expressly submitted to arbitration in the parties' stipulated questions, but neither were the charges of gross insubordination or insubordination expressly submitted to arbitration. The questions to which the parties stipulated focused on remedies: the penalties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had received for his conduct and, if these penalties were unjustified, the penalty the arbitrator determined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should receive for his conduct. The Union's claim that the arbitrator created a new charge by finding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engaged in conduct unbecoming is not supported by the record.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was charged with 16 violations, which included the charge of conduct unbecoming. The Union's claim that any penalty based on that charge was improper is also not supported by the record because conduct unbecoming is punishable by official reprimand. The arbitrator's leaving this penalty intact is consistent with the discipline </w:t>
      </w:r>
      <w:proofErr w:type="gramStart"/>
      <w:r w:rsidRPr="0091695D">
        <w:rPr>
          <w:rFonts w:ascii="Times New Roman" w:hAnsi="Times New Roman"/>
          <w:sz w:val="24"/>
          <w:szCs w:val="24"/>
        </w:rPr>
        <w:t>guide.</w:t>
      </w:r>
      <w:r>
        <w:rPr>
          <w:rFonts w:ascii="Times New Roman" w:hAnsi="Times New Roman"/>
          <w:sz w:val="24"/>
          <w:szCs w:val="24"/>
        </w:rPr>
        <w:t>”</w:t>
      </w:r>
      <w:proofErr w:type="gramEnd"/>
      <w:r>
        <w:rPr>
          <w:rFonts w:ascii="Times New Roman" w:hAnsi="Times New Roman"/>
          <w:sz w:val="24"/>
          <w:szCs w:val="24"/>
        </w:rPr>
        <w:t xml:space="preserve"> </w:t>
      </w:r>
      <w:hyperlink r:id="rId2773" w:history="1">
        <w:r w:rsidRPr="0083693C">
          <w:rPr>
            <w:rStyle w:val="Hyperlink"/>
            <w:rFonts w:ascii="Times New Roman" w:eastAsia="Times New Roman" w:hAnsi="Times New Roman"/>
            <w:sz w:val="24"/>
            <w:szCs w:val="24"/>
          </w:rPr>
          <w:t>https://www.supremecourt.ohio.gov/rod/docs/pdf/8/2022/2022-Ohio-824.pdf</w:t>
        </w:r>
      </w:hyperlink>
    </w:p>
    <w:p w14:paraId="6DF075C2" w14:textId="77777777" w:rsidR="007F5C26" w:rsidRDefault="007F5C26" w:rsidP="00F326E5">
      <w:pPr>
        <w:pStyle w:val="NoSpacing"/>
        <w:rPr>
          <w:rFonts w:ascii="Arial Black" w:hAnsi="Arial Black"/>
          <w:sz w:val="24"/>
          <w:szCs w:val="24"/>
        </w:rPr>
      </w:pPr>
    </w:p>
    <w:p w14:paraId="4239BE0F" w14:textId="77777777" w:rsidR="007F5C26" w:rsidRPr="00FE655C" w:rsidRDefault="007F5C26" w:rsidP="007F5C26">
      <w:pPr>
        <w:spacing w:before="100" w:beforeAutospacing="1" w:after="100" w:afterAutospacing="1" w:line="240" w:lineRule="auto"/>
        <w:rPr>
          <w:rFonts w:ascii="Times New Roman" w:eastAsia="Times New Roman" w:hAnsi="Times New Roman"/>
          <w:b/>
          <w:bCs/>
          <w:sz w:val="24"/>
          <w:szCs w:val="24"/>
        </w:rPr>
      </w:pPr>
      <w:r w:rsidRPr="00FE655C">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When submitting a disciplinary matter to arbitration, be very careful in the questions being submitted to the arbitrator. </w:t>
      </w:r>
    </w:p>
    <w:p w14:paraId="57AAB599" w14:textId="77777777" w:rsidR="007F5C26" w:rsidRDefault="007F5C26" w:rsidP="00F326E5">
      <w:pPr>
        <w:pStyle w:val="NoSpacing"/>
        <w:rPr>
          <w:rFonts w:ascii="Arial Black" w:hAnsi="Arial Black"/>
          <w:sz w:val="24"/>
          <w:szCs w:val="24"/>
        </w:rPr>
      </w:pPr>
    </w:p>
    <w:p w14:paraId="12BEE6AE" w14:textId="77777777" w:rsidR="007F5C26" w:rsidRDefault="007F5C26" w:rsidP="00F326E5">
      <w:pPr>
        <w:pStyle w:val="NoSpacing"/>
        <w:rPr>
          <w:rFonts w:ascii="Arial Black" w:hAnsi="Arial Black"/>
          <w:sz w:val="24"/>
          <w:szCs w:val="24"/>
        </w:rPr>
      </w:pPr>
    </w:p>
    <w:p w14:paraId="7C7F8807" w14:textId="77777777" w:rsidR="007F5C26" w:rsidRDefault="007F5C26" w:rsidP="00F326E5">
      <w:pPr>
        <w:pStyle w:val="NoSpacing"/>
        <w:rPr>
          <w:rFonts w:ascii="Arial Black" w:hAnsi="Arial Black"/>
          <w:sz w:val="24"/>
          <w:szCs w:val="24"/>
        </w:rPr>
      </w:pPr>
    </w:p>
    <w:p w14:paraId="62E9487A" w14:textId="77777777" w:rsidR="007F5C26" w:rsidRDefault="007F5C26" w:rsidP="00F326E5">
      <w:pPr>
        <w:pStyle w:val="NoSpacing"/>
        <w:rPr>
          <w:rFonts w:ascii="Arial Black" w:hAnsi="Arial Black"/>
          <w:sz w:val="24"/>
          <w:szCs w:val="24"/>
        </w:rPr>
      </w:pPr>
    </w:p>
    <w:p w14:paraId="31CDE0E7" w14:textId="77777777" w:rsidR="007F5C26" w:rsidRDefault="007F5C26" w:rsidP="00F326E5">
      <w:pPr>
        <w:pStyle w:val="NoSpacing"/>
        <w:rPr>
          <w:rFonts w:ascii="Arial Black" w:hAnsi="Arial Black"/>
          <w:sz w:val="24"/>
          <w:szCs w:val="24"/>
        </w:rPr>
      </w:pPr>
    </w:p>
    <w:p w14:paraId="35D884B2" w14:textId="2A8E57DF" w:rsidR="00680939" w:rsidRPr="007F5C26" w:rsidRDefault="00680939" w:rsidP="00F326E5">
      <w:pPr>
        <w:pStyle w:val="NoSpacing"/>
        <w:rPr>
          <w:rFonts w:ascii="Times New Roman" w:hAnsi="Times New Roman"/>
          <w:b/>
          <w:bCs/>
          <w:sz w:val="24"/>
          <w:szCs w:val="24"/>
        </w:rPr>
      </w:pPr>
      <w:r>
        <w:rPr>
          <w:rFonts w:ascii="Arial Black" w:hAnsi="Arial Black"/>
          <w:sz w:val="24"/>
          <w:szCs w:val="24"/>
        </w:rPr>
        <w:t>16-64</w:t>
      </w:r>
      <w:r w:rsidR="00D55139">
        <w:rPr>
          <w:rFonts w:ascii="Arial Black" w:hAnsi="Arial Black"/>
          <w:sz w:val="24"/>
          <w:szCs w:val="24"/>
        </w:rPr>
        <w:t xml:space="preserve"> </w:t>
      </w:r>
      <w:r w:rsidR="00D55139" w:rsidRPr="007F5C26">
        <w:rPr>
          <w:rFonts w:ascii="Times New Roman" w:hAnsi="Times New Roman"/>
          <w:b/>
          <w:bCs/>
          <w:sz w:val="24"/>
          <w:szCs w:val="24"/>
        </w:rPr>
        <w:t>[also filed, Chap. 13]</w:t>
      </w:r>
    </w:p>
    <w:p w14:paraId="467CA0E1" w14:textId="77777777" w:rsidR="00680939" w:rsidRPr="006C216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DE: PARAMEDIC LICENSE SUSPENDED – PLED GUILTY - </w:t>
      </w:r>
      <w:r w:rsidRPr="006C2163">
        <w:rPr>
          <w:rFonts w:ascii="Arial Black" w:eastAsia="Times New Roman" w:hAnsi="Arial Black"/>
          <w:sz w:val="28"/>
          <w:szCs w:val="28"/>
        </w:rPr>
        <w:t>T</w:t>
      </w:r>
      <w:r>
        <w:rPr>
          <w:rFonts w:ascii="Arial Black" w:eastAsia="Times New Roman" w:hAnsi="Arial Black"/>
          <w:sz w:val="28"/>
          <w:szCs w:val="28"/>
        </w:rPr>
        <w:t xml:space="preserve">RESPASS INTENT PEER (PEERING ON SEPERATED WIFE) </w:t>
      </w:r>
    </w:p>
    <w:p w14:paraId="3634B207" w14:textId="77777777" w:rsidR="00680939" w:rsidRDefault="00680939" w:rsidP="00680939">
      <w:pPr>
        <w:spacing w:before="100" w:beforeAutospacing="1" w:after="100" w:afterAutospacing="1" w:line="240" w:lineRule="auto"/>
        <w:rPr>
          <w:rFonts w:ascii="Times New Roman" w:eastAsia="Times New Roman" w:hAnsi="Times New Roman"/>
          <w:sz w:val="24"/>
          <w:szCs w:val="24"/>
        </w:rPr>
      </w:pPr>
      <w:r w:rsidRPr="00280A60">
        <w:rPr>
          <w:rFonts w:ascii="Times New Roman" w:eastAsia="Times New Roman" w:hAnsi="Times New Roman"/>
          <w:sz w:val="24"/>
          <w:szCs w:val="24"/>
        </w:rPr>
        <w:t xml:space="preserve">On </w:t>
      </w:r>
      <w:r>
        <w:rPr>
          <w:rFonts w:ascii="Times New Roman" w:eastAsia="Times New Roman" w:hAnsi="Times New Roman"/>
          <w:sz w:val="24"/>
          <w:szCs w:val="24"/>
        </w:rPr>
        <w:t xml:space="preserve">Jan. 26, 2022, in </w:t>
      </w:r>
      <w:r w:rsidRPr="00280A60">
        <w:rPr>
          <w:rFonts w:ascii="Times New Roman" w:eastAsia="Times New Roman" w:hAnsi="Times New Roman"/>
          <w:sz w:val="24"/>
          <w:szCs w:val="24"/>
          <w:u w:val="single"/>
        </w:rPr>
        <w:t xml:space="preserve">Kevin Imhoff v. Delaware Board of Medical Licensure </w:t>
      </w:r>
      <w:r>
        <w:rPr>
          <w:rFonts w:ascii="Times New Roman" w:eastAsia="Times New Roman" w:hAnsi="Times New Roman"/>
          <w:sz w:val="24"/>
          <w:szCs w:val="24"/>
          <w:u w:val="single"/>
        </w:rPr>
        <w:t>a</w:t>
      </w:r>
      <w:r w:rsidRPr="00280A60">
        <w:rPr>
          <w:rFonts w:ascii="Times New Roman" w:eastAsia="Times New Roman" w:hAnsi="Times New Roman"/>
          <w:sz w:val="24"/>
          <w:szCs w:val="24"/>
          <w:u w:val="single"/>
        </w:rPr>
        <w:t>nd Discipline</w:t>
      </w:r>
      <w:r>
        <w:rPr>
          <w:rFonts w:ascii="Times New Roman" w:eastAsia="Times New Roman" w:hAnsi="Times New Roman"/>
          <w:sz w:val="24"/>
          <w:szCs w:val="24"/>
        </w:rPr>
        <w:t xml:space="preserve">, Judge Noel Primos of the he Superior Court of Delaware upheld the suspension of the paramedic’s license but remanded to case for Board to possibly reduce the 2-year suspension for failure to timely report his plea of guilty. In September 2019 he pled guilty to Criminal Mischief, Violation of Privacy, and Trespass with Intent to Peer or Peep, but didn’t report this within 30 days to the Board (apparently on bad advice of his criminal defense attorney).  In May 2020, when renewing his license, he reported the convictions. </w:t>
      </w:r>
      <w:hyperlink r:id="rId2774" w:history="1">
        <w:r w:rsidRPr="00A83547">
          <w:rPr>
            <w:rStyle w:val="Hyperlink"/>
            <w:rFonts w:ascii="Times New Roman" w:hAnsi="Times New Roman"/>
            <w:sz w:val="24"/>
            <w:szCs w:val="24"/>
          </w:rPr>
          <w:t>https://casetext.com/case/imhof-v-del-bd-of-med-licensure-discipline</w:t>
        </w:r>
      </w:hyperlink>
    </w:p>
    <w:p w14:paraId="1910E0BE" w14:textId="77777777" w:rsidR="00680939" w:rsidRPr="007B6144" w:rsidRDefault="00680939" w:rsidP="00680939">
      <w:pPr>
        <w:spacing w:before="100" w:beforeAutospacing="1" w:after="100" w:afterAutospacing="1" w:line="240" w:lineRule="auto"/>
        <w:jc w:val="both"/>
        <w:rPr>
          <w:rStyle w:val="markedcontent"/>
          <w:rFonts w:ascii="Times New Roman" w:hAnsi="Times New Roman"/>
          <w:b/>
          <w:bCs/>
          <w:sz w:val="24"/>
          <w:szCs w:val="24"/>
        </w:rPr>
      </w:pPr>
      <w:r w:rsidRPr="007B614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Criminal misconduct can lead to suspension of EMS license.</w:t>
      </w:r>
    </w:p>
    <w:p w14:paraId="0A6E59ED" w14:textId="77777777" w:rsidR="00680939" w:rsidRDefault="00680939" w:rsidP="00F326E5">
      <w:pPr>
        <w:pStyle w:val="NoSpacing"/>
        <w:rPr>
          <w:rFonts w:ascii="Arial Black" w:hAnsi="Arial Black"/>
          <w:sz w:val="24"/>
          <w:szCs w:val="24"/>
        </w:rPr>
      </w:pPr>
    </w:p>
    <w:p w14:paraId="72A29ABB" w14:textId="77777777" w:rsidR="00680939" w:rsidRDefault="00680939" w:rsidP="00F326E5">
      <w:pPr>
        <w:pStyle w:val="NoSpacing"/>
        <w:rPr>
          <w:rFonts w:ascii="Arial Black" w:hAnsi="Arial Black"/>
          <w:sz w:val="24"/>
          <w:szCs w:val="24"/>
        </w:rPr>
      </w:pPr>
    </w:p>
    <w:p w14:paraId="7EEC580A" w14:textId="4E67793B" w:rsidR="00AC5DED" w:rsidRDefault="00AC5DED" w:rsidP="00F326E5">
      <w:pPr>
        <w:pStyle w:val="NoSpacing"/>
        <w:rPr>
          <w:rFonts w:ascii="Arial Black" w:hAnsi="Arial Black"/>
          <w:sz w:val="24"/>
          <w:szCs w:val="24"/>
        </w:rPr>
      </w:pPr>
      <w:r>
        <w:rPr>
          <w:rFonts w:ascii="Arial Black" w:hAnsi="Arial Black"/>
          <w:sz w:val="24"/>
          <w:szCs w:val="24"/>
        </w:rPr>
        <w:t>16-63</w:t>
      </w:r>
    </w:p>
    <w:p w14:paraId="459B6371" w14:textId="77777777" w:rsidR="00AC5DED" w:rsidRPr="007A29B7" w:rsidRDefault="00AC5DED" w:rsidP="00AC5DED">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RESIDENCY - FF FIRED - 3 YRS RENTED HOUSE IN VILLAGE TO TENANTS – DENIED UNEMPLOYMENT</w:t>
      </w:r>
    </w:p>
    <w:p w14:paraId="7542CC06" w14:textId="77777777" w:rsidR="00AC5DED" w:rsidRDefault="00AC5DED" w:rsidP="00AC5DE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23, 2021, in </w:t>
      </w:r>
      <w:r w:rsidRPr="00CD0344">
        <w:rPr>
          <w:rFonts w:ascii="Times New Roman" w:eastAsia="Times New Roman" w:hAnsi="Times New Roman"/>
          <w:sz w:val="24"/>
          <w:szCs w:val="24"/>
          <w:u w:val="single"/>
        </w:rPr>
        <w:t>John Cannici v. The Department of Employment Security Board of Review</w:t>
      </w:r>
      <w:r>
        <w:rPr>
          <w:rFonts w:ascii="Times New Roman" w:eastAsia="Times New Roman" w:hAnsi="Times New Roman"/>
          <w:sz w:val="24"/>
          <w:szCs w:val="24"/>
        </w:rPr>
        <w:t xml:space="preserve">, the Court of Appeals of Illinois, First District, held (3 to 0) that the firefighter was properly denied unemployment benefits since he was fired for failure to reside in the Village. </w:t>
      </w:r>
    </w:p>
    <w:p w14:paraId="5EF3AF5D" w14:textId="1E9A0A8D" w:rsidR="00AC5DED" w:rsidRDefault="00AC5DED" w:rsidP="00AC5DED">
      <w:pPr>
        <w:pStyle w:val="NoSpacing"/>
        <w:ind w:left="720"/>
        <w:rPr>
          <w:rFonts w:ascii="Arial Black" w:hAnsi="Arial Black"/>
          <w:sz w:val="24"/>
          <w:szCs w:val="24"/>
        </w:rPr>
      </w:pPr>
      <w:r>
        <w:rPr>
          <w:rFonts w:ascii="Times New Roman" w:hAnsi="Times New Roman"/>
          <w:sz w:val="24"/>
          <w:szCs w:val="24"/>
        </w:rPr>
        <w:t>“</w:t>
      </w:r>
      <w:r w:rsidRPr="007A29B7">
        <w:rPr>
          <w:rFonts w:ascii="Times New Roman" w:hAnsi="Times New Roman"/>
          <w:sz w:val="24"/>
          <w:szCs w:val="24"/>
        </w:rPr>
        <w:t xml:space="preserve">The Board's finding that Cannici resided in Orland Park was not against the manifest weight of the evidence because the undisputed evidence showed that, from June 2013 to June 2016, he occupied his house in Orland Park with his family as his principal residence and abode. During those three years, he never slept at the village house, which was occupied by tenants. Although Cannici stored some belongings there, paid the taxes and utilities, and continued to use it as his mailing address, there was no evidence that he </w:t>
      </w:r>
      <w:proofErr w:type="gramStart"/>
      <w:r w:rsidRPr="007A29B7">
        <w:rPr>
          <w:rFonts w:ascii="Times New Roman" w:hAnsi="Times New Roman"/>
          <w:sz w:val="24"/>
          <w:szCs w:val="24"/>
        </w:rPr>
        <w:t>actually did</w:t>
      </w:r>
      <w:proofErr w:type="gramEnd"/>
      <w:r w:rsidRPr="007A29B7">
        <w:rPr>
          <w:rFonts w:ascii="Times New Roman" w:hAnsi="Times New Roman"/>
          <w:sz w:val="24"/>
          <w:szCs w:val="24"/>
        </w:rPr>
        <w:t xml:space="preserve"> anything at his village house other than retrieve his mail from his tenants. He was not that house's resident, as defined in the Village's Code. He was its landlord.</w:t>
      </w:r>
      <w:r>
        <w:rPr>
          <w:rFonts w:ascii="Times New Roman" w:hAnsi="Times New Roman"/>
          <w:sz w:val="24"/>
          <w:szCs w:val="24"/>
        </w:rPr>
        <w:t xml:space="preserve">” </w:t>
      </w:r>
      <w:hyperlink r:id="rId2775" w:history="1">
        <w:r w:rsidRPr="00EC5853">
          <w:rPr>
            <w:rStyle w:val="Hyperlink"/>
            <w:rFonts w:ascii="Times New Roman" w:hAnsi="Times New Roman"/>
            <w:sz w:val="24"/>
            <w:szCs w:val="24"/>
          </w:rPr>
          <w:t>https://ilcourtsaudio.blob.core.windows.net/antilles-resources/resources/1d563ea4-a3fa-4fb5-af89-419baa2c8f0f/Cannici%20v.%20Dept%20of%20Employment%20Security%20Board%20of%20Review,%202021%20IL%20App%20(1st)%20181562.pdf</w:t>
        </w:r>
      </w:hyperlink>
    </w:p>
    <w:p w14:paraId="431E30B4" w14:textId="77777777" w:rsidR="00AC5DED" w:rsidRDefault="00AC5DED" w:rsidP="00F326E5">
      <w:pPr>
        <w:pStyle w:val="NoSpacing"/>
        <w:rPr>
          <w:rFonts w:ascii="Arial Black" w:hAnsi="Arial Black"/>
          <w:sz w:val="24"/>
          <w:szCs w:val="24"/>
        </w:rPr>
      </w:pPr>
    </w:p>
    <w:p w14:paraId="08DB5793" w14:textId="77777777" w:rsidR="00AC5DED" w:rsidRDefault="00AC5DED" w:rsidP="00AC5DED">
      <w:pPr>
        <w:spacing w:before="100" w:beforeAutospacing="1" w:after="100" w:afterAutospacing="1" w:line="240" w:lineRule="auto"/>
        <w:rPr>
          <w:rFonts w:ascii="Times New Roman" w:hAnsi="Times New Roman"/>
          <w:b/>
          <w:bCs/>
          <w:sz w:val="24"/>
          <w:szCs w:val="24"/>
        </w:rPr>
      </w:pPr>
      <w:r w:rsidRPr="00E72BFB">
        <w:rPr>
          <w:rFonts w:ascii="Times New Roman" w:hAnsi="Times New Roman"/>
          <w:b/>
          <w:bCs/>
          <w:sz w:val="24"/>
          <w:szCs w:val="24"/>
        </w:rPr>
        <w:t>Legal Lesson Learned:</w:t>
      </w:r>
      <w:r>
        <w:rPr>
          <w:rFonts w:ascii="Times New Roman" w:hAnsi="Times New Roman"/>
          <w:b/>
          <w:bCs/>
          <w:sz w:val="24"/>
          <w:szCs w:val="24"/>
        </w:rPr>
        <w:t xml:space="preserve"> The Village residency requirement was clear. </w:t>
      </w:r>
    </w:p>
    <w:p w14:paraId="61BB4744" w14:textId="77777777" w:rsidR="00AC5DED" w:rsidRPr="002F6E14" w:rsidRDefault="00AC5DED" w:rsidP="00AC5DED">
      <w:pPr>
        <w:spacing w:before="100" w:beforeAutospacing="1" w:after="100" w:afterAutospacing="1" w:line="240" w:lineRule="auto"/>
        <w:ind w:left="720"/>
        <w:rPr>
          <w:b/>
          <w:bCs/>
          <w:sz w:val="24"/>
          <w:szCs w:val="24"/>
        </w:rPr>
      </w:pPr>
      <w:r w:rsidRPr="004E2270">
        <w:rPr>
          <w:rFonts w:ascii="Times New Roman" w:hAnsi="Times New Roman"/>
          <w:sz w:val="24"/>
          <w:szCs w:val="24"/>
        </w:rPr>
        <w:t xml:space="preserve">Note:  </w:t>
      </w:r>
      <w:r>
        <w:rPr>
          <w:sz w:val="24"/>
          <w:szCs w:val="24"/>
        </w:rPr>
        <w:t xml:space="preserve">See another Court decision from </w:t>
      </w:r>
      <w:r w:rsidRPr="002F6E14">
        <w:rPr>
          <w:sz w:val="24"/>
          <w:szCs w:val="24"/>
        </w:rPr>
        <w:t>MA</w:t>
      </w:r>
      <w:r>
        <w:rPr>
          <w:sz w:val="24"/>
          <w:szCs w:val="24"/>
        </w:rPr>
        <w:t>: “</w:t>
      </w:r>
      <w:r w:rsidRPr="002F6E14">
        <w:rPr>
          <w:sz w:val="24"/>
          <w:szCs w:val="24"/>
        </w:rPr>
        <w:t>Judge: MA City Must Enforce Residency Rules</w:t>
      </w:r>
      <w:r>
        <w:rPr>
          <w:sz w:val="24"/>
          <w:szCs w:val="24"/>
        </w:rPr>
        <w:t>” (Dec. 31, 2021).</w:t>
      </w:r>
      <w:r w:rsidRPr="002F6E14">
        <w:rPr>
          <w:sz w:val="24"/>
          <w:szCs w:val="24"/>
        </w:rPr>
        <w:t xml:space="preserve"> </w:t>
      </w:r>
      <w:hyperlink r:id="rId2776" w:history="1">
        <w:r w:rsidRPr="00EC5853">
          <w:rPr>
            <w:rStyle w:val="Hyperlink"/>
            <w:sz w:val="24"/>
            <w:szCs w:val="24"/>
          </w:rPr>
          <w:t>https://www.firehouse.com/careers-education/news/21251649/judge-springfield-ma-city-must-enforce-residency-rules</w:t>
        </w:r>
      </w:hyperlink>
      <w:r>
        <w:rPr>
          <w:sz w:val="24"/>
          <w:szCs w:val="24"/>
        </w:rPr>
        <w:t xml:space="preserve"> </w:t>
      </w:r>
    </w:p>
    <w:p w14:paraId="68A9E3A0" w14:textId="77777777" w:rsidR="00AC5DED"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also:  </w:t>
      </w:r>
      <w:r w:rsidRPr="004E2270">
        <w:rPr>
          <w:rFonts w:ascii="Times New Roman" w:hAnsi="Times New Roman"/>
          <w:sz w:val="24"/>
          <w:szCs w:val="24"/>
        </w:rPr>
        <w:t>The Ohio Supreme Court, in Lima v State, June 10, 2009, 2009-Ohio-2597, has held 5-2, that a state law prohibiting general residency requirements for public</w:t>
      </w:r>
      <w:r w:rsidRPr="004E2270">
        <w:rPr>
          <w:rFonts w:ascii="Times New Roman" w:hAnsi="Times New Roman"/>
          <w:sz w:val="24"/>
          <w:szCs w:val="24"/>
        </w:rPr>
        <w:br/>
        <w:t xml:space="preserve">employees </w:t>
      </w:r>
      <w:proofErr w:type="gramStart"/>
      <w:r w:rsidRPr="004E2270">
        <w:rPr>
          <w:rFonts w:ascii="Times New Roman" w:hAnsi="Times New Roman"/>
          <w:sz w:val="24"/>
          <w:szCs w:val="24"/>
        </w:rPr>
        <w:t>is</w:t>
      </w:r>
      <w:proofErr w:type="gramEnd"/>
      <w:r w:rsidRPr="004E2270">
        <w:rPr>
          <w:rFonts w:ascii="Times New Roman" w:hAnsi="Times New Roman"/>
          <w:sz w:val="24"/>
          <w:szCs w:val="24"/>
        </w:rPr>
        <w:t xml:space="preserve"> valid and supersedes local laws to the contrary. </w:t>
      </w:r>
      <w:hyperlink r:id="rId2777" w:history="1">
        <w:r w:rsidRPr="00EC5853">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w:t>
      </w:r>
    </w:p>
    <w:p w14:paraId="588E6EDA" w14:textId="77777777" w:rsidR="00AC5DED" w:rsidRPr="004E2270" w:rsidRDefault="00AC5DED" w:rsidP="00AC5DED">
      <w:pPr>
        <w:pStyle w:val="Heading1"/>
        <w:ind w:left="720"/>
        <w:rPr>
          <w:b w:val="0"/>
          <w:bCs w:val="0"/>
          <w:sz w:val="24"/>
          <w:szCs w:val="24"/>
        </w:rPr>
      </w:pPr>
      <w:r w:rsidRPr="004E2270">
        <w:rPr>
          <w:b w:val="0"/>
          <w:bCs w:val="0"/>
          <w:sz w:val="24"/>
          <w:szCs w:val="24"/>
        </w:rPr>
        <w:t>Ohio Revised Code 9.481, Residency requirements prohibited for certain employees</w:t>
      </w:r>
      <w:r>
        <w:rPr>
          <w:b w:val="0"/>
          <w:bCs w:val="0"/>
          <w:sz w:val="24"/>
          <w:szCs w:val="24"/>
        </w:rPr>
        <w:t xml:space="preserve">, includes following, </w:t>
      </w:r>
      <w:hyperlink r:id="rId2778" w:history="1">
        <w:r w:rsidRPr="00EC5853">
          <w:rPr>
            <w:rStyle w:val="Hyperlink"/>
            <w:b w:val="0"/>
            <w:bCs w:val="0"/>
            <w:sz w:val="24"/>
            <w:szCs w:val="24"/>
          </w:rPr>
          <w:t>https://codes.ohio.gov/ohio-revised-code/section-9.481</w:t>
        </w:r>
      </w:hyperlink>
      <w:r>
        <w:rPr>
          <w:b w:val="0"/>
          <w:bCs w:val="0"/>
          <w:sz w:val="24"/>
          <w:szCs w:val="24"/>
        </w:rPr>
        <w:t xml:space="preserve"> :</w:t>
      </w:r>
    </w:p>
    <w:p w14:paraId="6B3F9974" w14:textId="77777777" w:rsidR="00AC5DED" w:rsidRPr="006A3BFE" w:rsidRDefault="00AC5DED" w:rsidP="00AC5DED">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4E2270">
        <w:rPr>
          <w:rFonts w:ascii="Times New Roman" w:hAnsi="Times New Roman"/>
          <w:sz w:val="24"/>
          <w:szCs w:val="24"/>
        </w:rPr>
        <w:t>b) 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rPr>
          <w:rFonts w:ascii="Times New Roman" w:hAnsi="Times New Roman"/>
          <w:sz w:val="24"/>
          <w:szCs w:val="24"/>
        </w:rPr>
        <w:t>”</w:t>
      </w:r>
    </w:p>
    <w:p w14:paraId="2B4B5F67" w14:textId="77777777" w:rsidR="00AC5DED" w:rsidRDefault="00AC5DED" w:rsidP="00F326E5">
      <w:pPr>
        <w:pStyle w:val="NoSpacing"/>
        <w:rPr>
          <w:rFonts w:ascii="Arial Black" w:hAnsi="Arial Black"/>
          <w:sz w:val="24"/>
          <w:szCs w:val="24"/>
        </w:rPr>
      </w:pPr>
    </w:p>
    <w:p w14:paraId="2B6CD2AF" w14:textId="77777777" w:rsidR="00AC5DED" w:rsidRDefault="00AC5DED" w:rsidP="00F326E5">
      <w:pPr>
        <w:pStyle w:val="NoSpacing"/>
        <w:rPr>
          <w:rFonts w:ascii="Arial Black" w:hAnsi="Arial Black"/>
          <w:sz w:val="24"/>
          <w:szCs w:val="24"/>
        </w:rPr>
      </w:pPr>
    </w:p>
    <w:p w14:paraId="770AB2F3" w14:textId="0597CBA9" w:rsidR="00AC5DED" w:rsidRDefault="00AC5DED" w:rsidP="00F326E5">
      <w:pPr>
        <w:pStyle w:val="NoSpacing"/>
        <w:rPr>
          <w:rFonts w:ascii="Arial Black" w:hAnsi="Arial Black"/>
          <w:sz w:val="24"/>
          <w:szCs w:val="24"/>
        </w:rPr>
      </w:pPr>
      <w:r>
        <w:rPr>
          <w:rFonts w:ascii="Arial Black" w:hAnsi="Arial Black"/>
          <w:sz w:val="24"/>
          <w:szCs w:val="24"/>
        </w:rPr>
        <w:t>16-62</w:t>
      </w:r>
    </w:p>
    <w:p w14:paraId="4C1A8F47" w14:textId="77777777" w:rsidR="00AC5DED" w:rsidRDefault="00AC5DED" w:rsidP="00AC5DED">
      <w:pPr>
        <w:spacing w:before="100" w:beforeAutospacing="1" w:after="100" w:afterAutospacing="1" w:line="240" w:lineRule="auto"/>
        <w:ind w:hanging="90"/>
        <w:rPr>
          <w:rFonts w:ascii="Arial Black" w:hAnsi="Arial Black"/>
          <w:sz w:val="28"/>
          <w:szCs w:val="28"/>
        </w:rPr>
      </w:pPr>
      <w:r>
        <w:rPr>
          <w:rFonts w:ascii="Arial Black" w:hAnsi="Arial Black"/>
          <w:sz w:val="28"/>
          <w:szCs w:val="28"/>
        </w:rPr>
        <w:t xml:space="preserve">VA: BC FIRED – ALSO SALESMAN FOR AMBULANCE CO –HELPED BUY COUNTY BRUSH TRUCK – NO RETALIATION </w:t>
      </w:r>
    </w:p>
    <w:p w14:paraId="31F7658B" w14:textId="77777777" w:rsidR="00AC5DED" w:rsidRPr="00537726" w:rsidRDefault="00AC5DED" w:rsidP="00AC5DE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22, 2021, in </w:t>
      </w:r>
      <w:r w:rsidRPr="00537726">
        <w:rPr>
          <w:rFonts w:ascii="Times New Roman" w:hAnsi="Times New Roman"/>
          <w:sz w:val="24"/>
          <w:szCs w:val="24"/>
          <w:u w:val="single"/>
        </w:rPr>
        <w:t>Clay O’Neal Fitzgerald v. Botetourt County, Virginia</w:t>
      </w:r>
      <w:r>
        <w:rPr>
          <w:rFonts w:ascii="Times New Roman" w:hAnsi="Times New Roman"/>
          <w:sz w:val="24"/>
          <w:szCs w:val="24"/>
        </w:rPr>
        <w:t xml:space="preserve">, United States Magistrate Judge </w:t>
      </w:r>
      <w:r w:rsidRPr="00537726">
        <w:rPr>
          <w:rFonts w:ascii="Times New Roman" w:hAnsi="Times New Roman"/>
          <w:sz w:val="24"/>
          <w:szCs w:val="24"/>
        </w:rPr>
        <w:t>Robert S. Ballou</w:t>
      </w:r>
      <w:r>
        <w:rPr>
          <w:rFonts w:ascii="Times New Roman" w:hAnsi="Times New Roman"/>
          <w:sz w:val="24"/>
          <w:szCs w:val="24"/>
        </w:rPr>
        <w:t xml:space="preserve">, U.S. District Court, Western District of Virginia (Roanoke Division), granted summary judgment to the County, finding that he was fired on May 16, </w:t>
      </w:r>
      <w:proofErr w:type="gramStart"/>
      <w:r>
        <w:rPr>
          <w:rFonts w:ascii="Times New Roman" w:hAnsi="Times New Roman"/>
          <w:sz w:val="24"/>
          <w:szCs w:val="24"/>
        </w:rPr>
        <w:t>2018</w:t>
      </w:r>
      <w:proofErr w:type="gramEnd"/>
      <w:r>
        <w:rPr>
          <w:rFonts w:ascii="Times New Roman" w:hAnsi="Times New Roman"/>
          <w:sz w:val="24"/>
          <w:szCs w:val="24"/>
        </w:rPr>
        <w:t xml:space="preserve"> from the County Fire &amp; EMS Department for his involvement as a salesman for Osage Ambulance and its sale of a bush truck to the County with authority. The plaintiff failed to prove that his firing was in retaliation for submitting an age discrimination grievance in 2014 and another complaint to the County Administrator in July 2017. </w:t>
      </w:r>
    </w:p>
    <w:p w14:paraId="7AFF5BA9" w14:textId="77777777" w:rsidR="00AC5DED" w:rsidRPr="00CF5AE2"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F5AE2">
        <w:rPr>
          <w:rFonts w:ascii="Times New Roman" w:hAnsi="Times New Roman"/>
          <w:sz w:val="24"/>
          <w:szCs w:val="24"/>
        </w:rPr>
        <w:t>I find that no reasonable jury can conclude that Fitzgerald was authorized to purchase the brush truck and that this was a legitimate non-retaliatory reason for Fitzgerald's termination. The County satisfied its burden by presenting a legitimate non-retaliatory reason for the termination, while Fitzgerald failed to satisfy his burden by providing evidence that the unauthorized purchase was a pretext. The County's purchasing policy makes clear that a violation can result in termination. It is not the responsibility of this Court to evaluate whether an explicit policy violation was a good reason for Fitzgerald's termination. DeJarnette v. Corning, Inc., 133 F.3d 293, 298 (4th Cir. 1998).</w:t>
      </w:r>
      <w:r>
        <w:rPr>
          <w:rFonts w:ascii="Times New Roman" w:hAnsi="Times New Roman"/>
          <w:sz w:val="24"/>
          <w:szCs w:val="24"/>
        </w:rPr>
        <w:t xml:space="preserve">” </w:t>
      </w:r>
      <w:hyperlink r:id="rId2779" w:history="1">
        <w:r w:rsidRPr="00EC5853">
          <w:rPr>
            <w:rStyle w:val="Hyperlink"/>
            <w:rFonts w:ascii="Times New Roman" w:hAnsi="Times New Roman"/>
            <w:sz w:val="24"/>
            <w:szCs w:val="24"/>
          </w:rPr>
          <w:t>https://casetext.com/case/fitzgerald-v-botetourt-cnty</w:t>
        </w:r>
      </w:hyperlink>
      <w:r>
        <w:rPr>
          <w:rFonts w:ascii="Times New Roman" w:hAnsi="Times New Roman"/>
          <w:sz w:val="24"/>
          <w:szCs w:val="24"/>
        </w:rPr>
        <w:t xml:space="preserve"> </w:t>
      </w:r>
    </w:p>
    <w:p w14:paraId="1AB4B323" w14:textId="77777777" w:rsidR="00AC5DED" w:rsidRPr="00213018" w:rsidRDefault="00AC5DED" w:rsidP="00AC5DED">
      <w:pPr>
        <w:rPr>
          <w:rFonts w:ascii="Times New Roman" w:hAnsi="Times New Roman"/>
          <w:b/>
          <w:bCs/>
          <w:sz w:val="24"/>
          <w:szCs w:val="24"/>
        </w:rPr>
      </w:pPr>
      <w:r w:rsidRPr="00213018">
        <w:rPr>
          <w:rFonts w:ascii="Times New Roman" w:hAnsi="Times New Roman"/>
          <w:b/>
          <w:bCs/>
          <w:sz w:val="24"/>
          <w:szCs w:val="24"/>
        </w:rPr>
        <w:t xml:space="preserve">Legal Lesson Learned: Outside employment can lead to a conflict in interest. </w:t>
      </w:r>
    </w:p>
    <w:p w14:paraId="21490D93" w14:textId="77777777" w:rsidR="00AC5DED" w:rsidRPr="00213018" w:rsidRDefault="00AC5DED" w:rsidP="00AC5DED">
      <w:pPr>
        <w:ind w:left="720"/>
        <w:rPr>
          <w:rFonts w:ascii="Times New Roman" w:hAnsi="Times New Roman"/>
          <w:sz w:val="24"/>
          <w:szCs w:val="24"/>
        </w:rPr>
      </w:pPr>
      <w:r w:rsidRPr="00213018">
        <w:rPr>
          <w:rFonts w:ascii="Times New Roman" w:hAnsi="Times New Roman"/>
          <w:sz w:val="24"/>
          <w:szCs w:val="24"/>
        </w:rPr>
        <w:t xml:space="preserve">Note: The article by Matthew Britt, prior to his being hired as Fire Chief, raised some challenging issues regarding older firefighters retiring; not surprised that plaintiff referenced it in </w:t>
      </w:r>
      <w:proofErr w:type="gramStart"/>
      <w:r w:rsidRPr="00213018">
        <w:rPr>
          <w:rFonts w:ascii="Times New Roman" w:hAnsi="Times New Roman"/>
          <w:sz w:val="24"/>
          <w:szCs w:val="24"/>
        </w:rPr>
        <w:t>is</w:t>
      </w:r>
      <w:proofErr w:type="gramEnd"/>
      <w:r w:rsidRPr="00213018">
        <w:rPr>
          <w:rFonts w:ascii="Times New Roman" w:hAnsi="Times New Roman"/>
          <w:sz w:val="24"/>
          <w:szCs w:val="24"/>
        </w:rPr>
        <w:t xml:space="preserve"> age discrimination lawsuit.  </w:t>
      </w:r>
    </w:p>
    <w:p w14:paraId="0A9A7B4D" w14:textId="77777777" w:rsidR="00AC5DED" w:rsidRPr="00213018" w:rsidRDefault="00AC5DED" w:rsidP="00AC5DED">
      <w:pPr>
        <w:pStyle w:val="Heading1"/>
        <w:ind w:left="720"/>
        <w:rPr>
          <w:color w:val="666666"/>
          <w:sz w:val="24"/>
          <w:szCs w:val="24"/>
        </w:rPr>
      </w:pPr>
      <w:r w:rsidRPr="00213018">
        <w:rPr>
          <w:b w:val="0"/>
          <w:bCs w:val="0"/>
          <w:sz w:val="24"/>
          <w:szCs w:val="24"/>
        </w:rPr>
        <w:t xml:space="preserve">“Altruism: How Long Does </w:t>
      </w:r>
      <w:proofErr w:type="gramStart"/>
      <w:r w:rsidRPr="00213018">
        <w:rPr>
          <w:b w:val="0"/>
          <w:bCs w:val="0"/>
          <w:sz w:val="24"/>
          <w:szCs w:val="24"/>
        </w:rPr>
        <w:t>it</w:t>
      </w:r>
      <w:proofErr w:type="gramEnd"/>
      <w:r w:rsidRPr="00213018">
        <w:rPr>
          <w:b w:val="0"/>
          <w:bCs w:val="0"/>
          <w:sz w:val="24"/>
          <w:szCs w:val="24"/>
        </w:rPr>
        <w:t xml:space="preserve"> Last &amp; How Do We Retain It.” Sept. 14, 2016. </w:t>
      </w:r>
      <w:hyperlink r:id="rId2780" w:history="1">
        <w:r w:rsidRPr="00EC5853">
          <w:rPr>
            <w:rStyle w:val="Hyperlink"/>
            <w:b w:val="0"/>
            <w:bCs w:val="0"/>
            <w:sz w:val="24"/>
            <w:szCs w:val="24"/>
          </w:rPr>
          <w:t>https://www.firehouse.com/careers-education/article/12253067/altruism-and-the-fire-service-firefighter-education</w:t>
        </w:r>
      </w:hyperlink>
      <w:r>
        <w:rPr>
          <w:b w:val="0"/>
          <w:bCs w:val="0"/>
          <w:sz w:val="24"/>
          <w:szCs w:val="24"/>
        </w:rPr>
        <w:t xml:space="preserve"> </w:t>
      </w:r>
    </w:p>
    <w:p w14:paraId="6378E39B" w14:textId="77777777" w:rsidR="00AC5DED" w:rsidRPr="00213018" w:rsidRDefault="00AC5DED" w:rsidP="00AC5DED">
      <w:pPr>
        <w:spacing w:before="100" w:beforeAutospacing="1" w:after="100" w:afterAutospacing="1" w:line="240" w:lineRule="auto"/>
        <w:ind w:left="1440"/>
        <w:rPr>
          <w:rFonts w:ascii="Times New Roman" w:eastAsia="Times New Roman" w:hAnsi="Times New Roman"/>
          <w:b/>
          <w:bCs/>
          <w:sz w:val="24"/>
          <w:szCs w:val="24"/>
        </w:rPr>
      </w:pPr>
      <w:r w:rsidRPr="00213018">
        <w:rPr>
          <w:rFonts w:ascii="Times New Roman" w:hAnsi="Times New Roman"/>
          <w:sz w:val="24"/>
          <w:szCs w:val="24"/>
        </w:rPr>
        <w:t>“So, what am I asking? I’m asking the senior members to take your much deserved retirement and create opportunities for the next generation of fire service officers. Take that time and dedicate it to your family or other pursuits, but don’t be a stranger. Use that wealth of knowledge to come back and educate members through formal training and other opportunities. Your fire service family will always be here.”</w:t>
      </w:r>
    </w:p>
    <w:p w14:paraId="4C290E11" w14:textId="5E0D7E30" w:rsidR="00AC5DED" w:rsidRDefault="00AC5DED" w:rsidP="00F326E5">
      <w:pPr>
        <w:pStyle w:val="NoSpacing"/>
        <w:rPr>
          <w:rFonts w:ascii="Arial Black" w:hAnsi="Arial Black"/>
          <w:sz w:val="24"/>
          <w:szCs w:val="24"/>
        </w:rPr>
      </w:pPr>
    </w:p>
    <w:p w14:paraId="46AEEA61" w14:textId="77777777" w:rsidR="00AC5DED" w:rsidRDefault="00AC5DED" w:rsidP="00F326E5">
      <w:pPr>
        <w:pStyle w:val="NoSpacing"/>
        <w:rPr>
          <w:rFonts w:ascii="Arial Black" w:hAnsi="Arial Black"/>
          <w:sz w:val="24"/>
          <w:szCs w:val="24"/>
        </w:rPr>
      </w:pPr>
    </w:p>
    <w:p w14:paraId="798807EB" w14:textId="77777777" w:rsidR="00AC5DED" w:rsidRDefault="00AC5DED" w:rsidP="00F326E5">
      <w:pPr>
        <w:pStyle w:val="NoSpacing"/>
        <w:rPr>
          <w:rFonts w:ascii="Arial Black" w:hAnsi="Arial Black"/>
          <w:sz w:val="24"/>
          <w:szCs w:val="24"/>
        </w:rPr>
      </w:pPr>
    </w:p>
    <w:p w14:paraId="33177230" w14:textId="1997FC00" w:rsidR="00AC5DED" w:rsidRDefault="00AC5DED" w:rsidP="00F326E5">
      <w:pPr>
        <w:pStyle w:val="NoSpacing"/>
        <w:rPr>
          <w:rFonts w:ascii="Arial Black" w:hAnsi="Arial Black"/>
          <w:sz w:val="24"/>
          <w:szCs w:val="24"/>
        </w:rPr>
      </w:pPr>
      <w:r>
        <w:rPr>
          <w:rFonts w:ascii="Arial Black" w:hAnsi="Arial Black"/>
          <w:sz w:val="24"/>
          <w:szCs w:val="24"/>
        </w:rPr>
        <w:t>16-61</w:t>
      </w:r>
    </w:p>
    <w:p w14:paraId="256C5D70" w14:textId="77777777" w:rsidR="00AC5DED" w:rsidRPr="00FC677C" w:rsidRDefault="00AC5DED" w:rsidP="00AC5DED">
      <w:pPr>
        <w:pStyle w:val="Heading1"/>
        <w:rPr>
          <w:rFonts w:ascii="Arial Black" w:hAnsi="Arial Black"/>
          <w:sz w:val="28"/>
          <w:szCs w:val="28"/>
        </w:rPr>
      </w:pPr>
      <w:r>
        <w:rPr>
          <w:rFonts w:ascii="Arial Black" w:hAnsi="Arial Black"/>
          <w:sz w:val="28"/>
          <w:szCs w:val="28"/>
        </w:rPr>
        <w:t>CA: MEDIC EXPOSED BREAST UNCONSCIOUS FEMALE (19) – CONV. FELONY ASSAULT – JAIL - REGISTER SEX OFFENDER</w:t>
      </w:r>
    </w:p>
    <w:p w14:paraId="49496322" w14:textId="77777777" w:rsidR="00AC5DED" w:rsidRDefault="00AC5DED" w:rsidP="00AC5DED">
      <w:pPr>
        <w:pStyle w:val="Heading1"/>
        <w:rPr>
          <w:b w:val="0"/>
          <w:bCs w:val="0"/>
          <w:sz w:val="24"/>
          <w:szCs w:val="24"/>
        </w:rPr>
      </w:pPr>
      <w:r>
        <w:rPr>
          <w:b w:val="0"/>
          <w:bCs w:val="0"/>
          <w:sz w:val="24"/>
          <w:szCs w:val="24"/>
        </w:rPr>
        <w:t xml:space="preserve">On Dec. 8, 2021, in </w:t>
      </w:r>
      <w:r w:rsidRPr="00910334">
        <w:rPr>
          <w:b w:val="0"/>
          <w:bCs w:val="0"/>
          <w:sz w:val="24"/>
          <w:szCs w:val="24"/>
          <w:u w:val="single"/>
        </w:rPr>
        <w:t>The People v. Jared David Evans</w:t>
      </w:r>
      <w:r>
        <w:rPr>
          <w:b w:val="0"/>
          <w:bCs w:val="0"/>
          <w:sz w:val="24"/>
          <w:szCs w:val="24"/>
        </w:rPr>
        <w:t xml:space="preserve">, the California Court of Appeals, Third District (Sacramento), held (3 to 0; unpublished decision) that the jury correctly found the paramedic (age 32) guilty of felony assault, and was sentenced to 180 days in county jail, and to register as a sex offender  </w:t>
      </w:r>
      <w:r w:rsidRPr="001C34F3">
        <w:rPr>
          <w:b w:val="0"/>
          <w:bCs w:val="0"/>
          <w:sz w:val="24"/>
          <w:szCs w:val="24"/>
        </w:rPr>
        <w:t>According to reports, he did it in front of an intern and reportedly said, "Sorry, man, I had to."</w:t>
      </w:r>
      <w:r>
        <w:rPr>
          <w:b w:val="0"/>
          <w:bCs w:val="0"/>
          <w:sz w:val="24"/>
          <w:szCs w:val="24"/>
        </w:rPr>
        <w:t xml:space="preserve"> The Court also upheld the trial judge’s decision to not inform the jury that the </w:t>
      </w:r>
      <w:proofErr w:type="gramStart"/>
      <w:r>
        <w:rPr>
          <w:b w:val="0"/>
          <w:bCs w:val="0"/>
          <w:sz w:val="24"/>
          <w:szCs w:val="24"/>
        </w:rPr>
        <w:t>intern, who</w:t>
      </w:r>
      <w:proofErr w:type="gramEnd"/>
      <w:r>
        <w:rPr>
          <w:b w:val="0"/>
          <w:bCs w:val="0"/>
          <w:sz w:val="24"/>
          <w:szCs w:val="24"/>
        </w:rPr>
        <w:t xml:space="preserve"> testified at trial had shown EMS personnel nude photos of his girlfriend. </w:t>
      </w:r>
    </w:p>
    <w:p w14:paraId="76AB51C1" w14:textId="1F6CFA34" w:rsidR="00AC5DED" w:rsidRDefault="00AC5DED" w:rsidP="00AC5DED">
      <w:pPr>
        <w:pStyle w:val="NoSpacing"/>
        <w:ind w:left="720"/>
        <w:rPr>
          <w:rFonts w:ascii="Arial Black" w:hAnsi="Arial Black"/>
          <w:sz w:val="24"/>
          <w:szCs w:val="24"/>
        </w:rPr>
      </w:pPr>
      <w:r>
        <w:rPr>
          <w:rFonts w:ascii="Times New Roman" w:hAnsi="Times New Roman"/>
          <w:sz w:val="24"/>
          <w:szCs w:val="24"/>
        </w:rPr>
        <w:t>“</w:t>
      </w:r>
      <w:r w:rsidRPr="001C34F3">
        <w:rPr>
          <w:rFonts w:ascii="Times New Roman" w:hAnsi="Times New Roman"/>
          <w:sz w:val="24"/>
          <w:szCs w:val="24"/>
        </w:rPr>
        <w:t xml:space="preserve">Here, defendant brought </w:t>
      </w:r>
      <w:r>
        <w:rPr>
          <w:rFonts w:ascii="Times New Roman" w:hAnsi="Times New Roman"/>
          <w:sz w:val="24"/>
          <w:szCs w:val="24"/>
        </w:rPr>
        <w:t xml:space="preserve">[intern] </w:t>
      </w:r>
      <w:r w:rsidRPr="001C34F3">
        <w:rPr>
          <w:rFonts w:ascii="Times New Roman" w:hAnsi="Times New Roman"/>
          <w:sz w:val="24"/>
          <w:szCs w:val="24"/>
        </w:rPr>
        <w:t xml:space="preserve">Morris's attention to Doe's breasts, reached into her shirt, grabbed her breast, exposed it, and made a lewd comment. This is sufficient evidence that </w:t>
      </w:r>
      <w:proofErr w:type="gramStart"/>
      <w:r w:rsidRPr="001C34F3">
        <w:rPr>
          <w:rFonts w:ascii="Times New Roman" w:hAnsi="Times New Roman"/>
          <w:sz w:val="24"/>
          <w:szCs w:val="24"/>
        </w:rPr>
        <w:t>defendant</w:t>
      </w:r>
      <w:proofErr w:type="gramEnd"/>
      <w:r w:rsidRPr="001C34F3">
        <w:rPr>
          <w:rFonts w:ascii="Times New Roman" w:hAnsi="Times New Roman"/>
          <w:sz w:val="24"/>
          <w:szCs w:val="24"/>
        </w:rPr>
        <w:t xml:space="preserve"> committed the touching for the specific purpose of sexual gratification.</w:t>
      </w:r>
      <w:r>
        <w:rPr>
          <w:rFonts w:ascii="Times New Roman" w:hAnsi="Times New Roman"/>
          <w:sz w:val="24"/>
          <w:szCs w:val="24"/>
        </w:rPr>
        <w:t xml:space="preserve"> *** </w:t>
      </w:r>
      <w:r w:rsidRPr="00185759">
        <w:rPr>
          <w:rFonts w:ascii="Times New Roman" w:hAnsi="Times New Roman"/>
          <w:sz w:val="24"/>
          <w:szCs w:val="24"/>
        </w:rPr>
        <w:t xml:space="preserve">Among other things, defendant argues on appeal that the display of the nude images </w:t>
      </w:r>
      <w:r>
        <w:rPr>
          <w:rFonts w:ascii="Times New Roman" w:hAnsi="Times New Roman"/>
          <w:sz w:val="24"/>
          <w:szCs w:val="24"/>
        </w:rPr>
        <w:t xml:space="preserve">[by intern of his girlfriend to other EMS] </w:t>
      </w:r>
      <w:r w:rsidRPr="00185759">
        <w:rPr>
          <w:rFonts w:ascii="Times New Roman" w:hAnsi="Times New Roman"/>
          <w:sz w:val="24"/>
          <w:szCs w:val="24"/>
        </w:rPr>
        <w:t>went to Morris's intent and attitude toward women. The argument focuses on admissibility based on intent under Evidence Code section 1101, subdivision (b). But defendant did not argue in the trial court that the evidence was relevant to Morris's intent. He only argued Morris was immature about and lacked respect for women and, therefore, his claim to be an outstanding firefighter lacked credibility. Under the circumstances, defendant forfeited consideration on appeal of admissibility based on intent.</w:t>
      </w:r>
      <w:r>
        <w:rPr>
          <w:rFonts w:ascii="Times New Roman" w:hAnsi="Times New Roman"/>
          <w:sz w:val="24"/>
          <w:szCs w:val="24"/>
        </w:rPr>
        <w:t xml:space="preserve"> </w:t>
      </w:r>
      <w:r w:rsidRPr="00734BD0">
        <w:rPr>
          <w:rFonts w:ascii="Times New Roman" w:hAnsi="Times New Roman"/>
          <w:sz w:val="24"/>
          <w:szCs w:val="24"/>
        </w:rPr>
        <w:t>*** Although we nevertheless understand the gist of defendant's arguments regarding the evidence and are not unsympathetic, the trial court did not abuse its discretion in making its evidentiary determination.</w:t>
      </w:r>
      <w:r>
        <w:t xml:space="preserve"> </w:t>
      </w:r>
      <w:hyperlink r:id="rId2781" w:history="1">
        <w:r w:rsidRPr="00EC5853">
          <w:rPr>
            <w:rStyle w:val="Hyperlink"/>
          </w:rPr>
          <w:t>https://public.fastcase.com/9SKwsfNqTc6OieYDhNMyM%2B9QVlF%2Fi0C7FBtpVDfGBEJTuxz2gLXEBOyZ2MTUN6p67t66EUS4%2BwzN2KZQmb95HSCpSxhJK4uvhgP9XZ8nBIo%3D</w:t>
        </w:r>
      </w:hyperlink>
    </w:p>
    <w:p w14:paraId="654EF991" w14:textId="77777777" w:rsidR="00AC5DED" w:rsidRDefault="00AC5DED" w:rsidP="00F326E5">
      <w:pPr>
        <w:pStyle w:val="NoSpacing"/>
        <w:rPr>
          <w:rFonts w:ascii="Arial Black" w:hAnsi="Arial Black"/>
          <w:sz w:val="24"/>
          <w:szCs w:val="24"/>
        </w:rPr>
      </w:pPr>
    </w:p>
    <w:p w14:paraId="5CC44842" w14:textId="77777777" w:rsidR="00AC5DED" w:rsidRPr="00AF6390" w:rsidRDefault="00AC5DED" w:rsidP="00AC5DED">
      <w:pPr>
        <w:spacing w:before="100" w:beforeAutospacing="1" w:after="100" w:afterAutospacing="1" w:line="240" w:lineRule="auto"/>
        <w:rPr>
          <w:rFonts w:ascii="Times New Roman" w:eastAsia="Times New Roman" w:hAnsi="Times New Roman"/>
          <w:sz w:val="24"/>
          <w:szCs w:val="24"/>
        </w:rPr>
      </w:pPr>
      <w:r w:rsidRPr="00734BD0">
        <w:rPr>
          <w:rFonts w:ascii="Times New Roman" w:hAnsi="Times New Roman"/>
          <w:b/>
          <w:bCs/>
          <w:sz w:val="24"/>
          <w:szCs w:val="24"/>
        </w:rPr>
        <w:t>Legal Lesson Learned:</w:t>
      </w:r>
      <w:r>
        <w:rPr>
          <w:rFonts w:ascii="Times New Roman" w:hAnsi="Times New Roman"/>
          <w:b/>
          <w:bCs/>
          <w:sz w:val="24"/>
          <w:szCs w:val="24"/>
        </w:rPr>
        <w:t xml:space="preserve">  Stupid conduct by this paramedic resulted in felony conviction, jail time, reporting as </w:t>
      </w:r>
      <w:proofErr w:type="gramStart"/>
      <w:r>
        <w:rPr>
          <w:rFonts w:ascii="Times New Roman" w:hAnsi="Times New Roman"/>
          <w:b/>
          <w:bCs/>
          <w:sz w:val="24"/>
          <w:szCs w:val="24"/>
        </w:rPr>
        <w:t>a sexual</w:t>
      </w:r>
      <w:proofErr w:type="gramEnd"/>
      <w:r>
        <w:rPr>
          <w:rFonts w:ascii="Times New Roman" w:hAnsi="Times New Roman"/>
          <w:b/>
          <w:bCs/>
          <w:sz w:val="24"/>
          <w:szCs w:val="24"/>
        </w:rPr>
        <w:t xml:space="preserve"> offenders and loss of his chosen profession.</w:t>
      </w:r>
    </w:p>
    <w:p w14:paraId="7114E523" w14:textId="77777777" w:rsidR="00AC5DED" w:rsidRPr="001C34F3" w:rsidRDefault="00AC5DED" w:rsidP="00AC5DED">
      <w:pPr>
        <w:pStyle w:val="Heading1"/>
        <w:ind w:left="720"/>
        <w:rPr>
          <w:b w:val="0"/>
          <w:bCs w:val="0"/>
          <w:sz w:val="24"/>
          <w:szCs w:val="24"/>
        </w:rPr>
      </w:pPr>
      <w:r>
        <w:rPr>
          <w:b w:val="0"/>
          <w:bCs w:val="0"/>
          <w:sz w:val="24"/>
          <w:szCs w:val="24"/>
        </w:rPr>
        <w:t xml:space="preserve">Note: See June 12, </w:t>
      </w:r>
      <w:proofErr w:type="gramStart"/>
      <w:r>
        <w:rPr>
          <w:b w:val="0"/>
          <w:bCs w:val="0"/>
          <w:sz w:val="24"/>
          <w:szCs w:val="24"/>
        </w:rPr>
        <w:t>2017</w:t>
      </w:r>
      <w:proofErr w:type="gramEnd"/>
      <w:r>
        <w:rPr>
          <w:b w:val="0"/>
          <w:bCs w:val="0"/>
          <w:sz w:val="24"/>
          <w:szCs w:val="24"/>
        </w:rPr>
        <w:t xml:space="preserve"> article, “</w:t>
      </w:r>
      <w:r w:rsidRPr="001C34F3">
        <w:rPr>
          <w:b w:val="0"/>
          <w:bCs w:val="0"/>
          <w:sz w:val="24"/>
          <w:szCs w:val="24"/>
        </w:rPr>
        <w:t xml:space="preserve">Paramedic </w:t>
      </w:r>
      <w:proofErr w:type="gramStart"/>
      <w:r w:rsidRPr="001C34F3">
        <w:rPr>
          <w:b w:val="0"/>
          <w:bCs w:val="0"/>
          <w:sz w:val="24"/>
          <w:szCs w:val="24"/>
        </w:rPr>
        <w:t>And</w:t>
      </w:r>
      <w:proofErr w:type="gramEnd"/>
      <w:r w:rsidRPr="001C34F3">
        <w:rPr>
          <w:b w:val="0"/>
          <w:bCs w:val="0"/>
          <w:sz w:val="24"/>
          <w:szCs w:val="24"/>
        </w:rPr>
        <w:t xml:space="preserve"> Firefighter Fondle Teen Having Seizures, Jared David Evans Told Intern, 'I Had To</w:t>
      </w:r>
      <w:r>
        <w:rPr>
          <w:b w:val="0"/>
          <w:bCs w:val="0"/>
          <w:sz w:val="24"/>
          <w:szCs w:val="24"/>
        </w:rPr>
        <w:t>.</w:t>
      </w:r>
      <w:r w:rsidRPr="001C34F3">
        <w:rPr>
          <w:b w:val="0"/>
          <w:bCs w:val="0"/>
          <w:sz w:val="24"/>
          <w:szCs w:val="24"/>
        </w:rPr>
        <w:t>'</w:t>
      </w:r>
      <w:r>
        <w:rPr>
          <w:b w:val="0"/>
          <w:bCs w:val="0"/>
          <w:sz w:val="24"/>
          <w:szCs w:val="24"/>
        </w:rPr>
        <w:t xml:space="preserve">” </w:t>
      </w:r>
      <w:hyperlink r:id="rId2782" w:history="1">
        <w:r w:rsidRPr="00EC5853">
          <w:rPr>
            <w:rStyle w:val="Hyperlink"/>
            <w:b w:val="0"/>
            <w:bCs w:val="0"/>
            <w:sz w:val="24"/>
            <w:szCs w:val="24"/>
          </w:rPr>
          <w:t>https://www.inquisitr.com/4286305/paramedic-and-firefighter-fondle-teen-having-seizures-jared-david-evans-told-intern-i-had-to/</w:t>
        </w:r>
      </w:hyperlink>
      <w:r>
        <w:rPr>
          <w:b w:val="0"/>
          <w:bCs w:val="0"/>
          <w:sz w:val="24"/>
          <w:szCs w:val="24"/>
        </w:rPr>
        <w:t xml:space="preserve"> </w:t>
      </w:r>
    </w:p>
    <w:p w14:paraId="49A775C3" w14:textId="77777777" w:rsidR="00AC5DED" w:rsidRPr="009E51C8" w:rsidRDefault="00AC5DED" w:rsidP="00AC5DED">
      <w:pPr>
        <w:ind w:left="1440"/>
        <w:rPr>
          <w:rFonts w:ascii="Times New Roman" w:hAnsi="Times New Roman"/>
          <w:sz w:val="24"/>
          <w:szCs w:val="24"/>
        </w:rPr>
      </w:pPr>
      <w:r w:rsidRPr="009E51C8">
        <w:rPr>
          <w:rFonts w:ascii="Times New Roman" w:hAnsi="Times New Roman"/>
          <w:sz w:val="24"/>
          <w:szCs w:val="24"/>
        </w:rPr>
        <w:t xml:space="preserve">“According to KCRA Channel 3, </w:t>
      </w:r>
      <w:hyperlink r:id="rId2783" w:tgtFrame="_blank" w:history="1">
        <w:r w:rsidRPr="009E51C8">
          <w:rPr>
            <w:rFonts w:ascii="Times New Roman" w:hAnsi="Times New Roman"/>
            <w:sz w:val="24"/>
            <w:szCs w:val="24"/>
          </w:rPr>
          <w:t>Sacramento Fire Chief</w:t>
        </w:r>
      </w:hyperlink>
      <w:r w:rsidRPr="009E51C8">
        <w:rPr>
          <w:rFonts w:ascii="Times New Roman" w:hAnsi="Times New Roman"/>
          <w:sz w:val="24"/>
          <w:szCs w:val="24"/>
        </w:rPr>
        <w:t xml:space="preserve"> Walt White discussed the allegations against Jared David Evans. ‘When these allegations were brought to the attention of fire administration, we immediately notified the office of public safety and accountability and requested a full law enforcement investigation.’ ‘The Sacramento Fire Department takes all citizen complaints </w:t>
      </w:r>
      <w:proofErr w:type="gramStart"/>
      <w:r w:rsidRPr="009E51C8">
        <w:rPr>
          <w:rFonts w:ascii="Times New Roman" w:hAnsi="Times New Roman"/>
          <w:sz w:val="24"/>
          <w:szCs w:val="24"/>
        </w:rPr>
        <w:t>seriously, and</w:t>
      </w:r>
      <w:proofErr w:type="gramEnd"/>
      <w:r w:rsidRPr="009E51C8">
        <w:rPr>
          <w:rFonts w:ascii="Times New Roman" w:hAnsi="Times New Roman"/>
          <w:sz w:val="24"/>
          <w:szCs w:val="24"/>
        </w:rPr>
        <w:t xml:space="preserve"> works quickly to take appropriate actions to mitigate them. When this complaint was made to Fire Administration, it was immediately forwarded to Law Enforcement </w:t>
      </w:r>
      <w:proofErr w:type="gramStart"/>
      <w:r w:rsidRPr="009E51C8">
        <w:rPr>
          <w:rFonts w:ascii="Times New Roman" w:hAnsi="Times New Roman"/>
          <w:sz w:val="24"/>
          <w:szCs w:val="24"/>
        </w:rPr>
        <w:t>officials</w:t>
      </w:r>
      <w:proofErr w:type="gramEnd"/>
      <w:r w:rsidRPr="009E51C8">
        <w:rPr>
          <w:rFonts w:ascii="Times New Roman" w:hAnsi="Times New Roman"/>
          <w:sz w:val="24"/>
          <w:szCs w:val="24"/>
        </w:rPr>
        <w:t xml:space="preserve"> and a formal investigation was requested. Although the case is ongoing, and all facts are not yet known, the Sacramento Fire Department wants to assure the public that we are fully cooperating with the investigation and working to bring the matter to a successful conclusion.”</w:t>
      </w:r>
    </w:p>
    <w:p w14:paraId="3BC0791F" w14:textId="77777777" w:rsidR="00AC5DED" w:rsidRDefault="00AC5DED" w:rsidP="00F326E5">
      <w:pPr>
        <w:pStyle w:val="NoSpacing"/>
        <w:rPr>
          <w:rFonts w:ascii="Arial Black" w:hAnsi="Arial Black"/>
          <w:sz w:val="24"/>
          <w:szCs w:val="24"/>
        </w:rPr>
      </w:pPr>
    </w:p>
    <w:p w14:paraId="52C865FB" w14:textId="77777777" w:rsidR="00AC5DED" w:rsidRDefault="00AC5DED" w:rsidP="00F326E5">
      <w:pPr>
        <w:pStyle w:val="NoSpacing"/>
        <w:rPr>
          <w:rFonts w:ascii="Arial Black" w:hAnsi="Arial Black"/>
          <w:sz w:val="24"/>
          <w:szCs w:val="24"/>
        </w:rPr>
      </w:pPr>
    </w:p>
    <w:p w14:paraId="67A53459" w14:textId="61F36DCE" w:rsidR="00506EE7" w:rsidRDefault="00506EE7" w:rsidP="00F326E5">
      <w:pPr>
        <w:pStyle w:val="NoSpacing"/>
        <w:rPr>
          <w:rFonts w:ascii="Arial Black" w:hAnsi="Arial Black"/>
          <w:sz w:val="24"/>
          <w:szCs w:val="24"/>
        </w:rPr>
      </w:pPr>
      <w:r>
        <w:rPr>
          <w:rFonts w:ascii="Arial Black" w:hAnsi="Arial Black"/>
          <w:sz w:val="24"/>
          <w:szCs w:val="24"/>
        </w:rPr>
        <w:t>16-</w:t>
      </w:r>
      <w:r w:rsidR="007E3A28">
        <w:rPr>
          <w:rFonts w:ascii="Arial Black" w:hAnsi="Arial Black"/>
          <w:sz w:val="24"/>
          <w:szCs w:val="24"/>
        </w:rPr>
        <w:t>60</w:t>
      </w:r>
    </w:p>
    <w:p w14:paraId="4FBB6967" w14:textId="77777777" w:rsidR="00506EE7" w:rsidRPr="00A71D89" w:rsidRDefault="00506EE7" w:rsidP="00506E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VOL. FF MET 14-YR OLD AT STATION – SEXUAL RELATIONS FOR YEAR – JURY CONV - 8-16 YRS JAIL</w:t>
      </w:r>
    </w:p>
    <w:p w14:paraId="63C770CD" w14:textId="77777777" w:rsidR="00506EE7" w:rsidRDefault="00506EE7" w:rsidP="00506EE7">
      <w:pPr>
        <w:spacing w:after="100" w:line="240" w:lineRule="auto"/>
        <w:rPr>
          <w:rFonts w:ascii="Times New Roman" w:hAnsi="Times New Roman"/>
          <w:sz w:val="24"/>
          <w:szCs w:val="24"/>
        </w:rPr>
      </w:pPr>
      <w:r>
        <w:rPr>
          <w:rFonts w:ascii="Times New Roman" w:eastAsia="Times New Roman" w:hAnsi="Times New Roman"/>
          <w:sz w:val="24"/>
          <w:szCs w:val="24"/>
        </w:rPr>
        <w:t xml:space="preserve">On Nov. 22, 2021, in </w:t>
      </w:r>
      <w:r w:rsidRPr="00A71D89">
        <w:rPr>
          <w:rFonts w:ascii="Times New Roman" w:eastAsia="Times New Roman" w:hAnsi="Times New Roman"/>
          <w:sz w:val="24"/>
          <w:szCs w:val="24"/>
          <w:u w:val="single"/>
        </w:rPr>
        <w:t>Commonwealth of Pennsylvania v. Christopher Anthony Taylor</w:t>
      </w:r>
      <w:r>
        <w:rPr>
          <w:rFonts w:ascii="Times New Roman" w:eastAsia="Times New Roman" w:hAnsi="Times New Roman"/>
          <w:sz w:val="24"/>
          <w:szCs w:val="24"/>
        </w:rPr>
        <w:t xml:space="preserve">, Superior Court of Pennsylvania, held (3 to 0; “non-precedential decisional”) the Court of Appeals agreed with a trial court judge who denied his petition for Post-Conviction Relief.  On appeals he claimed ineffective assistance of counsel, but the trial court properly allowed into evidence the firefighters many e-mails with the minor, leading to his conviction of statutory sexual assault, </w:t>
      </w:r>
      <w:r w:rsidRPr="004979D4">
        <w:rPr>
          <w:rFonts w:ascii="Times New Roman" w:hAnsi="Times New Roman"/>
          <w:sz w:val="24"/>
          <w:szCs w:val="24"/>
        </w:rPr>
        <w:t>aggravated indecent assault-less than 16 years of age, indecent assault-less than 16 years of age, unlawful contact with a minor-sexual offenses, involuntary deviate sexual intercourse-less than 16 years of age, and corruption of minors</w:t>
      </w:r>
      <w:r>
        <w:rPr>
          <w:rFonts w:ascii="Times New Roman" w:hAnsi="Times New Roman"/>
          <w:sz w:val="24"/>
          <w:szCs w:val="24"/>
        </w:rPr>
        <w:t xml:space="preserve">.  </w:t>
      </w:r>
    </w:p>
    <w:p w14:paraId="753F6740" w14:textId="77777777" w:rsidR="00506EE7" w:rsidRDefault="00506EE7" w:rsidP="00506EE7">
      <w:pPr>
        <w:pStyle w:val="NormalWeb"/>
        <w:ind w:left="720"/>
      </w:pPr>
      <w:r>
        <w:t xml:space="preserve">“In his first claim, Taylor argues that his trial counsel rendered ineffective assistance by failing to object to the authenticity of the email communications between himself and the victim. Brief for Appellant at 12-13. Taylor asserts that, at trial, he testified that he did not recognize the emails…. Additionally, Taylor claims that the only authentication of the emails was that the victim had provided them to the police, who performed no examination of the victim's or Taylor's respective computers…. Taylor acknowledges that trial counsel objected to the emails at </w:t>
      </w:r>
      <w:proofErr w:type="gramStart"/>
      <w:r>
        <w:t>trial, but</w:t>
      </w:r>
      <w:proofErr w:type="gramEnd"/>
      <w:r>
        <w:t xml:space="preserve"> contends that the objection was generic and did not specifically challenge the authenticity of the emails…. Accordingly, Taylor has failed to establish his claim of ineffective assistance of counsel.  </w:t>
      </w:r>
      <w:hyperlink r:id="rId2784" w:history="1">
        <w:r w:rsidRPr="0085682C">
          <w:rPr>
            <w:rStyle w:val="Hyperlink"/>
          </w:rPr>
          <w:t>https://public.fastcase.com/9SKwsfNqTc6OieYDhNMyMwLbquMieQJJAkWYEouDi7ix05WUlxmQyjrVFv7KR6XMi0MhNDFBQq54%2Fpuo4ib1qnZU%2F1hDs4fMcaW2pIa9a%2BY%3D</w:t>
        </w:r>
      </w:hyperlink>
      <w:r>
        <w:t xml:space="preserve"> </w:t>
      </w:r>
    </w:p>
    <w:p w14:paraId="325128D9" w14:textId="77777777" w:rsidR="007E3A28" w:rsidRPr="0023548F" w:rsidRDefault="007E3A28" w:rsidP="007E3A28">
      <w:pPr>
        <w:spacing w:after="100" w:line="240" w:lineRule="auto"/>
        <w:rPr>
          <w:rFonts w:ascii="Times New Roman" w:eastAsia="Times New Roman" w:hAnsi="Times New Roman"/>
          <w:b/>
          <w:bCs/>
          <w:sz w:val="24"/>
          <w:szCs w:val="24"/>
        </w:rPr>
      </w:pPr>
      <w:r w:rsidRPr="0023548F">
        <w:rPr>
          <w:rFonts w:ascii="Times New Roman" w:hAnsi="Times New Roman"/>
          <w:b/>
          <w:bCs/>
          <w:sz w:val="24"/>
          <w:szCs w:val="24"/>
        </w:rPr>
        <w:t>Legal Lesson Learned:</w:t>
      </w:r>
      <w:r>
        <w:rPr>
          <w:rFonts w:ascii="Times New Roman" w:hAnsi="Times New Roman"/>
          <w:b/>
          <w:bCs/>
          <w:sz w:val="24"/>
          <w:szCs w:val="24"/>
        </w:rPr>
        <w:t xml:space="preserve">  This former volunteer firefighter now has lots of time in prison to think about his conduct.  </w:t>
      </w:r>
    </w:p>
    <w:p w14:paraId="1EFC4A4F" w14:textId="35A365FC" w:rsidR="00506EE7" w:rsidRDefault="00506EE7" w:rsidP="00F326E5">
      <w:pPr>
        <w:pStyle w:val="NoSpacing"/>
        <w:rPr>
          <w:rFonts w:ascii="Arial Black" w:hAnsi="Arial Black"/>
          <w:sz w:val="24"/>
          <w:szCs w:val="24"/>
        </w:rPr>
      </w:pPr>
    </w:p>
    <w:p w14:paraId="588C380E" w14:textId="050B45D2" w:rsidR="007E3A28" w:rsidRDefault="007E3A28" w:rsidP="00F326E5">
      <w:pPr>
        <w:pStyle w:val="NoSpacing"/>
        <w:rPr>
          <w:rFonts w:ascii="Arial Black" w:hAnsi="Arial Black"/>
          <w:sz w:val="24"/>
          <w:szCs w:val="24"/>
        </w:rPr>
      </w:pPr>
      <w:r>
        <w:rPr>
          <w:rFonts w:ascii="Arial Black" w:hAnsi="Arial Black"/>
          <w:sz w:val="24"/>
          <w:szCs w:val="24"/>
        </w:rPr>
        <w:t>16-59</w:t>
      </w:r>
    </w:p>
    <w:p w14:paraId="1C823D97" w14:textId="15A0A55C" w:rsidR="007E3A28" w:rsidRDefault="007E3A28" w:rsidP="00F326E5">
      <w:pPr>
        <w:pStyle w:val="NoSpacing"/>
        <w:rPr>
          <w:rFonts w:ascii="Arial Black" w:hAnsi="Arial Black"/>
          <w:sz w:val="24"/>
          <w:szCs w:val="24"/>
        </w:rPr>
      </w:pPr>
    </w:p>
    <w:p w14:paraId="13F1EDAB" w14:textId="77777777" w:rsidR="007E3A28" w:rsidRDefault="007E3A28" w:rsidP="007E3A2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NJ: FF PROPERLY FIRED – PLED GUILTY AGGRAVATED ASSAULT IN BAR - 364 DAYS JAIL – FD LEARNED NO SHOW</w:t>
      </w:r>
    </w:p>
    <w:p w14:paraId="43376913" w14:textId="77777777" w:rsidR="007E3A28" w:rsidRDefault="007E3A28" w:rsidP="007E3A28">
      <w:pPr>
        <w:spacing w:before="100" w:beforeAutospacing="1" w:after="100" w:afterAutospacing="1" w:line="240" w:lineRule="auto"/>
      </w:pPr>
      <w:r w:rsidRPr="00F80533">
        <w:rPr>
          <w:rFonts w:ascii="Times New Roman" w:eastAsia="Times New Roman" w:hAnsi="Times New Roman"/>
          <w:sz w:val="24"/>
          <w:szCs w:val="24"/>
        </w:rPr>
        <w:t xml:space="preserve">On </w:t>
      </w:r>
      <w:r>
        <w:rPr>
          <w:rFonts w:ascii="Times New Roman" w:eastAsia="Times New Roman" w:hAnsi="Times New Roman"/>
          <w:sz w:val="24"/>
          <w:szCs w:val="24"/>
        </w:rPr>
        <w:t>Nov. 16, 2021</w:t>
      </w:r>
      <w:r w:rsidRPr="002A1A7D">
        <w:rPr>
          <w:rFonts w:ascii="Times New Roman" w:eastAsia="Times New Roman" w:hAnsi="Times New Roman"/>
          <w:sz w:val="24"/>
          <w:szCs w:val="24"/>
          <w:u w:val="single"/>
        </w:rPr>
        <w:t>, In The Matter Of Joseph Downar, The City of Newark Fire Department</w:t>
      </w:r>
      <w:r>
        <w:rPr>
          <w:rFonts w:ascii="Times New Roman" w:eastAsia="Times New Roman" w:hAnsi="Times New Roman"/>
          <w:sz w:val="24"/>
          <w:szCs w:val="24"/>
        </w:rPr>
        <w:t xml:space="preserve">, the Superior Court of New Jersey, Appellate Division, held (3 to 0) (unpublished decision) that the Civil Service Commission properly upheld the Fire Department’s decision to terminate the firefighter after a disciplinary hearing on March 15, 2018, for his conviction of third-degree aggravated assault, and failure to notice the Fire Department of his arrest, indictment, conviction and prison sentence.  The FD had no knowledge of the incident until Dec. 12, 2017, the day he began serving his jail term, and </w:t>
      </w:r>
      <w:proofErr w:type="gramStart"/>
      <w:r>
        <w:rPr>
          <w:rFonts w:ascii="Times New Roman" w:eastAsia="Times New Roman" w:hAnsi="Times New Roman"/>
          <w:sz w:val="24"/>
          <w:szCs w:val="24"/>
        </w:rPr>
        <w:t>he</w:t>
      </w:r>
      <w:proofErr w:type="gramEnd"/>
      <w:r>
        <w:rPr>
          <w:rFonts w:ascii="Times New Roman" w:eastAsia="Times New Roman" w:hAnsi="Times New Roman"/>
          <w:sz w:val="24"/>
          <w:szCs w:val="24"/>
        </w:rPr>
        <w:t xml:space="preserve"> union advised the department. </w:t>
      </w:r>
    </w:p>
    <w:p w14:paraId="3FC6E155"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was charged with failure to report his arrest, indictment, conviction, and sentence to management. The Department did not have a written policy, rule, or regulation requiring notification in place when the assault occurred. However, on January 4, 2017, the very day that </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was arrested, the Department promulgated a written policy that became effective immediately, which required firefighters to report </w:t>
      </w:r>
      <w:r>
        <w:rPr>
          <w:rFonts w:ascii="Times New Roman" w:hAnsi="Times New Roman"/>
          <w:sz w:val="24"/>
          <w:szCs w:val="24"/>
        </w:rPr>
        <w:t>‘</w:t>
      </w:r>
      <w:r w:rsidRPr="008E3A70">
        <w:rPr>
          <w:rFonts w:ascii="Times New Roman" w:hAnsi="Times New Roman"/>
          <w:sz w:val="24"/>
          <w:szCs w:val="24"/>
        </w:rPr>
        <w:t>contact with any police agency as a victim, witness, or suspect (criminal or traffic complaints) . . . via an administrative submission . . . to their immediate supervisor upon their first day reporting back to duty.</w:t>
      </w:r>
      <w:r>
        <w:rPr>
          <w:rFonts w:ascii="Times New Roman" w:hAnsi="Times New Roman"/>
          <w:sz w:val="24"/>
          <w:szCs w:val="24"/>
        </w:rPr>
        <w:t>’</w:t>
      </w:r>
      <w:r w:rsidRPr="008E3A70">
        <w:rPr>
          <w:rFonts w:ascii="Times New Roman" w:hAnsi="Times New Roman"/>
          <w:sz w:val="24"/>
          <w:szCs w:val="24"/>
        </w:rPr>
        <w:t xml:space="preserve"> </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does not dispute that the policy was the subject of roll call training and was conspicuously </w:t>
      </w:r>
      <w:proofErr w:type="gramStart"/>
      <w:r w:rsidRPr="008E3A70">
        <w:rPr>
          <w:rFonts w:ascii="Times New Roman" w:hAnsi="Times New Roman"/>
          <w:sz w:val="24"/>
          <w:szCs w:val="24"/>
        </w:rPr>
        <w:t>posted, and</w:t>
      </w:r>
      <w:proofErr w:type="gramEnd"/>
      <w:r w:rsidRPr="008E3A70">
        <w:rPr>
          <w:rFonts w:ascii="Times New Roman" w:hAnsi="Times New Roman"/>
          <w:sz w:val="24"/>
          <w:szCs w:val="24"/>
        </w:rPr>
        <w:t xml:space="preserve"> yet claims he was unaware he had to report the incident to his superiors. The ALJ found that testimony incredible.</w:t>
      </w:r>
    </w:p>
    <w:p w14:paraId="4BBF5524"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6322910" w14:textId="77777777" w:rsidR="007E3A28" w:rsidRDefault="007E3A28" w:rsidP="007E3A28">
      <w:pPr>
        <w:spacing w:before="100" w:beforeAutospacing="1" w:after="100" w:afterAutospacing="1" w:line="240" w:lineRule="auto"/>
        <w:ind w:left="720" w:firstLine="60"/>
        <w:rPr>
          <w:rFonts w:ascii="Times New Roman" w:eastAsia="Times New Roman" w:hAnsi="Times New Roman"/>
          <w:sz w:val="24"/>
          <w:szCs w:val="24"/>
        </w:rPr>
      </w:pPr>
      <w:proofErr w:type="spellStart"/>
      <w:r w:rsidRPr="008E3A70">
        <w:rPr>
          <w:rFonts w:ascii="Times New Roman" w:eastAsia="Times New Roman" w:hAnsi="Times New Roman"/>
          <w:sz w:val="24"/>
          <w:szCs w:val="24"/>
        </w:rPr>
        <w:t>Downar</w:t>
      </w:r>
      <w:proofErr w:type="spellEnd"/>
      <w:r w:rsidRPr="008E3A70">
        <w:rPr>
          <w:rFonts w:ascii="Times New Roman" w:eastAsia="Times New Roman" w:hAnsi="Times New Roman"/>
          <w:sz w:val="24"/>
          <w:szCs w:val="24"/>
        </w:rPr>
        <w:t xml:space="preserve"> had no prior disciplinary history and received good performance reviews. He argues that removal was disproportionate to the offense, his first disciplinary infraction, and that the failure to apply progressive discipline was reversible error. We disagree. </w:t>
      </w:r>
    </w:p>
    <w:p w14:paraId="4D5DFC44" w14:textId="77777777" w:rsidR="007E3A28" w:rsidRDefault="007E3A28" w:rsidP="007E3A28">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p>
    <w:p w14:paraId="4EF479D0" w14:textId="1F741210" w:rsidR="007E3A28" w:rsidRDefault="007E3A28" w:rsidP="007E3A28">
      <w:pPr>
        <w:pStyle w:val="NoSpacing"/>
        <w:ind w:left="720"/>
        <w:rPr>
          <w:rStyle w:val="Hyperlink"/>
          <w:rFonts w:ascii="Times New Roman" w:hAnsi="Times New Roman"/>
          <w:sz w:val="24"/>
          <w:szCs w:val="24"/>
        </w:rPr>
      </w:pPr>
      <w:r w:rsidRPr="007E3A28">
        <w:rPr>
          <w:rFonts w:ascii="Times New Roman" w:hAnsi="Times New Roman"/>
          <w:sz w:val="24"/>
          <w:szCs w:val="24"/>
        </w:rPr>
        <w:t xml:space="preserve">Even though committed while </w:t>
      </w:r>
      <w:proofErr w:type="gramStart"/>
      <w:r w:rsidRPr="007E3A28">
        <w:rPr>
          <w:rFonts w:ascii="Times New Roman" w:hAnsi="Times New Roman"/>
          <w:sz w:val="24"/>
          <w:szCs w:val="24"/>
        </w:rPr>
        <w:t>off-duty</w:t>
      </w:r>
      <w:proofErr w:type="gramEnd"/>
      <w:r w:rsidRPr="007E3A28">
        <w:rPr>
          <w:rFonts w:ascii="Times New Roman" w:hAnsi="Times New Roman"/>
          <w:sz w:val="24"/>
          <w:szCs w:val="24"/>
        </w:rPr>
        <w:t xml:space="preserve">, the aggravated assault, coupled with the failure to report the incident, subsequent criminal prosecution, conviction, and sentence, and his resulting inability to perform duties during his jail term, constituted egregious misconduct. Here, the Commission's decision was supported by substantial credible evidence and was not arbitrary, capricious, or unreasonable despite the absence of prior disciplinary infractions. Removal does not shock our sense of fairness. Accordingly, we discern no basis to overturn the Commission's decision.”  </w:t>
      </w:r>
      <w:hyperlink r:id="rId2785" w:history="1">
        <w:r w:rsidRPr="007E3A28">
          <w:rPr>
            <w:rStyle w:val="Hyperlink"/>
            <w:rFonts w:ascii="Times New Roman" w:hAnsi="Times New Roman"/>
            <w:sz w:val="24"/>
            <w:szCs w:val="24"/>
          </w:rPr>
          <w:t>https://public.fastcase.com/9SKwsfNqTc6OieYDhNMyMyDFWJKG68%2FxrxDgF%2ByOzsjPpcL4jvi7QzZ2AR2rzbKPcZbDkGArV5tenVtyFKk%2FX7II2Lot3PKpssqnJQodheI%3</w:t>
        </w:r>
      </w:hyperlink>
    </w:p>
    <w:p w14:paraId="42E5B69F" w14:textId="019BBE31" w:rsidR="007E3A28" w:rsidRDefault="007E3A28" w:rsidP="007E3A28">
      <w:pPr>
        <w:pStyle w:val="NoSpacing"/>
        <w:ind w:left="720"/>
        <w:rPr>
          <w:rStyle w:val="Hyperlink"/>
          <w:rFonts w:ascii="Times New Roman" w:hAnsi="Times New Roman"/>
          <w:sz w:val="24"/>
          <w:szCs w:val="24"/>
        </w:rPr>
      </w:pPr>
    </w:p>
    <w:p w14:paraId="0962CB57" w14:textId="77777777" w:rsidR="007E3A28" w:rsidRPr="001D74E3" w:rsidRDefault="007E3A28" w:rsidP="007E3A28">
      <w:pPr>
        <w:pStyle w:val="NormalWeb"/>
        <w:rPr>
          <w:b/>
          <w:bCs/>
        </w:rPr>
      </w:pPr>
      <w:r w:rsidRPr="001D74E3">
        <w:rPr>
          <w:b/>
          <w:bCs/>
        </w:rPr>
        <w:t>Legal Lesson Learned:</w:t>
      </w:r>
      <w:r>
        <w:rPr>
          <w:b/>
          <w:bCs/>
        </w:rPr>
        <w:t xml:space="preserve"> Fire &amp; EMS Departments should adopt SOG requiring personnel to report arrests, convictions and jail sentences. </w:t>
      </w:r>
    </w:p>
    <w:p w14:paraId="2E1F7171" w14:textId="77777777" w:rsidR="007E3A28" w:rsidRPr="008E3A70" w:rsidRDefault="007E3A28" w:rsidP="007E3A2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the Civil Service Commission decision of April 15, 2020: </w:t>
      </w:r>
      <w:hyperlink r:id="rId2786" w:history="1">
        <w:r w:rsidRPr="007C6FB3">
          <w:rPr>
            <w:rStyle w:val="Hyperlink"/>
            <w:rFonts w:ascii="Times New Roman" w:eastAsia="Times New Roman" w:hAnsi="Times New Roman"/>
            <w:sz w:val="24"/>
            <w:szCs w:val="24"/>
          </w:rPr>
          <w:t>https://www.nj.gov/csc/about/meetings/decisions/pdf/2020/4-15-20/A-004%204-15-20.pdf</w:t>
        </w:r>
      </w:hyperlink>
      <w:r>
        <w:rPr>
          <w:rFonts w:ascii="Times New Roman" w:eastAsia="Times New Roman" w:hAnsi="Times New Roman"/>
          <w:sz w:val="24"/>
          <w:szCs w:val="24"/>
        </w:rPr>
        <w:t xml:space="preserve"> </w:t>
      </w:r>
    </w:p>
    <w:p w14:paraId="4EDC1BC4" w14:textId="77777777" w:rsidR="007E3A28" w:rsidRPr="007E3A28" w:rsidRDefault="007E3A28" w:rsidP="007E3A28">
      <w:pPr>
        <w:pStyle w:val="NoSpacing"/>
        <w:ind w:left="720"/>
        <w:rPr>
          <w:rFonts w:ascii="Times New Roman" w:hAnsi="Times New Roman"/>
          <w:sz w:val="24"/>
          <w:szCs w:val="24"/>
        </w:rPr>
      </w:pPr>
    </w:p>
    <w:p w14:paraId="7B6906CC" w14:textId="77777777" w:rsidR="00506EE7" w:rsidRPr="007E3A28" w:rsidRDefault="00506EE7" w:rsidP="00F326E5">
      <w:pPr>
        <w:pStyle w:val="NoSpacing"/>
        <w:rPr>
          <w:rFonts w:ascii="Times New Roman" w:hAnsi="Times New Roman"/>
          <w:sz w:val="24"/>
          <w:szCs w:val="24"/>
        </w:rPr>
      </w:pPr>
    </w:p>
    <w:p w14:paraId="445E2BD0" w14:textId="47D61824" w:rsidR="00774A91" w:rsidRDefault="00774A91" w:rsidP="00F326E5">
      <w:pPr>
        <w:pStyle w:val="NoSpacing"/>
        <w:rPr>
          <w:rFonts w:ascii="Arial Black" w:hAnsi="Arial Black"/>
          <w:sz w:val="24"/>
          <w:szCs w:val="24"/>
        </w:rPr>
      </w:pPr>
      <w:r>
        <w:rPr>
          <w:rFonts w:ascii="Arial Black" w:hAnsi="Arial Black"/>
          <w:sz w:val="24"/>
          <w:szCs w:val="24"/>
        </w:rPr>
        <w:t>16-58</w:t>
      </w:r>
    </w:p>
    <w:p w14:paraId="22D16585" w14:textId="77777777" w:rsidR="00774A91" w:rsidRPr="004C3428" w:rsidRDefault="00774A91" w:rsidP="00774A91">
      <w:pPr>
        <w:spacing w:before="100" w:beforeAutospacing="1" w:after="100" w:afterAutospacing="1" w:line="240" w:lineRule="auto"/>
        <w:rPr>
          <w:rFonts w:ascii="Arial Black" w:eastAsia="Times New Roman" w:hAnsi="Arial Black"/>
          <w:b/>
          <w:bCs/>
          <w:sz w:val="28"/>
          <w:szCs w:val="28"/>
        </w:rPr>
      </w:pPr>
      <w:r w:rsidRPr="004C3428">
        <w:rPr>
          <w:rFonts w:ascii="Arial Black" w:eastAsia="Times New Roman" w:hAnsi="Arial Black"/>
          <w:b/>
          <w:bCs/>
          <w:sz w:val="28"/>
          <w:szCs w:val="28"/>
        </w:rPr>
        <w:t xml:space="preserve">OH: </w:t>
      </w:r>
      <w:r>
        <w:rPr>
          <w:rFonts w:ascii="Arial Black" w:eastAsia="Times New Roman" w:hAnsi="Arial Black"/>
          <w:b/>
          <w:bCs/>
          <w:sz w:val="28"/>
          <w:szCs w:val="28"/>
        </w:rPr>
        <w:t>NEW HAZING LAW – AIMED AT COLLEGE FRATERITIES –BUT ALSO MESSAGE FOR ALL ABOUT RISKS OF HAZING</w:t>
      </w:r>
    </w:p>
    <w:p w14:paraId="56306A52" w14:textId="77777777" w:rsidR="00774A91" w:rsidRDefault="00774A91" w:rsidP="00774A91">
      <w:pPr>
        <w:pStyle w:val="dropcap"/>
      </w:pPr>
      <w:r w:rsidRPr="004C3428">
        <w:t xml:space="preserve">On Oct. 7, 2021, the new “Collin’s Law” came into effect; named after Collin Wiant who died after a hazing incident at Ohio University in 2018. </w:t>
      </w:r>
      <w:r>
        <w:t xml:space="preserve">  On July 6, 2021, Governor Mike DeWine signed into law “The Ohio Anti-Hazing Act’ which is a criminal statute that amends Ohio Revised Code 2903.31. </w:t>
      </w:r>
      <w:hyperlink r:id="rId2787" w:history="1">
        <w:r w:rsidRPr="00386EA0">
          <w:rPr>
            <w:rStyle w:val="Hyperlink"/>
          </w:rPr>
          <w:t>https://codes.ohio.gov/ohio-revised-code/section-2903.31</w:t>
        </w:r>
      </w:hyperlink>
      <w:r>
        <w:t xml:space="preserve"> </w:t>
      </w:r>
    </w:p>
    <w:p w14:paraId="1A6B9ED0" w14:textId="77777777" w:rsidR="00774A91" w:rsidRDefault="00774A91" w:rsidP="00774A91">
      <w:pPr>
        <w:spacing w:before="100" w:beforeAutospacing="1" w:after="100" w:afterAutospacing="1" w:line="240" w:lineRule="auto"/>
        <w:ind w:left="720"/>
        <w:rPr>
          <w:rFonts w:ascii="Times New Roman" w:hAnsi="Times New Roman"/>
          <w:sz w:val="24"/>
          <w:szCs w:val="24"/>
        </w:rPr>
      </w:pPr>
      <w:r w:rsidRPr="008C25CB">
        <w:rPr>
          <w:rFonts w:ascii="Times New Roman" w:hAnsi="Times New Roman"/>
          <w:sz w:val="24"/>
          <w:szCs w:val="24"/>
        </w:rPr>
        <w:t>See article: “Fraternity members waited to call 911 as Collin Wiant was dying.” May 17, 2021. “Collin Wiant took the small canister filled with nitrous oxide, inhaled, and within</w:t>
      </w:r>
      <w:r>
        <w:rPr>
          <w:rFonts w:ascii="Times New Roman" w:hAnsi="Times New Roman"/>
          <w:sz w:val="24"/>
          <w:szCs w:val="24"/>
        </w:rPr>
        <w:t xml:space="preserve"> </w:t>
      </w:r>
      <w:r w:rsidRPr="008C25CB">
        <w:rPr>
          <w:rFonts w:ascii="Times New Roman" w:hAnsi="Times New Roman"/>
          <w:sz w:val="24"/>
          <w:szCs w:val="24"/>
        </w:rPr>
        <w:t xml:space="preserve">seconds fell backward onto a futon. </w:t>
      </w:r>
      <w:r w:rsidRPr="004C3428">
        <w:rPr>
          <w:rFonts w:ascii="Times New Roman" w:eastAsia="Times New Roman" w:hAnsi="Times New Roman"/>
          <w:sz w:val="24"/>
          <w:szCs w:val="24"/>
        </w:rPr>
        <w:t xml:space="preserve">His face drained of </w:t>
      </w:r>
      <w:proofErr w:type="gramStart"/>
      <w:r w:rsidRPr="004C3428">
        <w:rPr>
          <w:rFonts w:ascii="Times New Roman" w:eastAsia="Times New Roman" w:hAnsi="Times New Roman"/>
          <w:sz w:val="24"/>
          <w:szCs w:val="24"/>
        </w:rPr>
        <w:t>color</w:t>
      </w:r>
      <w:proofErr w:type="gramEnd"/>
      <w:r w:rsidRPr="004C3428">
        <w:rPr>
          <w:rFonts w:ascii="Times New Roman" w:eastAsia="Times New Roman" w:hAnsi="Times New Roman"/>
          <w:sz w:val="24"/>
          <w:szCs w:val="24"/>
        </w:rPr>
        <w:t xml:space="preserve"> and he began to make noises that alarmed the three Sigma Pi fraternity brothers nearb</w:t>
      </w:r>
      <w:r w:rsidRPr="008C25CB">
        <w:rPr>
          <w:rFonts w:ascii="Times New Roman" w:hAnsi="Times New Roman"/>
          <w:sz w:val="24"/>
          <w:szCs w:val="24"/>
        </w:rPr>
        <w:t>y. *** Joshua, who bought the “</w:t>
      </w:r>
      <w:proofErr w:type="spellStart"/>
      <w:r w:rsidRPr="008C25CB">
        <w:rPr>
          <w:rFonts w:ascii="Times New Roman" w:hAnsi="Times New Roman"/>
          <w:sz w:val="24"/>
          <w:szCs w:val="24"/>
        </w:rPr>
        <w:t>whippit</w:t>
      </w:r>
      <w:proofErr w:type="spellEnd"/>
      <w:r w:rsidRPr="008C25CB">
        <w:rPr>
          <w:rFonts w:ascii="Times New Roman" w:hAnsi="Times New Roman"/>
          <w:sz w:val="24"/>
          <w:szCs w:val="24"/>
        </w:rPr>
        <w:t xml:space="preserve">” canister from which Collin had inhaled the gas, pressed down on Collin’s chest </w:t>
      </w:r>
      <w:proofErr w:type="gramStart"/>
      <w:r w:rsidRPr="008C25CB">
        <w:rPr>
          <w:rFonts w:ascii="Times New Roman" w:hAnsi="Times New Roman"/>
          <w:sz w:val="24"/>
          <w:szCs w:val="24"/>
        </w:rPr>
        <w:t>over and over</w:t>
      </w:r>
      <w:proofErr w:type="gramEnd"/>
      <w:r w:rsidRPr="008C25CB">
        <w:rPr>
          <w:rFonts w:ascii="Times New Roman" w:hAnsi="Times New Roman"/>
          <w:sz w:val="24"/>
          <w:szCs w:val="24"/>
        </w:rPr>
        <w:t xml:space="preserve">. He was breathing into Collin’s mouth every 20 seconds. </w:t>
      </w:r>
      <w:r w:rsidRPr="004C3428">
        <w:rPr>
          <w:rFonts w:ascii="Times New Roman" w:eastAsia="Times New Roman" w:hAnsi="Times New Roman"/>
          <w:sz w:val="24"/>
          <w:szCs w:val="24"/>
        </w:rPr>
        <w:t>Paramedics arrived within minutes at the unofficial, off-campus home of the Sigma Pi fraternity.</w:t>
      </w:r>
      <w:r w:rsidRPr="008C25CB">
        <w:rPr>
          <w:rFonts w:ascii="Times New Roman" w:hAnsi="Times New Roman"/>
          <w:sz w:val="24"/>
          <w:szCs w:val="24"/>
        </w:rPr>
        <w:t xml:space="preserve"> </w:t>
      </w:r>
      <w:r w:rsidRPr="004C3428">
        <w:rPr>
          <w:rFonts w:ascii="Times New Roman" w:eastAsia="Times New Roman" w:hAnsi="Times New Roman"/>
          <w:sz w:val="24"/>
          <w:szCs w:val="24"/>
        </w:rPr>
        <w:t>But it was too late to save him.</w:t>
      </w:r>
      <w:r w:rsidRPr="008C25CB">
        <w:rPr>
          <w:rFonts w:ascii="Times New Roman" w:hAnsi="Times New Roman"/>
          <w:sz w:val="24"/>
          <w:szCs w:val="24"/>
        </w:rPr>
        <w:t xml:space="preserve"> </w:t>
      </w:r>
      <w:r w:rsidRPr="004C3428">
        <w:rPr>
          <w:rFonts w:ascii="Times New Roman" w:eastAsia="Times New Roman" w:hAnsi="Times New Roman"/>
          <w:sz w:val="24"/>
          <w:szCs w:val="24"/>
        </w:rPr>
        <w:t>Collin died at an Athens hospital shortly after 3 a.m. on Nov. 12, 2018.</w:t>
      </w:r>
      <w:r w:rsidRPr="008C25CB">
        <w:rPr>
          <w:rFonts w:ascii="Times New Roman" w:hAnsi="Times New Roman"/>
          <w:sz w:val="24"/>
          <w:szCs w:val="24"/>
        </w:rPr>
        <w:t xml:space="preserve">   </w:t>
      </w:r>
      <w:hyperlink r:id="rId2788" w:history="1">
        <w:r w:rsidRPr="008C25CB">
          <w:rPr>
            <w:rStyle w:val="Hyperlink"/>
            <w:sz w:val="24"/>
            <w:szCs w:val="24"/>
          </w:rPr>
          <w:t>https://www.dispatch.com/in-depth/news/2021/05/17/broken-pledge-fraternity-hazing-collin-wiant-death-ohio-university/5071265001/</w:t>
        </w:r>
      </w:hyperlink>
    </w:p>
    <w:p w14:paraId="2DB84EEE" w14:textId="77777777" w:rsidR="00774A91" w:rsidRDefault="00774A91" w:rsidP="00774A91">
      <w:pPr>
        <w:pStyle w:val="NormalWeb"/>
        <w:rPr>
          <w:b/>
          <w:bCs/>
        </w:rPr>
      </w:pPr>
      <w:r>
        <w:rPr>
          <w:b/>
          <w:bCs/>
        </w:rPr>
        <w:t xml:space="preserve">Legal Lesson Learned: Fire &amp; EMS departments should conduct training on their state laws on hazing. </w:t>
      </w:r>
    </w:p>
    <w:p w14:paraId="12B8D13D" w14:textId="77777777" w:rsidR="00774A91" w:rsidRDefault="00774A91" w:rsidP="00774A91">
      <w:pPr>
        <w:spacing w:before="100" w:beforeAutospacing="1" w:after="100" w:afterAutospacing="1" w:line="240" w:lineRule="auto"/>
        <w:ind w:left="720"/>
        <w:rPr>
          <w:b/>
          <w:bCs/>
        </w:rPr>
      </w:pPr>
      <w:r>
        <w:rPr>
          <w:rFonts w:ascii="Times New Roman" w:eastAsia="Times New Roman" w:hAnsi="Times New Roman"/>
          <w:sz w:val="24"/>
          <w:szCs w:val="24"/>
        </w:rPr>
        <w:t>Note:  “</w:t>
      </w:r>
      <w:r w:rsidRPr="00853D1E">
        <w:rPr>
          <w:rFonts w:ascii="Times New Roman" w:eastAsia="Times New Roman" w:hAnsi="Times New Roman"/>
          <w:sz w:val="24"/>
          <w:szCs w:val="24"/>
        </w:rPr>
        <w:t xml:space="preserve">Under the new 2903.31, </w:t>
      </w:r>
      <w:r>
        <w:rPr>
          <w:rFonts w:ascii="Times New Roman" w:eastAsia="Times New Roman" w:hAnsi="Times New Roman"/>
          <w:sz w:val="24"/>
          <w:szCs w:val="24"/>
        </w:rPr>
        <w:t>‘</w:t>
      </w:r>
      <w:r w:rsidRPr="00853D1E">
        <w:rPr>
          <w:rFonts w:ascii="Times New Roman" w:eastAsia="Times New Roman" w:hAnsi="Times New Roman"/>
          <w:sz w:val="24"/>
          <w:szCs w:val="24"/>
        </w:rPr>
        <w:t>hazing</w:t>
      </w:r>
      <w:r>
        <w:rPr>
          <w:rFonts w:ascii="Times New Roman" w:eastAsia="Times New Roman" w:hAnsi="Times New Roman"/>
          <w:sz w:val="24"/>
          <w:szCs w:val="24"/>
        </w:rPr>
        <w:t>’</w:t>
      </w:r>
      <w:r w:rsidRPr="00853D1E">
        <w:rPr>
          <w:rFonts w:ascii="Times New Roman" w:eastAsia="Times New Roman" w:hAnsi="Times New Roman"/>
          <w:sz w:val="24"/>
          <w:szCs w:val="24"/>
        </w:rPr>
        <w:t xml:space="preserve"> adds the language in bold:</w:t>
      </w:r>
      <w:r>
        <w:rPr>
          <w:rFonts w:ascii="Times New Roman" w:eastAsia="Times New Roman" w:hAnsi="Times New Roman"/>
          <w:sz w:val="24"/>
          <w:szCs w:val="24"/>
        </w:rPr>
        <w:t xml:space="preserve"> </w:t>
      </w:r>
      <w:r w:rsidRPr="00853D1E">
        <w:rPr>
          <w:rFonts w:ascii="Times New Roman" w:eastAsia="Times New Roman" w:hAnsi="Times New Roman"/>
          <w:sz w:val="24"/>
          <w:szCs w:val="24"/>
        </w:rPr>
        <w:t xml:space="preserve">(1) </w:t>
      </w:r>
      <w:r>
        <w:rPr>
          <w:rFonts w:ascii="Times New Roman" w:eastAsia="Times New Roman" w:hAnsi="Times New Roman"/>
          <w:sz w:val="24"/>
          <w:szCs w:val="24"/>
        </w:rPr>
        <w:t>‘</w:t>
      </w:r>
      <w:r w:rsidRPr="00853D1E">
        <w:rPr>
          <w:rFonts w:ascii="Times New Roman" w:eastAsia="Times New Roman" w:hAnsi="Times New Roman"/>
          <w:sz w:val="24"/>
          <w:szCs w:val="24"/>
        </w:rPr>
        <w:t>Hazing</w:t>
      </w:r>
      <w:r>
        <w:rPr>
          <w:rFonts w:ascii="Times New Roman" w:eastAsia="Times New Roman" w:hAnsi="Times New Roman"/>
          <w:sz w:val="24"/>
          <w:szCs w:val="24"/>
        </w:rPr>
        <w:t>’</w:t>
      </w:r>
      <w:r w:rsidRPr="00853D1E">
        <w:rPr>
          <w:rFonts w:ascii="Times New Roman" w:eastAsia="Times New Roman" w:hAnsi="Times New Roman"/>
          <w:sz w:val="24"/>
          <w:szCs w:val="24"/>
        </w:rPr>
        <w:t xml:space="preserve"> means doing any act or coercing another, including the victim, to do any act of initiation into any student or other organization </w:t>
      </w:r>
      <w:r w:rsidRPr="00853D1E">
        <w:rPr>
          <w:rFonts w:ascii="Times New Roman" w:eastAsia="Times New Roman" w:hAnsi="Times New Roman"/>
          <w:b/>
          <w:bCs/>
          <w:sz w:val="24"/>
          <w:szCs w:val="24"/>
        </w:rPr>
        <w:t>or any act to continue or reinstate membership in or affiliation with any student or other organization</w:t>
      </w:r>
      <w:r w:rsidRPr="00853D1E">
        <w:rPr>
          <w:rFonts w:ascii="Times New Roman" w:eastAsia="Times New Roman" w:hAnsi="Times New Roman"/>
          <w:sz w:val="24"/>
          <w:szCs w:val="24"/>
        </w:rPr>
        <w:t xml:space="preserve"> that causes or creates a substantial risk of causing mental or physical harm to any person, </w:t>
      </w:r>
      <w:r w:rsidRPr="00853D1E">
        <w:rPr>
          <w:rFonts w:ascii="Times New Roman" w:eastAsia="Times New Roman" w:hAnsi="Times New Roman"/>
          <w:b/>
          <w:bCs/>
          <w:sz w:val="24"/>
          <w:szCs w:val="24"/>
        </w:rPr>
        <w:t>including coercing another to consume alcohol or a drug of abuse, as defined in section 3719.011 of the Revised Code.</w:t>
      </w:r>
      <w:r>
        <w:rPr>
          <w:rFonts w:ascii="Times New Roman" w:eastAsia="Times New Roman" w:hAnsi="Times New Roman"/>
          <w:b/>
          <w:bCs/>
          <w:sz w:val="24"/>
          <w:szCs w:val="24"/>
        </w:rPr>
        <w:t xml:space="preserve">” </w:t>
      </w:r>
      <w:hyperlink r:id="rId2789" w:history="1">
        <w:r w:rsidRPr="00386EA0">
          <w:rPr>
            <w:rStyle w:val="Hyperlink"/>
            <w:sz w:val="24"/>
            <w:szCs w:val="24"/>
          </w:rPr>
          <w:t>https://www.rittgers.com/blog/2021/07/what-does-ohios-new-anti-hazing-law-mean/</w:t>
        </w:r>
      </w:hyperlink>
    </w:p>
    <w:p w14:paraId="1B3E152C" w14:textId="77777777" w:rsidR="00774A91" w:rsidRDefault="00774A91" w:rsidP="00F326E5">
      <w:pPr>
        <w:pStyle w:val="NoSpacing"/>
        <w:rPr>
          <w:rFonts w:ascii="Arial Black" w:hAnsi="Arial Black"/>
          <w:sz w:val="24"/>
          <w:szCs w:val="24"/>
        </w:rPr>
      </w:pPr>
    </w:p>
    <w:p w14:paraId="4B22399E" w14:textId="77777777" w:rsidR="00774A91" w:rsidRDefault="00774A91" w:rsidP="00F326E5">
      <w:pPr>
        <w:pStyle w:val="NoSpacing"/>
        <w:rPr>
          <w:rFonts w:ascii="Arial Black" w:hAnsi="Arial Black"/>
          <w:sz w:val="24"/>
          <w:szCs w:val="24"/>
        </w:rPr>
      </w:pPr>
    </w:p>
    <w:p w14:paraId="23E06B06" w14:textId="6BC3A1C7" w:rsidR="00BD1702" w:rsidRDefault="00BD1702" w:rsidP="00F326E5">
      <w:pPr>
        <w:pStyle w:val="NoSpacing"/>
        <w:rPr>
          <w:rFonts w:ascii="Arial Black" w:hAnsi="Arial Black"/>
          <w:sz w:val="24"/>
          <w:szCs w:val="24"/>
        </w:rPr>
      </w:pPr>
      <w:r>
        <w:rPr>
          <w:rFonts w:ascii="Arial Black" w:hAnsi="Arial Black"/>
          <w:sz w:val="24"/>
          <w:szCs w:val="24"/>
        </w:rPr>
        <w:t>16-57</w:t>
      </w:r>
    </w:p>
    <w:p w14:paraId="30FBF292" w14:textId="77777777" w:rsidR="00BD1702" w:rsidRDefault="00BD1702" w:rsidP="00BD1702">
      <w:pPr>
        <w:spacing w:before="100" w:beforeAutospacing="1" w:after="100" w:afterAutospacing="1" w:line="240" w:lineRule="auto"/>
        <w:ind w:left="90"/>
        <w:jc w:val="both"/>
        <w:rPr>
          <w:rFonts w:ascii="Arial Black" w:hAnsi="Arial Black"/>
          <w:sz w:val="28"/>
          <w:szCs w:val="28"/>
        </w:rPr>
      </w:pPr>
      <w:r>
        <w:rPr>
          <w:rFonts w:ascii="Arial Black" w:hAnsi="Arial Black"/>
          <w:sz w:val="28"/>
          <w:szCs w:val="28"/>
        </w:rPr>
        <w:t>VA: FF FIRED AFTER ARREST D.C. – RALLY AGAINST TRUMP – FIRE CHIEF DIDN’T HOLD PRE-TERMINATION HEARING</w:t>
      </w:r>
    </w:p>
    <w:p w14:paraId="4C95A45A" w14:textId="77777777" w:rsidR="00BD1702" w:rsidRDefault="00BD1702" w:rsidP="00BD1702">
      <w:pPr>
        <w:spacing w:before="100" w:beforeAutospacing="1" w:after="100" w:afterAutospacing="1" w:line="240" w:lineRule="auto"/>
        <w:ind w:left="90" w:hanging="90"/>
        <w:rPr>
          <w:rFonts w:ascii="Times New Roman" w:hAnsi="Times New Roman"/>
          <w:sz w:val="24"/>
          <w:szCs w:val="24"/>
        </w:rPr>
      </w:pPr>
      <w:r>
        <w:rPr>
          <w:rFonts w:ascii="Times New Roman" w:hAnsi="Times New Roman"/>
          <w:sz w:val="24"/>
          <w:szCs w:val="24"/>
        </w:rPr>
        <w:t xml:space="preserve">On Sept. 30, 2021, in </w:t>
      </w:r>
      <w:r>
        <w:rPr>
          <w:rFonts w:ascii="Times New Roman" w:hAnsi="Times New Roman"/>
          <w:sz w:val="24"/>
          <w:szCs w:val="24"/>
          <w:u w:val="single"/>
        </w:rPr>
        <w:t xml:space="preserve">Rosa </w:t>
      </w:r>
      <w:proofErr w:type="spellStart"/>
      <w:r>
        <w:rPr>
          <w:rFonts w:ascii="Times New Roman" w:hAnsi="Times New Roman"/>
          <w:sz w:val="24"/>
          <w:szCs w:val="24"/>
          <w:u w:val="single"/>
        </w:rPr>
        <w:t>Roncales</w:t>
      </w:r>
      <w:proofErr w:type="spellEnd"/>
      <w:r>
        <w:rPr>
          <w:rFonts w:ascii="Times New Roman" w:hAnsi="Times New Roman"/>
          <w:sz w:val="24"/>
          <w:szCs w:val="24"/>
          <w:u w:val="single"/>
        </w:rPr>
        <w:t xml:space="preserve"> v. Anthony McDowell, et al</w:t>
      </w:r>
      <w:r>
        <w:rPr>
          <w:rFonts w:ascii="Times New Roman" w:hAnsi="Times New Roman"/>
          <w:sz w:val="24"/>
          <w:szCs w:val="24"/>
        </w:rPr>
        <w:t xml:space="preserve">., United States District Court Judge </w:t>
      </w:r>
      <w:proofErr w:type="spellStart"/>
      <w:r>
        <w:rPr>
          <w:rFonts w:ascii="Times New Roman" w:hAnsi="Times New Roman"/>
          <w:sz w:val="24"/>
          <w:szCs w:val="24"/>
        </w:rPr>
        <w:t>Harnah</w:t>
      </w:r>
      <w:proofErr w:type="spellEnd"/>
      <w:r>
        <w:rPr>
          <w:rFonts w:ascii="Times New Roman" w:hAnsi="Times New Roman"/>
          <w:sz w:val="24"/>
          <w:szCs w:val="24"/>
        </w:rPr>
        <w:t xml:space="preserve"> Lauck, Eastern District of Virginia, denied the Fire Chief’s motion for summary judgment; while he met with her on day of her termination, he didn’t offer her a pre-termination hearing.  After her arrest, she was interviewed by County of Henrico Division of Fire officers on three occasions, who after talking with a D.C. Police detective, asked her whether she had a gas mask in her </w:t>
      </w:r>
      <w:proofErr w:type="gramStart"/>
      <w:r>
        <w:rPr>
          <w:rFonts w:ascii="Times New Roman" w:hAnsi="Times New Roman"/>
          <w:sz w:val="24"/>
          <w:szCs w:val="24"/>
        </w:rPr>
        <w:t>back pack</w:t>
      </w:r>
      <w:proofErr w:type="gramEnd"/>
      <w:r>
        <w:rPr>
          <w:rFonts w:ascii="Times New Roman" w:hAnsi="Times New Roman"/>
          <w:sz w:val="24"/>
          <w:szCs w:val="24"/>
        </w:rPr>
        <w:t xml:space="preserve">, and whether she covered up the </w:t>
      </w:r>
      <w:proofErr w:type="gramStart"/>
      <w:r>
        <w:rPr>
          <w:rFonts w:ascii="Times New Roman" w:hAnsi="Times New Roman"/>
          <w:sz w:val="24"/>
          <w:szCs w:val="24"/>
        </w:rPr>
        <w:t>back pack</w:t>
      </w:r>
      <w:proofErr w:type="gramEnd"/>
      <w:r>
        <w:rPr>
          <w:rFonts w:ascii="Times New Roman" w:hAnsi="Times New Roman"/>
          <w:sz w:val="24"/>
          <w:szCs w:val="24"/>
        </w:rPr>
        <w:t xml:space="preserve"> labels with black tape to avoid identification.  </w:t>
      </w:r>
    </w:p>
    <w:p w14:paraId="23CEFE51" w14:textId="77777777" w:rsidR="00BD1702" w:rsidRDefault="00BD1702" w:rsidP="00BD1702">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parties do not contest that Fire Chief McDowell failed to provide </w:t>
      </w:r>
      <w:proofErr w:type="spellStart"/>
      <w:r>
        <w:rPr>
          <w:rFonts w:ascii="Times New Roman" w:hAnsi="Times New Roman"/>
          <w:sz w:val="24"/>
          <w:szCs w:val="24"/>
        </w:rPr>
        <w:t>Roncales</w:t>
      </w:r>
      <w:proofErr w:type="spellEnd"/>
      <w:r>
        <w:rPr>
          <w:rFonts w:ascii="Times New Roman" w:hAnsi="Times New Roman"/>
          <w:sz w:val="24"/>
          <w:szCs w:val="24"/>
        </w:rPr>
        <w:t xml:space="preserve"> with a pre-termination hearing. And because </w:t>
      </w:r>
      <w:proofErr w:type="spellStart"/>
      <w:r>
        <w:rPr>
          <w:rFonts w:ascii="Times New Roman" w:hAnsi="Times New Roman"/>
          <w:sz w:val="24"/>
          <w:szCs w:val="24"/>
        </w:rPr>
        <w:t>Roncales</w:t>
      </w:r>
      <w:proofErr w:type="spellEnd"/>
      <w:r>
        <w:rPr>
          <w:rFonts w:ascii="Times New Roman" w:hAnsi="Times New Roman"/>
          <w:sz w:val="24"/>
          <w:szCs w:val="24"/>
        </w:rPr>
        <w:t xml:space="preserve"> presents evidence sufficient for a jury to reasonably find that Fire Chief McDowell's statements [in termination letter and memo to County Manager about her lack of honesty] deprived her of a liberty interest, any such deprivation therefore occurred ‘without due process of law….’ Because </w:t>
      </w:r>
      <w:proofErr w:type="spellStart"/>
      <w:r>
        <w:rPr>
          <w:rFonts w:ascii="Times New Roman" w:hAnsi="Times New Roman"/>
          <w:sz w:val="24"/>
          <w:szCs w:val="24"/>
        </w:rPr>
        <w:t>Roncales's</w:t>
      </w:r>
      <w:proofErr w:type="spellEnd"/>
      <w:r>
        <w:rPr>
          <w:rFonts w:ascii="Times New Roman" w:hAnsi="Times New Roman"/>
          <w:sz w:val="24"/>
          <w:szCs w:val="24"/>
        </w:rPr>
        <w:t xml:space="preserve"> right to a pre-termination hearing was clearly established at the time of his actions, Fire Chief McDowell is not entitled to qualified immunity on </w:t>
      </w:r>
      <w:proofErr w:type="spellStart"/>
      <w:r>
        <w:rPr>
          <w:rFonts w:ascii="Times New Roman" w:hAnsi="Times New Roman"/>
          <w:sz w:val="24"/>
          <w:szCs w:val="24"/>
        </w:rPr>
        <w:t>Roncales's</w:t>
      </w:r>
      <w:proofErr w:type="spellEnd"/>
      <w:r>
        <w:rPr>
          <w:rFonts w:ascii="Times New Roman" w:hAnsi="Times New Roman"/>
          <w:sz w:val="24"/>
          <w:szCs w:val="24"/>
        </w:rPr>
        <w:t xml:space="preserve"> due process claim.” </w:t>
      </w:r>
      <w:hyperlink r:id="rId2790" w:history="1">
        <w:r>
          <w:rPr>
            <w:rStyle w:val="Hyperlink"/>
            <w:sz w:val="24"/>
            <w:szCs w:val="24"/>
          </w:rPr>
          <w:t>https://www.leagle.com/decision/infdco20211006817</w:t>
        </w:r>
      </w:hyperlink>
      <w:r>
        <w:rPr>
          <w:rFonts w:ascii="Times New Roman" w:hAnsi="Times New Roman"/>
          <w:sz w:val="24"/>
          <w:szCs w:val="24"/>
        </w:rPr>
        <w:t xml:space="preserve">  </w:t>
      </w:r>
    </w:p>
    <w:p w14:paraId="53BAB123" w14:textId="77777777" w:rsidR="00BD1702" w:rsidRDefault="00BD1702" w:rsidP="00BD1702">
      <w:pPr>
        <w:spacing w:before="100" w:beforeAutospacing="1" w:after="100" w:afterAutospacing="1" w:line="240" w:lineRule="auto"/>
        <w:jc w:val="both"/>
        <w:rPr>
          <w:rFonts w:ascii="Times New Roman" w:hAnsi="Times New Roman"/>
          <w:b/>
          <w:bCs/>
          <w:sz w:val="24"/>
          <w:szCs w:val="24"/>
        </w:rPr>
      </w:pPr>
      <w:r>
        <w:rPr>
          <w:rFonts w:ascii="Times New Roman" w:hAnsi="Times New Roman"/>
          <w:b/>
          <w:bCs/>
          <w:sz w:val="24"/>
          <w:szCs w:val="24"/>
        </w:rPr>
        <w:t xml:space="preserve">Legal Lesson Learned:  Provide a pre-termination hearing, record the session so there is recorded evidence of any admissions. </w:t>
      </w:r>
    </w:p>
    <w:p w14:paraId="24C00E08" w14:textId="3C2A6867" w:rsidR="00BD1702" w:rsidRDefault="00BD1702" w:rsidP="00BD1702">
      <w:pPr>
        <w:pStyle w:val="NoSpacing"/>
        <w:rPr>
          <w:rFonts w:ascii="Arial Black" w:hAnsi="Arial Black"/>
          <w:sz w:val="24"/>
          <w:szCs w:val="24"/>
        </w:rPr>
      </w:pPr>
      <w:r>
        <w:rPr>
          <w:rFonts w:ascii="Times New Roman" w:eastAsia="Times New Roman" w:hAnsi="Times New Roman"/>
          <w:sz w:val="24"/>
          <w:szCs w:val="24"/>
        </w:rPr>
        <w:t>Note:  See TV video on two fires that occurred on Jan. 26, 2020. “</w:t>
      </w:r>
      <w:r>
        <w:rPr>
          <w:rFonts w:ascii="Times New Roman" w:hAnsi="Times New Roman"/>
          <w:sz w:val="24"/>
          <w:szCs w:val="24"/>
        </w:rPr>
        <w:t xml:space="preserve">59-year-old woman loses life after house goes up in flames on Cleveland’s West Side, 3 adults and 4 children safely out.” </w:t>
      </w:r>
      <w:hyperlink r:id="rId2791" w:history="1">
        <w:r>
          <w:rPr>
            <w:rStyle w:val="Hyperlink"/>
            <w:sz w:val="24"/>
            <w:szCs w:val="24"/>
          </w:rPr>
          <w:t>https://www.cleveland19.com/2020/01/26/year-old-woman-loses-life-after-house-goes-up-flames-clevelands-west-side-adults-children-safely-out/</w:t>
        </w:r>
      </w:hyperlink>
    </w:p>
    <w:p w14:paraId="3B58B0AB" w14:textId="77777777" w:rsidR="00BD1702" w:rsidRDefault="00BD1702" w:rsidP="00F326E5">
      <w:pPr>
        <w:pStyle w:val="NoSpacing"/>
        <w:rPr>
          <w:rFonts w:ascii="Arial Black" w:hAnsi="Arial Black"/>
          <w:sz w:val="24"/>
          <w:szCs w:val="24"/>
        </w:rPr>
      </w:pPr>
    </w:p>
    <w:p w14:paraId="117FEADC" w14:textId="77777777" w:rsidR="00BD1702" w:rsidRDefault="00BD1702" w:rsidP="00F326E5">
      <w:pPr>
        <w:pStyle w:val="NoSpacing"/>
        <w:rPr>
          <w:rFonts w:ascii="Arial Black" w:hAnsi="Arial Black"/>
          <w:sz w:val="24"/>
          <w:szCs w:val="24"/>
        </w:rPr>
      </w:pPr>
    </w:p>
    <w:p w14:paraId="6D05210E" w14:textId="547E6F47" w:rsidR="002F610D" w:rsidRDefault="002F610D" w:rsidP="00F326E5">
      <w:pPr>
        <w:pStyle w:val="NoSpacing"/>
        <w:rPr>
          <w:rFonts w:ascii="Arial Black" w:hAnsi="Arial Black"/>
          <w:sz w:val="24"/>
          <w:szCs w:val="24"/>
        </w:rPr>
      </w:pPr>
      <w:r>
        <w:rPr>
          <w:rFonts w:ascii="Arial Black" w:hAnsi="Arial Black"/>
          <w:sz w:val="24"/>
          <w:szCs w:val="24"/>
        </w:rPr>
        <w:t>16-56</w:t>
      </w:r>
    </w:p>
    <w:p w14:paraId="660FDC1A" w14:textId="77777777" w:rsidR="002F610D" w:rsidRPr="00C30127" w:rsidRDefault="002F610D" w:rsidP="002F610D">
      <w:pPr>
        <w:pStyle w:val="Heading1"/>
        <w:rPr>
          <w:rFonts w:ascii="Arial Black" w:hAnsi="Arial Black"/>
          <w:b w:val="0"/>
          <w:bCs w:val="0"/>
          <w:sz w:val="28"/>
          <w:szCs w:val="28"/>
        </w:rPr>
      </w:pPr>
      <w:bookmarkStart w:id="593" w:name="_Hlk81842686"/>
      <w:r w:rsidRPr="00C30127">
        <w:rPr>
          <w:rFonts w:ascii="Arial Black" w:hAnsi="Arial Black"/>
          <w:b w:val="0"/>
          <w:bCs w:val="0"/>
          <w:sz w:val="28"/>
          <w:szCs w:val="28"/>
        </w:rPr>
        <w:t xml:space="preserve">TX: </w:t>
      </w:r>
      <w:r>
        <w:rPr>
          <w:rFonts w:ascii="Arial Black" w:hAnsi="Arial Black"/>
          <w:b w:val="0"/>
          <w:bCs w:val="0"/>
          <w:sz w:val="28"/>
          <w:szCs w:val="28"/>
        </w:rPr>
        <w:t>FF LAWSUIT DISMISSED - FIRED FOR NOT DISCLOSING HE WAS FIRED 10-YEARS EARLIER ANOTHER FD - THEFT</w:t>
      </w:r>
    </w:p>
    <w:bookmarkEnd w:id="593"/>
    <w:p w14:paraId="097BCECE" w14:textId="77777777" w:rsidR="002F610D" w:rsidRDefault="002F610D" w:rsidP="002F610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26, 2021, in </w:t>
      </w:r>
      <w:r w:rsidRPr="00C30127">
        <w:rPr>
          <w:rFonts w:ascii="Times New Roman" w:eastAsia="Times New Roman" w:hAnsi="Times New Roman"/>
          <w:sz w:val="24"/>
          <w:szCs w:val="24"/>
          <w:u w:val="single"/>
        </w:rPr>
        <w:t>Brandon Lewis v. Fire Chief Larry DiCamillo, Stafford Fire Marshal’s Office and City of Stafford</w:t>
      </w:r>
      <w:r>
        <w:rPr>
          <w:rFonts w:ascii="Times New Roman" w:eastAsia="Times New Roman" w:hAnsi="Times New Roman"/>
          <w:sz w:val="24"/>
          <w:szCs w:val="24"/>
        </w:rPr>
        <w:t>, the Court of Appeals of Texas, First District, held (3 to 0) that trial court properly dismissed the lawsuit.</w:t>
      </w:r>
    </w:p>
    <w:p w14:paraId="6DB963E3" w14:textId="77777777" w:rsidR="002F610D" w:rsidRDefault="002F610D" w:rsidP="002F610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96AAC">
        <w:rPr>
          <w:rFonts w:ascii="Times New Roman" w:hAnsi="Times New Roman"/>
          <w:sz w:val="24"/>
          <w:szCs w:val="24"/>
        </w:rPr>
        <w:t xml:space="preserve">On September 4, 2018, Lewis was terminated from his position as an Inspector/Investigator with the Stafford Fire Department. About two weeks before, on August 22nd, Chief Di Camillo received information from Peter E. Alvarado, the Emergency Management Coordinator for the Stafford Fire Marshal's Office, about Lewis's prior employment with the Missouri City Fire Department. Alvarado had been informed by the Missouri City Fire Marshal's Office ("MCFMO") that Lewis was not allowed to conduct business or aid in investigations in Missouri City because Lewis, previously an intern with the MCFMO, was fired from the Missouri City Fire Department after being accused of stealing a book. Alvarado reviewed Lewis's employment files and found that Lewis did not list his previous work for the Missouri City Fire Department on his applications, his personal history statement, or his resume. Alvarado provided this information to Chief </w:t>
      </w:r>
      <w:proofErr w:type="gramStart"/>
      <w:r w:rsidRPr="00796AAC">
        <w:rPr>
          <w:rFonts w:ascii="Times New Roman" w:hAnsi="Times New Roman"/>
          <w:sz w:val="24"/>
          <w:szCs w:val="24"/>
        </w:rPr>
        <w:t>Di</w:t>
      </w:r>
      <w:proofErr w:type="gramEnd"/>
      <w:r w:rsidRPr="00796AAC">
        <w:rPr>
          <w:rFonts w:ascii="Times New Roman" w:hAnsi="Times New Roman"/>
          <w:sz w:val="24"/>
          <w:szCs w:val="24"/>
        </w:rPr>
        <w:t xml:space="preserve"> Camillo in a signed, written memorandum (the </w:t>
      </w:r>
      <w:r>
        <w:rPr>
          <w:rFonts w:ascii="Times New Roman" w:hAnsi="Times New Roman"/>
          <w:sz w:val="24"/>
          <w:szCs w:val="24"/>
        </w:rPr>
        <w:t>‘</w:t>
      </w:r>
      <w:r w:rsidRPr="00796AAC">
        <w:rPr>
          <w:rFonts w:ascii="Times New Roman" w:hAnsi="Times New Roman"/>
          <w:sz w:val="24"/>
          <w:szCs w:val="24"/>
        </w:rPr>
        <w:t>August 22nd Memorandum</w:t>
      </w:r>
      <w:r>
        <w:rPr>
          <w:rFonts w:ascii="Times New Roman" w:hAnsi="Times New Roman"/>
          <w:sz w:val="24"/>
          <w:szCs w:val="24"/>
        </w:rPr>
        <w:t>’</w:t>
      </w:r>
      <w:r w:rsidRPr="00796AAC">
        <w:rPr>
          <w:rFonts w:ascii="Times New Roman" w:hAnsi="Times New Roman"/>
          <w:sz w:val="24"/>
          <w:szCs w:val="24"/>
        </w:rPr>
        <w:t>).</w:t>
      </w:r>
      <w:r>
        <w:rPr>
          <w:rFonts w:ascii="Times New Roman" w:hAnsi="Times New Roman"/>
          <w:sz w:val="24"/>
          <w:szCs w:val="24"/>
        </w:rPr>
        <w:t xml:space="preserve"> </w:t>
      </w:r>
    </w:p>
    <w:p w14:paraId="7C39FE5C" w14:textId="77777777" w:rsidR="002F610D" w:rsidRDefault="002F610D" w:rsidP="002F610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57E01C36" w14:textId="77777777" w:rsidR="002F610D" w:rsidRPr="00796AAC" w:rsidRDefault="002F610D" w:rsidP="002F610D">
      <w:pPr>
        <w:spacing w:before="100" w:beforeAutospacing="1" w:after="100" w:afterAutospacing="1" w:line="240" w:lineRule="auto"/>
        <w:ind w:left="720"/>
        <w:rPr>
          <w:rFonts w:ascii="Times New Roman" w:eastAsia="Times New Roman" w:hAnsi="Times New Roman"/>
          <w:sz w:val="24"/>
          <w:szCs w:val="24"/>
        </w:rPr>
      </w:pPr>
      <w:r w:rsidRPr="00796AAC">
        <w:rPr>
          <w:rFonts w:ascii="Times New Roman" w:hAnsi="Times New Roman"/>
          <w:sz w:val="24"/>
          <w:szCs w:val="24"/>
        </w:rPr>
        <w:t xml:space="preserve">The </w:t>
      </w:r>
      <w:r>
        <w:rPr>
          <w:rFonts w:ascii="Times New Roman" w:hAnsi="Times New Roman"/>
          <w:sz w:val="24"/>
          <w:szCs w:val="24"/>
        </w:rPr>
        <w:t>‘</w:t>
      </w:r>
      <w:r w:rsidRPr="00796AAC">
        <w:rPr>
          <w:rFonts w:ascii="Times New Roman" w:hAnsi="Times New Roman"/>
          <w:sz w:val="24"/>
          <w:szCs w:val="24"/>
        </w:rPr>
        <w:t xml:space="preserve">overarching statutory </w:t>
      </w:r>
      <w:proofErr w:type="gramStart"/>
      <w:r w:rsidRPr="00796AAC">
        <w:rPr>
          <w:rFonts w:ascii="Times New Roman" w:hAnsi="Times New Roman"/>
          <w:sz w:val="24"/>
          <w:szCs w:val="24"/>
        </w:rPr>
        <w:t>purposes</w:t>
      </w:r>
      <w:r>
        <w:rPr>
          <w:rFonts w:ascii="Times New Roman" w:hAnsi="Times New Roman"/>
          <w:sz w:val="24"/>
          <w:szCs w:val="24"/>
        </w:rPr>
        <w:t>’</w:t>
      </w:r>
      <w:proofErr w:type="gramEnd"/>
      <w:r>
        <w:rPr>
          <w:rFonts w:ascii="Times New Roman" w:hAnsi="Times New Roman"/>
          <w:sz w:val="24"/>
          <w:szCs w:val="24"/>
        </w:rPr>
        <w:t xml:space="preserve"> </w:t>
      </w:r>
      <w:r w:rsidRPr="00796AAC">
        <w:rPr>
          <w:rFonts w:ascii="Times New Roman" w:hAnsi="Times New Roman"/>
          <w:sz w:val="24"/>
          <w:szCs w:val="24"/>
        </w:rPr>
        <w:t xml:space="preserve">of Chapter 614's </w:t>
      </w:r>
      <w:proofErr w:type="gramStart"/>
      <w:r w:rsidRPr="00796AAC">
        <w:rPr>
          <w:rFonts w:ascii="Times New Roman" w:hAnsi="Times New Roman"/>
          <w:sz w:val="24"/>
          <w:szCs w:val="24"/>
        </w:rPr>
        <w:t xml:space="preserve">requirements </w:t>
      </w:r>
      <w:r>
        <w:rPr>
          <w:rFonts w:ascii="Times New Roman" w:hAnsi="Times New Roman"/>
          <w:sz w:val="24"/>
          <w:szCs w:val="24"/>
        </w:rPr>
        <w:t>[signed complaint]</w:t>
      </w:r>
      <w:proofErr w:type="gramEnd"/>
      <w:r>
        <w:rPr>
          <w:rFonts w:ascii="Times New Roman" w:hAnsi="Times New Roman"/>
          <w:sz w:val="24"/>
          <w:szCs w:val="24"/>
        </w:rPr>
        <w:t xml:space="preserve"> </w:t>
      </w:r>
      <w:r w:rsidRPr="00796AAC">
        <w:rPr>
          <w:rFonts w:ascii="Times New Roman" w:hAnsi="Times New Roman"/>
          <w:sz w:val="24"/>
          <w:szCs w:val="24"/>
        </w:rPr>
        <w:t xml:space="preserve">are to (1) reduce the risk that adverse employment actions will be based on unsubstantiated complaints, and (2) ensure the affected employee receives sufficient information to enable him to defend against the allegations. </w:t>
      </w:r>
      <w:r w:rsidRPr="00796AAC">
        <w:rPr>
          <w:rStyle w:val="Emphasis"/>
          <w:rFonts w:ascii="Times New Roman" w:hAnsi="Times New Roman"/>
          <w:sz w:val="24"/>
          <w:szCs w:val="24"/>
        </w:rPr>
        <w:t>Id.</w:t>
      </w:r>
      <w:r w:rsidRPr="00796AAC">
        <w:rPr>
          <w:rFonts w:ascii="Times New Roman" w:hAnsi="Times New Roman"/>
          <w:sz w:val="24"/>
          <w:szCs w:val="24"/>
        </w:rPr>
        <w:t xml:space="preserve"> Lewis was provided detailed information in both the August 22nd Memorandum and the Complaint Notification to allow him to investigate the allegations against him related to his failure to disclose his prior employment on his City of Stafford applications. He was also afforded ample opportunity to defend himself against these allegations during the appeal process</w:t>
      </w:r>
      <w:r>
        <w:rPr>
          <w:rFonts w:ascii="Times New Roman" w:hAnsi="Times New Roman"/>
          <w:sz w:val="24"/>
          <w:szCs w:val="24"/>
        </w:rPr>
        <w:t>.”</w:t>
      </w:r>
      <w:r w:rsidRPr="00796AAC">
        <w:rPr>
          <w:rFonts w:ascii="Times New Roman" w:eastAsia="Times New Roman" w:hAnsi="Times New Roman"/>
          <w:sz w:val="24"/>
          <w:szCs w:val="24"/>
        </w:rPr>
        <w:t xml:space="preserve"> </w:t>
      </w:r>
      <w:hyperlink r:id="rId2792" w:history="1">
        <w:r w:rsidRPr="007D2E44">
          <w:rPr>
            <w:rStyle w:val="Hyperlink"/>
            <w:sz w:val="24"/>
            <w:szCs w:val="24"/>
          </w:rPr>
          <w:t>https://public.fastcase.com/9SKwsfNqTc6OieYDhNMyM4E5bpqRXbc1vzIOBkY5d575kmIDNjPft14UGJ0ygjci</w:t>
        </w:r>
      </w:hyperlink>
      <w:r>
        <w:rPr>
          <w:rFonts w:ascii="Times New Roman" w:eastAsia="Times New Roman" w:hAnsi="Times New Roman"/>
          <w:sz w:val="24"/>
          <w:szCs w:val="24"/>
        </w:rPr>
        <w:t xml:space="preserve"> </w:t>
      </w:r>
    </w:p>
    <w:p w14:paraId="177A6F05" w14:textId="77777777" w:rsidR="002F610D" w:rsidRPr="006B6F95" w:rsidRDefault="002F610D" w:rsidP="002F610D">
      <w:pPr>
        <w:pStyle w:val="NormalWeb"/>
        <w:rPr>
          <w:b/>
          <w:bCs/>
        </w:rPr>
      </w:pPr>
      <w:r w:rsidRPr="006B6F95">
        <w:rPr>
          <w:b/>
          <w:bCs/>
        </w:rPr>
        <w:t xml:space="preserve">Legal Lesson Learned: </w:t>
      </w:r>
      <w:r>
        <w:rPr>
          <w:b/>
          <w:bCs/>
        </w:rPr>
        <w:t xml:space="preserve"> Fire service applicants must honestly complete application form, including disclosure of prior Fire Department or other employer terminations.  </w:t>
      </w:r>
      <w:proofErr w:type="gramStart"/>
      <w:r>
        <w:rPr>
          <w:b/>
          <w:bCs/>
        </w:rPr>
        <w:t>A best</w:t>
      </w:r>
      <w:proofErr w:type="gramEnd"/>
      <w:r>
        <w:rPr>
          <w:b/>
          <w:bCs/>
        </w:rPr>
        <w:t xml:space="preserve"> practice also includes asking applicants to authorize prior employers in writing to disclose their employment and disciplinary records. </w:t>
      </w:r>
    </w:p>
    <w:p w14:paraId="60EFB79B" w14:textId="77777777" w:rsidR="002F610D" w:rsidRDefault="002F610D" w:rsidP="00F326E5">
      <w:pPr>
        <w:pStyle w:val="NoSpacing"/>
        <w:rPr>
          <w:rFonts w:ascii="Arial Black" w:hAnsi="Arial Black"/>
          <w:sz w:val="24"/>
          <w:szCs w:val="24"/>
        </w:rPr>
      </w:pPr>
    </w:p>
    <w:p w14:paraId="2EF2E387" w14:textId="77777777" w:rsidR="002F610D" w:rsidRDefault="002F610D" w:rsidP="00F326E5">
      <w:pPr>
        <w:pStyle w:val="NoSpacing"/>
        <w:rPr>
          <w:rFonts w:ascii="Arial Black" w:hAnsi="Arial Black"/>
          <w:sz w:val="24"/>
          <w:szCs w:val="24"/>
        </w:rPr>
      </w:pPr>
    </w:p>
    <w:p w14:paraId="1D4608CE" w14:textId="78D21815" w:rsidR="002F610D" w:rsidRDefault="002F610D" w:rsidP="00F326E5">
      <w:pPr>
        <w:pStyle w:val="NoSpacing"/>
        <w:rPr>
          <w:rFonts w:ascii="Arial Black" w:hAnsi="Arial Black"/>
          <w:sz w:val="24"/>
          <w:szCs w:val="24"/>
        </w:rPr>
      </w:pPr>
      <w:r>
        <w:rPr>
          <w:rFonts w:ascii="Arial Black" w:hAnsi="Arial Black"/>
          <w:sz w:val="24"/>
          <w:szCs w:val="24"/>
        </w:rPr>
        <w:t>16-55</w:t>
      </w:r>
    </w:p>
    <w:p w14:paraId="151745A5" w14:textId="38D77EA5" w:rsidR="002F610D" w:rsidRDefault="002F610D" w:rsidP="00F326E5">
      <w:pPr>
        <w:pStyle w:val="NoSpacing"/>
        <w:rPr>
          <w:rFonts w:ascii="Arial Black" w:hAnsi="Arial Black"/>
          <w:sz w:val="24"/>
          <w:szCs w:val="24"/>
        </w:rPr>
      </w:pPr>
    </w:p>
    <w:p w14:paraId="43040B8F" w14:textId="77777777" w:rsidR="002F610D" w:rsidRDefault="002F610D" w:rsidP="002F610D">
      <w:pPr>
        <w:rPr>
          <w:rFonts w:ascii="Arial Black" w:hAnsi="Arial Black"/>
          <w:sz w:val="28"/>
          <w:szCs w:val="28"/>
        </w:rPr>
      </w:pPr>
      <w:bookmarkStart w:id="594" w:name="_Hlk81842740"/>
      <w:r>
        <w:rPr>
          <w:rFonts w:ascii="Arial Black" w:hAnsi="Arial Black"/>
          <w:sz w:val="28"/>
          <w:szCs w:val="28"/>
        </w:rPr>
        <w:t>MA: FIRE CHIEF FINED $10,000 BY STATE ETHICS COMMISSION – HELPED GET HIS SON GET HIRED ON FD</w:t>
      </w:r>
    </w:p>
    <w:bookmarkEnd w:id="594"/>
    <w:p w14:paraId="0D3C3C4D" w14:textId="77777777" w:rsidR="002F610D" w:rsidRDefault="002F610D" w:rsidP="002F610D">
      <w:pPr>
        <w:rPr>
          <w:rFonts w:ascii="Times New Roman" w:hAnsi="Times New Roman"/>
          <w:sz w:val="24"/>
          <w:szCs w:val="24"/>
        </w:rPr>
      </w:pPr>
      <w:r>
        <w:rPr>
          <w:rFonts w:ascii="Times New Roman" w:hAnsi="Times New Roman"/>
          <w:sz w:val="24"/>
          <w:szCs w:val="24"/>
        </w:rPr>
        <w:t>On Aug. 5, 2021, the Massachusetts Ethics Commission issued a Press Release: “</w:t>
      </w:r>
      <w:r w:rsidRPr="001111FF">
        <w:rPr>
          <w:rFonts w:ascii="Times New Roman" w:hAnsi="Times New Roman"/>
          <w:sz w:val="24"/>
          <w:szCs w:val="24"/>
        </w:rPr>
        <w:t xml:space="preserve">Wellesley Fire Chief Richard DeLorie has admitted to violating the </w:t>
      </w:r>
      <w:proofErr w:type="gramStart"/>
      <w:r w:rsidRPr="001111FF">
        <w:rPr>
          <w:rFonts w:ascii="Times New Roman" w:hAnsi="Times New Roman"/>
          <w:sz w:val="24"/>
          <w:szCs w:val="24"/>
        </w:rPr>
        <w:t>conflict of interest</w:t>
      </w:r>
      <w:proofErr w:type="gramEnd"/>
      <w:r w:rsidRPr="001111FF">
        <w:rPr>
          <w:rFonts w:ascii="Times New Roman" w:hAnsi="Times New Roman"/>
          <w:sz w:val="24"/>
          <w:szCs w:val="24"/>
        </w:rPr>
        <w:t xml:space="preserve"> law by participating in the town’s hiring of his son as a firefighter and using his official position to alter the hiring process to favor his son. DeLorie paid a $10,000 civil penalty, signed a disposition agreement approved by the State Ethics Commission, and waived his right to contest the Commission’s findings.</w:t>
      </w:r>
      <w:r>
        <w:rPr>
          <w:rFonts w:ascii="Times New Roman" w:hAnsi="Times New Roman"/>
          <w:sz w:val="24"/>
          <w:szCs w:val="24"/>
        </w:rPr>
        <w:t xml:space="preserve">”  </w:t>
      </w:r>
      <w:hyperlink r:id="rId2793" w:history="1">
        <w:r w:rsidRPr="00C10414">
          <w:rPr>
            <w:rStyle w:val="Hyperlink"/>
            <w:sz w:val="24"/>
            <w:szCs w:val="24"/>
          </w:rPr>
          <w:t>https://www.mass.gov/news/wellesley-fire-chief-richard-delorie-pays-10000-civil-penalty-for-violating-conflict-of-interest-law</w:t>
        </w:r>
      </w:hyperlink>
      <w:r>
        <w:rPr>
          <w:rFonts w:ascii="Times New Roman" w:hAnsi="Times New Roman"/>
          <w:sz w:val="24"/>
          <w:szCs w:val="24"/>
        </w:rPr>
        <w:t xml:space="preserve"> </w:t>
      </w:r>
    </w:p>
    <w:p w14:paraId="61292555" w14:textId="77777777" w:rsidR="002F610D" w:rsidRPr="001111FF" w:rsidRDefault="002F610D" w:rsidP="002F610D">
      <w:pPr>
        <w:spacing w:before="100" w:beforeAutospacing="1" w:after="100" w:afterAutospacing="1" w:line="240" w:lineRule="auto"/>
        <w:rPr>
          <w:rFonts w:ascii="Times New Roman" w:eastAsia="Times New Roman" w:hAnsi="Times New Roman"/>
          <w:b/>
          <w:bCs/>
          <w:sz w:val="24"/>
          <w:szCs w:val="24"/>
        </w:rPr>
      </w:pPr>
      <w:r w:rsidRPr="001111FF">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Recusal means </w:t>
      </w:r>
      <w:proofErr w:type="gramStart"/>
      <w:r>
        <w:rPr>
          <w:rFonts w:ascii="Times New Roman" w:eastAsia="Times New Roman" w:hAnsi="Times New Roman"/>
          <w:b/>
          <w:bCs/>
          <w:sz w:val="24"/>
          <w:szCs w:val="24"/>
        </w:rPr>
        <w:t>stay</w:t>
      </w:r>
      <w:proofErr w:type="gramEnd"/>
      <w:r>
        <w:rPr>
          <w:rFonts w:ascii="Times New Roman" w:eastAsia="Times New Roman" w:hAnsi="Times New Roman"/>
          <w:b/>
          <w:bCs/>
          <w:sz w:val="24"/>
          <w:szCs w:val="24"/>
        </w:rPr>
        <w:t xml:space="preserve"> completely out of the hiring process. </w:t>
      </w:r>
    </w:p>
    <w:p w14:paraId="028A2971" w14:textId="77777777" w:rsidR="002F610D" w:rsidRPr="00A76835" w:rsidRDefault="002F610D" w:rsidP="002F610D">
      <w:pPr>
        <w:pStyle w:val="NoSpacing"/>
        <w:ind w:left="720"/>
        <w:rPr>
          <w:rFonts w:ascii="Times New Roman" w:hAnsi="Times New Roman"/>
          <w:b/>
          <w:bCs/>
          <w:sz w:val="24"/>
          <w:szCs w:val="24"/>
        </w:rPr>
      </w:pPr>
      <w:r w:rsidRPr="005503CE">
        <w:rPr>
          <w:rFonts w:ascii="Times New Roman" w:eastAsia="Times New Roman" w:hAnsi="Times New Roman"/>
          <w:sz w:val="24"/>
          <w:szCs w:val="24"/>
        </w:rPr>
        <w:t xml:space="preserve">Note: See Aug. 5, </w:t>
      </w:r>
      <w:proofErr w:type="gramStart"/>
      <w:r w:rsidRPr="005503CE">
        <w:rPr>
          <w:rFonts w:ascii="Times New Roman" w:eastAsia="Times New Roman" w:hAnsi="Times New Roman"/>
          <w:sz w:val="24"/>
          <w:szCs w:val="24"/>
        </w:rPr>
        <w:t>2021</w:t>
      </w:r>
      <w:proofErr w:type="gramEnd"/>
      <w:r w:rsidRPr="005503CE">
        <w:rPr>
          <w:rFonts w:ascii="Times New Roman" w:eastAsia="Times New Roman" w:hAnsi="Times New Roman"/>
          <w:sz w:val="24"/>
          <w:szCs w:val="24"/>
        </w:rPr>
        <w:t xml:space="preserve"> article, </w:t>
      </w:r>
      <w:r w:rsidRPr="005503CE">
        <w:rPr>
          <w:rFonts w:ascii="Times New Roman" w:hAnsi="Times New Roman"/>
          <w:sz w:val="24"/>
          <w:szCs w:val="24"/>
        </w:rPr>
        <w:t xml:space="preserve">“Wellesley Fire Chief Richard DeLorie Fined $10,000 For Helping Son Get Hired </w:t>
      </w:r>
      <w:proofErr w:type="gramStart"/>
      <w:r w:rsidRPr="005503CE">
        <w:rPr>
          <w:rFonts w:ascii="Times New Roman" w:hAnsi="Times New Roman"/>
          <w:sz w:val="24"/>
          <w:szCs w:val="24"/>
        </w:rPr>
        <w:t>As</w:t>
      </w:r>
      <w:proofErr w:type="gramEnd"/>
      <w:r w:rsidRPr="005503CE">
        <w:rPr>
          <w:rFonts w:ascii="Times New Roman" w:hAnsi="Times New Roman"/>
          <w:sz w:val="24"/>
          <w:szCs w:val="24"/>
        </w:rPr>
        <w:t xml:space="preserve"> Firefighter.” </w:t>
      </w:r>
      <w:hyperlink r:id="rId2794" w:history="1">
        <w:r w:rsidRPr="005503CE">
          <w:rPr>
            <w:rStyle w:val="Hyperlink"/>
            <w:sz w:val="24"/>
            <w:szCs w:val="24"/>
          </w:rPr>
          <w:t>https://boston.cbslocal.com/2021/08/05/wellesley-fire-chief-richard-delorie-conflict-of-interest/</w:t>
        </w:r>
      </w:hyperlink>
      <w:r w:rsidRPr="005503CE">
        <w:rPr>
          <w:rFonts w:ascii="Times New Roman" w:hAnsi="Times New Roman"/>
          <w:sz w:val="24"/>
          <w:szCs w:val="24"/>
        </w:rPr>
        <w:t xml:space="preserve"> </w:t>
      </w:r>
    </w:p>
    <w:p w14:paraId="3E224028" w14:textId="77777777" w:rsidR="002F610D" w:rsidRDefault="002F610D" w:rsidP="00F326E5">
      <w:pPr>
        <w:pStyle w:val="NoSpacing"/>
        <w:rPr>
          <w:rFonts w:ascii="Arial Black" w:hAnsi="Arial Black"/>
          <w:sz w:val="24"/>
          <w:szCs w:val="24"/>
        </w:rPr>
      </w:pPr>
    </w:p>
    <w:p w14:paraId="1C711EB9" w14:textId="77777777" w:rsidR="002F610D" w:rsidRDefault="002F610D" w:rsidP="00F326E5">
      <w:pPr>
        <w:pStyle w:val="NoSpacing"/>
        <w:rPr>
          <w:rFonts w:ascii="Arial Black" w:hAnsi="Arial Black"/>
          <w:sz w:val="24"/>
          <w:szCs w:val="24"/>
        </w:rPr>
      </w:pPr>
    </w:p>
    <w:p w14:paraId="3D69809B" w14:textId="22CC8E05" w:rsidR="008A0333" w:rsidRDefault="008A0333" w:rsidP="00F326E5">
      <w:pPr>
        <w:pStyle w:val="NoSpacing"/>
        <w:rPr>
          <w:rFonts w:ascii="Arial Black" w:hAnsi="Arial Black"/>
          <w:sz w:val="24"/>
          <w:szCs w:val="24"/>
        </w:rPr>
      </w:pPr>
      <w:r>
        <w:rPr>
          <w:rFonts w:ascii="Arial Black" w:hAnsi="Arial Black"/>
          <w:sz w:val="24"/>
          <w:szCs w:val="24"/>
        </w:rPr>
        <w:t>16-54</w:t>
      </w:r>
    </w:p>
    <w:p w14:paraId="0E0D1BF4" w14:textId="27F61D02" w:rsidR="008A0333" w:rsidRDefault="008A0333" w:rsidP="00F326E5">
      <w:pPr>
        <w:pStyle w:val="NoSpacing"/>
        <w:rPr>
          <w:rFonts w:ascii="Arial Black" w:hAnsi="Arial Black"/>
          <w:sz w:val="24"/>
          <w:szCs w:val="24"/>
        </w:rPr>
      </w:pPr>
    </w:p>
    <w:p w14:paraId="17D74F00" w14:textId="77777777" w:rsidR="008A0333" w:rsidRDefault="008A0333" w:rsidP="008A0333">
      <w:pPr>
        <w:pStyle w:val="NoSpacing"/>
        <w:rPr>
          <w:rFonts w:ascii="Arial Black" w:hAnsi="Arial Black"/>
          <w:sz w:val="28"/>
          <w:szCs w:val="28"/>
        </w:rPr>
      </w:pPr>
      <w:r>
        <w:rPr>
          <w:rFonts w:ascii="Arial Black" w:hAnsi="Arial Black"/>
          <w:sz w:val="28"/>
          <w:szCs w:val="28"/>
        </w:rPr>
        <w:t>CA: UNION PRES. MEDICAL LEAVE BAD BACK - RAN 8-MILE RACE - FIRING TOO HARSH, RETALIATION – LIGHT DUTY</w:t>
      </w:r>
    </w:p>
    <w:p w14:paraId="39FE65F4" w14:textId="77777777" w:rsidR="008A0333" w:rsidRDefault="008A0333" w:rsidP="008A0333">
      <w:pPr>
        <w:pStyle w:val="p1"/>
      </w:pPr>
      <w:r>
        <w:t xml:space="preserve">On June 16, 2021, in </w:t>
      </w:r>
      <w:r w:rsidRPr="001A6E48">
        <w:rPr>
          <w:u w:val="single"/>
        </w:rPr>
        <w:t>City of South Pasadena v. Public Employment Relations Board (Owen Cliff Snider</w:t>
      </w:r>
      <w:r>
        <w:t xml:space="preserve">), the California Supreme Court declined to hear the City’s appeal; on Feb. 26, 2021 the Court of Appeals (3 to 0; unpublished decision), held for the firefighter, finding that while some discipline may have been appropriate, the Administrative Law Judge and the Public Employment Relations Board correctly held that firing was too harsh, and punishment appeared to be in retaliation for Union’s filing an unfair labor charge when FD ordered the firefighter back to work on a city light duty policy which was not in Collective Bargaining Agreement. </w:t>
      </w:r>
    </w:p>
    <w:p w14:paraId="6F9A08E5" w14:textId="77777777" w:rsidR="008A0333" w:rsidRDefault="008A0333" w:rsidP="008A0333">
      <w:pPr>
        <w:pStyle w:val="p1"/>
        <w:ind w:left="720" w:firstLine="60"/>
      </w:pPr>
      <w:r>
        <w:t xml:space="preserve">“Although we uphold PERB's finding that the City's decision to </w:t>
      </w:r>
      <w:r>
        <w:rPr>
          <w:i/>
          <w:iCs/>
        </w:rPr>
        <w:t>terminate</w:t>
      </w:r>
      <w:r>
        <w:t xml:space="preserve"> Snider was a form of retaliation for the exercise of his rights to bargain over the light-duty policy, our conclusion does not imply that the City could not have subjected Snider to </w:t>
      </w:r>
      <w:r>
        <w:rPr>
          <w:i/>
          <w:iCs/>
        </w:rPr>
        <w:t>some form</w:t>
      </w:r>
      <w:r>
        <w:t xml:space="preserve"> of discipline without running afoul of the MMBA.”  </w:t>
      </w:r>
      <w:hyperlink r:id="rId2795" w:history="1">
        <w:r w:rsidRPr="0004297D">
          <w:rPr>
            <w:rStyle w:val="Hyperlink"/>
          </w:rPr>
          <w:t>https://appellatecases.courtinfo.ca.gov/search/case/disposition.cfm?dist=0&amp;doc_id=2345572&amp;doc_no=S268086&amp;request_token=NiIwLSEmTkw5W1BRSSItTENJQEg0UDxTJSBeRzJSUCAgCg%3D%3D</w:t>
        </w:r>
      </w:hyperlink>
      <w:r>
        <w:t xml:space="preserve"> .  </w:t>
      </w:r>
    </w:p>
    <w:p w14:paraId="2A2E4C80" w14:textId="77777777" w:rsidR="008A0333" w:rsidRPr="00A03FED" w:rsidRDefault="008A0333" w:rsidP="008A0333">
      <w:pPr>
        <w:pStyle w:val="NoSpacing"/>
        <w:rPr>
          <w:rFonts w:ascii="Times New Roman" w:hAnsi="Times New Roman"/>
          <w:b/>
          <w:bCs/>
          <w:sz w:val="24"/>
          <w:szCs w:val="24"/>
        </w:rPr>
      </w:pPr>
      <w:r w:rsidRPr="00A03FED">
        <w:rPr>
          <w:rFonts w:ascii="Times New Roman" w:hAnsi="Times New Roman"/>
          <w:b/>
          <w:bCs/>
          <w:sz w:val="24"/>
          <w:szCs w:val="24"/>
        </w:rPr>
        <w:t xml:space="preserve">Legal Lesson Learned: </w:t>
      </w:r>
      <w:r>
        <w:rPr>
          <w:rFonts w:ascii="Times New Roman" w:hAnsi="Times New Roman"/>
          <w:b/>
          <w:bCs/>
          <w:sz w:val="24"/>
          <w:szCs w:val="24"/>
        </w:rPr>
        <w:t xml:space="preserve"> Fire Department policy on injury leave should clearly discuss limitations physical exercise and other strenuous activities; a light duty policy is an effective management tool to encourage return to full duty. </w:t>
      </w:r>
    </w:p>
    <w:p w14:paraId="4D39852B" w14:textId="77777777" w:rsidR="008A0333" w:rsidRDefault="008A0333" w:rsidP="008A0333">
      <w:pPr>
        <w:pStyle w:val="p1"/>
        <w:ind w:left="720"/>
      </w:pPr>
      <w:r>
        <w:t xml:space="preserve">Calif. Supreme Court order: </w:t>
      </w:r>
      <w:hyperlink r:id="rId2796" w:history="1">
        <w:r w:rsidRPr="002625ED">
          <w:rPr>
            <w:rStyle w:val="Hyperlink"/>
          </w:rPr>
          <w:t>https://appellatecases.courtinfo.ca.gov/search/case/disposition.cfm?dist=0&amp;doc_id=2345572&amp;doc_no=S268086&amp;request_token=NiIwLSEmTkw5W1BRSSItTENJQEg0UDxTJSBeRzJSUCAgCg%3D%3D</w:t>
        </w:r>
      </w:hyperlink>
      <w:r>
        <w:t xml:space="preserve"> </w:t>
      </w:r>
    </w:p>
    <w:p w14:paraId="32B6A514" w14:textId="77777777" w:rsidR="008A0333" w:rsidRPr="00A03FED" w:rsidRDefault="008A0333" w:rsidP="008A0333">
      <w:pPr>
        <w:pStyle w:val="p1"/>
        <w:ind w:left="720"/>
      </w:pPr>
      <w:r w:rsidRPr="00A03FED">
        <w:t xml:space="preserve">See June 21, </w:t>
      </w:r>
      <w:proofErr w:type="gramStart"/>
      <w:r w:rsidRPr="00A03FED">
        <w:t>2021</w:t>
      </w:r>
      <w:proofErr w:type="gramEnd"/>
      <w:r w:rsidRPr="00A03FED">
        <w:t xml:space="preserve"> article: “The City of South Pasadena illegally dismissed a firefighter | Supreme Court denies review | The South Pasadena; </w:t>
      </w:r>
      <w:hyperlink r:id="rId2797" w:history="1">
        <w:r w:rsidRPr="00A03FED">
          <w:rPr>
            <w:rStyle w:val="Hyperlink"/>
          </w:rPr>
          <w:t>https://laborlawlosangeles.com/the-city-of-south-pasadena-illegally-dismissed-a-firefighter-supreme-court-denies-review-the-south-pasadenan/</w:t>
        </w:r>
      </w:hyperlink>
      <w:r w:rsidRPr="00A03FED">
        <w:t xml:space="preserve"> </w:t>
      </w:r>
    </w:p>
    <w:p w14:paraId="23E7BDAB" w14:textId="77777777" w:rsidR="008A0333" w:rsidRPr="003F349F" w:rsidRDefault="008A0333" w:rsidP="008A0333">
      <w:pPr>
        <w:pStyle w:val="p1"/>
        <w:ind w:left="720"/>
      </w:pPr>
      <w:r>
        <w:t xml:space="preserve">See IAFF: </w:t>
      </w:r>
      <w:r w:rsidRPr="003D5D8C">
        <w:rPr>
          <w:rStyle w:val="Strong"/>
        </w:rPr>
        <w:t>“Owen ‘Cliff’ Snider v. City of South Pasadena, California -</w:t>
      </w:r>
      <w:r>
        <w:rPr>
          <w:rStyle w:val="Strong"/>
        </w:rPr>
        <w:t xml:space="preserve"> </w:t>
      </w:r>
      <w:r w:rsidRPr="00A03FED">
        <w:rPr>
          <w:b/>
          <w:bCs/>
        </w:rPr>
        <w:br/>
      </w:r>
      <w:r>
        <w:t>“</w:t>
      </w:r>
      <w:r w:rsidRPr="00A03FED">
        <w:t xml:space="preserve">In this Guardian Policy case, the City of South Pasadena terminated Local 3657 President Cliff Snider, in retaliation for his union leadership activities. President Snider was enforcing the right to bargain over changes in working conditions, first by requesting to bargain, and later by filing an Unfair Labor Practice (ULP) charge over the City’s refusal to bargain. After an earlier back injury, and while he was on paid sick leave, Snider participated in an 8-mile </w:t>
      </w:r>
      <w:r>
        <w:t>‘</w:t>
      </w:r>
      <w:r w:rsidRPr="00A03FED">
        <w:t>Spartan Race.</w:t>
      </w:r>
      <w:r>
        <w:t>’</w:t>
      </w:r>
      <w:r w:rsidRPr="00A03FED">
        <w:t xml:space="preserve"> Chief Mario Rueda terminated Snider on the asserted grounds of dishonesty, abuse of sick leave, bad faith, and failure to notify a supervisor that he felt well enough to return to duty.</w:t>
      </w:r>
      <w:r>
        <w:t>”</w:t>
      </w:r>
      <w:r w:rsidRPr="00A03FED">
        <w:t xml:space="preserve"> </w:t>
      </w:r>
      <w:hyperlink r:id="rId2798" w:history="1">
        <w:r w:rsidRPr="00A03FED">
          <w:rPr>
            <w:rStyle w:val="Hyperlink"/>
          </w:rPr>
          <w:t>https://convention2018.iaff.org/general-counsels-report/</w:t>
        </w:r>
      </w:hyperlink>
      <w:r w:rsidRPr="00A03FED">
        <w:t xml:space="preserve"> </w:t>
      </w:r>
    </w:p>
    <w:p w14:paraId="27C3A680" w14:textId="77777777" w:rsidR="008A0333" w:rsidRDefault="008A0333" w:rsidP="00F326E5">
      <w:pPr>
        <w:pStyle w:val="NoSpacing"/>
        <w:rPr>
          <w:rFonts w:ascii="Arial Black" w:hAnsi="Arial Black"/>
          <w:sz w:val="24"/>
          <w:szCs w:val="24"/>
        </w:rPr>
      </w:pPr>
    </w:p>
    <w:p w14:paraId="6D530949" w14:textId="77777777" w:rsidR="008A0333" w:rsidRDefault="008A0333" w:rsidP="00F326E5">
      <w:pPr>
        <w:pStyle w:val="NoSpacing"/>
        <w:rPr>
          <w:rFonts w:ascii="Arial Black" w:hAnsi="Arial Black"/>
          <w:sz w:val="24"/>
          <w:szCs w:val="24"/>
        </w:rPr>
      </w:pPr>
    </w:p>
    <w:p w14:paraId="1F020492" w14:textId="1377931A" w:rsidR="00B03268" w:rsidRPr="00B03268" w:rsidRDefault="00B03268" w:rsidP="00F326E5">
      <w:pPr>
        <w:pStyle w:val="NoSpacing"/>
        <w:rPr>
          <w:rFonts w:ascii="Times New Roman" w:hAnsi="Times New Roman"/>
          <w:sz w:val="24"/>
          <w:szCs w:val="24"/>
        </w:rPr>
      </w:pPr>
      <w:r>
        <w:rPr>
          <w:rFonts w:ascii="Arial Black" w:hAnsi="Arial Black"/>
          <w:sz w:val="24"/>
          <w:szCs w:val="24"/>
        </w:rPr>
        <w:t xml:space="preserve">16-53 </w:t>
      </w:r>
      <w:r>
        <w:rPr>
          <w:rFonts w:ascii="Times New Roman" w:hAnsi="Times New Roman"/>
          <w:sz w:val="24"/>
          <w:szCs w:val="24"/>
        </w:rPr>
        <w:t>[also filed, Chap. 11]</w:t>
      </w:r>
    </w:p>
    <w:p w14:paraId="46BA1FC3" w14:textId="6D6145CB" w:rsidR="00B03268" w:rsidRDefault="00B03268" w:rsidP="00F326E5">
      <w:pPr>
        <w:pStyle w:val="NoSpacing"/>
        <w:rPr>
          <w:rFonts w:ascii="Arial Black" w:hAnsi="Arial Black"/>
          <w:sz w:val="24"/>
          <w:szCs w:val="24"/>
        </w:rPr>
      </w:pPr>
    </w:p>
    <w:p w14:paraId="140497D3" w14:textId="77777777" w:rsidR="00B03268" w:rsidRPr="003A1BB2" w:rsidRDefault="00B03268" w:rsidP="00B03268">
      <w:pPr>
        <w:pStyle w:val="NoSpacing"/>
        <w:rPr>
          <w:rFonts w:ascii="Arial Black" w:hAnsi="Arial Black"/>
          <w:sz w:val="28"/>
          <w:szCs w:val="28"/>
        </w:rPr>
      </w:pPr>
      <w:r>
        <w:rPr>
          <w:rFonts w:ascii="Arial Black" w:hAnsi="Arial Black"/>
          <w:sz w:val="28"/>
          <w:szCs w:val="28"/>
        </w:rPr>
        <w:t>NV: AT-WILL HOSPITAL PARAMEDIC - TERMINATED WITHIN 1-YR PROBATIONARY PERIOD – LAWSUIT DISMISSED</w:t>
      </w:r>
    </w:p>
    <w:p w14:paraId="0F412CC2" w14:textId="77777777" w:rsidR="00B03268" w:rsidRDefault="00B03268" w:rsidP="00B03268">
      <w:pPr>
        <w:pStyle w:val="NoSpacing"/>
      </w:pPr>
    </w:p>
    <w:p w14:paraId="525EBD4E" w14:textId="77777777" w:rsidR="00B03268" w:rsidRPr="00D106AE" w:rsidRDefault="00B03268" w:rsidP="00B03268">
      <w:pPr>
        <w:pStyle w:val="NoSpacing"/>
        <w:rPr>
          <w:rFonts w:ascii="Times New Roman" w:hAnsi="Times New Roman"/>
          <w:sz w:val="24"/>
          <w:szCs w:val="24"/>
        </w:rPr>
      </w:pPr>
      <w:r>
        <w:rPr>
          <w:rFonts w:ascii="Times New Roman" w:hAnsi="Times New Roman"/>
          <w:sz w:val="24"/>
          <w:szCs w:val="24"/>
        </w:rPr>
        <w:t xml:space="preserve">On May 13, 2021, in </w:t>
      </w:r>
      <w:r w:rsidRPr="00D106AE">
        <w:rPr>
          <w:rFonts w:ascii="Times New Roman" w:hAnsi="Times New Roman"/>
          <w:sz w:val="24"/>
          <w:szCs w:val="24"/>
          <w:u w:val="single"/>
        </w:rPr>
        <w:t>Todd P. Evans v. Lander County Hospital District, d/b/a Battle Mountain General Hospital</w:t>
      </w:r>
      <w:r w:rsidRPr="00D106AE">
        <w:rPr>
          <w:rFonts w:ascii="Times New Roman" w:hAnsi="Times New Roman"/>
          <w:sz w:val="24"/>
          <w:szCs w:val="24"/>
        </w:rPr>
        <w:t xml:space="preserve">, U.S. District Court Judge Larry R. Hicks, U.S. District Court, District of Nevada, </w:t>
      </w:r>
      <w:r>
        <w:rPr>
          <w:rFonts w:ascii="Times New Roman" w:hAnsi="Times New Roman"/>
          <w:sz w:val="24"/>
          <w:szCs w:val="24"/>
        </w:rPr>
        <w:t>held that the paramedic did not file or otherwise orally make a complaint of FLSA violation, and he was an at-will employee that can be terminated without cause by the hospital.</w:t>
      </w:r>
    </w:p>
    <w:p w14:paraId="17914755" w14:textId="77777777" w:rsidR="00B03268" w:rsidRDefault="00B03268" w:rsidP="00B03268">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r w:rsidRPr="003A1BB2">
        <w:rPr>
          <w:rFonts w:ascii="Times New Roman" w:eastAsia="Times New Roman" w:hAnsi="Times New Roman"/>
          <w:sz w:val="24"/>
          <w:szCs w:val="24"/>
        </w:rPr>
        <w:t>Again, based on Evans' testimony, the Court finds that Evans' statements during the April 2019 meeting do not constitute filling a complaint with the BMGH as contemplated by the FLSA anti-retaliation statute. The content of this meeting was the financial and economic status of the EMS Department and was focused on how Evans' suggested alterations to the department, including transitioning the volunteer EMTs to paid staff, would make the department more fiscally responsible and increase staff. While Evans did address the FLSA and again suggested that the volunteer program may be violating the federal statute, he did not specify an illegality related to the program and did not provide Trustee Roberts with any documentation related to the FLSA. A reasonable employer would have seen Evans' statements as an attempt to recruit a board member to support his budget proposal, not an assertion of the employment rights of the volunteer EMTs in the program. Accordingly, his statements cannot be considered a filed complaint under the FLSA anti-retaliation statute.</w:t>
      </w:r>
    </w:p>
    <w:p w14:paraId="3B6A543B" w14:textId="77777777" w:rsidR="00B03268" w:rsidRDefault="00B03268" w:rsidP="00B03268">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p>
    <w:p w14:paraId="792E38CB" w14:textId="77777777" w:rsidR="00B03268" w:rsidRPr="003A1BB2" w:rsidRDefault="00B03268" w:rsidP="00B03268">
      <w:pPr>
        <w:spacing w:before="100" w:beforeAutospacing="1" w:after="100" w:afterAutospacing="1"/>
        <w:ind w:left="720"/>
        <w:rPr>
          <w:rFonts w:ascii="Times New Roman" w:eastAsia="Times New Roman" w:hAnsi="Times New Roman"/>
          <w:sz w:val="24"/>
          <w:szCs w:val="24"/>
        </w:rPr>
      </w:pPr>
      <w:r w:rsidRPr="00D106AE">
        <w:rPr>
          <w:rFonts w:ascii="Times New Roman" w:hAnsi="Times New Roman"/>
          <w:sz w:val="24"/>
          <w:szCs w:val="24"/>
        </w:rPr>
        <w:t xml:space="preserve">Evans' fourth cause of action alleges Defendant breached its oral employment contract in which BMGH agreed to pay Evans a salary of $115,000.00 per year plus a travel stipend of no more than $500.00 per month. ECF No. 1 ¶¶ 55-58. Defendant argues that it could not have breached an employment contract that did not exist as Evans was an at-will employee. Having reviewed the record, there can be no dispute that Evans was an at-will </w:t>
      </w:r>
      <w:proofErr w:type="gramStart"/>
      <w:r w:rsidRPr="00D106AE">
        <w:rPr>
          <w:rFonts w:ascii="Times New Roman" w:hAnsi="Times New Roman"/>
          <w:sz w:val="24"/>
          <w:szCs w:val="24"/>
        </w:rPr>
        <w:t>employee.</w:t>
      </w:r>
      <w:r>
        <w:rPr>
          <w:rFonts w:ascii="Times New Roman" w:hAnsi="Times New Roman"/>
          <w:sz w:val="24"/>
          <w:szCs w:val="24"/>
        </w:rPr>
        <w:t>”</w:t>
      </w:r>
      <w:proofErr w:type="gramEnd"/>
      <w:r>
        <w:rPr>
          <w:rFonts w:ascii="Times New Roman" w:hAnsi="Times New Roman"/>
          <w:sz w:val="24"/>
          <w:szCs w:val="24"/>
        </w:rPr>
        <w:t xml:space="preserve"> </w:t>
      </w:r>
      <w:hyperlink r:id="rId2799" w:history="1">
        <w:r w:rsidRPr="00C724D5">
          <w:rPr>
            <w:rStyle w:val="Hyperlink"/>
            <w:sz w:val="24"/>
            <w:szCs w:val="24"/>
          </w:rPr>
          <w:t>https://www.leagle.com/decision/infdco20210518900</w:t>
        </w:r>
      </w:hyperlink>
      <w:r>
        <w:rPr>
          <w:rFonts w:ascii="Times New Roman" w:eastAsia="Times New Roman" w:hAnsi="Times New Roman"/>
          <w:sz w:val="24"/>
          <w:szCs w:val="24"/>
        </w:rPr>
        <w:t xml:space="preserve"> </w:t>
      </w:r>
    </w:p>
    <w:p w14:paraId="46248971" w14:textId="77777777" w:rsidR="00B03268" w:rsidRPr="00E7248E" w:rsidRDefault="00B03268" w:rsidP="00B03268">
      <w:pPr>
        <w:pStyle w:val="NormalWeb"/>
        <w:rPr>
          <w:b/>
          <w:bCs/>
        </w:rPr>
      </w:pPr>
      <w:r w:rsidRPr="00E7248E">
        <w:rPr>
          <w:b/>
          <w:bCs/>
        </w:rPr>
        <w:t>Legal Lesson Learned:</w:t>
      </w:r>
      <w:r>
        <w:rPr>
          <w:b/>
          <w:bCs/>
        </w:rPr>
        <w:t xml:space="preserve"> At will employees can be terminated, with or without cause.  </w:t>
      </w:r>
    </w:p>
    <w:p w14:paraId="47BF614D" w14:textId="77777777" w:rsidR="00B03268" w:rsidRDefault="00B03268" w:rsidP="00F326E5">
      <w:pPr>
        <w:pStyle w:val="NoSpacing"/>
        <w:rPr>
          <w:rFonts w:ascii="Arial Black" w:hAnsi="Arial Black"/>
          <w:sz w:val="24"/>
          <w:szCs w:val="24"/>
        </w:rPr>
      </w:pPr>
    </w:p>
    <w:p w14:paraId="6D399EB4" w14:textId="77777777" w:rsidR="00B03268" w:rsidRDefault="00B03268" w:rsidP="00F326E5">
      <w:pPr>
        <w:pStyle w:val="NoSpacing"/>
        <w:rPr>
          <w:rFonts w:ascii="Arial Black" w:hAnsi="Arial Black"/>
          <w:sz w:val="24"/>
          <w:szCs w:val="24"/>
        </w:rPr>
      </w:pPr>
    </w:p>
    <w:p w14:paraId="5A22BC84" w14:textId="2B761CBF" w:rsidR="0066298F" w:rsidRDefault="00EC1BFB" w:rsidP="00F326E5">
      <w:pPr>
        <w:pStyle w:val="NoSpacing"/>
        <w:rPr>
          <w:rFonts w:ascii="Arial Black" w:hAnsi="Arial Black"/>
          <w:sz w:val="24"/>
          <w:szCs w:val="24"/>
        </w:rPr>
      </w:pPr>
      <w:r>
        <w:rPr>
          <w:rFonts w:ascii="Arial Black" w:hAnsi="Arial Black"/>
          <w:sz w:val="24"/>
          <w:szCs w:val="24"/>
        </w:rPr>
        <w:t>16-52</w:t>
      </w:r>
    </w:p>
    <w:p w14:paraId="737DA396" w14:textId="68512AB5" w:rsidR="00EC1BFB" w:rsidRDefault="00EC1BFB" w:rsidP="00F326E5">
      <w:pPr>
        <w:pStyle w:val="NoSpacing"/>
        <w:rPr>
          <w:rFonts w:ascii="Arial Black" w:hAnsi="Arial Black"/>
          <w:sz w:val="24"/>
          <w:szCs w:val="24"/>
        </w:rPr>
      </w:pPr>
    </w:p>
    <w:p w14:paraId="735C93CC" w14:textId="77777777" w:rsidR="00EC1BFB" w:rsidRPr="00207CF4" w:rsidRDefault="00EC1BFB" w:rsidP="00EC1BFB">
      <w:pPr>
        <w:pStyle w:val="NoSpacing"/>
        <w:rPr>
          <w:rFonts w:ascii="Arial Black" w:hAnsi="Arial Black"/>
          <w:sz w:val="28"/>
          <w:szCs w:val="28"/>
        </w:rPr>
      </w:pPr>
      <w:r>
        <w:rPr>
          <w:rFonts w:ascii="Arial Black" w:hAnsi="Arial Black"/>
          <w:sz w:val="28"/>
          <w:szCs w:val="28"/>
        </w:rPr>
        <w:t>OH: ALLEGED TREATENING COMMENTS FIRE CHIEF – CITY LAW NO VIOL - UNION NO RIGHT 3</w:t>
      </w:r>
      <w:r w:rsidRPr="00CF4AA5">
        <w:rPr>
          <w:rFonts w:ascii="Arial Black" w:hAnsi="Arial Black"/>
          <w:sz w:val="28"/>
          <w:szCs w:val="28"/>
          <w:vertAlign w:val="superscript"/>
        </w:rPr>
        <w:t>rd</w:t>
      </w:r>
      <w:r>
        <w:rPr>
          <w:rFonts w:ascii="Arial Black" w:hAnsi="Arial Black"/>
          <w:sz w:val="28"/>
          <w:szCs w:val="28"/>
        </w:rPr>
        <w:t xml:space="preserve"> PARTY INVESTIGATOR </w:t>
      </w:r>
    </w:p>
    <w:p w14:paraId="419EEDEC" w14:textId="77777777" w:rsidR="00EC1BFB" w:rsidRDefault="00EC1BFB" w:rsidP="00EC1BFB">
      <w:pPr>
        <w:pStyle w:val="NoSpacing"/>
      </w:pPr>
    </w:p>
    <w:p w14:paraId="091A5778" w14:textId="77777777" w:rsidR="00EC1BFB" w:rsidRDefault="00EC1BFB" w:rsidP="00EC1BFB">
      <w:pPr>
        <w:pStyle w:val="NoSpacing"/>
        <w:rPr>
          <w:rFonts w:ascii="Times New Roman" w:hAnsi="Times New Roman"/>
          <w:sz w:val="24"/>
          <w:szCs w:val="24"/>
        </w:rPr>
      </w:pPr>
      <w:r>
        <w:rPr>
          <w:rFonts w:ascii="Times New Roman" w:hAnsi="Times New Roman"/>
          <w:sz w:val="24"/>
          <w:szCs w:val="24"/>
        </w:rPr>
        <w:t xml:space="preserve">On Feb. 23, 2021, in </w:t>
      </w:r>
      <w:r w:rsidRPr="00207CF4">
        <w:rPr>
          <w:rFonts w:ascii="Times New Roman" w:hAnsi="Times New Roman"/>
          <w:sz w:val="24"/>
          <w:szCs w:val="24"/>
          <w:u w:val="single"/>
        </w:rPr>
        <w:t>State Ex Rel. Youngstown Professional Firefighters IAFF Local 312, et al. v. City of Youngstown</w:t>
      </w:r>
      <w:r>
        <w:rPr>
          <w:rFonts w:ascii="Times New Roman" w:hAnsi="Times New Roman"/>
          <w:sz w:val="24"/>
          <w:szCs w:val="24"/>
        </w:rPr>
        <w:t xml:space="preserve">, the Court of Appeals of Ohio, Seventh Appellate District (Mahoning County), 2021 Ohio 539, held (3 to 0) that the union has no clear legal right to the appointment of an independent, neutral investigator, and therefore the Court dismissed the union’s original action [did not go to a trial court] seeking a “Writ of Mandamus.”  The Fire Chief at a FD meeting announced the </w:t>
      </w:r>
      <w:proofErr w:type="gramStart"/>
      <w:r>
        <w:rPr>
          <w:rFonts w:ascii="Times New Roman" w:hAnsi="Times New Roman"/>
          <w:sz w:val="24"/>
          <w:szCs w:val="24"/>
        </w:rPr>
        <w:t>City</w:t>
      </w:r>
      <w:proofErr w:type="gramEnd"/>
      <w:r>
        <w:rPr>
          <w:rFonts w:ascii="Times New Roman" w:hAnsi="Times New Roman"/>
          <w:sz w:val="24"/>
          <w:szCs w:val="24"/>
        </w:rPr>
        <w:t xml:space="preserve"> was reducing Battalion Chiefs from six to four, and a firefighter shouted, </w:t>
      </w:r>
      <w:r w:rsidRPr="007327A3">
        <w:rPr>
          <w:rFonts w:ascii="Times New Roman" w:eastAsia="Times New Roman" w:hAnsi="Times New Roman"/>
          <w:sz w:val="24"/>
          <w:szCs w:val="24"/>
        </w:rPr>
        <w:t>"My mom knows every judge and</w:t>
      </w:r>
      <w:r>
        <w:rPr>
          <w:rFonts w:ascii="Times New Roman" w:eastAsia="Times New Roman" w:hAnsi="Times New Roman"/>
          <w:sz w:val="24"/>
          <w:szCs w:val="24"/>
        </w:rPr>
        <w:t xml:space="preserve"> </w:t>
      </w:r>
      <w:r w:rsidRPr="007327A3">
        <w:rPr>
          <w:rFonts w:ascii="Times New Roman" w:eastAsia="Times New Roman" w:hAnsi="Times New Roman"/>
          <w:sz w:val="24"/>
          <w:szCs w:val="24"/>
        </w:rPr>
        <w:t xml:space="preserve">every attorney and if I get </w:t>
      </w:r>
      <w:proofErr w:type="gramStart"/>
      <w:r w:rsidRPr="007327A3">
        <w:rPr>
          <w:rFonts w:ascii="Times New Roman" w:eastAsia="Times New Roman" w:hAnsi="Times New Roman"/>
          <w:sz w:val="24"/>
          <w:szCs w:val="24"/>
        </w:rPr>
        <w:t>hurt</w:t>
      </w:r>
      <w:proofErr w:type="gramEnd"/>
      <w:r w:rsidRPr="007327A3">
        <w:rPr>
          <w:rFonts w:ascii="Times New Roman" w:eastAsia="Times New Roman" w:hAnsi="Times New Roman"/>
          <w:sz w:val="24"/>
          <w:szCs w:val="24"/>
        </w:rPr>
        <w:t xml:space="preserve"> I'm going to own you, the fucking Mayor and the fucking City." </w:t>
      </w:r>
      <w:r>
        <w:rPr>
          <w:rFonts w:ascii="Times New Roman" w:eastAsia="Times New Roman" w:hAnsi="Times New Roman"/>
          <w:sz w:val="24"/>
          <w:szCs w:val="24"/>
        </w:rPr>
        <w:t xml:space="preserve"> The firefighter asked next day to meet with the Chief to apologize.  The Chief </w:t>
      </w:r>
      <w:proofErr w:type="gramStart"/>
      <w:r>
        <w:rPr>
          <w:rFonts w:ascii="Times New Roman" w:eastAsia="Times New Roman" w:hAnsi="Times New Roman"/>
          <w:sz w:val="24"/>
          <w:szCs w:val="24"/>
        </w:rPr>
        <w:t>declined, and</w:t>
      </w:r>
      <w:proofErr w:type="gramEnd"/>
      <w:r>
        <w:rPr>
          <w:rFonts w:ascii="Times New Roman" w:eastAsia="Times New Roman" w:hAnsi="Times New Roman"/>
          <w:sz w:val="24"/>
          <w:szCs w:val="24"/>
        </w:rPr>
        <w:t xml:space="preserve"> later explained at the firefighter’s </w:t>
      </w:r>
      <w:proofErr w:type="spellStart"/>
      <w:r>
        <w:rPr>
          <w:rFonts w:ascii="Times New Roman" w:eastAsia="Times New Roman" w:hAnsi="Times New Roman"/>
          <w:sz w:val="24"/>
          <w:szCs w:val="24"/>
        </w:rPr>
        <w:t>predisciplinary</w:t>
      </w:r>
      <w:proofErr w:type="spellEnd"/>
      <w:r>
        <w:rPr>
          <w:rFonts w:ascii="Times New Roman" w:eastAsia="Times New Roman" w:hAnsi="Times New Roman"/>
          <w:sz w:val="24"/>
          <w:szCs w:val="24"/>
        </w:rPr>
        <w:t xml:space="preserve"> meeting that he declined to meet since he was upset and might </w:t>
      </w:r>
      <w:r w:rsidRPr="003C2A4F">
        <w:rPr>
          <w:rFonts w:ascii="Times New Roman" w:hAnsi="Times New Roman"/>
          <w:sz w:val="24"/>
          <w:szCs w:val="24"/>
        </w:rPr>
        <w:t>"put him through a wall."</w:t>
      </w:r>
    </w:p>
    <w:p w14:paraId="06F5653D" w14:textId="77777777" w:rsidR="00EC1BFB" w:rsidRDefault="00EC1BFB" w:rsidP="00EC1BFB">
      <w:pPr>
        <w:pStyle w:val="NoSpacing"/>
        <w:rPr>
          <w:rFonts w:ascii="Times New Roman" w:hAnsi="Times New Roman"/>
          <w:sz w:val="24"/>
          <w:szCs w:val="24"/>
        </w:rPr>
      </w:pPr>
    </w:p>
    <w:p w14:paraId="0F397921" w14:textId="77777777" w:rsidR="00EC1BFB" w:rsidRPr="003C2A4F" w:rsidRDefault="00EC1BFB" w:rsidP="00EC1BFB">
      <w:pPr>
        <w:pStyle w:val="NoSpacing"/>
        <w:ind w:left="720"/>
        <w:rPr>
          <w:rFonts w:ascii="Times New Roman" w:eastAsia="Times New Roman" w:hAnsi="Times New Roman"/>
          <w:b/>
          <w:bCs/>
          <w:sz w:val="24"/>
          <w:szCs w:val="24"/>
        </w:rPr>
      </w:pPr>
      <w:r>
        <w:rPr>
          <w:rFonts w:ascii="Times New Roman" w:hAnsi="Times New Roman"/>
          <w:sz w:val="24"/>
          <w:szCs w:val="24"/>
        </w:rPr>
        <w:t>“</w:t>
      </w:r>
      <w:r w:rsidRPr="003C2A4F">
        <w:rPr>
          <w:rFonts w:ascii="Times New Roman" w:hAnsi="Times New Roman"/>
          <w:sz w:val="24"/>
          <w:szCs w:val="24"/>
        </w:rPr>
        <w:t>In summary, Relators do not have a clear legal right pursuant to section 163.63 of the Youngstown Codified Ordinances (</w:t>
      </w:r>
      <w:r>
        <w:rPr>
          <w:rFonts w:ascii="Times New Roman" w:hAnsi="Times New Roman"/>
          <w:sz w:val="24"/>
          <w:szCs w:val="24"/>
        </w:rPr>
        <w:t>‘</w:t>
      </w:r>
      <w:r w:rsidRPr="003C2A4F">
        <w:rPr>
          <w:rFonts w:ascii="Times New Roman" w:hAnsi="Times New Roman"/>
          <w:sz w:val="24"/>
          <w:szCs w:val="24"/>
        </w:rPr>
        <w:t>YCO</w:t>
      </w:r>
      <w:r>
        <w:rPr>
          <w:rFonts w:ascii="Times New Roman" w:hAnsi="Times New Roman"/>
          <w:sz w:val="24"/>
          <w:szCs w:val="24"/>
        </w:rPr>
        <w:t>’</w:t>
      </w:r>
      <w:r w:rsidRPr="003C2A4F">
        <w:rPr>
          <w:rFonts w:ascii="Times New Roman" w:hAnsi="Times New Roman"/>
          <w:sz w:val="24"/>
          <w:szCs w:val="24"/>
        </w:rPr>
        <w:t>) to the appointment of an independent, neutral investigator, and the City does not have a clear legal duty pursuant to YCO 163.63 to appoint such an investigator. Accordingly, the writ, to the extent that it is predicated upon the appointment of an independent, neutral investigator, is dismissed.</w:t>
      </w:r>
      <w:r>
        <w:rPr>
          <w:rFonts w:ascii="Times New Roman" w:hAnsi="Times New Roman"/>
          <w:sz w:val="24"/>
          <w:szCs w:val="24"/>
        </w:rPr>
        <w:t xml:space="preserve">” </w:t>
      </w:r>
      <w:hyperlink r:id="rId2800" w:history="1">
        <w:r w:rsidRPr="00D60E44">
          <w:rPr>
            <w:rStyle w:val="Hyperlink"/>
            <w:sz w:val="24"/>
            <w:szCs w:val="24"/>
          </w:rPr>
          <w:t>https://public.fastcase.com/Wl%2B2t%2BeVuI35%2FN70vAMFZry7Wdfw%2FJOcYD0w2Kcl2Q1FxaIYO1NAtHxZOlhNOguL</w:t>
        </w:r>
      </w:hyperlink>
      <w:r>
        <w:rPr>
          <w:rFonts w:ascii="Times New Roman" w:hAnsi="Times New Roman"/>
          <w:sz w:val="24"/>
          <w:szCs w:val="24"/>
        </w:rPr>
        <w:t xml:space="preserve"> </w:t>
      </w:r>
    </w:p>
    <w:p w14:paraId="0CE04CAE" w14:textId="77777777" w:rsidR="00EC1BFB" w:rsidRDefault="00EC1BFB" w:rsidP="00F326E5">
      <w:pPr>
        <w:pStyle w:val="NoSpacing"/>
        <w:rPr>
          <w:rFonts w:ascii="Arial Black" w:hAnsi="Arial Black"/>
          <w:sz w:val="24"/>
          <w:szCs w:val="24"/>
        </w:rPr>
      </w:pPr>
    </w:p>
    <w:p w14:paraId="16BD07C0" w14:textId="77777777" w:rsidR="00EC1BFB" w:rsidRDefault="00EC1BFB" w:rsidP="00EC1BFB">
      <w:pPr>
        <w:spacing w:before="100" w:beforeAutospacing="1" w:after="100" w:afterAutospacing="1" w:line="240" w:lineRule="auto"/>
        <w:rPr>
          <w:rFonts w:ascii="Times New Roman" w:hAnsi="Times New Roman"/>
          <w:b/>
          <w:bCs/>
          <w:sz w:val="24"/>
          <w:szCs w:val="24"/>
        </w:rPr>
      </w:pPr>
      <w:bookmarkStart w:id="595" w:name="_Hlk66950362"/>
      <w:r w:rsidRPr="00DA2B2C">
        <w:rPr>
          <w:rFonts w:ascii="Times New Roman" w:hAnsi="Times New Roman"/>
          <w:b/>
          <w:bCs/>
          <w:sz w:val="24"/>
          <w:szCs w:val="24"/>
        </w:rPr>
        <w:t>Legal Lesson Learned:</w:t>
      </w:r>
      <w:r>
        <w:rPr>
          <w:rFonts w:ascii="Times New Roman" w:hAnsi="Times New Roman"/>
          <w:b/>
          <w:bCs/>
          <w:sz w:val="24"/>
          <w:szCs w:val="24"/>
        </w:rPr>
        <w:t xml:space="preserve"> Chief officers must be careful to avoid using any terms that could be perceived as threatening. </w:t>
      </w:r>
    </w:p>
    <w:p w14:paraId="6CDF1D19" w14:textId="77777777" w:rsidR="00EC1BFB" w:rsidRPr="00DA2B2C" w:rsidRDefault="00EC1BFB" w:rsidP="00EC1BFB">
      <w:pPr>
        <w:pStyle w:val="NoSpacing"/>
        <w:ind w:left="720" w:firstLine="60"/>
        <w:rPr>
          <w:rFonts w:ascii="Times New Roman" w:hAnsi="Times New Roman"/>
          <w:sz w:val="24"/>
          <w:szCs w:val="24"/>
        </w:rPr>
      </w:pPr>
      <w:r w:rsidRPr="00DA2B2C">
        <w:rPr>
          <w:rFonts w:ascii="Times New Roman" w:hAnsi="Times New Roman"/>
          <w:sz w:val="24"/>
          <w:szCs w:val="24"/>
        </w:rPr>
        <w:t xml:space="preserve">Note: See article about this case.  “Appeals court rules in favor of city of Youngstown in firefighters' union dispute.” </w:t>
      </w:r>
      <w:r>
        <w:rPr>
          <w:rFonts w:ascii="Times New Roman" w:hAnsi="Times New Roman"/>
          <w:sz w:val="24"/>
          <w:szCs w:val="24"/>
        </w:rPr>
        <w:t xml:space="preserve">(March 3, 2021) </w:t>
      </w:r>
      <w:hyperlink r:id="rId2801" w:history="1">
        <w:r w:rsidRPr="00D60E44">
          <w:rPr>
            <w:rStyle w:val="Hyperlink"/>
            <w:sz w:val="24"/>
            <w:szCs w:val="24"/>
          </w:rPr>
          <w:t>https://www.wfmj.com/story/41405965/chief-working-under-last-chance-agreement-angers-youngstown-firefighters</w:t>
        </w:r>
      </w:hyperlink>
      <w:r w:rsidRPr="00DA2B2C">
        <w:rPr>
          <w:rFonts w:ascii="Times New Roman" w:hAnsi="Times New Roman"/>
          <w:sz w:val="24"/>
          <w:szCs w:val="24"/>
        </w:rPr>
        <w:t xml:space="preserve"> </w:t>
      </w:r>
    </w:p>
    <w:p w14:paraId="466C4BCE" w14:textId="77777777" w:rsidR="00EC1BFB" w:rsidRPr="0015474E" w:rsidRDefault="00EC1BFB" w:rsidP="00EC1BFB">
      <w:pPr>
        <w:spacing w:before="100" w:beforeAutospacing="1" w:after="100" w:afterAutospacing="1" w:line="240" w:lineRule="auto"/>
        <w:rPr>
          <w:rFonts w:ascii="Times New Roman" w:eastAsia="Times New Roman" w:hAnsi="Times New Roman"/>
          <w:sz w:val="24"/>
          <w:szCs w:val="24"/>
        </w:rPr>
      </w:pPr>
    </w:p>
    <w:p w14:paraId="50512281" w14:textId="77777777" w:rsidR="00EC1BFB" w:rsidRDefault="00EC1BFB" w:rsidP="00F326E5">
      <w:pPr>
        <w:pStyle w:val="NoSpacing"/>
        <w:rPr>
          <w:rFonts w:ascii="Arial Black" w:hAnsi="Arial Black"/>
          <w:sz w:val="24"/>
          <w:szCs w:val="24"/>
        </w:rPr>
      </w:pPr>
    </w:p>
    <w:p w14:paraId="13994F1D" w14:textId="77777777" w:rsidR="00EC1BFB" w:rsidRDefault="00EC1BFB" w:rsidP="00F326E5">
      <w:pPr>
        <w:pStyle w:val="NoSpacing"/>
        <w:rPr>
          <w:rFonts w:ascii="Arial Black" w:hAnsi="Arial Black"/>
          <w:sz w:val="24"/>
          <w:szCs w:val="24"/>
        </w:rPr>
      </w:pPr>
    </w:p>
    <w:p w14:paraId="7C709F7B" w14:textId="77777777" w:rsidR="00EC1BFB" w:rsidRDefault="00EC1BFB" w:rsidP="00F326E5">
      <w:pPr>
        <w:pStyle w:val="NoSpacing"/>
        <w:rPr>
          <w:rFonts w:ascii="Arial Black" w:hAnsi="Arial Black"/>
          <w:sz w:val="24"/>
          <w:szCs w:val="24"/>
        </w:rPr>
      </w:pPr>
    </w:p>
    <w:p w14:paraId="49957FE6" w14:textId="7B7CC3CE" w:rsidR="00EB2493" w:rsidRDefault="00EB2493" w:rsidP="00F326E5">
      <w:pPr>
        <w:pStyle w:val="NoSpacing"/>
        <w:rPr>
          <w:rFonts w:ascii="Arial Black" w:hAnsi="Arial Black"/>
          <w:sz w:val="24"/>
          <w:szCs w:val="24"/>
        </w:rPr>
      </w:pPr>
      <w:r>
        <w:rPr>
          <w:rFonts w:ascii="Arial Black" w:hAnsi="Arial Black"/>
          <w:sz w:val="24"/>
          <w:szCs w:val="24"/>
        </w:rPr>
        <w:t>16-51</w:t>
      </w:r>
    </w:p>
    <w:p w14:paraId="7EA31AA0" w14:textId="77777777" w:rsidR="00EB2493" w:rsidRPr="00EE15C8" w:rsidRDefault="00EB2493" w:rsidP="00EB2493">
      <w:pPr>
        <w:rPr>
          <w:rFonts w:ascii="Arial Black" w:hAnsi="Arial Black"/>
          <w:sz w:val="28"/>
          <w:szCs w:val="28"/>
        </w:rPr>
      </w:pPr>
      <w:r>
        <w:rPr>
          <w:rFonts w:ascii="Arial Black" w:hAnsi="Arial Black"/>
          <w:sz w:val="28"/>
          <w:szCs w:val="28"/>
        </w:rPr>
        <w:t xml:space="preserve">IL: HORSEPLAY – CHICAGO FF GRABBED GENITALS OF MEDIC PROBIE – FF FIRED – MEDIC’S FED. CASE DISMISSED </w:t>
      </w:r>
    </w:p>
    <w:p w14:paraId="52416462" w14:textId="77777777" w:rsidR="00EB2493" w:rsidRDefault="00EB2493" w:rsidP="00EB2493">
      <w:pPr>
        <w:rPr>
          <w:rFonts w:ascii="Times New Roman" w:hAnsi="Times New Roman"/>
          <w:sz w:val="24"/>
          <w:szCs w:val="24"/>
        </w:rPr>
      </w:pPr>
      <w:r w:rsidRPr="004377F8">
        <w:rPr>
          <w:rFonts w:ascii="Times New Roman" w:hAnsi="Times New Roman"/>
          <w:sz w:val="24"/>
          <w:szCs w:val="24"/>
        </w:rPr>
        <w:t xml:space="preserve">On Feb. 23, 2021, in </w:t>
      </w:r>
      <w:r w:rsidRPr="004377F8">
        <w:rPr>
          <w:rFonts w:ascii="Times New Roman" w:hAnsi="Times New Roman"/>
          <w:sz w:val="24"/>
          <w:szCs w:val="24"/>
          <w:u w:val="single"/>
        </w:rPr>
        <w:t>Patrick Blake v, William Regan and The City of Chicago</w:t>
      </w:r>
      <w:r>
        <w:rPr>
          <w:rFonts w:ascii="Times New Roman" w:hAnsi="Times New Roman"/>
          <w:sz w:val="24"/>
          <w:szCs w:val="24"/>
        </w:rPr>
        <w:t xml:space="preserve">, U.S. District Court Judge Manish S. Shan, U.S. District Court for the Northern District of Illinois (Eastern Division), granted the defendants’ motion to dismiss; horseplay conduct was basis of discipline, improper, but facts don’t support a Federal claim of “deprivation of constitutional rights.” </w:t>
      </w:r>
    </w:p>
    <w:bookmarkEnd w:id="595"/>
    <w:p w14:paraId="31B4F1F9"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4377F8">
        <w:rPr>
          <w:rFonts w:ascii="Times New Roman" w:hAnsi="Times New Roman"/>
          <w:sz w:val="24"/>
          <w:szCs w:val="24"/>
        </w:rPr>
        <w:t xml:space="preserve">After Chicago firefighter William Regan was found not guilty of battery in state court, former paramedic-trainee Patrick Blake filed this Section 1983 lawsuit against Regan, alleging that Regan seized Blake in violation of the Fourth Amendment when Regan grabbed Blake's genitals. Blake also filed </w:t>
      </w:r>
      <w:r w:rsidRPr="004377F8">
        <w:rPr>
          <w:rFonts w:ascii="Times New Roman" w:hAnsi="Times New Roman"/>
          <w:i/>
          <w:iCs/>
          <w:sz w:val="24"/>
          <w:szCs w:val="24"/>
        </w:rPr>
        <w:t>Monell</w:t>
      </w:r>
      <w:r w:rsidRPr="004377F8">
        <w:rPr>
          <w:rFonts w:ascii="Times New Roman" w:hAnsi="Times New Roman"/>
          <w:sz w:val="24"/>
          <w:szCs w:val="24"/>
        </w:rPr>
        <w:t xml:space="preserve"> and indemnification claims against Regan's employer, the City of Chicago. For the reasons stated below, the defendants' motions to dismiss are granted.</w:t>
      </w:r>
    </w:p>
    <w:p w14:paraId="05B3A64B" w14:textId="77777777" w:rsidR="00EB2493" w:rsidRPr="004377F8" w:rsidRDefault="00EB2493" w:rsidP="00EB2493">
      <w:pPr>
        <w:ind w:left="720"/>
        <w:rPr>
          <w:rFonts w:ascii="Times New Roman" w:hAnsi="Times New Roman"/>
          <w:sz w:val="24"/>
          <w:szCs w:val="24"/>
        </w:rPr>
      </w:pPr>
      <w:r>
        <w:rPr>
          <w:rFonts w:ascii="Times New Roman" w:hAnsi="Times New Roman"/>
          <w:sz w:val="24"/>
          <w:szCs w:val="24"/>
        </w:rPr>
        <w:t>***</w:t>
      </w:r>
    </w:p>
    <w:p w14:paraId="57FF2DA3" w14:textId="77777777" w:rsidR="00EB2493" w:rsidRDefault="00EB2493" w:rsidP="00EB2493">
      <w:pPr>
        <w:ind w:left="720"/>
        <w:rPr>
          <w:rFonts w:ascii="Times New Roman" w:hAnsi="Times New Roman"/>
          <w:sz w:val="24"/>
          <w:szCs w:val="24"/>
        </w:rPr>
      </w:pPr>
      <w:r w:rsidRPr="004377F8">
        <w:rPr>
          <w:rFonts w:ascii="Times New Roman" w:hAnsi="Times New Roman"/>
          <w:sz w:val="24"/>
          <w:szCs w:val="24"/>
        </w:rPr>
        <w:t>Since Blake fails to allege a deprivation of constitutional rights under color of state law, his § 1983 claims against Regan and the City of Chicago fail.</w:t>
      </w:r>
    </w:p>
    <w:p w14:paraId="7386AE5D" w14:textId="77777777" w:rsidR="00EB2493" w:rsidRDefault="00EB2493" w:rsidP="00EB2493">
      <w:pPr>
        <w:ind w:left="720"/>
        <w:rPr>
          <w:rFonts w:ascii="Times New Roman" w:hAnsi="Times New Roman"/>
          <w:sz w:val="24"/>
          <w:szCs w:val="24"/>
        </w:rPr>
      </w:pPr>
      <w:r>
        <w:rPr>
          <w:rFonts w:ascii="Times New Roman" w:hAnsi="Times New Roman"/>
          <w:sz w:val="24"/>
          <w:szCs w:val="24"/>
        </w:rPr>
        <w:t>***</w:t>
      </w:r>
    </w:p>
    <w:p w14:paraId="10DC120F" w14:textId="77777777" w:rsidR="00EB2493" w:rsidRDefault="00EB2493" w:rsidP="00EB2493">
      <w:pPr>
        <w:pStyle w:val="NormalWeb"/>
        <w:ind w:left="720"/>
      </w:pPr>
      <w:r>
        <w:t xml:space="preserve">The allegations of the complaint make it certain that Blake was free to </w:t>
      </w:r>
      <w:proofErr w:type="gramStart"/>
      <w:r>
        <w:t>leave</w:t>
      </w:r>
      <w:proofErr w:type="gramEnd"/>
      <w:r>
        <w:t xml:space="preserve"> and Regan acted out of private authority. Blake's § 1983 claims against Regan and the City are dismissed with </w:t>
      </w:r>
      <w:proofErr w:type="spellStart"/>
      <w:r>
        <w:t>prejudice.</w:t>
      </w:r>
      <w:hyperlink r:id="rId2802" w:anchor="fr7" w:history="1">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fr7</w:t>
        </w:r>
      </w:hyperlink>
      <w:r>
        <w:rPr>
          <w:sz w:val="20"/>
          <w:szCs w:val="20"/>
          <w:vertAlign w:val="superscript"/>
        </w:rPr>
        <w:t xml:space="preserve"> </w:t>
      </w:r>
      <w:r>
        <w:t xml:space="preserve"> Blake's state-law indemnification claim is based on the same conduct as his constitutional claim. A tort judgment is a prerequisite to any claim of payment under the Illinois Tort Immunity Act, and Blake cannot obtain one if he fails to allege </w:t>
      </w:r>
      <w:proofErr w:type="gramStart"/>
      <w:r>
        <w:t>a constitutional</w:t>
      </w:r>
      <w:proofErr w:type="gramEnd"/>
      <w:r>
        <w:t xml:space="preserve"> tort. </w:t>
      </w:r>
      <w:r>
        <w:rPr>
          <w:i/>
          <w:iCs/>
        </w:rPr>
        <w:t>See</w:t>
      </w:r>
      <w:r>
        <w:t xml:space="preserve"> 745 ILCS § 10/9-102.</w:t>
      </w:r>
      <w:r>
        <w:rPr>
          <w:sz w:val="20"/>
          <w:szCs w:val="20"/>
          <w:vertAlign w:val="superscript"/>
        </w:rPr>
        <w:t xml:space="preserve"> </w:t>
      </w:r>
      <w:r>
        <w:t xml:space="preserve"> </w:t>
      </w:r>
      <w:bookmarkStart w:id="596" w:name="_Hlk66950392"/>
      <w:r w:rsidR="00F00958">
        <w:fldChar w:fldCharType="begin"/>
      </w:r>
      <w:r w:rsidR="00F00958">
        <w:instrText xml:space="preserve"> HYPERLINK "https://cases.justia.com/federal/district-courts/illinois/ilndce/1:2020cv04065/377664/27/0.pdf" </w:instrText>
      </w:r>
      <w:r w:rsidR="00F00958">
        <w:fldChar w:fldCharType="separate"/>
      </w:r>
      <w:r w:rsidRPr="00800310">
        <w:rPr>
          <w:rStyle w:val="Hyperlink"/>
        </w:rPr>
        <w:t>https://cases.justia.com/federal/district-courts/illinois/ilndce/1:2020cv04065/377664/27/0.pdf</w:t>
      </w:r>
      <w:r w:rsidR="00F00958">
        <w:rPr>
          <w:rStyle w:val="Hyperlink"/>
        </w:rPr>
        <w:fldChar w:fldCharType="end"/>
      </w:r>
      <w:r>
        <w:t xml:space="preserve"> </w:t>
      </w:r>
    </w:p>
    <w:p w14:paraId="0DA4A54D" w14:textId="77777777" w:rsidR="00EB2493" w:rsidRDefault="00EB2493" w:rsidP="00EB2493">
      <w:pPr>
        <w:pStyle w:val="NormalWeb"/>
      </w:pPr>
      <w:r w:rsidRPr="00192F79">
        <w:rPr>
          <w:b/>
          <w:bCs/>
        </w:rPr>
        <w:t>Legal Lesson Learned:</w:t>
      </w:r>
      <w:r>
        <w:rPr>
          <w:b/>
          <w:bCs/>
        </w:rPr>
        <w:t xml:space="preserve"> Horseplay in this case crossed the line; what a terrible example of inappropriate conduct by a training officer. </w:t>
      </w:r>
    </w:p>
    <w:bookmarkEnd w:id="596"/>
    <w:p w14:paraId="5DC2361F" w14:textId="77777777" w:rsidR="00EB2493" w:rsidRDefault="00EB2493" w:rsidP="00F326E5">
      <w:pPr>
        <w:pStyle w:val="NoSpacing"/>
        <w:rPr>
          <w:rFonts w:ascii="Arial Black" w:hAnsi="Arial Black"/>
          <w:sz w:val="24"/>
          <w:szCs w:val="24"/>
        </w:rPr>
      </w:pPr>
    </w:p>
    <w:p w14:paraId="673C9AF3" w14:textId="77777777" w:rsidR="00EB2493" w:rsidRDefault="00EB2493" w:rsidP="00F326E5">
      <w:pPr>
        <w:pStyle w:val="NoSpacing"/>
        <w:rPr>
          <w:rFonts w:ascii="Arial Black" w:hAnsi="Arial Black"/>
          <w:sz w:val="24"/>
          <w:szCs w:val="24"/>
        </w:rPr>
      </w:pPr>
    </w:p>
    <w:p w14:paraId="7F1F2584" w14:textId="77777777" w:rsidR="00EB2493" w:rsidRDefault="00EB2493" w:rsidP="00F326E5">
      <w:pPr>
        <w:pStyle w:val="NoSpacing"/>
        <w:rPr>
          <w:rFonts w:ascii="Arial Black" w:hAnsi="Arial Black"/>
          <w:sz w:val="24"/>
          <w:szCs w:val="24"/>
        </w:rPr>
      </w:pPr>
    </w:p>
    <w:p w14:paraId="37342B32" w14:textId="1B113B5D" w:rsidR="00AD5461" w:rsidRDefault="00AD5461" w:rsidP="00F326E5">
      <w:pPr>
        <w:pStyle w:val="NoSpacing"/>
        <w:rPr>
          <w:rFonts w:ascii="Arial Black" w:hAnsi="Arial Black"/>
          <w:sz w:val="24"/>
          <w:szCs w:val="24"/>
        </w:rPr>
      </w:pPr>
      <w:bookmarkStart w:id="597" w:name="_Hlk66950424"/>
      <w:r>
        <w:rPr>
          <w:rFonts w:ascii="Arial Black" w:hAnsi="Arial Black"/>
          <w:sz w:val="24"/>
          <w:szCs w:val="24"/>
        </w:rPr>
        <w:t>16-50</w:t>
      </w:r>
    </w:p>
    <w:p w14:paraId="76AD4517" w14:textId="77777777" w:rsidR="00AD5461" w:rsidRPr="005B755E" w:rsidRDefault="00AD5461" w:rsidP="00AD5461">
      <w:pPr>
        <w:pStyle w:val="NoSpacing"/>
        <w:rPr>
          <w:rFonts w:ascii="Arial Black" w:hAnsi="Arial Black"/>
          <w:sz w:val="28"/>
          <w:szCs w:val="28"/>
        </w:rPr>
      </w:pPr>
      <w:r>
        <w:rPr>
          <w:rFonts w:ascii="Arial Black" w:hAnsi="Arial Black"/>
          <w:sz w:val="28"/>
          <w:szCs w:val="28"/>
        </w:rPr>
        <w:t>IL: FD CAPTAIN DRUGGED YOUNG MALE FF WITH CIALIS AND KETAMINE – SEX ASSAULT - 36 YEARS IN PRISON</w:t>
      </w:r>
    </w:p>
    <w:p w14:paraId="7040843B" w14:textId="77777777" w:rsidR="00AD5461" w:rsidRDefault="00AD5461" w:rsidP="00AD546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Jan. 22, 2021, in </w:t>
      </w:r>
      <w:r w:rsidRPr="005B755E">
        <w:rPr>
          <w:rFonts w:ascii="Times New Roman" w:hAnsi="Times New Roman"/>
          <w:sz w:val="24"/>
          <w:szCs w:val="24"/>
          <w:u w:val="single"/>
        </w:rPr>
        <w:t>The People of The State of Illinois v. David J. Dunn</w:t>
      </w:r>
      <w:r>
        <w:rPr>
          <w:rFonts w:ascii="Times New Roman" w:hAnsi="Times New Roman"/>
          <w:sz w:val="24"/>
          <w:szCs w:val="24"/>
        </w:rPr>
        <w:t xml:space="preserve">, the Illinois Court of Appeals for the Fourth District, </w:t>
      </w:r>
      <w:r w:rsidRPr="00172C02">
        <w:rPr>
          <w:rFonts w:ascii="Times New Roman" w:eastAsia="Times New Roman" w:hAnsi="Times New Roman"/>
          <w:sz w:val="24"/>
          <w:szCs w:val="24"/>
        </w:rPr>
        <w:t>2021 IL App (4th) 180552-U</w:t>
      </w:r>
      <w:r>
        <w:rPr>
          <w:rFonts w:ascii="Times New Roman" w:eastAsia="Times New Roman" w:hAnsi="Times New Roman"/>
          <w:sz w:val="24"/>
          <w:szCs w:val="24"/>
        </w:rPr>
        <w:t xml:space="preserve">, </w:t>
      </w:r>
      <w:r>
        <w:rPr>
          <w:rFonts w:ascii="Times New Roman" w:hAnsi="Times New Roman"/>
          <w:sz w:val="24"/>
          <w:szCs w:val="24"/>
        </w:rPr>
        <w:t xml:space="preserve">held (3 to 0) that jury properly convicted the Captain; at his going away party, before leaving to Alaska to become a Fire Chief, he put Cialis in victim’s beer, and then ketamine, and videotaped his assaulting the victim. </w:t>
      </w:r>
    </w:p>
    <w:bookmarkEnd w:id="597"/>
    <w:p w14:paraId="761DB574" w14:textId="77777777" w:rsidR="00AD5461" w:rsidRPr="005B755E" w:rsidRDefault="00AD5461" w:rsidP="00AD5461">
      <w:pPr>
        <w:spacing w:before="100" w:beforeAutospacing="1" w:after="100" w:afterAutospacing="1" w:line="240" w:lineRule="auto"/>
        <w:ind w:left="720"/>
        <w:rPr>
          <w:rFonts w:ascii="Times New Roman" w:hAnsi="Times New Roman"/>
          <w:sz w:val="24"/>
          <w:szCs w:val="24"/>
        </w:rPr>
      </w:pPr>
      <w:r w:rsidRPr="005B755E">
        <w:rPr>
          <w:rFonts w:ascii="Times New Roman" w:hAnsi="Times New Roman"/>
          <w:sz w:val="24"/>
          <w:szCs w:val="24"/>
        </w:rPr>
        <w:t xml:space="preserve">"Based upon the testimony, the evidence presented at trial, at some point in the evening in question, this defendant, by his own admission, put Cialis in the victim's beer. That was obviously designed for one purpose and one purpose only. The victim became intoxicated, the defendant then introduced ketamine into his system, and when the crowd dispersed, the defendant raped the victim and videotaped it, that reprehensible, deplorable offense. </w:t>
      </w:r>
      <w:proofErr w:type="gramStart"/>
      <w:r w:rsidRPr="005B755E">
        <w:rPr>
          <w:rFonts w:ascii="Times New Roman" w:hAnsi="Times New Roman"/>
          <w:sz w:val="24"/>
          <w:szCs w:val="24"/>
        </w:rPr>
        <w:t>So</w:t>
      </w:r>
      <w:proofErr w:type="gramEnd"/>
      <w:r w:rsidRPr="005B755E">
        <w:rPr>
          <w:rFonts w:ascii="Times New Roman" w:hAnsi="Times New Roman"/>
          <w:sz w:val="24"/>
          <w:szCs w:val="24"/>
        </w:rPr>
        <w:t xml:space="preserve"> the history, character, and condition of the defendant, in looking at the circumstances surrounding the offense, indicates that a sentence in excess of the minimum on counts three and four is appropriate."</w:t>
      </w:r>
      <w:r>
        <w:rPr>
          <w:rFonts w:ascii="Times New Roman" w:hAnsi="Times New Roman"/>
          <w:sz w:val="24"/>
          <w:szCs w:val="24"/>
        </w:rPr>
        <w:t xml:space="preserve"> </w:t>
      </w:r>
      <w:bookmarkStart w:id="598" w:name="_Hlk66950453"/>
      <w:r w:rsidR="00F00958">
        <w:fldChar w:fldCharType="begin"/>
      </w:r>
      <w:r w:rsidR="00F00958">
        <w:instrText xml:space="preserve"> HYPERLINK "https://courts.illinois.gov/R23_Orders/AppellateCourt/2021/4thDistrict/4180552_R23.pdf" </w:instrText>
      </w:r>
      <w:r w:rsidR="00F00958">
        <w:fldChar w:fldCharType="separate"/>
      </w:r>
      <w:r w:rsidRPr="00490C3C">
        <w:rPr>
          <w:rStyle w:val="Hyperlink"/>
          <w:rFonts w:ascii="Times New Roman" w:hAnsi="Times New Roman"/>
          <w:sz w:val="24"/>
          <w:szCs w:val="24"/>
        </w:rPr>
        <w:t>https://courts.illinois.gov/R23_Orders/AppellateCourt/2021/4thDistrict/4180552_R23.pdf</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6112B883" w14:textId="77777777" w:rsidR="00AD5461" w:rsidRDefault="00AD5461" w:rsidP="00AD5461">
      <w:pPr>
        <w:pStyle w:val="NoSpacing"/>
        <w:rPr>
          <w:rFonts w:ascii="Times New Roman" w:hAnsi="Times New Roman"/>
          <w:b/>
          <w:bCs/>
          <w:sz w:val="24"/>
          <w:szCs w:val="24"/>
        </w:rPr>
      </w:pPr>
      <w:r w:rsidRPr="00172C02">
        <w:rPr>
          <w:rFonts w:ascii="Times New Roman" w:hAnsi="Times New Roman"/>
          <w:b/>
          <w:bCs/>
          <w:sz w:val="24"/>
          <w:szCs w:val="24"/>
        </w:rPr>
        <w:t>Legal Lesson Learned:</w:t>
      </w:r>
      <w:r>
        <w:rPr>
          <w:rFonts w:ascii="Times New Roman" w:hAnsi="Times New Roman"/>
          <w:b/>
          <w:bCs/>
          <w:sz w:val="24"/>
          <w:szCs w:val="24"/>
        </w:rPr>
        <w:t xml:space="preserve">  The 36-year sentence reflects the seriousness of the defendant’s conduct. </w:t>
      </w:r>
    </w:p>
    <w:bookmarkEnd w:id="598"/>
    <w:p w14:paraId="3993D05D" w14:textId="77777777" w:rsidR="00AD5461" w:rsidRDefault="00AD5461" w:rsidP="00F326E5">
      <w:pPr>
        <w:pStyle w:val="NoSpacing"/>
        <w:rPr>
          <w:rFonts w:ascii="Arial Black" w:hAnsi="Arial Black"/>
          <w:sz w:val="24"/>
          <w:szCs w:val="24"/>
        </w:rPr>
      </w:pPr>
    </w:p>
    <w:p w14:paraId="63C33ABC" w14:textId="77777777" w:rsidR="00AD5461" w:rsidRDefault="00AD5461" w:rsidP="00F326E5">
      <w:pPr>
        <w:pStyle w:val="NoSpacing"/>
        <w:rPr>
          <w:rFonts w:ascii="Arial Black" w:hAnsi="Arial Black"/>
          <w:sz w:val="24"/>
          <w:szCs w:val="24"/>
        </w:rPr>
      </w:pPr>
    </w:p>
    <w:p w14:paraId="5186A85F" w14:textId="77777777" w:rsidR="00AD5461" w:rsidRDefault="00AD5461" w:rsidP="00F326E5">
      <w:pPr>
        <w:pStyle w:val="NoSpacing"/>
        <w:rPr>
          <w:rFonts w:ascii="Arial Black" w:hAnsi="Arial Black"/>
          <w:sz w:val="24"/>
          <w:szCs w:val="24"/>
        </w:rPr>
      </w:pPr>
    </w:p>
    <w:p w14:paraId="2AECD8FD" w14:textId="53B13D39" w:rsidR="00F20BCE" w:rsidRPr="00AD5461" w:rsidRDefault="00F20BCE" w:rsidP="00F326E5">
      <w:pPr>
        <w:pStyle w:val="NoSpacing"/>
        <w:rPr>
          <w:rFonts w:ascii="Times New Roman" w:hAnsi="Times New Roman"/>
          <w:sz w:val="24"/>
          <w:szCs w:val="24"/>
        </w:rPr>
      </w:pPr>
      <w:r>
        <w:rPr>
          <w:rFonts w:ascii="Arial Black" w:hAnsi="Arial Black"/>
          <w:sz w:val="24"/>
          <w:szCs w:val="24"/>
        </w:rPr>
        <w:t xml:space="preserve">16-49 </w:t>
      </w:r>
      <w:r w:rsidRPr="00AD5461">
        <w:rPr>
          <w:rFonts w:ascii="Times New Roman" w:hAnsi="Times New Roman"/>
          <w:sz w:val="24"/>
          <w:szCs w:val="24"/>
        </w:rPr>
        <w:t>[also filed, Chap. 6]</w:t>
      </w:r>
    </w:p>
    <w:p w14:paraId="6F437A34" w14:textId="77777777" w:rsidR="00F20BCE" w:rsidRDefault="00F20BCE" w:rsidP="00F20BCE">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MA: INTERNAL INVEST. OF TREASURER - EMPLOYEES PROVIDE INFO – PROTECTED FROM DEFAMATION – NO SPITE OR ILL WILL</w:t>
      </w:r>
    </w:p>
    <w:p w14:paraId="0AB3FCF4" w14:textId="77777777" w:rsidR="00F20BCE" w:rsidRDefault="00F20BCE" w:rsidP="00F20B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10, 2020, in </w:t>
      </w:r>
      <w:r>
        <w:rPr>
          <w:rFonts w:ascii="Times New Roman" w:hAnsi="Times New Roman"/>
          <w:sz w:val="24"/>
          <w:szCs w:val="24"/>
          <w:u w:val="single"/>
        </w:rPr>
        <w:t>Diane Lawless v, Cheryl Estrella</w:t>
      </w:r>
      <w:r>
        <w:rPr>
          <w:rFonts w:ascii="Times New Roman" w:hAnsi="Times New Roman"/>
          <w:sz w:val="24"/>
          <w:szCs w:val="24"/>
        </w:rPr>
        <w:t xml:space="preserve">, the Massachusetts Court of Appeals held (3 to 0) that the trial court properly granted summary judgment and dismissed the lawsuit filed by the former Town Treasurer against a Senior Clerk who provided investigators with a 6-page e-mail documenting misconduct by the Treasurer. </w:t>
      </w:r>
    </w:p>
    <w:p w14:paraId="35FBCB06"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“We conclude that an opinion based on disclosed, nondefamatory facts </w:t>
      </w:r>
      <w:proofErr w:type="gramStart"/>
      <w:r>
        <w:rPr>
          <w:rFonts w:ascii="Times New Roman" w:hAnsi="Times New Roman"/>
          <w:sz w:val="24"/>
          <w:szCs w:val="24"/>
        </w:rPr>
        <w:t>is</w:t>
      </w:r>
      <w:proofErr w:type="gramEnd"/>
      <w:r>
        <w:rPr>
          <w:rFonts w:ascii="Times New Roman" w:hAnsi="Times New Roman"/>
          <w:sz w:val="24"/>
          <w:szCs w:val="24"/>
        </w:rPr>
        <w:t xml:space="preserve"> not defamatory and that many of the allegedly defamatory statements constitute such opinions. Further concluding that an employee has a conditional privilege to provide information concerning another employee upon the request of a supervisor and that the plaintiff failed to raise a genuine issue of material fact that would allow a jury to find that this privilege was abused regarding the other statements, we affirm.” </w:t>
      </w:r>
      <w:hyperlink r:id="rId2803" w:history="1">
        <w:r>
          <w:rPr>
            <w:rStyle w:val="Hyperlink"/>
          </w:rPr>
          <w:t>https://www.massmunilaw.org/wp-content/uploads/2020/12/DIANE-LAWLESS-v.-CHERYL-ESTRELLA.pdf</w:t>
        </w:r>
      </w:hyperlink>
      <w:r>
        <w:rPr>
          <w:rFonts w:ascii="Times New Roman" w:hAnsi="Times New Roman"/>
          <w:sz w:val="24"/>
          <w:szCs w:val="24"/>
        </w:rPr>
        <w:t xml:space="preserve"> </w:t>
      </w:r>
    </w:p>
    <w:p w14:paraId="3A575859" w14:textId="77777777" w:rsidR="00F20BCE" w:rsidRDefault="00F20BCE" w:rsidP="00F20BCE">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Internal investigations of a public official will often involve co-workers providing statements.  The “conditional privilege” is an important protection of these co-workers.</w:t>
      </w:r>
    </w:p>
    <w:p w14:paraId="43E52121"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Court of Appeals referenced a Fire Department case where a co-worker also enjoyed protection from defamation lawsuit under the “conditional privilege.”  Kevin Barrows v. Wareham Fire District (Mass Court of Appeals; Oct. 12, 2012). </w:t>
      </w:r>
      <w:hyperlink r:id="rId2804" w:history="1">
        <w:r>
          <w:rPr>
            <w:rStyle w:val="Hyperlink"/>
          </w:rPr>
          <w:t>http://masscases.com/cases/app/82/82massappct623.html</w:t>
        </w:r>
      </w:hyperlink>
      <w:r>
        <w:t xml:space="preserve"> </w:t>
      </w:r>
    </w:p>
    <w:p w14:paraId="38E9753D" w14:textId="77777777" w:rsidR="00F20BCE" w:rsidRDefault="00F20BCE" w:rsidP="00F326E5">
      <w:pPr>
        <w:pStyle w:val="NoSpacing"/>
        <w:rPr>
          <w:rFonts w:ascii="Arial Black" w:hAnsi="Arial Black"/>
          <w:sz w:val="24"/>
          <w:szCs w:val="24"/>
        </w:rPr>
      </w:pPr>
    </w:p>
    <w:p w14:paraId="7C1B0B49" w14:textId="654744B4" w:rsidR="00F20BCE" w:rsidRDefault="00F20BCE" w:rsidP="00F326E5">
      <w:pPr>
        <w:pStyle w:val="NoSpacing"/>
        <w:rPr>
          <w:rFonts w:ascii="Arial Black" w:hAnsi="Arial Black"/>
          <w:sz w:val="24"/>
          <w:szCs w:val="24"/>
        </w:rPr>
      </w:pPr>
      <w:r>
        <w:rPr>
          <w:rFonts w:ascii="Arial Black" w:hAnsi="Arial Black"/>
          <w:sz w:val="24"/>
          <w:szCs w:val="24"/>
        </w:rPr>
        <w:t>16-48</w:t>
      </w:r>
    </w:p>
    <w:p w14:paraId="0A5DFC25" w14:textId="77777777" w:rsidR="00F20BCE" w:rsidRDefault="00F20BCE" w:rsidP="00F20BCE">
      <w:pPr>
        <w:spacing w:before="100" w:beforeAutospacing="1" w:after="100" w:afterAutospacing="1" w:line="240" w:lineRule="auto"/>
        <w:rPr>
          <w:rFonts w:ascii="Arial Black" w:eastAsiaTheme="minorHAnsi" w:hAnsi="Arial Black" w:cstheme="minorBidi"/>
          <w:sz w:val="28"/>
          <w:szCs w:val="28"/>
        </w:rPr>
      </w:pPr>
      <w:r>
        <w:rPr>
          <w:rFonts w:ascii="Arial Black" w:hAnsi="Arial Black"/>
          <w:sz w:val="28"/>
          <w:szCs w:val="28"/>
        </w:rPr>
        <w:t>OH: FF FIRED - FACEBOOK POSTS, TURNOUT GEAR, BAD GRANT DATA – TOWNSHIP CAN FIRE WITHOUT FIRE CHIEF RECOMM.</w:t>
      </w:r>
    </w:p>
    <w:p w14:paraId="529EC153" w14:textId="77777777" w:rsidR="00F20BCE" w:rsidRDefault="00F20BCE" w:rsidP="00F20B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25, 2020, in </w:t>
      </w:r>
      <w:r>
        <w:rPr>
          <w:rFonts w:ascii="Times New Roman" w:hAnsi="Times New Roman"/>
          <w:sz w:val="24"/>
          <w:szCs w:val="24"/>
          <w:u w:val="single"/>
        </w:rPr>
        <w:t>Karl D. Gerhart v. Union Township Board of Trustees</w:t>
      </w:r>
      <w:r>
        <w:rPr>
          <w:rFonts w:ascii="Times New Roman" w:hAnsi="Times New Roman"/>
          <w:sz w:val="24"/>
          <w:szCs w:val="24"/>
        </w:rPr>
        <w:t xml:space="preserve">, the Court of Appeals of Ohio, Fourth Appellate District (Ross County), 2020 Ohio 5615, held (3 to 0) that the firefighter was properly fired by the Township under Ohio Revised Code, even if the FD’s manual calls for the Fire Chief to recommend termination. </w:t>
      </w:r>
    </w:p>
    <w:p w14:paraId="2F6B7B99"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“[Defendant] thus argues that the disciplinary manual required the chief to recommend to the board of trustees his removal.  </w:t>
      </w:r>
    </w:p>
    <w:p w14:paraId="49716C61"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R.C. 505.38 provides for the removal of firefighters in accordance with R.C. 733.35. R.C. 733.35 provides that a firefighter may be removed if he ‘has been guilty, in the performance of his official duty, of bribery, misfeasance, malfeasance, nonfeasance, misconduct in office, gross neglect of duty, gross immorality, or habitual drunkenness.’</w:t>
      </w:r>
    </w:p>
    <w:p w14:paraId="1F57B03D"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In the case sub judice, the board of trustees’ cited reasons for terminating appellant tracks the language contained in R.C. 733.35, i.e., misfeasance, malfeasance, and misconduct in office.” </w:t>
      </w:r>
      <w:hyperlink r:id="rId2805" w:history="1">
        <w:r>
          <w:rPr>
            <w:rStyle w:val="Hyperlink"/>
          </w:rPr>
          <w:t>https://www.supremecourt.ohio.gov/rod/docs/pdf/4/2020/2020-Ohio-5615.pdf</w:t>
        </w:r>
      </w:hyperlink>
      <w:r>
        <w:rPr>
          <w:rFonts w:ascii="Times New Roman" w:hAnsi="Times New Roman"/>
          <w:sz w:val="24"/>
          <w:szCs w:val="24"/>
        </w:rPr>
        <w:t xml:space="preserve"> </w:t>
      </w:r>
    </w:p>
    <w:p w14:paraId="63AA2E38" w14:textId="77777777" w:rsidR="00F20BCE" w:rsidRDefault="00F20BCE" w:rsidP="00F20BCE">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evidence presented to the Township Trustees supported his termination. </w:t>
      </w:r>
    </w:p>
    <w:p w14:paraId="13D26AF5" w14:textId="77777777" w:rsidR="00F20BCE" w:rsidRDefault="00F20BCE" w:rsidP="00F326E5">
      <w:pPr>
        <w:pStyle w:val="NoSpacing"/>
        <w:rPr>
          <w:rFonts w:ascii="Arial Black" w:hAnsi="Arial Black"/>
          <w:sz w:val="24"/>
          <w:szCs w:val="24"/>
        </w:rPr>
      </w:pPr>
    </w:p>
    <w:p w14:paraId="1A434715" w14:textId="77777777" w:rsidR="00F20BCE" w:rsidRDefault="00F20BCE" w:rsidP="00F326E5">
      <w:pPr>
        <w:pStyle w:val="NoSpacing"/>
        <w:rPr>
          <w:rFonts w:ascii="Arial Black" w:hAnsi="Arial Black"/>
          <w:sz w:val="24"/>
          <w:szCs w:val="24"/>
        </w:rPr>
      </w:pPr>
    </w:p>
    <w:p w14:paraId="4E93B618" w14:textId="348CD7E5" w:rsidR="00663A6A" w:rsidRDefault="00663A6A" w:rsidP="00F326E5">
      <w:pPr>
        <w:pStyle w:val="NoSpacing"/>
        <w:rPr>
          <w:rFonts w:ascii="Arial Black" w:hAnsi="Arial Black"/>
          <w:sz w:val="24"/>
          <w:szCs w:val="24"/>
        </w:rPr>
      </w:pPr>
      <w:r>
        <w:rPr>
          <w:rFonts w:ascii="Arial Black" w:hAnsi="Arial Black"/>
          <w:sz w:val="24"/>
          <w:szCs w:val="24"/>
        </w:rPr>
        <w:t>16-47</w:t>
      </w:r>
    </w:p>
    <w:p w14:paraId="0547978D" w14:textId="268DBC70" w:rsidR="00663A6A" w:rsidRDefault="00663A6A" w:rsidP="00F326E5">
      <w:pPr>
        <w:pStyle w:val="NoSpacing"/>
        <w:rPr>
          <w:rFonts w:ascii="Arial Black" w:hAnsi="Arial Black"/>
          <w:sz w:val="24"/>
          <w:szCs w:val="24"/>
        </w:rPr>
      </w:pPr>
    </w:p>
    <w:p w14:paraId="19B0A905" w14:textId="77777777" w:rsidR="00663A6A" w:rsidRPr="00A30759" w:rsidRDefault="00663A6A" w:rsidP="00663A6A">
      <w:pPr>
        <w:pStyle w:val="NoSpacing"/>
        <w:rPr>
          <w:rFonts w:ascii="Arial Black" w:hAnsi="Arial Black"/>
          <w:sz w:val="28"/>
          <w:szCs w:val="28"/>
        </w:rPr>
      </w:pPr>
      <w:r>
        <w:rPr>
          <w:rFonts w:ascii="Arial Black" w:hAnsi="Arial Black"/>
          <w:sz w:val="28"/>
          <w:szCs w:val="28"/>
        </w:rPr>
        <w:t>OK: FIRE CHIEF FIRED – WRITTEN WARNING, 1-YR LATER NEVER WORKED FF SHIFT, OTHER ISSUES - FIRED FOR “GOOD CAUSE”</w:t>
      </w:r>
    </w:p>
    <w:p w14:paraId="2950E5A2" w14:textId="77777777" w:rsidR="00663A6A" w:rsidRDefault="00663A6A" w:rsidP="00663A6A">
      <w:pPr>
        <w:tabs>
          <w:tab w:val="left" w:pos="7150"/>
        </w:tabs>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On Nov. 4</w:t>
      </w:r>
      <w:proofErr w:type="gramStart"/>
      <w:r>
        <w:rPr>
          <w:rFonts w:ascii="Times New Roman" w:eastAsia="Times New Roman" w:hAnsi="Times New Roman"/>
          <w:sz w:val="24"/>
          <w:szCs w:val="24"/>
        </w:rPr>
        <w:t xml:space="preserve"> 2020</w:t>
      </w:r>
      <w:proofErr w:type="gramEnd"/>
      <w:r>
        <w:rPr>
          <w:rFonts w:ascii="Times New Roman" w:eastAsia="Times New Roman" w:hAnsi="Times New Roman"/>
          <w:sz w:val="24"/>
          <w:szCs w:val="24"/>
        </w:rPr>
        <w:t xml:space="preserve">, in </w:t>
      </w:r>
      <w:r w:rsidRPr="00A30759">
        <w:rPr>
          <w:rFonts w:ascii="Times New Roman" w:eastAsia="Times New Roman" w:hAnsi="Times New Roman"/>
          <w:sz w:val="24"/>
          <w:szCs w:val="24"/>
          <w:u w:val="single"/>
        </w:rPr>
        <w:t>Stephen Parmenter v. City of Nowata, Oklahoma</w:t>
      </w:r>
      <w:r>
        <w:rPr>
          <w:rFonts w:ascii="Times New Roman" w:eastAsia="Times New Roman" w:hAnsi="Times New Roman"/>
          <w:sz w:val="24"/>
          <w:szCs w:val="24"/>
        </w:rPr>
        <w:t xml:space="preserve">, U.S. District Court Judge Terence C. Kern, U.S. District Court for the Northern District of Oklahoma, granted the City’s motion for summary judgment.  The Fire Chief worked for a Chartered City which empowered the City Manager to terminate heads of department and others “at will.”  In Aug. 2017, the City Manager issued written reprimand documenting numerous personnel issues; the Manager also added a requirement the Chief work one shift per week, which he never did for following year. </w:t>
      </w:r>
    </w:p>
    <w:p w14:paraId="1F862FE6" w14:textId="77777777" w:rsidR="00663A6A" w:rsidRPr="00A30759"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A30759">
        <w:rPr>
          <w:rFonts w:ascii="Times New Roman" w:hAnsi="Times New Roman"/>
          <w:sz w:val="24"/>
          <w:szCs w:val="24"/>
        </w:rPr>
        <w:t xml:space="preserve">Moreover, even assuming 11 O.S. §19-104 applies to Parmenter's claim, the undisputed record establishes that he was fired for </w:t>
      </w:r>
      <w:r>
        <w:rPr>
          <w:rFonts w:ascii="Times New Roman" w:hAnsi="Times New Roman"/>
          <w:sz w:val="24"/>
          <w:szCs w:val="24"/>
        </w:rPr>
        <w:t>‘</w:t>
      </w:r>
      <w:r w:rsidRPr="00A30759">
        <w:rPr>
          <w:rFonts w:ascii="Times New Roman" w:hAnsi="Times New Roman"/>
          <w:sz w:val="24"/>
          <w:szCs w:val="24"/>
        </w:rPr>
        <w:t>good and sufficient cause.</w:t>
      </w:r>
      <w:r>
        <w:rPr>
          <w:rFonts w:ascii="Times New Roman" w:hAnsi="Times New Roman"/>
          <w:sz w:val="24"/>
          <w:szCs w:val="24"/>
        </w:rPr>
        <w:t>’</w:t>
      </w:r>
      <w:r w:rsidRPr="00A30759">
        <w:rPr>
          <w:rFonts w:ascii="Times New Roman" w:hAnsi="Times New Roman"/>
          <w:sz w:val="24"/>
          <w:szCs w:val="24"/>
        </w:rPr>
        <w:t xml:space="preserve"> On August 31, 2017, he received a formal, documented reprimand listing numerous issues </w:t>
      </w:r>
      <w:proofErr w:type="gramStart"/>
      <w:r w:rsidRPr="00A30759">
        <w:rPr>
          <w:rFonts w:ascii="Times New Roman" w:hAnsi="Times New Roman"/>
          <w:sz w:val="24"/>
          <w:szCs w:val="24"/>
        </w:rPr>
        <w:t>and also</w:t>
      </w:r>
      <w:proofErr w:type="gramEnd"/>
      <w:r w:rsidRPr="00A30759">
        <w:rPr>
          <w:rFonts w:ascii="Times New Roman" w:hAnsi="Times New Roman"/>
          <w:sz w:val="24"/>
          <w:szCs w:val="24"/>
        </w:rPr>
        <w:t xml:space="preserve"> ordering him to work at least one regular shift per week as a firefighter. Accordingly, he was aware that any further infractions could lead to disciplinary action—including termination—against him. For well over a year after the written reprimand, Carrick continued to address items listed in the written reprimand. During that time, and in contravention of the reprimand, he failed to work a single fire shift. Moreover, after meeting with fire department employees, Carrick learned of other issues—including that department morale was abysmal due to favoritism of one employee over the others, and that employees were trading shifts without documenting the trades, and then directly compensating each other for covered shifts. </w:t>
      </w:r>
    </w:p>
    <w:p w14:paraId="79E85F4C" w14:textId="77777777" w:rsidR="00663A6A" w:rsidRDefault="00663A6A" w:rsidP="00663A6A">
      <w:pPr>
        <w:pStyle w:val="NoSpacing"/>
        <w:rPr>
          <w:rFonts w:ascii="Times New Roman" w:hAnsi="Times New Roman"/>
          <w:sz w:val="24"/>
          <w:szCs w:val="24"/>
        </w:rPr>
      </w:pPr>
    </w:p>
    <w:p w14:paraId="629CD128" w14:textId="77777777" w:rsidR="00663A6A" w:rsidRPr="00A30759" w:rsidRDefault="00663A6A" w:rsidP="00663A6A">
      <w:pPr>
        <w:pStyle w:val="NoSpacing"/>
        <w:ind w:left="720"/>
        <w:rPr>
          <w:rFonts w:ascii="Times New Roman" w:eastAsia="Times New Roman" w:hAnsi="Times New Roman"/>
          <w:sz w:val="24"/>
          <w:szCs w:val="24"/>
        </w:rPr>
      </w:pPr>
      <w:r w:rsidRPr="00A30759">
        <w:rPr>
          <w:rFonts w:ascii="Times New Roman" w:hAnsi="Times New Roman"/>
          <w:sz w:val="24"/>
          <w:szCs w:val="24"/>
        </w:rPr>
        <w:t xml:space="preserve">The undisputed record supports the City's position that Parmenter's termination was for </w:t>
      </w:r>
      <w:r>
        <w:rPr>
          <w:rFonts w:ascii="Times New Roman" w:hAnsi="Times New Roman"/>
          <w:sz w:val="24"/>
          <w:szCs w:val="24"/>
        </w:rPr>
        <w:t>‘</w:t>
      </w:r>
      <w:r w:rsidRPr="00A30759">
        <w:rPr>
          <w:rFonts w:ascii="Times New Roman" w:hAnsi="Times New Roman"/>
          <w:sz w:val="24"/>
          <w:szCs w:val="24"/>
        </w:rPr>
        <w:t>good and sufficient cause.</w:t>
      </w:r>
      <w:r>
        <w:rPr>
          <w:rFonts w:ascii="Times New Roman" w:hAnsi="Times New Roman"/>
          <w:sz w:val="24"/>
          <w:szCs w:val="24"/>
        </w:rPr>
        <w:t xml:space="preserve">’” </w:t>
      </w:r>
      <w:hyperlink r:id="rId2806" w:history="1">
        <w:r w:rsidRPr="00BA14DC">
          <w:rPr>
            <w:rStyle w:val="Hyperlink"/>
            <w:rFonts w:ascii="Times New Roman" w:hAnsi="Times New Roman"/>
            <w:sz w:val="24"/>
            <w:szCs w:val="24"/>
          </w:rPr>
          <w:t>https://casetext.com/case/parmenter-v-city-of-nowata</w:t>
        </w:r>
      </w:hyperlink>
      <w:r>
        <w:rPr>
          <w:rFonts w:ascii="Times New Roman" w:hAnsi="Times New Roman"/>
          <w:sz w:val="24"/>
          <w:szCs w:val="24"/>
        </w:rPr>
        <w:t xml:space="preserve"> </w:t>
      </w:r>
    </w:p>
    <w:p w14:paraId="2682E1B7" w14:textId="53898DAA" w:rsidR="00663A6A" w:rsidRDefault="00663A6A" w:rsidP="00F326E5">
      <w:pPr>
        <w:pStyle w:val="NoSpacing"/>
        <w:rPr>
          <w:rFonts w:ascii="Arial Black" w:hAnsi="Arial Black"/>
          <w:sz w:val="24"/>
          <w:szCs w:val="24"/>
        </w:rPr>
      </w:pPr>
    </w:p>
    <w:p w14:paraId="7F359E5B" w14:textId="77777777" w:rsidR="00663A6A" w:rsidRPr="00B00DFD" w:rsidRDefault="00663A6A" w:rsidP="00663A6A">
      <w:pPr>
        <w:spacing w:before="100" w:beforeAutospacing="1" w:after="100" w:afterAutospacing="1" w:line="240" w:lineRule="auto"/>
        <w:rPr>
          <w:rFonts w:ascii="Times New Roman" w:eastAsia="Times New Roman" w:hAnsi="Times New Roman"/>
          <w:b/>
          <w:bCs/>
          <w:sz w:val="24"/>
          <w:szCs w:val="24"/>
        </w:rPr>
      </w:pPr>
      <w:r w:rsidRPr="00B00DF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City Manager thoroughly documented the employment concerns; she also provided “due process” to the “at will” Fire Chief.  </w:t>
      </w:r>
    </w:p>
    <w:p w14:paraId="5F0C8ACC" w14:textId="77777777" w:rsidR="00663A6A" w:rsidRDefault="00663A6A" w:rsidP="00F326E5">
      <w:pPr>
        <w:pStyle w:val="NoSpacing"/>
        <w:rPr>
          <w:rFonts w:ascii="Arial Black" w:hAnsi="Arial Black"/>
          <w:sz w:val="24"/>
          <w:szCs w:val="24"/>
        </w:rPr>
      </w:pPr>
    </w:p>
    <w:p w14:paraId="6B5C843D" w14:textId="77777777" w:rsidR="00663A6A" w:rsidRDefault="00663A6A" w:rsidP="00F326E5">
      <w:pPr>
        <w:pStyle w:val="NoSpacing"/>
        <w:rPr>
          <w:rFonts w:ascii="Arial Black" w:hAnsi="Arial Black"/>
          <w:sz w:val="24"/>
          <w:szCs w:val="24"/>
        </w:rPr>
      </w:pPr>
    </w:p>
    <w:p w14:paraId="0C75D0B9" w14:textId="13BD9728" w:rsidR="00663A6A" w:rsidRDefault="00663A6A" w:rsidP="00F326E5">
      <w:pPr>
        <w:pStyle w:val="NoSpacing"/>
        <w:rPr>
          <w:rFonts w:ascii="Arial Black" w:hAnsi="Arial Black"/>
          <w:sz w:val="24"/>
          <w:szCs w:val="24"/>
        </w:rPr>
      </w:pPr>
      <w:r>
        <w:rPr>
          <w:rFonts w:ascii="Arial Black" w:hAnsi="Arial Black"/>
          <w:sz w:val="24"/>
          <w:szCs w:val="24"/>
        </w:rPr>
        <w:t>16-46</w:t>
      </w:r>
    </w:p>
    <w:p w14:paraId="6B2CFC09" w14:textId="37CDC39B" w:rsidR="00663A6A" w:rsidRDefault="00663A6A" w:rsidP="00F326E5">
      <w:pPr>
        <w:pStyle w:val="NoSpacing"/>
        <w:rPr>
          <w:rFonts w:ascii="Arial Black" w:hAnsi="Arial Black"/>
          <w:sz w:val="24"/>
          <w:szCs w:val="24"/>
        </w:rPr>
      </w:pPr>
    </w:p>
    <w:p w14:paraId="544B97FA" w14:textId="77777777" w:rsidR="00663A6A" w:rsidRPr="000C02CA" w:rsidRDefault="00663A6A" w:rsidP="00663A6A">
      <w:pPr>
        <w:pStyle w:val="NoSpacing"/>
        <w:rPr>
          <w:rFonts w:ascii="Arial Black" w:hAnsi="Arial Black"/>
          <w:sz w:val="28"/>
          <w:szCs w:val="28"/>
        </w:rPr>
      </w:pPr>
      <w:r>
        <w:rPr>
          <w:rFonts w:ascii="Arial Black" w:hAnsi="Arial Black"/>
          <w:sz w:val="28"/>
          <w:szCs w:val="28"/>
        </w:rPr>
        <w:t>NJ: RECUIT FIRED AFTER GRADUATING - CHIEF KNEW HE HAD ALTERED INSURANCE CARD NEW RESIDENCE - REINSTATED</w:t>
      </w:r>
    </w:p>
    <w:p w14:paraId="73124402" w14:textId="77777777" w:rsidR="00663A6A" w:rsidRDefault="00663A6A" w:rsidP="00663A6A">
      <w:pPr>
        <w:pStyle w:val="NoSpacing"/>
      </w:pPr>
    </w:p>
    <w:p w14:paraId="1EC7FA0A" w14:textId="77777777" w:rsidR="00663A6A" w:rsidRDefault="00663A6A" w:rsidP="00663A6A">
      <w:pPr>
        <w:pStyle w:val="NoSpacing"/>
        <w:rPr>
          <w:rFonts w:ascii="Times New Roman" w:hAnsi="Times New Roman"/>
          <w:sz w:val="24"/>
          <w:szCs w:val="24"/>
        </w:rPr>
      </w:pPr>
      <w:r w:rsidRPr="00472D0A">
        <w:rPr>
          <w:rFonts w:ascii="Times New Roman" w:hAnsi="Times New Roman"/>
          <w:sz w:val="24"/>
          <w:szCs w:val="24"/>
        </w:rPr>
        <w:t xml:space="preserve">On Oct. 19, 2020, </w:t>
      </w:r>
      <w:r w:rsidRPr="00472D0A">
        <w:rPr>
          <w:rFonts w:ascii="Times New Roman" w:hAnsi="Times New Roman"/>
          <w:sz w:val="24"/>
          <w:szCs w:val="24"/>
          <w:u w:val="single"/>
        </w:rPr>
        <w:t xml:space="preserve">In </w:t>
      </w:r>
      <w:proofErr w:type="gramStart"/>
      <w:r w:rsidRPr="00472D0A">
        <w:rPr>
          <w:rFonts w:ascii="Times New Roman" w:hAnsi="Times New Roman"/>
          <w:sz w:val="24"/>
          <w:szCs w:val="24"/>
          <w:u w:val="single"/>
        </w:rPr>
        <w:t>The</w:t>
      </w:r>
      <w:proofErr w:type="gramEnd"/>
      <w:r w:rsidRPr="00472D0A">
        <w:rPr>
          <w:rFonts w:ascii="Times New Roman" w:hAnsi="Times New Roman"/>
          <w:sz w:val="24"/>
          <w:szCs w:val="24"/>
          <w:u w:val="single"/>
        </w:rPr>
        <w:t xml:space="preserve"> Matter </w:t>
      </w:r>
      <w:proofErr w:type="gramStart"/>
      <w:r w:rsidRPr="00472D0A">
        <w:rPr>
          <w:rFonts w:ascii="Times New Roman" w:hAnsi="Times New Roman"/>
          <w:sz w:val="24"/>
          <w:szCs w:val="24"/>
          <w:u w:val="single"/>
        </w:rPr>
        <w:t>Of</w:t>
      </w:r>
      <w:proofErr w:type="gramEnd"/>
      <w:r w:rsidRPr="00472D0A">
        <w:rPr>
          <w:rFonts w:ascii="Times New Roman" w:hAnsi="Times New Roman"/>
          <w:sz w:val="24"/>
          <w:szCs w:val="24"/>
          <w:u w:val="single"/>
        </w:rPr>
        <w:t xml:space="preserve"> Christopher D’Amico, City of Plainfield Fire Department</w:t>
      </w:r>
      <w:r w:rsidRPr="00472D0A">
        <w:rPr>
          <w:rFonts w:ascii="Times New Roman" w:hAnsi="Times New Roman"/>
          <w:sz w:val="24"/>
          <w:szCs w:val="24"/>
        </w:rPr>
        <w:t xml:space="preserve">, </w:t>
      </w:r>
      <w:r>
        <w:rPr>
          <w:rFonts w:ascii="Times New Roman" w:hAnsi="Times New Roman"/>
          <w:sz w:val="24"/>
          <w:szCs w:val="24"/>
        </w:rPr>
        <w:t xml:space="preserve">the Superior Court of New Jersey (Appellate Division) held (3 to 0) that the Civil Service Commission properly reinstated the firefighter.  The Fire Chief knew of the altered card and </w:t>
      </w:r>
      <w:proofErr w:type="gramStart"/>
      <w:r>
        <w:rPr>
          <w:rFonts w:ascii="Times New Roman" w:hAnsi="Times New Roman"/>
          <w:sz w:val="24"/>
          <w:szCs w:val="24"/>
        </w:rPr>
        <w:t>has allowed</w:t>
      </w:r>
      <w:proofErr w:type="gramEnd"/>
      <w:r>
        <w:rPr>
          <w:rFonts w:ascii="Times New Roman" w:hAnsi="Times New Roman"/>
          <w:sz w:val="24"/>
          <w:szCs w:val="24"/>
        </w:rPr>
        <w:t xml:space="preserve"> the firefighter to enter recruit school. </w:t>
      </w:r>
    </w:p>
    <w:p w14:paraId="78D0081A" w14:textId="77777777" w:rsidR="00663A6A" w:rsidRPr="00472D0A" w:rsidRDefault="00663A6A" w:rsidP="00663A6A">
      <w:pPr>
        <w:pStyle w:val="NoSpacing"/>
        <w:rPr>
          <w:rFonts w:ascii="Times New Roman" w:hAnsi="Times New Roman"/>
          <w:sz w:val="24"/>
          <w:szCs w:val="24"/>
        </w:rPr>
      </w:pPr>
    </w:p>
    <w:p w14:paraId="5FD3CFAB" w14:textId="77777777" w:rsidR="00663A6A" w:rsidRPr="00472D0A"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472D0A">
        <w:rPr>
          <w:rFonts w:ascii="Times New Roman" w:hAnsi="Times New Roman"/>
          <w:sz w:val="24"/>
          <w:szCs w:val="24"/>
        </w:rPr>
        <w:t>After reviewing the City</w:t>
      </w:r>
      <w:r>
        <w:rPr>
          <w:rFonts w:ascii="Times New Roman" w:hAnsi="Times New Roman"/>
          <w:sz w:val="24"/>
          <w:szCs w:val="24"/>
        </w:rPr>
        <w:t>’</w:t>
      </w:r>
      <w:r w:rsidRPr="00472D0A">
        <w:rPr>
          <w:rFonts w:ascii="Times New Roman" w:hAnsi="Times New Roman"/>
          <w:sz w:val="24"/>
          <w:szCs w:val="24"/>
        </w:rPr>
        <w:t>s exceptions, the Commission</w:t>
      </w:r>
      <w:r>
        <w:rPr>
          <w:rFonts w:ascii="Times New Roman" w:hAnsi="Times New Roman"/>
          <w:sz w:val="24"/>
          <w:szCs w:val="24"/>
        </w:rPr>
        <w:t xml:space="preserve"> </w:t>
      </w:r>
      <w:r w:rsidRPr="00472D0A">
        <w:rPr>
          <w:rFonts w:ascii="Times New Roman" w:hAnsi="Times New Roman"/>
          <w:sz w:val="24"/>
          <w:szCs w:val="24"/>
        </w:rPr>
        <w:t>agreed with the ALJ. It held D</w:t>
      </w:r>
      <w:r>
        <w:rPr>
          <w:rFonts w:ascii="Times New Roman" w:hAnsi="Times New Roman"/>
          <w:sz w:val="24"/>
          <w:szCs w:val="24"/>
        </w:rPr>
        <w:t>’</w:t>
      </w:r>
      <w:r w:rsidRPr="00472D0A">
        <w:rPr>
          <w:rFonts w:ascii="Times New Roman" w:hAnsi="Times New Roman"/>
          <w:sz w:val="24"/>
          <w:szCs w:val="24"/>
        </w:rPr>
        <w:t>Amico provided</w:t>
      </w:r>
      <w:r>
        <w:rPr>
          <w:rFonts w:ascii="Times New Roman" w:hAnsi="Times New Roman"/>
          <w:sz w:val="24"/>
          <w:szCs w:val="24"/>
        </w:rPr>
        <w:t xml:space="preserve"> </w:t>
      </w:r>
      <w:r w:rsidRPr="00472D0A">
        <w:rPr>
          <w:rFonts w:ascii="Times New Roman" w:hAnsi="Times New Roman"/>
          <w:sz w:val="24"/>
          <w:szCs w:val="24"/>
        </w:rPr>
        <w:t>his true address on the card and the addition of correct information</w:t>
      </w:r>
      <w:r>
        <w:rPr>
          <w:rFonts w:ascii="Times New Roman" w:hAnsi="Times New Roman"/>
          <w:sz w:val="24"/>
          <w:szCs w:val="24"/>
        </w:rPr>
        <w:t xml:space="preserve"> </w:t>
      </w:r>
      <w:r w:rsidRPr="00472D0A">
        <w:rPr>
          <w:rFonts w:ascii="Times New Roman" w:hAnsi="Times New Roman"/>
          <w:sz w:val="24"/>
          <w:szCs w:val="24"/>
        </w:rPr>
        <w:t xml:space="preserve">on the document did not indicate a lack of character or morals to be a firefighter. Even if it were, the Commission concluded the </w:t>
      </w:r>
      <w:proofErr w:type="gramStart"/>
      <w:r w:rsidRPr="00472D0A">
        <w:rPr>
          <w:rFonts w:ascii="Times New Roman" w:hAnsi="Times New Roman"/>
          <w:sz w:val="24"/>
          <w:szCs w:val="24"/>
        </w:rPr>
        <w:t>City</w:t>
      </w:r>
      <w:proofErr w:type="gramEnd"/>
      <w:r w:rsidRPr="00472D0A">
        <w:rPr>
          <w:rFonts w:ascii="Times New Roman" w:hAnsi="Times New Roman"/>
          <w:sz w:val="24"/>
          <w:szCs w:val="24"/>
        </w:rPr>
        <w:t xml:space="preserve"> was aware of the altered document in May 2017,</w:t>
      </w:r>
      <w:r>
        <w:rPr>
          <w:rFonts w:ascii="Times New Roman" w:hAnsi="Times New Roman"/>
          <w:sz w:val="24"/>
          <w:szCs w:val="24"/>
        </w:rPr>
        <w:t xml:space="preserve"> </w:t>
      </w:r>
      <w:r w:rsidRPr="00472D0A">
        <w:rPr>
          <w:rFonts w:ascii="Times New Roman" w:hAnsi="Times New Roman"/>
          <w:sz w:val="24"/>
          <w:szCs w:val="24"/>
        </w:rPr>
        <w:t>before D</w:t>
      </w:r>
      <w:r>
        <w:rPr>
          <w:rFonts w:ascii="Times New Roman" w:hAnsi="Times New Roman"/>
          <w:sz w:val="24"/>
          <w:szCs w:val="24"/>
        </w:rPr>
        <w:t>’</w:t>
      </w:r>
      <w:r w:rsidRPr="00472D0A">
        <w:rPr>
          <w:rFonts w:ascii="Times New Roman" w:hAnsi="Times New Roman"/>
          <w:sz w:val="24"/>
          <w:szCs w:val="24"/>
        </w:rPr>
        <w:t>Amico was hired and attended the</w:t>
      </w:r>
      <w:r>
        <w:rPr>
          <w:rFonts w:ascii="Times New Roman" w:hAnsi="Times New Roman"/>
          <w:sz w:val="24"/>
          <w:szCs w:val="24"/>
        </w:rPr>
        <w:t xml:space="preserve"> </w:t>
      </w:r>
      <w:r w:rsidRPr="00472D0A">
        <w:rPr>
          <w:rFonts w:ascii="Times New Roman" w:hAnsi="Times New Roman"/>
          <w:sz w:val="24"/>
          <w:szCs w:val="24"/>
        </w:rPr>
        <w:t>fire</w:t>
      </w:r>
      <w:r>
        <w:rPr>
          <w:rFonts w:ascii="Times New Roman" w:hAnsi="Times New Roman"/>
          <w:sz w:val="24"/>
          <w:szCs w:val="24"/>
        </w:rPr>
        <w:t xml:space="preserve"> </w:t>
      </w:r>
      <w:r w:rsidRPr="00472D0A">
        <w:rPr>
          <w:rFonts w:ascii="Times New Roman" w:hAnsi="Times New Roman"/>
          <w:sz w:val="24"/>
          <w:szCs w:val="24"/>
        </w:rPr>
        <w:t>academy. In addition, because D</w:t>
      </w:r>
      <w:r>
        <w:rPr>
          <w:rFonts w:ascii="Times New Roman" w:hAnsi="Times New Roman"/>
          <w:sz w:val="24"/>
          <w:szCs w:val="24"/>
        </w:rPr>
        <w:t>’</w:t>
      </w:r>
      <w:r w:rsidRPr="00472D0A">
        <w:rPr>
          <w:rFonts w:ascii="Times New Roman" w:hAnsi="Times New Roman"/>
          <w:sz w:val="24"/>
          <w:szCs w:val="24"/>
        </w:rPr>
        <w:t xml:space="preserve">Amico was on the job for only three or four hours at the time he was terminated, the Commission concluded the </w:t>
      </w:r>
      <w:proofErr w:type="gramStart"/>
      <w:r w:rsidRPr="00472D0A">
        <w:rPr>
          <w:rFonts w:ascii="Times New Roman" w:hAnsi="Times New Roman"/>
          <w:sz w:val="24"/>
          <w:szCs w:val="24"/>
        </w:rPr>
        <w:t>City</w:t>
      </w:r>
      <w:proofErr w:type="gramEnd"/>
      <w:r w:rsidRPr="00472D0A">
        <w:rPr>
          <w:rFonts w:ascii="Times New Roman" w:hAnsi="Times New Roman"/>
          <w:sz w:val="24"/>
          <w:szCs w:val="24"/>
        </w:rPr>
        <w:t xml:space="preserve"> had the burden of proving D</w:t>
      </w:r>
      <w:r>
        <w:rPr>
          <w:rFonts w:ascii="Times New Roman" w:hAnsi="Times New Roman"/>
          <w:sz w:val="24"/>
          <w:szCs w:val="24"/>
        </w:rPr>
        <w:t>’</w:t>
      </w:r>
      <w:r w:rsidRPr="00472D0A">
        <w:rPr>
          <w:rFonts w:ascii="Times New Roman" w:hAnsi="Times New Roman"/>
          <w:sz w:val="24"/>
          <w:szCs w:val="24"/>
        </w:rPr>
        <w:t>Amico was guilty of the charges. Based on its findings, the Commission reinstated D</w:t>
      </w:r>
      <w:r>
        <w:rPr>
          <w:rFonts w:ascii="Times New Roman" w:hAnsi="Times New Roman"/>
          <w:sz w:val="24"/>
          <w:szCs w:val="24"/>
        </w:rPr>
        <w:t>’</w:t>
      </w:r>
      <w:r w:rsidRPr="00472D0A">
        <w:rPr>
          <w:rFonts w:ascii="Times New Roman" w:hAnsi="Times New Roman"/>
          <w:sz w:val="24"/>
          <w:szCs w:val="24"/>
        </w:rPr>
        <w:t>Amico, and awarded</w:t>
      </w:r>
      <w:r>
        <w:rPr>
          <w:rFonts w:ascii="Times New Roman" w:hAnsi="Times New Roman"/>
          <w:sz w:val="24"/>
          <w:szCs w:val="24"/>
        </w:rPr>
        <w:t xml:space="preserve"> </w:t>
      </w:r>
      <w:r w:rsidRPr="00472D0A">
        <w:rPr>
          <w:rFonts w:ascii="Times New Roman" w:hAnsi="Times New Roman"/>
          <w:sz w:val="24"/>
          <w:szCs w:val="24"/>
        </w:rPr>
        <w:t>him</w:t>
      </w:r>
      <w:r>
        <w:rPr>
          <w:rFonts w:ascii="Times New Roman" w:hAnsi="Times New Roman"/>
          <w:sz w:val="24"/>
          <w:szCs w:val="24"/>
        </w:rPr>
        <w:t xml:space="preserve"> </w:t>
      </w:r>
      <w:r w:rsidRPr="00472D0A">
        <w:rPr>
          <w:rFonts w:ascii="Times New Roman" w:hAnsi="Times New Roman"/>
          <w:sz w:val="24"/>
          <w:szCs w:val="24"/>
        </w:rPr>
        <w:t>back pay, benefits,</w:t>
      </w:r>
      <w:r>
        <w:rPr>
          <w:rFonts w:ascii="Times New Roman" w:hAnsi="Times New Roman"/>
          <w:sz w:val="24"/>
          <w:szCs w:val="24"/>
        </w:rPr>
        <w:t xml:space="preserve"> </w:t>
      </w:r>
      <w:r w:rsidRPr="00472D0A">
        <w:rPr>
          <w:rFonts w:ascii="Times New Roman" w:hAnsi="Times New Roman"/>
          <w:sz w:val="24"/>
          <w:szCs w:val="24"/>
        </w:rPr>
        <w:t>and seniority status.</w:t>
      </w:r>
      <w:r>
        <w:rPr>
          <w:rFonts w:ascii="Times New Roman" w:hAnsi="Times New Roman"/>
          <w:sz w:val="24"/>
          <w:szCs w:val="24"/>
        </w:rPr>
        <w:t xml:space="preserve">” </w:t>
      </w:r>
      <w:hyperlink r:id="rId2807" w:history="1">
        <w:r w:rsidRPr="00AA126E">
          <w:rPr>
            <w:rStyle w:val="Hyperlink"/>
            <w:rFonts w:ascii="Times New Roman" w:hAnsi="Times New Roman"/>
            <w:sz w:val="24"/>
            <w:szCs w:val="24"/>
          </w:rPr>
          <w:t>https://njcourts.gov/attorneys/assets/opinions/appellate/unpublished/a4576-18.pdf?c=len</w:t>
        </w:r>
      </w:hyperlink>
      <w:r>
        <w:rPr>
          <w:rFonts w:ascii="Times New Roman" w:hAnsi="Times New Roman"/>
          <w:sz w:val="24"/>
          <w:szCs w:val="24"/>
        </w:rPr>
        <w:t xml:space="preserve"> </w:t>
      </w:r>
    </w:p>
    <w:p w14:paraId="4D9600FB" w14:textId="77777777" w:rsidR="00663A6A" w:rsidRPr="00213E82" w:rsidRDefault="00663A6A" w:rsidP="00663A6A">
      <w:pPr>
        <w:pStyle w:val="Heading1"/>
        <w:rPr>
          <w:sz w:val="24"/>
          <w:szCs w:val="24"/>
        </w:rPr>
      </w:pPr>
      <w:r w:rsidRPr="00213E82">
        <w:rPr>
          <w:sz w:val="24"/>
          <w:szCs w:val="24"/>
        </w:rPr>
        <w:t xml:space="preserve">Legal Lesson Learned: </w:t>
      </w:r>
      <w:r>
        <w:rPr>
          <w:sz w:val="24"/>
          <w:szCs w:val="24"/>
        </w:rPr>
        <w:t xml:space="preserve">Recruit was fortunate to have a Fire Chief who supported him. If city </w:t>
      </w:r>
      <w:proofErr w:type="gramStart"/>
      <w:r>
        <w:rPr>
          <w:sz w:val="24"/>
          <w:szCs w:val="24"/>
        </w:rPr>
        <w:t>needed</w:t>
      </w:r>
      <w:proofErr w:type="gramEnd"/>
      <w:r>
        <w:rPr>
          <w:sz w:val="24"/>
          <w:szCs w:val="24"/>
        </w:rPr>
        <w:t xml:space="preserve"> more proof of your residency, ask for additional time to prove you moved into the city. </w:t>
      </w:r>
    </w:p>
    <w:p w14:paraId="0EB06B69" w14:textId="77777777" w:rsidR="00663A6A" w:rsidRDefault="00663A6A" w:rsidP="00663A6A">
      <w:pPr>
        <w:pStyle w:val="Heading1"/>
        <w:ind w:left="720"/>
      </w:pPr>
      <w:r>
        <w:rPr>
          <w:b w:val="0"/>
          <w:bCs w:val="0"/>
          <w:sz w:val="24"/>
          <w:szCs w:val="24"/>
        </w:rPr>
        <w:t>Note: This case was featured in trade press. “</w:t>
      </w:r>
      <w:r w:rsidRPr="00213E82">
        <w:rPr>
          <w:b w:val="0"/>
          <w:bCs w:val="0"/>
          <w:sz w:val="24"/>
          <w:szCs w:val="24"/>
        </w:rPr>
        <w:t>NJ Firefighter Fired Three Hours Into First Day Can Stay on Job, Court Rules</w:t>
      </w:r>
      <w:r>
        <w:rPr>
          <w:b w:val="0"/>
          <w:bCs w:val="0"/>
          <w:sz w:val="24"/>
          <w:szCs w:val="24"/>
        </w:rPr>
        <w:t xml:space="preserve">” (Nov. 2, 2020): </w:t>
      </w:r>
      <w:hyperlink r:id="rId2808" w:history="1">
        <w:r w:rsidRPr="00214867">
          <w:rPr>
            <w:rStyle w:val="Hyperlink"/>
            <w:b w:val="0"/>
            <w:bCs w:val="0"/>
            <w:sz w:val="24"/>
            <w:szCs w:val="24"/>
          </w:rPr>
          <w:t>https://www.fireengineering.com/2020/11/02/495783/nj-firefighter-fired-three-hours-into-first-day-can-stay-on-job-court-rules/?utm_medium=email&amp;utm_campaign=2020-11-03&amp;utm_source=fe_daily_newsletter</w:t>
        </w:r>
      </w:hyperlink>
      <w:r w:rsidRPr="00214867">
        <w:rPr>
          <w:b w:val="0"/>
          <w:bCs w:val="0"/>
          <w:sz w:val="24"/>
          <w:szCs w:val="24"/>
        </w:rPr>
        <w:t xml:space="preserve"> </w:t>
      </w:r>
    </w:p>
    <w:p w14:paraId="05273E84" w14:textId="77777777" w:rsidR="00663A6A" w:rsidRDefault="00663A6A" w:rsidP="00F326E5">
      <w:pPr>
        <w:pStyle w:val="NoSpacing"/>
        <w:rPr>
          <w:rFonts w:ascii="Arial Black" w:hAnsi="Arial Black"/>
          <w:sz w:val="24"/>
          <w:szCs w:val="24"/>
        </w:rPr>
      </w:pPr>
    </w:p>
    <w:p w14:paraId="32BD0D5B" w14:textId="77777777" w:rsidR="00663A6A" w:rsidRDefault="00663A6A" w:rsidP="00F326E5">
      <w:pPr>
        <w:pStyle w:val="NoSpacing"/>
        <w:rPr>
          <w:rFonts w:ascii="Arial Black" w:hAnsi="Arial Black"/>
          <w:sz w:val="24"/>
          <w:szCs w:val="24"/>
        </w:rPr>
      </w:pPr>
    </w:p>
    <w:p w14:paraId="6EA637F2" w14:textId="77777777" w:rsidR="00663A6A" w:rsidRDefault="00663A6A" w:rsidP="00F326E5">
      <w:pPr>
        <w:pStyle w:val="NoSpacing"/>
        <w:rPr>
          <w:rFonts w:ascii="Arial Black" w:hAnsi="Arial Black"/>
          <w:sz w:val="24"/>
          <w:szCs w:val="24"/>
        </w:rPr>
      </w:pPr>
    </w:p>
    <w:p w14:paraId="4ED2251A" w14:textId="1ED50ED1" w:rsidR="00102FD0" w:rsidRDefault="00102FD0" w:rsidP="00F326E5">
      <w:pPr>
        <w:pStyle w:val="NoSpacing"/>
        <w:rPr>
          <w:rFonts w:ascii="Arial Black" w:hAnsi="Arial Black"/>
          <w:sz w:val="24"/>
          <w:szCs w:val="24"/>
        </w:rPr>
      </w:pPr>
      <w:r>
        <w:rPr>
          <w:rFonts w:ascii="Arial Black" w:hAnsi="Arial Black"/>
          <w:sz w:val="24"/>
          <w:szCs w:val="24"/>
        </w:rPr>
        <w:t>16-45</w:t>
      </w:r>
    </w:p>
    <w:p w14:paraId="310AF3AA" w14:textId="77777777" w:rsidR="00102FD0" w:rsidRPr="007C11CE"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LA: ASSISTANT CHIEF - LYING TO CHIEF ABOUT LUNCH PRESENTATION – PURGED CELL PHONE TEXTS – TERMINATION UPHELD</w:t>
      </w:r>
    </w:p>
    <w:p w14:paraId="0C328F5C"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20, 2020, in </w:t>
      </w:r>
      <w:r w:rsidRPr="007C11CE">
        <w:rPr>
          <w:rFonts w:ascii="Times New Roman" w:eastAsia="Times New Roman" w:hAnsi="Times New Roman"/>
          <w:sz w:val="24"/>
          <w:szCs w:val="24"/>
          <w:u w:val="single"/>
        </w:rPr>
        <w:t>Frederick N. Meiners, III v. St. Tammany Parish Fire Protection District No. 4, et al.</w:t>
      </w:r>
      <w:r>
        <w:rPr>
          <w:rFonts w:ascii="Times New Roman" w:eastAsia="Times New Roman" w:hAnsi="Times New Roman"/>
          <w:sz w:val="24"/>
          <w:szCs w:val="24"/>
        </w:rPr>
        <w:t>, the Supreme Court of Louisiana, held (6 to 1) that the District Court judge had no authority to overturn the Civil Service Board’s decision upholding the termination.</w:t>
      </w:r>
    </w:p>
    <w:p w14:paraId="0AB284A8"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D33F4">
        <w:rPr>
          <w:rFonts w:ascii="Times New Roman" w:hAnsi="Times New Roman"/>
          <w:sz w:val="24"/>
          <w:szCs w:val="24"/>
        </w:rPr>
        <w:t xml:space="preserve">We acknowledge the district court did not specifically impose a new sanction; rather, the district court's judgment simply states </w:t>
      </w:r>
      <w:r>
        <w:rPr>
          <w:rFonts w:ascii="Times New Roman" w:hAnsi="Times New Roman"/>
          <w:sz w:val="24"/>
          <w:szCs w:val="24"/>
        </w:rPr>
        <w:t>‘</w:t>
      </w:r>
      <w:r w:rsidRPr="008D33F4">
        <w:rPr>
          <w:rFonts w:ascii="Times New Roman" w:hAnsi="Times New Roman"/>
          <w:sz w:val="24"/>
          <w:szCs w:val="24"/>
        </w:rPr>
        <w:t>remanded to the St. Tammany Parish Fire Protection District No. 4 Civil Service Board for further proceedings in accordance with this Judgment and the written reasons issued by the Court on November 14, 2018.</w:t>
      </w:r>
      <w:r>
        <w:rPr>
          <w:rFonts w:ascii="Times New Roman" w:hAnsi="Times New Roman"/>
          <w:sz w:val="24"/>
          <w:szCs w:val="24"/>
        </w:rPr>
        <w:t xml:space="preserve">’ </w:t>
      </w:r>
      <w:r w:rsidRPr="008D33F4">
        <w:rPr>
          <w:rFonts w:ascii="Times New Roman" w:hAnsi="Times New Roman"/>
          <w:sz w:val="24"/>
          <w:szCs w:val="24"/>
        </w:rPr>
        <w:t>Nonetheless, the clear implication of the court's judgment is that termination is excessive, and the Board must therefore revise its decision to impose a lesser sanction. Thus, although the district court did not explicitly dictate the sanction, it defined the parameters of the sanction as being something other than termination. This action clearly goes beyond the authority granted to the district court under La. R.S. 33:2561(E).</w:t>
      </w:r>
      <w:r>
        <w:rPr>
          <w:rFonts w:ascii="Times New Roman" w:hAnsi="Times New Roman"/>
          <w:sz w:val="24"/>
          <w:szCs w:val="24"/>
        </w:rPr>
        <w:t xml:space="preserve">” </w:t>
      </w:r>
      <w:hyperlink r:id="rId2809" w:history="1">
        <w:r w:rsidRPr="000B4E4B">
          <w:rPr>
            <w:rStyle w:val="Hyperlink"/>
            <w:rFonts w:ascii="Times New Roman" w:eastAsia="Times New Roman" w:hAnsi="Times New Roman"/>
            <w:sz w:val="24"/>
            <w:szCs w:val="24"/>
          </w:rPr>
          <w:t>https://www.lasc.org/Opinions/2020/20-0491.CC.OPN.pdf</w:t>
        </w:r>
      </w:hyperlink>
      <w:r>
        <w:rPr>
          <w:rFonts w:ascii="Times New Roman" w:eastAsia="Times New Roman" w:hAnsi="Times New Roman"/>
          <w:sz w:val="24"/>
          <w:szCs w:val="24"/>
        </w:rPr>
        <w:t xml:space="preserve"> </w:t>
      </w:r>
    </w:p>
    <w:p w14:paraId="52D5FC6C" w14:textId="77777777" w:rsidR="00102FD0" w:rsidRPr="001149D1" w:rsidRDefault="00102FD0" w:rsidP="00102FD0">
      <w:pPr>
        <w:spacing w:after="100" w:line="240" w:lineRule="auto"/>
        <w:rPr>
          <w:rFonts w:ascii="Times New Roman" w:eastAsia="Times New Roman" w:hAnsi="Times New Roman"/>
          <w:b/>
          <w:bCs/>
          <w:sz w:val="24"/>
          <w:szCs w:val="24"/>
        </w:rPr>
      </w:pPr>
      <w:r w:rsidRPr="001149D1">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When under investigation for lying to a superior officer, conduct involving destruction of evidence (deleting texts from cell phone) can have very serious consequences.</w:t>
      </w:r>
    </w:p>
    <w:p w14:paraId="623547A8" w14:textId="77777777" w:rsidR="00102FD0" w:rsidRDefault="00102FD0" w:rsidP="00F326E5">
      <w:pPr>
        <w:pStyle w:val="NoSpacing"/>
        <w:rPr>
          <w:rFonts w:ascii="Arial Black" w:hAnsi="Arial Black"/>
          <w:sz w:val="24"/>
          <w:szCs w:val="24"/>
        </w:rPr>
      </w:pPr>
    </w:p>
    <w:p w14:paraId="10B4883D" w14:textId="77777777" w:rsidR="00102FD0" w:rsidRDefault="00102FD0" w:rsidP="00F326E5">
      <w:pPr>
        <w:pStyle w:val="NoSpacing"/>
        <w:rPr>
          <w:rFonts w:ascii="Arial Black" w:hAnsi="Arial Black"/>
          <w:sz w:val="24"/>
          <w:szCs w:val="24"/>
        </w:rPr>
      </w:pPr>
    </w:p>
    <w:p w14:paraId="55EA79D9" w14:textId="6EE6360D" w:rsidR="00B532F6" w:rsidRDefault="00B532F6" w:rsidP="00F326E5">
      <w:pPr>
        <w:pStyle w:val="NoSpacing"/>
        <w:rPr>
          <w:rFonts w:ascii="Arial Black" w:hAnsi="Arial Black"/>
          <w:sz w:val="24"/>
          <w:szCs w:val="24"/>
        </w:rPr>
      </w:pPr>
      <w:r>
        <w:rPr>
          <w:rFonts w:ascii="Arial Black" w:hAnsi="Arial Black"/>
          <w:sz w:val="24"/>
          <w:szCs w:val="24"/>
        </w:rPr>
        <w:t>16-44</w:t>
      </w:r>
    </w:p>
    <w:p w14:paraId="13FF3A83" w14:textId="77777777" w:rsidR="00B532F6" w:rsidRPr="00036F0B" w:rsidRDefault="00B532F6" w:rsidP="00B532F6">
      <w:pPr>
        <w:pStyle w:val="NormalWeb"/>
        <w:rPr>
          <w:rFonts w:ascii="Arial Black" w:hAnsi="Arial Black"/>
          <w:sz w:val="28"/>
          <w:szCs w:val="28"/>
        </w:rPr>
      </w:pPr>
      <w:r w:rsidRPr="00036F0B">
        <w:rPr>
          <w:rFonts w:ascii="Arial Black" w:hAnsi="Arial Black"/>
          <w:sz w:val="28"/>
          <w:szCs w:val="28"/>
        </w:rPr>
        <w:t xml:space="preserve">CA: </w:t>
      </w:r>
      <w:r>
        <w:rPr>
          <w:rFonts w:ascii="Arial Black" w:hAnsi="Arial Black"/>
          <w:sz w:val="28"/>
          <w:szCs w:val="28"/>
        </w:rPr>
        <w:t>CAPTAIN’S EXAM - INTERVIEW QUESTIONS LEAKED TO 3 - DEMOTED, REAPPOINTED, THEN DEMOTED AGAIN – OVERTURNED</w:t>
      </w:r>
    </w:p>
    <w:p w14:paraId="41746CFC" w14:textId="77777777" w:rsidR="00B532F6" w:rsidRDefault="00B532F6" w:rsidP="00B532F6">
      <w:pPr>
        <w:pStyle w:val="NormalWeb"/>
      </w:pPr>
      <w:r>
        <w:t xml:space="preserve">On Sept. 23, 2020, in </w:t>
      </w:r>
      <w:r w:rsidRPr="00CF230F">
        <w:rPr>
          <w:u w:val="single"/>
        </w:rPr>
        <w:t xml:space="preserve">Justin Chaplain, et al. v. State Personnel Board and Department of Forestry </w:t>
      </w:r>
      <w:proofErr w:type="gramStart"/>
      <w:r w:rsidRPr="00CF230F">
        <w:rPr>
          <w:u w:val="single"/>
        </w:rPr>
        <w:t>And</w:t>
      </w:r>
      <w:proofErr w:type="gramEnd"/>
      <w:r w:rsidRPr="00CF230F">
        <w:rPr>
          <w:u w:val="single"/>
        </w:rPr>
        <w:t xml:space="preserve"> Fire Protection</w:t>
      </w:r>
      <w:r>
        <w:t xml:space="preserve">, the Court of Appeals of the State of California, First Appellate District (Division One), held (3 to 0) that the State Personnel Board is reversed; CAL FIRE could not reimpose demotion of two Captains, since those firefighters had never appealed from their original demotion.   Third Captain did appeal so Board does have jurisdiction over his case [hopefully CAL FIRE will likewise re-promote him]. </w:t>
      </w:r>
    </w:p>
    <w:p w14:paraId="2A85DEA2" w14:textId="77777777" w:rsidR="00B532F6" w:rsidRDefault="00B532F6" w:rsidP="00B532F6">
      <w:pPr>
        <w:pStyle w:val="NormalWeb"/>
        <w:ind w:left="720"/>
      </w:pPr>
      <w:r>
        <w:t xml:space="preserve">“Here, the firefighters [Justine Chaplain and Justin Michels] have consistently claimed that the Board lacked the legal authority to proceed against them twice for the same behavior. Their specific argument that a substitution of disciplinary charges must occur before an action is concluded is based on principles related to statutory finality, not on those related to limitation periods. </w:t>
      </w:r>
    </w:p>
    <w:p w14:paraId="6CBAB395" w14:textId="77777777" w:rsidR="00B532F6" w:rsidRDefault="00B532F6" w:rsidP="00B532F6">
      <w:pPr>
        <w:pStyle w:val="NormalWeb"/>
        <w:ind w:left="720"/>
      </w:pPr>
      <w:r>
        <w:t xml:space="preserve">On the merits, we agree with the firefighters that once a disciplinary action becomes final, the employer is prohibited from withdrawing it and initiating a new adverse action. </w:t>
      </w:r>
      <w:r w:rsidRPr="00F81757">
        <w:t>The plain language of section 19575 could not be clearer: an appointing</w:t>
      </w:r>
      <w:r>
        <w:t xml:space="preserve"> </w:t>
      </w:r>
      <w:r w:rsidRPr="00F81757">
        <w:t>power's discipline is final where no appeal is taken within 30 calendar day</w:t>
      </w:r>
      <w:r>
        <w:t>s.</w:t>
      </w:r>
    </w:p>
    <w:p w14:paraId="518846F3" w14:textId="77777777" w:rsidR="00B532F6" w:rsidRDefault="00B532F6" w:rsidP="00B532F6">
      <w:pPr>
        <w:pStyle w:val="NormalWeb"/>
        <w:ind w:left="720"/>
      </w:pPr>
      <w:r>
        <w:t>***</w:t>
      </w:r>
    </w:p>
    <w:p w14:paraId="7416C0CD" w14:textId="77777777" w:rsidR="00B532F6" w:rsidRDefault="00B532F6" w:rsidP="00B532F6">
      <w:pPr>
        <w:pStyle w:val="NormalWeb"/>
        <w:ind w:left="720"/>
      </w:pPr>
      <w:r>
        <w:t xml:space="preserve">Our analysis is different, however, for </w:t>
      </w:r>
      <w:proofErr w:type="spellStart"/>
      <w:r>
        <w:t>Schonig</w:t>
      </w:r>
      <w:proofErr w:type="spellEnd"/>
      <w:r>
        <w:t xml:space="preserve">, who appealed the first notice of adverse action to the Board. His discipline thus was not final under section 19575 when CAL FIRE served him with the new notice of adverse action.” </w:t>
      </w:r>
      <w:hyperlink r:id="rId2810" w:history="1">
        <w:r w:rsidRPr="00443DB2">
          <w:rPr>
            <w:rStyle w:val="Hyperlink"/>
          </w:rPr>
          <w:t>https://www.courts.ca.gov/opinions/documents/A155107.PDF</w:t>
        </w:r>
      </w:hyperlink>
      <w:r>
        <w:t xml:space="preserve"> </w:t>
      </w:r>
    </w:p>
    <w:p w14:paraId="7D626152"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sidRPr="007A07AB">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FD did not adequately prove that there was new evidence or other good cause to re-impose discipline a second time.  </w:t>
      </w:r>
    </w:p>
    <w:p w14:paraId="423C7A67" w14:textId="77777777" w:rsidR="00B532F6" w:rsidRPr="007A07AB" w:rsidRDefault="00B532F6" w:rsidP="00B532F6">
      <w:pPr>
        <w:pStyle w:val="Heading1"/>
        <w:ind w:left="720"/>
        <w:rPr>
          <w:b w:val="0"/>
          <w:bCs w:val="0"/>
          <w:sz w:val="24"/>
          <w:szCs w:val="24"/>
        </w:rPr>
      </w:pPr>
      <w:r w:rsidRPr="007A07AB">
        <w:rPr>
          <w:b w:val="0"/>
          <w:bCs w:val="0"/>
          <w:sz w:val="24"/>
          <w:szCs w:val="24"/>
        </w:rPr>
        <w:t xml:space="preserve">Note:  </w:t>
      </w:r>
    </w:p>
    <w:p w14:paraId="2530A5C0" w14:textId="77777777" w:rsidR="00B532F6" w:rsidRPr="00D37249" w:rsidRDefault="00B532F6" w:rsidP="00B532F6">
      <w:pPr>
        <w:ind w:left="720"/>
        <w:rPr>
          <w:rFonts w:ascii="Times New Roman" w:hAnsi="Times New Roman"/>
          <w:sz w:val="24"/>
          <w:szCs w:val="24"/>
        </w:rPr>
      </w:pPr>
      <w:r w:rsidRPr="00D37249">
        <w:rPr>
          <w:rFonts w:ascii="Times New Roman" w:eastAsia="Times New Roman" w:hAnsi="Times New Roman"/>
          <w:sz w:val="24"/>
          <w:szCs w:val="24"/>
        </w:rPr>
        <w:t xml:space="preserve">See June 14, </w:t>
      </w:r>
      <w:proofErr w:type="gramStart"/>
      <w:r w:rsidRPr="00D37249">
        <w:rPr>
          <w:rFonts w:ascii="Times New Roman" w:eastAsia="Times New Roman" w:hAnsi="Times New Roman"/>
          <w:sz w:val="24"/>
          <w:szCs w:val="24"/>
        </w:rPr>
        <w:t>2015</w:t>
      </w:r>
      <w:proofErr w:type="gramEnd"/>
      <w:r w:rsidRPr="00D37249">
        <w:rPr>
          <w:rFonts w:ascii="Times New Roman" w:eastAsia="Times New Roman" w:hAnsi="Times New Roman"/>
          <w:sz w:val="24"/>
          <w:szCs w:val="24"/>
        </w:rPr>
        <w:t xml:space="preserve"> article: </w:t>
      </w:r>
      <w:r w:rsidRPr="00D37249">
        <w:rPr>
          <w:rFonts w:ascii="Times New Roman" w:hAnsi="Times New Roman"/>
          <w:sz w:val="24"/>
          <w:szCs w:val="24"/>
        </w:rPr>
        <w:t>“New Cal Fire demotions challenged, reveal more alleged cheating details.” “</w:t>
      </w:r>
      <w:r w:rsidRPr="00D37249">
        <w:rPr>
          <w:rFonts w:ascii="Times New Roman" w:eastAsia="Times New Roman" w:hAnsi="Times New Roman"/>
          <w:sz w:val="24"/>
          <w:szCs w:val="24"/>
        </w:rPr>
        <w:t xml:space="preserve">Michels, </w:t>
      </w:r>
      <w:proofErr w:type="spellStart"/>
      <w:r w:rsidRPr="00D37249">
        <w:rPr>
          <w:rFonts w:ascii="Times New Roman" w:eastAsia="Times New Roman" w:hAnsi="Times New Roman"/>
          <w:sz w:val="24"/>
          <w:szCs w:val="24"/>
        </w:rPr>
        <w:t>Schonig</w:t>
      </w:r>
      <w:proofErr w:type="spellEnd"/>
      <w:r w:rsidRPr="00D37249">
        <w:rPr>
          <w:rFonts w:ascii="Times New Roman" w:eastAsia="Times New Roman" w:hAnsi="Times New Roman"/>
          <w:sz w:val="24"/>
          <w:szCs w:val="24"/>
        </w:rPr>
        <w:t xml:space="preserve"> and Chaplin allegedly received text messages last year from then-Cal Fire Academy instructor Orville Fleming that contained interview questions and answers for temporary fire captain jobs at the Ione training facility. Fleming was on the interview panel that ranked candidates, </w:t>
      </w:r>
      <w:proofErr w:type="gramStart"/>
      <w:r w:rsidRPr="00D37249">
        <w:rPr>
          <w:rFonts w:ascii="Times New Roman" w:eastAsia="Times New Roman" w:hAnsi="Times New Roman"/>
          <w:sz w:val="24"/>
          <w:szCs w:val="24"/>
        </w:rPr>
        <w:t>according</w:t>
      </w:r>
      <w:proofErr w:type="gramEnd"/>
      <w:r w:rsidRPr="00D37249">
        <w:rPr>
          <w:rFonts w:ascii="Times New Roman" w:eastAsia="Times New Roman" w:hAnsi="Times New Roman"/>
          <w:sz w:val="24"/>
          <w:szCs w:val="24"/>
        </w:rPr>
        <w:t xml:space="preserve"> the new batch of state records obtained via Public Records Act </w:t>
      </w:r>
      <w:proofErr w:type="gramStart"/>
      <w:r w:rsidRPr="00D37249">
        <w:rPr>
          <w:rFonts w:ascii="Times New Roman" w:eastAsia="Times New Roman" w:hAnsi="Times New Roman"/>
          <w:sz w:val="24"/>
          <w:szCs w:val="24"/>
        </w:rPr>
        <w:t>request.”</w:t>
      </w:r>
      <w:proofErr w:type="gramEnd"/>
      <w:r>
        <w:rPr>
          <w:rFonts w:ascii="Times New Roman" w:eastAsia="Times New Roman" w:hAnsi="Times New Roman"/>
          <w:sz w:val="24"/>
          <w:szCs w:val="24"/>
        </w:rPr>
        <w:t xml:space="preserve"> </w:t>
      </w:r>
      <w:hyperlink r:id="rId2811" w:history="1">
        <w:r w:rsidRPr="00443DB2">
          <w:rPr>
            <w:rStyle w:val="Hyperlink"/>
            <w:rFonts w:ascii="Times New Roman" w:hAnsi="Times New Roman"/>
            <w:sz w:val="24"/>
            <w:szCs w:val="24"/>
          </w:rPr>
          <w:t>https://www.sacbee.com/news/politics-government/the-state-worker/article23903194.html</w:t>
        </w:r>
      </w:hyperlink>
      <w:r w:rsidRPr="00D37249">
        <w:rPr>
          <w:rFonts w:ascii="Times New Roman" w:hAnsi="Times New Roman"/>
          <w:sz w:val="24"/>
          <w:szCs w:val="24"/>
        </w:rPr>
        <w:t xml:space="preserve"> </w:t>
      </w:r>
    </w:p>
    <w:p w14:paraId="0FE447D9" w14:textId="1AB47CD9" w:rsidR="00B532F6" w:rsidRPr="00B532F6" w:rsidRDefault="00B532F6" w:rsidP="00B532F6">
      <w:pPr>
        <w:pStyle w:val="NoSpacing"/>
        <w:ind w:left="720"/>
        <w:rPr>
          <w:rFonts w:ascii="Times New Roman" w:hAnsi="Times New Roman"/>
          <w:sz w:val="24"/>
          <w:szCs w:val="24"/>
        </w:rPr>
      </w:pPr>
      <w:r w:rsidRPr="00B532F6">
        <w:rPr>
          <w:rFonts w:ascii="Times New Roman" w:hAnsi="Times New Roman"/>
          <w:sz w:val="24"/>
          <w:szCs w:val="24"/>
        </w:rPr>
        <w:t xml:space="preserve">See June 24, </w:t>
      </w:r>
      <w:proofErr w:type="gramStart"/>
      <w:r w:rsidRPr="00B532F6">
        <w:rPr>
          <w:rFonts w:ascii="Times New Roman" w:hAnsi="Times New Roman"/>
          <w:sz w:val="24"/>
          <w:szCs w:val="24"/>
        </w:rPr>
        <w:t>2015</w:t>
      </w:r>
      <w:proofErr w:type="gramEnd"/>
      <w:r w:rsidRPr="00B532F6">
        <w:rPr>
          <w:rFonts w:ascii="Times New Roman" w:hAnsi="Times New Roman"/>
          <w:sz w:val="24"/>
          <w:szCs w:val="24"/>
        </w:rPr>
        <w:t xml:space="preserve"> article, “Ex-Cal Fire battalion chief convicted of stabbing girlfriend to death.”  </w:t>
      </w:r>
      <w:hyperlink r:id="rId2812" w:history="1">
        <w:r w:rsidRPr="001F33D6">
          <w:rPr>
            <w:rStyle w:val="Hyperlink"/>
            <w:rFonts w:ascii="Times New Roman" w:hAnsi="Times New Roman"/>
            <w:sz w:val="24"/>
            <w:szCs w:val="24"/>
          </w:rPr>
          <w:t>https://www.latimes.com/local/lanow/la-me-ln-ex-cal-fire-chief-convicted-stabbing-girlfriend-20150624-story.html</w:t>
        </w:r>
      </w:hyperlink>
    </w:p>
    <w:p w14:paraId="0D06CA8A" w14:textId="77777777" w:rsidR="00B532F6" w:rsidRDefault="00B532F6" w:rsidP="00F326E5">
      <w:pPr>
        <w:pStyle w:val="NoSpacing"/>
        <w:rPr>
          <w:rFonts w:ascii="Arial Black" w:hAnsi="Arial Black"/>
          <w:sz w:val="24"/>
          <w:szCs w:val="24"/>
        </w:rPr>
      </w:pPr>
    </w:p>
    <w:p w14:paraId="146E9F23" w14:textId="1F514D14" w:rsidR="00B532F6" w:rsidRDefault="00B532F6" w:rsidP="00F326E5">
      <w:pPr>
        <w:pStyle w:val="NoSpacing"/>
        <w:rPr>
          <w:rFonts w:ascii="Arial Black" w:hAnsi="Arial Black"/>
          <w:sz w:val="24"/>
          <w:szCs w:val="24"/>
        </w:rPr>
      </w:pPr>
      <w:r>
        <w:rPr>
          <w:rFonts w:ascii="Arial Black" w:hAnsi="Arial Black"/>
          <w:sz w:val="24"/>
          <w:szCs w:val="24"/>
        </w:rPr>
        <w:t>16-43</w:t>
      </w:r>
    </w:p>
    <w:p w14:paraId="6768CAA3" w14:textId="77777777" w:rsidR="00B532F6" w:rsidRPr="00295AB9" w:rsidRDefault="00B532F6" w:rsidP="00B532F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DISTRICT CHIEF POSTED COMMENTS ABOUT TRANSFER OPENING - FF SOCIAL MEDIA GROUP – DISCIPLINE UPHELD, FD POLICY BREACH</w:t>
      </w:r>
    </w:p>
    <w:p w14:paraId="3A32CD0F" w14:textId="77777777" w:rsidR="00B532F6" w:rsidRPr="008850B0" w:rsidRDefault="00B532F6" w:rsidP="00B532F6">
      <w:pPr>
        <w:spacing w:before="100" w:beforeAutospacing="1" w:after="100" w:afterAutospacing="1" w:line="240" w:lineRule="auto"/>
        <w:rPr>
          <w:rFonts w:ascii="Times New Roman" w:eastAsia="Times New Roman" w:hAnsi="Times New Roman"/>
          <w:sz w:val="24"/>
          <w:szCs w:val="24"/>
        </w:rPr>
      </w:pPr>
      <w:r w:rsidRPr="00295AB9">
        <w:rPr>
          <w:rFonts w:ascii="Times New Roman" w:eastAsia="Times New Roman" w:hAnsi="Times New Roman"/>
          <w:sz w:val="24"/>
          <w:szCs w:val="24"/>
        </w:rPr>
        <w:t xml:space="preserve">On Sept. 16, 2020, in </w:t>
      </w:r>
      <w:r w:rsidRPr="00295AB9">
        <w:rPr>
          <w:rFonts w:ascii="Times New Roman" w:eastAsia="Times New Roman" w:hAnsi="Times New Roman"/>
          <w:sz w:val="24"/>
          <w:szCs w:val="24"/>
          <w:u w:val="single"/>
        </w:rPr>
        <w:t>Steven M. Dunbar v. Samuel Pena, Houston Fire Chief and Robert I. Garcia, Houston Assistant Fire Chief</w:t>
      </w:r>
      <w:r>
        <w:rPr>
          <w:rFonts w:ascii="Times New Roman" w:eastAsia="Times New Roman" w:hAnsi="Times New Roman"/>
          <w:sz w:val="24"/>
          <w:szCs w:val="24"/>
        </w:rPr>
        <w:t xml:space="preserve">, the U.S. Court of Appeals for Fifth Circuit (New Orleans) held (3 to 0) that the Houston Fire Department lawfully suspended District Chief Dunbar (3 days, later reduced to one day) and transferred him to an administrative position in another FD district.  The posting concerned a transfer opportunity, which is not a matter of public concern and therefore not protected under First Amendment. The District Chief posted </w:t>
      </w:r>
      <w:r w:rsidRPr="008850B0">
        <w:rPr>
          <w:rFonts w:ascii="Times New Roman" w:eastAsia="Times New Roman" w:hAnsi="Times New Roman"/>
          <w:sz w:val="24"/>
          <w:szCs w:val="24"/>
        </w:rPr>
        <w:t xml:space="preserve">on a </w:t>
      </w:r>
      <w:r w:rsidRPr="008850B0">
        <w:rPr>
          <w:rFonts w:ascii="Times New Roman" w:hAnsi="Times New Roman"/>
          <w:sz w:val="24"/>
          <w:szCs w:val="24"/>
        </w:rPr>
        <w:t>private social media group for HFD firefighters</w:t>
      </w:r>
      <w:r>
        <w:rPr>
          <w:rFonts w:ascii="Times New Roman" w:hAnsi="Times New Roman"/>
          <w:sz w:val="24"/>
          <w:szCs w:val="24"/>
        </w:rPr>
        <w:t xml:space="preserve">: </w:t>
      </w:r>
      <w:r w:rsidRPr="008850B0">
        <w:rPr>
          <w:rFonts w:ascii="Times New Roman" w:hAnsi="Times New Roman"/>
          <w:sz w:val="24"/>
          <w:szCs w:val="24"/>
        </w:rPr>
        <w:t xml:space="preserve">"If you are thinking about putting in for a spot in District 64 on C-shift you better have your </w:t>
      </w:r>
      <w:proofErr w:type="spellStart"/>
      <w:r w:rsidRPr="008850B0">
        <w:rPr>
          <w:rFonts w:ascii="Times New Roman" w:hAnsi="Times New Roman"/>
          <w:sz w:val="24"/>
          <w:szCs w:val="24"/>
        </w:rPr>
        <w:t>sh</w:t>
      </w:r>
      <w:proofErr w:type="spellEnd"/>
      <w:r w:rsidRPr="008850B0">
        <w:rPr>
          <w:rFonts w:ascii="Times New Roman" w:hAnsi="Times New Roman"/>
          <w:sz w:val="24"/>
          <w:szCs w:val="24"/>
        </w:rPr>
        <w:t xml:space="preserve">** together. Wanna play games like </w:t>
      </w:r>
      <w:proofErr w:type="gramStart"/>
      <w:r w:rsidRPr="008850B0">
        <w:rPr>
          <w:rFonts w:ascii="Times New Roman" w:hAnsi="Times New Roman"/>
          <w:sz w:val="24"/>
          <w:szCs w:val="24"/>
        </w:rPr>
        <w:t>previously-assigned</w:t>
      </w:r>
      <w:proofErr w:type="gramEnd"/>
      <w:r w:rsidRPr="008850B0">
        <w:rPr>
          <w:rFonts w:ascii="Times New Roman" w:hAnsi="Times New Roman"/>
          <w:sz w:val="24"/>
          <w:szCs w:val="24"/>
        </w:rPr>
        <w:t xml:space="preserve"> members? You will be miserable...promise."</w:t>
      </w:r>
    </w:p>
    <w:p w14:paraId="49F18194" w14:textId="77777777" w:rsidR="00B532F6" w:rsidRPr="008850B0" w:rsidRDefault="00B532F6" w:rsidP="00B532F6">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8850B0">
        <w:rPr>
          <w:rFonts w:ascii="Times New Roman" w:hAnsi="Times New Roman"/>
          <w:sz w:val="24"/>
          <w:szCs w:val="24"/>
        </w:rPr>
        <w:t xml:space="preserve">Public employees are entitled to circumscribed constitutional protections in connection with their governmental duties, but they </w:t>
      </w:r>
      <w:r>
        <w:rPr>
          <w:rFonts w:ascii="Times New Roman" w:hAnsi="Times New Roman"/>
          <w:sz w:val="24"/>
          <w:szCs w:val="24"/>
        </w:rPr>
        <w:t>‘</w:t>
      </w:r>
      <w:r w:rsidRPr="008850B0">
        <w:rPr>
          <w:rFonts w:ascii="Times New Roman" w:hAnsi="Times New Roman"/>
          <w:sz w:val="24"/>
          <w:szCs w:val="24"/>
        </w:rPr>
        <w:t>do not surrender all their First Amendment rights by reason of their employment. Rather, the First Amendment protects a public employee's right, in certain circumstances, to speak as a citizen addressing matters of public concern.</w:t>
      </w:r>
      <w:r>
        <w:rPr>
          <w:rFonts w:ascii="Times New Roman" w:hAnsi="Times New Roman"/>
          <w:sz w:val="24"/>
          <w:szCs w:val="24"/>
        </w:rPr>
        <w:t>’</w:t>
      </w:r>
      <w:r w:rsidRPr="008850B0">
        <w:rPr>
          <w:rFonts w:ascii="Times New Roman" w:hAnsi="Times New Roman"/>
          <w:sz w:val="24"/>
          <w:szCs w:val="24"/>
        </w:rPr>
        <w:t xml:space="preserve"> </w:t>
      </w:r>
      <w:r w:rsidRPr="008850B0">
        <w:rPr>
          <w:rFonts w:ascii="Times New Roman" w:hAnsi="Times New Roman"/>
          <w:i/>
          <w:iCs/>
          <w:sz w:val="24"/>
          <w:szCs w:val="24"/>
        </w:rPr>
        <w:t>Garcetti v</w:t>
      </w:r>
      <w:r w:rsidRPr="008850B0">
        <w:rPr>
          <w:rFonts w:ascii="Times New Roman" w:hAnsi="Times New Roman"/>
          <w:sz w:val="24"/>
          <w:szCs w:val="24"/>
        </w:rPr>
        <w:t xml:space="preserve">. </w:t>
      </w:r>
      <w:r w:rsidRPr="008850B0">
        <w:rPr>
          <w:rFonts w:ascii="Times New Roman" w:hAnsi="Times New Roman"/>
          <w:i/>
          <w:iCs/>
          <w:sz w:val="24"/>
          <w:szCs w:val="24"/>
        </w:rPr>
        <w:t>Ceballos</w:t>
      </w:r>
      <w:r w:rsidRPr="008850B0">
        <w:rPr>
          <w:rFonts w:ascii="Times New Roman" w:hAnsi="Times New Roman"/>
          <w:sz w:val="24"/>
          <w:szCs w:val="24"/>
        </w:rPr>
        <w:t xml:space="preserve">, 547 U.S. 410, 417 (2006). Therefore, to be protected against adverse employment action in retaliation for speech, a public employee must speak in the employee's </w:t>
      </w:r>
      <w:r>
        <w:rPr>
          <w:rFonts w:ascii="Times New Roman" w:hAnsi="Times New Roman"/>
          <w:sz w:val="24"/>
          <w:szCs w:val="24"/>
        </w:rPr>
        <w:t>‘</w:t>
      </w:r>
      <w:r w:rsidRPr="008850B0">
        <w:rPr>
          <w:rFonts w:ascii="Times New Roman" w:hAnsi="Times New Roman"/>
          <w:sz w:val="24"/>
          <w:szCs w:val="24"/>
        </w:rPr>
        <w:t>capacity as a citizen,</w:t>
      </w:r>
      <w:r>
        <w:rPr>
          <w:rFonts w:ascii="Times New Roman" w:hAnsi="Times New Roman"/>
          <w:sz w:val="24"/>
          <w:szCs w:val="24"/>
        </w:rPr>
        <w:t>’</w:t>
      </w:r>
      <w:r w:rsidRPr="008850B0">
        <w:rPr>
          <w:rFonts w:ascii="Times New Roman" w:hAnsi="Times New Roman"/>
          <w:sz w:val="24"/>
          <w:szCs w:val="24"/>
        </w:rPr>
        <w:t xml:space="preserve"> rather than pursuant to the employee's </w:t>
      </w:r>
      <w:r>
        <w:rPr>
          <w:rFonts w:ascii="Times New Roman" w:hAnsi="Times New Roman"/>
          <w:sz w:val="24"/>
          <w:szCs w:val="24"/>
        </w:rPr>
        <w:t>‘</w:t>
      </w:r>
      <w:r w:rsidRPr="008850B0">
        <w:rPr>
          <w:rFonts w:ascii="Times New Roman" w:hAnsi="Times New Roman"/>
          <w:sz w:val="24"/>
          <w:szCs w:val="24"/>
        </w:rPr>
        <w:t>official duties,</w:t>
      </w:r>
      <w:r>
        <w:rPr>
          <w:rFonts w:ascii="Times New Roman" w:hAnsi="Times New Roman"/>
          <w:sz w:val="24"/>
          <w:szCs w:val="24"/>
        </w:rPr>
        <w:t>’</w:t>
      </w:r>
      <w:r w:rsidRPr="008850B0">
        <w:rPr>
          <w:rFonts w:ascii="Times New Roman" w:hAnsi="Times New Roman"/>
          <w:sz w:val="24"/>
          <w:szCs w:val="24"/>
        </w:rPr>
        <w:t xml:space="preserve"> and the employee must address a matter of public concern. </w:t>
      </w:r>
      <w:r w:rsidRPr="008850B0">
        <w:rPr>
          <w:rFonts w:ascii="Times New Roman" w:hAnsi="Times New Roman"/>
          <w:i/>
          <w:iCs/>
          <w:sz w:val="24"/>
          <w:szCs w:val="24"/>
        </w:rPr>
        <w:t>Id</w:t>
      </w:r>
      <w:r w:rsidRPr="008850B0">
        <w:rPr>
          <w:rFonts w:ascii="Times New Roman" w:hAnsi="Times New Roman"/>
          <w:sz w:val="24"/>
          <w:szCs w:val="24"/>
        </w:rPr>
        <w:t xml:space="preserve">. at 417, 421. </w:t>
      </w:r>
      <w:proofErr w:type="gramStart"/>
      <w:r w:rsidRPr="008850B0">
        <w:rPr>
          <w:rFonts w:ascii="Times New Roman" w:hAnsi="Times New Roman"/>
          <w:sz w:val="24"/>
          <w:szCs w:val="24"/>
        </w:rPr>
        <w:t xml:space="preserve">Otherwise, </w:t>
      </w:r>
      <w:r>
        <w:rPr>
          <w:rFonts w:ascii="Times New Roman" w:hAnsi="Times New Roman"/>
          <w:sz w:val="24"/>
          <w:szCs w:val="24"/>
        </w:rPr>
        <w:t>‘</w:t>
      </w:r>
      <w:proofErr w:type="gramEnd"/>
      <w:r w:rsidRPr="008850B0">
        <w:rPr>
          <w:rFonts w:ascii="Times New Roman" w:hAnsi="Times New Roman"/>
          <w:sz w:val="24"/>
          <w:szCs w:val="24"/>
        </w:rPr>
        <w:t>the employee has no First Amendment cause of action based on his or her employer's reaction to the speech.</w:t>
      </w:r>
      <w:r>
        <w:rPr>
          <w:rFonts w:ascii="Times New Roman" w:hAnsi="Times New Roman"/>
          <w:sz w:val="24"/>
          <w:szCs w:val="24"/>
        </w:rPr>
        <w:t>’</w:t>
      </w:r>
      <w:r w:rsidRPr="008850B0">
        <w:rPr>
          <w:rFonts w:ascii="Times New Roman" w:hAnsi="Times New Roman"/>
          <w:sz w:val="24"/>
          <w:szCs w:val="24"/>
        </w:rPr>
        <w:t xml:space="preserve"> </w:t>
      </w:r>
      <w:r w:rsidRPr="008850B0">
        <w:rPr>
          <w:rFonts w:ascii="Times New Roman" w:hAnsi="Times New Roman"/>
          <w:i/>
          <w:iCs/>
          <w:sz w:val="24"/>
          <w:szCs w:val="24"/>
        </w:rPr>
        <w:t>Id</w:t>
      </w:r>
      <w:r w:rsidRPr="008850B0">
        <w:rPr>
          <w:rFonts w:ascii="Times New Roman" w:hAnsi="Times New Roman"/>
          <w:sz w:val="24"/>
          <w:szCs w:val="24"/>
        </w:rPr>
        <w:t>. at 418.</w:t>
      </w:r>
      <w:r>
        <w:rPr>
          <w:rFonts w:ascii="Times New Roman" w:hAnsi="Times New Roman"/>
          <w:sz w:val="24"/>
          <w:szCs w:val="24"/>
        </w:rPr>
        <w:t xml:space="preserve"> </w:t>
      </w:r>
    </w:p>
    <w:p w14:paraId="333DDD8A" w14:textId="4A2E1669" w:rsidR="00B532F6" w:rsidRDefault="00B532F6" w:rsidP="00B532F6">
      <w:pPr>
        <w:pStyle w:val="NoSpacing"/>
        <w:rPr>
          <w:rStyle w:val="Hyperlink"/>
          <w:rFonts w:ascii="Times New Roman" w:hAnsi="Times New Roman"/>
          <w:sz w:val="24"/>
          <w:szCs w:val="24"/>
        </w:rPr>
      </w:pPr>
      <w:r w:rsidRPr="008850B0">
        <w:rPr>
          <w:rFonts w:ascii="Times New Roman" w:hAnsi="Times New Roman"/>
          <w:sz w:val="24"/>
          <w:szCs w:val="24"/>
        </w:rPr>
        <w:t xml:space="preserve">By contrast, employee-to-employee communications concerning </w:t>
      </w:r>
      <w:proofErr w:type="gramStart"/>
      <w:r w:rsidRPr="008850B0">
        <w:rPr>
          <w:rFonts w:ascii="Times New Roman" w:hAnsi="Times New Roman"/>
          <w:sz w:val="24"/>
          <w:szCs w:val="24"/>
        </w:rPr>
        <w:t>particular transfer</w:t>
      </w:r>
      <w:proofErr w:type="gramEnd"/>
      <w:r w:rsidRPr="008850B0">
        <w:rPr>
          <w:rFonts w:ascii="Times New Roman" w:hAnsi="Times New Roman"/>
          <w:sz w:val="24"/>
          <w:szCs w:val="24"/>
        </w:rPr>
        <w:t xml:space="preserve"> decisions generally do not implicate matters of public concern</w:t>
      </w:r>
      <w:r>
        <w:rPr>
          <w:rFonts w:ascii="Times New Roman" w:hAnsi="Times New Roman"/>
          <w:sz w:val="24"/>
          <w:szCs w:val="24"/>
        </w:rPr>
        <w:t xml:space="preserve">…. </w:t>
      </w:r>
      <w:hyperlink r:id="rId2813" w:history="1">
        <w:r w:rsidRPr="005E64DB">
          <w:rPr>
            <w:rStyle w:val="Hyperlink"/>
            <w:rFonts w:ascii="Times New Roman" w:hAnsi="Times New Roman"/>
            <w:sz w:val="24"/>
            <w:szCs w:val="24"/>
          </w:rPr>
          <w:t>http://www.ca5.uscourts.gov/opinions/unpub/20/20-20087.0.pdf</w:t>
        </w:r>
      </w:hyperlink>
    </w:p>
    <w:p w14:paraId="60FA9DE6" w14:textId="77777777" w:rsidR="00B532F6" w:rsidRPr="00DA4DDB" w:rsidRDefault="00B532F6" w:rsidP="00B532F6">
      <w:pPr>
        <w:spacing w:before="100" w:beforeAutospacing="1" w:after="100" w:afterAutospacing="1" w:line="240" w:lineRule="auto"/>
        <w:rPr>
          <w:rFonts w:ascii="Times New Roman" w:eastAsia="Times New Roman" w:hAnsi="Times New Roman"/>
          <w:b/>
          <w:bCs/>
          <w:sz w:val="24"/>
          <w:szCs w:val="24"/>
        </w:rPr>
      </w:pPr>
      <w:r w:rsidRPr="00DA4DDB">
        <w:rPr>
          <w:rFonts w:ascii="Times New Roman" w:hAnsi="Times New Roman"/>
          <w:b/>
          <w:bCs/>
          <w:sz w:val="24"/>
          <w:szCs w:val="24"/>
        </w:rPr>
        <w:t>Legal Lessons Learned:</w:t>
      </w:r>
      <w:r>
        <w:rPr>
          <w:rFonts w:ascii="Times New Roman" w:hAnsi="Times New Roman"/>
          <w:b/>
          <w:bCs/>
          <w:sz w:val="24"/>
          <w:szCs w:val="24"/>
        </w:rPr>
        <w:t xml:space="preserve"> Social media posts about internal FD matters are not protected under First Amendment.  </w:t>
      </w:r>
    </w:p>
    <w:p w14:paraId="09886929" w14:textId="77777777" w:rsidR="00B532F6" w:rsidRDefault="00B532F6" w:rsidP="00B532F6">
      <w:pPr>
        <w:spacing w:before="100" w:beforeAutospacing="1" w:after="100" w:afterAutospacing="1" w:line="240" w:lineRule="auto"/>
        <w:ind w:left="720"/>
        <w:rPr>
          <w:rFonts w:ascii="Times New Roman" w:hAnsi="Times New Roman"/>
          <w:sz w:val="24"/>
          <w:szCs w:val="24"/>
        </w:rPr>
      </w:pPr>
      <w:r w:rsidRPr="00DA4DDB">
        <w:rPr>
          <w:rFonts w:ascii="Times New Roman" w:eastAsia="Times New Roman" w:hAnsi="Times New Roman"/>
          <w:sz w:val="24"/>
          <w:szCs w:val="24"/>
        </w:rPr>
        <w:t>Note:</w:t>
      </w:r>
      <w:r>
        <w:rPr>
          <w:rFonts w:ascii="Times New Roman" w:eastAsia="Times New Roman" w:hAnsi="Times New Roman"/>
          <w:b/>
          <w:bCs/>
          <w:sz w:val="24"/>
          <w:szCs w:val="24"/>
        </w:rPr>
        <w:t xml:space="preserve"> </w:t>
      </w:r>
      <w:r w:rsidRPr="00DA4DDB">
        <w:rPr>
          <w:rFonts w:ascii="Times New Roman" w:hAnsi="Times New Roman"/>
          <w:sz w:val="24"/>
          <w:szCs w:val="24"/>
        </w:rPr>
        <w:t xml:space="preserve">Under HFD's transfer guidelines, </w:t>
      </w:r>
      <w:r>
        <w:rPr>
          <w:rFonts w:ascii="Times New Roman" w:hAnsi="Times New Roman"/>
          <w:sz w:val="24"/>
          <w:szCs w:val="24"/>
        </w:rPr>
        <w:t>‘</w:t>
      </w:r>
      <w:r w:rsidRPr="00DA4DDB">
        <w:rPr>
          <w:rFonts w:ascii="Times New Roman" w:hAnsi="Times New Roman"/>
          <w:sz w:val="24"/>
          <w:szCs w:val="24"/>
        </w:rPr>
        <w:t>No member will communicate with [a] member requesting [a] transfer, including the incoming officer, to promote or influence the candidacy of a member or to discourage a member from applying for a posted or anticipated vacancy. Any violation of this directive will result in disciplinary action.</w:t>
      </w:r>
      <w:r>
        <w:rPr>
          <w:rFonts w:ascii="Times New Roman" w:hAnsi="Times New Roman"/>
          <w:sz w:val="24"/>
          <w:szCs w:val="24"/>
        </w:rPr>
        <w:t>’</w:t>
      </w:r>
      <w:r w:rsidRPr="00DA4DDB">
        <w:rPr>
          <w:rFonts w:ascii="Times New Roman" w:hAnsi="Times New Roman"/>
          <w:sz w:val="24"/>
          <w:szCs w:val="24"/>
        </w:rPr>
        <w:t xml:space="preserve"> A similar statement was included in the memorandum announcing the transfer opportunity.</w:t>
      </w:r>
    </w:p>
    <w:p w14:paraId="651E9302" w14:textId="77777777" w:rsidR="00B532F6" w:rsidRDefault="00B532F6" w:rsidP="00B532F6">
      <w:pPr>
        <w:pStyle w:val="NoSpacing"/>
        <w:rPr>
          <w:rFonts w:ascii="Arial Black" w:hAnsi="Arial Black"/>
          <w:sz w:val="24"/>
          <w:szCs w:val="24"/>
        </w:rPr>
      </w:pPr>
    </w:p>
    <w:p w14:paraId="70AEF6E3" w14:textId="77777777" w:rsidR="00B532F6" w:rsidRDefault="00B532F6" w:rsidP="00F326E5">
      <w:pPr>
        <w:pStyle w:val="NoSpacing"/>
        <w:rPr>
          <w:rFonts w:ascii="Arial Black" w:hAnsi="Arial Black"/>
          <w:sz w:val="24"/>
          <w:szCs w:val="24"/>
        </w:rPr>
      </w:pPr>
    </w:p>
    <w:p w14:paraId="11A21A4E" w14:textId="72DBADFF" w:rsidR="00CD02AE" w:rsidRDefault="00CD02AE" w:rsidP="00F326E5">
      <w:pPr>
        <w:pStyle w:val="NoSpacing"/>
        <w:rPr>
          <w:rFonts w:ascii="Arial Black" w:hAnsi="Arial Black"/>
          <w:sz w:val="24"/>
          <w:szCs w:val="24"/>
        </w:rPr>
      </w:pPr>
      <w:r>
        <w:rPr>
          <w:rFonts w:ascii="Arial Black" w:hAnsi="Arial Black"/>
          <w:sz w:val="24"/>
          <w:szCs w:val="24"/>
        </w:rPr>
        <w:t>16-42</w:t>
      </w:r>
    </w:p>
    <w:p w14:paraId="2C2D18AC" w14:textId="77777777" w:rsidR="00CD02AE" w:rsidRDefault="00CD02AE" w:rsidP="00CD02AE">
      <w:pPr>
        <w:tabs>
          <w:tab w:val="left" w:pos="6680"/>
        </w:tabs>
        <w:spacing w:before="100" w:beforeAutospacing="1" w:after="100" w:afterAutospacing="1" w:line="240" w:lineRule="auto"/>
        <w:rPr>
          <w:rFonts w:ascii="Arial Black" w:hAnsi="Arial Black"/>
          <w:sz w:val="28"/>
          <w:szCs w:val="28"/>
        </w:rPr>
      </w:pPr>
      <w:r>
        <w:rPr>
          <w:rFonts w:ascii="Arial Black" w:hAnsi="Arial Black"/>
          <w:sz w:val="28"/>
          <w:szCs w:val="28"/>
        </w:rPr>
        <w:t>WA: FIRE CHIEF TERMINATED – CONTRACT REQUIRES “CAUSE” – LAWSUIT MAY PROCEED TO TRIAL</w:t>
      </w:r>
    </w:p>
    <w:p w14:paraId="59183A33" w14:textId="77777777" w:rsidR="00CD02AE" w:rsidRDefault="00CD02AE" w:rsidP="00CD02AE">
      <w:pPr>
        <w:tabs>
          <w:tab w:val="left" w:pos="668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David W. Bathke v. City of Ocean Shores &amp; Crystal Dingler</w:t>
      </w:r>
      <w:r>
        <w:rPr>
          <w:rFonts w:ascii="Times New Roman" w:hAnsi="Times New Roman"/>
          <w:sz w:val="24"/>
          <w:szCs w:val="24"/>
        </w:rPr>
        <w:t>, U.S. District Court Judge Benjamin H. Settle, U.S. District Court, Western District of Washington at Tacoma, held that the City’s motion for summary judgment was denied concerning the “breach of contract” claim.  As to Bathke's other claims, the Court grants Defendants' motion for summary judgment and dismisses Bathke's claims for retaliation, promissory fraud, and negligent misrepresentation.</w:t>
      </w:r>
    </w:p>
    <w:p w14:paraId="117DADD1" w14:textId="77777777" w:rsidR="00CD02AE" w:rsidRDefault="00CD02AE" w:rsidP="00CD02AE">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 xml:space="preserve">"In a wrongful termination case, whether an employer properly determined it had just cause for termination is a question for the trier of fact." </w:t>
      </w:r>
      <w:r>
        <w:rPr>
          <w:rFonts w:ascii="Times New Roman" w:eastAsia="Times New Roman" w:hAnsi="Times New Roman"/>
          <w:i/>
          <w:iCs/>
          <w:sz w:val="24"/>
          <w:szCs w:val="24"/>
        </w:rPr>
        <w:t>Lund v</w:t>
      </w:r>
      <w:r>
        <w:rPr>
          <w:rFonts w:ascii="Times New Roman" w:eastAsia="Times New Roman" w:hAnsi="Times New Roman"/>
          <w:sz w:val="24"/>
          <w:szCs w:val="24"/>
        </w:rPr>
        <w:t xml:space="preserve">. </w:t>
      </w:r>
      <w:r>
        <w:rPr>
          <w:rFonts w:ascii="Times New Roman" w:eastAsia="Times New Roman" w:hAnsi="Times New Roman"/>
          <w:i/>
          <w:iCs/>
          <w:sz w:val="24"/>
          <w:szCs w:val="24"/>
        </w:rPr>
        <w:t>Grant Cty</w:t>
      </w:r>
      <w:r>
        <w:rPr>
          <w:rFonts w:ascii="Times New Roman" w:eastAsia="Times New Roman" w:hAnsi="Times New Roman"/>
          <w:sz w:val="24"/>
          <w:szCs w:val="24"/>
        </w:rPr>
        <w:t xml:space="preserve">. </w:t>
      </w:r>
      <w:r>
        <w:rPr>
          <w:rFonts w:ascii="Times New Roman" w:eastAsia="Times New Roman" w:hAnsi="Times New Roman"/>
          <w:i/>
          <w:iCs/>
          <w:sz w:val="24"/>
          <w:szCs w:val="24"/>
        </w:rPr>
        <w:t>Pub</w:t>
      </w:r>
      <w:r>
        <w:rPr>
          <w:rFonts w:ascii="Times New Roman" w:eastAsia="Times New Roman" w:hAnsi="Times New Roman"/>
          <w:sz w:val="24"/>
          <w:szCs w:val="24"/>
        </w:rPr>
        <w:t xml:space="preserve">. </w:t>
      </w:r>
      <w:r>
        <w:rPr>
          <w:rFonts w:ascii="Times New Roman" w:eastAsia="Times New Roman" w:hAnsi="Times New Roman"/>
          <w:i/>
          <w:iCs/>
          <w:sz w:val="24"/>
          <w:szCs w:val="24"/>
        </w:rPr>
        <w:t>Hosp</w:t>
      </w:r>
      <w:r>
        <w:rPr>
          <w:rFonts w:ascii="Times New Roman" w:eastAsia="Times New Roman" w:hAnsi="Times New Roman"/>
          <w:sz w:val="24"/>
          <w:szCs w:val="24"/>
        </w:rPr>
        <w:t xml:space="preserve">. </w:t>
      </w:r>
      <w:r>
        <w:rPr>
          <w:rFonts w:ascii="Times New Roman" w:eastAsia="Times New Roman" w:hAnsi="Times New Roman"/>
          <w:i/>
          <w:iCs/>
          <w:sz w:val="24"/>
          <w:szCs w:val="24"/>
        </w:rPr>
        <w:t>Dist</w:t>
      </w:r>
      <w:r>
        <w:rPr>
          <w:rFonts w:ascii="Times New Roman" w:eastAsia="Times New Roman" w:hAnsi="Times New Roman"/>
          <w:sz w:val="24"/>
          <w:szCs w:val="24"/>
        </w:rPr>
        <w:t xml:space="preserve">. </w:t>
      </w:r>
      <w:r>
        <w:rPr>
          <w:rFonts w:ascii="Times New Roman" w:eastAsia="Times New Roman" w:hAnsi="Times New Roman"/>
          <w:i/>
          <w:iCs/>
          <w:sz w:val="24"/>
          <w:szCs w:val="24"/>
        </w:rPr>
        <w:t>No</w:t>
      </w:r>
      <w:r>
        <w:rPr>
          <w:rFonts w:ascii="Times New Roman" w:eastAsia="Times New Roman" w:hAnsi="Times New Roman"/>
          <w:sz w:val="24"/>
          <w:szCs w:val="24"/>
        </w:rPr>
        <w:t xml:space="preserve">. </w:t>
      </w:r>
      <w:r>
        <w:rPr>
          <w:rFonts w:ascii="Times New Roman" w:eastAsia="Times New Roman" w:hAnsi="Times New Roman"/>
          <w:i/>
          <w:iCs/>
          <w:sz w:val="24"/>
          <w:szCs w:val="24"/>
        </w:rPr>
        <w:t>2</w:t>
      </w:r>
      <w:r>
        <w:rPr>
          <w:rFonts w:ascii="Times New Roman" w:eastAsia="Times New Roman" w:hAnsi="Times New Roman"/>
          <w:sz w:val="24"/>
          <w:szCs w:val="24"/>
        </w:rPr>
        <w:t xml:space="preserve">, 85 </w:t>
      </w:r>
      <w:proofErr w:type="spellStart"/>
      <w:r>
        <w:rPr>
          <w:rFonts w:ascii="Times New Roman" w:eastAsia="Times New Roman" w:hAnsi="Times New Roman"/>
          <w:sz w:val="24"/>
          <w:szCs w:val="24"/>
        </w:rPr>
        <w:t>Wn</w:t>
      </w:r>
      <w:proofErr w:type="spellEnd"/>
      <w:r>
        <w:rPr>
          <w:rFonts w:ascii="Times New Roman" w:eastAsia="Times New Roman" w:hAnsi="Times New Roman"/>
          <w:sz w:val="24"/>
          <w:szCs w:val="24"/>
        </w:rPr>
        <w:t xml:space="preserve">. App. 223, 228 (1997). *** “In this case, Bathke's declaration and supporting evidence sufficiently creates a question of fact on the issue of whether the City had just cause to terminate him. In reply, Defendants attempt to undermine the holding in </w:t>
      </w:r>
      <w:r>
        <w:rPr>
          <w:rFonts w:ascii="Times New Roman" w:eastAsia="Times New Roman" w:hAnsi="Times New Roman"/>
          <w:i/>
          <w:iCs/>
          <w:sz w:val="24"/>
          <w:szCs w:val="24"/>
        </w:rPr>
        <w:t>Lund</w:t>
      </w:r>
      <w:r>
        <w:rPr>
          <w:rFonts w:ascii="Times New Roman" w:eastAsia="Times New Roman" w:hAnsi="Times New Roman"/>
          <w:sz w:val="24"/>
          <w:szCs w:val="24"/>
        </w:rPr>
        <w:t xml:space="preserve"> by misquoting employment discrimination cases…. Defendants, however, fail to provide any persuasive authority or reason to take this question of fact away from the </w:t>
      </w:r>
      <w:proofErr w:type="gramStart"/>
      <w:r>
        <w:rPr>
          <w:rFonts w:ascii="Times New Roman" w:eastAsia="Times New Roman" w:hAnsi="Times New Roman"/>
          <w:sz w:val="24"/>
          <w:szCs w:val="24"/>
        </w:rPr>
        <w:t>factfinder</w:t>
      </w:r>
      <w:proofErr w:type="gramEnd"/>
      <w:r>
        <w:rPr>
          <w:rFonts w:ascii="Times New Roman" w:eastAsia="Times New Roman" w:hAnsi="Times New Roman"/>
          <w:sz w:val="24"/>
          <w:szCs w:val="24"/>
        </w:rPr>
        <w:t xml:space="preserve">. Therefore, the Court denies Defendants' motion on Bathke's breach of contract </w:t>
      </w:r>
      <w:proofErr w:type="gramStart"/>
      <w:r>
        <w:rPr>
          <w:rFonts w:ascii="Times New Roman" w:eastAsia="Times New Roman" w:hAnsi="Times New Roman"/>
          <w:sz w:val="24"/>
          <w:szCs w:val="24"/>
        </w:rPr>
        <w:t>claim.”</w:t>
      </w:r>
      <w:proofErr w:type="gramEnd"/>
      <w:r>
        <w:rPr>
          <w:rFonts w:ascii="Times New Roman" w:eastAsia="Times New Roman" w:hAnsi="Times New Roman"/>
          <w:sz w:val="24"/>
          <w:szCs w:val="24"/>
        </w:rPr>
        <w:t xml:space="preserve"> </w:t>
      </w:r>
      <w:hyperlink r:id="rId2814" w:history="1">
        <w:r>
          <w:rPr>
            <w:rStyle w:val="Hyperlink"/>
            <w:sz w:val="24"/>
            <w:szCs w:val="24"/>
          </w:rPr>
          <w:t>https://public.fastcase.com/Wl%2B2t%2BeVuI35%2FN70vAMFZiys29g9i6WW2vOdml2B4dJUoMj0gy8QWoByD0pzloLe</w:t>
        </w:r>
      </w:hyperlink>
      <w:r>
        <w:rPr>
          <w:rFonts w:ascii="Times New Roman" w:eastAsia="Times New Roman" w:hAnsi="Times New Roman"/>
          <w:sz w:val="24"/>
          <w:szCs w:val="24"/>
        </w:rPr>
        <w:t xml:space="preserve"> </w:t>
      </w:r>
    </w:p>
    <w:p w14:paraId="038DCA5E" w14:textId="77777777" w:rsidR="00CD02AE" w:rsidRDefault="00CD02AE" w:rsidP="00CD02AE">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Legal Lessons Learned: Fire Chiefs, when accepting a new position, should include in their agreement that they cannot be fired except for “cause.”</w:t>
      </w:r>
    </w:p>
    <w:p w14:paraId="7ED60B59" w14:textId="77777777" w:rsidR="00CD02AE" w:rsidRDefault="00CD02AE" w:rsidP="00F326E5">
      <w:pPr>
        <w:pStyle w:val="NoSpacing"/>
        <w:rPr>
          <w:rFonts w:ascii="Arial Black" w:hAnsi="Arial Black"/>
          <w:sz w:val="24"/>
          <w:szCs w:val="24"/>
        </w:rPr>
      </w:pPr>
    </w:p>
    <w:p w14:paraId="09E21C5B" w14:textId="77777777" w:rsidR="00CD02AE" w:rsidRDefault="00CD02AE" w:rsidP="00F326E5">
      <w:pPr>
        <w:pStyle w:val="NoSpacing"/>
        <w:rPr>
          <w:rFonts w:ascii="Arial Black" w:hAnsi="Arial Black"/>
          <w:sz w:val="24"/>
          <w:szCs w:val="24"/>
        </w:rPr>
      </w:pPr>
    </w:p>
    <w:p w14:paraId="46958558" w14:textId="2F9F35DD" w:rsidR="00CD02AE" w:rsidRDefault="00CD02AE" w:rsidP="00F326E5">
      <w:pPr>
        <w:pStyle w:val="NoSpacing"/>
        <w:rPr>
          <w:rFonts w:ascii="Arial Black" w:hAnsi="Arial Black"/>
          <w:sz w:val="24"/>
          <w:szCs w:val="24"/>
        </w:rPr>
      </w:pPr>
      <w:r>
        <w:rPr>
          <w:rFonts w:ascii="Arial Black" w:hAnsi="Arial Black"/>
          <w:sz w:val="24"/>
          <w:szCs w:val="24"/>
        </w:rPr>
        <w:t>16-41</w:t>
      </w:r>
    </w:p>
    <w:p w14:paraId="61062D0C" w14:textId="44FB0126" w:rsidR="00CD02AE" w:rsidRDefault="00CD02AE" w:rsidP="00F326E5">
      <w:pPr>
        <w:pStyle w:val="NoSpacing"/>
        <w:rPr>
          <w:rFonts w:ascii="Arial Black" w:hAnsi="Arial Black"/>
          <w:sz w:val="24"/>
          <w:szCs w:val="24"/>
        </w:rPr>
      </w:pPr>
    </w:p>
    <w:p w14:paraId="66835412" w14:textId="77777777" w:rsidR="00CD02AE" w:rsidRDefault="00CD02AE" w:rsidP="00CD02AE">
      <w:pPr>
        <w:rPr>
          <w:rFonts w:ascii="Arial Black" w:hAnsi="Arial Black" w:cstheme="minorBidi"/>
          <w:sz w:val="28"/>
          <w:szCs w:val="28"/>
        </w:rPr>
      </w:pPr>
      <w:r>
        <w:rPr>
          <w:rFonts w:ascii="Arial Black" w:hAnsi="Arial Black"/>
          <w:sz w:val="28"/>
          <w:szCs w:val="28"/>
        </w:rPr>
        <w:t>OH: EMS CAPTAIN FIRED – FACEBOOK POST ABOUT DEATH TAMIR RICE – LAWSUIT REINSTATED, “PUBLIC CONCERN”</w:t>
      </w:r>
    </w:p>
    <w:p w14:paraId="573D34F1" w14:textId="77777777" w:rsidR="00CD02AE" w:rsidRDefault="00CD02AE" w:rsidP="00CD02AE">
      <w:pPr>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Jamie Marquardt v. Nicole Carlton &amp; City of Cleveland</w:t>
      </w:r>
      <w:r>
        <w:rPr>
          <w:rFonts w:ascii="Times New Roman" w:hAnsi="Times New Roman"/>
          <w:sz w:val="24"/>
          <w:szCs w:val="24"/>
        </w:rPr>
        <w:t>, the U.S. Court of Appeals for the 6</w:t>
      </w:r>
      <w:r>
        <w:rPr>
          <w:rFonts w:ascii="Times New Roman" w:hAnsi="Times New Roman"/>
          <w:sz w:val="24"/>
          <w:szCs w:val="24"/>
          <w:vertAlign w:val="superscript"/>
        </w:rPr>
        <w:t>th</w:t>
      </w:r>
      <w:r>
        <w:rPr>
          <w:rFonts w:ascii="Times New Roman" w:hAnsi="Times New Roman"/>
          <w:sz w:val="24"/>
          <w:szCs w:val="24"/>
        </w:rPr>
        <w:t xml:space="preserve"> Circuit (Cincinnati) held (3 to 0) that the U.S. District Court judge in Cleveland improperly granted the city’s motion for summary judgment. </w:t>
      </w:r>
    </w:p>
    <w:p w14:paraId="6224EBCC" w14:textId="77777777" w:rsidR="00CD02AE" w:rsidRDefault="00CD02AE" w:rsidP="00CD02AE">
      <w:pPr>
        <w:ind w:left="720"/>
        <w:rPr>
          <w:rFonts w:ascii="Times New Roman" w:hAnsi="Times New Roman"/>
          <w:b/>
          <w:bCs/>
          <w:sz w:val="24"/>
          <w:szCs w:val="24"/>
        </w:rPr>
      </w:pPr>
      <w:r>
        <w:rPr>
          <w:rFonts w:ascii="Times New Roman" w:hAnsi="Times New Roman"/>
          <w:sz w:val="24"/>
          <w:szCs w:val="24"/>
        </w:rPr>
        <w:t xml:space="preserve">“Because Marquardt's social media posts addressed a matter of public concern, the district court erred in granting summary judgment on that basis.”  </w:t>
      </w:r>
      <w:hyperlink r:id="rId2815" w:history="1">
        <w:r>
          <w:rPr>
            <w:rStyle w:val="Hyperlink"/>
            <w:sz w:val="24"/>
            <w:szCs w:val="24"/>
          </w:rPr>
          <w:t>https://www.opn.ca6.uscourts.gov/opinions.pdf/20a0268p-06.pdf</w:t>
        </w:r>
      </w:hyperlink>
      <w:r>
        <w:rPr>
          <w:rFonts w:ascii="Times New Roman" w:hAnsi="Times New Roman"/>
          <w:sz w:val="24"/>
          <w:szCs w:val="24"/>
        </w:rPr>
        <w:t xml:space="preserve"> </w:t>
      </w:r>
    </w:p>
    <w:p w14:paraId="64AF7E75" w14:textId="77777777" w:rsidR="00CD02AE" w:rsidRDefault="00CD02AE" w:rsidP="00CD02AE">
      <w:pPr>
        <w:spacing w:before="100" w:beforeAutospacing="1" w:after="100" w:afterAutospacing="1" w:line="240" w:lineRule="auto"/>
        <w:rPr>
          <w:sz w:val="40"/>
          <w:szCs w:val="40"/>
        </w:rPr>
      </w:pPr>
      <w:r>
        <w:rPr>
          <w:rFonts w:ascii="Times New Roman" w:eastAsia="Times New Roman" w:hAnsi="Times New Roman"/>
          <w:b/>
          <w:bCs/>
          <w:sz w:val="24"/>
          <w:szCs w:val="24"/>
        </w:rPr>
        <w:t>Legal Lessons Learned: Social Media posts are resulting in terminations in the fire service; employers must carefully review whether the matter is of “public concern” before imposing discipline.</w:t>
      </w:r>
    </w:p>
    <w:p w14:paraId="6C67D5D6" w14:textId="77777777" w:rsidR="00CD02AE" w:rsidRDefault="00CD02AE" w:rsidP="00F326E5">
      <w:pPr>
        <w:pStyle w:val="NoSpacing"/>
        <w:rPr>
          <w:rFonts w:ascii="Arial Black" w:hAnsi="Arial Black"/>
          <w:sz w:val="24"/>
          <w:szCs w:val="24"/>
        </w:rPr>
      </w:pPr>
    </w:p>
    <w:p w14:paraId="59E110A1" w14:textId="77777777" w:rsidR="00CD02AE" w:rsidRDefault="00CD02AE" w:rsidP="00F326E5">
      <w:pPr>
        <w:pStyle w:val="NoSpacing"/>
        <w:rPr>
          <w:rFonts w:ascii="Arial Black" w:hAnsi="Arial Black"/>
          <w:sz w:val="24"/>
          <w:szCs w:val="24"/>
        </w:rPr>
      </w:pPr>
    </w:p>
    <w:p w14:paraId="171736AA" w14:textId="7129564F" w:rsidR="001A653A" w:rsidRDefault="001A653A" w:rsidP="00F326E5">
      <w:pPr>
        <w:pStyle w:val="NoSpacing"/>
        <w:rPr>
          <w:rFonts w:ascii="Arial Black" w:hAnsi="Arial Black"/>
          <w:sz w:val="24"/>
          <w:szCs w:val="24"/>
        </w:rPr>
      </w:pPr>
      <w:r>
        <w:rPr>
          <w:rFonts w:ascii="Arial Black" w:hAnsi="Arial Black"/>
          <w:sz w:val="24"/>
          <w:szCs w:val="24"/>
        </w:rPr>
        <w:t>16-40</w:t>
      </w:r>
    </w:p>
    <w:p w14:paraId="3D1B1C35" w14:textId="5415F8AA" w:rsidR="001A653A" w:rsidRDefault="001A653A" w:rsidP="00F326E5">
      <w:pPr>
        <w:pStyle w:val="NoSpacing"/>
        <w:rPr>
          <w:rFonts w:ascii="Arial Black" w:hAnsi="Arial Black"/>
          <w:sz w:val="24"/>
          <w:szCs w:val="24"/>
        </w:rPr>
      </w:pPr>
    </w:p>
    <w:p w14:paraId="712EF66B" w14:textId="77777777" w:rsidR="001A653A" w:rsidRPr="00C7439B" w:rsidRDefault="001A653A" w:rsidP="001A653A">
      <w:pPr>
        <w:pStyle w:val="NoSpacing"/>
        <w:rPr>
          <w:rFonts w:ascii="Arial Black" w:hAnsi="Arial Black"/>
          <w:sz w:val="28"/>
          <w:szCs w:val="28"/>
        </w:rPr>
      </w:pPr>
      <w:r w:rsidRPr="00C7439B">
        <w:rPr>
          <w:rFonts w:ascii="Arial Black" w:hAnsi="Arial Black"/>
          <w:sz w:val="28"/>
          <w:szCs w:val="28"/>
        </w:rPr>
        <w:t xml:space="preserve">NY: </w:t>
      </w:r>
      <w:r>
        <w:rPr>
          <w:rFonts w:ascii="Arial Black" w:hAnsi="Arial Black"/>
          <w:sz w:val="28"/>
          <w:szCs w:val="28"/>
        </w:rPr>
        <w:t>CAREER FF / UNION SECRETARY FIRED FOR PUNCHING VOL. FF IN FACE – COMBINATION FD - LAWSUIT DISMISSED</w:t>
      </w:r>
    </w:p>
    <w:p w14:paraId="31B06354" w14:textId="77777777" w:rsidR="001A653A" w:rsidRDefault="001A653A" w:rsidP="001A653A">
      <w:pPr>
        <w:spacing w:before="100" w:beforeAutospacing="1" w:after="100" w:afterAutospacing="1" w:line="240" w:lineRule="auto"/>
        <w:rPr>
          <w:b/>
          <w:bCs/>
        </w:rPr>
      </w:pPr>
      <w:r w:rsidRPr="00C7439B">
        <w:rPr>
          <w:rFonts w:ascii="Times New Roman" w:hAnsi="Times New Roman"/>
          <w:sz w:val="24"/>
          <w:szCs w:val="24"/>
        </w:rPr>
        <w:t xml:space="preserve">On </w:t>
      </w:r>
      <w:r>
        <w:rPr>
          <w:rFonts w:ascii="Times New Roman" w:hAnsi="Times New Roman"/>
          <w:sz w:val="24"/>
          <w:szCs w:val="24"/>
        </w:rPr>
        <w:t xml:space="preserve">July 10, 2020, in </w:t>
      </w:r>
      <w:r w:rsidRPr="00C7439B">
        <w:rPr>
          <w:rFonts w:ascii="Times New Roman" w:hAnsi="Times New Roman"/>
          <w:sz w:val="24"/>
          <w:szCs w:val="24"/>
          <w:u w:val="single"/>
        </w:rPr>
        <w:t>Brian McNamara v. The City of Long Beach</w:t>
      </w:r>
      <w:r>
        <w:rPr>
          <w:rFonts w:ascii="Times New Roman" w:hAnsi="Times New Roman"/>
          <w:sz w:val="24"/>
          <w:szCs w:val="24"/>
          <w:u w:val="single"/>
        </w:rPr>
        <w:t>,</w:t>
      </w:r>
      <w:r w:rsidRPr="00C7439B">
        <w:rPr>
          <w:rFonts w:ascii="Times New Roman" w:hAnsi="Times New Roman"/>
          <w:sz w:val="24"/>
          <w:szCs w:val="24"/>
          <w:u w:val="single"/>
        </w:rPr>
        <w:t xml:space="preserve"> et al</w:t>
      </w:r>
      <w:r>
        <w:rPr>
          <w:rFonts w:ascii="Times New Roman" w:hAnsi="Times New Roman"/>
          <w:sz w:val="24"/>
          <w:szCs w:val="24"/>
        </w:rPr>
        <w:t xml:space="preserve">., U.S. District Court Senior Judge Denis R. Hurley, Eastern District of New York (Central Islip, NY) granted summary judgment to the </w:t>
      </w:r>
      <w:proofErr w:type="gramStart"/>
      <w:r>
        <w:rPr>
          <w:rFonts w:ascii="Times New Roman" w:hAnsi="Times New Roman"/>
          <w:sz w:val="24"/>
          <w:szCs w:val="24"/>
        </w:rPr>
        <w:t>City</w:t>
      </w:r>
      <w:proofErr w:type="gramEnd"/>
      <w:r>
        <w:rPr>
          <w:rFonts w:ascii="Times New Roman" w:hAnsi="Times New Roman"/>
          <w:sz w:val="24"/>
          <w:szCs w:val="24"/>
        </w:rPr>
        <w:t xml:space="preserve">.   The Judge found that the formal misconduct charges were proved in a three-day hearing before the City Manager, and plaintiff failed to show that his activities as Union secretary, including articles he published, or that he was generally disliked by volunteer firefighters, was reason he was terminated. The Court wrote: </w:t>
      </w:r>
      <w:r w:rsidRPr="00473009">
        <w:rPr>
          <w:rFonts w:ascii="Times New Roman" w:eastAsia="Times New Roman" w:hAnsi="Times New Roman"/>
          <w:sz w:val="24"/>
          <w:szCs w:val="24"/>
        </w:rPr>
        <w:t xml:space="preserve">Plaintiff picked up an audio recorder and went to the firehouse, where further </w:t>
      </w:r>
      <w:proofErr w:type="gramStart"/>
      <w:r w:rsidRPr="00473009">
        <w:rPr>
          <w:rFonts w:ascii="Times New Roman" w:eastAsia="Times New Roman" w:hAnsi="Times New Roman"/>
          <w:sz w:val="24"/>
          <w:szCs w:val="24"/>
        </w:rPr>
        <w:t>altercations</w:t>
      </w:r>
      <w:proofErr w:type="gramEnd"/>
      <w:r w:rsidRPr="00473009">
        <w:rPr>
          <w:rFonts w:ascii="Times New Roman" w:eastAsia="Times New Roman" w:hAnsi="Times New Roman"/>
          <w:sz w:val="24"/>
          <w:szCs w:val="24"/>
        </w:rPr>
        <w:t xml:space="preserve"> ensued, including the previously mentioned incident with Jacobi. Such behavior is unbecoming in any profession, and it is not surprising that Defendants would react adversely to it. Thus, for the foregoing reasons, Plaintiff has failed to show a material issue of fact as to a causal relationship between his allegedly protected speech or union membership and his </w:t>
      </w:r>
      <w:proofErr w:type="gramStart"/>
      <w:r w:rsidRPr="00473009">
        <w:rPr>
          <w:rFonts w:ascii="Times New Roman" w:eastAsia="Times New Roman" w:hAnsi="Times New Roman"/>
          <w:sz w:val="24"/>
          <w:szCs w:val="24"/>
        </w:rPr>
        <w:t>termination.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2816" w:history="1">
        <w:r w:rsidRPr="000603D4">
          <w:rPr>
            <w:rStyle w:val="Hyperlink"/>
            <w:rFonts w:ascii="Times New Roman" w:hAnsi="Times New Roman"/>
            <w:sz w:val="24"/>
            <w:szCs w:val="24"/>
          </w:rPr>
          <w:t>https://public.fastcase.com/Wl%2B2t%2BeVuI35%2FN70vAMFZqQ7Gx1lZ4VLPzvmh59TfRHYGD4c0wvhFgn%2Bs0ncYh62</w:t>
        </w:r>
      </w:hyperlink>
      <w:r>
        <w:rPr>
          <w:rFonts w:ascii="Times New Roman" w:eastAsia="Times New Roman" w:hAnsi="Times New Roman"/>
          <w:sz w:val="24"/>
          <w:szCs w:val="24"/>
        </w:rPr>
        <w:t xml:space="preserve"> </w:t>
      </w:r>
    </w:p>
    <w:p w14:paraId="169359F7" w14:textId="77777777" w:rsidR="001A653A" w:rsidRPr="00A32A53" w:rsidRDefault="001A653A" w:rsidP="001A653A">
      <w:pPr>
        <w:spacing w:before="100" w:beforeAutospacing="1" w:after="100" w:afterAutospacing="1" w:line="240" w:lineRule="auto"/>
        <w:rPr>
          <w:rFonts w:ascii="Times New Roman" w:eastAsia="Times New Roman" w:hAnsi="Times New Roman"/>
          <w:b/>
          <w:bCs/>
          <w:sz w:val="24"/>
          <w:szCs w:val="24"/>
        </w:rPr>
      </w:pPr>
      <w:r w:rsidRPr="00A32A53">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Violent assault on a fellow firefighter, whether volunteer or career, is completely unacceptable. </w:t>
      </w:r>
    </w:p>
    <w:p w14:paraId="69F182AC" w14:textId="77777777" w:rsidR="001A653A" w:rsidRDefault="001A653A" w:rsidP="00F326E5">
      <w:pPr>
        <w:pStyle w:val="NoSpacing"/>
        <w:rPr>
          <w:rFonts w:ascii="Arial Black" w:hAnsi="Arial Black"/>
          <w:sz w:val="24"/>
          <w:szCs w:val="24"/>
        </w:rPr>
      </w:pPr>
    </w:p>
    <w:p w14:paraId="33575056" w14:textId="77777777" w:rsidR="001A653A" w:rsidRDefault="001A653A" w:rsidP="00F326E5">
      <w:pPr>
        <w:pStyle w:val="NoSpacing"/>
        <w:rPr>
          <w:rFonts w:ascii="Arial Black" w:hAnsi="Arial Black"/>
          <w:sz w:val="24"/>
          <w:szCs w:val="24"/>
        </w:rPr>
      </w:pPr>
    </w:p>
    <w:p w14:paraId="49D50DA7" w14:textId="7098DCB0" w:rsidR="001A653A" w:rsidRPr="001A653A" w:rsidRDefault="001A653A" w:rsidP="00F326E5">
      <w:pPr>
        <w:pStyle w:val="NoSpacing"/>
        <w:rPr>
          <w:rFonts w:ascii="Times New Roman" w:hAnsi="Times New Roman"/>
          <w:sz w:val="24"/>
          <w:szCs w:val="24"/>
        </w:rPr>
      </w:pPr>
      <w:r>
        <w:rPr>
          <w:rFonts w:ascii="Arial Black" w:hAnsi="Arial Black"/>
          <w:sz w:val="24"/>
          <w:szCs w:val="24"/>
        </w:rPr>
        <w:t xml:space="preserve">16-39 </w:t>
      </w:r>
      <w:r w:rsidRPr="001A653A">
        <w:rPr>
          <w:rFonts w:ascii="Times New Roman" w:hAnsi="Times New Roman"/>
          <w:sz w:val="24"/>
          <w:szCs w:val="24"/>
        </w:rPr>
        <w:t xml:space="preserve">[also filed, Chap. 7] </w:t>
      </w:r>
    </w:p>
    <w:p w14:paraId="1B7C3F1D" w14:textId="088DFD1A" w:rsidR="001A653A" w:rsidRDefault="001A653A" w:rsidP="00F326E5">
      <w:pPr>
        <w:pStyle w:val="NoSpacing"/>
        <w:rPr>
          <w:rFonts w:ascii="Arial Black" w:hAnsi="Arial Black"/>
          <w:sz w:val="24"/>
          <w:szCs w:val="24"/>
        </w:rPr>
      </w:pPr>
    </w:p>
    <w:p w14:paraId="34AD30AD" w14:textId="77777777" w:rsidR="001A653A" w:rsidRDefault="001A653A" w:rsidP="001A653A">
      <w:pPr>
        <w:pStyle w:val="NoSpacing"/>
        <w:rPr>
          <w:rFonts w:ascii="Arial Black" w:hAnsi="Arial Black"/>
          <w:sz w:val="28"/>
          <w:szCs w:val="28"/>
        </w:rPr>
      </w:pPr>
      <w:r w:rsidRPr="007B1E77">
        <w:rPr>
          <w:rFonts w:ascii="Arial Black" w:hAnsi="Arial Black"/>
          <w:sz w:val="28"/>
          <w:szCs w:val="28"/>
        </w:rPr>
        <w:t xml:space="preserve">KY: </w:t>
      </w:r>
      <w:r>
        <w:rPr>
          <w:rFonts w:ascii="Arial Black" w:hAnsi="Arial Black"/>
          <w:sz w:val="28"/>
          <w:szCs w:val="28"/>
        </w:rPr>
        <w:t>FF MET 17-YEAR-OLD AT FIRE STATION – CONVICTED HAVING SEX WITH MINOR - TOOK VIDEOS AND PHOTOS</w:t>
      </w:r>
    </w:p>
    <w:p w14:paraId="733124C7"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 xml:space="preserve">On July 7, 2020, in </w:t>
      </w:r>
      <w:r w:rsidRPr="007B1E77">
        <w:rPr>
          <w:rFonts w:ascii="Times New Roman" w:hAnsi="Times New Roman"/>
          <w:sz w:val="24"/>
          <w:szCs w:val="24"/>
          <w:u w:val="single"/>
        </w:rPr>
        <w:t>United States of America v. William Michael Fields</w:t>
      </w:r>
      <w:r w:rsidRPr="007B1E77">
        <w:rPr>
          <w:rFonts w:ascii="Times New Roman" w:hAnsi="Times New Roman"/>
          <w:sz w:val="24"/>
          <w:szCs w:val="24"/>
        </w:rPr>
        <w:t xml:space="preserve">, </w:t>
      </w:r>
      <w:r>
        <w:rPr>
          <w:rFonts w:ascii="Times New Roman" w:hAnsi="Times New Roman"/>
          <w:sz w:val="24"/>
          <w:szCs w:val="24"/>
        </w:rPr>
        <w:t xml:space="preserve">U.S. District Court Chief Judge Danny C. Reeves, Eastern District of Kentucky, denied the defendant’s motion for judgment of acquittal, or a new trial. The Court wrote: </w:t>
      </w:r>
      <w:r w:rsidRPr="007B1E77">
        <w:rPr>
          <w:rFonts w:ascii="Times New Roman" w:hAnsi="Times New Roman"/>
          <w:sz w:val="24"/>
          <w:szCs w:val="24"/>
        </w:rPr>
        <w:t xml:space="preserve">“Based on the foregoing, there was ample evidence from which the jury could have concluded that, on March 17 and 23, 2019, Fields employed, used, persuaded, induced, or coerced the minor victim to engage in </w:t>
      </w:r>
    </w:p>
    <w:p w14:paraId="3F5CCE85" w14:textId="77777777" w:rsidR="001A653A" w:rsidRDefault="001A653A" w:rsidP="001A653A">
      <w:pPr>
        <w:pStyle w:val="NoSpacing"/>
        <w:rPr>
          <w:rFonts w:ascii="Times New Roman" w:hAnsi="Times New Roman"/>
          <w:sz w:val="24"/>
          <w:szCs w:val="24"/>
        </w:rPr>
      </w:pPr>
    </w:p>
    <w:p w14:paraId="666B9144"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sexually explicit conduct for the purpose of producing a visual depiction of that conduct and that the visual depiction was produced or transmitted using materials that were mailed, shipped, or transported in or affecting interstate commerce by any means, including computer.</w:t>
      </w:r>
      <w:r>
        <w:rPr>
          <w:rFonts w:ascii="Times New Roman" w:hAnsi="Times New Roman"/>
          <w:sz w:val="24"/>
          <w:szCs w:val="24"/>
        </w:rPr>
        <w:t xml:space="preserve">” </w:t>
      </w:r>
      <w:hyperlink r:id="rId2817" w:history="1">
        <w:r w:rsidRPr="00FE7BCF">
          <w:rPr>
            <w:rStyle w:val="Hyperlink"/>
            <w:rFonts w:ascii="Times New Roman" w:hAnsi="Times New Roman"/>
            <w:sz w:val="24"/>
            <w:szCs w:val="24"/>
          </w:rPr>
          <w:t>https://casetext.com/case/united-states-v-fields-198</w:t>
        </w:r>
      </w:hyperlink>
      <w:r>
        <w:rPr>
          <w:rFonts w:ascii="Times New Roman" w:hAnsi="Times New Roman"/>
          <w:sz w:val="24"/>
          <w:szCs w:val="24"/>
        </w:rPr>
        <w:t xml:space="preserve"> </w:t>
      </w:r>
    </w:p>
    <w:p w14:paraId="4A337F73" w14:textId="2FC1D1E3" w:rsidR="001A653A" w:rsidRDefault="001A653A" w:rsidP="00F326E5">
      <w:pPr>
        <w:pStyle w:val="NoSpacing"/>
        <w:rPr>
          <w:rFonts w:ascii="Arial Black" w:hAnsi="Arial Black"/>
          <w:sz w:val="24"/>
          <w:szCs w:val="24"/>
        </w:rPr>
      </w:pPr>
    </w:p>
    <w:p w14:paraId="75AFBF74" w14:textId="77777777" w:rsidR="001A653A" w:rsidRDefault="001A653A" w:rsidP="001A653A">
      <w:pPr>
        <w:pStyle w:val="NoSpacing"/>
        <w:tabs>
          <w:tab w:val="left" w:pos="2780"/>
        </w:tabs>
        <w:rPr>
          <w:rFonts w:ascii="Times New Roman" w:hAnsi="Times New Roman"/>
          <w:b/>
          <w:bCs/>
          <w:sz w:val="24"/>
          <w:szCs w:val="24"/>
        </w:rPr>
      </w:pPr>
      <w:r w:rsidRPr="00602C23">
        <w:rPr>
          <w:rFonts w:ascii="Times New Roman" w:hAnsi="Times New Roman"/>
          <w:b/>
          <w:bCs/>
          <w:sz w:val="24"/>
          <w:szCs w:val="24"/>
        </w:rPr>
        <w:t>Legal Lesson Learned</w:t>
      </w:r>
      <w:r>
        <w:rPr>
          <w:rFonts w:ascii="Times New Roman" w:hAnsi="Times New Roman"/>
          <w:b/>
          <w:bCs/>
          <w:sz w:val="24"/>
          <w:szCs w:val="24"/>
        </w:rPr>
        <w:t xml:space="preserve">: A firefighter having sex with a minor can be convicted of a federal offense if a video or photos is posted on Internet. </w:t>
      </w:r>
    </w:p>
    <w:p w14:paraId="399DCC34" w14:textId="77777777" w:rsidR="001A653A" w:rsidRDefault="001A653A" w:rsidP="00F326E5">
      <w:pPr>
        <w:pStyle w:val="NoSpacing"/>
        <w:rPr>
          <w:rFonts w:ascii="Arial Black" w:hAnsi="Arial Black"/>
          <w:sz w:val="24"/>
          <w:szCs w:val="24"/>
        </w:rPr>
      </w:pPr>
    </w:p>
    <w:p w14:paraId="0C5C2967" w14:textId="77777777" w:rsidR="001A653A" w:rsidRDefault="001A653A" w:rsidP="00F326E5">
      <w:pPr>
        <w:pStyle w:val="NoSpacing"/>
        <w:rPr>
          <w:rFonts w:ascii="Arial Black" w:hAnsi="Arial Black"/>
          <w:sz w:val="24"/>
          <w:szCs w:val="24"/>
        </w:rPr>
      </w:pPr>
    </w:p>
    <w:p w14:paraId="62589F10" w14:textId="0D79952A" w:rsidR="001A653A" w:rsidRDefault="001A653A" w:rsidP="00F326E5">
      <w:pPr>
        <w:pStyle w:val="NoSpacing"/>
        <w:rPr>
          <w:rFonts w:ascii="Arial Black" w:hAnsi="Arial Black"/>
          <w:sz w:val="24"/>
          <w:szCs w:val="24"/>
        </w:rPr>
      </w:pPr>
      <w:r>
        <w:rPr>
          <w:rFonts w:ascii="Arial Black" w:hAnsi="Arial Black"/>
          <w:sz w:val="24"/>
          <w:szCs w:val="24"/>
        </w:rPr>
        <w:t>16-38</w:t>
      </w:r>
    </w:p>
    <w:p w14:paraId="0AD151BB" w14:textId="1B391A33" w:rsidR="001A653A" w:rsidRDefault="001A653A" w:rsidP="00F326E5">
      <w:pPr>
        <w:pStyle w:val="NoSpacing"/>
        <w:rPr>
          <w:rFonts w:ascii="Arial Black" w:hAnsi="Arial Black"/>
          <w:sz w:val="24"/>
          <w:szCs w:val="24"/>
        </w:rPr>
      </w:pPr>
    </w:p>
    <w:p w14:paraId="6590CE23" w14:textId="77777777" w:rsidR="001A653A" w:rsidRPr="00901FCB" w:rsidRDefault="001A653A" w:rsidP="001A653A">
      <w:pPr>
        <w:pStyle w:val="NoSpacing"/>
        <w:rPr>
          <w:rFonts w:ascii="Arial Black" w:hAnsi="Arial Black"/>
          <w:sz w:val="28"/>
          <w:szCs w:val="28"/>
        </w:rPr>
      </w:pPr>
      <w:r w:rsidRPr="00901FCB">
        <w:rPr>
          <w:rFonts w:ascii="Arial Black" w:hAnsi="Arial Black"/>
          <w:sz w:val="28"/>
          <w:szCs w:val="28"/>
        </w:rPr>
        <w:t xml:space="preserve">NJ: </w:t>
      </w:r>
      <w:r>
        <w:rPr>
          <w:rFonts w:ascii="Arial Black" w:hAnsi="Arial Black"/>
          <w:sz w:val="28"/>
          <w:szCs w:val="28"/>
        </w:rPr>
        <w:t>PENSION FRAUD – FF SENTENCED 7 YEARS IN PRISON – MARSHAL ARTS INSTRUCTOR – VIDEO OF COMPETITION</w:t>
      </w:r>
    </w:p>
    <w:p w14:paraId="7F40F2BF" w14:textId="77777777" w:rsidR="001A653A" w:rsidRDefault="001A653A" w:rsidP="001A653A">
      <w:pPr>
        <w:pStyle w:val="NoSpacing"/>
        <w:rPr>
          <w:rFonts w:ascii="Times New Roman" w:hAnsi="Times New Roman"/>
          <w:sz w:val="24"/>
          <w:szCs w:val="24"/>
        </w:rPr>
      </w:pPr>
    </w:p>
    <w:p w14:paraId="79AD8803" w14:textId="77777777" w:rsidR="001A653A" w:rsidRDefault="001A653A" w:rsidP="001A653A">
      <w:pPr>
        <w:pStyle w:val="NoSpacing"/>
        <w:tabs>
          <w:tab w:val="left" w:pos="6170"/>
        </w:tabs>
        <w:rPr>
          <w:rFonts w:ascii="Times New Roman" w:hAnsi="Times New Roman"/>
          <w:sz w:val="24"/>
          <w:szCs w:val="24"/>
        </w:rPr>
      </w:pPr>
      <w:r>
        <w:rPr>
          <w:rFonts w:ascii="Times New Roman" w:hAnsi="Times New Roman"/>
          <w:sz w:val="24"/>
          <w:szCs w:val="24"/>
        </w:rPr>
        <w:t xml:space="preserve">On June 30, 2020, in </w:t>
      </w:r>
      <w:r w:rsidRPr="00FE7716">
        <w:rPr>
          <w:rFonts w:ascii="Times New Roman" w:hAnsi="Times New Roman"/>
          <w:sz w:val="24"/>
          <w:szCs w:val="24"/>
          <w:u w:val="single"/>
        </w:rPr>
        <w:t>State of New Jersey v. Shane Streater</w:t>
      </w:r>
      <w:r>
        <w:rPr>
          <w:rFonts w:ascii="Times New Roman" w:hAnsi="Times New Roman"/>
          <w:sz w:val="24"/>
          <w:szCs w:val="24"/>
        </w:rPr>
        <w:t>, the Superior Court of New Jersey, Appellate Division, held (2 to 0) that jury’s conviction of the former Camden, NJ firefighter is affirmed. The prosecution called as witnesses two medical doctors who had submitted letters in support of his disability; they told the jury that after watching the video they were never informed of his martial arts activities.  The Court wrote: “</w:t>
      </w:r>
      <w:r w:rsidRPr="00901FCB">
        <w:rPr>
          <w:rFonts w:ascii="Times New Roman" w:hAnsi="Times New Roman"/>
          <w:sz w:val="24"/>
          <w:szCs w:val="24"/>
        </w:rPr>
        <w:t>Here, the State adduced abundant evidence of defendant's fraud, including the testimony of three doctors who examined him and stated defendant's actions on the videotape of his martial arts competition were inconsistent with defendant's complaints of pain and disability.</w:t>
      </w:r>
      <w:r>
        <w:rPr>
          <w:rFonts w:ascii="Times New Roman" w:hAnsi="Times New Roman"/>
          <w:sz w:val="24"/>
          <w:szCs w:val="24"/>
        </w:rPr>
        <w:t xml:space="preserve">” </w:t>
      </w:r>
      <w:hyperlink r:id="rId2818" w:history="1">
        <w:r w:rsidRPr="00524935">
          <w:rPr>
            <w:rStyle w:val="Hyperlink"/>
            <w:rFonts w:ascii="Times New Roman" w:hAnsi="Times New Roman"/>
            <w:sz w:val="24"/>
            <w:szCs w:val="24"/>
          </w:rPr>
          <w:t>https://njcourts.gov/attorneys/assets/opinions/appellate/unpublished/a1619-18.pdf?c=D1L</w:t>
        </w:r>
      </w:hyperlink>
      <w:r>
        <w:rPr>
          <w:rFonts w:ascii="Times New Roman" w:hAnsi="Times New Roman"/>
          <w:sz w:val="24"/>
          <w:szCs w:val="24"/>
        </w:rPr>
        <w:t xml:space="preserve"> </w:t>
      </w:r>
    </w:p>
    <w:p w14:paraId="78AED0E5" w14:textId="48E8B08F" w:rsidR="001A653A" w:rsidRDefault="001A653A" w:rsidP="00F326E5">
      <w:pPr>
        <w:pStyle w:val="NoSpacing"/>
        <w:rPr>
          <w:rFonts w:ascii="Arial Black" w:hAnsi="Arial Black"/>
          <w:sz w:val="24"/>
          <w:szCs w:val="24"/>
        </w:rPr>
      </w:pPr>
    </w:p>
    <w:p w14:paraId="6601AF98" w14:textId="77777777" w:rsidR="001A653A" w:rsidRDefault="001A653A" w:rsidP="001A653A">
      <w:pPr>
        <w:pStyle w:val="NoSpacing"/>
        <w:rPr>
          <w:rFonts w:ascii="Times New Roman" w:hAnsi="Times New Roman"/>
          <w:b/>
          <w:bCs/>
          <w:sz w:val="24"/>
          <w:szCs w:val="24"/>
        </w:rPr>
      </w:pPr>
      <w:r w:rsidRPr="0046700F">
        <w:rPr>
          <w:rFonts w:ascii="Times New Roman" w:hAnsi="Times New Roman"/>
          <w:b/>
          <w:bCs/>
          <w:sz w:val="24"/>
          <w:szCs w:val="24"/>
        </w:rPr>
        <w:t>Legal Lessons Learned:</w:t>
      </w:r>
      <w:r>
        <w:rPr>
          <w:rFonts w:ascii="Times New Roman" w:hAnsi="Times New Roman"/>
          <w:b/>
          <w:bCs/>
          <w:sz w:val="24"/>
          <w:szCs w:val="24"/>
        </w:rPr>
        <w:t xml:space="preserve"> The 7-year prison sentence certainly “sends a message.”</w:t>
      </w:r>
    </w:p>
    <w:p w14:paraId="69BA5865" w14:textId="77777777" w:rsidR="001A653A" w:rsidRDefault="001A653A" w:rsidP="001A653A">
      <w:pPr>
        <w:pStyle w:val="NoSpacing"/>
        <w:rPr>
          <w:rFonts w:ascii="Times New Roman" w:hAnsi="Times New Roman"/>
          <w:b/>
          <w:bCs/>
          <w:sz w:val="24"/>
          <w:szCs w:val="24"/>
        </w:rPr>
      </w:pPr>
    </w:p>
    <w:p w14:paraId="2CDE1666" w14:textId="77777777" w:rsidR="001A653A" w:rsidRDefault="001A653A" w:rsidP="001A653A">
      <w:pPr>
        <w:pStyle w:val="NoSpacing"/>
        <w:rPr>
          <w:rFonts w:ascii="Times New Roman" w:hAnsi="Times New Roman"/>
          <w:sz w:val="24"/>
          <w:szCs w:val="24"/>
        </w:rPr>
      </w:pPr>
      <w:r>
        <w:rPr>
          <w:rFonts w:ascii="Times New Roman" w:hAnsi="Times New Roman"/>
          <w:b/>
          <w:bCs/>
          <w:sz w:val="24"/>
          <w:szCs w:val="24"/>
        </w:rPr>
        <w:tab/>
      </w:r>
      <w:r w:rsidRPr="00B4050E">
        <w:rPr>
          <w:rFonts w:ascii="Times New Roman" w:hAnsi="Times New Roman"/>
          <w:sz w:val="24"/>
          <w:szCs w:val="24"/>
        </w:rPr>
        <w:t>Note: Trial Court judge also ordered the defendant to pay $82,488.22 in restitution.</w:t>
      </w:r>
    </w:p>
    <w:p w14:paraId="5F0E1C9F" w14:textId="77777777" w:rsidR="001A653A" w:rsidRDefault="001A653A" w:rsidP="001A653A">
      <w:pPr>
        <w:pStyle w:val="NoSpacing"/>
        <w:rPr>
          <w:rFonts w:ascii="Times New Roman" w:hAnsi="Times New Roman"/>
          <w:sz w:val="24"/>
          <w:szCs w:val="24"/>
        </w:rPr>
      </w:pPr>
      <w:r>
        <w:rPr>
          <w:rFonts w:ascii="Times New Roman" w:hAnsi="Times New Roman"/>
          <w:sz w:val="24"/>
          <w:szCs w:val="24"/>
        </w:rPr>
        <w:tab/>
        <w:t xml:space="preserve">See newspaper coverage: </w:t>
      </w:r>
    </w:p>
    <w:p w14:paraId="3B6CEA3C" w14:textId="77777777" w:rsidR="001A653A" w:rsidRDefault="001A653A" w:rsidP="001A653A">
      <w:pPr>
        <w:pStyle w:val="NoSpacing"/>
        <w:ind w:left="720"/>
        <w:rPr>
          <w:rFonts w:ascii="Times New Roman" w:hAnsi="Times New Roman"/>
          <w:sz w:val="24"/>
          <w:szCs w:val="24"/>
        </w:rPr>
      </w:pPr>
      <w:r>
        <w:rPr>
          <w:rFonts w:ascii="Times New Roman" w:hAnsi="Times New Roman"/>
          <w:sz w:val="24"/>
          <w:szCs w:val="24"/>
        </w:rPr>
        <w:t xml:space="preserve">Watch the YouTube video and TV story (March 18, 2015): </w:t>
      </w:r>
      <w:hyperlink r:id="rId2819" w:history="1">
        <w:r w:rsidRPr="00524935">
          <w:rPr>
            <w:rStyle w:val="Hyperlink"/>
            <w:rFonts w:ascii="Times New Roman" w:hAnsi="Times New Roman"/>
            <w:sz w:val="24"/>
            <w:szCs w:val="24"/>
          </w:rPr>
          <w:t>https://www.nbcphiladelphia.com/news/local/firefighter-fraudulently-collected-disability-pension/151491/</w:t>
        </w:r>
      </w:hyperlink>
      <w:r>
        <w:rPr>
          <w:rFonts w:ascii="Times New Roman" w:hAnsi="Times New Roman"/>
          <w:sz w:val="24"/>
          <w:szCs w:val="24"/>
        </w:rPr>
        <w:t xml:space="preserve"> </w:t>
      </w:r>
    </w:p>
    <w:p w14:paraId="5C62DDE8" w14:textId="77777777" w:rsidR="001A653A" w:rsidRPr="00DB11E1" w:rsidRDefault="001A653A" w:rsidP="001A653A">
      <w:pPr>
        <w:pStyle w:val="NoSpacing"/>
        <w:ind w:left="720"/>
        <w:rPr>
          <w:rFonts w:ascii="Times New Roman" w:eastAsia="Times New Roman" w:hAnsi="Times New Roman"/>
          <w:b/>
          <w:bCs/>
          <w:sz w:val="24"/>
          <w:szCs w:val="24"/>
        </w:rPr>
      </w:pPr>
      <w:r>
        <w:rPr>
          <w:rFonts w:ascii="Times New Roman" w:hAnsi="Times New Roman"/>
          <w:sz w:val="24"/>
          <w:szCs w:val="24"/>
        </w:rPr>
        <w:t>“</w:t>
      </w:r>
      <w:r w:rsidRPr="00B4050E">
        <w:rPr>
          <w:rFonts w:ascii="Times New Roman" w:hAnsi="Times New Roman"/>
          <w:sz w:val="24"/>
          <w:szCs w:val="24"/>
        </w:rPr>
        <w:t>Ex-N.J. firefighter convicted of stealing disability pension while earning black belt</w:t>
      </w:r>
      <w:r>
        <w:rPr>
          <w:rFonts w:ascii="Times New Roman" w:hAnsi="Times New Roman"/>
          <w:sz w:val="24"/>
          <w:szCs w:val="24"/>
        </w:rPr>
        <w:t>”</w:t>
      </w:r>
      <w:r w:rsidRPr="00B4050E">
        <w:rPr>
          <w:rFonts w:ascii="Times New Roman" w:hAnsi="Times New Roman"/>
          <w:sz w:val="24"/>
          <w:szCs w:val="24"/>
        </w:rPr>
        <w:t xml:space="preserve"> (April 12, 2016): </w:t>
      </w:r>
      <w:hyperlink r:id="rId2820" w:history="1">
        <w:r w:rsidRPr="00B4050E">
          <w:rPr>
            <w:rStyle w:val="Hyperlink"/>
            <w:rFonts w:ascii="Times New Roman" w:hAnsi="Times New Roman"/>
            <w:sz w:val="24"/>
            <w:szCs w:val="24"/>
          </w:rPr>
          <w:t>https://www.nj.com/news/2016/04/ex-nj_firefighter_convicted_of_stealing_disability.html</w:t>
        </w:r>
      </w:hyperlink>
      <w:r w:rsidRPr="00B4050E">
        <w:rPr>
          <w:rFonts w:ascii="Times New Roman" w:hAnsi="Times New Roman"/>
          <w:sz w:val="24"/>
          <w:szCs w:val="24"/>
        </w:rPr>
        <w:t xml:space="preserve"> </w:t>
      </w:r>
    </w:p>
    <w:p w14:paraId="21CA3937" w14:textId="77777777" w:rsidR="001A653A" w:rsidRDefault="001A653A" w:rsidP="00F326E5">
      <w:pPr>
        <w:pStyle w:val="NoSpacing"/>
        <w:rPr>
          <w:rFonts w:ascii="Arial Black" w:hAnsi="Arial Black"/>
          <w:sz w:val="24"/>
          <w:szCs w:val="24"/>
        </w:rPr>
      </w:pPr>
    </w:p>
    <w:p w14:paraId="7E752396" w14:textId="77777777" w:rsidR="001A653A" w:rsidRDefault="001A653A" w:rsidP="00F326E5">
      <w:pPr>
        <w:pStyle w:val="NoSpacing"/>
        <w:rPr>
          <w:rFonts w:ascii="Arial Black" w:hAnsi="Arial Black"/>
          <w:sz w:val="24"/>
          <w:szCs w:val="24"/>
        </w:rPr>
      </w:pPr>
    </w:p>
    <w:p w14:paraId="1C8ED012" w14:textId="77777777" w:rsidR="001A653A" w:rsidRDefault="001A653A" w:rsidP="00F326E5">
      <w:pPr>
        <w:pStyle w:val="NoSpacing"/>
        <w:rPr>
          <w:rFonts w:ascii="Arial Black" w:hAnsi="Arial Black"/>
          <w:sz w:val="24"/>
          <w:szCs w:val="24"/>
        </w:rPr>
      </w:pPr>
    </w:p>
    <w:p w14:paraId="6ED87FA1" w14:textId="6EE32EFF" w:rsidR="00A950CC" w:rsidRDefault="00A950CC" w:rsidP="00F326E5">
      <w:pPr>
        <w:pStyle w:val="NoSpacing"/>
        <w:rPr>
          <w:rFonts w:ascii="Arial Black" w:hAnsi="Arial Black"/>
          <w:sz w:val="24"/>
          <w:szCs w:val="24"/>
        </w:rPr>
      </w:pPr>
      <w:r>
        <w:rPr>
          <w:rFonts w:ascii="Arial Black" w:hAnsi="Arial Black"/>
          <w:sz w:val="24"/>
          <w:szCs w:val="24"/>
        </w:rPr>
        <w:t>16-37</w:t>
      </w:r>
    </w:p>
    <w:p w14:paraId="05A66B3E" w14:textId="77777777" w:rsidR="00A950CC" w:rsidRPr="00B2496D" w:rsidRDefault="00A950CC" w:rsidP="00A950CC">
      <w:pPr>
        <w:spacing w:before="100" w:beforeAutospacing="1" w:after="100" w:afterAutospacing="1" w:line="240" w:lineRule="auto"/>
        <w:rPr>
          <w:rFonts w:ascii="Arial Black" w:hAnsi="Arial Black" w:cs="Arial"/>
          <w:sz w:val="28"/>
          <w:szCs w:val="28"/>
        </w:rPr>
      </w:pPr>
      <w:r w:rsidRPr="00B2496D">
        <w:rPr>
          <w:rFonts w:ascii="Arial Black" w:hAnsi="Arial Black" w:cs="Arial"/>
          <w:sz w:val="28"/>
          <w:szCs w:val="28"/>
        </w:rPr>
        <w:t xml:space="preserve">TN: </w:t>
      </w:r>
      <w:r>
        <w:rPr>
          <w:rFonts w:ascii="Arial Black" w:hAnsi="Arial Black" w:cs="Arial"/>
          <w:sz w:val="28"/>
          <w:szCs w:val="28"/>
        </w:rPr>
        <w:t>TAPE RECORDER SECRETLY PLACED UNDER TABLE FIRE HALL – TO RECORD “GOSSIP” – VIOLATION OF TN LAW – 5 FF AWARDED $10,000 EACH &amp; ATTORNEY FEES</w:t>
      </w:r>
    </w:p>
    <w:p w14:paraId="5C6CD714" w14:textId="77777777" w:rsidR="00A950CC" w:rsidRPr="00DF718A" w:rsidRDefault="00A950CC" w:rsidP="00A950CC">
      <w:pPr>
        <w:spacing w:before="100" w:beforeAutospacing="1" w:after="100" w:afterAutospacing="1" w:line="240" w:lineRule="auto"/>
        <w:rPr>
          <w:rFonts w:ascii="Times New Roman" w:hAnsi="Times New Roman"/>
          <w:sz w:val="24"/>
          <w:szCs w:val="24"/>
        </w:rPr>
      </w:pPr>
      <w:r w:rsidRPr="00B2496D">
        <w:rPr>
          <w:rFonts w:ascii="Times New Roman" w:hAnsi="Times New Roman"/>
          <w:sz w:val="24"/>
          <w:szCs w:val="24"/>
        </w:rPr>
        <w:t xml:space="preserve">On May 8, 2020, in </w:t>
      </w:r>
      <w:r w:rsidRPr="00DF718A">
        <w:rPr>
          <w:rFonts w:ascii="Times New Roman" w:hAnsi="Times New Roman"/>
          <w:sz w:val="24"/>
          <w:szCs w:val="24"/>
          <w:u w:val="single"/>
        </w:rPr>
        <w:t>Ronald Ledford, et al, v. John Ben Sneed and Ray Wilson, Jr.</w:t>
      </w:r>
      <w:r>
        <w:rPr>
          <w:rFonts w:ascii="Times New Roman" w:hAnsi="Times New Roman"/>
          <w:sz w:val="24"/>
          <w:szCs w:val="24"/>
        </w:rPr>
        <w:t>, the Court of Appeals of Tennessee at Knoxville, held (3 to 0) that “</w:t>
      </w:r>
      <w:r w:rsidRPr="00DF718A">
        <w:rPr>
          <w:rFonts w:ascii="Times New Roman" w:hAnsi="Times New Roman"/>
          <w:sz w:val="24"/>
          <w:szCs w:val="24"/>
        </w:rPr>
        <w:t>Defendants’</w:t>
      </w:r>
      <w:r>
        <w:rPr>
          <w:rFonts w:ascii="Times New Roman" w:hAnsi="Times New Roman"/>
          <w:sz w:val="24"/>
          <w:szCs w:val="24"/>
        </w:rPr>
        <w:t xml:space="preserve"> </w:t>
      </w:r>
      <w:r w:rsidRPr="00DF718A">
        <w:rPr>
          <w:rFonts w:ascii="Times New Roman" w:hAnsi="Times New Roman"/>
          <w:sz w:val="24"/>
          <w:szCs w:val="24"/>
        </w:rPr>
        <w:t>vague assertions that they would be listening were</w:t>
      </w:r>
      <w:r>
        <w:rPr>
          <w:rFonts w:ascii="Times New Roman" w:hAnsi="Times New Roman"/>
          <w:sz w:val="24"/>
          <w:szCs w:val="24"/>
        </w:rPr>
        <w:t xml:space="preserve"> </w:t>
      </w:r>
      <w:r w:rsidRPr="00DF718A">
        <w:rPr>
          <w:rFonts w:ascii="Times New Roman" w:hAnsi="Times New Roman"/>
          <w:sz w:val="24"/>
          <w:szCs w:val="24"/>
        </w:rPr>
        <w:t>also not enough to garner consent from Plaintiffs to record their conversations via a tape recorder</w:t>
      </w:r>
      <w:r>
        <w:rPr>
          <w:rFonts w:ascii="Times New Roman" w:hAnsi="Times New Roman"/>
          <w:sz w:val="24"/>
          <w:szCs w:val="24"/>
        </w:rPr>
        <w:t xml:space="preserve"> </w:t>
      </w:r>
      <w:r w:rsidRPr="00DF718A">
        <w:rPr>
          <w:rFonts w:ascii="Times New Roman" w:hAnsi="Times New Roman"/>
          <w:sz w:val="24"/>
          <w:szCs w:val="24"/>
        </w:rPr>
        <w:t>taped under the table</w:t>
      </w:r>
      <w:r>
        <w:rPr>
          <w:rFonts w:ascii="Times New Roman" w:hAnsi="Times New Roman"/>
          <w:sz w:val="24"/>
          <w:szCs w:val="24"/>
        </w:rPr>
        <w:t xml:space="preserve">.” </w:t>
      </w:r>
      <w:hyperlink r:id="rId2821" w:history="1">
        <w:r w:rsidRPr="008C168C">
          <w:rPr>
            <w:rStyle w:val="Hyperlink"/>
            <w:sz w:val="24"/>
            <w:szCs w:val="24"/>
          </w:rPr>
          <w:t>http://www.tncourts.gov/sites/default/files/ronald_ledford_et_al._v._john_ben_sneed_et_al..pdf</w:t>
        </w:r>
      </w:hyperlink>
      <w:r>
        <w:rPr>
          <w:rFonts w:ascii="Times New Roman" w:hAnsi="Times New Roman"/>
          <w:sz w:val="24"/>
          <w:szCs w:val="24"/>
        </w:rPr>
        <w:t xml:space="preserve"> </w:t>
      </w:r>
    </w:p>
    <w:p w14:paraId="767D458B" w14:textId="77777777" w:rsidR="00A950CC" w:rsidRPr="00E504C8" w:rsidRDefault="00A950CC" w:rsidP="00A950CC">
      <w:pPr>
        <w:spacing w:before="100" w:beforeAutospacing="1" w:after="100" w:afterAutospacing="1" w:line="240" w:lineRule="auto"/>
        <w:rPr>
          <w:rFonts w:ascii="Times New Roman" w:hAnsi="Times New Roman"/>
          <w:b/>
          <w:bCs/>
          <w:sz w:val="24"/>
          <w:szCs w:val="24"/>
        </w:rPr>
      </w:pPr>
      <w:r w:rsidRPr="00E504C8">
        <w:rPr>
          <w:rFonts w:ascii="Times New Roman" w:hAnsi="Times New Roman"/>
          <w:b/>
          <w:bCs/>
          <w:sz w:val="24"/>
          <w:szCs w:val="24"/>
        </w:rPr>
        <w:t>Legal Lessons Learned:</w:t>
      </w:r>
      <w:r>
        <w:rPr>
          <w:rFonts w:ascii="Times New Roman" w:hAnsi="Times New Roman"/>
          <w:b/>
          <w:bCs/>
          <w:sz w:val="24"/>
          <w:szCs w:val="24"/>
        </w:rPr>
        <w:t xml:space="preserve"> Secretly placing tape recorders can lead to both civil, and in some states, criminal liability.  </w:t>
      </w:r>
    </w:p>
    <w:p w14:paraId="174AF1ED" w14:textId="77777777" w:rsidR="00A950CC" w:rsidRDefault="00A950CC" w:rsidP="00F326E5">
      <w:pPr>
        <w:pStyle w:val="NoSpacing"/>
        <w:rPr>
          <w:rFonts w:ascii="Arial Black" w:hAnsi="Arial Black"/>
          <w:sz w:val="24"/>
          <w:szCs w:val="24"/>
        </w:rPr>
      </w:pPr>
    </w:p>
    <w:p w14:paraId="19C3A7CF" w14:textId="77777777" w:rsidR="00A950CC" w:rsidRDefault="00A950CC" w:rsidP="00F326E5">
      <w:pPr>
        <w:pStyle w:val="NoSpacing"/>
        <w:rPr>
          <w:rFonts w:ascii="Arial Black" w:hAnsi="Arial Black"/>
          <w:sz w:val="24"/>
          <w:szCs w:val="24"/>
        </w:rPr>
      </w:pPr>
    </w:p>
    <w:p w14:paraId="29847EC0" w14:textId="02A547E4" w:rsidR="00A950CC" w:rsidRDefault="00A950CC" w:rsidP="00F326E5">
      <w:pPr>
        <w:pStyle w:val="NoSpacing"/>
        <w:rPr>
          <w:rFonts w:ascii="Arial Black" w:hAnsi="Arial Black"/>
          <w:sz w:val="24"/>
          <w:szCs w:val="24"/>
        </w:rPr>
      </w:pPr>
      <w:r>
        <w:rPr>
          <w:rFonts w:ascii="Arial Black" w:hAnsi="Arial Black"/>
          <w:sz w:val="24"/>
          <w:szCs w:val="24"/>
        </w:rPr>
        <w:t>16-36</w:t>
      </w:r>
    </w:p>
    <w:p w14:paraId="07D21FE4" w14:textId="77777777" w:rsidR="00A950CC" w:rsidRPr="00F200DE" w:rsidRDefault="00A950CC" w:rsidP="00A950CC">
      <w:pPr>
        <w:spacing w:before="100" w:beforeAutospacing="1" w:after="100" w:afterAutospacing="1" w:line="240" w:lineRule="auto"/>
        <w:rPr>
          <w:rFonts w:ascii="Arial Black" w:hAnsi="Arial Black" w:cs="Arial"/>
          <w:sz w:val="28"/>
          <w:szCs w:val="28"/>
        </w:rPr>
      </w:pPr>
      <w:r w:rsidRPr="00F200DE">
        <w:rPr>
          <w:rFonts w:ascii="Arial Black" w:hAnsi="Arial Black" w:cs="Arial"/>
          <w:sz w:val="28"/>
          <w:szCs w:val="28"/>
        </w:rPr>
        <w:t xml:space="preserve">CA: </w:t>
      </w:r>
      <w:r>
        <w:rPr>
          <w:rFonts w:ascii="Arial Black" w:hAnsi="Arial Black" w:cs="Arial"/>
          <w:sz w:val="28"/>
          <w:szCs w:val="28"/>
        </w:rPr>
        <w:t xml:space="preserve">FF SEXUAL E-MAILS TO 16-YR-OLD GIRL HE MET AT FIRE STATION TOUR – ALSO CONDUCT TOWARDS FEMALE FF – TERMINATION UPHELD, EMBARASSMENT TO FD </w:t>
      </w:r>
    </w:p>
    <w:p w14:paraId="231E0F8C" w14:textId="77777777" w:rsidR="00A950CC" w:rsidRPr="00381D99" w:rsidRDefault="00A950CC" w:rsidP="00A950CC">
      <w:pPr>
        <w:spacing w:before="100" w:beforeAutospacing="1" w:after="100" w:afterAutospacing="1" w:line="240" w:lineRule="auto"/>
        <w:ind w:left="450"/>
        <w:rPr>
          <w:rFonts w:ascii="Times New Roman" w:eastAsia="Times New Roman" w:hAnsi="Times New Roman"/>
          <w:b/>
          <w:bCs/>
          <w:sz w:val="24"/>
          <w:szCs w:val="24"/>
        </w:rPr>
      </w:pPr>
      <w:r w:rsidRPr="00381D99">
        <w:rPr>
          <w:rFonts w:ascii="Times New Roman" w:hAnsi="Times New Roman"/>
          <w:sz w:val="24"/>
          <w:szCs w:val="24"/>
        </w:rPr>
        <w:t xml:space="preserve">On May 7, 2020, in </w:t>
      </w:r>
      <w:r w:rsidRPr="00381D99">
        <w:rPr>
          <w:rFonts w:ascii="Times New Roman" w:hAnsi="Times New Roman"/>
          <w:sz w:val="24"/>
          <w:szCs w:val="24"/>
          <w:u w:val="single"/>
        </w:rPr>
        <w:t>Grant Seibert v. City of San Jose</w:t>
      </w:r>
      <w:r>
        <w:rPr>
          <w:rFonts w:ascii="Times New Roman" w:hAnsi="Times New Roman"/>
          <w:sz w:val="24"/>
          <w:szCs w:val="24"/>
        </w:rPr>
        <w:t>, the Court of Appeal of State of California, Sixth Appellate District, held (3 to 0) in unreported opinion, “</w:t>
      </w:r>
      <w:r w:rsidRPr="009B52FF">
        <w:rPr>
          <w:rFonts w:ascii="Times New Roman" w:hAnsi="Times New Roman"/>
          <w:sz w:val="24"/>
          <w:szCs w:val="24"/>
        </w:rPr>
        <w:t>Insofar as Seibert sexualized his job, his actions reasonably could be found to be disrespectful to the general public, which is rightly entitled to expect professionalism from its public servants. In addition, insofar as those actions</w:t>
      </w:r>
      <w:r>
        <w:rPr>
          <w:rFonts w:ascii="Times New Roman" w:hAnsi="Times New Roman"/>
          <w:sz w:val="24"/>
          <w:szCs w:val="24"/>
        </w:rPr>
        <w:t xml:space="preserve"> </w:t>
      </w:r>
      <w:r w:rsidRPr="009B52FF">
        <w:rPr>
          <w:rFonts w:ascii="Times New Roman" w:hAnsi="Times New Roman"/>
          <w:sz w:val="24"/>
          <w:szCs w:val="24"/>
        </w:rPr>
        <w:t>tended to</w:t>
      </w:r>
      <w:r>
        <w:rPr>
          <w:rFonts w:ascii="Times New Roman" w:hAnsi="Times New Roman"/>
          <w:sz w:val="24"/>
          <w:szCs w:val="24"/>
        </w:rPr>
        <w:t xml:space="preserve"> </w:t>
      </w:r>
      <w:r w:rsidRPr="009B52FF">
        <w:rPr>
          <w:rFonts w:ascii="Times New Roman" w:hAnsi="Times New Roman"/>
          <w:sz w:val="24"/>
          <w:szCs w:val="24"/>
        </w:rPr>
        <w:t>undercut the public’s</w:t>
      </w:r>
      <w:r>
        <w:rPr>
          <w:rFonts w:ascii="Times New Roman" w:hAnsi="Times New Roman"/>
          <w:sz w:val="24"/>
          <w:szCs w:val="24"/>
        </w:rPr>
        <w:t xml:space="preserve"> </w:t>
      </w:r>
      <w:r w:rsidRPr="009B52FF">
        <w:rPr>
          <w:rFonts w:ascii="Times New Roman" w:hAnsi="Times New Roman"/>
          <w:sz w:val="24"/>
          <w:szCs w:val="24"/>
        </w:rPr>
        <w:t>trust</w:t>
      </w:r>
      <w:r>
        <w:rPr>
          <w:rFonts w:ascii="Times New Roman" w:hAnsi="Times New Roman"/>
          <w:sz w:val="24"/>
          <w:szCs w:val="24"/>
        </w:rPr>
        <w:t xml:space="preserve"> </w:t>
      </w:r>
      <w:r w:rsidRPr="009B52FF">
        <w:rPr>
          <w:rFonts w:ascii="Times New Roman" w:hAnsi="Times New Roman"/>
          <w:sz w:val="24"/>
          <w:szCs w:val="24"/>
        </w:rPr>
        <w:t>of and respect</w:t>
      </w:r>
      <w:r>
        <w:rPr>
          <w:rFonts w:ascii="Times New Roman" w:hAnsi="Times New Roman"/>
          <w:sz w:val="24"/>
          <w:szCs w:val="24"/>
        </w:rPr>
        <w:t xml:space="preserve"> </w:t>
      </w:r>
      <w:r w:rsidRPr="009B52FF">
        <w:rPr>
          <w:rFonts w:ascii="Times New Roman" w:hAnsi="Times New Roman"/>
          <w:sz w:val="24"/>
          <w:szCs w:val="24"/>
        </w:rPr>
        <w:t>for the Department and its members, the trial court could reasonably find that those actions were detrimental to the public service,</w:t>
      </w:r>
      <w:r>
        <w:rPr>
          <w:rFonts w:ascii="Times New Roman" w:hAnsi="Times New Roman"/>
          <w:sz w:val="24"/>
          <w:szCs w:val="24"/>
        </w:rPr>
        <w:t xml:space="preserve"> </w:t>
      </w:r>
      <w:r w:rsidRPr="009B52FF">
        <w:rPr>
          <w:rFonts w:ascii="Times New Roman" w:hAnsi="Times New Roman"/>
          <w:sz w:val="24"/>
          <w:szCs w:val="24"/>
        </w:rPr>
        <w:t>which was</w:t>
      </w:r>
      <w:r>
        <w:rPr>
          <w:rFonts w:ascii="Times New Roman" w:hAnsi="Times New Roman"/>
          <w:sz w:val="24"/>
          <w:szCs w:val="24"/>
        </w:rPr>
        <w:t xml:space="preserve"> </w:t>
      </w:r>
      <w:r w:rsidRPr="009B52FF">
        <w:rPr>
          <w:rFonts w:ascii="Times New Roman" w:hAnsi="Times New Roman"/>
          <w:sz w:val="24"/>
          <w:szCs w:val="24"/>
        </w:rPr>
        <w:t>a cause for discipline</w:t>
      </w:r>
      <w:r>
        <w:rPr>
          <w:rFonts w:ascii="Times New Roman" w:hAnsi="Times New Roman"/>
          <w:sz w:val="24"/>
          <w:szCs w:val="24"/>
        </w:rPr>
        <w:t xml:space="preserve"> </w:t>
      </w:r>
      <w:r w:rsidRPr="009B52FF">
        <w:rPr>
          <w:rFonts w:ascii="Times New Roman" w:hAnsi="Times New Roman"/>
          <w:sz w:val="24"/>
          <w:szCs w:val="24"/>
        </w:rPr>
        <w:t>specified in charge</w:t>
      </w:r>
      <w:r>
        <w:rPr>
          <w:rFonts w:ascii="Times New Roman" w:hAnsi="Times New Roman"/>
          <w:sz w:val="24"/>
          <w:szCs w:val="24"/>
        </w:rPr>
        <w:t xml:space="preserve"> </w:t>
      </w:r>
      <w:r w:rsidRPr="009B52FF">
        <w:rPr>
          <w:rFonts w:ascii="Times New Roman" w:hAnsi="Times New Roman"/>
          <w:sz w:val="24"/>
          <w:szCs w:val="24"/>
        </w:rPr>
        <w:t>No.1</w:t>
      </w:r>
      <w:r>
        <w:rPr>
          <w:rFonts w:ascii="Times New Roman" w:hAnsi="Times New Roman"/>
          <w:sz w:val="24"/>
          <w:szCs w:val="24"/>
        </w:rPr>
        <w:t xml:space="preserve">.” </w:t>
      </w:r>
      <w:hyperlink r:id="rId2822" w:history="1">
        <w:r w:rsidRPr="008C168C">
          <w:rPr>
            <w:rStyle w:val="Hyperlink"/>
            <w:sz w:val="24"/>
            <w:szCs w:val="24"/>
          </w:rPr>
          <w:t>https://www.courts.ca.gov/opinions/nonpub/H046246.PDF</w:t>
        </w:r>
      </w:hyperlink>
      <w:r>
        <w:rPr>
          <w:rFonts w:ascii="Times New Roman" w:hAnsi="Times New Roman"/>
          <w:sz w:val="24"/>
          <w:szCs w:val="24"/>
        </w:rPr>
        <w:t xml:space="preserve">   </w:t>
      </w:r>
    </w:p>
    <w:p w14:paraId="692C7F00" w14:textId="77777777" w:rsidR="00A950CC" w:rsidRPr="001A6E95" w:rsidRDefault="00A950CC" w:rsidP="00A950CC">
      <w:pPr>
        <w:spacing w:before="100" w:beforeAutospacing="1" w:after="100" w:afterAutospacing="1" w:line="240" w:lineRule="auto"/>
        <w:rPr>
          <w:rFonts w:ascii="Times New Roman" w:hAnsi="Times New Roman"/>
          <w:b/>
          <w:bCs/>
          <w:sz w:val="24"/>
          <w:szCs w:val="24"/>
        </w:rPr>
      </w:pPr>
      <w:r w:rsidRPr="001A6E95">
        <w:rPr>
          <w:rFonts w:ascii="Times New Roman" w:hAnsi="Times New Roman"/>
          <w:b/>
          <w:bCs/>
          <w:sz w:val="24"/>
          <w:szCs w:val="24"/>
        </w:rPr>
        <w:t>Legal Lessons Learned:</w:t>
      </w:r>
      <w:r>
        <w:rPr>
          <w:rFonts w:ascii="Times New Roman" w:hAnsi="Times New Roman"/>
          <w:b/>
          <w:bCs/>
          <w:sz w:val="24"/>
          <w:szCs w:val="24"/>
        </w:rPr>
        <w:t xml:space="preserve"> The firefighter’s e-mails clearly can bring embarrassment to the Fire Department. </w:t>
      </w:r>
    </w:p>
    <w:p w14:paraId="2FFA47F8" w14:textId="77777777" w:rsidR="00A950CC" w:rsidRDefault="00A950CC" w:rsidP="00F326E5">
      <w:pPr>
        <w:pStyle w:val="NoSpacing"/>
        <w:rPr>
          <w:rFonts w:ascii="Arial Black" w:hAnsi="Arial Black"/>
          <w:sz w:val="24"/>
          <w:szCs w:val="24"/>
        </w:rPr>
      </w:pPr>
    </w:p>
    <w:p w14:paraId="1111B8BD" w14:textId="77777777" w:rsidR="00A950CC" w:rsidRDefault="00A950CC" w:rsidP="00F326E5">
      <w:pPr>
        <w:pStyle w:val="NoSpacing"/>
        <w:rPr>
          <w:rFonts w:ascii="Arial Black" w:hAnsi="Arial Black"/>
          <w:sz w:val="24"/>
          <w:szCs w:val="24"/>
        </w:rPr>
      </w:pPr>
    </w:p>
    <w:p w14:paraId="5719CE4B" w14:textId="77777777" w:rsidR="00A950CC" w:rsidRDefault="00A950CC" w:rsidP="00F326E5">
      <w:pPr>
        <w:pStyle w:val="NoSpacing"/>
        <w:rPr>
          <w:rFonts w:ascii="Arial Black" w:hAnsi="Arial Black"/>
          <w:sz w:val="24"/>
          <w:szCs w:val="24"/>
        </w:rPr>
      </w:pPr>
    </w:p>
    <w:p w14:paraId="64D327E8" w14:textId="6FE8F55C" w:rsidR="00FA7B26" w:rsidRDefault="00FA7B26" w:rsidP="00F326E5">
      <w:pPr>
        <w:pStyle w:val="NoSpacing"/>
        <w:rPr>
          <w:rFonts w:ascii="Arial Black" w:hAnsi="Arial Black"/>
          <w:sz w:val="24"/>
          <w:szCs w:val="24"/>
        </w:rPr>
      </w:pPr>
      <w:r>
        <w:rPr>
          <w:rFonts w:ascii="Arial Black" w:hAnsi="Arial Black"/>
          <w:sz w:val="24"/>
          <w:szCs w:val="24"/>
        </w:rPr>
        <w:t>16-35</w:t>
      </w:r>
    </w:p>
    <w:p w14:paraId="3D201ADA" w14:textId="13B2DFBC" w:rsidR="00FA7B26" w:rsidRDefault="00FA7B26" w:rsidP="00F326E5">
      <w:pPr>
        <w:pStyle w:val="NoSpacing"/>
        <w:rPr>
          <w:rFonts w:ascii="Arial Black" w:hAnsi="Arial Black"/>
          <w:sz w:val="24"/>
          <w:szCs w:val="24"/>
        </w:rPr>
      </w:pPr>
    </w:p>
    <w:p w14:paraId="0FA37BA9" w14:textId="77777777" w:rsidR="00A950CC" w:rsidRPr="000751CF" w:rsidRDefault="00A950CC" w:rsidP="00A950CC">
      <w:pPr>
        <w:pStyle w:val="Heading1"/>
        <w:rPr>
          <w:rFonts w:ascii="Arial Black" w:hAnsi="Arial Black"/>
          <w:sz w:val="28"/>
          <w:szCs w:val="28"/>
        </w:rPr>
      </w:pPr>
      <w:r w:rsidRPr="000751CF">
        <w:rPr>
          <w:rFonts w:ascii="Arial Black" w:hAnsi="Arial Black"/>
          <w:sz w:val="28"/>
          <w:szCs w:val="28"/>
        </w:rPr>
        <w:t xml:space="preserve">KY: </w:t>
      </w:r>
      <w:r>
        <w:rPr>
          <w:rFonts w:ascii="Arial Black" w:hAnsi="Arial Black"/>
          <w:sz w:val="28"/>
          <w:szCs w:val="28"/>
        </w:rPr>
        <w:t xml:space="preserve"> FD LIEUTENANT – INVEST. EXPOSED HIMSELF TO MINOR - PONOGRAPHY FOUND ON HIS FD COMPUTER – FIRE CHIEF [HIS FATHER] SIGNED CONSENT TO SEARCH</w:t>
      </w:r>
    </w:p>
    <w:p w14:paraId="503DEE29" w14:textId="0DCBABE8" w:rsidR="00FA7B26" w:rsidRPr="00A950CC" w:rsidRDefault="00A950CC" w:rsidP="00A950CC">
      <w:pPr>
        <w:pStyle w:val="NoSpacing"/>
        <w:rPr>
          <w:rFonts w:ascii="Times New Roman" w:hAnsi="Times New Roman"/>
          <w:sz w:val="24"/>
          <w:szCs w:val="24"/>
        </w:rPr>
      </w:pPr>
      <w:r w:rsidRPr="00A950CC">
        <w:rPr>
          <w:rFonts w:ascii="Times New Roman" w:hAnsi="Times New Roman"/>
          <w:sz w:val="24"/>
          <w:szCs w:val="24"/>
        </w:rPr>
        <w:t xml:space="preserve">On May 4, 2020, in </w:t>
      </w:r>
      <w:r w:rsidRPr="00A950CC">
        <w:rPr>
          <w:rFonts w:ascii="Times New Roman" w:hAnsi="Times New Roman"/>
          <w:sz w:val="24"/>
          <w:szCs w:val="24"/>
          <w:u w:val="single"/>
        </w:rPr>
        <w:t>United States of America v. Robert Christopher England</w:t>
      </w:r>
      <w:r w:rsidRPr="00A950CC">
        <w:rPr>
          <w:rFonts w:ascii="Times New Roman" w:hAnsi="Times New Roman"/>
          <w:sz w:val="24"/>
          <w:szCs w:val="24"/>
        </w:rPr>
        <w:t xml:space="preserve">, U.S. District Court Judge Claria Horn Boom, Eastern District of Kentucky / Southern Division (at London) held that the FD computer was properly searched with the written consent of the Fire Chief, in agreement with recommendation of U.S. Magistrate who heard motion to suppress. </w:t>
      </w:r>
      <w:hyperlink r:id="rId2823" w:history="1">
        <w:r w:rsidRPr="00A950CC">
          <w:rPr>
            <w:rStyle w:val="Hyperlink"/>
            <w:rFonts w:ascii="Times New Roman" w:hAnsi="Times New Roman"/>
            <w:sz w:val="24"/>
            <w:szCs w:val="24"/>
          </w:rPr>
          <w:t>https://public.fastcase.com/Wl%2B2t%2BeVuI35%2FN70vAMFZoCDqhYmNsbFLjWVRK8omsgUzbu2OUiVNTenINejQyEj</w:t>
        </w:r>
      </w:hyperlink>
    </w:p>
    <w:p w14:paraId="386B6220" w14:textId="77777777" w:rsidR="00FA7B26" w:rsidRDefault="00FA7B26" w:rsidP="00F326E5">
      <w:pPr>
        <w:pStyle w:val="NoSpacing"/>
        <w:rPr>
          <w:rFonts w:ascii="Arial Black" w:hAnsi="Arial Black"/>
          <w:sz w:val="24"/>
          <w:szCs w:val="24"/>
        </w:rPr>
      </w:pPr>
    </w:p>
    <w:p w14:paraId="538AC333" w14:textId="77777777" w:rsidR="00A950CC" w:rsidRPr="00784956" w:rsidRDefault="00A950CC" w:rsidP="00A950CC">
      <w:pPr>
        <w:pStyle w:val="NormalWeb"/>
        <w:tabs>
          <w:tab w:val="left" w:pos="2940"/>
        </w:tabs>
        <w:rPr>
          <w:b/>
          <w:bCs/>
        </w:rPr>
      </w:pPr>
      <w:r w:rsidRPr="00784956">
        <w:rPr>
          <w:b/>
          <w:bCs/>
        </w:rPr>
        <w:t>Legal Lessons Learned</w:t>
      </w:r>
      <w:r>
        <w:rPr>
          <w:b/>
          <w:bCs/>
        </w:rPr>
        <w:t xml:space="preserve">: FDs should have a computer use policy that allows FD to audit the contents of the computer, and to authorize others (including law enforcement) to access contents. </w:t>
      </w:r>
    </w:p>
    <w:p w14:paraId="0D6F6268" w14:textId="77777777" w:rsidR="00A950CC" w:rsidRPr="00E504C8" w:rsidRDefault="00A950CC" w:rsidP="00A950CC">
      <w:pPr>
        <w:spacing w:before="100" w:beforeAutospacing="1" w:after="100" w:afterAutospacing="1" w:line="240" w:lineRule="auto"/>
        <w:ind w:left="720"/>
        <w:rPr>
          <w:rFonts w:ascii="Times New Roman" w:hAnsi="Times New Roman"/>
          <w:sz w:val="24"/>
          <w:szCs w:val="24"/>
        </w:rPr>
      </w:pPr>
      <w:r w:rsidRPr="00E504C8">
        <w:rPr>
          <w:rFonts w:ascii="Times New Roman" w:hAnsi="Times New Roman"/>
          <w:sz w:val="24"/>
          <w:szCs w:val="24"/>
        </w:rPr>
        <w:t xml:space="preserve">Note: California's wiretapping law is a </w:t>
      </w:r>
      <w:hyperlink r:id="rId2824" w:tooltip="Recording Phone Calls and Conversations" w:history="1">
        <w:r w:rsidRPr="00E504C8">
          <w:rPr>
            <w:rStyle w:val="Hyperlink"/>
            <w:sz w:val="24"/>
            <w:szCs w:val="24"/>
          </w:rPr>
          <w:t>"two-party consent" law</w:t>
        </w:r>
      </w:hyperlink>
      <w:r w:rsidRPr="00E504C8">
        <w:rPr>
          <w:rFonts w:ascii="Times New Roman" w:hAnsi="Times New Roman"/>
          <w:sz w:val="24"/>
          <w:szCs w:val="24"/>
        </w:rPr>
        <w:t xml:space="preserve">. California makes it a crime to record or eavesdrop on any confidential communication, including a private conversation or telephone call, </w:t>
      </w:r>
      <w:r w:rsidRPr="00E504C8">
        <w:rPr>
          <w:rFonts w:ascii="Times New Roman" w:hAnsi="Times New Roman"/>
          <w:b/>
          <w:bCs/>
          <w:sz w:val="24"/>
          <w:szCs w:val="24"/>
        </w:rPr>
        <w:t xml:space="preserve">without the consent of </w:t>
      </w:r>
      <w:r w:rsidRPr="00E504C8">
        <w:rPr>
          <w:rStyle w:val="Strong"/>
          <w:rFonts w:ascii="Times New Roman" w:hAnsi="Times New Roman"/>
          <w:sz w:val="24"/>
          <w:szCs w:val="24"/>
        </w:rPr>
        <w:t>all parties to the conversation</w:t>
      </w:r>
      <w:r w:rsidRPr="00E504C8">
        <w:rPr>
          <w:rFonts w:ascii="Times New Roman" w:hAnsi="Times New Roman"/>
          <w:sz w:val="24"/>
          <w:szCs w:val="24"/>
        </w:rPr>
        <w:t xml:space="preserve">. See </w:t>
      </w:r>
      <w:hyperlink r:id="rId2825" w:tooltip="http://www.leginfo.ca.gov/cgi-bin/displaycode?section=pen&amp;group=00001-01000&amp;file=630-638" w:history="1">
        <w:r w:rsidRPr="00E504C8">
          <w:rPr>
            <w:rStyle w:val="Hyperlink"/>
            <w:sz w:val="24"/>
            <w:szCs w:val="24"/>
          </w:rPr>
          <w:t>Cal. Penal Code § 632</w:t>
        </w:r>
      </w:hyperlink>
      <w:r w:rsidRPr="00E504C8">
        <w:rPr>
          <w:rFonts w:ascii="Times New Roman" w:hAnsi="Times New Roman"/>
          <w:sz w:val="24"/>
          <w:szCs w:val="24"/>
        </w:rPr>
        <w:t xml:space="preserve">. </w:t>
      </w:r>
      <w:hyperlink r:id="rId2826" w:history="1">
        <w:r w:rsidRPr="00E504C8">
          <w:rPr>
            <w:rStyle w:val="Hyperlink"/>
            <w:sz w:val="24"/>
            <w:szCs w:val="24"/>
          </w:rPr>
          <w:t>https://www.dmlp.org/legal-guide/california-recording-law</w:t>
        </w:r>
      </w:hyperlink>
      <w:r w:rsidRPr="00E504C8">
        <w:rPr>
          <w:rFonts w:ascii="Times New Roman" w:hAnsi="Times New Roman"/>
          <w:sz w:val="24"/>
          <w:szCs w:val="24"/>
        </w:rPr>
        <w:t xml:space="preserve"> </w:t>
      </w:r>
    </w:p>
    <w:p w14:paraId="051EF252" w14:textId="77777777" w:rsidR="00A950CC" w:rsidRPr="00E504C8" w:rsidRDefault="00A950CC" w:rsidP="00A950CC">
      <w:pPr>
        <w:spacing w:before="100" w:beforeAutospacing="1" w:after="100" w:afterAutospacing="1" w:line="240" w:lineRule="auto"/>
        <w:ind w:left="720"/>
        <w:rPr>
          <w:rFonts w:ascii="Times New Roman" w:eastAsia="Times New Roman" w:hAnsi="Times New Roman"/>
          <w:b/>
          <w:bCs/>
          <w:sz w:val="24"/>
          <w:szCs w:val="24"/>
        </w:rPr>
      </w:pPr>
      <w:r w:rsidRPr="00E504C8">
        <w:rPr>
          <w:rFonts w:ascii="Times New Roman" w:hAnsi="Times New Roman"/>
          <w:sz w:val="24"/>
          <w:szCs w:val="24"/>
        </w:rPr>
        <w:t xml:space="preserve">Ohio's wiretapping law is a </w:t>
      </w:r>
      <w:hyperlink r:id="rId2827" w:tooltip="Recording Phone Calls and Conversations" w:history="1">
        <w:r w:rsidRPr="00E504C8">
          <w:rPr>
            <w:rStyle w:val="Hyperlink"/>
            <w:sz w:val="24"/>
            <w:szCs w:val="24"/>
          </w:rPr>
          <w:t>"one-party consent" law</w:t>
        </w:r>
      </w:hyperlink>
      <w:r w:rsidRPr="00E504C8">
        <w:rPr>
          <w:rFonts w:ascii="Times New Roman" w:hAnsi="Times New Roman"/>
          <w:sz w:val="24"/>
          <w:szCs w:val="24"/>
        </w:rPr>
        <w:t xml:space="preserve">. Ohio law makes it a crime to intercept or record any "wire, oral, or electronic communication" </w:t>
      </w:r>
      <w:r w:rsidRPr="00E504C8">
        <w:rPr>
          <w:rStyle w:val="Strong"/>
          <w:rFonts w:ascii="Times New Roman" w:hAnsi="Times New Roman"/>
          <w:sz w:val="24"/>
          <w:szCs w:val="24"/>
        </w:rPr>
        <w:t>unless one party to the conversation consents</w:t>
      </w:r>
      <w:r w:rsidRPr="00E504C8">
        <w:rPr>
          <w:rFonts w:ascii="Times New Roman" w:hAnsi="Times New Roman"/>
          <w:sz w:val="24"/>
          <w:szCs w:val="24"/>
        </w:rPr>
        <w:t>.</w:t>
      </w:r>
      <w:r w:rsidRPr="00E504C8">
        <w:rPr>
          <w:rFonts w:ascii="Times New Roman" w:hAnsi="Times New Roman"/>
          <w:b/>
          <w:bCs/>
          <w:sz w:val="24"/>
          <w:szCs w:val="24"/>
        </w:rPr>
        <w:t xml:space="preserve"> </w:t>
      </w:r>
      <w:hyperlink r:id="rId2828" w:tooltip="http://codes.ohio.gov/orc/2933.52" w:history="1">
        <w:r w:rsidRPr="00E504C8">
          <w:rPr>
            <w:rStyle w:val="Hyperlink"/>
            <w:sz w:val="24"/>
            <w:szCs w:val="24"/>
          </w:rPr>
          <w:t>Ohio Rev. Code § 2933.52</w:t>
        </w:r>
      </w:hyperlink>
      <w:r w:rsidRPr="00E504C8">
        <w:rPr>
          <w:rFonts w:ascii="Times New Roman" w:hAnsi="Times New Roman"/>
          <w:sz w:val="24"/>
          <w:szCs w:val="24"/>
        </w:rPr>
        <w:t xml:space="preserve">. Thus, if you operate in Ohio, you may record a conversation or phone call if you </w:t>
      </w:r>
      <w:proofErr w:type="gramStart"/>
      <w:r w:rsidRPr="00E504C8">
        <w:rPr>
          <w:rFonts w:ascii="Times New Roman" w:hAnsi="Times New Roman"/>
          <w:sz w:val="24"/>
          <w:szCs w:val="24"/>
        </w:rPr>
        <w:t>are</w:t>
      </w:r>
      <w:proofErr w:type="gramEnd"/>
      <w:r w:rsidRPr="00E504C8">
        <w:rPr>
          <w:rFonts w:ascii="Times New Roman" w:hAnsi="Times New Roman"/>
          <w:sz w:val="24"/>
          <w:szCs w:val="24"/>
        </w:rPr>
        <w:t xml:space="preserve"> a party to the conversation or </w:t>
      </w:r>
      <w:proofErr w:type="gramStart"/>
      <w:r w:rsidRPr="00E504C8">
        <w:rPr>
          <w:rFonts w:ascii="Times New Roman" w:hAnsi="Times New Roman"/>
          <w:sz w:val="24"/>
          <w:szCs w:val="24"/>
        </w:rPr>
        <w:t>you get</w:t>
      </w:r>
      <w:proofErr w:type="gramEnd"/>
      <w:r w:rsidRPr="00E504C8">
        <w:rPr>
          <w:rFonts w:ascii="Times New Roman" w:hAnsi="Times New Roman"/>
          <w:sz w:val="24"/>
          <w:szCs w:val="24"/>
        </w:rPr>
        <w:t xml:space="preserve"> permission from one party to the conversation in advance. That said, if you intend to record conversations involving people located in more than one state, you should play it safe and get the consent of all parties. </w:t>
      </w:r>
      <w:hyperlink r:id="rId2829" w:history="1">
        <w:r w:rsidRPr="00E504C8">
          <w:rPr>
            <w:rStyle w:val="Hyperlink"/>
            <w:sz w:val="24"/>
            <w:szCs w:val="24"/>
          </w:rPr>
          <w:t>https://www.dmlp.org/legal-guide/ohio/ohio-recording-law</w:t>
        </w:r>
      </w:hyperlink>
      <w:r w:rsidRPr="00E504C8">
        <w:rPr>
          <w:rFonts w:ascii="Times New Roman" w:hAnsi="Times New Roman"/>
          <w:sz w:val="24"/>
          <w:szCs w:val="24"/>
        </w:rPr>
        <w:t xml:space="preserve"> </w:t>
      </w:r>
    </w:p>
    <w:p w14:paraId="40846BD8" w14:textId="77777777" w:rsidR="00FA7B26" w:rsidRDefault="00FA7B26" w:rsidP="00F326E5">
      <w:pPr>
        <w:pStyle w:val="NoSpacing"/>
        <w:rPr>
          <w:rFonts w:ascii="Arial Black" w:hAnsi="Arial Black"/>
          <w:sz w:val="24"/>
          <w:szCs w:val="24"/>
        </w:rPr>
      </w:pPr>
    </w:p>
    <w:p w14:paraId="6E7FBDE1" w14:textId="77777777" w:rsidR="00FA7B26" w:rsidRDefault="00FA7B26" w:rsidP="00F326E5">
      <w:pPr>
        <w:pStyle w:val="NoSpacing"/>
        <w:rPr>
          <w:rFonts w:ascii="Arial Black" w:hAnsi="Arial Black"/>
          <w:sz w:val="24"/>
          <w:szCs w:val="24"/>
        </w:rPr>
      </w:pPr>
    </w:p>
    <w:p w14:paraId="05EE8D37" w14:textId="332A07F3" w:rsidR="00FA7B26" w:rsidRDefault="00FA7B26" w:rsidP="00F326E5">
      <w:pPr>
        <w:pStyle w:val="NoSpacing"/>
        <w:rPr>
          <w:rFonts w:ascii="Arial Black" w:hAnsi="Arial Black"/>
          <w:sz w:val="24"/>
          <w:szCs w:val="24"/>
        </w:rPr>
      </w:pPr>
      <w:r>
        <w:rPr>
          <w:rFonts w:ascii="Arial Black" w:hAnsi="Arial Black"/>
          <w:sz w:val="24"/>
          <w:szCs w:val="24"/>
        </w:rPr>
        <w:t>16-34</w:t>
      </w:r>
    </w:p>
    <w:p w14:paraId="7ED57073" w14:textId="5D47F558" w:rsidR="00FA7B26" w:rsidRDefault="00FA7B26" w:rsidP="00F326E5">
      <w:pPr>
        <w:pStyle w:val="NoSpacing"/>
        <w:rPr>
          <w:rFonts w:ascii="Arial Black" w:hAnsi="Arial Black"/>
          <w:sz w:val="24"/>
          <w:szCs w:val="24"/>
        </w:rPr>
      </w:pPr>
    </w:p>
    <w:p w14:paraId="7C2BD847" w14:textId="77777777" w:rsidR="00FA7B26" w:rsidRPr="004820BE" w:rsidRDefault="00FA7B26" w:rsidP="00FA7B26">
      <w:pPr>
        <w:spacing w:before="100" w:beforeAutospacing="1" w:after="100" w:afterAutospacing="1" w:line="240" w:lineRule="auto"/>
        <w:rPr>
          <w:rFonts w:ascii="Arial Black" w:eastAsia="Times New Roman" w:hAnsi="Arial Black"/>
          <w:sz w:val="28"/>
          <w:szCs w:val="28"/>
        </w:rPr>
      </w:pPr>
      <w:r w:rsidRPr="004820BE">
        <w:rPr>
          <w:rFonts w:ascii="Arial Black" w:eastAsia="Times New Roman" w:hAnsi="Arial Black"/>
          <w:sz w:val="28"/>
          <w:szCs w:val="28"/>
        </w:rPr>
        <w:t xml:space="preserve">MA: </w:t>
      </w:r>
      <w:r>
        <w:rPr>
          <w:rFonts w:ascii="Arial Black" w:eastAsia="Times New Roman" w:hAnsi="Arial Black"/>
          <w:sz w:val="28"/>
          <w:szCs w:val="28"/>
        </w:rPr>
        <w:t>CAPTAIN -– CONV. 5 COUNTS LARCENY – VENDOR GIFTS – JUDGE ALLOWED PROS. TELL JURY OPENING STATEMENT HE ALSO “SWAPPED” RECRUITS CLOTHING</w:t>
      </w:r>
    </w:p>
    <w:p w14:paraId="2C9C1DB1" w14:textId="22A20161" w:rsidR="00FA7B26" w:rsidRDefault="00FA7B26" w:rsidP="00FA7B26">
      <w:pPr>
        <w:pStyle w:val="NoSpacing"/>
        <w:rPr>
          <w:rStyle w:val="Hyperlink"/>
          <w:sz w:val="24"/>
          <w:szCs w:val="24"/>
        </w:rPr>
      </w:pPr>
      <w:r>
        <w:rPr>
          <w:rFonts w:ascii="Times New Roman" w:eastAsia="Times New Roman" w:hAnsi="Times New Roman"/>
          <w:sz w:val="24"/>
          <w:szCs w:val="24"/>
        </w:rPr>
        <w:t xml:space="preserve">On April 27, 2019, in </w:t>
      </w:r>
      <w:r w:rsidRPr="0040733F">
        <w:rPr>
          <w:rFonts w:ascii="Times New Roman" w:eastAsia="Times New Roman" w:hAnsi="Times New Roman"/>
          <w:sz w:val="24"/>
          <w:szCs w:val="24"/>
          <w:u w:val="single"/>
        </w:rPr>
        <w:t>Commonwealth v. Edward A. Scigliano, Fourth</w:t>
      </w:r>
      <w:r>
        <w:rPr>
          <w:rFonts w:ascii="Times New Roman" w:eastAsia="Times New Roman" w:hAnsi="Times New Roman"/>
          <w:sz w:val="24"/>
          <w:szCs w:val="24"/>
        </w:rPr>
        <w:t xml:space="preserve">,  the Commonwealth of Massachusetts Appeals Court, held in a summary decision (3 to 0) that his conviction is affirmed.  </w:t>
      </w:r>
      <w:r w:rsidRPr="0040733F">
        <w:rPr>
          <w:rFonts w:ascii="Times New Roman" w:eastAsia="Times New Roman" w:hAnsi="Times New Roman"/>
          <w:sz w:val="24"/>
          <w:szCs w:val="24"/>
        </w:rPr>
        <w:t>“</w:t>
      </w:r>
      <w:r w:rsidRPr="0040733F">
        <w:rPr>
          <w:rFonts w:ascii="Times New Roman" w:hAnsi="Times New Roman"/>
          <w:sz w:val="24"/>
          <w:szCs w:val="24"/>
        </w:rPr>
        <w:t>The Commonwealth properly introduced evidence that the defendant previously "swapped" goods purchased by the city for other goods from which he derived a personal benefit because it "tended to rebut the defense of innocent intent and make more probable the existence of the requisite illegal intent, that of committing a larceny," during the transactions alleged in the indictments.”</w:t>
      </w:r>
      <w:r>
        <w:rPr>
          <w:rFonts w:ascii="Times New Roman" w:hAnsi="Times New Roman"/>
          <w:sz w:val="24"/>
          <w:szCs w:val="24"/>
        </w:rPr>
        <w:t xml:space="preserve"> </w:t>
      </w:r>
      <w:hyperlink r:id="rId2830" w:history="1">
        <w:r w:rsidRPr="002F2B5F">
          <w:rPr>
            <w:rStyle w:val="Hyperlink"/>
            <w:sz w:val="24"/>
            <w:szCs w:val="24"/>
          </w:rPr>
          <w:t>https://public.fastcase.com/Wl%2B2t%2BeVuI35%2FN70vAMFZiqDSx6E0DPFzBbugd7jDu14ZTk4ABsQUj2F%2Fw3WIuoM</w:t>
        </w:r>
      </w:hyperlink>
    </w:p>
    <w:p w14:paraId="468EC205" w14:textId="77777777" w:rsidR="00FA7B26" w:rsidRDefault="00FA7B26" w:rsidP="00FA7B26">
      <w:pPr>
        <w:spacing w:before="100" w:beforeAutospacing="1" w:after="100" w:afterAutospacing="1" w:line="240" w:lineRule="auto"/>
        <w:rPr>
          <w:rFonts w:ascii="Times New Roman" w:eastAsia="Times New Roman" w:hAnsi="Times New Roman"/>
          <w:b/>
          <w:bCs/>
          <w:sz w:val="24"/>
          <w:szCs w:val="24"/>
        </w:rPr>
      </w:pPr>
      <w:r w:rsidRPr="00BB7625">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prosecutor properly obtained Trial Judge’s permission to discuss the uncharged act of “swapping” recruit clothes. </w:t>
      </w:r>
    </w:p>
    <w:p w14:paraId="0C698137" w14:textId="77777777" w:rsidR="00FA7B26" w:rsidRDefault="00FA7B26" w:rsidP="00FA7B26">
      <w:pPr>
        <w:pStyle w:val="NoSpacing"/>
        <w:rPr>
          <w:rFonts w:ascii="Arial Black" w:hAnsi="Arial Black"/>
          <w:sz w:val="24"/>
          <w:szCs w:val="24"/>
        </w:rPr>
      </w:pPr>
    </w:p>
    <w:p w14:paraId="06A65F06" w14:textId="77777777" w:rsidR="00FA7B26" w:rsidRDefault="00FA7B26" w:rsidP="00F326E5">
      <w:pPr>
        <w:pStyle w:val="NoSpacing"/>
        <w:rPr>
          <w:rFonts w:ascii="Arial Black" w:hAnsi="Arial Black"/>
          <w:sz w:val="24"/>
          <w:szCs w:val="24"/>
        </w:rPr>
      </w:pPr>
    </w:p>
    <w:p w14:paraId="25867CD2" w14:textId="2BAC28CF" w:rsidR="000F18B0" w:rsidRDefault="000F18B0" w:rsidP="00F326E5">
      <w:pPr>
        <w:pStyle w:val="NoSpacing"/>
        <w:rPr>
          <w:rFonts w:ascii="Arial Black" w:hAnsi="Arial Black"/>
          <w:sz w:val="24"/>
          <w:szCs w:val="24"/>
        </w:rPr>
      </w:pPr>
      <w:r>
        <w:rPr>
          <w:rFonts w:ascii="Arial Black" w:hAnsi="Arial Black"/>
          <w:sz w:val="24"/>
          <w:szCs w:val="24"/>
        </w:rPr>
        <w:t>16-33</w:t>
      </w:r>
    </w:p>
    <w:p w14:paraId="6897EAD8" w14:textId="27195C2D" w:rsidR="000F18B0" w:rsidRDefault="000F18B0" w:rsidP="00F326E5">
      <w:pPr>
        <w:pStyle w:val="NoSpacing"/>
        <w:rPr>
          <w:rFonts w:ascii="Arial Black" w:hAnsi="Arial Black"/>
          <w:sz w:val="24"/>
          <w:szCs w:val="24"/>
        </w:rPr>
      </w:pPr>
    </w:p>
    <w:p w14:paraId="245DE339" w14:textId="77777777" w:rsidR="000F18B0" w:rsidRPr="00BE2E07" w:rsidRDefault="000F18B0" w:rsidP="000F18B0">
      <w:pPr>
        <w:pStyle w:val="NoSpacing"/>
        <w:rPr>
          <w:rFonts w:ascii="Arial Black" w:hAnsi="Arial Black"/>
          <w:b/>
          <w:bCs/>
          <w:sz w:val="28"/>
          <w:szCs w:val="28"/>
        </w:rPr>
      </w:pPr>
      <w:bookmarkStart w:id="599" w:name="_Hlk39772923"/>
      <w:bookmarkStart w:id="600" w:name="_Hlk41155291"/>
      <w:r>
        <w:rPr>
          <w:rFonts w:ascii="Arial Black" w:hAnsi="Arial Black"/>
          <w:bCs/>
          <w:sz w:val="28"/>
          <w:szCs w:val="28"/>
        </w:rPr>
        <w:t xml:space="preserve">CA: PROBATIONARY FF – FIRED DURING 1-YR PROB.  PERIOD – NO RIGHT TO CIVIL SERVICE HEARING </w:t>
      </w:r>
    </w:p>
    <w:p w14:paraId="40E2D9BF" w14:textId="77777777" w:rsidR="000F18B0" w:rsidRDefault="000F18B0" w:rsidP="000F18B0">
      <w:pPr>
        <w:pStyle w:val="NoSpacing"/>
        <w:rPr>
          <w:b/>
          <w:bCs/>
          <w:sz w:val="24"/>
          <w:szCs w:val="24"/>
        </w:rPr>
      </w:pPr>
    </w:p>
    <w:p w14:paraId="59C85EA2"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April 24, 2020, in </w:t>
      </w:r>
      <w:r w:rsidRPr="00D61723">
        <w:rPr>
          <w:rFonts w:ascii="Times New Roman" w:hAnsi="Times New Roman"/>
          <w:bCs/>
          <w:sz w:val="24"/>
          <w:szCs w:val="24"/>
          <w:u w:val="single"/>
        </w:rPr>
        <w:t>Josh McCauley v. City of San Diego</w:t>
      </w:r>
      <w:r w:rsidRPr="00D61723">
        <w:rPr>
          <w:rFonts w:ascii="Times New Roman" w:hAnsi="Times New Roman"/>
          <w:bCs/>
          <w:sz w:val="24"/>
          <w:szCs w:val="24"/>
        </w:rPr>
        <w:t xml:space="preserve">, the California Court of Appeal (Fourth Appellate District / Division One) held (3 to 0) in unpublished opinion, that the trial court properly granted the City’s motion to dismiss.   Probationary firefighters have no civil service protection, are not covered by the Collective Bargaining Agreement, and Fire Academy Manual is not a contract of employment. Court did not discuss why he was fired, other than: “He met with the Department Chief to discuss the failure to be hired permanently. The City's attorney represented that McCauley had filed an internal grievance during his employment and it was addressed by the </w:t>
      </w:r>
      <w:proofErr w:type="gramStart"/>
      <w:r w:rsidRPr="00D61723">
        <w:rPr>
          <w:rFonts w:ascii="Times New Roman" w:hAnsi="Times New Roman"/>
          <w:bCs/>
          <w:sz w:val="24"/>
          <w:szCs w:val="24"/>
        </w:rPr>
        <w:t>City</w:t>
      </w:r>
      <w:proofErr w:type="gramEnd"/>
      <w:r w:rsidRPr="00D61723">
        <w:rPr>
          <w:rFonts w:ascii="Times New Roman" w:hAnsi="Times New Roman"/>
          <w:bCs/>
          <w:sz w:val="24"/>
          <w:szCs w:val="24"/>
        </w:rPr>
        <w:t>.”</w:t>
      </w:r>
    </w:p>
    <w:p w14:paraId="76E35C6B" w14:textId="77777777" w:rsidR="000F18B0" w:rsidRPr="00D61723" w:rsidRDefault="000F18B0" w:rsidP="000F18B0">
      <w:pPr>
        <w:pStyle w:val="NoSpacing"/>
        <w:rPr>
          <w:rFonts w:ascii="Times New Roman" w:hAnsi="Times New Roman"/>
          <w:b/>
          <w:bCs/>
          <w:sz w:val="24"/>
          <w:szCs w:val="24"/>
        </w:rPr>
      </w:pPr>
    </w:p>
    <w:p w14:paraId="24EB6C53" w14:textId="26608A4A"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“McCauley acknowledges that he is not a party to any collective bargaining agreement. He claims that the Department's Basic Fire Academy Manual (Manual) constituted "an express written contract ‘with the City that governed the terms of </w:t>
      </w:r>
      <w:proofErr w:type="gramStart"/>
      <w:r w:rsidRPr="00D61723">
        <w:rPr>
          <w:rFonts w:ascii="Times New Roman" w:hAnsi="Times New Roman"/>
          <w:bCs/>
          <w:sz w:val="24"/>
          <w:szCs w:val="24"/>
        </w:rPr>
        <w:t>his</w:t>
      </w:r>
      <w:proofErr w:type="gramEnd"/>
      <w:r w:rsidRPr="00D61723">
        <w:rPr>
          <w:rFonts w:ascii="Times New Roman" w:hAnsi="Times New Roman"/>
          <w:bCs/>
          <w:sz w:val="24"/>
          <w:szCs w:val="24"/>
        </w:rPr>
        <w:t xml:space="preserve"> probationary status. He attaches a copy of the Manual to his complaint, but neither in his complaint nor in his brief on appeal does he identify any portion of that Manual that governs his probationary employment.</w:t>
      </w:r>
      <w:r>
        <w:rPr>
          <w:rFonts w:ascii="Times New Roman" w:hAnsi="Times New Roman"/>
          <w:bCs/>
          <w:sz w:val="24"/>
          <w:szCs w:val="24"/>
        </w:rPr>
        <w:t xml:space="preserve"> *** </w:t>
      </w:r>
      <w:r w:rsidRPr="00D61723">
        <w:rPr>
          <w:rFonts w:ascii="Times New Roman" w:hAnsi="Times New Roman"/>
          <w:bCs/>
          <w:sz w:val="24"/>
          <w:szCs w:val="24"/>
        </w:rPr>
        <w:t xml:space="preserve">Again, the plain, unambiguous words of the Manual refer only to recruits, not to probationary employees. The Manual mentions termination from the Basic Fire Academy, but nothing about probationary employees or the guarantee of a permanent job. The Manual provides neither </w:t>
      </w:r>
      <w:proofErr w:type="gramStart"/>
      <w:r w:rsidRPr="00D61723">
        <w:rPr>
          <w:rFonts w:ascii="Times New Roman" w:hAnsi="Times New Roman"/>
          <w:bCs/>
          <w:sz w:val="24"/>
          <w:szCs w:val="24"/>
        </w:rPr>
        <w:t>conditions</w:t>
      </w:r>
      <w:proofErr w:type="gramEnd"/>
      <w:r w:rsidRPr="00D61723">
        <w:rPr>
          <w:rFonts w:ascii="Times New Roman" w:hAnsi="Times New Roman"/>
          <w:bCs/>
          <w:sz w:val="24"/>
          <w:szCs w:val="24"/>
        </w:rPr>
        <w:t xml:space="preserve"> for permanent employment </w:t>
      </w:r>
      <w:proofErr w:type="gramStart"/>
      <w:r w:rsidRPr="00D61723">
        <w:rPr>
          <w:rFonts w:ascii="Times New Roman" w:hAnsi="Times New Roman"/>
          <w:bCs/>
          <w:sz w:val="24"/>
          <w:szCs w:val="24"/>
        </w:rPr>
        <w:t>not</w:t>
      </w:r>
      <w:proofErr w:type="gramEnd"/>
      <w:r w:rsidRPr="00D61723">
        <w:rPr>
          <w:rFonts w:ascii="Times New Roman" w:hAnsi="Times New Roman"/>
          <w:bCs/>
          <w:sz w:val="24"/>
          <w:szCs w:val="24"/>
        </w:rPr>
        <w:t xml:space="preserve"> entitlement to government employment. McCauley has not identified any regulations of the City or of the Department under which he could state an alternate claim.”</w:t>
      </w:r>
    </w:p>
    <w:p w14:paraId="76A77C9F" w14:textId="77777777" w:rsidR="000F18B0" w:rsidRPr="00D61723" w:rsidRDefault="000F18B0" w:rsidP="000F18B0">
      <w:pPr>
        <w:pStyle w:val="NoSpacing"/>
        <w:ind w:left="720"/>
        <w:rPr>
          <w:rFonts w:ascii="Times New Roman" w:eastAsia="Times New Roman" w:hAnsi="Times New Roman"/>
          <w:b/>
          <w:bCs/>
          <w:sz w:val="24"/>
          <w:szCs w:val="24"/>
        </w:rPr>
      </w:pPr>
      <w:hyperlink r:id="rId2831" w:history="1">
        <w:r w:rsidRPr="00D61723">
          <w:rPr>
            <w:rStyle w:val="Hyperlink"/>
            <w:rFonts w:ascii="Times New Roman" w:hAnsi="Times New Roman"/>
            <w:b/>
            <w:sz w:val="24"/>
            <w:szCs w:val="24"/>
          </w:rPr>
          <w:t>https://www.courts.ca.gov/opinions/nonpub/D074721.PDF</w:t>
        </w:r>
      </w:hyperlink>
      <w:r w:rsidRPr="00D61723">
        <w:rPr>
          <w:rFonts w:ascii="Times New Roman" w:eastAsia="Times New Roman" w:hAnsi="Times New Roman"/>
          <w:bCs/>
          <w:sz w:val="24"/>
          <w:szCs w:val="24"/>
        </w:rPr>
        <w:t xml:space="preserve"> </w:t>
      </w:r>
      <w:bookmarkEnd w:id="599"/>
    </w:p>
    <w:p w14:paraId="12F1FFEB" w14:textId="77777777" w:rsidR="000F18B0" w:rsidRDefault="000F18B0" w:rsidP="00F326E5">
      <w:pPr>
        <w:pStyle w:val="NoSpacing"/>
        <w:rPr>
          <w:rFonts w:ascii="Arial Black" w:hAnsi="Arial Black"/>
          <w:sz w:val="24"/>
          <w:szCs w:val="24"/>
        </w:rPr>
      </w:pPr>
    </w:p>
    <w:p w14:paraId="56DD36D0" w14:textId="3DEFB717" w:rsidR="00407100" w:rsidRPr="00D61723" w:rsidRDefault="00407100" w:rsidP="00407100">
      <w:pPr>
        <w:pStyle w:val="NoSpacing"/>
        <w:rPr>
          <w:rFonts w:ascii="Times New Roman" w:hAnsi="Times New Roman"/>
          <w:b/>
          <w:bCs/>
          <w:sz w:val="24"/>
          <w:szCs w:val="24"/>
        </w:rPr>
      </w:pPr>
      <w:bookmarkStart w:id="601" w:name="_Hlk40516796"/>
      <w:r w:rsidRPr="00D61723">
        <w:rPr>
          <w:rFonts w:ascii="Times New Roman" w:hAnsi="Times New Roman"/>
          <w:b/>
          <w:bCs/>
          <w:sz w:val="24"/>
          <w:szCs w:val="24"/>
        </w:rPr>
        <w:t xml:space="preserve">Legal Lessons Learned: Probationary firefighters are not covered by civil service or </w:t>
      </w:r>
      <w:r w:rsidR="000164B1">
        <w:rPr>
          <w:rFonts w:ascii="Times New Roman" w:hAnsi="Times New Roman"/>
          <w:b/>
          <w:bCs/>
          <w:sz w:val="24"/>
          <w:szCs w:val="24"/>
        </w:rPr>
        <w:t xml:space="preserve">most </w:t>
      </w:r>
      <w:r w:rsidRPr="00D61723">
        <w:rPr>
          <w:rFonts w:ascii="Times New Roman" w:hAnsi="Times New Roman"/>
          <w:b/>
          <w:bCs/>
          <w:sz w:val="24"/>
          <w:szCs w:val="24"/>
        </w:rPr>
        <w:t>CBA</w:t>
      </w:r>
      <w:r w:rsidR="000164B1">
        <w:rPr>
          <w:rFonts w:ascii="Times New Roman" w:hAnsi="Times New Roman"/>
          <w:b/>
          <w:bCs/>
          <w:sz w:val="24"/>
          <w:szCs w:val="24"/>
        </w:rPr>
        <w:t>s</w:t>
      </w:r>
      <w:r w:rsidRPr="00D61723">
        <w:rPr>
          <w:rFonts w:ascii="Times New Roman" w:hAnsi="Times New Roman"/>
          <w:b/>
          <w:bCs/>
          <w:sz w:val="24"/>
          <w:szCs w:val="24"/>
        </w:rPr>
        <w:t xml:space="preserve">. </w:t>
      </w:r>
    </w:p>
    <w:bookmarkEnd w:id="601"/>
    <w:p w14:paraId="7F8C9FE0" w14:textId="77777777" w:rsidR="00407100" w:rsidRDefault="00407100" w:rsidP="00407100">
      <w:pPr>
        <w:pStyle w:val="NoSpacing"/>
        <w:ind w:firstLine="720"/>
        <w:rPr>
          <w:rFonts w:ascii="Times New Roman" w:hAnsi="Times New Roman"/>
          <w:bCs/>
          <w:sz w:val="24"/>
          <w:szCs w:val="24"/>
        </w:rPr>
      </w:pPr>
    </w:p>
    <w:p w14:paraId="50DE5E2B" w14:textId="77777777" w:rsidR="00407100" w:rsidRPr="00D61723" w:rsidRDefault="00407100" w:rsidP="00407100">
      <w:pPr>
        <w:pStyle w:val="NoSpacing"/>
        <w:ind w:firstLine="720"/>
        <w:rPr>
          <w:rFonts w:ascii="Times New Roman" w:hAnsi="Times New Roman"/>
          <w:b/>
          <w:bCs/>
          <w:sz w:val="24"/>
          <w:szCs w:val="24"/>
        </w:rPr>
      </w:pPr>
      <w:r w:rsidRPr="00D61723">
        <w:rPr>
          <w:rFonts w:ascii="Times New Roman" w:hAnsi="Times New Roman"/>
          <w:bCs/>
          <w:sz w:val="24"/>
          <w:szCs w:val="24"/>
        </w:rPr>
        <w:t>Note:    Court described the limited legal remedies of a probationary firefighter.</w:t>
      </w:r>
    </w:p>
    <w:p w14:paraId="7DCF72F5" w14:textId="77777777" w:rsidR="00407100" w:rsidRPr="00D61723" w:rsidRDefault="00407100" w:rsidP="00407100">
      <w:pPr>
        <w:pStyle w:val="NoSpacing"/>
        <w:ind w:left="1440"/>
        <w:rPr>
          <w:rFonts w:ascii="Times New Roman" w:hAnsi="Times New Roman"/>
          <w:b/>
          <w:bCs/>
          <w:sz w:val="24"/>
          <w:szCs w:val="24"/>
        </w:rPr>
      </w:pPr>
      <w:r w:rsidRPr="00D61723">
        <w:rPr>
          <w:rFonts w:ascii="Times New Roman" w:hAnsi="Times New Roman"/>
          <w:bCs/>
          <w:sz w:val="24"/>
          <w:szCs w:val="24"/>
        </w:rPr>
        <w:t xml:space="preserve">“McCauley had other remedies to pursue employment-related wrongs.  ‘A probationary employee may not be rejected for the exercise of a constitutional right [citation] for engaging in an activity protected by labor statutes.’ (Trustees of Cal. State University v. Public Employment Relations Bd. (1992) 6 Cal.App.4th 1107, 1130; Bogacki, supra,5 Cal.3d at p. 778.) He had statutory rights including the right to pursue a discrimination claim under the Fair Employment and Housing Act and the right to workers' compensation in case of </w:t>
      </w:r>
      <w:proofErr w:type="gramStart"/>
      <w:r w:rsidRPr="00D61723">
        <w:rPr>
          <w:rFonts w:ascii="Times New Roman" w:hAnsi="Times New Roman"/>
          <w:bCs/>
          <w:sz w:val="24"/>
          <w:szCs w:val="24"/>
        </w:rPr>
        <w:t>injury.”</w:t>
      </w:r>
      <w:proofErr w:type="gramEnd"/>
    </w:p>
    <w:bookmarkEnd w:id="600"/>
    <w:p w14:paraId="1A7A0AF5" w14:textId="77777777" w:rsidR="00407100" w:rsidRPr="00D61723" w:rsidRDefault="00407100" w:rsidP="00407100">
      <w:pPr>
        <w:pStyle w:val="NoSpacing"/>
        <w:rPr>
          <w:rFonts w:ascii="Times New Roman" w:eastAsia="Times New Roman" w:hAnsi="Times New Roman"/>
          <w:b/>
          <w:bCs/>
          <w:sz w:val="24"/>
          <w:szCs w:val="24"/>
        </w:rPr>
      </w:pPr>
    </w:p>
    <w:p w14:paraId="5703067C" w14:textId="77777777" w:rsidR="00407100" w:rsidRPr="00D61723" w:rsidRDefault="00407100" w:rsidP="00407100">
      <w:pPr>
        <w:pStyle w:val="NoSpacing"/>
        <w:rPr>
          <w:rFonts w:ascii="Times New Roman" w:eastAsia="Times New Roman" w:hAnsi="Times New Roman"/>
          <w:b/>
          <w:bCs/>
          <w:sz w:val="24"/>
          <w:szCs w:val="24"/>
        </w:rPr>
      </w:pPr>
    </w:p>
    <w:p w14:paraId="500E0598" w14:textId="77777777" w:rsidR="000F18B0" w:rsidRDefault="000F18B0" w:rsidP="00F326E5">
      <w:pPr>
        <w:pStyle w:val="NoSpacing"/>
        <w:rPr>
          <w:rFonts w:ascii="Arial Black" w:hAnsi="Arial Black"/>
          <w:sz w:val="24"/>
          <w:szCs w:val="24"/>
        </w:rPr>
      </w:pPr>
    </w:p>
    <w:p w14:paraId="2476742A" w14:textId="336F4DF2" w:rsidR="000F18B0" w:rsidRDefault="000F18B0" w:rsidP="00F326E5">
      <w:pPr>
        <w:pStyle w:val="NoSpacing"/>
        <w:rPr>
          <w:rFonts w:ascii="Arial Black" w:hAnsi="Arial Black"/>
          <w:sz w:val="24"/>
          <w:szCs w:val="24"/>
        </w:rPr>
      </w:pPr>
      <w:r>
        <w:rPr>
          <w:rFonts w:ascii="Arial Black" w:hAnsi="Arial Black"/>
          <w:sz w:val="24"/>
          <w:szCs w:val="24"/>
        </w:rPr>
        <w:t>16-32</w:t>
      </w:r>
    </w:p>
    <w:p w14:paraId="64796BAE" w14:textId="77777777" w:rsidR="000F18B0" w:rsidRDefault="000F18B0" w:rsidP="00F326E5">
      <w:pPr>
        <w:pStyle w:val="NoSpacing"/>
        <w:rPr>
          <w:rFonts w:ascii="Arial Black" w:hAnsi="Arial Black"/>
          <w:sz w:val="24"/>
          <w:szCs w:val="24"/>
        </w:rPr>
      </w:pPr>
    </w:p>
    <w:p w14:paraId="670A788F" w14:textId="77777777" w:rsidR="000F18B0" w:rsidRDefault="000F18B0" w:rsidP="000F18B0">
      <w:pPr>
        <w:pStyle w:val="NoSpacing"/>
        <w:rPr>
          <w:rFonts w:ascii="Arial Black" w:hAnsi="Arial Black"/>
          <w:sz w:val="28"/>
          <w:szCs w:val="28"/>
        </w:rPr>
      </w:pPr>
      <w:r>
        <w:rPr>
          <w:rFonts w:ascii="Arial Black" w:hAnsi="Arial Black"/>
          <w:sz w:val="28"/>
          <w:szCs w:val="28"/>
        </w:rPr>
        <w:t xml:space="preserve">NY: BULLYING – VOL. FF SUSPENDED – FIRED WHEN WALKED OUT AT START OF PRE-DISCIPLINAY HEARING </w:t>
      </w:r>
    </w:p>
    <w:p w14:paraId="17BFEB7B" w14:textId="77777777" w:rsidR="000F18B0" w:rsidRDefault="000F18B0" w:rsidP="000F18B0">
      <w:pPr>
        <w:pStyle w:val="NoSpacing"/>
      </w:pPr>
    </w:p>
    <w:p w14:paraId="4051EB6B" w14:textId="7F4A3EFA" w:rsidR="000F18B0" w:rsidRDefault="000F18B0" w:rsidP="000F18B0">
      <w:pPr>
        <w:pStyle w:val="NoSpacing"/>
        <w:rPr>
          <w:rFonts w:ascii="Times New Roman" w:hAnsi="Times New Roman"/>
          <w:bCs/>
          <w:sz w:val="24"/>
          <w:szCs w:val="24"/>
        </w:rPr>
      </w:pPr>
      <w:r w:rsidRPr="00D61723">
        <w:rPr>
          <w:rFonts w:ascii="Times New Roman" w:hAnsi="Times New Roman"/>
          <w:bCs/>
          <w:sz w:val="24"/>
          <w:szCs w:val="24"/>
        </w:rPr>
        <w:t xml:space="preserve">On April 23, 2020, in </w:t>
      </w:r>
      <w:r w:rsidRPr="00D61723">
        <w:rPr>
          <w:rFonts w:ascii="Times New Roman" w:hAnsi="Times New Roman"/>
          <w:bCs/>
          <w:sz w:val="24"/>
          <w:szCs w:val="24"/>
          <w:u w:val="single"/>
        </w:rPr>
        <w:t>Andrew Lerer v. Raymond Canario, &amp; Village of Spring Valley, &amp; Spring Valley Fire Department</w:t>
      </w:r>
      <w:r w:rsidRPr="00D61723">
        <w:rPr>
          <w:rFonts w:ascii="Times New Roman" w:hAnsi="Times New Roman"/>
          <w:bCs/>
          <w:sz w:val="24"/>
          <w:szCs w:val="24"/>
        </w:rPr>
        <w:t>, U.S. District Court Judge Louis Briccetti, United States District Court for the Southern District of New</w:t>
      </w:r>
    </w:p>
    <w:p w14:paraId="21C14A2E" w14:textId="77777777" w:rsidR="000F18B0" w:rsidRPr="00D61723" w:rsidRDefault="000F18B0" w:rsidP="000F18B0">
      <w:pPr>
        <w:pStyle w:val="NoSpacing"/>
        <w:rPr>
          <w:rFonts w:ascii="Times New Roman" w:hAnsi="Times New Roman"/>
          <w:b/>
          <w:bCs/>
          <w:sz w:val="24"/>
          <w:szCs w:val="24"/>
        </w:rPr>
      </w:pPr>
      <w:proofErr w:type="gramStart"/>
      <w:r w:rsidRPr="00D61723">
        <w:rPr>
          <w:rFonts w:ascii="Times New Roman" w:hAnsi="Times New Roman"/>
          <w:bCs/>
          <w:sz w:val="24"/>
          <w:szCs w:val="24"/>
        </w:rPr>
        <w:t>York,</w:t>
      </w:r>
      <w:proofErr w:type="gramEnd"/>
      <w:r w:rsidRPr="00D61723">
        <w:rPr>
          <w:rFonts w:ascii="Times New Roman" w:hAnsi="Times New Roman"/>
          <w:bCs/>
          <w:sz w:val="24"/>
          <w:szCs w:val="24"/>
        </w:rPr>
        <w:t xml:space="preserve"> granted the defendants’ motion to dismiss.   The volunteer firefighter, who filed this lawsuit </w:t>
      </w:r>
      <w:r w:rsidRPr="00D61723">
        <w:rPr>
          <w:rFonts w:ascii="Times New Roman" w:hAnsi="Times New Roman"/>
          <w:bCs/>
          <w:i/>
          <w:iCs/>
          <w:sz w:val="24"/>
          <w:szCs w:val="24"/>
        </w:rPr>
        <w:t>pro se</w:t>
      </w:r>
      <w:r w:rsidRPr="00D61723">
        <w:rPr>
          <w:rFonts w:ascii="Times New Roman" w:hAnsi="Times New Roman"/>
          <w:bCs/>
          <w:sz w:val="24"/>
          <w:szCs w:val="24"/>
        </w:rPr>
        <w:t xml:space="preserve"> [without an attorney], showed up for his </w:t>
      </w:r>
      <w:proofErr w:type="gramStart"/>
      <w:r w:rsidRPr="00D61723">
        <w:rPr>
          <w:rFonts w:ascii="Times New Roman" w:hAnsi="Times New Roman"/>
          <w:bCs/>
          <w:sz w:val="24"/>
          <w:szCs w:val="24"/>
        </w:rPr>
        <w:t>termination hearing</w:t>
      </w:r>
      <w:proofErr w:type="gramEnd"/>
      <w:r w:rsidRPr="00D61723">
        <w:rPr>
          <w:rFonts w:ascii="Times New Roman" w:hAnsi="Times New Roman"/>
          <w:bCs/>
          <w:sz w:val="24"/>
          <w:szCs w:val="24"/>
        </w:rPr>
        <w:t xml:space="preserve"> at 6:53 pm, but walked out before it started at 7:00 pm.  </w:t>
      </w:r>
    </w:p>
    <w:p w14:paraId="0F47862E" w14:textId="77777777" w:rsidR="000F18B0" w:rsidRPr="00D61723" w:rsidRDefault="000F18B0" w:rsidP="000F18B0">
      <w:pPr>
        <w:pStyle w:val="NoSpacing"/>
        <w:rPr>
          <w:rFonts w:ascii="Times New Roman" w:hAnsi="Times New Roman"/>
          <w:b/>
          <w:bCs/>
          <w:sz w:val="24"/>
          <w:szCs w:val="24"/>
        </w:rPr>
      </w:pPr>
    </w:p>
    <w:p w14:paraId="60413562" w14:textId="45F3406B" w:rsidR="000F18B0" w:rsidRDefault="000F18B0" w:rsidP="000F18B0">
      <w:pPr>
        <w:pStyle w:val="NoSpacing"/>
        <w:ind w:left="720"/>
        <w:rPr>
          <w:rFonts w:ascii="Arial Black" w:hAnsi="Arial Black"/>
          <w:sz w:val="24"/>
          <w:szCs w:val="24"/>
        </w:rPr>
      </w:pPr>
      <w:r w:rsidRPr="00D61723">
        <w:rPr>
          <w:rFonts w:ascii="Times New Roman" w:hAnsi="Times New Roman"/>
          <w:bCs/>
          <w:sz w:val="24"/>
          <w:szCs w:val="24"/>
        </w:rPr>
        <w:t xml:space="preserve">“Once an employer has knowledge of some type of workplace harassment or improper conduct, ‘the law imposes upon the employer a duty to take reasonable steps to eliminate it.’ </w:t>
      </w:r>
      <w:r w:rsidRPr="00D61723">
        <w:rPr>
          <w:rFonts w:ascii="Times New Roman" w:hAnsi="Times New Roman"/>
          <w:bCs/>
          <w:sz w:val="24"/>
          <w:szCs w:val="24"/>
          <w:u w:val="single"/>
        </w:rPr>
        <w:t>Torres v. Pisano</w:t>
      </w:r>
      <w:r w:rsidRPr="00D61723">
        <w:rPr>
          <w:rFonts w:ascii="Times New Roman" w:hAnsi="Times New Roman"/>
          <w:bCs/>
          <w:sz w:val="24"/>
          <w:szCs w:val="24"/>
        </w:rPr>
        <w:t xml:space="preserve">, 116 F.3d 625, 636 (2d Cir. 1997). Under the circumstances, that defendants provisionally denied plaintiff, pending a hearing and determination, access to municipal property and opportunities to respond to fire alarms or otherwise participate in SVFD activities does not plausibly suggest defendants exercised governmental power without a reasonable justification in the service of a legitimate governmental interest. </w:t>
      </w:r>
      <w:hyperlink r:id="rId2832" w:history="1">
        <w:r w:rsidRPr="00D61723">
          <w:rPr>
            <w:rStyle w:val="Hyperlink"/>
            <w:rFonts w:ascii="Times New Roman" w:hAnsi="Times New Roman"/>
            <w:b/>
            <w:sz w:val="24"/>
            <w:szCs w:val="24"/>
          </w:rPr>
          <w:t>https://public.fastcase.com/Wl%2B2t%2BeVuI35%2FN70vAMFZp9w48IhR7rqnPPjn28%2FbaO7JZNoqz%2Fb8m3w7iUI6Fbj</w:t>
        </w:r>
      </w:hyperlink>
      <w:r>
        <w:rPr>
          <w:rFonts w:ascii="Arial Black" w:hAnsi="Arial Black"/>
          <w:sz w:val="24"/>
          <w:szCs w:val="24"/>
        </w:rPr>
        <w:br/>
      </w:r>
    </w:p>
    <w:p w14:paraId="6128CC35"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
          <w:bCs/>
          <w:sz w:val="24"/>
          <w:szCs w:val="24"/>
        </w:rPr>
        <w:t xml:space="preserve">Legal Lessons Learned: Fire Chief acted promptly in suspending the firefighter; when he walks out of his </w:t>
      </w:r>
      <w:r>
        <w:rPr>
          <w:rFonts w:ascii="Times New Roman" w:hAnsi="Times New Roman"/>
          <w:b/>
          <w:bCs/>
          <w:sz w:val="24"/>
          <w:szCs w:val="24"/>
        </w:rPr>
        <w:t>pre-</w:t>
      </w:r>
      <w:r w:rsidRPr="00D61723">
        <w:rPr>
          <w:rFonts w:ascii="Times New Roman" w:hAnsi="Times New Roman"/>
          <w:b/>
          <w:bCs/>
          <w:sz w:val="24"/>
          <w:szCs w:val="24"/>
        </w:rPr>
        <w:t>termination hearing he can hardly complain about lack of due process.</w:t>
      </w:r>
    </w:p>
    <w:p w14:paraId="4F85832B" w14:textId="77777777" w:rsidR="000F18B0" w:rsidRDefault="000F18B0" w:rsidP="00F326E5">
      <w:pPr>
        <w:pStyle w:val="NoSpacing"/>
        <w:rPr>
          <w:rFonts w:ascii="Arial Black" w:hAnsi="Arial Black"/>
          <w:sz w:val="24"/>
          <w:szCs w:val="24"/>
        </w:rPr>
      </w:pPr>
    </w:p>
    <w:p w14:paraId="49948115" w14:textId="77777777" w:rsidR="000F18B0" w:rsidRDefault="000F18B0" w:rsidP="00F326E5">
      <w:pPr>
        <w:pStyle w:val="NoSpacing"/>
        <w:rPr>
          <w:rFonts w:ascii="Arial Black" w:hAnsi="Arial Black"/>
          <w:sz w:val="24"/>
          <w:szCs w:val="24"/>
        </w:rPr>
      </w:pPr>
    </w:p>
    <w:p w14:paraId="1B8F3C10" w14:textId="64FFEF84" w:rsidR="000F18B0" w:rsidRDefault="000F18B0" w:rsidP="00F326E5">
      <w:pPr>
        <w:pStyle w:val="NoSpacing"/>
        <w:rPr>
          <w:rFonts w:ascii="Arial Black" w:hAnsi="Arial Black"/>
          <w:sz w:val="24"/>
          <w:szCs w:val="24"/>
        </w:rPr>
      </w:pPr>
      <w:r>
        <w:rPr>
          <w:rFonts w:ascii="Arial Black" w:hAnsi="Arial Black"/>
          <w:sz w:val="24"/>
          <w:szCs w:val="24"/>
        </w:rPr>
        <w:t>16-31</w:t>
      </w:r>
    </w:p>
    <w:p w14:paraId="2F5857BE" w14:textId="6B2AE6E4" w:rsidR="000F18B0" w:rsidRDefault="000F18B0" w:rsidP="00F326E5">
      <w:pPr>
        <w:pStyle w:val="NoSpacing"/>
        <w:rPr>
          <w:rFonts w:ascii="Arial Black" w:hAnsi="Arial Black"/>
          <w:sz w:val="24"/>
          <w:szCs w:val="24"/>
        </w:rPr>
      </w:pPr>
    </w:p>
    <w:p w14:paraId="1A247882" w14:textId="77777777" w:rsidR="000F18B0" w:rsidRPr="0088009C" w:rsidRDefault="000F18B0" w:rsidP="000F18B0">
      <w:pPr>
        <w:pStyle w:val="NoSpacing"/>
        <w:rPr>
          <w:rFonts w:ascii="Arial Black" w:hAnsi="Arial Black"/>
          <w:sz w:val="28"/>
          <w:szCs w:val="28"/>
        </w:rPr>
      </w:pPr>
      <w:bookmarkStart w:id="602" w:name="_Hlk38953050"/>
      <w:r w:rsidRPr="0088009C">
        <w:rPr>
          <w:rFonts w:ascii="Arial Black" w:hAnsi="Arial Black"/>
          <w:sz w:val="28"/>
          <w:szCs w:val="28"/>
        </w:rPr>
        <w:t xml:space="preserve">UT: </w:t>
      </w:r>
      <w:r>
        <w:rPr>
          <w:rFonts w:ascii="Arial Black" w:hAnsi="Arial Black"/>
          <w:sz w:val="28"/>
          <w:szCs w:val="28"/>
        </w:rPr>
        <w:t xml:space="preserve"> RAPE AT FIRE STATION - ASSISTANT FIRE CHIEF ARRESTED – ALSO ALLEGEDLY RAPED FF -TOWN IMMUNITY</w:t>
      </w:r>
    </w:p>
    <w:p w14:paraId="042FDBD6" w14:textId="77777777" w:rsidR="000F18B0" w:rsidRDefault="000F18B0" w:rsidP="000F18B0">
      <w:pPr>
        <w:pStyle w:val="NormalWeb"/>
      </w:pPr>
      <w:r>
        <w:t xml:space="preserve">On April 22, 2020, in </w:t>
      </w:r>
      <w:r w:rsidRPr="0088009C">
        <w:rPr>
          <w:u w:val="single"/>
        </w:rPr>
        <w:t>Whitney Otteley v. Austin James Corry and Kanosh Town, Utah</w:t>
      </w:r>
      <w:r>
        <w:t xml:space="preserve">, U.S. District Court Judge David Nuffer, U.S. District Court for the District of Utah, granted the Town’s motion to dismiss. Under state law, the Town enjoys governmental immunity, and cannot be sued for “negligent hiring, supervision, or retention.”  The lawsuit against Austin Corry was not dismissed. [See TV Video about new charges - Austin Corry rapes of </w:t>
      </w:r>
      <w:proofErr w:type="gramStart"/>
      <w:r>
        <w:t>an</w:t>
      </w:r>
      <w:proofErr w:type="gramEnd"/>
      <w:r>
        <w:t xml:space="preserve"> duty firefighter:  </w:t>
      </w:r>
      <w:hyperlink r:id="rId2833" w:history="1">
        <w:r w:rsidRPr="00833271">
          <w:rPr>
            <w:rStyle w:val="Hyperlink"/>
          </w:rPr>
          <w:t>https://www.abc4.com/news/justice-files/the-justice-files-a-rape-in-rural-utah/</w:t>
        </w:r>
      </w:hyperlink>
      <w:r>
        <w:t xml:space="preserve"> . Austin Corry’s father, the Fire Chief, was charged and pled guilty to obstruction of justice for not reporting her rape complaint to police.] </w:t>
      </w:r>
    </w:p>
    <w:bookmarkEnd w:id="602"/>
    <w:p w14:paraId="67E8B4FB" w14:textId="4D71827C" w:rsidR="000F18B0" w:rsidRDefault="000F18B0" w:rsidP="000F18B0">
      <w:pPr>
        <w:pStyle w:val="NoSpacing"/>
        <w:rPr>
          <w:rStyle w:val="Hyperlink"/>
        </w:rPr>
      </w:pPr>
      <w:r>
        <w:t xml:space="preserve">“Under the [Governmental Immunity Act of Utah]GIA, as applied in </w:t>
      </w:r>
      <w:r>
        <w:rPr>
          <w:i/>
          <w:iCs/>
        </w:rPr>
        <w:t>Larsen</w:t>
      </w:r>
      <w:r>
        <w:t xml:space="preserve"> [</w:t>
      </w:r>
      <w:r>
        <w:rPr>
          <w:i/>
          <w:iCs/>
        </w:rPr>
        <w:t>v</w:t>
      </w:r>
      <w:r>
        <w:t xml:space="preserve">. </w:t>
      </w:r>
      <w:r>
        <w:rPr>
          <w:i/>
          <w:iCs/>
        </w:rPr>
        <w:t>Davis County School District</w:t>
      </w:r>
      <w:r>
        <w:t xml:space="preserve">, Utah Court of Appeals, Nov. 30, 2017; </w:t>
      </w:r>
      <w:hyperlink r:id="rId2834" w:history="1">
        <w:r w:rsidRPr="00833271">
          <w:rPr>
            <w:rStyle w:val="Hyperlink"/>
          </w:rPr>
          <w:t>https://cases.justia.com/utah/court-of-appeals-published/2017-20160099-ca.pdf?ts=1512166432</w:t>
        </w:r>
      </w:hyperlink>
      <w:r>
        <w:rPr>
          <w:b/>
          <w:bCs/>
        </w:rPr>
        <w:t xml:space="preserve"> </w:t>
      </w:r>
      <w:r>
        <w:rPr>
          <w:i/>
          <w:iCs/>
        </w:rPr>
        <w:t xml:space="preserve"> </w:t>
      </w:r>
      <w:r>
        <w:t>] and explained above, Kanosh is immune from suit because Austin Corry's misconduct (including his assault, battery, false imprisonment, and infliction of mental anguish on Ottley) was a proximate cause of Ottley's claimed injury.</w:t>
      </w:r>
      <w:bookmarkStart w:id="603" w:name="fn42"/>
      <w:r>
        <w:rPr>
          <w:sz w:val="20"/>
          <w:szCs w:val="20"/>
          <w:vertAlign w:val="superscript"/>
        </w:rPr>
        <w:fldChar w:fldCharType="begin"/>
      </w:r>
      <w:r>
        <w:rPr>
          <w:sz w:val="20"/>
          <w:szCs w:val="20"/>
          <w:vertAlign w:val="superscript"/>
        </w:rPr>
        <w:instrText xml:space="preserve"> HYPERLINK "https://public.fastcase.com/" \l "fr42" </w:instrText>
      </w:r>
      <w:r>
        <w:rPr>
          <w:sz w:val="20"/>
          <w:szCs w:val="20"/>
          <w:vertAlign w:val="superscript"/>
        </w:rPr>
      </w:r>
      <w:r>
        <w:rPr>
          <w:sz w:val="20"/>
          <w:szCs w:val="20"/>
          <w:vertAlign w:val="superscript"/>
        </w:rPr>
        <w:fldChar w:fldCharType="separate"/>
      </w:r>
      <w:r>
        <w:rPr>
          <w:rStyle w:val="Hyperlink"/>
          <w:sz w:val="20"/>
          <w:szCs w:val="20"/>
          <w:vertAlign w:val="superscript"/>
        </w:rPr>
        <w:t>42</w:t>
      </w:r>
      <w:r>
        <w:rPr>
          <w:sz w:val="20"/>
          <w:szCs w:val="20"/>
          <w:vertAlign w:val="superscript"/>
        </w:rPr>
        <w:fldChar w:fldCharType="end"/>
      </w:r>
      <w:bookmarkEnd w:id="603"/>
      <w:r>
        <w:rPr>
          <w:sz w:val="20"/>
          <w:szCs w:val="20"/>
          <w:vertAlign w:val="superscript"/>
        </w:rPr>
        <w:t xml:space="preserve"> </w:t>
      </w:r>
      <w:r>
        <w:t xml:space="preserve">Because of this, Ottley fails to state a claim against Kanosh on which relief may be granted as a matter of law.” </w:t>
      </w:r>
      <w:hyperlink r:id="rId2835" w:history="1">
        <w:r w:rsidRPr="00833271">
          <w:rPr>
            <w:rStyle w:val="Hyperlink"/>
          </w:rPr>
          <w:t>https://public.fastcase.com/Wl%2B2t%2BeVuI35%2FN70vAMFZpe9nZQy4%2Fh5OlPwYBiXwZiKHRqMJ6M13sKp4yP4%2F%2BSx</w:t>
        </w:r>
      </w:hyperlink>
    </w:p>
    <w:p w14:paraId="16A7BE9E" w14:textId="3C4878A2" w:rsidR="000F18B0" w:rsidRDefault="000F18B0" w:rsidP="000F18B0">
      <w:pPr>
        <w:pStyle w:val="NoSpacing"/>
        <w:rPr>
          <w:rStyle w:val="Hyperlink"/>
        </w:rPr>
      </w:pPr>
    </w:p>
    <w:p w14:paraId="56F0BAD6" w14:textId="77777777" w:rsidR="000F18B0" w:rsidRPr="00D61723" w:rsidRDefault="000F18B0" w:rsidP="000F18B0">
      <w:pPr>
        <w:rPr>
          <w:rFonts w:ascii="Times New Roman" w:eastAsia="Times New Roman" w:hAnsi="Times New Roman"/>
          <w:sz w:val="24"/>
          <w:szCs w:val="24"/>
        </w:rPr>
      </w:pPr>
      <w:r w:rsidRPr="00D61723">
        <w:rPr>
          <w:rFonts w:ascii="Times New Roman" w:hAnsi="Times New Roman"/>
          <w:b/>
          <w:bCs/>
          <w:sz w:val="24"/>
          <w:szCs w:val="24"/>
        </w:rPr>
        <w:t>Legal Lessons Learned: This is terrible conduct by both the Assistant Chief and his father, the Fire Chief.  [Not found any articles on outcome of former Assistant Chief’s trial.]</w:t>
      </w:r>
    </w:p>
    <w:p w14:paraId="6C3C7E07" w14:textId="77777777" w:rsidR="000F18B0" w:rsidRDefault="000F18B0" w:rsidP="000F18B0">
      <w:pPr>
        <w:pStyle w:val="NoSpacing"/>
        <w:ind w:left="720"/>
        <w:rPr>
          <w:rFonts w:ascii="Times New Roman" w:hAnsi="Times New Roman"/>
          <w:bCs/>
          <w:sz w:val="24"/>
          <w:szCs w:val="24"/>
        </w:rPr>
      </w:pPr>
      <w:r w:rsidRPr="00D61723">
        <w:rPr>
          <w:rFonts w:ascii="Times New Roman" w:hAnsi="Times New Roman"/>
          <w:bCs/>
          <w:sz w:val="24"/>
          <w:szCs w:val="24"/>
        </w:rPr>
        <w:t xml:space="preserve">Note:  See Dec. 3, </w:t>
      </w:r>
      <w:proofErr w:type="gramStart"/>
      <w:r w:rsidRPr="00D61723">
        <w:rPr>
          <w:rFonts w:ascii="Times New Roman" w:hAnsi="Times New Roman"/>
          <w:bCs/>
          <w:sz w:val="24"/>
          <w:szCs w:val="24"/>
        </w:rPr>
        <w:t>2019</w:t>
      </w:r>
      <w:proofErr w:type="gramEnd"/>
      <w:r w:rsidRPr="00D61723">
        <w:rPr>
          <w:rFonts w:ascii="Times New Roman" w:hAnsi="Times New Roman"/>
          <w:bCs/>
          <w:sz w:val="24"/>
          <w:szCs w:val="24"/>
        </w:rPr>
        <w:t xml:space="preserve"> article, “Millard County fire chief charged with raping two women will face trial in Utah County,” </w:t>
      </w:r>
      <w:hyperlink r:id="rId2836" w:history="1">
        <w:r w:rsidRPr="00D61723">
          <w:rPr>
            <w:rStyle w:val="Hyperlink"/>
            <w:rFonts w:ascii="Times New Roman" w:hAnsi="Times New Roman"/>
            <w:b/>
            <w:sz w:val="24"/>
            <w:szCs w:val="24"/>
          </w:rPr>
          <w:t>https://www.heraldextra.com/news/local/crime-and-courts/millard-county-fire-chief-charged-with-raping-two-women-will/article_32fa3eae-85cc-5928-a493-88a75082f506.html</w:t>
        </w:r>
      </w:hyperlink>
      <w:r w:rsidRPr="00D61723">
        <w:rPr>
          <w:rFonts w:ascii="Times New Roman" w:hAnsi="Times New Roman"/>
          <w:bCs/>
          <w:sz w:val="24"/>
          <w:szCs w:val="24"/>
        </w:rPr>
        <w:t xml:space="preserve">.  “The [raped firefighter] also reportedly told Corry’s father, Scott Corry, 62, about the alleged rapes in 2018. However, Scott Corry told investigators he was “trying to protect his son and he never got around to” filing </w:t>
      </w:r>
    </w:p>
    <w:p w14:paraId="67BBCE06" w14:textId="77777777" w:rsidR="000F18B0" w:rsidRDefault="000F18B0" w:rsidP="000F18B0">
      <w:pPr>
        <w:pStyle w:val="NoSpacing"/>
        <w:ind w:left="720"/>
        <w:rPr>
          <w:rFonts w:ascii="Times New Roman" w:hAnsi="Times New Roman"/>
          <w:bCs/>
          <w:sz w:val="24"/>
          <w:szCs w:val="24"/>
        </w:rPr>
      </w:pPr>
    </w:p>
    <w:p w14:paraId="2ADBA335"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reports on the claims. </w:t>
      </w:r>
      <w:r w:rsidRPr="00D61723">
        <w:rPr>
          <w:rFonts w:ascii="Times New Roman" w:eastAsia="Times New Roman" w:hAnsi="Times New Roman"/>
          <w:bCs/>
          <w:sz w:val="24"/>
          <w:szCs w:val="24"/>
        </w:rPr>
        <w:t>He was charged in July with obstruction of justice, a second-degree felony, and official misconduct, a class B misdemeanor.</w:t>
      </w:r>
      <w:r w:rsidRPr="00D61723">
        <w:rPr>
          <w:rFonts w:ascii="Times New Roman" w:hAnsi="Times New Roman"/>
          <w:bCs/>
          <w:sz w:val="24"/>
          <w:szCs w:val="24"/>
        </w:rPr>
        <w:t>”</w:t>
      </w:r>
    </w:p>
    <w:p w14:paraId="4348B266" w14:textId="77777777" w:rsidR="000F18B0" w:rsidRDefault="000F18B0" w:rsidP="000F18B0">
      <w:pPr>
        <w:pStyle w:val="NoSpacing"/>
        <w:rPr>
          <w:rFonts w:ascii="Arial Black" w:hAnsi="Arial Black"/>
          <w:sz w:val="24"/>
          <w:szCs w:val="24"/>
        </w:rPr>
      </w:pPr>
    </w:p>
    <w:p w14:paraId="570E76E5" w14:textId="77777777" w:rsidR="000F18B0" w:rsidRDefault="000F18B0" w:rsidP="00F326E5">
      <w:pPr>
        <w:pStyle w:val="NoSpacing"/>
        <w:rPr>
          <w:rFonts w:ascii="Arial Black" w:hAnsi="Arial Black"/>
          <w:sz w:val="24"/>
          <w:szCs w:val="24"/>
        </w:rPr>
      </w:pPr>
    </w:p>
    <w:p w14:paraId="0E307C64" w14:textId="77777777" w:rsidR="000F18B0" w:rsidRDefault="000F18B0" w:rsidP="00F326E5">
      <w:pPr>
        <w:pStyle w:val="NoSpacing"/>
        <w:rPr>
          <w:rFonts w:ascii="Arial Black" w:hAnsi="Arial Black"/>
          <w:sz w:val="24"/>
          <w:szCs w:val="24"/>
        </w:rPr>
      </w:pPr>
    </w:p>
    <w:p w14:paraId="75E8E514" w14:textId="60F410AC" w:rsidR="000F18B0" w:rsidRDefault="000F18B0" w:rsidP="00F326E5">
      <w:pPr>
        <w:pStyle w:val="NoSpacing"/>
        <w:rPr>
          <w:rFonts w:ascii="Arial Black" w:hAnsi="Arial Black"/>
          <w:sz w:val="24"/>
          <w:szCs w:val="24"/>
        </w:rPr>
      </w:pPr>
      <w:r>
        <w:rPr>
          <w:rFonts w:ascii="Arial Black" w:hAnsi="Arial Black"/>
          <w:sz w:val="24"/>
          <w:szCs w:val="24"/>
        </w:rPr>
        <w:t>16-30</w:t>
      </w:r>
    </w:p>
    <w:p w14:paraId="4672FB04" w14:textId="44149C5F" w:rsidR="000F18B0" w:rsidRDefault="000F18B0" w:rsidP="00F326E5">
      <w:pPr>
        <w:pStyle w:val="NoSpacing"/>
        <w:rPr>
          <w:rFonts w:ascii="Arial Black" w:hAnsi="Arial Black"/>
          <w:sz w:val="24"/>
          <w:szCs w:val="24"/>
        </w:rPr>
      </w:pPr>
    </w:p>
    <w:p w14:paraId="0B13AB67" w14:textId="77777777" w:rsidR="000F18B0" w:rsidRDefault="000F18B0" w:rsidP="000F18B0">
      <w:pPr>
        <w:pStyle w:val="NoSpacing"/>
        <w:rPr>
          <w:rFonts w:ascii="Arial Black" w:hAnsi="Arial Black" w:cs="Arial"/>
          <w:sz w:val="28"/>
          <w:szCs w:val="28"/>
        </w:rPr>
      </w:pPr>
      <w:bookmarkStart w:id="604" w:name="_Hlk39772998"/>
      <w:r w:rsidRPr="006B3428">
        <w:rPr>
          <w:rFonts w:ascii="Arial Black" w:hAnsi="Arial Black" w:cs="Arial"/>
          <w:sz w:val="28"/>
          <w:szCs w:val="28"/>
        </w:rPr>
        <w:t xml:space="preserve">CA: </w:t>
      </w:r>
      <w:r>
        <w:rPr>
          <w:rFonts w:ascii="Arial Black" w:hAnsi="Arial Black" w:cs="Arial"/>
          <w:sz w:val="28"/>
          <w:szCs w:val="28"/>
        </w:rPr>
        <w:t xml:space="preserve">THREATENING COMMENTS TO OFFICER – OFF DUTY INCIDENT WITH HIS DOG – 48-HOUR SUSPENSIONS UPHELD </w:t>
      </w:r>
    </w:p>
    <w:p w14:paraId="0CA33F0D" w14:textId="77777777" w:rsidR="000F18B0" w:rsidRDefault="000F18B0" w:rsidP="000F18B0">
      <w:pPr>
        <w:pStyle w:val="NoSpacing"/>
        <w:rPr>
          <w:b/>
          <w:bCs/>
          <w:sz w:val="24"/>
          <w:szCs w:val="24"/>
        </w:rPr>
      </w:pPr>
    </w:p>
    <w:p w14:paraId="6DB684C6"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April 22, 2020, in </w:t>
      </w:r>
      <w:r w:rsidRPr="00D61723">
        <w:rPr>
          <w:rFonts w:ascii="Times New Roman" w:hAnsi="Times New Roman"/>
          <w:bCs/>
          <w:sz w:val="24"/>
          <w:szCs w:val="24"/>
          <w:u w:val="single"/>
        </w:rPr>
        <w:t>Michael Meoli v. San Diego Civil Service Commission</w:t>
      </w:r>
      <w:r w:rsidRPr="00D61723">
        <w:rPr>
          <w:rFonts w:ascii="Times New Roman" w:hAnsi="Times New Roman"/>
          <w:bCs/>
          <w:sz w:val="24"/>
          <w:szCs w:val="24"/>
        </w:rPr>
        <w:t>, the Court of Appeal (4</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Appellate District / Division One) held (3 to 0) in unpublished opinion, that the trial court properly confirmed the decision of the Civil Service Commission, that the two 24-hour suspensions were appropriate.</w:t>
      </w:r>
    </w:p>
    <w:p w14:paraId="0E10A2D5" w14:textId="77777777" w:rsidR="000F18B0" w:rsidRPr="00D61723" w:rsidRDefault="000F18B0" w:rsidP="000F18B0">
      <w:pPr>
        <w:pStyle w:val="NoSpacing"/>
        <w:rPr>
          <w:rFonts w:ascii="Times New Roman" w:hAnsi="Times New Roman"/>
          <w:b/>
          <w:bCs/>
          <w:sz w:val="24"/>
          <w:szCs w:val="24"/>
        </w:rPr>
      </w:pPr>
    </w:p>
    <w:p w14:paraId="2F438572"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“[California Firefighter’s Bill of Rights] Government Code section 3253 deals with a firefighter's rights when he or she ‘is under investigation and subjected to interrogation.’ Meoli argues that City violated subdivisions(b), (g), and (h) of section 3253 during the February 2012 incident at the fire station. As we explained ante, the trial court found that the delivery of the Notice communicated to Meoli that an investigation and interrogation would take place in the future. Although Meoli acknowledges this ruling by the trial court, he argues that it was ‘not supported by the law or any reasoned analysis of the applicable statute[].’ However, Meoli does not explain this alleged error, since he fails to discuss the trial court's rulings, the applicable standard, or the evidence to support a violation of the applicable </w:t>
      </w:r>
      <w:proofErr w:type="gramStart"/>
      <w:r w:rsidRPr="00D61723">
        <w:rPr>
          <w:rFonts w:ascii="Times New Roman" w:hAnsi="Times New Roman"/>
          <w:bCs/>
          <w:sz w:val="24"/>
          <w:szCs w:val="24"/>
        </w:rPr>
        <w:t>standard.”</w:t>
      </w:r>
      <w:proofErr w:type="gramEnd"/>
      <w:r w:rsidRPr="00D61723">
        <w:rPr>
          <w:rFonts w:ascii="Times New Roman" w:hAnsi="Times New Roman"/>
          <w:bCs/>
          <w:sz w:val="24"/>
          <w:szCs w:val="24"/>
        </w:rPr>
        <w:t xml:space="preserve"> </w:t>
      </w:r>
      <w:hyperlink r:id="rId2837" w:history="1">
        <w:r w:rsidRPr="00D61723">
          <w:rPr>
            <w:rStyle w:val="Hyperlink"/>
            <w:rFonts w:ascii="Times New Roman" w:hAnsi="Times New Roman"/>
            <w:b/>
            <w:sz w:val="24"/>
            <w:szCs w:val="24"/>
          </w:rPr>
          <w:t>https://www.courts.ca.gov/opinions/nonpub/D074758.PDF</w:t>
        </w:r>
      </w:hyperlink>
      <w:r w:rsidRPr="00D61723">
        <w:rPr>
          <w:rFonts w:ascii="Times New Roman" w:hAnsi="Times New Roman"/>
          <w:bCs/>
          <w:sz w:val="24"/>
          <w:szCs w:val="24"/>
        </w:rPr>
        <w:t xml:space="preserve"> </w:t>
      </w:r>
    </w:p>
    <w:bookmarkEnd w:id="604"/>
    <w:p w14:paraId="2F00DF95" w14:textId="77777777" w:rsidR="000F18B0" w:rsidRDefault="000F18B0" w:rsidP="000F18B0">
      <w:pPr>
        <w:pStyle w:val="NoSpacing"/>
        <w:rPr>
          <w:rFonts w:ascii="Times New Roman" w:hAnsi="Times New Roman"/>
          <w:b/>
          <w:bCs/>
          <w:sz w:val="24"/>
          <w:szCs w:val="24"/>
        </w:rPr>
      </w:pPr>
    </w:p>
    <w:p w14:paraId="037F51F2" w14:textId="6E899408" w:rsidR="000F18B0" w:rsidRPr="00D61723" w:rsidRDefault="000F18B0" w:rsidP="000F18B0">
      <w:pPr>
        <w:pStyle w:val="NoSpacing"/>
        <w:rPr>
          <w:rFonts w:ascii="Times New Roman" w:hAnsi="Times New Roman"/>
          <w:b/>
          <w:bCs/>
          <w:sz w:val="24"/>
          <w:szCs w:val="24"/>
        </w:rPr>
      </w:pPr>
      <w:bookmarkStart w:id="605" w:name="_Hlk40516840"/>
      <w:r w:rsidRPr="00D61723">
        <w:rPr>
          <w:rFonts w:ascii="Times New Roman" w:hAnsi="Times New Roman"/>
          <w:b/>
          <w:bCs/>
          <w:sz w:val="24"/>
          <w:szCs w:val="24"/>
        </w:rPr>
        <w:t xml:space="preserve">Legal Lessons Learned: Threats against a FD officer are not to be tolerated; nor claims off duty that you are a police officer. </w:t>
      </w:r>
    </w:p>
    <w:bookmarkEnd w:id="605"/>
    <w:p w14:paraId="46776C7B" w14:textId="77777777" w:rsidR="000F18B0" w:rsidRPr="00D61723" w:rsidRDefault="000F18B0" w:rsidP="000F18B0">
      <w:pPr>
        <w:pStyle w:val="NoSpacing"/>
        <w:rPr>
          <w:b/>
          <w:bCs/>
          <w:sz w:val="24"/>
          <w:szCs w:val="24"/>
        </w:rPr>
      </w:pPr>
    </w:p>
    <w:p w14:paraId="65BFD322" w14:textId="77777777" w:rsidR="000F18B0" w:rsidRDefault="000F18B0" w:rsidP="00F326E5">
      <w:pPr>
        <w:pStyle w:val="NoSpacing"/>
        <w:rPr>
          <w:rFonts w:ascii="Arial Black" w:hAnsi="Arial Black"/>
          <w:sz w:val="24"/>
          <w:szCs w:val="24"/>
        </w:rPr>
      </w:pPr>
    </w:p>
    <w:p w14:paraId="2F424284" w14:textId="77777777" w:rsidR="000F18B0" w:rsidRDefault="000F18B0" w:rsidP="00F326E5">
      <w:pPr>
        <w:pStyle w:val="NoSpacing"/>
        <w:rPr>
          <w:rFonts w:ascii="Arial Black" w:hAnsi="Arial Black"/>
          <w:sz w:val="24"/>
          <w:szCs w:val="24"/>
        </w:rPr>
      </w:pPr>
    </w:p>
    <w:p w14:paraId="0E9AE6BB" w14:textId="77777777" w:rsidR="000F18B0" w:rsidRDefault="000F18B0" w:rsidP="00F326E5">
      <w:pPr>
        <w:pStyle w:val="NoSpacing"/>
        <w:rPr>
          <w:rFonts w:ascii="Arial Black" w:hAnsi="Arial Black"/>
          <w:sz w:val="24"/>
          <w:szCs w:val="24"/>
        </w:rPr>
      </w:pPr>
    </w:p>
    <w:p w14:paraId="1B663376" w14:textId="1BFE8757" w:rsidR="000F18B0" w:rsidRDefault="000F18B0" w:rsidP="00F326E5">
      <w:pPr>
        <w:pStyle w:val="NoSpacing"/>
        <w:rPr>
          <w:rFonts w:ascii="Arial Black" w:hAnsi="Arial Black"/>
          <w:sz w:val="24"/>
          <w:szCs w:val="24"/>
        </w:rPr>
      </w:pPr>
      <w:r>
        <w:rPr>
          <w:rFonts w:ascii="Arial Black" w:hAnsi="Arial Black"/>
          <w:sz w:val="24"/>
          <w:szCs w:val="24"/>
        </w:rPr>
        <w:t>16-29</w:t>
      </w:r>
    </w:p>
    <w:p w14:paraId="39796E42" w14:textId="0287A8CE" w:rsidR="000F18B0" w:rsidRDefault="000F18B0" w:rsidP="00F326E5">
      <w:pPr>
        <w:pStyle w:val="NoSpacing"/>
        <w:rPr>
          <w:rFonts w:ascii="Arial Black" w:hAnsi="Arial Black"/>
          <w:sz w:val="24"/>
          <w:szCs w:val="24"/>
        </w:rPr>
      </w:pPr>
    </w:p>
    <w:p w14:paraId="099B4ECC" w14:textId="77777777" w:rsidR="000F18B0" w:rsidRPr="00084E23" w:rsidRDefault="000F18B0" w:rsidP="000F18B0">
      <w:pPr>
        <w:pStyle w:val="NoSpacing"/>
        <w:rPr>
          <w:rFonts w:ascii="Arial Black" w:hAnsi="Arial Black"/>
          <w:sz w:val="28"/>
          <w:szCs w:val="28"/>
        </w:rPr>
      </w:pPr>
      <w:bookmarkStart w:id="606" w:name="_Hlk40516939"/>
      <w:r w:rsidRPr="00084E23">
        <w:rPr>
          <w:rFonts w:ascii="Arial Black" w:hAnsi="Arial Black"/>
          <w:sz w:val="28"/>
          <w:szCs w:val="28"/>
        </w:rPr>
        <w:t>VA:</w:t>
      </w:r>
      <w:r>
        <w:rPr>
          <w:rFonts w:ascii="Arial Black" w:hAnsi="Arial Black"/>
          <w:sz w:val="28"/>
          <w:szCs w:val="28"/>
        </w:rPr>
        <w:t xml:space="preserve"> SOCIAL MEDIA - ANTI-TRUMP FACEBOOK - ARRESTED D.C. PROTEST – FIRED NO HEARING – LAWSUIT PROCEED</w:t>
      </w:r>
    </w:p>
    <w:p w14:paraId="262A9F69" w14:textId="77777777" w:rsidR="000F18B0" w:rsidRDefault="000F18B0" w:rsidP="000F18B0">
      <w:pPr>
        <w:pStyle w:val="NoSpacing"/>
        <w:rPr>
          <w:rFonts w:ascii="VAArial Black" w:hAnsi="VAArial Black"/>
          <w:sz w:val="28"/>
          <w:szCs w:val="28"/>
        </w:rPr>
      </w:pPr>
    </w:p>
    <w:p w14:paraId="3D178C12" w14:textId="3F637B1A" w:rsidR="000F18B0" w:rsidRDefault="000F18B0" w:rsidP="000F18B0">
      <w:pPr>
        <w:pStyle w:val="NoSpacing"/>
        <w:rPr>
          <w:rFonts w:ascii="Times New Roman" w:hAnsi="Times New Roman"/>
          <w:bCs/>
          <w:sz w:val="24"/>
          <w:szCs w:val="24"/>
        </w:rPr>
      </w:pPr>
      <w:r w:rsidRPr="00D61723">
        <w:rPr>
          <w:rFonts w:ascii="Times New Roman" w:hAnsi="Times New Roman"/>
          <w:bCs/>
          <w:sz w:val="24"/>
          <w:szCs w:val="24"/>
        </w:rPr>
        <w:t xml:space="preserve">On March 31, 2020, in </w:t>
      </w:r>
      <w:r w:rsidRPr="00D61723">
        <w:rPr>
          <w:rFonts w:ascii="Times New Roman" w:hAnsi="Times New Roman"/>
          <w:bCs/>
          <w:sz w:val="24"/>
          <w:szCs w:val="24"/>
          <w:u w:val="single"/>
        </w:rPr>
        <w:t xml:space="preserve">Rosa </w:t>
      </w:r>
      <w:proofErr w:type="spellStart"/>
      <w:r w:rsidRPr="00D61723">
        <w:rPr>
          <w:rFonts w:ascii="Times New Roman" w:hAnsi="Times New Roman"/>
          <w:bCs/>
          <w:sz w:val="24"/>
          <w:szCs w:val="24"/>
          <w:u w:val="single"/>
        </w:rPr>
        <w:t>Roncales</w:t>
      </w:r>
      <w:proofErr w:type="spellEnd"/>
      <w:r w:rsidRPr="00D61723">
        <w:rPr>
          <w:rFonts w:ascii="Times New Roman" w:hAnsi="Times New Roman"/>
          <w:bCs/>
          <w:sz w:val="24"/>
          <w:szCs w:val="24"/>
          <w:u w:val="single"/>
        </w:rPr>
        <w:t xml:space="preserve"> v. County of Henrico, Anthony McDowell, Alec Oughton, Scotty Roberts and Eugene Gerald</w:t>
      </w:r>
      <w:r w:rsidRPr="00D61723">
        <w:rPr>
          <w:rFonts w:ascii="Times New Roman" w:hAnsi="Times New Roman"/>
          <w:bCs/>
          <w:sz w:val="24"/>
          <w:szCs w:val="24"/>
        </w:rPr>
        <w:t xml:space="preserve">, U.S. District Court Judge M. Hannah Lauck, U.S. District Court for the Eastern District of Virginia (Richmond Division), reviewing the allegations by the firefighter in the Complaint, but without holding a hearing, denied qualified immunity claims of the four supervisors. “At this procedural posture, however, the Court concludes </w:t>
      </w:r>
    </w:p>
    <w:p w14:paraId="4B656FDF"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that qualified immunity does not protect McDowell, Oughton, Roberts, or Gerald from liability. The Court will deny the Motion to Dismiss as to the individual Defendants.”  </w:t>
      </w:r>
      <w:bookmarkEnd w:id="606"/>
      <w:r w:rsidRPr="00D61723">
        <w:rPr>
          <w:rFonts w:ascii="Times New Roman" w:hAnsi="Times New Roman"/>
          <w:bCs/>
          <w:sz w:val="24"/>
          <w:szCs w:val="24"/>
        </w:rPr>
        <w:t xml:space="preserve">The County was </w:t>
      </w:r>
      <w:r>
        <w:rPr>
          <w:rFonts w:ascii="Times New Roman" w:hAnsi="Times New Roman"/>
          <w:bCs/>
          <w:sz w:val="24"/>
          <w:szCs w:val="24"/>
        </w:rPr>
        <w:t xml:space="preserve">dismissed </w:t>
      </w:r>
      <w:r w:rsidRPr="00D61723">
        <w:rPr>
          <w:rFonts w:ascii="Times New Roman" w:hAnsi="Times New Roman"/>
          <w:bCs/>
          <w:sz w:val="24"/>
          <w:szCs w:val="24"/>
        </w:rPr>
        <w:t>from the case.</w:t>
      </w:r>
    </w:p>
    <w:p w14:paraId="0D8195FB" w14:textId="77777777" w:rsidR="000F18B0" w:rsidRPr="00D61723" w:rsidRDefault="000F18B0" w:rsidP="000F18B0">
      <w:pPr>
        <w:pStyle w:val="NormalWeb"/>
        <w:ind w:left="720"/>
      </w:pPr>
      <w:r w:rsidRPr="00D61723">
        <w:t xml:space="preserve">“Here, </w:t>
      </w:r>
      <w:proofErr w:type="spellStart"/>
      <w:r w:rsidRPr="00D61723">
        <w:t>Roncales</w:t>
      </w:r>
      <w:proofErr w:type="spellEnd"/>
      <w:r w:rsidRPr="00D61723">
        <w:t xml:space="preserve"> alleges that she never received a name-clearing hearing or the opportunity to present her case before her employment ended at the Henrico Fire Department. Specifically, </w:t>
      </w:r>
      <w:proofErr w:type="spellStart"/>
      <w:r w:rsidRPr="00D61723">
        <w:t>Roncales</w:t>
      </w:r>
      <w:proofErr w:type="spellEnd"/>
      <w:r w:rsidRPr="00D61723">
        <w:t xml:space="preserve"> claims that Defendants questioned her regarding her participation in a political protest, that she did not have the opportunity to speak to her legal counsel before questioning, that video evidence existed that would have shown she participated in only non-violent protest, that she ‘told her superiors that her legal counsel had possession of a video demonstrating" the veracity of her claims, (</w:t>
      </w:r>
      <w:proofErr w:type="spellStart"/>
      <w:r w:rsidRPr="00D61723">
        <w:t>Compl</w:t>
      </w:r>
      <w:proofErr w:type="spellEnd"/>
      <w:r w:rsidRPr="00D61723">
        <w:t xml:space="preserve">. ¶ 34), and that Defendants used the event as a pretext to terminate her employment from the Henrico Fire Department for her political beliefs. For this claim, </w:t>
      </w:r>
      <w:proofErr w:type="spellStart"/>
      <w:r w:rsidRPr="00D61723">
        <w:t>Roncales</w:t>
      </w:r>
      <w:proofErr w:type="spellEnd"/>
      <w:r w:rsidRPr="00D61723">
        <w:t xml:space="preserve"> maintains that she was ‘deprived of the fair and unbiased opportunity for a hearing, whether name-clearing or otherwise, to rebut the Defendants' representations, and to present her side of the story.’ (</w:t>
      </w:r>
      <w:proofErr w:type="spellStart"/>
      <w:r w:rsidRPr="00D61723">
        <w:t>Compl</w:t>
      </w:r>
      <w:proofErr w:type="spellEnd"/>
      <w:r w:rsidRPr="00D61723">
        <w:t xml:space="preserve">. ¶ 60.) Based on these allegations, </w:t>
      </w:r>
      <w:proofErr w:type="spellStart"/>
      <w:r w:rsidRPr="00D61723">
        <w:t>Roncales</w:t>
      </w:r>
      <w:proofErr w:type="spellEnd"/>
      <w:r w:rsidRPr="00D61723">
        <w:t xml:space="preserve"> sufficiently alleges her Due Process Claim.” </w:t>
      </w:r>
      <w:hyperlink r:id="rId2838" w:history="1">
        <w:r w:rsidRPr="00D61723">
          <w:rPr>
            <w:rStyle w:val="Hyperlink"/>
          </w:rPr>
          <w:t>https://public.fastcase.com/Wl%2B2t%2BeVuI35%2FN70vAMFZp5z3tSAREAgVcTB%2FIqZH8qtvSAHBObLTQiDe9yLc084</w:t>
        </w:r>
      </w:hyperlink>
      <w:r w:rsidRPr="00D61723">
        <w:t xml:space="preserve"> </w:t>
      </w:r>
    </w:p>
    <w:p w14:paraId="7DC4F572" w14:textId="2743DB69" w:rsidR="000F18B0" w:rsidRPr="000164B1" w:rsidRDefault="000F18B0" w:rsidP="000F18B0">
      <w:pPr>
        <w:pStyle w:val="NoSpacing"/>
        <w:rPr>
          <w:rFonts w:ascii="Times New Roman" w:hAnsi="Times New Roman"/>
          <w:sz w:val="24"/>
          <w:szCs w:val="24"/>
        </w:rPr>
      </w:pPr>
      <w:bookmarkStart w:id="607" w:name="_Hlk40517047"/>
      <w:r w:rsidRPr="00D61723">
        <w:rPr>
          <w:rFonts w:ascii="Times New Roman" w:hAnsi="Times New Roman"/>
          <w:b/>
          <w:bCs/>
          <w:sz w:val="24"/>
          <w:szCs w:val="24"/>
        </w:rPr>
        <w:t xml:space="preserve">Legal Lessons Learned: FDs should provide a pre-disciplinary hearing prior to making a termination decision.  </w:t>
      </w:r>
      <w:r w:rsidR="000164B1" w:rsidRPr="000164B1">
        <w:rPr>
          <w:rFonts w:ascii="Times New Roman" w:hAnsi="Times New Roman"/>
          <w:sz w:val="24"/>
          <w:szCs w:val="24"/>
        </w:rPr>
        <w:t xml:space="preserve">Note:  Read the </w:t>
      </w:r>
      <w:r w:rsidRPr="000164B1">
        <w:rPr>
          <w:rFonts w:ascii="Times New Roman" w:hAnsi="Times New Roman"/>
          <w:sz w:val="24"/>
          <w:szCs w:val="24"/>
        </w:rPr>
        <w:t xml:space="preserve">U.S. Supreme Court decision in Cleveland Bd. of Educ. v. Loudermill, 470 U.S. 532 (1985), </w:t>
      </w:r>
      <w:hyperlink r:id="rId2839" w:history="1">
        <w:r w:rsidRPr="000164B1">
          <w:rPr>
            <w:rStyle w:val="Hyperlink"/>
            <w:rFonts w:ascii="Times New Roman" w:hAnsi="Times New Roman"/>
            <w:sz w:val="24"/>
            <w:szCs w:val="24"/>
          </w:rPr>
          <w:t>https://supreme.justia.com/cases/federal/us/470/532/</w:t>
        </w:r>
      </w:hyperlink>
      <w:r w:rsidRPr="000164B1">
        <w:rPr>
          <w:rFonts w:ascii="Times New Roman" w:hAnsi="Times New Roman"/>
          <w:sz w:val="24"/>
          <w:szCs w:val="24"/>
        </w:rPr>
        <w:t xml:space="preserve"> .  </w:t>
      </w:r>
    </w:p>
    <w:bookmarkEnd w:id="607"/>
    <w:p w14:paraId="0809192B" w14:textId="77777777" w:rsidR="000F18B0" w:rsidRPr="00D61723" w:rsidRDefault="000F18B0" w:rsidP="000F18B0">
      <w:pPr>
        <w:pStyle w:val="NoSpacing"/>
        <w:rPr>
          <w:rFonts w:ascii="Times New Roman" w:hAnsi="Times New Roman"/>
          <w:sz w:val="24"/>
          <w:szCs w:val="24"/>
        </w:rPr>
      </w:pPr>
    </w:p>
    <w:p w14:paraId="29639D9C" w14:textId="77777777" w:rsidR="000F18B0" w:rsidRDefault="000F18B0" w:rsidP="00F326E5">
      <w:pPr>
        <w:pStyle w:val="NoSpacing"/>
        <w:rPr>
          <w:rFonts w:ascii="Arial Black" w:hAnsi="Arial Black"/>
          <w:sz w:val="24"/>
          <w:szCs w:val="24"/>
        </w:rPr>
      </w:pPr>
    </w:p>
    <w:p w14:paraId="7FD335C0" w14:textId="77777777" w:rsidR="000F18B0" w:rsidRDefault="000F18B0" w:rsidP="00F326E5">
      <w:pPr>
        <w:pStyle w:val="NoSpacing"/>
        <w:rPr>
          <w:rFonts w:ascii="Arial Black" w:hAnsi="Arial Black"/>
          <w:sz w:val="24"/>
          <w:szCs w:val="24"/>
        </w:rPr>
      </w:pPr>
    </w:p>
    <w:p w14:paraId="7A05F3E4" w14:textId="3AD105AB" w:rsidR="000F18B0" w:rsidRDefault="000F18B0" w:rsidP="00F326E5">
      <w:pPr>
        <w:pStyle w:val="NoSpacing"/>
        <w:rPr>
          <w:rFonts w:ascii="Arial Black" w:hAnsi="Arial Black"/>
          <w:sz w:val="24"/>
          <w:szCs w:val="24"/>
        </w:rPr>
      </w:pPr>
      <w:r>
        <w:rPr>
          <w:rFonts w:ascii="Arial Black" w:hAnsi="Arial Black"/>
          <w:sz w:val="24"/>
          <w:szCs w:val="24"/>
        </w:rPr>
        <w:t>16-28</w:t>
      </w:r>
    </w:p>
    <w:p w14:paraId="6A898452" w14:textId="2EE580D5" w:rsidR="000F18B0" w:rsidRDefault="000F18B0" w:rsidP="00F326E5">
      <w:pPr>
        <w:pStyle w:val="NoSpacing"/>
        <w:rPr>
          <w:rFonts w:ascii="Arial Black" w:hAnsi="Arial Black"/>
          <w:sz w:val="24"/>
          <w:szCs w:val="24"/>
        </w:rPr>
      </w:pPr>
    </w:p>
    <w:p w14:paraId="5EA4C568" w14:textId="77777777" w:rsidR="000F18B0" w:rsidRPr="00EC2027" w:rsidRDefault="000F18B0" w:rsidP="000F18B0">
      <w:pPr>
        <w:pStyle w:val="NoSpacing"/>
        <w:rPr>
          <w:rFonts w:ascii="Arial Black" w:hAnsi="Arial Black"/>
          <w:sz w:val="28"/>
          <w:szCs w:val="28"/>
        </w:rPr>
      </w:pPr>
      <w:bookmarkStart w:id="608" w:name="_Hlk39773080"/>
      <w:r>
        <w:rPr>
          <w:rFonts w:ascii="Arial Black" w:hAnsi="Arial Black"/>
          <w:sz w:val="28"/>
          <w:szCs w:val="28"/>
        </w:rPr>
        <w:t>MI: FIRED FOR MISCHARGING HRS, DOUBLE DIPPING – FF CLAIMS RETALIATION, VERY RELIGIOUS – CASE PROCEED</w:t>
      </w:r>
    </w:p>
    <w:p w14:paraId="72360989" w14:textId="77777777" w:rsidR="000F18B0" w:rsidRDefault="000F18B0" w:rsidP="000F18B0">
      <w:pPr>
        <w:pStyle w:val="NoSpacing"/>
        <w:rPr>
          <w:b/>
          <w:bCs/>
          <w:sz w:val="24"/>
          <w:szCs w:val="24"/>
        </w:rPr>
      </w:pPr>
    </w:p>
    <w:p w14:paraId="1E18B60C"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Nov. 22, 2019, in </w:t>
      </w:r>
      <w:r w:rsidRPr="00D61723">
        <w:rPr>
          <w:rFonts w:ascii="Times New Roman" w:hAnsi="Times New Roman"/>
          <w:bCs/>
          <w:sz w:val="24"/>
          <w:szCs w:val="24"/>
          <w:u w:val="single"/>
        </w:rPr>
        <w:t>Peter Hudson v. City of Highland Park, Michigan; Derek Hillman; Makini Jackson</w:t>
      </w:r>
      <w:r w:rsidRPr="00D61723">
        <w:rPr>
          <w:rFonts w:ascii="Times New Roman" w:hAnsi="Times New Roman"/>
          <w:bCs/>
          <w:sz w:val="24"/>
          <w:szCs w:val="24"/>
        </w:rPr>
        <w:t>,  the U.S. Court of Appeals for the 6</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Circuit, held (2 to 1) that FF may proceed in lawsuit against the Fire Chief for retaliation for exercising his free-speech rights, and after FF filed complaint with OSHA. “At any rate, the point, at least at the pleading stage, is one of inferences—that Hillman fired Hudson for reasons other than violating the fire station’s payroll polices. Not every allegation has to substantiate a plaintiff’s claim directly…. That’s why we have circumstantial evidence.” The majority, however, rejected his “hostile work atmosphere” Title VII claim. </w:t>
      </w:r>
    </w:p>
    <w:p w14:paraId="350CA5C7" w14:textId="77777777" w:rsidR="000F18B0" w:rsidRPr="00D61723" w:rsidRDefault="000F18B0" w:rsidP="000F18B0">
      <w:pPr>
        <w:pStyle w:val="NoSpacing"/>
        <w:rPr>
          <w:rFonts w:ascii="Times New Roman" w:hAnsi="Times New Roman"/>
          <w:b/>
          <w:bCs/>
          <w:sz w:val="24"/>
          <w:szCs w:val="24"/>
        </w:rPr>
      </w:pPr>
    </w:p>
    <w:p w14:paraId="37B6B646" w14:textId="5E2BC3CF" w:rsidR="000F18B0" w:rsidRDefault="000F18B0" w:rsidP="000F18B0">
      <w:pPr>
        <w:pStyle w:val="NoSpacing"/>
        <w:ind w:left="720"/>
        <w:rPr>
          <w:rFonts w:ascii="Times New Roman" w:hAnsi="Times New Roman"/>
          <w:bCs/>
          <w:sz w:val="24"/>
          <w:szCs w:val="24"/>
        </w:rPr>
      </w:pPr>
      <w:r w:rsidRPr="00D61723">
        <w:rPr>
          <w:rFonts w:ascii="Times New Roman" w:hAnsi="Times New Roman"/>
          <w:bCs/>
          <w:sz w:val="24"/>
          <w:szCs w:val="24"/>
        </w:rPr>
        <w:t xml:space="preserve">“For many people of faith, their religion is not an abstraction. It has consequences for how they behave and may require them to be witnesses and examples for their faith. That reality does not permit differential treatment of them because they criticize behavior on moral grounds stemming from religious </w:t>
      </w:r>
      <w:proofErr w:type="gramStart"/>
      <w:r w:rsidRPr="00D61723">
        <w:rPr>
          <w:rFonts w:ascii="Times New Roman" w:hAnsi="Times New Roman"/>
          <w:bCs/>
          <w:sz w:val="24"/>
          <w:szCs w:val="24"/>
        </w:rPr>
        <w:t>convictions</w:t>
      </w:r>
      <w:proofErr w:type="gramEnd"/>
      <w:r w:rsidRPr="00D61723">
        <w:rPr>
          <w:rFonts w:ascii="Times New Roman" w:hAnsi="Times New Roman"/>
          <w:bCs/>
          <w:sz w:val="24"/>
          <w:szCs w:val="24"/>
        </w:rPr>
        <w:t xml:space="preserve"> as </w:t>
      </w:r>
    </w:p>
    <w:p w14:paraId="777B7185"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opposed to moral grounds stemming from secular convictions. ‘Let firemen be firemen’ is not a cognizable defense to Title VII claims based on gender discrimination, race discrimination, or faith-based discrimination. Even so, Hudson’s disparate treatment claim fails at a minimum at the last step. He cannot show that the city’s justification for his discharge amounted to a pretextual basis for discriminating against him because of his faith. The fire department put forth a legitimate, non-discriminatory reason for treating Hudson differently. He falsified his </w:t>
      </w:r>
      <w:proofErr w:type="gramStart"/>
      <w:r w:rsidRPr="00D61723">
        <w:rPr>
          <w:rFonts w:ascii="Times New Roman" w:hAnsi="Times New Roman"/>
          <w:bCs/>
          <w:sz w:val="24"/>
          <w:szCs w:val="24"/>
        </w:rPr>
        <w:t>time-sheets</w:t>
      </w:r>
      <w:proofErr w:type="gramEnd"/>
      <w:r w:rsidRPr="00D61723">
        <w:rPr>
          <w:rFonts w:ascii="Times New Roman" w:hAnsi="Times New Roman"/>
          <w:bCs/>
          <w:sz w:val="24"/>
          <w:szCs w:val="24"/>
        </w:rPr>
        <w:t xml:space="preserve"> while other firefighters did not.”</w:t>
      </w:r>
    </w:p>
    <w:p w14:paraId="55BEF034" w14:textId="77777777" w:rsidR="000F18B0" w:rsidRPr="00D61723" w:rsidRDefault="000F18B0" w:rsidP="000F18B0">
      <w:pPr>
        <w:pStyle w:val="NoSpacing"/>
        <w:ind w:left="720"/>
        <w:rPr>
          <w:rFonts w:ascii="Times New Roman" w:hAnsi="Times New Roman"/>
          <w:b/>
          <w:bCs/>
          <w:sz w:val="24"/>
          <w:szCs w:val="24"/>
        </w:rPr>
      </w:pPr>
      <w:hyperlink r:id="rId2840" w:history="1">
        <w:r w:rsidRPr="00D61723">
          <w:rPr>
            <w:rStyle w:val="Hyperlink"/>
            <w:rFonts w:ascii="Times New Roman" w:hAnsi="Times New Roman"/>
            <w:b/>
            <w:sz w:val="24"/>
            <w:szCs w:val="24"/>
          </w:rPr>
          <w:t>https://www.opn.ca6.uscourts.gov/opinions.pdf/19a0286p-06.pdf</w:t>
        </w:r>
      </w:hyperlink>
      <w:r w:rsidRPr="00D61723">
        <w:rPr>
          <w:rFonts w:ascii="Times New Roman" w:hAnsi="Times New Roman"/>
          <w:bCs/>
          <w:sz w:val="24"/>
          <w:szCs w:val="24"/>
        </w:rPr>
        <w:t xml:space="preserve"> </w:t>
      </w:r>
    </w:p>
    <w:p w14:paraId="358C339C" w14:textId="77777777" w:rsidR="000F18B0" w:rsidRDefault="000F18B0" w:rsidP="00F326E5">
      <w:pPr>
        <w:pStyle w:val="NoSpacing"/>
        <w:rPr>
          <w:rFonts w:ascii="Arial Black" w:hAnsi="Arial Black"/>
          <w:sz w:val="24"/>
          <w:szCs w:val="24"/>
        </w:rPr>
      </w:pPr>
    </w:p>
    <w:bookmarkEnd w:id="608"/>
    <w:p w14:paraId="46B150E9"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
          <w:bCs/>
          <w:sz w:val="24"/>
          <w:szCs w:val="24"/>
        </w:rPr>
        <w:t>Legal Lessons Learned: If the allegations of on</w:t>
      </w:r>
      <w:r>
        <w:rPr>
          <w:rFonts w:ascii="Times New Roman" w:hAnsi="Times New Roman"/>
          <w:b/>
          <w:bCs/>
          <w:sz w:val="24"/>
          <w:szCs w:val="24"/>
        </w:rPr>
        <w:t xml:space="preserve"> </w:t>
      </w:r>
      <w:r w:rsidRPr="00D61723">
        <w:rPr>
          <w:rFonts w:ascii="Times New Roman" w:hAnsi="Times New Roman"/>
          <w:b/>
          <w:bCs/>
          <w:sz w:val="24"/>
          <w:szCs w:val="24"/>
        </w:rPr>
        <w:t xml:space="preserve">duty sex, pornography, and similar items are true, the FD needs new leadership. </w:t>
      </w:r>
    </w:p>
    <w:p w14:paraId="7D06FED1" w14:textId="3AB32090" w:rsidR="000F18B0" w:rsidRDefault="000F18B0" w:rsidP="00F326E5">
      <w:pPr>
        <w:pStyle w:val="NoSpacing"/>
        <w:rPr>
          <w:rFonts w:ascii="Arial Black" w:hAnsi="Arial Black"/>
          <w:sz w:val="24"/>
          <w:szCs w:val="24"/>
        </w:rPr>
      </w:pPr>
    </w:p>
    <w:p w14:paraId="04F50444" w14:textId="77777777" w:rsidR="000F18B0" w:rsidRDefault="000F18B0" w:rsidP="00F326E5">
      <w:pPr>
        <w:pStyle w:val="NoSpacing"/>
        <w:rPr>
          <w:rFonts w:ascii="Arial Black" w:hAnsi="Arial Black"/>
          <w:sz w:val="24"/>
          <w:szCs w:val="24"/>
        </w:rPr>
      </w:pPr>
    </w:p>
    <w:p w14:paraId="7E367CCF" w14:textId="516A7B3F" w:rsidR="0066298F" w:rsidRDefault="0066298F" w:rsidP="00F326E5">
      <w:pPr>
        <w:pStyle w:val="NoSpacing"/>
        <w:rPr>
          <w:rFonts w:ascii="Arial Black" w:hAnsi="Arial Black"/>
          <w:sz w:val="24"/>
          <w:szCs w:val="24"/>
        </w:rPr>
      </w:pPr>
      <w:r>
        <w:rPr>
          <w:rFonts w:ascii="Arial Black" w:hAnsi="Arial Black"/>
          <w:sz w:val="24"/>
          <w:szCs w:val="24"/>
        </w:rPr>
        <w:t>16-27</w:t>
      </w:r>
    </w:p>
    <w:p w14:paraId="6F23AF0E" w14:textId="46FF9C7A" w:rsidR="0066298F" w:rsidRDefault="0066298F" w:rsidP="00F326E5">
      <w:pPr>
        <w:pStyle w:val="NoSpacing"/>
        <w:rPr>
          <w:rFonts w:ascii="Arial Black" w:hAnsi="Arial Black"/>
          <w:sz w:val="24"/>
          <w:szCs w:val="24"/>
        </w:rPr>
      </w:pPr>
    </w:p>
    <w:p w14:paraId="3774EEE8" w14:textId="77777777" w:rsidR="0066298F" w:rsidRPr="002E0D86" w:rsidRDefault="0066298F" w:rsidP="0066298F">
      <w:pPr>
        <w:pStyle w:val="NoSpacing"/>
        <w:rPr>
          <w:rFonts w:ascii="Arial Black" w:hAnsi="Arial Black"/>
          <w:sz w:val="28"/>
          <w:szCs w:val="28"/>
        </w:rPr>
      </w:pPr>
      <w:r w:rsidRPr="002E0D86">
        <w:rPr>
          <w:rFonts w:ascii="Arial Black" w:hAnsi="Arial Black"/>
          <w:sz w:val="28"/>
          <w:szCs w:val="28"/>
        </w:rPr>
        <w:t xml:space="preserve">TN: </w:t>
      </w:r>
      <w:r>
        <w:rPr>
          <w:rFonts w:ascii="Arial Black" w:hAnsi="Arial Black"/>
          <w:sz w:val="28"/>
          <w:szCs w:val="28"/>
        </w:rPr>
        <w:t xml:space="preserve">FF OFF DUTY, POINTED FIREARM AT TWO MEN AT POLITICAL RALLY – FIRED - GIVEN “LOUDERMILL HEARING” BY FIRE CHIEF </w:t>
      </w:r>
    </w:p>
    <w:p w14:paraId="1BFDFEFE" w14:textId="77777777" w:rsidR="0066298F" w:rsidRDefault="0066298F" w:rsidP="0066298F">
      <w:pPr>
        <w:pStyle w:val="NoSpacing"/>
        <w:rPr>
          <w:b/>
          <w:bCs/>
          <w:sz w:val="24"/>
          <w:szCs w:val="24"/>
        </w:rPr>
      </w:pPr>
    </w:p>
    <w:p w14:paraId="7A2C1F66"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18, 2020, in </w:t>
      </w:r>
      <w:r w:rsidRPr="00665BD0">
        <w:rPr>
          <w:rFonts w:ascii="Times New Roman" w:hAnsi="Times New Roman"/>
          <w:bCs/>
          <w:sz w:val="24"/>
          <w:szCs w:val="24"/>
          <w:u w:val="single"/>
        </w:rPr>
        <w:t>Paul Zachary Moss v. Shelby County Civil Service Merit Board</w:t>
      </w:r>
      <w:r w:rsidRPr="00665BD0">
        <w:rPr>
          <w:rFonts w:ascii="Times New Roman" w:hAnsi="Times New Roman"/>
          <w:bCs/>
          <w:sz w:val="24"/>
          <w:szCs w:val="24"/>
        </w:rPr>
        <w:t xml:space="preserve">, the Supreme Court of Tennessee, at Jackson, held (5 to 0) that the FD provided due process to the firefighter, reversing the decision by the TN Court of Appeals.  In addition to the </w:t>
      </w:r>
      <w:proofErr w:type="gramStart"/>
      <w:r w:rsidRPr="00665BD0">
        <w:rPr>
          <w:rFonts w:ascii="Times New Roman" w:hAnsi="Times New Roman"/>
          <w:bCs/>
          <w:sz w:val="24"/>
          <w:szCs w:val="24"/>
        </w:rPr>
        <w:t>November,</w:t>
      </w:r>
      <w:proofErr w:type="gramEnd"/>
      <w:r w:rsidRPr="00665BD0">
        <w:rPr>
          <w:rFonts w:ascii="Times New Roman" w:hAnsi="Times New Roman"/>
          <w:bCs/>
          <w:sz w:val="24"/>
          <w:szCs w:val="24"/>
        </w:rPr>
        <w:t xml:space="preserve"> 2013 aggravated assault with firearm, the Fire Chief during the pre-termination </w:t>
      </w:r>
      <w:r w:rsidRPr="00665BD0">
        <w:rPr>
          <w:rFonts w:ascii="Times New Roman" w:hAnsi="Times New Roman"/>
          <w:bCs/>
          <w:i/>
          <w:iCs/>
          <w:sz w:val="24"/>
          <w:szCs w:val="24"/>
        </w:rPr>
        <w:t xml:space="preserve">Loudermill </w:t>
      </w:r>
      <w:r w:rsidRPr="00665BD0">
        <w:rPr>
          <w:rFonts w:ascii="Times New Roman" w:hAnsi="Times New Roman"/>
          <w:bCs/>
          <w:sz w:val="24"/>
          <w:szCs w:val="24"/>
        </w:rPr>
        <w:t>hearing also inquired about police records which showed that in March 2011, police arrested Mr. Moss on charges of public intoxication and possession of a firearm while under the influence of alcohol. Police records also showed that in October 2012, a police officer responded to a domestic violence call during which Mrs. Moss stated that Mr. Moss had assaulted her</w:t>
      </w:r>
      <w:r w:rsidRPr="00665BD0">
        <w:rPr>
          <w:rFonts w:ascii="Times New Roman" w:hAnsi="Times New Roman"/>
          <w:sz w:val="24"/>
          <w:szCs w:val="24"/>
        </w:rPr>
        <w:t>.</w:t>
      </w:r>
    </w:p>
    <w:p w14:paraId="09BD970D" w14:textId="77777777" w:rsidR="0066298F" w:rsidRDefault="0066298F" w:rsidP="0066298F">
      <w:pPr>
        <w:pStyle w:val="NoSpacing"/>
        <w:ind w:left="720"/>
        <w:rPr>
          <w:rFonts w:ascii="Times New Roman" w:hAnsi="Times New Roman"/>
          <w:bCs/>
          <w:sz w:val="24"/>
          <w:szCs w:val="24"/>
        </w:rPr>
      </w:pPr>
    </w:p>
    <w:p w14:paraId="49587F1A"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“Based on the pre-termination </w:t>
      </w:r>
      <w:r w:rsidRPr="00665BD0">
        <w:rPr>
          <w:rFonts w:ascii="Times New Roman" w:hAnsi="Times New Roman"/>
          <w:bCs/>
          <w:i/>
          <w:iCs/>
          <w:sz w:val="24"/>
          <w:szCs w:val="24"/>
        </w:rPr>
        <w:t xml:space="preserve">Loudermill </w:t>
      </w:r>
      <w:r w:rsidRPr="00665BD0">
        <w:rPr>
          <w:rFonts w:ascii="Times New Roman" w:hAnsi="Times New Roman"/>
          <w:bCs/>
          <w:sz w:val="24"/>
          <w:szCs w:val="24"/>
        </w:rPr>
        <w:t xml:space="preserve">notice, the questions during the </w:t>
      </w:r>
      <w:r w:rsidRPr="00665BD0">
        <w:rPr>
          <w:rFonts w:ascii="Times New Roman" w:hAnsi="Times New Roman"/>
          <w:bCs/>
          <w:i/>
          <w:iCs/>
          <w:sz w:val="24"/>
          <w:szCs w:val="24"/>
        </w:rPr>
        <w:t xml:space="preserve">Loudermill </w:t>
      </w:r>
      <w:r w:rsidRPr="00665BD0">
        <w:rPr>
          <w:rFonts w:ascii="Times New Roman" w:hAnsi="Times New Roman"/>
          <w:bCs/>
          <w:sz w:val="24"/>
          <w:szCs w:val="24"/>
        </w:rPr>
        <w:t xml:space="preserve">hearing, and the contents of the termination letter, we conclude that Mr. Moss had sufficient notice that his conduct during the November 2013 altercation and his answers about the 2011 and 2012 incidents were reasons for his termination. Mr. Moss received adequate notice of the factual allegations against him and had an opportunity to prepare for his hearing before the Board. His contention that the Fire Department violated his due process rights lacks merit.” </w:t>
      </w:r>
      <w:hyperlink r:id="rId2841" w:history="1">
        <w:r w:rsidRPr="00665BD0">
          <w:rPr>
            <w:rStyle w:val="Hyperlink"/>
            <w:rFonts w:ascii="Times New Roman" w:hAnsi="Times New Roman"/>
            <w:b/>
            <w:sz w:val="24"/>
            <w:szCs w:val="24"/>
          </w:rPr>
          <w:t>http://www.tncourts.gov/sites/default/files/moss.paul_.opn_.pdf</w:t>
        </w:r>
      </w:hyperlink>
      <w:r w:rsidRPr="00665BD0">
        <w:rPr>
          <w:rFonts w:ascii="Times New Roman" w:hAnsi="Times New Roman"/>
          <w:bCs/>
          <w:sz w:val="24"/>
          <w:szCs w:val="24"/>
        </w:rPr>
        <w:t xml:space="preserve"> </w:t>
      </w:r>
    </w:p>
    <w:p w14:paraId="5722DFD7" w14:textId="6BD9C000" w:rsidR="0066298F" w:rsidRDefault="0066298F" w:rsidP="00F326E5">
      <w:pPr>
        <w:pStyle w:val="NoSpacing"/>
        <w:rPr>
          <w:rFonts w:ascii="Arial Black" w:hAnsi="Arial Black"/>
          <w:sz w:val="24"/>
          <w:szCs w:val="24"/>
        </w:rPr>
      </w:pPr>
    </w:p>
    <w:p w14:paraId="0BADF1DA"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The FD wisely </w:t>
      </w:r>
      <w:r>
        <w:rPr>
          <w:rFonts w:ascii="Times New Roman" w:hAnsi="Times New Roman"/>
          <w:b/>
          <w:bCs/>
          <w:sz w:val="24"/>
          <w:szCs w:val="24"/>
        </w:rPr>
        <w:t xml:space="preserve">issued the firefighter </w:t>
      </w:r>
      <w:r w:rsidRPr="00665BD0">
        <w:rPr>
          <w:rFonts w:ascii="Times New Roman" w:hAnsi="Times New Roman"/>
          <w:b/>
          <w:bCs/>
          <w:sz w:val="24"/>
          <w:szCs w:val="24"/>
        </w:rPr>
        <w:t xml:space="preserve">a written notice of potential violations of FD </w:t>
      </w:r>
      <w:proofErr w:type="gramStart"/>
      <w:r w:rsidRPr="00665BD0">
        <w:rPr>
          <w:rFonts w:ascii="Times New Roman" w:hAnsi="Times New Roman"/>
          <w:b/>
          <w:bCs/>
          <w:sz w:val="24"/>
          <w:szCs w:val="24"/>
        </w:rPr>
        <w:t>policies, and</w:t>
      </w:r>
      <w:proofErr w:type="gramEnd"/>
      <w:r w:rsidRPr="00665BD0">
        <w:rPr>
          <w:rFonts w:ascii="Times New Roman" w:hAnsi="Times New Roman"/>
          <w:b/>
          <w:bCs/>
          <w:sz w:val="24"/>
          <w:szCs w:val="24"/>
        </w:rPr>
        <w:t xml:space="preserve"> </w:t>
      </w:r>
      <w:r>
        <w:rPr>
          <w:rFonts w:ascii="Times New Roman" w:hAnsi="Times New Roman"/>
          <w:b/>
          <w:bCs/>
          <w:sz w:val="24"/>
          <w:szCs w:val="24"/>
        </w:rPr>
        <w:t xml:space="preserve">provided </w:t>
      </w:r>
      <w:r w:rsidRPr="00665BD0">
        <w:rPr>
          <w:rFonts w:ascii="Times New Roman" w:hAnsi="Times New Roman"/>
          <w:b/>
          <w:bCs/>
          <w:sz w:val="24"/>
          <w:szCs w:val="24"/>
        </w:rPr>
        <w:t xml:space="preserve">a </w:t>
      </w:r>
      <w:r w:rsidRPr="00665BD0">
        <w:rPr>
          <w:rFonts w:ascii="Times New Roman" w:hAnsi="Times New Roman"/>
          <w:b/>
          <w:bCs/>
          <w:i/>
          <w:iCs/>
          <w:sz w:val="24"/>
          <w:szCs w:val="24"/>
        </w:rPr>
        <w:t xml:space="preserve">Loudermill </w:t>
      </w:r>
      <w:r w:rsidRPr="00665BD0">
        <w:rPr>
          <w:rFonts w:ascii="Times New Roman" w:hAnsi="Times New Roman"/>
          <w:b/>
          <w:bCs/>
          <w:sz w:val="24"/>
          <w:szCs w:val="24"/>
        </w:rPr>
        <w:t xml:space="preserve">meeting with the Fire Chief and Deputy Chief.  </w:t>
      </w:r>
    </w:p>
    <w:p w14:paraId="2B23E381" w14:textId="77777777" w:rsidR="0066298F" w:rsidRPr="00665BD0" w:rsidRDefault="0066298F" w:rsidP="0066298F">
      <w:pPr>
        <w:pStyle w:val="NoSpacing"/>
        <w:tabs>
          <w:tab w:val="left" w:pos="3270"/>
        </w:tabs>
        <w:rPr>
          <w:rFonts w:ascii="Times New Roman" w:hAnsi="Times New Roman"/>
          <w:b/>
          <w:bCs/>
          <w:sz w:val="24"/>
          <w:szCs w:val="24"/>
        </w:rPr>
      </w:pPr>
    </w:p>
    <w:p w14:paraId="1ADBA541" w14:textId="77777777" w:rsidR="0066298F" w:rsidRPr="006B490F" w:rsidRDefault="0066298F" w:rsidP="0066298F">
      <w:pPr>
        <w:pStyle w:val="NoSpacing"/>
        <w:rPr>
          <w:b/>
          <w:bCs/>
          <w:sz w:val="24"/>
          <w:szCs w:val="24"/>
        </w:rPr>
      </w:pPr>
    </w:p>
    <w:p w14:paraId="6A3B0A77" w14:textId="77777777" w:rsidR="0066298F" w:rsidRDefault="0066298F" w:rsidP="00F326E5">
      <w:pPr>
        <w:pStyle w:val="NoSpacing"/>
        <w:rPr>
          <w:rFonts w:ascii="Arial Black" w:hAnsi="Arial Black"/>
          <w:sz w:val="24"/>
          <w:szCs w:val="24"/>
        </w:rPr>
      </w:pPr>
    </w:p>
    <w:p w14:paraId="3651EEF2" w14:textId="6C4D3D71" w:rsidR="0066298F" w:rsidRDefault="0066298F" w:rsidP="00F326E5">
      <w:pPr>
        <w:pStyle w:val="NoSpacing"/>
        <w:rPr>
          <w:rFonts w:ascii="Arial Black" w:hAnsi="Arial Black"/>
          <w:sz w:val="24"/>
          <w:szCs w:val="24"/>
        </w:rPr>
      </w:pPr>
      <w:r>
        <w:rPr>
          <w:rFonts w:ascii="Arial Black" w:hAnsi="Arial Black"/>
          <w:sz w:val="24"/>
          <w:szCs w:val="24"/>
        </w:rPr>
        <w:t>16-26</w:t>
      </w:r>
    </w:p>
    <w:p w14:paraId="7CEC38C2" w14:textId="0D4A5CD2" w:rsidR="0066298F" w:rsidRDefault="0066298F" w:rsidP="00F326E5">
      <w:pPr>
        <w:pStyle w:val="NoSpacing"/>
        <w:rPr>
          <w:rFonts w:ascii="Arial Black" w:hAnsi="Arial Black"/>
          <w:sz w:val="24"/>
          <w:szCs w:val="24"/>
        </w:rPr>
      </w:pPr>
    </w:p>
    <w:p w14:paraId="04AEEBCE" w14:textId="77777777" w:rsidR="0066298F" w:rsidRPr="00186EE7" w:rsidRDefault="0066298F" w:rsidP="0066298F">
      <w:pPr>
        <w:pStyle w:val="NoSpacing"/>
        <w:rPr>
          <w:rFonts w:ascii="Arial Black" w:hAnsi="Arial Black"/>
          <w:b/>
          <w:bCs/>
          <w:sz w:val="28"/>
          <w:szCs w:val="28"/>
        </w:rPr>
      </w:pPr>
      <w:r>
        <w:rPr>
          <w:rFonts w:ascii="Arial Black" w:hAnsi="Arial Black"/>
          <w:bCs/>
          <w:sz w:val="28"/>
          <w:szCs w:val="28"/>
        </w:rPr>
        <w:t>IN: FF REPEATEDLY LATE FOR WORK &amp; ABSENT WITHOUT LEAVE – PROGRESSIVE DISCIPLINE – TERMINATION UPHELD</w:t>
      </w:r>
    </w:p>
    <w:p w14:paraId="4598FECC" w14:textId="77777777" w:rsidR="0066298F" w:rsidRDefault="0066298F" w:rsidP="0066298F">
      <w:pPr>
        <w:pStyle w:val="NoSpacing"/>
        <w:rPr>
          <w:b/>
          <w:bCs/>
          <w:sz w:val="24"/>
          <w:szCs w:val="24"/>
        </w:rPr>
      </w:pPr>
    </w:p>
    <w:p w14:paraId="1973C475"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6, 2020, in </w:t>
      </w:r>
      <w:r w:rsidRPr="00665BD0">
        <w:rPr>
          <w:rFonts w:ascii="Times New Roman" w:hAnsi="Times New Roman"/>
          <w:bCs/>
          <w:sz w:val="24"/>
          <w:szCs w:val="24"/>
          <w:u w:val="single"/>
        </w:rPr>
        <w:t>Kevin D. Jones v. City of Muncie Fire Merit Commission</w:t>
      </w:r>
      <w:r w:rsidRPr="00665BD0">
        <w:rPr>
          <w:rFonts w:ascii="Times New Roman" w:hAnsi="Times New Roman"/>
          <w:bCs/>
          <w:sz w:val="24"/>
          <w:szCs w:val="24"/>
        </w:rPr>
        <w:t xml:space="preserve">, the Court of Appeals of Indiana, held (3 to 0) that the trial court properly upheld the Commission. </w:t>
      </w:r>
    </w:p>
    <w:p w14:paraId="09448902" w14:textId="77777777" w:rsidR="0066298F" w:rsidRPr="00665BD0" w:rsidRDefault="0066298F" w:rsidP="0066298F">
      <w:pPr>
        <w:pStyle w:val="NoSpacing"/>
        <w:rPr>
          <w:rFonts w:ascii="Times New Roman" w:hAnsi="Times New Roman"/>
          <w:b/>
          <w:bCs/>
          <w:sz w:val="24"/>
          <w:szCs w:val="24"/>
        </w:rPr>
      </w:pPr>
    </w:p>
    <w:p w14:paraId="2548D6AA"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“We, therefore, conclude that there was substantial, relevant evidence presented to support the decision by the Commission to terminate Johanns’s employment. The evidence presented was sufficient to lead a reasonable person to support the conclusion to terminate the employment of Johanns, and the decision was not arbitrary and capricious. The trial court did not err in upholding the Commission’s decision. *** The Commission found that Johanns’s overall performance as a firefighter was poor, that he neglected his duties as a firefighter, disobeyed orders, and was absent without leave and concluded that Johanns’s employment should be terminated.” </w:t>
      </w:r>
      <w:hyperlink r:id="rId2842" w:history="1">
        <w:r w:rsidRPr="00665BD0">
          <w:rPr>
            <w:rStyle w:val="Hyperlink"/>
            <w:rFonts w:ascii="Times New Roman" w:hAnsi="Times New Roman"/>
            <w:b/>
            <w:sz w:val="24"/>
            <w:szCs w:val="24"/>
          </w:rPr>
          <w:t>https://www.in.gov/judiciary/opinions/pdf/03062003jsk.pdf</w:t>
        </w:r>
      </w:hyperlink>
      <w:r w:rsidRPr="00665BD0">
        <w:rPr>
          <w:rFonts w:ascii="Times New Roman" w:hAnsi="Times New Roman"/>
          <w:bCs/>
          <w:sz w:val="24"/>
          <w:szCs w:val="24"/>
        </w:rPr>
        <w:t xml:space="preserve"> </w:t>
      </w:r>
    </w:p>
    <w:p w14:paraId="60A80EB8" w14:textId="77777777" w:rsidR="0066298F" w:rsidRDefault="0066298F" w:rsidP="0066298F">
      <w:pPr>
        <w:pStyle w:val="NoSpacing"/>
        <w:rPr>
          <w:rFonts w:ascii="Times New Roman" w:hAnsi="Times New Roman"/>
          <w:b/>
          <w:bCs/>
          <w:sz w:val="24"/>
          <w:szCs w:val="24"/>
        </w:rPr>
      </w:pPr>
    </w:p>
    <w:p w14:paraId="00FEFEDF" w14:textId="3AC14E23"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The FD followed progressive </w:t>
      </w:r>
      <w:proofErr w:type="gramStart"/>
      <w:r w:rsidRPr="00665BD0">
        <w:rPr>
          <w:rFonts w:ascii="Times New Roman" w:hAnsi="Times New Roman"/>
          <w:b/>
          <w:bCs/>
          <w:sz w:val="24"/>
          <w:szCs w:val="24"/>
        </w:rPr>
        <w:t>discipline,</w:t>
      </w:r>
      <w:r w:rsidR="00B0089C">
        <w:rPr>
          <w:rFonts w:ascii="Times New Roman" w:hAnsi="Times New Roman"/>
          <w:b/>
          <w:bCs/>
          <w:sz w:val="24"/>
          <w:szCs w:val="24"/>
        </w:rPr>
        <w:t xml:space="preserve">  </w:t>
      </w:r>
      <w:r w:rsidRPr="00665BD0">
        <w:rPr>
          <w:rFonts w:ascii="Times New Roman" w:hAnsi="Times New Roman"/>
          <w:b/>
          <w:bCs/>
          <w:sz w:val="24"/>
          <w:szCs w:val="24"/>
        </w:rPr>
        <w:t>and</w:t>
      </w:r>
      <w:proofErr w:type="gramEnd"/>
      <w:r w:rsidRPr="00665BD0">
        <w:rPr>
          <w:rFonts w:ascii="Times New Roman" w:hAnsi="Times New Roman"/>
          <w:b/>
          <w:bCs/>
          <w:sz w:val="24"/>
          <w:szCs w:val="24"/>
        </w:rPr>
        <w:t xml:space="preserve"> documented </w:t>
      </w:r>
      <w:r>
        <w:rPr>
          <w:rFonts w:ascii="Times New Roman" w:hAnsi="Times New Roman"/>
          <w:b/>
          <w:bCs/>
          <w:sz w:val="24"/>
          <w:szCs w:val="24"/>
        </w:rPr>
        <w:t xml:space="preserve">the </w:t>
      </w:r>
      <w:r w:rsidRPr="00665BD0">
        <w:rPr>
          <w:rFonts w:ascii="Times New Roman" w:hAnsi="Times New Roman"/>
          <w:b/>
          <w:bCs/>
          <w:sz w:val="24"/>
          <w:szCs w:val="24"/>
        </w:rPr>
        <w:t xml:space="preserve">poor performance issues.   </w:t>
      </w:r>
    </w:p>
    <w:p w14:paraId="78D7AA58" w14:textId="77777777" w:rsidR="0066298F" w:rsidRDefault="0066298F" w:rsidP="00F326E5">
      <w:pPr>
        <w:pStyle w:val="NoSpacing"/>
        <w:rPr>
          <w:rFonts w:ascii="Arial Black" w:hAnsi="Arial Black"/>
          <w:sz w:val="24"/>
          <w:szCs w:val="24"/>
        </w:rPr>
      </w:pPr>
    </w:p>
    <w:p w14:paraId="7A92CDB5" w14:textId="5BD66274" w:rsidR="0066298F" w:rsidRDefault="0066298F" w:rsidP="00F326E5">
      <w:pPr>
        <w:pStyle w:val="NoSpacing"/>
        <w:rPr>
          <w:rFonts w:ascii="Arial Black" w:hAnsi="Arial Black"/>
          <w:sz w:val="24"/>
          <w:szCs w:val="24"/>
        </w:rPr>
      </w:pPr>
      <w:r>
        <w:rPr>
          <w:rFonts w:ascii="Arial Black" w:hAnsi="Arial Black"/>
          <w:sz w:val="24"/>
          <w:szCs w:val="24"/>
        </w:rPr>
        <w:t>16-25</w:t>
      </w:r>
    </w:p>
    <w:p w14:paraId="4A8BDF0C" w14:textId="72F8A034" w:rsidR="0066298F" w:rsidRDefault="0066298F" w:rsidP="00F326E5">
      <w:pPr>
        <w:pStyle w:val="NoSpacing"/>
        <w:rPr>
          <w:rFonts w:ascii="Arial Black" w:hAnsi="Arial Black"/>
          <w:sz w:val="24"/>
          <w:szCs w:val="24"/>
        </w:rPr>
      </w:pPr>
    </w:p>
    <w:p w14:paraId="04AE90C4" w14:textId="77777777" w:rsidR="0066298F" w:rsidRPr="005D736B" w:rsidRDefault="0066298F" w:rsidP="0066298F">
      <w:pPr>
        <w:pStyle w:val="NoSpacing"/>
        <w:rPr>
          <w:rFonts w:ascii="Arial Black" w:hAnsi="Arial Black"/>
          <w:sz w:val="28"/>
          <w:szCs w:val="28"/>
        </w:rPr>
      </w:pPr>
      <w:r w:rsidRPr="005D736B">
        <w:rPr>
          <w:rFonts w:ascii="Arial Black" w:hAnsi="Arial Black"/>
          <w:sz w:val="28"/>
          <w:szCs w:val="28"/>
        </w:rPr>
        <w:t xml:space="preserve">AR: </w:t>
      </w:r>
      <w:r>
        <w:rPr>
          <w:rFonts w:ascii="Arial Black" w:hAnsi="Arial Black"/>
          <w:sz w:val="28"/>
          <w:szCs w:val="28"/>
        </w:rPr>
        <w:t xml:space="preserve">PROB. </w:t>
      </w:r>
      <w:r w:rsidRPr="005D736B">
        <w:rPr>
          <w:rFonts w:ascii="Arial Black" w:hAnsi="Arial Black"/>
          <w:sz w:val="28"/>
          <w:szCs w:val="28"/>
        </w:rPr>
        <w:t>FF</w:t>
      </w:r>
      <w:r>
        <w:rPr>
          <w:rFonts w:ascii="Arial Black" w:hAnsi="Arial Black"/>
          <w:sz w:val="28"/>
          <w:szCs w:val="28"/>
        </w:rPr>
        <w:t xml:space="preserve"> – WARNED OF POOR JOB PERFORMANCE – FIRED – VERY WELL DOCUMENTED – </w:t>
      </w:r>
      <w:r w:rsidRPr="005D736B">
        <w:rPr>
          <w:rFonts w:ascii="Arial Black" w:hAnsi="Arial Black"/>
          <w:sz w:val="28"/>
          <w:szCs w:val="28"/>
        </w:rPr>
        <w:t>NO</w:t>
      </w:r>
      <w:r>
        <w:rPr>
          <w:rFonts w:ascii="Arial Black" w:hAnsi="Arial Black"/>
          <w:sz w:val="28"/>
          <w:szCs w:val="28"/>
        </w:rPr>
        <w:t xml:space="preserve"> RETALIATION FOR HIS WORK COMP CLAIM</w:t>
      </w:r>
      <w:r w:rsidRPr="005D736B">
        <w:rPr>
          <w:rFonts w:ascii="Arial Black" w:hAnsi="Arial Black"/>
          <w:sz w:val="28"/>
          <w:szCs w:val="28"/>
        </w:rPr>
        <w:t xml:space="preserve"> </w:t>
      </w:r>
      <w:r>
        <w:rPr>
          <w:rFonts w:ascii="Arial Black" w:hAnsi="Arial Black"/>
          <w:sz w:val="28"/>
          <w:szCs w:val="28"/>
        </w:rPr>
        <w:t xml:space="preserve"> </w:t>
      </w:r>
    </w:p>
    <w:p w14:paraId="37F46574" w14:textId="77777777" w:rsidR="0066298F" w:rsidRDefault="0066298F" w:rsidP="0066298F">
      <w:pPr>
        <w:pStyle w:val="NoSpacing"/>
      </w:pPr>
    </w:p>
    <w:p w14:paraId="35E4DA19"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5, 2020, in </w:t>
      </w:r>
      <w:r w:rsidRPr="00665BD0">
        <w:rPr>
          <w:rFonts w:ascii="Times New Roman" w:hAnsi="Times New Roman"/>
          <w:bCs/>
          <w:sz w:val="24"/>
          <w:szCs w:val="24"/>
          <w:u w:val="single"/>
        </w:rPr>
        <w:t>Michael Burroughs v. City of Tucson</w:t>
      </w:r>
      <w:r w:rsidRPr="00665BD0">
        <w:rPr>
          <w:rFonts w:ascii="Times New Roman" w:hAnsi="Times New Roman"/>
          <w:bCs/>
          <w:sz w:val="24"/>
          <w:szCs w:val="24"/>
        </w:rPr>
        <w:t xml:space="preserve">, the U.S. Court of Appeals for the Ninth Circuit (San Francisco), held (3 to 0) in an unpublished decision that the trial court properly granted summary judgment to the City.  He was repeated informed of his “Job </w:t>
      </w:r>
      <w:proofErr w:type="gramStart"/>
      <w:r w:rsidRPr="00665BD0">
        <w:rPr>
          <w:rFonts w:ascii="Times New Roman" w:hAnsi="Times New Roman"/>
          <w:bCs/>
          <w:sz w:val="24"/>
          <w:szCs w:val="24"/>
        </w:rPr>
        <w:t>In</w:t>
      </w:r>
      <w:proofErr w:type="gramEnd"/>
      <w:r w:rsidRPr="00665BD0">
        <w:rPr>
          <w:rFonts w:ascii="Times New Roman" w:hAnsi="Times New Roman"/>
          <w:bCs/>
          <w:sz w:val="24"/>
          <w:szCs w:val="24"/>
        </w:rPr>
        <w:t xml:space="preserve"> Jeopardy” status after barely graduating from the Training Academy. For example: “On or about October 19, 2015, Plaintiff was given TFD's Performance Evaluation for Probationary Firefighter. Plaintiff's evaluation indicated that he needed improvement on eight (8) out of seventeen (17) categories for which he was provided feedback.”  He was terminated on November 10, 2015 [don’t know when he filed Workers Comp claim.]</w:t>
      </w:r>
    </w:p>
    <w:p w14:paraId="278FCB73" w14:textId="77777777" w:rsidR="0066298F" w:rsidRPr="00665BD0" w:rsidRDefault="0066298F" w:rsidP="0066298F">
      <w:pPr>
        <w:pStyle w:val="NoSpacing"/>
        <w:rPr>
          <w:rFonts w:ascii="Times New Roman" w:hAnsi="Times New Roman"/>
          <w:b/>
          <w:bCs/>
          <w:sz w:val="24"/>
          <w:szCs w:val="24"/>
        </w:rPr>
      </w:pPr>
    </w:p>
    <w:p w14:paraId="5A1EC3A1" w14:textId="77777777" w:rsidR="0066298F" w:rsidRDefault="0066298F" w:rsidP="0066298F">
      <w:pPr>
        <w:pStyle w:val="NoSpacing"/>
        <w:ind w:left="720"/>
        <w:rPr>
          <w:rFonts w:ascii="Times New Roman" w:hAnsi="Times New Roman"/>
          <w:bCs/>
          <w:sz w:val="24"/>
          <w:szCs w:val="24"/>
        </w:rPr>
      </w:pPr>
      <w:r w:rsidRPr="00665BD0">
        <w:rPr>
          <w:rFonts w:ascii="Times New Roman" w:hAnsi="Times New Roman"/>
          <w:bCs/>
          <w:sz w:val="24"/>
          <w:szCs w:val="24"/>
        </w:rPr>
        <w:t>“Michael Burroughs appeals the adverse summary judgment in favor of the City of Tucson on his claims of disability discrimination in violation of Title I of the Americans with Disabilities Act,42 U.S.C.§§12111–</w:t>
      </w:r>
    </w:p>
    <w:p w14:paraId="6943D0F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12117 (“ADA”), and retaliation for exercising his workers’ compensation rights in violation of the Arizona Employment Protection Act, A.R.S.§23-1501(A)(3)(c)(iii). We have jurisdiction under 28 U.S.C.§1291, and we affirm.</w:t>
      </w:r>
    </w:p>
    <w:p w14:paraId="69B3F5D5" w14:textId="77777777" w:rsidR="0066298F" w:rsidRPr="00665BD0" w:rsidRDefault="0066298F" w:rsidP="0066298F">
      <w:pPr>
        <w:pStyle w:val="NoSpacing"/>
        <w:ind w:left="720"/>
        <w:rPr>
          <w:rFonts w:ascii="Times New Roman" w:hAnsi="Times New Roman"/>
          <w:b/>
          <w:bCs/>
          <w:sz w:val="24"/>
          <w:szCs w:val="24"/>
        </w:rPr>
      </w:pPr>
    </w:p>
    <w:p w14:paraId="37EADA60"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When Burroughs hurt his back at the fire academy, a </w:t>
      </w:r>
      <w:proofErr w:type="gramStart"/>
      <w:r w:rsidRPr="00665BD0">
        <w:rPr>
          <w:rFonts w:ascii="Times New Roman" w:hAnsi="Times New Roman"/>
          <w:bCs/>
          <w:sz w:val="24"/>
          <w:szCs w:val="24"/>
        </w:rPr>
        <w:t>City</w:t>
      </w:r>
      <w:proofErr w:type="gramEnd"/>
      <w:r w:rsidRPr="00665BD0">
        <w:rPr>
          <w:rFonts w:ascii="Times New Roman" w:hAnsi="Times New Roman"/>
          <w:bCs/>
          <w:sz w:val="24"/>
          <w:szCs w:val="24"/>
        </w:rPr>
        <w:t xml:space="preserve"> physician evaluated his injury, diagnosed him with a ‘lumbar strain,’ and released him back to work without restriction. Another City physician reached the same conclusion two days later when Burroughs complained of difficulty sitting. And finally, after yet another medical evaluation deeming him fit for duty, Burroughs graduated from the fire academy and started working at his first station. Faced with these medical opinions based on physical examinations, Burroughs’s only contrary evidence is his own conclusory self-assessment. Not quite a genuine factual dispute.”</w:t>
      </w:r>
    </w:p>
    <w:p w14:paraId="47C8613A" w14:textId="77777777" w:rsidR="0066298F" w:rsidRPr="00665BD0" w:rsidRDefault="0066298F" w:rsidP="0066298F">
      <w:pPr>
        <w:pStyle w:val="NoSpacing"/>
        <w:ind w:left="720"/>
        <w:rPr>
          <w:rFonts w:ascii="Times New Roman" w:hAnsi="Times New Roman"/>
          <w:b/>
          <w:bCs/>
          <w:sz w:val="24"/>
          <w:szCs w:val="24"/>
        </w:rPr>
      </w:pPr>
      <w:hyperlink r:id="rId2843" w:history="1">
        <w:r w:rsidRPr="00665BD0">
          <w:rPr>
            <w:rStyle w:val="Hyperlink"/>
            <w:rFonts w:ascii="Times New Roman" w:hAnsi="Times New Roman"/>
            <w:b/>
            <w:sz w:val="24"/>
            <w:szCs w:val="24"/>
          </w:rPr>
          <w:t>https://cases.justia.com/federal/appellate-courts/ca9/18-16994/18-16994-2020-03-05.pdf?ts=1583442068</w:t>
        </w:r>
      </w:hyperlink>
      <w:r w:rsidRPr="00665BD0">
        <w:rPr>
          <w:rFonts w:ascii="Times New Roman" w:hAnsi="Times New Roman"/>
          <w:bCs/>
          <w:sz w:val="24"/>
          <w:szCs w:val="24"/>
        </w:rPr>
        <w:t xml:space="preserve"> </w:t>
      </w:r>
    </w:p>
    <w:p w14:paraId="4726EAB8" w14:textId="6D46CB6E" w:rsidR="0066298F" w:rsidRDefault="0066298F" w:rsidP="00F326E5">
      <w:pPr>
        <w:pStyle w:val="NoSpacing"/>
        <w:rPr>
          <w:rFonts w:ascii="Arial Black" w:hAnsi="Arial Black"/>
          <w:sz w:val="24"/>
          <w:szCs w:val="24"/>
        </w:rPr>
      </w:pPr>
    </w:p>
    <w:p w14:paraId="10CDC48E" w14:textId="77777777" w:rsidR="0066298F" w:rsidRDefault="0066298F" w:rsidP="0066298F">
      <w:pPr>
        <w:pStyle w:val="NoSpacing"/>
        <w:rPr>
          <w:rFonts w:ascii="Times New Roman" w:eastAsia="Times New Roman" w:hAnsi="Times New Roman"/>
          <w:b/>
          <w:bCs/>
          <w:sz w:val="24"/>
          <w:szCs w:val="24"/>
        </w:rPr>
      </w:pPr>
      <w:r w:rsidRPr="00665BD0">
        <w:rPr>
          <w:rFonts w:ascii="Times New Roman" w:hAnsi="Times New Roman"/>
          <w:b/>
          <w:bCs/>
          <w:sz w:val="24"/>
          <w:szCs w:val="24"/>
        </w:rPr>
        <w:t xml:space="preserve">Legal Lessons Learned: The FD did a great job documenting </w:t>
      </w:r>
      <w:proofErr w:type="gramStart"/>
      <w:r w:rsidRPr="00665BD0">
        <w:rPr>
          <w:rFonts w:ascii="Times New Roman" w:hAnsi="Times New Roman"/>
          <w:b/>
          <w:bCs/>
          <w:sz w:val="24"/>
          <w:szCs w:val="24"/>
        </w:rPr>
        <w:t xml:space="preserve">the </w:t>
      </w:r>
      <w:r>
        <w:rPr>
          <w:rFonts w:ascii="Times New Roman" w:hAnsi="Times New Roman"/>
          <w:b/>
          <w:bCs/>
          <w:sz w:val="24"/>
          <w:szCs w:val="24"/>
        </w:rPr>
        <w:t>poor</w:t>
      </w:r>
      <w:proofErr w:type="gramEnd"/>
      <w:r>
        <w:rPr>
          <w:rFonts w:ascii="Times New Roman" w:hAnsi="Times New Roman"/>
          <w:b/>
          <w:bCs/>
          <w:sz w:val="24"/>
          <w:szCs w:val="24"/>
        </w:rPr>
        <w:t xml:space="preserve"> work performance. </w:t>
      </w:r>
    </w:p>
    <w:p w14:paraId="4FF7213D" w14:textId="77777777" w:rsidR="0066298F" w:rsidRDefault="0066298F" w:rsidP="00F326E5">
      <w:pPr>
        <w:pStyle w:val="NoSpacing"/>
        <w:rPr>
          <w:rFonts w:ascii="Arial Black" w:hAnsi="Arial Black"/>
          <w:sz w:val="24"/>
          <w:szCs w:val="24"/>
        </w:rPr>
      </w:pPr>
    </w:p>
    <w:p w14:paraId="7B8856C3" w14:textId="77777777" w:rsidR="0066298F" w:rsidRDefault="0066298F" w:rsidP="00F326E5">
      <w:pPr>
        <w:pStyle w:val="NoSpacing"/>
        <w:rPr>
          <w:rFonts w:ascii="Arial Black" w:hAnsi="Arial Black"/>
          <w:sz w:val="24"/>
          <w:szCs w:val="24"/>
        </w:rPr>
      </w:pPr>
    </w:p>
    <w:p w14:paraId="6D513E6E" w14:textId="6CEA81F4" w:rsidR="007A1E7A" w:rsidRDefault="007A1E7A" w:rsidP="00F326E5">
      <w:pPr>
        <w:pStyle w:val="NoSpacing"/>
        <w:rPr>
          <w:rFonts w:ascii="Arial Black" w:hAnsi="Arial Black"/>
          <w:sz w:val="24"/>
          <w:szCs w:val="24"/>
        </w:rPr>
      </w:pPr>
      <w:r>
        <w:rPr>
          <w:rFonts w:ascii="Arial Black" w:hAnsi="Arial Black"/>
          <w:sz w:val="24"/>
          <w:szCs w:val="24"/>
        </w:rPr>
        <w:t>16-24</w:t>
      </w:r>
    </w:p>
    <w:p w14:paraId="62B045D2" w14:textId="2D785B8D" w:rsidR="007A1E7A" w:rsidRDefault="007A1E7A" w:rsidP="00F326E5">
      <w:pPr>
        <w:pStyle w:val="NoSpacing"/>
        <w:rPr>
          <w:rFonts w:ascii="Arial Black" w:hAnsi="Arial Black"/>
          <w:sz w:val="24"/>
          <w:szCs w:val="24"/>
        </w:rPr>
      </w:pPr>
    </w:p>
    <w:p w14:paraId="73E22A4B" w14:textId="77777777" w:rsidR="007A1E7A" w:rsidRPr="00C34E57" w:rsidRDefault="007A1E7A" w:rsidP="007A1E7A">
      <w:pPr>
        <w:pStyle w:val="NoSpacing"/>
        <w:rPr>
          <w:rFonts w:ascii="Arial Black" w:hAnsi="Arial Black"/>
          <w:sz w:val="28"/>
          <w:szCs w:val="28"/>
        </w:rPr>
      </w:pPr>
      <w:r w:rsidRPr="00C34E57">
        <w:rPr>
          <w:rFonts w:ascii="Arial Black" w:hAnsi="Arial Black"/>
          <w:sz w:val="28"/>
          <w:szCs w:val="28"/>
        </w:rPr>
        <w:t xml:space="preserve">MI: </w:t>
      </w:r>
      <w:r>
        <w:rPr>
          <w:rFonts w:ascii="Arial Black" w:hAnsi="Arial Black"/>
          <w:sz w:val="28"/>
          <w:szCs w:val="28"/>
        </w:rPr>
        <w:t>POLICE CHIEF FIRED – MERGER TWO 911 SYSTEMS - POSTED TAXPAYERS “GETTING THE SHAFT” –– LAWSUIT TO PROCEED</w:t>
      </w:r>
    </w:p>
    <w:p w14:paraId="467D7DA6" w14:textId="77777777" w:rsidR="007A1E7A" w:rsidRPr="004B30C8" w:rsidRDefault="007A1E7A" w:rsidP="007A1E7A">
      <w:pPr>
        <w:spacing w:before="100" w:beforeAutospacing="1" w:after="100" w:afterAutospacing="1" w:line="240" w:lineRule="auto"/>
        <w:rPr>
          <w:rFonts w:ascii="Times New Roman" w:hAnsi="Times New Roman"/>
          <w:sz w:val="24"/>
          <w:szCs w:val="24"/>
        </w:rPr>
      </w:pPr>
      <w:r w:rsidRPr="004B30C8">
        <w:rPr>
          <w:rFonts w:ascii="Times New Roman" w:eastAsia="Times New Roman" w:hAnsi="Times New Roman"/>
          <w:sz w:val="24"/>
          <w:szCs w:val="24"/>
        </w:rPr>
        <w:t xml:space="preserve">On March 2, 2020, in </w:t>
      </w:r>
      <w:r w:rsidRPr="004B30C8">
        <w:rPr>
          <w:rFonts w:ascii="Times New Roman" w:eastAsia="Times New Roman" w:hAnsi="Times New Roman"/>
          <w:sz w:val="24"/>
          <w:szCs w:val="24"/>
          <w:u w:val="single"/>
        </w:rPr>
        <w:t>Chad Hayse v. City of Melvindale</w:t>
      </w:r>
      <w:r w:rsidRPr="004B30C8">
        <w:rPr>
          <w:rFonts w:ascii="Times New Roman" w:eastAsia="Times New Roman" w:hAnsi="Times New Roman"/>
          <w:sz w:val="24"/>
          <w:szCs w:val="24"/>
        </w:rPr>
        <w:t xml:space="preserve">, U.S. District Court Judge </w:t>
      </w:r>
      <w:r w:rsidRPr="004B30C8">
        <w:rPr>
          <w:rFonts w:ascii="Times New Roman" w:hAnsi="Times New Roman"/>
          <w:sz w:val="24"/>
          <w:szCs w:val="24"/>
        </w:rPr>
        <w:t xml:space="preserve">Linda V. Parker, Eastern District of Michigan (Southern Division) denied the City’s motion for summary judgment. The City fired the Police Chief after he posted comments on Facebook page in opposition to the merger of the City’s 911 dispatch with the City of Dearborn’s dispatch; hot issue on which the City Council of Melvindale was going to soon vote. </w:t>
      </w:r>
    </w:p>
    <w:p w14:paraId="574A33A0" w14:textId="77777777" w:rsidR="007A1E7A" w:rsidRPr="004B30C8" w:rsidRDefault="007A1E7A" w:rsidP="007A1E7A">
      <w:pPr>
        <w:pStyle w:val="NoSpacing"/>
        <w:ind w:left="720"/>
        <w:rPr>
          <w:rFonts w:ascii="Times New Roman" w:eastAsia="Times New Roman" w:hAnsi="Times New Roman"/>
          <w:sz w:val="24"/>
          <w:szCs w:val="24"/>
        </w:rPr>
      </w:pPr>
      <w:r w:rsidRPr="004B30C8">
        <w:rPr>
          <w:rFonts w:ascii="Times New Roman" w:hAnsi="Times New Roman"/>
          <w:bCs/>
          <w:sz w:val="24"/>
          <w:szCs w:val="24"/>
        </w:rPr>
        <w:t xml:space="preserve">“In 2016, City Council readied itself to vote on the proposed merger of Melvindale's and the City of Dearborn's police dispatch systems. Discussions and debates abounded in public meetings, several of which were held over a two-month period. *** </w:t>
      </w:r>
      <w:r w:rsidRPr="004B30C8">
        <w:rPr>
          <w:rFonts w:ascii="Times New Roman" w:eastAsia="Times New Roman" w:hAnsi="Times New Roman"/>
          <w:bCs/>
          <w:sz w:val="24"/>
          <w:szCs w:val="24"/>
        </w:rPr>
        <w:t>Based on the record, the Court is unable to conclude that Defendants reasonably predicted that the ‘shaft’ comment would cause disruption within the police department. One reason is that the "shaft" comment did not contain ‘particularly inflammatory</w:t>
      </w:r>
      <w:proofErr w:type="gramStart"/>
      <w:r w:rsidRPr="004B30C8">
        <w:rPr>
          <w:rFonts w:ascii="Times New Roman" w:eastAsia="Times New Roman" w:hAnsi="Times New Roman"/>
          <w:bCs/>
          <w:sz w:val="24"/>
          <w:szCs w:val="24"/>
        </w:rPr>
        <w:t>,’ ‘</w:t>
      </w:r>
      <w:proofErr w:type="gramEnd"/>
      <w:r w:rsidRPr="004B30C8">
        <w:rPr>
          <w:rFonts w:ascii="Times New Roman" w:eastAsia="Times New Roman" w:hAnsi="Times New Roman"/>
          <w:bCs/>
          <w:sz w:val="24"/>
          <w:szCs w:val="24"/>
        </w:rPr>
        <w:t xml:space="preserve">abusive,’ or ‘exceptionally insulting’ language that could stir controversy among members of the police department. </w:t>
      </w:r>
      <w:r w:rsidRPr="004B30C8">
        <w:rPr>
          <w:rFonts w:ascii="Times New Roman" w:eastAsia="Times New Roman" w:hAnsi="Times New Roman"/>
          <w:bCs/>
          <w:i/>
          <w:iCs/>
          <w:sz w:val="24"/>
          <w:szCs w:val="24"/>
        </w:rPr>
        <w:t>See Rodgers</w:t>
      </w:r>
      <w:r w:rsidRPr="004B30C8">
        <w:rPr>
          <w:rFonts w:ascii="Times New Roman" w:eastAsia="Times New Roman" w:hAnsi="Times New Roman"/>
          <w:bCs/>
          <w:sz w:val="24"/>
          <w:szCs w:val="24"/>
        </w:rPr>
        <w:t xml:space="preserve">, 344 F.3d at 601. Another reason is that the public's reaction to the ‘shaft’ comment, as detailed in Defendants' arguments, provides little insight into what predictions Defendants made about how the comment would disrupt the police department. Accordingly, the Court finds that the balancing test weighs in Plaintiff's favor and the ‘shaft’ comment was constitutionally protected activity.” </w:t>
      </w:r>
      <w:hyperlink r:id="rId2844" w:history="1">
        <w:r w:rsidRPr="004B30C8">
          <w:rPr>
            <w:rStyle w:val="Hyperlink"/>
            <w:rFonts w:ascii="Times New Roman" w:eastAsia="Times New Roman" w:hAnsi="Times New Roman"/>
            <w:bCs/>
            <w:sz w:val="24"/>
            <w:szCs w:val="24"/>
          </w:rPr>
          <w:t>https://public.fastcase.com/Wl%2B2t%2BeVuI35%2FN70vAMFZsbNGaY2qJ5U2CI4LnVCoihkt6wfuyNvOKbs8su8KP1J</w:t>
        </w:r>
      </w:hyperlink>
      <w:r w:rsidRPr="004B30C8">
        <w:rPr>
          <w:rFonts w:ascii="Times New Roman" w:eastAsia="Times New Roman" w:hAnsi="Times New Roman"/>
          <w:sz w:val="24"/>
          <w:szCs w:val="24"/>
        </w:rPr>
        <w:t xml:space="preserve"> </w:t>
      </w:r>
    </w:p>
    <w:p w14:paraId="7D5D0051" w14:textId="511A75DF" w:rsidR="007A1E7A" w:rsidRDefault="007A1E7A" w:rsidP="00F326E5">
      <w:pPr>
        <w:pStyle w:val="NoSpacing"/>
        <w:rPr>
          <w:rFonts w:ascii="Arial Black" w:hAnsi="Arial Black"/>
          <w:sz w:val="24"/>
          <w:szCs w:val="24"/>
        </w:rPr>
      </w:pPr>
    </w:p>
    <w:p w14:paraId="5957F815" w14:textId="77777777" w:rsidR="007A1E7A" w:rsidRPr="004B30C8" w:rsidRDefault="007A1E7A" w:rsidP="007A1E7A">
      <w:pPr>
        <w:pStyle w:val="NoSpacing"/>
        <w:rPr>
          <w:rFonts w:ascii="Times New Roman" w:hAnsi="Times New Roman"/>
          <w:b/>
          <w:bCs/>
          <w:sz w:val="24"/>
          <w:szCs w:val="24"/>
        </w:rPr>
      </w:pPr>
      <w:r w:rsidRPr="004B30C8">
        <w:rPr>
          <w:rFonts w:ascii="Times New Roman" w:hAnsi="Times New Roman"/>
          <w:b/>
          <w:bCs/>
          <w:sz w:val="24"/>
          <w:szCs w:val="24"/>
        </w:rPr>
        <w:t xml:space="preserve">Legal Lessons Learned: Emergency responders, including Fire &amp; EMS, must be very cautious posting comments on any internal FD issues.  In this case, the issue was clearly </w:t>
      </w:r>
      <w:proofErr w:type="gramStart"/>
      <w:r w:rsidRPr="004B30C8">
        <w:rPr>
          <w:rFonts w:ascii="Times New Roman" w:hAnsi="Times New Roman"/>
          <w:b/>
          <w:bCs/>
          <w:sz w:val="24"/>
          <w:szCs w:val="24"/>
        </w:rPr>
        <w:t>an</w:t>
      </w:r>
      <w:proofErr w:type="gramEnd"/>
      <w:r w:rsidRPr="004B30C8">
        <w:rPr>
          <w:rFonts w:ascii="Times New Roman" w:hAnsi="Times New Roman"/>
          <w:b/>
          <w:bCs/>
          <w:sz w:val="24"/>
          <w:szCs w:val="24"/>
        </w:rPr>
        <w:t xml:space="preserve">  public matter, and the Court reviewed the U.S. Supreme Court’s “balancing test” and the fact that the Facebook post “was one of many made on a Facebook page visited by many Melvindale residents.”</w:t>
      </w:r>
    </w:p>
    <w:p w14:paraId="7F28BFEE" w14:textId="77777777" w:rsidR="007A1E7A" w:rsidRDefault="007A1E7A" w:rsidP="00F326E5">
      <w:pPr>
        <w:pStyle w:val="NoSpacing"/>
        <w:rPr>
          <w:rFonts w:ascii="Arial Black" w:hAnsi="Arial Black"/>
          <w:sz w:val="24"/>
          <w:szCs w:val="24"/>
        </w:rPr>
      </w:pPr>
    </w:p>
    <w:p w14:paraId="290216E9" w14:textId="77777777" w:rsidR="007A1E7A" w:rsidRDefault="007A1E7A" w:rsidP="00F326E5">
      <w:pPr>
        <w:pStyle w:val="NoSpacing"/>
        <w:rPr>
          <w:rFonts w:ascii="Arial Black" w:hAnsi="Arial Black"/>
          <w:sz w:val="24"/>
          <w:szCs w:val="24"/>
        </w:rPr>
      </w:pPr>
    </w:p>
    <w:p w14:paraId="68D12EC1" w14:textId="1F73654E" w:rsidR="00021E64" w:rsidRDefault="00021E64" w:rsidP="00F326E5">
      <w:pPr>
        <w:pStyle w:val="NoSpacing"/>
        <w:rPr>
          <w:rFonts w:ascii="Arial Black" w:hAnsi="Arial Black"/>
          <w:sz w:val="24"/>
          <w:szCs w:val="24"/>
        </w:rPr>
      </w:pPr>
      <w:r>
        <w:rPr>
          <w:rFonts w:ascii="Arial Black" w:hAnsi="Arial Black"/>
          <w:sz w:val="24"/>
          <w:szCs w:val="24"/>
        </w:rPr>
        <w:t>16-23</w:t>
      </w:r>
    </w:p>
    <w:p w14:paraId="4E62F865" w14:textId="77777777" w:rsidR="00021E64" w:rsidRDefault="00021E64" w:rsidP="00021E64">
      <w:pPr>
        <w:spacing w:before="100" w:beforeAutospacing="1" w:after="100" w:afterAutospacing="1"/>
        <w:rPr>
          <w:rFonts w:ascii="Arial Black" w:eastAsia="Times New Roman" w:hAnsi="Arial Black"/>
          <w:b/>
          <w:sz w:val="28"/>
          <w:szCs w:val="28"/>
        </w:rPr>
      </w:pPr>
      <w:r w:rsidRPr="002F5F03">
        <w:rPr>
          <w:rFonts w:ascii="Arial Black" w:eastAsia="Times New Roman" w:hAnsi="Arial Black"/>
          <w:sz w:val="28"/>
          <w:szCs w:val="28"/>
        </w:rPr>
        <w:t xml:space="preserve">TX: </w:t>
      </w:r>
      <w:r>
        <w:rPr>
          <w:rFonts w:ascii="Arial Black" w:eastAsia="Times New Roman" w:hAnsi="Arial Black"/>
          <w:sz w:val="28"/>
          <w:szCs w:val="28"/>
        </w:rPr>
        <w:t xml:space="preserve"> OFF-DUTY FF SLAPPED 70+ YEAR OLD, COMPLAINED FF’S KIDS BLOCKING VIEW – HEARING OFFICER REVERSED TERMINATION </w:t>
      </w:r>
    </w:p>
    <w:p w14:paraId="45E01B93" w14:textId="77777777" w:rsidR="00021E64" w:rsidRPr="00614DDC" w:rsidRDefault="00021E64" w:rsidP="00021E64">
      <w:pPr>
        <w:spacing w:before="100" w:beforeAutospacing="1" w:after="100" w:afterAutospacing="1"/>
        <w:rPr>
          <w:rFonts w:ascii="Times New Roman" w:eastAsia="Times New Roman" w:hAnsi="Times New Roman"/>
          <w:b/>
          <w:sz w:val="24"/>
          <w:szCs w:val="24"/>
        </w:rPr>
      </w:pPr>
      <w:r w:rsidRPr="00614DDC">
        <w:rPr>
          <w:rFonts w:ascii="Times New Roman" w:eastAsia="Times New Roman" w:hAnsi="Times New Roman"/>
          <w:sz w:val="24"/>
          <w:szCs w:val="24"/>
        </w:rPr>
        <w:t xml:space="preserve">On Jan. 23, 2020, in </w:t>
      </w:r>
      <w:r w:rsidRPr="00614DDC">
        <w:rPr>
          <w:rFonts w:ascii="Times New Roman" w:eastAsia="Times New Roman" w:hAnsi="Times New Roman"/>
          <w:sz w:val="24"/>
          <w:szCs w:val="24"/>
          <w:u w:val="single"/>
        </w:rPr>
        <w:t>City of Fort Worth v. Shea O’Neill</w:t>
      </w:r>
      <w:r w:rsidRPr="00614DDC">
        <w:rPr>
          <w:rFonts w:ascii="Times New Roman" w:eastAsia="Times New Roman" w:hAnsi="Times New Roman"/>
          <w:sz w:val="24"/>
          <w:szCs w:val="24"/>
        </w:rPr>
        <w:t xml:space="preserve">, Court of Appeals for Second Appellate District of Texas at Fort Worth (vote 3 to 0), rejected the City’s appeal from the Hearing Officer’s finding that firefighters due process rights were violated when FD internal affairs failed to conduct an adequate internal investigation.  Case </w:t>
      </w:r>
      <w:proofErr w:type="gramStart"/>
      <w:r w:rsidRPr="00614DDC">
        <w:rPr>
          <w:rFonts w:ascii="Times New Roman" w:eastAsia="Times New Roman" w:hAnsi="Times New Roman"/>
          <w:sz w:val="24"/>
          <w:szCs w:val="24"/>
        </w:rPr>
        <w:t>remanded</w:t>
      </w:r>
      <w:proofErr w:type="gramEnd"/>
      <w:r w:rsidRPr="00614DDC">
        <w:rPr>
          <w:rFonts w:ascii="Times New Roman" w:eastAsia="Times New Roman" w:hAnsi="Times New Roman"/>
          <w:sz w:val="24"/>
          <w:szCs w:val="24"/>
        </w:rPr>
        <w:t xml:space="preserve"> to trial court, however, on whether Hearing Officer improperly conducted Internet search about medication victim uses [aspirin and Lipitor] that could cause nosebleed.  </w:t>
      </w:r>
    </w:p>
    <w:p w14:paraId="40DBE167" w14:textId="418EAAEC" w:rsidR="00021E64" w:rsidRDefault="00021E64" w:rsidP="00021E64">
      <w:pPr>
        <w:pStyle w:val="NoSpacing"/>
        <w:rPr>
          <w:rFonts w:ascii="Arial Black" w:hAnsi="Arial Black"/>
          <w:sz w:val="24"/>
          <w:szCs w:val="24"/>
        </w:rPr>
      </w:pPr>
      <w:r w:rsidRPr="00614DDC">
        <w:rPr>
          <w:rFonts w:ascii="Times New Roman" w:eastAsia="Times New Roman" w:hAnsi="Times New Roman"/>
          <w:sz w:val="24"/>
          <w:szCs w:val="24"/>
        </w:rPr>
        <w:t xml:space="preserve">“In support of its appellate issue, the City first asserts that the hearing examiner's decision was procured by unlawful means because she relied on evidence not presented at the hearing—specifically, her independent Internet research on the side effects of aspirin and Lipitor, both of which Woods testified to taking daily. According to the hearing examiner's research, both medications can cause ‘unusual bleeding,’ and Lipitor can ‘specifically cause nosebleed.’” </w:t>
      </w:r>
      <w:hyperlink r:id="rId2845" w:history="1">
        <w:r w:rsidRPr="00614DDC">
          <w:rPr>
            <w:rStyle w:val="Hyperlink"/>
            <w:rFonts w:ascii="Times New Roman" w:hAnsi="Times New Roman"/>
            <w:b/>
            <w:sz w:val="24"/>
            <w:szCs w:val="24"/>
          </w:rPr>
          <w:t>https://public.fastcase.com/Wl%2B2t%2BeVuI35%2FN70vAMFZlZAOd3Yf30gW5GUDA4he8qcwsisxdvBFlR%2Bm9b1UDwt</w:t>
        </w:r>
      </w:hyperlink>
    </w:p>
    <w:p w14:paraId="7EAECEF3" w14:textId="77777777" w:rsidR="00021E64" w:rsidRPr="00614DDC" w:rsidRDefault="00021E64" w:rsidP="00021E64">
      <w:pPr>
        <w:pStyle w:val="NormalWeb"/>
        <w:tabs>
          <w:tab w:val="left" w:pos="2930"/>
        </w:tabs>
        <w:rPr>
          <w:b/>
          <w:bCs/>
        </w:rPr>
      </w:pPr>
      <w:r w:rsidRPr="00614DDC">
        <w:rPr>
          <w:b/>
          <w:bCs/>
        </w:rPr>
        <w:t xml:space="preserve">Legal Lessons Learned:  Courts are </w:t>
      </w:r>
      <w:r>
        <w:rPr>
          <w:b/>
          <w:bCs/>
        </w:rPr>
        <w:t xml:space="preserve">very </w:t>
      </w:r>
      <w:r w:rsidRPr="00614DDC">
        <w:rPr>
          <w:b/>
          <w:bCs/>
        </w:rPr>
        <w:t>reluctant to overturn decision</w:t>
      </w:r>
      <w:r>
        <w:rPr>
          <w:b/>
          <w:bCs/>
        </w:rPr>
        <w:t xml:space="preserve"> of a </w:t>
      </w:r>
      <w:r w:rsidRPr="00614DDC">
        <w:rPr>
          <w:b/>
          <w:bCs/>
        </w:rPr>
        <w:t>Civil Service hearing officer</w:t>
      </w:r>
      <w:r>
        <w:rPr>
          <w:b/>
          <w:bCs/>
        </w:rPr>
        <w:t xml:space="preserve">, who has conducted the hearings and personally observe the witnesses. </w:t>
      </w:r>
      <w:r w:rsidRPr="00614DDC">
        <w:rPr>
          <w:b/>
          <w:bCs/>
        </w:rPr>
        <w:t xml:space="preserve"> </w:t>
      </w:r>
    </w:p>
    <w:p w14:paraId="3C86B204" w14:textId="77777777" w:rsidR="00021E64" w:rsidRDefault="00021E64" w:rsidP="00F326E5">
      <w:pPr>
        <w:pStyle w:val="NoSpacing"/>
        <w:rPr>
          <w:rFonts w:ascii="Arial Black" w:hAnsi="Arial Black"/>
          <w:sz w:val="24"/>
          <w:szCs w:val="24"/>
        </w:rPr>
      </w:pPr>
    </w:p>
    <w:p w14:paraId="2EDF681E" w14:textId="77777777" w:rsidR="00021E64" w:rsidRDefault="00021E64" w:rsidP="00F326E5">
      <w:pPr>
        <w:pStyle w:val="NoSpacing"/>
        <w:rPr>
          <w:rFonts w:ascii="Arial Black" w:hAnsi="Arial Black"/>
          <w:sz w:val="24"/>
          <w:szCs w:val="24"/>
        </w:rPr>
      </w:pPr>
    </w:p>
    <w:p w14:paraId="57695355" w14:textId="77777777" w:rsidR="00021E64" w:rsidRDefault="00021E64" w:rsidP="00F326E5">
      <w:pPr>
        <w:pStyle w:val="NoSpacing"/>
        <w:rPr>
          <w:rFonts w:ascii="Arial Black" w:hAnsi="Arial Black"/>
          <w:sz w:val="24"/>
          <w:szCs w:val="24"/>
        </w:rPr>
      </w:pPr>
    </w:p>
    <w:p w14:paraId="36DB57C0" w14:textId="4BAA180C" w:rsidR="00297434" w:rsidRDefault="00420322" w:rsidP="00F326E5">
      <w:pPr>
        <w:pStyle w:val="NoSpacing"/>
        <w:rPr>
          <w:rFonts w:ascii="Arial Black" w:hAnsi="Arial Black"/>
          <w:sz w:val="24"/>
          <w:szCs w:val="24"/>
        </w:rPr>
      </w:pPr>
      <w:r>
        <w:rPr>
          <w:rFonts w:ascii="Arial Black" w:hAnsi="Arial Black"/>
          <w:sz w:val="24"/>
          <w:szCs w:val="24"/>
        </w:rPr>
        <w:t>16-22</w:t>
      </w:r>
    </w:p>
    <w:p w14:paraId="01CF9D83" w14:textId="14DA602B" w:rsidR="00420322" w:rsidRDefault="00420322" w:rsidP="00F326E5">
      <w:pPr>
        <w:pStyle w:val="NoSpacing"/>
        <w:rPr>
          <w:rFonts w:ascii="Arial Black" w:hAnsi="Arial Black"/>
          <w:sz w:val="24"/>
          <w:szCs w:val="24"/>
        </w:rPr>
      </w:pPr>
    </w:p>
    <w:p w14:paraId="77B7DDAB" w14:textId="77777777" w:rsidR="00420322" w:rsidRPr="00A8607B" w:rsidRDefault="00420322" w:rsidP="00420322">
      <w:pPr>
        <w:rPr>
          <w:rFonts w:ascii="Arial Black" w:hAnsi="Arial Black"/>
          <w:sz w:val="28"/>
          <w:szCs w:val="28"/>
        </w:rPr>
      </w:pPr>
      <w:r w:rsidRPr="00A8607B">
        <w:rPr>
          <w:rFonts w:ascii="Arial Black" w:hAnsi="Arial Black"/>
          <w:sz w:val="28"/>
          <w:szCs w:val="28"/>
        </w:rPr>
        <w:t xml:space="preserve">TN: </w:t>
      </w:r>
      <w:r>
        <w:rPr>
          <w:rFonts w:ascii="Arial Black" w:hAnsi="Arial Black"/>
          <w:sz w:val="28"/>
          <w:szCs w:val="28"/>
        </w:rPr>
        <w:t>SOCIAL MEDIA – NASHVILLE PD OFFICER’S FACEBOOK POSTS - PD KILLING DRIVER MN - “GROSSLY UNPROFESSIONAL” - FIRING UPHELD</w:t>
      </w:r>
    </w:p>
    <w:p w14:paraId="63BFD3BE" w14:textId="77777777" w:rsidR="00420322" w:rsidRDefault="00420322" w:rsidP="00420322">
      <w:pPr>
        <w:rPr>
          <w:rFonts w:ascii="Times New Roman" w:hAnsi="Times New Roman"/>
          <w:sz w:val="24"/>
          <w:szCs w:val="24"/>
        </w:rPr>
      </w:pPr>
      <w:r w:rsidRPr="00A8607B">
        <w:rPr>
          <w:rFonts w:ascii="Times New Roman" w:hAnsi="Times New Roman"/>
          <w:sz w:val="24"/>
          <w:szCs w:val="24"/>
        </w:rPr>
        <w:t xml:space="preserve">On </w:t>
      </w:r>
      <w:r>
        <w:rPr>
          <w:rFonts w:ascii="Times New Roman" w:hAnsi="Times New Roman"/>
          <w:sz w:val="24"/>
          <w:szCs w:val="24"/>
        </w:rPr>
        <w:t xml:space="preserve">Dec. 20, 2019, in </w:t>
      </w:r>
      <w:r w:rsidRPr="005F63F4">
        <w:rPr>
          <w:rFonts w:ascii="Times New Roman" w:hAnsi="Times New Roman"/>
          <w:sz w:val="24"/>
          <w:szCs w:val="24"/>
          <w:u w:val="single"/>
        </w:rPr>
        <w:t>Anthony Venable v. Metropolitan Government of Nashville and Davidson County</w:t>
      </w:r>
      <w:r>
        <w:rPr>
          <w:rFonts w:ascii="Times New Roman" w:hAnsi="Times New Roman"/>
          <w:sz w:val="24"/>
          <w:szCs w:val="24"/>
        </w:rPr>
        <w:t>, Chief Judge Waverly D. Crenshaw, Jr.,  U.S. District Court, Middle District of Tennessee (Nashville Division) granted Nashville’s motion for summary judgment and dismissed the lawsuit by the former police officer, finding his Facebook comments “grossly unprofessional.”</w:t>
      </w:r>
    </w:p>
    <w:p w14:paraId="512B0C25" w14:textId="77777777" w:rsidR="00420322" w:rsidRPr="005F63F4" w:rsidRDefault="00420322" w:rsidP="00420322">
      <w:pPr>
        <w:ind w:left="720"/>
        <w:rPr>
          <w:rFonts w:ascii="Times New Roman" w:hAnsi="Times New Roman"/>
          <w:sz w:val="24"/>
          <w:szCs w:val="24"/>
        </w:rPr>
      </w:pPr>
      <w:r>
        <w:rPr>
          <w:rFonts w:ascii="Times New Roman" w:hAnsi="Times New Roman"/>
          <w:sz w:val="24"/>
          <w:szCs w:val="24"/>
        </w:rPr>
        <w:t>“</w:t>
      </w:r>
      <w:r w:rsidRPr="005F63F4">
        <w:rPr>
          <w:rFonts w:ascii="Times New Roman" w:hAnsi="Times New Roman"/>
          <w:sz w:val="24"/>
          <w:szCs w:val="24"/>
        </w:rPr>
        <w:t>In addition to the “not bring</w:t>
      </w:r>
      <w:r>
        <w:rPr>
          <w:rFonts w:ascii="Times New Roman" w:hAnsi="Times New Roman"/>
          <w:sz w:val="24"/>
          <w:szCs w:val="24"/>
        </w:rPr>
        <w:t xml:space="preserve"> </w:t>
      </w:r>
      <w:r w:rsidRPr="005F63F4">
        <w:rPr>
          <w:rFonts w:ascii="Times New Roman" w:hAnsi="Times New Roman"/>
          <w:sz w:val="24"/>
          <w:szCs w:val="24"/>
        </w:rPr>
        <w:t>discredit” language, the MNPD policy</w:t>
      </w:r>
      <w:r>
        <w:rPr>
          <w:rFonts w:ascii="Times New Roman" w:hAnsi="Times New Roman"/>
          <w:sz w:val="24"/>
          <w:szCs w:val="24"/>
        </w:rPr>
        <w:t xml:space="preserve"> </w:t>
      </w:r>
      <w:r w:rsidRPr="005F63F4">
        <w:rPr>
          <w:rFonts w:ascii="Times New Roman" w:hAnsi="Times New Roman"/>
          <w:sz w:val="24"/>
          <w:szCs w:val="24"/>
        </w:rPr>
        <w:t>contains an explanation</w:t>
      </w:r>
      <w:r>
        <w:rPr>
          <w:rFonts w:ascii="Times New Roman" w:hAnsi="Times New Roman"/>
          <w:sz w:val="24"/>
          <w:szCs w:val="24"/>
        </w:rPr>
        <w:t xml:space="preserve"> </w:t>
      </w:r>
      <w:r w:rsidRPr="005F63F4">
        <w:rPr>
          <w:rFonts w:ascii="Times New Roman" w:hAnsi="Times New Roman"/>
          <w:sz w:val="24"/>
          <w:szCs w:val="24"/>
        </w:rPr>
        <w:t>of why</w:t>
      </w:r>
      <w:r>
        <w:rPr>
          <w:rFonts w:ascii="Times New Roman" w:hAnsi="Times New Roman"/>
          <w:sz w:val="24"/>
          <w:szCs w:val="24"/>
        </w:rPr>
        <w:t xml:space="preserve"> </w:t>
      </w:r>
      <w:r w:rsidRPr="005F63F4">
        <w:rPr>
          <w:rFonts w:ascii="Times New Roman" w:hAnsi="Times New Roman"/>
          <w:sz w:val="24"/>
          <w:szCs w:val="24"/>
        </w:rPr>
        <w:t>police officers are held to a higher standard, and why</w:t>
      </w:r>
      <w:r>
        <w:rPr>
          <w:rFonts w:ascii="Times New Roman" w:hAnsi="Times New Roman"/>
          <w:sz w:val="24"/>
          <w:szCs w:val="24"/>
        </w:rPr>
        <w:t xml:space="preserve"> </w:t>
      </w:r>
      <w:r w:rsidRPr="005F63F4">
        <w:rPr>
          <w:rFonts w:ascii="Times New Roman" w:hAnsi="Times New Roman"/>
          <w:sz w:val="24"/>
          <w:szCs w:val="24"/>
        </w:rPr>
        <w:t>inappropriate conduct can be</w:t>
      </w:r>
      <w:r>
        <w:rPr>
          <w:rFonts w:ascii="Times New Roman" w:hAnsi="Times New Roman"/>
          <w:sz w:val="24"/>
          <w:szCs w:val="24"/>
        </w:rPr>
        <w:t xml:space="preserve"> </w:t>
      </w:r>
      <w:r w:rsidRPr="005F63F4">
        <w:rPr>
          <w:rFonts w:ascii="Times New Roman" w:hAnsi="Times New Roman"/>
          <w:sz w:val="24"/>
          <w:szCs w:val="24"/>
        </w:rPr>
        <w:t>detrimental to the department. An ordinary</w:t>
      </w:r>
      <w:r>
        <w:rPr>
          <w:rFonts w:ascii="Times New Roman" w:hAnsi="Times New Roman"/>
          <w:sz w:val="24"/>
          <w:szCs w:val="24"/>
        </w:rPr>
        <w:t xml:space="preserve"> </w:t>
      </w:r>
      <w:r w:rsidRPr="005F63F4">
        <w:rPr>
          <w:rFonts w:ascii="Times New Roman" w:hAnsi="Times New Roman"/>
          <w:sz w:val="24"/>
          <w:szCs w:val="24"/>
        </w:rPr>
        <w:t>person, exercising ordinary</w:t>
      </w:r>
      <w:r>
        <w:rPr>
          <w:rFonts w:ascii="Times New Roman" w:hAnsi="Times New Roman"/>
          <w:sz w:val="24"/>
          <w:szCs w:val="24"/>
        </w:rPr>
        <w:t xml:space="preserve"> </w:t>
      </w:r>
      <w:r w:rsidRPr="005F63F4">
        <w:rPr>
          <w:rFonts w:ascii="Times New Roman" w:hAnsi="Times New Roman"/>
          <w:sz w:val="24"/>
          <w:szCs w:val="24"/>
        </w:rPr>
        <w:t>common sense, could</w:t>
      </w:r>
      <w:r>
        <w:rPr>
          <w:rFonts w:ascii="Times New Roman" w:hAnsi="Times New Roman"/>
          <w:sz w:val="24"/>
          <w:szCs w:val="24"/>
        </w:rPr>
        <w:t xml:space="preserve"> </w:t>
      </w:r>
      <w:r w:rsidRPr="005F63F4">
        <w:rPr>
          <w:rFonts w:ascii="Times New Roman" w:hAnsi="Times New Roman"/>
          <w:sz w:val="24"/>
          <w:szCs w:val="24"/>
        </w:rPr>
        <w:t>understand that Venable’s inflammatory</w:t>
      </w:r>
      <w:r>
        <w:rPr>
          <w:rFonts w:ascii="Times New Roman" w:hAnsi="Times New Roman"/>
          <w:sz w:val="24"/>
          <w:szCs w:val="24"/>
        </w:rPr>
        <w:t xml:space="preserve"> </w:t>
      </w:r>
      <w:r w:rsidRPr="005F63F4">
        <w:rPr>
          <w:rFonts w:ascii="Times New Roman" w:hAnsi="Times New Roman"/>
          <w:sz w:val="24"/>
          <w:szCs w:val="24"/>
        </w:rPr>
        <w:t>Facebook comments, where he drew</w:t>
      </w:r>
      <w:r>
        <w:rPr>
          <w:rFonts w:ascii="Times New Roman" w:hAnsi="Times New Roman"/>
          <w:sz w:val="24"/>
          <w:szCs w:val="24"/>
        </w:rPr>
        <w:t xml:space="preserve"> </w:t>
      </w:r>
      <w:r w:rsidRPr="005F63F4">
        <w:rPr>
          <w:rFonts w:ascii="Times New Roman" w:hAnsi="Times New Roman"/>
          <w:sz w:val="24"/>
          <w:szCs w:val="24"/>
        </w:rPr>
        <w:t>upon his law</w:t>
      </w:r>
      <w:r>
        <w:rPr>
          <w:rFonts w:ascii="Times New Roman" w:hAnsi="Times New Roman"/>
          <w:sz w:val="24"/>
          <w:szCs w:val="24"/>
        </w:rPr>
        <w:t xml:space="preserve"> </w:t>
      </w:r>
      <w:r w:rsidRPr="005F63F4">
        <w:rPr>
          <w:rFonts w:ascii="Times New Roman" w:hAnsi="Times New Roman"/>
          <w:sz w:val="24"/>
          <w:szCs w:val="24"/>
        </w:rPr>
        <w:t>enforcement background, would reflect negatively</w:t>
      </w:r>
      <w:r>
        <w:rPr>
          <w:rFonts w:ascii="Times New Roman" w:hAnsi="Times New Roman"/>
          <w:sz w:val="24"/>
          <w:szCs w:val="24"/>
        </w:rPr>
        <w:t xml:space="preserve"> </w:t>
      </w:r>
      <w:r w:rsidRPr="005F63F4">
        <w:rPr>
          <w:rFonts w:ascii="Times New Roman" w:hAnsi="Times New Roman"/>
          <w:sz w:val="24"/>
          <w:szCs w:val="24"/>
        </w:rPr>
        <w:t>on the MNPD and constitute a</w:t>
      </w:r>
      <w:r>
        <w:rPr>
          <w:rFonts w:ascii="Times New Roman" w:hAnsi="Times New Roman"/>
          <w:sz w:val="24"/>
          <w:szCs w:val="24"/>
        </w:rPr>
        <w:t xml:space="preserve"> </w:t>
      </w:r>
      <w:r w:rsidRPr="005F63F4">
        <w:rPr>
          <w:rFonts w:ascii="Times New Roman" w:hAnsi="Times New Roman"/>
          <w:sz w:val="24"/>
          <w:szCs w:val="24"/>
        </w:rPr>
        <w:t>violation</w:t>
      </w:r>
      <w:r>
        <w:rPr>
          <w:rFonts w:ascii="Times New Roman" w:hAnsi="Times New Roman"/>
          <w:sz w:val="24"/>
          <w:szCs w:val="24"/>
        </w:rPr>
        <w:t xml:space="preserve"> </w:t>
      </w:r>
      <w:r w:rsidRPr="005F63F4">
        <w:rPr>
          <w:rFonts w:ascii="Times New Roman" w:hAnsi="Times New Roman"/>
          <w:sz w:val="24"/>
          <w:szCs w:val="24"/>
        </w:rPr>
        <w:t>of the</w:t>
      </w:r>
      <w:r>
        <w:rPr>
          <w:rFonts w:ascii="Times New Roman" w:hAnsi="Times New Roman"/>
          <w:sz w:val="24"/>
          <w:szCs w:val="24"/>
        </w:rPr>
        <w:t xml:space="preserve"> </w:t>
      </w:r>
      <w:r w:rsidRPr="005F63F4">
        <w:rPr>
          <w:rFonts w:ascii="Times New Roman" w:hAnsi="Times New Roman"/>
          <w:sz w:val="24"/>
          <w:szCs w:val="24"/>
        </w:rPr>
        <w:t>Conduct</w:t>
      </w:r>
      <w:r>
        <w:rPr>
          <w:rFonts w:ascii="Times New Roman" w:hAnsi="Times New Roman"/>
          <w:sz w:val="24"/>
          <w:szCs w:val="24"/>
        </w:rPr>
        <w:t xml:space="preserve"> </w:t>
      </w:r>
      <w:r w:rsidRPr="005F63F4">
        <w:rPr>
          <w:rFonts w:ascii="Times New Roman" w:hAnsi="Times New Roman"/>
          <w:sz w:val="24"/>
          <w:szCs w:val="24"/>
        </w:rPr>
        <w:t>Unbecoming</w:t>
      </w:r>
      <w:r>
        <w:rPr>
          <w:rFonts w:ascii="Times New Roman" w:hAnsi="Times New Roman"/>
          <w:sz w:val="24"/>
          <w:szCs w:val="24"/>
        </w:rPr>
        <w:t xml:space="preserve"> </w:t>
      </w:r>
      <w:r w:rsidRPr="005F63F4">
        <w:rPr>
          <w:rFonts w:ascii="Times New Roman" w:hAnsi="Times New Roman"/>
          <w:sz w:val="24"/>
          <w:szCs w:val="24"/>
        </w:rPr>
        <w:t>policy.</w:t>
      </w:r>
      <w:r>
        <w:rPr>
          <w:rFonts w:ascii="Times New Roman" w:hAnsi="Times New Roman"/>
          <w:sz w:val="24"/>
          <w:szCs w:val="24"/>
        </w:rPr>
        <w:t xml:space="preserve"> </w:t>
      </w:r>
      <w:r w:rsidRPr="005F63F4">
        <w:rPr>
          <w:rFonts w:ascii="Times New Roman" w:hAnsi="Times New Roman"/>
          <w:sz w:val="24"/>
          <w:szCs w:val="24"/>
        </w:rPr>
        <w:t>Any</w:t>
      </w:r>
      <w:r>
        <w:rPr>
          <w:rFonts w:ascii="Times New Roman" w:hAnsi="Times New Roman"/>
          <w:sz w:val="24"/>
          <w:szCs w:val="24"/>
        </w:rPr>
        <w:t xml:space="preserve"> </w:t>
      </w:r>
      <w:r w:rsidRPr="005F63F4">
        <w:rPr>
          <w:rFonts w:ascii="Times New Roman" w:hAnsi="Times New Roman"/>
          <w:sz w:val="24"/>
          <w:szCs w:val="24"/>
        </w:rPr>
        <w:t>doubt about this is eliminated by</w:t>
      </w:r>
      <w:r>
        <w:rPr>
          <w:rFonts w:ascii="Times New Roman" w:hAnsi="Times New Roman"/>
          <w:sz w:val="24"/>
          <w:szCs w:val="24"/>
        </w:rPr>
        <w:t xml:space="preserve"> </w:t>
      </w:r>
      <w:r w:rsidRPr="005F63F4">
        <w:rPr>
          <w:rFonts w:ascii="Times New Roman" w:hAnsi="Times New Roman"/>
          <w:sz w:val="24"/>
          <w:szCs w:val="24"/>
        </w:rPr>
        <w:t>warning</w:t>
      </w:r>
      <w:r>
        <w:rPr>
          <w:rFonts w:ascii="Times New Roman" w:hAnsi="Times New Roman"/>
          <w:sz w:val="24"/>
          <w:szCs w:val="24"/>
        </w:rPr>
        <w:t xml:space="preserve"> </w:t>
      </w:r>
      <w:r w:rsidRPr="005F63F4">
        <w:rPr>
          <w:rFonts w:ascii="Times New Roman" w:hAnsi="Times New Roman"/>
          <w:sz w:val="24"/>
          <w:szCs w:val="24"/>
        </w:rPr>
        <w:t xml:space="preserve">statements </w:t>
      </w:r>
      <w:proofErr w:type="gramStart"/>
      <w:r w:rsidRPr="005F63F4">
        <w:rPr>
          <w:rFonts w:ascii="Times New Roman" w:hAnsi="Times New Roman"/>
          <w:sz w:val="24"/>
          <w:szCs w:val="24"/>
        </w:rPr>
        <w:t>of</w:t>
      </w:r>
      <w:proofErr w:type="gramEnd"/>
      <w:r w:rsidRPr="005F63F4">
        <w:rPr>
          <w:rFonts w:ascii="Times New Roman" w:hAnsi="Times New Roman"/>
          <w:sz w:val="24"/>
          <w:szCs w:val="24"/>
        </w:rPr>
        <w:t xml:space="preserve"> other</w:t>
      </w:r>
      <w:r>
        <w:rPr>
          <w:rFonts w:ascii="Times New Roman" w:hAnsi="Times New Roman"/>
          <w:sz w:val="24"/>
          <w:szCs w:val="24"/>
        </w:rPr>
        <w:t xml:space="preserve"> </w:t>
      </w:r>
      <w:r w:rsidRPr="005F63F4">
        <w:rPr>
          <w:rFonts w:ascii="Times New Roman" w:hAnsi="Times New Roman"/>
          <w:sz w:val="24"/>
          <w:szCs w:val="24"/>
        </w:rPr>
        <w:t xml:space="preserve">participants that his comments were </w:t>
      </w:r>
      <w:r>
        <w:rPr>
          <w:rFonts w:ascii="Times New Roman" w:hAnsi="Times New Roman"/>
          <w:sz w:val="24"/>
          <w:szCs w:val="24"/>
        </w:rPr>
        <w:t>‘</w:t>
      </w:r>
      <w:r w:rsidRPr="005F63F4">
        <w:rPr>
          <w:rFonts w:ascii="Times New Roman" w:hAnsi="Times New Roman"/>
          <w:sz w:val="24"/>
          <w:szCs w:val="24"/>
        </w:rPr>
        <w:t>grossly</w:t>
      </w:r>
      <w:r>
        <w:rPr>
          <w:rFonts w:ascii="Times New Roman" w:hAnsi="Times New Roman"/>
          <w:sz w:val="24"/>
          <w:szCs w:val="24"/>
        </w:rPr>
        <w:t xml:space="preserve"> </w:t>
      </w:r>
      <w:r w:rsidRPr="005F63F4">
        <w:rPr>
          <w:rFonts w:ascii="Times New Roman" w:hAnsi="Times New Roman"/>
          <w:sz w:val="24"/>
          <w:szCs w:val="24"/>
        </w:rPr>
        <w:t>unprofessional,</w:t>
      </w:r>
      <w:r>
        <w:rPr>
          <w:rFonts w:ascii="Times New Roman" w:hAnsi="Times New Roman"/>
          <w:sz w:val="24"/>
          <w:szCs w:val="24"/>
        </w:rPr>
        <w:t>’</w:t>
      </w:r>
      <w:r w:rsidRPr="005F63F4">
        <w:rPr>
          <w:rFonts w:ascii="Times New Roman" w:hAnsi="Times New Roman"/>
          <w:sz w:val="24"/>
          <w:szCs w:val="24"/>
        </w:rPr>
        <w:t xml:space="preserve"> and could get him </w:t>
      </w:r>
      <w:r>
        <w:rPr>
          <w:rFonts w:ascii="Times New Roman" w:hAnsi="Times New Roman"/>
          <w:sz w:val="24"/>
          <w:szCs w:val="24"/>
        </w:rPr>
        <w:t>‘</w:t>
      </w:r>
      <w:r w:rsidRPr="005F63F4">
        <w:rPr>
          <w:rFonts w:ascii="Times New Roman" w:hAnsi="Times New Roman"/>
          <w:sz w:val="24"/>
          <w:szCs w:val="24"/>
        </w:rPr>
        <w:t>in serious</w:t>
      </w:r>
      <w:r>
        <w:rPr>
          <w:rFonts w:ascii="Times New Roman" w:hAnsi="Times New Roman"/>
          <w:sz w:val="24"/>
          <w:szCs w:val="24"/>
        </w:rPr>
        <w:t xml:space="preserve"> </w:t>
      </w:r>
      <w:r w:rsidRPr="005F63F4">
        <w:rPr>
          <w:rFonts w:ascii="Times New Roman" w:hAnsi="Times New Roman"/>
          <w:sz w:val="24"/>
          <w:szCs w:val="24"/>
        </w:rPr>
        <w:t>trouble.</w:t>
      </w:r>
      <w:r>
        <w:rPr>
          <w:rFonts w:ascii="Times New Roman" w:hAnsi="Times New Roman"/>
          <w:sz w:val="24"/>
          <w:szCs w:val="24"/>
        </w:rPr>
        <w:t>’</w:t>
      </w:r>
      <w:r w:rsidRPr="005F63F4">
        <w:t xml:space="preserve"> </w:t>
      </w:r>
      <w:hyperlink r:id="rId2846" w:history="1">
        <w:r w:rsidRPr="00FD1AA3">
          <w:rPr>
            <w:rStyle w:val="Hyperlink"/>
            <w:rFonts w:ascii="Times New Roman" w:hAnsi="Times New Roman"/>
            <w:sz w:val="24"/>
            <w:szCs w:val="24"/>
          </w:rPr>
          <w:t>https://cases.justia.com/federal/district-courts/tennessee/tnmdce/3:2018cv00148/73469/36/0.pdf?ts=1576934308</w:t>
        </w:r>
      </w:hyperlink>
      <w:r>
        <w:rPr>
          <w:rFonts w:ascii="Times New Roman" w:hAnsi="Times New Roman"/>
          <w:sz w:val="24"/>
          <w:szCs w:val="24"/>
        </w:rPr>
        <w:t xml:space="preserve"> </w:t>
      </w:r>
    </w:p>
    <w:p w14:paraId="58FF9F1A" w14:textId="77777777" w:rsidR="00B8368A" w:rsidRDefault="00B8368A" w:rsidP="00B8368A">
      <w:pPr>
        <w:pStyle w:val="NoSpacing"/>
        <w:rPr>
          <w:rFonts w:ascii="Times New Roman" w:hAnsi="Times New Roman"/>
          <w:b/>
          <w:bCs/>
          <w:sz w:val="24"/>
          <w:szCs w:val="24"/>
        </w:rPr>
      </w:pPr>
      <w:r w:rsidRPr="00B8368A">
        <w:rPr>
          <w:rFonts w:ascii="Times New Roman" w:hAnsi="Times New Roman"/>
          <w:b/>
          <w:bCs/>
          <w:sz w:val="24"/>
          <w:szCs w:val="24"/>
        </w:rPr>
        <w:t>Legal Lessons Learned:</w:t>
      </w:r>
      <w:r>
        <w:rPr>
          <w:rFonts w:ascii="Times New Roman" w:hAnsi="Times New Roman"/>
          <w:b/>
          <w:bCs/>
          <w:sz w:val="24"/>
          <w:szCs w:val="24"/>
        </w:rPr>
        <w:t xml:space="preserve"> </w:t>
      </w:r>
      <w:r w:rsidRPr="00B8368A">
        <w:rPr>
          <w:rFonts w:ascii="Times New Roman" w:hAnsi="Times New Roman"/>
          <w:b/>
          <w:bCs/>
          <w:sz w:val="24"/>
          <w:szCs w:val="24"/>
        </w:rPr>
        <w:t>Fire &amp; EMS Departments should have a policy that warns personnel that Social Media posts that adversely reflect on the Department can lead to discipline, including termination.</w:t>
      </w:r>
    </w:p>
    <w:p w14:paraId="738ED37D" w14:textId="502FE8B7" w:rsidR="00B8368A" w:rsidRPr="00B8368A" w:rsidRDefault="00B8368A" w:rsidP="00B8368A">
      <w:pPr>
        <w:pStyle w:val="NoSpacing"/>
        <w:ind w:firstLine="720"/>
        <w:rPr>
          <w:rFonts w:ascii="Times New Roman" w:hAnsi="Times New Roman"/>
          <w:b/>
          <w:bCs/>
          <w:sz w:val="24"/>
          <w:szCs w:val="24"/>
        </w:rPr>
      </w:pPr>
      <w:r w:rsidRPr="00B8368A">
        <w:rPr>
          <w:rFonts w:ascii="Times New Roman" w:hAnsi="Times New Roman"/>
          <w:sz w:val="24"/>
          <w:szCs w:val="24"/>
        </w:rPr>
        <w:t>See Pho</w:t>
      </w:r>
      <w:r>
        <w:rPr>
          <w:rFonts w:ascii="Times New Roman" w:hAnsi="Times New Roman"/>
          <w:sz w:val="24"/>
          <w:szCs w:val="24"/>
        </w:rPr>
        <w:t>e</w:t>
      </w:r>
      <w:r w:rsidRPr="00B8368A">
        <w:rPr>
          <w:rFonts w:ascii="Times New Roman" w:hAnsi="Times New Roman"/>
          <w:sz w:val="24"/>
          <w:szCs w:val="24"/>
        </w:rPr>
        <w:t xml:space="preserve">nix FD’s Social Media policy: </w:t>
      </w:r>
      <w:hyperlink r:id="rId2847" w:history="1">
        <w:r w:rsidRPr="00B8368A">
          <w:rPr>
            <w:rStyle w:val="Hyperlink"/>
            <w:rFonts w:ascii="Times New Roman" w:hAnsi="Times New Roman"/>
            <w:sz w:val="24"/>
            <w:szCs w:val="24"/>
          </w:rPr>
          <w:t>https://www.phoenix.gov/firesite/Documents/fire_mp_10518.pdf</w:t>
        </w:r>
      </w:hyperlink>
      <w:r w:rsidRPr="00B8368A">
        <w:rPr>
          <w:rFonts w:ascii="Times New Roman" w:hAnsi="Times New Roman"/>
          <w:sz w:val="24"/>
          <w:szCs w:val="24"/>
        </w:rPr>
        <w:t xml:space="preserve"> </w:t>
      </w:r>
    </w:p>
    <w:p w14:paraId="44D97879" w14:textId="77777777" w:rsidR="00B8368A" w:rsidRDefault="00B8368A" w:rsidP="00297434">
      <w:pPr>
        <w:spacing w:before="100" w:beforeAutospacing="1" w:after="100" w:afterAutospacing="1" w:line="240" w:lineRule="auto"/>
        <w:rPr>
          <w:rFonts w:ascii="Arial Black" w:hAnsi="Arial Black"/>
          <w:sz w:val="24"/>
          <w:szCs w:val="24"/>
        </w:rPr>
      </w:pPr>
    </w:p>
    <w:p w14:paraId="3C9E15DE" w14:textId="49545F51" w:rsidR="00420322" w:rsidRDefault="00420322" w:rsidP="00297434">
      <w:pPr>
        <w:spacing w:before="100" w:beforeAutospacing="1" w:after="100" w:afterAutospacing="1" w:line="240" w:lineRule="auto"/>
        <w:rPr>
          <w:rFonts w:ascii="Arial Black" w:hAnsi="Arial Black"/>
          <w:sz w:val="24"/>
          <w:szCs w:val="24"/>
        </w:rPr>
      </w:pPr>
      <w:r>
        <w:rPr>
          <w:rFonts w:ascii="Arial Black" w:hAnsi="Arial Black"/>
          <w:sz w:val="24"/>
          <w:szCs w:val="24"/>
        </w:rPr>
        <w:t>16-21</w:t>
      </w:r>
    </w:p>
    <w:p w14:paraId="487853E6" w14:textId="77777777" w:rsidR="00420322" w:rsidRDefault="00420322" w:rsidP="00420322">
      <w:pPr>
        <w:spacing w:before="100" w:beforeAutospacing="1" w:after="100" w:afterAutospacing="1" w:line="240" w:lineRule="auto"/>
        <w:rPr>
          <w:rFonts w:ascii="Times New Roman" w:eastAsia="Times New Roman" w:hAnsi="Times New Roman"/>
          <w:b/>
          <w:bCs/>
          <w:sz w:val="24"/>
          <w:szCs w:val="24"/>
        </w:rPr>
      </w:pPr>
      <w:bookmarkStart w:id="609" w:name="_Hlk29226291"/>
      <w:r w:rsidRPr="0066266D">
        <w:rPr>
          <w:rFonts w:ascii="Arial Black" w:eastAsia="Times New Roman" w:hAnsi="Arial Black"/>
          <w:b/>
          <w:bCs/>
          <w:sz w:val="28"/>
          <w:szCs w:val="28"/>
        </w:rPr>
        <w:t>OH</w:t>
      </w:r>
      <w:r>
        <w:rPr>
          <w:rFonts w:ascii="Arial Black" w:eastAsia="Times New Roman" w:hAnsi="Arial Black"/>
          <w:b/>
          <w:bCs/>
          <w:sz w:val="28"/>
          <w:szCs w:val="28"/>
        </w:rPr>
        <w:t>: LT. DEMOTED / SUSPENDED – UPHELD BUT TOWNSHIP MINUTES ON REASON FOR GOING INTO EXEC. SESSION NEED CLARIFICATION</w:t>
      </w:r>
    </w:p>
    <w:p w14:paraId="4B37777F" w14:textId="77777777" w:rsidR="00420322" w:rsidRDefault="00420322" w:rsidP="00420322">
      <w:pPr>
        <w:spacing w:before="100" w:beforeAutospacing="1" w:after="100" w:afterAutospacing="1" w:line="240" w:lineRule="auto"/>
        <w:rPr>
          <w:rFonts w:ascii="Arial" w:hAnsi="Arial" w:cs="Arial"/>
          <w:sz w:val="30"/>
          <w:szCs w:val="30"/>
        </w:rPr>
      </w:pPr>
      <w:r w:rsidRPr="00B84F37">
        <w:rPr>
          <w:rFonts w:ascii="Times New Roman" w:hAnsi="Times New Roman"/>
          <w:sz w:val="24"/>
          <w:szCs w:val="24"/>
        </w:rPr>
        <w:t xml:space="preserve">On Dec. 9, 2019, in </w:t>
      </w:r>
      <w:r w:rsidRPr="00B84F37">
        <w:rPr>
          <w:rFonts w:ascii="Times New Roman" w:hAnsi="Times New Roman"/>
          <w:sz w:val="24"/>
          <w:szCs w:val="24"/>
          <w:u w:val="single"/>
        </w:rPr>
        <w:t>Douglas Bode v. Concord Township</w:t>
      </w:r>
      <w:r>
        <w:rPr>
          <w:rFonts w:ascii="Times New Roman" w:hAnsi="Times New Roman"/>
          <w:sz w:val="24"/>
          <w:szCs w:val="24"/>
        </w:rPr>
        <w:t>, the Ohio Court of Appeals for the Eleventh District (Lake County) upheld the demotion of part-time Lieutenant to part-time firefighter / paramedic, and his suspension for six months, but found technical violation of Open Meeting Act since minutes of the Township public meeting did not reflect the reason for going into executive session.</w:t>
      </w:r>
    </w:p>
    <w:p w14:paraId="0F4628C8" w14:textId="633427FE" w:rsidR="00420322" w:rsidRPr="00B8368A" w:rsidRDefault="00420322" w:rsidP="00B8368A">
      <w:pPr>
        <w:pStyle w:val="NoSpacing"/>
        <w:ind w:left="720"/>
        <w:rPr>
          <w:rFonts w:ascii="Times New Roman" w:hAnsi="Times New Roman"/>
          <w:sz w:val="24"/>
          <w:szCs w:val="24"/>
        </w:rPr>
      </w:pPr>
      <w:r w:rsidRPr="00B101CE">
        <w:rPr>
          <w:rFonts w:ascii="Times New Roman" w:hAnsi="Times New Roman"/>
          <w:sz w:val="24"/>
          <w:szCs w:val="24"/>
        </w:rPr>
        <w:t xml:space="preserve">“We determine the Board committed a technical violation of Ohio’s Open Meetings Act (the ‘OMA’) so that an injunction ordering the Board to comply with the OMA is appropriate, but we do not invalidate Mr. Bode’s suspension and demotion approved by the Board. *** Here, it is undisputed that the meeting minutes were deficient in identifying the purpose of the executive session </w:t>
      </w:r>
      <w:proofErr w:type="gramStart"/>
      <w:r w:rsidRPr="00B101CE">
        <w:rPr>
          <w:rFonts w:ascii="Times New Roman" w:hAnsi="Times New Roman"/>
          <w:sz w:val="24"/>
          <w:szCs w:val="24"/>
        </w:rPr>
        <w:t>with regard to</w:t>
      </w:r>
      <w:proofErr w:type="gramEnd"/>
      <w:r w:rsidRPr="00B101CE">
        <w:rPr>
          <w:rFonts w:ascii="Times New Roman" w:hAnsi="Times New Roman"/>
          <w:sz w:val="24"/>
          <w:szCs w:val="24"/>
        </w:rPr>
        <w:t xml:space="preserve"> Mr. Bode. No reason for entering executive session was stated; therefore, the Board has failed to comply with R.C. 121.22(G)(1). </w:t>
      </w:r>
      <w:hyperlink r:id="rId2848" w:history="1">
        <w:r w:rsidR="00B8368A" w:rsidRPr="001B5B01">
          <w:rPr>
            <w:rStyle w:val="Hyperlink"/>
            <w:rFonts w:ascii="Times New Roman" w:eastAsia="Times New Roman" w:hAnsi="Times New Roman"/>
            <w:sz w:val="24"/>
            <w:szCs w:val="24"/>
          </w:rPr>
          <w:t>https://www.supremecourt.ohio.gov/rod/docs/pdf/11/2019/2019-Ohio-5062.pdf</w:t>
        </w:r>
      </w:hyperlink>
      <w:bookmarkEnd w:id="609"/>
    </w:p>
    <w:p w14:paraId="4C86A07D" w14:textId="1D69C176" w:rsidR="00420322" w:rsidRDefault="00B8368A" w:rsidP="00297434">
      <w:pPr>
        <w:spacing w:before="100" w:beforeAutospacing="1" w:after="100" w:afterAutospacing="1" w:line="240" w:lineRule="auto"/>
        <w:rPr>
          <w:rFonts w:ascii="Times New Roman" w:hAnsi="Times New Roman"/>
          <w:b/>
          <w:bCs/>
          <w:sz w:val="24"/>
          <w:szCs w:val="24"/>
        </w:rPr>
      </w:pPr>
      <w:r w:rsidRPr="00B8368A">
        <w:rPr>
          <w:rFonts w:ascii="Times New Roman" w:hAnsi="Times New Roman"/>
          <w:b/>
          <w:bCs/>
          <w:sz w:val="24"/>
          <w:szCs w:val="24"/>
        </w:rPr>
        <w:t xml:space="preserve">Legal Lessons Learned: Minutes of public meetings, prior to going into Executive Session, should </w:t>
      </w:r>
      <w:proofErr w:type="gramStart"/>
      <w:r w:rsidRPr="00B8368A">
        <w:rPr>
          <w:rFonts w:ascii="Times New Roman" w:hAnsi="Times New Roman"/>
          <w:b/>
          <w:bCs/>
          <w:sz w:val="24"/>
          <w:szCs w:val="24"/>
        </w:rPr>
        <w:t>careful</w:t>
      </w:r>
      <w:proofErr w:type="gramEnd"/>
      <w:r w:rsidRPr="00B8368A">
        <w:rPr>
          <w:rFonts w:ascii="Times New Roman" w:hAnsi="Times New Roman"/>
          <w:b/>
          <w:bCs/>
          <w:sz w:val="24"/>
          <w:szCs w:val="24"/>
        </w:rPr>
        <w:t xml:space="preserve"> be </w:t>
      </w:r>
      <w:r>
        <w:rPr>
          <w:rFonts w:ascii="Times New Roman" w:hAnsi="Times New Roman"/>
          <w:b/>
          <w:bCs/>
          <w:sz w:val="24"/>
          <w:szCs w:val="24"/>
        </w:rPr>
        <w:t>prepared t</w:t>
      </w:r>
      <w:r w:rsidRPr="00B8368A">
        <w:rPr>
          <w:rFonts w:ascii="Times New Roman" w:hAnsi="Times New Roman"/>
          <w:b/>
          <w:bCs/>
          <w:sz w:val="24"/>
          <w:szCs w:val="24"/>
        </w:rPr>
        <w:t>o avoid costly litigation.</w:t>
      </w:r>
    </w:p>
    <w:p w14:paraId="7D2F863C" w14:textId="233D98BF" w:rsidR="00B8368A" w:rsidRDefault="00B8368A" w:rsidP="00297434">
      <w:pPr>
        <w:spacing w:before="100" w:beforeAutospacing="1" w:after="100" w:afterAutospacing="1" w:line="240" w:lineRule="auto"/>
        <w:rPr>
          <w:rFonts w:ascii="Times New Roman" w:hAnsi="Times New Roman"/>
          <w:b/>
          <w:bCs/>
          <w:sz w:val="24"/>
          <w:szCs w:val="24"/>
        </w:rPr>
      </w:pPr>
    </w:p>
    <w:p w14:paraId="0D198F10" w14:textId="77777777" w:rsidR="00B8368A" w:rsidRPr="00B8368A" w:rsidRDefault="00B8368A" w:rsidP="00297434">
      <w:pPr>
        <w:spacing w:before="100" w:beforeAutospacing="1" w:after="100" w:afterAutospacing="1" w:line="240" w:lineRule="auto"/>
        <w:rPr>
          <w:rFonts w:ascii="Times New Roman" w:hAnsi="Times New Roman"/>
          <w:b/>
          <w:bCs/>
          <w:sz w:val="24"/>
          <w:szCs w:val="24"/>
        </w:rPr>
      </w:pPr>
    </w:p>
    <w:p w14:paraId="78892DE8" w14:textId="17B9C350" w:rsidR="00297434" w:rsidRDefault="00297434" w:rsidP="00297434">
      <w:pPr>
        <w:spacing w:before="100" w:beforeAutospacing="1" w:after="100" w:afterAutospacing="1" w:line="240" w:lineRule="auto"/>
        <w:rPr>
          <w:rFonts w:ascii="Arial Black" w:hAnsi="Arial Black"/>
          <w:sz w:val="28"/>
          <w:szCs w:val="28"/>
        </w:rPr>
      </w:pPr>
      <w:r>
        <w:rPr>
          <w:rFonts w:ascii="Arial Black" w:hAnsi="Arial Black"/>
          <w:sz w:val="24"/>
          <w:szCs w:val="24"/>
        </w:rPr>
        <w:t>16-20</w:t>
      </w:r>
      <w:r>
        <w:rPr>
          <w:rFonts w:ascii="Arial Black" w:hAnsi="Arial Black"/>
          <w:sz w:val="24"/>
          <w:szCs w:val="24"/>
        </w:rPr>
        <w:br/>
      </w:r>
      <w:r>
        <w:rPr>
          <w:rFonts w:ascii="Arial Black" w:hAnsi="Arial Black"/>
          <w:sz w:val="24"/>
          <w:szCs w:val="24"/>
        </w:rPr>
        <w:br/>
      </w:r>
      <w:r>
        <w:rPr>
          <w:rFonts w:ascii="Arial Black" w:hAnsi="Arial Black"/>
          <w:sz w:val="28"/>
          <w:szCs w:val="28"/>
        </w:rPr>
        <w:t>OR:  SHORTLY AFTER UNION FORMED - FD STARTED USING PRIVATE INVESTIGATOR, SUPERVISOR NOTES – UNFAIR LABOR PRACTICE</w:t>
      </w:r>
    </w:p>
    <w:p w14:paraId="1D82CDA4" w14:textId="05B1E746" w:rsidR="00297434" w:rsidRDefault="00297434" w:rsidP="00297434">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5, 2019, in </w:t>
      </w:r>
      <w:r>
        <w:rPr>
          <w:rFonts w:ascii="Times New Roman" w:hAnsi="Times New Roman"/>
          <w:sz w:val="24"/>
          <w:szCs w:val="24"/>
          <w:u w:val="single"/>
        </w:rPr>
        <w:t>Crook County Firefighters Association, IAFF Local 5115 v. Crook County Fire &amp; Rescue</w:t>
      </w:r>
      <w:r>
        <w:rPr>
          <w:rFonts w:ascii="Times New Roman" w:hAnsi="Times New Roman"/>
          <w:sz w:val="24"/>
          <w:szCs w:val="24"/>
        </w:rPr>
        <w:t xml:space="preserve">, the Oregon Employment Relations Board found that the Fire Department “committed an unfair labor practice” after the Local was formed in </w:t>
      </w:r>
      <w:proofErr w:type="gramStart"/>
      <w:r>
        <w:rPr>
          <w:rFonts w:ascii="Times New Roman" w:hAnsi="Times New Roman"/>
          <w:sz w:val="24"/>
          <w:szCs w:val="24"/>
        </w:rPr>
        <w:t>September,</w:t>
      </w:r>
      <w:proofErr w:type="gramEnd"/>
      <w:r>
        <w:rPr>
          <w:rFonts w:ascii="Times New Roman" w:hAnsi="Times New Roman"/>
          <w:sz w:val="24"/>
          <w:szCs w:val="24"/>
        </w:rPr>
        <w:t xml:space="preserve"> 2017.</w:t>
      </w:r>
    </w:p>
    <w:p w14:paraId="3E17C30D"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“To briefly summarize: after the employees organized, the </w:t>
      </w:r>
      <w:proofErr w:type="gramStart"/>
      <w:r>
        <w:rPr>
          <w:rFonts w:ascii="Times New Roman" w:hAnsi="Times New Roman"/>
          <w:sz w:val="24"/>
          <w:szCs w:val="24"/>
        </w:rPr>
        <w:t>District</w:t>
      </w:r>
      <w:proofErr w:type="gramEnd"/>
      <w:r>
        <w:rPr>
          <w:rFonts w:ascii="Times New Roman" w:hAnsi="Times New Roman"/>
          <w:sz w:val="24"/>
          <w:szCs w:val="24"/>
        </w:rPr>
        <w:t xml:space="preserve"> started using a private, third-party investigator to investigate some, but not all, complaints or concerns about employee conduct, and started using supervisory notes to more comprehensively and formally document employee </w:t>
      </w:r>
      <w:proofErr w:type="gramStart"/>
      <w:r>
        <w:rPr>
          <w:rFonts w:ascii="Times New Roman" w:hAnsi="Times New Roman"/>
          <w:sz w:val="24"/>
          <w:szCs w:val="24"/>
        </w:rPr>
        <w:t>conduct, and</w:t>
      </w:r>
      <w:proofErr w:type="gramEnd"/>
      <w:r>
        <w:rPr>
          <w:rFonts w:ascii="Times New Roman" w:hAnsi="Times New Roman"/>
          <w:sz w:val="24"/>
          <w:szCs w:val="24"/>
        </w:rPr>
        <w:t xml:space="preserve"> coaching and counseling. When employees expressed concerns about the potentially negative employment implications of the </w:t>
      </w:r>
      <w:proofErr w:type="gramStart"/>
      <w:r>
        <w:rPr>
          <w:rFonts w:ascii="Times New Roman" w:hAnsi="Times New Roman"/>
          <w:sz w:val="24"/>
          <w:szCs w:val="24"/>
        </w:rPr>
        <w:t>District's</w:t>
      </w:r>
      <w:proofErr w:type="gramEnd"/>
      <w:r>
        <w:rPr>
          <w:rFonts w:ascii="Times New Roman" w:hAnsi="Times New Roman"/>
          <w:sz w:val="24"/>
          <w:szCs w:val="24"/>
        </w:rPr>
        <w:t xml:space="preserve"> actions, or perceived differences in how Association supporters were being treated, and asked for explanations, the chiefs, on multiple occasions, expressly attributed the employer's actions to ‘the union.’ Given the parties' history, including the fact that the employees had only recently organized, Association-represented employees could reasonably fear that exercising their PECBA-guaranteed rights would result in undesired changes (i.e., increased formality and  documentation),  as well as heightened scrutiny and less favorable judgments from their </w:t>
      </w:r>
      <w:proofErr w:type="gramStart"/>
      <w:r>
        <w:rPr>
          <w:rFonts w:ascii="Times New Roman" w:hAnsi="Times New Roman"/>
          <w:sz w:val="24"/>
          <w:szCs w:val="24"/>
        </w:rPr>
        <w:t>supervisors.”</w:t>
      </w:r>
      <w:proofErr w:type="gramEnd"/>
    </w:p>
    <w:p w14:paraId="30A2A596" w14:textId="31E17E39" w:rsidR="00297434" w:rsidRDefault="00297434" w:rsidP="00297434">
      <w:pPr>
        <w:pStyle w:val="NoSpacing"/>
        <w:ind w:left="720"/>
        <w:rPr>
          <w:rFonts w:ascii="Times New Roman" w:hAnsi="Times New Roman"/>
          <w:sz w:val="24"/>
          <w:szCs w:val="24"/>
        </w:rPr>
      </w:pPr>
      <w:hyperlink r:id="rId2849" w:history="1">
        <w:r>
          <w:rPr>
            <w:rStyle w:val="Hyperlink"/>
            <w:rFonts w:ascii="Times New Roman" w:hAnsi="Times New Roman"/>
            <w:sz w:val="24"/>
            <w:szCs w:val="24"/>
          </w:rPr>
          <w:t>https://apps.fastcase.com/Research/Pages/Document.aspx?LTID=ymjJQ%2bnA3gcD0uwW%2fXT8m74LrRSQo4n%2fvIMvSs06sm8gvhQE4Uja7b0PnhuF%2f4C2xuQogpx6q5d2KkmcmH7G9BxVUizxwq9%2bCSXj%2fVTkPcKayiYbCxXnu3qAsQnurF1%2fEGlhVwGun1DCyEjfhN2WDA%3d%3d</w:t>
        </w:r>
      </w:hyperlink>
      <w:r>
        <w:rPr>
          <w:rFonts w:ascii="Times New Roman" w:hAnsi="Times New Roman"/>
          <w:sz w:val="24"/>
          <w:szCs w:val="24"/>
        </w:rPr>
        <w:t xml:space="preserve"> </w:t>
      </w:r>
    </w:p>
    <w:p w14:paraId="32B42FCB" w14:textId="459A457A" w:rsidR="00297434" w:rsidRDefault="00297434" w:rsidP="00297434">
      <w:pPr>
        <w:pStyle w:val="NoSpacing"/>
        <w:ind w:left="720"/>
        <w:rPr>
          <w:rFonts w:ascii="Times New Roman" w:hAnsi="Times New Roman"/>
          <w:sz w:val="24"/>
          <w:szCs w:val="24"/>
        </w:rPr>
      </w:pPr>
    </w:p>
    <w:p w14:paraId="60847410"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New disciplinary processes implemented shortly after a union has been formed can lead to a “unfair labor practice” complaint.  Under Oregon statutes, it is an unfair labor practice to: </w:t>
      </w:r>
      <w:r>
        <w:rPr>
          <w:rStyle w:val="outlineheading2"/>
          <w:rFonts w:ascii="Times New Roman" w:hAnsi="Times New Roman"/>
          <w:b/>
          <w:bCs/>
          <w:sz w:val="24"/>
          <w:szCs w:val="24"/>
        </w:rPr>
        <w:t xml:space="preserve"> “(a)</w:t>
      </w:r>
      <w:r>
        <w:rPr>
          <w:rFonts w:ascii="Times New Roman" w:hAnsi="Times New Roman"/>
          <w:b/>
          <w:bCs/>
          <w:sz w:val="24"/>
          <w:szCs w:val="24"/>
        </w:rPr>
        <w:t xml:space="preserve"> Interfere with, restrain or coerce any employee in or because of the exercise of any right guaranteed under ORS </w:t>
      </w:r>
      <w:hyperlink r:id="rId2850" w:history="1">
        <w:r>
          <w:rPr>
            <w:rStyle w:val="Hyperlink"/>
            <w:rFonts w:ascii="Times New Roman" w:hAnsi="Times New Roman"/>
            <w:b/>
            <w:bCs/>
            <w:sz w:val="24"/>
            <w:szCs w:val="24"/>
          </w:rPr>
          <w:t xml:space="preserve">243.650 </w:t>
        </w:r>
        <w:r>
          <w:rPr>
            <w:rStyle w:val="annotation"/>
            <w:rFonts w:ascii="Times New Roman" w:hAnsi="Times New Roman"/>
            <w:b/>
            <w:bCs/>
            <w:sz w:val="24"/>
            <w:szCs w:val="24"/>
          </w:rPr>
          <w:t>(Definitions for ORS 243.650 to 243.782)</w:t>
        </w:r>
      </w:hyperlink>
      <w:r>
        <w:rPr>
          <w:rFonts w:ascii="Times New Roman" w:hAnsi="Times New Roman"/>
          <w:b/>
          <w:bCs/>
          <w:sz w:val="24"/>
          <w:szCs w:val="24"/>
        </w:rPr>
        <w:t xml:space="preserve"> to </w:t>
      </w:r>
      <w:hyperlink r:id="rId2851" w:history="1">
        <w:r>
          <w:rPr>
            <w:rStyle w:val="Hyperlink"/>
            <w:rFonts w:ascii="Times New Roman" w:hAnsi="Times New Roman"/>
            <w:b/>
            <w:bCs/>
            <w:sz w:val="24"/>
            <w:szCs w:val="24"/>
          </w:rPr>
          <w:t xml:space="preserve">243.782 </w:t>
        </w:r>
        <w:r>
          <w:rPr>
            <w:rStyle w:val="annotation"/>
            <w:rFonts w:ascii="Times New Roman" w:hAnsi="Times New Roman"/>
            <w:b/>
            <w:bCs/>
            <w:sz w:val="24"/>
            <w:szCs w:val="24"/>
          </w:rPr>
          <w:t>(Representation by counsel authorized)</w:t>
        </w:r>
      </w:hyperlink>
      <w:r>
        <w:rPr>
          <w:rFonts w:ascii="Times New Roman" w:hAnsi="Times New Roman"/>
          <w:b/>
          <w:bCs/>
          <w:sz w:val="24"/>
          <w:szCs w:val="24"/>
        </w:rPr>
        <w:t xml:space="preserve">.”  </w:t>
      </w:r>
      <w:hyperlink r:id="rId2852" w:history="1">
        <w:r>
          <w:rPr>
            <w:rStyle w:val="Hyperlink"/>
            <w:rFonts w:ascii="Times New Roman" w:hAnsi="Times New Roman"/>
            <w:b/>
            <w:bCs/>
            <w:sz w:val="24"/>
            <w:szCs w:val="24"/>
          </w:rPr>
          <w:t>https://www.oregonlaws.org/ors/243.672</w:t>
        </w:r>
      </w:hyperlink>
      <w:r>
        <w:rPr>
          <w:rFonts w:ascii="Times New Roman" w:hAnsi="Times New Roman"/>
          <w:b/>
          <w:bCs/>
          <w:sz w:val="24"/>
          <w:szCs w:val="24"/>
        </w:rPr>
        <w:t xml:space="preserve"> </w:t>
      </w:r>
    </w:p>
    <w:p w14:paraId="54657ABA" w14:textId="77777777" w:rsidR="00297434" w:rsidRDefault="00297434" w:rsidP="00297434">
      <w:pPr>
        <w:pStyle w:val="NoSpacing"/>
        <w:rPr>
          <w:rFonts w:ascii="Times New Roman" w:hAnsi="Times New Roman"/>
          <w:b/>
          <w:bCs/>
          <w:sz w:val="24"/>
          <w:szCs w:val="24"/>
        </w:rPr>
      </w:pPr>
    </w:p>
    <w:p w14:paraId="4A684524" w14:textId="15022546" w:rsidR="00297434" w:rsidRDefault="00297434" w:rsidP="00297434">
      <w:pPr>
        <w:pStyle w:val="NoSpacing"/>
        <w:rPr>
          <w:rFonts w:ascii="Times New Roman" w:hAnsi="Times New Roman"/>
          <w:sz w:val="24"/>
          <w:szCs w:val="24"/>
        </w:rPr>
      </w:pPr>
    </w:p>
    <w:p w14:paraId="68147D2A" w14:textId="6AB7397E" w:rsidR="00297434" w:rsidRDefault="00297434" w:rsidP="00F326E5">
      <w:pPr>
        <w:pStyle w:val="NoSpacing"/>
        <w:rPr>
          <w:rFonts w:ascii="Arial Black" w:hAnsi="Arial Black"/>
          <w:sz w:val="24"/>
          <w:szCs w:val="24"/>
        </w:rPr>
      </w:pPr>
    </w:p>
    <w:p w14:paraId="6732209A" w14:textId="77777777" w:rsidR="00297434" w:rsidRDefault="00297434" w:rsidP="00F326E5">
      <w:pPr>
        <w:pStyle w:val="NoSpacing"/>
        <w:rPr>
          <w:rFonts w:ascii="Arial Black" w:hAnsi="Arial Black"/>
          <w:sz w:val="24"/>
          <w:szCs w:val="24"/>
        </w:rPr>
      </w:pPr>
    </w:p>
    <w:p w14:paraId="25088449" w14:textId="7512A433" w:rsidR="00297434" w:rsidRDefault="00297434" w:rsidP="00F326E5">
      <w:pPr>
        <w:pStyle w:val="NoSpacing"/>
        <w:rPr>
          <w:rFonts w:ascii="Arial Black" w:hAnsi="Arial Black"/>
          <w:sz w:val="24"/>
          <w:szCs w:val="24"/>
        </w:rPr>
      </w:pPr>
      <w:r>
        <w:rPr>
          <w:rFonts w:ascii="Arial Black" w:hAnsi="Arial Black"/>
          <w:sz w:val="24"/>
          <w:szCs w:val="24"/>
        </w:rPr>
        <w:t>16-19</w:t>
      </w:r>
    </w:p>
    <w:p w14:paraId="51ED5777" w14:textId="7C2DC461" w:rsidR="00297434" w:rsidRDefault="00297434" w:rsidP="00F326E5">
      <w:pPr>
        <w:pStyle w:val="NoSpacing"/>
        <w:rPr>
          <w:rFonts w:ascii="Arial Black" w:hAnsi="Arial Black"/>
          <w:sz w:val="24"/>
          <w:szCs w:val="24"/>
        </w:rPr>
      </w:pPr>
    </w:p>
    <w:p w14:paraId="08BCD668" w14:textId="77777777" w:rsidR="00297434" w:rsidRDefault="00297434" w:rsidP="00297434">
      <w:pPr>
        <w:pStyle w:val="NoSpacing"/>
        <w:rPr>
          <w:rFonts w:ascii="Arial Black" w:hAnsi="Arial Black"/>
          <w:sz w:val="28"/>
          <w:szCs w:val="28"/>
        </w:rPr>
      </w:pPr>
      <w:r>
        <w:rPr>
          <w:rFonts w:ascii="Arial Black" w:hAnsi="Arial Black"/>
          <w:sz w:val="28"/>
          <w:szCs w:val="28"/>
        </w:rPr>
        <w:t>LA: FF “BILL OF RIGHTS” VIOLATED – FF INTERVIEWED BY SENIOR FD OFFICER AFTER ARREST FOR ROAD RAGE</w:t>
      </w:r>
    </w:p>
    <w:p w14:paraId="4F79F69F" w14:textId="77777777" w:rsidR="00297434" w:rsidRDefault="00297434" w:rsidP="00297434">
      <w:pPr>
        <w:pStyle w:val="NoSpacing"/>
        <w:rPr>
          <w:rFonts w:ascii="Times New Roman" w:hAnsi="Times New Roman"/>
          <w:sz w:val="24"/>
          <w:szCs w:val="24"/>
        </w:rPr>
      </w:pPr>
    </w:p>
    <w:p w14:paraId="14F71D5D" w14:textId="77777777" w:rsidR="00297434" w:rsidRDefault="00297434" w:rsidP="00297434">
      <w:pPr>
        <w:pStyle w:val="NoSpacing"/>
        <w:rPr>
          <w:rFonts w:ascii="Times New Roman" w:hAnsi="Times New Roman"/>
          <w:sz w:val="24"/>
          <w:szCs w:val="24"/>
        </w:rPr>
      </w:pPr>
      <w:r>
        <w:rPr>
          <w:rFonts w:ascii="Times New Roman" w:hAnsi="Times New Roman"/>
          <w:sz w:val="24"/>
          <w:szCs w:val="24"/>
        </w:rPr>
        <w:t xml:space="preserve">On Dec. 4, 2019, in </w:t>
      </w:r>
      <w:r>
        <w:rPr>
          <w:rFonts w:ascii="Times New Roman" w:hAnsi="Times New Roman"/>
          <w:sz w:val="24"/>
          <w:szCs w:val="24"/>
          <w:u w:val="single"/>
        </w:rPr>
        <w:t>Jonathan Farrelly v. Jefferson Parish East Bank Consolidated Fire District</w:t>
      </w:r>
      <w:r>
        <w:rPr>
          <w:rFonts w:ascii="Times New Roman" w:hAnsi="Times New Roman"/>
          <w:sz w:val="24"/>
          <w:szCs w:val="24"/>
        </w:rPr>
        <w:t>, the Fifth Circuit Court of Appeals held (3 to 0) that FD violated the Firefighter Bill of Rights.</w:t>
      </w:r>
    </w:p>
    <w:p w14:paraId="672E25F7" w14:textId="77777777" w:rsidR="00297434" w:rsidRDefault="00297434" w:rsidP="00297434">
      <w:pPr>
        <w:pStyle w:val="NoSpacing"/>
        <w:rPr>
          <w:rFonts w:ascii="Times New Roman" w:hAnsi="Times New Roman"/>
          <w:sz w:val="24"/>
          <w:szCs w:val="24"/>
        </w:rPr>
      </w:pPr>
    </w:p>
    <w:p w14:paraId="707362DF"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“Without the presence of counsel, Farrelly was asked to discuss facts relating to a pending criminal prosecution. While the Firefighter Bill of Rights provides that statements made </w:t>
      </w:r>
      <w:proofErr w:type="gramStart"/>
      <w:r>
        <w:rPr>
          <w:rFonts w:ascii="Times New Roman" w:hAnsi="Times New Roman"/>
          <w:sz w:val="24"/>
          <w:szCs w:val="24"/>
        </w:rPr>
        <w:t>during the course of</w:t>
      </w:r>
      <w:proofErr w:type="gramEnd"/>
      <w:r>
        <w:rPr>
          <w:rFonts w:ascii="Times New Roman" w:hAnsi="Times New Roman"/>
          <w:sz w:val="24"/>
          <w:szCs w:val="24"/>
        </w:rPr>
        <w:t xml:space="preserve"> an administrative investigation shall not be admissible in a criminal proceeding, Farrelly was not informed of these rights at the time of the meeting. La. R.S. 33:2181(B)(7). He was not advised whether his disclosures to his employers could adversely affect his impending criminal case. He may have felt that he had to answer the questions of his superiors as Department Rules and Regulation, Article X Section 3:06 states ‘[a]</w:t>
      </w:r>
      <w:proofErr w:type="spellStart"/>
      <w:r>
        <w:rPr>
          <w:rFonts w:ascii="Times New Roman" w:hAnsi="Times New Roman"/>
          <w:sz w:val="24"/>
          <w:szCs w:val="24"/>
        </w:rPr>
        <w:t>ny</w:t>
      </w:r>
      <w:proofErr w:type="spellEnd"/>
      <w:r>
        <w:rPr>
          <w:rFonts w:ascii="Times New Roman" w:hAnsi="Times New Roman"/>
          <w:sz w:val="24"/>
          <w:szCs w:val="24"/>
        </w:rPr>
        <w:t xml:space="preserve"> member who, when so directed by authority, refuses to answer questions or render statements, material, etc. relevant to any Department investigation shall be subject to disciplinary action.’ Furthermore, when the Department seeks information regarding conduct that results in an arrest, the details of the conduct can be confirmed through the police report.” </w:t>
      </w:r>
    </w:p>
    <w:p w14:paraId="38B166AD" w14:textId="0957C172" w:rsidR="00297434" w:rsidRDefault="00297434" w:rsidP="00297434">
      <w:pPr>
        <w:pStyle w:val="NoSpacing"/>
        <w:rPr>
          <w:rStyle w:val="Hyperlink"/>
          <w:rFonts w:ascii="Times New Roman" w:hAnsi="Times New Roman"/>
          <w:sz w:val="24"/>
          <w:szCs w:val="24"/>
        </w:rPr>
      </w:pPr>
      <w:hyperlink r:id="rId2853" w:history="1">
        <w:r>
          <w:rPr>
            <w:rStyle w:val="Hyperlink"/>
            <w:rFonts w:ascii="Times New Roman" w:hAnsi="Times New Roman"/>
            <w:sz w:val="24"/>
            <w:szCs w:val="24"/>
          </w:rPr>
          <w:t>http://www.fifthcircuit.org/dmzdocs/OI/PO/2019/D2D01276-0CAB-4C3C-8746-E6A5E19BC45A.pdf</w:t>
        </w:r>
      </w:hyperlink>
    </w:p>
    <w:p w14:paraId="06A4D58F" w14:textId="7CA189B1" w:rsidR="00297434" w:rsidRDefault="00297434" w:rsidP="00297434">
      <w:pPr>
        <w:pStyle w:val="NoSpacing"/>
        <w:rPr>
          <w:rStyle w:val="Hyperlink"/>
          <w:rFonts w:ascii="Times New Roman" w:hAnsi="Times New Roman"/>
          <w:sz w:val="24"/>
          <w:szCs w:val="24"/>
        </w:rPr>
      </w:pPr>
    </w:p>
    <w:p w14:paraId="71024EE5" w14:textId="77777777" w:rsidR="00297434" w:rsidRDefault="00297434" w:rsidP="00297434">
      <w:pPr>
        <w:pStyle w:val="NoSpacing"/>
        <w:ind w:left="-90"/>
        <w:rPr>
          <w:rFonts w:ascii="Times New Roman" w:hAnsi="Times New Roman"/>
          <w:b/>
          <w:bCs/>
          <w:sz w:val="24"/>
          <w:szCs w:val="24"/>
        </w:rPr>
      </w:pPr>
      <w:r>
        <w:rPr>
          <w:rFonts w:ascii="Times New Roman" w:hAnsi="Times New Roman"/>
          <w:b/>
          <w:bCs/>
          <w:sz w:val="24"/>
          <w:szCs w:val="24"/>
        </w:rPr>
        <w:t xml:space="preserve">Legal Lessons Learned: When the FF returned to work, he should have only been interviewed by his immediate supervisors, who in turn could advise the senior officers what they had learned.   See the Louisiana statute: FIRE EMPLOYEE'S RIGHTS: </w:t>
      </w:r>
    </w:p>
    <w:p w14:paraId="0099A3F4" w14:textId="77777777" w:rsidR="00297434" w:rsidRDefault="00297434" w:rsidP="00297434">
      <w:pPr>
        <w:pStyle w:val="NoSpacing"/>
        <w:ind w:left="720"/>
        <w:rPr>
          <w:rFonts w:ascii="Times New Roman" w:hAnsi="Times New Roman"/>
          <w:sz w:val="24"/>
          <w:szCs w:val="24"/>
        </w:rPr>
      </w:pPr>
      <w:r>
        <w:rPr>
          <w:rFonts w:ascii="Times New Roman" w:hAnsi="Times New Roman"/>
          <w:b/>
          <w:bCs/>
          <w:sz w:val="24"/>
          <w:szCs w:val="24"/>
        </w:rPr>
        <w:t>(2)</w:t>
      </w:r>
      <w:r>
        <w:t xml:space="preserve"> </w:t>
      </w:r>
      <w:r>
        <w:rPr>
          <w:rFonts w:ascii="Times New Roman" w:hAnsi="Times New Roman"/>
          <w:b/>
          <w:bCs/>
          <w:sz w:val="24"/>
          <w:szCs w:val="24"/>
        </w:rPr>
        <w:t xml:space="preserve">"Interrogation" includes but is not limited to any formal interview, inquiry, or questioning of any fire employee by the appointing authority or the appointing authority's designee regarding misconduct, allegations of misconduct, or policy violation. An initial inquiry conducted by the fire employee's immediate supervisors </w:t>
      </w:r>
      <w:r w:rsidRPr="00880E83">
        <w:rPr>
          <w:rFonts w:ascii="Times New Roman" w:hAnsi="Times New Roman"/>
          <w:b/>
          <w:bCs/>
          <w:sz w:val="24"/>
          <w:szCs w:val="24"/>
        </w:rPr>
        <w:t>shall not be considered an interrogation.</w:t>
      </w:r>
      <w:r>
        <w:rPr>
          <w:rFonts w:ascii="Times New Roman" w:hAnsi="Times New Roman"/>
          <w:sz w:val="24"/>
          <w:szCs w:val="24"/>
        </w:rPr>
        <w:t xml:space="preserve"> </w:t>
      </w:r>
      <w:hyperlink r:id="rId2854" w:history="1">
        <w:r>
          <w:rPr>
            <w:rStyle w:val="Hyperlink"/>
            <w:rFonts w:ascii="Times New Roman" w:hAnsi="Times New Roman"/>
            <w:sz w:val="24"/>
            <w:szCs w:val="24"/>
          </w:rPr>
          <w:t>https://law.justia.com/codes/louisiana/2012/rs/title33/rs33-2181/</w:t>
        </w:r>
      </w:hyperlink>
      <w:r>
        <w:rPr>
          <w:rFonts w:ascii="Times New Roman" w:hAnsi="Times New Roman"/>
          <w:sz w:val="24"/>
          <w:szCs w:val="24"/>
        </w:rPr>
        <w:t xml:space="preserve"> </w:t>
      </w:r>
    </w:p>
    <w:p w14:paraId="4EFE3344" w14:textId="0901A95F" w:rsidR="00297434" w:rsidRDefault="00297434" w:rsidP="00297434">
      <w:pPr>
        <w:pStyle w:val="NoSpacing"/>
        <w:rPr>
          <w:rStyle w:val="Hyperlink"/>
          <w:rFonts w:ascii="Times New Roman" w:hAnsi="Times New Roman"/>
          <w:sz w:val="24"/>
          <w:szCs w:val="24"/>
        </w:rPr>
      </w:pPr>
    </w:p>
    <w:p w14:paraId="1FCB6A0B" w14:textId="0E5CB4CA" w:rsidR="00297434" w:rsidRPr="00297434" w:rsidRDefault="00297434" w:rsidP="00297434">
      <w:pPr>
        <w:pStyle w:val="NoSpacing"/>
        <w:rPr>
          <w:rFonts w:ascii="Times New Roman" w:hAnsi="Times New Roman"/>
          <w:sz w:val="24"/>
          <w:szCs w:val="24"/>
        </w:rPr>
      </w:pPr>
    </w:p>
    <w:p w14:paraId="62BB590D" w14:textId="77777777" w:rsidR="00297434" w:rsidRDefault="00297434" w:rsidP="00F326E5">
      <w:pPr>
        <w:pStyle w:val="NoSpacing"/>
        <w:rPr>
          <w:rFonts w:ascii="Arial Black" w:hAnsi="Arial Black"/>
          <w:sz w:val="24"/>
          <w:szCs w:val="24"/>
        </w:rPr>
      </w:pPr>
    </w:p>
    <w:p w14:paraId="0E96E3D4" w14:textId="4BC56513" w:rsidR="00297434" w:rsidRDefault="00297434" w:rsidP="00F326E5">
      <w:pPr>
        <w:pStyle w:val="NoSpacing"/>
        <w:rPr>
          <w:rFonts w:ascii="Arial Black" w:hAnsi="Arial Black"/>
          <w:sz w:val="24"/>
          <w:szCs w:val="24"/>
        </w:rPr>
      </w:pPr>
      <w:r>
        <w:rPr>
          <w:rFonts w:ascii="Arial Black" w:hAnsi="Arial Black"/>
          <w:sz w:val="24"/>
          <w:szCs w:val="24"/>
        </w:rPr>
        <w:t>16-18</w:t>
      </w:r>
    </w:p>
    <w:p w14:paraId="6EC374A3" w14:textId="5B5E7492" w:rsidR="00297434" w:rsidRDefault="00297434" w:rsidP="00F326E5">
      <w:pPr>
        <w:pStyle w:val="NoSpacing"/>
        <w:rPr>
          <w:rFonts w:ascii="Arial Black" w:hAnsi="Arial Black"/>
          <w:sz w:val="24"/>
          <w:szCs w:val="24"/>
        </w:rPr>
      </w:pPr>
    </w:p>
    <w:p w14:paraId="13E438D3" w14:textId="77777777" w:rsidR="00297434" w:rsidRDefault="00297434" w:rsidP="00297434">
      <w:pPr>
        <w:pStyle w:val="Heading1"/>
        <w:rPr>
          <w:rFonts w:ascii="Arial Black" w:hAnsi="Arial Black"/>
          <w:sz w:val="28"/>
          <w:szCs w:val="28"/>
        </w:rPr>
      </w:pPr>
      <w:r>
        <w:rPr>
          <w:rFonts w:ascii="Arial Black" w:hAnsi="Arial Black"/>
          <w:sz w:val="28"/>
          <w:szCs w:val="28"/>
        </w:rPr>
        <w:t>MI: FF COMPLAINED PORN, OSHA VIOLATIONS – FIRED FOR MISCHARGING TIME - “RETALIATION” CLAIM REINSTATED</w:t>
      </w:r>
    </w:p>
    <w:p w14:paraId="3564B60B" w14:textId="77777777" w:rsidR="00297434" w:rsidRDefault="00297434" w:rsidP="00297434">
      <w:pPr>
        <w:pStyle w:val="Heading1"/>
        <w:rPr>
          <w:b w:val="0"/>
          <w:bCs w:val="0"/>
          <w:sz w:val="24"/>
          <w:szCs w:val="24"/>
        </w:rPr>
      </w:pPr>
      <w:r>
        <w:rPr>
          <w:b w:val="0"/>
          <w:bCs w:val="0"/>
          <w:sz w:val="24"/>
          <w:szCs w:val="24"/>
        </w:rPr>
        <w:t xml:space="preserve">On Nov. 22, 2019, in </w:t>
      </w:r>
      <w:r>
        <w:rPr>
          <w:b w:val="0"/>
          <w:bCs w:val="0"/>
          <w:sz w:val="24"/>
          <w:szCs w:val="24"/>
          <w:u w:val="single"/>
        </w:rPr>
        <w:t>Peter Hudson v. City of Highland Park, Michigan, Derek Hillman; Makini Jackson</w:t>
      </w:r>
      <w:r>
        <w:rPr>
          <w:b w:val="0"/>
          <w:bCs w:val="0"/>
          <w:sz w:val="24"/>
          <w:szCs w:val="24"/>
        </w:rPr>
        <w:t>, the U.S. Court of Appeals for the 6</w:t>
      </w:r>
      <w:r>
        <w:rPr>
          <w:b w:val="0"/>
          <w:bCs w:val="0"/>
          <w:sz w:val="24"/>
          <w:szCs w:val="24"/>
          <w:vertAlign w:val="superscript"/>
        </w:rPr>
        <w:t>th</w:t>
      </w:r>
      <w:r>
        <w:rPr>
          <w:b w:val="0"/>
          <w:bCs w:val="0"/>
          <w:sz w:val="24"/>
          <w:szCs w:val="24"/>
        </w:rPr>
        <w:t xml:space="preserve"> Circuit (Cincinnati) held (3 to 0) that lawsuit should be reinstated against Fire Chief Dereck Hillman. </w:t>
      </w:r>
    </w:p>
    <w:p w14:paraId="73A89118" w14:textId="77777777" w:rsidR="00297434" w:rsidRDefault="00297434" w:rsidP="00297434">
      <w:pPr>
        <w:pStyle w:val="Heading1"/>
        <w:ind w:left="720"/>
        <w:rPr>
          <w:b w:val="0"/>
          <w:bCs w:val="0"/>
          <w:sz w:val="24"/>
          <w:szCs w:val="24"/>
        </w:rPr>
      </w:pPr>
      <w:r>
        <w:rPr>
          <w:b w:val="0"/>
          <w:bCs w:val="0"/>
          <w:sz w:val="24"/>
          <w:szCs w:val="24"/>
        </w:rPr>
        <w:t xml:space="preserve">“As to [Fire Chief Dereck] Hillman, Hudson’s claim stands on firmer ground. While the question is close, his amended complaint contained enough plausible allegations to move to the discovery stage of the case. For five years, Hudson openly criticized his co-workers’ behavior because he felt it hampered their ability to fight fires. Hillman knew about these comments (some concerned his behavior) and tolerated other firefighters’ dereliction of duty (some of them missed calls to respond to fires). As time passed, Hudson put his complaints into action. A year before his discharge, he filed a complaint with the Occupational Safety and Health Administration, alleging that the firefighters’ cavorting led to deficiencies in the station’s equipment. Hillman, at some point, told another firefighter that he had grown tired of Hudson’s complaints. Hillman eventually found a way to get rid of Hudson: He had falsified his timecard. Hillman fired him on that basis, even though he knew another firefighter had done the same thing. Hudson tells us why: ‘[Hillman] objected to Hudson’s religious convictions and wanted to stop Hudson[’s] outspokenness against the immorality of Hillman and the firemen.’ Id.at 15. Considering these </w:t>
      </w:r>
      <w:proofErr w:type="gramStart"/>
      <w:r>
        <w:rPr>
          <w:b w:val="0"/>
          <w:bCs w:val="0"/>
          <w:sz w:val="24"/>
          <w:szCs w:val="24"/>
        </w:rPr>
        <w:t>allegations as a whole, it’s</w:t>
      </w:r>
      <w:proofErr w:type="gramEnd"/>
      <w:r>
        <w:rPr>
          <w:b w:val="0"/>
          <w:bCs w:val="0"/>
          <w:sz w:val="24"/>
          <w:szCs w:val="24"/>
        </w:rPr>
        <w:t xml:space="preserve"> fair to say that they meet the notice pleading requirements of plausible allegations that Hillman fired Hudson because of his speech.” </w:t>
      </w:r>
      <w:hyperlink r:id="rId2855" w:history="1">
        <w:r>
          <w:rPr>
            <w:rStyle w:val="Hyperlink"/>
            <w:b w:val="0"/>
            <w:bCs w:val="0"/>
            <w:sz w:val="24"/>
            <w:szCs w:val="24"/>
          </w:rPr>
          <w:t>https://www.opn.ca6.uscourts.gov/opinions.pdf/19a0286p-06.pdf</w:t>
        </w:r>
      </w:hyperlink>
      <w:r>
        <w:rPr>
          <w:b w:val="0"/>
          <w:bCs w:val="0"/>
          <w:sz w:val="24"/>
          <w:szCs w:val="24"/>
        </w:rPr>
        <w:t xml:space="preserve"> </w:t>
      </w:r>
    </w:p>
    <w:p w14:paraId="427C3E4F"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Federal courts will carefully review claims of “retaliation” when firefighter is fired after an internal complaint, or OSHA complaint, has been submitted by the firefighter. </w:t>
      </w:r>
    </w:p>
    <w:p w14:paraId="336F3FAE" w14:textId="77777777" w:rsidR="00297434" w:rsidRPr="00297434" w:rsidRDefault="00297434" w:rsidP="00297434">
      <w:pPr>
        <w:pStyle w:val="NoSpacing"/>
        <w:ind w:left="720"/>
        <w:rPr>
          <w:rFonts w:ascii="Times New Roman" w:hAnsi="Times New Roman"/>
          <w:sz w:val="24"/>
          <w:szCs w:val="24"/>
        </w:rPr>
      </w:pPr>
    </w:p>
    <w:p w14:paraId="51AAD97C" w14:textId="1590725E" w:rsidR="00297434" w:rsidRPr="00297434" w:rsidRDefault="00297434" w:rsidP="00F326E5">
      <w:pPr>
        <w:pStyle w:val="NoSpacing"/>
        <w:rPr>
          <w:rFonts w:ascii="Times New Roman" w:hAnsi="Times New Roman"/>
          <w:sz w:val="24"/>
          <w:szCs w:val="24"/>
        </w:rPr>
      </w:pPr>
    </w:p>
    <w:p w14:paraId="4B0F877B" w14:textId="77777777" w:rsidR="00297434" w:rsidRDefault="00297434" w:rsidP="00F326E5">
      <w:pPr>
        <w:pStyle w:val="NoSpacing"/>
        <w:rPr>
          <w:rFonts w:ascii="Arial Black" w:hAnsi="Arial Black"/>
          <w:sz w:val="24"/>
          <w:szCs w:val="24"/>
        </w:rPr>
      </w:pPr>
    </w:p>
    <w:p w14:paraId="0E0E34AC" w14:textId="4DAEEEE4" w:rsidR="00A06387" w:rsidRDefault="00A06387" w:rsidP="00F326E5">
      <w:pPr>
        <w:pStyle w:val="NoSpacing"/>
        <w:rPr>
          <w:rFonts w:ascii="Arial Black" w:hAnsi="Arial Black"/>
          <w:sz w:val="24"/>
          <w:szCs w:val="24"/>
        </w:rPr>
      </w:pPr>
      <w:r>
        <w:rPr>
          <w:rFonts w:ascii="Arial Black" w:hAnsi="Arial Black"/>
          <w:sz w:val="24"/>
          <w:szCs w:val="24"/>
        </w:rPr>
        <w:t>16-17</w:t>
      </w:r>
    </w:p>
    <w:p w14:paraId="40F01D0C" w14:textId="56973B56" w:rsidR="00A06387" w:rsidRDefault="00A06387" w:rsidP="00F326E5">
      <w:pPr>
        <w:pStyle w:val="NoSpacing"/>
        <w:rPr>
          <w:rFonts w:ascii="Arial Black" w:hAnsi="Arial Black"/>
          <w:sz w:val="24"/>
          <w:szCs w:val="24"/>
        </w:rPr>
      </w:pPr>
    </w:p>
    <w:p w14:paraId="6EFD4534" w14:textId="77777777" w:rsidR="00A06387" w:rsidRPr="00AE7062" w:rsidRDefault="00A06387" w:rsidP="00A06387">
      <w:pPr>
        <w:pStyle w:val="NoSpacing"/>
        <w:rPr>
          <w:rFonts w:ascii="Arial Black" w:hAnsi="Arial Black"/>
          <w:sz w:val="28"/>
          <w:szCs w:val="28"/>
        </w:rPr>
      </w:pPr>
      <w:r w:rsidRPr="00AE7062">
        <w:rPr>
          <w:rFonts w:ascii="Arial Black" w:hAnsi="Arial Black"/>
          <w:sz w:val="28"/>
          <w:szCs w:val="28"/>
        </w:rPr>
        <w:t>TX</w:t>
      </w:r>
      <w:r>
        <w:rPr>
          <w:rFonts w:ascii="Arial Black" w:hAnsi="Arial Black"/>
          <w:sz w:val="28"/>
          <w:szCs w:val="28"/>
        </w:rPr>
        <w:t xml:space="preserve">: FF’S </w:t>
      </w:r>
      <w:r w:rsidRPr="00AE7062">
        <w:rPr>
          <w:rFonts w:ascii="Arial Black" w:hAnsi="Arial Black"/>
          <w:sz w:val="28"/>
          <w:szCs w:val="28"/>
        </w:rPr>
        <w:t xml:space="preserve">INTERNAL COMPLAINTS ABOUT FIRE CHIEF - NOT PROTECTED FIRST AMENDMENT – </w:t>
      </w:r>
      <w:r>
        <w:rPr>
          <w:rFonts w:ascii="Arial Black" w:hAnsi="Arial Black"/>
          <w:sz w:val="28"/>
          <w:szCs w:val="28"/>
        </w:rPr>
        <w:t xml:space="preserve">NOT </w:t>
      </w:r>
      <w:r w:rsidRPr="00AE7062">
        <w:rPr>
          <w:rFonts w:ascii="Arial Black" w:hAnsi="Arial Black"/>
          <w:sz w:val="28"/>
          <w:szCs w:val="28"/>
        </w:rPr>
        <w:t>“PUBLIC CONCERN”</w:t>
      </w:r>
    </w:p>
    <w:p w14:paraId="0554C073" w14:textId="77777777" w:rsidR="00A06387" w:rsidRDefault="00A06387" w:rsidP="00A06387">
      <w:pPr>
        <w:pStyle w:val="NoSpacing"/>
        <w:rPr>
          <w:rFonts w:ascii="TXArial Black" w:hAnsi="TXArial Black"/>
          <w:sz w:val="28"/>
          <w:szCs w:val="28"/>
        </w:rPr>
      </w:pPr>
    </w:p>
    <w:p w14:paraId="1F67BD31" w14:textId="77777777" w:rsidR="00A06387" w:rsidRPr="00B8368A" w:rsidRDefault="00A06387" w:rsidP="00A06387">
      <w:pPr>
        <w:pStyle w:val="NoSpacing"/>
        <w:rPr>
          <w:rFonts w:ascii="Times New Roman" w:hAnsi="Times New Roman"/>
          <w:b/>
          <w:bCs/>
          <w:sz w:val="24"/>
          <w:szCs w:val="24"/>
        </w:rPr>
      </w:pPr>
      <w:r w:rsidRPr="00B8368A">
        <w:rPr>
          <w:rFonts w:ascii="Times New Roman" w:hAnsi="Times New Roman"/>
          <w:bCs/>
          <w:sz w:val="24"/>
          <w:szCs w:val="24"/>
        </w:rPr>
        <w:t xml:space="preserve">On Oct. 10, 2019, in </w:t>
      </w:r>
      <w:r w:rsidRPr="00B8368A">
        <w:rPr>
          <w:rFonts w:ascii="Times New Roman" w:hAnsi="Times New Roman"/>
          <w:bCs/>
          <w:sz w:val="24"/>
          <w:szCs w:val="24"/>
          <w:u w:val="single"/>
        </w:rPr>
        <w:t>Billy Fratus v, The City of Baumont</w:t>
      </w:r>
      <w:r w:rsidRPr="00B8368A">
        <w:rPr>
          <w:rFonts w:ascii="Times New Roman" w:hAnsi="Times New Roman"/>
          <w:bCs/>
          <w:sz w:val="24"/>
          <w:szCs w:val="24"/>
        </w:rPr>
        <w:t>, the Court of Appeals, Ninth District of Texas at Beaumont, held (3 to 0) that trial court properly dismissed the firefighter’s lawsuit alleging he was fired [later reinstated] in retaliation for his internal complaints.</w:t>
      </w:r>
    </w:p>
    <w:p w14:paraId="69D1CA3A" w14:textId="77777777" w:rsidR="00A06387" w:rsidRPr="00B8368A" w:rsidRDefault="00A06387" w:rsidP="00A06387">
      <w:pPr>
        <w:pStyle w:val="NoSpacing"/>
        <w:rPr>
          <w:rFonts w:ascii="Times New Roman" w:hAnsi="Times New Roman"/>
          <w:b/>
          <w:bCs/>
          <w:sz w:val="24"/>
          <w:szCs w:val="24"/>
        </w:rPr>
      </w:pPr>
    </w:p>
    <w:p w14:paraId="4E878CC7" w14:textId="775730D5" w:rsidR="00A06387" w:rsidRPr="00B8368A" w:rsidRDefault="00A06387" w:rsidP="00A06387">
      <w:pPr>
        <w:pStyle w:val="NoSpacing"/>
        <w:ind w:left="720"/>
        <w:rPr>
          <w:rFonts w:ascii="Times New Roman" w:hAnsi="Times New Roman"/>
          <w:b/>
          <w:bCs/>
          <w:sz w:val="24"/>
          <w:szCs w:val="24"/>
        </w:rPr>
      </w:pPr>
      <w:r w:rsidRPr="00B8368A">
        <w:rPr>
          <w:rFonts w:ascii="Times New Roman" w:hAnsi="Times New Roman"/>
          <w:bCs/>
          <w:sz w:val="24"/>
          <w:szCs w:val="24"/>
        </w:rPr>
        <w:t>“The speech Fratus claims is protected under the Texas constitution is (1) that he ‘joined the public outcry against Huff when she illegally fired’ a firefighter, (2) he ‘made it quite clear and said that he opposed Huff or any command officer sexually harassing members of the department,’ and (3) he ‘publicly opposed Huff’s public, on duty support’ of a former firefighter in a criminal prosecution. According to the City, Fratus failed to allege how these instances of speech constituted a matter of public concern.</w:t>
      </w:r>
      <w:r w:rsidR="00B8368A">
        <w:rPr>
          <w:rFonts w:ascii="Times New Roman" w:hAnsi="Times New Roman"/>
          <w:bCs/>
          <w:sz w:val="24"/>
          <w:szCs w:val="24"/>
        </w:rPr>
        <w:t xml:space="preserve"> *** </w:t>
      </w:r>
      <w:r w:rsidRPr="00B8368A">
        <w:rPr>
          <w:rFonts w:ascii="Times New Roman" w:hAnsi="Times New Roman"/>
          <w:bCs/>
          <w:sz w:val="24"/>
          <w:szCs w:val="24"/>
        </w:rPr>
        <w:t xml:space="preserve">On this record, we conclude that Fratus has failed to plead a prima facie </w:t>
      </w:r>
      <w:proofErr w:type="gramStart"/>
      <w:r w:rsidRPr="00B8368A">
        <w:rPr>
          <w:rFonts w:ascii="Times New Roman" w:hAnsi="Times New Roman"/>
          <w:bCs/>
          <w:sz w:val="24"/>
          <w:szCs w:val="24"/>
        </w:rPr>
        <w:t>free speech</w:t>
      </w:r>
      <w:proofErr w:type="gramEnd"/>
      <w:r w:rsidRPr="00B8368A">
        <w:rPr>
          <w:rFonts w:ascii="Times New Roman" w:hAnsi="Times New Roman"/>
          <w:bCs/>
          <w:sz w:val="24"/>
          <w:szCs w:val="24"/>
        </w:rPr>
        <w:t xml:space="preserve"> claim because he failed to meet his burden of showing he engaged in speech primarily as a citizen involving a matter of public </w:t>
      </w:r>
      <w:proofErr w:type="gramStart"/>
      <w:r w:rsidRPr="00B8368A">
        <w:rPr>
          <w:rFonts w:ascii="Times New Roman" w:hAnsi="Times New Roman"/>
          <w:bCs/>
          <w:sz w:val="24"/>
          <w:szCs w:val="24"/>
        </w:rPr>
        <w:t>concern.”</w:t>
      </w:r>
      <w:proofErr w:type="gramEnd"/>
      <w:r w:rsidRPr="00B8368A">
        <w:rPr>
          <w:rFonts w:ascii="Times New Roman" w:hAnsi="Times New Roman"/>
          <w:bCs/>
          <w:sz w:val="24"/>
          <w:szCs w:val="24"/>
        </w:rPr>
        <w:t xml:space="preserve"> </w:t>
      </w:r>
    </w:p>
    <w:p w14:paraId="41309253" w14:textId="77777777" w:rsidR="00A06387" w:rsidRPr="00B8368A" w:rsidRDefault="00A06387" w:rsidP="00A06387">
      <w:pPr>
        <w:pStyle w:val="NoSpacing"/>
        <w:ind w:left="720"/>
        <w:rPr>
          <w:rFonts w:ascii="Times New Roman" w:hAnsi="Times New Roman"/>
          <w:b/>
          <w:bCs/>
          <w:sz w:val="24"/>
          <w:szCs w:val="24"/>
        </w:rPr>
      </w:pPr>
      <w:hyperlink r:id="rId2856" w:history="1">
        <w:r w:rsidRPr="00B8368A">
          <w:rPr>
            <w:rStyle w:val="Hyperlink"/>
            <w:rFonts w:ascii="Times New Roman" w:hAnsi="Times New Roman"/>
            <w:bCs/>
            <w:sz w:val="24"/>
            <w:szCs w:val="24"/>
          </w:rPr>
          <w:t>http://www.search.txcourts.gov/SearchMedia.aspx?MediaVersionID=c3f113f2-1ba2-49ff-a2ab-1b5420c141ac&amp;coa=coa09&amp;DT=Opinion&amp;MediaID=ad82a5f3-c7c6-4b28-8fe8-0de313580d94</w:t>
        </w:r>
      </w:hyperlink>
      <w:r w:rsidRPr="00B8368A">
        <w:rPr>
          <w:rFonts w:ascii="Times New Roman" w:hAnsi="Times New Roman"/>
          <w:bCs/>
          <w:sz w:val="24"/>
          <w:szCs w:val="24"/>
        </w:rPr>
        <w:t xml:space="preserve"> </w:t>
      </w:r>
    </w:p>
    <w:p w14:paraId="0BFF6939" w14:textId="77777777" w:rsidR="00A06387" w:rsidRPr="00B8368A" w:rsidRDefault="00A06387" w:rsidP="00A06387">
      <w:pPr>
        <w:pStyle w:val="NoSpacing"/>
        <w:rPr>
          <w:rFonts w:ascii="Times New Roman" w:hAnsi="Times New Roman"/>
          <w:b/>
          <w:bCs/>
          <w:sz w:val="24"/>
          <w:szCs w:val="24"/>
        </w:rPr>
      </w:pPr>
    </w:p>
    <w:p w14:paraId="04587631" w14:textId="77777777" w:rsidR="00B8368A" w:rsidRDefault="00A06387" w:rsidP="00A06387">
      <w:pPr>
        <w:pStyle w:val="NoSpacing"/>
        <w:rPr>
          <w:rFonts w:ascii="Times New Roman" w:hAnsi="Times New Roman"/>
          <w:sz w:val="24"/>
          <w:szCs w:val="24"/>
        </w:rPr>
      </w:pPr>
      <w:r w:rsidRPr="00B8368A">
        <w:rPr>
          <w:rFonts w:ascii="Times New Roman" w:hAnsi="Times New Roman"/>
          <w:b/>
          <w:bCs/>
          <w:sz w:val="24"/>
          <w:szCs w:val="24"/>
        </w:rPr>
        <w:t>Legal Lessons Learned: Firefighters and other public employees have limited First Amendment rights, unless speech relates to items of “public concern.”</w:t>
      </w:r>
      <w:r w:rsidRPr="00B8368A">
        <w:rPr>
          <w:rFonts w:ascii="Times New Roman" w:hAnsi="Times New Roman"/>
          <w:sz w:val="24"/>
          <w:szCs w:val="24"/>
        </w:rPr>
        <w:t xml:space="preserve">  </w:t>
      </w:r>
    </w:p>
    <w:p w14:paraId="302858C7" w14:textId="50BAE7B4" w:rsidR="00A06387" w:rsidRPr="00B8368A" w:rsidRDefault="00A06387" w:rsidP="00B8368A">
      <w:pPr>
        <w:pStyle w:val="NoSpacing"/>
        <w:ind w:left="720"/>
        <w:rPr>
          <w:rFonts w:ascii="Times New Roman" w:hAnsi="Times New Roman"/>
          <w:b/>
          <w:bCs/>
          <w:sz w:val="24"/>
          <w:szCs w:val="24"/>
        </w:rPr>
      </w:pPr>
      <w:r w:rsidRPr="00B8368A">
        <w:rPr>
          <w:rFonts w:ascii="Times New Roman" w:hAnsi="Times New Roman"/>
          <w:bCs/>
          <w:sz w:val="24"/>
          <w:szCs w:val="24"/>
        </w:rPr>
        <w:t>An example</w:t>
      </w:r>
      <w:r w:rsidRPr="00B8368A">
        <w:rPr>
          <w:rFonts w:ascii="Times New Roman" w:hAnsi="Times New Roman"/>
          <w:sz w:val="24"/>
          <w:szCs w:val="24"/>
        </w:rPr>
        <w:t xml:space="preserve"> </w:t>
      </w:r>
      <w:r w:rsidRPr="00B8368A">
        <w:rPr>
          <w:rFonts w:ascii="Times New Roman" w:hAnsi="Times New Roman"/>
          <w:bCs/>
          <w:sz w:val="24"/>
          <w:szCs w:val="24"/>
        </w:rPr>
        <w:t xml:space="preserve">on an item that would be covered – public comments on proposed tax levy.  See the U.S. Supreme Court’s decision in Pickering v. Board of Education, 391 U.S. 563 (1968) (establishing the so-called “balancing test”), where the Court reversed the termination of a teacher who sent letter to local newspaper about proposed school board tax levy: </w:t>
      </w:r>
      <w:r w:rsidRPr="00B8368A">
        <w:rPr>
          <w:rStyle w:val="headertext"/>
          <w:rFonts w:ascii="Times New Roman" w:hAnsi="Times New Roman"/>
          <w:bCs/>
          <w:sz w:val="24"/>
          <w:szCs w:val="24"/>
        </w:rPr>
        <w:t xml:space="preserve">“Appellant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w:t>
      </w:r>
      <w:r w:rsidRPr="00B8368A">
        <w:rPr>
          <w:rFonts w:ascii="Times New Roman" w:hAnsi="Times New Roman"/>
          <w:bCs/>
          <w:sz w:val="24"/>
          <w:szCs w:val="24"/>
        </w:rPr>
        <w:t xml:space="preserve">In these circumstances, we conclude that the interest of the school administration in limiting teachers' opportunities to contribute to public debate is not significantly greater than its interest in limiting a similar contribution by any member of the </w:t>
      </w:r>
      <w:proofErr w:type="gramStart"/>
      <w:r w:rsidRPr="00B8368A">
        <w:rPr>
          <w:rFonts w:ascii="Times New Roman" w:hAnsi="Times New Roman"/>
          <w:bCs/>
          <w:sz w:val="24"/>
          <w:szCs w:val="24"/>
        </w:rPr>
        <w:t>general public</w:t>
      </w:r>
      <w:proofErr w:type="gramEnd"/>
      <w:r w:rsidRPr="00B8368A">
        <w:rPr>
          <w:rFonts w:ascii="Times New Roman" w:hAnsi="Times New Roman"/>
          <w:bCs/>
          <w:sz w:val="24"/>
          <w:szCs w:val="24"/>
        </w:rPr>
        <w:t xml:space="preserve">. </w:t>
      </w:r>
      <w:hyperlink r:id="rId2857" w:history="1">
        <w:r w:rsidRPr="00B8368A">
          <w:rPr>
            <w:rStyle w:val="Hyperlink"/>
            <w:rFonts w:ascii="Times New Roman" w:hAnsi="Times New Roman"/>
            <w:bCs/>
            <w:sz w:val="24"/>
            <w:szCs w:val="24"/>
          </w:rPr>
          <w:t>https://supreme.justia.com/cases/federal/us/391/563</w:t>
        </w:r>
      </w:hyperlink>
      <w:r w:rsidRPr="00B8368A">
        <w:rPr>
          <w:rFonts w:ascii="Times New Roman" w:hAnsi="Times New Roman"/>
          <w:bCs/>
          <w:sz w:val="24"/>
          <w:szCs w:val="24"/>
        </w:rPr>
        <w:t xml:space="preserve"> </w:t>
      </w:r>
    </w:p>
    <w:p w14:paraId="4CB0E108" w14:textId="77777777" w:rsidR="001D2278" w:rsidRDefault="001D2278" w:rsidP="00F326E5">
      <w:pPr>
        <w:pStyle w:val="NoSpacing"/>
        <w:rPr>
          <w:rFonts w:ascii="Arial Black" w:hAnsi="Arial Black"/>
          <w:sz w:val="24"/>
          <w:szCs w:val="24"/>
        </w:rPr>
      </w:pPr>
    </w:p>
    <w:p w14:paraId="2F434A7E" w14:textId="77777777" w:rsidR="001D2278" w:rsidRDefault="001D2278" w:rsidP="00F326E5">
      <w:pPr>
        <w:pStyle w:val="NoSpacing"/>
        <w:rPr>
          <w:rFonts w:ascii="Arial Black" w:hAnsi="Arial Black"/>
          <w:sz w:val="24"/>
          <w:szCs w:val="24"/>
        </w:rPr>
      </w:pPr>
    </w:p>
    <w:p w14:paraId="005EB006" w14:textId="38B5BDE8" w:rsidR="00A06387" w:rsidRDefault="00A06387" w:rsidP="00F326E5">
      <w:pPr>
        <w:pStyle w:val="NoSpacing"/>
        <w:rPr>
          <w:rFonts w:ascii="Arial Black" w:hAnsi="Arial Black"/>
          <w:sz w:val="24"/>
          <w:szCs w:val="24"/>
        </w:rPr>
      </w:pPr>
      <w:r>
        <w:rPr>
          <w:rFonts w:ascii="Arial Black" w:hAnsi="Arial Black"/>
          <w:sz w:val="24"/>
          <w:szCs w:val="24"/>
        </w:rPr>
        <w:t>16-16</w:t>
      </w:r>
    </w:p>
    <w:p w14:paraId="5F85AF12" w14:textId="269A1EC8" w:rsidR="00A06387" w:rsidRDefault="00A06387" w:rsidP="00F326E5">
      <w:pPr>
        <w:pStyle w:val="NoSpacing"/>
        <w:rPr>
          <w:rFonts w:ascii="Arial Black" w:hAnsi="Arial Black"/>
          <w:sz w:val="24"/>
          <w:szCs w:val="24"/>
        </w:rPr>
      </w:pPr>
    </w:p>
    <w:p w14:paraId="4A2D7DE9" w14:textId="77777777" w:rsidR="00A06387" w:rsidRPr="006B193B" w:rsidRDefault="00A06387" w:rsidP="00A06387">
      <w:pPr>
        <w:pStyle w:val="NoSpacing"/>
        <w:rPr>
          <w:rFonts w:ascii="Arial Black" w:hAnsi="Arial Black"/>
          <w:sz w:val="28"/>
          <w:szCs w:val="28"/>
        </w:rPr>
      </w:pPr>
      <w:r>
        <w:rPr>
          <w:rFonts w:ascii="Arial Black" w:hAnsi="Arial Black"/>
          <w:sz w:val="28"/>
          <w:szCs w:val="28"/>
        </w:rPr>
        <w:t>TX: “LAST CHANCE AGREEMENT” - BREACHED WITHIN TWO YEARS, SICK LEAVE ABUSE – FIRED – LAWSUIT DISMISSED</w:t>
      </w:r>
    </w:p>
    <w:p w14:paraId="4E441EE0" w14:textId="77777777" w:rsidR="00A06387" w:rsidRDefault="00A06387" w:rsidP="00A06387">
      <w:pPr>
        <w:pStyle w:val="NoSpacing"/>
      </w:pPr>
    </w:p>
    <w:p w14:paraId="26614467" w14:textId="77777777" w:rsidR="00A06387" w:rsidRPr="00B8368A" w:rsidRDefault="00A06387" w:rsidP="00A06387">
      <w:pPr>
        <w:pStyle w:val="NoSpacing"/>
        <w:rPr>
          <w:rFonts w:ascii="Times New Roman" w:hAnsi="Times New Roman"/>
          <w:b/>
          <w:bCs/>
          <w:sz w:val="24"/>
          <w:szCs w:val="24"/>
        </w:rPr>
      </w:pPr>
      <w:r w:rsidRPr="00B8368A">
        <w:rPr>
          <w:rFonts w:ascii="Times New Roman" w:hAnsi="Times New Roman"/>
          <w:bCs/>
          <w:sz w:val="24"/>
          <w:szCs w:val="24"/>
        </w:rPr>
        <w:t xml:space="preserve">On Oct. 3, 2019, in </w:t>
      </w:r>
      <w:r w:rsidRPr="00B8368A">
        <w:rPr>
          <w:rFonts w:ascii="Times New Roman" w:hAnsi="Times New Roman"/>
          <w:bCs/>
          <w:sz w:val="24"/>
          <w:szCs w:val="24"/>
          <w:u w:val="single"/>
        </w:rPr>
        <w:t>Michael Scott Nix v. City of Beaumont, Texas</w:t>
      </w:r>
      <w:r w:rsidRPr="00B8368A">
        <w:rPr>
          <w:rFonts w:ascii="Times New Roman" w:hAnsi="Times New Roman"/>
          <w:bCs/>
          <w:sz w:val="24"/>
          <w:szCs w:val="24"/>
        </w:rPr>
        <w:t xml:space="preserve">, the Court of Appeals, Ninth District of Texas ay Beaumont, the Court held (3 to 0) that trial court properly dismissed his lawsuit seeking a declaration that the City violated his rights when he was “indefinitely suspended” [terminated] on Sept. 13, </w:t>
      </w:r>
      <w:proofErr w:type="gramStart"/>
      <w:r w:rsidRPr="00B8368A">
        <w:rPr>
          <w:rFonts w:ascii="Times New Roman" w:hAnsi="Times New Roman"/>
          <w:bCs/>
          <w:sz w:val="24"/>
          <w:szCs w:val="24"/>
        </w:rPr>
        <w:t>2019</w:t>
      </w:r>
      <w:proofErr w:type="gramEnd"/>
      <w:r w:rsidRPr="00B8368A">
        <w:rPr>
          <w:rFonts w:ascii="Times New Roman" w:hAnsi="Times New Roman"/>
          <w:bCs/>
          <w:sz w:val="24"/>
          <w:szCs w:val="24"/>
        </w:rPr>
        <w:t xml:space="preserve"> for sick leave abuse during the two-year period following the Last Chance Agreement of April 2, </w:t>
      </w:r>
      <w:proofErr w:type="gramStart"/>
      <w:r w:rsidRPr="00B8368A">
        <w:rPr>
          <w:rFonts w:ascii="Times New Roman" w:hAnsi="Times New Roman"/>
          <w:bCs/>
          <w:sz w:val="24"/>
          <w:szCs w:val="24"/>
        </w:rPr>
        <w:t>2015</w:t>
      </w:r>
      <w:proofErr w:type="gramEnd"/>
      <w:r w:rsidRPr="00B8368A">
        <w:rPr>
          <w:rFonts w:ascii="Times New Roman" w:hAnsi="Times New Roman"/>
          <w:bCs/>
          <w:sz w:val="24"/>
          <w:szCs w:val="24"/>
        </w:rPr>
        <w:t xml:space="preserve"> where he served a 90-day suspension for prior disciplinary conduct. </w:t>
      </w:r>
    </w:p>
    <w:p w14:paraId="7C89F2C3" w14:textId="77777777" w:rsidR="00A06387" w:rsidRPr="00B8368A" w:rsidRDefault="00A06387" w:rsidP="00A06387">
      <w:pPr>
        <w:pStyle w:val="NoSpacing"/>
        <w:rPr>
          <w:rFonts w:ascii="Times New Roman" w:hAnsi="Times New Roman"/>
          <w:b/>
          <w:bCs/>
          <w:sz w:val="24"/>
          <w:szCs w:val="24"/>
        </w:rPr>
      </w:pPr>
    </w:p>
    <w:p w14:paraId="533330C1" w14:textId="77777777" w:rsidR="00A06387" w:rsidRPr="00B8368A" w:rsidRDefault="00A06387" w:rsidP="00A06387">
      <w:pPr>
        <w:pStyle w:val="NoSpacing"/>
        <w:ind w:left="720"/>
        <w:rPr>
          <w:rFonts w:ascii="Times New Roman" w:hAnsi="Times New Roman"/>
          <w:b/>
          <w:bCs/>
          <w:sz w:val="24"/>
          <w:szCs w:val="24"/>
        </w:rPr>
      </w:pPr>
      <w:r w:rsidRPr="00B8368A">
        <w:rPr>
          <w:rFonts w:ascii="Times New Roman" w:hAnsi="Times New Roman"/>
          <w:bCs/>
          <w:sz w:val="24"/>
          <w:szCs w:val="24"/>
        </w:rPr>
        <w:t xml:space="preserve">“Importantly, Nix agreed in writing to voluntarily accept his 2015 disciplinary suspension, with no right to appeal the terms and conditions of the Agreement or the Chief’s decision to indefinitely suspend his employment in 2015. See Tex. Loc. Gov’t Code Ann. § 143.052(g). When Nix accepted the Agreement in 2015, he had the opportunity to refuse the Chief’s offer and appeal his suspension to the [Civil Service] Commission; however, Nix agreed to waive his right to appeal, including the right to appeal the Chief’s 2017 decision determining that Nix had violated the Agreement and reinstating his indefinite suspension.” </w:t>
      </w:r>
      <w:hyperlink r:id="rId2858" w:history="1">
        <w:r w:rsidRPr="00B8368A">
          <w:rPr>
            <w:rStyle w:val="Hyperlink"/>
            <w:rFonts w:ascii="Times New Roman" w:hAnsi="Times New Roman"/>
            <w:bCs/>
            <w:sz w:val="24"/>
            <w:szCs w:val="24"/>
          </w:rPr>
          <w:t>https://cases.justia.com/texas/ninth-court-of-appeals/2019-09-18-00407-cv-0.pdf?ts=1570180546</w:t>
        </w:r>
      </w:hyperlink>
      <w:r w:rsidRPr="00B8368A">
        <w:rPr>
          <w:rFonts w:ascii="Times New Roman" w:hAnsi="Times New Roman"/>
          <w:bCs/>
          <w:sz w:val="24"/>
          <w:szCs w:val="24"/>
        </w:rPr>
        <w:t xml:space="preserve"> </w:t>
      </w:r>
    </w:p>
    <w:p w14:paraId="78305F63" w14:textId="77777777" w:rsidR="00B8368A" w:rsidRDefault="00B8368A" w:rsidP="00A06387">
      <w:pPr>
        <w:pStyle w:val="NoSpacing"/>
        <w:rPr>
          <w:rFonts w:ascii="Times New Roman" w:hAnsi="Times New Roman"/>
          <w:b/>
          <w:bCs/>
          <w:sz w:val="24"/>
          <w:szCs w:val="24"/>
        </w:rPr>
      </w:pPr>
    </w:p>
    <w:p w14:paraId="38D1D096" w14:textId="164BE22C" w:rsidR="00A06387" w:rsidRPr="00B8368A" w:rsidRDefault="00A06387" w:rsidP="00A06387">
      <w:pPr>
        <w:pStyle w:val="NoSpacing"/>
        <w:rPr>
          <w:rFonts w:ascii="Times New Roman" w:hAnsi="Times New Roman"/>
          <w:b/>
          <w:bCs/>
          <w:sz w:val="24"/>
          <w:szCs w:val="24"/>
        </w:rPr>
      </w:pPr>
      <w:r w:rsidRPr="00B8368A">
        <w:rPr>
          <w:rFonts w:ascii="Times New Roman" w:hAnsi="Times New Roman"/>
          <w:b/>
          <w:bCs/>
          <w:sz w:val="24"/>
          <w:szCs w:val="24"/>
        </w:rPr>
        <w:t xml:space="preserve">Legal Lessons Learned: Last Chance Agreements are an effective method to give a firefighter “one last chance.”  </w:t>
      </w:r>
    </w:p>
    <w:p w14:paraId="6DE23726" w14:textId="77777777" w:rsidR="00A06387" w:rsidRDefault="00A06387" w:rsidP="00A06387">
      <w:pPr>
        <w:pStyle w:val="NoSpacing"/>
        <w:rPr>
          <w:sz w:val="35"/>
          <w:szCs w:val="35"/>
        </w:rPr>
      </w:pPr>
    </w:p>
    <w:p w14:paraId="79C5C1C0" w14:textId="72C85C03" w:rsidR="0005503D" w:rsidRPr="00A67C57" w:rsidRDefault="0005503D" w:rsidP="0005503D">
      <w:pPr>
        <w:pStyle w:val="NoSpacing"/>
        <w:rPr>
          <w:rFonts w:ascii="Times New Roman" w:hAnsi="Times New Roman"/>
          <w:sz w:val="24"/>
          <w:szCs w:val="24"/>
        </w:rPr>
      </w:pPr>
    </w:p>
    <w:p w14:paraId="019B9EF3" w14:textId="77777777" w:rsidR="00A06387" w:rsidRDefault="00A06387" w:rsidP="00F326E5">
      <w:pPr>
        <w:pStyle w:val="NoSpacing"/>
        <w:rPr>
          <w:rFonts w:ascii="Arial Black" w:hAnsi="Arial Black"/>
          <w:sz w:val="24"/>
          <w:szCs w:val="24"/>
        </w:rPr>
      </w:pPr>
    </w:p>
    <w:p w14:paraId="77F7ADFA" w14:textId="77777777" w:rsidR="00A06387" w:rsidRDefault="00A06387" w:rsidP="00F326E5">
      <w:pPr>
        <w:pStyle w:val="NoSpacing"/>
        <w:rPr>
          <w:rFonts w:ascii="Arial Black" w:hAnsi="Arial Black"/>
          <w:sz w:val="24"/>
          <w:szCs w:val="24"/>
        </w:rPr>
      </w:pPr>
    </w:p>
    <w:p w14:paraId="60CC1237" w14:textId="4B93963E" w:rsidR="00F326E5" w:rsidRDefault="000C4DF5" w:rsidP="00F326E5">
      <w:pPr>
        <w:pStyle w:val="NoSpacing"/>
        <w:rPr>
          <w:b/>
          <w:sz w:val="24"/>
          <w:szCs w:val="24"/>
        </w:rPr>
      </w:pPr>
      <w:r>
        <w:rPr>
          <w:rFonts w:ascii="Arial Black" w:hAnsi="Arial Black"/>
          <w:sz w:val="24"/>
          <w:szCs w:val="24"/>
        </w:rPr>
        <w:t>16-1</w:t>
      </w:r>
      <w:r w:rsidR="00F4486C">
        <w:rPr>
          <w:rFonts w:ascii="Arial Black" w:hAnsi="Arial Black"/>
          <w:sz w:val="24"/>
          <w:szCs w:val="24"/>
        </w:rPr>
        <w:t>5</w:t>
      </w:r>
    </w:p>
    <w:p w14:paraId="7E5A0305" w14:textId="77777777" w:rsidR="00527EDF" w:rsidRDefault="00527EDF" w:rsidP="00D161A5">
      <w:pPr>
        <w:pStyle w:val="NoSpacing"/>
        <w:rPr>
          <w:sz w:val="24"/>
          <w:szCs w:val="24"/>
        </w:rPr>
      </w:pPr>
      <w:bookmarkStart w:id="610" w:name="_Hlk6756675"/>
    </w:p>
    <w:p w14:paraId="07BB351A" w14:textId="14D114D7" w:rsidR="00527EDF" w:rsidRPr="00AD1DCC" w:rsidRDefault="00527EDF" w:rsidP="00527EDF">
      <w:pPr>
        <w:pStyle w:val="NoSpacing"/>
        <w:rPr>
          <w:rFonts w:ascii="Arial Black" w:hAnsi="Arial Black"/>
          <w:sz w:val="28"/>
          <w:szCs w:val="28"/>
        </w:rPr>
      </w:pPr>
      <w:bookmarkStart w:id="611" w:name="_Hlk10127684"/>
      <w:r w:rsidRPr="00AD1DCC">
        <w:rPr>
          <w:rFonts w:ascii="Arial Black" w:hAnsi="Arial Black"/>
          <w:sz w:val="28"/>
          <w:szCs w:val="28"/>
        </w:rPr>
        <w:t>IL</w:t>
      </w:r>
      <w:r>
        <w:rPr>
          <w:rFonts w:ascii="Arial Black" w:hAnsi="Arial Black"/>
          <w:sz w:val="28"/>
          <w:szCs w:val="28"/>
        </w:rPr>
        <w:t xml:space="preserve">:  RESIDENCY – FF FIRED – PAST THREE YEARS DID NOT RESIDE IN VILLAGE – MAIL DROP LOCATION IS NOT RESIDENCY </w:t>
      </w:r>
    </w:p>
    <w:p w14:paraId="33F0E9BB" w14:textId="77777777" w:rsidR="00527EDF" w:rsidRDefault="00527EDF" w:rsidP="00527EDF">
      <w:pPr>
        <w:pStyle w:val="NoSpacing"/>
        <w:rPr>
          <w:sz w:val="30"/>
          <w:szCs w:val="30"/>
        </w:rPr>
      </w:pPr>
    </w:p>
    <w:p w14:paraId="3C43891E" w14:textId="77777777" w:rsidR="00527EDF" w:rsidRDefault="00527EDF" w:rsidP="00527EDF">
      <w:pPr>
        <w:pStyle w:val="NoSpacing"/>
        <w:rPr>
          <w:rFonts w:ascii="Times New Roman" w:hAnsi="Times New Roman"/>
          <w:sz w:val="24"/>
          <w:szCs w:val="24"/>
        </w:rPr>
      </w:pPr>
      <w:r w:rsidRPr="00AD1DCC">
        <w:rPr>
          <w:rFonts w:ascii="Times New Roman" w:hAnsi="Times New Roman"/>
          <w:sz w:val="24"/>
          <w:szCs w:val="24"/>
        </w:rPr>
        <w:t>On</w:t>
      </w:r>
      <w:r>
        <w:rPr>
          <w:rFonts w:ascii="Times New Roman" w:hAnsi="Times New Roman"/>
          <w:sz w:val="24"/>
          <w:szCs w:val="24"/>
        </w:rPr>
        <w:t xml:space="preserve"> May 29, 2019, in </w:t>
      </w:r>
      <w:r w:rsidRPr="00AD1DCC">
        <w:rPr>
          <w:rFonts w:ascii="Times New Roman" w:hAnsi="Times New Roman"/>
          <w:sz w:val="24"/>
          <w:szCs w:val="24"/>
          <w:u w:val="single"/>
        </w:rPr>
        <w:t>John Cannici v. Village of Melrose Park</w:t>
      </w:r>
      <w:r>
        <w:rPr>
          <w:rFonts w:ascii="Times New Roman" w:hAnsi="Times New Roman"/>
          <w:sz w:val="24"/>
          <w:szCs w:val="24"/>
        </w:rPr>
        <w:t xml:space="preserve">, the Appellate Court of Illinois, First District, </w:t>
      </w:r>
      <w:r w:rsidRPr="00AD1DCC">
        <w:rPr>
          <w:rFonts w:ascii="Times New Roman" w:hAnsi="Times New Roman"/>
          <w:sz w:val="24"/>
          <w:szCs w:val="24"/>
        </w:rPr>
        <w:t>2019 IL App (1st) 181422-U</w:t>
      </w:r>
      <w:r>
        <w:rPr>
          <w:rFonts w:ascii="Times New Roman" w:hAnsi="Times New Roman"/>
          <w:sz w:val="24"/>
          <w:szCs w:val="24"/>
        </w:rPr>
        <w:t xml:space="preserve">,  held (3 to 0) that the fire fighter was properly terminated for violating residency ordinance. </w:t>
      </w:r>
    </w:p>
    <w:p w14:paraId="05F02A1B" w14:textId="77777777" w:rsidR="00527EDF" w:rsidRPr="00AD1DCC" w:rsidRDefault="00527EDF" w:rsidP="00527EDF">
      <w:pPr>
        <w:pStyle w:val="NoSpacing"/>
        <w:rPr>
          <w:rFonts w:ascii="Times New Roman" w:hAnsi="Times New Roman"/>
          <w:sz w:val="24"/>
          <w:szCs w:val="24"/>
        </w:rPr>
      </w:pPr>
    </w:p>
    <w:p w14:paraId="698BF7FE"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AD1DCC">
        <w:rPr>
          <w:rFonts w:ascii="Times New Roman" w:hAnsi="Times New Roman"/>
          <w:sz w:val="24"/>
          <w:szCs w:val="24"/>
        </w:rPr>
        <w:t xml:space="preserve">The Board did not indicate that it found fault with Cannici’s earlier arrangement where he lived in the </w:t>
      </w:r>
      <w:r>
        <w:rPr>
          <w:rFonts w:ascii="Times New Roman" w:hAnsi="Times New Roman"/>
          <w:sz w:val="24"/>
          <w:szCs w:val="24"/>
        </w:rPr>
        <w:t xml:space="preserve">[Melrose Park] </w:t>
      </w:r>
      <w:r w:rsidRPr="00AD1DCC">
        <w:rPr>
          <w:rFonts w:ascii="Times New Roman" w:hAnsi="Times New Roman"/>
          <w:sz w:val="24"/>
          <w:szCs w:val="24"/>
        </w:rPr>
        <w:t xml:space="preserve">Norwood house for a majority of the week and would spend his weekends at the Orland Park house. Although this arrangement included physical absence from the Norwood house for </w:t>
      </w:r>
      <w:r>
        <w:rPr>
          <w:rFonts w:ascii="Times New Roman" w:hAnsi="Times New Roman"/>
          <w:sz w:val="24"/>
          <w:szCs w:val="24"/>
        </w:rPr>
        <w:t>‘</w:t>
      </w:r>
      <w:r w:rsidRPr="00AD1DCC">
        <w:rPr>
          <w:rFonts w:ascii="Times New Roman" w:hAnsi="Times New Roman"/>
          <w:sz w:val="24"/>
          <w:szCs w:val="24"/>
        </w:rPr>
        <w:t>some</w:t>
      </w:r>
      <w:r>
        <w:rPr>
          <w:rFonts w:ascii="Times New Roman" w:hAnsi="Times New Roman"/>
          <w:sz w:val="24"/>
          <w:szCs w:val="24"/>
        </w:rPr>
        <w:t>’</w:t>
      </w:r>
      <w:r w:rsidRPr="00AD1DCC">
        <w:rPr>
          <w:rFonts w:ascii="Times New Roman" w:hAnsi="Times New Roman"/>
          <w:sz w:val="24"/>
          <w:szCs w:val="24"/>
        </w:rPr>
        <w:t xml:space="preserve"> of the time, this was not a violation of the residency ordinance as he still lived in the Norwood house for </w:t>
      </w:r>
      <w:proofErr w:type="gramStart"/>
      <w:r w:rsidRPr="00AD1DCC">
        <w:rPr>
          <w:rFonts w:ascii="Times New Roman" w:hAnsi="Times New Roman"/>
          <w:sz w:val="24"/>
          <w:szCs w:val="24"/>
        </w:rPr>
        <w:t>the majority of</w:t>
      </w:r>
      <w:proofErr w:type="gramEnd"/>
      <w:r w:rsidRPr="00AD1DCC">
        <w:rPr>
          <w:rFonts w:ascii="Times New Roman" w:hAnsi="Times New Roman"/>
          <w:sz w:val="24"/>
          <w:szCs w:val="24"/>
        </w:rPr>
        <w:t xml:space="preserve"> his time and treated it as his primary home or abode. However, when he leased the Norwood house to the </w:t>
      </w:r>
      <w:proofErr w:type="spellStart"/>
      <w:r w:rsidRPr="00AD1DCC">
        <w:rPr>
          <w:rFonts w:ascii="Times New Roman" w:hAnsi="Times New Roman"/>
          <w:sz w:val="24"/>
          <w:szCs w:val="24"/>
        </w:rPr>
        <w:t>Cichons</w:t>
      </w:r>
      <w:proofErr w:type="spellEnd"/>
      <w:r w:rsidRPr="00AD1DCC">
        <w:rPr>
          <w:rFonts w:ascii="Times New Roman" w:hAnsi="Times New Roman"/>
          <w:sz w:val="24"/>
          <w:szCs w:val="24"/>
        </w:rPr>
        <w:t xml:space="preserve">, he no longer used the Norwood house as his primary home and spent practically no time in the </w:t>
      </w:r>
    </w:p>
    <w:p w14:paraId="39B5AF3A" w14:textId="77777777" w:rsidR="00527EDF" w:rsidRDefault="00527EDF" w:rsidP="00527EDF">
      <w:pPr>
        <w:pStyle w:val="NoSpacing"/>
        <w:ind w:left="720"/>
        <w:rPr>
          <w:rFonts w:ascii="Times New Roman" w:hAnsi="Times New Roman"/>
          <w:sz w:val="24"/>
          <w:szCs w:val="24"/>
        </w:rPr>
      </w:pPr>
      <w:r w:rsidRPr="00AD1DCC">
        <w:rPr>
          <w:rFonts w:ascii="Times New Roman" w:hAnsi="Times New Roman"/>
          <w:sz w:val="24"/>
          <w:szCs w:val="24"/>
        </w:rPr>
        <w:t>Norwood house, except the time spent picking up his mail.</w:t>
      </w:r>
      <w:r>
        <w:rPr>
          <w:rFonts w:ascii="Times New Roman" w:hAnsi="Times New Roman"/>
          <w:sz w:val="24"/>
          <w:szCs w:val="24"/>
        </w:rPr>
        <w:t xml:space="preserve">” </w:t>
      </w:r>
      <w:hyperlink r:id="rId2859" w:history="1">
        <w:r w:rsidRPr="00AD1DCC">
          <w:rPr>
            <w:rStyle w:val="Hyperlink"/>
            <w:rFonts w:ascii="Times New Roman" w:hAnsi="Times New Roman"/>
            <w:sz w:val="24"/>
            <w:szCs w:val="24"/>
          </w:rPr>
          <w:t>http://www.illinoiscourts.gov/R23_Orders/AppellateCourt/2019/1stDistrict/1181422_R23.pdf</w:t>
        </w:r>
      </w:hyperlink>
      <w:r w:rsidRPr="00AD1DCC">
        <w:rPr>
          <w:rFonts w:ascii="Times New Roman" w:hAnsi="Times New Roman"/>
          <w:sz w:val="24"/>
          <w:szCs w:val="24"/>
        </w:rPr>
        <w:t xml:space="preserve"> </w:t>
      </w:r>
    </w:p>
    <w:p w14:paraId="0A1029C0" w14:textId="77777777" w:rsidR="00527EDF" w:rsidRDefault="00527EDF" w:rsidP="00527EDF">
      <w:pPr>
        <w:pStyle w:val="NoSpacing"/>
        <w:ind w:left="720"/>
        <w:rPr>
          <w:rFonts w:ascii="Times New Roman" w:hAnsi="Times New Roman"/>
          <w:sz w:val="24"/>
          <w:szCs w:val="24"/>
        </w:rPr>
      </w:pPr>
    </w:p>
    <w:p w14:paraId="55EB236B" w14:textId="77777777" w:rsidR="00527EDF" w:rsidRDefault="00527EDF" w:rsidP="00527EDF">
      <w:pPr>
        <w:pStyle w:val="Heading1"/>
        <w:rPr>
          <w:sz w:val="24"/>
          <w:szCs w:val="24"/>
        </w:rPr>
      </w:pPr>
      <w:bookmarkStart w:id="612" w:name="_Hlk10127722"/>
      <w:bookmarkEnd w:id="611"/>
      <w:r w:rsidRPr="004E23C9">
        <w:rPr>
          <w:sz w:val="24"/>
          <w:szCs w:val="24"/>
        </w:rPr>
        <w:t xml:space="preserve">Legal Lessons Learned:  Some states, such as Ohio, have enacted statutes that have set aside municipal residency requirements. </w:t>
      </w:r>
    </w:p>
    <w:p w14:paraId="38BAA28D" w14:textId="77777777" w:rsidR="00527EDF" w:rsidRDefault="00527EDF" w:rsidP="00527EDF">
      <w:pPr>
        <w:pStyle w:val="Heading1"/>
        <w:ind w:left="720"/>
        <w:rPr>
          <w:b w:val="0"/>
          <w:sz w:val="24"/>
          <w:szCs w:val="24"/>
        </w:rPr>
      </w:pPr>
      <w:r w:rsidRPr="004E23C9">
        <w:rPr>
          <w:b w:val="0"/>
          <w:sz w:val="24"/>
          <w:szCs w:val="24"/>
        </w:rPr>
        <w:t xml:space="preserve">See article, “Ohio Supreme Court rules against city residency requirements,” June 10, 2009, </w:t>
      </w:r>
      <w:hyperlink r:id="rId2860" w:history="1">
        <w:r w:rsidRPr="00D10EF5">
          <w:rPr>
            <w:rStyle w:val="Hyperlink"/>
            <w:b w:val="0"/>
            <w:sz w:val="24"/>
            <w:szCs w:val="24"/>
          </w:rPr>
          <w:t>https://www.cleveland.com/cityhall/2009/06/ohio_supreme_court_deals_a_leg.html</w:t>
        </w:r>
      </w:hyperlink>
      <w:r w:rsidRPr="004E23C9">
        <w:rPr>
          <w:b w:val="0"/>
          <w:sz w:val="24"/>
          <w:szCs w:val="24"/>
        </w:rPr>
        <w:t xml:space="preserve"> </w:t>
      </w:r>
    </w:p>
    <w:p w14:paraId="6AFADD87" w14:textId="77777777" w:rsidR="00527EDF" w:rsidRDefault="00527EDF" w:rsidP="00527EDF">
      <w:pPr>
        <w:pStyle w:val="Heading1"/>
        <w:ind w:firstLine="720"/>
        <w:rPr>
          <w:b w:val="0"/>
          <w:sz w:val="24"/>
          <w:szCs w:val="24"/>
        </w:rPr>
      </w:pPr>
      <w:r>
        <w:rPr>
          <w:b w:val="0"/>
          <w:sz w:val="24"/>
          <w:szCs w:val="24"/>
        </w:rPr>
        <w:t>Ohio Supreme Court o</w:t>
      </w:r>
      <w:r w:rsidRPr="004E23C9">
        <w:rPr>
          <w:b w:val="0"/>
          <w:sz w:val="24"/>
          <w:szCs w:val="24"/>
        </w:rPr>
        <w:t xml:space="preserve">pinion: </w:t>
      </w:r>
      <w:hyperlink r:id="rId2861" w:tgtFrame="_blank" w:tooltip="Link opens new window" w:history="1">
        <w:r w:rsidRPr="004E23C9">
          <w:rPr>
            <w:rStyle w:val="Hyperlink"/>
            <w:b w:val="0"/>
            <w:sz w:val="24"/>
            <w:szCs w:val="24"/>
          </w:rPr>
          <w:t>http://www.supremecourt.ohio.gov/rod/docs/pdf/0/2009/2009-Ohio-2597.pdf</w:t>
        </w:r>
      </w:hyperlink>
      <w:r w:rsidRPr="004E23C9">
        <w:rPr>
          <w:b w:val="0"/>
          <w:sz w:val="24"/>
          <w:szCs w:val="24"/>
        </w:rPr>
        <w:t xml:space="preserve"> </w:t>
      </w:r>
    </w:p>
    <w:p w14:paraId="351169DF" w14:textId="77777777" w:rsidR="00527EDF" w:rsidRDefault="00527EDF" w:rsidP="00527EDF">
      <w:pPr>
        <w:pStyle w:val="Heading1"/>
        <w:ind w:left="1440"/>
        <w:rPr>
          <w:b w:val="0"/>
          <w:sz w:val="24"/>
          <w:szCs w:val="24"/>
        </w:rPr>
      </w:pPr>
      <w:r>
        <w:rPr>
          <w:b w:val="0"/>
          <w:sz w:val="24"/>
          <w:szCs w:val="24"/>
        </w:rPr>
        <w:t>“</w:t>
      </w:r>
      <w:r w:rsidRPr="00C35227">
        <w:rPr>
          <w:b w:val="0"/>
          <w:sz w:val="24"/>
          <w:szCs w:val="24"/>
        </w:rPr>
        <w:t xml:space="preserve">R.C. 9.481(B)(1) states that </w:t>
      </w:r>
      <w:r>
        <w:rPr>
          <w:b w:val="0"/>
          <w:sz w:val="24"/>
          <w:szCs w:val="24"/>
        </w:rPr>
        <w:t>‘</w:t>
      </w:r>
      <w:r w:rsidRPr="00C35227">
        <w:rPr>
          <w:b w:val="0"/>
          <w:sz w:val="24"/>
          <w:szCs w:val="24"/>
        </w:rPr>
        <w:t xml:space="preserve">no political subdivision shall require any of its employees, as a condition of employment, to reside in any specific area of the state.” The issue in this case is whether R.C. 9.481 was enacted pursuant to the authority granted to the General Assembly by Section 34, Article II of the Ohio Constitution. If it </w:t>
      </w:r>
      <w:proofErr w:type="gramStart"/>
      <w:r w:rsidRPr="00C35227">
        <w:rPr>
          <w:b w:val="0"/>
          <w:sz w:val="24"/>
          <w:szCs w:val="24"/>
        </w:rPr>
        <w:t>was so</w:t>
      </w:r>
      <w:proofErr w:type="gramEnd"/>
      <w:r w:rsidRPr="00C35227">
        <w:rPr>
          <w:b w:val="0"/>
          <w:sz w:val="24"/>
          <w:szCs w:val="24"/>
        </w:rPr>
        <w:t xml:space="preserve"> enacted, its provisions override any conflicting law of a political subdivision, including residency requirements imposed by municipalities pursuant to the Home Rule Amendment, Section 3, Article XVIII of the Ohio Constitution. We hold that R.C. 9.481 was enacted pursuant to the authority granted by Section 34 and that the local laws before us in this case therefore cannot stand.”</w:t>
      </w:r>
    </w:p>
    <w:p w14:paraId="78176427" w14:textId="77777777" w:rsidR="00527EDF" w:rsidRPr="004E23C9" w:rsidRDefault="00527EDF" w:rsidP="00527EDF">
      <w:pPr>
        <w:pStyle w:val="Heading1"/>
        <w:ind w:left="720"/>
        <w:rPr>
          <w:b w:val="0"/>
          <w:sz w:val="24"/>
          <w:szCs w:val="24"/>
        </w:rPr>
      </w:pPr>
      <w:r>
        <w:rPr>
          <w:b w:val="0"/>
          <w:sz w:val="24"/>
          <w:szCs w:val="24"/>
        </w:rPr>
        <w:t xml:space="preserve">Ohio communities can adopt ordinance requiring firefighters and police officers to live in the county, or an adjacent county. </w:t>
      </w:r>
    </w:p>
    <w:p w14:paraId="346A2BB2" w14:textId="77777777" w:rsidR="00527EDF" w:rsidRPr="004E23C9" w:rsidRDefault="00527EDF" w:rsidP="00527EDF">
      <w:pPr>
        <w:pStyle w:val="Heading2"/>
        <w:ind w:firstLine="720"/>
        <w:rPr>
          <w:rFonts w:ascii="Times New Roman" w:hAnsi="Times New Roman"/>
          <w:sz w:val="24"/>
          <w:szCs w:val="24"/>
        </w:rPr>
      </w:pPr>
      <w:r w:rsidRPr="004E23C9">
        <w:rPr>
          <w:rFonts w:ascii="Times New Roman" w:hAnsi="Times New Roman"/>
          <w:sz w:val="24"/>
          <w:szCs w:val="24"/>
        </w:rPr>
        <w:t>9.481 Residency requirements prohibited for certain employees.</w:t>
      </w:r>
    </w:p>
    <w:p w14:paraId="681B2B7F" w14:textId="77777777" w:rsidR="00527EDF" w:rsidRDefault="00527EDF" w:rsidP="00527EDF">
      <w:pPr>
        <w:pStyle w:val="NoSpacing"/>
        <w:rPr>
          <w:rFonts w:ascii="Times New Roman" w:hAnsi="Times New Roman"/>
          <w:b/>
          <w:sz w:val="24"/>
          <w:szCs w:val="24"/>
        </w:rPr>
      </w:pPr>
    </w:p>
    <w:p w14:paraId="75608D30" w14:textId="77777777" w:rsidR="00527EDF" w:rsidRDefault="00527EDF" w:rsidP="00527EDF">
      <w:pPr>
        <w:pStyle w:val="NoSpacing"/>
        <w:ind w:left="1440"/>
        <w:rPr>
          <w:rFonts w:ascii="Times New Roman" w:hAnsi="Times New Roman"/>
          <w:sz w:val="24"/>
          <w:szCs w:val="24"/>
        </w:rPr>
      </w:pPr>
      <w:r>
        <w:rPr>
          <w:rFonts w:ascii="Times New Roman" w:hAnsi="Times New Roman"/>
          <w:sz w:val="24"/>
          <w:szCs w:val="24"/>
        </w:rPr>
        <w:t xml:space="preserve">(b) </w:t>
      </w:r>
      <w:r w:rsidRPr="004E23C9">
        <w:rPr>
          <w:rFonts w:ascii="Times New Roman" w:hAnsi="Times New Roman"/>
          <w:sz w:val="24"/>
          <w:szCs w:val="24"/>
        </w:rPr>
        <w:t>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rPr>
          <w:rFonts w:ascii="Times New Roman" w:hAnsi="Times New Roman"/>
          <w:sz w:val="24"/>
          <w:szCs w:val="24"/>
        </w:rPr>
        <w:t>.</w:t>
      </w:r>
    </w:p>
    <w:p w14:paraId="1415536A" w14:textId="77777777" w:rsidR="00527EDF" w:rsidRPr="00C35227" w:rsidRDefault="00527EDF" w:rsidP="00527EDF">
      <w:pPr>
        <w:pStyle w:val="NoSpacing"/>
        <w:ind w:left="720" w:firstLine="720"/>
        <w:rPr>
          <w:rFonts w:ascii="Times New Roman" w:hAnsi="Times New Roman"/>
          <w:sz w:val="24"/>
          <w:szCs w:val="24"/>
        </w:rPr>
      </w:pPr>
      <w:hyperlink r:id="rId2862" w:history="1">
        <w:r w:rsidRPr="00D10EF5">
          <w:rPr>
            <w:rStyle w:val="Hyperlink"/>
            <w:rFonts w:ascii="Times New Roman" w:hAnsi="Times New Roman"/>
            <w:sz w:val="24"/>
            <w:szCs w:val="24"/>
          </w:rPr>
          <w:t>http://codes.ohio.gov/orc/gp9.481</w:t>
        </w:r>
      </w:hyperlink>
      <w:r w:rsidRPr="00C35227">
        <w:rPr>
          <w:rFonts w:ascii="Times New Roman" w:hAnsi="Times New Roman"/>
          <w:sz w:val="24"/>
          <w:szCs w:val="24"/>
        </w:rPr>
        <w:t xml:space="preserve"> </w:t>
      </w:r>
    </w:p>
    <w:p w14:paraId="112DCF6B" w14:textId="77777777" w:rsidR="00527EDF" w:rsidRPr="004E23C9" w:rsidRDefault="00527EDF" w:rsidP="00527EDF">
      <w:pPr>
        <w:pStyle w:val="NoSpacing"/>
        <w:rPr>
          <w:rFonts w:ascii="Times New Roman" w:hAnsi="Times New Roman"/>
          <w:b/>
          <w:sz w:val="24"/>
          <w:szCs w:val="24"/>
        </w:rPr>
      </w:pPr>
    </w:p>
    <w:p w14:paraId="257B0168" w14:textId="77777777" w:rsidR="00527EDF" w:rsidRPr="004E23C9" w:rsidRDefault="00527EDF" w:rsidP="00527EDF">
      <w:pPr>
        <w:pStyle w:val="Heading2"/>
        <w:ind w:firstLine="720"/>
        <w:rPr>
          <w:rFonts w:ascii="Times New Roman" w:hAnsi="Times New Roman"/>
          <w:sz w:val="24"/>
          <w:szCs w:val="24"/>
        </w:rPr>
      </w:pPr>
      <w:r w:rsidRPr="004E23C9">
        <w:rPr>
          <w:rFonts w:ascii="Times New Roman" w:hAnsi="Times New Roman"/>
          <w:sz w:val="24"/>
          <w:szCs w:val="24"/>
        </w:rPr>
        <w:t>9.61 Residency not required for fire chief.</w:t>
      </w:r>
    </w:p>
    <w:p w14:paraId="7AF1BBD5" w14:textId="77777777" w:rsidR="00527EDF" w:rsidRDefault="00527EDF" w:rsidP="00527EDF">
      <w:pPr>
        <w:pStyle w:val="NormalWeb"/>
        <w:ind w:left="1440"/>
        <w:rPr>
          <w:b/>
        </w:rPr>
      </w:pPr>
      <w:r>
        <w:t xml:space="preserve">(B) Nothing in the Revised Code requires, or shall be construed to require, that the fire chief of a firefighting agency </w:t>
      </w:r>
      <w:proofErr w:type="gramStart"/>
      <w:r>
        <w:t>reside</w:t>
      </w:r>
      <w:proofErr w:type="gramEnd"/>
      <w:r>
        <w:t xml:space="preserve"> in the territory of the firefighting agency. </w:t>
      </w:r>
      <w:hyperlink r:id="rId2863" w:history="1">
        <w:r w:rsidRPr="00180BB5">
          <w:rPr>
            <w:rStyle w:val="Hyperlink"/>
          </w:rPr>
          <w:t>http://codes.ohio.gov/orc/gp9.61</w:t>
        </w:r>
      </w:hyperlink>
      <w:r>
        <w:t xml:space="preserve"> </w:t>
      </w:r>
      <w:bookmarkEnd w:id="612"/>
    </w:p>
    <w:p w14:paraId="5BFA5465" w14:textId="17147AE4" w:rsidR="00527EDF" w:rsidRDefault="00527EDF" w:rsidP="00D161A5">
      <w:pPr>
        <w:pStyle w:val="NoSpacing"/>
        <w:rPr>
          <w:sz w:val="24"/>
          <w:szCs w:val="24"/>
        </w:rPr>
      </w:pPr>
    </w:p>
    <w:p w14:paraId="13F7E4F7" w14:textId="77777777" w:rsidR="0097592D" w:rsidRDefault="0097592D" w:rsidP="00D161A5">
      <w:pPr>
        <w:pStyle w:val="NoSpacing"/>
        <w:rPr>
          <w:rFonts w:ascii="Arial Black" w:hAnsi="Arial Black"/>
          <w:sz w:val="24"/>
          <w:szCs w:val="24"/>
        </w:rPr>
      </w:pPr>
    </w:p>
    <w:p w14:paraId="2C71E8D7" w14:textId="77777777" w:rsidR="0097592D" w:rsidRDefault="0097592D" w:rsidP="00D161A5">
      <w:pPr>
        <w:pStyle w:val="NoSpacing"/>
        <w:rPr>
          <w:rFonts w:ascii="Arial Black" w:hAnsi="Arial Black"/>
          <w:sz w:val="24"/>
          <w:szCs w:val="24"/>
        </w:rPr>
      </w:pPr>
    </w:p>
    <w:p w14:paraId="6F0F0ACF" w14:textId="281799BE" w:rsidR="00F4486C" w:rsidRDefault="00F4486C" w:rsidP="00D161A5">
      <w:pPr>
        <w:pStyle w:val="NoSpacing"/>
        <w:rPr>
          <w:rFonts w:ascii="Arial Black" w:hAnsi="Arial Black"/>
          <w:sz w:val="24"/>
          <w:szCs w:val="24"/>
        </w:rPr>
      </w:pPr>
      <w:r>
        <w:rPr>
          <w:rFonts w:ascii="Arial Black" w:hAnsi="Arial Black"/>
          <w:sz w:val="24"/>
          <w:szCs w:val="24"/>
        </w:rPr>
        <w:t>16-14</w:t>
      </w:r>
    </w:p>
    <w:p w14:paraId="75771D97" w14:textId="75B73166" w:rsidR="00F4486C" w:rsidRDefault="00F4486C" w:rsidP="00D161A5">
      <w:pPr>
        <w:pStyle w:val="NoSpacing"/>
        <w:rPr>
          <w:rFonts w:ascii="Arial Black" w:hAnsi="Arial Black"/>
          <w:sz w:val="24"/>
          <w:szCs w:val="24"/>
        </w:rPr>
      </w:pPr>
    </w:p>
    <w:p w14:paraId="315CCA1E" w14:textId="77777777" w:rsidR="00F4486C" w:rsidRPr="00F4486C" w:rsidRDefault="00F4486C" w:rsidP="00D161A5">
      <w:pPr>
        <w:pStyle w:val="NoSpacing"/>
        <w:rPr>
          <w:rFonts w:ascii="Arial Black" w:hAnsi="Arial Black" w:cs="Arial"/>
          <w:sz w:val="28"/>
          <w:szCs w:val="28"/>
        </w:rPr>
      </w:pPr>
      <w:r w:rsidRPr="00F4486C">
        <w:rPr>
          <w:rFonts w:ascii="Arial Black" w:hAnsi="Arial Black" w:cs="Arial"/>
          <w:sz w:val="28"/>
          <w:szCs w:val="28"/>
        </w:rPr>
        <w:t xml:space="preserve">FL: NARCOTICS OFFICER - $1,300 MISSING – VOLUNTARY STATEMENTS ADMISSIBLE – AFTER TOLD JOB AT RISK, “GARRITY” WARNING REQ. </w:t>
      </w:r>
    </w:p>
    <w:p w14:paraId="7A692E83" w14:textId="77777777" w:rsidR="00F4486C" w:rsidRPr="00F4486C" w:rsidRDefault="00F4486C" w:rsidP="00D161A5">
      <w:pPr>
        <w:pStyle w:val="NoSpacing"/>
        <w:rPr>
          <w:rFonts w:ascii="Arial Black" w:hAnsi="Arial Black" w:cs="Arial"/>
          <w:sz w:val="28"/>
          <w:szCs w:val="28"/>
        </w:rPr>
      </w:pPr>
    </w:p>
    <w:p w14:paraId="0FEF0686" w14:textId="2C907FAA" w:rsidR="00F4486C" w:rsidRPr="0036327D" w:rsidRDefault="00F4486C" w:rsidP="00D161A5">
      <w:pPr>
        <w:pStyle w:val="NoSpacing"/>
        <w:rPr>
          <w:rFonts w:ascii="Times New Roman" w:hAnsi="Times New Roman"/>
          <w:sz w:val="24"/>
          <w:szCs w:val="24"/>
        </w:rPr>
      </w:pPr>
      <w:r w:rsidRPr="0036327D">
        <w:rPr>
          <w:rFonts w:ascii="Times New Roman" w:hAnsi="Times New Roman"/>
          <w:sz w:val="24"/>
          <w:szCs w:val="24"/>
        </w:rPr>
        <w:t xml:space="preserve">On April 10, 2019, in State of Florida v. Armando Socarras, 2019 WL 1548623 (Fla. Dist. Ct. App. 2019), the Third District Court of Appeal, held (3 to 0) that the officer’s first two </w:t>
      </w:r>
      <w:proofErr w:type="gramStart"/>
      <w:r w:rsidRPr="0036327D">
        <w:rPr>
          <w:rFonts w:ascii="Times New Roman" w:hAnsi="Times New Roman"/>
          <w:sz w:val="24"/>
          <w:szCs w:val="24"/>
        </w:rPr>
        <w:t>statement</w:t>
      </w:r>
      <w:proofErr w:type="gramEnd"/>
      <w:r w:rsidRPr="0036327D">
        <w:rPr>
          <w:rFonts w:ascii="Times New Roman" w:hAnsi="Times New Roman"/>
          <w:sz w:val="24"/>
          <w:szCs w:val="24"/>
        </w:rPr>
        <w:t xml:space="preserve"> to Internal Affairs are admissible. “Finally, Socarras did not reference the missing currency in his initial statement, and, unprompted, volunteered an exculpatory explanation in his second statement. As in Murphy, Socarras ‘apparently felt no compunction about adamantly denying’ he engaged in criminal activity, strongly suggesting any subjective belief of employment sanctions ‘did not overwhelm his resistance.’ 465 U.S. at 438, 104 S. Ct. at 1148. </w:t>
      </w:r>
      <w:hyperlink r:id="rId2864" w:history="1">
        <w:r w:rsidRPr="0036327D">
          <w:rPr>
            <w:rStyle w:val="Hyperlink"/>
            <w:rFonts w:ascii="Times New Roman" w:hAnsi="Times New Roman"/>
            <w:sz w:val="24"/>
            <w:szCs w:val="24"/>
          </w:rPr>
          <w:t>https://www.law.com/newyorklawjournal/2019/04/29/new-lactation-room-laws-what-employers-need-to-know/</w:t>
        </w:r>
      </w:hyperlink>
      <w:r w:rsidRPr="0036327D">
        <w:rPr>
          <w:rFonts w:ascii="Times New Roman" w:hAnsi="Times New Roman"/>
          <w:sz w:val="24"/>
          <w:szCs w:val="24"/>
        </w:rPr>
        <w:t xml:space="preserve"> </w:t>
      </w:r>
    </w:p>
    <w:p w14:paraId="3E7E7074" w14:textId="13ACE7DD" w:rsidR="00F4486C" w:rsidRPr="0036327D" w:rsidRDefault="00F4486C" w:rsidP="00D161A5">
      <w:pPr>
        <w:pStyle w:val="NoSpacing"/>
        <w:rPr>
          <w:rFonts w:ascii="Times New Roman" w:hAnsi="Times New Roman"/>
          <w:sz w:val="24"/>
          <w:szCs w:val="24"/>
        </w:rPr>
      </w:pPr>
    </w:p>
    <w:p w14:paraId="6B47B4F7" w14:textId="3AA4288C" w:rsidR="00F4486C" w:rsidRPr="0036327D" w:rsidRDefault="00F4486C" w:rsidP="00D161A5">
      <w:pPr>
        <w:pStyle w:val="NoSpacing"/>
        <w:rPr>
          <w:rFonts w:ascii="Times New Roman" w:hAnsi="Times New Roman"/>
          <w:b/>
          <w:bCs/>
          <w:sz w:val="24"/>
          <w:szCs w:val="24"/>
        </w:rPr>
      </w:pPr>
      <w:r w:rsidRPr="0036327D">
        <w:rPr>
          <w:rFonts w:ascii="Times New Roman" w:hAnsi="Times New Roman"/>
          <w:b/>
          <w:bCs/>
          <w:sz w:val="24"/>
          <w:szCs w:val="24"/>
        </w:rPr>
        <w:t>Legal Lessons Learned: When conducting an internal investigation, advise the “target” of the investigation of both their Miranda rights to remain silent, and their Garrity rights that their statements may lead to disciplinary action.</w:t>
      </w:r>
    </w:p>
    <w:p w14:paraId="44E6994D" w14:textId="0D15F975" w:rsidR="00F4486C" w:rsidRPr="0036327D" w:rsidRDefault="00F4486C" w:rsidP="00D161A5">
      <w:pPr>
        <w:pStyle w:val="NoSpacing"/>
        <w:rPr>
          <w:rFonts w:ascii="Times New Roman" w:hAnsi="Times New Roman"/>
          <w:sz w:val="24"/>
          <w:szCs w:val="24"/>
        </w:rPr>
      </w:pPr>
    </w:p>
    <w:p w14:paraId="07D8471C" w14:textId="07CEC2E9" w:rsidR="00F4486C" w:rsidRPr="0036327D" w:rsidRDefault="00F4486C" w:rsidP="00F4486C">
      <w:pPr>
        <w:pStyle w:val="NoSpacing"/>
        <w:ind w:left="720"/>
        <w:rPr>
          <w:rFonts w:ascii="Times New Roman" w:hAnsi="Times New Roman"/>
          <w:sz w:val="24"/>
          <w:szCs w:val="24"/>
        </w:rPr>
      </w:pPr>
      <w:r w:rsidRPr="0036327D">
        <w:rPr>
          <w:rFonts w:ascii="Times New Roman" w:hAnsi="Times New Roman"/>
          <w:sz w:val="24"/>
          <w:szCs w:val="24"/>
        </w:rPr>
        <w:t xml:space="preserve">See, for example, Lansing Fire Department </w:t>
      </w:r>
      <w:proofErr w:type="gramStart"/>
      <w:r w:rsidRPr="0036327D">
        <w:rPr>
          <w:rFonts w:ascii="Times New Roman" w:hAnsi="Times New Roman"/>
          <w:sz w:val="24"/>
          <w:szCs w:val="24"/>
        </w:rPr>
        <w:t>advise</w:t>
      </w:r>
      <w:proofErr w:type="gramEnd"/>
      <w:r w:rsidRPr="0036327D">
        <w:rPr>
          <w:rFonts w:ascii="Times New Roman" w:hAnsi="Times New Roman"/>
          <w:sz w:val="24"/>
          <w:szCs w:val="24"/>
        </w:rPr>
        <w:t xml:space="preserve"> on Garrity rights: FIFTH AMENDMENT APPLIES TO INTERROGATIONS OF PUBLIC EMPLOYEES (GARRITY RIGHTS)</w:t>
      </w:r>
      <w:r w:rsidR="00B8368A">
        <w:rPr>
          <w:rFonts w:ascii="Times New Roman" w:hAnsi="Times New Roman"/>
          <w:sz w:val="24"/>
          <w:szCs w:val="24"/>
        </w:rPr>
        <w:t xml:space="preserve">: </w:t>
      </w:r>
    </w:p>
    <w:p w14:paraId="1F0FC48A" w14:textId="18477175" w:rsidR="00F4486C" w:rsidRPr="0036327D" w:rsidRDefault="00F4486C" w:rsidP="00F4486C">
      <w:pPr>
        <w:pStyle w:val="NoSpacing"/>
        <w:ind w:left="720"/>
        <w:rPr>
          <w:rFonts w:ascii="Times New Roman" w:hAnsi="Times New Roman"/>
          <w:sz w:val="24"/>
          <w:szCs w:val="24"/>
        </w:rPr>
      </w:pPr>
      <w:r w:rsidRPr="0036327D">
        <w:rPr>
          <w:rFonts w:ascii="Times New Roman" w:hAnsi="Times New Roman"/>
          <w:sz w:val="24"/>
          <w:szCs w:val="24"/>
        </w:rPr>
        <w:t xml:space="preserve">Public employees have certain constitutional rights that apply in their employment that may not apply to private employees. For example, in Garrity v. New Jersey, the Supreme Court held that statements obtained </w:t>
      </w:r>
      <w:proofErr w:type="gramStart"/>
      <w:r w:rsidRPr="0036327D">
        <w:rPr>
          <w:rFonts w:ascii="Times New Roman" w:hAnsi="Times New Roman"/>
          <w:sz w:val="24"/>
          <w:szCs w:val="24"/>
        </w:rPr>
        <w:t>in the course of</w:t>
      </w:r>
      <w:proofErr w:type="gramEnd"/>
      <w:r w:rsidRPr="0036327D">
        <w:rPr>
          <w:rFonts w:ascii="Times New Roman" w:hAnsi="Times New Roman"/>
          <w:sz w:val="24"/>
          <w:szCs w:val="24"/>
        </w:rPr>
        <w:t xml:space="preserve"> an investigatory interview under threat of termination from public employment couldn’t be used as evidence against the employee in subsequent criminal proceedings.  If, however, you refuse to answer questions after you have been assured that your statements cannot be used against you in a subsequent criminal proceeding, the refusal to answer questions </w:t>
      </w:r>
      <w:proofErr w:type="spellStart"/>
      <w:r w:rsidRPr="0036327D">
        <w:rPr>
          <w:rFonts w:ascii="Times New Roman" w:hAnsi="Times New Roman"/>
          <w:sz w:val="24"/>
          <w:szCs w:val="24"/>
        </w:rPr>
        <w:t>thereaftermay</w:t>
      </w:r>
      <w:proofErr w:type="spellEnd"/>
      <w:r w:rsidRPr="0036327D">
        <w:rPr>
          <w:rFonts w:ascii="Times New Roman" w:hAnsi="Times New Roman"/>
          <w:sz w:val="24"/>
          <w:szCs w:val="24"/>
        </w:rPr>
        <w:t xml:space="preserve"> lead to the imposition of discipline for insubordination. Further, while the statements you make may not be used against you in a subsequent criminal proceeding, they can still form the basis for discipline on the underlying work-related </w:t>
      </w:r>
      <w:proofErr w:type="spellStart"/>
      <w:r w:rsidRPr="0036327D">
        <w:rPr>
          <w:rFonts w:ascii="Times New Roman" w:hAnsi="Times New Roman"/>
          <w:sz w:val="24"/>
          <w:szCs w:val="24"/>
        </w:rPr>
        <w:t>charge.To</w:t>
      </w:r>
      <w:proofErr w:type="spellEnd"/>
      <w:r w:rsidRPr="0036327D">
        <w:rPr>
          <w:rFonts w:ascii="Times New Roman" w:hAnsi="Times New Roman"/>
          <w:sz w:val="24"/>
          <w:szCs w:val="24"/>
        </w:rPr>
        <w:t xml:space="preserve"> ensure that your Garrity rights are protected, you should ask the following questions: 1)If I refuse to talk, can I be disciplined for the refusal? 2) Can that discipline include termination from employment? 3) Are my answers for internal and administrative purposes only and are not to be used for criminal prosecution? </w:t>
      </w:r>
      <w:hyperlink r:id="rId2865" w:history="1">
        <w:r w:rsidRPr="0036327D">
          <w:rPr>
            <w:rStyle w:val="Hyperlink"/>
            <w:rFonts w:ascii="Times New Roman" w:hAnsi="Times New Roman"/>
            <w:sz w:val="24"/>
            <w:szCs w:val="24"/>
          </w:rPr>
          <w:t>http://www.iaff421.org/?zone=/unionactive/private_view_page.cfm&amp;page=Know20Your20Rights21</w:t>
        </w:r>
      </w:hyperlink>
      <w:r w:rsidRPr="0036327D">
        <w:rPr>
          <w:rFonts w:ascii="Times New Roman" w:hAnsi="Times New Roman"/>
          <w:sz w:val="24"/>
          <w:szCs w:val="24"/>
        </w:rPr>
        <w:t xml:space="preserve"> </w:t>
      </w:r>
    </w:p>
    <w:p w14:paraId="11E527EB" w14:textId="77777777" w:rsidR="00F4486C" w:rsidRPr="0036327D" w:rsidRDefault="00F4486C" w:rsidP="00D161A5">
      <w:pPr>
        <w:pStyle w:val="NoSpacing"/>
        <w:rPr>
          <w:rFonts w:ascii="Times New Roman" w:hAnsi="Times New Roman"/>
          <w:sz w:val="24"/>
          <w:szCs w:val="24"/>
        </w:rPr>
      </w:pPr>
    </w:p>
    <w:p w14:paraId="0ED7EB70" w14:textId="77777777" w:rsidR="00F4486C" w:rsidRPr="0036327D" w:rsidRDefault="00F4486C" w:rsidP="00D161A5">
      <w:pPr>
        <w:pStyle w:val="NoSpacing"/>
        <w:rPr>
          <w:rFonts w:ascii="Times New Roman" w:hAnsi="Times New Roman"/>
          <w:sz w:val="24"/>
          <w:szCs w:val="24"/>
        </w:rPr>
      </w:pPr>
    </w:p>
    <w:p w14:paraId="50BC4223" w14:textId="41EBD1AF" w:rsidR="00527EDF" w:rsidRDefault="000C4DF5" w:rsidP="00D161A5">
      <w:pPr>
        <w:pStyle w:val="NoSpacing"/>
        <w:rPr>
          <w:sz w:val="24"/>
          <w:szCs w:val="24"/>
        </w:rPr>
      </w:pPr>
      <w:r>
        <w:rPr>
          <w:rFonts w:ascii="Arial Black" w:hAnsi="Arial Black"/>
          <w:sz w:val="24"/>
          <w:szCs w:val="24"/>
        </w:rPr>
        <w:t>16-13</w:t>
      </w:r>
    </w:p>
    <w:p w14:paraId="3E5308D2" w14:textId="77777777" w:rsidR="00527EDF" w:rsidRDefault="00527EDF" w:rsidP="00D161A5">
      <w:pPr>
        <w:pStyle w:val="NoSpacing"/>
        <w:rPr>
          <w:sz w:val="24"/>
          <w:szCs w:val="24"/>
        </w:rPr>
      </w:pPr>
    </w:p>
    <w:p w14:paraId="2CF673B7" w14:textId="7D62DA45" w:rsidR="00D161A5" w:rsidRDefault="00D161A5" w:rsidP="00D161A5">
      <w:pPr>
        <w:pStyle w:val="NoSpacing"/>
        <w:rPr>
          <w:rFonts w:ascii="OnTimes New Roman" w:hAnsi="OnTimes New Roman"/>
          <w:sz w:val="24"/>
          <w:szCs w:val="24"/>
        </w:rPr>
      </w:pPr>
      <w:r w:rsidRPr="004C0054">
        <w:rPr>
          <w:rFonts w:ascii="Arial Black" w:hAnsi="Arial Black" w:cs="Arial"/>
          <w:sz w:val="28"/>
          <w:szCs w:val="28"/>
        </w:rPr>
        <w:t xml:space="preserve">KS:  </w:t>
      </w:r>
      <w:r>
        <w:rPr>
          <w:rFonts w:ascii="Arial Black" w:hAnsi="Arial Black" w:cs="Arial"/>
          <w:sz w:val="28"/>
          <w:szCs w:val="28"/>
        </w:rPr>
        <w:t xml:space="preserve">IAFF ATTORNEY HELPED FF IN GRIEVANCE </w:t>
      </w:r>
      <w:r w:rsidR="00B8368A">
        <w:rPr>
          <w:rFonts w:ascii="Arial Black" w:hAnsi="Arial Black" w:cs="Arial"/>
          <w:sz w:val="28"/>
          <w:szCs w:val="28"/>
        </w:rPr>
        <w:t>–</w:t>
      </w:r>
      <w:r>
        <w:rPr>
          <w:rFonts w:ascii="Arial Black" w:hAnsi="Arial Black" w:cs="Arial"/>
          <w:sz w:val="28"/>
          <w:szCs w:val="28"/>
        </w:rPr>
        <w:t xml:space="preserve"> </w:t>
      </w:r>
      <w:r w:rsidR="00B8368A">
        <w:rPr>
          <w:rFonts w:ascii="Arial Black" w:hAnsi="Arial Black" w:cs="Arial"/>
          <w:sz w:val="28"/>
          <w:szCs w:val="28"/>
        </w:rPr>
        <w:t xml:space="preserve">HE WAS </w:t>
      </w:r>
      <w:r>
        <w:rPr>
          <w:rFonts w:ascii="Arial Black" w:hAnsi="Arial Black" w:cs="Arial"/>
          <w:sz w:val="28"/>
          <w:szCs w:val="28"/>
        </w:rPr>
        <w:t xml:space="preserve">NOT HIS PERSONAL COUNSEL </w:t>
      </w:r>
    </w:p>
    <w:p w14:paraId="2567CDC2" w14:textId="77777777" w:rsidR="00B8368A" w:rsidRDefault="00D161A5" w:rsidP="00D161A5">
      <w:pPr>
        <w:pStyle w:val="NoSpacing"/>
        <w:rPr>
          <w:rFonts w:ascii="Times New Roman" w:hAnsi="Times New Roman"/>
          <w:sz w:val="24"/>
          <w:szCs w:val="24"/>
        </w:rPr>
      </w:pPr>
      <w:r w:rsidRPr="00B8368A">
        <w:rPr>
          <w:rFonts w:ascii="Times New Roman" w:hAnsi="Times New Roman"/>
          <w:sz w:val="24"/>
          <w:szCs w:val="24"/>
        </w:rPr>
        <w:t xml:space="preserve">On March 25, 2019, in </w:t>
      </w:r>
      <w:r w:rsidRPr="00B8368A">
        <w:rPr>
          <w:rFonts w:ascii="Times New Roman" w:hAnsi="Times New Roman"/>
          <w:sz w:val="24"/>
          <w:szCs w:val="24"/>
          <w:u w:val="single"/>
        </w:rPr>
        <w:t>Randall Austin Ester v. Christopher Buell, et al</w:t>
      </w:r>
      <w:r w:rsidRPr="00B8368A">
        <w:rPr>
          <w:rFonts w:ascii="Times New Roman" w:hAnsi="Times New Roman"/>
          <w:sz w:val="24"/>
          <w:szCs w:val="24"/>
        </w:rPr>
        <w:t xml:space="preserve">., U.S. Magistrate Judge Gwynne E. </w:t>
      </w:r>
      <w:proofErr w:type="spellStart"/>
      <w:r w:rsidRPr="00B8368A">
        <w:rPr>
          <w:rFonts w:ascii="Times New Roman" w:hAnsi="Times New Roman"/>
          <w:sz w:val="24"/>
          <w:szCs w:val="24"/>
        </w:rPr>
        <w:t>Birzar</w:t>
      </w:r>
      <w:proofErr w:type="spellEnd"/>
      <w:r w:rsidRPr="00B8368A">
        <w:rPr>
          <w:rFonts w:ascii="Times New Roman" w:hAnsi="Times New Roman"/>
          <w:sz w:val="24"/>
          <w:szCs w:val="24"/>
        </w:rPr>
        <w:t xml:space="preserve">, U.S. District Court for Kansas, denied plaintiff’s motion to have IAFF Local 64 attorney disqualified from representing IAFF in his racial discrimination lawsuit.  The Magistrate held, </w:t>
      </w:r>
    </w:p>
    <w:p w14:paraId="25D8AA3D" w14:textId="77777777" w:rsidR="00B8368A" w:rsidRDefault="00B8368A" w:rsidP="00D161A5">
      <w:pPr>
        <w:pStyle w:val="NoSpacing"/>
        <w:rPr>
          <w:rFonts w:ascii="Times New Roman" w:hAnsi="Times New Roman"/>
          <w:sz w:val="24"/>
          <w:szCs w:val="24"/>
        </w:rPr>
      </w:pPr>
    </w:p>
    <w:p w14:paraId="05C1FBF1" w14:textId="1A4D62EC" w:rsidR="00D161A5" w:rsidRPr="00B8368A" w:rsidRDefault="00D161A5" w:rsidP="00B8368A">
      <w:pPr>
        <w:pStyle w:val="NoSpacing"/>
        <w:ind w:left="720"/>
        <w:rPr>
          <w:rFonts w:ascii="Times New Roman" w:hAnsi="Times New Roman"/>
          <w:sz w:val="24"/>
          <w:szCs w:val="24"/>
        </w:rPr>
      </w:pPr>
      <w:r w:rsidRPr="00B8368A">
        <w:rPr>
          <w:rFonts w:ascii="Times New Roman" w:hAnsi="Times New Roman"/>
          <w:sz w:val="24"/>
          <w:szCs w:val="24"/>
        </w:rPr>
        <w:t xml:space="preserve">“The totality of the evidence, viewed in conjunction with the caselaw, weighs against formation of an attorney-client relationship. Written documents identify Mr. Brown as ‘attorney for the union.’” </w:t>
      </w:r>
      <w:hyperlink r:id="rId2866" w:history="1">
        <w:r w:rsidRPr="00B8368A">
          <w:rPr>
            <w:rStyle w:val="Hyperlink"/>
            <w:rFonts w:ascii="Times New Roman" w:hAnsi="Times New Roman"/>
            <w:sz w:val="24"/>
            <w:szCs w:val="24"/>
          </w:rPr>
          <w:t>https://ecf.ksd.uscourts.gov/cgi-bin/show_public_doc?2018cv2084-60</w:t>
        </w:r>
      </w:hyperlink>
      <w:r w:rsidRPr="00B8368A">
        <w:rPr>
          <w:rFonts w:ascii="Times New Roman" w:hAnsi="Times New Roman"/>
          <w:sz w:val="24"/>
          <w:szCs w:val="24"/>
        </w:rPr>
        <w:t xml:space="preserve"> </w:t>
      </w:r>
    </w:p>
    <w:p w14:paraId="7A7B8B4C" w14:textId="77777777" w:rsidR="00B8368A" w:rsidRDefault="00B8368A" w:rsidP="00D161A5">
      <w:pPr>
        <w:pStyle w:val="NoSpacing"/>
        <w:rPr>
          <w:rFonts w:ascii="Times New Roman" w:hAnsi="Times New Roman"/>
          <w:b/>
          <w:sz w:val="24"/>
          <w:szCs w:val="24"/>
        </w:rPr>
      </w:pPr>
    </w:p>
    <w:p w14:paraId="7DEAF276" w14:textId="545C782F" w:rsidR="00D161A5" w:rsidRPr="00B8368A" w:rsidRDefault="00D161A5" w:rsidP="00D161A5">
      <w:pPr>
        <w:pStyle w:val="NoSpacing"/>
        <w:rPr>
          <w:rFonts w:ascii="Times New Roman" w:hAnsi="Times New Roman"/>
          <w:b/>
          <w:sz w:val="24"/>
          <w:szCs w:val="24"/>
        </w:rPr>
      </w:pPr>
      <w:r w:rsidRPr="00B8368A">
        <w:rPr>
          <w:rFonts w:ascii="Times New Roman" w:hAnsi="Times New Roman"/>
          <w:b/>
          <w:sz w:val="24"/>
          <w:szCs w:val="24"/>
        </w:rPr>
        <w:t xml:space="preserve">Legal Lessons Learned:  IAFF Local’s attorney is not personal attorney for grievant. </w:t>
      </w:r>
    </w:p>
    <w:p w14:paraId="0791BB7C" w14:textId="77777777" w:rsidR="009C7552" w:rsidRDefault="009C7552" w:rsidP="00D161A5">
      <w:pPr>
        <w:pStyle w:val="NoSpacing"/>
        <w:rPr>
          <w:b/>
          <w:sz w:val="24"/>
          <w:szCs w:val="24"/>
        </w:rPr>
      </w:pPr>
    </w:p>
    <w:bookmarkEnd w:id="610"/>
    <w:p w14:paraId="62CCDF3C" w14:textId="77777777" w:rsidR="00D161A5" w:rsidRPr="009C7552" w:rsidRDefault="00D161A5" w:rsidP="00D161A5">
      <w:pPr>
        <w:pStyle w:val="NoSpacing"/>
        <w:rPr>
          <w:bCs/>
          <w:sz w:val="24"/>
          <w:szCs w:val="24"/>
        </w:rPr>
      </w:pPr>
    </w:p>
    <w:p w14:paraId="41C1185A" w14:textId="77777777" w:rsidR="00D161A5" w:rsidRDefault="00D161A5" w:rsidP="00F326E5">
      <w:pPr>
        <w:pStyle w:val="NoSpacing"/>
        <w:rPr>
          <w:sz w:val="24"/>
          <w:szCs w:val="24"/>
        </w:rPr>
      </w:pPr>
    </w:p>
    <w:p w14:paraId="768CCFA3" w14:textId="130692C9" w:rsidR="000C4DF5" w:rsidRDefault="000C4DF5" w:rsidP="000C4DF5">
      <w:pPr>
        <w:pStyle w:val="NoSpacing"/>
        <w:rPr>
          <w:rFonts w:ascii="Arial Black" w:hAnsi="Arial Black"/>
          <w:sz w:val="24"/>
          <w:szCs w:val="24"/>
        </w:rPr>
      </w:pPr>
      <w:r>
        <w:rPr>
          <w:rFonts w:ascii="Arial Black" w:hAnsi="Arial Black"/>
          <w:sz w:val="24"/>
          <w:szCs w:val="24"/>
        </w:rPr>
        <w:t>16-12</w:t>
      </w:r>
    </w:p>
    <w:p w14:paraId="715D8B60" w14:textId="77777777" w:rsidR="00D161A5" w:rsidRDefault="00D161A5" w:rsidP="00F326E5">
      <w:pPr>
        <w:pStyle w:val="NoSpacing"/>
        <w:rPr>
          <w:sz w:val="24"/>
          <w:szCs w:val="24"/>
        </w:rPr>
      </w:pPr>
    </w:p>
    <w:p w14:paraId="471FE08E" w14:textId="77777777" w:rsidR="00D161A5" w:rsidRDefault="00D161A5" w:rsidP="00F326E5">
      <w:pPr>
        <w:pStyle w:val="NoSpacing"/>
        <w:rPr>
          <w:sz w:val="24"/>
          <w:szCs w:val="24"/>
        </w:rPr>
      </w:pPr>
    </w:p>
    <w:p w14:paraId="0FE3A5B8" w14:textId="4493E0B1" w:rsidR="00F326E5" w:rsidRPr="003668D6" w:rsidRDefault="00F326E5" w:rsidP="00F326E5">
      <w:pPr>
        <w:pStyle w:val="NoSpacing"/>
        <w:rPr>
          <w:rFonts w:ascii="Arial Black" w:hAnsi="Arial Black"/>
          <w:b/>
          <w:bCs/>
          <w:sz w:val="28"/>
          <w:szCs w:val="28"/>
        </w:rPr>
      </w:pPr>
      <w:bookmarkStart w:id="613" w:name="_Hlk7348878"/>
      <w:r w:rsidRPr="003668D6">
        <w:rPr>
          <w:rFonts w:ascii="Arial Black" w:hAnsi="Arial Black"/>
          <w:bCs/>
          <w:sz w:val="28"/>
          <w:szCs w:val="28"/>
        </w:rPr>
        <w:t>MA:  NEPOTISM - FIRE CHIEF</w:t>
      </w:r>
      <w:r>
        <w:rPr>
          <w:rFonts w:ascii="Arial Black" w:hAnsi="Arial Black"/>
          <w:bCs/>
          <w:sz w:val="28"/>
          <w:szCs w:val="28"/>
        </w:rPr>
        <w:t xml:space="preserve">’S NIECE AND BROTHER ON FD – </w:t>
      </w:r>
      <w:r w:rsidR="00D161A5">
        <w:rPr>
          <w:rFonts w:ascii="Arial Black" w:hAnsi="Arial Black"/>
          <w:bCs/>
          <w:sz w:val="28"/>
          <w:szCs w:val="28"/>
        </w:rPr>
        <w:t>RESIGNED PENDING AN INVESTGATION</w:t>
      </w:r>
      <w:r>
        <w:rPr>
          <w:rFonts w:ascii="Arial Black" w:hAnsi="Arial Black"/>
          <w:bCs/>
          <w:sz w:val="28"/>
          <w:szCs w:val="28"/>
        </w:rPr>
        <w:t xml:space="preserve"> </w:t>
      </w:r>
    </w:p>
    <w:p w14:paraId="674E8EA9" w14:textId="77777777" w:rsidR="00B8368A" w:rsidRDefault="00F326E5" w:rsidP="00F326E5">
      <w:pPr>
        <w:pStyle w:val="NoSpacing"/>
        <w:rPr>
          <w:rFonts w:ascii="Times New Roman" w:hAnsi="Times New Roman"/>
          <w:sz w:val="24"/>
          <w:szCs w:val="24"/>
        </w:rPr>
      </w:pPr>
      <w:r w:rsidRPr="00B8368A">
        <w:rPr>
          <w:rFonts w:ascii="Times New Roman" w:hAnsi="Times New Roman"/>
          <w:sz w:val="24"/>
          <w:szCs w:val="24"/>
        </w:rPr>
        <w:t xml:space="preserve">On Jan. 19, 2019, in </w:t>
      </w:r>
      <w:r w:rsidRPr="00B8368A">
        <w:rPr>
          <w:rFonts w:ascii="Times New Roman" w:hAnsi="Times New Roman"/>
          <w:sz w:val="24"/>
          <w:szCs w:val="24"/>
          <w:u w:val="single"/>
        </w:rPr>
        <w:t>Kevin Robinson v. Town of Marshfield, et al</w:t>
      </w:r>
      <w:r w:rsidRPr="00B8368A">
        <w:rPr>
          <w:rFonts w:ascii="Times New Roman" w:hAnsi="Times New Roman"/>
          <w:sz w:val="24"/>
          <w:szCs w:val="24"/>
        </w:rPr>
        <w:t xml:space="preserve">, U.S. District Court Judge Nathaniel M. Gorton granted the Town’s motion for summary judgment, and dismissed the former Fire Chief’s lawsuit: </w:t>
      </w:r>
    </w:p>
    <w:p w14:paraId="33B1FD9A" w14:textId="77777777" w:rsidR="00B8368A" w:rsidRDefault="00B8368A" w:rsidP="00F326E5">
      <w:pPr>
        <w:pStyle w:val="NoSpacing"/>
        <w:rPr>
          <w:rFonts w:ascii="Times New Roman" w:hAnsi="Times New Roman"/>
          <w:sz w:val="24"/>
          <w:szCs w:val="24"/>
        </w:rPr>
      </w:pPr>
    </w:p>
    <w:p w14:paraId="2B59403D" w14:textId="4BC3DAE9" w:rsidR="00F326E5" w:rsidRPr="00B8368A" w:rsidRDefault="00F326E5" w:rsidP="00B8368A">
      <w:pPr>
        <w:pStyle w:val="NoSpacing"/>
        <w:ind w:left="720"/>
        <w:rPr>
          <w:rStyle w:val="Hyperlink"/>
          <w:rFonts w:ascii="Times New Roman" w:hAnsi="Times New Roman"/>
          <w:bCs/>
          <w:sz w:val="24"/>
          <w:szCs w:val="24"/>
        </w:rPr>
      </w:pPr>
      <w:r w:rsidRPr="00B8368A">
        <w:rPr>
          <w:rFonts w:ascii="Times New Roman" w:hAnsi="Times New Roman"/>
          <w:sz w:val="24"/>
          <w:szCs w:val="24"/>
        </w:rPr>
        <w:t xml:space="preserve">“The Chief has not met his burden of showing intentional interference. First, defendants’ conduct does not rise to the level of spiteful or malignant purpose because there was a legitimate interest in temporarily removing the Chief during the investigation of his alleged ethical misconduct. Moreover, even if this Court assumes arguendo that the Chief has met his prima facie burden of showing improper motive through age discrimination, the Chief has failed to show that such discrimination was the controlling factor in the alleged interference.” </w:t>
      </w:r>
      <w:hyperlink r:id="rId2867" w:history="1">
        <w:r w:rsidRPr="00B8368A">
          <w:rPr>
            <w:rStyle w:val="Hyperlink"/>
            <w:rFonts w:ascii="Times New Roman" w:hAnsi="Times New Roman"/>
            <w:sz w:val="24"/>
            <w:szCs w:val="24"/>
          </w:rPr>
          <w:t>https://www.courtlistener.com/recap/gov.uscourts.mad.185693/gov.uscourts.mad.185693.65.0.pdf</w:t>
        </w:r>
      </w:hyperlink>
    </w:p>
    <w:p w14:paraId="08E3688B" w14:textId="77777777" w:rsidR="00B8368A" w:rsidRDefault="00B8368A" w:rsidP="00F326E5">
      <w:pPr>
        <w:pStyle w:val="NoSpacing"/>
        <w:rPr>
          <w:rFonts w:ascii="Times New Roman" w:hAnsi="Times New Roman"/>
          <w:b/>
          <w:sz w:val="24"/>
          <w:szCs w:val="24"/>
        </w:rPr>
      </w:pPr>
    </w:p>
    <w:p w14:paraId="1A022713" w14:textId="22E6BCBD" w:rsidR="00F326E5" w:rsidRPr="00B8368A" w:rsidRDefault="00F326E5" w:rsidP="00F326E5">
      <w:pPr>
        <w:pStyle w:val="NoSpacing"/>
        <w:rPr>
          <w:rFonts w:ascii="Times New Roman" w:hAnsi="Times New Roman"/>
          <w:b/>
          <w:sz w:val="24"/>
          <w:szCs w:val="24"/>
        </w:rPr>
      </w:pPr>
      <w:r w:rsidRPr="00B8368A">
        <w:rPr>
          <w:rFonts w:ascii="Times New Roman" w:hAnsi="Times New Roman"/>
          <w:b/>
          <w:sz w:val="24"/>
          <w:szCs w:val="24"/>
        </w:rPr>
        <w:t>Legal Lessons Learned:  Fire Chiefs, in states that do not prohibit close family members on their FD, must be extremely careful to avoid even an “appearance” of conflicts of interest.</w:t>
      </w:r>
    </w:p>
    <w:p w14:paraId="5B32A854" w14:textId="77777777" w:rsidR="00F326E5" w:rsidRPr="00B8368A" w:rsidRDefault="00F326E5" w:rsidP="00F326E5">
      <w:pPr>
        <w:pStyle w:val="NoSpacing"/>
        <w:rPr>
          <w:rFonts w:ascii="Times New Roman" w:hAnsi="Times New Roman"/>
          <w:b/>
          <w:sz w:val="24"/>
          <w:szCs w:val="24"/>
        </w:rPr>
      </w:pPr>
    </w:p>
    <w:p w14:paraId="4170938E" w14:textId="77777777" w:rsidR="00F326E5" w:rsidRPr="00B8368A" w:rsidRDefault="00F326E5" w:rsidP="00F326E5">
      <w:pPr>
        <w:pStyle w:val="NoSpacing"/>
        <w:ind w:left="720"/>
        <w:rPr>
          <w:rFonts w:ascii="Times New Roman" w:hAnsi="Times New Roman"/>
          <w:sz w:val="24"/>
          <w:szCs w:val="24"/>
        </w:rPr>
      </w:pPr>
      <w:r w:rsidRPr="00B8368A">
        <w:rPr>
          <w:rFonts w:ascii="Times New Roman" w:hAnsi="Times New Roman"/>
          <w:sz w:val="24"/>
          <w:szCs w:val="24"/>
        </w:rPr>
        <w:t xml:space="preserve">See list of state statutes on Nepotism: “Some states may take a broader approach by denying any relative of a qualifying official from being hired by the same branch of government. Other states might more narrowly prevent a public official from having direct supervisory or hiring authority over a relative. A legislator even advocating on behalf of a relative before a hiring or appointing authority might be a violation in some states.” </w:t>
      </w:r>
      <w:hyperlink r:id="rId2868" w:history="1">
        <w:r w:rsidRPr="00B8368A">
          <w:rPr>
            <w:rStyle w:val="Hyperlink"/>
            <w:rFonts w:ascii="Times New Roman" w:hAnsi="Times New Roman"/>
            <w:sz w:val="24"/>
            <w:szCs w:val="24"/>
          </w:rPr>
          <w:t>http://www.ncsl.org/research/ethics/50-state-table-nepotism-restrictions.aspx</w:t>
        </w:r>
      </w:hyperlink>
      <w:r w:rsidRPr="00B8368A">
        <w:rPr>
          <w:rFonts w:ascii="Times New Roman" w:hAnsi="Times New Roman"/>
          <w:sz w:val="24"/>
          <w:szCs w:val="24"/>
        </w:rPr>
        <w:t xml:space="preserve"> </w:t>
      </w:r>
    </w:p>
    <w:p w14:paraId="16D97DCA" w14:textId="77777777" w:rsidR="00F326E5" w:rsidRPr="00B8368A" w:rsidRDefault="00F326E5" w:rsidP="00F326E5">
      <w:pPr>
        <w:pStyle w:val="NoSpacing"/>
        <w:ind w:left="720"/>
        <w:rPr>
          <w:rFonts w:ascii="Times New Roman" w:hAnsi="Times New Roman"/>
          <w:sz w:val="24"/>
          <w:szCs w:val="24"/>
        </w:rPr>
      </w:pPr>
      <w:r w:rsidRPr="00B8368A">
        <w:rPr>
          <w:rFonts w:ascii="Times New Roman" w:hAnsi="Times New Roman"/>
          <w:sz w:val="24"/>
          <w:szCs w:val="24"/>
        </w:rPr>
        <w:t xml:space="preserve">See also Ohio Ethics Commission – Information Sheet No. 1, RESTRICTIONS ON NEPOTISM OR HIRING FAMILY MEMBERS: </w:t>
      </w:r>
      <w:hyperlink r:id="rId2869" w:history="1">
        <w:r w:rsidRPr="00B8368A">
          <w:rPr>
            <w:rStyle w:val="Hyperlink"/>
            <w:rFonts w:ascii="Times New Roman" w:hAnsi="Times New Roman"/>
            <w:sz w:val="24"/>
            <w:szCs w:val="24"/>
          </w:rPr>
          <w:t>https://www.ethics.ohio.gov/education/factsheets/InfoSheet1-Nepotism.pdf</w:t>
        </w:r>
      </w:hyperlink>
      <w:r w:rsidRPr="00B8368A">
        <w:rPr>
          <w:rFonts w:ascii="Times New Roman" w:hAnsi="Times New Roman"/>
          <w:sz w:val="24"/>
          <w:szCs w:val="24"/>
        </w:rPr>
        <w:t xml:space="preserve"> </w:t>
      </w:r>
    </w:p>
    <w:p w14:paraId="30BB61A3" w14:textId="24EA80D9" w:rsidR="00F326E5" w:rsidRPr="00B8368A" w:rsidRDefault="00F326E5" w:rsidP="00F326E5">
      <w:pPr>
        <w:pStyle w:val="NoSpacing"/>
        <w:ind w:left="720"/>
        <w:rPr>
          <w:rFonts w:ascii="Times New Roman" w:hAnsi="Times New Roman"/>
          <w:sz w:val="24"/>
          <w:szCs w:val="24"/>
        </w:rPr>
      </w:pPr>
    </w:p>
    <w:bookmarkEnd w:id="613"/>
    <w:p w14:paraId="4C5B09EA" w14:textId="77777777" w:rsidR="00B8368A" w:rsidRDefault="00B8368A" w:rsidP="000C4DF5">
      <w:pPr>
        <w:pStyle w:val="NoSpacing"/>
        <w:rPr>
          <w:rFonts w:ascii="Arial Black" w:hAnsi="Arial Black"/>
          <w:sz w:val="24"/>
          <w:szCs w:val="24"/>
        </w:rPr>
      </w:pPr>
    </w:p>
    <w:p w14:paraId="776AD545" w14:textId="77777777" w:rsidR="00B8368A" w:rsidRDefault="00B8368A" w:rsidP="000C4DF5">
      <w:pPr>
        <w:pStyle w:val="NoSpacing"/>
        <w:rPr>
          <w:rFonts w:ascii="Arial Black" w:hAnsi="Arial Black"/>
          <w:sz w:val="24"/>
          <w:szCs w:val="24"/>
        </w:rPr>
      </w:pPr>
    </w:p>
    <w:p w14:paraId="748490EF" w14:textId="5B982907" w:rsidR="00F326E5" w:rsidRDefault="000C4DF5" w:rsidP="000C4DF5">
      <w:pPr>
        <w:pStyle w:val="NoSpacing"/>
        <w:rPr>
          <w:rFonts w:ascii="Arial Black" w:hAnsi="Arial Black"/>
          <w:sz w:val="24"/>
          <w:szCs w:val="24"/>
        </w:rPr>
      </w:pPr>
      <w:r>
        <w:rPr>
          <w:rFonts w:ascii="Arial Black" w:hAnsi="Arial Black"/>
          <w:sz w:val="24"/>
          <w:szCs w:val="24"/>
        </w:rPr>
        <w:t>16-11</w:t>
      </w:r>
    </w:p>
    <w:p w14:paraId="75AC1771" w14:textId="77777777" w:rsidR="000C4DF5" w:rsidRDefault="000C4DF5" w:rsidP="000C4DF5">
      <w:pPr>
        <w:pStyle w:val="NoSpacing"/>
        <w:rPr>
          <w:rFonts w:ascii="Arial Black" w:hAnsi="Arial Black"/>
          <w:sz w:val="40"/>
          <w:szCs w:val="40"/>
        </w:rPr>
      </w:pPr>
    </w:p>
    <w:p w14:paraId="1CB9144B" w14:textId="781FAE87" w:rsidR="00F326E5" w:rsidRPr="004815FF" w:rsidRDefault="00F326E5" w:rsidP="00F326E5">
      <w:pPr>
        <w:pStyle w:val="NoSpacing"/>
        <w:rPr>
          <w:rFonts w:ascii="Arial Black" w:hAnsi="Arial Black"/>
          <w:b/>
          <w:sz w:val="28"/>
          <w:szCs w:val="28"/>
        </w:rPr>
      </w:pPr>
      <w:bookmarkStart w:id="614" w:name="_Hlk7348937"/>
      <w:r w:rsidRPr="004815FF">
        <w:rPr>
          <w:rFonts w:ascii="Arial Black" w:hAnsi="Arial Black"/>
          <w:b/>
          <w:sz w:val="28"/>
          <w:szCs w:val="28"/>
        </w:rPr>
        <w:t xml:space="preserve">NJ: STATE POLICE LAB OFFICER INDICTED; FALSELY CERTIFIED </w:t>
      </w:r>
      <w:r w:rsidR="00D161A5">
        <w:rPr>
          <w:rFonts w:ascii="Arial Black" w:hAnsi="Arial Black"/>
          <w:b/>
          <w:sz w:val="28"/>
          <w:szCs w:val="28"/>
        </w:rPr>
        <w:t xml:space="preserve">HE </w:t>
      </w:r>
      <w:r w:rsidRPr="004815FF">
        <w:rPr>
          <w:rFonts w:ascii="Arial Black" w:hAnsi="Arial Black"/>
          <w:b/>
          <w:sz w:val="28"/>
          <w:szCs w:val="28"/>
        </w:rPr>
        <w:t>HAD CALIBRATED DUI EQUIPMENT</w:t>
      </w:r>
    </w:p>
    <w:p w14:paraId="034C3147" w14:textId="77777777" w:rsidR="00F326E5" w:rsidRPr="00B8368A" w:rsidRDefault="00F326E5" w:rsidP="00F326E5">
      <w:pPr>
        <w:rPr>
          <w:rFonts w:ascii="Times New Roman" w:eastAsia="Times New Roman" w:hAnsi="Times New Roman"/>
          <w:sz w:val="24"/>
          <w:szCs w:val="24"/>
        </w:rPr>
      </w:pPr>
      <w:r w:rsidRPr="00B8368A">
        <w:rPr>
          <w:rFonts w:ascii="Times New Roman" w:eastAsia="Times New Roman" w:hAnsi="Times New Roman"/>
          <w:sz w:val="24"/>
          <w:szCs w:val="24"/>
        </w:rPr>
        <w:t xml:space="preserve">On Nov. 13, 2018, in </w:t>
      </w:r>
      <w:r w:rsidRPr="00B8368A">
        <w:rPr>
          <w:rFonts w:ascii="Times New Roman" w:eastAsia="Times New Roman" w:hAnsi="Times New Roman"/>
          <w:sz w:val="24"/>
          <w:szCs w:val="24"/>
          <w:u w:val="single"/>
        </w:rPr>
        <w:t>State v. Eileen Cassidy</w:t>
      </w:r>
      <w:r w:rsidRPr="00B8368A">
        <w:rPr>
          <w:rFonts w:ascii="Times New Roman" w:eastAsia="Times New Roman" w:hAnsi="Times New Roman"/>
          <w:sz w:val="24"/>
          <w:szCs w:val="24"/>
        </w:rPr>
        <w:t xml:space="preserve">, the New Jersey Supreme Court held: “The Court considers the admissibility of breath test results produced by Alcotest machines not calibrated using a thermometer that produces temperature measurements traceable to the standards set by the National Institute of Standards and Technology (NIST)…. The Special Master determined that the State had not shown that other states’ practices revealed general  acceptance of the reliability of Alcotest results without the use of a NIST-traceable thermometer. Because the Special Master’s findings are supported by substantial credible evidence in the record, the Court adopts them.” </w:t>
      </w:r>
      <w:hyperlink r:id="rId2870" w:history="1">
        <w:r w:rsidRPr="00B8368A">
          <w:rPr>
            <w:rStyle w:val="Hyperlink"/>
            <w:rFonts w:ascii="Times New Roman" w:hAnsi="Times New Roman"/>
            <w:sz w:val="24"/>
            <w:szCs w:val="24"/>
          </w:rPr>
          <w:t>https://www.njcourts.gov/attorneys/assets/opinions/supreme/a_58_16.pdf</w:t>
        </w:r>
      </w:hyperlink>
      <w:r w:rsidRPr="00B8368A">
        <w:rPr>
          <w:rFonts w:ascii="Times New Roman" w:eastAsia="Times New Roman" w:hAnsi="Times New Roman"/>
          <w:sz w:val="24"/>
          <w:szCs w:val="24"/>
        </w:rPr>
        <w:t xml:space="preserve"> </w:t>
      </w:r>
    </w:p>
    <w:p w14:paraId="1D0B34D5" w14:textId="77777777" w:rsidR="00F326E5" w:rsidRPr="00B8368A" w:rsidRDefault="00F326E5" w:rsidP="00F326E5">
      <w:pPr>
        <w:rPr>
          <w:rFonts w:ascii="Times New Roman" w:eastAsia="Times New Roman" w:hAnsi="Times New Roman"/>
          <w:b/>
          <w:sz w:val="24"/>
          <w:szCs w:val="24"/>
        </w:rPr>
      </w:pPr>
      <w:r w:rsidRPr="00B8368A">
        <w:rPr>
          <w:rFonts w:ascii="Times New Roman" w:eastAsia="Times New Roman" w:hAnsi="Times New Roman"/>
          <w:b/>
          <w:sz w:val="24"/>
          <w:szCs w:val="24"/>
        </w:rPr>
        <w:t xml:space="preserve">Legal Lessons Learned: False certifications can lead to unwarranted convictions, and criminal charges. EMS personnel must likewise follow EMS protocols, or patient injury or death may occur; false EMS run reports can also lead to termination of employment and even criminal charges.  </w:t>
      </w:r>
    </w:p>
    <w:p w14:paraId="18356700" w14:textId="53BD2B4A" w:rsidR="00BD7B94" w:rsidRDefault="00BD7B94" w:rsidP="00F326E5">
      <w:pPr>
        <w:rPr>
          <w:rStyle w:val="Hyperlink"/>
          <w:sz w:val="24"/>
          <w:szCs w:val="24"/>
        </w:rPr>
      </w:pPr>
    </w:p>
    <w:p w14:paraId="01E94A2A" w14:textId="6C502B7F" w:rsidR="000C4DF5" w:rsidRDefault="000C4DF5" w:rsidP="000C4DF5">
      <w:pPr>
        <w:pStyle w:val="NoSpacing"/>
        <w:rPr>
          <w:rFonts w:ascii="Arial Black" w:hAnsi="Arial Black"/>
          <w:sz w:val="24"/>
          <w:szCs w:val="24"/>
        </w:rPr>
      </w:pPr>
      <w:r>
        <w:rPr>
          <w:rFonts w:ascii="Arial Black" w:hAnsi="Arial Black"/>
          <w:sz w:val="24"/>
          <w:szCs w:val="24"/>
        </w:rPr>
        <w:t>16-10</w:t>
      </w:r>
    </w:p>
    <w:p w14:paraId="18ED8E0F" w14:textId="77777777" w:rsidR="00F326E5" w:rsidRDefault="00F326E5" w:rsidP="00F326E5">
      <w:pPr>
        <w:rPr>
          <w:b/>
          <w:sz w:val="24"/>
          <w:szCs w:val="24"/>
        </w:rPr>
      </w:pPr>
    </w:p>
    <w:p w14:paraId="6C6F9702" w14:textId="72777524" w:rsidR="00F326E5" w:rsidRPr="00FA036E" w:rsidRDefault="00F326E5" w:rsidP="00F326E5">
      <w:pPr>
        <w:rPr>
          <w:rFonts w:ascii="Arial Black" w:hAnsi="Arial Black"/>
          <w:sz w:val="28"/>
          <w:szCs w:val="28"/>
        </w:rPr>
      </w:pPr>
      <w:bookmarkStart w:id="615" w:name="_Hlk7348973"/>
      <w:bookmarkEnd w:id="614"/>
      <w:r>
        <w:rPr>
          <w:rFonts w:ascii="Arial Black" w:hAnsi="Arial Black"/>
          <w:sz w:val="28"/>
          <w:szCs w:val="28"/>
        </w:rPr>
        <w:t>TN:  FF REINSTATED - SCUFFLE AT OFF-DUTY RALLY / FIREARM - REINSTATED – CHARGES NOT PROVEN</w:t>
      </w:r>
    </w:p>
    <w:p w14:paraId="3D6D801E" w14:textId="77777777" w:rsidR="00B8368A" w:rsidRDefault="00F326E5" w:rsidP="00F326E5">
      <w:pPr>
        <w:rPr>
          <w:rFonts w:ascii="Times New Roman" w:eastAsia="Times New Roman" w:hAnsi="Times New Roman"/>
          <w:sz w:val="24"/>
          <w:szCs w:val="24"/>
        </w:rPr>
      </w:pPr>
      <w:r w:rsidRPr="00B8368A">
        <w:rPr>
          <w:rFonts w:ascii="Times New Roman" w:eastAsia="Times New Roman" w:hAnsi="Times New Roman"/>
          <w:sz w:val="24"/>
          <w:szCs w:val="24"/>
        </w:rPr>
        <w:t xml:space="preserve">On Oct. 10, 2018, in </w:t>
      </w:r>
      <w:r w:rsidRPr="00B8368A">
        <w:rPr>
          <w:rFonts w:ascii="Times New Roman" w:eastAsia="Times New Roman" w:hAnsi="Times New Roman"/>
          <w:sz w:val="24"/>
          <w:szCs w:val="24"/>
          <w:u w:val="single"/>
        </w:rPr>
        <w:t>Paul Zachary Moss v. Shelby County Civil Service Board</w:t>
      </w:r>
      <w:r w:rsidRPr="00B8368A">
        <w:rPr>
          <w:rFonts w:ascii="Times New Roman" w:eastAsia="Times New Roman" w:hAnsi="Times New Roman"/>
          <w:sz w:val="24"/>
          <w:szCs w:val="24"/>
        </w:rPr>
        <w:t xml:space="preserve">, the Court of Appeals of Tennessee (at Jackson) held (3 to 0) that the Civil Service Board is reversed, and firefighter is reinstated to Shelby County Fire Department.  </w:t>
      </w:r>
    </w:p>
    <w:p w14:paraId="1706CB8E" w14:textId="2CD8CF00" w:rsidR="00F326E5" w:rsidRPr="00B8368A" w:rsidRDefault="00F326E5" w:rsidP="00B8368A">
      <w:pPr>
        <w:ind w:left="720"/>
        <w:rPr>
          <w:rFonts w:ascii="Times New Roman" w:eastAsia="Times New Roman" w:hAnsi="Times New Roman"/>
          <w:sz w:val="24"/>
          <w:szCs w:val="24"/>
        </w:rPr>
      </w:pPr>
      <w:r w:rsidRPr="00B8368A">
        <w:rPr>
          <w:rFonts w:ascii="Times New Roman" w:eastAsia="Times New Roman" w:hAnsi="Times New Roman"/>
          <w:sz w:val="24"/>
          <w:szCs w:val="24"/>
        </w:rPr>
        <w:t xml:space="preserve">“Appellant contends that the decision upholding his termination should be reversed due to a violation of his due process rights. We agree and reverse…. Further, [Mr. Moss on appeal noted] that the ‘two charges asserted in the </w:t>
      </w:r>
      <w:r w:rsidRPr="00B8368A">
        <w:rPr>
          <w:rFonts w:ascii="Times New Roman" w:eastAsia="Times New Roman" w:hAnsi="Times New Roman"/>
          <w:i/>
          <w:sz w:val="24"/>
          <w:szCs w:val="24"/>
        </w:rPr>
        <w:t xml:space="preserve">Loudermill </w:t>
      </w:r>
      <w:r w:rsidRPr="00B8368A">
        <w:rPr>
          <w:rFonts w:ascii="Times New Roman" w:eastAsia="Times New Roman" w:hAnsi="Times New Roman"/>
          <w:sz w:val="24"/>
          <w:szCs w:val="24"/>
        </w:rPr>
        <w:t>notice were proven to be without factual basis as Chief Benson and Chief Burress both acknowledged that Mr. Moss gave notice of being taken to the Memphis Police Department on the night of the events and Mr. Moss had not been convicted of a felony.’”</w:t>
      </w:r>
      <w:hyperlink r:id="rId2871" w:history="1">
        <w:r w:rsidRPr="00B8368A">
          <w:rPr>
            <w:rStyle w:val="Hyperlink"/>
            <w:rFonts w:ascii="Times New Roman" w:hAnsi="Times New Roman"/>
            <w:sz w:val="24"/>
            <w:szCs w:val="24"/>
          </w:rPr>
          <w:t>http://www.tsc.state.tn.us/sites/default/files/mosspaulzacharyopn.pdf</w:t>
        </w:r>
      </w:hyperlink>
      <w:r w:rsidRPr="00B8368A">
        <w:rPr>
          <w:rFonts w:ascii="Times New Roman" w:eastAsia="Times New Roman" w:hAnsi="Times New Roman"/>
          <w:sz w:val="24"/>
          <w:szCs w:val="24"/>
        </w:rPr>
        <w:t xml:space="preserve"> </w:t>
      </w:r>
    </w:p>
    <w:p w14:paraId="7ABBB616" w14:textId="77777777" w:rsidR="00F326E5" w:rsidRPr="00B8368A" w:rsidRDefault="00F326E5" w:rsidP="00F326E5">
      <w:pPr>
        <w:rPr>
          <w:rFonts w:ascii="Times New Roman" w:hAnsi="Times New Roman"/>
          <w:b/>
          <w:sz w:val="24"/>
          <w:szCs w:val="24"/>
        </w:rPr>
      </w:pPr>
      <w:r w:rsidRPr="00B8368A">
        <w:rPr>
          <w:rFonts w:ascii="Times New Roman" w:hAnsi="Times New Roman"/>
          <w:b/>
          <w:sz w:val="24"/>
          <w:szCs w:val="24"/>
        </w:rPr>
        <w:t>Legal Lessons Learned:  Due process requires proof of the specific charges; if the FD had also included a charge of “conduct unbecoming” this case may have had a different result.</w:t>
      </w:r>
    </w:p>
    <w:p w14:paraId="69EB45FF" w14:textId="77777777" w:rsidR="000C4DF5" w:rsidRDefault="000C4DF5" w:rsidP="000C4DF5">
      <w:pPr>
        <w:pStyle w:val="NoSpacing"/>
        <w:rPr>
          <w:rFonts w:ascii="Arial Black" w:hAnsi="Arial Black"/>
          <w:sz w:val="24"/>
          <w:szCs w:val="24"/>
        </w:rPr>
      </w:pPr>
    </w:p>
    <w:p w14:paraId="0A5B7C7C" w14:textId="77777777" w:rsidR="00B8368A" w:rsidRDefault="00B8368A" w:rsidP="000C4DF5">
      <w:pPr>
        <w:pStyle w:val="NoSpacing"/>
        <w:rPr>
          <w:rFonts w:ascii="Arial Black" w:hAnsi="Arial Black"/>
          <w:sz w:val="24"/>
          <w:szCs w:val="24"/>
        </w:rPr>
      </w:pPr>
    </w:p>
    <w:p w14:paraId="0E457058" w14:textId="1489ED26" w:rsidR="00F326E5" w:rsidRDefault="000C4DF5" w:rsidP="000C4DF5">
      <w:pPr>
        <w:pStyle w:val="NoSpacing"/>
        <w:rPr>
          <w:sz w:val="24"/>
          <w:szCs w:val="24"/>
        </w:rPr>
      </w:pPr>
      <w:bookmarkStart w:id="616" w:name="_Hlk80769537"/>
      <w:r>
        <w:rPr>
          <w:rFonts w:ascii="Arial Black" w:hAnsi="Arial Black"/>
          <w:sz w:val="24"/>
          <w:szCs w:val="24"/>
        </w:rPr>
        <w:t>16-9</w:t>
      </w:r>
    </w:p>
    <w:p w14:paraId="18F3874F" w14:textId="6BD5C8E8" w:rsidR="00F326E5" w:rsidRPr="00237787" w:rsidRDefault="00F326E5" w:rsidP="00F326E5">
      <w:pPr>
        <w:pStyle w:val="Heading1"/>
        <w:rPr>
          <w:sz w:val="24"/>
          <w:szCs w:val="24"/>
        </w:rPr>
      </w:pPr>
      <w:bookmarkStart w:id="617" w:name="_Hlk7349033"/>
      <w:bookmarkEnd w:id="615"/>
      <w:r w:rsidRPr="004815FF">
        <w:rPr>
          <w:rFonts w:ascii="Arial Black" w:hAnsi="Arial Black"/>
          <w:sz w:val="28"/>
          <w:szCs w:val="28"/>
        </w:rPr>
        <w:t>TX: FREE SPEECH - PD OFFICER LAWSUIT MAY PROCEED - FIRED ORGANIZING POLICE ASSOCIATION</w:t>
      </w:r>
      <w:r>
        <w:rPr>
          <w:rFonts w:ascii="Arial Black" w:hAnsi="Arial Black"/>
          <w:sz w:val="24"/>
          <w:szCs w:val="24"/>
        </w:rPr>
        <w:t xml:space="preserve"> </w:t>
      </w:r>
      <w:r w:rsidRPr="00237787">
        <w:rPr>
          <w:sz w:val="24"/>
          <w:szCs w:val="24"/>
        </w:rPr>
        <w:t>[also filed, Chap. 1]</w:t>
      </w:r>
    </w:p>
    <w:p w14:paraId="34E73E98" w14:textId="77777777" w:rsidR="00B8368A" w:rsidRDefault="00F326E5" w:rsidP="00F326E5">
      <w:pPr>
        <w:rPr>
          <w:rFonts w:ascii="Times New Roman" w:hAnsi="Times New Roman"/>
          <w:sz w:val="24"/>
          <w:szCs w:val="24"/>
        </w:rPr>
      </w:pPr>
      <w:r w:rsidRPr="00B8368A">
        <w:rPr>
          <w:rFonts w:ascii="Times New Roman" w:hAnsi="Times New Roman"/>
          <w:sz w:val="24"/>
          <w:szCs w:val="24"/>
        </w:rPr>
        <w:t xml:space="preserve">On Aug. 31, 2018, in </w:t>
      </w:r>
      <w:r w:rsidRPr="00B8368A">
        <w:rPr>
          <w:rFonts w:ascii="Times New Roman" w:hAnsi="Times New Roman"/>
          <w:sz w:val="24"/>
          <w:szCs w:val="24"/>
          <w:u w:val="single"/>
        </w:rPr>
        <w:t>Marcus Mote v. Debra Walthall</w:t>
      </w:r>
      <w:r w:rsidRPr="00B8368A">
        <w:rPr>
          <w:rFonts w:ascii="Times New Roman" w:hAnsi="Times New Roman"/>
          <w:sz w:val="24"/>
          <w:szCs w:val="24"/>
        </w:rPr>
        <w:t>, the U.S. Court of Appeals for 5</w:t>
      </w:r>
      <w:r w:rsidRPr="00B8368A">
        <w:rPr>
          <w:rFonts w:ascii="Times New Roman" w:hAnsi="Times New Roman"/>
          <w:sz w:val="24"/>
          <w:szCs w:val="24"/>
          <w:vertAlign w:val="superscript"/>
        </w:rPr>
        <w:t>th</w:t>
      </w:r>
      <w:r w:rsidRPr="00B8368A">
        <w:rPr>
          <w:rFonts w:ascii="Times New Roman" w:hAnsi="Times New Roman"/>
          <w:sz w:val="24"/>
          <w:szCs w:val="24"/>
        </w:rPr>
        <w:t xml:space="preserve"> Circuit held (3 to 0) that Police Chief Debra Walthall is not entitled to qualified immunity, and Officer Mote’s lawsuit against her may proceed.  Officer Mote sought before he was fired to organize police officers with the City of </w:t>
      </w:r>
      <w:proofErr w:type="spellStart"/>
      <w:r w:rsidRPr="00B8368A">
        <w:rPr>
          <w:rFonts w:ascii="Times New Roman" w:hAnsi="Times New Roman"/>
          <w:sz w:val="24"/>
          <w:szCs w:val="24"/>
        </w:rPr>
        <w:t>Corith</w:t>
      </w:r>
      <w:proofErr w:type="spellEnd"/>
      <w:r w:rsidRPr="00B8368A">
        <w:rPr>
          <w:rFonts w:ascii="Times New Roman" w:hAnsi="Times New Roman"/>
          <w:sz w:val="24"/>
          <w:szCs w:val="24"/>
        </w:rPr>
        <w:t>, TX into a “</w:t>
      </w:r>
      <w:proofErr w:type="spellStart"/>
      <w:r w:rsidRPr="00B8368A">
        <w:rPr>
          <w:rFonts w:ascii="Times New Roman" w:hAnsi="Times New Roman"/>
          <w:sz w:val="24"/>
          <w:szCs w:val="24"/>
        </w:rPr>
        <w:t>Corith</w:t>
      </w:r>
      <w:proofErr w:type="spellEnd"/>
      <w:r w:rsidRPr="00B8368A">
        <w:rPr>
          <w:rFonts w:ascii="Times New Roman" w:hAnsi="Times New Roman"/>
          <w:sz w:val="24"/>
          <w:szCs w:val="24"/>
        </w:rPr>
        <w:t xml:space="preserve"> Police Officers Association” [no collective bargaining rights under TX law], affiliated with the Texas Municipal Police Association.  The Court wrote, </w:t>
      </w:r>
    </w:p>
    <w:p w14:paraId="346D7918" w14:textId="096CFB09" w:rsidR="00F326E5" w:rsidRPr="00B8368A" w:rsidRDefault="00F326E5" w:rsidP="00B8368A">
      <w:pPr>
        <w:ind w:left="720"/>
        <w:rPr>
          <w:rFonts w:ascii="Times New Roman" w:eastAsia="Times New Roman" w:hAnsi="Times New Roman"/>
          <w:sz w:val="24"/>
          <w:szCs w:val="24"/>
        </w:rPr>
      </w:pPr>
      <w:r w:rsidRPr="00B8368A">
        <w:rPr>
          <w:rFonts w:ascii="Times New Roman" w:hAnsi="Times New Roman"/>
          <w:sz w:val="24"/>
          <w:szCs w:val="24"/>
        </w:rPr>
        <w:t>“</w:t>
      </w:r>
      <w:r w:rsidRPr="00B8368A">
        <w:rPr>
          <w:rFonts w:ascii="Times New Roman" w:eastAsia="Times New Roman" w:hAnsi="Times New Roman"/>
          <w:sz w:val="24"/>
          <w:szCs w:val="24"/>
        </w:rPr>
        <w:t>The First Amendment protects the right of all persons to associate together in groups to ‘</w:t>
      </w:r>
      <w:proofErr w:type="spellStart"/>
      <w:r w:rsidRPr="00B8368A">
        <w:rPr>
          <w:rFonts w:ascii="Times New Roman" w:eastAsia="Times New Roman" w:hAnsi="Times New Roman"/>
          <w:sz w:val="24"/>
          <w:szCs w:val="24"/>
        </w:rPr>
        <w:t>advanc</w:t>
      </w:r>
      <w:proofErr w:type="spellEnd"/>
      <w:r w:rsidRPr="00B8368A">
        <w:rPr>
          <w:rFonts w:ascii="Times New Roman" w:eastAsia="Times New Roman" w:hAnsi="Times New Roman"/>
          <w:sz w:val="24"/>
          <w:szCs w:val="24"/>
        </w:rPr>
        <w:t>[e] beliefs and ideas.’ Put another way, ‘the [F]</w:t>
      </w:r>
      <w:proofErr w:type="spellStart"/>
      <w:r w:rsidRPr="00B8368A">
        <w:rPr>
          <w:rFonts w:ascii="Times New Roman" w:eastAsia="Times New Roman" w:hAnsi="Times New Roman"/>
          <w:sz w:val="24"/>
          <w:szCs w:val="24"/>
        </w:rPr>
        <w:t>irst</w:t>
      </w:r>
      <w:proofErr w:type="spellEnd"/>
      <w:r w:rsidRPr="00B8368A">
        <w:rPr>
          <w:rFonts w:ascii="Times New Roman" w:eastAsia="Times New Roman" w:hAnsi="Times New Roman"/>
          <w:sz w:val="24"/>
          <w:szCs w:val="24"/>
        </w:rPr>
        <w:t xml:space="preserve"> [A]</w:t>
      </w:r>
      <w:proofErr w:type="spellStart"/>
      <w:r w:rsidRPr="00B8368A">
        <w:rPr>
          <w:rFonts w:ascii="Times New Roman" w:eastAsia="Times New Roman" w:hAnsi="Times New Roman"/>
          <w:sz w:val="24"/>
          <w:szCs w:val="24"/>
        </w:rPr>
        <w:t>mendment</w:t>
      </w:r>
      <w:proofErr w:type="spellEnd"/>
      <w:r w:rsidRPr="00B8368A">
        <w:rPr>
          <w:rFonts w:ascii="Times New Roman" w:eastAsia="Times New Roman" w:hAnsi="Times New Roman"/>
          <w:sz w:val="24"/>
          <w:szCs w:val="24"/>
        </w:rPr>
        <w:t xml:space="preserve"> protects the right of all persons to associate together in groups to further their lawful interests.’ When groups </w:t>
      </w:r>
      <w:proofErr w:type="gramStart"/>
      <w:r w:rsidRPr="00B8368A">
        <w:rPr>
          <w:rFonts w:ascii="Times New Roman" w:eastAsia="Times New Roman" w:hAnsi="Times New Roman"/>
          <w:sz w:val="24"/>
          <w:szCs w:val="24"/>
        </w:rPr>
        <w:t>gather together</w:t>
      </w:r>
      <w:proofErr w:type="gramEnd"/>
      <w:r w:rsidRPr="00B8368A">
        <w:rPr>
          <w:rFonts w:ascii="Times New Roman" w:eastAsia="Times New Roman" w:hAnsi="Times New Roman"/>
          <w:sz w:val="24"/>
          <w:szCs w:val="24"/>
        </w:rPr>
        <w:t xml:space="preserve"> for this </w:t>
      </w:r>
      <w:proofErr w:type="gramStart"/>
      <w:r w:rsidRPr="00B8368A">
        <w:rPr>
          <w:rFonts w:ascii="Times New Roman" w:eastAsia="Times New Roman" w:hAnsi="Times New Roman"/>
          <w:sz w:val="24"/>
          <w:szCs w:val="24"/>
        </w:rPr>
        <w:t>purpose, ‘</w:t>
      </w:r>
      <w:proofErr w:type="gramEnd"/>
      <w:r w:rsidRPr="00B8368A">
        <w:rPr>
          <w:rFonts w:ascii="Times New Roman" w:eastAsia="Times New Roman" w:hAnsi="Times New Roman"/>
          <w:sz w:val="24"/>
          <w:szCs w:val="24"/>
        </w:rPr>
        <w:t xml:space="preserve">it cannot be seriously doubted’ that they comprise associations protected by the First Amendment. *** </w:t>
      </w:r>
      <w:r w:rsidRPr="00B8368A">
        <w:rPr>
          <w:rFonts w:ascii="Times New Roman" w:hAnsi="Times New Roman"/>
          <w:sz w:val="24"/>
          <w:szCs w:val="24"/>
        </w:rPr>
        <w:t xml:space="preserve">We conclude that Mote’s right to speak </w:t>
      </w:r>
      <w:r w:rsidRPr="00B8368A">
        <w:rPr>
          <w:rFonts w:ascii="Times New Roman" w:eastAsia="Times New Roman" w:hAnsi="Times New Roman"/>
          <w:sz w:val="24"/>
          <w:szCs w:val="24"/>
        </w:rPr>
        <w:t xml:space="preserve">in furtherance of forming the CPOA was clearly established as an integral part of his association rights. *** We agree with the district court that Mote’s association and speech rights to engage in the activities he alleged were clearly established. We therefore DISMISS the appeal.” </w:t>
      </w:r>
      <w:hyperlink r:id="rId2872" w:history="1">
        <w:r w:rsidRPr="00B8368A">
          <w:rPr>
            <w:rStyle w:val="Hyperlink"/>
            <w:rFonts w:ascii="Times New Roman" w:hAnsi="Times New Roman"/>
            <w:sz w:val="24"/>
            <w:szCs w:val="24"/>
          </w:rPr>
          <w:t>https://cases.justia.com/federal/appellate-courts/ca5/17-40754/17-40754-2018-08-31.pdf?ts=1535736678</w:t>
        </w:r>
      </w:hyperlink>
      <w:r w:rsidRPr="00B8368A">
        <w:rPr>
          <w:rFonts w:ascii="Times New Roman" w:eastAsia="Times New Roman" w:hAnsi="Times New Roman"/>
          <w:sz w:val="24"/>
          <w:szCs w:val="24"/>
        </w:rPr>
        <w:t xml:space="preserve"> </w:t>
      </w:r>
    </w:p>
    <w:p w14:paraId="66CB6BFA" w14:textId="272BB028" w:rsidR="00F326E5" w:rsidRPr="00B8368A" w:rsidRDefault="00F326E5" w:rsidP="00F326E5">
      <w:pPr>
        <w:rPr>
          <w:rFonts w:ascii="Times New Roman" w:eastAsia="Times New Roman" w:hAnsi="Times New Roman"/>
          <w:b/>
          <w:sz w:val="24"/>
          <w:szCs w:val="24"/>
        </w:rPr>
      </w:pPr>
      <w:r w:rsidRPr="00B8368A">
        <w:rPr>
          <w:rFonts w:ascii="Times New Roman" w:eastAsia="Times New Roman" w:hAnsi="Times New Roman"/>
          <w:b/>
          <w:sz w:val="24"/>
          <w:szCs w:val="24"/>
        </w:rPr>
        <w:t xml:space="preserve">Legal Lessons Learned: Very strong opinion concerning </w:t>
      </w:r>
      <w:proofErr w:type="gramStart"/>
      <w:r w:rsidRPr="00B8368A">
        <w:rPr>
          <w:rFonts w:ascii="Times New Roman" w:eastAsia="Times New Roman" w:hAnsi="Times New Roman"/>
          <w:b/>
          <w:sz w:val="24"/>
          <w:szCs w:val="24"/>
        </w:rPr>
        <w:t>free speech</w:t>
      </w:r>
      <w:proofErr w:type="gramEnd"/>
      <w:r w:rsidRPr="00B8368A">
        <w:rPr>
          <w:rFonts w:ascii="Times New Roman" w:eastAsia="Times New Roman" w:hAnsi="Times New Roman"/>
          <w:b/>
          <w:sz w:val="24"/>
          <w:szCs w:val="24"/>
        </w:rPr>
        <w:t xml:space="preserve"> rights of public employees.  Fire &amp; EMS departments should adopt a “Social Media” policy that recognizes free speech </w:t>
      </w:r>
      <w:proofErr w:type="gramStart"/>
      <w:r w:rsidRPr="00B8368A">
        <w:rPr>
          <w:rFonts w:ascii="Times New Roman" w:eastAsia="Times New Roman" w:hAnsi="Times New Roman"/>
          <w:b/>
          <w:sz w:val="24"/>
          <w:szCs w:val="24"/>
        </w:rPr>
        <w:t>rights,</w:t>
      </w:r>
      <w:r w:rsidR="00B8368A">
        <w:rPr>
          <w:rFonts w:ascii="Times New Roman" w:eastAsia="Times New Roman" w:hAnsi="Times New Roman"/>
          <w:b/>
          <w:sz w:val="24"/>
          <w:szCs w:val="24"/>
        </w:rPr>
        <w:t xml:space="preserve"> </w:t>
      </w:r>
      <w:r w:rsidRPr="00B8368A">
        <w:rPr>
          <w:rFonts w:ascii="Times New Roman" w:eastAsia="Times New Roman" w:hAnsi="Times New Roman"/>
          <w:b/>
          <w:sz w:val="24"/>
          <w:szCs w:val="24"/>
        </w:rPr>
        <w:t>but</w:t>
      </w:r>
      <w:proofErr w:type="gramEnd"/>
      <w:r w:rsidRPr="00B8368A">
        <w:rPr>
          <w:rFonts w:ascii="Times New Roman" w:eastAsia="Times New Roman" w:hAnsi="Times New Roman"/>
          <w:b/>
          <w:sz w:val="24"/>
          <w:szCs w:val="24"/>
        </w:rPr>
        <w:t xml:space="preserve"> </w:t>
      </w:r>
      <w:r w:rsidR="00B8368A">
        <w:rPr>
          <w:rFonts w:ascii="Times New Roman" w:eastAsia="Times New Roman" w:hAnsi="Times New Roman"/>
          <w:b/>
          <w:sz w:val="24"/>
          <w:szCs w:val="24"/>
        </w:rPr>
        <w:t xml:space="preserve">also </w:t>
      </w:r>
      <w:r w:rsidRPr="00B8368A">
        <w:rPr>
          <w:rFonts w:ascii="Times New Roman" w:eastAsia="Times New Roman" w:hAnsi="Times New Roman"/>
          <w:b/>
          <w:sz w:val="24"/>
          <w:szCs w:val="24"/>
        </w:rPr>
        <w:t>cautions members to not publicly discuss internal matters</w:t>
      </w:r>
      <w:r w:rsidRPr="00B8368A">
        <w:rPr>
          <w:rFonts w:ascii="Times New Roman" w:eastAsia="Times New Roman" w:hAnsi="Times New Roman"/>
          <w:sz w:val="24"/>
          <w:szCs w:val="24"/>
        </w:rPr>
        <w:t>.</w:t>
      </w:r>
    </w:p>
    <w:bookmarkEnd w:id="616"/>
    <w:bookmarkEnd w:id="617"/>
    <w:p w14:paraId="24FA42FE" w14:textId="77777777" w:rsidR="00F326E5" w:rsidRDefault="00F326E5" w:rsidP="00F326E5">
      <w:pPr>
        <w:pStyle w:val="Heading1"/>
        <w:rPr>
          <w:sz w:val="24"/>
          <w:szCs w:val="24"/>
        </w:rPr>
      </w:pPr>
    </w:p>
    <w:p w14:paraId="2FE8D6B4" w14:textId="199E56F3" w:rsidR="00F326E5" w:rsidRDefault="000C4DF5" w:rsidP="000C4DF5">
      <w:pPr>
        <w:pStyle w:val="NoSpacing"/>
        <w:rPr>
          <w:rFonts w:ascii="Arial Black" w:hAnsi="Arial Black"/>
          <w:sz w:val="24"/>
          <w:szCs w:val="24"/>
        </w:rPr>
      </w:pPr>
      <w:r>
        <w:rPr>
          <w:rFonts w:ascii="Arial Black" w:hAnsi="Arial Black"/>
          <w:sz w:val="24"/>
          <w:szCs w:val="24"/>
        </w:rPr>
        <w:t>16-8</w:t>
      </w:r>
    </w:p>
    <w:p w14:paraId="42F20CEE" w14:textId="77777777" w:rsidR="000C4DF5" w:rsidRDefault="000C4DF5" w:rsidP="000C4DF5">
      <w:pPr>
        <w:pStyle w:val="NoSpacing"/>
        <w:rPr>
          <w:sz w:val="24"/>
          <w:szCs w:val="24"/>
        </w:rPr>
      </w:pPr>
    </w:p>
    <w:p w14:paraId="1281755C" w14:textId="03895C9A" w:rsidR="00F326E5" w:rsidRDefault="00F326E5" w:rsidP="00F326E5">
      <w:pPr>
        <w:pStyle w:val="NoSpacing"/>
        <w:rPr>
          <w:rFonts w:ascii="Arial Black" w:hAnsi="Arial Black"/>
          <w:b/>
          <w:sz w:val="24"/>
          <w:szCs w:val="24"/>
        </w:rPr>
      </w:pPr>
      <w:bookmarkStart w:id="618" w:name="_Hlk7349133"/>
      <w:r w:rsidRPr="0038317F">
        <w:rPr>
          <w:rFonts w:ascii="Arial Black" w:hAnsi="Arial Black"/>
          <w:sz w:val="28"/>
          <w:szCs w:val="28"/>
        </w:rPr>
        <w:t>FL: T</w:t>
      </w:r>
      <w:r>
        <w:rPr>
          <w:rFonts w:ascii="Arial Black" w:hAnsi="Arial Black"/>
          <w:sz w:val="28"/>
          <w:szCs w:val="28"/>
        </w:rPr>
        <w:t>WO DISPATCHERS FIRED – DID NOT ALERT POLICE OF “HIGH HAZARD” PERSON –</w:t>
      </w:r>
      <w:r w:rsidR="00A50C92">
        <w:rPr>
          <w:rFonts w:ascii="Arial Black" w:hAnsi="Arial Black"/>
          <w:sz w:val="28"/>
          <w:szCs w:val="28"/>
        </w:rPr>
        <w:t xml:space="preserve"> POLICE </w:t>
      </w:r>
      <w:r>
        <w:rPr>
          <w:rFonts w:ascii="Arial Black" w:hAnsi="Arial Black"/>
          <w:sz w:val="28"/>
          <w:szCs w:val="28"/>
        </w:rPr>
        <w:t>OFFICER</w:t>
      </w:r>
      <w:r w:rsidRPr="0038317F">
        <w:rPr>
          <w:rFonts w:ascii="Arial Black" w:hAnsi="Arial Black"/>
          <w:sz w:val="28"/>
          <w:szCs w:val="28"/>
        </w:rPr>
        <w:t xml:space="preserve"> </w:t>
      </w:r>
      <w:r w:rsidR="00A50C92">
        <w:rPr>
          <w:rFonts w:ascii="Arial Black" w:hAnsi="Arial Black"/>
          <w:sz w:val="28"/>
          <w:szCs w:val="28"/>
        </w:rPr>
        <w:t>KILLED</w:t>
      </w:r>
    </w:p>
    <w:p w14:paraId="0B800638"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June 13, 2018, in </w:t>
      </w:r>
      <w:r w:rsidRPr="00E600C4">
        <w:rPr>
          <w:rFonts w:ascii="Times New Roman" w:hAnsi="Times New Roman"/>
          <w:sz w:val="24"/>
          <w:szCs w:val="24"/>
          <w:u w:val="single"/>
        </w:rPr>
        <w:t>Darryl Newman, Gwendolyn Forehand v. Consolidated Dispatch Agency</w:t>
      </w:r>
      <w:r w:rsidRPr="00E600C4">
        <w:rPr>
          <w:rFonts w:ascii="Times New Roman" w:hAnsi="Times New Roman"/>
          <w:sz w:val="24"/>
          <w:szCs w:val="24"/>
        </w:rPr>
        <w:t xml:space="preserve">, the U.S. </w:t>
      </w:r>
      <w:proofErr w:type="spellStart"/>
      <w:r w:rsidRPr="00E600C4">
        <w:rPr>
          <w:rFonts w:ascii="Times New Roman" w:hAnsi="Times New Roman"/>
          <w:sz w:val="24"/>
          <w:szCs w:val="24"/>
        </w:rPr>
        <w:t>CourtOf</w:t>
      </w:r>
      <w:proofErr w:type="spellEnd"/>
      <w:r w:rsidRPr="00E600C4">
        <w:rPr>
          <w:rFonts w:ascii="Times New Roman" w:hAnsi="Times New Roman"/>
          <w:sz w:val="24"/>
          <w:szCs w:val="24"/>
        </w:rPr>
        <w:t xml:space="preserve"> Appeals for the 11</w:t>
      </w:r>
      <w:r w:rsidRPr="00E600C4">
        <w:rPr>
          <w:rFonts w:ascii="Times New Roman" w:hAnsi="Times New Roman"/>
          <w:sz w:val="24"/>
          <w:szCs w:val="24"/>
          <w:vertAlign w:val="superscript"/>
        </w:rPr>
        <w:t>th</w:t>
      </w:r>
      <w:r w:rsidRPr="00E600C4">
        <w:rPr>
          <w:rFonts w:ascii="Times New Roman" w:hAnsi="Times New Roman"/>
          <w:sz w:val="24"/>
          <w:szCs w:val="24"/>
        </w:rPr>
        <w:t xml:space="preserve"> District (Atlanta, GA), held (3 to 0) in an unpublished opinion:</w:t>
      </w:r>
    </w:p>
    <w:p w14:paraId="0DE3CDCA" w14:textId="77777777" w:rsidR="00E600C4" w:rsidRDefault="00E600C4" w:rsidP="00F326E5">
      <w:pPr>
        <w:ind w:left="720"/>
        <w:rPr>
          <w:rFonts w:ascii="Times New Roman" w:eastAsia="Times New Roman" w:hAnsi="Times New Roman"/>
          <w:sz w:val="24"/>
          <w:szCs w:val="24"/>
        </w:rPr>
      </w:pPr>
    </w:p>
    <w:p w14:paraId="18E79E53" w14:textId="6621DBD2" w:rsidR="00F326E5" w:rsidRPr="00E600C4" w:rsidRDefault="00F326E5" w:rsidP="00F326E5">
      <w:pPr>
        <w:ind w:left="720"/>
        <w:rPr>
          <w:rFonts w:ascii="Times New Roman" w:eastAsia="Times New Roman" w:hAnsi="Times New Roman"/>
          <w:sz w:val="24"/>
          <w:szCs w:val="24"/>
        </w:rPr>
      </w:pPr>
      <w:r w:rsidRPr="00E600C4">
        <w:rPr>
          <w:rFonts w:ascii="Times New Roman" w:eastAsia="Times New Roman" w:hAnsi="Times New Roman"/>
          <w:sz w:val="24"/>
          <w:szCs w:val="24"/>
        </w:rPr>
        <w:t>“We are unpersuaded by the Appellants’ argument that their termination was arbitrary because there was no CDA [the Agency] protocol requiring them to check the ‘premises hazard’ tab, they were never warned of a requirement to look at ‘premises hazards,’ and no other PSCOs had been fired for failure to access the tab. Even if clicking on the tab was discretionary, the Appellants were nevertheless required to gather and disseminate pertinent information, pertinent information was available to them, and they failed to access it. They were aware of this responsibility based on their two decades of experience, and they knew how to access the ‘premises hazard’ tab.  Moreover, there is no evidence that any other PSCO’s failure to open the tab resulted in the death of a first responder.”</w:t>
      </w:r>
      <w:r w:rsidR="00E600C4">
        <w:rPr>
          <w:rFonts w:ascii="Times New Roman" w:eastAsia="Times New Roman" w:hAnsi="Times New Roman"/>
          <w:sz w:val="24"/>
          <w:szCs w:val="24"/>
        </w:rPr>
        <w:t xml:space="preserve"> </w:t>
      </w:r>
      <w:hyperlink r:id="rId2873" w:history="1">
        <w:r w:rsidRPr="00E600C4">
          <w:rPr>
            <w:rStyle w:val="Hyperlink"/>
            <w:rFonts w:ascii="Times New Roman" w:hAnsi="Times New Roman"/>
            <w:sz w:val="24"/>
            <w:szCs w:val="24"/>
          </w:rPr>
          <w:t>http://media.ca11.uscourts.gov/opinions/unpub/files/201715398.pdf</w:t>
        </w:r>
      </w:hyperlink>
      <w:r w:rsidRPr="00E600C4">
        <w:rPr>
          <w:rFonts w:ascii="Times New Roman" w:eastAsia="Times New Roman" w:hAnsi="Times New Roman"/>
          <w:sz w:val="24"/>
          <w:szCs w:val="24"/>
        </w:rPr>
        <w:t xml:space="preserve"> </w:t>
      </w:r>
    </w:p>
    <w:p w14:paraId="08CF5695" w14:textId="77777777" w:rsidR="00E600C4" w:rsidRDefault="00F326E5" w:rsidP="00E600C4">
      <w:pPr>
        <w:pStyle w:val="Heading1"/>
        <w:rPr>
          <w:sz w:val="24"/>
          <w:szCs w:val="24"/>
        </w:rPr>
      </w:pPr>
      <w:r w:rsidRPr="00E600C4">
        <w:rPr>
          <w:sz w:val="24"/>
          <w:szCs w:val="24"/>
        </w:rPr>
        <w:t xml:space="preserve">Legal Lessons Learned:  Fire, EMS and Police must be warned of high hazard locations.  Please share this case with your 911 Dispatch </w:t>
      </w:r>
      <w:proofErr w:type="gramStart"/>
      <w:r w:rsidRPr="00E600C4">
        <w:rPr>
          <w:sz w:val="24"/>
          <w:szCs w:val="24"/>
        </w:rPr>
        <w:t>agency, and</w:t>
      </w:r>
      <w:proofErr w:type="gramEnd"/>
      <w:r w:rsidRPr="00E600C4">
        <w:rPr>
          <w:sz w:val="24"/>
          <w:szCs w:val="24"/>
        </w:rPr>
        <w:t xml:space="preserve"> confirm they have a protocol in </w:t>
      </w:r>
      <w:proofErr w:type="gramStart"/>
      <w:r w:rsidRPr="00E600C4">
        <w:rPr>
          <w:sz w:val="24"/>
          <w:szCs w:val="24"/>
        </w:rPr>
        <w:t>place</w:t>
      </w:r>
      <w:proofErr w:type="gramEnd"/>
      <w:r w:rsidRPr="00E600C4">
        <w:rPr>
          <w:sz w:val="24"/>
          <w:szCs w:val="24"/>
        </w:rPr>
        <w:t xml:space="preserve"> and it is followed 100% of time.  </w:t>
      </w:r>
      <w:bookmarkEnd w:id="618"/>
    </w:p>
    <w:p w14:paraId="2277836F" w14:textId="26F10EBE" w:rsidR="00F326E5" w:rsidRPr="00E600C4" w:rsidRDefault="00F326E5" w:rsidP="00E600C4">
      <w:pPr>
        <w:pStyle w:val="Heading1"/>
        <w:ind w:left="720"/>
        <w:rPr>
          <w:b w:val="0"/>
          <w:bCs w:val="0"/>
          <w:sz w:val="24"/>
          <w:szCs w:val="24"/>
        </w:rPr>
      </w:pPr>
      <w:r w:rsidRPr="00E600C4">
        <w:rPr>
          <w:b w:val="0"/>
          <w:bCs w:val="0"/>
          <w:sz w:val="24"/>
          <w:szCs w:val="24"/>
        </w:rPr>
        <w:t xml:space="preserve">See news report and TV video of this terrible scene: “Police identify gunman, Florida deputy killed in shootout” - </w:t>
      </w:r>
      <w:hyperlink r:id="rId2874" w:history="1">
        <w:r w:rsidRPr="00E600C4">
          <w:rPr>
            <w:rStyle w:val="Hyperlink"/>
            <w:b w:val="0"/>
            <w:bCs w:val="0"/>
            <w:sz w:val="24"/>
            <w:szCs w:val="24"/>
          </w:rPr>
          <w:t>https://www.usatoday.com/story/news/nation/2014/11/23/florida-deputy-ambush-killed-identified/19446091/</w:t>
        </w:r>
      </w:hyperlink>
    </w:p>
    <w:p w14:paraId="5DF9ED8C" w14:textId="77777777" w:rsidR="00F326E5" w:rsidRPr="00B66B0C" w:rsidRDefault="00F326E5" w:rsidP="00F326E5">
      <w:pPr>
        <w:ind w:left="720"/>
        <w:rPr>
          <w:rFonts w:eastAsia="Times New Roman"/>
          <w:b/>
          <w:sz w:val="24"/>
          <w:szCs w:val="24"/>
        </w:rPr>
      </w:pPr>
    </w:p>
    <w:p w14:paraId="2A331137" w14:textId="13C32D8E" w:rsidR="000C4DF5" w:rsidRDefault="000C4DF5" w:rsidP="000C4DF5">
      <w:pPr>
        <w:pStyle w:val="NoSpacing"/>
        <w:rPr>
          <w:rFonts w:ascii="Arial Black" w:hAnsi="Arial Black"/>
          <w:sz w:val="24"/>
          <w:szCs w:val="24"/>
        </w:rPr>
      </w:pPr>
      <w:bookmarkStart w:id="619" w:name="_Hlk80769557"/>
      <w:r>
        <w:rPr>
          <w:rFonts w:ascii="Arial Black" w:hAnsi="Arial Black"/>
          <w:sz w:val="24"/>
          <w:szCs w:val="24"/>
        </w:rPr>
        <w:t>16-7</w:t>
      </w:r>
    </w:p>
    <w:p w14:paraId="581B04DA" w14:textId="77777777" w:rsidR="00F326E5" w:rsidRDefault="00F326E5" w:rsidP="00F326E5">
      <w:pPr>
        <w:pStyle w:val="NoSpacing"/>
        <w:rPr>
          <w:rFonts w:ascii="Arial Black" w:hAnsi="Arial Black"/>
          <w:b/>
          <w:sz w:val="24"/>
          <w:szCs w:val="24"/>
        </w:rPr>
      </w:pPr>
    </w:p>
    <w:p w14:paraId="1F95F5BD" w14:textId="47B23E36" w:rsidR="00F326E5" w:rsidRPr="00270075" w:rsidRDefault="00F326E5" w:rsidP="00F326E5">
      <w:pPr>
        <w:rPr>
          <w:b/>
          <w:sz w:val="24"/>
          <w:szCs w:val="24"/>
        </w:rPr>
      </w:pPr>
      <w:bookmarkStart w:id="620" w:name="_Hlk7349211"/>
      <w:r w:rsidRPr="00F707DC">
        <w:rPr>
          <w:rFonts w:ascii="Arial Black" w:hAnsi="Arial Black"/>
          <w:sz w:val="28"/>
          <w:szCs w:val="28"/>
        </w:rPr>
        <w:t>PA:  DOT E</w:t>
      </w:r>
      <w:r>
        <w:rPr>
          <w:rFonts w:ascii="Arial Black" w:hAnsi="Arial Black"/>
          <w:sz w:val="28"/>
          <w:szCs w:val="28"/>
        </w:rPr>
        <w:t xml:space="preserve">MPLOYEE FIRED FOR </w:t>
      </w:r>
      <w:r w:rsidRPr="00F707DC">
        <w:rPr>
          <w:rFonts w:ascii="Arial Black" w:hAnsi="Arial Black"/>
          <w:sz w:val="28"/>
          <w:szCs w:val="28"/>
        </w:rPr>
        <w:t>FACEBOOK P</w:t>
      </w:r>
      <w:r>
        <w:rPr>
          <w:rFonts w:ascii="Arial Black" w:hAnsi="Arial Black"/>
          <w:sz w:val="28"/>
          <w:szCs w:val="28"/>
        </w:rPr>
        <w:t xml:space="preserve">OSTS ON BAD SCHOOL BUS DRIVERS – REINSTATED </w:t>
      </w:r>
      <w:r w:rsidRPr="00270075">
        <w:rPr>
          <w:b/>
          <w:sz w:val="24"/>
          <w:szCs w:val="24"/>
        </w:rPr>
        <w:t>[also filed, Chap. 1]</w:t>
      </w:r>
    </w:p>
    <w:p w14:paraId="570125A1"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June 12, 2018, in </w:t>
      </w:r>
      <w:r w:rsidRPr="00E600C4">
        <w:rPr>
          <w:rFonts w:ascii="Times New Roman" w:hAnsi="Times New Roman"/>
          <w:sz w:val="24"/>
          <w:szCs w:val="24"/>
          <w:u w:val="single"/>
        </w:rPr>
        <w:t>Rachel L. Carr v. Commonwealth of Pennsylvania / Department of Transportation and Civil Service Commission</w:t>
      </w:r>
      <w:r w:rsidRPr="00E600C4">
        <w:rPr>
          <w:rFonts w:ascii="Times New Roman" w:hAnsi="Times New Roman"/>
          <w:sz w:val="24"/>
          <w:szCs w:val="24"/>
        </w:rPr>
        <w:t>, the Commonwealth Court of Pennsylvania held (3 to 0) that the employee’s FACEBOOK posts about local school bus drivers were “inappropriate” but were protected since it “touched on a matter of public concern.” The Court wrote: “After a thorough review of the record and a conscientious analysis of the factors articulated by the United States Supreme Court, we conclude that the Department’s generalized interest in the safety of the traveling public does not outweigh Carr’s specific interest in commenting on the safety of a particular bus driver. While Carr’s comments are undoubtedly inappropriate, such comments still receive protection under the First Amendment.”</w:t>
      </w:r>
    </w:p>
    <w:p w14:paraId="620D86C0" w14:textId="77777777" w:rsidR="00F326E5" w:rsidRPr="00E600C4" w:rsidRDefault="00F326E5" w:rsidP="00F326E5">
      <w:pPr>
        <w:pStyle w:val="NoSpacing"/>
        <w:rPr>
          <w:rFonts w:ascii="Times New Roman" w:hAnsi="Times New Roman"/>
          <w:sz w:val="24"/>
          <w:szCs w:val="24"/>
        </w:rPr>
      </w:pPr>
      <w:hyperlink r:id="rId2875" w:history="1">
        <w:r w:rsidRPr="00E600C4">
          <w:rPr>
            <w:rStyle w:val="Hyperlink"/>
            <w:rFonts w:ascii="Times New Roman" w:hAnsi="Times New Roman"/>
            <w:sz w:val="24"/>
            <w:szCs w:val="24"/>
          </w:rPr>
          <w:t>http://www.pacourts.us/assets/opinions/Commonwealth/out/380md17_6-12-18.pdf</w:t>
        </w:r>
      </w:hyperlink>
      <w:r w:rsidRPr="00E600C4">
        <w:rPr>
          <w:rFonts w:ascii="Times New Roman" w:hAnsi="Times New Roman"/>
          <w:sz w:val="24"/>
          <w:szCs w:val="24"/>
        </w:rPr>
        <w:t xml:space="preserve"> </w:t>
      </w:r>
    </w:p>
    <w:p w14:paraId="07115E3B" w14:textId="77777777" w:rsidR="00E600C4" w:rsidRDefault="00E600C4" w:rsidP="00F326E5">
      <w:pPr>
        <w:pStyle w:val="NoSpacing"/>
        <w:rPr>
          <w:rFonts w:ascii="Times New Roman" w:hAnsi="Times New Roman"/>
          <w:b/>
          <w:sz w:val="24"/>
          <w:szCs w:val="24"/>
        </w:rPr>
      </w:pPr>
    </w:p>
    <w:p w14:paraId="3BF757DB" w14:textId="5845C131"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Legal Lessons Learned:  Fire &amp; EMS Departments should have a Social Media Policy that clearly advises personnel that their “</w:t>
      </w:r>
      <w:proofErr w:type="gramStart"/>
      <w:r w:rsidRPr="00E600C4">
        <w:rPr>
          <w:rFonts w:ascii="Times New Roman" w:hAnsi="Times New Roman"/>
          <w:b/>
          <w:sz w:val="24"/>
          <w:szCs w:val="24"/>
        </w:rPr>
        <w:t>Free Speech</w:t>
      </w:r>
      <w:proofErr w:type="gramEnd"/>
      <w:r w:rsidRPr="00E600C4">
        <w:rPr>
          <w:rFonts w:ascii="Times New Roman" w:hAnsi="Times New Roman"/>
          <w:b/>
          <w:sz w:val="24"/>
          <w:szCs w:val="24"/>
        </w:rPr>
        <w:t xml:space="preserve"> rights” are limited when discussing FD internal matters. </w:t>
      </w:r>
    </w:p>
    <w:p w14:paraId="1AF239D0"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 </w:t>
      </w:r>
    </w:p>
    <w:bookmarkEnd w:id="619"/>
    <w:bookmarkEnd w:id="620"/>
    <w:p w14:paraId="6EFE3B3A" w14:textId="77777777" w:rsidR="000C4DF5" w:rsidRDefault="000C4DF5" w:rsidP="000C4DF5">
      <w:pPr>
        <w:pStyle w:val="NoSpacing"/>
        <w:rPr>
          <w:rFonts w:ascii="Arial Black" w:hAnsi="Arial Black"/>
          <w:sz w:val="24"/>
          <w:szCs w:val="24"/>
        </w:rPr>
      </w:pPr>
    </w:p>
    <w:p w14:paraId="4EE43A7D" w14:textId="18E6F2D3" w:rsidR="00A50C92" w:rsidRDefault="000C4DF5" w:rsidP="000C4DF5">
      <w:pPr>
        <w:pStyle w:val="NoSpacing"/>
        <w:rPr>
          <w:sz w:val="24"/>
          <w:szCs w:val="24"/>
          <w:lang w:val="en"/>
        </w:rPr>
      </w:pPr>
      <w:r>
        <w:rPr>
          <w:rFonts w:ascii="Arial Black" w:hAnsi="Arial Black"/>
          <w:sz w:val="24"/>
          <w:szCs w:val="24"/>
        </w:rPr>
        <w:t>16-6</w:t>
      </w:r>
    </w:p>
    <w:p w14:paraId="59A09E74" w14:textId="1C097549" w:rsidR="00F326E5" w:rsidRPr="00F707DC" w:rsidRDefault="00F326E5" w:rsidP="00F326E5">
      <w:pPr>
        <w:spacing w:before="100" w:beforeAutospacing="1" w:after="100" w:afterAutospacing="1"/>
        <w:outlineLvl w:val="0"/>
        <w:rPr>
          <w:sz w:val="28"/>
          <w:szCs w:val="28"/>
        </w:rPr>
      </w:pPr>
      <w:bookmarkStart w:id="621" w:name="_Hlk7349280"/>
      <w:r w:rsidRPr="00F707DC">
        <w:rPr>
          <w:rFonts w:ascii="Arial Black" w:hAnsi="Arial Black"/>
          <w:sz w:val="28"/>
          <w:szCs w:val="28"/>
        </w:rPr>
        <w:t xml:space="preserve">TX: CAPTAIN SUPENDED FOR NOT SUBMITTING DOCTOR’S REPORT </w:t>
      </w:r>
      <w:r w:rsidR="00A50C92">
        <w:rPr>
          <w:rFonts w:ascii="Arial Black" w:hAnsi="Arial Black"/>
          <w:sz w:val="28"/>
          <w:szCs w:val="28"/>
        </w:rPr>
        <w:t>–</w:t>
      </w:r>
      <w:r w:rsidRPr="00F707DC">
        <w:rPr>
          <w:rFonts w:ascii="Arial Black" w:hAnsi="Arial Black"/>
          <w:sz w:val="28"/>
          <w:szCs w:val="28"/>
        </w:rPr>
        <w:t xml:space="preserve"> </w:t>
      </w:r>
      <w:r w:rsidR="00A50C92">
        <w:rPr>
          <w:rFonts w:ascii="Arial Black" w:hAnsi="Arial Black"/>
          <w:sz w:val="28"/>
          <w:szCs w:val="28"/>
        </w:rPr>
        <w:t xml:space="preserve">REVERSED, </w:t>
      </w:r>
      <w:r w:rsidRPr="00F707DC">
        <w:rPr>
          <w:rFonts w:ascii="Arial Black" w:hAnsi="Arial Black"/>
          <w:sz w:val="28"/>
          <w:szCs w:val="28"/>
        </w:rPr>
        <w:t xml:space="preserve">FD FAILED TO DISCIPLINE </w:t>
      </w:r>
      <w:r>
        <w:rPr>
          <w:rFonts w:ascii="Arial Black" w:hAnsi="Arial Black"/>
          <w:sz w:val="28"/>
          <w:szCs w:val="28"/>
        </w:rPr>
        <w:t xml:space="preserve">IN </w:t>
      </w:r>
      <w:r w:rsidRPr="00F707DC">
        <w:rPr>
          <w:rFonts w:ascii="Arial Black" w:hAnsi="Arial Black"/>
          <w:sz w:val="28"/>
          <w:szCs w:val="28"/>
        </w:rPr>
        <w:t>180 DAYS</w:t>
      </w:r>
      <w:r w:rsidRPr="00F707DC">
        <w:rPr>
          <w:sz w:val="28"/>
          <w:szCs w:val="28"/>
        </w:rPr>
        <w:t xml:space="preserve"> </w:t>
      </w:r>
    </w:p>
    <w:p w14:paraId="01EBA355" w14:textId="77777777" w:rsidR="00F326E5" w:rsidRPr="00E600C4" w:rsidRDefault="00F326E5" w:rsidP="00F326E5">
      <w:pPr>
        <w:spacing w:before="100" w:beforeAutospacing="1" w:after="100" w:afterAutospacing="1"/>
        <w:outlineLvl w:val="0"/>
        <w:rPr>
          <w:rFonts w:ascii="Times New Roman" w:eastAsia="Times New Roman" w:hAnsi="Times New Roman"/>
          <w:sz w:val="24"/>
          <w:szCs w:val="24"/>
        </w:rPr>
      </w:pPr>
      <w:r w:rsidRPr="00E600C4">
        <w:rPr>
          <w:rFonts w:ascii="Times New Roman" w:hAnsi="Times New Roman"/>
          <w:sz w:val="24"/>
          <w:szCs w:val="24"/>
        </w:rPr>
        <w:t xml:space="preserve">On April 17, 2018, in </w:t>
      </w:r>
      <w:r w:rsidRPr="00E600C4">
        <w:rPr>
          <w:rFonts w:ascii="Times New Roman" w:hAnsi="Times New Roman"/>
          <w:sz w:val="24"/>
          <w:szCs w:val="24"/>
          <w:u w:val="single"/>
        </w:rPr>
        <w:t>Steven Dunbar v. City of Houston</w:t>
      </w:r>
      <w:r w:rsidRPr="00E600C4">
        <w:rPr>
          <w:rFonts w:ascii="Times New Roman" w:hAnsi="Times New Roman"/>
          <w:sz w:val="24"/>
          <w:szCs w:val="24"/>
        </w:rPr>
        <w:t xml:space="preserve">, the State of Texas in the Fourteenth Court of Appeals, held that the </w:t>
      </w:r>
      <w:proofErr w:type="gramStart"/>
      <w:r w:rsidRPr="00E600C4">
        <w:rPr>
          <w:rFonts w:ascii="Times New Roman" w:hAnsi="Times New Roman"/>
          <w:sz w:val="24"/>
          <w:szCs w:val="24"/>
        </w:rPr>
        <w:t>Captain’s</w:t>
      </w:r>
      <w:proofErr w:type="gramEnd"/>
      <w:r w:rsidRPr="00E600C4">
        <w:rPr>
          <w:rFonts w:ascii="Times New Roman" w:hAnsi="Times New Roman"/>
          <w:sz w:val="24"/>
          <w:szCs w:val="24"/>
        </w:rPr>
        <w:t xml:space="preserve"> 10-day suspension is reversed.  The “</w:t>
      </w:r>
      <w:r w:rsidRPr="00E600C4">
        <w:rPr>
          <w:rFonts w:ascii="Times New Roman" w:eastAsia="Times New Roman" w:hAnsi="Times New Roman"/>
          <w:sz w:val="24"/>
          <w:szCs w:val="24"/>
        </w:rPr>
        <w:t xml:space="preserve">Department was aware of the violation not later than August 2014, and thus, his suspension more than 180 days later is void.” </w:t>
      </w:r>
      <w:hyperlink r:id="rId2876" w:history="1">
        <w:r w:rsidRPr="00E600C4">
          <w:rPr>
            <w:rStyle w:val="Hyperlink"/>
            <w:rFonts w:ascii="Times New Roman" w:hAnsi="Times New Roman"/>
            <w:sz w:val="24"/>
            <w:szCs w:val="24"/>
          </w:rPr>
          <w:t>https://cases.justia.com/texas/fourteenth-court-of-appeals/2018-14-17-00156-cv.pdf?ts=1523970132</w:t>
        </w:r>
      </w:hyperlink>
      <w:r w:rsidRPr="00E600C4">
        <w:rPr>
          <w:rFonts w:ascii="Times New Roman" w:eastAsia="Times New Roman" w:hAnsi="Times New Roman"/>
          <w:sz w:val="24"/>
          <w:szCs w:val="24"/>
        </w:rPr>
        <w:t xml:space="preserve"> </w:t>
      </w:r>
    </w:p>
    <w:p w14:paraId="47E5A987" w14:textId="77777777"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Legal Lessons Learned:  Texas statute requiring discipline within 180 days must be strictly followed; the clock begins to run when the department FIRST becomes aware of the violation.</w:t>
      </w:r>
    </w:p>
    <w:bookmarkEnd w:id="621"/>
    <w:p w14:paraId="50A57BFB" w14:textId="77777777" w:rsidR="00F326E5" w:rsidRPr="00E600C4" w:rsidRDefault="00F326E5" w:rsidP="00F326E5">
      <w:pPr>
        <w:ind w:left="720"/>
        <w:rPr>
          <w:rFonts w:ascii="Times New Roman" w:eastAsia="Times New Roman" w:hAnsi="Times New Roman"/>
          <w:sz w:val="24"/>
          <w:szCs w:val="24"/>
        </w:rPr>
      </w:pPr>
    </w:p>
    <w:p w14:paraId="77923827" w14:textId="77777777" w:rsidR="00F326E5" w:rsidRDefault="00F326E5" w:rsidP="00F326E5">
      <w:pPr>
        <w:ind w:left="720"/>
        <w:rPr>
          <w:rFonts w:eastAsia="Times New Roman"/>
          <w:sz w:val="24"/>
          <w:szCs w:val="24"/>
        </w:rPr>
      </w:pPr>
    </w:p>
    <w:p w14:paraId="496FEAB8" w14:textId="160C5FD0" w:rsidR="000C4DF5" w:rsidRDefault="000C4DF5" w:rsidP="00F326E5">
      <w:pPr>
        <w:pStyle w:val="NoSpacing"/>
        <w:rPr>
          <w:rFonts w:ascii="Arial Black" w:hAnsi="Arial Black"/>
          <w:b/>
          <w:sz w:val="28"/>
          <w:szCs w:val="28"/>
        </w:rPr>
      </w:pPr>
      <w:bookmarkStart w:id="622" w:name="_Hlk7349318"/>
      <w:r>
        <w:rPr>
          <w:rFonts w:ascii="Arial Black" w:hAnsi="Arial Black"/>
          <w:sz w:val="24"/>
          <w:szCs w:val="24"/>
        </w:rPr>
        <w:t>16-5</w:t>
      </w:r>
    </w:p>
    <w:p w14:paraId="5670CD67" w14:textId="77777777" w:rsidR="000C4DF5" w:rsidRDefault="000C4DF5" w:rsidP="00F326E5">
      <w:pPr>
        <w:pStyle w:val="NoSpacing"/>
        <w:rPr>
          <w:rFonts w:ascii="Arial Black" w:hAnsi="Arial Black"/>
          <w:b/>
          <w:sz w:val="28"/>
          <w:szCs w:val="28"/>
        </w:rPr>
      </w:pPr>
    </w:p>
    <w:p w14:paraId="3F81268E" w14:textId="658C67A3" w:rsidR="00F326E5" w:rsidRDefault="00F326E5" w:rsidP="00F326E5">
      <w:pPr>
        <w:pStyle w:val="NoSpacing"/>
        <w:rPr>
          <w:b/>
          <w:sz w:val="24"/>
          <w:szCs w:val="24"/>
        </w:rPr>
      </w:pPr>
      <w:r w:rsidRPr="005E290F">
        <w:rPr>
          <w:rFonts w:ascii="Arial Black" w:hAnsi="Arial Black"/>
          <w:b/>
          <w:sz w:val="28"/>
          <w:szCs w:val="28"/>
        </w:rPr>
        <w:t xml:space="preserve">TN: FIREFIGHTER </w:t>
      </w:r>
      <w:r>
        <w:rPr>
          <w:rFonts w:ascii="Arial Black" w:hAnsi="Arial Black"/>
          <w:b/>
          <w:sz w:val="28"/>
          <w:szCs w:val="28"/>
        </w:rPr>
        <w:t xml:space="preserve">FIRED FOR </w:t>
      </w:r>
      <w:r w:rsidRPr="005E290F">
        <w:rPr>
          <w:rFonts w:ascii="Arial Black" w:hAnsi="Arial Black"/>
          <w:b/>
          <w:sz w:val="28"/>
          <w:szCs w:val="28"/>
        </w:rPr>
        <w:t>MA</w:t>
      </w:r>
      <w:r>
        <w:rPr>
          <w:rFonts w:ascii="Arial Black" w:hAnsi="Arial Black"/>
          <w:b/>
          <w:sz w:val="28"/>
          <w:szCs w:val="28"/>
        </w:rPr>
        <w:t>KING</w:t>
      </w:r>
      <w:r w:rsidRPr="005E290F">
        <w:rPr>
          <w:rFonts w:ascii="Arial Black" w:hAnsi="Arial Black"/>
          <w:b/>
          <w:sz w:val="28"/>
          <w:szCs w:val="28"/>
        </w:rPr>
        <w:t xml:space="preserve"> SEXUALLY HARASSING PHONE CALLS ON DUTY</w:t>
      </w:r>
      <w:r>
        <w:rPr>
          <w:rFonts w:ascii="Arial Black" w:hAnsi="Arial Black"/>
          <w:b/>
          <w:sz w:val="28"/>
          <w:szCs w:val="28"/>
        </w:rPr>
        <w:t xml:space="preserve"> – NO RETALIATION</w:t>
      </w:r>
    </w:p>
    <w:p w14:paraId="014BF7F3"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March 23, 2018, in </w:t>
      </w:r>
      <w:r w:rsidRPr="00E600C4">
        <w:rPr>
          <w:rFonts w:ascii="Times New Roman" w:hAnsi="Times New Roman"/>
          <w:sz w:val="24"/>
          <w:szCs w:val="24"/>
          <w:u w:val="single"/>
        </w:rPr>
        <w:t>Joseph Sweat v. City of McMinnville</w:t>
      </w:r>
      <w:r w:rsidRPr="00E600C4">
        <w:rPr>
          <w:rFonts w:ascii="Times New Roman" w:hAnsi="Times New Roman"/>
          <w:sz w:val="24"/>
          <w:szCs w:val="24"/>
        </w:rPr>
        <w:t xml:space="preserve">, the Court of Appeals of Tennessee At Nashville, held (3 to 0) that the trial court properly dismissed the firefighter’s lawsuit, since he was unable to prove that the City’s proffered reasons for the discharge was pretextual, including: </w:t>
      </w:r>
    </w:p>
    <w:p w14:paraId="28B6DCA4" w14:textId="77777777" w:rsidR="00E600C4" w:rsidRDefault="00E600C4" w:rsidP="00F326E5">
      <w:pPr>
        <w:pStyle w:val="NoSpacing"/>
        <w:rPr>
          <w:rFonts w:ascii="Times New Roman" w:hAnsi="Times New Roman"/>
          <w:sz w:val="24"/>
          <w:szCs w:val="24"/>
        </w:rPr>
      </w:pPr>
    </w:p>
    <w:p w14:paraId="58B0EF20" w14:textId="741DB683"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“Although Plaintiff never acknowledged that he made sexually harassing phone calls, he admitted in his deposition that at one time, firefighters kept a ‘list on the desk of the fire station’ containing the names of single women that they had gotten off the internet, and that he called one of these women ‘to talk.’” </w:t>
      </w:r>
      <w:hyperlink r:id="rId2877" w:history="1">
        <w:r w:rsidRPr="00E600C4">
          <w:rPr>
            <w:rStyle w:val="Hyperlink"/>
            <w:rFonts w:ascii="Times New Roman" w:hAnsi="Times New Roman"/>
            <w:sz w:val="24"/>
            <w:szCs w:val="24"/>
          </w:rPr>
          <w:t>file:///C:/Users/lawre/AppData/Local/Microsoft/Windows/INetCache/IE/7HZ56W7X/sweat.joseph.opn_.pdf</w:t>
        </w:r>
      </w:hyperlink>
    </w:p>
    <w:p w14:paraId="21C570D7" w14:textId="77777777" w:rsidR="00E600C4" w:rsidRDefault="00E600C4" w:rsidP="00F326E5">
      <w:pPr>
        <w:rPr>
          <w:rFonts w:ascii="Times New Roman" w:hAnsi="Times New Roman"/>
          <w:b/>
          <w:sz w:val="24"/>
          <w:szCs w:val="24"/>
        </w:rPr>
      </w:pPr>
    </w:p>
    <w:p w14:paraId="16D27ACA" w14:textId="6EA94C0E" w:rsidR="00F326E5" w:rsidRPr="00E600C4" w:rsidRDefault="00E600C4" w:rsidP="00F326E5">
      <w:pPr>
        <w:rPr>
          <w:rFonts w:ascii="Times New Roman" w:hAnsi="Times New Roman"/>
          <w:b/>
          <w:sz w:val="24"/>
          <w:szCs w:val="24"/>
        </w:rPr>
      </w:pPr>
      <w:r>
        <w:rPr>
          <w:rFonts w:ascii="Times New Roman" w:hAnsi="Times New Roman"/>
          <w:b/>
          <w:sz w:val="24"/>
          <w:szCs w:val="24"/>
        </w:rPr>
        <w:t xml:space="preserve">Legal Lessons Learned: </w:t>
      </w:r>
      <w:r w:rsidR="00F326E5" w:rsidRPr="00E600C4">
        <w:rPr>
          <w:rFonts w:ascii="Times New Roman" w:hAnsi="Times New Roman"/>
          <w:b/>
          <w:sz w:val="24"/>
          <w:szCs w:val="24"/>
        </w:rPr>
        <w:t xml:space="preserve">FD may impose discipline, even if the firefighter is one of the 27 firefighters who signed </w:t>
      </w:r>
      <w:proofErr w:type="gramStart"/>
      <w:r w:rsidR="00F326E5" w:rsidRPr="00E600C4">
        <w:rPr>
          <w:rFonts w:ascii="Times New Roman" w:hAnsi="Times New Roman"/>
          <w:b/>
          <w:sz w:val="24"/>
          <w:szCs w:val="24"/>
        </w:rPr>
        <w:t>memo</w:t>
      </w:r>
      <w:proofErr w:type="gramEnd"/>
      <w:r w:rsidR="00F326E5" w:rsidRPr="00E600C4">
        <w:rPr>
          <w:rFonts w:ascii="Times New Roman" w:hAnsi="Times New Roman"/>
          <w:b/>
          <w:sz w:val="24"/>
          <w:szCs w:val="24"/>
        </w:rPr>
        <w:t xml:space="preserve"> about safety issues.</w:t>
      </w:r>
    </w:p>
    <w:p w14:paraId="23BD5AE5" w14:textId="77777777" w:rsidR="00F326E5" w:rsidRDefault="00F326E5" w:rsidP="00F326E5">
      <w:pPr>
        <w:ind w:left="720"/>
        <w:rPr>
          <w:rFonts w:eastAsia="Times New Roman"/>
          <w:sz w:val="24"/>
          <w:szCs w:val="24"/>
        </w:rPr>
      </w:pPr>
    </w:p>
    <w:p w14:paraId="4138CADE" w14:textId="77777777" w:rsidR="00E600C4" w:rsidRDefault="00E600C4" w:rsidP="000C4DF5">
      <w:pPr>
        <w:pStyle w:val="NoSpacing"/>
        <w:rPr>
          <w:rFonts w:ascii="Arial Black" w:hAnsi="Arial Black"/>
          <w:sz w:val="24"/>
          <w:szCs w:val="24"/>
        </w:rPr>
      </w:pPr>
    </w:p>
    <w:p w14:paraId="2DE477E0" w14:textId="77777777" w:rsidR="00E600C4" w:rsidRDefault="00E600C4" w:rsidP="000C4DF5">
      <w:pPr>
        <w:pStyle w:val="NoSpacing"/>
        <w:rPr>
          <w:rFonts w:ascii="Arial Black" w:hAnsi="Arial Black"/>
          <w:sz w:val="24"/>
          <w:szCs w:val="24"/>
        </w:rPr>
      </w:pPr>
    </w:p>
    <w:p w14:paraId="3254CFEB" w14:textId="3ACB8CC7" w:rsidR="00F326E5" w:rsidRDefault="000C4DF5" w:rsidP="000C4DF5">
      <w:pPr>
        <w:pStyle w:val="NoSpacing"/>
        <w:rPr>
          <w:rFonts w:ascii="Arial Black" w:hAnsi="Arial Black"/>
          <w:sz w:val="24"/>
          <w:szCs w:val="24"/>
        </w:rPr>
      </w:pPr>
      <w:r>
        <w:rPr>
          <w:rFonts w:ascii="Arial Black" w:hAnsi="Arial Black"/>
          <w:sz w:val="24"/>
          <w:szCs w:val="24"/>
        </w:rPr>
        <w:t>16-4</w:t>
      </w:r>
    </w:p>
    <w:p w14:paraId="0A269660" w14:textId="77777777" w:rsidR="000C4DF5" w:rsidRPr="000C4DF5" w:rsidRDefault="000C4DF5" w:rsidP="000C4DF5">
      <w:pPr>
        <w:pStyle w:val="NoSpacing"/>
        <w:rPr>
          <w:rFonts w:ascii="Arial Black" w:hAnsi="Arial Black"/>
          <w:sz w:val="24"/>
          <w:szCs w:val="24"/>
        </w:rPr>
      </w:pPr>
    </w:p>
    <w:p w14:paraId="7AB94435" w14:textId="41C5B9E8" w:rsidR="00F326E5" w:rsidRPr="00A50C92" w:rsidRDefault="00F326E5" w:rsidP="00F326E5">
      <w:pPr>
        <w:pStyle w:val="NoSpacing"/>
        <w:rPr>
          <w:rFonts w:ascii="Times New Roman" w:hAnsi="Times New Roman"/>
          <w:b/>
          <w:sz w:val="24"/>
          <w:szCs w:val="24"/>
        </w:rPr>
      </w:pPr>
      <w:bookmarkStart w:id="623" w:name="_Hlk515214458"/>
      <w:bookmarkStart w:id="624" w:name="_Hlk7349390"/>
      <w:bookmarkStart w:id="625" w:name="_Hlk7185851"/>
      <w:bookmarkEnd w:id="622"/>
      <w:r>
        <w:rPr>
          <w:rFonts w:ascii="Arial Black" w:hAnsi="Arial Black"/>
          <w:sz w:val="28"/>
          <w:szCs w:val="28"/>
        </w:rPr>
        <w:t xml:space="preserve">RI: FF VIDEOTAPED </w:t>
      </w:r>
      <w:proofErr w:type="gramStart"/>
      <w:r>
        <w:rPr>
          <w:rFonts w:ascii="Arial Black" w:hAnsi="Arial Black"/>
          <w:sz w:val="28"/>
          <w:szCs w:val="28"/>
        </w:rPr>
        <w:t>WEIGHT LIFTING</w:t>
      </w:r>
      <w:proofErr w:type="gramEnd"/>
      <w:r>
        <w:rPr>
          <w:rFonts w:ascii="Arial Black" w:hAnsi="Arial Black"/>
          <w:sz w:val="28"/>
          <w:szCs w:val="28"/>
        </w:rPr>
        <w:t xml:space="preserve"> – DISABILITY PENSION BENEFITS TERMINATED </w:t>
      </w:r>
      <w:r w:rsidR="00A50C92" w:rsidRPr="00A50C92">
        <w:rPr>
          <w:rFonts w:ascii="Times New Roman" w:hAnsi="Times New Roman"/>
          <w:sz w:val="24"/>
          <w:szCs w:val="24"/>
        </w:rPr>
        <w:t>[also filed, Chap. 6]</w:t>
      </w:r>
    </w:p>
    <w:p w14:paraId="307A9D4A" w14:textId="5663B4FA"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Feb. 21, 2018, in </w:t>
      </w:r>
      <w:r w:rsidRPr="00E600C4">
        <w:rPr>
          <w:rFonts w:ascii="Times New Roman" w:hAnsi="Times New Roman"/>
          <w:sz w:val="24"/>
          <w:szCs w:val="24"/>
          <w:u w:val="single"/>
        </w:rPr>
        <w:t>John Sauro v. James Lombardi</w:t>
      </w:r>
      <w:r w:rsidRPr="00E600C4">
        <w:rPr>
          <w:rFonts w:ascii="Times New Roman" w:hAnsi="Times New Roman"/>
          <w:sz w:val="24"/>
          <w:szCs w:val="24"/>
        </w:rPr>
        <w:t xml:space="preserve">, in his capacity as Treasurer of the City of Providence, et al., the State Supreme Court held, “we conclude that the decision of the trial justice declaring that the plaintiff’s pension benefits should be reinstated and he should be placed on a waiting list to resume active service was erroneous, overlooked material evidence, and was clearly wrong.” </w:t>
      </w:r>
      <w:hyperlink r:id="rId2878" w:history="1">
        <w:r w:rsidRPr="00E600C4">
          <w:rPr>
            <w:rStyle w:val="Hyperlink"/>
            <w:rFonts w:ascii="Times New Roman" w:hAnsi="Times New Roman"/>
            <w:sz w:val="24"/>
            <w:szCs w:val="24"/>
          </w:rPr>
          <w:t>file:///C:/Users/lawre/AppData/Local/Microsoft/Windows/INetCache/IE/7HZ56W7X/16-170.pdf</w:t>
        </w:r>
      </w:hyperlink>
      <w:r w:rsidRPr="00E600C4">
        <w:rPr>
          <w:rFonts w:ascii="Times New Roman" w:hAnsi="Times New Roman"/>
          <w:sz w:val="24"/>
          <w:szCs w:val="24"/>
        </w:rPr>
        <w:t xml:space="preserve"> </w:t>
      </w:r>
    </w:p>
    <w:bookmarkEnd w:id="623"/>
    <w:p w14:paraId="7E4F4870" w14:textId="77777777" w:rsidR="00E600C4" w:rsidRDefault="00E600C4" w:rsidP="00F326E5">
      <w:pPr>
        <w:pStyle w:val="NoSpacing"/>
        <w:rPr>
          <w:rFonts w:ascii="Times New Roman" w:hAnsi="Times New Roman"/>
          <w:b/>
          <w:sz w:val="24"/>
          <w:szCs w:val="24"/>
        </w:rPr>
      </w:pPr>
    </w:p>
    <w:p w14:paraId="6AF0F96B" w14:textId="18C951AE"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 xml:space="preserve">Legal Lessons Learned: Accidental disability pension benefits are for those with a continuing work-place injury; cases like this </w:t>
      </w:r>
      <w:proofErr w:type="gramStart"/>
      <w:r w:rsidRPr="00E600C4">
        <w:rPr>
          <w:rFonts w:ascii="Times New Roman" w:hAnsi="Times New Roman"/>
          <w:b/>
          <w:sz w:val="24"/>
          <w:szCs w:val="24"/>
        </w:rPr>
        <w:t>lead</w:t>
      </w:r>
      <w:proofErr w:type="gramEnd"/>
      <w:r w:rsidRPr="00E600C4">
        <w:rPr>
          <w:rFonts w:ascii="Times New Roman" w:hAnsi="Times New Roman"/>
          <w:b/>
          <w:sz w:val="24"/>
          <w:szCs w:val="24"/>
        </w:rPr>
        <w:t xml:space="preserve"> to public perception of pension fraud. </w:t>
      </w:r>
    </w:p>
    <w:p w14:paraId="4DADA5D9" w14:textId="77777777" w:rsidR="00E600C4" w:rsidRDefault="00E600C4" w:rsidP="00F326E5">
      <w:pPr>
        <w:pStyle w:val="NoSpacing"/>
        <w:ind w:left="720"/>
        <w:rPr>
          <w:rFonts w:ascii="Times New Roman" w:hAnsi="Times New Roman"/>
          <w:sz w:val="24"/>
          <w:szCs w:val="24"/>
        </w:rPr>
      </w:pPr>
    </w:p>
    <w:p w14:paraId="399D8066" w14:textId="429AF4C9" w:rsidR="00F326E5" w:rsidRPr="00E600C4" w:rsidRDefault="00F326E5" w:rsidP="00F326E5">
      <w:pPr>
        <w:pStyle w:val="NoSpacing"/>
        <w:ind w:left="720"/>
        <w:rPr>
          <w:rFonts w:ascii="Times New Roman" w:hAnsi="Times New Roman"/>
          <w:sz w:val="24"/>
          <w:szCs w:val="24"/>
        </w:rPr>
      </w:pPr>
      <w:r w:rsidRPr="00E600C4">
        <w:rPr>
          <w:rFonts w:ascii="Times New Roman" w:hAnsi="Times New Roman"/>
          <w:sz w:val="24"/>
          <w:szCs w:val="24"/>
        </w:rPr>
        <w:t xml:space="preserve">See TV story and undercover video of </w:t>
      </w:r>
      <w:proofErr w:type="gramStart"/>
      <w:r w:rsidRPr="00E600C4">
        <w:rPr>
          <w:rFonts w:ascii="Times New Roman" w:hAnsi="Times New Roman"/>
          <w:sz w:val="24"/>
          <w:szCs w:val="24"/>
        </w:rPr>
        <w:t>retiree</w:t>
      </w:r>
      <w:proofErr w:type="gramEnd"/>
      <w:r w:rsidRPr="00E600C4">
        <w:rPr>
          <w:rFonts w:ascii="Times New Roman" w:hAnsi="Times New Roman"/>
          <w:sz w:val="24"/>
          <w:szCs w:val="24"/>
        </w:rPr>
        <w:t xml:space="preserve"> lifting weights: </w:t>
      </w:r>
      <w:hyperlink r:id="rId2879" w:history="1">
        <w:r w:rsidRPr="00E600C4">
          <w:rPr>
            <w:rStyle w:val="Hyperlink"/>
            <w:rFonts w:ascii="Times New Roman" w:hAnsi="Times New Roman"/>
            <w:sz w:val="24"/>
            <w:szCs w:val="24"/>
          </w:rPr>
          <w:t>http://www.wpri.com/news/supreme-court-sides-with-providence-in-dispute-over-weightlifting-firefighters-disability-pension/1082484435</w:t>
        </w:r>
      </w:hyperlink>
      <w:bookmarkEnd w:id="624"/>
      <w:r w:rsidRPr="00E600C4">
        <w:rPr>
          <w:rFonts w:ascii="Times New Roman" w:hAnsi="Times New Roman"/>
          <w:sz w:val="24"/>
          <w:szCs w:val="24"/>
        </w:rPr>
        <w:t xml:space="preserve"> </w:t>
      </w:r>
    </w:p>
    <w:bookmarkEnd w:id="625"/>
    <w:p w14:paraId="6A538CB6" w14:textId="77777777" w:rsidR="00F326E5" w:rsidRPr="00E600C4" w:rsidRDefault="00F326E5" w:rsidP="00F326E5">
      <w:pPr>
        <w:ind w:left="720"/>
        <w:rPr>
          <w:rFonts w:ascii="Times New Roman" w:eastAsia="Times New Roman" w:hAnsi="Times New Roman"/>
          <w:sz w:val="24"/>
          <w:szCs w:val="24"/>
        </w:rPr>
      </w:pPr>
    </w:p>
    <w:p w14:paraId="224A2325" w14:textId="77777777" w:rsidR="00F326E5" w:rsidRDefault="00F326E5" w:rsidP="00F326E5">
      <w:pPr>
        <w:pStyle w:val="NoSpacing"/>
        <w:rPr>
          <w:sz w:val="24"/>
          <w:szCs w:val="24"/>
        </w:rPr>
      </w:pPr>
    </w:p>
    <w:p w14:paraId="7AD5997F" w14:textId="7FBF798F" w:rsidR="000C4DF5" w:rsidRDefault="000C4DF5" w:rsidP="000C4DF5">
      <w:pPr>
        <w:pStyle w:val="NoSpacing"/>
        <w:rPr>
          <w:rFonts w:ascii="Arial Black" w:hAnsi="Arial Black"/>
          <w:sz w:val="24"/>
          <w:szCs w:val="24"/>
        </w:rPr>
      </w:pPr>
      <w:bookmarkStart w:id="626" w:name="_Hlk7349425"/>
      <w:r>
        <w:rPr>
          <w:rFonts w:ascii="Arial Black" w:hAnsi="Arial Black"/>
          <w:sz w:val="24"/>
          <w:szCs w:val="24"/>
        </w:rPr>
        <w:t>16-3</w:t>
      </w:r>
    </w:p>
    <w:p w14:paraId="7DCE9FCE" w14:textId="77777777" w:rsidR="000C4DF5" w:rsidRDefault="000C4DF5" w:rsidP="00F326E5">
      <w:pPr>
        <w:pStyle w:val="NoSpacing"/>
        <w:rPr>
          <w:rFonts w:ascii="Arial Black" w:hAnsi="Arial Black"/>
          <w:b/>
          <w:sz w:val="28"/>
          <w:szCs w:val="28"/>
        </w:rPr>
      </w:pPr>
    </w:p>
    <w:p w14:paraId="1133140B" w14:textId="027FD9AE" w:rsidR="00F326E5" w:rsidRDefault="00F326E5" w:rsidP="00F326E5">
      <w:pPr>
        <w:pStyle w:val="NoSpacing"/>
        <w:rPr>
          <w:rFonts w:ascii="Arial Black" w:hAnsi="Arial Black"/>
          <w:b/>
          <w:sz w:val="28"/>
          <w:szCs w:val="28"/>
        </w:rPr>
      </w:pPr>
      <w:r>
        <w:rPr>
          <w:rFonts w:ascii="Arial Black" w:hAnsi="Arial Black"/>
          <w:b/>
          <w:sz w:val="28"/>
          <w:szCs w:val="28"/>
        </w:rPr>
        <w:t>WA: CAPTAIN FIRED, INTERNAL E-MAILS ON RELIGION – LAWSUIT REISTATED, NO FD POLICY</w:t>
      </w:r>
    </w:p>
    <w:p w14:paraId="3644B859"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25, 2018, in </w:t>
      </w:r>
      <w:r w:rsidRPr="00E600C4">
        <w:rPr>
          <w:rFonts w:ascii="Times New Roman" w:hAnsi="Times New Roman"/>
          <w:sz w:val="24"/>
          <w:szCs w:val="24"/>
          <w:u w:val="single"/>
        </w:rPr>
        <w:t>Jonathan J. Sprague v. Spokane Valley Fire Department, et al</w:t>
      </w:r>
      <w:r w:rsidRPr="00E600C4">
        <w:rPr>
          <w:rFonts w:ascii="Times New Roman" w:hAnsi="Times New Roman"/>
          <w:sz w:val="24"/>
          <w:szCs w:val="24"/>
        </w:rPr>
        <w:t xml:space="preserve">., the Supreme Court of the State of Washington, held (5 to 4) that </w:t>
      </w:r>
    </w:p>
    <w:p w14:paraId="75136235" w14:textId="77777777" w:rsidR="00E600C4" w:rsidRDefault="00E600C4" w:rsidP="00F326E5">
      <w:pPr>
        <w:pStyle w:val="NoSpacing"/>
        <w:rPr>
          <w:rFonts w:ascii="Times New Roman" w:hAnsi="Times New Roman"/>
          <w:sz w:val="24"/>
          <w:szCs w:val="24"/>
        </w:rPr>
      </w:pPr>
    </w:p>
    <w:p w14:paraId="6F94960D" w14:textId="49D41CF1"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“Sprague has met his initial burden to show that SVFD's restrictions on his speech violated the First Amendment. On remand, the burden will shift to SVFD to show by a preponderance of the evidence that it would have reached the same decision as to respondent's employment termination even in the absence of the protected conduct.” </w:t>
      </w:r>
      <w:hyperlink r:id="rId2880" w:history="1">
        <w:r w:rsidRPr="00E600C4">
          <w:rPr>
            <w:rStyle w:val="Hyperlink"/>
            <w:rFonts w:ascii="Times New Roman" w:hAnsi="Times New Roman"/>
            <w:sz w:val="24"/>
            <w:szCs w:val="24"/>
          </w:rPr>
          <w:t>file:///C:/Users/lawre/AppData/Local/Microsoft/Windows/INetCache/IE/NZ9VF3P4/Christian-Firefighter.pdf</w:t>
        </w:r>
      </w:hyperlink>
    </w:p>
    <w:p w14:paraId="6590AA94" w14:textId="77777777" w:rsidR="00E600C4" w:rsidRDefault="00E600C4" w:rsidP="00F326E5">
      <w:pPr>
        <w:pStyle w:val="NoSpacing"/>
        <w:rPr>
          <w:rFonts w:ascii="Times New Roman" w:hAnsi="Times New Roman"/>
          <w:b/>
          <w:sz w:val="24"/>
          <w:szCs w:val="24"/>
        </w:rPr>
      </w:pPr>
    </w:p>
    <w:p w14:paraId="324D696F" w14:textId="03AB816B"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 xml:space="preserve">Legal Lessons Learned: FDs should have a written electronic communications policy, including prohibition on e-mails that can be disruptive to workplace.   </w:t>
      </w:r>
    </w:p>
    <w:p w14:paraId="4F55B2C2" w14:textId="77777777" w:rsidR="00F326E5" w:rsidRDefault="00F326E5" w:rsidP="00F326E5">
      <w:pPr>
        <w:pStyle w:val="NoSpacing"/>
        <w:rPr>
          <w:sz w:val="24"/>
          <w:szCs w:val="24"/>
        </w:rPr>
      </w:pPr>
      <w:bookmarkStart w:id="627" w:name="_Hlk515214745"/>
      <w:bookmarkEnd w:id="626"/>
    </w:p>
    <w:p w14:paraId="25B7ADD8" w14:textId="77777777" w:rsidR="00F326E5" w:rsidRDefault="00F326E5" w:rsidP="00F326E5">
      <w:pPr>
        <w:pStyle w:val="NoSpacing"/>
        <w:rPr>
          <w:sz w:val="24"/>
          <w:szCs w:val="24"/>
        </w:rPr>
      </w:pPr>
    </w:p>
    <w:p w14:paraId="0837A0FB" w14:textId="0BDEEEE7" w:rsidR="000C4DF5" w:rsidRDefault="000C4DF5" w:rsidP="00F326E5">
      <w:pPr>
        <w:pStyle w:val="NoSpacing"/>
        <w:rPr>
          <w:rFonts w:ascii="Arial Black" w:hAnsi="Arial Black"/>
          <w:b/>
          <w:sz w:val="28"/>
          <w:szCs w:val="28"/>
        </w:rPr>
      </w:pPr>
      <w:bookmarkStart w:id="628" w:name="_Hlk7349456"/>
      <w:r>
        <w:rPr>
          <w:rFonts w:ascii="Arial Black" w:hAnsi="Arial Black"/>
          <w:sz w:val="24"/>
          <w:szCs w:val="24"/>
        </w:rPr>
        <w:t>16-2</w:t>
      </w:r>
    </w:p>
    <w:p w14:paraId="592B144A" w14:textId="77777777" w:rsidR="000C4DF5" w:rsidRDefault="000C4DF5" w:rsidP="00F326E5">
      <w:pPr>
        <w:pStyle w:val="NoSpacing"/>
        <w:rPr>
          <w:rFonts w:ascii="Arial Black" w:hAnsi="Arial Black"/>
          <w:b/>
          <w:sz w:val="28"/>
          <w:szCs w:val="28"/>
        </w:rPr>
      </w:pPr>
    </w:p>
    <w:p w14:paraId="12950A7E" w14:textId="5927711C" w:rsidR="00F326E5" w:rsidRDefault="00F326E5" w:rsidP="00F326E5">
      <w:pPr>
        <w:pStyle w:val="NoSpacing"/>
        <w:rPr>
          <w:b/>
          <w:sz w:val="24"/>
          <w:szCs w:val="24"/>
        </w:rPr>
      </w:pPr>
      <w:r>
        <w:rPr>
          <w:rFonts w:ascii="Arial Black" w:hAnsi="Arial Black"/>
          <w:b/>
          <w:sz w:val="28"/>
          <w:szCs w:val="28"/>
        </w:rPr>
        <w:t xml:space="preserve">IN: STATE BOARD REVOKES DEPUTY CHIEF’S FF CERTIFICATES – CHILD EXPOITATION &amp; PORN CONVICTION </w:t>
      </w:r>
    </w:p>
    <w:bookmarkEnd w:id="627"/>
    <w:p w14:paraId="758B4FAC"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17, 2018, in </w:t>
      </w:r>
      <w:r w:rsidRPr="00E600C4">
        <w:rPr>
          <w:rFonts w:ascii="Times New Roman" w:hAnsi="Times New Roman"/>
          <w:sz w:val="24"/>
          <w:szCs w:val="24"/>
          <w:u w:val="single"/>
        </w:rPr>
        <w:t xml:space="preserve">State Of Indiana Board </w:t>
      </w:r>
      <w:proofErr w:type="gramStart"/>
      <w:r w:rsidRPr="00E600C4">
        <w:rPr>
          <w:rFonts w:ascii="Times New Roman" w:hAnsi="Times New Roman"/>
          <w:sz w:val="24"/>
          <w:szCs w:val="24"/>
          <w:u w:val="single"/>
        </w:rPr>
        <w:t>Of</w:t>
      </w:r>
      <w:proofErr w:type="gramEnd"/>
      <w:r w:rsidRPr="00E600C4">
        <w:rPr>
          <w:rFonts w:ascii="Times New Roman" w:hAnsi="Times New Roman"/>
          <w:sz w:val="24"/>
          <w:szCs w:val="24"/>
          <w:u w:val="single"/>
        </w:rPr>
        <w:t xml:space="preserve"> Firefighting </w:t>
      </w:r>
      <w:proofErr w:type="gramStart"/>
      <w:r w:rsidRPr="00E600C4">
        <w:rPr>
          <w:rFonts w:ascii="Times New Roman" w:hAnsi="Times New Roman"/>
          <w:sz w:val="24"/>
          <w:szCs w:val="24"/>
          <w:u w:val="single"/>
        </w:rPr>
        <w:t>And</w:t>
      </w:r>
      <w:proofErr w:type="gramEnd"/>
      <w:r w:rsidRPr="00E600C4">
        <w:rPr>
          <w:rFonts w:ascii="Times New Roman" w:hAnsi="Times New Roman"/>
          <w:sz w:val="24"/>
          <w:szCs w:val="24"/>
          <w:u w:val="single"/>
        </w:rPr>
        <w:t xml:space="preserve"> Personnel Standards v. John T. Cline</w:t>
      </w:r>
      <w:r w:rsidRPr="00E600C4">
        <w:rPr>
          <w:rFonts w:ascii="Times New Roman" w:hAnsi="Times New Roman"/>
          <w:sz w:val="24"/>
          <w:szCs w:val="24"/>
        </w:rPr>
        <w:t xml:space="preserve">, the Court of Appeals of Indiana held that the Board’s decision to revoke his certifications as a Firefighter was affirmed, since he failed to file a timely appeal. </w:t>
      </w:r>
    </w:p>
    <w:p w14:paraId="7AC04123" w14:textId="73DF6FC6"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“To effect statutory compliance, Cline was required to file the agency record or file a motion for an extension of time by May 9, 2016.  He did not do </w:t>
      </w:r>
      <w:proofErr w:type="gramStart"/>
      <w:r w:rsidRPr="00E600C4">
        <w:rPr>
          <w:rFonts w:ascii="Times New Roman" w:hAnsi="Times New Roman"/>
          <w:sz w:val="24"/>
          <w:szCs w:val="24"/>
        </w:rPr>
        <w:t>so</w:t>
      </w:r>
      <w:proofErr w:type="gramEnd"/>
      <w:r w:rsidRPr="00E600C4">
        <w:rPr>
          <w:rFonts w:ascii="Times New Roman" w:hAnsi="Times New Roman"/>
          <w:sz w:val="24"/>
          <w:szCs w:val="24"/>
        </w:rPr>
        <w:t xml:space="preserve"> and the trial court should have dismissed the petition for judicial review.” </w:t>
      </w:r>
      <w:hyperlink r:id="rId2881" w:history="1">
        <w:r w:rsidRPr="00E600C4">
          <w:rPr>
            <w:rStyle w:val="Hyperlink"/>
            <w:rFonts w:ascii="Times New Roman" w:hAnsi="Times New Roman"/>
            <w:sz w:val="24"/>
            <w:szCs w:val="24"/>
          </w:rPr>
          <w:t>file:///C:/Users/lawre/AppData/Local/Microsoft/Windows/INetCache/IE/XO250S7T/01171801lmb.pdf</w:t>
        </w:r>
      </w:hyperlink>
    </w:p>
    <w:p w14:paraId="4ED3A0FE" w14:textId="77777777" w:rsidR="00E600C4" w:rsidRDefault="00E600C4" w:rsidP="00F326E5">
      <w:pPr>
        <w:rPr>
          <w:rFonts w:ascii="Times New Roman" w:hAnsi="Times New Roman"/>
          <w:b/>
          <w:sz w:val="24"/>
          <w:szCs w:val="24"/>
        </w:rPr>
      </w:pPr>
    </w:p>
    <w:p w14:paraId="3C8FD2DA" w14:textId="7C7C7CFB" w:rsidR="00F326E5" w:rsidRPr="00E600C4" w:rsidRDefault="00F326E5" w:rsidP="00F326E5">
      <w:pPr>
        <w:rPr>
          <w:rFonts w:ascii="Times New Roman" w:hAnsi="Times New Roman"/>
          <w:b/>
          <w:sz w:val="24"/>
          <w:szCs w:val="24"/>
        </w:rPr>
      </w:pPr>
      <w:r w:rsidRPr="00E600C4">
        <w:rPr>
          <w:rFonts w:ascii="Times New Roman" w:hAnsi="Times New Roman"/>
          <w:b/>
          <w:sz w:val="24"/>
          <w:szCs w:val="24"/>
        </w:rPr>
        <w:t>Legal Lessons Learned:  In filing an appeal, deadlines must be met unless there are extenuating circumstances.</w:t>
      </w:r>
    </w:p>
    <w:bookmarkEnd w:id="628"/>
    <w:p w14:paraId="7498C7D7" w14:textId="77777777" w:rsidR="00F326E5" w:rsidRPr="00AE5408" w:rsidRDefault="00F326E5" w:rsidP="00F326E5">
      <w:pPr>
        <w:pStyle w:val="NoSpacing"/>
        <w:rPr>
          <w:b/>
          <w:sz w:val="24"/>
          <w:szCs w:val="24"/>
        </w:rPr>
      </w:pPr>
    </w:p>
    <w:p w14:paraId="24376A5C" w14:textId="27D41B33" w:rsidR="00F326E5" w:rsidRDefault="000C4DF5" w:rsidP="000C4DF5">
      <w:pPr>
        <w:pStyle w:val="NoSpacing"/>
        <w:rPr>
          <w:rFonts w:ascii="Arial Black" w:hAnsi="Arial Black"/>
          <w:sz w:val="24"/>
          <w:szCs w:val="24"/>
        </w:rPr>
      </w:pPr>
      <w:bookmarkStart w:id="629" w:name="_Hlk80769585"/>
      <w:r>
        <w:rPr>
          <w:rFonts w:ascii="Arial Black" w:hAnsi="Arial Black"/>
          <w:sz w:val="24"/>
          <w:szCs w:val="24"/>
        </w:rPr>
        <w:t>16-1</w:t>
      </w:r>
    </w:p>
    <w:p w14:paraId="0F242EB9" w14:textId="77777777" w:rsidR="00E600C4" w:rsidRDefault="00E600C4" w:rsidP="000C4DF5">
      <w:pPr>
        <w:pStyle w:val="NoSpacing"/>
        <w:rPr>
          <w:rFonts w:ascii="Arial Black" w:hAnsi="Arial Black"/>
          <w:sz w:val="24"/>
          <w:szCs w:val="24"/>
        </w:rPr>
      </w:pPr>
    </w:p>
    <w:p w14:paraId="7CF80A95" w14:textId="78C9E408" w:rsidR="00F326E5" w:rsidRDefault="00F326E5" w:rsidP="00F326E5">
      <w:pPr>
        <w:pStyle w:val="NoSpacing"/>
        <w:rPr>
          <w:b/>
          <w:sz w:val="24"/>
          <w:szCs w:val="24"/>
        </w:rPr>
      </w:pPr>
      <w:bookmarkStart w:id="630" w:name="_Hlk7349488"/>
      <w:r w:rsidRPr="009213BD">
        <w:rPr>
          <w:rFonts w:ascii="Arial Black" w:hAnsi="Arial Black" w:cs="Arial"/>
          <w:sz w:val="28"/>
          <w:szCs w:val="28"/>
        </w:rPr>
        <w:t xml:space="preserve">IL: SOCIAL MEDIA POSTS - DEPUTY FIRE CHIEF FIRED AFTER “POLITICAL COMMENTARY” ON FACEBOOK </w:t>
      </w:r>
    </w:p>
    <w:p w14:paraId="1C037220" w14:textId="77777777" w:rsidR="00026281" w:rsidRDefault="00026281" w:rsidP="00F326E5">
      <w:pPr>
        <w:pStyle w:val="NoSpacing"/>
        <w:rPr>
          <w:rFonts w:ascii="Times New Roman" w:hAnsi="Times New Roman"/>
          <w:sz w:val="24"/>
          <w:szCs w:val="24"/>
        </w:rPr>
      </w:pPr>
    </w:p>
    <w:p w14:paraId="01BD175A" w14:textId="2DD33E22"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11, 2018, in </w:t>
      </w:r>
      <w:r w:rsidRPr="00E600C4">
        <w:rPr>
          <w:rFonts w:ascii="Times New Roman" w:hAnsi="Times New Roman"/>
          <w:sz w:val="24"/>
          <w:szCs w:val="24"/>
          <w:u w:val="single"/>
        </w:rPr>
        <w:t>Richard Banske v. City of Calumet City</w:t>
      </w:r>
      <w:r w:rsidRPr="00E600C4">
        <w:rPr>
          <w:rFonts w:ascii="Times New Roman" w:hAnsi="Times New Roman"/>
          <w:sz w:val="24"/>
          <w:szCs w:val="24"/>
        </w:rPr>
        <w:t xml:space="preserve">, U.S. District Court, Northern District of Illinois (Case No. 17C5263), Judge Harry D. </w:t>
      </w:r>
      <w:proofErr w:type="spellStart"/>
      <w:r w:rsidRPr="00E600C4">
        <w:rPr>
          <w:rFonts w:ascii="Times New Roman" w:hAnsi="Times New Roman"/>
          <w:sz w:val="24"/>
          <w:szCs w:val="24"/>
        </w:rPr>
        <w:t>Leinenweber</w:t>
      </w:r>
      <w:proofErr w:type="spellEnd"/>
      <w:r w:rsidRPr="00E600C4">
        <w:rPr>
          <w:rFonts w:ascii="Times New Roman" w:hAnsi="Times New Roman"/>
          <w:sz w:val="24"/>
          <w:szCs w:val="24"/>
        </w:rPr>
        <w:t xml:space="preserve"> granted City’s motion to dismiss. </w:t>
      </w:r>
    </w:p>
    <w:p w14:paraId="78E394BD" w14:textId="77777777" w:rsidR="00E600C4" w:rsidRDefault="00E600C4" w:rsidP="00F326E5">
      <w:pPr>
        <w:pStyle w:val="NoSpacing"/>
        <w:rPr>
          <w:rFonts w:ascii="Times New Roman" w:hAnsi="Times New Roman"/>
          <w:sz w:val="24"/>
          <w:szCs w:val="24"/>
        </w:rPr>
      </w:pPr>
    </w:p>
    <w:p w14:paraId="52BAFB0D" w14:textId="4E3596B6" w:rsidR="00F326E5" w:rsidRPr="00E600C4" w:rsidRDefault="00F326E5" w:rsidP="00E600C4">
      <w:pPr>
        <w:pStyle w:val="NoSpacing"/>
        <w:ind w:left="720"/>
        <w:rPr>
          <w:rFonts w:ascii="Times New Roman" w:hAnsi="Times New Roman"/>
          <w:sz w:val="24"/>
          <w:szCs w:val="24"/>
        </w:rPr>
      </w:pPr>
      <w:r w:rsidRPr="00E600C4">
        <w:rPr>
          <w:rFonts w:ascii="Times New Roman" w:hAnsi="Times New Roman"/>
          <w:sz w:val="24"/>
          <w:szCs w:val="24"/>
        </w:rPr>
        <w:t>“[A] policymaking employee may be discharged ‘when that individual has engaged in speech on a matter of public concern in a manner that is critical of superiors or their stated policies.’</w:t>
      </w:r>
      <w:r w:rsidR="00E600C4">
        <w:rPr>
          <w:rFonts w:ascii="Times New Roman" w:hAnsi="Times New Roman"/>
          <w:sz w:val="24"/>
          <w:szCs w:val="24"/>
        </w:rPr>
        <w:t xml:space="preserve"> </w:t>
      </w:r>
      <w:r w:rsidRPr="00E600C4">
        <w:rPr>
          <w:rFonts w:ascii="Times New Roman" w:hAnsi="Times New Roman"/>
          <w:sz w:val="24"/>
          <w:szCs w:val="24"/>
        </w:rPr>
        <w:t xml:space="preserve">Hagan, 867 F.3d at 826 (quoting Kiddy-Brown v. Blagojevich, 408 F.3d 346, 358 (7th Cir. 2005)). *** Without well pled factual allegations, the Court is left to guess whether </w:t>
      </w:r>
      <w:proofErr w:type="spellStart"/>
      <w:r w:rsidRPr="00E600C4">
        <w:rPr>
          <w:rFonts w:ascii="Times New Roman" w:hAnsi="Times New Roman"/>
          <w:sz w:val="24"/>
          <w:szCs w:val="24"/>
        </w:rPr>
        <w:t>Banske's</w:t>
      </w:r>
      <w:proofErr w:type="spellEnd"/>
      <w:r w:rsidRPr="00E600C4">
        <w:rPr>
          <w:rFonts w:ascii="Times New Roman" w:hAnsi="Times New Roman"/>
          <w:sz w:val="24"/>
          <w:szCs w:val="24"/>
        </w:rPr>
        <w:t xml:space="preserve"> at-issue speech touches upon a subject of public concern. This the Court will not do. The Complaint fails to establish that </w:t>
      </w:r>
      <w:proofErr w:type="spellStart"/>
      <w:r w:rsidRPr="00E600C4">
        <w:rPr>
          <w:rFonts w:ascii="Times New Roman" w:hAnsi="Times New Roman"/>
          <w:sz w:val="24"/>
          <w:szCs w:val="24"/>
        </w:rPr>
        <w:t>Banske</w:t>
      </w:r>
      <w:proofErr w:type="spellEnd"/>
      <w:r w:rsidRPr="00E600C4">
        <w:rPr>
          <w:rFonts w:ascii="Times New Roman" w:hAnsi="Times New Roman"/>
          <w:sz w:val="24"/>
          <w:szCs w:val="24"/>
        </w:rPr>
        <w:t xml:space="preserve"> engaged in constitutionally protected speech, so it fails to state a claim upon which relief may be granted.” </w:t>
      </w:r>
    </w:p>
    <w:p w14:paraId="6A3E048D" w14:textId="7003543D" w:rsidR="00F326E5" w:rsidRPr="00E600C4" w:rsidRDefault="00E600C4" w:rsidP="00E600C4">
      <w:pPr>
        <w:pStyle w:val="NoSpacing"/>
        <w:ind w:firstLine="720"/>
        <w:rPr>
          <w:rFonts w:ascii="Times New Roman" w:hAnsi="Times New Roman"/>
          <w:sz w:val="24"/>
          <w:szCs w:val="24"/>
        </w:rPr>
      </w:pPr>
      <w:hyperlink r:id="rId2882" w:history="1">
        <w:r w:rsidRPr="001B5B01">
          <w:rPr>
            <w:rStyle w:val="Hyperlink"/>
            <w:rFonts w:ascii="Times New Roman" w:hAnsi="Times New Roman"/>
            <w:sz w:val="24"/>
            <w:szCs w:val="24"/>
          </w:rPr>
          <w:t>https://casetext.com/case/banske-v-city-of-calumet-city</w:t>
        </w:r>
      </w:hyperlink>
      <w:r w:rsidR="00F326E5" w:rsidRPr="00E600C4">
        <w:rPr>
          <w:rFonts w:ascii="Times New Roman" w:hAnsi="Times New Roman"/>
          <w:sz w:val="24"/>
          <w:szCs w:val="24"/>
        </w:rPr>
        <w:t xml:space="preserve"> </w:t>
      </w:r>
    </w:p>
    <w:p w14:paraId="6BBC4089" w14:textId="77777777" w:rsidR="00E600C4" w:rsidRDefault="00E600C4" w:rsidP="00F326E5">
      <w:pPr>
        <w:rPr>
          <w:rFonts w:ascii="Times New Roman" w:eastAsia="Times New Roman" w:hAnsi="Times New Roman"/>
          <w:b/>
          <w:sz w:val="24"/>
          <w:szCs w:val="24"/>
        </w:rPr>
      </w:pPr>
    </w:p>
    <w:p w14:paraId="68418577" w14:textId="49E1851B"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Legal Lessons Learned: Fire, EMS, police and other public employees have only limited First Amendment rights under the “balancing test” of U.S. Supreme Court’s decision in Pickering v. Board of Education, 391 U.S. 563 (1968).</w:t>
      </w:r>
    </w:p>
    <w:p w14:paraId="34AA03D1" w14:textId="77777777" w:rsidR="00F326E5" w:rsidRPr="00E600C4" w:rsidRDefault="00F326E5" w:rsidP="00F326E5">
      <w:pPr>
        <w:ind w:left="720"/>
        <w:rPr>
          <w:rFonts w:ascii="Times New Roman" w:hAnsi="Times New Roman"/>
          <w:sz w:val="24"/>
          <w:szCs w:val="24"/>
        </w:rPr>
      </w:pPr>
      <w:r w:rsidRPr="00E600C4">
        <w:rPr>
          <w:rFonts w:ascii="Times New Roman" w:eastAsia="Times New Roman" w:hAnsi="Times New Roman"/>
          <w:sz w:val="24"/>
          <w:szCs w:val="24"/>
        </w:rPr>
        <w:t xml:space="preserve">Pickering decision:  “Appellant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In sum, we hold that, in a case such as this, absent proof of false statements knowingly or recklessly made by him, a teacher's exercise of his right to speak on issues of public importance may not furnish the basis for his dismissal from public employment. *** Footnote 3: It is possible to conceive of some positions in public employment in which the need for confidentiality is so great that even completely correct public statements might furnish a permissible ground for dismissal.” </w:t>
      </w:r>
      <w:hyperlink r:id="rId2883" w:history="1">
        <w:r w:rsidRPr="00E600C4">
          <w:rPr>
            <w:rStyle w:val="Hyperlink"/>
            <w:rFonts w:ascii="Times New Roman" w:hAnsi="Times New Roman"/>
            <w:sz w:val="24"/>
            <w:szCs w:val="24"/>
          </w:rPr>
          <w:t>https://supreme.justia.com/cases/federal/us/391/563/</w:t>
        </w:r>
      </w:hyperlink>
      <w:r w:rsidRPr="00E600C4">
        <w:rPr>
          <w:rFonts w:ascii="Times New Roman" w:eastAsia="Times New Roman" w:hAnsi="Times New Roman"/>
          <w:sz w:val="24"/>
          <w:szCs w:val="24"/>
        </w:rPr>
        <w:t xml:space="preserve"> </w:t>
      </w:r>
    </w:p>
    <w:bookmarkEnd w:id="629"/>
    <w:bookmarkEnd w:id="630"/>
    <w:p w14:paraId="79613DBE" w14:textId="77777777" w:rsidR="00F326E5" w:rsidRPr="00E600C4" w:rsidRDefault="00F326E5" w:rsidP="00F326E5">
      <w:pPr>
        <w:pStyle w:val="NoSpacing"/>
        <w:rPr>
          <w:rFonts w:ascii="Times New Roman" w:hAnsi="Times New Roman"/>
          <w:b/>
          <w:sz w:val="24"/>
          <w:szCs w:val="24"/>
        </w:rPr>
      </w:pPr>
    </w:p>
    <w:p w14:paraId="228A938B" w14:textId="77777777" w:rsidR="00F326E5" w:rsidRDefault="00F326E5" w:rsidP="00F326E5">
      <w:pPr>
        <w:rPr>
          <w:rFonts w:ascii="Arial Black" w:hAnsi="Arial Black"/>
          <w:sz w:val="40"/>
          <w:szCs w:val="40"/>
        </w:rPr>
      </w:pPr>
      <w:r>
        <w:rPr>
          <w:rFonts w:ascii="Arial Black" w:hAnsi="Arial Black"/>
          <w:sz w:val="40"/>
          <w:szCs w:val="40"/>
        </w:rPr>
        <w:br w:type="page"/>
      </w:r>
    </w:p>
    <w:p w14:paraId="394AF62A" w14:textId="77777777" w:rsidR="00F326E5" w:rsidRDefault="00F326E5" w:rsidP="00F326E5">
      <w:pPr>
        <w:rPr>
          <w:rFonts w:ascii="Arial Black" w:hAnsi="Arial Black"/>
          <w:sz w:val="40"/>
          <w:szCs w:val="40"/>
        </w:rPr>
      </w:pPr>
    </w:p>
    <w:p w14:paraId="057E46DD" w14:textId="77777777" w:rsidR="007D737C" w:rsidRDefault="007D737C" w:rsidP="00F326E5">
      <w:pPr>
        <w:pStyle w:val="NoSpacing"/>
        <w:rPr>
          <w:rFonts w:ascii="Arial Black" w:hAnsi="Arial Black"/>
          <w:sz w:val="40"/>
          <w:szCs w:val="40"/>
        </w:rPr>
      </w:pPr>
    </w:p>
    <w:p w14:paraId="0D87F7EB" w14:textId="77777777" w:rsidR="007D737C" w:rsidRDefault="007D737C" w:rsidP="00F326E5">
      <w:pPr>
        <w:pStyle w:val="NoSpacing"/>
        <w:rPr>
          <w:rFonts w:ascii="Arial Black" w:hAnsi="Arial Black"/>
          <w:sz w:val="40"/>
          <w:szCs w:val="40"/>
        </w:rPr>
      </w:pPr>
    </w:p>
    <w:p w14:paraId="62B52445" w14:textId="77777777" w:rsidR="007D737C" w:rsidRDefault="007D737C" w:rsidP="00F326E5">
      <w:pPr>
        <w:pStyle w:val="NoSpacing"/>
        <w:rPr>
          <w:rFonts w:ascii="Arial Black" w:hAnsi="Arial Black"/>
          <w:sz w:val="40"/>
          <w:szCs w:val="40"/>
        </w:rPr>
      </w:pPr>
    </w:p>
    <w:p w14:paraId="7D46D5E7" w14:textId="77777777" w:rsidR="007D737C" w:rsidRDefault="007D737C" w:rsidP="00F326E5">
      <w:pPr>
        <w:pStyle w:val="NoSpacing"/>
        <w:rPr>
          <w:rFonts w:ascii="Arial Black" w:hAnsi="Arial Black"/>
          <w:sz w:val="40"/>
          <w:szCs w:val="40"/>
        </w:rPr>
      </w:pPr>
    </w:p>
    <w:p w14:paraId="21A16390" w14:textId="77777777" w:rsidR="007D737C" w:rsidRDefault="007D737C" w:rsidP="00F326E5">
      <w:pPr>
        <w:pStyle w:val="NoSpacing"/>
        <w:rPr>
          <w:rFonts w:ascii="Arial Black" w:hAnsi="Arial Black"/>
          <w:sz w:val="40"/>
          <w:szCs w:val="40"/>
        </w:rPr>
      </w:pPr>
    </w:p>
    <w:p w14:paraId="7A49A248" w14:textId="77777777" w:rsidR="007D737C" w:rsidRDefault="007D737C" w:rsidP="00F326E5">
      <w:pPr>
        <w:pStyle w:val="NoSpacing"/>
        <w:rPr>
          <w:rFonts w:ascii="Arial Black" w:hAnsi="Arial Black"/>
          <w:sz w:val="40"/>
          <w:szCs w:val="40"/>
        </w:rPr>
      </w:pPr>
    </w:p>
    <w:p w14:paraId="37B81F85" w14:textId="77777777" w:rsidR="007D737C" w:rsidRDefault="007D737C" w:rsidP="00F326E5">
      <w:pPr>
        <w:pStyle w:val="NoSpacing"/>
        <w:rPr>
          <w:rFonts w:ascii="Arial Black" w:hAnsi="Arial Black"/>
          <w:sz w:val="40"/>
          <w:szCs w:val="40"/>
        </w:rPr>
      </w:pPr>
    </w:p>
    <w:p w14:paraId="21026785" w14:textId="77777777" w:rsidR="007D737C" w:rsidRDefault="007D737C" w:rsidP="00F326E5">
      <w:pPr>
        <w:pStyle w:val="NoSpacing"/>
        <w:rPr>
          <w:rFonts w:ascii="Arial Black" w:hAnsi="Arial Black"/>
          <w:sz w:val="40"/>
          <w:szCs w:val="40"/>
        </w:rPr>
      </w:pPr>
    </w:p>
    <w:p w14:paraId="58E7CD43" w14:textId="77777777" w:rsidR="007D737C" w:rsidRDefault="007D737C" w:rsidP="00F326E5">
      <w:pPr>
        <w:pStyle w:val="NoSpacing"/>
        <w:rPr>
          <w:rFonts w:ascii="Arial Black" w:hAnsi="Arial Black"/>
          <w:sz w:val="40"/>
          <w:szCs w:val="40"/>
        </w:rPr>
      </w:pPr>
    </w:p>
    <w:p w14:paraId="3AF486A0" w14:textId="77777777" w:rsidR="007D737C" w:rsidRDefault="007D737C" w:rsidP="00F326E5">
      <w:pPr>
        <w:pStyle w:val="NoSpacing"/>
        <w:rPr>
          <w:rFonts w:ascii="Arial Black" w:hAnsi="Arial Black"/>
          <w:sz w:val="40"/>
          <w:szCs w:val="40"/>
        </w:rPr>
      </w:pPr>
    </w:p>
    <w:p w14:paraId="39D57225" w14:textId="77777777" w:rsidR="007D737C" w:rsidRDefault="007D737C" w:rsidP="00F326E5">
      <w:pPr>
        <w:pStyle w:val="NoSpacing"/>
        <w:rPr>
          <w:rFonts w:ascii="Arial Black" w:hAnsi="Arial Black"/>
          <w:sz w:val="40"/>
          <w:szCs w:val="40"/>
        </w:rPr>
      </w:pPr>
    </w:p>
    <w:p w14:paraId="36375DD5" w14:textId="77777777" w:rsidR="007D737C" w:rsidRDefault="007D737C" w:rsidP="00F326E5">
      <w:pPr>
        <w:pStyle w:val="NoSpacing"/>
        <w:rPr>
          <w:rFonts w:ascii="Arial Black" w:hAnsi="Arial Black"/>
          <w:sz w:val="40"/>
          <w:szCs w:val="40"/>
        </w:rPr>
      </w:pPr>
    </w:p>
    <w:p w14:paraId="708D307C" w14:textId="77777777" w:rsidR="007D737C" w:rsidRDefault="007D737C" w:rsidP="00F326E5">
      <w:pPr>
        <w:pStyle w:val="NoSpacing"/>
        <w:rPr>
          <w:rFonts w:ascii="Arial Black" w:hAnsi="Arial Black"/>
          <w:sz w:val="40"/>
          <w:szCs w:val="40"/>
        </w:rPr>
      </w:pPr>
    </w:p>
    <w:p w14:paraId="0CD66998" w14:textId="77777777" w:rsidR="007D737C" w:rsidRDefault="007D737C" w:rsidP="00F326E5">
      <w:pPr>
        <w:pStyle w:val="NoSpacing"/>
        <w:rPr>
          <w:rFonts w:ascii="Arial Black" w:hAnsi="Arial Black"/>
          <w:sz w:val="40"/>
          <w:szCs w:val="40"/>
        </w:rPr>
      </w:pPr>
    </w:p>
    <w:p w14:paraId="704F54FE" w14:textId="77777777" w:rsidR="007D737C" w:rsidRDefault="007D737C" w:rsidP="00F326E5">
      <w:pPr>
        <w:pStyle w:val="NoSpacing"/>
        <w:rPr>
          <w:rFonts w:ascii="Arial Black" w:hAnsi="Arial Black"/>
          <w:sz w:val="40"/>
          <w:szCs w:val="40"/>
        </w:rPr>
      </w:pPr>
    </w:p>
    <w:p w14:paraId="786ACB54" w14:textId="77777777" w:rsidR="007D737C" w:rsidRDefault="007D737C" w:rsidP="00F326E5">
      <w:pPr>
        <w:pStyle w:val="NoSpacing"/>
        <w:rPr>
          <w:rFonts w:ascii="Arial Black" w:hAnsi="Arial Black"/>
          <w:sz w:val="40"/>
          <w:szCs w:val="40"/>
        </w:rPr>
      </w:pPr>
    </w:p>
    <w:p w14:paraId="171A34E8" w14:textId="77777777" w:rsidR="007D737C" w:rsidRDefault="007D737C" w:rsidP="00F326E5">
      <w:pPr>
        <w:pStyle w:val="NoSpacing"/>
        <w:rPr>
          <w:rFonts w:ascii="Arial Black" w:hAnsi="Arial Black"/>
          <w:sz w:val="40"/>
          <w:szCs w:val="40"/>
        </w:rPr>
      </w:pPr>
    </w:p>
    <w:p w14:paraId="53786010" w14:textId="77777777" w:rsidR="007D737C" w:rsidRDefault="007D737C" w:rsidP="00F326E5">
      <w:pPr>
        <w:pStyle w:val="NoSpacing"/>
        <w:rPr>
          <w:rFonts w:ascii="Arial Black" w:hAnsi="Arial Black"/>
          <w:sz w:val="40"/>
          <w:szCs w:val="40"/>
        </w:rPr>
      </w:pPr>
    </w:p>
    <w:p w14:paraId="3EA0567B" w14:textId="77777777" w:rsidR="007D737C" w:rsidRDefault="007D737C" w:rsidP="00F326E5">
      <w:pPr>
        <w:pStyle w:val="NoSpacing"/>
        <w:rPr>
          <w:rFonts w:ascii="Arial Black" w:hAnsi="Arial Black"/>
          <w:sz w:val="40"/>
          <w:szCs w:val="40"/>
        </w:rPr>
      </w:pPr>
    </w:p>
    <w:p w14:paraId="51B49BA6" w14:textId="77777777" w:rsidR="007D737C" w:rsidRDefault="007D737C" w:rsidP="00F326E5">
      <w:pPr>
        <w:pStyle w:val="NoSpacing"/>
        <w:rPr>
          <w:rFonts w:ascii="Arial Black" w:hAnsi="Arial Black"/>
          <w:sz w:val="40"/>
          <w:szCs w:val="40"/>
        </w:rPr>
      </w:pPr>
    </w:p>
    <w:p w14:paraId="365462F2" w14:textId="77777777" w:rsidR="007D737C" w:rsidRDefault="007D737C" w:rsidP="00F326E5">
      <w:pPr>
        <w:pStyle w:val="NoSpacing"/>
        <w:rPr>
          <w:rFonts w:ascii="Arial Black" w:hAnsi="Arial Black"/>
          <w:sz w:val="40"/>
          <w:szCs w:val="40"/>
        </w:rPr>
      </w:pPr>
    </w:p>
    <w:p w14:paraId="597CD230" w14:textId="77777777" w:rsidR="007D737C" w:rsidRDefault="007D737C" w:rsidP="00F326E5">
      <w:pPr>
        <w:pStyle w:val="NoSpacing"/>
        <w:rPr>
          <w:rFonts w:ascii="Arial Black" w:hAnsi="Arial Black"/>
          <w:sz w:val="40"/>
          <w:szCs w:val="40"/>
        </w:rPr>
      </w:pPr>
    </w:p>
    <w:p w14:paraId="05FA94B7" w14:textId="77777777" w:rsidR="007D737C" w:rsidRDefault="007D737C" w:rsidP="00F326E5">
      <w:pPr>
        <w:pStyle w:val="NoSpacing"/>
        <w:rPr>
          <w:rFonts w:ascii="Arial Black" w:hAnsi="Arial Black"/>
          <w:sz w:val="40"/>
          <w:szCs w:val="40"/>
        </w:rPr>
      </w:pPr>
    </w:p>
    <w:p w14:paraId="0BD28BB8" w14:textId="2FBE1B58" w:rsidR="00F326E5" w:rsidRDefault="00F326E5" w:rsidP="00F326E5">
      <w:pPr>
        <w:pStyle w:val="NoSpacing"/>
        <w:rPr>
          <w:rFonts w:ascii="Arial Black" w:hAnsi="Arial Black"/>
          <w:sz w:val="40"/>
          <w:szCs w:val="40"/>
        </w:rPr>
      </w:pPr>
      <w:r w:rsidRPr="007732FA">
        <w:rPr>
          <w:rFonts w:ascii="Arial Black" w:hAnsi="Arial Black"/>
          <w:sz w:val="40"/>
          <w:szCs w:val="40"/>
        </w:rPr>
        <w:t>Chap. 17</w:t>
      </w:r>
      <w:r w:rsidRPr="007732FA">
        <w:rPr>
          <w:rFonts w:ascii="Arial Black" w:hAnsi="Arial Black"/>
          <w:sz w:val="40"/>
          <w:szCs w:val="40"/>
        </w:rPr>
        <w:tab/>
        <w:t>Arbitration</w:t>
      </w:r>
      <w:r w:rsidR="005E16F7">
        <w:rPr>
          <w:rFonts w:ascii="Arial Black" w:hAnsi="Arial Black"/>
          <w:sz w:val="40"/>
          <w:szCs w:val="40"/>
        </w:rPr>
        <w:t>,</w:t>
      </w:r>
      <w:r w:rsidR="00EF7B5C">
        <w:rPr>
          <w:rFonts w:ascii="Arial Black" w:hAnsi="Arial Black"/>
          <w:sz w:val="40"/>
          <w:szCs w:val="40"/>
        </w:rPr>
        <w:t xml:space="preserve"> </w:t>
      </w:r>
      <w:r w:rsidRPr="007732FA">
        <w:rPr>
          <w:rFonts w:ascii="Arial Black" w:hAnsi="Arial Black"/>
          <w:sz w:val="40"/>
          <w:szCs w:val="40"/>
        </w:rPr>
        <w:t>Mediation</w:t>
      </w:r>
      <w:r w:rsidR="005E16F7">
        <w:rPr>
          <w:rFonts w:ascii="Arial Black" w:hAnsi="Arial Black"/>
          <w:sz w:val="40"/>
          <w:szCs w:val="40"/>
        </w:rPr>
        <w:t>, including Labor Relations</w:t>
      </w:r>
    </w:p>
    <w:p w14:paraId="2746B8E2" w14:textId="77777777" w:rsidR="00F326E5" w:rsidRDefault="00F326E5" w:rsidP="00F326E5">
      <w:pPr>
        <w:pStyle w:val="NoSpacing"/>
        <w:rPr>
          <w:sz w:val="24"/>
          <w:szCs w:val="24"/>
        </w:rPr>
      </w:pPr>
    </w:p>
    <w:p w14:paraId="4F5CEAF7" w14:textId="77777777" w:rsidR="00945DD6" w:rsidRDefault="00945DD6" w:rsidP="00945DD6">
      <w:pPr>
        <w:pStyle w:val="NoSpacing"/>
        <w:rPr>
          <w:rFonts w:ascii="Arial Black" w:hAnsi="Arial Black"/>
          <w:b/>
          <w:sz w:val="28"/>
          <w:szCs w:val="28"/>
        </w:rPr>
      </w:pPr>
    </w:p>
    <w:p w14:paraId="6A56D5A9" w14:textId="51AF5BAD" w:rsidR="00945DD6" w:rsidRDefault="00945DD6" w:rsidP="00945DD6">
      <w:pPr>
        <w:pStyle w:val="NoSpacing"/>
        <w:rPr>
          <w:rFonts w:ascii="Arial Black" w:hAnsi="Arial Black"/>
          <w:sz w:val="28"/>
          <w:szCs w:val="28"/>
        </w:rPr>
      </w:pPr>
      <w:r>
        <w:rPr>
          <w:rFonts w:ascii="Arial Black" w:hAnsi="Arial Black"/>
          <w:b/>
          <w:sz w:val="28"/>
          <w:szCs w:val="28"/>
        </w:rPr>
        <w:t>17-65</w:t>
      </w:r>
    </w:p>
    <w:p w14:paraId="6AEAEDBD" w14:textId="77777777" w:rsidR="00945DD6" w:rsidRDefault="00945DD6" w:rsidP="00683A7A">
      <w:pPr>
        <w:rPr>
          <w:rFonts w:ascii="Arial Black" w:hAnsi="Arial Black"/>
          <w:sz w:val="28"/>
          <w:szCs w:val="28"/>
        </w:rPr>
      </w:pPr>
    </w:p>
    <w:p w14:paraId="0CFA2CEB" w14:textId="5736C330" w:rsidR="00683A7A" w:rsidRDefault="00683A7A" w:rsidP="00683A7A">
      <w:pPr>
        <w:rPr>
          <w:rFonts w:ascii="Arial Black" w:hAnsi="Arial Black"/>
          <w:sz w:val="28"/>
          <w:szCs w:val="28"/>
        </w:rPr>
      </w:pPr>
      <w:r>
        <w:rPr>
          <w:rFonts w:ascii="Arial Black" w:hAnsi="Arial Black"/>
          <w:sz w:val="28"/>
          <w:szCs w:val="28"/>
        </w:rPr>
        <w:t>MA: RESIDENCY – ARBITRATOR DIDN’T LET CITY QUEST FF</w:t>
      </w:r>
    </w:p>
    <w:p w14:paraId="7499E652" w14:textId="77777777" w:rsidR="00683A7A" w:rsidRPr="00D84D30" w:rsidRDefault="00683A7A" w:rsidP="00683A7A">
      <w:r>
        <w:t xml:space="preserve">On September 17, 2026, in </w:t>
      </w:r>
      <w:r w:rsidRPr="00484C19">
        <w:rPr>
          <w:u w:val="single"/>
        </w:rPr>
        <w:t>City of Watertown v. Watertown Firefighters Association, Local 1347</w:t>
      </w:r>
      <w:r>
        <w:t xml:space="preserve">, the </w:t>
      </w:r>
      <w:r w:rsidRPr="00484C19">
        <w:t>Appeals Court of Massachusetts</w:t>
      </w:r>
      <w:r>
        <w:t xml:space="preserve"> held (3 to 0) that trial court judge, who upheld the arbitration award for the firefighter, is reversed and the termination upheld. “</w:t>
      </w:r>
      <w:r w:rsidRPr="00850C4A">
        <w:t>Here, the arbitrator refused to allow the city to call the</w:t>
      </w:r>
      <w:r>
        <w:t xml:space="preserve"> </w:t>
      </w:r>
      <w:r w:rsidRPr="00850C4A">
        <w:t>terminated firefighter as a witness, reasoning that he had been</w:t>
      </w:r>
      <w:r>
        <w:t xml:space="preserve"> </w:t>
      </w:r>
      <w:r w:rsidRPr="00EF1D68">
        <w:t>interviewed previously and was entitled to decline to testify.</w:t>
      </w:r>
      <w:r>
        <w:t xml:space="preserve"> </w:t>
      </w:r>
      <w:r w:rsidRPr="00EF1D68">
        <w:t>Though this may explain the arbitrator's decision not to apply</w:t>
      </w:r>
      <w:r>
        <w:t xml:space="preserve"> </w:t>
      </w:r>
      <w:r w:rsidRPr="00EF1D68">
        <w:t>an adverse inference to the firefighter's failure to testify, it</w:t>
      </w:r>
      <w:r>
        <w:t xml:space="preserve"> </w:t>
      </w:r>
      <w:r w:rsidRPr="00EF1D68">
        <w:t>provides no reason to deny the city the ability to present him</w:t>
      </w:r>
      <w:r>
        <w:t xml:space="preserve"> </w:t>
      </w:r>
      <w:r w:rsidRPr="00EF1D68">
        <w:t>as a live witness. The firefighter's testimony regarding his</w:t>
      </w:r>
      <w:r>
        <w:t xml:space="preserve"> </w:t>
      </w:r>
      <w:r w:rsidRPr="00EF1D68">
        <w:t>own residency, and his credibility as to that issue, was</w:t>
      </w:r>
      <w:r>
        <w:t xml:space="preserve"> </w:t>
      </w:r>
      <w:r w:rsidRPr="00EF1D68">
        <w:t xml:space="preserve">undoubtedly </w:t>
      </w:r>
      <w:r>
        <w:t>‘</w:t>
      </w:r>
      <w:r w:rsidRPr="00EF1D68">
        <w:t>material to the controversy.</w:t>
      </w:r>
      <w:r>
        <w:t xml:space="preserve">’ … </w:t>
      </w:r>
      <w:r w:rsidRPr="006B7180">
        <w:t>Likewise, the city's expert witness also provided evidence</w:t>
      </w:r>
      <w:r>
        <w:t xml:space="preserve"> </w:t>
      </w:r>
      <w:r w:rsidRPr="006B7180">
        <w:t>"material to the controversy," where his data analysis tended to</w:t>
      </w:r>
      <w:r>
        <w:t xml:space="preserve"> </w:t>
      </w:r>
      <w:r w:rsidRPr="006B7180">
        <w:t>show the firefighter's physical presence during the relevant</w:t>
      </w:r>
      <w:r>
        <w:t xml:space="preserve"> </w:t>
      </w:r>
      <w:proofErr w:type="gramStart"/>
      <w:r w:rsidRPr="006B7180">
        <w:t>time period</w:t>
      </w:r>
      <w:proofErr w:type="gramEnd"/>
      <w:r w:rsidRPr="006B7180">
        <w:t xml:space="preserve"> and therefore had a direct bearing on the</w:t>
      </w:r>
      <w:r>
        <w:t xml:space="preserve"> </w:t>
      </w:r>
      <w:r w:rsidRPr="006B7180">
        <w:t>firefighter's claim of residency. The arbitrator excluded this</w:t>
      </w:r>
      <w:r>
        <w:t xml:space="preserve"> </w:t>
      </w:r>
      <w:r w:rsidRPr="006B7180">
        <w:t>evidence, reasoning that since the evidence was acquired after</w:t>
      </w:r>
      <w:r>
        <w:t xml:space="preserve"> </w:t>
      </w:r>
      <w:r w:rsidRPr="006B7180">
        <w:t>the firefighter's termination, it could not be used to</w:t>
      </w:r>
      <w:r>
        <w:t xml:space="preserve"> </w:t>
      </w:r>
      <w:r w:rsidRPr="006B7180">
        <w:t>retroactively justify it. But this rationale misperceives the</w:t>
      </w:r>
      <w:r>
        <w:t xml:space="preserve"> </w:t>
      </w:r>
      <w:r w:rsidRPr="006B7180">
        <w:t>nature of the proceeding.</w:t>
      </w:r>
      <w:r>
        <w:t xml:space="preserve"> </w:t>
      </w:r>
      <w:r w:rsidRPr="00D84D30">
        <w:t>An arbitrator does not sit as an</w:t>
      </w:r>
      <w:r>
        <w:t xml:space="preserve"> </w:t>
      </w:r>
      <w:r w:rsidRPr="00D84D30">
        <w:t>appellate body reviewing the termination hearing and determining</w:t>
      </w:r>
      <w:r>
        <w:t xml:space="preserve"> </w:t>
      </w:r>
      <w:r w:rsidRPr="00D84D30">
        <w:t>whether it was supported by sufficient evidence.</w:t>
      </w:r>
      <w:r>
        <w:t xml:space="preserve">” </w:t>
      </w:r>
      <w:hyperlink r:id="rId2884" w:history="1">
        <w:r w:rsidRPr="00D84D30">
          <w:rPr>
            <w:rStyle w:val="Hyperlink"/>
          </w:rPr>
          <w:t>https://masslawyersweekly.com/files/2026/09/81-113-26.pdf</w:t>
        </w:r>
      </w:hyperlink>
      <w:r w:rsidRPr="00D84D30">
        <w:t xml:space="preserve"> </w:t>
      </w:r>
    </w:p>
    <w:p w14:paraId="4F25C569" w14:textId="77777777" w:rsidR="00683A7A" w:rsidRPr="00741F80" w:rsidRDefault="00683A7A" w:rsidP="00683A7A">
      <w:pPr>
        <w:rPr>
          <w:bCs/>
        </w:rPr>
      </w:pPr>
      <w:r>
        <w:rPr>
          <w:b/>
        </w:rPr>
        <w:t xml:space="preserve"> </w:t>
      </w:r>
      <w:r>
        <w:t xml:space="preserve">THE COURT WROTE: </w:t>
      </w:r>
    </w:p>
    <w:p w14:paraId="77131D17" w14:textId="77777777" w:rsidR="00683A7A" w:rsidRDefault="00683A7A" w:rsidP="00683A7A">
      <w:pPr>
        <w:pStyle w:val="NoSpacing"/>
        <w:ind w:left="720"/>
      </w:pPr>
      <w:r>
        <w:t>“</w:t>
      </w:r>
      <w:r w:rsidRPr="00CA5253">
        <w:t>In 2018, after the city fire chief received</w:t>
      </w:r>
      <w:r>
        <w:t xml:space="preserve"> </w:t>
      </w:r>
      <w:r w:rsidRPr="00CA5253">
        <w:t>information that a particular firefighter may have been in</w:t>
      </w:r>
      <w:r>
        <w:t xml:space="preserve"> </w:t>
      </w:r>
      <w:r w:rsidRPr="00CA5253">
        <w:t>violation of the residency requirement of his position, the city</w:t>
      </w:r>
      <w:r>
        <w:t xml:space="preserve"> </w:t>
      </w:r>
      <w:r w:rsidRPr="00CA5253">
        <w:t xml:space="preserve">began investigating whether the firefighter </w:t>
      </w:r>
      <w:proofErr w:type="gramStart"/>
      <w:r w:rsidRPr="00CA5253">
        <w:t>actually resided</w:t>
      </w:r>
      <w:proofErr w:type="gramEnd"/>
      <w:r w:rsidRPr="00CA5253">
        <w:t xml:space="preserve"> at</w:t>
      </w:r>
      <w:r>
        <w:t xml:space="preserve"> the address he represented to the city. Since October 2009, the firefighter had been representing that his residence was the home of his sister, who lived with her husband in Hyde Park (within the firefighter's residency requirement). The city's preliminary investigation, which included surveillance as well as review of public records, concluded that the firefighter likely lived with his wife out-of-State and outside the residency requirement…. </w:t>
      </w:r>
    </w:p>
    <w:p w14:paraId="334FF44A" w14:textId="77777777" w:rsidR="00683A7A" w:rsidRDefault="00683A7A" w:rsidP="00683A7A">
      <w:pPr>
        <w:pStyle w:val="NoSpacing"/>
        <w:ind w:left="720"/>
      </w:pPr>
    </w:p>
    <w:p w14:paraId="1D5B9B51" w14:textId="77777777" w:rsidR="00683A7A" w:rsidRDefault="00683A7A" w:rsidP="00683A7A">
      <w:pPr>
        <w:pStyle w:val="NoSpacing"/>
        <w:ind w:left="720"/>
      </w:pPr>
      <w:r>
        <w:t xml:space="preserve">In August 2020, the city conducted a hearing, pursuant to procedures pertaining to civil service employees, to determine whether there was just cause to terminate the firefighter for violating the residency requirement of his position. After a hearing where the firefighter declined to testify, the hearing officer found that the firefighter lived with his wife out-of-State and outside the residency requirement of his position, providing just cause for termination.1 In light of the outcome of the termination hearing, the city manager terminated the firefighter's employment for "conduct unbecoming a firefighter" in September 2020…. </w:t>
      </w:r>
    </w:p>
    <w:p w14:paraId="5E62437F" w14:textId="77777777" w:rsidR="00683A7A" w:rsidRDefault="00683A7A" w:rsidP="00683A7A">
      <w:pPr>
        <w:pStyle w:val="NoSpacing"/>
        <w:ind w:left="720"/>
      </w:pPr>
      <w:r>
        <w:t xml:space="preserve">The arbitration hearing took place over two nonconsecutive days in August 2021 and December 2022. The city sought to call the firefighter, who was present, as a witness but the arbitrator denied the request, and the firefighter did not testify…. We reverse the judgment confirming the arbitration award and remand the case to the Superior Court for entry of a judgment vacating the arbitration award.” </w:t>
      </w:r>
    </w:p>
    <w:p w14:paraId="7AC44D81" w14:textId="77777777" w:rsidR="00683A7A" w:rsidRDefault="00683A7A" w:rsidP="00683A7A">
      <w:pPr>
        <w:pStyle w:val="NoSpacing"/>
        <w:ind w:left="720"/>
      </w:pPr>
    </w:p>
    <w:p w14:paraId="57DE3D0E" w14:textId="77777777" w:rsidR="00683A7A" w:rsidRPr="00741F80" w:rsidRDefault="00683A7A" w:rsidP="00683A7A">
      <w:pPr>
        <w:rPr>
          <w:b/>
          <w:bCs/>
        </w:rPr>
      </w:pPr>
      <w:r>
        <w:rPr>
          <w:b/>
        </w:rPr>
        <w:t xml:space="preserve">Legal lesson learned: Arbitrator improperly denied City’s right to call </w:t>
      </w:r>
      <w:proofErr w:type="gramStart"/>
      <w:r>
        <w:rPr>
          <w:b/>
        </w:rPr>
        <w:t>firefighter</w:t>
      </w:r>
      <w:proofErr w:type="gramEnd"/>
      <w:r>
        <w:rPr>
          <w:b/>
        </w:rPr>
        <w:t xml:space="preserve"> to testify on cross-examination at the arbitration. </w:t>
      </w:r>
    </w:p>
    <w:p w14:paraId="03D93135" w14:textId="77777777" w:rsidR="00683A7A" w:rsidRDefault="00683A7A" w:rsidP="00683A7A">
      <w:pPr>
        <w:rPr>
          <w:rFonts w:ascii="Arial Black" w:hAnsi="Arial Black"/>
          <w:b/>
          <w:color w:val="000000" w:themeColor="text1"/>
          <w:sz w:val="28"/>
          <w:szCs w:val="28"/>
        </w:rPr>
      </w:pPr>
    </w:p>
    <w:p w14:paraId="2E623EC0" w14:textId="77777777" w:rsidR="00683A7A" w:rsidRDefault="00683A7A" w:rsidP="00C049AD">
      <w:pPr>
        <w:pStyle w:val="NoSpacing"/>
        <w:rPr>
          <w:rFonts w:ascii="Arial Black" w:hAnsi="Arial Black"/>
          <w:b/>
          <w:sz w:val="28"/>
          <w:szCs w:val="28"/>
        </w:rPr>
      </w:pPr>
    </w:p>
    <w:p w14:paraId="598BBD22" w14:textId="77777777" w:rsidR="00683A7A" w:rsidRDefault="00683A7A" w:rsidP="00C049AD">
      <w:pPr>
        <w:pStyle w:val="NoSpacing"/>
        <w:rPr>
          <w:rFonts w:ascii="Arial Black" w:hAnsi="Arial Black"/>
          <w:b/>
          <w:sz w:val="28"/>
          <w:szCs w:val="28"/>
        </w:rPr>
      </w:pPr>
    </w:p>
    <w:p w14:paraId="1840E768" w14:textId="77777777" w:rsidR="00683A7A" w:rsidRDefault="00683A7A" w:rsidP="00C049AD">
      <w:pPr>
        <w:pStyle w:val="NoSpacing"/>
        <w:rPr>
          <w:rFonts w:ascii="Arial Black" w:hAnsi="Arial Black"/>
          <w:b/>
          <w:sz w:val="28"/>
          <w:szCs w:val="28"/>
        </w:rPr>
      </w:pPr>
    </w:p>
    <w:p w14:paraId="25D59F3D" w14:textId="60E3A514" w:rsidR="008853F3" w:rsidRDefault="008853F3" w:rsidP="00C049AD">
      <w:pPr>
        <w:pStyle w:val="NoSpacing"/>
        <w:rPr>
          <w:rFonts w:ascii="Arial Black" w:hAnsi="Arial Black"/>
          <w:sz w:val="28"/>
          <w:szCs w:val="28"/>
        </w:rPr>
      </w:pPr>
      <w:r>
        <w:rPr>
          <w:rFonts w:ascii="Arial Black" w:hAnsi="Arial Black"/>
          <w:b/>
          <w:sz w:val="28"/>
          <w:szCs w:val="28"/>
        </w:rPr>
        <w:t>17-65</w:t>
      </w:r>
    </w:p>
    <w:p w14:paraId="40CCBAD4" w14:textId="77777777" w:rsidR="008853F3" w:rsidRDefault="008853F3" w:rsidP="00C049AD">
      <w:pPr>
        <w:pStyle w:val="NoSpacing"/>
        <w:rPr>
          <w:rFonts w:ascii="Arial Black" w:hAnsi="Arial Black"/>
          <w:sz w:val="28"/>
          <w:szCs w:val="28"/>
        </w:rPr>
      </w:pPr>
    </w:p>
    <w:p w14:paraId="6BF01943" w14:textId="0F4AB9F6" w:rsidR="00C049AD" w:rsidRPr="004A4CDD" w:rsidRDefault="00C049AD" w:rsidP="00C049AD">
      <w:pPr>
        <w:pStyle w:val="NoSpacing"/>
        <w:rPr>
          <w:rFonts w:ascii="Arial Black" w:hAnsi="Arial Black"/>
          <w:sz w:val="28"/>
          <w:szCs w:val="28"/>
        </w:rPr>
      </w:pPr>
      <w:r>
        <w:rPr>
          <w:rFonts w:ascii="Arial Black" w:hAnsi="Arial Black"/>
          <w:sz w:val="28"/>
          <w:szCs w:val="28"/>
        </w:rPr>
        <w:t>OR: LEAD MEDIC FIRED – NO UNION CONSPIR WITH CEO</w:t>
      </w:r>
    </w:p>
    <w:p w14:paraId="75061739" w14:textId="77777777" w:rsidR="00C049AD" w:rsidRDefault="00C049AD" w:rsidP="00C049AD">
      <w:pPr>
        <w:pStyle w:val="NoSpacing"/>
      </w:pPr>
    </w:p>
    <w:p w14:paraId="05B5D787" w14:textId="77777777" w:rsidR="00C049AD" w:rsidRDefault="00C049AD" w:rsidP="00C049AD">
      <w:pPr>
        <w:pStyle w:val="NoSpacing"/>
      </w:pPr>
      <w:r>
        <w:t xml:space="preserve">On August 26, 2026, in </w:t>
      </w:r>
      <w:r w:rsidRPr="00822E80">
        <w:rPr>
          <w:u w:val="single"/>
        </w:rPr>
        <w:t>Samantha Ward v. Morrow County Health District, a local government body, Emily Roberts, and Oregon AFSCME Council 75, a nonprofit entity</w:t>
      </w:r>
      <w:r>
        <w:t xml:space="preserve">, U.S. Magistrate Judge Andew Hallman, United States District Court of </w:t>
      </w:r>
      <w:r w:rsidRPr="0043267D">
        <w:t>Oregon, Pendleton Division</w:t>
      </w:r>
      <w:r>
        <w:t xml:space="preserve">, granted the motion of AFSCME to be dismissed from the lawsuit; there is no proof that Emily Roberts, CEO of the Health District fired the plaintiff in a conspiracy with the union.  The plaintiff was hired as Lead Paramedic for the </w:t>
      </w:r>
      <w:proofErr w:type="spellStart"/>
      <w:r w:rsidRPr="00842161">
        <w:t>Irrigon</w:t>
      </w:r>
      <w:proofErr w:type="spellEnd"/>
      <w:r w:rsidRPr="00842161">
        <w:t>, Oregon station</w:t>
      </w:r>
      <w:r>
        <w:t xml:space="preserve"> on </w:t>
      </w:r>
      <w:r w:rsidRPr="00997CFC">
        <w:t>March 18, 2024</w:t>
      </w:r>
      <w:r>
        <w:t>; d</w:t>
      </w:r>
      <w:r w:rsidRPr="00997CFC">
        <w:t>iscussions regarding paramedics unionizing were ongoing and involved consideration of alternative union representation, including the International Association of Fire Fighters (“IAFF”), of which Plaintiff was a member</w:t>
      </w:r>
      <w:r>
        <w:t xml:space="preserve">, and </w:t>
      </w:r>
      <w:r w:rsidRPr="00C87800">
        <w:t>AFSCME</w:t>
      </w:r>
      <w:r>
        <w:t xml:space="preserve">.  In December 2024, </w:t>
      </w:r>
      <w:r w:rsidRPr="00955340">
        <w:t xml:space="preserve">Plaintiff attended a meeting in which </w:t>
      </w:r>
      <w:r>
        <w:t xml:space="preserve">CEO </w:t>
      </w:r>
      <w:r w:rsidRPr="00955340">
        <w:t>Emily Reynolds</w:t>
      </w:r>
      <w:r>
        <w:t xml:space="preserve"> </w:t>
      </w:r>
      <w:r w:rsidRPr="00955340">
        <w:t>indicated that AFSCME intended to incorporate</w:t>
      </w:r>
      <w:r>
        <w:t xml:space="preserve"> </w:t>
      </w:r>
      <w:r w:rsidRPr="00955340">
        <w:t xml:space="preserve">paramedics into AFSCME's existing union contract with MCHD and that MCHD did not plan to oppose the incorporation. </w:t>
      </w:r>
      <w:r>
        <w:rPr>
          <w:i/>
          <w:iCs/>
        </w:rPr>
        <w:t>“</w:t>
      </w:r>
      <w:r w:rsidRPr="00955340">
        <w:t>Reynolds advised Plaintiff not to express a preference for which union to join based on Plaintiff's paramedic lead position.</w:t>
      </w:r>
      <w:r>
        <w:t xml:space="preserve">”  </w:t>
      </w:r>
      <w:r w:rsidRPr="007D79F4">
        <w:t> On January 29, 2025, MCHD terminated Plaintiff at Reynolds' direction</w:t>
      </w:r>
      <w:r>
        <w:t xml:space="preserve">; encouraging medics to join IAFF. </w:t>
      </w:r>
      <w:hyperlink r:id="rId2885" w:history="1">
        <w:r w:rsidRPr="006B31A3">
          <w:rPr>
            <w:rStyle w:val="Hyperlink"/>
          </w:rPr>
          <w:t>https://public.fastcase.com/Jhe1Qn%2BmJndQYQU6z%2FeNmzw1MjNfE42lsGXHo5QuLwzGO9v5LOxlzP%2Bh0pvh6sGa84MuJU1YBVqK1ekaBZuy%2F7iVYOwp0Zv%2FyO%2BM%2FzbRTYc%3D?utm_medium=email&amp;_hsenc=p2ANqtz-8yXGd80l_LUWaAnsmB3JMO2ESWYuMTqNd3smnS9LzfREYFdHkYx-1YqdQDmvXovN_D03neIMXoYWANJifdITEhWzlhbw&amp;_hsmi=226712652&amp;utm_content=226712652&amp;utm_source=hs_email</w:t>
        </w:r>
      </w:hyperlink>
      <w:r>
        <w:t xml:space="preserve"> </w:t>
      </w:r>
    </w:p>
    <w:p w14:paraId="2C1A0639" w14:textId="77777777" w:rsidR="00C049AD" w:rsidRDefault="00C049AD" w:rsidP="00C049AD">
      <w:pPr>
        <w:pStyle w:val="NoSpacing"/>
      </w:pPr>
    </w:p>
    <w:p w14:paraId="7D6D8AAD" w14:textId="77777777" w:rsidR="00C049AD" w:rsidRDefault="00C049AD" w:rsidP="00C049AD">
      <w:pPr>
        <w:pStyle w:val="NoSpacing"/>
      </w:pPr>
      <w:r>
        <w:t>THE COURT WROTE:</w:t>
      </w:r>
    </w:p>
    <w:p w14:paraId="6E6E041C" w14:textId="77777777" w:rsidR="00C049AD" w:rsidRDefault="00C049AD" w:rsidP="00C049AD">
      <w:pPr>
        <w:pStyle w:val="NoSpacing"/>
      </w:pPr>
    </w:p>
    <w:p w14:paraId="0DA08A5B" w14:textId="77777777" w:rsidR="00C049AD" w:rsidRDefault="00C049AD" w:rsidP="00C049AD">
      <w:pPr>
        <w:pStyle w:val="NoSpacing"/>
        <w:ind w:left="720"/>
      </w:pPr>
      <w:r>
        <w:t>“</w:t>
      </w:r>
      <w:r w:rsidRPr="00814FBF">
        <w:t>At some point between January 24 and January 29, 2025, Wolford Davis spoke with Reynolds about MCHD's paramedics not yet voting to join AFSCME and expressed that Plaintiff was resistant to joining AFSCME, preferring IAFF</w:t>
      </w:r>
      <w:r>
        <w:t xml:space="preserve">…. </w:t>
      </w:r>
      <w:r w:rsidRPr="00814FBF">
        <w:t>In a memorandum dated January 30, 2025, Reynolds recounted Wolford Davis sharing with her that MCHD employees had reported that Plaintiff continued engaging staff in dialogue regarding AFSCME, discouraged staff from paying dues, encouraged paramedics to not consider joining AFSCME, and made defamatory comments about Wolford Davis personally</w:t>
      </w:r>
      <w:r>
        <w:t xml:space="preserve">…. </w:t>
      </w:r>
      <w:r w:rsidRPr="00814FBF">
        <w:t>. Reynolds recounted Wolford Davis explaining that AFSCME considered Plaintiff's behavior unfair labor practices due to her paramedic lead position and that staff reported fearing Plaintiff</w:t>
      </w:r>
      <w:r>
        <w:t xml:space="preserve">…. </w:t>
      </w:r>
      <w:r w:rsidRPr="001C25B4">
        <w:t xml:space="preserve">Plaintiff's allegations do not show that AFSCME approved either Reynen's or Wolford </w:t>
      </w:r>
      <w:proofErr w:type="spellStart"/>
      <w:r w:rsidRPr="001C25B4">
        <w:t>Davis'</w:t>
      </w:r>
      <w:proofErr w:type="spellEnd"/>
      <w:r w:rsidRPr="001C25B4">
        <w:t xml:space="preserve"> conduct. The allegations do not offer evidence of a conscious affirmative choice on AFSCME's part. Rather, the allegations show</w:t>
      </w:r>
      <w:r>
        <w:t xml:space="preserve"> </w:t>
      </w:r>
      <w:r w:rsidRPr="008268A0">
        <w:t xml:space="preserve">merely a failure to overrule Reynen's and Wolford </w:t>
      </w:r>
      <w:proofErr w:type="spellStart"/>
      <w:r w:rsidRPr="008268A0">
        <w:t>Davis'</w:t>
      </w:r>
      <w:proofErr w:type="spellEnd"/>
      <w:r w:rsidRPr="008268A0">
        <w:t xml:space="preserve"> discretionary acts, which is not enough for </w:t>
      </w:r>
      <w:r w:rsidRPr="008268A0">
        <w:rPr>
          <w:i/>
          <w:iCs/>
        </w:rPr>
        <w:t>Monell</w:t>
      </w:r>
      <w:r w:rsidRPr="008268A0">
        <w:t xml:space="preserve"> liability to inure to AFSCME through a ratification theory.</w:t>
      </w:r>
      <w:r>
        <w:t>”</w:t>
      </w:r>
    </w:p>
    <w:p w14:paraId="62E872FD" w14:textId="77777777" w:rsidR="00C049AD" w:rsidRDefault="00C049AD" w:rsidP="00C049AD">
      <w:pPr>
        <w:pStyle w:val="NoSpacing"/>
        <w:ind w:left="720"/>
      </w:pPr>
    </w:p>
    <w:p w14:paraId="0A903B04" w14:textId="77777777" w:rsidR="00C049AD" w:rsidRDefault="00C049AD" w:rsidP="00C049AD">
      <w:pPr>
        <w:pStyle w:val="NoSpacing"/>
        <w:rPr>
          <w:b/>
          <w:bCs/>
        </w:rPr>
      </w:pPr>
      <w:r>
        <w:rPr>
          <w:b/>
        </w:rPr>
        <w:t xml:space="preserve">Legal lesson learned:  </w:t>
      </w:r>
      <w:r w:rsidRPr="008268A0">
        <w:rPr>
          <w:b/>
        </w:rPr>
        <w:t xml:space="preserve">Lead paramedic violated CEOs specific instructions not to express a preference for which union to join. </w:t>
      </w:r>
    </w:p>
    <w:p w14:paraId="5A34B988" w14:textId="77777777" w:rsidR="00C049AD" w:rsidRDefault="00C049AD" w:rsidP="00C049AD">
      <w:pPr>
        <w:pStyle w:val="NoSpacing"/>
        <w:rPr>
          <w:b/>
          <w:bCs/>
        </w:rPr>
      </w:pPr>
    </w:p>
    <w:p w14:paraId="0ECC933C" w14:textId="77777777" w:rsidR="00C049AD" w:rsidRDefault="00C049AD" w:rsidP="00945BA7">
      <w:pPr>
        <w:pStyle w:val="NoSpacing"/>
        <w:rPr>
          <w:rFonts w:ascii="Arial Black" w:hAnsi="Arial Black"/>
          <w:b/>
          <w:sz w:val="28"/>
          <w:szCs w:val="28"/>
        </w:rPr>
      </w:pPr>
    </w:p>
    <w:p w14:paraId="00E32A65" w14:textId="77777777" w:rsidR="00C049AD" w:rsidRDefault="00C049AD" w:rsidP="00945BA7">
      <w:pPr>
        <w:pStyle w:val="NoSpacing"/>
        <w:rPr>
          <w:rFonts w:ascii="Arial Black" w:hAnsi="Arial Black"/>
          <w:b/>
          <w:sz w:val="28"/>
          <w:szCs w:val="28"/>
        </w:rPr>
      </w:pPr>
    </w:p>
    <w:p w14:paraId="5520F1FB" w14:textId="77777777" w:rsidR="00C049AD" w:rsidRDefault="00C049AD" w:rsidP="00945BA7">
      <w:pPr>
        <w:pStyle w:val="NoSpacing"/>
        <w:rPr>
          <w:rFonts w:ascii="Arial Black" w:hAnsi="Arial Black"/>
          <w:b/>
          <w:sz w:val="28"/>
          <w:szCs w:val="28"/>
        </w:rPr>
      </w:pPr>
    </w:p>
    <w:p w14:paraId="4E41E78A" w14:textId="25DE1D90" w:rsidR="00945BA7" w:rsidRDefault="00945BA7" w:rsidP="00945BA7">
      <w:pPr>
        <w:pStyle w:val="NoSpacing"/>
        <w:rPr>
          <w:rFonts w:ascii="Arial Black" w:hAnsi="Arial Black"/>
          <w:b/>
          <w:sz w:val="28"/>
          <w:szCs w:val="28"/>
        </w:rPr>
      </w:pPr>
      <w:r>
        <w:rPr>
          <w:rFonts w:ascii="Arial Black" w:hAnsi="Arial Black"/>
          <w:b/>
          <w:sz w:val="28"/>
          <w:szCs w:val="28"/>
        </w:rPr>
        <w:t>17-64</w:t>
      </w:r>
    </w:p>
    <w:p w14:paraId="63C1BFF8" w14:textId="77777777" w:rsidR="00945BA7" w:rsidRDefault="00945BA7" w:rsidP="00945BA7">
      <w:pPr>
        <w:pStyle w:val="NoSpacing"/>
        <w:rPr>
          <w:rFonts w:ascii="Arial Black" w:hAnsi="Arial Black"/>
          <w:b/>
          <w:sz w:val="28"/>
          <w:szCs w:val="28"/>
        </w:rPr>
      </w:pPr>
    </w:p>
    <w:p w14:paraId="52FCFC53" w14:textId="515C7A04" w:rsidR="00945BA7" w:rsidRDefault="00945BA7" w:rsidP="00945BA7">
      <w:pPr>
        <w:pStyle w:val="NoSpacing"/>
        <w:rPr>
          <w:rFonts w:ascii="Arial Black" w:hAnsi="Arial Black"/>
          <w:b/>
          <w:sz w:val="28"/>
          <w:szCs w:val="28"/>
        </w:rPr>
      </w:pPr>
      <w:r>
        <w:rPr>
          <w:rFonts w:ascii="Arial Black" w:hAnsi="Arial Black"/>
          <w:b/>
          <w:sz w:val="28"/>
          <w:szCs w:val="28"/>
        </w:rPr>
        <w:t xml:space="preserve">LA: UNION FF OFF CIVIL SER BOARD – ETHICS CASE MOOT </w:t>
      </w:r>
    </w:p>
    <w:p w14:paraId="4E68DEC2" w14:textId="77777777" w:rsidR="00945BA7" w:rsidRDefault="00945BA7" w:rsidP="00945BA7">
      <w:pPr>
        <w:pStyle w:val="NoSpacing"/>
        <w:rPr>
          <w:bCs/>
        </w:rPr>
      </w:pPr>
    </w:p>
    <w:p w14:paraId="283693D1" w14:textId="77777777" w:rsidR="00945BA7" w:rsidRDefault="00945BA7" w:rsidP="00945BA7">
      <w:pPr>
        <w:pStyle w:val="NoSpacing"/>
        <w:rPr>
          <w:b/>
        </w:rPr>
      </w:pPr>
      <w:r>
        <w:t xml:space="preserve">On July 17, 2026, in </w:t>
      </w:r>
      <w:r w:rsidRPr="0068190C">
        <w:rPr>
          <w:u w:val="single"/>
        </w:rPr>
        <w:t xml:space="preserve">Local 1374, Jefferson Parish Firefighters Association v. </w:t>
      </w:r>
      <w:proofErr w:type="spellStart"/>
      <w:r w:rsidRPr="0068190C">
        <w:rPr>
          <w:u w:val="single"/>
        </w:rPr>
        <w:t>LaKoshia</w:t>
      </w:r>
      <w:proofErr w:type="spellEnd"/>
      <w:r w:rsidRPr="0068190C">
        <w:rPr>
          <w:u w:val="single"/>
        </w:rPr>
        <w:t xml:space="preserve"> R. Roberts, in her official capacity as Chairwoman of the Louisiana Board of Ethics, et al</w:t>
      </w:r>
      <w:r>
        <w:t xml:space="preserve">., the United States Court of Appeals for Fifth Circuit (New Orleans) held (3 to 0) that since Fire Captain / IAFF VP has resigned from Jefferson Parish Civil Service Board, the state’s Board of Ethics ruling prohibiting union from hiring lawyers to represent union members appealing discipline before the Board while their VP is on the Board is a moot issue. </w:t>
      </w:r>
      <w:hyperlink r:id="rId2886" w:history="1">
        <w:r w:rsidRPr="0068671B">
          <w:rPr>
            <w:rStyle w:val="Hyperlink"/>
            <w:b/>
          </w:rPr>
          <w:t>https://cases.justia.com/federal/appellate-courts/ca5/25-30305/25-30305-2026-07-17.pdf?ts=1784331031</w:t>
        </w:r>
      </w:hyperlink>
      <w:r>
        <w:rPr>
          <w:b/>
        </w:rPr>
        <w:t xml:space="preserve"> </w:t>
      </w:r>
    </w:p>
    <w:p w14:paraId="50D17C83" w14:textId="77777777" w:rsidR="00945BA7" w:rsidRDefault="00945BA7" w:rsidP="00945BA7">
      <w:pPr>
        <w:pStyle w:val="NoSpacing"/>
        <w:rPr>
          <w:bCs/>
        </w:rPr>
      </w:pPr>
      <w:r>
        <w:t xml:space="preserve"> </w:t>
      </w:r>
    </w:p>
    <w:p w14:paraId="0FA2814A" w14:textId="77777777" w:rsidR="00945BA7" w:rsidRDefault="00945BA7" w:rsidP="00945BA7">
      <w:pPr>
        <w:pStyle w:val="NoSpacing"/>
        <w:rPr>
          <w:bCs/>
        </w:rPr>
      </w:pPr>
    </w:p>
    <w:p w14:paraId="6846A33C" w14:textId="77777777" w:rsidR="00945BA7" w:rsidRDefault="00945BA7" w:rsidP="00945BA7">
      <w:pPr>
        <w:pStyle w:val="NoSpacing"/>
      </w:pPr>
      <w:r>
        <w:t>THE COURT WROTE:  “</w:t>
      </w:r>
      <w:r w:rsidRPr="00996DD0">
        <w:t>Craig Burkett, a fire captain, was on the Jefferson Parish Fire Civil</w:t>
      </w:r>
      <w:r>
        <w:t xml:space="preserve"> </w:t>
      </w:r>
      <w:r w:rsidRPr="00996DD0">
        <w:t>Service Board (</w:t>
      </w:r>
      <w:r>
        <w:t>‘</w:t>
      </w:r>
      <w:r w:rsidRPr="00996DD0">
        <w:t>CSB</w:t>
      </w:r>
      <w:r>
        <w:t>’</w:t>
      </w:r>
      <w:r w:rsidRPr="00996DD0">
        <w:t>) and served as the Vice President of the Jefferson</w:t>
      </w:r>
      <w:r>
        <w:t xml:space="preserve"> </w:t>
      </w:r>
      <w:r w:rsidRPr="00996DD0">
        <w:t>Parish Firefighters Association, Local 1374 (</w:t>
      </w:r>
      <w:r>
        <w:t>‘</w:t>
      </w:r>
      <w:r w:rsidRPr="00996DD0">
        <w:t>the Union</w:t>
      </w:r>
      <w:r>
        <w:t>’</w:t>
      </w:r>
      <w:r w:rsidRPr="00996DD0">
        <w:t>), a union representing Burkett’s fire department. Before Burkett’s election to the CSB, the</w:t>
      </w:r>
      <w:r>
        <w:t xml:space="preserve"> </w:t>
      </w:r>
      <w:r w:rsidRPr="00996DD0">
        <w:t>Union would pay to retain legal counsel for Union members appearing before</w:t>
      </w:r>
      <w:r>
        <w:t xml:space="preserve"> </w:t>
      </w:r>
      <w:r w:rsidRPr="00996DD0">
        <w:t>the CSB. The Union stopped paying for legal counsel in 2018 because the</w:t>
      </w:r>
      <w:r>
        <w:t xml:space="preserve"> </w:t>
      </w:r>
      <w:r w:rsidRPr="00996DD0">
        <w:t>Louisiana Board of Ethics issued an advisory opinion stating that such an</w:t>
      </w:r>
      <w:r>
        <w:t xml:space="preserve"> </w:t>
      </w:r>
      <w:r w:rsidRPr="00996DD0">
        <w:t>arrangement violated state law so long as Burkett served on the CSB</w:t>
      </w:r>
      <w:r>
        <w:t>…. T</w:t>
      </w:r>
      <w:r w:rsidRPr="006307DD">
        <w:t>he Union appealed to the Louisiana First Circuit Court of Appeal, asserting that the declaratory opinion misinterpreted</w:t>
      </w:r>
      <w:r>
        <w:t xml:space="preserve"> </w:t>
      </w:r>
      <w:r w:rsidRPr="006307DD">
        <w:t>the relevant provision of Louisiana law; the Union then sued in federal court,</w:t>
      </w:r>
      <w:r>
        <w:t xml:space="preserve"> </w:t>
      </w:r>
      <w:r w:rsidRPr="006307DD">
        <w:t>asserting that the declaratory opinion violated its First Amendment rights</w:t>
      </w:r>
      <w:r>
        <w:t xml:space="preserve">. </w:t>
      </w:r>
      <w:r w:rsidRPr="00996DD0">
        <w:t>The district court granted the Union a preliminary injunction on First</w:t>
      </w:r>
      <w:r>
        <w:t xml:space="preserve"> </w:t>
      </w:r>
      <w:r w:rsidRPr="00996DD0">
        <w:t>Amendment grounds</w:t>
      </w:r>
      <w:r>
        <w:t xml:space="preserve"> … </w:t>
      </w:r>
      <w:r w:rsidRPr="00996DD0">
        <w:t>The state appealed, claiming that the district court</w:t>
      </w:r>
      <w:r>
        <w:t xml:space="preserve"> </w:t>
      </w:r>
      <w:r w:rsidRPr="00996DD0">
        <w:t>erred in failing to abstain and that the court abused its discretion in granting</w:t>
      </w:r>
      <w:r>
        <w:t xml:space="preserve"> </w:t>
      </w:r>
      <w:r w:rsidRPr="00996DD0">
        <w:t>the preliminary injunction</w:t>
      </w:r>
      <w:r>
        <w:t xml:space="preserve">…. </w:t>
      </w:r>
      <w:r w:rsidRPr="008A1FCD">
        <w:t>On the eve of oral argument, this court was informed that Burkett had</w:t>
      </w:r>
      <w:r>
        <w:t xml:space="preserve"> </w:t>
      </w:r>
      <w:r w:rsidRPr="008A1FCD">
        <w:t>resigned from the CSB. That factual development moots the appeal and the</w:t>
      </w:r>
      <w:r>
        <w:t xml:space="preserve"> </w:t>
      </w:r>
      <w:r w:rsidRPr="008A1FCD">
        <w:t xml:space="preserve">entire case. </w:t>
      </w:r>
    </w:p>
    <w:p w14:paraId="78F12D34" w14:textId="77777777" w:rsidR="00945BA7" w:rsidRDefault="00945BA7" w:rsidP="00945BA7">
      <w:pPr>
        <w:pStyle w:val="NoSpacing"/>
      </w:pPr>
    </w:p>
    <w:p w14:paraId="5760201F" w14:textId="77777777" w:rsidR="00945BA7" w:rsidRDefault="00945BA7" w:rsidP="00945BA7">
      <w:pPr>
        <w:pStyle w:val="NoSpacing"/>
      </w:pPr>
      <w:r>
        <w:t>***</w:t>
      </w:r>
    </w:p>
    <w:p w14:paraId="1DBD2566" w14:textId="77777777" w:rsidR="00945BA7" w:rsidRDefault="00945BA7" w:rsidP="00945BA7">
      <w:pPr>
        <w:pStyle w:val="NoSpacing"/>
      </w:pPr>
    </w:p>
    <w:p w14:paraId="7C506F40" w14:textId="77777777" w:rsidR="00945BA7" w:rsidRDefault="00945BA7" w:rsidP="00945BA7">
      <w:pPr>
        <w:pStyle w:val="NoSpacing"/>
      </w:pPr>
      <w:r w:rsidRPr="008A1FCD">
        <w:t>We vacate the injunction and remand to the district court to dismiss for want of jurisdiction</w:t>
      </w:r>
      <w:r>
        <w:t>….At a minimum, there is no reasonable expectation that the Union will be subjected to the same action again. There is no evidence in the record that an officer of the Union ever held office on the CSB before Burkett, and there has been no indication that an officer of the Union intends to serve on the CSB again. On these facts, all that the Union has shown is a theoretical possibility that it will be subject to the same governmental action.”</w:t>
      </w:r>
    </w:p>
    <w:p w14:paraId="34C8E91B" w14:textId="77777777" w:rsidR="00945BA7" w:rsidRDefault="00945BA7" w:rsidP="00945BA7">
      <w:pPr>
        <w:pStyle w:val="NoSpacing"/>
        <w:rPr>
          <w:b/>
        </w:rPr>
      </w:pPr>
    </w:p>
    <w:p w14:paraId="1AA37838" w14:textId="77777777" w:rsidR="00945BA7" w:rsidRPr="00E16F2F" w:rsidRDefault="00945BA7" w:rsidP="00945BA7">
      <w:pPr>
        <w:pStyle w:val="NoSpacing"/>
        <w:rPr>
          <w:b/>
          <w:bCs/>
        </w:rPr>
      </w:pPr>
      <w:r>
        <w:rPr>
          <w:b/>
        </w:rPr>
        <w:t xml:space="preserve">Legal lesson learned: Union VPs election to Civil Service Board that hears disciplinary appeals raises ethics issues. </w:t>
      </w:r>
    </w:p>
    <w:p w14:paraId="0C47B3CB" w14:textId="77777777" w:rsidR="00945BA7" w:rsidRDefault="00945BA7" w:rsidP="00945BA7">
      <w:pPr>
        <w:pStyle w:val="NoSpacing"/>
      </w:pPr>
    </w:p>
    <w:p w14:paraId="35C9361C" w14:textId="77777777" w:rsidR="00945BA7" w:rsidRPr="008A1FCD" w:rsidRDefault="00945BA7" w:rsidP="00945BA7">
      <w:pPr>
        <w:pStyle w:val="NoSpacing"/>
      </w:pPr>
    </w:p>
    <w:p w14:paraId="032D8EF7" w14:textId="77777777" w:rsidR="00945BA7" w:rsidRDefault="00945BA7" w:rsidP="00945BA7">
      <w:pPr>
        <w:pStyle w:val="NoSpacing"/>
        <w:rPr>
          <w:b/>
        </w:rPr>
      </w:pPr>
    </w:p>
    <w:p w14:paraId="05D25574" w14:textId="77777777" w:rsidR="00945BA7" w:rsidRDefault="00945BA7" w:rsidP="00945BA7">
      <w:pPr>
        <w:pStyle w:val="NoSpacing"/>
        <w:rPr>
          <w:b/>
        </w:rPr>
      </w:pPr>
    </w:p>
    <w:p w14:paraId="30BFE374" w14:textId="5ACDF16E" w:rsidR="00945BA7" w:rsidRPr="00945BA7" w:rsidRDefault="00945BA7" w:rsidP="00945BA7">
      <w:pPr>
        <w:pStyle w:val="NoSpacing"/>
        <w:rPr>
          <w:rFonts w:ascii="Arial Black" w:hAnsi="Arial Black"/>
          <w:sz w:val="24"/>
          <w:szCs w:val="24"/>
        </w:rPr>
      </w:pPr>
      <w:r w:rsidRPr="00945BA7">
        <w:rPr>
          <w:rFonts w:ascii="Arial Black" w:hAnsi="Arial Black"/>
          <w:sz w:val="24"/>
          <w:szCs w:val="24"/>
        </w:rPr>
        <w:t>17-64</w:t>
      </w:r>
    </w:p>
    <w:p w14:paraId="798B908A" w14:textId="77777777" w:rsidR="00945BA7" w:rsidRDefault="00945BA7" w:rsidP="00945BA7">
      <w:pPr>
        <w:pStyle w:val="NoSpacing"/>
      </w:pPr>
    </w:p>
    <w:p w14:paraId="4C85B860" w14:textId="77777777" w:rsidR="00945BA7" w:rsidRPr="00E37B00" w:rsidRDefault="00945BA7" w:rsidP="00945BA7">
      <w:pPr>
        <w:pStyle w:val="NoSpacing"/>
        <w:rPr>
          <w:rFonts w:ascii="Arial Black" w:hAnsi="Arial Black"/>
          <w:sz w:val="28"/>
          <w:szCs w:val="28"/>
        </w:rPr>
      </w:pPr>
      <w:r w:rsidRPr="00E37B00">
        <w:rPr>
          <w:rFonts w:ascii="Arial Black" w:hAnsi="Arial Black"/>
          <w:sz w:val="28"/>
          <w:szCs w:val="28"/>
        </w:rPr>
        <w:t xml:space="preserve">CA: UNION FF – CRASH / 2 DAY SUSP – </w:t>
      </w:r>
      <w:r>
        <w:rPr>
          <w:rFonts w:ascii="Arial Black" w:hAnsi="Arial Black"/>
          <w:sz w:val="28"/>
          <w:szCs w:val="28"/>
        </w:rPr>
        <w:t>1</w:t>
      </w:r>
      <w:r w:rsidRPr="002C0EBB">
        <w:rPr>
          <w:rFonts w:ascii="Arial Black" w:hAnsi="Arial Black"/>
          <w:sz w:val="28"/>
          <w:szCs w:val="28"/>
          <w:vertAlign w:val="superscript"/>
        </w:rPr>
        <w:t>st</w:t>
      </w:r>
      <w:r>
        <w:rPr>
          <w:rFonts w:ascii="Arial Black" w:hAnsi="Arial Black"/>
          <w:sz w:val="28"/>
          <w:szCs w:val="28"/>
        </w:rPr>
        <w:t xml:space="preserve"> </w:t>
      </w:r>
      <w:r w:rsidRPr="00E37B00">
        <w:rPr>
          <w:rFonts w:ascii="Arial Black" w:hAnsi="Arial Black"/>
          <w:sz w:val="28"/>
          <w:szCs w:val="28"/>
        </w:rPr>
        <w:t xml:space="preserve">APPEAL BOARD </w:t>
      </w:r>
    </w:p>
    <w:p w14:paraId="40FF0F8B" w14:textId="77777777" w:rsidR="00945BA7" w:rsidRDefault="00945BA7" w:rsidP="00945BA7">
      <w:pPr>
        <w:pStyle w:val="NoSpacing"/>
        <w:rPr>
          <w:rFonts w:ascii="Arial Black" w:hAnsi="Arial Black"/>
          <w:sz w:val="28"/>
          <w:szCs w:val="28"/>
        </w:rPr>
      </w:pPr>
    </w:p>
    <w:p w14:paraId="14042B14" w14:textId="77777777" w:rsidR="00945BA7" w:rsidRPr="0056766E" w:rsidRDefault="00945BA7" w:rsidP="00945BA7">
      <w:pPr>
        <w:pStyle w:val="NoSpacing"/>
        <w:rPr>
          <w:bCs/>
        </w:rPr>
      </w:pPr>
      <w:r>
        <w:t xml:space="preserve">On July 8, 2026, in </w:t>
      </w:r>
      <w:r w:rsidRPr="002C6D8B">
        <w:rPr>
          <w:u w:val="single"/>
        </w:rPr>
        <w:t>Corey Schwartz v. City of Compton</w:t>
      </w:r>
      <w:r>
        <w:t xml:space="preserve">, the </w:t>
      </w:r>
      <w:r w:rsidRPr="002C6D8B">
        <w:t>California Court of Appeals, Second District, Fourth Division</w:t>
      </w:r>
      <w:r>
        <w:t xml:space="preserve"> held (3 to 0; unpublished decision) that trial court properly dismissed his “whistleblower” retaliation complaint until he first exhausts his administrative remedy by filing a charge with the state’s Public Employment Relations Board.  In 2022, he helped </w:t>
      </w:r>
      <w:r w:rsidRPr="00511D76">
        <w:t>IAFF Local 2216</w:t>
      </w:r>
      <w:r>
        <w:t xml:space="preserve"> write a report on needed Station Repairs, and then led union picketing, and in March 2023 contacted city officials about working conditions. </w:t>
      </w:r>
      <w:r w:rsidRPr="0056766E">
        <w:t>The following</w:t>
      </w:r>
      <w:r>
        <w:t xml:space="preserve"> </w:t>
      </w:r>
      <w:r w:rsidRPr="0056766E">
        <w:t>month, the City issued Schwartz a Notice of Intent to Suspend</w:t>
      </w:r>
      <w:r>
        <w:t xml:space="preserve"> </w:t>
      </w:r>
      <w:r w:rsidRPr="0056766E">
        <w:t xml:space="preserve">Schwartz for two shifts without pay in relation to </w:t>
      </w:r>
      <w:proofErr w:type="gramStart"/>
      <w:r w:rsidRPr="0056766E">
        <w:t>a traffic</w:t>
      </w:r>
      <w:proofErr w:type="gramEnd"/>
    </w:p>
    <w:p w14:paraId="7EF56119" w14:textId="77777777" w:rsidR="00945BA7" w:rsidRDefault="00945BA7" w:rsidP="00945BA7">
      <w:pPr>
        <w:pStyle w:val="NoSpacing"/>
        <w:rPr>
          <w:bCs/>
        </w:rPr>
      </w:pPr>
      <w:r w:rsidRPr="0056766E">
        <w:t>collision involving a Fire Department vehicle</w:t>
      </w:r>
      <w:r>
        <w:t xml:space="preserve">. </w:t>
      </w:r>
      <w:hyperlink r:id="rId2887" w:history="1">
        <w:r w:rsidRPr="00841548">
          <w:rPr>
            <w:rStyle w:val="Hyperlink"/>
          </w:rPr>
          <w:t>https://www4.courts.ca.gov/opinions/nonpub/B347429.PDF</w:t>
        </w:r>
      </w:hyperlink>
      <w:r>
        <w:t xml:space="preserve"> </w:t>
      </w:r>
    </w:p>
    <w:p w14:paraId="269AFD2F" w14:textId="77777777" w:rsidR="00945BA7" w:rsidRDefault="00945BA7" w:rsidP="00945BA7">
      <w:pPr>
        <w:pStyle w:val="NoSpacing"/>
        <w:rPr>
          <w:bCs/>
        </w:rPr>
      </w:pPr>
    </w:p>
    <w:p w14:paraId="22EFCCB7" w14:textId="77777777" w:rsidR="00945BA7" w:rsidRPr="002C6D8B" w:rsidRDefault="00945BA7" w:rsidP="00945BA7">
      <w:pPr>
        <w:pStyle w:val="NoSpacing"/>
        <w:rPr>
          <w:bCs/>
        </w:rPr>
      </w:pPr>
      <w:r>
        <w:t>THE COURT WROTE:</w:t>
      </w:r>
    </w:p>
    <w:p w14:paraId="648D5DBF" w14:textId="77777777" w:rsidR="00945BA7" w:rsidRPr="002C6D8B" w:rsidRDefault="00945BA7" w:rsidP="00945BA7">
      <w:pPr>
        <w:pStyle w:val="NoSpacing"/>
        <w:rPr>
          <w:bCs/>
        </w:rPr>
      </w:pPr>
    </w:p>
    <w:p w14:paraId="1E525D5A" w14:textId="77777777" w:rsidR="00945BA7" w:rsidRDefault="00945BA7" w:rsidP="00945BA7">
      <w:pPr>
        <w:pStyle w:val="NoSpacing"/>
      </w:pPr>
      <w:r>
        <w:t>“Schwartz next argues PERB does not have jurisdiction over his action because PERB ‘does not enforce other independent statutory schemes,’ such as Labor Code section 1102.5 [whistleblower statute]. This argument misses the point. The question is whether the factual allegations underlying Schwartz’s claims could arguably support a claim under the MMBA [unfair labor complaints - M</w:t>
      </w:r>
      <w:r w:rsidRPr="00654420">
        <w:t>eyers-Milias-Brown Act, Government Code section 3500 et seq</w:t>
      </w:r>
      <w:r>
        <w:t>,] not whether PERB specifically enforces claims under Labor Code 1102.5…. Schwartz lastly argues that filing a charge with PERB would be futile because PERB is “not equipped to deal with interpretations of ‘independent statutory schemes’ such as Labor Code section 1102.5 and, therefore, Schwartz will be left with ‘inadequate remedies.’ But PERB has jurisdiction to hear claims under the MMBA; thus, Schwartz has an effective remedy before PERB for retaliation for participation in protected union activities even if the same alleged conduct may support a claim for whistleblower retaliation under Labor Code section 1102.5. If PERB ultimately concludes the allegations do not, in fact, state a prima facie case of retaliation under the MMBA, the complainant may then file a complaint in the superior court. He must first, however, exhaust his administrative remedies.”</w:t>
      </w:r>
    </w:p>
    <w:p w14:paraId="58D40DED" w14:textId="77777777" w:rsidR="00945BA7" w:rsidRDefault="00945BA7" w:rsidP="00945BA7">
      <w:pPr>
        <w:pStyle w:val="NoSpacing"/>
      </w:pPr>
    </w:p>
    <w:p w14:paraId="5A271AD5" w14:textId="77777777" w:rsidR="00945BA7" w:rsidRDefault="00945BA7" w:rsidP="00945BA7">
      <w:pPr>
        <w:pStyle w:val="NoSpacing"/>
        <w:rPr>
          <w:b/>
          <w:bCs/>
        </w:rPr>
      </w:pPr>
      <w:r>
        <w:rPr>
          <w:b/>
        </w:rPr>
        <w:t xml:space="preserve">Legal lesson learned: The Union officer must exhaust his administrative remedies before going to court claiming retaliation as a whistleblower. </w:t>
      </w:r>
    </w:p>
    <w:p w14:paraId="683BF815" w14:textId="77777777" w:rsidR="002C229D" w:rsidRDefault="002C229D" w:rsidP="00171FE4">
      <w:pPr>
        <w:pStyle w:val="NoSpacing"/>
        <w:rPr>
          <w:rFonts w:ascii="Arial Black" w:hAnsi="Arial Black"/>
          <w:sz w:val="24"/>
          <w:szCs w:val="24"/>
        </w:rPr>
      </w:pPr>
    </w:p>
    <w:p w14:paraId="78997E5C" w14:textId="77777777" w:rsidR="002C229D" w:rsidRDefault="002C229D" w:rsidP="00171FE4">
      <w:pPr>
        <w:pStyle w:val="NoSpacing"/>
        <w:rPr>
          <w:rFonts w:ascii="Arial Black" w:hAnsi="Arial Black"/>
          <w:sz w:val="24"/>
          <w:szCs w:val="24"/>
        </w:rPr>
      </w:pPr>
    </w:p>
    <w:p w14:paraId="734DF2B6" w14:textId="77777777" w:rsidR="002C229D" w:rsidRDefault="002C229D" w:rsidP="00171FE4">
      <w:pPr>
        <w:pStyle w:val="NoSpacing"/>
        <w:rPr>
          <w:rFonts w:ascii="Arial Black" w:hAnsi="Arial Black"/>
          <w:sz w:val="24"/>
          <w:szCs w:val="24"/>
        </w:rPr>
      </w:pPr>
    </w:p>
    <w:p w14:paraId="205EB846" w14:textId="339196AB" w:rsidR="00171FE4" w:rsidRDefault="00171FE4" w:rsidP="00171FE4">
      <w:pPr>
        <w:pStyle w:val="NoSpacing"/>
        <w:rPr>
          <w:rFonts w:ascii="Arial Black" w:hAnsi="Arial Black"/>
          <w:sz w:val="24"/>
          <w:szCs w:val="24"/>
        </w:rPr>
      </w:pPr>
      <w:r>
        <w:rPr>
          <w:rFonts w:ascii="Arial Black" w:hAnsi="Arial Black"/>
          <w:sz w:val="24"/>
          <w:szCs w:val="24"/>
        </w:rPr>
        <w:t>17-63</w:t>
      </w:r>
    </w:p>
    <w:p w14:paraId="1AF76808" w14:textId="77777777" w:rsidR="00171FE4" w:rsidRDefault="00171FE4" w:rsidP="0022286E">
      <w:pPr>
        <w:pStyle w:val="NoSpacing"/>
        <w:rPr>
          <w:rFonts w:ascii="Arial Black" w:hAnsi="Arial Black"/>
          <w:b/>
          <w:sz w:val="28"/>
          <w:szCs w:val="28"/>
        </w:rPr>
      </w:pPr>
    </w:p>
    <w:p w14:paraId="133B99C6" w14:textId="0AE554EB" w:rsidR="0022286E" w:rsidRDefault="0022286E" w:rsidP="0022286E">
      <w:pPr>
        <w:pStyle w:val="NoSpacing"/>
        <w:rPr>
          <w:rFonts w:ascii="Arial Black" w:hAnsi="Arial Black"/>
          <w:b/>
          <w:sz w:val="28"/>
          <w:szCs w:val="28"/>
        </w:rPr>
      </w:pPr>
      <w:r>
        <w:rPr>
          <w:rFonts w:ascii="Arial Black" w:hAnsi="Arial Black"/>
          <w:b/>
          <w:sz w:val="28"/>
          <w:szCs w:val="28"/>
        </w:rPr>
        <w:t xml:space="preserve">CO: FIRE CHIEF – IMMUNITY – FIRED IAFF PRES. PER CBA </w:t>
      </w:r>
    </w:p>
    <w:p w14:paraId="7086F8D3" w14:textId="77777777" w:rsidR="0022286E" w:rsidRDefault="0022286E" w:rsidP="0022286E">
      <w:pPr>
        <w:pStyle w:val="NoSpacing"/>
        <w:rPr>
          <w:rFonts w:ascii="Arial Black" w:hAnsi="Arial Black"/>
          <w:b/>
          <w:sz w:val="28"/>
          <w:szCs w:val="28"/>
        </w:rPr>
      </w:pPr>
    </w:p>
    <w:p w14:paraId="0504A3D4" w14:textId="77777777" w:rsidR="0022286E" w:rsidRDefault="0022286E" w:rsidP="0022286E">
      <w:pPr>
        <w:pStyle w:val="NoSpacing"/>
        <w:rPr>
          <w:bCs/>
        </w:rPr>
      </w:pPr>
      <w:r>
        <w:t xml:space="preserve">On June 22, 2026, in </w:t>
      </w:r>
      <w:r w:rsidRPr="0072211A">
        <w:rPr>
          <w:u w:val="single"/>
        </w:rPr>
        <w:t>Benjamin Carter v. David Beebe</w:t>
      </w:r>
      <w:r>
        <w:t>, the United States Court of Appeals for the Tenth Circuit (Denver) held (3 to 0) that trial court should have dismissed this lawsuit against Fire Chief David Meebe; the Chief followed the collective bargaining agreement, investigated “confrontational” conduct of Union President who was upset that a new recruit (</w:t>
      </w:r>
      <w:r w:rsidRPr="007C2593">
        <w:t>Jehovah’s Witness</w:t>
      </w:r>
      <w:r>
        <w:t xml:space="preserve">) received a uniform without the American flag as a religious accommodation, and fired the firefighter without a hearing. The CBA did not require the FD to provide a </w:t>
      </w:r>
      <w:r w:rsidRPr="001E1D22">
        <w:rPr>
          <w:i/>
          <w:iCs/>
        </w:rPr>
        <w:t xml:space="preserve">Loudermill </w:t>
      </w:r>
      <w:r>
        <w:t>hearing [</w:t>
      </w:r>
      <w:r w:rsidRPr="0043758B">
        <w:rPr>
          <w:u w:val="single"/>
        </w:rPr>
        <w:t>Cleveland Board of Education v. James Loudremill,</w:t>
      </w:r>
      <w:r>
        <w:t xml:space="preserve"> March 19, 1985], and therefore the Fire Chief enjoys qualified immunity. The Court wrote: “And because he has not met his burden of establishing that Chief Beebe violated clearly established constitutional law, Chief Beebe is entitled to qualified immunity on Mr. Carter’s procedural due process claim.”</w:t>
      </w:r>
    </w:p>
    <w:p w14:paraId="1E0DA228" w14:textId="77777777" w:rsidR="0022286E" w:rsidRPr="00A363EA" w:rsidRDefault="0022286E" w:rsidP="0022286E">
      <w:pPr>
        <w:pStyle w:val="NoSpacing"/>
        <w:rPr>
          <w:bCs/>
        </w:rPr>
      </w:pPr>
      <w:hyperlink r:id="rId2888" w:history="1">
        <w:r w:rsidRPr="00014504">
          <w:rPr>
            <w:rStyle w:val="Hyperlink"/>
          </w:rPr>
          <w:t>https://cases.justia.com/federal/appellate-courts/ca10/25-1424/25-1424-2026-06-22.pdf?ts=1782145915</w:t>
        </w:r>
      </w:hyperlink>
      <w:r>
        <w:t xml:space="preserve">  </w:t>
      </w:r>
    </w:p>
    <w:p w14:paraId="0C129D78" w14:textId="77777777" w:rsidR="0022286E" w:rsidRDefault="0022286E" w:rsidP="0022286E">
      <w:pPr>
        <w:pStyle w:val="NoSpacing"/>
        <w:rPr>
          <w:b/>
        </w:rPr>
      </w:pPr>
    </w:p>
    <w:p w14:paraId="412FBC44" w14:textId="77777777" w:rsidR="0022286E" w:rsidRDefault="0022286E" w:rsidP="0022286E">
      <w:pPr>
        <w:pStyle w:val="NoSpacing"/>
        <w:rPr>
          <w:b/>
        </w:rPr>
      </w:pPr>
      <w:r w:rsidRPr="00246EB8">
        <w:rPr>
          <w:b/>
        </w:rPr>
        <w:t xml:space="preserve">FACTS: </w:t>
      </w:r>
    </w:p>
    <w:p w14:paraId="5F5654F8" w14:textId="77777777" w:rsidR="0022286E" w:rsidRDefault="0022286E" w:rsidP="0022286E">
      <w:pPr>
        <w:pStyle w:val="NoSpacing"/>
        <w:rPr>
          <w:b/>
        </w:rPr>
      </w:pPr>
    </w:p>
    <w:p w14:paraId="0E0686E3" w14:textId="77777777" w:rsidR="0022286E" w:rsidRDefault="0022286E" w:rsidP="0022286E">
      <w:pPr>
        <w:pStyle w:val="NoSpacing"/>
      </w:pPr>
      <w:r>
        <w:t>“Mr. Carter began working for MVFPD in 2009….Since then, he has been a member of Mountain View Professional Firefighters, Local 3214, International Association of Firefighters (the ‘Union’)…. He has served on the Union’s executive board since 2012 and was elected Union President on January 1, 2023…. ‘Mr. Carter was the Union’s lead negotiator’ and a signatory ‘on the CBA that governed’ his termination.</w:t>
      </w:r>
    </w:p>
    <w:p w14:paraId="2B716F4F" w14:textId="77777777" w:rsidR="0022286E" w:rsidRDefault="0022286E" w:rsidP="0022286E">
      <w:pPr>
        <w:pStyle w:val="NoSpacing"/>
      </w:pPr>
    </w:p>
    <w:p w14:paraId="39C7F00F" w14:textId="77777777" w:rsidR="0022286E" w:rsidRDefault="0022286E" w:rsidP="0022286E">
      <w:pPr>
        <w:pStyle w:val="NoSpacing"/>
      </w:pPr>
      <w:r>
        <w:t>***</w:t>
      </w:r>
    </w:p>
    <w:p w14:paraId="4651386E" w14:textId="77777777" w:rsidR="0022286E" w:rsidRDefault="0022286E" w:rsidP="0022286E">
      <w:pPr>
        <w:pStyle w:val="NoSpacing"/>
      </w:pPr>
      <w:r>
        <w:t>The CBA provides that Union members may be discharged only for ‘just cause.’ … It outlines the process MVFPD officials must follow to terminate an employee….It ‘does not include a right to a post-termination hearing’ and says that the Fire Chief is the final decisionmaker on all disciplinary matters.</w:t>
      </w:r>
    </w:p>
    <w:p w14:paraId="34EEAAA7" w14:textId="77777777" w:rsidR="0022286E" w:rsidRDefault="0022286E" w:rsidP="0022286E">
      <w:pPr>
        <w:pStyle w:val="NoSpacing"/>
      </w:pPr>
    </w:p>
    <w:p w14:paraId="4315A894" w14:textId="77777777" w:rsidR="0022286E" w:rsidRDefault="0022286E" w:rsidP="0022286E">
      <w:pPr>
        <w:pStyle w:val="NoSpacing"/>
      </w:pPr>
      <w:r>
        <w:t>In January 2023, Mr. Carter was upset to learn that a new MVFPD recruit asked not to have an American flag on his gear…. He expressed frustration to higher-ranking MVFPD employees and Human Resources…. One Human Resources employee described Mr. Carter’s comments as ‘unnecessarily confrontational, dismissive, and belittling.’ … After learning that the recruit’s request was for a religious accommodation, Mr. Carter shared that information with 14 other MVFPD employees and made ‘negative and potentially harassing’ comments.</w:t>
      </w:r>
    </w:p>
    <w:p w14:paraId="30F0FC6D" w14:textId="77777777" w:rsidR="0022286E" w:rsidRDefault="0022286E" w:rsidP="0022286E">
      <w:pPr>
        <w:pStyle w:val="NoSpacing"/>
      </w:pPr>
    </w:p>
    <w:p w14:paraId="2810A017" w14:textId="77777777" w:rsidR="0022286E" w:rsidRDefault="0022286E" w:rsidP="0022286E">
      <w:pPr>
        <w:pStyle w:val="NoSpacing"/>
      </w:pPr>
      <w:r>
        <w:t>In February 2023, Chief Beebe placed Mr. Carter on administrative leave and initiated an investigation into his conduct…. After following the CBA’s disciplinary procedures, Chief Beebe fired Mr. Carter…. He did not give Mr. Carter a post-termination hearing.”</w:t>
      </w:r>
    </w:p>
    <w:p w14:paraId="20DA5891" w14:textId="77777777" w:rsidR="0022286E" w:rsidRDefault="0022286E" w:rsidP="0022286E">
      <w:pPr>
        <w:pStyle w:val="NoSpacing"/>
      </w:pPr>
    </w:p>
    <w:p w14:paraId="73846DB7" w14:textId="77777777" w:rsidR="0022286E" w:rsidRDefault="0022286E" w:rsidP="0022286E">
      <w:pPr>
        <w:pStyle w:val="NoSpacing"/>
      </w:pPr>
      <w:r w:rsidRPr="008268FC">
        <w:rPr>
          <w:b/>
        </w:rPr>
        <w:t>COURT HELD</w:t>
      </w:r>
      <w:r>
        <w:t>:</w:t>
      </w:r>
    </w:p>
    <w:p w14:paraId="3A720AC7" w14:textId="77777777" w:rsidR="0022286E" w:rsidRDefault="0022286E" w:rsidP="0022286E">
      <w:pPr>
        <w:pStyle w:val="NoSpacing"/>
      </w:pPr>
    </w:p>
    <w:p w14:paraId="44145387" w14:textId="77777777" w:rsidR="0022286E" w:rsidRDefault="0022286E" w:rsidP="0022286E">
      <w:pPr>
        <w:pStyle w:val="NoSpacing"/>
      </w:pPr>
      <w:r>
        <w:t>“</w:t>
      </w:r>
      <w:r w:rsidRPr="00793C32">
        <w:t>Fire Chief David Beebe fired Benjamin Carter from his position as a firefighter</w:t>
      </w:r>
      <w:r>
        <w:t xml:space="preserve"> </w:t>
      </w:r>
      <w:r w:rsidRPr="00793C32">
        <w:t>with the Mountain View Fire Protection District (</w:t>
      </w:r>
      <w:r>
        <w:t>‘</w:t>
      </w:r>
      <w:r w:rsidRPr="00793C32">
        <w:t>MVFPD</w:t>
      </w:r>
      <w:r>
        <w:t>’</w:t>
      </w:r>
      <w:r w:rsidRPr="00793C32">
        <w:t>). In doing so, he followed</w:t>
      </w:r>
      <w:r>
        <w:t xml:space="preserve"> </w:t>
      </w:r>
      <w:r w:rsidRPr="00793C32">
        <w:t xml:space="preserve">the disciplinary process in the collective bargaining </w:t>
      </w:r>
      <w:proofErr w:type="gramStart"/>
      <w:r w:rsidRPr="00793C32">
        <w:t>agreement (</w:t>
      </w:r>
      <w:r>
        <w:t>‘</w:t>
      </w:r>
      <w:proofErr w:type="gramEnd"/>
      <w:r w:rsidRPr="00793C32">
        <w:t>CBA</w:t>
      </w:r>
      <w:r>
        <w:t>’</w:t>
      </w:r>
      <w:r w:rsidRPr="00793C32">
        <w:t>) between Mr. Carter’s union and the MVFPD. Mr. Carter sued Chief Beebe under 42 U.S.C.</w:t>
      </w:r>
      <w:r>
        <w:t xml:space="preserve"> </w:t>
      </w:r>
      <w:r w:rsidRPr="00793C32">
        <w:t>§ 1983 for violating his Fourteenth Amendment right to procedural due process. The</w:t>
      </w:r>
      <w:r>
        <w:t xml:space="preserve"> </w:t>
      </w:r>
      <w:r w:rsidRPr="00793C32">
        <w:t>district court denied Chief Beebe qualified immunity and granted Mr. Carter summary</w:t>
      </w:r>
      <w:r>
        <w:t xml:space="preserve"> </w:t>
      </w:r>
      <w:r w:rsidRPr="00793C32">
        <w:t>judgment. Exercising jurisdiction under 28 U.S.C. § 1291, we reverse</w:t>
      </w:r>
      <w:r>
        <w:t>.</w:t>
      </w:r>
    </w:p>
    <w:p w14:paraId="5AD536B6" w14:textId="77777777" w:rsidR="0022286E" w:rsidRDefault="0022286E" w:rsidP="0022286E">
      <w:pPr>
        <w:pStyle w:val="NoSpacing"/>
      </w:pPr>
    </w:p>
    <w:p w14:paraId="40A0C7B2" w14:textId="77777777" w:rsidR="0022286E" w:rsidRDefault="0022286E" w:rsidP="0022286E">
      <w:pPr>
        <w:pStyle w:val="NoSpacing"/>
      </w:pPr>
      <w:r>
        <w:t>***</w:t>
      </w:r>
    </w:p>
    <w:p w14:paraId="7319E0DC" w14:textId="77777777" w:rsidR="0022286E" w:rsidRDefault="0022286E" w:rsidP="0022286E">
      <w:pPr>
        <w:pStyle w:val="NoSpacing"/>
      </w:pPr>
      <w:r>
        <w:t xml:space="preserve">Mr. Carter has not cited a Supreme Court, Tenth Circuit, or other circuit case that has applied </w:t>
      </w:r>
      <w:r w:rsidRPr="008726EA">
        <w:rPr>
          <w:i/>
          <w:iCs/>
        </w:rPr>
        <w:t>Loudermill</w:t>
      </w:r>
      <w:r>
        <w:t xml:space="preserve"> to a CBA. He instead relies on general statements of procedural due process law rather than cases that establish ‘the violative nature of particular conduct’ at issue here. Mullenix, 577 U.S. at 12. A contract between the union and the public employer is not the same as a state statute. Mr. Carter therefore has not shown that ‘every reasonable official would have understood’ that the CBA, a contractually bargained-for disciplinary procedure, violated the Constitution. Redmond v. Crowther,</w:t>
      </w:r>
      <w:r w:rsidRPr="009F6B33">
        <w:t xml:space="preserve"> </w:t>
      </w:r>
      <w:r>
        <w:t>882 F.3d 927, 935 (10th Cir. 2018) (quotations omitted).5 And because he has not met his burden of establishing that Chief Beebe violated clearly established constitutional law, Chief Beebe is entitled to qualified immunity on Mr. Carter’s procedural due process claim.”</w:t>
      </w:r>
    </w:p>
    <w:p w14:paraId="42D45906" w14:textId="77777777" w:rsidR="0022286E" w:rsidRPr="009204D5" w:rsidRDefault="0022286E" w:rsidP="0022286E">
      <w:pPr>
        <w:pStyle w:val="NoSpacing"/>
        <w:rPr>
          <w:b/>
          <w:bCs/>
        </w:rPr>
      </w:pPr>
    </w:p>
    <w:p w14:paraId="676813D1" w14:textId="77777777" w:rsidR="0022286E" w:rsidRPr="00F53AA1" w:rsidRDefault="0022286E" w:rsidP="0022286E">
      <w:pPr>
        <w:pStyle w:val="NoSpacing"/>
        <w:rPr>
          <w:b/>
          <w:bCs/>
        </w:rPr>
      </w:pPr>
      <w:r w:rsidRPr="00F53AA1">
        <w:rPr>
          <w:b/>
        </w:rPr>
        <w:t xml:space="preserve">Legal lesson learned: CBA did not require </w:t>
      </w:r>
      <w:r w:rsidRPr="00F53AA1">
        <w:rPr>
          <w:b/>
          <w:i/>
          <w:iCs/>
        </w:rPr>
        <w:t xml:space="preserve">Loudermill </w:t>
      </w:r>
      <w:r w:rsidRPr="00F53AA1">
        <w:rPr>
          <w:b/>
        </w:rPr>
        <w:t xml:space="preserve">pre-termination or pos-termination hearing. However, providing a “due process” hearing can avoid unnecessary litigation. </w:t>
      </w:r>
    </w:p>
    <w:p w14:paraId="1ECD348F" w14:textId="77777777" w:rsidR="0022286E" w:rsidRPr="00F53AA1" w:rsidRDefault="0022286E" w:rsidP="0022286E">
      <w:pPr>
        <w:pStyle w:val="NoSpacing"/>
        <w:rPr>
          <w:b/>
          <w:bCs/>
          <w:i/>
          <w:iCs/>
        </w:rPr>
      </w:pPr>
    </w:p>
    <w:p w14:paraId="4166208D" w14:textId="77777777" w:rsidR="0022286E" w:rsidRPr="007C2593" w:rsidRDefault="0022286E" w:rsidP="0022286E">
      <w:pPr>
        <w:pStyle w:val="NoSpacing"/>
        <w:ind w:left="720"/>
      </w:pPr>
      <w:r>
        <w:t xml:space="preserve">Note: See this June 22, </w:t>
      </w:r>
      <w:proofErr w:type="gramStart"/>
      <w:r>
        <w:t>2026</w:t>
      </w:r>
      <w:proofErr w:type="gramEnd"/>
      <w:r>
        <w:t xml:space="preserve"> article: “1</w:t>
      </w:r>
      <w:r w:rsidRPr="00C77494">
        <w:t>0th Circuit grants Boulder-Weld district’s fire chief immunity for firing union leader</w:t>
      </w:r>
      <w:r>
        <w:t xml:space="preserve">.” </w:t>
      </w:r>
      <w:r w:rsidRPr="000854AC">
        <w:t>The events that triggered Carter’s termination began on Jan. 30, 2023. At the time, Carter was the newly elected president of the union. Although he was not on duty that day, he went to the station to handle gear for new employees. A supplier was making a delivery and mentioned he received a request to remove the American flag from a specific new hire’s protective equipment.</w:t>
      </w:r>
      <w:r>
        <w:t xml:space="preserve"> </w:t>
      </w:r>
      <w:r w:rsidRPr="007C2593">
        <w:t>While multiple people noted in statements that the gear did not have the American flag on it to begin with, Carter reportedly became upset and raised the issue with a captain. He learned that the new employee had requested a religious accommodation as a Jehovah’s Witness, and that Beebe approved it.</w:t>
      </w:r>
      <w:r>
        <w:t xml:space="preserve"> </w:t>
      </w:r>
      <w:r w:rsidRPr="007C2593">
        <w:t xml:space="preserve">Carter, who was under the impression he could speak with others about the issue, discussed </w:t>
      </w:r>
      <w:proofErr w:type="gramStart"/>
      <w:r w:rsidRPr="007C2593">
        <w:t>the religious</w:t>
      </w:r>
      <w:proofErr w:type="gramEnd"/>
      <w:r w:rsidRPr="007C2593">
        <w:t xml:space="preserve"> accommodation with around 14 other employees.</w:t>
      </w:r>
      <w:r>
        <w:t xml:space="preserve"> </w:t>
      </w:r>
      <w:r w:rsidRPr="00221F17">
        <w:t>Leadership met on Feb. 6 and decided to investigate Carter’s conduct. The district then placed Carter on administrative leave. The deputy chief spent the month of February investigating and concluded that Carter should be charged with insubordination, the dissemination of confidential information and other misconduct.</w:t>
      </w:r>
      <w:r>
        <w:t>”</w:t>
      </w:r>
      <w:r w:rsidRPr="00523D68">
        <w:t xml:space="preserve"> </w:t>
      </w:r>
      <w:hyperlink r:id="rId2889" w:anchor="google_vignette" w:history="1">
        <w:r w:rsidRPr="00494C21">
          <w:rPr>
            <w:rStyle w:val="Hyperlink"/>
          </w:rPr>
          <w:t>https://www.coloradopolitics.com/2026/06/22/10th-circuit-grants-boulder-weld-districts-fire-chief-immunity-for-firing-union-leader/#google_vignette</w:t>
        </w:r>
      </w:hyperlink>
      <w:r>
        <w:t xml:space="preserve"> </w:t>
      </w:r>
    </w:p>
    <w:p w14:paraId="05FB8975" w14:textId="77777777" w:rsidR="0022286E" w:rsidRPr="00C77494" w:rsidRDefault="0022286E" w:rsidP="0022286E">
      <w:pPr>
        <w:pStyle w:val="NoSpacing"/>
        <w:ind w:left="720"/>
        <w:rPr>
          <w:bCs/>
        </w:rPr>
      </w:pPr>
    </w:p>
    <w:p w14:paraId="1DD504E1" w14:textId="77777777" w:rsidR="0022286E" w:rsidRPr="0043758B" w:rsidRDefault="0022286E" w:rsidP="0022286E">
      <w:pPr>
        <w:pStyle w:val="NoSpacing"/>
        <w:rPr>
          <w:bCs/>
        </w:rPr>
      </w:pPr>
    </w:p>
    <w:p w14:paraId="1028E822" w14:textId="77777777" w:rsidR="0022286E" w:rsidRDefault="0022286E" w:rsidP="0022286E">
      <w:pPr>
        <w:pStyle w:val="NoSpacing"/>
        <w:rPr>
          <w:rFonts w:ascii="Arial Black" w:hAnsi="Arial Black"/>
          <w:b/>
          <w:sz w:val="28"/>
          <w:szCs w:val="28"/>
        </w:rPr>
      </w:pPr>
    </w:p>
    <w:p w14:paraId="3CEDDDE9" w14:textId="3A1320FD" w:rsidR="00171FE4" w:rsidRDefault="00171FE4" w:rsidP="00171FE4">
      <w:pPr>
        <w:pStyle w:val="NoSpacing"/>
        <w:rPr>
          <w:rFonts w:ascii="Arial Black" w:hAnsi="Arial Black"/>
          <w:sz w:val="24"/>
          <w:szCs w:val="24"/>
        </w:rPr>
      </w:pPr>
      <w:r>
        <w:rPr>
          <w:rFonts w:ascii="Arial Black" w:hAnsi="Arial Black"/>
          <w:sz w:val="24"/>
          <w:szCs w:val="24"/>
        </w:rPr>
        <w:t>17-62</w:t>
      </w:r>
    </w:p>
    <w:p w14:paraId="0F57FAD9" w14:textId="77777777" w:rsidR="00171FE4" w:rsidRDefault="00171FE4" w:rsidP="0022286E">
      <w:pPr>
        <w:rPr>
          <w:rFonts w:ascii="Arial Black" w:hAnsi="Arial Black"/>
          <w:b/>
          <w:sz w:val="28"/>
          <w:szCs w:val="28"/>
        </w:rPr>
      </w:pPr>
    </w:p>
    <w:p w14:paraId="127BA30D" w14:textId="698E336E" w:rsidR="0022286E" w:rsidRPr="00443BC5" w:rsidRDefault="0022286E" w:rsidP="0022286E">
      <w:pPr>
        <w:rPr>
          <w:rFonts w:ascii="Arial Black" w:hAnsi="Arial Black"/>
          <w:b/>
          <w:sz w:val="28"/>
          <w:szCs w:val="28"/>
        </w:rPr>
      </w:pPr>
      <w:r>
        <w:rPr>
          <w:rFonts w:ascii="Arial Black" w:hAnsi="Arial Black"/>
          <w:b/>
          <w:sz w:val="28"/>
          <w:szCs w:val="28"/>
        </w:rPr>
        <w:t>NC: UNION PRES. – RETAL – COUNCIL / PUBLIC CONCERN</w:t>
      </w:r>
    </w:p>
    <w:p w14:paraId="2C2AD7CE" w14:textId="77777777" w:rsidR="0022286E" w:rsidRDefault="0022286E" w:rsidP="0022286E">
      <w:pPr>
        <w:rPr>
          <w:b/>
        </w:rPr>
      </w:pPr>
      <w:r>
        <w:t xml:space="preserve">On June 18, 2026, in </w:t>
      </w:r>
      <w:r w:rsidRPr="000A7833">
        <w:rPr>
          <w:u w:val="single"/>
        </w:rPr>
        <w:t>Robert Tempeton v. City of High Point</w:t>
      </w:r>
      <w:r>
        <w:t xml:space="preserve">, U.S. District Court Judge Thomas D. Schroeder, United States District Court for Middle District of North Carolina, denied the </w:t>
      </w:r>
      <w:r w:rsidRPr="00196D0E">
        <w:t xml:space="preserve">motion for summary judgment </w:t>
      </w:r>
      <w:proofErr w:type="gramStart"/>
      <w:r w:rsidRPr="00196D0E">
        <w:t>on the basis of</w:t>
      </w:r>
      <w:proofErr w:type="gramEnd"/>
      <w:r w:rsidRPr="00196D0E">
        <w:t xml:space="preserve"> qualified immunity</w:t>
      </w:r>
      <w:r>
        <w:t xml:space="preserve"> of two members of City Council: </w:t>
      </w:r>
      <w:r w:rsidRPr="00764B00">
        <w:t>Brian Evans, and Thomas Reid</w:t>
      </w:r>
      <w:r>
        <w:t>. There is evidence of retaliation against the President of IAFF Local</w:t>
      </w:r>
      <w:r w:rsidRPr="003E7DA1">
        <w:t xml:space="preserve"> 673</w:t>
      </w:r>
      <w:r>
        <w:t xml:space="preserve"> for addressing City Council on matters of public concern.  The retaliation includes transferring </w:t>
      </w:r>
      <w:proofErr w:type="spellStart"/>
      <w:r>
        <w:t>Tempeton</w:t>
      </w:r>
      <w:proofErr w:type="spellEnd"/>
      <w:r>
        <w:t>, a 25-year member of the FD to a slower station, and numerous “counseling forms.” The Court wrote: “</w:t>
      </w:r>
      <w:r w:rsidRPr="00861D6D">
        <w:t>For the reasons expressed at the hearing, however, Templeton has offered sufficient evidence to establish a genuine dispute of material fact as to whether HPFD took adverse employment actions against him linked to his First Amendment expression.</w:t>
      </w:r>
      <w:r>
        <w:t xml:space="preserve">”  </w:t>
      </w:r>
      <w:hyperlink r:id="rId2890" w:history="1">
        <w:r w:rsidRPr="004E2277">
          <w:rPr>
            <w:rStyle w:val="Hyperlink"/>
            <w:b/>
          </w:rPr>
          <w:t>https://www.casemine.com/judgement/us/6a367934174bb89f9fdb2ff2</w:t>
        </w:r>
      </w:hyperlink>
      <w:r>
        <w:rPr>
          <w:b/>
        </w:rPr>
        <w:t xml:space="preserve"> </w:t>
      </w:r>
    </w:p>
    <w:p w14:paraId="02A5C884" w14:textId="77777777" w:rsidR="0022286E" w:rsidRDefault="0022286E" w:rsidP="0022286E">
      <w:pPr>
        <w:rPr>
          <w:bCs/>
        </w:rPr>
      </w:pPr>
      <w:r>
        <w:t xml:space="preserve"> </w:t>
      </w:r>
    </w:p>
    <w:p w14:paraId="2D0A18CA" w14:textId="77777777" w:rsidR="0022286E" w:rsidRDefault="0022286E" w:rsidP="0022286E">
      <w:pPr>
        <w:rPr>
          <w:b/>
        </w:rPr>
      </w:pPr>
      <w:r>
        <w:rPr>
          <w:b/>
        </w:rPr>
        <w:t>FACTS:</w:t>
      </w:r>
    </w:p>
    <w:p w14:paraId="7765D6FF" w14:textId="77777777" w:rsidR="0022286E" w:rsidRPr="007F7AB4" w:rsidRDefault="0022286E" w:rsidP="0022286E">
      <w:pPr>
        <w:pStyle w:val="NoSpacing"/>
      </w:pPr>
      <w:r w:rsidRPr="007F7AB4">
        <w:t> </w:t>
      </w:r>
      <w:r>
        <w:t>“</w:t>
      </w:r>
      <w:r w:rsidRPr="007F7AB4">
        <w:t>Plaintiff Robert Templeton began his employment with the High Point Fire Department (</w:t>
      </w:r>
      <w:r>
        <w:t>‘</w:t>
      </w:r>
      <w:r w:rsidRPr="007F7AB4">
        <w:t>HPFD</w:t>
      </w:r>
      <w:r>
        <w:t>’</w:t>
      </w:r>
      <w:r w:rsidRPr="007F7AB4">
        <w:t>) in June 2000</w:t>
      </w:r>
      <w:r>
        <w:t xml:space="preserve">…. </w:t>
      </w:r>
      <w:r w:rsidRPr="007F7AB4">
        <w:t>He currently holds the rank of Fire Captain II</w:t>
      </w:r>
      <w:r>
        <w:t xml:space="preserve">…. </w:t>
      </w:r>
      <w:r w:rsidRPr="007F7AB4">
        <w:t xml:space="preserve">Templeton </w:t>
      </w:r>
    </w:p>
    <w:p w14:paraId="18F5EEC6" w14:textId="77777777" w:rsidR="0022286E" w:rsidRDefault="0022286E" w:rsidP="0022286E">
      <w:pPr>
        <w:pStyle w:val="NoSpacing"/>
      </w:pPr>
      <w:r w:rsidRPr="007F7AB4">
        <w:t>became President of Local 673 of the International Association of Fire Fighters (</w:t>
      </w:r>
      <w:r>
        <w:t>‘</w:t>
      </w:r>
      <w:r w:rsidRPr="007F7AB4">
        <w:t>IAFF</w:t>
      </w:r>
      <w:r>
        <w:t>’</w:t>
      </w:r>
      <w:r w:rsidRPr="007F7AB4">
        <w:t>) in January 2023</w:t>
      </w:r>
      <w:r>
        <w:t xml:space="preserve">…. </w:t>
      </w:r>
      <w:r w:rsidRPr="007F7AB4">
        <w:t>The IAFF is a labor union which represents more than 360,000 firefighters, paramedics, and emergency responders in the United States and Canada</w:t>
      </w:r>
      <w:r>
        <w:t xml:space="preserve">…. </w:t>
      </w:r>
      <w:r w:rsidRPr="007F7AB4">
        <w:t>IAFF Local 673 had fewer than ten members at the beginning of Templeton's tenure as President, despite there being approximately 240 HPFD employees</w:t>
      </w:r>
      <w:r>
        <w:t>….</w:t>
      </w:r>
    </w:p>
    <w:p w14:paraId="2DD5D867" w14:textId="77777777" w:rsidR="0022286E" w:rsidRPr="007F7AB4" w:rsidRDefault="0022286E" w:rsidP="0022286E">
      <w:pPr>
        <w:pStyle w:val="NoSpacing"/>
      </w:pPr>
      <w:r w:rsidRPr="007F7AB4">
        <w:t xml:space="preserve"> </w:t>
      </w:r>
    </w:p>
    <w:p w14:paraId="7FDBC347" w14:textId="77777777" w:rsidR="0022286E" w:rsidRDefault="0022286E" w:rsidP="0022286E">
      <w:pPr>
        <w:pStyle w:val="NoSpacing"/>
      </w:pPr>
      <w:r w:rsidRPr="007F7AB4">
        <w:t xml:space="preserve">Shortly after starting as President, Templeton reached out to the High Point Mayor, High Point City Council, and the High Point City Manager to express his views on what he considered </w:t>
      </w:r>
      <w:r>
        <w:t>‘</w:t>
      </w:r>
      <w:r w:rsidRPr="007F7AB4">
        <w:t>matters of public concern,</w:t>
      </w:r>
      <w:r>
        <w:t>’</w:t>
      </w:r>
      <w:r w:rsidRPr="007F7AB4">
        <w:t xml:space="preserve"> </w:t>
      </w:r>
      <w:r>
        <w:t>‘</w:t>
      </w:r>
      <w:proofErr w:type="spellStart"/>
      <w:r w:rsidRPr="007F7AB4">
        <w:t>includ</w:t>
      </w:r>
      <w:proofErr w:type="spellEnd"/>
      <w:r w:rsidRPr="007F7AB4">
        <w:t>[</w:t>
      </w:r>
      <w:proofErr w:type="spellStart"/>
      <w:r w:rsidRPr="007F7AB4">
        <w:t>ing</w:t>
      </w:r>
      <w:proofErr w:type="spellEnd"/>
      <w:r w:rsidRPr="007F7AB4">
        <w:t>] staffing shortages and pay-related issues.</w:t>
      </w:r>
      <w:r>
        <w:t>’ ….</w:t>
      </w:r>
      <w:r w:rsidRPr="007F7AB4">
        <w:t>On February 6, 2023, he addressed the High Point City Council about such concerns</w:t>
      </w:r>
      <w:r>
        <w:t xml:space="preserve">…. </w:t>
      </w:r>
    </w:p>
    <w:p w14:paraId="2CDF6F28" w14:textId="77777777" w:rsidR="0022286E" w:rsidRDefault="0022286E" w:rsidP="0022286E">
      <w:pPr>
        <w:pStyle w:val="NoSpacing"/>
      </w:pPr>
    </w:p>
    <w:p w14:paraId="12B82ED2" w14:textId="77777777" w:rsidR="0022286E" w:rsidRDefault="0022286E" w:rsidP="0022286E">
      <w:pPr>
        <w:pStyle w:val="NoSpacing"/>
      </w:pPr>
      <w:r w:rsidRPr="007F7AB4">
        <w:t xml:space="preserve">In the fall of that </w:t>
      </w:r>
      <w:proofErr w:type="gramStart"/>
      <w:r w:rsidRPr="007F7AB4">
        <w:t>year</w:t>
      </w:r>
      <w:proofErr w:type="gramEnd"/>
      <w:r w:rsidRPr="007F7AB4">
        <w:t xml:space="preserve"> he met with Cyril Jefferson, then a candidate for Mayor of High Point; news of that meeting spread throughout HPFD, and HPFD leadership, according to Templeton, backed Jefferson's opponent</w:t>
      </w:r>
      <w:r>
        <w:t xml:space="preserve">…. </w:t>
      </w:r>
      <w:r w:rsidRPr="007F7AB4">
        <w:t>Several weeks after this meeting, on October 24, Templeton received the lowest performance review of his career</w:t>
      </w:r>
      <w:r>
        <w:t xml:space="preserve">…. </w:t>
      </w:r>
      <w:r w:rsidRPr="007F7AB4">
        <w:t>Local 673 nevertheless endorsed Jefferson for mayor on October 30. (</w:t>
      </w:r>
      <w:r w:rsidRPr="007F7AB4">
        <w:rPr>
          <w:i/>
          <w:iCs/>
        </w:rPr>
        <w:t>Id.</w:t>
      </w:r>
      <w:r w:rsidRPr="007F7AB4">
        <w:t>) Templeton posted on social media about Local 673's support for Jefferson, both before and after Jefferson won the mayorship in November</w:t>
      </w:r>
      <w:r>
        <w:t>….</w:t>
      </w:r>
    </w:p>
    <w:p w14:paraId="3EE8E73C" w14:textId="77777777" w:rsidR="0022286E" w:rsidRDefault="0022286E" w:rsidP="0022286E">
      <w:pPr>
        <w:pStyle w:val="NoSpacing"/>
      </w:pPr>
    </w:p>
    <w:p w14:paraId="07FBC470" w14:textId="77777777" w:rsidR="0022286E" w:rsidRDefault="0022286E" w:rsidP="0022286E">
      <w:pPr>
        <w:pStyle w:val="NoSpacing"/>
      </w:pPr>
      <w:r>
        <w:t>***</w:t>
      </w:r>
    </w:p>
    <w:p w14:paraId="60ABB5C8" w14:textId="77777777" w:rsidR="0022286E" w:rsidRDefault="0022286E" w:rsidP="0022286E">
      <w:pPr>
        <w:pStyle w:val="NoSpacing"/>
      </w:pPr>
    </w:p>
    <w:p w14:paraId="3669A33B" w14:textId="77777777" w:rsidR="0022286E" w:rsidRDefault="0022286E" w:rsidP="0022286E">
      <w:pPr>
        <w:pStyle w:val="NoSpacing"/>
      </w:pPr>
      <w:r w:rsidRPr="00127CE3">
        <w:t xml:space="preserve">On March 6, </w:t>
      </w:r>
      <w:proofErr w:type="gramStart"/>
      <w:r w:rsidRPr="00127CE3">
        <w:t>2023</w:t>
      </w:r>
      <w:proofErr w:type="gramEnd"/>
      <w:r>
        <w:t xml:space="preserve"> … </w:t>
      </w:r>
      <w:r w:rsidRPr="00127CE3">
        <w:t>Templeton received a counseling form for his decision to execute a “suicide run” - deliberately driving on the left (wrong) side of the road to arrive more quickly at the scene of an emergency</w:t>
      </w:r>
      <w:r>
        <w:t xml:space="preserve">…. </w:t>
      </w:r>
    </w:p>
    <w:p w14:paraId="0DA7E5A7" w14:textId="77777777" w:rsidR="0022286E" w:rsidRDefault="0022286E" w:rsidP="0022286E">
      <w:pPr>
        <w:pStyle w:val="NoSpacing"/>
      </w:pPr>
    </w:p>
    <w:p w14:paraId="7D21FBA0" w14:textId="77777777" w:rsidR="0022286E" w:rsidRDefault="0022286E" w:rsidP="0022286E">
      <w:pPr>
        <w:pStyle w:val="NoSpacing"/>
      </w:pPr>
      <w:r>
        <w:t>***</w:t>
      </w:r>
    </w:p>
    <w:p w14:paraId="1BBF1FAA" w14:textId="77777777" w:rsidR="0022286E" w:rsidRDefault="0022286E" w:rsidP="0022286E">
      <w:pPr>
        <w:pStyle w:val="NoSpacing"/>
      </w:pPr>
      <w:r w:rsidRPr="00F23095">
        <w:t>On September 7, 2023, Templeton received a counseling form for his objection to carrying out a training exercise during high temperatures</w:t>
      </w:r>
      <w:r>
        <w:t xml:space="preserve">…. </w:t>
      </w:r>
      <w:r w:rsidRPr="00A02BF8">
        <w:t>Templeton declares that he has never heard of an HPFD employee being disciplined for deciding to carry out a suicide run or objecting to training exercises during high temperatures.</w:t>
      </w:r>
    </w:p>
    <w:p w14:paraId="0E2E7E06" w14:textId="77777777" w:rsidR="0022286E" w:rsidRDefault="0022286E" w:rsidP="0022286E">
      <w:pPr>
        <w:pStyle w:val="NoSpacing"/>
      </w:pPr>
    </w:p>
    <w:p w14:paraId="28A567AD" w14:textId="77777777" w:rsidR="0022286E" w:rsidRDefault="0022286E" w:rsidP="0022286E">
      <w:pPr>
        <w:pStyle w:val="NoSpacing"/>
      </w:pPr>
      <w:r>
        <w:t>***</w:t>
      </w:r>
    </w:p>
    <w:p w14:paraId="6C8713DD" w14:textId="77777777" w:rsidR="0022286E" w:rsidRDefault="0022286E" w:rsidP="0022286E">
      <w:pPr>
        <w:pStyle w:val="NoSpacing"/>
      </w:pPr>
      <w:r w:rsidRPr="00045AFF">
        <w:t>Templeton was involuntarily transferred to Station 11 from Station 4 on November 27, 2023; he had not requested a transfer</w:t>
      </w:r>
      <w:r>
        <w:t xml:space="preserve">…. </w:t>
      </w:r>
      <w:r w:rsidRPr="00045AFF">
        <w:t xml:space="preserve">Station 11 is a </w:t>
      </w:r>
      <w:r>
        <w:t>‘</w:t>
      </w:r>
      <w:r w:rsidRPr="00045AFF">
        <w:t>punishment station</w:t>
      </w:r>
      <w:r>
        <w:t>’</w:t>
      </w:r>
      <w:r w:rsidRPr="00045AFF">
        <w:t xml:space="preserve"> because, Templeton declares, higher call volume is correlated with higher performance reviews, which in turn corresponds to higher compensation</w:t>
      </w:r>
      <w:r>
        <w:t>….</w:t>
      </w:r>
      <w:r w:rsidRPr="00045AFF">
        <w:t xml:space="preserve"> Station 11 is one of the slowest stations in High Point, while Station 4 is one of the busiest</w:t>
      </w:r>
      <w:r>
        <w:t xml:space="preserve">…. </w:t>
      </w:r>
    </w:p>
    <w:p w14:paraId="1511F215" w14:textId="77777777" w:rsidR="0022286E" w:rsidRDefault="0022286E" w:rsidP="0022286E">
      <w:pPr>
        <w:pStyle w:val="NoSpacing"/>
      </w:pPr>
    </w:p>
    <w:p w14:paraId="6C80DF93" w14:textId="77777777" w:rsidR="0022286E" w:rsidRDefault="0022286E" w:rsidP="0022286E">
      <w:pPr>
        <w:pStyle w:val="NoSpacing"/>
      </w:pPr>
      <w:r>
        <w:t>***</w:t>
      </w:r>
    </w:p>
    <w:p w14:paraId="270E0357" w14:textId="77777777" w:rsidR="0022286E" w:rsidRDefault="0022286E" w:rsidP="0022286E">
      <w:pPr>
        <w:pStyle w:val="NoSpacing"/>
      </w:pPr>
      <w:r w:rsidRPr="0067275E">
        <w:t>On March 29, 2024, Defendant Reid, the fire chief, retired, and Defendant Evans was named interim fire chief</w:t>
      </w:r>
      <w:r>
        <w:t xml:space="preserve">…. </w:t>
      </w:r>
      <w:r w:rsidRPr="0067275E">
        <w:t>In April, Evans met with Templeton about his union speaking and told him that fire department concerns needed to be raised through the chain of command</w:t>
      </w:r>
      <w:r>
        <w:t>….</w:t>
      </w:r>
      <w:r w:rsidRPr="0067275E">
        <w:t>Templeton filed a grievance thereafter</w:t>
      </w:r>
      <w:r>
        <w:t>….</w:t>
      </w:r>
    </w:p>
    <w:p w14:paraId="5FA2DAAC" w14:textId="77777777" w:rsidR="0022286E" w:rsidRDefault="0022286E" w:rsidP="0022286E">
      <w:pPr>
        <w:pStyle w:val="NoSpacing"/>
      </w:pPr>
    </w:p>
    <w:p w14:paraId="05ABEFED" w14:textId="77777777" w:rsidR="0022286E" w:rsidRDefault="0022286E" w:rsidP="0022286E">
      <w:pPr>
        <w:pStyle w:val="NoSpacing"/>
      </w:pPr>
      <w:r>
        <w:t>***</w:t>
      </w:r>
    </w:p>
    <w:p w14:paraId="301FF8BE" w14:textId="77777777" w:rsidR="0022286E" w:rsidRDefault="0022286E" w:rsidP="0022286E">
      <w:pPr>
        <w:pStyle w:val="NoSpacing"/>
      </w:pPr>
      <w:r w:rsidRPr="00C5729B">
        <w:t xml:space="preserve">On April 8, 2024, Templeton received a counseling form signed by Evans, advising him that his </w:t>
      </w:r>
      <w:r>
        <w:t>‘</w:t>
      </w:r>
      <w:r w:rsidRPr="00C5729B">
        <w:t>conversations with members of City Council in reference to Fire Department concerns . . . violate[] departmental policy (chain of command)</w:t>
      </w:r>
      <w:r>
        <w:t xml:space="preserve">…. </w:t>
      </w:r>
    </w:p>
    <w:p w14:paraId="559659DA" w14:textId="77777777" w:rsidR="0022286E" w:rsidRDefault="0022286E" w:rsidP="0022286E">
      <w:pPr>
        <w:pStyle w:val="NoSpacing"/>
      </w:pPr>
    </w:p>
    <w:p w14:paraId="0401EF51" w14:textId="77777777" w:rsidR="0022286E" w:rsidRDefault="0022286E" w:rsidP="0022286E">
      <w:pPr>
        <w:pStyle w:val="NoSpacing"/>
      </w:pPr>
      <w:r>
        <w:t>***</w:t>
      </w:r>
    </w:p>
    <w:p w14:paraId="5946B836" w14:textId="77777777" w:rsidR="0022286E" w:rsidRDefault="0022286E" w:rsidP="0022286E">
      <w:pPr>
        <w:pStyle w:val="NoSpacing"/>
      </w:pPr>
      <w:r w:rsidRPr="00024CDC">
        <w:t>On May 28, Templeton met with High Point officials to discuss his grievance; present at the meeting were High Point Human Resources Director Scherrie Lowery, Angela Kirkwood, and HPFD leadership, including Evans</w:t>
      </w:r>
      <w:r>
        <w:t xml:space="preserve">…. </w:t>
      </w:r>
      <w:r w:rsidRPr="00024CDC">
        <w:t>At this meeting, Kirkwood repeatedly told Templeton that he was not prohibited from speaking as a citizen on matters of public concern. (</w:t>
      </w:r>
      <w:r w:rsidRPr="00024CDC">
        <w:rPr>
          <w:i/>
          <w:iCs/>
        </w:rPr>
        <w:t>See generally</w:t>
      </w:r>
      <w:r w:rsidRPr="00024CDC">
        <w:t xml:space="preserve"> Audio Recording of Plaintiff's May 28, </w:t>
      </w:r>
      <w:proofErr w:type="gramStart"/>
      <w:r w:rsidRPr="00024CDC">
        <w:t>2024</w:t>
      </w:r>
      <w:proofErr w:type="gramEnd"/>
      <w:r w:rsidRPr="00024CDC">
        <w:t xml:space="preserve"> Meeting (Exhibit C to Doc. 26).) But Kirkwood and others repeatedly expressed their view that </w:t>
      </w:r>
      <w:r>
        <w:t>‘</w:t>
      </w:r>
      <w:r w:rsidRPr="00024CDC">
        <w:t>fire department concerns</w:t>
      </w:r>
      <w:r>
        <w:t>’</w:t>
      </w:r>
      <w:r w:rsidRPr="00024CDC">
        <w:t xml:space="preserve"> should be brought up through HPFD's chain of command, rather than directly to members of High Point's governance</w:t>
      </w:r>
      <w:r>
        <w:t xml:space="preserve">…. </w:t>
      </w:r>
      <w:r w:rsidRPr="00024CDC">
        <w:t xml:space="preserve">A member of HPFD leadership, possibly Evans, also expressed a narrow view of what constituted a matter of public concern. He stated as an example that the closure of six fire stations would be a matter of public concern, but that the issues Templeton had been raising were specific to HPFD - and these were </w:t>
      </w:r>
      <w:r>
        <w:t>‘</w:t>
      </w:r>
      <w:r w:rsidRPr="00024CDC">
        <w:t>two different things.</w:t>
      </w:r>
      <w:r>
        <w:t xml:space="preserve">’ </w:t>
      </w:r>
    </w:p>
    <w:p w14:paraId="0915DBE4" w14:textId="77777777" w:rsidR="0022286E" w:rsidRDefault="0022286E" w:rsidP="0022286E">
      <w:pPr>
        <w:pStyle w:val="NoSpacing"/>
      </w:pPr>
    </w:p>
    <w:p w14:paraId="26A17F5D" w14:textId="77777777" w:rsidR="0022286E" w:rsidRDefault="0022286E" w:rsidP="0022286E">
      <w:pPr>
        <w:pStyle w:val="NoSpacing"/>
      </w:pPr>
      <w:r>
        <w:t>***</w:t>
      </w:r>
    </w:p>
    <w:p w14:paraId="1C9FDBD8" w14:textId="77777777" w:rsidR="0022286E" w:rsidRDefault="0022286E" w:rsidP="0022286E">
      <w:pPr>
        <w:pStyle w:val="NoSpacing"/>
      </w:pPr>
      <w:r w:rsidRPr="003D29B6">
        <w:t>Templeton filed this lawsuit on August 9, 2024.</w:t>
      </w:r>
      <w:r>
        <w:t>”</w:t>
      </w:r>
    </w:p>
    <w:p w14:paraId="3BC1A4C4" w14:textId="77777777" w:rsidR="0022286E" w:rsidRDefault="0022286E" w:rsidP="0022286E">
      <w:pPr>
        <w:pStyle w:val="NoSpacing"/>
      </w:pPr>
    </w:p>
    <w:p w14:paraId="0EDACEFE" w14:textId="77777777" w:rsidR="0022286E" w:rsidRDefault="0022286E" w:rsidP="0022286E">
      <w:pPr>
        <w:pStyle w:val="NoSpacing"/>
      </w:pPr>
      <w:r>
        <w:t>***</w:t>
      </w:r>
    </w:p>
    <w:p w14:paraId="7B43AD4D" w14:textId="77777777" w:rsidR="0022286E" w:rsidRDefault="0022286E" w:rsidP="0022286E">
      <w:pPr>
        <w:pStyle w:val="NoSpacing"/>
      </w:pPr>
      <w:r w:rsidRPr="00E57DDD">
        <w:t xml:space="preserve"> On September 6, 2024, Templeton was involved in a </w:t>
      </w:r>
      <w:r>
        <w:t>‘</w:t>
      </w:r>
      <w:r w:rsidRPr="00E57DDD">
        <w:t>verbal altercation</w:t>
      </w:r>
      <w:r>
        <w:t>’</w:t>
      </w:r>
      <w:r w:rsidRPr="00E57DDD">
        <w:t xml:space="preserve"> with a community member while he responded to an emergency call; HPFD ordered him </w:t>
      </w:r>
      <w:r>
        <w:t>‘</w:t>
      </w:r>
      <w:r w:rsidRPr="00E57DDD">
        <w:t xml:space="preserve">to undergo mandatory EAP </w:t>
      </w:r>
      <w:proofErr w:type="gramStart"/>
      <w:r w:rsidRPr="00E57DDD">
        <w:t>sessions</w:t>
      </w:r>
      <w:r>
        <w:t>’</w:t>
      </w:r>
      <w:proofErr w:type="gramEnd"/>
      <w:r w:rsidRPr="00E57DDD">
        <w:t xml:space="preserve"> after the incident. </w:t>
      </w:r>
    </w:p>
    <w:p w14:paraId="6E5C6AAA" w14:textId="77777777" w:rsidR="0022286E" w:rsidRDefault="0022286E" w:rsidP="0022286E">
      <w:pPr>
        <w:pStyle w:val="NoSpacing"/>
      </w:pPr>
    </w:p>
    <w:p w14:paraId="6A74FA29" w14:textId="77777777" w:rsidR="0022286E" w:rsidRDefault="0022286E" w:rsidP="0022286E">
      <w:pPr>
        <w:pStyle w:val="NoSpacing"/>
      </w:pPr>
      <w:r>
        <w:t>***</w:t>
      </w:r>
    </w:p>
    <w:p w14:paraId="24ADE138" w14:textId="77777777" w:rsidR="0022286E" w:rsidRDefault="0022286E" w:rsidP="0022286E">
      <w:pPr>
        <w:pStyle w:val="NoSpacing"/>
      </w:pPr>
      <w:r w:rsidRPr="00E57DDD">
        <w:t>Finally, on December 30, 2024, Templeton was disciplined for failing to timely respond to an emergency call notification.</w:t>
      </w:r>
      <w:r>
        <w:t>”</w:t>
      </w:r>
    </w:p>
    <w:p w14:paraId="3DA5F184" w14:textId="77777777" w:rsidR="0022286E" w:rsidRDefault="0022286E" w:rsidP="0022286E">
      <w:pPr>
        <w:pStyle w:val="NoSpacing"/>
      </w:pPr>
    </w:p>
    <w:p w14:paraId="222F3C6E" w14:textId="77777777" w:rsidR="0022286E" w:rsidRDefault="0022286E" w:rsidP="0022286E">
      <w:pPr>
        <w:pStyle w:val="NoSpacing"/>
        <w:rPr>
          <w:b/>
          <w:bCs/>
        </w:rPr>
      </w:pPr>
      <w:r w:rsidRPr="00E627FC">
        <w:rPr>
          <w:b/>
        </w:rPr>
        <w:t xml:space="preserve">COURT HELD: </w:t>
      </w:r>
    </w:p>
    <w:p w14:paraId="092E1BE2" w14:textId="77777777" w:rsidR="0022286E" w:rsidRDefault="0022286E" w:rsidP="0022286E">
      <w:pPr>
        <w:pStyle w:val="NoSpacing"/>
        <w:rPr>
          <w:b/>
          <w:bCs/>
        </w:rPr>
      </w:pPr>
    </w:p>
    <w:p w14:paraId="48F0715C" w14:textId="77777777" w:rsidR="0022286E" w:rsidRDefault="0022286E" w:rsidP="0022286E">
      <w:pPr>
        <w:pStyle w:val="NoSpacing"/>
      </w:pPr>
      <w:r>
        <w:t>“</w:t>
      </w:r>
      <w:r w:rsidRPr="005C5C80">
        <w:t xml:space="preserve">Templeton has offered evidence that he spoke to mayoral candidates, city council members, fire department employees, and the public at large about </w:t>
      </w:r>
      <w:r>
        <w:t>‘</w:t>
      </w:r>
      <w:r w:rsidRPr="005C5C80">
        <w:t>pay compression issues, recruitment and retention issues, safety-related issues, [and] staffing shortages.</w:t>
      </w:r>
      <w:r>
        <w:t xml:space="preserve">’ … </w:t>
      </w:r>
      <w:r w:rsidRPr="005C5C80">
        <w:t xml:space="preserve">These issues concern the ability of the HPFD to carry out its vital work protecting life and property; indeed, Templeton's concerns go to the safety of the community. Speech on these matters has been clearly established as a matter of public concern within the Fourth Circuit at least as far back as 2002. </w:t>
      </w:r>
      <w:r w:rsidRPr="005C5C80">
        <w:rPr>
          <w:i/>
          <w:iCs/>
        </w:rPr>
        <w:t>See, e.g.</w:t>
      </w:r>
      <w:r w:rsidRPr="005C5C80">
        <w:t xml:space="preserve">, </w:t>
      </w:r>
      <w:r w:rsidRPr="005C5C80">
        <w:rPr>
          <w:i/>
          <w:iCs/>
        </w:rPr>
        <w:t>Lilienthal</w:t>
      </w:r>
      <w:r w:rsidRPr="005C5C80">
        <w:t xml:space="preserve">, 275 F.Supp.2d at 691, 694 (first concluding that </w:t>
      </w:r>
      <w:r>
        <w:t>‘</w:t>
      </w:r>
      <w:r w:rsidRPr="005C5C80">
        <w:t>fire department issues such as safety, equipment, staffing, and response time are subjects in which ‘the public or the community is likely to be truly concerned' and ‘interested,</w:t>
      </w:r>
      <w:r>
        <w:t>’</w:t>
      </w:r>
      <w:r w:rsidRPr="005C5C80">
        <w:t xml:space="preserve"> and then concluding that </w:t>
      </w:r>
      <w:r>
        <w:t>‘</w:t>
      </w:r>
      <w:r w:rsidRPr="005C5C80">
        <w:t>in September 2002, it was clearly established that a fire chief's disagreement with a firefighter's views on fire department safety issues and the firefighter's manner of expressing those views is insufficient to justify conditioning continued employment upon the cessation of the protected expression based on a perceived threat of disruption</w:t>
      </w:r>
      <w:r>
        <w:t>’</w:t>
      </w:r>
      <w:r w:rsidRPr="005C5C80">
        <w:t xml:space="preserve">). </w:t>
      </w:r>
    </w:p>
    <w:p w14:paraId="4B39C278" w14:textId="77777777" w:rsidR="0022286E" w:rsidRDefault="0022286E" w:rsidP="0022286E">
      <w:pPr>
        <w:pStyle w:val="NoSpacing"/>
      </w:pPr>
    </w:p>
    <w:p w14:paraId="01E64C97" w14:textId="77777777" w:rsidR="0022286E" w:rsidRDefault="0022286E" w:rsidP="0022286E">
      <w:pPr>
        <w:pStyle w:val="NoSpacing"/>
      </w:pPr>
      <w:r>
        <w:t>***</w:t>
      </w:r>
    </w:p>
    <w:p w14:paraId="7B14EBE8" w14:textId="77777777" w:rsidR="0022286E" w:rsidRDefault="0022286E" w:rsidP="0022286E">
      <w:pPr>
        <w:pStyle w:val="NoSpacing"/>
      </w:pPr>
      <w:r w:rsidRPr="001661DB">
        <w:t>Because Templeton has shown that his right to speak about the ability of HPFD to carry out its mission was clearly established as a matter of public concern, any retaliation by reducing the speaker's income would constitute a clearly established violation of that right.</w:t>
      </w:r>
      <w:r>
        <w:t>”</w:t>
      </w:r>
    </w:p>
    <w:p w14:paraId="6CAB262E" w14:textId="77777777" w:rsidR="0022286E" w:rsidRDefault="0022286E" w:rsidP="0022286E">
      <w:pPr>
        <w:pStyle w:val="NoSpacing"/>
      </w:pPr>
    </w:p>
    <w:p w14:paraId="7CE4B010" w14:textId="77777777" w:rsidR="0022286E" w:rsidRPr="00DF4879" w:rsidRDefault="0022286E" w:rsidP="0022286E">
      <w:pPr>
        <w:pStyle w:val="NoSpacing"/>
        <w:rPr>
          <w:b/>
          <w:bCs/>
        </w:rPr>
      </w:pPr>
      <w:r>
        <w:rPr>
          <w:b/>
        </w:rPr>
        <w:t>Legal lesson learned: Union President has 1</w:t>
      </w:r>
      <w:r w:rsidRPr="00DF4879">
        <w:rPr>
          <w:b/>
          <w:vertAlign w:val="superscript"/>
        </w:rPr>
        <w:t>st</w:t>
      </w:r>
      <w:r>
        <w:rPr>
          <w:b/>
        </w:rPr>
        <w:t xml:space="preserve"> Amendment right to address City Council on matters of public concern; case will now proceed. </w:t>
      </w:r>
    </w:p>
    <w:p w14:paraId="045311E2" w14:textId="77777777" w:rsidR="001333DA" w:rsidRDefault="001333DA" w:rsidP="00744D51">
      <w:pPr>
        <w:pStyle w:val="NoSpacing"/>
        <w:rPr>
          <w:rFonts w:ascii="Arial Black" w:hAnsi="Arial Black"/>
          <w:sz w:val="24"/>
          <w:szCs w:val="24"/>
        </w:rPr>
      </w:pPr>
    </w:p>
    <w:p w14:paraId="4E197143" w14:textId="77777777" w:rsidR="001333DA" w:rsidRDefault="001333DA" w:rsidP="00744D51">
      <w:pPr>
        <w:pStyle w:val="NoSpacing"/>
        <w:rPr>
          <w:rFonts w:ascii="Arial Black" w:hAnsi="Arial Black"/>
          <w:sz w:val="24"/>
          <w:szCs w:val="24"/>
        </w:rPr>
      </w:pPr>
    </w:p>
    <w:p w14:paraId="42F68B20" w14:textId="77777777" w:rsidR="001333DA" w:rsidRDefault="001333DA" w:rsidP="00744D51">
      <w:pPr>
        <w:pStyle w:val="NoSpacing"/>
        <w:rPr>
          <w:rFonts w:ascii="Arial Black" w:hAnsi="Arial Black"/>
          <w:sz w:val="24"/>
          <w:szCs w:val="24"/>
        </w:rPr>
      </w:pPr>
    </w:p>
    <w:p w14:paraId="56C0C780" w14:textId="411AFA06" w:rsidR="009A2956" w:rsidRDefault="00AB7553" w:rsidP="00744D51">
      <w:pPr>
        <w:pStyle w:val="NoSpacing"/>
        <w:rPr>
          <w:rFonts w:ascii="Arial Black" w:hAnsi="Arial Black"/>
          <w:sz w:val="24"/>
          <w:szCs w:val="24"/>
        </w:rPr>
      </w:pPr>
      <w:r>
        <w:rPr>
          <w:rFonts w:ascii="Arial Black" w:hAnsi="Arial Black"/>
          <w:sz w:val="24"/>
          <w:szCs w:val="24"/>
        </w:rPr>
        <w:t>17-61</w:t>
      </w:r>
    </w:p>
    <w:p w14:paraId="661A31FA" w14:textId="77777777" w:rsidR="00AB7553" w:rsidRDefault="00AB7553" w:rsidP="00744D51">
      <w:pPr>
        <w:pStyle w:val="NoSpacing"/>
        <w:rPr>
          <w:rFonts w:ascii="Arial Black" w:hAnsi="Arial Black"/>
          <w:sz w:val="24"/>
          <w:szCs w:val="24"/>
        </w:rPr>
      </w:pPr>
    </w:p>
    <w:p w14:paraId="29F0D0FD" w14:textId="77777777" w:rsidR="00AB7553" w:rsidRDefault="00AB7553" w:rsidP="00AB7553">
      <w:pPr>
        <w:rPr>
          <w:rFonts w:ascii="Arial Black" w:hAnsi="Arial Black"/>
          <w:sz w:val="28"/>
          <w:szCs w:val="28"/>
        </w:rPr>
      </w:pPr>
      <w:r>
        <w:rPr>
          <w:rFonts w:ascii="Arial Black" w:hAnsi="Arial Black"/>
          <w:sz w:val="28"/>
          <w:szCs w:val="28"/>
        </w:rPr>
        <w:t>LA: IAFF SEC. – CHIEF’S NEW CAR – FIRED / CASE PROCEED</w:t>
      </w:r>
    </w:p>
    <w:p w14:paraId="168E4E48" w14:textId="77777777" w:rsidR="00AB7553" w:rsidRDefault="00AB7553" w:rsidP="00AB7553">
      <w:r>
        <w:t xml:space="preserve">On May 22. 2026, in </w:t>
      </w:r>
      <w:r w:rsidRPr="007E0CBE">
        <w:rPr>
          <w:u w:val="single"/>
        </w:rPr>
        <w:t>Jonathan Gramm v. Desoto Parish Fire District 9, et al</w:t>
      </w:r>
      <w:r>
        <w:t>. , U.S. District Court Judge S. Maurice Hicks, Jr., United States District Court for Western District of Louisiana, Shreveport Division, denied the FD’s motion for summary judgment.  THE COURT WROTE: “</w:t>
      </w:r>
      <w:r w:rsidRPr="002D6022">
        <w:t>Accordingly, viewing the evidence in the light most favorable to Gramm, the Court finds that genuine disputes of material fact remain as to whether Gramm spoke as a citizen on a matter of public concern. The record contains evidence from which a reasonable factfinder could conclude that Gramm contacted Commissioners as a citizen and union representative to address a public budget matter, not pursuant to his ordinary duties as a Fire Captain.</w:t>
      </w:r>
      <w:r>
        <w:t xml:space="preserve">”  </w:t>
      </w:r>
      <w:hyperlink r:id="rId2891" w:history="1">
        <w:r w:rsidRPr="00126634">
          <w:rPr>
            <w:rStyle w:val="Hyperlink"/>
          </w:rPr>
          <w:t>https://public.fastcase.com/Jhe1Qn%2BmJndQYQU6z%2FeNm%2FDGnkNPmF%2FGN9ENyHmXzZguwABevXHo%2FJOs4DZQ3ccvXn%2B8i7GPeSKXZ%2FJuUaa2eSmBPBV%2FroWj%2BWUiix8FppM%3D?utm_medium=email&amp;_hsenc=p2ANqtz-9ln45T61k1McKPYzdFhYaqHVpy9H3-ipNGhojNaHNF5Osr6BUzI4NGniJzh20R42JdVxn_jn5CFBBvjphJmsP_Zy8_gA&amp;_hsmi=226712652&amp;utm_content=226712652&amp;utm_source=hs_email</w:t>
        </w:r>
      </w:hyperlink>
      <w:r>
        <w:t xml:space="preserve">      </w:t>
      </w:r>
    </w:p>
    <w:p w14:paraId="6C5DE7DC" w14:textId="77777777" w:rsidR="00AB7553" w:rsidRDefault="00AB7553" w:rsidP="00AB7553">
      <w:r>
        <w:t>THE COUR HELD:</w:t>
      </w:r>
    </w:p>
    <w:p w14:paraId="6994DC9A" w14:textId="77777777" w:rsidR="00AB7553" w:rsidRDefault="00AB7553" w:rsidP="00AB7553">
      <w:pPr>
        <w:ind w:left="720"/>
      </w:pPr>
      <w:r>
        <w:t>“</w:t>
      </w:r>
      <w:r w:rsidRPr="00AC65CE">
        <w:t xml:space="preserve">Gramm was employed by DFD9 as a Fire Captain </w:t>
      </w:r>
      <w:proofErr w:type="gramStart"/>
      <w:r w:rsidRPr="00AC65CE">
        <w:t>and also</w:t>
      </w:r>
      <w:proofErr w:type="gramEnd"/>
      <w:r w:rsidRPr="00AC65CE">
        <w:t xml:space="preserve"> served as secretary</w:t>
      </w:r>
      <w:r>
        <w:t xml:space="preserve"> / </w:t>
      </w:r>
      <w:r w:rsidRPr="00AC65CE">
        <w:t xml:space="preserve">treasurer for Local 5138 (the </w:t>
      </w:r>
      <w:r>
        <w:t>‘</w:t>
      </w:r>
      <w:r w:rsidRPr="00AC65CE">
        <w:t>union</w:t>
      </w:r>
      <w:r>
        <w:t>’</w:t>
      </w:r>
      <w:r w:rsidRPr="00AC65CE">
        <w:t>)</w:t>
      </w:r>
      <w:r>
        <w:t xml:space="preserve">…. </w:t>
      </w:r>
      <w:r w:rsidRPr="00AC65CE">
        <w:t>In September 2023, an agenda for an upcoming Board of Commissioners meeting was posted at the fire station and included an item concerning the proposed purchase of a vehicle for Chief King. Thereafter, firefighters discussed the proposed purchase during working hours at the station and expressed concerns regarding the allocation of district funds. Gramm contends that the firefighters believed available funds would be better spent on firefighting equipment and improvements to station conditions</w:t>
      </w:r>
      <w:r>
        <w:t xml:space="preserve">…. </w:t>
      </w:r>
      <w:r w:rsidRPr="00AC65CE">
        <w:t xml:space="preserve"> Because the firefighters were unable to attend the Board of Commissioner's meeting, they allegedly elected Gramm to contact the Commissioners directly because he was the union secretary</w:t>
      </w:r>
      <w:r>
        <w:t xml:space="preserve"> </w:t>
      </w:r>
      <w:r w:rsidRPr="00AC65CE">
        <w:t xml:space="preserve">treasurer. </w:t>
      </w:r>
    </w:p>
    <w:p w14:paraId="0EDFFF8D" w14:textId="77777777" w:rsidR="00AB7553" w:rsidRDefault="00AB7553" w:rsidP="00AB7553">
      <w:pPr>
        <w:ind w:left="720"/>
      </w:pPr>
      <w:r>
        <w:t>***</w:t>
      </w:r>
    </w:p>
    <w:p w14:paraId="425B8483" w14:textId="77777777" w:rsidR="00AB7553" w:rsidRDefault="00AB7553" w:rsidP="00AB7553">
      <w:pPr>
        <w:ind w:left="720"/>
      </w:pPr>
      <w:r w:rsidRPr="00555B08">
        <w:t>On September 18, 2023, while off duty, Gramm telephoned Commissioners Ross Tilbury and Bobby Ettredge regarding the concerns</w:t>
      </w:r>
      <w:r>
        <w:t xml:space="preserve">…. </w:t>
      </w:r>
      <w:r w:rsidRPr="00555B08">
        <w:t xml:space="preserve"> It is undisputed that Gramm contacted the Commissioners without first discussing the matter with Chief King. It is likewise undisputed that Memorandum 18001 prohibited DFD9 personnel from contacting Board members regarding official district business without first conferring with their immediate supervisor</w:t>
      </w:r>
      <w:r>
        <w:t xml:space="preserve">…. </w:t>
      </w:r>
      <w:r w:rsidRPr="00555B08">
        <w:t xml:space="preserve"> Gramm acknowledges that he reviewed Memorandum 18001 when it was issued and understood that if he failed to comply with its directives, it would be considered insubordination. </w:t>
      </w:r>
    </w:p>
    <w:p w14:paraId="4BF76996" w14:textId="77777777" w:rsidR="00AB7553" w:rsidRDefault="00AB7553" w:rsidP="00AB7553">
      <w:pPr>
        <w:ind w:left="720"/>
      </w:pPr>
      <w:r>
        <w:t>***</w:t>
      </w:r>
    </w:p>
    <w:p w14:paraId="6D9A6AB8" w14:textId="77777777" w:rsidR="00AB7553" w:rsidRDefault="00AB7553" w:rsidP="00AB7553">
      <w:pPr>
        <w:ind w:left="720"/>
      </w:pPr>
      <w:r w:rsidRPr="008F7E43">
        <w:t>However, the speech at issue involved public funds and public safety. Gramm's interest in speaking to government officials about whether taxpayer funds should be spent on a new chief's vehicle or on firefighting equipment is substantial. Moreover, the present record contains little to no evidence that Gramm's speech caused any actual disruption except for his termination and this lawsuit</w:t>
      </w:r>
      <w:r>
        <w:t xml:space="preserve">…. </w:t>
      </w:r>
      <w:r w:rsidRPr="008F7E43">
        <w:t xml:space="preserve">Additionally, Defendants' own position </w:t>
      </w:r>
      <w:proofErr w:type="gramStart"/>
      <w:r w:rsidRPr="008F7E43">
        <w:t>that</w:t>
      </w:r>
      <w:proofErr w:type="gramEnd"/>
      <w:r w:rsidRPr="008F7E43">
        <w:t xml:space="preserve"> Gramm could have raised the same concerns at a Board </w:t>
      </w:r>
      <w:proofErr w:type="gramStart"/>
      <w:r w:rsidRPr="008F7E43">
        <w:t>meeting</w:t>
      </w:r>
      <w:proofErr w:type="gramEnd"/>
      <w:r w:rsidRPr="008F7E43">
        <w:t xml:space="preserve"> weakens the argument that the substance of the speech itself was inherently disruptive. Defendants primarily contend that the manner of communication-calling Commissioners before the meeting rather than appearing publicly at the meeting or first speaking with Chief King-created the discipline problem. That may be a legitimate consideration, but it does not conclusively outweigh Gramm's First Amendment interests at this stage.</w:t>
      </w:r>
      <w:r>
        <w:t>”</w:t>
      </w:r>
    </w:p>
    <w:p w14:paraId="57FCFCC5" w14:textId="77777777" w:rsidR="00AB7553" w:rsidRPr="00655A6F" w:rsidRDefault="00AB7553" w:rsidP="00AB7553">
      <w:pPr>
        <w:rPr>
          <w:b/>
          <w:bCs/>
        </w:rPr>
      </w:pPr>
      <w:r>
        <w:rPr>
          <w:b/>
        </w:rPr>
        <w:t xml:space="preserve">Legal lesson learned: </w:t>
      </w:r>
      <w:r w:rsidRPr="00655A6F">
        <w:rPr>
          <w:b/>
        </w:rPr>
        <w:t>Union Secretary protected</w:t>
      </w:r>
      <w:r>
        <w:rPr>
          <w:b/>
        </w:rPr>
        <w:t xml:space="preserve"> from retaliation under First </w:t>
      </w:r>
      <w:r w:rsidRPr="00655A6F">
        <w:rPr>
          <w:b/>
        </w:rPr>
        <w:t>Amendment if court finds he communicated to Commissioners as a citizen on a matter of public concern.</w:t>
      </w:r>
    </w:p>
    <w:p w14:paraId="08D336FA" w14:textId="77777777" w:rsidR="00AB7553" w:rsidRDefault="00AB7553" w:rsidP="00744D51">
      <w:pPr>
        <w:pStyle w:val="NoSpacing"/>
        <w:rPr>
          <w:rFonts w:ascii="Arial Black" w:hAnsi="Arial Black"/>
          <w:sz w:val="24"/>
          <w:szCs w:val="24"/>
        </w:rPr>
      </w:pPr>
    </w:p>
    <w:p w14:paraId="22870782" w14:textId="77777777" w:rsidR="009A2956" w:rsidRDefault="009A2956" w:rsidP="00744D51">
      <w:pPr>
        <w:pStyle w:val="NoSpacing"/>
        <w:rPr>
          <w:rFonts w:ascii="Arial Black" w:hAnsi="Arial Black"/>
          <w:sz w:val="24"/>
          <w:szCs w:val="24"/>
        </w:rPr>
      </w:pPr>
    </w:p>
    <w:p w14:paraId="462EAE46" w14:textId="77777777" w:rsidR="009A2956" w:rsidRDefault="009A2956" w:rsidP="00744D51">
      <w:pPr>
        <w:pStyle w:val="NoSpacing"/>
        <w:rPr>
          <w:rFonts w:ascii="Arial Black" w:hAnsi="Arial Black"/>
          <w:sz w:val="24"/>
          <w:szCs w:val="24"/>
        </w:rPr>
      </w:pPr>
    </w:p>
    <w:p w14:paraId="606063A9" w14:textId="3137D68D" w:rsidR="00744D51" w:rsidRDefault="00744D51" w:rsidP="00744D51">
      <w:pPr>
        <w:pStyle w:val="NoSpacing"/>
        <w:rPr>
          <w:rFonts w:ascii="Arial Black" w:hAnsi="Arial Black"/>
          <w:sz w:val="24"/>
          <w:szCs w:val="24"/>
        </w:rPr>
      </w:pPr>
      <w:r>
        <w:rPr>
          <w:rFonts w:ascii="Arial Black" w:hAnsi="Arial Black"/>
          <w:sz w:val="24"/>
          <w:szCs w:val="24"/>
        </w:rPr>
        <w:t>17-60</w:t>
      </w:r>
    </w:p>
    <w:p w14:paraId="521A3F22" w14:textId="77777777" w:rsidR="002718E8" w:rsidRDefault="002718E8" w:rsidP="002718E8">
      <w:pPr>
        <w:pStyle w:val="NoSpacing"/>
        <w:rPr>
          <w:rFonts w:ascii="Arial Black" w:hAnsi="Arial Black"/>
          <w:b/>
          <w:sz w:val="28"/>
          <w:szCs w:val="28"/>
        </w:rPr>
      </w:pPr>
    </w:p>
    <w:p w14:paraId="3775D24C" w14:textId="6DC8F98B" w:rsidR="002718E8" w:rsidRPr="00C51375" w:rsidRDefault="002718E8" w:rsidP="002718E8">
      <w:pPr>
        <w:pStyle w:val="NoSpacing"/>
        <w:rPr>
          <w:rFonts w:ascii="Arial Black" w:hAnsi="Arial Black"/>
          <w:b/>
          <w:sz w:val="28"/>
          <w:szCs w:val="28"/>
        </w:rPr>
      </w:pPr>
      <w:r>
        <w:rPr>
          <w:rFonts w:ascii="Arial Black" w:hAnsi="Arial Black"/>
          <w:b/>
          <w:sz w:val="28"/>
          <w:szCs w:val="28"/>
        </w:rPr>
        <w:t>NC: PD UNION – PIO “NASTINESS” – NOT DEFAMATION</w:t>
      </w:r>
    </w:p>
    <w:p w14:paraId="3E1182CE" w14:textId="77777777" w:rsidR="002718E8" w:rsidRDefault="002718E8" w:rsidP="002718E8">
      <w:pPr>
        <w:pStyle w:val="NoSpacing"/>
        <w:rPr>
          <w:b/>
        </w:rPr>
      </w:pPr>
    </w:p>
    <w:p w14:paraId="40D3E078" w14:textId="77777777" w:rsidR="002718E8" w:rsidRDefault="002718E8" w:rsidP="002718E8">
      <w:pPr>
        <w:pStyle w:val="NoSpacing"/>
      </w:pPr>
      <w:r>
        <w:t xml:space="preserve">On March 4, 2026, in </w:t>
      </w:r>
      <w:r w:rsidRPr="00020CF6">
        <w:rPr>
          <w:u w:val="single"/>
        </w:rPr>
        <w:t xml:space="preserve">Sanda </w:t>
      </w:r>
      <w:proofErr w:type="spellStart"/>
      <w:r w:rsidRPr="00020CF6">
        <w:rPr>
          <w:u w:val="single"/>
        </w:rPr>
        <w:t>D’Elosua</w:t>
      </w:r>
      <w:proofErr w:type="spellEnd"/>
      <w:r w:rsidRPr="00020CF6">
        <w:rPr>
          <w:u w:val="single"/>
        </w:rPr>
        <w:t xml:space="preserve"> Vastola v. Charlotte Mecklenburg Lodge 9, Fraternal Order of Police, Inc. and Daniel Redfocd, President</w:t>
      </w:r>
      <w:r w:rsidRPr="005A7818">
        <w:t>, the Court of Appeals of North Carolina</w:t>
      </w:r>
      <w:r>
        <w:t xml:space="preserve"> held (3 to 0) that trial court properly dismissed slander / libel lawsuit by the PD Director of Public Affairs; the Union’s “purely subjective opinion” about PIO is not defamation.  Four police officers were killed on April 29, 2024, and she </w:t>
      </w:r>
      <w:r w:rsidRPr="0073205F">
        <w:t xml:space="preserve">declined to </w:t>
      </w:r>
      <w:r>
        <w:t xml:space="preserve">refute or otherwise </w:t>
      </w:r>
      <w:r w:rsidRPr="0073205F">
        <w:t>respond to many of the</w:t>
      </w:r>
      <w:r>
        <w:t xml:space="preserve"> </w:t>
      </w:r>
      <w:r w:rsidRPr="0073205F">
        <w:t>questions</w:t>
      </w:r>
      <w:r>
        <w:t xml:space="preserve"> by local press that allegedly </w:t>
      </w:r>
      <w:r w:rsidRPr="0072685F">
        <w:t>certain officers of the department “who logged off and did</w:t>
      </w:r>
      <w:r>
        <w:t xml:space="preserve"> </w:t>
      </w:r>
      <w:r w:rsidRPr="0072685F">
        <w:t>not show up during the incident.”</w:t>
      </w:r>
      <w:r>
        <w:t xml:space="preserve">  The Union in </w:t>
      </w:r>
      <w:proofErr w:type="gramStart"/>
      <w:r>
        <w:t>a number of</w:t>
      </w:r>
      <w:proofErr w:type="gramEnd"/>
      <w:r>
        <w:t xml:space="preserve"> FACEBOOK posts and press interviews referenced her “nattiness” and questioner </w:t>
      </w:r>
      <w:r w:rsidRPr="008A2F1A">
        <w:t>her</w:t>
      </w:r>
      <w:r>
        <w:t xml:space="preserve"> </w:t>
      </w:r>
      <w:r w:rsidRPr="008A2F1A">
        <w:t>professionalism</w:t>
      </w:r>
      <w:r>
        <w:t xml:space="preserve"> in responding to a serious press inquiry.  </w:t>
      </w:r>
    </w:p>
    <w:p w14:paraId="1B5727F3" w14:textId="77777777" w:rsidR="002718E8" w:rsidRDefault="002718E8" w:rsidP="002718E8">
      <w:pPr>
        <w:pStyle w:val="NoSpacing"/>
        <w:rPr>
          <w:bCs/>
        </w:rPr>
      </w:pPr>
      <w:hyperlink r:id="rId2892" w:history="1">
        <w:r w:rsidRPr="000855F8">
          <w:rPr>
            <w:rStyle w:val="Hyperlink"/>
          </w:rPr>
          <w:t>https://cases.justia.com/north-carolina/court-of-appeals/2026-25-761.pdf?ts=1772641555</w:t>
        </w:r>
      </w:hyperlink>
    </w:p>
    <w:p w14:paraId="79A44C46" w14:textId="77777777" w:rsidR="002718E8" w:rsidRDefault="002718E8" w:rsidP="002718E8">
      <w:pPr>
        <w:pStyle w:val="NoSpacing"/>
        <w:rPr>
          <w:bCs/>
        </w:rPr>
      </w:pPr>
    </w:p>
    <w:p w14:paraId="2F0EFFB5" w14:textId="77777777" w:rsidR="002718E8" w:rsidRDefault="002718E8" w:rsidP="002718E8">
      <w:pPr>
        <w:pStyle w:val="NoSpacing"/>
      </w:pPr>
      <w:r>
        <w:t xml:space="preserve">THE COURT WROTE: </w:t>
      </w:r>
    </w:p>
    <w:p w14:paraId="6D749A58" w14:textId="77777777" w:rsidR="002718E8" w:rsidRDefault="002718E8" w:rsidP="002718E8">
      <w:pPr>
        <w:pStyle w:val="NoSpacing"/>
      </w:pPr>
    </w:p>
    <w:p w14:paraId="2D5208C6" w14:textId="77777777" w:rsidR="002718E8" w:rsidRDefault="002718E8" w:rsidP="002718E8">
      <w:pPr>
        <w:pStyle w:val="NoSpacing"/>
        <w:ind w:left="720"/>
        <w:rPr>
          <w:bCs/>
        </w:rPr>
      </w:pPr>
      <w:r>
        <w:t>“</w:t>
      </w:r>
      <w:r w:rsidRPr="00604DB5">
        <w:t>A statement expressing a purely subjective opinion about a person—regardless</w:t>
      </w:r>
      <w:r>
        <w:t xml:space="preserve"> </w:t>
      </w:r>
      <w:r w:rsidRPr="00604DB5">
        <w:t xml:space="preserve">of whether that person is </w:t>
      </w:r>
      <w:proofErr w:type="gramStart"/>
      <w:r w:rsidRPr="00604DB5">
        <w:t>a public figure,</w:t>
      </w:r>
      <w:proofErr w:type="gramEnd"/>
      <w:r w:rsidRPr="00604DB5">
        <w:t xml:space="preserve"> whether the statement was made publicly,</w:t>
      </w:r>
      <w:r>
        <w:t xml:space="preserve"> </w:t>
      </w:r>
      <w:r w:rsidRPr="00604DB5">
        <w:t>or whether the statement caused harm—is not defamatory. As the statements here</w:t>
      </w:r>
      <w:r>
        <w:t xml:space="preserve"> </w:t>
      </w:r>
      <w:r w:rsidRPr="00604DB5">
        <w:t>expressed purely subjective opinions, the trial court correctly dismissed Plaintiff’s</w:t>
      </w:r>
      <w:r>
        <w:t xml:space="preserve"> </w:t>
      </w:r>
      <w:r w:rsidRPr="00604DB5">
        <w:t>slander and libel claims.</w:t>
      </w:r>
    </w:p>
    <w:p w14:paraId="3F274F80" w14:textId="77777777" w:rsidR="002718E8" w:rsidRDefault="002718E8" w:rsidP="002718E8">
      <w:pPr>
        <w:pStyle w:val="NoSpacing"/>
        <w:ind w:left="720"/>
        <w:rPr>
          <w:bCs/>
        </w:rPr>
      </w:pPr>
    </w:p>
    <w:p w14:paraId="6221A47C" w14:textId="77777777" w:rsidR="002718E8" w:rsidRDefault="002718E8" w:rsidP="002718E8">
      <w:pPr>
        <w:pStyle w:val="NoSpacing"/>
        <w:ind w:left="720"/>
      </w:pPr>
      <w:r>
        <w:t>***</w:t>
      </w:r>
    </w:p>
    <w:p w14:paraId="3FB011B9" w14:textId="77777777" w:rsidR="002718E8" w:rsidRDefault="002718E8" w:rsidP="002718E8">
      <w:pPr>
        <w:pStyle w:val="NoSpacing"/>
        <w:ind w:left="720"/>
      </w:pPr>
      <w:r>
        <w:t>Plaintiff declined to respond to many of the questions based on the belief that they constituted private personnel records under N.C.G.S. § 160A-</w:t>
      </w:r>
      <w:proofErr w:type="gramStart"/>
      <w:r>
        <w:t>168, and</w:t>
      </w:r>
      <w:proofErr w:type="gramEnd"/>
      <w:r>
        <w:t xml:space="preserve"> described the story as ‘a slam job that would damage the very men and women who are still recovering from this heinous incident.’ When the story was run, it characterized the Charlotte-Mecklenburg Police Department as lacking in transparency.</w:t>
      </w:r>
    </w:p>
    <w:p w14:paraId="60A4B687" w14:textId="77777777" w:rsidR="002718E8" w:rsidRDefault="002718E8" w:rsidP="002718E8">
      <w:pPr>
        <w:pStyle w:val="NoSpacing"/>
        <w:ind w:left="720"/>
      </w:pPr>
    </w:p>
    <w:p w14:paraId="29FB4E75" w14:textId="77777777" w:rsidR="002718E8" w:rsidRDefault="002718E8" w:rsidP="002718E8">
      <w:pPr>
        <w:pStyle w:val="NoSpacing"/>
        <w:ind w:left="720"/>
      </w:pPr>
      <w:r>
        <w:t>***</w:t>
      </w:r>
    </w:p>
    <w:p w14:paraId="28FDAA2F" w14:textId="77777777" w:rsidR="002718E8" w:rsidRDefault="002718E8" w:rsidP="002718E8">
      <w:pPr>
        <w:pStyle w:val="NoSpacing"/>
        <w:ind w:left="720"/>
      </w:pPr>
      <w:r>
        <w:t>Here, none of the statements that Plaintiff identifies in her complaint can be</w:t>
      </w:r>
    </w:p>
    <w:p w14:paraId="26769216" w14:textId="77777777" w:rsidR="002718E8" w:rsidRDefault="002718E8" w:rsidP="002718E8">
      <w:pPr>
        <w:pStyle w:val="NoSpacing"/>
        <w:ind w:left="720"/>
      </w:pPr>
      <w:r>
        <w:t>seriously understood as containing factual content. While perhaps deeply</w:t>
      </w:r>
    </w:p>
    <w:p w14:paraId="2DCF14A2" w14:textId="77777777" w:rsidR="002718E8" w:rsidRDefault="002718E8" w:rsidP="002718E8">
      <w:pPr>
        <w:pStyle w:val="NoSpacing"/>
        <w:ind w:left="720"/>
      </w:pPr>
      <w:r>
        <w:t>unflattering, accusing Plaintiff of ‘nastiness,’ opining that her actions constitute</w:t>
      </w:r>
    </w:p>
    <w:p w14:paraId="7C575EFE" w14:textId="77777777" w:rsidR="002718E8" w:rsidRDefault="002718E8" w:rsidP="002718E8">
      <w:pPr>
        <w:pStyle w:val="NoSpacing"/>
        <w:ind w:left="720"/>
      </w:pPr>
      <w:r>
        <w:t>‘</w:t>
      </w:r>
      <w:proofErr w:type="gramStart"/>
      <w:r>
        <w:t>failures</w:t>
      </w:r>
      <w:proofErr w:type="gramEnd"/>
      <w:r>
        <w:t xml:space="preserve"> as a person with power[,]’ characterizing her statements as ‘dismissive’ or</w:t>
      </w:r>
    </w:p>
    <w:p w14:paraId="3EE435CD" w14:textId="77777777" w:rsidR="002718E8" w:rsidRDefault="002718E8" w:rsidP="002718E8">
      <w:pPr>
        <w:pStyle w:val="NoSpacing"/>
        <w:ind w:left="720"/>
      </w:pPr>
      <w:r>
        <w:t xml:space="preserve">‘snap[ping] back with insults[,]’ or expressing that she made ‘poor </w:t>
      </w:r>
      <w:proofErr w:type="gramStart"/>
      <w:r>
        <w:t>decisions’</w:t>
      </w:r>
      <w:proofErr w:type="gramEnd"/>
      <w:r>
        <w:t xml:space="preserve"> or a</w:t>
      </w:r>
    </w:p>
    <w:p w14:paraId="53F0D94E" w14:textId="77777777" w:rsidR="002718E8" w:rsidRDefault="002718E8" w:rsidP="002718E8">
      <w:pPr>
        <w:pStyle w:val="NoSpacing"/>
        <w:ind w:left="720"/>
      </w:pPr>
      <w:r>
        <w:t>‘[g]</w:t>
      </w:r>
      <w:proofErr w:type="spellStart"/>
      <w:r>
        <w:t>arbage</w:t>
      </w:r>
      <w:proofErr w:type="spellEnd"/>
      <w:r>
        <w:t xml:space="preserve"> response’ are all decidedly subjective opinions offered to characterize her</w:t>
      </w:r>
    </w:p>
    <w:p w14:paraId="59CD6B63" w14:textId="77777777" w:rsidR="002718E8" w:rsidRDefault="002718E8" w:rsidP="002718E8">
      <w:pPr>
        <w:pStyle w:val="NoSpacing"/>
        <w:ind w:left="720"/>
      </w:pPr>
      <w:r>
        <w:t>behavior, not factual claims regarding the contents of her behavior.</w:t>
      </w:r>
    </w:p>
    <w:p w14:paraId="389D9DF1" w14:textId="77777777" w:rsidR="002718E8" w:rsidRDefault="002718E8" w:rsidP="002718E8">
      <w:pPr>
        <w:pStyle w:val="NoSpacing"/>
        <w:ind w:left="720"/>
      </w:pPr>
    </w:p>
    <w:p w14:paraId="11C0EC63" w14:textId="77777777" w:rsidR="002718E8" w:rsidRDefault="002718E8" w:rsidP="002718E8">
      <w:pPr>
        <w:pStyle w:val="NoSpacing"/>
        <w:ind w:left="720"/>
      </w:pPr>
      <w:r>
        <w:t>***</w:t>
      </w:r>
    </w:p>
    <w:p w14:paraId="31395088" w14:textId="77777777" w:rsidR="002718E8" w:rsidRDefault="002718E8" w:rsidP="002718E8">
      <w:pPr>
        <w:pStyle w:val="NoSpacing"/>
        <w:ind w:left="720"/>
      </w:pPr>
      <w:r>
        <w:t>The United States Supreme Court has said that ‘debate on public issues should</w:t>
      </w:r>
    </w:p>
    <w:p w14:paraId="7ED33E94" w14:textId="77777777" w:rsidR="002718E8" w:rsidRDefault="002718E8" w:rsidP="002718E8">
      <w:pPr>
        <w:pStyle w:val="NoSpacing"/>
        <w:ind w:left="720"/>
      </w:pPr>
      <w:r>
        <w:t>be uninhibited, robust, and wide-open, and . . . may well include vehement, caustic,</w:t>
      </w:r>
    </w:p>
    <w:p w14:paraId="0914B76B" w14:textId="77777777" w:rsidR="002718E8" w:rsidRDefault="002718E8" w:rsidP="002718E8">
      <w:pPr>
        <w:pStyle w:val="NoSpacing"/>
        <w:ind w:left="720"/>
      </w:pPr>
      <w:r>
        <w:t>and sometimes unpleasantly sharp attacks on government and public</w:t>
      </w:r>
    </w:p>
    <w:p w14:paraId="7ACD3CE3" w14:textId="77777777" w:rsidR="002718E8" w:rsidRDefault="002718E8" w:rsidP="002718E8">
      <w:pPr>
        <w:pStyle w:val="NoSpacing"/>
        <w:ind w:left="720"/>
      </w:pPr>
      <w:r>
        <w:t>officials[,]’ New York Times Co. v. Sullivan, 376 U.S. 254, 270 (1964); accordingly,</w:t>
      </w:r>
    </w:p>
    <w:p w14:paraId="2EA5D96F" w14:textId="77777777" w:rsidR="002718E8" w:rsidRDefault="002718E8" w:rsidP="002718E8">
      <w:pPr>
        <w:pStyle w:val="NoSpacing"/>
        <w:ind w:left="720"/>
      </w:pPr>
      <w:r>
        <w:t>‘</w:t>
      </w:r>
      <w:proofErr w:type="gramStart"/>
      <w:r>
        <w:t>public</w:t>
      </w:r>
      <w:proofErr w:type="gramEnd"/>
      <w:r>
        <w:t xml:space="preserve"> figures bear the burden of proving that alleged defamatory statements</w:t>
      </w:r>
    </w:p>
    <w:p w14:paraId="2B9352AA" w14:textId="77777777" w:rsidR="002718E8" w:rsidRDefault="002718E8" w:rsidP="002718E8">
      <w:pPr>
        <w:pStyle w:val="NoSpacing"/>
        <w:ind w:left="720"/>
      </w:pPr>
      <w:r>
        <w:t xml:space="preserve">against them were published with actual malice </w:t>
      </w:r>
      <w:proofErr w:type="gramStart"/>
      <w:r>
        <w:t>in order to</w:t>
      </w:r>
      <w:proofErr w:type="gramEnd"/>
      <w:r>
        <w:t xml:space="preserve"> recover damages.’</w:t>
      </w:r>
    </w:p>
    <w:p w14:paraId="4DD70758" w14:textId="77777777" w:rsidR="002718E8" w:rsidRDefault="002718E8" w:rsidP="002718E8">
      <w:pPr>
        <w:pStyle w:val="NoSpacing"/>
        <w:ind w:left="720"/>
      </w:pPr>
    </w:p>
    <w:p w14:paraId="4D418EAA" w14:textId="77777777" w:rsidR="002718E8" w:rsidRDefault="002718E8" w:rsidP="002718E8">
      <w:pPr>
        <w:pStyle w:val="NoSpacing"/>
        <w:ind w:left="720"/>
      </w:pPr>
      <w:r>
        <w:t>***</w:t>
      </w:r>
    </w:p>
    <w:p w14:paraId="670AE579" w14:textId="77777777" w:rsidR="002718E8" w:rsidRDefault="002718E8" w:rsidP="002718E8">
      <w:pPr>
        <w:pStyle w:val="NoSpacing"/>
        <w:ind w:left="720"/>
      </w:pPr>
      <w:r>
        <w:t>Thus, even assuming arguendo that Plaintiff is not a public figure and that these statements publicly disparaged her to her material harm, they contain no factual content and therefore cannot, as a matter of law, be understood as defamatory.”</w:t>
      </w:r>
    </w:p>
    <w:p w14:paraId="28124B5E" w14:textId="77777777" w:rsidR="002718E8" w:rsidRDefault="002718E8" w:rsidP="002718E8">
      <w:pPr>
        <w:pStyle w:val="NoSpacing"/>
        <w:ind w:left="720"/>
      </w:pPr>
    </w:p>
    <w:p w14:paraId="60E22B04" w14:textId="77777777" w:rsidR="002718E8" w:rsidRPr="002A2731" w:rsidRDefault="002718E8" w:rsidP="002718E8">
      <w:pPr>
        <w:pStyle w:val="NoSpacing"/>
        <w:rPr>
          <w:b/>
          <w:bCs/>
        </w:rPr>
      </w:pPr>
      <w:r>
        <w:rPr>
          <w:b/>
        </w:rPr>
        <w:t xml:space="preserve">Legal lesson learned: Pure expression of opinion about person’s lack of professionalism is not defamation; if plaintiff was a “public figure” that she would also have to prove “malice.” </w:t>
      </w:r>
    </w:p>
    <w:p w14:paraId="5F99186F" w14:textId="77777777" w:rsidR="002718E8" w:rsidRDefault="002718E8" w:rsidP="002718E8">
      <w:pPr>
        <w:pStyle w:val="NoSpacing"/>
      </w:pPr>
    </w:p>
    <w:p w14:paraId="0F4B4E51" w14:textId="77777777" w:rsidR="002718E8" w:rsidRDefault="002718E8" w:rsidP="002718E8">
      <w:pPr>
        <w:pStyle w:val="NoSpacing"/>
        <w:ind w:left="720"/>
        <w:rPr>
          <w:b/>
        </w:rPr>
      </w:pPr>
      <w:r>
        <w:t xml:space="preserve">Note: See this </w:t>
      </w:r>
      <w:r w:rsidRPr="00AE38CC">
        <w:t xml:space="preserve">April 8, </w:t>
      </w:r>
      <w:proofErr w:type="gramStart"/>
      <w:r w:rsidRPr="00AE38CC">
        <w:t>2026</w:t>
      </w:r>
      <w:proofErr w:type="gramEnd"/>
      <w:r>
        <w:t xml:space="preserve"> article</w:t>
      </w:r>
      <w:r w:rsidRPr="00AE38CC">
        <w:t>: Court sides with Char-Meck FOP in CMPD employee defamation case.</w:t>
      </w:r>
      <w:r>
        <w:rPr>
          <w:b/>
        </w:rPr>
        <w:t xml:space="preserve"> </w:t>
      </w:r>
      <w:hyperlink r:id="rId2893" w:history="1">
        <w:r w:rsidRPr="007C46E6">
          <w:rPr>
            <w:rStyle w:val="Hyperlink"/>
            <w:b/>
          </w:rPr>
          <w:t>https://www.qcnews.com/charlotte/court-sides-with-char-meck-fop-in-cmpd-employee-defamation-case/</w:t>
        </w:r>
      </w:hyperlink>
      <w:r>
        <w:rPr>
          <w:b/>
        </w:rPr>
        <w:t xml:space="preserve"> </w:t>
      </w:r>
    </w:p>
    <w:p w14:paraId="570833CB" w14:textId="77777777" w:rsidR="002718E8" w:rsidRDefault="002718E8" w:rsidP="002718E8">
      <w:pPr>
        <w:pStyle w:val="NoSpacing"/>
        <w:ind w:left="720"/>
        <w:rPr>
          <w:b/>
        </w:rPr>
      </w:pPr>
    </w:p>
    <w:p w14:paraId="70B7DFB0" w14:textId="77777777" w:rsidR="002718E8" w:rsidRDefault="002718E8" w:rsidP="002718E8">
      <w:pPr>
        <w:pStyle w:val="NoSpacing"/>
        <w:ind w:left="720"/>
        <w:rPr>
          <w:b/>
        </w:rPr>
      </w:pPr>
    </w:p>
    <w:p w14:paraId="590D672F" w14:textId="77777777" w:rsidR="002718E8" w:rsidRDefault="002718E8" w:rsidP="002718E8">
      <w:pPr>
        <w:pStyle w:val="NoSpacing"/>
        <w:ind w:left="720"/>
        <w:rPr>
          <w:bCs/>
        </w:rPr>
      </w:pPr>
      <w:r w:rsidRPr="00885714">
        <w:t>April 29, 2025: One year later: A timeline of the tragic April 29th shootout that shook Charlotte</w:t>
      </w:r>
      <w:r>
        <w:t xml:space="preserve">. </w:t>
      </w:r>
      <w:hyperlink r:id="rId2894" w:history="1">
        <w:r w:rsidRPr="0041562E">
          <w:rPr>
            <w:rStyle w:val="Hyperlink"/>
          </w:rPr>
          <w:t>https://www.qcnews.com/shannon-park-shooting/one-year-later-a-timeline-of-the-tragic-april-29th-shootout-that-shook-charlotte/</w:t>
        </w:r>
      </w:hyperlink>
      <w:r>
        <w:t xml:space="preserve"> </w:t>
      </w:r>
    </w:p>
    <w:p w14:paraId="723C66D7" w14:textId="77777777" w:rsidR="002718E8" w:rsidRDefault="002718E8" w:rsidP="002718E8">
      <w:pPr>
        <w:pStyle w:val="NoSpacing"/>
        <w:ind w:left="720"/>
      </w:pPr>
      <w:r w:rsidRPr="000F59E3">
        <w:t>“1:30 p.m. – Attempted warrant service turns deadly</w:t>
      </w:r>
      <w:r w:rsidRPr="00F1715E">
        <w:br/>
        <w:t>The U.S. Marshals Fugitive Task Force arrived at a home on Galway Drive to serve a warrant to 39-year-old Terry Hughes, wanted for felony gun possession out of Lincoln County. As officers approached the residence, Hughes opened fire without warning.</w:t>
      </w:r>
    </w:p>
    <w:p w14:paraId="12422E1C" w14:textId="77777777" w:rsidR="002718E8" w:rsidRPr="007907B2" w:rsidRDefault="002718E8" w:rsidP="002718E8">
      <w:pPr>
        <w:pStyle w:val="NoSpacing"/>
        <w:ind w:left="720"/>
        <w:rPr>
          <w:bCs/>
        </w:rPr>
      </w:pPr>
      <w:r w:rsidRPr="000F59E3">
        <w:t>Within minutes – officers down</w:t>
      </w:r>
      <w:r w:rsidRPr="007907B2">
        <w:br/>
        <w:t xml:space="preserve">Law enforcement scrambled as bullets tore through the quiet east Charlotte neighborhood. “Shots fired, shots fired!” rang out over police radios. </w:t>
      </w:r>
    </w:p>
    <w:p w14:paraId="0FEFA026" w14:textId="77777777" w:rsidR="002718E8" w:rsidRDefault="002718E8" w:rsidP="002718E8">
      <w:pPr>
        <w:pStyle w:val="NoSpacing"/>
        <w:ind w:left="720"/>
        <w:rPr>
          <w:bCs/>
        </w:rPr>
      </w:pPr>
      <w:r w:rsidRPr="007907B2">
        <w:t>Officers reported being pinned down as Hughes fired from a second-story window using a semi-automatic AR-15 and a 40-caliber handgun.</w:t>
      </w:r>
    </w:p>
    <w:p w14:paraId="76DF7937" w14:textId="77777777" w:rsidR="002718E8" w:rsidRPr="005B3ECE" w:rsidRDefault="002718E8" w:rsidP="002718E8">
      <w:pPr>
        <w:pStyle w:val="NoSpacing"/>
        <w:ind w:left="720"/>
        <w:rPr>
          <w:bCs/>
        </w:rPr>
      </w:pPr>
      <w:r w:rsidRPr="005B3ECE">
        <w:t xml:space="preserve">“I got shots fired. </w:t>
      </w:r>
      <w:proofErr w:type="gramStart"/>
      <w:r w:rsidRPr="005B3ECE">
        <w:t>He’s</w:t>
      </w:r>
      <w:proofErr w:type="gramEnd"/>
      <w:r w:rsidRPr="005B3ECE">
        <w:t xml:space="preserve"> top window barricaded himself. Several officers are pinned,” one responder radioed in.</w:t>
      </w:r>
    </w:p>
    <w:p w14:paraId="763A21A6" w14:textId="77777777" w:rsidR="002718E8" w:rsidRPr="005B3ECE" w:rsidRDefault="002718E8" w:rsidP="002718E8">
      <w:pPr>
        <w:pStyle w:val="NoSpacing"/>
        <w:ind w:left="720"/>
        <w:rPr>
          <w:bCs/>
        </w:rPr>
      </w:pPr>
      <w:r w:rsidRPr="000F59E3">
        <w:t>More than three hours – a barrage of gunfire</w:t>
      </w:r>
      <w:r w:rsidRPr="005B3ECE">
        <w:br/>
        <w:t xml:space="preserve">For over three hours, Hughes exchanged fire with law enforcement, reportedly discharging over 100 rounds. Dozens of police units and SWAT officers swarmed the area </w:t>
      </w:r>
      <w:proofErr w:type="gramStart"/>
      <w:r w:rsidRPr="005B3ECE">
        <w:t>as</w:t>
      </w:r>
      <w:proofErr w:type="gramEnd"/>
      <w:r w:rsidRPr="005B3ECE">
        <w:t xml:space="preserve"> efforts to extract the wounded intensified.</w:t>
      </w:r>
    </w:p>
    <w:p w14:paraId="2F29C216" w14:textId="77777777" w:rsidR="002718E8" w:rsidRPr="005B3ECE" w:rsidRDefault="002718E8" w:rsidP="002718E8">
      <w:pPr>
        <w:pStyle w:val="NoSpacing"/>
        <w:ind w:left="720"/>
        <w:rPr>
          <w:bCs/>
        </w:rPr>
      </w:pPr>
      <w:r w:rsidRPr="000F59E3">
        <w:t>Shortly after 4:30 p.m. – standoff ends</w:t>
      </w:r>
      <w:r w:rsidRPr="005B3ECE">
        <w:br/>
        <w:t>Hughes was eventually shot and killed when he emerged from the second-story window. But the damage had already been done.</w:t>
      </w:r>
    </w:p>
    <w:p w14:paraId="7007854E" w14:textId="77777777" w:rsidR="002718E8" w:rsidRPr="005B3ECE" w:rsidRDefault="002718E8" w:rsidP="002718E8">
      <w:pPr>
        <w:pStyle w:val="NoSpacing"/>
        <w:ind w:left="720"/>
        <w:rPr>
          <w:bCs/>
        </w:rPr>
      </w:pPr>
      <w:r w:rsidRPr="000F59E3">
        <w:t>That evening – officers confirmed dead</w:t>
      </w:r>
      <w:r w:rsidRPr="000F59E3">
        <w:br/>
      </w:r>
      <w:r w:rsidRPr="005B3ECE">
        <w:t>Three members of the Task Force — North Carolina Department of Adult Correction Investigators Sam Poloche and William Elliot, and Deputy U.S. Marshal Thomas Weeks — were pronounced dead at the hospital. CMPD Officer Joshua Eyer, a six-year veteran, was critically injured and passed away later that evening.</w:t>
      </w:r>
      <w:r>
        <w:t>”</w:t>
      </w:r>
    </w:p>
    <w:p w14:paraId="3E1AB0D1" w14:textId="77777777" w:rsidR="00920DD8" w:rsidRDefault="00920DD8" w:rsidP="00F326E5">
      <w:pPr>
        <w:pStyle w:val="NoSpacing"/>
        <w:rPr>
          <w:rFonts w:ascii="Arial Black" w:hAnsi="Arial Black"/>
          <w:sz w:val="24"/>
          <w:szCs w:val="24"/>
        </w:rPr>
      </w:pPr>
    </w:p>
    <w:p w14:paraId="58BF32B5" w14:textId="77777777" w:rsidR="00A70464" w:rsidRDefault="00A70464" w:rsidP="00F326E5">
      <w:pPr>
        <w:pStyle w:val="NoSpacing"/>
        <w:rPr>
          <w:rFonts w:ascii="Arial Black" w:hAnsi="Arial Black"/>
          <w:sz w:val="24"/>
          <w:szCs w:val="24"/>
        </w:rPr>
      </w:pPr>
    </w:p>
    <w:p w14:paraId="0B17965C" w14:textId="77777777" w:rsidR="00A70464" w:rsidRDefault="00A70464" w:rsidP="00F326E5">
      <w:pPr>
        <w:pStyle w:val="NoSpacing"/>
        <w:rPr>
          <w:rFonts w:ascii="Arial Black" w:hAnsi="Arial Black"/>
          <w:sz w:val="24"/>
          <w:szCs w:val="24"/>
        </w:rPr>
      </w:pPr>
    </w:p>
    <w:p w14:paraId="5025983E" w14:textId="3A091FD9" w:rsidR="00920DD8" w:rsidRDefault="00920DD8" w:rsidP="00F326E5">
      <w:pPr>
        <w:pStyle w:val="NoSpacing"/>
        <w:rPr>
          <w:rFonts w:ascii="Arial Black" w:hAnsi="Arial Black"/>
          <w:sz w:val="24"/>
          <w:szCs w:val="24"/>
        </w:rPr>
      </w:pPr>
      <w:r>
        <w:rPr>
          <w:rFonts w:ascii="Arial Black" w:hAnsi="Arial Black"/>
          <w:sz w:val="24"/>
          <w:szCs w:val="24"/>
        </w:rPr>
        <w:t>17-59</w:t>
      </w:r>
    </w:p>
    <w:p w14:paraId="3A6D3D97" w14:textId="77777777" w:rsidR="00920DD8" w:rsidRDefault="00920DD8" w:rsidP="00F326E5">
      <w:pPr>
        <w:pStyle w:val="NoSpacing"/>
        <w:rPr>
          <w:rFonts w:ascii="Arial Black" w:hAnsi="Arial Black"/>
          <w:sz w:val="24"/>
          <w:szCs w:val="24"/>
        </w:rPr>
      </w:pPr>
    </w:p>
    <w:p w14:paraId="10318CC9" w14:textId="77777777" w:rsidR="00920DD8" w:rsidRPr="00694417" w:rsidRDefault="00920DD8" w:rsidP="00920DD8">
      <w:pPr>
        <w:pStyle w:val="NoSpacing"/>
        <w:rPr>
          <w:rFonts w:ascii="Arial Black" w:hAnsi="Arial Black"/>
          <w:sz w:val="28"/>
          <w:szCs w:val="28"/>
        </w:rPr>
      </w:pPr>
      <w:r>
        <w:rPr>
          <w:rFonts w:ascii="Arial Black" w:hAnsi="Arial Black"/>
          <w:sz w:val="28"/>
          <w:szCs w:val="28"/>
        </w:rPr>
        <w:t xml:space="preserve">IL: PREG LEAVE – 112 DAYS - SENIORITY RECORD FIXED </w:t>
      </w:r>
    </w:p>
    <w:p w14:paraId="57F2B8E9" w14:textId="77777777" w:rsidR="00920DD8" w:rsidRDefault="00920DD8" w:rsidP="00920DD8">
      <w:pPr>
        <w:pStyle w:val="NoSpacing"/>
      </w:pPr>
    </w:p>
    <w:p w14:paraId="15AC9DD6" w14:textId="77777777" w:rsidR="00920DD8" w:rsidRDefault="00920DD8" w:rsidP="00920DD8">
      <w:pPr>
        <w:pStyle w:val="NoSpacing"/>
      </w:pPr>
      <w:r>
        <w:t xml:space="preserve">On March 10, 2026, in </w:t>
      </w:r>
      <w:r w:rsidRPr="00D3705A">
        <w:rPr>
          <w:u w:val="single"/>
        </w:rPr>
        <w:t>Sarah Schmidt v. City of Naperville</w:t>
      </w:r>
      <w:r>
        <w:t xml:space="preserve">, U.S. District Court Judge </w:t>
      </w:r>
      <w:r w:rsidRPr="00B729AD">
        <w:t>Steven C. Seeger</w:t>
      </w:r>
      <w:r>
        <w:t xml:space="preserve">. United States District Court for the Northern District of Illinois, Eastern Division, granted the City’s motion for summary judgment.  Plaintiff took maternity leave for first child starting in November 2012, and second child in June 2014, but the Fire Department mistakenly didn’t reduce 112 days of unpaid leave until the 2020 seniority list.  </w:t>
      </w:r>
      <w:r w:rsidRPr="00B36ADD">
        <w:t xml:space="preserve">In September 2022, </w:t>
      </w:r>
      <w:r>
        <w:t xml:space="preserve">it also </w:t>
      </w:r>
      <w:r w:rsidRPr="00B36ADD">
        <w:t>expressly flagged that correction</w:t>
      </w:r>
      <w:r>
        <w:t>, but it never told the firefighter or her union</w:t>
      </w:r>
      <w:r w:rsidRPr="00B36ADD">
        <w:t>.</w:t>
      </w:r>
      <w:r>
        <w:t xml:space="preserve">  She learned about the correction in June 2023 and filed EEOC charge.  EEOC charges must be filed within 300 days – way after the change was flagged, and the Court stated: “</w:t>
      </w:r>
      <w:r w:rsidRPr="00694417">
        <w:t>The bottom line is that Schmidt slept on her rights.</w:t>
      </w:r>
      <w:r>
        <w:t>”</w:t>
      </w:r>
    </w:p>
    <w:p w14:paraId="1A2FD065" w14:textId="77777777" w:rsidR="00920DD8" w:rsidRDefault="00920DD8" w:rsidP="00920DD8">
      <w:pPr>
        <w:pStyle w:val="NoSpacing"/>
      </w:pPr>
      <w:hyperlink r:id="rId2895" w:history="1">
        <w:r w:rsidRPr="00502BCE">
          <w:rPr>
            <w:rStyle w:val="Hyperlink"/>
          </w:rPr>
          <w:t>https://cases.justia.com/federal/district-courts/illinois/ilndce/1:2024cv01517/455667/32/0.pdf?ts=1773244215</w:t>
        </w:r>
      </w:hyperlink>
      <w:r>
        <w:t xml:space="preserve"> </w:t>
      </w:r>
    </w:p>
    <w:p w14:paraId="375A6844" w14:textId="77777777" w:rsidR="00920DD8" w:rsidRDefault="00920DD8" w:rsidP="00920DD8">
      <w:pPr>
        <w:pStyle w:val="NoSpacing"/>
      </w:pPr>
    </w:p>
    <w:p w14:paraId="225ECDAD" w14:textId="77777777" w:rsidR="00920DD8" w:rsidRPr="0020661A" w:rsidRDefault="00920DD8" w:rsidP="00920DD8">
      <w:pPr>
        <w:pStyle w:val="NoSpacing"/>
      </w:pPr>
      <w:r>
        <w:t>THE COURT HELD:  “</w:t>
      </w:r>
      <w:r w:rsidRPr="0020661A">
        <w:t xml:space="preserve">On September 22, 2022, </w:t>
      </w:r>
      <w:r w:rsidRPr="00FB6E6E">
        <w:t> Division Chief Daniel</w:t>
      </w:r>
      <w:r>
        <w:t>]</w:t>
      </w:r>
      <w:r w:rsidRPr="00FB6E6E">
        <w:t xml:space="preserve"> Smith</w:t>
      </w:r>
      <w:r w:rsidRPr="0020661A">
        <w:t xml:space="preserve"> published the 2023 seniority list. For the first time, Smith added a notation that called attention to the reduction in Schmidt's seniority. </w:t>
      </w:r>
    </w:p>
    <w:p w14:paraId="2A051893" w14:textId="77777777" w:rsidR="00920DD8" w:rsidRDefault="00920DD8" w:rsidP="00920DD8">
      <w:pPr>
        <w:pStyle w:val="NoSpacing"/>
        <w:ind w:left="540"/>
      </w:pPr>
    </w:p>
    <w:p w14:paraId="208C981F" w14:textId="77777777" w:rsidR="00920DD8" w:rsidRDefault="00920DD8" w:rsidP="00920DD8">
      <w:pPr>
        <w:pStyle w:val="NoSpacing"/>
        <w:ind w:left="540"/>
      </w:pPr>
      <w:r w:rsidRPr="0020661A">
        <w:t xml:space="preserve">“Schmidt </w:t>
      </w:r>
      <w:proofErr w:type="spellStart"/>
      <w:r w:rsidRPr="0020661A">
        <w:t>seniorty</w:t>
      </w:r>
      <w:proofErr w:type="spellEnd"/>
      <w:r w:rsidRPr="0020661A">
        <w:t xml:space="preserve"> [sic] reduced by 112 days. 2 [leave of absences] 11/12 &amp; 6/14.” </w:t>
      </w:r>
    </w:p>
    <w:p w14:paraId="4CB49322" w14:textId="77777777" w:rsidR="00920DD8" w:rsidRDefault="00920DD8" w:rsidP="00920DD8">
      <w:pPr>
        <w:pStyle w:val="NoSpacing"/>
        <w:ind w:left="540"/>
      </w:pPr>
    </w:p>
    <w:p w14:paraId="467D7032" w14:textId="77777777" w:rsidR="00920DD8" w:rsidRDefault="00920DD8" w:rsidP="00920DD8">
      <w:pPr>
        <w:pStyle w:val="NoSpacing"/>
      </w:pPr>
      <w:r w:rsidRPr="0020661A">
        <w:t xml:space="preserve">The numbers at the end reflected the months and years when Schmidt took leave, meaning November 2012 and June 2014. </w:t>
      </w:r>
    </w:p>
    <w:p w14:paraId="5545F6C5" w14:textId="77777777" w:rsidR="00920DD8" w:rsidRDefault="00920DD8" w:rsidP="00920DD8">
      <w:pPr>
        <w:pStyle w:val="NoSpacing"/>
      </w:pPr>
    </w:p>
    <w:p w14:paraId="7818BDC7" w14:textId="77777777" w:rsidR="00920DD8" w:rsidRDefault="00920DD8" w:rsidP="00920DD8">
      <w:pPr>
        <w:pStyle w:val="NoSpacing"/>
      </w:pPr>
      <w:r>
        <w:t>***</w:t>
      </w:r>
    </w:p>
    <w:p w14:paraId="68356FCE" w14:textId="77777777" w:rsidR="00920DD8" w:rsidRPr="0020661A" w:rsidRDefault="00920DD8" w:rsidP="00920DD8">
      <w:pPr>
        <w:pStyle w:val="NoSpacing"/>
      </w:pPr>
    </w:p>
    <w:p w14:paraId="650F1D0E" w14:textId="77777777" w:rsidR="00920DD8" w:rsidRDefault="00920DD8" w:rsidP="00920DD8">
      <w:pPr>
        <w:pStyle w:val="NoSpacing"/>
      </w:pPr>
      <w:r w:rsidRPr="001D3766">
        <w:t>The list is available to the employees, but the fire department does not send the list directly to the employees, either. Employees do not receive an email or other notification when Smith publishes the seniority list</w:t>
      </w:r>
      <w:r>
        <w:t xml:space="preserve">…. </w:t>
      </w:r>
      <w:r w:rsidRPr="0076125A">
        <w:t> Even so, the publication of the list does take place at the same time as the sweepstakes for vacation time. Every year, the fire department sends an official notice that bidding on the upcoming year's vacation days has begun.</w:t>
      </w:r>
      <w:r>
        <w:t>”</w:t>
      </w:r>
    </w:p>
    <w:p w14:paraId="0FDA9F85" w14:textId="77777777" w:rsidR="00920DD8" w:rsidRDefault="00920DD8" w:rsidP="00920DD8">
      <w:pPr>
        <w:pStyle w:val="NoSpacing"/>
      </w:pPr>
    </w:p>
    <w:p w14:paraId="51266757" w14:textId="77777777" w:rsidR="00920DD8" w:rsidRDefault="00920DD8" w:rsidP="00920DD8">
      <w:pPr>
        <w:pStyle w:val="NoSpacing"/>
        <w:rPr>
          <w:b/>
          <w:bCs/>
        </w:rPr>
      </w:pPr>
      <w:r>
        <w:rPr>
          <w:b/>
        </w:rPr>
        <w:t>***</w:t>
      </w:r>
    </w:p>
    <w:p w14:paraId="49574D05" w14:textId="77777777" w:rsidR="00920DD8" w:rsidRDefault="00920DD8" w:rsidP="00920DD8">
      <w:pPr>
        <w:pStyle w:val="NoSpacing"/>
      </w:pPr>
    </w:p>
    <w:p w14:paraId="35329F8B" w14:textId="77777777" w:rsidR="00920DD8" w:rsidRDefault="00920DD8" w:rsidP="00920DD8">
      <w:pPr>
        <w:pStyle w:val="NoSpacing"/>
      </w:pPr>
      <w:r w:rsidRPr="00EC7E1B">
        <w:t>During her tenure, Schmidt took two pregnancy-related periods of unpaid leave lasting longer than 30 days. In 2012, Schmidt was pregnant and took unpaid leave from November 30, 2012, to January 13, 2013</w:t>
      </w:r>
      <w:r>
        <w:t xml:space="preserve">…. </w:t>
      </w:r>
      <w:r w:rsidRPr="00EC7E1B">
        <w:t>In 2014, Schmidt had another child, taking unpaid leave from June 8 to August 24, 2014</w:t>
      </w:r>
      <w:r>
        <w:t xml:space="preserve">…. </w:t>
      </w:r>
      <w:r w:rsidRPr="00590CEE">
        <w:t xml:space="preserve">So, Schmidt took unpaid leave twice, and each absence lasted longer than 30 consecutive days. She took unpaid leave for a total of 112 days. Under the CBA, Schmidt was not entitled to seniority credit for that </w:t>
      </w:r>
      <w:proofErr w:type="gramStart"/>
      <w:r w:rsidRPr="00590CEE">
        <w:t>period of time</w:t>
      </w:r>
      <w:proofErr w:type="gramEnd"/>
      <w:r w:rsidRPr="00590CEE">
        <w:t xml:space="preserve">. </w:t>
      </w:r>
      <w:r w:rsidRPr="00590CEE">
        <w:rPr>
          <w:i/>
          <w:iCs/>
        </w:rPr>
        <w:t>See</w:t>
      </w:r>
      <w:r w:rsidRPr="00590CEE">
        <w:t xml:space="preserve"> CBA, at § 8.1 (</w:t>
      </w:r>
      <w:proofErr w:type="spellStart"/>
      <w:r w:rsidRPr="00590CEE">
        <w:t>Dckt</w:t>
      </w:r>
      <w:proofErr w:type="spellEnd"/>
      <w:r w:rsidRPr="00590CEE">
        <w:t>. No. 26-2).</w:t>
      </w:r>
      <w:r>
        <w:t>”</w:t>
      </w:r>
    </w:p>
    <w:p w14:paraId="721F7275" w14:textId="77777777" w:rsidR="00920DD8" w:rsidRDefault="00920DD8" w:rsidP="00920DD8">
      <w:pPr>
        <w:pStyle w:val="NoSpacing"/>
      </w:pPr>
    </w:p>
    <w:p w14:paraId="3B76DFFA" w14:textId="77777777" w:rsidR="00920DD8" w:rsidRPr="007E1C7E" w:rsidRDefault="00920DD8" w:rsidP="00920DD8">
      <w:pPr>
        <w:pStyle w:val="NoSpacing"/>
        <w:rPr>
          <w:b/>
          <w:bCs/>
        </w:rPr>
      </w:pPr>
      <w:r w:rsidRPr="007E1C7E">
        <w:rPr>
          <w:b/>
        </w:rPr>
        <w:t>Legal lesson learned:</w:t>
      </w:r>
      <w:r>
        <w:rPr>
          <w:b/>
        </w:rPr>
        <w:t xml:space="preserve"> The Fire Department, when it learned of its mistake in not reducing the seniority, “flagged” the correction on the 2023 seniority list; perhaps they could have avoided the EEOC charge and this litigation if they had simply advised her (and her union) of the correction. </w:t>
      </w:r>
    </w:p>
    <w:p w14:paraId="5A7B3BD5" w14:textId="77777777" w:rsidR="00920DD8" w:rsidRDefault="00920DD8" w:rsidP="00920DD8">
      <w:pPr>
        <w:pStyle w:val="NoSpacing"/>
      </w:pPr>
    </w:p>
    <w:p w14:paraId="44B33531" w14:textId="77777777" w:rsidR="00920DD8" w:rsidRPr="00EF7DF1" w:rsidRDefault="00920DD8" w:rsidP="00920DD8">
      <w:pPr>
        <w:pStyle w:val="NoSpacing"/>
        <w:ind w:left="720"/>
      </w:pPr>
      <w:r>
        <w:t>Note: The Court stated: “</w:t>
      </w:r>
      <w:r w:rsidRPr="00EF7DF1">
        <w:t xml:space="preserve">For whatever reason, no one from the fire department reached out to Schmidt directly and drew her attention to the correction. And for whatever reason, Schmidt did not notice the correction in the 2020 seniority list, or the 2021 seniority list, or the 2022 seniority list. Schmidt didn't realize that the fire department had reduced her seniority until June </w:t>
      </w:r>
      <w:proofErr w:type="gramStart"/>
      <w:r w:rsidRPr="00EF7DF1">
        <w:t>2023.</w:t>
      </w:r>
      <w:r>
        <w:t>”</w:t>
      </w:r>
      <w:proofErr w:type="gramEnd"/>
    </w:p>
    <w:p w14:paraId="2A0C7856" w14:textId="77777777" w:rsidR="00920DD8" w:rsidRDefault="00920DD8" w:rsidP="00920DD8">
      <w:pPr>
        <w:pStyle w:val="NoSpacing"/>
        <w:ind w:left="720"/>
      </w:pPr>
    </w:p>
    <w:p w14:paraId="3B71456C" w14:textId="77777777" w:rsidR="00920DD8" w:rsidRDefault="00920DD8" w:rsidP="00920DD8">
      <w:pPr>
        <w:pStyle w:val="NoSpacing"/>
        <w:ind w:left="720"/>
      </w:pPr>
    </w:p>
    <w:p w14:paraId="03811355" w14:textId="77777777" w:rsidR="00920DD8" w:rsidRDefault="00920DD8" w:rsidP="00920DD8">
      <w:pPr>
        <w:pStyle w:val="NoSpacing"/>
        <w:rPr>
          <w:b/>
        </w:rPr>
      </w:pPr>
    </w:p>
    <w:p w14:paraId="09CF6838" w14:textId="77777777" w:rsidR="00920DD8" w:rsidRDefault="00920DD8" w:rsidP="00920DD8">
      <w:pPr>
        <w:pStyle w:val="NoSpacing"/>
      </w:pPr>
    </w:p>
    <w:p w14:paraId="74DDD2A1" w14:textId="77777777" w:rsidR="00920DD8" w:rsidRDefault="00920DD8" w:rsidP="00920DD8">
      <w:pPr>
        <w:pStyle w:val="NoSpacing"/>
        <w:rPr>
          <w:bCs/>
        </w:rPr>
      </w:pPr>
    </w:p>
    <w:p w14:paraId="440BB528" w14:textId="77777777" w:rsidR="00920DD8" w:rsidRDefault="00920DD8" w:rsidP="00F326E5">
      <w:pPr>
        <w:pStyle w:val="NoSpacing"/>
        <w:rPr>
          <w:rFonts w:ascii="Arial Black" w:hAnsi="Arial Black"/>
          <w:sz w:val="24"/>
          <w:szCs w:val="24"/>
        </w:rPr>
      </w:pPr>
    </w:p>
    <w:p w14:paraId="55F76264" w14:textId="77777777" w:rsidR="00920DD8" w:rsidRDefault="00920DD8" w:rsidP="00F326E5">
      <w:pPr>
        <w:pStyle w:val="NoSpacing"/>
        <w:rPr>
          <w:rFonts w:ascii="Arial Black" w:hAnsi="Arial Black"/>
          <w:sz w:val="24"/>
          <w:szCs w:val="24"/>
        </w:rPr>
      </w:pPr>
    </w:p>
    <w:p w14:paraId="115F9665" w14:textId="4D4E7550" w:rsidR="0022047A" w:rsidRDefault="0022047A" w:rsidP="00F326E5">
      <w:pPr>
        <w:pStyle w:val="NoSpacing"/>
        <w:rPr>
          <w:rFonts w:ascii="Arial Black" w:hAnsi="Arial Black"/>
          <w:sz w:val="24"/>
          <w:szCs w:val="24"/>
        </w:rPr>
      </w:pPr>
      <w:r>
        <w:rPr>
          <w:rFonts w:ascii="Arial Black" w:hAnsi="Arial Black"/>
          <w:sz w:val="24"/>
          <w:szCs w:val="24"/>
        </w:rPr>
        <w:t>17-</w:t>
      </w:r>
      <w:r w:rsidR="00420A23">
        <w:rPr>
          <w:rFonts w:ascii="Arial Black" w:hAnsi="Arial Black"/>
          <w:sz w:val="24"/>
          <w:szCs w:val="24"/>
        </w:rPr>
        <w:t>58</w:t>
      </w:r>
    </w:p>
    <w:p w14:paraId="387E7D68" w14:textId="77777777" w:rsidR="00420A23" w:rsidRPr="00B177C5" w:rsidRDefault="00420A23" w:rsidP="00420A23">
      <w:pPr>
        <w:pStyle w:val="NoSpacing"/>
        <w:rPr>
          <w:rFonts w:ascii="Arial Black" w:hAnsi="Arial Black"/>
          <w:sz w:val="28"/>
          <w:szCs w:val="28"/>
        </w:rPr>
      </w:pPr>
      <w:r>
        <w:rPr>
          <w:rFonts w:ascii="Arial Black" w:hAnsi="Arial Black"/>
          <w:sz w:val="28"/>
          <w:szCs w:val="28"/>
        </w:rPr>
        <w:t>SC: UNION PRES. FIRED – CASE PROCEED – 1</w:t>
      </w:r>
      <w:r w:rsidRPr="005C3937">
        <w:rPr>
          <w:rFonts w:ascii="Arial Black" w:hAnsi="Arial Black"/>
          <w:sz w:val="28"/>
          <w:szCs w:val="28"/>
          <w:vertAlign w:val="superscript"/>
        </w:rPr>
        <w:t>st</w:t>
      </w:r>
      <w:r>
        <w:rPr>
          <w:rFonts w:ascii="Arial Black" w:hAnsi="Arial Black"/>
          <w:sz w:val="28"/>
          <w:szCs w:val="28"/>
        </w:rPr>
        <w:t xml:space="preserve"> AMEND.  </w:t>
      </w:r>
    </w:p>
    <w:p w14:paraId="679DDE63" w14:textId="77777777" w:rsidR="00420A23" w:rsidRDefault="00420A23" w:rsidP="00420A23">
      <w:pPr>
        <w:pStyle w:val="NoSpacing"/>
      </w:pPr>
    </w:p>
    <w:p w14:paraId="2E69737A" w14:textId="77777777" w:rsidR="00420A23" w:rsidRDefault="00420A23" w:rsidP="00420A23">
      <w:r>
        <w:t xml:space="preserve">On February 3, 2026, in </w:t>
      </w:r>
      <w:r w:rsidRPr="004A13ED">
        <w:rPr>
          <w:u w:val="single"/>
        </w:rPr>
        <w:t>Gregory Cargill v. The City of Greenville, et al</w:t>
      </w:r>
      <w:r>
        <w:t>., U.S. District Court Judge Jacquelyn D. Austin</w:t>
      </w:r>
      <w:r w:rsidRPr="002764C6">
        <w:t>, United States District Court for the District of South Carolina, Greenville Division</w:t>
      </w:r>
      <w:r>
        <w:t>. Denied the City’s motion to dismiss. Firefighter Cargill was President of IAFF Local 2261 and requested a meeting with the Fire Chief; o</w:t>
      </w:r>
      <w:r w:rsidRPr="00A04EFF">
        <w:t xml:space="preserve">n August 28, 2024, Chief Horton responded by email stating the </w:t>
      </w:r>
      <w:proofErr w:type="gramStart"/>
      <w:r w:rsidRPr="00A04EFF">
        <w:t>City</w:t>
      </w:r>
      <w:proofErr w:type="gramEnd"/>
      <w:r w:rsidRPr="00A04EFF">
        <w:t xml:space="preserve"> would not engage in collective bargaining with Local 2261 but that he would meet with Plaintiff “Chief to firefighter,” and he directed Plaintiff to go through the chain of command to set up the meeting or for any other communications. </w:t>
      </w:r>
      <w:r>
        <w:t xml:space="preserve">Cargill attended City Council meeting on September 9, 2024, spoke with member of the Council, on October 12, 2024 he sent letter on Union Letterhead to City Manager about poor morale, and then was fired by the Fire Chief on October 20, 2024. </w:t>
      </w:r>
      <w:hyperlink r:id="rId2896" w:history="1">
        <w:r w:rsidRPr="00734647">
          <w:rPr>
            <w:rStyle w:val="Hyperlink"/>
          </w:rPr>
          <w:t>https://public.fastcase.com/Jhe1Qn%2BmJndQYQU6z%2FeNmxCPiZizVlc11JYA3odTB4IhzrCNgoXQd5cis%2BDwnvItMWVDGFMSfq0NQT9Gs0Nt1TNd1VW0h9sJNC6uT%2FjNAHc%3D?utm_medium=email&amp;_hsenc=p2ANqtz-8-aEXaYfaNma4DTW9HUN_1FUQQoclWpkG9e_9BTRsreHlU-cWJ1LgKYyHosOTXLG__w-panONGFSrnN_jSAOz_10UwNA&amp;_hsmi=226712652&amp;utm_content=226712652&amp;utm_source=hs_email</w:t>
        </w:r>
      </w:hyperlink>
      <w:r>
        <w:t xml:space="preserve"> </w:t>
      </w:r>
    </w:p>
    <w:p w14:paraId="1E7FDE4C" w14:textId="77777777" w:rsidR="00420A23" w:rsidRDefault="00420A23" w:rsidP="00420A23">
      <w:pPr>
        <w:pStyle w:val="NoSpacing"/>
      </w:pPr>
      <w:r>
        <w:t>THE COURT HELD: “</w:t>
      </w:r>
      <w:r w:rsidRPr="007B7961">
        <w:t xml:space="preserve">In particular, under the balancing test developed by the Supreme Court in </w:t>
      </w:r>
      <w:r w:rsidRPr="007B7961">
        <w:rPr>
          <w:i/>
          <w:iCs/>
        </w:rPr>
        <w:t>Pickering</w:t>
      </w:r>
      <w:r w:rsidRPr="007B7961">
        <w:t xml:space="preserve"> and </w:t>
      </w:r>
      <w:r w:rsidRPr="007B7961">
        <w:rPr>
          <w:i/>
          <w:iCs/>
        </w:rPr>
        <w:t>Connick</w:t>
      </w:r>
      <w:r w:rsidRPr="007B7961">
        <w:t xml:space="preserve">, “the First Amendment does not protect public employees when their speech interests are outweighed by the government's interest in providing efficient and effective services to the public.” </w:t>
      </w:r>
      <w:r w:rsidRPr="007B7961">
        <w:rPr>
          <w:i/>
          <w:iCs/>
        </w:rPr>
        <w:t xml:space="preserve">Lawson v. Union </w:t>
      </w:r>
      <w:proofErr w:type="spellStart"/>
      <w:r w:rsidRPr="007B7961">
        <w:rPr>
          <w:i/>
          <w:iCs/>
        </w:rPr>
        <w:t>Cty</w:t>
      </w:r>
      <w:proofErr w:type="spellEnd"/>
      <w:r w:rsidRPr="007B7961">
        <w:rPr>
          <w:i/>
          <w:iCs/>
        </w:rPr>
        <w:t>. Clerk of Court</w:t>
      </w:r>
      <w:r w:rsidRPr="007B7961">
        <w:t>, 828 F.3d 239, 247 (4th Cir. 2016).</w:t>
      </w:r>
      <w:r>
        <w:t xml:space="preserve"> </w:t>
      </w:r>
    </w:p>
    <w:p w14:paraId="2A7FCE52" w14:textId="77777777" w:rsidR="00420A23" w:rsidRDefault="00420A23" w:rsidP="00420A23">
      <w:pPr>
        <w:pStyle w:val="NoSpacing"/>
      </w:pPr>
      <w:r w:rsidRPr="00870424">
        <w:t xml:space="preserve">Accordingly, the Court concludes that Plaintiff has adequately pled that his speech was as a private citizen on a matter of public concern. </w:t>
      </w:r>
      <w:r w:rsidRPr="00870424">
        <w:rPr>
          <w:i/>
          <w:iCs/>
        </w:rPr>
        <w:t>See Liverman</w:t>
      </w:r>
      <w:r w:rsidRPr="00870424">
        <w:t xml:space="preserve">, 844 F.3d at 410 (holding speech was on a matter of public concern when the matter </w:t>
      </w:r>
      <w:r>
        <w:t>‘</w:t>
      </w:r>
      <w:r w:rsidRPr="00870424">
        <w:t>addressed was of more than personal import</w:t>
      </w:r>
      <w:r>
        <w:t>’</w:t>
      </w:r>
      <w:r w:rsidRPr="00870424">
        <w:t>).</w:t>
      </w:r>
      <w:r>
        <w:t>”</w:t>
      </w:r>
    </w:p>
    <w:p w14:paraId="041AE8EC" w14:textId="77777777" w:rsidR="00420A23" w:rsidRPr="003F10C2" w:rsidRDefault="00420A23" w:rsidP="00420A23">
      <w:pPr>
        <w:pStyle w:val="NoSpacing"/>
        <w:rPr>
          <w:b/>
          <w:bCs/>
        </w:rPr>
      </w:pPr>
    </w:p>
    <w:p w14:paraId="17666401" w14:textId="77777777" w:rsidR="00420A23" w:rsidRPr="00C45C5D" w:rsidRDefault="00420A23" w:rsidP="00420A23">
      <w:pPr>
        <w:pStyle w:val="NoSpacing"/>
        <w:rPr>
          <w:b/>
          <w:bCs/>
        </w:rPr>
      </w:pPr>
      <w:r w:rsidRPr="003F10C2">
        <w:rPr>
          <w:b/>
        </w:rPr>
        <w:t xml:space="preserve">Legal lesson learned: </w:t>
      </w:r>
      <w:r>
        <w:rPr>
          <w:b/>
        </w:rPr>
        <w:t xml:space="preserve">The Union President was communicating on matters of a public concern. </w:t>
      </w:r>
    </w:p>
    <w:p w14:paraId="4E172BAA" w14:textId="77777777" w:rsidR="00420A23" w:rsidRPr="003F10C2" w:rsidRDefault="00420A23" w:rsidP="00420A23">
      <w:pPr>
        <w:rPr>
          <w:b/>
          <w:bCs/>
        </w:rPr>
      </w:pPr>
    </w:p>
    <w:p w14:paraId="69F30687" w14:textId="77777777" w:rsidR="00420A23" w:rsidRPr="002764C6" w:rsidRDefault="00420A23" w:rsidP="00420A23"/>
    <w:p w14:paraId="19DFC468" w14:textId="77777777" w:rsidR="00420A23" w:rsidRDefault="00420A23" w:rsidP="00F326E5">
      <w:pPr>
        <w:pStyle w:val="NoSpacing"/>
        <w:rPr>
          <w:rFonts w:ascii="Arial Black" w:hAnsi="Arial Black"/>
          <w:sz w:val="24"/>
          <w:szCs w:val="24"/>
        </w:rPr>
      </w:pPr>
    </w:p>
    <w:p w14:paraId="35712AC9" w14:textId="77777777" w:rsidR="0022047A" w:rsidRDefault="0022047A" w:rsidP="00F326E5">
      <w:pPr>
        <w:pStyle w:val="NoSpacing"/>
        <w:rPr>
          <w:rFonts w:ascii="Arial Black" w:hAnsi="Arial Black"/>
          <w:sz w:val="24"/>
          <w:szCs w:val="24"/>
        </w:rPr>
      </w:pPr>
    </w:p>
    <w:p w14:paraId="31D202F7" w14:textId="77777777" w:rsidR="0022047A" w:rsidRDefault="0022047A" w:rsidP="00F326E5">
      <w:pPr>
        <w:pStyle w:val="NoSpacing"/>
        <w:rPr>
          <w:rFonts w:ascii="Arial Black" w:hAnsi="Arial Black"/>
          <w:sz w:val="24"/>
          <w:szCs w:val="24"/>
        </w:rPr>
      </w:pPr>
    </w:p>
    <w:p w14:paraId="0B0F6658" w14:textId="77777777" w:rsidR="0022047A" w:rsidRDefault="0022047A" w:rsidP="00F326E5">
      <w:pPr>
        <w:pStyle w:val="NoSpacing"/>
        <w:rPr>
          <w:rFonts w:ascii="Arial Black" w:hAnsi="Arial Black"/>
          <w:sz w:val="24"/>
          <w:szCs w:val="24"/>
        </w:rPr>
      </w:pPr>
    </w:p>
    <w:p w14:paraId="1EA97DAA" w14:textId="60C89BD7" w:rsidR="00D92FBD" w:rsidRDefault="00D92FBD" w:rsidP="00F326E5">
      <w:pPr>
        <w:pStyle w:val="NoSpacing"/>
        <w:rPr>
          <w:rFonts w:ascii="Arial Black" w:hAnsi="Arial Black"/>
          <w:sz w:val="24"/>
          <w:szCs w:val="24"/>
        </w:rPr>
      </w:pPr>
      <w:r>
        <w:rPr>
          <w:rFonts w:ascii="Arial Black" w:hAnsi="Arial Black"/>
          <w:sz w:val="24"/>
          <w:szCs w:val="24"/>
        </w:rPr>
        <w:t>17-57</w:t>
      </w:r>
    </w:p>
    <w:p w14:paraId="3EC77202" w14:textId="77777777" w:rsidR="00EA62D5" w:rsidRDefault="00EA62D5" w:rsidP="00F326E5">
      <w:pPr>
        <w:pStyle w:val="NoSpacing"/>
        <w:rPr>
          <w:rFonts w:ascii="Arial Black" w:hAnsi="Arial Black"/>
          <w:sz w:val="24"/>
          <w:szCs w:val="24"/>
        </w:rPr>
      </w:pPr>
    </w:p>
    <w:p w14:paraId="1C7453A6" w14:textId="10B1C6B5" w:rsidR="00EA62D5" w:rsidRPr="00753591" w:rsidRDefault="00EA62D5" w:rsidP="00EA62D5">
      <w:pPr>
        <w:pStyle w:val="NoSpacing"/>
        <w:rPr>
          <w:rFonts w:ascii="Arial Black" w:hAnsi="Arial Black"/>
          <w:sz w:val="28"/>
          <w:szCs w:val="28"/>
        </w:rPr>
      </w:pPr>
      <w:r>
        <w:rPr>
          <w:rFonts w:ascii="Arial Black" w:hAnsi="Arial Black"/>
          <w:sz w:val="28"/>
          <w:szCs w:val="28"/>
        </w:rPr>
        <w:t xml:space="preserve">CA: UNION PRES – </w:t>
      </w:r>
      <w:r w:rsidR="00645B9B">
        <w:rPr>
          <w:rFonts w:ascii="Arial Black" w:hAnsi="Arial Black"/>
          <w:sz w:val="28"/>
          <w:szCs w:val="28"/>
        </w:rPr>
        <w:t>STESS –</w:t>
      </w:r>
      <w:r w:rsidR="001276F8">
        <w:rPr>
          <w:rFonts w:ascii="Arial Black" w:hAnsi="Arial Black"/>
          <w:sz w:val="28"/>
          <w:szCs w:val="28"/>
        </w:rPr>
        <w:t xml:space="preserve"> </w:t>
      </w:r>
      <w:r>
        <w:rPr>
          <w:rFonts w:ascii="Arial Black" w:hAnsi="Arial Black"/>
          <w:sz w:val="28"/>
          <w:szCs w:val="28"/>
        </w:rPr>
        <w:t>ORDERED TAKE PSYCH EXAM</w:t>
      </w:r>
    </w:p>
    <w:p w14:paraId="35B9DB4D" w14:textId="77777777" w:rsidR="00EA62D5" w:rsidRDefault="00EA62D5" w:rsidP="00EA62D5">
      <w:pPr>
        <w:pStyle w:val="NoSpacing"/>
      </w:pPr>
    </w:p>
    <w:p w14:paraId="361EE434" w14:textId="77777777" w:rsidR="00EA62D5" w:rsidRDefault="00EA62D5" w:rsidP="00EA62D5">
      <w:pPr>
        <w:pStyle w:val="NoSpacing"/>
      </w:pPr>
      <w:r>
        <w:t xml:space="preserve">On Oct. 13, 2025, in </w:t>
      </w:r>
      <w:r w:rsidRPr="007B5174">
        <w:rPr>
          <w:u w:val="single"/>
        </w:rPr>
        <w:t>Ryan Mack v. City of Guadalupe, et al</w:t>
      </w:r>
      <w:r>
        <w:t xml:space="preserve">., </w:t>
      </w:r>
      <w:r w:rsidRPr="008C0CEB">
        <w:t>California Court of Appeal, Second District</w:t>
      </w:r>
      <w:r>
        <w:t xml:space="preserve"> held (3 to 0, unpublished decision) that trial court properly granted summary judgment to the defendants.  The firefighter was a Captain and a vocal Union President; on March 8, 2022, he took sick leave.  The Fire Chief called him to about his level of stress. and he replied,</w:t>
      </w:r>
      <w:r w:rsidRPr="007C4EF8">
        <w:t xml:space="preserve"> “I do not feel 100 percent, and</w:t>
      </w:r>
      <w:r>
        <w:t xml:space="preserve"> </w:t>
      </w:r>
      <w:r w:rsidRPr="007C4EF8">
        <w:t>I don’t feel capable of doing the job right now.”</w:t>
      </w:r>
      <w:r>
        <w:t xml:space="preserve"> On March 10, 2022, Human Resources manager advised him he was being ordered to take psychological and physical exam; he passed both and returned to work in April.  He continued work for next year and resigned on June 5, 2025. </w:t>
      </w:r>
      <w:hyperlink r:id="rId2897" w:history="1">
        <w:r w:rsidRPr="0024236A">
          <w:rPr>
            <w:rStyle w:val="Hyperlink"/>
          </w:rPr>
          <w:t>https://www4.courts.ca.gov/opinions/nonpub/B342205.PDF</w:t>
        </w:r>
      </w:hyperlink>
      <w:r>
        <w:t xml:space="preserve"> </w:t>
      </w:r>
    </w:p>
    <w:p w14:paraId="5A256074" w14:textId="77777777" w:rsidR="00EA62D5" w:rsidRDefault="00EA62D5" w:rsidP="00EA62D5">
      <w:pPr>
        <w:pStyle w:val="NoSpacing"/>
      </w:pPr>
    </w:p>
    <w:p w14:paraId="66F21981" w14:textId="77777777" w:rsidR="00EA62D5" w:rsidRDefault="00EA62D5" w:rsidP="00EA62D5">
      <w:pPr>
        <w:pStyle w:val="NoSpacing"/>
      </w:pPr>
      <w:r>
        <w:t xml:space="preserve">THE COURT HELD:  </w:t>
      </w:r>
    </w:p>
    <w:p w14:paraId="70C9621F" w14:textId="77777777" w:rsidR="00EA62D5" w:rsidRDefault="00EA62D5" w:rsidP="00EA62D5">
      <w:pPr>
        <w:pStyle w:val="NoSpacing"/>
      </w:pPr>
    </w:p>
    <w:p w14:paraId="78C62D8E" w14:textId="77777777" w:rsidR="00EA62D5" w:rsidRDefault="00EA62D5" w:rsidP="00EA62D5">
      <w:pPr>
        <w:pStyle w:val="NoSpacing"/>
        <w:ind w:left="720"/>
      </w:pPr>
      <w:r>
        <w:t>“We conclude appellant did not suffer an adverse employment action as a matter of law. Thus, summary adjudication was proper as to his discrimination and retaliation claims.</w:t>
      </w:r>
    </w:p>
    <w:p w14:paraId="65CE88CF" w14:textId="77777777" w:rsidR="00EA62D5" w:rsidRDefault="00EA62D5" w:rsidP="00EA62D5">
      <w:pPr>
        <w:pStyle w:val="NoSpacing"/>
        <w:ind w:left="720"/>
      </w:pPr>
    </w:p>
    <w:p w14:paraId="3F636084" w14:textId="77777777" w:rsidR="00EA62D5" w:rsidRDefault="00EA62D5" w:rsidP="00EA62D5">
      <w:pPr>
        <w:pStyle w:val="NoSpacing"/>
        <w:ind w:left="720"/>
      </w:pPr>
      <w:r>
        <w:t>***</w:t>
      </w:r>
    </w:p>
    <w:p w14:paraId="627A7055" w14:textId="77777777" w:rsidR="00EA62D5" w:rsidRDefault="00EA62D5" w:rsidP="00EA62D5">
      <w:pPr>
        <w:pStyle w:val="NoSpacing"/>
        <w:ind w:left="720"/>
      </w:pPr>
      <w:proofErr w:type="spellStart"/>
      <w:r>
        <w:t>Areasonable</w:t>
      </w:r>
      <w:proofErr w:type="spellEnd"/>
      <w:r>
        <w:t xml:space="preserve"> trier of fact could not find that the fitness for duty order was an adverse employment action. The City’s policy manual expressly authorized fitness for duty examinations. The City’s personnel policy does not list fitness for duty examinations in its discipline tiers, and Chief Cash declared he ‘did not mean it as discipline.’ Appellant was paid while on leave pending the two examinations. After passing the examinations, he was </w:t>
      </w:r>
      <w:proofErr w:type="gramStart"/>
      <w:r>
        <w:t>cleared</w:t>
      </w:r>
      <w:proofErr w:type="gramEnd"/>
      <w:r>
        <w:t xml:space="preserve"> to return to full duty in April, the month after the fitness for duty order issued. That order did not cause appellant professional harm, and such harm cannot reasonably be inferred from appellant’s resignation over a year later.”</w:t>
      </w:r>
    </w:p>
    <w:p w14:paraId="0E34588E" w14:textId="77777777" w:rsidR="00EA62D5" w:rsidRDefault="00EA62D5" w:rsidP="00EA62D5">
      <w:pPr>
        <w:pStyle w:val="NoSpacing"/>
        <w:ind w:left="720"/>
      </w:pPr>
    </w:p>
    <w:p w14:paraId="0935F3BD" w14:textId="0208A6D1" w:rsidR="00EA62D5" w:rsidRPr="009A4666" w:rsidRDefault="00EA62D5" w:rsidP="00EA62D5">
      <w:pPr>
        <w:pStyle w:val="NoSpacing"/>
        <w:rPr>
          <w:b/>
          <w:bCs/>
        </w:rPr>
      </w:pPr>
      <w:r>
        <w:rPr>
          <w:b/>
        </w:rPr>
        <w:t xml:space="preserve">Lesson learned: Psychological exam is not an adverse employment action. </w:t>
      </w:r>
    </w:p>
    <w:p w14:paraId="75D45D51" w14:textId="77777777" w:rsidR="00EA62D5" w:rsidRDefault="00EA62D5" w:rsidP="00EA62D5">
      <w:pPr>
        <w:pStyle w:val="NoSpacing"/>
        <w:rPr>
          <w:b/>
        </w:rPr>
      </w:pPr>
    </w:p>
    <w:p w14:paraId="7708821C" w14:textId="77777777" w:rsidR="00EA62D5" w:rsidRDefault="00EA62D5" w:rsidP="00F326E5">
      <w:pPr>
        <w:pStyle w:val="NoSpacing"/>
        <w:rPr>
          <w:rFonts w:ascii="Arial Black" w:hAnsi="Arial Black"/>
          <w:sz w:val="24"/>
          <w:szCs w:val="24"/>
        </w:rPr>
      </w:pPr>
    </w:p>
    <w:p w14:paraId="1DA1A392" w14:textId="77777777" w:rsidR="00D92FBD" w:rsidRDefault="00D92FBD" w:rsidP="00F326E5">
      <w:pPr>
        <w:pStyle w:val="NoSpacing"/>
        <w:rPr>
          <w:rFonts w:ascii="Arial Black" w:hAnsi="Arial Black"/>
          <w:sz w:val="24"/>
          <w:szCs w:val="24"/>
        </w:rPr>
      </w:pPr>
    </w:p>
    <w:p w14:paraId="4FF68C78" w14:textId="77777777" w:rsidR="00D92FBD" w:rsidRDefault="00D92FBD" w:rsidP="00F326E5">
      <w:pPr>
        <w:pStyle w:val="NoSpacing"/>
        <w:rPr>
          <w:rFonts w:ascii="Arial Black" w:hAnsi="Arial Black"/>
          <w:sz w:val="24"/>
          <w:szCs w:val="24"/>
        </w:rPr>
      </w:pPr>
    </w:p>
    <w:p w14:paraId="4A3DC83D" w14:textId="77777777" w:rsidR="00D92FBD" w:rsidRDefault="00D92FBD" w:rsidP="00F326E5">
      <w:pPr>
        <w:pStyle w:val="NoSpacing"/>
        <w:rPr>
          <w:rFonts w:ascii="Arial Black" w:hAnsi="Arial Black"/>
          <w:sz w:val="24"/>
          <w:szCs w:val="24"/>
        </w:rPr>
      </w:pPr>
    </w:p>
    <w:p w14:paraId="483BD300" w14:textId="4077AD3D" w:rsidR="007D54CE" w:rsidRDefault="00AD0728" w:rsidP="00F326E5">
      <w:pPr>
        <w:pStyle w:val="NoSpacing"/>
        <w:rPr>
          <w:rFonts w:ascii="Arial Black" w:hAnsi="Arial Black"/>
          <w:sz w:val="24"/>
          <w:szCs w:val="24"/>
        </w:rPr>
      </w:pPr>
      <w:r>
        <w:rPr>
          <w:rFonts w:ascii="Arial Black" w:hAnsi="Arial Black"/>
          <w:sz w:val="24"/>
          <w:szCs w:val="24"/>
        </w:rPr>
        <w:t>17-</w:t>
      </w:r>
      <w:r w:rsidR="002E26A8">
        <w:rPr>
          <w:rFonts w:ascii="Arial Black" w:hAnsi="Arial Black"/>
          <w:sz w:val="24"/>
          <w:szCs w:val="24"/>
        </w:rPr>
        <w:t>56</w:t>
      </w:r>
    </w:p>
    <w:p w14:paraId="2C14FDE4" w14:textId="77777777" w:rsidR="0079784D" w:rsidRDefault="0079784D" w:rsidP="002E26A8">
      <w:pPr>
        <w:rPr>
          <w:rFonts w:ascii="Arial Black" w:hAnsi="Arial Black"/>
          <w:sz w:val="28"/>
          <w:szCs w:val="28"/>
        </w:rPr>
      </w:pPr>
    </w:p>
    <w:p w14:paraId="0B19B00D" w14:textId="4C81D6A9" w:rsidR="002E26A8" w:rsidRDefault="002E26A8" w:rsidP="002E26A8">
      <w:pPr>
        <w:rPr>
          <w:rFonts w:ascii="Arial Black" w:hAnsi="Arial Black"/>
          <w:sz w:val="28"/>
          <w:szCs w:val="28"/>
        </w:rPr>
      </w:pPr>
      <w:r>
        <w:rPr>
          <w:rFonts w:ascii="Arial Black" w:hAnsi="Arial Black"/>
          <w:sz w:val="28"/>
          <w:szCs w:val="28"/>
        </w:rPr>
        <w:t>GA: FD WENT PART-TIME - NO BENEFITS – EVEN WK 40 HRS</w:t>
      </w:r>
    </w:p>
    <w:p w14:paraId="7383AABA" w14:textId="77777777" w:rsidR="002E26A8" w:rsidRDefault="002E26A8" w:rsidP="002E26A8">
      <w:pPr>
        <w:pStyle w:val="NoSpacing"/>
        <w:rPr>
          <w:bCs/>
        </w:rPr>
      </w:pPr>
      <w:r>
        <w:t xml:space="preserve">On September 8, 2025, in </w:t>
      </w:r>
      <w:r w:rsidRPr="00387901">
        <w:rPr>
          <w:u w:val="single"/>
        </w:rPr>
        <w:t>David Bibble</w:t>
      </w:r>
      <w:r>
        <w:rPr>
          <w:u w:val="single"/>
        </w:rPr>
        <w:t>, et al</w:t>
      </w:r>
      <w:r w:rsidRPr="00387901">
        <w:rPr>
          <w:u w:val="single"/>
        </w:rPr>
        <w:t xml:space="preserve"> v. City of Roswell</w:t>
      </w:r>
      <w:r>
        <w:t xml:space="preserve">, the </w:t>
      </w:r>
      <w:r w:rsidRPr="00C866E2">
        <w:t>Court of Appeals of Georgia, Third Division</w:t>
      </w:r>
      <w:r>
        <w:t xml:space="preserve"> held (3 to 0) that part-time firefighters, who may voluntarily work over 40 hours, are not entitled to retirement or other benefits of full-time city employees, including retirement. In 2000, FD transitioned from mostly career to part-time.</w:t>
      </w:r>
    </w:p>
    <w:p w14:paraId="1D3990C4" w14:textId="77777777" w:rsidR="002E26A8" w:rsidRDefault="002E26A8" w:rsidP="002E26A8">
      <w:pPr>
        <w:pStyle w:val="NoSpacing"/>
        <w:rPr>
          <w:bCs/>
        </w:rPr>
      </w:pPr>
    </w:p>
    <w:p w14:paraId="447377F5" w14:textId="77777777" w:rsidR="002E26A8" w:rsidRDefault="002E26A8" w:rsidP="002E26A8">
      <w:pPr>
        <w:pStyle w:val="NoSpacing"/>
        <w:rPr>
          <w:bCs/>
        </w:rPr>
      </w:pPr>
      <w:r w:rsidRPr="006D5938">
        <w:rPr>
          <w:b/>
        </w:rPr>
        <w:t>THE COURT HELD:</w:t>
      </w:r>
      <w:r>
        <w:t xml:space="preserve"> “[T]</w:t>
      </w:r>
      <w:r w:rsidRPr="00222A64">
        <w:t>he City did not require part-time firefighters to work a full-time</w:t>
      </w:r>
      <w:r>
        <w:t xml:space="preserve"> </w:t>
      </w:r>
      <w:r w:rsidRPr="00222A64">
        <w:t xml:space="preserve">firefighter schedule of 24 hours on/48 hours off, nor </w:t>
      </w:r>
      <w:proofErr w:type="gramStart"/>
      <w:r w:rsidRPr="00222A64">
        <w:t>were</w:t>
      </w:r>
      <w:proofErr w:type="gramEnd"/>
      <w:r w:rsidRPr="00222A64">
        <w:t xml:space="preserve"> they were required to work</w:t>
      </w:r>
      <w:r>
        <w:t xml:space="preserve"> </w:t>
      </w:r>
      <w:r w:rsidRPr="00222A64">
        <w:t>40 hours per week. Rather, part-time firefighters were required to work one twelve-hour weekday shift per week and one twelve-hour weekend shift per week. They were</w:t>
      </w:r>
      <w:r>
        <w:t xml:space="preserve"> </w:t>
      </w:r>
      <w:r w:rsidRPr="00222A64">
        <w:t xml:space="preserve">not required to be </w:t>
      </w:r>
      <w:proofErr w:type="gramStart"/>
      <w:r w:rsidRPr="00222A64">
        <w:t>on-call</w:t>
      </w:r>
      <w:proofErr w:type="gramEnd"/>
      <w:r w:rsidRPr="00222A64">
        <w:t>, they were not subject to being held over, and they were not</w:t>
      </w:r>
      <w:r>
        <w:t xml:space="preserve"> </w:t>
      </w:r>
      <w:r w:rsidRPr="00222A64">
        <w:t>required to work if they were unavailable. And they indicated when they were available</w:t>
      </w:r>
      <w:r>
        <w:t xml:space="preserve"> </w:t>
      </w:r>
      <w:r w:rsidRPr="00222A64">
        <w:t>to work. If any part-time firefighter chose to work more than the minimum</w:t>
      </w:r>
      <w:r>
        <w:t xml:space="preserve"> </w:t>
      </w:r>
      <w:r w:rsidRPr="00222A64">
        <w:t>requirement, they did so voluntarily</w:t>
      </w:r>
      <w:r>
        <w:t xml:space="preserve">….  Although many firefighters in part-time positions often worked more than 40 hours per week, the undisputed facts show that the plaintiffs were employed in part-time positions and worked extra hours voluntarily…. Even if the City’s scheduling of part-time firefighters to work additional hours without extending to them the benefits of full-time employment was unfair in some broad sense, ‘we are not at liberty to ignore the specific terms of the parties’ written agreement and rewrite or revise a contract under the guise of construing it.” Copeland v. Home Grown Music, Inc., 358 Ga. App. 743, 750 (1) (856 SE2d 325) (2021) (punctuation and footnote omitted).” </w:t>
      </w:r>
      <w:hyperlink r:id="rId2898" w:history="1">
        <w:r w:rsidRPr="008C7245">
          <w:rPr>
            <w:rStyle w:val="Hyperlink"/>
          </w:rPr>
          <w:t>https://cases.justia.com/georgia/court-of-appeals/2025-a25a0947.pdf?ts=1757355224</w:t>
        </w:r>
      </w:hyperlink>
    </w:p>
    <w:p w14:paraId="1CCDDA28" w14:textId="77777777" w:rsidR="002E26A8" w:rsidRDefault="002E26A8" w:rsidP="002E26A8">
      <w:pPr>
        <w:rPr>
          <w:bCs/>
        </w:rPr>
      </w:pPr>
    </w:p>
    <w:p w14:paraId="2036F671" w14:textId="77777777" w:rsidR="002E26A8" w:rsidRPr="00EF6273" w:rsidRDefault="002E26A8" w:rsidP="002E26A8">
      <w:pPr>
        <w:rPr>
          <w:b/>
        </w:rPr>
      </w:pPr>
      <w:r w:rsidRPr="00EF6273">
        <w:rPr>
          <w:b/>
        </w:rPr>
        <w:t>KEY FACTS:</w:t>
      </w:r>
    </w:p>
    <w:p w14:paraId="77991295" w14:textId="77777777" w:rsidR="002E26A8" w:rsidRPr="007E2916" w:rsidRDefault="002E26A8" w:rsidP="002E26A8">
      <w:pPr>
        <w:pStyle w:val="NoSpacing"/>
        <w:ind w:left="720"/>
        <w:rPr>
          <w:bCs/>
        </w:rPr>
      </w:pPr>
      <w:r>
        <w:t>“</w:t>
      </w:r>
      <w:r w:rsidRPr="007E2916">
        <w:t>As relevant to these appeals,</w:t>
      </w:r>
      <w:r>
        <w:t xml:space="preserve"> ‘</w:t>
      </w:r>
      <w:r w:rsidRPr="007E2916">
        <w:t>[</w:t>
      </w:r>
      <w:proofErr w:type="spellStart"/>
      <w:r w:rsidRPr="007E2916">
        <w:t>i</w:t>
      </w:r>
      <w:proofErr w:type="spellEnd"/>
      <w:r w:rsidRPr="007E2916">
        <w:t>]n 2000, the City converted from a system of employing mostly full-time</w:t>
      </w:r>
      <w:r>
        <w:t xml:space="preserve">  </w:t>
      </w:r>
      <w:r w:rsidRPr="007E2916">
        <w:t>firefighters – with some reliance on volunteer firefighters – to a system of employing</w:t>
      </w:r>
      <w:r>
        <w:t xml:space="preserve"> </w:t>
      </w:r>
      <w:r w:rsidRPr="007E2916">
        <w:t>a significant number of ‘part-time’ firefighters who are not entitled to the same</w:t>
      </w:r>
      <w:r>
        <w:t xml:space="preserve"> </w:t>
      </w:r>
      <w:r w:rsidRPr="007E2916">
        <w:t>benefits as full-time City employees.</w:t>
      </w:r>
      <w:r>
        <w:t>’</w:t>
      </w:r>
      <w:r w:rsidRPr="007E2916">
        <w:t xml:space="preserve"> Id. at 828. David Bible and Brian Rogers</w:t>
      </w:r>
    </w:p>
    <w:p w14:paraId="466ACD8C" w14:textId="77777777" w:rsidR="002E26A8" w:rsidRPr="007E2916" w:rsidRDefault="002E26A8" w:rsidP="002E26A8">
      <w:pPr>
        <w:pStyle w:val="NoSpacing"/>
        <w:ind w:firstLine="720"/>
        <w:rPr>
          <w:bCs/>
        </w:rPr>
      </w:pPr>
      <w:r w:rsidRPr="007E2916">
        <w:t>worked for the City’s Fire Department from 1992 until 2017, and from 2006 to 2018,</w:t>
      </w:r>
    </w:p>
    <w:p w14:paraId="0A5C5199" w14:textId="77777777" w:rsidR="002E26A8" w:rsidRPr="007E2916" w:rsidRDefault="002E26A8" w:rsidP="002E26A8">
      <w:pPr>
        <w:pStyle w:val="NoSpacing"/>
        <w:ind w:firstLine="720"/>
        <w:rPr>
          <w:bCs/>
        </w:rPr>
      </w:pPr>
      <w:r w:rsidRPr="007E2916">
        <w:t xml:space="preserve">respectively. Id. at 828. In August 2017, Bible and Rogers filed suit against the </w:t>
      </w:r>
      <w:proofErr w:type="gramStart"/>
      <w:r w:rsidRPr="007E2916">
        <w:t>City</w:t>
      </w:r>
      <w:proofErr w:type="gramEnd"/>
    </w:p>
    <w:p w14:paraId="12B316FA" w14:textId="77777777" w:rsidR="002E26A8" w:rsidRPr="007E2916" w:rsidRDefault="002E26A8" w:rsidP="002E26A8">
      <w:pPr>
        <w:pStyle w:val="NoSpacing"/>
        <w:ind w:firstLine="720"/>
        <w:rPr>
          <w:bCs/>
        </w:rPr>
      </w:pPr>
      <w:r w:rsidRPr="007E2916">
        <w:t xml:space="preserve">seeking to represent a class of </w:t>
      </w:r>
      <w:proofErr w:type="gramStart"/>
      <w:r w:rsidRPr="007E2916">
        <w:t>similarly-situated</w:t>
      </w:r>
      <w:proofErr w:type="gramEnd"/>
      <w:r w:rsidRPr="007E2916">
        <w:t xml:space="preserve"> firefighters, claiming that although</w:t>
      </w:r>
    </w:p>
    <w:p w14:paraId="7B8537BA" w14:textId="77777777" w:rsidR="002E26A8" w:rsidRPr="007E2916" w:rsidRDefault="002E26A8" w:rsidP="002E26A8">
      <w:pPr>
        <w:pStyle w:val="NoSpacing"/>
        <w:ind w:firstLine="720"/>
        <w:rPr>
          <w:bCs/>
        </w:rPr>
      </w:pPr>
      <w:proofErr w:type="gramStart"/>
      <w:r w:rsidRPr="007E2916">
        <w:t>they</w:t>
      </w:r>
      <w:proofErr w:type="gramEnd"/>
      <w:r w:rsidRPr="007E2916">
        <w:t xml:space="preserve"> worked at least 40 hours per week, they were improperly classified as part-time,</w:t>
      </w:r>
    </w:p>
    <w:p w14:paraId="40B7E2A4" w14:textId="77777777" w:rsidR="002E26A8" w:rsidRDefault="002E26A8" w:rsidP="002E26A8">
      <w:pPr>
        <w:pStyle w:val="NoSpacing"/>
        <w:ind w:left="720"/>
        <w:rPr>
          <w:bCs/>
        </w:rPr>
      </w:pPr>
      <w:r w:rsidRPr="007E2916">
        <w:t>which deprived them of full-time employee benefits under the City’s Human</w:t>
      </w:r>
      <w:r>
        <w:t xml:space="preserve"> </w:t>
      </w:r>
      <w:r w:rsidRPr="007E2916">
        <w:t>Resources Policies and Procedures Manual (</w:t>
      </w:r>
      <w:r>
        <w:t>‘</w:t>
      </w:r>
      <w:r w:rsidRPr="007E2916">
        <w:t>Policy Manual</w:t>
      </w:r>
      <w:r>
        <w:t>’</w:t>
      </w:r>
      <w:r w:rsidRPr="007E2916">
        <w:t>)</w:t>
      </w:r>
      <w:r>
        <w:t xml:space="preserve"> </w:t>
      </w:r>
      <w:r w:rsidRPr="009C4E57">
        <w:t>Specifically, they</w:t>
      </w:r>
      <w:r>
        <w:t xml:space="preserve"> </w:t>
      </w:r>
      <w:r w:rsidRPr="009C4E57">
        <w:t>sought retirement benefits under the City’s Defined Benefit Pension Plan, which</w:t>
      </w:r>
      <w:r>
        <w:t xml:space="preserve"> </w:t>
      </w:r>
      <w:r w:rsidRPr="009C4E57">
        <w:t>covered employees prior to March 1, 2011, and the City’s Defined Contribution Plan,</w:t>
      </w:r>
      <w:r>
        <w:t xml:space="preserve"> </w:t>
      </w:r>
      <w:r w:rsidRPr="009C4E57">
        <w:t>which covered employees hired on or after March 1, 2011</w:t>
      </w:r>
      <w:r>
        <w:t>.</w:t>
      </w:r>
    </w:p>
    <w:p w14:paraId="697E8205" w14:textId="77777777" w:rsidR="002E26A8" w:rsidRDefault="002E26A8" w:rsidP="002E26A8">
      <w:pPr>
        <w:pStyle w:val="NoSpacing"/>
        <w:ind w:left="720"/>
        <w:rPr>
          <w:bCs/>
        </w:rPr>
      </w:pPr>
    </w:p>
    <w:p w14:paraId="354EEEDB" w14:textId="77777777" w:rsidR="002E26A8" w:rsidRDefault="002E26A8" w:rsidP="002E26A8">
      <w:pPr>
        <w:pStyle w:val="NoSpacing"/>
        <w:ind w:left="720"/>
        <w:rPr>
          <w:bCs/>
        </w:rPr>
      </w:pPr>
      <w:r>
        <w:t>***</w:t>
      </w:r>
    </w:p>
    <w:p w14:paraId="302E16C2" w14:textId="77777777" w:rsidR="002E26A8" w:rsidRDefault="002E26A8" w:rsidP="002E26A8">
      <w:pPr>
        <w:pStyle w:val="NoSpacing"/>
        <w:ind w:left="720"/>
        <w:rPr>
          <w:bCs/>
        </w:rPr>
      </w:pPr>
      <w:r>
        <w:t>S</w:t>
      </w:r>
      <w:r w:rsidRPr="001E7C14">
        <w:t>ince 1983, the Policy Manual, as well as the</w:t>
      </w:r>
      <w:r>
        <w:t xml:space="preserve"> </w:t>
      </w:r>
      <w:r w:rsidRPr="001E7C14">
        <w:t>resolutions implementing it, stated that it could be amended by the City Council at</w:t>
      </w:r>
      <w:r>
        <w:t xml:space="preserve"> </w:t>
      </w:r>
      <w:r w:rsidRPr="001E7C14">
        <w:t xml:space="preserve">any time. The July 2002 version stated that the </w:t>
      </w:r>
      <w:r>
        <w:t>‘</w:t>
      </w:r>
      <w:r w:rsidRPr="001E7C14">
        <w:t>City reserves the right to amend,</w:t>
      </w:r>
      <w:r>
        <w:t xml:space="preserve"> </w:t>
      </w:r>
      <w:r w:rsidRPr="001E7C14">
        <w:t>modify, change, replace, suspend, or cancel any of its policies and procedures,</w:t>
      </w:r>
      <w:r>
        <w:t xml:space="preserve"> </w:t>
      </w:r>
      <w:r w:rsidRPr="001E7C14">
        <w:t>including this Manual, at any time, with or without notice, for any reason or no</w:t>
      </w:r>
      <w:r>
        <w:t xml:space="preserve"> </w:t>
      </w:r>
      <w:r w:rsidRPr="001E7C14">
        <w:t>reason[.]</w:t>
      </w:r>
      <w:r>
        <w:t>’</w:t>
      </w:r>
      <w:r w:rsidRPr="001E7C14">
        <w:t xml:space="preserve"> Once again, both named plaintiffs acknowledged receiving letters from the</w:t>
      </w:r>
      <w:r>
        <w:t xml:space="preserve"> </w:t>
      </w:r>
      <w:r w:rsidRPr="001E7C14">
        <w:t>City which accompanied the Policy Manual and stated that the Policy Manual was</w:t>
      </w:r>
      <w:r>
        <w:t xml:space="preserve"> </w:t>
      </w:r>
      <w:r w:rsidRPr="001E7C14">
        <w:t>subject to review and change by the City at any time. See OCGA § 13-1-1 (</w:t>
      </w:r>
      <w:r>
        <w:t>‘</w:t>
      </w:r>
      <w:r w:rsidRPr="001E7C14">
        <w:t>A contract</w:t>
      </w:r>
      <w:r>
        <w:t xml:space="preserve"> </w:t>
      </w:r>
      <w:r w:rsidRPr="001E7C14">
        <w:t>is an agreement between two or more parties for the doing or not doing of some</w:t>
      </w:r>
      <w:r>
        <w:t xml:space="preserve"> </w:t>
      </w:r>
      <w:r w:rsidRPr="001E7C14">
        <w:t>specified thing.</w:t>
      </w:r>
      <w:r>
        <w:t>’</w:t>
      </w:r>
      <w:r w:rsidRPr="001E7C14">
        <w:t>).</w:t>
      </w:r>
      <w:r>
        <w:t>”</w:t>
      </w:r>
    </w:p>
    <w:p w14:paraId="732BEA17" w14:textId="77777777" w:rsidR="002E26A8" w:rsidRDefault="002E26A8" w:rsidP="002E26A8">
      <w:pPr>
        <w:pStyle w:val="NoSpacing"/>
        <w:ind w:left="720"/>
      </w:pPr>
    </w:p>
    <w:p w14:paraId="76C0577C" w14:textId="77777777" w:rsidR="002E26A8" w:rsidRDefault="002E26A8" w:rsidP="002E26A8">
      <w:pPr>
        <w:pStyle w:val="NoSpacing"/>
        <w:rPr>
          <w:b/>
          <w:bCs/>
        </w:rPr>
      </w:pPr>
      <w:r>
        <w:rPr>
          <w:b/>
        </w:rPr>
        <w:t xml:space="preserve">Legal lesson learned: Part-time personnel who voluntarily offer to work over 40 hours in a work week do not therefore become </w:t>
      </w:r>
      <w:proofErr w:type="gramStart"/>
      <w:r>
        <w:rPr>
          <w:b/>
        </w:rPr>
        <w:t>full time</w:t>
      </w:r>
      <w:proofErr w:type="gramEnd"/>
      <w:r>
        <w:rPr>
          <w:b/>
        </w:rPr>
        <w:t xml:space="preserve"> employees entitled to full-time benefits. </w:t>
      </w:r>
    </w:p>
    <w:p w14:paraId="60893741" w14:textId="77777777" w:rsidR="002E26A8" w:rsidRDefault="002E26A8" w:rsidP="00F326E5">
      <w:pPr>
        <w:pStyle w:val="NoSpacing"/>
        <w:rPr>
          <w:rFonts w:ascii="Arial Black" w:hAnsi="Arial Black"/>
          <w:sz w:val="24"/>
          <w:szCs w:val="24"/>
        </w:rPr>
      </w:pPr>
    </w:p>
    <w:p w14:paraId="2C7A8C2E" w14:textId="77777777" w:rsidR="00AD0728" w:rsidRDefault="00AD0728" w:rsidP="00FD6F7D">
      <w:pPr>
        <w:pStyle w:val="NoSpacing"/>
        <w:rPr>
          <w:rFonts w:ascii="Arial Black" w:hAnsi="Arial Black"/>
          <w:sz w:val="24"/>
          <w:szCs w:val="24"/>
        </w:rPr>
      </w:pPr>
    </w:p>
    <w:p w14:paraId="3586ADE4" w14:textId="77777777" w:rsidR="00AD0728" w:rsidRDefault="00AD0728" w:rsidP="00FD6F7D">
      <w:pPr>
        <w:pStyle w:val="NoSpacing"/>
        <w:rPr>
          <w:rFonts w:ascii="Arial Black" w:hAnsi="Arial Black"/>
          <w:sz w:val="24"/>
          <w:szCs w:val="24"/>
        </w:rPr>
      </w:pPr>
    </w:p>
    <w:p w14:paraId="7D88F7F2" w14:textId="77777777" w:rsidR="00AD0728" w:rsidRDefault="00AD0728" w:rsidP="00FD6F7D">
      <w:pPr>
        <w:pStyle w:val="NoSpacing"/>
        <w:rPr>
          <w:rFonts w:ascii="Arial Black" w:hAnsi="Arial Black"/>
          <w:sz w:val="24"/>
          <w:szCs w:val="24"/>
        </w:rPr>
      </w:pPr>
    </w:p>
    <w:p w14:paraId="35B6232D" w14:textId="0AC9DF52" w:rsidR="00834E72" w:rsidRDefault="00834E72" w:rsidP="00FD6F7D">
      <w:pPr>
        <w:pStyle w:val="NoSpacing"/>
        <w:rPr>
          <w:rFonts w:ascii="Arial Black" w:hAnsi="Arial Black"/>
          <w:sz w:val="24"/>
          <w:szCs w:val="24"/>
        </w:rPr>
      </w:pPr>
      <w:r>
        <w:rPr>
          <w:rFonts w:ascii="Arial Black" w:hAnsi="Arial Black"/>
          <w:sz w:val="24"/>
          <w:szCs w:val="24"/>
        </w:rPr>
        <w:t>17-55</w:t>
      </w:r>
    </w:p>
    <w:p w14:paraId="0A0DAA3F" w14:textId="77777777" w:rsidR="003D1961" w:rsidRDefault="003D1961" w:rsidP="00834E72">
      <w:pPr>
        <w:rPr>
          <w:rFonts w:ascii="Arial Black" w:hAnsi="Arial Black"/>
          <w:b/>
          <w:sz w:val="28"/>
          <w:szCs w:val="28"/>
        </w:rPr>
      </w:pPr>
    </w:p>
    <w:p w14:paraId="79909903" w14:textId="5928B752" w:rsidR="00834E72" w:rsidRDefault="00834E72" w:rsidP="00834E72">
      <w:pPr>
        <w:rPr>
          <w:rFonts w:ascii="Arial Black" w:hAnsi="Arial Black"/>
          <w:b/>
          <w:sz w:val="28"/>
          <w:szCs w:val="28"/>
        </w:rPr>
      </w:pPr>
      <w:r>
        <w:rPr>
          <w:rFonts w:ascii="Arial Black" w:hAnsi="Arial Black"/>
          <w:b/>
          <w:sz w:val="28"/>
          <w:szCs w:val="28"/>
        </w:rPr>
        <w:t>TX: HOUSTON - $650M BACK PAY – A/Cs SUE BE INCLUDED</w:t>
      </w:r>
    </w:p>
    <w:p w14:paraId="3B4B024C" w14:textId="77777777" w:rsidR="00834E72" w:rsidRPr="008E3387" w:rsidRDefault="00834E72" w:rsidP="00834E72">
      <w:pPr>
        <w:pStyle w:val="NoSpacing"/>
        <w:rPr>
          <w:rFonts w:ascii="Times New Roman" w:hAnsi="Times New Roman"/>
          <w:bCs/>
          <w:sz w:val="24"/>
          <w:szCs w:val="24"/>
        </w:rPr>
      </w:pPr>
      <w:r w:rsidRPr="008E3387">
        <w:rPr>
          <w:rFonts w:ascii="Times New Roman" w:hAnsi="Times New Roman"/>
          <w:sz w:val="24"/>
          <w:szCs w:val="24"/>
        </w:rPr>
        <w:t xml:space="preserve">On July 15, 2025, in </w:t>
      </w:r>
      <w:r w:rsidRPr="008E3387">
        <w:rPr>
          <w:rFonts w:ascii="Times New Roman" w:hAnsi="Times New Roman"/>
          <w:sz w:val="24"/>
          <w:szCs w:val="24"/>
          <w:u w:val="single"/>
        </w:rPr>
        <w:t>City of Houston, Texas v. Alfredo Martinez, et al</w:t>
      </w:r>
      <w:r w:rsidRPr="008E3387">
        <w:rPr>
          <w:rFonts w:ascii="Times New Roman" w:hAnsi="Times New Roman"/>
          <w:sz w:val="24"/>
          <w:szCs w:val="24"/>
        </w:rPr>
        <w:t xml:space="preserve">., the Texas Fourteenth Court of Appeals held (3 to 0) that 13 Assistant Fire Chiefs may intervene in case that has been pending for eight years and may sue the Houston Professional Fire Fighters’ Association, Local 341, for breach of the duty of fair representation.  Court also held that City has immunity.  In March 2024, the Association and City negotiated $650 million back pay settlement; the Assistant Fire Chiefs were “shocked” when the Association told them they were not included in the settlement, and they seek declaratory and compensatory relief.  The Association originally acted as the fire fighters’ exclusive bargaining agent and asserted claims on behalf of </w:t>
      </w:r>
      <w:proofErr w:type="gramStart"/>
      <w:r w:rsidRPr="008E3387">
        <w:rPr>
          <w:rFonts w:ascii="Times New Roman" w:hAnsi="Times New Roman"/>
          <w:sz w:val="24"/>
          <w:szCs w:val="24"/>
        </w:rPr>
        <w:t>all of</w:t>
      </w:r>
      <w:proofErr w:type="gramEnd"/>
      <w:r w:rsidRPr="008E3387">
        <w:rPr>
          <w:rFonts w:ascii="Times New Roman" w:hAnsi="Times New Roman"/>
          <w:sz w:val="24"/>
          <w:szCs w:val="24"/>
        </w:rPr>
        <w:t xml:space="preserve"> the City’s “fire fighters.” But then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and the Association agreed that the Association would not act as the Assistant Chiefs’ bargaining agent and characterized the back pay as “overtime.” THE COURT HELD: “The gravamen of their complaint against the Association is that the Association, as the fire fighters’ exclusive bargaining agent, owed them the duty to bargain on their behalf for compensation comparable to the prevailing compensation for similar work in the private sector, and that the Association breached that duty by failing to act as their bargaining agent at all or by otherwise preventing them from benefiting from the settlement agreement. Their claims against the Association can properly be characterized as requests for the trial court to enforce the Association’s statutory duty to act as the Intervenors’ [Assistant Fire Chiefs] bargaining agent and to collectively bargain on their behalf. The trial court has jurisdiction to address such claims under section 174.251 of the FPERA [Texas Fire and Police Employee Relations Act] as well as under its general jurisdiction. *** We conclude that the Association has failed to show its entitlement to mandamus relief.” </w:t>
      </w:r>
      <w:hyperlink r:id="rId2899" w:history="1">
        <w:r w:rsidRPr="008E3387">
          <w:rPr>
            <w:rStyle w:val="Hyperlink"/>
            <w:rFonts w:ascii="Times New Roman" w:hAnsi="Times New Roman"/>
            <w:sz w:val="24"/>
            <w:szCs w:val="24"/>
          </w:rPr>
          <w:t>https://cases.justia.com/texas/fourteenth-court-of-appeals/2025-14-24-00613-cv.pdf?ts=1752594731</w:t>
        </w:r>
      </w:hyperlink>
      <w:r w:rsidRPr="008E3387">
        <w:rPr>
          <w:rFonts w:ascii="Times New Roman" w:hAnsi="Times New Roman"/>
          <w:sz w:val="24"/>
          <w:szCs w:val="24"/>
        </w:rPr>
        <w:t xml:space="preserve"> </w:t>
      </w:r>
    </w:p>
    <w:p w14:paraId="496D1A23" w14:textId="77777777" w:rsidR="00834E72" w:rsidRPr="008E3387" w:rsidRDefault="00834E72" w:rsidP="00FD6F7D">
      <w:pPr>
        <w:pStyle w:val="NoSpacing"/>
        <w:rPr>
          <w:rFonts w:ascii="Times New Roman" w:hAnsi="Times New Roman"/>
          <w:sz w:val="24"/>
          <w:szCs w:val="24"/>
        </w:rPr>
      </w:pPr>
    </w:p>
    <w:p w14:paraId="7696809A" w14:textId="77777777" w:rsidR="008E3387" w:rsidRPr="008E3387" w:rsidRDefault="008E3387" w:rsidP="008E3387">
      <w:pPr>
        <w:pStyle w:val="NoSpacing"/>
        <w:rPr>
          <w:rFonts w:ascii="Times New Roman" w:hAnsi="Times New Roman"/>
          <w:b/>
          <w:sz w:val="24"/>
          <w:szCs w:val="24"/>
        </w:rPr>
      </w:pPr>
      <w:r w:rsidRPr="008E3387">
        <w:rPr>
          <w:rFonts w:ascii="Times New Roman" w:hAnsi="Times New Roman"/>
          <w:b/>
          <w:sz w:val="24"/>
          <w:szCs w:val="24"/>
        </w:rPr>
        <w:t xml:space="preserve">Legal lesson learned: Unions have a duty of fair representation of all its members; this case will now proceed to pre-trial discovery. </w:t>
      </w:r>
    </w:p>
    <w:p w14:paraId="06D0956D" w14:textId="77777777" w:rsidR="008E3387" w:rsidRPr="008E3387" w:rsidRDefault="008E3387" w:rsidP="008E3387">
      <w:pPr>
        <w:pStyle w:val="NoSpacing"/>
        <w:rPr>
          <w:rFonts w:ascii="Times New Roman" w:hAnsi="Times New Roman"/>
          <w:bCs/>
          <w:sz w:val="24"/>
          <w:szCs w:val="24"/>
        </w:rPr>
      </w:pPr>
    </w:p>
    <w:p w14:paraId="0B012548" w14:textId="77777777" w:rsidR="008E3387" w:rsidRPr="008E3387" w:rsidRDefault="008E3387" w:rsidP="008E3387">
      <w:pPr>
        <w:pStyle w:val="NoSpacing"/>
        <w:ind w:left="720"/>
        <w:rPr>
          <w:rFonts w:ascii="Times New Roman" w:hAnsi="Times New Roman"/>
          <w:bCs/>
          <w:sz w:val="24"/>
          <w:szCs w:val="24"/>
        </w:rPr>
      </w:pPr>
      <w:r w:rsidRPr="008E3387">
        <w:rPr>
          <w:rFonts w:ascii="Times New Roman" w:hAnsi="Times New Roman"/>
          <w:sz w:val="24"/>
          <w:szCs w:val="24"/>
        </w:rPr>
        <w:t xml:space="preserve">Note: The Court also held that City has immunity in this lawsuit. “The City contends that the FPERA does not waive immunity from the Intervenors’ claims for proceeds from the settlement agreement or for a declaration of their rights under it. In this,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is correct…. But we agree with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that it is immune from suit on the Intervenors’ foregoing requests for declaratory relief and on their claims for proceeds from the settlement agreement. Because those are not claims to enforce the FPERA,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retains immunity as to those claims.</w:t>
      </w:r>
    </w:p>
    <w:p w14:paraId="5C9C6333" w14:textId="77777777" w:rsidR="008E3387" w:rsidRPr="008E3387" w:rsidRDefault="008E3387" w:rsidP="00FD6F7D">
      <w:pPr>
        <w:pStyle w:val="NoSpacing"/>
        <w:rPr>
          <w:rFonts w:ascii="Times New Roman" w:hAnsi="Times New Roman"/>
          <w:sz w:val="24"/>
          <w:szCs w:val="24"/>
        </w:rPr>
      </w:pPr>
    </w:p>
    <w:p w14:paraId="1BBA292E" w14:textId="77777777" w:rsidR="00834E72" w:rsidRDefault="00834E72" w:rsidP="00FD6F7D">
      <w:pPr>
        <w:pStyle w:val="NoSpacing"/>
        <w:rPr>
          <w:rFonts w:ascii="Arial Black" w:hAnsi="Arial Black"/>
          <w:sz w:val="24"/>
          <w:szCs w:val="24"/>
        </w:rPr>
      </w:pPr>
    </w:p>
    <w:p w14:paraId="279B9BD1" w14:textId="77777777" w:rsidR="00834E72" w:rsidRDefault="00834E72" w:rsidP="00FD6F7D">
      <w:pPr>
        <w:pStyle w:val="NoSpacing"/>
        <w:rPr>
          <w:rFonts w:ascii="Arial Black" w:hAnsi="Arial Black"/>
          <w:sz w:val="24"/>
          <w:szCs w:val="24"/>
        </w:rPr>
      </w:pPr>
    </w:p>
    <w:p w14:paraId="0176BBC6" w14:textId="4FCA86A1" w:rsidR="00FD6F7D" w:rsidRDefault="00FD6F7D" w:rsidP="00FD6F7D">
      <w:pPr>
        <w:pStyle w:val="NoSpacing"/>
        <w:rPr>
          <w:rFonts w:ascii="Arial Black" w:hAnsi="Arial Black"/>
          <w:sz w:val="24"/>
          <w:szCs w:val="24"/>
        </w:rPr>
      </w:pPr>
      <w:r>
        <w:rPr>
          <w:rFonts w:ascii="Arial Black" w:hAnsi="Arial Black"/>
          <w:sz w:val="24"/>
          <w:szCs w:val="24"/>
        </w:rPr>
        <w:t>17-54</w:t>
      </w:r>
    </w:p>
    <w:p w14:paraId="4643DA90" w14:textId="7A5A9E45" w:rsidR="00FD6F7D" w:rsidRDefault="00FD6F7D" w:rsidP="00F326E5">
      <w:pPr>
        <w:pStyle w:val="NoSpacing"/>
        <w:rPr>
          <w:rFonts w:ascii="Arial Black" w:hAnsi="Arial Black"/>
          <w:sz w:val="24"/>
          <w:szCs w:val="24"/>
        </w:rPr>
      </w:pPr>
    </w:p>
    <w:p w14:paraId="0102EE78" w14:textId="77777777" w:rsidR="00316D92" w:rsidRPr="005F2110" w:rsidRDefault="00316D92" w:rsidP="00316D92">
      <w:pPr>
        <w:rPr>
          <w:rFonts w:ascii="Arial Black" w:hAnsi="Arial Black"/>
          <w:b/>
          <w:sz w:val="28"/>
          <w:szCs w:val="28"/>
        </w:rPr>
      </w:pPr>
      <w:r>
        <w:rPr>
          <w:rFonts w:ascii="Arial Black" w:hAnsi="Arial Black"/>
          <w:b/>
          <w:sz w:val="28"/>
          <w:szCs w:val="28"/>
        </w:rPr>
        <w:t xml:space="preserve">LA: IAFF OFFICER / CAPT. FIRED – CALLED BOARD MEMBERS </w:t>
      </w:r>
    </w:p>
    <w:p w14:paraId="0A1922EA" w14:textId="1030CAB9" w:rsidR="007D737C" w:rsidRPr="000F7D4E" w:rsidRDefault="00A57516" w:rsidP="00520903">
      <w:pPr>
        <w:pStyle w:val="NoSpacing"/>
        <w:rPr>
          <w:rFonts w:ascii="Times New Roman" w:hAnsi="Times New Roman"/>
          <w:sz w:val="24"/>
          <w:szCs w:val="24"/>
        </w:rPr>
      </w:pPr>
      <w:r w:rsidRPr="000F7D4E">
        <w:rPr>
          <w:rFonts w:ascii="Times New Roman" w:hAnsi="Times New Roman"/>
          <w:sz w:val="24"/>
          <w:szCs w:val="24"/>
        </w:rPr>
        <w:t xml:space="preserve">On June 12, 2025, in </w:t>
      </w:r>
      <w:r w:rsidRPr="000F7D4E">
        <w:rPr>
          <w:rFonts w:ascii="Times New Roman" w:hAnsi="Times New Roman"/>
          <w:sz w:val="24"/>
          <w:szCs w:val="24"/>
          <w:u w:val="single"/>
        </w:rPr>
        <w:t>Jonathan Gramm v. Fire District 9, Desoto Parish, et al</w:t>
      </w:r>
      <w:r w:rsidRPr="000F7D4E">
        <w:rPr>
          <w:rFonts w:ascii="Times New Roman" w:hAnsi="Times New Roman"/>
          <w:sz w:val="24"/>
          <w:szCs w:val="24"/>
        </w:rPr>
        <w:t xml:space="preserve">., U.S. District Court Judge S. Maurice Hicks, Jr., United States District Court for Western District of Louisiana, Shreveport Division, denied the Desoto Parish motion to dismiss the case; Jonathan Gramm has a First Amendment claim that will proceed to pre-trial discovery.  He was hired in 2014, is a Captain, and in July 2017 helped organize IAFF Local 5138, and elected its Secretary-Treasurer. On September 18, </w:t>
      </w:r>
      <w:proofErr w:type="gramStart"/>
      <w:r w:rsidRPr="000F7D4E">
        <w:rPr>
          <w:rFonts w:ascii="Times New Roman" w:hAnsi="Times New Roman"/>
          <w:sz w:val="24"/>
          <w:szCs w:val="24"/>
        </w:rPr>
        <w:t>2023</w:t>
      </w:r>
      <w:proofErr w:type="gramEnd"/>
      <w:r w:rsidRPr="000F7D4E">
        <w:rPr>
          <w:rFonts w:ascii="Times New Roman" w:hAnsi="Times New Roman"/>
          <w:sz w:val="24"/>
          <w:szCs w:val="24"/>
        </w:rPr>
        <w:t xml:space="preserve"> learned that an upcoming meeting of the Fire Board was going to vote on new </w:t>
      </w:r>
      <w:proofErr w:type="gramStart"/>
      <w:r w:rsidRPr="000F7D4E">
        <w:rPr>
          <w:rFonts w:ascii="Times New Roman" w:hAnsi="Times New Roman"/>
          <w:sz w:val="24"/>
          <w:szCs w:val="24"/>
        </w:rPr>
        <w:t>vehicle</w:t>
      </w:r>
      <w:proofErr w:type="gramEnd"/>
      <w:r w:rsidRPr="000F7D4E">
        <w:rPr>
          <w:rFonts w:ascii="Times New Roman" w:hAnsi="Times New Roman"/>
          <w:sz w:val="24"/>
          <w:szCs w:val="24"/>
        </w:rPr>
        <w:t xml:space="preserve"> for the Fire Chief.  At the union’s request, </w:t>
      </w:r>
      <w:proofErr w:type="gramStart"/>
      <w:r w:rsidRPr="000F7D4E">
        <w:rPr>
          <w:rFonts w:ascii="Times New Roman" w:hAnsi="Times New Roman"/>
          <w:sz w:val="24"/>
          <w:szCs w:val="24"/>
        </w:rPr>
        <w:t>Gramm</w:t>
      </w:r>
      <w:proofErr w:type="gramEnd"/>
      <w:r w:rsidRPr="000F7D4E">
        <w:rPr>
          <w:rFonts w:ascii="Times New Roman" w:hAnsi="Times New Roman"/>
          <w:sz w:val="24"/>
          <w:szCs w:val="24"/>
        </w:rPr>
        <w:t xml:space="preserve"> while off </w:t>
      </w:r>
      <w:proofErr w:type="gramStart"/>
      <w:r w:rsidRPr="000F7D4E">
        <w:rPr>
          <w:rFonts w:ascii="Times New Roman" w:hAnsi="Times New Roman"/>
          <w:sz w:val="24"/>
          <w:szCs w:val="24"/>
        </w:rPr>
        <w:t>duty</w:t>
      </w:r>
      <w:proofErr w:type="gramEnd"/>
      <w:r w:rsidRPr="000F7D4E">
        <w:rPr>
          <w:rFonts w:ascii="Times New Roman" w:hAnsi="Times New Roman"/>
          <w:sz w:val="24"/>
          <w:szCs w:val="24"/>
        </w:rPr>
        <w:t xml:space="preserve"> called two Commissioners on their cell phones to express opposition to new vehicle purchase.  The following morning the Fire Chief King put him on administrative leave; he was fired on Nov. 27, 2023.  THE COURT HELD: “[T]he Court finds that Gramm has sufficiently pled a plausible claim for relief as to Counts I and III. He alleges that he engaged in </w:t>
      </w:r>
      <w:proofErr w:type="gramStart"/>
      <w:r w:rsidRPr="000F7D4E">
        <w:rPr>
          <w:rFonts w:ascii="Times New Roman" w:hAnsi="Times New Roman"/>
          <w:sz w:val="24"/>
          <w:szCs w:val="24"/>
        </w:rPr>
        <w:t>an</w:t>
      </w:r>
      <w:r w:rsidR="00FD6F7D">
        <w:rPr>
          <w:rFonts w:ascii="Times New Roman" w:hAnsi="Times New Roman"/>
          <w:sz w:val="24"/>
          <w:szCs w:val="24"/>
        </w:rPr>
        <w:t xml:space="preserve"> </w:t>
      </w:r>
      <w:r w:rsidRPr="000F7D4E">
        <w:rPr>
          <w:rFonts w:ascii="Times New Roman" w:hAnsi="Times New Roman"/>
          <w:sz w:val="24"/>
          <w:szCs w:val="24"/>
        </w:rPr>
        <w:t>external</w:t>
      </w:r>
      <w:proofErr w:type="gramEnd"/>
      <w:r w:rsidRPr="000F7D4E">
        <w:rPr>
          <w:rFonts w:ascii="Times New Roman" w:hAnsi="Times New Roman"/>
          <w:sz w:val="24"/>
          <w:szCs w:val="24"/>
        </w:rPr>
        <w:t xml:space="preserve"> communication when he complained to the Commissioners over the phone regarding the distribution of public funds. This communication can support a claim for </w:t>
      </w:r>
      <w:proofErr w:type="gramStart"/>
      <w:r w:rsidRPr="000F7D4E">
        <w:rPr>
          <w:rFonts w:ascii="Times New Roman" w:hAnsi="Times New Roman"/>
          <w:sz w:val="24"/>
          <w:szCs w:val="24"/>
        </w:rPr>
        <w:t>free speech</w:t>
      </w:r>
      <w:proofErr w:type="gramEnd"/>
      <w:r w:rsidRPr="000F7D4E">
        <w:rPr>
          <w:rFonts w:ascii="Times New Roman" w:hAnsi="Times New Roman"/>
          <w:sz w:val="24"/>
          <w:szCs w:val="24"/>
        </w:rPr>
        <w:t xml:space="preserve"> retaliation, as it was made outside of Gramm's duty as a firefighter captain and addressed an issue that could qualify as a matter for public concern. Therefore, Defendants' Motion with respect to Counts I and III is DENIED. Gramm's claims under § 1983 for a violation of his rights to free speech and to petition pursuant to the First and Fourteenth Amendments remain.” </w:t>
      </w:r>
      <w:hyperlink r:id="rId2900" w:history="1">
        <w:r w:rsidRPr="000F7D4E">
          <w:rPr>
            <w:rStyle w:val="Hyperlink"/>
            <w:rFonts w:ascii="Times New Roman" w:hAnsi="Times New Roman"/>
            <w:sz w:val="24"/>
            <w:szCs w:val="24"/>
          </w:rPr>
          <w:t>https://public.fastcase.com/jaEE2PXzRXmZ99jOLMt1Ir%2Bgd4DeQSRcdUE7IJV4ZHQFjK4R6%2FaVKxoGJags6yJ8?utm_medium=email&amp;_hsenc=p2ANqtz-9_dtoT8MCHWol7MkpFQEKniJ3EcCAHTOONesHADifFFZppYBhmnp0t7X96SaR0z0JseLLFRZzCLhs4WSwU0MvvvFbR6g&amp;_hsmi=226712652&amp;utm_content=226712652&amp;utm_source=hs_email</w:t>
        </w:r>
      </w:hyperlink>
    </w:p>
    <w:p w14:paraId="6A8A222F" w14:textId="77777777" w:rsidR="007D737C" w:rsidRPr="000F7D4E" w:rsidRDefault="007D737C" w:rsidP="00520903">
      <w:pPr>
        <w:pStyle w:val="NoSpacing"/>
        <w:rPr>
          <w:rFonts w:ascii="Times New Roman" w:hAnsi="Times New Roman"/>
          <w:sz w:val="24"/>
          <w:szCs w:val="24"/>
        </w:rPr>
      </w:pPr>
    </w:p>
    <w:p w14:paraId="59CFFFA7" w14:textId="090BD99B" w:rsidR="000F7D4E" w:rsidRPr="000F7D4E" w:rsidRDefault="000F7D4E" w:rsidP="000F7D4E">
      <w:pPr>
        <w:rPr>
          <w:rFonts w:ascii="Times New Roman" w:hAnsi="Times New Roman"/>
          <w:b/>
          <w:sz w:val="24"/>
          <w:szCs w:val="24"/>
        </w:rPr>
      </w:pPr>
      <w:r w:rsidRPr="000F7D4E">
        <w:rPr>
          <w:rFonts w:ascii="Times New Roman" w:hAnsi="Times New Roman"/>
          <w:b/>
          <w:sz w:val="24"/>
          <w:szCs w:val="24"/>
        </w:rPr>
        <w:t xml:space="preserve">Legal lesson learned:  </w:t>
      </w:r>
      <w:r w:rsidRPr="000F7D4E">
        <w:rPr>
          <w:rFonts w:ascii="Times New Roman" w:hAnsi="Times New Roman"/>
          <w:b/>
          <w:bCs/>
          <w:sz w:val="24"/>
          <w:szCs w:val="24"/>
        </w:rPr>
        <w:t xml:space="preserve">When union is going to present to Board, union </w:t>
      </w:r>
      <w:r w:rsidRPr="000F7D4E">
        <w:rPr>
          <w:rFonts w:ascii="Times New Roman" w:hAnsi="Times New Roman"/>
          <w:b/>
          <w:sz w:val="24"/>
          <w:szCs w:val="24"/>
        </w:rPr>
        <w:t xml:space="preserve">President should </w:t>
      </w:r>
      <w:r w:rsidRPr="000F7D4E">
        <w:rPr>
          <w:rFonts w:ascii="Times New Roman" w:hAnsi="Times New Roman"/>
          <w:b/>
          <w:bCs/>
          <w:sz w:val="24"/>
          <w:szCs w:val="24"/>
        </w:rPr>
        <w:t xml:space="preserve">first </w:t>
      </w:r>
      <w:r w:rsidRPr="000F7D4E">
        <w:rPr>
          <w:rFonts w:ascii="Times New Roman" w:hAnsi="Times New Roman"/>
          <w:b/>
          <w:sz w:val="24"/>
          <w:szCs w:val="24"/>
        </w:rPr>
        <w:t>inform Fire Chief</w:t>
      </w:r>
      <w:r w:rsidR="008051F6">
        <w:rPr>
          <w:rFonts w:ascii="Times New Roman" w:hAnsi="Times New Roman"/>
          <w:b/>
          <w:sz w:val="24"/>
          <w:szCs w:val="24"/>
        </w:rPr>
        <w:t xml:space="preserve"> prior to presentation. </w:t>
      </w:r>
      <w:r w:rsidRPr="000F7D4E">
        <w:rPr>
          <w:rFonts w:ascii="Times New Roman" w:hAnsi="Times New Roman"/>
          <w:b/>
          <w:bCs/>
          <w:sz w:val="24"/>
          <w:szCs w:val="24"/>
        </w:rPr>
        <w:t xml:space="preserve"> </w:t>
      </w:r>
    </w:p>
    <w:p w14:paraId="44C1CC86" w14:textId="77777777" w:rsidR="000F7D4E" w:rsidRDefault="000F7D4E" w:rsidP="00520903">
      <w:pPr>
        <w:pStyle w:val="NoSpacing"/>
        <w:rPr>
          <w:rFonts w:ascii="Arial Black" w:hAnsi="Arial Black"/>
          <w:sz w:val="28"/>
          <w:szCs w:val="28"/>
        </w:rPr>
      </w:pPr>
    </w:p>
    <w:p w14:paraId="34DD16E3" w14:textId="2AEF4FCD" w:rsidR="00FD6F7D" w:rsidRDefault="00FD6F7D" w:rsidP="00FD6F7D">
      <w:pPr>
        <w:pStyle w:val="NoSpacing"/>
        <w:rPr>
          <w:rFonts w:ascii="Arial Black" w:hAnsi="Arial Black"/>
          <w:sz w:val="24"/>
          <w:szCs w:val="24"/>
        </w:rPr>
      </w:pPr>
      <w:r>
        <w:rPr>
          <w:rFonts w:ascii="Arial Black" w:hAnsi="Arial Black"/>
          <w:sz w:val="24"/>
          <w:szCs w:val="24"/>
        </w:rPr>
        <w:t>17-53</w:t>
      </w:r>
    </w:p>
    <w:p w14:paraId="6987BDD3" w14:textId="77777777" w:rsidR="007D737C" w:rsidRDefault="007D737C" w:rsidP="00520903">
      <w:pPr>
        <w:pStyle w:val="NoSpacing"/>
        <w:rPr>
          <w:rFonts w:ascii="Arial Black" w:hAnsi="Arial Black"/>
          <w:sz w:val="28"/>
          <w:szCs w:val="28"/>
        </w:rPr>
      </w:pPr>
    </w:p>
    <w:p w14:paraId="30539A88" w14:textId="504E5E62" w:rsidR="00520903" w:rsidRPr="006F2B87" w:rsidRDefault="00520903" w:rsidP="00520903">
      <w:pPr>
        <w:pStyle w:val="NoSpacing"/>
        <w:rPr>
          <w:rFonts w:ascii="Arial Black" w:hAnsi="Arial Black"/>
          <w:sz w:val="28"/>
          <w:szCs w:val="28"/>
        </w:rPr>
      </w:pPr>
      <w:r w:rsidRPr="006F2B87">
        <w:rPr>
          <w:rFonts w:ascii="Arial Black" w:hAnsi="Arial Black"/>
          <w:sz w:val="28"/>
          <w:szCs w:val="28"/>
        </w:rPr>
        <w:t xml:space="preserve">CA:  TWO CAPTAINS </w:t>
      </w:r>
      <w:r w:rsidR="007E3F8D">
        <w:rPr>
          <w:rFonts w:ascii="Arial Black" w:hAnsi="Arial Black"/>
          <w:sz w:val="28"/>
          <w:szCs w:val="28"/>
        </w:rPr>
        <w:t xml:space="preserve">– POOR INTERVIEWS - </w:t>
      </w:r>
      <w:r w:rsidRPr="006F2B87">
        <w:rPr>
          <w:rFonts w:ascii="Arial Black" w:hAnsi="Arial Black"/>
          <w:sz w:val="28"/>
          <w:szCs w:val="28"/>
        </w:rPr>
        <w:t>NO</w:t>
      </w:r>
      <w:r>
        <w:rPr>
          <w:rFonts w:ascii="Arial Black" w:hAnsi="Arial Black"/>
          <w:sz w:val="28"/>
          <w:szCs w:val="28"/>
        </w:rPr>
        <w:t xml:space="preserve">T </w:t>
      </w:r>
      <w:r w:rsidRPr="006F2B87">
        <w:rPr>
          <w:rFonts w:ascii="Arial Black" w:hAnsi="Arial Black"/>
          <w:sz w:val="28"/>
          <w:szCs w:val="28"/>
        </w:rPr>
        <w:t xml:space="preserve">RETALIATION </w:t>
      </w:r>
    </w:p>
    <w:p w14:paraId="125C2708" w14:textId="77777777" w:rsidR="00520903" w:rsidRPr="006F2B87" w:rsidRDefault="00520903" w:rsidP="00520903">
      <w:pPr>
        <w:pStyle w:val="NoSpacing"/>
      </w:pPr>
    </w:p>
    <w:p w14:paraId="7452064A" w14:textId="77777777" w:rsidR="00520903" w:rsidRPr="00520903" w:rsidRDefault="00520903" w:rsidP="00520903">
      <w:pPr>
        <w:pStyle w:val="NoSpacing"/>
        <w:rPr>
          <w:rFonts w:ascii="Times New Roman" w:hAnsi="Times New Roman"/>
          <w:sz w:val="24"/>
          <w:szCs w:val="24"/>
        </w:rPr>
      </w:pPr>
      <w:r w:rsidRPr="00520903">
        <w:rPr>
          <w:rFonts w:ascii="Times New Roman" w:hAnsi="Times New Roman"/>
          <w:sz w:val="24"/>
          <w:szCs w:val="24"/>
        </w:rPr>
        <w:t xml:space="preserve">On May 16, 2025, in </w:t>
      </w:r>
      <w:r w:rsidRPr="00520903">
        <w:rPr>
          <w:rFonts w:ascii="Times New Roman" w:hAnsi="Times New Roman"/>
          <w:sz w:val="24"/>
          <w:szCs w:val="24"/>
          <w:u w:val="single"/>
        </w:rPr>
        <w:t>David Shenbaum and Timothy O'Brien v. City of Manhattan Beach</w:t>
      </w:r>
      <w:r w:rsidRPr="00520903">
        <w:rPr>
          <w:rFonts w:ascii="Times New Roman" w:hAnsi="Times New Roman"/>
          <w:sz w:val="24"/>
          <w:szCs w:val="24"/>
        </w:rPr>
        <w:t xml:space="preserve">, Chief U.S. Magistrate Judge Katen L. Stevenson. </w:t>
      </w:r>
      <w:proofErr w:type="gramStart"/>
      <w:r w:rsidRPr="00520903">
        <w:rPr>
          <w:rFonts w:ascii="Times New Roman" w:hAnsi="Times New Roman"/>
          <w:sz w:val="24"/>
          <w:szCs w:val="24"/>
        </w:rPr>
        <w:t>United States District Court for Central District of California,</w:t>
      </w:r>
      <w:proofErr w:type="gramEnd"/>
      <w:r w:rsidRPr="00520903">
        <w:rPr>
          <w:rFonts w:ascii="Times New Roman" w:hAnsi="Times New Roman"/>
          <w:sz w:val="24"/>
          <w:szCs w:val="24"/>
        </w:rPr>
        <w:t xml:space="preserve"> granted the </w:t>
      </w:r>
      <w:proofErr w:type="gramStart"/>
      <w:r w:rsidRPr="00520903">
        <w:rPr>
          <w:rFonts w:ascii="Times New Roman" w:hAnsi="Times New Roman"/>
          <w:sz w:val="24"/>
          <w:szCs w:val="24"/>
        </w:rPr>
        <w:t>City</w:t>
      </w:r>
      <w:proofErr w:type="gramEnd"/>
      <w:r w:rsidRPr="00520903">
        <w:rPr>
          <w:rFonts w:ascii="Times New Roman" w:hAnsi="Times New Roman"/>
          <w:sz w:val="24"/>
          <w:szCs w:val="24"/>
        </w:rPr>
        <w:t xml:space="preserve"> summary judgment, finding there was no proof of retaliation.  The two Captains claimed they were not promoted in retaliation for (1) their union voting in 2018 “No Confidence” in the fire chief and three battalion chiefs, and (2) union lawsuit on Nov. 3, </w:t>
      </w:r>
      <w:proofErr w:type="gramStart"/>
      <w:r w:rsidRPr="00520903">
        <w:rPr>
          <w:rFonts w:ascii="Times New Roman" w:hAnsi="Times New Roman"/>
          <w:sz w:val="24"/>
          <w:szCs w:val="24"/>
        </w:rPr>
        <w:t>2022</w:t>
      </w:r>
      <w:proofErr w:type="gramEnd"/>
      <w:r w:rsidRPr="00520903">
        <w:rPr>
          <w:rFonts w:ascii="Times New Roman" w:hAnsi="Times New Roman"/>
          <w:sz w:val="24"/>
          <w:szCs w:val="24"/>
        </w:rPr>
        <w:t xml:space="preserve"> challenging city reducing the pay of Battalion Chiefs.  </w:t>
      </w:r>
    </w:p>
    <w:p w14:paraId="09C8416B" w14:textId="77777777" w:rsidR="00520903" w:rsidRPr="00520903" w:rsidRDefault="00520903" w:rsidP="00520903">
      <w:pPr>
        <w:pStyle w:val="NoSpacing"/>
        <w:rPr>
          <w:rFonts w:ascii="Times New Roman" w:hAnsi="Times New Roman"/>
          <w:sz w:val="24"/>
          <w:szCs w:val="24"/>
        </w:rPr>
      </w:pPr>
    </w:p>
    <w:p w14:paraId="62825526" w14:textId="57AE9D86" w:rsidR="00520903" w:rsidRPr="00520903" w:rsidRDefault="00520903" w:rsidP="00520903">
      <w:pPr>
        <w:pStyle w:val="NoSpacing"/>
        <w:rPr>
          <w:rFonts w:ascii="Times New Roman" w:hAnsi="Times New Roman"/>
          <w:sz w:val="24"/>
          <w:szCs w:val="24"/>
        </w:rPr>
      </w:pPr>
      <w:r w:rsidRPr="00520903">
        <w:rPr>
          <w:rFonts w:ascii="Times New Roman" w:hAnsi="Times New Roman"/>
          <w:sz w:val="24"/>
          <w:szCs w:val="24"/>
        </w:rPr>
        <w:t xml:space="preserve">The Court wrote:   “In December 2022, Fire Chief Michael Lang and the City replaced the Battalion Chief position with the Division Chief position and opened the position to internal candidates only… Five internal candidates applied for the Division Chief position, including Plaintiffs…. Chief Lang subsequently announced that the traditional examination and interview process would be replaced with an interview-only process…. Chief Lang selected an external panel of fire chiefs to conduct the Division Chief interviews, which included Monrovia Fire Chief Jeremy Sanchez, Arcadia Fire Chief Chen Suen, and La Verne Fire Chief Chris Nigg (collectively ‘Fire Chief Panelists’)…. On January 17, 2023, the Fire Chief Panelists conducted interviews for all Division Chief candidates, including Plaintiffs…. The Fire Chief Panelists concurred that both </w:t>
      </w:r>
      <w:proofErr w:type="spellStart"/>
      <w:r w:rsidRPr="00520903">
        <w:rPr>
          <w:rFonts w:ascii="Times New Roman" w:hAnsi="Times New Roman"/>
          <w:sz w:val="24"/>
          <w:szCs w:val="24"/>
        </w:rPr>
        <w:t>Shenbaum</w:t>
      </w:r>
      <w:proofErr w:type="spellEnd"/>
      <w:r w:rsidRPr="00520903">
        <w:rPr>
          <w:rFonts w:ascii="Times New Roman" w:hAnsi="Times New Roman"/>
          <w:sz w:val="24"/>
          <w:szCs w:val="24"/>
        </w:rPr>
        <w:t xml:space="preserve"> and O'Brien should receive failing scores based on their responses and conduct during their interviews…. Specifically, the Fire Chief Panelists gave </w:t>
      </w:r>
      <w:proofErr w:type="spellStart"/>
      <w:r w:rsidRPr="00520903">
        <w:rPr>
          <w:rFonts w:ascii="Times New Roman" w:hAnsi="Times New Roman"/>
          <w:sz w:val="24"/>
          <w:szCs w:val="24"/>
        </w:rPr>
        <w:t>Shenbaum</w:t>
      </w:r>
      <w:proofErr w:type="spellEnd"/>
      <w:r w:rsidRPr="00520903">
        <w:rPr>
          <w:rFonts w:ascii="Times New Roman" w:hAnsi="Times New Roman"/>
          <w:sz w:val="24"/>
          <w:szCs w:val="24"/>
        </w:rPr>
        <w:t xml:space="preserve"> a failing score in the ‘Judgment and Decision Making’ category and commented that he used profanity in his interview…. </w:t>
      </w:r>
    </w:p>
    <w:p w14:paraId="62C8C72B" w14:textId="3D09843F" w:rsidR="001F3D0F" w:rsidRDefault="00520903" w:rsidP="00520903">
      <w:pPr>
        <w:pStyle w:val="NoSpacing"/>
        <w:rPr>
          <w:rFonts w:ascii="Times New Roman" w:hAnsi="Times New Roman"/>
          <w:sz w:val="24"/>
          <w:szCs w:val="24"/>
        </w:rPr>
      </w:pPr>
      <w:hyperlink r:id="rId2901" w:history="1">
        <w:r w:rsidRPr="00520903">
          <w:rPr>
            <w:rStyle w:val="Hyperlink"/>
            <w:rFonts w:ascii="Times New Roman" w:hAnsi="Times New Roman"/>
            <w:sz w:val="24"/>
            <w:szCs w:val="24"/>
          </w:rPr>
          <w:t>https://public.fastcase.com/jaEE2PXzRXmZ99jOLMt1IhwREi1fEuXa5IBCMUROo3DApdLLsb4vyoe8B%2BNXnfOO?utm_medium=email&amp;_hsenc=p2ANqtz-8ABWS4rvuUksFiiSiWwUxDOv17WyJKZy-5as8oPUYz_An6byDKPPy12elR6z5qE4TfB84ipL9se-rQu7mIzXpACN0LEw&amp;_hsmi=226712652&amp;utm_content=226712652&amp;utm_source=hs_email</w:t>
        </w:r>
      </w:hyperlink>
    </w:p>
    <w:p w14:paraId="404205E9" w14:textId="77777777" w:rsidR="00FE6DEF" w:rsidRDefault="00FE6DEF" w:rsidP="00520903">
      <w:pPr>
        <w:pStyle w:val="NoSpacing"/>
        <w:rPr>
          <w:rFonts w:ascii="Times New Roman" w:hAnsi="Times New Roman"/>
          <w:sz w:val="24"/>
          <w:szCs w:val="24"/>
        </w:rPr>
      </w:pPr>
    </w:p>
    <w:p w14:paraId="7C190A3F" w14:textId="0C38BC4C" w:rsidR="00FE6DEF" w:rsidRDefault="00FE6DEF" w:rsidP="00520903">
      <w:pPr>
        <w:pStyle w:val="NoSpacing"/>
        <w:rPr>
          <w:rFonts w:ascii="Times New Roman" w:hAnsi="Times New Roman"/>
          <w:sz w:val="24"/>
          <w:szCs w:val="24"/>
        </w:rPr>
      </w:pPr>
      <w:r>
        <w:rPr>
          <w:rFonts w:ascii="Times New Roman" w:hAnsi="Times New Roman"/>
          <w:sz w:val="24"/>
          <w:szCs w:val="24"/>
        </w:rPr>
        <w:t>The Court held:</w:t>
      </w:r>
    </w:p>
    <w:p w14:paraId="4763BFB7" w14:textId="77777777" w:rsidR="00FE6DEF" w:rsidRDefault="00FE6DEF" w:rsidP="00520903">
      <w:pPr>
        <w:pStyle w:val="NoSpacing"/>
        <w:rPr>
          <w:rFonts w:ascii="Times New Roman" w:hAnsi="Times New Roman"/>
          <w:sz w:val="24"/>
          <w:szCs w:val="24"/>
        </w:rPr>
      </w:pPr>
    </w:p>
    <w:p w14:paraId="6267576F" w14:textId="19D92B83" w:rsidR="00FE6DEF" w:rsidRPr="00520903" w:rsidRDefault="00FE6DEF" w:rsidP="00FE6DEF">
      <w:pPr>
        <w:pStyle w:val="NoSpacing"/>
        <w:ind w:left="720"/>
        <w:rPr>
          <w:rFonts w:ascii="Times New Roman" w:hAnsi="Times New Roman"/>
          <w:sz w:val="24"/>
          <w:szCs w:val="24"/>
        </w:rPr>
      </w:pPr>
      <w:r>
        <w:rPr>
          <w:rFonts w:ascii="Times New Roman" w:hAnsi="Times New Roman"/>
          <w:sz w:val="24"/>
          <w:szCs w:val="24"/>
        </w:rPr>
        <w:t>“</w:t>
      </w:r>
      <w:r w:rsidRPr="00520903">
        <w:rPr>
          <w:rFonts w:ascii="Times New Roman" w:hAnsi="Times New Roman"/>
          <w:sz w:val="24"/>
          <w:szCs w:val="24"/>
        </w:rPr>
        <w:t xml:space="preserve">The Fire Chief Panelists gave O'Brien failing scores for ‘Leadership and Management’ and ‘Innovation and Strategic Thinking.’ *** Yet, here, Plaintiffs only speculate that the Fire Panelists had any knowledge of the lawsuit. In fact, all three members of the Fire Chief Panelists attested that they were not aware of or notified of any pending lawsuit by Plaintiffs against the </w:t>
      </w:r>
      <w:proofErr w:type="gramStart"/>
      <w:r w:rsidRPr="00520903">
        <w:rPr>
          <w:rFonts w:ascii="Times New Roman" w:hAnsi="Times New Roman"/>
          <w:sz w:val="24"/>
          <w:szCs w:val="24"/>
        </w:rPr>
        <w:t>City.”</w:t>
      </w:r>
      <w:proofErr w:type="gramEnd"/>
    </w:p>
    <w:p w14:paraId="23111BE1" w14:textId="77777777" w:rsidR="00FE6DEF" w:rsidRDefault="00FE6DEF" w:rsidP="00520903">
      <w:pPr>
        <w:pStyle w:val="NoSpacing"/>
        <w:rPr>
          <w:rFonts w:ascii="Arial Black" w:hAnsi="Arial Black"/>
          <w:sz w:val="24"/>
          <w:szCs w:val="24"/>
        </w:rPr>
      </w:pPr>
    </w:p>
    <w:p w14:paraId="6D30922C" w14:textId="77777777" w:rsidR="00C01A1F" w:rsidRDefault="00C01A1F" w:rsidP="00C01A1F">
      <w:pPr>
        <w:pStyle w:val="NoSpacing"/>
        <w:rPr>
          <w:rFonts w:ascii="Times New Roman" w:hAnsi="Times New Roman"/>
          <w:b/>
          <w:sz w:val="24"/>
          <w:szCs w:val="24"/>
        </w:rPr>
      </w:pPr>
      <w:r w:rsidRPr="00C01A1F">
        <w:rPr>
          <w:rFonts w:ascii="Times New Roman" w:hAnsi="Times New Roman"/>
          <w:b/>
          <w:sz w:val="24"/>
          <w:szCs w:val="24"/>
        </w:rPr>
        <w:t xml:space="preserve">Legal Lesson Learned: No proof that No Confidence vote by union. or recent lawsuit, caused three outside Fire Chiefs to rate two Captains as “failed.” </w:t>
      </w:r>
    </w:p>
    <w:p w14:paraId="4A72D866" w14:textId="77777777" w:rsidR="00A50A87" w:rsidRDefault="00A50A87" w:rsidP="00C01A1F">
      <w:pPr>
        <w:pStyle w:val="NoSpacing"/>
        <w:rPr>
          <w:rFonts w:ascii="Times New Roman" w:hAnsi="Times New Roman"/>
          <w:b/>
          <w:sz w:val="24"/>
          <w:szCs w:val="24"/>
        </w:rPr>
      </w:pPr>
    </w:p>
    <w:p w14:paraId="4C7A1C0E" w14:textId="77777777" w:rsidR="00C2714E" w:rsidRDefault="00C2714E" w:rsidP="00A50A87">
      <w:pPr>
        <w:pStyle w:val="NoSpacing"/>
        <w:rPr>
          <w:rFonts w:ascii="Arial Black" w:hAnsi="Arial Black"/>
          <w:sz w:val="28"/>
          <w:szCs w:val="28"/>
        </w:rPr>
      </w:pPr>
    </w:p>
    <w:p w14:paraId="635D5792" w14:textId="77777777" w:rsidR="00FD6F7D" w:rsidRDefault="00FD6F7D" w:rsidP="00A50A87">
      <w:pPr>
        <w:pStyle w:val="NoSpacing"/>
        <w:rPr>
          <w:rFonts w:ascii="Arial Black" w:hAnsi="Arial Black"/>
          <w:sz w:val="28"/>
          <w:szCs w:val="28"/>
        </w:rPr>
      </w:pPr>
    </w:p>
    <w:p w14:paraId="3A0B53FB" w14:textId="2D1FB7DB" w:rsidR="00FD6F7D" w:rsidRDefault="00FD6F7D" w:rsidP="00FD6F7D">
      <w:pPr>
        <w:pStyle w:val="NoSpacing"/>
        <w:rPr>
          <w:rFonts w:ascii="Arial Black" w:hAnsi="Arial Black"/>
          <w:sz w:val="24"/>
          <w:szCs w:val="24"/>
        </w:rPr>
      </w:pPr>
      <w:r>
        <w:rPr>
          <w:rFonts w:ascii="Arial Black" w:hAnsi="Arial Black"/>
          <w:sz w:val="24"/>
          <w:szCs w:val="24"/>
        </w:rPr>
        <w:t>17-52</w:t>
      </w:r>
    </w:p>
    <w:p w14:paraId="77C0C9D1" w14:textId="77777777" w:rsidR="00FD6F7D" w:rsidRDefault="00FD6F7D" w:rsidP="00A50A87">
      <w:pPr>
        <w:pStyle w:val="NoSpacing"/>
        <w:rPr>
          <w:rFonts w:ascii="Arial Black" w:hAnsi="Arial Black"/>
          <w:sz w:val="28"/>
          <w:szCs w:val="28"/>
        </w:rPr>
      </w:pPr>
    </w:p>
    <w:p w14:paraId="1B2AE45B" w14:textId="0EF568C3" w:rsidR="00A50A87" w:rsidRDefault="00A50A87" w:rsidP="00A50A87">
      <w:pPr>
        <w:pStyle w:val="NoSpacing"/>
        <w:rPr>
          <w:rFonts w:ascii="Arial Black" w:hAnsi="Arial Black"/>
          <w:sz w:val="28"/>
          <w:szCs w:val="28"/>
        </w:rPr>
      </w:pPr>
      <w:r w:rsidRPr="006F2B87">
        <w:rPr>
          <w:rFonts w:ascii="Arial Black" w:hAnsi="Arial Black"/>
          <w:sz w:val="28"/>
          <w:szCs w:val="28"/>
        </w:rPr>
        <w:t xml:space="preserve">CT: </w:t>
      </w:r>
      <w:r w:rsidRPr="004617B4">
        <w:rPr>
          <w:rFonts w:ascii="Arial Black" w:hAnsi="Arial Black"/>
          <w:sz w:val="28"/>
          <w:szCs w:val="28"/>
        </w:rPr>
        <w:t>RETALIATION - LT. JOB - 6 DAYS AFTER GRIEVANCE</w:t>
      </w:r>
    </w:p>
    <w:p w14:paraId="5787419C" w14:textId="77777777" w:rsidR="00A50A87" w:rsidRPr="006F2B87" w:rsidRDefault="00A50A87" w:rsidP="00A50A87">
      <w:pPr>
        <w:pStyle w:val="NoSpacing"/>
        <w:rPr>
          <w:b/>
          <w:bCs/>
        </w:rPr>
      </w:pPr>
    </w:p>
    <w:p w14:paraId="7AECF39B" w14:textId="77777777" w:rsidR="00A50A87" w:rsidRPr="00C2714E" w:rsidRDefault="00A50A87" w:rsidP="00A50A87">
      <w:pPr>
        <w:pStyle w:val="NoSpacing"/>
        <w:rPr>
          <w:rFonts w:ascii="Times New Roman" w:hAnsi="Times New Roman"/>
          <w:bCs/>
          <w:sz w:val="24"/>
          <w:szCs w:val="24"/>
        </w:rPr>
      </w:pPr>
      <w:r w:rsidRPr="00C2714E">
        <w:rPr>
          <w:rFonts w:ascii="Times New Roman" w:hAnsi="Times New Roman"/>
          <w:sz w:val="24"/>
          <w:szCs w:val="24"/>
        </w:rPr>
        <w:t xml:space="preserve">On May 12, 2025, in </w:t>
      </w:r>
      <w:r w:rsidRPr="00C2714E">
        <w:rPr>
          <w:rFonts w:ascii="Times New Roman" w:hAnsi="Times New Roman"/>
          <w:sz w:val="24"/>
          <w:szCs w:val="24"/>
          <w:u w:val="single"/>
        </w:rPr>
        <w:t>Town of Suffield v. State Board of Labor Relations and Suffield Firefighters Assoc. Local 3565, IAFF</w:t>
      </w:r>
      <w:r w:rsidRPr="00C2714E">
        <w:rPr>
          <w:rFonts w:ascii="Times New Roman" w:hAnsi="Times New Roman"/>
          <w:sz w:val="24"/>
          <w:szCs w:val="24"/>
        </w:rPr>
        <w:t xml:space="preserve">, the Superior Court of Connecticut (Judicial District of New Britain) held (Judge Matthew J. Budzik; unpublished decision) that Town’s appeal was denied.  </w:t>
      </w:r>
    </w:p>
    <w:p w14:paraId="6F4A7DC3" w14:textId="77777777" w:rsidR="00A50A87" w:rsidRPr="00C2714E" w:rsidRDefault="00A50A87" w:rsidP="00A50A87">
      <w:pPr>
        <w:pStyle w:val="NoSpacing"/>
        <w:rPr>
          <w:rFonts w:ascii="Times New Roman" w:hAnsi="Times New Roman"/>
          <w:bCs/>
          <w:sz w:val="24"/>
          <w:szCs w:val="24"/>
        </w:rPr>
      </w:pPr>
    </w:p>
    <w:p w14:paraId="09479BA6" w14:textId="17C796CE" w:rsidR="00A50A87" w:rsidRPr="00C2714E" w:rsidRDefault="00A50A87" w:rsidP="00A50A87">
      <w:pPr>
        <w:pStyle w:val="NoSpacing"/>
        <w:rPr>
          <w:rFonts w:ascii="Times New Roman" w:hAnsi="Times New Roman"/>
          <w:b/>
          <w:bCs/>
          <w:sz w:val="24"/>
          <w:szCs w:val="24"/>
        </w:rPr>
      </w:pPr>
      <w:r w:rsidRPr="00C2714E">
        <w:rPr>
          <w:rFonts w:ascii="Times New Roman" w:hAnsi="Times New Roman"/>
          <w:sz w:val="24"/>
          <w:szCs w:val="24"/>
        </w:rPr>
        <w:t xml:space="preserve">The Court wrote: [The State Board] “may make the reasonable factual inference, based on very close temporal proximity, that the board’s [Town’s Board of Selectman] March 15, </w:t>
      </w:r>
      <w:proofErr w:type="gramStart"/>
      <w:r w:rsidRPr="00C2714E">
        <w:rPr>
          <w:rFonts w:ascii="Times New Roman" w:hAnsi="Times New Roman"/>
          <w:sz w:val="24"/>
          <w:szCs w:val="24"/>
        </w:rPr>
        <w:t>2023</w:t>
      </w:r>
      <w:proofErr w:type="gramEnd"/>
      <w:r w:rsidRPr="00C2714E">
        <w:rPr>
          <w:rFonts w:ascii="Times New Roman" w:hAnsi="Times New Roman"/>
          <w:sz w:val="24"/>
          <w:szCs w:val="24"/>
        </w:rPr>
        <w:t xml:space="preserve"> vote to defund the lieutenant position was in retaliation for the [union’s] filing of the March 9, </w:t>
      </w:r>
      <w:proofErr w:type="gramStart"/>
      <w:r w:rsidRPr="00C2714E">
        <w:rPr>
          <w:rFonts w:ascii="Times New Roman" w:hAnsi="Times New Roman"/>
          <w:sz w:val="24"/>
          <w:szCs w:val="24"/>
        </w:rPr>
        <w:t>2023</w:t>
      </w:r>
      <w:proofErr w:type="gramEnd"/>
      <w:r w:rsidRPr="00C2714E">
        <w:rPr>
          <w:rFonts w:ascii="Times New Roman" w:hAnsi="Times New Roman"/>
          <w:sz w:val="24"/>
          <w:szCs w:val="24"/>
        </w:rPr>
        <w:t xml:space="preserve"> grievance.”  </w:t>
      </w:r>
      <w:hyperlink r:id="rId2902" w:history="1">
        <w:r w:rsidRPr="00C2714E">
          <w:rPr>
            <w:rStyle w:val="Hyperlink"/>
            <w:rFonts w:ascii="Times New Roman" w:hAnsi="Times New Roman"/>
            <w:sz w:val="24"/>
            <w:szCs w:val="24"/>
          </w:rPr>
          <w:t>https://civilinquiry.jud.ct.gov/DocumentInquiry/DocumentInquiry.aspx?DocumentNo=29998787</w:t>
        </w:r>
      </w:hyperlink>
    </w:p>
    <w:p w14:paraId="7B649D2A" w14:textId="77777777" w:rsidR="00C01A1F" w:rsidRPr="00C2714E" w:rsidRDefault="00C01A1F" w:rsidP="00C01A1F">
      <w:pPr>
        <w:pStyle w:val="NoSpacing"/>
        <w:rPr>
          <w:rFonts w:ascii="Times New Roman" w:hAnsi="Times New Roman"/>
          <w:b/>
          <w:bCs/>
          <w:sz w:val="24"/>
          <w:szCs w:val="24"/>
        </w:rPr>
      </w:pPr>
    </w:p>
    <w:p w14:paraId="7ED72127" w14:textId="77777777" w:rsidR="00842AFE" w:rsidRPr="00BB45E5" w:rsidRDefault="00842AFE" w:rsidP="00842AFE">
      <w:pPr>
        <w:pStyle w:val="NoSpacing"/>
        <w:rPr>
          <w:rFonts w:ascii="Times New Roman" w:hAnsi="Times New Roman"/>
          <w:b/>
          <w:bCs/>
          <w:sz w:val="24"/>
          <w:szCs w:val="24"/>
        </w:rPr>
      </w:pPr>
      <w:r w:rsidRPr="00BB45E5">
        <w:rPr>
          <w:rFonts w:ascii="Times New Roman" w:hAnsi="Times New Roman"/>
          <w:b/>
          <w:sz w:val="24"/>
          <w:szCs w:val="24"/>
        </w:rPr>
        <w:t xml:space="preserve">Legal Lesson Learned: To avoid a retaliation charge, </w:t>
      </w:r>
      <w:r w:rsidRPr="00BB45E5">
        <w:rPr>
          <w:rFonts w:ascii="Times New Roman" w:hAnsi="Times New Roman"/>
          <w:b/>
          <w:bCs/>
          <w:sz w:val="24"/>
          <w:szCs w:val="24"/>
        </w:rPr>
        <w:t xml:space="preserve">document in </w:t>
      </w:r>
      <w:r w:rsidRPr="00BB45E5">
        <w:rPr>
          <w:rFonts w:ascii="Times New Roman" w:hAnsi="Times New Roman"/>
          <w:b/>
          <w:sz w:val="24"/>
          <w:szCs w:val="24"/>
        </w:rPr>
        <w:t xml:space="preserve">detail the business reasons for eliminating the Lieutenant position and the formal vote of the Board.  </w:t>
      </w:r>
    </w:p>
    <w:p w14:paraId="1E1FD8AB" w14:textId="77777777" w:rsidR="00842AFE" w:rsidRPr="00BB45E5" w:rsidRDefault="00842AFE" w:rsidP="00842AFE">
      <w:pPr>
        <w:pStyle w:val="NoSpacing"/>
        <w:rPr>
          <w:rFonts w:ascii="Times New Roman" w:hAnsi="Times New Roman"/>
          <w:b/>
          <w:bCs/>
          <w:sz w:val="24"/>
          <w:szCs w:val="24"/>
        </w:rPr>
      </w:pPr>
    </w:p>
    <w:p w14:paraId="46C7E991" w14:textId="77777777" w:rsidR="00842AFE" w:rsidRPr="006F2B87" w:rsidRDefault="00842AFE" w:rsidP="00842AFE">
      <w:pPr>
        <w:pStyle w:val="NoSpacing"/>
        <w:ind w:left="720"/>
        <w:rPr>
          <w:b/>
          <w:bCs/>
        </w:rPr>
      </w:pPr>
      <w:r w:rsidRPr="00BB45E5">
        <w:rPr>
          <w:rFonts w:ascii="Times New Roman" w:hAnsi="Times New Roman"/>
          <w:sz w:val="24"/>
          <w:szCs w:val="24"/>
        </w:rPr>
        <w:t xml:space="preserve">Note: See May 21, </w:t>
      </w:r>
      <w:proofErr w:type="gramStart"/>
      <w:r w:rsidRPr="00BB45E5">
        <w:rPr>
          <w:rFonts w:ascii="Times New Roman" w:hAnsi="Times New Roman"/>
          <w:sz w:val="24"/>
          <w:szCs w:val="24"/>
        </w:rPr>
        <w:t>2025</w:t>
      </w:r>
      <w:proofErr w:type="gramEnd"/>
      <w:r w:rsidRPr="00BB45E5">
        <w:rPr>
          <w:rFonts w:ascii="Times New Roman" w:hAnsi="Times New Roman"/>
          <w:sz w:val="24"/>
          <w:szCs w:val="24"/>
        </w:rPr>
        <w:t xml:space="preserve"> article on this decision.  “Court upholds finding of retaliation against Suffield firefighter.” </w:t>
      </w:r>
      <w:hyperlink r:id="rId2903" w:history="1">
        <w:r w:rsidRPr="00BB45E5">
          <w:rPr>
            <w:rStyle w:val="Hyperlink"/>
            <w:rFonts w:ascii="Times New Roman" w:hAnsi="Times New Roman"/>
            <w:sz w:val="24"/>
            <w:szCs w:val="24"/>
          </w:rPr>
          <w:t>https://insideinvestigator.org/court-upholds-finding-of-retaliation-against-suffield-firefighter/</w:t>
        </w:r>
      </w:hyperlink>
      <w:r w:rsidRPr="006F2B87">
        <w:rPr>
          <w:b/>
        </w:rPr>
        <w:t xml:space="preserve"> </w:t>
      </w:r>
    </w:p>
    <w:p w14:paraId="64F57AB0" w14:textId="77777777" w:rsidR="001F3D0F" w:rsidRDefault="001F3D0F" w:rsidP="00F326E5">
      <w:pPr>
        <w:pStyle w:val="NoSpacing"/>
        <w:rPr>
          <w:rFonts w:ascii="Arial Black" w:hAnsi="Arial Black"/>
          <w:sz w:val="24"/>
          <w:szCs w:val="24"/>
        </w:rPr>
      </w:pPr>
    </w:p>
    <w:p w14:paraId="49EDC6DF" w14:textId="77777777" w:rsidR="00C01A1F" w:rsidRDefault="00C01A1F" w:rsidP="00F326E5">
      <w:pPr>
        <w:pStyle w:val="NoSpacing"/>
        <w:rPr>
          <w:rFonts w:ascii="Arial Black" w:hAnsi="Arial Black"/>
          <w:sz w:val="24"/>
          <w:szCs w:val="24"/>
        </w:rPr>
      </w:pPr>
    </w:p>
    <w:p w14:paraId="2A37A3C4" w14:textId="77777777" w:rsidR="00C01A1F" w:rsidRDefault="00C01A1F" w:rsidP="00F326E5">
      <w:pPr>
        <w:pStyle w:val="NoSpacing"/>
        <w:rPr>
          <w:rFonts w:ascii="Arial Black" w:hAnsi="Arial Black"/>
          <w:sz w:val="24"/>
          <w:szCs w:val="24"/>
        </w:rPr>
      </w:pPr>
    </w:p>
    <w:p w14:paraId="107D0EBA" w14:textId="77777777" w:rsidR="00C01A1F" w:rsidRDefault="00C01A1F" w:rsidP="00F326E5">
      <w:pPr>
        <w:pStyle w:val="NoSpacing"/>
        <w:rPr>
          <w:rFonts w:ascii="Arial Black" w:hAnsi="Arial Black"/>
          <w:sz w:val="24"/>
          <w:szCs w:val="24"/>
        </w:rPr>
      </w:pPr>
    </w:p>
    <w:p w14:paraId="51BD56CF" w14:textId="77777777" w:rsidR="001F3D0F" w:rsidRDefault="001F3D0F" w:rsidP="00F326E5">
      <w:pPr>
        <w:pStyle w:val="NoSpacing"/>
        <w:rPr>
          <w:rFonts w:ascii="Arial Black" w:hAnsi="Arial Black"/>
          <w:sz w:val="24"/>
          <w:szCs w:val="24"/>
        </w:rPr>
      </w:pPr>
    </w:p>
    <w:p w14:paraId="250A1293" w14:textId="387092D2" w:rsidR="007D54CE" w:rsidRDefault="007D54CE" w:rsidP="00F326E5">
      <w:pPr>
        <w:pStyle w:val="NoSpacing"/>
        <w:rPr>
          <w:rFonts w:ascii="Arial Black" w:hAnsi="Arial Black"/>
          <w:sz w:val="24"/>
          <w:szCs w:val="24"/>
        </w:rPr>
      </w:pPr>
      <w:r>
        <w:rPr>
          <w:rFonts w:ascii="Arial Black" w:hAnsi="Arial Black"/>
          <w:sz w:val="24"/>
          <w:szCs w:val="24"/>
        </w:rPr>
        <w:t>17-51</w:t>
      </w:r>
    </w:p>
    <w:p w14:paraId="2FBC0744" w14:textId="77777777" w:rsidR="001F3D0F" w:rsidRDefault="001F3D0F" w:rsidP="007D54CE">
      <w:pPr>
        <w:rPr>
          <w:rFonts w:ascii="Arial Black" w:hAnsi="Arial Black"/>
          <w:sz w:val="28"/>
          <w:szCs w:val="28"/>
        </w:rPr>
      </w:pPr>
    </w:p>
    <w:p w14:paraId="45E13185" w14:textId="7C324633" w:rsidR="007D54CE" w:rsidRPr="00226994" w:rsidRDefault="007D54CE" w:rsidP="007D54CE">
      <w:pPr>
        <w:rPr>
          <w:rFonts w:ascii="Arial Black" w:hAnsi="Arial Black"/>
          <w:sz w:val="28"/>
          <w:szCs w:val="28"/>
        </w:rPr>
      </w:pPr>
      <w:r>
        <w:rPr>
          <w:rFonts w:ascii="Arial Black" w:hAnsi="Arial Black"/>
          <w:sz w:val="28"/>
          <w:szCs w:val="28"/>
        </w:rPr>
        <w:t>MA: FF – SUSP. 4 TOURS – UNION E-MAIL FIX SIDEWALK</w:t>
      </w:r>
    </w:p>
    <w:p w14:paraId="4C71D40F" w14:textId="6B358EA2" w:rsidR="007D54CE" w:rsidRPr="00C7167A" w:rsidRDefault="007D54CE" w:rsidP="007D54CE">
      <w:pPr>
        <w:pStyle w:val="NoSpacing"/>
        <w:rPr>
          <w:rFonts w:ascii="Times New Roman" w:hAnsi="Times New Roman"/>
          <w:sz w:val="24"/>
          <w:szCs w:val="24"/>
        </w:rPr>
      </w:pPr>
      <w:r w:rsidRPr="00C7167A">
        <w:rPr>
          <w:rFonts w:ascii="Times New Roman" w:hAnsi="Times New Roman"/>
          <w:sz w:val="24"/>
          <w:szCs w:val="24"/>
        </w:rPr>
        <w:t xml:space="preserve">On April 18, 2025, in </w:t>
      </w:r>
      <w:r w:rsidRPr="00C7167A">
        <w:rPr>
          <w:rFonts w:ascii="Times New Roman" w:hAnsi="Times New Roman"/>
          <w:sz w:val="24"/>
          <w:szCs w:val="24"/>
          <w:u w:val="single"/>
        </w:rPr>
        <w:t>James P. Riley and Boston Fire Firefighters International Association of Firefighters, Local 718 v. City of Boston, et al.</w:t>
      </w:r>
      <w:r w:rsidRPr="00C7167A">
        <w:rPr>
          <w:rFonts w:ascii="Times New Roman" w:hAnsi="Times New Roman"/>
          <w:sz w:val="24"/>
          <w:szCs w:val="24"/>
        </w:rPr>
        <w:t xml:space="preserve">, U.S. District Court Judge Allison D. Burroughs, United States District Court for the District of Massachusetts, denied the City’s motion to dismiss.  Firefighter Riley, a 16-year member of the FD, sent an e-mail on September 26, </w:t>
      </w:r>
      <w:proofErr w:type="gramStart"/>
      <w:r w:rsidRPr="00C7167A">
        <w:rPr>
          <w:rFonts w:ascii="Times New Roman" w:hAnsi="Times New Roman"/>
          <w:sz w:val="24"/>
          <w:szCs w:val="24"/>
        </w:rPr>
        <w:t>2023</w:t>
      </w:r>
      <w:proofErr w:type="gramEnd"/>
      <w:r w:rsidRPr="00C7167A">
        <w:rPr>
          <w:rFonts w:ascii="Times New Roman" w:hAnsi="Times New Roman"/>
          <w:sz w:val="24"/>
          <w:szCs w:val="24"/>
        </w:rPr>
        <w:t xml:space="preserve"> on his Union e-mail as an Executive Board Member of the Union (with permission of Union President) to city’s Chief of Streets Department to repair a sidewalk handicap ramp in front of his Fire Station.  His Captain had previously sent five e-mail requests to the FD’s Facilities Division (April 21, 2021; February 11, 2022; March 20, 2022; June 16, 2022; April 20, 2023).  On Oct. 11, 2023, the FD’s Deputy Chief of Personnel suspended Riley for four shifts, claiming he “used his Local 718 Union title in an attempt to intimidate the City of Boston official into action.” </w:t>
      </w:r>
      <w:hyperlink r:id="rId2904" w:history="1">
        <w:r w:rsidRPr="00C7167A">
          <w:rPr>
            <w:rStyle w:val="Hyperlink"/>
            <w:rFonts w:ascii="Times New Roman" w:hAnsi="Times New Roman"/>
            <w:sz w:val="24"/>
            <w:szCs w:val="24"/>
          </w:rPr>
          <w:t>https://public.fastcase.com/jaEE2PXzRXmZ99jOLMt1IpPvzvvllZ7Rrt4VKwyGVntYyQb9IRuNiNqVshy4%2Bl2z%2BsY6VEZuB3eEVHjKlzOdk%2FP8W50g7Bl84BsJ%2BT14tOs%3D?utm_medium=email&amp;_hsenc=p2ANqtz-8_cjXUjI5LfLOi5ALG6MFLDFJJrn3rZsNciOMXnsNsHK54iflcoWeqPuq6ELEpSWLnjpVW4QqFeFKVqziKDzXrD-fT4Q&amp;_hsmi=226712652&amp;utm_content=226712652&amp;utm_source=hs_email</w:t>
        </w:r>
      </w:hyperlink>
    </w:p>
    <w:p w14:paraId="12496A04" w14:textId="77777777" w:rsidR="007D54CE" w:rsidRDefault="007D54CE" w:rsidP="00F326E5">
      <w:pPr>
        <w:pStyle w:val="NoSpacing"/>
        <w:rPr>
          <w:rFonts w:ascii="Arial Black" w:hAnsi="Arial Black"/>
          <w:sz w:val="24"/>
          <w:szCs w:val="24"/>
        </w:rPr>
      </w:pPr>
    </w:p>
    <w:p w14:paraId="78079659" w14:textId="77777777" w:rsidR="00D364BB" w:rsidRPr="00B82297" w:rsidRDefault="00D364BB" w:rsidP="00D364BB">
      <w:pPr>
        <w:pStyle w:val="NoSpacing"/>
        <w:rPr>
          <w:rFonts w:ascii="Times New Roman" w:hAnsi="Times New Roman"/>
          <w:b/>
          <w:bCs/>
          <w:sz w:val="24"/>
          <w:szCs w:val="24"/>
        </w:rPr>
      </w:pPr>
      <w:r w:rsidRPr="00B82297">
        <w:rPr>
          <w:rFonts w:ascii="Times New Roman" w:hAnsi="Times New Roman"/>
          <w:b/>
          <w:sz w:val="24"/>
          <w:szCs w:val="24"/>
        </w:rPr>
        <w:t>Legal Lesson Learned: Firefighters have 1</w:t>
      </w:r>
      <w:r w:rsidRPr="00B82297">
        <w:rPr>
          <w:rFonts w:ascii="Times New Roman" w:hAnsi="Times New Roman"/>
          <w:b/>
          <w:sz w:val="24"/>
          <w:szCs w:val="24"/>
          <w:vertAlign w:val="superscript"/>
        </w:rPr>
        <w:t>st</w:t>
      </w:r>
      <w:r w:rsidRPr="00B82297">
        <w:rPr>
          <w:rFonts w:ascii="Times New Roman" w:hAnsi="Times New Roman"/>
          <w:b/>
          <w:sz w:val="24"/>
          <w:szCs w:val="24"/>
        </w:rPr>
        <w:t xml:space="preserve"> Amendment right to engage in protected speech not disruptive to the fire department.  </w:t>
      </w:r>
    </w:p>
    <w:p w14:paraId="561FCBD7" w14:textId="77777777" w:rsidR="00D364BB" w:rsidRPr="00B82297" w:rsidRDefault="00D364BB" w:rsidP="00D364BB">
      <w:pPr>
        <w:pStyle w:val="NoSpacing"/>
        <w:rPr>
          <w:rFonts w:ascii="Times New Roman" w:hAnsi="Times New Roman"/>
          <w:b/>
          <w:sz w:val="24"/>
          <w:szCs w:val="24"/>
        </w:rPr>
      </w:pPr>
    </w:p>
    <w:p w14:paraId="1CDBEC85" w14:textId="77777777" w:rsidR="00D364BB" w:rsidRPr="00B82297" w:rsidRDefault="00D364BB" w:rsidP="00D364BB">
      <w:pPr>
        <w:ind w:left="720"/>
        <w:rPr>
          <w:rFonts w:ascii="Times New Roman" w:hAnsi="Times New Roman"/>
          <w:bCs/>
          <w:sz w:val="24"/>
          <w:szCs w:val="24"/>
        </w:rPr>
      </w:pPr>
      <w:r w:rsidRPr="00B82297">
        <w:rPr>
          <w:rFonts w:ascii="Times New Roman" w:hAnsi="Times New Roman"/>
          <w:sz w:val="24"/>
          <w:szCs w:val="24"/>
        </w:rPr>
        <w:t xml:space="preserve">Note: Read the lawsuit Complaint. </w:t>
      </w:r>
      <w:hyperlink r:id="rId2905" w:history="1">
        <w:r w:rsidRPr="00B82297">
          <w:rPr>
            <w:rStyle w:val="Hyperlink"/>
            <w:rFonts w:ascii="Times New Roman" w:hAnsi="Times New Roman"/>
            <w:sz w:val="24"/>
            <w:szCs w:val="24"/>
          </w:rPr>
          <w:t>https://www.universalhub.com/files/jpfirefighter-complaint.pdf</w:t>
        </w:r>
      </w:hyperlink>
    </w:p>
    <w:p w14:paraId="0C7B5A6A" w14:textId="77777777" w:rsidR="007D54CE" w:rsidRDefault="007D54CE" w:rsidP="00F326E5">
      <w:pPr>
        <w:pStyle w:val="NoSpacing"/>
        <w:rPr>
          <w:rFonts w:ascii="Arial Black" w:hAnsi="Arial Black"/>
          <w:sz w:val="24"/>
          <w:szCs w:val="24"/>
        </w:rPr>
      </w:pPr>
    </w:p>
    <w:p w14:paraId="36352946" w14:textId="77777777" w:rsidR="007D54CE" w:rsidRDefault="007D54CE" w:rsidP="00F326E5">
      <w:pPr>
        <w:pStyle w:val="NoSpacing"/>
        <w:rPr>
          <w:rFonts w:ascii="Arial Black" w:hAnsi="Arial Black"/>
          <w:sz w:val="24"/>
          <w:szCs w:val="24"/>
        </w:rPr>
      </w:pPr>
    </w:p>
    <w:p w14:paraId="4897F819" w14:textId="734842BC" w:rsidR="00766306" w:rsidRDefault="00F367A4" w:rsidP="00F326E5">
      <w:pPr>
        <w:pStyle w:val="NoSpacing"/>
        <w:rPr>
          <w:rFonts w:ascii="Arial Black" w:hAnsi="Arial Black"/>
          <w:sz w:val="24"/>
          <w:szCs w:val="24"/>
        </w:rPr>
      </w:pPr>
      <w:r>
        <w:rPr>
          <w:rFonts w:ascii="Arial Black" w:hAnsi="Arial Black"/>
          <w:sz w:val="24"/>
          <w:szCs w:val="24"/>
        </w:rPr>
        <w:t>17-50</w:t>
      </w:r>
    </w:p>
    <w:p w14:paraId="7E9429B4" w14:textId="77777777" w:rsidR="00F367A4" w:rsidRDefault="00F367A4" w:rsidP="00F326E5">
      <w:pPr>
        <w:pStyle w:val="NoSpacing"/>
        <w:rPr>
          <w:rFonts w:ascii="Arial Black" w:hAnsi="Arial Black"/>
          <w:sz w:val="24"/>
          <w:szCs w:val="24"/>
        </w:rPr>
      </w:pPr>
    </w:p>
    <w:p w14:paraId="687F640E" w14:textId="77777777" w:rsidR="006958A3" w:rsidRPr="00620D8B" w:rsidRDefault="006958A3" w:rsidP="006958A3">
      <w:pPr>
        <w:pStyle w:val="NoSpacing"/>
        <w:rPr>
          <w:rFonts w:ascii="Arial Black" w:hAnsi="Arial Black"/>
          <w:bCs/>
          <w:sz w:val="28"/>
          <w:szCs w:val="28"/>
        </w:rPr>
      </w:pPr>
      <w:r>
        <w:rPr>
          <w:rFonts w:ascii="Arial Black" w:hAnsi="Arial Black"/>
          <w:sz w:val="28"/>
          <w:szCs w:val="28"/>
        </w:rPr>
        <w:t>NH: POLICE &amp; FIRE – CAN’T BE IN SAME UNION IN TOWN</w:t>
      </w:r>
    </w:p>
    <w:p w14:paraId="7A2E6199" w14:textId="77777777" w:rsidR="006958A3" w:rsidRDefault="006958A3" w:rsidP="006958A3">
      <w:pPr>
        <w:pStyle w:val="NoSpacing"/>
        <w:rPr>
          <w:bCs/>
        </w:rPr>
      </w:pPr>
    </w:p>
    <w:p w14:paraId="606315BA" w14:textId="77777777" w:rsidR="006958A3" w:rsidRPr="008A2AE6" w:rsidRDefault="006958A3" w:rsidP="006958A3">
      <w:pPr>
        <w:pStyle w:val="NoSpacing"/>
        <w:rPr>
          <w:rFonts w:ascii="Times New Roman" w:hAnsi="Times New Roman"/>
          <w:bCs/>
          <w:sz w:val="24"/>
          <w:szCs w:val="24"/>
        </w:rPr>
      </w:pPr>
      <w:r w:rsidRPr="008A2AE6">
        <w:rPr>
          <w:rFonts w:ascii="Times New Roman" w:hAnsi="Times New Roman"/>
          <w:sz w:val="24"/>
          <w:szCs w:val="24"/>
        </w:rPr>
        <w:t xml:space="preserve">On March 26, 2025, in </w:t>
      </w:r>
      <w:r w:rsidRPr="008A2AE6">
        <w:rPr>
          <w:rFonts w:ascii="Times New Roman" w:hAnsi="Times New Roman"/>
          <w:sz w:val="24"/>
          <w:szCs w:val="24"/>
          <w:u w:val="single"/>
        </w:rPr>
        <w:t xml:space="preserve">Appeal </w:t>
      </w:r>
      <w:proofErr w:type="gramStart"/>
      <w:r w:rsidRPr="008A2AE6">
        <w:rPr>
          <w:rFonts w:ascii="Times New Roman" w:hAnsi="Times New Roman"/>
          <w:sz w:val="24"/>
          <w:szCs w:val="24"/>
          <w:u w:val="single"/>
        </w:rPr>
        <w:t>Of</w:t>
      </w:r>
      <w:proofErr w:type="gramEnd"/>
      <w:r w:rsidRPr="008A2AE6">
        <w:rPr>
          <w:rFonts w:ascii="Times New Roman" w:hAnsi="Times New Roman"/>
          <w:sz w:val="24"/>
          <w:szCs w:val="24"/>
          <w:u w:val="single"/>
        </w:rPr>
        <w:t xml:space="preserve"> Town </w:t>
      </w:r>
      <w:proofErr w:type="gramStart"/>
      <w:r w:rsidRPr="008A2AE6">
        <w:rPr>
          <w:rFonts w:ascii="Times New Roman" w:hAnsi="Times New Roman"/>
          <w:sz w:val="24"/>
          <w:szCs w:val="24"/>
          <w:u w:val="single"/>
        </w:rPr>
        <w:t>Of</w:t>
      </w:r>
      <w:proofErr w:type="gramEnd"/>
      <w:r w:rsidRPr="008A2AE6">
        <w:rPr>
          <w:rFonts w:ascii="Times New Roman" w:hAnsi="Times New Roman"/>
          <w:sz w:val="24"/>
          <w:szCs w:val="24"/>
          <w:u w:val="single"/>
        </w:rPr>
        <w:t xml:space="preserve"> Barnstead, (New Hampshire Public Employee Labor Relations Board)</w:t>
      </w:r>
      <w:r w:rsidRPr="008A2AE6">
        <w:rPr>
          <w:rFonts w:ascii="Times New Roman" w:hAnsi="Times New Roman"/>
          <w:sz w:val="24"/>
          <w:szCs w:val="24"/>
        </w:rPr>
        <w:t xml:space="preserve"> the New Hampshire Supreme Court held (4 to 0) that the New Hampshire Public Employee Labor Relations Board (PELRB) improperly certified a bargaining unit comprised of employees from the Town’s police and fire departments. “Notwithstanding the PELRB’s findings, which derive primarily from the fact that police and fire department employees all work for the Town, we conclude that the record does not support the conclusion that there exists a community of interest in working conditions such that it is reasonable for the employees to negotiate jointly.” </w:t>
      </w:r>
      <w:hyperlink r:id="rId2906" w:history="1">
        <w:r w:rsidRPr="008A2AE6">
          <w:rPr>
            <w:rStyle w:val="Hyperlink"/>
            <w:rFonts w:ascii="Times New Roman" w:hAnsi="Times New Roman"/>
            <w:sz w:val="24"/>
            <w:szCs w:val="24"/>
          </w:rPr>
          <w:t>https://cases.justia.com/new-hampshire/supreme-court/2025-2024-0097.pdf?ts=1742996506</w:t>
        </w:r>
      </w:hyperlink>
      <w:r w:rsidRPr="008A2AE6">
        <w:rPr>
          <w:rFonts w:ascii="Times New Roman" w:hAnsi="Times New Roman"/>
          <w:sz w:val="24"/>
          <w:szCs w:val="24"/>
        </w:rPr>
        <w:t xml:space="preserve"> </w:t>
      </w:r>
    </w:p>
    <w:p w14:paraId="4329DFB0" w14:textId="77777777" w:rsidR="00F367A4" w:rsidRPr="008A2AE6" w:rsidRDefault="00F367A4" w:rsidP="00F326E5">
      <w:pPr>
        <w:pStyle w:val="NoSpacing"/>
        <w:rPr>
          <w:rFonts w:ascii="Times New Roman" w:hAnsi="Times New Roman"/>
          <w:sz w:val="24"/>
          <w:szCs w:val="24"/>
        </w:rPr>
      </w:pPr>
    </w:p>
    <w:p w14:paraId="47C071E1" w14:textId="77777777" w:rsidR="008A2AE6" w:rsidRPr="008A2AE6" w:rsidRDefault="008A2AE6" w:rsidP="008A2AE6">
      <w:pPr>
        <w:pStyle w:val="NoSpacing"/>
        <w:rPr>
          <w:rFonts w:ascii="Times New Roman" w:hAnsi="Times New Roman"/>
          <w:b/>
          <w:sz w:val="24"/>
          <w:szCs w:val="24"/>
        </w:rPr>
      </w:pPr>
      <w:r w:rsidRPr="008A2AE6">
        <w:rPr>
          <w:rFonts w:ascii="Times New Roman" w:hAnsi="Times New Roman"/>
          <w:b/>
          <w:sz w:val="24"/>
          <w:szCs w:val="24"/>
        </w:rPr>
        <w:t xml:space="preserve">Legal Lesson Learned: Police and fire have different duties and under NH law should not be in the same collective bargaining unit. </w:t>
      </w:r>
    </w:p>
    <w:p w14:paraId="3CDDA6D2" w14:textId="77777777" w:rsidR="008A2AE6" w:rsidRPr="008A2AE6" w:rsidRDefault="008A2AE6" w:rsidP="008A2AE6">
      <w:pPr>
        <w:rPr>
          <w:rFonts w:ascii="Times New Roman" w:hAnsi="Times New Roman"/>
          <w:sz w:val="24"/>
          <w:szCs w:val="24"/>
        </w:rPr>
      </w:pPr>
    </w:p>
    <w:p w14:paraId="45CC4002" w14:textId="77777777" w:rsidR="008A2AE6" w:rsidRDefault="008A2AE6" w:rsidP="00F326E5">
      <w:pPr>
        <w:pStyle w:val="NoSpacing"/>
        <w:rPr>
          <w:rFonts w:ascii="Arial Black" w:hAnsi="Arial Black"/>
          <w:sz w:val="24"/>
          <w:szCs w:val="24"/>
        </w:rPr>
      </w:pPr>
    </w:p>
    <w:p w14:paraId="30B3392F" w14:textId="77777777" w:rsidR="00F367A4" w:rsidRDefault="00F367A4" w:rsidP="00F326E5">
      <w:pPr>
        <w:pStyle w:val="NoSpacing"/>
        <w:rPr>
          <w:rFonts w:ascii="Arial Black" w:hAnsi="Arial Black"/>
          <w:sz w:val="24"/>
          <w:szCs w:val="24"/>
        </w:rPr>
      </w:pPr>
    </w:p>
    <w:p w14:paraId="78E0A541" w14:textId="77777777" w:rsidR="00F367A4" w:rsidRDefault="00F367A4" w:rsidP="00F326E5">
      <w:pPr>
        <w:pStyle w:val="NoSpacing"/>
        <w:rPr>
          <w:rFonts w:ascii="Arial Black" w:hAnsi="Arial Black"/>
          <w:sz w:val="24"/>
          <w:szCs w:val="24"/>
        </w:rPr>
      </w:pPr>
    </w:p>
    <w:p w14:paraId="23057ED1" w14:textId="66A5920B" w:rsidR="00766306" w:rsidRDefault="00766306" w:rsidP="00F326E5">
      <w:pPr>
        <w:pStyle w:val="NoSpacing"/>
        <w:rPr>
          <w:rFonts w:ascii="Arial Black" w:hAnsi="Arial Black"/>
          <w:sz w:val="24"/>
          <w:szCs w:val="24"/>
        </w:rPr>
      </w:pPr>
      <w:r>
        <w:rPr>
          <w:rFonts w:ascii="Arial Black" w:hAnsi="Arial Black"/>
          <w:sz w:val="24"/>
          <w:szCs w:val="24"/>
        </w:rPr>
        <w:t>17-49</w:t>
      </w:r>
    </w:p>
    <w:p w14:paraId="11690BCB" w14:textId="77777777" w:rsidR="00766306" w:rsidRDefault="00766306" w:rsidP="00F326E5">
      <w:pPr>
        <w:pStyle w:val="NoSpacing"/>
        <w:rPr>
          <w:rFonts w:ascii="Arial Black" w:hAnsi="Arial Black"/>
          <w:sz w:val="24"/>
          <w:szCs w:val="24"/>
        </w:rPr>
      </w:pPr>
    </w:p>
    <w:p w14:paraId="03376A93" w14:textId="77777777" w:rsidR="00766306" w:rsidRPr="00447084" w:rsidRDefault="00766306" w:rsidP="00766306">
      <w:pPr>
        <w:pStyle w:val="NoSpacing"/>
        <w:rPr>
          <w:rFonts w:ascii="Arial Black" w:hAnsi="Arial Black"/>
          <w:bCs/>
          <w:sz w:val="28"/>
          <w:szCs w:val="28"/>
        </w:rPr>
      </w:pPr>
      <w:r>
        <w:rPr>
          <w:rFonts w:ascii="Arial Black" w:hAnsi="Arial Black"/>
          <w:sz w:val="28"/>
          <w:szCs w:val="28"/>
        </w:rPr>
        <w:t>NY: FDNY - COVID - LEAVE W/O PAY – NO ARBITRABLE</w:t>
      </w:r>
    </w:p>
    <w:p w14:paraId="00002D5F" w14:textId="77777777" w:rsidR="00766306" w:rsidRDefault="00766306" w:rsidP="00766306">
      <w:pPr>
        <w:pStyle w:val="NoSpacing"/>
        <w:rPr>
          <w:bCs/>
        </w:rPr>
      </w:pPr>
    </w:p>
    <w:p w14:paraId="21D9502F" w14:textId="77777777" w:rsidR="00766306" w:rsidRPr="00F367A4" w:rsidRDefault="00766306" w:rsidP="00766306">
      <w:pPr>
        <w:pStyle w:val="NoSpacing"/>
        <w:rPr>
          <w:rFonts w:ascii="Times New Roman" w:hAnsi="Times New Roman"/>
          <w:sz w:val="24"/>
          <w:szCs w:val="24"/>
        </w:rPr>
      </w:pPr>
      <w:r w:rsidRPr="00F367A4">
        <w:rPr>
          <w:rFonts w:ascii="Times New Roman" w:hAnsi="Times New Roman"/>
          <w:sz w:val="24"/>
          <w:szCs w:val="24"/>
        </w:rPr>
        <w:t xml:space="preserve">On March 18, 2025, in </w:t>
      </w:r>
      <w:r w:rsidRPr="00F367A4">
        <w:rPr>
          <w:rFonts w:ascii="Times New Roman" w:hAnsi="Times New Roman"/>
          <w:sz w:val="24"/>
          <w:szCs w:val="24"/>
          <w:u w:val="single"/>
        </w:rPr>
        <w:t xml:space="preserve">In </w:t>
      </w:r>
      <w:proofErr w:type="gramStart"/>
      <w:r w:rsidRPr="00F367A4">
        <w:rPr>
          <w:rFonts w:ascii="Times New Roman" w:hAnsi="Times New Roman"/>
          <w:sz w:val="24"/>
          <w:szCs w:val="24"/>
          <w:u w:val="single"/>
        </w:rPr>
        <w:t>The</w:t>
      </w:r>
      <w:proofErr w:type="gramEnd"/>
      <w:r w:rsidRPr="00F367A4">
        <w:rPr>
          <w:rFonts w:ascii="Times New Roman" w:hAnsi="Times New Roman"/>
          <w:sz w:val="24"/>
          <w:szCs w:val="24"/>
          <w:u w:val="single"/>
        </w:rPr>
        <w:t xml:space="preserve"> Matter of Uniformed Firefighters Association of Greater New York, Local 94, IAFF, AFL-CIO v. The City of New York</w:t>
      </w:r>
      <w:r w:rsidRPr="00F367A4">
        <w:rPr>
          <w:rFonts w:ascii="Times New Roman" w:hAnsi="Times New Roman"/>
          <w:sz w:val="24"/>
          <w:szCs w:val="24"/>
        </w:rPr>
        <w:t xml:space="preserve">, the NY Supreme Court, Appellate Division, First Department, held (5 to 0) that the trial court judge properly upheld the decision of New York City Board of Collective Bargaining (BCB) that the union’s grievance regarding placing firefighters on leave without pay (LWOP) was not arbitrable.  “The Board rationally found … that there was no ‘reasonable relationship between the subject matter of the dispute and the general subject matter of the CBA.’” </w:t>
      </w:r>
      <w:hyperlink r:id="rId2907" w:history="1">
        <w:r w:rsidRPr="00F367A4">
          <w:rPr>
            <w:rStyle w:val="Hyperlink"/>
            <w:rFonts w:ascii="Times New Roman" w:hAnsi="Times New Roman"/>
            <w:sz w:val="24"/>
            <w:szCs w:val="24"/>
          </w:rPr>
          <w:t>https://caselaw.findlaw.com/court/ny-supreme-court-appellate-division/117059772.html</w:t>
        </w:r>
      </w:hyperlink>
      <w:r w:rsidRPr="00F367A4">
        <w:rPr>
          <w:rFonts w:ascii="Times New Roman" w:hAnsi="Times New Roman"/>
          <w:sz w:val="24"/>
          <w:szCs w:val="24"/>
        </w:rPr>
        <w:t xml:space="preserve"> </w:t>
      </w:r>
    </w:p>
    <w:p w14:paraId="28E5EE2A" w14:textId="77777777" w:rsidR="00766306" w:rsidRPr="00F367A4" w:rsidRDefault="00766306" w:rsidP="00766306">
      <w:pPr>
        <w:pStyle w:val="NoSpacing"/>
        <w:rPr>
          <w:rFonts w:ascii="Times New Roman" w:hAnsi="Times New Roman"/>
          <w:sz w:val="24"/>
          <w:szCs w:val="24"/>
        </w:rPr>
      </w:pPr>
    </w:p>
    <w:p w14:paraId="1CC02AD5" w14:textId="77777777" w:rsidR="00F367A4" w:rsidRPr="00F367A4" w:rsidRDefault="00F367A4" w:rsidP="00F367A4">
      <w:pPr>
        <w:pStyle w:val="NoSpacing"/>
        <w:rPr>
          <w:rFonts w:ascii="Times New Roman" w:hAnsi="Times New Roman"/>
          <w:b/>
          <w:bCs/>
          <w:sz w:val="24"/>
          <w:szCs w:val="24"/>
        </w:rPr>
      </w:pPr>
      <w:r w:rsidRPr="00F367A4">
        <w:rPr>
          <w:rFonts w:ascii="Times New Roman" w:hAnsi="Times New Roman"/>
          <w:b/>
          <w:sz w:val="24"/>
          <w:szCs w:val="24"/>
        </w:rPr>
        <w:t>Legal Lesson Learned:  The CBA does not restrict the FD from placing fire department from putting firefighters on leave without pay “when these members fail to satisfy a condition of employment.”</w:t>
      </w:r>
    </w:p>
    <w:p w14:paraId="4EFAB67B" w14:textId="77777777" w:rsidR="00766306" w:rsidRPr="00F367A4" w:rsidRDefault="00766306" w:rsidP="00F326E5">
      <w:pPr>
        <w:pStyle w:val="NoSpacing"/>
        <w:rPr>
          <w:rFonts w:ascii="Times New Roman" w:hAnsi="Times New Roman"/>
          <w:sz w:val="24"/>
          <w:szCs w:val="24"/>
        </w:rPr>
      </w:pPr>
    </w:p>
    <w:p w14:paraId="1775034F" w14:textId="77777777" w:rsidR="00766306" w:rsidRDefault="00766306" w:rsidP="00F326E5">
      <w:pPr>
        <w:pStyle w:val="NoSpacing"/>
        <w:rPr>
          <w:rFonts w:ascii="Arial Black" w:hAnsi="Arial Black"/>
          <w:sz w:val="24"/>
          <w:szCs w:val="24"/>
        </w:rPr>
      </w:pPr>
    </w:p>
    <w:p w14:paraId="269EB134" w14:textId="24DEEE9F" w:rsidR="00673952" w:rsidRDefault="00673952" w:rsidP="00F326E5">
      <w:pPr>
        <w:pStyle w:val="NoSpacing"/>
        <w:rPr>
          <w:rFonts w:ascii="Arial Black" w:hAnsi="Arial Black"/>
          <w:sz w:val="24"/>
          <w:szCs w:val="24"/>
        </w:rPr>
      </w:pPr>
      <w:r>
        <w:rPr>
          <w:rFonts w:ascii="Arial Black" w:hAnsi="Arial Black"/>
          <w:sz w:val="24"/>
          <w:szCs w:val="24"/>
        </w:rPr>
        <w:t>17-48</w:t>
      </w:r>
    </w:p>
    <w:p w14:paraId="43691976" w14:textId="77777777" w:rsidR="00673952" w:rsidRDefault="00673952" w:rsidP="00F326E5">
      <w:pPr>
        <w:pStyle w:val="NoSpacing"/>
        <w:rPr>
          <w:rFonts w:ascii="Arial Black" w:hAnsi="Arial Black"/>
          <w:sz w:val="24"/>
          <w:szCs w:val="24"/>
        </w:rPr>
      </w:pPr>
    </w:p>
    <w:p w14:paraId="7475A88C" w14:textId="77777777" w:rsidR="00673952" w:rsidRPr="00041DFC" w:rsidRDefault="00673952" w:rsidP="00673952">
      <w:pPr>
        <w:pStyle w:val="NoSpacing"/>
        <w:rPr>
          <w:rFonts w:ascii="Arial Black" w:hAnsi="Arial Black"/>
          <w:sz w:val="28"/>
          <w:szCs w:val="28"/>
        </w:rPr>
      </w:pPr>
      <w:r>
        <w:rPr>
          <w:rFonts w:ascii="Arial Black" w:hAnsi="Arial Black"/>
          <w:sz w:val="28"/>
          <w:szCs w:val="28"/>
        </w:rPr>
        <w:t>IL: CBA - INJURED FF – WORK COMP AT PART-TIME RATE</w:t>
      </w:r>
    </w:p>
    <w:p w14:paraId="60CFF8F2" w14:textId="77777777" w:rsidR="00673952" w:rsidRPr="00673952" w:rsidRDefault="00673952" w:rsidP="00673952">
      <w:pPr>
        <w:pStyle w:val="NoSpacing"/>
        <w:rPr>
          <w:rFonts w:ascii="Times New Roman" w:hAnsi="Times New Roman"/>
          <w:sz w:val="24"/>
          <w:szCs w:val="24"/>
        </w:rPr>
      </w:pPr>
    </w:p>
    <w:p w14:paraId="258E3FF2" w14:textId="77777777" w:rsidR="00673952" w:rsidRPr="00673952" w:rsidRDefault="00673952" w:rsidP="00673952">
      <w:pPr>
        <w:pStyle w:val="NoSpacing"/>
        <w:rPr>
          <w:rFonts w:ascii="Times New Roman" w:hAnsi="Times New Roman"/>
          <w:sz w:val="24"/>
          <w:szCs w:val="24"/>
        </w:rPr>
      </w:pPr>
      <w:r w:rsidRPr="00673952">
        <w:rPr>
          <w:rFonts w:ascii="Times New Roman" w:hAnsi="Times New Roman"/>
          <w:sz w:val="24"/>
          <w:szCs w:val="24"/>
        </w:rPr>
        <w:t xml:space="preserve">On Jan. 17, 2025, in </w:t>
      </w:r>
      <w:r w:rsidRPr="00673952">
        <w:rPr>
          <w:rFonts w:ascii="Times New Roman" w:hAnsi="Times New Roman"/>
          <w:sz w:val="24"/>
          <w:szCs w:val="24"/>
          <w:u w:val="single"/>
        </w:rPr>
        <w:t>Village of Roselle v. The Illinois Worker’s Compensation Commission, et al. (Glen Thomas, Appellee)</w:t>
      </w:r>
      <w:r w:rsidRPr="00673952">
        <w:rPr>
          <w:rFonts w:ascii="Times New Roman" w:hAnsi="Times New Roman"/>
          <w:sz w:val="24"/>
          <w:szCs w:val="24"/>
        </w:rPr>
        <w:t xml:space="preserve">, the Court of Appeals of Illinois, Third District held (5 to 0) reversed an Arbitrator and the Commission on the calculation of the “wage-differential” award to Village part-time firefighter Glen Thomas.  He suffered a permanent partial disability (shoulder injury at fire on Feb. 17, 2015) but was able to return to work full time as a public service employee with the Village until </w:t>
      </w:r>
      <w:proofErr w:type="gramStart"/>
      <w:r w:rsidRPr="00673952">
        <w:rPr>
          <w:rFonts w:ascii="Times New Roman" w:hAnsi="Times New Roman"/>
          <w:sz w:val="24"/>
          <w:szCs w:val="24"/>
        </w:rPr>
        <w:t>retiring</w:t>
      </w:r>
      <w:proofErr w:type="gramEnd"/>
      <w:r w:rsidRPr="00673952">
        <w:rPr>
          <w:rFonts w:ascii="Times New Roman" w:hAnsi="Times New Roman"/>
          <w:sz w:val="24"/>
          <w:szCs w:val="24"/>
        </w:rPr>
        <w:t xml:space="preserve"> on April 29, 2022.  He is entitled under state law to a “wage-differential award</w:t>
      </w:r>
      <w:proofErr w:type="gramStart"/>
      <w:r w:rsidRPr="00673952">
        <w:rPr>
          <w:rFonts w:ascii="Times New Roman" w:hAnsi="Times New Roman"/>
          <w:sz w:val="24"/>
          <w:szCs w:val="24"/>
        </w:rPr>
        <w:t>”</w:t>
      </w:r>
      <w:proofErr w:type="gramEnd"/>
      <w:r w:rsidRPr="00673952">
        <w:rPr>
          <w:rFonts w:ascii="Times New Roman" w:hAnsi="Times New Roman"/>
          <w:sz w:val="24"/>
          <w:szCs w:val="24"/>
        </w:rPr>
        <w:t xml:space="preserve"> but the Court held it is to be calculated only based on normal firefighter pay of $19.15 per hour, not the CBA rate of 1.5 times his public works pay rate ($32.55, using 1.5 multiplier times $21.70). He will therefore receive $374.19 per week </w:t>
      </w:r>
      <w:proofErr w:type="gramStart"/>
      <w:r w:rsidRPr="00673952">
        <w:rPr>
          <w:rFonts w:ascii="Times New Roman" w:hAnsi="Times New Roman"/>
          <w:sz w:val="24"/>
          <w:szCs w:val="24"/>
        </w:rPr>
        <w:t>until</w:t>
      </w:r>
      <w:proofErr w:type="gramEnd"/>
      <w:r w:rsidRPr="00673952">
        <w:rPr>
          <w:rFonts w:ascii="Times New Roman" w:hAnsi="Times New Roman"/>
          <w:sz w:val="24"/>
          <w:szCs w:val="24"/>
        </w:rPr>
        <w:t xml:space="preserve"> social security and not $636.03 per week that the Arbitrator and Commission awarded him. </w:t>
      </w:r>
      <w:hyperlink r:id="rId2908" w:history="1">
        <w:r w:rsidRPr="00673952">
          <w:rPr>
            <w:rStyle w:val="Hyperlink"/>
            <w:rFonts w:ascii="Times New Roman" w:hAnsi="Times New Roman"/>
            <w:sz w:val="24"/>
            <w:szCs w:val="24"/>
          </w:rPr>
          <w:t>https://ilcourtsaudio.blob.core.windows.net/antilles-resources/resources/7509d61b-3a3a-4986-bb3a-7cce5964f936/Village%20of%20Roselle%20v.%20Illinois%20Workers'%20Compensation%20Comm'n,%202025%20IL%20App%20(3rd)%20240306WC-U.pdf</w:t>
        </w:r>
      </w:hyperlink>
      <w:r w:rsidRPr="00673952">
        <w:rPr>
          <w:rFonts w:ascii="Times New Roman" w:hAnsi="Times New Roman"/>
          <w:sz w:val="24"/>
          <w:szCs w:val="24"/>
        </w:rPr>
        <w:t xml:space="preserve"> </w:t>
      </w:r>
    </w:p>
    <w:p w14:paraId="5D37ED32" w14:textId="77777777" w:rsidR="00673952" w:rsidRPr="00673952" w:rsidRDefault="00673952" w:rsidP="00673952">
      <w:pPr>
        <w:pStyle w:val="NoSpacing"/>
        <w:rPr>
          <w:rFonts w:ascii="Times New Roman" w:hAnsi="Times New Roman"/>
          <w:sz w:val="24"/>
          <w:szCs w:val="24"/>
        </w:rPr>
      </w:pPr>
    </w:p>
    <w:p w14:paraId="45937F8A" w14:textId="77777777" w:rsidR="00673952" w:rsidRPr="00673952" w:rsidRDefault="00673952" w:rsidP="00673952">
      <w:pPr>
        <w:rPr>
          <w:rFonts w:ascii="Times New Roman" w:hAnsi="Times New Roman"/>
          <w:sz w:val="24"/>
          <w:szCs w:val="24"/>
        </w:rPr>
      </w:pPr>
      <w:r w:rsidRPr="00673952">
        <w:rPr>
          <w:rFonts w:ascii="Times New Roman" w:hAnsi="Times New Roman"/>
          <w:sz w:val="24"/>
          <w:szCs w:val="24"/>
        </w:rPr>
        <w:t>The Court held:</w:t>
      </w:r>
    </w:p>
    <w:p w14:paraId="4690ABF2" w14:textId="77777777" w:rsidR="00673952" w:rsidRPr="00673952" w:rsidRDefault="00673952" w:rsidP="00673952">
      <w:pPr>
        <w:pStyle w:val="NoSpacing"/>
        <w:ind w:left="720"/>
        <w:rPr>
          <w:rFonts w:ascii="Times New Roman" w:hAnsi="Times New Roman"/>
          <w:sz w:val="24"/>
          <w:szCs w:val="24"/>
        </w:rPr>
      </w:pPr>
      <w:r w:rsidRPr="00673952">
        <w:rPr>
          <w:rFonts w:ascii="Times New Roman" w:hAnsi="Times New Roman"/>
          <w:sz w:val="24"/>
          <w:szCs w:val="24"/>
        </w:rPr>
        <w:t xml:space="preserve">“On February 17, 2015, he was 48 years old and had been working for the Village for 15 years as a full-time public works employee and as a part-time firefighter paramedic. On that date, claimant was injured while fighting a fire. Although he was unable to ever resume work as a firefighter after the accident, he returned to his full-time duties as a public works employee on September 22, 2016. On September 28, 2021, claimant was involved in a non-work-related motorcycle accident. He was completely off work, using medical leave and </w:t>
      </w:r>
      <w:proofErr w:type="gramStart"/>
      <w:r w:rsidRPr="00673952">
        <w:rPr>
          <w:rFonts w:ascii="Times New Roman" w:hAnsi="Times New Roman"/>
          <w:sz w:val="24"/>
          <w:szCs w:val="24"/>
        </w:rPr>
        <w:t>all of</w:t>
      </w:r>
      <w:proofErr w:type="gramEnd"/>
      <w:r w:rsidRPr="00673952">
        <w:rPr>
          <w:rFonts w:ascii="Times New Roman" w:hAnsi="Times New Roman"/>
          <w:sz w:val="24"/>
          <w:szCs w:val="24"/>
        </w:rPr>
        <w:t xml:space="preserve"> his accrued vacation and sick time, until he retired from the Village on April 29, 2022.</w:t>
      </w:r>
    </w:p>
    <w:p w14:paraId="37214273" w14:textId="77777777" w:rsidR="00673952" w:rsidRPr="00673952" w:rsidRDefault="00673952" w:rsidP="00673952">
      <w:pPr>
        <w:pStyle w:val="NoSpacing"/>
        <w:ind w:left="720"/>
        <w:rPr>
          <w:rFonts w:ascii="Times New Roman" w:hAnsi="Times New Roman"/>
          <w:sz w:val="24"/>
          <w:szCs w:val="24"/>
        </w:rPr>
      </w:pPr>
    </w:p>
    <w:p w14:paraId="11FEFFF6" w14:textId="77777777" w:rsidR="00673952" w:rsidRPr="00673952" w:rsidRDefault="00673952" w:rsidP="00673952">
      <w:pPr>
        <w:pStyle w:val="NoSpacing"/>
        <w:ind w:left="720"/>
        <w:rPr>
          <w:rFonts w:ascii="Times New Roman" w:hAnsi="Times New Roman"/>
          <w:sz w:val="24"/>
          <w:szCs w:val="24"/>
        </w:rPr>
      </w:pPr>
      <w:r w:rsidRPr="00673952">
        <w:rPr>
          <w:rFonts w:ascii="Times New Roman" w:hAnsi="Times New Roman"/>
          <w:sz w:val="24"/>
          <w:szCs w:val="24"/>
        </w:rPr>
        <w:t>***</w:t>
      </w:r>
    </w:p>
    <w:p w14:paraId="7EAE2D19"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 xml:space="preserve">The calculation of wage-differential benefits should be based on claimant’s hourly rate as a part-time firefighter/paramedic. It is claimant’s earning capacity as a firefighter that was affected due to the accident. Applying </w:t>
      </w:r>
      <w:proofErr w:type="gramStart"/>
      <w:r w:rsidRPr="00673952">
        <w:rPr>
          <w:rFonts w:ascii="Times New Roman" w:hAnsi="Times New Roman"/>
          <w:sz w:val="24"/>
          <w:szCs w:val="24"/>
        </w:rPr>
        <w:t>claimant’s</w:t>
      </w:r>
      <w:proofErr w:type="gramEnd"/>
      <w:r w:rsidRPr="00673952">
        <w:rPr>
          <w:rFonts w:ascii="Times New Roman" w:hAnsi="Times New Roman"/>
          <w:sz w:val="24"/>
          <w:szCs w:val="24"/>
        </w:rPr>
        <w:t xml:space="preserve"> public works employee hourly rate and the 1.5 multiplier to a wage-differential calculation would not accurately reflect the reduced earning capacity of a retired full-time village employee who was prevented from ever working as a firefighter due to his work-related injury. In other words, after retiring, claimant is not missing out on his public works full-time position pay due to the accident. Instead, he is missing out on his hourly rate as a firefighter only.</w:t>
      </w:r>
    </w:p>
    <w:p w14:paraId="7B0502C7"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w:t>
      </w:r>
    </w:p>
    <w:p w14:paraId="0A487F50"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The Village is correct that the multiplier does not apply upon claimant’s retirement. However, the Village is incorrect that the calculation of benefits should be based on claimant’s public works employee hourly rate. The calculation of wage-differential benefits should be based on claimant’s hourly rate as a part-time firefighter/paramedic.”</w:t>
      </w:r>
    </w:p>
    <w:p w14:paraId="1A48CCA6" w14:textId="77777777" w:rsidR="00673952" w:rsidRPr="00673952" w:rsidRDefault="00673952" w:rsidP="00673952">
      <w:pPr>
        <w:rPr>
          <w:rFonts w:ascii="Times New Roman" w:hAnsi="Times New Roman"/>
          <w:b/>
          <w:bCs/>
          <w:sz w:val="24"/>
          <w:szCs w:val="24"/>
        </w:rPr>
      </w:pPr>
      <w:r w:rsidRPr="00673952">
        <w:rPr>
          <w:rFonts w:ascii="Times New Roman" w:hAnsi="Times New Roman"/>
          <w:b/>
          <w:sz w:val="24"/>
          <w:szCs w:val="24"/>
        </w:rPr>
        <w:t xml:space="preserve">Legal Lesson Learned:  When drafting CBA for part-time firefighters who are also </w:t>
      </w:r>
      <w:proofErr w:type="gramStart"/>
      <w:r w:rsidRPr="00673952">
        <w:rPr>
          <w:rFonts w:ascii="Times New Roman" w:hAnsi="Times New Roman"/>
          <w:b/>
          <w:sz w:val="24"/>
          <w:szCs w:val="24"/>
        </w:rPr>
        <w:t>full time</w:t>
      </w:r>
      <w:proofErr w:type="gramEnd"/>
      <w:r w:rsidRPr="00673952">
        <w:rPr>
          <w:rFonts w:ascii="Times New Roman" w:hAnsi="Times New Roman"/>
          <w:b/>
          <w:sz w:val="24"/>
          <w:szCs w:val="24"/>
        </w:rPr>
        <w:t xml:space="preserve"> Village </w:t>
      </w:r>
      <w:proofErr w:type="gramStart"/>
      <w:r w:rsidRPr="00673952">
        <w:rPr>
          <w:rFonts w:ascii="Times New Roman" w:hAnsi="Times New Roman"/>
          <w:b/>
          <w:sz w:val="24"/>
          <w:szCs w:val="24"/>
        </w:rPr>
        <w:t>employee</w:t>
      </w:r>
      <w:proofErr w:type="gramEnd"/>
      <w:r w:rsidRPr="00673952">
        <w:rPr>
          <w:rFonts w:ascii="Times New Roman" w:hAnsi="Times New Roman"/>
          <w:b/>
          <w:sz w:val="24"/>
          <w:szCs w:val="24"/>
        </w:rPr>
        <w:t xml:space="preserve">, include a provision on calculation of a wage-differential award. </w:t>
      </w:r>
    </w:p>
    <w:p w14:paraId="297479E9" w14:textId="77777777" w:rsidR="00673952" w:rsidRDefault="00673952" w:rsidP="00F326E5">
      <w:pPr>
        <w:pStyle w:val="NoSpacing"/>
        <w:rPr>
          <w:rFonts w:ascii="Arial Black" w:hAnsi="Arial Black"/>
          <w:sz w:val="24"/>
          <w:szCs w:val="24"/>
        </w:rPr>
      </w:pPr>
    </w:p>
    <w:p w14:paraId="0A4F5B3E" w14:textId="77777777" w:rsidR="00673952" w:rsidRDefault="00673952" w:rsidP="00F326E5">
      <w:pPr>
        <w:pStyle w:val="NoSpacing"/>
        <w:rPr>
          <w:rFonts w:ascii="Arial Black" w:hAnsi="Arial Black"/>
          <w:sz w:val="24"/>
          <w:szCs w:val="24"/>
        </w:rPr>
      </w:pPr>
    </w:p>
    <w:p w14:paraId="480238C5" w14:textId="77777777" w:rsidR="00673952" w:rsidRDefault="00673952" w:rsidP="00F326E5">
      <w:pPr>
        <w:pStyle w:val="NoSpacing"/>
        <w:rPr>
          <w:rFonts w:ascii="Arial Black" w:hAnsi="Arial Black"/>
          <w:sz w:val="24"/>
          <w:szCs w:val="24"/>
        </w:rPr>
      </w:pPr>
    </w:p>
    <w:p w14:paraId="7EFD7357" w14:textId="216C04D6" w:rsidR="004B129E" w:rsidRDefault="009F5629" w:rsidP="00F326E5">
      <w:pPr>
        <w:pStyle w:val="NoSpacing"/>
        <w:rPr>
          <w:rFonts w:ascii="Arial Black" w:hAnsi="Arial Black"/>
          <w:sz w:val="24"/>
          <w:szCs w:val="24"/>
        </w:rPr>
      </w:pPr>
      <w:r>
        <w:rPr>
          <w:rFonts w:ascii="Arial Black" w:hAnsi="Arial Black"/>
          <w:sz w:val="24"/>
          <w:szCs w:val="24"/>
        </w:rPr>
        <w:t>17-47</w:t>
      </w:r>
    </w:p>
    <w:p w14:paraId="7A33D2B3" w14:textId="77777777" w:rsidR="009F5629" w:rsidRDefault="009F5629" w:rsidP="00F326E5">
      <w:pPr>
        <w:pStyle w:val="NoSpacing"/>
        <w:rPr>
          <w:rFonts w:ascii="Arial Black" w:hAnsi="Arial Black"/>
          <w:sz w:val="24"/>
          <w:szCs w:val="24"/>
        </w:rPr>
      </w:pPr>
    </w:p>
    <w:p w14:paraId="176F88BF" w14:textId="77777777" w:rsidR="009F5629" w:rsidRPr="00530558" w:rsidRDefault="009F5629" w:rsidP="009F5629">
      <w:pPr>
        <w:pStyle w:val="NoSpacing"/>
        <w:rPr>
          <w:rFonts w:ascii="Arial Black" w:hAnsi="Arial Black"/>
          <w:b/>
          <w:sz w:val="28"/>
          <w:szCs w:val="28"/>
        </w:rPr>
      </w:pPr>
      <w:r>
        <w:rPr>
          <w:rFonts w:ascii="Arial Black" w:hAnsi="Arial Black"/>
          <w:b/>
          <w:sz w:val="28"/>
          <w:szCs w:val="28"/>
        </w:rPr>
        <w:t>OH: FIRE ENGINE MFG – DELAY – ARBITRATION</w:t>
      </w:r>
    </w:p>
    <w:p w14:paraId="2CDDD131" w14:textId="77777777" w:rsidR="009F5629" w:rsidRDefault="009F5629" w:rsidP="009F5629">
      <w:pPr>
        <w:pStyle w:val="NoSpacing"/>
        <w:rPr>
          <w:b/>
        </w:rPr>
      </w:pPr>
    </w:p>
    <w:p w14:paraId="7DCEE8FC" w14:textId="77777777" w:rsidR="00942EF0" w:rsidRPr="00546738" w:rsidRDefault="00942EF0" w:rsidP="00546738">
      <w:pPr>
        <w:pStyle w:val="NoSpacing"/>
        <w:rPr>
          <w:rFonts w:ascii="Times New Roman" w:hAnsi="Times New Roman"/>
          <w:bCs/>
          <w:sz w:val="24"/>
          <w:szCs w:val="24"/>
        </w:rPr>
      </w:pPr>
      <w:r w:rsidRPr="00546738">
        <w:rPr>
          <w:rFonts w:ascii="Times New Roman" w:hAnsi="Times New Roman"/>
          <w:sz w:val="24"/>
          <w:szCs w:val="24"/>
        </w:rPr>
        <w:t xml:space="preserve">On Dec. 23, 2024, in </w:t>
      </w:r>
      <w:r w:rsidRPr="00546738">
        <w:rPr>
          <w:rFonts w:ascii="Times New Roman" w:hAnsi="Times New Roman"/>
          <w:sz w:val="24"/>
          <w:szCs w:val="24"/>
          <w:u w:val="single"/>
        </w:rPr>
        <w:t>Dorset Township Board of Trustees v. T-Line EV, LLC</w:t>
      </w:r>
      <w:r w:rsidRPr="00546738">
        <w:rPr>
          <w:rFonts w:ascii="Times New Roman" w:hAnsi="Times New Roman"/>
          <w:sz w:val="24"/>
          <w:szCs w:val="24"/>
        </w:rPr>
        <w:t>, the Ohio Court of Appeals for 11</w:t>
      </w:r>
      <w:r w:rsidRPr="00546738">
        <w:rPr>
          <w:rFonts w:ascii="Times New Roman" w:hAnsi="Times New Roman"/>
          <w:sz w:val="24"/>
          <w:szCs w:val="24"/>
          <w:vertAlign w:val="superscript"/>
        </w:rPr>
        <w:t>th</w:t>
      </w:r>
      <w:r w:rsidRPr="00546738">
        <w:rPr>
          <w:rFonts w:ascii="Times New Roman" w:hAnsi="Times New Roman"/>
          <w:sz w:val="24"/>
          <w:szCs w:val="24"/>
        </w:rPr>
        <w:t xml:space="preserve"> Appellate District (Ashtabula County), held (3 to 0) that trial court improperly set aside the arbitrator’s decision that found in favor of the Township.  The arbitrator awarded a “Delay Penalty” under the contract 0.5% per week (80 weeks; $7,500 based on $150,000 contract) and ordered T-Line to return their down payment ($75,000), pay for the 2007 Ferrar chassis supplied by the Township ($35000), and reimburse the Township $1,925 filing fee for the American Arbitration Association.  </w:t>
      </w:r>
      <w:hyperlink r:id="rId2909" w:history="1">
        <w:r w:rsidRPr="00546738">
          <w:rPr>
            <w:rStyle w:val="Hyperlink"/>
            <w:rFonts w:ascii="Times New Roman" w:hAnsi="Times New Roman"/>
            <w:sz w:val="24"/>
            <w:szCs w:val="24"/>
          </w:rPr>
          <w:t>https://www.supremecourt.ohio.gov/rod/docs/pdf/11/2024/2024-Ohio-6002.pdf</w:t>
        </w:r>
      </w:hyperlink>
      <w:r w:rsidRPr="00546738">
        <w:rPr>
          <w:rFonts w:ascii="Times New Roman" w:hAnsi="Times New Roman"/>
          <w:sz w:val="24"/>
          <w:szCs w:val="24"/>
        </w:rPr>
        <w:t xml:space="preserve"> </w:t>
      </w:r>
    </w:p>
    <w:p w14:paraId="05CD1771" w14:textId="77777777" w:rsidR="00942EF0" w:rsidRPr="00546738" w:rsidRDefault="00942EF0" w:rsidP="00942EF0">
      <w:pPr>
        <w:pStyle w:val="NoSpacing"/>
        <w:rPr>
          <w:rFonts w:ascii="Times New Roman" w:hAnsi="Times New Roman"/>
          <w:bCs/>
          <w:sz w:val="24"/>
          <w:szCs w:val="24"/>
        </w:rPr>
      </w:pPr>
    </w:p>
    <w:p w14:paraId="54AF1B6B" w14:textId="4F53A7BD" w:rsidR="009F5629" w:rsidRPr="00525719" w:rsidRDefault="009F5629" w:rsidP="009F5629">
      <w:pPr>
        <w:pStyle w:val="NoSpacing"/>
        <w:rPr>
          <w:rFonts w:ascii="Times New Roman" w:hAnsi="Times New Roman"/>
          <w:bCs/>
          <w:sz w:val="24"/>
          <w:szCs w:val="24"/>
        </w:rPr>
      </w:pPr>
      <w:r w:rsidRPr="00525719">
        <w:rPr>
          <w:rFonts w:ascii="Times New Roman" w:hAnsi="Times New Roman"/>
          <w:sz w:val="24"/>
          <w:szCs w:val="24"/>
        </w:rPr>
        <w:t>The Court of Appeals wrote:</w:t>
      </w:r>
    </w:p>
    <w:p w14:paraId="5CBBB0CF" w14:textId="77777777" w:rsidR="009F5629" w:rsidRPr="00525719" w:rsidRDefault="009F5629" w:rsidP="009F5629">
      <w:pPr>
        <w:pStyle w:val="NoSpacing"/>
        <w:rPr>
          <w:rFonts w:ascii="Times New Roman" w:hAnsi="Times New Roman"/>
          <w:bCs/>
          <w:sz w:val="24"/>
          <w:szCs w:val="24"/>
        </w:rPr>
      </w:pPr>
    </w:p>
    <w:p w14:paraId="277AE658"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“T-Line argued that the arbitration award should be vacated because Dorset Township was in possession of the Pumper with the improvements and that it would be inequitable to allow Dorset Township to both have the Pumper and the arbitration award.</w:t>
      </w:r>
    </w:p>
    <w:p w14:paraId="30E37C16" w14:textId="77777777" w:rsidR="009F5629" w:rsidRPr="00525719" w:rsidRDefault="009F5629" w:rsidP="009F5629">
      <w:pPr>
        <w:pStyle w:val="NoSpacing"/>
        <w:ind w:left="720"/>
        <w:rPr>
          <w:rFonts w:ascii="Times New Roman" w:hAnsi="Times New Roman"/>
          <w:bCs/>
          <w:sz w:val="24"/>
          <w:szCs w:val="24"/>
        </w:rPr>
      </w:pPr>
    </w:p>
    <w:p w14:paraId="221C21B9"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2C4685DB"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The arbitration award was issued on November 22, 2022. Dorset Township filed its complaint seeking confirmation of the award on March 15, 2023. Pursuant to this</w:t>
      </w:r>
    </w:p>
    <w:p w14:paraId="2889FF9F"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provision, R.C. 2711.09, Dorset Township’s application for confirmation of the award was timely filed.</w:t>
      </w:r>
    </w:p>
    <w:p w14:paraId="5120412A" w14:textId="77777777" w:rsidR="009F5629" w:rsidRPr="00525719" w:rsidRDefault="009F5629" w:rsidP="009F5629">
      <w:pPr>
        <w:pStyle w:val="NoSpacing"/>
        <w:ind w:left="720"/>
        <w:rPr>
          <w:rFonts w:ascii="Times New Roman" w:hAnsi="Times New Roman"/>
          <w:bCs/>
          <w:sz w:val="24"/>
          <w:szCs w:val="24"/>
        </w:rPr>
      </w:pPr>
    </w:p>
    <w:p w14:paraId="5D70D042"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4BF25250"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Ohio case law interpreting R.C. 2711.13 confirms the plain language of the</w:t>
      </w:r>
    </w:p>
    <w:p w14:paraId="2A4C94D7"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statute. ‘A party seeking to modify or vacate an arbitration award has up to three months</w:t>
      </w:r>
    </w:p>
    <w:p w14:paraId="56F6C469"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from the date of the award to file its motion.’ … Here, T-Line’s application to vacate the arbitration award was filed on June 27, 2023, while the arbitration award was issued on November 21, 2022. It is apparent that T-Line’s motion was out of rule.</w:t>
      </w:r>
    </w:p>
    <w:p w14:paraId="53D9D4D9" w14:textId="77777777" w:rsidR="009F5629" w:rsidRPr="00525719" w:rsidRDefault="009F5629" w:rsidP="009F5629">
      <w:pPr>
        <w:pStyle w:val="NoSpacing"/>
        <w:ind w:left="720"/>
        <w:rPr>
          <w:rFonts w:ascii="Times New Roman" w:hAnsi="Times New Roman"/>
          <w:bCs/>
          <w:sz w:val="24"/>
          <w:szCs w:val="24"/>
        </w:rPr>
      </w:pPr>
    </w:p>
    <w:p w14:paraId="66C76777"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0AD929E2"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 xml:space="preserve">Proceeding </w:t>
      </w:r>
      <w:proofErr w:type="gramStart"/>
      <w:r w:rsidRPr="00525719">
        <w:rPr>
          <w:rFonts w:ascii="Times New Roman" w:hAnsi="Times New Roman"/>
          <w:sz w:val="24"/>
          <w:szCs w:val="24"/>
        </w:rPr>
        <w:t>on</w:t>
      </w:r>
      <w:proofErr w:type="gramEnd"/>
      <w:r w:rsidRPr="00525719">
        <w:rPr>
          <w:rFonts w:ascii="Times New Roman" w:hAnsi="Times New Roman"/>
          <w:sz w:val="24"/>
          <w:szCs w:val="24"/>
        </w:rPr>
        <w:t xml:space="preserve"> the timely application of Dorset Township to confirm the award, the trial court was required to confirm the award as no timely application to modify or vacate was made. The record shows that the trial court exceeded its authority in not doing so.”</w:t>
      </w:r>
    </w:p>
    <w:p w14:paraId="4123DA03" w14:textId="3A14797E" w:rsidR="009F5629" w:rsidRPr="00525719" w:rsidRDefault="009F5629" w:rsidP="00525719">
      <w:pPr>
        <w:pStyle w:val="NoSpacing"/>
        <w:ind w:firstLine="720"/>
        <w:rPr>
          <w:rFonts w:ascii="Times New Roman" w:hAnsi="Times New Roman"/>
          <w:sz w:val="24"/>
          <w:szCs w:val="24"/>
        </w:rPr>
      </w:pPr>
      <w:r w:rsidRPr="00525719">
        <w:rPr>
          <w:rFonts w:ascii="Times New Roman" w:hAnsi="Times New Roman"/>
          <w:sz w:val="24"/>
          <w:szCs w:val="24"/>
        </w:rPr>
        <w:t xml:space="preserve"> </w:t>
      </w:r>
    </w:p>
    <w:p w14:paraId="64BFC785" w14:textId="77777777" w:rsidR="009F5629" w:rsidRPr="00525719" w:rsidRDefault="009F5629" w:rsidP="00F326E5">
      <w:pPr>
        <w:pStyle w:val="NoSpacing"/>
        <w:rPr>
          <w:rFonts w:ascii="Times New Roman" w:hAnsi="Times New Roman"/>
          <w:sz w:val="24"/>
          <w:szCs w:val="24"/>
        </w:rPr>
      </w:pPr>
    </w:p>
    <w:p w14:paraId="5B07D855" w14:textId="77777777" w:rsidR="009E2025" w:rsidRPr="009E2025" w:rsidRDefault="009E2025" w:rsidP="009E2025">
      <w:pPr>
        <w:pStyle w:val="NoSpacing"/>
        <w:rPr>
          <w:rFonts w:ascii="Times New Roman" w:hAnsi="Times New Roman"/>
          <w:bCs/>
          <w:sz w:val="24"/>
          <w:szCs w:val="24"/>
        </w:rPr>
      </w:pPr>
      <w:r w:rsidRPr="009E2025">
        <w:rPr>
          <w:rFonts w:ascii="Times New Roman" w:hAnsi="Times New Roman"/>
          <w:sz w:val="24"/>
          <w:szCs w:val="24"/>
        </w:rPr>
        <w:t>HOLDING:</w:t>
      </w:r>
    </w:p>
    <w:p w14:paraId="570310D1" w14:textId="77777777" w:rsidR="009E2025" w:rsidRPr="009E2025" w:rsidRDefault="009E2025" w:rsidP="009E2025">
      <w:pPr>
        <w:pStyle w:val="NoSpacing"/>
        <w:rPr>
          <w:rFonts w:ascii="Times New Roman" w:hAnsi="Times New Roman"/>
          <w:bCs/>
          <w:sz w:val="24"/>
          <w:szCs w:val="24"/>
        </w:rPr>
      </w:pPr>
    </w:p>
    <w:p w14:paraId="2BA8F6E5" w14:textId="77777777" w:rsidR="009E2025" w:rsidRPr="009E2025" w:rsidRDefault="009E2025" w:rsidP="009E2025">
      <w:pPr>
        <w:pStyle w:val="NoSpacing"/>
        <w:ind w:left="720"/>
        <w:rPr>
          <w:rFonts w:ascii="Times New Roman" w:hAnsi="Times New Roman"/>
          <w:bCs/>
          <w:sz w:val="24"/>
          <w:szCs w:val="24"/>
        </w:rPr>
      </w:pPr>
      <w:r w:rsidRPr="009E2025">
        <w:rPr>
          <w:rFonts w:ascii="Times New Roman" w:hAnsi="Times New Roman"/>
          <w:sz w:val="24"/>
          <w:szCs w:val="24"/>
        </w:rPr>
        <w:t>“Accordingly, the decision of the Ashtabula County Court of Common Pleas is reversed and remanded for a decision consistent with this Court’s opinion. As the applicable law and facts do not provide a basis for the trial court to do anything other than confirm the arbitrator’s award, the trial court is expressly directed to do so.”</w:t>
      </w:r>
    </w:p>
    <w:p w14:paraId="0C148849" w14:textId="77777777" w:rsidR="009E2025" w:rsidRPr="009E2025" w:rsidRDefault="009E2025" w:rsidP="009E2025">
      <w:pPr>
        <w:pStyle w:val="NoSpacing"/>
        <w:ind w:left="720"/>
        <w:rPr>
          <w:rFonts w:ascii="Times New Roman" w:hAnsi="Times New Roman"/>
          <w:bCs/>
          <w:sz w:val="24"/>
          <w:szCs w:val="24"/>
        </w:rPr>
      </w:pPr>
    </w:p>
    <w:p w14:paraId="0ABD0AE0" w14:textId="31B5AA31" w:rsidR="009E2025" w:rsidRPr="009E2025" w:rsidRDefault="009E2025" w:rsidP="009E2025">
      <w:pPr>
        <w:pStyle w:val="NoSpacing"/>
        <w:rPr>
          <w:rFonts w:ascii="Times New Roman" w:hAnsi="Times New Roman"/>
          <w:b/>
          <w:sz w:val="24"/>
          <w:szCs w:val="24"/>
        </w:rPr>
      </w:pPr>
      <w:r w:rsidRPr="009E2025">
        <w:rPr>
          <w:rFonts w:ascii="Times New Roman" w:hAnsi="Times New Roman"/>
          <w:b/>
          <w:sz w:val="24"/>
          <w:szCs w:val="24"/>
        </w:rPr>
        <w:t xml:space="preserve">Legal Lesson Learned:  An arbitration provision in a contract to purchase or refurbish an engine is an effective way to resolve </w:t>
      </w:r>
      <w:r>
        <w:rPr>
          <w:rFonts w:ascii="Times New Roman" w:hAnsi="Times New Roman"/>
          <w:b/>
          <w:sz w:val="24"/>
          <w:szCs w:val="24"/>
        </w:rPr>
        <w:t xml:space="preserve">a </w:t>
      </w:r>
      <w:r w:rsidRPr="009E2025">
        <w:rPr>
          <w:rFonts w:ascii="Times New Roman" w:hAnsi="Times New Roman"/>
          <w:b/>
          <w:sz w:val="24"/>
          <w:szCs w:val="24"/>
        </w:rPr>
        <w:t>dispute</w:t>
      </w:r>
      <w:r>
        <w:rPr>
          <w:rFonts w:ascii="Times New Roman" w:hAnsi="Times New Roman"/>
          <w:b/>
          <w:sz w:val="24"/>
          <w:szCs w:val="24"/>
        </w:rPr>
        <w:t xml:space="preserve">.  </w:t>
      </w:r>
      <w:r w:rsidRPr="009E2025">
        <w:rPr>
          <w:rFonts w:ascii="Times New Roman" w:hAnsi="Times New Roman"/>
          <w:b/>
          <w:sz w:val="24"/>
          <w:szCs w:val="24"/>
        </w:rPr>
        <w:t xml:space="preserve"> </w:t>
      </w:r>
    </w:p>
    <w:p w14:paraId="1156E940" w14:textId="77777777" w:rsidR="009E2025" w:rsidRPr="009E2025" w:rsidRDefault="009E2025" w:rsidP="009E2025">
      <w:pPr>
        <w:pStyle w:val="NoSpacing"/>
        <w:rPr>
          <w:rFonts w:ascii="Times New Roman" w:hAnsi="Times New Roman"/>
          <w:bCs/>
          <w:sz w:val="24"/>
          <w:szCs w:val="24"/>
        </w:rPr>
      </w:pPr>
    </w:p>
    <w:p w14:paraId="00FDEB1B" w14:textId="77777777" w:rsidR="009F5629" w:rsidRDefault="009F5629" w:rsidP="00F326E5">
      <w:pPr>
        <w:pStyle w:val="NoSpacing"/>
        <w:rPr>
          <w:rFonts w:ascii="Arial Black" w:hAnsi="Arial Black"/>
          <w:sz w:val="24"/>
          <w:szCs w:val="24"/>
        </w:rPr>
      </w:pPr>
    </w:p>
    <w:p w14:paraId="10DCC2F9" w14:textId="77777777" w:rsidR="009E2025" w:rsidRDefault="009E2025" w:rsidP="00F326E5">
      <w:pPr>
        <w:pStyle w:val="NoSpacing"/>
        <w:rPr>
          <w:rFonts w:ascii="Arial Black" w:hAnsi="Arial Black"/>
          <w:sz w:val="24"/>
          <w:szCs w:val="24"/>
        </w:rPr>
      </w:pPr>
    </w:p>
    <w:p w14:paraId="61A3913E" w14:textId="77777777" w:rsidR="009E2025" w:rsidRDefault="009E2025" w:rsidP="00F326E5">
      <w:pPr>
        <w:pStyle w:val="NoSpacing"/>
        <w:rPr>
          <w:rFonts w:ascii="Arial Black" w:hAnsi="Arial Black"/>
          <w:sz w:val="24"/>
          <w:szCs w:val="24"/>
        </w:rPr>
      </w:pPr>
    </w:p>
    <w:p w14:paraId="455974B2" w14:textId="2C562CB5" w:rsidR="004B129E" w:rsidRDefault="004B129E" w:rsidP="00F326E5">
      <w:pPr>
        <w:pStyle w:val="NoSpacing"/>
        <w:rPr>
          <w:rFonts w:ascii="Arial Black" w:hAnsi="Arial Black"/>
          <w:sz w:val="24"/>
          <w:szCs w:val="24"/>
        </w:rPr>
      </w:pPr>
      <w:r>
        <w:rPr>
          <w:rFonts w:ascii="Arial Black" w:hAnsi="Arial Black"/>
          <w:sz w:val="24"/>
          <w:szCs w:val="24"/>
        </w:rPr>
        <w:t>17-46</w:t>
      </w:r>
    </w:p>
    <w:p w14:paraId="2504D6D1" w14:textId="77777777" w:rsidR="004B129E" w:rsidRDefault="004B129E" w:rsidP="00F326E5">
      <w:pPr>
        <w:pStyle w:val="NoSpacing"/>
        <w:rPr>
          <w:rFonts w:ascii="Arial Black" w:hAnsi="Arial Black"/>
          <w:sz w:val="24"/>
          <w:szCs w:val="24"/>
        </w:rPr>
      </w:pPr>
    </w:p>
    <w:p w14:paraId="02C54256" w14:textId="77777777" w:rsidR="00884D9E" w:rsidRPr="00FB08AF" w:rsidRDefault="00884D9E" w:rsidP="00884D9E">
      <w:pPr>
        <w:rPr>
          <w:rFonts w:ascii="Times New Roman" w:hAnsi="Times New Roman"/>
          <w:b/>
          <w:sz w:val="24"/>
          <w:szCs w:val="24"/>
        </w:rPr>
      </w:pPr>
      <w:r w:rsidRPr="00FB08AF">
        <w:rPr>
          <w:rFonts w:ascii="Times New Roman" w:hAnsi="Times New Roman"/>
          <w:b/>
          <w:sz w:val="24"/>
          <w:szCs w:val="24"/>
        </w:rPr>
        <w:t>OH: FIRE CHIEF – LT. APPOINTED INTERIM – CIVIL SERVICE EXAM - REPLACED BY A/C WHO SCORED HIGHEST</w:t>
      </w:r>
    </w:p>
    <w:p w14:paraId="648E98CF" w14:textId="77777777" w:rsidR="00884D9E" w:rsidRPr="00FB08AF" w:rsidRDefault="00884D9E" w:rsidP="00884D9E">
      <w:pPr>
        <w:pStyle w:val="NoSpacing"/>
        <w:rPr>
          <w:rFonts w:ascii="Times New Roman" w:hAnsi="Times New Roman"/>
          <w:sz w:val="24"/>
          <w:szCs w:val="24"/>
        </w:rPr>
      </w:pPr>
      <w:r w:rsidRPr="00FB08AF">
        <w:rPr>
          <w:rFonts w:ascii="Times New Roman" w:hAnsi="Times New Roman"/>
          <w:sz w:val="24"/>
          <w:szCs w:val="24"/>
        </w:rPr>
        <w:t xml:space="preserve">On Oct. 31, 2024, in </w:t>
      </w:r>
      <w:r w:rsidRPr="00FB08AF">
        <w:rPr>
          <w:rFonts w:ascii="Times New Roman" w:hAnsi="Times New Roman"/>
          <w:sz w:val="24"/>
          <w:szCs w:val="24"/>
          <w:u w:val="single"/>
        </w:rPr>
        <w:t>The State ex rel. Patrick Johnson v. Mark Higgins</w:t>
      </w:r>
      <w:r w:rsidRPr="00FB08AF">
        <w:rPr>
          <w:rFonts w:ascii="Times New Roman" w:hAnsi="Times New Roman"/>
          <w:sz w:val="24"/>
          <w:szCs w:val="24"/>
        </w:rPr>
        <w:t xml:space="preserve">, the Supreme Court of Ohio held (7 to 0): “Higgins is currently serving as chief of the fire department of the City of Brook Park, a position to which Johnson claims legal entitlement. Johnson seeks a writ ousting Higgins from the position and declaring that Johnson is entitled to the position. We deny the writ.” </w:t>
      </w:r>
      <w:hyperlink r:id="rId2910" w:history="1">
        <w:r w:rsidRPr="00FB08AF">
          <w:rPr>
            <w:rStyle w:val="Hyperlink"/>
            <w:rFonts w:ascii="Times New Roman" w:hAnsi="Times New Roman"/>
            <w:b/>
            <w:sz w:val="24"/>
            <w:szCs w:val="24"/>
          </w:rPr>
          <w:t>https://www.supremecourt.ohio.gov/rod/docs/pdf/0/2024/2024-Ohio-5174.pdf</w:t>
        </w:r>
      </w:hyperlink>
    </w:p>
    <w:p w14:paraId="4D89268D" w14:textId="77777777" w:rsidR="00884D9E" w:rsidRPr="00FB08AF" w:rsidRDefault="00884D9E" w:rsidP="00884D9E">
      <w:pPr>
        <w:pStyle w:val="NoSpacing"/>
        <w:rPr>
          <w:rFonts w:ascii="Times New Roman" w:hAnsi="Times New Roman"/>
          <w:sz w:val="24"/>
          <w:szCs w:val="24"/>
        </w:rPr>
      </w:pPr>
    </w:p>
    <w:p w14:paraId="5FFAC62F" w14:textId="77777777" w:rsidR="00F76365" w:rsidRPr="00FB08AF" w:rsidRDefault="00F76365" w:rsidP="00F76365">
      <w:pPr>
        <w:pStyle w:val="NoSpacing"/>
        <w:rPr>
          <w:rFonts w:ascii="Times New Roman" w:hAnsi="Times New Roman"/>
          <w:b/>
          <w:bCs/>
          <w:sz w:val="24"/>
          <w:szCs w:val="24"/>
        </w:rPr>
      </w:pPr>
      <w:r w:rsidRPr="00FB08AF">
        <w:rPr>
          <w:rFonts w:ascii="Times New Roman" w:hAnsi="Times New Roman"/>
          <w:b/>
          <w:sz w:val="24"/>
          <w:szCs w:val="24"/>
        </w:rPr>
        <w:t>Legal Lesson Learned: Civil Service process was followed</w:t>
      </w:r>
      <w:r w:rsidRPr="00FB08AF">
        <w:rPr>
          <w:rFonts w:ascii="Times New Roman" w:hAnsi="Times New Roman"/>
          <w:b/>
          <w:bCs/>
          <w:sz w:val="24"/>
          <w:szCs w:val="24"/>
        </w:rPr>
        <w:t>.</w:t>
      </w:r>
      <w:r w:rsidRPr="00FB08AF">
        <w:rPr>
          <w:rFonts w:ascii="Times New Roman" w:hAnsi="Times New Roman"/>
          <w:b/>
          <w:sz w:val="24"/>
          <w:szCs w:val="24"/>
        </w:rPr>
        <w:t xml:space="preserve"> </w:t>
      </w:r>
    </w:p>
    <w:p w14:paraId="3291D370" w14:textId="77777777" w:rsidR="00F76365" w:rsidRPr="00FB08AF" w:rsidRDefault="00F76365" w:rsidP="00F76365">
      <w:pPr>
        <w:rPr>
          <w:rFonts w:ascii="Times New Roman" w:hAnsi="Times New Roman"/>
          <w:sz w:val="24"/>
          <w:szCs w:val="24"/>
        </w:rPr>
      </w:pPr>
    </w:p>
    <w:p w14:paraId="02362F25" w14:textId="13DEB49F" w:rsidR="004B129E" w:rsidRDefault="004B129E" w:rsidP="00F326E5">
      <w:pPr>
        <w:pStyle w:val="NoSpacing"/>
        <w:rPr>
          <w:rFonts w:ascii="Arial Black" w:hAnsi="Arial Black"/>
          <w:sz w:val="24"/>
          <w:szCs w:val="24"/>
        </w:rPr>
      </w:pPr>
      <w:r>
        <w:rPr>
          <w:rFonts w:ascii="Arial Black" w:hAnsi="Arial Black"/>
          <w:sz w:val="24"/>
          <w:szCs w:val="24"/>
        </w:rPr>
        <w:t>17-45</w:t>
      </w:r>
    </w:p>
    <w:p w14:paraId="762B200F" w14:textId="77777777" w:rsidR="004B129E" w:rsidRDefault="004B129E" w:rsidP="00F326E5">
      <w:pPr>
        <w:pStyle w:val="NoSpacing"/>
        <w:rPr>
          <w:rFonts w:ascii="Arial Black" w:hAnsi="Arial Black"/>
          <w:sz w:val="24"/>
          <w:szCs w:val="24"/>
        </w:rPr>
      </w:pPr>
    </w:p>
    <w:p w14:paraId="1773B998" w14:textId="77777777" w:rsidR="00FE74F8" w:rsidRPr="009376A9" w:rsidRDefault="00FE74F8" w:rsidP="00FE74F8">
      <w:pPr>
        <w:pStyle w:val="NoSpacing"/>
        <w:rPr>
          <w:rFonts w:ascii="Times New Roman" w:hAnsi="Times New Roman"/>
          <w:b/>
          <w:bCs/>
          <w:sz w:val="24"/>
          <w:szCs w:val="24"/>
        </w:rPr>
      </w:pPr>
      <w:r w:rsidRPr="009376A9">
        <w:rPr>
          <w:rFonts w:ascii="Times New Roman" w:hAnsi="Times New Roman"/>
          <w:b/>
          <w:bCs/>
          <w:sz w:val="24"/>
          <w:szCs w:val="24"/>
        </w:rPr>
        <w:t xml:space="preserve">IL: SHIFT TRADES FOR LT.  – FIRE CHIEF CHANGED 25-YR POLICY – ONLY FF ON PROMOTION LIST - MUST BARGAIN </w:t>
      </w:r>
    </w:p>
    <w:p w14:paraId="26CA52F5" w14:textId="77777777" w:rsidR="009376A9" w:rsidRDefault="009376A9" w:rsidP="00452883">
      <w:pPr>
        <w:pStyle w:val="NoSpacing"/>
        <w:rPr>
          <w:rFonts w:ascii="Times New Roman" w:hAnsi="Times New Roman"/>
          <w:sz w:val="24"/>
          <w:szCs w:val="24"/>
        </w:rPr>
      </w:pPr>
    </w:p>
    <w:p w14:paraId="477FCE96" w14:textId="2C85DF0A" w:rsidR="00452883" w:rsidRPr="009376A9" w:rsidRDefault="00452883" w:rsidP="00452883">
      <w:pPr>
        <w:pStyle w:val="NoSpacing"/>
        <w:rPr>
          <w:rFonts w:ascii="Times New Roman" w:hAnsi="Times New Roman"/>
          <w:bCs/>
          <w:sz w:val="24"/>
          <w:szCs w:val="24"/>
        </w:rPr>
      </w:pPr>
      <w:r w:rsidRPr="009376A9">
        <w:rPr>
          <w:rFonts w:ascii="Times New Roman" w:hAnsi="Times New Roman"/>
          <w:sz w:val="24"/>
          <w:szCs w:val="24"/>
        </w:rPr>
        <w:t xml:space="preserve">On Oct. 28, 2024, in </w:t>
      </w:r>
      <w:r w:rsidRPr="009376A9">
        <w:rPr>
          <w:rFonts w:ascii="Times New Roman" w:hAnsi="Times New Roman"/>
          <w:sz w:val="24"/>
          <w:szCs w:val="24"/>
          <w:u w:val="single"/>
        </w:rPr>
        <w:t>City of Park Ridge v. Illinois Labor Relations Board</w:t>
      </w:r>
      <w:r w:rsidRPr="009376A9">
        <w:rPr>
          <w:rFonts w:ascii="Times New Roman" w:hAnsi="Times New Roman"/>
          <w:sz w:val="24"/>
          <w:szCs w:val="24"/>
        </w:rPr>
        <w:t xml:space="preserve">, the Illinois Appellate Court, First Judicial District, held (3 to 0): “(1) the shift trade qualification policy was a mandatory subject of bargaining; (2) the Union did not waive its right to bargain over the qualifications for shift trades; and (3) the City’s unilateral change of the shift trade qualification policy without giving notice and opportunity to bargain the change violated sections 10(a)(1), 10(a)(4), and 14(l) of the Illinois Public Labor Relations Act since the change occurred during interest arbitration.” </w:t>
      </w:r>
    </w:p>
    <w:p w14:paraId="625F27E4" w14:textId="0D2538F2" w:rsidR="00FB08AF" w:rsidRPr="009376A9" w:rsidRDefault="00452883" w:rsidP="00452883">
      <w:pPr>
        <w:pStyle w:val="NoSpacing"/>
        <w:rPr>
          <w:rStyle w:val="Hyperlink"/>
          <w:rFonts w:ascii="Times New Roman" w:hAnsi="Times New Roman"/>
          <w:sz w:val="24"/>
          <w:szCs w:val="24"/>
        </w:rPr>
      </w:pPr>
      <w:hyperlink r:id="rId2911" w:history="1">
        <w:r w:rsidRPr="009376A9">
          <w:rPr>
            <w:rStyle w:val="Hyperlink"/>
            <w:rFonts w:ascii="Times New Roman" w:hAnsi="Times New Roman"/>
            <w:sz w:val="24"/>
            <w:szCs w:val="24"/>
          </w:rPr>
          <w:t>https://ilcourtsaudio.blob.core.windows.net/antilles-resources/resources/a7e1e4b9-d57b-4bd7-9b5d-a27198847cd7/City%20of%20Park%20Ridge%20v.%20IL%20Labor%20Relations%20Bd%202024%20IL%20App%20(1st)%20221924-U.pdf</w:t>
        </w:r>
      </w:hyperlink>
    </w:p>
    <w:p w14:paraId="2F0AE996" w14:textId="77777777" w:rsidR="009376A9" w:rsidRPr="009376A9" w:rsidRDefault="009376A9" w:rsidP="009376A9">
      <w:pPr>
        <w:pStyle w:val="NoSpacing"/>
        <w:rPr>
          <w:rFonts w:ascii="Times New Roman" w:hAnsi="Times New Roman"/>
          <w:b/>
          <w:sz w:val="24"/>
          <w:szCs w:val="24"/>
        </w:rPr>
      </w:pPr>
    </w:p>
    <w:p w14:paraId="22301176" w14:textId="458DC8F1" w:rsidR="009376A9" w:rsidRPr="009376A9" w:rsidRDefault="009376A9" w:rsidP="009376A9">
      <w:pPr>
        <w:pStyle w:val="NoSpacing"/>
        <w:rPr>
          <w:rFonts w:ascii="Times New Roman" w:hAnsi="Times New Roman"/>
          <w:b/>
          <w:sz w:val="24"/>
          <w:szCs w:val="24"/>
        </w:rPr>
      </w:pPr>
      <w:r w:rsidRPr="009376A9">
        <w:rPr>
          <w:rFonts w:ascii="Times New Roman" w:hAnsi="Times New Roman"/>
          <w:b/>
          <w:sz w:val="24"/>
          <w:szCs w:val="24"/>
        </w:rPr>
        <w:t xml:space="preserve">Legal Lesson Learned: Court held that change in shift trade policy is subject of collective bargaining. </w:t>
      </w:r>
    </w:p>
    <w:p w14:paraId="291A9D95" w14:textId="77777777" w:rsidR="009376A9" w:rsidRDefault="009376A9" w:rsidP="009376A9">
      <w:pPr>
        <w:pStyle w:val="NoSpacing"/>
        <w:ind w:left="720"/>
        <w:rPr>
          <w:bCs/>
        </w:rPr>
      </w:pPr>
    </w:p>
    <w:p w14:paraId="69920754" w14:textId="77777777" w:rsidR="009376A9" w:rsidRDefault="009376A9" w:rsidP="00452883">
      <w:pPr>
        <w:pStyle w:val="NoSpacing"/>
        <w:rPr>
          <w:rFonts w:ascii="Arial Black" w:hAnsi="Arial Black"/>
          <w:sz w:val="24"/>
          <w:szCs w:val="24"/>
        </w:rPr>
      </w:pPr>
    </w:p>
    <w:p w14:paraId="556F09C8" w14:textId="73BB5EA7" w:rsidR="004B129E" w:rsidRDefault="004B129E" w:rsidP="00F326E5">
      <w:pPr>
        <w:pStyle w:val="NoSpacing"/>
        <w:rPr>
          <w:rFonts w:ascii="Arial Black" w:hAnsi="Arial Black"/>
          <w:sz w:val="24"/>
          <w:szCs w:val="24"/>
        </w:rPr>
      </w:pPr>
      <w:r>
        <w:rPr>
          <w:rFonts w:ascii="Arial Black" w:hAnsi="Arial Black"/>
          <w:sz w:val="24"/>
          <w:szCs w:val="24"/>
        </w:rPr>
        <w:t>17-44</w:t>
      </w:r>
    </w:p>
    <w:p w14:paraId="1D92A7EF" w14:textId="77777777" w:rsidR="004B129E" w:rsidRDefault="004B129E" w:rsidP="00F326E5">
      <w:pPr>
        <w:pStyle w:val="NoSpacing"/>
        <w:rPr>
          <w:rFonts w:ascii="Arial Black" w:hAnsi="Arial Black"/>
          <w:sz w:val="24"/>
          <w:szCs w:val="24"/>
        </w:rPr>
      </w:pPr>
    </w:p>
    <w:p w14:paraId="752AC39F" w14:textId="77777777" w:rsidR="00B35974" w:rsidRPr="002F0AF8" w:rsidRDefault="00B35974" w:rsidP="00B35974">
      <w:pPr>
        <w:rPr>
          <w:rFonts w:ascii="Times New Roman" w:hAnsi="Times New Roman"/>
          <w:b/>
          <w:bCs/>
          <w:sz w:val="24"/>
          <w:szCs w:val="24"/>
        </w:rPr>
      </w:pPr>
      <w:r w:rsidRPr="002F0AF8">
        <w:rPr>
          <w:rFonts w:ascii="Times New Roman" w:hAnsi="Times New Roman"/>
          <w:b/>
          <w:bCs/>
          <w:sz w:val="24"/>
          <w:szCs w:val="24"/>
        </w:rPr>
        <w:t>NY: ARBITRATOR HELD FOR 2 UTICA FF - CALLED IN FAMILY EMERGENCIES DAY BEFORE SHIFT – NOT COMP TIME</w:t>
      </w:r>
    </w:p>
    <w:p w14:paraId="139A460E" w14:textId="77777777" w:rsidR="004D3039" w:rsidRPr="002F0AF8" w:rsidRDefault="004D3039" w:rsidP="004D3039">
      <w:pPr>
        <w:pStyle w:val="NoSpacing"/>
        <w:rPr>
          <w:rFonts w:ascii="Times New Roman" w:hAnsi="Times New Roman"/>
          <w:sz w:val="24"/>
          <w:szCs w:val="24"/>
        </w:rPr>
      </w:pPr>
      <w:r w:rsidRPr="002F0AF8">
        <w:rPr>
          <w:rFonts w:ascii="Times New Roman" w:hAnsi="Times New Roman"/>
          <w:sz w:val="24"/>
          <w:szCs w:val="24"/>
        </w:rPr>
        <w:t xml:space="preserve">On Oct. 4, 2024, in </w:t>
      </w:r>
      <w:r w:rsidRPr="002F0AF8">
        <w:rPr>
          <w:rFonts w:ascii="Times New Roman" w:hAnsi="Times New Roman"/>
          <w:sz w:val="24"/>
          <w:szCs w:val="24"/>
          <w:u w:val="single"/>
        </w:rPr>
        <w:t>Matter of Local 32, Intl. Assn. of Fire Fighters, A.F.L.-C.I.O.-C.L.C. (City of Utica</w:t>
      </w:r>
      <w:r w:rsidRPr="002F0AF8">
        <w:rPr>
          <w:rFonts w:ascii="Times New Roman" w:hAnsi="Times New Roman"/>
          <w:sz w:val="24"/>
          <w:szCs w:val="24"/>
        </w:rPr>
        <w:t xml:space="preserve">), the New York Appellate Division, Fourth Department, held (5 to 0): “It is hereby ORDERED that the order insofar as appealed from is unanimously reversed on the law without costs, the petition is granted in its entirety and the arbitration award is confirmed in its entirety. *** The arbitrator determined, inter alia, that the firefighters were entitled to paid emergency leave for the time in question and directed respondent to restore the charged compensatory time.” </w:t>
      </w:r>
      <w:hyperlink r:id="rId2912" w:history="1">
        <w:r w:rsidRPr="002F0AF8">
          <w:rPr>
            <w:rStyle w:val="Hyperlink"/>
            <w:rFonts w:ascii="Times New Roman" w:hAnsi="Times New Roman"/>
            <w:sz w:val="24"/>
            <w:szCs w:val="24"/>
          </w:rPr>
          <w:t>https://law.justia.com/cases/new-york/appellate-division-fourth-department/2024/647-ca-23-01601.html</w:t>
        </w:r>
      </w:hyperlink>
      <w:r w:rsidRPr="002F0AF8">
        <w:rPr>
          <w:rFonts w:ascii="Times New Roman" w:hAnsi="Times New Roman"/>
          <w:sz w:val="24"/>
          <w:szCs w:val="24"/>
        </w:rPr>
        <w:t xml:space="preserve"> </w:t>
      </w:r>
    </w:p>
    <w:p w14:paraId="207E4355" w14:textId="77777777" w:rsidR="004D3039" w:rsidRPr="002F0AF8" w:rsidRDefault="004D3039" w:rsidP="004D3039">
      <w:pPr>
        <w:pStyle w:val="NoSpacing"/>
        <w:rPr>
          <w:rFonts w:ascii="Times New Roman" w:hAnsi="Times New Roman"/>
          <w:bCs/>
          <w:sz w:val="24"/>
          <w:szCs w:val="24"/>
        </w:rPr>
      </w:pPr>
    </w:p>
    <w:p w14:paraId="5D0DEAA3" w14:textId="77777777" w:rsidR="002F0AF8" w:rsidRPr="002F0AF8" w:rsidRDefault="002F0AF8" w:rsidP="002F0AF8">
      <w:pPr>
        <w:pStyle w:val="NoSpacing"/>
        <w:rPr>
          <w:rFonts w:ascii="Times New Roman" w:hAnsi="Times New Roman"/>
          <w:b/>
          <w:bCs/>
          <w:sz w:val="24"/>
          <w:szCs w:val="24"/>
        </w:rPr>
      </w:pPr>
      <w:r w:rsidRPr="002F0AF8">
        <w:rPr>
          <w:rFonts w:ascii="Times New Roman" w:hAnsi="Times New Roman"/>
          <w:b/>
          <w:sz w:val="24"/>
          <w:szCs w:val="24"/>
        </w:rPr>
        <w:t xml:space="preserve">Legal Lesson Learned: Arbitrator decision upheld. </w:t>
      </w:r>
    </w:p>
    <w:p w14:paraId="09469E12" w14:textId="77777777" w:rsidR="00B35974" w:rsidRDefault="00B35974" w:rsidP="00F326E5">
      <w:pPr>
        <w:pStyle w:val="NoSpacing"/>
        <w:rPr>
          <w:rFonts w:ascii="Arial Black" w:hAnsi="Arial Black"/>
          <w:sz w:val="24"/>
          <w:szCs w:val="24"/>
        </w:rPr>
      </w:pPr>
    </w:p>
    <w:p w14:paraId="253BE4C1" w14:textId="77777777" w:rsidR="00B35974" w:rsidRDefault="00B35974" w:rsidP="00F326E5">
      <w:pPr>
        <w:pStyle w:val="NoSpacing"/>
        <w:rPr>
          <w:rFonts w:ascii="Arial Black" w:hAnsi="Arial Black"/>
          <w:sz w:val="24"/>
          <w:szCs w:val="24"/>
        </w:rPr>
      </w:pPr>
    </w:p>
    <w:p w14:paraId="00E7EB28" w14:textId="3AF6B2F3" w:rsidR="004B129E" w:rsidRDefault="004B129E" w:rsidP="00F326E5">
      <w:pPr>
        <w:pStyle w:val="NoSpacing"/>
        <w:rPr>
          <w:rFonts w:ascii="Arial Black" w:hAnsi="Arial Black"/>
          <w:sz w:val="24"/>
          <w:szCs w:val="24"/>
        </w:rPr>
      </w:pPr>
      <w:r>
        <w:rPr>
          <w:rFonts w:ascii="Arial Black" w:hAnsi="Arial Black"/>
          <w:sz w:val="24"/>
          <w:szCs w:val="24"/>
        </w:rPr>
        <w:t>17-43</w:t>
      </w:r>
    </w:p>
    <w:p w14:paraId="77C6AED5" w14:textId="77777777" w:rsidR="004B129E" w:rsidRDefault="004B129E" w:rsidP="00F326E5">
      <w:pPr>
        <w:pStyle w:val="NoSpacing"/>
        <w:rPr>
          <w:rFonts w:ascii="Arial Black" w:hAnsi="Arial Black"/>
          <w:sz w:val="24"/>
          <w:szCs w:val="24"/>
        </w:rPr>
      </w:pPr>
    </w:p>
    <w:p w14:paraId="58C17DCD" w14:textId="77777777" w:rsidR="00925AD0" w:rsidRPr="001668D8" w:rsidRDefault="00925AD0" w:rsidP="00925AD0">
      <w:pPr>
        <w:pStyle w:val="NoSpacing"/>
        <w:rPr>
          <w:rFonts w:ascii="Times New Roman" w:hAnsi="Times New Roman"/>
          <w:b/>
          <w:bCs/>
          <w:sz w:val="24"/>
          <w:szCs w:val="24"/>
        </w:rPr>
      </w:pPr>
      <w:r w:rsidRPr="001668D8">
        <w:rPr>
          <w:rFonts w:ascii="Times New Roman" w:hAnsi="Times New Roman"/>
          <w:b/>
          <w:bCs/>
          <w:sz w:val="24"/>
          <w:szCs w:val="24"/>
        </w:rPr>
        <w:t xml:space="preserve">OH: CLEVELAND FD – PLAN TO PUT CAMERAS ON AMBULANCES – CANCELLED -  MUST BE BARGAINING </w:t>
      </w:r>
    </w:p>
    <w:p w14:paraId="5D623BF5" w14:textId="23F76BA4" w:rsidR="002F0AF8" w:rsidRPr="001668D8" w:rsidRDefault="002F0AF8" w:rsidP="00F326E5">
      <w:pPr>
        <w:pStyle w:val="NoSpacing"/>
        <w:rPr>
          <w:rFonts w:ascii="Times New Roman" w:hAnsi="Times New Roman"/>
          <w:sz w:val="24"/>
          <w:szCs w:val="24"/>
        </w:rPr>
      </w:pPr>
    </w:p>
    <w:p w14:paraId="0326CD13" w14:textId="77777777" w:rsidR="00AF72C9" w:rsidRPr="001668D8" w:rsidRDefault="00AF72C9" w:rsidP="00AF72C9">
      <w:pPr>
        <w:pStyle w:val="NoSpacing"/>
        <w:rPr>
          <w:rFonts w:ascii="Times New Roman" w:hAnsi="Times New Roman"/>
          <w:sz w:val="24"/>
          <w:szCs w:val="24"/>
        </w:rPr>
      </w:pPr>
      <w:r w:rsidRPr="001668D8">
        <w:rPr>
          <w:rFonts w:ascii="Times New Roman" w:hAnsi="Times New Roman"/>
          <w:sz w:val="24"/>
          <w:szCs w:val="24"/>
        </w:rPr>
        <w:t xml:space="preserve">On Oct. 3, 2024, in </w:t>
      </w:r>
      <w:r w:rsidRPr="001668D8">
        <w:rPr>
          <w:rFonts w:ascii="Times New Roman" w:hAnsi="Times New Roman"/>
          <w:sz w:val="24"/>
          <w:szCs w:val="24"/>
          <w:u w:val="single"/>
        </w:rPr>
        <w:t>City of Cleveland v. State Employment Relations Board, et al</w:t>
      </w:r>
      <w:r w:rsidRPr="001668D8">
        <w:rPr>
          <w:rFonts w:ascii="Times New Roman" w:hAnsi="Times New Roman"/>
          <w:sz w:val="24"/>
          <w:szCs w:val="24"/>
        </w:rPr>
        <w:t>., the Court of Appeals of Ohio, Eight Appellate District (Cuyahoga County), held (3 to 0): “Plaintiff-appellant City of Cleveland (the ‘City’) appeals the trial court’s judgment affirming the decision of defendant-appellee State Employment Relations Board (the ‘SERB’) in favor of defendant-appellee union Cleveland Association of Rescue Employees (the ‘Union’ or ‘CARE’). The court upheld SERB’s finding that the City violated R.C. 4117.11(A)(5) by refusing to bargain</w:t>
      </w:r>
    </w:p>
    <w:p w14:paraId="029600A9" w14:textId="77777777" w:rsidR="00AF72C9" w:rsidRPr="001668D8" w:rsidRDefault="00AF72C9" w:rsidP="00AF72C9">
      <w:pPr>
        <w:pStyle w:val="NoSpacing"/>
        <w:rPr>
          <w:rFonts w:ascii="Times New Roman" w:hAnsi="Times New Roman"/>
          <w:sz w:val="24"/>
          <w:szCs w:val="24"/>
        </w:rPr>
      </w:pPr>
      <w:r w:rsidRPr="001668D8">
        <w:rPr>
          <w:rFonts w:ascii="Times New Roman" w:hAnsi="Times New Roman"/>
          <w:sz w:val="24"/>
          <w:szCs w:val="24"/>
        </w:rPr>
        <w:t xml:space="preserve">collectively with the Union over the effects of the installation of dashboard audio/visual cameras in the City’s emergency medical </w:t>
      </w:r>
      <w:proofErr w:type="gramStart"/>
      <w:r w:rsidRPr="001668D8">
        <w:rPr>
          <w:rFonts w:ascii="Times New Roman" w:hAnsi="Times New Roman"/>
          <w:sz w:val="24"/>
          <w:szCs w:val="24"/>
        </w:rPr>
        <w:t>service (‘</w:t>
      </w:r>
      <w:proofErr w:type="gramEnd"/>
      <w:r w:rsidRPr="001668D8">
        <w:rPr>
          <w:rFonts w:ascii="Times New Roman" w:hAnsi="Times New Roman"/>
          <w:sz w:val="24"/>
          <w:szCs w:val="24"/>
        </w:rPr>
        <w:t xml:space="preserve">EMS’) </w:t>
      </w:r>
      <w:proofErr w:type="gramStart"/>
      <w:r w:rsidRPr="001668D8">
        <w:rPr>
          <w:rFonts w:ascii="Times New Roman" w:hAnsi="Times New Roman"/>
          <w:sz w:val="24"/>
          <w:szCs w:val="24"/>
        </w:rPr>
        <w:t>vehicles (‘</w:t>
      </w:r>
      <w:proofErr w:type="gramEnd"/>
      <w:r w:rsidRPr="001668D8">
        <w:rPr>
          <w:rFonts w:ascii="Times New Roman" w:hAnsi="Times New Roman"/>
          <w:sz w:val="24"/>
          <w:szCs w:val="24"/>
        </w:rPr>
        <w:t xml:space="preserve">ambulances’). *** For the following reasons, we affirm the trial court’s judgment.”  </w:t>
      </w:r>
    </w:p>
    <w:p w14:paraId="4FA4140F" w14:textId="77777777" w:rsidR="00AF72C9" w:rsidRPr="001668D8" w:rsidRDefault="00AF72C9" w:rsidP="00AF72C9">
      <w:pPr>
        <w:pStyle w:val="NoSpacing"/>
        <w:rPr>
          <w:rFonts w:ascii="Times New Roman" w:hAnsi="Times New Roman"/>
          <w:sz w:val="24"/>
          <w:szCs w:val="24"/>
        </w:rPr>
      </w:pPr>
      <w:hyperlink r:id="rId2913" w:history="1">
        <w:r w:rsidRPr="001668D8">
          <w:rPr>
            <w:rStyle w:val="Hyperlink"/>
            <w:rFonts w:ascii="Times New Roman" w:hAnsi="Times New Roman"/>
            <w:sz w:val="24"/>
            <w:szCs w:val="24"/>
          </w:rPr>
          <w:t>https://www.supremecourt.ohio.gov/rod/docs/pdf/8/2024/2024-Ohio-4787.pdf</w:t>
        </w:r>
      </w:hyperlink>
      <w:r w:rsidRPr="001668D8">
        <w:rPr>
          <w:rFonts w:ascii="Times New Roman" w:hAnsi="Times New Roman"/>
          <w:sz w:val="24"/>
          <w:szCs w:val="24"/>
        </w:rPr>
        <w:t xml:space="preserve"> </w:t>
      </w:r>
    </w:p>
    <w:p w14:paraId="41340168" w14:textId="77777777" w:rsidR="00AF72C9" w:rsidRPr="001668D8" w:rsidRDefault="00AF72C9" w:rsidP="00F326E5">
      <w:pPr>
        <w:pStyle w:val="NoSpacing"/>
        <w:rPr>
          <w:rFonts w:ascii="Times New Roman" w:hAnsi="Times New Roman"/>
          <w:sz w:val="24"/>
          <w:szCs w:val="24"/>
        </w:rPr>
      </w:pPr>
    </w:p>
    <w:p w14:paraId="4C90C5C2" w14:textId="77777777" w:rsidR="00D27807" w:rsidRPr="001668D8" w:rsidRDefault="00D27807" w:rsidP="00D27807">
      <w:pPr>
        <w:pStyle w:val="NoSpacing"/>
        <w:rPr>
          <w:rFonts w:ascii="Times New Roman" w:hAnsi="Times New Roman"/>
          <w:b/>
          <w:bCs/>
          <w:sz w:val="24"/>
          <w:szCs w:val="24"/>
        </w:rPr>
      </w:pPr>
      <w:r w:rsidRPr="001668D8">
        <w:rPr>
          <w:rFonts w:ascii="Times New Roman" w:hAnsi="Times New Roman"/>
          <w:b/>
          <w:sz w:val="24"/>
          <w:szCs w:val="24"/>
        </w:rPr>
        <w:t xml:space="preserve">Legal Lesson Learned: </w:t>
      </w:r>
      <w:r w:rsidRPr="001668D8">
        <w:rPr>
          <w:rFonts w:ascii="Times New Roman" w:hAnsi="Times New Roman"/>
          <w:b/>
          <w:bCs/>
          <w:sz w:val="24"/>
          <w:szCs w:val="24"/>
        </w:rPr>
        <w:t xml:space="preserve">Court held that putting </w:t>
      </w:r>
      <w:r w:rsidRPr="001668D8">
        <w:rPr>
          <w:rFonts w:ascii="Times New Roman" w:hAnsi="Times New Roman"/>
          <w:b/>
          <w:sz w:val="24"/>
          <w:szCs w:val="24"/>
        </w:rPr>
        <w:t>video camera</w:t>
      </w:r>
      <w:r w:rsidRPr="001668D8">
        <w:rPr>
          <w:rFonts w:ascii="Times New Roman" w:hAnsi="Times New Roman"/>
          <w:b/>
          <w:bCs/>
          <w:sz w:val="24"/>
          <w:szCs w:val="24"/>
        </w:rPr>
        <w:t>s</w:t>
      </w:r>
      <w:r w:rsidRPr="001668D8">
        <w:rPr>
          <w:rFonts w:ascii="Times New Roman" w:hAnsi="Times New Roman"/>
          <w:b/>
          <w:sz w:val="24"/>
          <w:szCs w:val="24"/>
        </w:rPr>
        <w:t xml:space="preserve"> in ambulances must be collectively bargained. </w:t>
      </w:r>
    </w:p>
    <w:p w14:paraId="06F6FE91" w14:textId="77777777" w:rsidR="00D27807" w:rsidRPr="001668D8" w:rsidRDefault="00D27807" w:rsidP="00F326E5">
      <w:pPr>
        <w:pStyle w:val="NoSpacing"/>
        <w:rPr>
          <w:rFonts w:ascii="Times New Roman" w:hAnsi="Times New Roman"/>
          <w:sz w:val="24"/>
          <w:szCs w:val="24"/>
        </w:rPr>
      </w:pPr>
    </w:p>
    <w:p w14:paraId="39317A1C" w14:textId="77777777" w:rsidR="002F0AF8" w:rsidRDefault="002F0AF8" w:rsidP="00F326E5">
      <w:pPr>
        <w:pStyle w:val="NoSpacing"/>
        <w:rPr>
          <w:rFonts w:ascii="Arial Black" w:hAnsi="Arial Black"/>
          <w:sz w:val="24"/>
          <w:szCs w:val="24"/>
        </w:rPr>
      </w:pPr>
    </w:p>
    <w:p w14:paraId="7175C004" w14:textId="1CA320E4" w:rsidR="004B129E" w:rsidRDefault="004B129E" w:rsidP="00F326E5">
      <w:pPr>
        <w:pStyle w:val="NoSpacing"/>
        <w:rPr>
          <w:rFonts w:ascii="Arial Black" w:hAnsi="Arial Black"/>
          <w:sz w:val="24"/>
          <w:szCs w:val="24"/>
        </w:rPr>
      </w:pPr>
      <w:r>
        <w:rPr>
          <w:rFonts w:ascii="Arial Black" w:hAnsi="Arial Black"/>
          <w:sz w:val="24"/>
          <w:szCs w:val="24"/>
        </w:rPr>
        <w:t>17-42</w:t>
      </w:r>
    </w:p>
    <w:p w14:paraId="5C6D292F" w14:textId="77777777" w:rsidR="001668D8" w:rsidRDefault="001668D8" w:rsidP="00F326E5">
      <w:pPr>
        <w:pStyle w:val="NoSpacing"/>
        <w:rPr>
          <w:rFonts w:ascii="Arial Black" w:hAnsi="Arial Black"/>
          <w:sz w:val="24"/>
          <w:szCs w:val="24"/>
        </w:rPr>
      </w:pPr>
    </w:p>
    <w:p w14:paraId="61968CB6" w14:textId="5F3677FD" w:rsidR="00D125A2" w:rsidRPr="007B3AE9" w:rsidRDefault="00D125A2" w:rsidP="00D125A2">
      <w:pPr>
        <w:rPr>
          <w:rFonts w:ascii="Times New Roman" w:hAnsi="Times New Roman"/>
          <w:b/>
          <w:bCs/>
          <w:sz w:val="24"/>
          <w:szCs w:val="24"/>
        </w:rPr>
      </w:pPr>
      <w:r w:rsidRPr="007B3AE9">
        <w:rPr>
          <w:rFonts w:ascii="Times New Roman" w:hAnsi="Times New Roman"/>
          <w:b/>
          <w:bCs/>
          <w:sz w:val="24"/>
          <w:szCs w:val="24"/>
        </w:rPr>
        <w:t>IA:  PSO PROGRAM (POLICE &amp; FIRE) - 8 CAREER FF LAYOFF –</w:t>
      </w:r>
      <w:r w:rsidR="007B3AE9" w:rsidRPr="007B3AE9">
        <w:rPr>
          <w:rFonts w:ascii="Times New Roman" w:hAnsi="Times New Roman"/>
          <w:b/>
          <w:bCs/>
          <w:sz w:val="24"/>
          <w:szCs w:val="24"/>
        </w:rPr>
        <w:t xml:space="preserve"> </w:t>
      </w:r>
      <w:r w:rsidRPr="007B3AE9">
        <w:rPr>
          <w:rFonts w:ascii="Times New Roman" w:hAnsi="Times New Roman"/>
          <w:b/>
          <w:bCs/>
          <w:sz w:val="24"/>
          <w:szCs w:val="24"/>
        </w:rPr>
        <w:t xml:space="preserve">UNION ANIMUS – </w:t>
      </w:r>
      <w:r w:rsidR="009073FB" w:rsidRPr="007B3AE9">
        <w:rPr>
          <w:rFonts w:ascii="Times New Roman" w:hAnsi="Times New Roman"/>
          <w:b/>
          <w:bCs/>
          <w:sz w:val="24"/>
          <w:szCs w:val="24"/>
        </w:rPr>
        <w:t xml:space="preserve">CASE REMANDED FOR </w:t>
      </w:r>
      <w:r w:rsidR="00951563" w:rsidRPr="007B3AE9">
        <w:rPr>
          <w:rFonts w:ascii="Times New Roman" w:hAnsi="Times New Roman"/>
          <w:b/>
          <w:bCs/>
          <w:sz w:val="24"/>
          <w:szCs w:val="24"/>
        </w:rPr>
        <w:t>UNION</w:t>
      </w:r>
      <w:r w:rsidR="007B3AE9" w:rsidRPr="007B3AE9">
        <w:rPr>
          <w:rFonts w:ascii="Times New Roman" w:hAnsi="Times New Roman"/>
          <w:b/>
          <w:bCs/>
          <w:sz w:val="24"/>
          <w:szCs w:val="24"/>
        </w:rPr>
        <w:t xml:space="preserve"> REMEDY</w:t>
      </w:r>
    </w:p>
    <w:p w14:paraId="2974B70E" w14:textId="67A11C9F" w:rsidR="001668D8" w:rsidRPr="00951563" w:rsidRDefault="00D125A2" w:rsidP="00D125A2">
      <w:pPr>
        <w:pStyle w:val="NoSpacing"/>
        <w:rPr>
          <w:rStyle w:val="Hyperlink"/>
          <w:rFonts w:ascii="Times New Roman" w:hAnsi="Times New Roman"/>
          <w:sz w:val="24"/>
          <w:szCs w:val="24"/>
        </w:rPr>
      </w:pPr>
      <w:r w:rsidRPr="00951563">
        <w:rPr>
          <w:rFonts w:ascii="Times New Roman" w:hAnsi="Times New Roman"/>
          <w:sz w:val="24"/>
          <w:szCs w:val="24"/>
        </w:rPr>
        <w:t xml:space="preserve">In Oct. 2, 2024, in </w:t>
      </w:r>
      <w:r w:rsidRPr="00951563">
        <w:rPr>
          <w:rFonts w:ascii="Times New Roman" w:hAnsi="Times New Roman"/>
          <w:sz w:val="24"/>
          <w:szCs w:val="24"/>
          <w:u w:val="single"/>
        </w:rPr>
        <w:t>International Association of Fire Fighters, Local 1366 v. City of Cedar Falls</w:t>
      </w:r>
      <w:r w:rsidRPr="00951563">
        <w:rPr>
          <w:rFonts w:ascii="Times New Roman" w:hAnsi="Times New Roman"/>
          <w:sz w:val="24"/>
          <w:szCs w:val="24"/>
        </w:rPr>
        <w:t xml:space="preserve">  </w:t>
      </w:r>
      <w:r w:rsidRPr="00951563">
        <w:rPr>
          <w:rFonts w:ascii="Times New Roman" w:hAnsi="Times New Roman"/>
          <w:sz w:val="24"/>
          <w:szCs w:val="24"/>
          <w:u w:val="single"/>
        </w:rPr>
        <w:t>and the Iowa Public Employment Relations Board</w:t>
      </w:r>
      <w:r w:rsidRPr="00951563">
        <w:rPr>
          <w:rFonts w:ascii="Times New Roman" w:hAnsi="Times New Roman"/>
          <w:sz w:val="24"/>
          <w:szCs w:val="24"/>
        </w:rPr>
        <w:t xml:space="preserve">, where the Court of Appeals of Iowa held: “The International Association of Firefighters, Local 1366 (the Union) filed a prohibited practice complaint against the City of Cedar Falls (the City) after its city council passed a resolution to fully transition to a public safety officer (PSO) program to provide traditional police officer and firefighter services. The passage of the resolution led to eight traditional firefighters represented by the Union being placed on administrative leave pending layoff. *** The agency found ‘overwhelming’ evidence of union animus by the </w:t>
      </w:r>
      <w:proofErr w:type="gramStart"/>
      <w:r w:rsidRPr="00951563">
        <w:rPr>
          <w:rFonts w:ascii="Times New Roman" w:hAnsi="Times New Roman"/>
          <w:sz w:val="24"/>
          <w:szCs w:val="24"/>
        </w:rPr>
        <w:t>City</w:t>
      </w:r>
      <w:proofErr w:type="gramEnd"/>
      <w:r w:rsidRPr="00951563">
        <w:rPr>
          <w:rFonts w:ascii="Times New Roman" w:hAnsi="Times New Roman"/>
          <w:sz w:val="24"/>
          <w:szCs w:val="24"/>
        </w:rPr>
        <w:t xml:space="preserve"> that led to its decision to ‘place the firefighters on administrative leave pending </w:t>
      </w:r>
      <w:proofErr w:type="gramStart"/>
      <w:r w:rsidRPr="00951563">
        <w:rPr>
          <w:rFonts w:ascii="Times New Roman" w:hAnsi="Times New Roman"/>
          <w:sz w:val="24"/>
          <w:szCs w:val="24"/>
        </w:rPr>
        <w:t>layoff’</w:t>
      </w:r>
      <w:proofErr w:type="gramEnd"/>
      <w:r w:rsidRPr="00951563">
        <w:rPr>
          <w:rFonts w:ascii="Times New Roman" w:hAnsi="Times New Roman"/>
          <w:sz w:val="24"/>
          <w:szCs w:val="24"/>
        </w:rPr>
        <w:t xml:space="preserve"> rendering it a prohibited practice. Yet the agency determined the City's decision to lay off the firefighters was not </w:t>
      </w:r>
      <w:proofErr w:type="gramStart"/>
      <w:r w:rsidRPr="00951563">
        <w:rPr>
          <w:rFonts w:ascii="Times New Roman" w:hAnsi="Times New Roman"/>
          <w:sz w:val="24"/>
          <w:szCs w:val="24"/>
        </w:rPr>
        <w:t>a prohibited</w:t>
      </w:r>
      <w:proofErr w:type="gramEnd"/>
      <w:r w:rsidRPr="00951563">
        <w:rPr>
          <w:rFonts w:ascii="Times New Roman" w:hAnsi="Times New Roman"/>
          <w:sz w:val="24"/>
          <w:szCs w:val="24"/>
        </w:rPr>
        <w:t xml:space="preserve"> practice. *** For the reasons set forth above, we hold the agency's decision in its remedy order to deny the Union firefighters' request for damages resulting from the layoff violated </w:t>
      </w:r>
      <w:hyperlink r:id="rId2914" w:history="1">
        <w:r w:rsidRPr="00951563">
          <w:rPr>
            <w:rStyle w:val="Hyperlink"/>
            <w:rFonts w:ascii="Times New Roman" w:hAnsi="Times New Roman"/>
            <w:sz w:val="24"/>
            <w:szCs w:val="24"/>
          </w:rPr>
          <w:t>Iowa Code section 17A.19(10)(i)</w:t>
        </w:r>
      </w:hyperlink>
      <w:r w:rsidRPr="00951563">
        <w:rPr>
          <w:rFonts w:ascii="Times New Roman" w:hAnsi="Times New Roman"/>
          <w:sz w:val="24"/>
          <w:szCs w:val="24"/>
        </w:rPr>
        <w:t xml:space="preserve">. Accordingly, we believe the district court correctly reversed the agency's decision in its remedy order.” </w:t>
      </w:r>
      <w:hyperlink r:id="rId2915" w:history="1">
        <w:r w:rsidRPr="00951563">
          <w:rPr>
            <w:rStyle w:val="Hyperlink"/>
            <w:rFonts w:ascii="Times New Roman" w:hAnsi="Times New Roman"/>
            <w:sz w:val="24"/>
            <w:szCs w:val="24"/>
          </w:rPr>
          <w:t>https://casetext.com/case/intl-assn-of-fire-fighters-local-1366-v-city-of-cedar-falls</w:t>
        </w:r>
      </w:hyperlink>
    </w:p>
    <w:p w14:paraId="56599B81" w14:textId="77777777" w:rsidR="00C115E0" w:rsidRPr="00951563" w:rsidRDefault="00C115E0" w:rsidP="00D125A2">
      <w:pPr>
        <w:pStyle w:val="NoSpacing"/>
        <w:rPr>
          <w:rStyle w:val="Hyperlink"/>
          <w:rFonts w:ascii="Times New Roman" w:hAnsi="Times New Roman"/>
          <w:sz w:val="24"/>
          <w:szCs w:val="24"/>
        </w:rPr>
      </w:pPr>
    </w:p>
    <w:p w14:paraId="62303956" w14:textId="77777777" w:rsidR="00C115E0" w:rsidRPr="00951563" w:rsidRDefault="00C115E0" w:rsidP="00C115E0">
      <w:pPr>
        <w:rPr>
          <w:rFonts w:ascii="Times New Roman" w:hAnsi="Times New Roman"/>
          <w:b/>
          <w:bCs/>
          <w:sz w:val="24"/>
          <w:szCs w:val="24"/>
        </w:rPr>
      </w:pPr>
      <w:r w:rsidRPr="00951563">
        <w:rPr>
          <w:rFonts w:ascii="Times New Roman" w:hAnsi="Times New Roman"/>
          <w:b/>
          <w:sz w:val="24"/>
          <w:szCs w:val="24"/>
        </w:rPr>
        <w:t xml:space="preserve">Legal Lesson Learned: The PERB must now consider an appropriate remedy for the union. </w:t>
      </w:r>
    </w:p>
    <w:p w14:paraId="5437226B" w14:textId="77777777" w:rsidR="00C115E0" w:rsidRDefault="00C115E0" w:rsidP="00D125A2">
      <w:pPr>
        <w:pStyle w:val="NoSpacing"/>
        <w:rPr>
          <w:rFonts w:ascii="Arial Black" w:hAnsi="Arial Black"/>
          <w:sz w:val="24"/>
          <w:szCs w:val="24"/>
        </w:rPr>
      </w:pPr>
    </w:p>
    <w:p w14:paraId="33F2A28A" w14:textId="77777777" w:rsidR="004B129E" w:rsidRDefault="004B129E" w:rsidP="00F326E5">
      <w:pPr>
        <w:pStyle w:val="NoSpacing"/>
        <w:rPr>
          <w:rFonts w:ascii="Arial Black" w:hAnsi="Arial Black"/>
          <w:sz w:val="24"/>
          <w:szCs w:val="24"/>
        </w:rPr>
      </w:pPr>
    </w:p>
    <w:p w14:paraId="5C2ADEC0" w14:textId="4D543E9B" w:rsidR="00F91F9F" w:rsidRDefault="00F51CB3" w:rsidP="00F326E5">
      <w:pPr>
        <w:pStyle w:val="NoSpacing"/>
        <w:rPr>
          <w:rFonts w:ascii="Arial Black" w:hAnsi="Arial Black"/>
          <w:sz w:val="24"/>
          <w:szCs w:val="24"/>
        </w:rPr>
      </w:pPr>
      <w:r>
        <w:rPr>
          <w:rFonts w:ascii="Arial Black" w:hAnsi="Arial Black"/>
          <w:sz w:val="24"/>
          <w:szCs w:val="24"/>
        </w:rPr>
        <w:t>17-41</w:t>
      </w:r>
    </w:p>
    <w:p w14:paraId="338A406B" w14:textId="77777777" w:rsidR="00F51CB3" w:rsidRPr="00FF5CD2" w:rsidRDefault="00F51CB3" w:rsidP="00F51CB3">
      <w:pPr>
        <w:pStyle w:val="NoSpacing"/>
        <w:rPr>
          <w:rFonts w:ascii="Arial Black" w:hAnsi="Arial Black"/>
          <w:b/>
          <w:bCs/>
          <w:sz w:val="28"/>
        </w:rPr>
      </w:pPr>
      <w:r>
        <w:rPr>
          <w:rFonts w:ascii="Arial Black" w:hAnsi="Arial Black"/>
          <w:b/>
          <w:bCs/>
          <w:sz w:val="28"/>
        </w:rPr>
        <w:t xml:space="preserve">OH: CLEVELAND MUST BARGAIN WITH UNION TO HIRE 20 PART-TIME MEDICS – NOT A MANAGEMENT RIGHT </w:t>
      </w:r>
    </w:p>
    <w:p w14:paraId="59D61FF0" w14:textId="77777777" w:rsidR="00F51CB3" w:rsidRDefault="00F51CB3" w:rsidP="00F51CB3">
      <w:pPr>
        <w:pStyle w:val="NoSpacing"/>
        <w:rPr>
          <w:b/>
          <w:bCs/>
          <w:szCs w:val="24"/>
        </w:rPr>
      </w:pPr>
    </w:p>
    <w:p w14:paraId="06941694" w14:textId="77777777" w:rsidR="00F51CB3" w:rsidRPr="00F51CB3" w:rsidRDefault="00F51CB3" w:rsidP="00F51CB3">
      <w:pPr>
        <w:rPr>
          <w:rFonts w:ascii="Times New Roman" w:hAnsi="Times New Roman"/>
          <w:b/>
          <w:bCs/>
          <w:sz w:val="24"/>
          <w:szCs w:val="24"/>
        </w:rPr>
      </w:pPr>
      <w:r w:rsidRPr="00F51CB3">
        <w:rPr>
          <w:rFonts w:ascii="Times New Roman" w:hAnsi="Times New Roman"/>
          <w:sz w:val="24"/>
          <w:szCs w:val="24"/>
        </w:rPr>
        <w:t xml:space="preserve">On August 8, 2024, in </w:t>
      </w:r>
      <w:r w:rsidRPr="00F51CB3">
        <w:rPr>
          <w:rFonts w:ascii="Times New Roman" w:hAnsi="Times New Roman"/>
          <w:sz w:val="24"/>
          <w:szCs w:val="24"/>
          <w:u w:val="single"/>
        </w:rPr>
        <w:t>City of Cleveland v. State Employment Relations Board, et al.</w:t>
      </w:r>
      <w:r w:rsidRPr="00F51CB3">
        <w:rPr>
          <w:rFonts w:ascii="Times New Roman" w:hAnsi="Times New Roman"/>
          <w:sz w:val="24"/>
          <w:szCs w:val="24"/>
        </w:rPr>
        <w:t xml:space="preserve">, the Court of Appeals of Ohio, Eight District (Cuyahoga County) held (3 to 0) that the city has no management right to hire part-time paramedics without bargaining with the Cleveland Association of Rescue Employees, I.L.A, Local 1975 ("CARE").  The city lost before SERB, lost before trial court, and lost on this appeal. The Court wrote: “The issue of whether an employer may reassign bargaining unit work to non-bargaining unit employees has long been held to require negotiation. Because of this, we cannot say the trial court abused its discretion by finding the City's refusal to bargain was not good-faith bargaining. Finally, we cannot say the trial court abused its discretion by finding that the City's actions in approving part-time paramedic positions, posting those positions, accepting applications, and not rescinding its plan made the issue ripe for review by SERB.” </w:t>
      </w:r>
      <w:hyperlink r:id="rId2916" w:history="1">
        <w:r w:rsidRPr="00F51CB3">
          <w:rPr>
            <w:rStyle w:val="Hyperlink"/>
            <w:rFonts w:ascii="Times New Roman" w:hAnsi="Times New Roman"/>
            <w:sz w:val="24"/>
            <w:szCs w:val="24"/>
          </w:rPr>
          <w:t>https://www.supremecourt.ohio.gov/rod/docs/pdf/8/2024/2024-Ohio-3018.pdf</w:t>
        </w:r>
      </w:hyperlink>
      <w:r w:rsidRPr="00F51CB3">
        <w:rPr>
          <w:rFonts w:ascii="Times New Roman" w:hAnsi="Times New Roman"/>
          <w:b/>
          <w:bCs/>
          <w:sz w:val="24"/>
          <w:szCs w:val="24"/>
        </w:rPr>
        <w:t xml:space="preserve"> </w:t>
      </w:r>
    </w:p>
    <w:p w14:paraId="7A32DDD1" w14:textId="77777777" w:rsidR="00F51CB3" w:rsidRPr="00F51CB3" w:rsidRDefault="00F51CB3" w:rsidP="00F51CB3">
      <w:pPr>
        <w:pStyle w:val="NoSpacing"/>
        <w:rPr>
          <w:rFonts w:ascii="Times New Roman" w:hAnsi="Times New Roman"/>
          <w:sz w:val="24"/>
          <w:szCs w:val="24"/>
        </w:rPr>
      </w:pPr>
      <w:r w:rsidRPr="00F51CB3">
        <w:rPr>
          <w:rFonts w:ascii="Times New Roman" w:hAnsi="Times New Roman"/>
          <w:sz w:val="24"/>
          <w:szCs w:val="24"/>
        </w:rPr>
        <w:t xml:space="preserve">THE COURT HELD: </w:t>
      </w:r>
    </w:p>
    <w:p w14:paraId="0C7481A8" w14:textId="77777777" w:rsidR="00F51CB3" w:rsidRPr="00F51CB3" w:rsidRDefault="00F51CB3" w:rsidP="00F51CB3">
      <w:pPr>
        <w:pStyle w:val="NoSpacing"/>
        <w:rPr>
          <w:rFonts w:ascii="Times New Roman" w:hAnsi="Times New Roman"/>
          <w:sz w:val="24"/>
          <w:szCs w:val="24"/>
        </w:rPr>
      </w:pPr>
    </w:p>
    <w:p w14:paraId="6C9EBEB4" w14:textId="77777777" w:rsidR="00F51CB3" w:rsidRPr="00F51CB3" w:rsidRDefault="00F51CB3" w:rsidP="00F51CB3">
      <w:pPr>
        <w:pStyle w:val="NoSpacing"/>
        <w:ind w:left="720"/>
        <w:rPr>
          <w:rFonts w:ascii="Times New Roman" w:hAnsi="Times New Roman"/>
          <w:sz w:val="24"/>
          <w:szCs w:val="24"/>
        </w:rPr>
      </w:pPr>
      <w:r w:rsidRPr="00F51CB3">
        <w:rPr>
          <w:rFonts w:ascii="Times New Roman" w:hAnsi="Times New Roman"/>
          <w:sz w:val="24"/>
          <w:szCs w:val="24"/>
        </w:rPr>
        <w:t>“In order for the City to have the ability to reassign work to non-bargaining unit members</w:t>
      </w:r>
      <w:r w:rsidRPr="00F51CB3">
        <w:rPr>
          <w:rFonts w:ascii="Times New Roman" w:hAnsi="Times New Roman"/>
          <w:b/>
          <w:bCs/>
          <w:sz w:val="24"/>
          <w:szCs w:val="24"/>
        </w:rPr>
        <w:t xml:space="preserve"> without</w:t>
      </w:r>
      <w:r w:rsidRPr="00F51CB3">
        <w:rPr>
          <w:rFonts w:ascii="Times New Roman" w:hAnsi="Times New Roman"/>
          <w:sz w:val="24"/>
          <w:szCs w:val="24"/>
        </w:rPr>
        <w:t xml:space="preserve"> negotiating with CARE, there must be a reservation of that right in the CBA or a specific waiver of such right in the CBA. *** </w:t>
      </w:r>
      <w:proofErr w:type="gramStart"/>
      <w:r w:rsidRPr="00F51CB3">
        <w:rPr>
          <w:rFonts w:ascii="Times New Roman" w:hAnsi="Times New Roman"/>
          <w:sz w:val="24"/>
          <w:szCs w:val="24"/>
        </w:rPr>
        <w:t>In order to</w:t>
      </w:r>
      <w:proofErr w:type="gramEnd"/>
      <w:r w:rsidRPr="00F51CB3">
        <w:rPr>
          <w:rFonts w:ascii="Times New Roman" w:hAnsi="Times New Roman"/>
          <w:sz w:val="24"/>
          <w:szCs w:val="24"/>
        </w:rPr>
        <w:t xml:space="preserve"> unilaterally reassign bargaining unit work, the </w:t>
      </w:r>
      <w:proofErr w:type="gramStart"/>
      <w:r w:rsidRPr="00F51CB3">
        <w:rPr>
          <w:rFonts w:ascii="Times New Roman" w:hAnsi="Times New Roman"/>
          <w:sz w:val="24"/>
          <w:szCs w:val="24"/>
        </w:rPr>
        <w:t>City</w:t>
      </w:r>
      <w:proofErr w:type="gramEnd"/>
      <w:r w:rsidRPr="00F51CB3">
        <w:rPr>
          <w:rFonts w:ascii="Times New Roman" w:hAnsi="Times New Roman"/>
          <w:sz w:val="24"/>
          <w:szCs w:val="24"/>
        </w:rPr>
        <w:t xml:space="preserve"> would have to point to a specific waiver by CARE in the CBA. The CBA does provide a waiver on CARE's part as to ‘the exercise of any rights reserved to and retained by it pursuant to either Section 4117.08(C) of the Revised Code or pursuant to this Article of this Agreement.’ The ability to reassign work does not appear in the list of reserved rights under Article 3(</w:t>
      </w:r>
      <w:proofErr w:type="gramStart"/>
      <w:r w:rsidRPr="00F51CB3">
        <w:rPr>
          <w:rFonts w:ascii="Times New Roman" w:hAnsi="Times New Roman"/>
          <w:sz w:val="24"/>
          <w:szCs w:val="24"/>
        </w:rPr>
        <w:t>A)-</w:t>
      </w:r>
      <w:proofErr w:type="gramEnd"/>
      <w:r w:rsidRPr="00F51CB3">
        <w:rPr>
          <w:rFonts w:ascii="Times New Roman" w:hAnsi="Times New Roman"/>
          <w:sz w:val="24"/>
          <w:szCs w:val="24"/>
        </w:rPr>
        <w:t xml:space="preserve">(K), nor does such appear in R.C. 4117.08(C). Further, R.C. 4117.08(C) specifically requires that a public employer negotiate issues that ‘affect wages, hours, terms and conditions of employment, and the continuation, modification, or deletion of an existing provision of a collective bargaining </w:t>
      </w:r>
      <w:proofErr w:type="gramStart"/>
      <w:r w:rsidRPr="00F51CB3">
        <w:rPr>
          <w:rFonts w:ascii="Times New Roman" w:hAnsi="Times New Roman"/>
          <w:sz w:val="24"/>
          <w:szCs w:val="24"/>
        </w:rPr>
        <w:t>agreement..</w:t>
      </w:r>
      <w:proofErr w:type="gramEnd"/>
      <w:r w:rsidRPr="00F51CB3">
        <w:rPr>
          <w:rFonts w:ascii="Times New Roman" w:hAnsi="Times New Roman"/>
          <w:sz w:val="24"/>
          <w:szCs w:val="24"/>
        </w:rPr>
        <w:t>’”</w:t>
      </w:r>
    </w:p>
    <w:p w14:paraId="2106F3D5" w14:textId="77777777" w:rsidR="00F51CB3" w:rsidRPr="00F51CB3" w:rsidRDefault="00F51CB3" w:rsidP="00F51CB3">
      <w:pPr>
        <w:pStyle w:val="NoSpacing"/>
        <w:rPr>
          <w:rFonts w:ascii="Times New Roman" w:hAnsi="Times New Roman"/>
          <w:sz w:val="24"/>
          <w:szCs w:val="24"/>
        </w:rPr>
      </w:pPr>
    </w:p>
    <w:p w14:paraId="064D23AE" w14:textId="77777777" w:rsidR="00F51CB3" w:rsidRDefault="00F51CB3" w:rsidP="00F51CB3">
      <w:pPr>
        <w:jc w:val="center"/>
        <w:rPr>
          <w:b/>
          <w:bCs/>
          <w:szCs w:val="24"/>
        </w:rPr>
      </w:pPr>
    </w:p>
    <w:p w14:paraId="3970B2DB" w14:textId="77777777" w:rsidR="00F51CB3" w:rsidRDefault="00F51CB3" w:rsidP="00F326E5">
      <w:pPr>
        <w:pStyle w:val="NoSpacing"/>
        <w:rPr>
          <w:rFonts w:ascii="Arial Black" w:hAnsi="Arial Black"/>
          <w:sz w:val="24"/>
          <w:szCs w:val="24"/>
        </w:rPr>
      </w:pPr>
    </w:p>
    <w:p w14:paraId="3416F17B" w14:textId="77777777" w:rsidR="00F51CB3" w:rsidRDefault="00F51CB3" w:rsidP="00F326E5">
      <w:pPr>
        <w:pStyle w:val="NoSpacing"/>
        <w:rPr>
          <w:rFonts w:ascii="Arial Black" w:hAnsi="Arial Black"/>
          <w:sz w:val="24"/>
          <w:szCs w:val="24"/>
        </w:rPr>
      </w:pPr>
    </w:p>
    <w:p w14:paraId="3F29C6D6" w14:textId="77777777" w:rsidR="00F51CB3" w:rsidRDefault="00F51CB3" w:rsidP="00F326E5">
      <w:pPr>
        <w:pStyle w:val="NoSpacing"/>
        <w:rPr>
          <w:rFonts w:ascii="Arial Black" w:hAnsi="Arial Black"/>
          <w:sz w:val="24"/>
          <w:szCs w:val="24"/>
        </w:rPr>
      </w:pPr>
    </w:p>
    <w:p w14:paraId="51FEF0FA" w14:textId="6F3AD5D2" w:rsidR="006428AD" w:rsidRDefault="006428AD" w:rsidP="00F326E5">
      <w:pPr>
        <w:pStyle w:val="NoSpacing"/>
        <w:rPr>
          <w:rFonts w:ascii="Arial Black" w:hAnsi="Arial Black"/>
          <w:sz w:val="24"/>
          <w:szCs w:val="24"/>
        </w:rPr>
      </w:pPr>
      <w:r>
        <w:rPr>
          <w:rFonts w:ascii="Arial Black" w:hAnsi="Arial Black"/>
          <w:sz w:val="24"/>
          <w:szCs w:val="24"/>
        </w:rPr>
        <w:t>17-40</w:t>
      </w:r>
    </w:p>
    <w:p w14:paraId="17F89F76" w14:textId="77777777" w:rsidR="006068BE" w:rsidRDefault="006068BE" w:rsidP="006068BE">
      <w:pPr>
        <w:pStyle w:val="NormalWeb"/>
        <w:rPr>
          <w:rFonts w:ascii="Arial Black" w:hAnsi="Arial Black"/>
          <w:sz w:val="28"/>
          <w:szCs w:val="28"/>
        </w:rPr>
      </w:pPr>
      <w:r>
        <w:rPr>
          <w:rFonts w:ascii="Arial Black" w:hAnsi="Arial Black"/>
          <w:sz w:val="28"/>
          <w:szCs w:val="28"/>
        </w:rPr>
        <w:t>TX: IAFF UNION PRES. FIRED – FOR NOT DISCLOSING PRIOR AUSTIN FD JOB – “BALANCING TEST” – CASE PROCEED</w:t>
      </w:r>
    </w:p>
    <w:p w14:paraId="380A1F59" w14:textId="77777777" w:rsidR="006068BE" w:rsidRDefault="006068BE" w:rsidP="006068BE">
      <w:pPr>
        <w:pStyle w:val="NormalWeb"/>
      </w:pPr>
      <w:r>
        <w:t xml:space="preserve">On May 3, 2024, in </w:t>
      </w:r>
      <w:r w:rsidRPr="009F2444">
        <w:rPr>
          <w:u w:val="single"/>
        </w:rPr>
        <w:t>Michael Teague v. Travis County Emergency Services District 8 and Troy Wenzel</w:t>
      </w:r>
      <w:r>
        <w:t xml:space="preserve">, United State Magistrate Judge Susan Hightower issued a Report and Recommendation the U.S. District Court deny the defendants’ motion to dismiss.  Teague was hired as firefighter in Oct. 2020, and elected President of Local 4820 in Oct. 2022, and served as President until fired in </w:t>
      </w:r>
      <w:proofErr w:type="gramStart"/>
      <w:r>
        <w:t>March,</w:t>
      </w:r>
      <w:proofErr w:type="gramEnd"/>
      <w:r>
        <w:t xml:space="preserve"> 2023. Teague alleges ESD 8 stated in a March 20, </w:t>
      </w:r>
      <w:proofErr w:type="gramStart"/>
      <w:r>
        <w:t>2023</w:t>
      </w:r>
      <w:proofErr w:type="gramEnd"/>
      <w:r>
        <w:t xml:space="preserve"> letter that his employment was terminated because he “falsified” his job application by failing to list his employment with the Austin Fire Department. The Magistrate Judge wrote:  </w:t>
      </w:r>
    </w:p>
    <w:p w14:paraId="77617CFC" w14:textId="77777777" w:rsidR="006068BE" w:rsidRDefault="006068BE" w:rsidP="006068BE">
      <w:pPr>
        <w:pStyle w:val="NormalWeb"/>
        <w:ind w:left="720"/>
      </w:pPr>
      <w:r>
        <w:t xml:space="preserve">“Teague alleges that in his role as Local 4820 President, he repeatedly spoke up about matters of public concern affecting ESD 8 fire fighters in public settings from October 2022 through March 2023. </w:t>
      </w:r>
      <w:proofErr w:type="spellStart"/>
      <w:r>
        <w:t>Dkt</w:t>
      </w:r>
      <w:proofErr w:type="spellEnd"/>
      <w:r>
        <w:t xml:space="preserve">. 10 ¶ 26. He that Defendants were aware of his association with the union and his speech activities. </w:t>
      </w:r>
      <w:r>
        <w:rPr>
          <w:rStyle w:val="Emphasis"/>
          <w:rFonts w:eastAsiaTheme="majorEastAsia"/>
        </w:rPr>
        <w:t>Id.</w:t>
      </w:r>
      <w:r>
        <w:t xml:space="preserve"> ¶ 58. Teague also alleges that he was retaliated against and ultimately terminated for engaging in such speech. </w:t>
      </w:r>
      <w:r>
        <w:rPr>
          <w:rStyle w:val="Emphasis"/>
          <w:rFonts w:eastAsiaTheme="majorEastAsia"/>
        </w:rPr>
        <w:t>Id.</w:t>
      </w:r>
      <w:r>
        <w:t xml:space="preserve"> ¶¶ 34, 36. The Court finds that Teague's allegations and the close timing between his speech activities and his termination are sufficient to show a causal connection at this stage of the proceedings. </w:t>
      </w:r>
      <w:r>
        <w:rPr>
          <w:rStyle w:val="Emphasis"/>
          <w:rFonts w:eastAsiaTheme="majorEastAsia"/>
        </w:rPr>
        <w:t>See Benfield v. Magee</w:t>
      </w:r>
      <w:r>
        <w:t xml:space="preserve">, 945 F.3d 333, 337 (5th Cir. 2019) (‘Close timing between an employee's protected activity and an adverse action against him may provide the causal connection required to make out a prima facie retaliation case.’); </w:t>
      </w:r>
      <w:r>
        <w:rPr>
          <w:rStyle w:val="Emphasis"/>
          <w:rFonts w:eastAsiaTheme="majorEastAsia"/>
        </w:rPr>
        <w:t>Burnside,</w:t>
      </w:r>
      <w:r>
        <w:t xml:space="preserve"> 773 F.3d at 628 (allegations that employee was transferred three weeks after engaging in speech activities were sufficient to allow a plausible inference of a causal connection); </w:t>
      </w:r>
      <w:r>
        <w:rPr>
          <w:rStyle w:val="Emphasis"/>
          <w:rFonts w:eastAsiaTheme="majorEastAsia"/>
        </w:rPr>
        <w:t>Evans v. City of Houston</w:t>
      </w:r>
      <w:r>
        <w:t xml:space="preserve">, 246 F.3d 344, 354 (5th Cir. 2001) (noting that ‘a time lapse of up to four months has been found sufficient to satisfy the causal connection). </w:t>
      </w:r>
    </w:p>
    <w:p w14:paraId="7204BFB6" w14:textId="77777777" w:rsidR="006068BE" w:rsidRDefault="006068BE" w:rsidP="006068BE">
      <w:pPr>
        <w:pStyle w:val="NormalWeb"/>
        <w:ind w:left="720"/>
      </w:pPr>
      <w:r>
        <w:t xml:space="preserve">The Court finds that Teague has alleged sufficient facts to state a plausible </w:t>
      </w:r>
      <w:r>
        <w:rPr>
          <w:rStyle w:val="Emphasis"/>
          <w:rFonts w:eastAsiaTheme="majorEastAsia"/>
        </w:rPr>
        <w:t>prima facie</w:t>
      </w:r>
      <w:r>
        <w:t xml:space="preserve"> case of First Amendment free speech/petition retaliation.” </w:t>
      </w:r>
      <w:hyperlink r:id="rId2917" w:history="1">
        <w:r w:rsidRPr="00FA0156">
          <w:rPr>
            <w:rStyle w:val="Hyperlink"/>
          </w:rPr>
          <w:t>https://casetext.com/case/teague-v-travis-cnty-emergency-servs-dist</w:t>
        </w:r>
      </w:hyperlink>
      <w:r>
        <w:t xml:space="preserve"> </w:t>
      </w:r>
    </w:p>
    <w:p w14:paraId="2582AEDA" w14:textId="77777777" w:rsidR="0085092C" w:rsidRPr="000743CA" w:rsidRDefault="0085092C" w:rsidP="0085092C">
      <w:pPr>
        <w:pStyle w:val="NormalWeb"/>
        <w:rPr>
          <w:b/>
          <w:bCs/>
        </w:rPr>
      </w:pPr>
      <w:r>
        <w:rPr>
          <w:b/>
          <w:bCs/>
        </w:rPr>
        <w:t xml:space="preserve">Legal Lesson Learned:  The lawsuit will now proceed with pre-trial discovery/ </w:t>
      </w:r>
    </w:p>
    <w:p w14:paraId="217AAC93" w14:textId="77777777" w:rsidR="0085092C" w:rsidRDefault="0085092C" w:rsidP="0085092C">
      <w:pPr>
        <w:pStyle w:val="NormalWeb"/>
        <w:spacing w:before="0" w:beforeAutospacing="0"/>
        <w:ind w:left="720"/>
        <w:rPr>
          <w:b/>
          <w:bCs/>
          <w:color w:val="454545"/>
          <w:shd w:val="clear" w:color="auto" w:fill="FFFFFF"/>
        </w:rPr>
      </w:pPr>
      <w:r w:rsidRPr="00E43324">
        <w:rPr>
          <w:color w:val="454545"/>
          <w:shd w:val="clear" w:color="auto" w:fill="FFFFFF"/>
        </w:rPr>
        <w:t>Note:</w:t>
      </w:r>
      <w:r>
        <w:rPr>
          <w:b/>
          <w:bCs/>
          <w:color w:val="454545"/>
          <w:shd w:val="clear" w:color="auto" w:fill="FFFFFF"/>
        </w:rPr>
        <w:t xml:space="preserve"> </w:t>
      </w:r>
      <w:r w:rsidRPr="00E43324">
        <w:rPr>
          <w:color w:val="454545"/>
          <w:shd w:val="clear" w:color="auto" w:fill="FFFFFF"/>
        </w:rPr>
        <w:t>The Magistrate discussed the “balancing test.</w:t>
      </w:r>
      <w:r>
        <w:rPr>
          <w:color w:val="454545"/>
          <w:shd w:val="clear" w:color="auto" w:fill="FFFFFF"/>
        </w:rPr>
        <w:t>”</w:t>
      </w:r>
      <w:r>
        <w:rPr>
          <w:b/>
          <w:bCs/>
          <w:color w:val="454545"/>
          <w:shd w:val="clear" w:color="auto" w:fill="FFFFFF"/>
        </w:rPr>
        <w:t xml:space="preserve">  </w:t>
      </w:r>
    </w:p>
    <w:p w14:paraId="7A3B52E6" w14:textId="77777777" w:rsidR="0085092C" w:rsidRDefault="0085092C" w:rsidP="0085092C">
      <w:pPr>
        <w:pStyle w:val="NormalWeb"/>
        <w:spacing w:before="0" w:beforeAutospacing="0"/>
        <w:ind w:left="1440"/>
      </w:pPr>
      <w:r>
        <w:t xml:space="preserve">“In </w:t>
      </w:r>
      <w:r>
        <w:rPr>
          <w:rStyle w:val="Emphasis"/>
          <w:rFonts w:eastAsiaTheme="majorEastAsia"/>
        </w:rPr>
        <w:t>Pickering v. Bd. of Ed. of Twp. High Sch. Dist. 205, Will Cnty.</w:t>
      </w:r>
      <w:r>
        <w:t xml:space="preserve">, 391 U.S. 563 (1968), the Court laid the framework for analyzing ‘whether the employee's interest or the government's interest should prevail in cases where the government seeks to curtail the speech of its employees.’ </w:t>
      </w:r>
      <w:r>
        <w:rPr>
          <w:rStyle w:val="Emphasis"/>
          <w:rFonts w:eastAsiaTheme="majorEastAsia"/>
        </w:rPr>
        <w:t>Lane</w:t>
      </w:r>
      <w:r>
        <w:t>, 573 U.S. at 236. This balancing test requires’“</w:t>
      </w:r>
      <w:proofErr w:type="spellStart"/>
      <w:r>
        <w:t>balanc</w:t>
      </w:r>
      <w:proofErr w:type="spellEnd"/>
      <w:r>
        <w:t>[</w:t>
      </w:r>
      <w:proofErr w:type="spellStart"/>
      <w:r>
        <w:t>ing</w:t>
      </w:r>
      <w:proofErr w:type="spellEnd"/>
      <w:r>
        <w:t xml:space="preserve">] . . . the interests of the [public employee], as a citizen, in commenting upon matters of public concern and the interest of the State, as an employer, in promoting the efficiency of the public services it performs through its employees.’ </w:t>
      </w:r>
      <w:r>
        <w:rPr>
          <w:rStyle w:val="Emphasis"/>
          <w:rFonts w:eastAsiaTheme="majorEastAsia"/>
        </w:rPr>
        <w:t>Pickering</w:t>
      </w:r>
      <w:r>
        <w:t>, 391 U.S. at 568. This is known as the “</w:t>
      </w:r>
      <w:r>
        <w:rPr>
          <w:rStyle w:val="Emphasis"/>
          <w:rFonts w:eastAsiaTheme="majorEastAsia"/>
        </w:rPr>
        <w:t>Pickering</w:t>
      </w:r>
      <w:r>
        <w:t xml:space="preserve"> balancing test.” </w:t>
      </w:r>
      <w:r>
        <w:rPr>
          <w:rStyle w:val="Emphasis"/>
          <w:rFonts w:eastAsiaTheme="majorEastAsia"/>
        </w:rPr>
        <w:t xml:space="preserve">Bd. of </w:t>
      </w:r>
      <w:proofErr w:type="spellStart"/>
      <w:r>
        <w:rPr>
          <w:rStyle w:val="Emphasis"/>
          <w:rFonts w:eastAsiaTheme="majorEastAsia"/>
        </w:rPr>
        <w:t>Cnty</w:t>
      </w:r>
      <w:proofErr w:type="spellEnd"/>
      <w:r>
        <w:rPr>
          <w:rStyle w:val="Emphasis"/>
          <w:rFonts w:eastAsiaTheme="majorEastAsia"/>
        </w:rPr>
        <w:t xml:space="preserve">. Comm'rs, Wabaunsee </w:t>
      </w:r>
      <w:proofErr w:type="spellStart"/>
      <w:r>
        <w:rPr>
          <w:rStyle w:val="Emphasis"/>
          <w:rFonts w:eastAsiaTheme="majorEastAsia"/>
        </w:rPr>
        <w:t>Cnty</w:t>
      </w:r>
      <w:proofErr w:type="spellEnd"/>
      <w:r>
        <w:rPr>
          <w:rStyle w:val="Emphasis"/>
          <w:rFonts w:eastAsiaTheme="majorEastAsia"/>
        </w:rPr>
        <w:t>., Kan. v. Umbehr</w:t>
      </w:r>
      <w:r>
        <w:t xml:space="preserve">, 518 U.S. 668, 668 (1996). In </w:t>
      </w:r>
      <w:r>
        <w:rPr>
          <w:rStyle w:val="Emphasis"/>
          <w:rFonts w:eastAsiaTheme="majorEastAsia"/>
        </w:rPr>
        <w:t>Pickering</w:t>
      </w:r>
      <w:r>
        <w:t xml:space="preserve">, the Court struck the balance in favor of the public employee, extending First Amendment protection to a teacher who was fired after writing a letter to the editor of a local newspaper criticizing the school board that employed him. </w:t>
      </w:r>
      <w:r>
        <w:rPr>
          <w:rStyle w:val="Emphasis"/>
          <w:rFonts w:eastAsiaTheme="majorEastAsia"/>
        </w:rPr>
        <w:t>Id.</w:t>
      </w:r>
      <w:r>
        <w:t xml:space="preserve"> at 573.”</w:t>
      </w:r>
    </w:p>
    <w:p w14:paraId="1163C8BE" w14:textId="77777777" w:rsidR="006428AD" w:rsidRDefault="006428AD" w:rsidP="00F326E5">
      <w:pPr>
        <w:pStyle w:val="NoSpacing"/>
        <w:rPr>
          <w:rFonts w:ascii="Arial Black" w:hAnsi="Arial Black"/>
          <w:sz w:val="24"/>
          <w:szCs w:val="24"/>
        </w:rPr>
      </w:pPr>
    </w:p>
    <w:p w14:paraId="1D45BDF5" w14:textId="77777777" w:rsidR="006428AD" w:rsidRDefault="006428AD" w:rsidP="00F326E5">
      <w:pPr>
        <w:pStyle w:val="NoSpacing"/>
        <w:rPr>
          <w:rFonts w:ascii="Arial Black" w:hAnsi="Arial Black"/>
          <w:sz w:val="24"/>
          <w:szCs w:val="24"/>
        </w:rPr>
      </w:pPr>
    </w:p>
    <w:p w14:paraId="4C5F040B" w14:textId="3C6F84C8" w:rsidR="00F91F9F" w:rsidRDefault="00026281" w:rsidP="00F326E5">
      <w:pPr>
        <w:pStyle w:val="NoSpacing"/>
        <w:rPr>
          <w:rFonts w:ascii="Arial Black" w:hAnsi="Arial Black"/>
          <w:sz w:val="24"/>
          <w:szCs w:val="24"/>
        </w:rPr>
      </w:pPr>
      <w:r>
        <w:rPr>
          <w:rFonts w:ascii="Arial Black" w:hAnsi="Arial Black"/>
          <w:sz w:val="24"/>
          <w:szCs w:val="24"/>
        </w:rPr>
        <w:t>17-39</w:t>
      </w:r>
    </w:p>
    <w:p w14:paraId="3D0A1195" w14:textId="77777777" w:rsidR="00026281" w:rsidRDefault="00026281" w:rsidP="00F326E5">
      <w:pPr>
        <w:pStyle w:val="NoSpacing"/>
        <w:rPr>
          <w:rFonts w:ascii="Arial Black" w:hAnsi="Arial Black"/>
          <w:sz w:val="24"/>
          <w:szCs w:val="24"/>
        </w:rPr>
      </w:pPr>
    </w:p>
    <w:p w14:paraId="552A4CFA" w14:textId="77777777" w:rsidR="00026281" w:rsidRDefault="00026281" w:rsidP="00026281">
      <w:pPr>
        <w:pStyle w:val="NormalWeb"/>
        <w:spacing w:before="0" w:beforeAutospacing="0"/>
        <w:rPr>
          <w:rFonts w:ascii="Arial Black" w:hAnsi="Arial Black"/>
          <w:sz w:val="28"/>
          <w:szCs w:val="28"/>
        </w:rPr>
      </w:pPr>
      <w:r>
        <w:rPr>
          <w:rFonts w:ascii="Arial Black" w:hAnsi="Arial Black"/>
          <w:sz w:val="28"/>
          <w:szCs w:val="28"/>
        </w:rPr>
        <w:t>OH: CITY ELIMINATED 3 BC – ORDERED TO REINSTATE - GRIEVANCE DELAY – ARBITRATOR DECIDE IF FILED TIMELY</w:t>
      </w:r>
    </w:p>
    <w:p w14:paraId="52D7F234" w14:textId="77777777" w:rsidR="00026281" w:rsidRDefault="00026281" w:rsidP="00026281">
      <w:pPr>
        <w:pStyle w:val="NormalWeb"/>
        <w:spacing w:before="0" w:beforeAutospacing="0"/>
      </w:pPr>
      <w:r>
        <w:t xml:space="preserve">On March 13, 2024, in </w:t>
      </w:r>
      <w:r w:rsidRPr="00BC4EF0">
        <w:rPr>
          <w:u w:val="single"/>
        </w:rPr>
        <w:t>Youngstown Professional Firefighters, IAFF Local 312 v. City of Youngstown</w:t>
      </w:r>
      <w:r>
        <w:t xml:space="preserve">, the Ohio Court of Appeals for Seventh District held (3 to 0) that City cannot refuse to arbitrate because they believe the Grievance was not filed within 14-days; the union says it is a continuing violation of CBA, and the arbitrator can decide this procedural issue.  The parties have been in litigation for five years over Battalion Chief positions.  In September 2019 the City decided to eliminate three Battalion Chief positions through attrition, and union filed charges with State Employment Relations Board that this was in retaliation for union pushing city to upgrade their radios.  The Board ordered City to reinstate those three positions, and in Dec. 2021, the Court of Appeals for the Seventh District agreed with the union and the Board. Two Captains have since been promoted to Battalion Chief (March 2022 and February 2023), but third Battalion Chief position has never been filed since 2021 retirement of Chief Caggiano.  </w:t>
      </w:r>
    </w:p>
    <w:p w14:paraId="60637A20"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6D0B057" w14:textId="77777777" w:rsidR="004D2264" w:rsidRDefault="004D2264" w:rsidP="00026281">
      <w:pPr>
        <w:pStyle w:val="NormalWeb"/>
        <w:spacing w:before="0" w:beforeAutospacing="0"/>
        <w:ind w:left="720"/>
      </w:pPr>
    </w:p>
    <w:p w14:paraId="4173977F" w14:textId="030A2240" w:rsidR="00026281" w:rsidRDefault="00026281" w:rsidP="00026281">
      <w:pPr>
        <w:pStyle w:val="NormalWeb"/>
        <w:spacing w:before="0" w:beforeAutospacing="0"/>
        <w:ind w:left="720"/>
      </w:pPr>
      <w:r>
        <w:t>“The grievance at issue in this appeal, Grievance 22-007, asserts ‘the City's refusal to reinstate Battalion Chief positions, violating a [State Employment Relations Board Unfair Labor Practice] decision and other court rulings, has resulted in violations of the CBA, safety concerns and compensation denied to our members since December 2019. (Grievance 22-007, p. 1.) The grievance further asserts the City has ‘yet to acknowledge another vacancy in the rank of Battalion Chief created on 6/5/2021 by the retirement of [Battalion Chief] Sil Caggiano.’</w:t>
      </w:r>
    </w:p>
    <w:p w14:paraId="0A87BE7A" w14:textId="77777777" w:rsidR="00026281" w:rsidRDefault="00026281" w:rsidP="00026281">
      <w:pPr>
        <w:pStyle w:val="NormalWeb"/>
        <w:spacing w:before="0" w:beforeAutospacing="0"/>
        <w:ind w:left="720"/>
      </w:pPr>
      <w:r>
        <w:t>***</w:t>
      </w:r>
    </w:p>
    <w:p w14:paraId="14A311E9" w14:textId="77777777" w:rsidR="00026281" w:rsidRDefault="00026281" w:rsidP="00026281">
      <w:pPr>
        <w:pStyle w:val="NormalWeb"/>
        <w:spacing w:before="0" w:beforeAutospacing="0"/>
        <w:ind w:left="720"/>
      </w:pPr>
      <w:r>
        <w:t xml:space="preserve">For the foregoing reasons, we find the timeliness of </w:t>
      </w:r>
      <w:proofErr w:type="gramStart"/>
      <w:r>
        <w:t>the grievance</w:t>
      </w:r>
      <w:proofErr w:type="gramEnd"/>
      <w:r>
        <w:t xml:space="preserve"> is a procedural issue, which requires an interpretation of the CBA, and must be determined by the arbitrator. </w:t>
      </w:r>
      <w:proofErr w:type="gramStart"/>
      <w:r>
        <w:t>As a consequence</w:t>
      </w:r>
      <w:proofErr w:type="gramEnd"/>
      <w:r>
        <w:t xml:space="preserve">, the City's assignments of error have no merit and the judgment entry of the trial court sustaining the complaint to compel arbitration is affirmed.” </w:t>
      </w:r>
      <w:hyperlink r:id="rId2918" w:history="1">
        <w:r w:rsidRPr="00AA5DF9">
          <w:rPr>
            <w:rStyle w:val="Hyperlink"/>
          </w:rPr>
          <w:t>https://casetext.com/case/youngstown-profl-firefighters-iaff-local-312-v-city-of-youngstown</w:t>
        </w:r>
      </w:hyperlink>
      <w:r>
        <w:t xml:space="preserve"> </w:t>
      </w:r>
    </w:p>
    <w:p w14:paraId="7E9D565F" w14:textId="77777777" w:rsidR="00026281" w:rsidRDefault="00026281" w:rsidP="00026281">
      <w:pPr>
        <w:spacing w:after="100" w:line="240" w:lineRule="auto"/>
        <w:ind w:left="720"/>
        <w:rPr>
          <w:rFonts w:ascii="Times New Roman" w:hAnsi="Times New Roman"/>
          <w:sz w:val="24"/>
          <w:szCs w:val="24"/>
        </w:rPr>
      </w:pPr>
    </w:p>
    <w:p w14:paraId="7507819B" w14:textId="77777777" w:rsidR="00026281" w:rsidRPr="006015DE" w:rsidRDefault="00026281" w:rsidP="00026281">
      <w:pPr>
        <w:spacing w:after="100" w:line="240" w:lineRule="auto"/>
        <w:rPr>
          <w:rFonts w:ascii="Times New Roman" w:eastAsia="Times New Roman" w:hAnsi="Times New Roman"/>
          <w:b/>
          <w:bCs/>
          <w:sz w:val="24"/>
          <w:szCs w:val="24"/>
        </w:rPr>
      </w:pPr>
      <w:r w:rsidRPr="007B7A20">
        <w:rPr>
          <w:rFonts w:ascii="Times New Roman" w:hAnsi="Times New Roman"/>
          <w:b/>
          <w:bCs/>
          <w:sz w:val="24"/>
          <w:szCs w:val="24"/>
        </w:rPr>
        <w:t>Legal Lesson Learned:</w:t>
      </w:r>
      <w:r>
        <w:rPr>
          <w:rFonts w:ascii="Times New Roman" w:hAnsi="Times New Roman"/>
          <w:b/>
          <w:bCs/>
          <w:sz w:val="24"/>
          <w:szCs w:val="24"/>
        </w:rPr>
        <w:t xml:space="preserve"> Arbitrators can decide the timeliness of a grievance. </w:t>
      </w:r>
    </w:p>
    <w:p w14:paraId="3C0412B7" w14:textId="77777777" w:rsidR="00026281" w:rsidRPr="007B7A20" w:rsidRDefault="00026281" w:rsidP="00026281">
      <w:pPr>
        <w:pStyle w:val="NoSpacing"/>
        <w:rPr>
          <w:rFonts w:ascii="Times New Roman" w:hAnsi="Times New Roman"/>
          <w:b/>
          <w:bCs/>
          <w:sz w:val="24"/>
          <w:szCs w:val="24"/>
        </w:rPr>
      </w:pPr>
    </w:p>
    <w:p w14:paraId="034ED69E" w14:textId="77777777" w:rsidR="00026281" w:rsidRPr="004A34D8" w:rsidRDefault="00026281" w:rsidP="00026281">
      <w:pPr>
        <w:pStyle w:val="NoSpacing"/>
        <w:ind w:left="720"/>
        <w:rPr>
          <w:rFonts w:ascii="Times New Roman" w:hAnsi="Times New Roman"/>
          <w:sz w:val="24"/>
          <w:szCs w:val="24"/>
        </w:rPr>
      </w:pPr>
      <w:r>
        <w:rPr>
          <w:rFonts w:ascii="Times New Roman" w:hAnsi="Times New Roman"/>
          <w:sz w:val="24"/>
          <w:szCs w:val="24"/>
        </w:rPr>
        <w:t>Note: See M</w:t>
      </w:r>
      <w:r w:rsidRPr="004A34D8">
        <w:rPr>
          <w:rFonts w:ascii="Times New Roman" w:hAnsi="Times New Roman"/>
          <w:sz w:val="24"/>
          <w:szCs w:val="24"/>
        </w:rPr>
        <w:t xml:space="preserve">arch 16, </w:t>
      </w:r>
      <w:proofErr w:type="gramStart"/>
      <w:r w:rsidRPr="004A34D8">
        <w:rPr>
          <w:rFonts w:ascii="Times New Roman" w:hAnsi="Times New Roman"/>
          <w:sz w:val="24"/>
          <w:szCs w:val="24"/>
        </w:rPr>
        <w:t>2024</w:t>
      </w:r>
      <w:proofErr w:type="gramEnd"/>
      <w:r w:rsidRPr="004A34D8">
        <w:rPr>
          <w:rFonts w:ascii="Times New Roman" w:hAnsi="Times New Roman"/>
          <w:sz w:val="24"/>
          <w:szCs w:val="24"/>
        </w:rPr>
        <w:t xml:space="preserve"> article, “City’s request to dismiss fire union case falters.” </w:t>
      </w:r>
      <w:hyperlink r:id="rId2919" w:history="1">
        <w:r w:rsidRPr="00AA5DF9">
          <w:rPr>
            <w:rStyle w:val="Hyperlink"/>
            <w:rFonts w:ascii="Times New Roman" w:hAnsi="Times New Roman"/>
            <w:sz w:val="24"/>
            <w:szCs w:val="24"/>
          </w:rPr>
          <w:t>https://www.vindy.com/news/local-news/2024/03/citys-request-to-dismiss-fire-union-case-falters/</w:t>
        </w:r>
      </w:hyperlink>
      <w:r w:rsidRPr="004A34D8">
        <w:rPr>
          <w:rFonts w:ascii="Times New Roman" w:hAnsi="Times New Roman"/>
          <w:sz w:val="24"/>
          <w:szCs w:val="24"/>
        </w:rPr>
        <w:t xml:space="preserve"> </w:t>
      </w:r>
    </w:p>
    <w:p w14:paraId="028C209A" w14:textId="77777777" w:rsidR="00026281" w:rsidRDefault="00026281" w:rsidP="00026281">
      <w:pPr>
        <w:pStyle w:val="NormalWeb"/>
        <w:ind w:left="720"/>
      </w:pPr>
      <w:r>
        <w:t>“This issue was the latest in a series of arguments between the two sides on battalion chief positions with the union continuously winning court cases.”</w:t>
      </w:r>
    </w:p>
    <w:p w14:paraId="3852A254" w14:textId="77777777" w:rsidR="00026281" w:rsidRDefault="00026281" w:rsidP="00F326E5">
      <w:pPr>
        <w:pStyle w:val="NoSpacing"/>
        <w:rPr>
          <w:rFonts w:ascii="Arial Black" w:hAnsi="Arial Black"/>
          <w:sz w:val="24"/>
          <w:szCs w:val="24"/>
        </w:rPr>
      </w:pPr>
    </w:p>
    <w:p w14:paraId="31460E7B" w14:textId="77777777" w:rsidR="00F91F9F" w:rsidRDefault="00F91F9F" w:rsidP="00F326E5">
      <w:pPr>
        <w:pStyle w:val="NoSpacing"/>
        <w:rPr>
          <w:rFonts w:ascii="Arial Black" w:hAnsi="Arial Black"/>
          <w:sz w:val="24"/>
          <w:szCs w:val="24"/>
        </w:rPr>
      </w:pPr>
    </w:p>
    <w:p w14:paraId="58C60AEE" w14:textId="742B0404" w:rsidR="004E344B" w:rsidRDefault="007D66BE" w:rsidP="00F326E5">
      <w:pPr>
        <w:pStyle w:val="NoSpacing"/>
        <w:rPr>
          <w:rFonts w:ascii="Arial Black" w:hAnsi="Arial Black"/>
          <w:sz w:val="24"/>
          <w:szCs w:val="24"/>
        </w:rPr>
      </w:pPr>
      <w:r>
        <w:rPr>
          <w:rFonts w:ascii="Arial Black" w:hAnsi="Arial Black"/>
          <w:sz w:val="24"/>
          <w:szCs w:val="24"/>
        </w:rPr>
        <w:t>17-38</w:t>
      </w:r>
    </w:p>
    <w:p w14:paraId="5B581454" w14:textId="77777777" w:rsidR="006D0326" w:rsidRDefault="006D0326" w:rsidP="006D0326">
      <w:pPr>
        <w:pStyle w:val="NormalWeb"/>
      </w:pPr>
      <w:r>
        <w:rPr>
          <w:rFonts w:ascii="Arial Black" w:hAnsi="Arial Black"/>
          <w:sz w:val="28"/>
          <w:szCs w:val="28"/>
        </w:rPr>
        <w:t xml:space="preserve">CT: AMR – CUT SHIFTS DURING COVID – UNION REQ. CALL DATA – CASE BACK TO NLRB – CBA HAS “DISASTER” PROV. </w:t>
      </w:r>
    </w:p>
    <w:p w14:paraId="5D10C357" w14:textId="77777777" w:rsidR="006D0326" w:rsidRPr="00213A36" w:rsidRDefault="006D0326" w:rsidP="006D0326">
      <w:pPr>
        <w:pStyle w:val="NormalWeb"/>
      </w:pPr>
      <w:r>
        <w:t xml:space="preserve">On Feb. 16, 2024, in </w:t>
      </w:r>
      <w:r w:rsidRPr="00213A36">
        <w:rPr>
          <w:u w:val="single"/>
        </w:rPr>
        <w:t>American Response of Connecticut, Inc. v. National Labor Relations Board</w:t>
      </w:r>
      <w:r>
        <w:t xml:space="preserve">, the U.S. Court of Appeals for the District of Columbia, held (3 to 0) that the NLRB must rehear AMR’s defense that the “Local Disaster” provision in collective bargaining agreement excused company from providing call data and other information to union. </w:t>
      </w:r>
    </w:p>
    <w:p w14:paraId="6722BEDD" w14:textId="77777777" w:rsidR="006D0326" w:rsidRDefault="006D0326" w:rsidP="006D0326">
      <w:pPr>
        <w:pStyle w:val="NormalWeb"/>
      </w:pPr>
      <w:r>
        <w:t>The Court held:</w:t>
      </w:r>
    </w:p>
    <w:p w14:paraId="3B011175" w14:textId="77777777" w:rsidR="006D0326" w:rsidRDefault="006D0326" w:rsidP="006D0326">
      <w:pPr>
        <w:pStyle w:val="NoSpacing"/>
        <w:ind w:left="720"/>
        <w:rPr>
          <w:rFonts w:ascii="Times New Roman" w:hAnsi="Times New Roman"/>
          <w:sz w:val="24"/>
          <w:szCs w:val="24"/>
        </w:rPr>
      </w:pPr>
      <w:r>
        <w:rPr>
          <w:rFonts w:ascii="Times New Roman" w:hAnsi="Times New Roman"/>
          <w:sz w:val="24"/>
          <w:szCs w:val="24"/>
        </w:rPr>
        <w:t>“</w:t>
      </w:r>
      <w:r w:rsidRPr="003B7CA1">
        <w:rPr>
          <w:rFonts w:ascii="Times New Roman" w:hAnsi="Times New Roman"/>
          <w:sz w:val="24"/>
          <w:szCs w:val="24"/>
        </w:rPr>
        <w:t>We do not</w:t>
      </w:r>
      <w:r>
        <w:rPr>
          <w:rFonts w:ascii="Times New Roman" w:hAnsi="Times New Roman"/>
          <w:sz w:val="24"/>
          <w:szCs w:val="24"/>
        </w:rPr>
        <w:t xml:space="preserve"> </w:t>
      </w:r>
      <w:r w:rsidRPr="003B7CA1">
        <w:rPr>
          <w:rFonts w:ascii="Times New Roman" w:hAnsi="Times New Roman"/>
          <w:sz w:val="24"/>
          <w:szCs w:val="24"/>
        </w:rPr>
        <w:t>decide whether § 23.03 excused AMR, either directly or</w:t>
      </w:r>
      <w:r>
        <w:rPr>
          <w:rFonts w:ascii="Times New Roman" w:hAnsi="Times New Roman"/>
          <w:sz w:val="24"/>
          <w:szCs w:val="24"/>
        </w:rPr>
        <w:t xml:space="preserve"> </w:t>
      </w:r>
      <w:r w:rsidRPr="003B7CA1">
        <w:rPr>
          <w:rFonts w:ascii="Times New Roman" w:hAnsi="Times New Roman"/>
          <w:sz w:val="24"/>
          <w:szCs w:val="24"/>
        </w:rPr>
        <w:t>indirectly, from the obligation to respond to these information</w:t>
      </w:r>
      <w:r>
        <w:rPr>
          <w:rFonts w:ascii="Times New Roman" w:hAnsi="Times New Roman"/>
          <w:sz w:val="24"/>
          <w:szCs w:val="24"/>
        </w:rPr>
        <w:t xml:space="preserve"> </w:t>
      </w:r>
      <w:r w:rsidRPr="003B7CA1">
        <w:rPr>
          <w:rFonts w:ascii="Times New Roman" w:hAnsi="Times New Roman"/>
          <w:sz w:val="24"/>
          <w:szCs w:val="24"/>
        </w:rPr>
        <w:t>requests. Because these interpretive issues were not fully</w:t>
      </w:r>
      <w:r>
        <w:rPr>
          <w:rFonts w:ascii="Times New Roman" w:hAnsi="Times New Roman"/>
          <w:sz w:val="24"/>
          <w:szCs w:val="24"/>
        </w:rPr>
        <w:t xml:space="preserve"> </w:t>
      </w:r>
      <w:r w:rsidRPr="003B7CA1">
        <w:rPr>
          <w:rFonts w:ascii="Times New Roman" w:hAnsi="Times New Roman"/>
          <w:sz w:val="24"/>
          <w:szCs w:val="24"/>
        </w:rPr>
        <w:t xml:space="preserve">briefed, we vacate the order and </w:t>
      </w:r>
      <w:proofErr w:type="gramStart"/>
      <w:r w:rsidRPr="003B7CA1">
        <w:rPr>
          <w:rFonts w:ascii="Times New Roman" w:hAnsi="Times New Roman"/>
          <w:sz w:val="24"/>
          <w:szCs w:val="24"/>
        </w:rPr>
        <w:t>remand</w:t>
      </w:r>
      <w:proofErr w:type="gramEnd"/>
      <w:r w:rsidRPr="003B7CA1">
        <w:rPr>
          <w:rFonts w:ascii="Times New Roman" w:hAnsi="Times New Roman"/>
          <w:sz w:val="24"/>
          <w:szCs w:val="24"/>
        </w:rPr>
        <w:t xml:space="preserve"> for the Board to</w:t>
      </w:r>
      <w:r>
        <w:rPr>
          <w:rFonts w:ascii="Times New Roman" w:hAnsi="Times New Roman"/>
          <w:sz w:val="24"/>
          <w:szCs w:val="24"/>
        </w:rPr>
        <w:t xml:space="preserve"> </w:t>
      </w:r>
      <w:r w:rsidRPr="003B7CA1">
        <w:rPr>
          <w:rFonts w:ascii="Times New Roman" w:hAnsi="Times New Roman"/>
          <w:sz w:val="24"/>
          <w:szCs w:val="24"/>
        </w:rPr>
        <w:t>consider these issues in the first instance. The Board should</w:t>
      </w:r>
      <w:r>
        <w:rPr>
          <w:rFonts w:ascii="Times New Roman" w:hAnsi="Times New Roman"/>
          <w:sz w:val="24"/>
          <w:szCs w:val="24"/>
        </w:rPr>
        <w:t xml:space="preserve"> </w:t>
      </w:r>
      <w:r w:rsidRPr="003B7CA1">
        <w:rPr>
          <w:rFonts w:ascii="Times New Roman" w:hAnsi="Times New Roman"/>
          <w:sz w:val="24"/>
          <w:szCs w:val="24"/>
        </w:rPr>
        <w:t>also consider whether AMR forfeited or failed to exhaust this</w:t>
      </w:r>
      <w:r>
        <w:rPr>
          <w:rFonts w:ascii="Times New Roman" w:hAnsi="Times New Roman"/>
          <w:sz w:val="24"/>
          <w:szCs w:val="24"/>
        </w:rPr>
        <w:t xml:space="preserve"> </w:t>
      </w:r>
      <w:r w:rsidRPr="003B7CA1">
        <w:rPr>
          <w:rFonts w:ascii="Times New Roman" w:hAnsi="Times New Roman"/>
          <w:sz w:val="24"/>
          <w:szCs w:val="24"/>
        </w:rPr>
        <w:t>defense with respect to any of the information requests. As</w:t>
      </w:r>
      <w:r>
        <w:rPr>
          <w:rFonts w:ascii="Times New Roman" w:hAnsi="Times New Roman"/>
          <w:sz w:val="24"/>
          <w:szCs w:val="24"/>
        </w:rPr>
        <w:t xml:space="preserve"> </w:t>
      </w:r>
      <w:r w:rsidRPr="003B7CA1">
        <w:rPr>
          <w:rFonts w:ascii="Times New Roman" w:hAnsi="Times New Roman"/>
          <w:sz w:val="24"/>
          <w:szCs w:val="24"/>
        </w:rPr>
        <w:t xml:space="preserve">resolution of this threshold contractual issue may </w:t>
      </w:r>
      <w:proofErr w:type="gramStart"/>
      <w:r w:rsidRPr="003B7CA1">
        <w:rPr>
          <w:rFonts w:ascii="Times New Roman" w:hAnsi="Times New Roman"/>
          <w:sz w:val="24"/>
          <w:szCs w:val="24"/>
        </w:rPr>
        <w:t>impact</w:t>
      </w:r>
      <w:proofErr w:type="gramEnd"/>
      <w:r w:rsidRPr="003B7CA1">
        <w:rPr>
          <w:rFonts w:ascii="Times New Roman" w:hAnsi="Times New Roman"/>
          <w:sz w:val="24"/>
          <w:szCs w:val="24"/>
        </w:rPr>
        <w:t xml:space="preserve"> the</w:t>
      </w:r>
      <w:r>
        <w:rPr>
          <w:rFonts w:ascii="Times New Roman" w:hAnsi="Times New Roman"/>
          <w:sz w:val="24"/>
          <w:szCs w:val="24"/>
        </w:rPr>
        <w:t xml:space="preserve"> </w:t>
      </w:r>
      <w:r w:rsidRPr="003B7CA1">
        <w:rPr>
          <w:rFonts w:ascii="Times New Roman" w:hAnsi="Times New Roman"/>
          <w:sz w:val="24"/>
          <w:szCs w:val="24"/>
        </w:rPr>
        <w:t>other issues presented, we do not consider them here.</w:t>
      </w:r>
      <w:r>
        <w:rPr>
          <w:rFonts w:ascii="Times New Roman" w:hAnsi="Times New Roman"/>
          <w:sz w:val="24"/>
          <w:szCs w:val="24"/>
        </w:rPr>
        <w:t xml:space="preserve"> </w:t>
      </w:r>
      <w:r w:rsidRPr="003F32C1">
        <w:rPr>
          <w:rFonts w:ascii="Times New Roman" w:hAnsi="Times New Roman"/>
          <w:sz w:val="24"/>
          <w:szCs w:val="24"/>
        </w:rPr>
        <w:t>We address only</w:t>
      </w:r>
      <w:r>
        <w:rPr>
          <w:rFonts w:ascii="Times New Roman" w:hAnsi="Times New Roman"/>
          <w:sz w:val="24"/>
          <w:szCs w:val="24"/>
        </w:rPr>
        <w:t xml:space="preserve"> </w:t>
      </w:r>
      <w:r w:rsidRPr="003F32C1">
        <w:rPr>
          <w:rFonts w:ascii="Times New Roman" w:hAnsi="Times New Roman"/>
          <w:sz w:val="24"/>
          <w:szCs w:val="24"/>
        </w:rPr>
        <w:t>one of those defenses, namely that the Union, through the</w:t>
      </w:r>
      <w:r>
        <w:rPr>
          <w:rFonts w:ascii="Times New Roman" w:hAnsi="Times New Roman"/>
          <w:sz w:val="24"/>
          <w:szCs w:val="24"/>
        </w:rPr>
        <w:t xml:space="preserve"> </w:t>
      </w:r>
      <w:r w:rsidRPr="003F32C1">
        <w:rPr>
          <w:rFonts w:ascii="Times New Roman" w:hAnsi="Times New Roman"/>
          <w:sz w:val="24"/>
          <w:szCs w:val="24"/>
        </w:rPr>
        <w:t xml:space="preserve">collective bargaining </w:t>
      </w:r>
      <w:proofErr w:type="gramStart"/>
      <w:r w:rsidRPr="003F32C1">
        <w:rPr>
          <w:rFonts w:ascii="Times New Roman" w:hAnsi="Times New Roman"/>
          <w:sz w:val="24"/>
          <w:szCs w:val="24"/>
        </w:rPr>
        <w:t xml:space="preserve">agreement, </w:t>
      </w:r>
      <w:r>
        <w:rPr>
          <w:rFonts w:ascii="Times New Roman" w:hAnsi="Times New Roman"/>
          <w:sz w:val="24"/>
          <w:szCs w:val="24"/>
        </w:rPr>
        <w:t>‘</w:t>
      </w:r>
      <w:proofErr w:type="gramEnd"/>
      <w:r w:rsidRPr="003F32C1">
        <w:rPr>
          <w:rFonts w:ascii="Times New Roman" w:hAnsi="Times New Roman"/>
          <w:sz w:val="24"/>
          <w:szCs w:val="24"/>
        </w:rPr>
        <w:t>waived any rights to the</w:t>
      </w:r>
      <w:r>
        <w:rPr>
          <w:rFonts w:ascii="Times New Roman" w:hAnsi="Times New Roman"/>
          <w:sz w:val="24"/>
          <w:szCs w:val="24"/>
        </w:rPr>
        <w:t xml:space="preserve"> </w:t>
      </w:r>
      <w:r w:rsidRPr="003F32C1">
        <w:rPr>
          <w:rFonts w:ascii="Times New Roman" w:hAnsi="Times New Roman"/>
          <w:sz w:val="24"/>
          <w:szCs w:val="24"/>
        </w:rPr>
        <w:t>requested information.</w:t>
      </w:r>
      <w:r>
        <w:rPr>
          <w:rFonts w:ascii="Times New Roman" w:hAnsi="Times New Roman"/>
          <w:sz w:val="24"/>
          <w:szCs w:val="24"/>
        </w:rPr>
        <w:t>’</w:t>
      </w:r>
    </w:p>
    <w:p w14:paraId="330781EF" w14:textId="77777777" w:rsidR="006D0326" w:rsidRDefault="006D0326" w:rsidP="006D0326">
      <w:pPr>
        <w:pStyle w:val="NoSpacing"/>
        <w:ind w:left="720"/>
        <w:rPr>
          <w:rFonts w:ascii="Times New Roman" w:hAnsi="Times New Roman"/>
          <w:sz w:val="24"/>
          <w:szCs w:val="24"/>
        </w:rPr>
      </w:pPr>
    </w:p>
    <w:p w14:paraId="42106BCA" w14:textId="77777777" w:rsidR="006D0326" w:rsidRDefault="006D0326" w:rsidP="006D0326">
      <w:pPr>
        <w:pStyle w:val="NoSpacing"/>
        <w:ind w:left="720"/>
        <w:rPr>
          <w:rFonts w:ascii="Times New Roman" w:hAnsi="Times New Roman"/>
          <w:sz w:val="24"/>
          <w:szCs w:val="24"/>
        </w:rPr>
      </w:pPr>
      <w:r>
        <w:rPr>
          <w:rFonts w:ascii="Times New Roman" w:hAnsi="Times New Roman"/>
          <w:sz w:val="24"/>
          <w:szCs w:val="24"/>
        </w:rPr>
        <w:t>***</w:t>
      </w:r>
    </w:p>
    <w:p w14:paraId="0B04068B" w14:textId="77777777" w:rsidR="006D0326" w:rsidRPr="001242C8" w:rsidRDefault="006D0326" w:rsidP="006D0326">
      <w:pPr>
        <w:pStyle w:val="NoSpacing"/>
        <w:ind w:left="720"/>
        <w:rPr>
          <w:rFonts w:ascii="Times New Roman" w:hAnsi="Times New Roman"/>
          <w:sz w:val="24"/>
          <w:szCs w:val="24"/>
        </w:rPr>
      </w:pPr>
      <w:r w:rsidRPr="001242C8">
        <w:rPr>
          <w:rFonts w:ascii="Times New Roman" w:hAnsi="Times New Roman"/>
          <w:sz w:val="24"/>
          <w:szCs w:val="24"/>
        </w:rPr>
        <w:t>The Board here concluded that it was unnecessary to</w:t>
      </w:r>
      <w:r>
        <w:rPr>
          <w:rFonts w:ascii="Times New Roman" w:hAnsi="Times New Roman"/>
          <w:sz w:val="24"/>
          <w:szCs w:val="24"/>
        </w:rPr>
        <w:t xml:space="preserve"> </w:t>
      </w:r>
      <w:r w:rsidRPr="001242C8">
        <w:rPr>
          <w:rFonts w:ascii="Times New Roman" w:hAnsi="Times New Roman"/>
          <w:sz w:val="24"/>
          <w:szCs w:val="24"/>
        </w:rPr>
        <w:t>consider AMR’s contractual defense before determining that</w:t>
      </w:r>
      <w:r>
        <w:rPr>
          <w:rFonts w:ascii="Times New Roman" w:hAnsi="Times New Roman"/>
          <w:sz w:val="24"/>
          <w:szCs w:val="24"/>
        </w:rPr>
        <w:t xml:space="preserve"> </w:t>
      </w:r>
      <w:r w:rsidRPr="001242C8">
        <w:rPr>
          <w:rFonts w:ascii="Times New Roman" w:hAnsi="Times New Roman"/>
          <w:sz w:val="24"/>
          <w:szCs w:val="24"/>
        </w:rPr>
        <w:t>AMR’s refusal to provide information constituted a statutory</w:t>
      </w:r>
    </w:p>
    <w:p w14:paraId="347BB406" w14:textId="77777777" w:rsidR="006D0326" w:rsidRDefault="006D0326" w:rsidP="006D0326">
      <w:pPr>
        <w:pStyle w:val="NoSpacing"/>
        <w:ind w:left="720"/>
        <w:rPr>
          <w:rFonts w:ascii="Times New Roman" w:hAnsi="Times New Roman"/>
          <w:sz w:val="24"/>
          <w:szCs w:val="24"/>
        </w:rPr>
      </w:pPr>
      <w:r w:rsidRPr="001242C8">
        <w:rPr>
          <w:rFonts w:ascii="Times New Roman" w:hAnsi="Times New Roman"/>
          <w:sz w:val="24"/>
          <w:szCs w:val="24"/>
        </w:rPr>
        <w:t>failure to bargain. In addition to violating the NLRA’s</w:t>
      </w:r>
      <w:r>
        <w:rPr>
          <w:rFonts w:ascii="Times New Roman" w:hAnsi="Times New Roman"/>
          <w:sz w:val="24"/>
          <w:szCs w:val="24"/>
        </w:rPr>
        <w:t xml:space="preserve"> </w:t>
      </w:r>
      <w:r w:rsidRPr="001242C8">
        <w:rPr>
          <w:rFonts w:ascii="Times New Roman" w:hAnsi="Times New Roman"/>
          <w:sz w:val="24"/>
          <w:szCs w:val="24"/>
        </w:rPr>
        <w:t>requirement that the Board enforce contracts, this approach</w:t>
      </w:r>
      <w:r>
        <w:rPr>
          <w:rFonts w:ascii="Times New Roman" w:hAnsi="Times New Roman"/>
          <w:sz w:val="24"/>
          <w:szCs w:val="24"/>
        </w:rPr>
        <w:t xml:space="preserve"> </w:t>
      </w:r>
      <w:r w:rsidRPr="001242C8">
        <w:rPr>
          <w:rFonts w:ascii="Times New Roman" w:hAnsi="Times New Roman"/>
          <w:sz w:val="24"/>
          <w:szCs w:val="24"/>
        </w:rPr>
        <w:t xml:space="preserve">breaks with longstanding Board </w:t>
      </w:r>
      <w:proofErr w:type="gramStart"/>
      <w:r w:rsidRPr="001242C8">
        <w:rPr>
          <w:rFonts w:ascii="Times New Roman" w:hAnsi="Times New Roman"/>
          <w:sz w:val="24"/>
          <w:szCs w:val="24"/>
        </w:rPr>
        <w:t>precedent.</w:t>
      </w:r>
      <w:r>
        <w:rPr>
          <w:rFonts w:ascii="Times New Roman" w:hAnsi="Times New Roman"/>
          <w:sz w:val="24"/>
          <w:szCs w:val="24"/>
        </w:rPr>
        <w:t>”</w:t>
      </w:r>
      <w:proofErr w:type="gramEnd"/>
    </w:p>
    <w:p w14:paraId="08B6267F" w14:textId="77777777" w:rsidR="006D0326" w:rsidRDefault="006D0326" w:rsidP="006D0326">
      <w:pPr>
        <w:pStyle w:val="NoSpacing"/>
        <w:ind w:left="720"/>
        <w:rPr>
          <w:rFonts w:ascii="Times New Roman" w:hAnsi="Times New Roman"/>
          <w:sz w:val="24"/>
          <w:szCs w:val="24"/>
        </w:rPr>
      </w:pPr>
      <w:hyperlink r:id="rId2920" w:history="1">
        <w:r w:rsidRPr="00E007C4">
          <w:rPr>
            <w:rStyle w:val="Hyperlink"/>
            <w:rFonts w:ascii="Times New Roman" w:hAnsi="Times New Roman"/>
            <w:sz w:val="24"/>
            <w:szCs w:val="24"/>
          </w:rPr>
          <w:t>https://www.cadc.uscourts.gov/internet/opinions.nsf/AF29B804749163DE85258AC500547458/$file/22-1261-2040755.pdf</w:t>
        </w:r>
      </w:hyperlink>
      <w:r>
        <w:rPr>
          <w:rFonts w:ascii="Times New Roman" w:hAnsi="Times New Roman"/>
          <w:sz w:val="24"/>
          <w:szCs w:val="24"/>
        </w:rPr>
        <w:t xml:space="preserve"> </w:t>
      </w:r>
    </w:p>
    <w:p w14:paraId="4EEF8138" w14:textId="77777777" w:rsidR="006D0326" w:rsidRDefault="006D0326" w:rsidP="006D0326">
      <w:pPr>
        <w:pStyle w:val="NoSpacing"/>
        <w:ind w:left="720"/>
        <w:rPr>
          <w:rFonts w:ascii="Times New Roman" w:hAnsi="Times New Roman"/>
          <w:sz w:val="24"/>
          <w:szCs w:val="24"/>
        </w:rPr>
      </w:pPr>
    </w:p>
    <w:p w14:paraId="5E70B0CC" w14:textId="3344CE3B" w:rsidR="006D0326" w:rsidRPr="00815DDD" w:rsidRDefault="006D0326" w:rsidP="006D0326">
      <w:pPr>
        <w:pStyle w:val="NoSpacing"/>
        <w:ind w:left="720"/>
        <w:rPr>
          <w:rFonts w:ascii="Times New Roman" w:hAnsi="Times New Roman"/>
          <w:sz w:val="24"/>
          <w:szCs w:val="24"/>
        </w:rPr>
      </w:pPr>
      <w:r w:rsidRPr="00815DDD">
        <w:rPr>
          <w:rFonts w:ascii="Times New Roman" w:hAnsi="Times New Roman"/>
          <w:sz w:val="24"/>
          <w:szCs w:val="24"/>
        </w:rPr>
        <w:t>.</w:t>
      </w:r>
      <w:r>
        <w:rPr>
          <w:rFonts w:ascii="Times New Roman" w:hAnsi="Times New Roman"/>
          <w:sz w:val="24"/>
          <w:szCs w:val="24"/>
        </w:rPr>
        <w:t>”</w:t>
      </w:r>
    </w:p>
    <w:p w14:paraId="243B76A0" w14:textId="77777777" w:rsidR="006D0326" w:rsidRDefault="006D0326" w:rsidP="006D0326">
      <w:pPr>
        <w:pStyle w:val="NoSpacing"/>
        <w:rPr>
          <w:rFonts w:ascii="Times New Roman" w:hAnsi="Times New Roman"/>
          <w:sz w:val="24"/>
          <w:szCs w:val="24"/>
        </w:rPr>
      </w:pPr>
    </w:p>
    <w:p w14:paraId="18429CE9" w14:textId="77777777" w:rsidR="006D0326" w:rsidRPr="004C10F3" w:rsidRDefault="006D0326" w:rsidP="006D0326">
      <w:pPr>
        <w:pStyle w:val="NoSpacing"/>
        <w:rPr>
          <w:rFonts w:ascii="Times New Roman" w:hAnsi="Times New Roman"/>
          <w:b/>
          <w:bCs/>
          <w:sz w:val="24"/>
          <w:szCs w:val="24"/>
        </w:rPr>
      </w:pPr>
      <w:r w:rsidRPr="004C10F3">
        <w:rPr>
          <w:rFonts w:ascii="Times New Roman" w:hAnsi="Times New Roman"/>
          <w:b/>
          <w:bCs/>
          <w:sz w:val="24"/>
          <w:szCs w:val="24"/>
        </w:rPr>
        <w:t xml:space="preserve">Legal Lesson Learned: </w:t>
      </w:r>
      <w:r>
        <w:rPr>
          <w:rFonts w:ascii="Times New Roman" w:hAnsi="Times New Roman"/>
          <w:b/>
          <w:bCs/>
          <w:sz w:val="24"/>
          <w:szCs w:val="24"/>
        </w:rPr>
        <w:t>Employers and unions are bound by the terms of their CBA, and NLRB must recognize those provisions.</w:t>
      </w:r>
    </w:p>
    <w:p w14:paraId="4E8A66BE" w14:textId="77777777" w:rsidR="006D0326" w:rsidRDefault="006D0326" w:rsidP="006D0326">
      <w:pPr>
        <w:pStyle w:val="NoSpacing"/>
        <w:rPr>
          <w:rFonts w:ascii="Times New Roman" w:hAnsi="Times New Roman"/>
          <w:sz w:val="24"/>
          <w:szCs w:val="24"/>
        </w:rPr>
      </w:pPr>
    </w:p>
    <w:p w14:paraId="2E946788" w14:textId="77777777" w:rsidR="006D0326" w:rsidRDefault="006D0326" w:rsidP="006D0326">
      <w:pPr>
        <w:pStyle w:val="NoSpacing"/>
        <w:rPr>
          <w:rFonts w:ascii="Times New Roman" w:hAnsi="Times New Roman"/>
          <w:sz w:val="24"/>
          <w:szCs w:val="24"/>
        </w:rPr>
      </w:pPr>
    </w:p>
    <w:p w14:paraId="5AF85EDE" w14:textId="77777777" w:rsidR="007D66BE" w:rsidRDefault="007D66BE" w:rsidP="00F326E5">
      <w:pPr>
        <w:pStyle w:val="NoSpacing"/>
        <w:rPr>
          <w:rFonts w:ascii="Arial Black" w:hAnsi="Arial Black"/>
          <w:sz w:val="24"/>
          <w:szCs w:val="24"/>
        </w:rPr>
      </w:pPr>
    </w:p>
    <w:p w14:paraId="073BE876" w14:textId="77777777" w:rsidR="007D66BE" w:rsidRDefault="007D66BE" w:rsidP="00F326E5">
      <w:pPr>
        <w:pStyle w:val="NoSpacing"/>
        <w:rPr>
          <w:rFonts w:ascii="Arial Black" w:hAnsi="Arial Black"/>
          <w:sz w:val="24"/>
          <w:szCs w:val="24"/>
        </w:rPr>
      </w:pPr>
    </w:p>
    <w:p w14:paraId="75ECFB90" w14:textId="77777777" w:rsidR="007D66BE" w:rsidRDefault="007D66BE" w:rsidP="00F326E5">
      <w:pPr>
        <w:pStyle w:val="NoSpacing"/>
        <w:rPr>
          <w:rFonts w:ascii="Arial Black" w:hAnsi="Arial Black"/>
          <w:sz w:val="24"/>
          <w:szCs w:val="24"/>
        </w:rPr>
      </w:pPr>
    </w:p>
    <w:p w14:paraId="113846BB" w14:textId="20519C7C" w:rsidR="004E344B" w:rsidRDefault="004E344B" w:rsidP="00F326E5">
      <w:pPr>
        <w:pStyle w:val="NoSpacing"/>
        <w:rPr>
          <w:rFonts w:ascii="Arial Black" w:hAnsi="Arial Black"/>
          <w:sz w:val="24"/>
          <w:szCs w:val="24"/>
        </w:rPr>
      </w:pPr>
      <w:r>
        <w:rPr>
          <w:rFonts w:ascii="Arial Black" w:hAnsi="Arial Black"/>
          <w:sz w:val="24"/>
          <w:szCs w:val="24"/>
        </w:rPr>
        <w:t>17-37</w:t>
      </w:r>
    </w:p>
    <w:p w14:paraId="6E55B954" w14:textId="77777777" w:rsidR="00C0427B" w:rsidRPr="001150A5" w:rsidRDefault="00C0427B" w:rsidP="00C0427B">
      <w:pPr>
        <w:pStyle w:val="NormalWeb"/>
        <w:rPr>
          <w:rFonts w:ascii="Arial Black" w:hAnsi="Arial Black"/>
          <w:sz w:val="28"/>
          <w:szCs w:val="28"/>
        </w:rPr>
      </w:pPr>
      <w:r>
        <w:rPr>
          <w:rFonts w:ascii="Arial Black" w:hAnsi="Arial Black"/>
          <w:sz w:val="28"/>
          <w:szCs w:val="28"/>
        </w:rPr>
        <w:t xml:space="preserve">OH: ARBITRATION - “RULE OF 3” FOR PROMOTION TO LT. - CITY DIDN’T HAVE SELECT HIGHEST SCORING CANDIDATE </w:t>
      </w:r>
    </w:p>
    <w:p w14:paraId="2E4849DF" w14:textId="16D11A97" w:rsidR="00C0427B" w:rsidRPr="00D01745" w:rsidRDefault="00C0427B" w:rsidP="00C0427B">
      <w:pPr>
        <w:pStyle w:val="NoSpacing"/>
        <w:rPr>
          <w:rFonts w:ascii="Times New Roman" w:hAnsi="Times New Roman"/>
          <w:sz w:val="24"/>
          <w:szCs w:val="24"/>
        </w:rPr>
      </w:pPr>
      <w:r w:rsidRPr="00D01745">
        <w:rPr>
          <w:rFonts w:ascii="Times New Roman" w:hAnsi="Times New Roman"/>
          <w:sz w:val="24"/>
          <w:szCs w:val="24"/>
        </w:rPr>
        <w:t xml:space="preserve">On Dec. 19, 2023, in </w:t>
      </w:r>
      <w:r w:rsidRPr="00D01745">
        <w:rPr>
          <w:rFonts w:ascii="Times New Roman" w:hAnsi="Times New Roman"/>
          <w:sz w:val="24"/>
          <w:szCs w:val="24"/>
          <w:u w:val="single"/>
        </w:rPr>
        <w:t>International Association of Fire Fighters, Local 67 [Brandon Lauck] v. City of Columbus</w:t>
      </w:r>
      <w:r w:rsidRPr="00D01745">
        <w:rPr>
          <w:rFonts w:ascii="Times New Roman" w:hAnsi="Times New Roman"/>
          <w:sz w:val="24"/>
          <w:szCs w:val="24"/>
        </w:rPr>
        <w:t xml:space="preserve">, the Court of Appeals of Ohio, Tenth District held (3 to 0) that Judge on Franklin County Court of Common Pleas incorrectly overturned arbitrator; City did not have to promote firefighter Brandon Lauck to Lieutenant even if he was highest scoring candidate.  The Court wrote: </w:t>
      </w:r>
      <w:r>
        <w:rPr>
          <w:rFonts w:ascii="Times New Roman" w:hAnsi="Times New Roman"/>
          <w:sz w:val="24"/>
          <w:szCs w:val="24"/>
        </w:rPr>
        <w:t>“</w:t>
      </w:r>
      <w:r w:rsidRPr="00D01745">
        <w:rPr>
          <w:rFonts w:ascii="Times New Roman" w:hAnsi="Times New Roman"/>
          <w:sz w:val="24"/>
          <w:szCs w:val="24"/>
        </w:rPr>
        <w:t>Before the arbitrator, the Union argued the promotion decision was improper</w:t>
      </w:r>
      <w:r w:rsidR="00BC649D">
        <w:rPr>
          <w:rFonts w:ascii="Times New Roman" w:hAnsi="Times New Roman"/>
          <w:sz w:val="24"/>
          <w:szCs w:val="24"/>
        </w:rPr>
        <w:t xml:space="preserve"> </w:t>
      </w:r>
      <w:r w:rsidRPr="00D01745">
        <w:rPr>
          <w:rFonts w:ascii="Times New Roman" w:hAnsi="Times New Roman"/>
          <w:sz w:val="24"/>
          <w:szCs w:val="24"/>
        </w:rPr>
        <w:t>and violated CBA Section 10.1 because it was inconsistent with the City’s past practice of</w:t>
      </w:r>
    </w:p>
    <w:p w14:paraId="02E78268" w14:textId="7CB94B83" w:rsidR="00C0427B" w:rsidRPr="00EC48F0" w:rsidRDefault="00C0427B" w:rsidP="00C0427B">
      <w:pPr>
        <w:pStyle w:val="NoSpacing"/>
        <w:rPr>
          <w:rFonts w:ascii="Times New Roman" w:hAnsi="Times New Roman"/>
          <w:sz w:val="24"/>
          <w:szCs w:val="24"/>
        </w:rPr>
      </w:pPr>
      <w:r w:rsidRPr="00D01745">
        <w:rPr>
          <w:rFonts w:ascii="Times New Roman" w:hAnsi="Times New Roman"/>
          <w:sz w:val="24"/>
          <w:szCs w:val="24"/>
        </w:rPr>
        <w:t>selecting the eligible candidate with the highest examination score for promotion, because</w:t>
      </w:r>
      <w:r w:rsidR="00BC649D">
        <w:rPr>
          <w:rFonts w:ascii="Times New Roman" w:hAnsi="Times New Roman"/>
          <w:sz w:val="24"/>
          <w:szCs w:val="24"/>
        </w:rPr>
        <w:t xml:space="preserve"> </w:t>
      </w:r>
      <w:r w:rsidRPr="00D01745">
        <w:rPr>
          <w:rFonts w:ascii="Times New Roman" w:hAnsi="Times New Roman"/>
          <w:sz w:val="24"/>
          <w:szCs w:val="24"/>
        </w:rPr>
        <w:t>Firefighter Lauck was not provided any reason for why he was not promoted, and because</w:t>
      </w:r>
      <w:r w:rsidR="00BC649D">
        <w:rPr>
          <w:rFonts w:ascii="Times New Roman" w:hAnsi="Times New Roman"/>
          <w:sz w:val="24"/>
          <w:szCs w:val="24"/>
        </w:rPr>
        <w:t xml:space="preserve"> </w:t>
      </w:r>
      <w:r w:rsidRPr="00D01745">
        <w:rPr>
          <w:rFonts w:ascii="Times New Roman" w:hAnsi="Times New Roman"/>
          <w:sz w:val="24"/>
          <w:szCs w:val="24"/>
        </w:rPr>
        <w:t>his involvement in a traffic accident years ago may have been considered as a factor against</w:t>
      </w:r>
      <w:r w:rsidR="00BC649D">
        <w:rPr>
          <w:rFonts w:ascii="Times New Roman" w:hAnsi="Times New Roman"/>
          <w:sz w:val="24"/>
          <w:szCs w:val="24"/>
        </w:rPr>
        <w:t xml:space="preserve"> </w:t>
      </w:r>
      <w:r w:rsidRPr="00D01745">
        <w:rPr>
          <w:rFonts w:ascii="Times New Roman" w:hAnsi="Times New Roman"/>
          <w:sz w:val="24"/>
          <w:szCs w:val="24"/>
        </w:rPr>
        <w:t>his promotion.</w:t>
      </w:r>
      <w:r>
        <w:rPr>
          <w:rFonts w:ascii="Times New Roman" w:hAnsi="Times New Roman"/>
          <w:sz w:val="24"/>
          <w:szCs w:val="24"/>
        </w:rPr>
        <w:t xml:space="preserve"> *** I</w:t>
      </w:r>
      <w:r w:rsidRPr="00EC48F0">
        <w:rPr>
          <w:rFonts w:ascii="Times New Roman" w:hAnsi="Times New Roman"/>
          <w:sz w:val="24"/>
          <w:szCs w:val="24"/>
        </w:rPr>
        <w:t>n denying the Union’s grievance, the arbitrator expressly considered and</w:t>
      </w:r>
      <w:r w:rsidR="00BC649D">
        <w:rPr>
          <w:rFonts w:ascii="Times New Roman" w:hAnsi="Times New Roman"/>
          <w:sz w:val="24"/>
          <w:szCs w:val="24"/>
        </w:rPr>
        <w:t xml:space="preserve"> </w:t>
      </w:r>
      <w:r w:rsidRPr="00EC48F0">
        <w:rPr>
          <w:rFonts w:ascii="Times New Roman" w:hAnsi="Times New Roman"/>
          <w:sz w:val="24"/>
          <w:szCs w:val="24"/>
        </w:rPr>
        <w:t>rejected the Union’s contention that Firefighter Lauck was not treated in a reasonable, fair,</w:t>
      </w:r>
    </w:p>
    <w:p w14:paraId="569F1BE9" w14:textId="1797B230" w:rsidR="00C0427B" w:rsidRDefault="00C0427B" w:rsidP="00C0427B">
      <w:pPr>
        <w:pStyle w:val="NoSpacing"/>
      </w:pPr>
      <w:r w:rsidRPr="00EC48F0">
        <w:rPr>
          <w:rFonts w:ascii="Times New Roman" w:hAnsi="Times New Roman"/>
          <w:sz w:val="24"/>
          <w:szCs w:val="24"/>
        </w:rPr>
        <w:t xml:space="preserve">and non-discriminatory </w:t>
      </w:r>
      <w:proofErr w:type="gramStart"/>
      <w:r w:rsidRPr="00EC48F0">
        <w:rPr>
          <w:rFonts w:ascii="Times New Roman" w:hAnsi="Times New Roman"/>
          <w:sz w:val="24"/>
          <w:szCs w:val="24"/>
        </w:rPr>
        <w:t>manner</w:t>
      </w:r>
      <w:proofErr w:type="gramEnd"/>
      <w:r w:rsidRPr="00EC48F0">
        <w:rPr>
          <w:rFonts w:ascii="Times New Roman" w:hAnsi="Times New Roman"/>
          <w:sz w:val="24"/>
          <w:szCs w:val="24"/>
        </w:rPr>
        <w:t xml:space="preserve"> as required by CBA Section 10.1. Thus, the Union’s</w:t>
      </w:r>
      <w:r w:rsidR="00BC649D">
        <w:rPr>
          <w:rFonts w:ascii="Times New Roman" w:hAnsi="Times New Roman"/>
          <w:sz w:val="24"/>
          <w:szCs w:val="24"/>
        </w:rPr>
        <w:t xml:space="preserve"> </w:t>
      </w:r>
      <w:r w:rsidRPr="00EC48F0">
        <w:rPr>
          <w:rFonts w:ascii="Times New Roman" w:hAnsi="Times New Roman"/>
          <w:sz w:val="24"/>
          <w:szCs w:val="24"/>
        </w:rPr>
        <w:t>evidence and related arguments did not persuade the arbitrator</w:t>
      </w:r>
      <w:r>
        <w:rPr>
          <w:rFonts w:ascii="Times New Roman" w:hAnsi="Times New Roman"/>
          <w:sz w:val="24"/>
          <w:szCs w:val="24"/>
        </w:rPr>
        <w:t xml:space="preserve">. *** </w:t>
      </w:r>
      <w:r w:rsidRPr="00890952">
        <w:rPr>
          <w:rFonts w:ascii="Times New Roman" w:hAnsi="Times New Roman"/>
          <w:sz w:val="24"/>
          <w:szCs w:val="24"/>
        </w:rPr>
        <w:t xml:space="preserve">Therefore, we conclude the trial court </w:t>
      </w:r>
      <w:proofErr w:type="gramStart"/>
      <w:r w:rsidRPr="00890952">
        <w:rPr>
          <w:rFonts w:ascii="Times New Roman" w:hAnsi="Times New Roman"/>
          <w:sz w:val="24"/>
          <w:szCs w:val="24"/>
        </w:rPr>
        <w:t>erred</w:t>
      </w:r>
      <w:proofErr w:type="gramEnd"/>
      <w:r w:rsidRPr="00890952">
        <w:rPr>
          <w:rFonts w:ascii="Times New Roman" w:hAnsi="Times New Roman"/>
          <w:sz w:val="24"/>
          <w:szCs w:val="24"/>
        </w:rPr>
        <w:t xml:space="preserve"> in finding the arbitrator failed to</w:t>
      </w:r>
      <w:r>
        <w:rPr>
          <w:rFonts w:ascii="Times New Roman" w:hAnsi="Times New Roman"/>
          <w:sz w:val="24"/>
          <w:szCs w:val="24"/>
        </w:rPr>
        <w:t xml:space="preserve"> </w:t>
      </w:r>
      <w:r w:rsidRPr="00890952">
        <w:rPr>
          <w:rFonts w:ascii="Times New Roman" w:hAnsi="Times New Roman"/>
          <w:sz w:val="24"/>
          <w:szCs w:val="24"/>
        </w:rPr>
        <w:t xml:space="preserve">determine whether the </w:t>
      </w:r>
      <w:proofErr w:type="gramStart"/>
      <w:r w:rsidRPr="00890952">
        <w:rPr>
          <w:rFonts w:ascii="Times New Roman" w:hAnsi="Times New Roman"/>
          <w:sz w:val="24"/>
          <w:szCs w:val="24"/>
        </w:rPr>
        <w:t>City</w:t>
      </w:r>
      <w:proofErr w:type="gramEnd"/>
      <w:r w:rsidRPr="00890952">
        <w:rPr>
          <w:rFonts w:ascii="Times New Roman" w:hAnsi="Times New Roman"/>
          <w:sz w:val="24"/>
          <w:szCs w:val="24"/>
        </w:rPr>
        <w:t xml:space="preserve"> violated CBA Section 10.1’s requirements when it did not</w:t>
      </w:r>
      <w:r>
        <w:rPr>
          <w:rFonts w:ascii="Times New Roman" w:hAnsi="Times New Roman"/>
          <w:sz w:val="24"/>
          <w:szCs w:val="24"/>
        </w:rPr>
        <w:t xml:space="preserve"> </w:t>
      </w:r>
      <w:r w:rsidRPr="0081501B">
        <w:rPr>
          <w:rFonts w:ascii="Times New Roman" w:hAnsi="Times New Roman"/>
          <w:sz w:val="24"/>
          <w:szCs w:val="24"/>
        </w:rPr>
        <w:t>promote Firefighter Lauck to Fire Lieutenant, and the trial court erred in vacating the</w:t>
      </w:r>
      <w:r>
        <w:rPr>
          <w:rFonts w:ascii="Times New Roman" w:hAnsi="Times New Roman"/>
          <w:sz w:val="24"/>
          <w:szCs w:val="24"/>
        </w:rPr>
        <w:t xml:space="preserve"> </w:t>
      </w:r>
      <w:r w:rsidRPr="0081501B">
        <w:rPr>
          <w:rFonts w:ascii="Times New Roman" w:hAnsi="Times New Roman"/>
          <w:sz w:val="24"/>
          <w:szCs w:val="24"/>
        </w:rPr>
        <w:t>arbitrator’s award based on this incorrect finding. On these bases, we sustain the City’s first</w:t>
      </w:r>
      <w:r>
        <w:rPr>
          <w:rFonts w:ascii="Times New Roman" w:hAnsi="Times New Roman"/>
          <w:sz w:val="24"/>
          <w:szCs w:val="24"/>
        </w:rPr>
        <w:t xml:space="preserve"> </w:t>
      </w:r>
      <w:r w:rsidRPr="0081501B">
        <w:rPr>
          <w:rFonts w:ascii="Times New Roman" w:hAnsi="Times New Roman"/>
          <w:sz w:val="24"/>
          <w:szCs w:val="24"/>
        </w:rPr>
        <w:t>and second assignments of error.</w:t>
      </w:r>
      <w:r>
        <w:rPr>
          <w:rFonts w:ascii="Times New Roman" w:hAnsi="Times New Roman"/>
          <w:sz w:val="24"/>
          <w:szCs w:val="24"/>
        </w:rPr>
        <w:t xml:space="preserve">” </w:t>
      </w:r>
      <w:hyperlink r:id="rId2921" w:history="1">
        <w:r w:rsidRPr="0044657D">
          <w:rPr>
            <w:rStyle w:val="Hyperlink"/>
          </w:rPr>
          <w:t>https://cases.justia.com/ohio/tenth-district-court-of-appeals/2023-23ap-37.pdf?ts=1703012831</w:t>
        </w:r>
      </w:hyperlink>
      <w:r>
        <w:t xml:space="preserve"> </w:t>
      </w:r>
    </w:p>
    <w:p w14:paraId="35C8AB05" w14:textId="77777777" w:rsidR="00C0427B" w:rsidRDefault="00C0427B" w:rsidP="00F326E5">
      <w:pPr>
        <w:pStyle w:val="NoSpacing"/>
        <w:rPr>
          <w:rFonts w:ascii="Arial Black" w:hAnsi="Arial Black"/>
          <w:sz w:val="24"/>
          <w:szCs w:val="24"/>
        </w:rPr>
      </w:pPr>
    </w:p>
    <w:p w14:paraId="3C0CA1E6" w14:textId="77777777" w:rsidR="00B15008" w:rsidRPr="008E05C8" w:rsidRDefault="00B15008" w:rsidP="00B15008">
      <w:pPr>
        <w:pStyle w:val="NoSpacing"/>
        <w:rPr>
          <w:rFonts w:ascii="Times New Roman" w:hAnsi="Times New Roman"/>
          <w:b/>
          <w:bCs/>
          <w:sz w:val="24"/>
          <w:szCs w:val="24"/>
        </w:rPr>
      </w:pPr>
      <w:r w:rsidRPr="008E05C8">
        <w:rPr>
          <w:rFonts w:ascii="Times New Roman" w:hAnsi="Times New Roman"/>
          <w:b/>
          <w:bCs/>
          <w:sz w:val="24"/>
          <w:szCs w:val="24"/>
        </w:rPr>
        <w:t>Legal Lesson Learned:</w:t>
      </w:r>
      <w:r>
        <w:rPr>
          <w:rFonts w:ascii="Times New Roman" w:hAnsi="Times New Roman"/>
          <w:b/>
          <w:bCs/>
          <w:sz w:val="24"/>
          <w:szCs w:val="24"/>
        </w:rPr>
        <w:t xml:space="preserve"> “Rule of Three” was followed; City did not need to select the candidate with highest score even that was a common past practice.</w:t>
      </w:r>
    </w:p>
    <w:p w14:paraId="4BABBBE3" w14:textId="77777777" w:rsidR="00B15008" w:rsidRPr="00020C6B" w:rsidRDefault="00B15008" w:rsidP="00B15008">
      <w:pPr>
        <w:pStyle w:val="NormalWeb"/>
        <w:ind w:left="720"/>
      </w:pPr>
      <w:r w:rsidRPr="00020C6B">
        <w:t xml:space="preserve">Note: Union referenced a lawsuit against firefighter Brandon Lauck. See this Complaint filed against Brandon G. Lauck after July 16, </w:t>
      </w:r>
      <w:proofErr w:type="gramStart"/>
      <w:r w:rsidRPr="00020C6B">
        <w:t>2018</w:t>
      </w:r>
      <w:proofErr w:type="gramEnd"/>
      <w:r w:rsidRPr="00020C6B">
        <w:t xml:space="preserve"> rear end accident on I-270. </w:t>
      </w:r>
      <w:hyperlink r:id="rId2922" w:history="1">
        <w:r w:rsidRPr="00020C6B">
          <w:rPr>
            <w:rStyle w:val="Hyperlink"/>
          </w:rPr>
          <w:t>https://trellis.law/doc/60559021/complaint-filed</w:t>
        </w:r>
      </w:hyperlink>
      <w:r w:rsidRPr="00020C6B">
        <w:t xml:space="preserve"> </w:t>
      </w:r>
    </w:p>
    <w:p w14:paraId="22128889" w14:textId="77777777" w:rsidR="00B15008" w:rsidRDefault="00B15008" w:rsidP="00F326E5">
      <w:pPr>
        <w:pStyle w:val="NoSpacing"/>
        <w:rPr>
          <w:rFonts w:ascii="Arial Black" w:hAnsi="Arial Black"/>
          <w:sz w:val="24"/>
          <w:szCs w:val="24"/>
        </w:rPr>
      </w:pPr>
    </w:p>
    <w:p w14:paraId="4F23B9DA" w14:textId="77777777" w:rsidR="004E344B" w:rsidRDefault="004E344B" w:rsidP="00F326E5">
      <w:pPr>
        <w:pStyle w:val="NoSpacing"/>
        <w:rPr>
          <w:rFonts w:ascii="Arial Black" w:hAnsi="Arial Black"/>
          <w:sz w:val="24"/>
          <w:szCs w:val="24"/>
        </w:rPr>
      </w:pPr>
    </w:p>
    <w:p w14:paraId="45168707" w14:textId="77777777" w:rsidR="004E344B" w:rsidRDefault="004E344B" w:rsidP="00F326E5">
      <w:pPr>
        <w:pStyle w:val="NoSpacing"/>
        <w:rPr>
          <w:rFonts w:ascii="Arial Black" w:hAnsi="Arial Black"/>
          <w:sz w:val="24"/>
          <w:szCs w:val="24"/>
        </w:rPr>
      </w:pPr>
    </w:p>
    <w:p w14:paraId="1AC375F6" w14:textId="77777777" w:rsidR="004E344B" w:rsidRDefault="004E344B" w:rsidP="00F326E5">
      <w:pPr>
        <w:pStyle w:val="NoSpacing"/>
        <w:rPr>
          <w:rFonts w:ascii="Arial Black" w:hAnsi="Arial Black"/>
          <w:sz w:val="24"/>
          <w:szCs w:val="24"/>
        </w:rPr>
      </w:pPr>
    </w:p>
    <w:p w14:paraId="645D2355" w14:textId="0C46FF79" w:rsidR="00075DAE" w:rsidRDefault="00075DAE" w:rsidP="00F326E5">
      <w:pPr>
        <w:pStyle w:val="NoSpacing"/>
        <w:rPr>
          <w:rFonts w:ascii="Arial Black" w:hAnsi="Arial Black"/>
          <w:sz w:val="24"/>
          <w:szCs w:val="24"/>
        </w:rPr>
      </w:pPr>
      <w:r>
        <w:rPr>
          <w:rFonts w:ascii="Arial Black" w:hAnsi="Arial Black"/>
          <w:sz w:val="24"/>
          <w:szCs w:val="24"/>
        </w:rPr>
        <w:t>17-36</w:t>
      </w:r>
    </w:p>
    <w:p w14:paraId="1985E476" w14:textId="77777777" w:rsidR="00075DAE" w:rsidRDefault="00075DAE" w:rsidP="00F326E5">
      <w:pPr>
        <w:pStyle w:val="NoSpacing"/>
        <w:rPr>
          <w:rFonts w:ascii="Arial Black" w:hAnsi="Arial Black"/>
          <w:sz w:val="24"/>
          <w:szCs w:val="24"/>
        </w:rPr>
      </w:pPr>
    </w:p>
    <w:p w14:paraId="325CE8B7" w14:textId="77777777" w:rsidR="00B94F72" w:rsidRDefault="00B94F72" w:rsidP="00B94F72">
      <w:pPr>
        <w:pStyle w:val="NoSpacing"/>
        <w:rPr>
          <w:rFonts w:ascii="Arial Black" w:hAnsi="Arial Black"/>
          <w:b/>
          <w:sz w:val="28"/>
          <w:szCs w:val="28"/>
        </w:rPr>
      </w:pPr>
      <w:r>
        <w:rPr>
          <w:rFonts w:ascii="Arial Black" w:hAnsi="Arial Black"/>
          <w:b/>
          <w:sz w:val="28"/>
          <w:szCs w:val="28"/>
        </w:rPr>
        <w:t>CT: ARBITRATOR UPHOLDS DISCIPLINE - COVID19, NO MASK, TEMP CHECK, ARGUMENT - 15 DAYS VACATION</w:t>
      </w:r>
    </w:p>
    <w:p w14:paraId="31589451" w14:textId="77777777" w:rsidR="00B94F72" w:rsidRDefault="00B94F72" w:rsidP="00B94F72">
      <w:pPr>
        <w:pStyle w:val="NoSpacing"/>
        <w:rPr>
          <w:rFonts w:ascii="Arial Black" w:hAnsi="Arial Black"/>
          <w:b/>
          <w:sz w:val="28"/>
          <w:szCs w:val="28"/>
        </w:rPr>
      </w:pPr>
    </w:p>
    <w:p w14:paraId="2E3EA71E" w14:textId="77777777" w:rsidR="00B94F72" w:rsidRPr="009338B7" w:rsidRDefault="00B94F72" w:rsidP="00B94F72">
      <w:pPr>
        <w:pStyle w:val="NoSpacing"/>
        <w:rPr>
          <w:rFonts w:ascii="Times New Roman" w:hAnsi="Times New Roman"/>
          <w:bCs/>
          <w:sz w:val="24"/>
          <w:szCs w:val="24"/>
        </w:rPr>
      </w:pPr>
      <w:r w:rsidRPr="00737152">
        <w:rPr>
          <w:rFonts w:ascii="Times New Roman" w:hAnsi="Times New Roman"/>
          <w:bCs/>
          <w:sz w:val="24"/>
          <w:szCs w:val="24"/>
        </w:rPr>
        <w:t xml:space="preserve">On </w:t>
      </w:r>
      <w:r>
        <w:rPr>
          <w:rFonts w:ascii="Times New Roman" w:hAnsi="Times New Roman"/>
          <w:bCs/>
          <w:sz w:val="24"/>
          <w:szCs w:val="24"/>
        </w:rPr>
        <w:t xml:space="preserve">Nov. 6, 2023, in </w:t>
      </w:r>
      <w:r w:rsidRPr="00555FCC">
        <w:rPr>
          <w:rFonts w:ascii="Times New Roman" w:hAnsi="Times New Roman"/>
          <w:bCs/>
          <w:sz w:val="24"/>
          <w:szCs w:val="24"/>
          <w:u w:val="single"/>
        </w:rPr>
        <w:t>Nicola Tamburo v. City of Stamford</w:t>
      </w:r>
      <w:r>
        <w:rPr>
          <w:rFonts w:ascii="Times New Roman" w:hAnsi="Times New Roman"/>
          <w:bCs/>
          <w:sz w:val="24"/>
          <w:szCs w:val="24"/>
        </w:rPr>
        <w:t xml:space="preserve">, Judge Edward T. Krumeich, judge trial referee of Stamford / Norwalk Judicial District, in unpublished opinion, held that arbitrator properly upheld the discipline of FF / EMT Tamburo, finding there was evidence of “just cause” for the discipline. </w:t>
      </w:r>
      <w:hyperlink r:id="rId2923" w:history="1">
        <w:r w:rsidRPr="00A417BB">
          <w:rPr>
            <w:rStyle w:val="Hyperlink"/>
            <w:rFonts w:ascii="Times New Roman" w:hAnsi="Times New Roman"/>
            <w:bCs/>
            <w:sz w:val="24"/>
            <w:szCs w:val="24"/>
          </w:rPr>
          <w:t>https://jud.ct.gov/Superiorcourt/MOD/DocumentPreview.aspx?RandomKey=6CFC6C5D-9DDA-4D98-859D-8C6104A0B311</w:t>
        </w:r>
      </w:hyperlink>
      <w:r w:rsidRPr="009338B7">
        <w:rPr>
          <w:rFonts w:ascii="Times New Roman" w:hAnsi="Times New Roman"/>
          <w:bCs/>
          <w:sz w:val="24"/>
          <w:szCs w:val="24"/>
        </w:rPr>
        <w:t xml:space="preserve"> </w:t>
      </w:r>
    </w:p>
    <w:p w14:paraId="7699A5D8" w14:textId="77777777" w:rsidR="00075DAE" w:rsidRDefault="00075DAE" w:rsidP="00F326E5">
      <w:pPr>
        <w:pStyle w:val="NoSpacing"/>
        <w:rPr>
          <w:rFonts w:ascii="Arial Black" w:hAnsi="Arial Black"/>
          <w:sz w:val="24"/>
          <w:szCs w:val="24"/>
        </w:rPr>
      </w:pPr>
    </w:p>
    <w:p w14:paraId="31BD6933" w14:textId="77777777" w:rsidR="00D92F5B" w:rsidRDefault="00D92F5B" w:rsidP="00D92F5B">
      <w:pPr>
        <w:pStyle w:val="NoSpacing"/>
        <w:rPr>
          <w:rFonts w:ascii="Times New Roman" w:hAnsi="Times New Roman"/>
          <w:b/>
          <w:sz w:val="24"/>
          <w:szCs w:val="24"/>
        </w:rPr>
      </w:pPr>
      <w:r>
        <w:rPr>
          <w:rFonts w:ascii="Times New Roman" w:hAnsi="Times New Roman"/>
          <w:b/>
          <w:sz w:val="24"/>
          <w:szCs w:val="24"/>
        </w:rPr>
        <w:t xml:space="preserve">Legal Lesson Learned: Just cause for the discipline was proven. </w:t>
      </w:r>
    </w:p>
    <w:p w14:paraId="4A799F3F" w14:textId="77777777" w:rsidR="00D92F5B" w:rsidRDefault="00D92F5B" w:rsidP="00D92F5B">
      <w:pPr>
        <w:rPr>
          <w:rFonts w:ascii="Times New Roman" w:hAnsi="Times New Roman"/>
          <w:sz w:val="24"/>
          <w:szCs w:val="24"/>
        </w:rPr>
      </w:pPr>
    </w:p>
    <w:p w14:paraId="61707174" w14:textId="77777777" w:rsidR="00D92F5B" w:rsidRDefault="00D92F5B" w:rsidP="00F326E5">
      <w:pPr>
        <w:pStyle w:val="NoSpacing"/>
        <w:rPr>
          <w:rFonts w:ascii="Arial Black" w:hAnsi="Arial Black"/>
          <w:sz w:val="24"/>
          <w:szCs w:val="24"/>
        </w:rPr>
      </w:pPr>
    </w:p>
    <w:p w14:paraId="6E9247C9" w14:textId="77777777" w:rsidR="00075DAE" w:rsidRDefault="00075DAE" w:rsidP="00F326E5">
      <w:pPr>
        <w:pStyle w:val="NoSpacing"/>
        <w:rPr>
          <w:rFonts w:ascii="Arial Black" w:hAnsi="Arial Black"/>
          <w:sz w:val="24"/>
          <w:szCs w:val="24"/>
        </w:rPr>
      </w:pPr>
    </w:p>
    <w:p w14:paraId="71A873EF" w14:textId="64215A4E" w:rsidR="002F7B74" w:rsidRDefault="000518BE" w:rsidP="00F326E5">
      <w:pPr>
        <w:pStyle w:val="NoSpacing"/>
        <w:rPr>
          <w:rFonts w:ascii="Arial Black" w:hAnsi="Arial Black"/>
          <w:sz w:val="24"/>
          <w:szCs w:val="24"/>
        </w:rPr>
      </w:pPr>
      <w:r>
        <w:rPr>
          <w:rFonts w:ascii="Arial Black" w:hAnsi="Arial Black"/>
          <w:sz w:val="24"/>
          <w:szCs w:val="24"/>
        </w:rPr>
        <w:t>17-35</w:t>
      </w:r>
    </w:p>
    <w:p w14:paraId="6DF2BBAE" w14:textId="77777777" w:rsidR="000518BE" w:rsidRDefault="000518BE" w:rsidP="000518BE">
      <w:pPr>
        <w:pStyle w:val="NormalWeb"/>
        <w:rPr>
          <w:rFonts w:ascii="Arial Black" w:hAnsi="Arial Black"/>
          <w:b/>
          <w:bCs/>
          <w:sz w:val="28"/>
          <w:szCs w:val="28"/>
        </w:rPr>
      </w:pPr>
      <w:r>
        <w:rPr>
          <w:rFonts w:ascii="Arial Black" w:hAnsi="Arial Black"/>
          <w:b/>
          <w:bCs/>
          <w:sz w:val="28"/>
          <w:szCs w:val="28"/>
        </w:rPr>
        <w:t>AR: UNION VP TOLD CITY IAFF PLANS LAWSUIT – VP FIRED FOR ALLEGED “LYING” JOB APPLICATION - CASE PROCEED</w:t>
      </w:r>
    </w:p>
    <w:p w14:paraId="783A4194" w14:textId="1416F83A" w:rsidR="000518BE" w:rsidRDefault="000518BE" w:rsidP="000518BE">
      <w:pPr>
        <w:pStyle w:val="NoSpacing"/>
        <w:rPr>
          <w:rStyle w:val="Hyperlink"/>
          <w:rFonts w:ascii="Times New Roman" w:hAnsi="Times New Roman"/>
          <w:sz w:val="24"/>
          <w:szCs w:val="24"/>
        </w:rPr>
      </w:pPr>
      <w:r w:rsidRPr="000518BE">
        <w:rPr>
          <w:rFonts w:ascii="Times New Roman" w:hAnsi="Times New Roman"/>
          <w:sz w:val="24"/>
          <w:szCs w:val="24"/>
        </w:rPr>
        <w:t xml:space="preserve">On Oct. 13, 2023, in </w:t>
      </w:r>
      <w:r w:rsidRPr="000518BE">
        <w:rPr>
          <w:rFonts w:ascii="Times New Roman" w:hAnsi="Times New Roman"/>
          <w:sz w:val="24"/>
          <w:szCs w:val="24"/>
          <w:u w:val="single"/>
        </w:rPr>
        <w:t>Shannon Glynn v. City of El Mirage</w:t>
      </w:r>
      <w:r w:rsidRPr="000518BE">
        <w:rPr>
          <w:rFonts w:ascii="Times New Roman" w:hAnsi="Times New Roman"/>
          <w:sz w:val="24"/>
          <w:szCs w:val="24"/>
        </w:rPr>
        <w:t xml:space="preserve">, U.S. District Court Judge Michael T. Liburdi, U.S. District Court for District of Arizona, denied the defense motion for summary judgment on some of the firefighter’s claims.  He had worked at Buckeye FD for 26 years, and in his application to El Mirage FD he disclosed that he resigned in lieu of termination after a citizen complaint. In </w:t>
      </w:r>
      <w:proofErr w:type="gramStart"/>
      <w:r w:rsidRPr="000518BE">
        <w:rPr>
          <w:rFonts w:ascii="Times New Roman" w:hAnsi="Times New Roman"/>
          <w:sz w:val="24"/>
          <w:szCs w:val="24"/>
        </w:rPr>
        <w:t>March,</w:t>
      </w:r>
      <w:proofErr w:type="gramEnd"/>
      <w:r w:rsidRPr="000518BE">
        <w:rPr>
          <w:rFonts w:ascii="Times New Roman" w:hAnsi="Times New Roman"/>
          <w:sz w:val="24"/>
          <w:szCs w:val="24"/>
        </w:rPr>
        <w:t xml:space="preserve"> 2021, he interviewed with the City Hiring Board where he explained that his Buckeye Fire Department resignation related to an incident involving a former girlfriend and her ex-husband (the ‘Buckeye Incident’). He was hired – one-year probationary period - and then promoted in Oct. 2021 as a fire engineer – another one-year probation – and he again disclosed the Buckeye Incident. The Court held: “Drawing all reasonable inferences in Mr. Glynn's favor, and as further explained below, the Court finds that Mr. Glynn pleads sufficient factual allegations to support ‘a series of acts’ that could establish a ‘causal connection’ between Defendants' wrongful conduct and the constitutional violations.” </w:t>
      </w:r>
      <w:hyperlink r:id="rId2924" w:history="1">
        <w:r w:rsidRPr="000518BE">
          <w:rPr>
            <w:rStyle w:val="Hyperlink"/>
            <w:rFonts w:ascii="Times New Roman" w:hAnsi="Times New Roman"/>
            <w:sz w:val="24"/>
            <w:szCs w:val="24"/>
          </w:rPr>
          <w:t>https://cases.justia.com/federal/district-courts/arizona/azdce/2:2023cv00612/1330978/17/0.pdf?ts=1697297155</w:t>
        </w:r>
      </w:hyperlink>
    </w:p>
    <w:p w14:paraId="578145D5" w14:textId="77777777" w:rsidR="000518BE" w:rsidRDefault="000518BE" w:rsidP="000518BE">
      <w:pPr>
        <w:pStyle w:val="NormalWeb"/>
        <w:rPr>
          <w:b/>
          <w:bCs/>
        </w:rPr>
      </w:pPr>
      <w:r>
        <w:rPr>
          <w:b/>
          <w:bCs/>
        </w:rPr>
        <w:t xml:space="preserve">Legal Lesson Learned: Facts alleged by VP certainly raises possible constitutional violations.  </w:t>
      </w:r>
    </w:p>
    <w:p w14:paraId="1254BA71" w14:textId="77777777" w:rsidR="000518BE" w:rsidRDefault="000518BE" w:rsidP="000518BE">
      <w:pPr>
        <w:pStyle w:val="NoSpacing"/>
        <w:rPr>
          <w:rFonts w:ascii="Times New Roman" w:hAnsi="Times New Roman"/>
          <w:sz w:val="24"/>
          <w:szCs w:val="24"/>
        </w:rPr>
      </w:pPr>
    </w:p>
    <w:p w14:paraId="6B3F5CDA" w14:textId="0A97961A" w:rsidR="000518BE" w:rsidRDefault="000518BE" w:rsidP="00F326E5">
      <w:pPr>
        <w:pStyle w:val="NoSpacing"/>
        <w:rPr>
          <w:rFonts w:ascii="Arial Black" w:hAnsi="Arial Black"/>
          <w:sz w:val="24"/>
          <w:szCs w:val="24"/>
        </w:rPr>
      </w:pPr>
      <w:r>
        <w:rPr>
          <w:rFonts w:ascii="Arial Black" w:hAnsi="Arial Black"/>
          <w:sz w:val="24"/>
          <w:szCs w:val="24"/>
        </w:rPr>
        <w:t>17-34</w:t>
      </w:r>
    </w:p>
    <w:p w14:paraId="09FD7F42" w14:textId="77777777" w:rsidR="000518BE" w:rsidRDefault="000518BE" w:rsidP="00F326E5">
      <w:pPr>
        <w:pStyle w:val="NoSpacing"/>
        <w:rPr>
          <w:rFonts w:ascii="Arial Black" w:hAnsi="Arial Black"/>
          <w:sz w:val="24"/>
          <w:szCs w:val="24"/>
        </w:rPr>
      </w:pPr>
    </w:p>
    <w:p w14:paraId="4E2EF1D7" w14:textId="77777777" w:rsidR="000518BE" w:rsidRDefault="000518BE" w:rsidP="000518BE">
      <w:pPr>
        <w:pStyle w:val="NormalWeb"/>
        <w:rPr>
          <w:rFonts w:ascii="Arial Black" w:hAnsi="Arial Black"/>
          <w:sz w:val="28"/>
          <w:szCs w:val="28"/>
        </w:rPr>
      </w:pPr>
      <w:r>
        <w:rPr>
          <w:rFonts w:ascii="Arial Black" w:hAnsi="Arial Black"/>
          <w:sz w:val="28"/>
          <w:szCs w:val="28"/>
        </w:rPr>
        <w:t xml:space="preserve">NJ: ARBITRATION AWARD TO TOWNSHIP SET ASIDE – TWP ADMIN. MUST TESTIFY PLAN TO STOP EMS RESPONSE  </w:t>
      </w:r>
    </w:p>
    <w:p w14:paraId="0B74D23B" w14:textId="7A0091FB" w:rsidR="000518BE" w:rsidRPr="000518BE" w:rsidRDefault="000518BE" w:rsidP="000518BE">
      <w:pPr>
        <w:pStyle w:val="NoSpacing"/>
        <w:rPr>
          <w:rFonts w:ascii="Times New Roman" w:hAnsi="Times New Roman"/>
          <w:sz w:val="24"/>
          <w:szCs w:val="24"/>
        </w:rPr>
      </w:pPr>
      <w:r w:rsidRPr="000518BE">
        <w:rPr>
          <w:rFonts w:ascii="Times New Roman" w:hAnsi="Times New Roman"/>
          <w:sz w:val="24"/>
          <w:szCs w:val="24"/>
        </w:rPr>
        <w:t xml:space="preserve">On Oct. 10, 2023, in </w:t>
      </w:r>
      <w:r w:rsidRPr="000518BE">
        <w:rPr>
          <w:rFonts w:ascii="Times New Roman" w:hAnsi="Times New Roman"/>
          <w:sz w:val="24"/>
          <w:szCs w:val="24"/>
          <w:u w:val="single"/>
        </w:rPr>
        <w:t>International Association of Fire Fighters, Local 1197 v. Township of Edison</w:t>
      </w:r>
      <w:r w:rsidRPr="000518BE">
        <w:rPr>
          <w:rFonts w:ascii="Times New Roman" w:hAnsi="Times New Roman"/>
          <w:sz w:val="24"/>
          <w:szCs w:val="24"/>
        </w:rPr>
        <w:t xml:space="preserve">, the Superior Court of New Jersey, Appellate Division, held (2 to 0) that arbitrator’s decision denying Local’s grievance which trial court affirmed, is reversed.  The Court held: “During oral argument [before trial court], petitioner's counsel asserted that ‘in support of a final offer,’ the Township business administrator on March 13, 2018, had stated ‘in front of everybody’ that ‘the Fire Department was no longer needed for EMS response due to the Police Department responding to all 9-1-1 calls.’ He argued the testimony about the Township business administrator's statement was admissible because it was made ‘in support of a final offer, not a mediator settlement.’*** Because the court erred in failing to find the arbitrator had erroneously excluded the testimony about the Township's business administrator's statement, we reverse the denial of the petition to vacate the arbitration award and remand for proceeding consistent with the opinion.” </w:t>
      </w:r>
      <w:hyperlink r:id="rId2925" w:history="1">
        <w:r w:rsidRPr="000518BE">
          <w:rPr>
            <w:rStyle w:val="Hyperlink"/>
            <w:rFonts w:ascii="Times New Roman" w:hAnsi="Times New Roman"/>
            <w:sz w:val="24"/>
            <w:szCs w:val="24"/>
          </w:rPr>
          <w:t>https://cases.justia.com/new-jersey/appellate-division-unpublished/2023-a-1747-21.pdf?ts=1696950933</w:t>
        </w:r>
      </w:hyperlink>
    </w:p>
    <w:p w14:paraId="11FC6C67" w14:textId="77777777" w:rsidR="000518BE" w:rsidRDefault="000518BE" w:rsidP="00F326E5">
      <w:pPr>
        <w:pStyle w:val="NoSpacing"/>
        <w:rPr>
          <w:rFonts w:ascii="Arial Black" w:hAnsi="Arial Black"/>
          <w:sz w:val="24"/>
          <w:szCs w:val="24"/>
        </w:rPr>
      </w:pPr>
    </w:p>
    <w:p w14:paraId="5BBCEE3F" w14:textId="77777777" w:rsidR="000518BE" w:rsidRDefault="000518BE" w:rsidP="000518BE">
      <w:pPr>
        <w:spacing w:after="100" w:line="240" w:lineRule="auto"/>
        <w:rPr>
          <w:rFonts w:ascii="Times New Roman" w:hAnsi="Times New Roman"/>
          <w:b/>
          <w:bCs/>
          <w:sz w:val="24"/>
          <w:szCs w:val="24"/>
        </w:rPr>
      </w:pPr>
      <w:r>
        <w:rPr>
          <w:rFonts w:ascii="Times New Roman" w:hAnsi="Times New Roman"/>
          <w:b/>
          <w:bCs/>
          <w:sz w:val="24"/>
          <w:szCs w:val="24"/>
        </w:rPr>
        <w:t xml:space="preserve">Legal Lesson Learned: The arbitration award is now vacated; grievance to be proceed back to arbitration. </w:t>
      </w:r>
    </w:p>
    <w:p w14:paraId="7A0CDAB9" w14:textId="77777777" w:rsidR="000518BE" w:rsidRDefault="000518BE" w:rsidP="000518BE">
      <w:pPr>
        <w:spacing w:after="100" w:line="240" w:lineRule="auto"/>
        <w:rPr>
          <w:rFonts w:ascii="Times New Roman" w:hAnsi="Times New Roman"/>
          <w:b/>
          <w:bCs/>
          <w:sz w:val="24"/>
          <w:szCs w:val="24"/>
        </w:rPr>
      </w:pPr>
    </w:p>
    <w:p w14:paraId="343E7936" w14:textId="77777777" w:rsidR="000518BE" w:rsidRDefault="000518BE" w:rsidP="00F326E5">
      <w:pPr>
        <w:pStyle w:val="NoSpacing"/>
        <w:rPr>
          <w:rFonts w:ascii="Arial Black" w:hAnsi="Arial Black"/>
          <w:sz w:val="24"/>
          <w:szCs w:val="24"/>
        </w:rPr>
      </w:pPr>
    </w:p>
    <w:p w14:paraId="222FB3E9" w14:textId="00F251F9" w:rsidR="002F7B74" w:rsidRDefault="002F7B74" w:rsidP="00F326E5">
      <w:pPr>
        <w:pStyle w:val="NoSpacing"/>
        <w:rPr>
          <w:rFonts w:ascii="Arial Black" w:hAnsi="Arial Black"/>
          <w:sz w:val="24"/>
          <w:szCs w:val="24"/>
        </w:rPr>
      </w:pPr>
      <w:r>
        <w:rPr>
          <w:rFonts w:ascii="Arial Black" w:hAnsi="Arial Black"/>
          <w:sz w:val="24"/>
          <w:szCs w:val="24"/>
        </w:rPr>
        <w:t>17-33</w:t>
      </w:r>
    </w:p>
    <w:p w14:paraId="73D01EE4" w14:textId="77777777" w:rsidR="002F7B74" w:rsidRPr="00F2484F" w:rsidRDefault="002F7B74" w:rsidP="002F7B74">
      <w:pPr>
        <w:pStyle w:val="NormalWeb"/>
        <w:rPr>
          <w:rFonts w:ascii="Arial Black" w:hAnsi="Arial Black"/>
          <w:b/>
          <w:bCs/>
          <w:sz w:val="28"/>
          <w:szCs w:val="28"/>
        </w:rPr>
      </w:pPr>
      <w:r>
        <w:rPr>
          <w:rFonts w:ascii="Arial Black" w:hAnsi="Arial Black"/>
          <w:b/>
          <w:bCs/>
          <w:sz w:val="28"/>
          <w:szCs w:val="28"/>
        </w:rPr>
        <w:t xml:space="preserve">OH: FIRE CHIEF “RETIRE / REHIRE” IMPROPER – CITY CIVIL SERVICE COMM. TO HOLD COMPETITVE PROMOTION EXAM </w:t>
      </w:r>
    </w:p>
    <w:p w14:paraId="123DF862" w14:textId="77777777" w:rsidR="002F7B74" w:rsidRDefault="002F7B74" w:rsidP="002F7B74">
      <w:pPr>
        <w:pStyle w:val="NormalWeb"/>
      </w:pPr>
      <w:r>
        <w:t xml:space="preserve">On Aug. 29, 2023, </w:t>
      </w:r>
      <w:r w:rsidRPr="00F2484F">
        <w:t xml:space="preserve">in </w:t>
      </w:r>
      <w:r w:rsidRPr="00C14243">
        <w:rPr>
          <w:u w:val="single"/>
        </w:rPr>
        <w:t xml:space="preserve">State ex rel. </w:t>
      </w:r>
      <w:proofErr w:type="spellStart"/>
      <w:r w:rsidRPr="00C14243">
        <w:rPr>
          <w:u w:val="single"/>
        </w:rPr>
        <w:t>Internatl</w:t>
      </w:r>
      <w:proofErr w:type="spellEnd"/>
      <w:r w:rsidRPr="00C14243">
        <w:rPr>
          <w:u w:val="single"/>
        </w:rPr>
        <w:t xml:space="preserve">. Assn. of Fire Fighters, Local 1536, AFL-CIO v. </w:t>
      </w:r>
      <w:proofErr w:type="spellStart"/>
      <w:r w:rsidRPr="00C14243">
        <w:rPr>
          <w:u w:val="single"/>
        </w:rPr>
        <w:t>Sakacs</w:t>
      </w:r>
      <w:proofErr w:type="spellEnd"/>
      <w:r w:rsidRPr="00C14243">
        <w:rPr>
          <w:u w:val="single"/>
        </w:rPr>
        <w:t>,</w:t>
      </w:r>
      <w:r>
        <w:rPr>
          <w:u w:val="single"/>
        </w:rPr>
        <w:t xml:space="preserve"> </w:t>
      </w:r>
      <w:r w:rsidRPr="00F2484F">
        <w:t>the Ohio Supreme Court</w:t>
      </w:r>
      <w:r>
        <w:rPr>
          <w:u w:val="single"/>
        </w:rPr>
        <w:t xml:space="preserve"> </w:t>
      </w:r>
      <w:r w:rsidRPr="00F2484F">
        <w:t xml:space="preserve">held (7 to 0) </w:t>
      </w:r>
      <w:r>
        <w:t xml:space="preserve">that City of Wickliffe violated Ohio Rev. Code Section 124.48, Fire Department Vacancies, when it allowed Fire Chief James Powers to retire on January 6, 2020, and then rehired him the next day so he could collect both a pension and his salary (a practice known as “double dipping”).  Court held that a “vacancy” occurred when the Fire Chief retired. </w:t>
      </w:r>
    </w:p>
    <w:p w14:paraId="6E6E7C46" w14:textId="77777777" w:rsidR="002F7B74" w:rsidRDefault="002F7B74" w:rsidP="002F7B74">
      <w:pPr>
        <w:pStyle w:val="NormalWeb"/>
        <w:ind w:left="720"/>
      </w:pPr>
      <w:r>
        <w:t>The Court held: “</w:t>
      </w:r>
      <w:r w:rsidRPr="00F2484F">
        <w:t>We conclude that under the plain language of R.C. 124.48, a vacancy occurs when the incumbent in a promoted-rank position in a fire department retires and therefore the position must be filled through the process set forth in R.C. 124.48.</w:t>
      </w:r>
      <w:r>
        <w:t>”</w:t>
      </w:r>
      <w:r w:rsidRPr="005244BC">
        <w:t xml:space="preserve"> </w:t>
      </w:r>
      <w:hyperlink r:id="rId2926" w:history="1">
        <w:r w:rsidRPr="00934E1E">
          <w:rPr>
            <w:rStyle w:val="Hyperlink"/>
            <w:rFonts w:eastAsiaTheme="majorEastAsia"/>
          </w:rPr>
          <w:t>https://www.supremecourt.ohio.gov/rod/docs/pdf/0/2023/2023-Ohio-2976.pdf</w:t>
        </w:r>
      </w:hyperlink>
      <w:r>
        <w:t xml:space="preserve"> </w:t>
      </w:r>
    </w:p>
    <w:p w14:paraId="1FA27DDF" w14:textId="77777777" w:rsidR="002F7B74" w:rsidRDefault="002F7B74" w:rsidP="002F7B74">
      <w:pPr>
        <w:pStyle w:val="NormalWeb"/>
        <w:ind w:left="720" w:firstLine="720"/>
      </w:pPr>
      <w:r>
        <w:t xml:space="preserve">Section 124.48 provides:  </w:t>
      </w:r>
      <w:hyperlink r:id="rId2927" w:history="1">
        <w:r w:rsidRPr="00934E1E">
          <w:rPr>
            <w:rStyle w:val="Hyperlink"/>
            <w:rFonts w:eastAsiaTheme="majorEastAsia"/>
          </w:rPr>
          <w:t>https://codes.ohio.gov/ohio-revised-code/section-124.48</w:t>
        </w:r>
      </w:hyperlink>
      <w:r>
        <w:t xml:space="preserve"> </w:t>
      </w:r>
    </w:p>
    <w:p w14:paraId="37C391FA" w14:textId="77777777" w:rsidR="002F7B74" w:rsidRDefault="002F7B74" w:rsidP="002F7B74">
      <w:pPr>
        <w:pStyle w:val="NormalWeb"/>
        <w:ind w:left="1440"/>
      </w:pPr>
      <w:r>
        <w:t xml:space="preserve">“Whenever a vacancy occurs in a promoted rank in a fire department and no eligible list for that rank exists, the appointing authority shall certify the fact to the civil service commission. The civil service commission, within sixty days of the vacancy, shall conduct a competitive promotional examination. After the examination has been held, an eligible list shall be established, and the civil service commission shall certify to the appointing authority the name of the person on the list receiving the highest grade. Upon the certification, the appointing authority shall appoint the person so certified within ten days. </w:t>
      </w:r>
    </w:p>
    <w:p w14:paraId="64C405F9" w14:textId="77777777" w:rsidR="002F7B74" w:rsidRDefault="002F7B74" w:rsidP="002F7B74">
      <w:pPr>
        <w:pStyle w:val="NormalWeb"/>
        <w:ind w:left="1440"/>
      </w:pPr>
      <w:r>
        <w:t>When an eligible list exists and a vacancy occurs in a position for which the list was established, the appointing authority shall certify the fact to the civil service commission. The person standing highest on the list shall be certified to the appointing authority, and that person shall be appointed within ten days.”</w:t>
      </w:r>
    </w:p>
    <w:p w14:paraId="4BEAB88E" w14:textId="77777777" w:rsidR="002F7B74" w:rsidRPr="004168A4" w:rsidRDefault="002F7B74" w:rsidP="002F7B74">
      <w:pPr>
        <w:pStyle w:val="NoSpacing"/>
        <w:rPr>
          <w:rFonts w:ascii="Times New Roman" w:hAnsi="Times New Roman"/>
          <w:b/>
          <w:bCs/>
          <w:sz w:val="24"/>
          <w:szCs w:val="24"/>
        </w:rPr>
      </w:pPr>
      <w:r w:rsidRPr="004168A4">
        <w:rPr>
          <w:rFonts w:ascii="Times New Roman" w:hAnsi="Times New Roman"/>
          <w:b/>
          <w:bCs/>
          <w:sz w:val="24"/>
          <w:szCs w:val="24"/>
        </w:rPr>
        <w:t>Legal Lesson Learned:</w:t>
      </w:r>
      <w:r>
        <w:rPr>
          <w:rFonts w:ascii="Times New Roman" w:hAnsi="Times New Roman"/>
          <w:b/>
          <w:bCs/>
          <w:sz w:val="24"/>
          <w:szCs w:val="24"/>
        </w:rPr>
        <w:t xml:space="preserve">  This decision impacts all Ohio cities and other political subdivisions with fire officials in a classified civil service position. </w:t>
      </w:r>
    </w:p>
    <w:p w14:paraId="06B70139" w14:textId="77777777" w:rsidR="002F7B74" w:rsidRDefault="002F7B74" w:rsidP="002F7B74">
      <w:pPr>
        <w:pStyle w:val="Heading2"/>
      </w:pPr>
      <w:r>
        <w:tab/>
      </w:r>
    </w:p>
    <w:p w14:paraId="35B68ED2" w14:textId="77777777" w:rsidR="002F7B74" w:rsidRPr="002F7B74" w:rsidRDefault="002F7B74" w:rsidP="002F7B74">
      <w:pPr>
        <w:pStyle w:val="Heading2"/>
        <w:ind w:left="720"/>
        <w:rPr>
          <w:rFonts w:ascii="Times New Roman" w:hAnsi="Times New Roman"/>
          <w:b w:val="0"/>
          <w:bCs w:val="0"/>
          <w:i w:val="0"/>
          <w:iCs w:val="0"/>
          <w:sz w:val="24"/>
          <w:szCs w:val="24"/>
        </w:rPr>
      </w:pPr>
      <w:r w:rsidRPr="002F7B74">
        <w:rPr>
          <w:rFonts w:ascii="Times New Roman" w:hAnsi="Times New Roman"/>
          <w:b w:val="0"/>
          <w:bCs w:val="0"/>
          <w:i w:val="0"/>
          <w:iCs w:val="0"/>
          <w:sz w:val="24"/>
          <w:szCs w:val="24"/>
        </w:rPr>
        <w:t xml:space="preserve">Note:  See Aug. 29, </w:t>
      </w:r>
      <w:proofErr w:type="gramStart"/>
      <w:r w:rsidRPr="002F7B74">
        <w:rPr>
          <w:rFonts w:ascii="Times New Roman" w:hAnsi="Times New Roman"/>
          <w:b w:val="0"/>
          <w:bCs w:val="0"/>
          <w:i w:val="0"/>
          <w:iCs w:val="0"/>
          <w:sz w:val="24"/>
          <w:szCs w:val="24"/>
        </w:rPr>
        <w:t>2023</w:t>
      </w:r>
      <w:proofErr w:type="gramEnd"/>
      <w:r w:rsidRPr="002F7B74">
        <w:rPr>
          <w:rFonts w:ascii="Times New Roman" w:hAnsi="Times New Roman"/>
          <w:b w:val="0"/>
          <w:bCs w:val="0"/>
          <w:i w:val="0"/>
          <w:iCs w:val="0"/>
          <w:sz w:val="24"/>
          <w:szCs w:val="24"/>
        </w:rPr>
        <w:t xml:space="preserve"> article, ‘Retire/Rehire’ Plan Violated Civil Service Law.” </w:t>
      </w:r>
      <w:hyperlink r:id="rId2928" w:history="1">
        <w:r w:rsidRPr="002F7B74">
          <w:rPr>
            <w:rStyle w:val="Hyperlink"/>
            <w:rFonts w:ascii="Times New Roman" w:hAnsi="Times New Roman"/>
            <w:b w:val="0"/>
            <w:bCs w:val="0"/>
            <w:i w:val="0"/>
            <w:iCs w:val="0"/>
            <w:sz w:val="24"/>
            <w:szCs w:val="24"/>
          </w:rPr>
          <w:t>https://www.courtnewsohio.gov/cases/2023/SCO/0829/220988.asp</w:t>
        </w:r>
      </w:hyperlink>
      <w:r w:rsidRPr="002F7B74">
        <w:rPr>
          <w:rFonts w:ascii="Times New Roman" w:hAnsi="Times New Roman"/>
          <w:b w:val="0"/>
          <w:bCs w:val="0"/>
          <w:i w:val="0"/>
          <w:iCs w:val="0"/>
          <w:sz w:val="24"/>
          <w:szCs w:val="24"/>
        </w:rPr>
        <w:t xml:space="preserve"> </w:t>
      </w:r>
    </w:p>
    <w:p w14:paraId="3791E116" w14:textId="77777777" w:rsidR="002F7B74" w:rsidRPr="002F7B74" w:rsidRDefault="002F7B74" w:rsidP="002F7B74">
      <w:pPr>
        <w:spacing w:before="100" w:beforeAutospacing="1" w:after="100" w:afterAutospacing="1" w:line="240" w:lineRule="auto"/>
        <w:jc w:val="center"/>
        <w:rPr>
          <w:rFonts w:ascii="Times New Roman" w:eastAsia="Times New Roman" w:hAnsi="Times New Roman"/>
          <w:b/>
          <w:bCs/>
          <w:sz w:val="24"/>
          <w:szCs w:val="24"/>
        </w:rPr>
      </w:pPr>
    </w:p>
    <w:p w14:paraId="08C11F08" w14:textId="77777777" w:rsidR="002F7B74" w:rsidRDefault="002F7B74" w:rsidP="00F326E5">
      <w:pPr>
        <w:pStyle w:val="NoSpacing"/>
        <w:rPr>
          <w:rFonts w:ascii="Arial Black" w:hAnsi="Arial Black"/>
          <w:sz w:val="24"/>
          <w:szCs w:val="24"/>
        </w:rPr>
      </w:pPr>
    </w:p>
    <w:p w14:paraId="5F8C7D72" w14:textId="77777777" w:rsidR="002F7B74" w:rsidRDefault="002F7B74" w:rsidP="00F326E5">
      <w:pPr>
        <w:pStyle w:val="NoSpacing"/>
        <w:rPr>
          <w:rFonts w:ascii="Arial Black" w:hAnsi="Arial Black"/>
          <w:sz w:val="24"/>
          <w:szCs w:val="24"/>
        </w:rPr>
      </w:pPr>
    </w:p>
    <w:p w14:paraId="5D714CF9" w14:textId="5F97D9D4" w:rsidR="00D33F96" w:rsidRDefault="0055155D" w:rsidP="00F326E5">
      <w:pPr>
        <w:pStyle w:val="NoSpacing"/>
        <w:rPr>
          <w:rFonts w:ascii="Arial Black" w:hAnsi="Arial Black"/>
          <w:sz w:val="24"/>
          <w:szCs w:val="24"/>
        </w:rPr>
      </w:pPr>
      <w:r>
        <w:rPr>
          <w:rFonts w:ascii="Arial Black" w:hAnsi="Arial Black"/>
          <w:sz w:val="24"/>
          <w:szCs w:val="24"/>
        </w:rPr>
        <w:t>17-32</w:t>
      </w:r>
    </w:p>
    <w:p w14:paraId="1A2B75FF" w14:textId="77777777" w:rsidR="0055155D" w:rsidRDefault="0055155D" w:rsidP="00F326E5">
      <w:pPr>
        <w:pStyle w:val="NoSpacing"/>
        <w:rPr>
          <w:rFonts w:ascii="Arial Black" w:hAnsi="Arial Black"/>
          <w:sz w:val="24"/>
          <w:szCs w:val="24"/>
        </w:rPr>
      </w:pPr>
    </w:p>
    <w:p w14:paraId="20022481" w14:textId="77777777" w:rsidR="0055155D" w:rsidRDefault="0055155D" w:rsidP="0055155D">
      <w:pPr>
        <w:spacing w:after="100" w:line="240" w:lineRule="auto"/>
      </w:pPr>
      <w:r>
        <w:rPr>
          <w:rFonts w:ascii="Arial Black" w:hAnsi="Arial Black"/>
          <w:sz w:val="28"/>
          <w:szCs w:val="28"/>
        </w:rPr>
        <w:t>RI:  UNDER CBA - TOWN / UNION SELECTED NEUTRAL 3</w:t>
      </w:r>
      <w:r w:rsidRPr="0024198A">
        <w:rPr>
          <w:rFonts w:ascii="Arial Black" w:hAnsi="Arial Black"/>
          <w:sz w:val="28"/>
          <w:szCs w:val="28"/>
          <w:vertAlign w:val="superscript"/>
        </w:rPr>
        <w:t>rd</w:t>
      </w:r>
      <w:r>
        <w:rPr>
          <w:rFonts w:ascii="Arial Black" w:hAnsi="Arial Black"/>
          <w:sz w:val="28"/>
          <w:szCs w:val="28"/>
        </w:rPr>
        <w:t xml:space="preserve"> PARTY PHYSICIAN - CHEST PAINS NOT JOB RELATED</w:t>
      </w:r>
    </w:p>
    <w:p w14:paraId="0D3F23D6" w14:textId="77777777" w:rsidR="0055155D" w:rsidRDefault="0055155D" w:rsidP="0055155D">
      <w:pPr>
        <w:spacing w:after="100" w:line="240" w:lineRule="auto"/>
        <w:rPr>
          <w:rFonts w:ascii="Times New Roman" w:hAnsi="Times New Roman"/>
          <w:sz w:val="24"/>
          <w:szCs w:val="24"/>
        </w:rPr>
      </w:pPr>
      <w:r>
        <w:rPr>
          <w:rFonts w:ascii="Times New Roman" w:hAnsi="Times New Roman"/>
          <w:sz w:val="24"/>
          <w:szCs w:val="24"/>
        </w:rPr>
        <w:t xml:space="preserve">On Aug. 21, 2023, in </w:t>
      </w:r>
      <w:r w:rsidRPr="004B5612">
        <w:rPr>
          <w:rFonts w:ascii="Times New Roman" w:hAnsi="Times New Roman"/>
          <w:sz w:val="24"/>
          <w:szCs w:val="24"/>
          <w:u w:val="single"/>
        </w:rPr>
        <w:t>Fred Melnyk v, Town of Little Compton</w:t>
      </w:r>
      <w:r>
        <w:rPr>
          <w:rFonts w:ascii="Times New Roman" w:hAnsi="Times New Roman"/>
          <w:sz w:val="24"/>
          <w:szCs w:val="24"/>
        </w:rPr>
        <w:t xml:space="preserve">, the U.S. Court of Appeals for First District (Boston) held (3 to 0; unpublished decision) that trial court judge granted Town’s motion for summary judgment.  The FF was put on Administrative Leave for chest pains from April 13, </w:t>
      </w:r>
      <w:proofErr w:type="gramStart"/>
      <w:r>
        <w:rPr>
          <w:rFonts w:ascii="Times New Roman" w:hAnsi="Times New Roman"/>
          <w:sz w:val="24"/>
          <w:szCs w:val="24"/>
        </w:rPr>
        <w:t>2028</w:t>
      </w:r>
      <w:proofErr w:type="gramEnd"/>
      <w:r>
        <w:rPr>
          <w:rFonts w:ascii="Times New Roman" w:hAnsi="Times New Roman"/>
          <w:sz w:val="24"/>
          <w:szCs w:val="24"/>
        </w:rPr>
        <w:t xml:space="preserve"> until termination in </w:t>
      </w:r>
      <w:proofErr w:type="gramStart"/>
      <w:r>
        <w:rPr>
          <w:rFonts w:ascii="Times New Roman" w:hAnsi="Times New Roman"/>
          <w:sz w:val="24"/>
          <w:szCs w:val="24"/>
        </w:rPr>
        <w:t>March,</w:t>
      </w:r>
      <w:proofErr w:type="gramEnd"/>
      <w:r>
        <w:rPr>
          <w:rFonts w:ascii="Times New Roman" w:hAnsi="Times New Roman"/>
          <w:sz w:val="24"/>
          <w:szCs w:val="24"/>
        </w:rPr>
        <w:t xml:space="preserve"> 2019. There was no breach of the Collective Bargaining Agreement since the CBA provides that when FF’s physician, and Town’s physician disagree on cause of a firefighter’s medical issue, the Town and the Union shall select a neutral 3</w:t>
      </w:r>
      <w:r w:rsidRPr="00B40900">
        <w:rPr>
          <w:rFonts w:ascii="Times New Roman" w:hAnsi="Times New Roman"/>
          <w:sz w:val="24"/>
          <w:szCs w:val="24"/>
          <w:vertAlign w:val="superscript"/>
        </w:rPr>
        <w:t>rd</w:t>
      </w:r>
      <w:r>
        <w:rPr>
          <w:rFonts w:ascii="Times New Roman" w:hAnsi="Times New Roman"/>
          <w:sz w:val="24"/>
          <w:szCs w:val="24"/>
        </w:rPr>
        <w:t xml:space="preserve"> physician whose decision is binding.  That 3</w:t>
      </w:r>
      <w:r w:rsidRPr="001E2B05">
        <w:rPr>
          <w:rFonts w:ascii="Times New Roman" w:hAnsi="Times New Roman"/>
          <w:sz w:val="24"/>
          <w:szCs w:val="24"/>
          <w:vertAlign w:val="superscript"/>
        </w:rPr>
        <w:t>rd</w:t>
      </w:r>
      <w:r>
        <w:rPr>
          <w:rFonts w:ascii="Times New Roman" w:hAnsi="Times New Roman"/>
          <w:sz w:val="24"/>
          <w:szCs w:val="24"/>
        </w:rPr>
        <w:t xml:space="preserve"> physician concluded chest pain </w:t>
      </w:r>
      <w:proofErr w:type="gramStart"/>
      <w:r>
        <w:rPr>
          <w:rFonts w:ascii="Times New Roman" w:hAnsi="Times New Roman"/>
          <w:sz w:val="24"/>
          <w:szCs w:val="24"/>
        </w:rPr>
        <w:t>not</w:t>
      </w:r>
      <w:proofErr w:type="gramEnd"/>
      <w:r>
        <w:rPr>
          <w:rFonts w:ascii="Times New Roman" w:hAnsi="Times New Roman"/>
          <w:sz w:val="24"/>
          <w:szCs w:val="24"/>
        </w:rPr>
        <w:t xml:space="preserve"> caused by the job. </w:t>
      </w:r>
    </w:p>
    <w:p w14:paraId="4A4E7A58" w14:textId="77777777" w:rsidR="0055155D" w:rsidRDefault="0055155D" w:rsidP="0055155D">
      <w:pPr>
        <w:spacing w:after="100" w:line="240" w:lineRule="auto"/>
        <w:rPr>
          <w:rFonts w:ascii="Times New Roman" w:hAnsi="Times New Roman"/>
          <w:sz w:val="24"/>
          <w:szCs w:val="24"/>
        </w:rPr>
      </w:pPr>
      <w:r>
        <w:rPr>
          <w:rFonts w:ascii="Times New Roman" w:hAnsi="Times New Roman"/>
          <w:sz w:val="24"/>
          <w:szCs w:val="24"/>
        </w:rPr>
        <w:tab/>
        <w:t>The Court held:</w:t>
      </w:r>
    </w:p>
    <w:p w14:paraId="3FB86540" w14:textId="77777777" w:rsidR="0055155D" w:rsidRDefault="0055155D" w:rsidP="0055155D">
      <w:pPr>
        <w:spacing w:after="100" w:line="240" w:lineRule="auto"/>
        <w:ind w:left="720"/>
        <w:rPr>
          <w:rFonts w:ascii="Times New Roman" w:hAnsi="Times New Roman"/>
          <w:sz w:val="24"/>
          <w:szCs w:val="24"/>
        </w:rPr>
      </w:pPr>
      <w:r>
        <w:rPr>
          <w:rFonts w:ascii="Times New Roman" w:hAnsi="Times New Roman"/>
          <w:sz w:val="24"/>
          <w:szCs w:val="24"/>
        </w:rPr>
        <w:t>“</w:t>
      </w:r>
      <w:r w:rsidRPr="00B40900">
        <w:rPr>
          <w:rFonts w:ascii="Times New Roman" w:hAnsi="Times New Roman"/>
          <w:sz w:val="24"/>
          <w:szCs w:val="24"/>
        </w:rPr>
        <w:t xml:space="preserve">Melnyk appears to take issue with the form of the opinion rendered by the Town's physician, highlighting how the physician's treatment notes from Melnyk's exam say nothing about whether Melnyk's ailment was job-related. The MOA, however, does not dictate the form of the physician's opinion or prohibit the Town's physician from rendering his opinion after, rather than contemporaneously with, Melnyk's office visit. Moreover, both the Town and the Union agreed that the note from the Town's physician was satisfactory and triggered the need for a third opinion. At bottom, Melnyk has not put forth any evidence to show that the note from the Town's physician did not mean what it said -- his </w:t>
      </w:r>
      <w:r>
        <w:rPr>
          <w:rFonts w:ascii="Times New Roman" w:hAnsi="Times New Roman"/>
          <w:sz w:val="24"/>
          <w:szCs w:val="24"/>
        </w:rPr>
        <w:t>‘</w:t>
      </w:r>
      <w:r w:rsidRPr="00B40900">
        <w:rPr>
          <w:rFonts w:ascii="Times New Roman" w:hAnsi="Times New Roman"/>
          <w:sz w:val="24"/>
          <w:szCs w:val="24"/>
        </w:rPr>
        <w:t>opinion is that [Melnyk's injury] [was] not job-related.</w:t>
      </w:r>
      <w:r>
        <w:rPr>
          <w:rFonts w:ascii="Times New Roman" w:hAnsi="Times New Roman"/>
          <w:sz w:val="24"/>
          <w:szCs w:val="24"/>
        </w:rPr>
        <w:t>’</w:t>
      </w:r>
      <w:r w:rsidRPr="00B40900">
        <w:rPr>
          <w:rFonts w:ascii="Times New Roman" w:hAnsi="Times New Roman"/>
          <w:sz w:val="24"/>
          <w:szCs w:val="24"/>
        </w:rPr>
        <w:t xml:space="preserve"> As such, there is no genuine issue of material fact as to whether the defendants breached the MOA by not obtaining an opinion from the Town's physician.</w:t>
      </w:r>
    </w:p>
    <w:p w14:paraId="20111594" w14:textId="77777777" w:rsidR="0055155D" w:rsidRDefault="0055155D" w:rsidP="0055155D">
      <w:pPr>
        <w:spacing w:after="100" w:line="240" w:lineRule="auto"/>
        <w:ind w:left="720"/>
        <w:rPr>
          <w:rFonts w:ascii="Times New Roman" w:hAnsi="Times New Roman"/>
          <w:sz w:val="24"/>
          <w:szCs w:val="24"/>
        </w:rPr>
      </w:pPr>
      <w:r>
        <w:rPr>
          <w:rFonts w:ascii="Times New Roman" w:hAnsi="Times New Roman"/>
          <w:sz w:val="24"/>
          <w:szCs w:val="24"/>
        </w:rPr>
        <w:t>***</w:t>
      </w:r>
    </w:p>
    <w:p w14:paraId="4A7593A0" w14:textId="77777777" w:rsidR="0055155D" w:rsidRPr="00B40900" w:rsidRDefault="0055155D" w:rsidP="0055155D">
      <w:pPr>
        <w:spacing w:after="100" w:line="240" w:lineRule="auto"/>
        <w:ind w:left="720"/>
        <w:rPr>
          <w:rFonts w:ascii="Times New Roman" w:hAnsi="Times New Roman"/>
          <w:sz w:val="24"/>
          <w:szCs w:val="24"/>
        </w:rPr>
      </w:pPr>
      <w:r w:rsidRPr="00B40900">
        <w:rPr>
          <w:rFonts w:ascii="Times New Roman" w:hAnsi="Times New Roman"/>
          <w:sz w:val="24"/>
          <w:szCs w:val="24"/>
        </w:rPr>
        <w:t>A third physician was selected by the Town and the Union, and he opined that Melnyk's condition was not job-related. Consequently, Melnyk was assessed sick time for time missed. In March 2019, having exhausted his remaining leave time and being unable to return to his duties, Melnyk was terminated.</w:t>
      </w:r>
      <w:r>
        <w:rPr>
          <w:rFonts w:ascii="Times New Roman" w:hAnsi="Times New Roman"/>
          <w:sz w:val="24"/>
          <w:szCs w:val="24"/>
        </w:rPr>
        <w:t xml:space="preserve">” </w:t>
      </w:r>
      <w:hyperlink r:id="rId2929" w:history="1">
        <w:r w:rsidRPr="00CD12AF">
          <w:rPr>
            <w:rStyle w:val="Hyperlink"/>
            <w:rFonts w:ascii="Times New Roman" w:hAnsi="Times New Roman"/>
            <w:sz w:val="24"/>
            <w:szCs w:val="24"/>
          </w:rPr>
          <w:t>http://media.ca1.uscourts.gov/pdf.opinions/22-1320U-01A.pdf</w:t>
        </w:r>
      </w:hyperlink>
      <w:r>
        <w:rPr>
          <w:rFonts w:ascii="Times New Roman" w:hAnsi="Times New Roman"/>
          <w:sz w:val="24"/>
          <w:szCs w:val="24"/>
        </w:rPr>
        <w:t xml:space="preserve"> </w:t>
      </w:r>
    </w:p>
    <w:p w14:paraId="1BAD3832" w14:textId="77777777" w:rsidR="0055155D" w:rsidRDefault="0055155D" w:rsidP="0055155D">
      <w:pPr>
        <w:spacing w:after="100" w:line="240" w:lineRule="auto"/>
        <w:rPr>
          <w:rFonts w:ascii="Times New Roman" w:hAnsi="Times New Roman"/>
          <w:sz w:val="24"/>
          <w:szCs w:val="24"/>
        </w:rPr>
      </w:pPr>
    </w:p>
    <w:p w14:paraId="2E9C301D" w14:textId="77777777" w:rsidR="0055155D" w:rsidRDefault="0055155D" w:rsidP="0055155D">
      <w:pPr>
        <w:pStyle w:val="NormalWeb"/>
      </w:pPr>
      <w:r w:rsidRPr="001E2B05">
        <w:rPr>
          <w:b/>
          <w:bCs/>
        </w:rPr>
        <w:t xml:space="preserve">Legal Lesson Learned: </w:t>
      </w:r>
      <w:r>
        <w:rPr>
          <w:b/>
          <w:bCs/>
        </w:rPr>
        <w:t>Selection by Town and Union of a neutral third physician was consistent with CBA.</w:t>
      </w:r>
    </w:p>
    <w:p w14:paraId="7BD11AE8" w14:textId="77777777" w:rsidR="0055155D" w:rsidRDefault="0055155D" w:rsidP="00F326E5">
      <w:pPr>
        <w:pStyle w:val="NoSpacing"/>
        <w:rPr>
          <w:rFonts w:ascii="Arial Black" w:hAnsi="Arial Black"/>
          <w:sz w:val="24"/>
          <w:szCs w:val="24"/>
        </w:rPr>
      </w:pPr>
    </w:p>
    <w:p w14:paraId="255C0642" w14:textId="77777777" w:rsidR="00D33F96" w:rsidRDefault="00D33F96" w:rsidP="00F326E5">
      <w:pPr>
        <w:pStyle w:val="NoSpacing"/>
        <w:rPr>
          <w:rFonts w:ascii="Arial Black" w:hAnsi="Arial Black"/>
          <w:sz w:val="24"/>
          <w:szCs w:val="24"/>
        </w:rPr>
      </w:pPr>
    </w:p>
    <w:p w14:paraId="0F0F466D" w14:textId="3B23C4DE" w:rsidR="00D33F96" w:rsidRDefault="00D33F96" w:rsidP="00F326E5">
      <w:pPr>
        <w:pStyle w:val="NoSpacing"/>
        <w:rPr>
          <w:rFonts w:ascii="Arial Black" w:hAnsi="Arial Black"/>
          <w:sz w:val="24"/>
          <w:szCs w:val="24"/>
        </w:rPr>
      </w:pPr>
      <w:r>
        <w:rPr>
          <w:rFonts w:ascii="Arial Black" w:hAnsi="Arial Black"/>
          <w:sz w:val="24"/>
          <w:szCs w:val="24"/>
        </w:rPr>
        <w:t>17-31</w:t>
      </w:r>
    </w:p>
    <w:p w14:paraId="5588F274" w14:textId="77777777" w:rsidR="00D33F96" w:rsidRDefault="00D33F96" w:rsidP="00D33F96">
      <w:pPr>
        <w:spacing w:before="100" w:beforeAutospacing="1" w:after="100" w:afterAutospacing="1" w:line="240" w:lineRule="auto"/>
        <w:rPr>
          <w:rFonts w:ascii="Arial Black" w:hAnsi="Arial Black"/>
          <w:sz w:val="28"/>
          <w:szCs w:val="28"/>
        </w:rPr>
      </w:pPr>
      <w:r>
        <w:rPr>
          <w:rFonts w:ascii="Arial Black" w:hAnsi="Arial Black"/>
          <w:sz w:val="28"/>
          <w:szCs w:val="28"/>
        </w:rPr>
        <w:t>OH: YOUNGSTOWN CAPT. – DENIED PROMOTION – UNDER CBA ARBITRATION ONLY REMEDY – EVEN DELAYED UNION</w:t>
      </w:r>
    </w:p>
    <w:p w14:paraId="01CA3F3C" w14:textId="77777777" w:rsidR="00D33F96" w:rsidRDefault="00D33F96" w:rsidP="00D33F9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6, 2023, in </w:t>
      </w:r>
      <w:r w:rsidRPr="001F7141">
        <w:rPr>
          <w:rFonts w:ascii="Times New Roman" w:hAnsi="Times New Roman"/>
          <w:sz w:val="24"/>
          <w:szCs w:val="24"/>
          <w:u w:val="single"/>
        </w:rPr>
        <w:t>The State ex rel. Casey et al. v. Brown, Mayor, et al</w:t>
      </w:r>
      <w:r>
        <w:rPr>
          <w:rFonts w:ascii="Times New Roman" w:hAnsi="Times New Roman"/>
          <w:sz w:val="24"/>
          <w:szCs w:val="24"/>
        </w:rPr>
        <w:t xml:space="preserve">., the Supreme Court of Ohio held (7 to 0), in a per curium decision [not authored by a single judge; appeal was also decided without need for oral argument], that the Ohio Court of Appeals for the Seventh District correctly held that the Captain has an adequate remedy through arbitration under the collection bargaining agreement, even if the arbitration has been delayed because Local 312 President is waiting for an arbitration decision by another Captain. He and others took a promotion exam in Oct. 2021 when a battalion chief retired; if he ultimately wins in arbitration, then he gets back pay with interest. </w:t>
      </w:r>
    </w:p>
    <w:p w14:paraId="6611D799" w14:textId="46E89446" w:rsidR="00D33F96" w:rsidRDefault="00D33F96" w:rsidP="00D33F96">
      <w:pPr>
        <w:pStyle w:val="NoSpacing"/>
        <w:rPr>
          <w:rStyle w:val="Hyperlink"/>
          <w:sz w:val="24"/>
          <w:szCs w:val="24"/>
        </w:rPr>
      </w:pPr>
      <w:r>
        <w:rPr>
          <w:rFonts w:ascii="Times New Roman" w:hAnsi="Times New Roman"/>
          <w:sz w:val="24"/>
          <w:szCs w:val="24"/>
        </w:rPr>
        <w:t xml:space="preserve">The Court held: </w:t>
      </w:r>
      <w:r w:rsidRPr="006B2F09">
        <w:rPr>
          <w:rFonts w:ascii="Times New Roman" w:hAnsi="Times New Roman"/>
          <w:sz w:val="24"/>
          <w:szCs w:val="24"/>
        </w:rPr>
        <w:t xml:space="preserve">“In summary, Casey had an adequate remedy in the ordinary course of the law to advance his grievance by way of the CBA because his claim was </w:t>
      </w:r>
      <w:proofErr w:type="spellStart"/>
      <w:r w:rsidRPr="006B2F09">
        <w:rPr>
          <w:rFonts w:ascii="Times New Roman" w:hAnsi="Times New Roman"/>
          <w:sz w:val="24"/>
          <w:szCs w:val="24"/>
        </w:rPr>
        <w:t>grievable</w:t>
      </w:r>
      <w:proofErr w:type="spellEnd"/>
      <w:r w:rsidRPr="006B2F09">
        <w:rPr>
          <w:rFonts w:ascii="Times New Roman" w:hAnsi="Times New Roman"/>
          <w:sz w:val="24"/>
          <w:szCs w:val="24"/>
        </w:rPr>
        <w:t xml:space="preserve">. *** </w:t>
      </w:r>
      <w:r w:rsidRPr="00D1130B">
        <w:rPr>
          <w:rFonts w:ascii="Times New Roman" w:hAnsi="Times New Roman"/>
          <w:sz w:val="24"/>
          <w:szCs w:val="24"/>
        </w:rPr>
        <w:t>Casey's argument is internally inconsistent. On the one hand, he concedes that so long as he was able to seek relief through the CBA's grievance procedure, his remedy under the CBA was adequate. But, the argument runs, once he received an unfavorable decision by way of the union president's decision to decline to advance his grievance to arbitration, the remedy became inadequate, clearing the way for this action. It follows that if his remedy was at one time adequate-as he concedes that it was-then that is enough.</w:t>
      </w:r>
      <w:r>
        <w:rPr>
          <w:rFonts w:ascii="Times New Roman" w:hAnsi="Times New Roman"/>
          <w:sz w:val="24"/>
          <w:szCs w:val="24"/>
        </w:rPr>
        <w:t>”</w:t>
      </w:r>
      <w:r w:rsidRPr="00D1130B">
        <w:rPr>
          <w:rFonts w:ascii="Times New Roman" w:hAnsi="Times New Roman"/>
          <w:sz w:val="24"/>
          <w:szCs w:val="24"/>
        </w:rPr>
        <w:t xml:space="preserve">  </w:t>
      </w:r>
      <w:hyperlink r:id="rId2930" w:history="1">
        <w:r w:rsidRPr="00812663">
          <w:rPr>
            <w:rStyle w:val="Hyperlink"/>
            <w:sz w:val="24"/>
            <w:szCs w:val="24"/>
          </w:rPr>
          <w:t>https://www.supremecourt.ohio.gov/rod/docs/pdf/0/2023/2023-Ohio-2264.pdf</w:t>
        </w:r>
      </w:hyperlink>
    </w:p>
    <w:p w14:paraId="589B922B" w14:textId="77777777" w:rsidR="005F448F" w:rsidRDefault="005F448F" w:rsidP="00D33F96">
      <w:pPr>
        <w:pStyle w:val="NoSpacing"/>
        <w:rPr>
          <w:rStyle w:val="Hyperlink"/>
          <w:sz w:val="24"/>
          <w:szCs w:val="24"/>
        </w:rPr>
      </w:pPr>
    </w:p>
    <w:p w14:paraId="2812EE79" w14:textId="77777777" w:rsidR="005F448F" w:rsidRDefault="005F448F" w:rsidP="00D33F96">
      <w:pPr>
        <w:pStyle w:val="NoSpacing"/>
        <w:rPr>
          <w:rStyle w:val="Hyperlink"/>
          <w:sz w:val="24"/>
          <w:szCs w:val="24"/>
        </w:rPr>
      </w:pPr>
    </w:p>
    <w:p w14:paraId="273E2FCD" w14:textId="77777777" w:rsidR="005F448F" w:rsidRPr="00742D8E" w:rsidRDefault="005F448F" w:rsidP="005F448F">
      <w:pPr>
        <w:spacing w:before="100" w:beforeAutospacing="1" w:after="100" w:afterAutospacing="1" w:line="240" w:lineRule="auto"/>
        <w:rPr>
          <w:rFonts w:ascii="Times New Roman" w:hAnsi="Times New Roman"/>
          <w:b/>
          <w:bCs/>
          <w:sz w:val="24"/>
          <w:szCs w:val="24"/>
        </w:rPr>
      </w:pPr>
      <w:r w:rsidRPr="00742D8E">
        <w:rPr>
          <w:rFonts w:ascii="Times New Roman" w:hAnsi="Times New Roman"/>
          <w:b/>
          <w:bCs/>
          <w:sz w:val="24"/>
          <w:szCs w:val="24"/>
        </w:rPr>
        <w:t xml:space="preserve">Legal Lesson Learned: </w:t>
      </w:r>
      <w:r>
        <w:rPr>
          <w:rFonts w:ascii="Times New Roman" w:hAnsi="Times New Roman"/>
          <w:b/>
          <w:bCs/>
          <w:sz w:val="24"/>
          <w:szCs w:val="24"/>
        </w:rPr>
        <w:t xml:space="preserve">The </w:t>
      </w:r>
      <w:proofErr w:type="gramStart"/>
      <w:r>
        <w:rPr>
          <w:rFonts w:ascii="Times New Roman" w:hAnsi="Times New Roman"/>
          <w:b/>
          <w:bCs/>
          <w:sz w:val="24"/>
          <w:szCs w:val="24"/>
        </w:rPr>
        <w:t>Captain’s</w:t>
      </w:r>
      <w:proofErr w:type="gramEnd"/>
      <w:r>
        <w:rPr>
          <w:rFonts w:ascii="Times New Roman" w:hAnsi="Times New Roman"/>
          <w:b/>
          <w:bCs/>
          <w:sz w:val="24"/>
          <w:szCs w:val="24"/>
        </w:rPr>
        <w:t xml:space="preserve"> sole remedy is to seek arbitration under CBA. </w:t>
      </w:r>
    </w:p>
    <w:p w14:paraId="17BC8984" w14:textId="77777777" w:rsidR="005F448F" w:rsidRPr="00D67B2F" w:rsidRDefault="005F448F" w:rsidP="005F448F">
      <w:pPr>
        <w:spacing w:before="100" w:beforeAutospacing="1" w:after="100" w:afterAutospacing="1" w:line="240" w:lineRule="auto"/>
        <w:ind w:left="720" w:firstLine="50"/>
        <w:rPr>
          <w:rFonts w:ascii="Times New Roman" w:hAnsi="Times New Roman"/>
          <w:sz w:val="24"/>
          <w:szCs w:val="24"/>
        </w:rPr>
      </w:pPr>
      <w:r>
        <w:rPr>
          <w:rFonts w:ascii="Times New Roman" w:hAnsi="Times New Roman"/>
          <w:sz w:val="24"/>
          <w:szCs w:val="24"/>
        </w:rPr>
        <w:t xml:space="preserve">Note: See decision in </w:t>
      </w:r>
      <w:r w:rsidRPr="00D67B2F">
        <w:rPr>
          <w:rFonts w:ascii="Times New Roman" w:hAnsi="Times New Roman"/>
          <w:i/>
          <w:iCs/>
          <w:sz w:val="24"/>
          <w:szCs w:val="24"/>
        </w:rPr>
        <w:t>Youngstown II</w:t>
      </w:r>
      <w:r>
        <w:rPr>
          <w:rFonts w:ascii="Times New Roman" w:hAnsi="Times New Roman"/>
          <w:sz w:val="24"/>
          <w:szCs w:val="24"/>
        </w:rPr>
        <w:t xml:space="preserve">; Dec. 13, 2021; </w:t>
      </w:r>
      <w:hyperlink r:id="rId2931" w:history="1">
        <w:r w:rsidRPr="00E97EE7">
          <w:rPr>
            <w:rStyle w:val="Hyperlink"/>
            <w:sz w:val="24"/>
            <w:szCs w:val="24"/>
          </w:rPr>
          <w:t>https://casetext.com/case/state-v-state-empt-relations-bd-2</w:t>
        </w:r>
      </w:hyperlink>
      <w:r>
        <w:rPr>
          <w:rFonts w:ascii="Times New Roman" w:hAnsi="Times New Roman"/>
          <w:sz w:val="24"/>
          <w:szCs w:val="24"/>
        </w:rPr>
        <w:t xml:space="preserve"> </w:t>
      </w:r>
    </w:p>
    <w:p w14:paraId="36F44FB7" w14:textId="77777777" w:rsidR="005F448F" w:rsidRDefault="005F448F" w:rsidP="005F448F">
      <w:pPr>
        <w:spacing w:before="100" w:beforeAutospacing="1" w:after="100" w:afterAutospacing="1" w:line="240" w:lineRule="auto"/>
        <w:ind w:left="1440" w:firstLine="60"/>
      </w:pPr>
      <w:r>
        <w:rPr>
          <w:rFonts w:ascii="Times New Roman" w:hAnsi="Times New Roman"/>
          <w:sz w:val="24"/>
          <w:szCs w:val="24"/>
        </w:rPr>
        <w:t>“</w:t>
      </w:r>
      <w:r w:rsidRPr="00D67B2F">
        <w:rPr>
          <w:rFonts w:ascii="Times New Roman" w:hAnsi="Times New Roman"/>
          <w:sz w:val="24"/>
          <w:szCs w:val="24"/>
        </w:rPr>
        <w:t>On November 12, 2019, Union learned that City planned to pass legislation to eliminate the three Battalion Chief positions</w:t>
      </w:r>
      <w:r>
        <w:rPr>
          <w:rFonts w:ascii="Times New Roman" w:hAnsi="Times New Roman"/>
          <w:sz w:val="24"/>
          <w:szCs w:val="24"/>
        </w:rPr>
        <w:t xml:space="preserve"> [apparently to pay for $285,000 radio upgrade demanded by Union]. </w:t>
      </w:r>
      <w:r w:rsidRPr="00D67B2F">
        <w:rPr>
          <w:rFonts w:ascii="Times New Roman" w:hAnsi="Times New Roman"/>
          <w:sz w:val="24"/>
          <w:szCs w:val="24"/>
        </w:rPr>
        <w:t>The next day, City Council passed Ordinance No. 19-336 to amend Section 1 of Ordinance 19-47, to abolish three Battalion Chief positions by attrition. That Ordinance was later determined to be an unlawful retaliation against Union.</w:t>
      </w:r>
      <w:r>
        <w:rPr>
          <w:rFonts w:ascii="Times New Roman" w:hAnsi="Times New Roman"/>
          <w:sz w:val="24"/>
          <w:szCs w:val="24"/>
        </w:rPr>
        <w:t xml:space="preserve">” </w:t>
      </w:r>
    </w:p>
    <w:p w14:paraId="55A2F340" w14:textId="77777777" w:rsidR="005F448F" w:rsidRDefault="005F448F" w:rsidP="005F448F"/>
    <w:p w14:paraId="0FB4C2A2" w14:textId="77777777" w:rsidR="005F448F" w:rsidRDefault="005F448F" w:rsidP="00D33F96">
      <w:pPr>
        <w:pStyle w:val="NoSpacing"/>
        <w:rPr>
          <w:rStyle w:val="Hyperlink"/>
          <w:sz w:val="24"/>
          <w:szCs w:val="24"/>
        </w:rPr>
      </w:pPr>
    </w:p>
    <w:p w14:paraId="79B69899" w14:textId="77777777" w:rsidR="005F448F" w:rsidRDefault="005F448F" w:rsidP="00D33F96">
      <w:pPr>
        <w:pStyle w:val="NoSpacing"/>
        <w:rPr>
          <w:rFonts w:ascii="Arial Black" w:hAnsi="Arial Black"/>
          <w:sz w:val="24"/>
          <w:szCs w:val="24"/>
        </w:rPr>
      </w:pPr>
    </w:p>
    <w:p w14:paraId="16255685" w14:textId="77777777" w:rsidR="00D33F96" w:rsidRDefault="00D33F96" w:rsidP="00F326E5">
      <w:pPr>
        <w:pStyle w:val="NoSpacing"/>
        <w:rPr>
          <w:rFonts w:ascii="Arial Black" w:hAnsi="Arial Black"/>
          <w:sz w:val="24"/>
          <w:szCs w:val="24"/>
        </w:rPr>
      </w:pPr>
    </w:p>
    <w:p w14:paraId="7DABB8AD" w14:textId="580D6D42" w:rsidR="00D66BAA" w:rsidRDefault="006A02A4" w:rsidP="00F326E5">
      <w:pPr>
        <w:pStyle w:val="NoSpacing"/>
        <w:rPr>
          <w:rFonts w:ascii="Arial Black" w:hAnsi="Arial Black"/>
          <w:sz w:val="24"/>
          <w:szCs w:val="24"/>
        </w:rPr>
      </w:pPr>
      <w:r>
        <w:rPr>
          <w:rFonts w:ascii="Arial Black" w:hAnsi="Arial Black"/>
          <w:sz w:val="24"/>
          <w:szCs w:val="24"/>
        </w:rPr>
        <w:t>17-30</w:t>
      </w:r>
    </w:p>
    <w:p w14:paraId="58F27F57" w14:textId="77777777" w:rsidR="006A02A4" w:rsidRDefault="006A02A4" w:rsidP="006A02A4">
      <w:pPr>
        <w:pStyle w:val="NoSpacing"/>
        <w:rPr>
          <w:rFonts w:ascii="Arial Black" w:hAnsi="Arial Black"/>
          <w:sz w:val="28"/>
          <w:szCs w:val="28"/>
        </w:rPr>
      </w:pPr>
    </w:p>
    <w:p w14:paraId="42AF42DD" w14:textId="784061BD" w:rsidR="006A02A4" w:rsidRPr="003036A7" w:rsidRDefault="006A02A4" w:rsidP="006A02A4">
      <w:pPr>
        <w:pStyle w:val="NoSpacing"/>
        <w:rPr>
          <w:rFonts w:ascii="Arial Black" w:hAnsi="Arial Black"/>
          <w:sz w:val="28"/>
          <w:szCs w:val="28"/>
        </w:rPr>
      </w:pPr>
      <w:r w:rsidRPr="003036A7">
        <w:rPr>
          <w:rFonts w:ascii="Arial Black" w:hAnsi="Arial Black"/>
          <w:sz w:val="28"/>
          <w:szCs w:val="28"/>
        </w:rPr>
        <w:t>VA (4/20/2023): FIRE CAPT / IAFF OFFICIAL - BACKED MAYOR</w:t>
      </w:r>
      <w:r>
        <w:rPr>
          <w:rFonts w:ascii="Arial Black" w:hAnsi="Arial Black"/>
          <w:sz w:val="28"/>
          <w:szCs w:val="28"/>
        </w:rPr>
        <w:t>’S</w:t>
      </w:r>
      <w:r w:rsidRPr="003036A7">
        <w:rPr>
          <w:rFonts w:ascii="Arial Black" w:hAnsi="Arial Black"/>
          <w:sz w:val="28"/>
          <w:szCs w:val="28"/>
        </w:rPr>
        <w:t xml:space="preserve"> OPPONENT – FACEBOOK - FIRED - CASE PROCEED</w:t>
      </w:r>
    </w:p>
    <w:p w14:paraId="58A4FB6A" w14:textId="77777777" w:rsidR="006A02A4" w:rsidRDefault="006A02A4" w:rsidP="006A02A4">
      <w:pPr>
        <w:pStyle w:val="NoSpacing"/>
      </w:pPr>
    </w:p>
    <w:p w14:paraId="648AFA40" w14:textId="4C4DF743" w:rsidR="006A02A4" w:rsidRDefault="006A02A4" w:rsidP="006A02A4">
      <w:pPr>
        <w:pStyle w:val="NoSpacing"/>
        <w:rPr>
          <w:rStyle w:val="Hyperlink"/>
          <w:rFonts w:ascii="Times New Roman" w:hAnsi="Times New Roman"/>
          <w:sz w:val="24"/>
          <w:szCs w:val="24"/>
        </w:rPr>
      </w:pPr>
      <w:r w:rsidRPr="003C1643">
        <w:rPr>
          <w:rFonts w:ascii="Times New Roman" w:hAnsi="Times New Roman"/>
          <w:sz w:val="24"/>
          <w:szCs w:val="24"/>
          <w:u w:val="single"/>
        </w:rPr>
        <w:t xml:space="preserve">Martin J. </w:t>
      </w:r>
      <w:proofErr w:type="spellStart"/>
      <w:r w:rsidRPr="003C1643">
        <w:rPr>
          <w:rFonts w:ascii="Times New Roman" w:hAnsi="Times New Roman"/>
          <w:sz w:val="24"/>
          <w:szCs w:val="24"/>
          <w:u w:val="single"/>
        </w:rPr>
        <w:t>Misjuns</w:t>
      </w:r>
      <w:proofErr w:type="spellEnd"/>
      <w:r w:rsidRPr="003C1643">
        <w:rPr>
          <w:rFonts w:ascii="Times New Roman" w:hAnsi="Times New Roman"/>
          <w:sz w:val="24"/>
          <w:szCs w:val="24"/>
          <w:u w:val="single"/>
        </w:rPr>
        <w:t xml:space="preserve"> v. Lynchburg Fire Department</w:t>
      </w:r>
      <w:r w:rsidRPr="003C1643">
        <w:rPr>
          <w:rFonts w:ascii="Times New Roman" w:hAnsi="Times New Roman"/>
          <w:sz w:val="24"/>
          <w:szCs w:val="24"/>
        </w:rPr>
        <w:t xml:space="preserve">, U.S. District Court Judge Norman K. Moon, U.S. District Court for Western District of Virginia, Lynchburg District. </w:t>
      </w:r>
      <w:hyperlink r:id="rId2932" w:history="1">
        <w:r w:rsidRPr="003C1643">
          <w:rPr>
            <w:rStyle w:val="Hyperlink"/>
            <w:rFonts w:ascii="Times New Roman" w:hAnsi="Times New Roman"/>
            <w:sz w:val="24"/>
            <w:szCs w:val="24"/>
          </w:rPr>
          <w:t>https://law.justia.com/cases/federal/district-courts/virginia/vawdce/6:2021cv00025/122367/36/</w:t>
        </w:r>
      </w:hyperlink>
    </w:p>
    <w:p w14:paraId="6AA6F2A7" w14:textId="77777777" w:rsidR="006A02A4" w:rsidRPr="003C1643" w:rsidRDefault="006A02A4" w:rsidP="006A02A4">
      <w:pPr>
        <w:pStyle w:val="NormalWeb"/>
        <w:rPr>
          <w:b/>
          <w:bCs/>
        </w:rPr>
      </w:pPr>
      <w:r w:rsidRPr="003C1643">
        <w:rPr>
          <w:b/>
          <w:bCs/>
        </w:rPr>
        <w:t xml:space="preserve">Legal Lesson Learned:  Firefighters enjoy First Amendment rights on matters of public concern. </w:t>
      </w:r>
    </w:p>
    <w:p w14:paraId="07C6A4A5" w14:textId="77777777" w:rsidR="006A02A4" w:rsidRDefault="006A02A4" w:rsidP="006A02A4">
      <w:pPr>
        <w:pStyle w:val="NoSpacing"/>
        <w:rPr>
          <w:rFonts w:ascii="Arial Black" w:hAnsi="Arial Black"/>
          <w:sz w:val="24"/>
          <w:szCs w:val="24"/>
        </w:rPr>
      </w:pPr>
    </w:p>
    <w:p w14:paraId="1C4E9D27" w14:textId="77777777" w:rsidR="006A02A4" w:rsidRDefault="006A02A4" w:rsidP="00F326E5">
      <w:pPr>
        <w:pStyle w:val="NoSpacing"/>
        <w:rPr>
          <w:rFonts w:ascii="Arial Black" w:hAnsi="Arial Black"/>
          <w:sz w:val="24"/>
          <w:szCs w:val="24"/>
        </w:rPr>
      </w:pPr>
    </w:p>
    <w:p w14:paraId="19E3F293" w14:textId="77777777" w:rsidR="006A02A4" w:rsidRDefault="006A02A4" w:rsidP="00F326E5">
      <w:pPr>
        <w:pStyle w:val="NoSpacing"/>
        <w:rPr>
          <w:rFonts w:ascii="Arial Black" w:hAnsi="Arial Black"/>
          <w:sz w:val="24"/>
          <w:szCs w:val="24"/>
        </w:rPr>
      </w:pPr>
    </w:p>
    <w:p w14:paraId="774C153A" w14:textId="0EEFA043" w:rsidR="00D66BAA" w:rsidRDefault="00D66BAA" w:rsidP="00F326E5">
      <w:pPr>
        <w:pStyle w:val="NoSpacing"/>
        <w:rPr>
          <w:rFonts w:ascii="Arial Black" w:hAnsi="Arial Black"/>
          <w:sz w:val="24"/>
          <w:szCs w:val="24"/>
        </w:rPr>
      </w:pPr>
      <w:r>
        <w:rPr>
          <w:rFonts w:ascii="Arial Black" w:hAnsi="Arial Black"/>
          <w:sz w:val="24"/>
          <w:szCs w:val="24"/>
        </w:rPr>
        <w:t>17-29</w:t>
      </w:r>
    </w:p>
    <w:p w14:paraId="594A5E35" w14:textId="77777777" w:rsidR="00D66BAA" w:rsidRDefault="00D66BAA" w:rsidP="00D66BAA">
      <w:pPr>
        <w:pStyle w:val="NormalWeb"/>
        <w:rPr>
          <w:rFonts w:ascii="Arial Black" w:hAnsi="Arial Black"/>
          <w:sz w:val="28"/>
          <w:szCs w:val="28"/>
        </w:rPr>
      </w:pPr>
      <w:r>
        <w:rPr>
          <w:rFonts w:ascii="Arial Black" w:hAnsi="Arial Black"/>
          <w:sz w:val="28"/>
          <w:szCs w:val="28"/>
        </w:rPr>
        <w:t>TX: STATE SUP. CT. STRIKES DOWN CITY OF HOUSTON FIRE / POLICE “PAY PARITY” – VOTED BY RESIDENTS 2018</w:t>
      </w:r>
    </w:p>
    <w:p w14:paraId="150D0DA5" w14:textId="77777777" w:rsidR="00D66BAA" w:rsidRDefault="00D66BAA" w:rsidP="00D66BAA">
      <w:pPr>
        <w:pStyle w:val="NormalWeb"/>
        <w:rPr>
          <w:vertAlign w:val="superscript"/>
        </w:rPr>
      </w:pPr>
      <w:r>
        <w:t xml:space="preserve">On March 31, 2023, </w:t>
      </w:r>
      <w:r>
        <w:rPr>
          <w:u w:val="single"/>
        </w:rPr>
        <w:t>in City of Houston v. Houston Professional Fire Fighters’ Association, Local 341</w:t>
      </w:r>
      <w:r>
        <w:t xml:space="preserve">, consolidated with </w:t>
      </w:r>
      <w:r>
        <w:rPr>
          <w:u w:val="single"/>
        </w:rPr>
        <w:t>Houston Police Officer’s Union v. Houston</w:t>
      </w:r>
      <w:r>
        <w:t xml:space="preserve"> </w:t>
      </w:r>
      <w:r>
        <w:rPr>
          <w:u w:val="single"/>
        </w:rPr>
        <w:t>Professional Fire Fighters’ Association, Local 341</w:t>
      </w:r>
      <w:r>
        <w:t xml:space="preserve">, the Texas Supreme Court held that the 2018 “Pay-Parity” change to City Charter [known as Proposition B], requiring firefighters be paid same as police officers, violates State law.  The State law is known as “The Fire and Police Employee Relations Act in Local Government Code Chapter 174.” Chapter 174 is a comprehensive framework that governs collective bargaining for those municipal employers whose voters have adopted it [adopted by Houston voters in 2003], and under that State law since Local 341 has reached an impasse with the </w:t>
      </w:r>
      <w:proofErr w:type="gramStart"/>
      <w:r>
        <w:t>City</w:t>
      </w:r>
      <w:proofErr w:type="gramEnd"/>
      <w:r>
        <w:t xml:space="preserve"> [last CBA was 2011-2017], they are entitled to Court intervention to reach  pay agreement that is "substantially equal" to those in comparable private-sector employment.</w:t>
      </w:r>
    </w:p>
    <w:p w14:paraId="30D1261E" w14:textId="77777777" w:rsidR="00D66BAA" w:rsidRDefault="00D66BAA" w:rsidP="00D66BAA">
      <w:pPr>
        <w:pStyle w:val="NormalWeb"/>
      </w:pPr>
      <w:r>
        <w:t>The Texas Supreme Court held:</w:t>
      </w:r>
    </w:p>
    <w:p w14:paraId="62B0290F" w14:textId="77777777" w:rsidR="00D66BAA" w:rsidRDefault="00D66BAA" w:rsidP="00D66BAA">
      <w:pPr>
        <w:pStyle w:val="NormalWeb"/>
        <w:ind w:left="720"/>
      </w:pPr>
      <w:r>
        <w:t xml:space="preserve">“We hold that Chapter 174 establishes reasonable standards for judicial enforcement such that it does not violate the constitutional separation of powers. Accordingly, we reject the City's constitutional challenge to judicial enforcement of the statute's compensation standard. We further hold that the Fire Fighters met all prerequisites for seeking Chapter 174 enforcement, and thus the statute waives the City's immunity from the Fire Fighters' lawsuit for Chapter 174 compensation. Finally, we hold that Chapter 174 preempts the pay-parity amendment. Local law may not supplant Chapter 174's rule of decision by requiring an inconsistent compensation measurement. Because the court of appeals held differently, we </w:t>
      </w:r>
      <w:proofErr w:type="gramStart"/>
      <w:r>
        <w:t>reverse</w:t>
      </w:r>
      <w:proofErr w:type="gramEnd"/>
      <w:r>
        <w:t xml:space="preserve"> its judgment in the second suit. We affirm its judgment in the initial suit and remand the case to the trial court for further proceedings to establish whether the City has complied with Chapter 174's compensation standards and, if not, to set appropriate firefighter compensation.” </w:t>
      </w:r>
      <w:hyperlink r:id="rId2933" w:history="1">
        <w:r>
          <w:rPr>
            <w:rStyle w:val="Hyperlink"/>
          </w:rPr>
          <w:t>https://search.txcourts.gov/SearchMedia.aspx?MediaVersionID=b6a5eb11-d9ee-4713-9079-a7fc018a0d0c&amp;coa=cossup&amp;DT=OPINION&amp;MediaID=180a364b-e3a9-4c3b-bb68-7b88944c20ad</w:t>
        </w:r>
      </w:hyperlink>
      <w:r>
        <w:t xml:space="preserve"> </w:t>
      </w:r>
    </w:p>
    <w:p w14:paraId="1B240E53" w14:textId="77777777" w:rsidR="00D66BAA" w:rsidRDefault="00D66BAA" w:rsidP="00D66BAA">
      <w:pPr>
        <w:pStyle w:val="NormalWeb"/>
        <w:ind w:left="720"/>
      </w:pPr>
      <w:r>
        <w:t xml:space="preserve">“Local regulations are preempted when they prescribe a governing rule that is inconsistent with a state statute's standards, even if enforcement of the local law might hypothetically result in the same outcome as enforcement of the statute. A court enforcing Chapter 174 may happen to reach a result consistent with the pay-parity amendment. In such cases, no inconsistency exists. The pay-parity amendment, however, never functions as the governing rule of decision in such an instance because it can never force a result different from that which Chapter 174 compels. Local regulations are not ‘ancillary </w:t>
      </w:r>
      <w:proofErr w:type="gramStart"/>
      <w:r>
        <w:t>to</w:t>
      </w:r>
      <w:proofErr w:type="gramEnd"/>
      <w:r>
        <w:t xml:space="preserve"> and in harmony with’ state statutes when they prescribe a different rule of decision that coincidentally converges with the statutory </w:t>
      </w:r>
      <w:proofErr w:type="gramStart"/>
      <w:r>
        <w:t>rule.”</w:t>
      </w:r>
      <w:proofErr w:type="gramEnd"/>
    </w:p>
    <w:p w14:paraId="514652E1" w14:textId="77777777" w:rsidR="00D66BAA" w:rsidRDefault="00D66BAA" w:rsidP="00D66BAA">
      <w:pPr>
        <w:pStyle w:val="NormalWeb"/>
        <w:rPr>
          <w:b/>
          <w:bCs/>
        </w:rPr>
      </w:pPr>
      <w:r>
        <w:rPr>
          <w:b/>
          <w:bCs/>
        </w:rPr>
        <w:t xml:space="preserve">Legal Lesson Learned:  The City of Houston and Police Union have won their challenge to Prob B; but the City must now go to collective bargaining with Local 341. </w:t>
      </w:r>
    </w:p>
    <w:p w14:paraId="11E65B95" w14:textId="77777777" w:rsidR="00D66BAA" w:rsidRDefault="00D66BAA" w:rsidP="00D66BAA">
      <w:pPr>
        <w:pStyle w:val="ekqk"/>
        <w:ind w:left="720"/>
        <w:rPr>
          <w:b/>
          <w:bCs/>
        </w:rPr>
      </w:pPr>
      <w:r>
        <w:t xml:space="preserve">Note: See March 31, </w:t>
      </w:r>
      <w:proofErr w:type="gramStart"/>
      <w:r>
        <w:t>2023</w:t>
      </w:r>
      <w:proofErr w:type="gramEnd"/>
      <w:r>
        <w:t xml:space="preserve"> article, “Texas Supreme Court strikes down 'Prop B' years after Houston voted for firefighter pay parity.” Both Houston city officials and the </w:t>
      </w:r>
      <w:proofErr w:type="gramStart"/>
      <w:r>
        <w:t>firefighters</w:t>
      </w:r>
      <w:proofErr w:type="gramEnd"/>
      <w:r>
        <w:t xml:space="preserve"> union took home a win in the ruling, and both are claiming victory… However, Thursday's decision wasn't just a win for those opposed to Prop B. The court also ruled in favor of the firefighter's union in another case about a state law that handles firefighter pay. The law, which the Supreme Court ruled is constitutional, says firefighters </w:t>
      </w:r>
      <w:proofErr w:type="gramStart"/>
      <w:r>
        <w:t>have to</w:t>
      </w:r>
      <w:proofErr w:type="gramEnd"/>
      <w:r>
        <w:t xml:space="preserve"> be paid substantially equal to similar jobs in the private sector, and that the two sides should use collective bargaining to reach a </w:t>
      </w:r>
      <w:proofErr w:type="gramStart"/>
      <w:r>
        <w:t>deal.”</w:t>
      </w:r>
      <w:proofErr w:type="gramEnd"/>
      <w:r>
        <w:t xml:space="preserve"> </w:t>
      </w:r>
      <w:hyperlink r:id="rId2934" w:history="1">
        <w:r>
          <w:rPr>
            <w:rStyle w:val="Hyperlink"/>
          </w:rPr>
          <w:t>https://abc13.com/prop-b-update-houston-firefighter-pay-parity-texas-supreme-court-proposition-struck-down/13057363/</w:t>
        </w:r>
      </w:hyperlink>
      <w:r>
        <w:rPr>
          <w:b/>
          <w:bCs/>
        </w:rPr>
        <w:t xml:space="preserve"> </w:t>
      </w:r>
    </w:p>
    <w:p w14:paraId="4D540E70" w14:textId="77777777" w:rsidR="00D66BAA" w:rsidRDefault="00D66BAA" w:rsidP="00D66BAA">
      <w:pPr>
        <w:pStyle w:val="NormalWeb"/>
      </w:pPr>
    </w:p>
    <w:p w14:paraId="4B09FD61" w14:textId="0ABF6B9E" w:rsidR="00D66BAA" w:rsidRDefault="00D66BAA" w:rsidP="00F326E5">
      <w:pPr>
        <w:pStyle w:val="NoSpacing"/>
        <w:rPr>
          <w:rFonts w:ascii="Arial Black" w:hAnsi="Arial Black"/>
          <w:sz w:val="24"/>
          <w:szCs w:val="24"/>
        </w:rPr>
      </w:pPr>
      <w:r>
        <w:rPr>
          <w:rFonts w:ascii="Arial Black" w:hAnsi="Arial Black"/>
          <w:sz w:val="24"/>
          <w:szCs w:val="24"/>
        </w:rPr>
        <w:t>17-28</w:t>
      </w:r>
    </w:p>
    <w:p w14:paraId="290A746F" w14:textId="77777777" w:rsidR="00D66BAA" w:rsidRDefault="00D66BAA" w:rsidP="00D66BAA">
      <w:pPr>
        <w:pStyle w:val="NormalWeb"/>
        <w:rPr>
          <w:rFonts w:ascii="Arial Black" w:hAnsi="Arial Black"/>
          <w:sz w:val="28"/>
          <w:szCs w:val="28"/>
        </w:rPr>
      </w:pPr>
      <w:r>
        <w:rPr>
          <w:rFonts w:ascii="Arial Black" w:hAnsi="Arial Black"/>
          <w:sz w:val="28"/>
          <w:szCs w:val="28"/>
        </w:rPr>
        <w:t>CT: CBA UNCLEAR ON SICK PAY – TWO FF RESIGNED, NOW  GETTING PENSION - CITY WINS NEW TRIAL ON SICK PAY</w:t>
      </w:r>
    </w:p>
    <w:p w14:paraId="11217EAC" w14:textId="77777777" w:rsidR="00D66BAA" w:rsidRDefault="00D66BAA" w:rsidP="00D66BAA">
      <w:pPr>
        <w:pStyle w:val="NormalWeb"/>
      </w:pPr>
      <w:r>
        <w:t xml:space="preserve">On March 28, 2023, in </w:t>
      </w:r>
      <w:r>
        <w:rPr>
          <w:u w:val="single"/>
        </w:rPr>
        <w:t>Dickie K. Murchison, Jr. and John J. Bigham v. City of Waterbury</w:t>
      </w:r>
      <w:r>
        <w:t xml:space="preserve">, the Court of Appeals of Connecticut held that the trial court’s award of sick pay of $28,307.98 to Murchison, and $33,451.55 to Bigham is reversed. Each firefighter resigned after 20 years, but prior to 25 years to be eligible for retirement.  Now each firefighter is eligible for deferred vested pension benefits after the twenty-fifth anniversary of their respective hire dates, and they also now want unused sick pay.  The CBA does not explicitly address whether they are now entitled to unused sick pay. On appeal the City first claims that the trial court erred in awarding the plaintiffs terminal leave </w:t>
      </w:r>
      <w:proofErr w:type="gramStart"/>
      <w:r>
        <w:t>pay</w:t>
      </w:r>
      <w:proofErr w:type="gramEnd"/>
      <w:r>
        <w:t xml:space="preserve">, arguing that the plaintiffs only </w:t>
      </w:r>
      <w:r>
        <w:rPr>
          <w:rStyle w:val="Emphasis"/>
        </w:rPr>
        <w:t>resigned</w:t>
      </w:r>
      <w:r>
        <w:t xml:space="preserve"> from employment with the defendant, and did not "retire," for purposes of the terminal leave pay provision.  </w:t>
      </w:r>
    </w:p>
    <w:p w14:paraId="4D0556BD" w14:textId="77777777" w:rsidR="00D66BAA" w:rsidRDefault="00D66BAA" w:rsidP="00D66BAA">
      <w:pPr>
        <w:pStyle w:val="NormalWeb"/>
        <w:ind w:left="720"/>
      </w:pPr>
      <w:r>
        <w:t xml:space="preserve">The Court of Appeals agreed. “The [City] claims that, because there was no evidence in the record that it drafted the agreement, the trial court erred in construing any ambiguity in the terminal leave pay provision against it. The plaintiffs counter that, regardless of any ambiguity in the provision, the evidence established that the term ‘retirement’ refers to the date that they became eligible to collect, and/or began collecting, their pension benefits. We agree with the defendant.” </w:t>
      </w:r>
      <w:hyperlink r:id="rId2935" w:history="1">
        <w:r>
          <w:rPr>
            <w:rStyle w:val="Hyperlink"/>
          </w:rPr>
          <w:t>https://www.jud.ct.gov/external/supapp/Cases/AROap/AP218/218AP115.pdf</w:t>
        </w:r>
      </w:hyperlink>
      <w:r>
        <w:t xml:space="preserve"> </w:t>
      </w:r>
    </w:p>
    <w:p w14:paraId="60DD6AB9" w14:textId="77777777" w:rsidR="00D66BAA" w:rsidRDefault="00D66BAA" w:rsidP="00D66BAA">
      <w:pPr>
        <w:pStyle w:val="NormalWeb"/>
        <w:ind w:left="720"/>
      </w:pPr>
      <w:r>
        <w:t xml:space="preserve">“The language at issue in the present case is found in the terminal leave pay provision of the agreement, the relevant text of which previously has been set forth in full in this opinion. That provision details that firefighter employees become eligible for terminal leave </w:t>
      </w:r>
      <w:proofErr w:type="gramStart"/>
      <w:r>
        <w:t>pay ‘[</w:t>
      </w:r>
      <w:proofErr w:type="gramEnd"/>
      <w:r>
        <w:t>u]</w:t>
      </w:r>
      <w:proofErr w:type="spellStart"/>
      <w:r>
        <w:t>pon</w:t>
      </w:r>
      <w:proofErr w:type="spellEnd"/>
      <w:r>
        <w:t xml:space="preserve"> . . . retirement,’ where the first of four installments is due, as is relevant here, on the ‘date of retirement.’ The term ‘retirement’ is not defined in the terminal leave pay provision or anywhere else in the agreement. In the absence of such a definition and in order to interpret the use of that term in the terminal leave pay provision, the parties have turned to the various uses and definitions of the term "retirement" in the ordinance, the relevant text of which also has been set forth previously in this opinion.</w:t>
      </w:r>
    </w:p>
    <w:p w14:paraId="295421C9" w14:textId="77777777" w:rsidR="00D66BAA" w:rsidRDefault="00D66BAA" w:rsidP="00D66BAA">
      <w:pPr>
        <w:pStyle w:val="NormalWeb"/>
        <w:ind w:left="720"/>
      </w:pPr>
      <w:r>
        <w:t>***</w:t>
      </w:r>
    </w:p>
    <w:p w14:paraId="1BA0E90C" w14:textId="77777777" w:rsidR="00D66BAA" w:rsidRDefault="00D66BAA" w:rsidP="00D66BAA">
      <w:pPr>
        <w:pStyle w:val="NormalWeb"/>
        <w:ind w:left="720"/>
      </w:pPr>
      <w:r>
        <w:t>In sum, we conclude that the term ‘retirement’ as used in the terminal leave pay provision is ambiguous because it is susceptible to more than one reasonable interpretation. Because the [trial] court failed to resolve that ambiguity, it could not have properly found that the plaintiffs were entitled to terminal leave pay.</w:t>
      </w:r>
    </w:p>
    <w:p w14:paraId="071940B6" w14:textId="77777777" w:rsidR="00D66BAA" w:rsidRDefault="00D66BAA" w:rsidP="00D66BAA">
      <w:pPr>
        <w:pStyle w:val="NormalWeb"/>
        <w:ind w:left="720"/>
      </w:pPr>
      <w:r>
        <w:t>***</w:t>
      </w:r>
    </w:p>
    <w:p w14:paraId="6ED4474D" w14:textId="77777777" w:rsidR="00D66BAA" w:rsidRDefault="00D66BAA" w:rsidP="00D66BAA">
      <w:pPr>
        <w:pStyle w:val="NormalWeb"/>
        <w:ind w:left="720"/>
      </w:pPr>
      <w:r>
        <w:t xml:space="preserve">The judgment is reversed and the case is remanded for a new </w:t>
      </w:r>
      <w:proofErr w:type="gramStart"/>
      <w:r>
        <w:t>trial.”</w:t>
      </w:r>
      <w:proofErr w:type="gramEnd"/>
    </w:p>
    <w:p w14:paraId="60C05639" w14:textId="77777777" w:rsidR="00D66BAA" w:rsidRDefault="00D66BAA" w:rsidP="00D66BAA">
      <w:pPr>
        <w:pStyle w:val="NormalWeb"/>
        <w:rPr>
          <w:b/>
          <w:bCs/>
        </w:rPr>
      </w:pPr>
      <w:r>
        <w:rPr>
          <w:b/>
          <w:bCs/>
        </w:rPr>
        <w:t xml:space="preserve">Legal Lesson Learned: When a CBA is unclear about when firefighters are eligible for unused sick pay, the ambiguity cannot be used against the City without proof the City drafted the CBA provision. </w:t>
      </w:r>
    </w:p>
    <w:p w14:paraId="4DB8AF49" w14:textId="77777777" w:rsidR="00D66BAA" w:rsidRDefault="00D66BAA" w:rsidP="00D66BAA">
      <w:pPr>
        <w:pStyle w:val="NormalWeb"/>
        <w:ind w:left="720"/>
      </w:pPr>
      <w:r>
        <w:t xml:space="preserve">Note: On </w:t>
      </w:r>
      <w:proofErr w:type="gramStart"/>
      <w:r>
        <w:t>Aug,</w:t>
      </w:r>
      <w:proofErr w:type="gramEnd"/>
      <w:r>
        <w:t xml:space="preserve"> 14, 2018, Judge Brazzel-Massaro denied summary judgment for either side, and ordered the case be tried. “In sum, the bargaining agreement and ordinance are susceptible to more than one reasonable interpretation and are therefore ambiguous.” See unpublished decision. </w:t>
      </w:r>
      <w:hyperlink r:id="rId2936" w:history="1">
        <w:r>
          <w:rPr>
            <w:rStyle w:val="Hyperlink"/>
          </w:rPr>
          <w:t>https://casetext.com/case/murchison-v-city-of-waterbury</w:t>
        </w:r>
      </w:hyperlink>
      <w:r>
        <w:t xml:space="preserve"> </w:t>
      </w:r>
    </w:p>
    <w:p w14:paraId="4129508C" w14:textId="77777777" w:rsidR="00D66BAA" w:rsidRDefault="00D66BAA" w:rsidP="00D66BAA">
      <w:pPr>
        <w:pStyle w:val="NormalWeb"/>
        <w:ind w:left="720"/>
      </w:pPr>
      <w:r>
        <w:t xml:space="preserve">On Nov. 7, 2019, the case went to trial before a different Judge – bench trial (no jury) before Judge Gordon.  On October 1, 2021, the trial court judge issued a memorandum of decision rendering judgment in favor of the plaintiffs, awarding terminal leave pay in the amounts of $28,307.98 to Murchison and $33,451.55 to Bigham. This appeal followed. </w:t>
      </w:r>
    </w:p>
    <w:p w14:paraId="6903DA35" w14:textId="77777777" w:rsidR="00D66BAA" w:rsidRDefault="00D66BAA" w:rsidP="00D66BAA">
      <w:pPr>
        <w:pStyle w:val="NormalWeb"/>
        <w:jc w:val="center"/>
        <w:rPr>
          <w:b/>
          <w:bCs/>
        </w:rPr>
      </w:pPr>
    </w:p>
    <w:p w14:paraId="74023875" w14:textId="143CE01C" w:rsidR="00D66BAA" w:rsidRDefault="00D66BAA" w:rsidP="00F326E5">
      <w:pPr>
        <w:pStyle w:val="NoSpacing"/>
        <w:rPr>
          <w:rFonts w:ascii="Arial Black" w:hAnsi="Arial Black"/>
          <w:sz w:val="24"/>
          <w:szCs w:val="24"/>
        </w:rPr>
      </w:pPr>
    </w:p>
    <w:p w14:paraId="4FFDEF8E" w14:textId="77777777" w:rsidR="00D66BAA" w:rsidRDefault="00D66BAA" w:rsidP="00F326E5">
      <w:pPr>
        <w:pStyle w:val="NoSpacing"/>
        <w:rPr>
          <w:rFonts w:ascii="Arial Black" w:hAnsi="Arial Black"/>
          <w:sz w:val="24"/>
          <w:szCs w:val="24"/>
        </w:rPr>
      </w:pPr>
    </w:p>
    <w:p w14:paraId="29964F1C" w14:textId="77777777" w:rsidR="00D66BAA" w:rsidRDefault="00D66BAA" w:rsidP="00F326E5">
      <w:pPr>
        <w:pStyle w:val="NoSpacing"/>
        <w:rPr>
          <w:rFonts w:ascii="Arial Black" w:hAnsi="Arial Black"/>
          <w:sz w:val="24"/>
          <w:szCs w:val="24"/>
        </w:rPr>
      </w:pPr>
    </w:p>
    <w:p w14:paraId="576D8954" w14:textId="3CD7459C" w:rsidR="00465DC0" w:rsidRDefault="00465DC0" w:rsidP="00F326E5">
      <w:pPr>
        <w:pStyle w:val="NoSpacing"/>
        <w:rPr>
          <w:rFonts w:ascii="Arial Black" w:hAnsi="Arial Black"/>
          <w:sz w:val="24"/>
          <w:szCs w:val="24"/>
        </w:rPr>
      </w:pPr>
      <w:r>
        <w:rPr>
          <w:rFonts w:ascii="Arial Black" w:hAnsi="Arial Black"/>
          <w:sz w:val="24"/>
          <w:szCs w:val="24"/>
        </w:rPr>
        <w:t>17-27</w:t>
      </w:r>
    </w:p>
    <w:p w14:paraId="34A39FA0" w14:textId="77777777" w:rsidR="00465DC0" w:rsidRPr="00F3276E" w:rsidRDefault="00465DC0" w:rsidP="00465DC0">
      <w:pPr>
        <w:pStyle w:val="NormalWeb"/>
        <w:rPr>
          <w:rFonts w:ascii="Arial Black" w:hAnsi="Arial Black"/>
          <w:sz w:val="28"/>
          <w:szCs w:val="28"/>
        </w:rPr>
      </w:pPr>
      <w:r w:rsidRPr="00F3276E">
        <w:rPr>
          <w:rFonts w:ascii="Arial Black" w:hAnsi="Arial Black"/>
          <w:sz w:val="28"/>
          <w:szCs w:val="28"/>
        </w:rPr>
        <w:t xml:space="preserve">NLRB – REVERSES TWO PRIOR RULINGS - SEVERANCE AGREEMENTS </w:t>
      </w:r>
      <w:r>
        <w:rPr>
          <w:rFonts w:ascii="Arial Black" w:hAnsi="Arial Black"/>
          <w:sz w:val="28"/>
          <w:szCs w:val="28"/>
        </w:rPr>
        <w:t xml:space="preserve">– NO </w:t>
      </w:r>
      <w:r w:rsidRPr="00F3276E">
        <w:rPr>
          <w:rFonts w:ascii="Arial Black" w:hAnsi="Arial Black"/>
          <w:sz w:val="28"/>
          <w:szCs w:val="28"/>
        </w:rPr>
        <w:t xml:space="preserve">DISCLOSURE </w:t>
      </w:r>
      <w:r>
        <w:rPr>
          <w:rFonts w:ascii="Arial Black" w:hAnsi="Arial Black"/>
          <w:sz w:val="28"/>
          <w:szCs w:val="28"/>
        </w:rPr>
        <w:t xml:space="preserve">/ NO </w:t>
      </w:r>
      <w:r w:rsidRPr="00F3276E">
        <w:rPr>
          <w:rFonts w:ascii="Arial Black" w:hAnsi="Arial Black"/>
          <w:sz w:val="28"/>
          <w:szCs w:val="28"/>
        </w:rPr>
        <w:t xml:space="preserve">“DISPARAGE” </w:t>
      </w:r>
    </w:p>
    <w:p w14:paraId="042F7E8B" w14:textId="77777777" w:rsidR="00465DC0" w:rsidRDefault="00465DC0" w:rsidP="00465DC0">
      <w:pPr>
        <w:pStyle w:val="Heading1"/>
        <w:rPr>
          <w:rStyle w:val="field"/>
          <w:b w:val="0"/>
          <w:bCs w:val="0"/>
          <w:sz w:val="24"/>
          <w:szCs w:val="24"/>
        </w:rPr>
      </w:pPr>
      <w:r w:rsidRPr="00216DC5">
        <w:rPr>
          <w:rStyle w:val="field"/>
          <w:b w:val="0"/>
          <w:bCs w:val="0"/>
          <w:sz w:val="24"/>
          <w:szCs w:val="24"/>
        </w:rPr>
        <w:t xml:space="preserve">On Feb. 21, 2023, </w:t>
      </w:r>
      <w:r>
        <w:rPr>
          <w:rStyle w:val="field"/>
          <w:b w:val="0"/>
          <w:bCs w:val="0"/>
          <w:sz w:val="24"/>
          <w:szCs w:val="24"/>
        </w:rPr>
        <w:t xml:space="preserve">in </w:t>
      </w:r>
      <w:r w:rsidRPr="00216DC5">
        <w:rPr>
          <w:b w:val="0"/>
          <w:bCs w:val="0"/>
          <w:sz w:val="24"/>
          <w:szCs w:val="24"/>
          <w:u w:val="single"/>
        </w:rPr>
        <w:t>McLaren Macomb and Local 40 RN Staff Council, Office and Professional Employees, International Union (OPEIU), AFL–CIO</w:t>
      </w:r>
      <w:r>
        <w:rPr>
          <w:b w:val="0"/>
          <w:bCs w:val="0"/>
          <w:sz w:val="24"/>
          <w:szCs w:val="24"/>
        </w:rPr>
        <w:t>, the National Labor Relations Board departed from two prior decisions in 2020, and held (3 to 1) that a hospital in Mt. Clemens, Michigan, with 2,300 employees, during the COVID period in June 2020 permanently furloughed 11 service employees who were members of this Local. Each employee signed a Severance Agreement that not only released the hospital from any claims arising from their employment, but further prohibited then from disparaging the hospital, and required confidentiality about the terms of the agreement, except to spouse or tax preparer or attorney. The NLRB General Counsel filed a complaint against the hospital, since breach of these provisions could lead to loss of severance benefits.  The NLRB agreed: “</w:t>
      </w:r>
      <w:r w:rsidRPr="006F2BFB">
        <w:rPr>
          <w:b w:val="0"/>
          <w:bCs w:val="0"/>
          <w:sz w:val="24"/>
          <w:szCs w:val="24"/>
        </w:rPr>
        <w:t>Examining the language of the severance agreement</w:t>
      </w:r>
      <w:r>
        <w:rPr>
          <w:b w:val="0"/>
          <w:bCs w:val="0"/>
          <w:sz w:val="24"/>
          <w:szCs w:val="24"/>
        </w:rPr>
        <w:t xml:space="preserve"> </w:t>
      </w:r>
      <w:r w:rsidRPr="006F2BFB">
        <w:rPr>
          <w:b w:val="0"/>
          <w:bCs w:val="0"/>
          <w:sz w:val="24"/>
          <w:szCs w:val="24"/>
        </w:rPr>
        <w:t>here, we conclude that the non</w:t>
      </w:r>
      <w:r>
        <w:rPr>
          <w:b w:val="0"/>
          <w:bCs w:val="0"/>
          <w:sz w:val="24"/>
          <w:szCs w:val="24"/>
        </w:rPr>
        <w:t>-</w:t>
      </w:r>
      <w:r w:rsidRPr="006F2BFB">
        <w:rPr>
          <w:b w:val="0"/>
          <w:bCs w:val="0"/>
          <w:sz w:val="24"/>
          <w:szCs w:val="24"/>
        </w:rPr>
        <w:t>disparagement and confidentiality provisions interfere with, restrain, or coerce</w:t>
      </w:r>
      <w:r>
        <w:rPr>
          <w:b w:val="0"/>
          <w:bCs w:val="0"/>
          <w:sz w:val="24"/>
          <w:szCs w:val="24"/>
        </w:rPr>
        <w:t xml:space="preserve"> </w:t>
      </w:r>
      <w:r w:rsidRPr="006F2BFB">
        <w:rPr>
          <w:b w:val="0"/>
          <w:bCs w:val="0"/>
          <w:sz w:val="24"/>
          <w:szCs w:val="24"/>
        </w:rPr>
        <w:t>employees’ exercise of Section 7 rights.</w:t>
      </w:r>
      <w:r>
        <w:rPr>
          <w:b w:val="0"/>
          <w:bCs w:val="0"/>
          <w:sz w:val="24"/>
          <w:szCs w:val="24"/>
        </w:rPr>
        <w:t xml:space="preserve">” </w:t>
      </w:r>
      <w:hyperlink r:id="rId2937" w:history="1">
        <w:r w:rsidRPr="003F256B">
          <w:rPr>
            <w:rStyle w:val="Hyperlink"/>
            <w:rFonts w:eastAsiaTheme="majorEastAsia"/>
            <w:b w:val="0"/>
            <w:bCs w:val="0"/>
            <w:sz w:val="24"/>
            <w:szCs w:val="24"/>
          </w:rPr>
          <w:t>file:///C:/Users/lawre/Downloads/Board%20Decision.pdf</w:t>
        </w:r>
      </w:hyperlink>
      <w:r>
        <w:rPr>
          <w:rStyle w:val="field"/>
          <w:b w:val="0"/>
          <w:bCs w:val="0"/>
          <w:sz w:val="24"/>
          <w:szCs w:val="24"/>
        </w:rPr>
        <w:t xml:space="preserve"> </w:t>
      </w:r>
    </w:p>
    <w:p w14:paraId="2D163D90" w14:textId="77777777" w:rsidR="00465DC0" w:rsidRDefault="00465DC0" w:rsidP="00465DC0">
      <w:pPr>
        <w:pStyle w:val="Heading1"/>
        <w:rPr>
          <w:rStyle w:val="field"/>
          <w:b w:val="0"/>
          <w:bCs w:val="0"/>
          <w:sz w:val="24"/>
          <w:szCs w:val="24"/>
        </w:rPr>
      </w:pPr>
      <w:r>
        <w:rPr>
          <w:rStyle w:val="field"/>
          <w:b w:val="0"/>
          <w:bCs w:val="0"/>
          <w:sz w:val="24"/>
          <w:szCs w:val="24"/>
        </w:rPr>
        <w:tab/>
        <w:t xml:space="preserve">The NLRB issued a Press Release about this significant decision. </w:t>
      </w:r>
    </w:p>
    <w:p w14:paraId="49449773" w14:textId="77777777" w:rsidR="00465DC0" w:rsidRPr="00216DC5" w:rsidRDefault="00465DC0" w:rsidP="00465DC0">
      <w:pPr>
        <w:pStyle w:val="Heading1"/>
        <w:ind w:left="720"/>
        <w:rPr>
          <w:sz w:val="24"/>
          <w:szCs w:val="24"/>
        </w:rPr>
      </w:pPr>
      <w:r>
        <w:rPr>
          <w:rStyle w:val="field"/>
          <w:sz w:val="24"/>
          <w:szCs w:val="24"/>
        </w:rPr>
        <w:t>“</w:t>
      </w:r>
      <w:r w:rsidRPr="00216DC5">
        <w:rPr>
          <w:rStyle w:val="field"/>
          <w:sz w:val="24"/>
          <w:szCs w:val="24"/>
        </w:rPr>
        <w:t xml:space="preserve">Board Rules that Employers May Not Offer Severance Agreements Requiring Employees to Broadly Waive Labor Law Rights </w:t>
      </w:r>
    </w:p>
    <w:p w14:paraId="67730452" w14:textId="77777777" w:rsidR="00465DC0" w:rsidRDefault="00465DC0" w:rsidP="00465DC0">
      <w:pPr>
        <w:pStyle w:val="NormalWeb"/>
        <w:ind w:left="720"/>
      </w:pPr>
      <w:r>
        <w:t xml:space="preserve">Today, the Board </w:t>
      </w:r>
      <w:hyperlink r:id="rId2938" w:history="1">
        <w:r>
          <w:rPr>
            <w:rStyle w:val="Hyperlink"/>
            <w:rFonts w:eastAsiaTheme="majorEastAsia"/>
          </w:rPr>
          <w:t xml:space="preserve">issued a decision in </w:t>
        </w:r>
        <w:r>
          <w:rPr>
            <w:rStyle w:val="Emphasis"/>
            <w:color w:val="0000FF"/>
            <w:u w:val="single"/>
          </w:rPr>
          <w:t>McLaren Macomb</w:t>
        </w:r>
      </w:hyperlink>
      <w:r>
        <w:rPr>
          <w:rStyle w:val="Emphasis"/>
        </w:rPr>
        <w:t xml:space="preserve">, </w:t>
      </w:r>
      <w:r>
        <w:t>returning to longstanding precedent holding that employers may not offer employees severance agreements that require employees to broadly waive their rights under the National Labor Relations Act. The decision involved severance agreements offered to furloughed employees that prohibited them from making statements that could disparage the employer and from disclosing the terms of the agreement itself.  </w:t>
      </w:r>
    </w:p>
    <w:p w14:paraId="4279AD0F" w14:textId="77777777" w:rsidR="00465DC0" w:rsidRDefault="00465DC0" w:rsidP="00465DC0">
      <w:pPr>
        <w:pStyle w:val="NormalWeb"/>
        <w:ind w:left="720"/>
      </w:pPr>
      <w:r>
        <w:t xml:space="preserve">The decision reverses the previous Board’s decisions in </w:t>
      </w:r>
      <w:r>
        <w:rPr>
          <w:rStyle w:val="Emphasis"/>
        </w:rPr>
        <w:t>Baylor University Medical Center</w:t>
      </w:r>
      <w:r>
        <w:t xml:space="preserve"> and </w:t>
      </w:r>
      <w:r>
        <w:rPr>
          <w:rStyle w:val="Emphasis"/>
        </w:rPr>
        <w:t xml:space="preserve">IGT d/b/a International Game Technology, </w:t>
      </w:r>
      <w:r>
        <w:t>issued in 2020</w:t>
      </w:r>
      <w:r>
        <w:rPr>
          <w:rStyle w:val="Emphasis"/>
        </w:rPr>
        <w:t>,</w:t>
      </w:r>
      <w:r>
        <w:t xml:space="preserve"> which abandoned prior precedent in finding that offering similar severance agreements to employees was not unlawful, by itself.  </w:t>
      </w:r>
    </w:p>
    <w:p w14:paraId="50F0E82C" w14:textId="77777777" w:rsidR="00465DC0" w:rsidRDefault="00465DC0" w:rsidP="00465DC0">
      <w:pPr>
        <w:pStyle w:val="NormalWeb"/>
        <w:ind w:left="720"/>
      </w:pPr>
      <w:r>
        <w:t xml:space="preserve">Today’s decision, in contrast, explains that simply offering employees a severance agreement that requires them to broadly give up their rights under Section 7 of the Act violates Section 8(a)(1) of the Act. The Board observed that the employer’s offer </w:t>
      </w:r>
      <w:proofErr w:type="gramStart"/>
      <w:r>
        <w:t>is itself</w:t>
      </w:r>
      <w:proofErr w:type="gramEnd"/>
      <w:r>
        <w:t xml:space="preserve"> an attempt to deter employees from exercising their statutory rights, at a time when employees may feel they must give up their rights </w:t>
      </w:r>
      <w:proofErr w:type="gramStart"/>
      <w:r>
        <w:t>in order to</w:t>
      </w:r>
      <w:proofErr w:type="gramEnd"/>
      <w:r>
        <w:t xml:space="preserve"> get the benefits provided in the agreement.      </w:t>
      </w:r>
    </w:p>
    <w:p w14:paraId="4507C403" w14:textId="77777777" w:rsidR="00465DC0" w:rsidRDefault="00465DC0" w:rsidP="00465DC0">
      <w:pPr>
        <w:pStyle w:val="NormalWeb"/>
        <w:ind w:left="720"/>
      </w:pPr>
      <w:r>
        <w:t>‘It’s long been understood by the Board and the courts that employers cannot ask individual employees to choose between receiving benefits and exercising their rights under the National Labor Relations Act.  Today’s decision upholds this important principle and restores longstanding precedent,’ said Chairman Lauren McFerran.   </w:t>
      </w:r>
    </w:p>
    <w:p w14:paraId="55F793BC" w14:textId="77777777" w:rsidR="00465DC0" w:rsidRDefault="00465DC0" w:rsidP="00465DC0">
      <w:pPr>
        <w:pStyle w:val="NormalWeb"/>
        <w:ind w:left="720"/>
      </w:pPr>
      <w:r>
        <w:t xml:space="preserve">Members Wilcox and Prouty joined Chairman McFerran in issuing the decision. Member Kaplan dissented.” </w:t>
      </w:r>
      <w:hyperlink r:id="rId2939" w:history="1">
        <w:r w:rsidRPr="003F256B">
          <w:rPr>
            <w:rStyle w:val="Hyperlink"/>
            <w:rFonts w:eastAsiaTheme="majorEastAsia"/>
          </w:rPr>
          <w:t>https://www.nlrb.gov/news-outreach/news-story/board-rules-that-employers-may-not-offer-severance-agreements-requiring</w:t>
        </w:r>
      </w:hyperlink>
      <w:r>
        <w:t xml:space="preserve"> </w:t>
      </w:r>
    </w:p>
    <w:p w14:paraId="15EB7BAD" w14:textId="77777777" w:rsidR="00465DC0" w:rsidRPr="006F2BFB" w:rsidRDefault="00465DC0" w:rsidP="00465DC0">
      <w:pPr>
        <w:pStyle w:val="Heading1"/>
        <w:rPr>
          <w:rStyle w:val="field"/>
          <w:sz w:val="24"/>
          <w:szCs w:val="24"/>
        </w:rPr>
      </w:pPr>
      <w:r w:rsidRPr="006F2BFB">
        <w:rPr>
          <w:rStyle w:val="field"/>
          <w:sz w:val="24"/>
          <w:szCs w:val="24"/>
        </w:rPr>
        <w:t xml:space="preserve">Legal Lesson Learned: </w:t>
      </w:r>
      <w:r>
        <w:rPr>
          <w:rStyle w:val="field"/>
          <w:sz w:val="24"/>
          <w:szCs w:val="24"/>
        </w:rPr>
        <w:t xml:space="preserve">Fire &amp; EMS Departments should consult Legal Counsel about this significant change by NLRB. See two prior decisions, and dissenting opinion by NLRB Member Marvin Kaplan. </w:t>
      </w:r>
    </w:p>
    <w:p w14:paraId="05F4504D" w14:textId="77777777" w:rsidR="00465DC0" w:rsidRDefault="00465DC0" w:rsidP="00465DC0">
      <w:pPr>
        <w:pStyle w:val="Heading1"/>
        <w:ind w:left="720"/>
        <w:rPr>
          <w:rStyle w:val="field"/>
          <w:b w:val="0"/>
          <w:bCs w:val="0"/>
          <w:sz w:val="24"/>
          <w:szCs w:val="24"/>
        </w:rPr>
      </w:pPr>
      <w:r>
        <w:rPr>
          <w:rStyle w:val="field"/>
          <w:b w:val="0"/>
          <w:bCs w:val="0"/>
          <w:sz w:val="24"/>
          <w:szCs w:val="24"/>
        </w:rPr>
        <w:t xml:space="preserve">Note: See two decisions in 2020 now being rejected. </w:t>
      </w:r>
    </w:p>
    <w:p w14:paraId="08B95326" w14:textId="77777777" w:rsidR="00465DC0" w:rsidRPr="009F5DB1" w:rsidRDefault="00465DC0" w:rsidP="00465DC0">
      <w:pPr>
        <w:pStyle w:val="Heading1"/>
        <w:ind w:left="1440"/>
        <w:rPr>
          <w:rStyle w:val="field"/>
          <w:b w:val="0"/>
          <w:bCs w:val="0"/>
          <w:sz w:val="24"/>
          <w:szCs w:val="24"/>
        </w:rPr>
      </w:pPr>
      <w:r w:rsidRPr="00A00396">
        <w:rPr>
          <w:b w:val="0"/>
          <w:bCs w:val="0"/>
          <w:sz w:val="24"/>
          <w:szCs w:val="24"/>
          <w:u w:val="single"/>
        </w:rPr>
        <w:t>Baylor University Medical Center and Dora S. Camacho</w:t>
      </w:r>
      <w:r w:rsidRPr="00CB15E1">
        <w:rPr>
          <w:b w:val="0"/>
          <w:bCs w:val="0"/>
          <w:sz w:val="24"/>
          <w:szCs w:val="24"/>
        </w:rPr>
        <w:t>. Case 16–CA–195335</w:t>
      </w:r>
      <w:r w:rsidRPr="00CB15E1">
        <w:rPr>
          <w:b w:val="0"/>
          <w:bCs w:val="0"/>
          <w:sz w:val="24"/>
          <w:szCs w:val="24"/>
        </w:rPr>
        <w:br/>
        <w:t>March 16, 2020</w:t>
      </w:r>
      <w:r>
        <w:rPr>
          <w:b w:val="0"/>
          <w:bCs w:val="0"/>
          <w:sz w:val="24"/>
          <w:szCs w:val="24"/>
        </w:rPr>
        <w:t xml:space="preserve">.  </w:t>
      </w:r>
      <w:hyperlink r:id="rId2940" w:history="1">
        <w:r w:rsidRPr="003F256B">
          <w:rPr>
            <w:rStyle w:val="Hyperlink"/>
            <w:rFonts w:eastAsiaTheme="majorEastAsia"/>
            <w:b w:val="0"/>
            <w:bCs w:val="0"/>
            <w:sz w:val="24"/>
            <w:szCs w:val="24"/>
          </w:rPr>
          <w:t>http://www.lanermuchin.com/assets/htmldocuments/Board%20Decision-%20Baylor.pdf</w:t>
        </w:r>
      </w:hyperlink>
      <w:r>
        <w:rPr>
          <w:b w:val="0"/>
          <w:bCs w:val="0"/>
          <w:sz w:val="24"/>
          <w:szCs w:val="24"/>
        </w:rPr>
        <w:t xml:space="preserve"> </w:t>
      </w:r>
      <w:r w:rsidRPr="00CB15E1">
        <w:rPr>
          <w:b w:val="0"/>
          <w:bCs w:val="0"/>
          <w:sz w:val="24"/>
          <w:szCs w:val="24"/>
        </w:rPr>
        <w:br/>
      </w:r>
      <w:r>
        <w:rPr>
          <w:b w:val="0"/>
          <w:bCs w:val="0"/>
          <w:sz w:val="24"/>
          <w:szCs w:val="24"/>
        </w:rPr>
        <w:t>“</w:t>
      </w:r>
      <w:r w:rsidRPr="00CB15E1">
        <w:rPr>
          <w:b w:val="0"/>
          <w:bCs w:val="0"/>
          <w:sz w:val="24"/>
          <w:szCs w:val="24"/>
        </w:rPr>
        <w:t>Baylor fired Camacho on September 30, 2016.</w:t>
      </w:r>
      <w:r>
        <w:rPr>
          <w:b w:val="0"/>
          <w:bCs w:val="0"/>
          <w:sz w:val="24"/>
          <w:szCs w:val="24"/>
        </w:rPr>
        <w:t xml:space="preserve"> </w:t>
      </w:r>
      <w:r w:rsidRPr="00CB15E1">
        <w:rPr>
          <w:b w:val="0"/>
          <w:bCs w:val="0"/>
          <w:sz w:val="24"/>
          <w:szCs w:val="24"/>
        </w:rPr>
        <w:t>On October</w:t>
      </w:r>
      <w:r>
        <w:rPr>
          <w:b w:val="0"/>
          <w:bCs w:val="0"/>
          <w:sz w:val="24"/>
          <w:szCs w:val="24"/>
        </w:rPr>
        <w:t xml:space="preserve"> </w:t>
      </w:r>
      <w:r w:rsidRPr="00CB15E1">
        <w:rPr>
          <w:b w:val="0"/>
          <w:bCs w:val="0"/>
          <w:sz w:val="24"/>
          <w:szCs w:val="24"/>
        </w:rPr>
        <w:t xml:space="preserve">4, it offered her over $10,000 in exchange for signing a </w:t>
      </w:r>
      <w:r>
        <w:rPr>
          <w:b w:val="0"/>
          <w:bCs w:val="0"/>
          <w:sz w:val="24"/>
          <w:szCs w:val="24"/>
        </w:rPr>
        <w:t xml:space="preserve">… </w:t>
      </w:r>
      <w:r w:rsidRPr="00CB15E1">
        <w:rPr>
          <w:b w:val="0"/>
          <w:bCs w:val="0"/>
          <w:sz w:val="24"/>
          <w:szCs w:val="24"/>
        </w:rPr>
        <w:t>Separation Agreement</w:t>
      </w:r>
      <w:r>
        <w:rPr>
          <w:b w:val="0"/>
          <w:bCs w:val="0"/>
          <w:sz w:val="24"/>
          <w:szCs w:val="24"/>
        </w:rPr>
        <w:t xml:space="preserve"> [that contained waiver of future claims; non-disparagement; non-disclosure.]</w:t>
      </w:r>
      <w:r w:rsidRPr="00CB15E1">
        <w:rPr>
          <w:b w:val="0"/>
          <w:bCs w:val="0"/>
          <w:sz w:val="24"/>
          <w:szCs w:val="24"/>
        </w:rPr>
        <w:t xml:space="preserve"> She refused to sign the Separation Agreement</w:t>
      </w:r>
      <w:r>
        <w:rPr>
          <w:b w:val="0"/>
          <w:bCs w:val="0"/>
          <w:sz w:val="24"/>
          <w:szCs w:val="24"/>
        </w:rPr>
        <w:t xml:space="preserve"> </w:t>
      </w:r>
      <w:r w:rsidRPr="00CB15E1">
        <w:rPr>
          <w:b w:val="0"/>
          <w:bCs w:val="0"/>
          <w:sz w:val="24"/>
          <w:szCs w:val="24"/>
        </w:rPr>
        <w:t>and, instead, brought the instant charge challenging the legality</w:t>
      </w:r>
      <w:r>
        <w:rPr>
          <w:b w:val="0"/>
          <w:bCs w:val="0"/>
          <w:sz w:val="24"/>
          <w:szCs w:val="24"/>
        </w:rPr>
        <w:t xml:space="preserve"> </w:t>
      </w:r>
      <w:r w:rsidRPr="00CB15E1">
        <w:rPr>
          <w:b w:val="0"/>
          <w:bCs w:val="0"/>
          <w:sz w:val="24"/>
          <w:szCs w:val="24"/>
        </w:rPr>
        <w:t>of the agreement.</w:t>
      </w:r>
      <w:r>
        <w:rPr>
          <w:b w:val="0"/>
          <w:bCs w:val="0"/>
          <w:sz w:val="24"/>
          <w:szCs w:val="24"/>
        </w:rPr>
        <w:t xml:space="preserve"> *** </w:t>
      </w:r>
      <w:r w:rsidRPr="009F5DB1">
        <w:rPr>
          <w:b w:val="0"/>
          <w:bCs w:val="0"/>
          <w:sz w:val="24"/>
          <w:szCs w:val="24"/>
        </w:rPr>
        <w:t>In these circumstances, we find that the mere proffer of</w:t>
      </w:r>
      <w:r>
        <w:rPr>
          <w:b w:val="0"/>
          <w:bCs w:val="0"/>
          <w:sz w:val="24"/>
          <w:szCs w:val="24"/>
        </w:rPr>
        <w:t xml:space="preserve"> </w:t>
      </w:r>
      <w:r w:rsidRPr="009F5DB1">
        <w:rPr>
          <w:b w:val="0"/>
          <w:bCs w:val="0"/>
          <w:sz w:val="24"/>
          <w:szCs w:val="24"/>
        </w:rPr>
        <w:t>severance agreements containing the three challenged provisions did not reasonably tend to interfere with, restrain,</w:t>
      </w:r>
      <w:r>
        <w:rPr>
          <w:b w:val="0"/>
          <w:bCs w:val="0"/>
          <w:sz w:val="24"/>
          <w:szCs w:val="24"/>
        </w:rPr>
        <w:t xml:space="preserve"> </w:t>
      </w:r>
      <w:r w:rsidRPr="009F5DB1">
        <w:rPr>
          <w:b w:val="0"/>
          <w:bCs w:val="0"/>
          <w:sz w:val="24"/>
          <w:szCs w:val="24"/>
        </w:rPr>
        <w:t>or coerce employees in the exercise of rights under the</w:t>
      </w:r>
      <w:r>
        <w:rPr>
          <w:b w:val="0"/>
          <w:bCs w:val="0"/>
          <w:sz w:val="24"/>
          <w:szCs w:val="24"/>
        </w:rPr>
        <w:t xml:space="preserve"> </w:t>
      </w:r>
      <w:r w:rsidRPr="009F5DB1">
        <w:rPr>
          <w:b w:val="0"/>
          <w:bCs w:val="0"/>
          <w:sz w:val="24"/>
          <w:szCs w:val="24"/>
        </w:rPr>
        <w:t>Act.7 Accordingly, we reverse the judge in part and dismiss the complaint.</w:t>
      </w:r>
    </w:p>
    <w:p w14:paraId="48B77C9F" w14:textId="77777777" w:rsidR="00465DC0" w:rsidRPr="00A00396" w:rsidRDefault="00465DC0" w:rsidP="00465DC0">
      <w:pPr>
        <w:pStyle w:val="Heading1"/>
        <w:ind w:left="1440"/>
        <w:rPr>
          <w:rStyle w:val="field"/>
          <w:b w:val="0"/>
          <w:bCs w:val="0"/>
          <w:sz w:val="24"/>
          <w:szCs w:val="24"/>
        </w:rPr>
      </w:pPr>
      <w:r w:rsidRPr="00A00396">
        <w:rPr>
          <w:b w:val="0"/>
          <w:bCs w:val="0"/>
          <w:sz w:val="24"/>
          <w:szCs w:val="24"/>
          <w:u w:val="single"/>
        </w:rPr>
        <w:t>GT d/b/a International Game Technology and International Union of Operating Engineers Local Union 501, AFL-CIO</w:t>
      </w:r>
      <w:r w:rsidRPr="009F5DB1">
        <w:rPr>
          <w:b w:val="0"/>
          <w:bCs w:val="0"/>
          <w:sz w:val="24"/>
          <w:szCs w:val="24"/>
        </w:rPr>
        <w:t>. November 24, 2020</w:t>
      </w:r>
      <w:r>
        <w:rPr>
          <w:b w:val="0"/>
          <w:bCs w:val="0"/>
          <w:sz w:val="24"/>
          <w:szCs w:val="24"/>
        </w:rPr>
        <w:t xml:space="preserve">. </w:t>
      </w:r>
      <w:hyperlink r:id="rId2941" w:history="1">
        <w:r w:rsidRPr="003F256B">
          <w:rPr>
            <w:rStyle w:val="Hyperlink"/>
            <w:rFonts w:eastAsiaTheme="majorEastAsia"/>
            <w:b w:val="0"/>
            <w:bCs w:val="0"/>
            <w:sz w:val="24"/>
            <w:szCs w:val="24"/>
          </w:rPr>
          <w:t>https://www.jacksonlewis.com/sites/default/files/docs/IGTBoardDecision.pdf</w:t>
        </w:r>
      </w:hyperlink>
      <w:r>
        <w:rPr>
          <w:b w:val="0"/>
          <w:bCs w:val="0"/>
          <w:sz w:val="24"/>
          <w:szCs w:val="24"/>
        </w:rPr>
        <w:t xml:space="preserve">  “</w:t>
      </w:r>
      <w:r w:rsidRPr="009F5DB1">
        <w:rPr>
          <w:b w:val="0"/>
          <w:bCs w:val="0"/>
          <w:sz w:val="24"/>
          <w:szCs w:val="24"/>
        </w:rPr>
        <w:t>The Respondent is a multinational company that assembles, installs, removes, services, and repairs gaming machines. It has a practice of offering the Agreement to employees terminated as a result of the elimination of their</w:t>
      </w:r>
      <w:r>
        <w:rPr>
          <w:b w:val="0"/>
          <w:bCs w:val="0"/>
          <w:sz w:val="24"/>
          <w:szCs w:val="24"/>
        </w:rPr>
        <w:t xml:space="preserve"> </w:t>
      </w:r>
      <w:r w:rsidRPr="009F5DB1">
        <w:rPr>
          <w:b w:val="0"/>
          <w:bCs w:val="0"/>
          <w:sz w:val="24"/>
          <w:szCs w:val="24"/>
        </w:rPr>
        <w:t>positions</w:t>
      </w:r>
      <w:r>
        <w:rPr>
          <w:b w:val="0"/>
          <w:bCs w:val="0"/>
          <w:sz w:val="24"/>
          <w:szCs w:val="24"/>
        </w:rPr>
        <w:t xml:space="preserve"> [with two weeks of pay]….I</w:t>
      </w:r>
      <w:r w:rsidRPr="00A00396">
        <w:rPr>
          <w:b w:val="0"/>
          <w:bCs w:val="0"/>
          <w:sz w:val="24"/>
          <w:szCs w:val="24"/>
        </w:rPr>
        <w:t>n conclusion, because the Agreement is entirely voluntary, does not affect pay or benefits that were established</w:t>
      </w:r>
      <w:r>
        <w:rPr>
          <w:b w:val="0"/>
          <w:bCs w:val="0"/>
          <w:sz w:val="24"/>
          <w:szCs w:val="24"/>
        </w:rPr>
        <w:t xml:space="preserve"> </w:t>
      </w:r>
      <w:r w:rsidRPr="00A00396">
        <w:rPr>
          <w:b w:val="0"/>
          <w:bCs w:val="0"/>
          <w:sz w:val="24"/>
          <w:szCs w:val="24"/>
        </w:rPr>
        <w:t xml:space="preserve">as terms of employment, and has not been proffered coercively, we find that the </w:t>
      </w:r>
      <w:proofErr w:type="spellStart"/>
      <w:r w:rsidRPr="00A00396">
        <w:rPr>
          <w:b w:val="0"/>
          <w:bCs w:val="0"/>
          <w:sz w:val="24"/>
          <w:szCs w:val="24"/>
        </w:rPr>
        <w:t>nondisparagement</w:t>
      </w:r>
      <w:proofErr w:type="spellEnd"/>
      <w:r w:rsidRPr="00A00396">
        <w:rPr>
          <w:b w:val="0"/>
          <w:bCs w:val="0"/>
          <w:sz w:val="24"/>
          <w:szCs w:val="24"/>
        </w:rPr>
        <w:t xml:space="preserve"> provision</w:t>
      </w:r>
      <w:r>
        <w:rPr>
          <w:b w:val="0"/>
          <w:bCs w:val="0"/>
          <w:sz w:val="24"/>
          <w:szCs w:val="24"/>
        </w:rPr>
        <w:t xml:space="preserve"> </w:t>
      </w:r>
      <w:r w:rsidRPr="00A00396">
        <w:rPr>
          <w:b w:val="0"/>
          <w:bCs w:val="0"/>
          <w:sz w:val="24"/>
          <w:szCs w:val="24"/>
        </w:rPr>
        <w:t>would not tend to interfere with, restrain, or coerce employees in the exercise of their rights under the Act.</w:t>
      </w:r>
      <w:r>
        <w:rPr>
          <w:b w:val="0"/>
          <w:bCs w:val="0"/>
          <w:sz w:val="24"/>
          <w:szCs w:val="24"/>
        </w:rPr>
        <w:t>”</w:t>
      </w:r>
    </w:p>
    <w:p w14:paraId="4234B2DB" w14:textId="77777777" w:rsidR="00465DC0" w:rsidRDefault="00465DC0" w:rsidP="00465DC0">
      <w:pPr>
        <w:pStyle w:val="Heading1"/>
        <w:ind w:left="720"/>
        <w:rPr>
          <w:rStyle w:val="field"/>
          <w:b w:val="0"/>
          <w:bCs w:val="0"/>
          <w:sz w:val="24"/>
          <w:szCs w:val="24"/>
        </w:rPr>
      </w:pPr>
      <w:r>
        <w:rPr>
          <w:rStyle w:val="field"/>
          <w:b w:val="0"/>
          <w:bCs w:val="0"/>
          <w:sz w:val="24"/>
          <w:szCs w:val="24"/>
        </w:rPr>
        <w:t xml:space="preserve">See dissent </w:t>
      </w:r>
      <w:proofErr w:type="gramStart"/>
      <w:r>
        <w:rPr>
          <w:rStyle w:val="field"/>
          <w:b w:val="0"/>
          <w:bCs w:val="0"/>
          <w:sz w:val="24"/>
          <w:szCs w:val="24"/>
        </w:rPr>
        <w:t>by</w:t>
      </w:r>
      <w:proofErr w:type="gramEnd"/>
      <w:r>
        <w:rPr>
          <w:rStyle w:val="field"/>
          <w:b w:val="0"/>
          <w:bCs w:val="0"/>
          <w:sz w:val="24"/>
          <w:szCs w:val="24"/>
        </w:rPr>
        <w:t xml:space="preserve"> NLRB member Marvin E. Kaplan: </w:t>
      </w:r>
    </w:p>
    <w:p w14:paraId="7ABE6641" w14:textId="77777777" w:rsidR="00465DC0" w:rsidRPr="00CB15E1" w:rsidRDefault="00465DC0" w:rsidP="00465DC0">
      <w:pPr>
        <w:pStyle w:val="Heading1"/>
        <w:ind w:left="1440"/>
        <w:rPr>
          <w:rStyle w:val="field"/>
          <w:b w:val="0"/>
          <w:bCs w:val="0"/>
          <w:sz w:val="24"/>
          <w:szCs w:val="24"/>
        </w:rPr>
      </w:pPr>
      <w:r>
        <w:rPr>
          <w:b w:val="0"/>
          <w:bCs w:val="0"/>
          <w:sz w:val="24"/>
          <w:szCs w:val="24"/>
        </w:rPr>
        <w:t>“</w:t>
      </w:r>
      <w:r w:rsidRPr="00CB15E1">
        <w:rPr>
          <w:b w:val="0"/>
          <w:bCs w:val="0"/>
          <w:sz w:val="24"/>
          <w:szCs w:val="24"/>
        </w:rPr>
        <w:t>Baylor and IGT were sound, pragmatic decisions fully</w:t>
      </w:r>
      <w:r>
        <w:rPr>
          <w:b w:val="0"/>
          <w:bCs w:val="0"/>
          <w:sz w:val="24"/>
          <w:szCs w:val="24"/>
        </w:rPr>
        <w:t xml:space="preserve"> </w:t>
      </w:r>
      <w:r w:rsidRPr="00CB15E1">
        <w:rPr>
          <w:b w:val="0"/>
          <w:bCs w:val="0"/>
          <w:sz w:val="24"/>
          <w:szCs w:val="24"/>
        </w:rPr>
        <w:t>consistent with the Act, and my colleagues have failed to</w:t>
      </w:r>
      <w:r>
        <w:rPr>
          <w:b w:val="0"/>
          <w:bCs w:val="0"/>
          <w:sz w:val="24"/>
          <w:szCs w:val="24"/>
        </w:rPr>
        <w:t xml:space="preserve"> </w:t>
      </w:r>
      <w:r w:rsidRPr="00CB15E1">
        <w:rPr>
          <w:b w:val="0"/>
          <w:bCs w:val="0"/>
          <w:sz w:val="24"/>
          <w:szCs w:val="24"/>
        </w:rPr>
        <w:t xml:space="preserve">establish sufficient grounds for overturning those decisions. Contrary to my colleagues’ assertions, the holdings in Baylor and IGT did not conflict with </w:t>
      </w:r>
      <w:r>
        <w:rPr>
          <w:b w:val="0"/>
          <w:bCs w:val="0"/>
          <w:sz w:val="24"/>
          <w:szCs w:val="24"/>
        </w:rPr>
        <w:t>‘</w:t>
      </w:r>
      <w:r w:rsidRPr="00CB15E1">
        <w:rPr>
          <w:b w:val="0"/>
          <w:bCs w:val="0"/>
          <w:sz w:val="24"/>
          <w:szCs w:val="24"/>
        </w:rPr>
        <w:t>long-standing precedent.</w:t>
      </w:r>
      <w:r>
        <w:rPr>
          <w:b w:val="0"/>
          <w:bCs w:val="0"/>
          <w:sz w:val="24"/>
          <w:szCs w:val="24"/>
        </w:rPr>
        <w:t>’</w:t>
      </w:r>
      <w:r w:rsidRPr="00CB15E1">
        <w:rPr>
          <w:b w:val="0"/>
          <w:bCs w:val="0"/>
          <w:sz w:val="24"/>
          <w:szCs w:val="24"/>
        </w:rPr>
        <w:t xml:space="preserve"> None of the cases cited by my colleagues found that an employer, never having suggested</w:t>
      </w:r>
      <w:r>
        <w:rPr>
          <w:b w:val="0"/>
          <w:bCs w:val="0"/>
          <w:sz w:val="24"/>
          <w:szCs w:val="24"/>
        </w:rPr>
        <w:t xml:space="preserve"> </w:t>
      </w:r>
      <w:r w:rsidRPr="00CB15E1">
        <w:rPr>
          <w:b w:val="0"/>
          <w:bCs w:val="0"/>
          <w:sz w:val="24"/>
          <w:szCs w:val="24"/>
        </w:rPr>
        <w:t xml:space="preserve">any proclivity to </w:t>
      </w:r>
      <w:proofErr w:type="gramStart"/>
      <w:r w:rsidRPr="00CB15E1">
        <w:rPr>
          <w:b w:val="0"/>
          <w:bCs w:val="0"/>
          <w:sz w:val="24"/>
          <w:szCs w:val="24"/>
        </w:rPr>
        <w:t>violate</w:t>
      </w:r>
      <w:proofErr w:type="gramEnd"/>
      <w:r w:rsidRPr="00CB15E1">
        <w:rPr>
          <w:b w:val="0"/>
          <w:bCs w:val="0"/>
          <w:sz w:val="24"/>
          <w:szCs w:val="24"/>
        </w:rPr>
        <w:t xml:space="preserve"> the Act, violated the Act by</w:t>
      </w:r>
      <w:r>
        <w:rPr>
          <w:b w:val="0"/>
          <w:bCs w:val="0"/>
          <w:sz w:val="24"/>
          <w:szCs w:val="24"/>
        </w:rPr>
        <w:t xml:space="preserve"> </w:t>
      </w:r>
      <w:r w:rsidRPr="00CB15E1">
        <w:rPr>
          <w:b w:val="0"/>
          <w:bCs w:val="0"/>
          <w:sz w:val="24"/>
          <w:szCs w:val="24"/>
        </w:rPr>
        <w:t>proffering a severance agreement that could possibly be</w:t>
      </w:r>
      <w:r>
        <w:rPr>
          <w:b w:val="0"/>
          <w:bCs w:val="0"/>
          <w:sz w:val="24"/>
          <w:szCs w:val="24"/>
        </w:rPr>
        <w:t xml:space="preserve"> </w:t>
      </w:r>
      <w:r w:rsidRPr="00CB15E1">
        <w:rPr>
          <w:b w:val="0"/>
          <w:bCs w:val="0"/>
          <w:sz w:val="24"/>
          <w:szCs w:val="24"/>
        </w:rPr>
        <w:t>interpreted as limiting Section 7 rights. Indeed, the instant case does not present those circumstances. Nevertheless, my colleagues have used this case to overrule</w:t>
      </w:r>
      <w:r>
        <w:rPr>
          <w:b w:val="0"/>
          <w:bCs w:val="0"/>
          <w:sz w:val="24"/>
          <w:szCs w:val="24"/>
        </w:rPr>
        <w:t xml:space="preserve"> </w:t>
      </w:r>
      <w:r w:rsidRPr="00CB15E1">
        <w:rPr>
          <w:b w:val="0"/>
          <w:bCs w:val="0"/>
          <w:sz w:val="24"/>
          <w:szCs w:val="24"/>
        </w:rPr>
        <w:t xml:space="preserve">extant </w:t>
      </w:r>
      <w:proofErr w:type="gramStart"/>
      <w:r w:rsidRPr="00CB15E1">
        <w:rPr>
          <w:b w:val="0"/>
          <w:bCs w:val="0"/>
          <w:sz w:val="24"/>
          <w:szCs w:val="24"/>
        </w:rPr>
        <w:t>law</w:t>
      </w:r>
      <w:proofErr w:type="gramEnd"/>
      <w:r w:rsidRPr="00CB15E1">
        <w:rPr>
          <w:b w:val="0"/>
          <w:bCs w:val="0"/>
          <w:sz w:val="24"/>
          <w:szCs w:val="24"/>
        </w:rPr>
        <w:t xml:space="preserve"> that </w:t>
      </w:r>
      <w:proofErr w:type="gramStart"/>
      <w:r w:rsidRPr="00CB15E1">
        <w:rPr>
          <w:b w:val="0"/>
          <w:bCs w:val="0"/>
          <w:sz w:val="24"/>
          <w:szCs w:val="24"/>
        </w:rPr>
        <w:t>was</w:t>
      </w:r>
      <w:proofErr w:type="gramEnd"/>
      <w:r w:rsidRPr="00CB15E1">
        <w:rPr>
          <w:b w:val="0"/>
          <w:bCs w:val="0"/>
          <w:sz w:val="24"/>
          <w:szCs w:val="24"/>
        </w:rPr>
        <w:t xml:space="preserve"> consistent with finding the violation</w:t>
      </w:r>
      <w:r>
        <w:rPr>
          <w:b w:val="0"/>
          <w:bCs w:val="0"/>
          <w:sz w:val="24"/>
          <w:szCs w:val="24"/>
        </w:rPr>
        <w:t xml:space="preserve"> </w:t>
      </w:r>
      <w:r w:rsidRPr="00CB15E1">
        <w:rPr>
          <w:b w:val="0"/>
          <w:bCs w:val="0"/>
          <w:sz w:val="24"/>
          <w:szCs w:val="24"/>
        </w:rPr>
        <w:t xml:space="preserve">in this case </w:t>
      </w:r>
      <w:proofErr w:type="gramStart"/>
      <w:r w:rsidRPr="00CB15E1">
        <w:rPr>
          <w:b w:val="0"/>
          <w:bCs w:val="0"/>
          <w:sz w:val="24"/>
          <w:szCs w:val="24"/>
        </w:rPr>
        <w:t>in order to</w:t>
      </w:r>
      <w:proofErr w:type="gramEnd"/>
      <w:r w:rsidRPr="00CB15E1">
        <w:rPr>
          <w:b w:val="0"/>
          <w:bCs w:val="0"/>
          <w:sz w:val="24"/>
          <w:szCs w:val="24"/>
        </w:rPr>
        <w:t xml:space="preserve"> change the law, in effect, for cases</w:t>
      </w:r>
      <w:r>
        <w:rPr>
          <w:b w:val="0"/>
          <w:bCs w:val="0"/>
          <w:sz w:val="24"/>
          <w:szCs w:val="24"/>
        </w:rPr>
        <w:t xml:space="preserve"> </w:t>
      </w:r>
      <w:r w:rsidRPr="00CB15E1">
        <w:rPr>
          <w:b w:val="0"/>
          <w:bCs w:val="0"/>
          <w:sz w:val="24"/>
          <w:szCs w:val="24"/>
        </w:rPr>
        <w:t>not involving the facts presented in this case. Not only</w:t>
      </w:r>
      <w:r>
        <w:rPr>
          <w:b w:val="0"/>
          <w:bCs w:val="0"/>
          <w:sz w:val="24"/>
          <w:szCs w:val="24"/>
        </w:rPr>
        <w:t xml:space="preserve"> </w:t>
      </w:r>
      <w:r w:rsidRPr="00CB15E1">
        <w:rPr>
          <w:b w:val="0"/>
          <w:bCs w:val="0"/>
          <w:sz w:val="24"/>
          <w:szCs w:val="24"/>
        </w:rPr>
        <w:t>does this new standard go beyond what is necessary to</w:t>
      </w:r>
      <w:r w:rsidRPr="00CB15E1">
        <w:rPr>
          <w:b w:val="0"/>
          <w:bCs w:val="0"/>
          <w:sz w:val="24"/>
          <w:szCs w:val="24"/>
        </w:rPr>
        <w:br/>
        <w:t>decide this case but, for the reasons I have discussed, my</w:t>
      </w:r>
      <w:r>
        <w:rPr>
          <w:b w:val="0"/>
          <w:bCs w:val="0"/>
          <w:sz w:val="24"/>
          <w:szCs w:val="24"/>
        </w:rPr>
        <w:t xml:space="preserve"> </w:t>
      </w:r>
      <w:r w:rsidRPr="00CB15E1">
        <w:rPr>
          <w:b w:val="0"/>
          <w:bCs w:val="0"/>
          <w:sz w:val="24"/>
          <w:szCs w:val="24"/>
        </w:rPr>
        <w:t>colleagues’ finding of a threat violation under this new</w:t>
      </w:r>
      <w:r>
        <w:rPr>
          <w:b w:val="0"/>
          <w:bCs w:val="0"/>
          <w:sz w:val="24"/>
          <w:szCs w:val="24"/>
        </w:rPr>
        <w:t xml:space="preserve"> </w:t>
      </w:r>
      <w:r w:rsidRPr="00CB15E1">
        <w:rPr>
          <w:b w:val="0"/>
          <w:bCs w:val="0"/>
          <w:sz w:val="24"/>
          <w:szCs w:val="24"/>
        </w:rPr>
        <w:t>standard is neither correct under Board law nor consistent with the General Counsel’s complaint and litigation of this matter. Accordingly, I must respectfully dissent from this aspect of my colleagues’ decision.</w:t>
      </w:r>
      <w:r>
        <w:rPr>
          <w:b w:val="0"/>
          <w:bCs w:val="0"/>
          <w:sz w:val="24"/>
          <w:szCs w:val="24"/>
        </w:rPr>
        <w:t>”</w:t>
      </w:r>
    </w:p>
    <w:p w14:paraId="540B75CB" w14:textId="6CC4D6F8" w:rsidR="00D478CB" w:rsidRDefault="0055155D" w:rsidP="00F326E5">
      <w:pPr>
        <w:pStyle w:val="NoSpacing"/>
        <w:rPr>
          <w:rFonts w:ascii="Arial Black" w:hAnsi="Arial Black"/>
          <w:sz w:val="24"/>
          <w:szCs w:val="24"/>
        </w:rPr>
      </w:pPr>
      <w:r>
        <w:rPr>
          <w:rFonts w:ascii="Arial Black" w:hAnsi="Arial Black"/>
          <w:sz w:val="24"/>
          <w:szCs w:val="24"/>
        </w:rPr>
        <w:t>17-26</w:t>
      </w:r>
    </w:p>
    <w:p w14:paraId="6D9866CD" w14:textId="77777777" w:rsidR="000C3B06" w:rsidRDefault="000C3B06" w:rsidP="000C3B06">
      <w:pPr>
        <w:pStyle w:val="Heading1"/>
        <w:rPr>
          <w:rStyle w:val="markedcontent"/>
          <w:rFonts w:ascii="Arial Black" w:hAnsi="Arial Black"/>
          <w:sz w:val="28"/>
          <w:szCs w:val="28"/>
        </w:rPr>
      </w:pPr>
      <w:r>
        <w:rPr>
          <w:rStyle w:val="markedcontent"/>
          <w:rFonts w:ascii="Arial Black" w:hAnsi="Arial Black"/>
          <w:sz w:val="28"/>
          <w:szCs w:val="28"/>
        </w:rPr>
        <w:t>IN: MAYOR RETALIATED AGAINST UNION– CHANGED SCHEDULE 24/48 TO 8/24 -  INJUNCTION AGAINST CHANGE</w:t>
      </w:r>
    </w:p>
    <w:p w14:paraId="0AACB7FE" w14:textId="77777777" w:rsidR="000C3B06" w:rsidRDefault="000C3B06" w:rsidP="000C3B06">
      <w:pPr>
        <w:pStyle w:val="Heading1"/>
        <w:rPr>
          <w:rStyle w:val="markedcontent"/>
          <w:b w:val="0"/>
          <w:bCs w:val="0"/>
          <w:sz w:val="24"/>
          <w:szCs w:val="24"/>
        </w:rPr>
      </w:pPr>
      <w:r w:rsidRPr="00C605B3">
        <w:rPr>
          <w:rStyle w:val="markedcontent"/>
          <w:b w:val="0"/>
          <w:bCs w:val="0"/>
          <w:sz w:val="24"/>
          <w:szCs w:val="24"/>
        </w:rPr>
        <w:t xml:space="preserve">On Dec. 21, 2022, in </w:t>
      </w:r>
      <w:r w:rsidRPr="00C605B3">
        <w:rPr>
          <w:rStyle w:val="markedcontent"/>
          <w:b w:val="0"/>
          <w:bCs w:val="0"/>
          <w:sz w:val="24"/>
          <w:szCs w:val="24"/>
          <w:u w:val="single"/>
        </w:rPr>
        <w:t>International Association of Firefighters, Local 365, et al. v. City of East Chicago and Anthony Copeland</w:t>
      </w:r>
      <w:r>
        <w:rPr>
          <w:rStyle w:val="markedcontent"/>
          <w:b w:val="0"/>
          <w:bCs w:val="0"/>
          <w:sz w:val="24"/>
          <w:szCs w:val="24"/>
        </w:rPr>
        <w:t xml:space="preserve">, the U.S. Court of Appeals for Seventh Circuit (Chicago), held (3 to 0) that the change in work schedule from 24/48 to 8/24 was in retaliation for union’s First Amendment activities, including support of the Mayor Anthony Copeland’s opponent in 2019, firefighters’ protest at his inauguration, their endorsement and election of six members of city’s Common Council,  their successful lobbying for increase in firefighter pay ordinance [which Mayor vetoed], and union rejection on Dec. 2, 2019 of proposed agreement to return to 24/48 schedule if union agreed to stop all lobbying.  </w:t>
      </w:r>
      <w:r w:rsidRPr="00545D9F">
        <w:rPr>
          <w:rStyle w:val="markedcontent"/>
          <w:b w:val="0"/>
          <w:bCs w:val="0"/>
          <w:sz w:val="24"/>
          <w:szCs w:val="24"/>
        </w:rPr>
        <w:t>On December 23, 2019, the Common</w:t>
      </w:r>
      <w:r>
        <w:rPr>
          <w:rStyle w:val="markedcontent"/>
          <w:b w:val="0"/>
          <w:bCs w:val="0"/>
          <w:sz w:val="24"/>
          <w:szCs w:val="24"/>
        </w:rPr>
        <w:t xml:space="preserve"> </w:t>
      </w:r>
      <w:r w:rsidRPr="00545D9F">
        <w:rPr>
          <w:rStyle w:val="markedcontent"/>
          <w:b w:val="0"/>
          <w:bCs w:val="0"/>
          <w:sz w:val="24"/>
          <w:szCs w:val="24"/>
        </w:rPr>
        <w:t>Council passed Ordinance 19-0029, which set the firefighters’</w:t>
      </w:r>
      <w:r>
        <w:rPr>
          <w:rStyle w:val="markedcontent"/>
          <w:b w:val="0"/>
          <w:bCs w:val="0"/>
          <w:sz w:val="24"/>
          <w:szCs w:val="24"/>
        </w:rPr>
        <w:t xml:space="preserve"> </w:t>
      </w:r>
      <w:r w:rsidRPr="00545D9F">
        <w:rPr>
          <w:rStyle w:val="markedcontent"/>
          <w:b w:val="0"/>
          <w:bCs w:val="0"/>
          <w:sz w:val="24"/>
          <w:szCs w:val="24"/>
        </w:rPr>
        <w:t>work schedule back to the 24/48 schedule. Copeland vetoed</w:t>
      </w:r>
      <w:r>
        <w:rPr>
          <w:rStyle w:val="markedcontent"/>
          <w:b w:val="0"/>
          <w:bCs w:val="0"/>
          <w:sz w:val="24"/>
          <w:szCs w:val="24"/>
        </w:rPr>
        <w:t xml:space="preserve"> </w:t>
      </w:r>
      <w:r w:rsidRPr="00545D9F">
        <w:rPr>
          <w:rStyle w:val="markedcontent"/>
          <w:b w:val="0"/>
          <w:bCs w:val="0"/>
          <w:sz w:val="24"/>
          <w:szCs w:val="24"/>
        </w:rPr>
        <w:t>the ordinance, but the Council passed the ordinance over the</w:t>
      </w:r>
      <w:r>
        <w:rPr>
          <w:rStyle w:val="markedcontent"/>
          <w:b w:val="0"/>
          <w:bCs w:val="0"/>
          <w:sz w:val="24"/>
          <w:szCs w:val="24"/>
        </w:rPr>
        <w:t xml:space="preserve"> </w:t>
      </w:r>
      <w:r w:rsidRPr="00545D9F">
        <w:rPr>
          <w:rStyle w:val="markedcontent"/>
          <w:b w:val="0"/>
          <w:bCs w:val="0"/>
          <w:sz w:val="24"/>
          <w:szCs w:val="24"/>
        </w:rPr>
        <w:t>veto.</w:t>
      </w:r>
      <w:r>
        <w:rPr>
          <w:rStyle w:val="markedcontent"/>
          <w:b w:val="0"/>
          <w:bCs w:val="0"/>
          <w:sz w:val="24"/>
          <w:szCs w:val="24"/>
        </w:rPr>
        <w:t xml:space="preserve"> </w:t>
      </w:r>
      <w:r w:rsidRPr="00545D9F">
        <w:rPr>
          <w:rStyle w:val="markedcontent"/>
          <w:b w:val="0"/>
          <w:bCs w:val="0"/>
          <w:sz w:val="24"/>
          <w:szCs w:val="24"/>
        </w:rPr>
        <w:t>On March 4, 2021, the Lake County Superior Court issued a decision agreeing with Copeland and</w:t>
      </w:r>
      <w:r>
        <w:rPr>
          <w:rStyle w:val="markedcontent"/>
          <w:b w:val="0"/>
          <w:bCs w:val="0"/>
          <w:sz w:val="24"/>
          <w:szCs w:val="24"/>
        </w:rPr>
        <w:t xml:space="preserve"> </w:t>
      </w:r>
      <w:r w:rsidRPr="00545D9F">
        <w:rPr>
          <w:rStyle w:val="markedcontent"/>
          <w:b w:val="0"/>
          <w:bCs w:val="0"/>
          <w:sz w:val="24"/>
          <w:szCs w:val="24"/>
        </w:rPr>
        <w:t>struck down the ordinance—leaving the 8/24 schedule in effect.</w:t>
      </w:r>
      <w:r>
        <w:rPr>
          <w:rStyle w:val="markedcontent"/>
          <w:b w:val="0"/>
          <w:bCs w:val="0"/>
          <w:sz w:val="24"/>
          <w:szCs w:val="24"/>
        </w:rPr>
        <w:t xml:space="preserve"> The union then sought a preliminary injunction in Federal court.  U.S. District Court Judge Phillip P. Simon (Northern District of Indiana) concluded after a two-day preliminary injunction hearing that the </w:t>
      </w:r>
      <w:proofErr w:type="gramStart"/>
      <w:r>
        <w:rPr>
          <w:rStyle w:val="markedcontent"/>
          <w:b w:val="0"/>
          <w:bCs w:val="0"/>
          <w:sz w:val="24"/>
          <w:szCs w:val="24"/>
        </w:rPr>
        <w:t>Mayor’s</w:t>
      </w:r>
      <w:proofErr w:type="gramEnd"/>
      <w:r>
        <w:rPr>
          <w:rStyle w:val="markedcontent"/>
          <w:b w:val="0"/>
          <w:bCs w:val="0"/>
          <w:sz w:val="24"/>
          <w:szCs w:val="24"/>
        </w:rPr>
        <w:t xml:space="preserve"> actions were motivated by the Local 365 First Amendment activities and on March 28, </w:t>
      </w:r>
      <w:proofErr w:type="gramStart"/>
      <w:r>
        <w:rPr>
          <w:rStyle w:val="markedcontent"/>
          <w:b w:val="0"/>
          <w:bCs w:val="0"/>
          <w:sz w:val="24"/>
          <w:szCs w:val="24"/>
        </w:rPr>
        <w:t>2021</w:t>
      </w:r>
      <w:proofErr w:type="gramEnd"/>
      <w:r>
        <w:rPr>
          <w:rStyle w:val="markedcontent"/>
          <w:b w:val="0"/>
          <w:bCs w:val="0"/>
          <w:sz w:val="24"/>
          <w:szCs w:val="24"/>
        </w:rPr>
        <w:t xml:space="preserve"> ordered City to return to 24/48 schedule.   </w:t>
      </w:r>
    </w:p>
    <w:p w14:paraId="1F1B45F2" w14:textId="77777777" w:rsidR="000C3B06" w:rsidRDefault="000C3B06" w:rsidP="000C3B06">
      <w:pPr>
        <w:pStyle w:val="Heading1"/>
        <w:ind w:left="720"/>
        <w:rPr>
          <w:rStyle w:val="markedcontent"/>
          <w:b w:val="0"/>
          <w:bCs w:val="0"/>
          <w:sz w:val="24"/>
          <w:szCs w:val="24"/>
        </w:rPr>
      </w:pPr>
      <w:r>
        <w:rPr>
          <w:rStyle w:val="markedcontent"/>
          <w:b w:val="0"/>
          <w:bCs w:val="0"/>
          <w:sz w:val="24"/>
          <w:szCs w:val="24"/>
        </w:rPr>
        <w:t>“[W]e f</w:t>
      </w:r>
      <w:r w:rsidRPr="00036C7B">
        <w:rPr>
          <w:rStyle w:val="markedcontent"/>
          <w:b w:val="0"/>
          <w:bCs w:val="0"/>
          <w:sz w:val="24"/>
          <w:szCs w:val="24"/>
        </w:rPr>
        <w:t>ind that the district court did</w:t>
      </w:r>
      <w:r>
        <w:rPr>
          <w:rStyle w:val="markedcontent"/>
          <w:b w:val="0"/>
          <w:bCs w:val="0"/>
          <w:sz w:val="24"/>
          <w:szCs w:val="24"/>
        </w:rPr>
        <w:t xml:space="preserve"> </w:t>
      </w:r>
      <w:r w:rsidRPr="00036C7B">
        <w:rPr>
          <w:rStyle w:val="markedcontent"/>
          <w:b w:val="0"/>
          <w:bCs w:val="0"/>
          <w:sz w:val="24"/>
          <w:szCs w:val="24"/>
        </w:rPr>
        <w:t>not err in determining that the defendants’ actions were motivated by the Fire Fighters’ First Amendment activity; that</w:t>
      </w:r>
      <w:r>
        <w:rPr>
          <w:rStyle w:val="markedcontent"/>
          <w:b w:val="0"/>
          <w:bCs w:val="0"/>
          <w:sz w:val="24"/>
          <w:szCs w:val="24"/>
        </w:rPr>
        <w:t xml:space="preserve"> </w:t>
      </w:r>
      <w:r w:rsidRPr="00036C7B">
        <w:rPr>
          <w:rStyle w:val="markedcontent"/>
          <w:b w:val="0"/>
          <w:bCs w:val="0"/>
          <w:sz w:val="24"/>
          <w:szCs w:val="24"/>
        </w:rPr>
        <w:t>there was no evidence that the 8/24 schedule was expected to</w:t>
      </w:r>
      <w:r>
        <w:rPr>
          <w:rStyle w:val="markedcontent"/>
          <w:b w:val="0"/>
          <w:bCs w:val="0"/>
          <w:sz w:val="24"/>
          <w:szCs w:val="24"/>
        </w:rPr>
        <w:t xml:space="preserve"> </w:t>
      </w:r>
      <w:r w:rsidRPr="00036C7B">
        <w:rPr>
          <w:rStyle w:val="markedcontent"/>
          <w:b w:val="0"/>
          <w:bCs w:val="0"/>
          <w:sz w:val="24"/>
          <w:szCs w:val="24"/>
        </w:rPr>
        <w:t xml:space="preserve">result in cost-savings for the </w:t>
      </w:r>
      <w:proofErr w:type="gramStart"/>
      <w:r w:rsidRPr="00036C7B">
        <w:rPr>
          <w:rStyle w:val="markedcontent"/>
          <w:b w:val="0"/>
          <w:bCs w:val="0"/>
          <w:sz w:val="24"/>
          <w:szCs w:val="24"/>
        </w:rPr>
        <w:t>City</w:t>
      </w:r>
      <w:proofErr w:type="gramEnd"/>
      <w:r w:rsidRPr="00036C7B">
        <w:rPr>
          <w:rStyle w:val="markedcontent"/>
          <w:b w:val="0"/>
          <w:bCs w:val="0"/>
          <w:sz w:val="24"/>
          <w:szCs w:val="24"/>
        </w:rPr>
        <w:t>; and that the Fire Fighters</w:t>
      </w:r>
      <w:r>
        <w:rPr>
          <w:rStyle w:val="markedcontent"/>
          <w:b w:val="0"/>
          <w:bCs w:val="0"/>
          <w:sz w:val="24"/>
          <w:szCs w:val="24"/>
        </w:rPr>
        <w:t xml:space="preserve"> </w:t>
      </w:r>
      <w:r w:rsidRPr="00036C7B">
        <w:rPr>
          <w:rStyle w:val="markedcontent"/>
          <w:b w:val="0"/>
          <w:bCs w:val="0"/>
          <w:sz w:val="24"/>
          <w:szCs w:val="24"/>
        </w:rPr>
        <w:t xml:space="preserve">would suffer irreparable harms without an injunction. We </w:t>
      </w:r>
      <w:r>
        <w:rPr>
          <w:rStyle w:val="markedcontent"/>
          <w:b w:val="0"/>
          <w:bCs w:val="0"/>
          <w:sz w:val="24"/>
          <w:szCs w:val="24"/>
        </w:rPr>
        <w:t xml:space="preserve"> </w:t>
      </w:r>
      <w:r w:rsidRPr="00036C7B">
        <w:rPr>
          <w:rStyle w:val="markedcontent"/>
          <w:b w:val="0"/>
          <w:bCs w:val="0"/>
          <w:sz w:val="24"/>
          <w:szCs w:val="24"/>
        </w:rPr>
        <w:t>additionally find that the district court did not abuse its discretion in balancing the equities in this case, considering the severity of the harms the Fire Fighters have experienced and the</w:t>
      </w:r>
      <w:r>
        <w:rPr>
          <w:rStyle w:val="markedcontent"/>
          <w:b w:val="0"/>
          <w:bCs w:val="0"/>
          <w:sz w:val="24"/>
          <w:szCs w:val="24"/>
        </w:rPr>
        <w:t xml:space="preserve"> </w:t>
      </w:r>
      <w:r w:rsidRPr="00036C7B">
        <w:rPr>
          <w:rStyle w:val="markedcontent"/>
          <w:b w:val="0"/>
          <w:bCs w:val="0"/>
          <w:sz w:val="24"/>
          <w:szCs w:val="24"/>
        </w:rPr>
        <w:t>lack of evidence supporting the defendants’ alleged harms.</w:t>
      </w:r>
      <w:r w:rsidRPr="00036C7B">
        <w:rPr>
          <w:b w:val="0"/>
          <w:bCs w:val="0"/>
          <w:sz w:val="24"/>
          <w:szCs w:val="24"/>
        </w:rPr>
        <w:br/>
      </w:r>
      <w:r w:rsidRPr="00036C7B">
        <w:rPr>
          <w:rStyle w:val="markedcontent"/>
          <w:b w:val="0"/>
          <w:bCs w:val="0"/>
          <w:sz w:val="24"/>
          <w:szCs w:val="24"/>
        </w:rPr>
        <w:t>The decision of the district court is therefore AFFIRMED.</w:t>
      </w:r>
      <w:r>
        <w:rPr>
          <w:rStyle w:val="markedcontent"/>
          <w:b w:val="0"/>
          <w:bCs w:val="0"/>
          <w:sz w:val="24"/>
          <w:szCs w:val="24"/>
        </w:rPr>
        <w:t xml:space="preserve">” </w:t>
      </w:r>
      <w:hyperlink r:id="rId2942" w:history="1">
        <w:r w:rsidRPr="00BA5840">
          <w:rPr>
            <w:rStyle w:val="Hyperlink"/>
            <w:rFonts w:eastAsiaTheme="majorEastAsia"/>
            <w:b w:val="0"/>
            <w:bCs w:val="0"/>
            <w:sz w:val="24"/>
            <w:szCs w:val="24"/>
          </w:rPr>
          <w:t>https://caselaw.findlaw.com/us-7th-circuit/2104809.html</w:t>
        </w:r>
      </w:hyperlink>
      <w:r>
        <w:rPr>
          <w:rStyle w:val="markedcontent"/>
          <w:b w:val="0"/>
          <w:bCs w:val="0"/>
          <w:sz w:val="24"/>
          <w:szCs w:val="24"/>
        </w:rPr>
        <w:t xml:space="preserve"> </w:t>
      </w:r>
    </w:p>
    <w:p w14:paraId="74571101" w14:textId="77777777" w:rsidR="000C3B06" w:rsidRPr="00112028" w:rsidRDefault="000C3B06" w:rsidP="000C3B06">
      <w:pPr>
        <w:pStyle w:val="Heading1"/>
        <w:rPr>
          <w:rStyle w:val="markedcontent"/>
          <w:sz w:val="24"/>
          <w:szCs w:val="24"/>
        </w:rPr>
      </w:pPr>
      <w:r w:rsidRPr="00112028">
        <w:rPr>
          <w:rStyle w:val="markedcontent"/>
          <w:sz w:val="24"/>
          <w:szCs w:val="24"/>
        </w:rPr>
        <w:t xml:space="preserve">Legal Lesson Learned: Union’s First Amendment rights were protected from retaliation by the </w:t>
      </w:r>
      <w:proofErr w:type="gramStart"/>
      <w:r w:rsidRPr="00112028">
        <w:rPr>
          <w:rStyle w:val="markedcontent"/>
          <w:sz w:val="24"/>
          <w:szCs w:val="24"/>
        </w:rPr>
        <w:t>Mayor</w:t>
      </w:r>
      <w:proofErr w:type="gramEnd"/>
      <w:r w:rsidRPr="00112028">
        <w:rPr>
          <w:rStyle w:val="markedcontent"/>
          <w:sz w:val="24"/>
          <w:szCs w:val="24"/>
        </w:rPr>
        <w:t>. Interesting fact: Mayor Anthony Copeland</w:t>
      </w:r>
      <w:r>
        <w:rPr>
          <w:rStyle w:val="markedcontent"/>
          <w:sz w:val="24"/>
          <w:szCs w:val="24"/>
        </w:rPr>
        <w:t xml:space="preserve"> was </w:t>
      </w:r>
      <w:r w:rsidRPr="00112028">
        <w:rPr>
          <w:rStyle w:val="markedcontent"/>
          <w:sz w:val="24"/>
          <w:szCs w:val="24"/>
        </w:rPr>
        <w:t xml:space="preserve">a former firefighter of twenty-six years. </w:t>
      </w:r>
      <w:r w:rsidRPr="00112028">
        <w:rPr>
          <w:sz w:val="24"/>
          <w:szCs w:val="24"/>
        </w:rPr>
        <w:br/>
      </w:r>
    </w:p>
    <w:p w14:paraId="7F15422B" w14:textId="77777777" w:rsidR="000C3B06" w:rsidRDefault="000C3B06" w:rsidP="00F326E5">
      <w:pPr>
        <w:pStyle w:val="NoSpacing"/>
        <w:rPr>
          <w:rFonts w:ascii="Arial Black" w:hAnsi="Arial Black"/>
          <w:sz w:val="24"/>
          <w:szCs w:val="24"/>
        </w:rPr>
      </w:pPr>
    </w:p>
    <w:p w14:paraId="4B83653C" w14:textId="77777777" w:rsidR="000C3B06" w:rsidRDefault="000C3B06" w:rsidP="00F326E5">
      <w:pPr>
        <w:pStyle w:val="NoSpacing"/>
        <w:rPr>
          <w:rFonts w:ascii="Arial Black" w:hAnsi="Arial Black"/>
          <w:sz w:val="24"/>
          <w:szCs w:val="24"/>
        </w:rPr>
      </w:pPr>
    </w:p>
    <w:p w14:paraId="56E1E513" w14:textId="77777777" w:rsidR="000C3B06" w:rsidRDefault="000C3B06" w:rsidP="00F326E5">
      <w:pPr>
        <w:pStyle w:val="NoSpacing"/>
        <w:rPr>
          <w:rFonts w:ascii="Arial Black" w:hAnsi="Arial Black"/>
          <w:sz w:val="24"/>
          <w:szCs w:val="24"/>
        </w:rPr>
      </w:pPr>
    </w:p>
    <w:p w14:paraId="161B1174" w14:textId="0ACF89B0" w:rsidR="000C3B06" w:rsidRDefault="000C3B06" w:rsidP="00F326E5">
      <w:pPr>
        <w:pStyle w:val="NoSpacing"/>
        <w:rPr>
          <w:rFonts w:ascii="Arial Black" w:hAnsi="Arial Black"/>
          <w:sz w:val="24"/>
          <w:szCs w:val="24"/>
        </w:rPr>
      </w:pPr>
      <w:r>
        <w:rPr>
          <w:rFonts w:ascii="Arial Black" w:hAnsi="Arial Black"/>
          <w:sz w:val="24"/>
          <w:szCs w:val="24"/>
        </w:rPr>
        <w:t>17-25</w:t>
      </w:r>
    </w:p>
    <w:p w14:paraId="3ADFD6BE" w14:textId="77777777" w:rsidR="000C3B06" w:rsidRPr="002631BE" w:rsidRDefault="000C3B06" w:rsidP="000C3B06">
      <w:pPr>
        <w:pStyle w:val="NormalWeb"/>
        <w:rPr>
          <w:rFonts w:ascii="Arial Black" w:hAnsi="Arial Black"/>
          <w:sz w:val="28"/>
          <w:szCs w:val="28"/>
        </w:rPr>
      </w:pPr>
      <w:r>
        <w:rPr>
          <w:rFonts w:ascii="Arial Black" w:hAnsi="Arial Black"/>
          <w:sz w:val="28"/>
          <w:szCs w:val="28"/>
        </w:rPr>
        <w:t xml:space="preserve">NY: YONKERS MUST CONTINUE TO PAY DISABELED FFs UNDER AGE 65 – HOLIDAY, CHECK-IN, BUT NOT NIGHT PAY </w:t>
      </w:r>
    </w:p>
    <w:p w14:paraId="383DF849" w14:textId="77777777" w:rsidR="000C3B06" w:rsidRDefault="000C3B06" w:rsidP="000C3B06">
      <w:pPr>
        <w:pStyle w:val="NormalWeb"/>
      </w:pPr>
      <w:r>
        <w:t xml:space="preserve">On Dec. 15, 2022, in </w:t>
      </w:r>
      <w:r w:rsidRPr="00126012">
        <w:rPr>
          <w:u w:val="single"/>
        </w:rPr>
        <w:t>In The Matter Of John Borelli, et al. v. City of Younkers</w:t>
      </w:r>
      <w:r>
        <w:t>, the New York Court of Appeals held (4 to 2) that 39 disabled firefighters, who are under age 65 and therefore by State law receive supplemental payments to equal the pay of current firefighters at same pay grade, are entitled to Holiday Pay and Check-In Pay (required to report for duty 12 minutes early) since all current firefighters receive, but they are not entitled to Night Differential since only firefighters work nights get that pay.  The State of New York has had statutes since 1938 protecting firefighters disabled in the line of duty, and in 1977 enacted General Municipal Law § 207-a (2) which provides that until a disabled firefighter reaches the mandatory retirement age of 65, their municipal employer must make up the difference between the state's disability pension benefits and the firefighters' "regular salary or wages."</w:t>
      </w:r>
    </w:p>
    <w:p w14:paraId="3C6AEA60" w14:textId="77777777" w:rsidR="000C3B06" w:rsidRPr="00C9121A" w:rsidRDefault="000C3B06" w:rsidP="000C3B06">
      <w:pPr>
        <w:pStyle w:val="NormalWeb"/>
        <w:ind w:left="1440"/>
      </w:pPr>
      <w:r>
        <w:t xml:space="preserve">“It is clear from the CBAs that all firefighters are entitled to receive holiday pay and check-in pay based solely on the performance of regular job duties. The provisions of the CBAs governing check-in pay require that firefighters be present for duty 12 minutes prior to the commencement of their tours of duty to receive instruction, equipment, and for other miscellaneous duties. They specify, without qualification, that each employee "shall receive an additional [5½] days [of pay]" per year. The provisions governing holiday pay provide that firefighters shall be paid for 12 holidays," </w:t>
      </w:r>
      <w:r>
        <w:rPr>
          <w:rStyle w:val="Emphasis"/>
        </w:rPr>
        <w:t>whether worked or not</w:t>
      </w:r>
      <w:r>
        <w:t xml:space="preserve">" (emphasis added). Hence, all active-duty firefighters performing their regular job duties are contractually entitled to receive both check-in pay and holiday pay. “ </w:t>
      </w:r>
      <w:hyperlink r:id="rId2943" w:history="1">
        <w:r w:rsidRPr="00237809">
          <w:rPr>
            <w:rStyle w:val="Hyperlink"/>
            <w:rFonts w:eastAsiaTheme="majorEastAsia"/>
          </w:rPr>
          <w:t>https://law.justia.com/cases/new-york/court-of-appeals/2022/95.html</w:t>
        </w:r>
      </w:hyperlink>
      <w:r>
        <w:t xml:space="preserve"> </w:t>
      </w:r>
    </w:p>
    <w:p w14:paraId="6CAE4741" w14:textId="77777777" w:rsidR="000C3B06" w:rsidRPr="00D15F79" w:rsidRDefault="000C3B06" w:rsidP="000C3B06">
      <w:pPr>
        <w:pStyle w:val="NormalWeb"/>
        <w:rPr>
          <w:b/>
          <w:bCs/>
        </w:rPr>
      </w:pPr>
      <w:r w:rsidRPr="00D15F79">
        <w:rPr>
          <w:b/>
          <w:bCs/>
        </w:rPr>
        <w:t>Legal Lesson Learned:</w:t>
      </w:r>
      <w:r>
        <w:rPr>
          <w:b/>
          <w:bCs/>
        </w:rPr>
        <w:t xml:space="preserve"> For decades Yonkers has made these “special pays</w:t>
      </w:r>
      <w:proofErr w:type="gramStart"/>
      <w:r>
        <w:rPr>
          <w:b/>
          <w:bCs/>
        </w:rPr>
        <w:t>”</w:t>
      </w:r>
      <w:proofErr w:type="gramEnd"/>
      <w:r>
        <w:rPr>
          <w:b/>
          <w:bCs/>
        </w:rPr>
        <w:t xml:space="preserve"> and the NY’s Highest court will require they continue this practice. </w:t>
      </w:r>
    </w:p>
    <w:p w14:paraId="74F07568" w14:textId="77777777" w:rsidR="000C3B06" w:rsidRPr="002476FF" w:rsidRDefault="000C3B06" w:rsidP="000C3B06">
      <w:pPr>
        <w:pStyle w:val="NormalWeb"/>
        <w:ind w:left="720"/>
      </w:pPr>
      <w:r w:rsidRPr="002476FF">
        <w:t>Note: Two dissenting Justices</w:t>
      </w:r>
      <w:r>
        <w:t xml:space="preserve"> noted </w:t>
      </w:r>
      <w:r w:rsidRPr="002476FF">
        <w:t>“A proper interpretation of this statutory term is critical; any unwarranted expansion of the definition undermines the goals of the legislation, forcing municipalities to spend more on disability payments and less on active fire protection.”</w:t>
      </w:r>
      <w:r>
        <w:t xml:space="preserve"> The Justices noted that City of Yonkers has faced a financial difficulty, including $7.4 million gap in their Public School District budget. </w:t>
      </w:r>
      <w:hyperlink r:id="rId2944" w:history="1">
        <w:r w:rsidRPr="002C395C">
          <w:rPr>
            <w:rStyle w:val="Hyperlink"/>
          </w:rPr>
          <w:t>https://law.justia.com/cases/new-york/court-of-appeals/2022/95.html</w:t>
        </w:r>
      </w:hyperlink>
      <w:r>
        <w:t xml:space="preserve"> </w:t>
      </w:r>
    </w:p>
    <w:p w14:paraId="47D50D18" w14:textId="77777777" w:rsidR="000C3B06" w:rsidRDefault="000C3B06" w:rsidP="000C3B06">
      <w:pPr>
        <w:pStyle w:val="NormalWeb"/>
        <w:ind w:left="720"/>
      </w:pPr>
      <w:r w:rsidRPr="003C6E0D">
        <w:t xml:space="preserve">Note: </w:t>
      </w:r>
      <w:r>
        <w:t xml:space="preserve">See this companion case.  On Dec. 15, 2022, in </w:t>
      </w:r>
      <w:r w:rsidRPr="001D3F7D">
        <w:rPr>
          <w:u w:val="single"/>
        </w:rPr>
        <w:t>In The Matter Of City of Yonkers v. Yonkers Fire Fighters, Local 628</w:t>
      </w:r>
      <w:r>
        <w:t xml:space="preserve">, the New York Court of Appeals held (6 to 0) that the City must arbitrate with Local 628 over their plan to discontinue their practice since at least 1995 to pay “special pay” (including holiday pay, check-in pay for reporting to duty 12 minutes early, and night differential) not only to active duty firefighters, but also to disabled firefighters who have not yet reached age 65. </w:t>
      </w:r>
      <w:hyperlink r:id="rId2945" w:history="1">
        <w:r w:rsidRPr="00237809">
          <w:rPr>
            <w:rStyle w:val="Hyperlink"/>
            <w:rFonts w:eastAsiaTheme="majorEastAsia"/>
          </w:rPr>
          <w:t>https://www.nycourts.gov/ctapps/Decisions/2022/Dec22/96opn22-Decision.pdf \</w:t>
        </w:r>
      </w:hyperlink>
    </w:p>
    <w:p w14:paraId="306557A3" w14:textId="77777777" w:rsidR="000C3B06" w:rsidRDefault="000C3B06" w:rsidP="00F326E5">
      <w:pPr>
        <w:pStyle w:val="NoSpacing"/>
        <w:rPr>
          <w:rFonts w:ascii="Arial Black" w:hAnsi="Arial Black"/>
          <w:sz w:val="24"/>
          <w:szCs w:val="24"/>
        </w:rPr>
      </w:pPr>
    </w:p>
    <w:p w14:paraId="74BDB962" w14:textId="77777777" w:rsidR="000C3B06" w:rsidRDefault="000C3B06" w:rsidP="00F326E5">
      <w:pPr>
        <w:pStyle w:val="NoSpacing"/>
        <w:rPr>
          <w:rFonts w:ascii="Arial Black" w:hAnsi="Arial Black"/>
          <w:sz w:val="24"/>
          <w:szCs w:val="24"/>
        </w:rPr>
      </w:pPr>
    </w:p>
    <w:p w14:paraId="6289588B" w14:textId="277954FA" w:rsidR="009C612E" w:rsidRDefault="009C612E" w:rsidP="00F326E5">
      <w:pPr>
        <w:pStyle w:val="NoSpacing"/>
        <w:rPr>
          <w:rFonts w:ascii="Arial Black" w:hAnsi="Arial Black"/>
          <w:sz w:val="24"/>
          <w:szCs w:val="24"/>
        </w:rPr>
      </w:pPr>
      <w:r>
        <w:rPr>
          <w:rFonts w:ascii="Arial Black" w:hAnsi="Arial Black"/>
          <w:sz w:val="24"/>
          <w:szCs w:val="24"/>
        </w:rPr>
        <w:t>17-24</w:t>
      </w:r>
    </w:p>
    <w:p w14:paraId="76FAC3CB" w14:textId="77777777" w:rsidR="009C612E" w:rsidRDefault="009C612E" w:rsidP="009C612E">
      <w:pPr>
        <w:pStyle w:val="NormalWeb"/>
        <w:rPr>
          <w:rFonts w:ascii="Arial Black" w:hAnsi="Arial Black"/>
          <w:sz w:val="28"/>
          <w:szCs w:val="28"/>
        </w:rPr>
      </w:pPr>
      <w:r>
        <w:rPr>
          <w:rFonts w:ascii="Arial Black" w:hAnsi="Arial Black"/>
          <w:sz w:val="28"/>
          <w:szCs w:val="28"/>
        </w:rPr>
        <w:t>TX: AUSTIN - CBA 5,600 HOURS FOR UNION OFFICERS IS LAWFUL – TAXPAYERS LAWSUIT FRIVOLOUS, PENALTY</w:t>
      </w:r>
    </w:p>
    <w:p w14:paraId="0D363C49" w14:textId="77777777" w:rsidR="009C612E" w:rsidRDefault="009C612E" w:rsidP="009C612E">
      <w:pPr>
        <w:pStyle w:val="NormalWeb"/>
      </w:pPr>
      <w:r>
        <w:t xml:space="preserve">On Nov. 22, 2022, in </w:t>
      </w:r>
      <w:r w:rsidRPr="00825D12">
        <w:rPr>
          <w:u w:val="single"/>
        </w:rPr>
        <w:t>Roger Borgelt</w:t>
      </w:r>
      <w:r>
        <w:rPr>
          <w:u w:val="single"/>
        </w:rPr>
        <w:t xml:space="preserve">, Mark Pulliam, Jay Wiley, </w:t>
      </w:r>
      <w:r w:rsidRPr="00825D12">
        <w:rPr>
          <w:u w:val="single"/>
        </w:rPr>
        <w:t>et al. v. Austin Firefighters Association, IAFF Local 975, et al</w:t>
      </w:r>
      <w:r>
        <w:t xml:space="preserve">., the Court of Appeals of Texas, Third District (Austin) held (3 to 0) that trial court properly dismissed lawsuit by two taxpayers who claimed the granting of paid time to Association President violated the Texas Constitution's "Gift Clauses." Trial court also imposed $75,000 </w:t>
      </w:r>
      <w:proofErr w:type="gramStart"/>
      <w:r>
        <w:t>sanction</w:t>
      </w:r>
      <w:proofErr w:type="gramEnd"/>
      <w:r>
        <w:t xml:space="preserve"> and attorney fees against Pulliam and Wiley for filing a frivolous lawsuit. </w:t>
      </w:r>
    </w:p>
    <w:p w14:paraId="74B3619B" w14:textId="77777777" w:rsidR="009C612E" w:rsidRDefault="009C612E" w:rsidP="009C612E">
      <w:pPr>
        <w:pStyle w:val="NormalWeb"/>
        <w:ind w:left="720"/>
      </w:pPr>
      <w:r>
        <w:t>“Borgelt and the State's argument fails because Borgelt and the State ignore the fact that, as the trial court found, the Association's mission-facilitating good labor relations between the AFD and its public-servant employees, furthering professional standards for firefighters, and promoting firefighter and public safety-overlaps with the mission of the AFD, and the two organizations' missions are not mutually exclusive. Thus, work done on behalf of the Association by firefighters who are using Association Leave not only furthers the mission of the Association but also furthers AFD's mission and public purpose of providing safe and efficient fire safety and emergency services.</w:t>
      </w:r>
    </w:p>
    <w:p w14:paraId="20B47424" w14:textId="77777777" w:rsidR="009C612E" w:rsidRDefault="009C612E" w:rsidP="009C612E">
      <w:pPr>
        <w:pStyle w:val="NormalWeb"/>
        <w:ind w:left="720"/>
      </w:pPr>
      <w:r>
        <w:t>***</w:t>
      </w:r>
    </w:p>
    <w:p w14:paraId="45D8543B" w14:textId="77777777" w:rsidR="009C612E" w:rsidRDefault="009C612E" w:rsidP="009C612E">
      <w:pPr>
        <w:pStyle w:val="NormalWeb"/>
        <w:ind w:left="720"/>
      </w:pPr>
      <w:r>
        <w:t xml:space="preserve">We conclude that the trial court did not abuse its discretion by determining that a $75,000 sanction was required to deter further similar actions by Pulliam or Wiley…. Wiley admitted to using the lawsuit as publicity to support his political platform as a ’fiscal conservative’ seeking ‘union reform’ and ‘right-to-work laws’ in Texas. In 2016, when this suit was initially filed, and again in 2018, Wiley ran in the Republican primaries for seats in the Texas House of Representatives.”  </w:t>
      </w:r>
      <w:hyperlink r:id="rId2946" w:history="1">
        <w:r w:rsidRPr="00386BA5">
          <w:rPr>
            <w:rStyle w:val="Hyperlink"/>
            <w:rFonts w:eastAsiaTheme="majorEastAsia"/>
          </w:rPr>
          <w:t>https://law.justia.com/cases/texas/third-court-of-appeals/2022/03-21-00227-cv.html</w:t>
        </w:r>
      </w:hyperlink>
      <w:r>
        <w:rPr>
          <w:rStyle w:val="Hyperlink"/>
          <w:rFonts w:eastAsiaTheme="majorEastAsia"/>
        </w:rPr>
        <w:t xml:space="preserve"> </w:t>
      </w:r>
    </w:p>
    <w:p w14:paraId="2829A5C7" w14:textId="77777777" w:rsidR="009C612E" w:rsidRPr="00BF256B" w:rsidRDefault="009C612E" w:rsidP="009C612E">
      <w:pPr>
        <w:pStyle w:val="NormalWeb"/>
        <w:rPr>
          <w:b/>
          <w:bCs/>
        </w:rPr>
      </w:pPr>
      <w:r w:rsidRPr="00BF256B">
        <w:rPr>
          <w:b/>
          <w:bCs/>
        </w:rPr>
        <w:t>Legal Lesson Learned:</w:t>
      </w:r>
      <w:r>
        <w:rPr>
          <w:b/>
          <w:bCs/>
        </w:rPr>
        <w:t xml:space="preserve"> CBA provision for paid time for union officers is lawful. </w:t>
      </w:r>
    </w:p>
    <w:p w14:paraId="65AF781B" w14:textId="77777777" w:rsidR="009C612E" w:rsidRDefault="009C612E" w:rsidP="00F326E5">
      <w:pPr>
        <w:pStyle w:val="NoSpacing"/>
        <w:rPr>
          <w:rFonts w:ascii="Arial Black" w:hAnsi="Arial Black"/>
          <w:sz w:val="24"/>
          <w:szCs w:val="24"/>
        </w:rPr>
      </w:pPr>
    </w:p>
    <w:p w14:paraId="5F1F5E65" w14:textId="77777777" w:rsidR="009C612E" w:rsidRDefault="009C612E" w:rsidP="00F326E5">
      <w:pPr>
        <w:pStyle w:val="NoSpacing"/>
        <w:rPr>
          <w:rFonts w:ascii="Arial Black" w:hAnsi="Arial Black"/>
          <w:sz w:val="24"/>
          <w:szCs w:val="24"/>
        </w:rPr>
      </w:pPr>
    </w:p>
    <w:p w14:paraId="000CCD96" w14:textId="7B42FC91" w:rsidR="009C612E" w:rsidRDefault="009C612E" w:rsidP="00F326E5">
      <w:pPr>
        <w:pStyle w:val="NoSpacing"/>
        <w:rPr>
          <w:rFonts w:ascii="Arial Black" w:hAnsi="Arial Black"/>
          <w:sz w:val="24"/>
          <w:szCs w:val="24"/>
        </w:rPr>
      </w:pPr>
      <w:r>
        <w:rPr>
          <w:rFonts w:ascii="Arial Black" w:hAnsi="Arial Black"/>
          <w:sz w:val="24"/>
          <w:szCs w:val="24"/>
        </w:rPr>
        <w:t>17-23</w:t>
      </w:r>
    </w:p>
    <w:p w14:paraId="53E040CF" w14:textId="5D232209" w:rsidR="009C612E" w:rsidRDefault="009C612E" w:rsidP="00F326E5">
      <w:pPr>
        <w:pStyle w:val="NoSpacing"/>
        <w:rPr>
          <w:rFonts w:ascii="Arial Black" w:hAnsi="Arial Black"/>
          <w:sz w:val="24"/>
          <w:szCs w:val="24"/>
        </w:rPr>
      </w:pPr>
    </w:p>
    <w:p w14:paraId="79C8D959" w14:textId="77777777" w:rsidR="009C612E" w:rsidRPr="00483F12" w:rsidRDefault="009C612E" w:rsidP="009C612E">
      <w:pPr>
        <w:pStyle w:val="NormalWeb"/>
        <w:rPr>
          <w:rFonts w:ascii="Arial Black" w:hAnsi="Arial Black"/>
          <w:b/>
          <w:bCs/>
          <w:sz w:val="28"/>
          <w:szCs w:val="28"/>
        </w:rPr>
      </w:pPr>
      <w:r w:rsidRPr="00483F12">
        <w:rPr>
          <w:rFonts w:ascii="Arial Black" w:hAnsi="Arial Black"/>
          <w:b/>
          <w:bCs/>
          <w:sz w:val="28"/>
          <w:szCs w:val="28"/>
        </w:rPr>
        <w:t xml:space="preserve">PA: </w:t>
      </w:r>
      <w:r>
        <w:rPr>
          <w:rFonts w:ascii="Arial Black" w:hAnsi="Arial Black"/>
          <w:b/>
          <w:bCs/>
          <w:sz w:val="28"/>
          <w:szCs w:val="28"/>
        </w:rPr>
        <w:t xml:space="preserve"> CBA - FF PENSION 75% - ARBITRATOR UPHELD - CITY ORDINANCE CAN’T REDUCE WIDOWS PENSION TO 50%</w:t>
      </w:r>
    </w:p>
    <w:p w14:paraId="29472EE8" w14:textId="77777777" w:rsidR="009C612E" w:rsidRDefault="009C612E" w:rsidP="009C612E">
      <w:pPr>
        <w:pStyle w:val="NormalWeb"/>
      </w:pPr>
      <w:r w:rsidRPr="00B936FB">
        <w:t xml:space="preserve">On </w:t>
      </w:r>
      <w:r>
        <w:t xml:space="preserve">Nov. 22, 2022, in </w:t>
      </w:r>
      <w:r w:rsidRPr="00B936FB">
        <w:rPr>
          <w:u w:val="single"/>
        </w:rPr>
        <w:t>City of New Castle v. International Association of Firefighters, Local 160</w:t>
      </w:r>
      <w:r>
        <w:t xml:space="preserve">, the Commonwealth Court of Pennsylvania held (3 to 0) that the arbitrator’s decision will be enforced; firefighter’s widow is entitled to the same 75% of final average compensation he was receiving per CBA.  The </w:t>
      </w:r>
      <w:proofErr w:type="gramStart"/>
      <w:r>
        <w:t>City</w:t>
      </w:r>
      <w:proofErr w:type="gramEnd"/>
      <w:r>
        <w:t xml:space="preserve"> cannot pass an ordinance that violates the CBA and </w:t>
      </w:r>
      <w:proofErr w:type="gramStart"/>
      <w:r>
        <w:t>pay</w:t>
      </w:r>
      <w:proofErr w:type="gramEnd"/>
      <w:r>
        <w:t xml:space="preserve"> the widow only 50%. </w:t>
      </w:r>
    </w:p>
    <w:p w14:paraId="2ADF52A0" w14:textId="77777777" w:rsidR="009C612E" w:rsidRDefault="009C612E" w:rsidP="009C612E">
      <w:pPr>
        <w:pStyle w:val="NormalWeb"/>
        <w:ind w:left="720"/>
      </w:pPr>
      <w:r>
        <w:rPr>
          <w:rStyle w:val="markedcontent"/>
        </w:rPr>
        <w:t>“</w:t>
      </w:r>
      <w:r w:rsidRPr="006B2B41">
        <w:rPr>
          <w:rStyle w:val="markedcontent"/>
        </w:rPr>
        <w:t>The arbitrator found that the parties did not agree to change the survivor</w:t>
      </w:r>
      <w:r>
        <w:rPr>
          <w:rStyle w:val="markedcontent"/>
        </w:rPr>
        <w:t xml:space="preserve"> </w:t>
      </w:r>
      <w:r w:rsidRPr="006B2B41">
        <w:rPr>
          <w:rStyle w:val="markedcontent"/>
        </w:rPr>
        <w:t>benefit in the 1998 CBA from what it had been in 1997; the Union was not aware</w:t>
      </w:r>
      <w:r>
        <w:rPr>
          <w:rStyle w:val="markedcontent"/>
        </w:rPr>
        <w:t xml:space="preserve"> </w:t>
      </w:r>
      <w:r w:rsidRPr="006B2B41">
        <w:rPr>
          <w:rStyle w:val="markedcontent"/>
        </w:rPr>
        <w:t>that Ordinance 7343 had been enacted in December of 1997; and the Union never</w:t>
      </w:r>
      <w:r>
        <w:rPr>
          <w:rStyle w:val="markedcontent"/>
        </w:rPr>
        <w:t xml:space="preserve"> </w:t>
      </w:r>
      <w:r w:rsidRPr="006B2B41">
        <w:rPr>
          <w:rStyle w:val="markedcontent"/>
        </w:rPr>
        <w:t>agreed to reduce the survivor benefit to 50% as provided in Ordinance 7343</w:t>
      </w:r>
      <w:r>
        <w:rPr>
          <w:rStyle w:val="markedcontent"/>
        </w:rPr>
        <w:t xml:space="preserve">…. </w:t>
      </w:r>
      <w:r w:rsidRPr="006B2B41">
        <w:rPr>
          <w:rStyle w:val="markedcontent"/>
        </w:rPr>
        <w:t>The arbitrator arrived at a reasoned interpretation of the 1998 CBA,</w:t>
      </w:r>
      <w:r>
        <w:rPr>
          <w:rStyle w:val="markedcontent"/>
        </w:rPr>
        <w:t xml:space="preserve"> </w:t>
      </w:r>
      <w:r w:rsidRPr="006B2B41">
        <w:rPr>
          <w:rStyle w:val="markedcontent"/>
        </w:rPr>
        <w:t>concluding that the City violated the parties’ agreement by paying Stone’s surviving</w:t>
      </w:r>
      <w:r>
        <w:rPr>
          <w:rStyle w:val="markedcontent"/>
        </w:rPr>
        <w:t xml:space="preserve"> </w:t>
      </w:r>
      <w:r w:rsidRPr="006B2B41">
        <w:rPr>
          <w:rStyle w:val="markedcontent"/>
        </w:rPr>
        <w:t xml:space="preserve">spouse a pension lower than what Stone had received in his </w:t>
      </w:r>
      <w:proofErr w:type="gramStart"/>
      <w:r w:rsidRPr="006B2B41">
        <w:rPr>
          <w:rStyle w:val="markedcontent"/>
        </w:rPr>
        <w:t>lifetime.</w:t>
      </w:r>
      <w:r>
        <w:rPr>
          <w:rStyle w:val="markedcontent"/>
        </w:rPr>
        <w:t>”</w:t>
      </w:r>
      <w:proofErr w:type="gramEnd"/>
      <w:r>
        <w:rPr>
          <w:rStyle w:val="markedcontent"/>
        </w:rPr>
        <w:t xml:space="preserve">  </w:t>
      </w:r>
      <w:hyperlink r:id="rId2947" w:history="1">
        <w:r w:rsidRPr="00236501">
          <w:rPr>
            <w:rStyle w:val="Hyperlink"/>
            <w:rFonts w:eastAsiaTheme="majorEastAsia"/>
          </w:rPr>
          <w:t>https://law.justia.com/cases/pennsylvania/commonwealth-court/2022/242-c-d-2022.html</w:t>
        </w:r>
      </w:hyperlink>
    </w:p>
    <w:p w14:paraId="2EB7A9E8" w14:textId="77777777" w:rsidR="009C612E" w:rsidRPr="00514515" w:rsidRDefault="009C612E" w:rsidP="009C612E">
      <w:pPr>
        <w:spacing w:before="100" w:beforeAutospacing="1" w:after="100" w:afterAutospacing="1" w:line="240" w:lineRule="auto"/>
        <w:rPr>
          <w:rFonts w:ascii="Times New Roman" w:eastAsia="Times New Roman" w:hAnsi="Times New Roman"/>
          <w:b/>
          <w:bCs/>
          <w:sz w:val="24"/>
          <w:szCs w:val="24"/>
        </w:rPr>
      </w:pPr>
      <w:r w:rsidRPr="00483F12">
        <w:rPr>
          <w:rFonts w:ascii="Times New Roman" w:hAnsi="Times New Roman"/>
          <w:b/>
          <w:bCs/>
          <w:sz w:val="24"/>
          <w:szCs w:val="24"/>
        </w:rPr>
        <w:t>Legal Lesson Learned:</w:t>
      </w:r>
      <w:r>
        <w:rPr>
          <w:rFonts w:ascii="Times New Roman" w:hAnsi="Times New Roman"/>
          <w:b/>
          <w:bCs/>
          <w:sz w:val="24"/>
          <w:szCs w:val="24"/>
        </w:rPr>
        <w:t xml:space="preserve">  The collectively bargained CBA controls; not a unilaterally enacted ordinance. </w:t>
      </w:r>
    </w:p>
    <w:p w14:paraId="27DD8F22" w14:textId="77777777" w:rsidR="009C612E" w:rsidRDefault="009C612E" w:rsidP="00F326E5">
      <w:pPr>
        <w:pStyle w:val="NoSpacing"/>
        <w:rPr>
          <w:rFonts w:ascii="Arial Black" w:hAnsi="Arial Black"/>
          <w:sz w:val="24"/>
          <w:szCs w:val="24"/>
        </w:rPr>
      </w:pPr>
    </w:p>
    <w:p w14:paraId="1DC8A3E5" w14:textId="77777777" w:rsidR="009C612E" w:rsidRDefault="009C612E" w:rsidP="00F326E5">
      <w:pPr>
        <w:pStyle w:val="NoSpacing"/>
        <w:rPr>
          <w:rFonts w:ascii="Arial Black" w:hAnsi="Arial Black"/>
          <w:sz w:val="24"/>
          <w:szCs w:val="24"/>
        </w:rPr>
      </w:pPr>
    </w:p>
    <w:p w14:paraId="112AA814" w14:textId="063797D6" w:rsidR="00804F3A" w:rsidRDefault="00804F3A" w:rsidP="00F326E5">
      <w:pPr>
        <w:pStyle w:val="NoSpacing"/>
        <w:rPr>
          <w:rFonts w:ascii="Arial Black" w:hAnsi="Arial Black"/>
          <w:sz w:val="24"/>
          <w:szCs w:val="24"/>
        </w:rPr>
      </w:pPr>
      <w:r>
        <w:rPr>
          <w:rFonts w:ascii="Arial Black" w:hAnsi="Arial Black"/>
          <w:sz w:val="24"/>
          <w:szCs w:val="24"/>
        </w:rPr>
        <w:t>17-22</w:t>
      </w:r>
    </w:p>
    <w:p w14:paraId="75467A12" w14:textId="77777777" w:rsidR="00804F3A" w:rsidRPr="00F17782" w:rsidRDefault="00804F3A" w:rsidP="00804F3A">
      <w:pPr>
        <w:pStyle w:val="NormalWeb"/>
        <w:rPr>
          <w:rFonts w:ascii="Arial Black" w:hAnsi="Arial Black"/>
          <w:b/>
          <w:bCs/>
          <w:sz w:val="28"/>
          <w:szCs w:val="28"/>
        </w:rPr>
      </w:pPr>
      <w:r>
        <w:rPr>
          <w:rFonts w:ascii="Arial Black" w:hAnsi="Arial Black"/>
          <w:b/>
          <w:bCs/>
          <w:sz w:val="28"/>
          <w:szCs w:val="28"/>
        </w:rPr>
        <w:t xml:space="preserve">OH: MINIMUM MANNING 10 FF – CITY IN 2016 BELOW FOR THREE YEARS – OWES BACKPAY / INTEREST $1,188.219 </w:t>
      </w:r>
    </w:p>
    <w:p w14:paraId="2BC5F4C9" w14:textId="77777777" w:rsidR="00804F3A" w:rsidRDefault="00804F3A" w:rsidP="00804F3A">
      <w:pPr>
        <w:pStyle w:val="NormalWeb"/>
      </w:pPr>
      <w:r w:rsidRPr="00F17782">
        <w:t xml:space="preserve">On </w:t>
      </w:r>
      <w:r>
        <w:t xml:space="preserve">Oct. 13, 2022, in </w:t>
      </w:r>
      <w:r w:rsidRPr="00F17782">
        <w:rPr>
          <w:u w:val="single"/>
        </w:rPr>
        <w:t>East Cleveland IAFF 500, et al. v. City of East Cleveland, et al</w:t>
      </w:r>
      <w:r>
        <w:t xml:space="preserve">.,  the Court of appeals of Ohio, Eight District (Cuyahoga County) held (3 to 0) that the March 2017 arbitration award for the union is enforceable. The arbitrator found that the City breached the CBA starting April 12, </w:t>
      </w:r>
      <w:proofErr w:type="gramStart"/>
      <w:r>
        <w:t>2016</w:t>
      </w:r>
      <w:proofErr w:type="gramEnd"/>
      <w:r>
        <w:t xml:space="preserve"> and required the City to immediately restoring staffing to ten (10) firefighters per shift and restore back pay to all affected firefighters who would have been entitled to overtime on the call-out list after April 12, 2016. </w:t>
      </w:r>
    </w:p>
    <w:p w14:paraId="182C4457" w14:textId="398908A2" w:rsidR="00804F3A" w:rsidRDefault="00804F3A" w:rsidP="00804F3A">
      <w:pPr>
        <w:pStyle w:val="NoSpacing"/>
        <w:rPr>
          <w:rStyle w:val="Hyperlink"/>
          <w:rFonts w:eastAsiaTheme="majorEastAsia"/>
        </w:rPr>
      </w:pPr>
      <w:r>
        <w:t xml:space="preserve">“We find that the trial court's award of damages in the amount of $1,188,219.36 is consistent with the March 12, </w:t>
      </w:r>
      <w:proofErr w:type="gramStart"/>
      <w:r>
        <w:t>2017</w:t>
      </w:r>
      <w:proofErr w:type="gramEnd"/>
      <w:r>
        <w:t xml:space="preserve"> Arbitration Award. The trial court heard testimony that through 2018, 2019, and 2020 the City had not restored staffing to ten firefighters per shift for every shift as required by the Arbitration Award and determined, consistent with the evidence presented, that certain affected firefighters were owed a total aggregated amount of $1,188,219.36 in backpay.” </w:t>
      </w:r>
      <w:hyperlink r:id="rId2948" w:history="1">
        <w:r w:rsidRPr="007662E8">
          <w:rPr>
            <w:rStyle w:val="Hyperlink"/>
            <w:rFonts w:eastAsiaTheme="majorEastAsia"/>
          </w:rPr>
          <w:t>https://public.fastcase.com/J%2FJP6pdidelsXxEE4k%2BLMtVWis%2BjrVT91gBFG4uyJWEPcpNLWXxLmz%2FQC7BVJHEFVVKmRnSKx2JFHo6ASClx4LYOJwrUPHRSA%2B3C21y5uNo%3D?utm_medium=email&amp;_hsmi=226712652&amp;_hsenc=p2ANqtz-_Z7uUMGtz89TwJ8h7fDGtfvV3sIYognKNnX4gprWQ41uEM6WKF6eTc5YmYCWiY12JCxBXlLKEbrm5nDUGgSrncCZSdVg&amp;utm_content=226712652&amp;utm_source=hs_email</w:t>
        </w:r>
      </w:hyperlink>
    </w:p>
    <w:p w14:paraId="591D1308" w14:textId="4B6FEE20" w:rsidR="00804F3A" w:rsidRDefault="00804F3A" w:rsidP="00804F3A">
      <w:pPr>
        <w:pStyle w:val="NoSpacing"/>
        <w:rPr>
          <w:rStyle w:val="Hyperlink"/>
          <w:rFonts w:eastAsiaTheme="majorEastAsia"/>
        </w:rPr>
      </w:pPr>
    </w:p>
    <w:p w14:paraId="7F8EEB09" w14:textId="77777777" w:rsidR="00804F3A" w:rsidRPr="008B1952" w:rsidRDefault="00804F3A" w:rsidP="00804F3A">
      <w:pPr>
        <w:pStyle w:val="NormalWeb"/>
        <w:rPr>
          <w:b/>
          <w:bCs/>
        </w:rPr>
      </w:pPr>
      <w:r w:rsidRPr="008B1952">
        <w:rPr>
          <w:b/>
          <w:bCs/>
        </w:rPr>
        <w:t>Legal Lesson Learned:</w:t>
      </w:r>
      <w:r>
        <w:rPr>
          <w:b/>
          <w:bCs/>
        </w:rPr>
        <w:t xml:space="preserve"> The arbitration award has been upheld. </w:t>
      </w:r>
    </w:p>
    <w:p w14:paraId="200F21C3" w14:textId="77777777" w:rsidR="00804F3A" w:rsidRDefault="00804F3A" w:rsidP="00804F3A">
      <w:pPr>
        <w:pStyle w:val="NoSpacing"/>
        <w:rPr>
          <w:rFonts w:ascii="Arial Black" w:hAnsi="Arial Black"/>
          <w:sz w:val="24"/>
          <w:szCs w:val="24"/>
        </w:rPr>
      </w:pPr>
    </w:p>
    <w:p w14:paraId="1513D998" w14:textId="77777777" w:rsidR="00804F3A" w:rsidRDefault="00804F3A" w:rsidP="00F326E5">
      <w:pPr>
        <w:pStyle w:val="NoSpacing"/>
        <w:rPr>
          <w:rFonts w:ascii="Arial Black" w:hAnsi="Arial Black"/>
          <w:sz w:val="24"/>
          <w:szCs w:val="24"/>
        </w:rPr>
      </w:pPr>
    </w:p>
    <w:p w14:paraId="584CD62D" w14:textId="77777777" w:rsidR="00804F3A" w:rsidRDefault="00804F3A" w:rsidP="00F326E5">
      <w:pPr>
        <w:pStyle w:val="NoSpacing"/>
        <w:rPr>
          <w:rFonts w:ascii="Arial Black" w:hAnsi="Arial Black"/>
          <w:sz w:val="24"/>
          <w:szCs w:val="24"/>
        </w:rPr>
      </w:pPr>
    </w:p>
    <w:p w14:paraId="0330FA48" w14:textId="358F5F6E" w:rsidR="00755E16" w:rsidRDefault="00755E16" w:rsidP="00F326E5">
      <w:pPr>
        <w:pStyle w:val="NoSpacing"/>
        <w:rPr>
          <w:rFonts w:ascii="Arial Black" w:hAnsi="Arial Black"/>
          <w:sz w:val="24"/>
          <w:szCs w:val="24"/>
        </w:rPr>
      </w:pPr>
      <w:r>
        <w:rPr>
          <w:rFonts w:ascii="Arial Black" w:hAnsi="Arial Black"/>
          <w:sz w:val="24"/>
          <w:szCs w:val="24"/>
        </w:rPr>
        <w:t>17-21</w:t>
      </w:r>
    </w:p>
    <w:p w14:paraId="60FD7AB3" w14:textId="775913C5" w:rsidR="00755E16" w:rsidRDefault="00755E16" w:rsidP="00F326E5">
      <w:pPr>
        <w:pStyle w:val="NoSpacing"/>
        <w:rPr>
          <w:rFonts w:ascii="Arial Black" w:hAnsi="Arial Black"/>
          <w:sz w:val="24"/>
          <w:szCs w:val="24"/>
        </w:rPr>
      </w:pPr>
    </w:p>
    <w:p w14:paraId="1E2C8E64"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FL: FF INJURIES OVER 11 YRS – SHORT TERM DISABILITY BENEFITS BUT USED SICK LEAVE – WINS BACK SICK LEAVE</w:t>
      </w:r>
    </w:p>
    <w:p w14:paraId="2E5F5012" w14:textId="77777777" w:rsidR="00755E16" w:rsidRDefault="00755E16" w:rsidP="00755E16">
      <w:pPr>
        <w:pStyle w:val="NormalWeb"/>
      </w:pPr>
      <w:r>
        <w:t xml:space="preserve">On Sept. 30, 2022, in </w:t>
      </w:r>
      <w:r>
        <w:rPr>
          <w:u w:val="single"/>
        </w:rPr>
        <w:t>Metro Dade Firefighters, IAFF Local 1403 v. Miami-Dade County</w:t>
      </w:r>
      <w:r>
        <w:t xml:space="preserve">, the Florida Court of Appeals, Third District, held (3 to 0) that the arbitrator did not exceed his authority when awarding the restoration of sick leave to a firefighter for an eleven-year period [Oct. 2006 until Nov. 2017] preceding an award of long-term disability benefits.  Per CBA and City Code, “an employee who suffers a service-connected disability shall not use or be charged sick leave if he is granted disability leave or disability payments.” </w:t>
      </w:r>
    </w:p>
    <w:p w14:paraId="198F8FCB" w14:textId="77777777" w:rsidR="00755E16" w:rsidRDefault="00755E16" w:rsidP="00755E16">
      <w:pPr>
        <w:pStyle w:val="NormalWeb"/>
        <w:ind w:left="720"/>
      </w:pPr>
      <w:r>
        <w:t xml:space="preserve">:Because we find that the arbitrator did not exceed his powers, we are constrained to reverse the circuit court's order vacating the arbitration award. *** The arbitrator decided only the issue submitted to arbitration. He interpreted and applied Section 2-56.26, finding that the provision required the County to restore all of Mr. Calvo's leave time for the period of time from his first on-the-job injury through his retirement after a finding of long-term disability because all of this time was taken as a result of Mr. Calvo's various compensable injuries and the lingering effects of these injuries.”  </w:t>
      </w:r>
      <w:hyperlink r:id="rId2949" w:history="1">
        <w:r>
          <w:rPr>
            <w:rStyle w:val="Hyperlink"/>
          </w:rPr>
          <w:t>https://public.fastcase.com/J%2FJP6pdidelsXxEE4k%2BLMpuDgtfUlpNK4l%2BfqZzcsS95ieNoHEqDlI1ajn81HayMXO5%2FuX2%2ByvyKSn9EyfaN7KpFENL2lTAAz2wo8HtdPeY%3D?utm_medium=email&amp;_hsmi=226712652&amp;_hsenc=p2ANqtz-9t2-miGpzcz6HjEKBpKrn-zhw54ySyRz_VGgy44f1dByScW7c1n8avO_4RXLWc5afGZGbJubbxw9DhHyQbca8WHl796A&amp;utm_content=226712652&amp;utm_source=hs_email</w:t>
        </w:r>
      </w:hyperlink>
      <w:r>
        <w:t xml:space="preserve"> </w:t>
      </w:r>
    </w:p>
    <w:p w14:paraId="4AB91874" w14:textId="77777777" w:rsidR="00755E16" w:rsidRDefault="00755E16" w:rsidP="00755E16">
      <w:pPr>
        <w:pStyle w:val="NormalWeb"/>
        <w:rPr>
          <w:b/>
          <w:bCs/>
        </w:rPr>
      </w:pPr>
      <w:r>
        <w:rPr>
          <w:rFonts w:eastAsiaTheme="minorHAnsi"/>
          <w:b/>
          <w:bCs/>
        </w:rPr>
        <w:t xml:space="preserve">Legal Lesson Learned: Grievances and arbitrations can be avoided if CBA is explicit about whether sick leave can be charged for an employee who suffers a service-connected disability. </w:t>
      </w:r>
    </w:p>
    <w:p w14:paraId="2D44FD60" w14:textId="77777777" w:rsidR="00755E16" w:rsidRDefault="00755E16" w:rsidP="00F326E5">
      <w:pPr>
        <w:pStyle w:val="NoSpacing"/>
        <w:rPr>
          <w:rFonts w:ascii="Arial Black" w:hAnsi="Arial Black"/>
          <w:sz w:val="24"/>
          <w:szCs w:val="24"/>
        </w:rPr>
      </w:pPr>
    </w:p>
    <w:p w14:paraId="1E44D6E9" w14:textId="77777777" w:rsidR="00755E16" w:rsidRDefault="00755E16" w:rsidP="00F326E5">
      <w:pPr>
        <w:pStyle w:val="NoSpacing"/>
        <w:rPr>
          <w:rFonts w:ascii="Arial Black" w:hAnsi="Arial Black"/>
          <w:sz w:val="24"/>
          <w:szCs w:val="24"/>
        </w:rPr>
      </w:pPr>
    </w:p>
    <w:p w14:paraId="4D17E43E" w14:textId="77777777" w:rsidR="00755E16" w:rsidRDefault="00755E16" w:rsidP="00F326E5">
      <w:pPr>
        <w:pStyle w:val="NoSpacing"/>
        <w:rPr>
          <w:rFonts w:ascii="Arial Black" w:hAnsi="Arial Black"/>
          <w:sz w:val="24"/>
          <w:szCs w:val="24"/>
        </w:rPr>
      </w:pPr>
    </w:p>
    <w:p w14:paraId="799D704E" w14:textId="51F55DAF" w:rsidR="00D478CB" w:rsidRDefault="00D478CB" w:rsidP="00F326E5">
      <w:pPr>
        <w:pStyle w:val="NoSpacing"/>
        <w:rPr>
          <w:rFonts w:ascii="Arial Black" w:hAnsi="Arial Black"/>
          <w:sz w:val="24"/>
          <w:szCs w:val="24"/>
        </w:rPr>
      </w:pPr>
      <w:r>
        <w:rPr>
          <w:rFonts w:ascii="Arial Black" w:hAnsi="Arial Black"/>
          <w:sz w:val="24"/>
          <w:szCs w:val="24"/>
        </w:rPr>
        <w:t>17-20</w:t>
      </w:r>
    </w:p>
    <w:p w14:paraId="5C74311E" w14:textId="27D276D3" w:rsidR="00D478CB" w:rsidRDefault="00D478CB" w:rsidP="00F326E5">
      <w:pPr>
        <w:pStyle w:val="NoSpacing"/>
        <w:rPr>
          <w:rFonts w:ascii="Arial Black" w:hAnsi="Arial Black"/>
          <w:sz w:val="24"/>
          <w:szCs w:val="24"/>
        </w:rPr>
      </w:pPr>
    </w:p>
    <w:p w14:paraId="62E44961" w14:textId="77777777" w:rsidR="00311ABE" w:rsidRPr="00182E4B" w:rsidRDefault="00311ABE" w:rsidP="00311ABE">
      <w:pPr>
        <w:spacing w:before="100" w:beforeAutospacing="1" w:after="100" w:afterAutospacing="1" w:line="240" w:lineRule="auto"/>
        <w:rPr>
          <w:rFonts w:ascii="Arial Black" w:eastAsia="Times New Roman" w:hAnsi="Arial Black"/>
          <w:sz w:val="28"/>
          <w:szCs w:val="28"/>
        </w:rPr>
      </w:pPr>
      <w:bookmarkStart w:id="631" w:name="_Hlk112724937"/>
      <w:r>
        <w:rPr>
          <w:rFonts w:ascii="Arial Black" w:eastAsia="Times New Roman" w:hAnsi="Arial Black"/>
          <w:sz w:val="28"/>
          <w:szCs w:val="28"/>
        </w:rPr>
        <w:t>AK: FORMER UNION PRESIDENT – PASSED OVER PROMOTION B/C – CHIEF LEARNED “BELITTLING” CREWS</w:t>
      </w:r>
    </w:p>
    <w:p w14:paraId="6AE007D8" w14:textId="77777777" w:rsidR="00311ABE" w:rsidRDefault="00311ABE" w:rsidP="00311AB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24, 2022, in </w:t>
      </w:r>
      <w:r w:rsidRPr="00182E4B">
        <w:rPr>
          <w:rFonts w:ascii="Times New Roman" w:hAnsi="Times New Roman"/>
          <w:sz w:val="24"/>
          <w:szCs w:val="24"/>
          <w:u w:val="single"/>
        </w:rPr>
        <w:t>Damon Reed v. City of Conway, Arkansas, et al.</w:t>
      </w:r>
      <w:r>
        <w:rPr>
          <w:rFonts w:ascii="Times New Roman" w:hAnsi="Times New Roman"/>
          <w:sz w:val="24"/>
          <w:szCs w:val="24"/>
        </w:rPr>
        <w:t xml:space="preserve">,  U.S. District Court Judge Lee , P. Rudofssky, U.S. District Court for Eastern District of Arkansas (Central Division) granted summary judgment for the City and Fire Chief Michael Winter on Captain Reed’s complaint alleging First Amendment retaliation.  </w:t>
      </w:r>
      <w:r w:rsidRPr="00C300FC">
        <w:rPr>
          <w:rFonts w:ascii="Times New Roman" w:hAnsi="Times New Roman"/>
          <w:sz w:val="24"/>
          <w:szCs w:val="24"/>
        </w:rPr>
        <w:t xml:space="preserve">“First, Mr. Reed points to the fact that he was the unanimous vote of the Chiefs panel for the May 2018 promotion. He says that this </w:t>
      </w:r>
      <w:r>
        <w:rPr>
          <w:rFonts w:ascii="Times New Roman" w:hAnsi="Times New Roman"/>
          <w:sz w:val="24"/>
          <w:szCs w:val="24"/>
        </w:rPr>
        <w:t>‘</w:t>
      </w:r>
      <w:r w:rsidRPr="00C300FC">
        <w:rPr>
          <w:rFonts w:ascii="Times New Roman" w:hAnsi="Times New Roman"/>
          <w:sz w:val="24"/>
          <w:szCs w:val="24"/>
        </w:rPr>
        <w:t>favorable review</w:t>
      </w:r>
      <w:r>
        <w:rPr>
          <w:rFonts w:ascii="Times New Roman" w:hAnsi="Times New Roman"/>
          <w:sz w:val="24"/>
          <w:szCs w:val="24"/>
        </w:rPr>
        <w:t>’</w:t>
      </w:r>
      <w:r w:rsidRPr="00C300FC">
        <w:rPr>
          <w:rFonts w:ascii="Times New Roman" w:hAnsi="Times New Roman"/>
          <w:sz w:val="24"/>
          <w:szCs w:val="24"/>
        </w:rPr>
        <w:t xml:space="preserve"> is evidence of pretext. The fatal flaw with this argument is timing. Recall that the Chiefs panel voted for Mr. Reed in January of 2018. Chief Winter did not receive the complaints about Mr. Reed until months after the vote, when word got out that Mr. Reed would be getting promoted. </w:t>
      </w:r>
      <w:proofErr w:type="gramStart"/>
      <w:r w:rsidRPr="00C300FC">
        <w:rPr>
          <w:rFonts w:ascii="Times New Roman" w:hAnsi="Times New Roman"/>
          <w:sz w:val="24"/>
          <w:szCs w:val="24"/>
        </w:rPr>
        <w:t>So</w:t>
      </w:r>
      <w:proofErr w:type="gramEnd"/>
      <w:r w:rsidRPr="00C300FC">
        <w:rPr>
          <w:rFonts w:ascii="Times New Roman" w:hAnsi="Times New Roman"/>
          <w:sz w:val="24"/>
          <w:szCs w:val="24"/>
        </w:rPr>
        <w:t xml:space="preserve"> neither Chief Winter nor the Chiefs panel knew, at the time of this so-called favorable review, that Mr. Reed was belittling subordinates.</w:t>
      </w:r>
      <w:r>
        <w:rPr>
          <w:rFonts w:ascii="Times New Roman" w:hAnsi="Times New Roman"/>
          <w:sz w:val="24"/>
          <w:szCs w:val="24"/>
        </w:rPr>
        <w:t xml:space="preserve">” </w:t>
      </w:r>
      <w:hyperlink r:id="rId2950" w:history="1">
        <w:r w:rsidRPr="005B4B72">
          <w:rPr>
            <w:rStyle w:val="Hyperlink"/>
            <w:rFonts w:ascii="Times New Roman" w:hAnsi="Times New Roman"/>
          </w:rPr>
          <w:t>https://casetext.com/case/reed-v-city-of-conway</w:t>
        </w:r>
      </w:hyperlink>
      <w:r>
        <w:rPr>
          <w:rFonts w:ascii="Times New Roman" w:hAnsi="Times New Roman"/>
          <w:sz w:val="24"/>
          <w:szCs w:val="24"/>
        </w:rPr>
        <w:t xml:space="preserve"> </w:t>
      </w:r>
    </w:p>
    <w:bookmarkEnd w:id="631"/>
    <w:p w14:paraId="50254F13" w14:textId="77777777" w:rsidR="00311ABE" w:rsidRDefault="00311ABE" w:rsidP="00F326E5">
      <w:pPr>
        <w:pStyle w:val="NoSpacing"/>
        <w:rPr>
          <w:rFonts w:ascii="Arial Black" w:hAnsi="Arial Black"/>
          <w:sz w:val="24"/>
          <w:szCs w:val="24"/>
        </w:rPr>
      </w:pPr>
    </w:p>
    <w:p w14:paraId="6494EABE" w14:textId="77777777" w:rsidR="00D478CB" w:rsidRDefault="00D478CB" w:rsidP="00F326E5">
      <w:pPr>
        <w:pStyle w:val="NoSpacing"/>
        <w:rPr>
          <w:rFonts w:ascii="Arial Black" w:hAnsi="Arial Black"/>
          <w:sz w:val="24"/>
          <w:szCs w:val="24"/>
        </w:rPr>
      </w:pPr>
    </w:p>
    <w:p w14:paraId="22E980A2" w14:textId="27EA5A3F" w:rsidR="00D478CB" w:rsidRDefault="00D478CB" w:rsidP="00F326E5">
      <w:pPr>
        <w:pStyle w:val="NoSpacing"/>
        <w:rPr>
          <w:rFonts w:ascii="Arial Black" w:hAnsi="Arial Black"/>
          <w:sz w:val="24"/>
          <w:szCs w:val="24"/>
        </w:rPr>
      </w:pPr>
      <w:r>
        <w:rPr>
          <w:rFonts w:ascii="Arial Black" w:hAnsi="Arial Black"/>
          <w:sz w:val="24"/>
          <w:szCs w:val="24"/>
        </w:rPr>
        <w:t>17-19</w:t>
      </w:r>
    </w:p>
    <w:p w14:paraId="143388E6" w14:textId="77777777" w:rsidR="00D478CB" w:rsidRPr="0066767F" w:rsidRDefault="00D478CB" w:rsidP="00D478CB">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OH: CAPTAIN NO. 1 LIST B/C – CITY DOESN’T WANT TO FILL JOB - UNION WON’T ARBITRATE – LAWSUIT DISMISSED </w:t>
      </w:r>
    </w:p>
    <w:p w14:paraId="6C2CF803" w14:textId="18179222" w:rsidR="00D478CB" w:rsidRDefault="00D478CB" w:rsidP="00D478CB">
      <w:pPr>
        <w:pStyle w:val="NoSpacing"/>
        <w:rPr>
          <w:rFonts w:ascii="Arial Black" w:hAnsi="Arial Black"/>
          <w:sz w:val="24"/>
          <w:szCs w:val="24"/>
        </w:rPr>
      </w:pPr>
      <w:r>
        <w:rPr>
          <w:rFonts w:ascii="Times New Roman" w:hAnsi="Times New Roman"/>
          <w:sz w:val="24"/>
          <w:szCs w:val="24"/>
        </w:rPr>
        <w:t xml:space="preserve">On Aug. 11, 2022, in </w:t>
      </w:r>
      <w:r w:rsidRPr="00636166">
        <w:rPr>
          <w:rFonts w:ascii="Times New Roman" w:hAnsi="Times New Roman"/>
          <w:sz w:val="24"/>
          <w:szCs w:val="24"/>
          <w:u w:val="single"/>
        </w:rPr>
        <w:t>The State Of Ohio, Ex Re. John M. Casey, et al. v. Jamael Tito Brown, et al</w:t>
      </w:r>
      <w:r>
        <w:rPr>
          <w:rFonts w:ascii="Times New Roman" w:hAnsi="Times New Roman"/>
          <w:sz w:val="24"/>
          <w:szCs w:val="24"/>
        </w:rPr>
        <w:t xml:space="preserve">., the Court of Appeals of Ohio, Seventh District (Mahoning County), </w:t>
      </w:r>
      <w:r w:rsidRPr="00636166">
        <w:rPr>
          <w:rFonts w:ascii="Times New Roman" w:eastAsia="Times New Roman" w:hAnsi="Times New Roman"/>
          <w:sz w:val="24"/>
          <w:szCs w:val="24"/>
        </w:rPr>
        <w:t>2022-Ohio-2843</w:t>
      </w:r>
      <w:r>
        <w:rPr>
          <w:rFonts w:ascii="Times New Roman" w:eastAsia="Times New Roman" w:hAnsi="Times New Roman"/>
          <w:sz w:val="24"/>
          <w:szCs w:val="24"/>
        </w:rPr>
        <w:t xml:space="preserve">, </w:t>
      </w:r>
      <w:r>
        <w:rPr>
          <w:rFonts w:ascii="Times New Roman" w:hAnsi="Times New Roman"/>
          <w:sz w:val="24"/>
          <w:szCs w:val="24"/>
        </w:rPr>
        <w:t xml:space="preserve">held (3 to 0) that the </w:t>
      </w:r>
      <w:proofErr w:type="gramStart"/>
      <w:r>
        <w:rPr>
          <w:rFonts w:ascii="Times New Roman" w:hAnsi="Times New Roman"/>
          <w:sz w:val="24"/>
          <w:szCs w:val="24"/>
        </w:rPr>
        <w:t>Captain’s</w:t>
      </w:r>
      <w:proofErr w:type="gramEnd"/>
      <w:r>
        <w:rPr>
          <w:rFonts w:ascii="Times New Roman" w:hAnsi="Times New Roman"/>
          <w:sz w:val="24"/>
          <w:szCs w:val="24"/>
        </w:rPr>
        <w:t xml:space="preserve"> taxpayer lawsuit against the City is dismissed.   Plaintiff as a </w:t>
      </w:r>
      <w:r w:rsidRPr="00E20815">
        <w:rPr>
          <w:rFonts w:ascii="Times New Roman" w:hAnsi="Times New Roman"/>
          <w:sz w:val="24"/>
          <w:szCs w:val="24"/>
        </w:rPr>
        <w:t>member of the Youngstown Professional Firefighters, IAFF, Local 312</w:t>
      </w:r>
      <w:r>
        <w:rPr>
          <w:rFonts w:ascii="Times New Roman" w:hAnsi="Times New Roman"/>
          <w:sz w:val="24"/>
          <w:szCs w:val="24"/>
        </w:rPr>
        <w:t xml:space="preserve">; Union President under CBA decides when to pursue arbitration.    Plaintiff’s so option is to file unfair labor </w:t>
      </w:r>
      <w:proofErr w:type="gramStart"/>
      <w:r>
        <w:rPr>
          <w:rFonts w:ascii="Times New Roman" w:hAnsi="Times New Roman"/>
          <w:sz w:val="24"/>
          <w:szCs w:val="24"/>
        </w:rPr>
        <w:t>charge</w:t>
      </w:r>
      <w:proofErr w:type="gramEnd"/>
      <w:r>
        <w:rPr>
          <w:rFonts w:ascii="Times New Roman" w:hAnsi="Times New Roman"/>
          <w:sz w:val="24"/>
          <w:szCs w:val="24"/>
        </w:rPr>
        <w:t xml:space="preserve"> against the union. </w:t>
      </w:r>
      <w:hyperlink r:id="rId2951" w:history="1">
        <w:r w:rsidRPr="00696C47">
          <w:rPr>
            <w:rStyle w:val="Hyperlink"/>
            <w:rFonts w:ascii="Times New Roman" w:hAnsi="Times New Roman"/>
          </w:rPr>
          <w:t>https://public.fastcase.com/J%2FJP6pdidelsXxEE4k%2BLMgRuGoPztfGYl4rgyWIW4hR9R3ye4G%2Brlx4oNbvfkD7bo5Sl3SUFyCNYsXscEScOvl5B7KBk99Bt%2FA1OCEhfyl0%3D</w:t>
        </w:r>
      </w:hyperlink>
    </w:p>
    <w:p w14:paraId="5616EA70" w14:textId="77777777" w:rsidR="00D478CB" w:rsidRPr="00E94E96" w:rsidRDefault="00D478CB" w:rsidP="00D478CB">
      <w:pPr>
        <w:spacing w:before="100" w:beforeAutospacing="1" w:after="100" w:afterAutospacing="1" w:line="240" w:lineRule="auto"/>
        <w:rPr>
          <w:rFonts w:ascii="Times New Roman" w:hAnsi="Times New Roman"/>
          <w:b/>
          <w:bCs/>
          <w:sz w:val="24"/>
          <w:szCs w:val="24"/>
        </w:rPr>
      </w:pPr>
      <w:r w:rsidRPr="00E94E96">
        <w:rPr>
          <w:rFonts w:ascii="Times New Roman" w:hAnsi="Times New Roman"/>
          <w:b/>
          <w:bCs/>
          <w:sz w:val="24"/>
          <w:szCs w:val="24"/>
        </w:rPr>
        <w:t xml:space="preserve">Legal Lesson Learned: </w:t>
      </w:r>
      <w:r>
        <w:rPr>
          <w:rFonts w:ascii="Times New Roman" w:hAnsi="Times New Roman"/>
          <w:b/>
          <w:bCs/>
          <w:sz w:val="24"/>
          <w:szCs w:val="24"/>
        </w:rPr>
        <w:t>The Union under the CBA has sole discretion on when to pursue an arbitration.</w:t>
      </w:r>
    </w:p>
    <w:p w14:paraId="5B60A40A" w14:textId="77777777" w:rsidR="00D478CB" w:rsidRDefault="00D478CB" w:rsidP="00F326E5">
      <w:pPr>
        <w:pStyle w:val="NoSpacing"/>
        <w:rPr>
          <w:rFonts w:ascii="Arial Black" w:hAnsi="Arial Black"/>
          <w:sz w:val="24"/>
          <w:szCs w:val="24"/>
        </w:rPr>
      </w:pPr>
    </w:p>
    <w:p w14:paraId="06B0936A" w14:textId="77777777" w:rsidR="00D478CB" w:rsidRDefault="00D478CB" w:rsidP="00F326E5">
      <w:pPr>
        <w:pStyle w:val="NoSpacing"/>
        <w:rPr>
          <w:rFonts w:ascii="Arial Black" w:hAnsi="Arial Black"/>
          <w:sz w:val="24"/>
          <w:szCs w:val="24"/>
        </w:rPr>
      </w:pPr>
    </w:p>
    <w:p w14:paraId="2932F533" w14:textId="2581FC16" w:rsidR="00C24A79" w:rsidRDefault="00C24A79" w:rsidP="00F326E5">
      <w:pPr>
        <w:pStyle w:val="NoSpacing"/>
        <w:rPr>
          <w:rFonts w:ascii="Arial Black" w:hAnsi="Arial Black"/>
          <w:sz w:val="24"/>
          <w:szCs w:val="24"/>
        </w:rPr>
      </w:pPr>
      <w:r>
        <w:rPr>
          <w:rFonts w:ascii="Arial Black" w:hAnsi="Arial Black"/>
          <w:sz w:val="24"/>
          <w:szCs w:val="24"/>
        </w:rPr>
        <w:t>17-18</w:t>
      </w:r>
    </w:p>
    <w:p w14:paraId="0877C9C5" w14:textId="77777777" w:rsidR="00C24A79" w:rsidRPr="007B00F4" w:rsidRDefault="00C24A79" w:rsidP="00C24A79">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OH: CBA IMPASSE – FACT-FINDING, ARBITRATION, COURT -16 EMS CAPTAINS WIN 2% PAY INCREASE BACK TO 2016 </w:t>
      </w:r>
    </w:p>
    <w:p w14:paraId="76844455" w14:textId="77777777" w:rsidR="00C24A79" w:rsidRPr="0039678C" w:rsidRDefault="00C24A79" w:rsidP="00C24A79">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21, 2022, in </w:t>
      </w:r>
      <w:r w:rsidRPr="007B00F4">
        <w:rPr>
          <w:rFonts w:ascii="Times New Roman" w:hAnsi="Times New Roman"/>
          <w:sz w:val="24"/>
          <w:szCs w:val="24"/>
          <w:u w:val="single"/>
        </w:rPr>
        <w:t xml:space="preserve">City of Cleveland v. Communication Workers </w:t>
      </w:r>
      <w:proofErr w:type="gramStart"/>
      <w:r w:rsidRPr="007B00F4">
        <w:rPr>
          <w:rFonts w:ascii="Times New Roman" w:hAnsi="Times New Roman"/>
          <w:sz w:val="24"/>
          <w:szCs w:val="24"/>
          <w:u w:val="single"/>
        </w:rPr>
        <w:t>Of</w:t>
      </w:r>
      <w:proofErr w:type="gramEnd"/>
      <w:r w:rsidRPr="007B00F4">
        <w:rPr>
          <w:rFonts w:ascii="Times New Roman" w:hAnsi="Times New Roman"/>
          <w:sz w:val="24"/>
          <w:szCs w:val="24"/>
          <w:u w:val="single"/>
        </w:rPr>
        <w:t xml:space="preserve"> America, Local 4340</w:t>
      </w:r>
      <w:r>
        <w:rPr>
          <w:rFonts w:ascii="Times New Roman" w:hAnsi="Times New Roman"/>
          <w:sz w:val="24"/>
          <w:szCs w:val="24"/>
        </w:rPr>
        <w:t xml:space="preserve">, the </w:t>
      </w:r>
      <w:r w:rsidRPr="007B00F4">
        <w:rPr>
          <w:rFonts w:ascii="Times New Roman" w:eastAsia="Times New Roman" w:hAnsi="Times New Roman"/>
          <w:sz w:val="24"/>
          <w:szCs w:val="24"/>
        </w:rPr>
        <w:t>Court of Appeals of Ohio, Eighth District</w:t>
      </w:r>
      <w:r>
        <w:rPr>
          <w:rFonts w:ascii="Times New Roman" w:eastAsia="Times New Roman" w:hAnsi="Times New Roman"/>
          <w:sz w:val="24"/>
          <w:szCs w:val="24"/>
        </w:rPr>
        <w:t xml:space="preserve"> (</w:t>
      </w:r>
      <w:r w:rsidRPr="007B00F4">
        <w:rPr>
          <w:rFonts w:ascii="Times New Roman" w:eastAsia="Times New Roman" w:hAnsi="Times New Roman"/>
          <w:sz w:val="24"/>
          <w:szCs w:val="24"/>
        </w:rPr>
        <w:t>Cuyahoga</w:t>
      </w:r>
      <w:r>
        <w:rPr>
          <w:rFonts w:ascii="Times New Roman" w:eastAsia="Times New Roman" w:hAnsi="Times New Roman"/>
          <w:sz w:val="24"/>
          <w:szCs w:val="24"/>
        </w:rPr>
        <w:t xml:space="preserve"> County), </w:t>
      </w:r>
      <w:r w:rsidRPr="00633DB2">
        <w:rPr>
          <w:rFonts w:ascii="Times New Roman" w:eastAsia="Times New Roman" w:hAnsi="Times New Roman"/>
          <w:sz w:val="24"/>
          <w:szCs w:val="24"/>
        </w:rPr>
        <w:t xml:space="preserve">2022-Ohio-2498, </w:t>
      </w:r>
      <w:r>
        <w:rPr>
          <w:rFonts w:ascii="Times New Roman" w:eastAsia="Times New Roman" w:hAnsi="Times New Roman"/>
          <w:sz w:val="24"/>
          <w:szCs w:val="24"/>
        </w:rPr>
        <w:t xml:space="preserve">held 3 to 0 that trial court properly upheld the arbitrator’s decision; 12 EMS Captains entitled to 2% pay increase for 2016-2019 period based on </w:t>
      </w:r>
      <w:proofErr w:type="gramStart"/>
      <w:r>
        <w:rPr>
          <w:rFonts w:ascii="Times New Roman" w:eastAsia="Times New Roman" w:hAnsi="Times New Roman"/>
          <w:sz w:val="24"/>
          <w:szCs w:val="24"/>
        </w:rPr>
        <w:t>fact-finders</w:t>
      </w:r>
      <w:proofErr w:type="gramEnd"/>
      <w:r>
        <w:rPr>
          <w:rFonts w:ascii="Times New Roman" w:eastAsia="Times New Roman" w:hAnsi="Times New Roman"/>
          <w:sz w:val="24"/>
          <w:szCs w:val="24"/>
        </w:rPr>
        <w:t xml:space="preserve">’ Final Report.  </w:t>
      </w:r>
      <w:hyperlink r:id="rId2952" w:history="1">
        <w:r w:rsidRPr="00355029">
          <w:rPr>
            <w:rStyle w:val="Hyperlink"/>
            <w:rFonts w:ascii="Times New Roman" w:eastAsia="Times New Roman" w:hAnsi="Times New Roman"/>
            <w:sz w:val="24"/>
            <w:szCs w:val="24"/>
          </w:rPr>
          <w:t>https://www.supremecourt.ohio.gov/rod/docs/pdf/8/2022/2022-Ohio-2498.pdf</w:t>
        </w:r>
      </w:hyperlink>
      <w:r>
        <w:rPr>
          <w:rFonts w:ascii="Times New Roman" w:eastAsia="Times New Roman" w:hAnsi="Times New Roman"/>
          <w:sz w:val="24"/>
          <w:szCs w:val="24"/>
        </w:rPr>
        <w:t xml:space="preserve"> </w:t>
      </w:r>
    </w:p>
    <w:p w14:paraId="2C5FBD17" w14:textId="77777777" w:rsidR="00C24A79" w:rsidRPr="00633DB2" w:rsidRDefault="00C24A79" w:rsidP="00C24A79">
      <w:pPr>
        <w:spacing w:before="100" w:beforeAutospacing="1" w:after="100" w:afterAutospacing="1" w:line="240" w:lineRule="auto"/>
        <w:rPr>
          <w:rFonts w:ascii="Times New Roman" w:eastAsia="Times New Roman" w:hAnsi="Times New Roman"/>
          <w:b/>
          <w:bCs/>
          <w:sz w:val="24"/>
          <w:szCs w:val="24"/>
        </w:rPr>
      </w:pPr>
      <w:r w:rsidRPr="006450B8">
        <w:rPr>
          <w:rFonts w:ascii="Times New Roman" w:hAnsi="Times New Roman"/>
          <w:b/>
          <w:bCs/>
          <w:sz w:val="24"/>
          <w:szCs w:val="24"/>
        </w:rPr>
        <w:t>Legal Lesson Learned: The Ohio Revised Code provides for fact-finding for resolution of bargaining impasse</w:t>
      </w:r>
      <w:r>
        <w:rPr>
          <w:rFonts w:ascii="Times New Roman" w:hAnsi="Times New Roman"/>
          <w:b/>
          <w:bCs/>
          <w:sz w:val="24"/>
          <w:szCs w:val="24"/>
        </w:rPr>
        <w:t xml:space="preserve">; the Courts will generally uphold. </w:t>
      </w:r>
    </w:p>
    <w:p w14:paraId="4162DAFC" w14:textId="77777777" w:rsidR="00C24A79" w:rsidRDefault="00C24A79" w:rsidP="00F326E5">
      <w:pPr>
        <w:pStyle w:val="NoSpacing"/>
        <w:rPr>
          <w:rFonts w:ascii="Arial Black" w:hAnsi="Arial Black"/>
          <w:sz w:val="24"/>
          <w:szCs w:val="24"/>
        </w:rPr>
      </w:pPr>
    </w:p>
    <w:p w14:paraId="3EC24F38" w14:textId="77777777" w:rsidR="00C24A79" w:rsidRDefault="00C24A79" w:rsidP="00F326E5">
      <w:pPr>
        <w:pStyle w:val="NoSpacing"/>
        <w:rPr>
          <w:rFonts w:ascii="Arial Black" w:hAnsi="Arial Black"/>
          <w:sz w:val="24"/>
          <w:szCs w:val="24"/>
        </w:rPr>
      </w:pPr>
    </w:p>
    <w:p w14:paraId="42D1818B" w14:textId="77777777" w:rsidR="00C24A79" w:rsidRDefault="00C24A79" w:rsidP="00F326E5">
      <w:pPr>
        <w:pStyle w:val="NoSpacing"/>
        <w:rPr>
          <w:rFonts w:ascii="Arial Black" w:hAnsi="Arial Black"/>
          <w:sz w:val="24"/>
          <w:szCs w:val="24"/>
        </w:rPr>
      </w:pPr>
    </w:p>
    <w:p w14:paraId="5A7642EF" w14:textId="3F65E365" w:rsidR="00156E5D" w:rsidRDefault="00156E5D" w:rsidP="00F326E5">
      <w:pPr>
        <w:pStyle w:val="NoSpacing"/>
        <w:rPr>
          <w:rFonts w:ascii="Arial Black" w:hAnsi="Arial Black"/>
          <w:sz w:val="24"/>
          <w:szCs w:val="24"/>
        </w:rPr>
      </w:pPr>
      <w:r>
        <w:rPr>
          <w:rFonts w:ascii="Arial Black" w:hAnsi="Arial Black"/>
          <w:sz w:val="24"/>
          <w:szCs w:val="24"/>
        </w:rPr>
        <w:t>17-17</w:t>
      </w:r>
    </w:p>
    <w:p w14:paraId="29FEA5E1" w14:textId="292E7C36" w:rsidR="00156E5D" w:rsidRDefault="00156E5D" w:rsidP="00F326E5">
      <w:pPr>
        <w:pStyle w:val="NoSpacing"/>
        <w:rPr>
          <w:rFonts w:ascii="Arial Black" w:hAnsi="Arial Black"/>
          <w:sz w:val="24"/>
          <w:szCs w:val="24"/>
        </w:rPr>
      </w:pPr>
    </w:p>
    <w:p w14:paraId="34CB2E5F" w14:textId="37851BF4" w:rsidR="00156E5D" w:rsidRDefault="00156E5D" w:rsidP="00156E5D">
      <w:pPr>
        <w:rPr>
          <w:rFonts w:ascii="Arial Black" w:hAnsi="Arial Black"/>
          <w:b/>
          <w:sz w:val="24"/>
          <w:szCs w:val="24"/>
        </w:rPr>
      </w:pPr>
      <w:r>
        <w:rPr>
          <w:rFonts w:ascii="Arial Black" w:hAnsi="Arial Black"/>
          <w:b/>
          <w:sz w:val="24"/>
          <w:szCs w:val="24"/>
        </w:rPr>
        <w:t>6-92 [also filed, Chap. 6]</w:t>
      </w:r>
    </w:p>
    <w:p w14:paraId="71BEC741" w14:textId="77777777" w:rsidR="00156E5D" w:rsidRDefault="00156E5D" w:rsidP="00156E5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FIRE CHIEF “RETIRE / REHIRE” NEXT DAY IS LAWFUL – CIVIL SERVICE POSTING JOB ONLY WHEN A “VACANCY” </w:t>
      </w:r>
    </w:p>
    <w:p w14:paraId="3EEEF329" w14:textId="77777777" w:rsidR="00156E5D" w:rsidRDefault="00156E5D" w:rsidP="00156E5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27, 2022, in </w:t>
      </w:r>
      <w:r>
        <w:rPr>
          <w:rFonts w:ascii="Times New Roman" w:hAnsi="Times New Roman"/>
          <w:sz w:val="24"/>
          <w:szCs w:val="24"/>
          <w:u w:val="single"/>
        </w:rPr>
        <w:t xml:space="preserve">State of Ohio ex re. The International Association of Fire Fighters, Local 1536, AFL-CIO v. John Barbush, In His Official Capacity </w:t>
      </w:r>
      <w:proofErr w:type="gramStart"/>
      <w:r>
        <w:rPr>
          <w:rFonts w:ascii="Times New Roman" w:hAnsi="Times New Roman"/>
          <w:sz w:val="24"/>
          <w:szCs w:val="24"/>
          <w:u w:val="single"/>
        </w:rPr>
        <w:t>As</w:t>
      </w:r>
      <w:proofErr w:type="gramEnd"/>
      <w:r>
        <w:rPr>
          <w:rFonts w:ascii="Times New Roman" w:hAnsi="Times New Roman"/>
          <w:sz w:val="24"/>
          <w:szCs w:val="24"/>
          <w:u w:val="single"/>
        </w:rPr>
        <w:t xml:space="preserve"> Maor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Director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Public Safety, et. al., and James G. Powers</w:t>
      </w:r>
      <w:r>
        <w:rPr>
          <w:rFonts w:ascii="Times New Roman" w:hAnsi="Times New Roman"/>
          <w:sz w:val="24"/>
          <w:szCs w:val="24"/>
        </w:rPr>
        <w:t xml:space="preserve">, the Court of Appeals of Ohio, Eleventh District (Lake County), held (2 to 1) that trial court properly held that there was no “vacancy” in the Fire Chiefs position since he retired on Jan. 6, 2020, and was rehired the next day. Local 1536 argued [and the Dissenting Judge agreed] that the position should have been </w:t>
      </w:r>
      <w:proofErr w:type="gramStart"/>
      <w:r>
        <w:rPr>
          <w:rFonts w:ascii="Times New Roman" w:hAnsi="Times New Roman"/>
          <w:sz w:val="24"/>
          <w:szCs w:val="24"/>
        </w:rPr>
        <w:t>submitted</w:t>
      </w:r>
      <w:proofErr w:type="gramEnd"/>
      <w:r>
        <w:rPr>
          <w:rFonts w:ascii="Times New Roman" w:hAnsi="Times New Roman"/>
          <w:sz w:val="24"/>
          <w:szCs w:val="24"/>
        </w:rPr>
        <w:t xml:space="preserve"> the City’s Civil Service Commission, and the position filled through a competitive promotional examination process where four Captains were eligible to apply. </w:t>
      </w:r>
      <w:hyperlink r:id="rId2953" w:history="1">
        <w:r>
          <w:rPr>
            <w:rStyle w:val="Hyperlink"/>
            <w:sz w:val="24"/>
            <w:szCs w:val="24"/>
          </w:rPr>
          <w:t>https://www.leagle.com/decision/inohco20220627386</w:t>
        </w:r>
      </w:hyperlink>
      <w:r>
        <w:rPr>
          <w:rFonts w:ascii="Times New Roman" w:hAnsi="Times New Roman"/>
          <w:sz w:val="24"/>
          <w:szCs w:val="24"/>
        </w:rPr>
        <w:t xml:space="preserve"> </w:t>
      </w:r>
    </w:p>
    <w:p w14:paraId="6FF3511F" w14:textId="77777777" w:rsidR="00156E5D" w:rsidRDefault="00156E5D" w:rsidP="00156E5D">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In Ohio, other fire chiefs have also done “retire / rehire.” </w:t>
      </w:r>
    </w:p>
    <w:p w14:paraId="647BFB4F"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For example, see: “Fairfield able to rehire retired fire chief” (March 15, 2011): </w:t>
      </w:r>
      <w:hyperlink r:id="rId2954" w:history="1">
        <w:r w:rsidRPr="00102BDF">
          <w:rPr>
            <w:rStyle w:val="Hyperlink"/>
            <w:b w:val="0"/>
            <w:bCs w:val="0"/>
            <w:sz w:val="24"/>
            <w:szCs w:val="24"/>
          </w:rPr>
          <w:t>https://www.journal-news.com/news/local/fairfield-able-rehire-retired-fire-chief/JMPkJQCqJ2eIDqbu2eI8RK/</w:t>
        </w:r>
      </w:hyperlink>
      <w:r w:rsidRPr="00102BDF">
        <w:rPr>
          <w:b w:val="0"/>
          <w:bCs w:val="0"/>
          <w:sz w:val="24"/>
          <w:szCs w:val="24"/>
        </w:rPr>
        <w:t xml:space="preserve"> </w:t>
      </w:r>
    </w:p>
    <w:p w14:paraId="0364F905"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“West Carrollton to rehire fire chief after Valentine’s week retirement” (Feb. 13, 2019): </w:t>
      </w:r>
      <w:hyperlink r:id="rId2955" w:history="1">
        <w:r w:rsidRPr="00102BDF">
          <w:rPr>
            <w:rStyle w:val="Hyperlink"/>
            <w:b w:val="0"/>
            <w:bCs w:val="0"/>
            <w:sz w:val="24"/>
            <w:szCs w:val="24"/>
          </w:rPr>
          <w:t>https://www.daytondailynews.com/news/west-carrollton-rehire-fire-chief-after-valentine-week-retirement/XSsYoJpSmxdkIIZtoGUpzJ/</w:t>
        </w:r>
      </w:hyperlink>
      <w:r w:rsidRPr="00102BDF">
        <w:rPr>
          <w:b w:val="0"/>
          <w:bCs w:val="0"/>
          <w:sz w:val="24"/>
          <w:szCs w:val="24"/>
        </w:rPr>
        <w:t xml:space="preserve"> </w:t>
      </w:r>
    </w:p>
    <w:p w14:paraId="53B1D6D5" w14:textId="77777777" w:rsidR="00156E5D" w:rsidRDefault="00156E5D" w:rsidP="00156E5D">
      <w:pPr>
        <w:rPr>
          <w:rFonts w:ascii="Arial Black" w:hAnsi="Arial Black"/>
          <w:b/>
          <w:sz w:val="24"/>
          <w:szCs w:val="24"/>
        </w:rPr>
      </w:pPr>
    </w:p>
    <w:p w14:paraId="688B950C" w14:textId="77777777" w:rsidR="00156E5D" w:rsidRDefault="00156E5D" w:rsidP="00156E5D">
      <w:pPr>
        <w:rPr>
          <w:rFonts w:ascii="Arial Black" w:hAnsi="Arial Black"/>
          <w:b/>
          <w:sz w:val="24"/>
          <w:szCs w:val="24"/>
        </w:rPr>
      </w:pPr>
    </w:p>
    <w:p w14:paraId="775FE46D" w14:textId="77777777" w:rsidR="00156E5D" w:rsidRDefault="00156E5D" w:rsidP="00F326E5">
      <w:pPr>
        <w:pStyle w:val="NoSpacing"/>
        <w:rPr>
          <w:rFonts w:ascii="Arial Black" w:hAnsi="Arial Black"/>
          <w:sz w:val="24"/>
          <w:szCs w:val="24"/>
        </w:rPr>
      </w:pPr>
    </w:p>
    <w:p w14:paraId="4C0DB81D" w14:textId="77777777" w:rsidR="00156E5D" w:rsidRDefault="00156E5D" w:rsidP="00F326E5">
      <w:pPr>
        <w:pStyle w:val="NoSpacing"/>
        <w:rPr>
          <w:rFonts w:ascii="Arial Black" w:hAnsi="Arial Black"/>
          <w:sz w:val="24"/>
          <w:szCs w:val="24"/>
        </w:rPr>
      </w:pPr>
    </w:p>
    <w:p w14:paraId="2060F756" w14:textId="05F2BB72" w:rsidR="009579EB" w:rsidRDefault="009579EB" w:rsidP="00F326E5">
      <w:pPr>
        <w:pStyle w:val="NoSpacing"/>
        <w:rPr>
          <w:rFonts w:ascii="Arial Black" w:hAnsi="Arial Black"/>
          <w:sz w:val="24"/>
          <w:szCs w:val="24"/>
        </w:rPr>
      </w:pPr>
      <w:r>
        <w:rPr>
          <w:rFonts w:ascii="Arial Black" w:hAnsi="Arial Black"/>
          <w:sz w:val="24"/>
          <w:szCs w:val="24"/>
        </w:rPr>
        <w:t>17-16</w:t>
      </w:r>
    </w:p>
    <w:p w14:paraId="70E76EA8" w14:textId="77777777" w:rsidR="009579EB" w:rsidRPr="003E559C" w:rsidRDefault="009579EB" w:rsidP="009579EB">
      <w:pPr>
        <w:spacing w:before="100" w:beforeAutospacing="1" w:after="100" w:afterAutospacing="1" w:line="240" w:lineRule="auto"/>
        <w:rPr>
          <w:rFonts w:ascii="Arial Black" w:hAnsi="Arial Black"/>
          <w:sz w:val="28"/>
          <w:szCs w:val="28"/>
        </w:rPr>
      </w:pPr>
      <w:r>
        <w:rPr>
          <w:rFonts w:ascii="Arial Black" w:hAnsi="Arial Black"/>
          <w:sz w:val="28"/>
          <w:szCs w:val="28"/>
        </w:rPr>
        <w:t>NY: NEW SICK LEAVE POLICY – FD MUST BARGAIN - DOCTOR’S NOTE AFTER 2 WORKDAYS SICK, WAS 3 DAYS</w:t>
      </w:r>
    </w:p>
    <w:p w14:paraId="798D245B" w14:textId="77777777" w:rsidR="009579EB" w:rsidRPr="003E559C" w:rsidRDefault="009579EB" w:rsidP="009579EB">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25, 2022, in </w:t>
      </w:r>
      <w:r w:rsidRPr="003E559C">
        <w:rPr>
          <w:rFonts w:ascii="Times New Roman" w:eastAsia="Times New Roman" w:hAnsi="Times New Roman"/>
          <w:sz w:val="24"/>
          <w:szCs w:val="24"/>
        </w:rPr>
        <w:t xml:space="preserve">the </w:t>
      </w:r>
      <w:r w:rsidRPr="003E559C">
        <w:rPr>
          <w:rFonts w:ascii="Times New Roman" w:eastAsia="Times New Roman" w:hAnsi="Times New Roman"/>
          <w:sz w:val="24"/>
          <w:szCs w:val="24"/>
          <w:u w:val="single"/>
        </w:rPr>
        <w:t>Matter of Village of Scarsdale v. New York State Public Employment Relations Board, et al</w:t>
      </w:r>
      <w:r w:rsidRPr="003E559C">
        <w:rPr>
          <w:rFonts w:ascii="Times New Roman" w:eastAsia="Times New Roman" w:hAnsi="Times New Roman"/>
          <w:sz w:val="24"/>
          <w:szCs w:val="24"/>
        </w:rPr>
        <w:t>.</w:t>
      </w:r>
      <w:r>
        <w:rPr>
          <w:rFonts w:ascii="Times New Roman" w:eastAsia="Times New Roman" w:hAnsi="Times New Roman"/>
          <w:b/>
          <w:bCs/>
          <w:sz w:val="24"/>
          <w:szCs w:val="24"/>
        </w:rPr>
        <w:t xml:space="preserve">, </w:t>
      </w:r>
      <w:r w:rsidRPr="009155CF">
        <w:rPr>
          <w:rFonts w:ascii="Times New Roman" w:eastAsia="Times New Roman" w:hAnsi="Times New Roman"/>
          <w:sz w:val="24"/>
          <w:szCs w:val="24"/>
        </w:rPr>
        <w:t>2022 NY Slip Op 03392,</w:t>
      </w:r>
      <w:r>
        <w:rPr>
          <w:rFonts w:ascii="Times New Roman" w:eastAsia="Times New Roman" w:hAnsi="Times New Roman"/>
          <w:b/>
          <w:bCs/>
          <w:sz w:val="24"/>
          <w:szCs w:val="24"/>
        </w:rPr>
        <w:t xml:space="preserve"> </w:t>
      </w:r>
      <w:r w:rsidRPr="003E559C">
        <w:rPr>
          <w:rFonts w:ascii="Times New Roman" w:eastAsia="Times New Roman" w:hAnsi="Times New Roman"/>
          <w:sz w:val="24"/>
          <w:szCs w:val="24"/>
        </w:rPr>
        <w:t>the</w:t>
      </w:r>
      <w:r>
        <w:rPr>
          <w:rFonts w:ascii="Times New Roman" w:eastAsia="Times New Roman" w:hAnsi="Times New Roman"/>
          <w:b/>
          <w:bCs/>
          <w:sz w:val="24"/>
          <w:szCs w:val="24"/>
        </w:rPr>
        <w:t xml:space="preserve"> </w:t>
      </w:r>
      <w:r w:rsidRPr="003E559C">
        <w:rPr>
          <w:rFonts w:ascii="Times New Roman" w:eastAsia="Times New Roman" w:hAnsi="Times New Roman"/>
          <w:sz w:val="24"/>
          <w:szCs w:val="24"/>
        </w:rPr>
        <w:t>Supreme Court of New York, Second Department, held</w:t>
      </w:r>
      <w:r>
        <w:rPr>
          <w:rFonts w:ascii="Times New Roman" w:eastAsia="Times New Roman" w:hAnsi="Times New Roman"/>
          <w:b/>
          <w:bCs/>
          <w:sz w:val="24"/>
          <w:szCs w:val="24"/>
        </w:rPr>
        <w:t xml:space="preserve"> </w:t>
      </w:r>
      <w:r w:rsidRPr="009155CF">
        <w:rPr>
          <w:rFonts w:ascii="Times New Roman" w:eastAsia="Times New Roman" w:hAnsi="Times New Roman"/>
          <w:sz w:val="24"/>
          <w:szCs w:val="24"/>
        </w:rPr>
        <w:t>(4 to 0)</w:t>
      </w: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that the Board properly held that the new “Sick Leave Management Program” (SLMP) was a change in work conditions that must be bargained, including (a) doctor’s note after 2 missed work days, rather than three work days; (b) new rules on off-duty employment on sick leave; (c) eligibility for voluntary overtime; (d) quarterly and annual counseling for excessive sick leave. </w:t>
      </w:r>
      <w:hyperlink r:id="rId2956" w:history="1">
        <w:r w:rsidRPr="00682519">
          <w:rPr>
            <w:rStyle w:val="Hyperlink"/>
            <w:rFonts w:ascii="Times New Roman" w:eastAsia="Times New Roman" w:hAnsi="Times New Roman"/>
            <w:sz w:val="24"/>
            <w:szCs w:val="24"/>
          </w:rPr>
          <w:t>https://public.fastcase.com/waZtJvSA54UAurM2rmIZzyOaN7WzTWghSlgppuqvnsAjPkds9FfvjtUo5GbcF9G%2FNhiGhSGO5JepPmFj8bD%2B4C9gVbj%2FhO0NJpef3auh%2BAw%3D</w:t>
        </w:r>
      </w:hyperlink>
      <w:r>
        <w:rPr>
          <w:rFonts w:ascii="Times New Roman" w:eastAsia="Times New Roman" w:hAnsi="Times New Roman"/>
          <w:sz w:val="24"/>
          <w:szCs w:val="24"/>
        </w:rPr>
        <w:t xml:space="preserve"> </w:t>
      </w:r>
    </w:p>
    <w:p w14:paraId="128AB0A9" w14:textId="77777777" w:rsidR="009579EB" w:rsidRPr="00514E42" w:rsidRDefault="009579EB" w:rsidP="009579EB">
      <w:pPr>
        <w:spacing w:before="100" w:beforeAutospacing="1" w:after="100" w:afterAutospacing="1" w:line="240" w:lineRule="auto"/>
        <w:rPr>
          <w:rFonts w:ascii="Times New Roman" w:hAnsi="Times New Roman"/>
          <w:b/>
          <w:bCs/>
          <w:sz w:val="24"/>
          <w:szCs w:val="24"/>
        </w:rPr>
      </w:pPr>
      <w:r w:rsidRPr="00514E42">
        <w:rPr>
          <w:rFonts w:ascii="Times New Roman" w:hAnsi="Times New Roman"/>
          <w:b/>
          <w:bCs/>
          <w:sz w:val="24"/>
          <w:szCs w:val="24"/>
        </w:rPr>
        <w:t xml:space="preserve">Legal Lesson Learned: </w:t>
      </w:r>
      <w:r>
        <w:rPr>
          <w:rFonts w:ascii="Times New Roman" w:hAnsi="Times New Roman"/>
          <w:b/>
          <w:bCs/>
          <w:sz w:val="24"/>
          <w:szCs w:val="24"/>
        </w:rPr>
        <w:t xml:space="preserve">Under New York law, these substantial changes in sick leave policy had to be collectively bargained. </w:t>
      </w:r>
    </w:p>
    <w:p w14:paraId="00F2596B" w14:textId="77777777" w:rsidR="009579EB" w:rsidRDefault="009579EB" w:rsidP="00F326E5">
      <w:pPr>
        <w:pStyle w:val="NoSpacing"/>
        <w:rPr>
          <w:rFonts w:ascii="Arial Black" w:hAnsi="Arial Black"/>
          <w:sz w:val="24"/>
          <w:szCs w:val="24"/>
        </w:rPr>
      </w:pPr>
    </w:p>
    <w:p w14:paraId="35FD0ED8" w14:textId="77777777" w:rsidR="009579EB" w:rsidRDefault="009579EB" w:rsidP="00F326E5">
      <w:pPr>
        <w:pStyle w:val="NoSpacing"/>
        <w:rPr>
          <w:rFonts w:ascii="Arial Black" w:hAnsi="Arial Black"/>
          <w:sz w:val="24"/>
          <w:szCs w:val="24"/>
        </w:rPr>
      </w:pPr>
    </w:p>
    <w:p w14:paraId="5AA53551" w14:textId="31BB9909" w:rsidR="009579EB" w:rsidRDefault="009579EB" w:rsidP="00F326E5">
      <w:pPr>
        <w:pStyle w:val="NoSpacing"/>
        <w:rPr>
          <w:rFonts w:ascii="Arial Black" w:hAnsi="Arial Black"/>
          <w:sz w:val="24"/>
          <w:szCs w:val="24"/>
        </w:rPr>
      </w:pPr>
      <w:r>
        <w:rPr>
          <w:rFonts w:ascii="Arial Black" w:hAnsi="Arial Black"/>
          <w:sz w:val="24"/>
          <w:szCs w:val="24"/>
        </w:rPr>
        <w:t>17-15</w:t>
      </w:r>
    </w:p>
    <w:p w14:paraId="5A426956" w14:textId="77777777" w:rsidR="009579EB" w:rsidRDefault="009579EB" w:rsidP="00F326E5">
      <w:pPr>
        <w:pStyle w:val="NoSpacing"/>
        <w:rPr>
          <w:rFonts w:ascii="Arial Black" w:hAnsi="Arial Black"/>
          <w:sz w:val="24"/>
          <w:szCs w:val="24"/>
        </w:rPr>
      </w:pPr>
    </w:p>
    <w:p w14:paraId="1E0818D0" w14:textId="77777777" w:rsidR="00E13917" w:rsidRDefault="00E13917" w:rsidP="00E13917">
      <w:pPr>
        <w:spacing w:before="100" w:beforeAutospacing="1" w:after="100" w:afterAutospacing="1" w:line="240" w:lineRule="auto"/>
        <w:rPr>
          <w:rStyle w:val="markedcontent"/>
          <w:rFonts w:ascii="Arial Black" w:hAnsi="Arial Black" w:cs="Arial"/>
          <w:sz w:val="28"/>
          <w:szCs w:val="28"/>
        </w:rPr>
      </w:pPr>
      <w:r>
        <w:rPr>
          <w:rStyle w:val="markedcontent"/>
          <w:rFonts w:ascii="Arial Black" w:hAnsi="Arial Black" w:cs="Arial"/>
          <w:sz w:val="28"/>
          <w:szCs w:val="28"/>
        </w:rPr>
        <w:t>FL: IAFF PRESIDENT, 2 LTs – RETALIATION - AFTER UNFAIR LABOR CHARGE - ANNUAL PHYSICALS OMITTED KEY TESTS</w:t>
      </w:r>
    </w:p>
    <w:p w14:paraId="37ACB2B0" w14:textId="77777777" w:rsidR="00E13917" w:rsidRPr="00AA23CE" w:rsidRDefault="00E13917" w:rsidP="00E13917">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May 19, 2022, in </w:t>
      </w:r>
      <w:r w:rsidRPr="007529E0">
        <w:rPr>
          <w:rStyle w:val="markedcontent"/>
          <w:rFonts w:ascii="Times New Roman" w:hAnsi="Times New Roman"/>
          <w:sz w:val="24"/>
          <w:szCs w:val="24"/>
          <w:u w:val="single"/>
        </w:rPr>
        <w:t>Lakeland Profession Firefighters Local 4173 v. City of Lakeland</w:t>
      </w:r>
      <w:r>
        <w:rPr>
          <w:rStyle w:val="markedcontent"/>
          <w:rFonts w:ascii="Times New Roman" w:hAnsi="Times New Roman"/>
          <w:sz w:val="24"/>
          <w:szCs w:val="24"/>
        </w:rPr>
        <w:t xml:space="preserve">, Hearing Officer Robert W. Hanson with the State of Florida Public Employees Relations Commission, after a hearing, issued a Recommended Order that the FD: (a) immediately rescind the written reprimand issued against Union President Shannon Turbeville; (b) expunge all personnel files concerning the reprimand; (c) immediately return two Lieutenants, Matthew Burns and Michael Gilman, to their original stations; (d) pay the Union’s attorney fees.  The Union President was reprimanded after he asked to bargain over why Life Span company, that provided annual physicals were omitting testing required under CBA and NFPA 1582.  </w:t>
      </w:r>
      <w:r w:rsidRPr="00AA23CE">
        <w:rPr>
          <w:rStyle w:val="markedcontent"/>
          <w:rFonts w:ascii="Times New Roman" w:hAnsi="Times New Roman"/>
          <w:sz w:val="24"/>
          <w:szCs w:val="24"/>
        </w:rPr>
        <w:t xml:space="preserve">“The omitted tests and screenings included a chest x-ray, various cancer screenings, a tuberculosis skin test, a pulmonary function test, and infectious disease screenings.” </w:t>
      </w:r>
      <w:hyperlink r:id="rId2957" w:history="1">
        <w:r w:rsidRPr="00682519">
          <w:rPr>
            <w:rStyle w:val="Hyperlink"/>
            <w:rFonts w:ascii="Times New Roman" w:hAnsi="Times New Roman"/>
            <w:sz w:val="24"/>
            <w:szCs w:val="24"/>
          </w:rPr>
          <w:t>http://perc.myflorida.com/download.aspx/Prefix=CA/CaseYr=21/CaseNo=012/File=CA21012_Ord10_05192022_163540.pdf</w:t>
        </w:r>
      </w:hyperlink>
      <w:r>
        <w:rPr>
          <w:rStyle w:val="markedcontent"/>
          <w:rFonts w:ascii="Times New Roman" w:hAnsi="Times New Roman"/>
          <w:sz w:val="24"/>
          <w:szCs w:val="24"/>
        </w:rPr>
        <w:t xml:space="preserve"> </w:t>
      </w:r>
    </w:p>
    <w:p w14:paraId="17627867" w14:textId="77777777" w:rsidR="00E13917" w:rsidRPr="00370437" w:rsidRDefault="00E13917" w:rsidP="00E13917">
      <w:pPr>
        <w:spacing w:before="100" w:beforeAutospacing="1" w:after="100" w:afterAutospacing="1" w:line="240" w:lineRule="auto"/>
        <w:rPr>
          <w:rStyle w:val="markedcontent"/>
          <w:rFonts w:ascii="Times New Roman" w:hAnsi="Times New Roman"/>
          <w:b/>
          <w:bCs/>
          <w:sz w:val="24"/>
          <w:szCs w:val="24"/>
        </w:rPr>
      </w:pPr>
      <w:r w:rsidRPr="00370437">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Retaliation for lawful Union activities is a serious charge; transferring a Lt. 18 days after he submitted a sworn statement in support of Union President’s unfair labor charge is very questionable management decision. The City may decide to appeal to the full Commission. </w:t>
      </w:r>
    </w:p>
    <w:p w14:paraId="31CDAF41" w14:textId="37B1D711" w:rsidR="00E13917" w:rsidRDefault="00E13917" w:rsidP="00E13917">
      <w:pPr>
        <w:pStyle w:val="NoSpacing"/>
        <w:rPr>
          <w:rFonts w:ascii="Arial Black" w:hAnsi="Arial Black"/>
          <w:sz w:val="24"/>
          <w:szCs w:val="24"/>
        </w:rPr>
      </w:pPr>
      <w:r w:rsidRPr="00882956">
        <w:rPr>
          <w:rStyle w:val="markedcontent"/>
          <w:sz w:val="24"/>
          <w:szCs w:val="24"/>
        </w:rPr>
        <w:t xml:space="preserve">Note: See May 20, </w:t>
      </w:r>
      <w:proofErr w:type="gramStart"/>
      <w:r w:rsidRPr="00882956">
        <w:rPr>
          <w:rStyle w:val="markedcontent"/>
          <w:sz w:val="24"/>
          <w:szCs w:val="24"/>
        </w:rPr>
        <w:t>2022</w:t>
      </w:r>
      <w:proofErr w:type="gramEnd"/>
      <w:r w:rsidRPr="00882956">
        <w:rPr>
          <w:rStyle w:val="markedcontent"/>
          <w:sz w:val="24"/>
          <w:szCs w:val="24"/>
        </w:rPr>
        <w:t xml:space="preserve"> article, “</w:t>
      </w:r>
      <w:r w:rsidRPr="00882956">
        <w:rPr>
          <w:sz w:val="24"/>
          <w:szCs w:val="24"/>
        </w:rPr>
        <w:t>Lakeland cited for unfair labor practices in retaliation against fire department employees.”</w:t>
      </w:r>
      <w:r>
        <w:t xml:space="preserve"> </w:t>
      </w:r>
      <w:hyperlink r:id="rId2958" w:history="1">
        <w:r w:rsidRPr="00882956">
          <w:rPr>
            <w:rStyle w:val="Hyperlink"/>
            <w:sz w:val="24"/>
            <w:szCs w:val="24"/>
          </w:rPr>
          <w:t>https://www.theledger.com/story/news/local/2022/05/20/lakeland-fire-department-leaders-retaliated-against-union-members-commission-says/9852984002/?mc_cid=a677467851&amp;mc_eid=3f2d24c371</w:t>
        </w:r>
      </w:hyperlink>
    </w:p>
    <w:p w14:paraId="5132440A" w14:textId="77777777" w:rsidR="00E13917" w:rsidRDefault="00E13917" w:rsidP="00F326E5">
      <w:pPr>
        <w:pStyle w:val="NoSpacing"/>
        <w:rPr>
          <w:rFonts w:ascii="Arial Black" w:hAnsi="Arial Black"/>
          <w:sz w:val="24"/>
          <w:szCs w:val="24"/>
        </w:rPr>
      </w:pPr>
    </w:p>
    <w:p w14:paraId="28173990" w14:textId="77777777" w:rsidR="00E13917" w:rsidRDefault="00E13917" w:rsidP="00F326E5">
      <w:pPr>
        <w:pStyle w:val="NoSpacing"/>
        <w:rPr>
          <w:rFonts w:ascii="Arial Black" w:hAnsi="Arial Black"/>
          <w:sz w:val="24"/>
          <w:szCs w:val="24"/>
        </w:rPr>
      </w:pPr>
    </w:p>
    <w:p w14:paraId="27B723B1" w14:textId="106905FB" w:rsidR="007F5C26" w:rsidRDefault="007F5C26" w:rsidP="00F326E5">
      <w:pPr>
        <w:pStyle w:val="NoSpacing"/>
        <w:rPr>
          <w:rFonts w:ascii="Arial Black" w:hAnsi="Arial Black"/>
          <w:sz w:val="24"/>
          <w:szCs w:val="24"/>
        </w:rPr>
      </w:pPr>
      <w:r>
        <w:rPr>
          <w:rFonts w:ascii="Arial Black" w:hAnsi="Arial Black"/>
          <w:sz w:val="24"/>
          <w:szCs w:val="24"/>
        </w:rPr>
        <w:t>17-14</w:t>
      </w:r>
    </w:p>
    <w:p w14:paraId="497D7230" w14:textId="77777777" w:rsidR="007F5C26" w:rsidRPr="00BB59F3" w:rsidRDefault="007F5C26" w:rsidP="007F5C26">
      <w:pPr>
        <w:spacing w:before="100" w:beforeAutospacing="1" w:after="100" w:afterAutospacing="1" w:line="240" w:lineRule="auto"/>
        <w:rPr>
          <w:rFonts w:ascii="Arial Black" w:eastAsia="Times New Roman" w:hAnsi="Arial Black"/>
          <w:b/>
          <w:bCs/>
          <w:sz w:val="28"/>
          <w:szCs w:val="28"/>
        </w:rPr>
      </w:pPr>
      <w:bookmarkStart w:id="632" w:name="_Hlk99462812"/>
      <w:r w:rsidRPr="00BB59F3">
        <w:rPr>
          <w:rFonts w:ascii="Arial Black" w:eastAsia="Times New Roman" w:hAnsi="Arial Black"/>
          <w:b/>
          <w:bCs/>
          <w:sz w:val="28"/>
          <w:szCs w:val="28"/>
        </w:rPr>
        <w:t xml:space="preserve">IN: IAFF </w:t>
      </w:r>
      <w:r>
        <w:rPr>
          <w:rFonts w:ascii="Arial Black" w:eastAsia="Times New Roman" w:hAnsi="Arial Black"/>
          <w:b/>
          <w:bCs/>
          <w:sz w:val="28"/>
          <w:szCs w:val="28"/>
        </w:rPr>
        <w:t xml:space="preserve">LOCAL </w:t>
      </w:r>
      <w:r w:rsidRPr="00BB59F3">
        <w:rPr>
          <w:rFonts w:ascii="Arial Black" w:eastAsia="Times New Roman" w:hAnsi="Arial Black"/>
          <w:b/>
          <w:bCs/>
          <w:sz w:val="28"/>
          <w:szCs w:val="28"/>
        </w:rPr>
        <w:t>GETS INJUNCTION – SHIFTS</w:t>
      </w:r>
      <w:r>
        <w:rPr>
          <w:rFonts w:ascii="Arial Black" w:eastAsia="Times New Roman" w:hAnsi="Arial Black"/>
          <w:b/>
          <w:bCs/>
          <w:sz w:val="28"/>
          <w:szCs w:val="28"/>
        </w:rPr>
        <w:t xml:space="preserve"> CHANGED 8/24 - </w:t>
      </w:r>
      <w:r w:rsidRPr="00BB59F3">
        <w:rPr>
          <w:rFonts w:ascii="Arial Black" w:eastAsia="Times New Roman" w:hAnsi="Arial Black"/>
          <w:b/>
          <w:bCs/>
          <w:sz w:val="28"/>
          <w:szCs w:val="28"/>
        </w:rPr>
        <w:t xml:space="preserve">RETALIATION </w:t>
      </w:r>
      <w:r>
        <w:rPr>
          <w:rFonts w:ascii="Arial Black" w:eastAsia="Times New Roman" w:hAnsi="Arial Black"/>
          <w:b/>
          <w:bCs/>
          <w:sz w:val="28"/>
          <w:szCs w:val="28"/>
        </w:rPr>
        <w:t xml:space="preserve">BY </w:t>
      </w:r>
      <w:r w:rsidRPr="00BB59F3">
        <w:rPr>
          <w:rFonts w:ascii="Arial Black" w:eastAsia="Times New Roman" w:hAnsi="Arial Black"/>
          <w:b/>
          <w:bCs/>
          <w:sz w:val="28"/>
          <w:szCs w:val="28"/>
        </w:rPr>
        <w:t xml:space="preserve">MAYOR </w:t>
      </w:r>
      <w:r>
        <w:rPr>
          <w:rFonts w:ascii="Arial Black" w:eastAsia="Times New Roman" w:hAnsi="Arial Black"/>
          <w:b/>
          <w:bCs/>
          <w:sz w:val="28"/>
          <w:szCs w:val="28"/>
        </w:rPr>
        <w:t xml:space="preserve">– UNION </w:t>
      </w:r>
      <w:r w:rsidRPr="00BB59F3">
        <w:rPr>
          <w:rFonts w:ascii="Arial Black" w:eastAsia="Times New Roman" w:hAnsi="Arial Black"/>
          <w:b/>
          <w:bCs/>
          <w:sz w:val="28"/>
          <w:szCs w:val="28"/>
        </w:rPr>
        <w:t>SUPPORTED OPPONENT</w:t>
      </w:r>
    </w:p>
    <w:p w14:paraId="6C92871B" w14:textId="77777777" w:rsidR="007F5C26" w:rsidRPr="00D96F1A" w:rsidRDefault="007F5C26" w:rsidP="007F5C26">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March 24, 2022, in </w:t>
      </w:r>
      <w:r w:rsidRPr="00527093">
        <w:rPr>
          <w:rFonts w:ascii="Times New Roman" w:hAnsi="Times New Roman"/>
          <w:sz w:val="24"/>
          <w:szCs w:val="24"/>
          <w:u w:val="single"/>
        </w:rPr>
        <w:t>IAFF Local 365, et al. v. City of East Chicago</w:t>
      </w:r>
      <w:r>
        <w:rPr>
          <w:rFonts w:ascii="Times New Roman" w:hAnsi="Times New Roman"/>
          <w:sz w:val="24"/>
          <w:szCs w:val="24"/>
        </w:rPr>
        <w:t xml:space="preserve">, U.S. District Court Judge Philip P. Simon, U.S. District Court for Northern District of Indiana (Hammond Division) issued a preliminary injunction against the City, finding the </w:t>
      </w:r>
      <w:proofErr w:type="gramStart"/>
      <w:r>
        <w:rPr>
          <w:rFonts w:ascii="Times New Roman" w:hAnsi="Times New Roman"/>
          <w:sz w:val="24"/>
          <w:szCs w:val="24"/>
        </w:rPr>
        <w:t>Mayor</w:t>
      </w:r>
      <w:proofErr w:type="gramEnd"/>
      <w:r>
        <w:rPr>
          <w:rFonts w:ascii="Times New Roman" w:hAnsi="Times New Roman"/>
          <w:sz w:val="24"/>
          <w:szCs w:val="24"/>
        </w:rPr>
        <w:t xml:space="preserve"> (a retired firefighter) changed the 24 / 48 shift in retaliation for the Local (which does not have a CBA) supporting an opponent in 2019.  The judge held a hearing in Oct. 2021, and held the city offered little financial proof the </w:t>
      </w:r>
      <w:proofErr w:type="gramStart"/>
      <w:r>
        <w:rPr>
          <w:rFonts w:ascii="Times New Roman" w:hAnsi="Times New Roman"/>
          <w:sz w:val="24"/>
          <w:szCs w:val="24"/>
        </w:rPr>
        <w:t>Mayor’s</w:t>
      </w:r>
      <w:proofErr w:type="gramEnd"/>
      <w:r>
        <w:rPr>
          <w:rFonts w:ascii="Times New Roman" w:hAnsi="Times New Roman"/>
          <w:sz w:val="24"/>
          <w:szCs w:val="24"/>
        </w:rPr>
        <w:t xml:space="preserve"> swing shift saves money. In his Preliminary Injunction, the judge ordered the </w:t>
      </w:r>
      <w:proofErr w:type="gramStart"/>
      <w:r>
        <w:rPr>
          <w:rFonts w:ascii="Times New Roman" w:hAnsi="Times New Roman"/>
          <w:sz w:val="24"/>
          <w:szCs w:val="24"/>
        </w:rPr>
        <w:t>City</w:t>
      </w:r>
      <w:proofErr w:type="gramEnd"/>
      <w:r>
        <w:rPr>
          <w:rFonts w:ascii="Times New Roman" w:hAnsi="Times New Roman"/>
          <w:sz w:val="24"/>
          <w:szCs w:val="24"/>
        </w:rPr>
        <w:t xml:space="preserve"> to “</w:t>
      </w:r>
      <w:r w:rsidRPr="00527093">
        <w:rPr>
          <w:rFonts w:ascii="Times New Roman" w:hAnsi="Times New Roman"/>
          <w:sz w:val="24"/>
          <w:szCs w:val="24"/>
        </w:rPr>
        <w:t>immediately begin the process of reinstating the 24/48 schedule for its firefighters. Because it may take a few weeks to fully implement the new schedule, East Chicago will have until April 18, 2022, to have the schedule in place.</w:t>
      </w:r>
      <w:r>
        <w:rPr>
          <w:rFonts w:ascii="Times New Roman" w:hAnsi="Times New Roman"/>
          <w:sz w:val="24"/>
          <w:szCs w:val="24"/>
        </w:rPr>
        <w:t xml:space="preserve">” </w:t>
      </w:r>
      <w:hyperlink r:id="rId2959" w:history="1">
        <w:r w:rsidRPr="00CA2C0A">
          <w:rPr>
            <w:rStyle w:val="Hyperlink"/>
            <w:rFonts w:ascii="Times New Roman" w:eastAsia="Times New Roman" w:hAnsi="Times New Roman"/>
            <w:sz w:val="24"/>
            <w:szCs w:val="24"/>
          </w:rPr>
          <w:t>https://law.justia.com/cases/federal/district-courts/indiana/inndce/2:2021cv00154/106960/76/</w:t>
        </w:r>
      </w:hyperlink>
      <w:r>
        <w:rPr>
          <w:rFonts w:ascii="Times New Roman" w:eastAsia="Times New Roman" w:hAnsi="Times New Roman"/>
          <w:sz w:val="24"/>
          <w:szCs w:val="24"/>
        </w:rPr>
        <w:t xml:space="preserve"> </w:t>
      </w:r>
    </w:p>
    <w:p w14:paraId="4C5617AF" w14:textId="77777777" w:rsidR="007F5C26" w:rsidRPr="00D96F1A"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D96F1A">
        <w:rPr>
          <w:rFonts w:ascii="Times New Roman" w:eastAsia="Times New Roman" w:hAnsi="Times New Roman"/>
          <w:sz w:val="24"/>
          <w:szCs w:val="24"/>
        </w:rPr>
        <w:t xml:space="preserve">Firefighters across the nation generally work a 24/48-hour shift, that is, they are on duty for 24 hours and then off for 48 hours. Most fire departments in the country adhere to this schedule. The City of East Chicago does not. Instead, East Chicago requires its firefighters to work 8 hours on, then 24 hours off. This leads to a perpetually rotating schedule which can wreak havoc on the lives of firefighters. It </w:t>
      </w:r>
      <w:proofErr w:type="gramStart"/>
      <w:r w:rsidRPr="00D96F1A">
        <w:rPr>
          <w:rFonts w:ascii="Times New Roman" w:eastAsia="Times New Roman" w:hAnsi="Times New Roman"/>
          <w:sz w:val="24"/>
          <w:szCs w:val="24"/>
        </w:rPr>
        <w:t>effects</w:t>
      </w:r>
      <w:proofErr w:type="gramEnd"/>
      <w:r w:rsidRPr="00D96F1A">
        <w:rPr>
          <w:rFonts w:ascii="Times New Roman" w:eastAsia="Times New Roman" w:hAnsi="Times New Roman"/>
          <w:sz w:val="24"/>
          <w:szCs w:val="24"/>
        </w:rPr>
        <w:t xml:space="preserve"> their personal lives and health, prevents a consistent sleep schedule, and makes it difficult to obtain reliable childcare. No. other department in the country imposes this schedule. </w:t>
      </w:r>
    </w:p>
    <w:p w14:paraId="1DD77E9A" w14:textId="77777777" w:rsidR="007F5C26" w:rsidRPr="00D96F1A" w:rsidRDefault="007F5C26" w:rsidP="007F5C26">
      <w:pPr>
        <w:spacing w:before="100" w:beforeAutospacing="1" w:after="100" w:afterAutospacing="1" w:line="240" w:lineRule="auto"/>
        <w:ind w:left="720"/>
        <w:rPr>
          <w:rFonts w:ascii="Times New Roman" w:eastAsia="Times New Roman" w:hAnsi="Times New Roman"/>
          <w:sz w:val="24"/>
          <w:szCs w:val="24"/>
        </w:rPr>
      </w:pPr>
      <w:r w:rsidRPr="00D96F1A">
        <w:rPr>
          <w:rFonts w:ascii="Times New Roman" w:eastAsia="Times New Roman" w:hAnsi="Times New Roman"/>
          <w:sz w:val="24"/>
          <w:szCs w:val="24"/>
        </w:rPr>
        <w:t xml:space="preserve">Why is East Chicago an outlier? The firefighters say it is retaliation from Mayor Anthony Copeland because they exercised their First Amendment rights in their backing of a rival mayoral candidate and in their lobbying efforts with East Chicago's legislative body, the Common Council. The firefighters seek a preliminary injunction ordering the </w:t>
      </w:r>
      <w:proofErr w:type="gramStart"/>
      <w:r w:rsidRPr="00D96F1A">
        <w:rPr>
          <w:rFonts w:ascii="Times New Roman" w:eastAsia="Times New Roman" w:hAnsi="Times New Roman"/>
          <w:sz w:val="24"/>
          <w:szCs w:val="24"/>
        </w:rPr>
        <w:t>City</w:t>
      </w:r>
      <w:proofErr w:type="gramEnd"/>
      <w:r w:rsidRPr="00D96F1A">
        <w:rPr>
          <w:rFonts w:ascii="Times New Roman" w:eastAsia="Times New Roman" w:hAnsi="Times New Roman"/>
          <w:sz w:val="24"/>
          <w:szCs w:val="24"/>
        </w:rPr>
        <w:t xml:space="preserve"> to </w:t>
      </w:r>
      <w:proofErr w:type="gramStart"/>
      <w:r w:rsidRPr="00D96F1A">
        <w:rPr>
          <w:rFonts w:ascii="Times New Roman" w:eastAsia="Times New Roman" w:hAnsi="Times New Roman"/>
          <w:sz w:val="24"/>
          <w:szCs w:val="24"/>
        </w:rPr>
        <w:t>revert back</w:t>
      </w:r>
      <w:proofErr w:type="gramEnd"/>
      <w:r w:rsidRPr="00D96F1A">
        <w:rPr>
          <w:rFonts w:ascii="Times New Roman" w:eastAsia="Times New Roman" w:hAnsi="Times New Roman"/>
          <w:sz w:val="24"/>
          <w:szCs w:val="24"/>
        </w:rPr>
        <w:t xml:space="preserve"> to the 24/48 schedule. East Chicago says it is a cost saving measure. I held a two-day hearing to get to the bottom of the issue. Because the firefighters have established a likelihood of succeeding on their First Amendment political retaliation claim, and they will suffer irreparable harm if the schedule remains intact, a preliminary injunction will be issued.</w:t>
      </w:r>
      <w:r>
        <w:rPr>
          <w:rFonts w:ascii="Times New Roman" w:eastAsia="Times New Roman" w:hAnsi="Times New Roman"/>
          <w:sz w:val="24"/>
          <w:szCs w:val="24"/>
        </w:rPr>
        <w:t xml:space="preserve">” </w:t>
      </w:r>
      <w:hyperlink r:id="rId2960" w:history="1">
        <w:r w:rsidRPr="00CA2C0A">
          <w:rPr>
            <w:rStyle w:val="Hyperlink"/>
            <w:rFonts w:ascii="Times New Roman" w:eastAsia="Times New Roman" w:hAnsi="Times New Roman"/>
            <w:sz w:val="24"/>
            <w:szCs w:val="24"/>
          </w:rPr>
          <w:t>https://law.justia.com/cases/federal/district-courts/indiana/inndce/2:2021cv00154/106960/76/</w:t>
        </w:r>
      </w:hyperlink>
      <w:r>
        <w:rPr>
          <w:rFonts w:ascii="Times New Roman" w:eastAsia="Times New Roman" w:hAnsi="Times New Roman"/>
          <w:sz w:val="24"/>
          <w:szCs w:val="24"/>
        </w:rPr>
        <w:t xml:space="preserve"> </w:t>
      </w:r>
    </w:p>
    <w:bookmarkEnd w:id="632"/>
    <w:p w14:paraId="5871E0ED" w14:textId="77777777" w:rsidR="007F5C26" w:rsidRPr="005D7300" w:rsidRDefault="007F5C26" w:rsidP="007F5C26">
      <w:pPr>
        <w:pStyle w:val="NormalWeb"/>
        <w:rPr>
          <w:b/>
          <w:bCs/>
        </w:rPr>
      </w:pPr>
      <w:r w:rsidRPr="005D7300">
        <w:rPr>
          <w:b/>
          <w:bCs/>
        </w:rPr>
        <w:t xml:space="preserve">Legal Lesson Learned: </w:t>
      </w:r>
      <w:r>
        <w:rPr>
          <w:b/>
          <w:bCs/>
        </w:rPr>
        <w:t xml:space="preserve"> An IAFF Local’s support of a </w:t>
      </w:r>
      <w:proofErr w:type="gramStart"/>
      <w:r>
        <w:rPr>
          <w:b/>
          <w:bCs/>
        </w:rPr>
        <w:t>Mayor’s</w:t>
      </w:r>
      <w:proofErr w:type="gramEnd"/>
      <w:r>
        <w:rPr>
          <w:b/>
          <w:bCs/>
        </w:rPr>
        <w:t xml:space="preserve"> opponent in an election is protected under the First Amendment.  The city will likely appeal this Preliminary Injunction.</w:t>
      </w:r>
    </w:p>
    <w:p w14:paraId="6D2F452B" w14:textId="23CEBB17" w:rsidR="007F5C26" w:rsidRDefault="007F5C26" w:rsidP="007F5C26">
      <w:pPr>
        <w:pStyle w:val="NoSpacing"/>
        <w:rPr>
          <w:rFonts w:ascii="Arial Black" w:hAnsi="Arial Black"/>
          <w:sz w:val="24"/>
          <w:szCs w:val="24"/>
        </w:rPr>
      </w:pPr>
      <w:r w:rsidRPr="000C5C0C">
        <w:rPr>
          <w:sz w:val="24"/>
          <w:szCs w:val="24"/>
        </w:rPr>
        <w:t xml:space="preserve">Note: See March 29, </w:t>
      </w:r>
      <w:proofErr w:type="gramStart"/>
      <w:r w:rsidRPr="000C5C0C">
        <w:rPr>
          <w:sz w:val="24"/>
          <w:szCs w:val="24"/>
        </w:rPr>
        <w:t>2022</w:t>
      </w:r>
      <w:proofErr w:type="gramEnd"/>
      <w:r w:rsidRPr="000C5C0C">
        <w:rPr>
          <w:sz w:val="24"/>
          <w:szCs w:val="24"/>
        </w:rPr>
        <w:t xml:space="preserve"> article about the case: “Judge orders East Chicago to give firefighters back their old work shifts.” </w:t>
      </w:r>
      <w:hyperlink r:id="rId2961" w:history="1">
        <w:r w:rsidRPr="008956D3">
          <w:rPr>
            <w:rStyle w:val="Hyperlink"/>
            <w:rFonts w:eastAsiaTheme="majorEastAsia"/>
            <w:sz w:val="24"/>
            <w:szCs w:val="24"/>
          </w:rPr>
          <w:t>https://www.nwitimes.com/news/local/lake/east-chicago/judge-orders-east-chicago-to-give-firefighters-back-their-old-work-shifts/article_0a0ebd36-f823-513f-a2fc-d1d6d95613d7.html</w:t>
        </w:r>
      </w:hyperlink>
    </w:p>
    <w:p w14:paraId="4D817CF2" w14:textId="77777777" w:rsidR="007F5C26" w:rsidRDefault="007F5C26" w:rsidP="00F326E5">
      <w:pPr>
        <w:pStyle w:val="NoSpacing"/>
        <w:rPr>
          <w:rFonts w:ascii="Arial Black" w:hAnsi="Arial Black"/>
          <w:sz w:val="24"/>
          <w:szCs w:val="24"/>
        </w:rPr>
      </w:pPr>
    </w:p>
    <w:p w14:paraId="3CC22B94" w14:textId="77777777" w:rsidR="007F5C26" w:rsidRDefault="007F5C26" w:rsidP="00F326E5">
      <w:pPr>
        <w:pStyle w:val="NoSpacing"/>
        <w:rPr>
          <w:rFonts w:ascii="Arial Black" w:hAnsi="Arial Black"/>
          <w:sz w:val="24"/>
          <w:szCs w:val="24"/>
        </w:rPr>
      </w:pPr>
    </w:p>
    <w:p w14:paraId="7941ED4E" w14:textId="7BA324A8" w:rsidR="007F5C26" w:rsidRDefault="007F5C26" w:rsidP="00F326E5">
      <w:pPr>
        <w:pStyle w:val="NoSpacing"/>
        <w:rPr>
          <w:rFonts w:ascii="Arial Black" w:hAnsi="Arial Black"/>
          <w:sz w:val="24"/>
          <w:szCs w:val="24"/>
        </w:rPr>
      </w:pPr>
      <w:r>
        <w:rPr>
          <w:rFonts w:ascii="Arial Black" w:hAnsi="Arial Black"/>
          <w:sz w:val="24"/>
          <w:szCs w:val="24"/>
        </w:rPr>
        <w:t>17-13 [also filed, Chap. 16]</w:t>
      </w:r>
    </w:p>
    <w:p w14:paraId="25F468D7" w14:textId="2C66D6CD" w:rsidR="007F5C26" w:rsidRDefault="007F5C26" w:rsidP="00F326E5">
      <w:pPr>
        <w:pStyle w:val="NoSpacing"/>
        <w:rPr>
          <w:rFonts w:ascii="Arial Black" w:hAnsi="Arial Black"/>
          <w:sz w:val="24"/>
          <w:szCs w:val="24"/>
        </w:rPr>
      </w:pPr>
    </w:p>
    <w:p w14:paraId="12D95429" w14:textId="77777777" w:rsidR="007F5C26" w:rsidRDefault="007F5C26" w:rsidP="007F5C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ARBITRATOR MAY REDUCE PENALTY – NEW SHIFT RELIEF - ASSISTANT CHIEF’S LOSS PAY OVERTURNED</w:t>
      </w:r>
    </w:p>
    <w:p w14:paraId="367E5F38" w14:textId="77777777" w:rsidR="007F5C26" w:rsidRPr="00AA2A35" w:rsidRDefault="007F5C26" w:rsidP="007F5C26">
      <w:pPr>
        <w:spacing w:before="100" w:beforeAutospacing="1" w:after="100" w:afterAutospacing="1" w:line="240" w:lineRule="auto"/>
        <w:rPr>
          <w:rFonts w:ascii="Times New Roman" w:eastAsia="Times New Roman" w:hAnsi="Times New Roman"/>
          <w:sz w:val="24"/>
          <w:szCs w:val="24"/>
        </w:rPr>
      </w:pPr>
      <w:r w:rsidRPr="00AA2A35">
        <w:rPr>
          <w:rFonts w:ascii="Times New Roman" w:hAnsi="Times New Roman"/>
          <w:sz w:val="24"/>
          <w:szCs w:val="24"/>
        </w:rPr>
        <w:t xml:space="preserve">On March 17, 2022, in </w:t>
      </w:r>
      <w:r w:rsidRPr="00AA2A35">
        <w:rPr>
          <w:rFonts w:ascii="Times New Roman" w:hAnsi="Times New Roman"/>
          <w:sz w:val="24"/>
          <w:szCs w:val="24"/>
          <w:u w:val="single"/>
        </w:rPr>
        <w:t>Association of Cleveland Fire Fighters, Local 93 v. City of Cleveland</w:t>
      </w:r>
      <w:r w:rsidRPr="00AA2A35">
        <w:rPr>
          <w:rFonts w:ascii="Times New Roman" w:hAnsi="Times New Roman"/>
          <w:sz w:val="24"/>
          <w:szCs w:val="24"/>
        </w:rPr>
        <w:t>, the Court of Appeals of Ohio, 8</w:t>
      </w:r>
      <w:r w:rsidRPr="00AA2A35">
        <w:rPr>
          <w:rFonts w:ascii="Times New Roman" w:hAnsi="Times New Roman"/>
          <w:sz w:val="24"/>
          <w:szCs w:val="24"/>
          <w:vertAlign w:val="superscript"/>
        </w:rPr>
        <w:t>th</w:t>
      </w:r>
      <w:r w:rsidRPr="00AA2A35">
        <w:rPr>
          <w:rFonts w:ascii="Times New Roman" w:hAnsi="Times New Roman"/>
          <w:sz w:val="24"/>
          <w:szCs w:val="24"/>
        </w:rPr>
        <w:t xml:space="preserve"> District (Cuyahoga County), held (3 to 0) that a Common Pleas judge improperly set aside the arbitrator’s award which found the charge of “gross insubordination” by Assistant Fire Chief was not proven, but the facts supported a “conduct unbecoming” charge. The Assistant Fire Chief was charged with 16 charges for trying to get the vacationing Fire Chief to overturn Acting Fire Chiefs order to follow the new shift relief procedure (to save overtime money, when the incoming Assistant Chief called off, he can only be replaced by on duty officer of lesser rank).  The arbitrator had authority to vacate the most serious charge of “gross insubordination” and the 24-hour suspension, and to direct the FD to change in his personnel file with an official reprimand for one of the lesser charges, “conduct unbecoming an employee in the public service,” with no loss of wages. </w:t>
      </w:r>
      <w:hyperlink r:id="rId2962" w:history="1">
        <w:r w:rsidRPr="00AA2A35">
          <w:rPr>
            <w:rStyle w:val="Hyperlink"/>
            <w:rFonts w:ascii="Times New Roman" w:eastAsia="Times New Roman" w:hAnsi="Times New Roman"/>
            <w:sz w:val="24"/>
            <w:szCs w:val="24"/>
          </w:rPr>
          <w:t>https://www.supremecourt.ohio.gov/rod/docs/pdf/8/2022/2022-Ohio-824.pdf</w:t>
        </w:r>
      </w:hyperlink>
      <w:r w:rsidRPr="00AA2A35">
        <w:rPr>
          <w:rFonts w:ascii="Times New Roman" w:eastAsia="Times New Roman" w:hAnsi="Times New Roman"/>
          <w:sz w:val="24"/>
          <w:szCs w:val="24"/>
        </w:rPr>
        <w:t xml:space="preserve"> </w:t>
      </w:r>
    </w:p>
    <w:p w14:paraId="2917B545" w14:textId="77777777" w:rsidR="007F5C26" w:rsidRPr="00892AD5"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92AD5">
        <w:rPr>
          <w:rFonts w:ascii="Times New Roman" w:eastAsia="Times New Roman" w:hAnsi="Times New Roman"/>
          <w:sz w:val="24"/>
          <w:szCs w:val="24"/>
        </w:rPr>
        <w:t xml:space="preserve">In focusing solely on the question of gross insubordination, the Union disregards the fact that the parties stipulated to </w:t>
      </w:r>
      <w:r w:rsidRPr="00892AD5">
        <w:rPr>
          <w:rFonts w:ascii="Times New Roman" w:eastAsia="Times New Roman" w:hAnsi="Times New Roman"/>
          <w:i/>
          <w:iCs/>
          <w:sz w:val="24"/>
          <w:szCs w:val="24"/>
        </w:rPr>
        <w:t>two</w:t>
      </w:r>
      <w:r w:rsidRPr="00892AD5">
        <w:rPr>
          <w:rFonts w:ascii="Times New Roman" w:eastAsia="Times New Roman" w:hAnsi="Times New Roman"/>
          <w:sz w:val="24"/>
          <w:szCs w:val="24"/>
        </w:rPr>
        <w:t xml:space="preserve"> questions before submitting the matter to arbitration. The first question was whether the city had just cause to suspend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a day and issue him an official reprimand. The question of just cause was not confined to "gross insubordination." Rather, the question concerned whether the city had just </w:t>
      </w:r>
      <w:proofErr w:type="gramStart"/>
      <w:r w:rsidRPr="00892AD5">
        <w:rPr>
          <w:rFonts w:ascii="Times New Roman" w:eastAsia="Times New Roman" w:hAnsi="Times New Roman"/>
          <w:sz w:val="24"/>
          <w:szCs w:val="24"/>
        </w:rPr>
        <w:t>cause</w:t>
      </w:r>
      <w:proofErr w:type="gramEnd"/>
      <w:r w:rsidRPr="00892AD5">
        <w:rPr>
          <w:rFonts w:ascii="Times New Roman" w:eastAsia="Times New Roman" w:hAnsi="Times New Roman"/>
          <w:sz w:val="24"/>
          <w:szCs w:val="24"/>
        </w:rPr>
        <w:t xml:space="preserve"> discipline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his conduct. </w:t>
      </w:r>
    </w:p>
    <w:p w14:paraId="0D91EE50" w14:textId="77777777" w:rsidR="007F5C26"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32702929" w14:textId="77777777" w:rsidR="007F5C26" w:rsidRDefault="007F5C26" w:rsidP="007F5C26">
      <w:pPr>
        <w:pStyle w:val="NoSpacing"/>
        <w:rPr>
          <w:rFonts w:ascii="Arial Black" w:hAnsi="Arial Black"/>
          <w:sz w:val="24"/>
          <w:szCs w:val="24"/>
        </w:rPr>
      </w:pPr>
      <w:r w:rsidRPr="0091695D">
        <w:rPr>
          <w:rFonts w:ascii="Times New Roman" w:hAnsi="Times New Roman"/>
          <w:sz w:val="24"/>
          <w:szCs w:val="24"/>
        </w:rPr>
        <w:t xml:space="preserve">The Union nevertheless maintains that the arbitrator exceeded his powers by creating a new charge not submitted to arbitration and issuing a penalty based on that charge. The charge of conduct unbecoming was not expressly submitted to arbitration in the parties' stipulated questions, but neither were the charges of gross insubordination or insubordination expressly submitted to arbitration. The questions to which the parties stipulated focused on remedies: the penalties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had received for his conduct and, if these penalties were unjustified, the penalty the arbitrator determined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should receive for his conduct. The Union's claim that the arbitrator created a new charge by finding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engaged in conduct unbecoming is not supported by the record.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was charged with 16 violations, which included the charge of conduct unbecoming. The Union's claim that any penalty based on that charge was improper is also not supported by the record because conduct unbecoming is punishable by official reprimand. The arbitrator's leaving this penalty intact is consistent with the discipline </w:t>
      </w:r>
      <w:proofErr w:type="gramStart"/>
      <w:r w:rsidRPr="0091695D">
        <w:rPr>
          <w:rFonts w:ascii="Times New Roman" w:hAnsi="Times New Roman"/>
          <w:sz w:val="24"/>
          <w:szCs w:val="24"/>
        </w:rPr>
        <w:t>guide.</w:t>
      </w:r>
      <w:r>
        <w:rPr>
          <w:rFonts w:ascii="Times New Roman" w:hAnsi="Times New Roman"/>
          <w:sz w:val="24"/>
          <w:szCs w:val="24"/>
        </w:rPr>
        <w:t>”</w:t>
      </w:r>
      <w:proofErr w:type="gramEnd"/>
      <w:r>
        <w:rPr>
          <w:rFonts w:ascii="Times New Roman" w:hAnsi="Times New Roman"/>
          <w:sz w:val="24"/>
          <w:szCs w:val="24"/>
        </w:rPr>
        <w:t xml:space="preserve"> </w:t>
      </w:r>
      <w:hyperlink r:id="rId2963" w:history="1">
        <w:r w:rsidRPr="0083693C">
          <w:rPr>
            <w:rStyle w:val="Hyperlink"/>
            <w:rFonts w:ascii="Times New Roman" w:eastAsia="Times New Roman" w:hAnsi="Times New Roman"/>
            <w:sz w:val="24"/>
            <w:szCs w:val="24"/>
          </w:rPr>
          <w:t>https://www.supremecourt.ohio.gov/rod/docs/pdf/8/2022/2022-Ohio-824.pdf</w:t>
        </w:r>
      </w:hyperlink>
    </w:p>
    <w:p w14:paraId="13E7E948" w14:textId="77777777" w:rsidR="007F5C26" w:rsidRDefault="007F5C26" w:rsidP="007F5C26">
      <w:pPr>
        <w:pStyle w:val="NoSpacing"/>
        <w:rPr>
          <w:rFonts w:ascii="Arial Black" w:hAnsi="Arial Black"/>
          <w:sz w:val="24"/>
          <w:szCs w:val="24"/>
        </w:rPr>
      </w:pPr>
    </w:p>
    <w:p w14:paraId="42ED2B66" w14:textId="77777777" w:rsidR="007F5C26" w:rsidRPr="00FE655C" w:rsidRDefault="007F5C26" w:rsidP="007F5C26">
      <w:pPr>
        <w:spacing w:before="100" w:beforeAutospacing="1" w:after="100" w:afterAutospacing="1" w:line="240" w:lineRule="auto"/>
        <w:rPr>
          <w:rFonts w:ascii="Times New Roman" w:eastAsia="Times New Roman" w:hAnsi="Times New Roman"/>
          <w:b/>
          <w:bCs/>
          <w:sz w:val="24"/>
          <w:szCs w:val="24"/>
        </w:rPr>
      </w:pPr>
      <w:r w:rsidRPr="00FE655C">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When submitting a disciplinary matter to arbitration, be very careful in the questions being submitted to the arbitrator. </w:t>
      </w:r>
    </w:p>
    <w:p w14:paraId="004B3006" w14:textId="77777777" w:rsidR="007F5C26" w:rsidRDefault="007F5C26" w:rsidP="00F326E5">
      <w:pPr>
        <w:pStyle w:val="NoSpacing"/>
        <w:rPr>
          <w:rFonts w:ascii="Arial Black" w:hAnsi="Arial Black"/>
          <w:sz w:val="24"/>
          <w:szCs w:val="24"/>
        </w:rPr>
      </w:pPr>
    </w:p>
    <w:p w14:paraId="51F27980" w14:textId="77777777" w:rsidR="007F5C26" w:rsidRDefault="007F5C26" w:rsidP="00F326E5">
      <w:pPr>
        <w:pStyle w:val="NoSpacing"/>
        <w:rPr>
          <w:rFonts w:ascii="Arial Black" w:hAnsi="Arial Black"/>
          <w:sz w:val="24"/>
          <w:szCs w:val="24"/>
        </w:rPr>
      </w:pPr>
    </w:p>
    <w:p w14:paraId="5704D6E6" w14:textId="77777777" w:rsidR="007F5C26" w:rsidRDefault="007F5C26" w:rsidP="00F326E5">
      <w:pPr>
        <w:pStyle w:val="NoSpacing"/>
        <w:rPr>
          <w:rFonts w:ascii="Arial Black" w:hAnsi="Arial Black"/>
          <w:sz w:val="24"/>
          <w:szCs w:val="24"/>
        </w:rPr>
      </w:pPr>
    </w:p>
    <w:p w14:paraId="0C49F57D" w14:textId="5E2BF28C" w:rsidR="00680939" w:rsidRDefault="00680939" w:rsidP="00F326E5">
      <w:pPr>
        <w:pStyle w:val="NoSpacing"/>
        <w:rPr>
          <w:rFonts w:ascii="Arial Black" w:hAnsi="Arial Black"/>
          <w:sz w:val="24"/>
          <w:szCs w:val="24"/>
        </w:rPr>
      </w:pPr>
      <w:r>
        <w:rPr>
          <w:rFonts w:ascii="Arial Black" w:hAnsi="Arial Black"/>
          <w:sz w:val="24"/>
          <w:szCs w:val="24"/>
        </w:rPr>
        <w:t>17-12 [also filed, Chap. 2]</w:t>
      </w:r>
    </w:p>
    <w:p w14:paraId="6E775F67" w14:textId="77777777" w:rsidR="00680939" w:rsidRPr="000007E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CBA – 5 FF MINIMUM MANNING – CHIEF CANNOT UNILATERALLY CHANGE – ARBITRATION TO PROCEED</w:t>
      </w:r>
    </w:p>
    <w:p w14:paraId="7493E907" w14:textId="77777777" w:rsidR="00680939" w:rsidRDefault="00680939" w:rsidP="00680939">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13, 2022, </w:t>
      </w:r>
      <w:r w:rsidRPr="00DA4E6C">
        <w:rPr>
          <w:rFonts w:ascii="Times New Roman" w:eastAsia="Times New Roman" w:hAnsi="Times New Roman"/>
          <w:sz w:val="24"/>
          <w:szCs w:val="24"/>
          <w:u w:val="single"/>
        </w:rPr>
        <w:t xml:space="preserve">In the Matter of the Arbitration Between </w:t>
      </w:r>
      <w:proofErr w:type="gramStart"/>
      <w:r w:rsidRPr="00DA4E6C">
        <w:rPr>
          <w:rFonts w:ascii="Times New Roman" w:eastAsia="Times New Roman" w:hAnsi="Times New Roman"/>
          <w:sz w:val="24"/>
          <w:szCs w:val="24"/>
          <w:u w:val="single"/>
        </w:rPr>
        <w:t>The</w:t>
      </w:r>
      <w:proofErr w:type="gramEnd"/>
      <w:r w:rsidRPr="00DA4E6C">
        <w:rPr>
          <w:rFonts w:ascii="Times New Roman" w:eastAsia="Times New Roman" w:hAnsi="Times New Roman"/>
          <w:sz w:val="24"/>
          <w:szCs w:val="24"/>
          <w:u w:val="single"/>
        </w:rPr>
        <w:t xml:space="preserve"> City of Ogdensburg and IAFF Local 1792</w:t>
      </w:r>
      <w:r>
        <w:rPr>
          <w:rFonts w:ascii="Times New Roman" w:eastAsia="Times New Roman" w:hAnsi="Times New Roman"/>
          <w:sz w:val="24"/>
          <w:szCs w:val="24"/>
        </w:rPr>
        <w:t xml:space="preserve">, the Superior Court of New York (Third Department), held (5 to 0) that the trial court improperly granted the City’s </w:t>
      </w:r>
      <w:proofErr w:type="gramStart"/>
      <w:r>
        <w:rPr>
          <w:rFonts w:ascii="Times New Roman" w:eastAsia="Times New Roman" w:hAnsi="Times New Roman"/>
          <w:sz w:val="24"/>
          <w:szCs w:val="24"/>
        </w:rPr>
        <w:t>motion to</w:t>
      </w:r>
      <w:proofErr w:type="gramEnd"/>
      <w:r>
        <w:rPr>
          <w:rFonts w:ascii="Times New Roman" w:eastAsia="Times New Roman" w:hAnsi="Times New Roman"/>
          <w:sz w:val="24"/>
          <w:szCs w:val="24"/>
        </w:rPr>
        <w:t xml:space="preserve"> </w:t>
      </w:r>
      <w:r w:rsidRPr="00DA4E6C">
        <w:rPr>
          <w:rFonts w:ascii="Times New Roman" w:hAnsi="Times New Roman"/>
          <w:sz w:val="24"/>
          <w:szCs w:val="24"/>
        </w:rPr>
        <w:t>permanently stay arbitration between the parties.</w:t>
      </w:r>
      <w:r>
        <w:rPr>
          <w:rFonts w:ascii="Times New Roman" w:hAnsi="Times New Roman"/>
          <w:sz w:val="24"/>
          <w:szCs w:val="24"/>
        </w:rPr>
        <w:t xml:space="preserve">  The CBA provides for arbitration, and “</w:t>
      </w:r>
      <w:r w:rsidRPr="00BA6C00">
        <w:rPr>
          <w:rFonts w:ascii="Times New Roman" w:hAnsi="Times New Roman"/>
          <w:sz w:val="24"/>
          <w:szCs w:val="24"/>
        </w:rPr>
        <w:t>having adequate personnel on hand would be essential to ensure firefighter safety as well as success in fighting the fires.</w:t>
      </w:r>
      <w:r>
        <w:rPr>
          <w:rFonts w:ascii="Times New Roman" w:hAnsi="Times New Roman"/>
          <w:sz w:val="24"/>
          <w:szCs w:val="24"/>
        </w:rPr>
        <w:t xml:space="preserve">” </w:t>
      </w:r>
      <w:hyperlink r:id="rId2964" w:history="1">
        <w:r w:rsidRPr="00A83547">
          <w:rPr>
            <w:rStyle w:val="Hyperlink"/>
            <w:rFonts w:ascii="Times New Roman" w:hAnsi="Times New Roman"/>
            <w:sz w:val="24"/>
            <w:szCs w:val="24"/>
          </w:rPr>
          <w:t>https://casetext.com/case/in-re-arbitration-between-city-of-ogdensburg</w:t>
        </w:r>
      </w:hyperlink>
      <w:r>
        <w:rPr>
          <w:rFonts w:ascii="Times New Roman" w:hAnsi="Times New Roman"/>
          <w:sz w:val="24"/>
          <w:szCs w:val="24"/>
        </w:rPr>
        <w:t xml:space="preserve"> </w:t>
      </w:r>
    </w:p>
    <w:p w14:paraId="0042665F" w14:textId="77777777" w:rsidR="00680939" w:rsidRDefault="00680939" w:rsidP="00680939">
      <w:pPr>
        <w:spacing w:before="100" w:beforeAutospacing="1" w:after="100" w:afterAutospacing="1" w:line="240" w:lineRule="auto"/>
      </w:pPr>
      <w:r>
        <w:rPr>
          <w:rFonts w:ascii="Times New Roman" w:eastAsia="Times New Roman" w:hAnsi="Times New Roman"/>
          <w:b/>
          <w:bCs/>
          <w:sz w:val="24"/>
          <w:szCs w:val="24"/>
        </w:rPr>
        <w:t xml:space="preserve">Legal Lesson Learned:  If CBA includes provision on minimum manning per shift, it cannot be unilaterally changed. </w:t>
      </w:r>
    </w:p>
    <w:p w14:paraId="726A2E19" w14:textId="77777777" w:rsidR="00680939" w:rsidRDefault="00680939" w:rsidP="00F326E5">
      <w:pPr>
        <w:pStyle w:val="NoSpacing"/>
        <w:rPr>
          <w:rFonts w:ascii="Arial Black" w:hAnsi="Arial Black"/>
          <w:sz w:val="24"/>
          <w:szCs w:val="24"/>
        </w:rPr>
      </w:pPr>
    </w:p>
    <w:p w14:paraId="28C3C174" w14:textId="77777777" w:rsidR="00680939" w:rsidRDefault="00680939" w:rsidP="00F326E5">
      <w:pPr>
        <w:pStyle w:val="NoSpacing"/>
        <w:rPr>
          <w:rFonts w:ascii="Arial Black" w:hAnsi="Arial Black"/>
          <w:sz w:val="24"/>
          <w:szCs w:val="24"/>
        </w:rPr>
      </w:pPr>
    </w:p>
    <w:p w14:paraId="115DD7F8" w14:textId="0C5B61CE" w:rsidR="00644810" w:rsidRDefault="00644810" w:rsidP="00F326E5">
      <w:pPr>
        <w:pStyle w:val="NoSpacing"/>
        <w:rPr>
          <w:rFonts w:ascii="Arial Black" w:hAnsi="Arial Black"/>
          <w:sz w:val="24"/>
          <w:szCs w:val="24"/>
        </w:rPr>
      </w:pPr>
      <w:r>
        <w:rPr>
          <w:rFonts w:ascii="Arial Black" w:hAnsi="Arial Black"/>
          <w:sz w:val="24"/>
          <w:szCs w:val="24"/>
        </w:rPr>
        <w:t>17-11</w:t>
      </w:r>
    </w:p>
    <w:p w14:paraId="33389946" w14:textId="77777777" w:rsidR="00644810" w:rsidRDefault="00644810" w:rsidP="0064481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UNFAIR LABOR PRACTICE – UNION’S GRIEVANCE FIX RADIOS – RETALIATION – CITY ORDINANCE BCs 6 TO 3</w:t>
      </w:r>
    </w:p>
    <w:p w14:paraId="1D5CE514" w14:textId="77777777" w:rsidR="00644810" w:rsidRPr="00C95A92" w:rsidRDefault="00644810" w:rsidP="00644810">
      <w:pPr>
        <w:spacing w:before="100" w:beforeAutospacing="1" w:after="100" w:afterAutospacing="1" w:line="240" w:lineRule="auto"/>
        <w:rPr>
          <w:rFonts w:ascii="Times New Roman" w:eastAsia="Times New Roman" w:hAnsi="Times New Roman"/>
          <w:sz w:val="24"/>
          <w:szCs w:val="24"/>
        </w:rPr>
      </w:pPr>
      <w:r w:rsidRPr="0004196A">
        <w:rPr>
          <w:rFonts w:ascii="Times New Roman" w:eastAsia="Times New Roman" w:hAnsi="Times New Roman"/>
          <w:sz w:val="24"/>
          <w:szCs w:val="24"/>
        </w:rPr>
        <w:t xml:space="preserve">On </w:t>
      </w:r>
      <w:r>
        <w:rPr>
          <w:rFonts w:ascii="Times New Roman" w:eastAsia="Times New Roman" w:hAnsi="Times New Roman"/>
          <w:sz w:val="24"/>
          <w:szCs w:val="24"/>
        </w:rPr>
        <w:t xml:space="preserve">Dec. 13, 2021, in </w:t>
      </w:r>
      <w:r w:rsidRPr="0004196A">
        <w:rPr>
          <w:rFonts w:ascii="Times New Roman" w:eastAsia="Times New Roman" w:hAnsi="Times New Roman"/>
          <w:sz w:val="24"/>
          <w:szCs w:val="24"/>
          <w:u w:val="single"/>
        </w:rPr>
        <w:t>State of Ohio, City of Youngstown v. State Employment Relations Board</w:t>
      </w:r>
      <w:r>
        <w:rPr>
          <w:rFonts w:ascii="Times New Roman" w:eastAsia="Times New Roman" w:hAnsi="Times New Roman"/>
          <w:sz w:val="24"/>
          <w:szCs w:val="24"/>
        </w:rPr>
        <w:t xml:space="preserve">, the Ohio Court of Appeals, Seventh District (Mahoning County) held (3 to 0) that trial court, and SERB properly found that the City’s ordinance </w:t>
      </w:r>
      <w:r w:rsidRPr="00975F2E">
        <w:rPr>
          <w:rFonts w:ascii="Times New Roman" w:eastAsia="Times New Roman" w:hAnsi="Times New Roman"/>
          <w:sz w:val="24"/>
          <w:szCs w:val="24"/>
        </w:rPr>
        <w:t>eliminati</w:t>
      </w:r>
      <w:r>
        <w:rPr>
          <w:rFonts w:ascii="Times New Roman" w:eastAsia="Times New Roman" w:hAnsi="Times New Roman"/>
          <w:sz w:val="24"/>
          <w:szCs w:val="24"/>
        </w:rPr>
        <w:t xml:space="preserve">ng three </w:t>
      </w:r>
      <w:r w:rsidRPr="00975F2E">
        <w:rPr>
          <w:rFonts w:ascii="Times New Roman" w:eastAsia="Times New Roman" w:hAnsi="Times New Roman"/>
          <w:sz w:val="24"/>
          <w:szCs w:val="24"/>
        </w:rPr>
        <w:t>Battalion Chief positions was in retaliation for [Union's] pursuing the radio equipment grievance</w:t>
      </w:r>
      <w:r>
        <w:rPr>
          <w:rFonts w:ascii="Times New Roman" w:eastAsia="Times New Roman" w:hAnsi="Times New Roman"/>
          <w:sz w:val="24"/>
          <w:szCs w:val="24"/>
        </w:rPr>
        <w:t xml:space="preserve"> (2017 new portage radio system; needed fixes at cost of about </w:t>
      </w:r>
      <w:r w:rsidRPr="00347FD8">
        <w:rPr>
          <w:rFonts w:ascii="Times New Roman" w:eastAsia="Times New Roman" w:hAnsi="Times New Roman"/>
          <w:sz w:val="24"/>
          <w:szCs w:val="24"/>
        </w:rPr>
        <w:t>$285,000</w:t>
      </w:r>
      <w:r>
        <w:rPr>
          <w:rFonts w:ascii="Times New Roman" w:eastAsia="Times New Roman" w:hAnsi="Times New Roman"/>
          <w:sz w:val="24"/>
          <w:szCs w:val="24"/>
        </w:rPr>
        <w:t xml:space="preserve">). </w:t>
      </w:r>
      <w:r w:rsidRPr="00347FD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C95A92">
        <w:rPr>
          <w:rFonts w:ascii="Times New Roman" w:hAnsi="Times New Roman"/>
          <w:sz w:val="24"/>
          <w:szCs w:val="24"/>
        </w:rPr>
        <w:t>Each battalion chief reduction saves about $130,000 annually.</w:t>
      </w:r>
    </w:p>
    <w:p w14:paraId="0FCCF128" w14:textId="77777777" w:rsidR="00644810" w:rsidRPr="00614F11" w:rsidRDefault="00644810" w:rsidP="00644810">
      <w:pPr>
        <w:spacing w:after="100" w:line="240" w:lineRule="auto"/>
        <w:ind w:left="720"/>
        <w:rPr>
          <w:rFonts w:ascii="Times New Roman" w:eastAsia="Times New Roman" w:hAnsi="Times New Roman"/>
          <w:sz w:val="24"/>
          <w:szCs w:val="24"/>
        </w:rPr>
      </w:pPr>
      <w:r>
        <w:rPr>
          <w:rFonts w:ascii="Times New Roman" w:hAnsi="Times New Roman"/>
          <w:sz w:val="24"/>
          <w:szCs w:val="24"/>
        </w:rPr>
        <w:t>“</w:t>
      </w:r>
      <w:r w:rsidRPr="00975F2E">
        <w:rPr>
          <w:rFonts w:ascii="Times New Roman" w:hAnsi="Times New Roman"/>
          <w:sz w:val="24"/>
          <w:szCs w:val="24"/>
        </w:rPr>
        <w:t xml:space="preserve">City's alleged inability to pay </w:t>
      </w:r>
      <w:r>
        <w:rPr>
          <w:rFonts w:ascii="Times New Roman" w:hAnsi="Times New Roman"/>
          <w:sz w:val="24"/>
          <w:szCs w:val="24"/>
        </w:rPr>
        <w:t>[</w:t>
      </w:r>
      <w:r w:rsidRPr="00347FD8">
        <w:rPr>
          <w:rFonts w:ascii="Times New Roman" w:eastAsia="Times New Roman" w:hAnsi="Times New Roman"/>
          <w:sz w:val="24"/>
          <w:szCs w:val="24"/>
        </w:rPr>
        <w:t xml:space="preserve">$285, 000 </w:t>
      </w:r>
      <w:r>
        <w:rPr>
          <w:rFonts w:ascii="Times New Roman" w:eastAsia="Times New Roman" w:hAnsi="Times New Roman"/>
          <w:sz w:val="24"/>
          <w:szCs w:val="24"/>
        </w:rPr>
        <w:t xml:space="preserve">to fix the radio problem] </w:t>
      </w:r>
      <w:r w:rsidRPr="00975F2E">
        <w:rPr>
          <w:rFonts w:ascii="Times New Roman" w:hAnsi="Times New Roman"/>
          <w:sz w:val="24"/>
          <w:szCs w:val="24"/>
        </w:rPr>
        <w:t xml:space="preserve">did not constitute a managerial business reason for eliminating the positions. The record supports SERB's determination that City's claim that its elimination of bargaining unit positions was a part of City's restructuring or reorganizing plan for the Fire Department was baseless and not a legitimate reason to eliminate the three positions. In fact, City failed to provide details or supporting information for its </w:t>
      </w:r>
      <w:r>
        <w:rPr>
          <w:rFonts w:ascii="Times New Roman" w:hAnsi="Times New Roman"/>
          <w:sz w:val="24"/>
          <w:szCs w:val="24"/>
        </w:rPr>
        <w:t>‘</w:t>
      </w:r>
      <w:r w:rsidRPr="00975F2E">
        <w:rPr>
          <w:rFonts w:ascii="Times New Roman" w:hAnsi="Times New Roman"/>
          <w:sz w:val="24"/>
          <w:szCs w:val="24"/>
        </w:rPr>
        <w:t>restructuring</w:t>
      </w:r>
      <w:r>
        <w:rPr>
          <w:rFonts w:ascii="Times New Roman" w:hAnsi="Times New Roman"/>
          <w:sz w:val="24"/>
          <w:szCs w:val="24"/>
        </w:rPr>
        <w:t>’</w:t>
      </w:r>
      <w:r w:rsidRPr="00975F2E">
        <w:rPr>
          <w:rFonts w:ascii="Times New Roman" w:hAnsi="Times New Roman"/>
          <w:sz w:val="24"/>
          <w:szCs w:val="24"/>
        </w:rPr>
        <w:t xml:space="preserve"> plan. Also, the total 2019 call data </w:t>
      </w:r>
      <w:proofErr w:type="gramStart"/>
      <w:r w:rsidRPr="00975F2E">
        <w:rPr>
          <w:rFonts w:ascii="Times New Roman" w:hAnsi="Times New Roman"/>
          <w:sz w:val="24"/>
          <w:szCs w:val="24"/>
        </w:rPr>
        <w:t>illustrates</w:t>
      </w:r>
      <w:proofErr w:type="gramEnd"/>
      <w:r w:rsidRPr="00975F2E">
        <w:rPr>
          <w:rFonts w:ascii="Times New Roman" w:hAnsi="Times New Roman"/>
          <w:sz w:val="24"/>
          <w:szCs w:val="24"/>
        </w:rPr>
        <w:t xml:space="preserve"> that fire calls </w:t>
      </w:r>
      <w:proofErr w:type="gramStart"/>
      <w:r w:rsidRPr="00975F2E">
        <w:rPr>
          <w:rFonts w:ascii="Times New Roman" w:hAnsi="Times New Roman"/>
          <w:sz w:val="24"/>
          <w:szCs w:val="24"/>
        </w:rPr>
        <w:t>were not decreasing</w:t>
      </w:r>
      <w:proofErr w:type="gramEnd"/>
      <w:r w:rsidRPr="00975F2E">
        <w:rPr>
          <w:rFonts w:ascii="Times New Roman" w:hAnsi="Times New Roman"/>
          <w:sz w:val="24"/>
          <w:szCs w:val="24"/>
        </w:rPr>
        <w:t xml:space="preserve"> over the past six years. SERB clearly determined City's proffered reasons for eliminating the positions were pretextual and thus, Ordinance 19-336, i.e., the </w:t>
      </w:r>
      <w:r>
        <w:rPr>
          <w:rFonts w:ascii="Times New Roman" w:hAnsi="Times New Roman"/>
          <w:sz w:val="24"/>
          <w:szCs w:val="24"/>
        </w:rPr>
        <w:t>‘</w:t>
      </w:r>
      <w:r w:rsidRPr="00975F2E">
        <w:rPr>
          <w:rFonts w:ascii="Times New Roman" w:hAnsi="Times New Roman"/>
          <w:sz w:val="24"/>
          <w:szCs w:val="24"/>
        </w:rPr>
        <w:t>attrition</w:t>
      </w:r>
      <w:r>
        <w:rPr>
          <w:rFonts w:ascii="Times New Roman" w:hAnsi="Times New Roman"/>
          <w:sz w:val="24"/>
          <w:szCs w:val="24"/>
        </w:rPr>
        <w:t>’</w:t>
      </w:r>
      <w:r w:rsidRPr="00975F2E">
        <w:rPr>
          <w:rFonts w:ascii="Times New Roman" w:hAnsi="Times New Roman"/>
          <w:sz w:val="24"/>
          <w:szCs w:val="24"/>
        </w:rPr>
        <w:t xml:space="preserve"> Ordinance, was an unlawful retaliation against Union for advancing a grievance to arbitration.</w:t>
      </w:r>
      <w:r>
        <w:rPr>
          <w:rFonts w:ascii="Times New Roman" w:hAnsi="Times New Roman"/>
          <w:sz w:val="24"/>
          <w:szCs w:val="24"/>
          <w:vertAlign w:val="superscript"/>
        </w:rPr>
        <w:t>”</w:t>
      </w:r>
      <w:r w:rsidRPr="00614F11">
        <w:rPr>
          <w:rFonts w:ascii="Times New Roman" w:eastAsia="Times New Roman" w:hAnsi="Times New Roman"/>
          <w:sz w:val="24"/>
          <w:szCs w:val="24"/>
        </w:rPr>
        <w:t xml:space="preserve"> </w:t>
      </w:r>
      <w:r>
        <w:rPr>
          <w:rFonts w:ascii="Times New Roman" w:eastAsia="Times New Roman" w:hAnsi="Times New Roman"/>
          <w:sz w:val="24"/>
          <w:szCs w:val="24"/>
        </w:rPr>
        <w:t xml:space="preserve"> </w:t>
      </w:r>
      <w:hyperlink r:id="rId2965" w:history="1">
        <w:r w:rsidRPr="00E6191A">
          <w:rPr>
            <w:rStyle w:val="Hyperlink"/>
            <w:rFonts w:ascii="Times New Roman" w:eastAsia="Times New Roman" w:hAnsi="Times New Roman"/>
            <w:sz w:val="24"/>
            <w:szCs w:val="24"/>
          </w:rPr>
          <w:t>https://www.supremecourt.ohio.gov/rod/docs/pdf/7/2021/2021-Ohio-4552.pdf</w:t>
        </w:r>
      </w:hyperlink>
      <w:r>
        <w:rPr>
          <w:rFonts w:ascii="Times New Roman" w:eastAsia="Times New Roman" w:hAnsi="Times New Roman"/>
          <w:sz w:val="24"/>
          <w:szCs w:val="24"/>
        </w:rPr>
        <w:t xml:space="preserve"> </w:t>
      </w:r>
    </w:p>
    <w:p w14:paraId="28FC673B" w14:textId="77777777" w:rsidR="00644810" w:rsidRPr="00213018" w:rsidRDefault="00644810" w:rsidP="00644810">
      <w:pPr>
        <w:pStyle w:val="Heading1"/>
        <w:ind w:left="720"/>
        <w:rPr>
          <w:b w:val="0"/>
          <w:bCs w:val="0"/>
          <w:sz w:val="24"/>
          <w:szCs w:val="24"/>
        </w:rPr>
      </w:pPr>
      <w:r w:rsidRPr="009241CF">
        <w:rPr>
          <w:b w:val="0"/>
          <w:bCs w:val="0"/>
          <w:sz w:val="24"/>
          <w:szCs w:val="24"/>
        </w:rPr>
        <w:t xml:space="preserve">Note:  The City of Youngstown has had serious financial issues </w:t>
      </w:r>
      <w:proofErr w:type="gramStart"/>
      <w:r w:rsidRPr="009241CF">
        <w:rPr>
          <w:b w:val="0"/>
          <w:bCs w:val="0"/>
          <w:sz w:val="24"/>
          <w:szCs w:val="24"/>
        </w:rPr>
        <w:t>impacting</w:t>
      </w:r>
      <w:proofErr w:type="gramEnd"/>
      <w:r w:rsidRPr="009241CF">
        <w:rPr>
          <w:b w:val="0"/>
          <w:bCs w:val="0"/>
          <w:sz w:val="24"/>
          <w:szCs w:val="24"/>
        </w:rPr>
        <w:t xml:space="preserve"> the fire department. See Feb. 28, </w:t>
      </w:r>
      <w:proofErr w:type="gramStart"/>
      <w:r w:rsidRPr="009241CF">
        <w:rPr>
          <w:b w:val="0"/>
          <w:bCs w:val="0"/>
          <w:sz w:val="24"/>
          <w:szCs w:val="24"/>
        </w:rPr>
        <w:t>2021</w:t>
      </w:r>
      <w:proofErr w:type="gramEnd"/>
      <w:r w:rsidRPr="009241CF">
        <w:rPr>
          <w:b w:val="0"/>
          <w:bCs w:val="0"/>
          <w:sz w:val="24"/>
          <w:szCs w:val="24"/>
        </w:rPr>
        <w:t xml:space="preserve"> article, “Judge rules city treated fire union unfairly.”</w:t>
      </w:r>
      <w:r w:rsidRPr="009241CF">
        <w:t xml:space="preserve"> </w:t>
      </w:r>
      <w:hyperlink r:id="rId2966" w:history="1">
        <w:r w:rsidRPr="00213018">
          <w:rPr>
            <w:rStyle w:val="Hyperlink"/>
            <w:b w:val="0"/>
            <w:bCs w:val="0"/>
            <w:sz w:val="24"/>
            <w:szCs w:val="24"/>
          </w:rPr>
          <w:t>https://www.vindy.com/news/local-news/2021/02/judge-rules-city-treated-fire-union-unfairly/</w:t>
        </w:r>
      </w:hyperlink>
      <w:r w:rsidRPr="00213018">
        <w:rPr>
          <w:b w:val="0"/>
          <w:bCs w:val="0"/>
          <w:sz w:val="24"/>
          <w:szCs w:val="24"/>
        </w:rPr>
        <w:t xml:space="preserve"> </w:t>
      </w:r>
    </w:p>
    <w:p w14:paraId="7610FCCD"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9241CF">
        <w:rPr>
          <w:rFonts w:ascii="Times New Roman" w:eastAsia="Times New Roman" w:hAnsi="Times New Roman"/>
          <w:sz w:val="24"/>
          <w:szCs w:val="24"/>
        </w:rPr>
        <w:t>The administration closed fire stations last June on a rotating basis because the fire department exceeded its yearly overtime budget in the first five months of the year. The union objected, saying the decision was dangerous and the city not filling positions caused the overtime issue.</w:t>
      </w:r>
    </w:p>
    <w:p w14:paraId="04BF316C"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sidRPr="009241CF">
        <w:rPr>
          <w:rFonts w:ascii="Times New Roman" w:eastAsia="Times New Roman" w:hAnsi="Times New Roman"/>
          <w:sz w:val="24"/>
          <w:szCs w:val="24"/>
        </w:rPr>
        <w:t>The city closed stations on a rotating basis for about three months in 2018 because of overtime costs.</w:t>
      </w:r>
    </w:p>
    <w:p w14:paraId="35D7B3E8"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sidRPr="009241CF">
        <w:rPr>
          <w:rFonts w:ascii="Times New Roman" w:eastAsia="Times New Roman" w:hAnsi="Times New Roman"/>
          <w:sz w:val="24"/>
          <w:szCs w:val="24"/>
        </w:rPr>
        <w:t xml:space="preserve">The union issued a no-confidence vote against </w:t>
      </w:r>
      <w:r>
        <w:rPr>
          <w:rFonts w:ascii="Times New Roman" w:eastAsia="Times New Roman" w:hAnsi="Times New Roman"/>
          <w:sz w:val="24"/>
          <w:szCs w:val="24"/>
        </w:rPr>
        <w:t xml:space="preserve">[Fire Chief Barry] </w:t>
      </w:r>
      <w:r w:rsidRPr="009241CF">
        <w:rPr>
          <w:rFonts w:ascii="Times New Roman" w:eastAsia="Times New Roman" w:hAnsi="Times New Roman"/>
          <w:sz w:val="24"/>
          <w:szCs w:val="24"/>
        </w:rPr>
        <w:t xml:space="preserve">Finley in December 2019 after expressing concern about his leadership, and the city closed Fire Station No. 7 on the North Side that same month over the objections of the </w:t>
      </w:r>
      <w:proofErr w:type="gramStart"/>
      <w:r w:rsidRPr="009241CF">
        <w:rPr>
          <w:rFonts w:ascii="Times New Roman" w:eastAsia="Times New Roman" w:hAnsi="Times New Roman"/>
          <w:sz w:val="24"/>
          <w:szCs w:val="24"/>
        </w:rPr>
        <w:t>union.</w:t>
      </w:r>
      <w:r>
        <w:rPr>
          <w:rFonts w:ascii="Times New Roman" w:eastAsia="Times New Roman" w:hAnsi="Times New Roman"/>
          <w:sz w:val="24"/>
          <w:szCs w:val="24"/>
        </w:rPr>
        <w:t>”</w:t>
      </w:r>
      <w:proofErr w:type="gramEnd"/>
    </w:p>
    <w:p w14:paraId="6CD1445D" w14:textId="77777777" w:rsidR="00644810" w:rsidRDefault="00644810" w:rsidP="00F326E5">
      <w:pPr>
        <w:pStyle w:val="NoSpacing"/>
        <w:rPr>
          <w:rFonts w:ascii="Arial Black" w:hAnsi="Arial Black"/>
          <w:sz w:val="24"/>
          <w:szCs w:val="24"/>
        </w:rPr>
      </w:pPr>
    </w:p>
    <w:p w14:paraId="3984A789" w14:textId="77777777" w:rsidR="00644810" w:rsidRDefault="00644810" w:rsidP="00F326E5">
      <w:pPr>
        <w:pStyle w:val="NoSpacing"/>
        <w:rPr>
          <w:rFonts w:ascii="Arial Black" w:hAnsi="Arial Black"/>
          <w:sz w:val="24"/>
          <w:szCs w:val="24"/>
        </w:rPr>
      </w:pPr>
    </w:p>
    <w:p w14:paraId="1AC95D9B" w14:textId="77777777" w:rsidR="00644810" w:rsidRDefault="00644810" w:rsidP="00F326E5">
      <w:pPr>
        <w:pStyle w:val="NoSpacing"/>
        <w:rPr>
          <w:rFonts w:ascii="Arial Black" w:hAnsi="Arial Black"/>
          <w:sz w:val="24"/>
          <w:szCs w:val="24"/>
        </w:rPr>
      </w:pPr>
    </w:p>
    <w:p w14:paraId="64FA62B8" w14:textId="77777777" w:rsidR="00644810" w:rsidRDefault="00644810" w:rsidP="00F326E5">
      <w:pPr>
        <w:pStyle w:val="NoSpacing"/>
        <w:rPr>
          <w:rFonts w:ascii="Arial Black" w:hAnsi="Arial Black"/>
          <w:sz w:val="24"/>
          <w:szCs w:val="24"/>
        </w:rPr>
      </w:pPr>
    </w:p>
    <w:p w14:paraId="06EFD7A5" w14:textId="3A18D043" w:rsidR="007E3A28" w:rsidRDefault="007E3A28" w:rsidP="00F326E5">
      <w:pPr>
        <w:pStyle w:val="NoSpacing"/>
        <w:rPr>
          <w:rFonts w:ascii="Arial Black" w:hAnsi="Arial Black"/>
          <w:sz w:val="24"/>
          <w:szCs w:val="24"/>
        </w:rPr>
      </w:pPr>
      <w:r>
        <w:rPr>
          <w:rFonts w:ascii="Arial Black" w:hAnsi="Arial Black"/>
          <w:sz w:val="24"/>
          <w:szCs w:val="24"/>
        </w:rPr>
        <w:t>17-10</w:t>
      </w:r>
    </w:p>
    <w:p w14:paraId="24DCD890" w14:textId="77777777" w:rsidR="007E3A28" w:rsidRDefault="007E3A28" w:rsidP="007E3A28">
      <w:pPr>
        <w:spacing w:before="100" w:beforeAutospacing="1" w:after="100" w:afterAutospacing="1" w:line="240" w:lineRule="auto"/>
      </w:pPr>
      <w:r>
        <w:rPr>
          <w:rFonts w:ascii="Arial Black" w:hAnsi="Arial Black"/>
          <w:sz w:val="28"/>
          <w:szCs w:val="28"/>
        </w:rPr>
        <w:t>NJ: “RULE OF THREE” – NO. 1 ON LIST BYPASSED – NO. 2 PROMOTED DEPUTY CHIEF – NO PROOF FIRE CHIEF / CITY WAS ANTI-UNION</w:t>
      </w:r>
    </w:p>
    <w:p w14:paraId="476CD3DE" w14:textId="77777777" w:rsidR="007E3A28" w:rsidRDefault="007E3A28" w:rsidP="007E3A28">
      <w:pPr>
        <w:spacing w:before="100" w:beforeAutospacing="1" w:after="100" w:afterAutospacing="1" w:line="240" w:lineRule="auto"/>
        <w:rPr>
          <w:rFonts w:ascii="Times New Roman" w:hAnsi="Times New Roman"/>
          <w:sz w:val="24"/>
          <w:szCs w:val="24"/>
        </w:rPr>
      </w:pPr>
      <w:r w:rsidRPr="00394F8F">
        <w:rPr>
          <w:rFonts w:ascii="Times New Roman" w:hAnsi="Times New Roman"/>
          <w:sz w:val="24"/>
          <w:szCs w:val="24"/>
        </w:rPr>
        <w:t xml:space="preserve">On </w:t>
      </w:r>
      <w:r>
        <w:rPr>
          <w:rFonts w:ascii="Times New Roman" w:hAnsi="Times New Roman"/>
          <w:sz w:val="24"/>
          <w:szCs w:val="24"/>
        </w:rPr>
        <w:t xml:space="preserve">Nov. 3, 2021, </w:t>
      </w:r>
      <w:r w:rsidRPr="00325E3C">
        <w:rPr>
          <w:rFonts w:ascii="Times New Roman" w:hAnsi="Times New Roman"/>
          <w:sz w:val="24"/>
          <w:szCs w:val="24"/>
          <w:u w:val="single"/>
        </w:rPr>
        <w:t>In</w:t>
      </w:r>
      <w:r>
        <w:rPr>
          <w:rFonts w:ascii="Times New Roman" w:hAnsi="Times New Roman"/>
          <w:sz w:val="24"/>
          <w:szCs w:val="24"/>
          <w:u w:val="single"/>
        </w:rPr>
        <w:t xml:space="preserve"> </w:t>
      </w:r>
      <w:r w:rsidRPr="00325E3C">
        <w:rPr>
          <w:rFonts w:ascii="Times New Roman" w:hAnsi="Times New Roman"/>
          <w:sz w:val="24"/>
          <w:szCs w:val="24"/>
          <w:u w:val="single"/>
        </w:rPr>
        <w:t>The Matter Of Jason Ryan, Hamilton Township Fire District Number 2</w:t>
      </w:r>
      <w:r>
        <w:rPr>
          <w:rFonts w:ascii="Times New Roman" w:hAnsi="Times New Roman"/>
          <w:sz w:val="24"/>
          <w:szCs w:val="24"/>
        </w:rPr>
        <w:t xml:space="preserve">, the Superior Court of New Jersey, Appellate Division, held (2 to 0; unpublished decision) that Jason Ryan, while having the highest promotion exam score, failed to present evidence that the Board of Fire Commissioners and the Fire Chief bypassed him because he was a union steward and Vice President for the New Jersey Firefighters’ Mutual Benevolent Association (Local No. 284).  The Board has previously promoted union officers, and in 2008 Ryan was promoted to Captain, bypassing a candidate ahead of him on the eligibility list. The Board sent him a detailed “Statement of Reasons” letter that reviewed the reasons for selecting Sullivan, as required under the New Jersey “Rule of Three” statute. </w:t>
      </w:r>
    </w:p>
    <w:p w14:paraId="3508D765"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C412B">
        <w:rPr>
          <w:rFonts w:ascii="Times New Roman" w:hAnsi="Times New Roman"/>
          <w:sz w:val="24"/>
          <w:szCs w:val="24"/>
        </w:rPr>
        <w:t>Petitioner did not meet his initial burden because he failed to present any evidence that he was bypassed because of his union involvement. Indeed, the only evidence petitioner offered was his characterization of several incidents and resulting discipline. These incidents, however, are insufficient to demonstrate the Board or the Commission was motivated by anti-union animus.</w:t>
      </w:r>
    </w:p>
    <w:p w14:paraId="2F3C1F2D" w14:textId="77777777" w:rsidR="007E3A28" w:rsidRPr="00394F8F" w:rsidRDefault="007E3A28" w:rsidP="007E3A28">
      <w:pPr>
        <w:spacing w:before="100" w:beforeAutospacing="1" w:after="100" w:afterAutospacing="1" w:line="240" w:lineRule="auto"/>
        <w:ind w:left="720"/>
        <w:rPr>
          <w:rFonts w:ascii="Times New Roman" w:eastAsia="Times New Roman" w:hAnsi="Times New Roman"/>
          <w:sz w:val="24"/>
          <w:szCs w:val="24"/>
        </w:rPr>
      </w:pPr>
      <w:r w:rsidRPr="00394F8F">
        <w:rPr>
          <w:rFonts w:ascii="Times New Roman" w:eastAsia="Times New Roman" w:hAnsi="Times New Roman"/>
          <w:sz w:val="24"/>
          <w:szCs w:val="24"/>
        </w:rPr>
        <w:t xml:space="preserve">And, as the Commission noted, the Board had recently promoted two union-affiliated firefighters. </w:t>
      </w:r>
    </w:p>
    <w:p w14:paraId="3084C0E3" w14:textId="77777777" w:rsidR="007E3A28" w:rsidRPr="00394F8F" w:rsidRDefault="007E3A28" w:rsidP="007E3A28">
      <w:pPr>
        <w:spacing w:before="100" w:beforeAutospacing="1" w:after="100" w:afterAutospacing="1" w:line="240" w:lineRule="auto"/>
        <w:ind w:left="720"/>
        <w:rPr>
          <w:rFonts w:ascii="Times New Roman" w:eastAsia="Times New Roman" w:hAnsi="Times New Roman"/>
          <w:sz w:val="24"/>
          <w:szCs w:val="24"/>
        </w:rPr>
      </w:pPr>
      <w:r w:rsidRPr="00394F8F">
        <w:rPr>
          <w:rFonts w:ascii="Times New Roman" w:eastAsia="Times New Roman" w:hAnsi="Times New Roman"/>
          <w:sz w:val="24"/>
          <w:szCs w:val="24"/>
        </w:rPr>
        <w:t xml:space="preserve">Moreover, the Commission correctly concluded the Board had provided legitimate, non-discriminatory reasons for bypassing petitioner. Although </w:t>
      </w:r>
      <w:r>
        <w:rPr>
          <w:rFonts w:ascii="Times New Roman" w:eastAsia="Times New Roman" w:hAnsi="Times New Roman"/>
          <w:sz w:val="24"/>
          <w:szCs w:val="24"/>
        </w:rPr>
        <w:t xml:space="preserve">[Blair] </w:t>
      </w:r>
      <w:r w:rsidRPr="00394F8F">
        <w:rPr>
          <w:rFonts w:ascii="Times New Roman" w:eastAsia="Times New Roman" w:hAnsi="Times New Roman"/>
          <w:sz w:val="24"/>
          <w:szCs w:val="24"/>
        </w:rPr>
        <w:t xml:space="preserve">Sullivan had a slightly lower test score, the Commission explained why he was the </w:t>
      </w:r>
      <w:r>
        <w:rPr>
          <w:rFonts w:ascii="Times New Roman" w:eastAsia="Times New Roman" w:hAnsi="Times New Roman"/>
          <w:sz w:val="24"/>
          <w:szCs w:val="24"/>
        </w:rPr>
        <w:t>‘</w:t>
      </w:r>
      <w:r w:rsidRPr="00394F8F">
        <w:rPr>
          <w:rFonts w:ascii="Times New Roman" w:eastAsia="Times New Roman" w:hAnsi="Times New Roman"/>
          <w:sz w:val="24"/>
          <w:szCs w:val="24"/>
        </w:rPr>
        <w:t xml:space="preserve">best candidate for the position based on his fitness, merit, experience, service to the </w:t>
      </w:r>
      <w:proofErr w:type="gramStart"/>
      <w:r w:rsidRPr="00394F8F">
        <w:rPr>
          <w:rFonts w:ascii="Times New Roman" w:eastAsia="Times New Roman" w:hAnsi="Times New Roman"/>
          <w:sz w:val="24"/>
          <w:szCs w:val="24"/>
        </w:rPr>
        <w:t>District</w:t>
      </w:r>
      <w:proofErr w:type="gramEnd"/>
      <w:r w:rsidRPr="00394F8F">
        <w:rPr>
          <w:rFonts w:ascii="Times New Roman" w:eastAsia="Times New Roman" w:hAnsi="Times New Roman"/>
          <w:sz w:val="24"/>
          <w:szCs w:val="24"/>
        </w:rPr>
        <w:t>, and passion for the Deputy Fire Chief Position.</w:t>
      </w:r>
      <w:r>
        <w:rPr>
          <w:rFonts w:ascii="Times New Roman" w:eastAsia="Times New Roman" w:hAnsi="Times New Roman"/>
          <w:sz w:val="24"/>
          <w:szCs w:val="24"/>
        </w:rPr>
        <w:t xml:space="preserve">’” </w:t>
      </w:r>
      <w:hyperlink r:id="rId2967" w:history="1">
        <w:r w:rsidRPr="00316766">
          <w:rPr>
            <w:rStyle w:val="Hyperlink"/>
            <w:rFonts w:ascii="Times New Roman" w:eastAsia="Times New Roman" w:hAnsi="Times New Roman"/>
            <w:sz w:val="24"/>
            <w:szCs w:val="24"/>
          </w:rPr>
          <w:t>https://casetext.com/case/in-re-ryan-542034</w:t>
        </w:r>
      </w:hyperlink>
      <w:r>
        <w:rPr>
          <w:rFonts w:ascii="Times New Roman" w:eastAsia="Times New Roman" w:hAnsi="Times New Roman"/>
          <w:sz w:val="24"/>
          <w:szCs w:val="24"/>
        </w:rPr>
        <w:t xml:space="preserve"> </w:t>
      </w:r>
    </w:p>
    <w:p w14:paraId="187A061D" w14:textId="77777777" w:rsidR="007E3A28" w:rsidRPr="00D9180B" w:rsidRDefault="007E3A28" w:rsidP="007E3A28">
      <w:pPr>
        <w:spacing w:before="100" w:beforeAutospacing="1" w:after="100" w:afterAutospacing="1" w:line="240" w:lineRule="auto"/>
        <w:rPr>
          <w:rFonts w:ascii="Times New Roman" w:eastAsia="Times New Roman" w:hAnsi="Times New Roman"/>
          <w:b/>
          <w:bCs/>
          <w:sz w:val="24"/>
          <w:szCs w:val="24"/>
        </w:rPr>
      </w:pPr>
      <w:r w:rsidRPr="0010716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Board wisely prepared a detailed “Statement of Reasons” for selecting No. 2 person as the Deputy Fire Chief. </w:t>
      </w:r>
    </w:p>
    <w:p w14:paraId="436F6E07" w14:textId="77777777" w:rsidR="007E3A28" w:rsidRDefault="007E3A28" w:rsidP="00F326E5">
      <w:pPr>
        <w:pStyle w:val="NoSpacing"/>
        <w:rPr>
          <w:rFonts w:ascii="Arial Black" w:hAnsi="Arial Black"/>
          <w:sz w:val="24"/>
          <w:szCs w:val="24"/>
        </w:rPr>
      </w:pPr>
    </w:p>
    <w:p w14:paraId="718412D6" w14:textId="77777777" w:rsidR="007E3A28" w:rsidRDefault="007E3A28" w:rsidP="00F326E5">
      <w:pPr>
        <w:pStyle w:val="NoSpacing"/>
        <w:rPr>
          <w:rFonts w:ascii="Arial Black" w:hAnsi="Arial Black"/>
          <w:sz w:val="24"/>
          <w:szCs w:val="24"/>
        </w:rPr>
      </w:pPr>
    </w:p>
    <w:p w14:paraId="5D72F480" w14:textId="3A307EFA" w:rsidR="005217D5" w:rsidRDefault="002F610D" w:rsidP="00F326E5">
      <w:pPr>
        <w:pStyle w:val="NoSpacing"/>
        <w:rPr>
          <w:rFonts w:ascii="Arial Black" w:hAnsi="Arial Black"/>
          <w:sz w:val="24"/>
          <w:szCs w:val="24"/>
        </w:rPr>
      </w:pPr>
      <w:r>
        <w:rPr>
          <w:rFonts w:ascii="Arial Black" w:hAnsi="Arial Black"/>
          <w:sz w:val="24"/>
          <w:szCs w:val="24"/>
        </w:rPr>
        <w:t>17-9</w:t>
      </w:r>
    </w:p>
    <w:p w14:paraId="7DE7FC92" w14:textId="77777777" w:rsidR="002F610D" w:rsidRPr="008952B2" w:rsidRDefault="002F610D" w:rsidP="002F610D">
      <w:pPr>
        <w:pStyle w:val="NormalWeb"/>
        <w:rPr>
          <w:rStyle w:val="markedcontent"/>
          <w:rFonts w:ascii="Arial Black" w:hAnsi="Arial Black"/>
          <w:sz w:val="28"/>
          <w:szCs w:val="28"/>
        </w:rPr>
      </w:pPr>
      <w:bookmarkStart w:id="633" w:name="_Hlk81842929"/>
      <w:r>
        <w:rPr>
          <w:rStyle w:val="markedcontent"/>
          <w:rFonts w:ascii="Arial Black" w:hAnsi="Arial Black"/>
          <w:sz w:val="28"/>
          <w:szCs w:val="28"/>
        </w:rPr>
        <w:t xml:space="preserve">NB: UNION PRES. FIRED - ASSAULT IN BAR, “WHITE POWER” – ARBITRATOR REVERSES, 5 SHIFT SUSPENSION </w:t>
      </w:r>
    </w:p>
    <w:bookmarkEnd w:id="633"/>
    <w:p w14:paraId="47D16F0A" w14:textId="77777777" w:rsidR="002F610D" w:rsidRPr="00BC5562" w:rsidRDefault="002F610D" w:rsidP="002F610D">
      <w:pPr>
        <w:pStyle w:val="NormalWeb"/>
        <w:rPr>
          <w:rStyle w:val="markedcontent"/>
        </w:rPr>
      </w:pPr>
      <w:r w:rsidRPr="00BC5562">
        <w:rPr>
          <w:rStyle w:val="markedcontent"/>
        </w:rPr>
        <w:t xml:space="preserve">On Aug. 6, 2021, in </w:t>
      </w:r>
      <w:r w:rsidRPr="00BC5562">
        <w:rPr>
          <w:rStyle w:val="markedcontent"/>
          <w:u w:val="single"/>
        </w:rPr>
        <w:t xml:space="preserve">City of Omaha v. Professional Firefighters Association of Omaha, </w:t>
      </w:r>
      <w:r w:rsidRPr="00BC5562">
        <w:rPr>
          <w:u w:val="single"/>
        </w:rPr>
        <w:br/>
      </w:r>
      <w:r w:rsidRPr="00BC5562">
        <w:rPr>
          <w:rStyle w:val="markedcontent"/>
          <w:u w:val="single"/>
        </w:rPr>
        <w:t>Local 385, AFL-CIO</w:t>
      </w:r>
      <w:r w:rsidRPr="00BC5562">
        <w:rPr>
          <w:rStyle w:val="markedcontent"/>
        </w:rPr>
        <w:t xml:space="preserve">, the Nebraska Supreme Court held (6 to 0) that the arbitrator’s decision reinstating Union President Steve LeClair must be enforced; the city failed to prove that the arbitration award because the arbitrator exceeded her powers. The City appealed to state District Court, which dismissed the City’s appeal and ordered the City to reimburse union for $16,000 in attorney fees for filing a “frivolous” appeal.  The Nebraska Supreme Court agreed that termination was too </w:t>
      </w:r>
      <w:proofErr w:type="gramStart"/>
      <w:r w:rsidRPr="00BC5562">
        <w:rPr>
          <w:rStyle w:val="markedcontent"/>
        </w:rPr>
        <w:t>harsh, but</w:t>
      </w:r>
      <w:proofErr w:type="gramEnd"/>
      <w:r w:rsidRPr="00BC5562">
        <w:rPr>
          <w:rStyle w:val="markedcontent"/>
        </w:rPr>
        <w:t xml:space="preserve"> set aside the attorney fees award. </w:t>
      </w:r>
    </w:p>
    <w:p w14:paraId="10B766E2" w14:textId="489DB22B" w:rsidR="002F610D" w:rsidRDefault="002F610D" w:rsidP="002F610D">
      <w:pPr>
        <w:pStyle w:val="NoSpacing"/>
        <w:rPr>
          <w:rFonts w:ascii="Arial Black" w:hAnsi="Arial Black"/>
          <w:sz w:val="24"/>
          <w:szCs w:val="24"/>
        </w:rPr>
      </w:pPr>
      <w:r w:rsidRPr="002F610D">
        <w:rPr>
          <w:rStyle w:val="markedcontent"/>
          <w:rFonts w:ascii="Times New Roman" w:hAnsi="Times New Roman"/>
          <w:sz w:val="24"/>
          <w:szCs w:val="24"/>
        </w:rPr>
        <w:t>“Equally quick work can be made of the City’s claim that the arbitrator exceeded her powers by ‘</w:t>
      </w:r>
      <w:proofErr w:type="spellStart"/>
      <w:r w:rsidRPr="002F610D">
        <w:rPr>
          <w:rStyle w:val="markedcontent"/>
          <w:rFonts w:ascii="Times New Roman" w:hAnsi="Times New Roman"/>
          <w:sz w:val="24"/>
          <w:szCs w:val="24"/>
        </w:rPr>
        <w:t>substitut</w:t>
      </w:r>
      <w:proofErr w:type="spellEnd"/>
      <w:r w:rsidRPr="002F610D">
        <w:rPr>
          <w:rStyle w:val="markedcontent"/>
          <w:rFonts w:ascii="Times New Roman" w:hAnsi="Times New Roman"/>
          <w:sz w:val="24"/>
          <w:szCs w:val="24"/>
        </w:rPr>
        <w:t>[</w:t>
      </w:r>
      <w:proofErr w:type="spellStart"/>
      <w:r w:rsidRPr="002F610D">
        <w:rPr>
          <w:rStyle w:val="markedcontent"/>
          <w:rFonts w:ascii="Times New Roman" w:hAnsi="Times New Roman"/>
          <w:sz w:val="24"/>
          <w:szCs w:val="24"/>
        </w:rPr>
        <w:t>ing</w:t>
      </w:r>
      <w:proofErr w:type="spellEnd"/>
      <w:r w:rsidRPr="002F610D">
        <w:rPr>
          <w:rStyle w:val="markedcontent"/>
          <w:rFonts w:ascii="Times New Roman" w:hAnsi="Times New Roman"/>
          <w:sz w:val="24"/>
          <w:szCs w:val="24"/>
        </w:rPr>
        <w:t xml:space="preserve">] her own discipline.’ Brief for appellant at 31. This objection is aimed at the arbitrator’s order that LeClair should lose five shifts of backpay for his actions. The </w:t>
      </w:r>
      <w:proofErr w:type="gramStart"/>
      <w:r w:rsidRPr="002F610D">
        <w:rPr>
          <w:rStyle w:val="markedcontent"/>
          <w:rFonts w:ascii="Times New Roman" w:hAnsi="Times New Roman"/>
          <w:sz w:val="24"/>
          <w:szCs w:val="24"/>
        </w:rPr>
        <w:t>City</w:t>
      </w:r>
      <w:proofErr w:type="gramEnd"/>
      <w:r w:rsidRPr="002F610D">
        <w:rPr>
          <w:rStyle w:val="markedcontent"/>
          <w:rFonts w:ascii="Times New Roman" w:hAnsi="Times New Roman"/>
          <w:sz w:val="24"/>
          <w:szCs w:val="24"/>
        </w:rPr>
        <w:t xml:space="preserve"> claims the arbitrator did not have the power to craft her own discipline for LeClair’s actions. The City, however, has not directed us to authority that supports its argument.”</w:t>
      </w:r>
      <w:r w:rsidRPr="007365A2">
        <w:t xml:space="preserve"> </w:t>
      </w:r>
      <w:hyperlink r:id="rId2968" w:history="1">
        <w:r w:rsidRPr="007365A2">
          <w:rPr>
            <w:rStyle w:val="Hyperlink"/>
          </w:rPr>
          <w:t>file:///C:/Users/lawre/AppData/Local/Temp/N00008009PUB.pdf</w:t>
        </w:r>
      </w:hyperlink>
    </w:p>
    <w:p w14:paraId="13FD71FE" w14:textId="21FEC079" w:rsidR="002F610D" w:rsidRDefault="002F610D" w:rsidP="00F326E5">
      <w:pPr>
        <w:pStyle w:val="NoSpacing"/>
        <w:rPr>
          <w:rFonts w:ascii="Arial Black" w:hAnsi="Arial Black"/>
          <w:sz w:val="24"/>
          <w:szCs w:val="24"/>
        </w:rPr>
      </w:pPr>
    </w:p>
    <w:p w14:paraId="1128ED2B" w14:textId="77777777" w:rsidR="002F610D" w:rsidRPr="006D4E82" w:rsidRDefault="002F610D" w:rsidP="002F610D">
      <w:pPr>
        <w:pStyle w:val="NormalWeb"/>
        <w:tabs>
          <w:tab w:val="left" w:pos="3330"/>
        </w:tabs>
        <w:rPr>
          <w:b/>
          <w:bCs/>
        </w:rPr>
      </w:pPr>
      <w:r w:rsidRPr="006D4E82">
        <w:rPr>
          <w:rStyle w:val="markedcontent"/>
          <w:b/>
          <w:bCs/>
        </w:rPr>
        <w:t>Legal Lesson Learned:</w:t>
      </w:r>
      <w:r>
        <w:rPr>
          <w:rStyle w:val="markedcontent"/>
          <w:b/>
          <w:bCs/>
        </w:rPr>
        <w:t xml:space="preserve"> Courts generally enforce arbitrator decisions.  </w:t>
      </w:r>
      <w:r>
        <w:rPr>
          <w:rStyle w:val="markedcontent"/>
          <w:b/>
          <w:bCs/>
        </w:rPr>
        <w:tab/>
        <w:t xml:space="preserve"> </w:t>
      </w:r>
    </w:p>
    <w:p w14:paraId="452AAC83" w14:textId="6A1F3A59" w:rsidR="002F610D" w:rsidRDefault="002F610D" w:rsidP="002F610D">
      <w:pPr>
        <w:pStyle w:val="NoSpacing"/>
        <w:rPr>
          <w:rFonts w:ascii="Arial Black" w:hAnsi="Arial Black"/>
          <w:sz w:val="24"/>
          <w:szCs w:val="24"/>
        </w:rPr>
      </w:pPr>
      <w:r>
        <w:t xml:space="preserve">Note: See Aug. 11, </w:t>
      </w:r>
      <w:proofErr w:type="gramStart"/>
      <w:r>
        <w:t>2021</w:t>
      </w:r>
      <w:proofErr w:type="gramEnd"/>
      <w:r>
        <w:t xml:space="preserve"> article, “</w:t>
      </w:r>
      <w:r w:rsidRPr="00826CE9">
        <w:t xml:space="preserve">Nebraska Supreme Court Sides </w:t>
      </w:r>
      <w:proofErr w:type="gramStart"/>
      <w:r w:rsidRPr="00826CE9">
        <w:t>With</w:t>
      </w:r>
      <w:proofErr w:type="gramEnd"/>
      <w:r w:rsidRPr="00826CE9">
        <w:t xml:space="preserve"> Omaha Fire Union Chief </w:t>
      </w:r>
      <w:proofErr w:type="gramStart"/>
      <w:r w:rsidRPr="00826CE9">
        <w:t>In</w:t>
      </w:r>
      <w:proofErr w:type="gramEnd"/>
      <w:r w:rsidRPr="00826CE9">
        <w:t xml:space="preserve"> Dispute </w:t>
      </w:r>
      <w:proofErr w:type="gramStart"/>
      <w:r w:rsidRPr="00826CE9">
        <w:t>With</w:t>
      </w:r>
      <w:proofErr w:type="gramEnd"/>
      <w:r w:rsidRPr="00826CE9">
        <w:t xml:space="preserve"> City.   </w:t>
      </w:r>
      <w:r w:rsidRPr="00492A28">
        <w:t>appeal the discipline to an independent arbitrator.</w:t>
      </w:r>
      <w:r>
        <w:t xml:space="preserve">” </w:t>
      </w:r>
      <w:hyperlink r:id="rId2969" w:history="1">
        <w:r w:rsidRPr="00472D9E">
          <w:rPr>
            <w:rStyle w:val="Hyperlink"/>
          </w:rPr>
          <w:t>https://www.ketv.com/article/nebraska-supreme-court-sides-with-omaha-fire-union-chief-in-dispute-with-city/37244601#</w:t>
        </w:r>
      </w:hyperlink>
    </w:p>
    <w:p w14:paraId="254FEC65" w14:textId="77777777" w:rsidR="002F610D" w:rsidRDefault="002F610D" w:rsidP="00F326E5">
      <w:pPr>
        <w:pStyle w:val="NoSpacing"/>
        <w:rPr>
          <w:rFonts w:ascii="Arial Black" w:hAnsi="Arial Black"/>
          <w:sz w:val="24"/>
          <w:szCs w:val="24"/>
        </w:rPr>
      </w:pPr>
    </w:p>
    <w:p w14:paraId="0157EB83" w14:textId="7D0AE068" w:rsidR="005217D5" w:rsidRDefault="005217D5" w:rsidP="00F326E5">
      <w:pPr>
        <w:pStyle w:val="NoSpacing"/>
        <w:rPr>
          <w:rFonts w:ascii="Arial Black" w:hAnsi="Arial Black"/>
          <w:sz w:val="24"/>
          <w:szCs w:val="24"/>
        </w:rPr>
      </w:pPr>
      <w:r>
        <w:rPr>
          <w:rFonts w:ascii="Arial Black" w:hAnsi="Arial Black"/>
          <w:sz w:val="24"/>
          <w:szCs w:val="24"/>
        </w:rPr>
        <w:t>17-8</w:t>
      </w:r>
    </w:p>
    <w:p w14:paraId="30C4BB9D" w14:textId="065E42B1" w:rsidR="005217D5" w:rsidRDefault="005217D5" w:rsidP="00F326E5">
      <w:pPr>
        <w:pStyle w:val="NoSpacing"/>
        <w:rPr>
          <w:rFonts w:ascii="Arial Black" w:hAnsi="Arial Black"/>
          <w:sz w:val="24"/>
          <w:szCs w:val="24"/>
        </w:rPr>
      </w:pPr>
    </w:p>
    <w:p w14:paraId="1E90D6FF" w14:textId="77777777" w:rsidR="005217D5" w:rsidRPr="001F43B5" w:rsidRDefault="005217D5" w:rsidP="005217D5">
      <w:pPr>
        <w:rPr>
          <w:rStyle w:val="markedcontent"/>
          <w:rFonts w:ascii="Arial Black" w:hAnsi="Arial Black"/>
          <w:sz w:val="28"/>
          <w:szCs w:val="28"/>
        </w:rPr>
      </w:pPr>
      <w:r w:rsidRPr="001F43B5">
        <w:rPr>
          <w:rStyle w:val="markedcontent"/>
          <w:rFonts w:ascii="Arial Black" w:hAnsi="Arial Black"/>
          <w:sz w:val="28"/>
          <w:szCs w:val="28"/>
        </w:rPr>
        <w:t xml:space="preserve">DE: </w:t>
      </w:r>
      <w:r>
        <w:rPr>
          <w:rStyle w:val="markedcontent"/>
          <w:rFonts w:ascii="Arial Black" w:hAnsi="Arial Black"/>
          <w:sz w:val="28"/>
          <w:szCs w:val="28"/>
        </w:rPr>
        <w:t>STATION BROWNOUTS - FIRE CHIEF SCHEDULE CHANGE 24/72 TO 24/48 – NEW CBA MUST BE SPECIFIC</w:t>
      </w:r>
    </w:p>
    <w:p w14:paraId="3594A74A" w14:textId="77777777" w:rsidR="005217D5" w:rsidRDefault="005217D5" w:rsidP="005217D5">
      <w:pPr>
        <w:rPr>
          <w:rStyle w:val="markedcontent"/>
          <w:rFonts w:ascii="Times New Roman" w:hAnsi="Times New Roman"/>
          <w:sz w:val="24"/>
          <w:szCs w:val="24"/>
        </w:rPr>
      </w:pPr>
      <w:r>
        <w:rPr>
          <w:rStyle w:val="markedcontent"/>
          <w:rFonts w:ascii="Times New Roman" w:hAnsi="Times New Roman"/>
          <w:sz w:val="24"/>
          <w:szCs w:val="24"/>
        </w:rPr>
        <w:t xml:space="preserve">On June 28, 2021, in </w:t>
      </w:r>
      <w:r w:rsidRPr="001F43B5">
        <w:rPr>
          <w:rStyle w:val="markedcontent"/>
          <w:rFonts w:ascii="Times New Roman" w:hAnsi="Times New Roman"/>
          <w:sz w:val="24"/>
          <w:szCs w:val="24"/>
          <w:u w:val="single"/>
        </w:rPr>
        <w:t>International Association of Firefighters, Local 1590 v. City of Wilmington</w:t>
      </w:r>
      <w:r>
        <w:rPr>
          <w:rStyle w:val="markedcontent"/>
          <w:rFonts w:ascii="Times New Roman" w:hAnsi="Times New Roman"/>
          <w:sz w:val="24"/>
          <w:szCs w:val="24"/>
        </w:rPr>
        <w:t xml:space="preserve">, the Court of Chancery of the State of Delaware (Vice Chancellor </w:t>
      </w:r>
      <w:r w:rsidRPr="001F43B5">
        <w:rPr>
          <w:rStyle w:val="markedcontent"/>
          <w:rFonts w:ascii="Times New Roman" w:hAnsi="Times New Roman"/>
          <w:sz w:val="24"/>
          <w:szCs w:val="24"/>
        </w:rPr>
        <w:t>Paul A. Fioravanti, Jr.</w:t>
      </w:r>
      <w:r>
        <w:rPr>
          <w:rStyle w:val="markedcontent"/>
          <w:rFonts w:ascii="Times New Roman" w:hAnsi="Times New Roman"/>
          <w:sz w:val="24"/>
          <w:szCs w:val="24"/>
        </w:rPr>
        <w:t xml:space="preserve">) ordered the case back to the Public Employee Relations Board because the city’s final offer only described the new schedule (24/48 schedule with 17 Kelly Days) “as an example” in the Collective Bargaining Agreement. Judge agreed with IAFF that this gave the  Fire Chief inappropriate discretion to change the schedule in future without collective bargaining. </w:t>
      </w:r>
    </w:p>
    <w:p w14:paraId="22E293A2"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r w:rsidRPr="00C4258E">
        <w:rPr>
          <w:rStyle w:val="markedcontent"/>
          <w:rFonts w:ascii="Times New Roman" w:hAnsi="Times New Roman"/>
          <w:sz w:val="24"/>
          <w:szCs w:val="24"/>
        </w:rPr>
        <w:t xml:space="preserve">The City’s LBFO, however, did not establish a 24/48 schedule. Although the BIA Decision states that the City’s proposal </w:t>
      </w:r>
      <w:r>
        <w:rPr>
          <w:rStyle w:val="markedcontent"/>
          <w:rFonts w:ascii="Times New Roman" w:hAnsi="Times New Roman"/>
          <w:sz w:val="24"/>
          <w:szCs w:val="24"/>
        </w:rPr>
        <w:t>‘</w:t>
      </w:r>
      <w:r w:rsidRPr="00C4258E">
        <w:rPr>
          <w:rStyle w:val="markedcontent"/>
          <w:rFonts w:ascii="Times New Roman" w:hAnsi="Times New Roman"/>
          <w:sz w:val="24"/>
          <w:szCs w:val="24"/>
        </w:rPr>
        <w:t>specifically</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called for a 24/48 schedule to replace the 24/72 schedule, the plain language of the City’s LBFO does not support that construction. The City’s LBFO struck the language from the 2016 CBA that outlined a 24/72 </w:t>
      </w:r>
      <w:proofErr w:type="gramStart"/>
      <w:r w:rsidRPr="00C4258E">
        <w:rPr>
          <w:rStyle w:val="markedcontent"/>
          <w:rFonts w:ascii="Times New Roman" w:hAnsi="Times New Roman"/>
          <w:sz w:val="24"/>
          <w:szCs w:val="24"/>
        </w:rPr>
        <w:t>schedule</w:t>
      </w:r>
      <w:r>
        <w:rPr>
          <w:rStyle w:val="markedcontent"/>
          <w:rFonts w:ascii="Times New Roman" w:hAnsi="Times New Roman"/>
          <w:sz w:val="24"/>
          <w:szCs w:val="24"/>
        </w:rPr>
        <w:t xml:space="preserve">, </w:t>
      </w:r>
      <w:r w:rsidRPr="00C4258E">
        <w:rPr>
          <w:rStyle w:val="markedcontent"/>
          <w:rFonts w:ascii="Times New Roman" w:hAnsi="Times New Roman"/>
          <w:sz w:val="24"/>
          <w:szCs w:val="24"/>
        </w:rPr>
        <w:t>but</w:t>
      </w:r>
      <w:proofErr w:type="gramEnd"/>
      <w:r w:rsidRPr="00C4258E">
        <w:rPr>
          <w:rStyle w:val="markedcontent"/>
          <w:rFonts w:ascii="Times New Roman" w:hAnsi="Times New Roman"/>
          <w:sz w:val="24"/>
          <w:szCs w:val="24"/>
        </w:rPr>
        <w:t xml:space="preserve"> did not replace it with analogous language providing a 24/48 schedule. Tab 4 at 1, 10. Instead, the City’s LBFO </w:t>
      </w:r>
      <w:proofErr w:type="gramStart"/>
      <w:r w:rsidRPr="00C4258E">
        <w:rPr>
          <w:rStyle w:val="markedcontent"/>
          <w:rFonts w:ascii="Times New Roman" w:hAnsi="Times New Roman"/>
          <w:sz w:val="24"/>
          <w:szCs w:val="24"/>
        </w:rPr>
        <w:t>provided that</w:t>
      </w:r>
      <w:proofErr w:type="gramEnd"/>
      <w:r w:rsidRPr="00C4258E">
        <w:rPr>
          <w:rStyle w:val="markedcontent"/>
          <w:rFonts w:ascii="Times New Roman" w:hAnsi="Times New Roman"/>
          <w:sz w:val="24"/>
          <w:szCs w:val="24"/>
        </w:rPr>
        <w:t xml:space="preserve"> firefighters would work a shift of an unspecified length </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as determined off </w:t>
      </w:r>
      <w:r>
        <w:rPr>
          <w:rStyle w:val="markedcontent"/>
          <w:rFonts w:ascii="Times New Roman" w:hAnsi="Times New Roman"/>
          <w:sz w:val="24"/>
          <w:szCs w:val="24"/>
        </w:rPr>
        <w:t>‘</w:t>
      </w:r>
      <w:r w:rsidRPr="00C4258E">
        <w:rPr>
          <w:rStyle w:val="markedcontent"/>
          <w:rFonts w:ascii="Times New Roman" w:hAnsi="Times New Roman"/>
          <w:sz w:val="24"/>
          <w:szCs w:val="24"/>
        </w:rPr>
        <w:t>under a work schedule as established by the Chief of Fire.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Id. To be sure, the City’s LBFO stated, </w:t>
      </w:r>
      <w:r>
        <w:rPr>
          <w:rStyle w:val="markedcontent"/>
          <w:rFonts w:ascii="Times New Roman" w:hAnsi="Times New Roman"/>
          <w:sz w:val="24"/>
          <w:szCs w:val="24"/>
        </w:rPr>
        <w:t>‘</w:t>
      </w:r>
      <w:r w:rsidRPr="00C4258E">
        <w:rPr>
          <w:rStyle w:val="markedcontent"/>
          <w:rFonts w:ascii="Times New Roman" w:hAnsi="Times New Roman"/>
          <w:sz w:val="24"/>
          <w:szCs w:val="24"/>
        </w:rPr>
        <w:t>[a]s an example,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that the Chief of Fire could </w:t>
      </w:r>
      <w:r>
        <w:rPr>
          <w:rStyle w:val="markedcontent"/>
          <w:rFonts w:ascii="Times New Roman" w:hAnsi="Times New Roman"/>
          <w:sz w:val="24"/>
          <w:szCs w:val="24"/>
        </w:rPr>
        <w:t>‘</w:t>
      </w:r>
      <w:r w:rsidRPr="00C4258E">
        <w:rPr>
          <w:rStyle w:val="markedcontent"/>
          <w:rFonts w:ascii="Times New Roman" w:hAnsi="Times New Roman"/>
          <w:sz w:val="24"/>
          <w:szCs w:val="24"/>
        </w:rPr>
        <w:t>implement a three[-]platoon system with a Complete Tour of Duty of [24] hours on, followed by [48] hours off.</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Id. at 10. But that schedule is expressly identified only as </w:t>
      </w:r>
      <w:r>
        <w:rPr>
          <w:rStyle w:val="markedcontent"/>
          <w:rFonts w:ascii="Times New Roman" w:hAnsi="Times New Roman"/>
          <w:sz w:val="24"/>
          <w:szCs w:val="24"/>
        </w:rPr>
        <w:t>‘</w:t>
      </w:r>
      <w:r w:rsidRPr="00C4258E">
        <w:rPr>
          <w:rStyle w:val="markedcontent"/>
          <w:rFonts w:ascii="Times New Roman" w:hAnsi="Times New Roman"/>
          <w:sz w:val="24"/>
          <w:szCs w:val="24"/>
        </w:rPr>
        <w:t>an example,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and the City’s LBFO does not bind the Chief of Fire to any </w:t>
      </w:r>
      <w:proofErr w:type="gramStart"/>
      <w:r w:rsidRPr="00C4258E">
        <w:rPr>
          <w:rStyle w:val="markedcontent"/>
          <w:rFonts w:ascii="Times New Roman" w:hAnsi="Times New Roman"/>
          <w:sz w:val="24"/>
          <w:szCs w:val="24"/>
        </w:rPr>
        <w:t>particular work</w:t>
      </w:r>
      <w:proofErr w:type="gramEnd"/>
      <w:r w:rsidRPr="00C4258E">
        <w:rPr>
          <w:rStyle w:val="markedcontent"/>
          <w:rFonts w:ascii="Times New Roman" w:hAnsi="Times New Roman"/>
          <w:sz w:val="24"/>
          <w:szCs w:val="24"/>
        </w:rPr>
        <w:t xml:space="preserve"> schedule, even from the outset of the new system’s implementation.</w:t>
      </w:r>
      <w:r w:rsidRPr="00C4258E">
        <w:rPr>
          <w:rFonts w:ascii="Times New Roman" w:hAnsi="Times New Roman"/>
          <w:sz w:val="24"/>
          <w:szCs w:val="24"/>
        </w:rPr>
        <w:br/>
      </w:r>
    </w:p>
    <w:p w14:paraId="694667D8" w14:textId="77777777" w:rsidR="005217D5" w:rsidRPr="00C4258E"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p>
    <w:p w14:paraId="69312CCE" w14:textId="4F32F2BD" w:rsidR="005217D5" w:rsidRDefault="005217D5" w:rsidP="005217D5">
      <w:pPr>
        <w:pStyle w:val="NoSpacing"/>
        <w:ind w:left="720"/>
        <w:rPr>
          <w:rStyle w:val="Hyperlink"/>
          <w:sz w:val="24"/>
          <w:szCs w:val="24"/>
        </w:rPr>
      </w:pPr>
      <w:r>
        <w:rPr>
          <w:rStyle w:val="markedcontent"/>
          <w:rFonts w:ascii="Times New Roman" w:hAnsi="Times New Roman"/>
          <w:sz w:val="24"/>
          <w:szCs w:val="24"/>
        </w:rPr>
        <w:t>“</w:t>
      </w:r>
      <w:r w:rsidRPr="001F43B5">
        <w:rPr>
          <w:rStyle w:val="markedcontent"/>
          <w:rFonts w:ascii="Times New Roman" w:hAnsi="Times New Roman"/>
          <w:sz w:val="24"/>
          <w:szCs w:val="24"/>
        </w:rPr>
        <w:t xml:space="preserve">The Executive Director </w:t>
      </w:r>
      <w:r>
        <w:rPr>
          <w:rStyle w:val="markedcontent"/>
          <w:rFonts w:ascii="Times New Roman" w:hAnsi="Times New Roman"/>
          <w:sz w:val="24"/>
          <w:szCs w:val="24"/>
        </w:rPr>
        <w:t xml:space="preserve">[of the PERB] </w:t>
      </w:r>
      <w:r w:rsidRPr="001F43B5">
        <w:rPr>
          <w:rStyle w:val="markedcontent"/>
          <w:rFonts w:ascii="Times New Roman" w:hAnsi="Times New Roman"/>
          <w:sz w:val="24"/>
          <w:szCs w:val="24"/>
        </w:rPr>
        <w:t>erred by performing her statutory analysis only</w:t>
      </w:r>
      <w:r>
        <w:rPr>
          <w:rStyle w:val="markedcontent"/>
          <w:rFonts w:ascii="Times New Roman" w:hAnsi="Times New Roman"/>
          <w:sz w:val="24"/>
          <w:szCs w:val="24"/>
        </w:rPr>
        <w:t xml:space="preserve"> </w:t>
      </w:r>
      <w:r w:rsidRPr="001F43B5">
        <w:rPr>
          <w:rStyle w:val="markedcontent"/>
          <w:rFonts w:ascii="Times New Roman" w:hAnsi="Times New Roman"/>
          <w:sz w:val="24"/>
          <w:szCs w:val="24"/>
        </w:rPr>
        <w:t xml:space="preserve">on the unwritten </w:t>
      </w:r>
      <w:r>
        <w:rPr>
          <w:rStyle w:val="markedcontent"/>
          <w:rFonts w:ascii="Times New Roman" w:hAnsi="Times New Roman"/>
          <w:sz w:val="24"/>
          <w:szCs w:val="24"/>
        </w:rPr>
        <w:t>‘</w:t>
      </w:r>
      <w:r w:rsidRPr="001F43B5">
        <w:rPr>
          <w:rStyle w:val="markedcontent"/>
          <w:rFonts w:ascii="Times New Roman" w:hAnsi="Times New Roman"/>
          <w:sz w:val="24"/>
          <w:szCs w:val="24"/>
        </w:rPr>
        <w:t>essence</w:t>
      </w:r>
      <w:r>
        <w:rPr>
          <w:rStyle w:val="markedcontent"/>
          <w:rFonts w:ascii="Times New Roman" w:hAnsi="Times New Roman"/>
          <w:sz w:val="24"/>
          <w:szCs w:val="24"/>
        </w:rPr>
        <w:t xml:space="preserve">’ </w:t>
      </w:r>
      <w:r w:rsidRPr="001F43B5">
        <w:rPr>
          <w:rStyle w:val="markedcontent"/>
          <w:rFonts w:ascii="Times New Roman" w:hAnsi="Times New Roman"/>
          <w:sz w:val="24"/>
          <w:szCs w:val="24"/>
        </w:rPr>
        <w:t>of the City’s LBFO</w:t>
      </w:r>
      <w:r>
        <w:rPr>
          <w:rStyle w:val="markedcontent"/>
          <w:rFonts w:ascii="Times New Roman" w:hAnsi="Times New Roman"/>
          <w:sz w:val="24"/>
          <w:szCs w:val="24"/>
        </w:rPr>
        <w:t xml:space="preserve"> [Last Best Final Offer]….</w:t>
      </w:r>
      <w:r w:rsidRPr="001F43B5">
        <w:rPr>
          <w:rStyle w:val="markedcontent"/>
          <w:rFonts w:ascii="Times New Roman" w:hAnsi="Times New Roman"/>
          <w:sz w:val="24"/>
          <w:szCs w:val="24"/>
        </w:rPr>
        <w:t>The PERB’s affirmance of the BIA Decision therefore constituted an error as a matter of law. For the foregoing reasons, the PERB’s decision affirming the BIA Decision is hereby reversed. The parties’ dispute is remanded to the PERB for further proceedings consistent with this Order.</w:t>
      </w:r>
      <w:r>
        <w:rPr>
          <w:rStyle w:val="markedcontent"/>
          <w:rFonts w:ascii="Times New Roman" w:hAnsi="Times New Roman"/>
          <w:sz w:val="24"/>
          <w:szCs w:val="24"/>
        </w:rPr>
        <w:t xml:space="preserve">” </w:t>
      </w:r>
      <w:hyperlink r:id="rId2970" w:history="1">
        <w:r w:rsidRPr="002F4BDF">
          <w:rPr>
            <w:rStyle w:val="Hyperlink"/>
            <w:sz w:val="24"/>
            <w:szCs w:val="24"/>
          </w:rPr>
          <w:t>https://perb.delaware.gov/wp-content/uploads/sites/127/2021/07/2020-0765-Order-of-reversal-and-remand-6-28-21-website.pdf</w:t>
        </w:r>
      </w:hyperlink>
    </w:p>
    <w:p w14:paraId="709717EC" w14:textId="6F7D9BB6" w:rsidR="005217D5" w:rsidRDefault="005217D5" w:rsidP="005217D5">
      <w:pPr>
        <w:pStyle w:val="NoSpacing"/>
        <w:ind w:left="720"/>
        <w:rPr>
          <w:rStyle w:val="Hyperlink"/>
          <w:sz w:val="24"/>
          <w:szCs w:val="24"/>
        </w:rPr>
      </w:pPr>
    </w:p>
    <w:p w14:paraId="5CE17FE6" w14:textId="77777777" w:rsidR="005217D5" w:rsidRPr="00C4258E" w:rsidRDefault="005217D5" w:rsidP="005217D5">
      <w:pPr>
        <w:rPr>
          <w:rStyle w:val="markedcontent"/>
          <w:rFonts w:ascii="Times New Roman" w:hAnsi="Times New Roman"/>
          <w:b/>
          <w:bCs/>
          <w:sz w:val="24"/>
          <w:szCs w:val="24"/>
        </w:rPr>
      </w:pPr>
      <w:r w:rsidRPr="00C4258E">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Collective Bargaining Agreements should contain clear and precise language on work schedule, Kelly Days, and minimum manning.</w:t>
      </w:r>
    </w:p>
    <w:p w14:paraId="51F472F8" w14:textId="77777777" w:rsidR="005217D5" w:rsidRPr="00C4258E" w:rsidRDefault="005217D5" w:rsidP="005217D5">
      <w:pPr>
        <w:pStyle w:val="Heading1"/>
        <w:ind w:left="720"/>
        <w:rPr>
          <w:b w:val="0"/>
          <w:bCs w:val="0"/>
          <w:sz w:val="24"/>
          <w:szCs w:val="24"/>
        </w:rPr>
      </w:pPr>
      <w:r w:rsidRPr="00EA0A4B">
        <w:rPr>
          <w:rStyle w:val="markedcontent"/>
          <w:b w:val="0"/>
          <w:bCs w:val="0"/>
          <w:sz w:val="24"/>
          <w:szCs w:val="24"/>
        </w:rPr>
        <w:t xml:space="preserve">Note: See June 30, </w:t>
      </w:r>
      <w:proofErr w:type="gramStart"/>
      <w:r w:rsidRPr="00EA0A4B">
        <w:rPr>
          <w:rStyle w:val="markedcontent"/>
          <w:b w:val="0"/>
          <w:bCs w:val="0"/>
          <w:sz w:val="24"/>
          <w:szCs w:val="24"/>
        </w:rPr>
        <w:t>2021</w:t>
      </w:r>
      <w:proofErr w:type="gramEnd"/>
      <w:r w:rsidRPr="00EA0A4B">
        <w:rPr>
          <w:rStyle w:val="markedcontent"/>
          <w:b w:val="0"/>
          <w:bCs w:val="0"/>
          <w:sz w:val="24"/>
          <w:szCs w:val="24"/>
        </w:rPr>
        <w:t xml:space="preserve"> article:</w:t>
      </w:r>
      <w:r>
        <w:rPr>
          <w:rStyle w:val="markedcontent"/>
          <w:sz w:val="24"/>
          <w:szCs w:val="24"/>
        </w:rPr>
        <w:t xml:space="preserve"> “</w:t>
      </w:r>
      <w:r w:rsidRPr="00C4258E">
        <w:rPr>
          <w:b w:val="0"/>
          <w:bCs w:val="0"/>
          <w:sz w:val="24"/>
          <w:szCs w:val="24"/>
        </w:rPr>
        <w:t>Wilmington firefighters union wins Chancery Court appeal in battle over shift change</w:t>
      </w:r>
      <w:r>
        <w:rPr>
          <w:b w:val="0"/>
          <w:bCs w:val="0"/>
          <w:sz w:val="24"/>
          <w:szCs w:val="24"/>
        </w:rPr>
        <w:t xml:space="preserve">.” </w:t>
      </w:r>
      <w:hyperlink r:id="rId2971" w:history="1">
        <w:r w:rsidRPr="00DB7C29">
          <w:rPr>
            <w:rStyle w:val="Hyperlink"/>
            <w:sz w:val="24"/>
            <w:szCs w:val="24"/>
          </w:rPr>
          <w:t>https://www.wdel.com/news/wilmington-firefighters-union-wins-chancery-court-appeal-in-battle-over-shift-change/article_9402edda-d9b1-11eb-909c-07bcb0bff090.html</w:t>
        </w:r>
      </w:hyperlink>
      <w:r w:rsidRPr="00DB7C29">
        <w:rPr>
          <w:b w:val="0"/>
          <w:bCs w:val="0"/>
          <w:sz w:val="24"/>
          <w:szCs w:val="24"/>
        </w:rPr>
        <w:t xml:space="preserve">  </w:t>
      </w:r>
    </w:p>
    <w:p w14:paraId="29EB7AD2" w14:textId="77777777" w:rsidR="005217D5" w:rsidRPr="005217D5" w:rsidRDefault="005217D5" w:rsidP="005217D5">
      <w:pPr>
        <w:pStyle w:val="Heading2"/>
        <w:ind w:left="720"/>
        <w:rPr>
          <w:rFonts w:ascii="Times New Roman" w:hAnsi="Times New Roman"/>
          <w:b w:val="0"/>
          <w:bCs w:val="0"/>
          <w:i w:val="0"/>
          <w:iCs w:val="0"/>
          <w:sz w:val="24"/>
          <w:szCs w:val="24"/>
        </w:rPr>
      </w:pPr>
      <w:r w:rsidRPr="005217D5">
        <w:rPr>
          <w:rStyle w:val="markedcontent"/>
          <w:rFonts w:ascii="Times New Roman" w:hAnsi="Times New Roman"/>
          <w:b w:val="0"/>
          <w:bCs w:val="0"/>
          <w:i w:val="0"/>
          <w:iCs w:val="0"/>
          <w:sz w:val="24"/>
          <w:szCs w:val="24"/>
        </w:rPr>
        <w:t xml:space="preserve">July 2, </w:t>
      </w:r>
      <w:proofErr w:type="gramStart"/>
      <w:r w:rsidRPr="005217D5">
        <w:rPr>
          <w:rStyle w:val="markedcontent"/>
          <w:rFonts w:ascii="Times New Roman" w:hAnsi="Times New Roman"/>
          <w:b w:val="0"/>
          <w:bCs w:val="0"/>
          <w:i w:val="0"/>
          <w:iCs w:val="0"/>
          <w:sz w:val="24"/>
          <w:szCs w:val="24"/>
        </w:rPr>
        <w:t>2021</w:t>
      </w:r>
      <w:proofErr w:type="gramEnd"/>
      <w:r w:rsidRPr="005217D5">
        <w:rPr>
          <w:rStyle w:val="markedcontent"/>
          <w:rFonts w:ascii="Times New Roman" w:hAnsi="Times New Roman"/>
          <w:b w:val="0"/>
          <w:bCs w:val="0"/>
          <w:i w:val="0"/>
          <w:iCs w:val="0"/>
          <w:sz w:val="24"/>
          <w:szCs w:val="24"/>
        </w:rPr>
        <w:t xml:space="preserve"> article: “</w:t>
      </w:r>
      <w:r w:rsidRPr="005217D5">
        <w:rPr>
          <w:rFonts w:ascii="Times New Roman" w:hAnsi="Times New Roman"/>
          <w:b w:val="0"/>
          <w:bCs w:val="0"/>
          <w:i w:val="0"/>
          <w:iCs w:val="0"/>
          <w:sz w:val="24"/>
          <w:szCs w:val="24"/>
        </w:rPr>
        <w:t xml:space="preserve">Wilmington firefighters union wins Chancery Court appeal in battle over shift change.” </w:t>
      </w:r>
      <w:hyperlink r:id="rId2972" w:history="1">
        <w:r w:rsidRPr="005217D5">
          <w:rPr>
            <w:rStyle w:val="Hyperlink"/>
            <w:rFonts w:ascii="Times New Roman" w:hAnsi="Times New Roman"/>
            <w:b w:val="0"/>
            <w:bCs w:val="0"/>
            <w:i w:val="0"/>
            <w:iCs w:val="0"/>
            <w:sz w:val="24"/>
            <w:szCs w:val="24"/>
          </w:rPr>
          <w:t>https://www.dailydispatch.com/StateNews/DE/2021/July/02/Wilmington.firefighters.union.wins.Chancery.Court.appeal.in.battle.over.shift.change.aspx</w:t>
        </w:r>
      </w:hyperlink>
      <w:r w:rsidRPr="005217D5">
        <w:rPr>
          <w:rFonts w:ascii="Times New Roman" w:hAnsi="Times New Roman"/>
          <w:b w:val="0"/>
          <w:bCs w:val="0"/>
          <w:i w:val="0"/>
          <w:iCs w:val="0"/>
          <w:sz w:val="24"/>
          <w:szCs w:val="24"/>
        </w:rPr>
        <w:t xml:space="preserve"> </w:t>
      </w:r>
    </w:p>
    <w:p w14:paraId="40CB935F" w14:textId="77777777" w:rsidR="005217D5" w:rsidRPr="005217D5" w:rsidRDefault="005217D5" w:rsidP="005217D5">
      <w:pPr>
        <w:pStyle w:val="NoSpacing"/>
        <w:ind w:left="720"/>
        <w:rPr>
          <w:rFonts w:ascii="Times New Roman" w:hAnsi="Times New Roman"/>
          <w:sz w:val="24"/>
          <w:szCs w:val="24"/>
        </w:rPr>
      </w:pPr>
    </w:p>
    <w:p w14:paraId="0F2C13C1" w14:textId="77777777" w:rsidR="005217D5" w:rsidRPr="005217D5" w:rsidRDefault="005217D5" w:rsidP="00F326E5">
      <w:pPr>
        <w:pStyle w:val="NoSpacing"/>
        <w:rPr>
          <w:rFonts w:ascii="Times New Roman" w:hAnsi="Times New Roman"/>
          <w:sz w:val="24"/>
          <w:szCs w:val="24"/>
        </w:rPr>
      </w:pPr>
    </w:p>
    <w:p w14:paraId="28341132" w14:textId="24F2BC3C" w:rsidR="00407100" w:rsidRDefault="007B49E7" w:rsidP="00F326E5">
      <w:pPr>
        <w:pStyle w:val="NoSpacing"/>
        <w:rPr>
          <w:rFonts w:ascii="Arial Black" w:hAnsi="Arial Black"/>
          <w:sz w:val="24"/>
          <w:szCs w:val="24"/>
        </w:rPr>
      </w:pPr>
      <w:r>
        <w:rPr>
          <w:rFonts w:ascii="Arial Black" w:hAnsi="Arial Black"/>
          <w:sz w:val="24"/>
          <w:szCs w:val="24"/>
        </w:rPr>
        <w:t>17-7</w:t>
      </w:r>
    </w:p>
    <w:p w14:paraId="162A1E60" w14:textId="68DC14DA" w:rsidR="007B49E7" w:rsidRDefault="007B49E7" w:rsidP="00F326E5">
      <w:pPr>
        <w:pStyle w:val="NoSpacing"/>
        <w:rPr>
          <w:rFonts w:ascii="Arial Black" w:hAnsi="Arial Black"/>
          <w:sz w:val="24"/>
          <w:szCs w:val="24"/>
        </w:rPr>
      </w:pPr>
    </w:p>
    <w:p w14:paraId="78F363C8" w14:textId="119764C9" w:rsidR="007B49E7" w:rsidRDefault="007B49E7" w:rsidP="007B49E7">
      <w:pPr>
        <w:rPr>
          <w:rFonts w:ascii="Arial Black" w:hAnsi="Arial Black"/>
          <w:sz w:val="28"/>
          <w:szCs w:val="28"/>
        </w:rPr>
      </w:pPr>
      <w:r>
        <w:rPr>
          <w:rFonts w:ascii="Arial Black" w:hAnsi="Arial Black"/>
          <w:sz w:val="28"/>
          <w:szCs w:val="28"/>
        </w:rPr>
        <w:t>IL: MASTERBATING FF - PUBLIC AREA OUTSIDE FIRE STATION – ARBITRATOR REVERSED - TERMINATION UPHELD</w:t>
      </w:r>
    </w:p>
    <w:p w14:paraId="2C47EBAA" w14:textId="77777777" w:rsidR="007B49E7" w:rsidRDefault="007B49E7" w:rsidP="007B49E7">
      <w:pPr>
        <w:rPr>
          <w:rFonts w:ascii="Times New Roman" w:hAnsi="Times New Roman"/>
          <w:sz w:val="24"/>
          <w:szCs w:val="24"/>
        </w:rPr>
      </w:pPr>
      <w:r>
        <w:rPr>
          <w:rFonts w:ascii="Times New Roman" w:hAnsi="Times New Roman"/>
          <w:sz w:val="24"/>
          <w:szCs w:val="24"/>
        </w:rPr>
        <w:t xml:space="preserve">On Oct. 2, 2020, in </w:t>
      </w:r>
      <w:r w:rsidRPr="00E3069C">
        <w:rPr>
          <w:rFonts w:ascii="Times New Roman" w:hAnsi="Times New Roman"/>
          <w:sz w:val="24"/>
          <w:szCs w:val="24"/>
          <w:u w:val="single"/>
        </w:rPr>
        <w:t>City of Chicago v. Chicago Fire Fighters Union, Local No. 2, and James Gray</w:t>
      </w:r>
      <w:r>
        <w:rPr>
          <w:rFonts w:ascii="Times New Roman" w:hAnsi="Times New Roman"/>
          <w:sz w:val="24"/>
          <w:szCs w:val="24"/>
        </w:rPr>
        <w:t xml:space="preserve">, Judge Celia Gamrath, Circuit Court of Cook County, Illinois (Chancery Division), granted the City’s motion to vacate the Arbitrator’s decision to reinstate the firefighter.  </w:t>
      </w:r>
    </w:p>
    <w:p w14:paraId="5E28A3E9" w14:textId="77777777" w:rsidR="007B49E7" w:rsidRDefault="007B49E7" w:rsidP="007B49E7">
      <w:pPr>
        <w:ind w:left="720"/>
        <w:rPr>
          <w:bCs/>
        </w:rPr>
      </w:pPr>
      <w:r>
        <w:rPr>
          <w:rFonts w:ascii="Times New Roman" w:hAnsi="Times New Roman"/>
          <w:sz w:val="24"/>
          <w:szCs w:val="24"/>
        </w:rPr>
        <w:t>“</w:t>
      </w:r>
      <w:r w:rsidRPr="00E3069C">
        <w:rPr>
          <w:rFonts w:ascii="Times New Roman" w:hAnsi="Times New Roman"/>
          <w:sz w:val="24"/>
          <w:szCs w:val="24"/>
        </w:rPr>
        <w:t xml:space="preserve">Ultimately, this Court is charged with determining whether (1) there is a public policy against sexual harassment in the workplace, and (2) whether </w:t>
      </w:r>
      <w:r>
        <w:rPr>
          <w:rFonts w:ascii="Times New Roman" w:hAnsi="Times New Roman"/>
          <w:sz w:val="24"/>
          <w:szCs w:val="24"/>
        </w:rPr>
        <w:t xml:space="preserve">[Arbitrator] </w:t>
      </w:r>
      <w:proofErr w:type="spellStart"/>
      <w:r w:rsidRPr="00E3069C">
        <w:rPr>
          <w:rFonts w:ascii="Times New Roman" w:hAnsi="Times New Roman"/>
          <w:sz w:val="24"/>
          <w:szCs w:val="24"/>
        </w:rPr>
        <w:t>Roumell's</w:t>
      </w:r>
      <w:proofErr w:type="spellEnd"/>
      <w:r w:rsidRPr="00E3069C">
        <w:rPr>
          <w:rFonts w:ascii="Times New Roman" w:hAnsi="Times New Roman"/>
          <w:sz w:val="24"/>
          <w:szCs w:val="24"/>
        </w:rPr>
        <w:t xml:space="preserve"> Award and Supplemental Award violated said public policy by mandating the reinstatement of an employee who, by the arbitrator's o\ m findings, engaged in viewing pornography, exposed himself, and masturbated while at work, capable of being seen by passersby.</w:t>
      </w:r>
      <w:r>
        <w:rPr>
          <w:rFonts w:ascii="Times New Roman" w:hAnsi="Times New Roman"/>
          <w:sz w:val="24"/>
          <w:szCs w:val="24"/>
        </w:rPr>
        <w:t xml:space="preserve"> </w:t>
      </w:r>
      <w:r w:rsidRPr="00E3069C">
        <w:rPr>
          <w:rFonts w:ascii="Times New Roman" w:hAnsi="Times New Roman"/>
          <w:sz w:val="24"/>
          <w:szCs w:val="24"/>
        </w:rPr>
        <w:t xml:space="preserve">Despite </w:t>
      </w:r>
      <w:proofErr w:type="spellStart"/>
      <w:r w:rsidRPr="00E3069C">
        <w:rPr>
          <w:rFonts w:ascii="Times New Roman" w:hAnsi="Times New Roman"/>
          <w:sz w:val="24"/>
          <w:szCs w:val="24"/>
        </w:rPr>
        <w:t>Roumell's</w:t>
      </w:r>
      <w:proofErr w:type="spellEnd"/>
      <w:r w:rsidRPr="00E3069C">
        <w:rPr>
          <w:rFonts w:ascii="Times New Roman" w:hAnsi="Times New Roman"/>
          <w:sz w:val="24"/>
          <w:szCs w:val="24"/>
        </w:rPr>
        <w:t xml:space="preserve"> reliance on the Dr. O'Grady letter as demonstrative of the unlikelihood that Gray would repeat this behavior again, the fact of the matter is that Gray's actions, spanning years, were acts of sexual harassment that alienated his coworkers and created a hostile work environment. The arbitrator's decision to essentially impose no discipline and to reinstate Gray with full seniority is incongruous with the dominant public policy against sexual harassment in the workp</w:t>
      </w:r>
      <w:r>
        <w:rPr>
          <w:rFonts w:ascii="Times New Roman" w:hAnsi="Times New Roman"/>
          <w:sz w:val="24"/>
          <w:szCs w:val="24"/>
        </w:rPr>
        <w:t>l</w:t>
      </w:r>
      <w:r w:rsidRPr="00E3069C">
        <w:rPr>
          <w:rFonts w:ascii="Times New Roman" w:hAnsi="Times New Roman"/>
          <w:sz w:val="24"/>
          <w:szCs w:val="24"/>
        </w:rPr>
        <w:t>ace. It also has the impermissible effect of eviscerating the City's ability to take appropriate actions to enforce this clear and dominant public policy and prevent and discourage future acts of harassment.</w:t>
      </w:r>
      <w:r>
        <w:rPr>
          <w:rFonts w:ascii="Times New Roman" w:hAnsi="Times New Roman"/>
          <w:sz w:val="24"/>
          <w:szCs w:val="24"/>
        </w:rPr>
        <w:t xml:space="preserve">” </w:t>
      </w:r>
    </w:p>
    <w:p w14:paraId="5825029A" w14:textId="77777777" w:rsidR="007B49E7" w:rsidRPr="004267A1" w:rsidRDefault="007B49E7" w:rsidP="007B49E7">
      <w:pPr>
        <w:pStyle w:val="NormalWeb"/>
        <w:jc w:val="center"/>
        <w:rPr>
          <w:bCs/>
        </w:rPr>
      </w:pPr>
      <w:hyperlink r:id="rId2973" w:history="1">
        <w:r w:rsidRPr="00E10E69">
          <w:rPr>
            <w:rStyle w:val="Hyperlink"/>
            <w:bCs/>
          </w:rPr>
          <w:t>file:///C:/Users/lawre/AppData/Local/Temp/%7BC42BFBAC-7840-4BDD-BFF7-18D383BA9C81%7D/19%20CH%2012662%20City%20of%20Chicago%20v.%20Chicago%20Fire%20Fighters%20Union%20Final%20Order%20(12.2.20).pdf</w:t>
        </w:r>
      </w:hyperlink>
      <w:r w:rsidRPr="004267A1">
        <w:rPr>
          <w:bCs/>
        </w:rPr>
        <w:t xml:space="preserve"> </w:t>
      </w:r>
    </w:p>
    <w:p w14:paraId="1EE1A96F" w14:textId="77777777" w:rsidR="007B49E7" w:rsidRPr="00FA5981" w:rsidRDefault="007B49E7" w:rsidP="007B49E7">
      <w:pPr>
        <w:pStyle w:val="NormalWeb"/>
        <w:rPr>
          <w:b/>
        </w:rPr>
      </w:pPr>
      <w:r w:rsidRPr="00FA5981">
        <w:rPr>
          <w:b/>
        </w:rPr>
        <w:t>Legal Lesson Learned:</w:t>
      </w:r>
      <w:r>
        <w:rPr>
          <w:b/>
        </w:rPr>
        <w:t xml:space="preserve"> Report this type of conduct immediately; urge FF to seek help through EAP or other psychological care. </w:t>
      </w:r>
    </w:p>
    <w:p w14:paraId="5E18D013" w14:textId="77777777" w:rsidR="007B49E7" w:rsidRDefault="007B49E7" w:rsidP="00F326E5">
      <w:pPr>
        <w:pStyle w:val="NoSpacing"/>
        <w:rPr>
          <w:rFonts w:ascii="Arial Black" w:hAnsi="Arial Black"/>
          <w:sz w:val="24"/>
          <w:szCs w:val="24"/>
        </w:rPr>
      </w:pPr>
    </w:p>
    <w:p w14:paraId="2A4EA7CF" w14:textId="77777777" w:rsidR="007B49E7" w:rsidRDefault="007B49E7" w:rsidP="00F326E5">
      <w:pPr>
        <w:pStyle w:val="NoSpacing"/>
        <w:rPr>
          <w:rFonts w:ascii="Arial Black" w:hAnsi="Arial Black"/>
          <w:sz w:val="24"/>
          <w:szCs w:val="24"/>
        </w:rPr>
      </w:pPr>
    </w:p>
    <w:p w14:paraId="5E1EDF12" w14:textId="77777777" w:rsidR="007B49E7" w:rsidRDefault="007B49E7" w:rsidP="00F326E5">
      <w:pPr>
        <w:pStyle w:val="NoSpacing"/>
        <w:rPr>
          <w:rFonts w:ascii="Arial Black" w:hAnsi="Arial Black"/>
          <w:sz w:val="24"/>
          <w:szCs w:val="24"/>
        </w:rPr>
      </w:pPr>
    </w:p>
    <w:p w14:paraId="70AF7EB3" w14:textId="26888339" w:rsidR="00B532F6" w:rsidRDefault="00B532F6" w:rsidP="00F326E5">
      <w:pPr>
        <w:pStyle w:val="NoSpacing"/>
        <w:rPr>
          <w:rFonts w:ascii="Arial Black" w:hAnsi="Arial Black"/>
          <w:sz w:val="24"/>
          <w:szCs w:val="24"/>
        </w:rPr>
      </w:pPr>
      <w:r>
        <w:rPr>
          <w:rFonts w:ascii="Arial Black" w:hAnsi="Arial Black"/>
          <w:sz w:val="24"/>
          <w:szCs w:val="24"/>
        </w:rPr>
        <w:t>17-6</w:t>
      </w:r>
    </w:p>
    <w:p w14:paraId="5E639729" w14:textId="2DAAEE6A" w:rsidR="00B532F6" w:rsidRDefault="00B532F6" w:rsidP="00F326E5">
      <w:pPr>
        <w:pStyle w:val="NoSpacing"/>
        <w:rPr>
          <w:rFonts w:ascii="Arial Black" w:hAnsi="Arial Black"/>
          <w:sz w:val="24"/>
          <w:szCs w:val="24"/>
        </w:rPr>
      </w:pPr>
    </w:p>
    <w:p w14:paraId="56E7774E" w14:textId="77777777" w:rsidR="00B532F6" w:rsidRPr="006E50D9" w:rsidRDefault="00B532F6" w:rsidP="00B532F6">
      <w:pPr>
        <w:rPr>
          <w:rFonts w:ascii="Arial Black" w:hAnsi="Arial Black"/>
          <w:sz w:val="28"/>
          <w:szCs w:val="28"/>
        </w:rPr>
      </w:pPr>
      <w:r w:rsidRPr="006E50D9">
        <w:rPr>
          <w:rFonts w:ascii="Arial Black" w:hAnsi="Arial Black"/>
          <w:sz w:val="28"/>
          <w:szCs w:val="28"/>
        </w:rPr>
        <w:t>OR: $25M BUDGET SHORTFALL – UNION PRES. AGREED TO STAFFING, CHANGES - 26 FF JOBS SAVED – UNFAIR LABOR CHARGE DISMISSED</w:t>
      </w:r>
    </w:p>
    <w:p w14:paraId="08D8D43D" w14:textId="77777777" w:rsidR="00B532F6" w:rsidRPr="000B00E6" w:rsidRDefault="00B532F6" w:rsidP="00B532F6">
      <w:pPr>
        <w:pStyle w:val="NoSpacing"/>
        <w:rPr>
          <w:rFonts w:ascii="Times New Roman" w:hAnsi="Times New Roman"/>
          <w:sz w:val="24"/>
          <w:szCs w:val="24"/>
        </w:rPr>
      </w:pPr>
      <w:r>
        <w:rPr>
          <w:rFonts w:ascii="Times New Roman" w:hAnsi="Times New Roman"/>
          <w:sz w:val="24"/>
          <w:szCs w:val="24"/>
        </w:rPr>
        <w:t xml:space="preserve">On Sept. 24, 2020, in </w:t>
      </w:r>
      <w:r w:rsidRPr="00323A71">
        <w:rPr>
          <w:rFonts w:ascii="Times New Roman" w:hAnsi="Times New Roman"/>
          <w:sz w:val="24"/>
          <w:szCs w:val="24"/>
          <w:u w:val="single"/>
        </w:rPr>
        <w:t>Portland Fire Firefighters’ Association, IAFF Local 43 v. City of Portland</w:t>
      </w:r>
      <w:r>
        <w:rPr>
          <w:rFonts w:ascii="Times New Roman" w:hAnsi="Times New Roman"/>
          <w:sz w:val="24"/>
          <w:szCs w:val="24"/>
        </w:rPr>
        <w:t xml:space="preserve">, the Employment Relations Board of the State of Oregon, held that union is bound by its agreement not to file contest to budget cuts and eliminating Dive Team, transferring Safety Chief and Chief Investigator to management positions, and other management changes. </w:t>
      </w:r>
      <w:r w:rsidRPr="000B00E6">
        <w:rPr>
          <w:rFonts w:ascii="Times New Roman" w:hAnsi="Times New Roman"/>
          <w:sz w:val="24"/>
          <w:szCs w:val="24"/>
        </w:rPr>
        <w:t xml:space="preserve">The </w:t>
      </w:r>
      <w:r>
        <w:rPr>
          <w:rFonts w:ascii="Times New Roman" w:hAnsi="Times New Roman"/>
          <w:sz w:val="24"/>
          <w:szCs w:val="24"/>
        </w:rPr>
        <w:t xml:space="preserve">FD </w:t>
      </w:r>
      <w:r w:rsidRPr="000B00E6">
        <w:rPr>
          <w:rFonts w:ascii="Times New Roman" w:hAnsi="Times New Roman"/>
          <w:sz w:val="24"/>
          <w:szCs w:val="24"/>
        </w:rPr>
        <w:t xml:space="preserve">developed its proposed budget through a budgetary advisory committee (BAC). The Union's president, </w:t>
      </w:r>
      <w:r>
        <w:rPr>
          <w:rFonts w:ascii="Times New Roman" w:hAnsi="Times New Roman"/>
          <w:sz w:val="24"/>
          <w:szCs w:val="24"/>
        </w:rPr>
        <w:t xml:space="preserve">Alan </w:t>
      </w:r>
      <w:r w:rsidRPr="000B00E6">
        <w:rPr>
          <w:rFonts w:ascii="Times New Roman" w:hAnsi="Times New Roman"/>
          <w:sz w:val="24"/>
          <w:szCs w:val="24"/>
        </w:rPr>
        <w:t>Ferschweiler, served on the BAC.</w:t>
      </w:r>
      <w:r>
        <w:rPr>
          <w:rFonts w:ascii="Times New Roman" w:hAnsi="Times New Roman"/>
          <w:sz w:val="24"/>
          <w:szCs w:val="24"/>
        </w:rPr>
        <w:t xml:space="preserve"> </w:t>
      </w:r>
      <w:r w:rsidRPr="000B00E6">
        <w:rPr>
          <w:rFonts w:ascii="Times New Roman" w:hAnsi="Times New Roman"/>
          <w:sz w:val="24"/>
          <w:szCs w:val="24"/>
        </w:rPr>
        <w:t xml:space="preserve">Between May 9 and approximately May 23, </w:t>
      </w:r>
      <w:proofErr w:type="gramStart"/>
      <w:r>
        <w:rPr>
          <w:rFonts w:ascii="Times New Roman" w:hAnsi="Times New Roman"/>
          <w:sz w:val="24"/>
          <w:szCs w:val="24"/>
        </w:rPr>
        <w:t>2013</w:t>
      </w:r>
      <w:proofErr w:type="gramEnd"/>
      <w:r>
        <w:rPr>
          <w:rFonts w:ascii="Times New Roman" w:hAnsi="Times New Roman"/>
          <w:sz w:val="24"/>
          <w:szCs w:val="24"/>
        </w:rPr>
        <w:t xml:space="preserve"> </w:t>
      </w:r>
      <w:r w:rsidRPr="000B00E6">
        <w:rPr>
          <w:rFonts w:ascii="Times New Roman" w:hAnsi="Times New Roman"/>
          <w:sz w:val="24"/>
          <w:szCs w:val="24"/>
        </w:rPr>
        <w:t>Ferschweiler met three times with Siegel, the mayor's budget liaison, to discuss and negotiate how the Bureau would implement the budget cuts, including consideration of the availability of a federal grant (the SAFER grant) that might fill budget gaps. Fire Chief Janssens attended one of those meetings.</w:t>
      </w:r>
    </w:p>
    <w:p w14:paraId="0152E707" w14:textId="77777777" w:rsidR="00B532F6" w:rsidRDefault="00B532F6" w:rsidP="00B532F6">
      <w:pPr>
        <w:pStyle w:val="NoSpacing"/>
        <w:rPr>
          <w:rFonts w:ascii="Times New Roman" w:hAnsi="Times New Roman"/>
          <w:sz w:val="24"/>
          <w:szCs w:val="24"/>
        </w:rPr>
      </w:pPr>
    </w:p>
    <w:p w14:paraId="6475BA3A"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r w:rsidRPr="006B1711">
        <w:rPr>
          <w:rFonts w:ascii="Times New Roman" w:hAnsi="Times New Roman"/>
          <w:sz w:val="24"/>
          <w:szCs w:val="24"/>
        </w:rPr>
        <w:t xml:space="preserve">Thus, the City and the Union agreed to the following terms: (1) two double companies would be consolidated into single companies with each station's truck and engine being replaced with a quint; (2) two additional RRVs </w:t>
      </w:r>
      <w:r>
        <w:rPr>
          <w:rFonts w:ascii="Times New Roman" w:hAnsi="Times New Roman"/>
          <w:sz w:val="24"/>
          <w:szCs w:val="24"/>
        </w:rPr>
        <w:t xml:space="preserve">[Rapid Response Vehicles] </w:t>
      </w:r>
      <w:r w:rsidRPr="006B1711">
        <w:rPr>
          <w:rFonts w:ascii="Times New Roman" w:hAnsi="Times New Roman"/>
          <w:sz w:val="24"/>
          <w:szCs w:val="24"/>
        </w:rPr>
        <w:t>would be added (for a total of four); (3) the Union would not oppose or contest these changes; (4) the bargaining unit members would retain their COLA; (5) all stations would be kept open; and (6) the City would apply for the SAFER grant, notwithstanding the mayor's earlier concern that a short-term funding mechanism was merely a "band-aid," with the understanding that receiving the grant would prevent 26 bargaining unit members from being laid off.</w:t>
      </w:r>
    </w:p>
    <w:p w14:paraId="1376363D" w14:textId="77777777" w:rsidR="00B532F6" w:rsidRDefault="00B532F6" w:rsidP="00B532F6">
      <w:pPr>
        <w:pStyle w:val="NoSpacing"/>
        <w:ind w:left="720"/>
        <w:rPr>
          <w:rFonts w:ascii="Times New Roman" w:hAnsi="Times New Roman"/>
          <w:sz w:val="24"/>
          <w:szCs w:val="24"/>
        </w:rPr>
      </w:pPr>
    </w:p>
    <w:p w14:paraId="390B8812"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p>
    <w:p w14:paraId="0A6FE013" w14:textId="77777777" w:rsidR="00B532F6" w:rsidRDefault="00B532F6" w:rsidP="00B532F6">
      <w:pPr>
        <w:pStyle w:val="NoSpacing"/>
        <w:ind w:left="720"/>
        <w:rPr>
          <w:rFonts w:ascii="Times New Roman" w:hAnsi="Times New Roman"/>
          <w:sz w:val="24"/>
          <w:szCs w:val="24"/>
        </w:rPr>
      </w:pPr>
    </w:p>
    <w:p w14:paraId="00F401F6" w14:textId="77777777" w:rsidR="00B532F6" w:rsidRDefault="00B532F6" w:rsidP="00B532F6">
      <w:pPr>
        <w:pStyle w:val="NoSpacing"/>
        <w:ind w:left="720"/>
        <w:rPr>
          <w:rFonts w:ascii="Times New Roman" w:hAnsi="Times New Roman"/>
          <w:sz w:val="24"/>
          <w:szCs w:val="24"/>
        </w:rPr>
      </w:pPr>
      <w:r w:rsidRPr="006B1711">
        <w:rPr>
          <w:rFonts w:ascii="Times New Roman" w:hAnsi="Times New Roman"/>
          <w:sz w:val="24"/>
          <w:szCs w:val="24"/>
        </w:rPr>
        <w:t>The Union never requested to bargain about any of the operational changes agreed to above, which are also the subject of this unfair labor practice complaint.</w:t>
      </w:r>
    </w:p>
    <w:p w14:paraId="2BFBF1AA" w14:textId="77777777" w:rsidR="00B532F6" w:rsidRDefault="00B532F6" w:rsidP="00B532F6">
      <w:pPr>
        <w:pStyle w:val="NoSpacing"/>
        <w:ind w:left="720"/>
        <w:rPr>
          <w:rFonts w:ascii="Times New Roman" w:hAnsi="Times New Roman"/>
          <w:sz w:val="24"/>
          <w:szCs w:val="24"/>
        </w:rPr>
      </w:pPr>
    </w:p>
    <w:p w14:paraId="7B72E28B"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p>
    <w:p w14:paraId="0169E766" w14:textId="77777777" w:rsidR="00B532F6" w:rsidRDefault="00B532F6" w:rsidP="00B532F6">
      <w:pPr>
        <w:pStyle w:val="NoSpacing"/>
        <w:ind w:left="720"/>
        <w:rPr>
          <w:rFonts w:ascii="Times New Roman" w:hAnsi="Times New Roman"/>
          <w:sz w:val="24"/>
          <w:szCs w:val="24"/>
        </w:rPr>
      </w:pPr>
      <w:r w:rsidRPr="006B1711">
        <w:rPr>
          <w:rFonts w:ascii="Times New Roman" w:hAnsi="Times New Roman"/>
          <w:sz w:val="24"/>
          <w:szCs w:val="24"/>
        </w:rPr>
        <w:t xml:space="preserve">Finally, we disagree with any contention that the Union should prevail on a (1)(e) unilateral change claim where the Union agreed not to contest those unilateral changes. Rather, as set forth above, we conclude that such an express action precludes the filing of </w:t>
      </w:r>
      <w:proofErr w:type="gramStart"/>
      <w:r w:rsidRPr="006B1711">
        <w:rPr>
          <w:rFonts w:ascii="Times New Roman" w:hAnsi="Times New Roman"/>
          <w:sz w:val="24"/>
          <w:szCs w:val="24"/>
        </w:rPr>
        <w:t>a (1)(e)</w:t>
      </w:r>
      <w:proofErr w:type="gramEnd"/>
      <w:r w:rsidRPr="006B1711">
        <w:rPr>
          <w:rFonts w:ascii="Times New Roman" w:hAnsi="Times New Roman"/>
          <w:sz w:val="24"/>
          <w:szCs w:val="24"/>
        </w:rPr>
        <w:t xml:space="preserve"> unilateral change claim. In reaching this conclusion, we reiterate that, unlike other budget discussions, the agreement here included a Union agreement not to contest the specific operational changes that are now the bases for the (1)(e) claim.</w:t>
      </w:r>
      <w:r>
        <w:rPr>
          <w:rFonts w:ascii="Times New Roman" w:hAnsi="Times New Roman"/>
          <w:sz w:val="24"/>
          <w:szCs w:val="24"/>
        </w:rPr>
        <w:t>”</w:t>
      </w:r>
    </w:p>
    <w:p w14:paraId="56DED758" w14:textId="77777777" w:rsidR="00B532F6" w:rsidRPr="00C7458A" w:rsidRDefault="00B532F6" w:rsidP="00B532F6">
      <w:pPr>
        <w:ind w:left="720"/>
        <w:rPr>
          <w:rFonts w:ascii="Times New Roman" w:eastAsia="Times New Roman" w:hAnsi="Times New Roman"/>
          <w:sz w:val="24"/>
          <w:szCs w:val="24"/>
        </w:rPr>
      </w:pPr>
      <w:hyperlink r:id="rId2974" w:history="1">
        <w:r w:rsidRPr="00C7458A">
          <w:rPr>
            <w:rStyle w:val="Hyperlink"/>
            <w:rFonts w:ascii="Times New Roman" w:eastAsia="Times New Roman" w:hAnsi="Times New Roman"/>
            <w:sz w:val="24"/>
            <w:szCs w:val="24"/>
          </w:rPr>
          <w:t>https://public.fastcase.com/Wl%2B2t%2BeVuI35%2FN70vAMFZl7A1gE73iKGMMI%2FPLrMqXgHwn%2FVp9h90PlANd5CkjNU</w:t>
        </w:r>
      </w:hyperlink>
      <w:r w:rsidRPr="00C7458A">
        <w:rPr>
          <w:rFonts w:ascii="Times New Roman" w:eastAsia="Times New Roman" w:hAnsi="Times New Roman"/>
          <w:sz w:val="24"/>
          <w:szCs w:val="24"/>
        </w:rPr>
        <w:t xml:space="preserve"> </w:t>
      </w:r>
    </w:p>
    <w:p w14:paraId="21F2E384" w14:textId="77777777" w:rsidR="00B532F6" w:rsidRPr="006B1711" w:rsidRDefault="00B532F6" w:rsidP="00B532F6">
      <w:pPr>
        <w:rPr>
          <w:rFonts w:ascii="Times New Roman" w:hAnsi="Times New Roman"/>
          <w:b/>
          <w:bCs/>
          <w:sz w:val="24"/>
          <w:szCs w:val="24"/>
        </w:rPr>
      </w:pPr>
      <w:r w:rsidRPr="006B1711">
        <w:rPr>
          <w:rFonts w:ascii="Times New Roman" w:hAnsi="Times New Roman"/>
          <w:b/>
          <w:bCs/>
          <w:sz w:val="24"/>
          <w:szCs w:val="24"/>
        </w:rPr>
        <w:t xml:space="preserve">Legal Lessons Learned: </w:t>
      </w:r>
      <w:r>
        <w:rPr>
          <w:rFonts w:ascii="Times New Roman" w:hAnsi="Times New Roman"/>
          <w:b/>
          <w:bCs/>
          <w:sz w:val="24"/>
          <w:szCs w:val="24"/>
        </w:rPr>
        <w:t xml:space="preserve"> Unfair Labor Practice complaint properly dismissed; Union President was active participant in budget process. </w:t>
      </w:r>
    </w:p>
    <w:p w14:paraId="11892F47" w14:textId="77777777" w:rsidR="00B532F6" w:rsidRDefault="00B532F6" w:rsidP="00F326E5">
      <w:pPr>
        <w:pStyle w:val="NoSpacing"/>
        <w:rPr>
          <w:rFonts w:ascii="Arial Black" w:hAnsi="Arial Black"/>
          <w:sz w:val="24"/>
          <w:szCs w:val="24"/>
        </w:rPr>
      </w:pPr>
    </w:p>
    <w:p w14:paraId="6DC91CF0" w14:textId="77777777" w:rsidR="00B532F6" w:rsidRDefault="00B532F6" w:rsidP="00F326E5">
      <w:pPr>
        <w:pStyle w:val="NoSpacing"/>
        <w:rPr>
          <w:rFonts w:ascii="Arial Black" w:hAnsi="Arial Black"/>
          <w:sz w:val="24"/>
          <w:szCs w:val="24"/>
        </w:rPr>
      </w:pPr>
    </w:p>
    <w:p w14:paraId="692E6A21" w14:textId="179C99E8" w:rsidR="0003275C" w:rsidRDefault="0003275C" w:rsidP="00F326E5">
      <w:pPr>
        <w:pStyle w:val="NoSpacing"/>
        <w:rPr>
          <w:rFonts w:ascii="Arial Black" w:hAnsi="Arial Black"/>
          <w:sz w:val="24"/>
          <w:szCs w:val="24"/>
        </w:rPr>
      </w:pPr>
      <w:r>
        <w:rPr>
          <w:rFonts w:ascii="Arial Black" w:hAnsi="Arial Black"/>
          <w:sz w:val="24"/>
          <w:szCs w:val="24"/>
        </w:rPr>
        <w:t>17-5</w:t>
      </w:r>
    </w:p>
    <w:p w14:paraId="196596E2" w14:textId="695A1246" w:rsidR="0003275C" w:rsidRDefault="0003275C" w:rsidP="00F326E5">
      <w:pPr>
        <w:pStyle w:val="NoSpacing"/>
        <w:rPr>
          <w:rFonts w:ascii="Arial Black" w:hAnsi="Arial Black"/>
          <w:sz w:val="24"/>
          <w:szCs w:val="24"/>
        </w:rPr>
      </w:pPr>
    </w:p>
    <w:p w14:paraId="105DF025" w14:textId="77777777" w:rsidR="0003275C" w:rsidRDefault="0003275C" w:rsidP="0003275C">
      <w:pPr>
        <w:pStyle w:val="NoSpacing"/>
        <w:rPr>
          <w:rFonts w:ascii="Arial Black" w:hAnsi="Arial Black"/>
          <w:sz w:val="28"/>
          <w:szCs w:val="28"/>
        </w:rPr>
      </w:pPr>
      <w:bookmarkStart w:id="634" w:name="_Hlk66950562"/>
      <w:r>
        <w:rPr>
          <w:rFonts w:ascii="Arial Black" w:hAnsi="Arial Black"/>
          <w:sz w:val="28"/>
          <w:szCs w:val="28"/>
        </w:rPr>
        <w:t>NJ</w:t>
      </w:r>
      <w:r w:rsidRPr="002E3EF7">
        <w:rPr>
          <w:rFonts w:ascii="Arial Black" w:hAnsi="Arial Black"/>
          <w:sz w:val="28"/>
          <w:szCs w:val="28"/>
        </w:rPr>
        <w:t xml:space="preserve">: </w:t>
      </w:r>
      <w:r>
        <w:rPr>
          <w:rFonts w:ascii="Arial Black" w:hAnsi="Arial Black"/>
          <w:sz w:val="28"/>
          <w:szCs w:val="28"/>
        </w:rPr>
        <w:t>FD REORGANIZED - 4 NEW LT. POSITIONS – REVERSED ARBITRATOR – NOT ENTITLED TO “ACTING CAPTAIN” PAY</w:t>
      </w:r>
    </w:p>
    <w:p w14:paraId="7ED270C9" w14:textId="77777777" w:rsidR="0003275C" w:rsidRDefault="0003275C" w:rsidP="0003275C">
      <w:pPr>
        <w:pStyle w:val="NoSpacing"/>
        <w:rPr>
          <w:rFonts w:ascii="Times New Roman" w:hAnsi="Times New Roman"/>
          <w:sz w:val="24"/>
          <w:szCs w:val="24"/>
        </w:rPr>
      </w:pPr>
    </w:p>
    <w:p w14:paraId="622679BA" w14:textId="7840484B" w:rsidR="0003275C" w:rsidRDefault="0003275C" w:rsidP="0003275C">
      <w:pPr>
        <w:pStyle w:val="NoSpacing"/>
        <w:rPr>
          <w:rFonts w:ascii="Times New Roman" w:hAnsi="Times New Roman"/>
          <w:sz w:val="24"/>
          <w:szCs w:val="24"/>
        </w:rPr>
      </w:pPr>
      <w:r w:rsidRPr="00002A3F">
        <w:rPr>
          <w:rFonts w:ascii="Times New Roman" w:hAnsi="Times New Roman"/>
          <w:sz w:val="24"/>
          <w:szCs w:val="24"/>
        </w:rPr>
        <w:t xml:space="preserve">On </w:t>
      </w:r>
      <w:r>
        <w:rPr>
          <w:rFonts w:ascii="Times New Roman" w:hAnsi="Times New Roman"/>
          <w:sz w:val="24"/>
          <w:szCs w:val="24"/>
        </w:rPr>
        <w:t xml:space="preserve">June 25, 2020, in </w:t>
      </w:r>
      <w:r w:rsidRPr="00002A3F">
        <w:rPr>
          <w:rFonts w:ascii="Times New Roman" w:hAnsi="Times New Roman"/>
          <w:sz w:val="24"/>
          <w:szCs w:val="24"/>
          <w:u w:val="single"/>
        </w:rPr>
        <w:t>Borough of Carteret v. Firefighters Mutual Benefit Association, Local 67</w:t>
      </w:r>
      <w:r>
        <w:rPr>
          <w:rFonts w:ascii="Times New Roman" w:hAnsi="Times New Roman"/>
          <w:sz w:val="24"/>
          <w:szCs w:val="24"/>
        </w:rPr>
        <w:t xml:space="preserve">,  the Superior Court of New Jersey, Appellate Division held (2 to 0; unpublished decision) that the trial judge improperly upheld the Arbitrator’s award of “acting Captain” back pay to the four Lieutenants.  Under the Collective Bargaining Agreement in effect when the Lieutenants were hired, senior firefighters who filled in for Captains were paid the </w:t>
      </w:r>
      <w:proofErr w:type="gramStart"/>
      <w:r>
        <w:rPr>
          <w:rFonts w:ascii="Times New Roman" w:hAnsi="Times New Roman"/>
          <w:sz w:val="24"/>
          <w:szCs w:val="24"/>
        </w:rPr>
        <w:t>Captains</w:t>
      </w:r>
      <w:proofErr w:type="gramEnd"/>
      <w:r>
        <w:rPr>
          <w:rFonts w:ascii="Times New Roman" w:hAnsi="Times New Roman"/>
          <w:sz w:val="24"/>
          <w:szCs w:val="24"/>
        </w:rPr>
        <w:t xml:space="preserve"> hourly rate.  When the Union filed the Grievance, the four new Lieutenants have been working for the past four years on the Lieutenant’s pay ($1,500 per year above FF pay) and never requested “Acting Captain” pay when fulfilling a Captain’s shift duties. The Court held, “</w:t>
      </w:r>
      <w:r w:rsidRPr="00A362F1">
        <w:rPr>
          <w:rFonts w:ascii="Times New Roman" w:hAnsi="Times New Roman"/>
          <w:sz w:val="24"/>
          <w:szCs w:val="24"/>
        </w:rPr>
        <w:t xml:space="preserve">It is not insignificant the arbitrator rejected the Borough's </w:t>
      </w:r>
      <w:r>
        <w:rPr>
          <w:rFonts w:ascii="Times New Roman" w:hAnsi="Times New Roman"/>
          <w:sz w:val="24"/>
          <w:szCs w:val="24"/>
        </w:rPr>
        <w:t>‘</w:t>
      </w:r>
      <w:r w:rsidRPr="00A362F1">
        <w:rPr>
          <w:rFonts w:ascii="Times New Roman" w:hAnsi="Times New Roman"/>
          <w:sz w:val="24"/>
          <w:szCs w:val="24"/>
        </w:rPr>
        <w:t>past practice</w:t>
      </w:r>
      <w:r>
        <w:rPr>
          <w:rFonts w:ascii="Times New Roman" w:hAnsi="Times New Roman"/>
          <w:sz w:val="24"/>
          <w:szCs w:val="24"/>
        </w:rPr>
        <w:t>’</w:t>
      </w:r>
      <w:r w:rsidRPr="00A362F1">
        <w:rPr>
          <w:rFonts w:ascii="Times New Roman" w:hAnsi="Times New Roman"/>
          <w:sz w:val="24"/>
          <w:szCs w:val="24"/>
        </w:rPr>
        <w:t xml:space="preserve"> argument and gave virtually no consideration to the lieutenants performing their job duties, including acting in the place of a fire captain in his or her absence, for four years without a request for any pay beyond that to </w:t>
      </w:r>
    </w:p>
    <w:p w14:paraId="7918B320" w14:textId="77777777" w:rsidR="0003275C" w:rsidRDefault="0003275C" w:rsidP="0003275C">
      <w:pPr>
        <w:pStyle w:val="NoSpacing"/>
        <w:rPr>
          <w:rFonts w:ascii="Times New Roman" w:eastAsia="Times New Roman" w:hAnsi="Times New Roman"/>
          <w:b/>
          <w:bCs/>
          <w:sz w:val="24"/>
          <w:szCs w:val="24"/>
        </w:rPr>
      </w:pPr>
      <w:r w:rsidRPr="00A362F1">
        <w:rPr>
          <w:rFonts w:ascii="Times New Roman" w:hAnsi="Times New Roman"/>
          <w:sz w:val="24"/>
          <w:szCs w:val="24"/>
        </w:rPr>
        <w:t>which they were entitled</w:t>
      </w:r>
      <w:r>
        <w:rPr>
          <w:rFonts w:ascii="Times New Roman" w:hAnsi="Times New Roman"/>
          <w:sz w:val="24"/>
          <w:szCs w:val="24"/>
        </w:rPr>
        <w:t xml:space="preserve"> </w:t>
      </w:r>
      <w:r w:rsidRPr="00A362F1">
        <w:rPr>
          <w:rFonts w:ascii="Times New Roman" w:hAnsi="Times New Roman"/>
          <w:sz w:val="24"/>
          <w:szCs w:val="24"/>
        </w:rPr>
        <w:t>under</w:t>
      </w:r>
      <w:r>
        <w:rPr>
          <w:rFonts w:ascii="Times New Roman" w:hAnsi="Times New Roman"/>
          <w:sz w:val="24"/>
          <w:szCs w:val="24"/>
        </w:rPr>
        <w:t xml:space="preserve"> </w:t>
      </w:r>
      <w:r w:rsidRPr="00A362F1">
        <w:rPr>
          <w:rFonts w:ascii="Times New Roman" w:hAnsi="Times New Roman"/>
          <w:sz w:val="24"/>
          <w:szCs w:val="24"/>
        </w:rPr>
        <w:t>the Borough's salary ordinance.</w:t>
      </w:r>
      <w:r>
        <w:rPr>
          <w:rFonts w:ascii="Times New Roman" w:hAnsi="Times New Roman"/>
          <w:sz w:val="24"/>
          <w:szCs w:val="24"/>
        </w:rPr>
        <w:t xml:space="preserve">” </w:t>
      </w:r>
      <w:hyperlink r:id="rId2975" w:history="1">
        <w:r w:rsidRPr="006B0F65">
          <w:rPr>
            <w:rStyle w:val="Hyperlink"/>
            <w:rFonts w:ascii="Times New Roman" w:hAnsi="Times New Roman"/>
            <w:sz w:val="24"/>
            <w:szCs w:val="24"/>
          </w:rPr>
          <w:t>https://njcourts.gov/attorneys/assets/opinions/appellate/unpublished/a2277-18.pdf</w:t>
        </w:r>
      </w:hyperlink>
      <w:r>
        <w:rPr>
          <w:rFonts w:ascii="Times New Roman" w:hAnsi="Times New Roman"/>
          <w:sz w:val="24"/>
          <w:szCs w:val="24"/>
        </w:rPr>
        <w:t xml:space="preserve"> </w:t>
      </w:r>
    </w:p>
    <w:p w14:paraId="3F7BEDC8" w14:textId="77777777" w:rsidR="0003275C" w:rsidRDefault="0003275C" w:rsidP="00F326E5">
      <w:pPr>
        <w:pStyle w:val="NoSpacing"/>
        <w:rPr>
          <w:rFonts w:ascii="Arial Black" w:hAnsi="Arial Black"/>
          <w:sz w:val="24"/>
          <w:szCs w:val="24"/>
        </w:rPr>
      </w:pPr>
    </w:p>
    <w:p w14:paraId="49C4AC30" w14:textId="77777777" w:rsidR="0003275C" w:rsidRPr="00BF19C3" w:rsidRDefault="0003275C" w:rsidP="0003275C">
      <w:pPr>
        <w:pStyle w:val="NoSpacing"/>
        <w:tabs>
          <w:tab w:val="left" w:pos="2800"/>
        </w:tabs>
        <w:rPr>
          <w:rFonts w:ascii="Times New Roman" w:hAnsi="Times New Roman"/>
          <w:b/>
          <w:bCs/>
        </w:rPr>
      </w:pPr>
      <w:r w:rsidRPr="00BF19C3">
        <w:rPr>
          <w:rFonts w:ascii="Times New Roman" w:hAnsi="Times New Roman"/>
          <w:b/>
          <w:bCs/>
        </w:rPr>
        <w:t>Legal Lessons Learned</w:t>
      </w:r>
      <w:r>
        <w:rPr>
          <w:rFonts w:ascii="Times New Roman" w:hAnsi="Times New Roman"/>
          <w:b/>
          <w:bCs/>
        </w:rPr>
        <w:t xml:space="preserve">: If FD is reorganizing with new Lieutenant positions, negotiate an amended Collective Bargaining Agreement so that the City, the Union and all personal have a clear agreement on the pay and duties of the new Lieutenants, and whether they are eligible for “Acting Captain” pay. </w:t>
      </w:r>
    </w:p>
    <w:bookmarkEnd w:id="634"/>
    <w:p w14:paraId="06F0F33D" w14:textId="221F4F99" w:rsidR="0003275C" w:rsidRDefault="0003275C" w:rsidP="00F326E5">
      <w:pPr>
        <w:pStyle w:val="NoSpacing"/>
        <w:rPr>
          <w:rFonts w:ascii="Arial Black" w:hAnsi="Arial Black"/>
          <w:sz w:val="24"/>
          <w:szCs w:val="24"/>
        </w:rPr>
      </w:pPr>
    </w:p>
    <w:p w14:paraId="263D6179" w14:textId="1BD11DF9" w:rsidR="0003275C" w:rsidRDefault="0003275C" w:rsidP="00F326E5">
      <w:pPr>
        <w:pStyle w:val="NoSpacing"/>
        <w:rPr>
          <w:rFonts w:ascii="Arial Black" w:hAnsi="Arial Black"/>
          <w:sz w:val="24"/>
          <w:szCs w:val="24"/>
        </w:rPr>
      </w:pPr>
    </w:p>
    <w:p w14:paraId="4077AA15" w14:textId="77777777" w:rsidR="0003275C" w:rsidRDefault="0003275C" w:rsidP="00F326E5">
      <w:pPr>
        <w:pStyle w:val="NoSpacing"/>
        <w:rPr>
          <w:rFonts w:ascii="Arial Black" w:hAnsi="Arial Black"/>
          <w:sz w:val="24"/>
          <w:szCs w:val="24"/>
        </w:rPr>
      </w:pPr>
    </w:p>
    <w:p w14:paraId="43BB32A5" w14:textId="34AA5E50" w:rsidR="00407100" w:rsidRDefault="00407100" w:rsidP="00F326E5">
      <w:pPr>
        <w:pStyle w:val="NoSpacing"/>
        <w:rPr>
          <w:rFonts w:ascii="Arial Black" w:hAnsi="Arial Black"/>
          <w:sz w:val="24"/>
          <w:szCs w:val="24"/>
        </w:rPr>
      </w:pPr>
      <w:bookmarkStart w:id="635" w:name="_Hlk66950624"/>
      <w:r>
        <w:rPr>
          <w:rFonts w:ascii="Arial Black" w:hAnsi="Arial Black"/>
          <w:sz w:val="24"/>
          <w:szCs w:val="24"/>
        </w:rPr>
        <w:t>17-4</w:t>
      </w:r>
    </w:p>
    <w:p w14:paraId="5171C576" w14:textId="77777777" w:rsidR="00407100" w:rsidRPr="00714787" w:rsidRDefault="00407100" w:rsidP="00407100">
      <w:pPr>
        <w:pStyle w:val="NormalWeb"/>
        <w:rPr>
          <w:rFonts w:ascii="Arial Black" w:hAnsi="Arial Black" w:cs="Arial"/>
          <w:sz w:val="28"/>
          <w:szCs w:val="28"/>
        </w:rPr>
      </w:pPr>
      <w:bookmarkStart w:id="636" w:name="_Hlk39773193"/>
      <w:r w:rsidRPr="00714787">
        <w:rPr>
          <w:rFonts w:ascii="Arial Black" w:hAnsi="Arial Black" w:cs="Arial"/>
          <w:sz w:val="28"/>
          <w:szCs w:val="28"/>
        </w:rPr>
        <w:t xml:space="preserve">TX: </w:t>
      </w:r>
      <w:r>
        <w:rPr>
          <w:rFonts w:ascii="Arial Black" w:hAnsi="Arial Black" w:cs="Arial"/>
          <w:sz w:val="28"/>
          <w:szCs w:val="28"/>
        </w:rPr>
        <w:t xml:space="preserve">HOUSTON FD – 3 FFs FAILED PARAMEDIC SCHOOL – FIRED, NO ADMIN APPEAL - ARBITRATOR ORDERS RE-HIRED </w:t>
      </w:r>
    </w:p>
    <w:p w14:paraId="67D89F3B" w14:textId="7CD72420" w:rsidR="00407100" w:rsidRDefault="00407100" w:rsidP="00407100">
      <w:pPr>
        <w:pStyle w:val="NormalWeb"/>
      </w:pPr>
      <w:r w:rsidRPr="007D12E1">
        <w:t xml:space="preserve">On </w:t>
      </w:r>
      <w:bookmarkStart w:id="637" w:name="_Hlk39860160"/>
      <w:r>
        <w:t xml:space="preserve">March 31, 2020, in </w:t>
      </w:r>
      <w:r w:rsidRPr="007D12E1">
        <w:rPr>
          <w:u w:val="single"/>
        </w:rPr>
        <w:t>City of Houston v. Houston Professional Fire Fighters’ Association, Local 341</w:t>
      </w:r>
      <w:bookmarkEnd w:id="637"/>
      <w:r>
        <w:t>, the Texas Fourteenth Court of Appeals held (3 to 0) that the trial court properly upheld the Arbitrator’s decision.  The grievance was filed after the FD in 2014 for the first time fired three permanent, non-probationary firefighters without an administrative appeal “f</w:t>
      </w:r>
      <w:r w:rsidRPr="007D12E1">
        <w:t>or failure to achieve paramedic certification.</w:t>
      </w:r>
      <w:r>
        <w:t xml:space="preserve">”  The arbitrator held that the grievance was filed timely, that the FD changed </w:t>
      </w:r>
      <w:proofErr w:type="gramStart"/>
      <w:r>
        <w:t>a working condition</w:t>
      </w:r>
      <w:proofErr w:type="gramEnd"/>
      <w:r>
        <w:t xml:space="preserve"> in breach of the CBA, and the appropriate remedy was reinstatement </w:t>
      </w:r>
      <w:proofErr w:type="gramStart"/>
      <w:r>
        <w:t>of</w:t>
      </w:r>
      <w:proofErr w:type="gramEnd"/>
      <w:r>
        <w:t xml:space="preserve"> three firefighters. </w:t>
      </w:r>
    </w:p>
    <w:bookmarkEnd w:id="635"/>
    <w:p w14:paraId="352B192E" w14:textId="5BC830B3" w:rsidR="00407100" w:rsidRDefault="00407100" w:rsidP="00407100">
      <w:pPr>
        <w:pStyle w:val="NoSpacing"/>
        <w:ind w:left="720"/>
        <w:rPr>
          <w:rStyle w:val="Hyperlink"/>
          <w:rFonts w:ascii="Times New Roman" w:hAnsi="Times New Roman"/>
          <w:sz w:val="24"/>
          <w:szCs w:val="24"/>
        </w:rPr>
      </w:pPr>
      <w:r w:rsidRPr="00407100">
        <w:rPr>
          <w:rFonts w:ascii="Times New Roman" w:hAnsi="Times New Roman"/>
          <w:sz w:val="24"/>
          <w:szCs w:val="24"/>
        </w:rPr>
        <w:t xml:space="preserve">“The City asserts the arbitrator had no jurisdiction to order reinstatement of the terminated employees because the CBA did not specifically grant the arbitrator the authority to reinstate…. Texas courts likewise have reached the conclusion that ‘an arbitrator has broad discretion in fashioning an appropriate remedy.’ Forest Oil Corp. v. El </w:t>
      </w:r>
      <w:proofErr w:type="spellStart"/>
      <w:r w:rsidRPr="00407100">
        <w:rPr>
          <w:rFonts w:ascii="Times New Roman" w:hAnsi="Times New Roman"/>
          <w:sz w:val="24"/>
          <w:szCs w:val="24"/>
        </w:rPr>
        <w:t>Rucio</w:t>
      </w:r>
      <w:proofErr w:type="spellEnd"/>
      <w:r w:rsidRPr="00407100">
        <w:rPr>
          <w:rFonts w:ascii="Times New Roman" w:hAnsi="Times New Roman"/>
          <w:sz w:val="24"/>
          <w:szCs w:val="24"/>
        </w:rPr>
        <w:t xml:space="preserve"> Land &amp; Cattle Co., Inc., 446 S.W.3d 58, 82 (Tex. App.—Houston [1st Dist.] 2014), aff’d,518 S.W.3d 422 (Tex. 2017); see </w:t>
      </w:r>
      <w:proofErr w:type="spellStart"/>
      <w:r w:rsidRPr="00407100">
        <w:rPr>
          <w:rFonts w:ascii="Times New Roman" w:hAnsi="Times New Roman"/>
          <w:sz w:val="24"/>
          <w:szCs w:val="24"/>
        </w:rPr>
        <w:t>Daniewicz</w:t>
      </w:r>
      <w:proofErr w:type="spellEnd"/>
      <w:r w:rsidRPr="00407100">
        <w:rPr>
          <w:rFonts w:ascii="Times New Roman" w:hAnsi="Times New Roman"/>
          <w:sz w:val="24"/>
          <w:szCs w:val="24"/>
        </w:rPr>
        <w:t xml:space="preserve"> v. </w:t>
      </w:r>
      <w:proofErr w:type="spellStart"/>
      <w:r w:rsidRPr="00407100">
        <w:rPr>
          <w:rFonts w:ascii="Times New Roman" w:hAnsi="Times New Roman"/>
          <w:sz w:val="24"/>
          <w:szCs w:val="24"/>
        </w:rPr>
        <w:t>Thermo</w:t>
      </w:r>
      <w:proofErr w:type="spellEnd"/>
      <w:r w:rsidRPr="00407100">
        <w:rPr>
          <w:rFonts w:ascii="Times New Roman" w:hAnsi="Times New Roman"/>
          <w:sz w:val="24"/>
          <w:szCs w:val="24"/>
        </w:rPr>
        <w:t xml:space="preserve"> Instrument Sys., Inc., 992 S.W.2d 713, 718 (Tex. App.—Austin 1999, pet. denied</w:t>
      </w:r>
      <w:proofErr w:type="gramStart"/>
      <w:r w:rsidRPr="00407100">
        <w:rPr>
          <w:rFonts w:ascii="Times New Roman" w:hAnsi="Times New Roman"/>
          <w:sz w:val="24"/>
          <w:szCs w:val="24"/>
        </w:rPr>
        <w:t>)(‘</w:t>
      </w:r>
      <w:proofErr w:type="gramEnd"/>
      <w:r w:rsidRPr="00407100">
        <w:rPr>
          <w:rFonts w:ascii="Times New Roman" w:hAnsi="Times New Roman"/>
          <w:sz w:val="24"/>
          <w:szCs w:val="24"/>
        </w:rPr>
        <w:t>[A]</w:t>
      </w:r>
      <w:proofErr w:type="spellStart"/>
      <w:r w:rsidRPr="00407100">
        <w:rPr>
          <w:rFonts w:ascii="Times New Roman" w:hAnsi="Times New Roman"/>
          <w:sz w:val="24"/>
          <w:szCs w:val="24"/>
        </w:rPr>
        <w:t>rbitrators</w:t>
      </w:r>
      <w:proofErr w:type="spellEnd"/>
      <w:r w:rsidRPr="00407100">
        <w:rPr>
          <w:rFonts w:ascii="Times New Roman" w:hAnsi="Times New Roman"/>
          <w:sz w:val="24"/>
          <w:szCs w:val="24"/>
        </w:rPr>
        <w:t xml:space="preserve"> have traditionally enjoyed broad leeway to fashion remedies.’). In the CBA, the parties do not prohibit reinstatement as a remedy. The common-law grounds for vacating an arbitration award are exceedingly narrow and do not include an arbitrator’s error in applying the law. See Jefferson </w:t>
      </w:r>
      <w:proofErr w:type="spellStart"/>
      <w:r w:rsidRPr="00407100">
        <w:rPr>
          <w:rFonts w:ascii="Times New Roman" w:hAnsi="Times New Roman"/>
          <w:sz w:val="24"/>
          <w:szCs w:val="24"/>
        </w:rPr>
        <w:t>Cty</w:t>
      </w:r>
      <w:proofErr w:type="spellEnd"/>
      <w:r w:rsidRPr="00407100">
        <w:rPr>
          <w:rFonts w:ascii="Times New Roman" w:hAnsi="Times New Roman"/>
          <w:sz w:val="24"/>
          <w:szCs w:val="24"/>
        </w:rPr>
        <w:t xml:space="preserve">., 546 S.W.3d at 674.We conclude that the arbitrator did not exceed her authority in ordering reinstatement of the terminated employees.” </w:t>
      </w:r>
      <w:bookmarkStart w:id="638" w:name="_Hlk39860179"/>
      <w:bookmarkStart w:id="639" w:name="_Hlk66950656"/>
      <w:r w:rsidR="00B0089C">
        <w:fldChar w:fldCharType="begin"/>
      </w:r>
      <w:r w:rsidR="00B0089C">
        <w:instrText xml:space="preserve"> HYPERLINK "http://www.search.txcourts.gov/SearchMedia.aspx?MediaVersionID=626f97ca-ee1f-49a9-84b9-cd95d90130e2&amp;MediaID=cb138ca2-8cd7-449e-b059-6b73f43cbe76&amp;coa=%22%20+%20this.CurrentWebState.CurrentCourt%20+%20@%22&amp;DT=Opinion" </w:instrText>
      </w:r>
      <w:r w:rsidR="00B0089C">
        <w:fldChar w:fldCharType="separate"/>
      </w:r>
      <w:r w:rsidRPr="00407100">
        <w:rPr>
          <w:rStyle w:val="Hyperlink"/>
          <w:rFonts w:ascii="Times New Roman" w:hAnsi="Times New Roman"/>
          <w:sz w:val="24"/>
          <w:szCs w:val="24"/>
        </w:rPr>
        <w:t>http://www.search.txcourts.gov/SearchMedia.aspx?MediaVersionID=626f97ca-ee1f-49a9-84b9-cd95d90130e2&amp;MediaID=cb138ca2-8cd7-449e-b059-6b73f43cbe76&amp;coa=%22%20+%20this.CurrentWebState.CurrentCourt%20+%20@%22&amp;DT=Opinion</w:t>
      </w:r>
      <w:r w:rsidR="00B0089C">
        <w:rPr>
          <w:rStyle w:val="Hyperlink"/>
          <w:rFonts w:ascii="Times New Roman" w:hAnsi="Times New Roman"/>
          <w:sz w:val="24"/>
          <w:szCs w:val="24"/>
        </w:rPr>
        <w:fldChar w:fldCharType="end"/>
      </w:r>
    </w:p>
    <w:bookmarkEnd w:id="636"/>
    <w:p w14:paraId="2A013931" w14:textId="0BFBD170" w:rsidR="00407100" w:rsidRDefault="00407100" w:rsidP="00407100">
      <w:pPr>
        <w:pStyle w:val="NoSpacing"/>
        <w:ind w:left="720"/>
        <w:rPr>
          <w:rStyle w:val="Hyperlink"/>
          <w:rFonts w:ascii="Times New Roman" w:hAnsi="Times New Roman"/>
          <w:sz w:val="24"/>
          <w:szCs w:val="24"/>
        </w:rPr>
      </w:pPr>
    </w:p>
    <w:p w14:paraId="1868A896" w14:textId="77777777" w:rsidR="00407100" w:rsidRPr="00EE7DDA" w:rsidRDefault="00407100" w:rsidP="00407100">
      <w:pPr>
        <w:pStyle w:val="NoSpacing"/>
        <w:rPr>
          <w:rFonts w:ascii="Times New Roman" w:hAnsi="Times New Roman"/>
          <w:b/>
          <w:bCs/>
          <w:sz w:val="24"/>
          <w:szCs w:val="24"/>
        </w:rPr>
      </w:pPr>
      <w:bookmarkStart w:id="640" w:name="_Hlk40517172"/>
      <w:bookmarkEnd w:id="638"/>
      <w:r w:rsidRPr="00EE7DDA">
        <w:rPr>
          <w:rFonts w:ascii="Times New Roman" w:hAnsi="Times New Roman"/>
          <w:b/>
          <w:bCs/>
          <w:sz w:val="24"/>
          <w:szCs w:val="24"/>
        </w:rPr>
        <w:t xml:space="preserve">Legal Lessons Learned: Arbitrators have broad authority to determine timeliness of </w:t>
      </w:r>
      <w:proofErr w:type="gramStart"/>
      <w:r w:rsidRPr="00EE7DDA">
        <w:rPr>
          <w:rFonts w:ascii="Times New Roman" w:hAnsi="Times New Roman"/>
          <w:b/>
          <w:bCs/>
          <w:sz w:val="24"/>
          <w:szCs w:val="24"/>
        </w:rPr>
        <w:t>a grievance</w:t>
      </w:r>
      <w:proofErr w:type="gramEnd"/>
      <w:r w:rsidRPr="00EE7DDA">
        <w:rPr>
          <w:rFonts w:ascii="Times New Roman" w:hAnsi="Times New Roman"/>
          <w:b/>
          <w:bCs/>
          <w:sz w:val="24"/>
          <w:szCs w:val="24"/>
        </w:rPr>
        <w:t xml:space="preserve">, and appropriate remedy for breach of CBA. </w:t>
      </w:r>
    </w:p>
    <w:bookmarkEnd w:id="639"/>
    <w:bookmarkEnd w:id="640"/>
    <w:p w14:paraId="569E77D9" w14:textId="77777777" w:rsidR="00407100" w:rsidRPr="00407100" w:rsidRDefault="00407100" w:rsidP="00407100">
      <w:pPr>
        <w:pStyle w:val="NoSpacing"/>
        <w:ind w:left="720"/>
        <w:rPr>
          <w:rFonts w:ascii="Times New Roman" w:hAnsi="Times New Roman"/>
          <w:sz w:val="24"/>
          <w:szCs w:val="24"/>
        </w:rPr>
      </w:pPr>
    </w:p>
    <w:p w14:paraId="2EB103C6" w14:textId="77777777" w:rsidR="00407100" w:rsidRDefault="00407100" w:rsidP="00F326E5">
      <w:pPr>
        <w:pStyle w:val="NoSpacing"/>
        <w:rPr>
          <w:rFonts w:ascii="Arial Black" w:hAnsi="Arial Black"/>
          <w:sz w:val="24"/>
          <w:szCs w:val="24"/>
        </w:rPr>
      </w:pPr>
    </w:p>
    <w:p w14:paraId="72AF88B5" w14:textId="3EFDEE70" w:rsidR="007A1E7A" w:rsidRDefault="007A1E7A" w:rsidP="00F326E5">
      <w:pPr>
        <w:pStyle w:val="NoSpacing"/>
        <w:rPr>
          <w:rFonts w:ascii="Arial Black" w:hAnsi="Arial Black"/>
          <w:sz w:val="24"/>
          <w:szCs w:val="24"/>
        </w:rPr>
      </w:pPr>
      <w:r>
        <w:rPr>
          <w:rFonts w:ascii="Arial Black" w:hAnsi="Arial Black"/>
          <w:sz w:val="24"/>
          <w:szCs w:val="24"/>
        </w:rPr>
        <w:t>17-3</w:t>
      </w:r>
    </w:p>
    <w:p w14:paraId="44BC6CD3" w14:textId="5660370E" w:rsidR="007A1E7A" w:rsidRDefault="007A1E7A" w:rsidP="007A1E7A">
      <w:pPr>
        <w:spacing w:before="100" w:beforeAutospacing="1" w:after="100" w:afterAutospacing="1" w:line="240" w:lineRule="auto"/>
        <w:rPr>
          <w:rFonts w:ascii="Arial Black" w:hAnsi="Arial Black"/>
          <w:sz w:val="28"/>
          <w:szCs w:val="28"/>
        </w:rPr>
      </w:pPr>
      <w:bookmarkStart w:id="641" w:name="_Hlk39773254"/>
      <w:r>
        <w:rPr>
          <w:rFonts w:ascii="Arial Black" w:hAnsi="Arial Black"/>
          <w:sz w:val="28"/>
          <w:szCs w:val="28"/>
        </w:rPr>
        <w:t xml:space="preserve">OH: COLUMBUS FD SOUGHT TO CONVERT NUMEROUS FD JOBS </w:t>
      </w:r>
      <w:r w:rsidR="00407100">
        <w:rPr>
          <w:rFonts w:ascii="Arial Black" w:hAnsi="Arial Black"/>
          <w:sz w:val="28"/>
          <w:szCs w:val="28"/>
        </w:rPr>
        <w:t xml:space="preserve">TO </w:t>
      </w:r>
      <w:r>
        <w:rPr>
          <w:rFonts w:ascii="Arial Black" w:hAnsi="Arial Black"/>
          <w:sz w:val="28"/>
          <w:szCs w:val="28"/>
        </w:rPr>
        <w:t xml:space="preserve">“CIVIL” POSITIONS - LOCAL 67 </w:t>
      </w:r>
      <w:proofErr w:type="gramStart"/>
      <w:r>
        <w:rPr>
          <w:rFonts w:ascii="Arial Black" w:hAnsi="Arial Black"/>
          <w:sz w:val="28"/>
          <w:szCs w:val="28"/>
        </w:rPr>
        <w:t>GRIEVANCE</w:t>
      </w:r>
      <w:proofErr w:type="gramEnd"/>
      <w:r>
        <w:rPr>
          <w:rFonts w:ascii="Arial Black" w:hAnsi="Arial Black"/>
          <w:sz w:val="28"/>
          <w:szCs w:val="28"/>
        </w:rPr>
        <w:t xml:space="preserve"> UPHELD</w:t>
      </w:r>
    </w:p>
    <w:p w14:paraId="0BA7AF1A" w14:textId="77777777" w:rsidR="007A1E7A" w:rsidRPr="004B30C8" w:rsidRDefault="007A1E7A" w:rsidP="007A1E7A">
      <w:pPr>
        <w:spacing w:before="100" w:beforeAutospacing="1" w:after="100" w:afterAutospacing="1" w:line="240" w:lineRule="auto"/>
        <w:rPr>
          <w:rFonts w:ascii="Times New Roman" w:hAnsi="Times New Roman"/>
          <w:sz w:val="24"/>
          <w:szCs w:val="24"/>
        </w:rPr>
      </w:pPr>
      <w:r w:rsidRPr="004B30C8">
        <w:rPr>
          <w:rFonts w:ascii="Times New Roman" w:hAnsi="Times New Roman"/>
          <w:sz w:val="24"/>
          <w:szCs w:val="24"/>
        </w:rPr>
        <w:t xml:space="preserve">On </w:t>
      </w:r>
      <w:bookmarkStart w:id="642" w:name="_Hlk39860957"/>
      <w:r w:rsidRPr="004B30C8">
        <w:rPr>
          <w:rFonts w:ascii="Times New Roman" w:hAnsi="Times New Roman"/>
          <w:sz w:val="24"/>
          <w:szCs w:val="24"/>
        </w:rPr>
        <w:t xml:space="preserve">Feb. 4, 2020, in </w:t>
      </w:r>
      <w:r w:rsidRPr="004B30C8">
        <w:rPr>
          <w:rFonts w:ascii="Times New Roman" w:hAnsi="Times New Roman"/>
          <w:sz w:val="24"/>
          <w:szCs w:val="24"/>
          <w:u w:val="single"/>
        </w:rPr>
        <w:t>City of Columbus v. IAFF Local 67</w:t>
      </w:r>
      <w:bookmarkEnd w:id="642"/>
      <w:r w:rsidRPr="004B30C8">
        <w:rPr>
          <w:rFonts w:ascii="Times New Roman" w:hAnsi="Times New Roman"/>
          <w:sz w:val="24"/>
          <w:szCs w:val="24"/>
        </w:rPr>
        <w:t xml:space="preserve">, the Ohio Court of Appeals </w:t>
      </w:r>
      <w:proofErr w:type="gramStart"/>
      <w:r w:rsidRPr="004B30C8">
        <w:rPr>
          <w:rFonts w:ascii="Times New Roman" w:hAnsi="Times New Roman"/>
          <w:sz w:val="24"/>
          <w:szCs w:val="24"/>
        </w:rPr>
        <w:t>For</w:t>
      </w:r>
      <w:proofErr w:type="gramEnd"/>
      <w:r w:rsidRPr="004B30C8">
        <w:rPr>
          <w:rFonts w:ascii="Times New Roman" w:hAnsi="Times New Roman"/>
          <w:sz w:val="24"/>
          <w:szCs w:val="24"/>
        </w:rPr>
        <w:t xml:space="preserve"> Tenth District, held (3 to 0) </w:t>
      </w:r>
      <w:proofErr w:type="gramStart"/>
      <w:r w:rsidRPr="004B30C8">
        <w:rPr>
          <w:rFonts w:ascii="Times New Roman" w:hAnsi="Times New Roman"/>
          <w:sz w:val="24"/>
          <w:szCs w:val="24"/>
        </w:rPr>
        <w:t>affirmed</w:t>
      </w:r>
      <w:proofErr w:type="gramEnd"/>
      <w:r w:rsidRPr="004B30C8">
        <w:rPr>
          <w:rFonts w:ascii="Times New Roman" w:hAnsi="Times New Roman"/>
          <w:sz w:val="24"/>
          <w:szCs w:val="24"/>
        </w:rPr>
        <w:t xml:space="preserve"> the decision of the Franklin County Court of Common Pleas judge  upholding the arbitrator’s decision in favor of Local 67. </w:t>
      </w:r>
      <w:r w:rsidRPr="004B30C8">
        <w:rPr>
          <w:rFonts w:ascii="Times New Roman" w:hAnsi="Times New Roman"/>
          <w:sz w:val="24"/>
          <w:szCs w:val="24"/>
        </w:rPr>
        <w:tab/>
      </w:r>
    </w:p>
    <w:p w14:paraId="3AF520C2" w14:textId="7B81FA57" w:rsidR="007A1E7A" w:rsidRPr="004B30C8" w:rsidRDefault="007A1E7A" w:rsidP="007A1E7A">
      <w:pPr>
        <w:pStyle w:val="NoSpacing"/>
        <w:ind w:left="720"/>
        <w:rPr>
          <w:rFonts w:ascii="Times New Roman" w:hAnsi="Times New Roman"/>
          <w:b/>
          <w:bCs/>
          <w:sz w:val="24"/>
          <w:szCs w:val="24"/>
        </w:rPr>
      </w:pPr>
      <w:r w:rsidRPr="004B30C8">
        <w:rPr>
          <w:rFonts w:ascii="Times New Roman" w:hAnsi="Times New Roman"/>
          <w:bCs/>
          <w:sz w:val="24"/>
          <w:szCs w:val="24"/>
        </w:rPr>
        <w:t>“On October 19, 2015, a battalion chief representing the Office of the Fire Chief for the City of Columbus Division of Fire (</w:t>
      </w:r>
      <w:r w:rsidR="000209F5">
        <w:rPr>
          <w:rFonts w:ascii="Times New Roman" w:hAnsi="Times New Roman"/>
          <w:bCs/>
          <w:sz w:val="24"/>
          <w:szCs w:val="24"/>
        </w:rPr>
        <w:t>‘</w:t>
      </w:r>
      <w:r w:rsidRPr="004B30C8">
        <w:rPr>
          <w:rFonts w:ascii="Times New Roman" w:hAnsi="Times New Roman"/>
          <w:bCs/>
          <w:sz w:val="24"/>
          <w:szCs w:val="24"/>
        </w:rPr>
        <w:t>Division</w:t>
      </w:r>
      <w:r w:rsidR="000209F5">
        <w:rPr>
          <w:rFonts w:ascii="Times New Roman" w:hAnsi="Times New Roman"/>
          <w:bCs/>
          <w:sz w:val="24"/>
          <w:szCs w:val="24"/>
        </w:rPr>
        <w:t>’</w:t>
      </w:r>
      <w:r w:rsidRPr="004B30C8">
        <w:rPr>
          <w:rFonts w:ascii="Times New Roman" w:hAnsi="Times New Roman"/>
          <w:bCs/>
          <w:sz w:val="24"/>
          <w:szCs w:val="24"/>
        </w:rPr>
        <w:t xml:space="preserve">), sent an e-mail to the President of Local 67. (Ex. JT2 at 4, exhibit to July 27, </w:t>
      </w:r>
      <w:proofErr w:type="gramStart"/>
      <w:r w:rsidRPr="004B30C8">
        <w:rPr>
          <w:rFonts w:ascii="Times New Roman" w:hAnsi="Times New Roman"/>
          <w:bCs/>
          <w:sz w:val="24"/>
          <w:szCs w:val="24"/>
        </w:rPr>
        <w:t>2017</w:t>
      </w:r>
      <w:proofErr w:type="gramEnd"/>
      <w:r w:rsidRPr="004B30C8">
        <w:rPr>
          <w:rFonts w:ascii="Times New Roman" w:hAnsi="Times New Roman"/>
          <w:bCs/>
          <w:sz w:val="24"/>
          <w:szCs w:val="24"/>
        </w:rPr>
        <w:t xml:space="preserve"> Local 67 Application to Confirm.) The e-mail indicated that the </w:t>
      </w:r>
      <w:r w:rsidR="000209F5">
        <w:rPr>
          <w:rFonts w:ascii="Times New Roman" w:hAnsi="Times New Roman"/>
          <w:bCs/>
          <w:sz w:val="24"/>
          <w:szCs w:val="24"/>
        </w:rPr>
        <w:t>‘</w:t>
      </w:r>
      <w:r w:rsidRPr="004B30C8">
        <w:rPr>
          <w:rFonts w:ascii="Times New Roman" w:hAnsi="Times New Roman"/>
          <w:bCs/>
          <w:sz w:val="24"/>
          <w:szCs w:val="24"/>
        </w:rPr>
        <w:t>directors office decided</w:t>
      </w:r>
      <w:r w:rsidR="000209F5">
        <w:rPr>
          <w:rFonts w:ascii="Times New Roman" w:hAnsi="Times New Roman"/>
          <w:bCs/>
          <w:sz w:val="24"/>
          <w:szCs w:val="24"/>
        </w:rPr>
        <w:t>’</w:t>
      </w:r>
      <w:r w:rsidRPr="004B30C8">
        <w:rPr>
          <w:rFonts w:ascii="Times New Roman" w:hAnsi="Times New Roman"/>
          <w:bCs/>
          <w:sz w:val="24"/>
          <w:szCs w:val="24"/>
        </w:rPr>
        <w:t xml:space="preserve">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certain special assignments then filled by uniformed firefighters. Id. Attached to the e-mail was a document listing 17 positions that the City intended to civilianize: ‘RMS,’ ‘Fitness Coordinator,’ ‘Special Events Coord,’ ‘EMS Supply Tech,’ ‘ES-1 Liaison,’ ‘Training Video,’ ‘FAO Radio Specialist,’ ‘Public CPR Trainer,’ ‘R&amp;D Specialist,’ ‘R&amp;D Specialist,’ ‘R&amp;D Specification,’ ‘I.T. Coordinator,’ ‘Apprenticeship Asst.,’ ‘FAO Trainer,’ ‘Community Relations,’ ‘In Service Training, and ‘ES-1 Office Aid. ***  The CBA nowhere asserts, affirms, or implies a broad right of the City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bargaining unit positions. The CBA provides no general right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the City. Nor do the terms of the CBA, taken as a whole, suggest that Section 7.2 should be read as a narrow exception to a general right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Rather the CBA contains, and the arbitrator found, a broad prohibition on civilianizing positions within the Division.  </w:t>
      </w:r>
      <w:bookmarkStart w:id="643" w:name="_Hlk39860985"/>
      <w:r w:rsidR="00B0089C">
        <w:fldChar w:fldCharType="begin"/>
      </w:r>
      <w:r w:rsidR="00B0089C">
        <w:instrText xml:space="preserve"> HYPERLINK "https://www.supremecourt.ohio.gov/rod/docs/pdf/10/2020/2020-Ohio-356.pdf" </w:instrText>
      </w:r>
      <w:r w:rsidR="00B0089C">
        <w:fldChar w:fldCharType="separate"/>
      </w:r>
      <w:r w:rsidRPr="004B30C8">
        <w:rPr>
          <w:rStyle w:val="Hyperlink"/>
          <w:rFonts w:ascii="Times New Roman" w:hAnsi="Times New Roman"/>
          <w:bCs/>
          <w:sz w:val="24"/>
          <w:szCs w:val="24"/>
        </w:rPr>
        <w:t>https://www.supremecourt.ohio.gov/rod/docs/pdf/10/2020/2020-Ohio-356.pdf</w:t>
      </w:r>
      <w:r w:rsidR="00B0089C">
        <w:rPr>
          <w:rStyle w:val="Hyperlink"/>
          <w:rFonts w:ascii="Times New Roman" w:hAnsi="Times New Roman"/>
          <w:bCs/>
          <w:sz w:val="24"/>
          <w:szCs w:val="24"/>
        </w:rPr>
        <w:fldChar w:fldCharType="end"/>
      </w:r>
      <w:r w:rsidRPr="004B30C8">
        <w:rPr>
          <w:rFonts w:ascii="Times New Roman" w:hAnsi="Times New Roman"/>
          <w:bCs/>
          <w:sz w:val="24"/>
          <w:szCs w:val="24"/>
        </w:rPr>
        <w:t xml:space="preserve"> </w:t>
      </w:r>
      <w:bookmarkEnd w:id="643"/>
    </w:p>
    <w:bookmarkEnd w:id="641"/>
    <w:p w14:paraId="488F1F8B" w14:textId="53D9A376" w:rsidR="007A1E7A" w:rsidRDefault="007A1E7A" w:rsidP="00F326E5">
      <w:pPr>
        <w:pStyle w:val="NoSpacing"/>
        <w:rPr>
          <w:rFonts w:ascii="Arial Black" w:hAnsi="Arial Black"/>
          <w:sz w:val="24"/>
          <w:szCs w:val="24"/>
        </w:rPr>
      </w:pPr>
    </w:p>
    <w:p w14:paraId="1F0BC464" w14:textId="40814CBB" w:rsidR="007A1E7A" w:rsidRPr="004B30C8" w:rsidRDefault="007A1E7A" w:rsidP="007A1E7A">
      <w:pPr>
        <w:pStyle w:val="NoSpacing"/>
        <w:rPr>
          <w:rFonts w:ascii="Times New Roman" w:hAnsi="Times New Roman"/>
          <w:b/>
          <w:bCs/>
          <w:sz w:val="24"/>
          <w:szCs w:val="24"/>
        </w:rPr>
      </w:pPr>
      <w:bookmarkStart w:id="644" w:name="_Hlk40517239"/>
      <w:r w:rsidRPr="004B30C8">
        <w:rPr>
          <w:rFonts w:ascii="Times New Roman" w:hAnsi="Times New Roman"/>
          <w:b/>
          <w:bCs/>
          <w:sz w:val="24"/>
          <w:szCs w:val="24"/>
        </w:rPr>
        <w:t>Legal Lessons Learned: The arbitrator, and the Courts, relied heavily on the City’s prior cooperation with Local 67</w:t>
      </w:r>
      <w:r w:rsidR="00A76634">
        <w:rPr>
          <w:rFonts w:ascii="Times New Roman" w:hAnsi="Times New Roman"/>
          <w:b/>
          <w:bCs/>
          <w:sz w:val="24"/>
          <w:szCs w:val="24"/>
        </w:rPr>
        <w:t>.</w:t>
      </w:r>
    </w:p>
    <w:bookmarkEnd w:id="644"/>
    <w:p w14:paraId="5F60C8FF" w14:textId="77777777" w:rsidR="007A1E7A" w:rsidRDefault="007A1E7A" w:rsidP="00F326E5">
      <w:pPr>
        <w:pStyle w:val="NoSpacing"/>
        <w:rPr>
          <w:rFonts w:ascii="Arial Black" w:hAnsi="Arial Black"/>
          <w:sz w:val="24"/>
          <w:szCs w:val="24"/>
        </w:rPr>
      </w:pPr>
    </w:p>
    <w:p w14:paraId="0750E27F" w14:textId="77777777" w:rsidR="007A1E7A" w:rsidRDefault="007A1E7A" w:rsidP="00F326E5">
      <w:pPr>
        <w:pStyle w:val="NoSpacing"/>
        <w:rPr>
          <w:rFonts w:ascii="Arial Black" w:hAnsi="Arial Black"/>
          <w:sz w:val="24"/>
          <w:szCs w:val="24"/>
        </w:rPr>
      </w:pPr>
    </w:p>
    <w:p w14:paraId="412CFE29" w14:textId="77777777" w:rsidR="007A1E7A" w:rsidRDefault="007A1E7A" w:rsidP="00F326E5">
      <w:pPr>
        <w:pStyle w:val="NoSpacing"/>
        <w:rPr>
          <w:rFonts w:ascii="Arial Black" w:hAnsi="Arial Black"/>
          <w:sz w:val="24"/>
          <w:szCs w:val="24"/>
        </w:rPr>
      </w:pPr>
    </w:p>
    <w:p w14:paraId="293ACADC" w14:textId="77777777" w:rsidR="007A1E7A" w:rsidRDefault="007A1E7A" w:rsidP="00F326E5">
      <w:pPr>
        <w:pStyle w:val="NoSpacing"/>
        <w:rPr>
          <w:rFonts w:ascii="Arial Black" w:hAnsi="Arial Black"/>
          <w:sz w:val="24"/>
          <w:szCs w:val="24"/>
        </w:rPr>
      </w:pPr>
    </w:p>
    <w:p w14:paraId="7DEB1699" w14:textId="761F48DA" w:rsidR="00A06387" w:rsidRPr="00A06387" w:rsidRDefault="00A06387" w:rsidP="00F326E5">
      <w:pPr>
        <w:pStyle w:val="NoSpacing"/>
        <w:rPr>
          <w:rFonts w:ascii="Arial Black" w:hAnsi="Arial Black"/>
          <w:sz w:val="24"/>
          <w:szCs w:val="24"/>
        </w:rPr>
      </w:pPr>
      <w:r w:rsidRPr="00A06387">
        <w:rPr>
          <w:rFonts w:ascii="Arial Black" w:hAnsi="Arial Black"/>
          <w:sz w:val="24"/>
          <w:szCs w:val="24"/>
        </w:rPr>
        <w:t xml:space="preserve">17-2  </w:t>
      </w:r>
    </w:p>
    <w:p w14:paraId="20866ECF" w14:textId="77777777" w:rsidR="00A06387" w:rsidRDefault="00A06387" w:rsidP="00F326E5">
      <w:pPr>
        <w:pStyle w:val="NoSpacing"/>
        <w:rPr>
          <w:rFonts w:ascii="Arial Black" w:hAnsi="Arial Black"/>
          <w:sz w:val="28"/>
          <w:szCs w:val="28"/>
        </w:rPr>
      </w:pPr>
    </w:p>
    <w:p w14:paraId="5F2F81ED" w14:textId="6A73F7E8" w:rsidR="00F326E5" w:rsidRPr="00A06387" w:rsidRDefault="00A06387" w:rsidP="00F326E5">
      <w:pPr>
        <w:pStyle w:val="NoSpacing"/>
        <w:rPr>
          <w:rFonts w:ascii="Arial Black" w:hAnsi="Arial Black"/>
          <w:sz w:val="28"/>
          <w:szCs w:val="28"/>
        </w:rPr>
      </w:pPr>
      <w:bookmarkStart w:id="645" w:name="_Hlk23516868"/>
      <w:bookmarkStart w:id="646" w:name="_Hlk39773361"/>
      <w:r>
        <w:rPr>
          <w:rFonts w:ascii="Arial Black" w:hAnsi="Arial Black"/>
          <w:sz w:val="28"/>
          <w:szCs w:val="28"/>
        </w:rPr>
        <w:t xml:space="preserve">NY: </w:t>
      </w:r>
      <w:r w:rsidRPr="00A06387">
        <w:rPr>
          <w:rFonts w:ascii="Arial Black" w:hAnsi="Arial Black"/>
          <w:sz w:val="28"/>
          <w:szCs w:val="28"/>
        </w:rPr>
        <w:t>NEW FD PARAMEDIC TRAINING – UNION ALLEGES BREACH OF CBA – GRIEVANCE CAN GO TO ARBITRATION</w:t>
      </w:r>
    </w:p>
    <w:bookmarkEnd w:id="645"/>
    <w:p w14:paraId="458EE45A" w14:textId="77777777" w:rsidR="00A06387" w:rsidRDefault="00A06387" w:rsidP="00A06387">
      <w:pPr>
        <w:pStyle w:val="NoSpacing"/>
        <w:rPr>
          <w:rFonts w:ascii="On Times New Roman" w:hAnsi="On Times New Roman"/>
          <w:bCs/>
          <w:sz w:val="24"/>
          <w:szCs w:val="24"/>
        </w:rPr>
      </w:pPr>
    </w:p>
    <w:p w14:paraId="4971F7D4" w14:textId="122FB023" w:rsidR="00A06387" w:rsidRPr="00E600C4" w:rsidRDefault="00A06387" w:rsidP="00A06387">
      <w:pPr>
        <w:pStyle w:val="NoSpacing"/>
        <w:rPr>
          <w:rFonts w:ascii="Times New Roman" w:hAnsi="Times New Roman"/>
          <w:b/>
          <w:bCs/>
          <w:sz w:val="24"/>
          <w:szCs w:val="24"/>
        </w:rPr>
      </w:pPr>
      <w:r w:rsidRPr="00E600C4">
        <w:rPr>
          <w:rFonts w:ascii="Times New Roman" w:hAnsi="Times New Roman"/>
          <w:bCs/>
          <w:sz w:val="24"/>
          <w:szCs w:val="24"/>
        </w:rPr>
        <w:t xml:space="preserve">On Oct. 30, 2019, in </w:t>
      </w:r>
      <w:r w:rsidRPr="00E600C4">
        <w:rPr>
          <w:rFonts w:ascii="Times New Roman" w:hAnsi="Times New Roman"/>
          <w:bCs/>
          <w:sz w:val="24"/>
          <w:szCs w:val="24"/>
          <w:u w:val="single"/>
        </w:rPr>
        <w:t xml:space="preserve">Matter </w:t>
      </w:r>
      <w:proofErr w:type="gramStart"/>
      <w:r w:rsidRPr="00E600C4">
        <w:rPr>
          <w:rFonts w:ascii="Times New Roman" w:hAnsi="Times New Roman"/>
          <w:bCs/>
          <w:sz w:val="24"/>
          <w:szCs w:val="24"/>
          <w:u w:val="single"/>
        </w:rPr>
        <w:t>Of</w:t>
      </w:r>
      <w:proofErr w:type="gramEnd"/>
      <w:r w:rsidRPr="00E600C4">
        <w:rPr>
          <w:rFonts w:ascii="Times New Roman" w:hAnsi="Times New Roman"/>
          <w:bCs/>
          <w:sz w:val="24"/>
          <w:szCs w:val="24"/>
          <w:u w:val="single"/>
        </w:rPr>
        <w:t xml:space="preserve"> City of Yonkers v. Yonkers Fire Fighters, Local 628,</w:t>
      </w:r>
      <w:r w:rsidRPr="00E600C4">
        <w:rPr>
          <w:rFonts w:ascii="Times New Roman" w:hAnsi="Times New Roman"/>
          <w:bCs/>
          <w:sz w:val="24"/>
          <w:szCs w:val="24"/>
        </w:rPr>
        <w:t xml:space="preserve"> the Supreme Court of New York,  Appellate Division (Second Judicial District), held 5 to 0 that a Judge in Westchester County (dated September 20, 2016) improperly granted the City’s petition to permanently stay arbitration.   </w:t>
      </w:r>
    </w:p>
    <w:p w14:paraId="343D676B" w14:textId="77777777" w:rsidR="00A06387" w:rsidRPr="00E600C4" w:rsidRDefault="00A06387" w:rsidP="00A06387">
      <w:pPr>
        <w:pStyle w:val="NoSpacing"/>
        <w:rPr>
          <w:rFonts w:ascii="Times New Roman" w:hAnsi="Times New Roman"/>
          <w:b/>
          <w:bCs/>
          <w:sz w:val="24"/>
          <w:szCs w:val="24"/>
        </w:rPr>
      </w:pPr>
    </w:p>
    <w:p w14:paraId="7208C993" w14:textId="77C54431" w:rsidR="00A06387" w:rsidRPr="00E600C4" w:rsidRDefault="00A06387" w:rsidP="00A06387">
      <w:pPr>
        <w:pStyle w:val="NoSpacing"/>
        <w:ind w:left="720"/>
        <w:rPr>
          <w:rFonts w:ascii="Times New Roman" w:hAnsi="Times New Roman"/>
          <w:b/>
          <w:bCs/>
          <w:sz w:val="24"/>
          <w:szCs w:val="24"/>
        </w:rPr>
      </w:pPr>
      <w:r w:rsidRPr="00E600C4">
        <w:rPr>
          <w:rFonts w:ascii="Times New Roman" w:hAnsi="Times New Roman"/>
          <w:bCs/>
          <w:sz w:val="24"/>
          <w:szCs w:val="24"/>
        </w:rPr>
        <w:t>“According to Local 628, the City, by offering a paramedic training course to its firefighters, violated article 33 of the CBA, which contains various provisions concerning the EMS Program, including a provision stating that the ‘EMS Program shall mean the level of services provided as of the date of this Agreement.’ Contrary to the City's contention, a reasonable relationship exists between Local 628's grievance and the general subject matter of the CBA.</w:t>
      </w:r>
      <w:r w:rsidR="005B7BBD">
        <w:rPr>
          <w:rFonts w:ascii="Times New Roman" w:hAnsi="Times New Roman"/>
          <w:bCs/>
          <w:sz w:val="24"/>
          <w:szCs w:val="24"/>
        </w:rPr>
        <w:t xml:space="preserve"> </w:t>
      </w:r>
      <w:r w:rsidRPr="00E600C4">
        <w:rPr>
          <w:rFonts w:ascii="Times New Roman" w:hAnsi="Times New Roman"/>
          <w:bCs/>
          <w:sz w:val="24"/>
          <w:szCs w:val="24"/>
        </w:rPr>
        <w:t>***</w:t>
      </w:r>
      <w:r w:rsidR="005B7BBD">
        <w:rPr>
          <w:rFonts w:ascii="Times New Roman" w:hAnsi="Times New Roman"/>
          <w:bCs/>
          <w:sz w:val="24"/>
          <w:szCs w:val="24"/>
        </w:rPr>
        <w:t xml:space="preserve"> </w:t>
      </w:r>
      <w:r w:rsidRPr="00E600C4">
        <w:rPr>
          <w:rFonts w:ascii="Times New Roman" w:hAnsi="Times New Roman"/>
          <w:bCs/>
          <w:sz w:val="24"/>
          <w:szCs w:val="24"/>
        </w:rPr>
        <w:t>Where, as here, the relevant arbitration provision of the CBA is broad, providing for arbitration of any grievance ‘involving the interpretation or application of any provision of this Agreement,’ a court ‘should merely determine whether there is a reasonable relationship between the subject matter of the dispute and the general subject matter of the CBA.’”</w:t>
      </w:r>
    </w:p>
    <w:p w14:paraId="562A0D5A" w14:textId="77777777" w:rsidR="00A06387" w:rsidRPr="00E600C4" w:rsidRDefault="00A06387" w:rsidP="00A06387">
      <w:pPr>
        <w:pStyle w:val="NoSpacing"/>
        <w:ind w:left="720"/>
        <w:rPr>
          <w:rFonts w:ascii="Times New Roman" w:hAnsi="Times New Roman"/>
          <w:b/>
          <w:bCs/>
          <w:sz w:val="24"/>
          <w:szCs w:val="24"/>
        </w:rPr>
      </w:pPr>
      <w:hyperlink r:id="rId2976" w:history="1">
        <w:r w:rsidRPr="00E600C4">
          <w:rPr>
            <w:rStyle w:val="Hyperlink"/>
            <w:rFonts w:ascii="Times New Roman" w:hAnsi="Times New Roman"/>
            <w:bCs/>
            <w:sz w:val="24"/>
            <w:szCs w:val="24"/>
          </w:rPr>
          <w:t>https://law.justia.com/cases/new-york/appellate-division-second-department/2019/2016-10658.html</w:t>
        </w:r>
      </w:hyperlink>
      <w:r w:rsidRPr="00E600C4">
        <w:rPr>
          <w:rFonts w:ascii="Times New Roman" w:hAnsi="Times New Roman"/>
          <w:bCs/>
          <w:sz w:val="24"/>
          <w:szCs w:val="24"/>
        </w:rPr>
        <w:t xml:space="preserve"> </w:t>
      </w:r>
    </w:p>
    <w:bookmarkEnd w:id="646"/>
    <w:p w14:paraId="683B8002" w14:textId="77777777" w:rsidR="00A06387" w:rsidRPr="00E600C4" w:rsidRDefault="00A06387" w:rsidP="00A06387">
      <w:pPr>
        <w:pStyle w:val="NoSpacing"/>
        <w:rPr>
          <w:rFonts w:ascii="Times New Roman" w:hAnsi="Times New Roman"/>
          <w:b/>
          <w:bCs/>
          <w:sz w:val="24"/>
          <w:szCs w:val="24"/>
        </w:rPr>
      </w:pPr>
    </w:p>
    <w:p w14:paraId="4B6129AF" w14:textId="609832D4" w:rsidR="00A06387" w:rsidRPr="00E600C4" w:rsidRDefault="00A06387" w:rsidP="00F326E5">
      <w:pPr>
        <w:pStyle w:val="NoSpacing"/>
        <w:rPr>
          <w:rFonts w:ascii="Times New Roman" w:hAnsi="Times New Roman"/>
          <w:sz w:val="24"/>
          <w:szCs w:val="24"/>
        </w:rPr>
      </w:pPr>
      <w:bookmarkStart w:id="647" w:name="_Hlk40517276"/>
      <w:r w:rsidRPr="00E600C4">
        <w:rPr>
          <w:rFonts w:ascii="Times New Roman" w:hAnsi="Times New Roman"/>
          <w:b/>
          <w:bCs/>
          <w:sz w:val="24"/>
          <w:szCs w:val="24"/>
        </w:rPr>
        <w:t>Legal Lessons Learned: Courts favor arbitration to resolve labor disputes</w:t>
      </w:r>
      <w:r w:rsidRPr="00E600C4">
        <w:rPr>
          <w:rFonts w:ascii="Times New Roman" w:hAnsi="Times New Roman"/>
          <w:sz w:val="24"/>
          <w:szCs w:val="24"/>
        </w:rPr>
        <w:t xml:space="preserve">.  </w:t>
      </w:r>
    </w:p>
    <w:p w14:paraId="57848C94" w14:textId="32A6D4F1" w:rsidR="00A06387" w:rsidRDefault="00A06387" w:rsidP="000C4DF5">
      <w:pPr>
        <w:pStyle w:val="NoSpacing"/>
        <w:rPr>
          <w:rFonts w:ascii="Arial Black" w:hAnsi="Arial Black"/>
          <w:sz w:val="24"/>
          <w:szCs w:val="24"/>
        </w:rPr>
      </w:pPr>
      <w:bookmarkStart w:id="648" w:name="_Hlk6757078"/>
      <w:bookmarkEnd w:id="647"/>
    </w:p>
    <w:p w14:paraId="311BDA0F" w14:textId="77777777" w:rsidR="00A06387" w:rsidRDefault="00A06387" w:rsidP="000C4DF5">
      <w:pPr>
        <w:pStyle w:val="NoSpacing"/>
        <w:rPr>
          <w:rFonts w:ascii="Arial Black" w:hAnsi="Arial Black"/>
          <w:sz w:val="24"/>
          <w:szCs w:val="24"/>
        </w:rPr>
      </w:pPr>
    </w:p>
    <w:p w14:paraId="0205C73B" w14:textId="1311E8C7" w:rsidR="000C4DF5" w:rsidRDefault="000C4DF5" w:rsidP="000C4DF5">
      <w:pPr>
        <w:pStyle w:val="NoSpacing"/>
        <w:rPr>
          <w:rFonts w:ascii="Arial Black" w:hAnsi="Arial Black"/>
          <w:sz w:val="24"/>
          <w:szCs w:val="24"/>
        </w:rPr>
      </w:pPr>
      <w:r>
        <w:rPr>
          <w:rFonts w:ascii="Arial Black" w:hAnsi="Arial Black"/>
          <w:sz w:val="24"/>
          <w:szCs w:val="24"/>
        </w:rPr>
        <w:t>17-1</w:t>
      </w:r>
    </w:p>
    <w:p w14:paraId="790B5E4D" w14:textId="6B832E97" w:rsidR="002B1283" w:rsidRPr="00EE07D9" w:rsidRDefault="002B1283" w:rsidP="002B1283">
      <w:pPr>
        <w:rPr>
          <w:rFonts w:ascii="Arial Black" w:hAnsi="Arial Black"/>
          <w:sz w:val="28"/>
          <w:szCs w:val="28"/>
        </w:rPr>
      </w:pPr>
      <w:r>
        <w:rPr>
          <w:rFonts w:ascii="Arial Black" w:hAnsi="Arial Black"/>
          <w:sz w:val="28"/>
          <w:szCs w:val="28"/>
        </w:rPr>
        <w:t xml:space="preserve">IL:  CT OVERTURNS ARBITRATOR – PURGING POLICE DISCIPLINE RECORDS IS VIOLATION OF STATE’S PUBLIC POLICY </w:t>
      </w:r>
    </w:p>
    <w:p w14:paraId="442DA037" w14:textId="77777777" w:rsidR="002B1283" w:rsidRDefault="002B1283" w:rsidP="002B1283">
      <w:pPr>
        <w:pStyle w:val="NoSpacing"/>
        <w:rPr>
          <w:rFonts w:ascii="Times New Roman" w:hAnsi="Times New Roman"/>
          <w:sz w:val="24"/>
          <w:szCs w:val="24"/>
        </w:rPr>
      </w:pPr>
      <w:r w:rsidRPr="009F6E0A">
        <w:rPr>
          <w:rFonts w:ascii="Times New Roman" w:hAnsi="Times New Roman"/>
          <w:sz w:val="24"/>
          <w:szCs w:val="24"/>
        </w:rPr>
        <w:t xml:space="preserve">On March 29, 2019, in </w:t>
      </w:r>
      <w:r w:rsidRPr="009F6E0A">
        <w:rPr>
          <w:rFonts w:ascii="Times New Roman" w:hAnsi="Times New Roman"/>
          <w:sz w:val="24"/>
          <w:szCs w:val="24"/>
          <w:u w:val="single"/>
        </w:rPr>
        <w:t>City of Chicago v. Fraternal Order of Police, Chicago Lodge No. 7</w:t>
      </w:r>
      <w:r w:rsidRPr="009F6E0A">
        <w:rPr>
          <w:rFonts w:ascii="Times New Roman" w:hAnsi="Times New Roman"/>
          <w:sz w:val="24"/>
          <w:szCs w:val="24"/>
        </w:rPr>
        <w:t>, the Illinois Appellate Court (1</w:t>
      </w:r>
      <w:r w:rsidRPr="009F6E0A">
        <w:rPr>
          <w:rFonts w:ascii="Times New Roman" w:hAnsi="Times New Roman"/>
          <w:sz w:val="24"/>
          <w:szCs w:val="24"/>
          <w:vertAlign w:val="superscript"/>
        </w:rPr>
        <w:t>st</w:t>
      </w:r>
      <w:r w:rsidRPr="009F6E0A">
        <w:rPr>
          <w:rFonts w:ascii="Times New Roman" w:hAnsi="Times New Roman"/>
          <w:sz w:val="24"/>
          <w:szCs w:val="24"/>
        </w:rPr>
        <w:t xml:space="preserve"> District) held (3 to</w:t>
      </w:r>
      <w:r>
        <w:rPr>
          <w:rFonts w:ascii="Times New Roman" w:hAnsi="Times New Roman"/>
          <w:sz w:val="24"/>
          <w:szCs w:val="24"/>
        </w:rPr>
        <w:t xml:space="preserve"> 0</w:t>
      </w:r>
      <w:r w:rsidRPr="009F6E0A">
        <w:rPr>
          <w:rFonts w:ascii="Times New Roman" w:hAnsi="Times New Roman"/>
          <w:sz w:val="24"/>
          <w:szCs w:val="24"/>
        </w:rPr>
        <w:t>) that an arbitrator’s decision upholding FOP’s grievance must be set aside</w:t>
      </w:r>
      <w:r>
        <w:rPr>
          <w:rFonts w:ascii="Times New Roman" w:hAnsi="Times New Roman"/>
          <w:sz w:val="24"/>
          <w:szCs w:val="24"/>
        </w:rPr>
        <w:t xml:space="preserve">. </w:t>
      </w:r>
    </w:p>
    <w:p w14:paraId="4BD9ED12" w14:textId="77777777" w:rsidR="002B1283" w:rsidRDefault="002B1283" w:rsidP="002B1283">
      <w:pPr>
        <w:pStyle w:val="NoSpacing"/>
        <w:ind w:left="720"/>
        <w:rPr>
          <w:rFonts w:ascii="Times New Roman" w:hAnsi="Times New Roman"/>
          <w:sz w:val="24"/>
          <w:szCs w:val="24"/>
        </w:rPr>
      </w:pPr>
    </w:p>
    <w:p w14:paraId="0268AD40"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9F6E0A">
        <w:rPr>
          <w:rFonts w:ascii="Times New Roman" w:hAnsi="Times New Roman"/>
          <w:sz w:val="24"/>
          <w:szCs w:val="24"/>
        </w:rPr>
        <w:t>The arbitration award requiring destruction of the records pursuant to section 8.4 of the CBA clearly violated well-defined Illinois public policy requiring the proper retention of important public records.</w:t>
      </w:r>
      <w:r>
        <w:rPr>
          <w:rFonts w:ascii="Times New Roman" w:hAnsi="Times New Roman"/>
          <w:sz w:val="24"/>
          <w:szCs w:val="24"/>
        </w:rPr>
        <w:t>”</w:t>
      </w:r>
    </w:p>
    <w:p w14:paraId="04CB1E56" w14:textId="77777777" w:rsidR="002B1283" w:rsidRDefault="002B1283" w:rsidP="002B1283">
      <w:pPr>
        <w:pStyle w:val="NoSpacing"/>
        <w:ind w:firstLine="720"/>
      </w:pPr>
      <w:r>
        <w:rPr>
          <w:rFonts w:ascii="Times New Roman" w:hAnsi="Times New Roman"/>
          <w:sz w:val="24"/>
          <w:szCs w:val="24"/>
        </w:rPr>
        <w:t xml:space="preserve"> </w:t>
      </w:r>
      <w:hyperlink r:id="rId2977" w:history="1">
        <w:r w:rsidRPr="00EA4578">
          <w:rPr>
            <w:rStyle w:val="Hyperlink"/>
          </w:rPr>
          <w:t>http://www.illinoiscourts.gov/Opinions/AppellateCourt/2019/1stDistrict/1172907.pdf</w:t>
        </w:r>
      </w:hyperlink>
      <w:r>
        <w:t xml:space="preserve"> </w:t>
      </w:r>
    </w:p>
    <w:p w14:paraId="7F57718D" w14:textId="77777777" w:rsidR="002B1283" w:rsidRDefault="002B1283" w:rsidP="002B1283">
      <w:pPr>
        <w:pStyle w:val="NoSpacing"/>
        <w:ind w:left="720"/>
        <w:rPr>
          <w:rFonts w:ascii="Times New Roman" w:hAnsi="Times New Roman"/>
          <w:sz w:val="24"/>
          <w:szCs w:val="24"/>
        </w:rPr>
      </w:pPr>
    </w:p>
    <w:p w14:paraId="44F61CE6" w14:textId="77777777" w:rsidR="002B1283" w:rsidRDefault="002B1283" w:rsidP="002B1283">
      <w:pPr>
        <w:pStyle w:val="NoSpacing"/>
        <w:rPr>
          <w:rFonts w:ascii="Times New Roman" w:hAnsi="Times New Roman"/>
          <w:b/>
          <w:bCs/>
          <w:sz w:val="24"/>
          <w:szCs w:val="24"/>
        </w:rPr>
      </w:pPr>
      <w:r w:rsidRPr="00FE69A5">
        <w:rPr>
          <w:rFonts w:ascii="Times New Roman" w:hAnsi="Times New Roman"/>
          <w:b/>
          <w:bCs/>
          <w:sz w:val="24"/>
          <w:szCs w:val="24"/>
        </w:rPr>
        <w:t xml:space="preserve">Legal Lessons Learned: </w:t>
      </w:r>
      <w:r>
        <w:rPr>
          <w:rFonts w:ascii="Times New Roman" w:hAnsi="Times New Roman"/>
          <w:b/>
          <w:bCs/>
          <w:sz w:val="24"/>
          <w:szCs w:val="24"/>
        </w:rPr>
        <w:t xml:space="preserve"> Purging of disciplinary records, even if authorized under a CBA,  can result in public records litigation.  </w:t>
      </w:r>
    </w:p>
    <w:p w14:paraId="30BF6D83" w14:textId="77777777" w:rsidR="002B1283" w:rsidRDefault="002B1283" w:rsidP="002B1283">
      <w:pPr>
        <w:pStyle w:val="NoSpacing"/>
        <w:rPr>
          <w:rFonts w:ascii="Times New Roman" w:hAnsi="Times New Roman"/>
          <w:b/>
          <w:bCs/>
          <w:sz w:val="24"/>
          <w:szCs w:val="24"/>
        </w:rPr>
      </w:pPr>
    </w:p>
    <w:p w14:paraId="3AD8F8C8" w14:textId="77777777" w:rsidR="002B1283" w:rsidRPr="00224971" w:rsidRDefault="002B1283" w:rsidP="002B1283">
      <w:pPr>
        <w:pStyle w:val="NoSpacing"/>
        <w:ind w:left="720"/>
        <w:rPr>
          <w:rFonts w:ascii="Times New Roman" w:hAnsi="Times New Roman"/>
          <w:sz w:val="24"/>
          <w:szCs w:val="24"/>
        </w:rPr>
      </w:pPr>
      <w:r>
        <w:rPr>
          <w:rFonts w:ascii="Times New Roman" w:hAnsi="Times New Roman"/>
          <w:sz w:val="24"/>
          <w:szCs w:val="24"/>
        </w:rPr>
        <w:t xml:space="preserve">The Court referenced a Chicago FD case where an arbitrator was overturned based on public policy.  </w:t>
      </w:r>
      <w:r w:rsidRPr="005E3D73">
        <w:rPr>
          <w:rFonts w:ascii="Times New Roman" w:hAnsi="Times New Roman"/>
          <w:sz w:val="24"/>
          <w:szCs w:val="24"/>
          <w:u w:val="single"/>
        </w:rPr>
        <w:t>Chicago Fire Fighters Union Local No. 2 v. City of Chicago</w:t>
      </w:r>
      <w:r w:rsidRPr="00224971">
        <w:rPr>
          <w:rFonts w:ascii="Times New Roman" w:hAnsi="Times New Roman"/>
          <w:sz w:val="24"/>
          <w:szCs w:val="24"/>
        </w:rPr>
        <w:t>, 323 Ill. App. 3d 168, 176-77 (2001)</w:t>
      </w:r>
      <w:r>
        <w:rPr>
          <w:rFonts w:ascii="Times New Roman" w:hAnsi="Times New Roman"/>
          <w:sz w:val="24"/>
          <w:szCs w:val="24"/>
        </w:rPr>
        <w:t>:</w:t>
      </w:r>
      <w:r w:rsidRPr="00224971">
        <w:rPr>
          <w:rFonts w:ascii="Times New Roman" w:hAnsi="Times New Roman"/>
          <w:sz w:val="24"/>
          <w:szCs w:val="24"/>
        </w:rPr>
        <w:t xml:space="preserve">  </w:t>
      </w:r>
      <w:hyperlink r:id="rId2978" w:history="1">
        <w:r w:rsidRPr="00823390">
          <w:rPr>
            <w:rStyle w:val="Hyperlink"/>
            <w:rFonts w:ascii="Times New Roman" w:hAnsi="Times New Roman"/>
            <w:sz w:val="24"/>
            <w:szCs w:val="24"/>
          </w:rPr>
          <w:t>https://law.justia.com/cases/illinois/court-of-appeals-first-appellate-district/2000/1992647.html</w:t>
        </w:r>
      </w:hyperlink>
      <w:r w:rsidRPr="00224971">
        <w:rPr>
          <w:rFonts w:ascii="Times New Roman" w:hAnsi="Times New Roman"/>
          <w:sz w:val="24"/>
          <w:szCs w:val="24"/>
        </w:rPr>
        <w:t xml:space="preserve"> </w:t>
      </w:r>
    </w:p>
    <w:p w14:paraId="30CCE15B" w14:textId="77777777" w:rsidR="002B1283" w:rsidRDefault="002B1283" w:rsidP="002B1283">
      <w:pPr>
        <w:pStyle w:val="NoSpacing"/>
        <w:ind w:left="1440"/>
        <w:rPr>
          <w:rFonts w:ascii="Times New Roman" w:hAnsi="Times New Roman"/>
          <w:sz w:val="24"/>
          <w:szCs w:val="24"/>
        </w:rPr>
      </w:pPr>
    </w:p>
    <w:p w14:paraId="3EEE2B96" w14:textId="77777777" w:rsidR="002B1283" w:rsidRPr="005E3D73" w:rsidRDefault="002B1283" w:rsidP="002B1283">
      <w:pPr>
        <w:pStyle w:val="NoSpacing"/>
        <w:ind w:left="1440"/>
        <w:rPr>
          <w:rFonts w:ascii="Times New Roman" w:hAnsi="Times New Roman"/>
          <w:sz w:val="24"/>
          <w:szCs w:val="24"/>
        </w:rPr>
      </w:pPr>
      <w:r w:rsidRPr="005E3D73">
        <w:rPr>
          <w:rFonts w:ascii="Times New Roman" w:hAnsi="Times New Roman"/>
          <w:sz w:val="24"/>
          <w:szCs w:val="24"/>
        </w:rPr>
        <w:t xml:space="preserve">“In May 1997, CFD Internal Affairs Division (‘IAD’) Executive Assistant Mark Edinburg learned of the existence of a videotape of an unauthorized retirement party held on April 12, 1990, at the CFD firehouse known as Engine 100. The videotape depicted firefighters drinking alcoholic beverages inside the firehouse; leaving the firehouse in fire trucks to respond to fire calls; some participants making offensive racial, gender and ethnic slurs; and some engaging in other conduct such as exposing their bare buttocks and genitals. Edinburg viewed the videotape on May 9, 1997. *** This matter calls upon the court to address a serious matter of public policy affecting the health, safety and welfare of the citizens of the city of Chicago.  *** The conduct at issue in the present case was recorded on </w:t>
      </w:r>
      <w:proofErr w:type="gramStart"/>
      <w:r w:rsidRPr="005E3D73">
        <w:rPr>
          <w:rFonts w:ascii="Times New Roman" w:hAnsi="Times New Roman"/>
          <w:sz w:val="24"/>
          <w:szCs w:val="24"/>
        </w:rPr>
        <w:t>video-tape</w:t>
      </w:r>
      <w:proofErr w:type="gramEnd"/>
      <w:r w:rsidRPr="005E3D73">
        <w:rPr>
          <w:rFonts w:ascii="Times New Roman" w:hAnsi="Times New Roman"/>
          <w:sz w:val="24"/>
          <w:szCs w:val="24"/>
        </w:rPr>
        <w:t xml:space="preserve"> and reveals public safety workers in an on-going state of intoxication, some participants setting about to perform their duties by way of responding to an alarm for a fire. Nevertheless, the arbitrator ordered reinstatement and barred all discipline and sanctions without considering the merits of the case. Firefighters have </w:t>
      </w:r>
      <w:proofErr w:type="gramStart"/>
      <w:r w:rsidRPr="005E3D73">
        <w:rPr>
          <w:rFonts w:ascii="Times New Roman" w:hAnsi="Times New Roman"/>
          <w:sz w:val="24"/>
          <w:szCs w:val="24"/>
        </w:rPr>
        <w:t>the</w:t>
      </w:r>
      <w:proofErr w:type="gramEnd"/>
      <w:r w:rsidRPr="005E3D73">
        <w:rPr>
          <w:rFonts w:ascii="Times New Roman" w:hAnsi="Times New Roman"/>
          <w:sz w:val="24"/>
          <w:szCs w:val="24"/>
        </w:rPr>
        <w:t xml:space="preserve"> extraordinary responsibility for carrying out the well-stated public policy of safe and effective fire prevention. Firefighters must be prepared to respond immediately to emergency conditions at all times, and in all weather conditions, whenever the alarm bell in the firehouse sounds. For these reasons, and for </w:t>
      </w:r>
      <w:proofErr w:type="gramStart"/>
      <w:r w:rsidRPr="005E3D73">
        <w:rPr>
          <w:rFonts w:ascii="Times New Roman" w:hAnsi="Times New Roman"/>
          <w:sz w:val="24"/>
          <w:szCs w:val="24"/>
        </w:rPr>
        <w:t>all of</w:t>
      </w:r>
      <w:proofErr w:type="gramEnd"/>
      <w:r w:rsidRPr="005E3D73">
        <w:rPr>
          <w:rFonts w:ascii="Times New Roman" w:hAnsi="Times New Roman"/>
          <w:sz w:val="24"/>
          <w:szCs w:val="24"/>
        </w:rPr>
        <w:t xml:space="preserve"> the reasons cited by our supreme court in AFCSME II, 173 Ill. 2d 299 et seq., we adhere to our original opinion as set forth above.”]</w:t>
      </w:r>
    </w:p>
    <w:p w14:paraId="520AF6ED" w14:textId="77777777" w:rsidR="002B1283" w:rsidRPr="005E3D73" w:rsidRDefault="002B1283" w:rsidP="002B1283">
      <w:pPr>
        <w:pStyle w:val="NoSpacing"/>
        <w:rPr>
          <w:rFonts w:ascii="Times New Roman" w:hAnsi="Times New Roman"/>
          <w:sz w:val="24"/>
          <w:szCs w:val="24"/>
        </w:rPr>
      </w:pPr>
    </w:p>
    <w:p w14:paraId="53FBA1B8" w14:textId="77777777" w:rsidR="00AE0ACC" w:rsidRDefault="00AE0ACC" w:rsidP="00AE0ACC">
      <w:pPr>
        <w:pStyle w:val="NoSpacing"/>
        <w:rPr>
          <w:sz w:val="24"/>
          <w:szCs w:val="24"/>
        </w:rPr>
      </w:pPr>
    </w:p>
    <w:p w14:paraId="02C9FCFD" w14:textId="77777777" w:rsidR="000C4DF5" w:rsidRDefault="000C4DF5" w:rsidP="00F326E5">
      <w:pPr>
        <w:rPr>
          <w:rFonts w:ascii="Arial Black" w:hAnsi="Arial Black"/>
          <w:sz w:val="28"/>
          <w:szCs w:val="28"/>
        </w:rPr>
      </w:pPr>
    </w:p>
    <w:p w14:paraId="71D7A959" w14:textId="0DDFC4E6" w:rsidR="000C4DF5" w:rsidRDefault="000C4DF5" w:rsidP="000C4DF5">
      <w:pPr>
        <w:pStyle w:val="NoSpacing"/>
        <w:rPr>
          <w:rFonts w:ascii="Arial Black" w:hAnsi="Arial Black"/>
          <w:sz w:val="24"/>
          <w:szCs w:val="24"/>
        </w:rPr>
      </w:pPr>
      <w:r>
        <w:rPr>
          <w:rFonts w:ascii="Arial Black" w:hAnsi="Arial Black"/>
          <w:sz w:val="24"/>
          <w:szCs w:val="24"/>
        </w:rPr>
        <w:t>17-2</w:t>
      </w:r>
    </w:p>
    <w:p w14:paraId="51D19F43" w14:textId="77777777" w:rsidR="000C4DF5" w:rsidRDefault="000C4DF5" w:rsidP="00F326E5">
      <w:pPr>
        <w:rPr>
          <w:rFonts w:ascii="Arial Black" w:hAnsi="Arial Black"/>
          <w:sz w:val="28"/>
          <w:szCs w:val="28"/>
        </w:rPr>
      </w:pPr>
    </w:p>
    <w:p w14:paraId="3C985A68" w14:textId="19FB1E99" w:rsidR="00F326E5" w:rsidRDefault="00F326E5" w:rsidP="00F326E5">
      <w:pPr>
        <w:rPr>
          <w:rFonts w:ascii="Arial Black" w:hAnsi="Arial Black"/>
          <w:sz w:val="28"/>
          <w:szCs w:val="28"/>
        </w:rPr>
      </w:pPr>
      <w:r w:rsidRPr="00252C5C">
        <w:rPr>
          <w:rFonts w:ascii="Arial Black" w:hAnsi="Arial Black"/>
          <w:sz w:val="28"/>
          <w:szCs w:val="28"/>
        </w:rPr>
        <w:t>NY: MIN</w:t>
      </w:r>
      <w:r>
        <w:rPr>
          <w:rFonts w:ascii="Arial Black" w:hAnsi="Arial Black"/>
          <w:sz w:val="28"/>
          <w:szCs w:val="28"/>
        </w:rPr>
        <w:t xml:space="preserve">IMUM </w:t>
      </w:r>
      <w:r w:rsidRPr="00252C5C">
        <w:rPr>
          <w:rFonts w:ascii="Arial Black" w:hAnsi="Arial Black"/>
          <w:sz w:val="28"/>
          <w:szCs w:val="28"/>
        </w:rPr>
        <w:t>MANNING</w:t>
      </w:r>
      <w:r>
        <w:rPr>
          <w:rFonts w:ascii="Arial Black" w:hAnsi="Arial Black"/>
          <w:sz w:val="28"/>
          <w:szCs w:val="28"/>
        </w:rPr>
        <w:t xml:space="preserve"> PER SHIFT - ARBITRATION - 15 FF / SHIFT – 8 CAPTAINS DEMOTED IN 2015 </w:t>
      </w:r>
    </w:p>
    <w:p w14:paraId="3BD1248B" w14:textId="77777777" w:rsidR="00F326E5" w:rsidRPr="00E600C4" w:rsidRDefault="00F326E5" w:rsidP="00F326E5">
      <w:pPr>
        <w:rPr>
          <w:rFonts w:ascii="Times New Roman" w:hAnsi="Times New Roman"/>
          <w:sz w:val="24"/>
          <w:szCs w:val="24"/>
        </w:rPr>
      </w:pPr>
      <w:r w:rsidRPr="00E600C4">
        <w:rPr>
          <w:rFonts w:ascii="Times New Roman" w:hAnsi="Times New Roman"/>
          <w:sz w:val="24"/>
          <w:szCs w:val="24"/>
        </w:rPr>
        <w:t xml:space="preserve">On </w:t>
      </w:r>
      <w:bookmarkStart w:id="649" w:name="_Hlk39861135"/>
      <w:r w:rsidRPr="00E600C4">
        <w:rPr>
          <w:rFonts w:ascii="Times New Roman" w:hAnsi="Times New Roman"/>
          <w:sz w:val="24"/>
          <w:szCs w:val="24"/>
        </w:rPr>
        <w:t xml:space="preserve">Feb. 1, 2019, </w:t>
      </w:r>
      <w:r w:rsidRPr="00E600C4">
        <w:rPr>
          <w:rFonts w:ascii="Times New Roman" w:hAnsi="Times New Roman"/>
          <w:sz w:val="24"/>
          <w:szCs w:val="24"/>
          <w:u w:val="single"/>
        </w:rPr>
        <w:t>City of Watertown v. Watertown Professional Firefighters Association, Local 191</w:t>
      </w:r>
      <w:bookmarkEnd w:id="649"/>
      <w:r w:rsidRPr="00E600C4">
        <w:rPr>
          <w:rFonts w:ascii="Times New Roman" w:hAnsi="Times New Roman"/>
          <w:sz w:val="24"/>
          <w:szCs w:val="24"/>
          <w:u w:val="single"/>
        </w:rPr>
        <w:t>,</w:t>
      </w:r>
      <w:r w:rsidRPr="00E600C4">
        <w:rPr>
          <w:rFonts w:ascii="Times New Roman" w:hAnsi="Times New Roman"/>
          <w:sz w:val="24"/>
          <w:szCs w:val="24"/>
        </w:rPr>
        <w:t xml:space="preserve"> </w:t>
      </w:r>
      <w:r w:rsidRPr="00E600C4">
        <w:rPr>
          <w:rFonts w:ascii="Times New Roman" w:hAnsi="Times New Roman"/>
          <w:bCs/>
          <w:sz w:val="24"/>
          <w:szCs w:val="24"/>
        </w:rPr>
        <w:t xml:space="preserve">2019 NY Slip Op 00753, </w:t>
      </w:r>
      <w:r w:rsidRPr="00E600C4">
        <w:rPr>
          <w:rFonts w:ascii="Times New Roman" w:hAnsi="Times New Roman"/>
          <w:sz w:val="24"/>
          <w:szCs w:val="24"/>
        </w:rPr>
        <w:t xml:space="preserve">the New York Supreme Court, Appellant Division, overturned a lower court’s decision and held (5 to 0) that any changes in minimum manning shall go to arbitration under the collective bargaining agreement. “Contrary to the City's contention, the staffing provisions do not operate to mandate a total number of firefighters that must be employed; rather, they relate solely to the minimum number of firefighters required to be present during shifts and regular operations….”  </w:t>
      </w:r>
      <w:bookmarkStart w:id="650" w:name="_Hlk39861149"/>
      <w:r w:rsidR="00B0089C">
        <w:fldChar w:fldCharType="begin"/>
      </w:r>
      <w:r w:rsidR="00B0089C">
        <w:instrText xml:space="preserve"> HYPERLINK "https://law.justia.com/cases/new-york/appellate-division-fourth-department/2019/1134-ca-18-00961.html" </w:instrText>
      </w:r>
      <w:r w:rsidR="00B0089C">
        <w:fldChar w:fldCharType="separate"/>
      </w:r>
      <w:r w:rsidRPr="00E600C4">
        <w:rPr>
          <w:rStyle w:val="Hyperlink"/>
          <w:rFonts w:ascii="Times New Roman" w:hAnsi="Times New Roman"/>
          <w:sz w:val="24"/>
          <w:szCs w:val="24"/>
        </w:rPr>
        <w:t>https://law.justia.com/cases/new-york/appellate-division-fourth-department/2019/1134-ca-18-00961.html</w:t>
      </w:r>
      <w:r w:rsidR="00B0089C">
        <w:rPr>
          <w:rStyle w:val="Hyperlink"/>
          <w:rFonts w:ascii="Times New Roman" w:hAnsi="Times New Roman"/>
          <w:sz w:val="24"/>
          <w:szCs w:val="24"/>
        </w:rPr>
        <w:fldChar w:fldCharType="end"/>
      </w:r>
      <w:r w:rsidRPr="00E600C4">
        <w:rPr>
          <w:rFonts w:ascii="Times New Roman" w:hAnsi="Times New Roman"/>
          <w:sz w:val="24"/>
          <w:szCs w:val="24"/>
        </w:rPr>
        <w:t xml:space="preserve"> </w:t>
      </w:r>
    </w:p>
    <w:bookmarkEnd w:id="650"/>
    <w:p w14:paraId="6173BD63" w14:textId="77777777" w:rsidR="00F326E5" w:rsidRPr="00E600C4" w:rsidRDefault="00F326E5" w:rsidP="00F326E5">
      <w:pPr>
        <w:pStyle w:val="NormalWeb"/>
        <w:rPr>
          <w:b/>
        </w:rPr>
      </w:pPr>
      <w:r w:rsidRPr="00E600C4">
        <w:rPr>
          <w:b/>
        </w:rPr>
        <w:t xml:space="preserve">Legal Lessons Learned:  Courts favor arbitration regarding CBA disputes, unless it </w:t>
      </w:r>
      <w:proofErr w:type="gramStart"/>
      <w:r w:rsidRPr="00E600C4">
        <w:rPr>
          <w:b/>
        </w:rPr>
        <w:t>involved</w:t>
      </w:r>
      <w:proofErr w:type="gramEnd"/>
      <w:r w:rsidRPr="00E600C4">
        <w:rPr>
          <w:b/>
        </w:rPr>
        <w:t xml:space="preserve"> items that are clearly management right (such as </w:t>
      </w:r>
      <w:proofErr w:type="gramStart"/>
      <w:r w:rsidRPr="00E600C4">
        <w:rPr>
          <w:b/>
        </w:rPr>
        <w:t>lay-offs</w:t>
      </w:r>
      <w:proofErr w:type="gramEnd"/>
      <w:r w:rsidRPr="00E600C4">
        <w:rPr>
          <w:b/>
        </w:rPr>
        <w:t xml:space="preserve">). </w:t>
      </w:r>
    </w:p>
    <w:p w14:paraId="0E34539E" w14:textId="77777777" w:rsidR="00F326E5" w:rsidRPr="00E600C4" w:rsidRDefault="00F326E5" w:rsidP="00F326E5">
      <w:pPr>
        <w:pStyle w:val="NormalWeb"/>
        <w:ind w:left="720"/>
      </w:pPr>
      <w:r w:rsidRPr="00E600C4">
        <w:t xml:space="preserve">Note: The City has reportedly decided to ask New York’s highest court [Court of Appeals – 7 Justices] to hear their appeal.  See Feb. 5, </w:t>
      </w:r>
      <w:proofErr w:type="gramStart"/>
      <w:r w:rsidRPr="00E600C4">
        <w:t>2019</w:t>
      </w:r>
      <w:proofErr w:type="gramEnd"/>
      <w:r w:rsidRPr="00E600C4">
        <w:t xml:space="preserve"> article: “</w:t>
      </w:r>
      <w:r w:rsidRPr="00E600C4">
        <w:rPr>
          <w:color w:val="000000"/>
        </w:rPr>
        <w:t xml:space="preserve">City to Take Firefighters Union to NY Supreme Court.”  </w:t>
      </w:r>
      <w:r w:rsidRPr="00E600C4">
        <w:t xml:space="preserve">“WATERTOWN — Three days after losing a lower court’s ruling, the city is taking steps to take an arbitration case against the city’s firefighters’ union to the state’s highest court. *** Coming out of a lengthy executive session, Mayor Joseph M. Butler Jr. said on Monday night the City Council agreed to file the appeal with the Court of Appeals, the state’s highest court…. With the highest court granting just a few of those requests, the city must petition the Court of Appeals and convince the seven-judge panel to take the case because the lower court’s decision was unanimous. ‘It’s a long shot,’ the mayor </w:t>
      </w:r>
      <w:proofErr w:type="gramStart"/>
      <w:r w:rsidRPr="00E600C4">
        <w:t>said.”</w:t>
      </w:r>
      <w:proofErr w:type="gramEnd"/>
      <w:r w:rsidRPr="00E600C4">
        <w:t xml:space="preserve">  </w:t>
      </w:r>
      <w:hyperlink r:id="rId2979" w:history="1">
        <w:r w:rsidRPr="00E600C4">
          <w:rPr>
            <w:rStyle w:val="Hyperlink"/>
          </w:rPr>
          <w:t>https://www.firehouse.com/careers-education/news/21056124/watertownofficials-wants-to-take-firefighters-union-to-new-york-supreme-court</w:t>
        </w:r>
      </w:hyperlink>
      <w:r w:rsidRPr="00E600C4">
        <w:t xml:space="preserve"> </w:t>
      </w:r>
    </w:p>
    <w:p w14:paraId="087889E7" w14:textId="77777777" w:rsidR="00F326E5" w:rsidRPr="00E600C4" w:rsidRDefault="00F326E5" w:rsidP="00F326E5">
      <w:pPr>
        <w:pStyle w:val="NormalWeb"/>
        <w:ind w:left="720"/>
      </w:pPr>
      <w:r w:rsidRPr="00E600C4">
        <w:t xml:space="preserve">See also Feb. 7, </w:t>
      </w:r>
      <w:proofErr w:type="gramStart"/>
      <w:r w:rsidRPr="00E600C4">
        <w:t>2019</w:t>
      </w:r>
      <w:proofErr w:type="gramEnd"/>
      <w:r w:rsidRPr="00E600C4">
        <w:t xml:space="preserve"> article: “Lawyer Fees </w:t>
      </w:r>
      <w:proofErr w:type="gramStart"/>
      <w:r w:rsidRPr="00E600C4">
        <w:t>For</w:t>
      </w:r>
      <w:proofErr w:type="gramEnd"/>
      <w:r w:rsidRPr="00E600C4">
        <w:t xml:space="preserve"> Watertown Fire Department Dispute Nearing $800,000.” </w:t>
      </w:r>
      <w:hyperlink r:id="rId2980" w:history="1">
        <w:r w:rsidRPr="00E600C4">
          <w:rPr>
            <w:rStyle w:val="Hyperlink"/>
          </w:rPr>
          <w:t>https://www.watertowndailytimes.com/news03/lawyer-fees-for-watertown-fire-department-dispute-nearing-800000-20190207</w:t>
        </w:r>
      </w:hyperlink>
      <w:r w:rsidRPr="00E600C4">
        <w:t xml:space="preserve"> </w:t>
      </w:r>
    </w:p>
    <w:p w14:paraId="5A54C6CC" w14:textId="2D23F488" w:rsidR="00F326E5" w:rsidRPr="00E600C4" w:rsidRDefault="00F326E5" w:rsidP="00E600C4">
      <w:pPr>
        <w:pStyle w:val="NormalWeb"/>
        <w:ind w:left="720"/>
      </w:pPr>
      <w:bookmarkStart w:id="651" w:name="_Hlk39861081"/>
      <w:r w:rsidRPr="00E600C4">
        <w:t xml:space="preserve">Feb. 1, 2019: NY - Watertown Firefighters Win Legal </w:t>
      </w:r>
      <w:r w:rsidR="00E600C4">
        <w:t xml:space="preserve">Victory: </w:t>
      </w:r>
      <w:hyperlink r:id="rId2981" w:history="1">
        <w:r w:rsidRPr="00E600C4">
          <w:rPr>
            <w:rStyle w:val="Hyperlink"/>
          </w:rPr>
          <w:t>https://www.wwnytv.com/story/39893183/watertown-firefighters-win-legal-victory</w:t>
        </w:r>
      </w:hyperlink>
      <w:bookmarkEnd w:id="651"/>
      <w:r w:rsidRPr="00E600C4">
        <w:t xml:space="preserve"> </w:t>
      </w:r>
    </w:p>
    <w:p w14:paraId="348ED6E4" w14:textId="77777777" w:rsidR="00CA57F1" w:rsidRDefault="00CA57F1" w:rsidP="00F326E5">
      <w:pPr>
        <w:rPr>
          <w:sz w:val="24"/>
          <w:szCs w:val="24"/>
        </w:rPr>
      </w:pPr>
      <w:bookmarkStart w:id="652" w:name="_Hlk7349662"/>
      <w:bookmarkEnd w:id="648"/>
    </w:p>
    <w:p w14:paraId="54D21001" w14:textId="77777777" w:rsidR="00CA57F1" w:rsidRDefault="00CA57F1" w:rsidP="00F326E5">
      <w:pPr>
        <w:rPr>
          <w:sz w:val="24"/>
          <w:szCs w:val="24"/>
        </w:rPr>
      </w:pPr>
    </w:p>
    <w:p w14:paraId="7BEDE829" w14:textId="77777777" w:rsidR="00CA57F1" w:rsidRDefault="00CA57F1" w:rsidP="00F326E5">
      <w:pPr>
        <w:rPr>
          <w:sz w:val="24"/>
          <w:szCs w:val="24"/>
        </w:rPr>
      </w:pPr>
    </w:p>
    <w:p w14:paraId="795075B7" w14:textId="77777777" w:rsidR="000C4DF5" w:rsidRDefault="000C4DF5" w:rsidP="00F326E5">
      <w:pPr>
        <w:rPr>
          <w:rFonts w:ascii="Arial Black" w:hAnsi="Arial Black"/>
          <w:b/>
          <w:sz w:val="28"/>
          <w:szCs w:val="28"/>
        </w:rPr>
      </w:pPr>
    </w:p>
    <w:p w14:paraId="2D825C6D" w14:textId="6514FF16" w:rsidR="000C4DF5" w:rsidRDefault="000C4DF5" w:rsidP="000C4DF5">
      <w:pPr>
        <w:pStyle w:val="NoSpacing"/>
        <w:rPr>
          <w:rFonts w:ascii="Arial Black" w:hAnsi="Arial Black"/>
          <w:sz w:val="24"/>
          <w:szCs w:val="24"/>
        </w:rPr>
      </w:pPr>
      <w:r>
        <w:rPr>
          <w:rFonts w:ascii="Arial Black" w:hAnsi="Arial Black"/>
          <w:sz w:val="24"/>
          <w:szCs w:val="24"/>
        </w:rPr>
        <w:t>17-1</w:t>
      </w:r>
    </w:p>
    <w:p w14:paraId="695CF07A" w14:textId="77777777" w:rsidR="000C4DF5" w:rsidRDefault="000C4DF5" w:rsidP="00F326E5">
      <w:pPr>
        <w:rPr>
          <w:rFonts w:ascii="Arial Black" w:hAnsi="Arial Black"/>
          <w:b/>
          <w:sz w:val="28"/>
          <w:szCs w:val="28"/>
        </w:rPr>
      </w:pPr>
    </w:p>
    <w:p w14:paraId="285D138A" w14:textId="1EC0E6A4" w:rsidR="00F326E5" w:rsidRPr="005157CA" w:rsidRDefault="00F326E5" w:rsidP="00F326E5">
      <w:pPr>
        <w:rPr>
          <w:b/>
          <w:sz w:val="24"/>
          <w:szCs w:val="24"/>
        </w:rPr>
      </w:pPr>
      <w:r w:rsidRPr="00512C93">
        <w:rPr>
          <w:rFonts w:ascii="Arial Black" w:hAnsi="Arial Black"/>
          <w:b/>
          <w:sz w:val="28"/>
          <w:szCs w:val="28"/>
        </w:rPr>
        <w:t xml:space="preserve">U.S. </w:t>
      </w:r>
      <w:r>
        <w:rPr>
          <w:rFonts w:ascii="Arial Black" w:hAnsi="Arial Black"/>
          <w:b/>
          <w:sz w:val="28"/>
          <w:szCs w:val="28"/>
        </w:rPr>
        <w:t xml:space="preserve">SUPREME COURT: ARBITRATION BINDING ON ACCOUNTANT – EMPLOYEE THEREFORE CAN’T SUE </w:t>
      </w:r>
    </w:p>
    <w:p w14:paraId="15C34DDC"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May 21, 2018, in </w:t>
      </w:r>
      <w:r w:rsidRPr="00E600C4">
        <w:rPr>
          <w:rFonts w:ascii="Times New Roman" w:hAnsi="Times New Roman"/>
          <w:sz w:val="24"/>
          <w:szCs w:val="24"/>
          <w:u w:val="single"/>
        </w:rPr>
        <w:t>Epic Systems Corp. v. Lewis</w:t>
      </w:r>
      <w:r w:rsidRPr="00E600C4">
        <w:rPr>
          <w:rFonts w:ascii="Times New Roman" w:hAnsi="Times New Roman"/>
          <w:sz w:val="24"/>
          <w:szCs w:val="24"/>
        </w:rPr>
        <w:t>, the U.S. Supreme Court (5 to 4), 584 U.S. ___ (2018), in a decision written by newly appointed Justice Gorsuch, held:</w:t>
      </w:r>
    </w:p>
    <w:p w14:paraId="54B05E62" w14:textId="77777777" w:rsidR="00E600C4" w:rsidRDefault="00E600C4" w:rsidP="00F326E5">
      <w:pPr>
        <w:pStyle w:val="NoSpacing"/>
        <w:ind w:left="720"/>
        <w:rPr>
          <w:rFonts w:ascii="Times New Roman" w:eastAsia="Times New Roman" w:hAnsi="Times New Roman"/>
          <w:sz w:val="24"/>
          <w:szCs w:val="24"/>
        </w:rPr>
      </w:pPr>
    </w:p>
    <w:p w14:paraId="008E9CCC" w14:textId="57F45D69" w:rsidR="00F326E5" w:rsidRPr="00E600C4" w:rsidRDefault="00F326E5" w:rsidP="00F326E5">
      <w:pPr>
        <w:pStyle w:val="NoSpacing"/>
        <w:ind w:left="720"/>
        <w:rPr>
          <w:rFonts w:ascii="Times New Roman" w:hAnsi="Times New Roman"/>
          <w:sz w:val="24"/>
          <w:szCs w:val="24"/>
        </w:rPr>
      </w:pPr>
      <w:r w:rsidRPr="00E600C4">
        <w:rPr>
          <w:rFonts w:ascii="Times New Roman" w:eastAsia="Times New Roman" w:hAnsi="Times New Roman"/>
          <w:sz w:val="24"/>
          <w:szCs w:val="24"/>
        </w:rPr>
        <w:t xml:space="preserve">“Should employees and employers be allowed to agree that any disputes between them will be resolved through one-on-one arbitration? Or should employees always be permitted to bring their claims in class or collective actions, no matter what they agreed with their employers?  As a matter of policy these questions are surely debatable. But as a matter of law the answer is clear. In the Federal Arbitration Act, Congress has instructed federal courts to enforce arbitration agreements according to their terms—including terms providing for individualized proceedings.” </w:t>
      </w:r>
      <w:hyperlink r:id="rId2982" w:history="1">
        <w:r w:rsidRPr="00E600C4">
          <w:rPr>
            <w:rStyle w:val="Hyperlink"/>
            <w:rFonts w:ascii="Times New Roman" w:hAnsi="Times New Roman"/>
            <w:sz w:val="24"/>
            <w:szCs w:val="24"/>
          </w:rPr>
          <w:t>https://www.supremecourt.gov/opinions/17pdf/16-285_q8l1.pdf</w:t>
        </w:r>
      </w:hyperlink>
    </w:p>
    <w:p w14:paraId="7A21EBDA" w14:textId="36776981" w:rsidR="00F326E5" w:rsidRPr="00E600C4" w:rsidRDefault="00F326E5" w:rsidP="00F326E5">
      <w:pPr>
        <w:pStyle w:val="statutory-body-3em"/>
        <w:rPr>
          <w:b/>
        </w:rPr>
      </w:pPr>
      <w:r w:rsidRPr="00E600C4">
        <w:rPr>
          <w:b/>
        </w:rPr>
        <w:t xml:space="preserve">Legal Lessons Learned:  Many employers, including private ambulance companies, will now be encouraged to have new hires sign an arbitration document.  </w:t>
      </w:r>
      <w:r w:rsidR="000C4DF5" w:rsidRPr="00E600C4">
        <w:rPr>
          <w:b/>
        </w:rPr>
        <w:t xml:space="preserve">  </w:t>
      </w:r>
    </w:p>
    <w:p w14:paraId="0261F310" w14:textId="77777777" w:rsidR="00F326E5" w:rsidRPr="00E600C4" w:rsidRDefault="00F326E5" w:rsidP="00F326E5">
      <w:pPr>
        <w:pStyle w:val="statutory-body-3em"/>
        <w:ind w:left="720"/>
      </w:pPr>
      <w:r w:rsidRPr="00E600C4">
        <w:t xml:space="preserve">AFL-CIO President Richard Trauma was quoted, “Five justices on the Supreme Court decided that it is acceptable for working people to have their legal rights taken away by corporations in order to keep their jobs.” </w:t>
      </w:r>
      <w:hyperlink r:id="rId2983" w:history="1">
        <w:r w:rsidRPr="00E600C4">
          <w:rPr>
            <w:rStyle w:val="Hyperlink"/>
          </w:rPr>
          <w:t>https://www.sfgate.com/news/article/Supreme-Court-rules-that-companies-can-require-12931130.php</w:t>
        </w:r>
      </w:hyperlink>
      <w:r w:rsidRPr="00E600C4">
        <w:t xml:space="preserve"> </w:t>
      </w:r>
    </w:p>
    <w:p w14:paraId="02B66098" w14:textId="67A86A1F" w:rsidR="00F326E5" w:rsidRPr="00E600C4" w:rsidRDefault="00F326E5" w:rsidP="00F326E5">
      <w:pPr>
        <w:pStyle w:val="NormalWeb"/>
        <w:ind w:left="720"/>
      </w:pPr>
      <w:r w:rsidRPr="00E600C4">
        <w:t xml:space="preserve">Note:  </w:t>
      </w:r>
      <w:r w:rsidR="0003275C">
        <w:t>S</w:t>
      </w:r>
      <w:r w:rsidRPr="00E600C4">
        <w:t xml:space="preserve">ee Jan. 15, </w:t>
      </w:r>
      <w:proofErr w:type="gramStart"/>
      <w:r w:rsidRPr="00E600C4">
        <w:t>2019</w:t>
      </w:r>
      <w:proofErr w:type="gramEnd"/>
      <w:r w:rsidRPr="00E600C4">
        <w:t xml:space="preserve"> U.S. Supreme Court decision in New Prime, Inc. v. Oliveira, </w:t>
      </w:r>
      <w:r w:rsidRPr="00E600C4">
        <w:rPr>
          <w:rStyle w:val="Strong"/>
        </w:rPr>
        <w:t>Holding</w:t>
      </w:r>
      <w:r w:rsidRPr="00E600C4">
        <w:rPr>
          <w:b/>
        </w:rPr>
        <w:t>:</w:t>
      </w:r>
      <w:r w:rsidRPr="00E600C4">
        <w:t xml:space="preserve"> A court should determine whether the Federal Arbitration Act’s Section 1 exclusion for disputes involving the “contracts of employment” of certain transportation workers applies before ordering arbitration; here, truck driver Dominic Oliveira’s independent contractor operating agreement with New Prime Inc. falls within that exception. </w:t>
      </w:r>
      <w:r w:rsidRPr="00E600C4">
        <w:rPr>
          <w:rStyle w:val="Strong"/>
        </w:rPr>
        <w:t>Judgment</w:t>
      </w:r>
      <w:r w:rsidRPr="00E600C4">
        <w:rPr>
          <w:b/>
        </w:rPr>
        <w:t xml:space="preserve">: </w:t>
      </w:r>
      <w:hyperlink r:id="rId2984" w:tgtFrame="_blank" w:history="1">
        <w:r w:rsidRPr="00E600C4">
          <w:rPr>
            <w:rStyle w:val="Hyperlink"/>
          </w:rPr>
          <w:t>Affirmed</w:t>
        </w:r>
      </w:hyperlink>
      <w:r w:rsidRPr="00E600C4">
        <w:t xml:space="preserve">, 8-0, in an opinion by Justice Gorsuch on January 15, 2019. Justice Ginsburg filed a concurring opinion. Justice Kavanaugh took no part in the consideration or decision of the case. </w:t>
      </w:r>
      <w:hyperlink r:id="rId2985" w:history="1">
        <w:r w:rsidRPr="00E600C4">
          <w:rPr>
            <w:rStyle w:val="Hyperlink"/>
          </w:rPr>
          <w:t>https://www.scotusblog.com/case-files/cases/new-prime-inc-v-oliveira/</w:t>
        </w:r>
      </w:hyperlink>
      <w:r w:rsidRPr="00E600C4">
        <w:t xml:space="preserve"> </w:t>
      </w:r>
    </w:p>
    <w:p w14:paraId="29A4480B" w14:textId="77777777" w:rsidR="00F326E5" w:rsidRPr="0038317F" w:rsidRDefault="00F326E5" w:rsidP="00F326E5">
      <w:pPr>
        <w:pStyle w:val="NoSpacing"/>
        <w:rPr>
          <w:rFonts w:ascii="Arial Black" w:hAnsi="Arial Black"/>
          <w:sz w:val="40"/>
          <w:szCs w:val="40"/>
        </w:rPr>
      </w:pPr>
    </w:p>
    <w:p w14:paraId="1E6C878A" w14:textId="77777777" w:rsidR="00F326E5" w:rsidRDefault="00F326E5" w:rsidP="00F326E5">
      <w:pPr>
        <w:pStyle w:val="NoSpacing"/>
        <w:rPr>
          <w:rFonts w:ascii="Arial Black" w:hAnsi="Arial Black"/>
          <w:sz w:val="40"/>
          <w:szCs w:val="40"/>
        </w:rPr>
      </w:pPr>
    </w:p>
    <w:bookmarkEnd w:id="652"/>
    <w:p w14:paraId="44987826" w14:textId="77777777" w:rsidR="00F326E5" w:rsidRDefault="00F326E5" w:rsidP="00F326E5">
      <w:pPr>
        <w:rPr>
          <w:rFonts w:ascii="Arial Black" w:hAnsi="Arial Black"/>
          <w:sz w:val="40"/>
          <w:szCs w:val="40"/>
        </w:rPr>
      </w:pPr>
      <w:r>
        <w:rPr>
          <w:rFonts w:ascii="Arial Black" w:hAnsi="Arial Black"/>
          <w:sz w:val="40"/>
          <w:szCs w:val="40"/>
        </w:rPr>
        <w:br w:type="page"/>
      </w:r>
    </w:p>
    <w:p w14:paraId="0D227104" w14:textId="6F47691A" w:rsidR="00DF36E6" w:rsidRDefault="00DF36E6">
      <w:pPr>
        <w:spacing w:after="0" w:line="240" w:lineRule="auto"/>
        <w:rPr>
          <w:rFonts w:ascii="Arial Black" w:hAnsi="Arial Black"/>
          <w:sz w:val="40"/>
          <w:szCs w:val="40"/>
        </w:rPr>
      </w:pPr>
      <w:r>
        <w:rPr>
          <w:rFonts w:ascii="Arial Black" w:hAnsi="Arial Black"/>
          <w:sz w:val="40"/>
          <w:szCs w:val="40"/>
        </w:rPr>
        <w:br w:type="page"/>
      </w:r>
    </w:p>
    <w:p w14:paraId="28461A6E" w14:textId="6E7A6496" w:rsidR="00F326E5" w:rsidRPr="007732FA" w:rsidRDefault="00F326E5" w:rsidP="00F326E5">
      <w:pPr>
        <w:pStyle w:val="NoSpacing"/>
        <w:rPr>
          <w:rFonts w:ascii="Arial Black" w:hAnsi="Arial Black"/>
          <w:sz w:val="40"/>
          <w:szCs w:val="40"/>
        </w:rPr>
      </w:pPr>
      <w:r w:rsidRPr="007732FA">
        <w:rPr>
          <w:rFonts w:ascii="Arial Black" w:hAnsi="Arial Black"/>
          <w:sz w:val="40"/>
          <w:szCs w:val="40"/>
        </w:rPr>
        <w:t xml:space="preserve">Chap. 18 </w:t>
      </w:r>
      <w:r w:rsidRPr="007732FA">
        <w:rPr>
          <w:rFonts w:ascii="Arial Black" w:hAnsi="Arial Black"/>
          <w:sz w:val="40"/>
          <w:szCs w:val="40"/>
        </w:rPr>
        <w:tab/>
      </w:r>
      <w:r w:rsidRPr="007732FA">
        <w:rPr>
          <w:rFonts w:ascii="Arial Black" w:hAnsi="Arial Black"/>
          <w:sz w:val="40"/>
          <w:szCs w:val="40"/>
        </w:rPr>
        <w:tab/>
        <w:t>Legislation</w:t>
      </w:r>
      <w:r w:rsidR="00B15008">
        <w:rPr>
          <w:rFonts w:ascii="Arial Black" w:hAnsi="Arial Black"/>
          <w:sz w:val="40"/>
          <w:szCs w:val="40"/>
        </w:rPr>
        <w:t>, incl. Public Records</w:t>
      </w:r>
      <w:r w:rsidRPr="007732FA">
        <w:rPr>
          <w:rFonts w:ascii="Arial Black" w:hAnsi="Arial Black"/>
          <w:sz w:val="40"/>
          <w:szCs w:val="40"/>
        </w:rPr>
        <w:tab/>
      </w:r>
    </w:p>
    <w:p w14:paraId="2470B286" w14:textId="77777777" w:rsidR="00F326E5" w:rsidRDefault="00F326E5" w:rsidP="00F326E5">
      <w:pPr>
        <w:pStyle w:val="NoSpacing"/>
        <w:rPr>
          <w:rFonts w:ascii="Arial Black" w:hAnsi="Arial Black"/>
          <w:sz w:val="28"/>
          <w:szCs w:val="28"/>
        </w:rPr>
      </w:pPr>
    </w:p>
    <w:p w14:paraId="0D6A90F2" w14:textId="010B8222" w:rsidR="00BE2277" w:rsidRDefault="00BE2277" w:rsidP="00BE2277">
      <w:pPr>
        <w:rPr>
          <w:rFonts w:ascii="Arial Black" w:hAnsi="Arial Black"/>
          <w:b/>
          <w:sz w:val="28"/>
          <w:szCs w:val="28"/>
        </w:rPr>
      </w:pPr>
      <w:bookmarkStart w:id="653" w:name="_Hlk66950840"/>
      <w:bookmarkStart w:id="654" w:name="_Hlk7349738"/>
      <w:r>
        <w:rPr>
          <w:rFonts w:ascii="Arial Black" w:hAnsi="Arial Black"/>
          <w:b/>
          <w:sz w:val="28"/>
          <w:szCs w:val="28"/>
        </w:rPr>
        <w:t>18-3</w:t>
      </w:r>
      <w:r>
        <w:rPr>
          <w:rFonts w:ascii="Arial Black" w:hAnsi="Arial Black"/>
          <w:b/>
          <w:sz w:val="28"/>
          <w:szCs w:val="28"/>
        </w:rPr>
        <w:t>6</w:t>
      </w:r>
    </w:p>
    <w:p w14:paraId="1FD36F89" w14:textId="77777777" w:rsidR="00BE2277" w:rsidRDefault="00BE2277" w:rsidP="00DD3023">
      <w:pPr>
        <w:pStyle w:val="NoSpacing"/>
        <w:rPr>
          <w:rFonts w:ascii="Arial Black" w:hAnsi="Arial Black"/>
          <w:sz w:val="28"/>
          <w:szCs w:val="28"/>
        </w:rPr>
      </w:pPr>
    </w:p>
    <w:p w14:paraId="57EECC72" w14:textId="5F9986C0" w:rsidR="00DD3023" w:rsidRPr="00B07EE5" w:rsidRDefault="00DD3023" w:rsidP="00DD3023">
      <w:pPr>
        <w:pStyle w:val="NoSpacing"/>
        <w:rPr>
          <w:rFonts w:ascii="Arial Black" w:hAnsi="Arial Black"/>
          <w:sz w:val="28"/>
          <w:szCs w:val="28"/>
        </w:rPr>
      </w:pPr>
      <w:r>
        <w:rPr>
          <w:rFonts w:ascii="Arial Black" w:hAnsi="Arial Black"/>
          <w:sz w:val="28"/>
          <w:szCs w:val="28"/>
        </w:rPr>
        <w:t>VA: “GOOD SAMARITAN” – NOT OVERDOSE / NO IMMUNITY</w:t>
      </w:r>
    </w:p>
    <w:p w14:paraId="7F262121" w14:textId="77777777" w:rsidR="00DD3023" w:rsidRDefault="00DD3023" w:rsidP="00DD3023">
      <w:pPr>
        <w:pStyle w:val="NoSpacing"/>
      </w:pPr>
    </w:p>
    <w:p w14:paraId="74D1E885" w14:textId="77777777" w:rsidR="00DD3023" w:rsidRPr="00DB42EA" w:rsidRDefault="00DD3023" w:rsidP="00DD3023">
      <w:pPr>
        <w:pStyle w:val="NoSpacing"/>
      </w:pPr>
      <w:r>
        <w:t xml:space="preserve">On September 15, 2026, in </w:t>
      </w:r>
      <w:r w:rsidRPr="00D0267D">
        <w:rPr>
          <w:u w:val="single"/>
        </w:rPr>
        <w:t>Jamie Nicole Garrett v. Commonwealth of Virginia</w:t>
      </w:r>
      <w:r>
        <w:t xml:space="preserve">, the </w:t>
      </w:r>
      <w:r w:rsidRPr="00DB42EA">
        <w:t>Court of Appeals of Virginia</w:t>
      </w:r>
      <w:r>
        <w:t xml:space="preserve"> held (3 to 0) that trial court properly rejected her motion to dismiss the </w:t>
      </w:r>
      <w:r w:rsidRPr="00007368">
        <w:t xml:space="preserve"> indictment for possession of a Schedule II controlled substance </w:t>
      </w:r>
      <w:r>
        <w:t xml:space="preserve">under the “Good Samaritan” statute.  An employee at 7-Eleven </w:t>
      </w:r>
      <w:proofErr w:type="gramStart"/>
      <w:r>
        <w:t>store</w:t>
      </w:r>
      <w:proofErr w:type="gramEnd"/>
      <w:r>
        <w:t xml:space="preserve">, going to work at midnight, observed defendant asleep in her running car, and called 911.  “It is not sufficient that a hypothetical reasonable person would have believed that the defendant was overdosing, nor is it sufficient that the defendant or a third-party caller sincerely but mistakenly believed that the defendant was overdosing. The statute is satisfied only by an actual overdose, not one that is imagined or </w:t>
      </w:r>
      <w:proofErr w:type="gramStart"/>
      <w:r>
        <w:t>hypothetical.”</w:t>
      </w:r>
      <w:proofErr w:type="gramEnd"/>
      <w:r>
        <w:t xml:space="preserve"> </w:t>
      </w:r>
      <w:hyperlink r:id="rId2986" w:history="1">
        <w:r w:rsidRPr="003E0DEA">
          <w:rPr>
            <w:rStyle w:val="Hyperlink"/>
          </w:rPr>
          <w:t>https://cases.justia.com/virginia/court-of-appeals-published/2026-1597-24-2.pdf?ts=1789486240</w:t>
        </w:r>
      </w:hyperlink>
      <w:r>
        <w:t xml:space="preserve"> </w:t>
      </w:r>
    </w:p>
    <w:p w14:paraId="33D22822" w14:textId="77777777" w:rsidR="00DD3023" w:rsidRDefault="00DD3023" w:rsidP="00DD3023">
      <w:pPr>
        <w:pStyle w:val="NoSpacing"/>
      </w:pPr>
    </w:p>
    <w:p w14:paraId="205A76E5" w14:textId="77777777" w:rsidR="00DD3023" w:rsidRDefault="00DD3023" w:rsidP="00DD3023">
      <w:pPr>
        <w:pStyle w:val="NoSpacing"/>
      </w:pPr>
      <w:r>
        <w:t>THE COURT WROTE:</w:t>
      </w:r>
    </w:p>
    <w:p w14:paraId="4990012A" w14:textId="77777777" w:rsidR="00DD3023" w:rsidRDefault="00DD3023" w:rsidP="00DD3023">
      <w:pPr>
        <w:pStyle w:val="NoSpacing"/>
      </w:pPr>
    </w:p>
    <w:p w14:paraId="34897729" w14:textId="77777777" w:rsidR="00DD3023" w:rsidRDefault="00DD3023" w:rsidP="00DD3023">
      <w:pPr>
        <w:pStyle w:val="NoSpacing"/>
        <w:ind w:left="720"/>
      </w:pPr>
      <w:r>
        <w:t xml:space="preserve">“The trial court denied Garrett’s motion to dismiss, finding that Garrett was not experiencing a life-threatening condition. The trial court noted that the text of the statute was ‘plainly understood’ and required that Garrett be ‘in a condition where her life is being threatened by her consumption of [controlled] substances.’… The trial court also found that </w:t>
      </w:r>
      <w:proofErr w:type="spellStart"/>
      <w:r>
        <w:t>Koutek</w:t>
      </w:r>
      <w:proofErr w:type="spellEnd"/>
      <w:r>
        <w:t xml:space="preserve"> [Brittany </w:t>
      </w:r>
      <w:proofErr w:type="spellStart"/>
      <w:r>
        <w:t>Koutek</w:t>
      </w:r>
      <w:proofErr w:type="spellEnd"/>
      <w:r>
        <w:t>, 7-Eleven employee] did not make the statutorily required request for emergency medical treatment when she called 911. As a result, the trial court denied Garrett’s motion to dismiss.</w:t>
      </w:r>
    </w:p>
    <w:p w14:paraId="18AD1DA3" w14:textId="77777777" w:rsidR="00DD3023" w:rsidRDefault="00DD3023" w:rsidP="00DD3023">
      <w:pPr>
        <w:pStyle w:val="NoSpacing"/>
        <w:ind w:left="720"/>
      </w:pPr>
    </w:p>
    <w:p w14:paraId="4456C377" w14:textId="77777777" w:rsidR="00DD3023" w:rsidRDefault="00DD3023" w:rsidP="00DD3023">
      <w:pPr>
        <w:pStyle w:val="NoSpacing"/>
        <w:ind w:left="720"/>
      </w:pPr>
      <w:r>
        <w:t>***</w:t>
      </w:r>
    </w:p>
    <w:p w14:paraId="4F95907C" w14:textId="77777777" w:rsidR="00DD3023" w:rsidRDefault="00DD3023" w:rsidP="00DD3023">
      <w:pPr>
        <w:pStyle w:val="NoSpacing"/>
      </w:pPr>
    </w:p>
    <w:p w14:paraId="37D4C03C" w14:textId="77777777" w:rsidR="00DD3023" w:rsidRDefault="00DD3023" w:rsidP="00DD3023">
      <w:pPr>
        <w:pStyle w:val="NoSpacing"/>
        <w:ind w:firstLine="720"/>
      </w:pPr>
      <w:r>
        <w:t>Under Code § 18.2-251.03(B)(1), a defendant must show that they were in fact</w:t>
      </w:r>
    </w:p>
    <w:p w14:paraId="77DF99CE" w14:textId="77777777" w:rsidR="00DD3023" w:rsidRDefault="00DD3023" w:rsidP="00DD3023">
      <w:pPr>
        <w:pStyle w:val="NoSpacing"/>
        <w:ind w:firstLine="720"/>
      </w:pPr>
      <w:r>
        <w:t>‘</w:t>
      </w:r>
      <w:proofErr w:type="gramStart"/>
      <w:r>
        <w:t>experiencing</w:t>
      </w:r>
      <w:proofErr w:type="gramEnd"/>
      <w:r>
        <w:t xml:space="preserve"> an overdose’ to be eligible for ‘full immunity’ from prosecution for certain</w:t>
      </w:r>
    </w:p>
    <w:p w14:paraId="581C7623" w14:textId="77777777" w:rsidR="00DD3023" w:rsidRDefault="00DD3023" w:rsidP="00DD3023">
      <w:pPr>
        <w:pStyle w:val="NoSpacing"/>
        <w:ind w:left="720"/>
      </w:pPr>
      <w:r>
        <w:t>offenses, including possession of a Schedule II controlled substance. Because the trial court’s conclusion that Garrett was not ‘experiencing an overdose’ was not plainly wrong, we affirm the trial court’s judgment.’</w:t>
      </w:r>
    </w:p>
    <w:p w14:paraId="56ECF1C2" w14:textId="77777777" w:rsidR="00DD3023" w:rsidRDefault="00DD3023" w:rsidP="00DD3023">
      <w:pPr>
        <w:pStyle w:val="NoSpacing"/>
        <w:ind w:left="720"/>
      </w:pPr>
    </w:p>
    <w:p w14:paraId="5B037F89" w14:textId="77777777" w:rsidR="00DD3023" w:rsidRPr="00B81730" w:rsidRDefault="00DD3023" w:rsidP="00DD3023">
      <w:pPr>
        <w:pStyle w:val="NoSpacing"/>
        <w:rPr>
          <w:b/>
          <w:bCs/>
        </w:rPr>
      </w:pPr>
      <w:r>
        <w:rPr>
          <w:b/>
        </w:rPr>
        <w:t xml:space="preserve">Legal lesson learned: Good Samaritan law is designed to encourage others to call 911 when someone is overdosing. </w:t>
      </w:r>
    </w:p>
    <w:p w14:paraId="30407F5D" w14:textId="77777777" w:rsidR="00DD3023" w:rsidRDefault="00DD3023" w:rsidP="00DD3023">
      <w:pPr>
        <w:pStyle w:val="NoSpacing"/>
        <w:rPr>
          <w:rFonts w:ascii="Arial Black" w:hAnsi="Arial Black"/>
          <w:sz w:val="28"/>
          <w:szCs w:val="28"/>
        </w:rPr>
      </w:pPr>
    </w:p>
    <w:p w14:paraId="3562EF66" w14:textId="77777777" w:rsidR="00DD3023" w:rsidRDefault="00DD3023" w:rsidP="00DD3023">
      <w:pPr>
        <w:pStyle w:val="NoSpacing"/>
      </w:pPr>
    </w:p>
    <w:p w14:paraId="203C0579" w14:textId="77777777" w:rsidR="00DD3023" w:rsidRDefault="00DD3023" w:rsidP="00D008F2">
      <w:pPr>
        <w:rPr>
          <w:rFonts w:ascii="Arial Black" w:hAnsi="Arial Black"/>
          <w:b/>
          <w:sz w:val="28"/>
          <w:szCs w:val="28"/>
        </w:rPr>
      </w:pPr>
    </w:p>
    <w:p w14:paraId="629A63AD" w14:textId="77777777" w:rsidR="00DD3023" w:rsidRDefault="00DD3023" w:rsidP="00D008F2">
      <w:pPr>
        <w:rPr>
          <w:rFonts w:ascii="Arial Black" w:hAnsi="Arial Black"/>
          <w:b/>
          <w:sz w:val="28"/>
          <w:szCs w:val="28"/>
        </w:rPr>
      </w:pPr>
    </w:p>
    <w:p w14:paraId="6724B861" w14:textId="39AAA576" w:rsidR="00D008F2" w:rsidRDefault="00D008F2" w:rsidP="00D008F2">
      <w:pPr>
        <w:rPr>
          <w:rFonts w:ascii="Arial Black" w:hAnsi="Arial Black"/>
          <w:b/>
          <w:sz w:val="28"/>
          <w:szCs w:val="28"/>
        </w:rPr>
      </w:pPr>
      <w:r>
        <w:rPr>
          <w:rFonts w:ascii="Arial Black" w:hAnsi="Arial Black"/>
          <w:b/>
          <w:sz w:val="28"/>
          <w:szCs w:val="28"/>
        </w:rPr>
        <w:t>18-35</w:t>
      </w:r>
    </w:p>
    <w:p w14:paraId="6EFC6011" w14:textId="242629F7" w:rsidR="00D008F2" w:rsidRPr="00E318ED" w:rsidRDefault="00D008F2" w:rsidP="00D008F2">
      <w:pPr>
        <w:rPr>
          <w:rFonts w:ascii="Arial Black" w:hAnsi="Arial Black"/>
          <w:b/>
          <w:sz w:val="28"/>
          <w:szCs w:val="28"/>
        </w:rPr>
      </w:pPr>
      <w:r>
        <w:rPr>
          <w:rFonts w:ascii="Arial Black" w:hAnsi="Arial Black"/>
          <w:b/>
          <w:sz w:val="28"/>
          <w:szCs w:val="28"/>
        </w:rPr>
        <w:t>TX: NO SURPRISE ACT – AIR AMBUL / FED. REGS SET ASIDE</w:t>
      </w:r>
    </w:p>
    <w:p w14:paraId="62FE64A9" w14:textId="77777777" w:rsidR="00D008F2" w:rsidRPr="002B066E" w:rsidRDefault="00D008F2" w:rsidP="00D008F2">
      <w:pPr>
        <w:pStyle w:val="NoSpacing"/>
        <w:rPr>
          <w:bCs/>
        </w:rPr>
      </w:pPr>
      <w:r w:rsidRPr="00BC1DBE">
        <w:t xml:space="preserve">On August 11, 2026, in </w:t>
      </w:r>
      <w:r w:rsidRPr="00741B73">
        <w:rPr>
          <w:u w:val="single"/>
        </w:rPr>
        <w:t>Texas Medical Association, et al. v. United States Department of Health and Human Services</w:t>
      </w:r>
      <w:r>
        <w:t xml:space="preserve">, the United States Court of Appeals for Fifth Circuit (New Orleans) held in an </w:t>
      </w:r>
      <w:proofErr w:type="spellStart"/>
      <w:r>
        <w:t>en</w:t>
      </w:r>
      <w:proofErr w:type="spellEnd"/>
      <w:r>
        <w:t xml:space="preserve"> banc decision (all 17 Judges) set aside the Federal reimbursement rate rule for medical providers such as air ambulance companies and insurance companies.  </w:t>
      </w:r>
      <w:r w:rsidRPr="002B066E">
        <w:t>In July 2021, the</w:t>
      </w:r>
    </w:p>
    <w:p w14:paraId="5468843B" w14:textId="77777777" w:rsidR="00D008F2" w:rsidRDefault="00D008F2" w:rsidP="00D008F2">
      <w:pPr>
        <w:pStyle w:val="NoSpacing"/>
        <w:rPr>
          <w:bCs/>
        </w:rPr>
      </w:pPr>
      <w:r w:rsidRPr="002B066E">
        <w:t>agencies promulgated the so-called July Rule</w:t>
      </w:r>
      <w:r>
        <w:t xml:space="preserve"> …. </w:t>
      </w:r>
      <w:r w:rsidRPr="002B066E">
        <w:t>The July Rule is</w:t>
      </w:r>
      <w:r>
        <w:t xml:space="preserve"> </w:t>
      </w:r>
      <w:r w:rsidRPr="002B066E">
        <w:t>an interim-final rule, meaning that the agencies promulgated it without notice</w:t>
      </w:r>
      <w:r>
        <w:t xml:space="preserve"> </w:t>
      </w:r>
      <w:r w:rsidRPr="002B066E">
        <w:t>and comment</w:t>
      </w:r>
      <w:r>
        <w:t xml:space="preserve">…. </w:t>
      </w:r>
      <w:r w:rsidRPr="0010380E">
        <w:t>Because the agencies directed</w:t>
      </w:r>
      <w:r>
        <w:t xml:space="preserve"> </w:t>
      </w:r>
      <w:r w:rsidRPr="006F12D7">
        <w:t>insurers to include non-negotiated ghost rates, the resulting QPAs</w:t>
      </w:r>
      <w:r>
        <w:t xml:space="preserve"> [</w:t>
      </w:r>
      <w:r w:rsidRPr="00AB69E0">
        <w:t>qualifying payment amount</w:t>
      </w:r>
      <w:r>
        <w:t xml:space="preserve">] </w:t>
      </w:r>
      <w:r w:rsidRPr="006F12D7">
        <w:t>were</w:t>
      </w:r>
      <w:r>
        <w:t xml:space="preserve"> </w:t>
      </w:r>
      <w:r w:rsidRPr="006F12D7">
        <w:t>artificially low. How do we know? For one, the number of arbitrations</w:t>
      </w:r>
      <w:r>
        <w:t xml:space="preserve"> </w:t>
      </w:r>
      <w:r w:rsidRPr="006F12D7">
        <w:t>dwarfed the agencies’ expectations by a factor of 84. For two, providers</w:t>
      </w:r>
      <w:r>
        <w:t xml:space="preserve"> </w:t>
      </w:r>
      <w:proofErr w:type="gramStart"/>
      <w:r w:rsidRPr="006F12D7">
        <w:t xml:space="preserve">prevailed </w:t>
      </w:r>
      <w:r>
        <w:t>in</w:t>
      </w:r>
      <w:proofErr w:type="gramEnd"/>
      <w:r>
        <w:t xml:space="preserve"> </w:t>
      </w:r>
      <w:r w:rsidRPr="006F12D7">
        <w:t>over 80% of arbitrations. And for three, arbitrators selected a</w:t>
      </w:r>
      <w:r>
        <w:t xml:space="preserve"> </w:t>
      </w:r>
      <w:r w:rsidRPr="006F12D7">
        <w:t>reimbursement rate higher than the QPA in a whopping 85% of arbitrations.</w:t>
      </w:r>
      <w:r>
        <w:t xml:space="preserve"> </w:t>
      </w:r>
      <w:r w:rsidRPr="006F12D7">
        <w:t>These statistics underscore that the agency’s inclusion of artificially low</w:t>
      </w:r>
      <w:r>
        <w:t xml:space="preserve"> </w:t>
      </w:r>
      <w:r w:rsidRPr="006F12D7">
        <w:t>reimbursement rates is contrary to the statutory text</w:t>
      </w:r>
      <w:r>
        <w:t>.</w:t>
      </w:r>
    </w:p>
    <w:p w14:paraId="48A5A74C" w14:textId="77777777" w:rsidR="00D008F2" w:rsidRDefault="00D008F2" w:rsidP="00D008F2">
      <w:pPr>
        <w:rPr>
          <w:b/>
        </w:rPr>
      </w:pPr>
      <w:hyperlink r:id="rId2987" w:history="1">
        <w:r w:rsidRPr="00280F1F">
          <w:rPr>
            <w:rStyle w:val="Hyperlink"/>
            <w:b/>
          </w:rPr>
          <w:t>https://www.ca5.uscourts.gov/opinions/pub/23/23-40605-CV1.pdf</w:t>
        </w:r>
      </w:hyperlink>
      <w:r>
        <w:rPr>
          <w:b/>
        </w:rPr>
        <w:t xml:space="preserve"> </w:t>
      </w:r>
    </w:p>
    <w:p w14:paraId="160FDC9D" w14:textId="77777777" w:rsidR="00D008F2" w:rsidRDefault="00D008F2" w:rsidP="00D008F2">
      <w:pPr>
        <w:pStyle w:val="NoSpacing"/>
        <w:rPr>
          <w:bCs/>
        </w:rPr>
      </w:pPr>
    </w:p>
    <w:p w14:paraId="798F29E1" w14:textId="77777777" w:rsidR="00D008F2" w:rsidRDefault="00D008F2" w:rsidP="00D008F2">
      <w:pPr>
        <w:pStyle w:val="NoSpacing"/>
        <w:rPr>
          <w:bCs/>
        </w:rPr>
      </w:pPr>
      <w:r>
        <w:t>THE COURT WROTE:</w:t>
      </w:r>
    </w:p>
    <w:p w14:paraId="04469B72" w14:textId="77777777" w:rsidR="00D008F2" w:rsidRDefault="00D008F2" w:rsidP="00D008F2">
      <w:pPr>
        <w:pStyle w:val="NoSpacing"/>
        <w:rPr>
          <w:bCs/>
        </w:rPr>
      </w:pPr>
    </w:p>
    <w:p w14:paraId="23C61DE3" w14:textId="77777777" w:rsidR="00D008F2" w:rsidRDefault="00D008F2" w:rsidP="00D008F2">
      <w:pPr>
        <w:pStyle w:val="NoSpacing"/>
        <w:ind w:left="720"/>
        <w:rPr>
          <w:bCs/>
        </w:rPr>
      </w:pPr>
      <w:r>
        <w:t>“</w:t>
      </w:r>
      <w:r w:rsidRPr="00027955">
        <w:t>The No Surprises Act (</w:t>
      </w:r>
      <w:r>
        <w:t>‘</w:t>
      </w:r>
      <w:r w:rsidRPr="00027955">
        <w:t>NSA</w:t>
      </w:r>
      <w:r>
        <w:t>’</w:t>
      </w:r>
      <w:r w:rsidRPr="00027955">
        <w:t xml:space="preserve"> or </w:t>
      </w:r>
      <w:r>
        <w:t>‘</w:t>
      </w:r>
      <w:r w:rsidRPr="00027955">
        <w:t>the Act</w:t>
      </w:r>
      <w:r>
        <w:t>’</w:t>
      </w:r>
      <w:r w:rsidRPr="00027955">
        <w:t>) mitigates unexpected</w:t>
      </w:r>
      <w:r>
        <w:t xml:space="preserve"> </w:t>
      </w:r>
      <w:r w:rsidRPr="00027955">
        <w:t>medical bills from out-of-network healthcare providers, especially in</w:t>
      </w:r>
      <w:r>
        <w:t xml:space="preserve"> </w:t>
      </w:r>
      <w:r w:rsidRPr="00027955">
        <w:t>emergencies. The Act directs insurers and healthcare providers to negotiate</w:t>
      </w:r>
      <w:r>
        <w:t xml:space="preserve"> </w:t>
      </w:r>
      <w:r w:rsidRPr="00027955">
        <w:t xml:space="preserve">reimbursement rates via an </w:t>
      </w:r>
      <w:r>
        <w:t>‘</w:t>
      </w:r>
      <w:r w:rsidRPr="00027955">
        <w:t>independent dispute resolution process,</w:t>
      </w:r>
      <w:r>
        <w:t xml:space="preserve">’ </w:t>
      </w:r>
      <w:r w:rsidRPr="00027955">
        <w:t>42</w:t>
      </w:r>
      <w:r>
        <w:t xml:space="preserve"> </w:t>
      </w:r>
      <w:r w:rsidRPr="00027955">
        <w:t>U.S.C. § 300gg-111(c), rather than leaving patients responsible for the</w:t>
      </w:r>
      <w:r>
        <w:t xml:space="preserve"> </w:t>
      </w:r>
      <w:r w:rsidRPr="00027955">
        <w:t>(potentially staggering) full balance of their treatment. That negotiation</w:t>
      </w:r>
      <w:r>
        <w:t xml:space="preserve"> </w:t>
      </w:r>
      <w:r w:rsidRPr="00027955">
        <w:t xml:space="preserve">process centers on the </w:t>
      </w:r>
      <w:r>
        <w:t>‘</w:t>
      </w:r>
      <w:r w:rsidRPr="00027955">
        <w:t>qualifying payment amount,</w:t>
      </w:r>
      <w:r>
        <w:t>’</w:t>
      </w:r>
      <w:r w:rsidRPr="00027955">
        <w:t xml:space="preserve"> or QPA.</w:t>
      </w:r>
    </w:p>
    <w:p w14:paraId="02754D28" w14:textId="77777777" w:rsidR="00D008F2" w:rsidRDefault="00D008F2" w:rsidP="00D008F2">
      <w:pPr>
        <w:pStyle w:val="NoSpacing"/>
        <w:ind w:left="720"/>
        <w:rPr>
          <w:bCs/>
        </w:rPr>
      </w:pPr>
    </w:p>
    <w:p w14:paraId="691DBA24" w14:textId="77777777" w:rsidR="00D008F2" w:rsidRDefault="00D008F2" w:rsidP="00D008F2">
      <w:pPr>
        <w:pStyle w:val="NoSpacing"/>
        <w:ind w:left="720"/>
        <w:rPr>
          <w:bCs/>
        </w:rPr>
      </w:pPr>
      <w:r>
        <w:t>***</w:t>
      </w:r>
    </w:p>
    <w:p w14:paraId="347AE347" w14:textId="77777777" w:rsidR="00D008F2" w:rsidRDefault="00D008F2" w:rsidP="00D008F2">
      <w:pPr>
        <w:pStyle w:val="NoSpacing"/>
        <w:ind w:left="720"/>
        <w:rPr>
          <w:bCs/>
        </w:rPr>
      </w:pPr>
    </w:p>
    <w:p w14:paraId="696DF05C" w14:textId="77777777" w:rsidR="00D008F2" w:rsidRDefault="00D008F2" w:rsidP="00D008F2">
      <w:pPr>
        <w:pStyle w:val="NoSpacing"/>
        <w:ind w:left="720"/>
        <w:rPr>
          <w:bCs/>
        </w:rPr>
      </w:pPr>
      <w:r w:rsidRPr="00F53AF9">
        <w:t>Because the air ambulance business model is built</w:t>
      </w:r>
      <w:r>
        <w:t xml:space="preserve"> </w:t>
      </w:r>
      <w:r w:rsidRPr="00F53AF9">
        <w:t>on avoiding in-network contracts, we cannot say it was arbitrary or capricious</w:t>
      </w:r>
      <w:r>
        <w:t xml:space="preserve"> </w:t>
      </w:r>
      <w:r w:rsidRPr="00F53AF9">
        <w:t>to exclude them from a scheme built on in-network contracts</w:t>
      </w:r>
      <w:r>
        <w:t>.</w:t>
      </w:r>
    </w:p>
    <w:p w14:paraId="39AAE3E5" w14:textId="77777777" w:rsidR="00D008F2" w:rsidRDefault="00D008F2" w:rsidP="00D008F2">
      <w:pPr>
        <w:pStyle w:val="NoSpacing"/>
        <w:ind w:left="720"/>
        <w:rPr>
          <w:bCs/>
        </w:rPr>
      </w:pPr>
    </w:p>
    <w:p w14:paraId="6BF5A64D" w14:textId="77777777" w:rsidR="00D008F2" w:rsidRDefault="00D008F2" w:rsidP="00D008F2">
      <w:pPr>
        <w:pStyle w:val="NoSpacing"/>
        <w:ind w:left="720"/>
        <w:rPr>
          <w:bCs/>
        </w:rPr>
      </w:pPr>
      <w:r>
        <w:t>***</w:t>
      </w:r>
    </w:p>
    <w:p w14:paraId="49F9B735" w14:textId="77777777" w:rsidR="00D008F2" w:rsidRPr="00E65A24" w:rsidRDefault="00D008F2" w:rsidP="00D008F2">
      <w:pPr>
        <w:pStyle w:val="NoSpacing"/>
        <w:ind w:left="720"/>
        <w:rPr>
          <w:bCs/>
        </w:rPr>
      </w:pPr>
      <w:r w:rsidRPr="00E65A24">
        <w:t>As</w:t>
      </w:r>
      <w:r>
        <w:t xml:space="preserve"> </w:t>
      </w:r>
      <w:r w:rsidRPr="00E65A24">
        <w:t xml:space="preserve">the district court put it, the QPA serves to approximate the </w:t>
      </w:r>
      <w:r>
        <w:t>‘</w:t>
      </w:r>
      <w:r w:rsidRPr="00E65A24">
        <w:t>median rate the</w:t>
      </w:r>
      <w:r>
        <w:t xml:space="preserve"> </w:t>
      </w:r>
      <w:r w:rsidRPr="00E65A24">
        <w:t>insurer would have paid for the service if provided by an in-network provider</w:t>
      </w:r>
      <w:r>
        <w:t xml:space="preserve"> </w:t>
      </w:r>
      <w:r w:rsidRPr="00E65A24">
        <w:t>or facility.</w:t>
      </w:r>
      <w:r>
        <w:t>’</w:t>
      </w:r>
      <w:r w:rsidRPr="00E65A24">
        <w:t xml:space="preserve"> But single-case agreements involve out-of-network providers’</w:t>
      </w:r>
      <w:r>
        <w:t xml:space="preserve"> </w:t>
      </w:r>
      <w:r w:rsidRPr="00E65A24">
        <w:t xml:space="preserve">performing emergency services that result in </w:t>
      </w:r>
      <w:proofErr w:type="gramStart"/>
      <w:r w:rsidRPr="00E65A24">
        <w:t>exorbitant,</w:t>
      </w:r>
      <w:r>
        <w:t xml:space="preserve"> ‘</w:t>
      </w:r>
      <w:r w:rsidRPr="00E65A24">
        <w:t>surprise</w:t>
      </w:r>
      <w:proofErr w:type="gramEnd"/>
      <w:r>
        <w:t xml:space="preserve">’ </w:t>
      </w:r>
      <w:r w:rsidRPr="00E65A24">
        <w:t xml:space="preserve"> charges</w:t>
      </w:r>
      <w:r>
        <w:t xml:space="preserve"> </w:t>
      </w:r>
      <w:r w:rsidRPr="00E65A24">
        <w:t>to unwitting patients. That the No Surprises Act would incorporate such</w:t>
      </w:r>
      <w:r>
        <w:t xml:space="preserve"> </w:t>
      </w:r>
      <w:r w:rsidRPr="00E65A24">
        <w:t>surprise rates into the QPA makes little sense. The point of the QPA is to</w:t>
      </w:r>
      <w:r>
        <w:t xml:space="preserve"> ‘</w:t>
      </w:r>
      <w:r w:rsidRPr="00E65A24">
        <w:t>reflect[] market rates under typical contract negotiations.</w:t>
      </w:r>
      <w:r>
        <w:t>’</w:t>
      </w:r>
      <w:r w:rsidRPr="00E65A24">
        <w:t xml:space="preserve"> 86 Fed. Reg. at</w:t>
      </w:r>
    </w:p>
    <w:p w14:paraId="0BF64100" w14:textId="77777777" w:rsidR="00D008F2" w:rsidRDefault="00D008F2" w:rsidP="00D008F2">
      <w:pPr>
        <w:pStyle w:val="NoSpacing"/>
        <w:ind w:left="720"/>
        <w:rPr>
          <w:bCs/>
        </w:rPr>
      </w:pPr>
      <w:r w:rsidRPr="00E65A24">
        <w:t>36,889; see also supra, Part I. Out-of-network charges for emergency care do</w:t>
      </w:r>
      <w:r>
        <w:t xml:space="preserve"> </w:t>
      </w:r>
      <w:r w:rsidRPr="00E65A24">
        <w:t>not factor into this calculus.</w:t>
      </w:r>
      <w:r>
        <w:t>”</w:t>
      </w:r>
    </w:p>
    <w:p w14:paraId="01286130" w14:textId="77777777" w:rsidR="00D008F2" w:rsidRDefault="00D008F2" w:rsidP="00D008F2">
      <w:pPr>
        <w:pStyle w:val="NoSpacing"/>
        <w:ind w:left="720"/>
        <w:rPr>
          <w:bCs/>
        </w:rPr>
      </w:pPr>
    </w:p>
    <w:p w14:paraId="05252D28" w14:textId="77777777" w:rsidR="00D008F2" w:rsidRPr="00DC3C2B" w:rsidRDefault="00D008F2" w:rsidP="00D008F2">
      <w:pPr>
        <w:rPr>
          <w:b/>
        </w:rPr>
      </w:pPr>
      <w:r>
        <w:rPr>
          <w:b/>
        </w:rPr>
        <w:t xml:space="preserve">Legal lesson learned: Reimbursement rates for air ambulance companies and other medical providers is a “hot issue.” Federal agencies need to follow APA when drafting a rule, including public notice and comment period. </w:t>
      </w:r>
    </w:p>
    <w:p w14:paraId="7E420C47" w14:textId="77777777" w:rsidR="00D008F2" w:rsidRPr="00294CD7" w:rsidRDefault="00D008F2" w:rsidP="00D008F2">
      <w:pPr>
        <w:pStyle w:val="NoSpacing"/>
        <w:ind w:left="720"/>
        <w:rPr>
          <w:b/>
        </w:rPr>
      </w:pPr>
      <w:r>
        <w:t>Note: Read this article: “</w:t>
      </w:r>
      <w:r w:rsidRPr="00767CAA">
        <w:t>The No Surprises Act: A Litigation Status Check</w:t>
      </w:r>
      <w:r>
        <w:t xml:space="preserve">” </w:t>
      </w:r>
      <w:r w:rsidRPr="00767CAA">
        <w:t xml:space="preserve">(Aug. 26, 2026). </w:t>
      </w:r>
      <w:hyperlink r:id="rId2988" w:history="1">
        <w:r w:rsidRPr="00767CAA">
          <w:rPr>
            <w:rStyle w:val="Hyperlink"/>
          </w:rPr>
          <w:t>https://www.healthaffairs.org/content/forefront/no-surprises-act-litigation-status-check</w:t>
        </w:r>
      </w:hyperlink>
      <w:r>
        <w:rPr>
          <w:b/>
        </w:rPr>
        <w:t xml:space="preserve"> </w:t>
      </w:r>
    </w:p>
    <w:p w14:paraId="46DE06B2" w14:textId="77777777" w:rsidR="00D008F2" w:rsidRDefault="00D008F2" w:rsidP="00D008F2">
      <w:pPr>
        <w:pStyle w:val="NoSpacing"/>
        <w:ind w:left="720"/>
        <w:rPr>
          <w:bCs/>
        </w:rPr>
      </w:pPr>
    </w:p>
    <w:p w14:paraId="4EB3C1D7" w14:textId="77777777" w:rsidR="00D008F2" w:rsidRDefault="00D008F2" w:rsidP="00D008F2">
      <w:pPr>
        <w:pStyle w:val="NoSpacing"/>
        <w:ind w:left="720"/>
        <w:rPr>
          <w:bCs/>
        </w:rPr>
      </w:pPr>
      <w:r>
        <w:t>“</w:t>
      </w:r>
      <w:r w:rsidRPr="005523A3">
        <w:t xml:space="preserve">Nearly five years ago, President Trump signed the </w:t>
      </w:r>
      <w:hyperlink r:id="rId2989" w:tgtFrame="_blank" w:history="1">
        <w:r w:rsidRPr="005523A3">
          <w:rPr>
            <w:rStyle w:val="Hyperlink"/>
          </w:rPr>
          <w:t>No Surprises Act</w:t>
        </w:r>
      </w:hyperlink>
      <w:r w:rsidRPr="005523A3">
        <w:t xml:space="preserve"> into law, establishing new patient protections against surprise medical bills. Since the law took effect in 2022, </w:t>
      </w:r>
      <w:hyperlink r:id="rId2990" w:tgtFrame="_blank" w:history="1">
        <w:r w:rsidRPr="005523A3">
          <w:rPr>
            <w:rStyle w:val="Hyperlink"/>
          </w:rPr>
          <w:t>millions of consumers</w:t>
        </w:r>
      </w:hyperlink>
      <w:r w:rsidRPr="005523A3">
        <w:t xml:space="preserve"> have been protected from unexpected bills for out-of-network care—from emergency services to anesthesia to air ambulance rides. While the law has </w:t>
      </w:r>
      <w:hyperlink r:id="rId2991" w:tgtFrame="_blank" w:history="1">
        <w:r w:rsidRPr="005523A3">
          <w:rPr>
            <w:rStyle w:val="Hyperlink"/>
          </w:rPr>
          <w:t>successfully protected consumers</w:t>
        </w:r>
      </w:hyperlink>
      <w:r w:rsidRPr="005523A3">
        <w:t xml:space="preserve"> from the most common types of surprise out-of-network bills, its implementation has been hobbled by </w:t>
      </w:r>
      <w:hyperlink r:id="rId2992" w:tgtFrame="_blank" w:history="1">
        <w:r w:rsidRPr="005523A3">
          <w:rPr>
            <w:rStyle w:val="Hyperlink"/>
          </w:rPr>
          <w:t>aggressive litigation</w:t>
        </w:r>
      </w:hyperlink>
      <w:r>
        <w:t xml:space="preserve">…. </w:t>
      </w:r>
      <w:r w:rsidRPr="00640405">
        <w:t xml:space="preserve">The first wave of litigation began in fall </w:t>
      </w:r>
      <w:proofErr w:type="gramStart"/>
      <w:r w:rsidRPr="00640405">
        <w:t>2021</w:t>
      </w:r>
      <w:proofErr w:type="gramEnd"/>
      <w:r w:rsidRPr="00640405">
        <w:t xml:space="preserve"> beginning with </w:t>
      </w:r>
      <w:hyperlink r:id="rId2993" w:tgtFrame="_blank" w:history="1">
        <w:r w:rsidRPr="00640405">
          <w:rPr>
            <w:rStyle w:val="Hyperlink"/>
          </w:rPr>
          <w:t>six lawsuits</w:t>
        </w:r>
      </w:hyperlink>
      <w:r w:rsidRPr="00640405">
        <w:t xml:space="preserve"> by doctors, hospitals, and air ambulance companies across five different jurisdictions. These lawsuits are now over, but these early challenges laid the groundwork for successful follow-on challenges over the next four </w:t>
      </w:r>
      <w:proofErr w:type="gramStart"/>
      <w:r w:rsidRPr="00640405">
        <w:t>years—</w:t>
      </w:r>
      <w:proofErr w:type="gramEnd"/>
      <w:r w:rsidRPr="00640405">
        <w:t xml:space="preserve">especially in the eastern district of </w:t>
      </w:r>
      <w:proofErr w:type="gramStart"/>
      <w:r w:rsidRPr="00640405">
        <w:t>Texas.</w:t>
      </w:r>
      <w:r>
        <w:t>”</w:t>
      </w:r>
      <w:proofErr w:type="gramEnd"/>
    </w:p>
    <w:p w14:paraId="61203383" w14:textId="77777777" w:rsidR="00D008F2" w:rsidRDefault="00D008F2" w:rsidP="00D008F2">
      <w:pPr>
        <w:pStyle w:val="NoSpacing"/>
        <w:ind w:left="720"/>
        <w:rPr>
          <w:bCs/>
        </w:rPr>
      </w:pPr>
    </w:p>
    <w:p w14:paraId="303E79CC" w14:textId="77777777" w:rsidR="00A26432" w:rsidRDefault="00A26432" w:rsidP="00237A65">
      <w:pPr>
        <w:pStyle w:val="NoSpacing"/>
        <w:rPr>
          <w:rFonts w:ascii="Arial Black" w:hAnsi="Arial Black"/>
          <w:sz w:val="24"/>
          <w:szCs w:val="24"/>
        </w:rPr>
      </w:pPr>
    </w:p>
    <w:p w14:paraId="2EC02F8D" w14:textId="77777777" w:rsidR="00A26432" w:rsidRDefault="00A26432" w:rsidP="00237A65">
      <w:pPr>
        <w:pStyle w:val="NoSpacing"/>
        <w:rPr>
          <w:rFonts w:ascii="Arial Black" w:hAnsi="Arial Black"/>
          <w:sz w:val="24"/>
          <w:szCs w:val="24"/>
        </w:rPr>
      </w:pPr>
    </w:p>
    <w:p w14:paraId="2963F772" w14:textId="77777777" w:rsidR="00A26432" w:rsidRDefault="00A26432" w:rsidP="00237A65">
      <w:pPr>
        <w:pStyle w:val="NoSpacing"/>
        <w:rPr>
          <w:rFonts w:ascii="Arial Black" w:hAnsi="Arial Black"/>
          <w:sz w:val="24"/>
          <w:szCs w:val="24"/>
        </w:rPr>
      </w:pPr>
    </w:p>
    <w:p w14:paraId="07083131" w14:textId="1DED084B" w:rsidR="00A4294E" w:rsidRDefault="00A4294E" w:rsidP="00237A65">
      <w:pPr>
        <w:pStyle w:val="NoSpacing"/>
        <w:rPr>
          <w:rFonts w:ascii="Arial Black" w:hAnsi="Arial Black"/>
          <w:sz w:val="28"/>
          <w:szCs w:val="28"/>
        </w:rPr>
      </w:pPr>
      <w:r>
        <w:rPr>
          <w:rFonts w:ascii="Arial Black" w:hAnsi="Arial Black"/>
          <w:sz w:val="24"/>
          <w:szCs w:val="24"/>
        </w:rPr>
        <w:t>18-34 [also filed Chap.13]</w:t>
      </w:r>
    </w:p>
    <w:p w14:paraId="0A01DFF6" w14:textId="77777777" w:rsidR="00A4294E" w:rsidRDefault="00A4294E" w:rsidP="00237A65">
      <w:pPr>
        <w:pStyle w:val="NoSpacing"/>
        <w:rPr>
          <w:rFonts w:ascii="Arial Black" w:hAnsi="Arial Black"/>
          <w:sz w:val="28"/>
          <w:szCs w:val="28"/>
        </w:rPr>
      </w:pPr>
    </w:p>
    <w:p w14:paraId="5A62591E" w14:textId="6053CD8F" w:rsidR="00237A65" w:rsidRPr="00554749" w:rsidRDefault="00237A65" w:rsidP="00237A65">
      <w:pPr>
        <w:pStyle w:val="NoSpacing"/>
        <w:rPr>
          <w:rFonts w:ascii="Arial Black" w:hAnsi="Arial Black"/>
          <w:sz w:val="28"/>
          <w:szCs w:val="28"/>
        </w:rPr>
      </w:pPr>
      <w:r>
        <w:rPr>
          <w:rFonts w:ascii="Arial Black" w:hAnsi="Arial Black"/>
          <w:sz w:val="28"/>
          <w:szCs w:val="28"/>
        </w:rPr>
        <w:t>CO: BABY “SAFE HAVEN LAW” – MOM STAYS “ANONYMOUS”</w:t>
      </w:r>
    </w:p>
    <w:p w14:paraId="0A01C139" w14:textId="77777777" w:rsidR="00237A65" w:rsidRDefault="00237A65" w:rsidP="00237A65">
      <w:pPr>
        <w:pStyle w:val="NoSpacing"/>
      </w:pPr>
    </w:p>
    <w:p w14:paraId="005E5BB6" w14:textId="77777777" w:rsidR="00237A65" w:rsidRDefault="00237A65" w:rsidP="00237A65">
      <w:r>
        <w:t xml:space="preserve">On June 8, 2026, </w:t>
      </w:r>
      <w:r w:rsidRPr="0018279B">
        <w:rPr>
          <w:u w:val="single"/>
        </w:rPr>
        <w:t>In Re The People of the State of Colorado, In The Interest of Minor Child:</w:t>
      </w:r>
      <w:r>
        <w:rPr>
          <w:u w:val="single"/>
        </w:rPr>
        <w:t xml:space="preserve"> </w:t>
      </w:r>
      <w:r w:rsidRPr="0018279B">
        <w:rPr>
          <w:u w:val="single"/>
        </w:rPr>
        <w:t>G.D.M. v. Morgan County Department of Human Services</w:t>
      </w:r>
      <w:r>
        <w:t xml:space="preserve">, </w:t>
      </w:r>
      <w:r w:rsidRPr="0018279B">
        <w:t>the Supreme Court of Colorado, En Banc</w:t>
      </w:r>
      <w:r>
        <w:t xml:space="preserve"> (6 to 1) held that with baby born in ambulance in hospital parking lot, and mother told EMS she wanted to give the baby up for adoption, the County Department of Human Services had no right to know mother’s or father’s identity. The Court wrote: “</w:t>
      </w:r>
      <w:r w:rsidRPr="00B548EE">
        <w:t>Together, these tools of construction speak in a quiet but unmistakable voice, leading us to infer that parents who avail themselves of this law are entitled to anonymity and confidentiality.</w:t>
      </w:r>
      <w:r>
        <w:t xml:space="preserve">” </w:t>
      </w:r>
      <w:hyperlink r:id="rId2994" w:history="1">
        <w:r w:rsidRPr="003E6F82">
          <w:rPr>
            <w:rStyle w:val="Hyperlink"/>
          </w:rPr>
          <w:t>https://caselaw.findlaw.com/court/co-supreme-court/111256.html</w:t>
        </w:r>
      </w:hyperlink>
      <w:r>
        <w:t xml:space="preserve"> </w:t>
      </w:r>
    </w:p>
    <w:p w14:paraId="3EF10AD7" w14:textId="77777777" w:rsidR="00237A65" w:rsidRDefault="00237A65" w:rsidP="00237A65">
      <w:pPr>
        <w:rPr>
          <w:b/>
        </w:rPr>
      </w:pPr>
    </w:p>
    <w:p w14:paraId="4039BD03" w14:textId="77777777" w:rsidR="00237A65" w:rsidRDefault="00237A65" w:rsidP="00237A65">
      <w:pPr>
        <w:rPr>
          <w:b/>
        </w:rPr>
      </w:pPr>
      <w:r>
        <w:rPr>
          <w:b/>
        </w:rPr>
        <w:t>FACTS:</w:t>
      </w:r>
    </w:p>
    <w:p w14:paraId="0214FB54" w14:textId="77777777" w:rsidR="00237A65" w:rsidRPr="00CA4A65" w:rsidRDefault="00237A65" w:rsidP="00237A65">
      <w:pPr>
        <w:pStyle w:val="NoSpacing"/>
      </w:pPr>
      <w:r>
        <w:t>“</w:t>
      </w:r>
      <w:r w:rsidRPr="00CA4A65">
        <w:t>In this case, M.O.M. (</w:t>
      </w:r>
      <w:r>
        <w:t>‘</w:t>
      </w:r>
      <w:r w:rsidRPr="00CA4A65">
        <w:t>Birth Mother</w:t>
      </w:r>
      <w:r>
        <w:t>’</w:t>
      </w:r>
      <w:r w:rsidRPr="00CA4A65">
        <w:t xml:space="preserve">) gave birth to G.D.M. in the back of an ambulance in the parking lot of a hospital. She immediately told medical staff that she neither wanted nor had the means to care for G.D.M. She added that the baby's father was not in the picture, so she wanted to give the baby up for adoption. </w:t>
      </w:r>
    </w:p>
    <w:p w14:paraId="79FA73D1" w14:textId="77777777" w:rsidR="00237A65" w:rsidRDefault="00237A65" w:rsidP="00237A65">
      <w:pPr>
        <w:pStyle w:val="NoSpacing"/>
      </w:pPr>
      <w:r w:rsidRPr="00CA4A65">
        <w:t>       </w:t>
      </w:r>
    </w:p>
    <w:p w14:paraId="183A22E0" w14:textId="77777777" w:rsidR="00237A65" w:rsidRDefault="00237A65" w:rsidP="00237A65">
      <w:pPr>
        <w:pStyle w:val="NoSpacing"/>
      </w:pPr>
      <w:r w:rsidRPr="00CA4A65">
        <w:t xml:space="preserve">The Morgan County Department of Human </w:t>
      </w:r>
      <w:proofErr w:type="gramStart"/>
      <w:r w:rsidRPr="00CA4A65">
        <w:t>Services (</w:t>
      </w:r>
      <w:r>
        <w:t>‘</w:t>
      </w:r>
      <w:r w:rsidRPr="00CA4A65">
        <w:t>MCDHS</w:t>
      </w:r>
      <w:r>
        <w:t>’</w:t>
      </w:r>
      <w:r w:rsidRPr="00CA4A65">
        <w:t>)</w:t>
      </w:r>
      <w:proofErr w:type="gramEnd"/>
      <w:r w:rsidRPr="00CA4A65">
        <w:t xml:space="preserve"> promptly initiated this dependency or </w:t>
      </w:r>
      <w:proofErr w:type="gramStart"/>
      <w:r w:rsidRPr="00CA4A65">
        <w:t>neglect</w:t>
      </w:r>
      <w:proofErr w:type="gramEnd"/>
      <w:r w:rsidRPr="00CA4A65">
        <w:t xml:space="preserve"> proceeding. Treating this case like any other abandonment matter, MCDHS </w:t>
      </w:r>
      <w:proofErr w:type="gramStart"/>
      <w:r w:rsidRPr="00CA4A65">
        <w:t>conducted an investigation</w:t>
      </w:r>
      <w:proofErr w:type="gramEnd"/>
      <w:r w:rsidRPr="00CA4A65">
        <w:t xml:space="preserve"> and, after discovering Birth Mother's identity, undertook </w:t>
      </w:r>
      <w:r>
        <w:t>‘</w:t>
      </w:r>
      <w:r w:rsidRPr="00CA4A65">
        <w:t xml:space="preserve">due </w:t>
      </w:r>
      <w:proofErr w:type="gramStart"/>
      <w:r w:rsidRPr="00CA4A65">
        <w:t>diligence</w:t>
      </w:r>
      <w:r>
        <w:t>’</w:t>
      </w:r>
      <w:proofErr w:type="gramEnd"/>
      <w:r>
        <w:t xml:space="preserve"> </w:t>
      </w:r>
      <w:r w:rsidRPr="00CA4A65">
        <w:t xml:space="preserve">efforts by contacting her family members in search of appropriate placement options. When the juvenile court realized what was occurring, it intervened to </w:t>
      </w:r>
      <w:proofErr w:type="gramStart"/>
      <w:r w:rsidRPr="00CA4A65">
        <w:t>course correct</w:t>
      </w:r>
      <w:proofErr w:type="gramEnd"/>
      <w:r w:rsidRPr="00CA4A65">
        <w:t xml:space="preserve"> by written order. The </w:t>
      </w:r>
      <w:r>
        <w:t xml:space="preserve"> </w:t>
      </w:r>
      <w:r w:rsidRPr="00CA4A65">
        <w:t>court halted MCDHS's efforts, concluding that Birth Mother had a right to anonymity and confidentiality under the Safe Haven Law.</w:t>
      </w:r>
    </w:p>
    <w:p w14:paraId="09589EDB" w14:textId="77777777" w:rsidR="00237A65" w:rsidRDefault="00237A65" w:rsidP="00237A65">
      <w:pPr>
        <w:pStyle w:val="NoSpacing"/>
      </w:pPr>
    </w:p>
    <w:p w14:paraId="27D2E2DE" w14:textId="77777777" w:rsidR="00237A65" w:rsidRDefault="00237A65" w:rsidP="00237A65">
      <w:pPr>
        <w:pStyle w:val="NoSpacing"/>
      </w:pPr>
      <w:r w:rsidRPr="00DC2200">
        <w:t>MCDHS disagreed. It filed a C.A.R. 21 petition asking us to shed light on the question, and we issued an order to show cause. MCDHS contends that the juvenile court went astray in determining that Birth Mother is entitled to anonymity and confidentiality under the Safe Haven Law. As a result, MCDHS asserts, the court improperly blocked its efforts to identify appropriate placement options for G.D.M. among Birth Mother's family members</w:t>
      </w:r>
      <w:r>
        <w:t xml:space="preserve">.” </w:t>
      </w:r>
    </w:p>
    <w:p w14:paraId="60563809" w14:textId="77777777" w:rsidR="00237A65" w:rsidRDefault="00237A65" w:rsidP="00237A65">
      <w:pPr>
        <w:pStyle w:val="NoSpacing"/>
      </w:pPr>
    </w:p>
    <w:p w14:paraId="66B0A5DB" w14:textId="77777777" w:rsidR="00237A65" w:rsidRDefault="00237A65" w:rsidP="00237A65">
      <w:pPr>
        <w:pStyle w:val="NoSpacing"/>
        <w:rPr>
          <w:b/>
          <w:bCs/>
        </w:rPr>
      </w:pPr>
      <w:r w:rsidRPr="001F38F4">
        <w:rPr>
          <w:b/>
        </w:rPr>
        <w:t xml:space="preserve">COURT HELD: </w:t>
      </w:r>
    </w:p>
    <w:p w14:paraId="21D7B4AD" w14:textId="77777777" w:rsidR="00237A65" w:rsidRDefault="00237A65" w:rsidP="00237A65">
      <w:pPr>
        <w:pStyle w:val="NoSpacing"/>
        <w:rPr>
          <w:b/>
          <w:bCs/>
        </w:rPr>
      </w:pPr>
    </w:p>
    <w:p w14:paraId="6B3B1CD3" w14:textId="77777777" w:rsidR="00237A65" w:rsidRDefault="00237A65" w:rsidP="00237A65">
      <w:pPr>
        <w:pStyle w:val="NoSpacing"/>
      </w:pPr>
      <w:r>
        <w:t>“</w:t>
      </w:r>
      <w:r w:rsidRPr="0090196A">
        <w:t xml:space="preserve">Colorado's Safe Haven Law, section 19-3-304.5(1)(b), C.R.S. (2025), affords parents of newborns a vital refuge: It allows them to voluntarily relinquish a child who is seventy-two hours old or younger into the protective hands of either a firefighter (when the firefighter is at a fire station) or certain hospital or clinic staff members (when they are at a hospital or community clinic emergency center), as long as the parent does </w:t>
      </w:r>
      <w:r>
        <w:t>‘</w:t>
      </w:r>
      <w:r w:rsidRPr="0090196A">
        <w:t>not express an intent to return for the child.</w:t>
      </w:r>
      <w:r>
        <w:t>’</w:t>
      </w:r>
      <w:r w:rsidRPr="0090196A">
        <w:t xml:space="preserve"> In extending this lifeline, the legislature also provided an assurance: Any parent who takes advantage of the Safe Haven Law</w:t>
      </w:r>
      <w:r>
        <w:t xml:space="preserve">’ </w:t>
      </w:r>
      <w:r w:rsidRPr="0090196A">
        <w:t>shall not, for that reason alone, be found to be responsible in a confirmed report of abuse or neglect.</w:t>
      </w:r>
      <w:r>
        <w:t>’</w:t>
      </w:r>
      <w:r w:rsidRPr="0090196A">
        <w:t xml:space="preserve"> § 19-3-304.5(8). </w:t>
      </w:r>
    </w:p>
    <w:p w14:paraId="55CDAB89" w14:textId="77777777" w:rsidR="00237A65" w:rsidRDefault="00237A65" w:rsidP="00237A65">
      <w:pPr>
        <w:pStyle w:val="NoSpacing"/>
      </w:pPr>
    </w:p>
    <w:p w14:paraId="4E3A7B5D" w14:textId="77777777" w:rsidR="00237A65" w:rsidRDefault="00237A65" w:rsidP="00237A65">
      <w:pPr>
        <w:pStyle w:val="NoSpacing"/>
      </w:pPr>
      <w:r>
        <w:t>***</w:t>
      </w:r>
    </w:p>
    <w:p w14:paraId="349B7B66" w14:textId="77777777" w:rsidR="00237A65" w:rsidRDefault="00237A65" w:rsidP="00237A65">
      <w:pPr>
        <w:pStyle w:val="NoSpacing"/>
      </w:pPr>
      <w:r w:rsidRPr="0082533A">
        <w:t>In short, the statute's broader provisions and the architecture they blueprint signal that the legislature meant to bestow a parent who properly invokes the Safe Haven Law with anonymity and confidentiality.</w:t>
      </w:r>
      <w:r>
        <w:t>”</w:t>
      </w:r>
    </w:p>
    <w:p w14:paraId="4BD9BF03" w14:textId="77777777" w:rsidR="00237A65" w:rsidRDefault="00237A65" w:rsidP="00237A65">
      <w:pPr>
        <w:pStyle w:val="NoSpacing"/>
      </w:pPr>
    </w:p>
    <w:p w14:paraId="7B81B073" w14:textId="77777777" w:rsidR="00237A65" w:rsidRDefault="00237A65" w:rsidP="00237A65">
      <w:pPr>
        <w:pStyle w:val="NoSpacing"/>
        <w:rPr>
          <w:b/>
          <w:bCs/>
        </w:rPr>
      </w:pPr>
      <w:r w:rsidRPr="0082533A">
        <w:rPr>
          <w:b/>
        </w:rPr>
        <w:t xml:space="preserve">Legal lesson learned: </w:t>
      </w:r>
      <w:r>
        <w:rPr>
          <w:b/>
        </w:rPr>
        <w:t xml:space="preserve">Excellent decision; helpful if statutes are explicit that mother can remain anonymous. </w:t>
      </w:r>
    </w:p>
    <w:p w14:paraId="4F5FE8AE" w14:textId="77777777" w:rsidR="00237A65" w:rsidRDefault="00237A65" w:rsidP="000C4DF5">
      <w:pPr>
        <w:pStyle w:val="NoSpacing"/>
        <w:rPr>
          <w:rFonts w:ascii="Arial Black" w:hAnsi="Arial Black"/>
          <w:sz w:val="24"/>
          <w:szCs w:val="24"/>
        </w:rPr>
      </w:pPr>
    </w:p>
    <w:p w14:paraId="7B9C3B5C" w14:textId="77777777" w:rsidR="00237A65" w:rsidRDefault="00237A65" w:rsidP="000C4DF5">
      <w:pPr>
        <w:pStyle w:val="NoSpacing"/>
        <w:rPr>
          <w:rFonts w:ascii="Arial Black" w:hAnsi="Arial Black"/>
          <w:sz w:val="24"/>
          <w:szCs w:val="24"/>
        </w:rPr>
      </w:pPr>
    </w:p>
    <w:p w14:paraId="585F3EE7" w14:textId="77777777" w:rsidR="00237A65" w:rsidRDefault="00237A65" w:rsidP="000C4DF5">
      <w:pPr>
        <w:pStyle w:val="NoSpacing"/>
        <w:rPr>
          <w:rFonts w:ascii="Arial Black" w:hAnsi="Arial Black"/>
          <w:sz w:val="24"/>
          <w:szCs w:val="24"/>
        </w:rPr>
      </w:pPr>
    </w:p>
    <w:p w14:paraId="7D8E6269" w14:textId="77777777" w:rsidR="00237A65" w:rsidRDefault="00237A65" w:rsidP="000C4DF5">
      <w:pPr>
        <w:pStyle w:val="NoSpacing"/>
        <w:rPr>
          <w:rFonts w:ascii="Arial Black" w:hAnsi="Arial Black"/>
          <w:sz w:val="24"/>
          <w:szCs w:val="24"/>
        </w:rPr>
      </w:pPr>
    </w:p>
    <w:p w14:paraId="301CBB46" w14:textId="58FD03FA" w:rsidR="006F24F3" w:rsidRDefault="006F24F3" w:rsidP="000C4DF5">
      <w:pPr>
        <w:pStyle w:val="NoSpacing"/>
        <w:rPr>
          <w:rFonts w:ascii="Arial Black" w:hAnsi="Arial Black"/>
          <w:sz w:val="24"/>
          <w:szCs w:val="24"/>
        </w:rPr>
      </w:pPr>
      <w:r>
        <w:rPr>
          <w:rFonts w:ascii="Arial Black" w:hAnsi="Arial Black"/>
          <w:sz w:val="24"/>
          <w:szCs w:val="24"/>
        </w:rPr>
        <w:t>18-3</w:t>
      </w:r>
      <w:r w:rsidR="00191CD7">
        <w:rPr>
          <w:rFonts w:ascii="Arial Black" w:hAnsi="Arial Black"/>
          <w:sz w:val="24"/>
          <w:szCs w:val="24"/>
        </w:rPr>
        <w:t>3</w:t>
      </w:r>
    </w:p>
    <w:p w14:paraId="480B3161" w14:textId="77777777" w:rsidR="00191CD7" w:rsidRDefault="00191CD7" w:rsidP="000C4DF5">
      <w:pPr>
        <w:pStyle w:val="NoSpacing"/>
        <w:rPr>
          <w:rFonts w:ascii="Arial Black" w:hAnsi="Arial Black"/>
          <w:sz w:val="24"/>
          <w:szCs w:val="24"/>
        </w:rPr>
      </w:pPr>
    </w:p>
    <w:p w14:paraId="58D0AEEC" w14:textId="188D256F" w:rsidR="00191CD7" w:rsidRPr="00191CD7" w:rsidRDefault="00191CD7" w:rsidP="00191CD7">
      <w:pPr>
        <w:pStyle w:val="NoSpacing"/>
        <w:rPr>
          <w:rFonts w:ascii="Times New Roman" w:hAnsi="Times New Roman"/>
          <w:b/>
          <w:sz w:val="24"/>
          <w:szCs w:val="24"/>
        </w:rPr>
      </w:pPr>
      <w:r>
        <w:rPr>
          <w:rFonts w:ascii="Arial Black" w:hAnsi="Arial Black"/>
          <w:b/>
          <w:sz w:val="28"/>
          <w:szCs w:val="28"/>
        </w:rPr>
        <w:t xml:space="preserve">CT: NEW DROP LAW – NOT FF UNDER 55 – CASE PROCEED  </w:t>
      </w:r>
      <w:r w:rsidRPr="00191CD7">
        <w:rPr>
          <w:rFonts w:ascii="Times New Roman" w:hAnsi="Times New Roman"/>
          <w:b/>
          <w:sz w:val="24"/>
          <w:szCs w:val="24"/>
        </w:rPr>
        <w:t xml:space="preserve">[also filed, Chap. </w:t>
      </w:r>
      <w:r w:rsidR="00D95AF9">
        <w:rPr>
          <w:rFonts w:ascii="Times New Roman" w:hAnsi="Times New Roman"/>
          <w:b/>
          <w:sz w:val="24"/>
          <w:szCs w:val="24"/>
        </w:rPr>
        <w:t>6</w:t>
      </w:r>
      <w:r w:rsidRPr="00191CD7">
        <w:rPr>
          <w:rFonts w:ascii="Times New Roman" w:hAnsi="Times New Roman"/>
          <w:b/>
          <w:sz w:val="24"/>
          <w:szCs w:val="24"/>
        </w:rPr>
        <w:t>]</w:t>
      </w:r>
    </w:p>
    <w:p w14:paraId="58D37B95" w14:textId="77777777" w:rsidR="00191CD7" w:rsidRDefault="00191CD7" w:rsidP="00191CD7">
      <w:pPr>
        <w:pStyle w:val="NoSpacing"/>
      </w:pPr>
    </w:p>
    <w:p w14:paraId="4438F9E4" w14:textId="77777777" w:rsidR="00191CD7" w:rsidRDefault="00191CD7" w:rsidP="00191CD7">
      <w:pPr>
        <w:pStyle w:val="NoSpacing"/>
      </w:pPr>
      <w:r>
        <w:t xml:space="preserve">On February 4, 2026, in </w:t>
      </w:r>
      <w:r w:rsidRPr="004C7896">
        <w:rPr>
          <w:u w:val="single"/>
        </w:rPr>
        <w:t>David Dobbs, IAFF Local 834</w:t>
      </w:r>
      <w:r>
        <w:rPr>
          <w:u w:val="single"/>
        </w:rPr>
        <w:t xml:space="preserve">, et al. </w:t>
      </w:r>
      <w:r w:rsidRPr="004C7896">
        <w:rPr>
          <w:u w:val="single"/>
        </w:rPr>
        <w:t xml:space="preserve"> v. Brian Vahey, Chair of the State of Connecticut Municipal Employees Retirement Commission, et al</w:t>
      </w:r>
      <w:r w:rsidRPr="004C7896">
        <w:t>., U.S.</w:t>
      </w:r>
      <w:r>
        <w:rPr>
          <w:u w:val="single"/>
        </w:rPr>
        <w:t xml:space="preserve"> </w:t>
      </w:r>
      <w:r>
        <w:t xml:space="preserve">District Court Judge </w:t>
      </w:r>
    </w:p>
    <w:p w14:paraId="58D775D8" w14:textId="77777777" w:rsidR="00191CD7" w:rsidRDefault="00191CD7" w:rsidP="00191CD7">
      <w:pPr>
        <w:pStyle w:val="NoSpacing"/>
      </w:pPr>
      <w:r w:rsidRPr="004F64AC">
        <w:t xml:space="preserve">Sarala V. </w:t>
      </w:r>
      <w:proofErr w:type="spellStart"/>
      <w:r w:rsidRPr="004F64AC">
        <w:t>Nagala</w:t>
      </w:r>
      <w:proofErr w:type="spellEnd"/>
      <w:r w:rsidRPr="00357297">
        <w:t>, United States United States District Court for the District of Connecticut</w:t>
      </w:r>
      <w:r>
        <w:t>, denied the Commission’s motion to dismiss (</w:t>
      </w:r>
      <w:proofErr w:type="gramStart"/>
      <w:r>
        <w:t>and also</w:t>
      </w:r>
      <w:proofErr w:type="gramEnd"/>
      <w:r>
        <w:t xml:space="preserve"> Bridgeport firefighters and Union’s motion for preliminary injunction); case will now proceed with pre-trial discovery.  The Bridgeport firefighters and Local 834 argue that it is age discrimination under the new DROP program to allow some public safety employees (including Plaintiffs) to be eligible to retire—for instance, if they have completed twenty-five years of service—but ineligible to enter the DROP, because they are not yet age 55 and have not completed thirty years of service.  </w:t>
      </w:r>
      <w:hyperlink r:id="rId2995" w:history="1">
        <w:r w:rsidRPr="00FF19A6">
          <w:rPr>
            <w:rStyle w:val="Hyperlink"/>
          </w:rPr>
          <w:t>https://ecf.ctd.uscourts.gov/cgi-bin/show_public_doc?2025cv0824-74</w:t>
        </w:r>
      </w:hyperlink>
      <w:r>
        <w:t xml:space="preserve"> </w:t>
      </w:r>
    </w:p>
    <w:p w14:paraId="5CD0CD63" w14:textId="77777777" w:rsidR="00191CD7" w:rsidRDefault="00191CD7" w:rsidP="00191CD7">
      <w:pPr>
        <w:pStyle w:val="NoSpacing"/>
      </w:pPr>
    </w:p>
    <w:p w14:paraId="51643AB6" w14:textId="77777777" w:rsidR="00191CD7" w:rsidRDefault="00191CD7" w:rsidP="00191CD7">
      <w:pPr>
        <w:pStyle w:val="NoSpacing"/>
      </w:pPr>
      <w:r>
        <w:t xml:space="preserve">THE COURT HELD: “Effective July 1, 2025, certain members of the Connecticut Municipal Employees’ Retirement System who are otherwise eligible to retire can elect to defer their retirement allowance, while continuing their employment for up to five years, under a Deferred Retirement Option Plan (‘DROP’)…. </w:t>
      </w:r>
      <w:r w:rsidRPr="00D22380">
        <w:t>Under the statute adopted by the Connecticut legislature, the Connecticut State Employees</w:t>
      </w:r>
      <w:r>
        <w:t xml:space="preserve"> </w:t>
      </w:r>
      <w:r w:rsidRPr="00D22380">
        <w:t xml:space="preserve">Retirement Commission </w:t>
      </w:r>
      <w:r>
        <w:t>‘</w:t>
      </w:r>
      <w:r w:rsidRPr="00D22380">
        <w:t>may create</w:t>
      </w:r>
      <w:r>
        <w:t>’</w:t>
      </w:r>
      <w:r w:rsidRPr="00D22380">
        <w:t xml:space="preserve"> a DROP, which </w:t>
      </w:r>
      <w:r>
        <w:t>‘</w:t>
      </w:r>
      <w:r w:rsidRPr="00D22380">
        <w:t>shall include a fixed period of time for</w:t>
      </w:r>
      <w:r>
        <w:t xml:space="preserve"> </w:t>
      </w:r>
      <w:r w:rsidRPr="00D22380">
        <w:t>member participation, not to exceed five years, and a specified rate of interest credit for member</w:t>
      </w:r>
      <w:r>
        <w:t xml:space="preserve"> </w:t>
      </w:r>
      <w:r w:rsidRPr="00D22380">
        <w:t>accounts.” Conn. Gen. Stat. § 7-459b(b)</w:t>
      </w:r>
      <w:r>
        <w:t xml:space="preserve">…. As relevant here, retirement-eligible firefighters may join the DROP at age 57 with five years of continuous service, at age 55 with 25 years of aggregate service, or with 30 years of aggregate service regardless of age. The Individual Plaintiffs, firefighters with the Bridgeport Fire Department,1 are eligible for retirement allowances by virtue of their tenure with the Fire Department, but are all under age 55, and therefore ineligible to join the DROP. *** First, the Court notes that Defendants’ argument about the rationality of the age classification—that it incentivizes skilled employees to delay their retirement beyond the date they are first eligible to collect pension benefits, thereby extending the period during which the employees contribute to the plan and delaying the time at which they begin to receive payments— are not in fact arguments about the rationality of the challenged age classification at all: they are simply arguments about the rationality of adopting a DROP as a whole….  </w:t>
      </w:r>
      <w:proofErr w:type="gramStart"/>
      <w:r>
        <w:t>(‘[</w:t>
      </w:r>
      <w:proofErr w:type="gramEnd"/>
      <w:r>
        <w:t>The DROP] is also intended to encourage . . . skilled employees to stick around and delay their retirement’). Defendants do not meaningfully explain why this reasoning would apply differently to retirement-eligible firefighters who are under age 55 than to those who are age 55 or older. The desire to keep skilled employees working for a longer period and to delay paying benefits applies to all employees, regardless of age, and therefore does not squarely address the age-55 requirement Plaintiffs challenge here.”</w:t>
      </w:r>
    </w:p>
    <w:p w14:paraId="0D2D399A" w14:textId="77777777" w:rsidR="00191CD7" w:rsidRDefault="00191CD7" w:rsidP="00191CD7">
      <w:pPr>
        <w:pStyle w:val="NoSpacing"/>
      </w:pPr>
    </w:p>
    <w:p w14:paraId="1B07887D" w14:textId="77777777" w:rsidR="00191CD7" w:rsidRDefault="00191CD7" w:rsidP="00191CD7">
      <w:pPr>
        <w:pStyle w:val="NoSpacing"/>
        <w:rPr>
          <w:b/>
          <w:bCs/>
        </w:rPr>
      </w:pPr>
      <w:r w:rsidRPr="007A4F40">
        <w:rPr>
          <w:b/>
        </w:rPr>
        <w:t xml:space="preserve">Legal lesson learned: </w:t>
      </w:r>
      <w:r>
        <w:rPr>
          <w:b/>
        </w:rPr>
        <w:t xml:space="preserve">The case will now proceed with pre-trial discovery; the Commission will then likely file a motion for summary judgment that addresses the cost reasons for keeping eligibility at age 55 or older. </w:t>
      </w:r>
    </w:p>
    <w:p w14:paraId="0B0BD817" w14:textId="77777777" w:rsidR="00191CD7" w:rsidRDefault="00191CD7" w:rsidP="00191CD7">
      <w:pPr>
        <w:pStyle w:val="NoSpacing"/>
        <w:rPr>
          <w:b/>
          <w:bCs/>
        </w:rPr>
      </w:pPr>
    </w:p>
    <w:p w14:paraId="606D9211" w14:textId="77777777" w:rsidR="00191CD7" w:rsidRDefault="00191CD7" w:rsidP="00191CD7">
      <w:pPr>
        <w:pStyle w:val="NoSpacing"/>
      </w:pPr>
      <w:r>
        <w:tab/>
        <w:t xml:space="preserve">Note: See Ohio DROP. </w:t>
      </w:r>
      <w:hyperlink r:id="rId2996" w:history="1">
        <w:r w:rsidRPr="00FF19A6">
          <w:rPr>
            <w:rStyle w:val="Hyperlink"/>
          </w:rPr>
          <w:t>https://www.op-f.org/files/mgdrop.pdf</w:t>
        </w:r>
      </w:hyperlink>
      <w:r>
        <w:t xml:space="preserve"> </w:t>
      </w:r>
    </w:p>
    <w:p w14:paraId="66897A5A" w14:textId="77777777" w:rsidR="00191CD7" w:rsidRDefault="00191CD7" w:rsidP="00191CD7">
      <w:pPr>
        <w:pStyle w:val="NoSpacing"/>
        <w:ind w:left="720"/>
      </w:pPr>
      <w:r>
        <w:t>“If you are eligible for a normal service retirement you can enter the DROP</w:t>
      </w:r>
    </w:p>
    <w:p w14:paraId="4327C947" w14:textId="77777777" w:rsidR="00191CD7" w:rsidRDefault="00191CD7" w:rsidP="00191CD7">
      <w:pPr>
        <w:pStyle w:val="NoSpacing"/>
        <w:ind w:firstLine="720"/>
      </w:pPr>
      <w:r>
        <w:t>program by delaying retirement and continuing to work as a police officer or</w:t>
      </w:r>
    </w:p>
    <w:p w14:paraId="686188EC" w14:textId="77777777" w:rsidR="00191CD7" w:rsidRDefault="00191CD7" w:rsidP="00191CD7">
      <w:pPr>
        <w:pStyle w:val="NoSpacing"/>
        <w:ind w:firstLine="720"/>
      </w:pPr>
      <w:r>
        <w:t>firefighter. For those who were OP&amp;F members on or before July 1, 2013,</w:t>
      </w:r>
    </w:p>
    <w:p w14:paraId="00CEC7AA" w14:textId="77777777" w:rsidR="00191CD7" w:rsidRDefault="00191CD7" w:rsidP="00191CD7">
      <w:pPr>
        <w:pStyle w:val="NoSpacing"/>
        <w:ind w:firstLine="720"/>
      </w:pPr>
      <w:proofErr w:type="gramStart"/>
      <w:r>
        <w:t>normal</w:t>
      </w:r>
      <w:proofErr w:type="gramEnd"/>
      <w:r>
        <w:t xml:space="preserve"> service retirement eligibility is at least 48 years of age with at least 25 years</w:t>
      </w:r>
    </w:p>
    <w:p w14:paraId="17CE76E3" w14:textId="77777777" w:rsidR="00191CD7" w:rsidRDefault="00191CD7" w:rsidP="00191CD7">
      <w:pPr>
        <w:pStyle w:val="NoSpacing"/>
        <w:ind w:firstLine="720"/>
      </w:pPr>
      <w:r>
        <w:t>of service. For members hired into an OP&amp;F-covered position after July 1, 2013,</w:t>
      </w:r>
    </w:p>
    <w:p w14:paraId="66B3A9CC" w14:textId="77777777" w:rsidR="00191CD7" w:rsidRPr="004749CB" w:rsidRDefault="00191CD7" w:rsidP="00191CD7">
      <w:pPr>
        <w:pStyle w:val="NoSpacing"/>
        <w:ind w:firstLine="720"/>
      </w:pPr>
      <w:r>
        <w:t>normal service retirement is age 52 with at least 25 years of service.”</w:t>
      </w:r>
    </w:p>
    <w:p w14:paraId="1585D975" w14:textId="77777777" w:rsidR="00191CD7" w:rsidRDefault="00191CD7" w:rsidP="00191CD7">
      <w:pPr>
        <w:pStyle w:val="NoSpacing"/>
      </w:pPr>
    </w:p>
    <w:p w14:paraId="4AF40D4F" w14:textId="77777777" w:rsidR="00191CD7" w:rsidRDefault="00191CD7" w:rsidP="00191CD7">
      <w:pPr>
        <w:pStyle w:val="NoSpacing"/>
      </w:pPr>
    </w:p>
    <w:p w14:paraId="6A51A26A" w14:textId="77777777" w:rsidR="00191CD7" w:rsidRDefault="00191CD7" w:rsidP="000C4DF5">
      <w:pPr>
        <w:pStyle w:val="NoSpacing"/>
        <w:rPr>
          <w:rFonts w:ascii="Arial Black" w:hAnsi="Arial Black"/>
          <w:sz w:val="24"/>
          <w:szCs w:val="24"/>
        </w:rPr>
      </w:pPr>
    </w:p>
    <w:p w14:paraId="6B8C9190" w14:textId="77777777" w:rsidR="006F24F3" w:rsidRDefault="006F24F3" w:rsidP="000C4DF5">
      <w:pPr>
        <w:pStyle w:val="NoSpacing"/>
        <w:rPr>
          <w:rFonts w:ascii="Arial Black" w:hAnsi="Arial Black"/>
          <w:sz w:val="24"/>
          <w:szCs w:val="24"/>
        </w:rPr>
      </w:pPr>
    </w:p>
    <w:p w14:paraId="7E4D0B21" w14:textId="33AF242C" w:rsidR="006F24F3" w:rsidRDefault="00D95AF9" w:rsidP="000C4DF5">
      <w:pPr>
        <w:pStyle w:val="NoSpacing"/>
        <w:rPr>
          <w:rFonts w:ascii="Arial Black" w:hAnsi="Arial Black"/>
          <w:sz w:val="24"/>
          <w:szCs w:val="24"/>
        </w:rPr>
      </w:pPr>
      <w:r>
        <w:rPr>
          <w:rFonts w:ascii="Arial Black" w:hAnsi="Arial Black"/>
          <w:sz w:val="24"/>
          <w:szCs w:val="24"/>
        </w:rPr>
        <w:t>18-32</w:t>
      </w:r>
    </w:p>
    <w:p w14:paraId="5FF7FDD2" w14:textId="77777777" w:rsidR="00740EF2" w:rsidRDefault="00740EF2" w:rsidP="000C4DF5">
      <w:pPr>
        <w:pStyle w:val="NoSpacing"/>
        <w:rPr>
          <w:rFonts w:ascii="Arial Black" w:hAnsi="Arial Black"/>
          <w:sz w:val="24"/>
          <w:szCs w:val="24"/>
        </w:rPr>
      </w:pPr>
    </w:p>
    <w:p w14:paraId="19BC6712" w14:textId="37DFFE8F" w:rsidR="00740EF2" w:rsidRPr="00956699" w:rsidRDefault="00740EF2" w:rsidP="00740EF2">
      <w:pPr>
        <w:pStyle w:val="NoSpacing"/>
        <w:rPr>
          <w:rFonts w:ascii="Times New Roman" w:hAnsi="Times New Roman"/>
          <w:b/>
          <w:bCs/>
          <w:sz w:val="24"/>
          <w:szCs w:val="24"/>
        </w:rPr>
      </w:pPr>
      <w:r>
        <w:rPr>
          <w:rFonts w:ascii="Arial Black" w:hAnsi="Arial Black"/>
          <w:sz w:val="28"/>
          <w:szCs w:val="28"/>
        </w:rPr>
        <w:t>FL: “HALO LAW”  – 25 FEET NO APPROACH ZONE</w:t>
      </w:r>
      <w:r>
        <w:t xml:space="preserve">  </w:t>
      </w:r>
      <w:r w:rsidRPr="00E96FEA">
        <w:rPr>
          <w:rFonts w:ascii="Arial Black" w:hAnsi="Arial Black"/>
          <w:sz w:val="28"/>
          <w:szCs w:val="28"/>
        </w:rPr>
        <w:t xml:space="preserve">- </w:t>
      </w:r>
      <w:r>
        <w:rPr>
          <w:rFonts w:ascii="Arial Black" w:hAnsi="Arial Black"/>
          <w:sz w:val="28"/>
          <w:szCs w:val="28"/>
        </w:rPr>
        <w:t xml:space="preserve">Eff. </w:t>
      </w:r>
      <w:r w:rsidRPr="00E96FEA">
        <w:rPr>
          <w:rFonts w:ascii="Arial Black" w:hAnsi="Arial Black"/>
          <w:sz w:val="28"/>
          <w:szCs w:val="28"/>
        </w:rPr>
        <w:t>1/1/2025</w:t>
      </w:r>
      <w:r>
        <w:rPr>
          <w:rFonts w:ascii="Arial Black" w:hAnsi="Arial Black"/>
          <w:sz w:val="28"/>
          <w:szCs w:val="28"/>
        </w:rPr>
        <w:t xml:space="preserve">  </w:t>
      </w:r>
      <w:r w:rsidRPr="00956699">
        <w:rPr>
          <w:rFonts w:ascii="Times New Roman" w:hAnsi="Times New Roman"/>
          <w:b/>
          <w:bCs/>
          <w:sz w:val="24"/>
          <w:szCs w:val="24"/>
        </w:rPr>
        <w:t>[als</w:t>
      </w:r>
      <w:r w:rsidR="00956699" w:rsidRPr="00956699">
        <w:rPr>
          <w:rFonts w:ascii="Times New Roman" w:hAnsi="Times New Roman"/>
          <w:b/>
          <w:bCs/>
          <w:sz w:val="24"/>
          <w:szCs w:val="24"/>
        </w:rPr>
        <w:t>o filed, Chap. 2]</w:t>
      </w:r>
    </w:p>
    <w:p w14:paraId="6BCAD223" w14:textId="77777777" w:rsidR="00740EF2" w:rsidRDefault="00740EF2" w:rsidP="00740EF2">
      <w:pPr>
        <w:pStyle w:val="NoSpacing"/>
      </w:pPr>
    </w:p>
    <w:p w14:paraId="5EEC762F" w14:textId="77777777" w:rsidR="00740EF2" w:rsidRPr="009564B9" w:rsidRDefault="00740EF2" w:rsidP="00740EF2">
      <w:pPr>
        <w:pStyle w:val="NoSpacing"/>
        <w:rPr>
          <w:b/>
        </w:rPr>
      </w:pPr>
      <w:r>
        <w:t xml:space="preserve">On January 1, 2025, the new “Halo Law” became effective. On April 12, 2024, Governor Ron DeSantis </w:t>
      </w:r>
      <w:proofErr w:type="gramStart"/>
      <w:r>
        <w:t>signed into law</w:t>
      </w:r>
      <w:proofErr w:type="gramEnd"/>
      <w:r>
        <w:t xml:space="preserve"> the Halo Law, passed under House Bill 184, </w:t>
      </w:r>
      <w:r w:rsidRPr="009564B9">
        <w:t>Impeding, Threatening, or Harassing First Responders</w:t>
      </w:r>
      <w:r>
        <w:t xml:space="preserve">. </w:t>
      </w:r>
      <w:hyperlink r:id="rId2997" w:history="1">
        <w:r w:rsidRPr="00734647">
          <w:rPr>
            <w:rStyle w:val="Hyperlink"/>
          </w:rPr>
          <w:t>https://www.flhouse.gov/Sections/Bills/billsdetail.aspx?BillId=78745</w:t>
        </w:r>
      </w:hyperlink>
      <w:r>
        <w:t xml:space="preserve"> </w:t>
      </w:r>
    </w:p>
    <w:p w14:paraId="307ED173" w14:textId="77777777" w:rsidR="00740EF2" w:rsidRDefault="00740EF2" w:rsidP="00740EF2">
      <w:pPr>
        <w:pStyle w:val="NoSpacing"/>
      </w:pPr>
    </w:p>
    <w:p w14:paraId="0C360398" w14:textId="77777777" w:rsidR="00740EF2" w:rsidRDefault="00740EF2" w:rsidP="00740EF2">
      <w:pPr>
        <w:pStyle w:val="NoSpacing"/>
      </w:pPr>
      <w:r>
        <w:t xml:space="preserve">Read the statute: </w:t>
      </w:r>
      <w:hyperlink r:id="rId2998" w:history="1">
        <w:r w:rsidRPr="00734647">
          <w:rPr>
            <w:rStyle w:val="Hyperlink"/>
          </w:rPr>
          <w:t>https://www.flhouse.gov/Sections/Documents/loaddoc.aspx?FileName=_s0184er.DOCX&amp;DocumentType=Bill&amp;BillNumber=184&amp;Session=2024</w:t>
        </w:r>
      </w:hyperlink>
      <w:r>
        <w:t xml:space="preserve"> </w:t>
      </w:r>
    </w:p>
    <w:p w14:paraId="0F349764" w14:textId="77777777" w:rsidR="00740EF2" w:rsidRDefault="00740EF2" w:rsidP="00740EF2">
      <w:pPr>
        <w:pStyle w:val="NoSpacing"/>
      </w:pPr>
      <w:r>
        <w:t>Section 1</w:t>
      </w:r>
    </w:p>
    <w:p w14:paraId="6FA0A181" w14:textId="77777777" w:rsidR="00740EF2" w:rsidRDefault="00740EF2" w:rsidP="00740EF2">
      <w:pPr>
        <w:pStyle w:val="NoSpacing"/>
      </w:pPr>
      <w:r>
        <w:t>Approaching a first responder with specified intent after a warning</w:t>
      </w:r>
    </w:p>
    <w:p w14:paraId="0060CB54" w14:textId="77777777" w:rsidR="00740EF2" w:rsidRDefault="00740EF2" w:rsidP="00740EF2">
      <w:pPr>
        <w:pStyle w:val="NoSpacing"/>
      </w:pPr>
      <w:r>
        <w:t>(1) As used in this section, the term:</w:t>
      </w:r>
    </w:p>
    <w:p w14:paraId="1C64F390" w14:textId="77777777" w:rsidR="00740EF2" w:rsidRDefault="00740EF2" w:rsidP="00740EF2">
      <w:pPr>
        <w:pStyle w:val="NoSpacing"/>
      </w:pPr>
      <w:r>
        <w:t>(a) “First responder” includes a law enforcement officer as defined in s. 943.10(1), a correctional probation officer as defined in s. 943.10(3), a firefighter as defined in s784.07(1), and an emergency medical care provider as defined in s. 784.07(1)</w:t>
      </w:r>
    </w:p>
    <w:p w14:paraId="67E0AEEF" w14:textId="77777777" w:rsidR="00740EF2" w:rsidRDefault="00740EF2" w:rsidP="00740EF2">
      <w:pPr>
        <w:pStyle w:val="NoSpacing"/>
      </w:pPr>
      <w:r>
        <w:t>(b) “Harass” means to willfully engage in a course of conduct directed at a first responder which intentionally causes substantial emotional distress in that first responder and serves no legitimate purpose.</w:t>
      </w:r>
    </w:p>
    <w:p w14:paraId="31A3E3F6" w14:textId="77777777" w:rsidR="00740EF2" w:rsidRDefault="00740EF2" w:rsidP="00740EF2">
      <w:pPr>
        <w:pStyle w:val="NoSpacing"/>
      </w:pPr>
      <w:r>
        <w:t>(2)(a) It is unlawful for a person, after receiving a verbal warning not to approach from a person he or she knows or reasonably should know is a first responder, who is engaged in the lawful performance of a legal duty, to knowingly and willfully violate such warning and approach or remain within 25 feet of the first responder with the intent to:</w:t>
      </w:r>
    </w:p>
    <w:p w14:paraId="776D25BC" w14:textId="77777777" w:rsidR="00740EF2" w:rsidRDefault="00740EF2" w:rsidP="00740EF2">
      <w:pPr>
        <w:pStyle w:val="NoSpacing"/>
      </w:pPr>
      <w:r>
        <w:t>1. Impede or interfere with the first responder’s ability to perform such duty;</w:t>
      </w:r>
    </w:p>
    <w:p w14:paraId="314DA78A" w14:textId="77777777" w:rsidR="00740EF2" w:rsidRDefault="00740EF2" w:rsidP="00740EF2">
      <w:pPr>
        <w:pStyle w:val="NoSpacing"/>
      </w:pPr>
      <w:r>
        <w:t>2. Threaten the first responder with physical harm; or</w:t>
      </w:r>
    </w:p>
    <w:p w14:paraId="0B2137EC" w14:textId="77777777" w:rsidR="00740EF2" w:rsidRDefault="00740EF2" w:rsidP="00740EF2">
      <w:pPr>
        <w:pStyle w:val="NoSpacing"/>
      </w:pPr>
      <w:r>
        <w:t>3. Harass the first responder.</w:t>
      </w:r>
    </w:p>
    <w:p w14:paraId="146B0399" w14:textId="77777777" w:rsidR="00740EF2" w:rsidRDefault="00740EF2" w:rsidP="00740EF2">
      <w:pPr>
        <w:pStyle w:val="NoSpacing"/>
      </w:pPr>
      <w:r>
        <w:t>(b) A person who violates this subsection commits a misdemeanor of the second degree, punishable as provided in s. 775.082 or s. 775.083.40</w:t>
      </w:r>
    </w:p>
    <w:p w14:paraId="6875B429" w14:textId="77777777" w:rsidR="00740EF2" w:rsidRDefault="00740EF2" w:rsidP="00740EF2">
      <w:pPr>
        <w:pStyle w:val="NoSpacing"/>
      </w:pPr>
      <w:r>
        <w:t>Section 2. This act shall take effect January 1, 2025.</w:t>
      </w:r>
    </w:p>
    <w:p w14:paraId="068D6FDA" w14:textId="77777777" w:rsidR="00740EF2" w:rsidRDefault="00740EF2" w:rsidP="00740EF2">
      <w:pPr>
        <w:pStyle w:val="NoSpacing"/>
      </w:pPr>
    </w:p>
    <w:p w14:paraId="7B08A155" w14:textId="77777777" w:rsidR="00740EF2" w:rsidRPr="00313F24" w:rsidRDefault="00740EF2" w:rsidP="00740EF2">
      <w:pPr>
        <w:pStyle w:val="NoSpacing"/>
        <w:rPr>
          <w:b/>
          <w:bCs/>
        </w:rPr>
      </w:pPr>
      <w:r>
        <w:rPr>
          <w:b/>
        </w:rPr>
        <w:t xml:space="preserve">Legal lesson learned: An excellent statute; hopefully similar laws will be enacted in many other </w:t>
      </w:r>
      <w:proofErr w:type="gramStart"/>
      <w:r>
        <w:rPr>
          <w:b/>
        </w:rPr>
        <w:t>state</w:t>
      </w:r>
      <w:proofErr w:type="gramEnd"/>
      <w:r>
        <w:rPr>
          <w:b/>
        </w:rPr>
        <w:t xml:space="preserve">. </w:t>
      </w:r>
    </w:p>
    <w:p w14:paraId="1522415A" w14:textId="77777777" w:rsidR="00740EF2" w:rsidRDefault="00740EF2" w:rsidP="00740EF2">
      <w:pPr>
        <w:pStyle w:val="NoSpacing"/>
      </w:pPr>
    </w:p>
    <w:p w14:paraId="5E31DCC1" w14:textId="77777777" w:rsidR="00740EF2" w:rsidRPr="00F642E3" w:rsidRDefault="00740EF2" w:rsidP="00740EF2">
      <w:pPr>
        <w:pStyle w:val="NoSpacing"/>
        <w:ind w:left="720"/>
        <w:rPr>
          <w:b/>
        </w:rPr>
      </w:pPr>
      <w:r>
        <w:t xml:space="preserve">Note: Jan. 28, 2026:  </w:t>
      </w:r>
      <w:r w:rsidRPr="00F642E3">
        <w:rPr>
          <w:b/>
        </w:rPr>
        <w:t>Man arrested under Florida's Halo Law</w:t>
      </w:r>
      <w:r>
        <w:rPr>
          <w:b/>
        </w:rPr>
        <w:t xml:space="preserve">. </w:t>
      </w:r>
      <w:hyperlink r:id="rId2999" w:history="1">
        <w:r w:rsidRPr="00734647">
          <w:rPr>
            <w:rStyle w:val="Hyperlink"/>
            <w:b/>
          </w:rPr>
          <w:t>https://www.youtube.com/watch?v=US5dFGLzqQo</w:t>
        </w:r>
      </w:hyperlink>
      <w:r>
        <w:rPr>
          <w:b/>
        </w:rPr>
        <w:t xml:space="preserve"> </w:t>
      </w:r>
    </w:p>
    <w:p w14:paraId="39EEC7C2" w14:textId="77777777" w:rsidR="00740EF2" w:rsidRPr="00210AB7" w:rsidRDefault="00740EF2" w:rsidP="00740EF2">
      <w:pPr>
        <w:pStyle w:val="NoSpacing"/>
        <w:ind w:firstLine="720"/>
        <w:rPr>
          <w:b/>
        </w:rPr>
      </w:pPr>
      <w:r w:rsidRPr="00210AB7">
        <w:rPr>
          <w:b/>
        </w:rPr>
        <w:t>What Is the Halo Law?</w:t>
      </w:r>
    </w:p>
    <w:p w14:paraId="187229AE" w14:textId="77777777" w:rsidR="00740EF2" w:rsidRPr="00210AB7" w:rsidRDefault="00740EF2" w:rsidP="00740EF2">
      <w:pPr>
        <w:pStyle w:val="NoSpacing"/>
        <w:ind w:left="720"/>
      </w:pPr>
      <w:r w:rsidRPr="00210AB7">
        <w:t xml:space="preserve">The Halo Law, passed under </w:t>
      </w:r>
      <w:r w:rsidRPr="00210AB7">
        <w:rPr>
          <w:b/>
        </w:rPr>
        <w:t>House Bill 184</w:t>
      </w:r>
      <w:r w:rsidRPr="00210AB7">
        <w:t xml:space="preserve">, was signed into law by Governor Ron DeSantis in April 2024. It establishes a </w:t>
      </w:r>
      <w:r w:rsidRPr="00210AB7">
        <w:rPr>
          <w:b/>
        </w:rPr>
        <w:t>25-foot no-approach zone</w:t>
      </w:r>
      <w:r w:rsidRPr="00210AB7">
        <w:t xml:space="preserve"> around first responders engaged in their official duties. If someone is verbally warned to stay back and continues to approach within this zone, they could face penalties, including fines and potential jail time.</w:t>
      </w:r>
    </w:p>
    <w:p w14:paraId="6EB5C7A2" w14:textId="77777777" w:rsidR="00740EF2" w:rsidRPr="00210AB7" w:rsidRDefault="00740EF2" w:rsidP="00740EF2">
      <w:pPr>
        <w:pStyle w:val="NoSpacing"/>
        <w:ind w:left="720"/>
      </w:pPr>
      <w:r w:rsidRPr="00210AB7">
        <w:t>Sheriff Grady Judd of Polk County has been a vocal advocate for the law, emphasizing that it does not restrict the public’s right to record first responders but aims to prevent interference or harassment while they work.</w:t>
      </w:r>
      <w:r>
        <w:t xml:space="preserve"> </w:t>
      </w:r>
      <w:hyperlink r:id="rId3000" w:history="1">
        <w:r w:rsidRPr="00FF51FB">
          <w:rPr>
            <w:rStyle w:val="Hyperlink"/>
          </w:rPr>
          <w:t>https://www.muscalaw.com/blog/understanding-floridas-new-halo-law-and-its-impact-first-amendment-rights</w:t>
        </w:r>
      </w:hyperlink>
      <w:r>
        <w:t xml:space="preserve"> </w:t>
      </w:r>
    </w:p>
    <w:p w14:paraId="4EB8805F" w14:textId="77777777" w:rsidR="00740EF2" w:rsidRDefault="00740EF2" w:rsidP="00740EF2">
      <w:pPr>
        <w:pStyle w:val="NoSpacing"/>
      </w:pPr>
    </w:p>
    <w:p w14:paraId="1721935B" w14:textId="77777777" w:rsidR="00740EF2" w:rsidRDefault="00740EF2" w:rsidP="00740EF2">
      <w:pPr>
        <w:pStyle w:val="NoSpacing"/>
      </w:pPr>
    </w:p>
    <w:p w14:paraId="7E1ED189" w14:textId="77777777" w:rsidR="00740EF2" w:rsidRDefault="00740EF2" w:rsidP="00740EF2">
      <w:pPr>
        <w:pStyle w:val="NoSpacing"/>
        <w:ind w:left="720"/>
        <w:rPr>
          <w:b/>
        </w:rPr>
      </w:pPr>
      <w:r>
        <w:t xml:space="preserve">See also: ACLU of Florida: </w:t>
      </w:r>
      <w:r w:rsidRPr="00F41534">
        <w:t>HB 75/SB 184 - Criminalizing Bystanders for Exercising First Amendment Rights</w:t>
      </w:r>
      <w:r>
        <w:t xml:space="preserve">. </w:t>
      </w:r>
      <w:r w:rsidRPr="00910752">
        <w:rPr>
          <w:b/>
        </w:rPr>
        <w:t xml:space="preserve"> </w:t>
      </w:r>
      <w:hyperlink r:id="rId3001" w:history="1">
        <w:r w:rsidRPr="00FF51FB">
          <w:rPr>
            <w:rStyle w:val="Hyperlink"/>
            <w:b/>
          </w:rPr>
          <w:t>https://www.aclufl.org/legislation/hb-75sb-184-criminalizing-bystanders-exercising-first-amendment-rights/</w:t>
        </w:r>
      </w:hyperlink>
      <w:r>
        <w:rPr>
          <w:b/>
        </w:rPr>
        <w:t xml:space="preserve"> </w:t>
      </w:r>
    </w:p>
    <w:p w14:paraId="7F597FE8" w14:textId="77777777" w:rsidR="00740EF2" w:rsidRDefault="00740EF2" w:rsidP="00740EF2">
      <w:pPr>
        <w:pStyle w:val="NoSpacing"/>
        <w:rPr>
          <w:b/>
        </w:rPr>
      </w:pPr>
    </w:p>
    <w:p w14:paraId="278CF353" w14:textId="77777777" w:rsidR="00740EF2" w:rsidRDefault="00740EF2" w:rsidP="00740EF2">
      <w:pPr>
        <w:pStyle w:val="NoSpacing"/>
      </w:pPr>
    </w:p>
    <w:p w14:paraId="4137EE43" w14:textId="77777777" w:rsidR="00740EF2" w:rsidRDefault="00740EF2" w:rsidP="000C4DF5">
      <w:pPr>
        <w:pStyle w:val="NoSpacing"/>
        <w:rPr>
          <w:rFonts w:ascii="Arial Black" w:hAnsi="Arial Black"/>
          <w:sz w:val="24"/>
          <w:szCs w:val="24"/>
        </w:rPr>
      </w:pPr>
    </w:p>
    <w:p w14:paraId="5BF38D08" w14:textId="77777777" w:rsidR="006F24F3" w:rsidRDefault="006F24F3" w:rsidP="000C4DF5">
      <w:pPr>
        <w:pStyle w:val="NoSpacing"/>
        <w:rPr>
          <w:rFonts w:ascii="Arial Black" w:hAnsi="Arial Black"/>
          <w:sz w:val="24"/>
          <w:szCs w:val="24"/>
        </w:rPr>
      </w:pPr>
    </w:p>
    <w:p w14:paraId="1B5D8C12" w14:textId="6CB0F6A8" w:rsidR="008A2AE6" w:rsidRDefault="002E26A8" w:rsidP="000C4DF5">
      <w:pPr>
        <w:pStyle w:val="NoSpacing"/>
        <w:rPr>
          <w:rFonts w:ascii="Arial Black" w:hAnsi="Arial Black"/>
          <w:sz w:val="24"/>
          <w:szCs w:val="24"/>
        </w:rPr>
      </w:pPr>
      <w:r>
        <w:rPr>
          <w:rFonts w:ascii="Arial Black" w:hAnsi="Arial Black"/>
          <w:sz w:val="24"/>
          <w:szCs w:val="24"/>
        </w:rPr>
        <w:t>18-31</w:t>
      </w:r>
    </w:p>
    <w:p w14:paraId="7B1625E2" w14:textId="77777777" w:rsidR="002E26A8" w:rsidRDefault="002E26A8" w:rsidP="000C4DF5">
      <w:pPr>
        <w:pStyle w:val="NoSpacing"/>
        <w:rPr>
          <w:rFonts w:ascii="Arial Black" w:hAnsi="Arial Black"/>
          <w:sz w:val="24"/>
          <w:szCs w:val="24"/>
        </w:rPr>
      </w:pPr>
    </w:p>
    <w:p w14:paraId="024D8734" w14:textId="4702676D" w:rsidR="00841783" w:rsidRPr="001225D3" w:rsidRDefault="00841783" w:rsidP="00841783">
      <w:pPr>
        <w:pStyle w:val="NoSpacing"/>
        <w:rPr>
          <w:rFonts w:ascii="Arial Black" w:hAnsi="Arial Black"/>
          <w:sz w:val="28"/>
          <w:szCs w:val="28"/>
        </w:rPr>
      </w:pPr>
      <w:r>
        <w:rPr>
          <w:rFonts w:ascii="Arial Black" w:hAnsi="Arial Black"/>
          <w:sz w:val="28"/>
          <w:szCs w:val="28"/>
        </w:rPr>
        <w:t xml:space="preserve">OH: ETHICS COMMISSION – </w:t>
      </w:r>
      <w:r w:rsidR="000C567D">
        <w:rPr>
          <w:rFonts w:ascii="Arial Black" w:hAnsi="Arial Black"/>
          <w:sz w:val="28"/>
          <w:szCs w:val="28"/>
        </w:rPr>
        <w:t xml:space="preserve">CAN </w:t>
      </w:r>
      <w:r>
        <w:rPr>
          <w:rFonts w:ascii="Arial Black" w:hAnsi="Arial Black"/>
          <w:sz w:val="28"/>
          <w:szCs w:val="28"/>
        </w:rPr>
        <w:t>KEEP FREQUENT FLYER MILES</w:t>
      </w:r>
    </w:p>
    <w:p w14:paraId="734892CE" w14:textId="77777777" w:rsidR="00841783" w:rsidRDefault="00841783" w:rsidP="00841783">
      <w:pPr>
        <w:pStyle w:val="NoSpacing"/>
      </w:pPr>
    </w:p>
    <w:p w14:paraId="4234DC87" w14:textId="77777777" w:rsidR="00841783" w:rsidRDefault="00841783" w:rsidP="00841783">
      <w:pPr>
        <w:pStyle w:val="NoSpacing"/>
      </w:pPr>
      <w:r>
        <w:t xml:space="preserve">On August 4, 2025, the Ohio Ethics Commission approved an Advisory Opinion allowing public officials to keep airline frequent flyer miles earned on official travel. </w:t>
      </w:r>
    </w:p>
    <w:p w14:paraId="00FD02FC" w14:textId="77777777" w:rsidR="00841783" w:rsidRDefault="00841783" w:rsidP="00841783">
      <w:pPr>
        <w:pStyle w:val="NoSpacing"/>
      </w:pPr>
    </w:p>
    <w:p w14:paraId="05682C28" w14:textId="77777777" w:rsidR="00841783" w:rsidRDefault="00841783" w:rsidP="00841783">
      <w:pPr>
        <w:pStyle w:val="NoSpacing"/>
      </w:pPr>
      <w:r w:rsidRPr="00BF2E3F">
        <w:t>INFORMATION SHEET: ADVISORY OPINION NO. 2025-02 FREQUENT FLYER MILES AND REWARDS POINTS</w:t>
      </w:r>
    </w:p>
    <w:p w14:paraId="0872AD43" w14:textId="77777777" w:rsidR="00841783" w:rsidRDefault="00841783" w:rsidP="00841783">
      <w:pPr>
        <w:pStyle w:val="NoSpacing"/>
      </w:pPr>
      <w:hyperlink r:id="rId3002" w:history="1">
        <w:r w:rsidRPr="00B2179F">
          <w:rPr>
            <w:rStyle w:val="Hyperlink"/>
          </w:rPr>
          <w:t>https://ethics.ohio.gov/advice/opinions/2025-02.pdf</w:t>
        </w:r>
      </w:hyperlink>
      <w:r>
        <w:t xml:space="preserve"> </w:t>
      </w:r>
    </w:p>
    <w:p w14:paraId="326DA131" w14:textId="77777777" w:rsidR="00841783" w:rsidRDefault="00841783" w:rsidP="00841783">
      <w:pPr>
        <w:pStyle w:val="NoSpacing"/>
      </w:pPr>
    </w:p>
    <w:p w14:paraId="32CD91B3" w14:textId="77777777" w:rsidR="00841783" w:rsidRDefault="00841783" w:rsidP="00841783">
      <w:pPr>
        <w:pStyle w:val="NoSpacing"/>
        <w:ind w:firstLine="720"/>
      </w:pPr>
      <w:r w:rsidRPr="00605C01">
        <w:t>Frequent Flyer Miles &amp; Reward Points Advisory Opinion</w:t>
      </w:r>
    </w:p>
    <w:p w14:paraId="135B5539" w14:textId="77777777" w:rsidR="00841783" w:rsidRDefault="00841783" w:rsidP="00841783">
      <w:pPr>
        <w:pStyle w:val="NoSpacing"/>
        <w:ind w:firstLine="720"/>
      </w:pPr>
      <w:hyperlink r:id="rId3003" w:history="1">
        <w:r w:rsidRPr="00CD4E54">
          <w:rPr>
            <w:rStyle w:val="Hyperlink"/>
          </w:rPr>
          <w:t>https://ethics.ohio.gov/education/newsletters/VOE_25Q3.pdf</w:t>
        </w:r>
      </w:hyperlink>
      <w:r>
        <w:t xml:space="preserve"> </w:t>
      </w:r>
    </w:p>
    <w:p w14:paraId="31E13357" w14:textId="77777777" w:rsidR="00841783" w:rsidRDefault="00841783" w:rsidP="00841783">
      <w:pPr>
        <w:pStyle w:val="NoSpacing"/>
        <w:ind w:left="720"/>
      </w:pPr>
      <w:r>
        <w:t>“</w:t>
      </w:r>
      <w:r w:rsidRPr="00605C01">
        <w:t>At its meeting on August 4, 2025, the Ohio Ethics Commission approved Formal Advisory Opinion 2025 – 02 which allows public officials or employees to use frequent flyer miles that were earned during official travel for personal travel. Although the Commission had previously restricted the use of frequent flyer miles accrued during official travel for personal use, this advisory opinion states that public officials and employees may use frequent flyer miles that were earned during official travel for personal travel if they earn the miles under the same conditions as the public and at no additional cost to their public agencies. While this Advisory Opinion primarily references frequent flyer miles, the analysis also applies to other reward points programs.</w:t>
      </w:r>
    </w:p>
    <w:p w14:paraId="277B5CF6" w14:textId="77777777" w:rsidR="00841783" w:rsidRDefault="00841783" w:rsidP="00841783">
      <w:pPr>
        <w:ind w:left="720"/>
      </w:pPr>
      <w:r>
        <w:t>***</w:t>
      </w:r>
    </w:p>
    <w:p w14:paraId="42AA005D" w14:textId="77777777" w:rsidR="00841783" w:rsidRDefault="00841783" w:rsidP="00841783">
      <w:pPr>
        <w:ind w:left="720"/>
        <w:rPr>
          <w:bCs/>
        </w:rPr>
      </w:pPr>
      <w:r w:rsidRPr="00FC71C9">
        <w:t>The opinion notes that public official</w:t>
      </w:r>
      <w:r>
        <w:t>s</w:t>
      </w:r>
      <w:r w:rsidRPr="00FC71C9">
        <w:t xml:space="preserve"> and employees are prohibited from choosing an airline, vendor, or service based solely on whether it provides frequent flyer miles or other rewards points. Additionally, a planner who books a group trip for multiple travelers and could therefore earn a substantial number of frequent flyer miles or reward points from one event is prohibited from personally using rewards earned in connection to booking the group travel.</w:t>
      </w:r>
      <w:r>
        <w:t>”</w:t>
      </w:r>
    </w:p>
    <w:p w14:paraId="0EDCD611" w14:textId="77777777" w:rsidR="00841783" w:rsidRPr="00211784" w:rsidRDefault="00841783" w:rsidP="00841783">
      <w:pPr>
        <w:pStyle w:val="NoSpacing"/>
        <w:rPr>
          <w:b/>
          <w:bCs/>
        </w:rPr>
      </w:pPr>
      <w:r>
        <w:rPr>
          <w:b/>
        </w:rPr>
        <w:t xml:space="preserve">Legal lesson learned: Fire &amp; EMS departments should consider adopting a policy that formally recognizes this Advisory Opinion. </w:t>
      </w:r>
    </w:p>
    <w:p w14:paraId="490CFB54" w14:textId="77777777" w:rsidR="00841783" w:rsidRDefault="00841783" w:rsidP="00841783">
      <w:pPr>
        <w:pStyle w:val="NoSpacing"/>
        <w:rPr>
          <w:b/>
          <w:bCs/>
        </w:rPr>
      </w:pPr>
    </w:p>
    <w:p w14:paraId="1212A55A" w14:textId="77777777" w:rsidR="00841783" w:rsidRDefault="00841783" w:rsidP="00841783">
      <w:pPr>
        <w:pStyle w:val="NoSpacing"/>
        <w:rPr>
          <w:rFonts w:ascii="Arial Black" w:hAnsi="Arial Black"/>
          <w:b/>
          <w:sz w:val="28"/>
          <w:szCs w:val="28"/>
        </w:rPr>
      </w:pPr>
    </w:p>
    <w:p w14:paraId="705E2D62" w14:textId="77777777" w:rsidR="00841783" w:rsidRDefault="00841783" w:rsidP="00841783">
      <w:pPr>
        <w:pStyle w:val="NoSpacing"/>
        <w:rPr>
          <w:rFonts w:ascii="Arial Black" w:hAnsi="Arial Black"/>
          <w:b/>
          <w:sz w:val="28"/>
          <w:szCs w:val="28"/>
        </w:rPr>
      </w:pPr>
    </w:p>
    <w:p w14:paraId="05B0B894" w14:textId="77777777" w:rsidR="002E26A8" w:rsidRDefault="002E26A8" w:rsidP="000C4DF5">
      <w:pPr>
        <w:pStyle w:val="NoSpacing"/>
        <w:rPr>
          <w:rFonts w:ascii="Arial Black" w:hAnsi="Arial Black"/>
          <w:sz w:val="24"/>
          <w:szCs w:val="24"/>
        </w:rPr>
      </w:pPr>
    </w:p>
    <w:p w14:paraId="05697DD4" w14:textId="77777777" w:rsidR="002E26A8" w:rsidRDefault="002E26A8" w:rsidP="000C4DF5">
      <w:pPr>
        <w:pStyle w:val="NoSpacing"/>
        <w:rPr>
          <w:rFonts w:ascii="Arial Black" w:hAnsi="Arial Black"/>
          <w:sz w:val="24"/>
          <w:szCs w:val="24"/>
        </w:rPr>
      </w:pPr>
    </w:p>
    <w:p w14:paraId="7A781651" w14:textId="77777777" w:rsidR="002E26A8" w:rsidRDefault="002E26A8" w:rsidP="000C4DF5">
      <w:pPr>
        <w:pStyle w:val="NoSpacing"/>
        <w:rPr>
          <w:rFonts w:ascii="Arial Black" w:hAnsi="Arial Black"/>
          <w:sz w:val="24"/>
          <w:szCs w:val="24"/>
        </w:rPr>
      </w:pPr>
    </w:p>
    <w:p w14:paraId="5F3B45B7" w14:textId="3B0CF0A1" w:rsidR="00072607" w:rsidRDefault="00072607" w:rsidP="000C4DF5">
      <w:pPr>
        <w:pStyle w:val="NoSpacing"/>
        <w:rPr>
          <w:rFonts w:ascii="Arial Black" w:hAnsi="Arial Black"/>
          <w:sz w:val="24"/>
          <w:szCs w:val="24"/>
        </w:rPr>
      </w:pPr>
      <w:r>
        <w:rPr>
          <w:rFonts w:ascii="Arial Black" w:hAnsi="Arial Black"/>
          <w:sz w:val="24"/>
          <w:szCs w:val="24"/>
        </w:rPr>
        <w:t>18-30</w:t>
      </w:r>
    </w:p>
    <w:p w14:paraId="27CC2933" w14:textId="77777777" w:rsidR="00072607" w:rsidRDefault="00072607" w:rsidP="000C4DF5">
      <w:pPr>
        <w:pStyle w:val="NoSpacing"/>
        <w:rPr>
          <w:rFonts w:ascii="Arial Black" w:hAnsi="Arial Black"/>
          <w:sz w:val="24"/>
          <w:szCs w:val="24"/>
        </w:rPr>
      </w:pPr>
    </w:p>
    <w:p w14:paraId="7CF15988" w14:textId="657D1F8B" w:rsidR="00072607" w:rsidRPr="006F2B87" w:rsidRDefault="00072607" w:rsidP="00072607">
      <w:pPr>
        <w:pStyle w:val="NoSpacing"/>
        <w:rPr>
          <w:rFonts w:ascii="Arial Black" w:hAnsi="Arial Black"/>
          <w:b/>
          <w:bCs/>
          <w:sz w:val="28"/>
          <w:szCs w:val="28"/>
        </w:rPr>
      </w:pPr>
      <w:r w:rsidRPr="006F2B87">
        <w:rPr>
          <w:rFonts w:ascii="Arial Black" w:hAnsi="Arial Black"/>
          <w:b/>
          <w:sz w:val="28"/>
          <w:szCs w:val="28"/>
        </w:rPr>
        <w:t xml:space="preserve">CT: “NO SURPRISE ACT” – </w:t>
      </w:r>
      <w:r>
        <w:rPr>
          <w:rFonts w:ascii="Arial Black" w:hAnsi="Arial Black"/>
          <w:b/>
          <w:sz w:val="28"/>
          <w:szCs w:val="28"/>
        </w:rPr>
        <w:t>AIR MED CAN SUE INSURANCE</w:t>
      </w:r>
      <w:r w:rsidR="000C6C88">
        <w:rPr>
          <w:rFonts w:ascii="Arial Black" w:hAnsi="Arial Black"/>
          <w:b/>
          <w:sz w:val="28"/>
          <w:szCs w:val="28"/>
        </w:rPr>
        <w:t xml:space="preserve"> CO.</w:t>
      </w:r>
    </w:p>
    <w:p w14:paraId="5204BFF9" w14:textId="77777777" w:rsidR="00072607" w:rsidRDefault="00072607" w:rsidP="00072607">
      <w:pPr>
        <w:pStyle w:val="NoSpacing"/>
        <w:rPr>
          <w:bCs/>
        </w:rPr>
      </w:pPr>
    </w:p>
    <w:p w14:paraId="1B45A02E" w14:textId="77777777"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t xml:space="preserve">On May 14, 2025, in </w:t>
      </w:r>
      <w:r w:rsidRPr="00B44918">
        <w:rPr>
          <w:rFonts w:ascii="Times New Roman" w:hAnsi="Times New Roman"/>
          <w:sz w:val="24"/>
          <w:szCs w:val="24"/>
          <w:u w:val="single"/>
        </w:rPr>
        <w:t xml:space="preserve">Guarding Flight LLC, Reach Air Medical Services LLC, </w:t>
      </w:r>
      <w:proofErr w:type="spellStart"/>
      <w:r w:rsidRPr="00B44918">
        <w:rPr>
          <w:rFonts w:ascii="Times New Roman" w:hAnsi="Times New Roman"/>
          <w:sz w:val="24"/>
          <w:szCs w:val="24"/>
          <w:u w:val="single"/>
        </w:rPr>
        <w:t>Calstar</w:t>
      </w:r>
      <w:proofErr w:type="spellEnd"/>
      <w:r w:rsidRPr="00B44918">
        <w:rPr>
          <w:rFonts w:ascii="Times New Roman" w:hAnsi="Times New Roman"/>
          <w:sz w:val="24"/>
          <w:szCs w:val="24"/>
          <w:u w:val="single"/>
        </w:rPr>
        <w:t xml:space="preserve"> Air Medical Services LLC, Med-Trans Corporation, and Air Evac EMS, Inc. v. Aetna Life Insurance Company, Aetna Health, Inc., Aetna Health and Life Insurance Company, and Cigna Health and Life Insurance Company</w:t>
      </w:r>
      <w:r w:rsidRPr="00B44918">
        <w:rPr>
          <w:rFonts w:ascii="Times New Roman" w:hAnsi="Times New Roman"/>
          <w:sz w:val="24"/>
          <w:szCs w:val="24"/>
        </w:rPr>
        <w:t>, U.S. District Court Judge Michael P. Shea, United States District Court for the District of Connecticut, denied the insurance companies motion to dismiss;  the Air Medical companies allege a “low pay, late pay or no pay” scheme has become a widespread business practice.</w:t>
      </w:r>
    </w:p>
    <w:p w14:paraId="591ECDB1" w14:textId="77777777"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t xml:space="preserve">   </w:t>
      </w:r>
    </w:p>
    <w:p w14:paraId="55CA3EBB" w14:textId="6DA85870"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t>The Court wrote:  “Though Defendants received the benefit of Plaintiffs’ services, they made unreasonably low initial payments for these transports…. Defendants have failed to comply with these IDR [Independent Dispute Resolution] determinations [under the 2021 No Surprise Act]…. In some cases, they made late payments and did not include interest to account for their payment delays….  In other instances, they have made only partial payments or have not made any payments whatsoever. Id.  At the time Plaintiffs’ complaint was filed, several of these</w:t>
      </w:r>
      <w:r w:rsidR="00B44918">
        <w:rPr>
          <w:rFonts w:ascii="Times New Roman" w:hAnsi="Times New Roman"/>
          <w:sz w:val="24"/>
          <w:szCs w:val="24"/>
        </w:rPr>
        <w:t xml:space="preserve"> </w:t>
      </w:r>
      <w:r w:rsidRPr="00B44918">
        <w:rPr>
          <w:rFonts w:ascii="Times New Roman" w:hAnsi="Times New Roman"/>
          <w:sz w:val="24"/>
          <w:szCs w:val="24"/>
        </w:rPr>
        <w:t xml:space="preserve">awards were more than 500 days past due and Defendants had </w:t>
      </w:r>
      <w:proofErr w:type="gramStart"/>
      <w:r w:rsidRPr="00B44918">
        <w:rPr>
          <w:rFonts w:ascii="Times New Roman" w:hAnsi="Times New Roman"/>
          <w:sz w:val="24"/>
          <w:szCs w:val="24"/>
        </w:rPr>
        <w:t>late-paid</w:t>
      </w:r>
      <w:proofErr w:type="gramEnd"/>
      <w:r w:rsidRPr="00B44918">
        <w:rPr>
          <w:rFonts w:ascii="Times New Roman" w:hAnsi="Times New Roman"/>
          <w:sz w:val="24"/>
          <w:szCs w:val="24"/>
        </w:rPr>
        <w:t xml:space="preserve"> or not paid over $20</w:t>
      </w:r>
      <w:r w:rsidR="00B44918">
        <w:rPr>
          <w:rFonts w:ascii="Times New Roman" w:hAnsi="Times New Roman"/>
          <w:sz w:val="24"/>
          <w:szCs w:val="24"/>
        </w:rPr>
        <w:t xml:space="preserve"> </w:t>
      </w:r>
      <w:r w:rsidRPr="00B44918">
        <w:rPr>
          <w:rFonts w:ascii="Times New Roman" w:hAnsi="Times New Roman"/>
          <w:sz w:val="24"/>
          <w:szCs w:val="24"/>
        </w:rPr>
        <w:t xml:space="preserve">million in IDR awards. *** Defendants’ alleged failure to timely pay these awards is sufficiently frequent to constitute a general business practice. Plaintiffs have thus plausibly alleged that Defendants engaged in ‘unfair methods of competition and unfair and deceptive acts or practices in the business of insurance’ in violation of CUIPA [Connecticut Unfair Trade Practices Act] and so have stated a plausible CUTPA claim. See Conn. Gen. Stat. § 38a-816(6)(F).”  </w:t>
      </w:r>
      <w:hyperlink r:id="rId3004" w:history="1">
        <w:r w:rsidRPr="00B44918">
          <w:rPr>
            <w:rStyle w:val="Hyperlink"/>
            <w:rFonts w:ascii="Times New Roman" w:hAnsi="Times New Roman"/>
            <w:sz w:val="24"/>
            <w:szCs w:val="24"/>
          </w:rPr>
          <w:t>https://cases.justia.com/federal/district-courts/connecticut/ctdce/3:2024cv00680/159059/264/0.pdf?ts=1747297635</w:t>
        </w:r>
      </w:hyperlink>
      <w:r w:rsidRPr="00B44918">
        <w:rPr>
          <w:rFonts w:ascii="Times New Roman" w:hAnsi="Times New Roman"/>
          <w:sz w:val="24"/>
          <w:szCs w:val="24"/>
        </w:rPr>
        <w:t xml:space="preserve"> </w:t>
      </w:r>
    </w:p>
    <w:p w14:paraId="4AD570DD" w14:textId="77777777" w:rsidR="00072607" w:rsidRDefault="00072607" w:rsidP="00072607">
      <w:pPr>
        <w:pStyle w:val="NoSpacing"/>
        <w:rPr>
          <w:rFonts w:ascii="Times New Roman" w:hAnsi="Times New Roman"/>
          <w:sz w:val="24"/>
          <w:szCs w:val="24"/>
        </w:rPr>
      </w:pPr>
    </w:p>
    <w:p w14:paraId="1C504A85" w14:textId="77777777" w:rsidR="00C47507" w:rsidRPr="001D5E22" w:rsidRDefault="00C47507" w:rsidP="00C47507">
      <w:pPr>
        <w:pStyle w:val="NoSpacing"/>
        <w:rPr>
          <w:rFonts w:ascii="Times New Roman" w:hAnsi="Times New Roman"/>
          <w:b/>
          <w:bCs/>
          <w:sz w:val="24"/>
          <w:szCs w:val="24"/>
        </w:rPr>
      </w:pPr>
      <w:r w:rsidRPr="001D5E22">
        <w:rPr>
          <w:rFonts w:ascii="Times New Roman" w:hAnsi="Times New Roman"/>
          <w:b/>
          <w:sz w:val="24"/>
          <w:szCs w:val="24"/>
        </w:rPr>
        <w:t>Legal Lesson Learned: This is a significant win for Air Medical industry; hopefully patient insurance companies will “get the message” that they are facing liability for low pay, late pay or no pay’ scheme.</w:t>
      </w:r>
    </w:p>
    <w:p w14:paraId="4F47854A" w14:textId="77777777" w:rsidR="00C47507" w:rsidRPr="006F2B87" w:rsidRDefault="00C47507" w:rsidP="00C47507">
      <w:pPr>
        <w:pStyle w:val="NoSpacing"/>
        <w:rPr>
          <w:b/>
          <w:bCs/>
        </w:rPr>
      </w:pPr>
    </w:p>
    <w:p w14:paraId="7EABB51E" w14:textId="77777777" w:rsidR="00C47507" w:rsidRPr="00B44918" w:rsidRDefault="00C47507" w:rsidP="00072607">
      <w:pPr>
        <w:pStyle w:val="NoSpacing"/>
        <w:rPr>
          <w:rFonts w:ascii="Times New Roman" w:hAnsi="Times New Roman"/>
          <w:sz w:val="24"/>
          <w:szCs w:val="24"/>
        </w:rPr>
      </w:pPr>
    </w:p>
    <w:p w14:paraId="07B319CC" w14:textId="77777777" w:rsidR="00072607" w:rsidRDefault="00072607" w:rsidP="000C4DF5">
      <w:pPr>
        <w:pStyle w:val="NoSpacing"/>
        <w:rPr>
          <w:rFonts w:ascii="Arial Black" w:hAnsi="Arial Black"/>
          <w:sz w:val="24"/>
          <w:szCs w:val="24"/>
        </w:rPr>
      </w:pPr>
    </w:p>
    <w:p w14:paraId="799AE84A" w14:textId="77777777" w:rsidR="00072607" w:rsidRDefault="00072607" w:rsidP="000C4DF5">
      <w:pPr>
        <w:pStyle w:val="NoSpacing"/>
        <w:rPr>
          <w:rFonts w:ascii="Arial Black" w:hAnsi="Arial Black"/>
          <w:sz w:val="24"/>
          <w:szCs w:val="24"/>
        </w:rPr>
      </w:pPr>
    </w:p>
    <w:p w14:paraId="7411B888" w14:textId="77777777" w:rsidR="00072607" w:rsidRDefault="00072607" w:rsidP="000C4DF5">
      <w:pPr>
        <w:pStyle w:val="NoSpacing"/>
        <w:rPr>
          <w:rFonts w:ascii="Arial Black" w:hAnsi="Arial Black"/>
          <w:sz w:val="24"/>
          <w:szCs w:val="24"/>
        </w:rPr>
      </w:pPr>
    </w:p>
    <w:p w14:paraId="39958541" w14:textId="46CE514C" w:rsidR="008A2AE6" w:rsidRDefault="008A2AE6" w:rsidP="000C4DF5">
      <w:pPr>
        <w:pStyle w:val="NoSpacing"/>
        <w:rPr>
          <w:rFonts w:ascii="Arial Black" w:hAnsi="Arial Black"/>
          <w:sz w:val="24"/>
          <w:szCs w:val="24"/>
        </w:rPr>
      </w:pPr>
      <w:r>
        <w:rPr>
          <w:rFonts w:ascii="Arial Black" w:hAnsi="Arial Black"/>
          <w:sz w:val="24"/>
          <w:szCs w:val="24"/>
        </w:rPr>
        <w:t>18-29</w:t>
      </w:r>
    </w:p>
    <w:p w14:paraId="78BD20B8" w14:textId="77777777" w:rsidR="008A2AE6" w:rsidRDefault="008A2AE6" w:rsidP="000C4DF5">
      <w:pPr>
        <w:pStyle w:val="NoSpacing"/>
        <w:rPr>
          <w:rFonts w:ascii="Arial Black" w:hAnsi="Arial Black"/>
          <w:sz w:val="24"/>
          <w:szCs w:val="24"/>
        </w:rPr>
      </w:pPr>
    </w:p>
    <w:p w14:paraId="6F21B8A7" w14:textId="6DA565B9" w:rsidR="00727EFE" w:rsidRPr="0072111B" w:rsidRDefault="00727EFE" w:rsidP="00C47507">
      <w:pPr>
        <w:pStyle w:val="NoSpacing"/>
        <w:rPr>
          <w:rFonts w:ascii="Arial Black" w:hAnsi="Arial Black"/>
          <w:b/>
          <w:sz w:val="28"/>
          <w:szCs w:val="28"/>
        </w:rPr>
      </w:pPr>
      <w:r>
        <w:rPr>
          <w:rFonts w:ascii="Arial Black" w:hAnsi="Arial Black"/>
          <w:b/>
          <w:sz w:val="28"/>
          <w:szCs w:val="28"/>
        </w:rPr>
        <w:t xml:space="preserve">ID: GOOD SAMARITAN LAW -  CAN ARREST </w:t>
      </w:r>
      <w:r w:rsidR="000C567D">
        <w:rPr>
          <w:rFonts w:ascii="Arial Black" w:hAnsi="Arial Black"/>
          <w:b/>
          <w:sz w:val="28"/>
          <w:szCs w:val="28"/>
        </w:rPr>
        <w:t xml:space="preserve">PT / </w:t>
      </w:r>
      <w:r w:rsidR="00C47507">
        <w:rPr>
          <w:rFonts w:ascii="Arial Black" w:hAnsi="Arial Black"/>
          <w:b/>
          <w:sz w:val="28"/>
          <w:szCs w:val="28"/>
        </w:rPr>
        <w:t xml:space="preserve">WANTED </w:t>
      </w:r>
      <w:r>
        <w:rPr>
          <w:rFonts w:ascii="Arial Black" w:hAnsi="Arial Black"/>
          <w:b/>
          <w:sz w:val="28"/>
          <w:szCs w:val="28"/>
        </w:rPr>
        <w:t>WARRANT</w:t>
      </w:r>
    </w:p>
    <w:p w14:paraId="7BB5D8DF" w14:textId="77777777" w:rsidR="00727EFE" w:rsidRDefault="00727EFE" w:rsidP="00727EFE">
      <w:pPr>
        <w:pStyle w:val="NoSpacing"/>
        <w:rPr>
          <w:b/>
        </w:rPr>
      </w:pPr>
    </w:p>
    <w:p w14:paraId="0A4DED1C" w14:textId="77777777" w:rsidR="00727EFE" w:rsidRPr="00004EEC" w:rsidRDefault="00727EFE" w:rsidP="00727EFE">
      <w:pPr>
        <w:pStyle w:val="NoSpacing"/>
        <w:rPr>
          <w:rFonts w:ascii="Times New Roman" w:hAnsi="Times New Roman"/>
          <w:sz w:val="24"/>
          <w:szCs w:val="24"/>
        </w:rPr>
      </w:pPr>
      <w:r w:rsidRPr="00004EEC">
        <w:rPr>
          <w:rFonts w:ascii="Times New Roman" w:hAnsi="Times New Roman"/>
          <w:sz w:val="24"/>
          <w:szCs w:val="24"/>
        </w:rPr>
        <w:t xml:space="preserve">On March 19, 2025, in </w:t>
      </w:r>
      <w:r w:rsidRPr="00004EEC">
        <w:rPr>
          <w:rFonts w:ascii="Times New Roman" w:hAnsi="Times New Roman"/>
          <w:sz w:val="24"/>
          <w:szCs w:val="24"/>
          <w:u w:val="single"/>
        </w:rPr>
        <w:t xml:space="preserve">State of Idaho v. </w:t>
      </w:r>
      <w:proofErr w:type="spellStart"/>
      <w:r w:rsidRPr="00004EEC">
        <w:rPr>
          <w:rFonts w:ascii="Times New Roman" w:hAnsi="Times New Roman"/>
          <w:sz w:val="24"/>
          <w:szCs w:val="24"/>
          <w:u w:val="single"/>
        </w:rPr>
        <w:t>Ismiel</w:t>
      </w:r>
      <w:proofErr w:type="spellEnd"/>
      <w:r w:rsidRPr="00004EEC">
        <w:rPr>
          <w:rFonts w:ascii="Times New Roman" w:hAnsi="Times New Roman"/>
          <w:sz w:val="24"/>
          <w:szCs w:val="24"/>
          <w:u w:val="single"/>
        </w:rPr>
        <w:t xml:space="preserve"> Emannuel </w:t>
      </w:r>
      <w:proofErr w:type="spellStart"/>
      <w:r w:rsidRPr="00004EEC">
        <w:rPr>
          <w:rFonts w:ascii="Times New Roman" w:hAnsi="Times New Roman"/>
          <w:sz w:val="24"/>
          <w:szCs w:val="24"/>
          <w:u w:val="single"/>
        </w:rPr>
        <w:t>Meeds</w:t>
      </w:r>
      <w:proofErr w:type="spellEnd"/>
      <w:r w:rsidRPr="00004EEC">
        <w:rPr>
          <w:rFonts w:ascii="Times New Roman" w:hAnsi="Times New Roman"/>
          <w:sz w:val="24"/>
          <w:szCs w:val="24"/>
        </w:rPr>
        <w:t xml:space="preserve">, the Court of Appeals of Idaho held (3 to 0; unpublished decision) that the states’ Good Samaritan law does not protect a person helping an overdose patient from arrest for an outstanding warrant, and the statute also doesn’t protect from being charged with bringing drugs into jail after their arrest.  The trial court </w:t>
      </w:r>
      <w:proofErr w:type="gramStart"/>
      <w:r w:rsidRPr="00004EEC">
        <w:rPr>
          <w:rFonts w:ascii="Times New Roman" w:hAnsi="Times New Roman"/>
          <w:sz w:val="24"/>
          <w:szCs w:val="24"/>
        </w:rPr>
        <w:t>judge did drop</w:t>
      </w:r>
      <w:proofErr w:type="gramEnd"/>
      <w:r w:rsidRPr="00004EEC">
        <w:rPr>
          <w:rFonts w:ascii="Times New Roman" w:hAnsi="Times New Roman"/>
          <w:sz w:val="24"/>
          <w:szCs w:val="24"/>
        </w:rPr>
        <w:t xml:space="preserve"> charges of possession  since this is covered by </w:t>
      </w:r>
      <w:proofErr w:type="gramStart"/>
      <w:r w:rsidRPr="00004EEC">
        <w:rPr>
          <w:rFonts w:ascii="Times New Roman" w:hAnsi="Times New Roman"/>
          <w:sz w:val="24"/>
          <w:szCs w:val="24"/>
        </w:rPr>
        <w:t>the Good</w:t>
      </w:r>
      <w:proofErr w:type="gramEnd"/>
      <w:r w:rsidRPr="00004EEC">
        <w:rPr>
          <w:rFonts w:ascii="Times New Roman" w:hAnsi="Times New Roman"/>
          <w:sz w:val="24"/>
          <w:szCs w:val="24"/>
        </w:rPr>
        <w:t xml:space="preserve"> Samaritan law.  “During the booking process, an intake search was conducted and officers found methamphetamine and marijuana concealed in his anal cavity. </w:t>
      </w:r>
      <w:proofErr w:type="spellStart"/>
      <w:r w:rsidRPr="00004EEC">
        <w:rPr>
          <w:rFonts w:ascii="Times New Roman" w:hAnsi="Times New Roman"/>
          <w:sz w:val="24"/>
          <w:szCs w:val="24"/>
        </w:rPr>
        <w:t>Meeds</w:t>
      </w:r>
      <w:proofErr w:type="spellEnd"/>
      <w:r w:rsidRPr="00004EEC">
        <w:rPr>
          <w:rFonts w:ascii="Times New Roman" w:hAnsi="Times New Roman"/>
          <w:sz w:val="24"/>
          <w:szCs w:val="24"/>
        </w:rPr>
        <w:t xml:space="preserve"> was charged with possession, introduction, or removal of certain articles into or from a correctional facility…. Whether prosecution for additional crimes or arrests on outstanding warrants should be prohibited by I.C. § 37-2739C is a matter for the legislature, not this Court.” </w:t>
      </w:r>
      <w:hyperlink r:id="rId3005" w:history="1">
        <w:r w:rsidRPr="00004EEC">
          <w:rPr>
            <w:rStyle w:val="Hyperlink"/>
            <w:rFonts w:ascii="Times New Roman" w:hAnsi="Times New Roman"/>
            <w:sz w:val="24"/>
            <w:szCs w:val="24"/>
          </w:rPr>
          <w:t>https://isc.idaho.gov/opinions/51312.pdf</w:t>
        </w:r>
      </w:hyperlink>
    </w:p>
    <w:p w14:paraId="10C4F618" w14:textId="77777777" w:rsidR="00727EFE" w:rsidRPr="00004EEC" w:rsidRDefault="00727EFE" w:rsidP="000C4DF5">
      <w:pPr>
        <w:pStyle w:val="NoSpacing"/>
        <w:rPr>
          <w:rFonts w:ascii="Times New Roman" w:hAnsi="Times New Roman"/>
          <w:sz w:val="24"/>
          <w:szCs w:val="24"/>
        </w:rPr>
      </w:pPr>
    </w:p>
    <w:p w14:paraId="6D2E862E" w14:textId="77777777" w:rsidR="00004EEC" w:rsidRPr="00004EEC" w:rsidRDefault="00004EEC" w:rsidP="00004EEC">
      <w:pPr>
        <w:pStyle w:val="NoSpacing"/>
        <w:rPr>
          <w:rFonts w:ascii="Times New Roman" w:hAnsi="Times New Roman"/>
          <w:b/>
          <w:bCs/>
          <w:sz w:val="24"/>
          <w:szCs w:val="24"/>
        </w:rPr>
      </w:pPr>
      <w:r w:rsidRPr="00004EEC">
        <w:rPr>
          <w:rFonts w:ascii="Times New Roman" w:hAnsi="Times New Roman"/>
          <w:b/>
          <w:sz w:val="24"/>
          <w:szCs w:val="24"/>
        </w:rPr>
        <w:t>Legal Lesson Learned: Court enforces statute that is “plain and unambiguous.”</w:t>
      </w:r>
    </w:p>
    <w:p w14:paraId="2CDE7F49" w14:textId="77777777" w:rsidR="00004EEC" w:rsidRPr="00004EEC" w:rsidRDefault="00004EEC" w:rsidP="00004EEC">
      <w:pPr>
        <w:pStyle w:val="NoSpacing"/>
        <w:ind w:left="720"/>
        <w:rPr>
          <w:rFonts w:ascii="Times New Roman" w:hAnsi="Times New Roman"/>
          <w:sz w:val="24"/>
          <w:szCs w:val="24"/>
        </w:rPr>
      </w:pPr>
    </w:p>
    <w:p w14:paraId="2948E965" w14:textId="77777777" w:rsidR="00004EEC" w:rsidRPr="00004EEC" w:rsidRDefault="00004EEC" w:rsidP="000C4DF5">
      <w:pPr>
        <w:pStyle w:val="NoSpacing"/>
        <w:rPr>
          <w:rFonts w:ascii="Times New Roman" w:hAnsi="Times New Roman"/>
          <w:sz w:val="24"/>
          <w:szCs w:val="24"/>
        </w:rPr>
      </w:pPr>
    </w:p>
    <w:p w14:paraId="21E33559" w14:textId="77777777" w:rsidR="008A2AE6" w:rsidRDefault="008A2AE6" w:rsidP="000C4DF5">
      <w:pPr>
        <w:pStyle w:val="NoSpacing"/>
        <w:rPr>
          <w:rFonts w:ascii="Arial Black" w:hAnsi="Arial Black"/>
          <w:sz w:val="24"/>
          <w:szCs w:val="24"/>
        </w:rPr>
      </w:pPr>
    </w:p>
    <w:p w14:paraId="39091001" w14:textId="77777777" w:rsidR="008A2AE6" w:rsidRDefault="008A2AE6" w:rsidP="000C4DF5">
      <w:pPr>
        <w:pStyle w:val="NoSpacing"/>
        <w:rPr>
          <w:rFonts w:ascii="Arial Black" w:hAnsi="Arial Black"/>
          <w:sz w:val="24"/>
          <w:szCs w:val="24"/>
        </w:rPr>
      </w:pPr>
    </w:p>
    <w:p w14:paraId="5B09835D" w14:textId="2482627D" w:rsidR="00FD3A33" w:rsidRPr="00C23DCB" w:rsidRDefault="00C568F9" w:rsidP="000C4DF5">
      <w:pPr>
        <w:pStyle w:val="NoSpacing"/>
        <w:rPr>
          <w:rFonts w:ascii="Arial Black" w:hAnsi="Arial Black"/>
          <w:sz w:val="28"/>
          <w:szCs w:val="28"/>
        </w:rPr>
      </w:pPr>
      <w:r w:rsidRPr="00C23DCB">
        <w:rPr>
          <w:rFonts w:ascii="Arial Black" w:hAnsi="Arial Black"/>
          <w:sz w:val="28"/>
          <w:szCs w:val="28"/>
        </w:rPr>
        <w:t>18-28</w:t>
      </w:r>
    </w:p>
    <w:p w14:paraId="0694B8D7" w14:textId="77777777" w:rsidR="00C568F9" w:rsidRDefault="00C568F9" w:rsidP="000C4DF5">
      <w:pPr>
        <w:pStyle w:val="NoSpacing"/>
        <w:rPr>
          <w:rFonts w:ascii="Arial Black" w:hAnsi="Arial Black"/>
          <w:sz w:val="24"/>
          <w:szCs w:val="24"/>
        </w:rPr>
      </w:pPr>
    </w:p>
    <w:p w14:paraId="78B5D844" w14:textId="77777777" w:rsidR="00B23BDB" w:rsidRPr="000B7F2C" w:rsidRDefault="00B23BDB" w:rsidP="00B23BDB">
      <w:pPr>
        <w:rPr>
          <w:rFonts w:ascii="Arial Black" w:hAnsi="Arial Black"/>
          <w:sz w:val="28"/>
          <w:szCs w:val="28"/>
        </w:rPr>
      </w:pPr>
      <w:r w:rsidRPr="000B7F2C">
        <w:rPr>
          <w:rFonts w:ascii="Arial Black" w:hAnsi="Arial Black"/>
          <w:sz w:val="28"/>
          <w:szCs w:val="28"/>
        </w:rPr>
        <w:t xml:space="preserve">MD: HUD “GOOD NEIGHBOR” HOMES </w:t>
      </w:r>
      <w:r>
        <w:rPr>
          <w:rFonts w:ascii="Arial Black" w:hAnsi="Arial Black"/>
          <w:sz w:val="28"/>
          <w:szCs w:val="28"/>
        </w:rPr>
        <w:t xml:space="preserve">– POLICE / FIRE </w:t>
      </w:r>
    </w:p>
    <w:p w14:paraId="73369532" w14:textId="77777777" w:rsidR="00B23BDB" w:rsidRPr="00B23BDB" w:rsidRDefault="00B23BDB" w:rsidP="00B23BDB">
      <w:pPr>
        <w:rPr>
          <w:rFonts w:ascii="Times New Roman" w:hAnsi="Times New Roman"/>
          <w:sz w:val="24"/>
          <w:szCs w:val="24"/>
        </w:rPr>
      </w:pPr>
      <w:r w:rsidRPr="00B23BDB">
        <w:rPr>
          <w:rFonts w:ascii="Times New Roman" w:hAnsi="Times New Roman"/>
          <w:sz w:val="24"/>
          <w:szCs w:val="24"/>
        </w:rPr>
        <w:t xml:space="preserve">On Feb. 24, 2025, in </w:t>
      </w:r>
      <w:r w:rsidRPr="00B23BDB">
        <w:rPr>
          <w:rFonts w:ascii="Times New Roman" w:hAnsi="Times New Roman"/>
          <w:sz w:val="24"/>
          <w:szCs w:val="24"/>
          <w:u w:val="single"/>
        </w:rPr>
        <w:t xml:space="preserve">Robert D. Kaetzel v. The Secretary of Housing </w:t>
      </w:r>
      <w:proofErr w:type="gramStart"/>
      <w:r w:rsidRPr="00B23BDB">
        <w:rPr>
          <w:rFonts w:ascii="Times New Roman" w:hAnsi="Times New Roman"/>
          <w:sz w:val="24"/>
          <w:szCs w:val="24"/>
          <w:u w:val="single"/>
        </w:rPr>
        <w:t>And</w:t>
      </w:r>
      <w:proofErr w:type="gramEnd"/>
      <w:r w:rsidRPr="00B23BDB">
        <w:rPr>
          <w:rFonts w:ascii="Times New Roman" w:hAnsi="Times New Roman"/>
          <w:sz w:val="24"/>
          <w:szCs w:val="24"/>
          <w:u w:val="single"/>
        </w:rPr>
        <w:t xml:space="preserve"> Urban Development</w:t>
      </w:r>
      <w:r w:rsidRPr="00B23BDB">
        <w:rPr>
          <w:rFonts w:ascii="Times New Roman" w:hAnsi="Times New Roman"/>
          <w:sz w:val="24"/>
          <w:szCs w:val="24"/>
        </w:rPr>
        <w:t>, United State District Judge Brendan A. Hurson granted HUD motion to dismiss because the plaintiff real estate agent (pro se; acting without an attorney) does not have standing because he did not include his two firefighter clients in the case.  The two firefighters sought to buy homes with 50% discount from list price under the HUD “Good Neighbor Next Door”</w:t>
      </w:r>
      <w:r w:rsidRPr="00B23BDB">
        <w:rPr>
          <w:rFonts w:ascii="Times New Roman" w:hAnsi="Times New Roman"/>
          <w:b/>
          <w:sz w:val="24"/>
          <w:szCs w:val="24"/>
        </w:rPr>
        <w:t xml:space="preserve"> </w:t>
      </w:r>
      <w:r w:rsidRPr="00B23BDB">
        <w:rPr>
          <w:rFonts w:ascii="Times New Roman" w:hAnsi="Times New Roman"/>
          <w:sz w:val="24"/>
          <w:szCs w:val="24"/>
        </w:rPr>
        <w:t xml:space="preserve">program in </w:t>
      </w:r>
      <w:hyperlink r:id="rId3006" w:history="1">
        <w:r w:rsidRPr="00B23BDB">
          <w:rPr>
            <w:rStyle w:val="Hyperlink"/>
            <w:rFonts w:ascii="Times New Roman" w:hAnsi="Times New Roman"/>
            <w:sz w:val="24"/>
            <w:szCs w:val="24"/>
          </w:rPr>
          <w:t>revitalization areas</w:t>
        </w:r>
      </w:hyperlink>
      <w:r w:rsidRPr="00B23BDB">
        <w:rPr>
          <w:rFonts w:ascii="Times New Roman" w:hAnsi="Times New Roman"/>
          <w:sz w:val="24"/>
          <w:szCs w:val="24"/>
        </w:rPr>
        <w:t xml:space="preserve">.  Firefighter Kendra L. Slydell, a career firefighter with Princes George County fire department was denied HUD reduced price home in Capitol Heights, a town in PG County; firefighter Kenneth Hudson, a career firefighter with  Baltimore City fire department was denied a home in Baltimore City.  The real estate agent alleged HUD determined “that the individual purchaser[s'] regular work locations are not within the same ‘neighborhood or community' as the property, [and] therefore [the purchasers] do not qualify.”   </w:t>
      </w:r>
      <w:hyperlink r:id="rId3007" w:history="1">
        <w:r w:rsidRPr="00B23BDB">
          <w:rPr>
            <w:rStyle w:val="Hyperlink"/>
            <w:rFonts w:ascii="Times New Roman" w:hAnsi="Times New Roman"/>
            <w:sz w:val="24"/>
            <w:szCs w:val="24"/>
          </w:rPr>
          <w:t>https://public.fastcase.com/jaEE2PXzRXmZ99jOLMt1InNcYbqVaI0RKJVNmSUWwC4uBfhrqEaMCXW4t6jftSIgD4%2FHoHLdH48y39slr7kZWrEMnvLTwJnn0bFKh%2B9XZVQ%3D?utm_medium=email&amp;_hsenc=p2ANqtz-9jIRW7ECQxdsfZzinN3lzy-N6WwmOPS0xWaDDWCvHvPAgLyigDSOvaGk0u5IT3PeW4EZ19aOxVZon74RIrJmMQwWSuhw&amp;_hsmi=226712652&amp;utm_content=226712652&amp;utm_source=hs_email</w:t>
        </w:r>
      </w:hyperlink>
      <w:r w:rsidRPr="00B23BDB">
        <w:rPr>
          <w:rFonts w:ascii="Times New Roman" w:hAnsi="Times New Roman"/>
          <w:sz w:val="24"/>
          <w:szCs w:val="24"/>
        </w:rPr>
        <w:t xml:space="preserve"> </w:t>
      </w:r>
    </w:p>
    <w:p w14:paraId="10069FF8" w14:textId="77777777" w:rsidR="00B23BDB" w:rsidRPr="00B23BDB" w:rsidRDefault="00B23BDB" w:rsidP="00B23BDB">
      <w:pPr>
        <w:pStyle w:val="NoSpacing"/>
        <w:rPr>
          <w:rFonts w:ascii="Times New Roman" w:hAnsi="Times New Roman"/>
          <w:sz w:val="24"/>
          <w:szCs w:val="24"/>
        </w:rPr>
      </w:pPr>
      <w:r w:rsidRPr="00B23BDB">
        <w:rPr>
          <w:rFonts w:ascii="Times New Roman" w:hAnsi="Times New Roman"/>
          <w:sz w:val="24"/>
          <w:szCs w:val="24"/>
        </w:rPr>
        <w:t>The Court wrote:</w:t>
      </w:r>
    </w:p>
    <w:p w14:paraId="6933A9DC" w14:textId="77777777" w:rsidR="00B23BDB" w:rsidRPr="00B23BDB" w:rsidRDefault="00B23BDB" w:rsidP="00B23BDB">
      <w:pPr>
        <w:pStyle w:val="NoSpacing"/>
        <w:rPr>
          <w:rFonts w:ascii="Times New Roman" w:hAnsi="Times New Roman"/>
          <w:sz w:val="24"/>
          <w:szCs w:val="24"/>
        </w:rPr>
      </w:pPr>
    </w:p>
    <w:p w14:paraId="7E0842AC"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“Plaintiff Robert D. Kaetzel …proceeding pro se, </w:t>
      </w:r>
      <w:proofErr w:type="gramStart"/>
      <w:r w:rsidRPr="00B23BDB">
        <w:rPr>
          <w:rFonts w:ascii="Times New Roman" w:hAnsi="Times New Roman"/>
          <w:sz w:val="24"/>
          <w:szCs w:val="24"/>
        </w:rPr>
        <w:t>brought suit against</w:t>
      </w:r>
      <w:proofErr w:type="gramEnd"/>
      <w:r w:rsidRPr="00B23BDB">
        <w:rPr>
          <w:rFonts w:ascii="Times New Roman" w:hAnsi="Times New Roman"/>
          <w:sz w:val="24"/>
          <w:szCs w:val="24"/>
        </w:rPr>
        <w:t xml:space="preserve"> the Secretary of Housing and Urban Development  … challenging HUD's implementation of its Good Neighbor Next Door (“GNND”) Program…. </w:t>
      </w:r>
    </w:p>
    <w:p w14:paraId="1DF2B3F4" w14:textId="77777777" w:rsidR="00B23BDB" w:rsidRPr="00B23BDB" w:rsidRDefault="00B23BDB" w:rsidP="00B23BDB">
      <w:pPr>
        <w:pStyle w:val="NoSpacing"/>
        <w:rPr>
          <w:rFonts w:ascii="Times New Roman" w:hAnsi="Times New Roman"/>
          <w:sz w:val="24"/>
          <w:szCs w:val="24"/>
        </w:rPr>
      </w:pPr>
    </w:p>
    <w:p w14:paraId="02EE47AC"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p>
    <w:p w14:paraId="0A405586" w14:textId="77777777" w:rsidR="00B23BDB" w:rsidRPr="00B23BDB" w:rsidRDefault="00B23BDB" w:rsidP="00B23BDB">
      <w:pPr>
        <w:pStyle w:val="NoSpacing"/>
        <w:rPr>
          <w:rFonts w:ascii="Times New Roman" w:hAnsi="Times New Roman"/>
          <w:sz w:val="24"/>
          <w:szCs w:val="24"/>
        </w:rPr>
      </w:pPr>
    </w:p>
    <w:p w14:paraId="611DA675"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HUD created the GNND Program ‘to improve the quality of life in distressed urban communities ... by encouraging law enforcement officers, teachers, and </w:t>
      </w:r>
      <w:proofErr w:type="gramStart"/>
      <w:r w:rsidRPr="00B23BDB">
        <w:rPr>
          <w:rFonts w:ascii="Times New Roman" w:hAnsi="Times New Roman"/>
          <w:sz w:val="24"/>
          <w:szCs w:val="24"/>
        </w:rPr>
        <w:t>firefighters</w:t>
      </w:r>
      <w:proofErr w:type="gramEnd"/>
      <w:r w:rsidRPr="00B23BDB">
        <w:rPr>
          <w:rFonts w:ascii="Times New Roman" w:hAnsi="Times New Roman"/>
          <w:sz w:val="24"/>
          <w:szCs w:val="24"/>
        </w:rPr>
        <w:t>/emergency medical technicians to purchase and live in homes that are located in the same communities where they perform their daily responsibilities and duties.’ 24 C.F.R. § 291.500. The Program allows eligible purchasers to ‘purchase a specifically designated HUD-acquired home located in a HUD-designated revitalization area’ ‘[a]t a 50 percent discount from the list price’ and ‘[w]</w:t>
      </w:r>
      <w:proofErr w:type="spellStart"/>
      <w:r w:rsidRPr="00B23BDB">
        <w:rPr>
          <w:rFonts w:ascii="Times New Roman" w:hAnsi="Times New Roman"/>
          <w:sz w:val="24"/>
          <w:szCs w:val="24"/>
        </w:rPr>
        <w:t>ith</w:t>
      </w:r>
      <w:proofErr w:type="spellEnd"/>
      <w:r w:rsidRPr="00B23BDB">
        <w:rPr>
          <w:rFonts w:ascii="Times New Roman" w:hAnsi="Times New Roman"/>
          <w:sz w:val="24"/>
          <w:szCs w:val="24"/>
        </w:rPr>
        <w:t xml:space="preserve"> a downpayment of $100, but only if the [eligible purchaser] finances the home through a Federal Housing Administration (FHA) insured mortgage.’ § 291.510(a)(1)-(2). </w:t>
      </w:r>
    </w:p>
    <w:p w14:paraId="4987D0DA" w14:textId="77777777" w:rsidR="00B23BDB" w:rsidRPr="00B23BDB" w:rsidRDefault="00B23BDB" w:rsidP="00B23BDB">
      <w:pPr>
        <w:pStyle w:val="NoSpacing"/>
        <w:rPr>
          <w:rFonts w:ascii="Times New Roman" w:hAnsi="Times New Roman"/>
          <w:sz w:val="24"/>
          <w:szCs w:val="24"/>
        </w:rPr>
      </w:pPr>
    </w:p>
    <w:p w14:paraId="7A641D7F"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p>
    <w:p w14:paraId="6DCC9D53" w14:textId="77777777" w:rsidR="00B23BDB" w:rsidRPr="00B23BDB" w:rsidRDefault="00B23BDB" w:rsidP="00B23BDB">
      <w:pPr>
        <w:pStyle w:val="NoSpacing"/>
        <w:rPr>
          <w:rFonts w:ascii="Times New Roman" w:hAnsi="Times New Roman"/>
          <w:sz w:val="24"/>
          <w:szCs w:val="24"/>
        </w:rPr>
      </w:pPr>
    </w:p>
    <w:p w14:paraId="5DBC73A9"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Here, </w:t>
      </w:r>
      <w:proofErr w:type="gramStart"/>
      <w:r w:rsidRPr="00B23BDB">
        <w:rPr>
          <w:rFonts w:ascii="Times New Roman" w:hAnsi="Times New Roman"/>
          <w:sz w:val="24"/>
          <w:szCs w:val="24"/>
        </w:rPr>
        <w:t>Plaintiffs</w:t>
      </w:r>
      <w:proofErr w:type="gramEnd"/>
      <w:r w:rsidRPr="00B23BDB">
        <w:rPr>
          <w:rFonts w:ascii="Times New Roman" w:hAnsi="Times New Roman"/>
          <w:sz w:val="24"/>
          <w:szCs w:val="24"/>
        </w:rPr>
        <w:t xml:space="preserve"> claims are entirely derivative of those of his clients, who are not parties </w:t>
      </w:r>
      <w:proofErr w:type="gramStart"/>
      <w:r w:rsidRPr="00B23BDB">
        <w:rPr>
          <w:rFonts w:ascii="Times New Roman" w:hAnsi="Times New Roman"/>
          <w:sz w:val="24"/>
          <w:szCs w:val="24"/>
        </w:rPr>
        <w:t>in</w:t>
      </w:r>
      <w:proofErr w:type="gramEnd"/>
      <w:r w:rsidRPr="00B23BDB">
        <w:rPr>
          <w:rFonts w:ascii="Times New Roman" w:hAnsi="Times New Roman"/>
          <w:sz w:val="24"/>
          <w:szCs w:val="24"/>
        </w:rPr>
        <w:t xml:space="preserve"> this suit. Even assuming Plaintiff has met the first two criteria, there is nothing before the Court to suggest that Plaintiffs clients are unable to bring suit on their own behalf challenging HUD's application of its own GNND Program regulations. Plaintiff therefore cannot establish third-party standing.”</w:t>
      </w:r>
    </w:p>
    <w:p w14:paraId="21ADF3A3" w14:textId="77777777" w:rsidR="00B23BDB" w:rsidRPr="00B23BDB" w:rsidRDefault="00B23BDB" w:rsidP="00B23BDB">
      <w:pPr>
        <w:pStyle w:val="NoSpacing"/>
        <w:rPr>
          <w:rFonts w:ascii="Times New Roman" w:hAnsi="Times New Roman"/>
          <w:sz w:val="24"/>
          <w:szCs w:val="24"/>
        </w:rPr>
      </w:pPr>
    </w:p>
    <w:p w14:paraId="29687481" w14:textId="77777777" w:rsidR="00B23BDB" w:rsidRPr="00B23BDB" w:rsidRDefault="00B23BDB" w:rsidP="00B23BDB">
      <w:pPr>
        <w:pStyle w:val="NoSpacing"/>
        <w:rPr>
          <w:rFonts w:ascii="Times New Roman" w:hAnsi="Times New Roman"/>
          <w:b/>
          <w:bCs/>
          <w:sz w:val="24"/>
          <w:szCs w:val="24"/>
        </w:rPr>
      </w:pPr>
      <w:r w:rsidRPr="00B23BDB">
        <w:rPr>
          <w:rFonts w:ascii="Times New Roman" w:hAnsi="Times New Roman"/>
          <w:b/>
          <w:sz w:val="24"/>
          <w:szCs w:val="24"/>
        </w:rPr>
        <w:t xml:space="preserve">Legal Lesson Learned:  The two firefighters who were denied HUD approval of “Good Neighbor Next Door” purchases may bring a lawsuit. </w:t>
      </w:r>
    </w:p>
    <w:p w14:paraId="274A4CDC" w14:textId="77777777" w:rsidR="00B23BDB" w:rsidRPr="00B23BDB" w:rsidRDefault="00B23BDB" w:rsidP="00B23BDB">
      <w:pPr>
        <w:rPr>
          <w:rFonts w:ascii="Times New Roman" w:hAnsi="Times New Roman"/>
          <w:b/>
          <w:bCs/>
          <w:sz w:val="24"/>
          <w:szCs w:val="24"/>
        </w:rPr>
      </w:pPr>
    </w:p>
    <w:p w14:paraId="68735F26" w14:textId="77777777" w:rsidR="00B23BDB" w:rsidRPr="00B23BDB" w:rsidRDefault="00B23BDB" w:rsidP="00B23BDB">
      <w:pPr>
        <w:ind w:left="720"/>
        <w:rPr>
          <w:rFonts w:ascii="Times New Roman" w:hAnsi="Times New Roman"/>
          <w:sz w:val="24"/>
          <w:szCs w:val="24"/>
        </w:rPr>
      </w:pPr>
      <w:r w:rsidRPr="00B23BDB">
        <w:rPr>
          <w:rFonts w:ascii="Times New Roman" w:hAnsi="Times New Roman"/>
          <w:sz w:val="24"/>
          <w:szCs w:val="24"/>
        </w:rPr>
        <w:t xml:space="preserve">Note: See HUD Good Neighbor Next Door program: </w:t>
      </w:r>
      <w:hyperlink r:id="rId3008" w:history="1">
        <w:r w:rsidRPr="00B23BDB">
          <w:rPr>
            <w:rStyle w:val="Hyperlink"/>
            <w:rFonts w:ascii="Times New Roman" w:hAnsi="Times New Roman"/>
            <w:sz w:val="24"/>
            <w:szCs w:val="24"/>
          </w:rPr>
          <w:t>https://www.hud.gov/program_offices/housing/sfh/reo/goodn/gnndabot</w:t>
        </w:r>
      </w:hyperlink>
      <w:r w:rsidRPr="00B23BDB">
        <w:rPr>
          <w:rFonts w:ascii="Times New Roman" w:hAnsi="Times New Roman"/>
          <w:sz w:val="24"/>
          <w:szCs w:val="24"/>
        </w:rPr>
        <w:t xml:space="preserve"> </w:t>
      </w:r>
    </w:p>
    <w:p w14:paraId="2D161CBB"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 xml:space="preserve">See Regulation: </w:t>
      </w:r>
    </w:p>
    <w:p w14:paraId="4459094D" w14:textId="77777777" w:rsidR="00B23BDB" w:rsidRPr="00B23BDB" w:rsidRDefault="00B23BDB" w:rsidP="00B23BDB">
      <w:pPr>
        <w:pStyle w:val="NoSpacing"/>
        <w:rPr>
          <w:rFonts w:ascii="Times New Roman" w:hAnsi="Times New Roman"/>
          <w:sz w:val="24"/>
          <w:szCs w:val="24"/>
        </w:rPr>
      </w:pPr>
      <w:r w:rsidRPr="00B23BDB">
        <w:rPr>
          <w:rFonts w:ascii="Times New Roman" w:hAnsi="Times New Roman"/>
          <w:sz w:val="24"/>
          <w:szCs w:val="24"/>
        </w:rPr>
        <w:t>      </w:t>
      </w:r>
    </w:p>
    <w:p w14:paraId="26C6A0DF"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 291.530 Eligible firefighter/emergency medical technicians. A person qualifies as a firefighter/emergency medical technician for the purposes of the GNND Sales Program if the person is: </w:t>
      </w:r>
    </w:p>
    <w:p w14:paraId="2D1652F2"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(a) Employed full-time as a firefighter or emergency medical technician by a fire department or emergency medical services responder unit of the Federal Government, a </w:t>
      </w:r>
      <w:hyperlink r:id="rId3009" w:history="1">
        <w:r w:rsidRPr="00B23BDB">
          <w:rPr>
            <w:rStyle w:val="Hyperlink"/>
            <w:rFonts w:ascii="Times New Roman" w:hAnsi="Times New Roman"/>
            <w:sz w:val="24"/>
            <w:szCs w:val="24"/>
          </w:rPr>
          <w:t>State</w:t>
        </w:r>
      </w:hyperlink>
      <w:r w:rsidRPr="00B23BDB">
        <w:rPr>
          <w:rFonts w:ascii="Times New Roman" w:hAnsi="Times New Roman"/>
          <w:sz w:val="24"/>
          <w:szCs w:val="24"/>
        </w:rPr>
        <w:t xml:space="preserve">, </w:t>
      </w:r>
      <w:hyperlink r:id="rId3010" w:history="1">
        <w:r w:rsidRPr="00B23BDB">
          <w:rPr>
            <w:rStyle w:val="Hyperlink"/>
            <w:rFonts w:ascii="Times New Roman" w:hAnsi="Times New Roman"/>
            <w:sz w:val="24"/>
            <w:szCs w:val="24"/>
          </w:rPr>
          <w:t>unit of general local government</w:t>
        </w:r>
      </w:hyperlink>
      <w:r w:rsidRPr="00B23BDB">
        <w:rPr>
          <w:rFonts w:ascii="Times New Roman" w:hAnsi="Times New Roman"/>
          <w:sz w:val="24"/>
          <w:szCs w:val="24"/>
        </w:rPr>
        <w:t xml:space="preserve">, or an Indian tribal government; and </w:t>
      </w:r>
    </w:p>
    <w:p w14:paraId="4C78CFC7"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(b) The full-time employment in </w:t>
      </w:r>
      <w:hyperlink r:id="rId3011" w:anchor="a" w:history="1">
        <w:r w:rsidRPr="00B23BDB">
          <w:rPr>
            <w:rStyle w:val="Hyperlink"/>
            <w:rFonts w:ascii="Times New Roman" w:hAnsi="Times New Roman"/>
            <w:sz w:val="24"/>
            <w:szCs w:val="24"/>
          </w:rPr>
          <w:t>paragraph (a)</w:t>
        </w:r>
      </w:hyperlink>
      <w:r w:rsidRPr="00B23BDB">
        <w:rPr>
          <w:rFonts w:ascii="Times New Roman" w:hAnsi="Times New Roman"/>
          <w:sz w:val="24"/>
          <w:szCs w:val="24"/>
        </w:rPr>
        <w:t xml:space="preserve"> of this section must, in the normal course of business, directly serve the </w:t>
      </w:r>
      <w:hyperlink r:id="rId3012" w:history="1">
        <w:r w:rsidRPr="00B23BDB">
          <w:rPr>
            <w:rStyle w:val="Hyperlink"/>
            <w:rFonts w:ascii="Times New Roman" w:hAnsi="Times New Roman"/>
            <w:sz w:val="24"/>
            <w:szCs w:val="24"/>
          </w:rPr>
          <w:t>locality</w:t>
        </w:r>
      </w:hyperlink>
      <w:r w:rsidRPr="00B23BDB">
        <w:rPr>
          <w:rFonts w:ascii="Times New Roman" w:hAnsi="Times New Roman"/>
          <w:sz w:val="24"/>
          <w:szCs w:val="24"/>
        </w:rPr>
        <w:t xml:space="preserve"> where the home is located. </w:t>
      </w:r>
    </w:p>
    <w:p w14:paraId="63606365" w14:textId="51C7D22B" w:rsidR="00C568F9"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hyperlink r:id="rId3013" w:history="1">
        <w:r w:rsidRPr="00B23BDB">
          <w:rPr>
            <w:rStyle w:val="Hyperlink"/>
            <w:rFonts w:ascii="Times New Roman" w:hAnsi="Times New Roman"/>
            <w:sz w:val="24"/>
            <w:szCs w:val="24"/>
          </w:rPr>
          <w:t>81 FR 53003</w:t>
        </w:r>
      </w:hyperlink>
      <w:r w:rsidRPr="00B23BDB">
        <w:rPr>
          <w:rFonts w:ascii="Times New Roman" w:hAnsi="Times New Roman"/>
          <w:sz w:val="24"/>
          <w:szCs w:val="24"/>
        </w:rPr>
        <w:t xml:space="preserve">, Aug. 11, 2016] </w:t>
      </w:r>
      <w:hyperlink r:id="rId3014" w:history="1">
        <w:r w:rsidRPr="00B23BDB">
          <w:rPr>
            <w:rStyle w:val="Hyperlink"/>
            <w:rFonts w:ascii="Times New Roman" w:hAnsi="Times New Roman"/>
            <w:sz w:val="24"/>
            <w:szCs w:val="24"/>
          </w:rPr>
          <w:t>https://www.law.cornell.edu/cfr/text/24/291.530</w:t>
        </w:r>
      </w:hyperlink>
    </w:p>
    <w:p w14:paraId="2B277B2C" w14:textId="77777777" w:rsidR="00C568F9" w:rsidRPr="00B23BDB" w:rsidRDefault="00C568F9" w:rsidP="000C4DF5">
      <w:pPr>
        <w:pStyle w:val="NoSpacing"/>
        <w:rPr>
          <w:rFonts w:ascii="Times New Roman" w:hAnsi="Times New Roman"/>
          <w:sz w:val="24"/>
          <w:szCs w:val="24"/>
        </w:rPr>
      </w:pPr>
    </w:p>
    <w:p w14:paraId="6AB413C5" w14:textId="77777777" w:rsidR="00B23BDB" w:rsidRDefault="00B23BDB" w:rsidP="000C4DF5">
      <w:pPr>
        <w:pStyle w:val="NoSpacing"/>
        <w:rPr>
          <w:rFonts w:ascii="Arial Black" w:hAnsi="Arial Black"/>
          <w:sz w:val="28"/>
          <w:szCs w:val="28"/>
        </w:rPr>
      </w:pPr>
    </w:p>
    <w:p w14:paraId="5941033D" w14:textId="7A6AB524" w:rsidR="002100FE" w:rsidRPr="00B23BDB" w:rsidRDefault="002100FE" w:rsidP="000C4DF5">
      <w:pPr>
        <w:pStyle w:val="NoSpacing"/>
        <w:rPr>
          <w:rFonts w:ascii="Arial Black" w:hAnsi="Arial Black"/>
          <w:sz w:val="28"/>
          <w:szCs w:val="28"/>
        </w:rPr>
      </w:pPr>
      <w:r w:rsidRPr="00B23BDB">
        <w:rPr>
          <w:rFonts w:ascii="Arial Black" w:hAnsi="Arial Black"/>
          <w:sz w:val="28"/>
          <w:szCs w:val="28"/>
        </w:rPr>
        <w:t>18-27</w:t>
      </w:r>
    </w:p>
    <w:p w14:paraId="59610DE8" w14:textId="77777777" w:rsidR="002100FE" w:rsidRDefault="002100FE" w:rsidP="000C4DF5">
      <w:pPr>
        <w:pStyle w:val="NoSpacing"/>
        <w:rPr>
          <w:rFonts w:ascii="Arial Black" w:hAnsi="Arial Black"/>
          <w:sz w:val="24"/>
          <w:szCs w:val="24"/>
        </w:rPr>
      </w:pPr>
    </w:p>
    <w:p w14:paraId="0E908DF7" w14:textId="2B15EBC0" w:rsidR="002100FE" w:rsidRPr="00EA5F06" w:rsidRDefault="002100FE" w:rsidP="002100FE">
      <w:pPr>
        <w:pStyle w:val="NoSpacing"/>
        <w:rPr>
          <w:rFonts w:ascii="Arial Black" w:hAnsi="Arial Black"/>
          <w:bCs/>
          <w:sz w:val="28"/>
          <w:szCs w:val="28"/>
        </w:rPr>
      </w:pPr>
      <w:r>
        <w:rPr>
          <w:rFonts w:ascii="Arial Black" w:hAnsi="Arial Black"/>
          <w:sz w:val="28"/>
          <w:szCs w:val="28"/>
        </w:rPr>
        <w:t>NM: FOREST FIRE ACT</w:t>
      </w:r>
      <w:r>
        <w:rPr>
          <w:rFonts w:ascii="Arial Black" w:hAnsi="Arial Black"/>
          <w:bCs/>
          <w:sz w:val="28"/>
          <w:szCs w:val="28"/>
        </w:rPr>
        <w:t xml:space="preserve"> </w:t>
      </w:r>
      <w:r>
        <w:rPr>
          <w:rFonts w:ascii="Arial Black" w:hAnsi="Arial Black"/>
          <w:sz w:val="28"/>
          <w:szCs w:val="28"/>
        </w:rPr>
        <w:t>– PROP. &amp; EMOTIONAL D</w:t>
      </w:r>
      <w:r>
        <w:rPr>
          <w:rFonts w:ascii="Arial Black" w:hAnsi="Arial Black"/>
          <w:bCs/>
          <w:sz w:val="28"/>
          <w:szCs w:val="28"/>
        </w:rPr>
        <w:t>AM</w:t>
      </w:r>
      <w:r w:rsidR="00861268">
        <w:rPr>
          <w:rFonts w:ascii="Arial Black" w:hAnsi="Arial Black"/>
          <w:bCs/>
          <w:sz w:val="28"/>
          <w:szCs w:val="28"/>
        </w:rPr>
        <w:t>AGES</w:t>
      </w:r>
      <w:r>
        <w:rPr>
          <w:rFonts w:ascii="Arial Black" w:hAnsi="Arial Black"/>
          <w:sz w:val="28"/>
          <w:szCs w:val="28"/>
        </w:rPr>
        <w:t xml:space="preserve"> </w:t>
      </w:r>
    </w:p>
    <w:p w14:paraId="5AA304A9" w14:textId="77777777" w:rsidR="002100FE" w:rsidRDefault="002100FE" w:rsidP="002100FE">
      <w:pPr>
        <w:pStyle w:val="NoSpacing"/>
        <w:rPr>
          <w:bCs/>
        </w:rPr>
      </w:pPr>
    </w:p>
    <w:p w14:paraId="5D2946C7" w14:textId="77777777" w:rsidR="006D6BE3" w:rsidRPr="006D6BE3" w:rsidRDefault="006D6BE3" w:rsidP="006D6BE3">
      <w:pPr>
        <w:pStyle w:val="NoSpacing"/>
        <w:rPr>
          <w:rFonts w:ascii="Times New Roman" w:hAnsi="Times New Roman"/>
          <w:sz w:val="24"/>
          <w:szCs w:val="24"/>
        </w:rPr>
      </w:pPr>
      <w:r w:rsidRPr="006D6BE3">
        <w:rPr>
          <w:rFonts w:ascii="Times New Roman" w:hAnsi="Times New Roman"/>
          <w:sz w:val="24"/>
          <w:szCs w:val="24"/>
        </w:rPr>
        <w:t xml:space="preserve">On Dec. 17, 2024, in </w:t>
      </w:r>
      <w:r w:rsidRPr="006D6BE3">
        <w:rPr>
          <w:rFonts w:ascii="Times New Roman" w:hAnsi="Times New Roman"/>
          <w:sz w:val="24"/>
          <w:szCs w:val="24"/>
          <w:u w:val="single"/>
        </w:rPr>
        <w:t>Tobin Dolan, et al. v. FEMA</w:t>
      </w:r>
      <w:r w:rsidRPr="006D6BE3">
        <w:rPr>
          <w:rFonts w:ascii="Times New Roman" w:hAnsi="Times New Roman"/>
          <w:sz w:val="24"/>
          <w:szCs w:val="24"/>
        </w:rPr>
        <w:t xml:space="preserve">, United States District Court Judge James O. Browning, U.S. District Court for District of New Mexico, held that when Congress in 2022 passed the Hermit's Peak Fire Assistance Act, and directed FEMA to disburse $3.95 billion in compensation for property owners damaged by the Hermit’s Peak/Calf Canyon Fire, that compensation can include noneconomic damages, including damages for emotional distress.  </w:t>
      </w:r>
      <w:hyperlink r:id="rId3015" w:history="1">
        <w:r w:rsidRPr="006D6BE3">
          <w:rPr>
            <w:rStyle w:val="Hyperlink"/>
            <w:rFonts w:ascii="Times New Roman" w:hAnsi="Times New Roman"/>
            <w:sz w:val="24"/>
            <w:szCs w:val="24"/>
          </w:rPr>
          <w:t>https://casetext.com/case/dolan-v-fed-emergency-mgmt-agency</w:t>
        </w:r>
      </w:hyperlink>
      <w:r w:rsidRPr="006D6BE3">
        <w:rPr>
          <w:rFonts w:ascii="Times New Roman" w:hAnsi="Times New Roman"/>
          <w:sz w:val="24"/>
          <w:szCs w:val="24"/>
        </w:rPr>
        <w:t xml:space="preserve"> </w:t>
      </w:r>
    </w:p>
    <w:p w14:paraId="258AE72E" w14:textId="77777777" w:rsidR="006D6BE3" w:rsidRDefault="006D6BE3" w:rsidP="002100FE">
      <w:pPr>
        <w:pStyle w:val="NoSpacing"/>
        <w:rPr>
          <w:rFonts w:ascii="Times New Roman" w:hAnsi="Times New Roman"/>
          <w:sz w:val="24"/>
          <w:szCs w:val="24"/>
        </w:rPr>
      </w:pPr>
    </w:p>
    <w:p w14:paraId="3AF6AF9F" w14:textId="2BB3A342" w:rsidR="002100FE" w:rsidRPr="00B14B92" w:rsidRDefault="002100FE" w:rsidP="002100FE">
      <w:pPr>
        <w:pStyle w:val="NoSpacing"/>
        <w:rPr>
          <w:rFonts w:ascii="Times New Roman" w:hAnsi="Times New Roman"/>
          <w:bCs/>
          <w:sz w:val="24"/>
          <w:szCs w:val="24"/>
        </w:rPr>
      </w:pPr>
      <w:r w:rsidRPr="00B14B92">
        <w:rPr>
          <w:rFonts w:ascii="Times New Roman" w:hAnsi="Times New Roman"/>
          <w:sz w:val="24"/>
          <w:szCs w:val="24"/>
        </w:rPr>
        <w:t>The Court wrote:</w:t>
      </w:r>
    </w:p>
    <w:p w14:paraId="24BC33A4" w14:textId="77777777" w:rsidR="002100FE" w:rsidRPr="00B14B92" w:rsidRDefault="002100FE" w:rsidP="002100FE">
      <w:pPr>
        <w:pStyle w:val="NoSpacing"/>
        <w:rPr>
          <w:rFonts w:ascii="Times New Roman" w:hAnsi="Times New Roman"/>
          <w:bCs/>
          <w:sz w:val="24"/>
          <w:szCs w:val="24"/>
        </w:rPr>
      </w:pPr>
    </w:p>
    <w:p w14:paraId="145EA946" w14:textId="35E38C62" w:rsidR="002100FE" w:rsidRDefault="002100FE" w:rsidP="00077FB4">
      <w:pPr>
        <w:pStyle w:val="NoSpacing"/>
        <w:ind w:left="720"/>
        <w:rPr>
          <w:rFonts w:ascii="Times New Roman" w:hAnsi="Times New Roman"/>
          <w:sz w:val="24"/>
          <w:szCs w:val="24"/>
        </w:rPr>
      </w:pPr>
      <w:r w:rsidRPr="00B14B92">
        <w:rPr>
          <w:rFonts w:ascii="Times New Roman" w:hAnsi="Times New Roman"/>
          <w:sz w:val="24"/>
          <w:szCs w:val="24"/>
        </w:rPr>
        <w:t>“The Court held a hearing on October 15, 2024…. The primary issues are: (</w:t>
      </w:r>
      <w:proofErr w:type="spellStart"/>
      <w:r w:rsidRPr="00B14B92">
        <w:rPr>
          <w:rFonts w:ascii="Times New Roman" w:hAnsi="Times New Roman"/>
          <w:sz w:val="24"/>
          <w:szCs w:val="24"/>
        </w:rPr>
        <w:t>i</w:t>
      </w:r>
      <w:proofErr w:type="spellEnd"/>
      <w:r w:rsidRPr="00B14B92">
        <w:rPr>
          <w:rFonts w:ascii="Times New Roman" w:hAnsi="Times New Roman"/>
          <w:sz w:val="24"/>
          <w:szCs w:val="24"/>
        </w:rPr>
        <w:t xml:space="preserve">) whether the Hermit's Peak Fire Assistance Act, Pub. L. No. 117-180, § 104, 136 Stat. 2114, 2168 (2022)(‘Hermit's Peak Act’) allows victims of the Hermit's Peak/Calf Canyon Fire to recover noneconomic damages for discomfort, annoyance, inconvenience, and emotional distress under New Mexico State law; and (ii) whether the Defendant Federal Emergency Management Agency's (‘FEMA's’) refusal to compensate noneconomic damages under the Hermit's Peak Act is arbitrary or capricious in violation of the Administrative Procedure Act, </w:t>
      </w:r>
      <w:hyperlink r:id="rId3016" w:history="1">
        <w:r w:rsidRPr="00B14B92">
          <w:rPr>
            <w:rStyle w:val="Hyperlink"/>
            <w:rFonts w:ascii="Times New Roman" w:hAnsi="Times New Roman"/>
            <w:sz w:val="24"/>
            <w:szCs w:val="24"/>
          </w:rPr>
          <w:t>5 U.S.C. § 706(2)(A)</w:t>
        </w:r>
      </w:hyperlink>
      <w:r w:rsidRPr="00B14B92">
        <w:rPr>
          <w:rFonts w:ascii="Times New Roman" w:hAnsi="Times New Roman"/>
          <w:sz w:val="24"/>
          <w:szCs w:val="24"/>
        </w:rPr>
        <w:t>. The Court concludes that: (</w:t>
      </w:r>
      <w:proofErr w:type="spellStart"/>
      <w:r w:rsidRPr="00B14B92">
        <w:rPr>
          <w:rFonts w:ascii="Times New Roman" w:hAnsi="Times New Roman"/>
          <w:sz w:val="24"/>
          <w:szCs w:val="24"/>
        </w:rPr>
        <w:t>i</w:t>
      </w:r>
      <w:proofErr w:type="spellEnd"/>
      <w:r w:rsidRPr="00B14B92">
        <w:rPr>
          <w:rFonts w:ascii="Times New Roman" w:hAnsi="Times New Roman"/>
          <w:sz w:val="24"/>
          <w:szCs w:val="24"/>
        </w:rPr>
        <w:t xml:space="preserve">) the Hermit's Peak Act waives FEMA's sovereign immunity for claims pursuing damages resulting from the Hermit's Peak/Calf Canyon Fire that are available under New Mexico State law; (ii) New Mexico State law allows victims of the Hermit's Peak/Calf Canyon Fire to recover noneconomic damages for nuisance, trespass, and personal injury, such as damages for emotional distress, discomfort, annoyance, and inconvenience; (iii) the correct interpretation of the ‘actual compensatory damages’ recoverable in the Hermit's Peak Act's includes noneconomic damages; and (iv) FEMA's refusal to award noneconomic  c damages under the Hermit's Peak Act is arbitrary and capricious in violation of the APA; and (v) the Court compels FEMA to award noneconomic damages under the APA.” </w:t>
      </w:r>
    </w:p>
    <w:p w14:paraId="4C8C59EF" w14:textId="77777777" w:rsidR="00077FB4" w:rsidRDefault="00077FB4" w:rsidP="00077FB4">
      <w:pPr>
        <w:pStyle w:val="NoSpacing"/>
        <w:ind w:left="720"/>
        <w:rPr>
          <w:rFonts w:ascii="Times New Roman" w:hAnsi="Times New Roman"/>
          <w:sz w:val="24"/>
          <w:szCs w:val="24"/>
        </w:rPr>
      </w:pPr>
    </w:p>
    <w:p w14:paraId="3D543666" w14:textId="77777777" w:rsidR="000A72DE" w:rsidRPr="00FA140F" w:rsidRDefault="000A72DE" w:rsidP="000A72DE">
      <w:pPr>
        <w:pStyle w:val="NoSpacing"/>
        <w:rPr>
          <w:rFonts w:ascii="Times New Roman" w:hAnsi="Times New Roman"/>
          <w:bCs/>
          <w:sz w:val="24"/>
          <w:szCs w:val="24"/>
        </w:rPr>
      </w:pPr>
      <w:r w:rsidRPr="00FA140F">
        <w:rPr>
          <w:rFonts w:ascii="Times New Roman" w:hAnsi="Times New Roman"/>
          <w:sz w:val="24"/>
          <w:szCs w:val="24"/>
        </w:rPr>
        <w:t xml:space="preserve">HOLDING: </w:t>
      </w:r>
    </w:p>
    <w:p w14:paraId="62B7C78F" w14:textId="77777777" w:rsidR="000A72DE" w:rsidRPr="00FA140F" w:rsidRDefault="000A72DE" w:rsidP="000A72DE">
      <w:pPr>
        <w:pStyle w:val="NoSpacing"/>
        <w:ind w:left="720"/>
        <w:rPr>
          <w:rFonts w:ascii="Times New Roman" w:hAnsi="Times New Roman"/>
          <w:bCs/>
          <w:sz w:val="24"/>
          <w:szCs w:val="24"/>
        </w:rPr>
      </w:pPr>
    </w:p>
    <w:p w14:paraId="3F6FB75B"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“In </w:t>
      </w:r>
      <w:r w:rsidRPr="00FA140F">
        <w:rPr>
          <w:rFonts w:ascii="Times New Roman" w:hAnsi="Times New Roman"/>
          <w:i/>
          <w:iCs/>
          <w:sz w:val="24"/>
          <w:szCs w:val="24"/>
        </w:rPr>
        <w:t>Loper Bright</w:t>
      </w:r>
      <w:r w:rsidRPr="00FA140F">
        <w:rPr>
          <w:rFonts w:ascii="Times New Roman" w:hAnsi="Times New Roman"/>
          <w:sz w:val="24"/>
          <w:szCs w:val="24"/>
        </w:rPr>
        <w:t xml:space="preserve">, [June 28, 2024; </w:t>
      </w:r>
      <w:hyperlink r:id="rId3017" w:history="1">
        <w:r w:rsidRPr="00FA140F">
          <w:rPr>
            <w:rStyle w:val="Hyperlink"/>
            <w:rFonts w:ascii="Times New Roman" w:hAnsi="Times New Roman"/>
            <w:sz w:val="24"/>
            <w:szCs w:val="24"/>
          </w:rPr>
          <w:t>https://www.supremecourt.gov/opinions/23pdf/22-451_7m58.pdf</w:t>
        </w:r>
      </w:hyperlink>
      <w:r w:rsidRPr="00FA140F">
        <w:rPr>
          <w:rFonts w:ascii="Times New Roman" w:hAnsi="Times New Roman"/>
          <w:sz w:val="24"/>
          <w:szCs w:val="24"/>
        </w:rPr>
        <w:t xml:space="preserve"> ]  in an opinion that the Honorable John Roberts, Chief Justice of the United States Supreme Court, authors, the Supreme Court reviews the traditional understandings of the judicial function, quoting Alexander Hamilton for the proposition that ‘[t]he Framers . . . envisioned that the final ‘interpretation of the laws' would be ‘the proper and peculiar province of the courts,’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2257 (quoting </w:t>
      </w:r>
      <w:r w:rsidRPr="00FA140F">
        <w:rPr>
          <w:rFonts w:ascii="Times New Roman" w:hAnsi="Times New Roman"/>
          <w:i/>
          <w:iCs/>
          <w:sz w:val="24"/>
          <w:szCs w:val="24"/>
        </w:rPr>
        <w:t>The Federalist no. 78</w:t>
      </w:r>
      <w:r w:rsidRPr="00FA140F">
        <w:rPr>
          <w:rFonts w:ascii="Times New Roman" w:hAnsi="Times New Roman"/>
          <w:sz w:val="24"/>
          <w:szCs w:val="24"/>
        </w:rPr>
        <w:t xml:space="preserve"> (Hamilton)), and the Honorable John Marshall, former Chief Justice of the United States, for the oft-cited principle that ‘[</w:t>
      </w:r>
      <w:proofErr w:type="spellStart"/>
      <w:r w:rsidRPr="00FA140F">
        <w:rPr>
          <w:rFonts w:ascii="Times New Roman" w:hAnsi="Times New Roman"/>
          <w:sz w:val="24"/>
          <w:szCs w:val="24"/>
        </w:rPr>
        <w:t>i</w:t>
      </w:r>
      <w:proofErr w:type="spellEnd"/>
      <w:r w:rsidRPr="00FA140F">
        <w:rPr>
          <w:rFonts w:ascii="Times New Roman" w:hAnsi="Times New Roman"/>
          <w:sz w:val="24"/>
          <w:szCs w:val="24"/>
        </w:rPr>
        <w:t xml:space="preserve">]t is emphatically the province and duty of the judicial department to say what the law is,'’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2257 (quoting </w:t>
      </w:r>
      <w:r w:rsidRPr="00FA140F">
        <w:rPr>
          <w:rFonts w:ascii="Times New Roman" w:hAnsi="Times New Roman"/>
          <w:i/>
          <w:iCs/>
          <w:sz w:val="24"/>
          <w:szCs w:val="24"/>
        </w:rPr>
        <w:t>Marbury v. Madison</w:t>
      </w:r>
      <w:r w:rsidRPr="00FA140F">
        <w:rPr>
          <w:rFonts w:ascii="Times New Roman" w:hAnsi="Times New Roman"/>
          <w:sz w:val="24"/>
          <w:szCs w:val="24"/>
        </w:rPr>
        <w:t xml:space="preserve">, 1 </w:t>
      </w:r>
      <w:proofErr w:type="spellStart"/>
      <w:r w:rsidRPr="00FA140F">
        <w:rPr>
          <w:rFonts w:ascii="Times New Roman" w:hAnsi="Times New Roman"/>
          <w:sz w:val="24"/>
          <w:szCs w:val="24"/>
        </w:rPr>
        <w:t>Cranch</w:t>
      </w:r>
      <w:proofErr w:type="spellEnd"/>
      <w:r w:rsidRPr="00FA140F">
        <w:rPr>
          <w:rFonts w:ascii="Times New Roman" w:hAnsi="Times New Roman"/>
          <w:sz w:val="24"/>
          <w:szCs w:val="24"/>
        </w:rPr>
        <w:t xml:space="preserve"> 137, 177 (1803)). </w:t>
      </w:r>
    </w:p>
    <w:p w14:paraId="3BD9E1F2" w14:textId="77777777" w:rsidR="000A72DE" w:rsidRPr="00FA140F" w:rsidRDefault="000A72DE" w:rsidP="000A72DE">
      <w:pPr>
        <w:pStyle w:val="NoSpacing"/>
        <w:ind w:left="720"/>
        <w:rPr>
          <w:rFonts w:ascii="Times New Roman" w:hAnsi="Times New Roman"/>
          <w:sz w:val="24"/>
          <w:szCs w:val="24"/>
        </w:rPr>
      </w:pPr>
    </w:p>
    <w:p w14:paraId="30BDCA1F"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w:t>
      </w:r>
    </w:p>
    <w:p w14:paraId="7BFFCC7E"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The Supreme Court then explains that ‘[t]he deference that </w:t>
      </w:r>
      <w:r w:rsidRPr="00FA140F">
        <w:rPr>
          <w:rFonts w:ascii="Times New Roman" w:hAnsi="Times New Roman"/>
          <w:i/>
          <w:iCs/>
          <w:sz w:val="24"/>
          <w:szCs w:val="24"/>
        </w:rPr>
        <w:t>Chevron</w:t>
      </w:r>
      <w:r w:rsidRPr="00FA140F">
        <w:rPr>
          <w:rFonts w:ascii="Times New Roman" w:hAnsi="Times New Roman"/>
          <w:sz w:val="24"/>
          <w:szCs w:val="24"/>
        </w:rPr>
        <w:t xml:space="preserve"> requires of courts reviewing agency action cannot be squared with the APA,’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2263, largely because ‘[t]he ‘law of deference' . . . built on the foundation laid in </w:t>
      </w:r>
      <w:r w:rsidRPr="00FA140F">
        <w:rPr>
          <w:rFonts w:ascii="Times New Roman" w:hAnsi="Times New Roman"/>
          <w:i/>
          <w:iCs/>
          <w:sz w:val="24"/>
          <w:szCs w:val="24"/>
        </w:rPr>
        <w:t>Chevron</w:t>
      </w:r>
      <w:r w:rsidRPr="00FA140F">
        <w:rPr>
          <w:rFonts w:ascii="Times New Roman" w:hAnsi="Times New Roman"/>
          <w:sz w:val="24"/>
          <w:szCs w:val="24"/>
        </w:rPr>
        <w:t xml:space="preserve"> [is] ‘[h]</w:t>
      </w:r>
      <w:proofErr w:type="spellStart"/>
      <w:r w:rsidRPr="00FA140F">
        <w:rPr>
          <w:rFonts w:ascii="Times New Roman" w:hAnsi="Times New Roman"/>
          <w:sz w:val="24"/>
          <w:szCs w:val="24"/>
        </w:rPr>
        <w:t>eedless</w:t>
      </w:r>
      <w:proofErr w:type="spellEnd"/>
      <w:r w:rsidRPr="00FA140F">
        <w:rPr>
          <w:rFonts w:ascii="Times New Roman" w:hAnsi="Times New Roman"/>
          <w:sz w:val="24"/>
          <w:szCs w:val="24"/>
        </w:rPr>
        <w:t xml:space="preserve"> of the original design' of the APA,’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2265 (quoting </w:t>
      </w:r>
      <w:r w:rsidRPr="00FA140F">
        <w:rPr>
          <w:rFonts w:ascii="Times New Roman" w:hAnsi="Times New Roman"/>
          <w:i/>
          <w:iCs/>
          <w:sz w:val="24"/>
          <w:szCs w:val="24"/>
        </w:rPr>
        <w:t xml:space="preserve">Perez v. Mortg. Bankers </w:t>
      </w:r>
      <w:proofErr w:type="spellStart"/>
      <w:r w:rsidRPr="00FA140F">
        <w:rPr>
          <w:rFonts w:ascii="Times New Roman" w:hAnsi="Times New Roman"/>
          <w:i/>
          <w:iCs/>
          <w:sz w:val="24"/>
          <w:szCs w:val="24"/>
        </w:rPr>
        <w:t>Ass'n</w:t>
      </w:r>
      <w:proofErr w:type="spellEnd"/>
      <w:r w:rsidRPr="00FA140F">
        <w:rPr>
          <w:rFonts w:ascii="Times New Roman" w:hAnsi="Times New Roman"/>
          <w:sz w:val="24"/>
          <w:szCs w:val="24"/>
        </w:rPr>
        <w:t xml:space="preserve">, </w:t>
      </w:r>
      <w:hyperlink r:id="rId3018" w:anchor="p109" w:history="1">
        <w:r w:rsidRPr="00FA140F">
          <w:rPr>
            <w:rStyle w:val="Hyperlink"/>
            <w:rFonts w:ascii="Times New Roman" w:hAnsi="Times New Roman"/>
            <w:sz w:val="24"/>
            <w:szCs w:val="24"/>
          </w:rPr>
          <w:t>575 U.S. 92, 109</w:t>
        </w:r>
      </w:hyperlink>
      <w:r w:rsidRPr="00FA140F">
        <w:rPr>
          <w:rFonts w:ascii="Times New Roman" w:hAnsi="Times New Roman"/>
          <w:sz w:val="24"/>
          <w:szCs w:val="24"/>
        </w:rPr>
        <w:t xml:space="preserve"> (2015)(Scalia, J., concurring in the judgment)).</w:t>
      </w:r>
    </w:p>
    <w:p w14:paraId="1F54F7AF" w14:textId="77777777" w:rsidR="000A72DE" w:rsidRPr="00FA140F" w:rsidRDefault="000A72DE" w:rsidP="000A72DE">
      <w:pPr>
        <w:pStyle w:val="NoSpacing"/>
        <w:ind w:left="720"/>
        <w:rPr>
          <w:rFonts w:ascii="Times New Roman" w:hAnsi="Times New Roman"/>
          <w:sz w:val="24"/>
          <w:szCs w:val="24"/>
        </w:rPr>
      </w:pPr>
    </w:p>
    <w:p w14:paraId="19AEBC6F"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w:t>
      </w:r>
    </w:p>
    <w:p w14:paraId="5F7FA937"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The Court concludes that the Hermit's Peak Act waives FEMA's sovereign immunity for the Plaintiffs' claims seeking noneconomic damages in three ways. First, the NM State law provision § 104(c)(2), allows the Plaintiffs to recover damages that are available under New Mexico State law, which includes noneconomic damages for nuisance, and which the Court predicts also includes noneconomic damages for trespass. Second, the Extent of Damages provision § 104(c)(3)'s use of ‘actual compensatory damages’ includes noneconomic damages, because the only explicit exclusions are punitive damages and pre-judgment interest. Third, the Allowable Damages provision § 104(d)(4)'s list of property, business, and financial loss is not exhaustive of the types of allowable damages; these categories, therefore, are recoverable in addition to ‘actual compensatory damages’ such as noneconomic damages. The Court concludes, therefore, that FEMA's Hermit's Peak Regulation that precludes recovery of noneconomic damages is arbitrary and capricious in violation of the APA, 5. U.S.C. </w:t>
      </w:r>
      <w:hyperlink r:id="rId3019" w:history="1">
        <w:r w:rsidRPr="00FA140F">
          <w:rPr>
            <w:rStyle w:val="Hyperlink"/>
            <w:rFonts w:ascii="Times New Roman" w:hAnsi="Times New Roman"/>
            <w:sz w:val="24"/>
            <w:szCs w:val="24"/>
          </w:rPr>
          <w:t>§ 706(2)(A)</w:t>
        </w:r>
      </w:hyperlink>
      <w:r w:rsidRPr="00FA140F">
        <w:rPr>
          <w:rFonts w:ascii="Times New Roman" w:hAnsi="Times New Roman"/>
          <w:sz w:val="24"/>
          <w:szCs w:val="24"/>
        </w:rPr>
        <w:t xml:space="preserve">, and compels FEMA to award noneconomic damages under the Hermit's Peak Act under the APA, 5. U.S.C. </w:t>
      </w:r>
      <w:hyperlink r:id="rId3020" w:history="1">
        <w:r w:rsidRPr="00FA140F">
          <w:rPr>
            <w:rStyle w:val="Hyperlink"/>
            <w:rFonts w:ascii="Times New Roman" w:hAnsi="Times New Roman"/>
            <w:sz w:val="24"/>
            <w:szCs w:val="24"/>
          </w:rPr>
          <w:t>§ 706(1)</w:t>
        </w:r>
      </w:hyperlink>
      <w:r w:rsidRPr="00FA140F">
        <w:rPr>
          <w:rFonts w:ascii="Times New Roman" w:hAnsi="Times New Roman"/>
          <w:sz w:val="24"/>
          <w:szCs w:val="24"/>
        </w:rPr>
        <w:t>.”</w:t>
      </w:r>
    </w:p>
    <w:p w14:paraId="3F8B9A57" w14:textId="77777777" w:rsidR="000A72DE" w:rsidRPr="00FA140F" w:rsidRDefault="000A72DE" w:rsidP="000A72DE">
      <w:pPr>
        <w:pStyle w:val="NoSpacing"/>
        <w:ind w:left="720"/>
        <w:rPr>
          <w:rFonts w:ascii="Times New Roman" w:hAnsi="Times New Roman"/>
          <w:sz w:val="24"/>
          <w:szCs w:val="24"/>
        </w:rPr>
      </w:pPr>
    </w:p>
    <w:p w14:paraId="69ACE301" w14:textId="77777777" w:rsidR="000A72DE" w:rsidRPr="00FA140F" w:rsidRDefault="000A72DE" w:rsidP="000A72DE">
      <w:pPr>
        <w:pStyle w:val="NoSpacing"/>
        <w:rPr>
          <w:rFonts w:ascii="Times New Roman" w:hAnsi="Times New Roman"/>
          <w:b/>
          <w:bCs/>
          <w:sz w:val="24"/>
          <w:szCs w:val="24"/>
        </w:rPr>
      </w:pPr>
      <w:r w:rsidRPr="00FA140F">
        <w:rPr>
          <w:rFonts w:ascii="Times New Roman" w:hAnsi="Times New Roman"/>
          <w:b/>
          <w:sz w:val="24"/>
          <w:szCs w:val="24"/>
        </w:rPr>
        <w:t xml:space="preserve">Legal Lesson Learned:  Another example where courts, per U.S. Supreme Court’s June 28, </w:t>
      </w:r>
      <w:proofErr w:type="gramStart"/>
      <w:r w:rsidRPr="00FA140F">
        <w:rPr>
          <w:rFonts w:ascii="Times New Roman" w:hAnsi="Times New Roman"/>
          <w:b/>
          <w:sz w:val="24"/>
          <w:szCs w:val="24"/>
        </w:rPr>
        <w:t>2024</w:t>
      </w:r>
      <w:proofErr w:type="gramEnd"/>
      <w:r w:rsidRPr="00FA140F">
        <w:rPr>
          <w:rFonts w:ascii="Times New Roman" w:hAnsi="Times New Roman"/>
          <w:b/>
          <w:sz w:val="24"/>
          <w:szCs w:val="24"/>
        </w:rPr>
        <w:t xml:space="preserve"> decision in </w:t>
      </w:r>
      <w:r w:rsidRPr="00FA140F">
        <w:rPr>
          <w:rFonts w:ascii="Times New Roman" w:hAnsi="Times New Roman"/>
          <w:b/>
          <w:i/>
          <w:iCs/>
          <w:sz w:val="24"/>
          <w:szCs w:val="24"/>
        </w:rPr>
        <w:t>Loper Bright</w:t>
      </w:r>
      <w:r w:rsidRPr="00FA140F">
        <w:rPr>
          <w:rFonts w:ascii="Times New Roman" w:hAnsi="Times New Roman"/>
          <w:b/>
          <w:sz w:val="24"/>
          <w:szCs w:val="24"/>
        </w:rPr>
        <w:t xml:space="preserve">, are no longer routinely following federal regulations under the  former “Chevron doctrine.” </w:t>
      </w:r>
    </w:p>
    <w:p w14:paraId="288D90AE" w14:textId="77777777" w:rsidR="000A72DE" w:rsidRPr="00FA140F" w:rsidRDefault="000A72DE" w:rsidP="000A72DE">
      <w:pPr>
        <w:pStyle w:val="NoSpacing"/>
        <w:ind w:left="720"/>
        <w:rPr>
          <w:rFonts w:ascii="Times New Roman" w:hAnsi="Times New Roman"/>
          <w:sz w:val="24"/>
          <w:szCs w:val="24"/>
        </w:rPr>
      </w:pPr>
    </w:p>
    <w:p w14:paraId="59F42B97" w14:textId="77777777" w:rsidR="000A72DE" w:rsidRPr="00FA140F" w:rsidRDefault="000A72DE" w:rsidP="000A72DE">
      <w:pPr>
        <w:pStyle w:val="NoSpacing"/>
        <w:ind w:left="720"/>
        <w:rPr>
          <w:rFonts w:ascii="Times New Roman" w:hAnsi="Times New Roman"/>
          <w:bCs/>
          <w:sz w:val="24"/>
          <w:szCs w:val="24"/>
        </w:rPr>
      </w:pPr>
      <w:r w:rsidRPr="00FA140F">
        <w:rPr>
          <w:rFonts w:ascii="Times New Roman" w:hAnsi="Times New Roman"/>
          <w:sz w:val="24"/>
          <w:szCs w:val="24"/>
        </w:rPr>
        <w:t xml:space="preserve">Note: If Congress had not enacted this statute, the property owners could not sue the Forest Service for “discretionary” decisions under the Federal Tort Claims Act.  See, for example, </w:t>
      </w:r>
      <w:r w:rsidRPr="00FA140F">
        <w:rPr>
          <w:rFonts w:ascii="Times New Roman" w:hAnsi="Times New Roman"/>
          <w:i/>
          <w:iCs/>
          <w:sz w:val="24"/>
          <w:szCs w:val="24"/>
        </w:rPr>
        <w:t>Freres Timber, Inc. v. The United States</w:t>
      </w:r>
      <w:r w:rsidRPr="00FA140F">
        <w:rPr>
          <w:rFonts w:ascii="Times New Roman" w:hAnsi="Times New Roman"/>
          <w:sz w:val="24"/>
          <w:szCs w:val="24"/>
        </w:rPr>
        <w:t xml:space="preserve">, </w:t>
      </w:r>
      <w:r w:rsidRPr="00FA140F">
        <w:rPr>
          <w:rFonts w:ascii="Times New Roman" w:hAnsi="Times New Roman"/>
          <w:bCs/>
          <w:sz w:val="24"/>
          <w:szCs w:val="24"/>
        </w:rPr>
        <w:t xml:space="preserve">Oregon; </w:t>
      </w:r>
      <w:r w:rsidRPr="00FA140F">
        <w:rPr>
          <w:rFonts w:ascii="Times New Roman" w:hAnsi="Times New Roman"/>
          <w:sz w:val="24"/>
          <w:szCs w:val="24"/>
        </w:rPr>
        <w:t>Dec. 6, 2024</w:t>
      </w:r>
      <w:r w:rsidRPr="00FA140F">
        <w:rPr>
          <w:rFonts w:ascii="Times New Roman" w:hAnsi="Times New Roman"/>
          <w:bCs/>
          <w:sz w:val="24"/>
          <w:szCs w:val="24"/>
        </w:rPr>
        <w:t>.</w:t>
      </w:r>
      <w:r w:rsidRPr="00FA140F">
        <w:rPr>
          <w:rFonts w:ascii="Times New Roman" w:hAnsi="Times New Roman"/>
          <w:sz w:val="24"/>
          <w:szCs w:val="24"/>
        </w:rPr>
        <w:t xml:space="preserve"> “Plaintiffs Freres Timber and Freres Lumber, sister lumber companies, filed this action against the United States Forest Service, seeking over $30 million in damages under the Federal Tort Claims Act (‘FTCA’) for lumber and profits lost in the Beachie Creek fire. *** Because the challenged decisions [by Incident Commanders] fall within the discretionary function exception, this Court lacks jurisdiction, and Plaintiffs' FTCA claims must be dismissed.” </w:t>
      </w:r>
      <w:hyperlink r:id="rId3021" w:history="1">
        <w:r w:rsidRPr="00FA140F">
          <w:rPr>
            <w:rStyle w:val="Hyperlink"/>
            <w:rFonts w:ascii="Times New Roman" w:hAnsi="Times New Roman"/>
            <w:sz w:val="24"/>
            <w:szCs w:val="24"/>
          </w:rPr>
          <w:t>https://casetext.com/case/freres-timber-inc-v-the-united-states</w:t>
        </w:r>
      </w:hyperlink>
      <w:r w:rsidRPr="00FA140F">
        <w:rPr>
          <w:rFonts w:ascii="Times New Roman" w:hAnsi="Times New Roman"/>
          <w:sz w:val="24"/>
          <w:szCs w:val="24"/>
        </w:rPr>
        <w:t xml:space="preserve"> </w:t>
      </w:r>
    </w:p>
    <w:p w14:paraId="07392B88" w14:textId="77777777" w:rsidR="000A72DE" w:rsidRPr="00FA140F" w:rsidRDefault="000A72DE" w:rsidP="000A72DE">
      <w:pPr>
        <w:pStyle w:val="NoSpacing"/>
        <w:rPr>
          <w:rFonts w:ascii="Times New Roman" w:hAnsi="Times New Roman"/>
          <w:b/>
          <w:sz w:val="24"/>
          <w:szCs w:val="24"/>
        </w:rPr>
      </w:pPr>
    </w:p>
    <w:p w14:paraId="525260B1" w14:textId="77777777" w:rsidR="000A72DE" w:rsidRPr="00FA140F" w:rsidRDefault="000A72DE" w:rsidP="000C4DF5">
      <w:pPr>
        <w:pStyle w:val="NoSpacing"/>
        <w:rPr>
          <w:rFonts w:ascii="Times New Roman" w:hAnsi="Times New Roman"/>
          <w:sz w:val="24"/>
          <w:szCs w:val="24"/>
        </w:rPr>
      </w:pPr>
    </w:p>
    <w:p w14:paraId="091CAEDA" w14:textId="77777777" w:rsidR="002100FE" w:rsidRDefault="002100FE" w:rsidP="000C4DF5">
      <w:pPr>
        <w:pStyle w:val="NoSpacing"/>
        <w:rPr>
          <w:rFonts w:ascii="Arial Black" w:hAnsi="Arial Black"/>
          <w:sz w:val="24"/>
          <w:szCs w:val="24"/>
        </w:rPr>
      </w:pPr>
    </w:p>
    <w:p w14:paraId="5DE66CC4" w14:textId="77777777" w:rsidR="002100FE" w:rsidRDefault="002100FE" w:rsidP="000C4DF5">
      <w:pPr>
        <w:pStyle w:val="NoSpacing"/>
        <w:rPr>
          <w:rFonts w:ascii="Arial Black" w:hAnsi="Arial Black"/>
          <w:sz w:val="24"/>
          <w:szCs w:val="24"/>
        </w:rPr>
      </w:pPr>
    </w:p>
    <w:p w14:paraId="0F7A7C46" w14:textId="2C6C9D97" w:rsidR="00B15008" w:rsidRDefault="001B23B7" w:rsidP="000C4DF5">
      <w:pPr>
        <w:pStyle w:val="NoSpacing"/>
        <w:rPr>
          <w:rFonts w:ascii="Arial Black" w:hAnsi="Arial Black"/>
          <w:sz w:val="24"/>
          <w:szCs w:val="24"/>
        </w:rPr>
      </w:pPr>
      <w:r>
        <w:rPr>
          <w:rFonts w:ascii="Arial Black" w:hAnsi="Arial Black"/>
          <w:sz w:val="24"/>
          <w:szCs w:val="24"/>
        </w:rPr>
        <w:t>18-26</w:t>
      </w:r>
    </w:p>
    <w:p w14:paraId="6AC7EFF6" w14:textId="77777777" w:rsidR="008575D7" w:rsidRDefault="008575D7" w:rsidP="000C4DF5">
      <w:pPr>
        <w:pStyle w:val="NoSpacing"/>
        <w:rPr>
          <w:rFonts w:ascii="Arial Black" w:hAnsi="Arial Black"/>
          <w:sz w:val="24"/>
          <w:szCs w:val="24"/>
        </w:rPr>
      </w:pPr>
    </w:p>
    <w:p w14:paraId="7A1FC21F" w14:textId="77777777" w:rsidR="008575D7" w:rsidRPr="00DC665F" w:rsidRDefault="008575D7" w:rsidP="008575D7">
      <w:pPr>
        <w:rPr>
          <w:rFonts w:ascii="Arial Black" w:hAnsi="Arial Black"/>
          <w:b/>
          <w:bCs/>
          <w:sz w:val="28"/>
        </w:rPr>
      </w:pPr>
      <w:r>
        <w:rPr>
          <w:rFonts w:ascii="Arial Black" w:hAnsi="Arial Black"/>
          <w:b/>
          <w:bCs/>
          <w:sz w:val="28"/>
        </w:rPr>
        <w:t xml:space="preserve">MI: FIREWORKS – CITY CAN’T REQ. SAFETY FLYERS - MI SUP. CT. CHIEF JUSTICE / STATE LAW SHOULD REQUIRE </w:t>
      </w:r>
    </w:p>
    <w:p w14:paraId="2F67181F" w14:textId="77777777" w:rsidR="008575D7" w:rsidRPr="0019067C" w:rsidRDefault="008575D7" w:rsidP="008575D7">
      <w:pPr>
        <w:pStyle w:val="NoSpacing"/>
        <w:rPr>
          <w:rFonts w:ascii="Times New Roman" w:hAnsi="Times New Roman"/>
          <w:sz w:val="24"/>
          <w:szCs w:val="24"/>
        </w:rPr>
      </w:pPr>
      <w:r w:rsidRPr="0019067C">
        <w:rPr>
          <w:rFonts w:ascii="Times New Roman" w:hAnsi="Times New Roman"/>
          <w:sz w:val="24"/>
          <w:szCs w:val="24"/>
        </w:rPr>
        <w:t xml:space="preserve">On September 27, 2024, in </w:t>
      </w:r>
      <w:r w:rsidRPr="0019067C">
        <w:rPr>
          <w:rFonts w:ascii="Times New Roman" w:hAnsi="Times New Roman"/>
          <w:sz w:val="24"/>
          <w:szCs w:val="24"/>
          <w:u w:val="single"/>
        </w:rPr>
        <w:t>People of the City of Sterling Heights v. Robert Bahnke</w:t>
      </w:r>
      <w:r w:rsidRPr="0019067C">
        <w:rPr>
          <w:rFonts w:ascii="Times New Roman" w:hAnsi="Times New Roman"/>
          <w:sz w:val="24"/>
          <w:szCs w:val="24"/>
        </w:rPr>
        <w:t xml:space="preserve">, the Michigan Supreme Court declined to hear the City’s appeal which sought to fine the manager of the fireworks store $150 for not handing out safety flyer required by City code; the Court of Appeals struck down the ordinance since it conflicted with state’s fireworks statute. Chief Justice Elizabeth Clement of the Michigan Supreme Court wrote in her concurring opinion:  “The city ordinance here is a relatively small burden on fireworks vendors and provides useful information to purchasers regarding relevant laws.” </w:t>
      </w:r>
      <w:hyperlink r:id="rId3022" w:history="1">
        <w:r w:rsidRPr="0019067C">
          <w:rPr>
            <w:rStyle w:val="Hyperlink"/>
            <w:rFonts w:ascii="Times New Roman" w:hAnsi="Times New Roman"/>
            <w:sz w:val="24"/>
            <w:szCs w:val="24"/>
          </w:rPr>
          <w:t>https://www.courts.michigan.gov/4a7b7c/siteassets/case-documents/uploads/sct/public/orders/166885_47_01.pdf</w:t>
        </w:r>
      </w:hyperlink>
      <w:r w:rsidRPr="0019067C">
        <w:rPr>
          <w:rFonts w:ascii="Times New Roman" w:hAnsi="Times New Roman"/>
          <w:sz w:val="24"/>
          <w:szCs w:val="24"/>
        </w:rPr>
        <w:t xml:space="preserve"> </w:t>
      </w:r>
    </w:p>
    <w:p w14:paraId="211536A7" w14:textId="77777777" w:rsidR="008575D7" w:rsidRPr="0019067C" w:rsidRDefault="008575D7" w:rsidP="008575D7">
      <w:pPr>
        <w:rPr>
          <w:rFonts w:ascii="Times New Roman" w:hAnsi="Times New Roman"/>
          <w:sz w:val="24"/>
          <w:szCs w:val="24"/>
        </w:rPr>
      </w:pPr>
      <w:r w:rsidRPr="0019067C">
        <w:rPr>
          <w:rFonts w:ascii="Times New Roman" w:hAnsi="Times New Roman"/>
          <w:sz w:val="24"/>
          <w:szCs w:val="24"/>
        </w:rPr>
        <w:t xml:space="preserve"> </w:t>
      </w:r>
    </w:p>
    <w:p w14:paraId="45DE72E5" w14:textId="77777777" w:rsidR="008575D7" w:rsidRPr="0019067C" w:rsidRDefault="008575D7" w:rsidP="008575D7">
      <w:pPr>
        <w:rPr>
          <w:rFonts w:ascii="Times New Roman" w:hAnsi="Times New Roman"/>
          <w:sz w:val="24"/>
          <w:szCs w:val="24"/>
        </w:rPr>
      </w:pPr>
      <w:r w:rsidRPr="0019067C">
        <w:rPr>
          <w:rFonts w:ascii="Times New Roman" w:hAnsi="Times New Roman"/>
          <w:sz w:val="24"/>
          <w:szCs w:val="24"/>
        </w:rPr>
        <w:t xml:space="preserve">THE CHIEF JUSTICE’S CONCURRING OPINION: </w:t>
      </w:r>
    </w:p>
    <w:p w14:paraId="01EA86F3" w14:textId="77777777" w:rsidR="008575D7" w:rsidRPr="0019067C" w:rsidRDefault="008575D7" w:rsidP="008575D7">
      <w:pPr>
        <w:ind w:left="720"/>
        <w:rPr>
          <w:rFonts w:ascii="Times New Roman" w:hAnsi="Times New Roman"/>
          <w:sz w:val="24"/>
          <w:szCs w:val="24"/>
        </w:rPr>
      </w:pPr>
      <w:r w:rsidRPr="0019067C">
        <w:rPr>
          <w:rFonts w:ascii="Times New Roman" w:hAnsi="Times New Roman"/>
          <w:sz w:val="24"/>
          <w:szCs w:val="24"/>
        </w:rPr>
        <w:t xml:space="preserve">“In this case, defendant, Robert Bahnke, was ticketed for violating the city code because he had not handed out the required flyers when he sold fireworks. The district court and the circuit court affirmed the $150 fine that the magistrate had ordered. But the Court of Appeals reversed in a published opinion, holding that Sterling Heights Code, § 20-115(I) was preempted by MCL 28.457. </w:t>
      </w:r>
    </w:p>
    <w:p w14:paraId="1D47BDE5" w14:textId="77777777" w:rsidR="008575D7" w:rsidRPr="0019067C" w:rsidRDefault="008575D7" w:rsidP="008575D7">
      <w:pPr>
        <w:ind w:left="720"/>
        <w:rPr>
          <w:rFonts w:ascii="Times New Roman" w:hAnsi="Times New Roman"/>
          <w:sz w:val="24"/>
          <w:szCs w:val="24"/>
        </w:rPr>
      </w:pPr>
      <w:r w:rsidRPr="0019067C">
        <w:rPr>
          <w:rFonts w:ascii="Times New Roman" w:hAnsi="Times New Roman"/>
          <w:sz w:val="24"/>
          <w:szCs w:val="24"/>
        </w:rPr>
        <w:t>***</w:t>
      </w:r>
    </w:p>
    <w:p w14:paraId="644CB4B6"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 xml:space="preserve">But I question whether invalidating city ordinances such as the one at issue here </w:t>
      </w:r>
      <w:proofErr w:type="gramStart"/>
      <w:r w:rsidRPr="0019067C">
        <w:rPr>
          <w:rFonts w:ascii="Times New Roman" w:hAnsi="Times New Roman"/>
          <w:sz w:val="24"/>
          <w:szCs w:val="24"/>
        </w:rPr>
        <w:t>is</w:t>
      </w:r>
      <w:proofErr w:type="gramEnd"/>
    </w:p>
    <w:p w14:paraId="6DBD95A3"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truly what the Legislature intended when it passed MCL 28.457. While I understand that</w:t>
      </w:r>
    </w:p>
    <w:p w14:paraId="1D228128"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the Legislature may have reasonably sought to prohibit local units of government from</w:t>
      </w:r>
    </w:p>
    <w:p w14:paraId="4FC1A795"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passing more substantive regulations of the sale of fireworks, it is difficult for me to</w:t>
      </w:r>
    </w:p>
    <w:p w14:paraId="5346E6FB"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imagine that the Legislature intended to prohibit cities from ensuring that fireworks</w:t>
      </w:r>
    </w:p>
    <w:p w14:paraId="6217FB94"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purchasers are adequately advised of applicable laws. The city ordinance here is a</w:t>
      </w:r>
    </w:p>
    <w:p w14:paraId="4D1B5925" w14:textId="77777777" w:rsidR="008575D7" w:rsidRPr="0019067C" w:rsidRDefault="008575D7" w:rsidP="008575D7">
      <w:pPr>
        <w:pStyle w:val="NoSpacing"/>
        <w:ind w:left="720"/>
        <w:rPr>
          <w:rFonts w:ascii="Times New Roman" w:hAnsi="Times New Roman"/>
          <w:sz w:val="24"/>
          <w:szCs w:val="24"/>
        </w:rPr>
      </w:pPr>
      <w:r w:rsidRPr="0019067C">
        <w:rPr>
          <w:rFonts w:ascii="Times New Roman" w:hAnsi="Times New Roman"/>
          <w:sz w:val="24"/>
          <w:szCs w:val="24"/>
        </w:rPr>
        <w:t xml:space="preserve">relatively small burden on fireworks vendors and provides useful information to purchasers regarding relevant laws. For these reasons, I question whether the text of MCL 28.457 is achieving the result the Legislature intended, and I encourage the Legislature to review the statutory </w:t>
      </w:r>
      <w:proofErr w:type="gramStart"/>
      <w:r w:rsidRPr="0019067C">
        <w:rPr>
          <w:rFonts w:ascii="Times New Roman" w:hAnsi="Times New Roman"/>
          <w:sz w:val="24"/>
          <w:szCs w:val="24"/>
        </w:rPr>
        <w:t>language.”</w:t>
      </w:r>
      <w:proofErr w:type="gramEnd"/>
    </w:p>
    <w:p w14:paraId="2D37CE5D" w14:textId="77777777" w:rsidR="008575D7" w:rsidRPr="0019067C" w:rsidRDefault="008575D7" w:rsidP="008575D7">
      <w:pPr>
        <w:rPr>
          <w:rFonts w:ascii="Times New Roman" w:hAnsi="Times New Roman"/>
          <w:sz w:val="24"/>
          <w:szCs w:val="24"/>
        </w:rPr>
      </w:pPr>
    </w:p>
    <w:p w14:paraId="5F8C3D86" w14:textId="77777777" w:rsidR="008575D7" w:rsidRPr="0019067C" w:rsidRDefault="008575D7" w:rsidP="008575D7">
      <w:pPr>
        <w:pStyle w:val="NoSpacing"/>
        <w:rPr>
          <w:rFonts w:ascii="Times New Roman" w:hAnsi="Times New Roman"/>
          <w:b/>
          <w:bCs/>
          <w:sz w:val="24"/>
          <w:szCs w:val="24"/>
        </w:rPr>
      </w:pPr>
      <w:r w:rsidRPr="0019067C">
        <w:rPr>
          <w:rFonts w:ascii="Times New Roman" w:hAnsi="Times New Roman"/>
          <w:b/>
          <w:bCs/>
          <w:sz w:val="24"/>
          <w:szCs w:val="24"/>
        </w:rPr>
        <w:t xml:space="preserve">Legal Lesson Learned:  Hopefully the state Legislature will amend its fireworks statute to include a safety flyer requirement. </w:t>
      </w:r>
    </w:p>
    <w:p w14:paraId="2595AD22" w14:textId="77777777" w:rsidR="008575D7" w:rsidRDefault="008575D7" w:rsidP="000C4DF5">
      <w:pPr>
        <w:pStyle w:val="NoSpacing"/>
        <w:rPr>
          <w:rFonts w:ascii="Arial Black" w:hAnsi="Arial Black"/>
          <w:sz w:val="24"/>
          <w:szCs w:val="24"/>
        </w:rPr>
      </w:pPr>
    </w:p>
    <w:p w14:paraId="4B805961" w14:textId="77777777" w:rsidR="001B23B7" w:rsidRDefault="001B23B7" w:rsidP="000C4DF5">
      <w:pPr>
        <w:pStyle w:val="NoSpacing"/>
        <w:rPr>
          <w:rFonts w:ascii="Arial Black" w:hAnsi="Arial Black"/>
          <w:sz w:val="24"/>
          <w:szCs w:val="24"/>
        </w:rPr>
      </w:pPr>
    </w:p>
    <w:p w14:paraId="742A14B4" w14:textId="77777777" w:rsidR="001B23B7" w:rsidRDefault="001B23B7" w:rsidP="000C4DF5">
      <w:pPr>
        <w:pStyle w:val="NoSpacing"/>
        <w:rPr>
          <w:rFonts w:ascii="Arial Black" w:hAnsi="Arial Black"/>
          <w:sz w:val="24"/>
          <w:szCs w:val="24"/>
        </w:rPr>
      </w:pPr>
    </w:p>
    <w:p w14:paraId="7ED4C688" w14:textId="15F1B143" w:rsidR="00B15008" w:rsidRDefault="002B2323" w:rsidP="000C4DF5">
      <w:pPr>
        <w:pStyle w:val="NoSpacing"/>
        <w:rPr>
          <w:rFonts w:ascii="Arial Black" w:hAnsi="Arial Black"/>
          <w:sz w:val="24"/>
          <w:szCs w:val="24"/>
        </w:rPr>
      </w:pPr>
      <w:r>
        <w:rPr>
          <w:rFonts w:ascii="Arial Black" w:hAnsi="Arial Black"/>
          <w:sz w:val="24"/>
          <w:szCs w:val="24"/>
        </w:rPr>
        <w:t>18-25</w:t>
      </w:r>
    </w:p>
    <w:p w14:paraId="07B706EE" w14:textId="77777777" w:rsidR="002B2323" w:rsidRDefault="002B2323" w:rsidP="000C4DF5">
      <w:pPr>
        <w:pStyle w:val="NoSpacing"/>
        <w:rPr>
          <w:rFonts w:ascii="Arial Black" w:hAnsi="Arial Black"/>
          <w:sz w:val="24"/>
          <w:szCs w:val="24"/>
        </w:rPr>
      </w:pPr>
    </w:p>
    <w:p w14:paraId="58B324F0" w14:textId="77777777" w:rsidR="00C30293" w:rsidRDefault="00C30293" w:rsidP="00C30293">
      <w:pPr>
        <w:pStyle w:val="NoSpacing"/>
        <w:rPr>
          <w:rFonts w:ascii="Arial Black" w:hAnsi="Arial Black"/>
          <w:sz w:val="28"/>
          <w:szCs w:val="28"/>
        </w:rPr>
      </w:pPr>
      <w:r>
        <w:rPr>
          <w:rFonts w:ascii="Arial Black" w:hAnsi="Arial Black"/>
          <w:sz w:val="28"/>
          <w:szCs w:val="28"/>
        </w:rPr>
        <w:t xml:space="preserve">OH: PUBLIC RECORDS - INJURY “TOP THRILL DRAGSTER” AT PARK – PARK PD “FUNCTIONAL EQUIVALENT” PUBLIC PD </w:t>
      </w:r>
    </w:p>
    <w:p w14:paraId="6B9CFB34" w14:textId="77777777" w:rsidR="00C30293" w:rsidRDefault="00C30293" w:rsidP="00C30293">
      <w:pPr>
        <w:pStyle w:val="NoSpacing"/>
        <w:rPr>
          <w:rFonts w:ascii="Times New Roman" w:hAnsi="Times New Roman"/>
          <w:sz w:val="24"/>
          <w:szCs w:val="24"/>
        </w:rPr>
      </w:pPr>
    </w:p>
    <w:p w14:paraId="36AB68F8" w14:textId="77777777" w:rsidR="004D2264" w:rsidRDefault="00C30293" w:rsidP="00C30293">
      <w:pPr>
        <w:pStyle w:val="NoSpacing"/>
        <w:rPr>
          <w:rFonts w:ascii="Times New Roman" w:hAnsi="Times New Roman"/>
          <w:sz w:val="24"/>
          <w:szCs w:val="24"/>
        </w:rPr>
      </w:pPr>
      <w:r w:rsidRPr="007919C0">
        <w:rPr>
          <w:rFonts w:ascii="Times New Roman" w:hAnsi="Times New Roman"/>
          <w:sz w:val="24"/>
          <w:szCs w:val="24"/>
        </w:rPr>
        <w:t xml:space="preserve">On Dec. 20, 2023, in </w:t>
      </w:r>
      <w:r w:rsidRPr="007919C0">
        <w:rPr>
          <w:rFonts w:ascii="Times New Roman" w:hAnsi="Times New Roman"/>
          <w:sz w:val="24"/>
          <w:szCs w:val="24"/>
          <w:u w:val="single"/>
        </w:rPr>
        <w:t>The State Ex Rel. WTOP Television, L.L.C., WKYC, L.L.C. , and WBNS-TV, Inc. v. Cedar Fair, L.P., dba Cedar Fair Entertainment Company, et al.</w:t>
      </w:r>
      <w:r w:rsidRPr="007919C0">
        <w:rPr>
          <w:rFonts w:ascii="Times New Roman" w:hAnsi="Times New Roman"/>
          <w:sz w:val="24"/>
          <w:szCs w:val="24"/>
        </w:rPr>
        <w:t xml:space="preserve">, the Ohio Supreme Court held (7 to 0) that </w:t>
      </w:r>
      <w:r>
        <w:rPr>
          <w:rFonts w:ascii="Times New Roman" w:hAnsi="Times New Roman"/>
          <w:sz w:val="24"/>
          <w:szCs w:val="24"/>
        </w:rPr>
        <w:t xml:space="preserve">the Park’s police department is “functional equivalent” of police department, and therefore must respond to Ohio Public Records requests, including </w:t>
      </w:r>
      <w:r w:rsidRPr="007919C0">
        <w:rPr>
          <w:rFonts w:ascii="Times New Roman" w:hAnsi="Times New Roman"/>
          <w:sz w:val="24"/>
          <w:szCs w:val="24"/>
        </w:rPr>
        <w:t xml:space="preserve">Aug. 15, 2021 injury of female guest near the Top Thrill Dragster ride, and records concerning </w:t>
      </w:r>
      <w:r>
        <w:rPr>
          <w:rFonts w:ascii="Times New Roman" w:hAnsi="Times New Roman"/>
          <w:sz w:val="24"/>
          <w:szCs w:val="24"/>
        </w:rPr>
        <w:t xml:space="preserve">TV station’s investigation into </w:t>
      </w:r>
      <w:r w:rsidRPr="007919C0">
        <w:rPr>
          <w:rFonts w:ascii="Times New Roman" w:hAnsi="Times New Roman"/>
          <w:sz w:val="24"/>
          <w:szCs w:val="24"/>
        </w:rPr>
        <w:t>sexual assaults at Park’s employee housing.  The Court also awarded TV stations court costs</w:t>
      </w:r>
      <w:r>
        <w:rPr>
          <w:rFonts w:ascii="Times New Roman" w:hAnsi="Times New Roman"/>
          <w:sz w:val="24"/>
          <w:szCs w:val="24"/>
        </w:rPr>
        <w:t xml:space="preserve">; </w:t>
      </w:r>
      <w:r w:rsidRPr="007919C0">
        <w:rPr>
          <w:rFonts w:ascii="Times New Roman" w:hAnsi="Times New Roman"/>
          <w:sz w:val="24"/>
          <w:szCs w:val="24"/>
        </w:rPr>
        <w:t>but declined to award statutory damages ($100 / day; max $1,000) or attorney fees to each TV station because this was unsettled law in Ohio (two Justices dissenting and would award attorney fees)</w:t>
      </w:r>
      <w:r>
        <w:rPr>
          <w:rFonts w:ascii="Times New Roman" w:hAnsi="Times New Roman"/>
          <w:sz w:val="24"/>
          <w:szCs w:val="24"/>
        </w:rPr>
        <w:t xml:space="preserve">. </w:t>
      </w:r>
    </w:p>
    <w:p w14:paraId="7907E30B" w14:textId="77777777" w:rsidR="004D2264" w:rsidRDefault="004D2264" w:rsidP="00C30293">
      <w:pPr>
        <w:pStyle w:val="NoSpacing"/>
        <w:rPr>
          <w:rFonts w:ascii="Times New Roman" w:hAnsi="Times New Roman"/>
          <w:sz w:val="24"/>
          <w:szCs w:val="24"/>
        </w:rPr>
      </w:pPr>
    </w:p>
    <w:p w14:paraId="005DE8F0" w14:textId="68E6CB08" w:rsidR="00C30293" w:rsidRDefault="00C30293" w:rsidP="00C30293">
      <w:pPr>
        <w:pStyle w:val="NoSpacing"/>
        <w:rPr>
          <w:rFonts w:ascii="Times New Roman" w:hAnsi="Times New Roman"/>
          <w:sz w:val="24"/>
          <w:szCs w:val="24"/>
        </w:rPr>
      </w:pPr>
      <w:r w:rsidRPr="007919C0">
        <w:rPr>
          <w:rFonts w:ascii="Times New Roman" w:hAnsi="Times New Roman"/>
          <w:sz w:val="24"/>
          <w:szCs w:val="24"/>
        </w:rPr>
        <w:t xml:space="preserve">The Court held: </w:t>
      </w:r>
      <w:r>
        <w:rPr>
          <w:rFonts w:ascii="Times New Roman" w:hAnsi="Times New Roman"/>
          <w:sz w:val="24"/>
          <w:szCs w:val="24"/>
        </w:rPr>
        <w:t>“</w:t>
      </w:r>
      <w:r w:rsidRPr="007919C0">
        <w:rPr>
          <w:rFonts w:ascii="Times New Roman" w:hAnsi="Times New Roman"/>
          <w:sz w:val="24"/>
          <w:szCs w:val="24"/>
        </w:rPr>
        <w:t xml:space="preserve">Here, Cedar Fair and </w:t>
      </w:r>
      <w:r>
        <w:rPr>
          <w:rFonts w:ascii="Times New Roman" w:hAnsi="Times New Roman"/>
          <w:sz w:val="24"/>
          <w:szCs w:val="24"/>
        </w:rPr>
        <w:t xml:space="preserve">[Police Chief Ronald E.} </w:t>
      </w:r>
      <w:r w:rsidRPr="007919C0">
        <w:rPr>
          <w:rFonts w:ascii="Times New Roman" w:hAnsi="Times New Roman"/>
          <w:sz w:val="24"/>
          <w:szCs w:val="24"/>
        </w:rPr>
        <w:t>Gilson asserted as affirmative defenses that</w:t>
      </w:r>
      <w:r>
        <w:rPr>
          <w:rFonts w:ascii="Times New Roman" w:hAnsi="Times New Roman"/>
          <w:sz w:val="24"/>
          <w:szCs w:val="24"/>
        </w:rPr>
        <w:t xml:space="preserve"> </w:t>
      </w:r>
      <w:r w:rsidRPr="007919C0">
        <w:rPr>
          <w:rFonts w:ascii="Times New Roman" w:hAnsi="Times New Roman"/>
          <w:sz w:val="24"/>
          <w:szCs w:val="24"/>
        </w:rPr>
        <w:t>they are not required to release privileged records or confidential law-enforcement</w:t>
      </w:r>
      <w:r>
        <w:rPr>
          <w:rFonts w:ascii="Times New Roman" w:hAnsi="Times New Roman"/>
          <w:sz w:val="24"/>
          <w:szCs w:val="24"/>
        </w:rPr>
        <w:t xml:space="preserve"> </w:t>
      </w:r>
      <w:r w:rsidRPr="007919C0">
        <w:rPr>
          <w:rFonts w:ascii="Times New Roman" w:hAnsi="Times New Roman"/>
          <w:sz w:val="24"/>
          <w:szCs w:val="24"/>
        </w:rPr>
        <w:t>investigatory records. But they have not offered any argument explaining how any</w:t>
      </w:r>
      <w:r>
        <w:rPr>
          <w:rFonts w:ascii="Times New Roman" w:hAnsi="Times New Roman"/>
          <w:sz w:val="24"/>
          <w:szCs w:val="24"/>
        </w:rPr>
        <w:t xml:space="preserve"> </w:t>
      </w:r>
      <w:r w:rsidRPr="007919C0">
        <w:rPr>
          <w:rFonts w:ascii="Times New Roman" w:hAnsi="Times New Roman"/>
          <w:sz w:val="24"/>
          <w:szCs w:val="24"/>
        </w:rPr>
        <w:t>record requested by relators meets the requirements for either of these exceptions</w:t>
      </w:r>
      <w:r>
        <w:rPr>
          <w:rFonts w:ascii="Times New Roman" w:hAnsi="Times New Roman"/>
          <w:sz w:val="24"/>
          <w:szCs w:val="24"/>
        </w:rPr>
        <w:t xml:space="preserve"> </w:t>
      </w:r>
      <w:r w:rsidRPr="007919C0">
        <w:rPr>
          <w:rFonts w:ascii="Times New Roman" w:hAnsi="Times New Roman"/>
          <w:sz w:val="24"/>
          <w:szCs w:val="24"/>
        </w:rPr>
        <w:t xml:space="preserve">to apply. Nor have they submitted any documents </w:t>
      </w:r>
      <w:proofErr w:type="gramStart"/>
      <w:r w:rsidRPr="007919C0">
        <w:rPr>
          <w:rFonts w:ascii="Times New Roman" w:hAnsi="Times New Roman"/>
          <w:sz w:val="24"/>
          <w:szCs w:val="24"/>
        </w:rPr>
        <w:t>for in</w:t>
      </w:r>
      <w:proofErr w:type="gramEnd"/>
      <w:r w:rsidRPr="007919C0">
        <w:rPr>
          <w:rFonts w:ascii="Times New Roman" w:hAnsi="Times New Roman"/>
          <w:sz w:val="24"/>
          <w:szCs w:val="24"/>
        </w:rPr>
        <w:t xml:space="preserve"> camera inspection. Thus,</w:t>
      </w:r>
      <w:r>
        <w:rPr>
          <w:rFonts w:ascii="Times New Roman" w:hAnsi="Times New Roman"/>
          <w:sz w:val="24"/>
          <w:szCs w:val="24"/>
        </w:rPr>
        <w:t xml:space="preserve"> </w:t>
      </w:r>
      <w:r w:rsidRPr="007919C0">
        <w:rPr>
          <w:rFonts w:ascii="Times New Roman" w:hAnsi="Times New Roman"/>
          <w:sz w:val="24"/>
          <w:szCs w:val="24"/>
        </w:rPr>
        <w:t>Cedar Fair and Gilson have not met their burden to show that these documents, to</w:t>
      </w:r>
      <w:r>
        <w:rPr>
          <w:rFonts w:ascii="Times New Roman" w:hAnsi="Times New Roman"/>
          <w:sz w:val="24"/>
          <w:szCs w:val="24"/>
        </w:rPr>
        <w:t xml:space="preserve"> </w:t>
      </w:r>
      <w:r w:rsidRPr="007919C0">
        <w:rPr>
          <w:rFonts w:ascii="Times New Roman" w:hAnsi="Times New Roman"/>
          <w:sz w:val="24"/>
          <w:szCs w:val="24"/>
        </w:rPr>
        <w:t>the extent that they exist, are exempt from disclosure.</w:t>
      </w:r>
      <w:r>
        <w:rPr>
          <w:rFonts w:ascii="Times New Roman" w:hAnsi="Times New Roman"/>
          <w:sz w:val="24"/>
          <w:szCs w:val="24"/>
        </w:rPr>
        <w:t xml:space="preserve"> *** </w:t>
      </w:r>
      <w:r w:rsidRPr="0031579C">
        <w:rPr>
          <w:rFonts w:ascii="Times New Roman" w:hAnsi="Times New Roman"/>
          <w:sz w:val="24"/>
          <w:szCs w:val="24"/>
        </w:rPr>
        <w:t>However, we do not order the production of incident or investigative</w:t>
      </w:r>
      <w:r>
        <w:rPr>
          <w:rFonts w:ascii="Times New Roman" w:hAnsi="Times New Roman"/>
          <w:sz w:val="24"/>
          <w:szCs w:val="24"/>
        </w:rPr>
        <w:t xml:space="preserve"> </w:t>
      </w:r>
      <w:r w:rsidRPr="0031579C">
        <w:rPr>
          <w:rFonts w:ascii="Times New Roman" w:hAnsi="Times New Roman"/>
          <w:sz w:val="24"/>
          <w:szCs w:val="24"/>
        </w:rPr>
        <w:t>reports created by emergency-medical-</w:t>
      </w:r>
      <w:proofErr w:type="gramStart"/>
      <w:r w:rsidRPr="0031579C">
        <w:rPr>
          <w:rFonts w:ascii="Times New Roman" w:hAnsi="Times New Roman"/>
          <w:sz w:val="24"/>
          <w:szCs w:val="24"/>
        </w:rPr>
        <w:t>services (</w:t>
      </w:r>
      <w:r>
        <w:rPr>
          <w:rFonts w:ascii="Times New Roman" w:hAnsi="Times New Roman"/>
          <w:sz w:val="24"/>
          <w:szCs w:val="24"/>
        </w:rPr>
        <w:t>‘</w:t>
      </w:r>
      <w:proofErr w:type="gramEnd"/>
      <w:r w:rsidRPr="0031579C">
        <w:rPr>
          <w:rFonts w:ascii="Times New Roman" w:hAnsi="Times New Roman"/>
          <w:sz w:val="24"/>
          <w:szCs w:val="24"/>
        </w:rPr>
        <w:t>EMS</w:t>
      </w:r>
      <w:r>
        <w:rPr>
          <w:rFonts w:ascii="Times New Roman" w:hAnsi="Times New Roman"/>
          <w:sz w:val="24"/>
          <w:szCs w:val="24"/>
        </w:rPr>
        <w:t>’</w:t>
      </w:r>
      <w:r w:rsidRPr="0031579C">
        <w:rPr>
          <w:rFonts w:ascii="Times New Roman" w:hAnsi="Times New Roman"/>
          <w:sz w:val="24"/>
          <w:szCs w:val="24"/>
        </w:rPr>
        <w:t>) personnel or related to</w:t>
      </w:r>
      <w:r>
        <w:rPr>
          <w:rFonts w:ascii="Times New Roman" w:hAnsi="Times New Roman"/>
          <w:sz w:val="24"/>
          <w:szCs w:val="24"/>
        </w:rPr>
        <w:t xml:space="preserve"> </w:t>
      </w:r>
      <w:r w:rsidRPr="0031579C">
        <w:rPr>
          <w:rFonts w:ascii="Times New Roman" w:hAnsi="Times New Roman"/>
          <w:sz w:val="24"/>
          <w:szCs w:val="24"/>
        </w:rPr>
        <w:t>EMS services. WKYC requested, among other things, incident reports and relate</w:t>
      </w:r>
      <w:r>
        <w:rPr>
          <w:rFonts w:ascii="Times New Roman" w:hAnsi="Times New Roman"/>
          <w:sz w:val="24"/>
          <w:szCs w:val="24"/>
        </w:rPr>
        <w:t>d r</w:t>
      </w:r>
      <w:r w:rsidRPr="00791E9A">
        <w:rPr>
          <w:rFonts w:ascii="Times New Roman" w:hAnsi="Times New Roman"/>
          <w:sz w:val="24"/>
          <w:szCs w:val="24"/>
        </w:rPr>
        <w:t>ecords created by EMS personnel during the alleged Top Thrill Dragster incident.</w:t>
      </w:r>
      <w:r>
        <w:rPr>
          <w:rFonts w:ascii="Times New Roman" w:hAnsi="Times New Roman"/>
          <w:sz w:val="24"/>
          <w:szCs w:val="24"/>
        </w:rPr>
        <w:t xml:space="preserve"> </w:t>
      </w:r>
      <w:r w:rsidRPr="00791E9A">
        <w:rPr>
          <w:rFonts w:ascii="Times New Roman" w:hAnsi="Times New Roman"/>
          <w:sz w:val="24"/>
          <w:szCs w:val="24"/>
        </w:rPr>
        <w:t>EMS services are not police services, and there is no evidence in the record</w:t>
      </w:r>
      <w:r>
        <w:rPr>
          <w:rFonts w:ascii="Times New Roman" w:hAnsi="Times New Roman"/>
          <w:sz w:val="24"/>
          <w:szCs w:val="24"/>
        </w:rPr>
        <w:t xml:space="preserve"> </w:t>
      </w:r>
      <w:r w:rsidRPr="00791E9A">
        <w:rPr>
          <w:rFonts w:ascii="Times New Roman" w:hAnsi="Times New Roman"/>
          <w:sz w:val="24"/>
          <w:szCs w:val="24"/>
        </w:rPr>
        <w:t>indicating that the CPPD provides EMS services or employs EMS personnel. To</w:t>
      </w:r>
      <w:r>
        <w:rPr>
          <w:rFonts w:ascii="Times New Roman" w:hAnsi="Times New Roman"/>
          <w:sz w:val="24"/>
          <w:szCs w:val="24"/>
        </w:rPr>
        <w:t xml:space="preserve"> </w:t>
      </w:r>
      <w:r w:rsidRPr="00791E9A">
        <w:rPr>
          <w:rFonts w:ascii="Times New Roman" w:hAnsi="Times New Roman"/>
          <w:sz w:val="24"/>
          <w:szCs w:val="24"/>
        </w:rPr>
        <w:t>the extent that Cedar Fair provided EMS services related to the alleged Top Thrill</w:t>
      </w:r>
      <w:r>
        <w:rPr>
          <w:rFonts w:ascii="Times New Roman" w:hAnsi="Times New Roman"/>
          <w:sz w:val="24"/>
          <w:szCs w:val="24"/>
        </w:rPr>
        <w:t xml:space="preserve"> </w:t>
      </w:r>
      <w:r w:rsidRPr="00791E9A">
        <w:rPr>
          <w:rFonts w:ascii="Times New Roman" w:hAnsi="Times New Roman"/>
          <w:sz w:val="24"/>
          <w:szCs w:val="24"/>
        </w:rPr>
        <w:t>Dragster incident, relators have produced no evidence showing that these services</w:t>
      </w:r>
      <w:r>
        <w:rPr>
          <w:rFonts w:ascii="Times New Roman" w:hAnsi="Times New Roman"/>
          <w:sz w:val="24"/>
          <w:szCs w:val="24"/>
        </w:rPr>
        <w:t xml:space="preserve"> </w:t>
      </w:r>
      <w:r w:rsidRPr="00791E9A">
        <w:rPr>
          <w:rFonts w:ascii="Times New Roman" w:hAnsi="Times New Roman"/>
          <w:sz w:val="24"/>
          <w:szCs w:val="24"/>
        </w:rPr>
        <w:t xml:space="preserve">were provided through the </w:t>
      </w:r>
      <w:proofErr w:type="gramStart"/>
      <w:r w:rsidRPr="00791E9A">
        <w:rPr>
          <w:rFonts w:ascii="Times New Roman" w:hAnsi="Times New Roman"/>
          <w:sz w:val="24"/>
          <w:szCs w:val="24"/>
        </w:rPr>
        <w:t>CPPD</w:t>
      </w:r>
      <w:r>
        <w:rPr>
          <w:rFonts w:ascii="Times New Roman" w:hAnsi="Times New Roman"/>
          <w:sz w:val="24"/>
          <w:szCs w:val="24"/>
        </w:rPr>
        <w:t>.”</w:t>
      </w:r>
      <w:proofErr w:type="gramEnd"/>
      <w:r>
        <w:rPr>
          <w:rFonts w:ascii="Times New Roman" w:hAnsi="Times New Roman"/>
          <w:sz w:val="24"/>
          <w:szCs w:val="24"/>
        </w:rPr>
        <w:t xml:space="preserve"> </w:t>
      </w:r>
    </w:p>
    <w:p w14:paraId="2DBDFA28" w14:textId="77777777" w:rsidR="00C30293" w:rsidRDefault="00C30293" w:rsidP="00C30293">
      <w:pPr>
        <w:pStyle w:val="NoSpacing"/>
        <w:rPr>
          <w:rFonts w:ascii="Times New Roman" w:hAnsi="Times New Roman"/>
          <w:sz w:val="24"/>
          <w:szCs w:val="24"/>
        </w:rPr>
      </w:pPr>
      <w:hyperlink r:id="rId3023" w:history="1">
        <w:r w:rsidRPr="0044657D">
          <w:rPr>
            <w:rStyle w:val="Hyperlink"/>
            <w:rFonts w:ascii="Times New Roman" w:hAnsi="Times New Roman"/>
            <w:sz w:val="24"/>
            <w:szCs w:val="24"/>
          </w:rPr>
          <w:t>https://www.supremecourt.ohio.gov/rod/docs/pdf/0/2023/2023-Ohio-4593.pdf</w:t>
        </w:r>
      </w:hyperlink>
      <w:r>
        <w:rPr>
          <w:rFonts w:ascii="Times New Roman" w:hAnsi="Times New Roman"/>
          <w:sz w:val="24"/>
          <w:szCs w:val="24"/>
        </w:rPr>
        <w:t xml:space="preserve"> </w:t>
      </w:r>
    </w:p>
    <w:p w14:paraId="6C32A87F" w14:textId="77777777" w:rsidR="00C30293" w:rsidRDefault="00C30293" w:rsidP="00C30293">
      <w:pPr>
        <w:pStyle w:val="NoSpacing"/>
        <w:rPr>
          <w:rFonts w:ascii="Times New Roman" w:hAnsi="Times New Roman"/>
          <w:sz w:val="24"/>
          <w:szCs w:val="24"/>
        </w:rPr>
      </w:pPr>
    </w:p>
    <w:p w14:paraId="0F2A3B67" w14:textId="77777777" w:rsidR="00FB70BC" w:rsidRPr="001D76FE" w:rsidRDefault="00FB70BC" w:rsidP="00FB70BC">
      <w:pPr>
        <w:pStyle w:val="NoSpacing"/>
        <w:rPr>
          <w:rFonts w:ascii="Times New Roman" w:hAnsi="Times New Roman"/>
          <w:b/>
          <w:bCs/>
          <w:sz w:val="24"/>
          <w:szCs w:val="24"/>
        </w:rPr>
      </w:pPr>
      <w:r w:rsidRPr="001D76FE">
        <w:rPr>
          <w:rFonts w:ascii="Times New Roman" w:hAnsi="Times New Roman"/>
          <w:b/>
          <w:bCs/>
          <w:sz w:val="24"/>
          <w:szCs w:val="24"/>
        </w:rPr>
        <w:t>Legal Lesson Learned:</w:t>
      </w:r>
      <w:r>
        <w:rPr>
          <w:rFonts w:ascii="Times New Roman" w:hAnsi="Times New Roman"/>
          <w:b/>
          <w:bCs/>
          <w:sz w:val="24"/>
          <w:szCs w:val="24"/>
        </w:rPr>
        <w:t xml:space="preserve"> The Park should have submitted records for “in camera” review by trial court, so they could then assert investigative exemption. </w:t>
      </w:r>
      <w:r w:rsidRPr="001D76FE">
        <w:rPr>
          <w:rFonts w:ascii="Times New Roman" w:hAnsi="Times New Roman"/>
          <w:b/>
          <w:bCs/>
          <w:sz w:val="24"/>
          <w:szCs w:val="24"/>
        </w:rPr>
        <w:t xml:space="preserve"> </w:t>
      </w:r>
      <w:r>
        <w:rPr>
          <w:rFonts w:ascii="Times New Roman" w:hAnsi="Times New Roman"/>
          <w:b/>
          <w:bCs/>
          <w:sz w:val="24"/>
          <w:szCs w:val="24"/>
        </w:rPr>
        <w:t xml:space="preserve">Private EMS companies providing 911 public service would likewise be subject to Ohio Public Records Act. </w:t>
      </w:r>
    </w:p>
    <w:p w14:paraId="62358D9F" w14:textId="77777777" w:rsidR="00FB70BC" w:rsidRDefault="00FB70BC" w:rsidP="00FB70BC">
      <w:pPr>
        <w:pStyle w:val="NoSpacing"/>
        <w:ind w:left="720"/>
        <w:rPr>
          <w:rFonts w:ascii="Times New Roman" w:hAnsi="Times New Roman"/>
          <w:sz w:val="24"/>
          <w:szCs w:val="24"/>
        </w:rPr>
      </w:pPr>
    </w:p>
    <w:p w14:paraId="3B86F73C"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Note: DISSENT BY CHIEF JUSTICE SHARON L. KENNEDY – TV STATIONS SHOULD BE AWARDED STATUTORY DAMAGES AND ATTORNEY FEES</w:t>
      </w:r>
    </w:p>
    <w:p w14:paraId="43C796E8" w14:textId="77777777" w:rsidR="00FB70BC" w:rsidRDefault="00FB70BC" w:rsidP="00FB70BC">
      <w:pPr>
        <w:pStyle w:val="NoSpacing"/>
        <w:ind w:left="720"/>
        <w:rPr>
          <w:rFonts w:ascii="Times New Roman" w:hAnsi="Times New Roman"/>
          <w:sz w:val="24"/>
          <w:szCs w:val="24"/>
        </w:rPr>
      </w:pPr>
    </w:p>
    <w:p w14:paraId="5AF52184"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 xml:space="preserve"> “</w:t>
      </w:r>
      <w:r w:rsidRPr="00356695">
        <w:rPr>
          <w:rFonts w:ascii="Times New Roman" w:hAnsi="Times New Roman"/>
          <w:sz w:val="24"/>
          <w:szCs w:val="24"/>
        </w:rPr>
        <w:t>I part ways with the majority, however, in its denial of awards of</w:t>
      </w:r>
      <w:r>
        <w:rPr>
          <w:rFonts w:ascii="Times New Roman" w:hAnsi="Times New Roman"/>
          <w:sz w:val="24"/>
          <w:szCs w:val="24"/>
        </w:rPr>
        <w:t xml:space="preserve"> </w:t>
      </w:r>
      <w:r w:rsidRPr="00356695">
        <w:rPr>
          <w:rFonts w:ascii="Times New Roman" w:hAnsi="Times New Roman"/>
          <w:sz w:val="24"/>
          <w:szCs w:val="24"/>
        </w:rPr>
        <w:t xml:space="preserve">statutory damages and attorney fees to relators. Based on the </w:t>
      </w:r>
      <w:proofErr w:type="gramStart"/>
      <w:r w:rsidRPr="00356695">
        <w:rPr>
          <w:rFonts w:ascii="Times New Roman" w:hAnsi="Times New Roman"/>
          <w:sz w:val="24"/>
          <w:szCs w:val="24"/>
        </w:rPr>
        <w:t>law existing</w:t>
      </w:r>
      <w:proofErr w:type="gramEnd"/>
      <w:r w:rsidRPr="00356695">
        <w:rPr>
          <w:rFonts w:ascii="Times New Roman" w:hAnsi="Times New Roman"/>
          <w:sz w:val="24"/>
          <w:szCs w:val="24"/>
        </w:rPr>
        <w:t xml:space="preserve"> at the</w:t>
      </w:r>
      <w:r>
        <w:rPr>
          <w:rFonts w:ascii="Times New Roman" w:hAnsi="Times New Roman"/>
          <w:sz w:val="24"/>
          <w:szCs w:val="24"/>
        </w:rPr>
        <w:t xml:space="preserve"> </w:t>
      </w:r>
      <w:r w:rsidRPr="00356695">
        <w:rPr>
          <w:rFonts w:ascii="Times New Roman" w:hAnsi="Times New Roman"/>
          <w:sz w:val="24"/>
          <w:szCs w:val="24"/>
        </w:rPr>
        <w:t>time of relators’ requests, a well-informed person responsible for the requested</w:t>
      </w:r>
      <w:r>
        <w:rPr>
          <w:rFonts w:ascii="Times New Roman" w:hAnsi="Times New Roman"/>
          <w:sz w:val="24"/>
          <w:szCs w:val="24"/>
        </w:rPr>
        <w:t xml:space="preserve"> </w:t>
      </w:r>
      <w:r w:rsidRPr="00356695">
        <w:rPr>
          <w:rFonts w:ascii="Times New Roman" w:hAnsi="Times New Roman"/>
          <w:sz w:val="24"/>
          <w:szCs w:val="24"/>
        </w:rPr>
        <w:t>public records would have reasonably believed that respondents had an obligation</w:t>
      </w:r>
      <w:r>
        <w:rPr>
          <w:rFonts w:ascii="Times New Roman" w:hAnsi="Times New Roman"/>
          <w:sz w:val="24"/>
          <w:szCs w:val="24"/>
        </w:rPr>
        <w:t xml:space="preserve"> </w:t>
      </w:r>
      <w:r w:rsidRPr="00356695">
        <w:rPr>
          <w:rFonts w:ascii="Times New Roman" w:hAnsi="Times New Roman"/>
          <w:sz w:val="24"/>
          <w:szCs w:val="24"/>
        </w:rPr>
        <w:t>under the Public Records Act to produce the requested records. Therefore, relators</w:t>
      </w:r>
      <w:r>
        <w:rPr>
          <w:rFonts w:ascii="Times New Roman" w:hAnsi="Times New Roman"/>
          <w:sz w:val="24"/>
          <w:szCs w:val="24"/>
        </w:rPr>
        <w:t xml:space="preserve"> </w:t>
      </w:r>
      <w:r w:rsidRPr="00356695">
        <w:rPr>
          <w:rFonts w:ascii="Times New Roman" w:hAnsi="Times New Roman"/>
          <w:sz w:val="24"/>
          <w:szCs w:val="24"/>
        </w:rPr>
        <w:t xml:space="preserve">are entitled to statutory </w:t>
      </w:r>
      <w:proofErr w:type="gramStart"/>
      <w:r w:rsidRPr="00356695">
        <w:rPr>
          <w:rFonts w:ascii="Times New Roman" w:hAnsi="Times New Roman"/>
          <w:sz w:val="24"/>
          <w:szCs w:val="24"/>
        </w:rPr>
        <w:t>damages</w:t>
      </w:r>
      <w:proofErr w:type="gramEnd"/>
      <w:r w:rsidRPr="00356695">
        <w:rPr>
          <w:rFonts w:ascii="Times New Roman" w:hAnsi="Times New Roman"/>
          <w:sz w:val="24"/>
          <w:szCs w:val="24"/>
        </w:rPr>
        <w:t xml:space="preserve"> and this court should award attorney fees.</w:t>
      </w:r>
    </w:p>
    <w:p w14:paraId="091399A0" w14:textId="77777777" w:rsidR="00FB70BC" w:rsidRDefault="00FB70BC" w:rsidP="00FB70BC">
      <w:pPr>
        <w:pStyle w:val="NoSpacing"/>
        <w:ind w:left="720"/>
        <w:rPr>
          <w:rFonts w:ascii="Times New Roman" w:hAnsi="Times New Roman"/>
          <w:sz w:val="24"/>
          <w:szCs w:val="24"/>
        </w:rPr>
      </w:pPr>
    </w:p>
    <w:p w14:paraId="4FF94C57"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w:t>
      </w:r>
    </w:p>
    <w:p w14:paraId="29F28ECE" w14:textId="77777777" w:rsidR="00FB70BC" w:rsidRDefault="00FB70BC" w:rsidP="00FB70BC">
      <w:pPr>
        <w:pStyle w:val="NoSpacing"/>
        <w:ind w:left="720"/>
        <w:rPr>
          <w:rFonts w:ascii="Times New Roman" w:hAnsi="Times New Roman"/>
          <w:sz w:val="24"/>
          <w:szCs w:val="24"/>
        </w:rPr>
      </w:pPr>
    </w:p>
    <w:p w14:paraId="595D4F93" w14:textId="77777777" w:rsidR="00FB70BC" w:rsidRPr="00A9125A" w:rsidRDefault="00FB70BC" w:rsidP="00FB70BC">
      <w:pPr>
        <w:pStyle w:val="NoSpacing"/>
        <w:ind w:left="720"/>
        <w:rPr>
          <w:rFonts w:ascii="Times New Roman" w:hAnsi="Times New Roman"/>
          <w:sz w:val="24"/>
          <w:szCs w:val="24"/>
        </w:rPr>
      </w:pPr>
      <w:r w:rsidRPr="00FD2DAA">
        <w:rPr>
          <w:rFonts w:ascii="Times New Roman" w:hAnsi="Times New Roman"/>
          <w:sz w:val="24"/>
          <w:szCs w:val="24"/>
        </w:rPr>
        <w:t>The Sandusky City Manager, a government official, appoints and</w:t>
      </w:r>
      <w:r>
        <w:rPr>
          <w:rFonts w:ascii="Times New Roman" w:hAnsi="Times New Roman"/>
          <w:sz w:val="24"/>
          <w:szCs w:val="24"/>
        </w:rPr>
        <w:t xml:space="preserve"> </w:t>
      </w:r>
      <w:r w:rsidRPr="00FD2DAA">
        <w:rPr>
          <w:rFonts w:ascii="Times New Roman" w:hAnsi="Times New Roman"/>
          <w:sz w:val="24"/>
          <w:szCs w:val="24"/>
        </w:rPr>
        <w:t xml:space="preserve">maintains the Department’s police officers. These officers contractually </w:t>
      </w:r>
      <w:proofErr w:type="gramStart"/>
      <w:r w:rsidRPr="00FD2DAA">
        <w:rPr>
          <w:rFonts w:ascii="Times New Roman" w:hAnsi="Times New Roman"/>
          <w:sz w:val="24"/>
          <w:szCs w:val="24"/>
        </w:rPr>
        <w:t>serve at</w:t>
      </w:r>
      <w:proofErr w:type="gramEnd"/>
      <w:r>
        <w:rPr>
          <w:rFonts w:ascii="Times New Roman" w:hAnsi="Times New Roman"/>
          <w:sz w:val="24"/>
          <w:szCs w:val="24"/>
        </w:rPr>
        <w:t xml:space="preserve"> </w:t>
      </w:r>
      <w:r w:rsidRPr="00FD2DAA">
        <w:rPr>
          <w:rFonts w:ascii="Times New Roman" w:hAnsi="Times New Roman"/>
          <w:sz w:val="24"/>
          <w:szCs w:val="24"/>
        </w:rPr>
        <w:t>the pleasure of the city manager. These officers also must be qualified to serve as</w:t>
      </w:r>
      <w:r>
        <w:rPr>
          <w:rFonts w:ascii="Times New Roman" w:hAnsi="Times New Roman"/>
          <w:sz w:val="24"/>
          <w:szCs w:val="24"/>
        </w:rPr>
        <w:t xml:space="preserve"> </w:t>
      </w:r>
      <w:r w:rsidRPr="00FD2DAA">
        <w:rPr>
          <w:rFonts w:ascii="Times New Roman" w:hAnsi="Times New Roman"/>
          <w:sz w:val="24"/>
          <w:szCs w:val="24"/>
        </w:rPr>
        <w:t>law-enforcement officers in Ohio, pursuant to both a Sandusky ordinance and the</w:t>
      </w:r>
      <w:r>
        <w:rPr>
          <w:rFonts w:ascii="Times New Roman" w:hAnsi="Times New Roman"/>
          <w:sz w:val="24"/>
          <w:szCs w:val="24"/>
        </w:rPr>
        <w:t xml:space="preserve"> </w:t>
      </w:r>
      <w:r w:rsidRPr="00FD2DAA">
        <w:rPr>
          <w:rFonts w:ascii="Times New Roman" w:hAnsi="Times New Roman"/>
          <w:sz w:val="24"/>
          <w:szCs w:val="24"/>
        </w:rPr>
        <w:t>agreement between Sandusky and Cedar Fair, and they swear an oath before the</w:t>
      </w:r>
      <w:r>
        <w:rPr>
          <w:rFonts w:ascii="Times New Roman" w:hAnsi="Times New Roman"/>
          <w:sz w:val="24"/>
          <w:szCs w:val="24"/>
        </w:rPr>
        <w:t xml:space="preserve"> </w:t>
      </w:r>
      <w:r w:rsidRPr="00FD2DAA">
        <w:rPr>
          <w:rFonts w:ascii="Times New Roman" w:hAnsi="Times New Roman"/>
          <w:sz w:val="24"/>
          <w:szCs w:val="24"/>
        </w:rPr>
        <w:t>city manager to uphold the laws of Sandusky, the state of Ohio, and the United</w:t>
      </w:r>
      <w:r>
        <w:rPr>
          <w:rFonts w:ascii="Times New Roman" w:hAnsi="Times New Roman"/>
          <w:sz w:val="24"/>
          <w:szCs w:val="24"/>
        </w:rPr>
        <w:t xml:space="preserve"> </w:t>
      </w:r>
      <w:r w:rsidRPr="00FD2DAA">
        <w:rPr>
          <w:rFonts w:ascii="Times New Roman" w:hAnsi="Times New Roman"/>
          <w:sz w:val="24"/>
          <w:szCs w:val="24"/>
        </w:rPr>
        <w:t xml:space="preserve">States. Further, the Ohio Peace Officer Training Commission lists </w:t>
      </w:r>
      <w:r>
        <w:rPr>
          <w:rFonts w:ascii="Times New Roman" w:hAnsi="Times New Roman"/>
          <w:sz w:val="24"/>
          <w:szCs w:val="24"/>
        </w:rPr>
        <w:t>‘</w:t>
      </w:r>
      <w:r w:rsidRPr="00FD2DAA">
        <w:rPr>
          <w:rFonts w:ascii="Times New Roman" w:hAnsi="Times New Roman"/>
          <w:sz w:val="24"/>
          <w:szCs w:val="24"/>
        </w:rPr>
        <w:t>Sandusky</w:t>
      </w:r>
      <w:r>
        <w:rPr>
          <w:rFonts w:ascii="Times New Roman" w:hAnsi="Times New Roman"/>
          <w:sz w:val="24"/>
          <w:szCs w:val="24"/>
        </w:rPr>
        <w:t xml:space="preserve"> </w:t>
      </w:r>
      <w:r w:rsidRPr="00FD2DAA">
        <w:rPr>
          <w:rFonts w:ascii="Times New Roman" w:hAnsi="Times New Roman"/>
          <w:sz w:val="24"/>
          <w:szCs w:val="24"/>
        </w:rPr>
        <w:t>Police/Cedar Point Division</w:t>
      </w:r>
      <w:r>
        <w:rPr>
          <w:rFonts w:ascii="Times New Roman" w:hAnsi="Times New Roman"/>
          <w:sz w:val="24"/>
          <w:szCs w:val="24"/>
        </w:rPr>
        <w:t>’</w:t>
      </w:r>
      <w:r w:rsidRPr="00FD2DAA">
        <w:rPr>
          <w:rFonts w:ascii="Times New Roman" w:hAnsi="Times New Roman"/>
          <w:sz w:val="24"/>
          <w:szCs w:val="24"/>
        </w:rPr>
        <w:t xml:space="preserve"> as a police agency.</w:t>
      </w:r>
      <w:r>
        <w:rPr>
          <w:rFonts w:ascii="Times New Roman" w:hAnsi="Times New Roman"/>
          <w:sz w:val="24"/>
          <w:szCs w:val="24"/>
        </w:rPr>
        <w:t>”</w:t>
      </w:r>
    </w:p>
    <w:p w14:paraId="6BC292F7" w14:textId="77777777" w:rsidR="00FB70BC" w:rsidRDefault="00FB70BC" w:rsidP="00FB70BC">
      <w:pPr>
        <w:pStyle w:val="NormalWeb"/>
        <w:jc w:val="center"/>
      </w:pPr>
    </w:p>
    <w:p w14:paraId="51FD047F" w14:textId="77777777" w:rsidR="002B2323" w:rsidRDefault="002B2323" w:rsidP="000C4DF5">
      <w:pPr>
        <w:pStyle w:val="NoSpacing"/>
        <w:rPr>
          <w:rFonts w:ascii="Arial Black" w:hAnsi="Arial Black"/>
          <w:sz w:val="24"/>
          <w:szCs w:val="24"/>
        </w:rPr>
      </w:pPr>
    </w:p>
    <w:p w14:paraId="61357726" w14:textId="77777777" w:rsidR="002B2323" w:rsidRDefault="002B2323" w:rsidP="000C4DF5">
      <w:pPr>
        <w:pStyle w:val="NoSpacing"/>
        <w:rPr>
          <w:rFonts w:ascii="Arial Black" w:hAnsi="Arial Black"/>
          <w:sz w:val="24"/>
          <w:szCs w:val="24"/>
        </w:rPr>
      </w:pPr>
    </w:p>
    <w:p w14:paraId="4AC326CA" w14:textId="77777777" w:rsidR="002B2323" w:rsidRDefault="002B2323" w:rsidP="000C4DF5">
      <w:pPr>
        <w:pStyle w:val="NoSpacing"/>
        <w:rPr>
          <w:rFonts w:ascii="Arial Black" w:hAnsi="Arial Black"/>
          <w:sz w:val="24"/>
          <w:szCs w:val="24"/>
        </w:rPr>
      </w:pPr>
    </w:p>
    <w:p w14:paraId="7F502482" w14:textId="77777777" w:rsidR="002B2323" w:rsidRDefault="002B2323" w:rsidP="000C4DF5">
      <w:pPr>
        <w:pStyle w:val="NoSpacing"/>
        <w:rPr>
          <w:rFonts w:ascii="Arial Black" w:hAnsi="Arial Black"/>
          <w:sz w:val="24"/>
          <w:szCs w:val="24"/>
        </w:rPr>
      </w:pPr>
    </w:p>
    <w:p w14:paraId="51241731" w14:textId="3BB3E475" w:rsidR="00B15008" w:rsidRDefault="00B15008" w:rsidP="000C4DF5">
      <w:pPr>
        <w:pStyle w:val="NoSpacing"/>
        <w:rPr>
          <w:rFonts w:ascii="Arial Black" w:hAnsi="Arial Black"/>
          <w:sz w:val="24"/>
          <w:szCs w:val="24"/>
        </w:rPr>
      </w:pPr>
      <w:r>
        <w:rPr>
          <w:rFonts w:ascii="Arial Black" w:hAnsi="Arial Black"/>
          <w:sz w:val="24"/>
          <w:szCs w:val="24"/>
        </w:rPr>
        <w:t>18-24</w:t>
      </w:r>
    </w:p>
    <w:p w14:paraId="6AB8CB58" w14:textId="77777777" w:rsidR="00B15008" w:rsidRDefault="00B15008" w:rsidP="000C4DF5">
      <w:pPr>
        <w:pStyle w:val="NoSpacing"/>
        <w:rPr>
          <w:rFonts w:ascii="Arial Black" w:hAnsi="Arial Black"/>
          <w:sz w:val="24"/>
          <w:szCs w:val="24"/>
        </w:rPr>
      </w:pPr>
    </w:p>
    <w:p w14:paraId="111AA394" w14:textId="77777777" w:rsidR="00FD530A" w:rsidRPr="008F56DF" w:rsidRDefault="00FD530A" w:rsidP="00FD530A">
      <w:pPr>
        <w:pStyle w:val="NoSpacing"/>
        <w:rPr>
          <w:rFonts w:ascii="Arial Black" w:hAnsi="Arial Black"/>
          <w:sz w:val="28"/>
          <w:szCs w:val="28"/>
        </w:rPr>
      </w:pPr>
      <w:r>
        <w:rPr>
          <w:rFonts w:ascii="Arial Black" w:hAnsi="Arial Black"/>
          <w:sz w:val="28"/>
          <w:szCs w:val="28"/>
        </w:rPr>
        <w:t xml:space="preserve">FL: PUBLIC RECORDS - MARSY’S LAW VICTIMS RIGHTS – TWO PD WHO KILLED TWO ASSAILANTS – NAMES PUBLIC </w:t>
      </w:r>
    </w:p>
    <w:p w14:paraId="46020E33" w14:textId="77777777" w:rsidR="00FD530A" w:rsidRDefault="00FD530A" w:rsidP="00FD530A">
      <w:pPr>
        <w:pStyle w:val="NoSpacing"/>
        <w:rPr>
          <w:rFonts w:ascii="Times New Roman" w:hAnsi="Times New Roman"/>
          <w:sz w:val="24"/>
          <w:szCs w:val="24"/>
        </w:rPr>
      </w:pPr>
    </w:p>
    <w:p w14:paraId="0448A130" w14:textId="57E7A586" w:rsidR="00B15008" w:rsidRDefault="00FD530A" w:rsidP="00FD530A">
      <w:pPr>
        <w:pStyle w:val="NoSpacing"/>
        <w:rPr>
          <w:rStyle w:val="Hyperlink"/>
          <w:rFonts w:ascii="Times New Roman" w:hAnsi="Times New Roman"/>
          <w:sz w:val="24"/>
          <w:szCs w:val="24"/>
        </w:rPr>
      </w:pPr>
      <w:r>
        <w:rPr>
          <w:rFonts w:ascii="Times New Roman" w:hAnsi="Times New Roman"/>
          <w:sz w:val="24"/>
          <w:szCs w:val="24"/>
        </w:rPr>
        <w:t xml:space="preserve">On Nov. 30, 2023, in </w:t>
      </w:r>
      <w:r w:rsidRPr="00B478B5">
        <w:rPr>
          <w:rFonts w:ascii="Times New Roman" w:hAnsi="Times New Roman"/>
          <w:sz w:val="24"/>
          <w:szCs w:val="24"/>
          <w:u w:val="single"/>
        </w:rPr>
        <w:t>City of Tallahassee, Florida v. Florida Police Benevolent Association, Inc., et al.</w:t>
      </w:r>
      <w:r>
        <w:rPr>
          <w:rFonts w:ascii="Times New Roman" w:hAnsi="Times New Roman"/>
          <w:sz w:val="24"/>
          <w:szCs w:val="24"/>
        </w:rPr>
        <w:t>, the Supreme Court of Florida, the Court held (5 to 0) that two policers had no right to prevent their names being released to reporters.   Each officer, in separate incidents, killed assailants in self-defense and were cleared by a grand jury, and now claimed their names were protected as “victims” under Marsy’s Law.   Florida residents in 2018 voted to amend the state Constitution so that victim’s location information would not be made public, and victims would be kept informed on status of a defendant’s case.  The Court held: “</w:t>
      </w:r>
      <w:r w:rsidRPr="006573E3">
        <w:rPr>
          <w:rFonts w:ascii="Times New Roman" w:hAnsi="Times New Roman"/>
          <w:sz w:val="24"/>
          <w:szCs w:val="24"/>
        </w:rPr>
        <w:t>Marsy’s Law</w:t>
      </w:r>
      <w:r>
        <w:rPr>
          <w:rFonts w:ascii="Times New Roman" w:hAnsi="Times New Roman"/>
          <w:sz w:val="24"/>
          <w:szCs w:val="24"/>
        </w:rPr>
        <w:t xml:space="preserve"> </w:t>
      </w:r>
      <w:r w:rsidRPr="006573E3">
        <w:rPr>
          <w:rFonts w:ascii="Times New Roman" w:hAnsi="Times New Roman"/>
          <w:sz w:val="24"/>
          <w:szCs w:val="24"/>
        </w:rPr>
        <w:t>does not preclude the City from releasing the</w:t>
      </w:r>
      <w:r>
        <w:rPr>
          <w:rFonts w:ascii="Times New Roman" w:hAnsi="Times New Roman"/>
          <w:sz w:val="24"/>
          <w:szCs w:val="24"/>
        </w:rPr>
        <w:t xml:space="preserve"> </w:t>
      </w:r>
      <w:r w:rsidRPr="006573E3">
        <w:rPr>
          <w:rFonts w:ascii="Times New Roman" w:hAnsi="Times New Roman"/>
          <w:sz w:val="24"/>
          <w:szCs w:val="24"/>
        </w:rPr>
        <w:t>names of the two police officers whose conduct is at issue in this</w:t>
      </w:r>
      <w:r>
        <w:rPr>
          <w:rFonts w:ascii="Times New Roman" w:hAnsi="Times New Roman"/>
          <w:sz w:val="24"/>
          <w:szCs w:val="24"/>
        </w:rPr>
        <w:t xml:space="preserve"> </w:t>
      </w:r>
      <w:r w:rsidRPr="006573E3">
        <w:rPr>
          <w:rFonts w:ascii="Times New Roman" w:hAnsi="Times New Roman"/>
          <w:sz w:val="24"/>
          <w:szCs w:val="24"/>
        </w:rPr>
        <w:t>case.</w:t>
      </w:r>
      <w:r>
        <w:rPr>
          <w:rFonts w:ascii="Times New Roman" w:hAnsi="Times New Roman"/>
          <w:sz w:val="24"/>
          <w:szCs w:val="24"/>
        </w:rPr>
        <w:t xml:space="preserve"> *** </w:t>
      </w:r>
      <w:r w:rsidRPr="00DF01CF">
        <w:rPr>
          <w:rFonts w:ascii="Times New Roman" w:hAnsi="Times New Roman"/>
          <w:sz w:val="24"/>
          <w:szCs w:val="24"/>
        </w:rPr>
        <w:t>Applying these interpretive principles to this case, we conclude</w:t>
      </w:r>
      <w:r>
        <w:rPr>
          <w:rFonts w:ascii="Times New Roman" w:hAnsi="Times New Roman"/>
          <w:sz w:val="24"/>
          <w:szCs w:val="24"/>
        </w:rPr>
        <w:t xml:space="preserve"> </w:t>
      </w:r>
      <w:r w:rsidRPr="00DF01CF">
        <w:rPr>
          <w:rFonts w:ascii="Times New Roman" w:hAnsi="Times New Roman"/>
          <w:sz w:val="24"/>
          <w:szCs w:val="24"/>
        </w:rPr>
        <w:t xml:space="preserve">that Marsy’s Law does not </w:t>
      </w:r>
      <w:proofErr w:type="gramStart"/>
      <w:r w:rsidRPr="00DF01CF">
        <w:rPr>
          <w:rFonts w:ascii="Times New Roman" w:hAnsi="Times New Roman"/>
          <w:sz w:val="24"/>
          <w:szCs w:val="24"/>
        </w:rPr>
        <w:t>guarantee to</w:t>
      </w:r>
      <w:proofErr w:type="gramEnd"/>
      <w:r w:rsidRPr="00DF01CF">
        <w:rPr>
          <w:rFonts w:ascii="Times New Roman" w:hAnsi="Times New Roman"/>
          <w:sz w:val="24"/>
          <w:szCs w:val="24"/>
        </w:rPr>
        <w:t xml:space="preserve"> a victim the categorical</w:t>
      </w:r>
      <w:r>
        <w:rPr>
          <w:rFonts w:ascii="Times New Roman" w:hAnsi="Times New Roman"/>
          <w:sz w:val="24"/>
          <w:szCs w:val="24"/>
        </w:rPr>
        <w:t xml:space="preserve"> </w:t>
      </w:r>
      <w:r w:rsidRPr="00DF01CF">
        <w:rPr>
          <w:rFonts w:ascii="Times New Roman" w:hAnsi="Times New Roman"/>
          <w:sz w:val="24"/>
          <w:szCs w:val="24"/>
        </w:rPr>
        <w:t>right to withhold his or her name from disclosure. In their ordinary</w:t>
      </w:r>
      <w:r>
        <w:rPr>
          <w:rFonts w:ascii="Times New Roman" w:hAnsi="Times New Roman"/>
          <w:sz w:val="24"/>
          <w:szCs w:val="24"/>
        </w:rPr>
        <w:t xml:space="preserve"> </w:t>
      </w:r>
      <w:r w:rsidRPr="00DF01CF">
        <w:rPr>
          <w:rFonts w:ascii="Times New Roman" w:hAnsi="Times New Roman"/>
          <w:sz w:val="24"/>
          <w:szCs w:val="24"/>
        </w:rPr>
        <w:t>and plain usage, the relevant words of our Constitution</w:t>
      </w:r>
      <w:r>
        <w:rPr>
          <w:rFonts w:ascii="Times New Roman" w:hAnsi="Times New Roman"/>
          <w:sz w:val="24"/>
          <w:szCs w:val="24"/>
        </w:rPr>
        <w:t xml:space="preserve"> [amended to include Marsy’s Law</w:t>
      </w:r>
      <w:proofErr w:type="gramStart"/>
      <w:r>
        <w:rPr>
          <w:rFonts w:ascii="Times New Roman" w:hAnsi="Times New Roman"/>
          <w:sz w:val="24"/>
          <w:szCs w:val="24"/>
        </w:rPr>
        <w:t>]</w:t>
      </w:r>
      <w:r w:rsidRPr="00DF01CF">
        <w:rPr>
          <w:rFonts w:ascii="Times New Roman" w:hAnsi="Times New Roman"/>
          <w:sz w:val="24"/>
          <w:szCs w:val="24"/>
        </w:rPr>
        <w:t>,</w:t>
      </w:r>
      <w:r>
        <w:rPr>
          <w:rFonts w:ascii="Times New Roman" w:hAnsi="Times New Roman"/>
          <w:sz w:val="24"/>
          <w:szCs w:val="24"/>
        </w:rPr>
        <w:t xml:space="preserve"> ‘</w:t>
      </w:r>
      <w:proofErr w:type="gramEnd"/>
      <w:r w:rsidRPr="00DF01CF">
        <w:rPr>
          <w:rFonts w:ascii="Times New Roman" w:hAnsi="Times New Roman"/>
          <w:sz w:val="24"/>
          <w:szCs w:val="24"/>
        </w:rPr>
        <w:t>information or records that could be used to locate or harass the</w:t>
      </w:r>
      <w:r>
        <w:rPr>
          <w:rFonts w:ascii="Times New Roman" w:hAnsi="Times New Roman"/>
          <w:sz w:val="24"/>
          <w:szCs w:val="24"/>
        </w:rPr>
        <w:t xml:space="preserve"> </w:t>
      </w:r>
      <w:r w:rsidRPr="00DF01CF">
        <w:rPr>
          <w:rFonts w:ascii="Times New Roman" w:hAnsi="Times New Roman"/>
          <w:sz w:val="24"/>
          <w:szCs w:val="24"/>
        </w:rPr>
        <w:t>victim or the victim’s family, or which could disclose confidential or</w:t>
      </w:r>
      <w:r>
        <w:rPr>
          <w:rFonts w:ascii="Times New Roman" w:hAnsi="Times New Roman"/>
          <w:sz w:val="24"/>
          <w:szCs w:val="24"/>
        </w:rPr>
        <w:t xml:space="preserve"> </w:t>
      </w:r>
      <w:r w:rsidRPr="00DF01CF">
        <w:rPr>
          <w:rFonts w:ascii="Times New Roman" w:hAnsi="Times New Roman"/>
          <w:sz w:val="24"/>
          <w:szCs w:val="24"/>
        </w:rPr>
        <w:t xml:space="preserve">privileged information of the </w:t>
      </w:r>
      <w:proofErr w:type="gramStart"/>
      <w:r w:rsidRPr="00DF01CF">
        <w:rPr>
          <w:rFonts w:ascii="Times New Roman" w:hAnsi="Times New Roman"/>
          <w:sz w:val="24"/>
          <w:szCs w:val="24"/>
        </w:rPr>
        <w:t>victim,</w:t>
      </w:r>
      <w:r>
        <w:rPr>
          <w:rFonts w:ascii="Times New Roman" w:hAnsi="Times New Roman"/>
          <w:sz w:val="24"/>
          <w:szCs w:val="24"/>
        </w:rPr>
        <w:t>’</w:t>
      </w:r>
      <w:proofErr w:type="gramEnd"/>
      <w:r w:rsidRPr="00DF01CF">
        <w:rPr>
          <w:rFonts w:ascii="Times New Roman" w:hAnsi="Times New Roman"/>
          <w:sz w:val="24"/>
          <w:szCs w:val="24"/>
        </w:rPr>
        <w:t xml:space="preserve"> art. I, § 16(b)(5), Fla. Const.,</w:t>
      </w:r>
      <w:r>
        <w:rPr>
          <w:rFonts w:ascii="Times New Roman" w:hAnsi="Times New Roman"/>
          <w:sz w:val="24"/>
          <w:szCs w:val="24"/>
        </w:rPr>
        <w:t xml:space="preserve"> </w:t>
      </w:r>
      <w:r w:rsidRPr="00DF01CF">
        <w:rPr>
          <w:rFonts w:ascii="Times New Roman" w:hAnsi="Times New Roman"/>
          <w:sz w:val="24"/>
          <w:szCs w:val="24"/>
        </w:rPr>
        <w:t>do not encompass the victim’s identity.</w:t>
      </w:r>
      <w:r>
        <w:rPr>
          <w:rFonts w:ascii="Times New Roman" w:hAnsi="Times New Roman"/>
          <w:sz w:val="24"/>
          <w:szCs w:val="24"/>
        </w:rPr>
        <w:t xml:space="preserve">” </w:t>
      </w:r>
      <w:hyperlink r:id="rId3024" w:history="1">
        <w:r w:rsidRPr="00E359E2">
          <w:rPr>
            <w:rStyle w:val="Hyperlink"/>
            <w:rFonts w:ascii="Times New Roman" w:hAnsi="Times New Roman"/>
            <w:sz w:val="24"/>
            <w:szCs w:val="24"/>
          </w:rPr>
          <w:t>https://supremecourt.flcourts.gov/content/download/1172655/opinion/Opinion_SC2021-0651.pdf</w:t>
        </w:r>
      </w:hyperlink>
    </w:p>
    <w:p w14:paraId="023BE753" w14:textId="77777777" w:rsidR="002B2323" w:rsidRDefault="002B2323" w:rsidP="00FD530A">
      <w:pPr>
        <w:pStyle w:val="NoSpacing"/>
        <w:rPr>
          <w:rStyle w:val="Hyperlink"/>
          <w:rFonts w:ascii="Times New Roman" w:hAnsi="Times New Roman"/>
          <w:sz w:val="24"/>
          <w:szCs w:val="24"/>
        </w:rPr>
      </w:pPr>
    </w:p>
    <w:p w14:paraId="5BBBA4D9" w14:textId="77777777" w:rsidR="002B2323" w:rsidRDefault="002B2323" w:rsidP="002B2323">
      <w:pPr>
        <w:pStyle w:val="NoSpacing"/>
        <w:rPr>
          <w:rFonts w:ascii="Times New Roman" w:hAnsi="Times New Roman"/>
          <w:b/>
          <w:bCs/>
          <w:sz w:val="24"/>
          <w:szCs w:val="24"/>
        </w:rPr>
      </w:pPr>
      <w:r w:rsidRPr="00A048D2">
        <w:rPr>
          <w:rFonts w:ascii="Times New Roman" w:hAnsi="Times New Roman"/>
          <w:b/>
          <w:bCs/>
          <w:sz w:val="24"/>
          <w:szCs w:val="24"/>
        </w:rPr>
        <w:t>Legal Lesson Learned:</w:t>
      </w:r>
      <w:r>
        <w:rPr>
          <w:rFonts w:ascii="Times New Roman" w:hAnsi="Times New Roman"/>
          <w:b/>
          <w:bCs/>
          <w:sz w:val="24"/>
          <w:szCs w:val="24"/>
        </w:rPr>
        <w:t xml:space="preserve">  Many states have enacted laws protecting from </w:t>
      </w:r>
      <w:proofErr w:type="gramStart"/>
      <w:r>
        <w:rPr>
          <w:rFonts w:ascii="Times New Roman" w:hAnsi="Times New Roman"/>
          <w:b/>
          <w:bCs/>
          <w:sz w:val="24"/>
          <w:szCs w:val="24"/>
        </w:rPr>
        <w:t>disclosure</w:t>
      </w:r>
      <w:proofErr w:type="gramEnd"/>
      <w:r>
        <w:rPr>
          <w:rFonts w:ascii="Times New Roman" w:hAnsi="Times New Roman"/>
          <w:b/>
          <w:bCs/>
          <w:sz w:val="24"/>
          <w:szCs w:val="24"/>
        </w:rPr>
        <w:t xml:space="preserve"> the home addresses of police, fire, EMS and other public officials. </w:t>
      </w:r>
    </w:p>
    <w:p w14:paraId="48B005DB" w14:textId="77777777" w:rsidR="002B2323" w:rsidRPr="007F1753" w:rsidRDefault="002B2323" w:rsidP="002B2323">
      <w:pPr>
        <w:pStyle w:val="NoSpacing"/>
        <w:rPr>
          <w:rFonts w:ascii="Times New Roman" w:hAnsi="Times New Roman"/>
          <w:sz w:val="24"/>
          <w:szCs w:val="24"/>
        </w:rPr>
      </w:pPr>
    </w:p>
    <w:p w14:paraId="23DD780E" w14:textId="77777777" w:rsidR="002B2323" w:rsidRDefault="002B2323" w:rsidP="002B2323">
      <w:pPr>
        <w:pStyle w:val="NoSpacing"/>
        <w:ind w:left="720"/>
        <w:rPr>
          <w:rFonts w:ascii="Times New Roman" w:hAnsi="Times New Roman"/>
          <w:sz w:val="24"/>
          <w:szCs w:val="24"/>
        </w:rPr>
      </w:pPr>
      <w:r w:rsidRPr="007F1753">
        <w:rPr>
          <w:rFonts w:ascii="Times New Roman" w:hAnsi="Times New Roman"/>
          <w:sz w:val="24"/>
          <w:szCs w:val="24"/>
        </w:rPr>
        <w:t xml:space="preserve">Note: </w:t>
      </w:r>
    </w:p>
    <w:p w14:paraId="02536E3B" w14:textId="77777777" w:rsidR="002B2323" w:rsidRPr="007B075D" w:rsidRDefault="002B2323" w:rsidP="002B2323">
      <w:pPr>
        <w:pStyle w:val="Heading1"/>
        <w:ind w:left="720"/>
        <w:rPr>
          <w:b w:val="0"/>
          <w:bCs w:val="0"/>
          <w:sz w:val="24"/>
          <w:szCs w:val="24"/>
        </w:rPr>
      </w:pPr>
      <w:r w:rsidRPr="007B075D">
        <w:rPr>
          <w:b w:val="0"/>
          <w:bCs w:val="0"/>
          <w:sz w:val="24"/>
          <w:szCs w:val="24"/>
        </w:rPr>
        <w:t xml:space="preserve">See article, “Florida court rules Marsy's Law doesn't apply to police; similar case pending in Ohio.” Nov. 30, 2023. </w:t>
      </w:r>
      <w:hyperlink r:id="rId3025" w:history="1">
        <w:r w:rsidRPr="007B075D">
          <w:rPr>
            <w:rStyle w:val="Hyperlink"/>
            <w:b w:val="0"/>
            <w:bCs w:val="0"/>
            <w:sz w:val="24"/>
            <w:szCs w:val="24"/>
          </w:rPr>
          <w:t>https://www.dispatch.com/story/news/courts/2023/11/30/florida-supreme-court-rules-that-marsys-law-privacy-doesnt-apply-to-police-officers/71758347007/?utm_source=columbusdispatch-dailybriefing-strada&amp;utm_medium=email&amp;utm_campaign=dailybriefing-headline-stack&amp;utm_term=Content%20List%20-%20Stacking%20-%20optimized&amp;utm_content=ncod-columbus-nletter65</w:t>
        </w:r>
      </w:hyperlink>
      <w:r w:rsidRPr="007B075D">
        <w:rPr>
          <w:b w:val="0"/>
          <w:bCs w:val="0"/>
          <w:sz w:val="24"/>
          <w:szCs w:val="24"/>
        </w:rPr>
        <w:t xml:space="preserve"> </w:t>
      </w:r>
    </w:p>
    <w:p w14:paraId="021787A6" w14:textId="77777777" w:rsidR="002B2323" w:rsidRDefault="002B2323" w:rsidP="00FD530A">
      <w:pPr>
        <w:pStyle w:val="NoSpacing"/>
        <w:rPr>
          <w:rFonts w:ascii="Arial Black" w:hAnsi="Arial Black"/>
          <w:sz w:val="24"/>
          <w:szCs w:val="24"/>
        </w:rPr>
      </w:pPr>
    </w:p>
    <w:p w14:paraId="761A89D7" w14:textId="77777777" w:rsidR="00B15008" w:rsidRDefault="00B15008" w:rsidP="000C4DF5">
      <w:pPr>
        <w:pStyle w:val="NoSpacing"/>
        <w:rPr>
          <w:rFonts w:ascii="Arial Black" w:hAnsi="Arial Black"/>
          <w:sz w:val="24"/>
          <w:szCs w:val="24"/>
        </w:rPr>
      </w:pPr>
    </w:p>
    <w:p w14:paraId="386DFF38" w14:textId="709A9A33" w:rsidR="00804F3A" w:rsidRDefault="006A02A4" w:rsidP="000C4DF5">
      <w:pPr>
        <w:pStyle w:val="NoSpacing"/>
        <w:rPr>
          <w:rFonts w:ascii="Arial Black" w:hAnsi="Arial Black"/>
          <w:sz w:val="24"/>
          <w:szCs w:val="24"/>
        </w:rPr>
      </w:pPr>
      <w:r>
        <w:rPr>
          <w:rFonts w:ascii="Arial Black" w:hAnsi="Arial Black"/>
          <w:sz w:val="24"/>
          <w:szCs w:val="24"/>
        </w:rPr>
        <w:t>18-23</w:t>
      </w:r>
    </w:p>
    <w:p w14:paraId="0DC5D690" w14:textId="77777777" w:rsidR="006A02A4" w:rsidRDefault="006A02A4" w:rsidP="000C4DF5">
      <w:pPr>
        <w:pStyle w:val="NoSpacing"/>
        <w:rPr>
          <w:rFonts w:ascii="Arial Black" w:hAnsi="Arial Black"/>
          <w:sz w:val="24"/>
          <w:szCs w:val="24"/>
        </w:rPr>
      </w:pPr>
    </w:p>
    <w:p w14:paraId="3C7A0AE0" w14:textId="77777777" w:rsidR="006A02A4" w:rsidRPr="003D49D7" w:rsidRDefault="006A02A4" w:rsidP="006A02A4">
      <w:pPr>
        <w:pStyle w:val="NoSpacing"/>
        <w:rPr>
          <w:rFonts w:ascii="Arial Black" w:hAnsi="Arial Black"/>
          <w:sz w:val="28"/>
          <w:szCs w:val="28"/>
        </w:rPr>
      </w:pPr>
      <w:r w:rsidRPr="003D49D7">
        <w:rPr>
          <w:rFonts w:ascii="Arial Black" w:hAnsi="Arial Black"/>
          <w:sz w:val="28"/>
          <w:szCs w:val="28"/>
        </w:rPr>
        <w:t xml:space="preserve">CA (4/17/2023) – NATURAL GAS PIPING – CITY OF BERKLEY </w:t>
      </w:r>
      <w:r>
        <w:rPr>
          <w:rFonts w:ascii="Arial Black" w:hAnsi="Arial Black"/>
          <w:sz w:val="28"/>
          <w:szCs w:val="28"/>
        </w:rPr>
        <w:t xml:space="preserve">ORD. </w:t>
      </w:r>
      <w:r w:rsidRPr="003D49D7">
        <w:rPr>
          <w:rFonts w:ascii="Arial Black" w:hAnsi="Arial Black"/>
          <w:sz w:val="28"/>
          <w:szCs w:val="28"/>
        </w:rPr>
        <w:t xml:space="preserve">NEW BUILDINGS STOP </w:t>
      </w:r>
      <w:r>
        <w:rPr>
          <w:rFonts w:ascii="Arial Black" w:hAnsi="Arial Black"/>
          <w:sz w:val="28"/>
          <w:szCs w:val="28"/>
        </w:rPr>
        <w:t>NATURAL GAS VIOL. FED LAW</w:t>
      </w:r>
    </w:p>
    <w:p w14:paraId="30FFFDDB" w14:textId="77777777" w:rsidR="006A02A4" w:rsidRDefault="006A02A4" w:rsidP="006A02A4">
      <w:pPr>
        <w:pStyle w:val="NoSpacing"/>
      </w:pPr>
    </w:p>
    <w:p w14:paraId="67BA8329"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California Restaurant Association v. City of Berkeley</w:t>
      </w:r>
      <w:r w:rsidRPr="003C1643">
        <w:rPr>
          <w:rFonts w:ascii="Times New Roman" w:hAnsi="Times New Roman"/>
          <w:sz w:val="24"/>
          <w:szCs w:val="24"/>
        </w:rPr>
        <w:t>, U.S. Court of Appeals for 9</w:t>
      </w:r>
      <w:r w:rsidRPr="003C1643">
        <w:rPr>
          <w:rFonts w:ascii="Times New Roman" w:hAnsi="Times New Roman"/>
          <w:sz w:val="24"/>
          <w:szCs w:val="24"/>
          <w:vertAlign w:val="superscript"/>
        </w:rPr>
        <w:t>th</w:t>
      </w:r>
      <w:r w:rsidRPr="003C1643">
        <w:rPr>
          <w:rFonts w:ascii="Times New Roman" w:hAnsi="Times New Roman"/>
          <w:sz w:val="24"/>
          <w:szCs w:val="24"/>
        </w:rPr>
        <w:t xml:space="preserve"> Circuit. </w:t>
      </w:r>
      <w:hyperlink r:id="rId3026" w:history="1">
        <w:r w:rsidRPr="003C1643">
          <w:rPr>
            <w:rStyle w:val="Hyperlink"/>
            <w:rFonts w:ascii="Times New Roman" w:hAnsi="Times New Roman"/>
            <w:sz w:val="24"/>
            <w:szCs w:val="24"/>
          </w:rPr>
          <w:t>https://cdn.ca9.uscourts.gov/datastore/opinions/2023/04/17/21-16278.pdf</w:t>
        </w:r>
      </w:hyperlink>
      <w:r w:rsidRPr="003C1643">
        <w:rPr>
          <w:rFonts w:ascii="Times New Roman" w:hAnsi="Times New Roman"/>
          <w:sz w:val="24"/>
          <w:szCs w:val="24"/>
        </w:rPr>
        <w:t xml:space="preserve"> </w:t>
      </w:r>
    </w:p>
    <w:p w14:paraId="15035900" w14:textId="77777777" w:rsidR="006A02A4" w:rsidRDefault="006A02A4" w:rsidP="000C4DF5">
      <w:pPr>
        <w:pStyle w:val="NoSpacing"/>
        <w:rPr>
          <w:rFonts w:ascii="Arial Black" w:hAnsi="Arial Black"/>
          <w:sz w:val="24"/>
          <w:szCs w:val="24"/>
        </w:rPr>
      </w:pPr>
    </w:p>
    <w:p w14:paraId="3084C9F6" w14:textId="7144B190" w:rsidR="0012739E" w:rsidRDefault="0012739E" w:rsidP="000C4DF5">
      <w:pPr>
        <w:pStyle w:val="NoSpacing"/>
        <w:rPr>
          <w:rFonts w:ascii="Times New Roman" w:hAnsi="Times New Roman"/>
          <w:b/>
          <w:bCs/>
          <w:sz w:val="24"/>
          <w:szCs w:val="24"/>
        </w:rPr>
      </w:pPr>
      <w:r w:rsidRPr="003C1643">
        <w:rPr>
          <w:rFonts w:ascii="Times New Roman" w:hAnsi="Times New Roman"/>
          <w:b/>
          <w:bCs/>
          <w:sz w:val="24"/>
          <w:szCs w:val="24"/>
        </w:rPr>
        <w:t>Legal Lesson Learned: Federal statute pre</w:t>
      </w:r>
      <w:r>
        <w:rPr>
          <w:rFonts w:ascii="Times New Roman" w:hAnsi="Times New Roman"/>
          <w:b/>
          <w:bCs/>
          <w:sz w:val="24"/>
          <w:szCs w:val="24"/>
        </w:rPr>
        <w:t>emption of</w:t>
      </w:r>
      <w:r w:rsidRPr="003C1643">
        <w:rPr>
          <w:rFonts w:ascii="Times New Roman" w:hAnsi="Times New Roman"/>
          <w:b/>
          <w:bCs/>
          <w:sz w:val="24"/>
          <w:szCs w:val="24"/>
        </w:rPr>
        <w:t xml:space="preserve"> City of Berkeley </w:t>
      </w:r>
      <w:r>
        <w:rPr>
          <w:rFonts w:ascii="Times New Roman" w:hAnsi="Times New Roman"/>
          <w:b/>
          <w:bCs/>
          <w:sz w:val="24"/>
          <w:szCs w:val="24"/>
        </w:rPr>
        <w:t>ordinance.</w:t>
      </w:r>
    </w:p>
    <w:p w14:paraId="217BD654" w14:textId="77777777" w:rsidR="0012739E" w:rsidRDefault="0012739E" w:rsidP="000C4DF5">
      <w:pPr>
        <w:pStyle w:val="NoSpacing"/>
        <w:rPr>
          <w:rFonts w:ascii="Times New Roman" w:hAnsi="Times New Roman"/>
          <w:b/>
          <w:bCs/>
          <w:sz w:val="24"/>
          <w:szCs w:val="24"/>
        </w:rPr>
      </w:pPr>
    </w:p>
    <w:p w14:paraId="161B0551" w14:textId="77777777" w:rsidR="0012739E" w:rsidRDefault="0012739E" w:rsidP="000C4DF5">
      <w:pPr>
        <w:pStyle w:val="NoSpacing"/>
        <w:rPr>
          <w:rFonts w:ascii="Times New Roman" w:hAnsi="Times New Roman"/>
          <w:b/>
          <w:bCs/>
          <w:sz w:val="24"/>
          <w:szCs w:val="24"/>
        </w:rPr>
      </w:pPr>
    </w:p>
    <w:p w14:paraId="2F9E4F87" w14:textId="7A9F113C" w:rsidR="0012739E" w:rsidRPr="0012739E" w:rsidRDefault="0012739E" w:rsidP="000C4DF5">
      <w:pPr>
        <w:pStyle w:val="NoSpacing"/>
        <w:rPr>
          <w:rFonts w:ascii="Arial Black" w:hAnsi="Arial Black"/>
          <w:b/>
          <w:bCs/>
          <w:sz w:val="24"/>
          <w:szCs w:val="24"/>
        </w:rPr>
      </w:pPr>
      <w:r w:rsidRPr="0012739E">
        <w:rPr>
          <w:rFonts w:ascii="Arial Black" w:hAnsi="Arial Black"/>
          <w:b/>
          <w:bCs/>
          <w:sz w:val="24"/>
          <w:szCs w:val="24"/>
        </w:rPr>
        <w:t>18-22</w:t>
      </w:r>
    </w:p>
    <w:p w14:paraId="1B4C2F75" w14:textId="77777777" w:rsidR="0012739E" w:rsidRDefault="0012739E" w:rsidP="000C4DF5">
      <w:pPr>
        <w:pStyle w:val="NoSpacing"/>
        <w:rPr>
          <w:rFonts w:ascii="Times New Roman" w:hAnsi="Times New Roman"/>
          <w:b/>
          <w:bCs/>
          <w:sz w:val="24"/>
          <w:szCs w:val="24"/>
        </w:rPr>
      </w:pPr>
    </w:p>
    <w:p w14:paraId="04F629B2" w14:textId="77777777" w:rsidR="0012739E" w:rsidRPr="0097436D" w:rsidRDefault="0012739E" w:rsidP="0012739E">
      <w:pPr>
        <w:pStyle w:val="NoSpacing"/>
        <w:rPr>
          <w:rFonts w:ascii="Arial Black" w:hAnsi="Arial Black"/>
          <w:sz w:val="28"/>
          <w:szCs w:val="28"/>
        </w:rPr>
      </w:pPr>
      <w:r w:rsidRPr="0097436D">
        <w:rPr>
          <w:rFonts w:ascii="Arial Black" w:hAnsi="Arial Black"/>
          <w:sz w:val="28"/>
          <w:szCs w:val="28"/>
        </w:rPr>
        <w:t>OH (4/6/2023) – VICTIM RIGHTS</w:t>
      </w:r>
      <w:r>
        <w:rPr>
          <w:rFonts w:ascii="Arial Black" w:hAnsi="Arial Black"/>
          <w:sz w:val="28"/>
          <w:szCs w:val="28"/>
        </w:rPr>
        <w:t xml:space="preserve"> </w:t>
      </w:r>
      <w:r w:rsidRPr="0097436D">
        <w:rPr>
          <w:rFonts w:ascii="Arial Black" w:hAnsi="Arial Black"/>
          <w:sz w:val="28"/>
          <w:szCs w:val="28"/>
        </w:rPr>
        <w:t>- HOUSE BILL 343 – NAMES / ADDRESSES NOT PUBLIC – NEW FORM FOR PD</w:t>
      </w:r>
      <w:r>
        <w:rPr>
          <w:rFonts w:ascii="Arial Black" w:hAnsi="Arial Black"/>
          <w:sz w:val="28"/>
          <w:szCs w:val="28"/>
        </w:rPr>
        <w:t xml:space="preserve"> TO USE</w:t>
      </w:r>
    </w:p>
    <w:p w14:paraId="72AA3447" w14:textId="77777777" w:rsidR="0012739E" w:rsidRPr="003C1643" w:rsidRDefault="0012739E" w:rsidP="0012739E">
      <w:pPr>
        <w:pStyle w:val="NoSpacing"/>
        <w:rPr>
          <w:rStyle w:val="markedcontent"/>
          <w:rFonts w:ascii="Times New Roman" w:hAnsi="Times New Roman"/>
          <w:sz w:val="24"/>
          <w:szCs w:val="24"/>
        </w:rPr>
      </w:pPr>
      <w:r w:rsidRPr="003C1643">
        <w:rPr>
          <w:rStyle w:val="markedcontent"/>
          <w:rFonts w:ascii="Times New Roman" w:hAnsi="Times New Roman"/>
          <w:sz w:val="24"/>
          <w:szCs w:val="24"/>
        </w:rPr>
        <w:t>“Entitles a victim and victim’s representative to be present during any public proceeding,</w:t>
      </w:r>
      <w:r w:rsidRPr="003C1643">
        <w:rPr>
          <w:rFonts w:ascii="Times New Roman" w:hAnsi="Times New Roman"/>
          <w:sz w:val="24"/>
          <w:szCs w:val="24"/>
        </w:rPr>
        <w:br/>
      </w:r>
      <w:r w:rsidRPr="003C1643">
        <w:rPr>
          <w:rStyle w:val="markedcontent"/>
          <w:rFonts w:ascii="Times New Roman" w:hAnsi="Times New Roman"/>
          <w:sz w:val="24"/>
          <w:szCs w:val="24"/>
        </w:rPr>
        <w:t>other than a grand jury proceeding, and grants the victim, victim’s representative, and</w:t>
      </w:r>
      <w:r w:rsidRPr="003C1643">
        <w:rPr>
          <w:rFonts w:ascii="Times New Roman" w:hAnsi="Times New Roman"/>
          <w:sz w:val="24"/>
          <w:szCs w:val="24"/>
        </w:rPr>
        <w:br/>
      </w:r>
      <w:r w:rsidRPr="003C1643">
        <w:rPr>
          <w:rStyle w:val="markedcontent"/>
          <w:rFonts w:ascii="Times New Roman" w:hAnsi="Times New Roman"/>
          <w:sz w:val="24"/>
          <w:szCs w:val="24"/>
        </w:rPr>
        <w:t>victim’s attorney the right to be heard by the court at any proceeding in which any right</w:t>
      </w:r>
      <w:r w:rsidRPr="003C1643">
        <w:rPr>
          <w:rFonts w:ascii="Times New Roman" w:hAnsi="Times New Roman"/>
          <w:sz w:val="24"/>
          <w:szCs w:val="24"/>
        </w:rPr>
        <w:br/>
      </w:r>
      <w:r w:rsidRPr="003C1643">
        <w:rPr>
          <w:rStyle w:val="markedcontent"/>
          <w:rFonts w:ascii="Times New Roman" w:hAnsi="Times New Roman"/>
          <w:sz w:val="24"/>
          <w:szCs w:val="24"/>
        </w:rPr>
        <w:t xml:space="preserve">of the victim is implicated. *** Requires that a victim’s name and identifying information be documented on a separate page in law enforcement records and court filings, which is not a public record. ***Requires the Supreme Court to create the victim’s rights request form. </w:t>
      </w:r>
      <w:hyperlink r:id="rId3027" w:history="1">
        <w:r w:rsidRPr="003C1643">
          <w:rPr>
            <w:rStyle w:val="Hyperlink"/>
            <w:rFonts w:ascii="Times New Roman" w:hAnsi="Times New Roman"/>
            <w:sz w:val="24"/>
            <w:szCs w:val="24"/>
          </w:rPr>
          <w:t>https://www.legislature.ohio.gov/download?key=20348&amp;format=pdf</w:t>
        </w:r>
      </w:hyperlink>
      <w:r w:rsidRPr="003C1643">
        <w:rPr>
          <w:rStyle w:val="markedcontent"/>
          <w:rFonts w:ascii="Times New Roman" w:hAnsi="Times New Roman"/>
          <w:sz w:val="24"/>
          <w:szCs w:val="24"/>
        </w:rPr>
        <w:t>.</w:t>
      </w:r>
    </w:p>
    <w:p w14:paraId="06A484DA" w14:textId="77777777" w:rsidR="0012739E" w:rsidRPr="003C1643" w:rsidRDefault="0012739E" w:rsidP="0012739E">
      <w:pPr>
        <w:pStyle w:val="NoSpacing"/>
        <w:rPr>
          <w:rStyle w:val="markedcontent"/>
          <w:rFonts w:ascii="Times New Roman" w:hAnsi="Times New Roman"/>
          <w:sz w:val="24"/>
          <w:szCs w:val="24"/>
        </w:rPr>
      </w:pPr>
    </w:p>
    <w:p w14:paraId="708958D0" w14:textId="77777777" w:rsidR="0012739E" w:rsidRPr="003C1643" w:rsidRDefault="0012739E" w:rsidP="0012739E">
      <w:pPr>
        <w:pStyle w:val="NoSpacing"/>
        <w:rPr>
          <w:rStyle w:val="markedcontent"/>
          <w:rFonts w:ascii="Times New Roman" w:hAnsi="Times New Roman"/>
          <w:b/>
          <w:bCs/>
          <w:sz w:val="24"/>
          <w:szCs w:val="24"/>
        </w:rPr>
      </w:pPr>
      <w:r w:rsidRPr="003C1643">
        <w:rPr>
          <w:rStyle w:val="markedcontent"/>
          <w:rFonts w:ascii="Times New Roman" w:hAnsi="Times New Roman"/>
          <w:b/>
          <w:bCs/>
          <w:sz w:val="24"/>
          <w:szCs w:val="24"/>
        </w:rPr>
        <w:t xml:space="preserve">Legal Lesson Learned: Ohio </w:t>
      </w:r>
      <w:proofErr w:type="gramStart"/>
      <w:r w:rsidRPr="003C1643">
        <w:rPr>
          <w:rStyle w:val="markedcontent"/>
          <w:rFonts w:ascii="Times New Roman" w:hAnsi="Times New Roman"/>
          <w:b/>
          <w:bCs/>
          <w:sz w:val="24"/>
          <w:szCs w:val="24"/>
        </w:rPr>
        <w:t>fire</w:t>
      </w:r>
      <w:proofErr w:type="gramEnd"/>
      <w:r w:rsidRPr="003C1643">
        <w:rPr>
          <w:rStyle w:val="markedcontent"/>
          <w:rFonts w:ascii="Times New Roman" w:hAnsi="Times New Roman"/>
          <w:b/>
          <w:bCs/>
          <w:sz w:val="24"/>
          <w:szCs w:val="24"/>
        </w:rPr>
        <w:t xml:space="preserve"> and EMS will deal with crime victims; </w:t>
      </w:r>
      <w:proofErr w:type="gramStart"/>
      <w:r w:rsidRPr="003C1643">
        <w:rPr>
          <w:rStyle w:val="markedcontent"/>
          <w:rFonts w:ascii="Times New Roman" w:hAnsi="Times New Roman"/>
          <w:b/>
          <w:bCs/>
          <w:sz w:val="24"/>
          <w:szCs w:val="24"/>
        </w:rPr>
        <w:t>important</w:t>
      </w:r>
      <w:proofErr w:type="gramEnd"/>
      <w:r w:rsidRPr="003C1643">
        <w:rPr>
          <w:rStyle w:val="markedcontent"/>
          <w:rFonts w:ascii="Times New Roman" w:hAnsi="Times New Roman"/>
          <w:b/>
          <w:bCs/>
          <w:sz w:val="24"/>
          <w:szCs w:val="24"/>
        </w:rPr>
        <w:t xml:space="preserve"> that they understand rights of the victims in the criminal system. </w:t>
      </w:r>
    </w:p>
    <w:p w14:paraId="6021178D" w14:textId="77777777" w:rsidR="0012739E" w:rsidRPr="003C1643" w:rsidRDefault="0012739E" w:rsidP="0012739E">
      <w:pPr>
        <w:pStyle w:val="NoSpacing"/>
        <w:rPr>
          <w:rStyle w:val="markedcontent"/>
          <w:rFonts w:ascii="Times New Roman" w:hAnsi="Times New Roman"/>
          <w:sz w:val="24"/>
          <w:szCs w:val="24"/>
        </w:rPr>
      </w:pPr>
    </w:p>
    <w:p w14:paraId="70915CF4" w14:textId="77777777" w:rsidR="0012739E" w:rsidRPr="003C1643" w:rsidRDefault="0012739E" w:rsidP="0012739E">
      <w:pPr>
        <w:pStyle w:val="NoSpacing"/>
        <w:ind w:left="720"/>
        <w:rPr>
          <w:rStyle w:val="markedcontent"/>
          <w:rFonts w:ascii="Times New Roman" w:hAnsi="Times New Roman"/>
          <w:sz w:val="24"/>
          <w:szCs w:val="24"/>
        </w:rPr>
      </w:pPr>
      <w:r w:rsidRPr="003C1643">
        <w:rPr>
          <w:rStyle w:val="markedcontent"/>
          <w:rFonts w:ascii="Times New Roman" w:hAnsi="Times New Roman"/>
          <w:sz w:val="24"/>
          <w:szCs w:val="24"/>
        </w:rPr>
        <w:t xml:space="preserve">Note:  See the new form to be used by PD: </w:t>
      </w:r>
      <w:hyperlink r:id="rId3028" w:history="1">
        <w:r w:rsidRPr="003C1643">
          <w:rPr>
            <w:rStyle w:val="Hyperlink"/>
            <w:rFonts w:ascii="Times New Roman" w:hAnsi="Times New Roman"/>
            <w:sz w:val="24"/>
            <w:szCs w:val="24"/>
          </w:rPr>
          <w:t>https://www.supremecourt.ohio.gov/marsy-s-law-and-crime-victim-rights/</w:t>
        </w:r>
      </w:hyperlink>
      <w:r w:rsidRPr="003C1643">
        <w:rPr>
          <w:rStyle w:val="markedcontent"/>
          <w:rFonts w:ascii="Times New Roman" w:hAnsi="Times New Roman"/>
          <w:sz w:val="24"/>
          <w:szCs w:val="24"/>
        </w:rPr>
        <w:t xml:space="preserve"> . </w:t>
      </w:r>
    </w:p>
    <w:p w14:paraId="13A7E997" w14:textId="77777777" w:rsidR="0012739E" w:rsidRPr="003C1643" w:rsidRDefault="0012739E" w:rsidP="0012739E">
      <w:pPr>
        <w:pStyle w:val="NoSpacing"/>
        <w:ind w:left="720"/>
        <w:rPr>
          <w:rStyle w:val="markedcontent"/>
          <w:rFonts w:ascii="Times New Roman" w:hAnsi="Times New Roman"/>
          <w:sz w:val="24"/>
          <w:szCs w:val="24"/>
        </w:rPr>
      </w:pPr>
    </w:p>
    <w:p w14:paraId="31009E85" w14:textId="77777777" w:rsidR="0012739E" w:rsidRDefault="0012739E" w:rsidP="000C4DF5">
      <w:pPr>
        <w:pStyle w:val="NoSpacing"/>
        <w:rPr>
          <w:rFonts w:ascii="Arial Black" w:hAnsi="Arial Black"/>
          <w:sz w:val="24"/>
          <w:szCs w:val="24"/>
        </w:rPr>
      </w:pPr>
    </w:p>
    <w:p w14:paraId="60092C3A" w14:textId="77777777" w:rsidR="006A02A4" w:rsidRDefault="006A02A4" w:rsidP="000C4DF5">
      <w:pPr>
        <w:pStyle w:val="NoSpacing"/>
        <w:rPr>
          <w:rFonts w:ascii="Arial Black" w:hAnsi="Arial Black"/>
          <w:sz w:val="24"/>
          <w:szCs w:val="24"/>
        </w:rPr>
      </w:pPr>
    </w:p>
    <w:p w14:paraId="251D368F" w14:textId="77777777" w:rsidR="006A02A4" w:rsidRDefault="006A02A4" w:rsidP="000C4DF5">
      <w:pPr>
        <w:pStyle w:val="NoSpacing"/>
        <w:rPr>
          <w:rFonts w:ascii="Arial Black" w:hAnsi="Arial Black"/>
          <w:sz w:val="24"/>
          <w:szCs w:val="24"/>
        </w:rPr>
      </w:pPr>
    </w:p>
    <w:p w14:paraId="5CEA81E4" w14:textId="5AF28676" w:rsidR="00804F3A" w:rsidRDefault="00804F3A" w:rsidP="000C4DF5">
      <w:pPr>
        <w:pStyle w:val="NoSpacing"/>
        <w:rPr>
          <w:rFonts w:ascii="Arial Black" w:hAnsi="Arial Black"/>
          <w:sz w:val="24"/>
          <w:szCs w:val="24"/>
        </w:rPr>
      </w:pPr>
      <w:r>
        <w:rPr>
          <w:rFonts w:ascii="Arial Black" w:hAnsi="Arial Black"/>
          <w:sz w:val="24"/>
          <w:szCs w:val="24"/>
        </w:rPr>
        <w:t>18-2</w:t>
      </w:r>
      <w:r w:rsidR="00465DC0">
        <w:rPr>
          <w:rFonts w:ascii="Arial Black" w:hAnsi="Arial Black"/>
          <w:sz w:val="24"/>
          <w:szCs w:val="24"/>
        </w:rPr>
        <w:t>1</w:t>
      </w:r>
    </w:p>
    <w:p w14:paraId="666748B9" w14:textId="77777777" w:rsidR="00804F3A" w:rsidRDefault="00804F3A" w:rsidP="00804F3A">
      <w:pPr>
        <w:pStyle w:val="NormalWeb"/>
        <w:rPr>
          <w:rStyle w:val="markedcontent"/>
          <w:rFonts w:ascii="Arial Black" w:hAnsi="Arial Black"/>
          <w:sz w:val="28"/>
          <w:szCs w:val="28"/>
        </w:rPr>
      </w:pPr>
      <w:r>
        <w:rPr>
          <w:rStyle w:val="markedcontent"/>
          <w:rFonts w:ascii="Arial Black" w:hAnsi="Arial Black"/>
          <w:sz w:val="28"/>
          <w:szCs w:val="28"/>
        </w:rPr>
        <w:t>FL: OVARIAN CANCER IN 2017 - FIVE YEARS AFTER HER RETIREMENT – NEW CANCER LAW 2019 NOT RETROACTIVE</w:t>
      </w:r>
    </w:p>
    <w:p w14:paraId="235DBC52" w14:textId="77777777" w:rsidR="00804F3A" w:rsidRDefault="00804F3A" w:rsidP="00804F3A">
      <w:pPr>
        <w:pStyle w:val="NormalWeb"/>
        <w:rPr>
          <w:rStyle w:val="markedcontent"/>
        </w:rPr>
      </w:pPr>
      <w:r>
        <w:rPr>
          <w:rStyle w:val="markedcontent"/>
        </w:rPr>
        <w:t xml:space="preserve">On Oct. 21, 2022, in </w:t>
      </w:r>
      <w:r w:rsidRPr="00AC460C">
        <w:rPr>
          <w:rStyle w:val="markedcontent"/>
        </w:rPr>
        <w:t>Kathleen Weaver v. Volusia County, Florida</w:t>
      </w:r>
      <w:r>
        <w:rPr>
          <w:rStyle w:val="markedcontent"/>
        </w:rPr>
        <w:t xml:space="preserve">, the Florida Court of Appeals, Fifth District, held (3 to 0) that the trial court properly held (3 to 0) that the new statute is not retroactive.  When she learned of her cancer in 2017 her only remedy was a workers’ comp claim, which would have required her to prove the cancer was caused by her job.  She didn’t file such a claim and cannot now benefit from the new law creating a presumption that it was caused by the job.  </w:t>
      </w:r>
    </w:p>
    <w:p w14:paraId="018EC7F8" w14:textId="2B4F83A7" w:rsidR="00804F3A" w:rsidRDefault="00804F3A" w:rsidP="00FD581A">
      <w:pPr>
        <w:pStyle w:val="NoSpacing"/>
        <w:ind w:left="720"/>
        <w:rPr>
          <w:rStyle w:val="Hyperlink"/>
          <w:rFonts w:eastAsiaTheme="majorEastAsia"/>
        </w:rPr>
      </w:pPr>
      <w:r w:rsidRPr="00FD581A">
        <w:rPr>
          <w:rStyle w:val="markedcontent"/>
          <w:rFonts w:ascii="Times New Roman" w:hAnsi="Times New Roman"/>
          <w:sz w:val="24"/>
          <w:szCs w:val="24"/>
        </w:rPr>
        <w:t xml:space="preserve">“As a substantive law, section 112.1816 is presumed to apply prospectively unless the text ‘provides for retroactive application,’ and ‘such application is constitutionally permissible.’… For these reasons, we find that section 112.1816 is not retroactive and, thus, </w:t>
      </w:r>
      <w:proofErr w:type="gramStart"/>
      <w:r w:rsidRPr="00FD581A">
        <w:rPr>
          <w:rStyle w:val="markedcontent"/>
          <w:rFonts w:ascii="Times New Roman" w:hAnsi="Times New Roman"/>
          <w:sz w:val="24"/>
          <w:szCs w:val="24"/>
        </w:rPr>
        <w:t>affirm</w:t>
      </w:r>
      <w:proofErr w:type="gramEnd"/>
      <w:r w:rsidRPr="00FD581A">
        <w:rPr>
          <w:rStyle w:val="markedcontent"/>
          <w:rFonts w:ascii="Times New Roman" w:hAnsi="Times New Roman"/>
          <w:sz w:val="24"/>
          <w:szCs w:val="24"/>
        </w:rPr>
        <w:t xml:space="preserve"> </w:t>
      </w:r>
      <w:proofErr w:type="gramStart"/>
      <w:r w:rsidRPr="00FD581A">
        <w:rPr>
          <w:rStyle w:val="markedcontent"/>
          <w:rFonts w:ascii="Times New Roman" w:hAnsi="Times New Roman"/>
          <w:sz w:val="24"/>
          <w:szCs w:val="24"/>
        </w:rPr>
        <w:t>the trial</w:t>
      </w:r>
      <w:proofErr w:type="gramEnd"/>
      <w:r w:rsidRPr="00FD581A">
        <w:rPr>
          <w:rStyle w:val="markedcontent"/>
          <w:rFonts w:ascii="Times New Roman" w:hAnsi="Times New Roman"/>
          <w:sz w:val="24"/>
          <w:szCs w:val="24"/>
        </w:rPr>
        <w:t xml:space="preserve"> court’s order granting the County summary </w:t>
      </w:r>
      <w:proofErr w:type="gramStart"/>
      <w:r w:rsidRPr="00FD581A">
        <w:rPr>
          <w:rStyle w:val="markedcontent"/>
          <w:rFonts w:ascii="Times New Roman" w:hAnsi="Times New Roman"/>
          <w:sz w:val="24"/>
          <w:szCs w:val="24"/>
        </w:rPr>
        <w:t>judgment.”</w:t>
      </w:r>
      <w:proofErr w:type="gramEnd"/>
      <w:r>
        <w:rPr>
          <w:rStyle w:val="markedcontent"/>
        </w:rPr>
        <w:t xml:space="preserve"> </w:t>
      </w:r>
      <w:hyperlink r:id="rId3029" w:history="1">
        <w:r w:rsidRPr="007662E8">
          <w:rPr>
            <w:rStyle w:val="Hyperlink"/>
            <w:rFonts w:eastAsiaTheme="majorEastAsia"/>
          </w:rPr>
          <w:t>https://cases.justia.com/florida/fifth-district-court-of-appeal/2022-5d21-1620.pdf?ts=1666365198</w:t>
        </w:r>
      </w:hyperlink>
    </w:p>
    <w:p w14:paraId="247A75C9" w14:textId="09056AE0" w:rsidR="00804F3A" w:rsidRDefault="00804F3A" w:rsidP="00804F3A">
      <w:pPr>
        <w:pStyle w:val="NoSpacing"/>
        <w:rPr>
          <w:rStyle w:val="Hyperlink"/>
          <w:rFonts w:eastAsiaTheme="majorEastAsia"/>
        </w:rPr>
      </w:pPr>
    </w:p>
    <w:p w14:paraId="0639EC7B" w14:textId="77777777" w:rsidR="00804F3A" w:rsidRDefault="00804F3A" w:rsidP="00804F3A">
      <w:pPr>
        <w:pStyle w:val="NormalWeb"/>
        <w:rPr>
          <w:rStyle w:val="markedcontent"/>
          <w:b/>
          <w:bCs/>
        </w:rPr>
      </w:pPr>
      <w:r w:rsidRPr="00AC460C">
        <w:rPr>
          <w:rStyle w:val="markedcontent"/>
          <w:b/>
          <w:bCs/>
        </w:rPr>
        <w:t>Legal Lesson Learned:</w:t>
      </w:r>
      <w:r>
        <w:rPr>
          <w:rStyle w:val="markedcontent"/>
          <w:b/>
          <w:bCs/>
        </w:rPr>
        <w:t xml:space="preserve"> Firefighter cancer law very helpful; but State legislature did not make it retroactive. </w:t>
      </w:r>
    </w:p>
    <w:p w14:paraId="7C36102D" w14:textId="40741EDF" w:rsidR="00804F3A" w:rsidRDefault="00465DC0" w:rsidP="000C4DF5">
      <w:pPr>
        <w:pStyle w:val="NoSpacing"/>
        <w:rPr>
          <w:rFonts w:ascii="Arial Black" w:hAnsi="Arial Black"/>
          <w:sz w:val="24"/>
          <w:szCs w:val="24"/>
        </w:rPr>
      </w:pPr>
      <w:r>
        <w:rPr>
          <w:rFonts w:ascii="Arial Black" w:hAnsi="Arial Black"/>
          <w:sz w:val="24"/>
          <w:szCs w:val="24"/>
        </w:rPr>
        <w:t>18-20</w:t>
      </w:r>
    </w:p>
    <w:p w14:paraId="115FD39E" w14:textId="77777777" w:rsidR="00465DC0" w:rsidRPr="00BE4A62" w:rsidRDefault="00465DC0" w:rsidP="00465DC0">
      <w:pPr>
        <w:rPr>
          <w:rStyle w:val="markedcontent"/>
          <w:rFonts w:ascii="Arial Black" w:hAnsi="Arial Black"/>
          <w:b/>
          <w:bCs/>
          <w:sz w:val="28"/>
          <w:szCs w:val="28"/>
        </w:rPr>
      </w:pPr>
      <w:bookmarkStart w:id="655" w:name="_Hlk127705813"/>
      <w:r>
        <w:rPr>
          <w:rStyle w:val="markedcontent"/>
          <w:rFonts w:ascii="Arial Black" w:hAnsi="Arial Black"/>
          <w:b/>
          <w:bCs/>
          <w:sz w:val="28"/>
          <w:szCs w:val="28"/>
        </w:rPr>
        <w:t xml:space="preserve">OH: OHIO PUBLIC RECORDS ACT - DISPATCHER RESIDENCE / FAMILY INFO EXEMPTED FROM DISCLOSURE </w:t>
      </w:r>
    </w:p>
    <w:p w14:paraId="24462087" w14:textId="77777777" w:rsidR="00465DC0" w:rsidRPr="007C0020" w:rsidRDefault="00465DC0" w:rsidP="00465DC0">
      <w:pPr>
        <w:rPr>
          <w:rFonts w:ascii="Times New Roman" w:hAnsi="Times New Roman"/>
          <w:sz w:val="24"/>
          <w:szCs w:val="24"/>
        </w:rPr>
      </w:pPr>
      <w:r w:rsidRPr="007818B5">
        <w:rPr>
          <w:rFonts w:ascii="Times New Roman" w:hAnsi="Times New Roman"/>
          <w:sz w:val="24"/>
          <w:szCs w:val="24"/>
        </w:rPr>
        <w:t>On June 13, 2022, Governor Mike DeWine signed House Bill 99</w:t>
      </w:r>
      <w:r>
        <w:rPr>
          <w:rFonts w:ascii="Times New Roman" w:hAnsi="Times New Roman"/>
          <w:sz w:val="24"/>
          <w:szCs w:val="24"/>
        </w:rPr>
        <w:t xml:space="preserve">, allowing teachers to carry firearms.  In addition, the </w:t>
      </w:r>
      <w:r>
        <w:rPr>
          <w:rStyle w:val="markedcontent"/>
          <w:rFonts w:ascii="Times New Roman" w:hAnsi="Times New Roman"/>
          <w:sz w:val="24"/>
          <w:szCs w:val="24"/>
        </w:rPr>
        <w:t xml:space="preserve">Bill also expanded the list </w:t>
      </w:r>
      <w:r w:rsidRPr="00DF5D1F">
        <w:rPr>
          <w:rFonts w:ascii="Times New Roman" w:hAnsi="Times New Roman"/>
          <w:sz w:val="24"/>
          <w:szCs w:val="24"/>
        </w:rPr>
        <w:t>“public service workers</w:t>
      </w:r>
      <w:r>
        <w:rPr>
          <w:rFonts w:ascii="Times New Roman" w:hAnsi="Times New Roman"/>
          <w:sz w:val="24"/>
          <w:szCs w:val="24"/>
        </w:rPr>
        <w:t>” whose home addresses and other family information is exempt from release under Ohio Public Records law, including “t</w:t>
      </w:r>
      <w:r w:rsidRPr="007C0020">
        <w:rPr>
          <w:rFonts w:ascii="Times New Roman" w:hAnsi="Times New Roman"/>
          <w:sz w:val="24"/>
          <w:szCs w:val="24"/>
        </w:rPr>
        <w:t>he name, the residential address, the name of the employer, the address of the employer, the social security number, the residential telephone number, any bank account, debit card, charge card, or credit card number, or the emergency telephone number of the spouse, a former spouse, or any child of a designated public service worker</w:t>
      </w:r>
      <w:r>
        <w:rPr>
          <w:rFonts w:ascii="Times New Roman" w:hAnsi="Times New Roman"/>
          <w:sz w:val="24"/>
          <w:szCs w:val="24"/>
        </w:rPr>
        <w:t>.  Ohio Revised Code 149.43(A)(8)(f).</w:t>
      </w:r>
    </w:p>
    <w:p w14:paraId="315AA380" w14:textId="77777777" w:rsidR="00465DC0" w:rsidRDefault="00465DC0" w:rsidP="00465DC0">
      <w:pPr>
        <w:ind w:left="720"/>
        <w:rPr>
          <w:rFonts w:ascii="Times New Roman" w:hAnsi="Times New Roman"/>
          <w:sz w:val="24"/>
          <w:szCs w:val="24"/>
        </w:rPr>
      </w:pPr>
      <w:r w:rsidRPr="00DF5D1F">
        <w:rPr>
          <w:rFonts w:ascii="Times New Roman" w:hAnsi="Times New Roman"/>
          <w:sz w:val="24"/>
          <w:szCs w:val="24"/>
        </w:rPr>
        <w:t>The exemption now includes dispatchers (“emergency service telecommunicators”) and Ohio National Guard members, protective services workers, forensic mental health providers, mental health evaluation providers, and regional psychiatric hospital employees.</w:t>
      </w:r>
      <w:r>
        <w:rPr>
          <w:rFonts w:ascii="Times New Roman" w:hAnsi="Times New Roman"/>
          <w:sz w:val="24"/>
          <w:szCs w:val="24"/>
        </w:rPr>
        <w:t xml:space="preserve"> See Ohio Revised Code 149.43(A)(7):  </w:t>
      </w:r>
    </w:p>
    <w:p w14:paraId="7D3F31C6" w14:textId="77777777" w:rsidR="00465DC0" w:rsidRDefault="00465DC0" w:rsidP="00465DC0">
      <w:pPr>
        <w:ind w:left="1440"/>
        <w:rPr>
          <w:rFonts w:ascii="Times New Roman" w:hAnsi="Times New Roman"/>
          <w:sz w:val="24"/>
          <w:szCs w:val="24"/>
        </w:rPr>
      </w:pPr>
      <w:r w:rsidRPr="007C0020">
        <w:rPr>
          <w:rFonts w:ascii="Times New Roman" w:hAnsi="Times New Roman"/>
          <w:sz w:val="24"/>
          <w:szCs w:val="24"/>
        </w:rPr>
        <w:t>(7) "Designated public service worker" means a peace officer, parole officer, probation officer, bailiff, prosecuting attorney, assistant prosecuting attorney, correctional employee, county or multicounty corrections officer, community-based correctional facility employee, designated Ohio national guard member, protective services worker, youth services employee, firefighter, EMT, medical director or member of a cooperating physician advisory board of an emergency medical service organization, state board of pharmacy employee, investigator of the bureau of criminal identification and investigation, emergency service telecommunicator, forensic mental health provider, mental health evaluation provider, regional psychiatric hospital employee, judge, magistrate, or federal law enforcement officer.</w:t>
      </w:r>
      <w:r>
        <w:rPr>
          <w:rFonts w:ascii="Times New Roman" w:hAnsi="Times New Roman"/>
          <w:sz w:val="24"/>
          <w:szCs w:val="24"/>
        </w:rPr>
        <w:t xml:space="preserve"> </w:t>
      </w:r>
      <w:hyperlink r:id="rId3030" w:history="1">
        <w:r w:rsidRPr="006169C4">
          <w:rPr>
            <w:rStyle w:val="Hyperlink"/>
            <w:rFonts w:ascii="Times New Roman" w:hAnsi="Times New Roman"/>
            <w:sz w:val="24"/>
            <w:szCs w:val="24"/>
          </w:rPr>
          <w:t>https://codes.ohio.gov/ohio-revised-code/section-149.43</w:t>
        </w:r>
      </w:hyperlink>
      <w:r>
        <w:rPr>
          <w:rFonts w:ascii="Times New Roman" w:hAnsi="Times New Roman"/>
          <w:sz w:val="24"/>
          <w:szCs w:val="24"/>
        </w:rPr>
        <w:t xml:space="preserve"> </w:t>
      </w:r>
    </w:p>
    <w:p w14:paraId="7C6575AF" w14:textId="77777777" w:rsidR="00465DC0" w:rsidRPr="00E17E11" w:rsidRDefault="00465DC0" w:rsidP="00465DC0">
      <w:pPr>
        <w:rPr>
          <w:rFonts w:ascii="Times New Roman" w:hAnsi="Times New Roman"/>
          <w:b/>
          <w:bCs/>
          <w:sz w:val="24"/>
          <w:szCs w:val="24"/>
        </w:rPr>
      </w:pPr>
      <w:r w:rsidRPr="00E17E11">
        <w:rPr>
          <w:rFonts w:ascii="Times New Roman" w:hAnsi="Times New Roman"/>
          <w:b/>
          <w:bCs/>
          <w:sz w:val="24"/>
          <w:szCs w:val="24"/>
        </w:rPr>
        <w:t xml:space="preserve">Legal Lesson Learned: </w:t>
      </w:r>
      <w:r>
        <w:rPr>
          <w:rFonts w:ascii="Times New Roman" w:hAnsi="Times New Roman"/>
          <w:b/>
          <w:bCs/>
          <w:sz w:val="24"/>
          <w:szCs w:val="24"/>
        </w:rPr>
        <w:t xml:space="preserve">Ohio 911 Communication Centers should educate their staff on this new law. </w:t>
      </w:r>
    </w:p>
    <w:p w14:paraId="5B60A50C" w14:textId="77777777" w:rsidR="00465DC0" w:rsidRPr="00DF5D1F" w:rsidRDefault="00465DC0" w:rsidP="00465DC0">
      <w:pPr>
        <w:ind w:left="720"/>
        <w:rPr>
          <w:b/>
          <w:bCs/>
          <w:sz w:val="24"/>
          <w:szCs w:val="24"/>
        </w:rPr>
      </w:pPr>
      <w:r>
        <w:rPr>
          <w:rFonts w:ascii="Times New Roman" w:hAnsi="Times New Roman"/>
          <w:sz w:val="24"/>
          <w:szCs w:val="24"/>
        </w:rPr>
        <w:t xml:space="preserve">Note: See this article on the Bill. </w:t>
      </w:r>
      <w:hyperlink r:id="rId3031" w:history="1">
        <w:r w:rsidRPr="00B71FA0">
          <w:rPr>
            <w:rStyle w:val="Hyperlink"/>
            <w:rFonts w:ascii="Times New Roman" w:hAnsi="Times New Roman"/>
            <w:sz w:val="24"/>
            <w:szCs w:val="24"/>
          </w:rPr>
          <w:t>https://fisheldowney.com/new-changes-ohios-public-records-law-new-changes-ohios-public-records-law/</w:t>
        </w:r>
      </w:hyperlink>
      <w:r w:rsidRPr="00DF5D1F">
        <w:rPr>
          <w:rFonts w:ascii="Times New Roman" w:hAnsi="Times New Roman"/>
          <w:sz w:val="24"/>
          <w:szCs w:val="24"/>
        </w:rPr>
        <w:t xml:space="preserve"> </w:t>
      </w:r>
    </w:p>
    <w:p w14:paraId="25A89B8C" w14:textId="77777777" w:rsidR="00465DC0" w:rsidRDefault="00465DC0" w:rsidP="00465DC0">
      <w:pPr>
        <w:pStyle w:val="NormalWeb"/>
        <w:rPr>
          <w:b/>
          <w:bCs/>
        </w:rPr>
      </w:pPr>
    </w:p>
    <w:bookmarkEnd w:id="655"/>
    <w:p w14:paraId="41D1315F" w14:textId="77777777" w:rsidR="00465DC0" w:rsidRDefault="00465DC0" w:rsidP="000C4DF5">
      <w:pPr>
        <w:pStyle w:val="NoSpacing"/>
        <w:rPr>
          <w:rFonts w:ascii="Arial Black" w:hAnsi="Arial Black"/>
          <w:sz w:val="24"/>
          <w:szCs w:val="24"/>
        </w:rPr>
      </w:pPr>
    </w:p>
    <w:p w14:paraId="4E8A7C9D" w14:textId="77777777" w:rsidR="00804F3A" w:rsidRDefault="00804F3A" w:rsidP="000C4DF5">
      <w:pPr>
        <w:pStyle w:val="NoSpacing"/>
        <w:rPr>
          <w:rFonts w:ascii="Arial Black" w:hAnsi="Arial Black"/>
          <w:sz w:val="24"/>
          <w:szCs w:val="24"/>
        </w:rPr>
      </w:pPr>
    </w:p>
    <w:p w14:paraId="320C18F3" w14:textId="2B85FEBE" w:rsidR="00644810" w:rsidRDefault="00B73B03" w:rsidP="000C4DF5">
      <w:pPr>
        <w:pStyle w:val="NoSpacing"/>
        <w:rPr>
          <w:rFonts w:ascii="Arial Black" w:hAnsi="Arial Black"/>
          <w:sz w:val="24"/>
          <w:szCs w:val="24"/>
        </w:rPr>
      </w:pPr>
      <w:r>
        <w:rPr>
          <w:rFonts w:ascii="Arial Black" w:hAnsi="Arial Black"/>
          <w:sz w:val="24"/>
          <w:szCs w:val="24"/>
        </w:rPr>
        <w:t>18-19 [also filed, Chap. 7]</w:t>
      </w:r>
    </w:p>
    <w:p w14:paraId="421E4C14" w14:textId="77777777" w:rsidR="00B73B03" w:rsidRPr="00D61E07" w:rsidRDefault="00B73B03" w:rsidP="00B73B03">
      <w:pPr>
        <w:pStyle w:val="Heading1"/>
        <w:rPr>
          <w:rFonts w:ascii="Arial Black" w:hAnsi="Arial Black"/>
          <w:sz w:val="28"/>
          <w:szCs w:val="28"/>
        </w:rPr>
      </w:pPr>
      <w:r>
        <w:rPr>
          <w:rFonts w:ascii="Arial Black" w:hAnsi="Arial Black"/>
          <w:sz w:val="28"/>
          <w:szCs w:val="28"/>
        </w:rPr>
        <w:t>DC: SEXUAL HARASSMENT OR ASSAULT – NEW FEDERAL LAW - INVALID EMPLOYEE MANDATORY ARBITRATIONS</w:t>
      </w:r>
    </w:p>
    <w:p w14:paraId="1F597914" w14:textId="77777777" w:rsidR="00B73B03" w:rsidRPr="00D61E0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On March 3, 2022, President Biden signed into law the “</w:t>
      </w:r>
      <w:r w:rsidRPr="00D61E07">
        <w:rPr>
          <w:rFonts w:ascii="Times New Roman" w:hAnsi="Times New Roman"/>
          <w:sz w:val="24"/>
          <w:szCs w:val="24"/>
        </w:rPr>
        <w:t>Ending Forced Arbitration of Sexual Assault and Sexual Harassment Act</w:t>
      </w:r>
      <w:r>
        <w:rPr>
          <w:rFonts w:ascii="Times New Roman" w:hAnsi="Times New Roman"/>
          <w:sz w:val="24"/>
          <w:szCs w:val="24"/>
        </w:rPr>
        <w:t xml:space="preserve">.”  The law amends the Federal Arbitration Act to prohibit mandatory arbitration of sexual harassment and sexual assault claims in arbitration agreements. </w:t>
      </w:r>
      <w:hyperlink r:id="rId3032" w:history="1">
        <w:r w:rsidRPr="005A2A16">
          <w:rPr>
            <w:rStyle w:val="Hyperlink"/>
            <w:rFonts w:ascii="Times New Roman" w:eastAsia="Times New Roman" w:hAnsi="Times New Roman"/>
            <w:sz w:val="24"/>
            <w:szCs w:val="24"/>
          </w:rPr>
          <w:t>https://www.congress.gov/bill/117th-congress/house-bill/4445/text</w:t>
        </w:r>
      </w:hyperlink>
    </w:p>
    <w:p w14:paraId="4686B7A0" w14:textId="77777777" w:rsidR="00B73B03" w:rsidRPr="00AD366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p w14:paraId="393F5A47" w14:textId="77777777" w:rsidR="00B73B03" w:rsidRPr="00BC5C71" w:rsidRDefault="00B73B03" w:rsidP="00B73B03">
      <w:pPr>
        <w:pStyle w:val="ListParagraph"/>
        <w:numPr>
          <w:ilvl w:val="0"/>
          <w:numId w:val="15"/>
        </w:numPr>
        <w:tabs>
          <w:tab w:val="left" w:pos="916"/>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C5C71">
        <w:rPr>
          <w:rFonts w:ascii="Times New Roman" w:eastAsia="Times New Roman" w:hAnsi="Times New Roman" w:cs="Times New Roman"/>
          <w:sz w:val="24"/>
          <w:szCs w:val="24"/>
        </w:rPr>
        <w:t xml:space="preserve">In General - Notwithstanding any other provision of this title, at the election of the person alleging conduct constituting a sexual harassment dispute or sexual assault dispute, or the named representative of a class or in a collective action alleging such conduct, no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arbitration agreement or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joint-action waiver shall be valid or enforceable with respect to a case which is filed under Federal, Tribal, or State law and relates to the sexual assault dispute or the sexual harassment dispute.</w:t>
      </w:r>
    </w:p>
    <w:p w14:paraId="4E7737E0" w14:textId="77777777" w:rsidR="00B73B03" w:rsidRDefault="00B73B03" w:rsidP="00B73B03">
      <w:pPr>
        <w:pStyle w:val="HTMLPreformatted"/>
        <w:jc w:val="both"/>
        <w:rPr>
          <w:rFonts w:ascii="Times New Roman" w:hAnsi="Times New Roman" w:cs="Times New Roman"/>
          <w:sz w:val="24"/>
          <w:szCs w:val="24"/>
        </w:rPr>
      </w:pPr>
    </w:p>
    <w:p w14:paraId="4EA75D4C" w14:textId="77777777" w:rsidR="00B73B03" w:rsidRPr="002D6970" w:rsidRDefault="00B73B03" w:rsidP="00B73B03">
      <w:pPr>
        <w:pStyle w:val="HTMLPreformatted"/>
        <w:numPr>
          <w:ilvl w:val="0"/>
          <w:numId w:val="15"/>
        </w:numPr>
        <w:jc w:val="both"/>
        <w:rPr>
          <w:rFonts w:ascii="Times New Roman" w:hAnsi="Times New Roman" w:cs="Times New Roman"/>
          <w:sz w:val="24"/>
          <w:szCs w:val="24"/>
        </w:rPr>
      </w:pPr>
      <w:r w:rsidRPr="002D6970">
        <w:rPr>
          <w:rFonts w:ascii="Times New Roman" w:hAnsi="Times New Roman" w:cs="Times New Roman"/>
          <w:sz w:val="24"/>
          <w:szCs w:val="24"/>
        </w:rPr>
        <w:t>Determination of Applicability. An issue as to whether this chapter applies with respect to a dispute shall be determined under Federal law. The applicability of this chapter to an agreement to arbitrate and the validity and enforceability of an agreement to which this chapter applies shall be determined by a court, rather than an arbitrator, irrespective of whether the party resisting arbitration challenges the arbitration agreement specifically or in conjunction with other terms of the contract containing such agreement, and irrespective of whether the agreement purports to delegate such determinations to an arbitrator.''</w:t>
      </w:r>
    </w:p>
    <w:p w14:paraId="05B30D0C" w14:textId="77777777" w:rsidR="00B73B03" w:rsidRPr="00D61E0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sz w:val="24"/>
          <w:szCs w:val="24"/>
        </w:rPr>
      </w:pPr>
      <w:hyperlink r:id="rId3033" w:history="1">
        <w:r w:rsidRPr="005A2A16">
          <w:rPr>
            <w:rStyle w:val="Hyperlink"/>
            <w:rFonts w:ascii="Times New Roman" w:eastAsia="Times New Roman" w:hAnsi="Times New Roman"/>
            <w:sz w:val="24"/>
            <w:szCs w:val="24"/>
          </w:rPr>
          <w:t>https://www.congress.gov/bill/117th-congress/house-bill/4445/text</w:t>
        </w:r>
      </w:hyperlink>
    </w:p>
    <w:p w14:paraId="41083012" w14:textId="77777777" w:rsidR="00B73B03" w:rsidRDefault="00B73B03" w:rsidP="00B73B03">
      <w:pPr>
        <w:pStyle w:val="Heading1"/>
        <w:rPr>
          <w:sz w:val="24"/>
          <w:szCs w:val="24"/>
        </w:rPr>
      </w:pPr>
      <w:r w:rsidRPr="002D6970">
        <w:rPr>
          <w:sz w:val="24"/>
          <w:szCs w:val="24"/>
        </w:rPr>
        <w:t xml:space="preserve">Legal Lesson Learned: </w:t>
      </w:r>
      <w:r>
        <w:rPr>
          <w:sz w:val="24"/>
          <w:szCs w:val="24"/>
        </w:rPr>
        <w:t xml:space="preserve">Fire &amp; EMS departments should review their Employee Handbooks and other documents and remove any provision requiring arbitration for claims of sexual harassment or sexual assault. </w:t>
      </w:r>
    </w:p>
    <w:p w14:paraId="663EE00E" w14:textId="2493E0DD" w:rsidR="00B73B03" w:rsidRPr="00B73B03" w:rsidRDefault="00B73B03" w:rsidP="00465DC0">
      <w:pPr>
        <w:pStyle w:val="Heading1"/>
        <w:ind w:left="720"/>
        <w:rPr>
          <w:b w:val="0"/>
          <w:bCs w:val="0"/>
          <w:i/>
          <w:iCs/>
          <w:sz w:val="24"/>
          <w:szCs w:val="24"/>
        </w:rPr>
      </w:pPr>
      <w:r>
        <w:rPr>
          <w:b w:val="0"/>
          <w:bCs w:val="0"/>
          <w:sz w:val="24"/>
          <w:szCs w:val="24"/>
        </w:rPr>
        <w:t xml:space="preserve">Note:  </w:t>
      </w:r>
      <w:r w:rsidRPr="00B73B03">
        <w:rPr>
          <w:b w:val="0"/>
          <w:bCs w:val="0"/>
          <w:sz w:val="24"/>
          <w:szCs w:val="24"/>
        </w:rPr>
        <w:t xml:space="preserve">March 28, 2022: “Moving Away from Mandatory Arbitration Over Sexual Assault and Harassment Claims.” </w:t>
      </w:r>
      <w:hyperlink r:id="rId3034" w:history="1">
        <w:r w:rsidRPr="00B73B03">
          <w:rPr>
            <w:rStyle w:val="Hyperlink"/>
            <w:b w:val="0"/>
            <w:bCs w:val="0"/>
            <w:sz w:val="24"/>
            <w:szCs w:val="24"/>
          </w:rPr>
          <w:t>https://fisheldowney.com/moving-away-mandatory-arbitration-sexual-assault-harassment-claims/</w:t>
        </w:r>
      </w:hyperlink>
      <w:r w:rsidRPr="00B73B03">
        <w:rPr>
          <w:b w:val="0"/>
          <w:bCs w:val="0"/>
          <w:sz w:val="24"/>
          <w:szCs w:val="24"/>
        </w:rPr>
        <w:t xml:space="preserve"> </w:t>
      </w:r>
    </w:p>
    <w:p w14:paraId="1526613D" w14:textId="77777777" w:rsidR="00B73B03" w:rsidRPr="00AD3667" w:rsidRDefault="00B73B03" w:rsidP="00B73B03">
      <w:pPr>
        <w:pStyle w:val="Heading1"/>
        <w:ind w:left="1440"/>
        <w:rPr>
          <w:b w:val="0"/>
          <w:bCs w:val="0"/>
          <w:sz w:val="24"/>
          <w:szCs w:val="24"/>
        </w:rPr>
      </w:pPr>
      <w:r>
        <w:rPr>
          <w:b w:val="0"/>
          <w:bCs w:val="0"/>
          <w:sz w:val="24"/>
          <w:szCs w:val="24"/>
        </w:rPr>
        <w:t>“</w:t>
      </w:r>
      <w:r w:rsidRPr="00AD3667">
        <w:rPr>
          <w:b w:val="0"/>
          <w:bCs w:val="0"/>
          <w:sz w:val="24"/>
          <w:szCs w:val="24"/>
        </w:rPr>
        <w:t xml:space="preserve">Given these changes to the FAA, it is critical for employers to review their arbitration agreements and remove any language indicating sexual assault or harassment claims must be arbitrated. The existence of such provisions could invalidate the agreement </w:t>
      </w:r>
      <w:proofErr w:type="gramStart"/>
      <w:r w:rsidRPr="00AD3667">
        <w:rPr>
          <w:b w:val="0"/>
          <w:bCs w:val="0"/>
          <w:sz w:val="24"/>
          <w:szCs w:val="24"/>
        </w:rPr>
        <w:t>in whole</w:t>
      </w:r>
      <w:proofErr w:type="gramEnd"/>
      <w:r w:rsidRPr="00AD3667">
        <w:rPr>
          <w:b w:val="0"/>
          <w:bCs w:val="0"/>
          <w:sz w:val="24"/>
          <w:szCs w:val="24"/>
        </w:rPr>
        <w:t xml:space="preserve"> or in part. In addition to revising the arbitration agreement provisions in the employee handbook or collective bargaining agreement, employers should also tighten their procedures and requirements for investigating and reporting sexual harassment and assault to avoid liability. In terms of reporting procedures, employers should have clearly defined persons of contact for reporting.</w:t>
      </w:r>
      <w:r>
        <w:rPr>
          <w:b w:val="0"/>
          <w:bCs w:val="0"/>
          <w:sz w:val="24"/>
          <w:szCs w:val="24"/>
        </w:rPr>
        <w:t>”</w:t>
      </w:r>
    </w:p>
    <w:p w14:paraId="7C6D2711" w14:textId="77777777" w:rsidR="00B73B03" w:rsidRDefault="00B73B03" w:rsidP="00B73B03">
      <w:pPr>
        <w:pStyle w:val="Heading1"/>
        <w:ind w:left="720"/>
        <w:rPr>
          <w:b w:val="0"/>
          <w:bCs w:val="0"/>
          <w:sz w:val="24"/>
          <w:szCs w:val="24"/>
        </w:rPr>
      </w:pPr>
      <w:r w:rsidRPr="002D6970">
        <w:rPr>
          <w:b w:val="0"/>
          <w:bCs w:val="0"/>
          <w:sz w:val="24"/>
          <w:szCs w:val="24"/>
        </w:rPr>
        <w:t xml:space="preserve">March 3, 2022: “Biden signs bill to end forced arbitration in sexual harassment, assault cases.” </w:t>
      </w:r>
      <w:hyperlink r:id="rId3035" w:history="1">
        <w:r w:rsidRPr="005A2A16">
          <w:rPr>
            <w:rStyle w:val="Hyperlink"/>
            <w:rFonts w:eastAsiaTheme="majorEastAsia"/>
            <w:b w:val="0"/>
            <w:bCs w:val="0"/>
            <w:sz w:val="24"/>
            <w:szCs w:val="24"/>
          </w:rPr>
          <w:t>https://www.kktv.com/2022/03/03/biden-sign-bill-ending-forced-arbitration-sexual-harassment-assault-cases/</w:t>
        </w:r>
      </w:hyperlink>
    </w:p>
    <w:p w14:paraId="0280A314" w14:textId="77777777" w:rsidR="00B73B03" w:rsidRPr="002D6970" w:rsidRDefault="00B73B03" w:rsidP="00B73B03">
      <w:pPr>
        <w:pStyle w:val="Heading1"/>
        <w:ind w:left="1440"/>
        <w:rPr>
          <w:b w:val="0"/>
          <w:bCs w:val="0"/>
          <w:sz w:val="24"/>
          <w:szCs w:val="24"/>
        </w:rPr>
      </w:pPr>
      <w:r w:rsidRPr="00E42A32">
        <w:rPr>
          <w:b w:val="0"/>
          <w:bCs w:val="0"/>
          <w:sz w:val="24"/>
          <w:szCs w:val="24"/>
        </w:rPr>
        <w:t xml:space="preserve">The law is retroactive, freeing individuals who have been bound by </w:t>
      </w:r>
      <w:proofErr w:type="gramStart"/>
      <w:r w:rsidRPr="00E42A32">
        <w:rPr>
          <w:b w:val="0"/>
          <w:bCs w:val="0"/>
          <w:sz w:val="24"/>
          <w:szCs w:val="24"/>
        </w:rPr>
        <w:t>arbitration language</w:t>
      </w:r>
      <w:proofErr w:type="gramEnd"/>
      <w:r w:rsidRPr="00E42A32">
        <w:rPr>
          <w:b w:val="0"/>
          <w:bCs w:val="0"/>
          <w:sz w:val="24"/>
          <w:szCs w:val="24"/>
        </w:rPr>
        <w:t xml:space="preserve"> to pursue legal action against their harassers.</w:t>
      </w:r>
      <w:r>
        <w:rPr>
          <w:b w:val="0"/>
          <w:bCs w:val="0"/>
          <w:sz w:val="24"/>
          <w:szCs w:val="24"/>
        </w:rPr>
        <w:t xml:space="preserve"> </w:t>
      </w:r>
    </w:p>
    <w:p w14:paraId="4F3940D1" w14:textId="1BFCD8F6" w:rsidR="00B73B03" w:rsidRDefault="00B73B03" w:rsidP="00B73B03">
      <w:pPr>
        <w:pStyle w:val="NoSpacing"/>
        <w:rPr>
          <w:rFonts w:ascii="Arial Black" w:hAnsi="Arial Black"/>
          <w:sz w:val="24"/>
          <w:szCs w:val="24"/>
        </w:rPr>
      </w:pPr>
      <w:r>
        <w:rPr>
          <w:sz w:val="24"/>
          <w:szCs w:val="24"/>
        </w:rPr>
        <w:t>March 1, 2022: “</w:t>
      </w:r>
      <w:r w:rsidRPr="00E42A32">
        <w:rPr>
          <w:sz w:val="24"/>
          <w:szCs w:val="24"/>
        </w:rPr>
        <w:t xml:space="preserve">Congress Votes </w:t>
      </w:r>
      <w:proofErr w:type="gramStart"/>
      <w:r w:rsidRPr="00E42A32">
        <w:rPr>
          <w:sz w:val="24"/>
          <w:szCs w:val="24"/>
        </w:rPr>
        <w:t>To</w:t>
      </w:r>
      <w:proofErr w:type="gramEnd"/>
      <w:r w:rsidRPr="00E42A32">
        <w:rPr>
          <w:sz w:val="24"/>
          <w:szCs w:val="24"/>
        </w:rPr>
        <w:t xml:space="preserve"> End Mandatory Arbitration </w:t>
      </w:r>
      <w:proofErr w:type="gramStart"/>
      <w:r w:rsidRPr="00E42A32">
        <w:rPr>
          <w:sz w:val="24"/>
          <w:szCs w:val="24"/>
        </w:rPr>
        <w:t>Of</w:t>
      </w:r>
      <w:proofErr w:type="gramEnd"/>
      <w:r w:rsidRPr="00E42A32">
        <w:rPr>
          <w:sz w:val="24"/>
          <w:szCs w:val="24"/>
        </w:rPr>
        <w:t xml:space="preserve"> Sexual Assault </w:t>
      </w:r>
      <w:proofErr w:type="gramStart"/>
      <w:r w:rsidRPr="00E42A32">
        <w:rPr>
          <w:sz w:val="24"/>
          <w:szCs w:val="24"/>
        </w:rPr>
        <w:t>And</w:t>
      </w:r>
      <w:proofErr w:type="gramEnd"/>
      <w:r w:rsidRPr="00E42A32">
        <w:rPr>
          <w:sz w:val="24"/>
          <w:szCs w:val="24"/>
        </w:rPr>
        <w:t xml:space="preserve"> Sexual Harassment Claims</w:t>
      </w:r>
      <w:r>
        <w:rPr>
          <w:sz w:val="24"/>
          <w:szCs w:val="24"/>
        </w:rPr>
        <w:t xml:space="preserve">.: </w:t>
      </w:r>
      <w:hyperlink r:id="rId3036" w:history="1">
        <w:r w:rsidRPr="005A2A16">
          <w:rPr>
            <w:rStyle w:val="Hyperlink"/>
            <w:rFonts w:eastAsiaTheme="majorEastAsia"/>
            <w:sz w:val="24"/>
            <w:szCs w:val="24"/>
          </w:rPr>
          <w:t>https://www.natlawreview.com/article/congress-votes-to-end-mandatory-arbitration-sexual-assault-and-sexual-harassment</w:t>
        </w:r>
      </w:hyperlink>
    </w:p>
    <w:p w14:paraId="3FC99BC0" w14:textId="77777777" w:rsidR="00B73B03" w:rsidRDefault="00B73B03" w:rsidP="000C4DF5">
      <w:pPr>
        <w:pStyle w:val="NoSpacing"/>
        <w:rPr>
          <w:rFonts w:ascii="Arial Black" w:hAnsi="Arial Black"/>
          <w:sz w:val="24"/>
          <w:szCs w:val="24"/>
        </w:rPr>
      </w:pPr>
    </w:p>
    <w:p w14:paraId="37511724" w14:textId="77777777" w:rsidR="00B73B03" w:rsidRDefault="00B73B03" w:rsidP="000C4DF5">
      <w:pPr>
        <w:pStyle w:val="NoSpacing"/>
        <w:rPr>
          <w:rFonts w:ascii="Arial Black" w:hAnsi="Arial Black"/>
          <w:sz w:val="24"/>
          <w:szCs w:val="24"/>
        </w:rPr>
      </w:pPr>
    </w:p>
    <w:p w14:paraId="6AC1F989" w14:textId="3468E620" w:rsidR="00644810" w:rsidRDefault="00644810" w:rsidP="000C4DF5">
      <w:pPr>
        <w:pStyle w:val="NoSpacing"/>
        <w:rPr>
          <w:rFonts w:ascii="Arial Black" w:hAnsi="Arial Black"/>
          <w:sz w:val="24"/>
          <w:szCs w:val="24"/>
        </w:rPr>
      </w:pPr>
      <w:r>
        <w:rPr>
          <w:rFonts w:ascii="Arial Black" w:hAnsi="Arial Black"/>
          <w:sz w:val="24"/>
          <w:szCs w:val="24"/>
        </w:rPr>
        <w:t>18-18</w:t>
      </w:r>
    </w:p>
    <w:p w14:paraId="25DEB51C" w14:textId="1F357431" w:rsidR="00644810" w:rsidRDefault="00644810" w:rsidP="000C4DF5">
      <w:pPr>
        <w:pStyle w:val="NoSpacing"/>
        <w:rPr>
          <w:rFonts w:ascii="Arial Black" w:hAnsi="Arial Black"/>
          <w:sz w:val="24"/>
          <w:szCs w:val="24"/>
        </w:rPr>
      </w:pPr>
    </w:p>
    <w:p w14:paraId="6FD9BA3D" w14:textId="77777777" w:rsidR="00644810" w:rsidRPr="00F95E1F" w:rsidRDefault="00644810" w:rsidP="00644810">
      <w:pPr>
        <w:rPr>
          <w:rFonts w:ascii="Arial Black" w:hAnsi="Arial Black"/>
          <w:sz w:val="28"/>
          <w:szCs w:val="28"/>
        </w:rPr>
      </w:pPr>
      <w:r>
        <w:rPr>
          <w:rFonts w:ascii="Arial Black" w:hAnsi="Arial Black"/>
          <w:sz w:val="28"/>
          <w:szCs w:val="28"/>
        </w:rPr>
        <w:t xml:space="preserve">DC: NEW FED. LAW - DISABLED EMER. RESP. CAN GET PUB. SAFETY OFFICER BENEFITS WHILE PAID SIMPLE TASKS </w:t>
      </w:r>
    </w:p>
    <w:p w14:paraId="0ECA9699" w14:textId="77777777" w:rsidR="00644810" w:rsidRPr="00213018" w:rsidRDefault="00644810" w:rsidP="00644810">
      <w:pPr>
        <w:spacing w:after="225"/>
        <w:rPr>
          <w:rFonts w:ascii="Times New Roman" w:hAnsi="Times New Roman"/>
          <w:b/>
          <w:bCs/>
          <w:sz w:val="24"/>
          <w:szCs w:val="24"/>
        </w:rPr>
      </w:pPr>
      <w:r>
        <w:t xml:space="preserve"> </w:t>
      </w:r>
      <w:r w:rsidRPr="00213018">
        <w:rPr>
          <w:rFonts w:ascii="Times New Roman" w:hAnsi="Times New Roman"/>
          <w:sz w:val="24"/>
          <w:szCs w:val="24"/>
        </w:rPr>
        <w:t>On Dec. 4, 2021, President Biden signed into law the “P</w:t>
      </w:r>
      <w:r w:rsidRPr="00213018">
        <w:rPr>
          <w:rFonts w:ascii="Times New Roman" w:hAnsi="Times New Roman"/>
          <w:color w:val="000000"/>
          <w:sz w:val="24"/>
          <w:szCs w:val="24"/>
          <w:bdr w:val="none" w:sz="0" w:space="0" w:color="auto" w:frame="1"/>
        </w:rPr>
        <w:t xml:space="preserve">rotecting America’s First Responders Act of 2021” which assures that first responders and law enforcement have prompt access to federal benefits even if able to perform compensated work that is </w:t>
      </w:r>
      <w:r w:rsidRPr="00213018">
        <w:rPr>
          <w:rFonts w:ascii="Times New Roman" w:hAnsi="Times New Roman"/>
          <w:sz w:val="24"/>
          <w:szCs w:val="24"/>
        </w:rPr>
        <w:t xml:space="preserve">de minimis, nominal, honorary, or mere reimbursement of incidental expenses.  The two sponsors, Congressman Bill Pascrell, Jr. (D-NJ), and Senator Charles Grassley (R-IA), described the statute. </w:t>
      </w:r>
    </w:p>
    <w:p w14:paraId="60B73784" w14:textId="0D00165F" w:rsidR="00644810" w:rsidRDefault="00644810" w:rsidP="00644810">
      <w:pPr>
        <w:pStyle w:val="NoSpacing"/>
        <w:ind w:left="720"/>
        <w:rPr>
          <w:rFonts w:ascii="Arial Black" w:hAnsi="Arial Black"/>
          <w:sz w:val="24"/>
          <w:szCs w:val="24"/>
        </w:rPr>
      </w:pPr>
      <w:r w:rsidRPr="00213018">
        <w:rPr>
          <w:rFonts w:ascii="Times New Roman" w:hAnsi="Times New Roman"/>
          <w:sz w:val="24"/>
          <w:szCs w:val="24"/>
        </w:rPr>
        <w:t xml:space="preserve">“Currently, first responders permanently disabled in the line of duty are only eligible for Public Safety Officer Benefits (PSOB) if they can never again perform any compensated work. This high bar leaves behind far too many public safety officers. PAFRA corrects this by ensuring disabled first responders whose work is for therapeutic purposes, involves simple tasks, or provides special accommodations can still receive benefits. The bill also provides for retroactive disability benefits to public safety officers who responded to the September 11, </w:t>
      </w:r>
      <w:proofErr w:type="gramStart"/>
      <w:r w:rsidRPr="00213018">
        <w:rPr>
          <w:rFonts w:ascii="Times New Roman" w:hAnsi="Times New Roman"/>
          <w:sz w:val="24"/>
          <w:szCs w:val="24"/>
        </w:rPr>
        <w:t>2001</w:t>
      </w:r>
      <w:proofErr w:type="gramEnd"/>
      <w:r w:rsidRPr="00213018">
        <w:rPr>
          <w:rFonts w:ascii="Times New Roman" w:hAnsi="Times New Roman"/>
          <w:sz w:val="24"/>
          <w:szCs w:val="24"/>
        </w:rPr>
        <w:t xml:space="preserve"> terrorist attacks, allowing those first responders who became permanently disabled from their heroic work at Ground Zero to re-apply for disability benefits.” </w:t>
      </w:r>
      <w:hyperlink r:id="rId3037" w:history="1">
        <w:r w:rsidRPr="00EC5853">
          <w:rPr>
            <w:rStyle w:val="Hyperlink"/>
            <w:rFonts w:ascii="Times New Roman" w:hAnsi="Times New Roman"/>
            <w:sz w:val="24"/>
            <w:szCs w:val="24"/>
          </w:rPr>
          <w:t>https://pascrell.house.gov/news/documentsingle.aspx?DocumentID=4933</w:t>
        </w:r>
      </w:hyperlink>
    </w:p>
    <w:p w14:paraId="3ED66AC4" w14:textId="77777777" w:rsidR="00644810" w:rsidRDefault="00644810" w:rsidP="000C4DF5">
      <w:pPr>
        <w:pStyle w:val="NoSpacing"/>
        <w:rPr>
          <w:rFonts w:ascii="Arial Black" w:hAnsi="Arial Black"/>
          <w:sz w:val="24"/>
          <w:szCs w:val="24"/>
        </w:rPr>
      </w:pPr>
    </w:p>
    <w:p w14:paraId="59F964DE" w14:textId="77777777" w:rsidR="00644810" w:rsidRPr="00213018" w:rsidRDefault="00644810" w:rsidP="00644810">
      <w:pPr>
        <w:rPr>
          <w:rFonts w:ascii="Times New Roman" w:hAnsi="Times New Roman"/>
          <w:b/>
          <w:bCs/>
          <w:sz w:val="24"/>
          <w:szCs w:val="24"/>
        </w:rPr>
      </w:pPr>
      <w:r w:rsidRPr="00213018">
        <w:rPr>
          <w:rFonts w:ascii="Times New Roman" w:hAnsi="Times New Roman"/>
          <w:b/>
          <w:bCs/>
          <w:sz w:val="24"/>
          <w:szCs w:val="24"/>
        </w:rPr>
        <w:t>Legal Lesson Learned: Helpful statute.</w:t>
      </w:r>
    </w:p>
    <w:p w14:paraId="4F9F8DE9" w14:textId="77777777" w:rsidR="00644810" w:rsidRPr="00213018" w:rsidRDefault="00644810" w:rsidP="00644810">
      <w:pPr>
        <w:spacing w:after="225"/>
        <w:ind w:left="720"/>
        <w:rPr>
          <w:rFonts w:ascii="Times New Roman" w:hAnsi="Times New Roman"/>
          <w:b/>
          <w:bCs/>
          <w:sz w:val="24"/>
          <w:szCs w:val="24"/>
        </w:rPr>
      </w:pPr>
      <w:r w:rsidRPr="00213018">
        <w:rPr>
          <w:rFonts w:ascii="Times New Roman" w:hAnsi="Times New Roman"/>
          <w:sz w:val="24"/>
          <w:szCs w:val="24"/>
        </w:rPr>
        <w:t xml:space="preserve">Note: The two sponsors, Congressman Bill Pascrell, Jr. (D-NJ), and Senator Charles Grassley (R-IA), also described the increased   federal benefits.  </w:t>
      </w:r>
    </w:p>
    <w:p w14:paraId="7795D9BB" w14:textId="371407C0" w:rsidR="00644810" w:rsidRDefault="00644810" w:rsidP="00644810">
      <w:pPr>
        <w:pStyle w:val="NoSpacing"/>
        <w:ind w:left="1440"/>
        <w:rPr>
          <w:rFonts w:ascii="Arial Black" w:hAnsi="Arial Black"/>
          <w:sz w:val="24"/>
          <w:szCs w:val="24"/>
        </w:rPr>
      </w:pPr>
      <w:r w:rsidRPr="00213018">
        <w:rPr>
          <w:rFonts w:ascii="Times New Roman" w:hAnsi="Times New Roman"/>
          <w:sz w:val="24"/>
          <w:szCs w:val="24"/>
        </w:rPr>
        <w:t>“This bipartisan legislation was sponsored in the House (</w:t>
      </w:r>
      <w:hyperlink r:id="rId3038" w:history="1">
        <w:r w:rsidRPr="00213018">
          <w:rPr>
            <w:rFonts w:ascii="Times New Roman" w:hAnsi="Times New Roman"/>
            <w:sz w:val="24"/>
            <w:szCs w:val="24"/>
          </w:rPr>
          <w:t>H.R. 2936</w:t>
        </w:r>
      </w:hyperlink>
      <w:r w:rsidRPr="00213018">
        <w:rPr>
          <w:rFonts w:ascii="Times New Roman" w:hAnsi="Times New Roman"/>
          <w:sz w:val="24"/>
          <w:szCs w:val="24"/>
        </w:rPr>
        <w:t>) by Rep. Pascrell and in the Senate (</w:t>
      </w:r>
      <w:hyperlink r:id="rId3039" w:history="1">
        <w:r w:rsidRPr="00213018">
          <w:rPr>
            <w:rFonts w:ascii="Times New Roman" w:hAnsi="Times New Roman"/>
            <w:sz w:val="24"/>
            <w:szCs w:val="24"/>
          </w:rPr>
          <w:t>S. 1511</w:t>
        </w:r>
      </w:hyperlink>
      <w:r w:rsidRPr="00213018">
        <w:rPr>
          <w:rFonts w:ascii="Times New Roman" w:hAnsi="Times New Roman"/>
          <w:sz w:val="24"/>
          <w:szCs w:val="24"/>
        </w:rPr>
        <w:t xml:space="preserve">) by Sen. Grassley. PAFRA makes significant improvements to the Department of Justice’s (DOJ) Public Safety Officer Benefits (PSOB) program, which provides first responders who die or are permanently disabled in the line of duty with a federal benefit of $370,000 and education assistance of $1,200 a month to their children or spouse.” </w:t>
      </w:r>
      <w:hyperlink r:id="rId3040" w:history="1">
        <w:r w:rsidRPr="00EC5853">
          <w:rPr>
            <w:rStyle w:val="Hyperlink"/>
            <w:rFonts w:ascii="Times New Roman" w:hAnsi="Times New Roman"/>
            <w:sz w:val="24"/>
            <w:szCs w:val="24"/>
          </w:rPr>
          <w:t>https://pascrell.house.gov/news/documentsingle.aspx?DocumentID=4933</w:t>
        </w:r>
      </w:hyperlink>
    </w:p>
    <w:p w14:paraId="4BBE2483" w14:textId="588B9738" w:rsidR="00644810" w:rsidRDefault="00644810" w:rsidP="000C4DF5">
      <w:pPr>
        <w:pStyle w:val="NoSpacing"/>
        <w:rPr>
          <w:rFonts w:ascii="Arial Black" w:hAnsi="Arial Black"/>
          <w:sz w:val="24"/>
          <w:szCs w:val="24"/>
        </w:rPr>
      </w:pPr>
    </w:p>
    <w:p w14:paraId="7E35332E" w14:textId="77777777" w:rsidR="00644810" w:rsidRDefault="00644810" w:rsidP="000C4DF5">
      <w:pPr>
        <w:pStyle w:val="NoSpacing"/>
        <w:rPr>
          <w:rFonts w:ascii="Arial Black" w:hAnsi="Arial Black"/>
          <w:sz w:val="24"/>
          <w:szCs w:val="24"/>
        </w:rPr>
      </w:pPr>
    </w:p>
    <w:p w14:paraId="7BE0B5F2" w14:textId="42CAC289" w:rsidR="004B6144" w:rsidRDefault="004B6144" w:rsidP="000C4DF5">
      <w:pPr>
        <w:pStyle w:val="NoSpacing"/>
        <w:rPr>
          <w:rFonts w:ascii="Arial Black" w:hAnsi="Arial Black"/>
          <w:sz w:val="24"/>
          <w:szCs w:val="24"/>
        </w:rPr>
      </w:pPr>
      <w:r>
        <w:rPr>
          <w:rFonts w:ascii="Arial Black" w:hAnsi="Arial Black"/>
          <w:sz w:val="24"/>
          <w:szCs w:val="24"/>
        </w:rPr>
        <w:t>18-7</w:t>
      </w:r>
    </w:p>
    <w:p w14:paraId="7EDAD68E" w14:textId="77777777" w:rsidR="004B6144" w:rsidRPr="001E6223" w:rsidRDefault="004B6144" w:rsidP="004B6144">
      <w:pPr>
        <w:spacing w:before="100" w:beforeAutospacing="1" w:after="100" w:afterAutospacing="1" w:line="240" w:lineRule="auto"/>
        <w:rPr>
          <w:rFonts w:ascii="Arial Black" w:eastAsia="Times New Roman" w:hAnsi="Arial Black"/>
          <w:sz w:val="28"/>
          <w:szCs w:val="28"/>
        </w:rPr>
      </w:pPr>
      <w:r w:rsidRPr="001E6223">
        <w:rPr>
          <w:rFonts w:ascii="Arial Black" w:eastAsia="Times New Roman" w:hAnsi="Arial Black"/>
          <w:sz w:val="28"/>
          <w:szCs w:val="28"/>
        </w:rPr>
        <w:t>NY</w:t>
      </w:r>
      <w:r>
        <w:rPr>
          <w:rFonts w:ascii="Arial Black" w:eastAsia="Times New Roman" w:hAnsi="Arial Black"/>
          <w:sz w:val="28"/>
          <w:szCs w:val="28"/>
        </w:rPr>
        <w:t xml:space="preserve">: PUBLIC RECORDS – CITIZEN COMPLAINTS - NY LEGISLATURE REPEALED STATUTE – PROTECTED POLICE &amp; FIRE PERFORM. RECORDS </w:t>
      </w:r>
    </w:p>
    <w:p w14:paraId="2C65FF32" w14:textId="77777777" w:rsidR="004B6144" w:rsidRDefault="004B6144" w:rsidP="004B6144">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Oct. 9, 2020, in </w:t>
      </w:r>
      <w:r w:rsidRPr="007A5C5E">
        <w:rPr>
          <w:rFonts w:ascii="Times New Roman" w:eastAsia="Times New Roman" w:hAnsi="Times New Roman"/>
          <w:sz w:val="24"/>
          <w:szCs w:val="24"/>
          <w:u w:val="single"/>
        </w:rPr>
        <w:t>Buffalo Police Benevolent Association, Inc. and Buffalo Professional Firefighters Association, Inc. v. Byron W. Brown, Mayor of City of Buffalo</w:t>
      </w:r>
      <w:r>
        <w:rPr>
          <w:rFonts w:ascii="Times New Roman" w:eastAsia="Times New Roman" w:hAnsi="Times New Roman"/>
          <w:sz w:val="24"/>
          <w:szCs w:val="24"/>
        </w:rPr>
        <w:t xml:space="preserve">, Judge Frank A. Sedita III, Superior Court, Erie County, </w:t>
      </w:r>
      <w:r w:rsidRPr="007A5C5E">
        <w:rPr>
          <w:rFonts w:ascii="Times New Roman" w:hAnsi="Times New Roman"/>
          <w:sz w:val="24"/>
          <w:szCs w:val="24"/>
        </w:rPr>
        <w:t>2020 NY Slip Op 20257</w:t>
      </w:r>
      <w:r>
        <w:rPr>
          <w:rFonts w:ascii="Times New Roman" w:hAnsi="Times New Roman"/>
          <w:sz w:val="24"/>
          <w:szCs w:val="24"/>
        </w:rPr>
        <w:t>, while recognizing that many other professionals (including judges and attorneys) are protected from public disclosure of unfounded complaints, declined to declare the New York repeal a violation of State or U.S. Constitution.</w:t>
      </w:r>
    </w:p>
    <w:bookmarkEnd w:id="653"/>
    <w:p w14:paraId="5FFBF382" w14:textId="77777777" w:rsidR="004B6144" w:rsidRDefault="004B6144" w:rsidP="004B614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B42C1C">
        <w:rPr>
          <w:rFonts w:ascii="Times New Roman" w:hAnsi="Times New Roman"/>
          <w:sz w:val="24"/>
          <w:szCs w:val="24"/>
        </w:rPr>
        <w:t>§50-a of the NY Civil Rights Law (50-a) was repealed on June 12, 2020. Enacted in 1976, 50-a provided, in relevant part, that personnel records used to evaluate the performance of police officers and firefighters could not be publicly disclosed unless the officer/firefighter consented to it or a court ordered it.</w:t>
      </w:r>
    </w:p>
    <w:p w14:paraId="5FB9B3F7" w14:textId="77777777" w:rsidR="004B6144" w:rsidRDefault="004B6144" w:rsidP="004B614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23A0097" w14:textId="77777777" w:rsidR="004B6144" w:rsidRDefault="004B6144" w:rsidP="004B6144">
      <w:pPr>
        <w:spacing w:before="100" w:beforeAutospacing="1" w:after="100" w:afterAutospacing="1" w:line="240" w:lineRule="auto"/>
        <w:ind w:left="720"/>
        <w:rPr>
          <w:rFonts w:ascii="Times New Roman" w:eastAsia="Times New Roman" w:hAnsi="Times New Roman"/>
          <w:sz w:val="24"/>
          <w:szCs w:val="24"/>
        </w:rPr>
      </w:pPr>
      <w:r w:rsidRPr="00B42C1C">
        <w:rPr>
          <w:rFonts w:ascii="Times New Roman" w:eastAsia="Times New Roman" w:hAnsi="Times New Roman"/>
          <w:sz w:val="24"/>
          <w:szCs w:val="24"/>
        </w:rPr>
        <w:t>At the core of this case, is Petitioners' dismay that FOIL</w:t>
      </w:r>
      <w:r>
        <w:rPr>
          <w:rFonts w:ascii="Times New Roman" w:eastAsia="Times New Roman" w:hAnsi="Times New Roman"/>
          <w:sz w:val="24"/>
          <w:szCs w:val="24"/>
        </w:rPr>
        <w:t xml:space="preserve"> [Freedom of Information]</w:t>
      </w:r>
      <w:r w:rsidRPr="00B42C1C">
        <w:rPr>
          <w:rFonts w:ascii="Times New Roman" w:eastAsia="Times New Roman" w:hAnsi="Times New Roman"/>
          <w:sz w:val="24"/>
          <w:szCs w:val="24"/>
        </w:rPr>
        <w:t xml:space="preserve"> officers will release unfiltered information that serves not to inform but to defame, especially when revealed to those </w:t>
      </w:r>
      <w:proofErr w:type="gramStart"/>
      <w:r w:rsidRPr="00B42C1C">
        <w:rPr>
          <w:rFonts w:ascii="Times New Roman" w:eastAsia="Times New Roman" w:hAnsi="Times New Roman"/>
          <w:sz w:val="24"/>
          <w:szCs w:val="24"/>
        </w:rPr>
        <w:t>whom</w:t>
      </w:r>
      <w:proofErr w:type="gramEnd"/>
      <w:r w:rsidRPr="00B42C1C">
        <w:rPr>
          <w:rFonts w:ascii="Times New Roman" w:eastAsia="Times New Roman" w:hAnsi="Times New Roman"/>
          <w:sz w:val="24"/>
          <w:szCs w:val="24"/>
        </w:rPr>
        <w:t xml:space="preserve"> already view police officers with disdain. The prospect of such irreparable harm is viewed as especially inequitable given the fact that members of so many other occupations and professions — including lawyers and judges — are protected by statutes that prevent the disclosure of misconduct allegations made against them, unless and until they are actually proven to be true.</w:t>
      </w:r>
    </w:p>
    <w:p w14:paraId="36359658" w14:textId="77777777" w:rsidR="004B6144" w:rsidRPr="00B42C1C" w:rsidRDefault="004B6144" w:rsidP="004B6144">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7F7677B2" w14:textId="040CA905" w:rsidR="004B6144" w:rsidRDefault="004B6144" w:rsidP="004B6144">
      <w:pPr>
        <w:pStyle w:val="NoSpacing"/>
        <w:rPr>
          <w:rStyle w:val="Hyperlink"/>
          <w:rFonts w:ascii="Times New Roman" w:eastAsia="Times New Roman" w:hAnsi="Times New Roman"/>
          <w:sz w:val="24"/>
          <w:szCs w:val="24"/>
        </w:rPr>
      </w:pPr>
      <w:r>
        <w:rPr>
          <w:rFonts w:ascii="Times New Roman" w:eastAsia="Times New Roman" w:hAnsi="Times New Roman"/>
          <w:sz w:val="24"/>
          <w:szCs w:val="24"/>
        </w:rPr>
        <w:t>“</w:t>
      </w:r>
      <w:r w:rsidRPr="001E6223">
        <w:rPr>
          <w:rFonts w:ascii="Times New Roman" w:eastAsia="Times New Roman" w:hAnsi="Times New Roman"/>
          <w:sz w:val="24"/>
          <w:szCs w:val="24"/>
        </w:rPr>
        <w:t xml:space="preserve">What Petitioners essentially seek — a pre-emptive strike that will serve as a blanket prohibition on the release of </w:t>
      </w:r>
      <w:proofErr w:type="gramStart"/>
      <w:r w:rsidRPr="001E6223">
        <w:rPr>
          <w:rFonts w:ascii="Times New Roman" w:eastAsia="Times New Roman" w:hAnsi="Times New Roman"/>
          <w:sz w:val="24"/>
          <w:szCs w:val="24"/>
        </w:rPr>
        <w:t>any and all</w:t>
      </w:r>
      <w:proofErr w:type="gramEnd"/>
      <w:r w:rsidRPr="001E6223">
        <w:rPr>
          <w:rFonts w:ascii="Times New Roman" w:eastAsia="Times New Roman" w:hAnsi="Times New Roman"/>
          <w:sz w:val="24"/>
          <w:szCs w:val="24"/>
        </w:rPr>
        <w:t xml:space="preserve"> information regarding any complaint deemed </w:t>
      </w:r>
      <w:r>
        <w:rPr>
          <w:rFonts w:ascii="Times New Roman" w:eastAsia="Times New Roman" w:hAnsi="Times New Roman"/>
          <w:sz w:val="24"/>
          <w:szCs w:val="24"/>
        </w:rPr>
        <w:t>‘</w:t>
      </w:r>
      <w:r w:rsidRPr="001E6223">
        <w:rPr>
          <w:rFonts w:ascii="Times New Roman" w:eastAsia="Times New Roman" w:hAnsi="Times New Roman"/>
          <w:sz w:val="24"/>
          <w:szCs w:val="24"/>
        </w:rPr>
        <w:t>unsubstantiated</w:t>
      </w:r>
      <w:r>
        <w:rPr>
          <w:rFonts w:ascii="Times New Roman" w:eastAsia="Times New Roman" w:hAnsi="Times New Roman"/>
          <w:sz w:val="24"/>
          <w:szCs w:val="24"/>
        </w:rPr>
        <w:t>’</w:t>
      </w:r>
      <w:r w:rsidRPr="001E6223">
        <w:rPr>
          <w:rFonts w:ascii="Times New Roman" w:eastAsia="Times New Roman" w:hAnsi="Times New Roman"/>
          <w:sz w:val="24"/>
          <w:szCs w:val="24"/>
        </w:rPr>
        <w:t xml:space="preserve"> — is not merely drastic remedy, it is an inappropriate one. Petitioners advance no persuasive arguments as to why the controlling statutes violate due process, equal protection or any other provision of the Federal and State Constitutions.</w:t>
      </w:r>
      <w:r>
        <w:rPr>
          <w:rFonts w:ascii="Times New Roman" w:eastAsia="Times New Roman" w:hAnsi="Times New Roman"/>
          <w:sz w:val="24"/>
          <w:szCs w:val="24"/>
        </w:rPr>
        <w:t xml:space="preserve">” </w:t>
      </w:r>
      <w:hyperlink r:id="rId3041" w:history="1">
        <w:r w:rsidRPr="00C93B62">
          <w:rPr>
            <w:rStyle w:val="Hyperlink"/>
            <w:rFonts w:ascii="Times New Roman" w:eastAsia="Times New Roman" w:hAnsi="Times New Roman"/>
            <w:sz w:val="24"/>
            <w:szCs w:val="24"/>
          </w:rPr>
          <w:t>https://public.fastcase.com/Wl%2B2t%2BeVuI35%2FN70vAMFZlFt1LsN7FOv8IeLOLQpT2HmGMXcCWoYq2MigYjsxegu</w:t>
        </w:r>
      </w:hyperlink>
    </w:p>
    <w:p w14:paraId="74BCDF2F" w14:textId="0CCAFB06" w:rsidR="004B6144" w:rsidRDefault="004B6144" w:rsidP="004B6144">
      <w:pPr>
        <w:pStyle w:val="NoSpacing"/>
        <w:rPr>
          <w:rStyle w:val="Hyperlink"/>
          <w:rFonts w:ascii="Times New Roman" w:eastAsia="Times New Roman" w:hAnsi="Times New Roman"/>
          <w:sz w:val="24"/>
          <w:szCs w:val="24"/>
        </w:rPr>
      </w:pPr>
    </w:p>
    <w:p w14:paraId="201B9F77" w14:textId="77777777" w:rsidR="004B6144" w:rsidRDefault="004B6144" w:rsidP="004B6144">
      <w:pPr>
        <w:spacing w:before="100" w:beforeAutospacing="1" w:after="100" w:afterAutospacing="1" w:line="240" w:lineRule="auto"/>
        <w:rPr>
          <w:rFonts w:ascii="Times New Roman" w:hAnsi="Times New Roman"/>
          <w:b/>
          <w:bCs/>
          <w:sz w:val="24"/>
          <w:szCs w:val="24"/>
        </w:rPr>
      </w:pPr>
      <w:r w:rsidRPr="00C97C76">
        <w:rPr>
          <w:rFonts w:ascii="Times New Roman" w:hAnsi="Times New Roman"/>
          <w:b/>
          <w:bCs/>
          <w:sz w:val="24"/>
          <w:szCs w:val="24"/>
        </w:rPr>
        <w:t>Legal Lesson</w:t>
      </w:r>
      <w:r>
        <w:rPr>
          <w:rFonts w:ascii="Times New Roman" w:hAnsi="Times New Roman"/>
          <w:b/>
          <w:bCs/>
          <w:sz w:val="24"/>
          <w:szCs w:val="24"/>
        </w:rPr>
        <w:t xml:space="preserve"> </w:t>
      </w:r>
      <w:r w:rsidRPr="00C97C76">
        <w:rPr>
          <w:rFonts w:ascii="Times New Roman" w:hAnsi="Times New Roman"/>
          <w:b/>
          <w:bCs/>
          <w:sz w:val="24"/>
          <w:szCs w:val="24"/>
        </w:rPr>
        <w:t>Learned:</w:t>
      </w:r>
      <w:r>
        <w:rPr>
          <w:rFonts w:ascii="Times New Roman" w:hAnsi="Times New Roman"/>
          <w:b/>
          <w:bCs/>
          <w:sz w:val="24"/>
          <w:szCs w:val="24"/>
        </w:rPr>
        <w:t xml:space="preserve">  It is unfortunate to make mere complaints of misconduct “public records. </w:t>
      </w:r>
    </w:p>
    <w:p w14:paraId="5EC14AA8" w14:textId="77777777" w:rsidR="004B6144" w:rsidRDefault="004B6144" w:rsidP="004B6144">
      <w:pPr>
        <w:pStyle w:val="NormalWeb"/>
        <w:ind w:left="720"/>
      </w:pPr>
      <w:r w:rsidRPr="009C5E9D">
        <w:t xml:space="preserve">Note: </w:t>
      </w:r>
    </w:p>
    <w:p w14:paraId="3859F23D" w14:textId="77777777" w:rsidR="004B6144" w:rsidRPr="009C5E9D" w:rsidRDefault="004B6144" w:rsidP="004B6144">
      <w:pPr>
        <w:pStyle w:val="Heading1"/>
        <w:ind w:left="720"/>
        <w:rPr>
          <w:b w:val="0"/>
          <w:bCs w:val="0"/>
          <w:sz w:val="24"/>
          <w:szCs w:val="24"/>
        </w:rPr>
      </w:pPr>
      <w:r>
        <w:rPr>
          <w:b w:val="0"/>
          <w:bCs w:val="0"/>
          <w:sz w:val="24"/>
          <w:szCs w:val="24"/>
        </w:rPr>
        <w:t xml:space="preserve">See </w:t>
      </w:r>
      <w:r w:rsidRPr="009C5E9D">
        <w:rPr>
          <w:b w:val="0"/>
          <w:bCs w:val="0"/>
          <w:sz w:val="24"/>
          <w:szCs w:val="24"/>
        </w:rPr>
        <w:t xml:space="preserve">Aug. 20, </w:t>
      </w:r>
      <w:proofErr w:type="gramStart"/>
      <w:r w:rsidRPr="009C5E9D">
        <w:rPr>
          <w:b w:val="0"/>
          <w:bCs w:val="0"/>
          <w:sz w:val="24"/>
          <w:szCs w:val="24"/>
        </w:rPr>
        <w:t>2020</w:t>
      </w:r>
      <w:proofErr w:type="gramEnd"/>
      <w:r>
        <w:rPr>
          <w:b w:val="0"/>
          <w:bCs w:val="0"/>
          <w:sz w:val="24"/>
          <w:szCs w:val="24"/>
        </w:rPr>
        <w:t xml:space="preserve"> article: “</w:t>
      </w:r>
      <w:r w:rsidRPr="009C5E9D">
        <w:rPr>
          <w:b w:val="0"/>
          <w:bCs w:val="0"/>
          <w:sz w:val="24"/>
          <w:szCs w:val="24"/>
        </w:rPr>
        <w:t>323,911 Accusations of N.Y.P.D. Misconduct Are Released Online</w:t>
      </w:r>
      <w:r>
        <w:rPr>
          <w:b w:val="0"/>
          <w:bCs w:val="0"/>
          <w:sz w:val="24"/>
          <w:szCs w:val="24"/>
        </w:rPr>
        <w:t xml:space="preserve">.” </w:t>
      </w:r>
      <w:r w:rsidRPr="009C5E9D">
        <w:rPr>
          <w:b w:val="0"/>
          <w:bCs w:val="0"/>
          <w:sz w:val="24"/>
          <w:szCs w:val="24"/>
        </w:rPr>
        <w:t xml:space="preserve">The records had been sealed for decades, but last month, New York repealed a law keeping them secret after national </w:t>
      </w:r>
      <w:proofErr w:type="gramStart"/>
      <w:r w:rsidRPr="009C5E9D">
        <w:rPr>
          <w:b w:val="0"/>
          <w:bCs w:val="0"/>
          <w:sz w:val="24"/>
          <w:szCs w:val="24"/>
        </w:rPr>
        <w:t>protests against</w:t>
      </w:r>
      <w:proofErr w:type="gramEnd"/>
      <w:r w:rsidRPr="009C5E9D">
        <w:rPr>
          <w:b w:val="0"/>
          <w:bCs w:val="0"/>
          <w:sz w:val="24"/>
          <w:szCs w:val="24"/>
        </w:rPr>
        <w:t xml:space="preserve"> police brutality. </w:t>
      </w:r>
      <w:r>
        <w:rPr>
          <w:b w:val="0"/>
          <w:bCs w:val="0"/>
          <w:sz w:val="24"/>
          <w:szCs w:val="24"/>
        </w:rPr>
        <w:t xml:space="preserve">*** </w:t>
      </w:r>
      <w:r w:rsidRPr="009C5E9D">
        <w:rPr>
          <w:b w:val="0"/>
          <w:bCs w:val="0"/>
          <w:sz w:val="24"/>
          <w:szCs w:val="24"/>
        </w:rPr>
        <w:t xml:space="preserve">The complaints were published in an online database by the New York Civil Liberties Union, which obtained the records from the review board after state lawmakers </w:t>
      </w:r>
      <w:hyperlink r:id="rId3042" w:history="1">
        <w:r w:rsidRPr="009C5E9D">
          <w:rPr>
            <w:rStyle w:val="Hyperlink"/>
            <w:rFonts w:eastAsiaTheme="majorEastAsia"/>
            <w:b w:val="0"/>
            <w:bCs w:val="0"/>
            <w:sz w:val="24"/>
            <w:szCs w:val="24"/>
          </w:rPr>
          <w:t>repealed a law</w:t>
        </w:r>
      </w:hyperlink>
      <w:r w:rsidRPr="009C5E9D">
        <w:rPr>
          <w:b w:val="0"/>
          <w:bCs w:val="0"/>
          <w:sz w:val="24"/>
          <w:szCs w:val="24"/>
        </w:rPr>
        <w:t xml:space="preserve"> that had kept them secret.</w:t>
      </w:r>
      <w:bookmarkStart w:id="656" w:name="_Hlk66950954"/>
      <w:r w:rsidR="00F00958">
        <w:fldChar w:fldCharType="begin"/>
      </w:r>
      <w:r w:rsidR="00F00958">
        <w:instrText xml:space="preserve"> HYPERLINK "https://www.nytimes.com/2020/08/20/nyregion/nypd-ccrb-records-published.html" </w:instrText>
      </w:r>
      <w:r w:rsidR="00F00958">
        <w:fldChar w:fldCharType="separate"/>
      </w:r>
      <w:r w:rsidRPr="009C5E9D">
        <w:rPr>
          <w:rStyle w:val="Hyperlink"/>
          <w:b w:val="0"/>
          <w:bCs w:val="0"/>
          <w:sz w:val="24"/>
          <w:szCs w:val="24"/>
        </w:rPr>
        <w:t>https://www.nytimes.com/2020/08/20/nyregion/nypd-ccrb-records-published.html</w:t>
      </w:r>
      <w:r w:rsidR="00F00958">
        <w:rPr>
          <w:rStyle w:val="Hyperlink"/>
          <w:b w:val="0"/>
          <w:bCs w:val="0"/>
          <w:sz w:val="24"/>
          <w:szCs w:val="24"/>
        </w:rPr>
        <w:fldChar w:fldCharType="end"/>
      </w:r>
      <w:r w:rsidRPr="009C5E9D">
        <w:rPr>
          <w:b w:val="0"/>
          <w:bCs w:val="0"/>
          <w:sz w:val="24"/>
          <w:szCs w:val="24"/>
        </w:rPr>
        <w:t xml:space="preserve"> </w:t>
      </w:r>
    </w:p>
    <w:bookmarkEnd w:id="656"/>
    <w:p w14:paraId="6DAED484" w14:textId="77777777" w:rsidR="004B6144" w:rsidRPr="00C97C76" w:rsidRDefault="004B6144" w:rsidP="004B6144">
      <w:pPr>
        <w:pStyle w:val="NormalWeb"/>
        <w:ind w:left="720"/>
      </w:pPr>
      <w:r>
        <w:t xml:space="preserve">See review of state statutes on police disciplinary records.  </w:t>
      </w:r>
      <w:r w:rsidRPr="009C5E9D">
        <w:t xml:space="preserve">In </w:t>
      </w:r>
      <w:r>
        <w:t xml:space="preserve">12 </w:t>
      </w:r>
      <w:r w:rsidRPr="009C5E9D">
        <w:t>states where</w:t>
      </w:r>
      <w:r>
        <w:rPr>
          <w:b/>
          <w:bCs/>
        </w:rPr>
        <w:t xml:space="preserve"> “</w:t>
      </w:r>
      <w:r w:rsidRPr="00C97C76">
        <w:t>police disciplinary records are generally available to the public.</w:t>
      </w:r>
      <w:r>
        <w:t xml:space="preserve"> </w:t>
      </w:r>
      <w:r w:rsidRPr="00C97C76">
        <w:t>Many of these states still make records of unsubstantiated complaints or active investigations confidential.</w:t>
      </w:r>
      <w:r>
        <w:t xml:space="preserve">”  </w:t>
      </w:r>
      <w:hyperlink r:id="rId3043" w:history="1">
        <w:r w:rsidRPr="00C93B62">
          <w:rPr>
            <w:rStyle w:val="Hyperlink"/>
          </w:rPr>
          <w:t>https://project.wnyc.org/disciplinary-records/</w:t>
        </w:r>
      </w:hyperlink>
      <w:r>
        <w:t xml:space="preserve"> </w:t>
      </w:r>
    </w:p>
    <w:p w14:paraId="620CCCDA" w14:textId="77777777" w:rsidR="004B6144" w:rsidRDefault="004B6144" w:rsidP="004B6144">
      <w:pPr>
        <w:pStyle w:val="NoSpacing"/>
        <w:rPr>
          <w:rFonts w:ascii="Arial Black" w:hAnsi="Arial Black"/>
          <w:sz w:val="24"/>
          <w:szCs w:val="24"/>
        </w:rPr>
      </w:pPr>
    </w:p>
    <w:p w14:paraId="7D6C40AE" w14:textId="77777777" w:rsidR="004B6144" w:rsidRDefault="004B6144" w:rsidP="000C4DF5">
      <w:pPr>
        <w:pStyle w:val="NoSpacing"/>
        <w:rPr>
          <w:rFonts w:ascii="Arial Black" w:hAnsi="Arial Black"/>
          <w:sz w:val="24"/>
          <w:szCs w:val="24"/>
        </w:rPr>
      </w:pPr>
    </w:p>
    <w:p w14:paraId="4224944C" w14:textId="76B0F321" w:rsidR="00B532F6" w:rsidRDefault="00B532F6" w:rsidP="000C4DF5">
      <w:pPr>
        <w:pStyle w:val="NoSpacing"/>
        <w:rPr>
          <w:rFonts w:ascii="Arial Black" w:hAnsi="Arial Black"/>
          <w:sz w:val="24"/>
          <w:szCs w:val="24"/>
        </w:rPr>
      </w:pPr>
      <w:r>
        <w:rPr>
          <w:rFonts w:ascii="Arial Black" w:hAnsi="Arial Black"/>
          <w:sz w:val="24"/>
          <w:szCs w:val="24"/>
        </w:rPr>
        <w:t xml:space="preserve">18-6 </w:t>
      </w:r>
      <w:r w:rsidRPr="00695AE8">
        <w:rPr>
          <w:rFonts w:ascii="Times New Roman" w:hAnsi="Times New Roman"/>
          <w:sz w:val="24"/>
          <w:szCs w:val="24"/>
        </w:rPr>
        <w:t>[also filed, Chap. 13]</w:t>
      </w:r>
    </w:p>
    <w:p w14:paraId="58DC4A87" w14:textId="77777777" w:rsidR="00B532F6" w:rsidRDefault="00B532F6" w:rsidP="000C4DF5">
      <w:pPr>
        <w:pStyle w:val="NoSpacing"/>
        <w:rPr>
          <w:rFonts w:ascii="Arial Black" w:hAnsi="Arial Black"/>
          <w:sz w:val="24"/>
          <w:szCs w:val="24"/>
        </w:rPr>
      </w:pPr>
    </w:p>
    <w:p w14:paraId="4A05D0B4" w14:textId="77777777" w:rsidR="00B532F6" w:rsidRPr="004D5BFC" w:rsidRDefault="00B532F6" w:rsidP="00B532F6">
      <w:pPr>
        <w:rPr>
          <w:rFonts w:ascii="Arial Black" w:hAnsi="Arial Black"/>
          <w:sz w:val="28"/>
          <w:szCs w:val="28"/>
        </w:rPr>
      </w:pPr>
      <w:r>
        <w:rPr>
          <w:rFonts w:ascii="Arial Black" w:hAnsi="Arial Black"/>
          <w:sz w:val="28"/>
          <w:szCs w:val="28"/>
        </w:rPr>
        <w:t xml:space="preserve">OH:  TEMPORARY IMMUNITY DURING COVID-19 PANDEMIC – EMERGENCY RESPONDERS, SCHOOLS PROTECTED TORT LIABILITY  </w:t>
      </w:r>
    </w:p>
    <w:p w14:paraId="5C246806" w14:textId="77777777" w:rsidR="00B532F6" w:rsidRPr="00820E9C" w:rsidRDefault="00B532F6" w:rsidP="00B532F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14, 2020, Ohio Governor Mike DeWine signed House Bill 606 into law.  </w:t>
      </w:r>
      <w:r w:rsidRPr="00820E9C">
        <w:rPr>
          <w:rFonts w:ascii="Times New Roman" w:hAnsi="Times New Roman"/>
          <w:sz w:val="24"/>
          <w:szCs w:val="24"/>
        </w:rPr>
        <w:t xml:space="preserve">“The bill ensures civil immunity to individuals, schools, health care providers, businesses and other entities from lawsuits arising from exposure, transmission or contraction of COVID-19, or any mutation of the virus, </w:t>
      </w:r>
      <w:proofErr w:type="gramStart"/>
      <w:r w:rsidRPr="00820E9C">
        <w:rPr>
          <w:rFonts w:ascii="Times New Roman" w:hAnsi="Times New Roman"/>
          <w:sz w:val="24"/>
          <w:szCs w:val="24"/>
        </w:rPr>
        <w:t>as long as</w:t>
      </w:r>
      <w:proofErr w:type="gramEnd"/>
      <w:r w:rsidRPr="00820E9C">
        <w:rPr>
          <w:rFonts w:ascii="Times New Roman" w:hAnsi="Times New Roman"/>
          <w:sz w:val="24"/>
          <w:szCs w:val="24"/>
        </w:rPr>
        <w:t xml:space="preserve"> they were not showing reckless, intentional or willful misconduct. It also shields health care providers from liability in tort actions regarding the care and services they provide during this pandemic unless they were acting recklessly or displaying intentional </w:t>
      </w:r>
      <w:proofErr w:type="gramStart"/>
      <w:r w:rsidRPr="00820E9C">
        <w:rPr>
          <w:rFonts w:ascii="Times New Roman" w:hAnsi="Times New Roman"/>
          <w:sz w:val="24"/>
          <w:szCs w:val="24"/>
        </w:rPr>
        <w:t>misconduct.</w:t>
      </w:r>
      <w:r>
        <w:rPr>
          <w:rFonts w:ascii="Times New Roman" w:hAnsi="Times New Roman"/>
          <w:sz w:val="24"/>
          <w:szCs w:val="24"/>
        </w:rPr>
        <w:t>”</w:t>
      </w:r>
      <w:proofErr w:type="gramEnd"/>
      <w:r w:rsidRPr="00820E9C">
        <w:rPr>
          <w:rFonts w:ascii="Times New Roman" w:hAnsi="Times New Roman"/>
          <w:sz w:val="24"/>
          <w:szCs w:val="24"/>
        </w:rPr>
        <w:t xml:space="preserve"> </w:t>
      </w:r>
      <w:hyperlink r:id="rId3044" w:history="1">
        <w:r w:rsidRPr="00EA25E1">
          <w:rPr>
            <w:rStyle w:val="Hyperlink"/>
            <w:rFonts w:ascii="Times New Roman" w:hAnsi="Times New Roman"/>
            <w:sz w:val="24"/>
            <w:szCs w:val="24"/>
          </w:rPr>
          <w:t>https://www.wkbn.com/news/coronavirus/dewine-signs-law-giving-covid-19-lawsuit-immunity/</w:t>
        </w:r>
      </w:hyperlink>
      <w:r>
        <w:rPr>
          <w:rFonts w:ascii="Times New Roman" w:hAnsi="Times New Roman"/>
          <w:sz w:val="24"/>
          <w:szCs w:val="24"/>
        </w:rPr>
        <w:t xml:space="preserve">  This will be particularly helpful to FDs that host paramedic and EMS students needing “ride time” for their certifications. See the statute: </w:t>
      </w:r>
      <w:hyperlink r:id="rId3045" w:history="1">
        <w:r w:rsidRPr="00EA25E1">
          <w:rPr>
            <w:rStyle w:val="Hyperlink"/>
            <w:rFonts w:ascii="Times New Roman" w:hAnsi="Times New Roman"/>
            <w:sz w:val="24"/>
            <w:szCs w:val="24"/>
          </w:rPr>
          <w:t>https://www.hannah.com/ShowDocument.aspx?BTextID=219206</w:t>
        </w:r>
      </w:hyperlink>
      <w:r>
        <w:rPr>
          <w:rFonts w:ascii="Times New Roman" w:hAnsi="Times New Roman"/>
          <w:sz w:val="24"/>
          <w:szCs w:val="24"/>
        </w:rPr>
        <w:t xml:space="preserve"> </w:t>
      </w:r>
    </w:p>
    <w:p w14:paraId="7BB797D3"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statute is an excellent example of legislation providing immunity from tort liability during the pandemic for those serving others, including emergency responders.  </w:t>
      </w:r>
    </w:p>
    <w:p w14:paraId="4D487E33" w14:textId="77777777" w:rsidR="00B532F6" w:rsidRPr="00E85202" w:rsidRDefault="00B532F6" w:rsidP="00B532F6">
      <w:pPr>
        <w:spacing w:before="100" w:beforeAutospacing="1" w:after="100" w:afterAutospacing="1" w:line="240" w:lineRule="auto"/>
        <w:ind w:left="720"/>
        <w:rPr>
          <w:rFonts w:ascii="Times New Roman" w:eastAsia="Times New Roman" w:hAnsi="Times New Roman"/>
          <w:sz w:val="24"/>
          <w:szCs w:val="24"/>
        </w:rPr>
      </w:pPr>
      <w:r w:rsidRPr="00E85202">
        <w:rPr>
          <w:rFonts w:ascii="Times New Roman" w:eastAsia="Times New Roman" w:hAnsi="Times New Roman"/>
          <w:sz w:val="24"/>
          <w:szCs w:val="24"/>
        </w:rPr>
        <w:t xml:space="preserve">Note: See legislative history: </w:t>
      </w:r>
      <w:hyperlink r:id="rId3046" w:history="1">
        <w:r w:rsidRPr="00EA25E1">
          <w:rPr>
            <w:rStyle w:val="Hyperlink"/>
            <w:rFonts w:ascii="Times New Roman" w:eastAsia="Times New Roman" w:hAnsi="Times New Roman"/>
            <w:sz w:val="24"/>
            <w:szCs w:val="24"/>
          </w:rPr>
          <w:t>https://www.legislature.ohio.gov/legislation/legislation-documents?id=GA133-HB-606</w:t>
        </w:r>
      </w:hyperlink>
      <w:r w:rsidRPr="00E85202">
        <w:rPr>
          <w:rFonts w:ascii="Times New Roman" w:eastAsia="Times New Roman" w:hAnsi="Times New Roman"/>
          <w:sz w:val="24"/>
          <w:szCs w:val="24"/>
        </w:rPr>
        <w:t xml:space="preserve"> </w:t>
      </w:r>
    </w:p>
    <w:p w14:paraId="711E50CD" w14:textId="77777777" w:rsidR="00B532F6" w:rsidRDefault="00B532F6" w:rsidP="00B532F6">
      <w:pPr>
        <w:rPr>
          <w:rFonts w:ascii="Arial Black" w:hAnsi="Arial Black"/>
          <w:b/>
          <w:bCs/>
          <w:sz w:val="28"/>
          <w:szCs w:val="28"/>
        </w:rPr>
      </w:pPr>
    </w:p>
    <w:p w14:paraId="43F5DC00" w14:textId="77777777" w:rsidR="00B532F6" w:rsidRDefault="00B532F6" w:rsidP="000C4DF5">
      <w:pPr>
        <w:pStyle w:val="NoSpacing"/>
        <w:rPr>
          <w:rFonts w:ascii="Arial Black" w:hAnsi="Arial Black"/>
          <w:sz w:val="24"/>
          <w:szCs w:val="24"/>
        </w:rPr>
      </w:pPr>
    </w:p>
    <w:p w14:paraId="66279F45" w14:textId="77777777" w:rsidR="00B532F6" w:rsidRDefault="00B532F6" w:rsidP="000C4DF5">
      <w:pPr>
        <w:pStyle w:val="NoSpacing"/>
        <w:rPr>
          <w:rFonts w:ascii="Arial Black" w:hAnsi="Arial Black"/>
          <w:sz w:val="24"/>
          <w:szCs w:val="24"/>
        </w:rPr>
      </w:pPr>
    </w:p>
    <w:p w14:paraId="545E9CDF" w14:textId="1059F563" w:rsidR="0003275C" w:rsidRPr="0003275C" w:rsidRDefault="0003275C" w:rsidP="000C4DF5">
      <w:pPr>
        <w:pStyle w:val="NoSpacing"/>
        <w:rPr>
          <w:rFonts w:ascii="Times New Roman" w:hAnsi="Times New Roman"/>
          <w:sz w:val="24"/>
          <w:szCs w:val="24"/>
        </w:rPr>
      </w:pPr>
      <w:r>
        <w:rPr>
          <w:rFonts w:ascii="Arial Black" w:hAnsi="Arial Black"/>
          <w:sz w:val="24"/>
          <w:szCs w:val="24"/>
        </w:rPr>
        <w:t xml:space="preserve">18-5 </w:t>
      </w:r>
    </w:p>
    <w:p w14:paraId="4BBD5A37" w14:textId="3A3AC2ED" w:rsidR="0003275C" w:rsidRDefault="0003275C" w:rsidP="000C4DF5">
      <w:pPr>
        <w:pStyle w:val="NoSpacing"/>
        <w:rPr>
          <w:rFonts w:ascii="Arial Black" w:hAnsi="Arial Black"/>
          <w:sz w:val="24"/>
          <w:szCs w:val="24"/>
        </w:rPr>
      </w:pPr>
    </w:p>
    <w:p w14:paraId="451E8559" w14:textId="77777777" w:rsidR="0003275C" w:rsidRPr="001D76B8" w:rsidRDefault="0003275C" w:rsidP="0003275C">
      <w:pPr>
        <w:pStyle w:val="NoSpacing"/>
        <w:rPr>
          <w:rFonts w:ascii="Arial Black" w:hAnsi="Arial Black"/>
          <w:sz w:val="28"/>
          <w:szCs w:val="28"/>
        </w:rPr>
      </w:pPr>
      <w:r w:rsidRPr="00DE7C27">
        <w:rPr>
          <w:rFonts w:ascii="Arial Black" w:hAnsi="Arial Black"/>
          <w:sz w:val="28"/>
          <w:szCs w:val="28"/>
        </w:rPr>
        <w:t>TX</w:t>
      </w:r>
      <w:r>
        <w:rPr>
          <w:rFonts w:ascii="Arial Black" w:hAnsi="Arial Black"/>
          <w:sz w:val="28"/>
          <w:szCs w:val="28"/>
        </w:rPr>
        <w:t>: AIR AMBULANCE – WORKERS COMP – FED. AIRLINE DEREGULATION ACT NOT REQUIRE PAY FULL CHARGES</w:t>
      </w:r>
    </w:p>
    <w:p w14:paraId="3EEE7E06" w14:textId="77777777" w:rsidR="0003275C" w:rsidRPr="00AA3FDF" w:rsidRDefault="0003275C" w:rsidP="0003275C">
      <w:pPr>
        <w:pStyle w:val="NoSpacing"/>
        <w:rPr>
          <w:rFonts w:ascii="Times New Roman" w:hAnsi="Times New Roman"/>
          <w:sz w:val="24"/>
          <w:szCs w:val="24"/>
        </w:rPr>
      </w:pPr>
    </w:p>
    <w:p w14:paraId="7B54DADB" w14:textId="6DE68114" w:rsidR="0003275C" w:rsidRDefault="0003275C" w:rsidP="0003275C">
      <w:pPr>
        <w:pStyle w:val="NoSpacing"/>
        <w:rPr>
          <w:rStyle w:val="Hyperlink"/>
          <w:rFonts w:ascii="Times New Roman" w:hAnsi="Times New Roman"/>
          <w:sz w:val="24"/>
          <w:szCs w:val="24"/>
        </w:rPr>
      </w:pPr>
      <w:r w:rsidRPr="00AA3FDF">
        <w:rPr>
          <w:rFonts w:ascii="Times New Roman" w:hAnsi="Times New Roman"/>
          <w:sz w:val="24"/>
          <w:szCs w:val="24"/>
        </w:rPr>
        <w:t xml:space="preserve">On </w:t>
      </w:r>
      <w:r>
        <w:rPr>
          <w:rFonts w:ascii="Times New Roman" w:hAnsi="Times New Roman"/>
          <w:sz w:val="24"/>
          <w:szCs w:val="24"/>
        </w:rPr>
        <w:t xml:space="preserve">June 26, 2020, in </w:t>
      </w:r>
      <w:r w:rsidRPr="00AA3FDF">
        <w:rPr>
          <w:rFonts w:ascii="Times New Roman" w:hAnsi="Times New Roman"/>
          <w:sz w:val="24"/>
          <w:szCs w:val="24"/>
          <w:u w:val="single"/>
        </w:rPr>
        <w:t>Texas Mutual Insurance Company, et al. v. PHI Air Medical, LLC</w:t>
      </w:r>
      <w:r>
        <w:rPr>
          <w:rFonts w:ascii="Times New Roman" w:hAnsi="Times New Roman"/>
          <w:sz w:val="24"/>
          <w:szCs w:val="24"/>
        </w:rPr>
        <w:t xml:space="preserve">, the Texas Supreme Court held (7 to 2) that workers comp insurance companies in Texas are only required to pay using the Texas “general reimbursement standards” and the federal Airline Deregulation Act does not provide require Texas to change their reimbursement standards. </w:t>
      </w:r>
      <w:r w:rsidRPr="00AA3FDF">
        <w:rPr>
          <w:rFonts w:ascii="Times New Roman" w:hAnsi="Times New Roman"/>
          <w:sz w:val="24"/>
          <w:szCs w:val="24"/>
        </w:rPr>
        <w:t xml:space="preserve">“This is a case about federalism. When joining our Union, each State retained fundamental aspects of its sovereignty. This sovereignty includes the </w:t>
      </w:r>
      <w:proofErr w:type="gramStart"/>
      <w:r w:rsidRPr="00AA3FDF">
        <w:rPr>
          <w:rFonts w:ascii="Times New Roman" w:hAnsi="Times New Roman"/>
          <w:sz w:val="24"/>
          <w:szCs w:val="24"/>
        </w:rPr>
        <w:t>police</w:t>
      </w:r>
      <w:proofErr w:type="gramEnd"/>
      <w:r w:rsidRPr="00AA3FDF">
        <w:rPr>
          <w:rFonts w:ascii="Times New Roman" w:hAnsi="Times New Roman"/>
          <w:sz w:val="24"/>
          <w:szCs w:val="24"/>
        </w:rPr>
        <w:t xml:space="preserve"> power to provide a compensation system for injured workers. Although the Federal Government can preempt a </w:t>
      </w:r>
      <w:proofErr w:type="gramStart"/>
      <w:r w:rsidRPr="00AA3FDF">
        <w:rPr>
          <w:rFonts w:ascii="Times New Roman" w:hAnsi="Times New Roman"/>
          <w:sz w:val="24"/>
          <w:szCs w:val="24"/>
        </w:rPr>
        <w:t>State's</w:t>
      </w:r>
      <w:proofErr w:type="gramEnd"/>
      <w:r w:rsidRPr="00AA3FDF">
        <w:rPr>
          <w:rFonts w:ascii="Times New Roman" w:hAnsi="Times New Roman"/>
          <w:sz w:val="24"/>
          <w:szCs w:val="24"/>
        </w:rPr>
        <w:t xml:space="preserve"> exercise of sovereignty by enacting an inconsistent federal law on a subject within its constitutionally enumerated powers, it has no power to order that State to regulate the subject in a particular way.”</w:t>
      </w:r>
      <w:r>
        <w:rPr>
          <w:rFonts w:ascii="Times New Roman" w:hAnsi="Times New Roman"/>
          <w:sz w:val="24"/>
          <w:szCs w:val="24"/>
        </w:rPr>
        <w:t xml:space="preserve"> </w:t>
      </w:r>
      <w:hyperlink r:id="rId3047" w:history="1">
        <w:r w:rsidRPr="007062AF">
          <w:rPr>
            <w:rStyle w:val="Hyperlink"/>
            <w:rFonts w:ascii="Times New Roman" w:hAnsi="Times New Roman"/>
            <w:sz w:val="24"/>
            <w:szCs w:val="24"/>
          </w:rPr>
          <w:t>https://public.fastcase.com/Wl%2B2t%2BeVuI35%2FN70vAMFZk1fYI9cwrY3IkIgZcFpE1Hk%2FIolkI7JdZ%2BewTVypbzK</w:t>
        </w:r>
      </w:hyperlink>
    </w:p>
    <w:p w14:paraId="3EF2CFCE" w14:textId="041AEF47" w:rsidR="0003275C" w:rsidRDefault="0003275C" w:rsidP="0003275C">
      <w:pPr>
        <w:pStyle w:val="NoSpacing"/>
        <w:rPr>
          <w:rStyle w:val="Hyperlink"/>
          <w:rFonts w:ascii="Times New Roman" w:hAnsi="Times New Roman"/>
          <w:sz w:val="24"/>
          <w:szCs w:val="24"/>
        </w:rPr>
      </w:pPr>
    </w:p>
    <w:p w14:paraId="533D2B75" w14:textId="77777777" w:rsidR="0003275C" w:rsidRDefault="0003275C" w:rsidP="0003275C">
      <w:pPr>
        <w:pStyle w:val="NoSpacing"/>
        <w:rPr>
          <w:rFonts w:ascii="Times New Roman" w:eastAsia="Times New Roman" w:hAnsi="Times New Roman"/>
          <w:b/>
          <w:bCs/>
          <w:sz w:val="24"/>
          <w:szCs w:val="24"/>
        </w:rPr>
      </w:pPr>
      <w:r>
        <w:rPr>
          <w:rFonts w:ascii="Times New Roman" w:eastAsia="Times New Roman" w:hAnsi="Times New Roman"/>
          <w:b/>
          <w:bCs/>
          <w:sz w:val="24"/>
          <w:szCs w:val="24"/>
        </w:rPr>
        <w:t>Legal Lessons Learned: The federal Airline Deregulation Act contains no reimbursement requirement for air ambulances.</w:t>
      </w:r>
    </w:p>
    <w:p w14:paraId="6CB907B6" w14:textId="77777777" w:rsidR="0003275C" w:rsidRPr="00D54047" w:rsidRDefault="0003275C" w:rsidP="0003275C">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The two dissenting </w:t>
      </w:r>
      <w:proofErr w:type="gramStart"/>
      <w:r>
        <w:rPr>
          <w:rFonts w:ascii="Times New Roman" w:eastAsia="Times New Roman" w:hAnsi="Times New Roman"/>
          <w:sz w:val="24"/>
          <w:szCs w:val="24"/>
        </w:rPr>
        <w:t>Justices</w:t>
      </w:r>
      <w:proofErr w:type="gramEnd"/>
      <w:r>
        <w:rPr>
          <w:rFonts w:ascii="Times New Roman" w:eastAsia="Times New Roman" w:hAnsi="Times New Roman"/>
          <w:sz w:val="24"/>
          <w:szCs w:val="24"/>
        </w:rPr>
        <w:t xml:space="preserve"> opinion:</w:t>
      </w:r>
    </w:p>
    <w:p w14:paraId="1169B3A7" w14:textId="77777777" w:rsidR="0003275C" w:rsidRDefault="0003275C" w:rsidP="0003275C">
      <w:pPr>
        <w:pStyle w:val="NoSpacing"/>
        <w:ind w:left="720"/>
        <w:rPr>
          <w:rFonts w:ascii="Times New Roman" w:hAnsi="Times New Roman"/>
          <w:sz w:val="24"/>
          <w:szCs w:val="24"/>
        </w:rPr>
      </w:pPr>
      <w:r>
        <w:rPr>
          <w:rFonts w:ascii="Times New Roman" w:eastAsia="Times New Roman" w:hAnsi="Times New Roman"/>
          <w:b/>
          <w:bCs/>
          <w:sz w:val="24"/>
          <w:szCs w:val="24"/>
        </w:rPr>
        <w:t>“</w:t>
      </w:r>
      <w:r w:rsidRPr="00D54047">
        <w:rPr>
          <w:rFonts w:ascii="Times New Roman" w:hAnsi="Times New Roman"/>
          <w:sz w:val="24"/>
          <w:szCs w:val="24"/>
        </w:rPr>
        <w:t>And Congress, when it decided to deregulate air carrier prices</w:t>
      </w:r>
      <w:r>
        <w:rPr>
          <w:rFonts w:ascii="Times New Roman" w:hAnsi="Times New Roman"/>
          <w:sz w:val="24"/>
          <w:szCs w:val="24"/>
        </w:rPr>
        <w:t xml:space="preserve"> [1978 Airline Deregulation Act]</w:t>
      </w:r>
      <w:r w:rsidRPr="00D54047">
        <w:rPr>
          <w:rFonts w:ascii="Times New Roman" w:hAnsi="Times New Roman"/>
          <w:sz w:val="24"/>
          <w:szCs w:val="24"/>
        </w:rPr>
        <w:t>, did so with the understanding that its deregulation would allow air carriers to set their own prices—not the state or those who pay air carriers consistent with state guidelines.</w:t>
      </w:r>
      <w:r>
        <w:rPr>
          <w:rFonts w:ascii="Times New Roman" w:hAnsi="Times New Roman"/>
          <w:sz w:val="24"/>
          <w:szCs w:val="24"/>
        </w:rPr>
        <w:t xml:space="preserve"> *** </w:t>
      </w:r>
      <w:r w:rsidRPr="00D54047">
        <w:rPr>
          <w:rFonts w:ascii="Times New Roman" w:hAnsi="Times New Roman"/>
          <w:sz w:val="24"/>
          <w:szCs w:val="24"/>
        </w:rPr>
        <w:t xml:space="preserve">After the insurers paid PHI based on the reimbursement scheme, PHI sought a medical fee dispute resolution before the Division, which ultimately concluded that reimbursement should be </w:t>
      </w:r>
      <w:r>
        <w:rPr>
          <w:rFonts w:ascii="Times New Roman" w:hAnsi="Times New Roman"/>
          <w:sz w:val="24"/>
          <w:szCs w:val="24"/>
        </w:rPr>
        <w:t>‘</w:t>
      </w:r>
      <w:r w:rsidRPr="00D54047">
        <w:rPr>
          <w:rFonts w:ascii="Times New Roman" w:hAnsi="Times New Roman"/>
          <w:sz w:val="24"/>
          <w:szCs w:val="24"/>
        </w:rPr>
        <w:t>fair and reasonable,</w:t>
      </w:r>
      <w:r>
        <w:rPr>
          <w:rFonts w:ascii="Times New Roman" w:hAnsi="Times New Roman"/>
          <w:sz w:val="24"/>
          <w:szCs w:val="24"/>
        </w:rPr>
        <w:t>’</w:t>
      </w:r>
      <w:r w:rsidRPr="00D54047">
        <w:rPr>
          <w:rFonts w:ascii="Times New Roman" w:hAnsi="Times New Roman"/>
          <w:sz w:val="24"/>
          <w:szCs w:val="24"/>
        </w:rPr>
        <w:t xml:space="preserve"> amounting to 125 percent of Medicare service rates. The administrative law judge determined</w:t>
      </w:r>
      <w:r>
        <w:rPr>
          <w:rFonts w:ascii="Times New Roman" w:hAnsi="Times New Roman"/>
          <w:sz w:val="24"/>
          <w:szCs w:val="24"/>
        </w:rPr>
        <w:t xml:space="preserve"> </w:t>
      </w:r>
      <w:r w:rsidRPr="00D54047">
        <w:rPr>
          <w:rFonts w:ascii="Times New Roman" w:hAnsi="Times New Roman"/>
          <w:sz w:val="24"/>
          <w:szCs w:val="24"/>
        </w:rPr>
        <w:t>on appeal</w:t>
      </w:r>
      <w:r>
        <w:rPr>
          <w:rFonts w:ascii="Times New Roman" w:hAnsi="Times New Roman"/>
          <w:sz w:val="24"/>
          <w:szCs w:val="24"/>
        </w:rPr>
        <w:t xml:space="preserve"> </w:t>
      </w:r>
      <w:r w:rsidRPr="00D54047">
        <w:rPr>
          <w:rFonts w:ascii="Times New Roman" w:hAnsi="Times New Roman"/>
          <w:sz w:val="24"/>
          <w:szCs w:val="24"/>
        </w:rPr>
        <w:t>that the “fair and reasonable” rate was 149 percent of Medicare service rates.</w:t>
      </w:r>
      <w:r>
        <w:rPr>
          <w:rFonts w:ascii="Times New Roman" w:hAnsi="Times New Roman"/>
          <w:sz w:val="24"/>
          <w:szCs w:val="24"/>
        </w:rPr>
        <w:t xml:space="preserve"> </w:t>
      </w:r>
      <w:r w:rsidRPr="00D54047">
        <w:rPr>
          <w:rFonts w:ascii="Times New Roman" w:hAnsi="Times New Roman"/>
          <w:sz w:val="24"/>
          <w:szCs w:val="24"/>
        </w:rPr>
        <w:t xml:space="preserve">The administrative law judge then ordered the insurers to pay an amount consistent with this newly determined “fair and reasonable” amount. Under both approaches—125 or 149 percent—the amount owed was less than the amount PHI charged. After the adjustment, the requisite payment </w:t>
      </w:r>
      <w:proofErr w:type="gramStart"/>
      <w:r w:rsidRPr="00D54047">
        <w:rPr>
          <w:rFonts w:ascii="Times New Roman" w:hAnsi="Times New Roman"/>
          <w:sz w:val="24"/>
          <w:szCs w:val="24"/>
        </w:rPr>
        <w:t>foreach</w:t>
      </w:r>
      <w:proofErr w:type="gramEnd"/>
      <w:r w:rsidRPr="00D54047">
        <w:rPr>
          <w:rFonts w:ascii="Times New Roman" w:hAnsi="Times New Roman"/>
          <w:sz w:val="24"/>
          <w:szCs w:val="24"/>
        </w:rPr>
        <w:t xml:space="preserve"> transport would be between $9,989 and</w:t>
      </w:r>
      <w:r>
        <w:rPr>
          <w:rFonts w:ascii="Times New Roman" w:hAnsi="Times New Roman"/>
          <w:sz w:val="24"/>
          <w:szCs w:val="24"/>
        </w:rPr>
        <w:t xml:space="preserve"> </w:t>
      </w:r>
      <w:r w:rsidRPr="00D54047">
        <w:rPr>
          <w:rFonts w:ascii="Times New Roman" w:hAnsi="Times New Roman"/>
          <w:sz w:val="24"/>
          <w:szCs w:val="24"/>
        </w:rPr>
        <w:t xml:space="preserve">$28,000 </w:t>
      </w:r>
    </w:p>
    <w:p w14:paraId="1F1DBBC0" w14:textId="77777777" w:rsidR="0003275C" w:rsidRDefault="0003275C" w:rsidP="0003275C">
      <w:pPr>
        <w:pStyle w:val="NoSpacing"/>
        <w:ind w:left="720"/>
        <w:rPr>
          <w:rFonts w:ascii="Times New Roman" w:hAnsi="Times New Roman"/>
          <w:sz w:val="24"/>
          <w:szCs w:val="24"/>
        </w:rPr>
      </w:pPr>
      <w:hyperlink r:id="rId3048" w:history="1">
        <w:r w:rsidRPr="007062AF">
          <w:rPr>
            <w:rStyle w:val="Hyperlink"/>
            <w:rFonts w:ascii="Times New Roman" w:hAnsi="Times New Roman"/>
            <w:sz w:val="24"/>
            <w:szCs w:val="24"/>
          </w:rPr>
          <w:t>https://cases.justia.com/texas/supreme-court/2020-18-0216-1.pdf?ts=1593180294</w:t>
        </w:r>
      </w:hyperlink>
      <w:r>
        <w:rPr>
          <w:rFonts w:ascii="Times New Roman" w:hAnsi="Times New Roman"/>
          <w:sz w:val="24"/>
          <w:szCs w:val="24"/>
        </w:rPr>
        <w:t xml:space="preserve"> </w:t>
      </w:r>
      <w:r w:rsidRPr="00537A08">
        <w:rPr>
          <w:rFonts w:ascii="Times New Roman" w:hAnsi="Times New Roman"/>
          <w:sz w:val="24"/>
          <w:szCs w:val="24"/>
        </w:rPr>
        <w:t xml:space="preserve"> </w:t>
      </w:r>
    </w:p>
    <w:p w14:paraId="185A1751" w14:textId="77777777" w:rsidR="0003275C" w:rsidRDefault="0003275C" w:rsidP="0003275C">
      <w:pPr>
        <w:pStyle w:val="NoSpacing"/>
        <w:rPr>
          <w:rFonts w:ascii="Arial Black" w:hAnsi="Arial Black"/>
          <w:sz w:val="24"/>
          <w:szCs w:val="24"/>
        </w:rPr>
      </w:pPr>
    </w:p>
    <w:p w14:paraId="559120F8" w14:textId="77777777" w:rsidR="0003275C" w:rsidRDefault="0003275C" w:rsidP="000C4DF5">
      <w:pPr>
        <w:pStyle w:val="NoSpacing"/>
        <w:rPr>
          <w:rFonts w:ascii="Arial Black" w:hAnsi="Arial Black"/>
          <w:sz w:val="24"/>
          <w:szCs w:val="24"/>
        </w:rPr>
      </w:pPr>
    </w:p>
    <w:p w14:paraId="1D60BCAE" w14:textId="4CB4F7BE" w:rsidR="00420322" w:rsidRDefault="00420322" w:rsidP="000C4DF5">
      <w:pPr>
        <w:pStyle w:val="NoSpacing"/>
        <w:rPr>
          <w:rFonts w:ascii="Arial Black" w:hAnsi="Arial Black"/>
          <w:sz w:val="24"/>
          <w:szCs w:val="24"/>
        </w:rPr>
      </w:pPr>
      <w:bookmarkStart w:id="657" w:name="_Hlk66951044"/>
      <w:r>
        <w:rPr>
          <w:rFonts w:ascii="Arial Black" w:hAnsi="Arial Black"/>
          <w:sz w:val="24"/>
          <w:szCs w:val="24"/>
        </w:rPr>
        <w:t>18-4</w:t>
      </w:r>
    </w:p>
    <w:p w14:paraId="49E99C21" w14:textId="22177DD3" w:rsidR="00420322" w:rsidRDefault="00420322" w:rsidP="000C4DF5">
      <w:pPr>
        <w:pStyle w:val="NoSpacing"/>
        <w:rPr>
          <w:rFonts w:ascii="Arial Black" w:hAnsi="Arial Black"/>
          <w:sz w:val="24"/>
          <w:szCs w:val="24"/>
        </w:rPr>
      </w:pPr>
    </w:p>
    <w:p w14:paraId="2AACC266" w14:textId="77777777" w:rsidR="00420322" w:rsidRPr="00B01F90" w:rsidRDefault="00420322" w:rsidP="00420322">
      <w:pPr>
        <w:rPr>
          <w:rFonts w:ascii="Arial Black" w:hAnsi="Arial Black"/>
          <w:sz w:val="28"/>
          <w:szCs w:val="28"/>
        </w:rPr>
      </w:pPr>
      <w:bookmarkStart w:id="658" w:name="_Hlk39773435"/>
      <w:r w:rsidRPr="00B01F90">
        <w:rPr>
          <w:rFonts w:ascii="Arial Black" w:hAnsi="Arial Black"/>
          <w:sz w:val="28"/>
          <w:szCs w:val="28"/>
        </w:rPr>
        <w:t>PA</w:t>
      </w:r>
      <w:r>
        <w:rPr>
          <w:rFonts w:ascii="Arial Black" w:hAnsi="Arial Black"/>
          <w:sz w:val="28"/>
          <w:szCs w:val="28"/>
        </w:rPr>
        <w:t xml:space="preserve">: </w:t>
      </w:r>
      <w:r w:rsidRPr="00B01F90">
        <w:rPr>
          <w:rFonts w:ascii="Arial Black" w:hAnsi="Arial Black"/>
          <w:sz w:val="28"/>
          <w:szCs w:val="28"/>
        </w:rPr>
        <w:t>PHIL</w:t>
      </w:r>
      <w:r>
        <w:rPr>
          <w:rFonts w:ascii="Arial Black" w:hAnsi="Arial Black"/>
          <w:sz w:val="28"/>
          <w:szCs w:val="28"/>
        </w:rPr>
        <w:t xml:space="preserve">ADEPHIA </w:t>
      </w:r>
      <w:r w:rsidRPr="00B01F90">
        <w:rPr>
          <w:rFonts w:ascii="Arial Black" w:hAnsi="Arial Black"/>
          <w:sz w:val="28"/>
          <w:szCs w:val="28"/>
        </w:rPr>
        <w:t xml:space="preserve">FF WITH LUNG CANCER – SMOKER </w:t>
      </w:r>
      <w:r>
        <w:rPr>
          <w:rFonts w:ascii="Arial Black" w:hAnsi="Arial Black"/>
          <w:sz w:val="28"/>
          <w:szCs w:val="28"/>
        </w:rPr>
        <w:t>–</w:t>
      </w:r>
      <w:r w:rsidRPr="00B01F90">
        <w:rPr>
          <w:rFonts w:ascii="Arial Black" w:hAnsi="Arial Black"/>
          <w:sz w:val="28"/>
          <w:szCs w:val="28"/>
        </w:rPr>
        <w:t xml:space="preserve"> </w:t>
      </w:r>
      <w:r>
        <w:rPr>
          <w:rFonts w:ascii="Arial Black" w:hAnsi="Arial Black"/>
          <w:sz w:val="28"/>
          <w:szCs w:val="28"/>
        </w:rPr>
        <w:t xml:space="preserve">WILL RECEIVE WORKERS COMP BENEFITS – 2011 </w:t>
      </w:r>
      <w:r w:rsidRPr="00B01F90">
        <w:rPr>
          <w:rFonts w:ascii="Arial Black" w:hAnsi="Arial Black"/>
          <w:sz w:val="28"/>
          <w:szCs w:val="28"/>
        </w:rPr>
        <w:t>STATUTORY PRESUMPTION</w:t>
      </w:r>
      <w:r>
        <w:rPr>
          <w:rFonts w:ascii="Arial Black" w:hAnsi="Arial Black"/>
          <w:sz w:val="28"/>
          <w:szCs w:val="28"/>
        </w:rPr>
        <w:t xml:space="preserve"> LAW</w:t>
      </w:r>
    </w:p>
    <w:p w14:paraId="40AA9F4B" w14:textId="77777777" w:rsidR="00420322" w:rsidRDefault="00420322" w:rsidP="00420322">
      <w:pPr>
        <w:rPr>
          <w:rFonts w:ascii="Times New Roman" w:hAnsi="Times New Roman"/>
          <w:sz w:val="24"/>
          <w:szCs w:val="24"/>
        </w:rPr>
      </w:pPr>
      <w:r w:rsidRPr="00B01F90">
        <w:rPr>
          <w:rFonts w:ascii="Times New Roman" w:hAnsi="Times New Roman"/>
          <w:sz w:val="24"/>
          <w:szCs w:val="24"/>
        </w:rPr>
        <w:t xml:space="preserve">On </w:t>
      </w:r>
      <w:bookmarkStart w:id="659" w:name="_Hlk39861439"/>
      <w:r w:rsidRPr="00B01F90">
        <w:rPr>
          <w:rFonts w:ascii="Times New Roman" w:hAnsi="Times New Roman"/>
          <w:sz w:val="24"/>
          <w:szCs w:val="24"/>
        </w:rPr>
        <w:t xml:space="preserve">Jan. 3, 2020, in </w:t>
      </w:r>
      <w:r w:rsidRPr="00B01F90">
        <w:rPr>
          <w:rFonts w:ascii="Times New Roman" w:hAnsi="Times New Roman"/>
          <w:sz w:val="24"/>
          <w:szCs w:val="24"/>
          <w:u w:val="single"/>
        </w:rPr>
        <w:t>Wayne Deloatch v. Workers’ Compensation Appeal Board (City of Philadelphia)</w:t>
      </w:r>
      <w:r>
        <w:rPr>
          <w:rFonts w:ascii="Times New Roman" w:hAnsi="Times New Roman"/>
          <w:sz w:val="24"/>
          <w:szCs w:val="24"/>
        </w:rPr>
        <w:t xml:space="preserve">, </w:t>
      </w:r>
      <w:bookmarkEnd w:id="659"/>
      <w:r>
        <w:rPr>
          <w:rFonts w:ascii="Times New Roman" w:hAnsi="Times New Roman"/>
          <w:sz w:val="24"/>
          <w:szCs w:val="24"/>
        </w:rPr>
        <w:t xml:space="preserve">the Commonwealth Court of Pennsylvania held (3 to 0) that the firefighter is entitled to benefits.  </w:t>
      </w:r>
    </w:p>
    <w:bookmarkEnd w:id="657"/>
    <w:p w14:paraId="6CADCAB9" w14:textId="77777777" w:rsidR="00420322" w:rsidRPr="00F56F6D" w:rsidRDefault="00420322" w:rsidP="00420322">
      <w:pPr>
        <w:spacing w:before="100" w:beforeAutospacing="1" w:after="100" w:afterAutospacing="1" w:line="240" w:lineRule="auto"/>
        <w:ind w:left="720"/>
        <w:rPr>
          <w:rFonts w:ascii="Times New Roman" w:eastAsia="Times New Roman" w:hAnsi="Times New Roman"/>
          <w:sz w:val="24"/>
          <w:szCs w:val="24"/>
        </w:rPr>
      </w:pPr>
      <w:r w:rsidRPr="00B01F90">
        <w:rPr>
          <w:rFonts w:ascii="Times New Roman" w:eastAsia="Times New Roman" w:hAnsi="Times New Roman"/>
          <w:sz w:val="24"/>
          <w:szCs w:val="24"/>
        </w:rPr>
        <w:t>“</w:t>
      </w:r>
      <w:r w:rsidRPr="00B01F90">
        <w:rPr>
          <w:rFonts w:ascii="Times New Roman" w:hAnsi="Times New Roman"/>
          <w:sz w:val="24"/>
          <w:szCs w:val="24"/>
        </w:rPr>
        <w:t>During Claimant's firefighting career (20 years), he fought approximately 200-300 fires, including building, house, car, dumpster, trash, grass, and field fires, which exposed him to smoke.</w:t>
      </w:r>
      <w:r>
        <w:rPr>
          <w:rFonts w:ascii="Times New Roman" w:hAnsi="Times New Roman"/>
          <w:sz w:val="24"/>
          <w:szCs w:val="24"/>
        </w:rPr>
        <w:t xml:space="preserve"> *** </w:t>
      </w:r>
      <w:r w:rsidRPr="00B01F90">
        <w:rPr>
          <w:rFonts w:ascii="Times New Roman" w:eastAsia="Times New Roman" w:hAnsi="Times New Roman"/>
          <w:sz w:val="24"/>
          <w:szCs w:val="24"/>
        </w:rPr>
        <w:t>Claimant did not use the SCBA during exterior firefighting—</w:t>
      </w:r>
      <w:r w:rsidRPr="00B01F90">
        <w:rPr>
          <w:rFonts w:ascii="Times New Roman" w:eastAsia="Times New Roman" w:hAnsi="Times New Roman"/>
          <w:i/>
          <w:iCs/>
          <w:sz w:val="24"/>
          <w:szCs w:val="24"/>
        </w:rPr>
        <w:t>i</w:t>
      </w:r>
      <w:r w:rsidRPr="00B01F90">
        <w:rPr>
          <w:rFonts w:ascii="Times New Roman" w:eastAsia="Times New Roman" w:hAnsi="Times New Roman"/>
          <w:sz w:val="24"/>
          <w:szCs w:val="24"/>
        </w:rPr>
        <w:t>.</w:t>
      </w:r>
      <w:r w:rsidRPr="00B01F90">
        <w:rPr>
          <w:rFonts w:ascii="Times New Roman" w:eastAsia="Times New Roman" w:hAnsi="Times New Roman"/>
          <w:i/>
          <w:iCs/>
          <w:sz w:val="24"/>
          <w:szCs w:val="24"/>
        </w:rPr>
        <w:t>e</w:t>
      </w:r>
      <w:r w:rsidRPr="00B01F90">
        <w:rPr>
          <w:rFonts w:ascii="Times New Roman" w:eastAsia="Times New Roman" w:hAnsi="Times New Roman"/>
          <w:sz w:val="24"/>
          <w:szCs w:val="24"/>
        </w:rPr>
        <w:t xml:space="preserve">., outdoor firefighting—or overhaul, which entailed </w:t>
      </w:r>
      <w:r>
        <w:rPr>
          <w:rFonts w:ascii="Times New Roman" w:eastAsia="Times New Roman" w:hAnsi="Times New Roman"/>
          <w:sz w:val="24"/>
          <w:szCs w:val="24"/>
        </w:rPr>
        <w:t>‘</w:t>
      </w:r>
      <w:r w:rsidRPr="00B01F90">
        <w:rPr>
          <w:rFonts w:ascii="Times New Roman" w:eastAsia="Times New Roman" w:hAnsi="Times New Roman"/>
          <w:sz w:val="24"/>
          <w:szCs w:val="24"/>
        </w:rPr>
        <w:t>ripping of walls, ceilings, searching for any hidden fire and extinguishing that if it's visible.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After exposure to each fire incident, Claimant's body would be coated in soot, and Claimant would often find soot in his nasal secretions up to a week after exposure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Claimant further testified that he stopped smoking cigarettes in 2011, but had a 30 to 35-year-long smoking history</w:t>
      </w:r>
      <w:r>
        <w:rPr>
          <w:rFonts w:ascii="Times New Roman" w:eastAsia="Times New Roman" w:hAnsi="Times New Roman"/>
          <w:sz w:val="24"/>
          <w:szCs w:val="24"/>
        </w:rPr>
        <w:t xml:space="preserve">… </w:t>
      </w:r>
      <w:r w:rsidRPr="00B01F90">
        <w:rPr>
          <w:rFonts w:ascii="Times New Roman" w:eastAsia="Times New Roman" w:hAnsi="Times New Roman"/>
          <w:sz w:val="24"/>
          <w:szCs w:val="24"/>
        </w:rPr>
        <w:t>During that period, Claimant recalled smoking only one pack of cigarettes per week</w:t>
      </w:r>
      <w:r>
        <w:rPr>
          <w:rFonts w:ascii="Times New Roman" w:eastAsia="Times New Roman" w:hAnsi="Times New Roman"/>
          <w:sz w:val="24"/>
          <w:szCs w:val="24"/>
        </w:rPr>
        <w:t xml:space="preserve">…. </w:t>
      </w:r>
      <w:r w:rsidRPr="00B01F90">
        <w:rPr>
          <w:rFonts w:ascii="Times New Roman" w:eastAsia="Times New Roman" w:hAnsi="Times New Roman"/>
          <w:sz w:val="24"/>
          <w:szCs w:val="24"/>
        </w:rPr>
        <w:t xml:space="preserve">Firefighters were permitted to smoke in the fire stations, and Claimant worked with smokers during his career as a firefighter. </w:t>
      </w:r>
      <w:r>
        <w:rPr>
          <w:rFonts w:ascii="Times New Roman" w:eastAsia="Times New Roman" w:hAnsi="Times New Roman"/>
          <w:sz w:val="24"/>
          <w:szCs w:val="24"/>
        </w:rPr>
        <w:t xml:space="preserve">*** </w:t>
      </w:r>
      <w:r w:rsidRPr="00F56F6D">
        <w:rPr>
          <w:rFonts w:ascii="Times New Roman" w:eastAsia="Times New Roman" w:hAnsi="Times New Roman"/>
          <w:sz w:val="24"/>
          <w:szCs w:val="24"/>
        </w:rPr>
        <w:t>For the reasons set forth above, Claimant established that he was entitled to the statutory presumption under Section 301(f) of the Act, being that his lung cancer was caused by the occupation of firefighting. Employer failed to rebut the statutory presumption with substantial competent evidence that Claimant's</w:t>
      </w:r>
      <w:r>
        <w:rPr>
          <w:rFonts w:ascii="Times New Roman" w:eastAsia="Times New Roman" w:hAnsi="Times New Roman"/>
          <w:sz w:val="24"/>
          <w:szCs w:val="24"/>
        </w:rPr>
        <w:t xml:space="preserve"> </w:t>
      </w:r>
      <w:r w:rsidRPr="00F56F6D">
        <w:rPr>
          <w:rFonts w:ascii="Times New Roman" w:eastAsia="Times New Roman" w:hAnsi="Times New Roman"/>
          <w:sz w:val="24"/>
          <w:szCs w:val="24"/>
        </w:rPr>
        <w:t xml:space="preserve">cancer was caused by something other than his workplace exposure to IARC Group 1 carcinogens linked to lung cancer. </w:t>
      </w:r>
      <w:bookmarkStart w:id="660" w:name="_Hlk39861416"/>
      <w:bookmarkStart w:id="661" w:name="_Hlk66951065"/>
      <w:r w:rsidR="00B0089C">
        <w:fldChar w:fldCharType="begin"/>
      </w:r>
      <w:r w:rsidR="00B0089C">
        <w:instrText xml:space="preserve"> HYPERLINK "https://public.fastcase.com/Wl%2B2t%2BeVuI35%2FN70vAMFZi2NtCwkTvdiKyrWKXTmtjwARSxGp50rXf7QoqUpwr%2BO" </w:instrText>
      </w:r>
      <w:r w:rsidR="00B0089C">
        <w:fldChar w:fldCharType="separate"/>
      </w:r>
      <w:r w:rsidRPr="00B01F90">
        <w:rPr>
          <w:rStyle w:val="Hyperlink"/>
          <w:rFonts w:ascii="Times New Roman" w:eastAsia="Times New Roman" w:hAnsi="Times New Roman"/>
          <w:sz w:val="24"/>
          <w:szCs w:val="24"/>
        </w:rPr>
        <w:t>https://public.fastcase.com/Wl%2B2t%2BeVuI35%2FN70vAMFZi2NtCwkTvdiKyrWKXTmtjwARSxGp50rXf7QoqUpwr%2BO</w:t>
      </w:r>
      <w:r w:rsidR="00B0089C">
        <w:rPr>
          <w:rStyle w:val="Hyperlink"/>
          <w:rFonts w:ascii="Times New Roman" w:eastAsia="Times New Roman" w:hAnsi="Times New Roman"/>
          <w:sz w:val="24"/>
          <w:szCs w:val="24"/>
        </w:rPr>
        <w:fldChar w:fldCharType="end"/>
      </w:r>
      <w:r w:rsidRPr="00B01F90">
        <w:rPr>
          <w:rFonts w:ascii="Times New Roman" w:eastAsia="Times New Roman" w:hAnsi="Times New Roman"/>
          <w:sz w:val="24"/>
          <w:szCs w:val="24"/>
        </w:rPr>
        <w:t xml:space="preserve"> </w:t>
      </w:r>
    </w:p>
    <w:p w14:paraId="7A42C757" w14:textId="159DF03F" w:rsidR="00420322" w:rsidRPr="00E600C4" w:rsidRDefault="00E600C4" w:rsidP="000C4DF5">
      <w:pPr>
        <w:pStyle w:val="NoSpacing"/>
        <w:rPr>
          <w:rFonts w:ascii="Times New Roman" w:hAnsi="Times New Roman"/>
          <w:b/>
          <w:bCs/>
          <w:sz w:val="24"/>
          <w:szCs w:val="24"/>
        </w:rPr>
      </w:pPr>
      <w:bookmarkStart w:id="662" w:name="_Hlk40517361"/>
      <w:bookmarkEnd w:id="658"/>
      <w:bookmarkEnd w:id="660"/>
      <w:r w:rsidRPr="00E600C4">
        <w:rPr>
          <w:rFonts w:ascii="Times New Roman" w:hAnsi="Times New Roman"/>
          <w:b/>
          <w:bCs/>
          <w:sz w:val="24"/>
          <w:szCs w:val="24"/>
        </w:rPr>
        <w:t xml:space="preserve">Legal Lessons Learned:  Statutory presumption laws are being enacted throughout our Nation. </w:t>
      </w:r>
    </w:p>
    <w:bookmarkEnd w:id="661"/>
    <w:bookmarkEnd w:id="662"/>
    <w:p w14:paraId="7D34EF81" w14:textId="77777777" w:rsidR="00420322" w:rsidRPr="00E600C4" w:rsidRDefault="00420322" w:rsidP="000C4DF5">
      <w:pPr>
        <w:pStyle w:val="NoSpacing"/>
        <w:rPr>
          <w:rFonts w:ascii="Times New Roman" w:hAnsi="Times New Roman"/>
          <w:sz w:val="24"/>
          <w:szCs w:val="24"/>
        </w:rPr>
      </w:pPr>
    </w:p>
    <w:p w14:paraId="787CEE54" w14:textId="77777777" w:rsidR="00420322" w:rsidRDefault="00420322" w:rsidP="000C4DF5">
      <w:pPr>
        <w:pStyle w:val="NoSpacing"/>
        <w:rPr>
          <w:rFonts w:ascii="Arial Black" w:hAnsi="Arial Black"/>
          <w:sz w:val="24"/>
          <w:szCs w:val="24"/>
        </w:rPr>
      </w:pPr>
    </w:p>
    <w:p w14:paraId="25C454C4" w14:textId="77777777" w:rsidR="00420322" w:rsidRDefault="00420322" w:rsidP="000C4DF5">
      <w:pPr>
        <w:pStyle w:val="NoSpacing"/>
        <w:rPr>
          <w:rFonts w:ascii="Arial Black" w:hAnsi="Arial Black"/>
          <w:sz w:val="24"/>
          <w:szCs w:val="24"/>
        </w:rPr>
      </w:pPr>
    </w:p>
    <w:p w14:paraId="230AD1B8" w14:textId="6BD00107" w:rsidR="00420322" w:rsidRDefault="00420322" w:rsidP="000C4DF5">
      <w:pPr>
        <w:pStyle w:val="NoSpacing"/>
        <w:rPr>
          <w:rFonts w:ascii="Arial Black" w:hAnsi="Arial Black"/>
          <w:sz w:val="24"/>
          <w:szCs w:val="24"/>
        </w:rPr>
      </w:pPr>
      <w:r>
        <w:rPr>
          <w:rFonts w:ascii="Arial Black" w:hAnsi="Arial Black"/>
          <w:sz w:val="24"/>
          <w:szCs w:val="24"/>
        </w:rPr>
        <w:t>18-3</w:t>
      </w:r>
    </w:p>
    <w:p w14:paraId="0E3E2593" w14:textId="013427E9" w:rsidR="00420322" w:rsidRDefault="00420322" w:rsidP="000C4DF5">
      <w:pPr>
        <w:pStyle w:val="NoSpacing"/>
        <w:rPr>
          <w:rFonts w:ascii="Arial Black" w:hAnsi="Arial Black"/>
          <w:sz w:val="24"/>
          <w:szCs w:val="24"/>
        </w:rPr>
      </w:pPr>
    </w:p>
    <w:p w14:paraId="29B93F8A" w14:textId="5E8ED5B8" w:rsidR="00420322" w:rsidRDefault="00420322" w:rsidP="00420322">
      <w:pPr>
        <w:rPr>
          <w:rFonts w:ascii="Arial Black" w:hAnsi="Arial Black"/>
          <w:sz w:val="28"/>
          <w:szCs w:val="28"/>
        </w:rPr>
      </w:pPr>
      <w:bookmarkStart w:id="663" w:name="_Hlk39773484"/>
      <w:bookmarkStart w:id="664" w:name="_Hlk41314621"/>
      <w:r w:rsidRPr="00407E0E">
        <w:rPr>
          <w:rFonts w:ascii="Arial Black" w:hAnsi="Arial Black"/>
          <w:sz w:val="28"/>
          <w:szCs w:val="28"/>
        </w:rPr>
        <w:t>RI:</w:t>
      </w:r>
      <w:r>
        <w:rPr>
          <w:rFonts w:ascii="Arial Black" w:hAnsi="Arial Black"/>
          <w:sz w:val="28"/>
          <w:szCs w:val="28"/>
        </w:rPr>
        <w:t xml:space="preserve"> CRANSTON FF – 20 YRS ON FD - DIED COLON CANCER 2017 – RI SUPREME COURT DENIES WIDOW ACCIDENTAL DISABILITY PENSION </w:t>
      </w:r>
    </w:p>
    <w:p w14:paraId="42C7480E" w14:textId="77777777" w:rsidR="00420322" w:rsidRDefault="00420322" w:rsidP="00420322">
      <w:pPr>
        <w:rPr>
          <w:b/>
          <w:bCs/>
        </w:rPr>
      </w:pPr>
      <w:r w:rsidRPr="00212873">
        <w:rPr>
          <w:rFonts w:ascii="Times New Roman" w:hAnsi="Times New Roman"/>
          <w:sz w:val="24"/>
          <w:szCs w:val="24"/>
        </w:rPr>
        <w:t xml:space="preserve">On </w:t>
      </w:r>
      <w:bookmarkStart w:id="665" w:name="_Hlk39861640"/>
      <w:r w:rsidRPr="00212873">
        <w:rPr>
          <w:rFonts w:ascii="Times New Roman" w:hAnsi="Times New Roman"/>
          <w:sz w:val="24"/>
          <w:szCs w:val="24"/>
        </w:rPr>
        <w:t xml:space="preserve">Dec. 18, </w:t>
      </w:r>
      <w:proofErr w:type="gramStart"/>
      <w:r w:rsidRPr="00212873">
        <w:rPr>
          <w:rFonts w:ascii="Times New Roman" w:hAnsi="Times New Roman"/>
          <w:sz w:val="24"/>
          <w:szCs w:val="24"/>
        </w:rPr>
        <w:t>2019</w:t>
      </w:r>
      <w:proofErr w:type="gramEnd"/>
      <w:r w:rsidRPr="00212873">
        <w:rPr>
          <w:rFonts w:ascii="Times New Roman" w:hAnsi="Times New Roman"/>
          <w:sz w:val="24"/>
          <w:szCs w:val="24"/>
        </w:rPr>
        <w:t xml:space="preserve"> in </w:t>
      </w:r>
      <w:r w:rsidRPr="00212873">
        <w:rPr>
          <w:rFonts w:ascii="Times New Roman" w:hAnsi="Times New Roman"/>
          <w:sz w:val="24"/>
          <w:szCs w:val="24"/>
          <w:u w:val="single"/>
        </w:rPr>
        <w:t>Corrine A. Lang as Executrix of Estate of Kevin Land v. Municipal Employees’ Retirement System of Rhode Island</w:t>
      </w:r>
      <w:bookmarkEnd w:id="665"/>
      <w:r w:rsidRPr="00212873">
        <w:rPr>
          <w:rFonts w:ascii="Times New Roman" w:hAnsi="Times New Roman"/>
          <w:sz w:val="24"/>
          <w:szCs w:val="24"/>
        </w:rPr>
        <w:t xml:space="preserve">, the Supreme Court of Rode Island </w:t>
      </w:r>
      <w:r>
        <w:rPr>
          <w:rFonts w:ascii="Times New Roman" w:hAnsi="Times New Roman"/>
          <w:sz w:val="24"/>
          <w:szCs w:val="24"/>
        </w:rPr>
        <w:t xml:space="preserve">ruled </w:t>
      </w:r>
      <w:r w:rsidRPr="00212873">
        <w:rPr>
          <w:rFonts w:ascii="Times New Roman" w:hAnsi="Times New Roman"/>
          <w:sz w:val="24"/>
          <w:szCs w:val="24"/>
        </w:rPr>
        <w:t>(4 to 1)</w:t>
      </w:r>
      <w:r>
        <w:rPr>
          <w:rFonts w:ascii="Times New Roman" w:hAnsi="Times New Roman"/>
          <w:sz w:val="24"/>
          <w:szCs w:val="24"/>
        </w:rPr>
        <w:t xml:space="preserve"> that the widow was not entitled to an award of accidental disability benefits, reversing the </w:t>
      </w:r>
      <w:r w:rsidRPr="00212873">
        <w:rPr>
          <w:rFonts w:ascii="Times New Roman" w:hAnsi="Times New Roman"/>
          <w:sz w:val="24"/>
          <w:szCs w:val="24"/>
        </w:rPr>
        <w:t>Appellate Division of the Workers’ Compensation Court</w:t>
      </w:r>
      <w:r>
        <w:rPr>
          <w:rFonts w:ascii="Times New Roman" w:hAnsi="Times New Roman"/>
          <w:sz w:val="24"/>
          <w:szCs w:val="24"/>
        </w:rPr>
        <w:t>.</w:t>
      </w:r>
    </w:p>
    <w:p w14:paraId="72242064" w14:textId="77777777" w:rsidR="00420322" w:rsidRDefault="00420322" w:rsidP="00420322">
      <w:pPr>
        <w:pStyle w:val="NoSpacing"/>
        <w:ind w:left="720"/>
        <w:rPr>
          <w:rFonts w:ascii="Times New Roman" w:hAnsi="Times New Roman"/>
          <w:sz w:val="24"/>
          <w:szCs w:val="24"/>
        </w:rPr>
      </w:pPr>
      <w:r>
        <w:rPr>
          <w:rFonts w:ascii="Times New Roman" w:hAnsi="Times New Roman"/>
          <w:sz w:val="24"/>
          <w:szCs w:val="24"/>
        </w:rPr>
        <w:t>“</w:t>
      </w:r>
      <w:r w:rsidRPr="00212873">
        <w:rPr>
          <w:rFonts w:ascii="Times New Roman" w:hAnsi="Times New Roman"/>
          <w:sz w:val="24"/>
          <w:szCs w:val="24"/>
        </w:rPr>
        <w:t>To conclude that the language in § 45-19.1-1 creates a conclusive presumption would not only render the statutory definition of occupational cancer in § 45-19.1-2(d) meaningless</w:t>
      </w:r>
      <w:r>
        <w:rPr>
          <w:rFonts w:ascii="Times New Roman" w:hAnsi="Times New Roman"/>
          <w:sz w:val="24"/>
          <w:szCs w:val="24"/>
        </w:rPr>
        <w:t xml:space="preserve"> </w:t>
      </w:r>
      <w:r w:rsidRPr="00212873">
        <w:rPr>
          <w:rFonts w:ascii="Times New Roman" w:hAnsi="Times New Roman"/>
          <w:sz w:val="24"/>
          <w:szCs w:val="24"/>
        </w:rPr>
        <w:t xml:space="preserve">and create a right not found within the </w:t>
      </w:r>
      <w:proofErr w:type="gramStart"/>
      <w:r w:rsidRPr="00212873">
        <w:rPr>
          <w:rFonts w:ascii="Times New Roman" w:hAnsi="Times New Roman"/>
          <w:sz w:val="24"/>
          <w:szCs w:val="24"/>
        </w:rPr>
        <w:t>statute,</w:t>
      </w:r>
      <w:r>
        <w:rPr>
          <w:rFonts w:ascii="Times New Roman" w:hAnsi="Times New Roman"/>
          <w:sz w:val="24"/>
          <w:szCs w:val="24"/>
        </w:rPr>
        <w:t xml:space="preserve"> </w:t>
      </w:r>
      <w:r w:rsidRPr="00212873">
        <w:rPr>
          <w:rFonts w:ascii="Times New Roman" w:hAnsi="Times New Roman"/>
          <w:sz w:val="24"/>
          <w:szCs w:val="24"/>
        </w:rPr>
        <w:t>but</w:t>
      </w:r>
      <w:proofErr w:type="gramEnd"/>
      <w:r w:rsidRPr="00212873">
        <w:rPr>
          <w:rFonts w:ascii="Times New Roman" w:hAnsi="Times New Roman"/>
          <w:sz w:val="24"/>
          <w:szCs w:val="24"/>
        </w:rPr>
        <w:t xml:space="preserve"> would also construe the statute to reach an absurd result. For example, a conclusive presumption that all cancers in firefighters are occupational cancers would mean that a firefighter who</w:t>
      </w:r>
      <w:r>
        <w:rPr>
          <w:rFonts w:ascii="Times New Roman" w:hAnsi="Times New Roman"/>
          <w:sz w:val="24"/>
          <w:szCs w:val="24"/>
        </w:rPr>
        <w:t xml:space="preserve"> </w:t>
      </w:r>
      <w:r w:rsidRPr="00212873">
        <w:rPr>
          <w:rFonts w:ascii="Times New Roman" w:hAnsi="Times New Roman"/>
          <w:sz w:val="24"/>
          <w:szCs w:val="24"/>
        </w:rPr>
        <w:t>smoked four packs</w:t>
      </w:r>
      <w:r>
        <w:rPr>
          <w:rFonts w:ascii="Times New Roman" w:hAnsi="Times New Roman"/>
          <w:sz w:val="24"/>
          <w:szCs w:val="24"/>
        </w:rPr>
        <w:t xml:space="preserve"> </w:t>
      </w:r>
      <w:r w:rsidRPr="00212873">
        <w:rPr>
          <w:rFonts w:ascii="Times New Roman" w:hAnsi="Times New Roman"/>
          <w:sz w:val="24"/>
          <w:szCs w:val="24"/>
        </w:rPr>
        <w:t>of cigarettes a day</w:t>
      </w:r>
      <w:r>
        <w:rPr>
          <w:rFonts w:ascii="Times New Roman" w:hAnsi="Times New Roman"/>
          <w:sz w:val="24"/>
          <w:szCs w:val="24"/>
        </w:rPr>
        <w:t xml:space="preserve"> </w:t>
      </w:r>
      <w:r w:rsidRPr="00212873">
        <w:rPr>
          <w:rFonts w:ascii="Times New Roman" w:hAnsi="Times New Roman"/>
          <w:sz w:val="24"/>
          <w:szCs w:val="24"/>
        </w:rPr>
        <w:t>for decades</w:t>
      </w:r>
      <w:r>
        <w:rPr>
          <w:rFonts w:ascii="Times New Roman" w:hAnsi="Times New Roman"/>
          <w:sz w:val="24"/>
          <w:szCs w:val="24"/>
        </w:rPr>
        <w:t xml:space="preserve"> </w:t>
      </w:r>
      <w:r w:rsidRPr="00212873">
        <w:rPr>
          <w:rFonts w:ascii="Times New Roman" w:hAnsi="Times New Roman"/>
          <w:sz w:val="24"/>
          <w:szCs w:val="24"/>
        </w:rPr>
        <w:t>would receive an occupational cancer disability benefit despite not having proved</w:t>
      </w:r>
      <w:r>
        <w:rPr>
          <w:rFonts w:ascii="Times New Roman" w:hAnsi="Times New Roman"/>
          <w:sz w:val="24"/>
          <w:szCs w:val="24"/>
        </w:rPr>
        <w:t xml:space="preserve"> </w:t>
      </w:r>
      <w:r w:rsidRPr="00212873">
        <w:rPr>
          <w:rFonts w:ascii="Times New Roman" w:hAnsi="Times New Roman"/>
          <w:sz w:val="24"/>
          <w:szCs w:val="24"/>
        </w:rPr>
        <w:t>that his cancer was related</w:t>
      </w:r>
      <w:r>
        <w:rPr>
          <w:rFonts w:ascii="Times New Roman" w:hAnsi="Times New Roman"/>
          <w:sz w:val="24"/>
          <w:szCs w:val="24"/>
        </w:rPr>
        <w:t xml:space="preserve"> </w:t>
      </w:r>
      <w:r w:rsidRPr="00212873">
        <w:rPr>
          <w:rFonts w:ascii="Times New Roman" w:hAnsi="Times New Roman"/>
          <w:sz w:val="24"/>
          <w:szCs w:val="24"/>
        </w:rPr>
        <w:t>to exposure on the job.</w:t>
      </w:r>
      <w:r>
        <w:rPr>
          <w:rFonts w:ascii="Times New Roman" w:hAnsi="Times New Roman"/>
          <w:sz w:val="24"/>
          <w:szCs w:val="24"/>
        </w:rPr>
        <w:t xml:space="preserve"> </w:t>
      </w:r>
      <w:r w:rsidRPr="00212873">
        <w:rPr>
          <w:rFonts w:ascii="Times New Roman" w:hAnsi="Times New Roman"/>
          <w:sz w:val="24"/>
          <w:szCs w:val="24"/>
        </w:rPr>
        <w:t xml:space="preserve">Similarly, a conclusive presumption would provide occupational cancer benefits to a firefighter who contracted cancer </w:t>
      </w:r>
      <w:proofErr w:type="gramStart"/>
      <w:r w:rsidRPr="00212873">
        <w:rPr>
          <w:rFonts w:ascii="Times New Roman" w:hAnsi="Times New Roman"/>
          <w:sz w:val="24"/>
          <w:szCs w:val="24"/>
        </w:rPr>
        <w:t>as a result of</w:t>
      </w:r>
      <w:proofErr w:type="gramEnd"/>
      <w:r w:rsidRPr="00212873">
        <w:rPr>
          <w:rFonts w:ascii="Times New Roman" w:hAnsi="Times New Roman"/>
          <w:sz w:val="24"/>
          <w:szCs w:val="24"/>
        </w:rPr>
        <w:t xml:space="preserve"> exposure to</w:t>
      </w:r>
      <w:r>
        <w:rPr>
          <w:rFonts w:ascii="Times New Roman" w:hAnsi="Times New Roman"/>
          <w:sz w:val="24"/>
          <w:szCs w:val="24"/>
        </w:rPr>
        <w:t xml:space="preserve"> </w:t>
      </w:r>
      <w:r w:rsidRPr="00212873">
        <w:rPr>
          <w:rFonts w:ascii="Times New Roman" w:hAnsi="Times New Roman"/>
          <w:sz w:val="24"/>
          <w:szCs w:val="24"/>
        </w:rPr>
        <w:t>pesticides while landscaping in his</w:t>
      </w:r>
      <w:r>
        <w:rPr>
          <w:rFonts w:ascii="Times New Roman" w:hAnsi="Times New Roman"/>
          <w:sz w:val="24"/>
          <w:szCs w:val="24"/>
        </w:rPr>
        <w:t xml:space="preserve"> </w:t>
      </w:r>
      <w:r w:rsidRPr="00212873">
        <w:rPr>
          <w:rFonts w:ascii="Times New Roman" w:hAnsi="Times New Roman"/>
          <w:sz w:val="24"/>
          <w:szCs w:val="24"/>
        </w:rPr>
        <w:t>or her</w:t>
      </w:r>
      <w:r>
        <w:rPr>
          <w:rFonts w:ascii="Times New Roman" w:hAnsi="Times New Roman"/>
          <w:sz w:val="24"/>
          <w:szCs w:val="24"/>
        </w:rPr>
        <w:t xml:space="preserve"> </w:t>
      </w:r>
      <w:r w:rsidRPr="00212873">
        <w:rPr>
          <w:rFonts w:ascii="Times New Roman" w:hAnsi="Times New Roman"/>
          <w:sz w:val="24"/>
          <w:szCs w:val="24"/>
        </w:rPr>
        <w:t>yard.</w:t>
      </w:r>
      <w:r>
        <w:rPr>
          <w:rFonts w:ascii="Times New Roman" w:hAnsi="Times New Roman"/>
          <w:sz w:val="24"/>
          <w:szCs w:val="24"/>
        </w:rPr>
        <w:t xml:space="preserve"> </w:t>
      </w:r>
      <w:r w:rsidRPr="00212873">
        <w:rPr>
          <w:rFonts w:ascii="Times New Roman" w:hAnsi="Times New Roman"/>
          <w:sz w:val="24"/>
          <w:szCs w:val="24"/>
        </w:rPr>
        <w:t>We do not believe the General Assembly would have extended such broad</w:t>
      </w:r>
      <w:r>
        <w:rPr>
          <w:rFonts w:ascii="Times New Roman" w:hAnsi="Times New Roman"/>
          <w:sz w:val="24"/>
          <w:szCs w:val="24"/>
        </w:rPr>
        <w:t xml:space="preserve"> </w:t>
      </w:r>
      <w:r w:rsidRPr="00212873">
        <w:rPr>
          <w:rFonts w:ascii="Times New Roman" w:hAnsi="Times New Roman"/>
          <w:sz w:val="24"/>
          <w:szCs w:val="24"/>
        </w:rPr>
        <w:t>benefits to all firefighters without expressly providing for</w:t>
      </w:r>
      <w:r>
        <w:rPr>
          <w:rFonts w:ascii="Times New Roman" w:hAnsi="Times New Roman"/>
          <w:sz w:val="24"/>
          <w:szCs w:val="24"/>
        </w:rPr>
        <w:t xml:space="preserve"> </w:t>
      </w:r>
      <w:r w:rsidRPr="00212873">
        <w:rPr>
          <w:rFonts w:ascii="Times New Roman" w:hAnsi="Times New Roman"/>
          <w:sz w:val="24"/>
          <w:szCs w:val="24"/>
        </w:rPr>
        <w:t>such</w:t>
      </w:r>
      <w:r>
        <w:rPr>
          <w:rFonts w:ascii="Times New Roman" w:hAnsi="Times New Roman"/>
          <w:sz w:val="24"/>
          <w:szCs w:val="24"/>
        </w:rPr>
        <w:t xml:space="preserve"> </w:t>
      </w:r>
      <w:r w:rsidRPr="00212873">
        <w:rPr>
          <w:rFonts w:ascii="Times New Roman" w:hAnsi="Times New Roman"/>
          <w:sz w:val="24"/>
          <w:szCs w:val="24"/>
        </w:rPr>
        <w:t>in clear and unambiguous language.</w:t>
      </w:r>
      <w:r>
        <w:rPr>
          <w:rFonts w:ascii="Times New Roman" w:hAnsi="Times New Roman"/>
          <w:sz w:val="24"/>
          <w:szCs w:val="24"/>
        </w:rPr>
        <w:t xml:space="preserve">” </w:t>
      </w:r>
      <w:bookmarkStart w:id="666" w:name="_Hlk39861655"/>
      <w:r w:rsidR="00B0089C">
        <w:fldChar w:fldCharType="begin"/>
      </w:r>
      <w:r w:rsidR="00B0089C">
        <w:instrText xml:space="preserve"> HYPERLINK "https://www.courts.ri.gov/Courts/SupremeCourt/SupremeOpinions/17-295.pdf" </w:instrText>
      </w:r>
      <w:r w:rsidR="00B0089C">
        <w:fldChar w:fldCharType="separate"/>
      </w:r>
      <w:r w:rsidRPr="005F7F38">
        <w:rPr>
          <w:rStyle w:val="Hyperlink"/>
          <w:rFonts w:ascii="Times New Roman" w:hAnsi="Times New Roman"/>
          <w:sz w:val="24"/>
          <w:szCs w:val="24"/>
        </w:rPr>
        <w:t>https://www.courts.ri.gov/Courts/SupremeCourt/SupremeOpinions/17-295.pdf</w:t>
      </w:r>
      <w:r w:rsidR="00B0089C">
        <w:rPr>
          <w:rStyle w:val="Hyperlink"/>
          <w:rFonts w:ascii="Times New Roman" w:hAnsi="Times New Roman"/>
          <w:sz w:val="24"/>
          <w:szCs w:val="24"/>
        </w:rPr>
        <w:fldChar w:fldCharType="end"/>
      </w:r>
      <w:bookmarkEnd w:id="666"/>
      <w:r>
        <w:rPr>
          <w:rFonts w:ascii="Times New Roman" w:hAnsi="Times New Roman"/>
          <w:sz w:val="24"/>
          <w:szCs w:val="24"/>
        </w:rPr>
        <w:t xml:space="preserve"> </w:t>
      </w:r>
    </w:p>
    <w:bookmarkEnd w:id="663"/>
    <w:p w14:paraId="48EBCF44" w14:textId="77777777" w:rsidR="00420322" w:rsidRDefault="00420322" w:rsidP="000C4DF5">
      <w:pPr>
        <w:pStyle w:val="NoSpacing"/>
        <w:rPr>
          <w:rFonts w:ascii="Arial Black" w:hAnsi="Arial Black"/>
          <w:sz w:val="24"/>
          <w:szCs w:val="24"/>
        </w:rPr>
      </w:pPr>
    </w:p>
    <w:p w14:paraId="62625D07" w14:textId="418B9D40" w:rsidR="00420322" w:rsidRPr="00E600C4" w:rsidRDefault="00E600C4" w:rsidP="000C4DF5">
      <w:pPr>
        <w:pStyle w:val="NoSpacing"/>
        <w:rPr>
          <w:rFonts w:ascii="Times New Roman" w:hAnsi="Times New Roman"/>
          <w:b/>
          <w:bCs/>
          <w:sz w:val="24"/>
          <w:szCs w:val="24"/>
        </w:rPr>
      </w:pPr>
      <w:bookmarkStart w:id="667" w:name="_Hlk40517720"/>
      <w:r w:rsidRPr="00E600C4">
        <w:rPr>
          <w:rFonts w:ascii="Times New Roman" w:hAnsi="Times New Roman"/>
          <w:b/>
          <w:bCs/>
          <w:sz w:val="24"/>
          <w:szCs w:val="24"/>
        </w:rPr>
        <w:t xml:space="preserve">Legal Lessons Learned:  </w:t>
      </w:r>
      <w:r w:rsidR="00A76634">
        <w:rPr>
          <w:rFonts w:ascii="Times New Roman" w:hAnsi="Times New Roman"/>
          <w:b/>
          <w:bCs/>
          <w:sz w:val="24"/>
          <w:szCs w:val="24"/>
        </w:rPr>
        <w:t>Firefighter statutory presumption s</w:t>
      </w:r>
      <w:r w:rsidRPr="00E600C4">
        <w:rPr>
          <w:rFonts w:ascii="Times New Roman" w:hAnsi="Times New Roman"/>
          <w:b/>
          <w:bCs/>
          <w:sz w:val="24"/>
          <w:szCs w:val="24"/>
        </w:rPr>
        <w:t>tatut</w:t>
      </w:r>
      <w:r>
        <w:rPr>
          <w:rFonts w:ascii="Times New Roman" w:hAnsi="Times New Roman"/>
          <w:b/>
          <w:bCs/>
          <w:sz w:val="24"/>
          <w:szCs w:val="24"/>
        </w:rPr>
        <w:t>es</w:t>
      </w:r>
      <w:r w:rsidR="00A76634">
        <w:rPr>
          <w:rFonts w:ascii="Times New Roman" w:hAnsi="Times New Roman"/>
          <w:b/>
          <w:bCs/>
          <w:sz w:val="24"/>
          <w:szCs w:val="24"/>
        </w:rPr>
        <w:t xml:space="preserve">  should</w:t>
      </w:r>
      <w:r w:rsidRPr="00E600C4">
        <w:rPr>
          <w:rFonts w:ascii="Times New Roman" w:hAnsi="Times New Roman"/>
          <w:b/>
          <w:bCs/>
          <w:sz w:val="24"/>
          <w:szCs w:val="24"/>
        </w:rPr>
        <w:t xml:space="preserve"> have </w:t>
      </w:r>
      <w:r>
        <w:rPr>
          <w:rFonts w:ascii="Times New Roman" w:hAnsi="Times New Roman"/>
          <w:b/>
          <w:bCs/>
          <w:sz w:val="24"/>
          <w:szCs w:val="24"/>
        </w:rPr>
        <w:t>“</w:t>
      </w:r>
      <w:r w:rsidRPr="00E600C4">
        <w:rPr>
          <w:rFonts w:ascii="Times New Roman" w:hAnsi="Times New Roman"/>
          <w:b/>
          <w:bCs/>
          <w:sz w:val="24"/>
          <w:szCs w:val="24"/>
        </w:rPr>
        <w:t>clear</w:t>
      </w:r>
      <w:r>
        <w:rPr>
          <w:rFonts w:ascii="Times New Roman" w:hAnsi="Times New Roman"/>
          <w:b/>
          <w:bCs/>
          <w:sz w:val="24"/>
          <w:szCs w:val="24"/>
        </w:rPr>
        <w:t xml:space="preserve"> and </w:t>
      </w:r>
      <w:r w:rsidRPr="00E600C4">
        <w:rPr>
          <w:rFonts w:ascii="Times New Roman" w:hAnsi="Times New Roman"/>
          <w:b/>
          <w:bCs/>
          <w:sz w:val="24"/>
          <w:szCs w:val="24"/>
        </w:rPr>
        <w:t>unambiguous</w:t>
      </w:r>
      <w:r>
        <w:rPr>
          <w:rFonts w:ascii="Times New Roman" w:hAnsi="Times New Roman"/>
          <w:b/>
          <w:bCs/>
          <w:sz w:val="24"/>
          <w:szCs w:val="24"/>
        </w:rPr>
        <w:t>”</w:t>
      </w:r>
      <w:r w:rsidRPr="00E600C4">
        <w:rPr>
          <w:rFonts w:ascii="Times New Roman" w:hAnsi="Times New Roman"/>
          <w:b/>
          <w:bCs/>
          <w:sz w:val="24"/>
          <w:szCs w:val="24"/>
        </w:rPr>
        <w:t xml:space="preserve"> language. </w:t>
      </w:r>
    </w:p>
    <w:bookmarkEnd w:id="667"/>
    <w:p w14:paraId="42ED74B8" w14:textId="77777777" w:rsidR="00420322" w:rsidRDefault="00420322" w:rsidP="000C4DF5">
      <w:pPr>
        <w:pStyle w:val="NoSpacing"/>
        <w:rPr>
          <w:rFonts w:ascii="Arial Black" w:hAnsi="Arial Black"/>
          <w:sz w:val="24"/>
          <w:szCs w:val="24"/>
        </w:rPr>
      </w:pPr>
    </w:p>
    <w:bookmarkEnd w:id="664"/>
    <w:p w14:paraId="473A7B9F" w14:textId="7297C1A9" w:rsidR="000C4DF5" w:rsidRDefault="000C4DF5" w:rsidP="000C4DF5">
      <w:pPr>
        <w:pStyle w:val="NoSpacing"/>
        <w:rPr>
          <w:rFonts w:ascii="Arial Black" w:hAnsi="Arial Black"/>
          <w:sz w:val="24"/>
          <w:szCs w:val="24"/>
        </w:rPr>
      </w:pPr>
      <w:r>
        <w:rPr>
          <w:rFonts w:ascii="Arial Black" w:hAnsi="Arial Black"/>
          <w:sz w:val="24"/>
          <w:szCs w:val="24"/>
        </w:rPr>
        <w:t>18-2</w:t>
      </w:r>
    </w:p>
    <w:p w14:paraId="1069D5C4" w14:textId="77777777" w:rsidR="000C4DF5" w:rsidRDefault="000C4DF5" w:rsidP="00F326E5">
      <w:pPr>
        <w:pStyle w:val="NoSpacing"/>
        <w:rPr>
          <w:rFonts w:ascii="Arial Black" w:hAnsi="Arial Black"/>
          <w:b/>
          <w:sz w:val="28"/>
          <w:szCs w:val="28"/>
        </w:rPr>
      </w:pPr>
    </w:p>
    <w:p w14:paraId="127D79E0" w14:textId="0E1D2D91" w:rsidR="00F326E5" w:rsidRPr="0047741D" w:rsidRDefault="00F326E5" w:rsidP="00F326E5">
      <w:pPr>
        <w:pStyle w:val="NoSpacing"/>
        <w:rPr>
          <w:rFonts w:ascii="Times New Roman" w:hAnsi="Times New Roman"/>
          <w:sz w:val="24"/>
          <w:szCs w:val="24"/>
        </w:rPr>
      </w:pPr>
      <w:bookmarkStart w:id="668" w:name="_Hlk39773638"/>
      <w:r w:rsidRPr="0047741D">
        <w:rPr>
          <w:rFonts w:ascii="Arial Black" w:hAnsi="Arial Black"/>
          <w:b/>
          <w:sz w:val="28"/>
          <w:szCs w:val="28"/>
        </w:rPr>
        <w:t xml:space="preserve">WY:  STATE STATUTE, VOLUNTEER FF WHO GETS PAID PER RUN ENTITLED TO BE IN THE UNION </w:t>
      </w:r>
      <w:r w:rsidRPr="0047741D">
        <w:rPr>
          <w:rFonts w:ascii="Times New Roman" w:hAnsi="Times New Roman"/>
          <w:sz w:val="24"/>
          <w:szCs w:val="24"/>
        </w:rPr>
        <w:t>[also filed, Chap. 6]</w:t>
      </w:r>
    </w:p>
    <w:p w14:paraId="72B94CE1" w14:textId="77777777" w:rsidR="00F326E5" w:rsidRPr="00E600C4" w:rsidRDefault="00F326E5" w:rsidP="00F326E5">
      <w:pPr>
        <w:pStyle w:val="NormalWeb"/>
        <w:rPr>
          <w:bCs/>
        </w:rPr>
      </w:pPr>
      <w:r w:rsidRPr="00E600C4">
        <w:rPr>
          <w:bCs/>
        </w:rPr>
        <w:t xml:space="preserve">On July 6, 2018, in </w:t>
      </w:r>
      <w:r w:rsidRPr="00E600C4">
        <w:rPr>
          <w:bCs/>
          <w:u w:val="single"/>
        </w:rPr>
        <w:t>IAFF Local 5058 v. Gillette / Wright / Campbell County Fire Protection Joint Powers Board, and IAFF Local 5067 v. Teton County and Town of Jackson</w:t>
      </w:r>
      <w:r w:rsidRPr="00E600C4">
        <w:rPr>
          <w:bCs/>
        </w:rPr>
        <w:t xml:space="preserve">, the Wyoming Supreme Court held (5 to 0) that the two new unions were not properly elected, and the Fire Districts did not need to negotiate collective bargaining agreements, because the “volunteer” and “pool” firefighters all receive pay for making runs.  </w:t>
      </w:r>
    </w:p>
    <w:p w14:paraId="49C75105"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“The district courts in both cases held that the Wyoming Collective </w:t>
      </w:r>
    </w:p>
    <w:p w14:paraId="7E7BFB43"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Bargaining for Fire Fighters Act’s definition of ‘fire fighters’ </w:t>
      </w:r>
    </w:p>
    <w:p w14:paraId="7563405C"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includes volunteers because they are ‘paid members of . . . regularly </w:t>
      </w:r>
    </w:p>
    <w:p w14:paraId="7BA8EF8C"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constituted fire department[s].’ Consequently, the district courts concluded </w:t>
      </w:r>
    </w:p>
    <w:p w14:paraId="1AFABDE1"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that IAFF Local 5058 and IAFF Local 5067, which were formed by and </w:t>
      </w:r>
    </w:p>
    <w:p w14:paraId="2053297F"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consist of only full-time, career fire fighters, were not properly constituted </w:t>
      </w:r>
    </w:p>
    <w:p w14:paraId="316BAEED" w14:textId="77777777" w:rsidR="00F326E5" w:rsidRPr="00E600C4" w:rsidRDefault="00F326E5" w:rsidP="00F326E5">
      <w:pPr>
        <w:pStyle w:val="NoSpacing"/>
        <w:ind w:firstLine="720"/>
        <w:rPr>
          <w:rFonts w:ascii="Times New Roman" w:hAnsi="Times New Roman"/>
          <w:bCs/>
          <w:sz w:val="24"/>
          <w:szCs w:val="24"/>
        </w:rPr>
      </w:pPr>
      <w:r w:rsidRPr="00E600C4">
        <w:rPr>
          <w:rFonts w:ascii="Times New Roman" w:hAnsi="Times New Roman"/>
          <w:sz w:val="24"/>
          <w:szCs w:val="24"/>
        </w:rPr>
        <w:t>bargaining units under the Act. We affirm.”</w:t>
      </w:r>
    </w:p>
    <w:p w14:paraId="0B228002" w14:textId="77777777" w:rsidR="00F326E5" w:rsidRPr="00E600C4" w:rsidRDefault="00F326E5" w:rsidP="00F326E5">
      <w:pPr>
        <w:ind w:firstLine="720"/>
        <w:rPr>
          <w:rFonts w:ascii="Times New Roman" w:hAnsi="Times New Roman"/>
          <w:b/>
          <w:bCs/>
          <w:sz w:val="24"/>
          <w:szCs w:val="24"/>
        </w:rPr>
      </w:pPr>
      <w:hyperlink r:id="rId3049" w:history="1">
        <w:r w:rsidRPr="00E600C4">
          <w:rPr>
            <w:rStyle w:val="Hyperlink"/>
            <w:rFonts w:ascii="Times New Roman" w:hAnsi="Times New Roman"/>
            <w:sz w:val="24"/>
            <w:szCs w:val="24"/>
          </w:rPr>
          <w:t>https://services.courts.state.wy.us/Documents/Opinions/2018WY75.pdf</w:t>
        </w:r>
      </w:hyperlink>
      <w:r w:rsidRPr="00E600C4">
        <w:rPr>
          <w:rFonts w:ascii="Times New Roman" w:hAnsi="Times New Roman"/>
          <w:b/>
          <w:bCs/>
          <w:sz w:val="24"/>
          <w:szCs w:val="24"/>
        </w:rPr>
        <w:t xml:space="preserve"> </w:t>
      </w:r>
    </w:p>
    <w:bookmarkEnd w:id="668"/>
    <w:p w14:paraId="45959243" w14:textId="54706AE9"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 xml:space="preserve">Legal Lessons Learned:  </w:t>
      </w:r>
      <w:r w:rsidR="00000960">
        <w:rPr>
          <w:rFonts w:ascii="Times New Roman" w:hAnsi="Times New Roman"/>
          <w:b/>
          <w:sz w:val="24"/>
          <w:szCs w:val="24"/>
        </w:rPr>
        <w:t>When d</w:t>
      </w:r>
      <w:r w:rsidRPr="00E600C4">
        <w:rPr>
          <w:rFonts w:ascii="Times New Roman" w:hAnsi="Times New Roman"/>
          <w:b/>
          <w:sz w:val="24"/>
          <w:szCs w:val="24"/>
        </w:rPr>
        <w:t>rafting legislative</w:t>
      </w:r>
      <w:r w:rsidR="00000960">
        <w:rPr>
          <w:rFonts w:ascii="Times New Roman" w:hAnsi="Times New Roman"/>
          <w:b/>
          <w:sz w:val="24"/>
          <w:szCs w:val="24"/>
        </w:rPr>
        <w:t xml:space="preserve">, using clear </w:t>
      </w:r>
      <w:r w:rsidRPr="00E600C4">
        <w:rPr>
          <w:rFonts w:ascii="Times New Roman" w:hAnsi="Times New Roman"/>
          <w:b/>
          <w:sz w:val="24"/>
          <w:szCs w:val="24"/>
        </w:rPr>
        <w:t>language is very important, along with creating a “legislative history” to avoid any question about whether volunteer and part-time firefighters can be covered in a collective bargaining agreement.</w:t>
      </w:r>
    </w:p>
    <w:p w14:paraId="1618DD66" w14:textId="77777777" w:rsidR="00F326E5" w:rsidRPr="0047741D" w:rsidRDefault="00F326E5" w:rsidP="00F326E5">
      <w:pPr>
        <w:rPr>
          <w:b/>
          <w:bCs/>
          <w:sz w:val="24"/>
          <w:szCs w:val="24"/>
        </w:rPr>
      </w:pPr>
    </w:p>
    <w:bookmarkEnd w:id="654"/>
    <w:p w14:paraId="5E0F6751" w14:textId="3ED55C98" w:rsidR="000C4DF5" w:rsidRDefault="000C4DF5" w:rsidP="000C4DF5">
      <w:pPr>
        <w:pStyle w:val="NoSpacing"/>
        <w:rPr>
          <w:rFonts w:ascii="Arial Black" w:hAnsi="Arial Black"/>
          <w:sz w:val="24"/>
          <w:szCs w:val="24"/>
        </w:rPr>
      </w:pPr>
      <w:r>
        <w:rPr>
          <w:rFonts w:ascii="Arial Black" w:hAnsi="Arial Black"/>
          <w:sz w:val="24"/>
          <w:szCs w:val="24"/>
        </w:rPr>
        <w:t>18-1</w:t>
      </w:r>
    </w:p>
    <w:p w14:paraId="3F1E4CB5" w14:textId="77777777" w:rsidR="000C4DF5" w:rsidRDefault="000C4DF5" w:rsidP="00F326E5">
      <w:pPr>
        <w:rPr>
          <w:rFonts w:ascii="Arial Black" w:hAnsi="Arial Black"/>
          <w:sz w:val="28"/>
          <w:szCs w:val="28"/>
        </w:rPr>
      </w:pPr>
      <w:bookmarkStart w:id="669" w:name="_Hlk7349781"/>
      <w:bookmarkStart w:id="670" w:name="_Hlk7349854"/>
    </w:p>
    <w:p w14:paraId="33F4DD7C" w14:textId="42E11262" w:rsidR="00F326E5" w:rsidRPr="00012487" w:rsidRDefault="00F326E5" w:rsidP="00F326E5">
      <w:pPr>
        <w:rPr>
          <w:rFonts w:ascii="Arial Black" w:hAnsi="Arial Black"/>
          <w:sz w:val="24"/>
          <w:szCs w:val="24"/>
        </w:rPr>
      </w:pPr>
      <w:bookmarkStart w:id="671" w:name="_Hlk40517902"/>
      <w:r w:rsidRPr="00BF01EE">
        <w:rPr>
          <w:rFonts w:ascii="Arial Black" w:hAnsi="Arial Black"/>
          <w:sz w:val="28"/>
          <w:szCs w:val="28"/>
        </w:rPr>
        <w:t xml:space="preserve">OH: </w:t>
      </w:r>
      <w:r>
        <w:rPr>
          <w:rFonts w:ascii="Arial Black" w:hAnsi="Arial Black"/>
          <w:sz w:val="28"/>
          <w:szCs w:val="28"/>
        </w:rPr>
        <w:t>911 “GOOD SAMARITAN LAW”</w:t>
      </w:r>
      <w:r w:rsidR="00CA57F1">
        <w:rPr>
          <w:rFonts w:ascii="Arial Black" w:hAnsi="Arial Black"/>
          <w:sz w:val="28"/>
          <w:szCs w:val="28"/>
        </w:rPr>
        <w:t xml:space="preserve"> </w:t>
      </w:r>
      <w:r>
        <w:rPr>
          <w:rFonts w:ascii="Arial Black" w:hAnsi="Arial Black"/>
          <w:sz w:val="28"/>
          <w:szCs w:val="28"/>
        </w:rPr>
        <w:t xml:space="preserve">– </w:t>
      </w:r>
      <w:r w:rsidR="00E600C4">
        <w:rPr>
          <w:rFonts w:ascii="Arial Black" w:hAnsi="Arial Black"/>
          <w:sz w:val="28"/>
          <w:szCs w:val="28"/>
        </w:rPr>
        <w:t xml:space="preserve">DRUG USERS - </w:t>
      </w:r>
      <w:r>
        <w:rPr>
          <w:rFonts w:ascii="Arial Black" w:hAnsi="Arial Black"/>
          <w:sz w:val="28"/>
          <w:szCs w:val="28"/>
        </w:rPr>
        <w:t xml:space="preserve">AVOID PROSECUTION IF CALL 911 - TREATMENT IN 30 DAYS </w:t>
      </w:r>
      <w:r w:rsidRPr="003D6884">
        <w:rPr>
          <w:b/>
          <w:sz w:val="24"/>
          <w:szCs w:val="24"/>
        </w:rPr>
        <w:t>[also filed, Chap. 1</w:t>
      </w:r>
      <w:r>
        <w:rPr>
          <w:b/>
          <w:sz w:val="24"/>
          <w:szCs w:val="24"/>
        </w:rPr>
        <w:t>3</w:t>
      </w:r>
      <w:r w:rsidRPr="003D6884">
        <w:rPr>
          <w:b/>
          <w:sz w:val="24"/>
          <w:szCs w:val="24"/>
        </w:rPr>
        <w:t>]</w:t>
      </w:r>
    </w:p>
    <w:p w14:paraId="53E1A514" w14:textId="77777777" w:rsidR="00F326E5" w:rsidRPr="00E600C4" w:rsidRDefault="00F326E5" w:rsidP="00F326E5">
      <w:pPr>
        <w:rPr>
          <w:rStyle w:val="Hyperlink"/>
          <w:rFonts w:ascii="Times New Roman" w:hAnsi="Times New Roman"/>
          <w:sz w:val="24"/>
          <w:szCs w:val="24"/>
        </w:rPr>
      </w:pPr>
      <w:r w:rsidRPr="00E600C4">
        <w:rPr>
          <w:rFonts w:ascii="Times New Roman" w:eastAsia="Times New Roman" w:hAnsi="Times New Roman"/>
          <w:sz w:val="24"/>
          <w:szCs w:val="24"/>
        </w:rPr>
        <w:t xml:space="preserve">On May 18, 2018, in </w:t>
      </w:r>
      <w:r w:rsidRPr="00E600C4">
        <w:rPr>
          <w:rFonts w:ascii="Times New Roman" w:eastAsia="Times New Roman" w:hAnsi="Times New Roman"/>
          <w:sz w:val="24"/>
          <w:szCs w:val="24"/>
          <w:u w:val="single"/>
        </w:rPr>
        <w:t>State of Ohio v. Andrew Melms</w:t>
      </w:r>
      <w:r w:rsidRPr="00E600C4">
        <w:rPr>
          <w:rFonts w:ascii="Times New Roman" w:eastAsia="Times New Roman" w:hAnsi="Times New Roman"/>
          <w:sz w:val="24"/>
          <w:szCs w:val="24"/>
        </w:rPr>
        <w:t xml:space="preserve">, the Court of Appeals </w:t>
      </w:r>
      <w:proofErr w:type="gramStart"/>
      <w:r w:rsidRPr="00E600C4">
        <w:rPr>
          <w:rFonts w:ascii="Times New Roman" w:eastAsia="Times New Roman" w:hAnsi="Times New Roman"/>
          <w:sz w:val="24"/>
          <w:szCs w:val="24"/>
        </w:rPr>
        <w:t>For</w:t>
      </w:r>
      <w:proofErr w:type="gramEnd"/>
      <w:r w:rsidRPr="00E600C4">
        <w:rPr>
          <w:rFonts w:ascii="Times New Roman" w:eastAsia="Times New Roman" w:hAnsi="Times New Roman"/>
          <w:sz w:val="24"/>
          <w:szCs w:val="24"/>
        </w:rPr>
        <w:t xml:space="preserve"> Second District (Montgomery County), held (3 to 0) that an overdose victim, arrested with </w:t>
      </w:r>
      <w:r w:rsidRPr="00E600C4">
        <w:rPr>
          <w:rFonts w:ascii="Times New Roman" w:hAnsi="Times New Roman"/>
          <w:sz w:val="24"/>
          <w:szCs w:val="24"/>
        </w:rPr>
        <w:t>six gel caps of fentanyl, was not eligible for immunity; he was in jail and did not enroll in treatment within the 30-day limit set under the new Ohio statute enacted in 2016.  The Court urged the Ohio General Assembly to modify the law: “</w:t>
      </w:r>
      <w:r w:rsidRPr="00E600C4">
        <w:rPr>
          <w:rFonts w:ascii="Times New Roman" w:eastAsia="Times New Roman" w:hAnsi="Times New Roman"/>
          <w:sz w:val="24"/>
          <w:szCs w:val="24"/>
        </w:rPr>
        <w:t xml:space="preserve">Granted Melms seemingly was an ideal candidate for immunity, but for the clear and unambiguous 30-day window set forth by the legislature. </w:t>
      </w:r>
      <w:bookmarkEnd w:id="671"/>
      <w:r w:rsidRPr="00E600C4">
        <w:rPr>
          <w:rFonts w:ascii="Times New Roman" w:eastAsia="Times New Roman" w:hAnsi="Times New Roman"/>
          <w:sz w:val="24"/>
          <w:szCs w:val="24"/>
        </w:rPr>
        <w:t xml:space="preserve">The remedy lies with the </w:t>
      </w:r>
      <w:proofErr w:type="gramStart"/>
      <w:r w:rsidRPr="00E600C4">
        <w:rPr>
          <w:rFonts w:ascii="Times New Roman" w:eastAsia="Times New Roman" w:hAnsi="Times New Roman"/>
          <w:sz w:val="24"/>
          <w:szCs w:val="24"/>
        </w:rPr>
        <w:t>legislature to</w:t>
      </w:r>
      <w:proofErr w:type="gramEnd"/>
      <w:r w:rsidRPr="00E600C4">
        <w:rPr>
          <w:rFonts w:ascii="Times New Roman" w:eastAsia="Times New Roman" w:hAnsi="Times New Roman"/>
          <w:sz w:val="24"/>
          <w:szCs w:val="24"/>
        </w:rPr>
        <w:t xml:space="preserve"> either eliminate the 30-day restriction or </w:t>
      </w:r>
      <w:proofErr w:type="gramStart"/>
      <w:r w:rsidRPr="00E600C4">
        <w:rPr>
          <w:rFonts w:ascii="Times New Roman" w:eastAsia="Times New Roman" w:hAnsi="Times New Roman"/>
          <w:sz w:val="24"/>
          <w:szCs w:val="24"/>
        </w:rPr>
        <w:t>to provide</w:t>
      </w:r>
      <w:proofErr w:type="gramEnd"/>
      <w:r w:rsidRPr="00E600C4">
        <w:rPr>
          <w:rFonts w:ascii="Times New Roman" w:eastAsia="Times New Roman" w:hAnsi="Times New Roman"/>
          <w:sz w:val="24"/>
          <w:szCs w:val="24"/>
        </w:rPr>
        <w:t xml:space="preserve"> for the exercise of judicial discretion, particularly in those cases of the most vulnerable, often indigent, incarcerated individuals who are unaware of the time limit until after counsel is appointed on the drug offense. In our view, an immediate legislative fix is warranted so that this legislation achieves its laudable </w:t>
      </w:r>
      <w:proofErr w:type="gramStart"/>
      <w:r w:rsidRPr="00E600C4">
        <w:rPr>
          <w:rFonts w:ascii="Times New Roman" w:eastAsia="Times New Roman" w:hAnsi="Times New Roman"/>
          <w:sz w:val="24"/>
          <w:szCs w:val="24"/>
        </w:rPr>
        <w:t>goals.”</w:t>
      </w:r>
      <w:proofErr w:type="gramEnd"/>
      <w:r w:rsidRPr="00E600C4">
        <w:rPr>
          <w:rFonts w:ascii="Times New Roman" w:eastAsia="Times New Roman" w:hAnsi="Times New Roman"/>
          <w:sz w:val="24"/>
          <w:szCs w:val="24"/>
        </w:rPr>
        <w:t xml:space="preserve"> </w:t>
      </w:r>
      <w:bookmarkStart w:id="672" w:name="_Hlk40517955"/>
      <w:r w:rsidR="009B50E8">
        <w:fldChar w:fldCharType="begin"/>
      </w:r>
      <w:r w:rsidR="009B50E8">
        <w:instrText xml:space="preserve"> HYPERLINK "https://cases.justia.com/ohio/second-district-court-of-appeals/2018-27685.pdf?ts=1526679598" </w:instrText>
      </w:r>
      <w:r w:rsidR="009B50E8">
        <w:fldChar w:fldCharType="separate"/>
      </w:r>
      <w:r w:rsidRPr="00E600C4">
        <w:rPr>
          <w:rStyle w:val="Hyperlink"/>
          <w:rFonts w:ascii="Times New Roman" w:hAnsi="Times New Roman"/>
          <w:sz w:val="24"/>
          <w:szCs w:val="24"/>
        </w:rPr>
        <w:t>https://cases.justia.com/ohio/second-district-court-of-appeals/2018-27685.pdf?ts=1526679598</w:t>
      </w:r>
      <w:r w:rsidR="009B50E8">
        <w:rPr>
          <w:rStyle w:val="Hyperlink"/>
          <w:rFonts w:ascii="Times New Roman" w:hAnsi="Times New Roman"/>
          <w:sz w:val="24"/>
          <w:szCs w:val="24"/>
        </w:rPr>
        <w:fldChar w:fldCharType="end"/>
      </w:r>
    </w:p>
    <w:p w14:paraId="1286D19A" w14:textId="77777777"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 xml:space="preserve">Legal Lessons Learned:  The “911 Good Samaritan” immunity statute is to encourage drug users and their associates to call 911 for an overdose, and to promptly seek treatment (can receive immunity only twice). </w:t>
      </w:r>
    </w:p>
    <w:bookmarkEnd w:id="669"/>
    <w:p w14:paraId="5923B28C" w14:textId="77777777" w:rsidR="00F326E5" w:rsidRPr="00E600C4" w:rsidRDefault="00F326E5" w:rsidP="00F326E5">
      <w:pPr>
        <w:ind w:firstLine="720"/>
        <w:rPr>
          <w:rFonts w:ascii="Times New Roman" w:hAnsi="Times New Roman"/>
          <w:sz w:val="24"/>
          <w:szCs w:val="24"/>
        </w:rPr>
      </w:pPr>
      <w:r w:rsidRPr="00E600C4">
        <w:rPr>
          <w:rFonts w:ascii="Times New Roman" w:eastAsia="Times New Roman" w:hAnsi="Times New Roman"/>
          <w:sz w:val="24"/>
          <w:szCs w:val="24"/>
        </w:rPr>
        <w:t>Note: 911 Dispatchers ae required to inform overdose patients about the new law:</w:t>
      </w:r>
    </w:p>
    <w:p w14:paraId="49858824"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R.C. 128.04 provides as follows: </w:t>
      </w:r>
    </w:p>
    <w:p w14:paraId="22C49A68"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(A) Public safety answering point personnel who are certified as emergency service </w:t>
      </w:r>
    </w:p>
    <w:p w14:paraId="6B644CA3"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telecommunicators under section 4742.03 of the Revised Code shall receive training in </w:t>
      </w:r>
    </w:p>
    <w:p w14:paraId="01DD06A6" w14:textId="77777777" w:rsidR="00F326E5" w:rsidRPr="00E600C4" w:rsidRDefault="00F326E5" w:rsidP="00F326E5">
      <w:pPr>
        <w:pStyle w:val="NoSpacing"/>
        <w:ind w:left="720"/>
        <w:rPr>
          <w:rFonts w:ascii="Times New Roman" w:hAnsi="Times New Roman"/>
          <w:sz w:val="24"/>
          <w:szCs w:val="24"/>
        </w:rPr>
      </w:pPr>
      <w:proofErr w:type="gramStart"/>
      <w:r w:rsidRPr="00E600C4">
        <w:rPr>
          <w:rFonts w:ascii="Times New Roman" w:hAnsi="Times New Roman"/>
          <w:sz w:val="24"/>
          <w:szCs w:val="24"/>
        </w:rPr>
        <w:t>informing</w:t>
      </w:r>
      <w:proofErr w:type="gramEnd"/>
      <w:r w:rsidRPr="00E600C4">
        <w:rPr>
          <w:rFonts w:ascii="Times New Roman" w:hAnsi="Times New Roman"/>
          <w:sz w:val="24"/>
          <w:szCs w:val="24"/>
        </w:rPr>
        <w:t xml:space="preserve"> individuals who call about an apparent drug overdose about the immunity from prosecution for a minor drug possession offense created by section 2925.11 of the Revised Code. </w:t>
      </w:r>
    </w:p>
    <w:p w14:paraId="1754C47B"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 Public safety answering point personnel who receive a call about an apparent drug </w:t>
      </w:r>
    </w:p>
    <w:p w14:paraId="2A0262AD"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overdose shall make reasonable efforts, upon the caller's inquiry, to inform the caller </w:t>
      </w:r>
    </w:p>
    <w:p w14:paraId="389055F9"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about the immunity from prosecution for a minor drug possession offense created </w:t>
      </w:r>
    </w:p>
    <w:p w14:paraId="143F041B"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by section 2925.11 of the Revised Code. </w:t>
      </w:r>
    </w:p>
    <w:bookmarkEnd w:id="672"/>
    <w:p w14:paraId="508D40B2" w14:textId="77777777" w:rsidR="00F326E5" w:rsidRPr="00E600C4" w:rsidRDefault="00F326E5" w:rsidP="00F326E5">
      <w:pPr>
        <w:rPr>
          <w:rFonts w:ascii="Times New Roman" w:eastAsia="Times New Roman" w:hAnsi="Times New Roman"/>
          <w:sz w:val="24"/>
          <w:szCs w:val="24"/>
        </w:rPr>
      </w:pPr>
    </w:p>
    <w:p w14:paraId="55F7D20B" w14:textId="77777777" w:rsidR="00F326E5" w:rsidRDefault="00F326E5" w:rsidP="00F326E5">
      <w:pPr>
        <w:rPr>
          <w:rFonts w:eastAsia="Times New Roman"/>
          <w:sz w:val="24"/>
          <w:szCs w:val="24"/>
        </w:rPr>
      </w:pPr>
    </w:p>
    <w:bookmarkEnd w:id="670"/>
    <w:p w14:paraId="1F41C09F" w14:textId="77777777" w:rsidR="00F326E5" w:rsidRPr="007732FA" w:rsidRDefault="00F326E5" w:rsidP="00F326E5">
      <w:pPr>
        <w:spacing w:before="100" w:beforeAutospacing="1" w:after="100" w:afterAutospacing="1" w:line="240" w:lineRule="auto"/>
        <w:rPr>
          <w:rFonts w:ascii="Arial Black" w:hAnsi="Arial Black"/>
          <w:sz w:val="40"/>
          <w:szCs w:val="40"/>
        </w:rPr>
      </w:pPr>
    </w:p>
    <w:p w14:paraId="38875852" w14:textId="77777777" w:rsidR="00F326E5" w:rsidRPr="007732FA" w:rsidRDefault="00F326E5" w:rsidP="00F326E5">
      <w:pPr>
        <w:spacing w:before="100" w:beforeAutospacing="1" w:after="100" w:afterAutospacing="1" w:line="240" w:lineRule="auto"/>
        <w:rPr>
          <w:rFonts w:ascii="Arial Black" w:hAnsi="Arial Black"/>
          <w:sz w:val="40"/>
          <w:szCs w:val="40"/>
        </w:rPr>
      </w:pPr>
    </w:p>
    <w:p w14:paraId="3B542359" w14:textId="77777777" w:rsidR="00F326E5" w:rsidRDefault="00F326E5" w:rsidP="00F326E5">
      <w:pPr>
        <w:spacing w:before="100" w:beforeAutospacing="1" w:after="100" w:afterAutospacing="1" w:line="240" w:lineRule="auto"/>
        <w:rPr>
          <w:rFonts w:ascii="Times New Roman" w:hAnsi="Times New Roman"/>
          <w:sz w:val="24"/>
          <w:szCs w:val="24"/>
        </w:rPr>
      </w:pPr>
    </w:p>
    <w:p w14:paraId="25DCD3D7" w14:textId="77777777" w:rsidR="00F326E5" w:rsidRPr="00A50673" w:rsidRDefault="00F326E5" w:rsidP="00F326E5">
      <w:pPr>
        <w:pStyle w:val="NoSpacing"/>
        <w:rPr>
          <w:b/>
          <w:sz w:val="24"/>
          <w:szCs w:val="24"/>
        </w:rPr>
      </w:pPr>
      <w:r>
        <w:rPr>
          <w:b/>
          <w:sz w:val="24"/>
          <w:szCs w:val="24"/>
        </w:rPr>
        <w:t xml:space="preserve"> </w:t>
      </w:r>
    </w:p>
    <w:p w14:paraId="23B7B606" w14:textId="77777777" w:rsidR="00F326E5" w:rsidRDefault="00F326E5" w:rsidP="00F326E5">
      <w:pPr>
        <w:spacing w:before="100" w:beforeAutospacing="1" w:after="100" w:afterAutospacing="1" w:line="240" w:lineRule="auto"/>
        <w:rPr>
          <w:rFonts w:ascii="Times New Roman" w:hAnsi="Times New Roman"/>
          <w:sz w:val="24"/>
          <w:szCs w:val="24"/>
        </w:rPr>
      </w:pPr>
    </w:p>
    <w:p w14:paraId="59CED2A1" w14:textId="77777777" w:rsidR="00F326E5" w:rsidRPr="00AA42D4" w:rsidRDefault="00F326E5" w:rsidP="00F326E5">
      <w:pPr>
        <w:spacing w:before="100" w:beforeAutospacing="1" w:after="100" w:afterAutospacing="1" w:line="240" w:lineRule="auto"/>
        <w:rPr>
          <w:rFonts w:ascii="Times New Roman" w:hAnsi="Times New Roman"/>
          <w:sz w:val="24"/>
          <w:szCs w:val="24"/>
        </w:rPr>
      </w:pPr>
    </w:p>
    <w:p w14:paraId="6E734B25" w14:textId="77777777" w:rsidR="00F326E5" w:rsidRPr="00C80872" w:rsidRDefault="00F326E5" w:rsidP="00F326E5">
      <w:pPr>
        <w:rPr>
          <w:rFonts w:ascii="Times New Roman" w:eastAsiaTheme="majorEastAsia" w:hAnsi="Times New Roman"/>
          <w:sz w:val="28"/>
          <w:szCs w:val="28"/>
        </w:rPr>
      </w:pPr>
    </w:p>
    <w:bookmarkEnd w:id="0"/>
    <w:p w14:paraId="37E7CFA5" w14:textId="77777777" w:rsidR="00F326E5" w:rsidRDefault="00F326E5" w:rsidP="007C45CA">
      <w:pPr>
        <w:pStyle w:val="NoSpacing"/>
        <w:jc w:val="center"/>
      </w:pPr>
    </w:p>
    <w:sectPr w:rsidR="00F326E5" w:rsidSect="00BC70F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D727D" w14:textId="77777777" w:rsidR="00C974DE" w:rsidRDefault="00C974DE" w:rsidP="00E265AB">
      <w:pPr>
        <w:spacing w:after="0" w:line="240" w:lineRule="auto"/>
      </w:pPr>
      <w:r>
        <w:separator/>
      </w:r>
    </w:p>
  </w:endnote>
  <w:endnote w:type="continuationSeparator" w:id="0">
    <w:p w14:paraId="7F07153B" w14:textId="77777777" w:rsidR="00C974DE" w:rsidRDefault="00C974DE" w:rsidP="00E2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n Times New Roman">
    <w:altName w:val="Cambria"/>
    <w:panose1 w:val="00000000000000000000"/>
    <w:charset w:val="00"/>
    <w:family w:val="roman"/>
    <w:notTrueType/>
    <w:pitch w:val="default"/>
  </w:font>
  <w:font w:name="PArial Black">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OnTimes New Roman">
    <w:altName w:val="Cambria"/>
    <w:panose1 w:val="00000000000000000000"/>
    <w:charset w:val="00"/>
    <w:family w:val="roman"/>
    <w:notTrueType/>
    <w:pitch w:val="default"/>
  </w:font>
  <w:font w:name="MIArial Black">
    <w:altName w:val="Cambria"/>
    <w:panose1 w:val="00000000000000000000"/>
    <w:charset w:val="00"/>
    <w:family w:val="roman"/>
    <w:notTrueType/>
    <w:pitch w:val="default"/>
  </w:font>
  <w:font w:name="AATimes New Roman">
    <w:altName w:val="Cambria"/>
    <w:panose1 w:val="00000000000000000000"/>
    <w:charset w:val="00"/>
    <w:family w:val="roman"/>
    <w:notTrueType/>
    <w:pitch w:val="default"/>
  </w:font>
  <w:font w:name="[">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quot;Times New Roman">
    <w:altName w:val="Cambria"/>
    <w:panose1 w:val="00000000000000000000"/>
    <w:charset w:val="00"/>
    <w:family w:val="roman"/>
    <w:notTrueType/>
    <w:pitch w:val="default"/>
  </w:font>
  <w:font w:name="NYArial Black">
    <w:altName w:val="Cambria"/>
    <w:panose1 w:val="00000000000000000000"/>
    <w:charset w:val="00"/>
    <w:family w:val="roman"/>
    <w:notTrueType/>
    <w:pitch w:val="default"/>
  </w:font>
  <w:font w:name="SeeTimes New Roman">
    <w:altName w:val="Cambria"/>
    <w:panose1 w:val="00000000000000000000"/>
    <w:charset w:val="00"/>
    <w:family w:val="roman"/>
    <w:notTrueType/>
    <w:pitch w:val="default"/>
  </w:font>
  <w:font w:name="Aptos Black">
    <w:charset w:val="00"/>
    <w:family w:val="swiss"/>
    <w:pitch w:val="variable"/>
    <w:sig w:usb0="20000287" w:usb1="00000003" w:usb2="00000000" w:usb3="00000000" w:csb0="0000019F" w:csb1="00000000"/>
  </w:font>
  <w:font w:name="EArial Black">
    <w:altName w:val="Cambria"/>
    <w:panose1 w:val="00000000000000000000"/>
    <w:charset w:val="00"/>
    <w:family w:val="roman"/>
    <w:notTrueType/>
    <w:pitch w:val="default"/>
  </w:font>
  <w:font w:name="On On">
    <w:altName w:val="Cambria"/>
    <w:panose1 w:val="00000000000000000000"/>
    <w:charset w:val="00"/>
    <w:family w:val="roman"/>
    <w:notTrueType/>
    <w:pitch w:val="default"/>
  </w:font>
  <w:font w:name="DArial Black">
    <w:altName w:val="Cambria"/>
    <w:panose1 w:val="00000000000000000000"/>
    <w:charset w:val="00"/>
    <w:family w:val="roman"/>
    <w:notTrueType/>
    <w:pitch w:val="default"/>
  </w:font>
  <w:font w:name="KYArial Black">
    <w:altName w:val="Cambria"/>
    <w:panose1 w:val="00000000000000000000"/>
    <w:charset w:val="00"/>
    <w:family w:val="roman"/>
    <w:notTrueType/>
    <w:pitch w:val="default"/>
  </w:font>
  <w:font w:name="acumin-pro">
    <w:altName w:val="Cambria"/>
    <w:panose1 w:val="00000000000000000000"/>
    <w:charset w:val="00"/>
    <w:family w:val="roman"/>
    <w:notTrueType/>
    <w:pitch w:val="default"/>
  </w:font>
  <w:font w:name="In">
    <w:altName w:val="Cambria"/>
    <w:panose1 w:val="00000000000000000000"/>
    <w:charset w:val="00"/>
    <w:family w:val="roman"/>
    <w:notTrueType/>
    <w:pitch w:val="default"/>
  </w:font>
  <w:font w:name="[Times New Roman">
    <w:altName w:val="Cambria"/>
    <w:panose1 w:val="00000000000000000000"/>
    <w:charset w:val="00"/>
    <w:family w:val="roman"/>
    <w:notTrueType/>
    <w:pitch w:val="default"/>
  </w:font>
  <w:font w:name="FeTimes New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Arial Black">
    <w:altName w:val="Cambria"/>
    <w:panose1 w:val="00000000000000000000"/>
    <w:charset w:val="00"/>
    <w:family w:val="roman"/>
    <w:notTrueType/>
    <w:pitch w:val="default"/>
  </w:font>
  <w:font w:name="TXArial Black">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9FF15" w14:textId="77777777" w:rsidR="00C974DE" w:rsidRDefault="00C974DE" w:rsidP="00E265AB">
      <w:pPr>
        <w:spacing w:after="0" w:line="240" w:lineRule="auto"/>
      </w:pPr>
      <w:r>
        <w:separator/>
      </w:r>
    </w:p>
  </w:footnote>
  <w:footnote w:type="continuationSeparator" w:id="0">
    <w:p w14:paraId="473A208A" w14:textId="77777777" w:rsidR="00C974DE" w:rsidRDefault="00C974DE" w:rsidP="00E26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B37"/>
    <w:multiLevelType w:val="hybridMultilevel"/>
    <w:tmpl w:val="F61409C6"/>
    <w:lvl w:ilvl="0" w:tplc="04090001">
      <w:start w:val="1"/>
      <w:numFmt w:val="bullet"/>
      <w:lvlText w:val=""/>
      <w:lvlJc w:val="left"/>
      <w:pPr>
        <w:ind w:left="1440" w:hanging="360"/>
      </w:pPr>
      <w:rPr>
        <w:rFonts w:ascii="Symbol" w:hAnsi="Symbol" w:hint="default"/>
      </w:rPr>
    </w:lvl>
    <w:lvl w:ilvl="1" w:tplc="51768D94">
      <w:numFmt w:val="bullet"/>
      <w:lvlText w:val="•"/>
      <w:lvlJc w:val="left"/>
      <w:pPr>
        <w:ind w:left="2160" w:hanging="36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9129D6"/>
    <w:multiLevelType w:val="multilevel"/>
    <w:tmpl w:val="69DE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F6780"/>
    <w:multiLevelType w:val="hybridMultilevel"/>
    <w:tmpl w:val="C13A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6580E"/>
    <w:multiLevelType w:val="multilevel"/>
    <w:tmpl w:val="99EA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40A36"/>
    <w:multiLevelType w:val="hybridMultilevel"/>
    <w:tmpl w:val="3BAC7D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E47DC2"/>
    <w:multiLevelType w:val="multilevel"/>
    <w:tmpl w:val="946C585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0B0D1414"/>
    <w:multiLevelType w:val="hybridMultilevel"/>
    <w:tmpl w:val="CB0ACB1A"/>
    <w:lvl w:ilvl="0" w:tplc="0592F9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315D2"/>
    <w:multiLevelType w:val="hybridMultilevel"/>
    <w:tmpl w:val="CB0ACB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7909D9"/>
    <w:multiLevelType w:val="multilevel"/>
    <w:tmpl w:val="D91237B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83276D1"/>
    <w:multiLevelType w:val="hybridMultilevel"/>
    <w:tmpl w:val="18D29058"/>
    <w:lvl w:ilvl="0" w:tplc="C06430D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2A7B27"/>
    <w:multiLevelType w:val="hybridMultilevel"/>
    <w:tmpl w:val="99583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FB645D5"/>
    <w:multiLevelType w:val="multilevel"/>
    <w:tmpl w:val="6BB68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251A5"/>
    <w:multiLevelType w:val="multilevel"/>
    <w:tmpl w:val="BB7AE4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51C5A5A"/>
    <w:multiLevelType w:val="multilevel"/>
    <w:tmpl w:val="11986E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5D6363F"/>
    <w:multiLevelType w:val="hybridMultilevel"/>
    <w:tmpl w:val="44D89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99229E"/>
    <w:multiLevelType w:val="hybridMultilevel"/>
    <w:tmpl w:val="EA568B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F5166"/>
    <w:multiLevelType w:val="hybridMultilevel"/>
    <w:tmpl w:val="A740C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271366"/>
    <w:multiLevelType w:val="hybridMultilevel"/>
    <w:tmpl w:val="2DDCC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39F115E"/>
    <w:multiLevelType w:val="hybridMultilevel"/>
    <w:tmpl w:val="7294F5F2"/>
    <w:lvl w:ilvl="0" w:tplc="61103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D82B2E"/>
    <w:multiLevelType w:val="hybridMultilevel"/>
    <w:tmpl w:val="628AE4F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377E2D57"/>
    <w:multiLevelType w:val="hybridMultilevel"/>
    <w:tmpl w:val="1B36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D77E54"/>
    <w:multiLevelType w:val="multilevel"/>
    <w:tmpl w:val="A3B4B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0605E"/>
    <w:multiLevelType w:val="multilevel"/>
    <w:tmpl w:val="7EE0E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2020C5"/>
    <w:multiLevelType w:val="multilevel"/>
    <w:tmpl w:val="94FCF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AD65C70"/>
    <w:multiLevelType w:val="multilevel"/>
    <w:tmpl w:val="1D2204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41D411D8"/>
    <w:multiLevelType w:val="hybridMultilevel"/>
    <w:tmpl w:val="3DE037E4"/>
    <w:lvl w:ilvl="0" w:tplc="77F44B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8D371D"/>
    <w:multiLevelType w:val="hybridMultilevel"/>
    <w:tmpl w:val="F88E2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7118CC"/>
    <w:multiLevelType w:val="hybridMultilevel"/>
    <w:tmpl w:val="1A266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D43BA"/>
    <w:multiLevelType w:val="multilevel"/>
    <w:tmpl w:val="A3B4B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CE25F8"/>
    <w:multiLevelType w:val="hybridMultilevel"/>
    <w:tmpl w:val="06123D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0804BF"/>
    <w:multiLevelType w:val="hybridMultilevel"/>
    <w:tmpl w:val="E0DE5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961722"/>
    <w:multiLevelType w:val="multilevel"/>
    <w:tmpl w:val="4988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89703F"/>
    <w:multiLevelType w:val="multilevel"/>
    <w:tmpl w:val="E226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D84A5D"/>
    <w:multiLevelType w:val="hybridMultilevel"/>
    <w:tmpl w:val="581E0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2A1B5D"/>
    <w:multiLevelType w:val="multilevel"/>
    <w:tmpl w:val="FF98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7D1B3C"/>
    <w:multiLevelType w:val="hybridMultilevel"/>
    <w:tmpl w:val="FFCC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8038AE"/>
    <w:multiLevelType w:val="multilevel"/>
    <w:tmpl w:val="3756555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7" w15:restartNumberingAfterBreak="0">
    <w:nsid w:val="70293092"/>
    <w:multiLevelType w:val="hybridMultilevel"/>
    <w:tmpl w:val="D262727A"/>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38" w15:restartNumberingAfterBreak="0">
    <w:nsid w:val="7617299D"/>
    <w:multiLevelType w:val="multilevel"/>
    <w:tmpl w:val="6DCA60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7B2D493A"/>
    <w:multiLevelType w:val="hybridMultilevel"/>
    <w:tmpl w:val="591AD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D8650F7"/>
    <w:multiLevelType w:val="hybridMultilevel"/>
    <w:tmpl w:val="D4C2C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771545">
    <w:abstractNumId w:val="1"/>
  </w:num>
  <w:num w:numId="2" w16cid:durableId="1323004026">
    <w:abstractNumId w:val="34"/>
  </w:num>
  <w:num w:numId="3" w16cid:durableId="1504397155">
    <w:abstractNumId w:val="38"/>
  </w:num>
  <w:num w:numId="4" w16cid:durableId="329334035">
    <w:abstractNumId w:val="17"/>
  </w:num>
  <w:num w:numId="5" w16cid:durableId="1976131357">
    <w:abstractNumId w:val="9"/>
  </w:num>
  <w:num w:numId="6" w16cid:durableId="293995344">
    <w:abstractNumId w:val="3"/>
  </w:num>
  <w:num w:numId="7" w16cid:durableId="18937296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3145372">
    <w:abstractNumId w:val="21"/>
  </w:num>
  <w:num w:numId="9" w16cid:durableId="917523769">
    <w:abstractNumId w:val="28"/>
  </w:num>
  <w:num w:numId="10" w16cid:durableId="155726141">
    <w:abstractNumId w:val="31"/>
  </w:num>
  <w:num w:numId="11" w16cid:durableId="2028216650">
    <w:abstractNumId w:val="26"/>
  </w:num>
  <w:num w:numId="12" w16cid:durableId="125704761">
    <w:abstractNumId w:val="37"/>
  </w:num>
  <w:num w:numId="13" w16cid:durableId="2071608991">
    <w:abstractNumId w:val="16"/>
  </w:num>
  <w:num w:numId="14" w16cid:durableId="975991674">
    <w:abstractNumId w:val="6"/>
  </w:num>
  <w:num w:numId="15" w16cid:durableId="1137726237">
    <w:abstractNumId w:val="7"/>
  </w:num>
  <w:num w:numId="16" w16cid:durableId="1155293072">
    <w:abstractNumId w:val="36"/>
  </w:num>
  <w:num w:numId="17" w16cid:durableId="119425451">
    <w:abstractNumId w:val="30"/>
  </w:num>
  <w:num w:numId="18" w16cid:durableId="1509637965">
    <w:abstractNumId w:val="20"/>
  </w:num>
  <w:num w:numId="19" w16cid:durableId="1660570764">
    <w:abstractNumId w:val="22"/>
  </w:num>
  <w:num w:numId="20" w16cid:durableId="970284595">
    <w:abstractNumId w:val="14"/>
  </w:num>
  <w:num w:numId="21" w16cid:durableId="689259317">
    <w:abstractNumId w:val="8"/>
  </w:num>
  <w:num w:numId="22" w16cid:durableId="1587378363">
    <w:abstractNumId w:val="39"/>
  </w:num>
  <w:num w:numId="23" w16cid:durableId="1214854445">
    <w:abstractNumId w:val="5"/>
  </w:num>
  <w:num w:numId="24" w16cid:durableId="1662079317">
    <w:abstractNumId w:val="11"/>
  </w:num>
  <w:num w:numId="25" w16cid:durableId="1301181501">
    <w:abstractNumId w:val="2"/>
  </w:num>
  <w:num w:numId="26" w16cid:durableId="1725252877">
    <w:abstractNumId w:val="25"/>
  </w:num>
  <w:num w:numId="27" w16cid:durableId="6715960">
    <w:abstractNumId w:val="12"/>
  </w:num>
  <w:num w:numId="28" w16cid:durableId="19056021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0073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6856519">
    <w:abstractNumId w:val="4"/>
  </w:num>
  <w:num w:numId="31" w16cid:durableId="1786608873">
    <w:abstractNumId w:val="27"/>
  </w:num>
  <w:num w:numId="32" w16cid:durableId="1494488361">
    <w:abstractNumId w:val="35"/>
  </w:num>
  <w:num w:numId="33" w16cid:durableId="1226573208">
    <w:abstractNumId w:val="19"/>
  </w:num>
  <w:num w:numId="34" w16cid:durableId="1136726821">
    <w:abstractNumId w:val="15"/>
  </w:num>
  <w:num w:numId="35" w16cid:durableId="1784306685">
    <w:abstractNumId w:val="29"/>
  </w:num>
  <w:num w:numId="36" w16cid:durableId="524556718">
    <w:abstractNumId w:val="33"/>
  </w:num>
  <w:num w:numId="37" w16cid:durableId="384643277">
    <w:abstractNumId w:val="32"/>
  </w:num>
  <w:num w:numId="38" w16cid:durableId="202255307">
    <w:abstractNumId w:val="13"/>
  </w:num>
  <w:num w:numId="39" w16cid:durableId="388194121">
    <w:abstractNumId w:val="15"/>
  </w:num>
  <w:num w:numId="40" w16cid:durableId="639724427">
    <w:abstractNumId w:val="37"/>
  </w:num>
  <w:num w:numId="41" w16cid:durableId="1542325366">
    <w:abstractNumId w:val="24"/>
  </w:num>
  <w:num w:numId="42" w16cid:durableId="57409879">
    <w:abstractNumId w:val="37"/>
  </w:num>
  <w:num w:numId="43" w16cid:durableId="667513454">
    <w:abstractNumId w:val="18"/>
  </w:num>
  <w:num w:numId="44" w16cid:durableId="863711872">
    <w:abstractNumId w:val="0"/>
  </w:num>
  <w:num w:numId="45" w16cid:durableId="676349292">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57"/>
    <w:rsid w:val="00000960"/>
    <w:rsid w:val="000010F2"/>
    <w:rsid w:val="00001707"/>
    <w:rsid w:val="0000182B"/>
    <w:rsid w:val="00001A04"/>
    <w:rsid w:val="00001D9A"/>
    <w:rsid w:val="00004498"/>
    <w:rsid w:val="00004638"/>
    <w:rsid w:val="00004BED"/>
    <w:rsid w:val="00004EEC"/>
    <w:rsid w:val="0000697E"/>
    <w:rsid w:val="00006AE3"/>
    <w:rsid w:val="00006B8D"/>
    <w:rsid w:val="00010BB9"/>
    <w:rsid w:val="00012426"/>
    <w:rsid w:val="00012C74"/>
    <w:rsid w:val="00013141"/>
    <w:rsid w:val="00014738"/>
    <w:rsid w:val="00014898"/>
    <w:rsid w:val="00015208"/>
    <w:rsid w:val="00015CB5"/>
    <w:rsid w:val="000160B4"/>
    <w:rsid w:val="00016469"/>
    <w:rsid w:val="000164B1"/>
    <w:rsid w:val="0001738E"/>
    <w:rsid w:val="000174EF"/>
    <w:rsid w:val="00020106"/>
    <w:rsid w:val="000209F5"/>
    <w:rsid w:val="0002141E"/>
    <w:rsid w:val="00021A20"/>
    <w:rsid w:val="00021E64"/>
    <w:rsid w:val="00022BE4"/>
    <w:rsid w:val="00022E5C"/>
    <w:rsid w:val="00024992"/>
    <w:rsid w:val="00024A0D"/>
    <w:rsid w:val="00025B22"/>
    <w:rsid w:val="00026281"/>
    <w:rsid w:val="0002742E"/>
    <w:rsid w:val="00027641"/>
    <w:rsid w:val="000301F2"/>
    <w:rsid w:val="000306C7"/>
    <w:rsid w:val="00031316"/>
    <w:rsid w:val="000318C6"/>
    <w:rsid w:val="00032074"/>
    <w:rsid w:val="0003275C"/>
    <w:rsid w:val="00032BF1"/>
    <w:rsid w:val="000338D1"/>
    <w:rsid w:val="00034955"/>
    <w:rsid w:val="00034C75"/>
    <w:rsid w:val="00035385"/>
    <w:rsid w:val="00037999"/>
    <w:rsid w:val="00037CB8"/>
    <w:rsid w:val="00040383"/>
    <w:rsid w:val="0004072E"/>
    <w:rsid w:val="000408CA"/>
    <w:rsid w:val="00041342"/>
    <w:rsid w:val="00042223"/>
    <w:rsid w:val="00042C6A"/>
    <w:rsid w:val="000438D5"/>
    <w:rsid w:val="00043E2B"/>
    <w:rsid w:val="000449B4"/>
    <w:rsid w:val="00044FB1"/>
    <w:rsid w:val="00045450"/>
    <w:rsid w:val="0004575D"/>
    <w:rsid w:val="00045E64"/>
    <w:rsid w:val="000462DC"/>
    <w:rsid w:val="000509A0"/>
    <w:rsid w:val="000516E6"/>
    <w:rsid w:val="000518BE"/>
    <w:rsid w:val="00051A4A"/>
    <w:rsid w:val="00054335"/>
    <w:rsid w:val="00054479"/>
    <w:rsid w:val="0005503D"/>
    <w:rsid w:val="00056D43"/>
    <w:rsid w:val="000617DD"/>
    <w:rsid w:val="00061BDB"/>
    <w:rsid w:val="000624FD"/>
    <w:rsid w:val="00062DA4"/>
    <w:rsid w:val="000630E9"/>
    <w:rsid w:val="000636AB"/>
    <w:rsid w:val="000637E4"/>
    <w:rsid w:val="00063A86"/>
    <w:rsid w:val="00063E80"/>
    <w:rsid w:val="000644B6"/>
    <w:rsid w:val="00064669"/>
    <w:rsid w:val="00064875"/>
    <w:rsid w:val="00066EA4"/>
    <w:rsid w:val="00066F05"/>
    <w:rsid w:val="000672CE"/>
    <w:rsid w:val="00067499"/>
    <w:rsid w:val="000676A0"/>
    <w:rsid w:val="00072607"/>
    <w:rsid w:val="00072F19"/>
    <w:rsid w:val="00073292"/>
    <w:rsid w:val="00073CC7"/>
    <w:rsid w:val="0007510D"/>
    <w:rsid w:val="00075181"/>
    <w:rsid w:val="00075B1D"/>
    <w:rsid w:val="00075CD4"/>
    <w:rsid w:val="00075D20"/>
    <w:rsid w:val="00075DAE"/>
    <w:rsid w:val="00076F13"/>
    <w:rsid w:val="00076FFB"/>
    <w:rsid w:val="00077FB4"/>
    <w:rsid w:val="00080178"/>
    <w:rsid w:val="00080FC6"/>
    <w:rsid w:val="000816F9"/>
    <w:rsid w:val="00081AD1"/>
    <w:rsid w:val="00083814"/>
    <w:rsid w:val="000839D4"/>
    <w:rsid w:val="00084D68"/>
    <w:rsid w:val="00084E0A"/>
    <w:rsid w:val="00084E13"/>
    <w:rsid w:val="00085E85"/>
    <w:rsid w:val="00085FE6"/>
    <w:rsid w:val="00086D22"/>
    <w:rsid w:val="00087209"/>
    <w:rsid w:val="000915C1"/>
    <w:rsid w:val="00092D5A"/>
    <w:rsid w:val="00092DAC"/>
    <w:rsid w:val="00094264"/>
    <w:rsid w:val="0009438D"/>
    <w:rsid w:val="000946BC"/>
    <w:rsid w:val="0009744A"/>
    <w:rsid w:val="00097703"/>
    <w:rsid w:val="00097DD5"/>
    <w:rsid w:val="00097E24"/>
    <w:rsid w:val="000A0CD1"/>
    <w:rsid w:val="000A15E4"/>
    <w:rsid w:val="000A1F4E"/>
    <w:rsid w:val="000A21C0"/>
    <w:rsid w:val="000A2B47"/>
    <w:rsid w:val="000A35E0"/>
    <w:rsid w:val="000A4BD5"/>
    <w:rsid w:val="000A5A6C"/>
    <w:rsid w:val="000A5D63"/>
    <w:rsid w:val="000A5F54"/>
    <w:rsid w:val="000A6C09"/>
    <w:rsid w:val="000A72DE"/>
    <w:rsid w:val="000A7B66"/>
    <w:rsid w:val="000B1261"/>
    <w:rsid w:val="000B18F3"/>
    <w:rsid w:val="000B228A"/>
    <w:rsid w:val="000B2F15"/>
    <w:rsid w:val="000B3321"/>
    <w:rsid w:val="000B35FC"/>
    <w:rsid w:val="000B47B1"/>
    <w:rsid w:val="000B4D9F"/>
    <w:rsid w:val="000B584F"/>
    <w:rsid w:val="000B5EEC"/>
    <w:rsid w:val="000B6343"/>
    <w:rsid w:val="000B6881"/>
    <w:rsid w:val="000B78DC"/>
    <w:rsid w:val="000C0691"/>
    <w:rsid w:val="000C0B7B"/>
    <w:rsid w:val="000C1D8F"/>
    <w:rsid w:val="000C3B06"/>
    <w:rsid w:val="000C4268"/>
    <w:rsid w:val="000C4DF5"/>
    <w:rsid w:val="000C567D"/>
    <w:rsid w:val="000C584B"/>
    <w:rsid w:val="000C62A1"/>
    <w:rsid w:val="000C6C88"/>
    <w:rsid w:val="000C6DB9"/>
    <w:rsid w:val="000C756B"/>
    <w:rsid w:val="000D0769"/>
    <w:rsid w:val="000D0A3D"/>
    <w:rsid w:val="000D0D5F"/>
    <w:rsid w:val="000D1C4B"/>
    <w:rsid w:val="000D1CC1"/>
    <w:rsid w:val="000D2571"/>
    <w:rsid w:val="000D47A7"/>
    <w:rsid w:val="000D4A64"/>
    <w:rsid w:val="000D5056"/>
    <w:rsid w:val="000E119C"/>
    <w:rsid w:val="000E1441"/>
    <w:rsid w:val="000E2F42"/>
    <w:rsid w:val="000E47F1"/>
    <w:rsid w:val="000E50DE"/>
    <w:rsid w:val="000F0163"/>
    <w:rsid w:val="000F03D9"/>
    <w:rsid w:val="000F060C"/>
    <w:rsid w:val="000F0910"/>
    <w:rsid w:val="000F18B0"/>
    <w:rsid w:val="000F1A96"/>
    <w:rsid w:val="000F2630"/>
    <w:rsid w:val="000F3890"/>
    <w:rsid w:val="000F4170"/>
    <w:rsid w:val="000F483A"/>
    <w:rsid w:val="000F4991"/>
    <w:rsid w:val="000F7C85"/>
    <w:rsid w:val="000F7D4E"/>
    <w:rsid w:val="00100878"/>
    <w:rsid w:val="00100B4F"/>
    <w:rsid w:val="00102FD0"/>
    <w:rsid w:val="001031C3"/>
    <w:rsid w:val="00103226"/>
    <w:rsid w:val="001033A4"/>
    <w:rsid w:val="00104A4C"/>
    <w:rsid w:val="00105EF2"/>
    <w:rsid w:val="0010642B"/>
    <w:rsid w:val="00107D14"/>
    <w:rsid w:val="0011091B"/>
    <w:rsid w:val="00110AE2"/>
    <w:rsid w:val="00110BB4"/>
    <w:rsid w:val="001112CF"/>
    <w:rsid w:val="00111714"/>
    <w:rsid w:val="0011264F"/>
    <w:rsid w:val="00113436"/>
    <w:rsid w:val="00113A3A"/>
    <w:rsid w:val="00113D38"/>
    <w:rsid w:val="00114A81"/>
    <w:rsid w:val="001150EA"/>
    <w:rsid w:val="00116265"/>
    <w:rsid w:val="00120646"/>
    <w:rsid w:val="00120DAE"/>
    <w:rsid w:val="00120F10"/>
    <w:rsid w:val="0012290C"/>
    <w:rsid w:val="00122CBC"/>
    <w:rsid w:val="00123C3F"/>
    <w:rsid w:val="00123E5E"/>
    <w:rsid w:val="0012404B"/>
    <w:rsid w:val="00124FAD"/>
    <w:rsid w:val="00125039"/>
    <w:rsid w:val="0012517E"/>
    <w:rsid w:val="001257CC"/>
    <w:rsid w:val="00127024"/>
    <w:rsid w:val="0012739E"/>
    <w:rsid w:val="001276F8"/>
    <w:rsid w:val="00127BB3"/>
    <w:rsid w:val="00127BCE"/>
    <w:rsid w:val="00130523"/>
    <w:rsid w:val="00131912"/>
    <w:rsid w:val="001333DA"/>
    <w:rsid w:val="00133884"/>
    <w:rsid w:val="0013686B"/>
    <w:rsid w:val="00140433"/>
    <w:rsid w:val="0014047F"/>
    <w:rsid w:val="00140966"/>
    <w:rsid w:val="00140B2A"/>
    <w:rsid w:val="00141CEC"/>
    <w:rsid w:val="00142FA2"/>
    <w:rsid w:val="00144037"/>
    <w:rsid w:val="0014409A"/>
    <w:rsid w:val="001447DC"/>
    <w:rsid w:val="001463F4"/>
    <w:rsid w:val="00146709"/>
    <w:rsid w:val="00146711"/>
    <w:rsid w:val="00147626"/>
    <w:rsid w:val="0015021B"/>
    <w:rsid w:val="00150E5B"/>
    <w:rsid w:val="00151EBE"/>
    <w:rsid w:val="0015207E"/>
    <w:rsid w:val="00153742"/>
    <w:rsid w:val="0015512D"/>
    <w:rsid w:val="00155A2B"/>
    <w:rsid w:val="001567BB"/>
    <w:rsid w:val="0015698F"/>
    <w:rsid w:val="00156E5D"/>
    <w:rsid w:val="001603B7"/>
    <w:rsid w:val="0016102B"/>
    <w:rsid w:val="0016116D"/>
    <w:rsid w:val="00161ED7"/>
    <w:rsid w:val="00162E4F"/>
    <w:rsid w:val="001631DA"/>
    <w:rsid w:val="00163CC4"/>
    <w:rsid w:val="001647FF"/>
    <w:rsid w:val="0016497A"/>
    <w:rsid w:val="00165526"/>
    <w:rsid w:val="00165A41"/>
    <w:rsid w:val="00165BBD"/>
    <w:rsid w:val="001668D8"/>
    <w:rsid w:val="001678CD"/>
    <w:rsid w:val="001713FB"/>
    <w:rsid w:val="00171FE4"/>
    <w:rsid w:val="00174109"/>
    <w:rsid w:val="0017434A"/>
    <w:rsid w:val="00174D48"/>
    <w:rsid w:val="00175401"/>
    <w:rsid w:val="001762AD"/>
    <w:rsid w:val="00177094"/>
    <w:rsid w:val="00177852"/>
    <w:rsid w:val="00177D4A"/>
    <w:rsid w:val="0018059E"/>
    <w:rsid w:val="001806CE"/>
    <w:rsid w:val="00180F76"/>
    <w:rsid w:val="00181AD0"/>
    <w:rsid w:val="00182433"/>
    <w:rsid w:val="00182CF1"/>
    <w:rsid w:val="001858F2"/>
    <w:rsid w:val="0018621C"/>
    <w:rsid w:val="00186708"/>
    <w:rsid w:val="0019067C"/>
    <w:rsid w:val="0019082A"/>
    <w:rsid w:val="00190EAB"/>
    <w:rsid w:val="00191CD7"/>
    <w:rsid w:val="00192A5E"/>
    <w:rsid w:val="00194050"/>
    <w:rsid w:val="00194CC1"/>
    <w:rsid w:val="00195FD1"/>
    <w:rsid w:val="001968CD"/>
    <w:rsid w:val="001A08FA"/>
    <w:rsid w:val="001A19F9"/>
    <w:rsid w:val="001A2F0B"/>
    <w:rsid w:val="001A3D7F"/>
    <w:rsid w:val="001A434A"/>
    <w:rsid w:val="001A4CAA"/>
    <w:rsid w:val="001A5080"/>
    <w:rsid w:val="001A57F9"/>
    <w:rsid w:val="001A5908"/>
    <w:rsid w:val="001A5AE3"/>
    <w:rsid w:val="001A609B"/>
    <w:rsid w:val="001A653A"/>
    <w:rsid w:val="001A6C67"/>
    <w:rsid w:val="001B1351"/>
    <w:rsid w:val="001B16D0"/>
    <w:rsid w:val="001B1970"/>
    <w:rsid w:val="001B219E"/>
    <w:rsid w:val="001B23B7"/>
    <w:rsid w:val="001B28A9"/>
    <w:rsid w:val="001B35B2"/>
    <w:rsid w:val="001B367D"/>
    <w:rsid w:val="001B383B"/>
    <w:rsid w:val="001B3B5F"/>
    <w:rsid w:val="001B4518"/>
    <w:rsid w:val="001B50E9"/>
    <w:rsid w:val="001B6C81"/>
    <w:rsid w:val="001B7551"/>
    <w:rsid w:val="001B7DE1"/>
    <w:rsid w:val="001C06FF"/>
    <w:rsid w:val="001C1380"/>
    <w:rsid w:val="001C15DD"/>
    <w:rsid w:val="001C18B0"/>
    <w:rsid w:val="001C1BE8"/>
    <w:rsid w:val="001C1C3A"/>
    <w:rsid w:val="001C1F8D"/>
    <w:rsid w:val="001C2A03"/>
    <w:rsid w:val="001C2F88"/>
    <w:rsid w:val="001C33D3"/>
    <w:rsid w:val="001C563D"/>
    <w:rsid w:val="001C5665"/>
    <w:rsid w:val="001C5889"/>
    <w:rsid w:val="001C59E5"/>
    <w:rsid w:val="001C617A"/>
    <w:rsid w:val="001C6208"/>
    <w:rsid w:val="001C7270"/>
    <w:rsid w:val="001D002A"/>
    <w:rsid w:val="001D1462"/>
    <w:rsid w:val="001D1878"/>
    <w:rsid w:val="001D190A"/>
    <w:rsid w:val="001D1D6D"/>
    <w:rsid w:val="001D2278"/>
    <w:rsid w:val="001D26BA"/>
    <w:rsid w:val="001D2E7B"/>
    <w:rsid w:val="001D4188"/>
    <w:rsid w:val="001D520E"/>
    <w:rsid w:val="001D5809"/>
    <w:rsid w:val="001D5E22"/>
    <w:rsid w:val="001D6E51"/>
    <w:rsid w:val="001E0B30"/>
    <w:rsid w:val="001E264B"/>
    <w:rsid w:val="001E28A4"/>
    <w:rsid w:val="001E2F50"/>
    <w:rsid w:val="001E4307"/>
    <w:rsid w:val="001E56C7"/>
    <w:rsid w:val="001E5BE7"/>
    <w:rsid w:val="001E7A60"/>
    <w:rsid w:val="001F0359"/>
    <w:rsid w:val="001F0C4C"/>
    <w:rsid w:val="001F1BB0"/>
    <w:rsid w:val="001F2A28"/>
    <w:rsid w:val="001F3C9E"/>
    <w:rsid w:val="001F3D0F"/>
    <w:rsid w:val="001F4349"/>
    <w:rsid w:val="001F4CDF"/>
    <w:rsid w:val="001F4DA2"/>
    <w:rsid w:val="001F52D2"/>
    <w:rsid w:val="001F5522"/>
    <w:rsid w:val="001F58ED"/>
    <w:rsid w:val="001F5D19"/>
    <w:rsid w:val="001F6C95"/>
    <w:rsid w:val="001F6D9E"/>
    <w:rsid w:val="001F6F71"/>
    <w:rsid w:val="00200222"/>
    <w:rsid w:val="00204511"/>
    <w:rsid w:val="0020461D"/>
    <w:rsid w:val="00206727"/>
    <w:rsid w:val="0020758F"/>
    <w:rsid w:val="002077DA"/>
    <w:rsid w:val="002100FE"/>
    <w:rsid w:val="0021158A"/>
    <w:rsid w:val="002119A9"/>
    <w:rsid w:val="00213946"/>
    <w:rsid w:val="002147DA"/>
    <w:rsid w:val="00215578"/>
    <w:rsid w:val="00215605"/>
    <w:rsid w:val="002202B5"/>
    <w:rsid w:val="0022047A"/>
    <w:rsid w:val="0022097E"/>
    <w:rsid w:val="00221640"/>
    <w:rsid w:val="00221DD4"/>
    <w:rsid w:val="002225D0"/>
    <w:rsid w:val="0022286E"/>
    <w:rsid w:val="0022427B"/>
    <w:rsid w:val="002249FF"/>
    <w:rsid w:val="0022600D"/>
    <w:rsid w:val="002270FF"/>
    <w:rsid w:val="00227BDE"/>
    <w:rsid w:val="00230904"/>
    <w:rsid w:val="00230D1C"/>
    <w:rsid w:val="00231839"/>
    <w:rsid w:val="00231A5A"/>
    <w:rsid w:val="00233326"/>
    <w:rsid w:val="002333BA"/>
    <w:rsid w:val="00233F5D"/>
    <w:rsid w:val="00235836"/>
    <w:rsid w:val="00237599"/>
    <w:rsid w:val="00237A65"/>
    <w:rsid w:val="00240A53"/>
    <w:rsid w:val="00240D3F"/>
    <w:rsid w:val="002410DA"/>
    <w:rsid w:val="002422E0"/>
    <w:rsid w:val="002429BA"/>
    <w:rsid w:val="00243663"/>
    <w:rsid w:val="00243A7F"/>
    <w:rsid w:val="002450F2"/>
    <w:rsid w:val="00245274"/>
    <w:rsid w:val="002457B1"/>
    <w:rsid w:val="002470FD"/>
    <w:rsid w:val="00247719"/>
    <w:rsid w:val="0025018F"/>
    <w:rsid w:val="0025049B"/>
    <w:rsid w:val="002506B2"/>
    <w:rsid w:val="00250987"/>
    <w:rsid w:val="002511FF"/>
    <w:rsid w:val="00251B6F"/>
    <w:rsid w:val="0025382C"/>
    <w:rsid w:val="00253954"/>
    <w:rsid w:val="00254EDF"/>
    <w:rsid w:val="00255984"/>
    <w:rsid w:val="00255E41"/>
    <w:rsid w:val="00257457"/>
    <w:rsid w:val="00257D9A"/>
    <w:rsid w:val="0026092A"/>
    <w:rsid w:val="002616A6"/>
    <w:rsid w:val="00261BA4"/>
    <w:rsid w:val="002628DB"/>
    <w:rsid w:val="0026368F"/>
    <w:rsid w:val="00264893"/>
    <w:rsid w:val="00264998"/>
    <w:rsid w:val="0026657A"/>
    <w:rsid w:val="002665B4"/>
    <w:rsid w:val="00267A43"/>
    <w:rsid w:val="00267F30"/>
    <w:rsid w:val="002714EB"/>
    <w:rsid w:val="002718E8"/>
    <w:rsid w:val="00271F23"/>
    <w:rsid w:val="0027209B"/>
    <w:rsid w:val="002720DE"/>
    <w:rsid w:val="002729C0"/>
    <w:rsid w:val="002744EE"/>
    <w:rsid w:val="00274525"/>
    <w:rsid w:val="00274E82"/>
    <w:rsid w:val="00274FB2"/>
    <w:rsid w:val="00275738"/>
    <w:rsid w:val="002762A7"/>
    <w:rsid w:val="00277909"/>
    <w:rsid w:val="00277A51"/>
    <w:rsid w:val="002824DF"/>
    <w:rsid w:val="00282976"/>
    <w:rsid w:val="00282AF3"/>
    <w:rsid w:val="00283EDF"/>
    <w:rsid w:val="00284724"/>
    <w:rsid w:val="0028642A"/>
    <w:rsid w:val="00286CE9"/>
    <w:rsid w:val="00286F24"/>
    <w:rsid w:val="00286FE7"/>
    <w:rsid w:val="0029038E"/>
    <w:rsid w:val="00290B7D"/>
    <w:rsid w:val="00290C93"/>
    <w:rsid w:val="00291569"/>
    <w:rsid w:val="002917C5"/>
    <w:rsid w:val="00292532"/>
    <w:rsid w:val="00292E1C"/>
    <w:rsid w:val="00293570"/>
    <w:rsid w:val="0029560A"/>
    <w:rsid w:val="00295D7B"/>
    <w:rsid w:val="002972FF"/>
    <w:rsid w:val="00297434"/>
    <w:rsid w:val="002976FC"/>
    <w:rsid w:val="00297B95"/>
    <w:rsid w:val="002A0697"/>
    <w:rsid w:val="002A2715"/>
    <w:rsid w:val="002A313D"/>
    <w:rsid w:val="002A4D86"/>
    <w:rsid w:val="002A66F2"/>
    <w:rsid w:val="002A6AA8"/>
    <w:rsid w:val="002B0414"/>
    <w:rsid w:val="002B1283"/>
    <w:rsid w:val="002B1FAF"/>
    <w:rsid w:val="002B205A"/>
    <w:rsid w:val="002B2323"/>
    <w:rsid w:val="002B2465"/>
    <w:rsid w:val="002B4AA6"/>
    <w:rsid w:val="002B5A76"/>
    <w:rsid w:val="002B7386"/>
    <w:rsid w:val="002C09AE"/>
    <w:rsid w:val="002C0B2A"/>
    <w:rsid w:val="002C0E67"/>
    <w:rsid w:val="002C10A9"/>
    <w:rsid w:val="002C1FF2"/>
    <w:rsid w:val="002C229D"/>
    <w:rsid w:val="002C25D5"/>
    <w:rsid w:val="002C34C9"/>
    <w:rsid w:val="002C381D"/>
    <w:rsid w:val="002C54F5"/>
    <w:rsid w:val="002C6181"/>
    <w:rsid w:val="002C6862"/>
    <w:rsid w:val="002C6A29"/>
    <w:rsid w:val="002C7131"/>
    <w:rsid w:val="002D00F5"/>
    <w:rsid w:val="002D139D"/>
    <w:rsid w:val="002D13B2"/>
    <w:rsid w:val="002D1C2B"/>
    <w:rsid w:val="002D2F90"/>
    <w:rsid w:val="002D4402"/>
    <w:rsid w:val="002D45B5"/>
    <w:rsid w:val="002D5487"/>
    <w:rsid w:val="002D64A4"/>
    <w:rsid w:val="002D6690"/>
    <w:rsid w:val="002D7291"/>
    <w:rsid w:val="002E00D9"/>
    <w:rsid w:val="002E04CE"/>
    <w:rsid w:val="002E0A5D"/>
    <w:rsid w:val="002E0D85"/>
    <w:rsid w:val="002E1260"/>
    <w:rsid w:val="002E2246"/>
    <w:rsid w:val="002E2535"/>
    <w:rsid w:val="002E26A8"/>
    <w:rsid w:val="002E2775"/>
    <w:rsid w:val="002E29BE"/>
    <w:rsid w:val="002E2CF4"/>
    <w:rsid w:val="002E38BF"/>
    <w:rsid w:val="002E3928"/>
    <w:rsid w:val="002E60CA"/>
    <w:rsid w:val="002E67EB"/>
    <w:rsid w:val="002E6C71"/>
    <w:rsid w:val="002F06DE"/>
    <w:rsid w:val="002F079A"/>
    <w:rsid w:val="002F0AF8"/>
    <w:rsid w:val="002F1349"/>
    <w:rsid w:val="002F205D"/>
    <w:rsid w:val="002F270A"/>
    <w:rsid w:val="002F409C"/>
    <w:rsid w:val="002F4ACE"/>
    <w:rsid w:val="002F5070"/>
    <w:rsid w:val="002F610D"/>
    <w:rsid w:val="002F63E3"/>
    <w:rsid w:val="002F6591"/>
    <w:rsid w:val="002F7727"/>
    <w:rsid w:val="002F7A23"/>
    <w:rsid w:val="002F7B74"/>
    <w:rsid w:val="002F7C80"/>
    <w:rsid w:val="002F7FB0"/>
    <w:rsid w:val="00300506"/>
    <w:rsid w:val="00300DA5"/>
    <w:rsid w:val="003016F0"/>
    <w:rsid w:val="00301D50"/>
    <w:rsid w:val="00301E8E"/>
    <w:rsid w:val="00303E7B"/>
    <w:rsid w:val="0030405E"/>
    <w:rsid w:val="003054C5"/>
    <w:rsid w:val="00306E28"/>
    <w:rsid w:val="00307899"/>
    <w:rsid w:val="003101E1"/>
    <w:rsid w:val="00310992"/>
    <w:rsid w:val="00310D6B"/>
    <w:rsid w:val="00311014"/>
    <w:rsid w:val="0031119E"/>
    <w:rsid w:val="003114A6"/>
    <w:rsid w:val="00311857"/>
    <w:rsid w:val="00311ABE"/>
    <w:rsid w:val="00311BBE"/>
    <w:rsid w:val="00311CE7"/>
    <w:rsid w:val="003122E5"/>
    <w:rsid w:val="00312498"/>
    <w:rsid w:val="003135AB"/>
    <w:rsid w:val="00316842"/>
    <w:rsid w:val="00316D92"/>
    <w:rsid w:val="0031703F"/>
    <w:rsid w:val="00320105"/>
    <w:rsid w:val="0032029E"/>
    <w:rsid w:val="003204A1"/>
    <w:rsid w:val="003209F9"/>
    <w:rsid w:val="00320F77"/>
    <w:rsid w:val="00321766"/>
    <w:rsid w:val="00324C50"/>
    <w:rsid w:val="00325688"/>
    <w:rsid w:val="00325997"/>
    <w:rsid w:val="003271B2"/>
    <w:rsid w:val="003271B7"/>
    <w:rsid w:val="003275FF"/>
    <w:rsid w:val="00327B64"/>
    <w:rsid w:val="0033057F"/>
    <w:rsid w:val="003306E6"/>
    <w:rsid w:val="003312BD"/>
    <w:rsid w:val="00331400"/>
    <w:rsid w:val="00334308"/>
    <w:rsid w:val="00334940"/>
    <w:rsid w:val="003358D9"/>
    <w:rsid w:val="00336514"/>
    <w:rsid w:val="00336B00"/>
    <w:rsid w:val="00336CB5"/>
    <w:rsid w:val="003373B6"/>
    <w:rsid w:val="003376BE"/>
    <w:rsid w:val="003378B6"/>
    <w:rsid w:val="00340F0D"/>
    <w:rsid w:val="0034221B"/>
    <w:rsid w:val="00344E40"/>
    <w:rsid w:val="00345B75"/>
    <w:rsid w:val="00345C8F"/>
    <w:rsid w:val="003464C5"/>
    <w:rsid w:val="00347723"/>
    <w:rsid w:val="003502A8"/>
    <w:rsid w:val="00351E0A"/>
    <w:rsid w:val="0035274D"/>
    <w:rsid w:val="00352DD8"/>
    <w:rsid w:val="00354767"/>
    <w:rsid w:val="003568B1"/>
    <w:rsid w:val="00357AB9"/>
    <w:rsid w:val="00357F5D"/>
    <w:rsid w:val="00362EB6"/>
    <w:rsid w:val="0036327D"/>
    <w:rsid w:val="00363F33"/>
    <w:rsid w:val="0036420D"/>
    <w:rsid w:val="00364F21"/>
    <w:rsid w:val="00365F63"/>
    <w:rsid w:val="00366097"/>
    <w:rsid w:val="00366CDD"/>
    <w:rsid w:val="00367465"/>
    <w:rsid w:val="003701BD"/>
    <w:rsid w:val="00372379"/>
    <w:rsid w:val="0037332F"/>
    <w:rsid w:val="0037347A"/>
    <w:rsid w:val="00373EF8"/>
    <w:rsid w:val="003741FE"/>
    <w:rsid w:val="00374417"/>
    <w:rsid w:val="00374747"/>
    <w:rsid w:val="003748CB"/>
    <w:rsid w:val="00374C8E"/>
    <w:rsid w:val="00375900"/>
    <w:rsid w:val="00375DDB"/>
    <w:rsid w:val="00376E23"/>
    <w:rsid w:val="0038005B"/>
    <w:rsid w:val="003814D0"/>
    <w:rsid w:val="003814D7"/>
    <w:rsid w:val="00382F02"/>
    <w:rsid w:val="00383E22"/>
    <w:rsid w:val="00383EFC"/>
    <w:rsid w:val="0038442B"/>
    <w:rsid w:val="00384B2F"/>
    <w:rsid w:val="0038653D"/>
    <w:rsid w:val="00386A58"/>
    <w:rsid w:val="0038724B"/>
    <w:rsid w:val="003872BF"/>
    <w:rsid w:val="00387756"/>
    <w:rsid w:val="00387D84"/>
    <w:rsid w:val="00387E6C"/>
    <w:rsid w:val="0039158C"/>
    <w:rsid w:val="0039177C"/>
    <w:rsid w:val="003923C6"/>
    <w:rsid w:val="00392405"/>
    <w:rsid w:val="0039287E"/>
    <w:rsid w:val="00392A85"/>
    <w:rsid w:val="00393C3E"/>
    <w:rsid w:val="00393C99"/>
    <w:rsid w:val="00393E4D"/>
    <w:rsid w:val="00394037"/>
    <w:rsid w:val="0039559E"/>
    <w:rsid w:val="003956F7"/>
    <w:rsid w:val="00395BD1"/>
    <w:rsid w:val="00395EA8"/>
    <w:rsid w:val="003A0275"/>
    <w:rsid w:val="003A037C"/>
    <w:rsid w:val="003A1362"/>
    <w:rsid w:val="003A1658"/>
    <w:rsid w:val="003A2816"/>
    <w:rsid w:val="003A29BE"/>
    <w:rsid w:val="003A305F"/>
    <w:rsid w:val="003A3C89"/>
    <w:rsid w:val="003A45A2"/>
    <w:rsid w:val="003A64EA"/>
    <w:rsid w:val="003A6D31"/>
    <w:rsid w:val="003B0476"/>
    <w:rsid w:val="003B2850"/>
    <w:rsid w:val="003B3DED"/>
    <w:rsid w:val="003B4DA5"/>
    <w:rsid w:val="003B725F"/>
    <w:rsid w:val="003B7F1C"/>
    <w:rsid w:val="003C0545"/>
    <w:rsid w:val="003C080C"/>
    <w:rsid w:val="003C08FD"/>
    <w:rsid w:val="003C1133"/>
    <w:rsid w:val="003C2A76"/>
    <w:rsid w:val="003C2AA4"/>
    <w:rsid w:val="003C3E2B"/>
    <w:rsid w:val="003C4AE2"/>
    <w:rsid w:val="003C62F5"/>
    <w:rsid w:val="003C65E7"/>
    <w:rsid w:val="003C742B"/>
    <w:rsid w:val="003D057D"/>
    <w:rsid w:val="003D0C4C"/>
    <w:rsid w:val="003D122D"/>
    <w:rsid w:val="003D134E"/>
    <w:rsid w:val="003D1961"/>
    <w:rsid w:val="003D1F16"/>
    <w:rsid w:val="003D20B2"/>
    <w:rsid w:val="003D2AAD"/>
    <w:rsid w:val="003D367F"/>
    <w:rsid w:val="003D4642"/>
    <w:rsid w:val="003D47D0"/>
    <w:rsid w:val="003D5ECA"/>
    <w:rsid w:val="003D66C7"/>
    <w:rsid w:val="003D707F"/>
    <w:rsid w:val="003E0062"/>
    <w:rsid w:val="003E03D6"/>
    <w:rsid w:val="003E054D"/>
    <w:rsid w:val="003E0872"/>
    <w:rsid w:val="003E0A22"/>
    <w:rsid w:val="003E1AD0"/>
    <w:rsid w:val="003E2FC8"/>
    <w:rsid w:val="003E33B5"/>
    <w:rsid w:val="003E3554"/>
    <w:rsid w:val="003E35D8"/>
    <w:rsid w:val="003E41BB"/>
    <w:rsid w:val="003E45EB"/>
    <w:rsid w:val="003E7DB8"/>
    <w:rsid w:val="003E7FA5"/>
    <w:rsid w:val="003F06DA"/>
    <w:rsid w:val="003F1038"/>
    <w:rsid w:val="003F134A"/>
    <w:rsid w:val="003F14B8"/>
    <w:rsid w:val="003F1E51"/>
    <w:rsid w:val="003F2037"/>
    <w:rsid w:val="003F2075"/>
    <w:rsid w:val="003F3074"/>
    <w:rsid w:val="003F325A"/>
    <w:rsid w:val="003F3B30"/>
    <w:rsid w:val="003F4271"/>
    <w:rsid w:val="003F4AA0"/>
    <w:rsid w:val="003F4E70"/>
    <w:rsid w:val="003F5F35"/>
    <w:rsid w:val="003F660F"/>
    <w:rsid w:val="003F6691"/>
    <w:rsid w:val="003F788B"/>
    <w:rsid w:val="003F7B1A"/>
    <w:rsid w:val="00400A81"/>
    <w:rsid w:val="00400EC5"/>
    <w:rsid w:val="00400F67"/>
    <w:rsid w:val="00400FF9"/>
    <w:rsid w:val="00403244"/>
    <w:rsid w:val="004035C1"/>
    <w:rsid w:val="00404C02"/>
    <w:rsid w:val="004059E0"/>
    <w:rsid w:val="00407100"/>
    <w:rsid w:val="004102A6"/>
    <w:rsid w:val="00411936"/>
    <w:rsid w:val="00411E0E"/>
    <w:rsid w:val="00411F2A"/>
    <w:rsid w:val="00411FDF"/>
    <w:rsid w:val="0041296B"/>
    <w:rsid w:val="00416001"/>
    <w:rsid w:val="004160C7"/>
    <w:rsid w:val="00416BB6"/>
    <w:rsid w:val="004170CE"/>
    <w:rsid w:val="0042014B"/>
    <w:rsid w:val="00420162"/>
    <w:rsid w:val="00420322"/>
    <w:rsid w:val="00420A23"/>
    <w:rsid w:val="00421B7C"/>
    <w:rsid w:val="00421D18"/>
    <w:rsid w:val="0042214E"/>
    <w:rsid w:val="0042334A"/>
    <w:rsid w:val="0042436E"/>
    <w:rsid w:val="004246F0"/>
    <w:rsid w:val="00424793"/>
    <w:rsid w:val="00424D1C"/>
    <w:rsid w:val="00425E76"/>
    <w:rsid w:val="00426520"/>
    <w:rsid w:val="004305B6"/>
    <w:rsid w:val="00433119"/>
    <w:rsid w:val="00433EE5"/>
    <w:rsid w:val="00434296"/>
    <w:rsid w:val="004348E5"/>
    <w:rsid w:val="00437034"/>
    <w:rsid w:val="004378B8"/>
    <w:rsid w:val="00440081"/>
    <w:rsid w:val="004406A8"/>
    <w:rsid w:val="00440B47"/>
    <w:rsid w:val="0044195B"/>
    <w:rsid w:val="00441AB2"/>
    <w:rsid w:val="00441F95"/>
    <w:rsid w:val="004432C8"/>
    <w:rsid w:val="004433DA"/>
    <w:rsid w:val="004441B2"/>
    <w:rsid w:val="00444FB7"/>
    <w:rsid w:val="00447518"/>
    <w:rsid w:val="00447612"/>
    <w:rsid w:val="004504A6"/>
    <w:rsid w:val="0045092A"/>
    <w:rsid w:val="00451608"/>
    <w:rsid w:val="00452883"/>
    <w:rsid w:val="004529D8"/>
    <w:rsid w:val="00452CAA"/>
    <w:rsid w:val="00452CAC"/>
    <w:rsid w:val="004538AA"/>
    <w:rsid w:val="0045392E"/>
    <w:rsid w:val="00453E02"/>
    <w:rsid w:val="00455B5B"/>
    <w:rsid w:val="00456C91"/>
    <w:rsid w:val="00456DFA"/>
    <w:rsid w:val="00457219"/>
    <w:rsid w:val="00457441"/>
    <w:rsid w:val="004578CE"/>
    <w:rsid w:val="00460215"/>
    <w:rsid w:val="00460471"/>
    <w:rsid w:val="00460C0D"/>
    <w:rsid w:val="004612E3"/>
    <w:rsid w:val="00461AF1"/>
    <w:rsid w:val="00461E13"/>
    <w:rsid w:val="00462481"/>
    <w:rsid w:val="0046271A"/>
    <w:rsid w:val="004647F6"/>
    <w:rsid w:val="00465650"/>
    <w:rsid w:val="00465DC0"/>
    <w:rsid w:val="00466092"/>
    <w:rsid w:val="004668C7"/>
    <w:rsid w:val="0046766E"/>
    <w:rsid w:val="00467FCE"/>
    <w:rsid w:val="004704EF"/>
    <w:rsid w:val="004705C6"/>
    <w:rsid w:val="004729CB"/>
    <w:rsid w:val="0047376F"/>
    <w:rsid w:val="00473C4B"/>
    <w:rsid w:val="00474B94"/>
    <w:rsid w:val="00474F4B"/>
    <w:rsid w:val="00475136"/>
    <w:rsid w:val="00477016"/>
    <w:rsid w:val="00480C34"/>
    <w:rsid w:val="00480F72"/>
    <w:rsid w:val="00483671"/>
    <w:rsid w:val="0048537E"/>
    <w:rsid w:val="004854DD"/>
    <w:rsid w:val="00485FED"/>
    <w:rsid w:val="004864A1"/>
    <w:rsid w:val="00487B06"/>
    <w:rsid w:val="00487B33"/>
    <w:rsid w:val="0049084F"/>
    <w:rsid w:val="00491371"/>
    <w:rsid w:val="00491756"/>
    <w:rsid w:val="004926AF"/>
    <w:rsid w:val="00493015"/>
    <w:rsid w:val="00493A6B"/>
    <w:rsid w:val="0049457B"/>
    <w:rsid w:val="0049781A"/>
    <w:rsid w:val="004A0A63"/>
    <w:rsid w:val="004A1004"/>
    <w:rsid w:val="004A35B3"/>
    <w:rsid w:val="004A436F"/>
    <w:rsid w:val="004A5514"/>
    <w:rsid w:val="004A59EC"/>
    <w:rsid w:val="004A5E38"/>
    <w:rsid w:val="004B09B1"/>
    <w:rsid w:val="004B0DC2"/>
    <w:rsid w:val="004B129E"/>
    <w:rsid w:val="004B21EA"/>
    <w:rsid w:val="004B2E70"/>
    <w:rsid w:val="004B3399"/>
    <w:rsid w:val="004B4757"/>
    <w:rsid w:val="004B4BE8"/>
    <w:rsid w:val="004B4DF6"/>
    <w:rsid w:val="004B5399"/>
    <w:rsid w:val="004B6144"/>
    <w:rsid w:val="004B6753"/>
    <w:rsid w:val="004B7284"/>
    <w:rsid w:val="004B7CDA"/>
    <w:rsid w:val="004C0E50"/>
    <w:rsid w:val="004C1440"/>
    <w:rsid w:val="004C1651"/>
    <w:rsid w:val="004C2189"/>
    <w:rsid w:val="004C22AB"/>
    <w:rsid w:val="004C28EA"/>
    <w:rsid w:val="004C2EC5"/>
    <w:rsid w:val="004C3A23"/>
    <w:rsid w:val="004C5670"/>
    <w:rsid w:val="004C62A0"/>
    <w:rsid w:val="004C756A"/>
    <w:rsid w:val="004D0741"/>
    <w:rsid w:val="004D1A91"/>
    <w:rsid w:val="004D2264"/>
    <w:rsid w:val="004D3039"/>
    <w:rsid w:val="004D3972"/>
    <w:rsid w:val="004D6D56"/>
    <w:rsid w:val="004D6FB2"/>
    <w:rsid w:val="004D70DC"/>
    <w:rsid w:val="004D713D"/>
    <w:rsid w:val="004D78BC"/>
    <w:rsid w:val="004E152C"/>
    <w:rsid w:val="004E22A2"/>
    <w:rsid w:val="004E22C3"/>
    <w:rsid w:val="004E2ADB"/>
    <w:rsid w:val="004E2C6A"/>
    <w:rsid w:val="004E33CF"/>
    <w:rsid w:val="004E344B"/>
    <w:rsid w:val="004E3CA7"/>
    <w:rsid w:val="004E4468"/>
    <w:rsid w:val="004E46C8"/>
    <w:rsid w:val="004E4AEF"/>
    <w:rsid w:val="004E4DCF"/>
    <w:rsid w:val="004E5E7F"/>
    <w:rsid w:val="004E6CA7"/>
    <w:rsid w:val="004E7570"/>
    <w:rsid w:val="004E7EE9"/>
    <w:rsid w:val="004F158D"/>
    <w:rsid w:val="004F15A5"/>
    <w:rsid w:val="004F240F"/>
    <w:rsid w:val="004F2D19"/>
    <w:rsid w:val="004F2EB6"/>
    <w:rsid w:val="004F4D0F"/>
    <w:rsid w:val="004F5159"/>
    <w:rsid w:val="004F68B4"/>
    <w:rsid w:val="004F69EA"/>
    <w:rsid w:val="004F7489"/>
    <w:rsid w:val="005001AC"/>
    <w:rsid w:val="00500351"/>
    <w:rsid w:val="005017C5"/>
    <w:rsid w:val="00501BDD"/>
    <w:rsid w:val="00502261"/>
    <w:rsid w:val="00502E07"/>
    <w:rsid w:val="005035FF"/>
    <w:rsid w:val="00503691"/>
    <w:rsid w:val="005039BC"/>
    <w:rsid w:val="0050538A"/>
    <w:rsid w:val="00506EE7"/>
    <w:rsid w:val="0050742B"/>
    <w:rsid w:val="00507580"/>
    <w:rsid w:val="00510098"/>
    <w:rsid w:val="0051041F"/>
    <w:rsid w:val="005105E7"/>
    <w:rsid w:val="00510F3A"/>
    <w:rsid w:val="00511258"/>
    <w:rsid w:val="00511F99"/>
    <w:rsid w:val="0051265E"/>
    <w:rsid w:val="005127F9"/>
    <w:rsid w:val="00512B13"/>
    <w:rsid w:val="00512D69"/>
    <w:rsid w:val="005142F0"/>
    <w:rsid w:val="00515316"/>
    <w:rsid w:val="00515C56"/>
    <w:rsid w:val="00515C5E"/>
    <w:rsid w:val="00516078"/>
    <w:rsid w:val="0051616C"/>
    <w:rsid w:val="00516941"/>
    <w:rsid w:val="005178A4"/>
    <w:rsid w:val="00520903"/>
    <w:rsid w:val="00520B72"/>
    <w:rsid w:val="005217D5"/>
    <w:rsid w:val="005235E2"/>
    <w:rsid w:val="00523A11"/>
    <w:rsid w:val="0052426F"/>
    <w:rsid w:val="00524647"/>
    <w:rsid w:val="00524648"/>
    <w:rsid w:val="005251B2"/>
    <w:rsid w:val="00525719"/>
    <w:rsid w:val="00525E67"/>
    <w:rsid w:val="005262E1"/>
    <w:rsid w:val="005263F1"/>
    <w:rsid w:val="0052665B"/>
    <w:rsid w:val="0052716C"/>
    <w:rsid w:val="00527AEF"/>
    <w:rsid w:val="00527EDF"/>
    <w:rsid w:val="00530943"/>
    <w:rsid w:val="00532D2D"/>
    <w:rsid w:val="00533809"/>
    <w:rsid w:val="00534272"/>
    <w:rsid w:val="005353F2"/>
    <w:rsid w:val="005356DD"/>
    <w:rsid w:val="00535EBD"/>
    <w:rsid w:val="00536545"/>
    <w:rsid w:val="00536594"/>
    <w:rsid w:val="00537DF9"/>
    <w:rsid w:val="00540451"/>
    <w:rsid w:val="0054197D"/>
    <w:rsid w:val="00541D60"/>
    <w:rsid w:val="00542190"/>
    <w:rsid w:val="00542851"/>
    <w:rsid w:val="00542F1E"/>
    <w:rsid w:val="0054339C"/>
    <w:rsid w:val="00543983"/>
    <w:rsid w:val="005441DE"/>
    <w:rsid w:val="00545323"/>
    <w:rsid w:val="00546738"/>
    <w:rsid w:val="005467E9"/>
    <w:rsid w:val="00546A79"/>
    <w:rsid w:val="005471EA"/>
    <w:rsid w:val="00547BA3"/>
    <w:rsid w:val="00550025"/>
    <w:rsid w:val="0055155D"/>
    <w:rsid w:val="0055225B"/>
    <w:rsid w:val="00552763"/>
    <w:rsid w:val="00552D25"/>
    <w:rsid w:val="00554741"/>
    <w:rsid w:val="00554962"/>
    <w:rsid w:val="00554AAF"/>
    <w:rsid w:val="00555E2A"/>
    <w:rsid w:val="00557000"/>
    <w:rsid w:val="00557CA2"/>
    <w:rsid w:val="005611CE"/>
    <w:rsid w:val="0056123D"/>
    <w:rsid w:val="00562A25"/>
    <w:rsid w:val="00562ACD"/>
    <w:rsid w:val="00563700"/>
    <w:rsid w:val="00563D38"/>
    <w:rsid w:val="00563EC5"/>
    <w:rsid w:val="005644A4"/>
    <w:rsid w:val="005646A1"/>
    <w:rsid w:val="005677A6"/>
    <w:rsid w:val="0057078B"/>
    <w:rsid w:val="00571037"/>
    <w:rsid w:val="0057183D"/>
    <w:rsid w:val="00571DF6"/>
    <w:rsid w:val="00572A91"/>
    <w:rsid w:val="00572FDA"/>
    <w:rsid w:val="00573871"/>
    <w:rsid w:val="00573D08"/>
    <w:rsid w:val="005745F5"/>
    <w:rsid w:val="00574CD1"/>
    <w:rsid w:val="005758F6"/>
    <w:rsid w:val="00575946"/>
    <w:rsid w:val="0057595C"/>
    <w:rsid w:val="00576439"/>
    <w:rsid w:val="00576DAC"/>
    <w:rsid w:val="005779CA"/>
    <w:rsid w:val="00582E9B"/>
    <w:rsid w:val="00583923"/>
    <w:rsid w:val="00583C3C"/>
    <w:rsid w:val="00583C7D"/>
    <w:rsid w:val="00584728"/>
    <w:rsid w:val="0058488D"/>
    <w:rsid w:val="00584F66"/>
    <w:rsid w:val="0058644D"/>
    <w:rsid w:val="00587311"/>
    <w:rsid w:val="005904B5"/>
    <w:rsid w:val="00592673"/>
    <w:rsid w:val="00592CB5"/>
    <w:rsid w:val="005939B8"/>
    <w:rsid w:val="00594C0D"/>
    <w:rsid w:val="00594E74"/>
    <w:rsid w:val="00595A8A"/>
    <w:rsid w:val="0059612C"/>
    <w:rsid w:val="005967C5"/>
    <w:rsid w:val="00597590"/>
    <w:rsid w:val="00597923"/>
    <w:rsid w:val="005A0082"/>
    <w:rsid w:val="005A04E2"/>
    <w:rsid w:val="005A0ABF"/>
    <w:rsid w:val="005A220C"/>
    <w:rsid w:val="005A289A"/>
    <w:rsid w:val="005A324A"/>
    <w:rsid w:val="005A38AE"/>
    <w:rsid w:val="005A395B"/>
    <w:rsid w:val="005A4098"/>
    <w:rsid w:val="005A414F"/>
    <w:rsid w:val="005A4D75"/>
    <w:rsid w:val="005A5089"/>
    <w:rsid w:val="005A7ED2"/>
    <w:rsid w:val="005B065B"/>
    <w:rsid w:val="005B0774"/>
    <w:rsid w:val="005B18E4"/>
    <w:rsid w:val="005B2CD1"/>
    <w:rsid w:val="005B3758"/>
    <w:rsid w:val="005B3FFE"/>
    <w:rsid w:val="005B4276"/>
    <w:rsid w:val="005B675E"/>
    <w:rsid w:val="005B72EF"/>
    <w:rsid w:val="005B7BBD"/>
    <w:rsid w:val="005C09B0"/>
    <w:rsid w:val="005C1E4D"/>
    <w:rsid w:val="005C30A4"/>
    <w:rsid w:val="005C3A2A"/>
    <w:rsid w:val="005C3F7B"/>
    <w:rsid w:val="005C4739"/>
    <w:rsid w:val="005C48CA"/>
    <w:rsid w:val="005C499C"/>
    <w:rsid w:val="005C5C79"/>
    <w:rsid w:val="005C606F"/>
    <w:rsid w:val="005C6596"/>
    <w:rsid w:val="005C69EF"/>
    <w:rsid w:val="005C77FB"/>
    <w:rsid w:val="005D2B81"/>
    <w:rsid w:val="005D334E"/>
    <w:rsid w:val="005D3D7E"/>
    <w:rsid w:val="005D4218"/>
    <w:rsid w:val="005D4D24"/>
    <w:rsid w:val="005D56E5"/>
    <w:rsid w:val="005D5A0C"/>
    <w:rsid w:val="005D5BAD"/>
    <w:rsid w:val="005D6817"/>
    <w:rsid w:val="005D6C9F"/>
    <w:rsid w:val="005D74B5"/>
    <w:rsid w:val="005E132A"/>
    <w:rsid w:val="005E16F7"/>
    <w:rsid w:val="005E2E1A"/>
    <w:rsid w:val="005E33B5"/>
    <w:rsid w:val="005E497B"/>
    <w:rsid w:val="005E5044"/>
    <w:rsid w:val="005E5108"/>
    <w:rsid w:val="005E544B"/>
    <w:rsid w:val="005E60AF"/>
    <w:rsid w:val="005E6D64"/>
    <w:rsid w:val="005E79E8"/>
    <w:rsid w:val="005F0E6D"/>
    <w:rsid w:val="005F2DAC"/>
    <w:rsid w:val="005F2FF6"/>
    <w:rsid w:val="005F3DA4"/>
    <w:rsid w:val="005F448F"/>
    <w:rsid w:val="005F4889"/>
    <w:rsid w:val="005F4A66"/>
    <w:rsid w:val="005F526D"/>
    <w:rsid w:val="005F5492"/>
    <w:rsid w:val="005F6638"/>
    <w:rsid w:val="005F7130"/>
    <w:rsid w:val="005F75CC"/>
    <w:rsid w:val="005F76D4"/>
    <w:rsid w:val="005F7D6B"/>
    <w:rsid w:val="0060031B"/>
    <w:rsid w:val="006004D6"/>
    <w:rsid w:val="00601540"/>
    <w:rsid w:val="0060197A"/>
    <w:rsid w:val="00601F58"/>
    <w:rsid w:val="0060201F"/>
    <w:rsid w:val="0060205D"/>
    <w:rsid w:val="0060296F"/>
    <w:rsid w:val="00603DEB"/>
    <w:rsid w:val="006043BC"/>
    <w:rsid w:val="00605129"/>
    <w:rsid w:val="006063CB"/>
    <w:rsid w:val="0060682A"/>
    <w:rsid w:val="006068BE"/>
    <w:rsid w:val="0060697B"/>
    <w:rsid w:val="00607129"/>
    <w:rsid w:val="00607FA6"/>
    <w:rsid w:val="0061065C"/>
    <w:rsid w:val="00610D0A"/>
    <w:rsid w:val="006114FF"/>
    <w:rsid w:val="0061348F"/>
    <w:rsid w:val="00614665"/>
    <w:rsid w:val="0061488E"/>
    <w:rsid w:val="00615F4E"/>
    <w:rsid w:val="006164CF"/>
    <w:rsid w:val="00616603"/>
    <w:rsid w:val="0061722F"/>
    <w:rsid w:val="006216EF"/>
    <w:rsid w:val="006222A0"/>
    <w:rsid w:val="00622D53"/>
    <w:rsid w:val="00623CB0"/>
    <w:rsid w:val="00623D71"/>
    <w:rsid w:val="00625F79"/>
    <w:rsid w:val="00627190"/>
    <w:rsid w:val="0062739C"/>
    <w:rsid w:val="00627649"/>
    <w:rsid w:val="0062764C"/>
    <w:rsid w:val="0062797C"/>
    <w:rsid w:val="00627EB5"/>
    <w:rsid w:val="006309AC"/>
    <w:rsid w:val="00631CB0"/>
    <w:rsid w:val="006323EA"/>
    <w:rsid w:val="006325EF"/>
    <w:rsid w:val="00635D7C"/>
    <w:rsid w:val="006361FE"/>
    <w:rsid w:val="00636395"/>
    <w:rsid w:val="0063723E"/>
    <w:rsid w:val="00637A12"/>
    <w:rsid w:val="00637EBA"/>
    <w:rsid w:val="00641A78"/>
    <w:rsid w:val="006428AD"/>
    <w:rsid w:val="00642CE9"/>
    <w:rsid w:val="00643222"/>
    <w:rsid w:val="00644344"/>
    <w:rsid w:val="00644810"/>
    <w:rsid w:val="00644E1A"/>
    <w:rsid w:val="00645350"/>
    <w:rsid w:val="0064577F"/>
    <w:rsid w:val="00645B9B"/>
    <w:rsid w:val="0064695D"/>
    <w:rsid w:val="00646EE3"/>
    <w:rsid w:val="00647EAC"/>
    <w:rsid w:val="00650507"/>
    <w:rsid w:val="006508FC"/>
    <w:rsid w:val="00650B85"/>
    <w:rsid w:val="006515AC"/>
    <w:rsid w:val="00651625"/>
    <w:rsid w:val="006528FB"/>
    <w:rsid w:val="00652BF0"/>
    <w:rsid w:val="006547A0"/>
    <w:rsid w:val="00655CE7"/>
    <w:rsid w:val="00656F1D"/>
    <w:rsid w:val="00656FDD"/>
    <w:rsid w:val="00660046"/>
    <w:rsid w:val="0066298F"/>
    <w:rsid w:val="00662E1A"/>
    <w:rsid w:val="00663160"/>
    <w:rsid w:val="006634F6"/>
    <w:rsid w:val="00663A6A"/>
    <w:rsid w:val="00664013"/>
    <w:rsid w:val="00664482"/>
    <w:rsid w:val="006645D5"/>
    <w:rsid w:val="006648D0"/>
    <w:rsid w:val="00664ABE"/>
    <w:rsid w:val="0066724F"/>
    <w:rsid w:val="006672D1"/>
    <w:rsid w:val="00671182"/>
    <w:rsid w:val="00671D64"/>
    <w:rsid w:val="006728B9"/>
    <w:rsid w:val="00673952"/>
    <w:rsid w:val="00674346"/>
    <w:rsid w:val="006744D3"/>
    <w:rsid w:val="00674AAB"/>
    <w:rsid w:val="00675DAD"/>
    <w:rsid w:val="006764DB"/>
    <w:rsid w:val="006774B3"/>
    <w:rsid w:val="006801BF"/>
    <w:rsid w:val="00680234"/>
    <w:rsid w:val="00680939"/>
    <w:rsid w:val="00680A62"/>
    <w:rsid w:val="00680CC3"/>
    <w:rsid w:val="00680D61"/>
    <w:rsid w:val="0068177A"/>
    <w:rsid w:val="00683095"/>
    <w:rsid w:val="00683497"/>
    <w:rsid w:val="00683602"/>
    <w:rsid w:val="00683A7A"/>
    <w:rsid w:val="00683F2A"/>
    <w:rsid w:val="00684499"/>
    <w:rsid w:val="0068464C"/>
    <w:rsid w:val="00684A51"/>
    <w:rsid w:val="00684B8D"/>
    <w:rsid w:val="00684C64"/>
    <w:rsid w:val="006858CE"/>
    <w:rsid w:val="00685A30"/>
    <w:rsid w:val="00687306"/>
    <w:rsid w:val="006875F3"/>
    <w:rsid w:val="006878FB"/>
    <w:rsid w:val="00687C24"/>
    <w:rsid w:val="0069023D"/>
    <w:rsid w:val="006905F6"/>
    <w:rsid w:val="0069094F"/>
    <w:rsid w:val="00691181"/>
    <w:rsid w:val="00691DA8"/>
    <w:rsid w:val="00693009"/>
    <w:rsid w:val="00693E53"/>
    <w:rsid w:val="00694217"/>
    <w:rsid w:val="00694503"/>
    <w:rsid w:val="006958A3"/>
    <w:rsid w:val="0069598C"/>
    <w:rsid w:val="006959F8"/>
    <w:rsid w:val="00695AE8"/>
    <w:rsid w:val="006967A6"/>
    <w:rsid w:val="006970E1"/>
    <w:rsid w:val="006974E0"/>
    <w:rsid w:val="00697C86"/>
    <w:rsid w:val="006A02A4"/>
    <w:rsid w:val="006A0C24"/>
    <w:rsid w:val="006A13EA"/>
    <w:rsid w:val="006A2254"/>
    <w:rsid w:val="006A5294"/>
    <w:rsid w:val="006A5EFE"/>
    <w:rsid w:val="006A662D"/>
    <w:rsid w:val="006A67C1"/>
    <w:rsid w:val="006A6D1D"/>
    <w:rsid w:val="006A6DD1"/>
    <w:rsid w:val="006A6ED6"/>
    <w:rsid w:val="006B067A"/>
    <w:rsid w:val="006B071F"/>
    <w:rsid w:val="006B0C80"/>
    <w:rsid w:val="006B2083"/>
    <w:rsid w:val="006B4271"/>
    <w:rsid w:val="006B7287"/>
    <w:rsid w:val="006B7C41"/>
    <w:rsid w:val="006C0951"/>
    <w:rsid w:val="006C0A0C"/>
    <w:rsid w:val="006C14C0"/>
    <w:rsid w:val="006C4753"/>
    <w:rsid w:val="006C4AD8"/>
    <w:rsid w:val="006C4BDE"/>
    <w:rsid w:val="006C6601"/>
    <w:rsid w:val="006C79BE"/>
    <w:rsid w:val="006C7F17"/>
    <w:rsid w:val="006D0326"/>
    <w:rsid w:val="006D14CC"/>
    <w:rsid w:val="006D160C"/>
    <w:rsid w:val="006D1817"/>
    <w:rsid w:val="006D1B8F"/>
    <w:rsid w:val="006D1F52"/>
    <w:rsid w:val="006D28A9"/>
    <w:rsid w:val="006D28DE"/>
    <w:rsid w:val="006D2C51"/>
    <w:rsid w:val="006D2D4A"/>
    <w:rsid w:val="006D2F6D"/>
    <w:rsid w:val="006D3018"/>
    <w:rsid w:val="006D37B6"/>
    <w:rsid w:val="006D488D"/>
    <w:rsid w:val="006D52C4"/>
    <w:rsid w:val="006D545F"/>
    <w:rsid w:val="006D5E9F"/>
    <w:rsid w:val="006D63F9"/>
    <w:rsid w:val="006D679A"/>
    <w:rsid w:val="006D6BE3"/>
    <w:rsid w:val="006D6CFA"/>
    <w:rsid w:val="006D72C5"/>
    <w:rsid w:val="006E00CC"/>
    <w:rsid w:val="006E0471"/>
    <w:rsid w:val="006E0FA5"/>
    <w:rsid w:val="006E2D44"/>
    <w:rsid w:val="006E2F85"/>
    <w:rsid w:val="006E3103"/>
    <w:rsid w:val="006E4B4F"/>
    <w:rsid w:val="006E4F09"/>
    <w:rsid w:val="006E50D9"/>
    <w:rsid w:val="006E51B1"/>
    <w:rsid w:val="006E56A8"/>
    <w:rsid w:val="006E58D7"/>
    <w:rsid w:val="006E6416"/>
    <w:rsid w:val="006E70F8"/>
    <w:rsid w:val="006E75ED"/>
    <w:rsid w:val="006E77A8"/>
    <w:rsid w:val="006E7CA0"/>
    <w:rsid w:val="006F0C54"/>
    <w:rsid w:val="006F0C6A"/>
    <w:rsid w:val="006F1059"/>
    <w:rsid w:val="006F24F3"/>
    <w:rsid w:val="006F4352"/>
    <w:rsid w:val="006F4E6C"/>
    <w:rsid w:val="006F6E5A"/>
    <w:rsid w:val="006F7539"/>
    <w:rsid w:val="006F79CC"/>
    <w:rsid w:val="006F79FB"/>
    <w:rsid w:val="006F7F26"/>
    <w:rsid w:val="007008DA"/>
    <w:rsid w:val="00702774"/>
    <w:rsid w:val="00702E90"/>
    <w:rsid w:val="007035CA"/>
    <w:rsid w:val="007051EE"/>
    <w:rsid w:val="00705D47"/>
    <w:rsid w:val="00706FEC"/>
    <w:rsid w:val="00707821"/>
    <w:rsid w:val="007100AC"/>
    <w:rsid w:val="00710575"/>
    <w:rsid w:val="007105B3"/>
    <w:rsid w:val="00710CC9"/>
    <w:rsid w:val="00713785"/>
    <w:rsid w:val="00713EF6"/>
    <w:rsid w:val="00715650"/>
    <w:rsid w:val="00715CF2"/>
    <w:rsid w:val="007179A1"/>
    <w:rsid w:val="007209A9"/>
    <w:rsid w:val="0072252E"/>
    <w:rsid w:val="00723036"/>
    <w:rsid w:val="00725A91"/>
    <w:rsid w:val="007265BA"/>
    <w:rsid w:val="00727472"/>
    <w:rsid w:val="007276B8"/>
    <w:rsid w:val="0072781E"/>
    <w:rsid w:val="00727951"/>
    <w:rsid w:val="00727EFE"/>
    <w:rsid w:val="007302FF"/>
    <w:rsid w:val="00730526"/>
    <w:rsid w:val="007328CD"/>
    <w:rsid w:val="00733BB2"/>
    <w:rsid w:val="007348C2"/>
    <w:rsid w:val="007353DC"/>
    <w:rsid w:val="0073564D"/>
    <w:rsid w:val="00735F6B"/>
    <w:rsid w:val="00736741"/>
    <w:rsid w:val="007369A1"/>
    <w:rsid w:val="00737963"/>
    <w:rsid w:val="00737B49"/>
    <w:rsid w:val="00740EF2"/>
    <w:rsid w:val="007411E2"/>
    <w:rsid w:val="00741889"/>
    <w:rsid w:val="00741F62"/>
    <w:rsid w:val="007426EF"/>
    <w:rsid w:val="0074280C"/>
    <w:rsid w:val="00742E47"/>
    <w:rsid w:val="00742EC0"/>
    <w:rsid w:val="00742F52"/>
    <w:rsid w:val="0074334C"/>
    <w:rsid w:val="007438A3"/>
    <w:rsid w:val="00743B05"/>
    <w:rsid w:val="00744788"/>
    <w:rsid w:val="007448D6"/>
    <w:rsid w:val="00744AE5"/>
    <w:rsid w:val="00744D51"/>
    <w:rsid w:val="00745B4B"/>
    <w:rsid w:val="0074687D"/>
    <w:rsid w:val="00746DF3"/>
    <w:rsid w:val="007470EA"/>
    <w:rsid w:val="007471AF"/>
    <w:rsid w:val="00747DAC"/>
    <w:rsid w:val="007506C7"/>
    <w:rsid w:val="00751196"/>
    <w:rsid w:val="00751EBA"/>
    <w:rsid w:val="00752286"/>
    <w:rsid w:val="00752531"/>
    <w:rsid w:val="007528C7"/>
    <w:rsid w:val="0075297C"/>
    <w:rsid w:val="00752D61"/>
    <w:rsid w:val="00752E25"/>
    <w:rsid w:val="0075332D"/>
    <w:rsid w:val="007540BD"/>
    <w:rsid w:val="00754784"/>
    <w:rsid w:val="00755E16"/>
    <w:rsid w:val="00756ACB"/>
    <w:rsid w:val="00761812"/>
    <w:rsid w:val="007620E2"/>
    <w:rsid w:val="0076241C"/>
    <w:rsid w:val="007637B0"/>
    <w:rsid w:val="00763EF6"/>
    <w:rsid w:val="00765ABF"/>
    <w:rsid w:val="00766306"/>
    <w:rsid w:val="00766805"/>
    <w:rsid w:val="00767686"/>
    <w:rsid w:val="00767EBD"/>
    <w:rsid w:val="007700C7"/>
    <w:rsid w:val="00771197"/>
    <w:rsid w:val="0077176C"/>
    <w:rsid w:val="0077274E"/>
    <w:rsid w:val="00772D62"/>
    <w:rsid w:val="00774A91"/>
    <w:rsid w:val="00776614"/>
    <w:rsid w:val="007774D2"/>
    <w:rsid w:val="00780354"/>
    <w:rsid w:val="007807F7"/>
    <w:rsid w:val="00780B64"/>
    <w:rsid w:val="007811A4"/>
    <w:rsid w:val="00781D35"/>
    <w:rsid w:val="00782139"/>
    <w:rsid w:val="00783ED0"/>
    <w:rsid w:val="00784419"/>
    <w:rsid w:val="00784981"/>
    <w:rsid w:val="00785987"/>
    <w:rsid w:val="00785AA7"/>
    <w:rsid w:val="00785DBA"/>
    <w:rsid w:val="007867D4"/>
    <w:rsid w:val="00787369"/>
    <w:rsid w:val="00787BFA"/>
    <w:rsid w:val="00787F0B"/>
    <w:rsid w:val="0079037C"/>
    <w:rsid w:val="00790D60"/>
    <w:rsid w:val="00791CA3"/>
    <w:rsid w:val="007921BC"/>
    <w:rsid w:val="007945EC"/>
    <w:rsid w:val="0079584F"/>
    <w:rsid w:val="007959C9"/>
    <w:rsid w:val="007959FD"/>
    <w:rsid w:val="00795A89"/>
    <w:rsid w:val="00795A9B"/>
    <w:rsid w:val="007963B6"/>
    <w:rsid w:val="0079730A"/>
    <w:rsid w:val="0079784D"/>
    <w:rsid w:val="007A053D"/>
    <w:rsid w:val="007A07DD"/>
    <w:rsid w:val="007A0B60"/>
    <w:rsid w:val="007A0E71"/>
    <w:rsid w:val="007A1954"/>
    <w:rsid w:val="007A1E7A"/>
    <w:rsid w:val="007A2A30"/>
    <w:rsid w:val="007A2E32"/>
    <w:rsid w:val="007A3239"/>
    <w:rsid w:val="007A4CFB"/>
    <w:rsid w:val="007A4EAE"/>
    <w:rsid w:val="007A51E6"/>
    <w:rsid w:val="007A57EC"/>
    <w:rsid w:val="007A5DCD"/>
    <w:rsid w:val="007A61C9"/>
    <w:rsid w:val="007A6AA5"/>
    <w:rsid w:val="007B08FB"/>
    <w:rsid w:val="007B0FFF"/>
    <w:rsid w:val="007B3AE4"/>
    <w:rsid w:val="007B3AE9"/>
    <w:rsid w:val="007B4499"/>
    <w:rsid w:val="007B49E7"/>
    <w:rsid w:val="007B5945"/>
    <w:rsid w:val="007B5BD2"/>
    <w:rsid w:val="007B6232"/>
    <w:rsid w:val="007B6899"/>
    <w:rsid w:val="007B6DE7"/>
    <w:rsid w:val="007B72B3"/>
    <w:rsid w:val="007B7FD8"/>
    <w:rsid w:val="007C073D"/>
    <w:rsid w:val="007C0834"/>
    <w:rsid w:val="007C0C5D"/>
    <w:rsid w:val="007C2154"/>
    <w:rsid w:val="007C22F6"/>
    <w:rsid w:val="007C3144"/>
    <w:rsid w:val="007C45CA"/>
    <w:rsid w:val="007C4755"/>
    <w:rsid w:val="007C4C98"/>
    <w:rsid w:val="007C5017"/>
    <w:rsid w:val="007C55A4"/>
    <w:rsid w:val="007C5936"/>
    <w:rsid w:val="007C6D1E"/>
    <w:rsid w:val="007C6FEF"/>
    <w:rsid w:val="007C7655"/>
    <w:rsid w:val="007D0001"/>
    <w:rsid w:val="007D178F"/>
    <w:rsid w:val="007D294B"/>
    <w:rsid w:val="007D33D8"/>
    <w:rsid w:val="007D512D"/>
    <w:rsid w:val="007D54CE"/>
    <w:rsid w:val="007D62C3"/>
    <w:rsid w:val="007D66BE"/>
    <w:rsid w:val="007D66F8"/>
    <w:rsid w:val="007D737C"/>
    <w:rsid w:val="007E0BE0"/>
    <w:rsid w:val="007E1E51"/>
    <w:rsid w:val="007E2431"/>
    <w:rsid w:val="007E2EC4"/>
    <w:rsid w:val="007E3560"/>
    <w:rsid w:val="007E3A28"/>
    <w:rsid w:val="007E3F0F"/>
    <w:rsid w:val="007E3F8D"/>
    <w:rsid w:val="007E43E4"/>
    <w:rsid w:val="007E6FE3"/>
    <w:rsid w:val="007E74FE"/>
    <w:rsid w:val="007E7FBC"/>
    <w:rsid w:val="007F03DE"/>
    <w:rsid w:val="007F1354"/>
    <w:rsid w:val="007F336D"/>
    <w:rsid w:val="007F398B"/>
    <w:rsid w:val="007F3C7D"/>
    <w:rsid w:val="007F3F5A"/>
    <w:rsid w:val="007F4958"/>
    <w:rsid w:val="007F56D6"/>
    <w:rsid w:val="007F5C26"/>
    <w:rsid w:val="007F5FF3"/>
    <w:rsid w:val="007F6B94"/>
    <w:rsid w:val="007F7423"/>
    <w:rsid w:val="00800ACD"/>
    <w:rsid w:val="008019DB"/>
    <w:rsid w:val="00801D3A"/>
    <w:rsid w:val="00802D6B"/>
    <w:rsid w:val="008032EA"/>
    <w:rsid w:val="0080370D"/>
    <w:rsid w:val="00803906"/>
    <w:rsid w:val="008041EF"/>
    <w:rsid w:val="00804F3A"/>
    <w:rsid w:val="008051F6"/>
    <w:rsid w:val="0080529A"/>
    <w:rsid w:val="008060F0"/>
    <w:rsid w:val="0080636C"/>
    <w:rsid w:val="0080750A"/>
    <w:rsid w:val="0080796A"/>
    <w:rsid w:val="008110A3"/>
    <w:rsid w:val="00811255"/>
    <w:rsid w:val="00812C71"/>
    <w:rsid w:val="00812F8E"/>
    <w:rsid w:val="00814FB6"/>
    <w:rsid w:val="00815641"/>
    <w:rsid w:val="00815DD8"/>
    <w:rsid w:val="00816740"/>
    <w:rsid w:val="00816870"/>
    <w:rsid w:val="00816951"/>
    <w:rsid w:val="00816988"/>
    <w:rsid w:val="00817397"/>
    <w:rsid w:val="008201B3"/>
    <w:rsid w:val="0082055F"/>
    <w:rsid w:val="00820998"/>
    <w:rsid w:val="008213D0"/>
    <w:rsid w:val="00821AC9"/>
    <w:rsid w:val="00821DD1"/>
    <w:rsid w:val="0082202A"/>
    <w:rsid w:val="00822052"/>
    <w:rsid w:val="008226AC"/>
    <w:rsid w:val="008229A3"/>
    <w:rsid w:val="00823634"/>
    <w:rsid w:val="00823BBB"/>
    <w:rsid w:val="0082472B"/>
    <w:rsid w:val="00824C08"/>
    <w:rsid w:val="00824D3D"/>
    <w:rsid w:val="00824E5F"/>
    <w:rsid w:val="00826327"/>
    <w:rsid w:val="00826432"/>
    <w:rsid w:val="00830C38"/>
    <w:rsid w:val="00830D9F"/>
    <w:rsid w:val="0083128E"/>
    <w:rsid w:val="00831847"/>
    <w:rsid w:val="008326CD"/>
    <w:rsid w:val="00832745"/>
    <w:rsid w:val="00833C81"/>
    <w:rsid w:val="008343E2"/>
    <w:rsid w:val="00834490"/>
    <w:rsid w:val="00834E72"/>
    <w:rsid w:val="00835773"/>
    <w:rsid w:val="00840283"/>
    <w:rsid w:val="008409F5"/>
    <w:rsid w:val="008410AA"/>
    <w:rsid w:val="00841783"/>
    <w:rsid w:val="00841FB9"/>
    <w:rsid w:val="00842503"/>
    <w:rsid w:val="00842AFE"/>
    <w:rsid w:val="0084504D"/>
    <w:rsid w:val="00846216"/>
    <w:rsid w:val="008477BA"/>
    <w:rsid w:val="0085092C"/>
    <w:rsid w:val="00850F47"/>
    <w:rsid w:val="008519D7"/>
    <w:rsid w:val="00851CFA"/>
    <w:rsid w:val="00853142"/>
    <w:rsid w:val="008545A2"/>
    <w:rsid w:val="00854C1C"/>
    <w:rsid w:val="00854EFF"/>
    <w:rsid w:val="00855C01"/>
    <w:rsid w:val="008575D7"/>
    <w:rsid w:val="008578DE"/>
    <w:rsid w:val="00860C00"/>
    <w:rsid w:val="00861268"/>
    <w:rsid w:val="008619DE"/>
    <w:rsid w:val="00861EE9"/>
    <w:rsid w:val="0086215E"/>
    <w:rsid w:val="008626B6"/>
    <w:rsid w:val="00863F9E"/>
    <w:rsid w:val="0086464C"/>
    <w:rsid w:val="008653A5"/>
    <w:rsid w:val="00866413"/>
    <w:rsid w:val="00867718"/>
    <w:rsid w:val="00867B9D"/>
    <w:rsid w:val="008712E6"/>
    <w:rsid w:val="008724A1"/>
    <w:rsid w:val="008749CD"/>
    <w:rsid w:val="00874DB0"/>
    <w:rsid w:val="008750D9"/>
    <w:rsid w:val="0087511D"/>
    <w:rsid w:val="0087684E"/>
    <w:rsid w:val="00876E96"/>
    <w:rsid w:val="00877589"/>
    <w:rsid w:val="0087760A"/>
    <w:rsid w:val="00880B66"/>
    <w:rsid w:val="00881475"/>
    <w:rsid w:val="00881693"/>
    <w:rsid w:val="00882D61"/>
    <w:rsid w:val="00883B5F"/>
    <w:rsid w:val="00883BD6"/>
    <w:rsid w:val="00883F9B"/>
    <w:rsid w:val="008843BB"/>
    <w:rsid w:val="00884D9E"/>
    <w:rsid w:val="008850A4"/>
    <w:rsid w:val="00885321"/>
    <w:rsid w:val="008853F3"/>
    <w:rsid w:val="0089006F"/>
    <w:rsid w:val="00891811"/>
    <w:rsid w:val="0089183C"/>
    <w:rsid w:val="00891E1D"/>
    <w:rsid w:val="0089221B"/>
    <w:rsid w:val="00893575"/>
    <w:rsid w:val="00893FEB"/>
    <w:rsid w:val="0089400B"/>
    <w:rsid w:val="0089488E"/>
    <w:rsid w:val="008954B6"/>
    <w:rsid w:val="00895720"/>
    <w:rsid w:val="00895C05"/>
    <w:rsid w:val="00896019"/>
    <w:rsid w:val="008963C8"/>
    <w:rsid w:val="00896888"/>
    <w:rsid w:val="00896D75"/>
    <w:rsid w:val="0089737B"/>
    <w:rsid w:val="0089742A"/>
    <w:rsid w:val="008A0333"/>
    <w:rsid w:val="008A0A0B"/>
    <w:rsid w:val="008A1352"/>
    <w:rsid w:val="008A1F84"/>
    <w:rsid w:val="008A2A7D"/>
    <w:rsid w:val="008A2AE6"/>
    <w:rsid w:val="008A379A"/>
    <w:rsid w:val="008A4127"/>
    <w:rsid w:val="008A4533"/>
    <w:rsid w:val="008A4986"/>
    <w:rsid w:val="008A4A9B"/>
    <w:rsid w:val="008A4FC3"/>
    <w:rsid w:val="008A552F"/>
    <w:rsid w:val="008A677D"/>
    <w:rsid w:val="008A7077"/>
    <w:rsid w:val="008A71A3"/>
    <w:rsid w:val="008A731F"/>
    <w:rsid w:val="008A774F"/>
    <w:rsid w:val="008B065C"/>
    <w:rsid w:val="008B0978"/>
    <w:rsid w:val="008B1BD1"/>
    <w:rsid w:val="008B1F33"/>
    <w:rsid w:val="008B2721"/>
    <w:rsid w:val="008B2E73"/>
    <w:rsid w:val="008B5C50"/>
    <w:rsid w:val="008B64DA"/>
    <w:rsid w:val="008B7206"/>
    <w:rsid w:val="008C05B9"/>
    <w:rsid w:val="008C116F"/>
    <w:rsid w:val="008C18A2"/>
    <w:rsid w:val="008C3834"/>
    <w:rsid w:val="008C538A"/>
    <w:rsid w:val="008C5EE7"/>
    <w:rsid w:val="008C66A0"/>
    <w:rsid w:val="008C6EC1"/>
    <w:rsid w:val="008C7243"/>
    <w:rsid w:val="008C7F06"/>
    <w:rsid w:val="008D07C2"/>
    <w:rsid w:val="008D0D25"/>
    <w:rsid w:val="008D0D51"/>
    <w:rsid w:val="008D170A"/>
    <w:rsid w:val="008D1A90"/>
    <w:rsid w:val="008D250F"/>
    <w:rsid w:val="008D258F"/>
    <w:rsid w:val="008D3A9B"/>
    <w:rsid w:val="008D4459"/>
    <w:rsid w:val="008D4905"/>
    <w:rsid w:val="008D499E"/>
    <w:rsid w:val="008D618F"/>
    <w:rsid w:val="008D7007"/>
    <w:rsid w:val="008D7892"/>
    <w:rsid w:val="008D7CEA"/>
    <w:rsid w:val="008E0903"/>
    <w:rsid w:val="008E0AE9"/>
    <w:rsid w:val="008E12BA"/>
    <w:rsid w:val="008E16D8"/>
    <w:rsid w:val="008E1A23"/>
    <w:rsid w:val="008E1AE0"/>
    <w:rsid w:val="008E1D82"/>
    <w:rsid w:val="008E2491"/>
    <w:rsid w:val="008E25B6"/>
    <w:rsid w:val="008E3387"/>
    <w:rsid w:val="008E3395"/>
    <w:rsid w:val="008E38FF"/>
    <w:rsid w:val="008E4442"/>
    <w:rsid w:val="008E5BB2"/>
    <w:rsid w:val="008E743B"/>
    <w:rsid w:val="008E7464"/>
    <w:rsid w:val="008F02C3"/>
    <w:rsid w:val="008F05D1"/>
    <w:rsid w:val="008F109A"/>
    <w:rsid w:val="008F1833"/>
    <w:rsid w:val="008F1BBB"/>
    <w:rsid w:val="008F20A6"/>
    <w:rsid w:val="008F24E3"/>
    <w:rsid w:val="008F287B"/>
    <w:rsid w:val="008F4842"/>
    <w:rsid w:val="008F4B50"/>
    <w:rsid w:val="008F5629"/>
    <w:rsid w:val="008F60B6"/>
    <w:rsid w:val="008F6632"/>
    <w:rsid w:val="008F7EBA"/>
    <w:rsid w:val="009002CD"/>
    <w:rsid w:val="009005FF"/>
    <w:rsid w:val="00902336"/>
    <w:rsid w:val="00902B18"/>
    <w:rsid w:val="00903FC7"/>
    <w:rsid w:val="0090461E"/>
    <w:rsid w:val="009048F3"/>
    <w:rsid w:val="00905074"/>
    <w:rsid w:val="00906E10"/>
    <w:rsid w:val="009070B2"/>
    <w:rsid w:val="009073FB"/>
    <w:rsid w:val="00907B6A"/>
    <w:rsid w:val="00907CBF"/>
    <w:rsid w:val="00910090"/>
    <w:rsid w:val="00910AD4"/>
    <w:rsid w:val="00911EB2"/>
    <w:rsid w:val="00912048"/>
    <w:rsid w:val="0091209E"/>
    <w:rsid w:val="009135A7"/>
    <w:rsid w:val="0091463E"/>
    <w:rsid w:val="00915BCF"/>
    <w:rsid w:val="00916D00"/>
    <w:rsid w:val="0091755D"/>
    <w:rsid w:val="00920338"/>
    <w:rsid w:val="00920DD8"/>
    <w:rsid w:val="00921B8A"/>
    <w:rsid w:val="0092209D"/>
    <w:rsid w:val="00922A0A"/>
    <w:rsid w:val="00924257"/>
    <w:rsid w:val="0092471F"/>
    <w:rsid w:val="00924F58"/>
    <w:rsid w:val="009256C3"/>
    <w:rsid w:val="00925AD0"/>
    <w:rsid w:val="00926A91"/>
    <w:rsid w:val="009303C6"/>
    <w:rsid w:val="009312DC"/>
    <w:rsid w:val="00931DA8"/>
    <w:rsid w:val="00932110"/>
    <w:rsid w:val="00932D3A"/>
    <w:rsid w:val="00932FB7"/>
    <w:rsid w:val="009330C5"/>
    <w:rsid w:val="009334CD"/>
    <w:rsid w:val="009344F3"/>
    <w:rsid w:val="009352C7"/>
    <w:rsid w:val="009353BA"/>
    <w:rsid w:val="00935817"/>
    <w:rsid w:val="009358C6"/>
    <w:rsid w:val="009361DE"/>
    <w:rsid w:val="00936792"/>
    <w:rsid w:val="0093712E"/>
    <w:rsid w:val="009371E7"/>
    <w:rsid w:val="009376A9"/>
    <w:rsid w:val="00937BBC"/>
    <w:rsid w:val="00940FEF"/>
    <w:rsid w:val="009414DC"/>
    <w:rsid w:val="00942EF0"/>
    <w:rsid w:val="0094336F"/>
    <w:rsid w:val="009438F6"/>
    <w:rsid w:val="00943FAF"/>
    <w:rsid w:val="00944B7E"/>
    <w:rsid w:val="009453FA"/>
    <w:rsid w:val="00945BA7"/>
    <w:rsid w:val="00945DD6"/>
    <w:rsid w:val="0094602E"/>
    <w:rsid w:val="00946518"/>
    <w:rsid w:val="0094704B"/>
    <w:rsid w:val="009477EB"/>
    <w:rsid w:val="009504C8"/>
    <w:rsid w:val="009506CE"/>
    <w:rsid w:val="00951563"/>
    <w:rsid w:val="00951721"/>
    <w:rsid w:val="009525F2"/>
    <w:rsid w:val="00954D68"/>
    <w:rsid w:val="00954F48"/>
    <w:rsid w:val="00954F76"/>
    <w:rsid w:val="00955FF9"/>
    <w:rsid w:val="00956215"/>
    <w:rsid w:val="00956699"/>
    <w:rsid w:val="00956FD5"/>
    <w:rsid w:val="00957259"/>
    <w:rsid w:val="009579EB"/>
    <w:rsid w:val="00957E3A"/>
    <w:rsid w:val="009601CD"/>
    <w:rsid w:val="0096096B"/>
    <w:rsid w:val="00961DF4"/>
    <w:rsid w:val="009622FF"/>
    <w:rsid w:val="00962CFF"/>
    <w:rsid w:val="0096353A"/>
    <w:rsid w:val="00963FA9"/>
    <w:rsid w:val="00964D1B"/>
    <w:rsid w:val="009652EC"/>
    <w:rsid w:val="00965872"/>
    <w:rsid w:val="00965945"/>
    <w:rsid w:val="00966476"/>
    <w:rsid w:val="009665CE"/>
    <w:rsid w:val="009701FE"/>
    <w:rsid w:val="0097062D"/>
    <w:rsid w:val="00971DDF"/>
    <w:rsid w:val="00972D0B"/>
    <w:rsid w:val="0097333B"/>
    <w:rsid w:val="009733C6"/>
    <w:rsid w:val="00973D14"/>
    <w:rsid w:val="0097592D"/>
    <w:rsid w:val="00977A84"/>
    <w:rsid w:val="00977F30"/>
    <w:rsid w:val="009800D6"/>
    <w:rsid w:val="00980EAD"/>
    <w:rsid w:val="00980FEF"/>
    <w:rsid w:val="00981C5A"/>
    <w:rsid w:val="009821C1"/>
    <w:rsid w:val="009851F6"/>
    <w:rsid w:val="00985434"/>
    <w:rsid w:val="00985578"/>
    <w:rsid w:val="009857A7"/>
    <w:rsid w:val="00985FB3"/>
    <w:rsid w:val="0098663B"/>
    <w:rsid w:val="00986728"/>
    <w:rsid w:val="00986B93"/>
    <w:rsid w:val="009903C4"/>
    <w:rsid w:val="00990FB6"/>
    <w:rsid w:val="00991260"/>
    <w:rsid w:val="00991BC0"/>
    <w:rsid w:val="0099399D"/>
    <w:rsid w:val="00994EBB"/>
    <w:rsid w:val="00994FE9"/>
    <w:rsid w:val="00997329"/>
    <w:rsid w:val="00997E2F"/>
    <w:rsid w:val="00997F6F"/>
    <w:rsid w:val="009A03D1"/>
    <w:rsid w:val="009A0402"/>
    <w:rsid w:val="009A1732"/>
    <w:rsid w:val="009A27F2"/>
    <w:rsid w:val="009A2956"/>
    <w:rsid w:val="009A3152"/>
    <w:rsid w:val="009A36C9"/>
    <w:rsid w:val="009A3D9F"/>
    <w:rsid w:val="009A3DAE"/>
    <w:rsid w:val="009A460A"/>
    <w:rsid w:val="009A6126"/>
    <w:rsid w:val="009A7014"/>
    <w:rsid w:val="009A7300"/>
    <w:rsid w:val="009B0593"/>
    <w:rsid w:val="009B0B5B"/>
    <w:rsid w:val="009B1B97"/>
    <w:rsid w:val="009B2200"/>
    <w:rsid w:val="009B2323"/>
    <w:rsid w:val="009B2566"/>
    <w:rsid w:val="009B2B57"/>
    <w:rsid w:val="009B2B83"/>
    <w:rsid w:val="009B3709"/>
    <w:rsid w:val="009B38FF"/>
    <w:rsid w:val="009B3A7B"/>
    <w:rsid w:val="009B3C56"/>
    <w:rsid w:val="009B50E8"/>
    <w:rsid w:val="009B5296"/>
    <w:rsid w:val="009B668A"/>
    <w:rsid w:val="009B6783"/>
    <w:rsid w:val="009B6BFE"/>
    <w:rsid w:val="009B6C6E"/>
    <w:rsid w:val="009B6C7F"/>
    <w:rsid w:val="009B7871"/>
    <w:rsid w:val="009C0CA8"/>
    <w:rsid w:val="009C17D7"/>
    <w:rsid w:val="009C19A1"/>
    <w:rsid w:val="009C21FE"/>
    <w:rsid w:val="009C2555"/>
    <w:rsid w:val="009C2906"/>
    <w:rsid w:val="009C4318"/>
    <w:rsid w:val="009C4A80"/>
    <w:rsid w:val="009C5942"/>
    <w:rsid w:val="009C594C"/>
    <w:rsid w:val="009C612E"/>
    <w:rsid w:val="009C6350"/>
    <w:rsid w:val="009C6DC9"/>
    <w:rsid w:val="009C6F45"/>
    <w:rsid w:val="009C6FAC"/>
    <w:rsid w:val="009C7451"/>
    <w:rsid w:val="009C7552"/>
    <w:rsid w:val="009C7749"/>
    <w:rsid w:val="009D0025"/>
    <w:rsid w:val="009D06F9"/>
    <w:rsid w:val="009D283D"/>
    <w:rsid w:val="009D30FC"/>
    <w:rsid w:val="009D37DC"/>
    <w:rsid w:val="009D4DCE"/>
    <w:rsid w:val="009D5C36"/>
    <w:rsid w:val="009D6B1D"/>
    <w:rsid w:val="009D7C4A"/>
    <w:rsid w:val="009E033B"/>
    <w:rsid w:val="009E093C"/>
    <w:rsid w:val="009E11A0"/>
    <w:rsid w:val="009E13D3"/>
    <w:rsid w:val="009E2025"/>
    <w:rsid w:val="009E27B4"/>
    <w:rsid w:val="009E2FA4"/>
    <w:rsid w:val="009E4718"/>
    <w:rsid w:val="009E4790"/>
    <w:rsid w:val="009E4854"/>
    <w:rsid w:val="009E48AB"/>
    <w:rsid w:val="009E49BD"/>
    <w:rsid w:val="009E4F52"/>
    <w:rsid w:val="009E6A3C"/>
    <w:rsid w:val="009E6D11"/>
    <w:rsid w:val="009E754F"/>
    <w:rsid w:val="009E7672"/>
    <w:rsid w:val="009F02E2"/>
    <w:rsid w:val="009F0F05"/>
    <w:rsid w:val="009F0FF3"/>
    <w:rsid w:val="009F1660"/>
    <w:rsid w:val="009F16C8"/>
    <w:rsid w:val="009F1927"/>
    <w:rsid w:val="009F1D79"/>
    <w:rsid w:val="009F234F"/>
    <w:rsid w:val="009F41E7"/>
    <w:rsid w:val="009F439F"/>
    <w:rsid w:val="009F4BF5"/>
    <w:rsid w:val="009F4E32"/>
    <w:rsid w:val="009F546C"/>
    <w:rsid w:val="009F5629"/>
    <w:rsid w:val="009F6174"/>
    <w:rsid w:val="009F6EA5"/>
    <w:rsid w:val="009F725F"/>
    <w:rsid w:val="00A0064F"/>
    <w:rsid w:val="00A00FF7"/>
    <w:rsid w:val="00A01262"/>
    <w:rsid w:val="00A0129E"/>
    <w:rsid w:val="00A01ACA"/>
    <w:rsid w:val="00A0378C"/>
    <w:rsid w:val="00A05722"/>
    <w:rsid w:val="00A0601A"/>
    <w:rsid w:val="00A06387"/>
    <w:rsid w:val="00A0752D"/>
    <w:rsid w:val="00A10031"/>
    <w:rsid w:val="00A10C14"/>
    <w:rsid w:val="00A110F1"/>
    <w:rsid w:val="00A126EB"/>
    <w:rsid w:val="00A132BA"/>
    <w:rsid w:val="00A13485"/>
    <w:rsid w:val="00A14CA1"/>
    <w:rsid w:val="00A15AF9"/>
    <w:rsid w:val="00A16B10"/>
    <w:rsid w:val="00A17EA1"/>
    <w:rsid w:val="00A2043F"/>
    <w:rsid w:val="00A20997"/>
    <w:rsid w:val="00A20CA7"/>
    <w:rsid w:val="00A21A2D"/>
    <w:rsid w:val="00A221FA"/>
    <w:rsid w:val="00A23B88"/>
    <w:rsid w:val="00A2473C"/>
    <w:rsid w:val="00A247E4"/>
    <w:rsid w:val="00A24839"/>
    <w:rsid w:val="00A25359"/>
    <w:rsid w:val="00A25870"/>
    <w:rsid w:val="00A25CDF"/>
    <w:rsid w:val="00A26432"/>
    <w:rsid w:val="00A26558"/>
    <w:rsid w:val="00A27AC6"/>
    <w:rsid w:val="00A304E4"/>
    <w:rsid w:val="00A307BA"/>
    <w:rsid w:val="00A313D5"/>
    <w:rsid w:val="00A318FA"/>
    <w:rsid w:val="00A3367E"/>
    <w:rsid w:val="00A33C55"/>
    <w:rsid w:val="00A34572"/>
    <w:rsid w:val="00A34683"/>
    <w:rsid w:val="00A35301"/>
    <w:rsid w:val="00A35726"/>
    <w:rsid w:val="00A359DC"/>
    <w:rsid w:val="00A36FDB"/>
    <w:rsid w:val="00A37EAD"/>
    <w:rsid w:val="00A40065"/>
    <w:rsid w:val="00A420E9"/>
    <w:rsid w:val="00A4294E"/>
    <w:rsid w:val="00A445BE"/>
    <w:rsid w:val="00A44AF2"/>
    <w:rsid w:val="00A45D5D"/>
    <w:rsid w:val="00A4617E"/>
    <w:rsid w:val="00A47FDE"/>
    <w:rsid w:val="00A50A87"/>
    <w:rsid w:val="00A50C92"/>
    <w:rsid w:val="00A51E2D"/>
    <w:rsid w:val="00A52188"/>
    <w:rsid w:val="00A52325"/>
    <w:rsid w:val="00A5402C"/>
    <w:rsid w:val="00A54901"/>
    <w:rsid w:val="00A56D2D"/>
    <w:rsid w:val="00A56D83"/>
    <w:rsid w:val="00A56F69"/>
    <w:rsid w:val="00A57516"/>
    <w:rsid w:val="00A615C7"/>
    <w:rsid w:val="00A61CD2"/>
    <w:rsid w:val="00A62433"/>
    <w:rsid w:val="00A6573F"/>
    <w:rsid w:val="00A65FD8"/>
    <w:rsid w:val="00A66020"/>
    <w:rsid w:val="00A662A1"/>
    <w:rsid w:val="00A663AC"/>
    <w:rsid w:val="00A66F20"/>
    <w:rsid w:val="00A672EE"/>
    <w:rsid w:val="00A67672"/>
    <w:rsid w:val="00A676A4"/>
    <w:rsid w:val="00A67C57"/>
    <w:rsid w:val="00A67DBF"/>
    <w:rsid w:val="00A70464"/>
    <w:rsid w:val="00A707E2"/>
    <w:rsid w:val="00A70E45"/>
    <w:rsid w:val="00A72DC8"/>
    <w:rsid w:val="00A755CA"/>
    <w:rsid w:val="00A763AF"/>
    <w:rsid w:val="00A76634"/>
    <w:rsid w:val="00A76898"/>
    <w:rsid w:val="00A76F8F"/>
    <w:rsid w:val="00A77ADF"/>
    <w:rsid w:val="00A77EB9"/>
    <w:rsid w:val="00A81133"/>
    <w:rsid w:val="00A819D5"/>
    <w:rsid w:val="00A81A81"/>
    <w:rsid w:val="00A82016"/>
    <w:rsid w:val="00A82898"/>
    <w:rsid w:val="00A84216"/>
    <w:rsid w:val="00A84727"/>
    <w:rsid w:val="00A84B8B"/>
    <w:rsid w:val="00A84C9A"/>
    <w:rsid w:val="00A84F86"/>
    <w:rsid w:val="00A85CFB"/>
    <w:rsid w:val="00A905C2"/>
    <w:rsid w:val="00A91BAB"/>
    <w:rsid w:val="00A931FC"/>
    <w:rsid w:val="00A935F8"/>
    <w:rsid w:val="00A93BF7"/>
    <w:rsid w:val="00A93EB6"/>
    <w:rsid w:val="00A94598"/>
    <w:rsid w:val="00A950CC"/>
    <w:rsid w:val="00A95634"/>
    <w:rsid w:val="00A95D36"/>
    <w:rsid w:val="00A96BBF"/>
    <w:rsid w:val="00A971EA"/>
    <w:rsid w:val="00AA11C3"/>
    <w:rsid w:val="00AA344E"/>
    <w:rsid w:val="00AA4BA6"/>
    <w:rsid w:val="00AA539D"/>
    <w:rsid w:val="00AA584B"/>
    <w:rsid w:val="00AA589C"/>
    <w:rsid w:val="00AA6324"/>
    <w:rsid w:val="00AA73EC"/>
    <w:rsid w:val="00AB0436"/>
    <w:rsid w:val="00AB0466"/>
    <w:rsid w:val="00AB14AC"/>
    <w:rsid w:val="00AB14CC"/>
    <w:rsid w:val="00AB1F1C"/>
    <w:rsid w:val="00AB3777"/>
    <w:rsid w:val="00AB3819"/>
    <w:rsid w:val="00AB532E"/>
    <w:rsid w:val="00AB5980"/>
    <w:rsid w:val="00AB637D"/>
    <w:rsid w:val="00AB65C3"/>
    <w:rsid w:val="00AB6735"/>
    <w:rsid w:val="00AB682E"/>
    <w:rsid w:val="00AB6ADC"/>
    <w:rsid w:val="00AB754A"/>
    <w:rsid w:val="00AB7553"/>
    <w:rsid w:val="00AB7754"/>
    <w:rsid w:val="00AC1E3A"/>
    <w:rsid w:val="00AC1F80"/>
    <w:rsid w:val="00AC2AA9"/>
    <w:rsid w:val="00AC37DC"/>
    <w:rsid w:val="00AC3CB5"/>
    <w:rsid w:val="00AC3E10"/>
    <w:rsid w:val="00AC44B8"/>
    <w:rsid w:val="00AC4CDD"/>
    <w:rsid w:val="00AC58C5"/>
    <w:rsid w:val="00AC5A3A"/>
    <w:rsid w:val="00AC5D29"/>
    <w:rsid w:val="00AC5D33"/>
    <w:rsid w:val="00AC5DED"/>
    <w:rsid w:val="00AC5FED"/>
    <w:rsid w:val="00AD0728"/>
    <w:rsid w:val="00AD1701"/>
    <w:rsid w:val="00AD53DF"/>
    <w:rsid w:val="00AD5461"/>
    <w:rsid w:val="00AD550E"/>
    <w:rsid w:val="00AD5EF8"/>
    <w:rsid w:val="00AD6C0A"/>
    <w:rsid w:val="00AD6C17"/>
    <w:rsid w:val="00AD7949"/>
    <w:rsid w:val="00AD7E21"/>
    <w:rsid w:val="00AD7ECA"/>
    <w:rsid w:val="00AE05CE"/>
    <w:rsid w:val="00AE0ACC"/>
    <w:rsid w:val="00AE0E95"/>
    <w:rsid w:val="00AE1943"/>
    <w:rsid w:val="00AE2AF4"/>
    <w:rsid w:val="00AE2F67"/>
    <w:rsid w:val="00AE3176"/>
    <w:rsid w:val="00AE32D3"/>
    <w:rsid w:val="00AE3DBB"/>
    <w:rsid w:val="00AE4A33"/>
    <w:rsid w:val="00AE4AE1"/>
    <w:rsid w:val="00AE5515"/>
    <w:rsid w:val="00AE6599"/>
    <w:rsid w:val="00AE6CF5"/>
    <w:rsid w:val="00AE7F1F"/>
    <w:rsid w:val="00AF0D0A"/>
    <w:rsid w:val="00AF2973"/>
    <w:rsid w:val="00AF2FA3"/>
    <w:rsid w:val="00AF46AA"/>
    <w:rsid w:val="00AF49D1"/>
    <w:rsid w:val="00AF60A4"/>
    <w:rsid w:val="00AF713A"/>
    <w:rsid w:val="00AF72C9"/>
    <w:rsid w:val="00AF7EA6"/>
    <w:rsid w:val="00B0089C"/>
    <w:rsid w:val="00B00E74"/>
    <w:rsid w:val="00B01FB0"/>
    <w:rsid w:val="00B03268"/>
    <w:rsid w:val="00B03969"/>
    <w:rsid w:val="00B05E78"/>
    <w:rsid w:val="00B068BE"/>
    <w:rsid w:val="00B06C3F"/>
    <w:rsid w:val="00B07B33"/>
    <w:rsid w:val="00B07EC1"/>
    <w:rsid w:val="00B12A0F"/>
    <w:rsid w:val="00B13773"/>
    <w:rsid w:val="00B13D59"/>
    <w:rsid w:val="00B14B92"/>
    <w:rsid w:val="00B15008"/>
    <w:rsid w:val="00B1569B"/>
    <w:rsid w:val="00B15D17"/>
    <w:rsid w:val="00B15FBB"/>
    <w:rsid w:val="00B170D7"/>
    <w:rsid w:val="00B17210"/>
    <w:rsid w:val="00B20474"/>
    <w:rsid w:val="00B207FB"/>
    <w:rsid w:val="00B22623"/>
    <w:rsid w:val="00B22CD4"/>
    <w:rsid w:val="00B2318F"/>
    <w:rsid w:val="00B232CB"/>
    <w:rsid w:val="00B23332"/>
    <w:rsid w:val="00B23BDB"/>
    <w:rsid w:val="00B242F8"/>
    <w:rsid w:val="00B276FE"/>
    <w:rsid w:val="00B32E9A"/>
    <w:rsid w:val="00B33F53"/>
    <w:rsid w:val="00B34746"/>
    <w:rsid w:val="00B34767"/>
    <w:rsid w:val="00B34A49"/>
    <w:rsid w:val="00B35478"/>
    <w:rsid w:val="00B35974"/>
    <w:rsid w:val="00B3611E"/>
    <w:rsid w:val="00B36C3F"/>
    <w:rsid w:val="00B404C3"/>
    <w:rsid w:val="00B40D58"/>
    <w:rsid w:val="00B44918"/>
    <w:rsid w:val="00B46C83"/>
    <w:rsid w:val="00B52921"/>
    <w:rsid w:val="00B5296F"/>
    <w:rsid w:val="00B52DF4"/>
    <w:rsid w:val="00B530A1"/>
    <w:rsid w:val="00B532F6"/>
    <w:rsid w:val="00B53CC8"/>
    <w:rsid w:val="00B540BC"/>
    <w:rsid w:val="00B54163"/>
    <w:rsid w:val="00B54A72"/>
    <w:rsid w:val="00B55AFC"/>
    <w:rsid w:val="00B571BC"/>
    <w:rsid w:val="00B571D6"/>
    <w:rsid w:val="00B5724A"/>
    <w:rsid w:val="00B572BA"/>
    <w:rsid w:val="00B5776F"/>
    <w:rsid w:val="00B61790"/>
    <w:rsid w:val="00B63DAD"/>
    <w:rsid w:val="00B64E48"/>
    <w:rsid w:val="00B65738"/>
    <w:rsid w:val="00B67614"/>
    <w:rsid w:val="00B67ABF"/>
    <w:rsid w:val="00B70B06"/>
    <w:rsid w:val="00B71A6D"/>
    <w:rsid w:val="00B73017"/>
    <w:rsid w:val="00B73B03"/>
    <w:rsid w:val="00B743EC"/>
    <w:rsid w:val="00B75613"/>
    <w:rsid w:val="00B75685"/>
    <w:rsid w:val="00B7577F"/>
    <w:rsid w:val="00B7693D"/>
    <w:rsid w:val="00B77073"/>
    <w:rsid w:val="00B77E9E"/>
    <w:rsid w:val="00B80B7F"/>
    <w:rsid w:val="00B81EBD"/>
    <w:rsid w:val="00B82297"/>
    <w:rsid w:val="00B82986"/>
    <w:rsid w:val="00B82AF0"/>
    <w:rsid w:val="00B8368A"/>
    <w:rsid w:val="00B83C64"/>
    <w:rsid w:val="00B83DEF"/>
    <w:rsid w:val="00B8435D"/>
    <w:rsid w:val="00B8457C"/>
    <w:rsid w:val="00B85B57"/>
    <w:rsid w:val="00B85F14"/>
    <w:rsid w:val="00B86628"/>
    <w:rsid w:val="00B877B2"/>
    <w:rsid w:val="00B87D79"/>
    <w:rsid w:val="00B9006C"/>
    <w:rsid w:val="00B90800"/>
    <w:rsid w:val="00B9138D"/>
    <w:rsid w:val="00B921CF"/>
    <w:rsid w:val="00B927E4"/>
    <w:rsid w:val="00B92F73"/>
    <w:rsid w:val="00B94F72"/>
    <w:rsid w:val="00B9560C"/>
    <w:rsid w:val="00B95B05"/>
    <w:rsid w:val="00B96918"/>
    <w:rsid w:val="00B96B6D"/>
    <w:rsid w:val="00B973D2"/>
    <w:rsid w:val="00B97A1B"/>
    <w:rsid w:val="00B97A5F"/>
    <w:rsid w:val="00BA1360"/>
    <w:rsid w:val="00BA2BFB"/>
    <w:rsid w:val="00BA2C39"/>
    <w:rsid w:val="00BA3C9D"/>
    <w:rsid w:val="00BA3CDE"/>
    <w:rsid w:val="00BA46B9"/>
    <w:rsid w:val="00BA51CC"/>
    <w:rsid w:val="00BA592A"/>
    <w:rsid w:val="00BA59D3"/>
    <w:rsid w:val="00BA6717"/>
    <w:rsid w:val="00BA6D04"/>
    <w:rsid w:val="00BA7C2E"/>
    <w:rsid w:val="00BB04B0"/>
    <w:rsid w:val="00BB145E"/>
    <w:rsid w:val="00BB1EF9"/>
    <w:rsid w:val="00BB3D8E"/>
    <w:rsid w:val="00BB43DD"/>
    <w:rsid w:val="00BB45E5"/>
    <w:rsid w:val="00BB49C5"/>
    <w:rsid w:val="00BB5B4E"/>
    <w:rsid w:val="00BB73D4"/>
    <w:rsid w:val="00BC0732"/>
    <w:rsid w:val="00BC0D37"/>
    <w:rsid w:val="00BC17B3"/>
    <w:rsid w:val="00BC204B"/>
    <w:rsid w:val="00BC2A27"/>
    <w:rsid w:val="00BC38B6"/>
    <w:rsid w:val="00BC3D08"/>
    <w:rsid w:val="00BC3D44"/>
    <w:rsid w:val="00BC4628"/>
    <w:rsid w:val="00BC4752"/>
    <w:rsid w:val="00BC4C9B"/>
    <w:rsid w:val="00BC5936"/>
    <w:rsid w:val="00BC5DCB"/>
    <w:rsid w:val="00BC649D"/>
    <w:rsid w:val="00BC64C2"/>
    <w:rsid w:val="00BC70A3"/>
    <w:rsid w:val="00BC70F8"/>
    <w:rsid w:val="00BC7264"/>
    <w:rsid w:val="00BD1702"/>
    <w:rsid w:val="00BD2431"/>
    <w:rsid w:val="00BD263B"/>
    <w:rsid w:val="00BD31D3"/>
    <w:rsid w:val="00BD3AC0"/>
    <w:rsid w:val="00BD3C3D"/>
    <w:rsid w:val="00BD3FE4"/>
    <w:rsid w:val="00BD3FE6"/>
    <w:rsid w:val="00BD4978"/>
    <w:rsid w:val="00BD4E9A"/>
    <w:rsid w:val="00BD564D"/>
    <w:rsid w:val="00BD70DD"/>
    <w:rsid w:val="00BD7394"/>
    <w:rsid w:val="00BD7B94"/>
    <w:rsid w:val="00BD7C29"/>
    <w:rsid w:val="00BE0BB3"/>
    <w:rsid w:val="00BE2264"/>
    <w:rsid w:val="00BE2277"/>
    <w:rsid w:val="00BE2C12"/>
    <w:rsid w:val="00BE2EF9"/>
    <w:rsid w:val="00BE44CB"/>
    <w:rsid w:val="00BE4CD4"/>
    <w:rsid w:val="00BE5492"/>
    <w:rsid w:val="00BE5B68"/>
    <w:rsid w:val="00BE6877"/>
    <w:rsid w:val="00BE6A72"/>
    <w:rsid w:val="00BE6E82"/>
    <w:rsid w:val="00BE7AC1"/>
    <w:rsid w:val="00BF131C"/>
    <w:rsid w:val="00BF13E7"/>
    <w:rsid w:val="00BF1D89"/>
    <w:rsid w:val="00BF3437"/>
    <w:rsid w:val="00BF3522"/>
    <w:rsid w:val="00BF4219"/>
    <w:rsid w:val="00BF4B12"/>
    <w:rsid w:val="00BF4DDE"/>
    <w:rsid w:val="00BF588C"/>
    <w:rsid w:val="00BF6110"/>
    <w:rsid w:val="00BF6824"/>
    <w:rsid w:val="00BF6F6C"/>
    <w:rsid w:val="00BF78AE"/>
    <w:rsid w:val="00C0038F"/>
    <w:rsid w:val="00C00A2F"/>
    <w:rsid w:val="00C01200"/>
    <w:rsid w:val="00C01718"/>
    <w:rsid w:val="00C01A1F"/>
    <w:rsid w:val="00C02A64"/>
    <w:rsid w:val="00C02BB1"/>
    <w:rsid w:val="00C03046"/>
    <w:rsid w:val="00C032D6"/>
    <w:rsid w:val="00C0412C"/>
    <w:rsid w:val="00C0427B"/>
    <w:rsid w:val="00C049AD"/>
    <w:rsid w:val="00C063AC"/>
    <w:rsid w:val="00C0703E"/>
    <w:rsid w:val="00C07DAE"/>
    <w:rsid w:val="00C07F42"/>
    <w:rsid w:val="00C113D5"/>
    <w:rsid w:val="00C1151D"/>
    <w:rsid w:val="00C115E0"/>
    <w:rsid w:val="00C11ACF"/>
    <w:rsid w:val="00C12BB0"/>
    <w:rsid w:val="00C134B7"/>
    <w:rsid w:val="00C137EF"/>
    <w:rsid w:val="00C143F8"/>
    <w:rsid w:val="00C14B11"/>
    <w:rsid w:val="00C16AA1"/>
    <w:rsid w:val="00C16DC8"/>
    <w:rsid w:val="00C16DE2"/>
    <w:rsid w:val="00C17A9D"/>
    <w:rsid w:val="00C20E41"/>
    <w:rsid w:val="00C2103A"/>
    <w:rsid w:val="00C2217B"/>
    <w:rsid w:val="00C222A8"/>
    <w:rsid w:val="00C222F4"/>
    <w:rsid w:val="00C2230E"/>
    <w:rsid w:val="00C22EBB"/>
    <w:rsid w:val="00C235E8"/>
    <w:rsid w:val="00C23DCB"/>
    <w:rsid w:val="00C23EAA"/>
    <w:rsid w:val="00C24A79"/>
    <w:rsid w:val="00C24BBC"/>
    <w:rsid w:val="00C26E25"/>
    <w:rsid w:val="00C2714E"/>
    <w:rsid w:val="00C27853"/>
    <w:rsid w:val="00C279AC"/>
    <w:rsid w:val="00C27E37"/>
    <w:rsid w:val="00C30293"/>
    <w:rsid w:val="00C305D0"/>
    <w:rsid w:val="00C30ADD"/>
    <w:rsid w:val="00C32834"/>
    <w:rsid w:val="00C32C23"/>
    <w:rsid w:val="00C337ED"/>
    <w:rsid w:val="00C34177"/>
    <w:rsid w:val="00C342C1"/>
    <w:rsid w:val="00C35503"/>
    <w:rsid w:val="00C35636"/>
    <w:rsid w:val="00C36635"/>
    <w:rsid w:val="00C37020"/>
    <w:rsid w:val="00C37677"/>
    <w:rsid w:val="00C37775"/>
    <w:rsid w:val="00C42282"/>
    <w:rsid w:val="00C4249D"/>
    <w:rsid w:val="00C437E2"/>
    <w:rsid w:val="00C4400E"/>
    <w:rsid w:val="00C443C1"/>
    <w:rsid w:val="00C466BB"/>
    <w:rsid w:val="00C4674F"/>
    <w:rsid w:val="00C47166"/>
    <w:rsid w:val="00C471D1"/>
    <w:rsid w:val="00C47507"/>
    <w:rsid w:val="00C47C1F"/>
    <w:rsid w:val="00C5039F"/>
    <w:rsid w:val="00C50CC7"/>
    <w:rsid w:val="00C510D7"/>
    <w:rsid w:val="00C519F1"/>
    <w:rsid w:val="00C52D60"/>
    <w:rsid w:val="00C53301"/>
    <w:rsid w:val="00C5485C"/>
    <w:rsid w:val="00C54866"/>
    <w:rsid w:val="00C568F9"/>
    <w:rsid w:val="00C56FC8"/>
    <w:rsid w:val="00C60483"/>
    <w:rsid w:val="00C60EC1"/>
    <w:rsid w:val="00C61041"/>
    <w:rsid w:val="00C6187D"/>
    <w:rsid w:val="00C61FBA"/>
    <w:rsid w:val="00C62457"/>
    <w:rsid w:val="00C62C35"/>
    <w:rsid w:val="00C630E7"/>
    <w:rsid w:val="00C63CEB"/>
    <w:rsid w:val="00C63F54"/>
    <w:rsid w:val="00C6504D"/>
    <w:rsid w:val="00C6586C"/>
    <w:rsid w:val="00C67090"/>
    <w:rsid w:val="00C67A78"/>
    <w:rsid w:val="00C67B2A"/>
    <w:rsid w:val="00C70FC1"/>
    <w:rsid w:val="00C710A9"/>
    <w:rsid w:val="00C7167A"/>
    <w:rsid w:val="00C7232B"/>
    <w:rsid w:val="00C72475"/>
    <w:rsid w:val="00C72905"/>
    <w:rsid w:val="00C7342A"/>
    <w:rsid w:val="00C74618"/>
    <w:rsid w:val="00C760FE"/>
    <w:rsid w:val="00C7649B"/>
    <w:rsid w:val="00C76965"/>
    <w:rsid w:val="00C76A59"/>
    <w:rsid w:val="00C76B17"/>
    <w:rsid w:val="00C8032B"/>
    <w:rsid w:val="00C80464"/>
    <w:rsid w:val="00C812C2"/>
    <w:rsid w:val="00C81642"/>
    <w:rsid w:val="00C81D01"/>
    <w:rsid w:val="00C825BD"/>
    <w:rsid w:val="00C82A49"/>
    <w:rsid w:val="00C833FD"/>
    <w:rsid w:val="00C85F4E"/>
    <w:rsid w:val="00C9355B"/>
    <w:rsid w:val="00C93B37"/>
    <w:rsid w:val="00C94191"/>
    <w:rsid w:val="00C9473D"/>
    <w:rsid w:val="00C95AF6"/>
    <w:rsid w:val="00C96532"/>
    <w:rsid w:val="00C974DE"/>
    <w:rsid w:val="00C97A49"/>
    <w:rsid w:val="00CA0115"/>
    <w:rsid w:val="00CA01BF"/>
    <w:rsid w:val="00CA1367"/>
    <w:rsid w:val="00CA14CD"/>
    <w:rsid w:val="00CA2B3F"/>
    <w:rsid w:val="00CA2F82"/>
    <w:rsid w:val="00CA3B7B"/>
    <w:rsid w:val="00CA4477"/>
    <w:rsid w:val="00CA4898"/>
    <w:rsid w:val="00CA57F1"/>
    <w:rsid w:val="00CA73AA"/>
    <w:rsid w:val="00CA7C2F"/>
    <w:rsid w:val="00CB0898"/>
    <w:rsid w:val="00CB0BF3"/>
    <w:rsid w:val="00CB0F04"/>
    <w:rsid w:val="00CB194C"/>
    <w:rsid w:val="00CB4012"/>
    <w:rsid w:val="00CB49A1"/>
    <w:rsid w:val="00CB542E"/>
    <w:rsid w:val="00CB5E21"/>
    <w:rsid w:val="00CB79E4"/>
    <w:rsid w:val="00CC049C"/>
    <w:rsid w:val="00CC165D"/>
    <w:rsid w:val="00CC212B"/>
    <w:rsid w:val="00CC2139"/>
    <w:rsid w:val="00CC2362"/>
    <w:rsid w:val="00CC293C"/>
    <w:rsid w:val="00CC347E"/>
    <w:rsid w:val="00CC37FA"/>
    <w:rsid w:val="00CC3C11"/>
    <w:rsid w:val="00CC56F9"/>
    <w:rsid w:val="00CC770C"/>
    <w:rsid w:val="00CC7E4B"/>
    <w:rsid w:val="00CD02AE"/>
    <w:rsid w:val="00CD1570"/>
    <w:rsid w:val="00CD15D7"/>
    <w:rsid w:val="00CD1833"/>
    <w:rsid w:val="00CD190D"/>
    <w:rsid w:val="00CD1F10"/>
    <w:rsid w:val="00CD2ECE"/>
    <w:rsid w:val="00CD461F"/>
    <w:rsid w:val="00CD4C27"/>
    <w:rsid w:val="00CD4F1A"/>
    <w:rsid w:val="00CD5950"/>
    <w:rsid w:val="00CD6C01"/>
    <w:rsid w:val="00CE10E8"/>
    <w:rsid w:val="00CE14C4"/>
    <w:rsid w:val="00CE27F4"/>
    <w:rsid w:val="00CE4A70"/>
    <w:rsid w:val="00CE5242"/>
    <w:rsid w:val="00CE6795"/>
    <w:rsid w:val="00CE6BF6"/>
    <w:rsid w:val="00CF133C"/>
    <w:rsid w:val="00CF1572"/>
    <w:rsid w:val="00CF19EA"/>
    <w:rsid w:val="00CF4DE5"/>
    <w:rsid w:val="00CF4E72"/>
    <w:rsid w:val="00CF5424"/>
    <w:rsid w:val="00CF5761"/>
    <w:rsid w:val="00CF5DF6"/>
    <w:rsid w:val="00CF5F2B"/>
    <w:rsid w:val="00CF6299"/>
    <w:rsid w:val="00CF6AB5"/>
    <w:rsid w:val="00CF7974"/>
    <w:rsid w:val="00D008F2"/>
    <w:rsid w:val="00D022EF"/>
    <w:rsid w:val="00D03249"/>
    <w:rsid w:val="00D035D9"/>
    <w:rsid w:val="00D0461C"/>
    <w:rsid w:val="00D07E6E"/>
    <w:rsid w:val="00D104F2"/>
    <w:rsid w:val="00D1090F"/>
    <w:rsid w:val="00D10F07"/>
    <w:rsid w:val="00D1140F"/>
    <w:rsid w:val="00D11443"/>
    <w:rsid w:val="00D116D3"/>
    <w:rsid w:val="00D11FBB"/>
    <w:rsid w:val="00D11FFB"/>
    <w:rsid w:val="00D125A2"/>
    <w:rsid w:val="00D161A5"/>
    <w:rsid w:val="00D168B5"/>
    <w:rsid w:val="00D17755"/>
    <w:rsid w:val="00D178B8"/>
    <w:rsid w:val="00D20D16"/>
    <w:rsid w:val="00D22AE9"/>
    <w:rsid w:val="00D25072"/>
    <w:rsid w:val="00D262D0"/>
    <w:rsid w:val="00D27807"/>
    <w:rsid w:val="00D3078F"/>
    <w:rsid w:val="00D3167A"/>
    <w:rsid w:val="00D32102"/>
    <w:rsid w:val="00D33471"/>
    <w:rsid w:val="00D33F96"/>
    <w:rsid w:val="00D364BB"/>
    <w:rsid w:val="00D37834"/>
    <w:rsid w:val="00D43015"/>
    <w:rsid w:val="00D430E2"/>
    <w:rsid w:val="00D4353F"/>
    <w:rsid w:val="00D44294"/>
    <w:rsid w:val="00D443B4"/>
    <w:rsid w:val="00D44956"/>
    <w:rsid w:val="00D45282"/>
    <w:rsid w:val="00D4542A"/>
    <w:rsid w:val="00D46618"/>
    <w:rsid w:val="00D46D41"/>
    <w:rsid w:val="00D46F1E"/>
    <w:rsid w:val="00D476F8"/>
    <w:rsid w:val="00D4774D"/>
    <w:rsid w:val="00D478CB"/>
    <w:rsid w:val="00D47B53"/>
    <w:rsid w:val="00D503B4"/>
    <w:rsid w:val="00D507CB"/>
    <w:rsid w:val="00D50A15"/>
    <w:rsid w:val="00D5141D"/>
    <w:rsid w:val="00D515CA"/>
    <w:rsid w:val="00D517D0"/>
    <w:rsid w:val="00D52961"/>
    <w:rsid w:val="00D5354A"/>
    <w:rsid w:val="00D53A66"/>
    <w:rsid w:val="00D54FD5"/>
    <w:rsid w:val="00D55139"/>
    <w:rsid w:val="00D553CE"/>
    <w:rsid w:val="00D55B6E"/>
    <w:rsid w:val="00D55E63"/>
    <w:rsid w:val="00D57238"/>
    <w:rsid w:val="00D5755F"/>
    <w:rsid w:val="00D57FD2"/>
    <w:rsid w:val="00D60720"/>
    <w:rsid w:val="00D60A72"/>
    <w:rsid w:val="00D610F1"/>
    <w:rsid w:val="00D61A6B"/>
    <w:rsid w:val="00D6205D"/>
    <w:rsid w:val="00D63907"/>
    <w:rsid w:val="00D66285"/>
    <w:rsid w:val="00D666EE"/>
    <w:rsid w:val="00D66BAA"/>
    <w:rsid w:val="00D6731C"/>
    <w:rsid w:val="00D704A4"/>
    <w:rsid w:val="00D71F38"/>
    <w:rsid w:val="00D7210B"/>
    <w:rsid w:val="00D72CFF"/>
    <w:rsid w:val="00D72EC2"/>
    <w:rsid w:val="00D735D6"/>
    <w:rsid w:val="00D73F92"/>
    <w:rsid w:val="00D753A8"/>
    <w:rsid w:val="00D757ED"/>
    <w:rsid w:val="00D75C81"/>
    <w:rsid w:val="00D7606A"/>
    <w:rsid w:val="00D773BE"/>
    <w:rsid w:val="00D77B56"/>
    <w:rsid w:val="00D77D85"/>
    <w:rsid w:val="00D802B6"/>
    <w:rsid w:val="00D8032C"/>
    <w:rsid w:val="00D81107"/>
    <w:rsid w:val="00D811D3"/>
    <w:rsid w:val="00D81CE6"/>
    <w:rsid w:val="00D83012"/>
    <w:rsid w:val="00D839F8"/>
    <w:rsid w:val="00D8433A"/>
    <w:rsid w:val="00D84B7A"/>
    <w:rsid w:val="00D84F3A"/>
    <w:rsid w:val="00D85226"/>
    <w:rsid w:val="00D85969"/>
    <w:rsid w:val="00D86881"/>
    <w:rsid w:val="00D87B7D"/>
    <w:rsid w:val="00D90293"/>
    <w:rsid w:val="00D90945"/>
    <w:rsid w:val="00D91CD7"/>
    <w:rsid w:val="00D92A75"/>
    <w:rsid w:val="00D92F5B"/>
    <w:rsid w:val="00D92FBD"/>
    <w:rsid w:val="00D93C20"/>
    <w:rsid w:val="00D94DC4"/>
    <w:rsid w:val="00D95AF9"/>
    <w:rsid w:val="00D95F2C"/>
    <w:rsid w:val="00D96E5D"/>
    <w:rsid w:val="00D973CE"/>
    <w:rsid w:val="00D97A78"/>
    <w:rsid w:val="00DA1200"/>
    <w:rsid w:val="00DA1A0E"/>
    <w:rsid w:val="00DA1DFC"/>
    <w:rsid w:val="00DA23FE"/>
    <w:rsid w:val="00DA3352"/>
    <w:rsid w:val="00DA39AB"/>
    <w:rsid w:val="00DA3CAA"/>
    <w:rsid w:val="00DA4990"/>
    <w:rsid w:val="00DA55B0"/>
    <w:rsid w:val="00DA5AD6"/>
    <w:rsid w:val="00DA5BB7"/>
    <w:rsid w:val="00DA5EE8"/>
    <w:rsid w:val="00DA71F5"/>
    <w:rsid w:val="00DB0696"/>
    <w:rsid w:val="00DB0A44"/>
    <w:rsid w:val="00DB152D"/>
    <w:rsid w:val="00DB199F"/>
    <w:rsid w:val="00DB1A8A"/>
    <w:rsid w:val="00DB1FBE"/>
    <w:rsid w:val="00DB3D9D"/>
    <w:rsid w:val="00DB482B"/>
    <w:rsid w:val="00DB4BC6"/>
    <w:rsid w:val="00DB5557"/>
    <w:rsid w:val="00DB5954"/>
    <w:rsid w:val="00DB6D5F"/>
    <w:rsid w:val="00DB72C4"/>
    <w:rsid w:val="00DB73C7"/>
    <w:rsid w:val="00DB7722"/>
    <w:rsid w:val="00DB7CAF"/>
    <w:rsid w:val="00DC020F"/>
    <w:rsid w:val="00DC0660"/>
    <w:rsid w:val="00DC0946"/>
    <w:rsid w:val="00DC17BF"/>
    <w:rsid w:val="00DC2632"/>
    <w:rsid w:val="00DC3117"/>
    <w:rsid w:val="00DC3D8E"/>
    <w:rsid w:val="00DC4A38"/>
    <w:rsid w:val="00DC4D94"/>
    <w:rsid w:val="00DC51D4"/>
    <w:rsid w:val="00DC68EE"/>
    <w:rsid w:val="00DC77F7"/>
    <w:rsid w:val="00DC786E"/>
    <w:rsid w:val="00DC7E22"/>
    <w:rsid w:val="00DD0039"/>
    <w:rsid w:val="00DD03E3"/>
    <w:rsid w:val="00DD1605"/>
    <w:rsid w:val="00DD2FCE"/>
    <w:rsid w:val="00DD3023"/>
    <w:rsid w:val="00DD3267"/>
    <w:rsid w:val="00DD3D7A"/>
    <w:rsid w:val="00DD4DF6"/>
    <w:rsid w:val="00DD6FAF"/>
    <w:rsid w:val="00DE0F03"/>
    <w:rsid w:val="00DE14B4"/>
    <w:rsid w:val="00DE19F9"/>
    <w:rsid w:val="00DE2376"/>
    <w:rsid w:val="00DE2D7C"/>
    <w:rsid w:val="00DE3247"/>
    <w:rsid w:val="00DE37CD"/>
    <w:rsid w:val="00DE3C21"/>
    <w:rsid w:val="00DE42DC"/>
    <w:rsid w:val="00DE4B6F"/>
    <w:rsid w:val="00DE4DCA"/>
    <w:rsid w:val="00DE5531"/>
    <w:rsid w:val="00DE6B12"/>
    <w:rsid w:val="00DE6BEF"/>
    <w:rsid w:val="00DE7312"/>
    <w:rsid w:val="00DE7A31"/>
    <w:rsid w:val="00DF0083"/>
    <w:rsid w:val="00DF3214"/>
    <w:rsid w:val="00DF36E6"/>
    <w:rsid w:val="00DF71DE"/>
    <w:rsid w:val="00DF7446"/>
    <w:rsid w:val="00E00C23"/>
    <w:rsid w:val="00E017A6"/>
    <w:rsid w:val="00E018F9"/>
    <w:rsid w:val="00E0229F"/>
    <w:rsid w:val="00E0233D"/>
    <w:rsid w:val="00E024F9"/>
    <w:rsid w:val="00E02F60"/>
    <w:rsid w:val="00E03026"/>
    <w:rsid w:val="00E0376C"/>
    <w:rsid w:val="00E04403"/>
    <w:rsid w:val="00E04891"/>
    <w:rsid w:val="00E04C78"/>
    <w:rsid w:val="00E052A6"/>
    <w:rsid w:val="00E077F6"/>
    <w:rsid w:val="00E078DD"/>
    <w:rsid w:val="00E10630"/>
    <w:rsid w:val="00E11253"/>
    <w:rsid w:val="00E118E6"/>
    <w:rsid w:val="00E13167"/>
    <w:rsid w:val="00E135DF"/>
    <w:rsid w:val="00E13917"/>
    <w:rsid w:val="00E13EDA"/>
    <w:rsid w:val="00E147E0"/>
    <w:rsid w:val="00E14BE6"/>
    <w:rsid w:val="00E155C9"/>
    <w:rsid w:val="00E16202"/>
    <w:rsid w:val="00E16493"/>
    <w:rsid w:val="00E1676B"/>
    <w:rsid w:val="00E16BDA"/>
    <w:rsid w:val="00E16EA7"/>
    <w:rsid w:val="00E16F2F"/>
    <w:rsid w:val="00E17B10"/>
    <w:rsid w:val="00E17B16"/>
    <w:rsid w:val="00E206FF"/>
    <w:rsid w:val="00E209BC"/>
    <w:rsid w:val="00E20FDE"/>
    <w:rsid w:val="00E22376"/>
    <w:rsid w:val="00E237FA"/>
    <w:rsid w:val="00E24913"/>
    <w:rsid w:val="00E2555A"/>
    <w:rsid w:val="00E265AB"/>
    <w:rsid w:val="00E26D58"/>
    <w:rsid w:val="00E26EA8"/>
    <w:rsid w:val="00E27D7C"/>
    <w:rsid w:val="00E306E9"/>
    <w:rsid w:val="00E33095"/>
    <w:rsid w:val="00E33450"/>
    <w:rsid w:val="00E3473F"/>
    <w:rsid w:val="00E3505D"/>
    <w:rsid w:val="00E36204"/>
    <w:rsid w:val="00E37B00"/>
    <w:rsid w:val="00E40E39"/>
    <w:rsid w:val="00E41166"/>
    <w:rsid w:val="00E42133"/>
    <w:rsid w:val="00E43890"/>
    <w:rsid w:val="00E45687"/>
    <w:rsid w:val="00E47580"/>
    <w:rsid w:val="00E47A1F"/>
    <w:rsid w:val="00E50F47"/>
    <w:rsid w:val="00E51408"/>
    <w:rsid w:val="00E5256D"/>
    <w:rsid w:val="00E53544"/>
    <w:rsid w:val="00E5379E"/>
    <w:rsid w:val="00E5401A"/>
    <w:rsid w:val="00E55966"/>
    <w:rsid w:val="00E55A98"/>
    <w:rsid w:val="00E55C9D"/>
    <w:rsid w:val="00E56ACD"/>
    <w:rsid w:val="00E575E6"/>
    <w:rsid w:val="00E5760A"/>
    <w:rsid w:val="00E57AE8"/>
    <w:rsid w:val="00E600C4"/>
    <w:rsid w:val="00E6034E"/>
    <w:rsid w:val="00E60B67"/>
    <w:rsid w:val="00E631C5"/>
    <w:rsid w:val="00E63984"/>
    <w:rsid w:val="00E63B44"/>
    <w:rsid w:val="00E63D2F"/>
    <w:rsid w:val="00E64573"/>
    <w:rsid w:val="00E64DE3"/>
    <w:rsid w:val="00E65362"/>
    <w:rsid w:val="00E658E1"/>
    <w:rsid w:val="00E66493"/>
    <w:rsid w:val="00E66578"/>
    <w:rsid w:val="00E6658C"/>
    <w:rsid w:val="00E66D91"/>
    <w:rsid w:val="00E67B28"/>
    <w:rsid w:val="00E67D3C"/>
    <w:rsid w:val="00E67DEA"/>
    <w:rsid w:val="00E71BA9"/>
    <w:rsid w:val="00E73444"/>
    <w:rsid w:val="00E73B34"/>
    <w:rsid w:val="00E75F2A"/>
    <w:rsid w:val="00E75F94"/>
    <w:rsid w:val="00E761A8"/>
    <w:rsid w:val="00E7637D"/>
    <w:rsid w:val="00E775DC"/>
    <w:rsid w:val="00E77EA7"/>
    <w:rsid w:val="00E8117B"/>
    <w:rsid w:val="00E81C05"/>
    <w:rsid w:val="00E81DD1"/>
    <w:rsid w:val="00E82675"/>
    <w:rsid w:val="00E84210"/>
    <w:rsid w:val="00E844E5"/>
    <w:rsid w:val="00E8499A"/>
    <w:rsid w:val="00E851B0"/>
    <w:rsid w:val="00E858DE"/>
    <w:rsid w:val="00E85FA5"/>
    <w:rsid w:val="00E869C9"/>
    <w:rsid w:val="00E869E6"/>
    <w:rsid w:val="00E86D59"/>
    <w:rsid w:val="00E90661"/>
    <w:rsid w:val="00E91357"/>
    <w:rsid w:val="00E9297E"/>
    <w:rsid w:val="00E9307E"/>
    <w:rsid w:val="00E930D2"/>
    <w:rsid w:val="00E9566D"/>
    <w:rsid w:val="00E97069"/>
    <w:rsid w:val="00E97D63"/>
    <w:rsid w:val="00EA21DB"/>
    <w:rsid w:val="00EA2F62"/>
    <w:rsid w:val="00EA4EB5"/>
    <w:rsid w:val="00EA62D5"/>
    <w:rsid w:val="00EA6854"/>
    <w:rsid w:val="00EA6BBC"/>
    <w:rsid w:val="00EA7C42"/>
    <w:rsid w:val="00EB0265"/>
    <w:rsid w:val="00EB050B"/>
    <w:rsid w:val="00EB07EC"/>
    <w:rsid w:val="00EB2493"/>
    <w:rsid w:val="00EB291F"/>
    <w:rsid w:val="00EB2F97"/>
    <w:rsid w:val="00EB30E7"/>
    <w:rsid w:val="00EB376E"/>
    <w:rsid w:val="00EB44F4"/>
    <w:rsid w:val="00EB490D"/>
    <w:rsid w:val="00EB5A84"/>
    <w:rsid w:val="00EB63ED"/>
    <w:rsid w:val="00EB6EC6"/>
    <w:rsid w:val="00EB725C"/>
    <w:rsid w:val="00EC0328"/>
    <w:rsid w:val="00EC0331"/>
    <w:rsid w:val="00EC0577"/>
    <w:rsid w:val="00EC1348"/>
    <w:rsid w:val="00EC1BFB"/>
    <w:rsid w:val="00EC252C"/>
    <w:rsid w:val="00EC2796"/>
    <w:rsid w:val="00EC35DF"/>
    <w:rsid w:val="00EC3DBD"/>
    <w:rsid w:val="00EC4F07"/>
    <w:rsid w:val="00EC50D5"/>
    <w:rsid w:val="00EC5A2A"/>
    <w:rsid w:val="00EC5C38"/>
    <w:rsid w:val="00EC5D4A"/>
    <w:rsid w:val="00EC5DAB"/>
    <w:rsid w:val="00EC68FC"/>
    <w:rsid w:val="00EC7374"/>
    <w:rsid w:val="00EC7466"/>
    <w:rsid w:val="00ED1FF6"/>
    <w:rsid w:val="00ED4EAF"/>
    <w:rsid w:val="00ED5101"/>
    <w:rsid w:val="00ED5F90"/>
    <w:rsid w:val="00ED63B1"/>
    <w:rsid w:val="00ED6448"/>
    <w:rsid w:val="00ED64DA"/>
    <w:rsid w:val="00ED66A0"/>
    <w:rsid w:val="00ED6D00"/>
    <w:rsid w:val="00ED7660"/>
    <w:rsid w:val="00ED7AC5"/>
    <w:rsid w:val="00EE0562"/>
    <w:rsid w:val="00EE2DFE"/>
    <w:rsid w:val="00EE4546"/>
    <w:rsid w:val="00EE45D8"/>
    <w:rsid w:val="00EE4CA4"/>
    <w:rsid w:val="00EE5426"/>
    <w:rsid w:val="00EE5744"/>
    <w:rsid w:val="00EE6BDE"/>
    <w:rsid w:val="00EE763C"/>
    <w:rsid w:val="00EF0450"/>
    <w:rsid w:val="00EF0BEC"/>
    <w:rsid w:val="00EF1133"/>
    <w:rsid w:val="00EF27C0"/>
    <w:rsid w:val="00EF2CE3"/>
    <w:rsid w:val="00EF4D50"/>
    <w:rsid w:val="00EF4D70"/>
    <w:rsid w:val="00EF564C"/>
    <w:rsid w:val="00EF5695"/>
    <w:rsid w:val="00EF7B5C"/>
    <w:rsid w:val="00F00958"/>
    <w:rsid w:val="00F02AD2"/>
    <w:rsid w:val="00F039A1"/>
    <w:rsid w:val="00F039D1"/>
    <w:rsid w:val="00F04117"/>
    <w:rsid w:val="00F04A7D"/>
    <w:rsid w:val="00F065F7"/>
    <w:rsid w:val="00F0728A"/>
    <w:rsid w:val="00F07B2D"/>
    <w:rsid w:val="00F12213"/>
    <w:rsid w:val="00F12753"/>
    <w:rsid w:val="00F1458A"/>
    <w:rsid w:val="00F14AA0"/>
    <w:rsid w:val="00F1502B"/>
    <w:rsid w:val="00F15183"/>
    <w:rsid w:val="00F17F7A"/>
    <w:rsid w:val="00F20107"/>
    <w:rsid w:val="00F20BC1"/>
    <w:rsid w:val="00F20BCE"/>
    <w:rsid w:val="00F22A0D"/>
    <w:rsid w:val="00F23ECF"/>
    <w:rsid w:val="00F260DB"/>
    <w:rsid w:val="00F2621E"/>
    <w:rsid w:val="00F27467"/>
    <w:rsid w:val="00F27CD5"/>
    <w:rsid w:val="00F30E91"/>
    <w:rsid w:val="00F31C1B"/>
    <w:rsid w:val="00F32141"/>
    <w:rsid w:val="00F326E5"/>
    <w:rsid w:val="00F33C79"/>
    <w:rsid w:val="00F33E0E"/>
    <w:rsid w:val="00F34917"/>
    <w:rsid w:val="00F34D2E"/>
    <w:rsid w:val="00F35C26"/>
    <w:rsid w:val="00F366B5"/>
    <w:rsid w:val="00F367A4"/>
    <w:rsid w:val="00F37A4B"/>
    <w:rsid w:val="00F37D60"/>
    <w:rsid w:val="00F37F48"/>
    <w:rsid w:val="00F40B03"/>
    <w:rsid w:val="00F41FAA"/>
    <w:rsid w:val="00F423F1"/>
    <w:rsid w:val="00F42915"/>
    <w:rsid w:val="00F429B5"/>
    <w:rsid w:val="00F42C64"/>
    <w:rsid w:val="00F42EBB"/>
    <w:rsid w:val="00F42EFD"/>
    <w:rsid w:val="00F44623"/>
    <w:rsid w:val="00F4486C"/>
    <w:rsid w:val="00F448F2"/>
    <w:rsid w:val="00F44CEC"/>
    <w:rsid w:val="00F46BC0"/>
    <w:rsid w:val="00F47375"/>
    <w:rsid w:val="00F50283"/>
    <w:rsid w:val="00F515BD"/>
    <w:rsid w:val="00F515EB"/>
    <w:rsid w:val="00F51CB3"/>
    <w:rsid w:val="00F52698"/>
    <w:rsid w:val="00F52DB6"/>
    <w:rsid w:val="00F53F21"/>
    <w:rsid w:val="00F54DBD"/>
    <w:rsid w:val="00F55395"/>
    <w:rsid w:val="00F55498"/>
    <w:rsid w:val="00F55DAF"/>
    <w:rsid w:val="00F55EA2"/>
    <w:rsid w:val="00F56294"/>
    <w:rsid w:val="00F567E0"/>
    <w:rsid w:val="00F5681B"/>
    <w:rsid w:val="00F60056"/>
    <w:rsid w:val="00F607C4"/>
    <w:rsid w:val="00F609DB"/>
    <w:rsid w:val="00F60B85"/>
    <w:rsid w:val="00F616CC"/>
    <w:rsid w:val="00F62795"/>
    <w:rsid w:val="00F64036"/>
    <w:rsid w:val="00F641A8"/>
    <w:rsid w:val="00F642D1"/>
    <w:rsid w:val="00F64499"/>
    <w:rsid w:val="00F6750B"/>
    <w:rsid w:val="00F6759E"/>
    <w:rsid w:val="00F70392"/>
    <w:rsid w:val="00F7048C"/>
    <w:rsid w:val="00F72BA0"/>
    <w:rsid w:val="00F73364"/>
    <w:rsid w:val="00F733DE"/>
    <w:rsid w:val="00F74343"/>
    <w:rsid w:val="00F755DB"/>
    <w:rsid w:val="00F76365"/>
    <w:rsid w:val="00F76593"/>
    <w:rsid w:val="00F771FA"/>
    <w:rsid w:val="00F779AB"/>
    <w:rsid w:val="00F80F71"/>
    <w:rsid w:val="00F81147"/>
    <w:rsid w:val="00F824FE"/>
    <w:rsid w:val="00F82922"/>
    <w:rsid w:val="00F838A9"/>
    <w:rsid w:val="00F841C3"/>
    <w:rsid w:val="00F84DC5"/>
    <w:rsid w:val="00F85109"/>
    <w:rsid w:val="00F8544A"/>
    <w:rsid w:val="00F86334"/>
    <w:rsid w:val="00F90EE5"/>
    <w:rsid w:val="00F91919"/>
    <w:rsid w:val="00F91F9F"/>
    <w:rsid w:val="00F92E13"/>
    <w:rsid w:val="00F93AE8"/>
    <w:rsid w:val="00F94D94"/>
    <w:rsid w:val="00F95C6C"/>
    <w:rsid w:val="00F969E7"/>
    <w:rsid w:val="00F97332"/>
    <w:rsid w:val="00FA140F"/>
    <w:rsid w:val="00FA16E6"/>
    <w:rsid w:val="00FA1A86"/>
    <w:rsid w:val="00FA1C06"/>
    <w:rsid w:val="00FA2662"/>
    <w:rsid w:val="00FA2E76"/>
    <w:rsid w:val="00FA466B"/>
    <w:rsid w:val="00FA5992"/>
    <w:rsid w:val="00FA7170"/>
    <w:rsid w:val="00FA7543"/>
    <w:rsid w:val="00FA7646"/>
    <w:rsid w:val="00FA7B26"/>
    <w:rsid w:val="00FB04CF"/>
    <w:rsid w:val="00FB0696"/>
    <w:rsid w:val="00FB08AF"/>
    <w:rsid w:val="00FB1248"/>
    <w:rsid w:val="00FB133E"/>
    <w:rsid w:val="00FB156D"/>
    <w:rsid w:val="00FB15FE"/>
    <w:rsid w:val="00FB5A0A"/>
    <w:rsid w:val="00FB70BC"/>
    <w:rsid w:val="00FB71EA"/>
    <w:rsid w:val="00FB73E3"/>
    <w:rsid w:val="00FB79CF"/>
    <w:rsid w:val="00FB7D37"/>
    <w:rsid w:val="00FC09B8"/>
    <w:rsid w:val="00FC2C67"/>
    <w:rsid w:val="00FC33D2"/>
    <w:rsid w:val="00FC4335"/>
    <w:rsid w:val="00FC5BB1"/>
    <w:rsid w:val="00FC62FF"/>
    <w:rsid w:val="00FC6682"/>
    <w:rsid w:val="00FC6D48"/>
    <w:rsid w:val="00FC6DB5"/>
    <w:rsid w:val="00FC75DD"/>
    <w:rsid w:val="00FC76E4"/>
    <w:rsid w:val="00FC77F5"/>
    <w:rsid w:val="00FD0F15"/>
    <w:rsid w:val="00FD1C9E"/>
    <w:rsid w:val="00FD3A33"/>
    <w:rsid w:val="00FD4027"/>
    <w:rsid w:val="00FD4B7F"/>
    <w:rsid w:val="00FD5150"/>
    <w:rsid w:val="00FD530A"/>
    <w:rsid w:val="00FD581A"/>
    <w:rsid w:val="00FD6F5E"/>
    <w:rsid w:val="00FD6F7D"/>
    <w:rsid w:val="00FE0B61"/>
    <w:rsid w:val="00FE1489"/>
    <w:rsid w:val="00FE158F"/>
    <w:rsid w:val="00FE25A3"/>
    <w:rsid w:val="00FE343A"/>
    <w:rsid w:val="00FE3665"/>
    <w:rsid w:val="00FE372C"/>
    <w:rsid w:val="00FE4FB4"/>
    <w:rsid w:val="00FE60DA"/>
    <w:rsid w:val="00FE650A"/>
    <w:rsid w:val="00FE6DEF"/>
    <w:rsid w:val="00FE74F8"/>
    <w:rsid w:val="00FF0339"/>
    <w:rsid w:val="00FF1DBD"/>
    <w:rsid w:val="00FF5264"/>
    <w:rsid w:val="00FF5FCF"/>
    <w:rsid w:val="00FF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3383"/>
  <w15:docId w15:val="{3A756325-12FA-4880-B0E1-E14157A1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BB3"/>
    <w:pPr>
      <w:spacing w:after="200" w:line="276" w:lineRule="auto"/>
    </w:pPr>
    <w:rPr>
      <w:sz w:val="22"/>
      <w:szCs w:val="22"/>
    </w:rPr>
  </w:style>
  <w:style w:type="paragraph" w:styleId="Heading1">
    <w:name w:val="heading 1"/>
    <w:basedOn w:val="Normal"/>
    <w:link w:val="Heading1Char"/>
    <w:uiPriority w:val="9"/>
    <w:qFormat/>
    <w:rsid w:val="00E67D3C"/>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E67D3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0D0769"/>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326E5"/>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326E5"/>
    <w:pPr>
      <w:keepNext/>
      <w:keepLines/>
      <w:spacing w:before="40" w:after="0" w:line="259" w:lineRule="auto"/>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4F15A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6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6A0"/>
    <w:rPr>
      <w:rFonts w:ascii="Tahoma" w:hAnsi="Tahoma" w:cs="Tahoma"/>
      <w:sz w:val="16"/>
      <w:szCs w:val="16"/>
    </w:rPr>
  </w:style>
  <w:style w:type="paragraph" w:styleId="NoSpacing">
    <w:name w:val="No Spacing"/>
    <w:aliases w:val="Basic Info"/>
    <w:uiPriority w:val="1"/>
    <w:qFormat/>
    <w:rsid w:val="008C66A0"/>
    <w:rPr>
      <w:sz w:val="22"/>
      <w:szCs w:val="22"/>
    </w:rPr>
  </w:style>
  <w:style w:type="character" w:styleId="Hyperlink">
    <w:name w:val="Hyperlink"/>
    <w:basedOn w:val="DefaultParagraphFont"/>
    <w:uiPriority w:val="99"/>
    <w:unhideWhenUsed/>
    <w:rsid w:val="001968CD"/>
    <w:rPr>
      <w:color w:val="0563C1" w:themeColor="hyperlink"/>
      <w:u w:val="single"/>
    </w:rPr>
  </w:style>
  <w:style w:type="character" w:customStyle="1" w:styleId="Heading1Char">
    <w:name w:val="Heading 1 Char"/>
    <w:basedOn w:val="DefaultParagraphFont"/>
    <w:link w:val="Heading1"/>
    <w:uiPriority w:val="9"/>
    <w:rsid w:val="00E67D3C"/>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E67D3C"/>
    <w:rPr>
      <w:rFonts w:ascii="Cambria" w:eastAsia="Times New Roman" w:hAnsi="Cambria"/>
      <w:b/>
      <w:bCs/>
      <w:i/>
      <w:iCs/>
      <w:sz w:val="28"/>
      <w:szCs w:val="28"/>
    </w:rPr>
  </w:style>
  <w:style w:type="paragraph" w:styleId="NormalWeb">
    <w:name w:val="Normal (Web)"/>
    <w:basedOn w:val="Normal"/>
    <w:uiPriority w:val="99"/>
    <w:unhideWhenUsed/>
    <w:rsid w:val="00E67D3C"/>
    <w:pPr>
      <w:spacing w:before="100" w:beforeAutospacing="1" w:after="100" w:afterAutospacing="1" w:line="240" w:lineRule="auto"/>
    </w:pPr>
    <w:rPr>
      <w:rFonts w:ascii="Times New Roman" w:eastAsia="Times New Roman" w:hAnsi="Times New Roman"/>
      <w:sz w:val="24"/>
      <w:szCs w:val="24"/>
    </w:rPr>
  </w:style>
  <w:style w:type="paragraph" w:customStyle="1" w:styleId="speakable-p-1">
    <w:name w:val="speakable-p-1"/>
    <w:basedOn w:val="Normal"/>
    <w:rsid w:val="00E67D3C"/>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67D3C"/>
    <w:rPr>
      <w:i/>
      <w:iCs/>
    </w:rPr>
  </w:style>
  <w:style w:type="character" w:styleId="FollowedHyperlink">
    <w:name w:val="FollowedHyperlink"/>
    <w:basedOn w:val="DefaultParagraphFont"/>
    <w:uiPriority w:val="99"/>
    <w:semiHidden/>
    <w:unhideWhenUsed/>
    <w:rsid w:val="0001738E"/>
    <w:rPr>
      <w:color w:val="954F72" w:themeColor="followedHyperlink"/>
      <w:u w:val="single"/>
    </w:rPr>
  </w:style>
  <w:style w:type="character" w:styleId="UnresolvedMention">
    <w:name w:val="Unresolved Mention"/>
    <w:basedOn w:val="DefaultParagraphFont"/>
    <w:uiPriority w:val="99"/>
    <w:semiHidden/>
    <w:unhideWhenUsed/>
    <w:rsid w:val="00310D6B"/>
    <w:rPr>
      <w:color w:val="808080"/>
      <w:shd w:val="clear" w:color="auto" w:fill="E6E6E6"/>
    </w:rPr>
  </w:style>
  <w:style w:type="character" w:customStyle="1" w:styleId="unlinked-ref">
    <w:name w:val="unlinked-ref"/>
    <w:rsid w:val="007C45CA"/>
  </w:style>
  <w:style w:type="character" w:customStyle="1" w:styleId="headertext">
    <w:name w:val="headertext"/>
    <w:rsid w:val="007C45CA"/>
  </w:style>
  <w:style w:type="paragraph" w:customStyle="1" w:styleId="Default">
    <w:name w:val="Default"/>
    <w:rsid w:val="007C45C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C67090"/>
    <w:pPr>
      <w:spacing w:after="160" w:line="259" w:lineRule="auto"/>
      <w:ind w:left="720"/>
      <w:contextualSpacing/>
    </w:pPr>
    <w:rPr>
      <w:rFonts w:asciiTheme="minorHAnsi" w:eastAsiaTheme="minorHAnsi" w:hAnsiTheme="minorHAnsi" w:cstheme="minorBidi"/>
    </w:rPr>
  </w:style>
  <w:style w:type="paragraph" w:customStyle="1" w:styleId="fp">
    <w:name w:val="fp"/>
    <w:basedOn w:val="Normal"/>
    <w:rsid w:val="00C67090"/>
    <w:pPr>
      <w:spacing w:before="200"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0D0769"/>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unhideWhenUsed/>
    <w:rsid w:val="00AD5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D53DF"/>
    <w:rPr>
      <w:rFonts w:ascii="Courier New" w:eastAsia="Times New Roman" w:hAnsi="Courier New" w:cs="Courier New"/>
    </w:rPr>
  </w:style>
  <w:style w:type="paragraph" w:customStyle="1" w:styleId="statutory-body-2em">
    <w:name w:val="statutory-body-2em"/>
    <w:basedOn w:val="Normal"/>
    <w:rsid w:val="00AD53DF"/>
    <w:pPr>
      <w:spacing w:before="100" w:beforeAutospacing="1" w:after="100" w:afterAutospacing="1" w:line="240" w:lineRule="auto"/>
    </w:pPr>
    <w:rPr>
      <w:rFonts w:ascii="Times New Roman" w:eastAsia="Times New Roman" w:hAnsi="Times New Roman"/>
      <w:sz w:val="24"/>
      <w:szCs w:val="24"/>
    </w:rPr>
  </w:style>
  <w:style w:type="paragraph" w:customStyle="1" w:styleId="statutory-body-3em">
    <w:name w:val="statutory-body-3em"/>
    <w:basedOn w:val="Normal"/>
    <w:rsid w:val="00AD53DF"/>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18621C"/>
    <w:rPr>
      <w:color w:val="605E5C"/>
      <w:shd w:val="clear" w:color="auto" w:fill="E1DFDD"/>
    </w:rPr>
  </w:style>
  <w:style w:type="paragraph" w:customStyle="1" w:styleId="active">
    <w:name w:val="active"/>
    <w:basedOn w:val="Normal"/>
    <w:rsid w:val="00CC2139"/>
    <w:pPr>
      <w:spacing w:before="100" w:beforeAutospacing="1" w:after="100" w:afterAutospacing="1" w:line="240" w:lineRule="auto"/>
    </w:pPr>
    <w:rPr>
      <w:rFonts w:ascii="Times New Roman" w:eastAsia="Times New Roman" w:hAnsi="Times New Roman"/>
      <w:sz w:val="24"/>
      <w:szCs w:val="24"/>
    </w:rPr>
  </w:style>
  <w:style w:type="paragraph" w:customStyle="1" w:styleId="decision-tab">
    <w:name w:val="decision-tab"/>
    <w:basedOn w:val="Normal"/>
    <w:rsid w:val="000306C7"/>
    <w:pPr>
      <w:spacing w:before="100" w:beforeAutospacing="1" w:after="100" w:afterAutospacing="1" w:line="240" w:lineRule="auto"/>
    </w:pPr>
    <w:rPr>
      <w:rFonts w:ascii="Times New Roman" w:eastAsia="Times New Roman" w:hAnsi="Times New Roman"/>
      <w:sz w:val="24"/>
      <w:szCs w:val="24"/>
    </w:rPr>
  </w:style>
  <w:style w:type="character" w:customStyle="1" w:styleId="highlight">
    <w:name w:val="highlight"/>
    <w:basedOn w:val="DefaultParagraphFont"/>
    <w:rsid w:val="000306C7"/>
  </w:style>
  <w:style w:type="character" w:customStyle="1" w:styleId="nanospell-typo">
    <w:name w:val="nanospell-typo"/>
    <w:basedOn w:val="DefaultParagraphFont"/>
    <w:rsid w:val="000D47A7"/>
  </w:style>
  <w:style w:type="character" w:styleId="Strong">
    <w:name w:val="Strong"/>
    <w:basedOn w:val="DefaultParagraphFont"/>
    <w:uiPriority w:val="22"/>
    <w:qFormat/>
    <w:rsid w:val="000D47A7"/>
    <w:rPr>
      <w:b/>
      <w:bCs/>
    </w:rPr>
  </w:style>
  <w:style w:type="character" w:customStyle="1" w:styleId="posted-time">
    <w:name w:val="posted-time"/>
    <w:basedOn w:val="DefaultParagraphFont"/>
    <w:rsid w:val="000D47A7"/>
  </w:style>
  <w:style w:type="character" w:customStyle="1" w:styleId="updated-time">
    <w:name w:val="updated-time"/>
    <w:basedOn w:val="DefaultParagraphFont"/>
    <w:rsid w:val="000D47A7"/>
  </w:style>
  <w:style w:type="paragraph" w:customStyle="1" w:styleId="speakable-p-2">
    <w:name w:val="speakable-p-2"/>
    <w:basedOn w:val="Normal"/>
    <w:rsid w:val="000D47A7"/>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D47A7"/>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D47A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0D47A7"/>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D47A7"/>
    <w:rPr>
      <w:rFonts w:asciiTheme="minorHAnsi" w:eastAsiaTheme="minorHAnsi" w:hAnsiTheme="minorHAnsi" w:cstheme="minorBidi"/>
      <w:sz w:val="22"/>
      <w:szCs w:val="22"/>
    </w:rPr>
  </w:style>
  <w:style w:type="character" w:customStyle="1" w:styleId="value">
    <w:name w:val="value"/>
    <w:basedOn w:val="DefaultParagraphFont"/>
    <w:rsid w:val="00084E0A"/>
  </w:style>
  <w:style w:type="character" w:customStyle="1" w:styleId="access">
    <w:name w:val="access"/>
    <w:basedOn w:val="DefaultParagraphFont"/>
    <w:rsid w:val="00084E0A"/>
  </w:style>
  <w:style w:type="paragraph" w:styleId="PlainText">
    <w:name w:val="Plain Text"/>
    <w:basedOn w:val="Normal"/>
    <w:link w:val="PlainTextChar"/>
    <w:uiPriority w:val="99"/>
    <w:unhideWhenUsed/>
    <w:rsid w:val="00D95F2C"/>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D95F2C"/>
    <w:rPr>
      <w:rFonts w:eastAsiaTheme="minorHAnsi" w:cstheme="minorBidi"/>
      <w:sz w:val="22"/>
      <w:szCs w:val="21"/>
    </w:rPr>
  </w:style>
  <w:style w:type="character" w:customStyle="1" w:styleId="share-txt">
    <w:name w:val="share-txt"/>
    <w:basedOn w:val="DefaultParagraphFont"/>
    <w:rsid w:val="00AA344E"/>
  </w:style>
  <w:style w:type="paragraph" w:customStyle="1" w:styleId="textbody">
    <w:name w:val="text_body"/>
    <w:basedOn w:val="Normal"/>
    <w:rsid w:val="00AA344E"/>
    <w:pPr>
      <w:spacing w:before="100" w:beforeAutospacing="1" w:after="100" w:afterAutospacing="1" w:line="240" w:lineRule="auto"/>
    </w:pPr>
    <w:rPr>
      <w:rFonts w:ascii="Times New Roman" w:eastAsia="Times New Roman" w:hAnsi="Times New Roman"/>
      <w:sz w:val="24"/>
      <w:szCs w:val="24"/>
    </w:rPr>
  </w:style>
  <w:style w:type="paragraph" w:customStyle="1" w:styleId="textendnote">
    <w:name w:val="text_endnote"/>
    <w:basedOn w:val="Normal"/>
    <w:rsid w:val="00AA344E"/>
    <w:pPr>
      <w:spacing w:before="100" w:beforeAutospacing="1"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semiHidden/>
    <w:rsid w:val="00F326E5"/>
    <w:rPr>
      <w:rFonts w:asciiTheme="majorHAnsi" w:eastAsiaTheme="majorEastAsia"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9"/>
    <w:rsid w:val="00F326E5"/>
    <w:rPr>
      <w:rFonts w:asciiTheme="majorHAnsi" w:eastAsiaTheme="majorEastAsia" w:hAnsiTheme="majorHAnsi" w:cstheme="majorBidi"/>
      <w:color w:val="2E74B5" w:themeColor="accent1" w:themeShade="BF"/>
      <w:sz w:val="22"/>
      <w:szCs w:val="22"/>
    </w:rPr>
  </w:style>
  <w:style w:type="character" w:customStyle="1" w:styleId="ilfuvd">
    <w:name w:val="ilfuvd"/>
    <w:basedOn w:val="DefaultParagraphFont"/>
    <w:rsid w:val="00F326E5"/>
  </w:style>
  <w:style w:type="character" w:customStyle="1" w:styleId="mw-headline">
    <w:name w:val="mw-headline"/>
    <w:basedOn w:val="DefaultParagraphFont"/>
    <w:rsid w:val="00F326E5"/>
  </w:style>
  <w:style w:type="character" w:customStyle="1" w:styleId="lrzxr">
    <w:name w:val="lrzxr"/>
    <w:basedOn w:val="DefaultParagraphFont"/>
    <w:rsid w:val="00F326E5"/>
  </w:style>
  <w:style w:type="paragraph" w:customStyle="1" w:styleId="trt0xe">
    <w:name w:val="trt0xe"/>
    <w:basedOn w:val="Normal"/>
    <w:rsid w:val="00F326E5"/>
    <w:pPr>
      <w:spacing w:before="100" w:beforeAutospacing="1" w:after="100" w:afterAutospacing="1" w:line="240" w:lineRule="auto"/>
    </w:pPr>
    <w:rPr>
      <w:rFonts w:ascii="Times New Roman" w:eastAsia="Times New Roman" w:hAnsi="Times New Roman"/>
      <w:sz w:val="24"/>
      <w:szCs w:val="24"/>
    </w:rPr>
  </w:style>
  <w:style w:type="paragraph" w:customStyle="1" w:styleId="copy">
    <w:name w:val="copy"/>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F326E5"/>
  </w:style>
  <w:style w:type="paragraph" w:customStyle="1" w:styleId="subtext">
    <w:name w:val="subtext"/>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customStyle="1" w:styleId="w8qarf">
    <w:name w:val="w8qarf"/>
    <w:basedOn w:val="DefaultParagraphFont"/>
    <w:rsid w:val="00F326E5"/>
  </w:style>
  <w:style w:type="character" w:customStyle="1" w:styleId="Date1">
    <w:name w:val="Date1"/>
    <w:basedOn w:val="DefaultParagraphFont"/>
    <w:rsid w:val="00F326E5"/>
  </w:style>
  <w:style w:type="character" w:customStyle="1" w:styleId="date-display-single">
    <w:name w:val="date-display-single"/>
    <w:basedOn w:val="DefaultParagraphFont"/>
    <w:rsid w:val="00F326E5"/>
  </w:style>
  <w:style w:type="character" w:customStyle="1" w:styleId="partyletter">
    <w:name w:val="partyletter"/>
    <w:basedOn w:val="DefaultParagraphFont"/>
    <w:rsid w:val="00F326E5"/>
  </w:style>
  <w:style w:type="paragraph" w:customStyle="1" w:styleId="p-text">
    <w:name w:val="p-text"/>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styleId="HTMLAcronym">
    <w:name w:val="HTML Acronym"/>
    <w:basedOn w:val="DefaultParagraphFont"/>
    <w:uiPriority w:val="99"/>
    <w:semiHidden/>
    <w:unhideWhenUsed/>
    <w:rsid w:val="00F326E5"/>
  </w:style>
  <w:style w:type="character" w:customStyle="1" w:styleId="l-leftover">
    <w:name w:val="l-leftover"/>
    <w:basedOn w:val="DefaultParagraphFont"/>
    <w:rsid w:val="00F326E5"/>
  </w:style>
  <w:style w:type="character" w:customStyle="1" w:styleId="accent">
    <w:name w:val="accent"/>
    <w:basedOn w:val="DefaultParagraphFont"/>
    <w:rsid w:val="00F326E5"/>
  </w:style>
  <w:style w:type="character" w:customStyle="1" w:styleId="Title1">
    <w:name w:val="Title1"/>
    <w:basedOn w:val="DefaultParagraphFont"/>
    <w:rsid w:val="00F326E5"/>
  </w:style>
  <w:style w:type="character" w:customStyle="1" w:styleId="Subtitle1">
    <w:name w:val="Subtitle1"/>
    <w:basedOn w:val="DefaultParagraphFont"/>
    <w:rsid w:val="00F326E5"/>
  </w:style>
  <w:style w:type="character" w:customStyle="1" w:styleId="nowrap">
    <w:name w:val="nowrap"/>
    <w:basedOn w:val="DefaultParagraphFont"/>
    <w:rsid w:val="00F326E5"/>
  </w:style>
  <w:style w:type="character" w:customStyle="1" w:styleId="heading">
    <w:name w:val="heading"/>
    <w:basedOn w:val="DefaultParagraphFont"/>
    <w:rsid w:val="00F326E5"/>
  </w:style>
  <w:style w:type="character" w:customStyle="1" w:styleId="gltxt">
    <w:name w:val="gltxt"/>
    <w:basedOn w:val="DefaultParagraphFont"/>
    <w:rsid w:val="00F326E5"/>
  </w:style>
  <w:style w:type="paragraph" w:styleId="z-TopofForm">
    <w:name w:val="HTML Top of Form"/>
    <w:basedOn w:val="Normal"/>
    <w:next w:val="Normal"/>
    <w:link w:val="z-TopofFormChar"/>
    <w:hidden/>
    <w:uiPriority w:val="99"/>
    <w:semiHidden/>
    <w:unhideWhenUsed/>
    <w:rsid w:val="00F326E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326E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326E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326E5"/>
    <w:rPr>
      <w:rFonts w:ascii="Arial" w:eastAsia="Times New Roman" w:hAnsi="Arial" w:cs="Arial"/>
      <w:vanish/>
      <w:sz w:val="16"/>
      <w:szCs w:val="16"/>
    </w:rPr>
  </w:style>
  <w:style w:type="paragraph" w:customStyle="1" w:styleId="menu-item">
    <w:name w:val="menu-item"/>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styleId="FootnoteReference">
    <w:name w:val="footnote reference"/>
    <w:basedOn w:val="DefaultParagraphFont"/>
    <w:uiPriority w:val="99"/>
    <w:semiHidden/>
    <w:unhideWhenUsed/>
    <w:rsid w:val="00F326E5"/>
  </w:style>
  <w:style w:type="character" w:customStyle="1" w:styleId="dfm-title">
    <w:name w:val="dfm-title"/>
    <w:rsid w:val="00F326E5"/>
  </w:style>
  <w:style w:type="character" w:customStyle="1" w:styleId="field">
    <w:name w:val="field"/>
    <w:basedOn w:val="DefaultParagraphFont"/>
    <w:rsid w:val="00527EDF"/>
  </w:style>
  <w:style w:type="character" w:customStyle="1" w:styleId="grame">
    <w:name w:val="grame"/>
    <w:basedOn w:val="DefaultParagraphFont"/>
    <w:rsid w:val="002B1283"/>
  </w:style>
  <w:style w:type="character" w:customStyle="1" w:styleId="outlineheading2">
    <w:name w:val="outline_heading_2"/>
    <w:basedOn w:val="DefaultParagraphFont"/>
    <w:rsid w:val="00297434"/>
  </w:style>
  <w:style w:type="character" w:customStyle="1" w:styleId="annotation">
    <w:name w:val="annotation"/>
    <w:basedOn w:val="DefaultParagraphFont"/>
    <w:rsid w:val="00297434"/>
  </w:style>
  <w:style w:type="character" w:customStyle="1" w:styleId="balancedheadline">
    <w:name w:val="balancedheadline"/>
    <w:basedOn w:val="DefaultParagraphFont"/>
    <w:rsid w:val="00A247E4"/>
  </w:style>
  <w:style w:type="character" w:customStyle="1" w:styleId="num">
    <w:name w:val="num"/>
    <w:basedOn w:val="DefaultParagraphFont"/>
    <w:rsid w:val="0066298F"/>
  </w:style>
  <w:style w:type="character" w:customStyle="1" w:styleId="chapeau">
    <w:name w:val="chapeau"/>
    <w:basedOn w:val="DefaultParagraphFont"/>
    <w:rsid w:val="0066298F"/>
  </w:style>
  <w:style w:type="character" w:customStyle="1" w:styleId="citation">
    <w:name w:val="citation"/>
    <w:basedOn w:val="DefaultParagraphFont"/>
    <w:rsid w:val="00A01ACA"/>
  </w:style>
  <w:style w:type="paragraph" w:customStyle="1" w:styleId="gdp">
    <w:name w:val="gd_p"/>
    <w:basedOn w:val="Normal"/>
    <w:uiPriority w:val="99"/>
    <w:semiHidden/>
    <w:rsid w:val="0020758F"/>
    <w:pPr>
      <w:spacing w:before="100" w:beforeAutospacing="1" w:after="100" w:afterAutospacing="1" w:line="240" w:lineRule="auto"/>
    </w:pPr>
    <w:rPr>
      <w:rFonts w:eastAsiaTheme="minorHAnsi" w:cs="Calibri"/>
    </w:rPr>
  </w:style>
  <w:style w:type="character" w:customStyle="1" w:styleId="timestamp">
    <w:name w:val="timestamp"/>
    <w:basedOn w:val="DefaultParagraphFont"/>
    <w:rsid w:val="006B2083"/>
  </w:style>
  <w:style w:type="paragraph" w:customStyle="1" w:styleId="text">
    <w:name w:val="text"/>
    <w:basedOn w:val="Normal"/>
    <w:rsid w:val="00B532F6"/>
    <w:pPr>
      <w:spacing w:before="100" w:beforeAutospacing="1" w:after="100" w:afterAutospacing="1" w:line="240" w:lineRule="auto"/>
    </w:pPr>
    <w:rPr>
      <w:rFonts w:ascii="Times New Roman" w:eastAsia="Times New Roman" w:hAnsi="Times New Roman"/>
      <w:sz w:val="24"/>
      <w:szCs w:val="24"/>
    </w:rPr>
  </w:style>
  <w:style w:type="character" w:customStyle="1" w:styleId="font-weight-bold">
    <w:name w:val="font-weight-bold"/>
    <w:basedOn w:val="DefaultParagraphFont"/>
    <w:rsid w:val="00DD03E3"/>
  </w:style>
  <w:style w:type="paragraph" w:customStyle="1" w:styleId="xxxxmsonormal">
    <w:name w:val="x_x_x_xmsonormal"/>
    <w:basedOn w:val="Normal"/>
    <w:uiPriority w:val="99"/>
    <w:rsid w:val="005E132A"/>
    <w:pPr>
      <w:spacing w:before="100" w:beforeAutospacing="1" w:after="100" w:afterAutospacing="1" w:line="240" w:lineRule="auto"/>
    </w:pPr>
    <w:rPr>
      <w:rFonts w:eastAsiaTheme="minorHAnsi" w:cs="Calibri"/>
    </w:rPr>
  </w:style>
  <w:style w:type="paragraph" w:customStyle="1" w:styleId="xxxxxmsonormal">
    <w:name w:val="x_x_x_xxmsonormal"/>
    <w:basedOn w:val="Normal"/>
    <w:uiPriority w:val="99"/>
    <w:rsid w:val="005E132A"/>
    <w:pPr>
      <w:spacing w:after="0" w:line="240" w:lineRule="auto"/>
    </w:pPr>
    <w:rPr>
      <w:rFonts w:eastAsiaTheme="minorHAnsi" w:cs="Calibri"/>
    </w:rPr>
  </w:style>
  <w:style w:type="paragraph" w:customStyle="1" w:styleId="paragraph">
    <w:name w:val="paragraph"/>
    <w:basedOn w:val="Normal"/>
    <w:rsid w:val="007F3C7D"/>
    <w:pPr>
      <w:spacing w:before="100" w:beforeAutospacing="1" w:after="100" w:afterAutospacing="1" w:line="240" w:lineRule="auto"/>
    </w:pPr>
    <w:rPr>
      <w:rFonts w:ascii="Times New Roman" w:eastAsia="Times New Roman" w:hAnsi="Times New Roman"/>
      <w:sz w:val="24"/>
      <w:szCs w:val="24"/>
    </w:rPr>
  </w:style>
  <w:style w:type="paragraph" w:customStyle="1" w:styleId="statutory-body">
    <w:name w:val="statutory-body"/>
    <w:basedOn w:val="Normal"/>
    <w:rsid w:val="000915C1"/>
    <w:pPr>
      <w:spacing w:before="100" w:beforeAutospacing="1" w:after="100" w:afterAutospacing="1" w:line="240" w:lineRule="auto"/>
    </w:pPr>
    <w:rPr>
      <w:rFonts w:ascii="Times New Roman" w:eastAsia="Times New Roman" w:hAnsi="Times New Roman"/>
      <w:sz w:val="24"/>
      <w:szCs w:val="24"/>
    </w:rPr>
  </w:style>
  <w:style w:type="paragraph" w:customStyle="1" w:styleId="source-credit">
    <w:name w:val="source-credit"/>
    <w:basedOn w:val="Normal"/>
    <w:rsid w:val="000915C1"/>
    <w:pPr>
      <w:spacing w:before="100" w:beforeAutospacing="1" w:after="100" w:afterAutospacing="1" w:line="240" w:lineRule="auto"/>
    </w:pPr>
    <w:rPr>
      <w:rFonts w:ascii="Times New Roman" w:eastAsia="Times New Roman" w:hAnsi="Times New Roman"/>
      <w:sz w:val="24"/>
      <w:szCs w:val="24"/>
    </w:rPr>
  </w:style>
  <w:style w:type="paragraph" w:customStyle="1" w:styleId="gntarbp">
    <w:name w:val="gnt_ar_b_p"/>
    <w:basedOn w:val="Normal"/>
    <w:rsid w:val="0077274E"/>
    <w:pPr>
      <w:spacing w:before="100" w:beforeAutospacing="1" w:after="100" w:afterAutospacing="1" w:line="240" w:lineRule="auto"/>
    </w:pPr>
    <w:rPr>
      <w:rFonts w:ascii="Times New Roman" w:eastAsia="Times New Roman" w:hAnsi="Times New Roman"/>
      <w:sz w:val="24"/>
      <w:szCs w:val="24"/>
    </w:rPr>
  </w:style>
  <w:style w:type="character" w:customStyle="1" w:styleId="codes-separator">
    <w:name w:val="codes-separator"/>
    <w:basedOn w:val="DefaultParagraphFont"/>
    <w:rsid w:val="00F27CD5"/>
  </w:style>
  <w:style w:type="character" w:customStyle="1" w:styleId="markedcontent">
    <w:name w:val="markedcontent"/>
    <w:basedOn w:val="DefaultParagraphFont"/>
    <w:rsid w:val="00A82898"/>
  </w:style>
  <w:style w:type="paragraph" w:customStyle="1" w:styleId="p1">
    <w:name w:val="p1"/>
    <w:basedOn w:val="Normal"/>
    <w:rsid w:val="008A0333"/>
    <w:pPr>
      <w:spacing w:before="100" w:beforeAutospacing="1" w:after="100" w:afterAutospacing="1" w:line="240" w:lineRule="auto"/>
    </w:pPr>
    <w:rPr>
      <w:rFonts w:ascii="Times New Roman" w:eastAsia="Times New Roman" w:hAnsi="Times New Roman"/>
      <w:sz w:val="24"/>
      <w:szCs w:val="24"/>
    </w:rPr>
  </w:style>
  <w:style w:type="character" w:customStyle="1" w:styleId="gold">
    <w:name w:val="gold"/>
    <w:basedOn w:val="DefaultParagraphFont"/>
    <w:rsid w:val="005217D5"/>
  </w:style>
  <w:style w:type="paragraph" w:customStyle="1" w:styleId="articleparagraph">
    <w:name w:val="article__paragraph"/>
    <w:basedOn w:val="Normal"/>
    <w:rsid w:val="00382F02"/>
    <w:pPr>
      <w:spacing w:before="100" w:beforeAutospacing="1" w:after="100" w:afterAutospacing="1" w:line="240" w:lineRule="auto"/>
    </w:pPr>
    <w:rPr>
      <w:rFonts w:ascii="Times New Roman" w:eastAsia="Times New Roman" w:hAnsi="Times New Roman"/>
      <w:sz w:val="24"/>
      <w:szCs w:val="24"/>
    </w:rPr>
  </w:style>
  <w:style w:type="character" w:customStyle="1" w:styleId="screenreader-only">
    <w:name w:val="screenreader-only"/>
    <w:basedOn w:val="DefaultParagraphFont"/>
    <w:rsid w:val="00BD263B"/>
  </w:style>
  <w:style w:type="character" w:customStyle="1" w:styleId="style-scope">
    <w:name w:val="style-scope"/>
    <w:basedOn w:val="DefaultParagraphFont"/>
    <w:rsid w:val="002F610D"/>
  </w:style>
  <w:style w:type="paragraph" w:customStyle="1" w:styleId="docdate">
    <w:name w:val="docdate"/>
    <w:basedOn w:val="Normal"/>
    <w:uiPriority w:val="99"/>
    <w:rsid w:val="00BD1702"/>
    <w:pPr>
      <w:spacing w:before="100" w:beforeAutospacing="1" w:after="100" w:afterAutospacing="1" w:line="240" w:lineRule="auto"/>
    </w:pPr>
    <w:rPr>
      <w:rFonts w:ascii="Times New Roman" w:eastAsia="Times New Roman" w:hAnsi="Times New Roman"/>
      <w:sz w:val="24"/>
      <w:szCs w:val="24"/>
    </w:rPr>
  </w:style>
  <w:style w:type="character" w:customStyle="1" w:styleId="Date2">
    <w:name w:val="Date2"/>
    <w:basedOn w:val="DefaultParagraphFont"/>
    <w:rsid w:val="00C67B2A"/>
  </w:style>
  <w:style w:type="paragraph" w:customStyle="1" w:styleId="dropcap">
    <w:name w:val="dropcap"/>
    <w:basedOn w:val="Normal"/>
    <w:rsid w:val="00774A91"/>
    <w:pPr>
      <w:spacing w:before="100" w:beforeAutospacing="1" w:after="100" w:afterAutospacing="1" w:line="240" w:lineRule="auto"/>
    </w:pPr>
    <w:rPr>
      <w:rFonts w:ascii="Times New Roman" w:eastAsia="Times New Roman" w:hAnsi="Times New Roman"/>
      <w:sz w:val="24"/>
      <w:szCs w:val="24"/>
    </w:rPr>
  </w:style>
  <w:style w:type="character" w:customStyle="1" w:styleId="post-title">
    <w:name w:val="post-title"/>
    <w:basedOn w:val="DefaultParagraphFont"/>
    <w:rsid w:val="00365F63"/>
  </w:style>
  <w:style w:type="character" w:styleId="HTMLCode">
    <w:name w:val="HTML Code"/>
    <w:basedOn w:val="DefaultParagraphFont"/>
    <w:uiPriority w:val="99"/>
    <w:semiHidden/>
    <w:unhideWhenUsed/>
    <w:rsid w:val="00E8117B"/>
    <w:rPr>
      <w:rFonts w:ascii="Courier New" w:eastAsia="Times New Roman" w:hAnsi="Courier New" w:cs="Courier New" w:hint="default"/>
      <w:sz w:val="20"/>
      <w:szCs w:val="20"/>
    </w:rPr>
  </w:style>
  <w:style w:type="character" w:customStyle="1" w:styleId="normaltextrun">
    <w:name w:val="normaltextrun"/>
    <w:basedOn w:val="DefaultParagraphFont"/>
    <w:rsid w:val="006C79BE"/>
  </w:style>
  <w:style w:type="paragraph" w:customStyle="1" w:styleId="ekqk">
    <w:name w:val="ekqk"/>
    <w:basedOn w:val="Normal"/>
    <w:uiPriority w:val="99"/>
    <w:rsid w:val="008A4533"/>
    <w:pPr>
      <w:spacing w:before="100" w:beforeAutospacing="1" w:after="100" w:afterAutospacing="1" w:line="240" w:lineRule="auto"/>
    </w:pPr>
    <w:rPr>
      <w:rFonts w:ascii="Times New Roman" w:eastAsia="Times New Roman" w:hAnsi="Times New Roman"/>
      <w:sz w:val="24"/>
      <w:szCs w:val="24"/>
    </w:rPr>
  </w:style>
  <w:style w:type="character" w:customStyle="1" w:styleId="s1">
    <w:name w:val="s1"/>
    <w:basedOn w:val="DefaultParagraphFont"/>
    <w:rsid w:val="00F55395"/>
  </w:style>
  <w:style w:type="character" w:customStyle="1" w:styleId="field-formatter--string">
    <w:name w:val="field-formatter--string"/>
    <w:basedOn w:val="DefaultParagraphFont"/>
    <w:rsid w:val="007A0E71"/>
  </w:style>
  <w:style w:type="character" w:customStyle="1" w:styleId="hgkelc">
    <w:name w:val="hgkelc"/>
    <w:basedOn w:val="DefaultParagraphFont"/>
    <w:rsid w:val="00237599"/>
  </w:style>
  <w:style w:type="paragraph" w:customStyle="1" w:styleId="css-1n0orw4">
    <w:name w:val="css-1n0orw4"/>
    <w:basedOn w:val="Normal"/>
    <w:rsid w:val="00237599"/>
    <w:pPr>
      <w:spacing w:before="100" w:beforeAutospacing="1" w:after="100" w:afterAutospacing="1" w:line="240" w:lineRule="auto"/>
    </w:pPr>
    <w:rPr>
      <w:rFonts w:ascii="Times New Roman" w:eastAsia="Times New Roman" w:hAnsi="Times New Roman"/>
      <w:sz w:val="24"/>
      <w:szCs w:val="24"/>
    </w:rPr>
  </w:style>
  <w:style w:type="paragraph" w:customStyle="1" w:styleId="css-at9mc1">
    <w:name w:val="css-at9mc1"/>
    <w:basedOn w:val="Normal"/>
    <w:rsid w:val="00FE60DA"/>
    <w:pPr>
      <w:spacing w:before="100" w:beforeAutospacing="1" w:after="100" w:afterAutospacing="1" w:line="240" w:lineRule="auto"/>
    </w:pPr>
    <w:rPr>
      <w:rFonts w:ascii="Times New Roman" w:eastAsia="Times New Roman" w:hAnsi="Times New Roman"/>
      <w:sz w:val="24"/>
      <w:szCs w:val="24"/>
    </w:rPr>
  </w:style>
  <w:style w:type="paragraph" w:customStyle="1" w:styleId="first-paragraph">
    <w:name w:val="first-paragraph"/>
    <w:basedOn w:val="Normal"/>
    <w:rsid w:val="00FE60DA"/>
    <w:pPr>
      <w:spacing w:before="100" w:beforeAutospacing="1" w:after="100" w:afterAutospacing="1" w:line="240" w:lineRule="auto"/>
    </w:pPr>
    <w:rPr>
      <w:rFonts w:ascii="Times New Roman" w:eastAsia="Times New Roman" w:hAnsi="Times New Roman"/>
      <w:sz w:val="24"/>
      <w:szCs w:val="24"/>
    </w:rPr>
  </w:style>
  <w:style w:type="paragraph" w:customStyle="1" w:styleId="defaultstyledtext-tl066j-0">
    <w:name w:val="default__styledtext-tl066j-0"/>
    <w:basedOn w:val="Normal"/>
    <w:rsid w:val="00A65FD8"/>
    <w:pPr>
      <w:spacing w:before="100" w:beforeAutospacing="1" w:after="100" w:afterAutospacing="1" w:line="240" w:lineRule="auto"/>
    </w:pPr>
    <w:rPr>
      <w:rFonts w:ascii="Times New Roman" w:eastAsia="Times New Roman" w:hAnsi="Times New Roman"/>
      <w:sz w:val="24"/>
      <w:szCs w:val="24"/>
    </w:rPr>
  </w:style>
  <w:style w:type="paragraph" w:customStyle="1" w:styleId="p0">
    <w:name w:val="p0"/>
    <w:basedOn w:val="Normal"/>
    <w:next w:val="Normal"/>
    <w:qFormat/>
    <w:rsid w:val="00C22EBB"/>
    <w:pPr>
      <w:spacing w:after="120" w:line="240" w:lineRule="auto"/>
      <w:ind w:firstLine="432"/>
      <w:jc w:val="both"/>
    </w:pPr>
    <w:rPr>
      <w:rFonts w:ascii="Arial" w:eastAsia="Arial" w:hAnsi="Arial" w:cs="Arial"/>
      <w:sz w:val="20"/>
    </w:rPr>
  </w:style>
  <w:style w:type="paragraph" w:customStyle="1" w:styleId="byline">
    <w:name w:val="byline"/>
    <w:basedOn w:val="Normal"/>
    <w:rsid w:val="00267A43"/>
    <w:pPr>
      <w:spacing w:before="100" w:beforeAutospacing="1" w:after="100" w:afterAutospacing="1" w:line="240" w:lineRule="auto"/>
    </w:pPr>
    <w:rPr>
      <w:rFonts w:ascii="Times New Roman" w:eastAsia="Times New Roman" w:hAnsi="Times New Roman"/>
      <w:sz w:val="24"/>
      <w:szCs w:val="24"/>
    </w:rPr>
  </w:style>
  <w:style w:type="paragraph" w:customStyle="1" w:styleId="indent-1">
    <w:name w:val="indent-1"/>
    <w:basedOn w:val="Normal"/>
    <w:rsid w:val="009371E7"/>
    <w:pPr>
      <w:spacing w:before="100" w:beforeAutospacing="1" w:after="100" w:afterAutospacing="1" w:line="240" w:lineRule="auto"/>
    </w:pPr>
    <w:rPr>
      <w:rFonts w:ascii="Times New Roman" w:eastAsia="Times New Roman" w:hAnsi="Times New Roman"/>
      <w:sz w:val="24"/>
      <w:szCs w:val="24"/>
    </w:rPr>
  </w:style>
  <w:style w:type="character" w:customStyle="1" w:styleId="paragraph-hierarchy">
    <w:name w:val="paragraph-hierarchy"/>
    <w:basedOn w:val="DefaultParagraphFont"/>
    <w:rsid w:val="009371E7"/>
  </w:style>
  <w:style w:type="character" w:customStyle="1" w:styleId="paren">
    <w:name w:val="paren"/>
    <w:basedOn w:val="DefaultParagraphFont"/>
    <w:rsid w:val="009371E7"/>
  </w:style>
  <w:style w:type="character" w:customStyle="1" w:styleId="title-main">
    <w:name w:val="title-main"/>
    <w:basedOn w:val="DefaultParagraphFont"/>
    <w:rsid w:val="001C2F88"/>
  </w:style>
  <w:style w:type="character" w:customStyle="1" w:styleId="Heading7Char">
    <w:name w:val="Heading 7 Char"/>
    <w:basedOn w:val="DefaultParagraphFont"/>
    <w:link w:val="Heading7"/>
    <w:uiPriority w:val="9"/>
    <w:semiHidden/>
    <w:rsid w:val="004F15A5"/>
    <w:rPr>
      <w:rFonts w:asciiTheme="majorHAnsi" w:eastAsiaTheme="majorEastAsia" w:hAnsiTheme="majorHAnsi" w:cstheme="majorBidi"/>
      <w:i/>
      <w:iCs/>
      <w:color w:val="1F4D78"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852">
      <w:bodyDiv w:val="1"/>
      <w:marLeft w:val="0"/>
      <w:marRight w:val="0"/>
      <w:marTop w:val="0"/>
      <w:marBottom w:val="0"/>
      <w:divBdr>
        <w:top w:val="none" w:sz="0" w:space="0" w:color="auto"/>
        <w:left w:val="none" w:sz="0" w:space="0" w:color="auto"/>
        <w:bottom w:val="none" w:sz="0" w:space="0" w:color="auto"/>
        <w:right w:val="none" w:sz="0" w:space="0" w:color="auto"/>
      </w:divBdr>
      <w:divsChild>
        <w:div w:id="599264552">
          <w:marLeft w:val="0"/>
          <w:marRight w:val="0"/>
          <w:marTop w:val="0"/>
          <w:marBottom w:val="0"/>
          <w:divBdr>
            <w:top w:val="none" w:sz="0" w:space="0" w:color="auto"/>
            <w:left w:val="none" w:sz="0" w:space="0" w:color="auto"/>
            <w:bottom w:val="none" w:sz="0" w:space="0" w:color="auto"/>
            <w:right w:val="none" w:sz="0" w:space="0" w:color="auto"/>
          </w:divBdr>
        </w:div>
        <w:div w:id="876237426">
          <w:marLeft w:val="0"/>
          <w:marRight w:val="0"/>
          <w:marTop w:val="0"/>
          <w:marBottom w:val="0"/>
          <w:divBdr>
            <w:top w:val="none" w:sz="0" w:space="0" w:color="auto"/>
            <w:left w:val="none" w:sz="0" w:space="0" w:color="auto"/>
            <w:bottom w:val="none" w:sz="0" w:space="0" w:color="auto"/>
            <w:right w:val="none" w:sz="0" w:space="0" w:color="auto"/>
          </w:divBdr>
        </w:div>
        <w:div w:id="5716198">
          <w:marLeft w:val="0"/>
          <w:marRight w:val="0"/>
          <w:marTop w:val="0"/>
          <w:marBottom w:val="0"/>
          <w:divBdr>
            <w:top w:val="none" w:sz="0" w:space="0" w:color="auto"/>
            <w:left w:val="none" w:sz="0" w:space="0" w:color="auto"/>
            <w:bottom w:val="none" w:sz="0" w:space="0" w:color="auto"/>
            <w:right w:val="none" w:sz="0" w:space="0" w:color="auto"/>
          </w:divBdr>
        </w:div>
        <w:div w:id="1743596477">
          <w:marLeft w:val="0"/>
          <w:marRight w:val="0"/>
          <w:marTop w:val="0"/>
          <w:marBottom w:val="0"/>
          <w:divBdr>
            <w:top w:val="none" w:sz="0" w:space="0" w:color="auto"/>
            <w:left w:val="none" w:sz="0" w:space="0" w:color="auto"/>
            <w:bottom w:val="none" w:sz="0" w:space="0" w:color="auto"/>
            <w:right w:val="none" w:sz="0" w:space="0" w:color="auto"/>
          </w:divBdr>
        </w:div>
        <w:div w:id="255482026">
          <w:marLeft w:val="0"/>
          <w:marRight w:val="0"/>
          <w:marTop w:val="0"/>
          <w:marBottom w:val="0"/>
          <w:divBdr>
            <w:top w:val="none" w:sz="0" w:space="0" w:color="auto"/>
            <w:left w:val="none" w:sz="0" w:space="0" w:color="auto"/>
            <w:bottom w:val="none" w:sz="0" w:space="0" w:color="auto"/>
            <w:right w:val="none" w:sz="0" w:space="0" w:color="auto"/>
          </w:divBdr>
        </w:div>
        <w:div w:id="567308065">
          <w:marLeft w:val="0"/>
          <w:marRight w:val="0"/>
          <w:marTop w:val="0"/>
          <w:marBottom w:val="0"/>
          <w:divBdr>
            <w:top w:val="none" w:sz="0" w:space="0" w:color="auto"/>
            <w:left w:val="none" w:sz="0" w:space="0" w:color="auto"/>
            <w:bottom w:val="none" w:sz="0" w:space="0" w:color="auto"/>
            <w:right w:val="none" w:sz="0" w:space="0" w:color="auto"/>
          </w:divBdr>
        </w:div>
        <w:div w:id="1838567849">
          <w:marLeft w:val="0"/>
          <w:marRight w:val="0"/>
          <w:marTop w:val="0"/>
          <w:marBottom w:val="0"/>
          <w:divBdr>
            <w:top w:val="none" w:sz="0" w:space="0" w:color="auto"/>
            <w:left w:val="none" w:sz="0" w:space="0" w:color="auto"/>
            <w:bottom w:val="none" w:sz="0" w:space="0" w:color="auto"/>
            <w:right w:val="none" w:sz="0" w:space="0" w:color="auto"/>
          </w:divBdr>
        </w:div>
        <w:div w:id="1795903128">
          <w:marLeft w:val="0"/>
          <w:marRight w:val="0"/>
          <w:marTop w:val="0"/>
          <w:marBottom w:val="0"/>
          <w:divBdr>
            <w:top w:val="none" w:sz="0" w:space="0" w:color="auto"/>
            <w:left w:val="none" w:sz="0" w:space="0" w:color="auto"/>
            <w:bottom w:val="none" w:sz="0" w:space="0" w:color="auto"/>
            <w:right w:val="none" w:sz="0" w:space="0" w:color="auto"/>
          </w:divBdr>
        </w:div>
        <w:div w:id="1020854742">
          <w:marLeft w:val="0"/>
          <w:marRight w:val="0"/>
          <w:marTop w:val="0"/>
          <w:marBottom w:val="0"/>
          <w:divBdr>
            <w:top w:val="none" w:sz="0" w:space="0" w:color="auto"/>
            <w:left w:val="none" w:sz="0" w:space="0" w:color="auto"/>
            <w:bottom w:val="none" w:sz="0" w:space="0" w:color="auto"/>
            <w:right w:val="none" w:sz="0" w:space="0" w:color="auto"/>
          </w:divBdr>
        </w:div>
      </w:divsChild>
    </w:div>
    <w:div w:id="20981496">
      <w:bodyDiv w:val="1"/>
      <w:marLeft w:val="0"/>
      <w:marRight w:val="0"/>
      <w:marTop w:val="0"/>
      <w:marBottom w:val="0"/>
      <w:divBdr>
        <w:top w:val="none" w:sz="0" w:space="0" w:color="auto"/>
        <w:left w:val="none" w:sz="0" w:space="0" w:color="auto"/>
        <w:bottom w:val="none" w:sz="0" w:space="0" w:color="auto"/>
        <w:right w:val="none" w:sz="0" w:space="0" w:color="auto"/>
      </w:divBdr>
      <w:divsChild>
        <w:div w:id="226234525">
          <w:marLeft w:val="0"/>
          <w:marRight w:val="0"/>
          <w:marTop w:val="0"/>
          <w:marBottom w:val="0"/>
          <w:divBdr>
            <w:top w:val="none" w:sz="0" w:space="0" w:color="auto"/>
            <w:left w:val="none" w:sz="0" w:space="0" w:color="auto"/>
            <w:bottom w:val="none" w:sz="0" w:space="0" w:color="auto"/>
            <w:right w:val="none" w:sz="0" w:space="0" w:color="auto"/>
          </w:divBdr>
        </w:div>
        <w:div w:id="1705905997">
          <w:marLeft w:val="0"/>
          <w:marRight w:val="0"/>
          <w:marTop w:val="0"/>
          <w:marBottom w:val="0"/>
          <w:divBdr>
            <w:top w:val="none" w:sz="0" w:space="0" w:color="auto"/>
            <w:left w:val="none" w:sz="0" w:space="0" w:color="auto"/>
            <w:bottom w:val="none" w:sz="0" w:space="0" w:color="auto"/>
            <w:right w:val="none" w:sz="0" w:space="0" w:color="auto"/>
          </w:divBdr>
        </w:div>
        <w:div w:id="459425429">
          <w:marLeft w:val="0"/>
          <w:marRight w:val="0"/>
          <w:marTop w:val="0"/>
          <w:marBottom w:val="0"/>
          <w:divBdr>
            <w:top w:val="none" w:sz="0" w:space="0" w:color="auto"/>
            <w:left w:val="none" w:sz="0" w:space="0" w:color="auto"/>
            <w:bottom w:val="none" w:sz="0" w:space="0" w:color="auto"/>
            <w:right w:val="none" w:sz="0" w:space="0" w:color="auto"/>
          </w:divBdr>
        </w:div>
        <w:div w:id="1473446644">
          <w:marLeft w:val="0"/>
          <w:marRight w:val="0"/>
          <w:marTop w:val="0"/>
          <w:marBottom w:val="0"/>
          <w:divBdr>
            <w:top w:val="none" w:sz="0" w:space="0" w:color="auto"/>
            <w:left w:val="none" w:sz="0" w:space="0" w:color="auto"/>
            <w:bottom w:val="none" w:sz="0" w:space="0" w:color="auto"/>
            <w:right w:val="none" w:sz="0" w:space="0" w:color="auto"/>
          </w:divBdr>
        </w:div>
        <w:div w:id="1221281512">
          <w:marLeft w:val="0"/>
          <w:marRight w:val="0"/>
          <w:marTop w:val="0"/>
          <w:marBottom w:val="0"/>
          <w:divBdr>
            <w:top w:val="none" w:sz="0" w:space="0" w:color="auto"/>
            <w:left w:val="none" w:sz="0" w:space="0" w:color="auto"/>
            <w:bottom w:val="none" w:sz="0" w:space="0" w:color="auto"/>
            <w:right w:val="none" w:sz="0" w:space="0" w:color="auto"/>
          </w:divBdr>
        </w:div>
        <w:div w:id="1018429785">
          <w:marLeft w:val="0"/>
          <w:marRight w:val="0"/>
          <w:marTop w:val="0"/>
          <w:marBottom w:val="0"/>
          <w:divBdr>
            <w:top w:val="none" w:sz="0" w:space="0" w:color="auto"/>
            <w:left w:val="none" w:sz="0" w:space="0" w:color="auto"/>
            <w:bottom w:val="none" w:sz="0" w:space="0" w:color="auto"/>
            <w:right w:val="none" w:sz="0" w:space="0" w:color="auto"/>
          </w:divBdr>
        </w:div>
        <w:div w:id="796610630">
          <w:marLeft w:val="0"/>
          <w:marRight w:val="0"/>
          <w:marTop w:val="0"/>
          <w:marBottom w:val="0"/>
          <w:divBdr>
            <w:top w:val="none" w:sz="0" w:space="0" w:color="auto"/>
            <w:left w:val="none" w:sz="0" w:space="0" w:color="auto"/>
            <w:bottom w:val="none" w:sz="0" w:space="0" w:color="auto"/>
            <w:right w:val="none" w:sz="0" w:space="0" w:color="auto"/>
          </w:divBdr>
        </w:div>
        <w:div w:id="610285005">
          <w:marLeft w:val="0"/>
          <w:marRight w:val="0"/>
          <w:marTop w:val="0"/>
          <w:marBottom w:val="0"/>
          <w:divBdr>
            <w:top w:val="none" w:sz="0" w:space="0" w:color="auto"/>
            <w:left w:val="none" w:sz="0" w:space="0" w:color="auto"/>
            <w:bottom w:val="none" w:sz="0" w:space="0" w:color="auto"/>
            <w:right w:val="none" w:sz="0" w:space="0" w:color="auto"/>
          </w:divBdr>
        </w:div>
        <w:div w:id="558322622">
          <w:marLeft w:val="0"/>
          <w:marRight w:val="0"/>
          <w:marTop w:val="0"/>
          <w:marBottom w:val="0"/>
          <w:divBdr>
            <w:top w:val="none" w:sz="0" w:space="0" w:color="auto"/>
            <w:left w:val="none" w:sz="0" w:space="0" w:color="auto"/>
            <w:bottom w:val="none" w:sz="0" w:space="0" w:color="auto"/>
            <w:right w:val="none" w:sz="0" w:space="0" w:color="auto"/>
          </w:divBdr>
        </w:div>
        <w:div w:id="1256788806">
          <w:marLeft w:val="0"/>
          <w:marRight w:val="0"/>
          <w:marTop w:val="0"/>
          <w:marBottom w:val="0"/>
          <w:divBdr>
            <w:top w:val="none" w:sz="0" w:space="0" w:color="auto"/>
            <w:left w:val="none" w:sz="0" w:space="0" w:color="auto"/>
            <w:bottom w:val="none" w:sz="0" w:space="0" w:color="auto"/>
            <w:right w:val="none" w:sz="0" w:space="0" w:color="auto"/>
          </w:divBdr>
        </w:div>
        <w:div w:id="1795900576">
          <w:marLeft w:val="0"/>
          <w:marRight w:val="0"/>
          <w:marTop w:val="0"/>
          <w:marBottom w:val="0"/>
          <w:divBdr>
            <w:top w:val="none" w:sz="0" w:space="0" w:color="auto"/>
            <w:left w:val="none" w:sz="0" w:space="0" w:color="auto"/>
            <w:bottom w:val="none" w:sz="0" w:space="0" w:color="auto"/>
            <w:right w:val="none" w:sz="0" w:space="0" w:color="auto"/>
          </w:divBdr>
        </w:div>
        <w:div w:id="1307861056">
          <w:marLeft w:val="0"/>
          <w:marRight w:val="0"/>
          <w:marTop w:val="0"/>
          <w:marBottom w:val="0"/>
          <w:divBdr>
            <w:top w:val="none" w:sz="0" w:space="0" w:color="auto"/>
            <w:left w:val="none" w:sz="0" w:space="0" w:color="auto"/>
            <w:bottom w:val="none" w:sz="0" w:space="0" w:color="auto"/>
            <w:right w:val="none" w:sz="0" w:space="0" w:color="auto"/>
          </w:divBdr>
        </w:div>
        <w:div w:id="655183363">
          <w:marLeft w:val="0"/>
          <w:marRight w:val="0"/>
          <w:marTop w:val="0"/>
          <w:marBottom w:val="0"/>
          <w:divBdr>
            <w:top w:val="none" w:sz="0" w:space="0" w:color="auto"/>
            <w:left w:val="none" w:sz="0" w:space="0" w:color="auto"/>
            <w:bottom w:val="none" w:sz="0" w:space="0" w:color="auto"/>
            <w:right w:val="none" w:sz="0" w:space="0" w:color="auto"/>
          </w:divBdr>
        </w:div>
        <w:div w:id="1950431030">
          <w:marLeft w:val="0"/>
          <w:marRight w:val="0"/>
          <w:marTop w:val="0"/>
          <w:marBottom w:val="0"/>
          <w:divBdr>
            <w:top w:val="none" w:sz="0" w:space="0" w:color="auto"/>
            <w:left w:val="none" w:sz="0" w:space="0" w:color="auto"/>
            <w:bottom w:val="none" w:sz="0" w:space="0" w:color="auto"/>
            <w:right w:val="none" w:sz="0" w:space="0" w:color="auto"/>
          </w:divBdr>
        </w:div>
        <w:div w:id="925841371">
          <w:marLeft w:val="0"/>
          <w:marRight w:val="0"/>
          <w:marTop w:val="0"/>
          <w:marBottom w:val="0"/>
          <w:divBdr>
            <w:top w:val="none" w:sz="0" w:space="0" w:color="auto"/>
            <w:left w:val="none" w:sz="0" w:space="0" w:color="auto"/>
            <w:bottom w:val="none" w:sz="0" w:space="0" w:color="auto"/>
            <w:right w:val="none" w:sz="0" w:space="0" w:color="auto"/>
          </w:divBdr>
        </w:div>
        <w:div w:id="1458716745">
          <w:marLeft w:val="0"/>
          <w:marRight w:val="0"/>
          <w:marTop w:val="0"/>
          <w:marBottom w:val="0"/>
          <w:divBdr>
            <w:top w:val="none" w:sz="0" w:space="0" w:color="auto"/>
            <w:left w:val="none" w:sz="0" w:space="0" w:color="auto"/>
            <w:bottom w:val="none" w:sz="0" w:space="0" w:color="auto"/>
            <w:right w:val="none" w:sz="0" w:space="0" w:color="auto"/>
          </w:divBdr>
        </w:div>
        <w:div w:id="1505782658">
          <w:marLeft w:val="0"/>
          <w:marRight w:val="0"/>
          <w:marTop w:val="0"/>
          <w:marBottom w:val="0"/>
          <w:divBdr>
            <w:top w:val="none" w:sz="0" w:space="0" w:color="auto"/>
            <w:left w:val="none" w:sz="0" w:space="0" w:color="auto"/>
            <w:bottom w:val="none" w:sz="0" w:space="0" w:color="auto"/>
            <w:right w:val="none" w:sz="0" w:space="0" w:color="auto"/>
          </w:divBdr>
        </w:div>
        <w:div w:id="356472511">
          <w:marLeft w:val="0"/>
          <w:marRight w:val="0"/>
          <w:marTop w:val="0"/>
          <w:marBottom w:val="0"/>
          <w:divBdr>
            <w:top w:val="none" w:sz="0" w:space="0" w:color="auto"/>
            <w:left w:val="none" w:sz="0" w:space="0" w:color="auto"/>
            <w:bottom w:val="none" w:sz="0" w:space="0" w:color="auto"/>
            <w:right w:val="none" w:sz="0" w:space="0" w:color="auto"/>
          </w:divBdr>
        </w:div>
        <w:div w:id="1979650504">
          <w:marLeft w:val="0"/>
          <w:marRight w:val="0"/>
          <w:marTop w:val="0"/>
          <w:marBottom w:val="0"/>
          <w:divBdr>
            <w:top w:val="none" w:sz="0" w:space="0" w:color="auto"/>
            <w:left w:val="none" w:sz="0" w:space="0" w:color="auto"/>
            <w:bottom w:val="none" w:sz="0" w:space="0" w:color="auto"/>
            <w:right w:val="none" w:sz="0" w:space="0" w:color="auto"/>
          </w:divBdr>
        </w:div>
        <w:div w:id="697118668">
          <w:marLeft w:val="0"/>
          <w:marRight w:val="0"/>
          <w:marTop w:val="0"/>
          <w:marBottom w:val="0"/>
          <w:divBdr>
            <w:top w:val="none" w:sz="0" w:space="0" w:color="auto"/>
            <w:left w:val="none" w:sz="0" w:space="0" w:color="auto"/>
            <w:bottom w:val="none" w:sz="0" w:space="0" w:color="auto"/>
            <w:right w:val="none" w:sz="0" w:space="0" w:color="auto"/>
          </w:divBdr>
        </w:div>
        <w:div w:id="1179124146">
          <w:marLeft w:val="0"/>
          <w:marRight w:val="0"/>
          <w:marTop w:val="0"/>
          <w:marBottom w:val="0"/>
          <w:divBdr>
            <w:top w:val="none" w:sz="0" w:space="0" w:color="auto"/>
            <w:left w:val="none" w:sz="0" w:space="0" w:color="auto"/>
            <w:bottom w:val="none" w:sz="0" w:space="0" w:color="auto"/>
            <w:right w:val="none" w:sz="0" w:space="0" w:color="auto"/>
          </w:divBdr>
        </w:div>
        <w:div w:id="60375666">
          <w:marLeft w:val="0"/>
          <w:marRight w:val="0"/>
          <w:marTop w:val="0"/>
          <w:marBottom w:val="0"/>
          <w:divBdr>
            <w:top w:val="none" w:sz="0" w:space="0" w:color="auto"/>
            <w:left w:val="none" w:sz="0" w:space="0" w:color="auto"/>
            <w:bottom w:val="none" w:sz="0" w:space="0" w:color="auto"/>
            <w:right w:val="none" w:sz="0" w:space="0" w:color="auto"/>
          </w:divBdr>
        </w:div>
        <w:div w:id="734863476">
          <w:marLeft w:val="0"/>
          <w:marRight w:val="0"/>
          <w:marTop w:val="0"/>
          <w:marBottom w:val="0"/>
          <w:divBdr>
            <w:top w:val="none" w:sz="0" w:space="0" w:color="auto"/>
            <w:left w:val="none" w:sz="0" w:space="0" w:color="auto"/>
            <w:bottom w:val="none" w:sz="0" w:space="0" w:color="auto"/>
            <w:right w:val="none" w:sz="0" w:space="0" w:color="auto"/>
          </w:divBdr>
        </w:div>
      </w:divsChild>
    </w:div>
    <w:div w:id="33625055">
      <w:bodyDiv w:val="1"/>
      <w:marLeft w:val="0"/>
      <w:marRight w:val="0"/>
      <w:marTop w:val="0"/>
      <w:marBottom w:val="0"/>
      <w:divBdr>
        <w:top w:val="none" w:sz="0" w:space="0" w:color="auto"/>
        <w:left w:val="none" w:sz="0" w:space="0" w:color="auto"/>
        <w:bottom w:val="none" w:sz="0" w:space="0" w:color="auto"/>
        <w:right w:val="none" w:sz="0" w:space="0" w:color="auto"/>
      </w:divBdr>
    </w:div>
    <w:div w:id="36241436">
      <w:bodyDiv w:val="1"/>
      <w:marLeft w:val="0"/>
      <w:marRight w:val="0"/>
      <w:marTop w:val="0"/>
      <w:marBottom w:val="0"/>
      <w:divBdr>
        <w:top w:val="none" w:sz="0" w:space="0" w:color="auto"/>
        <w:left w:val="none" w:sz="0" w:space="0" w:color="auto"/>
        <w:bottom w:val="none" w:sz="0" w:space="0" w:color="auto"/>
        <w:right w:val="none" w:sz="0" w:space="0" w:color="auto"/>
      </w:divBdr>
      <w:divsChild>
        <w:div w:id="1684671190">
          <w:marLeft w:val="0"/>
          <w:marRight w:val="0"/>
          <w:marTop w:val="0"/>
          <w:marBottom w:val="0"/>
          <w:divBdr>
            <w:top w:val="none" w:sz="0" w:space="0" w:color="auto"/>
            <w:left w:val="none" w:sz="0" w:space="0" w:color="auto"/>
            <w:bottom w:val="none" w:sz="0" w:space="0" w:color="auto"/>
            <w:right w:val="none" w:sz="0" w:space="0" w:color="auto"/>
          </w:divBdr>
        </w:div>
        <w:div w:id="735015124">
          <w:marLeft w:val="0"/>
          <w:marRight w:val="0"/>
          <w:marTop w:val="0"/>
          <w:marBottom w:val="0"/>
          <w:divBdr>
            <w:top w:val="none" w:sz="0" w:space="0" w:color="auto"/>
            <w:left w:val="none" w:sz="0" w:space="0" w:color="auto"/>
            <w:bottom w:val="none" w:sz="0" w:space="0" w:color="auto"/>
            <w:right w:val="none" w:sz="0" w:space="0" w:color="auto"/>
          </w:divBdr>
        </w:div>
        <w:div w:id="202866640">
          <w:marLeft w:val="0"/>
          <w:marRight w:val="0"/>
          <w:marTop w:val="0"/>
          <w:marBottom w:val="0"/>
          <w:divBdr>
            <w:top w:val="none" w:sz="0" w:space="0" w:color="auto"/>
            <w:left w:val="none" w:sz="0" w:space="0" w:color="auto"/>
            <w:bottom w:val="none" w:sz="0" w:space="0" w:color="auto"/>
            <w:right w:val="none" w:sz="0" w:space="0" w:color="auto"/>
          </w:divBdr>
        </w:div>
        <w:div w:id="215358153">
          <w:marLeft w:val="0"/>
          <w:marRight w:val="0"/>
          <w:marTop w:val="0"/>
          <w:marBottom w:val="0"/>
          <w:divBdr>
            <w:top w:val="none" w:sz="0" w:space="0" w:color="auto"/>
            <w:left w:val="none" w:sz="0" w:space="0" w:color="auto"/>
            <w:bottom w:val="none" w:sz="0" w:space="0" w:color="auto"/>
            <w:right w:val="none" w:sz="0" w:space="0" w:color="auto"/>
          </w:divBdr>
        </w:div>
        <w:div w:id="661272433">
          <w:marLeft w:val="0"/>
          <w:marRight w:val="0"/>
          <w:marTop w:val="0"/>
          <w:marBottom w:val="0"/>
          <w:divBdr>
            <w:top w:val="none" w:sz="0" w:space="0" w:color="auto"/>
            <w:left w:val="none" w:sz="0" w:space="0" w:color="auto"/>
            <w:bottom w:val="none" w:sz="0" w:space="0" w:color="auto"/>
            <w:right w:val="none" w:sz="0" w:space="0" w:color="auto"/>
          </w:divBdr>
        </w:div>
        <w:div w:id="1882092376">
          <w:marLeft w:val="0"/>
          <w:marRight w:val="0"/>
          <w:marTop w:val="0"/>
          <w:marBottom w:val="0"/>
          <w:divBdr>
            <w:top w:val="none" w:sz="0" w:space="0" w:color="auto"/>
            <w:left w:val="none" w:sz="0" w:space="0" w:color="auto"/>
            <w:bottom w:val="none" w:sz="0" w:space="0" w:color="auto"/>
            <w:right w:val="none" w:sz="0" w:space="0" w:color="auto"/>
          </w:divBdr>
        </w:div>
        <w:div w:id="867447931">
          <w:marLeft w:val="0"/>
          <w:marRight w:val="0"/>
          <w:marTop w:val="0"/>
          <w:marBottom w:val="0"/>
          <w:divBdr>
            <w:top w:val="none" w:sz="0" w:space="0" w:color="auto"/>
            <w:left w:val="none" w:sz="0" w:space="0" w:color="auto"/>
            <w:bottom w:val="none" w:sz="0" w:space="0" w:color="auto"/>
            <w:right w:val="none" w:sz="0" w:space="0" w:color="auto"/>
          </w:divBdr>
        </w:div>
        <w:div w:id="1666591984">
          <w:marLeft w:val="0"/>
          <w:marRight w:val="0"/>
          <w:marTop w:val="0"/>
          <w:marBottom w:val="0"/>
          <w:divBdr>
            <w:top w:val="none" w:sz="0" w:space="0" w:color="auto"/>
            <w:left w:val="none" w:sz="0" w:space="0" w:color="auto"/>
            <w:bottom w:val="none" w:sz="0" w:space="0" w:color="auto"/>
            <w:right w:val="none" w:sz="0" w:space="0" w:color="auto"/>
          </w:divBdr>
        </w:div>
        <w:div w:id="453719494">
          <w:marLeft w:val="0"/>
          <w:marRight w:val="0"/>
          <w:marTop w:val="0"/>
          <w:marBottom w:val="0"/>
          <w:divBdr>
            <w:top w:val="none" w:sz="0" w:space="0" w:color="auto"/>
            <w:left w:val="none" w:sz="0" w:space="0" w:color="auto"/>
            <w:bottom w:val="none" w:sz="0" w:space="0" w:color="auto"/>
            <w:right w:val="none" w:sz="0" w:space="0" w:color="auto"/>
          </w:divBdr>
        </w:div>
        <w:div w:id="1945305130">
          <w:marLeft w:val="0"/>
          <w:marRight w:val="0"/>
          <w:marTop w:val="0"/>
          <w:marBottom w:val="0"/>
          <w:divBdr>
            <w:top w:val="none" w:sz="0" w:space="0" w:color="auto"/>
            <w:left w:val="none" w:sz="0" w:space="0" w:color="auto"/>
            <w:bottom w:val="none" w:sz="0" w:space="0" w:color="auto"/>
            <w:right w:val="none" w:sz="0" w:space="0" w:color="auto"/>
          </w:divBdr>
        </w:div>
        <w:div w:id="1272203554">
          <w:marLeft w:val="0"/>
          <w:marRight w:val="0"/>
          <w:marTop w:val="0"/>
          <w:marBottom w:val="0"/>
          <w:divBdr>
            <w:top w:val="none" w:sz="0" w:space="0" w:color="auto"/>
            <w:left w:val="none" w:sz="0" w:space="0" w:color="auto"/>
            <w:bottom w:val="none" w:sz="0" w:space="0" w:color="auto"/>
            <w:right w:val="none" w:sz="0" w:space="0" w:color="auto"/>
          </w:divBdr>
        </w:div>
        <w:div w:id="941451978">
          <w:marLeft w:val="0"/>
          <w:marRight w:val="0"/>
          <w:marTop w:val="0"/>
          <w:marBottom w:val="0"/>
          <w:divBdr>
            <w:top w:val="none" w:sz="0" w:space="0" w:color="auto"/>
            <w:left w:val="none" w:sz="0" w:space="0" w:color="auto"/>
            <w:bottom w:val="none" w:sz="0" w:space="0" w:color="auto"/>
            <w:right w:val="none" w:sz="0" w:space="0" w:color="auto"/>
          </w:divBdr>
        </w:div>
        <w:div w:id="1929775874">
          <w:marLeft w:val="0"/>
          <w:marRight w:val="0"/>
          <w:marTop w:val="0"/>
          <w:marBottom w:val="0"/>
          <w:divBdr>
            <w:top w:val="none" w:sz="0" w:space="0" w:color="auto"/>
            <w:left w:val="none" w:sz="0" w:space="0" w:color="auto"/>
            <w:bottom w:val="none" w:sz="0" w:space="0" w:color="auto"/>
            <w:right w:val="none" w:sz="0" w:space="0" w:color="auto"/>
          </w:divBdr>
        </w:div>
        <w:div w:id="1438986527">
          <w:marLeft w:val="0"/>
          <w:marRight w:val="0"/>
          <w:marTop w:val="0"/>
          <w:marBottom w:val="0"/>
          <w:divBdr>
            <w:top w:val="none" w:sz="0" w:space="0" w:color="auto"/>
            <w:left w:val="none" w:sz="0" w:space="0" w:color="auto"/>
            <w:bottom w:val="none" w:sz="0" w:space="0" w:color="auto"/>
            <w:right w:val="none" w:sz="0" w:space="0" w:color="auto"/>
          </w:divBdr>
        </w:div>
      </w:divsChild>
    </w:div>
    <w:div w:id="118955063">
      <w:bodyDiv w:val="1"/>
      <w:marLeft w:val="0"/>
      <w:marRight w:val="0"/>
      <w:marTop w:val="0"/>
      <w:marBottom w:val="0"/>
      <w:divBdr>
        <w:top w:val="none" w:sz="0" w:space="0" w:color="auto"/>
        <w:left w:val="none" w:sz="0" w:space="0" w:color="auto"/>
        <w:bottom w:val="none" w:sz="0" w:space="0" w:color="auto"/>
        <w:right w:val="none" w:sz="0" w:space="0" w:color="auto"/>
      </w:divBdr>
      <w:divsChild>
        <w:div w:id="2027361260">
          <w:marLeft w:val="0"/>
          <w:marRight w:val="0"/>
          <w:marTop w:val="0"/>
          <w:marBottom w:val="0"/>
          <w:divBdr>
            <w:top w:val="none" w:sz="0" w:space="0" w:color="auto"/>
            <w:left w:val="none" w:sz="0" w:space="0" w:color="auto"/>
            <w:bottom w:val="none" w:sz="0" w:space="0" w:color="auto"/>
            <w:right w:val="none" w:sz="0" w:space="0" w:color="auto"/>
          </w:divBdr>
        </w:div>
        <w:div w:id="1654136271">
          <w:marLeft w:val="0"/>
          <w:marRight w:val="0"/>
          <w:marTop w:val="0"/>
          <w:marBottom w:val="0"/>
          <w:divBdr>
            <w:top w:val="none" w:sz="0" w:space="0" w:color="auto"/>
            <w:left w:val="none" w:sz="0" w:space="0" w:color="auto"/>
            <w:bottom w:val="none" w:sz="0" w:space="0" w:color="auto"/>
            <w:right w:val="none" w:sz="0" w:space="0" w:color="auto"/>
          </w:divBdr>
        </w:div>
        <w:div w:id="764957715">
          <w:marLeft w:val="0"/>
          <w:marRight w:val="0"/>
          <w:marTop w:val="0"/>
          <w:marBottom w:val="0"/>
          <w:divBdr>
            <w:top w:val="none" w:sz="0" w:space="0" w:color="auto"/>
            <w:left w:val="none" w:sz="0" w:space="0" w:color="auto"/>
            <w:bottom w:val="none" w:sz="0" w:space="0" w:color="auto"/>
            <w:right w:val="none" w:sz="0" w:space="0" w:color="auto"/>
          </w:divBdr>
        </w:div>
        <w:div w:id="1973897699">
          <w:marLeft w:val="0"/>
          <w:marRight w:val="0"/>
          <w:marTop w:val="0"/>
          <w:marBottom w:val="0"/>
          <w:divBdr>
            <w:top w:val="none" w:sz="0" w:space="0" w:color="auto"/>
            <w:left w:val="none" w:sz="0" w:space="0" w:color="auto"/>
            <w:bottom w:val="none" w:sz="0" w:space="0" w:color="auto"/>
            <w:right w:val="none" w:sz="0" w:space="0" w:color="auto"/>
          </w:divBdr>
        </w:div>
        <w:div w:id="588084401">
          <w:marLeft w:val="0"/>
          <w:marRight w:val="0"/>
          <w:marTop w:val="0"/>
          <w:marBottom w:val="0"/>
          <w:divBdr>
            <w:top w:val="none" w:sz="0" w:space="0" w:color="auto"/>
            <w:left w:val="none" w:sz="0" w:space="0" w:color="auto"/>
            <w:bottom w:val="none" w:sz="0" w:space="0" w:color="auto"/>
            <w:right w:val="none" w:sz="0" w:space="0" w:color="auto"/>
          </w:divBdr>
        </w:div>
        <w:div w:id="1617326984">
          <w:marLeft w:val="0"/>
          <w:marRight w:val="0"/>
          <w:marTop w:val="0"/>
          <w:marBottom w:val="0"/>
          <w:divBdr>
            <w:top w:val="none" w:sz="0" w:space="0" w:color="auto"/>
            <w:left w:val="none" w:sz="0" w:space="0" w:color="auto"/>
            <w:bottom w:val="none" w:sz="0" w:space="0" w:color="auto"/>
            <w:right w:val="none" w:sz="0" w:space="0" w:color="auto"/>
          </w:divBdr>
        </w:div>
        <w:div w:id="1413502187">
          <w:marLeft w:val="0"/>
          <w:marRight w:val="0"/>
          <w:marTop w:val="0"/>
          <w:marBottom w:val="0"/>
          <w:divBdr>
            <w:top w:val="none" w:sz="0" w:space="0" w:color="auto"/>
            <w:left w:val="none" w:sz="0" w:space="0" w:color="auto"/>
            <w:bottom w:val="none" w:sz="0" w:space="0" w:color="auto"/>
            <w:right w:val="none" w:sz="0" w:space="0" w:color="auto"/>
          </w:divBdr>
        </w:div>
        <w:div w:id="1486240307">
          <w:marLeft w:val="0"/>
          <w:marRight w:val="0"/>
          <w:marTop w:val="0"/>
          <w:marBottom w:val="0"/>
          <w:divBdr>
            <w:top w:val="none" w:sz="0" w:space="0" w:color="auto"/>
            <w:left w:val="none" w:sz="0" w:space="0" w:color="auto"/>
            <w:bottom w:val="none" w:sz="0" w:space="0" w:color="auto"/>
            <w:right w:val="none" w:sz="0" w:space="0" w:color="auto"/>
          </w:divBdr>
        </w:div>
        <w:div w:id="1386249077">
          <w:marLeft w:val="0"/>
          <w:marRight w:val="0"/>
          <w:marTop w:val="0"/>
          <w:marBottom w:val="0"/>
          <w:divBdr>
            <w:top w:val="none" w:sz="0" w:space="0" w:color="auto"/>
            <w:left w:val="none" w:sz="0" w:space="0" w:color="auto"/>
            <w:bottom w:val="none" w:sz="0" w:space="0" w:color="auto"/>
            <w:right w:val="none" w:sz="0" w:space="0" w:color="auto"/>
          </w:divBdr>
        </w:div>
        <w:div w:id="1480658936">
          <w:marLeft w:val="0"/>
          <w:marRight w:val="0"/>
          <w:marTop w:val="0"/>
          <w:marBottom w:val="0"/>
          <w:divBdr>
            <w:top w:val="none" w:sz="0" w:space="0" w:color="auto"/>
            <w:left w:val="none" w:sz="0" w:space="0" w:color="auto"/>
            <w:bottom w:val="none" w:sz="0" w:space="0" w:color="auto"/>
            <w:right w:val="none" w:sz="0" w:space="0" w:color="auto"/>
          </w:divBdr>
        </w:div>
        <w:div w:id="725180454">
          <w:marLeft w:val="0"/>
          <w:marRight w:val="0"/>
          <w:marTop w:val="0"/>
          <w:marBottom w:val="0"/>
          <w:divBdr>
            <w:top w:val="none" w:sz="0" w:space="0" w:color="auto"/>
            <w:left w:val="none" w:sz="0" w:space="0" w:color="auto"/>
            <w:bottom w:val="none" w:sz="0" w:space="0" w:color="auto"/>
            <w:right w:val="none" w:sz="0" w:space="0" w:color="auto"/>
          </w:divBdr>
        </w:div>
        <w:div w:id="1137407691">
          <w:marLeft w:val="0"/>
          <w:marRight w:val="0"/>
          <w:marTop w:val="0"/>
          <w:marBottom w:val="0"/>
          <w:divBdr>
            <w:top w:val="none" w:sz="0" w:space="0" w:color="auto"/>
            <w:left w:val="none" w:sz="0" w:space="0" w:color="auto"/>
            <w:bottom w:val="none" w:sz="0" w:space="0" w:color="auto"/>
            <w:right w:val="none" w:sz="0" w:space="0" w:color="auto"/>
          </w:divBdr>
        </w:div>
        <w:div w:id="70540309">
          <w:marLeft w:val="0"/>
          <w:marRight w:val="0"/>
          <w:marTop w:val="0"/>
          <w:marBottom w:val="0"/>
          <w:divBdr>
            <w:top w:val="none" w:sz="0" w:space="0" w:color="auto"/>
            <w:left w:val="none" w:sz="0" w:space="0" w:color="auto"/>
            <w:bottom w:val="none" w:sz="0" w:space="0" w:color="auto"/>
            <w:right w:val="none" w:sz="0" w:space="0" w:color="auto"/>
          </w:divBdr>
        </w:div>
        <w:div w:id="1161308632">
          <w:marLeft w:val="0"/>
          <w:marRight w:val="0"/>
          <w:marTop w:val="0"/>
          <w:marBottom w:val="0"/>
          <w:divBdr>
            <w:top w:val="none" w:sz="0" w:space="0" w:color="auto"/>
            <w:left w:val="none" w:sz="0" w:space="0" w:color="auto"/>
            <w:bottom w:val="none" w:sz="0" w:space="0" w:color="auto"/>
            <w:right w:val="none" w:sz="0" w:space="0" w:color="auto"/>
          </w:divBdr>
        </w:div>
        <w:div w:id="1193350071">
          <w:marLeft w:val="0"/>
          <w:marRight w:val="0"/>
          <w:marTop w:val="0"/>
          <w:marBottom w:val="0"/>
          <w:divBdr>
            <w:top w:val="none" w:sz="0" w:space="0" w:color="auto"/>
            <w:left w:val="none" w:sz="0" w:space="0" w:color="auto"/>
            <w:bottom w:val="none" w:sz="0" w:space="0" w:color="auto"/>
            <w:right w:val="none" w:sz="0" w:space="0" w:color="auto"/>
          </w:divBdr>
        </w:div>
        <w:div w:id="1573151577">
          <w:marLeft w:val="0"/>
          <w:marRight w:val="0"/>
          <w:marTop w:val="0"/>
          <w:marBottom w:val="0"/>
          <w:divBdr>
            <w:top w:val="none" w:sz="0" w:space="0" w:color="auto"/>
            <w:left w:val="none" w:sz="0" w:space="0" w:color="auto"/>
            <w:bottom w:val="none" w:sz="0" w:space="0" w:color="auto"/>
            <w:right w:val="none" w:sz="0" w:space="0" w:color="auto"/>
          </w:divBdr>
        </w:div>
        <w:div w:id="1922255578">
          <w:marLeft w:val="0"/>
          <w:marRight w:val="0"/>
          <w:marTop w:val="0"/>
          <w:marBottom w:val="0"/>
          <w:divBdr>
            <w:top w:val="none" w:sz="0" w:space="0" w:color="auto"/>
            <w:left w:val="none" w:sz="0" w:space="0" w:color="auto"/>
            <w:bottom w:val="none" w:sz="0" w:space="0" w:color="auto"/>
            <w:right w:val="none" w:sz="0" w:space="0" w:color="auto"/>
          </w:divBdr>
        </w:div>
        <w:div w:id="1034766312">
          <w:marLeft w:val="0"/>
          <w:marRight w:val="0"/>
          <w:marTop w:val="0"/>
          <w:marBottom w:val="0"/>
          <w:divBdr>
            <w:top w:val="none" w:sz="0" w:space="0" w:color="auto"/>
            <w:left w:val="none" w:sz="0" w:space="0" w:color="auto"/>
            <w:bottom w:val="none" w:sz="0" w:space="0" w:color="auto"/>
            <w:right w:val="none" w:sz="0" w:space="0" w:color="auto"/>
          </w:divBdr>
        </w:div>
        <w:div w:id="882255410">
          <w:marLeft w:val="0"/>
          <w:marRight w:val="0"/>
          <w:marTop w:val="0"/>
          <w:marBottom w:val="0"/>
          <w:divBdr>
            <w:top w:val="none" w:sz="0" w:space="0" w:color="auto"/>
            <w:left w:val="none" w:sz="0" w:space="0" w:color="auto"/>
            <w:bottom w:val="none" w:sz="0" w:space="0" w:color="auto"/>
            <w:right w:val="none" w:sz="0" w:space="0" w:color="auto"/>
          </w:divBdr>
        </w:div>
        <w:div w:id="1806389559">
          <w:marLeft w:val="0"/>
          <w:marRight w:val="0"/>
          <w:marTop w:val="0"/>
          <w:marBottom w:val="0"/>
          <w:divBdr>
            <w:top w:val="none" w:sz="0" w:space="0" w:color="auto"/>
            <w:left w:val="none" w:sz="0" w:space="0" w:color="auto"/>
            <w:bottom w:val="none" w:sz="0" w:space="0" w:color="auto"/>
            <w:right w:val="none" w:sz="0" w:space="0" w:color="auto"/>
          </w:divBdr>
        </w:div>
        <w:div w:id="1497768483">
          <w:marLeft w:val="0"/>
          <w:marRight w:val="0"/>
          <w:marTop w:val="0"/>
          <w:marBottom w:val="0"/>
          <w:divBdr>
            <w:top w:val="none" w:sz="0" w:space="0" w:color="auto"/>
            <w:left w:val="none" w:sz="0" w:space="0" w:color="auto"/>
            <w:bottom w:val="none" w:sz="0" w:space="0" w:color="auto"/>
            <w:right w:val="none" w:sz="0" w:space="0" w:color="auto"/>
          </w:divBdr>
        </w:div>
        <w:div w:id="540829405">
          <w:marLeft w:val="0"/>
          <w:marRight w:val="0"/>
          <w:marTop w:val="0"/>
          <w:marBottom w:val="0"/>
          <w:divBdr>
            <w:top w:val="none" w:sz="0" w:space="0" w:color="auto"/>
            <w:left w:val="none" w:sz="0" w:space="0" w:color="auto"/>
            <w:bottom w:val="none" w:sz="0" w:space="0" w:color="auto"/>
            <w:right w:val="none" w:sz="0" w:space="0" w:color="auto"/>
          </w:divBdr>
        </w:div>
        <w:div w:id="1691755696">
          <w:marLeft w:val="0"/>
          <w:marRight w:val="0"/>
          <w:marTop w:val="0"/>
          <w:marBottom w:val="0"/>
          <w:divBdr>
            <w:top w:val="none" w:sz="0" w:space="0" w:color="auto"/>
            <w:left w:val="none" w:sz="0" w:space="0" w:color="auto"/>
            <w:bottom w:val="none" w:sz="0" w:space="0" w:color="auto"/>
            <w:right w:val="none" w:sz="0" w:space="0" w:color="auto"/>
          </w:divBdr>
        </w:div>
        <w:div w:id="432478374">
          <w:marLeft w:val="0"/>
          <w:marRight w:val="0"/>
          <w:marTop w:val="0"/>
          <w:marBottom w:val="0"/>
          <w:divBdr>
            <w:top w:val="none" w:sz="0" w:space="0" w:color="auto"/>
            <w:left w:val="none" w:sz="0" w:space="0" w:color="auto"/>
            <w:bottom w:val="none" w:sz="0" w:space="0" w:color="auto"/>
            <w:right w:val="none" w:sz="0" w:space="0" w:color="auto"/>
          </w:divBdr>
        </w:div>
        <w:div w:id="964702100">
          <w:marLeft w:val="0"/>
          <w:marRight w:val="0"/>
          <w:marTop w:val="0"/>
          <w:marBottom w:val="0"/>
          <w:divBdr>
            <w:top w:val="none" w:sz="0" w:space="0" w:color="auto"/>
            <w:left w:val="none" w:sz="0" w:space="0" w:color="auto"/>
            <w:bottom w:val="none" w:sz="0" w:space="0" w:color="auto"/>
            <w:right w:val="none" w:sz="0" w:space="0" w:color="auto"/>
          </w:divBdr>
        </w:div>
        <w:div w:id="1486624466">
          <w:marLeft w:val="0"/>
          <w:marRight w:val="0"/>
          <w:marTop w:val="0"/>
          <w:marBottom w:val="0"/>
          <w:divBdr>
            <w:top w:val="none" w:sz="0" w:space="0" w:color="auto"/>
            <w:left w:val="none" w:sz="0" w:space="0" w:color="auto"/>
            <w:bottom w:val="none" w:sz="0" w:space="0" w:color="auto"/>
            <w:right w:val="none" w:sz="0" w:space="0" w:color="auto"/>
          </w:divBdr>
        </w:div>
        <w:div w:id="2004550008">
          <w:marLeft w:val="0"/>
          <w:marRight w:val="0"/>
          <w:marTop w:val="0"/>
          <w:marBottom w:val="0"/>
          <w:divBdr>
            <w:top w:val="none" w:sz="0" w:space="0" w:color="auto"/>
            <w:left w:val="none" w:sz="0" w:space="0" w:color="auto"/>
            <w:bottom w:val="none" w:sz="0" w:space="0" w:color="auto"/>
            <w:right w:val="none" w:sz="0" w:space="0" w:color="auto"/>
          </w:divBdr>
        </w:div>
        <w:div w:id="1920406642">
          <w:marLeft w:val="0"/>
          <w:marRight w:val="0"/>
          <w:marTop w:val="0"/>
          <w:marBottom w:val="0"/>
          <w:divBdr>
            <w:top w:val="none" w:sz="0" w:space="0" w:color="auto"/>
            <w:left w:val="none" w:sz="0" w:space="0" w:color="auto"/>
            <w:bottom w:val="none" w:sz="0" w:space="0" w:color="auto"/>
            <w:right w:val="none" w:sz="0" w:space="0" w:color="auto"/>
          </w:divBdr>
        </w:div>
        <w:div w:id="1790853681">
          <w:marLeft w:val="0"/>
          <w:marRight w:val="0"/>
          <w:marTop w:val="0"/>
          <w:marBottom w:val="0"/>
          <w:divBdr>
            <w:top w:val="none" w:sz="0" w:space="0" w:color="auto"/>
            <w:left w:val="none" w:sz="0" w:space="0" w:color="auto"/>
            <w:bottom w:val="none" w:sz="0" w:space="0" w:color="auto"/>
            <w:right w:val="none" w:sz="0" w:space="0" w:color="auto"/>
          </w:divBdr>
        </w:div>
        <w:div w:id="1588271649">
          <w:marLeft w:val="0"/>
          <w:marRight w:val="0"/>
          <w:marTop w:val="0"/>
          <w:marBottom w:val="0"/>
          <w:divBdr>
            <w:top w:val="none" w:sz="0" w:space="0" w:color="auto"/>
            <w:left w:val="none" w:sz="0" w:space="0" w:color="auto"/>
            <w:bottom w:val="none" w:sz="0" w:space="0" w:color="auto"/>
            <w:right w:val="none" w:sz="0" w:space="0" w:color="auto"/>
          </w:divBdr>
        </w:div>
        <w:div w:id="2060085688">
          <w:marLeft w:val="0"/>
          <w:marRight w:val="0"/>
          <w:marTop w:val="0"/>
          <w:marBottom w:val="0"/>
          <w:divBdr>
            <w:top w:val="none" w:sz="0" w:space="0" w:color="auto"/>
            <w:left w:val="none" w:sz="0" w:space="0" w:color="auto"/>
            <w:bottom w:val="none" w:sz="0" w:space="0" w:color="auto"/>
            <w:right w:val="none" w:sz="0" w:space="0" w:color="auto"/>
          </w:divBdr>
        </w:div>
        <w:div w:id="1717922899">
          <w:marLeft w:val="0"/>
          <w:marRight w:val="0"/>
          <w:marTop w:val="0"/>
          <w:marBottom w:val="0"/>
          <w:divBdr>
            <w:top w:val="none" w:sz="0" w:space="0" w:color="auto"/>
            <w:left w:val="none" w:sz="0" w:space="0" w:color="auto"/>
            <w:bottom w:val="none" w:sz="0" w:space="0" w:color="auto"/>
            <w:right w:val="none" w:sz="0" w:space="0" w:color="auto"/>
          </w:divBdr>
        </w:div>
        <w:div w:id="1180656196">
          <w:marLeft w:val="0"/>
          <w:marRight w:val="0"/>
          <w:marTop w:val="0"/>
          <w:marBottom w:val="0"/>
          <w:divBdr>
            <w:top w:val="none" w:sz="0" w:space="0" w:color="auto"/>
            <w:left w:val="none" w:sz="0" w:space="0" w:color="auto"/>
            <w:bottom w:val="none" w:sz="0" w:space="0" w:color="auto"/>
            <w:right w:val="none" w:sz="0" w:space="0" w:color="auto"/>
          </w:divBdr>
        </w:div>
        <w:div w:id="15808923">
          <w:marLeft w:val="0"/>
          <w:marRight w:val="0"/>
          <w:marTop w:val="0"/>
          <w:marBottom w:val="0"/>
          <w:divBdr>
            <w:top w:val="none" w:sz="0" w:space="0" w:color="auto"/>
            <w:left w:val="none" w:sz="0" w:space="0" w:color="auto"/>
            <w:bottom w:val="none" w:sz="0" w:space="0" w:color="auto"/>
            <w:right w:val="none" w:sz="0" w:space="0" w:color="auto"/>
          </w:divBdr>
        </w:div>
        <w:div w:id="2009290386">
          <w:marLeft w:val="0"/>
          <w:marRight w:val="0"/>
          <w:marTop w:val="0"/>
          <w:marBottom w:val="0"/>
          <w:divBdr>
            <w:top w:val="none" w:sz="0" w:space="0" w:color="auto"/>
            <w:left w:val="none" w:sz="0" w:space="0" w:color="auto"/>
            <w:bottom w:val="none" w:sz="0" w:space="0" w:color="auto"/>
            <w:right w:val="none" w:sz="0" w:space="0" w:color="auto"/>
          </w:divBdr>
        </w:div>
        <w:div w:id="1310093275">
          <w:marLeft w:val="0"/>
          <w:marRight w:val="0"/>
          <w:marTop w:val="0"/>
          <w:marBottom w:val="0"/>
          <w:divBdr>
            <w:top w:val="none" w:sz="0" w:space="0" w:color="auto"/>
            <w:left w:val="none" w:sz="0" w:space="0" w:color="auto"/>
            <w:bottom w:val="none" w:sz="0" w:space="0" w:color="auto"/>
            <w:right w:val="none" w:sz="0" w:space="0" w:color="auto"/>
          </w:divBdr>
        </w:div>
        <w:div w:id="1361052112">
          <w:marLeft w:val="0"/>
          <w:marRight w:val="0"/>
          <w:marTop w:val="0"/>
          <w:marBottom w:val="0"/>
          <w:divBdr>
            <w:top w:val="none" w:sz="0" w:space="0" w:color="auto"/>
            <w:left w:val="none" w:sz="0" w:space="0" w:color="auto"/>
            <w:bottom w:val="none" w:sz="0" w:space="0" w:color="auto"/>
            <w:right w:val="none" w:sz="0" w:space="0" w:color="auto"/>
          </w:divBdr>
        </w:div>
        <w:div w:id="227111888">
          <w:marLeft w:val="0"/>
          <w:marRight w:val="0"/>
          <w:marTop w:val="0"/>
          <w:marBottom w:val="0"/>
          <w:divBdr>
            <w:top w:val="none" w:sz="0" w:space="0" w:color="auto"/>
            <w:left w:val="none" w:sz="0" w:space="0" w:color="auto"/>
            <w:bottom w:val="none" w:sz="0" w:space="0" w:color="auto"/>
            <w:right w:val="none" w:sz="0" w:space="0" w:color="auto"/>
          </w:divBdr>
        </w:div>
        <w:div w:id="378941381">
          <w:marLeft w:val="0"/>
          <w:marRight w:val="0"/>
          <w:marTop w:val="0"/>
          <w:marBottom w:val="0"/>
          <w:divBdr>
            <w:top w:val="none" w:sz="0" w:space="0" w:color="auto"/>
            <w:left w:val="none" w:sz="0" w:space="0" w:color="auto"/>
            <w:bottom w:val="none" w:sz="0" w:space="0" w:color="auto"/>
            <w:right w:val="none" w:sz="0" w:space="0" w:color="auto"/>
          </w:divBdr>
        </w:div>
        <w:div w:id="532617435">
          <w:marLeft w:val="0"/>
          <w:marRight w:val="0"/>
          <w:marTop w:val="0"/>
          <w:marBottom w:val="0"/>
          <w:divBdr>
            <w:top w:val="none" w:sz="0" w:space="0" w:color="auto"/>
            <w:left w:val="none" w:sz="0" w:space="0" w:color="auto"/>
            <w:bottom w:val="none" w:sz="0" w:space="0" w:color="auto"/>
            <w:right w:val="none" w:sz="0" w:space="0" w:color="auto"/>
          </w:divBdr>
        </w:div>
        <w:div w:id="223225579">
          <w:marLeft w:val="0"/>
          <w:marRight w:val="0"/>
          <w:marTop w:val="0"/>
          <w:marBottom w:val="0"/>
          <w:divBdr>
            <w:top w:val="none" w:sz="0" w:space="0" w:color="auto"/>
            <w:left w:val="none" w:sz="0" w:space="0" w:color="auto"/>
            <w:bottom w:val="none" w:sz="0" w:space="0" w:color="auto"/>
            <w:right w:val="none" w:sz="0" w:space="0" w:color="auto"/>
          </w:divBdr>
        </w:div>
        <w:div w:id="526139123">
          <w:marLeft w:val="0"/>
          <w:marRight w:val="0"/>
          <w:marTop w:val="0"/>
          <w:marBottom w:val="0"/>
          <w:divBdr>
            <w:top w:val="none" w:sz="0" w:space="0" w:color="auto"/>
            <w:left w:val="none" w:sz="0" w:space="0" w:color="auto"/>
            <w:bottom w:val="none" w:sz="0" w:space="0" w:color="auto"/>
            <w:right w:val="none" w:sz="0" w:space="0" w:color="auto"/>
          </w:divBdr>
        </w:div>
        <w:div w:id="448941325">
          <w:marLeft w:val="0"/>
          <w:marRight w:val="0"/>
          <w:marTop w:val="0"/>
          <w:marBottom w:val="0"/>
          <w:divBdr>
            <w:top w:val="none" w:sz="0" w:space="0" w:color="auto"/>
            <w:left w:val="none" w:sz="0" w:space="0" w:color="auto"/>
            <w:bottom w:val="none" w:sz="0" w:space="0" w:color="auto"/>
            <w:right w:val="none" w:sz="0" w:space="0" w:color="auto"/>
          </w:divBdr>
        </w:div>
      </w:divsChild>
    </w:div>
    <w:div w:id="133372235">
      <w:bodyDiv w:val="1"/>
      <w:marLeft w:val="0"/>
      <w:marRight w:val="0"/>
      <w:marTop w:val="0"/>
      <w:marBottom w:val="0"/>
      <w:divBdr>
        <w:top w:val="none" w:sz="0" w:space="0" w:color="auto"/>
        <w:left w:val="none" w:sz="0" w:space="0" w:color="auto"/>
        <w:bottom w:val="none" w:sz="0" w:space="0" w:color="auto"/>
        <w:right w:val="none" w:sz="0" w:space="0" w:color="auto"/>
      </w:divBdr>
    </w:div>
    <w:div w:id="161748562">
      <w:bodyDiv w:val="1"/>
      <w:marLeft w:val="0"/>
      <w:marRight w:val="0"/>
      <w:marTop w:val="0"/>
      <w:marBottom w:val="0"/>
      <w:divBdr>
        <w:top w:val="none" w:sz="0" w:space="0" w:color="auto"/>
        <w:left w:val="none" w:sz="0" w:space="0" w:color="auto"/>
        <w:bottom w:val="none" w:sz="0" w:space="0" w:color="auto"/>
        <w:right w:val="none" w:sz="0" w:space="0" w:color="auto"/>
      </w:divBdr>
      <w:divsChild>
        <w:div w:id="1835876148">
          <w:marLeft w:val="0"/>
          <w:marRight w:val="0"/>
          <w:marTop w:val="0"/>
          <w:marBottom w:val="0"/>
          <w:divBdr>
            <w:top w:val="none" w:sz="0" w:space="0" w:color="auto"/>
            <w:left w:val="none" w:sz="0" w:space="0" w:color="auto"/>
            <w:bottom w:val="none" w:sz="0" w:space="0" w:color="auto"/>
            <w:right w:val="none" w:sz="0" w:space="0" w:color="auto"/>
          </w:divBdr>
        </w:div>
        <w:div w:id="1117606117">
          <w:marLeft w:val="0"/>
          <w:marRight w:val="0"/>
          <w:marTop w:val="0"/>
          <w:marBottom w:val="0"/>
          <w:divBdr>
            <w:top w:val="none" w:sz="0" w:space="0" w:color="auto"/>
            <w:left w:val="none" w:sz="0" w:space="0" w:color="auto"/>
            <w:bottom w:val="none" w:sz="0" w:space="0" w:color="auto"/>
            <w:right w:val="none" w:sz="0" w:space="0" w:color="auto"/>
          </w:divBdr>
        </w:div>
      </w:divsChild>
    </w:div>
    <w:div w:id="170724313">
      <w:bodyDiv w:val="1"/>
      <w:marLeft w:val="0"/>
      <w:marRight w:val="0"/>
      <w:marTop w:val="0"/>
      <w:marBottom w:val="0"/>
      <w:divBdr>
        <w:top w:val="none" w:sz="0" w:space="0" w:color="auto"/>
        <w:left w:val="none" w:sz="0" w:space="0" w:color="auto"/>
        <w:bottom w:val="none" w:sz="0" w:space="0" w:color="auto"/>
        <w:right w:val="none" w:sz="0" w:space="0" w:color="auto"/>
      </w:divBdr>
      <w:divsChild>
        <w:div w:id="1054811596">
          <w:marLeft w:val="0"/>
          <w:marRight w:val="0"/>
          <w:marTop w:val="0"/>
          <w:marBottom w:val="0"/>
          <w:divBdr>
            <w:top w:val="none" w:sz="0" w:space="0" w:color="auto"/>
            <w:left w:val="none" w:sz="0" w:space="0" w:color="auto"/>
            <w:bottom w:val="none" w:sz="0" w:space="0" w:color="auto"/>
            <w:right w:val="none" w:sz="0" w:space="0" w:color="auto"/>
          </w:divBdr>
        </w:div>
        <w:div w:id="287201506">
          <w:marLeft w:val="0"/>
          <w:marRight w:val="0"/>
          <w:marTop w:val="0"/>
          <w:marBottom w:val="0"/>
          <w:divBdr>
            <w:top w:val="none" w:sz="0" w:space="0" w:color="auto"/>
            <w:left w:val="none" w:sz="0" w:space="0" w:color="auto"/>
            <w:bottom w:val="none" w:sz="0" w:space="0" w:color="auto"/>
            <w:right w:val="none" w:sz="0" w:space="0" w:color="auto"/>
          </w:divBdr>
        </w:div>
        <w:div w:id="1997682110">
          <w:marLeft w:val="0"/>
          <w:marRight w:val="0"/>
          <w:marTop w:val="0"/>
          <w:marBottom w:val="0"/>
          <w:divBdr>
            <w:top w:val="none" w:sz="0" w:space="0" w:color="auto"/>
            <w:left w:val="none" w:sz="0" w:space="0" w:color="auto"/>
            <w:bottom w:val="none" w:sz="0" w:space="0" w:color="auto"/>
            <w:right w:val="none" w:sz="0" w:space="0" w:color="auto"/>
          </w:divBdr>
        </w:div>
        <w:div w:id="1233273044">
          <w:marLeft w:val="0"/>
          <w:marRight w:val="0"/>
          <w:marTop w:val="0"/>
          <w:marBottom w:val="0"/>
          <w:divBdr>
            <w:top w:val="none" w:sz="0" w:space="0" w:color="auto"/>
            <w:left w:val="none" w:sz="0" w:space="0" w:color="auto"/>
            <w:bottom w:val="none" w:sz="0" w:space="0" w:color="auto"/>
            <w:right w:val="none" w:sz="0" w:space="0" w:color="auto"/>
          </w:divBdr>
        </w:div>
        <w:div w:id="599486012">
          <w:marLeft w:val="0"/>
          <w:marRight w:val="0"/>
          <w:marTop w:val="0"/>
          <w:marBottom w:val="0"/>
          <w:divBdr>
            <w:top w:val="none" w:sz="0" w:space="0" w:color="auto"/>
            <w:left w:val="none" w:sz="0" w:space="0" w:color="auto"/>
            <w:bottom w:val="none" w:sz="0" w:space="0" w:color="auto"/>
            <w:right w:val="none" w:sz="0" w:space="0" w:color="auto"/>
          </w:divBdr>
        </w:div>
      </w:divsChild>
    </w:div>
    <w:div w:id="182986507">
      <w:bodyDiv w:val="1"/>
      <w:marLeft w:val="0"/>
      <w:marRight w:val="0"/>
      <w:marTop w:val="0"/>
      <w:marBottom w:val="0"/>
      <w:divBdr>
        <w:top w:val="none" w:sz="0" w:space="0" w:color="auto"/>
        <w:left w:val="none" w:sz="0" w:space="0" w:color="auto"/>
        <w:bottom w:val="none" w:sz="0" w:space="0" w:color="auto"/>
        <w:right w:val="none" w:sz="0" w:space="0" w:color="auto"/>
      </w:divBdr>
      <w:divsChild>
        <w:div w:id="1275139752">
          <w:marLeft w:val="0"/>
          <w:marRight w:val="0"/>
          <w:marTop w:val="0"/>
          <w:marBottom w:val="0"/>
          <w:divBdr>
            <w:top w:val="none" w:sz="0" w:space="0" w:color="auto"/>
            <w:left w:val="none" w:sz="0" w:space="0" w:color="auto"/>
            <w:bottom w:val="none" w:sz="0" w:space="0" w:color="auto"/>
            <w:right w:val="none" w:sz="0" w:space="0" w:color="auto"/>
          </w:divBdr>
        </w:div>
        <w:div w:id="693727256">
          <w:marLeft w:val="0"/>
          <w:marRight w:val="0"/>
          <w:marTop w:val="0"/>
          <w:marBottom w:val="0"/>
          <w:divBdr>
            <w:top w:val="none" w:sz="0" w:space="0" w:color="auto"/>
            <w:left w:val="none" w:sz="0" w:space="0" w:color="auto"/>
            <w:bottom w:val="none" w:sz="0" w:space="0" w:color="auto"/>
            <w:right w:val="none" w:sz="0" w:space="0" w:color="auto"/>
          </w:divBdr>
        </w:div>
        <w:div w:id="1675496131">
          <w:marLeft w:val="0"/>
          <w:marRight w:val="0"/>
          <w:marTop w:val="0"/>
          <w:marBottom w:val="0"/>
          <w:divBdr>
            <w:top w:val="none" w:sz="0" w:space="0" w:color="auto"/>
            <w:left w:val="none" w:sz="0" w:space="0" w:color="auto"/>
            <w:bottom w:val="none" w:sz="0" w:space="0" w:color="auto"/>
            <w:right w:val="none" w:sz="0" w:space="0" w:color="auto"/>
          </w:divBdr>
        </w:div>
        <w:div w:id="1975020170">
          <w:marLeft w:val="0"/>
          <w:marRight w:val="0"/>
          <w:marTop w:val="0"/>
          <w:marBottom w:val="0"/>
          <w:divBdr>
            <w:top w:val="none" w:sz="0" w:space="0" w:color="auto"/>
            <w:left w:val="none" w:sz="0" w:space="0" w:color="auto"/>
            <w:bottom w:val="none" w:sz="0" w:space="0" w:color="auto"/>
            <w:right w:val="none" w:sz="0" w:space="0" w:color="auto"/>
          </w:divBdr>
        </w:div>
        <w:div w:id="1581910291">
          <w:marLeft w:val="0"/>
          <w:marRight w:val="0"/>
          <w:marTop w:val="0"/>
          <w:marBottom w:val="0"/>
          <w:divBdr>
            <w:top w:val="none" w:sz="0" w:space="0" w:color="auto"/>
            <w:left w:val="none" w:sz="0" w:space="0" w:color="auto"/>
            <w:bottom w:val="none" w:sz="0" w:space="0" w:color="auto"/>
            <w:right w:val="none" w:sz="0" w:space="0" w:color="auto"/>
          </w:divBdr>
        </w:div>
        <w:div w:id="832526943">
          <w:marLeft w:val="0"/>
          <w:marRight w:val="0"/>
          <w:marTop w:val="0"/>
          <w:marBottom w:val="0"/>
          <w:divBdr>
            <w:top w:val="none" w:sz="0" w:space="0" w:color="auto"/>
            <w:left w:val="none" w:sz="0" w:space="0" w:color="auto"/>
            <w:bottom w:val="none" w:sz="0" w:space="0" w:color="auto"/>
            <w:right w:val="none" w:sz="0" w:space="0" w:color="auto"/>
          </w:divBdr>
        </w:div>
        <w:div w:id="116148513">
          <w:marLeft w:val="0"/>
          <w:marRight w:val="0"/>
          <w:marTop w:val="0"/>
          <w:marBottom w:val="0"/>
          <w:divBdr>
            <w:top w:val="none" w:sz="0" w:space="0" w:color="auto"/>
            <w:left w:val="none" w:sz="0" w:space="0" w:color="auto"/>
            <w:bottom w:val="none" w:sz="0" w:space="0" w:color="auto"/>
            <w:right w:val="none" w:sz="0" w:space="0" w:color="auto"/>
          </w:divBdr>
        </w:div>
        <w:div w:id="39136885">
          <w:marLeft w:val="0"/>
          <w:marRight w:val="0"/>
          <w:marTop w:val="0"/>
          <w:marBottom w:val="0"/>
          <w:divBdr>
            <w:top w:val="none" w:sz="0" w:space="0" w:color="auto"/>
            <w:left w:val="none" w:sz="0" w:space="0" w:color="auto"/>
            <w:bottom w:val="none" w:sz="0" w:space="0" w:color="auto"/>
            <w:right w:val="none" w:sz="0" w:space="0" w:color="auto"/>
          </w:divBdr>
        </w:div>
        <w:div w:id="1538817529">
          <w:marLeft w:val="0"/>
          <w:marRight w:val="0"/>
          <w:marTop w:val="0"/>
          <w:marBottom w:val="0"/>
          <w:divBdr>
            <w:top w:val="none" w:sz="0" w:space="0" w:color="auto"/>
            <w:left w:val="none" w:sz="0" w:space="0" w:color="auto"/>
            <w:bottom w:val="none" w:sz="0" w:space="0" w:color="auto"/>
            <w:right w:val="none" w:sz="0" w:space="0" w:color="auto"/>
          </w:divBdr>
        </w:div>
        <w:div w:id="1947617486">
          <w:marLeft w:val="0"/>
          <w:marRight w:val="0"/>
          <w:marTop w:val="0"/>
          <w:marBottom w:val="0"/>
          <w:divBdr>
            <w:top w:val="none" w:sz="0" w:space="0" w:color="auto"/>
            <w:left w:val="none" w:sz="0" w:space="0" w:color="auto"/>
            <w:bottom w:val="none" w:sz="0" w:space="0" w:color="auto"/>
            <w:right w:val="none" w:sz="0" w:space="0" w:color="auto"/>
          </w:divBdr>
        </w:div>
        <w:div w:id="577252481">
          <w:marLeft w:val="0"/>
          <w:marRight w:val="0"/>
          <w:marTop w:val="0"/>
          <w:marBottom w:val="0"/>
          <w:divBdr>
            <w:top w:val="none" w:sz="0" w:space="0" w:color="auto"/>
            <w:left w:val="none" w:sz="0" w:space="0" w:color="auto"/>
            <w:bottom w:val="none" w:sz="0" w:space="0" w:color="auto"/>
            <w:right w:val="none" w:sz="0" w:space="0" w:color="auto"/>
          </w:divBdr>
        </w:div>
        <w:div w:id="1836533302">
          <w:marLeft w:val="0"/>
          <w:marRight w:val="0"/>
          <w:marTop w:val="0"/>
          <w:marBottom w:val="0"/>
          <w:divBdr>
            <w:top w:val="none" w:sz="0" w:space="0" w:color="auto"/>
            <w:left w:val="none" w:sz="0" w:space="0" w:color="auto"/>
            <w:bottom w:val="none" w:sz="0" w:space="0" w:color="auto"/>
            <w:right w:val="none" w:sz="0" w:space="0" w:color="auto"/>
          </w:divBdr>
        </w:div>
        <w:div w:id="484663777">
          <w:marLeft w:val="0"/>
          <w:marRight w:val="0"/>
          <w:marTop w:val="0"/>
          <w:marBottom w:val="0"/>
          <w:divBdr>
            <w:top w:val="none" w:sz="0" w:space="0" w:color="auto"/>
            <w:left w:val="none" w:sz="0" w:space="0" w:color="auto"/>
            <w:bottom w:val="none" w:sz="0" w:space="0" w:color="auto"/>
            <w:right w:val="none" w:sz="0" w:space="0" w:color="auto"/>
          </w:divBdr>
        </w:div>
        <w:div w:id="503126155">
          <w:marLeft w:val="0"/>
          <w:marRight w:val="0"/>
          <w:marTop w:val="0"/>
          <w:marBottom w:val="0"/>
          <w:divBdr>
            <w:top w:val="none" w:sz="0" w:space="0" w:color="auto"/>
            <w:left w:val="none" w:sz="0" w:space="0" w:color="auto"/>
            <w:bottom w:val="none" w:sz="0" w:space="0" w:color="auto"/>
            <w:right w:val="none" w:sz="0" w:space="0" w:color="auto"/>
          </w:divBdr>
        </w:div>
        <w:div w:id="595133764">
          <w:marLeft w:val="0"/>
          <w:marRight w:val="0"/>
          <w:marTop w:val="0"/>
          <w:marBottom w:val="0"/>
          <w:divBdr>
            <w:top w:val="none" w:sz="0" w:space="0" w:color="auto"/>
            <w:left w:val="none" w:sz="0" w:space="0" w:color="auto"/>
            <w:bottom w:val="none" w:sz="0" w:space="0" w:color="auto"/>
            <w:right w:val="none" w:sz="0" w:space="0" w:color="auto"/>
          </w:divBdr>
        </w:div>
        <w:div w:id="192505082">
          <w:marLeft w:val="0"/>
          <w:marRight w:val="0"/>
          <w:marTop w:val="0"/>
          <w:marBottom w:val="0"/>
          <w:divBdr>
            <w:top w:val="none" w:sz="0" w:space="0" w:color="auto"/>
            <w:left w:val="none" w:sz="0" w:space="0" w:color="auto"/>
            <w:bottom w:val="none" w:sz="0" w:space="0" w:color="auto"/>
            <w:right w:val="none" w:sz="0" w:space="0" w:color="auto"/>
          </w:divBdr>
        </w:div>
        <w:div w:id="1595093655">
          <w:marLeft w:val="0"/>
          <w:marRight w:val="0"/>
          <w:marTop w:val="0"/>
          <w:marBottom w:val="0"/>
          <w:divBdr>
            <w:top w:val="none" w:sz="0" w:space="0" w:color="auto"/>
            <w:left w:val="none" w:sz="0" w:space="0" w:color="auto"/>
            <w:bottom w:val="none" w:sz="0" w:space="0" w:color="auto"/>
            <w:right w:val="none" w:sz="0" w:space="0" w:color="auto"/>
          </w:divBdr>
        </w:div>
        <w:div w:id="1813670423">
          <w:marLeft w:val="0"/>
          <w:marRight w:val="0"/>
          <w:marTop w:val="0"/>
          <w:marBottom w:val="0"/>
          <w:divBdr>
            <w:top w:val="none" w:sz="0" w:space="0" w:color="auto"/>
            <w:left w:val="none" w:sz="0" w:space="0" w:color="auto"/>
            <w:bottom w:val="none" w:sz="0" w:space="0" w:color="auto"/>
            <w:right w:val="none" w:sz="0" w:space="0" w:color="auto"/>
          </w:divBdr>
        </w:div>
        <w:div w:id="183173814">
          <w:marLeft w:val="0"/>
          <w:marRight w:val="0"/>
          <w:marTop w:val="0"/>
          <w:marBottom w:val="0"/>
          <w:divBdr>
            <w:top w:val="none" w:sz="0" w:space="0" w:color="auto"/>
            <w:left w:val="none" w:sz="0" w:space="0" w:color="auto"/>
            <w:bottom w:val="none" w:sz="0" w:space="0" w:color="auto"/>
            <w:right w:val="none" w:sz="0" w:space="0" w:color="auto"/>
          </w:divBdr>
        </w:div>
        <w:div w:id="223223326">
          <w:marLeft w:val="0"/>
          <w:marRight w:val="0"/>
          <w:marTop w:val="0"/>
          <w:marBottom w:val="0"/>
          <w:divBdr>
            <w:top w:val="none" w:sz="0" w:space="0" w:color="auto"/>
            <w:left w:val="none" w:sz="0" w:space="0" w:color="auto"/>
            <w:bottom w:val="none" w:sz="0" w:space="0" w:color="auto"/>
            <w:right w:val="none" w:sz="0" w:space="0" w:color="auto"/>
          </w:divBdr>
        </w:div>
        <w:div w:id="1672030053">
          <w:marLeft w:val="0"/>
          <w:marRight w:val="0"/>
          <w:marTop w:val="0"/>
          <w:marBottom w:val="0"/>
          <w:divBdr>
            <w:top w:val="none" w:sz="0" w:space="0" w:color="auto"/>
            <w:left w:val="none" w:sz="0" w:space="0" w:color="auto"/>
            <w:bottom w:val="none" w:sz="0" w:space="0" w:color="auto"/>
            <w:right w:val="none" w:sz="0" w:space="0" w:color="auto"/>
          </w:divBdr>
        </w:div>
        <w:div w:id="1480223986">
          <w:marLeft w:val="0"/>
          <w:marRight w:val="0"/>
          <w:marTop w:val="0"/>
          <w:marBottom w:val="0"/>
          <w:divBdr>
            <w:top w:val="none" w:sz="0" w:space="0" w:color="auto"/>
            <w:left w:val="none" w:sz="0" w:space="0" w:color="auto"/>
            <w:bottom w:val="none" w:sz="0" w:space="0" w:color="auto"/>
            <w:right w:val="none" w:sz="0" w:space="0" w:color="auto"/>
          </w:divBdr>
        </w:div>
        <w:div w:id="715814069">
          <w:marLeft w:val="0"/>
          <w:marRight w:val="0"/>
          <w:marTop w:val="0"/>
          <w:marBottom w:val="0"/>
          <w:divBdr>
            <w:top w:val="none" w:sz="0" w:space="0" w:color="auto"/>
            <w:left w:val="none" w:sz="0" w:space="0" w:color="auto"/>
            <w:bottom w:val="none" w:sz="0" w:space="0" w:color="auto"/>
            <w:right w:val="none" w:sz="0" w:space="0" w:color="auto"/>
          </w:divBdr>
        </w:div>
        <w:div w:id="1827044618">
          <w:marLeft w:val="0"/>
          <w:marRight w:val="0"/>
          <w:marTop w:val="0"/>
          <w:marBottom w:val="0"/>
          <w:divBdr>
            <w:top w:val="none" w:sz="0" w:space="0" w:color="auto"/>
            <w:left w:val="none" w:sz="0" w:space="0" w:color="auto"/>
            <w:bottom w:val="none" w:sz="0" w:space="0" w:color="auto"/>
            <w:right w:val="none" w:sz="0" w:space="0" w:color="auto"/>
          </w:divBdr>
        </w:div>
        <w:div w:id="549731511">
          <w:marLeft w:val="0"/>
          <w:marRight w:val="0"/>
          <w:marTop w:val="0"/>
          <w:marBottom w:val="0"/>
          <w:divBdr>
            <w:top w:val="none" w:sz="0" w:space="0" w:color="auto"/>
            <w:left w:val="none" w:sz="0" w:space="0" w:color="auto"/>
            <w:bottom w:val="none" w:sz="0" w:space="0" w:color="auto"/>
            <w:right w:val="none" w:sz="0" w:space="0" w:color="auto"/>
          </w:divBdr>
        </w:div>
        <w:div w:id="1419136189">
          <w:marLeft w:val="0"/>
          <w:marRight w:val="0"/>
          <w:marTop w:val="0"/>
          <w:marBottom w:val="0"/>
          <w:divBdr>
            <w:top w:val="none" w:sz="0" w:space="0" w:color="auto"/>
            <w:left w:val="none" w:sz="0" w:space="0" w:color="auto"/>
            <w:bottom w:val="none" w:sz="0" w:space="0" w:color="auto"/>
            <w:right w:val="none" w:sz="0" w:space="0" w:color="auto"/>
          </w:divBdr>
        </w:div>
        <w:div w:id="430509328">
          <w:marLeft w:val="0"/>
          <w:marRight w:val="0"/>
          <w:marTop w:val="0"/>
          <w:marBottom w:val="0"/>
          <w:divBdr>
            <w:top w:val="none" w:sz="0" w:space="0" w:color="auto"/>
            <w:left w:val="none" w:sz="0" w:space="0" w:color="auto"/>
            <w:bottom w:val="none" w:sz="0" w:space="0" w:color="auto"/>
            <w:right w:val="none" w:sz="0" w:space="0" w:color="auto"/>
          </w:divBdr>
        </w:div>
        <w:div w:id="852568905">
          <w:marLeft w:val="0"/>
          <w:marRight w:val="0"/>
          <w:marTop w:val="0"/>
          <w:marBottom w:val="0"/>
          <w:divBdr>
            <w:top w:val="none" w:sz="0" w:space="0" w:color="auto"/>
            <w:left w:val="none" w:sz="0" w:space="0" w:color="auto"/>
            <w:bottom w:val="none" w:sz="0" w:space="0" w:color="auto"/>
            <w:right w:val="none" w:sz="0" w:space="0" w:color="auto"/>
          </w:divBdr>
        </w:div>
        <w:div w:id="726879214">
          <w:marLeft w:val="0"/>
          <w:marRight w:val="0"/>
          <w:marTop w:val="0"/>
          <w:marBottom w:val="0"/>
          <w:divBdr>
            <w:top w:val="none" w:sz="0" w:space="0" w:color="auto"/>
            <w:left w:val="none" w:sz="0" w:space="0" w:color="auto"/>
            <w:bottom w:val="none" w:sz="0" w:space="0" w:color="auto"/>
            <w:right w:val="none" w:sz="0" w:space="0" w:color="auto"/>
          </w:divBdr>
        </w:div>
        <w:div w:id="303119150">
          <w:marLeft w:val="0"/>
          <w:marRight w:val="0"/>
          <w:marTop w:val="0"/>
          <w:marBottom w:val="0"/>
          <w:divBdr>
            <w:top w:val="none" w:sz="0" w:space="0" w:color="auto"/>
            <w:left w:val="none" w:sz="0" w:space="0" w:color="auto"/>
            <w:bottom w:val="none" w:sz="0" w:space="0" w:color="auto"/>
            <w:right w:val="none" w:sz="0" w:space="0" w:color="auto"/>
          </w:divBdr>
        </w:div>
        <w:div w:id="1913739588">
          <w:marLeft w:val="0"/>
          <w:marRight w:val="0"/>
          <w:marTop w:val="0"/>
          <w:marBottom w:val="0"/>
          <w:divBdr>
            <w:top w:val="none" w:sz="0" w:space="0" w:color="auto"/>
            <w:left w:val="none" w:sz="0" w:space="0" w:color="auto"/>
            <w:bottom w:val="none" w:sz="0" w:space="0" w:color="auto"/>
            <w:right w:val="none" w:sz="0" w:space="0" w:color="auto"/>
          </w:divBdr>
        </w:div>
        <w:div w:id="584727450">
          <w:marLeft w:val="0"/>
          <w:marRight w:val="0"/>
          <w:marTop w:val="0"/>
          <w:marBottom w:val="0"/>
          <w:divBdr>
            <w:top w:val="none" w:sz="0" w:space="0" w:color="auto"/>
            <w:left w:val="none" w:sz="0" w:space="0" w:color="auto"/>
            <w:bottom w:val="none" w:sz="0" w:space="0" w:color="auto"/>
            <w:right w:val="none" w:sz="0" w:space="0" w:color="auto"/>
          </w:divBdr>
        </w:div>
        <w:div w:id="517813395">
          <w:marLeft w:val="0"/>
          <w:marRight w:val="0"/>
          <w:marTop w:val="0"/>
          <w:marBottom w:val="0"/>
          <w:divBdr>
            <w:top w:val="none" w:sz="0" w:space="0" w:color="auto"/>
            <w:left w:val="none" w:sz="0" w:space="0" w:color="auto"/>
            <w:bottom w:val="none" w:sz="0" w:space="0" w:color="auto"/>
            <w:right w:val="none" w:sz="0" w:space="0" w:color="auto"/>
          </w:divBdr>
        </w:div>
        <w:div w:id="2086030272">
          <w:marLeft w:val="0"/>
          <w:marRight w:val="0"/>
          <w:marTop w:val="0"/>
          <w:marBottom w:val="0"/>
          <w:divBdr>
            <w:top w:val="none" w:sz="0" w:space="0" w:color="auto"/>
            <w:left w:val="none" w:sz="0" w:space="0" w:color="auto"/>
            <w:bottom w:val="none" w:sz="0" w:space="0" w:color="auto"/>
            <w:right w:val="none" w:sz="0" w:space="0" w:color="auto"/>
          </w:divBdr>
        </w:div>
        <w:div w:id="530802621">
          <w:marLeft w:val="0"/>
          <w:marRight w:val="0"/>
          <w:marTop w:val="0"/>
          <w:marBottom w:val="0"/>
          <w:divBdr>
            <w:top w:val="none" w:sz="0" w:space="0" w:color="auto"/>
            <w:left w:val="none" w:sz="0" w:space="0" w:color="auto"/>
            <w:bottom w:val="none" w:sz="0" w:space="0" w:color="auto"/>
            <w:right w:val="none" w:sz="0" w:space="0" w:color="auto"/>
          </w:divBdr>
        </w:div>
        <w:div w:id="1696540416">
          <w:marLeft w:val="0"/>
          <w:marRight w:val="0"/>
          <w:marTop w:val="0"/>
          <w:marBottom w:val="0"/>
          <w:divBdr>
            <w:top w:val="none" w:sz="0" w:space="0" w:color="auto"/>
            <w:left w:val="none" w:sz="0" w:space="0" w:color="auto"/>
            <w:bottom w:val="none" w:sz="0" w:space="0" w:color="auto"/>
            <w:right w:val="none" w:sz="0" w:space="0" w:color="auto"/>
          </w:divBdr>
        </w:div>
        <w:div w:id="1149639778">
          <w:marLeft w:val="0"/>
          <w:marRight w:val="0"/>
          <w:marTop w:val="0"/>
          <w:marBottom w:val="0"/>
          <w:divBdr>
            <w:top w:val="none" w:sz="0" w:space="0" w:color="auto"/>
            <w:left w:val="none" w:sz="0" w:space="0" w:color="auto"/>
            <w:bottom w:val="none" w:sz="0" w:space="0" w:color="auto"/>
            <w:right w:val="none" w:sz="0" w:space="0" w:color="auto"/>
          </w:divBdr>
        </w:div>
        <w:div w:id="1944412994">
          <w:marLeft w:val="0"/>
          <w:marRight w:val="0"/>
          <w:marTop w:val="0"/>
          <w:marBottom w:val="0"/>
          <w:divBdr>
            <w:top w:val="none" w:sz="0" w:space="0" w:color="auto"/>
            <w:left w:val="none" w:sz="0" w:space="0" w:color="auto"/>
            <w:bottom w:val="none" w:sz="0" w:space="0" w:color="auto"/>
            <w:right w:val="none" w:sz="0" w:space="0" w:color="auto"/>
          </w:divBdr>
        </w:div>
        <w:div w:id="318732405">
          <w:marLeft w:val="0"/>
          <w:marRight w:val="0"/>
          <w:marTop w:val="0"/>
          <w:marBottom w:val="0"/>
          <w:divBdr>
            <w:top w:val="none" w:sz="0" w:space="0" w:color="auto"/>
            <w:left w:val="none" w:sz="0" w:space="0" w:color="auto"/>
            <w:bottom w:val="none" w:sz="0" w:space="0" w:color="auto"/>
            <w:right w:val="none" w:sz="0" w:space="0" w:color="auto"/>
          </w:divBdr>
        </w:div>
        <w:div w:id="1537890079">
          <w:marLeft w:val="0"/>
          <w:marRight w:val="0"/>
          <w:marTop w:val="0"/>
          <w:marBottom w:val="0"/>
          <w:divBdr>
            <w:top w:val="none" w:sz="0" w:space="0" w:color="auto"/>
            <w:left w:val="none" w:sz="0" w:space="0" w:color="auto"/>
            <w:bottom w:val="none" w:sz="0" w:space="0" w:color="auto"/>
            <w:right w:val="none" w:sz="0" w:space="0" w:color="auto"/>
          </w:divBdr>
        </w:div>
        <w:div w:id="1450273513">
          <w:marLeft w:val="0"/>
          <w:marRight w:val="0"/>
          <w:marTop w:val="0"/>
          <w:marBottom w:val="0"/>
          <w:divBdr>
            <w:top w:val="none" w:sz="0" w:space="0" w:color="auto"/>
            <w:left w:val="none" w:sz="0" w:space="0" w:color="auto"/>
            <w:bottom w:val="none" w:sz="0" w:space="0" w:color="auto"/>
            <w:right w:val="none" w:sz="0" w:space="0" w:color="auto"/>
          </w:divBdr>
        </w:div>
        <w:div w:id="603996683">
          <w:marLeft w:val="0"/>
          <w:marRight w:val="0"/>
          <w:marTop w:val="0"/>
          <w:marBottom w:val="0"/>
          <w:divBdr>
            <w:top w:val="none" w:sz="0" w:space="0" w:color="auto"/>
            <w:left w:val="none" w:sz="0" w:space="0" w:color="auto"/>
            <w:bottom w:val="none" w:sz="0" w:space="0" w:color="auto"/>
            <w:right w:val="none" w:sz="0" w:space="0" w:color="auto"/>
          </w:divBdr>
        </w:div>
        <w:div w:id="1197740807">
          <w:marLeft w:val="0"/>
          <w:marRight w:val="0"/>
          <w:marTop w:val="0"/>
          <w:marBottom w:val="0"/>
          <w:divBdr>
            <w:top w:val="none" w:sz="0" w:space="0" w:color="auto"/>
            <w:left w:val="none" w:sz="0" w:space="0" w:color="auto"/>
            <w:bottom w:val="none" w:sz="0" w:space="0" w:color="auto"/>
            <w:right w:val="none" w:sz="0" w:space="0" w:color="auto"/>
          </w:divBdr>
        </w:div>
      </w:divsChild>
    </w:div>
    <w:div w:id="208420178">
      <w:bodyDiv w:val="1"/>
      <w:marLeft w:val="0"/>
      <w:marRight w:val="0"/>
      <w:marTop w:val="0"/>
      <w:marBottom w:val="0"/>
      <w:divBdr>
        <w:top w:val="none" w:sz="0" w:space="0" w:color="auto"/>
        <w:left w:val="none" w:sz="0" w:space="0" w:color="auto"/>
        <w:bottom w:val="none" w:sz="0" w:space="0" w:color="auto"/>
        <w:right w:val="none" w:sz="0" w:space="0" w:color="auto"/>
      </w:divBdr>
      <w:divsChild>
        <w:div w:id="1031955792">
          <w:marLeft w:val="0"/>
          <w:marRight w:val="0"/>
          <w:marTop w:val="0"/>
          <w:marBottom w:val="0"/>
          <w:divBdr>
            <w:top w:val="none" w:sz="0" w:space="0" w:color="auto"/>
            <w:left w:val="none" w:sz="0" w:space="0" w:color="auto"/>
            <w:bottom w:val="none" w:sz="0" w:space="0" w:color="auto"/>
            <w:right w:val="none" w:sz="0" w:space="0" w:color="auto"/>
          </w:divBdr>
        </w:div>
        <w:div w:id="1437946289">
          <w:marLeft w:val="0"/>
          <w:marRight w:val="0"/>
          <w:marTop w:val="0"/>
          <w:marBottom w:val="0"/>
          <w:divBdr>
            <w:top w:val="none" w:sz="0" w:space="0" w:color="auto"/>
            <w:left w:val="none" w:sz="0" w:space="0" w:color="auto"/>
            <w:bottom w:val="none" w:sz="0" w:space="0" w:color="auto"/>
            <w:right w:val="none" w:sz="0" w:space="0" w:color="auto"/>
          </w:divBdr>
        </w:div>
        <w:div w:id="291981943">
          <w:marLeft w:val="0"/>
          <w:marRight w:val="0"/>
          <w:marTop w:val="0"/>
          <w:marBottom w:val="0"/>
          <w:divBdr>
            <w:top w:val="none" w:sz="0" w:space="0" w:color="auto"/>
            <w:left w:val="none" w:sz="0" w:space="0" w:color="auto"/>
            <w:bottom w:val="none" w:sz="0" w:space="0" w:color="auto"/>
            <w:right w:val="none" w:sz="0" w:space="0" w:color="auto"/>
          </w:divBdr>
        </w:div>
        <w:div w:id="1384210134">
          <w:marLeft w:val="0"/>
          <w:marRight w:val="0"/>
          <w:marTop w:val="0"/>
          <w:marBottom w:val="0"/>
          <w:divBdr>
            <w:top w:val="none" w:sz="0" w:space="0" w:color="auto"/>
            <w:left w:val="none" w:sz="0" w:space="0" w:color="auto"/>
            <w:bottom w:val="none" w:sz="0" w:space="0" w:color="auto"/>
            <w:right w:val="none" w:sz="0" w:space="0" w:color="auto"/>
          </w:divBdr>
        </w:div>
        <w:div w:id="1755780532">
          <w:marLeft w:val="0"/>
          <w:marRight w:val="0"/>
          <w:marTop w:val="0"/>
          <w:marBottom w:val="0"/>
          <w:divBdr>
            <w:top w:val="none" w:sz="0" w:space="0" w:color="auto"/>
            <w:left w:val="none" w:sz="0" w:space="0" w:color="auto"/>
            <w:bottom w:val="none" w:sz="0" w:space="0" w:color="auto"/>
            <w:right w:val="none" w:sz="0" w:space="0" w:color="auto"/>
          </w:divBdr>
        </w:div>
        <w:div w:id="712655631">
          <w:marLeft w:val="0"/>
          <w:marRight w:val="0"/>
          <w:marTop w:val="0"/>
          <w:marBottom w:val="0"/>
          <w:divBdr>
            <w:top w:val="none" w:sz="0" w:space="0" w:color="auto"/>
            <w:left w:val="none" w:sz="0" w:space="0" w:color="auto"/>
            <w:bottom w:val="none" w:sz="0" w:space="0" w:color="auto"/>
            <w:right w:val="none" w:sz="0" w:space="0" w:color="auto"/>
          </w:divBdr>
        </w:div>
        <w:div w:id="602688991">
          <w:marLeft w:val="0"/>
          <w:marRight w:val="0"/>
          <w:marTop w:val="0"/>
          <w:marBottom w:val="0"/>
          <w:divBdr>
            <w:top w:val="none" w:sz="0" w:space="0" w:color="auto"/>
            <w:left w:val="none" w:sz="0" w:space="0" w:color="auto"/>
            <w:bottom w:val="none" w:sz="0" w:space="0" w:color="auto"/>
            <w:right w:val="none" w:sz="0" w:space="0" w:color="auto"/>
          </w:divBdr>
        </w:div>
        <w:div w:id="28652720">
          <w:marLeft w:val="0"/>
          <w:marRight w:val="0"/>
          <w:marTop w:val="0"/>
          <w:marBottom w:val="0"/>
          <w:divBdr>
            <w:top w:val="none" w:sz="0" w:space="0" w:color="auto"/>
            <w:left w:val="none" w:sz="0" w:space="0" w:color="auto"/>
            <w:bottom w:val="none" w:sz="0" w:space="0" w:color="auto"/>
            <w:right w:val="none" w:sz="0" w:space="0" w:color="auto"/>
          </w:divBdr>
        </w:div>
        <w:div w:id="1474255991">
          <w:marLeft w:val="0"/>
          <w:marRight w:val="0"/>
          <w:marTop w:val="0"/>
          <w:marBottom w:val="0"/>
          <w:divBdr>
            <w:top w:val="none" w:sz="0" w:space="0" w:color="auto"/>
            <w:left w:val="none" w:sz="0" w:space="0" w:color="auto"/>
            <w:bottom w:val="none" w:sz="0" w:space="0" w:color="auto"/>
            <w:right w:val="none" w:sz="0" w:space="0" w:color="auto"/>
          </w:divBdr>
        </w:div>
        <w:div w:id="1898009139">
          <w:marLeft w:val="0"/>
          <w:marRight w:val="0"/>
          <w:marTop w:val="0"/>
          <w:marBottom w:val="0"/>
          <w:divBdr>
            <w:top w:val="none" w:sz="0" w:space="0" w:color="auto"/>
            <w:left w:val="none" w:sz="0" w:space="0" w:color="auto"/>
            <w:bottom w:val="none" w:sz="0" w:space="0" w:color="auto"/>
            <w:right w:val="none" w:sz="0" w:space="0" w:color="auto"/>
          </w:divBdr>
        </w:div>
      </w:divsChild>
    </w:div>
    <w:div w:id="214051611">
      <w:bodyDiv w:val="1"/>
      <w:marLeft w:val="0"/>
      <w:marRight w:val="0"/>
      <w:marTop w:val="0"/>
      <w:marBottom w:val="0"/>
      <w:divBdr>
        <w:top w:val="none" w:sz="0" w:space="0" w:color="auto"/>
        <w:left w:val="none" w:sz="0" w:space="0" w:color="auto"/>
        <w:bottom w:val="none" w:sz="0" w:space="0" w:color="auto"/>
        <w:right w:val="none" w:sz="0" w:space="0" w:color="auto"/>
      </w:divBdr>
      <w:divsChild>
        <w:div w:id="979724542">
          <w:marLeft w:val="0"/>
          <w:marRight w:val="0"/>
          <w:marTop w:val="0"/>
          <w:marBottom w:val="0"/>
          <w:divBdr>
            <w:top w:val="none" w:sz="0" w:space="0" w:color="auto"/>
            <w:left w:val="none" w:sz="0" w:space="0" w:color="auto"/>
            <w:bottom w:val="none" w:sz="0" w:space="0" w:color="auto"/>
            <w:right w:val="none" w:sz="0" w:space="0" w:color="auto"/>
          </w:divBdr>
        </w:div>
        <w:div w:id="1941141676">
          <w:marLeft w:val="0"/>
          <w:marRight w:val="0"/>
          <w:marTop w:val="0"/>
          <w:marBottom w:val="0"/>
          <w:divBdr>
            <w:top w:val="none" w:sz="0" w:space="0" w:color="auto"/>
            <w:left w:val="none" w:sz="0" w:space="0" w:color="auto"/>
            <w:bottom w:val="none" w:sz="0" w:space="0" w:color="auto"/>
            <w:right w:val="none" w:sz="0" w:space="0" w:color="auto"/>
          </w:divBdr>
        </w:div>
      </w:divsChild>
    </w:div>
    <w:div w:id="216817526">
      <w:bodyDiv w:val="1"/>
      <w:marLeft w:val="0"/>
      <w:marRight w:val="0"/>
      <w:marTop w:val="0"/>
      <w:marBottom w:val="0"/>
      <w:divBdr>
        <w:top w:val="none" w:sz="0" w:space="0" w:color="auto"/>
        <w:left w:val="none" w:sz="0" w:space="0" w:color="auto"/>
        <w:bottom w:val="none" w:sz="0" w:space="0" w:color="auto"/>
        <w:right w:val="none" w:sz="0" w:space="0" w:color="auto"/>
      </w:divBdr>
      <w:divsChild>
        <w:div w:id="297106562">
          <w:marLeft w:val="0"/>
          <w:marRight w:val="0"/>
          <w:marTop w:val="0"/>
          <w:marBottom w:val="0"/>
          <w:divBdr>
            <w:top w:val="none" w:sz="0" w:space="0" w:color="auto"/>
            <w:left w:val="none" w:sz="0" w:space="0" w:color="auto"/>
            <w:bottom w:val="none" w:sz="0" w:space="0" w:color="auto"/>
            <w:right w:val="none" w:sz="0" w:space="0" w:color="auto"/>
          </w:divBdr>
        </w:div>
        <w:div w:id="904072897">
          <w:marLeft w:val="0"/>
          <w:marRight w:val="0"/>
          <w:marTop w:val="0"/>
          <w:marBottom w:val="0"/>
          <w:divBdr>
            <w:top w:val="none" w:sz="0" w:space="0" w:color="auto"/>
            <w:left w:val="none" w:sz="0" w:space="0" w:color="auto"/>
            <w:bottom w:val="none" w:sz="0" w:space="0" w:color="auto"/>
            <w:right w:val="none" w:sz="0" w:space="0" w:color="auto"/>
          </w:divBdr>
        </w:div>
        <w:div w:id="432022091">
          <w:marLeft w:val="0"/>
          <w:marRight w:val="0"/>
          <w:marTop w:val="0"/>
          <w:marBottom w:val="0"/>
          <w:divBdr>
            <w:top w:val="none" w:sz="0" w:space="0" w:color="auto"/>
            <w:left w:val="none" w:sz="0" w:space="0" w:color="auto"/>
            <w:bottom w:val="none" w:sz="0" w:space="0" w:color="auto"/>
            <w:right w:val="none" w:sz="0" w:space="0" w:color="auto"/>
          </w:divBdr>
        </w:div>
        <w:div w:id="686830844">
          <w:marLeft w:val="0"/>
          <w:marRight w:val="0"/>
          <w:marTop w:val="0"/>
          <w:marBottom w:val="0"/>
          <w:divBdr>
            <w:top w:val="none" w:sz="0" w:space="0" w:color="auto"/>
            <w:left w:val="none" w:sz="0" w:space="0" w:color="auto"/>
            <w:bottom w:val="none" w:sz="0" w:space="0" w:color="auto"/>
            <w:right w:val="none" w:sz="0" w:space="0" w:color="auto"/>
          </w:divBdr>
        </w:div>
        <w:div w:id="1290623036">
          <w:marLeft w:val="0"/>
          <w:marRight w:val="0"/>
          <w:marTop w:val="0"/>
          <w:marBottom w:val="0"/>
          <w:divBdr>
            <w:top w:val="none" w:sz="0" w:space="0" w:color="auto"/>
            <w:left w:val="none" w:sz="0" w:space="0" w:color="auto"/>
            <w:bottom w:val="none" w:sz="0" w:space="0" w:color="auto"/>
            <w:right w:val="none" w:sz="0" w:space="0" w:color="auto"/>
          </w:divBdr>
        </w:div>
      </w:divsChild>
    </w:div>
    <w:div w:id="241650086">
      <w:bodyDiv w:val="1"/>
      <w:marLeft w:val="0"/>
      <w:marRight w:val="0"/>
      <w:marTop w:val="0"/>
      <w:marBottom w:val="0"/>
      <w:divBdr>
        <w:top w:val="none" w:sz="0" w:space="0" w:color="auto"/>
        <w:left w:val="none" w:sz="0" w:space="0" w:color="auto"/>
        <w:bottom w:val="none" w:sz="0" w:space="0" w:color="auto"/>
        <w:right w:val="none" w:sz="0" w:space="0" w:color="auto"/>
      </w:divBdr>
      <w:divsChild>
        <w:div w:id="306208762">
          <w:marLeft w:val="0"/>
          <w:marRight w:val="0"/>
          <w:marTop w:val="0"/>
          <w:marBottom w:val="0"/>
          <w:divBdr>
            <w:top w:val="none" w:sz="0" w:space="0" w:color="auto"/>
            <w:left w:val="none" w:sz="0" w:space="0" w:color="auto"/>
            <w:bottom w:val="none" w:sz="0" w:space="0" w:color="auto"/>
            <w:right w:val="none" w:sz="0" w:space="0" w:color="auto"/>
          </w:divBdr>
        </w:div>
        <w:div w:id="633022613">
          <w:marLeft w:val="0"/>
          <w:marRight w:val="0"/>
          <w:marTop w:val="0"/>
          <w:marBottom w:val="0"/>
          <w:divBdr>
            <w:top w:val="none" w:sz="0" w:space="0" w:color="auto"/>
            <w:left w:val="none" w:sz="0" w:space="0" w:color="auto"/>
            <w:bottom w:val="none" w:sz="0" w:space="0" w:color="auto"/>
            <w:right w:val="none" w:sz="0" w:space="0" w:color="auto"/>
          </w:divBdr>
        </w:div>
        <w:div w:id="2047948442">
          <w:marLeft w:val="0"/>
          <w:marRight w:val="0"/>
          <w:marTop w:val="0"/>
          <w:marBottom w:val="0"/>
          <w:divBdr>
            <w:top w:val="none" w:sz="0" w:space="0" w:color="auto"/>
            <w:left w:val="none" w:sz="0" w:space="0" w:color="auto"/>
            <w:bottom w:val="none" w:sz="0" w:space="0" w:color="auto"/>
            <w:right w:val="none" w:sz="0" w:space="0" w:color="auto"/>
          </w:divBdr>
        </w:div>
        <w:div w:id="1269855931">
          <w:marLeft w:val="0"/>
          <w:marRight w:val="0"/>
          <w:marTop w:val="0"/>
          <w:marBottom w:val="0"/>
          <w:divBdr>
            <w:top w:val="none" w:sz="0" w:space="0" w:color="auto"/>
            <w:left w:val="none" w:sz="0" w:space="0" w:color="auto"/>
            <w:bottom w:val="none" w:sz="0" w:space="0" w:color="auto"/>
            <w:right w:val="none" w:sz="0" w:space="0" w:color="auto"/>
          </w:divBdr>
        </w:div>
        <w:div w:id="200751037">
          <w:marLeft w:val="0"/>
          <w:marRight w:val="0"/>
          <w:marTop w:val="0"/>
          <w:marBottom w:val="0"/>
          <w:divBdr>
            <w:top w:val="none" w:sz="0" w:space="0" w:color="auto"/>
            <w:left w:val="none" w:sz="0" w:space="0" w:color="auto"/>
            <w:bottom w:val="none" w:sz="0" w:space="0" w:color="auto"/>
            <w:right w:val="none" w:sz="0" w:space="0" w:color="auto"/>
          </w:divBdr>
        </w:div>
        <w:div w:id="1732844174">
          <w:marLeft w:val="0"/>
          <w:marRight w:val="0"/>
          <w:marTop w:val="0"/>
          <w:marBottom w:val="0"/>
          <w:divBdr>
            <w:top w:val="none" w:sz="0" w:space="0" w:color="auto"/>
            <w:left w:val="none" w:sz="0" w:space="0" w:color="auto"/>
            <w:bottom w:val="none" w:sz="0" w:space="0" w:color="auto"/>
            <w:right w:val="none" w:sz="0" w:space="0" w:color="auto"/>
          </w:divBdr>
        </w:div>
        <w:div w:id="1488933241">
          <w:marLeft w:val="0"/>
          <w:marRight w:val="0"/>
          <w:marTop w:val="0"/>
          <w:marBottom w:val="0"/>
          <w:divBdr>
            <w:top w:val="none" w:sz="0" w:space="0" w:color="auto"/>
            <w:left w:val="none" w:sz="0" w:space="0" w:color="auto"/>
            <w:bottom w:val="none" w:sz="0" w:space="0" w:color="auto"/>
            <w:right w:val="none" w:sz="0" w:space="0" w:color="auto"/>
          </w:divBdr>
        </w:div>
        <w:div w:id="926425140">
          <w:marLeft w:val="0"/>
          <w:marRight w:val="0"/>
          <w:marTop w:val="0"/>
          <w:marBottom w:val="0"/>
          <w:divBdr>
            <w:top w:val="none" w:sz="0" w:space="0" w:color="auto"/>
            <w:left w:val="none" w:sz="0" w:space="0" w:color="auto"/>
            <w:bottom w:val="none" w:sz="0" w:space="0" w:color="auto"/>
            <w:right w:val="none" w:sz="0" w:space="0" w:color="auto"/>
          </w:divBdr>
        </w:div>
      </w:divsChild>
    </w:div>
    <w:div w:id="257370830">
      <w:bodyDiv w:val="1"/>
      <w:marLeft w:val="0"/>
      <w:marRight w:val="0"/>
      <w:marTop w:val="0"/>
      <w:marBottom w:val="0"/>
      <w:divBdr>
        <w:top w:val="none" w:sz="0" w:space="0" w:color="auto"/>
        <w:left w:val="none" w:sz="0" w:space="0" w:color="auto"/>
        <w:bottom w:val="none" w:sz="0" w:space="0" w:color="auto"/>
        <w:right w:val="none" w:sz="0" w:space="0" w:color="auto"/>
      </w:divBdr>
      <w:divsChild>
        <w:div w:id="1385251686">
          <w:marLeft w:val="0"/>
          <w:marRight w:val="0"/>
          <w:marTop w:val="0"/>
          <w:marBottom w:val="0"/>
          <w:divBdr>
            <w:top w:val="none" w:sz="0" w:space="0" w:color="auto"/>
            <w:left w:val="none" w:sz="0" w:space="0" w:color="auto"/>
            <w:bottom w:val="none" w:sz="0" w:space="0" w:color="auto"/>
            <w:right w:val="none" w:sz="0" w:space="0" w:color="auto"/>
          </w:divBdr>
        </w:div>
        <w:div w:id="1227490770">
          <w:marLeft w:val="0"/>
          <w:marRight w:val="0"/>
          <w:marTop w:val="0"/>
          <w:marBottom w:val="0"/>
          <w:divBdr>
            <w:top w:val="none" w:sz="0" w:space="0" w:color="auto"/>
            <w:left w:val="none" w:sz="0" w:space="0" w:color="auto"/>
            <w:bottom w:val="none" w:sz="0" w:space="0" w:color="auto"/>
            <w:right w:val="none" w:sz="0" w:space="0" w:color="auto"/>
          </w:divBdr>
        </w:div>
        <w:div w:id="1482576459">
          <w:marLeft w:val="0"/>
          <w:marRight w:val="0"/>
          <w:marTop w:val="0"/>
          <w:marBottom w:val="0"/>
          <w:divBdr>
            <w:top w:val="none" w:sz="0" w:space="0" w:color="auto"/>
            <w:left w:val="none" w:sz="0" w:space="0" w:color="auto"/>
            <w:bottom w:val="none" w:sz="0" w:space="0" w:color="auto"/>
            <w:right w:val="none" w:sz="0" w:space="0" w:color="auto"/>
          </w:divBdr>
        </w:div>
        <w:div w:id="456142134">
          <w:marLeft w:val="0"/>
          <w:marRight w:val="0"/>
          <w:marTop w:val="0"/>
          <w:marBottom w:val="0"/>
          <w:divBdr>
            <w:top w:val="none" w:sz="0" w:space="0" w:color="auto"/>
            <w:left w:val="none" w:sz="0" w:space="0" w:color="auto"/>
            <w:bottom w:val="none" w:sz="0" w:space="0" w:color="auto"/>
            <w:right w:val="none" w:sz="0" w:space="0" w:color="auto"/>
          </w:divBdr>
        </w:div>
        <w:div w:id="36131243">
          <w:marLeft w:val="0"/>
          <w:marRight w:val="0"/>
          <w:marTop w:val="0"/>
          <w:marBottom w:val="0"/>
          <w:divBdr>
            <w:top w:val="none" w:sz="0" w:space="0" w:color="auto"/>
            <w:left w:val="none" w:sz="0" w:space="0" w:color="auto"/>
            <w:bottom w:val="none" w:sz="0" w:space="0" w:color="auto"/>
            <w:right w:val="none" w:sz="0" w:space="0" w:color="auto"/>
          </w:divBdr>
        </w:div>
        <w:div w:id="591938886">
          <w:marLeft w:val="0"/>
          <w:marRight w:val="0"/>
          <w:marTop w:val="0"/>
          <w:marBottom w:val="0"/>
          <w:divBdr>
            <w:top w:val="none" w:sz="0" w:space="0" w:color="auto"/>
            <w:left w:val="none" w:sz="0" w:space="0" w:color="auto"/>
            <w:bottom w:val="none" w:sz="0" w:space="0" w:color="auto"/>
            <w:right w:val="none" w:sz="0" w:space="0" w:color="auto"/>
          </w:divBdr>
        </w:div>
        <w:div w:id="648444006">
          <w:marLeft w:val="0"/>
          <w:marRight w:val="0"/>
          <w:marTop w:val="0"/>
          <w:marBottom w:val="0"/>
          <w:divBdr>
            <w:top w:val="none" w:sz="0" w:space="0" w:color="auto"/>
            <w:left w:val="none" w:sz="0" w:space="0" w:color="auto"/>
            <w:bottom w:val="none" w:sz="0" w:space="0" w:color="auto"/>
            <w:right w:val="none" w:sz="0" w:space="0" w:color="auto"/>
          </w:divBdr>
        </w:div>
        <w:div w:id="477112213">
          <w:marLeft w:val="0"/>
          <w:marRight w:val="0"/>
          <w:marTop w:val="0"/>
          <w:marBottom w:val="0"/>
          <w:divBdr>
            <w:top w:val="none" w:sz="0" w:space="0" w:color="auto"/>
            <w:left w:val="none" w:sz="0" w:space="0" w:color="auto"/>
            <w:bottom w:val="none" w:sz="0" w:space="0" w:color="auto"/>
            <w:right w:val="none" w:sz="0" w:space="0" w:color="auto"/>
          </w:divBdr>
        </w:div>
        <w:div w:id="585385489">
          <w:marLeft w:val="0"/>
          <w:marRight w:val="0"/>
          <w:marTop w:val="0"/>
          <w:marBottom w:val="0"/>
          <w:divBdr>
            <w:top w:val="none" w:sz="0" w:space="0" w:color="auto"/>
            <w:left w:val="none" w:sz="0" w:space="0" w:color="auto"/>
            <w:bottom w:val="none" w:sz="0" w:space="0" w:color="auto"/>
            <w:right w:val="none" w:sz="0" w:space="0" w:color="auto"/>
          </w:divBdr>
        </w:div>
        <w:div w:id="227541103">
          <w:marLeft w:val="0"/>
          <w:marRight w:val="0"/>
          <w:marTop w:val="0"/>
          <w:marBottom w:val="0"/>
          <w:divBdr>
            <w:top w:val="none" w:sz="0" w:space="0" w:color="auto"/>
            <w:left w:val="none" w:sz="0" w:space="0" w:color="auto"/>
            <w:bottom w:val="none" w:sz="0" w:space="0" w:color="auto"/>
            <w:right w:val="none" w:sz="0" w:space="0" w:color="auto"/>
          </w:divBdr>
        </w:div>
        <w:div w:id="745105414">
          <w:marLeft w:val="0"/>
          <w:marRight w:val="0"/>
          <w:marTop w:val="0"/>
          <w:marBottom w:val="0"/>
          <w:divBdr>
            <w:top w:val="none" w:sz="0" w:space="0" w:color="auto"/>
            <w:left w:val="none" w:sz="0" w:space="0" w:color="auto"/>
            <w:bottom w:val="none" w:sz="0" w:space="0" w:color="auto"/>
            <w:right w:val="none" w:sz="0" w:space="0" w:color="auto"/>
          </w:divBdr>
        </w:div>
        <w:div w:id="1259753211">
          <w:marLeft w:val="0"/>
          <w:marRight w:val="0"/>
          <w:marTop w:val="0"/>
          <w:marBottom w:val="0"/>
          <w:divBdr>
            <w:top w:val="none" w:sz="0" w:space="0" w:color="auto"/>
            <w:left w:val="none" w:sz="0" w:space="0" w:color="auto"/>
            <w:bottom w:val="none" w:sz="0" w:space="0" w:color="auto"/>
            <w:right w:val="none" w:sz="0" w:space="0" w:color="auto"/>
          </w:divBdr>
        </w:div>
        <w:div w:id="470901734">
          <w:marLeft w:val="0"/>
          <w:marRight w:val="0"/>
          <w:marTop w:val="0"/>
          <w:marBottom w:val="0"/>
          <w:divBdr>
            <w:top w:val="none" w:sz="0" w:space="0" w:color="auto"/>
            <w:left w:val="none" w:sz="0" w:space="0" w:color="auto"/>
            <w:bottom w:val="none" w:sz="0" w:space="0" w:color="auto"/>
            <w:right w:val="none" w:sz="0" w:space="0" w:color="auto"/>
          </w:divBdr>
        </w:div>
        <w:div w:id="234125222">
          <w:marLeft w:val="0"/>
          <w:marRight w:val="0"/>
          <w:marTop w:val="0"/>
          <w:marBottom w:val="0"/>
          <w:divBdr>
            <w:top w:val="none" w:sz="0" w:space="0" w:color="auto"/>
            <w:left w:val="none" w:sz="0" w:space="0" w:color="auto"/>
            <w:bottom w:val="none" w:sz="0" w:space="0" w:color="auto"/>
            <w:right w:val="none" w:sz="0" w:space="0" w:color="auto"/>
          </w:divBdr>
        </w:div>
        <w:div w:id="1218974454">
          <w:marLeft w:val="0"/>
          <w:marRight w:val="0"/>
          <w:marTop w:val="0"/>
          <w:marBottom w:val="0"/>
          <w:divBdr>
            <w:top w:val="none" w:sz="0" w:space="0" w:color="auto"/>
            <w:left w:val="none" w:sz="0" w:space="0" w:color="auto"/>
            <w:bottom w:val="none" w:sz="0" w:space="0" w:color="auto"/>
            <w:right w:val="none" w:sz="0" w:space="0" w:color="auto"/>
          </w:divBdr>
        </w:div>
        <w:div w:id="1709142022">
          <w:marLeft w:val="0"/>
          <w:marRight w:val="0"/>
          <w:marTop w:val="0"/>
          <w:marBottom w:val="0"/>
          <w:divBdr>
            <w:top w:val="none" w:sz="0" w:space="0" w:color="auto"/>
            <w:left w:val="none" w:sz="0" w:space="0" w:color="auto"/>
            <w:bottom w:val="none" w:sz="0" w:space="0" w:color="auto"/>
            <w:right w:val="none" w:sz="0" w:space="0" w:color="auto"/>
          </w:divBdr>
        </w:div>
        <w:div w:id="986124636">
          <w:marLeft w:val="0"/>
          <w:marRight w:val="0"/>
          <w:marTop w:val="0"/>
          <w:marBottom w:val="0"/>
          <w:divBdr>
            <w:top w:val="none" w:sz="0" w:space="0" w:color="auto"/>
            <w:left w:val="none" w:sz="0" w:space="0" w:color="auto"/>
            <w:bottom w:val="none" w:sz="0" w:space="0" w:color="auto"/>
            <w:right w:val="none" w:sz="0" w:space="0" w:color="auto"/>
          </w:divBdr>
        </w:div>
        <w:div w:id="193268693">
          <w:marLeft w:val="0"/>
          <w:marRight w:val="0"/>
          <w:marTop w:val="0"/>
          <w:marBottom w:val="0"/>
          <w:divBdr>
            <w:top w:val="none" w:sz="0" w:space="0" w:color="auto"/>
            <w:left w:val="none" w:sz="0" w:space="0" w:color="auto"/>
            <w:bottom w:val="none" w:sz="0" w:space="0" w:color="auto"/>
            <w:right w:val="none" w:sz="0" w:space="0" w:color="auto"/>
          </w:divBdr>
        </w:div>
        <w:div w:id="90324595">
          <w:marLeft w:val="0"/>
          <w:marRight w:val="0"/>
          <w:marTop w:val="0"/>
          <w:marBottom w:val="0"/>
          <w:divBdr>
            <w:top w:val="none" w:sz="0" w:space="0" w:color="auto"/>
            <w:left w:val="none" w:sz="0" w:space="0" w:color="auto"/>
            <w:bottom w:val="none" w:sz="0" w:space="0" w:color="auto"/>
            <w:right w:val="none" w:sz="0" w:space="0" w:color="auto"/>
          </w:divBdr>
        </w:div>
        <w:div w:id="1322003585">
          <w:marLeft w:val="0"/>
          <w:marRight w:val="0"/>
          <w:marTop w:val="0"/>
          <w:marBottom w:val="0"/>
          <w:divBdr>
            <w:top w:val="none" w:sz="0" w:space="0" w:color="auto"/>
            <w:left w:val="none" w:sz="0" w:space="0" w:color="auto"/>
            <w:bottom w:val="none" w:sz="0" w:space="0" w:color="auto"/>
            <w:right w:val="none" w:sz="0" w:space="0" w:color="auto"/>
          </w:divBdr>
        </w:div>
        <w:div w:id="1908877060">
          <w:marLeft w:val="0"/>
          <w:marRight w:val="0"/>
          <w:marTop w:val="0"/>
          <w:marBottom w:val="0"/>
          <w:divBdr>
            <w:top w:val="none" w:sz="0" w:space="0" w:color="auto"/>
            <w:left w:val="none" w:sz="0" w:space="0" w:color="auto"/>
            <w:bottom w:val="none" w:sz="0" w:space="0" w:color="auto"/>
            <w:right w:val="none" w:sz="0" w:space="0" w:color="auto"/>
          </w:divBdr>
        </w:div>
        <w:div w:id="1768961573">
          <w:marLeft w:val="0"/>
          <w:marRight w:val="0"/>
          <w:marTop w:val="0"/>
          <w:marBottom w:val="0"/>
          <w:divBdr>
            <w:top w:val="none" w:sz="0" w:space="0" w:color="auto"/>
            <w:left w:val="none" w:sz="0" w:space="0" w:color="auto"/>
            <w:bottom w:val="none" w:sz="0" w:space="0" w:color="auto"/>
            <w:right w:val="none" w:sz="0" w:space="0" w:color="auto"/>
          </w:divBdr>
        </w:div>
        <w:div w:id="1383217508">
          <w:marLeft w:val="0"/>
          <w:marRight w:val="0"/>
          <w:marTop w:val="0"/>
          <w:marBottom w:val="0"/>
          <w:divBdr>
            <w:top w:val="none" w:sz="0" w:space="0" w:color="auto"/>
            <w:left w:val="none" w:sz="0" w:space="0" w:color="auto"/>
            <w:bottom w:val="none" w:sz="0" w:space="0" w:color="auto"/>
            <w:right w:val="none" w:sz="0" w:space="0" w:color="auto"/>
          </w:divBdr>
        </w:div>
        <w:div w:id="1459301873">
          <w:marLeft w:val="0"/>
          <w:marRight w:val="0"/>
          <w:marTop w:val="0"/>
          <w:marBottom w:val="0"/>
          <w:divBdr>
            <w:top w:val="none" w:sz="0" w:space="0" w:color="auto"/>
            <w:left w:val="none" w:sz="0" w:space="0" w:color="auto"/>
            <w:bottom w:val="none" w:sz="0" w:space="0" w:color="auto"/>
            <w:right w:val="none" w:sz="0" w:space="0" w:color="auto"/>
          </w:divBdr>
        </w:div>
        <w:div w:id="459540497">
          <w:marLeft w:val="0"/>
          <w:marRight w:val="0"/>
          <w:marTop w:val="0"/>
          <w:marBottom w:val="0"/>
          <w:divBdr>
            <w:top w:val="none" w:sz="0" w:space="0" w:color="auto"/>
            <w:left w:val="none" w:sz="0" w:space="0" w:color="auto"/>
            <w:bottom w:val="none" w:sz="0" w:space="0" w:color="auto"/>
            <w:right w:val="none" w:sz="0" w:space="0" w:color="auto"/>
          </w:divBdr>
        </w:div>
      </w:divsChild>
    </w:div>
    <w:div w:id="274793302">
      <w:bodyDiv w:val="1"/>
      <w:marLeft w:val="0"/>
      <w:marRight w:val="0"/>
      <w:marTop w:val="0"/>
      <w:marBottom w:val="0"/>
      <w:divBdr>
        <w:top w:val="none" w:sz="0" w:space="0" w:color="auto"/>
        <w:left w:val="none" w:sz="0" w:space="0" w:color="auto"/>
        <w:bottom w:val="none" w:sz="0" w:space="0" w:color="auto"/>
        <w:right w:val="none" w:sz="0" w:space="0" w:color="auto"/>
      </w:divBdr>
      <w:divsChild>
        <w:div w:id="820540939">
          <w:marLeft w:val="0"/>
          <w:marRight w:val="0"/>
          <w:marTop w:val="0"/>
          <w:marBottom w:val="0"/>
          <w:divBdr>
            <w:top w:val="none" w:sz="0" w:space="0" w:color="auto"/>
            <w:left w:val="none" w:sz="0" w:space="0" w:color="auto"/>
            <w:bottom w:val="none" w:sz="0" w:space="0" w:color="auto"/>
            <w:right w:val="none" w:sz="0" w:space="0" w:color="auto"/>
          </w:divBdr>
        </w:div>
        <w:div w:id="870531291">
          <w:marLeft w:val="0"/>
          <w:marRight w:val="0"/>
          <w:marTop w:val="0"/>
          <w:marBottom w:val="0"/>
          <w:divBdr>
            <w:top w:val="none" w:sz="0" w:space="0" w:color="auto"/>
            <w:left w:val="none" w:sz="0" w:space="0" w:color="auto"/>
            <w:bottom w:val="none" w:sz="0" w:space="0" w:color="auto"/>
            <w:right w:val="none" w:sz="0" w:space="0" w:color="auto"/>
          </w:divBdr>
        </w:div>
        <w:div w:id="743987649">
          <w:marLeft w:val="0"/>
          <w:marRight w:val="0"/>
          <w:marTop w:val="0"/>
          <w:marBottom w:val="0"/>
          <w:divBdr>
            <w:top w:val="none" w:sz="0" w:space="0" w:color="auto"/>
            <w:left w:val="none" w:sz="0" w:space="0" w:color="auto"/>
            <w:bottom w:val="none" w:sz="0" w:space="0" w:color="auto"/>
            <w:right w:val="none" w:sz="0" w:space="0" w:color="auto"/>
          </w:divBdr>
        </w:div>
        <w:div w:id="1554318049">
          <w:marLeft w:val="0"/>
          <w:marRight w:val="0"/>
          <w:marTop w:val="0"/>
          <w:marBottom w:val="0"/>
          <w:divBdr>
            <w:top w:val="none" w:sz="0" w:space="0" w:color="auto"/>
            <w:left w:val="none" w:sz="0" w:space="0" w:color="auto"/>
            <w:bottom w:val="none" w:sz="0" w:space="0" w:color="auto"/>
            <w:right w:val="none" w:sz="0" w:space="0" w:color="auto"/>
          </w:divBdr>
        </w:div>
        <w:div w:id="199175424">
          <w:marLeft w:val="0"/>
          <w:marRight w:val="0"/>
          <w:marTop w:val="0"/>
          <w:marBottom w:val="0"/>
          <w:divBdr>
            <w:top w:val="none" w:sz="0" w:space="0" w:color="auto"/>
            <w:left w:val="none" w:sz="0" w:space="0" w:color="auto"/>
            <w:bottom w:val="none" w:sz="0" w:space="0" w:color="auto"/>
            <w:right w:val="none" w:sz="0" w:space="0" w:color="auto"/>
          </w:divBdr>
        </w:div>
        <w:div w:id="1818255157">
          <w:marLeft w:val="0"/>
          <w:marRight w:val="0"/>
          <w:marTop w:val="0"/>
          <w:marBottom w:val="0"/>
          <w:divBdr>
            <w:top w:val="none" w:sz="0" w:space="0" w:color="auto"/>
            <w:left w:val="none" w:sz="0" w:space="0" w:color="auto"/>
            <w:bottom w:val="none" w:sz="0" w:space="0" w:color="auto"/>
            <w:right w:val="none" w:sz="0" w:space="0" w:color="auto"/>
          </w:divBdr>
        </w:div>
        <w:div w:id="196965346">
          <w:marLeft w:val="0"/>
          <w:marRight w:val="0"/>
          <w:marTop w:val="0"/>
          <w:marBottom w:val="0"/>
          <w:divBdr>
            <w:top w:val="none" w:sz="0" w:space="0" w:color="auto"/>
            <w:left w:val="none" w:sz="0" w:space="0" w:color="auto"/>
            <w:bottom w:val="none" w:sz="0" w:space="0" w:color="auto"/>
            <w:right w:val="none" w:sz="0" w:space="0" w:color="auto"/>
          </w:divBdr>
        </w:div>
        <w:div w:id="1155995402">
          <w:marLeft w:val="0"/>
          <w:marRight w:val="0"/>
          <w:marTop w:val="0"/>
          <w:marBottom w:val="0"/>
          <w:divBdr>
            <w:top w:val="none" w:sz="0" w:space="0" w:color="auto"/>
            <w:left w:val="none" w:sz="0" w:space="0" w:color="auto"/>
            <w:bottom w:val="none" w:sz="0" w:space="0" w:color="auto"/>
            <w:right w:val="none" w:sz="0" w:space="0" w:color="auto"/>
          </w:divBdr>
        </w:div>
        <w:div w:id="1755590503">
          <w:marLeft w:val="0"/>
          <w:marRight w:val="0"/>
          <w:marTop w:val="0"/>
          <w:marBottom w:val="0"/>
          <w:divBdr>
            <w:top w:val="none" w:sz="0" w:space="0" w:color="auto"/>
            <w:left w:val="none" w:sz="0" w:space="0" w:color="auto"/>
            <w:bottom w:val="none" w:sz="0" w:space="0" w:color="auto"/>
            <w:right w:val="none" w:sz="0" w:space="0" w:color="auto"/>
          </w:divBdr>
        </w:div>
        <w:div w:id="514927484">
          <w:marLeft w:val="0"/>
          <w:marRight w:val="0"/>
          <w:marTop w:val="0"/>
          <w:marBottom w:val="0"/>
          <w:divBdr>
            <w:top w:val="none" w:sz="0" w:space="0" w:color="auto"/>
            <w:left w:val="none" w:sz="0" w:space="0" w:color="auto"/>
            <w:bottom w:val="none" w:sz="0" w:space="0" w:color="auto"/>
            <w:right w:val="none" w:sz="0" w:space="0" w:color="auto"/>
          </w:divBdr>
        </w:div>
        <w:div w:id="925265302">
          <w:marLeft w:val="0"/>
          <w:marRight w:val="0"/>
          <w:marTop w:val="0"/>
          <w:marBottom w:val="0"/>
          <w:divBdr>
            <w:top w:val="none" w:sz="0" w:space="0" w:color="auto"/>
            <w:left w:val="none" w:sz="0" w:space="0" w:color="auto"/>
            <w:bottom w:val="none" w:sz="0" w:space="0" w:color="auto"/>
            <w:right w:val="none" w:sz="0" w:space="0" w:color="auto"/>
          </w:divBdr>
        </w:div>
        <w:div w:id="1017390191">
          <w:marLeft w:val="0"/>
          <w:marRight w:val="0"/>
          <w:marTop w:val="0"/>
          <w:marBottom w:val="0"/>
          <w:divBdr>
            <w:top w:val="none" w:sz="0" w:space="0" w:color="auto"/>
            <w:left w:val="none" w:sz="0" w:space="0" w:color="auto"/>
            <w:bottom w:val="none" w:sz="0" w:space="0" w:color="auto"/>
            <w:right w:val="none" w:sz="0" w:space="0" w:color="auto"/>
          </w:divBdr>
        </w:div>
        <w:div w:id="1198204642">
          <w:marLeft w:val="0"/>
          <w:marRight w:val="0"/>
          <w:marTop w:val="0"/>
          <w:marBottom w:val="0"/>
          <w:divBdr>
            <w:top w:val="none" w:sz="0" w:space="0" w:color="auto"/>
            <w:left w:val="none" w:sz="0" w:space="0" w:color="auto"/>
            <w:bottom w:val="none" w:sz="0" w:space="0" w:color="auto"/>
            <w:right w:val="none" w:sz="0" w:space="0" w:color="auto"/>
          </w:divBdr>
        </w:div>
        <w:div w:id="1375275293">
          <w:marLeft w:val="0"/>
          <w:marRight w:val="0"/>
          <w:marTop w:val="0"/>
          <w:marBottom w:val="0"/>
          <w:divBdr>
            <w:top w:val="none" w:sz="0" w:space="0" w:color="auto"/>
            <w:left w:val="none" w:sz="0" w:space="0" w:color="auto"/>
            <w:bottom w:val="none" w:sz="0" w:space="0" w:color="auto"/>
            <w:right w:val="none" w:sz="0" w:space="0" w:color="auto"/>
          </w:divBdr>
        </w:div>
        <w:div w:id="816801659">
          <w:marLeft w:val="0"/>
          <w:marRight w:val="0"/>
          <w:marTop w:val="0"/>
          <w:marBottom w:val="0"/>
          <w:divBdr>
            <w:top w:val="none" w:sz="0" w:space="0" w:color="auto"/>
            <w:left w:val="none" w:sz="0" w:space="0" w:color="auto"/>
            <w:bottom w:val="none" w:sz="0" w:space="0" w:color="auto"/>
            <w:right w:val="none" w:sz="0" w:space="0" w:color="auto"/>
          </w:divBdr>
        </w:div>
        <w:div w:id="1867207585">
          <w:marLeft w:val="0"/>
          <w:marRight w:val="0"/>
          <w:marTop w:val="0"/>
          <w:marBottom w:val="0"/>
          <w:divBdr>
            <w:top w:val="none" w:sz="0" w:space="0" w:color="auto"/>
            <w:left w:val="none" w:sz="0" w:space="0" w:color="auto"/>
            <w:bottom w:val="none" w:sz="0" w:space="0" w:color="auto"/>
            <w:right w:val="none" w:sz="0" w:space="0" w:color="auto"/>
          </w:divBdr>
        </w:div>
        <w:div w:id="1643316479">
          <w:marLeft w:val="0"/>
          <w:marRight w:val="0"/>
          <w:marTop w:val="0"/>
          <w:marBottom w:val="0"/>
          <w:divBdr>
            <w:top w:val="none" w:sz="0" w:space="0" w:color="auto"/>
            <w:left w:val="none" w:sz="0" w:space="0" w:color="auto"/>
            <w:bottom w:val="none" w:sz="0" w:space="0" w:color="auto"/>
            <w:right w:val="none" w:sz="0" w:space="0" w:color="auto"/>
          </w:divBdr>
        </w:div>
        <w:div w:id="1001003994">
          <w:marLeft w:val="0"/>
          <w:marRight w:val="0"/>
          <w:marTop w:val="0"/>
          <w:marBottom w:val="0"/>
          <w:divBdr>
            <w:top w:val="none" w:sz="0" w:space="0" w:color="auto"/>
            <w:left w:val="none" w:sz="0" w:space="0" w:color="auto"/>
            <w:bottom w:val="none" w:sz="0" w:space="0" w:color="auto"/>
            <w:right w:val="none" w:sz="0" w:space="0" w:color="auto"/>
          </w:divBdr>
        </w:div>
        <w:div w:id="153839105">
          <w:marLeft w:val="0"/>
          <w:marRight w:val="0"/>
          <w:marTop w:val="0"/>
          <w:marBottom w:val="0"/>
          <w:divBdr>
            <w:top w:val="none" w:sz="0" w:space="0" w:color="auto"/>
            <w:left w:val="none" w:sz="0" w:space="0" w:color="auto"/>
            <w:bottom w:val="none" w:sz="0" w:space="0" w:color="auto"/>
            <w:right w:val="none" w:sz="0" w:space="0" w:color="auto"/>
          </w:divBdr>
        </w:div>
        <w:div w:id="1638341770">
          <w:marLeft w:val="0"/>
          <w:marRight w:val="0"/>
          <w:marTop w:val="0"/>
          <w:marBottom w:val="0"/>
          <w:divBdr>
            <w:top w:val="none" w:sz="0" w:space="0" w:color="auto"/>
            <w:left w:val="none" w:sz="0" w:space="0" w:color="auto"/>
            <w:bottom w:val="none" w:sz="0" w:space="0" w:color="auto"/>
            <w:right w:val="none" w:sz="0" w:space="0" w:color="auto"/>
          </w:divBdr>
        </w:div>
        <w:div w:id="1907645596">
          <w:marLeft w:val="0"/>
          <w:marRight w:val="0"/>
          <w:marTop w:val="0"/>
          <w:marBottom w:val="0"/>
          <w:divBdr>
            <w:top w:val="none" w:sz="0" w:space="0" w:color="auto"/>
            <w:left w:val="none" w:sz="0" w:space="0" w:color="auto"/>
            <w:bottom w:val="none" w:sz="0" w:space="0" w:color="auto"/>
            <w:right w:val="none" w:sz="0" w:space="0" w:color="auto"/>
          </w:divBdr>
        </w:div>
        <w:div w:id="1941332876">
          <w:marLeft w:val="0"/>
          <w:marRight w:val="0"/>
          <w:marTop w:val="0"/>
          <w:marBottom w:val="0"/>
          <w:divBdr>
            <w:top w:val="none" w:sz="0" w:space="0" w:color="auto"/>
            <w:left w:val="none" w:sz="0" w:space="0" w:color="auto"/>
            <w:bottom w:val="none" w:sz="0" w:space="0" w:color="auto"/>
            <w:right w:val="none" w:sz="0" w:space="0" w:color="auto"/>
          </w:divBdr>
        </w:div>
        <w:div w:id="127629371">
          <w:marLeft w:val="0"/>
          <w:marRight w:val="0"/>
          <w:marTop w:val="0"/>
          <w:marBottom w:val="0"/>
          <w:divBdr>
            <w:top w:val="none" w:sz="0" w:space="0" w:color="auto"/>
            <w:left w:val="none" w:sz="0" w:space="0" w:color="auto"/>
            <w:bottom w:val="none" w:sz="0" w:space="0" w:color="auto"/>
            <w:right w:val="none" w:sz="0" w:space="0" w:color="auto"/>
          </w:divBdr>
        </w:div>
        <w:div w:id="137648333">
          <w:marLeft w:val="0"/>
          <w:marRight w:val="0"/>
          <w:marTop w:val="0"/>
          <w:marBottom w:val="0"/>
          <w:divBdr>
            <w:top w:val="none" w:sz="0" w:space="0" w:color="auto"/>
            <w:left w:val="none" w:sz="0" w:space="0" w:color="auto"/>
            <w:bottom w:val="none" w:sz="0" w:space="0" w:color="auto"/>
            <w:right w:val="none" w:sz="0" w:space="0" w:color="auto"/>
          </w:divBdr>
        </w:div>
        <w:div w:id="1495997061">
          <w:marLeft w:val="0"/>
          <w:marRight w:val="0"/>
          <w:marTop w:val="0"/>
          <w:marBottom w:val="0"/>
          <w:divBdr>
            <w:top w:val="none" w:sz="0" w:space="0" w:color="auto"/>
            <w:left w:val="none" w:sz="0" w:space="0" w:color="auto"/>
            <w:bottom w:val="none" w:sz="0" w:space="0" w:color="auto"/>
            <w:right w:val="none" w:sz="0" w:space="0" w:color="auto"/>
          </w:divBdr>
        </w:div>
        <w:div w:id="1766343778">
          <w:marLeft w:val="0"/>
          <w:marRight w:val="0"/>
          <w:marTop w:val="0"/>
          <w:marBottom w:val="0"/>
          <w:divBdr>
            <w:top w:val="none" w:sz="0" w:space="0" w:color="auto"/>
            <w:left w:val="none" w:sz="0" w:space="0" w:color="auto"/>
            <w:bottom w:val="none" w:sz="0" w:space="0" w:color="auto"/>
            <w:right w:val="none" w:sz="0" w:space="0" w:color="auto"/>
          </w:divBdr>
        </w:div>
        <w:div w:id="285507519">
          <w:marLeft w:val="0"/>
          <w:marRight w:val="0"/>
          <w:marTop w:val="0"/>
          <w:marBottom w:val="0"/>
          <w:divBdr>
            <w:top w:val="none" w:sz="0" w:space="0" w:color="auto"/>
            <w:left w:val="none" w:sz="0" w:space="0" w:color="auto"/>
            <w:bottom w:val="none" w:sz="0" w:space="0" w:color="auto"/>
            <w:right w:val="none" w:sz="0" w:space="0" w:color="auto"/>
          </w:divBdr>
        </w:div>
        <w:div w:id="1711226621">
          <w:marLeft w:val="0"/>
          <w:marRight w:val="0"/>
          <w:marTop w:val="0"/>
          <w:marBottom w:val="0"/>
          <w:divBdr>
            <w:top w:val="none" w:sz="0" w:space="0" w:color="auto"/>
            <w:left w:val="none" w:sz="0" w:space="0" w:color="auto"/>
            <w:bottom w:val="none" w:sz="0" w:space="0" w:color="auto"/>
            <w:right w:val="none" w:sz="0" w:space="0" w:color="auto"/>
          </w:divBdr>
        </w:div>
        <w:div w:id="100103541">
          <w:marLeft w:val="0"/>
          <w:marRight w:val="0"/>
          <w:marTop w:val="0"/>
          <w:marBottom w:val="0"/>
          <w:divBdr>
            <w:top w:val="none" w:sz="0" w:space="0" w:color="auto"/>
            <w:left w:val="none" w:sz="0" w:space="0" w:color="auto"/>
            <w:bottom w:val="none" w:sz="0" w:space="0" w:color="auto"/>
            <w:right w:val="none" w:sz="0" w:space="0" w:color="auto"/>
          </w:divBdr>
        </w:div>
        <w:div w:id="632908103">
          <w:marLeft w:val="0"/>
          <w:marRight w:val="0"/>
          <w:marTop w:val="0"/>
          <w:marBottom w:val="0"/>
          <w:divBdr>
            <w:top w:val="none" w:sz="0" w:space="0" w:color="auto"/>
            <w:left w:val="none" w:sz="0" w:space="0" w:color="auto"/>
            <w:bottom w:val="none" w:sz="0" w:space="0" w:color="auto"/>
            <w:right w:val="none" w:sz="0" w:space="0" w:color="auto"/>
          </w:divBdr>
        </w:div>
        <w:div w:id="39019872">
          <w:marLeft w:val="0"/>
          <w:marRight w:val="0"/>
          <w:marTop w:val="0"/>
          <w:marBottom w:val="0"/>
          <w:divBdr>
            <w:top w:val="none" w:sz="0" w:space="0" w:color="auto"/>
            <w:left w:val="none" w:sz="0" w:space="0" w:color="auto"/>
            <w:bottom w:val="none" w:sz="0" w:space="0" w:color="auto"/>
            <w:right w:val="none" w:sz="0" w:space="0" w:color="auto"/>
          </w:divBdr>
        </w:div>
        <w:div w:id="690103529">
          <w:marLeft w:val="0"/>
          <w:marRight w:val="0"/>
          <w:marTop w:val="0"/>
          <w:marBottom w:val="0"/>
          <w:divBdr>
            <w:top w:val="none" w:sz="0" w:space="0" w:color="auto"/>
            <w:left w:val="none" w:sz="0" w:space="0" w:color="auto"/>
            <w:bottom w:val="none" w:sz="0" w:space="0" w:color="auto"/>
            <w:right w:val="none" w:sz="0" w:space="0" w:color="auto"/>
          </w:divBdr>
        </w:div>
        <w:div w:id="537935898">
          <w:marLeft w:val="0"/>
          <w:marRight w:val="0"/>
          <w:marTop w:val="0"/>
          <w:marBottom w:val="0"/>
          <w:divBdr>
            <w:top w:val="none" w:sz="0" w:space="0" w:color="auto"/>
            <w:left w:val="none" w:sz="0" w:space="0" w:color="auto"/>
            <w:bottom w:val="none" w:sz="0" w:space="0" w:color="auto"/>
            <w:right w:val="none" w:sz="0" w:space="0" w:color="auto"/>
          </w:divBdr>
        </w:div>
        <w:div w:id="1136794081">
          <w:marLeft w:val="0"/>
          <w:marRight w:val="0"/>
          <w:marTop w:val="0"/>
          <w:marBottom w:val="0"/>
          <w:divBdr>
            <w:top w:val="none" w:sz="0" w:space="0" w:color="auto"/>
            <w:left w:val="none" w:sz="0" w:space="0" w:color="auto"/>
            <w:bottom w:val="none" w:sz="0" w:space="0" w:color="auto"/>
            <w:right w:val="none" w:sz="0" w:space="0" w:color="auto"/>
          </w:divBdr>
        </w:div>
        <w:div w:id="1384864818">
          <w:marLeft w:val="0"/>
          <w:marRight w:val="0"/>
          <w:marTop w:val="0"/>
          <w:marBottom w:val="0"/>
          <w:divBdr>
            <w:top w:val="none" w:sz="0" w:space="0" w:color="auto"/>
            <w:left w:val="none" w:sz="0" w:space="0" w:color="auto"/>
            <w:bottom w:val="none" w:sz="0" w:space="0" w:color="auto"/>
            <w:right w:val="none" w:sz="0" w:space="0" w:color="auto"/>
          </w:divBdr>
        </w:div>
        <w:div w:id="404452434">
          <w:marLeft w:val="0"/>
          <w:marRight w:val="0"/>
          <w:marTop w:val="0"/>
          <w:marBottom w:val="0"/>
          <w:divBdr>
            <w:top w:val="none" w:sz="0" w:space="0" w:color="auto"/>
            <w:left w:val="none" w:sz="0" w:space="0" w:color="auto"/>
            <w:bottom w:val="none" w:sz="0" w:space="0" w:color="auto"/>
            <w:right w:val="none" w:sz="0" w:space="0" w:color="auto"/>
          </w:divBdr>
        </w:div>
        <w:div w:id="298848019">
          <w:marLeft w:val="0"/>
          <w:marRight w:val="0"/>
          <w:marTop w:val="0"/>
          <w:marBottom w:val="0"/>
          <w:divBdr>
            <w:top w:val="none" w:sz="0" w:space="0" w:color="auto"/>
            <w:left w:val="none" w:sz="0" w:space="0" w:color="auto"/>
            <w:bottom w:val="none" w:sz="0" w:space="0" w:color="auto"/>
            <w:right w:val="none" w:sz="0" w:space="0" w:color="auto"/>
          </w:divBdr>
        </w:div>
        <w:div w:id="1737781431">
          <w:marLeft w:val="0"/>
          <w:marRight w:val="0"/>
          <w:marTop w:val="0"/>
          <w:marBottom w:val="0"/>
          <w:divBdr>
            <w:top w:val="none" w:sz="0" w:space="0" w:color="auto"/>
            <w:left w:val="none" w:sz="0" w:space="0" w:color="auto"/>
            <w:bottom w:val="none" w:sz="0" w:space="0" w:color="auto"/>
            <w:right w:val="none" w:sz="0" w:space="0" w:color="auto"/>
          </w:divBdr>
        </w:div>
        <w:div w:id="988747892">
          <w:marLeft w:val="0"/>
          <w:marRight w:val="0"/>
          <w:marTop w:val="0"/>
          <w:marBottom w:val="0"/>
          <w:divBdr>
            <w:top w:val="none" w:sz="0" w:space="0" w:color="auto"/>
            <w:left w:val="none" w:sz="0" w:space="0" w:color="auto"/>
            <w:bottom w:val="none" w:sz="0" w:space="0" w:color="auto"/>
            <w:right w:val="none" w:sz="0" w:space="0" w:color="auto"/>
          </w:divBdr>
        </w:div>
        <w:div w:id="378088728">
          <w:marLeft w:val="0"/>
          <w:marRight w:val="0"/>
          <w:marTop w:val="0"/>
          <w:marBottom w:val="0"/>
          <w:divBdr>
            <w:top w:val="none" w:sz="0" w:space="0" w:color="auto"/>
            <w:left w:val="none" w:sz="0" w:space="0" w:color="auto"/>
            <w:bottom w:val="none" w:sz="0" w:space="0" w:color="auto"/>
            <w:right w:val="none" w:sz="0" w:space="0" w:color="auto"/>
          </w:divBdr>
        </w:div>
        <w:div w:id="405303102">
          <w:marLeft w:val="0"/>
          <w:marRight w:val="0"/>
          <w:marTop w:val="0"/>
          <w:marBottom w:val="0"/>
          <w:divBdr>
            <w:top w:val="none" w:sz="0" w:space="0" w:color="auto"/>
            <w:left w:val="none" w:sz="0" w:space="0" w:color="auto"/>
            <w:bottom w:val="none" w:sz="0" w:space="0" w:color="auto"/>
            <w:right w:val="none" w:sz="0" w:space="0" w:color="auto"/>
          </w:divBdr>
        </w:div>
        <w:div w:id="1191797991">
          <w:marLeft w:val="0"/>
          <w:marRight w:val="0"/>
          <w:marTop w:val="0"/>
          <w:marBottom w:val="0"/>
          <w:divBdr>
            <w:top w:val="none" w:sz="0" w:space="0" w:color="auto"/>
            <w:left w:val="none" w:sz="0" w:space="0" w:color="auto"/>
            <w:bottom w:val="none" w:sz="0" w:space="0" w:color="auto"/>
            <w:right w:val="none" w:sz="0" w:space="0" w:color="auto"/>
          </w:divBdr>
        </w:div>
        <w:div w:id="483282959">
          <w:marLeft w:val="0"/>
          <w:marRight w:val="0"/>
          <w:marTop w:val="0"/>
          <w:marBottom w:val="0"/>
          <w:divBdr>
            <w:top w:val="none" w:sz="0" w:space="0" w:color="auto"/>
            <w:left w:val="none" w:sz="0" w:space="0" w:color="auto"/>
            <w:bottom w:val="none" w:sz="0" w:space="0" w:color="auto"/>
            <w:right w:val="none" w:sz="0" w:space="0" w:color="auto"/>
          </w:divBdr>
        </w:div>
        <w:div w:id="1886792150">
          <w:marLeft w:val="0"/>
          <w:marRight w:val="0"/>
          <w:marTop w:val="0"/>
          <w:marBottom w:val="0"/>
          <w:divBdr>
            <w:top w:val="none" w:sz="0" w:space="0" w:color="auto"/>
            <w:left w:val="none" w:sz="0" w:space="0" w:color="auto"/>
            <w:bottom w:val="none" w:sz="0" w:space="0" w:color="auto"/>
            <w:right w:val="none" w:sz="0" w:space="0" w:color="auto"/>
          </w:divBdr>
        </w:div>
      </w:divsChild>
    </w:div>
    <w:div w:id="281618347">
      <w:bodyDiv w:val="1"/>
      <w:marLeft w:val="0"/>
      <w:marRight w:val="0"/>
      <w:marTop w:val="0"/>
      <w:marBottom w:val="0"/>
      <w:divBdr>
        <w:top w:val="none" w:sz="0" w:space="0" w:color="auto"/>
        <w:left w:val="none" w:sz="0" w:space="0" w:color="auto"/>
        <w:bottom w:val="none" w:sz="0" w:space="0" w:color="auto"/>
        <w:right w:val="none" w:sz="0" w:space="0" w:color="auto"/>
      </w:divBdr>
      <w:divsChild>
        <w:div w:id="853418880">
          <w:marLeft w:val="0"/>
          <w:marRight w:val="0"/>
          <w:marTop w:val="0"/>
          <w:marBottom w:val="0"/>
          <w:divBdr>
            <w:top w:val="none" w:sz="0" w:space="0" w:color="auto"/>
            <w:left w:val="none" w:sz="0" w:space="0" w:color="auto"/>
            <w:bottom w:val="none" w:sz="0" w:space="0" w:color="auto"/>
            <w:right w:val="none" w:sz="0" w:space="0" w:color="auto"/>
          </w:divBdr>
        </w:div>
        <w:div w:id="34544890">
          <w:marLeft w:val="0"/>
          <w:marRight w:val="0"/>
          <w:marTop w:val="0"/>
          <w:marBottom w:val="0"/>
          <w:divBdr>
            <w:top w:val="none" w:sz="0" w:space="0" w:color="auto"/>
            <w:left w:val="none" w:sz="0" w:space="0" w:color="auto"/>
            <w:bottom w:val="none" w:sz="0" w:space="0" w:color="auto"/>
            <w:right w:val="none" w:sz="0" w:space="0" w:color="auto"/>
          </w:divBdr>
        </w:div>
        <w:div w:id="1036272435">
          <w:marLeft w:val="0"/>
          <w:marRight w:val="0"/>
          <w:marTop w:val="0"/>
          <w:marBottom w:val="0"/>
          <w:divBdr>
            <w:top w:val="none" w:sz="0" w:space="0" w:color="auto"/>
            <w:left w:val="none" w:sz="0" w:space="0" w:color="auto"/>
            <w:bottom w:val="none" w:sz="0" w:space="0" w:color="auto"/>
            <w:right w:val="none" w:sz="0" w:space="0" w:color="auto"/>
          </w:divBdr>
        </w:div>
        <w:div w:id="132597548">
          <w:marLeft w:val="0"/>
          <w:marRight w:val="0"/>
          <w:marTop w:val="0"/>
          <w:marBottom w:val="0"/>
          <w:divBdr>
            <w:top w:val="none" w:sz="0" w:space="0" w:color="auto"/>
            <w:left w:val="none" w:sz="0" w:space="0" w:color="auto"/>
            <w:bottom w:val="none" w:sz="0" w:space="0" w:color="auto"/>
            <w:right w:val="none" w:sz="0" w:space="0" w:color="auto"/>
          </w:divBdr>
        </w:div>
        <w:div w:id="1894465845">
          <w:marLeft w:val="0"/>
          <w:marRight w:val="0"/>
          <w:marTop w:val="0"/>
          <w:marBottom w:val="0"/>
          <w:divBdr>
            <w:top w:val="none" w:sz="0" w:space="0" w:color="auto"/>
            <w:left w:val="none" w:sz="0" w:space="0" w:color="auto"/>
            <w:bottom w:val="none" w:sz="0" w:space="0" w:color="auto"/>
            <w:right w:val="none" w:sz="0" w:space="0" w:color="auto"/>
          </w:divBdr>
        </w:div>
        <w:div w:id="728578471">
          <w:marLeft w:val="0"/>
          <w:marRight w:val="0"/>
          <w:marTop w:val="0"/>
          <w:marBottom w:val="0"/>
          <w:divBdr>
            <w:top w:val="none" w:sz="0" w:space="0" w:color="auto"/>
            <w:left w:val="none" w:sz="0" w:space="0" w:color="auto"/>
            <w:bottom w:val="none" w:sz="0" w:space="0" w:color="auto"/>
            <w:right w:val="none" w:sz="0" w:space="0" w:color="auto"/>
          </w:divBdr>
        </w:div>
        <w:div w:id="1137995538">
          <w:marLeft w:val="0"/>
          <w:marRight w:val="0"/>
          <w:marTop w:val="0"/>
          <w:marBottom w:val="0"/>
          <w:divBdr>
            <w:top w:val="none" w:sz="0" w:space="0" w:color="auto"/>
            <w:left w:val="none" w:sz="0" w:space="0" w:color="auto"/>
            <w:bottom w:val="none" w:sz="0" w:space="0" w:color="auto"/>
            <w:right w:val="none" w:sz="0" w:space="0" w:color="auto"/>
          </w:divBdr>
        </w:div>
        <w:div w:id="1033578516">
          <w:marLeft w:val="0"/>
          <w:marRight w:val="0"/>
          <w:marTop w:val="0"/>
          <w:marBottom w:val="0"/>
          <w:divBdr>
            <w:top w:val="none" w:sz="0" w:space="0" w:color="auto"/>
            <w:left w:val="none" w:sz="0" w:space="0" w:color="auto"/>
            <w:bottom w:val="none" w:sz="0" w:space="0" w:color="auto"/>
            <w:right w:val="none" w:sz="0" w:space="0" w:color="auto"/>
          </w:divBdr>
        </w:div>
      </w:divsChild>
    </w:div>
    <w:div w:id="291401561">
      <w:bodyDiv w:val="1"/>
      <w:marLeft w:val="0"/>
      <w:marRight w:val="0"/>
      <w:marTop w:val="0"/>
      <w:marBottom w:val="0"/>
      <w:divBdr>
        <w:top w:val="none" w:sz="0" w:space="0" w:color="auto"/>
        <w:left w:val="none" w:sz="0" w:space="0" w:color="auto"/>
        <w:bottom w:val="none" w:sz="0" w:space="0" w:color="auto"/>
        <w:right w:val="none" w:sz="0" w:space="0" w:color="auto"/>
      </w:divBdr>
      <w:divsChild>
        <w:div w:id="625046138">
          <w:marLeft w:val="0"/>
          <w:marRight w:val="0"/>
          <w:marTop w:val="0"/>
          <w:marBottom w:val="0"/>
          <w:divBdr>
            <w:top w:val="none" w:sz="0" w:space="0" w:color="auto"/>
            <w:left w:val="none" w:sz="0" w:space="0" w:color="auto"/>
            <w:bottom w:val="none" w:sz="0" w:space="0" w:color="auto"/>
            <w:right w:val="none" w:sz="0" w:space="0" w:color="auto"/>
          </w:divBdr>
        </w:div>
        <w:div w:id="1639796985">
          <w:marLeft w:val="0"/>
          <w:marRight w:val="0"/>
          <w:marTop w:val="0"/>
          <w:marBottom w:val="0"/>
          <w:divBdr>
            <w:top w:val="none" w:sz="0" w:space="0" w:color="auto"/>
            <w:left w:val="none" w:sz="0" w:space="0" w:color="auto"/>
            <w:bottom w:val="none" w:sz="0" w:space="0" w:color="auto"/>
            <w:right w:val="none" w:sz="0" w:space="0" w:color="auto"/>
          </w:divBdr>
        </w:div>
        <w:div w:id="1864511106">
          <w:marLeft w:val="0"/>
          <w:marRight w:val="0"/>
          <w:marTop w:val="0"/>
          <w:marBottom w:val="0"/>
          <w:divBdr>
            <w:top w:val="none" w:sz="0" w:space="0" w:color="auto"/>
            <w:left w:val="none" w:sz="0" w:space="0" w:color="auto"/>
            <w:bottom w:val="none" w:sz="0" w:space="0" w:color="auto"/>
            <w:right w:val="none" w:sz="0" w:space="0" w:color="auto"/>
          </w:divBdr>
        </w:div>
        <w:div w:id="885021921">
          <w:marLeft w:val="0"/>
          <w:marRight w:val="0"/>
          <w:marTop w:val="0"/>
          <w:marBottom w:val="0"/>
          <w:divBdr>
            <w:top w:val="none" w:sz="0" w:space="0" w:color="auto"/>
            <w:left w:val="none" w:sz="0" w:space="0" w:color="auto"/>
            <w:bottom w:val="none" w:sz="0" w:space="0" w:color="auto"/>
            <w:right w:val="none" w:sz="0" w:space="0" w:color="auto"/>
          </w:divBdr>
        </w:div>
        <w:div w:id="1342581559">
          <w:marLeft w:val="0"/>
          <w:marRight w:val="0"/>
          <w:marTop w:val="0"/>
          <w:marBottom w:val="0"/>
          <w:divBdr>
            <w:top w:val="none" w:sz="0" w:space="0" w:color="auto"/>
            <w:left w:val="none" w:sz="0" w:space="0" w:color="auto"/>
            <w:bottom w:val="none" w:sz="0" w:space="0" w:color="auto"/>
            <w:right w:val="none" w:sz="0" w:space="0" w:color="auto"/>
          </w:divBdr>
        </w:div>
        <w:div w:id="1597054345">
          <w:marLeft w:val="0"/>
          <w:marRight w:val="0"/>
          <w:marTop w:val="0"/>
          <w:marBottom w:val="0"/>
          <w:divBdr>
            <w:top w:val="none" w:sz="0" w:space="0" w:color="auto"/>
            <w:left w:val="none" w:sz="0" w:space="0" w:color="auto"/>
            <w:bottom w:val="none" w:sz="0" w:space="0" w:color="auto"/>
            <w:right w:val="none" w:sz="0" w:space="0" w:color="auto"/>
          </w:divBdr>
        </w:div>
        <w:div w:id="852039035">
          <w:marLeft w:val="0"/>
          <w:marRight w:val="0"/>
          <w:marTop w:val="0"/>
          <w:marBottom w:val="0"/>
          <w:divBdr>
            <w:top w:val="none" w:sz="0" w:space="0" w:color="auto"/>
            <w:left w:val="none" w:sz="0" w:space="0" w:color="auto"/>
            <w:bottom w:val="none" w:sz="0" w:space="0" w:color="auto"/>
            <w:right w:val="none" w:sz="0" w:space="0" w:color="auto"/>
          </w:divBdr>
        </w:div>
        <w:div w:id="356736253">
          <w:marLeft w:val="0"/>
          <w:marRight w:val="0"/>
          <w:marTop w:val="0"/>
          <w:marBottom w:val="0"/>
          <w:divBdr>
            <w:top w:val="none" w:sz="0" w:space="0" w:color="auto"/>
            <w:left w:val="none" w:sz="0" w:space="0" w:color="auto"/>
            <w:bottom w:val="none" w:sz="0" w:space="0" w:color="auto"/>
            <w:right w:val="none" w:sz="0" w:space="0" w:color="auto"/>
          </w:divBdr>
        </w:div>
        <w:div w:id="161089290">
          <w:marLeft w:val="0"/>
          <w:marRight w:val="0"/>
          <w:marTop w:val="0"/>
          <w:marBottom w:val="0"/>
          <w:divBdr>
            <w:top w:val="none" w:sz="0" w:space="0" w:color="auto"/>
            <w:left w:val="none" w:sz="0" w:space="0" w:color="auto"/>
            <w:bottom w:val="none" w:sz="0" w:space="0" w:color="auto"/>
            <w:right w:val="none" w:sz="0" w:space="0" w:color="auto"/>
          </w:divBdr>
        </w:div>
        <w:div w:id="103038622">
          <w:marLeft w:val="0"/>
          <w:marRight w:val="0"/>
          <w:marTop w:val="0"/>
          <w:marBottom w:val="0"/>
          <w:divBdr>
            <w:top w:val="none" w:sz="0" w:space="0" w:color="auto"/>
            <w:left w:val="none" w:sz="0" w:space="0" w:color="auto"/>
            <w:bottom w:val="none" w:sz="0" w:space="0" w:color="auto"/>
            <w:right w:val="none" w:sz="0" w:space="0" w:color="auto"/>
          </w:divBdr>
        </w:div>
        <w:div w:id="1337465499">
          <w:marLeft w:val="0"/>
          <w:marRight w:val="0"/>
          <w:marTop w:val="0"/>
          <w:marBottom w:val="0"/>
          <w:divBdr>
            <w:top w:val="none" w:sz="0" w:space="0" w:color="auto"/>
            <w:left w:val="none" w:sz="0" w:space="0" w:color="auto"/>
            <w:bottom w:val="none" w:sz="0" w:space="0" w:color="auto"/>
            <w:right w:val="none" w:sz="0" w:space="0" w:color="auto"/>
          </w:divBdr>
        </w:div>
        <w:div w:id="919171120">
          <w:marLeft w:val="0"/>
          <w:marRight w:val="0"/>
          <w:marTop w:val="0"/>
          <w:marBottom w:val="0"/>
          <w:divBdr>
            <w:top w:val="none" w:sz="0" w:space="0" w:color="auto"/>
            <w:left w:val="none" w:sz="0" w:space="0" w:color="auto"/>
            <w:bottom w:val="none" w:sz="0" w:space="0" w:color="auto"/>
            <w:right w:val="none" w:sz="0" w:space="0" w:color="auto"/>
          </w:divBdr>
        </w:div>
        <w:div w:id="54284789">
          <w:marLeft w:val="0"/>
          <w:marRight w:val="0"/>
          <w:marTop w:val="0"/>
          <w:marBottom w:val="0"/>
          <w:divBdr>
            <w:top w:val="none" w:sz="0" w:space="0" w:color="auto"/>
            <w:left w:val="none" w:sz="0" w:space="0" w:color="auto"/>
            <w:bottom w:val="none" w:sz="0" w:space="0" w:color="auto"/>
            <w:right w:val="none" w:sz="0" w:space="0" w:color="auto"/>
          </w:divBdr>
        </w:div>
        <w:div w:id="1241020762">
          <w:marLeft w:val="0"/>
          <w:marRight w:val="0"/>
          <w:marTop w:val="0"/>
          <w:marBottom w:val="0"/>
          <w:divBdr>
            <w:top w:val="none" w:sz="0" w:space="0" w:color="auto"/>
            <w:left w:val="none" w:sz="0" w:space="0" w:color="auto"/>
            <w:bottom w:val="none" w:sz="0" w:space="0" w:color="auto"/>
            <w:right w:val="none" w:sz="0" w:space="0" w:color="auto"/>
          </w:divBdr>
        </w:div>
        <w:div w:id="389497337">
          <w:marLeft w:val="0"/>
          <w:marRight w:val="0"/>
          <w:marTop w:val="0"/>
          <w:marBottom w:val="0"/>
          <w:divBdr>
            <w:top w:val="none" w:sz="0" w:space="0" w:color="auto"/>
            <w:left w:val="none" w:sz="0" w:space="0" w:color="auto"/>
            <w:bottom w:val="none" w:sz="0" w:space="0" w:color="auto"/>
            <w:right w:val="none" w:sz="0" w:space="0" w:color="auto"/>
          </w:divBdr>
        </w:div>
        <w:div w:id="347679463">
          <w:marLeft w:val="0"/>
          <w:marRight w:val="0"/>
          <w:marTop w:val="0"/>
          <w:marBottom w:val="0"/>
          <w:divBdr>
            <w:top w:val="none" w:sz="0" w:space="0" w:color="auto"/>
            <w:left w:val="none" w:sz="0" w:space="0" w:color="auto"/>
            <w:bottom w:val="none" w:sz="0" w:space="0" w:color="auto"/>
            <w:right w:val="none" w:sz="0" w:space="0" w:color="auto"/>
          </w:divBdr>
        </w:div>
        <w:div w:id="1877499848">
          <w:marLeft w:val="0"/>
          <w:marRight w:val="0"/>
          <w:marTop w:val="0"/>
          <w:marBottom w:val="0"/>
          <w:divBdr>
            <w:top w:val="none" w:sz="0" w:space="0" w:color="auto"/>
            <w:left w:val="none" w:sz="0" w:space="0" w:color="auto"/>
            <w:bottom w:val="none" w:sz="0" w:space="0" w:color="auto"/>
            <w:right w:val="none" w:sz="0" w:space="0" w:color="auto"/>
          </w:divBdr>
        </w:div>
        <w:div w:id="678120689">
          <w:marLeft w:val="0"/>
          <w:marRight w:val="0"/>
          <w:marTop w:val="0"/>
          <w:marBottom w:val="0"/>
          <w:divBdr>
            <w:top w:val="none" w:sz="0" w:space="0" w:color="auto"/>
            <w:left w:val="none" w:sz="0" w:space="0" w:color="auto"/>
            <w:bottom w:val="none" w:sz="0" w:space="0" w:color="auto"/>
            <w:right w:val="none" w:sz="0" w:space="0" w:color="auto"/>
          </w:divBdr>
        </w:div>
        <w:div w:id="1396509457">
          <w:marLeft w:val="0"/>
          <w:marRight w:val="0"/>
          <w:marTop w:val="0"/>
          <w:marBottom w:val="0"/>
          <w:divBdr>
            <w:top w:val="none" w:sz="0" w:space="0" w:color="auto"/>
            <w:left w:val="none" w:sz="0" w:space="0" w:color="auto"/>
            <w:bottom w:val="none" w:sz="0" w:space="0" w:color="auto"/>
            <w:right w:val="none" w:sz="0" w:space="0" w:color="auto"/>
          </w:divBdr>
        </w:div>
        <w:div w:id="369184960">
          <w:marLeft w:val="0"/>
          <w:marRight w:val="0"/>
          <w:marTop w:val="0"/>
          <w:marBottom w:val="0"/>
          <w:divBdr>
            <w:top w:val="none" w:sz="0" w:space="0" w:color="auto"/>
            <w:left w:val="none" w:sz="0" w:space="0" w:color="auto"/>
            <w:bottom w:val="none" w:sz="0" w:space="0" w:color="auto"/>
            <w:right w:val="none" w:sz="0" w:space="0" w:color="auto"/>
          </w:divBdr>
        </w:div>
        <w:div w:id="1822578133">
          <w:marLeft w:val="0"/>
          <w:marRight w:val="0"/>
          <w:marTop w:val="0"/>
          <w:marBottom w:val="0"/>
          <w:divBdr>
            <w:top w:val="none" w:sz="0" w:space="0" w:color="auto"/>
            <w:left w:val="none" w:sz="0" w:space="0" w:color="auto"/>
            <w:bottom w:val="none" w:sz="0" w:space="0" w:color="auto"/>
            <w:right w:val="none" w:sz="0" w:space="0" w:color="auto"/>
          </w:divBdr>
        </w:div>
        <w:div w:id="2046366821">
          <w:marLeft w:val="0"/>
          <w:marRight w:val="0"/>
          <w:marTop w:val="0"/>
          <w:marBottom w:val="0"/>
          <w:divBdr>
            <w:top w:val="none" w:sz="0" w:space="0" w:color="auto"/>
            <w:left w:val="none" w:sz="0" w:space="0" w:color="auto"/>
            <w:bottom w:val="none" w:sz="0" w:space="0" w:color="auto"/>
            <w:right w:val="none" w:sz="0" w:space="0" w:color="auto"/>
          </w:divBdr>
        </w:div>
        <w:div w:id="1841192123">
          <w:marLeft w:val="0"/>
          <w:marRight w:val="0"/>
          <w:marTop w:val="0"/>
          <w:marBottom w:val="0"/>
          <w:divBdr>
            <w:top w:val="none" w:sz="0" w:space="0" w:color="auto"/>
            <w:left w:val="none" w:sz="0" w:space="0" w:color="auto"/>
            <w:bottom w:val="none" w:sz="0" w:space="0" w:color="auto"/>
            <w:right w:val="none" w:sz="0" w:space="0" w:color="auto"/>
          </w:divBdr>
        </w:div>
        <w:div w:id="581261822">
          <w:marLeft w:val="0"/>
          <w:marRight w:val="0"/>
          <w:marTop w:val="0"/>
          <w:marBottom w:val="0"/>
          <w:divBdr>
            <w:top w:val="none" w:sz="0" w:space="0" w:color="auto"/>
            <w:left w:val="none" w:sz="0" w:space="0" w:color="auto"/>
            <w:bottom w:val="none" w:sz="0" w:space="0" w:color="auto"/>
            <w:right w:val="none" w:sz="0" w:space="0" w:color="auto"/>
          </w:divBdr>
        </w:div>
        <w:div w:id="349188930">
          <w:marLeft w:val="0"/>
          <w:marRight w:val="0"/>
          <w:marTop w:val="0"/>
          <w:marBottom w:val="0"/>
          <w:divBdr>
            <w:top w:val="none" w:sz="0" w:space="0" w:color="auto"/>
            <w:left w:val="none" w:sz="0" w:space="0" w:color="auto"/>
            <w:bottom w:val="none" w:sz="0" w:space="0" w:color="auto"/>
            <w:right w:val="none" w:sz="0" w:space="0" w:color="auto"/>
          </w:divBdr>
        </w:div>
        <w:div w:id="222638605">
          <w:marLeft w:val="0"/>
          <w:marRight w:val="0"/>
          <w:marTop w:val="0"/>
          <w:marBottom w:val="0"/>
          <w:divBdr>
            <w:top w:val="none" w:sz="0" w:space="0" w:color="auto"/>
            <w:left w:val="none" w:sz="0" w:space="0" w:color="auto"/>
            <w:bottom w:val="none" w:sz="0" w:space="0" w:color="auto"/>
            <w:right w:val="none" w:sz="0" w:space="0" w:color="auto"/>
          </w:divBdr>
        </w:div>
        <w:div w:id="1132362963">
          <w:marLeft w:val="0"/>
          <w:marRight w:val="0"/>
          <w:marTop w:val="0"/>
          <w:marBottom w:val="0"/>
          <w:divBdr>
            <w:top w:val="none" w:sz="0" w:space="0" w:color="auto"/>
            <w:left w:val="none" w:sz="0" w:space="0" w:color="auto"/>
            <w:bottom w:val="none" w:sz="0" w:space="0" w:color="auto"/>
            <w:right w:val="none" w:sz="0" w:space="0" w:color="auto"/>
          </w:divBdr>
        </w:div>
        <w:div w:id="1511945004">
          <w:marLeft w:val="0"/>
          <w:marRight w:val="0"/>
          <w:marTop w:val="0"/>
          <w:marBottom w:val="0"/>
          <w:divBdr>
            <w:top w:val="none" w:sz="0" w:space="0" w:color="auto"/>
            <w:left w:val="none" w:sz="0" w:space="0" w:color="auto"/>
            <w:bottom w:val="none" w:sz="0" w:space="0" w:color="auto"/>
            <w:right w:val="none" w:sz="0" w:space="0" w:color="auto"/>
          </w:divBdr>
        </w:div>
        <w:div w:id="91050055">
          <w:marLeft w:val="0"/>
          <w:marRight w:val="0"/>
          <w:marTop w:val="0"/>
          <w:marBottom w:val="0"/>
          <w:divBdr>
            <w:top w:val="none" w:sz="0" w:space="0" w:color="auto"/>
            <w:left w:val="none" w:sz="0" w:space="0" w:color="auto"/>
            <w:bottom w:val="none" w:sz="0" w:space="0" w:color="auto"/>
            <w:right w:val="none" w:sz="0" w:space="0" w:color="auto"/>
          </w:divBdr>
        </w:div>
        <w:div w:id="1694648635">
          <w:marLeft w:val="0"/>
          <w:marRight w:val="0"/>
          <w:marTop w:val="0"/>
          <w:marBottom w:val="0"/>
          <w:divBdr>
            <w:top w:val="none" w:sz="0" w:space="0" w:color="auto"/>
            <w:left w:val="none" w:sz="0" w:space="0" w:color="auto"/>
            <w:bottom w:val="none" w:sz="0" w:space="0" w:color="auto"/>
            <w:right w:val="none" w:sz="0" w:space="0" w:color="auto"/>
          </w:divBdr>
        </w:div>
        <w:div w:id="24790731">
          <w:marLeft w:val="0"/>
          <w:marRight w:val="0"/>
          <w:marTop w:val="0"/>
          <w:marBottom w:val="0"/>
          <w:divBdr>
            <w:top w:val="none" w:sz="0" w:space="0" w:color="auto"/>
            <w:left w:val="none" w:sz="0" w:space="0" w:color="auto"/>
            <w:bottom w:val="none" w:sz="0" w:space="0" w:color="auto"/>
            <w:right w:val="none" w:sz="0" w:space="0" w:color="auto"/>
          </w:divBdr>
        </w:div>
        <w:div w:id="2025672335">
          <w:marLeft w:val="0"/>
          <w:marRight w:val="0"/>
          <w:marTop w:val="0"/>
          <w:marBottom w:val="0"/>
          <w:divBdr>
            <w:top w:val="none" w:sz="0" w:space="0" w:color="auto"/>
            <w:left w:val="none" w:sz="0" w:space="0" w:color="auto"/>
            <w:bottom w:val="none" w:sz="0" w:space="0" w:color="auto"/>
            <w:right w:val="none" w:sz="0" w:space="0" w:color="auto"/>
          </w:divBdr>
        </w:div>
        <w:div w:id="1900048984">
          <w:marLeft w:val="0"/>
          <w:marRight w:val="0"/>
          <w:marTop w:val="0"/>
          <w:marBottom w:val="0"/>
          <w:divBdr>
            <w:top w:val="none" w:sz="0" w:space="0" w:color="auto"/>
            <w:left w:val="none" w:sz="0" w:space="0" w:color="auto"/>
            <w:bottom w:val="none" w:sz="0" w:space="0" w:color="auto"/>
            <w:right w:val="none" w:sz="0" w:space="0" w:color="auto"/>
          </w:divBdr>
        </w:div>
        <w:div w:id="867764711">
          <w:marLeft w:val="0"/>
          <w:marRight w:val="0"/>
          <w:marTop w:val="0"/>
          <w:marBottom w:val="0"/>
          <w:divBdr>
            <w:top w:val="none" w:sz="0" w:space="0" w:color="auto"/>
            <w:left w:val="none" w:sz="0" w:space="0" w:color="auto"/>
            <w:bottom w:val="none" w:sz="0" w:space="0" w:color="auto"/>
            <w:right w:val="none" w:sz="0" w:space="0" w:color="auto"/>
          </w:divBdr>
        </w:div>
        <w:div w:id="1820540219">
          <w:marLeft w:val="0"/>
          <w:marRight w:val="0"/>
          <w:marTop w:val="0"/>
          <w:marBottom w:val="0"/>
          <w:divBdr>
            <w:top w:val="none" w:sz="0" w:space="0" w:color="auto"/>
            <w:left w:val="none" w:sz="0" w:space="0" w:color="auto"/>
            <w:bottom w:val="none" w:sz="0" w:space="0" w:color="auto"/>
            <w:right w:val="none" w:sz="0" w:space="0" w:color="auto"/>
          </w:divBdr>
        </w:div>
        <w:div w:id="541524277">
          <w:marLeft w:val="0"/>
          <w:marRight w:val="0"/>
          <w:marTop w:val="0"/>
          <w:marBottom w:val="0"/>
          <w:divBdr>
            <w:top w:val="none" w:sz="0" w:space="0" w:color="auto"/>
            <w:left w:val="none" w:sz="0" w:space="0" w:color="auto"/>
            <w:bottom w:val="none" w:sz="0" w:space="0" w:color="auto"/>
            <w:right w:val="none" w:sz="0" w:space="0" w:color="auto"/>
          </w:divBdr>
        </w:div>
        <w:div w:id="1136412785">
          <w:marLeft w:val="0"/>
          <w:marRight w:val="0"/>
          <w:marTop w:val="0"/>
          <w:marBottom w:val="0"/>
          <w:divBdr>
            <w:top w:val="none" w:sz="0" w:space="0" w:color="auto"/>
            <w:left w:val="none" w:sz="0" w:space="0" w:color="auto"/>
            <w:bottom w:val="none" w:sz="0" w:space="0" w:color="auto"/>
            <w:right w:val="none" w:sz="0" w:space="0" w:color="auto"/>
          </w:divBdr>
        </w:div>
        <w:div w:id="738865838">
          <w:marLeft w:val="0"/>
          <w:marRight w:val="0"/>
          <w:marTop w:val="0"/>
          <w:marBottom w:val="0"/>
          <w:divBdr>
            <w:top w:val="none" w:sz="0" w:space="0" w:color="auto"/>
            <w:left w:val="none" w:sz="0" w:space="0" w:color="auto"/>
            <w:bottom w:val="none" w:sz="0" w:space="0" w:color="auto"/>
            <w:right w:val="none" w:sz="0" w:space="0" w:color="auto"/>
          </w:divBdr>
        </w:div>
        <w:div w:id="1624266577">
          <w:marLeft w:val="0"/>
          <w:marRight w:val="0"/>
          <w:marTop w:val="0"/>
          <w:marBottom w:val="0"/>
          <w:divBdr>
            <w:top w:val="none" w:sz="0" w:space="0" w:color="auto"/>
            <w:left w:val="none" w:sz="0" w:space="0" w:color="auto"/>
            <w:bottom w:val="none" w:sz="0" w:space="0" w:color="auto"/>
            <w:right w:val="none" w:sz="0" w:space="0" w:color="auto"/>
          </w:divBdr>
        </w:div>
        <w:div w:id="1560936495">
          <w:marLeft w:val="0"/>
          <w:marRight w:val="0"/>
          <w:marTop w:val="0"/>
          <w:marBottom w:val="0"/>
          <w:divBdr>
            <w:top w:val="none" w:sz="0" w:space="0" w:color="auto"/>
            <w:left w:val="none" w:sz="0" w:space="0" w:color="auto"/>
            <w:bottom w:val="none" w:sz="0" w:space="0" w:color="auto"/>
            <w:right w:val="none" w:sz="0" w:space="0" w:color="auto"/>
          </w:divBdr>
        </w:div>
        <w:div w:id="541749049">
          <w:marLeft w:val="0"/>
          <w:marRight w:val="0"/>
          <w:marTop w:val="0"/>
          <w:marBottom w:val="0"/>
          <w:divBdr>
            <w:top w:val="none" w:sz="0" w:space="0" w:color="auto"/>
            <w:left w:val="none" w:sz="0" w:space="0" w:color="auto"/>
            <w:bottom w:val="none" w:sz="0" w:space="0" w:color="auto"/>
            <w:right w:val="none" w:sz="0" w:space="0" w:color="auto"/>
          </w:divBdr>
        </w:div>
        <w:div w:id="76169734">
          <w:marLeft w:val="0"/>
          <w:marRight w:val="0"/>
          <w:marTop w:val="0"/>
          <w:marBottom w:val="0"/>
          <w:divBdr>
            <w:top w:val="none" w:sz="0" w:space="0" w:color="auto"/>
            <w:left w:val="none" w:sz="0" w:space="0" w:color="auto"/>
            <w:bottom w:val="none" w:sz="0" w:space="0" w:color="auto"/>
            <w:right w:val="none" w:sz="0" w:space="0" w:color="auto"/>
          </w:divBdr>
        </w:div>
        <w:div w:id="2015181654">
          <w:marLeft w:val="0"/>
          <w:marRight w:val="0"/>
          <w:marTop w:val="0"/>
          <w:marBottom w:val="0"/>
          <w:divBdr>
            <w:top w:val="none" w:sz="0" w:space="0" w:color="auto"/>
            <w:left w:val="none" w:sz="0" w:space="0" w:color="auto"/>
            <w:bottom w:val="none" w:sz="0" w:space="0" w:color="auto"/>
            <w:right w:val="none" w:sz="0" w:space="0" w:color="auto"/>
          </w:divBdr>
        </w:div>
        <w:div w:id="2112771765">
          <w:marLeft w:val="0"/>
          <w:marRight w:val="0"/>
          <w:marTop w:val="0"/>
          <w:marBottom w:val="0"/>
          <w:divBdr>
            <w:top w:val="none" w:sz="0" w:space="0" w:color="auto"/>
            <w:left w:val="none" w:sz="0" w:space="0" w:color="auto"/>
            <w:bottom w:val="none" w:sz="0" w:space="0" w:color="auto"/>
            <w:right w:val="none" w:sz="0" w:space="0" w:color="auto"/>
          </w:divBdr>
        </w:div>
        <w:div w:id="2052656457">
          <w:marLeft w:val="0"/>
          <w:marRight w:val="0"/>
          <w:marTop w:val="0"/>
          <w:marBottom w:val="0"/>
          <w:divBdr>
            <w:top w:val="none" w:sz="0" w:space="0" w:color="auto"/>
            <w:left w:val="none" w:sz="0" w:space="0" w:color="auto"/>
            <w:bottom w:val="none" w:sz="0" w:space="0" w:color="auto"/>
            <w:right w:val="none" w:sz="0" w:space="0" w:color="auto"/>
          </w:divBdr>
        </w:div>
        <w:div w:id="841358273">
          <w:marLeft w:val="0"/>
          <w:marRight w:val="0"/>
          <w:marTop w:val="0"/>
          <w:marBottom w:val="0"/>
          <w:divBdr>
            <w:top w:val="none" w:sz="0" w:space="0" w:color="auto"/>
            <w:left w:val="none" w:sz="0" w:space="0" w:color="auto"/>
            <w:bottom w:val="none" w:sz="0" w:space="0" w:color="auto"/>
            <w:right w:val="none" w:sz="0" w:space="0" w:color="auto"/>
          </w:divBdr>
        </w:div>
        <w:div w:id="960770584">
          <w:marLeft w:val="0"/>
          <w:marRight w:val="0"/>
          <w:marTop w:val="0"/>
          <w:marBottom w:val="0"/>
          <w:divBdr>
            <w:top w:val="none" w:sz="0" w:space="0" w:color="auto"/>
            <w:left w:val="none" w:sz="0" w:space="0" w:color="auto"/>
            <w:bottom w:val="none" w:sz="0" w:space="0" w:color="auto"/>
            <w:right w:val="none" w:sz="0" w:space="0" w:color="auto"/>
          </w:divBdr>
        </w:div>
        <w:div w:id="1287662359">
          <w:marLeft w:val="0"/>
          <w:marRight w:val="0"/>
          <w:marTop w:val="0"/>
          <w:marBottom w:val="0"/>
          <w:divBdr>
            <w:top w:val="none" w:sz="0" w:space="0" w:color="auto"/>
            <w:left w:val="none" w:sz="0" w:space="0" w:color="auto"/>
            <w:bottom w:val="none" w:sz="0" w:space="0" w:color="auto"/>
            <w:right w:val="none" w:sz="0" w:space="0" w:color="auto"/>
          </w:divBdr>
        </w:div>
        <w:div w:id="546722140">
          <w:marLeft w:val="0"/>
          <w:marRight w:val="0"/>
          <w:marTop w:val="0"/>
          <w:marBottom w:val="0"/>
          <w:divBdr>
            <w:top w:val="none" w:sz="0" w:space="0" w:color="auto"/>
            <w:left w:val="none" w:sz="0" w:space="0" w:color="auto"/>
            <w:bottom w:val="none" w:sz="0" w:space="0" w:color="auto"/>
            <w:right w:val="none" w:sz="0" w:space="0" w:color="auto"/>
          </w:divBdr>
        </w:div>
        <w:div w:id="1349601526">
          <w:marLeft w:val="0"/>
          <w:marRight w:val="0"/>
          <w:marTop w:val="0"/>
          <w:marBottom w:val="0"/>
          <w:divBdr>
            <w:top w:val="none" w:sz="0" w:space="0" w:color="auto"/>
            <w:left w:val="none" w:sz="0" w:space="0" w:color="auto"/>
            <w:bottom w:val="none" w:sz="0" w:space="0" w:color="auto"/>
            <w:right w:val="none" w:sz="0" w:space="0" w:color="auto"/>
          </w:divBdr>
        </w:div>
        <w:div w:id="329867233">
          <w:marLeft w:val="0"/>
          <w:marRight w:val="0"/>
          <w:marTop w:val="0"/>
          <w:marBottom w:val="0"/>
          <w:divBdr>
            <w:top w:val="none" w:sz="0" w:space="0" w:color="auto"/>
            <w:left w:val="none" w:sz="0" w:space="0" w:color="auto"/>
            <w:bottom w:val="none" w:sz="0" w:space="0" w:color="auto"/>
            <w:right w:val="none" w:sz="0" w:space="0" w:color="auto"/>
          </w:divBdr>
        </w:div>
        <w:div w:id="1757245265">
          <w:marLeft w:val="0"/>
          <w:marRight w:val="0"/>
          <w:marTop w:val="0"/>
          <w:marBottom w:val="0"/>
          <w:divBdr>
            <w:top w:val="none" w:sz="0" w:space="0" w:color="auto"/>
            <w:left w:val="none" w:sz="0" w:space="0" w:color="auto"/>
            <w:bottom w:val="none" w:sz="0" w:space="0" w:color="auto"/>
            <w:right w:val="none" w:sz="0" w:space="0" w:color="auto"/>
          </w:divBdr>
        </w:div>
        <w:div w:id="433402571">
          <w:marLeft w:val="0"/>
          <w:marRight w:val="0"/>
          <w:marTop w:val="0"/>
          <w:marBottom w:val="0"/>
          <w:divBdr>
            <w:top w:val="none" w:sz="0" w:space="0" w:color="auto"/>
            <w:left w:val="none" w:sz="0" w:space="0" w:color="auto"/>
            <w:bottom w:val="none" w:sz="0" w:space="0" w:color="auto"/>
            <w:right w:val="none" w:sz="0" w:space="0" w:color="auto"/>
          </w:divBdr>
        </w:div>
        <w:div w:id="437721730">
          <w:marLeft w:val="0"/>
          <w:marRight w:val="0"/>
          <w:marTop w:val="0"/>
          <w:marBottom w:val="0"/>
          <w:divBdr>
            <w:top w:val="none" w:sz="0" w:space="0" w:color="auto"/>
            <w:left w:val="none" w:sz="0" w:space="0" w:color="auto"/>
            <w:bottom w:val="none" w:sz="0" w:space="0" w:color="auto"/>
            <w:right w:val="none" w:sz="0" w:space="0" w:color="auto"/>
          </w:divBdr>
        </w:div>
        <w:div w:id="1951204535">
          <w:marLeft w:val="0"/>
          <w:marRight w:val="0"/>
          <w:marTop w:val="0"/>
          <w:marBottom w:val="0"/>
          <w:divBdr>
            <w:top w:val="none" w:sz="0" w:space="0" w:color="auto"/>
            <w:left w:val="none" w:sz="0" w:space="0" w:color="auto"/>
            <w:bottom w:val="none" w:sz="0" w:space="0" w:color="auto"/>
            <w:right w:val="none" w:sz="0" w:space="0" w:color="auto"/>
          </w:divBdr>
        </w:div>
        <w:div w:id="1617062386">
          <w:marLeft w:val="0"/>
          <w:marRight w:val="0"/>
          <w:marTop w:val="0"/>
          <w:marBottom w:val="0"/>
          <w:divBdr>
            <w:top w:val="none" w:sz="0" w:space="0" w:color="auto"/>
            <w:left w:val="none" w:sz="0" w:space="0" w:color="auto"/>
            <w:bottom w:val="none" w:sz="0" w:space="0" w:color="auto"/>
            <w:right w:val="none" w:sz="0" w:space="0" w:color="auto"/>
          </w:divBdr>
        </w:div>
        <w:div w:id="505829762">
          <w:marLeft w:val="0"/>
          <w:marRight w:val="0"/>
          <w:marTop w:val="0"/>
          <w:marBottom w:val="0"/>
          <w:divBdr>
            <w:top w:val="none" w:sz="0" w:space="0" w:color="auto"/>
            <w:left w:val="none" w:sz="0" w:space="0" w:color="auto"/>
            <w:bottom w:val="none" w:sz="0" w:space="0" w:color="auto"/>
            <w:right w:val="none" w:sz="0" w:space="0" w:color="auto"/>
          </w:divBdr>
        </w:div>
        <w:div w:id="2139030460">
          <w:marLeft w:val="0"/>
          <w:marRight w:val="0"/>
          <w:marTop w:val="0"/>
          <w:marBottom w:val="0"/>
          <w:divBdr>
            <w:top w:val="none" w:sz="0" w:space="0" w:color="auto"/>
            <w:left w:val="none" w:sz="0" w:space="0" w:color="auto"/>
            <w:bottom w:val="none" w:sz="0" w:space="0" w:color="auto"/>
            <w:right w:val="none" w:sz="0" w:space="0" w:color="auto"/>
          </w:divBdr>
        </w:div>
        <w:div w:id="1481194567">
          <w:marLeft w:val="0"/>
          <w:marRight w:val="0"/>
          <w:marTop w:val="0"/>
          <w:marBottom w:val="0"/>
          <w:divBdr>
            <w:top w:val="none" w:sz="0" w:space="0" w:color="auto"/>
            <w:left w:val="none" w:sz="0" w:space="0" w:color="auto"/>
            <w:bottom w:val="none" w:sz="0" w:space="0" w:color="auto"/>
            <w:right w:val="none" w:sz="0" w:space="0" w:color="auto"/>
          </w:divBdr>
        </w:div>
        <w:div w:id="379018697">
          <w:marLeft w:val="0"/>
          <w:marRight w:val="0"/>
          <w:marTop w:val="0"/>
          <w:marBottom w:val="0"/>
          <w:divBdr>
            <w:top w:val="none" w:sz="0" w:space="0" w:color="auto"/>
            <w:left w:val="none" w:sz="0" w:space="0" w:color="auto"/>
            <w:bottom w:val="none" w:sz="0" w:space="0" w:color="auto"/>
            <w:right w:val="none" w:sz="0" w:space="0" w:color="auto"/>
          </w:divBdr>
        </w:div>
        <w:div w:id="167796716">
          <w:marLeft w:val="0"/>
          <w:marRight w:val="0"/>
          <w:marTop w:val="0"/>
          <w:marBottom w:val="0"/>
          <w:divBdr>
            <w:top w:val="none" w:sz="0" w:space="0" w:color="auto"/>
            <w:left w:val="none" w:sz="0" w:space="0" w:color="auto"/>
            <w:bottom w:val="none" w:sz="0" w:space="0" w:color="auto"/>
            <w:right w:val="none" w:sz="0" w:space="0" w:color="auto"/>
          </w:divBdr>
        </w:div>
        <w:div w:id="11877623">
          <w:marLeft w:val="0"/>
          <w:marRight w:val="0"/>
          <w:marTop w:val="0"/>
          <w:marBottom w:val="0"/>
          <w:divBdr>
            <w:top w:val="none" w:sz="0" w:space="0" w:color="auto"/>
            <w:left w:val="none" w:sz="0" w:space="0" w:color="auto"/>
            <w:bottom w:val="none" w:sz="0" w:space="0" w:color="auto"/>
            <w:right w:val="none" w:sz="0" w:space="0" w:color="auto"/>
          </w:divBdr>
        </w:div>
        <w:div w:id="1477143818">
          <w:marLeft w:val="0"/>
          <w:marRight w:val="0"/>
          <w:marTop w:val="0"/>
          <w:marBottom w:val="0"/>
          <w:divBdr>
            <w:top w:val="none" w:sz="0" w:space="0" w:color="auto"/>
            <w:left w:val="none" w:sz="0" w:space="0" w:color="auto"/>
            <w:bottom w:val="none" w:sz="0" w:space="0" w:color="auto"/>
            <w:right w:val="none" w:sz="0" w:space="0" w:color="auto"/>
          </w:divBdr>
        </w:div>
        <w:div w:id="1136066771">
          <w:marLeft w:val="0"/>
          <w:marRight w:val="0"/>
          <w:marTop w:val="0"/>
          <w:marBottom w:val="0"/>
          <w:divBdr>
            <w:top w:val="none" w:sz="0" w:space="0" w:color="auto"/>
            <w:left w:val="none" w:sz="0" w:space="0" w:color="auto"/>
            <w:bottom w:val="none" w:sz="0" w:space="0" w:color="auto"/>
            <w:right w:val="none" w:sz="0" w:space="0" w:color="auto"/>
          </w:divBdr>
        </w:div>
        <w:div w:id="460196586">
          <w:marLeft w:val="0"/>
          <w:marRight w:val="0"/>
          <w:marTop w:val="0"/>
          <w:marBottom w:val="0"/>
          <w:divBdr>
            <w:top w:val="none" w:sz="0" w:space="0" w:color="auto"/>
            <w:left w:val="none" w:sz="0" w:space="0" w:color="auto"/>
            <w:bottom w:val="none" w:sz="0" w:space="0" w:color="auto"/>
            <w:right w:val="none" w:sz="0" w:space="0" w:color="auto"/>
          </w:divBdr>
        </w:div>
        <w:div w:id="1014383816">
          <w:marLeft w:val="0"/>
          <w:marRight w:val="0"/>
          <w:marTop w:val="0"/>
          <w:marBottom w:val="0"/>
          <w:divBdr>
            <w:top w:val="none" w:sz="0" w:space="0" w:color="auto"/>
            <w:left w:val="none" w:sz="0" w:space="0" w:color="auto"/>
            <w:bottom w:val="none" w:sz="0" w:space="0" w:color="auto"/>
            <w:right w:val="none" w:sz="0" w:space="0" w:color="auto"/>
          </w:divBdr>
        </w:div>
        <w:div w:id="1396589035">
          <w:marLeft w:val="0"/>
          <w:marRight w:val="0"/>
          <w:marTop w:val="0"/>
          <w:marBottom w:val="0"/>
          <w:divBdr>
            <w:top w:val="none" w:sz="0" w:space="0" w:color="auto"/>
            <w:left w:val="none" w:sz="0" w:space="0" w:color="auto"/>
            <w:bottom w:val="none" w:sz="0" w:space="0" w:color="auto"/>
            <w:right w:val="none" w:sz="0" w:space="0" w:color="auto"/>
          </w:divBdr>
        </w:div>
        <w:div w:id="2013289151">
          <w:marLeft w:val="0"/>
          <w:marRight w:val="0"/>
          <w:marTop w:val="0"/>
          <w:marBottom w:val="0"/>
          <w:divBdr>
            <w:top w:val="none" w:sz="0" w:space="0" w:color="auto"/>
            <w:left w:val="none" w:sz="0" w:space="0" w:color="auto"/>
            <w:bottom w:val="none" w:sz="0" w:space="0" w:color="auto"/>
            <w:right w:val="none" w:sz="0" w:space="0" w:color="auto"/>
          </w:divBdr>
        </w:div>
        <w:div w:id="1926186048">
          <w:marLeft w:val="0"/>
          <w:marRight w:val="0"/>
          <w:marTop w:val="0"/>
          <w:marBottom w:val="0"/>
          <w:divBdr>
            <w:top w:val="none" w:sz="0" w:space="0" w:color="auto"/>
            <w:left w:val="none" w:sz="0" w:space="0" w:color="auto"/>
            <w:bottom w:val="none" w:sz="0" w:space="0" w:color="auto"/>
            <w:right w:val="none" w:sz="0" w:space="0" w:color="auto"/>
          </w:divBdr>
        </w:div>
        <w:div w:id="1816027279">
          <w:marLeft w:val="0"/>
          <w:marRight w:val="0"/>
          <w:marTop w:val="0"/>
          <w:marBottom w:val="0"/>
          <w:divBdr>
            <w:top w:val="none" w:sz="0" w:space="0" w:color="auto"/>
            <w:left w:val="none" w:sz="0" w:space="0" w:color="auto"/>
            <w:bottom w:val="none" w:sz="0" w:space="0" w:color="auto"/>
            <w:right w:val="none" w:sz="0" w:space="0" w:color="auto"/>
          </w:divBdr>
        </w:div>
        <w:div w:id="2109229818">
          <w:marLeft w:val="0"/>
          <w:marRight w:val="0"/>
          <w:marTop w:val="0"/>
          <w:marBottom w:val="0"/>
          <w:divBdr>
            <w:top w:val="none" w:sz="0" w:space="0" w:color="auto"/>
            <w:left w:val="none" w:sz="0" w:space="0" w:color="auto"/>
            <w:bottom w:val="none" w:sz="0" w:space="0" w:color="auto"/>
            <w:right w:val="none" w:sz="0" w:space="0" w:color="auto"/>
          </w:divBdr>
        </w:div>
        <w:div w:id="2002125229">
          <w:marLeft w:val="0"/>
          <w:marRight w:val="0"/>
          <w:marTop w:val="0"/>
          <w:marBottom w:val="0"/>
          <w:divBdr>
            <w:top w:val="none" w:sz="0" w:space="0" w:color="auto"/>
            <w:left w:val="none" w:sz="0" w:space="0" w:color="auto"/>
            <w:bottom w:val="none" w:sz="0" w:space="0" w:color="auto"/>
            <w:right w:val="none" w:sz="0" w:space="0" w:color="auto"/>
          </w:divBdr>
        </w:div>
        <w:div w:id="1305626900">
          <w:marLeft w:val="0"/>
          <w:marRight w:val="0"/>
          <w:marTop w:val="0"/>
          <w:marBottom w:val="0"/>
          <w:divBdr>
            <w:top w:val="none" w:sz="0" w:space="0" w:color="auto"/>
            <w:left w:val="none" w:sz="0" w:space="0" w:color="auto"/>
            <w:bottom w:val="none" w:sz="0" w:space="0" w:color="auto"/>
            <w:right w:val="none" w:sz="0" w:space="0" w:color="auto"/>
          </w:divBdr>
        </w:div>
        <w:div w:id="886070978">
          <w:marLeft w:val="0"/>
          <w:marRight w:val="0"/>
          <w:marTop w:val="0"/>
          <w:marBottom w:val="0"/>
          <w:divBdr>
            <w:top w:val="none" w:sz="0" w:space="0" w:color="auto"/>
            <w:left w:val="none" w:sz="0" w:space="0" w:color="auto"/>
            <w:bottom w:val="none" w:sz="0" w:space="0" w:color="auto"/>
            <w:right w:val="none" w:sz="0" w:space="0" w:color="auto"/>
          </w:divBdr>
        </w:div>
        <w:div w:id="1394622538">
          <w:marLeft w:val="0"/>
          <w:marRight w:val="0"/>
          <w:marTop w:val="0"/>
          <w:marBottom w:val="0"/>
          <w:divBdr>
            <w:top w:val="none" w:sz="0" w:space="0" w:color="auto"/>
            <w:left w:val="none" w:sz="0" w:space="0" w:color="auto"/>
            <w:bottom w:val="none" w:sz="0" w:space="0" w:color="auto"/>
            <w:right w:val="none" w:sz="0" w:space="0" w:color="auto"/>
          </w:divBdr>
        </w:div>
        <w:div w:id="1743018705">
          <w:marLeft w:val="0"/>
          <w:marRight w:val="0"/>
          <w:marTop w:val="0"/>
          <w:marBottom w:val="0"/>
          <w:divBdr>
            <w:top w:val="none" w:sz="0" w:space="0" w:color="auto"/>
            <w:left w:val="none" w:sz="0" w:space="0" w:color="auto"/>
            <w:bottom w:val="none" w:sz="0" w:space="0" w:color="auto"/>
            <w:right w:val="none" w:sz="0" w:space="0" w:color="auto"/>
          </w:divBdr>
        </w:div>
        <w:div w:id="928345852">
          <w:marLeft w:val="0"/>
          <w:marRight w:val="0"/>
          <w:marTop w:val="0"/>
          <w:marBottom w:val="0"/>
          <w:divBdr>
            <w:top w:val="none" w:sz="0" w:space="0" w:color="auto"/>
            <w:left w:val="none" w:sz="0" w:space="0" w:color="auto"/>
            <w:bottom w:val="none" w:sz="0" w:space="0" w:color="auto"/>
            <w:right w:val="none" w:sz="0" w:space="0" w:color="auto"/>
          </w:divBdr>
        </w:div>
        <w:div w:id="1351639975">
          <w:marLeft w:val="0"/>
          <w:marRight w:val="0"/>
          <w:marTop w:val="0"/>
          <w:marBottom w:val="0"/>
          <w:divBdr>
            <w:top w:val="none" w:sz="0" w:space="0" w:color="auto"/>
            <w:left w:val="none" w:sz="0" w:space="0" w:color="auto"/>
            <w:bottom w:val="none" w:sz="0" w:space="0" w:color="auto"/>
            <w:right w:val="none" w:sz="0" w:space="0" w:color="auto"/>
          </w:divBdr>
        </w:div>
      </w:divsChild>
    </w:div>
    <w:div w:id="303891656">
      <w:bodyDiv w:val="1"/>
      <w:marLeft w:val="0"/>
      <w:marRight w:val="0"/>
      <w:marTop w:val="0"/>
      <w:marBottom w:val="0"/>
      <w:divBdr>
        <w:top w:val="none" w:sz="0" w:space="0" w:color="auto"/>
        <w:left w:val="none" w:sz="0" w:space="0" w:color="auto"/>
        <w:bottom w:val="none" w:sz="0" w:space="0" w:color="auto"/>
        <w:right w:val="none" w:sz="0" w:space="0" w:color="auto"/>
      </w:divBdr>
      <w:divsChild>
        <w:div w:id="1549606071">
          <w:marLeft w:val="0"/>
          <w:marRight w:val="0"/>
          <w:marTop w:val="0"/>
          <w:marBottom w:val="0"/>
          <w:divBdr>
            <w:top w:val="none" w:sz="0" w:space="0" w:color="auto"/>
            <w:left w:val="none" w:sz="0" w:space="0" w:color="auto"/>
            <w:bottom w:val="none" w:sz="0" w:space="0" w:color="auto"/>
            <w:right w:val="none" w:sz="0" w:space="0" w:color="auto"/>
          </w:divBdr>
        </w:div>
        <w:div w:id="697464706">
          <w:marLeft w:val="0"/>
          <w:marRight w:val="0"/>
          <w:marTop w:val="0"/>
          <w:marBottom w:val="0"/>
          <w:divBdr>
            <w:top w:val="none" w:sz="0" w:space="0" w:color="auto"/>
            <w:left w:val="none" w:sz="0" w:space="0" w:color="auto"/>
            <w:bottom w:val="none" w:sz="0" w:space="0" w:color="auto"/>
            <w:right w:val="none" w:sz="0" w:space="0" w:color="auto"/>
          </w:divBdr>
        </w:div>
        <w:div w:id="1374696159">
          <w:marLeft w:val="0"/>
          <w:marRight w:val="0"/>
          <w:marTop w:val="0"/>
          <w:marBottom w:val="0"/>
          <w:divBdr>
            <w:top w:val="none" w:sz="0" w:space="0" w:color="auto"/>
            <w:left w:val="none" w:sz="0" w:space="0" w:color="auto"/>
            <w:bottom w:val="none" w:sz="0" w:space="0" w:color="auto"/>
            <w:right w:val="none" w:sz="0" w:space="0" w:color="auto"/>
          </w:divBdr>
        </w:div>
        <w:div w:id="466356322">
          <w:marLeft w:val="0"/>
          <w:marRight w:val="0"/>
          <w:marTop w:val="0"/>
          <w:marBottom w:val="0"/>
          <w:divBdr>
            <w:top w:val="none" w:sz="0" w:space="0" w:color="auto"/>
            <w:left w:val="none" w:sz="0" w:space="0" w:color="auto"/>
            <w:bottom w:val="none" w:sz="0" w:space="0" w:color="auto"/>
            <w:right w:val="none" w:sz="0" w:space="0" w:color="auto"/>
          </w:divBdr>
        </w:div>
      </w:divsChild>
    </w:div>
    <w:div w:id="310720970">
      <w:bodyDiv w:val="1"/>
      <w:marLeft w:val="0"/>
      <w:marRight w:val="0"/>
      <w:marTop w:val="0"/>
      <w:marBottom w:val="0"/>
      <w:divBdr>
        <w:top w:val="none" w:sz="0" w:space="0" w:color="auto"/>
        <w:left w:val="none" w:sz="0" w:space="0" w:color="auto"/>
        <w:bottom w:val="none" w:sz="0" w:space="0" w:color="auto"/>
        <w:right w:val="none" w:sz="0" w:space="0" w:color="auto"/>
      </w:divBdr>
      <w:divsChild>
        <w:div w:id="1594244020">
          <w:marLeft w:val="0"/>
          <w:marRight w:val="0"/>
          <w:marTop w:val="0"/>
          <w:marBottom w:val="0"/>
          <w:divBdr>
            <w:top w:val="none" w:sz="0" w:space="0" w:color="auto"/>
            <w:left w:val="none" w:sz="0" w:space="0" w:color="auto"/>
            <w:bottom w:val="none" w:sz="0" w:space="0" w:color="auto"/>
            <w:right w:val="none" w:sz="0" w:space="0" w:color="auto"/>
          </w:divBdr>
        </w:div>
        <w:div w:id="1970083930">
          <w:marLeft w:val="0"/>
          <w:marRight w:val="0"/>
          <w:marTop w:val="0"/>
          <w:marBottom w:val="0"/>
          <w:divBdr>
            <w:top w:val="none" w:sz="0" w:space="0" w:color="auto"/>
            <w:left w:val="none" w:sz="0" w:space="0" w:color="auto"/>
            <w:bottom w:val="none" w:sz="0" w:space="0" w:color="auto"/>
            <w:right w:val="none" w:sz="0" w:space="0" w:color="auto"/>
          </w:divBdr>
        </w:div>
        <w:div w:id="1011488985">
          <w:marLeft w:val="0"/>
          <w:marRight w:val="0"/>
          <w:marTop w:val="0"/>
          <w:marBottom w:val="0"/>
          <w:divBdr>
            <w:top w:val="none" w:sz="0" w:space="0" w:color="auto"/>
            <w:left w:val="none" w:sz="0" w:space="0" w:color="auto"/>
            <w:bottom w:val="none" w:sz="0" w:space="0" w:color="auto"/>
            <w:right w:val="none" w:sz="0" w:space="0" w:color="auto"/>
          </w:divBdr>
        </w:div>
        <w:div w:id="1528835740">
          <w:marLeft w:val="0"/>
          <w:marRight w:val="0"/>
          <w:marTop w:val="0"/>
          <w:marBottom w:val="0"/>
          <w:divBdr>
            <w:top w:val="none" w:sz="0" w:space="0" w:color="auto"/>
            <w:left w:val="none" w:sz="0" w:space="0" w:color="auto"/>
            <w:bottom w:val="none" w:sz="0" w:space="0" w:color="auto"/>
            <w:right w:val="none" w:sz="0" w:space="0" w:color="auto"/>
          </w:divBdr>
        </w:div>
        <w:div w:id="657418082">
          <w:marLeft w:val="0"/>
          <w:marRight w:val="0"/>
          <w:marTop w:val="0"/>
          <w:marBottom w:val="0"/>
          <w:divBdr>
            <w:top w:val="none" w:sz="0" w:space="0" w:color="auto"/>
            <w:left w:val="none" w:sz="0" w:space="0" w:color="auto"/>
            <w:bottom w:val="none" w:sz="0" w:space="0" w:color="auto"/>
            <w:right w:val="none" w:sz="0" w:space="0" w:color="auto"/>
          </w:divBdr>
        </w:div>
        <w:div w:id="1123305705">
          <w:marLeft w:val="0"/>
          <w:marRight w:val="0"/>
          <w:marTop w:val="0"/>
          <w:marBottom w:val="0"/>
          <w:divBdr>
            <w:top w:val="none" w:sz="0" w:space="0" w:color="auto"/>
            <w:left w:val="none" w:sz="0" w:space="0" w:color="auto"/>
            <w:bottom w:val="none" w:sz="0" w:space="0" w:color="auto"/>
            <w:right w:val="none" w:sz="0" w:space="0" w:color="auto"/>
          </w:divBdr>
        </w:div>
        <w:div w:id="614946101">
          <w:marLeft w:val="0"/>
          <w:marRight w:val="0"/>
          <w:marTop w:val="0"/>
          <w:marBottom w:val="0"/>
          <w:divBdr>
            <w:top w:val="none" w:sz="0" w:space="0" w:color="auto"/>
            <w:left w:val="none" w:sz="0" w:space="0" w:color="auto"/>
            <w:bottom w:val="none" w:sz="0" w:space="0" w:color="auto"/>
            <w:right w:val="none" w:sz="0" w:space="0" w:color="auto"/>
          </w:divBdr>
        </w:div>
        <w:div w:id="2075278688">
          <w:marLeft w:val="0"/>
          <w:marRight w:val="0"/>
          <w:marTop w:val="0"/>
          <w:marBottom w:val="0"/>
          <w:divBdr>
            <w:top w:val="none" w:sz="0" w:space="0" w:color="auto"/>
            <w:left w:val="none" w:sz="0" w:space="0" w:color="auto"/>
            <w:bottom w:val="none" w:sz="0" w:space="0" w:color="auto"/>
            <w:right w:val="none" w:sz="0" w:space="0" w:color="auto"/>
          </w:divBdr>
        </w:div>
        <w:div w:id="728381845">
          <w:marLeft w:val="0"/>
          <w:marRight w:val="0"/>
          <w:marTop w:val="0"/>
          <w:marBottom w:val="0"/>
          <w:divBdr>
            <w:top w:val="none" w:sz="0" w:space="0" w:color="auto"/>
            <w:left w:val="none" w:sz="0" w:space="0" w:color="auto"/>
            <w:bottom w:val="none" w:sz="0" w:space="0" w:color="auto"/>
            <w:right w:val="none" w:sz="0" w:space="0" w:color="auto"/>
          </w:divBdr>
        </w:div>
        <w:div w:id="696081462">
          <w:marLeft w:val="0"/>
          <w:marRight w:val="0"/>
          <w:marTop w:val="0"/>
          <w:marBottom w:val="0"/>
          <w:divBdr>
            <w:top w:val="none" w:sz="0" w:space="0" w:color="auto"/>
            <w:left w:val="none" w:sz="0" w:space="0" w:color="auto"/>
            <w:bottom w:val="none" w:sz="0" w:space="0" w:color="auto"/>
            <w:right w:val="none" w:sz="0" w:space="0" w:color="auto"/>
          </w:divBdr>
        </w:div>
        <w:div w:id="682975530">
          <w:marLeft w:val="0"/>
          <w:marRight w:val="0"/>
          <w:marTop w:val="0"/>
          <w:marBottom w:val="0"/>
          <w:divBdr>
            <w:top w:val="none" w:sz="0" w:space="0" w:color="auto"/>
            <w:left w:val="none" w:sz="0" w:space="0" w:color="auto"/>
            <w:bottom w:val="none" w:sz="0" w:space="0" w:color="auto"/>
            <w:right w:val="none" w:sz="0" w:space="0" w:color="auto"/>
          </w:divBdr>
        </w:div>
        <w:div w:id="553153735">
          <w:marLeft w:val="0"/>
          <w:marRight w:val="0"/>
          <w:marTop w:val="0"/>
          <w:marBottom w:val="0"/>
          <w:divBdr>
            <w:top w:val="none" w:sz="0" w:space="0" w:color="auto"/>
            <w:left w:val="none" w:sz="0" w:space="0" w:color="auto"/>
            <w:bottom w:val="none" w:sz="0" w:space="0" w:color="auto"/>
            <w:right w:val="none" w:sz="0" w:space="0" w:color="auto"/>
          </w:divBdr>
        </w:div>
      </w:divsChild>
    </w:div>
    <w:div w:id="318383079">
      <w:bodyDiv w:val="1"/>
      <w:marLeft w:val="0"/>
      <w:marRight w:val="0"/>
      <w:marTop w:val="0"/>
      <w:marBottom w:val="0"/>
      <w:divBdr>
        <w:top w:val="none" w:sz="0" w:space="0" w:color="auto"/>
        <w:left w:val="none" w:sz="0" w:space="0" w:color="auto"/>
        <w:bottom w:val="none" w:sz="0" w:space="0" w:color="auto"/>
        <w:right w:val="none" w:sz="0" w:space="0" w:color="auto"/>
      </w:divBdr>
      <w:divsChild>
        <w:div w:id="727535208">
          <w:marLeft w:val="0"/>
          <w:marRight w:val="0"/>
          <w:marTop w:val="0"/>
          <w:marBottom w:val="0"/>
          <w:divBdr>
            <w:top w:val="none" w:sz="0" w:space="0" w:color="auto"/>
            <w:left w:val="none" w:sz="0" w:space="0" w:color="auto"/>
            <w:bottom w:val="none" w:sz="0" w:space="0" w:color="auto"/>
            <w:right w:val="none" w:sz="0" w:space="0" w:color="auto"/>
          </w:divBdr>
        </w:div>
        <w:div w:id="147406618">
          <w:marLeft w:val="0"/>
          <w:marRight w:val="0"/>
          <w:marTop w:val="0"/>
          <w:marBottom w:val="0"/>
          <w:divBdr>
            <w:top w:val="none" w:sz="0" w:space="0" w:color="auto"/>
            <w:left w:val="none" w:sz="0" w:space="0" w:color="auto"/>
            <w:bottom w:val="none" w:sz="0" w:space="0" w:color="auto"/>
            <w:right w:val="none" w:sz="0" w:space="0" w:color="auto"/>
          </w:divBdr>
        </w:div>
        <w:div w:id="1626808453">
          <w:marLeft w:val="0"/>
          <w:marRight w:val="0"/>
          <w:marTop w:val="0"/>
          <w:marBottom w:val="0"/>
          <w:divBdr>
            <w:top w:val="none" w:sz="0" w:space="0" w:color="auto"/>
            <w:left w:val="none" w:sz="0" w:space="0" w:color="auto"/>
            <w:bottom w:val="none" w:sz="0" w:space="0" w:color="auto"/>
            <w:right w:val="none" w:sz="0" w:space="0" w:color="auto"/>
          </w:divBdr>
        </w:div>
        <w:div w:id="639266470">
          <w:marLeft w:val="0"/>
          <w:marRight w:val="0"/>
          <w:marTop w:val="0"/>
          <w:marBottom w:val="0"/>
          <w:divBdr>
            <w:top w:val="none" w:sz="0" w:space="0" w:color="auto"/>
            <w:left w:val="none" w:sz="0" w:space="0" w:color="auto"/>
            <w:bottom w:val="none" w:sz="0" w:space="0" w:color="auto"/>
            <w:right w:val="none" w:sz="0" w:space="0" w:color="auto"/>
          </w:divBdr>
        </w:div>
        <w:div w:id="2045447387">
          <w:marLeft w:val="0"/>
          <w:marRight w:val="0"/>
          <w:marTop w:val="0"/>
          <w:marBottom w:val="0"/>
          <w:divBdr>
            <w:top w:val="none" w:sz="0" w:space="0" w:color="auto"/>
            <w:left w:val="none" w:sz="0" w:space="0" w:color="auto"/>
            <w:bottom w:val="none" w:sz="0" w:space="0" w:color="auto"/>
            <w:right w:val="none" w:sz="0" w:space="0" w:color="auto"/>
          </w:divBdr>
        </w:div>
        <w:div w:id="1206719352">
          <w:marLeft w:val="0"/>
          <w:marRight w:val="0"/>
          <w:marTop w:val="0"/>
          <w:marBottom w:val="0"/>
          <w:divBdr>
            <w:top w:val="none" w:sz="0" w:space="0" w:color="auto"/>
            <w:left w:val="none" w:sz="0" w:space="0" w:color="auto"/>
            <w:bottom w:val="none" w:sz="0" w:space="0" w:color="auto"/>
            <w:right w:val="none" w:sz="0" w:space="0" w:color="auto"/>
          </w:divBdr>
        </w:div>
        <w:div w:id="1659383191">
          <w:marLeft w:val="0"/>
          <w:marRight w:val="0"/>
          <w:marTop w:val="0"/>
          <w:marBottom w:val="0"/>
          <w:divBdr>
            <w:top w:val="none" w:sz="0" w:space="0" w:color="auto"/>
            <w:left w:val="none" w:sz="0" w:space="0" w:color="auto"/>
            <w:bottom w:val="none" w:sz="0" w:space="0" w:color="auto"/>
            <w:right w:val="none" w:sz="0" w:space="0" w:color="auto"/>
          </w:divBdr>
        </w:div>
      </w:divsChild>
    </w:div>
    <w:div w:id="349649300">
      <w:bodyDiv w:val="1"/>
      <w:marLeft w:val="0"/>
      <w:marRight w:val="0"/>
      <w:marTop w:val="0"/>
      <w:marBottom w:val="0"/>
      <w:divBdr>
        <w:top w:val="none" w:sz="0" w:space="0" w:color="auto"/>
        <w:left w:val="none" w:sz="0" w:space="0" w:color="auto"/>
        <w:bottom w:val="none" w:sz="0" w:space="0" w:color="auto"/>
        <w:right w:val="none" w:sz="0" w:space="0" w:color="auto"/>
      </w:divBdr>
    </w:div>
    <w:div w:id="364791733">
      <w:bodyDiv w:val="1"/>
      <w:marLeft w:val="0"/>
      <w:marRight w:val="0"/>
      <w:marTop w:val="0"/>
      <w:marBottom w:val="0"/>
      <w:divBdr>
        <w:top w:val="none" w:sz="0" w:space="0" w:color="auto"/>
        <w:left w:val="none" w:sz="0" w:space="0" w:color="auto"/>
        <w:bottom w:val="none" w:sz="0" w:space="0" w:color="auto"/>
        <w:right w:val="none" w:sz="0" w:space="0" w:color="auto"/>
      </w:divBdr>
      <w:divsChild>
        <w:div w:id="95028101">
          <w:marLeft w:val="0"/>
          <w:marRight w:val="0"/>
          <w:marTop w:val="0"/>
          <w:marBottom w:val="0"/>
          <w:divBdr>
            <w:top w:val="none" w:sz="0" w:space="0" w:color="auto"/>
            <w:left w:val="none" w:sz="0" w:space="0" w:color="auto"/>
            <w:bottom w:val="none" w:sz="0" w:space="0" w:color="auto"/>
            <w:right w:val="none" w:sz="0" w:space="0" w:color="auto"/>
          </w:divBdr>
        </w:div>
        <w:div w:id="158008508">
          <w:marLeft w:val="0"/>
          <w:marRight w:val="0"/>
          <w:marTop w:val="0"/>
          <w:marBottom w:val="0"/>
          <w:divBdr>
            <w:top w:val="none" w:sz="0" w:space="0" w:color="auto"/>
            <w:left w:val="none" w:sz="0" w:space="0" w:color="auto"/>
            <w:bottom w:val="none" w:sz="0" w:space="0" w:color="auto"/>
            <w:right w:val="none" w:sz="0" w:space="0" w:color="auto"/>
          </w:divBdr>
        </w:div>
        <w:div w:id="486672736">
          <w:marLeft w:val="0"/>
          <w:marRight w:val="0"/>
          <w:marTop w:val="0"/>
          <w:marBottom w:val="0"/>
          <w:divBdr>
            <w:top w:val="none" w:sz="0" w:space="0" w:color="auto"/>
            <w:left w:val="none" w:sz="0" w:space="0" w:color="auto"/>
            <w:bottom w:val="none" w:sz="0" w:space="0" w:color="auto"/>
            <w:right w:val="none" w:sz="0" w:space="0" w:color="auto"/>
          </w:divBdr>
        </w:div>
        <w:div w:id="921259108">
          <w:marLeft w:val="0"/>
          <w:marRight w:val="0"/>
          <w:marTop w:val="0"/>
          <w:marBottom w:val="0"/>
          <w:divBdr>
            <w:top w:val="none" w:sz="0" w:space="0" w:color="auto"/>
            <w:left w:val="none" w:sz="0" w:space="0" w:color="auto"/>
            <w:bottom w:val="none" w:sz="0" w:space="0" w:color="auto"/>
            <w:right w:val="none" w:sz="0" w:space="0" w:color="auto"/>
          </w:divBdr>
        </w:div>
        <w:div w:id="906039875">
          <w:marLeft w:val="0"/>
          <w:marRight w:val="0"/>
          <w:marTop w:val="0"/>
          <w:marBottom w:val="0"/>
          <w:divBdr>
            <w:top w:val="none" w:sz="0" w:space="0" w:color="auto"/>
            <w:left w:val="none" w:sz="0" w:space="0" w:color="auto"/>
            <w:bottom w:val="none" w:sz="0" w:space="0" w:color="auto"/>
            <w:right w:val="none" w:sz="0" w:space="0" w:color="auto"/>
          </w:divBdr>
        </w:div>
      </w:divsChild>
    </w:div>
    <w:div w:id="402022162">
      <w:bodyDiv w:val="1"/>
      <w:marLeft w:val="0"/>
      <w:marRight w:val="0"/>
      <w:marTop w:val="0"/>
      <w:marBottom w:val="0"/>
      <w:divBdr>
        <w:top w:val="none" w:sz="0" w:space="0" w:color="auto"/>
        <w:left w:val="none" w:sz="0" w:space="0" w:color="auto"/>
        <w:bottom w:val="none" w:sz="0" w:space="0" w:color="auto"/>
        <w:right w:val="none" w:sz="0" w:space="0" w:color="auto"/>
      </w:divBdr>
      <w:divsChild>
        <w:div w:id="1746685682">
          <w:marLeft w:val="0"/>
          <w:marRight w:val="0"/>
          <w:marTop w:val="0"/>
          <w:marBottom w:val="0"/>
          <w:divBdr>
            <w:top w:val="none" w:sz="0" w:space="0" w:color="auto"/>
            <w:left w:val="none" w:sz="0" w:space="0" w:color="auto"/>
            <w:bottom w:val="none" w:sz="0" w:space="0" w:color="auto"/>
            <w:right w:val="none" w:sz="0" w:space="0" w:color="auto"/>
          </w:divBdr>
        </w:div>
        <w:div w:id="835656737">
          <w:marLeft w:val="0"/>
          <w:marRight w:val="0"/>
          <w:marTop w:val="0"/>
          <w:marBottom w:val="0"/>
          <w:divBdr>
            <w:top w:val="none" w:sz="0" w:space="0" w:color="auto"/>
            <w:left w:val="none" w:sz="0" w:space="0" w:color="auto"/>
            <w:bottom w:val="none" w:sz="0" w:space="0" w:color="auto"/>
            <w:right w:val="none" w:sz="0" w:space="0" w:color="auto"/>
          </w:divBdr>
        </w:div>
        <w:div w:id="463350598">
          <w:marLeft w:val="0"/>
          <w:marRight w:val="0"/>
          <w:marTop w:val="0"/>
          <w:marBottom w:val="0"/>
          <w:divBdr>
            <w:top w:val="none" w:sz="0" w:space="0" w:color="auto"/>
            <w:left w:val="none" w:sz="0" w:space="0" w:color="auto"/>
            <w:bottom w:val="none" w:sz="0" w:space="0" w:color="auto"/>
            <w:right w:val="none" w:sz="0" w:space="0" w:color="auto"/>
          </w:divBdr>
        </w:div>
        <w:div w:id="797408762">
          <w:marLeft w:val="0"/>
          <w:marRight w:val="0"/>
          <w:marTop w:val="0"/>
          <w:marBottom w:val="0"/>
          <w:divBdr>
            <w:top w:val="none" w:sz="0" w:space="0" w:color="auto"/>
            <w:left w:val="none" w:sz="0" w:space="0" w:color="auto"/>
            <w:bottom w:val="none" w:sz="0" w:space="0" w:color="auto"/>
            <w:right w:val="none" w:sz="0" w:space="0" w:color="auto"/>
          </w:divBdr>
        </w:div>
        <w:div w:id="187332329">
          <w:marLeft w:val="0"/>
          <w:marRight w:val="0"/>
          <w:marTop w:val="0"/>
          <w:marBottom w:val="0"/>
          <w:divBdr>
            <w:top w:val="none" w:sz="0" w:space="0" w:color="auto"/>
            <w:left w:val="none" w:sz="0" w:space="0" w:color="auto"/>
            <w:bottom w:val="none" w:sz="0" w:space="0" w:color="auto"/>
            <w:right w:val="none" w:sz="0" w:space="0" w:color="auto"/>
          </w:divBdr>
        </w:div>
        <w:div w:id="1717242808">
          <w:marLeft w:val="0"/>
          <w:marRight w:val="0"/>
          <w:marTop w:val="0"/>
          <w:marBottom w:val="0"/>
          <w:divBdr>
            <w:top w:val="none" w:sz="0" w:space="0" w:color="auto"/>
            <w:left w:val="none" w:sz="0" w:space="0" w:color="auto"/>
            <w:bottom w:val="none" w:sz="0" w:space="0" w:color="auto"/>
            <w:right w:val="none" w:sz="0" w:space="0" w:color="auto"/>
          </w:divBdr>
        </w:div>
        <w:div w:id="414591237">
          <w:marLeft w:val="0"/>
          <w:marRight w:val="0"/>
          <w:marTop w:val="0"/>
          <w:marBottom w:val="0"/>
          <w:divBdr>
            <w:top w:val="none" w:sz="0" w:space="0" w:color="auto"/>
            <w:left w:val="none" w:sz="0" w:space="0" w:color="auto"/>
            <w:bottom w:val="none" w:sz="0" w:space="0" w:color="auto"/>
            <w:right w:val="none" w:sz="0" w:space="0" w:color="auto"/>
          </w:divBdr>
        </w:div>
        <w:div w:id="905798020">
          <w:marLeft w:val="0"/>
          <w:marRight w:val="0"/>
          <w:marTop w:val="0"/>
          <w:marBottom w:val="0"/>
          <w:divBdr>
            <w:top w:val="none" w:sz="0" w:space="0" w:color="auto"/>
            <w:left w:val="none" w:sz="0" w:space="0" w:color="auto"/>
            <w:bottom w:val="none" w:sz="0" w:space="0" w:color="auto"/>
            <w:right w:val="none" w:sz="0" w:space="0" w:color="auto"/>
          </w:divBdr>
        </w:div>
      </w:divsChild>
    </w:div>
    <w:div w:id="410394610">
      <w:bodyDiv w:val="1"/>
      <w:marLeft w:val="0"/>
      <w:marRight w:val="0"/>
      <w:marTop w:val="0"/>
      <w:marBottom w:val="0"/>
      <w:divBdr>
        <w:top w:val="none" w:sz="0" w:space="0" w:color="auto"/>
        <w:left w:val="none" w:sz="0" w:space="0" w:color="auto"/>
        <w:bottom w:val="none" w:sz="0" w:space="0" w:color="auto"/>
        <w:right w:val="none" w:sz="0" w:space="0" w:color="auto"/>
      </w:divBdr>
      <w:divsChild>
        <w:div w:id="978000259">
          <w:marLeft w:val="0"/>
          <w:marRight w:val="0"/>
          <w:marTop w:val="0"/>
          <w:marBottom w:val="0"/>
          <w:divBdr>
            <w:top w:val="none" w:sz="0" w:space="0" w:color="auto"/>
            <w:left w:val="none" w:sz="0" w:space="0" w:color="auto"/>
            <w:bottom w:val="none" w:sz="0" w:space="0" w:color="auto"/>
            <w:right w:val="none" w:sz="0" w:space="0" w:color="auto"/>
          </w:divBdr>
        </w:div>
        <w:div w:id="1459565027">
          <w:marLeft w:val="0"/>
          <w:marRight w:val="0"/>
          <w:marTop w:val="0"/>
          <w:marBottom w:val="0"/>
          <w:divBdr>
            <w:top w:val="none" w:sz="0" w:space="0" w:color="auto"/>
            <w:left w:val="none" w:sz="0" w:space="0" w:color="auto"/>
            <w:bottom w:val="none" w:sz="0" w:space="0" w:color="auto"/>
            <w:right w:val="none" w:sz="0" w:space="0" w:color="auto"/>
          </w:divBdr>
        </w:div>
        <w:div w:id="1488933037">
          <w:marLeft w:val="0"/>
          <w:marRight w:val="0"/>
          <w:marTop w:val="0"/>
          <w:marBottom w:val="0"/>
          <w:divBdr>
            <w:top w:val="none" w:sz="0" w:space="0" w:color="auto"/>
            <w:left w:val="none" w:sz="0" w:space="0" w:color="auto"/>
            <w:bottom w:val="none" w:sz="0" w:space="0" w:color="auto"/>
            <w:right w:val="none" w:sz="0" w:space="0" w:color="auto"/>
          </w:divBdr>
        </w:div>
      </w:divsChild>
    </w:div>
    <w:div w:id="415248140">
      <w:bodyDiv w:val="1"/>
      <w:marLeft w:val="0"/>
      <w:marRight w:val="0"/>
      <w:marTop w:val="0"/>
      <w:marBottom w:val="0"/>
      <w:divBdr>
        <w:top w:val="none" w:sz="0" w:space="0" w:color="auto"/>
        <w:left w:val="none" w:sz="0" w:space="0" w:color="auto"/>
        <w:bottom w:val="none" w:sz="0" w:space="0" w:color="auto"/>
        <w:right w:val="none" w:sz="0" w:space="0" w:color="auto"/>
      </w:divBdr>
      <w:divsChild>
        <w:div w:id="1733656455">
          <w:marLeft w:val="0"/>
          <w:marRight w:val="0"/>
          <w:marTop w:val="0"/>
          <w:marBottom w:val="0"/>
          <w:divBdr>
            <w:top w:val="none" w:sz="0" w:space="0" w:color="auto"/>
            <w:left w:val="none" w:sz="0" w:space="0" w:color="auto"/>
            <w:bottom w:val="none" w:sz="0" w:space="0" w:color="auto"/>
            <w:right w:val="none" w:sz="0" w:space="0" w:color="auto"/>
          </w:divBdr>
        </w:div>
        <w:div w:id="108202613">
          <w:marLeft w:val="0"/>
          <w:marRight w:val="0"/>
          <w:marTop w:val="0"/>
          <w:marBottom w:val="0"/>
          <w:divBdr>
            <w:top w:val="none" w:sz="0" w:space="0" w:color="auto"/>
            <w:left w:val="none" w:sz="0" w:space="0" w:color="auto"/>
            <w:bottom w:val="none" w:sz="0" w:space="0" w:color="auto"/>
            <w:right w:val="none" w:sz="0" w:space="0" w:color="auto"/>
          </w:divBdr>
        </w:div>
        <w:div w:id="721097507">
          <w:marLeft w:val="0"/>
          <w:marRight w:val="0"/>
          <w:marTop w:val="0"/>
          <w:marBottom w:val="0"/>
          <w:divBdr>
            <w:top w:val="none" w:sz="0" w:space="0" w:color="auto"/>
            <w:left w:val="none" w:sz="0" w:space="0" w:color="auto"/>
            <w:bottom w:val="none" w:sz="0" w:space="0" w:color="auto"/>
            <w:right w:val="none" w:sz="0" w:space="0" w:color="auto"/>
          </w:divBdr>
        </w:div>
        <w:div w:id="1127507089">
          <w:marLeft w:val="0"/>
          <w:marRight w:val="0"/>
          <w:marTop w:val="0"/>
          <w:marBottom w:val="0"/>
          <w:divBdr>
            <w:top w:val="none" w:sz="0" w:space="0" w:color="auto"/>
            <w:left w:val="none" w:sz="0" w:space="0" w:color="auto"/>
            <w:bottom w:val="none" w:sz="0" w:space="0" w:color="auto"/>
            <w:right w:val="none" w:sz="0" w:space="0" w:color="auto"/>
          </w:divBdr>
        </w:div>
        <w:div w:id="818427272">
          <w:marLeft w:val="0"/>
          <w:marRight w:val="0"/>
          <w:marTop w:val="0"/>
          <w:marBottom w:val="0"/>
          <w:divBdr>
            <w:top w:val="none" w:sz="0" w:space="0" w:color="auto"/>
            <w:left w:val="none" w:sz="0" w:space="0" w:color="auto"/>
            <w:bottom w:val="none" w:sz="0" w:space="0" w:color="auto"/>
            <w:right w:val="none" w:sz="0" w:space="0" w:color="auto"/>
          </w:divBdr>
        </w:div>
        <w:div w:id="1255436224">
          <w:marLeft w:val="0"/>
          <w:marRight w:val="0"/>
          <w:marTop w:val="0"/>
          <w:marBottom w:val="0"/>
          <w:divBdr>
            <w:top w:val="none" w:sz="0" w:space="0" w:color="auto"/>
            <w:left w:val="none" w:sz="0" w:space="0" w:color="auto"/>
            <w:bottom w:val="none" w:sz="0" w:space="0" w:color="auto"/>
            <w:right w:val="none" w:sz="0" w:space="0" w:color="auto"/>
          </w:divBdr>
        </w:div>
        <w:div w:id="1094597591">
          <w:marLeft w:val="0"/>
          <w:marRight w:val="0"/>
          <w:marTop w:val="0"/>
          <w:marBottom w:val="0"/>
          <w:divBdr>
            <w:top w:val="none" w:sz="0" w:space="0" w:color="auto"/>
            <w:left w:val="none" w:sz="0" w:space="0" w:color="auto"/>
            <w:bottom w:val="none" w:sz="0" w:space="0" w:color="auto"/>
            <w:right w:val="none" w:sz="0" w:space="0" w:color="auto"/>
          </w:divBdr>
        </w:div>
        <w:div w:id="795950650">
          <w:marLeft w:val="0"/>
          <w:marRight w:val="0"/>
          <w:marTop w:val="0"/>
          <w:marBottom w:val="0"/>
          <w:divBdr>
            <w:top w:val="none" w:sz="0" w:space="0" w:color="auto"/>
            <w:left w:val="none" w:sz="0" w:space="0" w:color="auto"/>
            <w:bottom w:val="none" w:sz="0" w:space="0" w:color="auto"/>
            <w:right w:val="none" w:sz="0" w:space="0" w:color="auto"/>
          </w:divBdr>
        </w:div>
        <w:div w:id="1050230921">
          <w:marLeft w:val="0"/>
          <w:marRight w:val="0"/>
          <w:marTop w:val="0"/>
          <w:marBottom w:val="0"/>
          <w:divBdr>
            <w:top w:val="none" w:sz="0" w:space="0" w:color="auto"/>
            <w:left w:val="none" w:sz="0" w:space="0" w:color="auto"/>
            <w:bottom w:val="none" w:sz="0" w:space="0" w:color="auto"/>
            <w:right w:val="none" w:sz="0" w:space="0" w:color="auto"/>
          </w:divBdr>
        </w:div>
        <w:div w:id="1508135300">
          <w:marLeft w:val="0"/>
          <w:marRight w:val="0"/>
          <w:marTop w:val="0"/>
          <w:marBottom w:val="0"/>
          <w:divBdr>
            <w:top w:val="none" w:sz="0" w:space="0" w:color="auto"/>
            <w:left w:val="none" w:sz="0" w:space="0" w:color="auto"/>
            <w:bottom w:val="none" w:sz="0" w:space="0" w:color="auto"/>
            <w:right w:val="none" w:sz="0" w:space="0" w:color="auto"/>
          </w:divBdr>
        </w:div>
        <w:div w:id="1602835099">
          <w:marLeft w:val="0"/>
          <w:marRight w:val="0"/>
          <w:marTop w:val="0"/>
          <w:marBottom w:val="0"/>
          <w:divBdr>
            <w:top w:val="none" w:sz="0" w:space="0" w:color="auto"/>
            <w:left w:val="none" w:sz="0" w:space="0" w:color="auto"/>
            <w:bottom w:val="none" w:sz="0" w:space="0" w:color="auto"/>
            <w:right w:val="none" w:sz="0" w:space="0" w:color="auto"/>
          </w:divBdr>
        </w:div>
        <w:div w:id="793522849">
          <w:marLeft w:val="0"/>
          <w:marRight w:val="0"/>
          <w:marTop w:val="0"/>
          <w:marBottom w:val="0"/>
          <w:divBdr>
            <w:top w:val="none" w:sz="0" w:space="0" w:color="auto"/>
            <w:left w:val="none" w:sz="0" w:space="0" w:color="auto"/>
            <w:bottom w:val="none" w:sz="0" w:space="0" w:color="auto"/>
            <w:right w:val="none" w:sz="0" w:space="0" w:color="auto"/>
          </w:divBdr>
        </w:div>
        <w:div w:id="1828128272">
          <w:marLeft w:val="0"/>
          <w:marRight w:val="0"/>
          <w:marTop w:val="0"/>
          <w:marBottom w:val="0"/>
          <w:divBdr>
            <w:top w:val="none" w:sz="0" w:space="0" w:color="auto"/>
            <w:left w:val="none" w:sz="0" w:space="0" w:color="auto"/>
            <w:bottom w:val="none" w:sz="0" w:space="0" w:color="auto"/>
            <w:right w:val="none" w:sz="0" w:space="0" w:color="auto"/>
          </w:divBdr>
        </w:div>
      </w:divsChild>
    </w:div>
    <w:div w:id="440303337">
      <w:bodyDiv w:val="1"/>
      <w:marLeft w:val="0"/>
      <w:marRight w:val="0"/>
      <w:marTop w:val="0"/>
      <w:marBottom w:val="0"/>
      <w:divBdr>
        <w:top w:val="none" w:sz="0" w:space="0" w:color="auto"/>
        <w:left w:val="none" w:sz="0" w:space="0" w:color="auto"/>
        <w:bottom w:val="none" w:sz="0" w:space="0" w:color="auto"/>
        <w:right w:val="none" w:sz="0" w:space="0" w:color="auto"/>
      </w:divBdr>
    </w:div>
    <w:div w:id="455947884">
      <w:bodyDiv w:val="1"/>
      <w:marLeft w:val="0"/>
      <w:marRight w:val="0"/>
      <w:marTop w:val="0"/>
      <w:marBottom w:val="0"/>
      <w:divBdr>
        <w:top w:val="none" w:sz="0" w:space="0" w:color="auto"/>
        <w:left w:val="none" w:sz="0" w:space="0" w:color="auto"/>
        <w:bottom w:val="none" w:sz="0" w:space="0" w:color="auto"/>
        <w:right w:val="none" w:sz="0" w:space="0" w:color="auto"/>
      </w:divBdr>
    </w:div>
    <w:div w:id="531574295">
      <w:bodyDiv w:val="1"/>
      <w:marLeft w:val="0"/>
      <w:marRight w:val="0"/>
      <w:marTop w:val="0"/>
      <w:marBottom w:val="0"/>
      <w:divBdr>
        <w:top w:val="none" w:sz="0" w:space="0" w:color="auto"/>
        <w:left w:val="none" w:sz="0" w:space="0" w:color="auto"/>
        <w:bottom w:val="none" w:sz="0" w:space="0" w:color="auto"/>
        <w:right w:val="none" w:sz="0" w:space="0" w:color="auto"/>
      </w:divBdr>
    </w:div>
    <w:div w:id="554975074">
      <w:bodyDiv w:val="1"/>
      <w:marLeft w:val="0"/>
      <w:marRight w:val="0"/>
      <w:marTop w:val="0"/>
      <w:marBottom w:val="0"/>
      <w:divBdr>
        <w:top w:val="none" w:sz="0" w:space="0" w:color="auto"/>
        <w:left w:val="none" w:sz="0" w:space="0" w:color="auto"/>
        <w:bottom w:val="none" w:sz="0" w:space="0" w:color="auto"/>
        <w:right w:val="none" w:sz="0" w:space="0" w:color="auto"/>
      </w:divBdr>
      <w:divsChild>
        <w:div w:id="1984506820">
          <w:marLeft w:val="0"/>
          <w:marRight w:val="0"/>
          <w:marTop w:val="0"/>
          <w:marBottom w:val="0"/>
          <w:divBdr>
            <w:top w:val="none" w:sz="0" w:space="0" w:color="auto"/>
            <w:left w:val="none" w:sz="0" w:space="0" w:color="auto"/>
            <w:bottom w:val="none" w:sz="0" w:space="0" w:color="auto"/>
            <w:right w:val="none" w:sz="0" w:space="0" w:color="auto"/>
          </w:divBdr>
          <w:divsChild>
            <w:div w:id="1135179364">
              <w:marLeft w:val="0"/>
              <w:marRight w:val="0"/>
              <w:marTop w:val="0"/>
              <w:marBottom w:val="0"/>
              <w:divBdr>
                <w:top w:val="none" w:sz="0" w:space="0" w:color="auto"/>
                <w:left w:val="none" w:sz="0" w:space="0" w:color="auto"/>
                <w:bottom w:val="none" w:sz="0" w:space="0" w:color="auto"/>
                <w:right w:val="none" w:sz="0" w:space="0" w:color="auto"/>
              </w:divBdr>
              <w:divsChild>
                <w:div w:id="87774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787495">
      <w:bodyDiv w:val="1"/>
      <w:marLeft w:val="0"/>
      <w:marRight w:val="0"/>
      <w:marTop w:val="0"/>
      <w:marBottom w:val="0"/>
      <w:divBdr>
        <w:top w:val="none" w:sz="0" w:space="0" w:color="auto"/>
        <w:left w:val="none" w:sz="0" w:space="0" w:color="auto"/>
        <w:bottom w:val="none" w:sz="0" w:space="0" w:color="auto"/>
        <w:right w:val="none" w:sz="0" w:space="0" w:color="auto"/>
      </w:divBdr>
      <w:divsChild>
        <w:div w:id="545608482">
          <w:marLeft w:val="0"/>
          <w:marRight w:val="0"/>
          <w:marTop w:val="0"/>
          <w:marBottom w:val="0"/>
          <w:divBdr>
            <w:top w:val="none" w:sz="0" w:space="0" w:color="auto"/>
            <w:left w:val="none" w:sz="0" w:space="0" w:color="auto"/>
            <w:bottom w:val="none" w:sz="0" w:space="0" w:color="auto"/>
            <w:right w:val="none" w:sz="0" w:space="0" w:color="auto"/>
          </w:divBdr>
        </w:div>
        <w:div w:id="1667316876">
          <w:marLeft w:val="0"/>
          <w:marRight w:val="0"/>
          <w:marTop w:val="0"/>
          <w:marBottom w:val="0"/>
          <w:divBdr>
            <w:top w:val="none" w:sz="0" w:space="0" w:color="auto"/>
            <w:left w:val="none" w:sz="0" w:space="0" w:color="auto"/>
            <w:bottom w:val="none" w:sz="0" w:space="0" w:color="auto"/>
            <w:right w:val="none" w:sz="0" w:space="0" w:color="auto"/>
          </w:divBdr>
        </w:div>
        <w:div w:id="1902790061">
          <w:marLeft w:val="0"/>
          <w:marRight w:val="0"/>
          <w:marTop w:val="0"/>
          <w:marBottom w:val="0"/>
          <w:divBdr>
            <w:top w:val="none" w:sz="0" w:space="0" w:color="auto"/>
            <w:left w:val="none" w:sz="0" w:space="0" w:color="auto"/>
            <w:bottom w:val="none" w:sz="0" w:space="0" w:color="auto"/>
            <w:right w:val="none" w:sz="0" w:space="0" w:color="auto"/>
          </w:divBdr>
        </w:div>
        <w:div w:id="322969399">
          <w:marLeft w:val="0"/>
          <w:marRight w:val="0"/>
          <w:marTop w:val="0"/>
          <w:marBottom w:val="0"/>
          <w:divBdr>
            <w:top w:val="none" w:sz="0" w:space="0" w:color="auto"/>
            <w:left w:val="none" w:sz="0" w:space="0" w:color="auto"/>
            <w:bottom w:val="none" w:sz="0" w:space="0" w:color="auto"/>
            <w:right w:val="none" w:sz="0" w:space="0" w:color="auto"/>
          </w:divBdr>
        </w:div>
      </w:divsChild>
    </w:div>
    <w:div w:id="560405051">
      <w:bodyDiv w:val="1"/>
      <w:marLeft w:val="0"/>
      <w:marRight w:val="0"/>
      <w:marTop w:val="0"/>
      <w:marBottom w:val="0"/>
      <w:divBdr>
        <w:top w:val="none" w:sz="0" w:space="0" w:color="auto"/>
        <w:left w:val="none" w:sz="0" w:space="0" w:color="auto"/>
        <w:bottom w:val="none" w:sz="0" w:space="0" w:color="auto"/>
        <w:right w:val="none" w:sz="0" w:space="0" w:color="auto"/>
      </w:divBdr>
      <w:divsChild>
        <w:div w:id="548035937">
          <w:marLeft w:val="0"/>
          <w:marRight w:val="0"/>
          <w:marTop w:val="0"/>
          <w:marBottom w:val="0"/>
          <w:divBdr>
            <w:top w:val="none" w:sz="0" w:space="0" w:color="auto"/>
            <w:left w:val="none" w:sz="0" w:space="0" w:color="auto"/>
            <w:bottom w:val="none" w:sz="0" w:space="0" w:color="auto"/>
            <w:right w:val="none" w:sz="0" w:space="0" w:color="auto"/>
          </w:divBdr>
        </w:div>
        <w:div w:id="1938709068">
          <w:marLeft w:val="0"/>
          <w:marRight w:val="0"/>
          <w:marTop w:val="0"/>
          <w:marBottom w:val="0"/>
          <w:divBdr>
            <w:top w:val="none" w:sz="0" w:space="0" w:color="auto"/>
            <w:left w:val="none" w:sz="0" w:space="0" w:color="auto"/>
            <w:bottom w:val="none" w:sz="0" w:space="0" w:color="auto"/>
            <w:right w:val="none" w:sz="0" w:space="0" w:color="auto"/>
          </w:divBdr>
        </w:div>
        <w:div w:id="930351561">
          <w:marLeft w:val="0"/>
          <w:marRight w:val="0"/>
          <w:marTop w:val="0"/>
          <w:marBottom w:val="0"/>
          <w:divBdr>
            <w:top w:val="none" w:sz="0" w:space="0" w:color="auto"/>
            <w:left w:val="none" w:sz="0" w:space="0" w:color="auto"/>
            <w:bottom w:val="none" w:sz="0" w:space="0" w:color="auto"/>
            <w:right w:val="none" w:sz="0" w:space="0" w:color="auto"/>
          </w:divBdr>
        </w:div>
        <w:div w:id="1691299632">
          <w:marLeft w:val="0"/>
          <w:marRight w:val="0"/>
          <w:marTop w:val="0"/>
          <w:marBottom w:val="0"/>
          <w:divBdr>
            <w:top w:val="none" w:sz="0" w:space="0" w:color="auto"/>
            <w:left w:val="none" w:sz="0" w:space="0" w:color="auto"/>
            <w:bottom w:val="none" w:sz="0" w:space="0" w:color="auto"/>
            <w:right w:val="none" w:sz="0" w:space="0" w:color="auto"/>
          </w:divBdr>
        </w:div>
        <w:div w:id="1330251631">
          <w:marLeft w:val="0"/>
          <w:marRight w:val="0"/>
          <w:marTop w:val="0"/>
          <w:marBottom w:val="0"/>
          <w:divBdr>
            <w:top w:val="none" w:sz="0" w:space="0" w:color="auto"/>
            <w:left w:val="none" w:sz="0" w:space="0" w:color="auto"/>
            <w:bottom w:val="none" w:sz="0" w:space="0" w:color="auto"/>
            <w:right w:val="none" w:sz="0" w:space="0" w:color="auto"/>
          </w:divBdr>
        </w:div>
        <w:div w:id="740103850">
          <w:marLeft w:val="0"/>
          <w:marRight w:val="0"/>
          <w:marTop w:val="0"/>
          <w:marBottom w:val="0"/>
          <w:divBdr>
            <w:top w:val="none" w:sz="0" w:space="0" w:color="auto"/>
            <w:left w:val="none" w:sz="0" w:space="0" w:color="auto"/>
            <w:bottom w:val="none" w:sz="0" w:space="0" w:color="auto"/>
            <w:right w:val="none" w:sz="0" w:space="0" w:color="auto"/>
          </w:divBdr>
        </w:div>
        <w:div w:id="110168753">
          <w:marLeft w:val="0"/>
          <w:marRight w:val="0"/>
          <w:marTop w:val="0"/>
          <w:marBottom w:val="0"/>
          <w:divBdr>
            <w:top w:val="none" w:sz="0" w:space="0" w:color="auto"/>
            <w:left w:val="none" w:sz="0" w:space="0" w:color="auto"/>
            <w:bottom w:val="none" w:sz="0" w:space="0" w:color="auto"/>
            <w:right w:val="none" w:sz="0" w:space="0" w:color="auto"/>
          </w:divBdr>
        </w:div>
        <w:div w:id="852493577">
          <w:marLeft w:val="0"/>
          <w:marRight w:val="0"/>
          <w:marTop w:val="0"/>
          <w:marBottom w:val="0"/>
          <w:divBdr>
            <w:top w:val="none" w:sz="0" w:space="0" w:color="auto"/>
            <w:left w:val="none" w:sz="0" w:space="0" w:color="auto"/>
            <w:bottom w:val="none" w:sz="0" w:space="0" w:color="auto"/>
            <w:right w:val="none" w:sz="0" w:space="0" w:color="auto"/>
          </w:divBdr>
        </w:div>
        <w:div w:id="717821462">
          <w:marLeft w:val="0"/>
          <w:marRight w:val="0"/>
          <w:marTop w:val="0"/>
          <w:marBottom w:val="0"/>
          <w:divBdr>
            <w:top w:val="none" w:sz="0" w:space="0" w:color="auto"/>
            <w:left w:val="none" w:sz="0" w:space="0" w:color="auto"/>
            <w:bottom w:val="none" w:sz="0" w:space="0" w:color="auto"/>
            <w:right w:val="none" w:sz="0" w:space="0" w:color="auto"/>
          </w:divBdr>
        </w:div>
        <w:div w:id="1456174272">
          <w:marLeft w:val="0"/>
          <w:marRight w:val="0"/>
          <w:marTop w:val="0"/>
          <w:marBottom w:val="0"/>
          <w:divBdr>
            <w:top w:val="none" w:sz="0" w:space="0" w:color="auto"/>
            <w:left w:val="none" w:sz="0" w:space="0" w:color="auto"/>
            <w:bottom w:val="none" w:sz="0" w:space="0" w:color="auto"/>
            <w:right w:val="none" w:sz="0" w:space="0" w:color="auto"/>
          </w:divBdr>
        </w:div>
        <w:div w:id="168258925">
          <w:marLeft w:val="0"/>
          <w:marRight w:val="0"/>
          <w:marTop w:val="0"/>
          <w:marBottom w:val="0"/>
          <w:divBdr>
            <w:top w:val="none" w:sz="0" w:space="0" w:color="auto"/>
            <w:left w:val="none" w:sz="0" w:space="0" w:color="auto"/>
            <w:bottom w:val="none" w:sz="0" w:space="0" w:color="auto"/>
            <w:right w:val="none" w:sz="0" w:space="0" w:color="auto"/>
          </w:divBdr>
        </w:div>
      </w:divsChild>
    </w:div>
    <w:div w:id="572395646">
      <w:bodyDiv w:val="1"/>
      <w:marLeft w:val="0"/>
      <w:marRight w:val="0"/>
      <w:marTop w:val="0"/>
      <w:marBottom w:val="0"/>
      <w:divBdr>
        <w:top w:val="none" w:sz="0" w:space="0" w:color="auto"/>
        <w:left w:val="none" w:sz="0" w:space="0" w:color="auto"/>
        <w:bottom w:val="none" w:sz="0" w:space="0" w:color="auto"/>
        <w:right w:val="none" w:sz="0" w:space="0" w:color="auto"/>
      </w:divBdr>
      <w:divsChild>
        <w:div w:id="1921333934">
          <w:marLeft w:val="0"/>
          <w:marRight w:val="0"/>
          <w:marTop w:val="0"/>
          <w:marBottom w:val="0"/>
          <w:divBdr>
            <w:top w:val="none" w:sz="0" w:space="0" w:color="auto"/>
            <w:left w:val="none" w:sz="0" w:space="0" w:color="auto"/>
            <w:bottom w:val="none" w:sz="0" w:space="0" w:color="auto"/>
            <w:right w:val="none" w:sz="0" w:space="0" w:color="auto"/>
          </w:divBdr>
        </w:div>
        <w:div w:id="1337998066">
          <w:marLeft w:val="0"/>
          <w:marRight w:val="0"/>
          <w:marTop w:val="0"/>
          <w:marBottom w:val="0"/>
          <w:divBdr>
            <w:top w:val="none" w:sz="0" w:space="0" w:color="auto"/>
            <w:left w:val="none" w:sz="0" w:space="0" w:color="auto"/>
            <w:bottom w:val="none" w:sz="0" w:space="0" w:color="auto"/>
            <w:right w:val="none" w:sz="0" w:space="0" w:color="auto"/>
          </w:divBdr>
        </w:div>
        <w:div w:id="2075544531">
          <w:marLeft w:val="0"/>
          <w:marRight w:val="0"/>
          <w:marTop w:val="0"/>
          <w:marBottom w:val="0"/>
          <w:divBdr>
            <w:top w:val="none" w:sz="0" w:space="0" w:color="auto"/>
            <w:left w:val="none" w:sz="0" w:space="0" w:color="auto"/>
            <w:bottom w:val="none" w:sz="0" w:space="0" w:color="auto"/>
            <w:right w:val="none" w:sz="0" w:space="0" w:color="auto"/>
          </w:divBdr>
        </w:div>
        <w:div w:id="177280458">
          <w:marLeft w:val="0"/>
          <w:marRight w:val="0"/>
          <w:marTop w:val="0"/>
          <w:marBottom w:val="0"/>
          <w:divBdr>
            <w:top w:val="none" w:sz="0" w:space="0" w:color="auto"/>
            <w:left w:val="none" w:sz="0" w:space="0" w:color="auto"/>
            <w:bottom w:val="none" w:sz="0" w:space="0" w:color="auto"/>
            <w:right w:val="none" w:sz="0" w:space="0" w:color="auto"/>
          </w:divBdr>
        </w:div>
        <w:div w:id="2032299882">
          <w:marLeft w:val="0"/>
          <w:marRight w:val="0"/>
          <w:marTop w:val="0"/>
          <w:marBottom w:val="0"/>
          <w:divBdr>
            <w:top w:val="none" w:sz="0" w:space="0" w:color="auto"/>
            <w:left w:val="none" w:sz="0" w:space="0" w:color="auto"/>
            <w:bottom w:val="none" w:sz="0" w:space="0" w:color="auto"/>
            <w:right w:val="none" w:sz="0" w:space="0" w:color="auto"/>
          </w:divBdr>
        </w:div>
        <w:div w:id="1614090087">
          <w:marLeft w:val="0"/>
          <w:marRight w:val="0"/>
          <w:marTop w:val="0"/>
          <w:marBottom w:val="0"/>
          <w:divBdr>
            <w:top w:val="none" w:sz="0" w:space="0" w:color="auto"/>
            <w:left w:val="none" w:sz="0" w:space="0" w:color="auto"/>
            <w:bottom w:val="none" w:sz="0" w:space="0" w:color="auto"/>
            <w:right w:val="none" w:sz="0" w:space="0" w:color="auto"/>
          </w:divBdr>
        </w:div>
        <w:div w:id="1909880307">
          <w:marLeft w:val="0"/>
          <w:marRight w:val="0"/>
          <w:marTop w:val="0"/>
          <w:marBottom w:val="0"/>
          <w:divBdr>
            <w:top w:val="none" w:sz="0" w:space="0" w:color="auto"/>
            <w:left w:val="none" w:sz="0" w:space="0" w:color="auto"/>
            <w:bottom w:val="none" w:sz="0" w:space="0" w:color="auto"/>
            <w:right w:val="none" w:sz="0" w:space="0" w:color="auto"/>
          </w:divBdr>
        </w:div>
        <w:div w:id="135415582">
          <w:marLeft w:val="0"/>
          <w:marRight w:val="0"/>
          <w:marTop w:val="0"/>
          <w:marBottom w:val="0"/>
          <w:divBdr>
            <w:top w:val="none" w:sz="0" w:space="0" w:color="auto"/>
            <w:left w:val="none" w:sz="0" w:space="0" w:color="auto"/>
            <w:bottom w:val="none" w:sz="0" w:space="0" w:color="auto"/>
            <w:right w:val="none" w:sz="0" w:space="0" w:color="auto"/>
          </w:divBdr>
        </w:div>
        <w:div w:id="1552427440">
          <w:marLeft w:val="0"/>
          <w:marRight w:val="0"/>
          <w:marTop w:val="0"/>
          <w:marBottom w:val="0"/>
          <w:divBdr>
            <w:top w:val="none" w:sz="0" w:space="0" w:color="auto"/>
            <w:left w:val="none" w:sz="0" w:space="0" w:color="auto"/>
            <w:bottom w:val="none" w:sz="0" w:space="0" w:color="auto"/>
            <w:right w:val="none" w:sz="0" w:space="0" w:color="auto"/>
          </w:divBdr>
        </w:div>
        <w:div w:id="1657372141">
          <w:marLeft w:val="0"/>
          <w:marRight w:val="0"/>
          <w:marTop w:val="0"/>
          <w:marBottom w:val="0"/>
          <w:divBdr>
            <w:top w:val="none" w:sz="0" w:space="0" w:color="auto"/>
            <w:left w:val="none" w:sz="0" w:space="0" w:color="auto"/>
            <w:bottom w:val="none" w:sz="0" w:space="0" w:color="auto"/>
            <w:right w:val="none" w:sz="0" w:space="0" w:color="auto"/>
          </w:divBdr>
        </w:div>
        <w:div w:id="485585783">
          <w:marLeft w:val="0"/>
          <w:marRight w:val="0"/>
          <w:marTop w:val="0"/>
          <w:marBottom w:val="0"/>
          <w:divBdr>
            <w:top w:val="none" w:sz="0" w:space="0" w:color="auto"/>
            <w:left w:val="none" w:sz="0" w:space="0" w:color="auto"/>
            <w:bottom w:val="none" w:sz="0" w:space="0" w:color="auto"/>
            <w:right w:val="none" w:sz="0" w:space="0" w:color="auto"/>
          </w:divBdr>
        </w:div>
        <w:div w:id="1471900563">
          <w:marLeft w:val="0"/>
          <w:marRight w:val="0"/>
          <w:marTop w:val="0"/>
          <w:marBottom w:val="0"/>
          <w:divBdr>
            <w:top w:val="none" w:sz="0" w:space="0" w:color="auto"/>
            <w:left w:val="none" w:sz="0" w:space="0" w:color="auto"/>
            <w:bottom w:val="none" w:sz="0" w:space="0" w:color="auto"/>
            <w:right w:val="none" w:sz="0" w:space="0" w:color="auto"/>
          </w:divBdr>
        </w:div>
        <w:div w:id="509756475">
          <w:marLeft w:val="0"/>
          <w:marRight w:val="0"/>
          <w:marTop w:val="0"/>
          <w:marBottom w:val="0"/>
          <w:divBdr>
            <w:top w:val="none" w:sz="0" w:space="0" w:color="auto"/>
            <w:left w:val="none" w:sz="0" w:space="0" w:color="auto"/>
            <w:bottom w:val="none" w:sz="0" w:space="0" w:color="auto"/>
            <w:right w:val="none" w:sz="0" w:space="0" w:color="auto"/>
          </w:divBdr>
        </w:div>
        <w:div w:id="411589840">
          <w:marLeft w:val="0"/>
          <w:marRight w:val="0"/>
          <w:marTop w:val="0"/>
          <w:marBottom w:val="0"/>
          <w:divBdr>
            <w:top w:val="none" w:sz="0" w:space="0" w:color="auto"/>
            <w:left w:val="none" w:sz="0" w:space="0" w:color="auto"/>
            <w:bottom w:val="none" w:sz="0" w:space="0" w:color="auto"/>
            <w:right w:val="none" w:sz="0" w:space="0" w:color="auto"/>
          </w:divBdr>
        </w:div>
        <w:div w:id="963316417">
          <w:marLeft w:val="0"/>
          <w:marRight w:val="0"/>
          <w:marTop w:val="0"/>
          <w:marBottom w:val="0"/>
          <w:divBdr>
            <w:top w:val="none" w:sz="0" w:space="0" w:color="auto"/>
            <w:left w:val="none" w:sz="0" w:space="0" w:color="auto"/>
            <w:bottom w:val="none" w:sz="0" w:space="0" w:color="auto"/>
            <w:right w:val="none" w:sz="0" w:space="0" w:color="auto"/>
          </w:divBdr>
        </w:div>
        <w:div w:id="408773454">
          <w:marLeft w:val="0"/>
          <w:marRight w:val="0"/>
          <w:marTop w:val="0"/>
          <w:marBottom w:val="0"/>
          <w:divBdr>
            <w:top w:val="none" w:sz="0" w:space="0" w:color="auto"/>
            <w:left w:val="none" w:sz="0" w:space="0" w:color="auto"/>
            <w:bottom w:val="none" w:sz="0" w:space="0" w:color="auto"/>
            <w:right w:val="none" w:sz="0" w:space="0" w:color="auto"/>
          </w:divBdr>
        </w:div>
        <w:div w:id="1295796125">
          <w:marLeft w:val="0"/>
          <w:marRight w:val="0"/>
          <w:marTop w:val="0"/>
          <w:marBottom w:val="0"/>
          <w:divBdr>
            <w:top w:val="none" w:sz="0" w:space="0" w:color="auto"/>
            <w:left w:val="none" w:sz="0" w:space="0" w:color="auto"/>
            <w:bottom w:val="none" w:sz="0" w:space="0" w:color="auto"/>
            <w:right w:val="none" w:sz="0" w:space="0" w:color="auto"/>
          </w:divBdr>
        </w:div>
        <w:div w:id="2138913308">
          <w:marLeft w:val="0"/>
          <w:marRight w:val="0"/>
          <w:marTop w:val="0"/>
          <w:marBottom w:val="0"/>
          <w:divBdr>
            <w:top w:val="none" w:sz="0" w:space="0" w:color="auto"/>
            <w:left w:val="none" w:sz="0" w:space="0" w:color="auto"/>
            <w:bottom w:val="none" w:sz="0" w:space="0" w:color="auto"/>
            <w:right w:val="none" w:sz="0" w:space="0" w:color="auto"/>
          </w:divBdr>
        </w:div>
        <w:div w:id="1382171491">
          <w:marLeft w:val="0"/>
          <w:marRight w:val="0"/>
          <w:marTop w:val="0"/>
          <w:marBottom w:val="0"/>
          <w:divBdr>
            <w:top w:val="none" w:sz="0" w:space="0" w:color="auto"/>
            <w:left w:val="none" w:sz="0" w:space="0" w:color="auto"/>
            <w:bottom w:val="none" w:sz="0" w:space="0" w:color="auto"/>
            <w:right w:val="none" w:sz="0" w:space="0" w:color="auto"/>
          </w:divBdr>
        </w:div>
        <w:div w:id="955213005">
          <w:marLeft w:val="0"/>
          <w:marRight w:val="0"/>
          <w:marTop w:val="0"/>
          <w:marBottom w:val="0"/>
          <w:divBdr>
            <w:top w:val="none" w:sz="0" w:space="0" w:color="auto"/>
            <w:left w:val="none" w:sz="0" w:space="0" w:color="auto"/>
            <w:bottom w:val="none" w:sz="0" w:space="0" w:color="auto"/>
            <w:right w:val="none" w:sz="0" w:space="0" w:color="auto"/>
          </w:divBdr>
        </w:div>
        <w:div w:id="1113134646">
          <w:marLeft w:val="0"/>
          <w:marRight w:val="0"/>
          <w:marTop w:val="0"/>
          <w:marBottom w:val="0"/>
          <w:divBdr>
            <w:top w:val="none" w:sz="0" w:space="0" w:color="auto"/>
            <w:left w:val="none" w:sz="0" w:space="0" w:color="auto"/>
            <w:bottom w:val="none" w:sz="0" w:space="0" w:color="auto"/>
            <w:right w:val="none" w:sz="0" w:space="0" w:color="auto"/>
          </w:divBdr>
        </w:div>
        <w:div w:id="511604155">
          <w:marLeft w:val="0"/>
          <w:marRight w:val="0"/>
          <w:marTop w:val="0"/>
          <w:marBottom w:val="0"/>
          <w:divBdr>
            <w:top w:val="none" w:sz="0" w:space="0" w:color="auto"/>
            <w:left w:val="none" w:sz="0" w:space="0" w:color="auto"/>
            <w:bottom w:val="none" w:sz="0" w:space="0" w:color="auto"/>
            <w:right w:val="none" w:sz="0" w:space="0" w:color="auto"/>
          </w:divBdr>
        </w:div>
        <w:div w:id="1096827290">
          <w:marLeft w:val="0"/>
          <w:marRight w:val="0"/>
          <w:marTop w:val="0"/>
          <w:marBottom w:val="0"/>
          <w:divBdr>
            <w:top w:val="none" w:sz="0" w:space="0" w:color="auto"/>
            <w:left w:val="none" w:sz="0" w:space="0" w:color="auto"/>
            <w:bottom w:val="none" w:sz="0" w:space="0" w:color="auto"/>
            <w:right w:val="none" w:sz="0" w:space="0" w:color="auto"/>
          </w:divBdr>
        </w:div>
        <w:div w:id="969164391">
          <w:marLeft w:val="0"/>
          <w:marRight w:val="0"/>
          <w:marTop w:val="0"/>
          <w:marBottom w:val="0"/>
          <w:divBdr>
            <w:top w:val="none" w:sz="0" w:space="0" w:color="auto"/>
            <w:left w:val="none" w:sz="0" w:space="0" w:color="auto"/>
            <w:bottom w:val="none" w:sz="0" w:space="0" w:color="auto"/>
            <w:right w:val="none" w:sz="0" w:space="0" w:color="auto"/>
          </w:divBdr>
        </w:div>
        <w:div w:id="1806502647">
          <w:marLeft w:val="0"/>
          <w:marRight w:val="0"/>
          <w:marTop w:val="0"/>
          <w:marBottom w:val="0"/>
          <w:divBdr>
            <w:top w:val="none" w:sz="0" w:space="0" w:color="auto"/>
            <w:left w:val="none" w:sz="0" w:space="0" w:color="auto"/>
            <w:bottom w:val="none" w:sz="0" w:space="0" w:color="auto"/>
            <w:right w:val="none" w:sz="0" w:space="0" w:color="auto"/>
          </w:divBdr>
        </w:div>
        <w:div w:id="604115099">
          <w:marLeft w:val="0"/>
          <w:marRight w:val="0"/>
          <w:marTop w:val="0"/>
          <w:marBottom w:val="0"/>
          <w:divBdr>
            <w:top w:val="none" w:sz="0" w:space="0" w:color="auto"/>
            <w:left w:val="none" w:sz="0" w:space="0" w:color="auto"/>
            <w:bottom w:val="none" w:sz="0" w:space="0" w:color="auto"/>
            <w:right w:val="none" w:sz="0" w:space="0" w:color="auto"/>
          </w:divBdr>
        </w:div>
        <w:div w:id="374014654">
          <w:marLeft w:val="0"/>
          <w:marRight w:val="0"/>
          <w:marTop w:val="0"/>
          <w:marBottom w:val="0"/>
          <w:divBdr>
            <w:top w:val="none" w:sz="0" w:space="0" w:color="auto"/>
            <w:left w:val="none" w:sz="0" w:space="0" w:color="auto"/>
            <w:bottom w:val="none" w:sz="0" w:space="0" w:color="auto"/>
            <w:right w:val="none" w:sz="0" w:space="0" w:color="auto"/>
          </w:divBdr>
        </w:div>
        <w:div w:id="1166438552">
          <w:marLeft w:val="0"/>
          <w:marRight w:val="0"/>
          <w:marTop w:val="0"/>
          <w:marBottom w:val="0"/>
          <w:divBdr>
            <w:top w:val="none" w:sz="0" w:space="0" w:color="auto"/>
            <w:left w:val="none" w:sz="0" w:space="0" w:color="auto"/>
            <w:bottom w:val="none" w:sz="0" w:space="0" w:color="auto"/>
            <w:right w:val="none" w:sz="0" w:space="0" w:color="auto"/>
          </w:divBdr>
        </w:div>
      </w:divsChild>
    </w:div>
    <w:div w:id="611979780">
      <w:bodyDiv w:val="1"/>
      <w:marLeft w:val="0"/>
      <w:marRight w:val="0"/>
      <w:marTop w:val="0"/>
      <w:marBottom w:val="0"/>
      <w:divBdr>
        <w:top w:val="none" w:sz="0" w:space="0" w:color="auto"/>
        <w:left w:val="none" w:sz="0" w:space="0" w:color="auto"/>
        <w:bottom w:val="none" w:sz="0" w:space="0" w:color="auto"/>
        <w:right w:val="none" w:sz="0" w:space="0" w:color="auto"/>
      </w:divBdr>
      <w:divsChild>
        <w:div w:id="392117987">
          <w:marLeft w:val="0"/>
          <w:marRight w:val="0"/>
          <w:marTop w:val="0"/>
          <w:marBottom w:val="0"/>
          <w:divBdr>
            <w:top w:val="none" w:sz="0" w:space="0" w:color="auto"/>
            <w:left w:val="none" w:sz="0" w:space="0" w:color="auto"/>
            <w:bottom w:val="none" w:sz="0" w:space="0" w:color="auto"/>
            <w:right w:val="none" w:sz="0" w:space="0" w:color="auto"/>
          </w:divBdr>
        </w:div>
        <w:div w:id="664163301">
          <w:marLeft w:val="0"/>
          <w:marRight w:val="0"/>
          <w:marTop w:val="0"/>
          <w:marBottom w:val="0"/>
          <w:divBdr>
            <w:top w:val="none" w:sz="0" w:space="0" w:color="auto"/>
            <w:left w:val="none" w:sz="0" w:space="0" w:color="auto"/>
            <w:bottom w:val="none" w:sz="0" w:space="0" w:color="auto"/>
            <w:right w:val="none" w:sz="0" w:space="0" w:color="auto"/>
          </w:divBdr>
        </w:div>
        <w:div w:id="380524417">
          <w:marLeft w:val="0"/>
          <w:marRight w:val="0"/>
          <w:marTop w:val="0"/>
          <w:marBottom w:val="0"/>
          <w:divBdr>
            <w:top w:val="none" w:sz="0" w:space="0" w:color="auto"/>
            <w:left w:val="none" w:sz="0" w:space="0" w:color="auto"/>
            <w:bottom w:val="none" w:sz="0" w:space="0" w:color="auto"/>
            <w:right w:val="none" w:sz="0" w:space="0" w:color="auto"/>
          </w:divBdr>
        </w:div>
      </w:divsChild>
    </w:div>
    <w:div w:id="623577319">
      <w:bodyDiv w:val="1"/>
      <w:marLeft w:val="0"/>
      <w:marRight w:val="0"/>
      <w:marTop w:val="0"/>
      <w:marBottom w:val="0"/>
      <w:divBdr>
        <w:top w:val="none" w:sz="0" w:space="0" w:color="auto"/>
        <w:left w:val="none" w:sz="0" w:space="0" w:color="auto"/>
        <w:bottom w:val="none" w:sz="0" w:space="0" w:color="auto"/>
        <w:right w:val="none" w:sz="0" w:space="0" w:color="auto"/>
      </w:divBdr>
      <w:divsChild>
        <w:div w:id="1597210133">
          <w:marLeft w:val="0"/>
          <w:marRight w:val="0"/>
          <w:marTop w:val="0"/>
          <w:marBottom w:val="0"/>
          <w:divBdr>
            <w:top w:val="none" w:sz="0" w:space="0" w:color="auto"/>
            <w:left w:val="none" w:sz="0" w:space="0" w:color="auto"/>
            <w:bottom w:val="none" w:sz="0" w:space="0" w:color="auto"/>
            <w:right w:val="none" w:sz="0" w:space="0" w:color="auto"/>
          </w:divBdr>
        </w:div>
        <w:div w:id="722486981">
          <w:marLeft w:val="0"/>
          <w:marRight w:val="0"/>
          <w:marTop w:val="0"/>
          <w:marBottom w:val="0"/>
          <w:divBdr>
            <w:top w:val="none" w:sz="0" w:space="0" w:color="auto"/>
            <w:left w:val="none" w:sz="0" w:space="0" w:color="auto"/>
            <w:bottom w:val="none" w:sz="0" w:space="0" w:color="auto"/>
            <w:right w:val="none" w:sz="0" w:space="0" w:color="auto"/>
          </w:divBdr>
        </w:div>
        <w:div w:id="368998194">
          <w:marLeft w:val="0"/>
          <w:marRight w:val="0"/>
          <w:marTop w:val="0"/>
          <w:marBottom w:val="0"/>
          <w:divBdr>
            <w:top w:val="none" w:sz="0" w:space="0" w:color="auto"/>
            <w:left w:val="none" w:sz="0" w:space="0" w:color="auto"/>
            <w:bottom w:val="none" w:sz="0" w:space="0" w:color="auto"/>
            <w:right w:val="none" w:sz="0" w:space="0" w:color="auto"/>
          </w:divBdr>
        </w:div>
        <w:div w:id="1657302358">
          <w:marLeft w:val="0"/>
          <w:marRight w:val="0"/>
          <w:marTop w:val="0"/>
          <w:marBottom w:val="0"/>
          <w:divBdr>
            <w:top w:val="none" w:sz="0" w:space="0" w:color="auto"/>
            <w:left w:val="none" w:sz="0" w:space="0" w:color="auto"/>
            <w:bottom w:val="none" w:sz="0" w:space="0" w:color="auto"/>
            <w:right w:val="none" w:sz="0" w:space="0" w:color="auto"/>
          </w:divBdr>
        </w:div>
        <w:div w:id="802115806">
          <w:marLeft w:val="0"/>
          <w:marRight w:val="0"/>
          <w:marTop w:val="0"/>
          <w:marBottom w:val="0"/>
          <w:divBdr>
            <w:top w:val="none" w:sz="0" w:space="0" w:color="auto"/>
            <w:left w:val="none" w:sz="0" w:space="0" w:color="auto"/>
            <w:bottom w:val="none" w:sz="0" w:space="0" w:color="auto"/>
            <w:right w:val="none" w:sz="0" w:space="0" w:color="auto"/>
          </w:divBdr>
        </w:div>
        <w:div w:id="86465842">
          <w:marLeft w:val="0"/>
          <w:marRight w:val="0"/>
          <w:marTop w:val="0"/>
          <w:marBottom w:val="0"/>
          <w:divBdr>
            <w:top w:val="none" w:sz="0" w:space="0" w:color="auto"/>
            <w:left w:val="none" w:sz="0" w:space="0" w:color="auto"/>
            <w:bottom w:val="none" w:sz="0" w:space="0" w:color="auto"/>
            <w:right w:val="none" w:sz="0" w:space="0" w:color="auto"/>
          </w:divBdr>
        </w:div>
        <w:div w:id="1935935400">
          <w:marLeft w:val="0"/>
          <w:marRight w:val="0"/>
          <w:marTop w:val="0"/>
          <w:marBottom w:val="0"/>
          <w:divBdr>
            <w:top w:val="none" w:sz="0" w:space="0" w:color="auto"/>
            <w:left w:val="none" w:sz="0" w:space="0" w:color="auto"/>
            <w:bottom w:val="none" w:sz="0" w:space="0" w:color="auto"/>
            <w:right w:val="none" w:sz="0" w:space="0" w:color="auto"/>
          </w:divBdr>
        </w:div>
        <w:div w:id="1026638444">
          <w:marLeft w:val="0"/>
          <w:marRight w:val="0"/>
          <w:marTop w:val="0"/>
          <w:marBottom w:val="0"/>
          <w:divBdr>
            <w:top w:val="none" w:sz="0" w:space="0" w:color="auto"/>
            <w:left w:val="none" w:sz="0" w:space="0" w:color="auto"/>
            <w:bottom w:val="none" w:sz="0" w:space="0" w:color="auto"/>
            <w:right w:val="none" w:sz="0" w:space="0" w:color="auto"/>
          </w:divBdr>
        </w:div>
        <w:div w:id="1052532967">
          <w:marLeft w:val="0"/>
          <w:marRight w:val="0"/>
          <w:marTop w:val="0"/>
          <w:marBottom w:val="0"/>
          <w:divBdr>
            <w:top w:val="none" w:sz="0" w:space="0" w:color="auto"/>
            <w:left w:val="none" w:sz="0" w:space="0" w:color="auto"/>
            <w:bottom w:val="none" w:sz="0" w:space="0" w:color="auto"/>
            <w:right w:val="none" w:sz="0" w:space="0" w:color="auto"/>
          </w:divBdr>
        </w:div>
        <w:div w:id="819424418">
          <w:marLeft w:val="0"/>
          <w:marRight w:val="0"/>
          <w:marTop w:val="0"/>
          <w:marBottom w:val="0"/>
          <w:divBdr>
            <w:top w:val="none" w:sz="0" w:space="0" w:color="auto"/>
            <w:left w:val="none" w:sz="0" w:space="0" w:color="auto"/>
            <w:bottom w:val="none" w:sz="0" w:space="0" w:color="auto"/>
            <w:right w:val="none" w:sz="0" w:space="0" w:color="auto"/>
          </w:divBdr>
        </w:div>
      </w:divsChild>
    </w:div>
    <w:div w:id="629556614">
      <w:bodyDiv w:val="1"/>
      <w:marLeft w:val="0"/>
      <w:marRight w:val="0"/>
      <w:marTop w:val="0"/>
      <w:marBottom w:val="0"/>
      <w:divBdr>
        <w:top w:val="none" w:sz="0" w:space="0" w:color="auto"/>
        <w:left w:val="none" w:sz="0" w:space="0" w:color="auto"/>
        <w:bottom w:val="none" w:sz="0" w:space="0" w:color="auto"/>
        <w:right w:val="none" w:sz="0" w:space="0" w:color="auto"/>
      </w:divBdr>
      <w:divsChild>
        <w:div w:id="416947118">
          <w:marLeft w:val="0"/>
          <w:marRight w:val="0"/>
          <w:marTop w:val="0"/>
          <w:marBottom w:val="0"/>
          <w:divBdr>
            <w:top w:val="none" w:sz="0" w:space="0" w:color="auto"/>
            <w:left w:val="none" w:sz="0" w:space="0" w:color="auto"/>
            <w:bottom w:val="none" w:sz="0" w:space="0" w:color="auto"/>
            <w:right w:val="none" w:sz="0" w:space="0" w:color="auto"/>
          </w:divBdr>
        </w:div>
        <w:div w:id="1793476357">
          <w:marLeft w:val="0"/>
          <w:marRight w:val="0"/>
          <w:marTop w:val="0"/>
          <w:marBottom w:val="0"/>
          <w:divBdr>
            <w:top w:val="none" w:sz="0" w:space="0" w:color="auto"/>
            <w:left w:val="none" w:sz="0" w:space="0" w:color="auto"/>
            <w:bottom w:val="none" w:sz="0" w:space="0" w:color="auto"/>
            <w:right w:val="none" w:sz="0" w:space="0" w:color="auto"/>
          </w:divBdr>
        </w:div>
        <w:div w:id="714889404">
          <w:marLeft w:val="0"/>
          <w:marRight w:val="0"/>
          <w:marTop w:val="0"/>
          <w:marBottom w:val="0"/>
          <w:divBdr>
            <w:top w:val="none" w:sz="0" w:space="0" w:color="auto"/>
            <w:left w:val="none" w:sz="0" w:space="0" w:color="auto"/>
            <w:bottom w:val="none" w:sz="0" w:space="0" w:color="auto"/>
            <w:right w:val="none" w:sz="0" w:space="0" w:color="auto"/>
          </w:divBdr>
        </w:div>
        <w:div w:id="1409771274">
          <w:marLeft w:val="0"/>
          <w:marRight w:val="0"/>
          <w:marTop w:val="0"/>
          <w:marBottom w:val="0"/>
          <w:divBdr>
            <w:top w:val="none" w:sz="0" w:space="0" w:color="auto"/>
            <w:left w:val="none" w:sz="0" w:space="0" w:color="auto"/>
            <w:bottom w:val="none" w:sz="0" w:space="0" w:color="auto"/>
            <w:right w:val="none" w:sz="0" w:space="0" w:color="auto"/>
          </w:divBdr>
        </w:div>
        <w:div w:id="590283290">
          <w:marLeft w:val="0"/>
          <w:marRight w:val="0"/>
          <w:marTop w:val="0"/>
          <w:marBottom w:val="0"/>
          <w:divBdr>
            <w:top w:val="none" w:sz="0" w:space="0" w:color="auto"/>
            <w:left w:val="none" w:sz="0" w:space="0" w:color="auto"/>
            <w:bottom w:val="none" w:sz="0" w:space="0" w:color="auto"/>
            <w:right w:val="none" w:sz="0" w:space="0" w:color="auto"/>
          </w:divBdr>
        </w:div>
        <w:div w:id="487593218">
          <w:marLeft w:val="0"/>
          <w:marRight w:val="0"/>
          <w:marTop w:val="0"/>
          <w:marBottom w:val="0"/>
          <w:divBdr>
            <w:top w:val="none" w:sz="0" w:space="0" w:color="auto"/>
            <w:left w:val="none" w:sz="0" w:space="0" w:color="auto"/>
            <w:bottom w:val="none" w:sz="0" w:space="0" w:color="auto"/>
            <w:right w:val="none" w:sz="0" w:space="0" w:color="auto"/>
          </w:divBdr>
        </w:div>
        <w:div w:id="1803185604">
          <w:marLeft w:val="0"/>
          <w:marRight w:val="0"/>
          <w:marTop w:val="0"/>
          <w:marBottom w:val="0"/>
          <w:divBdr>
            <w:top w:val="none" w:sz="0" w:space="0" w:color="auto"/>
            <w:left w:val="none" w:sz="0" w:space="0" w:color="auto"/>
            <w:bottom w:val="none" w:sz="0" w:space="0" w:color="auto"/>
            <w:right w:val="none" w:sz="0" w:space="0" w:color="auto"/>
          </w:divBdr>
        </w:div>
      </w:divsChild>
    </w:div>
    <w:div w:id="649866605">
      <w:bodyDiv w:val="1"/>
      <w:marLeft w:val="0"/>
      <w:marRight w:val="0"/>
      <w:marTop w:val="0"/>
      <w:marBottom w:val="0"/>
      <w:divBdr>
        <w:top w:val="none" w:sz="0" w:space="0" w:color="auto"/>
        <w:left w:val="none" w:sz="0" w:space="0" w:color="auto"/>
        <w:bottom w:val="none" w:sz="0" w:space="0" w:color="auto"/>
        <w:right w:val="none" w:sz="0" w:space="0" w:color="auto"/>
      </w:divBdr>
      <w:divsChild>
        <w:div w:id="1088576752">
          <w:marLeft w:val="0"/>
          <w:marRight w:val="0"/>
          <w:marTop w:val="0"/>
          <w:marBottom w:val="0"/>
          <w:divBdr>
            <w:top w:val="none" w:sz="0" w:space="0" w:color="auto"/>
            <w:left w:val="none" w:sz="0" w:space="0" w:color="auto"/>
            <w:bottom w:val="none" w:sz="0" w:space="0" w:color="auto"/>
            <w:right w:val="none" w:sz="0" w:space="0" w:color="auto"/>
          </w:divBdr>
        </w:div>
        <w:div w:id="1988045843">
          <w:marLeft w:val="0"/>
          <w:marRight w:val="0"/>
          <w:marTop w:val="0"/>
          <w:marBottom w:val="0"/>
          <w:divBdr>
            <w:top w:val="none" w:sz="0" w:space="0" w:color="auto"/>
            <w:left w:val="none" w:sz="0" w:space="0" w:color="auto"/>
            <w:bottom w:val="none" w:sz="0" w:space="0" w:color="auto"/>
            <w:right w:val="none" w:sz="0" w:space="0" w:color="auto"/>
          </w:divBdr>
        </w:div>
        <w:div w:id="2026901254">
          <w:marLeft w:val="0"/>
          <w:marRight w:val="0"/>
          <w:marTop w:val="0"/>
          <w:marBottom w:val="0"/>
          <w:divBdr>
            <w:top w:val="none" w:sz="0" w:space="0" w:color="auto"/>
            <w:left w:val="none" w:sz="0" w:space="0" w:color="auto"/>
            <w:bottom w:val="none" w:sz="0" w:space="0" w:color="auto"/>
            <w:right w:val="none" w:sz="0" w:space="0" w:color="auto"/>
          </w:divBdr>
        </w:div>
        <w:div w:id="1388526089">
          <w:marLeft w:val="0"/>
          <w:marRight w:val="0"/>
          <w:marTop w:val="0"/>
          <w:marBottom w:val="0"/>
          <w:divBdr>
            <w:top w:val="none" w:sz="0" w:space="0" w:color="auto"/>
            <w:left w:val="none" w:sz="0" w:space="0" w:color="auto"/>
            <w:bottom w:val="none" w:sz="0" w:space="0" w:color="auto"/>
            <w:right w:val="none" w:sz="0" w:space="0" w:color="auto"/>
          </w:divBdr>
        </w:div>
        <w:div w:id="2044010988">
          <w:marLeft w:val="0"/>
          <w:marRight w:val="0"/>
          <w:marTop w:val="0"/>
          <w:marBottom w:val="0"/>
          <w:divBdr>
            <w:top w:val="none" w:sz="0" w:space="0" w:color="auto"/>
            <w:left w:val="none" w:sz="0" w:space="0" w:color="auto"/>
            <w:bottom w:val="none" w:sz="0" w:space="0" w:color="auto"/>
            <w:right w:val="none" w:sz="0" w:space="0" w:color="auto"/>
          </w:divBdr>
        </w:div>
        <w:div w:id="1743142164">
          <w:marLeft w:val="0"/>
          <w:marRight w:val="0"/>
          <w:marTop w:val="0"/>
          <w:marBottom w:val="0"/>
          <w:divBdr>
            <w:top w:val="none" w:sz="0" w:space="0" w:color="auto"/>
            <w:left w:val="none" w:sz="0" w:space="0" w:color="auto"/>
            <w:bottom w:val="none" w:sz="0" w:space="0" w:color="auto"/>
            <w:right w:val="none" w:sz="0" w:space="0" w:color="auto"/>
          </w:divBdr>
        </w:div>
        <w:div w:id="1239092792">
          <w:marLeft w:val="0"/>
          <w:marRight w:val="0"/>
          <w:marTop w:val="0"/>
          <w:marBottom w:val="0"/>
          <w:divBdr>
            <w:top w:val="none" w:sz="0" w:space="0" w:color="auto"/>
            <w:left w:val="none" w:sz="0" w:space="0" w:color="auto"/>
            <w:bottom w:val="none" w:sz="0" w:space="0" w:color="auto"/>
            <w:right w:val="none" w:sz="0" w:space="0" w:color="auto"/>
          </w:divBdr>
        </w:div>
        <w:div w:id="2029869419">
          <w:marLeft w:val="0"/>
          <w:marRight w:val="0"/>
          <w:marTop w:val="0"/>
          <w:marBottom w:val="0"/>
          <w:divBdr>
            <w:top w:val="none" w:sz="0" w:space="0" w:color="auto"/>
            <w:left w:val="none" w:sz="0" w:space="0" w:color="auto"/>
            <w:bottom w:val="none" w:sz="0" w:space="0" w:color="auto"/>
            <w:right w:val="none" w:sz="0" w:space="0" w:color="auto"/>
          </w:divBdr>
        </w:div>
        <w:div w:id="94133639">
          <w:marLeft w:val="0"/>
          <w:marRight w:val="0"/>
          <w:marTop w:val="0"/>
          <w:marBottom w:val="0"/>
          <w:divBdr>
            <w:top w:val="none" w:sz="0" w:space="0" w:color="auto"/>
            <w:left w:val="none" w:sz="0" w:space="0" w:color="auto"/>
            <w:bottom w:val="none" w:sz="0" w:space="0" w:color="auto"/>
            <w:right w:val="none" w:sz="0" w:space="0" w:color="auto"/>
          </w:divBdr>
        </w:div>
        <w:div w:id="730156209">
          <w:marLeft w:val="0"/>
          <w:marRight w:val="0"/>
          <w:marTop w:val="0"/>
          <w:marBottom w:val="0"/>
          <w:divBdr>
            <w:top w:val="none" w:sz="0" w:space="0" w:color="auto"/>
            <w:left w:val="none" w:sz="0" w:space="0" w:color="auto"/>
            <w:bottom w:val="none" w:sz="0" w:space="0" w:color="auto"/>
            <w:right w:val="none" w:sz="0" w:space="0" w:color="auto"/>
          </w:divBdr>
        </w:div>
        <w:div w:id="924725569">
          <w:marLeft w:val="0"/>
          <w:marRight w:val="0"/>
          <w:marTop w:val="0"/>
          <w:marBottom w:val="0"/>
          <w:divBdr>
            <w:top w:val="none" w:sz="0" w:space="0" w:color="auto"/>
            <w:left w:val="none" w:sz="0" w:space="0" w:color="auto"/>
            <w:bottom w:val="none" w:sz="0" w:space="0" w:color="auto"/>
            <w:right w:val="none" w:sz="0" w:space="0" w:color="auto"/>
          </w:divBdr>
        </w:div>
      </w:divsChild>
    </w:div>
    <w:div w:id="655105932">
      <w:bodyDiv w:val="1"/>
      <w:marLeft w:val="0"/>
      <w:marRight w:val="0"/>
      <w:marTop w:val="0"/>
      <w:marBottom w:val="0"/>
      <w:divBdr>
        <w:top w:val="none" w:sz="0" w:space="0" w:color="auto"/>
        <w:left w:val="none" w:sz="0" w:space="0" w:color="auto"/>
        <w:bottom w:val="none" w:sz="0" w:space="0" w:color="auto"/>
        <w:right w:val="none" w:sz="0" w:space="0" w:color="auto"/>
      </w:divBdr>
      <w:divsChild>
        <w:div w:id="1455977619">
          <w:marLeft w:val="0"/>
          <w:marRight w:val="0"/>
          <w:marTop w:val="0"/>
          <w:marBottom w:val="0"/>
          <w:divBdr>
            <w:top w:val="none" w:sz="0" w:space="0" w:color="auto"/>
            <w:left w:val="none" w:sz="0" w:space="0" w:color="auto"/>
            <w:bottom w:val="none" w:sz="0" w:space="0" w:color="auto"/>
            <w:right w:val="none" w:sz="0" w:space="0" w:color="auto"/>
          </w:divBdr>
        </w:div>
        <w:div w:id="1352032489">
          <w:marLeft w:val="0"/>
          <w:marRight w:val="0"/>
          <w:marTop w:val="0"/>
          <w:marBottom w:val="0"/>
          <w:divBdr>
            <w:top w:val="none" w:sz="0" w:space="0" w:color="auto"/>
            <w:left w:val="none" w:sz="0" w:space="0" w:color="auto"/>
            <w:bottom w:val="none" w:sz="0" w:space="0" w:color="auto"/>
            <w:right w:val="none" w:sz="0" w:space="0" w:color="auto"/>
          </w:divBdr>
        </w:div>
        <w:div w:id="2002346437">
          <w:marLeft w:val="0"/>
          <w:marRight w:val="0"/>
          <w:marTop w:val="0"/>
          <w:marBottom w:val="0"/>
          <w:divBdr>
            <w:top w:val="none" w:sz="0" w:space="0" w:color="auto"/>
            <w:left w:val="none" w:sz="0" w:space="0" w:color="auto"/>
            <w:bottom w:val="none" w:sz="0" w:space="0" w:color="auto"/>
            <w:right w:val="none" w:sz="0" w:space="0" w:color="auto"/>
          </w:divBdr>
        </w:div>
        <w:div w:id="1772117121">
          <w:marLeft w:val="0"/>
          <w:marRight w:val="0"/>
          <w:marTop w:val="0"/>
          <w:marBottom w:val="0"/>
          <w:divBdr>
            <w:top w:val="none" w:sz="0" w:space="0" w:color="auto"/>
            <w:left w:val="none" w:sz="0" w:space="0" w:color="auto"/>
            <w:bottom w:val="none" w:sz="0" w:space="0" w:color="auto"/>
            <w:right w:val="none" w:sz="0" w:space="0" w:color="auto"/>
          </w:divBdr>
        </w:div>
        <w:div w:id="1451164940">
          <w:marLeft w:val="0"/>
          <w:marRight w:val="0"/>
          <w:marTop w:val="0"/>
          <w:marBottom w:val="0"/>
          <w:divBdr>
            <w:top w:val="none" w:sz="0" w:space="0" w:color="auto"/>
            <w:left w:val="none" w:sz="0" w:space="0" w:color="auto"/>
            <w:bottom w:val="none" w:sz="0" w:space="0" w:color="auto"/>
            <w:right w:val="none" w:sz="0" w:space="0" w:color="auto"/>
          </w:divBdr>
        </w:div>
        <w:div w:id="434860023">
          <w:marLeft w:val="0"/>
          <w:marRight w:val="0"/>
          <w:marTop w:val="0"/>
          <w:marBottom w:val="0"/>
          <w:divBdr>
            <w:top w:val="none" w:sz="0" w:space="0" w:color="auto"/>
            <w:left w:val="none" w:sz="0" w:space="0" w:color="auto"/>
            <w:bottom w:val="none" w:sz="0" w:space="0" w:color="auto"/>
            <w:right w:val="none" w:sz="0" w:space="0" w:color="auto"/>
          </w:divBdr>
        </w:div>
        <w:div w:id="2132749223">
          <w:marLeft w:val="0"/>
          <w:marRight w:val="0"/>
          <w:marTop w:val="0"/>
          <w:marBottom w:val="0"/>
          <w:divBdr>
            <w:top w:val="none" w:sz="0" w:space="0" w:color="auto"/>
            <w:left w:val="none" w:sz="0" w:space="0" w:color="auto"/>
            <w:bottom w:val="none" w:sz="0" w:space="0" w:color="auto"/>
            <w:right w:val="none" w:sz="0" w:space="0" w:color="auto"/>
          </w:divBdr>
        </w:div>
        <w:div w:id="979270271">
          <w:marLeft w:val="0"/>
          <w:marRight w:val="0"/>
          <w:marTop w:val="0"/>
          <w:marBottom w:val="0"/>
          <w:divBdr>
            <w:top w:val="none" w:sz="0" w:space="0" w:color="auto"/>
            <w:left w:val="none" w:sz="0" w:space="0" w:color="auto"/>
            <w:bottom w:val="none" w:sz="0" w:space="0" w:color="auto"/>
            <w:right w:val="none" w:sz="0" w:space="0" w:color="auto"/>
          </w:divBdr>
        </w:div>
        <w:div w:id="39593564">
          <w:marLeft w:val="0"/>
          <w:marRight w:val="0"/>
          <w:marTop w:val="0"/>
          <w:marBottom w:val="0"/>
          <w:divBdr>
            <w:top w:val="none" w:sz="0" w:space="0" w:color="auto"/>
            <w:left w:val="none" w:sz="0" w:space="0" w:color="auto"/>
            <w:bottom w:val="none" w:sz="0" w:space="0" w:color="auto"/>
            <w:right w:val="none" w:sz="0" w:space="0" w:color="auto"/>
          </w:divBdr>
        </w:div>
      </w:divsChild>
    </w:div>
    <w:div w:id="656304218">
      <w:bodyDiv w:val="1"/>
      <w:marLeft w:val="0"/>
      <w:marRight w:val="0"/>
      <w:marTop w:val="0"/>
      <w:marBottom w:val="0"/>
      <w:divBdr>
        <w:top w:val="none" w:sz="0" w:space="0" w:color="auto"/>
        <w:left w:val="none" w:sz="0" w:space="0" w:color="auto"/>
        <w:bottom w:val="none" w:sz="0" w:space="0" w:color="auto"/>
        <w:right w:val="none" w:sz="0" w:space="0" w:color="auto"/>
      </w:divBdr>
      <w:divsChild>
        <w:div w:id="1142163677">
          <w:marLeft w:val="0"/>
          <w:marRight w:val="0"/>
          <w:marTop w:val="0"/>
          <w:marBottom w:val="0"/>
          <w:divBdr>
            <w:top w:val="none" w:sz="0" w:space="0" w:color="auto"/>
            <w:left w:val="none" w:sz="0" w:space="0" w:color="auto"/>
            <w:bottom w:val="none" w:sz="0" w:space="0" w:color="auto"/>
            <w:right w:val="none" w:sz="0" w:space="0" w:color="auto"/>
          </w:divBdr>
        </w:div>
        <w:div w:id="128331433">
          <w:marLeft w:val="0"/>
          <w:marRight w:val="0"/>
          <w:marTop w:val="0"/>
          <w:marBottom w:val="0"/>
          <w:divBdr>
            <w:top w:val="none" w:sz="0" w:space="0" w:color="auto"/>
            <w:left w:val="none" w:sz="0" w:space="0" w:color="auto"/>
            <w:bottom w:val="none" w:sz="0" w:space="0" w:color="auto"/>
            <w:right w:val="none" w:sz="0" w:space="0" w:color="auto"/>
          </w:divBdr>
        </w:div>
      </w:divsChild>
    </w:div>
    <w:div w:id="710306661">
      <w:bodyDiv w:val="1"/>
      <w:marLeft w:val="0"/>
      <w:marRight w:val="0"/>
      <w:marTop w:val="0"/>
      <w:marBottom w:val="0"/>
      <w:divBdr>
        <w:top w:val="none" w:sz="0" w:space="0" w:color="auto"/>
        <w:left w:val="none" w:sz="0" w:space="0" w:color="auto"/>
        <w:bottom w:val="none" w:sz="0" w:space="0" w:color="auto"/>
        <w:right w:val="none" w:sz="0" w:space="0" w:color="auto"/>
      </w:divBdr>
      <w:divsChild>
        <w:div w:id="578248640">
          <w:marLeft w:val="0"/>
          <w:marRight w:val="0"/>
          <w:marTop w:val="0"/>
          <w:marBottom w:val="0"/>
          <w:divBdr>
            <w:top w:val="none" w:sz="0" w:space="0" w:color="auto"/>
            <w:left w:val="none" w:sz="0" w:space="0" w:color="auto"/>
            <w:bottom w:val="none" w:sz="0" w:space="0" w:color="auto"/>
            <w:right w:val="none" w:sz="0" w:space="0" w:color="auto"/>
          </w:divBdr>
        </w:div>
        <w:div w:id="2128154406">
          <w:marLeft w:val="0"/>
          <w:marRight w:val="0"/>
          <w:marTop w:val="0"/>
          <w:marBottom w:val="0"/>
          <w:divBdr>
            <w:top w:val="none" w:sz="0" w:space="0" w:color="auto"/>
            <w:left w:val="none" w:sz="0" w:space="0" w:color="auto"/>
            <w:bottom w:val="none" w:sz="0" w:space="0" w:color="auto"/>
            <w:right w:val="none" w:sz="0" w:space="0" w:color="auto"/>
          </w:divBdr>
        </w:div>
        <w:div w:id="646399038">
          <w:marLeft w:val="0"/>
          <w:marRight w:val="0"/>
          <w:marTop w:val="0"/>
          <w:marBottom w:val="0"/>
          <w:divBdr>
            <w:top w:val="none" w:sz="0" w:space="0" w:color="auto"/>
            <w:left w:val="none" w:sz="0" w:space="0" w:color="auto"/>
            <w:bottom w:val="none" w:sz="0" w:space="0" w:color="auto"/>
            <w:right w:val="none" w:sz="0" w:space="0" w:color="auto"/>
          </w:divBdr>
        </w:div>
        <w:div w:id="763762696">
          <w:marLeft w:val="0"/>
          <w:marRight w:val="0"/>
          <w:marTop w:val="0"/>
          <w:marBottom w:val="0"/>
          <w:divBdr>
            <w:top w:val="none" w:sz="0" w:space="0" w:color="auto"/>
            <w:left w:val="none" w:sz="0" w:space="0" w:color="auto"/>
            <w:bottom w:val="none" w:sz="0" w:space="0" w:color="auto"/>
            <w:right w:val="none" w:sz="0" w:space="0" w:color="auto"/>
          </w:divBdr>
        </w:div>
        <w:div w:id="110513304">
          <w:marLeft w:val="0"/>
          <w:marRight w:val="0"/>
          <w:marTop w:val="0"/>
          <w:marBottom w:val="0"/>
          <w:divBdr>
            <w:top w:val="none" w:sz="0" w:space="0" w:color="auto"/>
            <w:left w:val="none" w:sz="0" w:space="0" w:color="auto"/>
            <w:bottom w:val="none" w:sz="0" w:space="0" w:color="auto"/>
            <w:right w:val="none" w:sz="0" w:space="0" w:color="auto"/>
          </w:divBdr>
        </w:div>
        <w:div w:id="2002780788">
          <w:marLeft w:val="0"/>
          <w:marRight w:val="0"/>
          <w:marTop w:val="0"/>
          <w:marBottom w:val="0"/>
          <w:divBdr>
            <w:top w:val="none" w:sz="0" w:space="0" w:color="auto"/>
            <w:left w:val="none" w:sz="0" w:space="0" w:color="auto"/>
            <w:bottom w:val="none" w:sz="0" w:space="0" w:color="auto"/>
            <w:right w:val="none" w:sz="0" w:space="0" w:color="auto"/>
          </w:divBdr>
        </w:div>
        <w:div w:id="885070009">
          <w:marLeft w:val="0"/>
          <w:marRight w:val="0"/>
          <w:marTop w:val="0"/>
          <w:marBottom w:val="0"/>
          <w:divBdr>
            <w:top w:val="none" w:sz="0" w:space="0" w:color="auto"/>
            <w:left w:val="none" w:sz="0" w:space="0" w:color="auto"/>
            <w:bottom w:val="none" w:sz="0" w:space="0" w:color="auto"/>
            <w:right w:val="none" w:sz="0" w:space="0" w:color="auto"/>
          </w:divBdr>
        </w:div>
        <w:div w:id="2085493498">
          <w:marLeft w:val="0"/>
          <w:marRight w:val="0"/>
          <w:marTop w:val="0"/>
          <w:marBottom w:val="0"/>
          <w:divBdr>
            <w:top w:val="none" w:sz="0" w:space="0" w:color="auto"/>
            <w:left w:val="none" w:sz="0" w:space="0" w:color="auto"/>
            <w:bottom w:val="none" w:sz="0" w:space="0" w:color="auto"/>
            <w:right w:val="none" w:sz="0" w:space="0" w:color="auto"/>
          </w:divBdr>
        </w:div>
        <w:div w:id="8217751">
          <w:marLeft w:val="0"/>
          <w:marRight w:val="0"/>
          <w:marTop w:val="0"/>
          <w:marBottom w:val="0"/>
          <w:divBdr>
            <w:top w:val="none" w:sz="0" w:space="0" w:color="auto"/>
            <w:left w:val="none" w:sz="0" w:space="0" w:color="auto"/>
            <w:bottom w:val="none" w:sz="0" w:space="0" w:color="auto"/>
            <w:right w:val="none" w:sz="0" w:space="0" w:color="auto"/>
          </w:divBdr>
        </w:div>
      </w:divsChild>
    </w:div>
    <w:div w:id="721372331">
      <w:bodyDiv w:val="1"/>
      <w:marLeft w:val="0"/>
      <w:marRight w:val="0"/>
      <w:marTop w:val="0"/>
      <w:marBottom w:val="0"/>
      <w:divBdr>
        <w:top w:val="none" w:sz="0" w:space="0" w:color="auto"/>
        <w:left w:val="none" w:sz="0" w:space="0" w:color="auto"/>
        <w:bottom w:val="none" w:sz="0" w:space="0" w:color="auto"/>
        <w:right w:val="none" w:sz="0" w:space="0" w:color="auto"/>
      </w:divBdr>
      <w:divsChild>
        <w:div w:id="1330478872">
          <w:marLeft w:val="0"/>
          <w:marRight w:val="0"/>
          <w:marTop w:val="0"/>
          <w:marBottom w:val="0"/>
          <w:divBdr>
            <w:top w:val="none" w:sz="0" w:space="0" w:color="auto"/>
            <w:left w:val="none" w:sz="0" w:space="0" w:color="auto"/>
            <w:bottom w:val="none" w:sz="0" w:space="0" w:color="auto"/>
            <w:right w:val="none" w:sz="0" w:space="0" w:color="auto"/>
          </w:divBdr>
        </w:div>
        <w:div w:id="1833372283">
          <w:marLeft w:val="0"/>
          <w:marRight w:val="0"/>
          <w:marTop w:val="0"/>
          <w:marBottom w:val="0"/>
          <w:divBdr>
            <w:top w:val="none" w:sz="0" w:space="0" w:color="auto"/>
            <w:left w:val="none" w:sz="0" w:space="0" w:color="auto"/>
            <w:bottom w:val="none" w:sz="0" w:space="0" w:color="auto"/>
            <w:right w:val="none" w:sz="0" w:space="0" w:color="auto"/>
          </w:divBdr>
        </w:div>
        <w:div w:id="347635256">
          <w:marLeft w:val="0"/>
          <w:marRight w:val="0"/>
          <w:marTop w:val="0"/>
          <w:marBottom w:val="0"/>
          <w:divBdr>
            <w:top w:val="none" w:sz="0" w:space="0" w:color="auto"/>
            <w:left w:val="none" w:sz="0" w:space="0" w:color="auto"/>
            <w:bottom w:val="none" w:sz="0" w:space="0" w:color="auto"/>
            <w:right w:val="none" w:sz="0" w:space="0" w:color="auto"/>
          </w:divBdr>
        </w:div>
        <w:div w:id="1725834741">
          <w:marLeft w:val="0"/>
          <w:marRight w:val="0"/>
          <w:marTop w:val="0"/>
          <w:marBottom w:val="0"/>
          <w:divBdr>
            <w:top w:val="none" w:sz="0" w:space="0" w:color="auto"/>
            <w:left w:val="none" w:sz="0" w:space="0" w:color="auto"/>
            <w:bottom w:val="none" w:sz="0" w:space="0" w:color="auto"/>
            <w:right w:val="none" w:sz="0" w:space="0" w:color="auto"/>
          </w:divBdr>
        </w:div>
        <w:div w:id="1143085182">
          <w:marLeft w:val="0"/>
          <w:marRight w:val="0"/>
          <w:marTop w:val="0"/>
          <w:marBottom w:val="0"/>
          <w:divBdr>
            <w:top w:val="none" w:sz="0" w:space="0" w:color="auto"/>
            <w:left w:val="none" w:sz="0" w:space="0" w:color="auto"/>
            <w:bottom w:val="none" w:sz="0" w:space="0" w:color="auto"/>
            <w:right w:val="none" w:sz="0" w:space="0" w:color="auto"/>
          </w:divBdr>
        </w:div>
        <w:div w:id="985668010">
          <w:marLeft w:val="0"/>
          <w:marRight w:val="0"/>
          <w:marTop w:val="0"/>
          <w:marBottom w:val="0"/>
          <w:divBdr>
            <w:top w:val="none" w:sz="0" w:space="0" w:color="auto"/>
            <w:left w:val="none" w:sz="0" w:space="0" w:color="auto"/>
            <w:bottom w:val="none" w:sz="0" w:space="0" w:color="auto"/>
            <w:right w:val="none" w:sz="0" w:space="0" w:color="auto"/>
          </w:divBdr>
        </w:div>
        <w:div w:id="318194724">
          <w:marLeft w:val="0"/>
          <w:marRight w:val="0"/>
          <w:marTop w:val="0"/>
          <w:marBottom w:val="0"/>
          <w:divBdr>
            <w:top w:val="none" w:sz="0" w:space="0" w:color="auto"/>
            <w:left w:val="none" w:sz="0" w:space="0" w:color="auto"/>
            <w:bottom w:val="none" w:sz="0" w:space="0" w:color="auto"/>
            <w:right w:val="none" w:sz="0" w:space="0" w:color="auto"/>
          </w:divBdr>
        </w:div>
        <w:div w:id="634875820">
          <w:marLeft w:val="0"/>
          <w:marRight w:val="0"/>
          <w:marTop w:val="0"/>
          <w:marBottom w:val="0"/>
          <w:divBdr>
            <w:top w:val="none" w:sz="0" w:space="0" w:color="auto"/>
            <w:left w:val="none" w:sz="0" w:space="0" w:color="auto"/>
            <w:bottom w:val="none" w:sz="0" w:space="0" w:color="auto"/>
            <w:right w:val="none" w:sz="0" w:space="0" w:color="auto"/>
          </w:divBdr>
        </w:div>
        <w:div w:id="1345283908">
          <w:marLeft w:val="0"/>
          <w:marRight w:val="0"/>
          <w:marTop w:val="0"/>
          <w:marBottom w:val="0"/>
          <w:divBdr>
            <w:top w:val="none" w:sz="0" w:space="0" w:color="auto"/>
            <w:left w:val="none" w:sz="0" w:space="0" w:color="auto"/>
            <w:bottom w:val="none" w:sz="0" w:space="0" w:color="auto"/>
            <w:right w:val="none" w:sz="0" w:space="0" w:color="auto"/>
          </w:divBdr>
        </w:div>
        <w:div w:id="875311665">
          <w:marLeft w:val="0"/>
          <w:marRight w:val="0"/>
          <w:marTop w:val="0"/>
          <w:marBottom w:val="0"/>
          <w:divBdr>
            <w:top w:val="none" w:sz="0" w:space="0" w:color="auto"/>
            <w:left w:val="none" w:sz="0" w:space="0" w:color="auto"/>
            <w:bottom w:val="none" w:sz="0" w:space="0" w:color="auto"/>
            <w:right w:val="none" w:sz="0" w:space="0" w:color="auto"/>
          </w:divBdr>
        </w:div>
        <w:div w:id="419060197">
          <w:marLeft w:val="0"/>
          <w:marRight w:val="0"/>
          <w:marTop w:val="0"/>
          <w:marBottom w:val="0"/>
          <w:divBdr>
            <w:top w:val="none" w:sz="0" w:space="0" w:color="auto"/>
            <w:left w:val="none" w:sz="0" w:space="0" w:color="auto"/>
            <w:bottom w:val="none" w:sz="0" w:space="0" w:color="auto"/>
            <w:right w:val="none" w:sz="0" w:space="0" w:color="auto"/>
          </w:divBdr>
        </w:div>
        <w:div w:id="1386877064">
          <w:marLeft w:val="0"/>
          <w:marRight w:val="0"/>
          <w:marTop w:val="0"/>
          <w:marBottom w:val="0"/>
          <w:divBdr>
            <w:top w:val="none" w:sz="0" w:space="0" w:color="auto"/>
            <w:left w:val="none" w:sz="0" w:space="0" w:color="auto"/>
            <w:bottom w:val="none" w:sz="0" w:space="0" w:color="auto"/>
            <w:right w:val="none" w:sz="0" w:space="0" w:color="auto"/>
          </w:divBdr>
        </w:div>
        <w:div w:id="1000625226">
          <w:marLeft w:val="0"/>
          <w:marRight w:val="0"/>
          <w:marTop w:val="0"/>
          <w:marBottom w:val="0"/>
          <w:divBdr>
            <w:top w:val="none" w:sz="0" w:space="0" w:color="auto"/>
            <w:left w:val="none" w:sz="0" w:space="0" w:color="auto"/>
            <w:bottom w:val="none" w:sz="0" w:space="0" w:color="auto"/>
            <w:right w:val="none" w:sz="0" w:space="0" w:color="auto"/>
          </w:divBdr>
        </w:div>
        <w:div w:id="1187018062">
          <w:marLeft w:val="0"/>
          <w:marRight w:val="0"/>
          <w:marTop w:val="0"/>
          <w:marBottom w:val="0"/>
          <w:divBdr>
            <w:top w:val="none" w:sz="0" w:space="0" w:color="auto"/>
            <w:left w:val="none" w:sz="0" w:space="0" w:color="auto"/>
            <w:bottom w:val="none" w:sz="0" w:space="0" w:color="auto"/>
            <w:right w:val="none" w:sz="0" w:space="0" w:color="auto"/>
          </w:divBdr>
        </w:div>
        <w:div w:id="1343122655">
          <w:marLeft w:val="0"/>
          <w:marRight w:val="0"/>
          <w:marTop w:val="0"/>
          <w:marBottom w:val="0"/>
          <w:divBdr>
            <w:top w:val="none" w:sz="0" w:space="0" w:color="auto"/>
            <w:left w:val="none" w:sz="0" w:space="0" w:color="auto"/>
            <w:bottom w:val="none" w:sz="0" w:space="0" w:color="auto"/>
            <w:right w:val="none" w:sz="0" w:space="0" w:color="auto"/>
          </w:divBdr>
        </w:div>
        <w:div w:id="1395078072">
          <w:marLeft w:val="0"/>
          <w:marRight w:val="0"/>
          <w:marTop w:val="0"/>
          <w:marBottom w:val="0"/>
          <w:divBdr>
            <w:top w:val="none" w:sz="0" w:space="0" w:color="auto"/>
            <w:left w:val="none" w:sz="0" w:space="0" w:color="auto"/>
            <w:bottom w:val="none" w:sz="0" w:space="0" w:color="auto"/>
            <w:right w:val="none" w:sz="0" w:space="0" w:color="auto"/>
          </w:divBdr>
        </w:div>
        <w:div w:id="1120145094">
          <w:marLeft w:val="0"/>
          <w:marRight w:val="0"/>
          <w:marTop w:val="0"/>
          <w:marBottom w:val="0"/>
          <w:divBdr>
            <w:top w:val="none" w:sz="0" w:space="0" w:color="auto"/>
            <w:left w:val="none" w:sz="0" w:space="0" w:color="auto"/>
            <w:bottom w:val="none" w:sz="0" w:space="0" w:color="auto"/>
            <w:right w:val="none" w:sz="0" w:space="0" w:color="auto"/>
          </w:divBdr>
        </w:div>
        <w:div w:id="1582643258">
          <w:marLeft w:val="0"/>
          <w:marRight w:val="0"/>
          <w:marTop w:val="0"/>
          <w:marBottom w:val="0"/>
          <w:divBdr>
            <w:top w:val="none" w:sz="0" w:space="0" w:color="auto"/>
            <w:left w:val="none" w:sz="0" w:space="0" w:color="auto"/>
            <w:bottom w:val="none" w:sz="0" w:space="0" w:color="auto"/>
            <w:right w:val="none" w:sz="0" w:space="0" w:color="auto"/>
          </w:divBdr>
        </w:div>
        <w:div w:id="715816866">
          <w:marLeft w:val="0"/>
          <w:marRight w:val="0"/>
          <w:marTop w:val="0"/>
          <w:marBottom w:val="0"/>
          <w:divBdr>
            <w:top w:val="none" w:sz="0" w:space="0" w:color="auto"/>
            <w:left w:val="none" w:sz="0" w:space="0" w:color="auto"/>
            <w:bottom w:val="none" w:sz="0" w:space="0" w:color="auto"/>
            <w:right w:val="none" w:sz="0" w:space="0" w:color="auto"/>
          </w:divBdr>
        </w:div>
        <w:div w:id="634992481">
          <w:marLeft w:val="0"/>
          <w:marRight w:val="0"/>
          <w:marTop w:val="0"/>
          <w:marBottom w:val="0"/>
          <w:divBdr>
            <w:top w:val="none" w:sz="0" w:space="0" w:color="auto"/>
            <w:left w:val="none" w:sz="0" w:space="0" w:color="auto"/>
            <w:bottom w:val="none" w:sz="0" w:space="0" w:color="auto"/>
            <w:right w:val="none" w:sz="0" w:space="0" w:color="auto"/>
          </w:divBdr>
        </w:div>
        <w:div w:id="339235783">
          <w:marLeft w:val="0"/>
          <w:marRight w:val="0"/>
          <w:marTop w:val="0"/>
          <w:marBottom w:val="0"/>
          <w:divBdr>
            <w:top w:val="none" w:sz="0" w:space="0" w:color="auto"/>
            <w:left w:val="none" w:sz="0" w:space="0" w:color="auto"/>
            <w:bottom w:val="none" w:sz="0" w:space="0" w:color="auto"/>
            <w:right w:val="none" w:sz="0" w:space="0" w:color="auto"/>
          </w:divBdr>
        </w:div>
        <w:div w:id="322973656">
          <w:marLeft w:val="0"/>
          <w:marRight w:val="0"/>
          <w:marTop w:val="0"/>
          <w:marBottom w:val="0"/>
          <w:divBdr>
            <w:top w:val="none" w:sz="0" w:space="0" w:color="auto"/>
            <w:left w:val="none" w:sz="0" w:space="0" w:color="auto"/>
            <w:bottom w:val="none" w:sz="0" w:space="0" w:color="auto"/>
            <w:right w:val="none" w:sz="0" w:space="0" w:color="auto"/>
          </w:divBdr>
        </w:div>
        <w:div w:id="372390908">
          <w:marLeft w:val="0"/>
          <w:marRight w:val="0"/>
          <w:marTop w:val="0"/>
          <w:marBottom w:val="0"/>
          <w:divBdr>
            <w:top w:val="none" w:sz="0" w:space="0" w:color="auto"/>
            <w:left w:val="none" w:sz="0" w:space="0" w:color="auto"/>
            <w:bottom w:val="none" w:sz="0" w:space="0" w:color="auto"/>
            <w:right w:val="none" w:sz="0" w:space="0" w:color="auto"/>
          </w:divBdr>
        </w:div>
        <w:div w:id="1168717349">
          <w:marLeft w:val="0"/>
          <w:marRight w:val="0"/>
          <w:marTop w:val="0"/>
          <w:marBottom w:val="0"/>
          <w:divBdr>
            <w:top w:val="none" w:sz="0" w:space="0" w:color="auto"/>
            <w:left w:val="none" w:sz="0" w:space="0" w:color="auto"/>
            <w:bottom w:val="none" w:sz="0" w:space="0" w:color="auto"/>
            <w:right w:val="none" w:sz="0" w:space="0" w:color="auto"/>
          </w:divBdr>
        </w:div>
        <w:div w:id="1309553456">
          <w:marLeft w:val="0"/>
          <w:marRight w:val="0"/>
          <w:marTop w:val="0"/>
          <w:marBottom w:val="0"/>
          <w:divBdr>
            <w:top w:val="none" w:sz="0" w:space="0" w:color="auto"/>
            <w:left w:val="none" w:sz="0" w:space="0" w:color="auto"/>
            <w:bottom w:val="none" w:sz="0" w:space="0" w:color="auto"/>
            <w:right w:val="none" w:sz="0" w:space="0" w:color="auto"/>
          </w:divBdr>
        </w:div>
        <w:div w:id="1500005288">
          <w:marLeft w:val="0"/>
          <w:marRight w:val="0"/>
          <w:marTop w:val="0"/>
          <w:marBottom w:val="0"/>
          <w:divBdr>
            <w:top w:val="none" w:sz="0" w:space="0" w:color="auto"/>
            <w:left w:val="none" w:sz="0" w:space="0" w:color="auto"/>
            <w:bottom w:val="none" w:sz="0" w:space="0" w:color="auto"/>
            <w:right w:val="none" w:sz="0" w:space="0" w:color="auto"/>
          </w:divBdr>
        </w:div>
        <w:div w:id="729579049">
          <w:marLeft w:val="0"/>
          <w:marRight w:val="0"/>
          <w:marTop w:val="0"/>
          <w:marBottom w:val="0"/>
          <w:divBdr>
            <w:top w:val="none" w:sz="0" w:space="0" w:color="auto"/>
            <w:left w:val="none" w:sz="0" w:space="0" w:color="auto"/>
            <w:bottom w:val="none" w:sz="0" w:space="0" w:color="auto"/>
            <w:right w:val="none" w:sz="0" w:space="0" w:color="auto"/>
          </w:divBdr>
        </w:div>
        <w:div w:id="476385908">
          <w:marLeft w:val="0"/>
          <w:marRight w:val="0"/>
          <w:marTop w:val="0"/>
          <w:marBottom w:val="0"/>
          <w:divBdr>
            <w:top w:val="none" w:sz="0" w:space="0" w:color="auto"/>
            <w:left w:val="none" w:sz="0" w:space="0" w:color="auto"/>
            <w:bottom w:val="none" w:sz="0" w:space="0" w:color="auto"/>
            <w:right w:val="none" w:sz="0" w:space="0" w:color="auto"/>
          </w:divBdr>
        </w:div>
        <w:div w:id="1856962568">
          <w:marLeft w:val="0"/>
          <w:marRight w:val="0"/>
          <w:marTop w:val="0"/>
          <w:marBottom w:val="0"/>
          <w:divBdr>
            <w:top w:val="none" w:sz="0" w:space="0" w:color="auto"/>
            <w:left w:val="none" w:sz="0" w:space="0" w:color="auto"/>
            <w:bottom w:val="none" w:sz="0" w:space="0" w:color="auto"/>
            <w:right w:val="none" w:sz="0" w:space="0" w:color="auto"/>
          </w:divBdr>
        </w:div>
        <w:div w:id="1133908925">
          <w:marLeft w:val="0"/>
          <w:marRight w:val="0"/>
          <w:marTop w:val="0"/>
          <w:marBottom w:val="0"/>
          <w:divBdr>
            <w:top w:val="none" w:sz="0" w:space="0" w:color="auto"/>
            <w:left w:val="none" w:sz="0" w:space="0" w:color="auto"/>
            <w:bottom w:val="none" w:sz="0" w:space="0" w:color="auto"/>
            <w:right w:val="none" w:sz="0" w:space="0" w:color="auto"/>
          </w:divBdr>
        </w:div>
        <w:div w:id="1174757003">
          <w:marLeft w:val="0"/>
          <w:marRight w:val="0"/>
          <w:marTop w:val="0"/>
          <w:marBottom w:val="0"/>
          <w:divBdr>
            <w:top w:val="none" w:sz="0" w:space="0" w:color="auto"/>
            <w:left w:val="none" w:sz="0" w:space="0" w:color="auto"/>
            <w:bottom w:val="none" w:sz="0" w:space="0" w:color="auto"/>
            <w:right w:val="none" w:sz="0" w:space="0" w:color="auto"/>
          </w:divBdr>
        </w:div>
        <w:div w:id="590621037">
          <w:marLeft w:val="0"/>
          <w:marRight w:val="0"/>
          <w:marTop w:val="0"/>
          <w:marBottom w:val="0"/>
          <w:divBdr>
            <w:top w:val="none" w:sz="0" w:space="0" w:color="auto"/>
            <w:left w:val="none" w:sz="0" w:space="0" w:color="auto"/>
            <w:bottom w:val="none" w:sz="0" w:space="0" w:color="auto"/>
            <w:right w:val="none" w:sz="0" w:space="0" w:color="auto"/>
          </w:divBdr>
        </w:div>
        <w:div w:id="1418595642">
          <w:marLeft w:val="0"/>
          <w:marRight w:val="0"/>
          <w:marTop w:val="0"/>
          <w:marBottom w:val="0"/>
          <w:divBdr>
            <w:top w:val="none" w:sz="0" w:space="0" w:color="auto"/>
            <w:left w:val="none" w:sz="0" w:space="0" w:color="auto"/>
            <w:bottom w:val="none" w:sz="0" w:space="0" w:color="auto"/>
            <w:right w:val="none" w:sz="0" w:space="0" w:color="auto"/>
          </w:divBdr>
        </w:div>
        <w:div w:id="25058173">
          <w:marLeft w:val="0"/>
          <w:marRight w:val="0"/>
          <w:marTop w:val="0"/>
          <w:marBottom w:val="0"/>
          <w:divBdr>
            <w:top w:val="none" w:sz="0" w:space="0" w:color="auto"/>
            <w:left w:val="none" w:sz="0" w:space="0" w:color="auto"/>
            <w:bottom w:val="none" w:sz="0" w:space="0" w:color="auto"/>
            <w:right w:val="none" w:sz="0" w:space="0" w:color="auto"/>
          </w:divBdr>
        </w:div>
        <w:div w:id="2015958575">
          <w:marLeft w:val="0"/>
          <w:marRight w:val="0"/>
          <w:marTop w:val="0"/>
          <w:marBottom w:val="0"/>
          <w:divBdr>
            <w:top w:val="none" w:sz="0" w:space="0" w:color="auto"/>
            <w:left w:val="none" w:sz="0" w:space="0" w:color="auto"/>
            <w:bottom w:val="none" w:sz="0" w:space="0" w:color="auto"/>
            <w:right w:val="none" w:sz="0" w:space="0" w:color="auto"/>
          </w:divBdr>
        </w:div>
        <w:div w:id="456722223">
          <w:marLeft w:val="0"/>
          <w:marRight w:val="0"/>
          <w:marTop w:val="0"/>
          <w:marBottom w:val="0"/>
          <w:divBdr>
            <w:top w:val="none" w:sz="0" w:space="0" w:color="auto"/>
            <w:left w:val="none" w:sz="0" w:space="0" w:color="auto"/>
            <w:bottom w:val="none" w:sz="0" w:space="0" w:color="auto"/>
            <w:right w:val="none" w:sz="0" w:space="0" w:color="auto"/>
          </w:divBdr>
        </w:div>
        <w:div w:id="552081944">
          <w:marLeft w:val="0"/>
          <w:marRight w:val="0"/>
          <w:marTop w:val="0"/>
          <w:marBottom w:val="0"/>
          <w:divBdr>
            <w:top w:val="none" w:sz="0" w:space="0" w:color="auto"/>
            <w:left w:val="none" w:sz="0" w:space="0" w:color="auto"/>
            <w:bottom w:val="none" w:sz="0" w:space="0" w:color="auto"/>
            <w:right w:val="none" w:sz="0" w:space="0" w:color="auto"/>
          </w:divBdr>
        </w:div>
        <w:div w:id="467210505">
          <w:marLeft w:val="0"/>
          <w:marRight w:val="0"/>
          <w:marTop w:val="0"/>
          <w:marBottom w:val="0"/>
          <w:divBdr>
            <w:top w:val="none" w:sz="0" w:space="0" w:color="auto"/>
            <w:left w:val="none" w:sz="0" w:space="0" w:color="auto"/>
            <w:bottom w:val="none" w:sz="0" w:space="0" w:color="auto"/>
            <w:right w:val="none" w:sz="0" w:space="0" w:color="auto"/>
          </w:divBdr>
        </w:div>
        <w:div w:id="465319787">
          <w:marLeft w:val="0"/>
          <w:marRight w:val="0"/>
          <w:marTop w:val="0"/>
          <w:marBottom w:val="0"/>
          <w:divBdr>
            <w:top w:val="none" w:sz="0" w:space="0" w:color="auto"/>
            <w:left w:val="none" w:sz="0" w:space="0" w:color="auto"/>
            <w:bottom w:val="none" w:sz="0" w:space="0" w:color="auto"/>
            <w:right w:val="none" w:sz="0" w:space="0" w:color="auto"/>
          </w:divBdr>
        </w:div>
        <w:div w:id="388964399">
          <w:marLeft w:val="0"/>
          <w:marRight w:val="0"/>
          <w:marTop w:val="0"/>
          <w:marBottom w:val="0"/>
          <w:divBdr>
            <w:top w:val="none" w:sz="0" w:space="0" w:color="auto"/>
            <w:left w:val="none" w:sz="0" w:space="0" w:color="auto"/>
            <w:bottom w:val="none" w:sz="0" w:space="0" w:color="auto"/>
            <w:right w:val="none" w:sz="0" w:space="0" w:color="auto"/>
          </w:divBdr>
        </w:div>
        <w:div w:id="959142869">
          <w:marLeft w:val="0"/>
          <w:marRight w:val="0"/>
          <w:marTop w:val="0"/>
          <w:marBottom w:val="0"/>
          <w:divBdr>
            <w:top w:val="none" w:sz="0" w:space="0" w:color="auto"/>
            <w:left w:val="none" w:sz="0" w:space="0" w:color="auto"/>
            <w:bottom w:val="none" w:sz="0" w:space="0" w:color="auto"/>
            <w:right w:val="none" w:sz="0" w:space="0" w:color="auto"/>
          </w:divBdr>
        </w:div>
      </w:divsChild>
    </w:div>
    <w:div w:id="735014042">
      <w:bodyDiv w:val="1"/>
      <w:marLeft w:val="0"/>
      <w:marRight w:val="0"/>
      <w:marTop w:val="0"/>
      <w:marBottom w:val="0"/>
      <w:divBdr>
        <w:top w:val="none" w:sz="0" w:space="0" w:color="auto"/>
        <w:left w:val="none" w:sz="0" w:space="0" w:color="auto"/>
        <w:bottom w:val="none" w:sz="0" w:space="0" w:color="auto"/>
        <w:right w:val="none" w:sz="0" w:space="0" w:color="auto"/>
      </w:divBdr>
      <w:divsChild>
        <w:div w:id="649797839">
          <w:marLeft w:val="0"/>
          <w:marRight w:val="0"/>
          <w:marTop w:val="0"/>
          <w:marBottom w:val="0"/>
          <w:divBdr>
            <w:top w:val="none" w:sz="0" w:space="0" w:color="auto"/>
            <w:left w:val="none" w:sz="0" w:space="0" w:color="auto"/>
            <w:bottom w:val="none" w:sz="0" w:space="0" w:color="auto"/>
            <w:right w:val="none" w:sz="0" w:space="0" w:color="auto"/>
          </w:divBdr>
        </w:div>
        <w:div w:id="1227910874">
          <w:marLeft w:val="0"/>
          <w:marRight w:val="0"/>
          <w:marTop w:val="0"/>
          <w:marBottom w:val="0"/>
          <w:divBdr>
            <w:top w:val="none" w:sz="0" w:space="0" w:color="auto"/>
            <w:left w:val="none" w:sz="0" w:space="0" w:color="auto"/>
            <w:bottom w:val="none" w:sz="0" w:space="0" w:color="auto"/>
            <w:right w:val="none" w:sz="0" w:space="0" w:color="auto"/>
          </w:divBdr>
        </w:div>
        <w:div w:id="987899809">
          <w:marLeft w:val="0"/>
          <w:marRight w:val="0"/>
          <w:marTop w:val="0"/>
          <w:marBottom w:val="0"/>
          <w:divBdr>
            <w:top w:val="none" w:sz="0" w:space="0" w:color="auto"/>
            <w:left w:val="none" w:sz="0" w:space="0" w:color="auto"/>
            <w:bottom w:val="none" w:sz="0" w:space="0" w:color="auto"/>
            <w:right w:val="none" w:sz="0" w:space="0" w:color="auto"/>
          </w:divBdr>
        </w:div>
        <w:div w:id="1851723998">
          <w:marLeft w:val="0"/>
          <w:marRight w:val="0"/>
          <w:marTop w:val="0"/>
          <w:marBottom w:val="0"/>
          <w:divBdr>
            <w:top w:val="none" w:sz="0" w:space="0" w:color="auto"/>
            <w:left w:val="none" w:sz="0" w:space="0" w:color="auto"/>
            <w:bottom w:val="none" w:sz="0" w:space="0" w:color="auto"/>
            <w:right w:val="none" w:sz="0" w:space="0" w:color="auto"/>
          </w:divBdr>
        </w:div>
        <w:div w:id="535822908">
          <w:marLeft w:val="0"/>
          <w:marRight w:val="0"/>
          <w:marTop w:val="0"/>
          <w:marBottom w:val="0"/>
          <w:divBdr>
            <w:top w:val="none" w:sz="0" w:space="0" w:color="auto"/>
            <w:left w:val="none" w:sz="0" w:space="0" w:color="auto"/>
            <w:bottom w:val="none" w:sz="0" w:space="0" w:color="auto"/>
            <w:right w:val="none" w:sz="0" w:space="0" w:color="auto"/>
          </w:divBdr>
        </w:div>
        <w:div w:id="894124705">
          <w:marLeft w:val="0"/>
          <w:marRight w:val="0"/>
          <w:marTop w:val="0"/>
          <w:marBottom w:val="0"/>
          <w:divBdr>
            <w:top w:val="none" w:sz="0" w:space="0" w:color="auto"/>
            <w:left w:val="none" w:sz="0" w:space="0" w:color="auto"/>
            <w:bottom w:val="none" w:sz="0" w:space="0" w:color="auto"/>
            <w:right w:val="none" w:sz="0" w:space="0" w:color="auto"/>
          </w:divBdr>
        </w:div>
        <w:div w:id="662590970">
          <w:marLeft w:val="0"/>
          <w:marRight w:val="0"/>
          <w:marTop w:val="0"/>
          <w:marBottom w:val="0"/>
          <w:divBdr>
            <w:top w:val="none" w:sz="0" w:space="0" w:color="auto"/>
            <w:left w:val="none" w:sz="0" w:space="0" w:color="auto"/>
            <w:bottom w:val="none" w:sz="0" w:space="0" w:color="auto"/>
            <w:right w:val="none" w:sz="0" w:space="0" w:color="auto"/>
          </w:divBdr>
        </w:div>
        <w:div w:id="159778391">
          <w:marLeft w:val="0"/>
          <w:marRight w:val="0"/>
          <w:marTop w:val="0"/>
          <w:marBottom w:val="0"/>
          <w:divBdr>
            <w:top w:val="none" w:sz="0" w:space="0" w:color="auto"/>
            <w:left w:val="none" w:sz="0" w:space="0" w:color="auto"/>
            <w:bottom w:val="none" w:sz="0" w:space="0" w:color="auto"/>
            <w:right w:val="none" w:sz="0" w:space="0" w:color="auto"/>
          </w:divBdr>
        </w:div>
        <w:div w:id="1321543321">
          <w:marLeft w:val="0"/>
          <w:marRight w:val="0"/>
          <w:marTop w:val="0"/>
          <w:marBottom w:val="0"/>
          <w:divBdr>
            <w:top w:val="none" w:sz="0" w:space="0" w:color="auto"/>
            <w:left w:val="none" w:sz="0" w:space="0" w:color="auto"/>
            <w:bottom w:val="none" w:sz="0" w:space="0" w:color="auto"/>
            <w:right w:val="none" w:sz="0" w:space="0" w:color="auto"/>
          </w:divBdr>
        </w:div>
        <w:div w:id="1256860270">
          <w:marLeft w:val="0"/>
          <w:marRight w:val="0"/>
          <w:marTop w:val="0"/>
          <w:marBottom w:val="0"/>
          <w:divBdr>
            <w:top w:val="none" w:sz="0" w:space="0" w:color="auto"/>
            <w:left w:val="none" w:sz="0" w:space="0" w:color="auto"/>
            <w:bottom w:val="none" w:sz="0" w:space="0" w:color="auto"/>
            <w:right w:val="none" w:sz="0" w:space="0" w:color="auto"/>
          </w:divBdr>
        </w:div>
        <w:div w:id="1459453545">
          <w:marLeft w:val="0"/>
          <w:marRight w:val="0"/>
          <w:marTop w:val="0"/>
          <w:marBottom w:val="0"/>
          <w:divBdr>
            <w:top w:val="none" w:sz="0" w:space="0" w:color="auto"/>
            <w:left w:val="none" w:sz="0" w:space="0" w:color="auto"/>
            <w:bottom w:val="none" w:sz="0" w:space="0" w:color="auto"/>
            <w:right w:val="none" w:sz="0" w:space="0" w:color="auto"/>
          </w:divBdr>
        </w:div>
        <w:div w:id="733546455">
          <w:marLeft w:val="0"/>
          <w:marRight w:val="0"/>
          <w:marTop w:val="0"/>
          <w:marBottom w:val="0"/>
          <w:divBdr>
            <w:top w:val="none" w:sz="0" w:space="0" w:color="auto"/>
            <w:left w:val="none" w:sz="0" w:space="0" w:color="auto"/>
            <w:bottom w:val="none" w:sz="0" w:space="0" w:color="auto"/>
            <w:right w:val="none" w:sz="0" w:space="0" w:color="auto"/>
          </w:divBdr>
        </w:div>
        <w:div w:id="1473988100">
          <w:marLeft w:val="0"/>
          <w:marRight w:val="0"/>
          <w:marTop w:val="0"/>
          <w:marBottom w:val="0"/>
          <w:divBdr>
            <w:top w:val="none" w:sz="0" w:space="0" w:color="auto"/>
            <w:left w:val="none" w:sz="0" w:space="0" w:color="auto"/>
            <w:bottom w:val="none" w:sz="0" w:space="0" w:color="auto"/>
            <w:right w:val="none" w:sz="0" w:space="0" w:color="auto"/>
          </w:divBdr>
        </w:div>
        <w:div w:id="875239833">
          <w:marLeft w:val="0"/>
          <w:marRight w:val="0"/>
          <w:marTop w:val="0"/>
          <w:marBottom w:val="0"/>
          <w:divBdr>
            <w:top w:val="none" w:sz="0" w:space="0" w:color="auto"/>
            <w:left w:val="none" w:sz="0" w:space="0" w:color="auto"/>
            <w:bottom w:val="none" w:sz="0" w:space="0" w:color="auto"/>
            <w:right w:val="none" w:sz="0" w:space="0" w:color="auto"/>
          </w:divBdr>
        </w:div>
        <w:div w:id="623117609">
          <w:marLeft w:val="0"/>
          <w:marRight w:val="0"/>
          <w:marTop w:val="0"/>
          <w:marBottom w:val="0"/>
          <w:divBdr>
            <w:top w:val="none" w:sz="0" w:space="0" w:color="auto"/>
            <w:left w:val="none" w:sz="0" w:space="0" w:color="auto"/>
            <w:bottom w:val="none" w:sz="0" w:space="0" w:color="auto"/>
            <w:right w:val="none" w:sz="0" w:space="0" w:color="auto"/>
          </w:divBdr>
        </w:div>
        <w:div w:id="2092971119">
          <w:marLeft w:val="0"/>
          <w:marRight w:val="0"/>
          <w:marTop w:val="0"/>
          <w:marBottom w:val="0"/>
          <w:divBdr>
            <w:top w:val="none" w:sz="0" w:space="0" w:color="auto"/>
            <w:left w:val="none" w:sz="0" w:space="0" w:color="auto"/>
            <w:bottom w:val="none" w:sz="0" w:space="0" w:color="auto"/>
            <w:right w:val="none" w:sz="0" w:space="0" w:color="auto"/>
          </w:divBdr>
        </w:div>
        <w:div w:id="341668152">
          <w:marLeft w:val="0"/>
          <w:marRight w:val="0"/>
          <w:marTop w:val="0"/>
          <w:marBottom w:val="0"/>
          <w:divBdr>
            <w:top w:val="none" w:sz="0" w:space="0" w:color="auto"/>
            <w:left w:val="none" w:sz="0" w:space="0" w:color="auto"/>
            <w:bottom w:val="none" w:sz="0" w:space="0" w:color="auto"/>
            <w:right w:val="none" w:sz="0" w:space="0" w:color="auto"/>
          </w:divBdr>
        </w:div>
        <w:div w:id="758988919">
          <w:marLeft w:val="0"/>
          <w:marRight w:val="0"/>
          <w:marTop w:val="0"/>
          <w:marBottom w:val="0"/>
          <w:divBdr>
            <w:top w:val="none" w:sz="0" w:space="0" w:color="auto"/>
            <w:left w:val="none" w:sz="0" w:space="0" w:color="auto"/>
            <w:bottom w:val="none" w:sz="0" w:space="0" w:color="auto"/>
            <w:right w:val="none" w:sz="0" w:space="0" w:color="auto"/>
          </w:divBdr>
        </w:div>
      </w:divsChild>
    </w:div>
    <w:div w:id="773288841">
      <w:bodyDiv w:val="1"/>
      <w:marLeft w:val="0"/>
      <w:marRight w:val="0"/>
      <w:marTop w:val="0"/>
      <w:marBottom w:val="0"/>
      <w:divBdr>
        <w:top w:val="none" w:sz="0" w:space="0" w:color="auto"/>
        <w:left w:val="none" w:sz="0" w:space="0" w:color="auto"/>
        <w:bottom w:val="none" w:sz="0" w:space="0" w:color="auto"/>
        <w:right w:val="none" w:sz="0" w:space="0" w:color="auto"/>
      </w:divBdr>
      <w:divsChild>
        <w:div w:id="880172049">
          <w:marLeft w:val="0"/>
          <w:marRight w:val="0"/>
          <w:marTop w:val="0"/>
          <w:marBottom w:val="0"/>
          <w:divBdr>
            <w:top w:val="none" w:sz="0" w:space="0" w:color="auto"/>
            <w:left w:val="none" w:sz="0" w:space="0" w:color="auto"/>
            <w:bottom w:val="none" w:sz="0" w:space="0" w:color="auto"/>
            <w:right w:val="none" w:sz="0" w:space="0" w:color="auto"/>
          </w:divBdr>
        </w:div>
        <w:div w:id="646205718">
          <w:marLeft w:val="0"/>
          <w:marRight w:val="0"/>
          <w:marTop w:val="0"/>
          <w:marBottom w:val="0"/>
          <w:divBdr>
            <w:top w:val="none" w:sz="0" w:space="0" w:color="auto"/>
            <w:left w:val="none" w:sz="0" w:space="0" w:color="auto"/>
            <w:bottom w:val="none" w:sz="0" w:space="0" w:color="auto"/>
            <w:right w:val="none" w:sz="0" w:space="0" w:color="auto"/>
          </w:divBdr>
        </w:div>
        <w:div w:id="1300304251">
          <w:marLeft w:val="0"/>
          <w:marRight w:val="0"/>
          <w:marTop w:val="0"/>
          <w:marBottom w:val="0"/>
          <w:divBdr>
            <w:top w:val="none" w:sz="0" w:space="0" w:color="auto"/>
            <w:left w:val="none" w:sz="0" w:space="0" w:color="auto"/>
            <w:bottom w:val="none" w:sz="0" w:space="0" w:color="auto"/>
            <w:right w:val="none" w:sz="0" w:space="0" w:color="auto"/>
          </w:divBdr>
        </w:div>
        <w:div w:id="582953361">
          <w:marLeft w:val="0"/>
          <w:marRight w:val="0"/>
          <w:marTop w:val="0"/>
          <w:marBottom w:val="0"/>
          <w:divBdr>
            <w:top w:val="none" w:sz="0" w:space="0" w:color="auto"/>
            <w:left w:val="none" w:sz="0" w:space="0" w:color="auto"/>
            <w:bottom w:val="none" w:sz="0" w:space="0" w:color="auto"/>
            <w:right w:val="none" w:sz="0" w:space="0" w:color="auto"/>
          </w:divBdr>
        </w:div>
        <w:div w:id="795635465">
          <w:marLeft w:val="0"/>
          <w:marRight w:val="0"/>
          <w:marTop w:val="0"/>
          <w:marBottom w:val="0"/>
          <w:divBdr>
            <w:top w:val="none" w:sz="0" w:space="0" w:color="auto"/>
            <w:left w:val="none" w:sz="0" w:space="0" w:color="auto"/>
            <w:bottom w:val="none" w:sz="0" w:space="0" w:color="auto"/>
            <w:right w:val="none" w:sz="0" w:space="0" w:color="auto"/>
          </w:divBdr>
        </w:div>
        <w:div w:id="1659652695">
          <w:marLeft w:val="0"/>
          <w:marRight w:val="0"/>
          <w:marTop w:val="0"/>
          <w:marBottom w:val="0"/>
          <w:divBdr>
            <w:top w:val="none" w:sz="0" w:space="0" w:color="auto"/>
            <w:left w:val="none" w:sz="0" w:space="0" w:color="auto"/>
            <w:bottom w:val="none" w:sz="0" w:space="0" w:color="auto"/>
            <w:right w:val="none" w:sz="0" w:space="0" w:color="auto"/>
          </w:divBdr>
        </w:div>
        <w:div w:id="19087508">
          <w:marLeft w:val="0"/>
          <w:marRight w:val="0"/>
          <w:marTop w:val="0"/>
          <w:marBottom w:val="0"/>
          <w:divBdr>
            <w:top w:val="none" w:sz="0" w:space="0" w:color="auto"/>
            <w:left w:val="none" w:sz="0" w:space="0" w:color="auto"/>
            <w:bottom w:val="none" w:sz="0" w:space="0" w:color="auto"/>
            <w:right w:val="none" w:sz="0" w:space="0" w:color="auto"/>
          </w:divBdr>
        </w:div>
        <w:div w:id="230122668">
          <w:marLeft w:val="0"/>
          <w:marRight w:val="0"/>
          <w:marTop w:val="0"/>
          <w:marBottom w:val="0"/>
          <w:divBdr>
            <w:top w:val="none" w:sz="0" w:space="0" w:color="auto"/>
            <w:left w:val="none" w:sz="0" w:space="0" w:color="auto"/>
            <w:bottom w:val="none" w:sz="0" w:space="0" w:color="auto"/>
            <w:right w:val="none" w:sz="0" w:space="0" w:color="auto"/>
          </w:divBdr>
        </w:div>
        <w:div w:id="1225407130">
          <w:marLeft w:val="0"/>
          <w:marRight w:val="0"/>
          <w:marTop w:val="0"/>
          <w:marBottom w:val="0"/>
          <w:divBdr>
            <w:top w:val="none" w:sz="0" w:space="0" w:color="auto"/>
            <w:left w:val="none" w:sz="0" w:space="0" w:color="auto"/>
            <w:bottom w:val="none" w:sz="0" w:space="0" w:color="auto"/>
            <w:right w:val="none" w:sz="0" w:space="0" w:color="auto"/>
          </w:divBdr>
        </w:div>
      </w:divsChild>
    </w:div>
    <w:div w:id="789668381">
      <w:bodyDiv w:val="1"/>
      <w:marLeft w:val="0"/>
      <w:marRight w:val="0"/>
      <w:marTop w:val="0"/>
      <w:marBottom w:val="0"/>
      <w:divBdr>
        <w:top w:val="none" w:sz="0" w:space="0" w:color="auto"/>
        <w:left w:val="none" w:sz="0" w:space="0" w:color="auto"/>
        <w:bottom w:val="none" w:sz="0" w:space="0" w:color="auto"/>
        <w:right w:val="none" w:sz="0" w:space="0" w:color="auto"/>
      </w:divBdr>
      <w:divsChild>
        <w:div w:id="1048264021">
          <w:marLeft w:val="0"/>
          <w:marRight w:val="0"/>
          <w:marTop w:val="0"/>
          <w:marBottom w:val="0"/>
          <w:divBdr>
            <w:top w:val="none" w:sz="0" w:space="0" w:color="auto"/>
            <w:left w:val="none" w:sz="0" w:space="0" w:color="auto"/>
            <w:bottom w:val="none" w:sz="0" w:space="0" w:color="auto"/>
            <w:right w:val="none" w:sz="0" w:space="0" w:color="auto"/>
          </w:divBdr>
        </w:div>
        <w:div w:id="2120181701">
          <w:marLeft w:val="0"/>
          <w:marRight w:val="0"/>
          <w:marTop w:val="0"/>
          <w:marBottom w:val="0"/>
          <w:divBdr>
            <w:top w:val="none" w:sz="0" w:space="0" w:color="auto"/>
            <w:left w:val="none" w:sz="0" w:space="0" w:color="auto"/>
            <w:bottom w:val="none" w:sz="0" w:space="0" w:color="auto"/>
            <w:right w:val="none" w:sz="0" w:space="0" w:color="auto"/>
          </w:divBdr>
        </w:div>
        <w:div w:id="308218585">
          <w:marLeft w:val="0"/>
          <w:marRight w:val="0"/>
          <w:marTop w:val="0"/>
          <w:marBottom w:val="0"/>
          <w:divBdr>
            <w:top w:val="none" w:sz="0" w:space="0" w:color="auto"/>
            <w:left w:val="none" w:sz="0" w:space="0" w:color="auto"/>
            <w:bottom w:val="none" w:sz="0" w:space="0" w:color="auto"/>
            <w:right w:val="none" w:sz="0" w:space="0" w:color="auto"/>
          </w:divBdr>
        </w:div>
      </w:divsChild>
    </w:div>
    <w:div w:id="801534470">
      <w:bodyDiv w:val="1"/>
      <w:marLeft w:val="0"/>
      <w:marRight w:val="0"/>
      <w:marTop w:val="0"/>
      <w:marBottom w:val="0"/>
      <w:divBdr>
        <w:top w:val="none" w:sz="0" w:space="0" w:color="auto"/>
        <w:left w:val="none" w:sz="0" w:space="0" w:color="auto"/>
        <w:bottom w:val="none" w:sz="0" w:space="0" w:color="auto"/>
        <w:right w:val="none" w:sz="0" w:space="0" w:color="auto"/>
      </w:divBdr>
      <w:divsChild>
        <w:div w:id="1721131050">
          <w:marLeft w:val="0"/>
          <w:marRight w:val="0"/>
          <w:marTop w:val="0"/>
          <w:marBottom w:val="0"/>
          <w:divBdr>
            <w:top w:val="none" w:sz="0" w:space="0" w:color="auto"/>
            <w:left w:val="none" w:sz="0" w:space="0" w:color="auto"/>
            <w:bottom w:val="none" w:sz="0" w:space="0" w:color="auto"/>
            <w:right w:val="none" w:sz="0" w:space="0" w:color="auto"/>
          </w:divBdr>
        </w:div>
        <w:div w:id="1120758831">
          <w:marLeft w:val="0"/>
          <w:marRight w:val="0"/>
          <w:marTop w:val="0"/>
          <w:marBottom w:val="0"/>
          <w:divBdr>
            <w:top w:val="none" w:sz="0" w:space="0" w:color="auto"/>
            <w:left w:val="none" w:sz="0" w:space="0" w:color="auto"/>
            <w:bottom w:val="none" w:sz="0" w:space="0" w:color="auto"/>
            <w:right w:val="none" w:sz="0" w:space="0" w:color="auto"/>
          </w:divBdr>
        </w:div>
        <w:div w:id="2001544690">
          <w:marLeft w:val="0"/>
          <w:marRight w:val="0"/>
          <w:marTop w:val="0"/>
          <w:marBottom w:val="0"/>
          <w:divBdr>
            <w:top w:val="none" w:sz="0" w:space="0" w:color="auto"/>
            <w:left w:val="none" w:sz="0" w:space="0" w:color="auto"/>
            <w:bottom w:val="none" w:sz="0" w:space="0" w:color="auto"/>
            <w:right w:val="none" w:sz="0" w:space="0" w:color="auto"/>
          </w:divBdr>
        </w:div>
        <w:div w:id="1323510048">
          <w:marLeft w:val="0"/>
          <w:marRight w:val="0"/>
          <w:marTop w:val="0"/>
          <w:marBottom w:val="0"/>
          <w:divBdr>
            <w:top w:val="none" w:sz="0" w:space="0" w:color="auto"/>
            <w:left w:val="none" w:sz="0" w:space="0" w:color="auto"/>
            <w:bottom w:val="none" w:sz="0" w:space="0" w:color="auto"/>
            <w:right w:val="none" w:sz="0" w:space="0" w:color="auto"/>
          </w:divBdr>
        </w:div>
        <w:div w:id="1376127152">
          <w:marLeft w:val="0"/>
          <w:marRight w:val="0"/>
          <w:marTop w:val="0"/>
          <w:marBottom w:val="0"/>
          <w:divBdr>
            <w:top w:val="none" w:sz="0" w:space="0" w:color="auto"/>
            <w:left w:val="none" w:sz="0" w:space="0" w:color="auto"/>
            <w:bottom w:val="none" w:sz="0" w:space="0" w:color="auto"/>
            <w:right w:val="none" w:sz="0" w:space="0" w:color="auto"/>
          </w:divBdr>
        </w:div>
        <w:div w:id="1245921675">
          <w:marLeft w:val="0"/>
          <w:marRight w:val="0"/>
          <w:marTop w:val="0"/>
          <w:marBottom w:val="0"/>
          <w:divBdr>
            <w:top w:val="none" w:sz="0" w:space="0" w:color="auto"/>
            <w:left w:val="none" w:sz="0" w:space="0" w:color="auto"/>
            <w:bottom w:val="none" w:sz="0" w:space="0" w:color="auto"/>
            <w:right w:val="none" w:sz="0" w:space="0" w:color="auto"/>
          </w:divBdr>
        </w:div>
        <w:div w:id="2066366608">
          <w:marLeft w:val="0"/>
          <w:marRight w:val="0"/>
          <w:marTop w:val="0"/>
          <w:marBottom w:val="0"/>
          <w:divBdr>
            <w:top w:val="none" w:sz="0" w:space="0" w:color="auto"/>
            <w:left w:val="none" w:sz="0" w:space="0" w:color="auto"/>
            <w:bottom w:val="none" w:sz="0" w:space="0" w:color="auto"/>
            <w:right w:val="none" w:sz="0" w:space="0" w:color="auto"/>
          </w:divBdr>
        </w:div>
        <w:div w:id="1930045864">
          <w:marLeft w:val="0"/>
          <w:marRight w:val="0"/>
          <w:marTop w:val="0"/>
          <w:marBottom w:val="0"/>
          <w:divBdr>
            <w:top w:val="none" w:sz="0" w:space="0" w:color="auto"/>
            <w:left w:val="none" w:sz="0" w:space="0" w:color="auto"/>
            <w:bottom w:val="none" w:sz="0" w:space="0" w:color="auto"/>
            <w:right w:val="none" w:sz="0" w:space="0" w:color="auto"/>
          </w:divBdr>
        </w:div>
        <w:div w:id="571740633">
          <w:marLeft w:val="0"/>
          <w:marRight w:val="0"/>
          <w:marTop w:val="0"/>
          <w:marBottom w:val="0"/>
          <w:divBdr>
            <w:top w:val="none" w:sz="0" w:space="0" w:color="auto"/>
            <w:left w:val="none" w:sz="0" w:space="0" w:color="auto"/>
            <w:bottom w:val="none" w:sz="0" w:space="0" w:color="auto"/>
            <w:right w:val="none" w:sz="0" w:space="0" w:color="auto"/>
          </w:divBdr>
        </w:div>
        <w:div w:id="912157454">
          <w:marLeft w:val="0"/>
          <w:marRight w:val="0"/>
          <w:marTop w:val="0"/>
          <w:marBottom w:val="0"/>
          <w:divBdr>
            <w:top w:val="none" w:sz="0" w:space="0" w:color="auto"/>
            <w:left w:val="none" w:sz="0" w:space="0" w:color="auto"/>
            <w:bottom w:val="none" w:sz="0" w:space="0" w:color="auto"/>
            <w:right w:val="none" w:sz="0" w:space="0" w:color="auto"/>
          </w:divBdr>
        </w:div>
      </w:divsChild>
    </w:div>
    <w:div w:id="811407472">
      <w:bodyDiv w:val="1"/>
      <w:marLeft w:val="0"/>
      <w:marRight w:val="0"/>
      <w:marTop w:val="0"/>
      <w:marBottom w:val="0"/>
      <w:divBdr>
        <w:top w:val="none" w:sz="0" w:space="0" w:color="auto"/>
        <w:left w:val="none" w:sz="0" w:space="0" w:color="auto"/>
        <w:bottom w:val="none" w:sz="0" w:space="0" w:color="auto"/>
        <w:right w:val="none" w:sz="0" w:space="0" w:color="auto"/>
      </w:divBdr>
      <w:divsChild>
        <w:div w:id="1411584817">
          <w:marLeft w:val="0"/>
          <w:marRight w:val="0"/>
          <w:marTop w:val="0"/>
          <w:marBottom w:val="0"/>
          <w:divBdr>
            <w:top w:val="none" w:sz="0" w:space="0" w:color="auto"/>
            <w:left w:val="none" w:sz="0" w:space="0" w:color="auto"/>
            <w:bottom w:val="none" w:sz="0" w:space="0" w:color="auto"/>
            <w:right w:val="none" w:sz="0" w:space="0" w:color="auto"/>
          </w:divBdr>
        </w:div>
        <w:div w:id="1246453927">
          <w:marLeft w:val="0"/>
          <w:marRight w:val="0"/>
          <w:marTop w:val="0"/>
          <w:marBottom w:val="0"/>
          <w:divBdr>
            <w:top w:val="none" w:sz="0" w:space="0" w:color="auto"/>
            <w:left w:val="none" w:sz="0" w:space="0" w:color="auto"/>
            <w:bottom w:val="none" w:sz="0" w:space="0" w:color="auto"/>
            <w:right w:val="none" w:sz="0" w:space="0" w:color="auto"/>
          </w:divBdr>
        </w:div>
        <w:div w:id="2032488023">
          <w:marLeft w:val="0"/>
          <w:marRight w:val="0"/>
          <w:marTop w:val="0"/>
          <w:marBottom w:val="0"/>
          <w:divBdr>
            <w:top w:val="none" w:sz="0" w:space="0" w:color="auto"/>
            <w:left w:val="none" w:sz="0" w:space="0" w:color="auto"/>
            <w:bottom w:val="none" w:sz="0" w:space="0" w:color="auto"/>
            <w:right w:val="none" w:sz="0" w:space="0" w:color="auto"/>
          </w:divBdr>
        </w:div>
        <w:div w:id="1983728015">
          <w:marLeft w:val="0"/>
          <w:marRight w:val="0"/>
          <w:marTop w:val="0"/>
          <w:marBottom w:val="0"/>
          <w:divBdr>
            <w:top w:val="none" w:sz="0" w:space="0" w:color="auto"/>
            <w:left w:val="none" w:sz="0" w:space="0" w:color="auto"/>
            <w:bottom w:val="none" w:sz="0" w:space="0" w:color="auto"/>
            <w:right w:val="none" w:sz="0" w:space="0" w:color="auto"/>
          </w:divBdr>
        </w:div>
        <w:div w:id="375324973">
          <w:marLeft w:val="0"/>
          <w:marRight w:val="0"/>
          <w:marTop w:val="0"/>
          <w:marBottom w:val="0"/>
          <w:divBdr>
            <w:top w:val="none" w:sz="0" w:space="0" w:color="auto"/>
            <w:left w:val="none" w:sz="0" w:space="0" w:color="auto"/>
            <w:bottom w:val="none" w:sz="0" w:space="0" w:color="auto"/>
            <w:right w:val="none" w:sz="0" w:space="0" w:color="auto"/>
          </w:divBdr>
        </w:div>
      </w:divsChild>
    </w:div>
    <w:div w:id="816729409">
      <w:bodyDiv w:val="1"/>
      <w:marLeft w:val="0"/>
      <w:marRight w:val="0"/>
      <w:marTop w:val="0"/>
      <w:marBottom w:val="0"/>
      <w:divBdr>
        <w:top w:val="none" w:sz="0" w:space="0" w:color="auto"/>
        <w:left w:val="none" w:sz="0" w:space="0" w:color="auto"/>
        <w:bottom w:val="none" w:sz="0" w:space="0" w:color="auto"/>
        <w:right w:val="none" w:sz="0" w:space="0" w:color="auto"/>
      </w:divBdr>
      <w:divsChild>
        <w:div w:id="356008446">
          <w:marLeft w:val="0"/>
          <w:marRight w:val="0"/>
          <w:marTop w:val="0"/>
          <w:marBottom w:val="0"/>
          <w:divBdr>
            <w:top w:val="none" w:sz="0" w:space="0" w:color="auto"/>
            <w:left w:val="none" w:sz="0" w:space="0" w:color="auto"/>
            <w:bottom w:val="none" w:sz="0" w:space="0" w:color="auto"/>
            <w:right w:val="none" w:sz="0" w:space="0" w:color="auto"/>
          </w:divBdr>
        </w:div>
        <w:div w:id="952442883">
          <w:marLeft w:val="0"/>
          <w:marRight w:val="0"/>
          <w:marTop w:val="0"/>
          <w:marBottom w:val="0"/>
          <w:divBdr>
            <w:top w:val="none" w:sz="0" w:space="0" w:color="auto"/>
            <w:left w:val="none" w:sz="0" w:space="0" w:color="auto"/>
            <w:bottom w:val="none" w:sz="0" w:space="0" w:color="auto"/>
            <w:right w:val="none" w:sz="0" w:space="0" w:color="auto"/>
          </w:divBdr>
        </w:div>
        <w:div w:id="374354875">
          <w:marLeft w:val="0"/>
          <w:marRight w:val="0"/>
          <w:marTop w:val="0"/>
          <w:marBottom w:val="0"/>
          <w:divBdr>
            <w:top w:val="none" w:sz="0" w:space="0" w:color="auto"/>
            <w:left w:val="none" w:sz="0" w:space="0" w:color="auto"/>
            <w:bottom w:val="none" w:sz="0" w:space="0" w:color="auto"/>
            <w:right w:val="none" w:sz="0" w:space="0" w:color="auto"/>
          </w:divBdr>
        </w:div>
      </w:divsChild>
    </w:div>
    <w:div w:id="860313648">
      <w:bodyDiv w:val="1"/>
      <w:marLeft w:val="0"/>
      <w:marRight w:val="0"/>
      <w:marTop w:val="0"/>
      <w:marBottom w:val="0"/>
      <w:divBdr>
        <w:top w:val="none" w:sz="0" w:space="0" w:color="auto"/>
        <w:left w:val="none" w:sz="0" w:space="0" w:color="auto"/>
        <w:bottom w:val="none" w:sz="0" w:space="0" w:color="auto"/>
        <w:right w:val="none" w:sz="0" w:space="0" w:color="auto"/>
      </w:divBdr>
      <w:divsChild>
        <w:div w:id="395855578">
          <w:marLeft w:val="0"/>
          <w:marRight w:val="0"/>
          <w:marTop w:val="0"/>
          <w:marBottom w:val="0"/>
          <w:divBdr>
            <w:top w:val="none" w:sz="0" w:space="0" w:color="auto"/>
            <w:left w:val="none" w:sz="0" w:space="0" w:color="auto"/>
            <w:bottom w:val="none" w:sz="0" w:space="0" w:color="auto"/>
            <w:right w:val="none" w:sz="0" w:space="0" w:color="auto"/>
          </w:divBdr>
        </w:div>
        <w:div w:id="697897741">
          <w:marLeft w:val="0"/>
          <w:marRight w:val="0"/>
          <w:marTop w:val="0"/>
          <w:marBottom w:val="0"/>
          <w:divBdr>
            <w:top w:val="none" w:sz="0" w:space="0" w:color="auto"/>
            <w:left w:val="none" w:sz="0" w:space="0" w:color="auto"/>
            <w:bottom w:val="none" w:sz="0" w:space="0" w:color="auto"/>
            <w:right w:val="none" w:sz="0" w:space="0" w:color="auto"/>
          </w:divBdr>
        </w:div>
        <w:div w:id="1552183638">
          <w:marLeft w:val="0"/>
          <w:marRight w:val="0"/>
          <w:marTop w:val="0"/>
          <w:marBottom w:val="0"/>
          <w:divBdr>
            <w:top w:val="none" w:sz="0" w:space="0" w:color="auto"/>
            <w:left w:val="none" w:sz="0" w:space="0" w:color="auto"/>
            <w:bottom w:val="none" w:sz="0" w:space="0" w:color="auto"/>
            <w:right w:val="none" w:sz="0" w:space="0" w:color="auto"/>
          </w:divBdr>
        </w:div>
        <w:div w:id="591089752">
          <w:marLeft w:val="0"/>
          <w:marRight w:val="0"/>
          <w:marTop w:val="0"/>
          <w:marBottom w:val="0"/>
          <w:divBdr>
            <w:top w:val="none" w:sz="0" w:space="0" w:color="auto"/>
            <w:left w:val="none" w:sz="0" w:space="0" w:color="auto"/>
            <w:bottom w:val="none" w:sz="0" w:space="0" w:color="auto"/>
            <w:right w:val="none" w:sz="0" w:space="0" w:color="auto"/>
          </w:divBdr>
        </w:div>
        <w:div w:id="1424254013">
          <w:marLeft w:val="0"/>
          <w:marRight w:val="0"/>
          <w:marTop w:val="0"/>
          <w:marBottom w:val="0"/>
          <w:divBdr>
            <w:top w:val="none" w:sz="0" w:space="0" w:color="auto"/>
            <w:left w:val="none" w:sz="0" w:space="0" w:color="auto"/>
            <w:bottom w:val="none" w:sz="0" w:space="0" w:color="auto"/>
            <w:right w:val="none" w:sz="0" w:space="0" w:color="auto"/>
          </w:divBdr>
        </w:div>
        <w:div w:id="411439670">
          <w:marLeft w:val="0"/>
          <w:marRight w:val="0"/>
          <w:marTop w:val="0"/>
          <w:marBottom w:val="0"/>
          <w:divBdr>
            <w:top w:val="none" w:sz="0" w:space="0" w:color="auto"/>
            <w:left w:val="none" w:sz="0" w:space="0" w:color="auto"/>
            <w:bottom w:val="none" w:sz="0" w:space="0" w:color="auto"/>
            <w:right w:val="none" w:sz="0" w:space="0" w:color="auto"/>
          </w:divBdr>
        </w:div>
        <w:div w:id="839612947">
          <w:marLeft w:val="0"/>
          <w:marRight w:val="0"/>
          <w:marTop w:val="0"/>
          <w:marBottom w:val="0"/>
          <w:divBdr>
            <w:top w:val="none" w:sz="0" w:space="0" w:color="auto"/>
            <w:left w:val="none" w:sz="0" w:space="0" w:color="auto"/>
            <w:bottom w:val="none" w:sz="0" w:space="0" w:color="auto"/>
            <w:right w:val="none" w:sz="0" w:space="0" w:color="auto"/>
          </w:divBdr>
        </w:div>
        <w:div w:id="1668441616">
          <w:marLeft w:val="0"/>
          <w:marRight w:val="0"/>
          <w:marTop w:val="0"/>
          <w:marBottom w:val="0"/>
          <w:divBdr>
            <w:top w:val="none" w:sz="0" w:space="0" w:color="auto"/>
            <w:left w:val="none" w:sz="0" w:space="0" w:color="auto"/>
            <w:bottom w:val="none" w:sz="0" w:space="0" w:color="auto"/>
            <w:right w:val="none" w:sz="0" w:space="0" w:color="auto"/>
          </w:divBdr>
        </w:div>
        <w:div w:id="511188149">
          <w:marLeft w:val="0"/>
          <w:marRight w:val="0"/>
          <w:marTop w:val="0"/>
          <w:marBottom w:val="0"/>
          <w:divBdr>
            <w:top w:val="none" w:sz="0" w:space="0" w:color="auto"/>
            <w:left w:val="none" w:sz="0" w:space="0" w:color="auto"/>
            <w:bottom w:val="none" w:sz="0" w:space="0" w:color="auto"/>
            <w:right w:val="none" w:sz="0" w:space="0" w:color="auto"/>
          </w:divBdr>
        </w:div>
        <w:div w:id="1366950980">
          <w:marLeft w:val="0"/>
          <w:marRight w:val="0"/>
          <w:marTop w:val="0"/>
          <w:marBottom w:val="0"/>
          <w:divBdr>
            <w:top w:val="none" w:sz="0" w:space="0" w:color="auto"/>
            <w:left w:val="none" w:sz="0" w:space="0" w:color="auto"/>
            <w:bottom w:val="none" w:sz="0" w:space="0" w:color="auto"/>
            <w:right w:val="none" w:sz="0" w:space="0" w:color="auto"/>
          </w:divBdr>
        </w:div>
        <w:div w:id="804158973">
          <w:marLeft w:val="0"/>
          <w:marRight w:val="0"/>
          <w:marTop w:val="0"/>
          <w:marBottom w:val="0"/>
          <w:divBdr>
            <w:top w:val="none" w:sz="0" w:space="0" w:color="auto"/>
            <w:left w:val="none" w:sz="0" w:space="0" w:color="auto"/>
            <w:bottom w:val="none" w:sz="0" w:space="0" w:color="auto"/>
            <w:right w:val="none" w:sz="0" w:space="0" w:color="auto"/>
          </w:divBdr>
        </w:div>
        <w:div w:id="1882594971">
          <w:marLeft w:val="0"/>
          <w:marRight w:val="0"/>
          <w:marTop w:val="0"/>
          <w:marBottom w:val="0"/>
          <w:divBdr>
            <w:top w:val="none" w:sz="0" w:space="0" w:color="auto"/>
            <w:left w:val="none" w:sz="0" w:space="0" w:color="auto"/>
            <w:bottom w:val="none" w:sz="0" w:space="0" w:color="auto"/>
            <w:right w:val="none" w:sz="0" w:space="0" w:color="auto"/>
          </w:divBdr>
        </w:div>
        <w:div w:id="750004089">
          <w:marLeft w:val="0"/>
          <w:marRight w:val="0"/>
          <w:marTop w:val="0"/>
          <w:marBottom w:val="0"/>
          <w:divBdr>
            <w:top w:val="none" w:sz="0" w:space="0" w:color="auto"/>
            <w:left w:val="none" w:sz="0" w:space="0" w:color="auto"/>
            <w:bottom w:val="none" w:sz="0" w:space="0" w:color="auto"/>
            <w:right w:val="none" w:sz="0" w:space="0" w:color="auto"/>
          </w:divBdr>
        </w:div>
        <w:div w:id="1752043259">
          <w:marLeft w:val="0"/>
          <w:marRight w:val="0"/>
          <w:marTop w:val="0"/>
          <w:marBottom w:val="0"/>
          <w:divBdr>
            <w:top w:val="none" w:sz="0" w:space="0" w:color="auto"/>
            <w:left w:val="none" w:sz="0" w:space="0" w:color="auto"/>
            <w:bottom w:val="none" w:sz="0" w:space="0" w:color="auto"/>
            <w:right w:val="none" w:sz="0" w:space="0" w:color="auto"/>
          </w:divBdr>
        </w:div>
      </w:divsChild>
    </w:div>
    <w:div w:id="863978616">
      <w:bodyDiv w:val="1"/>
      <w:marLeft w:val="0"/>
      <w:marRight w:val="0"/>
      <w:marTop w:val="0"/>
      <w:marBottom w:val="0"/>
      <w:divBdr>
        <w:top w:val="none" w:sz="0" w:space="0" w:color="auto"/>
        <w:left w:val="none" w:sz="0" w:space="0" w:color="auto"/>
        <w:bottom w:val="none" w:sz="0" w:space="0" w:color="auto"/>
        <w:right w:val="none" w:sz="0" w:space="0" w:color="auto"/>
      </w:divBdr>
      <w:divsChild>
        <w:div w:id="263463771">
          <w:marLeft w:val="0"/>
          <w:marRight w:val="0"/>
          <w:marTop w:val="0"/>
          <w:marBottom w:val="0"/>
          <w:divBdr>
            <w:top w:val="none" w:sz="0" w:space="0" w:color="auto"/>
            <w:left w:val="none" w:sz="0" w:space="0" w:color="auto"/>
            <w:bottom w:val="none" w:sz="0" w:space="0" w:color="auto"/>
            <w:right w:val="none" w:sz="0" w:space="0" w:color="auto"/>
          </w:divBdr>
        </w:div>
        <w:div w:id="1546601192">
          <w:marLeft w:val="0"/>
          <w:marRight w:val="0"/>
          <w:marTop w:val="0"/>
          <w:marBottom w:val="0"/>
          <w:divBdr>
            <w:top w:val="none" w:sz="0" w:space="0" w:color="auto"/>
            <w:left w:val="none" w:sz="0" w:space="0" w:color="auto"/>
            <w:bottom w:val="none" w:sz="0" w:space="0" w:color="auto"/>
            <w:right w:val="none" w:sz="0" w:space="0" w:color="auto"/>
          </w:divBdr>
        </w:div>
        <w:div w:id="1575434428">
          <w:marLeft w:val="0"/>
          <w:marRight w:val="0"/>
          <w:marTop w:val="0"/>
          <w:marBottom w:val="0"/>
          <w:divBdr>
            <w:top w:val="none" w:sz="0" w:space="0" w:color="auto"/>
            <w:left w:val="none" w:sz="0" w:space="0" w:color="auto"/>
            <w:bottom w:val="none" w:sz="0" w:space="0" w:color="auto"/>
            <w:right w:val="none" w:sz="0" w:space="0" w:color="auto"/>
          </w:divBdr>
        </w:div>
        <w:div w:id="274561734">
          <w:marLeft w:val="0"/>
          <w:marRight w:val="0"/>
          <w:marTop w:val="0"/>
          <w:marBottom w:val="0"/>
          <w:divBdr>
            <w:top w:val="none" w:sz="0" w:space="0" w:color="auto"/>
            <w:left w:val="none" w:sz="0" w:space="0" w:color="auto"/>
            <w:bottom w:val="none" w:sz="0" w:space="0" w:color="auto"/>
            <w:right w:val="none" w:sz="0" w:space="0" w:color="auto"/>
          </w:divBdr>
        </w:div>
        <w:div w:id="881753022">
          <w:marLeft w:val="0"/>
          <w:marRight w:val="0"/>
          <w:marTop w:val="0"/>
          <w:marBottom w:val="0"/>
          <w:divBdr>
            <w:top w:val="none" w:sz="0" w:space="0" w:color="auto"/>
            <w:left w:val="none" w:sz="0" w:space="0" w:color="auto"/>
            <w:bottom w:val="none" w:sz="0" w:space="0" w:color="auto"/>
            <w:right w:val="none" w:sz="0" w:space="0" w:color="auto"/>
          </w:divBdr>
        </w:div>
        <w:div w:id="1638602756">
          <w:marLeft w:val="0"/>
          <w:marRight w:val="0"/>
          <w:marTop w:val="0"/>
          <w:marBottom w:val="0"/>
          <w:divBdr>
            <w:top w:val="none" w:sz="0" w:space="0" w:color="auto"/>
            <w:left w:val="none" w:sz="0" w:space="0" w:color="auto"/>
            <w:bottom w:val="none" w:sz="0" w:space="0" w:color="auto"/>
            <w:right w:val="none" w:sz="0" w:space="0" w:color="auto"/>
          </w:divBdr>
        </w:div>
        <w:div w:id="1376588005">
          <w:marLeft w:val="0"/>
          <w:marRight w:val="0"/>
          <w:marTop w:val="0"/>
          <w:marBottom w:val="0"/>
          <w:divBdr>
            <w:top w:val="none" w:sz="0" w:space="0" w:color="auto"/>
            <w:left w:val="none" w:sz="0" w:space="0" w:color="auto"/>
            <w:bottom w:val="none" w:sz="0" w:space="0" w:color="auto"/>
            <w:right w:val="none" w:sz="0" w:space="0" w:color="auto"/>
          </w:divBdr>
        </w:div>
        <w:div w:id="1080327089">
          <w:marLeft w:val="0"/>
          <w:marRight w:val="0"/>
          <w:marTop w:val="0"/>
          <w:marBottom w:val="0"/>
          <w:divBdr>
            <w:top w:val="none" w:sz="0" w:space="0" w:color="auto"/>
            <w:left w:val="none" w:sz="0" w:space="0" w:color="auto"/>
            <w:bottom w:val="none" w:sz="0" w:space="0" w:color="auto"/>
            <w:right w:val="none" w:sz="0" w:space="0" w:color="auto"/>
          </w:divBdr>
        </w:div>
        <w:div w:id="1571387182">
          <w:marLeft w:val="0"/>
          <w:marRight w:val="0"/>
          <w:marTop w:val="0"/>
          <w:marBottom w:val="0"/>
          <w:divBdr>
            <w:top w:val="none" w:sz="0" w:space="0" w:color="auto"/>
            <w:left w:val="none" w:sz="0" w:space="0" w:color="auto"/>
            <w:bottom w:val="none" w:sz="0" w:space="0" w:color="auto"/>
            <w:right w:val="none" w:sz="0" w:space="0" w:color="auto"/>
          </w:divBdr>
        </w:div>
        <w:div w:id="1246384214">
          <w:marLeft w:val="0"/>
          <w:marRight w:val="0"/>
          <w:marTop w:val="0"/>
          <w:marBottom w:val="0"/>
          <w:divBdr>
            <w:top w:val="none" w:sz="0" w:space="0" w:color="auto"/>
            <w:left w:val="none" w:sz="0" w:space="0" w:color="auto"/>
            <w:bottom w:val="none" w:sz="0" w:space="0" w:color="auto"/>
            <w:right w:val="none" w:sz="0" w:space="0" w:color="auto"/>
          </w:divBdr>
        </w:div>
        <w:div w:id="39983878">
          <w:marLeft w:val="0"/>
          <w:marRight w:val="0"/>
          <w:marTop w:val="0"/>
          <w:marBottom w:val="0"/>
          <w:divBdr>
            <w:top w:val="none" w:sz="0" w:space="0" w:color="auto"/>
            <w:left w:val="none" w:sz="0" w:space="0" w:color="auto"/>
            <w:bottom w:val="none" w:sz="0" w:space="0" w:color="auto"/>
            <w:right w:val="none" w:sz="0" w:space="0" w:color="auto"/>
          </w:divBdr>
        </w:div>
        <w:div w:id="889808797">
          <w:marLeft w:val="0"/>
          <w:marRight w:val="0"/>
          <w:marTop w:val="0"/>
          <w:marBottom w:val="0"/>
          <w:divBdr>
            <w:top w:val="none" w:sz="0" w:space="0" w:color="auto"/>
            <w:left w:val="none" w:sz="0" w:space="0" w:color="auto"/>
            <w:bottom w:val="none" w:sz="0" w:space="0" w:color="auto"/>
            <w:right w:val="none" w:sz="0" w:space="0" w:color="auto"/>
          </w:divBdr>
        </w:div>
        <w:div w:id="666401151">
          <w:marLeft w:val="0"/>
          <w:marRight w:val="0"/>
          <w:marTop w:val="0"/>
          <w:marBottom w:val="0"/>
          <w:divBdr>
            <w:top w:val="none" w:sz="0" w:space="0" w:color="auto"/>
            <w:left w:val="none" w:sz="0" w:space="0" w:color="auto"/>
            <w:bottom w:val="none" w:sz="0" w:space="0" w:color="auto"/>
            <w:right w:val="none" w:sz="0" w:space="0" w:color="auto"/>
          </w:divBdr>
        </w:div>
        <w:div w:id="444425309">
          <w:marLeft w:val="0"/>
          <w:marRight w:val="0"/>
          <w:marTop w:val="0"/>
          <w:marBottom w:val="0"/>
          <w:divBdr>
            <w:top w:val="none" w:sz="0" w:space="0" w:color="auto"/>
            <w:left w:val="none" w:sz="0" w:space="0" w:color="auto"/>
            <w:bottom w:val="none" w:sz="0" w:space="0" w:color="auto"/>
            <w:right w:val="none" w:sz="0" w:space="0" w:color="auto"/>
          </w:divBdr>
        </w:div>
        <w:div w:id="1749692352">
          <w:marLeft w:val="0"/>
          <w:marRight w:val="0"/>
          <w:marTop w:val="0"/>
          <w:marBottom w:val="0"/>
          <w:divBdr>
            <w:top w:val="none" w:sz="0" w:space="0" w:color="auto"/>
            <w:left w:val="none" w:sz="0" w:space="0" w:color="auto"/>
            <w:bottom w:val="none" w:sz="0" w:space="0" w:color="auto"/>
            <w:right w:val="none" w:sz="0" w:space="0" w:color="auto"/>
          </w:divBdr>
        </w:div>
        <w:div w:id="1883518130">
          <w:marLeft w:val="0"/>
          <w:marRight w:val="0"/>
          <w:marTop w:val="0"/>
          <w:marBottom w:val="0"/>
          <w:divBdr>
            <w:top w:val="none" w:sz="0" w:space="0" w:color="auto"/>
            <w:left w:val="none" w:sz="0" w:space="0" w:color="auto"/>
            <w:bottom w:val="none" w:sz="0" w:space="0" w:color="auto"/>
            <w:right w:val="none" w:sz="0" w:space="0" w:color="auto"/>
          </w:divBdr>
        </w:div>
        <w:div w:id="380633508">
          <w:marLeft w:val="0"/>
          <w:marRight w:val="0"/>
          <w:marTop w:val="0"/>
          <w:marBottom w:val="0"/>
          <w:divBdr>
            <w:top w:val="none" w:sz="0" w:space="0" w:color="auto"/>
            <w:left w:val="none" w:sz="0" w:space="0" w:color="auto"/>
            <w:bottom w:val="none" w:sz="0" w:space="0" w:color="auto"/>
            <w:right w:val="none" w:sz="0" w:space="0" w:color="auto"/>
          </w:divBdr>
        </w:div>
        <w:div w:id="1863977676">
          <w:marLeft w:val="0"/>
          <w:marRight w:val="0"/>
          <w:marTop w:val="0"/>
          <w:marBottom w:val="0"/>
          <w:divBdr>
            <w:top w:val="none" w:sz="0" w:space="0" w:color="auto"/>
            <w:left w:val="none" w:sz="0" w:space="0" w:color="auto"/>
            <w:bottom w:val="none" w:sz="0" w:space="0" w:color="auto"/>
            <w:right w:val="none" w:sz="0" w:space="0" w:color="auto"/>
          </w:divBdr>
        </w:div>
        <w:div w:id="1211309682">
          <w:marLeft w:val="0"/>
          <w:marRight w:val="0"/>
          <w:marTop w:val="0"/>
          <w:marBottom w:val="0"/>
          <w:divBdr>
            <w:top w:val="none" w:sz="0" w:space="0" w:color="auto"/>
            <w:left w:val="none" w:sz="0" w:space="0" w:color="auto"/>
            <w:bottom w:val="none" w:sz="0" w:space="0" w:color="auto"/>
            <w:right w:val="none" w:sz="0" w:space="0" w:color="auto"/>
          </w:divBdr>
        </w:div>
        <w:div w:id="452795280">
          <w:marLeft w:val="0"/>
          <w:marRight w:val="0"/>
          <w:marTop w:val="0"/>
          <w:marBottom w:val="0"/>
          <w:divBdr>
            <w:top w:val="none" w:sz="0" w:space="0" w:color="auto"/>
            <w:left w:val="none" w:sz="0" w:space="0" w:color="auto"/>
            <w:bottom w:val="none" w:sz="0" w:space="0" w:color="auto"/>
            <w:right w:val="none" w:sz="0" w:space="0" w:color="auto"/>
          </w:divBdr>
        </w:div>
        <w:div w:id="1646080349">
          <w:marLeft w:val="0"/>
          <w:marRight w:val="0"/>
          <w:marTop w:val="0"/>
          <w:marBottom w:val="0"/>
          <w:divBdr>
            <w:top w:val="none" w:sz="0" w:space="0" w:color="auto"/>
            <w:left w:val="none" w:sz="0" w:space="0" w:color="auto"/>
            <w:bottom w:val="none" w:sz="0" w:space="0" w:color="auto"/>
            <w:right w:val="none" w:sz="0" w:space="0" w:color="auto"/>
          </w:divBdr>
        </w:div>
        <w:div w:id="1570964609">
          <w:marLeft w:val="0"/>
          <w:marRight w:val="0"/>
          <w:marTop w:val="0"/>
          <w:marBottom w:val="0"/>
          <w:divBdr>
            <w:top w:val="none" w:sz="0" w:space="0" w:color="auto"/>
            <w:left w:val="none" w:sz="0" w:space="0" w:color="auto"/>
            <w:bottom w:val="none" w:sz="0" w:space="0" w:color="auto"/>
            <w:right w:val="none" w:sz="0" w:space="0" w:color="auto"/>
          </w:divBdr>
        </w:div>
        <w:div w:id="1486124355">
          <w:marLeft w:val="0"/>
          <w:marRight w:val="0"/>
          <w:marTop w:val="0"/>
          <w:marBottom w:val="0"/>
          <w:divBdr>
            <w:top w:val="none" w:sz="0" w:space="0" w:color="auto"/>
            <w:left w:val="none" w:sz="0" w:space="0" w:color="auto"/>
            <w:bottom w:val="none" w:sz="0" w:space="0" w:color="auto"/>
            <w:right w:val="none" w:sz="0" w:space="0" w:color="auto"/>
          </w:divBdr>
        </w:div>
      </w:divsChild>
    </w:div>
    <w:div w:id="865488971">
      <w:bodyDiv w:val="1"/>
      <w:marLeft w:val="0"/>
      <w:marRight w:val="0"/>
      <w:marTop w:val="0"/>
      <w:marBottom w:val="0"/>
      <w:divBdr>
        <w:top w:val="none" w:sz="0" w:space="0" w:color="auto"/>
        <w:left w:val="none" w:sz="0" w:space="0" w:color="auto"/>
        <w:bottom w:val="none" w:sz="0" w:space="0" w:color="auto"/>
        <w:right w:val="none" w:sz="0" w:space="0" w:color="auto"/>
      </w:divBdr>
      <w:divsChild>
        <w:div w:id="1135756146">
          <w:marLeft w:val="0"/>
          <w:marRight w:val="0"/>
          <w:marTop w:val="0"/>
          <w:marBottom w:val="0"/>
          <w:divBdr>
            <w:top w:val="none" w:sz="0" w:space="0" w:color="auto"/>
            <w:left w:val="none" w:sz="0" w:space="0" w:color="auto"/>
            <w:bottom w:val="none" w:sz="0" w:space="0" w:color="auto"/>
            <w:right w:val="none" w:sz="0" w:space="0" w:color="auto"/>
          </w:divBdr>
        </w:div>
        <w:div w:id="2138638541">
          <w:marLeft w:val="0"/>
          <w:marRight w:val="0"/>
          <w:marTop w:val="0"/>
          <w:marBottom w:val="0"/>
          <w:divBdr>
            <w:top w:val="none" w:sz="0" w:space="0" w:color="auto"/>
            <w:left w:val="none" w:sz="0" w:space="0" w:color="auto"/>
            <w:bottom w:val="none" w:sz="0" w:space="0" w:color="auto"/>
            <w:right w:val="none" w:sz="0" w:space="0" w:color="auto"/>
          </w:divBdr>
        </w:div>
        <w:div w:id="943264645">
          <w:marLeft w:val="0"/>
          <w:marRight w:val="0"/>
          <w:marTop w:val="0"/>
          <w:marBottom w:val="0"/>
          <w:divBdr>
            <w:top w:val="none" w:sz="0" w:space="0" w:color="auto"/>
            <w:left w:val="none" w:sz="0" w:space="0" w:color="auto"/>
            <w:bottom w:val="none" w:sz="0" w:space="0" w:color="auto"/>
            <w:right w:val="none" w:sz="0" w:space="0" w:color="auto"/>
          </w:divBdr>
        </w:div>
        <w:div w:id="1627657308">
          <w:marLeft w:val="0"/>
          <w:marRight w:val="0"/>
          <w:marTop w:val="0"/>
          <w:marBottom w:val="0"/>
          <w:divBdr>
            <w:top w:val="none" w:sz="0" w:space="0" w:color="auto"/>
            <w:left w:val="none" w:sz="0" w:space="0" w:color="auto"/>
            <w:bottom w:val="none" w:sz="0" w:space="0" w:color="auto"/>
            <w:right w:val="none" w:sz="0" w:space="0" w:color="auto"/>
          </w:divBdr>
        </w:div>
        <w:div w:id="329137572">
          <w:marLeft w:val="0"/>
          <w:marRight w:val="0"/>
          <w:marTop w:val="0"/>
          <w:marBottom w:val="0"/>
          <w:divBdr>
            <w:top w:val="none" w:sz="0" w:space="0" w:color="auto"/>
            <w:left w:val="none" w:sz="0" w:space="0" w:color="auto"/>
            <w:bottom w:val="none" w:sz="0" w:space="0" w:color="auto"/>
            <w:right w:val="none" w:sz="0" w:space="0" w:color="auto"/>
          </w:divBdr>
        </w:div>
        <w:div w:id="1510875914">
          <w:marLeft w:val="0"/>
          <w:marRight w:val="0"/>
          <w:marTop w:val="0"/>
          <w:marBottom w:val="0"/>
          <w:divBdr>
            <w:top w:val="none" w:sz="0" w:space="0" w:color="auto"/>
            <w:left w:val="none" w:sz="0" w:space="0" w:color="auto"/>
            <w:bottom w:val="none" w:sz="0" w:space="0" w:color="auto"/>
            <w:right w:val="none" w:sz="0" w:space="0" w:color="auto"/>
          </w:divBdr>
        </w:div>
        <w:div w:id="1228614716">
          <w:marLeft w:val="0"/>
          <w:marRight w:val="0"/>
          <w:marTop w:val="0"/>
          <w:marBottom w:val="0"/>
          <w:divBdr>
            <w:top w:val="none" w:sz="0" w:space="0" w:color="auto"/>
            <w:left w:val="none" w:sz="0" w:space="0" w:color="auto"/>
            <w:bottom w:val="none" w:sz="0" w:space="0" w:color="auto"/>
            <w:right w:val="none" w:sz="0" w:space="0" w:color="auto"/>
          </w:divBdr>
        </w:div>
        <w:div w:id="216859872">
          <w:marLeft w:val="0"/>
          <w:marRight w:val="0"/>
          <w:marTop w:val="0"/>
          <w:marBottom w:val="0"/>
          <w:divBdr>
            <w:top w:val="none" w:sz="0" w:space="0" w:color="auto"/>
            <w:left w:val="none" w:sz="0" w:space="0" w:color="auto"/>
            <w:bottom w:val="none" w:sz="0" w:space="0" w:color="auto"/>
            <w:right w:val="none" w:sz="0" w:space="0" w:color="auto"/>
          </w:divBdr>
        </w:div>
        <w:div w:id="379129439">
          <w:marLeft w:val="0"/>
          <w:marRight w:val="0"/>
          <w:marTop w:val="0"/>
          <w:marBottom w:val="0"/>
          <w:divBdr>
            <w:top w:val="none" w:sz="0" w:space="0" w:color="auto"/>
            <w:left w:val="none" w:sz="0" w:space="0" w:color="auto"/>
            <w:bottom w:val="none" w:sz="0" w:space="0" w:color="auto"/>
            <w:right w:val="none" w:sz="0" w:space="0" w:color="auto"/>
          </w:divBdr>
        </w:div>
        <w:div w:id="1753773331">
          <w:marLeft w:val="0"/>
          <w:marRight w:val="0"/>
          <w:marTop w:val="0"/>
          <w:marBottom w:val="0"/>
          <w:divBdr>
            <w:top w:val="none" w:sz="0" w:space="0" w:color="auto"/>
            <w:left w:val="none" w:sz="0" w:space="0" w:color="auto"/>
            <w:bottom w:val="none" w:sz="0" w:space="0" w:color="auto"/>
            <w:right w:val="none" w:sz="0" w:space="0" w:color="auto"/>
          </w:divBdr>
        </w:div>
        <w:div w:id="2127774970">
          <w:marLeft w:val="0"/>
          <w:marRight w:val="0"/>
          <w:marTop w:val="0"/>
          <w:marBottom w:val="0"/>
          <w:divBdr>
            <w:top w:val="none" w:sz="0" w:space="0" w:color="auto"/>
            <w:left w:val="none" w:sz="0" w:space="0" w:color="auto"/>
            <w:bottom w:val="none" w:sz="0" w:space="0" w:color="auto"/>
            <w:right w:val="none" w:sz="0" w:space="0" w:color="auto"/>
          </w:divBdr>
        </w:div>
        <w:div w:id="1433667793">
          <w:marLeft w:val="0"/>
          <w:marRight w:val="0"/>
          <w:marTop w:val="0"/>
          <w:marBottom w:val="0"/>
          <w:divBdr>
            <w:top w:val="none" w:sz="0" w:space="0" w:color="auto"/>
            <w:left w:val="none" w:sz="0" w:space="0" w:color="auto"/>
            <w:bottom w:val="none" w:sz="0" w:space="0" w:color="auto"/>
            <w:right w:val="none" w:sz="0" w:space="0" w:color="auto"/>
          </w:divBdr>
        </w:div>
        <w:div w:id="910699466">
          <w:marLeft w:val="0"/>
          <w:marRight w:val="0"/>
          <w:marTop w:val="0"/>
          <w:marBottom w:val="0"/>
          <w:divBdr>
            <w:top w:val="none" w:sz="0" w:space="0" w:color="auto"/>
            <w:left w:val="none" w:sz="0" w:space="0" w:color="auto"/>
            <w:bottom w:val="none" w:sz="0" w:space="0" w:color="auto"/>
            <w:right w:val="none" w:sz="0" w:space="0" w:color="auto"/>
          </w:divBdr>
        </w:div>
        <w:div w:id="2078893525">
          <w:marLeft w:val="0"/>
          <w:marRight w:val="0"/>
          <w:marTop w:val="0"/>
          <w:marBottom w:val="0"/>
          <w:divBdr>
            <w:top w:val="none" w:sz="0" w:space="0" w:color="auto"/>
            <w:left w:val="none" w:sz="0" w:space="0" w:color="auto"/>
            <w:bottom w:val="none" w:sz="0" w:space="0" w:color="auto"/>
            <w:right w:val="none" w:sz="0" w:space="0" w:color="auto"/>
          </w:divBdr>
        </w:div>
        <w:div w:id="1090807077">
          <w:marLeft w:val="0"/>
          <w:marRight w:val="0"/>
          <w:marTop w:val="0"/>
          <w:marBottom w:val="0"/>
          <w:divBdr>
            <w:top w:val="none" w:sz="0" w:space="0" w:color="auto"/>
            <w:left w:val="none" w:sz="0" w:space="0" w:color="auto"/>
            <w:bottom w:val="none" w:sz="0" w:space="0" w:color="auto"/>
            <w:right w:val="none" w:sz="0" w:space="0" w:color="auto"/>
          </w:divBdr>
        </w:div>
        <w:div w:id="1877543910">
          <w:marLeft w:val="0"/>
          <w:marRight w:val="0"/>
          <w:marTop w:val="0"/>
          <w:marBottom w:val="0"/>
          <w:divBdr>
            <w:top w:val="none" w:sz="0" w:space="0" w:color="auto"/>
            <w:left w:val="none" w:sz="0" w:space="0" w:color="auto"/>
            <w:bottom w:val="none" w:sz="0" w:space="0" w:color="auto"/>
            <w:right w:val="none" w:sz="0" w:space="0" w:color="auto"/>
          </w:divBdr>
        </w:div>
        <w:div w:id="2032562555">
          <w:marLeft w:val="0"/>
          <w:marRight w:val="0"/>
          <w:marTop w:val="0"/>
          <w:marBottom w:val="0"/>
          <w:divBdr>
            <w:top w:val="none" w:sz="0" w:space="0" w:color="auto"/>
            <w:left w:val="none" w:sz="0" w:space="0" w:color="auto"/>
            <w:bottom w:val="none" w:sz="0" w:space="0" w:color="auto"/>
            <w:right w:val="none" w:sz="0" w:space="0" w:color="auto"/>
          </w:divBdr>
        </w:div>
        <w:div w:id="334310823">
          <w:marLeft w:val="0"/>
          <w:marRight w:val="0"/>
          <w:marTop w:val="0"/>
          <w:marBottom w:val="0"/>
          <w:divBdr>
            <w:top w:val="none" w:sz="0" w:space="0" w:color="auto"/>
            <w:left w:val="none" w:sz="0" w:space="0" w:color="auto"/>
            <w:bottom w:val="none" w:sz="0" w:space="0" w:color="auto"/>
            <w:right w:val="none" w:sz="0" w:space="0" w:color="auto"/>
          </w:divBdr>
        </w:div>
        <w:div w:id="121533140">
          <w:marLeft w:val="0"/>
          <w:marRight w:val="0"/>
          <w:marTop w:val="0"/>
          <w:marBottom w:val="0"/>
          <w:divBdr>
            <w:top w:val="none" w:sz="0" w:space="0" w:color="auto"/>
            <w:left w:val="none" w:sz="0" w:space="0" w:color="auto"/>
            <w:bottom w:val="none" w:sz="0" w:space="0" w:color="auto"/>
            <w:right w:val="none" w:sz="0" w:space="0" w:color="auto"/>
          </w:divBdr>
        </w:div>
        <w:div w:id="1625772046">
          <w:marLeft w:val="0"/>
          <w:marRight w:val="0"/>
          <w:marTop w:val="0"/>
          <w:marBottom w:val="0"/>
          <w:divBdr>
            <w:top w:val="none" w:sz="0" w:space="0" w:color="auto"/>
            <w:left w:val="none" w:sz="0" w:space="0" w:color="auto"/>
            <w:bottom w:val="none" w:sz="0" w:space="0" w:color="auto"/>
            <w:right w:val="none" w:sz="0" w:space="0" w:color="auto"/>
          </w:divBdr>
        </w:div>
        <w:div w:id="1362441301">
          <w:marLeft w:val="0"/>
          <w:marRight w:val="0"/>
          <w:marTop w:val="0"/>
          <w:marBottom w:val="0"/>
          <w:divBdr>
            <w:top w:val="none" w:sz="0" w:space="0" w:color="auto"/>
            <w:left w:val="none" w:sz="0" w:space="0" w:color="auto"/>
            <w:bottom w:val="none" w:sz="0" w:space="0" w:color="auto"/>
            <w:right w:val="none" w:sz="0" w:space="0" w:color="auto"/>
          </w:divBdr>
        </w:div>
        <w:div w:id="942297636">
          <w:marLeft w:val="0"/>
          <w:marRight w:val="0"/>
          <w:marTop w:val="0"/>
          <w:marBottom w:val="0"/>
          <w:divBdr>
            <w:top w:val="none" w:sz="0" w:space="0" w:color="auto"/>
            <w:left w:val="none" w:sz="0" w:space="0" w:color="auto"/>
            <w:bottom w:val="none" w:sz="0" w:space="0" w:color="auto"/>
            <w:right w:val="none" w:sz="0" w:space="0" w:color="auto"/>
          </w:divBdr>
        </w:div>
        <w:div w:id="1536500377">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635864703">
          <w:marLeft w:val="0"/>
          <w:marRight w:val="0"/>
          <w:marTop w:val="0"/>
          <w:marBottom w:val="0"/>
          <w:divBdr>
            <w:top w:val="none" w:sz="0" w:space="0" w:color="auto"/>
            <w:left w:val="none" w:sz="0" w:space="0" w:color="auto"/>
            <w:bottom w:val="none" w:sz="0" w:space="0" w:color="auto"/>
            <w:right w:val="none" w:sz="0" w:space="0" w:color="auto"/>
          </w:divBdr>
        </w:div>
        <w:div w:id="833880473">
          <w:marLeft w:val="0"/>
          <w:marRight w:val="0"/>
          <w:marTop w:val="0"/>
          <w:marBottom w:val="0"/>
          <w:divBdr>
            <w:top w:val="none" w:sz="0" w:space="0" w:color="auto"/>
            <w:left w:val="none" w:sz="0" w:space="0" w:color="auto"/>
            <w:bottom w:val="none" w:sz="0" w:space="0" w:color="auto"/>
            <w:right w:val="none" w:sz="0" w:space="0" w:color="auto"/>
          </w:divBdr>
        </w:div>
        <w:div w:id="1653174512">
          <w:marLeft w:val="0"/>
          <w:marRight w:val="0"/>
          <w:marTop w:val="0"/>
          <w:marBottom w:val="0"/>
          <w:divBdr>
            <w:top w:val="none" w:sz="0" w:space="0" w:color="auto"/>
            <w:left w:val="none" w:sz="0" w:space="0" w:color="auto"/>
            <w:bottom w:val="none" w:sz="0" w:space="0" w:color="auto"/>
            <w:right w:val="none" w:sz="0" w:space="0" w:color="auto"/>
          </w:divBdr>
        </w:div>
        <w:div w:id="1502117070">
          <w:marLeft w:val="0"/>
          <w:marRight w:val="0"/>
          <w:marTop w:val="0"/>
          <w:marBottom w:val="0"/>
          <w:divBdr>
            <w:top w:val="none" w:sz="0" w:space="0" w:color="auto"/>
            <w:left w:val="none" w:sz="0" w:space="0" w:color="auto"/>
            <w:bottom w:val="none" w:sz="0" w:space="0" w:color="auto"/>
            <w:right w:val="none" w:sz="0" w:space="0" w:color="auto"/>
          </w:divBdr>
        </w:div>
        <w:div w:id="615405968">
          <w:marLeft w:val="0"/>
          <w:marRight w:val="0"/>
          <w:marTop w:val="0"/>
          <w:marBottom w:val="0"/>
          <w:divBdr>
            <w:top w:val="none" w:sz="0" w:space="0" w:color="auto"/>
            <w:left w:val="none" w:sz="0" w:space="0" w:color="auto"/>
            <w:bottom w:val="none" w:sz="0" w:space="0" w:color="auto"/>
            <w:right w:val="none" w:sz="0" w:space="0" w:color="auto"/>
          </w:divBdr>
        </w:div>
        <w:div w:id="20713568">
          <w:marLeft w:val="0"/>
          <w:marRight w:val="0"/>
          <w:marTop w:val="0"/>
          <w:marBottom w:val="0"/>
          <w:divBdr>
            <w:top w:val="none" w:sz="0" w:space="0" w:color="auto"/>
            <w:left w:val="none" w:sz="0" w:space="0" w:color="auto"/>
            <w:bottom w:val="none" w:sz="0" w:space="0" w:color="auto"/>
            <w:right w:val="none" w:sz="0" w:space="0" w:color="auto"/>
          </w:divBdr>
        </w:div>
        <w:div w:id="1350184305">
          <w:marLeft w:val="0"/>
          <w:marRight w:val="0"/>
          <w:marTop w:val="0"/>
          <w:marBottom w:val="0"/>
          <w:divBdr>
            <w:top w:val="none" w:sz="0" w:space="0" w:color="auto"/>
            <w:left w:val="none" w:sz="0" w:space="0" w:color="auto"/>
            <w:bottom w:val="none" w:sz="0" w:space="0" w:color="auto"/>
            <w:right w:val="none" w:sz="0" w:space="0" w:color="auto"/>
          </w:divBdr>
        </w:div>
        <w:div w:id="1562985539">
          <w:marLeft w:val="0"/>
          <w:marRight w:val="0"/>
          <w:marTop w:val="0"/>
          <w:marBottom w:val="0"/>
          <w:divBdr>
            <w:top w:val="none" w:sz="0" w:space="0" w:color="auto"/>
            <w:left w:val="none" w:sz="0" w:space="0" w:color="auto"/>
            <w:bottom w:val="none" w:sz="0" w:space="0" w:color="auto"/>
            <w:right w:val="none" w:sz="0" w:space="0" w:color="auto"/>
          </w:divBdr>
        </w:div>
        <w:div w:id="1697923289">
          <w:marLeft w:val="0"/>
          <w:marRight w:val="0"/>
          <w:marTop w:val="0"/>
          <w:marBottom w:val="0"/>
          <w:divBdr>
            <w:top w:val="none" w:sz="0" w:space="0" w:color="auto"/>
            <w:left w:val="none" w:sz="0" w:space="0" w:color="auto"/>
            <w:bottom w:val="none" w:sz="0" w:space="0" w:color="auto"/>
            <w:right w:val="none" w:sz="0" w:space="0" w:color="auto"/>
          </w:divBdr>
        </w:div>
        <w:div w:id="1732541417">
          <w:marLeft w:val="0"/>
          <w:marRight w:val="0"/>
          <w:marTop w:val="0"/>
          <w:marBottom w:val="0"/>
          <w:divBdr>
            <w:top w:val="none" w:sz="0" w:space="0" w:color="auto"/>
            <w:left w:val="none" w:sz="0" w:space="0" w:color="auto"/>
            <w:bottom w:val="none" w:sz="0" w:space="0" w:color="auto"/>
            <w:right w:val="none" w:sz="0" w:space="0" w:color="auto"/>
          </w:divBdr>
        </w:div>
        <w:div w:id="881022061">
          <w:marLeft w:val="0"/>
          <w:marRight w:val="0"/>
          <w:marTop w:val="0"/>
          <w:marBottom w:val="0"/>
          <w:divBdr>
            <w:top w:val="none" w:sz="0" w:space="0" w:color="auto"/>
            <w:left w:val="none" w:sz="0" w:space="0" w:color="auto"/>
            <w:bottom w:val="none" w:sz="0" w:space="0" w:color="auto"/>
            <w:right w:val="none" w:sz="0" w:space="0" w:color="auto"/>
          </w:divBdr>
        </w:div>
        <w:div w:id="1815290088">
          <w:marLeft w:val="0"/>
          <w:marRight w:val="0"/>
          <w:marTop w:val="0"/>
          <w:marBottom w:val="0"/>
          <w:divBdr>
            <w:top w:val="none" w:sz="0" w:space="0" w:color="auto"/>
            <w:left w:val="none" w:sz="0" w:space="0" w:color="auto"/>
            <w:bottom w:val="none" w:sz="0" w:space="0" w:color="auto"/>
            <w:right w:val="none" w:sz="0" w:space="0" w:color="auto"/>
          </w:divBdr>
        </w:div>
        <w:div w:id="1741323705">
          <w:marLeft w:val="0"/>
          <w:marRight w:val="0"/>
          <w:marTop w:val="0"/>
          <w:marBottom w:val="0"/>
          <w:divBdr>
            <w:top w:val="none" w:sz="0" w:space="0" w:color="auto"/>
            <w:left w:val="none" w:sz="0" w:space="0" w:color="auto"/>
            <w:bottom w:val="none" w:sz="0" w:space="0" w:color="auto"/>
            <w:right w:val="none" w:sz="0" w:space="0" w:color="auto"/>
          </w:divBdr>
        </w:div>
        <w:div w:id="1461460078">
          <w:marLeft w:val="0"/>
          <w:marRight w:val="0"/>
          <w:marTop w:val="0"/>
          <w:marBottom w:val="0"/>
          <w:divBdr>
            <w:top w:val="none" w:sz="0" w:space="0" w:color="auto"/>
            <w:left w:val="none" w:sz="0" w:space="0" w:color="auto"/>
            <w:bottom w:val="none" w:sz="0" w:space="0" w:color="auto"/>
            <w:right w:val="none" w:sz="0" w:space="0" w:color="auto"/>
          </w:divBdr>
        </w:div>
        <w:div w:id="1206143260">
          <w:marLeft w:val="0"/>
          <w:marRight w:val="0"/>
          <w:marTop w:val="0"/>
          <w:marBottom w:val="0"/>
          <w:divBdr>
            <w:top w:val="none" w:sz="0" w:space="0" w:color="auto"/>
            <w:left w:val="none" w:sz="0" w:space="0" w:color="auto"/>
            <w:bottom w:val="none" w:sz="0" w:space="0" w:color="auto"/>
            <w:right w:val="none" w:sz="0" w:space="0" w:color="auto"/>
          </w:divBdr>
        </w:div>
        <w:div w:id="1340767326">
          <w:marLeft w:val="0"/>
          <w:marRight w:val="0"/>
          <w:marTop w:val="0"/>
          <w:marBottom w:val="0"/>
          <w:divBdr>
            <w:top w:val="none" w:sz="0" w:space="0" w:color="auto"/>
            <w:left w:val="none" w:sz="0" w:space="0" w:color="auto"/>
            <w:bottom w:val="none" w:sz="0" w:space="0" w:color="auto"/>
            <w:right w:val="none" w:sz="0" w:space="0" w:color="auto"/>
          </w:divBdr>
        </w:div>
        <w:div w:id="1498105953">
          <w:marLeft w:val="0"/>
          <w:marRight w:val="0"/>
          <w:marTop w:val="0"/>
          <w:marBottom w:val="0"/>
          <w:divBdr>
            <w:top w:val="none" w:sz="0" w:space="0" w:color="auto"/>
            <w:left w:val="none" w:sz="0" w:space="0" w:color="auto"/>
            <w:bottom w:val="none" w:sz="0" w:space="0" w:color="auto"/>
            <w:right w:val="none" w:sz="0" w:space="0" w:color="auto"/>
          </w:divBdr>
        </w:div>
        <w:div w:id="1383941924">
          <w:marLeft w:val="0"/>
          <w:marRight w:val="0"/>
          <w:marTop w:val="0"/>
          <w:marBottom w:val="0"/>
          <w:divBdr>
            <w:top w:val="none" w:sz="0" w:space="0" w:color="auto"/>
            <w:left w:val="none" w:sz="0" w:space="0" w:color="auto"/>
            <w:bottom w:val="none" w:sz="0" w:space="0" w:color="auto"/>
            <w:right w:val="none" w:sz="0" w:space="0" w:color="auto"/>
          </w:divBdr>
        </w:div>
        <w:div w:id="1481189529">
          <w:marLeft w:val="0"/>
          <w:marRight w:val="0"/>
          <w:marTop w:val="0"/>
          <w:marBottom w:val="0"/>
          <w:divBdr>
            <w:top w:val="none" w:sz="0" w:space="0" w:color="auto"/>
            <w:left w:val="none" w:sz="0" w:space="0" w:color="auto"/>
            <w:bottom w:val="none" w:sz="0" w:space="0" w:color="auto"/>
            <w:right w:val="none" w:sz="0" w:space="0" w:color="auto"/>
          </w:divBdr>
        </w:div>
        <w:div w:id="388236730">
          <w:marLeft w:val="0"/>
          <w:marRight w:val="0"/>
          <w:marTop w:val="0"/>
          <w:marBottom w:val="0"/>
          <w:divBdr>
            <w:top w:val="none" w:sz="0" w:space="0" w:color="auto"/>
            <w:left w:val="none" w:sz="0" w:space="0" w:color="auto"/>
            <w:bottom w:val="none" w:sz="0" w:space="0" w:color="auto"/>
            <w:right w:val="none" w:sz="0" w:space="0" w:color="auto"/>
          </w:divBdr>
        </w:div>
        <w:div w:id="826674816">
          <w:marLeft w:val="0"/>
          <w:marRight w:val="0"/>
          <w:marTop w:val="0"/>
          <w:marBottom w:val="0"/>
          <w:divBdr>
            <w:top w:val="none" w:sz="0" w:space="0" w:color="auto"/>
            <w:left w:val="none" w:sz="0" w:space="0" w:color="auto"/>
            <w:bottom w:val="none" w:sz="0" w:space="0" w:color="auto"/>
            <w:right w:val="none" w:sz="0" w:space="0" w:color="auto"/>
          </w:divBdr>
        </w:div>
        <w:div w:id="1268924627">
          <w:marLeft w:val="0"/>
          <w:marRight w:val="0"/>
          <w:marTop w:val="0"/>
          <w:marBottom w:val="0"/>
          <w:divBdr>
            <w:top w:val="none" w:sz="0" w:space="0" w:color="auto"/>
            <w:left w:val="none" w:sz="0" w:space="0" w:color="auto"/>
            <w:bottom w:val="none" w:sz="0" w:space="0" w:color="auto"/>
            <w:right w:val="none" w:sz="0" w:space="0" w:color="auto"/>
          </w:divBdr>
        </w:div>
        <w:div w:id="1817719391">
          <w:marLeft w:val="0"/>
          <w:marRight w:val="0"/>
          <w:marTop w:val="0"/>
          <w:marBottom w:val="0"/>
          <w:divBdr>
            <w:top w:val="none" w:sz="0" w:space="0" w:color="auto"/>
            <w:left w:val="none" w:sz="0" w:space="0" w:color="auto"/>
            <w:bottom w:val="none" w:sz="0" w:space="0" w:color="auto"/>
            <w:right w:val="none" w:sz="0" w:space="0" w:color="auto"/>
          </w:divBdr>
        </w:div>
        <w:div w:id="2135975427">
          <w:marLeft w:val="0"/>
          <w:marRight w:val="0"/>
          <w:marTop w:val="0"/>
          <w:marBottom w:val="0"/>
          <w:divBdr>
            <w:top w:val="none" w:sz="0" w:space="0" w:color="auto"/>
            <w:left w:val="none" w:sz="0" w:space="0" w:color="auto"/>
            <w:bottom w:val="none" w:sz="0" w:space="0" w:color="auto"/>
            <w:right w:val="none" w:sz="0" w:space="0" w:color="auto"/>
          </w:divBdr>
        </w:div>
        <w:div w:id="379520017">
          <w:marLeft w:val="0"/>
          <w:marRight w:val="0"/>
          <w:marTop w:val="0"/>
          <w:marBottom w:val="0"/>
          <w:divBdr>
            <w:top w:val="none" w:sz="0" w:space="0" w:color="auto"/>
            <w:left w:val="none" w:sz="0" w:space="0" w:color="auto"/>
            <w:bottom w:val="none" w:sz="0" w:space="0" w:color="auto"/>
            <w:right w:val="none" w:sz="0" w:space="0" w:color="auto"/>
          </w:divBdr>
        </w:div>
        <w:div w:id="391125996">
          <w:marLeft w:val="0"/>
          <w:marRight w:val="0"/>
          <w:marTop w:val="0"/>
          <w:marBottom w:val="0"/>
          <w:divBdr>
            <w:top w:val="none" w:sz="0" w:space="0" w:color="auto"/>
            <w:left w:val="none" w:sz="0" w:space="0" w:color="auto"/>
            <w:bottom w:val="none" w:sz="0" w:space="0" w:color="auto"/>
            <w:right w:val="none" w:sz="0" w:space="0" w:color="auto"/>
          </w:divBdr>
        </w:div>
        <w:div w:id="865946743">
          <w:marLeft w:val="0"/>
          <w:marRight w:val="0"/>
          <w:marTop w:val="0"/>
          <w:marBottom w:val="0"/>
          <w:divBdr>
            <w:top w:val="none" w:sz="0" w:space="0" w:color="auto"/>
            <w:left w:val="none" w:sz="0" w:space="0" w:color="auto"/>
            <w:bottom w:val="none" w:sz="0" w:space="0" w:color="auto"/>
            <w:right w:val="none" w:sz="0" w:space="0" w:color="auto"/>
          </w:divBdr>
        </w:div>
        <w:div w:id="245267679">
          <w:marLeft w:val="0"/>
          <w:marRight w:val="0"/>
          <w:marTop w:val="0"/>
          <w:marBottom w:val="0"/>
          <w:divBdr>
            <w:top w:val="none" w:sz="0" w:space="0" w:color="auto"/>
            <w:left w:val="none" w:sz="0" w:space="0" w:color="auto"/>
            <w:bottom w:val="none" w:sz="0" w:space="0" w:color="auto"/>
            <w:right w:val="none" w:sz="0" w:space="0" w:color="auto"/>
          </w:divBdr>
        </w:div>
        <w:div w:id="849367361">
          <w:marLeft w:val="0"/>
          <w:marRight w:val="0"/>
          <w:marTop w:val="0"/>
          <w:marBottom w:val="0"/>
          <w:divBdr>
            <w:top w:val="none" w:sz="0" w:space="0" w:color="auto"/>
            <w:left w:val="none" w:sz="0" w:space="0" w:color="auto"/>
            <w:bottom w:val="none" w:sz="0" w:space="0" w:color="auto"/>
            <w:right w:val="none" w:sz="0" w:space="0" w:color="auto"/>
          </w:divBdr>
        </w:div>
        <w:div w:id="1427995490">
          <w:marLeft w:val="0"/>
          <w:marRight w:val="0"/>
          <w:marTop w:val="0"/>
          <w:marBottom w:val="0"/>
          <w:divBdr>
            <w:top w:val="none" w:sz="0" w:space="0" w:color="auto"/>
            <w:left w:val="none" w:sz="0" w:space="0" w:color="auto"/>
            <w:bottom w:val="none" w:sz="0" w:space="0" w:color="auto"/>
            <w:right w:val="none" w:sz="0" w:space="0" w:color="auto"/>
          </w:divBdr>
        </w:div>
        <w:div w:id="9915841">
          <w:marLeft w:val="0"/>
          <w:marRight w:val="0"/>
          <w:marTop w:val="0"/>
          <w:marBottom w:val="0"/>
          <w:divBdr>
            <w:top w:val="none" w:sz="0" w:space="0" w:color="auto"/>
            <w:left w:val="none" w:sz="0" w:space="0" w:color="auto"/>
            <w:bottom w:val="none" w:sz="0" w:space="0" w:color="auto"/>
            <w:right w:val="none" w:sz="0" w:space="0" w:color="auto"/>
          </w:divBdr>
        </w:div>
        <w:div w:id="2032563677">
          <w:marLeft w:val="0"/>
          <w:marRight w:val="0"/>
          <w:marTop w:val="0"/>
          <w:marBottom w:val="0"/>
          <w:divBdr>
            <w:top w:val="none" w:sz="0" w:space="0" w:color="auto"/>
            <w:left w:val="none" w:sz="0" w:space="0" w:color="auto"/>
            <w:bottom w:val="none" w:sz="0" w:space="0" w:color="auto"/>
            <w:right w:val="none" w:sz="0" w:space="0" w:color="auto"/>
          </w:divBdr>
        </w:div>
        <w:div w:id="1191263490">
          <w:marLeft w:val="0"/>
          <w:marRight w:val="0"/>
          <w:marTop w:val="0"/>
          <w:marBottom w:val="0"/>
          <w:divBdr>
            <w:top w:val="none" w:sz="0" w:space="0" w:color="auto"/>
            <w:left w:val="none" w:sz="0" w:space="0" w:color="auto"/>
            <w:bottom w:val="none" w:sz="0" w:space="0" w:color="auto"/>
            <w:right w:val="none" w:sz="0" w:space="0" w:color="auto"/>
          </w:divBdr>
        </w:div>
        <w:div w:id="296957320">
          <w:marLeft w:val="0"/>
          <w:marRight w:val="0"/>
          <w:marTop w:val="0"/>
          <w:marBottom w:val="0"/>
          <w:divBdr>
            <w:top w:val="none" w:sz="0" w:space="0" w:color="auto"/>
            <w:left w:val="none" w:sz="0" w:space="0" w:color="auto"/>
            <w:bottom w:val="none" w:sz="0" w:space="0" w:color="auto"/>
            <w:right w:val="none" w:sz="0" w:space="0" w:color="auto"/>
          </w:divBdr>
        </w:div>
        <w:div w:id="1167983088">
          <w:marLeft w:val="0"/>
          <w:marRight w:val="0"/>
          <w:marTop w:val="0"/>
          <w:marBottom w:val="0"/>
          <w:divBdr>
            <w:top w:val="none" w:sz="0" w:space="0" w:color="auto"/>
            <w:left w:val="none" w:sz="0" w:space="0" w:color="auto"/>
            <w:bottom w:val="none" w:sz="0" w:space="0" w:color="auto"/>
            <w:right w:val="none" w:sz="0" w:space="0" w:color="auto"/>
          </w:divBdr>
        </w:div>
        <w:div w:id="1262645124">
          <w:marLeft w:val="0"/>
          <w:marRight w:val="0"/>
          <w:marTop w:val="0"/>
          <w:marBottom w:val="0"/>
          <w:divBdr>
            <w:top w:val="none" w:sz="0" w:space="0" w:color="auto"/>
            <w:left w:val="none" w:sz="0" w:space="0" w:color="auto"/>
            <w:bottom w:val="none" w:sz="0" w:space="0" w:color="auto"/>
            <w:right w:val="none" w:sz="0" w:space="0" w:color="auto"/>
          </w:divBdr>
        </w:div>
        <w:div w:id="1005278872">
          <w:marLeft w:val="0"/>
          <w:marRight w:val="0"/>
          <w:marTop w:val="0"/>
          <w:marBottom w:val="0"/>
          <w:divBdr>
            <w:top w:val="none" w:sz="0" w:space="0" w:color="auto"/>
            <w:left w:val="none" w:sz="0" w:space="0" w:color="auto"/>
            <w:bottom w:val="none" w:sz="0" w:space="0" w:color="auto"/>
            <w:right w:val="none" w:sz="0" w:space="0" w:color="auto"/>
          </w:divBdr>
        </w:div>
      </w:divsChild>
    </w:div>
    <w:div w:id="873343960">
      <w:bodyDiv w:val="1"/>
      <w:marLeft w:val="0"/>
      <w:marRight w:val="0"/>
      <w:marTop w:val="0"/>
      <w:marBottom w:val="0"/>
      <w:divBdr>
        <w:top w:val="none" w:sz="0" w:space="0" w:color="auto"/>
        <w:left w:val="none" w:sz="0" w:space="0" w:color="auto"/>
        <w:bottom w:val="none" w:sz="0" w:space="0" w:color="auto"/>
        <w:right w:val="none" w:sz="0" w:space="0" w:color="auto"/>
      </w:divBdr>
      <w:divsChild>
        <w:div w:id="1082143957">
          <w:marLeft w:val="0"/>
          <w:marRight w:val="0"/>
          <w:marTop w:val="0"/>
          <w:marBottom w:val="0"/>
          <w:divBdr>
            <w:top w:val="none" w:sz="0" w:space="0" w:color="auto"/>
            <w:left w:val="none" w:sz="0" w:space="0" w:color="auto"/>
            <w:bottom w:val="none" w:sz="0" w:space="0" w:color="auto"/>
            <w:right w:val="none" w:sz="0" w:space="0" w:color="auto"/>
          </w:divBdr>
        </w:div>
        <w:div w:id="1832404679">
          <w:marLeft w:val="0"/>
          <w:marRight w:val="0"/>
          <w:marTop w:val="0"/>
          <w:marBottom w:val="0"/>
          <w:divBdr>
            <w:top w:val="none" w:sz="0" w:space="0" w:color="auto"/>
            <w:left w:val="none" w:sz="0" w:space="0" w:color="auto"/>
            <w:bottom w:val="none" w:sz="0" w:space="0" w:color="auto"/>
            <w:right w:val="none" w:sz="0" w:space="0" w:color="auto"/>
          </w:divBdr>
        </w:div>
        <w:div w:id="1880168682">
          <w:marLeft w:val="0"/>
          <w:marRight w:val="0"/>
          <w:marTop w:val="0"/>
          <w:marBottom w:val="0"/>
          <w:divBdr>
            <w:top w:val="none" w:sz="0" w:space="0" w:color="auto"/>
            <w:left w:val="none" w:sz="0" w:space="0" w:color="auto"/>
            <w:bottom w:val="none" w:sz="0" w:space="0" w:color="auto"/>
            <w:right w:val="none" w:sz="0" w:space="0" w:color="auto"/>
          </w:divBdr>
        </w:div>
        <w:div w:id="1197546751">
          <w:marLeft w:val="0"/>
          <w:marRight w:val="0"/>
          <w:marTop w:val="0"/>
          <w:marBottom w:val="0"/>
          <w:divBdr>
            <w:top w:val="none" w:sz="0" w:space="0" w:color="auto"/>
            <w:left w:val="none" w:sz="0" w:space="0" w:color="auto"/>
            <w:bottom w:val="none" w:sz="0" w:space="0" w:color="auto"/>
            <w:right w:val="none" w:sz="0" w:space="0" w:color="auto"/>
          </w:divBdr>
        </w:div>
        <w:div w:id="1667243321">
          <w:marLeft w:val="0"/>
          <w:marRight w:val="0"/>
          <w:marTop w:val="0"/>
          <w:marBottom w:val="0"/>
          <w:divBdr>
            <w:top w:val="none" w:sz="0" w:space="0" w:color="auto"/>
            <w:left w:val="none" w:sz="0" w:space="0" w:color="auto"/>
            <w:bottom w:val="none" w:sz="0" w:space="0" w:color="auto"/>
            <w:right w:val="none" w:sz="0" w:space="0" w:color="auto"/>
          </w:divBdr>
        </w:div>
        <w:div w:id="368989521">
          <w:marLeft w:val="0"/>
          <w:marRight w:val="0"/>
          <w:marTop w:val="0"/>
          <w:marBottom w:val="0"/>
          <w:divBdr>
            <w:top w:val="none" w:sz="0" w:space="0" w:color="auto"/>
            <w:left w:val="none" w:sz="0" w:space="0" w:color="auto"/>
            <w:bottom w:val="none" w:sz="0" w:space="0" w:color="auto"/>
            <w:right w:val="none" w:sz="0" w:space="0" w:color="auto"/>
          </w:divBdr>
        </w:div>
        <w:div w:id="540021118">
          <w:marLeft w:val="0"/>
          <w:marRight w:val="0"/>
          <w:marTop w:val="0"/>
          <w:marBottom w:val="0"/>
          <w:divBdr>
            <w:top w:val="none" w:sz="0" w:space="0" w:color="auto"/>
            <w:left w:val="none" w:sz="0" w:space="0" w:color="auto"/>
            <w:bottom w:val="none" w:sz="0" w:space="0" w:color="auto"/>
            <w:right w:val="none" w:sz="0" w:space="0" w:color="auto"/>
          </w:divBdr>
        </w:div>
        <w:div w:id="422991439">
          <w:marLeft w:val="0"/>
          <w:marRight w:val="0"/>
          <w:marTop w:val="0"/>
          <w:marBottom w:val="0"/>
          <w:divBdr>
            <w:top w:val="none" w:sz="0" w:space="0" w:color="auto"/>
            <w:left w:val="none" w:sz="0" w:space="0" w:color="auto"/>
            <w:bottom w:val="none" w:sz="0" w:space="0" w:color="auto"/>
            <w:right w:val="none" w:sz="0" w:space="0" w:color="auto"/>
          </w:divBdr>
        </w:div>
      </w:divsChild>
    </w:div>
    <w:div w:id="886139192">
      <w:bodyDiv w:val="1"/>
      <w:marLeft w:val="0"/>
      <w:marRight w:val="0"/>
      <w:marTop w:val="0"/>
      <w:marBottom w:val="0"/>
      <w:divBdr>
        <w:top w:val="none" w:sz="0" w:space="0" w:color="auto"/>
        <w:left w:val="none" w:sz="0" w:space="0" w:color="auto"/>
        <w:bottom w:val="none" w:sz="0" w:space="0" w:color="auto"/>
        <w:right w:val="none" w:sz="0" w:space="0" w:color="auto"/>
      </w:divBdr>
      <w:divsChild>
        <w:div w:id="1280994896">
          <w:marLeft w:val="0"/>
          <w:marRight w:val="0"/>
          <w:marTop w:val="0"/>
          <w:marBottom w:val="0"/>
          <w:divBdr>
            <w:top w:val="none" w:sz="0" w:space="0" w:color="auto"/>
            <w:left w:val="none" w:sz="0" w:space="0" w:color="auto"/>
            <w:bottom w:val="none" w:sz="0" w:space="0" w:color="auto"/>
            <w:right w:val="none" w:sz="0" w:space="0" w:color="auto"/>
          </w:divBdr>
        </w:div>
        <w:div w:id="608899921">
          <w:marLeft w:val="0"/>
          <w:marRight w:val="0"/>
          <w:marTop w:val="0"/>
          <w:marBottom w:val="0"/>
          <w:divBdr>
            <w:top w:val="none" w:sz="0" w:space="0" w:color="auto"/>
            <w:left w:val="none" w:sz="0" w:space="0" w:color="auto"/>
            <w:bottom w:val="none" w:sz="0" w:space="0" w:color="auto"/>
            <w:right w:val="none" w:sz="0" w:space="0" w:color="auto"/>
          </w:divBdr>
        </w:div>
        <w:div w:id="326903951">
          <w:marLeft w:val="0"/>
          <w:marRight w:val="0"/>
          <w:marTop w:val="0"/>
          <w:marBottom w:val="0"/>
          <w:divBdr>
            <w:top w:val="none" w:sz="0" w:space="0" w:color="auto"/>
            <w:left w:val="none" w:sz="0" w:space="0" w:color="auto"/>
            <w:bottom w:val="none" w:sz="0" w:space="0" w:color="auto"/>
            <w:right w:val="none" w:sz="0" w:space="0" w:color="auto"/>
          </w:divBdr>
        </w:div>
        <w:div w:id="2037997796">
          <w:marLeft w:val="0"/>
          <w:marRight w:val="0"/>
          <w:marTop w:val="0"/>
          <w:marBottom w:val="0"/>
          <w:divBdr>
            <w:top w:val="none" w:sz="0" w:space="0" w:color="auto"/>
            <w:left w:val="none" w:sz="0" w:space="0" w:color="auto"/>
            <w:bottom w:val="none" w:sz="0" w:space="0" w:color="auto"/>
            <w:right w:val="none" w:sz="0" w:space="0" w:color="auto"/>
          </w:divBdr>
        </w:div>
        <w:div w:id="988362055">
          <w:marLeft w:val="0"/>
          <w:marRight w:val="0"/>
          <w:marTop w:val="0"/>
          <w:marBottom w:val="0"/>
          <w:divBdr>
            <w:top w:val="none" w:sz="0" w:space="0" w:color="auto"/>
            <w:left w:val="none" w:sz="0" w:space="0" w:color="auto"/>
            <w:bottom w:val="none" w:sz="0" w:space="0" w:color="auto"/>
            <w:right w:val="none" w:sz="0" w:space="0" w:color="auto"/>
          </w:divBdr>
        </w:div>
        <w:div w:id="1837989735">
          <w:marLeft w:val="0"/>
          <w:marRight w:val="0"/>
          <w:marTop w:val="0"/>
          <w:marBottom w:val="0"/>
          <w:divBdr>
            <w:top w:val="none" w:sz="0" w:space="0" w:color="auto"/>
            <w:left w:val="none" w:sz="0" w:space="0" w:color="auto"/>
            <w:bottom w:val="none" w:sz="0" w:space="0" w:color="auto"/>
            <w:right w:val="none" w:sz="0" w:space="0" w:color="auto"/>
          </w:divBdr>
        </w:div>
        <w:div w:id="958142827">
          <w:marLeft w:val="0"/>
          <w:marRight w:val="0"/>
          <w:marTop w:val="0"/>
          <w:marBottom w:val="0"/>
          <w:divBdr>
            <w:top w:val="none" w:sz="0" w:space="0" w:color="auto"/>
            <w:left w:val="none" w:sz="0" w:space="0" w:color="auto"/>
            <w:bottom w:val="none" w:sz="0" w:space="0" w:color="auto"/>
            <w:right w:val="none" w:sz="0" w:space="0" w:color="auto"/>
          </w:divBdr>
        </w:div>
        <w:div w:id="699890036">
          <w:marLeft w:val="0"/>
          <w:marRight w:val="0"/>
          <w:marTop w:val="0"/>
          <w:marBottom w:val="0"/>
          <w:divBdr>
            <w:top w:val="none" w:sz="0" w:space="0" w:color="auto"/>
            <w:left w:val="none" w:sz="0" w:space="0" w:color="auto"/>
            <w:bottom w:val="none" w:sz="0" w:space="0" w:color="auto"/>
            <w:right w:val="none" w:sz="0" w:space="0" w:color="auto"/>
          </w:divBdr>
        </w:div>
        <w:div w:id="1887571223">
          <w:marLeft w:val="0"/>
          <w:marRight w:val="0"/>
          <w:marTop w:val="0"/>
          <w:marBottom w:val="0"/>
          <w:divBdr>
            <w:top w:val="none" w:sz="0" w:space="0" w:color="auto"/>
            <w:left w:val="none" w:sz="0" w:space="0" w:color="auto"/>
            <w:bottom w:val="none" w:sz="0" w:space="0" w:color="auto"/>
            <w:right w:val="none" w:sz="0" w:space="0" w:color="auto"/>
          </w:divBdr>
        </w:div>
        <w:div w:id="991982465">
          <w:marLeft w:val="0"/>
          <w:marRight w:val="0"/>
          <w:marTop w:val="0"/>
          <w:marBottom w:val="0"/>
          <w:divBdr>
            <w:top w:val="none" w:sz="0" w:space="0" w:color="auto"/>
            <w:left w:val="none" w:sz="0" w:space="0" w:color="auto"/>
            <w:bottom w:val="none" w:sz="0" w:space="0" w:color="auto"/>
            <w:right w:val="none" w:sz="0" w:space="0" w:color="auto"/>
          </w:divBdr>
        </w:div>
      </w:divsChild>
    </w:div>
    <w:div w:id="909274358">
      <w:bodyDiv w:val="1"/>
      <w:marLeft w:val="0"/>
      <w:marRight w:val="0"/>
      <w:marTop w:val="0"/>
      <w:marBottom w:val="0"/>
      <w:divBdr>
        <w:top w:val="none" w:sz="0" w:space="0" w:color="auto"/>
        <w:left w:val="none" w:sz="0" w:space="0" w:color="auto"/>
        <w:bottom w:val="none" w:sz="0" w:space="0" w:color="auto"/>
        <w:right w:val="none" w:sz="0" w:space="0" w:color="auto"/>
      </w:divBdr>
      <w:divsChild>
        <w:div w:id="948391931">
          <w:marLeft w:val="0"/>
          <w:marRight w:val="0"/>
          <w:marTop w:val="0"/>
          <w:marBottom w:val="0"/>
          <w:divBdr>
            <w:top w:val="none" w:sz="0" w:space="0" w:color="auto"/>
            <w:left w:val="none" w:sz="0" w:space="0" w:color="auto"/>
            <w:bottom w:val="none" w:sz="0" w:space="0" w:color="auto"/>
            <w:right w:val="none" w:sz="0" w:space="0" w:color="auto"/>
          </w:divBdr>
        </w:div>
        <w:div w:id="1867938134">
          <w:marLeft w:val="0"/>
          <w:marRight w:val="0"/>
          <w:marTop w:val="0"/>
          <w:marBottom w:val="0"/>
          <w:divBdr>
            <w:top w:val="none" w:sz="0" w:space="0" w:color="auto"/>
            <w:left w:val="none" w:sz="0" w:space="0" w:color="auto"/>
            <w:bottom w:val="none" w:sz="0" w:space="0" w:color="auto"/>
            <w:right w:val="none" w:sz="0" w:space="0" w:color="auto"/>
          </w:divBdr>
        </w:div>
        <w:div w:id="2105566811">
          <w:marLeft w:val="0"/>
          <w:marRight w:val="0"/>
          <w:marTop w:val="0"/>
          <w:marBottom w:val="0"/>
          <w:divBdr>
            <w:top w:val="none" w:sz="0" w:space="0" w:color="auto"/>
            <w:left w:val="none" w:sz="0" w:space="0" w:color="auto"/>
            <w:bottom w:val="none" w:sz="0" w:space="0" w:color="auto"/>
            <w:right w:val="none" w:sz="0" w:space="0" w:color="auto"/>
          </w:divBdr>
        </w:div>
        <w:div w:id="1763794545">
          <w:marLeft w:val="0"/>
          <w:marRight w:val="0"/>
          <w:marTop w:val="0"/>
          <w:marBottom w:val="0"/>
          <w:divBdr>
            <w:top w:val="none" w:sz="0" w:space="0" w:color="auto"/>
            <w:left w:val="none" w:sz="0" w:space="0" w:color="auto"/>
            <w:bottom w:val="none" w:sz="0" w:space="0" w:color="auto"/>
            <w:right w:val="none" w:sz="0" w:space="0" w:color="auto"/>
          </w:divBdr>
        </w:div>
        <w:div w:id="1254823127">
          <w:marLeft w:val="0"/>
          <w:marRight w:val="0"/>
          <w:marTop w:val="0"/>
          <w:marBottom w:val="0"/>
          <w:divBdr>
            <w:top w:val="none" w:sz="0" w:space="0" w:color="auto"/>
            <w:left w:val="none" w:sz="0" w:space="0" w:color="auto"/>
            <w:bottom w:val="none" w:sz="0" w:space="0" w:color="auto"/>
            <w:right w:val="none" w:sz="0" w:space="0" w:color="auto"/>
          </w:divBdr>
        </w:div>
        <w:div w:id="488445049">
          <w:marLeft w:val="0"/>
          <w:marRight w:val="0"/>
          <w:marTop w:val="0"/>
          <w:marBottom w:val="0"/>
          <w:divBdr>
            <w:top w:val="none" w:sz="0" w:space="0" w:color="auto"/>
            <w:left w:val="none" w:sz="0" w:space="0" w:color="auto"/>
            <w:bottom w:val="none" w:sz="0" w:space="0" w:color="auto"/>
            <w:right w:val="none" w:sz="0" w:space="0" w:color="auto"/>
          </w:divBdr>
        </w:div>
        <w:div w:id="1775176466">
          <w:marLeft w:val="0"/>
          <w:marRight w:val="0"/>
          <w:marTop w:val="0"/>
          <w:marBottom w:val="0"/>
          <w:divBdr>
            <w:top w:val="none" w:sz="0" w:space="0" w:color="auto"/>
            <w:left w:val="none" w:sz="0" w:space="0" w:color="auto"/>
            <w:bottom w:val="none" w:sz="0" w:space="0" w:color="auto"/>
            <w:right w:val="none" w:sz="0" w:space="0" w:color="auto"/>
          </w:divBdr>
        </w:div>
        <w:div w:id="1225600483">
          <w:marLeft w:val="0"/>
          <w:marRight w:val="0"/>
          <w:marTop w:val="0"/>
          <w:marBottom w:val="0"/>
          <w:divBdr>
            <w:top w:val="none" w:sz="0" w:space="0" w:color="auto"/>
            <w:left w:val="none" w:sz="0" w:space="0" w:color="auto"/>
            <w:bottom w:val="none" w:sz="0" w:space="0" w:color="auto"/>
            <w:right w:val="none" w:sz="0" w:space="0" w:color="auto"/>
          </w:divBdr>
        </w:div>
        <w:div w:id="1793282104">
          <w:marLeft w:val="0"/>
          <w:marRight w:val="0"/>
          <w:marTop w:val="0"/>
          <w:marBottom w:val="0"/>
          <w:divBdr>
            <w:top w:val="none" w:sz="0" w:space="0" w:color="auto"/>
            <w:left w:val="none" w:sz="0" w:space="0" w:color="auto"/>
            <w:bottom w:val="none" w:sz="0" w:space="0" w:color="auto"/>
            <w:right w:val="none" w:sz="0" w:space="0" w:color="auto"/>
          </w:divBdr>
        </w:div>
        <w:div w:id="103354521">
          <w:marLeft w:val="0"/>
          <w:marRight w:val="0"/>
          <w:marTop w:val="0"/>
          <w:marBottom w:val="0"/>
          <w:divBdr>
            <w:top w:val="none" w:sz="0" w:space="0" w:color="auto"/>
            <w:left w:val="none" w:sz="0" w:space="0" w:color="auto"/>
            <w:bottom w:val="none" w:sz="0" w:space="0" w:color="auto"/>
            <w:right w:val="none" w:sz="0" w:space="0" w:color="auto"/>
          </w:divBdr>
        </w:div>
        <w:div w:id="1040862214">
          <w:marLeft w:val="0"/>
          <w:marRight w:val="0"/>
          <w:marTop w:val="0"/>
          <w:marBottom w:val="0"/>
          <w:divBdr>
            <w:top w:val="none" w:sz="0" w:space="0" w:color="auto"/>
            <w:left w:val="none" w:sz="0" w:space="0" w:color="auto"/>
            <w:bottom w:val="none" w:sz="0" w:space="0" w:color="auto"/>
            <w:right w:val="none" w:sz="0" w:space="0" w:color="auto"/>
          </w:divBdr>
        </w:div>
        <w:div w:id="483358211">
          <w:marLeft w:val="0"/>
          <w:marRight w:val="0"/>
          <w:marTop w:val="0"/>
          <w:marBottom w:val="0"/>
          <w:divBdr>
            <w:top w:val="none" w:sz="0" w:space="0" w:color="auto"/>
            <w:left w:val="none" w:sz="0" w:space="0" w:color="auto"/>
            <w:bottom w:val="none" w:sz="0" w:space="0" w:color="auto"/>
            <w:right w:val="none" w:sz="0" w:space="0" w:color="auto"/>
          </w:divBdr>
        </w:div>
        <w:div w:id="79572739">
          <w:marLeft w:val="0"/>
          <w:marRight w:val="0"/>
          <w:marTop w:val="0"/>
          <w:marBottom w:val="0"/>
          <w:divBdr>
            <w:top w:val="none" w:sz="0" w:space="0" w:color="auto"/>
            <w:left w:val="none" w:sz="0" w:space="0" w:color="auto"/>
            <w:bottom w:val="none" w:sz="0" w:space="0" w:color="auto"/>
            <w:right w:val="none" w:sz="0" w:space="0" w:color="auto"/>
          </w:divBdr>
        </w:div>
        <w:div w:id="422653486">
          <w:marLeft w:val="0"/>
          <w:marRight w:val="0"/>
          <w:marTop w:val="0"/>
          <w:marBottom w:val="0"/>
          <w:divBdr>
            <w:top w:val="none" w:sz="0" w:space="0" w:color="auto"/>
            <w:left w:val="none" w:sz="0" w:space="0" w:color="auto"/>
            <w:bottom w:val="none" w:sz="0" w:space="0" w:color="auto"/>
            <w:right w:val="none" w:sz="0" w:space="0" w:color="auto"/>
          </w:divBdr>
        </w:div>
        <w:div w:id="685643459">
          <w:marLeft w:val="0"/>
          <w:marRight w:val="0"/>
          <w:marTop w:val="0"/>
          <w:marBottom w:val="0"/>
          <w:divBdr>
            <w:top w:val="none" w:sz="0" w:space="0" w:color="auto"/>
            <w:left w:val="none" w:sz="0" w:space="0" w:color="auto"/>
            <w:bottom w:val="none" w:sz="0" w:space="0" w:color="auto"/>
            <w:right w:val="none" w:sz="0" w:space="0" w:color="auto"/>
          </w:divBdr>
        </w:div>
        <w:div w:id="1458178684">
          <w:marLeft w:val="0"/>
          <w:marRight w:val="0"/>
          <w:marTop w:val="0"/>
          <w:marBottom w:val="0"/>
          <w:divBdr>
            <w:top w:val="none" w:sz="0" w:space="0" w:color="auto"/>
            <w:left w:val="none" w:sz="0" w:space="0" w:color="auto"/>
            <w:bottom w:val="none" w:sz="0" w:space="0" w:color="auto"/>
            <w:right w:val="none" w:sz="0" w:space="0" w:color="auto"/>
          </w:divBdr>
        </w:div>
        <w:div w:id="990600360">
          <w:marLeft w:val="0"/>
          <w:marRight w:val="0"/>
          <w:marTop w:val="0"/>
          <w:marBottom w:val="0"/>
          <w:divBdr>
            <w:top w:val="none" w:sz="0" w:space="0" w:color="auto"/>
            <w:left w:val="none" w:sz="0" w:space="0" w:color="auto"/>
            <w:bottom w:val="none" w:sz="0" w:space="0" w:color="auto"/>
            <w:right w:val="none" w:sz="0" w:space="0" w:color="auto"/>
          </w:divBdr>
        </w:div>
      </w:divsChild>
    </w:div>
    <w:div w:id="923487789">
      <w:bodyDiv w:val="1"/>
      <w:marLeft w:val="0"/>
      <w:marRight w:val="0"/>
      <w:marTop w:val="0"/>
      <w:marBottom w:val="0"/>
      <w:divBdr>
        <w:top w:val="none" w:sz="0" w:space="0" w:color="auto"/>
        <w:left w:val="none" w:sz="0" w:space="0" w:color="auto"/>
        <w:bottom w:val="none" w:sz="0" w:space="0" w:color="auto"/>
        <w:right w:val="none" w:sz="0" w:space="0" w:color="auto"/>
      </w:divBdr>
      <w:divsChild>
        <w:div w:id="65614087">
          <w:marLeft w:val="0"/>
          <w:marRight w:val="0"/>
          <w:marTop w:val="0"/>
          <w:marBottom w:val="0"/>
          <w:divBdr>
            <w:top w:val="none" w:sz="0" w:space="0" w:color="auto"/>
            <w:left w:val="none" w:sz="0" w:space="0" w:color="auto"/>
            <w:bottom w:val="none" w:sz="0" w:space="0" w:color="auto"/>
            <w:right w:val="none" w:sz="0" w:space="0" w:color="auto"/>
          </w:divBdr>
        </w:div>
        <w:div w:id="1576626004">
          <w:marLeft w:val="0"/>
          <w:marRight w:val="0"/>
          <w:marTop w:val="0"/>
          <w:marBottom w:val="0"/>
          <w:divBdr>
            <w:top w:val="none" w:sz="0" w:space="0" w:color="auto"/>
            <w:left w:val="none" w:sz="0" w:space="0" w:color="auto"/>
            <w:bottom w:val="none" w:sz="0" w:space="0" w:color="auto"/>
            <w:right w:val="none" w:sz="0" w:space="0" w:color="auto"/>
          </w:divBdr>
        </w:div>
      </w:divsChild>
    </w:div>
    <w:div w:id="975642957">
      <w:bodyDiv w:val="1"/>
      <w:marLeft w:val="0"/>
      <w:marRight w:val="0"/>
      <w:marTop w:val="0"/>
      <w:marBottom w:val="0"/>
      <w:divBdr>
        <w:top w:val="none" w:sz="0" w:space="0" w:color="auto"/>
        <w:left w:val="none" w:sz="0" w:space="0" w:color="auto"/>
        <w:bottom w:val="none" w:sz="0" w:space="0" w:color="auto"/>
        <w:right w:val="none" w:sz="0" w:space="0" w:color="auto"/>
      </w:divBdr>
      <w:divsChild>
        <w:div w:id="1945723795">
          <w:marLeft w:val="0"/>
          <w:marRight w:val="0"/>
          <w:marTop w:val="0"/>
          <w:marBottom w:val="0"/>
          <w:divBdr>
            <w:top w:val="none" w:sz="0" w:space="0" w:color="auto"/>
            <w:left w:val="none" w:sz="0" w:space="0" w:color="auto"/>
            <w:bottom w:val="none" w:sz="0" w:space="0" w:color="auto"/>
            <w:right w:val="none" w:sz="0" w:space="0" w:color="auto"/>
          </w:divBdr>
        </w:div>
        <w:div w:id="888491759">
          <w:marLeft w:val="0"/>
          <w:marRight w:val="0"/>
          <w:marTop w:val="0"/>
          <w:marBottom w:val="0"/>
          <w:divBdr>
            <w:top w:val="none" w:sz="0" w:space="0" w:color="auto"/>
            <w:left w:val="none" w:sz="0" w:space="0" w:color="auto"/>
            <w:bottom w:val="none" w:sz="0" w:space="0" w:color="auto"/>
            <w:right w:val="none" w:sz="0" w:space="0" w:color="auto"/>
          </w:divBdr>
        </w:div>
        <w:div w:id="951087405">
          <w:marLeft w:val="0"/>
          <w:marRight w:val="0"/>
          <w:marTop w:val="0"/>
          <w:marBottom w:val="0"/>
          <w:divBdr>
            <w:top w:val="none" w:sz="0" w:space="0" w:color="auto"/>
            <w:left w:val="none" w:sz="0" w:space="0" w:color="auto"/>
            <w:bottom w:val="none" w:sz="0" w:space="0" w:color="auto"/>
            <w:right w:val="none" w:sz="0" w:space="0" w:color="auto"/>
          </w:divBdr>
        </w:div>
        <w:div w:id="2069067221">
          <w:marLeft w:val="0"/>
          <w:marRight w:val="0"/>
          <w:marTop w:val="0"/>
          <w:marBottom w:val="0"/>
          <w:divBdr>
            <w:top w:val="none" w:sz="0" w:space="0" w:color="auto"/>
            <w:left w:val="none" w:sz="0" w:space="0" w:color="auto"/>
            <w:bottom w:val="none" w:sz="0" w:space="0" w:color="auto"/>
            <w:right w:val="none" w:sz="0" w:space="0" w:color="auto"/>
          </w:divBdr>
        </w:div>
        <w:div w:id="300621564">
          <w:marLeft w:val="0"/>
          <w:marRight w:val="0"/>
          <w:marTop w:val="0"/>
          <w:marBottom w:val="0"/>
          <w:divBdr>
            <w:top w:val="none" w:sz="0" w:space="0" w:color="auto"/>
            <w:left w:val="none" w:sz="0" w:space="0" w:color="auto"/>
            <w:bottom w:val="none" w:sz="0" w:space="0" w:color="auto"/>
            <w:right w:val="none" w:sz="0" w:space="0" w:color="auto"/>
          </w:divBdr>
        </w:div>
        <w:div w:id="761992310">
          <w:marLeft w:val="0"/>
          <w:marRight w:val="0"/>
          <w:marTop w:val="0"/>
          <w:marBottom w:val="0"/>
          <w:divBdr>
            <w:top w:val="none" w:sz="0" w:space="0" w:color="auto"/>
            <w:left w:val="none" w:sz="0" w:space="0" w:color="auto"/>
            <w:bottom w:val="none" w:sz="0" w:space="0" w:color="auto"/>
            <w:right w:val="none" w:sz="0" w:space="0" w:color="auto"/>
          </w:divBdr>
        </w:div>
        <w:div w:id="1888645758">
          <w:marLeft w:val="0"/>
          <w:marRight w:val="0"/>
          <w:marTop w:val="0"/>
          <w:marBottom w:val="0"/>
          <w:divBdr>
            <w:top w:val="none" w:sz="0" w:space="0" w:color="auto"/>
            <w:left w:val="none" w:sz="0" w:space="0" w:color="auto"/>
            <w:bottom w:val="none" w:sz="0" w:space="0" w:color="auto"/>
            <w:right w:val="none" w:sz="0" w:space="0" w:color="auto"/>
          </w:divBdr>
        </w:div>
        <w:div w:id="1868712039">
          <w:marLeft w:val="0"/>
          <w:marRight w:val="0"/>
          <w:marTop w:val="0"/>
          <w:marBottom w:val="0"/>
          <w:divBdr>
            <w:top w:val="none" w:sz="0" w:space="0" w:color="auto"/>
            <w:left w:val="none" w:sz="0" w:space="0" w:color="auto"/>
            <w:bottom w:val="none" w:sz="0" w:space="0" w:color="auto"/>
            <w:right w:val="none" w:sz="0" w:space="0" w:color="auto"/>
          </w:divBdr>
        </w:div>
        <w:div w:id="868641586">
          <w:marLeft w:val="0"/>
          <w:marRight w:val="0"/>
          <w:marTop w:val="0"/>
          <w:marBottom w:val="0"/>
          <w:divBdr>
            <w:top w:val="none" w:sz="0" w:space="0" w:color="auto"/>
            <w:left w:val="none" w:sz="0" w:space="0" w:color="auto"/>
            <w:bottom w:val="none" w:sz="0" w:space="0" w:color="auto"/>
            <w:right w:val="none" w:sz="0" w:space="0" w:color="auto"/>
          </w:divBdr>
        </w:div>
        <w:div w:id="394478144">
          <w:marLeft w:val="0"/>
          <w:marRight w:val="0"/>
          <w:marTop w:val="0"/>
          <w:marBottom w:val="0"/>
          <w:divBdr>
            <w:top w:val="none" w:sz="0" w:space="0" w:color="auto"/>
            <w:left w:val="none" w:sz="0" w:space="0" w:color="auto"/>
            <w:bottom w:val="none" w:sz="0" w:space="0" w:color="auto"/>
            <w:right w:val="none" w:sz="0" w:space="0" w:color="auto"/>
          </w:divBdr>
        </w:div>
        <w:div w:id="596257378">
          <w:marLeft w:val="0"/>
          <w:marRight w:val="0"/>
          <w:marTop w:val="0"/>
          <w:marBottom w:val="0"/>
          <w:divBdr>
            <w:top w:val="none" w:sz="0" w:space="0" w:color="auto"/>
            <w:left w:val="none" w:sz="0" w:space="0" w:color="auto"/>
            <w:bottom w:val="none" w:sz="0" w:space="0" w:color="auto"/>
            <w:right w:val="none" w:sz="0" w:space="0" w:color="auto"/>
          </w:divBdr>
        </w:div>
        <w:div w:id="210193562">
          <w:marLeft w:val="0"/>
          <w:marRight w:val="0"/>
          <w:marTop w:val="0"/>
          <w:marBottom w:val="0"/>
          <w:divBdr>
            <w:top w:val="none" w:sz="0" w:space="0" w:color="auto"/>
            <w:left w:val="none" w:sz="0" w:space="0" w:color="auto"/>
            <w:bottom w:val="none" w:sz="0" w:space="0" w:color="auto"/>
            <w:right w:val="none" w:sz="0" w:space="0" w:color="auto"/>
          </w:divBdr>
        </w:div>
        <w:div w:id="1436483824">
          <w:marLeft w:val="0"/>
          <w:marRight w:val="0"/>
          <w:marTop w:val="0"/>
          <w:marBottom w:val="0"/>
          <w:divBdr>
            <w:top w:val="none" w:sz="0" w:space="0" w:color="auto"/>
            <w:left w:val="none" w:sz="0" w:space="0" w:color="auto"/>
            <w:bottom w:val="none" w:sz="0" w:space="0" w:color="auto"/>
            <w:right w:val="none" w:sz="0" w:space="0" w:color="auto"/>
          </w:divBdr>
        </w:div>
        <w:div w:id="1855224881">
          <w:marLeft w:val="0"/>
          <w:marRight w:val="0"/>
          <w:marTop w:val="0"/>
          <w:marBottom w:val="0"/>
          <w:divBdr>
            <w:top w:val="none" w:sz="0" w:space="0" w:color="auto"/>
            <w:left w:val="none" w:sz="0" w:space="0" w:color="auto"/>
            <w:bottom w:val="none" w:sz="0" w:space="0" w:color="auto"/>
            <w:right w:val="none" w:sz="0" w:space="0" w:color="auto"/>
          </w:divBdr>
        </w:div>
        <w:div w:id="358942524">
          <w:marLeft w:val="0"/>
          <w:marRight w:val="0"/>
          <w:marTop w:val="0"/>
          <w:marBottom w:val="0"/>
          <w:divBdr>
            <w:top w:val="none" w:sz="0" w:space="0" w:color="auto"/>
            <w:left w:val="none" w:sz="0" w:space="0" w:color="auto"/>
            <w:bottom w:val="none" w:sz="0" w:space="0" w:color="auto"/>
            <w:right w:val="none" w:sz="0" w:space="0" w:color="auto"/>
          </w:divBdr>
        </w:div>
        <w:div w:id="326250926">
          <w:marLeft w:val="0"/>
          <w:marRight w:val="0"/>
          <w:marTop w:val="0"/>
          <w:marBottom w:val="0"/>
          <w:divBdr>
            <w:top w:val="none" w:sz="0" w:space="0" w:color="auto"/>
            <w:left w:val="none" w:sz="0" w:space="0" w:color="auto"/>
            <w:bottom w:val="none" w:sz="0" w:space="0" w:color="auto"/>
            <w:right w:val="none" w:sz="0" w:space="0" w:color="auto"/>
          </w:divBdr>
        </w:div>
        <w:div w:id="1754426454">
          <w:marLeft w:val="0"/>
          <w:marRight w:val="0"/>
          <w:marTop w:val="0"/>
          <w:marBottom w:val="0"/>
          <w:divBdr>
            <w:top w:val="none" w:sz="0" w:space="0" w:color="auto"/>
            <w:left w:val="none" w:sz="0" w:space="0" w:color="auto"/>
            <w:bottom w:val="none" w:sz="0" w:space="0" w:color="auto"/>
            <w:right w:val="none" w:sz="0" w:space="0" w:color="auto"/>
          </w:divBdr>
        </w:div>
        <w:div w:id="1019624469">
          <w:marLeft w:val="0"/>
          <w:marRight w:val="0"/>
          <w:marTop w:val="0"/>
          <w:marBottom w:val="0"/>
          <w:divBdr>
            <w:top w:val="none" w:sz="0" w:space="0" w:color="auto"/>
            <w:left w:val="none" w:sz="0" w:space="0" w:color="auto"/>
            <w:bottom w:val="none" w:sz="0" w:space="0" w:color="auto"/>
            <w:right w:val="none" w:sz="0" w:space="0" w:color="auto"/>
          </w:divBdr>
        </w:div>
        <w:div w:id="136923704">
          <w:marLeft w:val="0"/>
          <w:marRight w:val="0"/>
          <w:marTop w:val="0"/>
          <w:marBottom w:val="0"/>
          <w:divBdr>
            <w:top w:val="none" w:sz="0" w:space="0" w:color="auto"/>
            <w:left w:val="none" w:sz="0" w:space="0" w:color="auto"/>
            <w:bottom w:val="none" w:sz="0" w:space="0" w:color="auto"/>
            <w:right w:val="none" w:sz="0" w:space="0" w:color="auto"/>
          </w:divBdr>
        </w:div>
        <w:div w:id="1423182890">
          <w:marLeft w:val="0"/>
          <w:marRight w:val="0"/>
          <w:marTop w:val="0"/>
          <w:marBottom w:val="0"/>
          <w:divBdr>
            <w:top w:val="none" w:sz="0" w:space="0" w:color="auto"/>
            <w:left w:val="none" w:sz="0" w:space="0" w:color="auto"/>
            <w:bottom w:val="none" w:sz="0" w:space="0" w:color="auto"/>
            <w:right w:val="none" w:sz="0" w:space="0" w:color="auto"/>
          </w:divBdr>
        </w:div>
        <w:div w:id="926309988">
          <w:marLeft w:val="0"/>
          <w:marRight w:val="0"/>
          <w:marTop w:val="0"/>
          <w:marBottom w:val="0"/>
          <w:divBdr>
            <w:top w:val="none" w:sz="0" w:space="0" w:color="auto"/>
            <w:left w:val="none" w:sz="0" w:space="0" w:color="auto"/>
            <w:bottom w:val="none" w:sz="0" w:space="0" w:color="auto"/>
            <w:right w:val="none" w:sz="0" w:space="0" w:color="auto"/>
          </w:divBdr>
        </w:div>
        <w:div w:id="1093092387">
          <w:marLeft w:val="0"/>
          <w:marRight w:val="0"/>
          <w:marTop w:val="0"/>
          <w:marBottom w:val="0"/>
          <w:divBdr>
            <w:top w:val="none" w:sz="0" w:space="0" w:color="auto"/>
            <w:left w:val="none" w:sz="0" w:space="0" w:color="auto"/>
            <w:bottom w:val="none" w:sz="0" w:space="0" w:color="auto"/>
            <w:right w:val="none" w:sz="0" w:space="0" w:color="auto"/>
          </w:divBdr>
        </w:div>
        <w:div w:id="128327835">
          <w:marLeft w:val="0"/>
          <w:marRight w:val="0"/>
          <w:marTop w:val="0"/>
          <w:marBottom w:val="0"/>
          <w:divBdr>
            <w:top w:val="none" w:sz="0" w:space="0" w:color="auto"/>
            <w:left w:val="none" w:sz="0" w:space="0" w:color="auto"/>
            <w:bottom w:val="none" w:sz="0" w:space="0" w:color="auto"/>
            <w:right w:val="none" w:sz="0" w:space="0" w:color="auto"/>
          </w:divBdr>
        </w:div>
        <w:div w:id="1946694777">
          <w:marLeft w:val="0"/>
          <w:marRight w:val="0"/>
          <w:marTop w:val="0"/>
          <w:marBottom w:val="0"/>
          <w:divBdr>
            <w:top w:val="none" w:sz="0" w:space="0" w:color="auto"/>
            <w:left w:val="none" w:sz="0" w:space="0" w:color="auto"/>
            <w:bottom w:val="none" w:sz="0" w:space="0" w:color="auto"/>
            <w:right w:val="none" w:sz="0" w:space="0" w:color="auto"/>
          </w:divBdr>
        </w:div>
        <w:div w:id="446706526">
          <w:marLeft w:val="0"/>
          <w:marRight w:val="0"/>
          <w:marTop w:val="0"/>
          <w:marBottom w:val="0"/>
          <w:divBdr>
            <w:top w:val="none" w:sz="0" w:space="0" w:color="auto"/>
            <w:left w:val="none" w:sz="0" w:space="0" w:color="auto"/>
            <w:bottom w:val="none" w:sz="0" w:space="0" w:color="auto"/>
            <w:right w:val="none" w:sz="0" w:space="0" w:color="auto"/>
          </w:divBdr>
        </w:div>
        <w:div w:id="879130380">
          <w:marLeft w:val="0"/>
          <w:marRight w:val="0"/>
          <w:marTop w:val="0"/>
          <w:marBottom w:val="0"/>
          <w:divBdr>
            <w:top w:val="none" w:sz="0" w:space="0" w:color="auto"/>
            <w:left w:val="none" w:sz="0" w:space="0" w:color="auto"/>
            <w:bottom w:val="none" w:sz="0" w:space="0" w:color="auto"/>
            <w:right w:val="none" w:sz="0" w:space="0" w:color="auto"/>
          </w:divBdr>
        </w:div>
        <w:div w:id="991980624">
          <w:marLeft w:val="0"/>
          <w:marRight w:val="0"/>
          <w:marTop w:val="0"/>
          <w:marBottom w:val="0"/>
          <w:divBdr>
            <w:top w:val="none" w:sz="0" w:space="0" w:color="auto"/>
            <w:left w:val="none" w:sz="0" w:space="0" w:color="auto"/>
            <w:bottom w:val="none" w:sz="0" w:space="0" w:color="auto"/>
            <w:right w:val="none" w:sz="0" w:space="0" w:color="auto"/>
          </w:divBdr>
        </w:div>
        <w:div w:id="1875996393">
          <w:marLeft w:val="0"/>
          <w:marRight w:val="0"/>
          <w:marTop w:val="0"/>
          <w:marBottom w:val="0"/>
          <w:divBdr>
            <w:top w:val="none" w:sz="0" w:space="0" w:color="auto"/>
            <w:left w:val="none" w:sz="0" w:space="0" w:color="auto"/>
            <w:bottom w:val="none" w:sz="0" w:space="0" w:color="auto"/>
            <w:right w:val="none" w:sz="0" w:space="0" w:color="auto"/>
          </w:divBdr>
        </w:div>
        <w:div w:id="164635732">
          <w:marLeft w:val="0"/>
          <w:marRight w:val="0"/>
          <w:marTop w:val="0"/>
          <w:marBottom w:val="0"/>
          <w:divBdr>
            <w:top w:val="none" w:sz="0" w:space="0" w:color="auto"/>
            <w:left w:val="none" w:sz="0" w:space="0" w:color="auto"/>
            <w:bottom w:val="none" w:sz="0" w:space="0" w:color="auto"/>
            <w:right w:val="none" w:sz="0" w:space="0" w:color="auto"/>
          </w:divBdr>
        </w:div>
        <w:div w:id="1008872470">
          <w:marLeft w:val="0"/>
          <w:marRight w:val="0"/>
          <w:marTop w:val="0"/>
          <w:marBottom w:val="0"/>
          <w:divBdr>
            <w:top w:val="none" w:sz="0" w:space="0" w:color="auto"/>
            <w:left w:val="none" w:sz="0" w:space="0" w:color="auto"/>
            <w:bottom w:val="none" w:sz="0" w:space="0" w:color="auto"/>
            <w:right w:val="none" w:sz="0" w:space="0" w:color="auto"/>
          </w:divBdr>
        </w:div>
        <w:div w:id="1665622928">
          <w:marLeft w:val="0"/>
          <w:marRight w:val="0"/>
          <w:marTop w:val="0"/>
          <w:marBottom w:val="0"/>
          <w:divBdr>
            <w:top w:val="none" w:sz="0" w:space="0" w:color="auto"/>
            <w:left w:val="none" w:sz="0" w:space="0" w:color="auto"/>
            <w:bottom w:val="none" w:sz="0" w:space="0" w:color="auto"/>
            <w:right w:val="none" w:sz="0" w:space="0" w:color="auto"/>
          </w:divBdr>
        </w:div>
        <w:div w:id="560751983">
          <w:marLeft w:val="0"/>
          <w:marRight w:val="0"/>
          <w:marTop w:val="0"/>
          <w:marBottom w:val="0"/>
          <w:divBdr>
            <w:top w:val="none" w:sz="0" w:space="0" w:color="auto"/>
            <w:left w:val="none" w:sz="0" w:space="0" w:color="auto"/>
            <w:bottom w:val="none" w:sz="0" w:space="0" w:color="auto"/>
            <w:right w:val="none" w:sz="0" w:space="0" w:color="auto"/>
          </w:divBdr>
        </w:div>
        <w:div w:id="2022587087">
          <w:marLeft w:val="0"/>
          <w:marRight w:val="0"/>
          <w:marTop w:val="0"/>
          <w:marBottom w:val="0"/>
          <w:divBdr>
            <w:top w:val="none" w:sz="0" w:space="0" w:color="auto"/>
            <w:left w:val="none" w:sz="0" w:space="0" w:color="auto"/>
            <w:bottom w:val="none" w:sz="0" w:space="0" w:color="auto"/>
            <w:right w:val="none" w:sz="0" w:space="0" w:color="auto"/>
          </w:divBdr>
        </w:div>
        <w:div w:id="944001396">
          <w:marLeft w:val="0"/>
          <w:marRight w:val="0"/>
          <w:marTop w:val="0"/>
          <w:marBottom w:val="0"/>
          <w:divBdr>
            <w:top w:val="none" w:sz="0" w:space="0" w:color="auto"/>
            <w:left w:val="none" w:sz="0" w:space="0" w:color="auto"/>
            <w:bottom w:val="none" w:sz="0" w:space="0" w:color="auto"/>
            <w:right w:val="none" w:sz="0" w:space="0" w:color="auto"/>
          </w:divBdr>
        </w:div>
        <w:div w:id="2118720259">
          <w:marLeft w:val="0"/>
          <w:marRight w:val="0"/>
          <w:marTop w:val="0"/>
          <w:marBottom w:val="0"/>
          <w:divBdr>
            <w:top w:val="none" w:sz="0" w:space="0" w:color="auto"/>
            <w:left w:val="none" w:sz="0" w:space="0" w:color="auto"/>
            <w:bottom w:val="none" w:sz="0" w:space="0" w:color="auto"/>
            <w:right w:val="none" w:sz="0" w:space="0" w:color="auto"/>
          </w:divBdr>
        </w:div>
        <w:div w:id="1265771289">
          <w:marLeft w:val="0"/>
          <w:marRight w:val="0"/>
          <w:marTop w:val="0"/>
          <w:marBottom w:val="0"/>
          <w:divBdr>
            <w:top w:val="none" w:sz="0" w:space="0" w:color="auto"/>
            <w:left w:val="none" w:sz="0" w:space="0" w:color="auto"/>
            <w:bottom w:val="none" w:sz="0" w:space="0" w:color="auto"/>
            <w:right w:val="none" w:sz="0" w:space="0" w:color="auto"/>
          </w:divBdr>
        </w:div>
        <w:div w:id="2144420418">
          <w:marLeft w:val="0"/>
          <w:marRight w:val="0"/>
          <w:marTop w:val="0"/>
          <w:marBottom w:val="0"/>
          <w:divBdr>
            <w:top w:val="none" w:sz="0" w:space="0" w:color="auto"/>
            <w:left w:val="none" w:sz="0" w:space="0" w:color="auto"/>
            <w:bottom w:val="none" w:sz="0" w:space="0" w:color="auto"/>
            <w:right w:val="none" w:sz="0" w:space="0" w:color="auto"/>
          </w:divBdr>
        </w:div>
        <w:div w:id="1990478174">
          <w:marLeft w:val="0"/>
          <w:marRight w:val="0"/>
          <w:marTop w:val="0"/>
          <w:marBottom w:val="0"/>
          <w:divBdr>
            <w:top w:val="none" w:sz="0" w:space="0" w:color="auto"/>
            <w:left w:val="none" w:sz="0" w:space="0" w:color="auto"/>
            <w:bottom w:val="none" w:sz="0" w:space="0" w:color="auto"/>
            <w:right w:val="none" w:sz="0" w:space="0" w:color="auto"/>
          </w:divBdr>
        </w:div>
        <w:div w:id="1207448606">
          <w:marLeft w:val="0"/>
          <w:marRight w:val="0"/>
          <w:marTop w:val="0"/>
          <w:marBottom w:val="0"/>
          <w:divBdr>
            <w:top w:val="none" w:sz="0" w:space="0" w:color="auto"/>
            <w:left w:val="none" w:sz="0" w:space="0" w:color="auto"/>
            <w:bottom w:val="none" w:sz="0" w:space="0" w:color="auto"/>
            <w:right w:val="none" w:sz="0" w:space="0" w:color="auto"/>
          </w:divBdr>
        </w:div>
        <w:div w:id="2075540529">
          <w:marLeft w:val="0"/>
          <w:marRight w:val="0"/>
          <w:marTop w:val="0"/>
          <w:marBottom w:val="0"/>
          <w:divBdr>
            <w:top w:val="none" w:sz="0" w:space="0" w:color="auto"/>
            <w:left w:val="none" w:sz="0" w:space="0" w:color="auto"/>
            <w:bottom w:val="none" w:sz="0" w:space="0" w:color="auto"/>
            <w:right w:val="none" w:sz="0" w:space="0" w:color="auto"/>
          </w:divBdr>
        </w:div>
      </w:divsChild>
    </w:div>
    <w:div w:id="982544193">
      <w:bodyDiv w:val="1"/>
      <w:marLeft w:val="0"/>
      <w:marRight w:val="0"/>
      <w:marTop w:val="0"/>
      <w:marBottom w:val="0"/>
      <w:divBdr>
        <w:top w:val="none" w:sz="0" w:space="0" w:color="auto"/>
        <w:left w:val="none" w:sz="0" w:space="0" w:color="auto"/>
        <w:bottom w:val="none" w:sz="0" w:space="0" w:color="auto"/>
        <w:right w:val="none" w:sz="0" w:space="0" w:color="auto"/>
      </w:divBdr>
      <w:divsChild>
        <w:div w:id="1468015412">
          <w:marLeft w:val="0"/>
          <w:marRight w:val="0"/>
          <w:marTop w:val="0"/>
          <w:marBottom w:val="0"/>
          <w:divBdr>
            <w:top w:val="none" w:sz="0" w:space="0" w:color="auto"/>
            <w:left w:val="none" w:sz="0" w:space="0" w:color="auto"/>
            <w:bottom w:val="none" w:sz="0" w:space="0" w:color="auto"/>
            <w:right w:val="none" w:sz="0" w:space="0" w:color="auto"/>
          </w:divBdr>
        </w:div>
        <w:div w:id="581914580">
          <w:marLeft w:val="0"/>
          <w:marRight w:val="0"/>
          <w:marTop w:val="0"/>
          <w:marBottom w:val="0"/>
          <w:divBdr>
            <w:top w:val="none" w:sz="0" w:space="0" w:color="auto"/>
            <w:left w:val="none" w:sz="0" w:space="0" w:color="auto"/>
            <w:bottom w:val="none" w:sz="0" w:space="0" w:color="auto"/>
            <w:right w:val="none" w:sz="0" w:space="0" w:color="auto"/>
          </w:divBdr>
        </w:div>
        <w:div w:id="500659655">
          <w:marLeft w:val="0"/>
          <w:marRight w:val="0"/>
          <w:marTop w:val="0"/>
          <w:marBottom w:val="0"/>
          <w:divBdr>
            <w:top w:val="none" w:sz="0" w:space="0" w:color="auto"/>
            <w:left w:val="none" w:sz="0" w:space="0" w:color="auto"/>
            <w:bottom w:val="none" w:sz="0" w:space="0" w:color="auto"/>
            <w:right w:val="none" w:sz="0" w:space="0" w:color="auto"/>
          </w:divBdr>
        </w:div>
        <w:div w:id="2037850391">
          <w:marLeft w:val="0"/>
          <w:marRight w:val="0"/>
          <w:marTop w:val="0"/>
          <w:marBottom w:val="0"/>
          <w:divBdr>
            <w:top w:val="none" w:sz="0" w:space="0" w:color="auto"/>
            <w:left w:val="none" w:sz="0" w:space="0" w:color="auto"/>
            <w:bottom w:val="none" w:sz="0" w:space="0" w:color="auto"/>
            <w:right w:val="none" w:sz="0" w:space="0" w:color="auto"/>
          </w:divBdr>
        </w:div>
        <w:div w:id="102766640">
          <w:marLeft w:val="0"/>
          <w:marRight w:val="0"/>
          <w:marTop w:val="0"/>
          <w:marBottom w:val="0"/>
          <w:divBdr>
            <w:top w:val="none" w:sz="0" w:space="0" w:color="auto"/>
            <w:left w:val="none" w:sz="0" w:space="0" w:color="auto"/>
            <w:bottom w:val="none" w:sz="0" w:space="0" w:color="auto"/>
            <w:right w:val="none" w:sz="0" w:space="0" w:color="auto"/>
          </w:divBdr>
        </w:div>
        <w:div w:id="1994721964">
          <w:marLeft w:val="0"/>
          <w:marRight w:val="0"/>
          <w:marTop w:val="0"/>
          <w:marBottom w:val="0"/>
          <w:divBdr>
            <w:top w:val="none" w:sz="0" w:space="0" w:color="auto"/>
            <w:left w:val="none" w:sz="0" w:space="0" w:color="auto"/>
            <w:bottom w:val="none" w:sz="0" w:space="0" w:color="auto"/>
            <w:right w:val="none" w:sz="0" w:space="0" w:color="auto"/>
          </w:divBdr>
        </w:div>
        <w:div w:id="1838567781">
          <w:marLeft w:val="0"/>
          <w:marRight w:val="0"/>
          <w:marTop w:val="0"/>
          <w:marBottom w:val="0"/>
          <w:divBdr>
            <w:top w:val="none" w:sz="0" w:space="0" w:color="auto"/>
            <w:left w:val="none" w:sz="0" w:space="0" w:color="auto"/>
            <w:bottom w:val="none" w:sz="0" w:space="0" w:color="auto"/>
            <w:right w:val="none" w:sz="0" w:space="0" w:color="auto"/>
          </w:divBdr>
        </w:div>
      </w:divsChild>
    </w:div>
    <w:div w:id="1053238603">
      <w:bodyDiv w:val="1"/>
      <w:marLeft w:val="0"/>
      <w:marRight w:val="0"/>
      <w:marTop w:val="0"/>
      <w:marBottom w:val="0"/>
      <w:divBdr>
        <w:top w:val="none" w:sz="0" w:space="0" w:color="auto"/>
        <w:left w:val="none" w:sz="0" w:space="0" w:color="auto"/>
        <w:bottom w:val="none" w:sz="0" w:space="0" w:color="auto"/>
        <w:right w:val="none" w:sz="0" w:space="0" w:color="auto"/>
      </w:divBdr>
      <w:divsChild>
        <w:div w:id="1508867987">
          <w:marLeft w:val="0"/>
          <w:marRight w:val="0"/>
          <w:marTop w:val="0"/>
          <w:marBottom w:val="0"/>
          <w:divBdr>
            <w:top w:val="none" w:sz="0" w:space="0" w:color="auto"/>
            <w:left w:val="none" w:sz="0" w:space="0" w:color="auto"/>
            <w:bottom w:val="none" w:sz="0" w:space="0" w:color="auto"/>
            <w:right w:val="none" w:sz="0" w:space="0" w:color="auto"/>
          </w:divBdr>
        </w:div>
        <w:div w:id="1669139999">
          <w:marLeft w:val="0"/>
          <w:marRight w:val="0"/>
          <w:marTop w:val="0"/>
          <w:marBottom w:val="0"/>
          <w:divBdr>
            <w:top w:val="none" w:sz="0" w:space="0" w:color="auto"/>
            <w:left w:val="none" w:sz="0" w:space="0" w:color="auto"/>
            <w:bottom w:val="none" w:sz="0" w:space="0" w:color="auto"/>
            <w:right w:val="none" w:sz="0" w:space="0" w:color="auto"/>
          </w:divBdr>
        </w:div>
        <w:div w:id="1464809865">
          <w:marLeft w:val="0"/>
          <w:marRight w:val="0"/>
          <w:marTop w:val="0"/>
          <w:marBottom w:val="0"/>
          <w:divBdr>
            <w:top w:val="none" w:sz="0" w:space="0" w:color="auto"/>
            <w:left w:val="none" w:sz="0" w:space="0" w:color="auto"/>
            <w:bottom w:val="none" w:sz="0" w:space="0" w:color="auto"/>
            <w:right w:val="none" w:sz="0" w:space="0" w:color="auto"/>
          </w:divBdr>
        </w:div>
        <w:div w:id="1533886333">
          <w:marLeft w:val="0"/>
          <w:marRight w:val="0"/>
          <w:marTop w:val="0"/>
          <w:marBottom w:val="0"/>
          <w:divBdr>
            <w:top w:val="none" w:sz="0" w:space="0" w:color="auto"/>
            <w:left w:val="none" w:sz="0" w:space="0" w:color="auto"/>
            <w:bottom w:val="none" w:sz="0" w:space="0" w:color="auto"/>
            <w:right w:val="none" w:sz="0" w:space="0" w:color="auto"/>
          </w:divBdr>
        </w:div>
        <w:div w:id="978150017">
          <w:marLeft w:val="0"/>
          <w:marRight w:val="0"/>
          <w:marTop w:val="0"/>
          <w:marBottom w:val="0"/>
          <w:divBdr>
            <w:top w:val="none" w:sz="0" w:space="0" w:color="auto"/>
            <w:left w:val="none" w:sz="0" w:space="0" w:color="auto"/>
            <w:bottom w:val="none" w:sz="0" w:space="0" w:color="auto"/>
            <w:right w:val="none" w:sz="0" w:space="0" w:color="auto"/>
          </w:divBdr>
        </w:div>
        <w:div w:id="612054343">
          <w:marLeft w:val="0"/>
          <w:marRight w:val="0"/>
          <w:marTop w:val="0"/>
          <w:marBottom w:val="0"/>
          <w:divBdr>
            <w:top w:val="none" w:sz="0" w:space="0" w:color="auto"/>
            <w:left w:val="none" w:sz="0" w:space="0" w:color="auto"/>
            <w:bottom w:val="none" w:sz="0" w:space="0" w:color="auto"/>
            <w:right w:val="none" w:sz="0" w:space="0" w:color="auto"/>
          </w:divBdr>
        </w:div>
        <w:div w:id="2102675140">
          <w:marLeft w:val="0"/>
          <w:marRight w:val="0"/>
          <w:marTop w:val="0"/>
          <w:marBottom w:val="0"/>
          <w:divBdr>
            <w:top w:val="none" w:sz="0" w:space="0" w:color="auto"/>
            <w:left w:val="none" w:sz="0" w:space="0" w:color="auto"/>
            <w:bottom w:val="none" w:sz="0" w:space="0" w:color="auto"/>
            <w:right w:val="none" w:sz="0" w:space="0" w:color="auto"/>
          </w:divBdr>
        </w:div>
        <w:div w:id="1614091788">
          <w:marLeft w:val="0"/>
          <w:marRight w:val="0"/>
          <w:marTop w:val="0"/>
          <w:marBottom w:val="0"/>
          <w:divBdr>
            <w:top w:val="none" w:sz="0" w:space="0" w:color="auto"/>
            <w:left w:val="none" w:sz="0" w:space="0" w:color="auto"/>
            <w:bottom w:val="none" w:sz="0" w:space="0" w:color="auto"/>
            <w:right w:val="none" w:sz="0" w:space="0" w:color="auto"/>
          </w:divBdr>
        </w:div>
        <w:div w:id="1402216920">
          <w:marLeft w:val="0"/>
          <w:marRight w:val="0"/>
          <w:marTop w:val="0"/>
          <w:marBottom w:val="0"/>
          <w:divBdr>
            <w:top w:val="none" w:sz="0" w:space="0" w:color="auto"/>
            <w:left w:val="none" w:sz="0" w:space="0" w:color="auto"/>
            <w:bottom w:val="none" w:sz="0" w:space="0" w:color="auto"/>
            <w:right w:val="none" w:sz="0" w:space="0" w:color="auto"/>
          </w:divBdr>
        </w:div>
        <w:div w:id="1686398470">
          <w:marLeft w:val="0"/>
          <w:marRight w:val="0"/>
          <w:marTop w:val="0"/>
          <w:marBottom w:val="0"/>
          <w:divBdr>
            <w:top w:val="none" w:sz="0" w:space="0" w:color="auto"/>
            <w:left w:val="none" w:sz="0" w:space="0" w:color="auto"/>
            <w:bottom w:val="none" w:sz="0" w:space="0" w:color="auto"/>
            <w:right w:val="none" w:sz="0" w:space="0" w:color="auto"/>
          </w:divBdr>
        </w:div>
        <w:div w:id="487091325">
          <w:marLeft w:val="0"/>
          <w:marRight w:val="0"/>
          <w:marTop w:val="0"/>
          <w:marBottom w:val="0"/>
          <w:divBdr>
            <w:top w:val="none" w:sz="0" w:space="0" w:color="auto"/>
            <w:left w:val="none" w:sz="0" w:space="0" w:color="auto"/>
            <w:bottom w:val="none" w:sz="0" w:space="0" w:color="auto"/>
            <w:right w:val="none" w:sz="0" w:space="0" w:color="auto"/>
          </w:divBdr>
        </w:div>
        <w:div w:id="440149446">
          <w:marLeft w:val="0"/>
          <w:marRight w:val="0"/>
          <w:marTop w:val="0"/>
          <w:marBottom w:val="0"/>
          <w:divBdr>
            <w:top w:val="none" w:sz="0" w:space="0" w:color="auto"/>
            <w:left w:val="none" w:sz="0" w:space="0" w:color="auto"/>
            <w:bottom w:val="none" w:sz="0" w:space="0" w:color="auto"/>
            <w:right w:val="none" w:sz="0" w:space="0" w:color="auto"/>
          </w:divBdr>
        </w:div>
        <w:div w:id="888346593">
          <w:marLeft w:val="0"/>
          <w:marRight w:val="0"/>
          <w:marTop w:val="0"/>
          <w:marBottom w:val="0"/>
          <w:divBdr>
            <w:top w:val="none" w:sz="0" w:space="0" w:color="auto"/>
            <w:left w:val="none" w:sz="0" w:space="0" w:color="auto"/>
            <w:bottom w:val="none" w:sz="0" w:space="0" w:color="auto"/>
            <w:right w:val="none" w:sz="0" w:space="0" w:color="auto"/>
          </w:divBdr>
        </w:div>
        <w:div w:id="295764774">
          <w:marLeft w:val="0"/>
          <w:marRight w:val="0"/>
          <w:marTop w:val="0"/>
          <w:marBottom w:val="0"/>
          <w:divBdr>
            <w:top w:val="none" w:sz="0" w:space="0" w:color="auto"/>
            <w:left w:val="none" w:sz="0" w:space="0" w:color="auto"/>
            <w:bottom w:val="none" w:sz="0" w:space="0" w:color="auto"/>
            <w:right w:val="none" w:sz="0" w:space="0" w:color="auto"/>
          </w:divBdr>
        </w:div>
        <w:div w:id="1186821704">
          <w:marLeft w:val="0"/>
          <w:marRight w:val="0"/>
          <w:marTop w:val="0"/>
          <w:marBottom w:val="0"/>
          <w:divBdr>
            <w:top w:val="none" w:sz="0" w:space="0" w:color="auto"/>
            <w:left w:val="none" w:sz="0" w:space="0" w:color="auto"/>
            <w:bottom w:val="none" w:sz="0" w:space="0" w:color="auto"/>
            <w:right w:val="none" w:sz="0" w:space="0" w:color="auto"/>
          </w:divBdr>
        </w:div>
        <w:div w:id="1681927297">
          <w:marLeft w:val="0"/>
          <w:marRight w:val="0"/>
          <w:marTop w:val="0"/>
          <w:marBottom w:val="0"/>
          <w:divBdr>
            <w:top w:val="none" w:sz="0" w:space="0" w:color="auto"/>
            <w:left w:val="none" w:sz="0" w:space="0" w:color="auto"/>
            <w:bottom w:val="none" w:sz="0" w:space="0" w:color="auto"/>
            <w:right w:val="none" w:sz="0" w:space="0" w:color="auto"/>
          </w:divBdr>
        </w:div>
        <w:div w:id="1778286319">
          <w:marLeft w:val="0"/>
          <w:marRight w:val="0"/>
          <w:marTop w:val="0"/>
          <w:marBottom w:val="0"/>
          <w:divBdr>
            <w:top w:val="none" w:sz="0" w:space="0" w:color="auto"/>
            <w:left w:val="none" w:sz="0" w:space="0" w:color="auto"/>
            <w:bottom w:val="none" w:sz="0" w:space="0" w:color="auto"/>
            <w:right w:val="none" w:sz="0" w:space="0" w:color="auto"/>
          </w:divBdr>
        </w:div>
        <w:div w:id="888541706">
          <w:marLeft w:val="0"/>
          <w:marRight w:val="0"/>
          <w:marTop w:val="0"/>
          <w:marBottom w:val="0"/>
          <w:divBdr>
            <w:top w:val="none" w:sz="0" w:space="0" w:color="auto"/>
            <w:left w:val="none" w:sz="0" w:space="0" w:color="auto"/>
            <w:bottom w:val="none" w:sz="0" w:space="0" w:color="auto"/>
            <w:right w:val="none" w:sz="0" w:space="0" w:color="auto"/>
          </w:divBdr>
        </w:div>
        <w:div w:id="480148885">
          <w:marLeft w:val="0"/>
          <w:marRight w:val="0"/>
          <w:marTop w:val="0"/>
          <w:marBottom w:val="0"/>
          <w:divBdr>
            <w:top w:val="none" w:sz="0" w:space="0" w:color="auto"/>
            <w:left w:val="none" w:sz="0" w:space="0" w:color="auto"/>
            <w:bottom w:val="none" w:sz="0" w:space="0" w:color="auto"/>
            <w:right w:val="none" w:sz="0" w:space="0" w:color="auto"/>
          </w:divBdr>
        </w:div>
        <w:div w:id="1484079332">
          <w:marLeft w:val="0"/>
          <w:marRight w:val="0"/>
          <w:marTop w:val="0"/>
          <w:marBottom w:val="0"/>
          <w:divBdr>
            <w:top w:val="none" w:sz="0" w:space="0" w:color="auto"/>
            <w:left w:val="none" w:sz="0" w:space="0" w:color="auto"/>
            <w:bottom w:val="none" w:sz="0" w:space="0" w:color="auto"/>
            <w:right w:val="none" w:sz="0" w:space="0" w:color="auto"/>
          </w:divBdr>
        </w:div>
        <w:div w:id="2093160419">
          <w:marLeft w:val="0"/>
          <w:marRight w:val="0"/>
          <w:marTop w:val="0"/>
          <w:marBottom w:val="0"/>
          <w:divBdr>
            <w:top w:val="none" w:sz="0" w:space="0" w:color="auto"/>
            <w:left w:val="none" w:sz="0" w:space="0" w:color="auto"/>
            <w:bottom w:val="none" w:sz="0" w:space="0" w:color="auto"/>
            <w:right w:val="none" w:sz="0" w:space="0" w:color="auto"/>
          </w:divBdr>
        </w:div>
        <w:div w:id="1856993964">
          <w:marLeft w:val="0"/>
          <w:marRight w:val="0"/>
          <w:marTop w:val="0"/>
          <w:marBottom w:val="0"/>
          <w:divBdr>
            <w:top w:val="none" w:sz="0" w:space="0" w:color="auto"/>
            <w:left w:val="none" w:sz="0" w:space="0" w:color="auto"/>
            <w:bottom w:val="none" w:sz="0" w:space="0" w:color="auto"/>
            <w:right w:val="none" w:sz="0" w:space="0" w:color="auto"/>
          </w:divBdr>
        </w:div>
        <w:div w:id="1019697451">
          <w:marLeft w:val="0"/>
          <w:marRight w:val="0"/>
          <w:marTop w:val="0"/>
          <w:marBottom w:val="0"/>
          <w:divBdr>
            <w:top w:val="none" w:sz="0" w:space="0" w:color="auto"/>
            <w:left w:val="none" w:sz="0" w:space="0" w:color="auto"/>
            <w:bottom w:val="none" w:sz="0" w:space="0" w:color="auto"/>
            <w:right w:val="none" w:sz="0" w:space="0" w:color="auto"/>
          </w:divBdr>
        </w:div>
        <w:div w:id="1623490419">
          <w:marLeft w:val="0"/>
          <w:marRight w:val="0"/>
          <w:marTop w:val="0"/>
          <w:marBottom w:val="0"/>
          <w:divBdr>
            <w:top w:val="none" w:sz="0" w:space="0" w:color="auto"/>
            <w:left w:val="none" w:sz="0" w:space="0" w:color="auto"/>
            <w:bottom w:val="none" w:sz="0" w:space="0" w:color="auto"/>
            <w:right w:val="none" w:sz="0" w:space="0" w:color="auto"/>
          </w:divBdr>
        </w:div>
        <w:div w:id="536968435">
          <w:marLeft w:val="0"/>
          <w:marRight w:val="0"/>
          <w:marTop w:val="0"/>
          <w:marBottom w:val="0"/>
          <w:divBdr>
            <w:top w:val="none" w:sz="0" w:space="0" w:color="auto"/>
            <w:left w:val="none" w:sz="0" w:space="0" w:color="auto"/>
            <w:bottom w:val="none" w:sz="0" w:space="0" w:color="auto"/>
            <w:right w:val="none" w:sz="0" w:space="0" w:color="auto"/>
          </w:divBdr>
        </w:div>
        <w:div w:id="674765872">
          <w:marLeft w:val="0"/>
          <w:marRight w:val="0"/>
          <w:marTop w:val="0"/>
          <w:marBottom w:val="0"/>
          <w:divBdr>
            <w:top w:val="none" w:sz="0" w:space="0" w:color="auto"/>
            <w:left w:val="none" w:sz="0" w:space="0" w:color="auto"/>
            <w:bottom w:val="none" w:sz="0" w:space="0" w:color="auto"/>
            <w:right w:val="none" w:sz="0" w:space="0" w:color="auto"/>
          </w:divBdr>
        </w:div>
        <w:div w:id="1680617333">
          <w:marLeft w:val="0"/>
          <w:marRight w:val="0"/>
          <w:marTop w:val="0"/>
          <w:marBottom w:val="0"/>
          <w:divBdr>
            <w:top w:val="none" w:sz="0" w:space="0" w:color="auto"/>
            <w:left w:val="none" w:sz="0" w:space="0" w:color="auto"/>
            <w:bottom w:val="none" w:sz="0" w:space="0" w:color="auto"/>
            <w:right w:val="none" w:sz="0" w:space="0" w:color="auto"/>
          </w:divBdr>
        </w:div>
        <w:div w:id="1121729376">
          <w:marLeft w:val="0"/>
          <w:marRight w:val="0"/>
          <w:marTop w:val="0"/>
          <w:marBottom w:val="0"/>
          <w:divBdr>
            <w:top w:val="none" w:sz="0" w:space="0" w:color="auto"/>
            <w:left w:val="none" w:sz="0" w:space="0" w:color="auto"/>
            <w:bottom w:val="none" w:sz="0" w:space="0" w:color="auto"/>
            <w:right w:val="none" w:sz="0" w:space="0" w:color="auto"/>
          </w:divBdr>
        </w:div>
        <w:div w:id="1837064734">
          <w:marLeft w:val="0"/>
          <w:marRight w:val="0"/>
          <w:marTop w:val="0"/>
          <w:marBottom w:val="0"/>
          <w:divBdr>
            <w:top w:val="none" w:sz="0" w:space="0" w:color="auto"/>
            <w:left w:val="none" w:sz="0" w:space="0" w:color="auto"/>
            <w:bottom w:val="none" w:sz="0" w:space="0" w:color="auto"/>
            <w:right w:val="none" w:sz="0" w:space="0" w:color="auto"/>
          </w:divBdr>
        </w:div>
        <w:div w:id="894707649">
          <w:marLeft w:val="0"/>
          <w:marRight w:val="0"/>
          <w:marTop w:val="0"/>
          <w:marBottom w:val="0"/>
          <w:divBdr>
            <w:top w:val="none" w:sz="0" w:space="0" w:color="auto"/>
            <w:left w:val="none" w:sz="0" w:space="0" w:color="auto"/>
            <w:bottom w:val="none" w:sz="0" w:space="0" w:color="auto"/>
            <w:right w:val="none" w:sz="0" w:space="0" w:color="auto"/>
          </w:divBdr>
        </w:div>
        <w:div w:id="644428589">
          <w:marLeft w:val="0"/>
          <w:marRight w:val="0"/>
          <w:marTop w:val="0"/>
          <w:marBottom w:val="0"/>
          <w:divBdr>
            <w:top w:val="none" w:sz="0" w:space="0" w:color="auto"/>
            <w:left w:val="none" w:sz="0" w:space="0" w:color="auto"/>
            <w:bottom w:val="none" w:sz="0" w:space="0" w:color="auto"/>
            <w:right w:val="none" w:sz="0" w:space="0" w:color="auto"/>
          </w:divBdr>
        </w:div>
        <w:div w:id="1619680938">
          <w:marLeft w:val="0"/>
          <w:marRight w:val="0"/>
          <w:marTop w:val="0"/>
          <w:marBottom w:val="0"/>
          <w:divBdr>
            <w:top w:val="none" w:sz="0" w:space="0" w:color="auto"/>
            <w:left w:val="none" w:sz="0" w:space="0" w:color="auto"/>
            <w:bottom w:val="none" w:sz="0" w:space="0" w:color="auto"/>
            <w:right w:val="none" w:sz="0" w:space="0" w:color="auto"/>
          </w:divBdr>
        </w:div>
        <w:div w:id="1193111985">
          <w:marLeft w:val="0"/>
          <w:marRight w:val="0"/>
          <w:marTop w:val="0"/>
          <w:marBottom w:val="0"/>
          <w:divBdr>
            <w:top w:val="none" w:sz="0" w:space="0" w:color="auto"/>
            <w:left w:val="none" w:sz="0" w:space="0" w:color="auto"/>
            <w:bottom w:val="none" w:sz="0" w:space="0" w:color="auto"/>
            <w:right w:val="none" w:sz="0" w:space="0" w:color="auto"/>
          </w:divBdr>
        </w:div>
      </w:divsChild>
    </w:div>
    <w:div w:id="1126852503">
      <w:bodyDiv w:val="1"/>
      <w:marLeft w:val="0"/>
      <w:marRight w:val="0"/>
      <w:marTop w:val="0"/>
      <w:marBottom w:val="0"/>
      <w:divBdr>
        <w:top w:val="none" w:sz="0" w:space="0" w:color="auto"/>
        <w:left w:val="none" w:sz="0" w:space="0" w:color="auto"/>
        <w:bottom w:val="none" w:sz="0" w:space="0" w:color="auto"/>
        <w:right w:val="none" w:sz="0" w:space="0" w:color="auto"/>
      </w:divBdr>
      <w:divsChild>
        <w:div w:id="1676762847">
          <w:marLeft w:val="0"/>
          <w:marRight w:val="0"/>
          <w:marTop w:val="0"/>
          <w:marBottom w:val="0"/>
          <w:divBdr>
            <w:top w:val="none" w:sz="0" w:space="0" w:color="auto"/>
            <w:left w:val="none" w:sz="0" w:space="0" w:color="auto"/>
            <w:bottom w:val="none" w:sz="0" w:space="0" w:color="auto"/>
            <w:right w:val="none" w:sz="0" w:space="0" w:color="auto"/>
          </w:divBdr>
        </w:div>
        <w:div w:id="1131365871">
          <w:marLeft w:val="0"/>
          <w:marRight w:val="0"/>
          <w:marTop w:val="0"/>
          <w:marBottom w:val="0"/>
          <w:divBdr>
            <w:top w:val="none" w:sz="0" w:space="0" w:color="auto"/>
            <w:left w:val="none" w:sz="0" w:space="0" w:color="auto"/>
            <w:bottom w:val="none" w:sz="0" w:space="0" w:color="auto"/>
            <w:right w:val="none" w:sz="0" w:space="0" w:color="auto"/>
          </w:divBdr>
        </w:div>
        <w:div w:id="190925298">
          <w:marLeft w:val="0"/>
          <w:marRight w:val="0"/>
          <w:marTop w:val="0"/>
          <w:marBottom w:val="0"/>
          <w:divBdr>
            <w:top w:val="none" w:sz="0" w:space="0" w:color="auto"/>
            <w:left w:val="none" w:sz="0" w:space="0" w:color="auto"/>
            <w:bottom w:val="none" w:sz="0" w:space="0" w:color="auto"/>
            <w:right w:val="none" w:sz="0" w:space="0" w:color="auto"/>
          </w:divBdr>
        </w:div>
        <w:div w:id="1437752007">
          <w:marLeft w:val="0"/>
          <w:marRight w:val="0"/>
          <w:marTop w:val="0"/>
          <w:marBottom w:val="0"/>
          <w:divBdr>
            <w:top w:val="none" w:sz="0" w:space="0" w:color="auto"/>
            <w:left w:val="none" w:sz="0" w:space="0" w:color="auto"/>
            <w:bottom w:val="none" w:sz="0" w:space="0" w:color="auto"/>
            <w:right w:val="none" w:sz="0" w:space="0" w:color="auto"/>
          </w:divBdr>
        </w:div>
        <w:div w:id="877469353">
          <w:marLeft w:val="0"/>
          <w:marRight w:val="0"/>
          <w:marTop w:val="0"/>
          <w:marBottom w:val="0"/>
          <w:divBdr>
            <w:top w:val="none" w:sz="0" w:space="0" w:color="auto"/>
            <w:left w:val="none" w:sz="0" w:space="0" w:color="auto"/>
            <w:bottom w:val="none" w:sz="0" w:space="0" w:color="auto"/>
            <w:right w:val="none" w:sz="0" w:space="0" w:color="auto"/>
          </w:divBdr>
        </w:div>
      </w:divsChild>
    </w:div>
    <w:div w:id="1136528768">
      <w:bodyDiv w:val="1"/>
      <w:marLeft w:val="0"/>
      <w:marRight w:val="0"/>
      <w:marTop w:val="0"/>
      <w:marBottom w:val="0"/>
      <w:divBdr>
        <w:top w:val="none" w:sz="0" w:space="0" w:color="auto"/>
        <w:left w:val="none" w:sz="0" w:space="0" w:color="auto"/>
        <w:bottom w:val="none" w:sz="0" w:space="0" w:color="auto"/>
        <w:right w:val="none" w:sz="0" w:space="0" w:color="auto"/>
      </w:divBdr>
      <w:divsChild>
        <w:div w:id="1989288547">
          <w:marLeft w:val="0"/>
          <w:marRight w:val="0"/>
          <w:marTop w:val="0"/>
          <w:marBottom w:val="0"/>
          <w:divBdr>
            <w:top w:val="none" w:sz="0" w:space="0" w:color="auto"/>
            <w:left w:val="none" w:sz="0" w:space="0" w:color="auto"/>
            <w:bottom w:val="none" w:sz="0" w:space="0" w:color="auto"/>
            <w:right w:val="none" w:sz="0" w:space="0" w:color="auto"/>
          </w:divBdr>
        </w:div>
        <w:div w:id="1240677223">
          <w:marLeft w:val="0"/>
          <w:marRight w:val="0"/>
          <w:marTop w:val="0"/>
          <w:marBottom w:val="0"/>
          <w:divBdr>
            <w:top w:val="none" w:sz="0" w:space="0" w:color="auto"/>
            <w:left w:val="none" w:sz="0" w:space="0" w:color="auto"/>
            <w:bottom w:val="none" w:sz="0" w:space="0" w:color="auto"/>
            <w:right w:val="none" w:sz="0" w:space="0" w:color="auto"/>
          </w:divBdr>
        </w:div>
        <w:div w:id="2103262229">
          <w:marLeft w:val="0"/>
          <w:marRight w:val="0"/>
          <w:marTop w:val="0"/>
          <w:marBottom w:val="0"/>
          <w:divBdr>
            <w:top w:val="none" w:sz="0" w:space="0" w:color="auto"/>
            <w:left w:val="none" w:sz="0" w:space="0" w:color="auto"/>
            <w:bottom w:val="none" w:sz="0" w:space="0" w:color="auto"/>
            <w:right w:val="none" w:sz="0" w:space="0" w:color="auto"/>
          </w:divBdr>
        </w:div>
        <w:div w:id="80878784">
          <w:marLeft w:val="0"/>
          <w:marRight w:val="0"/>
          <w:marTop w:val="0"/>
          <w:marBottom w:val="0"/>
          <w:divBdr>
            <w:top w:val="none" w:sz="0" w:space="0" w:color="auto"/>
            <w:left w:val="none" w:sz="0" w:space="0" w:color="auto"/>
            <w:bottom w:val="none" w:sz="0" w:space="0" w:color="auto"/>
            <w:right w:val="none" w:sz="0" w:space="0" w:color="auto"/>
          </w:divBdr>
        </w:div>
        <w:div w:id="1945336172">
          <w:marLeft w:val="0"/>
          <w:marRight w:val="0"/>
          <w:marTop w:val="0"/>
          <w:marBottom w:val="0"/>
          <w:divBdr>
            <w:top w:val="none" w:sz="0" w:space="0" w:color="auto"/>
            <w:left w:val="none" w:sz="0" w:space="0" w:color="auto"/>
            <w:bottom w:val="none" w:sz="0" w:space="0" w:color="auto"/>
            <w:right w:val="none" w:sz="0" w:space="0" w:color="auto"/>
          </w:divBdr>
        </w:div>
      </w:divsChild>
    </w:div>
    <w:div w:id="1149513631">
      <w:bodyDiv w:val="1"/>
      <w:marLeft w:val="0"/>
      <w:marRight w:val="0"/>
      <w:marTop w:val="0"/>
      <w:marBottom w:val="0"/>
      <w:divBdr>
        <w:top w:val="none" w:sz="0" w:space="0" w:color="auto"/>
        <w:left w:val="none" w:sz="0" w:space="0" w:color="auto"/>
        <w:bottom w:val="none" w:sz="0" w:space="0" w:color="auto"/>
        <w:right w:val="none" w:sz="0" w:space="0" w:color="auto"/>
      </w:divBdr>
      <w:divsChild>
        <w:div w:id="614286122">
          <w:marLeft w:val="0"/>
          <w:marRight w:val="0"/>
          <w:marTop w:val="0"/>
          <w:marBottom w:val="0"/>
          <w:divBdr>
            <w:top w:val="none" w:sz="0" w:space="0" w:color="auto"/>
            <w:left w:val="none" w:sz="0" w:space="0" w:color="auto"/>
            <w:bottom w:val="none" w:sz="0" w:space="0" w:color="auto"/>
            <w:right w:val="none" w:sz="0" w:space="0" w:color="auto"/>
          </w:divBdr>
        </w:div>
        <w:div w:id="1248467381">
          <w:marLeft w:val="0"/>
          <w:marRight w:val="0"/>
          <w:marTop w:val="0"/>
          <w:marBottom w:val="0"/>
          <w:divBdr>
            <w:top w:val="none" w:sz="0" w:space="0" w:color="auto"/>
            <w:left w:val="none" w:sz="0" w:space="0" w:color="auto"/>
            <w:bottom w:val="none" w:sz="0" w:space="0" w:color="auto"/>
            <w:right w:val="none" w:sz="0" w:space="0" w:color="auto"/>
          </w:divBdr>
        </w:div>
        <w:div w:id="1037972478">
          <w:marLeft w:val="0"/>
          <w:marRight w:val="0"/>
          <w:marTop w:val="0"/>
          <w:marBottom w:val="0"/>
          <w:divBdr>
            <w:top w:val="none" w:sz="0" w:space="0" w:color="auto"/>
            <w:left w:val="none" w:sz="0" w:space="0" w:color="auto"/>
            <w:bottom w:val="none" w:sz="0" w:space="0" w:color="auto"/>
            <w:right w:val="none" w:sz="0" w:space="0" w:color="auto"/>
          </w:divBdr>
        </w:div>
        <w:div w:id="481047583">
          <w:marLeft w:val="0"/>
          <w:marRight w:val="0"/>
          <w:marTop w:val="0"/>
          <w:marBottom w:val="0"/>
          <w:divBdr>
            <w:top w:val="none" w:sz="0" w:space="0" w:color="auto"/>
            <w:left w:val="none" w:sz="0" w:space="0" w:color="auto"/>
            <w:bottom w:val="none" w:sz="0" w:space="0" w:color="auto"/>
            <w:right w:val="none" w:sz="0" w:space="0" w:color="auto"/>
          </w:divBdr>
        </w:div>
        <w:div w:id="492648212">
          <w:marLeft w:val="0"/>
          <w:marRight w:val="0"/>
          <w:marTop w:val="0"/>
          <w:marBottom w:val="0"/>
          <w:divBdr>
            <w:top w:val="none" w:sz="0" w:space="0" w:color="auto"/>
            <w:left w:val="none" w:sz="0" w:space="0" w:color="auto"/>
            <w:bottom w:val="none" w:sz="0" w:space="0" w:color="auto"/>
            <w:right w:val="none" w:sz="0" w:space="0" w:color="auto"/>
          </w:divBdr>
        </w:div>
        <w:div w:id="404571586">
          <w:marLeft w:val="0"/>
          <w:marRight w:val="0"/>
          <w:marTop w:val="0"/>
          <w:marBottom w:val="0"/>
          <w:divBdr>
            <w:top w:val="none" w:sz="0" w:space="0" w:color="auto"/>
            <w:left w:val="none" w:sz="0" w:space="0" w:color="auto"/>
            <w:bottom w:val="none" w:sz="0" w:space="0" w:color="auto"/>
            <w:right w:val="none" w:sz="0" w:space="0" w:color="auto"/>
          </w:divBdr>
        </w:div>
        <w:div w:id="967122602">
          <w:marLeft w:val="0"/>
          <w:marRight w:val="0"/>
          <w:marTop w:val="0"/>
          <w:marBottom w:val="0"/>
          <w:divBdr>
            <w:top w:val="none" w:sz="0" w:space="0" w:color="auto"/>
            <w:left w:val="none" w:sz="0" w:space="0" w:color="auto"/>
            <w:bottom w:val="none" w:sz="0" w:space="0" w:color="auto"/>
            <w:right w:val="none" w:sz="0" w:space="0" w:color="auto"/>
          </w:divBdr>
        </w:div>
        <w:div w:id="26764364">
          <w:marLeft w:val="0"/>
          <w:marRight w:val="0"/>
          <w:marTop w:val="0"/>
          <w:marBottom w:val="0"/>
          <w:divBdr>
            <w:top w:val="none" w:sz="0" w:space="0" w:color="auto"/>
            <w:left w:val="none" w:sz="0" w:space="0" w:color="auto"/>
            <w:bottom w:val="none" w:sz="0" w:space="0" w:color="auto"/>
            <w:right w:val="none" w:sz="0" w:space="0" w:color="auto"/>
          </w:divBdr>
        </w:div>
        <w:div w:id="1800607496">
          <w:marLeft w:val="0"/>
          <w:marRight w:val="0"/>
          <w:marTop w:val="0"/>
          <w:marBottom w:val="0"/>
          <w:divBdr>
            <w:top w:val="none" w:sz="0" w:space="0" w:color="auto"/>
            <w:left w:val="none" w:sz="0" w:space="0" w:color="auto"/>
            <w:bottom w:val="none" w:sz="0" w:space="0" w:color="auto"/>
            <w:right w:val="none" w:sz="0" w:space="0" w:color="auto"/>
          </w:divBdr>
        </w:div>
        <w:div w:id="176428715">
          <w:marLeft w:val="0"/>
          <w:marRight w:val="0"/>
          <w:marTop w:val="0"/>
          <w:marBottom w:val="0"/>
          <w:divBdr>
            <w:top w:val="none" w:sz="0" w:space="0" w:color="auto"/>
            <w:left w:val="none" w:sz="0" w:space="0" w:color="auto"/>
            <w:bottom w:val="none" w:sz="0" w:space="0" w:color="auto"/>
            <w:right w:val="none" w:sz="0" w:space="0" w:color="auto"/>
          </w:divBdr>
        </w:div>
        <w:div w:id="958950604">
          <w:marLeft w:val="0"/>
          <w:marRight w:val="0"/>
          <w:marTop w:val="0"/>
          <w:marBottom w:val="0"/>
          <w:divBdr>
            <w:top w:val="none" w:sz="0" w:space="0" w:color="auto"/>
            <w:left w:val="none" w:sz="0" w:space="0" w:color="auto"/>
            <w:bottom w:val="none" w:sz="0" w:space="0" w:color="auto"/>
            <w:right w:val="none" w:sz="0" w:space="0" w:color="auto"/>
          </w:divBdr>
        </w:div>
        <w:div w:id="2026438791">
          <w:marLeft w:val="0"/>
          <w:marRight w:val="0"/>
          <w:marTop w:val="0"/>
          <w:marBottom w:val="0"/>
          <w:divBdr>
            <w:top w:val="none" w:sz="0" w:space="0" w:color="auto"/>
            <w:left w:val="none" w:sz="0" w:space="0" w:color="auto"/>
            <w:bottom w:val="none" w:sz="0" w:space="0" w:color="auto"/>
            <w:right w:val="none" w:sz="0" w:space="0" w:color="auto"/>
          </w:divBdr>
        </w:div>
      </w:divsChild>
    </w:div>
    <w:div w:id="1157957632">
      <w:bodyDiv w:val="1"/>
      <w:marLeft w:val="0"/>
      <w:marRight w:val="0"/>
      <w:marTop w:val="0"/>
      <w:marBottom w:val="0"/>
      <w:divBdr>
        <w:top w:val="none" w:sz="0" w:space="0" w:color="auto"/>
        <w:left w:val="none" w:sz="0" w:space="0" w:color="auto"/>
        <w:bottom w:val="none" w:sz="0" w:space="0" w:color="auto"/>
        <w:right w:val="none" w:sz="0" w:space="0" w:color="auto"/>
      </w:divBdr>
      <w:divsChild>
        <w:div w:id="962418344">
          <w:marLeft w:val="0"/>
          <w:marRight w:val="0"/>
          <w:marTop w:val="0"/>
          <w:marBottom w:val="0"/>
          <w:divBdr>
            <w:top w:val="none" w:sz="0" w:space="0" w:color="auto"/>
            <w:left w:val="none" w:sz="0" w:space="0" w:color="auto"/>
            <w:bottom w:val="none" w:sz="0" w:space="0" w:color="auto"/>
            <w:right w:val="none" w:sz="0" w:space="0" w:color="auto"/>
          </w:divBdr>
        </w:div>
        <w:div w:id="243347428">
          <w:marLeft w:val="0"/>
          <w:marRight w:val="0"/>
          <w:marTop w:val="0"/>
          <w:marBottom w:val="0"/>
          <w:divBdr>
            <w:top w:val="none" w:sz="0" w:space="0" w:color="auto"/>
            <w:left w:val="none" w:sz="0" w:space="0" w:color="auto"/>
            <w:bottom w:val="none" w:sz="0" w:space="0" w:color="auto"/>
            <w:right w:val="none" w:sz="0" w:space="0" w:color="auto"/>
          </w:divBdr>
        </w:div>
        <w:div w:id="1316302766">
          <w:marLeft w:val="0"/>
          <w:marRight w:val="0"/>
          <w:marTop w:val="0"/>
          <w:marBottom w:val="0"/>
          <w:divBdr>
            <w:top w:val="none" w:sz="0" w:space="0" w:color="auto"/>
            <w:left w:val="none" w:sz="0" w:space="0" w:color="auto"/>
            <w:bottom w:val="none" w:sz="0" w:space="0" w:color="auto"/>
            <w:right w:val="none" w:sz="0" w:space="0" w:color="auto"/>
          </w:divBdr>
        </w:div>
        <w:div w:id="1180654905">
          <w:marLeft w:val="0"/>
          <w:marRight w:val="0"/>
          <w:marTop w:val="0"/>
          <w:marBottom w:val="0"/>
          <w:divBdr>
            <w:top w:val="none" w:sz="0" w:space="0" w:color="auto"/>
            <w:left w:val="none" w:sz="0" w:space="0" w:color="auto"/>
            <w:bottom w:val="none" w:sz="0" w:space="0" w:color="auto"/>
            <w:right w:val="none" w:sz="0" w:space="0" w:color="auto"/>
          </w:divBdr>
        </w:div>
        <w:div w:id="158929560">
          <w:marLeft w:val="0"/>
          <w:marRight w:val="0"/>
          <w:marTop w:val="0"/>
          <w:marBottom w:val="0"/>
          <w:divBdr>
            <w:top w:val="none" w:sz="0" w:space="0" w:color="auto"/>
            <w:left w:val="none" w:sz="0" w:space="0" w:color="auto"/>
            <w:bottom w:val="none" w:sz="0" w:space="0" w:color="auto"/>
            <w:right w:val="none" w:sz="0" w:space="0" w:color="auto"/>
          </w:divBdr>
        </w:div>
        <w:div w:id="1356080545">
          <w:marLeft w:val="0"/>
          <w:marRight w:val="0"/>
          <w:marTop w:val="0"/>
          <w:marBottom w:val="0"/>
          <w:divBdr>
            <w:top w:val="none" w:sz="0" w:space="0" w:color="auto"/>
            <w:left w:val="none" w:sz="0" w:space="0" w:color="auto"/>
            <w:bottom w:val="none" w:sz="0" w:space="0" w:color="auto"/>
            <w:right w:val="none" w:sz="0" w:space="0" w:color="auto"/>
          </w:divBdr>
        </w:div>
        <w:div w:id="470632556">
          <w:marLeft w:val="0"/>
          <w:marRight w:val="0"/>
          <w:marTop w:val="0"/>
          <w:marBottom w:val="0"/>
          <w:divBdr>
            <w:top w:val="none" w:sz="0" w:space="0" w:color="auto"/>
            <w:left w:val="none" w:sz="0" w:space="0" w:color="auto"/>
            <w:bottom w:val="none" w:sz="0" w:space="0" w:color="auto"/>
            <w:right w:val="none" w:sz="0" w:space="0" w:color="auto"/>
          </w:divBdr>
        </w:div>
        <w:div w:id="14499112">
          <w:marLeft w:val="0"/>
          <w:marRight w:val="0"/>
          <w:marTop w:val="0"/>
          <w:marBottom w:val="0"/>
          <w:divBdr>
            <w:top w:val="none" w:sz="0" w:space="0" w:color="auto"/>
            <w:left w:val="none" w:sz="0" w:space="0" w:color="auto"/>
            <w:bottom w:val="none" w:sz="0" w:space="0" w:color="auto"/>
            <w:right w:val="none" w:sz="0" w:space="0" w:color="auto"/>
          </w:divBdr>
        </w:div>
        <w:div w:id="973145911">
          <w:marLeft w:val="0"/>
          <w:marRight w:val="0"/>
          <w:marTop w:val="0"/>
          <w:marBottom w:val="0"/>
          <w:divBdr>
            <w:top w:val="none" w:sz="0" w:space="0" w:color="auto"/>
            <w:left w:val="none" w:sz="0" w:space="0" w:color="auto"/>
            <w:bottom w:val="none" w:sz="0" w:space="0" w:color="auto"/>
            <w:right w:val="none" w:sz="0" w:space="0" w:color="auto"/>
          </w:divBdr>
        </w:div>
        <w:div w:id="1107308716">
          <w:marLeft w:val="0"/>
          <w:marRight w:val="0"/>
          <w:marTop w:val="0"/>
          <w:marBottom w:val="0"/>
          <w:divBdr>
            <w:top w:val="none" w:sz="0" w:space="0" w:color="auto"/>
            <w:left w:val="none" w:sz="0" w:space="0" w:color="auto"/>
            <w:bottom w:val="none" w:sz="0" w:space="0" w:color="auto"/>
            <w:right w:val="none" w:sz="0" w:space="0" w:color="auto"/>
          </w:divBdr>
        </w:div>
        <w:div w:id="1281914441">
          <w:marLeft w:val="0"/>
          <w:marRight w:val="0"/>
          <w:marTop w:val="0"/>
          <w:marBottom w:val="0"/>
          <w:divBdr>
            <w:top w:val="none" w:sz="0" w:space="0" w:color="auto"/>
            <w:left w:val="none" w:sz="0" w:space="0" w:color="auto"/>
            <w:bottom w:val="none" w:sz="0" w:space="0" w:color="auto"/>
            <w:right w:val="none" w:sz="0" w:space="0" w:color="auto"/>
          </w:divBdr>
        </w:div>
        <w:div w:id="1999379852">
          <w:marLeft w:val="0"/>
          <w:marRight w:val="0"/>
          <w:marTop w:val="0"/>
          <w:marBottom w:val="0"/>
          <w:divBdr>
            <w:top w:val="none" w:sz="0" w:space="0" w:color="auto"/>
            <w:left w:val="none" w:sz="0" w:space="0" w:color="auto"/>
            <w:bottom w:val="none" w:sz="0" w:space="0" w:color="auto"/>
            <w:right w:val="none" w:sz="0" w:space="0" w:color="auto"/>
          </w:divBdr>
        </w:div>
        <w:div w:id="315961859">
          <w:marLeft w:val="0"/>
          <w:marRight w:val="0"/>
          <w:marTop w:val="0"/>
          <w:marBottom w:val="0"/>
          <w:divBdr>
            <w:top w:val="none" w:sz="0" w:space="0" w:color="auto"/>
            <w:left w:val="none" w:sz="0" w:space="0" w:color="auto"/>
            <w:bottom w:val="none" w:sz="0" w:space="0" w:color="auto"/>
            <w:right w:val="none" w:sz="0" w:space="0" w:color="auto"/>
          </w:divBdr>
        </w:div>
        <w:div w:id="1186091165">
          <w:marLeft w:val="0"/>
          <w:marRight w:val="0"/>
          <w:marTop w:val="0"/>
          <w:marBottom w:val="0"/>
          <w:divBdr>
            <w:top w:val="none" w:sz="0" w:space="0" w:color="auto"/>
            <w:left w:val="none" w:sz="0" w:space="0" w:color="auto"/>
            <w:bottom w:val="none" w:sz="0" w:space="0" w:color="auto"/>
            <w:right w:val="none" w:sz="0" w:space="0" w:color="auto"/>
          </w:divBdr>
        </w:div>
        <w:div w:id="1222598234">
          <w:marLeft w:val="0"/>
          <w:marRight w:val="0"/>
          <w:marTop w:val="0"/>
          <w:marBottom w:val="0"/>
          <w:divBdr>
            <w:top w:val="none" w:sz="0" w:space="0" w:color="auto"/>
            <w:left w:val="none" w:sz="0" w:space="0" w:color="auto"/>
            <w:bottom w:val="none" w:sz="0" w:space="0" w:color="auto"/>
            <w:right w:val="none" w:sz="0" w:space="0" w:color="auto"/>
          </w:divBdr>
        </w:div>
        <w:div w:id="1492525241">
          <w:marLeft w:val="0"/>
          <w:marRight w:val="0"/>
          <w:marTop w:val="0"/>
          <w:marBottom w:val="0"/>
          <w:divBdr>
            <w:top w:val="none" w:sz="0" w:space="0" w:color="auto"/>
            <w:left w:val="none" w:sz="0" w:space="0" w:color="auto"/>
            <w:bottom w:val="none" w:sz="0" w:space="0" w:color="auto"/>
            <w:right w:val="none" w:sz="0" w:space="0" w:color="auto"/>
          </w:divBdr>
        </w:div>
        <w:div w:id="2066440897">
          <w:marLeft w:val="0"/>
          <w:marRight w:val="0"/>
          <w:marTop w:val="0"/>
          <w:marBottom w:val="0"/>
          <w:divBdr>
            <w:top w:val="none" w:sz="0" w:space="0" w:color="auto"/>
            <w:left w:val="none" w:sz="0" w:space="0" w:color="auto"/>
            <w:bottom w:val="none" w:sz="0" w:space="0" w:color="auto"/>
            <w:right w:val="none" w:sz="0" w:space="0" w:color="auto"/>
          </w:divBdr>
        </w:div>
        <w:div w:id="600650314">
          <w:marLeft w:val="0"/>
          <w:marRight w:val="0"/>
          <w:marTop w:val="0"/>
          <w:marBottom w:val="0"/>
          <w:divBdr>
            <w:top w:val="none" w:sz="0" w:space="0" w:color="auto"/>
            <w:left w:val="none" w:sz="0" w:space="0" w:color="auto"/>
            <w:bottom w:val="none" w:sz="0" w:space="0" w:color="auto"/>
            <w:right w:val="none" w:sz="0" w:space="0" w:color="auto"/>
          </w:divBdr>
        </w:div>
        <w:div w:id="1398819564">
          <w:marLeft w:val="0"/>
          <w:marRight w:val="0"/>
          <w:marTop w:val="0"/>
          <w:marBottom w:val="0"/>
          <w:divBdr>
            <w:top w:val="none" w:sz="0" w:space="0" w:color="auto"/>
            <w:left w:val="none" w:sz="0" w:space="0" w:color="auto"/>
            <w:bottom w:val="none" w:sz="0" w:space="0" w:color="auto"/>
            <w:right w:val="none" w:sz="0" w:space="0" w:color="auto"/>
          </w:divBdr>
        </w:div>
        <w:div w:id="1721980775">
          <w:marLeft w:val="0"/>
          <w:marRight w:val="0"/>
          <w:marTop w:val="0"/>
          <w:marBottom w:val="0"/>
          <w:divBdr>
            <w:top w:val="none" w:sz="0" w:space="0" w:color="auto"/>
            <w:left w:val="none" w:sz="0" w:space="0" w:color="auto"/>
            <w:bottom w:val="none" w:sz="0" w:space="0" w:color="auto"/>
            <w:right w:val="none" w:sz="0" w:space="0" w:color="auto"/>
          </w:divBdr>
        </w:div>
        <w:div w:id="958414206">
          <w:marLeft w:val="0"/>
          <w:marRight w:val="0"/>
          <w:marTop w:val="0"/>
          <w:marBottom w:val="0"/>
          <w:divBdr>
            <w:top w:val="none" w:sz="0" w:space="0" w:color="auto"/>
            <w:left w:val="none" w:sz="0" w:space="0" w:color="auto"/>
            <w:bottom w:val="none" w:sz="0" w:space="0" w:color="auto"/>
            <w:right w:val="none" w:sz="0" w:space="0" w:color="auto"/>
          </w:divBdr>
        </w:div>
        <w:div w:id="720137550">
          <w:marLeft w:val="0"/>
          <w:marRight w:val="0"/>
          <w:marTop w:val="0"/>
          <w:marBottom w:val="0"/>
          <w:divBdr>
            <w:top w:val="none" w:sz="0" w:space="0" w:color="auto"/>
            <w:left w:val="none" w:sz="0" w:space="0" w:color="auto"/>
            <w:bottom w:val="none" w:sz="0" w:space="0" w:color="auto"/>
            <w:right w:val="none" w:sz="0" w:space="0" w:color="auto"/>
          </w:divBdr>
        </w:div>
        <w:div w:id="1630162161">
          <w:marLeft w:val="0"/>
          <w:marRight w:val="0"/>
          <w:marTop w:val="0"/>
          <w:marBottom w:val="0"/>
          <w:divBdr>
            <w:top w:val="none" w:sz="0" w:space="0" w:color="auto"/>
            <w:left w:val="none" w:sz="0" w:space="0" w:color="auto"/>
            <w:bottom w:val="none" w:sz="0" w:space="0" w:color="auto"/>
            <w:right w:val="none" w:sz="0" w:space="0" w:color="auto"/>
          </w:divBdr>
        </w:div>
        <w:div w:id="1700010566">
          <w:marLeft w:val="0"/>
          <w:marRight w:val="0"/>
          <w:marTop w:val="0"/>
          <w:marBottom w:val="0"/>
          <w:divBdr>
            <w:top w:val="none" w:sz="0" w:space="0" w:color="auto"/>
            <w:left w:val="none" w:sz="0" w:space="0" w:color="auto"/>
            <w:bottom w:val="none" w:sz="0" w:space="0" w:color="auto"/>
            <w:right w:val="none" w:sz="0" w:space="0" w:color="auto"/>
          </w:divBdr>
        </w:div>
        <w:div w:id="1853257651">
          <w:marLeft w:val="0"/>
          <w:marRight w:val="0"/>
          <w:marTop w:val="0"/>
          <w:marBottom w:val="0"/>
          <w:divBdr>
            <w:top w:val="none" w:sz="0" w:space="0" w:color="auto"/>
            <w:left w:val="none" w:sz="0" w:space="0" w:color="auto"/>
            <w:bottom w:val="none" w:sz="0" w:space="0" w:color="auto"/>
            <w:right w:val="none" w:sz="0" w:space="0" w:color="auto"/>
          </w:divBdr>
        </w:div>
        <w:div w:id="877470149">
          <w:marLeft w:val="0"/>
          <w:marRight w:val="0"/>
          <w:marTop w:val="0"/>
          <w:marBottom w:val="0"/>
          <w:divBdr>
            <w:top w:val="none" w:sz="0" w:space="0" w:color="auto"/>
            <w:left w:val="none" w:sz="0" w:space="0" w:color="auto"/>
            <w:bottom w:val="none" w:sz="0" w:space="0" w:color="auto"/>
            <w:right w:val="none" w:sz="0" w:space="0" w:color="auto"/>
          </w:divBdr>
        </w:div>
        <w:div w:id="474562783">
          <w:marLeft w:val="0"/>
          <w:marRight w:val="0"/>
          <w:marTop w:val="0"/>
          <w:marBottom w:val="0"/>
          <w:divBdr>
            <w:top w:val="none" w:sz="0" w:space="0" w:color="auto"/>
            <w:left w:val="none" w:sz="0" w:space="0" w:color="auto"/>
            <w:bottom w:val="none" w:sz="0" w:space="0" w:color="auto"/>
            <w:right w:val="none" w:sz="0" w:space="0" w:color="auto"/>
          </w:divBdr>
        </w:div>
        <w:div w:id="1261527866">
          <w:marLeft w:val="0"/>
          <w:marRight w:val="0"/>
          <w:marTop w:val="0"/>
          <w:marBottom w:val="0"/>
          <w:divBdr>
            <w:top w:val="none" w:sz="0" w:space="0" w:color="auto"/>
            <w:left w:val="none" w:sz="0" w:space="0" w:color="auto"/>
            <w:bottom w:val="none" w:sz="0" w:space="0" w:color="auto"/>
            <w:right w:val="none" w:sz="0" w:space="0" w:color="auto"/>
          </w:divBdr>
        </w:div>
        <w:div w:id="1309239465">
          <w:marLeft w:val="0"/>
          <w:marRight w:val="0"/>
          <w:marTop w:val="0"/>
          <w:marBottom w:val="0"/>
          <w:divBdr>
            <w:top w:val="none" w:sz="0" w:space="0" w:color="auto"/>
            <w:left w:val="none" w:sz="0" w:space="0" w:color="auto"/>
            <w:bottom w:val="none" w:sz="0" w:space="0" w:color="auto"/>
            <w:right w:val="none" w:sz="0" w:space="0" w:color="auto"/>
          </w:divBdr>
        </w:div>
        <w:div w:id="1358628383">
          <w:marLeft w:val="0"/>
          <w:marRight w:val="0"/>
          <w:marTop w:val="0"/>
          <w:marBottom w:val="0"/>
          <w:divBdr>
            <w:top w:val="none" w:sz="0" w:space="0" w:color="auto"/>
            <w:left w:val="none" w:sz="0" w:space="0" w:color="auto"/>
            <w:bottom w:val="none" w:sz="0" w:space="0" w:color="auto"/>
            <w:right w:val="none" w:sz="0" w:space="0" w:color="auto"/>
          </w:divBdr>
        </w:div>
        <w:div w:id="1701003646">
          <w:marLeft w:val="0"/>
          <w:marRight w:val="0"/>
          <w:marTop w:val="0"/>
          <w:marBottom w:val="0"/>
          <w:divBdr>
            <w:top w:val="none" w:sz="0" w:space="0" w:color="auto"/>
            <w:left w:val="none" w:sz="0" w:space="0" w:color="auto"/>
            <w:bottom w:val="none" w:sz="0" w:space="0" w:color="auto"/>
            <w:right w:val="none" w:sz="0" w:space="0" w:color="auto"/>
          </w:divBdr>
        </w:div>
        <w:div w:id="736325041">
          <w:marLeft w:val="0"/>
          <w:marRight w:val="0"/>
          <w:marTop w:val="0"/>
          <w:marBottom w:val="0"/>
          <w:divBdr>
            <w:top w:val="none" w:sz="0" w:space="0" w:color="auto"/>
            <w:left w:val="none" w:sz="0" w:space="0" w:color="auto"/>
            <w:bottom w:val="none" w:sz="0" w:space="0" w:color="auto"/>
            <w:right w:val="none" w:sz="0" w:space="0" w:color="auto"/>
          </w:divBdr>
        </w:div>
        <w:div w:id="1373457189">
          <w:marLeft w:val="0"/>
          <w:marRight w:val="0"/>
          <w:marTop w:val="0"/>
          <w:marBottom w:val="0"/>
          <w:divBdr>
            <w:top w:val="none" w:sz="0" w:space="0" w:color="auto"/>
            <w:left w:val="none" w:sz="0" w:space="0" w:color="auto"/>
            <w:bottom w:val="none" w:sz="0" w:space="0" w:color="auto"/>
            <w:right w:val="none" w:sz="0" w:space="0" w:color="auto"/>
          </w:divBdr>
        </w:div>
        <w:div w:id="1745181262">
          <w:marLeft w:val="0"/>
          <w:marRight w:val="0"/>
          <w:marTop w:val="0"/>
          <w:marBottom w:val="0"/>
          <w:divBdr>
            <w:top w:val="none" w:sz="0" w:space="0" w:color="auto"/>
            <w:left w:val="none" w:sz="0" w:space="0" w:color="auto"/>
            <w:bottom w:val="none" w:sz="0" w:space="0" w:color="auto"/>
            <w:right w:val="none" w:sz="0" w:space="0" w:color="auto"/>
          </w:divBdr>
        </w:div>
        <w:div w:id="2119517207">
          <w:marLeft w:val="0"/>
          <w:marRight w:val="0"/>
          <w:marTop w:val="0"/>
          <w:marBottom w:val="0"/>
          <w:divBdr>
            <w:top w:val="none" w:sz="0" w:space="0" w:color="auto"/>
            <w:left w:val="none" w:sz="0" w:space="0" w:color="auto"/>
            <w:bottom w:val="none" w:sz="0" w:space="0" w:color="auto"/>
            <w:right w:val="none" w:sz="0" w:space="0" w:color="auto"/>
          </w:divBdr>
        </w:div>
        <w:div w:id="827132067">
          <w:marLeft w:val="0"/>
          <w:marRight w:val="0"/>
          <w:marTop w:val="0"/>
          <w:marBottom w:val="0"/>
          <w:divBdr>
            <w:top w:val="none" w:sz="0" w:space="0" w:color="auto"/>
            <w:left w:val="none" w:sz="0" w:space="0" w:color="auto"/>
            <w:bottom w:val="none" w:sz="0" w:space="0" w:color="auto"/>
            <w:right w:val="none" w:sz="0" w:space="0" w:color="auto"/>
          </w:divBdr>
        </w:div>
        <w:div w:id="1802460254">
          <w:marLeft w:val="0"/>
          <w:marRight w:val="0"/>
          <w:marTop w:val="0"/>
          <w:marBottom w:val="0"/>
          <w:divBdr>
            <w:top w:val="none" w:sz="0" w:space="0" w:color="auto"/>
            <w:left w:val="none" w:sz="0" w:space="0" w:color="auto"/>
            <w:bottom w:val="none" w:sz="0" w:space="0" w:color="auto"/>
            <w:right w:val="none" w:sz="0" w:space="0" w:color="auto"/>
          </w:divBdr>
        </w:div>
        <w:div w:id="837382505">
          <w:marLeft w:val="0"/>
          <w:marRight w:val="0"/>
          <w:marTop w:val="0"/>
          <w:marBottom w:val="0"/>
          <w:divBdr>
            <w:top w:val="none" w:sz="0" w:space="0" w:color="auto"/>
            <w:left w:val="none" w:sz="0" w:space="0" w:color="auto"/>
            <w:bottom w:val="none" w:sz="0" w:space="0" w:color="auto"/>
            <w:right w:val="none" w:sz="0" w:space="0" w:color="auto"/>
          </w:divBdr>
        </w:div>
        <w:div w:id="2005160565">
          <w:marLeft w:val="0"/>
          <w:marRight w:val="0"/>
          <w:marTop w:val="0"/>
          <w:marBottom w:val="0"/>
          <w:divBdr>
            <w:top w:val="none" w:sz="0" w:space="0" w:color="auto"/>
            <w:left w:val="none" w:sz="0" w:space="0" w:color="auto"/>
            <w:bottom w:val="none" w:sz="0" w:space="0" w:color="auto"/>
            <w:right w:val="none" w:sz="0" w:space="0" w:color="auto"/>
          </w:divBdr>
        </w:div>
        <w:div w:id="1664505419">
          <w:marLeft w:val="0"/>
          <w:marRight w:val="0"/>
          <w:marTop w:val="0"/>
          <w:marBottom w:val="0"/>
          <w:divBdr>
            <w:top w:val="none" w:sz="0" w:space="0" w:color="auto"/>
            <w:left w:val="none" w:sz="0" w:space="0" w:color="auto"/>
            <w:bottom w:val="none" w:sz="0" w:space="0" w:color="auto"/>
            <w:right w:val="none" w:sz="0" w:space="0" w:color="auto"/>
          </w:divBdr>
        </w:div>
        <w:div w:id="561142809">
          <w:marLeft w:val="0"/>
          <w:marRight w:val="0"/>
          <w:marTop w:val="0"/>
          <w:marBottom w:val="0"/>
          <w:divBdr>
            <w:top w:val="none" w:sz="0" w:space="0" w:color="auto"/>
            <w:left w:val="none" w:sz="0" w:space="0" w:color="auto"/>
            <w:bottom w:val="none" w:sz="0" w:space="0" w:color="auto"/>
            <w:right w:val="none" w:sz="0" w:space="0" w:color="auto"/>
          </w:divBdr>
        </w:div>
        <w:div w:id="1513881754">
          <w:marLeft w:val="0"/>
          <w:marRight w:val="0"/>
          <w:marTop w:val="0"/>
          <w:marBottom w:val="0"/>
          <w:divBdr>
            <w:top w:val="none" w:sz="0" w:space="0" w:color="auto"/>
            <w:left w:val="none" w:sz="0" w:space="0" w:color="auto"/>
            <w:bottom w:val="none" w:sz="0" w:space="0" w:color="auto"/>
            <w:right w:val="none" w:sz="0" w:space="0" w:color="auto"/>
          </w:divBdr>
        </w:div>
        <w:div w:id="770779429">
          <w:marLeft w:val="0"/>
          <w:marRight w:val="0"/>
          <w:marTop w:val="0"/>
          <w:marBottom w:val="0"/>
          <w:divBdr>
            <w:top w:val="none" w:sz="0" w:space="0" w:color="auto"/>
            <w:left w:val="none" w:sz="0" w:space="0" w:color="auto"/>
            <w:bottom w:val="none" w:sz="0" w:space="0" w:color="auto"/>
            <w:right w:val="none" w:sz="0" w:space="0" w:color="auto"/>
          </w:divBdr>
        </w:div>
        <w:div w:id="239340376">
          <w:marLeft w:val="0"/>
          <w:marRight w:val="0"/>
          <w:marTop w:val="0"/>
          <w:marBottom w:val="0"/>
          <w:divBdr>
            <w:top w:val="none" w:sz="0" w:space="0" w:color="auto"/>
            <w:left w:val="none" w:sz="0" w:space="0" w:color="auto"/>
            <w:bottom w:val="none" w:sz="0" w:space="0" w:color="auto"/>
            <w:right w:val="none" w:sz="0" w:space="0" w:color="auto"/>
          </w:divBdr>
        </w:div>
        <w:div w:id="1143696501">
          <w:marLeft w:val="0"/>
          <w:marRight w:val="0"/>
          <w:marTop w:val="0"/>
          <w:marBottom w:val="0"/>
          <w:divBdr>
            <w:top w:val="none" w:sz="0" w:space="0" w:color="auto"/>
            <w:left w:val="none" w:sz="0" w:space="0" w:color="auto"/>
            <w:bottom w:val="none" w:sz="0" w:space="0" w:color="auto"/>
            <w:right w:val="none" w:sz="0" w:space="0" w:color="auto"/>
          </w:divBdr>
        </w:div>
        <w:div w:id="1600793527">
          <w:marLeft w:val="0"/>
          <w:marRight w:val="0"/>
          <w:marTop w:val="0"/>
          <w:marBottom w:val="0"/>
          <w:divBdr>
            <w:top w:val="none" w:sz="0" w:space="0" w:color="auto"/>
            <w:left w:val="none" w:sz="0" w:space="0" w:color="auto"/>
            <w:bottom w:val="none" w:sz="0" w:space="0" w:color="auto"/>
            <w:right w:val="none" w:sz="0" w:space="0" w:color="auto"/>
          </w:divBdr>
        </w:div>
        <w:div w:id="281377781">
          <w:marLeft w:val="0"/>
          <w:marRight w:val="0"/>
          <w:marTop w:val="0"/>
          <w:marBottom w:val="0"/>
          <w:divBdr>
            <w:top w:val="none" w:sz="0" w:space="0" w:color="auto"/>
            <w:left w:val="none" w:sz="0" w:space="0" w:color="auto"/>
            <w:bottom w:val="none" w:sz="0" w:space="0" w:color="auto"/>
            <w:right w:val="none" w:sz="0" w:space="0" w:color="auto"/>
          </w:divBdr>
        </w:div>
        <w:div w:id="498739790">
          <w:marLeft w:val="0"/>
          <w:marRight w:val="0"/>
          <w:marTop w:val="0"/>
          <w:marBottom w:val="0"/>
          <w:divBdr>
            <w:top w:val="none" w:sz="0" w:space="0" w:color="auto"/>
            <w:left w:val="none" w:sz="0" w:space="0" w:color="auto"/>
            <w:bottom w:val="none" w:sz="0" w:space="0" w:color="auto"/>
            <w:right w:val="none" w:sz="0" w:space="0" w:color="auto"/>
          </w:divBdr>
        </w:div>
        <w:div w:id="187178893">
          <w:marLeft w:val="0"/>
          <w:marRight w:val="0"/>
          <w:marTop w:val="0"/>
          <w:marBottom w:val="0"/>
          <w:divBdr>
            <w:top w:val="none" w:sz="0" w:space="0" w:color="auto"/>
            <w:left w:val="none" w:sz="0" w:space="0" w:color="auto"/>
            <w:bottom w:val="none" w:sz="0" w:space="0" w:color="auto"/>
            <w:right w:val="none" w:sz="0" w:space="0" w:color="auto"/>
          </w:divBdr>
        </w:div>
        <w:div w:id="1792701099">
          <w:marLeft w:val="0"/>
          <w:marRight w:val="0"/>
          <w:marTop w:val="0"/>
          <w:marBottom w:val="0"/>
          <w:divBdr>
            <w:top w:val="none" w:sz="0" w:space="0" w:color="auto"/>
            <w:left w:val="none" w:sz="0" w:space="0" w:color="auto"/>
            <w:bottom w:val="none" w:sz="0" w:space="0" w:color="auto"/>
            <w:right w:val="none" w:sz="0" w:space="0" w:color="auto"/>
          </w:divBdr>
        </w:div>
        <w:div w:id="998653275">
          <w:marLeft w:val="0"/>
          <w:marRight w:val="0"/>
          <w:marTop w:val="0"/>
          <w:marBottom w:val="0"/>
          <w:divBdr>
            <w:top w:val="none" w:sz="0" w:space="0" w:color="auto"/>
            <w:left w:val="none" w:sz="0" w:space="0" w:color="auto"/>
            <w:bottom w:val="none" w:sz="0" w:space="0" w:color="auto"/>
            <w:right w:val="none" w:sz="0" w:space="0" w:color="auto"/>
          </w:divBdr>
        </w:div>
        <w:div w:id="1787846051">
          <w:marLeft w:val="0"/>
          <w:marRight w:val="0"/>
          <w:marTop w:val="0"/>
          <w:marBottom w:val="0"/>
          <w:divBdr>
            <w:top w:val="none" w:sz="0" w:space="0" w:color="auto"/>
            <w:left w:val="none" w:sz="0" w:space="0" w:color="auto"/>
            <w:bottom w:val="none" w:sz="0" w:space="0" w:color="auto"/>
            <w:right w:val="none" w:sz="0" w:space="0" w:color="auto"/>
          </w:divBdr>
        </w:div>
        <w:div w:id="1341547672">
          <w:marLeft w:val="0"/>
          <w:marRight w:val="0"/>
          <w:marTop w:val="0"/>
          <w:marBottom w:val="0"/>
          <w:divBdr>
            <w:top w:val="none" w:sz="0" w:space="0" w:color="auto"/>
            <w:left w:val="none" w:sz="0" w:space="0" w:color="auto"/>
            <w:bottom w:val="none" w:sz="0" w:space="0" w:color="auto"/>
            <w:right w:val="none" w:sz="0" w:space="0" w:color="auto"/>
          </w:divBdr>
        </w:div>
        <w:div w:id="1166483941">
          <w:marLeft w:val="0"/>
          <w:marRight w:val="0"/>
          <w:marTop w:val="0"/>
          <w:marBottom w:val="0"/>
          <w:divBdr>
            <w:top w:val="none" w:sz="0" w:space="0" w:color="auto"/>
            <w:left w:val="none" w:sz="0" w:space="0" w:color="auto"/>
            <w:bottom w:val="none" w:sz="0" w:space="0" w:color="auto"/>
            <w:right w:val="none" w:sz="0" w:space="0" w:color="auto"/>
          </w:divBdr>
        </w:div>
        <w:div w:id="1672100373">
          <w:marLeft w:val="0"/>
          <w:marRight w:val="0"/>
          <w:marTop w:val="0"/>
          <w:marBottom w:val="0"/>
          <w:divBdr>
            <w:top w:val="none" w:sz="0" w:space="0" w:color="auto"/>
            <w:left w:val="none" w:sz="0" w:space="0" w:color="auto"/>
            <w:bottom w:val="none" w:sz="0" w:space="0" w:color="auto"/>
            <w:right w:val="none" w:sz="0" w:space="0" w:color="auto"/>
          </w:divBdr>
        </w:div>
        <w:div w:id="1147278916">
          <w:marLeft w:val="0"/>
          <w:marRight w:val="0"/>
          <w:marTop w:val="0"/>
          <w:marBottom w:val="0"/>
          <w:divBdr>
            <w:top w:val="none" w:sz="0" w:space="0" w:color="auto"/>
            <w:left w:val="none" w:sz="0" w:space="0" w:color="auto"/>
            <w:bottom w:val="none" w:sz="0" w:space="0" w:color="auto"/>
            <w:right w:val="none" w:sz="0" w:space="0" w:color="auto"/>
          </w:divBdr>
        </w:div>
        <w:div w:id="1120487573">
          <w:marLeft w:val="0"/>
          <w:marRight w:val="0"/>
          <w:marTop w:val="0"/>
          <w:marBottom w:val="0"/>
          <w:divBdr>
            <w:top w:val="none" w:sz="0" w:space="0" w:color="auto"/>
            <w:left w:val="none" w:sz="0" w:space="0" w:color="auto"/>
            <w:bottom w:val="none" w:sz="0" w:space="0" w:color="auto"/>
            <w:right w:val="none" w:sz="0" w:space="0" w:color="auto"/>
          </w:divBdr>
        </w:div>
        <w:div w:id="221990000">
          <w:marLeft w:val="0"/>
          <w:marRight w:val="0"/>
          <w:marTop w:val="0"/>
          <w:marBottom w:val="0"/>
          <w:divBdr>
            <w:top w:val="none" w:sz="0" w:space="0" w:color="auto"/>
            <w:left w:val="none" w:sz="0" w:space="0" w:color="auto"/>
            <w:bottom w:val="none" w:sz="0" w:space="0" w:color="auto"/>
            <w:right w:val="none" w:sz="0" w:space="0" w:color="auto"/>
          </w:divBdr>
        </w:div>
        <w:div w:id="2056419389">
          <w:marLeft w:val="0"/>
          <w:marRight w:val="0"/>
          <w:marTop w:val="0"/>
          <w:marBottom w:val="0"/>
          <w:divBdr>
            <w:top w:val="none" w:sz="0" w:space="0" w:color="auto"/>
            <w:left w:val="none" w:sz="0" w:space="0" w:color="auto"/>
            <w:bottom w:val="none" w:sz="0" w:space="0" w:color="auto"/>
            <w:right w:val="none" w:sz="0" w:space="0" w:color="auto"/>
          </w:divBdr>
        </w:div>
        <w:div w:id="1838499382">
          <w:marLeft w:val="0"/>
          <w:marRight w:val="0"/>
          <w:marTop w:val="0"/>
          <w:marBottom w:val="0"/>
          <w:divBdr>
            <w:top w:val="none" w:sz="0" w:space="0" w:color="auto"/>
            <w:left w:val="none" w:sz="0" w:space="0" w:color="auto"/>
            <w:bottom w:val="none" w:sz="0" w:space="0" w:color="auto"/>
            <w:right w:val="none" w:sz="0" w:space="0" w:color="auto"/>
          </w:divBdr>
        </w:div>
        <w:div w:id="578373132">
          <w:marLeft w:val="0"/>
          <w:marRight w:val="0"/>
          <w:marTop w:val="0"/>
          <w:marBottom w:val="0"/>
          <w:divBdr>
            <w:top w:val="none" w:sz="0" w:space="0" w:color="auto"/>
            <w:left w:val="none" w:sz="0" w:space="0" w:color="auto"/>
            <w:bottom w:val="none" w:sz="0" w:space="0" w:color="auto"/>
            <w:right w:val="none" w:sz="0" w:space="0" w:color="auto"/>
          </w:divBdr>
        </w:div>
        <w:div w:id="1488672866">
          <w:marLeft w:val="0"/>
          <w:marRight w:val="0"/>
          <w:marTop w:val="0"/>
          <w:marBottom w:val="0"/>
          <w:divBdr>
            <w:top w:val="none" w:sz="0" w:space="0" w:color="auto"/>
            <w:left w:val="none" w:sz="0" w:space="0" w:color="auto"/>
            <w:bottom w:val="none" w:sz="0" w:space="0" w:color="auto"/>
            <w:right w:val="none" w:sz="0" w:space="0" w:color="auto"/>
          </w:divBdr>
        </w:div>
        <w:div w:id="1384911978">
          <w:marLeft w:val="0"/>
          <w:marRight w:val="0"/>
          <w:marTop w:val="0"/>
          <w:marBottom w:val="0"/>
          <w:divBdr>
            <w:top w:val="none" w:sz="0" w:space="0" w:color="auto"/>
            <w:left w:val="none" w:sz="0" w:space="0" w:color="auto"/>
            <w:bottom w:val="none" w:sz="0" w:space="0" w:color="auto"/>
            <w:right w:val="none" w:sz="0" w:space="0" w:color="auto"/>
          </w:divBdr>
        </w:div>
        <w:div w:id="891160774">
          <w:marLeft w:val="0"/>
          <w:marRight w:val="0"/>
          <w:marTop w:val="0"/>
          <w:marBottom w:val="0"/>
          <w:divBdr>
            <w:top w:val="none" w:sz="0" w:space="0" w:color="auto"/>
            <w:left w:val="none" w:sz="0" w:space="0" w:color="auto"/>
            <w:bottom w:val="none" w:sz="0" w:space="0" w:color="auto"/>
            <w:right w:val="none" w:sz="0" w:space="0" w:color="auto"/>
          </w:divBdr>
        </w:div>
        <w:div w:id="206645679">
          <w:marLeft w:val="0"/>
          <w:marRight w:val="0"/>
          <w:marTop w:val="0"/>
          <w:marBottom w:val="0"/>
          <w:divBdr>
            <w:top w:val="none" w:sz="0" w:space="0" w:color="auto"/>
            <w:left w:val="none" w:sz="0" w:space="0" w:color="auto"/>
            <w:bottom w:val="none" w:sz="0" w:space="0" w:color="auto"/>
            <w:right w:val="none" w:sz="0" w:space="0" w:color="auto"/>
          </w:divBdr>
        </w:div>
        <w:div w:id="587812846">
          <w:marLeft w:val="0"/>
          <w:marRight w:val="0"/>
          <w:marTop w:val="0"/>
          <w:marBottom w:val="0"/>
          <w:divBdr>
            <w:top w:val="none" w:sz="0" w:space="0" w:color="auto"/>
            <w:left w:val="none" w:sz="0" w:space="0" w:color="auto"/>
            <w:bottom w:val="none" w:sz="0" w:space="0" w:color="auto"/>
            <w:right w:val="none" w:sz="0" w:space="0" w:color="auto"/>
          </w:divBdr>
        </w:div>
        <w:div w:id="2116172512">
          <w:marLeft w:val="0"/>
          <w:marRight w:val="0"/>
          <w:marTop w:val="0"/>
          <w:marBottom w:val="0"/>
          <w:divBdr>
            <w:top w:val="none" w:sz="0" w:space="0" w:color="auto"/>
            <w:left w:val="none" w:sz="0" w:space="0" w:color="auto"/>
            <w:bottom w:val="none" w:sz="0" w:space="0" w:color="auto"/>
            <w:right w:val="none" w:sz="0" w:space="0" w:color="auto"/>
          </w:divBdr>
        </w:div>
        <w:div w:id="699748417">
          <w:marLeft w:val="0"/>
          <w:marRight w:val="0"/>
          <w:marTop w:val="0"/>
          <w:marBottom w:val="0"/>
          <w:divBdr>
            <w:top w:val="none" w:sz="0" w:space="0" w:color="auto"/>
            <w:left w:val="none" w:sz="0" w:space="0" w:color="auto"/>
            <w:bottom w:val="none" w:sz="0" w:space="0" w:color="auto"/>
            <w:right w:val="none" w:sz="0" w:space="0" w:color="auto"/>
          </w:divBdr>
        </w:div>
        <w:div w:id="1828132162">
          <w:marLeft w:val="0"/>
          <w:marRight w:val="0"/>
          <w:marTop w:val="0"/>
          <w:marBottom w:val="0"/>
          <w:divBdr>
            <w:top w:val="none" w:sz="0" w:space="0" w:color="auto"/>
            <w:left w:val="none" w:sz="0" w:space="0" w:color="auto"/>
            <w:bottom w:val="none" w:sz="0" w:space="0" w:color="auto"/>
            <w:right w:val="none" w:sz="0" w:space="0" w:color="auto"/>
          </w:divBdr>
        </w:div>
        <w:div w:id="158353794">
          <w:marLeft w:val="0"/>
          <w:marRight w:val="0"/>
          <w:marTop w:val="0"/>
          <w:marBottom w:val="0"/>
          <w:divBdr>
            <w:top w:val="none" w:sz="0" w:space="0" w:color="auto"/>
            <w:left w:val="none" w:sz="0" w:space="0" w:color="auto"/>
            <w:bottom w:val="none" w:sz="0" w:space="0" w:color="auto"/>
            <w:right w:val="none" w:sz="0" w:space="0" w:color="auto"/>
          </w:divBdr>
        </w:div>
        <w:div w:id="502352623">
          <w:marLeft w:val="0"/>
          <w:marRight w:val="0"/>
          <w:marTop w:val="0"/>
          <w:marBottom w:val="0"/>
          <w:divBdr>
            <w:top w:val="none" w:sz="0" w:space="0" w:color="auto"/>
            <w:left w:val="none" w:sz="0" w:space="0" w:color="auto"/>
            <w:bottom w:val="none" w:sz="0" w:space="0" w:color="auto"/>
            <w:right w:val="none" w:sz="0" w:space="0" w:color="auto"/>
          </w:divBdr>
        </w:div>
        <w:div w:id="1508641017">
          <w:marLeft w:val="0"/>
          <w:marRight w:val="0"/>
          <w:marTop w:val="0"/>
          <w:marBottom w:val="0"/>
          <w:divBdr>
            <w:top w:val="none" w:sz="0" w:space="0" w:color="auto"/>
            <w:left w:val="none" w:sz="0" w:space="0" w:color="auto"/>
            <w:bottom w:val="none" w:sz="0" w:space="0" w:color="auto"/>
            <w:right w:val="none" w:sz="0" w:space="0" w:color="auto"/>
          </w:divBdr>
        </w:div>
        <w:div w:id="1388410666">
          <w:marLeft w:val="0"/>
          <w:marRight w:val="0"/>
          <w:marTop w:val="0"/>
          <w:marBottom w:val="0"/>
          <w:divBdr>
            <w:top w:val="none" w:sz="0" w:space="0" w:color="auto"/>
            <w:left w:val="none" w:sz="0" w:space="0" w:color="auto"/>
            <w:bottom w:val="none" w:sz="0" w:space="0" w:color="auto"/>
            <w:right w:val="none" w:sz="0" w:space="0" w:color="auto"/>
          </w:divBdr>
        </w:div>
        <w:div w:id="1054505309">
          <w:marLeft w:val="0"/>
          <w:marRight w:val="0"/>
          <w:marTop w:val="0"/>
          <w:marBottom w:val="0"/>
          <w:divBdr>
            <w:top w:val="none" w:sz="0" w:space="0" w:color="auto"/>
            <w:left w:val="none" w:sz="0" w:space="0" w:color="auto"/>
            <w:bottom w:val="none" w:sz="0" w:space="0" w:color="auto"/>
            <w:right w:val="none" w:sz="0" w:space="0" w:color="auto"/>
          </w:divBdr>
        </w:div>
        <w:div w:id="242226426">
          <w:marLeft w:val="0"/>
          <w:marRight w:val="0"/>
          <w:marTop w:val="0"/>
          <w:marBottom w:val="0"/>
          <w:divBdr>
            <w:top w:val="none" w:sz="0" w:space="0" w:color="auto"/>
            <w:left w:val="none" w:sz="0" w:space="0" w:color="auto"/>
            <w:bottom w:val="none" w:sz="0" w:space="0" w:color="auto"/>
            <w:right w:val="none" w:sz="0" w:space="0" w:color="auto"/>
          </w:divBdr>
        </w:div>
        <w:div w:id="953173780">
          <w:marLeft w:val="0"/>
          <w:marRight w:val="0"/>
          <w:marTop w:val="0"/>
          <w:marBottom w:val="0"/>
          <w:divBdr>
            <w:top w:val="none" w:sz="0" w:space="0" w:color="auto"/>
            <w:left w:val="none" w:sz="0" w:space="0" w:color="auto"/>
            <w:bottom w:val="none" w:sz="0" w:space="0" w:color="auto"/>
            <w:right w:val="none" w:sz="0" w:space="0" w:color="auto"/>
          </w:divBdr>
        </w:div>
        <w:div w:id="1440101158">
          <w:marLeft w:val="0"/>
          <w:marRight w:val="0"/>
          <w:marTop w:val="0"/>
          <w:marBottom w:val="0"/>
          <w:divBdr>
            <w:top w:val="none" w:sz="0" w:space="0" w:color="auto"/>
            <w:left w:val="none" w:sz="0" w:space="0" w:color="auto"/>
            <w:bottom w:val="none" w:sz="0" w:space="0" w:color="auto"/>
            <w:right w:val="none" w:sz="0" w:space="0" w:color="auto"/>
          </w:divBdr>
        </w:div>
        <w:div w:id="1359622098">
          <w:marLeft w:val="0"/>
          <w:marRight w:val="0"/>
          <w:marTop w:val="0"/>
          <w:marBottom w:val="0"/>
          <w:divBdr>
            <w:top w:val="none" w:sz="0" w:space="0" w:color="auto"/>
            <w:left w:val="none" w:sz="0" w:space="0" w:color="auto"/>
            <w:bottom w:val="none" w:sz="0" w:space="0" w:color="auto"/>
            <w:right w:val="none" w:sz="0" w:space="0" w:color="auto"/>
          </w:divBdr>
        </w:div>
        <w:div w:id="562568946">
          <w:marLeft w:val="0"/>
          <w:marRight w:val="0"/>
          <w:marTop w:val="0"/>
          <w:marBottom w:val="0"/>
          <w:divBdr>
            <w:top w:val="none" w:sz="0" w:space="0" w:color="auto"/>
            <w:left w:val="none" w:sz="0" w:space="0" w:color="auto"/>
            <w:bottom w:val="none" w:sz="0" w:space="0" w:color="auto"/>
            <w:right w:val="none" w:sz="0" w:space="0" w:color="auto"/>
          </w:divBdr>
        </w:div>
      </w:divsChild>
    </w:div>
    <w:div w:id="1163936264">
      <w:bodyDiv w:val="1"/>
      <w:marLeft w:val="0"/>
      <w:marRight w:val="0"/>
      <w:marTop w:val="0"/>
      <w:marBottom w:val="0"/>
      <w:divBdr>
        <w:top w:val="none" w:sz="0" w:space="0" w:color="auto"/>
        <w:left w:val="none" w:sz="0" w:space="0" w:color="auto"/>
        <w:bottom w:val="none" w:sz="0" w:space="0" w:color="auto"/>
        <w:right w:val="none" w:sz="0" w:space="0" w:color="auto"/>
      </w:divBdr>
    </w:div>
    <w:div w:id="1178034550">
      <w:bodyDiv w:val="1"/>
      <w:marLeft w:val="0"/>
      <w:marRight w:val="0"/>
      <w:marTop w:val="0"/>
      <w:marBottom w:val="0"/>
      <w:divBdr>
        <w:top w:val="none" w:sz="0" w:space="0" w:color="auto"/>
        <w:left w:val="none" w:sz="0" w:space="0" w:color="auto"/>
        <w:bottom w:val="none" w:sz="0" w:space="0" w:color="auto"/>
        <w:right w:val="none" w:sz="0" w:space="0" w:color="auto"/>
      </w:divBdr>
      <w:divsChild>
        <w:div w:id="183439993">
          <w:marLeft w:val="0"/>
          <w:marRight w:val="0"/>
          <w:marTop w:val="0"/>
          <w:marBottom w:val="0"/>
          <w:divBdr>
            <w:top w:val="none" w:sz="0" w:space="0" w:color="auto"/>
            <w:left w:val="none" w:sz="0" w:space="0" w:color="auto"/>
            <w:bottom w:val="none" w:sz="0" w:space="0" w:color="auto"/>
            <w:right w:val="none" w:sz="0" w:space="0" w:color="auto"/>
          </w:divBdr>
        </w:div>
        <w:div w:id="964432916">
          <w:marLeft w:val="0"/>
          <w:marRight w:val="0"/>
          <w:marTop w:val="0"/>
          <w:marBottom w:val="0"/>
          <w:divBdr>
            <w:top w:val="none" w:sz="0" w:space="0" w:color="auto"/>
            <w:left w:val="none" w:sz="0" w:space="0" w:color="auto"/>
            <w:bottom w:val="none" w:sz="0" w:space="0" w:color="auto"/>
            <w:right w:val="none" w:sz="0" w:space="0" w:color="auto"/>
          </w:divBdr>
        </w:div>
        <w:div w:id="1595166343">
          <w:marLeft w:val="0"/>
          <w:marRight w:val="0"/>
          <w:marTop w:val="0"/>
          <w:marBottom w:val="0"/>
          <w:divBdr>
            <w:top w:val="none" w:sz="0" w:space="0" w:color="auto"/>
            <w:left w:val="none" w:sz="0" w:space="0" w:color="auto"/>
            <w:bottom w:val="none" w:sz="0" w:space="0" w:color="auto"/>
            <w:right w:val="none" w:sz="0" w:space="0" w:color="auto"/>
          </w:divBdr>
        </w:div>
        <w:div w:id="549732838">
          <w:marLeft w:val="0"/>
          <w:marRight w:val="0"/>
          <w:marTop w:val="0"/>
          <w:marBottom w:val="0"/>
          <w:divBdr>
            <w:top w:val="none" w:sz="0" w:space="0" w:color="auto"/>
            <w:left w:val="none" w:sz="0" w:space="0" w:color="auto"/>
            <w:bottom w:val="none" w:sz="0" w:space="0" w:color="auto"/>
            <w:right w:val="none" w:sz="0" w:space="0" w:color="auto"/>
          </w:divBdr>
        </w:div>
        <w:div w:id="696153457">
          <w:marLeft w:val="0"/>
          <w:marRight w:val="0"/>
          <w:marTop w:val="0"/>
          <w:marBottom w:val="0"/>
          <w:divBdr>
            <w:top w:val="none" w:sz="0" w:space="0" w:color="auto"/>
            <w:left w:val="none" w:sz="0" w:space="0" w:color="auto"/>
            <w:bottom w:val="none" w:sz="0" w:space="0" w:color="auto"/>
            <w:right w:val="none" w:sz="0" w:space="0" w:color="auto"/>
          </w:divBdr>
        </w:div>
        <w:div w:id="371539481">
          <w:marLeft w:val="0"/>
          <w:marRight w:val="0"/>
          <w:marTop w:val="0"/>
          <w:marBottom w:val="0"/>
          <w:divBdr>
            <w:top w:val="none" w:sz="0" w:space="0" w:color="auto"/>
            <w:left w:val="none" w:sz="0" w:space="0" w:color="auto"/>
            <w:bottom w:val="none" w:sz="0" w:space="0" w:color="auto"/>
            <w:right w:val="none" w:sz="0" w:space="0" w:color="auto"/>
          </w:divBdr>
        </w:div>
        <w:div w:id="1739981010">
          <w:marLeft w:val="0"/>
          <w:marRight w:val="0"/>
          <w:marTop w:val="0"/>
          <w:marBottom w:val="0"/>
          <w:divBdr>
            <w:top w:val="none" w:sz="0" w:space="0" w:color="auto"/>
            <w:left w:val="none" w:sz="0" w:space="0" w:color="auto"/>
            <w:bottom w:val="none" w:sz="0" w:space="0" w:color="auto"/>
            <w:right w:val="none" w:sz="0" w:space="0" w:color="auto"/>
          </w:divBdr>
        </w:div>
        <w:div w:id="2110274480">
          <w:marLeft w:val="0"/>
          <w:marRight w:val="0"/>
          <w:marTop w:val="0"/>
          <w:marBottom w:val="0"/>
          <w:divBdr>
            <w:top w:val="none" w:sz="0" w:space="0" w:color="auto"/>
            <w:left w:val="none" w:sz="0" w:space="0" w:color="auto"/>
            <w:bottom w:val="none" w:sz="0" w:space="0" w:color="auto"/>
            <w:right w:val="none" w:sz="0" w:space="0" w:color="auto"/>
          </w:divBdr>
        </w:div>
        <w:div w:id="1728258604">
          <w:marLeft w:val="0"/>
          <w:marRight w:val="0"/>
          <w:marTop w:val="0"/>
          <w:marBottom w:val="0"/>
          <w:divBdr>
            <w:top w:val="none" w:sz="0" w:space="0" w:color="auto"/>
            <w:left w:val="none" w:sz="0" w:space="0" w:color="auto"/>
            <w:bottom w:val="none" w:sz="0" w:space="0" w:color="auto"/>
            <w:right w:val="none" w:sz="0" w:space="0" w:color="auto"/>
          </w:divBdr>
        </w:div>
        <w:div w:id="41907322">
          <w:marLeft w:val="0"/>
          <w:marRight w:val="0"/>
          <w:marTop w:val="0"/>
          <w:marBottom w:val="0"/>
          <w:divBdr>
            <w:top w:val="none" w:sz="0" w:space="0" w:color="auto"/>
            <w:left w:val="none" w:sz="0" w:space="0" w:color="auto"/>
            <w:bottom w:val="none" w:sz="0" w:space="0" w:color="auto"/>
            <w:right w:val="none" w:sz="0" w:space="0" w:color="auto"/>
          </w:divBdr>
        </w:div>
        <w:div w:id="638730470">
          <w:marLeft w:val="0"/>
          <w:marRight w:val="0"/>
          <w:marTop w:val="0"/>
          <w:marBottom w:val="0"/>
          <w:divBdr>
            <w:top w:val="none" w:sz="0" w:space="0" w:color="auto"/>
            <w:left w:val="none" w:sz="0" w:space="0" w:color="auto"/>
            <w:bottom w:val="none" w:sz="0" w:space="0" w:color="auto"/>
            <w:right w:val="none" w:sz="0" w:space="0" w:color="auto"/>
          </w:divBdr>
        </w:div>
      </w:divsChild>
    </w:div>
    <w:div w:id="1207450567">
      <w:bodyDiv w:val="1"/>
      <w:marLeft w:val="0"/>
      <w:marRight w:val="0"/>
      <w:marTop w:val="0"/>
      <w:marBottom w:val="0"/>
      <w:divBdr>
        <w:top w:val="none" w:sz="0" w:space="0" w:color="auto"/>
        <w:left w:val="none" w:sz="0" w:space="0" w:color="auto"/>
        <w:bottom w:val="none" w:sz="0" w:space="0" w:color="auto"/>
        <w:right w:val="none" w:sz="0" w:space="0" w:color="auto"/>
      </w:divBdr>
    </w:div>
    <w:div w:id="1218661712">
      <w:bodyDiv w:val="1"/>
      <w:marLeft w:val="0"/>
      <w:marRight w:val="0"/>
      <w:marTop w:val="0"/>
      <w:marBottom w:val="0"/>
      <w:divBdr>
        <w:top w:val="none" w:sz="0" w:space="0" w:color="auto"/>
        <w:left w:val="none" w:sz="0" w:space="0" w:color="auto"/>
        <w:bottom w:val="none" w:sz="0" w:space="0" w:color="auto"/>
        <w:right w:val="none" w:sz="0" w:space="0" w:color="auto"/>
      </w:divBdr>
      <w:divsChild>
        <w:div w:id="405961195">
          <w:marLeft w:val="0"/>
          <w:marRight w:val="0"/>
          <w:marTop w:val="0"/>
          <w:marBottom w:val="0"/>
          <w:divBdr>
            <w:top w:val="none" w:sz="0" w:space="0" w:color="auto"/>
            <w:left w:val="none" w:sz="0" w:space="0" w:color="auto"/>
            <w:bottom w:val="none" w:sz="0" w:space="0" w:color="auto"/>
            <w:right w:val="none" w:sz="0" w:space="0" w:color="auto"/>
          </w:divBdr>
        </w:div>
        <w:div w:id="1397896529">
          <w:marLeft w:val="0"/>
          <w:marRight w:val="0"/>
          <w:marTop w:val="0"/>
          <w:marBottom w:val="0"/>
          <w:divBdr>
            <w:top w:val="none" w:sz="0" w:space="0" w:color="auto"/>
            <w:left w:val="none" w:sz="0" w:space="0" w:color="auto"/>
            <w:bottom w:val="none" w:sz="0" w:space="0" w:color="auto"/>
            <w:right w:val="none" w:sz="0" w:space="0" w:color="auto"/>
          </w:divBdr>
        </w:div>
        <w:div w:id="226308252">
          <w:marLeft w:val="0"/>
          <w:marRight w:val="0"/>
          <w:marTop w:val="0"/>
          <w:marBottom w:val="0"/>
          <w:divBdr>
            <w:top w:val="none" w:sz="0" w:space="0" w:color="auto"/>
            <w:left w:val="none" w:sz="0" w:space="0" w:color="auto"/>
            <w:bottom w:val="none" w:sz="0" w:space="0" w:color="auto"/>
            <w:right w:val="none" w:sz="0" w:space="0" w:color="auto"/>
          </w:divBdr>
        </w:div>
        <w:div w:id="1872448146">
          <w:marLeft w:val="0"/>
          <w:marRight w:val="0"/>
          <w:marTop w:val="0"/>
          <w:marBottom w:val="0"/>
          <w:divBdr>
            <w:top w:val="none" w:sz="0" w:space="0" w:color="auto"/>
            <w:left w:val="none" w:sz="0" w:space="0" w:color="auto"/>
            <w:bottom w:val="none" w:sz="0" w:space="0" w:color="auto"/>
            <w:right w:val="none" w:sz="0" w:space="0" w:color="auto"/>
          </w:divBdr>
        </w:div>
        <w:div w:id="1777561562">
          <w:marLeft w:val="0"/>
          <w:marRight w:val="0"/>
          <w:marTop w:val="0"/>
          <w:marBottom w:val="0"/>
          <w:divBdr>
            <w:top w:val="none" w:sz="0" w:space="0" w:color="auto"/>
            <w:left w:val="none" w:sz="0" w:space="0" w:color="auto"/>
            <w:bottom w:val="none" w:sz="0" w:space="0" w:color="auto"/>
            <w:right w:val="none" w:sz="0" w:space="0" w:color="auto"/>
          </w:divBdr>
        </w:div>
        <w:div w:id="978997115">
          <w:marLeft w:val="0"/>
          <w:marRight w:val="0"/>
          <w:marTop w:val="0"/>
          <w:marBottom w:val="0"/>
          <w:divBdr>
            <w:top w:val="none" w:sz="0" w:space="0" w:color="auto"/>
            <w:left w:val="none" w:sz="0" w:space="0" w:color="auto"/>
            <w:bottom w:val="none" w:sz="0" w:space="0" w:color="auto"/>
            <w:right w:val="none" w:sz="0" w:space="0" w:color="auto"/>
          </w:divBdr>
        </w:div>
        <w:div w:id="1247492218">
          <w:marLeft w:val="0"/>
          <w:marRight w:val="0"/>
          <w:marTop w:val="0"/>
          <w:marBottom w:val="0"/>
          <w:divBdr>
            <w:top w:val="none" w:sz="0" w:space="0" w:color="auto"/>
            <w:left w:val="none" w:sz="0" w:space="0" w:color="auto"/>
            <w:bottom w:val="none" w:sz="0" w:space="0" w:color="auto"/>
            <w:right w:val="none" w:sz="0" w:space="0" w:color="auto"/>
          </w:divBdr>
        </w:div>
      </w:divsChild>
    </w:div>
    <w:div w:id="1227187685">
      <w:bodyDiv w:val="1"/>
      <w:marLeft w:val="0"/>
      <w:marRight w:val="0"/>
      <w:marTop w:val="0"/>
      <w:marBottom w:val="0"/>
      <w:divBdr>
        <w:top w:val="none" w:sz="0" w:space="0" w:color="auto"/>
        <w:left w:val="none" w:sz="0" w:space="0" w:color="auto"/>
        <w:bottom w:val="none" w:sz="0" w:space="0" w:color="auto"/>
        <w:right w:val="none" w:sz="0" w:space="0" w:color="auto"/>
      </w:divBdr>
      <w:divsChild>
        <w:div w:id="1190409987">
          <w:marLeft w:val="0"/>
          <w:marRight w:val="0"/>
          <w:marTop w:val="0"/>
          <w:marBottom w:val="0"/>
          <w:divBdr>
            <w:top w:val="none" w:sz="0" w:space="0" w:color="auto"/>
            <w:left w:val="none" w:sz="0" w:space="0" w:color="auto"/>
            <w:bottom w:val="none" w:sz="0" w:space="0" w:color="auto"/>
            <w:right w:val="none" w:sz="0" w:space="0" w:color="auto"/>
          </w:divBdr>
        </w:div>
        <w:div w:id="79375512">
          <w:marLeft w:val="0"/>
          <w:marRight w:val="0"/>
          <w:marTop w:val="0"/>
          <w:marBottom w:val="0"/>
          <w:divBdr>
            <w:top w:val="none" w:sz="0" w:space="0" w:color="auto"/>
            <w:left w:val="none" w:sz="0" w:space="0" w:color="auto"/>
            <w:bottom w:val="none" w:sz="0" w:space="0" w:color="auto"/>
            <w:right w:val="none" w:sz="0" w:space="0" w:color="auto"/>
          </w:divBdr>
        </w:div>
      </w:divsChild>
    </w:div>
    <w:div w:id="1235047978">
      <w:bodyDiv w:val="1"/>
      <w:marLeft w:val="0"/>
      <w:marRight w:val="0"/>
      <w:marTop w:val="0"/>
      <w:marBottom w:val="0"/>
      <w:divBdr>
        <w:top w:val="none" w:sz="0" w:space="0" w:color="auto"/>
        <w:left w:val="none" w:sz="0" w:space="0" w:color="auto"/>
        <w:bottom w:val="none" w:sz="0" w:space="0" w:color="auto"/>
        <w:right w:val="none" w:sz="0" w:space="0" w:color="auto"/>
      </w:divBdr>
      <w:divsChild>
        <w:div w:id="944191147">
          <w:marLeft w:val="0"/>
          <w:marRight w:val="0"/>
          <w:marTop w:val="0"/>
          <w:marBottom w:val="0"/>
          <w:divBdr>
            <w:top w:val="none" w:sz="0" w:space="0" w:color="auto"/>
            <w:left w:val="none" w:sz="0" w:space="0" w:color="auto"/>
            <w:bottom w:val="none" w:sz="0" w:space="0" w:color="auto"/>
            <w:right w:val="none" w:sz="0" w:space="0" w:color="auto"/>
          </w:divBdr>
        </w:div>
        <w:div w:id="1629121387">
          <w:marLeft w:val="0"/>
          <w:marRight w:val="0"/>
          <w:marTop w:val="0"/>
          <w:marBottom w:val="0"/>
          <w:divBdr>
            <w:top w:val="none" w:sz="0" w:space="0" w:color="auto"/>
            <w:left w:val="none" w:sz="0" w:space="0" w:color="auto"/>
            <w:bottom w:val="none" w:sz="0" w:space="0" w:color="auto"/>
            <w:right w:val="none" w:sz="0" w:space="0" w:color="auto"/>
          </w:divBdr>
        </w:div>
        <w:div w:id="387724010">
          <w:marLeft w:val="0"/>
          <w:marRight w:val="0"/>
          <w:marTop w:val="0"/>
          <w:marBottom w:val="0"/>
          <w:divBdr>
            <w:top w:val="none" w:sz="0" w:space="0" w:color="auto"/>
            <w:left w:val="none" w:sz="0" w:space="0" w:color="auto"/>
            <w:bottom w:val="none" w:sz="0" w:space="0" w:color="auto"/>
            <w:right w:val="none" w:sz="0" w:space="0" w:color="auto"/>
          </w:divBdr>
        </w:div>
        <w:div w:id="1243221185">
          <w:marLeft w:val="0"/>
          <w:marRight w:val="0"/>
          <w:marTop w:val="0"/>
          <w:marBottom w:val="0"/>
          <w:divBdr>
            <w:top w:val="none" w:sz="0" w:space="0" w:color="auto"/>
            <w:left w:val="none" w:sz="0" w:space="0" w:color="auto"/>
            <w:bottom w:val="none" w:sz="0" w:space="0" w:color="auto"/>
            <w:right w:val="none" w:sz="0" w:space="0" w:color="auto"/>
          </w:divBdr>
        </w:div>
        <w:div w:id="1411583136">
          <w:marLeft w:val="0"/>
          <w:marRight w:val="0"/>
          <w:marTop w:val="0"/>
          <w:marBottom w:val="0"/>
          <w:divBdr>
            <w:top w:val="none" w:sz="0" w:space="0" w:color="auto"/>
            <w:left w:val="none" w:sz="0" w:space="0" w:color="auto"/>
            <w:bottom w:val="none" w:sz="0" w:space="0" w:color="auto"/>
            <w:right w:val="none" w:sz="0" w:space="0" w:color="auto"/>
          </w:divBdr>
        </w:div>
        <w:div w:id="1759446414">
          <w:marLeft w:val="0"/>
          <w:marRight w:val="0"/>
          <w:marTop w:val="0"/>
          <w:marBottom w:val="0"/>
          <w:divBdr>
            <w:top w:val="none" w:sz="0" w:space="0" w:color="auto"/>
            <w:left w:val="none" w:sz="0" w:space="0" w:color="auto"/>
            <w:bottom w:val="none" w:sz="0" w:space="0" w:color="auto"/>
            <w:right w:val="none" w:sz="0" w:space="0" w:color="auto"/>
          </w:divBdr>
        </w:div>
        <w:div w:id="677927561">
          <w:marLeft w:val="0"/>
          <w:marRight w:val="0"/>
          <w:marTop w:val="0"/>
          <w:marBottom w:val="0"/>
          <w:divBdr>
            <w:top w:val="none" w:sz="0" w:space="0" w:color="auto"/>
            <w:left w:val="none" w:sz="0" w:space="0" w:color="auto"/>
            <w:bottom w:val="none" w:sz="0" w:space="0" w:color="auto"/>
            <w:right w:val="none" w:sz="0" w:space="0" w:color="auto"/>
          </w:divBdr>
        </w:div>
        <w:div w:id="1556893074">
          <w:marLeft w:val="0"/>
          <w:marRight w:val="0"/>
          <w:marTop w:val="0"/>
          <w:marBottom w:val="0"/>
          <w:divBdr>
            <w:top w:val="none" w:sz="0" w:space="0" w:color="auto"/>
            <w:left w:val="none" w:sz="0" w:space="0" w:color="auto"/>
            <w:bottom w:val="none" w:sz="0" w:space="0" w:color="auto"/>
            <w:right w:val="none" w:sz="0" w:space="0" w:color="auto"/>
          </w:divBdr>
        </w:div>
        <w:div w:id="72708661">
          <w:marLeft w:val="0"/>
          <w:marRight w:val="0"/>
          <w:marTop w:val="0"/>
          <w:marBottom w:val="0"/>
          <w:divBdr>
            <w:top w:val="none" w:sz="0" w:space="0" w:color="auto"/>
            <w:left w:val="none" w:sz="0" w:space="0" w:color="auto"/>
            <w:bottom w:val="none" w:sz="0" w:space="0" w:color="auto"/>
            <w:right w:val="none" w:sz="0" w:space="0" w:color="auto"/>
          </w:divBdr>
        </w:div>
        <w:div w:id="115369840">
          <w:marLeft w:val="0"/>
          <w:marRight w:val="0"/>
          <w:marTop w:val="0"/>
          <w:marBottom w:val="0"/>
          <w:divBdr>
            <w:top w:val="none" w:sz="0" w:space="0" w:color="auto"/>
            <w:left w:val="none" w:sz="0" w:space="0" w:color="auto"/>
            <w:bottom w:val="none" w:sz="0" w:space="0" w:color="auto"/>
            <w:right w:val="none" w:sz="0" w:space="0" w:color="auto"/>
          </w:divBdr>
        </w:div>
        <w:div w:id="1630434821">
          <w:marLeft w:val="0"/>
          <w:marRight w:val="0"/>
          <w:marTop w:val="0"/>
          <w:marBottom w:val="0"/>
          <w:divBdr>
            <w:top w:val="none" w:sz="0" w:space="0" w:color="auto"/>
            <w:left w:val="none" w:sz="0" w:space="0" w:color="auto"/>
            <w:bottom w:val="none" w:sz="0" w:space="0" w:color="auto"/>
            <w:right w:val="none" w:sz="0" w:space="0" w:color="auto"/>
          </w:divBdr>
        </w:div>
        <w:div w:id="1107121236">
          <w:marLeft w:val="0"/>
          <w:marRight w:val="0"/>
          <w:marTop w:val="0"/>
          <w:marBottom w:val="0"/>
          <w:divBdr>
            <w:top w:val="none" w:sz="0" w:space="0" w:color="auto"/>
            <w:left w:val="none" w:sz="0" w:space="0" w:color="auto"/>
            <w:bottom w:val="none" w:sz="0" w:space="0" w:color="auto"/>
            <w:right w:val="none" w:sz="0" w:space="0" w:color="auto"/>
          </w:divBdr>
        </w:div>
      </w:divsChild>
    </w:div>
    <w:div w:id="1247421465">
      <w:bodyDiv w:val="1"/>
      <w:marLeft w:val="0"/>
      <w:marRight w:val="0"/>
      <w:marTop w:val="0"/>
      <w:marBottom w:val="0"/>
      <w:divBdr>
        <w:top w:val="none" w:sz="0" w:space="0" w:color="auto"/>
        <w:left w:val="none" w:sz="0" w:space="0" w:color="auto"/>
        <w:bottom w:val="none" w:sz="0" w:space="0" w:color="auto"/>
        <w:right w:val="none" w:sz="0" w:space="0" w:color="auto"/>
      </w:divBdr>
      <w:divsChild>
        <w:div w:id="1258294560">
          <w:marLeft w:val="0"/>
          <w:marRight w:val="0"/>
          <w:marTop w:val="0"/>
          <w:marBottom w:val="0"/>
          <w:divBdr>
            <w:top w:val="none" w:sz="0" w:space="0" w:color="auto"/>
            <w:left w:val="none" w:sz="0" w:space="0" w:color="auto"/>
            <w:bottom w:val="none" w:sz="0" w:space="0" w:color="auto"/>
            <w:right w:val="none" w:sz="0" w:space="0" w:color="auto"/>
          </w:divBdr>
        </w:div>
        <w:div w:id="410083678">
          <w:marLeft w:val="0"/>
          <w:marRight w:val="0"/>
          <w:marTop w:val="0"/>
          <w:marBottom w:val="0"/>
          <w:divBdr>
            <w:top w:val="none" w:sz="0" w:space="0" w:color="auto"/>
            <w:left w:val="none" w:sz="0" w:space="0" w:color="auto"/>
            <w:bottom w:val="none" w:sz="0" w:space="0" w:color="auto"/>
            <w:right w:val="none" w:sz="0" w:space="0" w:color="auto"/>
          </w:divBdr>
        </w:div>
        <w:div w:id="1848446370">
          <w:marLeft w:val="0"/>
          <w:marRight w:val="0"/>
          <w:marTop w:val="0"/>
          <w:marBottom w:val="0"/>
          <w:divBdr>
            <w:top w:val="none" w:sz="0" w:space="0" w:color="auto"/>
            <w:left w:val="none" w:sz="0" w:space="0" w:color="auto"/>
            <w:bottom w:val="none" w:sz="0" w:space="0" w:color="auto"/>
            <w:right w:val="none" w:sz="0" w:space="0" w:color="auto"/>
          </w:divBdr>
        </w:div>
        <w:div w:id="2063938728">
          <w:marLeft w:val="0"/>
          <w:marRight w:val="0"/>
          <w:marTop w:val="0"/>
          <w:marBottom w:val="0"/>
          <w:divBdr>
            <w:top w:val="none" w:sz="0" w:space="0" w:color="auto"/>
            <w:left w:val="none" w:sz="0" w:space="0" w:color="auto"/>
            <w:bottom w:val="none" w:sz="0" w:space="0" w:color="auto"/>
            <w:right w:val="none" w:sz="0" w:space="0" w:color="auto"/>
          </w:divBdr>
        </w:div>
        <w:div w:id="586112202">
          <w:marLeft w:val="0"/>
          <w:marRight w:val="0"/>
          <w:marTop w:val="0"/>
          <w:marBottom w:val="0"/>
          <w:divBdr>
            <w:top w:val="none" w:sz="0" w:space="0" w:color="auto"/>
            <w:left w:val="none" w:sz="0" w:space="0" w:color="auto"/>
            <w:bottom w:val="none" w:sz="0" w:space="0" w:color="auto"/>
            <w:right w:val="none" w:sz="0" w:space="0" w:color="auto"/>
          </w:divBdr>
        </w:div>
        <w:div w:id="1194148491">
          <w:marLeft w:val="0"/>
          <w:marRight w:val="0"/>
          <w:marTop w:val="0"/>
          <w:marBottom w:val="0"/>
          <w:divBdr>
            <w:top w:val="none" w:sz="0" w:space="0" w:color="auto"/>
            <w:left w:val="none" w:sz="0" w:space="0" w:color="auto"/>
            <w:bottom w:val="none" w:sz="0" w:space="0" w:color="auto"/>
            <w:right w:val="none" w:sz="0" w:space="0" w:color="auto"/>
          </w:divBdr>
        </w:div>
        <w:div w:id="1897082063">
          <w:marLeft w:val="0"/>
          <w:marRight w:val="0"/>
          <w:marTop w:val="0"/>
          <w:marBottom w:val="0"/>
          <w:divBdr>
            <w:top w:val="none" w:sz="0" w:space="0" w:color="auto"/>
            <w:left w:val="none" w:sz="0" w:space="0" w:color="auto"/>
            <w:bottom w:val="none" w:sz="0" w:space="0" w:color="auto"/>
            <w:right w:val="none" w:sz="0" w:space="0" w:color="auto"/>
          </w:divBdr>
        </w:div>
        <w:div w:id="568421379">
          <w:marLeft w:val="0"/>
          <w:marRight w:val="0"/>
          <w:marTop w:val="0"/>
          <w:marBottom w:val="0"/>
          <w:divBdr>
            <w:top w:val="none" w:sz="0" w:space="0" w:color="auto"/>
            <w:left w:val="none" w:sz="0" w:space="0" w:color="auto"/>
            <w:bottom w:val="none" w:sz="0" w:space="0" w:color="auto"/>
            <w:right w:val="none" w:sz="0" w:space="0" w:color="auto"/>
          </w:divBdr>
        </w:div>
        <w:div w:id="1362130697">
          <w:marLeft w:val="0"/>
          <w:marRight w:val="0"/>
          <w:marTop w:val="0"/>
          <w:marBottom w:val="0"/>
          <w:divBdr>
            <w:top w:val="none" w:sz="0" w:space="0" w:color="auto"/>
            <w:left w:val="none" w:sz="0" w:space="0" w:color="auto"/>
            <w:bottom w:val="none" w:sz="0" w:space="0" w:color="auto"/>
            <w:right w:val="none" w:sz="0" w:space="0" w:color="auto"/>
          </w:divBdr>
        </w:div>
        <w:div w:id="1372076903">
          <w:marLeft w:val="0"/>
          <w:marRight w:val="0"/>
          <w:marTop w:val="0"/>
          <w:marBottom w:val="0"/>
          <w:divBdr>
            <w:top w:val="none" w:sz="0" w:space="0" w:color="auto"/>
            <w:left w:val="none" w:sz="0" w:space="0" w:color="auto"/>
            <w:bottom w:val="none" w:sz="0" w:space="0" w:color="auto"/>
            <w:right w:val="none" w:sz="0" w:space="0" w:color="auto"/>
          </w:divBdr>
        </w:div>
        <w:div w:id="2112777250">
          <w:marLeft w:val="0"/>
          <w:marRight w:val="0"/>
          <w:marTop w:val="0"/>
          <w:marBottom w:val="0"/>
          <w:divBdr>
            <w:top w:val="none" w:sz="0" w:space="0" w:color="auto"/>
            <w:left w:val="none" w:sz="0" w:space="0" w:color="auto"/>
            <w:bottom w:val="none" w:sz="0" w:space="0" w:color="auto"/>
            <w:right w:val="none" w:sz="0" w:space="0" w:color="auto"/>
          </w:divBdr>
        </w:div>
        <w:div w:id="2112772605">
          <w:marLeft w:val="0"/>
          <w:marRight w:val="0"/>
          <w:marTop w:val="0"/>
          <w:marBottom w:val="0"/>
          <w:divBdr>
            <w:top w:val="none" w:sz="0" w:space="0" w:color="auto"/>
            <w:left w:val="none" w:sz="0" w:space="0" w:color="auto"/>
            <w:bottom w:val="none" w:sz="0" w:space="0" w:color="auto"/>
            <w:right w:val="none" w:sz="0" w:space="0" w:color="auto"/>
          </w:divBdr>
        </w:div>
        <w:div w:id="1464541085">
          <w:marLeft w:val="0"/>
          <w:marRight w:val="0"/>
          <w:marTop w:val="0"/>
          <w:marBottom w:val="0"/>
          <w:divBdr>
            <w:top w:val="none" w:sz="0" w:space="0" w:color="auto"/>
            <w:left w:val="none" w:sz="0" w:space="0" w:color="auto"/>
            <w:bottom w:val="none" w:sz="0" w:space="0" w:color="auto"/>
            <w:right w:val="none" w:sz="0" w:space="0" w:color="auto"/>
          </w:divBdr>
        </w:div>
        <w:div w:id="1518158805">
          <w:marLeft w:val="0"/>
          <w:marRight w:val="0"/>
          <w:marTop w:val="0"/>
          <w:marBottom w:val="0"/>
          <w:divBdr>
            <w:top w:val="none" w:sz="0" w:space="0" w:color="auto"/>
            <w:left w:val="none" w:sz="0" w:space="0" w:color="auto"/>
            <w:bottom w:val="none" w:sz="0" w:space="0" w:color="auto"/>
            <w:right w:val="none" w:sz="0" w:space="0" w:color="auto"/>
          </w:divBdr>
        </w:div>
        <w:div w:id="1288783277">
          <w:marLeft w:val="0"/>
          <w:marRight w:val="0"/>
          <w:marTop w:val="0"/>
          <w:marBottom w:val="0"/>
          <w:divBdr>
            <w:top w:val="none" w:sz="0" w:space="0" w:color="auto"/>
            <w:left w:val="none" w:sz="0" w:space="0" w:color="auto"/>
            <w:bottom w:val="none" w:sz="0" w:space="0" w:color="auto"/>
            <w:right w:val="none" w:sz="0" w:space="0" w:color="auto"/>
          </w:divBdr>
        </w:div>
        <w:div w:id="604315308">
          <w:marLeft w:val="0"/>
          <w:marRight w:val="0"/>
          <w:marTop w:val="0"/>
          <w:marBottom w:val="0"/>
          <w:divBdr>
            <w:top w:val="none" w:sz="0" w:space="0" w:color="auto"/>
            <w:left w:val="none" w:sz="0" w:space="0" w:color="auto"/>
            <w:bottom w:val="none" w:sz="0" w:space="0" w:color="auto"/>
            <w:right w:val="none" w:sz="0" w:space="0" w:color="auto"/>
          </w:divBdr>
        </w:div>
        <w:div w:id="1234507592">
          <w:marLeft w:val="0"/>
          <w:marRight w:val="0"/>
          <w:marTop w:val="0"/>
          <w:marBottom w:val="0"/>
          <w:divBdr>
            <w:top w:val="none" w:sz="0" w:space="0" w:color="auto"/>
            <w:left w:val="none" w:sz="0" w:space="0" w:color="auto"/>
            <w:bottom w:val="none" w:sz="0" w:space="0" w:color="auto"/>
            <w:right w:val="none" w:sz="0" w:space="0" w:color="auto"/>
          </w:divBdr>
        </w:div>
        <w:div w:id="988438991">
          <w:marLeft w:val="0"/>
          <w:marRight w:val="0"/>
          <w:marTop w:val="0"/>
          <w:marBottom w:val="0"/>
          <w:divBdr>
            <w:top w:val="none" w:sz="0" w:space="0" w:color="auto"/>
            <w:left w:val="none" w:sz="0" w:space="0" w:color="auto"/>
            <w:bottom w:val="none" w:sz="0" w:space="0" w:color="auto"/>
            <w:right w:val="none" w:sz="0" w:space="0" w:color="auto"/>
          </w:divBdr>
        </w:div>
        <w:div w:id="2032953392">
          <w:marLeft w:val="0"/>
          <w:marRight w:val="0"/>
          <w:marTop w:val="0"/>
          <w:marBottom w:val="0"/>
          <w:divBdr>
            <w:top w:val="none" w:sz="0" w:space="0" w:color="auto"/>
            <w:left w:val="none" w:sz="0" w:space="0" w:color="auto"/>
            <w:bottom w:val="none" w:sz="0" w:space="0" w:color="auto"/>
            <w:right w:val="none" w:sz="0" w:space="0" w:color="auto"/>
          </w:divBdr>
        </w:div>
        <w:div w:id="383680173">
          <w:marLeft w:val="0"/>
          <w:marRight w:val="0"/>
          <w:marTop w:val="0"/>
          <w:marBottom w:val="0"/>
          <w:divBdr>
            <w:top w:val="none" w:sz="0" w:space="0" w:color="auto"/>
            <w:left w:val="none" w:sz="0" w:space="0" w:color="auto"/>
            <w:bottom w:val="none" w:sz="0" w:space="0" w:color="auto"/>
            <w:right w:val="none" w:sz="0" w:space="0" w:color="auto"/>
          </w:divBdr>
        </w:div>
        <w:div w:id="1627422567">
          <w:marLeft w:val="0"/>
          <w:marRight w:val="0"/>
          <w:marTop w:val="0"/>
          <w:marBottom w:val="0"/>
          <w:divBdr>
            <w:top w:val="none" w:sz="0" w:space="0" w:color="auto"/>
            <w:left w:val="none" w:sz="0" w:space="0" w:color="auto"/>
            <w:bottom w:val="none" w:sz="0" w:space="0" w:color="auto"/>
            <w:right w:val="none" w:sz="0" w:space="0" w:color="auto"/>
          </w:divBdr>
        </w:div>
        <w:div w:id="1390612473">
          <w:marLeft w:val="0"/>
          <w:marRight w:val="0"/>
          <w:marTop w:val="0"/>
          <w:marBottom w:val="0"/>
          <w:divBdr>
            <w:top w:val="none" w:sz="0" w:space="0" w:color="auto"/>
            <w:left w:val="none" w:sz="0" w:space="0" w:color="auto"/>
            <w:bottom w:val="none" w:sz="0" w:space="0" w:color="auto"/>
            <w:right w:val="none" w:sz="0" w:space="0" w:color="auto"/>
          </w:divBdr>
        </w:div>
        <w:div w:id="1552418380">
          <w:marLeft w:val="0"/>
          <w:marRight w:val="0"/>
          <w:marTop w:val="0"/>
          <w:marBottom w:val="0"/>
          <w:divBdr>
            <w:top w:val="none" w:sz="0" w:space="0" w:color="auto"/>
            <w:left w:val="none" w:sz="0" w:space="0" w:color="auto"/>
            <w:bottom w:val="none" w:sz="0" w:space="0" w:color="auto"/>
            <w:right w:val="none" w:sz="0" w:space="0" w:color="auto"/>
          </w:divBdr>
        </w:div>
        <w:div w:id="587732221">
          <w:marLeft w:val="0"/>
          <w:marRight w:val="0"/>
          <w:marTop w:val="0"/>
          <w:marBottom w:val="0"/>
          <w:divBdr>
            <w:top w:val="none" w:sz="0" w:space="0" w:color="auto"/>
            <w:left w:val="none" w:sz="0" w:space="0" w:color="auto"/>
            <w:bottom w:val="none" w:sz="0" w:space="0" w:color="auto"/>
            <w:right w:val="none" w:sz="0" w:space="0" w:color="auto"/>
          </w:divBdr>
        </w:div>
        <w:div w:id="802582544">
          <w:marLeft w:val="0"/>
          <w:marRight w:val="0"/>
          <w:marTop w:val="0"/>
          <w:marBottom w:val="0"/>
          <w:divBdr>
            <w:top w:val="none" w:sz="0" w:space="0" w:color="auto"/>
            <w:left w:val="none" w:sz="0" w:space="0" w:color="auto"/>
            <w:bottom w:val="none" w:sz="0" w:space="0" w:color="auto"/>
            <w:right w:val="none" w:sz="0" w:space="0" w:color="auto"/>
          </w:divBdr>
        </w:div>
        <w:div w:id="1249655745">
          <w:marLeft w:val="0"/>
          <w:marRight w:val="0"/>
          <w:marTop w:val="0"/>
          <w:marBottom w:val="0"/>
          <w:divBdr>
            <w:top w:val="none" w:sz="0" w:space="0" w:color="auto"/>
            <w:left w:val="none" w:sz="0" w:space="0" w:color="auto"/>
            <w:bottom w:val="none" w:sz="0" w:space="0" w:color="auto"/>
            <w:right w:val="none" w:sz="0" w:space="0" w:color="auto"/>
          </w:divBdr>
        </w:div>
        <w:div w:id="34741553">
          <w:marLeft w:val="0"/>
          <w:marRight w:val="0"/>
          <w:marTop w:val="0"/>
          <w:marBottom w:val="0"/>
          <w:divBdr>
            <w:top w:val="none" w:sz="0" w:space="0" w:color="auto"/>
            <w:left w:val="none" w:sz="0" w:space="0" w:color="auto"/>
            <w:bottom w:val="none" w:sz="0" w:space="0" w:color="auto"/>
            <w:right w:val="none" w:sz="0" w:space="0" w:color="auto"/>
          </w:divBdr>
        </w:div>
        <w:div w:id="2034259538">
          <w:marLeft w:val="0"/>
          <w:marRight w:val="0"/>
          <w:marTop w:val="0"/>
          <w:marBottom w:val="0"/>
          <w:divBdr>
            <w:top w:val="none" w:sz="0" w:space="0" w:color="auto"/>
            <w:left w:val="none" w:sz="0" w:space="0" w:color="auto"/>
            <w:bottom w:val="none" w:sz="0" w:space="0" w:color="auto"/>
            <w:right w:val="none" w:sz="0" w:space="0" w:color="auto"/>
          </w:divBdr>
        </w:div>
        <w:div w:id="568536772">
          <w:marLeft w:val="0"/>
          <w:marRight w:val="0"/>
          <w:marTop w:val="0"/>
          <w:marBottom w:val="0"/>
          <w:divBdr>
            <w:top w:val="none" w:sz="0" w:space="0" w:color="auto"/>
            <w:left w:val="none" w:sz="0" w:space="0" w:color="auto"/>
            <w:bottom w:val="none" w:sz="0" w:space="0" w:color="auto"/>
            <w:right w:val="none" w:sz="0" w:space="0" w:color="auto"/>
          </w:divBdr>
        </w:div>
        <w:div w:id="445737177">
          <w:marLeft w:val="0"/>
          <w:marRight w:val="0"/>
          <w:marTop w:val="0"/>
          <w:marBottom w:val="0"/>
          <w:divBdr>
            <w:top w:val="none" w:sz="0" w:space="0" w:color="auto"/>
            <w:left w:val="none" w:sz="0" w:space="0" w:color="auto"/>
            <w:bottom w:val="none" w:sz="0" w:space="0" w:color="auto"/>
            <w:right w:val="none" w:sz="0" w:space="0" w:color="auto"/>
          </w:divBdr>
        </w:div>
        <w:div w:id="1806315856">
          <w:marLeft w:val="0"/>
          <w:marRight w:val="0"/>
          <w:marTop w:val="0"/>
          <w:marBottom w:val="0"/>
          <w:divBdr>
            <w:top w:val="none" w:sz="0" w:space="0" w:color="auto"/>
            <w:left w:val="none" w:sz="0" w:space="0" w:color="auto"/>
            <w:bottom w:val="none" w:sz="0" w:space="0" w:color="auto"/>
            <w:right w:val="none" w:sz="0" w:space="0" w:color="auto"/>
          </w:divBdr>
        </w:div>
        <w:div w:id="1749304738">
          <w:marLeft w:val="0"/>
          <w:marRight w:val="0"/>
          <w:marTop w:val="0"/>
          <w:marBottom w:val="0"/>
          <w:divBdr>
            <w:top w:val="none" w:sz="0" w:space="0" w:color="auto"/>
            <w:left w:val="none" w:sz="0" w:space="0" w:color="auto"/>
            <w:bottom w:val="none" w:sz="0" w:space="0" w:color="auto"/>
            <w:right w:val="none" w:sz="0" w:space="0" w:color="auto"/>
          </w:divBdr>
        </w:div>
        <w:div w:id="1921599265">
          <w:marLeft w:val="0"/>
          <w:marRight w:val="0"/>
          <w:marTop w:val="0"/>
          <w:marBottom w:val="0"/>
          <w:divBdr>
            <w:top w:val="none" w:sz="0" w:space="0" w:color="auto"/>
            <w:left w:val="none" w:sz="0" w:space="0" w:color="auto"/>
            <w:bottom w:val="none" w:sz="0" w:space="0" w:color="auto"/>
            <w:right w:val="none" w:sz="0" w:space="0" w:color="auto"/>
          </w:divBdr>
        </w:div>
        <w:div w:id="1787851630">
          <w:marLeft w:val="0"/>
          <w:marRight w:val="0"/>
          <w:marTop w:val="0"/>
          <w:marBottom w:val="0"/>
          <w:divBdr>
            <w:top w:val="none" w:sz="0" w:space="0" w:color="auto"/>
            <w:left w:val="none" w:sz="0" w:space="0" w:color="auto"/>
            <w:bottom w:val="none" w:sz="0" w:space="0" w:color="auto"/>
            <w:right w:val="none" w:sz="0" w:space="0" w:color="auto"/>
          </w:divBdr>
        </w:div>
        <w:div w:id="1558323158">
          <w:marLeft w:val="0"/>
          <w:marRight w:val="0"/>
          <w:marTop w:val="0"/>
          <w:marBottom w:val="0"/>
          <w:divBdr>
            <w:top w:val="none" w:sz="0" w:space="0" w:color="auto"/>
            <w:left w:val="none" w:sz="0" w:space="0" w:color="auto"/>
            <w:bottom w:val="none" w:sz="0" w:space="0" w:color="auto"/>
            <w:right w:val="none" w:sz="0" w:space="0" w:color="auto"/>
          </w:divBdr>
        </w:div>
        <w:div w:id="1576665764">
          <w:marLeft w:val="0"/>
          <w:marRight w:val="0"/>
          <w:marTop w:val="0"/>
          <w:marBottom w:val="0"/>
          <w:divBdr>
            <w:top w:val="none" w:sz="0" w:space="0" w:color="auto"/>
            <w:left w:val="none" w:sz="0" w:space="0" w:color="auto"/>
            <w:bottom w:val="none" w:sz="0" w:space="0" w:color="auto"/>
            <w:right w:val="none" w:sz="0" w:space="0" w:color="auto"/>
          </w:divBdr>
        </w:div>
        <w:div w:id="1731688087">
          <w:marLeft w:val="0"/>
          <w:marRight w:val="0"/>
          <w:marTop w:val="0"/>
          <w:marBottom w:val="0"/>
          <w:divBdr>
            <w:top w:val="none" w:sz="0" w:space="0" w:color="auto"/>
            <w:left w:val="none" w:sz="0" w:space="0" w:color="auto"/>
            <w:bottom w:val="none" w:sz="0" w:space="0" w:color="auto"/>
            <w:right w:val="none" w:sz="0" w:space="0" w:color="auto"/>
          </w:divBdr>
        </w:div>
        <w:div w:id="932393717">
          <w:marLeft w:val="0"/>
          <w:marRight w:val="0"/>
          <w:marTop w:val="0"/>
          <w:marBottom w:val="0"/>
          <w:divBdr>
            <w:top w:val="none" w:sz="0" w:space="0" w:color="auto"/>
            <w:left w:val="none" w:sz="0" w:space="0" w:color="auto"/>
            <w:bottom w:val="none" w:sz="0" w:space="0" w:color="auto"/>
            <w:right w:val="none" w:sz="0" w:space="0" w:color="auto"/>
          </w:divBdr>
        </w:div>
        <w:div w:id="1895458944">
          <w:marLeft w:val="0"/>
          <w:marRight w:val="0"/>
          <w:marTop w:val="0"/>
          <w:marBottom w:val="0"/>
          <w:divBdr>
            <w:top w:val="none" w:sz="0" w:space="0" w:color="auto"/>
            <w:left w:val="none" w:sz="0" w:space="0" w:color="auto"/>
            <w:bottom w:val="none" w:sz="0" w:space="0" w:color="auto"/>
            <w:right w:val="none" w:sz="0" w:space="0" w:color="auto"/>
          </w:divBdr>
        </w:div>
        <w:div w:id="244653391">
          <w:marLeft w:val="0"/>
          <w:marRight w:val="0"/>
          <w:marTop w:val="0"/>
          <w:marBottom w:val="0"/>
          <w:divBdr>
            <w:top w:val="none" w:sz="0" w:space="0" w:color="auto"/>
            <w:left w:val="none" w:sz="0" w:space="0" w:color="auto"/>
            <w:bottom w:val="none" w:sz="0" w:space="0" w:color="auto"/>
            <w:right w:val="none" w:sz="0" w:space="0" w:color="auto"/>
          </w:divBdr>
        </w:div>
        <w:div w:id="2081054352">
          <w:marLeft w:val="0"/>
          <w:marRight w:val="0"/>
          <w:marTop w:val="0"/>
          <w:marBottom w:val="0"/>
          <w:divBdr>
            <w:top w:val="none" w:sz="0" w:space="0" w:color="auto"/>
            <w:left w:val="none" w:sz="0" w:space="0" w:color="auto"/>
            <w:bottom w:val="none" w:sz="0" w:space="0" w:color="auto"/>
            <w:right w:val="none" w:sz="0" w:space="0" w:color="auto"/>
          </w:divBdr>
        </w:div>
        <w:div w:id="1445228939">
          <w:marLeft w:val="0"/>
          <w:marRight w:val="0"/>
          <w:marTop w:val="0"/>
          <w:marBottom w:val="0"/>
          <w:divBdr>
            <w:top w:val="none" w:sz="0" w:space="0" w:color="auto"/>
            <w:left w:val="none" w:sz="0" w:space="0" w:color="auto"/>
            <w:bottom w:val="none" w:sz="0" w:space="0" w:color="auto"/>
            <w:right w:val="none" w:sz="0" w:space="0" w:color="auto"/>
          </w:divBdr>
        </w:div>
        <w:div w:id="474025645">
          <w:marLeft w:val="0"/>
          <w:marRight w:val="0"/>
          <w:marTop w:val="0"/>
          <w:marBottom w:val="0"/>
          <w:divBdr>
            <w:top w:val="none" w:sz="0" w:space="0" w:color="auto"/>
            <w:left w:val="none" w:sz="0" w:space="0" w:color="auto"/>
            <w:bottom w:val="none" w:sz="0" w:space="0" w:color="auto"/>
            <w:right w:val="none" w:sz="0" w:space="0" w:color="auto"/>
          </w:divBdr>
        </w:div>
        <w:div w:id="507184005">
          <w:marLeft w:val="0"/>
          <w:marRight w:val="0"/>
          <w:marTop w:val="0"/>
          <w:marBottom w:val="0"/>
          <w:divBdr>
            <w:top w:val="none" w:sz="0" w:space="0" w:color="auto"/>
            <w:left w:val="none" w:sz="0" w:space="0" w:color="auto"/>
            <w:bottom w:val="none" w:sz="0" w:space="0" w:color="auto"/>
            <w:right w:val="none" w:sz="0" w:space="0" w:color="auto"/>
          </w:divBdr>
        </w:div>
        <w:div w:id="441416339">
          <w:marLeft w:val="0"/>
          <w:marRight w:val="0"/>
          <w:marTop w:val="0"/>
          <w:marBottom w:val="0"/>
          <w:divBdr>
            <w:top w:val="none" w:sz="0" w:space="0" w:color="auto"/>
            <w:left w:val="none" w:sz="0" w:space="0" w:color="auto"/>
            <w:bottom w:val="none" w:sz="0" w:space="0" w:color="auto"/>
            <w:right w:val="none" w:sz="0" w:space="0" w:color="auto"/>
          </w:divBdr>
        </w:div>
        <w:div w:id="2101490643">
          <w:marLeft w:val="0"/>
          <w:marRight w:val="0"/>
          <w:marTop w:val="0"/>
          <w:marBottom w:val="0"/>
          <w:divBdr>
            <w:top w:val="none" w:sz="0" w:space="0" w:color="auto"/>
            <w:left w:val="none" w:sz="0" w:space="0" w:color="auto"/>
            <w:bottom w:val="none" w:sz="0" w:space="0" w:color="auto"/>
            <w:right w:val="none" w:sz="0" w:space="0" w:color="auto"/>
          </w:divBdr>
        </w:div>
        <w:div w:id="1204093427">
          <w:marLeft w:val="0"/>
          <w:marRight w:val="0"/>
          <w:marTop w:val="0"/>
          <w:marBottom w:val="0"/>
          <w:divBdr>
            <w:top w:val="none" w:sz="0" w:space="0" w:color="auto"/>
            <w:left w:val="none" w:sz="0" w:space="0" w:color="auto"/>
            <w:bottom w:val="none" w:sz="0" w:space="0" w:color="auto"/>
            <w:right w:val="none" w:sz="0" w:space="0" w:color="auto"/>
          </w:divBdr>
        </w:div>
        <w:div w:id="1187984154">
          <w:marLeft w:val="0"/>
          <w:marRight w:val="0"/>
          <w:marTop w:val="0"/>
          <w:marBottom w:val="0"/>
          <w:divBdr>
            <w:top w:val="none" w:sz="0" w:space="0" w:color="auto"/>
            <w:left w:val="none" w:sz="0" w:space="0" w:color="auto"/>
            <w:bottom w:val="none" w:sz="0" w:space="0" w:color="auto"/>
            <w:right w:val="none" w:sz="0" w:space="0" w:color="auto"/>
          </w:divBdr>
        </w:div>
        <w:div w:id="345788648">
          <w:marLeft w:val="0"/>
          <w:marRight w:val="0"/>
          <w:marTop w:val="0"/>
          <w:marBottom w:val="0"/>
          <w:divBdr>
            <w:top w:val="none" w:sz="0" w:space="0" w:color="auto"/>
            <w:left w:val="none" w:sz="0" w:space="0" w:color="auto"/>
            <w:bottom w:val="none" w:sz="0" w:space="0" w:color="auto"/>
            <w:right w:val="none" w:sz="0" w:space="0" w:color="auto"/>
          </w:divBdr>
        </w:div>
        <w:div w:id="1738092383">
          <w:marLeft w:val="0"/>
          <w:marRight w:val="0"/>
          <w:marTop w:val="0"/>
          <w:marBottom w:val="0"/>
          <w:divBdr>
            <w:top w:val="none" w:sz="0" w:space="0" w:color="auto"/>
            <w:left w:val="none" w:sz="0" w:space="0" w:color="auto"/>
            <w:bottom w:val="none" w:sz="0" w:space="0" w:color="auto"/>
            <w:right w:val="none" w:sz="0" w:space="0" w:color="auto"/>
          </w:divBdr>
        </w:div>
        <w:div w:id="1962107605">
          <w:marLeft w:val="0"/>
          <w:marRight w:val="0"/>
          <w:marTop w:val="0"/>
          <w:marBottom w:val="0"/>
          <w:divBdr>
            <w:top w:val="none" w:sz="0" w:space="0" w:color="auto"/>
            <w:left w:val="none" w:sz="0" w:space="0" w:color="auto"/>
            <w:bottom w:val="none" w:sz="0" w:space="0" w:color="auto"/>
            <w:right w:val="none" w:sz="0" w:space="0" w:color="auto"/>
          </w:divBdr>
        </w:div>
        <w:div w:id="691567373">
          <w:marLeft w:val="0"/>
          <w:marRight w:val="0"/>
          <w:marTop w:val="0"/>
          <w:marBottom w:val="0"/>
          <w:divBdr>
            <w:top w:val="none" w:sz="0" w:space="0" w:color="auto"/>
            <w:left w:val="none" w:sz="0" w:space="0" w:color="auto"/>
            <w:bottom w:val="none" w:sz="0" w:space="0" w:color="auto"/>
            <w:right w:val="none" w:sz="0" w:space="0" w:color="auto"/>
          </w:divBdr>
        </w:div>
      </w:divsChild>
    </w:div>
    <w:div w:id="1290353027">
      <w:bodyDiv w:val="1"/>
      <w:marLeft w:val="0"/>
      <w:marRight w:val="0"/>
      <w:marTop w:val="0"/>
      <w:marBottom w:val="0"/>
      <w:divBdr>
        <w:top w:val="none" w:sz="0" w:space="0" w:color="auto"/>
        <w:left w:val="none" w:sz="0" w:space="0" w:color="auto"/>
        <w:bottom w:val="none" w:sz="0" w:space="0" w:color="auto"/>
        <w:right w:val="none" w:sz="0" w:space="0" w:color="auto"/>
      </w:divBdr>
      <w:divsChild>
        <w:div w:id="1606687777">
          <w:marLeft w:val="0"/>
          <w:marRight w:val="0"/>
          <w:marTop w:val="0"/>
          <w:marBottom w:val="0"/>
          <w:divBdr>
            <w:top w:val="none" w:sz="0" w:space="0" w:color="auto"/>
            <w:left w:val="none" w:sz="0" w:space="0" w:color="auto"/>
            <w:bottom w:val="none" w:sz="0" w:space="0" w:color="auto"/>
            <w:right w:val="none" w:sz="0" w:space="0" w:color="auto"/>
          </w:divBdr>
        </w:div>
        <w:div w:id="910851766">
          <w:marLeft w:val="0"/>
          <w:marRight w:val="0"/>
          <w:marTop w:val="0"/>
          <w:marBottom w:val="0"/>
          <w:divBdr>
            <w:top w:val="none" w:sz="0" w:space="0" w:color="auto"/>
            <w:left w:val="none" w:sz="0" w:space="0" w:color="auto"/>
            <w:bottom w:val="none" w:sz="0" w:space="0" w:color="auto"/>
            <w:right w:val="none" w:sz="0" w:space="0" w:color="auto"/>
          </w:divBdr>
        </w:div>
      </w:divsChild>
    </w:div>
    <w:div w:id="1305349500">
      <w:bodyDiv w:val="1"/>
      <w:marLeft w:val="0"/>
      <w:marRight w:val="0"/>
      <w:marTop w:val="0"/>
      <w:marBottom w:val="0"/>
      <w:divBdr>
        <w:top w:val="none" w:sz="0" w:space="0" w:color="auto"/>
        <w:left w:val="none" w:sz="0" w:space="0" w:color="auto"/>
        <w:bottom w:val="none" w:sz="0" w:space="0" w:color="auto"/>
        <w:right w:val="none" w:sz="0" w:space="0" w:color="auto"/>
      </w:divBdr>
      <w:divsChild>
        <w:div w:id="344476270">
          <w:marLeft w:val="0"/>
          <w:marRight w:val="0"/>
          <w:marTop w:val="0"/>
          <w:marBottom w:val="0"/>
          <w:divBdr>
            <w:top w:val="none" w:sz="0" w:space="0" w:color="auto"/>
            <w:left w:val="none" w:sz="0" w:space="0" w:color="auto"/>
            <w:bottom w:val="none" w:sz="0" w:space="0" w:color="auto"/>
            <w:right w:val="none" w:sz="0" w:space="0" w:color="auto"/>
          </w:divBdr>
        </w:div>
        <w:div w:id="2146771825">
          <w:marLeft w:val="0"/>
          <w:marRight w:val="0"/>
          <w:marTop w:val="0"/>
          <w:marBottom w:val="0"/>
          <w:divBdr>
            <w:top w:val="none" w:sz="0" w:space="0" w:color="auto"/>
            <w:left w:val="none" w:sz="0" w:space="0" w:color="auto"/>
            <w:bottom w:val="none" w:sz="0" w:space="0" w:color="auto"/>
            <w:right w:val="none" w:sz="0" w:space="0" w:color="auto"/>
          </w:divBdr>
        </w:div>
        <w:div w:id="1224874588">
          <w:marLeft w:val="0"/>
          <w:marRight w:val="0"/>
          <w:marTop w:val="0"/>
          <w:marBottom w:val="0"/>
          <w:divBdr>
            <w:top w:val="none" w:sz="0" w:space="0" w:color="auto"/>
            <w:left w:val="none" w:sz="0" w:space="0" w:color="auto"/>
            <w:bottom w:val="none" w:sz="0" w:space="0" w:color="auto"/>
            <w:right w:val="none" w:sz="0" w:space="0" w:color="auto"/>
          </w:divBdr>
        </w:div>
        <w:div w:id="1545677976">
          <w:marLeft w:val="0"/>
          <w:marRight w:val="0"/>
          <w:marTop w:val="0"/>
          <w:marBottom w:val="0"/>
          <w:divBdr>
            <w:top w:val="none" w:sz="0" w:space="0" w:color="auto"/>
            <w:left w:val="none" w:sz="0" w:space="0" w:color="auto"/>
            <w:bottom w:val="none" w:sz="0" w:space="0" w:color="auto"/>
            <w:right w:val="none" w:sz="0" w:space="0" w:color="auto"/>
          </w:divBdr>
        </w:div>
        <w:div w:id="1454179567">
          <w:marLeft w:val="0"/>
          <w:marRight w:val="0"/>
          <w:marTop w:val="0"/>
          <w:marBottom w:val="0"/>
          <w:divBdr>
            <w:top w:val="none" w:sz="0" w:space="0" w:color="auto"/>
            <w:left w:val="none" w:sz="0" w:space="0" w:color="auto"/>
            <w:bottom w:val="none" w:sz="0" w:space="0" w:color="auto"/>
            <w:right w:val="none" w:sz="0" w:space="0" w:color="auto"/>
          </w:divBdr>
        </w:div>
        <w:div w:id="1358655339">
          <w:marLeft w:val="0"/>
          <w:marRight w:val="0"/>
          <w:marTop w:val="0"/>
          <w:marBottom w:val="0"/>
          <w:divBdr>
            <w:top w:val="none" w:sz="0" w:space="0" w:color="auto"/>
            <w:left w:val="none" w:sz="0" w:space="0" w:color="auto"/>
            <w:bottom w:val="none" w:sz="0" w:space="0" w:color="auto"/>
            <w:right w:val="none" w:sz="0" w:space="0" w:color="auto"/>
          </w:divBdr>
        </w:div>
        <w:div w:id="53700827">
          <w:marLeft w:val="0"/>
          <w:marRight w:val="0"/>
          <w:marTop w:val="0"/>
          <w:marBottom w:val="0"/>
          <w:divBdr>
            <w:top w:val="none" w:sz="0" w:space="0" w:color="auto"/>
            <w:left w:val="none" w:sz="0" w:space="0" w:color="auto"/>
            <w:bottom w:val="none" w:sz="0" w:space="0" w:color="auto"/>
            <w:right w:val="none" w:sz="0" w:space="0" w:color="auto"/>
          </w:divBdr>
        </w:div>
        <w:div w:id="874585897">
          <w:marLeft w:val="0"/>
          <w:marRight w:val="0"/>
          <w:marTop w:val="0"/>
          <w:marBottom w:val="0"/>
          <w:divBdr>
            <w:top w:val="none" w:sz="0" w:space="0" w:color="auto"/>
            <w:left w:val="none" w:sz="0" w:space="0" w:color="auto"/>
            <w:bottom w:val="none" w:sz="0" w:space="0" w:color="auto"/>
            <w:right w:val="none" w:sz="0" w:space="0" w:color="auto"/>
          </w:divBdr>
        </w:div>
        <w:div w:id="81684926">
          <w:marLeft w:val="0"/>
          <w:marRight w:val="0"/>
          <w:marTop w:val="0"/>
          <w:marBottom w:val="0"/>
          <w:divBdr>
            <w:top w:val="none" w:sz="0" w:space="0" w:color="auto"/>
            <w:left w:val="none" w:sz="0" w:space="0" w:color="auto"/>
            <w:bottom w:val="none" w:sz="0" w:space="0" w:color="auto"/>
            <w:right w:val="none" w:sz="0" w:space="0" w:color="auto"/>
          </w:divBdr>
        </w:div>
        <w:div w:id="1235160764">
          <w:marLeft w:val="0"/>
          <w:marRight w:val="0"/>
          <w:marTop w:val="0"/>
          <w:marBottom w:val="0"/>
          <w:divBdr>
            <w:top w:val="none" w:sz="0" w:space="0" w:color="auto"/>
            <w:left w:val="none" w:sz="0" w:space="0" w:color="auto"/>
            <w:bottom w:val="none" w:sz="0" w:space="0" w:color="auto"/>
            <w:right w:val="none" w:sz="0" w:space="0" w:color="auto"/>
          </w:divBdr>
        </w:div>
        <w:div w:id="1460218531">
          <w:marLeft w:val="0"/>
          <w:marRight w:val="0"/>
          <w:marTop w:val="0"/>
          <w:marBottom w:val="0"/>
          <w:divBdr>
            <w:top w:val="none" w:sz="0" w:space="0" w:color="auto"/>
            <w:left w:val="none" w:sz="0" w:space="0" w:color="auto"/>
            <w:bottom w:val="none" w:sz="0" w:space="0" w:color="auto"/>
            <w:right w:val="none" w:sz="0" w:space="0" w:color="auto"/>
          </w:divBdr>
        </w:div>
      </w:divsChild>
    </w:div>
    <w:div w:id="1339768118">
      <w:bodyDiv w:val="1"/>
      <w:marLeft w:val="0"/>
      <w:marRight w:val="0"/>
      <w:marTop w:val="0"/>
      <w:marBottom w:val="0"/>
      <w:divBdr>
        <w:top w:val="none" w:sz="0" w:space="0" w:color="auto"/>
        <w:left w:val="none" w:sz="0" w:space="0" w:color="auto"/>
        <w:bottom w:val="none" w:sz="0" w:space="0" w:color="auto"/>
        <w:right w:val="none" w:sz="0" w:space="0" w:color="auto"/>
      </w:divBdr>
      <w:divsChild>
        <w:div w:id="128279314">
          <w:marLeft w:val="0"/>
          <w:marRight w:val="0"/>
          <w:marTop w:val="0"/>
          <w:marBottom w:val="0"/>
          <w:divBdr>
            <w:top w:val="none" w:sz="0" w:space="0" w:color="auto"/>
            <w:left w:val="none" w:sz="0" w:space="0" w:color="auto"/>
            <w:bottom w:val="none" w:sz="0" w:space="0" w:color="auto"/>
            <w:right w:val="none" w:sz="0" w:space="0" w:color="auto"/>
          </w:divBdr>
          <w:divsChild>
            <w:div w:id="318115407">
              <w:marLeft w:val="0"/>
              <w:marRight w:val="0"/>
              <w:marTop w:val="0"/>
              <w:marBottom w:val="0"/>
              <w:divBdr>
                <w:top w:val="none" w:sz="0" w:space="0" w:color="auto"/>
                <w:left w:val="none" w:sz="0" w:space="0" w:color="auto"/>
                <w:bottom w:val="none" w:sz="0" w:space="0" w:color="auto"/>
                <w:right w:val="none" w:sz="0" w:space="0" w:color="auto"/>
              </w:divBdr>
            </w:div>
            <w:div w:id="197474222">
              <w:marLeft w:val="0"/>
              <w:marRight w:val="0"/>
              <w:marTop w:val="0"/>
              <w:marBottom w:val="0"/>
              <w:divBdr>
                <w:top w:val="none" w:sz="0" w:space="0" w:color="auto"/>
                <w:left w:val="none" w:sz="0" w:space="0" w:color="auto"/>
                <w:bottom w:val="none" w:sz="0" w:space="0" w:color="auto"/>
                <w:right w:val="none" w:sz="0" w:space="0" w:color="auto"/>
              </w:divBdr>
            </w:div>
            <w:div w:id="519201907">
              <w:marLeft w:val="0"/>
              <w:marRight w:val="0"/>
              <w:marTop w:val="0"/>
              <w:marBottom w:val="0"/>
              <w:divBdr>
                <w:top w:val="none" w:sz="0" w:space="0" w:color="auto"/>
                <w:left w:val="none" w:sz="0" w:space="0" w:color="auto"/>
                <w:bottom w:val="none" w:sz="0" w:space="0" w:color="auto"/>
                <w:right w:val="none" w:sz="0" w:space="0" w:color="auto"/>
              </w:divBdr>
            </w:div>
            <w:div w:id="1072462128">
              <w:marLeft w:val="0"/>
              <w:marRight w:val="0"/>
              <w:marTop w:val="0"/>
              <w:marBottom w:val="0"/>
              <w:divBdr>
                <w:top w:val="none" w:sz="0" w:space="0" w:color="auto"/>
                <w:left w:val="none" w:sz="0" w:space="0" w:color="auto"/>
                <w:bottom w:val="none" w:sz="0" w:space="0" w:color="auto"/>
                <w:right w:val="none" w:sz="0" w:space="0" w:color="auto"/>
              </w:divBdr>
            </w:div>
            <w:div w:id="1526792512">
              <w:marLeft w:val="0"/>
              <w:marRight w:val="0"/>
              <w:marTop w:val="0"/>
              <w:marBottom w:val="0"/>
              <w:divBdr>
                <w:top w:val="none" w:sz="0" w:space="0" w:color="auto"/>
                <w:left w:val="none" w:sz="0" w:space="0" w:color="auto"/>
                <w:bottom w:val="none" w:sz="0" w:space="0" w:color="auto"/>
                <w:right w:val="none" w:sz="0" w:space="0" w:color="auto"/>
              </w:divBdr>
            </w:div>
            <w:div w:id="73017103">
              <w:marLeft w:val="0"/>
              <w:marRight w:val="0"/>
              <w:marTop w:val="0"/>
              <w:marBottom w:val="0"/>
              <w:divBdr>
                <w:top w:val="none" w:sz="0" w:space="0" w:color="auto"/>
                <w:left w:val="none" w:sz="0" w:space="0" w:color="auto"/>
                <w:bottom w:val="none" w:sz="0" w:space="0" w:color="auto"/>
                <w:right w:val="none" w:sz="0" w:space="0" w:color="auto"/>
              </w:divBdr>
            </w:div>
            <w:div w:id="75516111">
              <w:marLeft w:val="0"/>
              <w:marRight w:val="0"/>
              <w:marTop w:val="0"/>
              <w:marBottom w:val="0"/>
              <w:divBdr>
                <w:top w:val="none" w:sz="0" w:space="0" w:color="auto"/>
                <w:left w:val="none" w:sz="0" w:space="0" w:color="auto"/>
                <w:bottom w:val="none" w:sz="0" w:space="0" w:color="auto"/>
                <w:right w:val="none" w:sz="0" w:space="0" w:color="auto"/>
              </w:divBdr>
            </w:div>
            <w:div w:id="1513908594">
              <w:marLeft w:val="0"/>
              <w:marRight w:val="0"/>
              <w:marTop w:val="0"/>
              <w:marBottom w:val="0"/>
              <w:divBdr>
                <w:top w:val="none" w:sz="0" w:space="0" w:color="auto"/>
                <w:left w:val="none" w:sz="0" w:space="0" w:color="auto"/>
                <w:bottom w:val="none" w:sz="0" w:space="0" w:color="auto"/>
                <w:right w:val="none" w:sz="0" w:space="0" w:color="auto"/>
              </w:divBdr>
            </w:div>
            <w:div w:id="1717700815">
              <w:marLeft w:val="0"/>
              <w:marRight w:val="0"/>
              <w:marTop w:val="0"/>
              <w:marBottom w:val="0"/>
              <w:divBdr>
                <w:top w:val="none" w:sz="0" w:space="0" w:color="auto"/>
                <w:left w:val="none" w:sz="0" w:space="0" w:color="auto"/>
                <w:bottom w:val="none" w:sz="0" w:space="0" w:color="auto"/>
                <w:right w:val="none" w:sz="0" w:space="0" w:color="auto"/>
              </w:divBdr>
            </w:div>
            <w:div w:id="1906527311">
              <w:marLeft w:val="0"/>
              <w:marRight w:val="0"/>
              <w:marTop w:val="0"/>
              <w:marBottom w:val="0"/>
              <w:divBdr>
                <w:top w:val="none" w:sz="0" w:space="0" w:color="auto"/>
                <w:left w:val="none" w:sz="0" w:space="0" w:color="auto"/>
                <w:bottom w:val="none" w:sz="0" w:space="0" w:color="auto"/>
                <w:right w:val="none" w:sz="0" w:space="0" w:color="auto"/>
              </w:divBdr>
            </w:div>
            <w:div w:id="181358713">
              <w:marLeft w:val="0"/>
              <w:marRight w:val="0"/>
              <w:marTop w:val="0"/>
              <w:marBottom w:val="0"/>
              <w:divBdr>
                <w:top w:val="none" w:sz="0" w:space="0" w:color="auto"/>
                <w:left w:val="none" w:sz="0" w:space="0" w:color="auto"/>
                <w:bottom w:val="none" w:sz="0" w:space="0" w:color="auto"/>
                <w:right w:val="none" w:sz="0" w:space="0" w:color="auto"/>
              </w:divBdr>
            </w:div>
            <w:div w:id="1386832887">
              <w:marLeft w:val="0"/>
              <w:marRight w:val="0"/>
              <w:marTop w:val="0"/>
              <w:marBottom w:val="0"/>
              <w:divBdr>
                <w:top w:val="none" w:sz="0" w:space="0" w:color="auto"/>
                <w:left w:val="none" w:sz="0" w:space="0" w:color="auto"/>
                <w:bottom w:val="none" w:sz="0" w:space="0" w:color="auto"/>
                <w:right w:val="none" w:sz="0" w:space="0" w:color="auto"/>
              </w:divBdr>
            </w:div>
            <w:div w:id="616178141">
              <w:marLeft w:val="0"/>
              <w:marRight w:val="0"/>
              <w:marTop w:val="0"/>
              <w:marBottom w:val="0"/>
              <w:divBdr>
                <w:top w:val="none" w:sz="0" w:space="0" w:color="auto"/>
                <w:left w:val="none" w:sz="0" w:space="0" w:color="auto"/>
                <w:bottom w:val="none" w:sz="0" w:space="0" w:color="auto"/>
                <w:right w:val="none" w:sz="0" w:space="0" w:color="auto"/>
              </w:divBdr>
            </w:div>
            <w:div w:id="968897968">
              <w:marLeft w:val="0"/>
              <w:marRight w:val="0"/>
              <w:marTop w:val="0"/>
              <w:marBottom w:val="0"/>
              <w:divBdr>
                <w:top w:val="none" w:sz="0" w:space="0" w:color="auto"/>
                <w:left w:val="none" w:sz="0" w:space="0" w:color="auto"/>
                <w:bottom w:val="none" w:sz="0" w:space="0" w:color="auto"/>
                <w:right w:val="none" w:sz="0" w:space="0" w:color="auto"/>
              </w:divBdr>
            </w:div>
            <w:div w:id="1269194773">
              <w:marLeft w:val="0"/>
              <w:marRight w:val="0"/>
              <w:marTop w:val="0"/>
              <w:marBottom w:val="0"/>
              <w:divBdr>
                <w:top w:val="none" w:sz="0" w:space="0" w:color="auto"/>
                <w:left w:val="none" w:sz="0" w:space="0" w:color="auto"/>
                <w:bottom w:val="none" w:sz="0" w:space="0" w:color="auto"/>
                <w:right w:val="none" w:sz="0" w:space="0" w:color="auto"/>
              </w:divBdr>
            </w:div>
            <w:div w:id="484123159">
              <w:marLeft w:val="0"/>
              <w:marRight w:val="0"/>
              <w:marTop w:val="0"/>
              <w:marBottom w:val="0"/>
              <w:divBdr>
                <w:top w:val="none" w:sz="0" w:space="0" w:color="auto"/>
                <w:left w:val="none" w:sz="0" w:space="0" w:color="auto"/>
                <w:bottom w:val="none" w:sz="0" w:space="0" w:color="auto"/>
                <w:right w:val="none" w:sz="0" w:space="0" w:color="auto"/>
              </w:divBdr>
            </w:div>
            <w:div w:id="1854372156">
              <w:marLeft w:val="0"/>
              <w:marRight w:val="0"/>
              <w:marTop w:val="0"/>
              <w:marBottom w:val="0"/>
              <w:divBdr>
                <w:top w:val="none" w:sz="0" w:space="0" w:color="auto"/>
                <w:left w:val="none" w:sz="0" w:space="0" w:color="auto"/>
                <w:bottom w:val="none" w:sz="0" w:space="0" w:color="auto"/>
                <w:right w:val="none" w:sz="0" w:space="0" w:color="auto"/>
              </w:divBdr>
            </w:div>
            <w:div w:id="291863818">
              <w:marLeft w:val="0"/>
              <w:marRight w:val="0"/>
              <w:marTop w:val="0"/>
              <w:marBottom w:val="0"/>
              <w:divBdr>
                <w:top w:val="none" w:sz="0" w:space="0" w:color="auto"/>
                <w:left w:val="none" w:sz="0" w:space="0" w:color="auto"/>
                <w:bottom w:val="none" w:sz="0" w:space="0" w:color="auto"/>
                <w:right w:val="none" w:sz="0" w:space="0" w:color="auto"/>
              </w:divBdr>
            </w:div>
            <w:div w:id="117265808">
              <w:marLeft w:val="0"/>
              <w:marRight w:val="0"/>
              <w:marTop w:val="0"/>
              <w:marBottom w:val="0"/>
              <w:divBdr>
                <w:top w:val="none" w:sz="0" w:space="0" w:color="auto"/>
                <w:left w:val="none" w:sz="0" w:space="0" w:color="auto"/>
                <w:bottom w:val="none" w:sz="0" w:space="0" w:color="auto"/>
                <w:right w:val="none" w:sz="0" w:space="0" w:color="auto"/>
              </w:divBdr>
            </w:div>
            <w:div w:id="589655267">
              <w:marLeft w:val="0"/>
              <w:marRight w:val="0"/>
              <w:marTop w:val="0"/>
              <w:marBottom w:val="0"/>
              <w:divBdr>
                <w:top w:val="none" w:sz="0" w:space="0" w:color="auto"/>
                <w:left w:val="none" w:sz="0" w:space="0" w:color="auto"/>
                <w:bottom w:val="none" w:sz="0" w:space="0" w:color="auto"/>
                <w:right w:val="none" w:sz="0" w:space="0" w:color="auto"/>
              </w:divBdr>
            </w:div>
            <w:div w:id="1831209273">
              <w:marLeft w:val="0"/>
              <w:marRight w:val="0"/>
              <w:marTop w:val="0"/>
              <w:marBottom w:val="0"/>
              <w:divBdr>
                <w:top w:val="none" w:sz="0" w:space="0" w:color="auto"/>
                <w:left w:val="none" w:sz="0" w:space="0" w:color="auto"/>
                <w:bottom w:val="none" w:sz="0" w:space="0" w:color="auto"/>
                <w:right w:val="none" w:sz="0" w:space="0" w:color="auto"/>
              </w:divBdr>
            </w:div>
            <w:div w:id="1632663228">
              <w:marLeft w:val="0"/>
              <w:marRight w:val="0"/>
              <w:marTop w:val="0"/>
              <w:marBottom w:val="0"/>
              <w:divBdr>
                <w:top w:val="none" w:sz="0" w:space="0" w:color="auto"/>
                <w:left w:val="none" w:sz="0" w:space="0" w:color="auto"/>
                <w:bottom w:val="none" w:sz="0" w:space="0" w:color="auto"/>
                <w:right w:val="none" w:sz="0" w:space="0" w:color="auto"/>
              </w:divBdr>
            </w:div>
            <w:div w:id="663168865">
              <w:marLeft w:val="0"/>
              <w:marRight w:val="0"/>
              <w:marTop w:val="0"/>
              <w:marBottom w:val="0"/>
              <w:divBdr>
                <w:top w:val="none" w:sz="0" w:space="0" w:color="auto"/>
                <w:left w:val="none" w:sz="0" w:space="0" w:color="auto"/>
                <w:bottom w:val="none" w:sz="0" w:space="0" w:color="auto"/>
                <w:right w:val="none" w:sz="0" w:space="0" w:color="auto"/>
              </w:divBdr>
            </w:div>
            <w:div w:id="1352949288">
              <w:marLeft w:val="0"/>
              <w:marRight w:val="0"/>
              <w:marTop w:val="0"/>
              <w:marBottom w:val="0"/>
              <w:divBdr>
                <w:top w:val="none" w:sz="0" w:space="0" w:color="auto"/>
                <w:left w:val="none" w:sz="0" w:space="0" w:color="auto"/>
                <w:bottom w:val="none" w:sz="0" w:space="0" w:color="auto"/>
                <w:right w:val="none" w:sz="0" w:space="0" w:color="auto"/>
              </w:divBdr>
            </w:div>
            <w:div w:id="1308048515">
              <w:marLeft w:val="0"/>
              <w:marRight w:val="0"/>
              <w:marTop w:val="0"/>
              <w:marBottom w:val="0"/>
              <w:divBdr>
                <w:top w:val="none" w:sz="0" w:space="0" w:color="auto"/>
                <w:left w:val="none" w:sz="0" w:space="0" w:color="auto"/>
                <w:bottom w:val="none" w:sz="0" w:space="0" w:color="auto"/>
                <w:right w:val="none" w:sz="0" w:space="0" w:color="auto"/>
              </w:divBdr>
            </w:div>
            <w:div w:id="126047796">
              <w:marLeft w:val="0"/>
              <w:marRight w:val="0"/>
              <w:marTop w:val="0"/>
              <w:marBottom w:val="0"/>
              <w:divBdr>
                <w:top w:val="none" w:sz="0" w:space="0" w:color="auto"/>
                <w:left w:val="none" w:sz="0" w:space="0" w:color="auto"/>
                <w:bottom w:val="none" w:sz="0" w:space="0" w:color="auto"/>
                <w:right w:val="none" w:sz="0" w:space="0" w:color="auto"/>
              </w:divBdr>
            </w:div>
            <w:div w:id="1018237768">
              <w:marLeft w:val="0"/>
              <w:marRight w:val="0"/>
              <w:marTop w:val="0"/>
              <w:marBottom w:val="0"/>
              <w:divBdr>
                <w:top w:val="none" w:sz="0" w:space="0" w:color="auto"/>
                <w:left w:val="none" w:sz="0" w:space="0" w:color="auto"/>
                <w:bottom w:val="none" w:sz="0" w:space="0" w:color="auto"/>
                <w:right w:val="none" w:sz="0" w:space="0" w:color="auto"/>
              </w:divBdr>
            </w:div>
            <w:div w:id="1037269387">
              <w:marLeft w:val="0"/>
              <w:marRight w:val="0"/>
              <w:marTop w:val="0"/>
              <w:marBottom w:val="0"/>
              <w:divBdr>
                <w:top w:val="none" w:sz="0" w:space="0" w:color="auto"/>
                <w:left w:val="none" w:sz="0" w:space="0" w:color="auto"/>
                <w:bottom w:val="none" w:sz="0" w:space="0" w:color="auto"/>
                <w:right w:val="none" w:sz="0" w:space="0" w:color="auto"/>
              </w:divBdr>
            </w:div>
            <w:div w:id="1735155469">
              <w:marLeft w:val="0"/>
              <w:marRight w:val="0"/>
              <w:marTop w:val="0"/>
              <w:marBottom w:val="0"/>
              <w:divBdr>
                <w:top w:val="none" w:sz="0" w:space="0" w:color="auto"/>
                <w:left w:val="none" w:sz="0" w:space="0" w:color="auto"/>
                <w:bottom w:val="none" w:sz="0" w:space="0" w:color="auto"/>
                <w:right w:val="none" w:sz="0" w:space="0" w:color="auto"/>
              </w:divBdr>
            </w:div>
            <w:div w:id="620452381">
              <w:marLeft w:val="0"/>
              <w:marRight w:val="0"/>
              <w:marTop w:val="0"/>
              <w:marBottom w:val="0"/>
              <w:divBdr>
                <w:top w:val="none" w:sz="0" w:space="0" w:color="auto"/>
                <w:left w:val="none" w:sz="0" w:space="0" w:color="auto"/>
                <w:bottom w:val="none" w:sz="0" w:space="0" w:color="auto"/>
                <w:right w:val="none" w:sz="0" w:space="0" w:color="auto"/>
              </w:divBdr>
            </w:div>
            <w:div w:id="656110033">
              <w:marLeft w:val="0"/>
              <w:marRight w:val="0"/>
              <w:marTop w:val="0"/>
              <w:marBottom w:val="0"/>
              <w:divBdr>
                <w:top w:val="none" w:sz="0" w:space="0" w:color="auto"/>
                <w:left w:val="none" w:sz="0" w:space="0" w:color="auto"/>
                <w:bottom w:val="none" w:sz="0" w:space="0" w:color="auto"/>
                <w:right w:val="none" w:sz="0" w:space="0" w:color="auto"/>
              </w:divBdr>
            </w:div>
            <w:div w:id="2135097910">
              <w:marLeft w:val="0"/>
              <w:marRight w:val="0"/>
              <w:marTop w:val="0"/>
              <w:marBottom w:val="0"/>
              <w:divBdr>
                <w:top w:val="none" w:sz="0" w:space="0" w:color="auto"/>
                <w:left w:val="none" w:sz="0" w:space="0" w:color="auto"/>
                <w:bottom w:val="none" w:sz="0" w:space="0" w:color="auto"/>
                <w:right w:val="none" w:sz="0" w:space="0" w:color="auto"/>
              </w:divBdr>
            </w:div>
            <w:div w:id="1736471638">
              <w:marLeft w:val="0"/>
              <w:marRight w:val="0"/>
              <w:marTop w:val="0"/>
              <w:marBottom w:val="0"/>
              <w:divBdr>
                <w:top w:val="none" w:sz="0" w:space="0" w:color="auto"/>
                <w:left w:val="none" w:sz="0" w:space="0" w:color="auto"/>
                <w:bottom w:val="none" w:sz="0" w:space="0" w:color="auto"/>
                <w:right w:val="none" w:sz="0" w:space="0" w:color="auto"/>
              </w:divBdr>
            </w:div>
            <w:div w:id="10482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9218">
      <w:bodyDiv w:val="1"/>
      <w:marLeft w:val="0"/>
      <w:marRight w:val="0"/>
      <w:marTop w:val="0"/>
      <w:marBottom w:val="0"/>
      <w:divBdr>
        <w:top w:val="none" w:sz="0" w:space="0" w:color="auto"/>
        <w:left w:val="none" w:sz="0" w:space="0" w:color="auto"/>
        <w:bottom w:val="none" w:sz="0" w:space="0" w:color="auto"/>
        <w:right w:val="none" w:sz="0" w:space="0" w:color="auto"/>
      </w:divBdr>
      <w:divsChild>
        <w:div w:id="1822890159">
          <w:marLeft w:val="0"/>
          <w:marRight w:val="0"/>
          <w:marTop w:val="0"/>
          <w:marBottom w:val="0"/>
          <w:divBdr>
            <w:top w:val="none" w:sz="0" w:space="0" w:color="auto"/>
            <w:left w:val="none" w:sz="0" w:space="0" w:color="auto"/>
            <w:bottom w:val="none" w:sz="0" w:space="0" w:color="auto"/>
            <w:right w:val="none" w:sz="0" w:space="0" w:color="auto"/>
          </w:divBdr>
        </w:div>
        <w:div w:id="231083979">
          <w:marLeft w:val="0"/>
          <w:marRight w:val="0"/>
          <w:marTop w:val="0"/>
          <w:marBottom w:val="0"/>
          <w:divBdr>
            <w:top w:val="none" w:sz="0" w:space="0" w:color="auto"/>
            <w:left w:val="none" w:sz="0" w:space="0" w:color="auto"/>
            <w:bottom w:val="none" w:sz="0" w:space="0" w:color="auto"/>
            <w:right w:val="none" w:sz="0" w:space="0" w:color="auto"/>
          </w:divBdr>
        </w:div>
        <w:div w:id="1855993786">
          <w:marLeft w:val="0"/>
          <w:marRight w:val="0"/>
          <w:marTop w:val="0"/>
          <w:marBottom w:val="0"/>
          <w:divBdr>
            <w:top w:val="none" w:sz="0" w:space="0" w:color="auto"/>
            <w:left w:val="none" w:sz="0" w:space="0" w:color="auto"/>
            <w:bottom w:val="none" w:sz="0" w:space="0" w:color="auto"/>
            <w:right w:val="none" w:sz="0" w:space="0" w:color="auto"/>
          </w:divBdr>
        </w:div>
        <w:div w:id="1944413855">
          <w:marLeft w:val="0"/>
          <w:marRight w:val="0"/>
          <w:marTop w:val="0"/>
          <w:marBottom w:val="0"/>
          <w:divBdr>
            <w:top w:val="none" w:sz="0" w:space="0" w:color="auto"/>
            <w:left w:val="none" w:sz="0" w:space="0" w:color="auto"/>
            <w:bottom w:val="none" w:sz="0" w:space="0" w:color="auto"/>
            <w:right w:val="none" w:sz="0" w:space="0" w:color="auto"/>
          </w:divBdr>
        </w:div>
        <w:div w:id="391346817">
          <w:marLeft w:val="0"/>
          <w:marRight w:val="0"/>
          <w:marTop w:val="0"/>
          <w:marBottom w:val="0"/>
          <w:divBdr>
            <w:top w:val="none" w:sz="0" w:space="0" w:color="auto"/>
            <w:left w:val="none" w:sz="0" w:space="0" w:color="auto"/>
            <w:bottom w:val="none" w:sz="0" w:space="0" w:color="auto"/>
            <w:right w:val="none" w:sz="0" w:space="0" w:color="auto"/>
          </w:divBdr>
        </w:div>
      </w:divsChild>
    </w:div>
    <w:div w:id="1343708058">
      <w:bodyDiv w:val="1"/>
      <w:marLeft w:val="0"/>
      <w:marRight w:val="0"/>
      <w:marTop w:val="0"/>
      <w:marBottom w:val="0"/>
      <w:divBdr>
        <w:top w:val="none" w:sz="0" w:space="0" w:color="auto"/>
        <w:left w:val="none" w:sz="0" w:space="0" w:color="auto"/>
        <w:bottom w:val="none" w:sz="0" w:space="0" w:color="auto"/>
        <w:right w:val="none" w:sz="0" w:space="0" w:color="auto"/>
      </w:divBdr>
      <w:divsChild>
        <w:div w:id="1375077281">
          <w:marLeft w:val="0"/>
          <w:marRight w:val="0"/>
          <w:marTop w:val="0"/>
          <w:marBottom w:val="0"/>
          <w:divBdr>
            <w:top w:val="none" w:sz="0" w:space="0" w:color="auto"/>
            <w:left w:val="none" w:sz="0" w:space="0" w:color="auto"/>
            <w:bottom w:val="none" w:sz="0" w:space="0" w:color="auto"/>
            <w:right w:val="none" w:sz="0" w:space="0" w:color="auto"/>
          </w:divBdr>
        </w:div>
        <w:div w:id="1182670070">
          <w:marLeft w:val="0"/>
          <w:marRight w:val="0"/>
          <w:marTop w:val="0"/>
          <w:marBottom w:val="0"/>
          <w:divBdr>
            <w:top w:val="none" w:sz="0" w:space="0" w:color="auto"/>
            <w:left w:val="none" w:sz="0" w:space="0" w:color="auto"/>
            <w:bottom w:val="none" w:sz="0" w:space="0" w:color="auto"/>
            <w:right w:val="none" w:sz="0" w:space="0" w:color="auto"/>
          </w:divBdr>
        </w:div>
        <w:div w:id="579943192">
          <w:marLeft w:val="0"/>
          <w:marRight w:val="0"/>
          <w:marTop w:val="0"/>
          <w:marBottom w:val="0"/>
          <w:divBdr>
            <w:top w:val="none" w:sz="0" w:space="0" w:color="auto"/>
            <w:left w:val="none" w:sz="0" w:space="0" w:color="auto"/>
            <w:bottom w:val="none" w:sz="0" w:space="0" w:color="auto"/>
            <w:right w:val="none" w:sz="0" w:space="0" w:color="auto"/>
          </w:divBdr>
        </w:div>
        <w:div w:id="324817306">
          <w:marLeft w:val="0"/>
          <w:marRight w:val="0"/>
          <w:marTop w:val="0"/>
          <w:marBottom w:val="0"/>
          <w:divBdr>
            <w:top w:val="none" w:sz="0" w:space="0" w:color="auto"/>
            <w:left w:val="none" w:sz="0" w:space="0" w:color="auto"/>
            <w:bottom w:val="none" w:sz="0" w:space="0" w:color="auto"/>
            <w:right w:val="none" w:sz="0" w:space="0" w:color="auto"/>
          </w:divBdr>
        </w:div>
        <w:div w:id="800226521">
          <w:marLeft w:val="0"/>
          <w:marRight w:val="0"/>
          <w:marTop w:val="0"/>
          <w:marBottom w:val="0"/>
          <w:divBdr>
            <w:top w:val="none" w:sz="0" w:space="0" w:color="auto"/>
            <w:left w:val="none" w:sz="0" w:space="0" w:color="auto"/>
            <w:bottom w:val="none" w:sz="0" w:space="0" w:color="auto"/>
            <w:right w:val="none" w:sz="0" w:space="0" w:color="auto"/>
          </w:divBdr>
        </w:div>
        <w:div w:id="1223836348">
          <w:marLeft w:val="0"/>
          <w:marRight w:val="0"/>
          <w:marTop w:val="0"/>
          <w:marBottom w:val="0"/>
          <w:divBdr>
            <w:top w:val="none" w:sz="0" w:space="0" w:color="auto"/>
            <w:left w:val="none" w:sz="0" w:space="0" w:color="auto"/>
            <w:bottom w:val="none" w:sz="0" w:space="0" w:color="auto"/>
            <w:right w:val="none" w:sz="0" w:space="0" w:color="auto"/>
          </w:divBdr>
        </w:div>
        <w:div w:id="1189105793">
          <w:marLeft w:val="0"/>
          <w:marRight w:val="0"/>
          <w:marTop w:val="0"/>
          <w:marBottom w:val="0"/>
          <w:divBdr>
            <w:top w:val="none" w:sz="0" w:space="0" w:color="auto"/>
            <w:left w:val="none" w:sz="0" w:space="0" w:color="auto"/>
            <w:bottom w:val="none" w:sz="0" w:space="0" w:color="auto"/>
            <w:right w:val="none" w:sz="0" w:space="0" w:color="auto"/>
          </w:divBdr>
        </w:div>
        <w:div w:id="12415830">
          <w:marLeft w:val="0"/>
          <w:marRight w:val="0"/>
          <w:marTop w:val="0"/>
          <w:marBottom w:val="0"/>
          <w:divBdr>
            <w:top w:val="none" w:sz="0" w:space="0" w:color="auto"/>
            <w:left w:val="none" w:sz="0" w:space="0" w:color="auto"/>
            <w:bottom w:val="none" w:sz="0" w:space="0" w:color="auto"/>
            <w:right w:val="none" w:sz="0" w:space="0" w:color="auto"/>
          </w:divBdr>
        </w:div>
        <w:div w:id="1194538121">
          <w:marLeft w:val="0"/>
          <w:marRight w:val="0"/>
          <w:marTop w:val="0"/>
          <w:marBottom w:val="0"/>
          <w:divBdr>
            <w:top w:val="none" w:sz="0" w:space="0" w:color="auto"/>
            <w:left w:val="none" w:sz="0" w:space="0" w:color="auto"/>
            <w:bottom w:val="none" w:sz="0" w:space="0" w:color="auto"/>
            <w:right w:val="none" w:sz="0" w:space="0" w:color="auto"/>
          </w:divBdr>
        </w:div>
        <w:div w:id="184877195">
          <w:marLeft w:val="0"/>
          <w:marRight w:val="0"/>
          <w:marTop w:val="0"/>
          <w:marBottom w:val="0"/>
          <w:divBdr>
            <w:top w:val="none" w:sz="0" w:space="0" w:color="auto"/>
            <w:left w:val="none" w:sz="0" w:space="0" w:color="auto"/>
            <w:bottom w:val="none" w:sz="0" w:space="0" w:color="auto"/>
            <w:right w:val="none" w:sz="0" w:space="0" w:color="auto"/>
          </w:divBdr>
        </w:div>
        <w:div w:id="1583642887">
          <w:marLeft w:val="0"/>
          <w:marRight w:val="0"/>
          <w:marTop w:val="0"/>
          <w:marBottom w:val="0"/>
          <w:divBdr>
            <w:top w:val="none" w:sz="0" w:space="0" w:color="auto"/>
            <w:left w:val="none" w:sz="0" w:space="0" w:color="auto"/>
            <w:bottom w:val="none" w:sz="0" w:space="0" w:color="auto"/>
            <w:right w:val="none" w:sz="0" w:space="0" w:color="auto"/>
          </w:divBdr>
        </w:div>
        <w:div w:id="721445568">
          <w:marLeft w:val="0"/>
          <w:marRight w:val="0"/>
          <w:marTop w:val="0"/>
          <w:marBottom w:val="0"/>
          <w:divBdr>
            <w:top w:val="none" w:sz="0" w:space="0" w:color="auto"/>
            <w:left w:val="none" w:sz="0" w:space="0" w:color="auto"/>
            <w:bottom w:val="none" w:sz="0" w:space="0" w:color="auto"/>
            <w:right w:val="none" w:sz="0" w:space="0" w:color="auto"/>
          </w:divBdr>
        </w:div>
        <w:div w:id="1938756811">
          <w:marLeft w:val="0"/>
          <w:marRight w:val="0"/>
          <w:marTop w:val="0"/>
          <w:marBottom w:val="0"/>
          <w:divBdr>
            <w:top w:val="none" w:sz="0" w:space="0" w:color="auto"/>
            <w:left w:val="none" w:sz="0" w:space="0" w:color="auto"/>
            <w:bottom w:val="none" w:sz="0" w:space="0" w:color="auto"/>
            <w:right w:val="none" w:sz="0" w:space="0" w:color="auto"/>
          </w:divBdr>
        </w:div>
      </w:divsChild>
    </w:div>
    <w:div w:id="1358895396">
      <w:bodyDiv w:val="1"/>
      <w:marLeft w:val="0"/>
      <w:marRight w:val="0"/>
      <w:marTop w:val="0"/>
      <w:marBottom w:val="0"/>
      <w:divBdr>
        <w:top w:val="none" w:sz="0" w:space="0" w:color="auto"/>
        <w:left w:val="none" w:sz="0" w:space="0" w:color="auto"/>
        <w:bottom w:val="none" w:sz="0" w:space="0" w:color="auto"/>
        <w:right w:val="none" w:sz="0" w:space="0" w:color="auto"/>
      </w:divBdr>
      <w:divsChild>
        <w:div w:id="1320379108">
          <w:marLeft w:val="0"/>
          <w:marRight w:val="0"/>
          <w:marTop w:val="0"/>
          <w:marBottom w:val="0"/>
          <w:divBdr>
            <w:top w:val="none" w:sz="0" w:space="0" w:color="auto"/>
            <w:left w:val="none" w:sz="0" w:space="0" w:color="auto"/>
            <w:bottom w:val="none" w:sz="0" w:space="0" w:color="auto"/>
            <w:right w:val="none" w:sz="0" w:space="0" w:color="auto"/>
          </w:divBdr>
        </w:div>
        <w:div w:id="1850440672">
          <w:marLeft w:val="0"/>
          <w:marRight w:val="0"/>
          <w:marTop w:val="0"/>
          <w:marBottom w:val="0"/>
          <w:divBdr>
            <w:top w:val="none" w:sz="0" w:space="0" w:color="auto"/>
            <w:left w:val="none" w:sz="0" w:space="0" w:color="auto"/>
            <w:bottom w:val="none" w:sz="0" w:space="0" w:color="auto"/>
            <w:right w:val="none" w:sz="0" w:space="0" w:color="auto"/>
          </w:divBdr>
        </w:div>
        <w:div w:id="1945379213">
          <w:marLeft w:val="0"/>
          <w:marRight w:val="0"/>
          <w:marTop w:val="0"/>
          <w:marBottom w:val="0"/>
          <w:divBdr>
            <w:top w:val="none" w:sz="0" w:space="0" w:color="auto"/>
            <w:left w:val="none" w:sz="0" w:space="0" w:color="auto"/>
            <w:bottom w:val="none" w:sz="0" w:space="0" w:color="auto"/>
            <w:right w:val="none" w:sz="0" w:space="0" w:color="auto"/>
          </w:divBdr>
        </w:div>
        <w:div w:id="626468785">
          <w:marLeft w:val="0"/>
          <w:marRight w:val="0"/>
          <w:marTop w:val="0"/>
          <w:marBottom w:val="0"/>
          <w:divBdr>
            <w:top w:val="none" w:sz="0" w:space="0" w:color="auto"/>
            <w:left w:val="none" w:sz="0" w:space="0" w:color="auto"/>
            <w:bottom w:val="none" w:sz="0" w:space="0" w:color="auto"/>
            <w:right w:val="none" w:sz="0" w:space="0" w:color="auto"/>
          </w:divBdr>
        </w:div>
        <w:div w:id="1316715370">
          <w:marLeft w:val="0"/>
          <w:marRight w:val="0"/>
          <w:marTop w:val="0"/>
          <w:marBottom w:val="0"/>
          <w:divBdr>
            <w:top w:val="none" w:sz="0" w:space="0" w:color="auto"/>
            <w:left w:val="none" w:sz="0" w:space="0" w:color="auto"/>
            <w:bottom w:val="none" w:sz="0" w:space="0" w:color="auto"/>
            <w:right w:val="none" w:sz="0" w:space="0" w:color="auto"/>
          </w:divBdr>
        </w:div>
      </w:divsChild>
    </w:div>
    <w:div w:id="1375421658">
      <w:bodyDiv w:val="1"/>
      <w:marLeft w:val="0"/>
      <w:marRight w:val="0"/>
      <w:marTop w:val="0"/>
      <w:marBottom w:val="0"/>
      <w:divBdr>
        <w:top w:val="none" w:sz="0" w:space="0" w:color="auto"/>
        <w:left w:val="none" w:sz="0" w:space="0" w:color="auto"/>
        <w:bottom w:val="none" w:sz="0" w:space="0" w:color="auto"/>
        <w:right w:val="none" w:sz="0" w:space="0" w:color="auto"/>
      </w:divBdr>
    </w:div>
    <w:div w:id="1408503853">
      <w:bodyDiv w:val="1"/>
      <w:marLeft w:val="0"/>
      <w:marRight w:val="0"/>
      <w:marTop w:val="0"/>
      <w:marBottom w:val="0"/>
      <w:divBdr>
        <w:top w:val="none" w:sz="0" w:space="0" w:color="auto"/>
        <w:left w:val="none" w:sz="0" w:space="0" w:color="auto"/>
        <w:bottom w:val="none" w:sz="0" w:space="0" w:color="auto"/>
        <w:right w:val="none" w:sz="0" w:space="0" w:color="auto"/>
      </w:divBdr>
      <w:divsChild>
        <w:div w:id="684095534">
          <w:marLeft w:val="0"/>
          <w:marRight w:val="0"/>
          <w:marTop w:val="0"/>
          <w:marBottom w:val="0"/>
          <w:divBdr>
            <w:top w:val="none" w:sz="0" w:space="0" w:color="auto"/>
            <w:left w:val="none" w:sz="0" w:space="0" w:color="auto"/>
            <w:bottom w:val="none" w:sz="0" w:space="0" w:color="auto"/>
            <w:right w:val="none" w:sz="0" w:space="0" w:color="auto"/>
          </w:divBdr>
        </w:div>
        <w:div w:id="800802228">
          <w:marLeft w:val="0"/>
          <w:marRight w:val="0"/>
          <w:marTop w:val="0"/>
          <w:marBottom w:val="0"/>
          <w:divBdr>
            <w:top w:val="none" w:sz="0" w:space="0" w:color="auto"/>
            <w:left w:val="none" w:sz="0" w:space="0" w:color="auto"/>
            <w:bottom w:val="none" w:sz="0" w:space="0" w:color="auto"/>
            <w:right w:val="none" w:sz="0" w:space="0" w:color="auto"/>
          </w:divBdr>
        </w:div>
        <w:div w:id="456990656">
          <w:marLeft w:val="0"/>
          <w:marRight w:val="0"/>
          <w:marTop w:val="0"/>
          <w:marBottom w:val="0"/>
          <w:divBdr>
            <w:top w:val="none" w:sz="0" w:space="0" w:color="auto"/>
            <w:left w:val="none" w:sz="0" w:space="0" w:color="auto"/>
            <w:bottom w:val="none" w:sz="0" w:space="0" w:color="auto"/>
            <w:right w:val="none" w:sz="0" w:space="0" w:color="auto"/>
          </w:divBdr>
        </w:div>
        <w:div w:id="117067975">
          <w:marLeft w:val="0"/>
          <w:marRight w:val="0"/>
          <w:marTop w:val="0"/>
          <w:marBottom w:val="0"/>
          <w:divBdr>
            <w:top w:val="none" w:sz="0" w:space="0" w:color="auto"/>
            <w:left w:val="none" w:sz="0" w:space="0" w:color="auto"/>
            <w:bottom w:val="none" w:sz="0" w:space="0" w:color="auto"/>
            <w:right w:val="none" w:sz="0" w:space="0" w:color="auto"/>
          </w:divBdr>
        </w:div>
        <w:div w:id="2004165234">
          <w:marLeft w:val="0"/>
          <w:marRight w:val="0"/>
          <w:marTop w:val="0"/>
          <w:marBottom w:val="0"/>
          <w:divBdr>
            <w:top w:val="none" w:sz="0" w:space="0" w:color="auto"/>
            <w:left w:val="none" w:sz="0" w:space="0" w:color="auto"/>
            <w:bottom w:val="none" w:sz="0" w:space="0" w:color="auto"/>
            <w:right w:val="none" w:sz="0" w:space="0" w:color="auto"/>
          </w:divBdr>
        </w:div>
        <w:div w:id="341788283">
          <w:marLeft w:val="0"/>
          <w:marRight w:val="0"/>
          <w:marTop w:val="0"/>
          <w:marBottom w:val="0"/>
          <w:divBdr>
            <w:top w:val="none" w:sz="0" w:space="0" w:color="auto"/>
            <w:left w:val="none" w:sz="0" w:space="0" w:color="auto"/>
            <w:bottom w:val="none" w:sz="0" w:space="0" w:color="auto"/>
            <w:right w:val="none" w:sz="0" w:space="0" w:color="auto"/>
          </w:divBdr>
        </w:div>
        <w:div w:id="1885095600">
          <w:marLeft w:val="0"/>
          <w:marRight w:val="0"/>
          <w:marTop w:val="0"/>
          <w:marBottom w:val="0"/>
          <w:divBdr>
            <w:top w:val="none" w:sz="0" w:space="0" w:color="auto"/>
            <w:left w:val="none" w:sz="0" w:space="0" w:color="auto"/>
            <w:bottom w:val="none" w:sz="0" w:space="0" w:color="auto"/>
            <w:right w:val="none" w:sz="0" w:space="0" w:color="auto"/>
          </w:divBdr>
        </w:div>
        <w:div w:id="1782456725">
          <w:marLeft w:val="0"/>
          <w:marRight w:val="0"/>
          <w:marTop w:val="0"/>
          <w:marBottom w:val="0"/>
          <w:divBdr>
            <w:top w:val="none" w:sz="0" w:space="0" w:color="auto"/>
            <w:left w:val="none" w:sz="0" w:space="0" w:color="auto"/>
            <w:bottom w:val="none" w:sz="0" w:space="0" w:color="auto"/>
            <w:right w:val="none" w:sz="0" w:space="0" w:color="auto"/>
          </w:divBdr>
        </w:div>
        <w:div w:id="1466436305">
          <w:marLeft w:val="0"/>
          <w:marRight w:val="0"/>
          <w:marTop w:val="0"/>
          <w:marBottom w:val="0"/>
          <w:divBdr>
            <w:top w:val="none" w:sz="0" w:space="0" w:color="auto"/>
            <w:left w:val="none" w:sz="0" w:space="0" w:color="auto"/>
            <w:bottom w:val="none" w:sz="0" w:space="0" w:color="auto"/>
            <w:right w:val="none" w:sz="0" w:space="0" w:color="auto"/>
          </w:divBdr>
        </w:div>
        <w:div w:id="169030427">
          <w:marLeft w:val="0"/>
          <w:marRight w:val="0"/>
          <w:marTop w:val="0"/>
          <w:marBottom w:val="0"/>
          <w:divBdr>
            <w:top w:val="none" w:sz="0" w:space="0" w:color="auto"/>
            <w:left w:val="none" w:sz="0" w:space="0" w:color="auto"/>
            <w:bottom w:val="none" w:sz="0" w:space="0" w:color="auto"/>
            <w:right w:val="none" w:sz="0" w:space="0" w:color="auto"/>
          </w:divBdr>
        </w:div>
        <w:div w:id="399602480">
          <w:marLeft w:val="0"/>
          <w:marRight w:val="0"/>
          <w:marTop w:val="0"/>
          <w:marBottom w:val="0"/>
          <w:divBdr>
            <w:top w:val="none" w:sz="0" w:space="0" w:color="auto"/>
            <w:left w:val="none" w:sz="0" w:space="0" w:color="auto"/>
            <w:bottom w:val="none" w:sz="0" w:space="0" w:color="auto"/>
            <w:right w:val="none" w:sz="0" w:space="0" w:color="auto"/>
          </w:divBdr>
        </w:div>
        <w:div w:id="462310179">
          <w:marLeft w:val="0"/>
          <w:marRight w:val="0"/>
          <w:marTop w:val="0"/>
          <w:marBottom w:val="0"/>
          <w:divBdr>
            <w:top w:val="none" w:sz="0" w:space="0" w:color="auto"/>
            <w:left w:val="none" w:sz="0" w:space="0" w:color="auto"/>
            <w:bottom w:val="none" w:sz="0" w:space="0" w:color="auto"/>
            <w:right w:val="none" w:sz="0" w:space="0" w:color="auto"/>
          </w:divBdr>
        </w:div>
        <w:div w:id="277492603">
          <w:marLeft w:val="0"/>
          <w:marRight w:val="0"/>
          <w:marTop w:val="0"/>
          <w:marBottom w:val="0"/>
          <w:divBdr>
            <w:top w:val="none" w:sz="0" w:space="0" w:color="auto"/>
            <w:left w:val="none" w:sz="0" w:space="0" w:color="auto"/>
            <w:bottom w:val="none" w:sz="0" w:space="0" w:color="auto"/>
            <w:right w:val="none" w:sz="0" w:space="0" w:color="auto"/>
          </w:divBdr>
        </w:div>
        <w:div w:id="281308957">
          <w:marLeft w:val="0"/>
          <w:marRight w:val="0"/>
          <w:marTop w:val="0"/>
          <w:marBottom w:val="0"/>
          <w:divBdr>
            <w:top w:val="none" w:sz="0" w:space="0" w:color="auto"/>
            <w:left w:val="none" w:sz="0" w:space="0" w:color="auto"/>
            <w:bottom w:val="none" w:sz="0" w:space="0" w:color="auto"/>
            <w:right w:val="none" w:sz="0" w:space="0" w:color="auto"/>
          </w:divBdr>
        </w:div>
        <w:div w:id="1519847825">
          <w:marLeft w:val="0"/>
          <w:marRight w:val="0"/>
          <w:marTop w:val="0"/>
          <w:marBottom w:val="0"/>
          <w:divBdr>
            <w:top w:val="none" w:sz="0" w:space="0" w:color="auto"/>
            <w:left w:val="none" w:sz="0" w:space="0" w:color="auto"/>
            <w:bottom w:val="none" w:sz="0" w:space="0" w:color="auto"/>
            <w:right w:val="none" w:sz="0" w:space="0" w:color="auto"/>
          </w:divBdr>
        </w:div>
        <w:div w:id="237325330">
          <w:marLeft w:val="0"/>
          <w:marRight w:val="0"/>
          <w:marTop w:val="0"/>
          <w:marBottom w:val="0"/>
          <w:divBdr>
            <w:top w:val="none" w:sz="0" w:space="0" w:color="auto"/>
            <w:left w:val="none" w:sz="0" w:space="0" w:color="auto"/>
            <w:bottom w:val="none" w:sz="0" w:space="0" w:color="auto"/>
            <w:right w:val="none" w:sz="0" w:space="0" w:color="auto"/>
          </w:divBdr>
        </w:div>
        <w:div w:id="1750807088">
          <w:marLeft w:val="0"/>
          <w:marRight w:val="0"/>
          <w:marTop w:val="0"/>
          <w:marBottom w:val="0"/>
          <w:divBdr>
            <w:top w:val="none" w:sz="0" w:space="0" w:color="auto"/>
            <w:left w:val="none" w:sz="0" w:space="0" w:color="auto"/>
            <w:bottom w:val="none" w:sz="0" w:space="0" w:color="auto"/>
            <w:right w:val="none" w:sz="0" w:space="0" w:color="auto"/>
          </w:divBdr>
        </w:div>
        <w:div w:id="1614166121">
          <w:marLeft w:val="0"/>
          <w:marRight w:val="0"/>
          <w:marTop w:val="0"/>
          <w:marBottom w:val="0"/>
          <w:divBdr>
            <w:top w:val="none" w:sz="0" w:space="0" w:color="auto"/>
            <w:left w:val="none" w:sz="0" w:space="0" w:color="auto"/>
            <w:bottom w:val="none" w:sz="0" w:space="0" w:color="auto"/>
            <w:right w:val="none" w:sz="0" w:space="0" w:color="auto"/>
          </w:divBdr>
        </w:div>
        <w:div w:id="1043478284">
          <w:marLeft w:val="0"/>
          <w:marRight w:val="0"/>
          <w:marTop w:val="0"/>
          <w:marBottom w:val="0"/>
          <w:divBdr>
            <w:top w:val="none" w:sz="0" w:space="0" w:color="auto"/>
            <w:left w:val="none" w:sz="0" w:space="0" w:color="auto"/>
            <w:bottom w:val="none" w:sz="0" w:space="0" w:color="auto"/>
            <w:right w:val="none" w:sz="0" w:space="0" w:color="auto"/>
          </w:divBdr>
        </w:div>
        <w:div w:id="1389495384">
          <w:marLeft w:val="0"/>
          <w:marRight w:val="0"/>
          <w:marTop w:val="0"/>
          <w:marBottom w:val="0"/>
          <w:divBdr>
            <w:top w:val="none" w:sz="0" w:space="0" w:color="auto"/>
            <w:left w:val="none" w:sz="0" w:space="0" w:color="auto"/>
            <w:bottom w:val="none" w:sz="0" w:space="0" w:color="auto"/>
            <w:right w:val="none" w:sz="0" w:space="0" w:color="auto"/>
          </w:divBdr>
        </w:div>
        <w:div w:id="1012419965">
          <w:marLeft w:val="0"/>
          <w:marRight w:val="0"/>
          <w:marTop w:val="0"/>
          <w:marBottom w:val="0"/>
          <w:divBdr>
            <w:top w:val="none" w:sz="0" w:space="0" w:color="auto"/>
            <w:left w:val="none" w:sz="0" w:space="0" w:color="auto"/>
            <w:bottom w:val="none" w:sz="0" w:space="0" w:color="auto"/>
            <w:right w:val="none" w:sz="0" w:space="0" w:color="auto"/>
          </w:divBdr>
        </w:div>
        <w:div w:id="1232736946">
          <w:marLeft w:val="0"/>
          <w:marRight w:val="0"/>
          <w:marTop w:val="0"/>
          <w:marBottom w:val="0"/>
          <w:divBdr>
            <w:top w:val="none" w:sz="0" w:space="0" w:color="auto"/>
            <w:left w:val="none" w:sz="0" w:space="0" w:color="auto"/>
            <w:bottom w:val="none" w:sz="0" w:space="0" w:color="auto"/>
            <w:right w:val="none" w:sz="0" w:space="0" w:color="auto"/>
          </w:divBdr>
        </w:div>
      </w:divsChild>
    </w:div>
    <w:div w:id="1436947735">
      <w:bodyDiv w:val="1"/>
      <w:marLeft w:val="0"/>
      <w:marRight w:val="0"/>
      <w:marTop w:val="0"/>
      <w:marBottom w:val="0"/>
      <w:divBdr>
        <w:top w:val="none" w:sz="0" w:space="0" w:color="auto"/>
        <w:left w:val="none" w:sz="0" w:space="0" w:color="auto"/>
        <w:bottom w:val="none" w:sz="0" w:space="0" w:color="auto"/>
        <w:right w:val="none" w:sz="0" w:space="0" w:color="auto"/>
      </w:divBdr>
      <w:divsChild>
        <w:div w:id="1655256417">
          <w:marLeft w:val="0"/>
          <w:marRight w:val="0"/>
          <w:marTop w:val="0"/>
          <w:marBottom w:val="0"/>
          <w:divBdr>
            <w:top w:val="none" w:sz="0" w:space="0" w:color="auto"/>
            <w:left w:val="none" w:sz="0" w:space="0" w:color="auto"/>
            <w:bottom w:val="none" w:sz="0" w:space="0" w:color="auto"/>
            <w:right w:val="none" w:sz="0" w:space="0" w:color="auto"/>
          </w:divBdr>
        </w:div>
        <w:div w:id="1424958372">
          <w:marLeft w:val="0"/>
          <w:marRight w:val="0"/>
          <w:marTop w:val="0"/>
          <w:marBottom w:val="0"/>
          <w:divBdr>
            <w:top w:val="none" w:sz="0" w:space="0" w:color="auto"/>
            <w:left w:val="none" w:sz="0" w:space="0" w:color="auto"/>
            <w:bottom w:val="none" w:sz="0" w:space="0" w:color="auto"/>
            <w:right w:val="none" w:sz="0" w:space="0" w:color="auto"/>
          </w:divBdr>
        </w:div>
        <w:div w:id="1882783941">
          <w:marLeft w:val="0"/>
          <w:marRight w:val="0"/>
          <w:marTop w:val="0"/>
          <w:marBottom w:val="0"/>
          <w:divBdr>
            <w:top w:val="none" w:sz="0" w:space="0" w:color="auto"/>
            <w:left w:val="none" w:sz="0" w:space="0" w:color="auto"/>
            <w:bottom w:val="none" w:sz="0" w:space="0" w:color="auto"/>
            <w:right w:val="none" w:sz="0" w:space="0" w:color="auto"/>
          </w:divBdr>
        </w:div>
        <w:div w:id="404646983">
          <w:marLeft w:val="0"/>
          <w:marRight w:val="0"/>
          <w:marTop w:val="0"/>
          <w:marBottom w:val="0"/>
          <w:divBdr>
            <w:top w:val="none" w:sz="0" w:space="0" w:color="auto"/>
            <w:left w:val="none" w:sz="0" w:space="0" w:color="auto"/>
            <w:bottom w:val="none" w:sz="0" w:space="0" w:color="auto"/>
            <w:right w:val="none" w:sz="0" w:space="0" w:color="auto"/>
          </w:divBdr>
        </w:div>
        <w:div w:id="360203798">
          <w:marLeft w:val="0"/>
          <w:marRight w:val="0"/>
          <w:marTop w:val="0"/>
          <w:marBottom w:val="0"/>
          <w:divBdr>
            <w:top w:val="none" w:sz="0" w:space="0" w:color="auto"/>
            <w:left w:val="none" w:sz="0" w:space="0" w:color="auto"/>
            <w:bottom w:val="none" w:sz="0" w:space="0" w:color="auto"/>
            <w:right w:val="none" w:sz="0" w:space="0" w:color="auto"/>
          </w:divBdr>
        </w:div>
        <w:div w:id="1518084092">
          <w:marLeft w:val="0"/>
          <w:marRight w:val="0"/>
          <w:marTop w:val="0"/>
          <w:marBottom w:val="0"/>
          <w:divBdr>
            <w:top w:val="none" w:sz="0" w:space="0" w:color="auto"/>
            <w:left w:val="none" w:sz="0" w:space="0" w:color="auto"/>
            <w:bottom w:val="none" w:sz="0" w:space="0" w:color="auto"/>
            <w:right w:val="none" w:sz="0" w:space="0" w:color="auto"/>
          </w:divBdr>
        </w:div>
        <w:div w:id="172457061">
          <w:marLeft w:val="0"/>
          <w:marRight w:val="0"/>
          <w:marTop w:val="0"/>
          <w:marBottom w:val="0"/>
          <w:divBdr>
            <w:top w:val="none" w:sz="0" w:space="0" w:color="auto"/>
            <w:left w:val="none" w:sz="0" w:space="0" w:color="auto"/>
            <w:bottom w:val="none" w:sz="0" w:space="0" w:color="auto"/>
            <w:right w:val="none" w:sz="0" w:space="0" w:color="auto"/>
          </w:divBdr>
        </w:div>
        <w:div w:id="1359627432">
          <w:marLeft w:val="0"/>
          <w:marRight w:val="0"/>
          <w:marTop w:val="0"/>
          <w:marBottom w:val="0"/>
          <w:divBdr>
            <w:top w:val="none" w:sz="0" w:space="0" w:color="auto"/>
            <w:left w:val="none" w:sz="0" w:space="0" w:color="auto"/>
            <w:bottom w:val="none" w:sz="0" w:space="0" w:color="auto"/>
            <w:right w:val="none" w:sz="0" w:space="0" w:color="auto"/>
          </w:divBdr>
        </w:div>
        <w:div w:id="2136605648">
          <w:marLeft w:val="0"/>
          <w:marRight w:val="0"/>
          <w:marTop w:val="0"/>
          <w:marBottom w:val="0"/>
          <w:divBdr>
            <w:top w:val="none" w:sz="0" w:space="0" w:color="auto"/>
            <w:left w:val="none" w:sz="0" w:space="0" w:color="auto"/>
            <w:bottom w:val="none" w:sz="0" w:space="0" w:color="auto"/>
            <w:right w:val="none" w:sz="0" w:space="0" w:color="auto"/>
          </w:divBdr>
        </w:div>
      </w:divsChild>
    </w:div>
    <w:div w:id="1494564419">
      <w:bodyDiv w:val="1"/>
      <w:marLeft w:val="0"/>
      <w:marRight w:val="0"/>
      <w:marTop w:val="0"/>
      <w:marBottom w:val="0"/>
      <w:divBdr>
        <w:top w:val="none" w:sz="0" w:space="0" w:color="auto"/>
        <w:left w:val="none" w:sz="0" w:space="0" w:color="auto"/>
        <w:bottom w:val="none" w:sz="0" w:space="0" w:color="auto"/>
        <w:right w:val="none" w:sz="0" w:space="0" w:color="auto"/>
      </w:divBdr>
      <w:divsChild>
        <w:div w:id="1674338767">
          <w:marLeft w:val="0"/>
          <w:marRight w:val="0"/>
          <w:marTop w:val="0"/>
          <w:marBottom w:val="0"/>
          <w:divBdr>
            <w:top w:val="none" w:sz="0" w:space="0" w:color="auto"/>
            <w:left w:val="none" w:sz="0" w:space="0" w:color="auto"/>
            <w:bottom w:val="none" w:sz="0" w:space="0" w:color="auto"/>
            <w:right w:val="none" w:sz="0" w:space="0" w:color="auto"/>
          </w:divBdr>
        </w:div>
        <w:div w:id="1681198106">
          <w:marLeft w:val="0"/>
          <w:marRight w:val="0"/>
          <w:marTop w:val="0"/>
          <w:marBottom w:val="0"/>
          <w:divBdr>
            <w:top w:val="none" w:sz="0" w:space="0" w:color="auto"/>
            <w:left w:val="none" w:sz="0" w:space="0" w:color="auto"/>
            <w:bottom w:val="none" w:sz="0" w:space="0" w:color="auto"/>
            <w:right w:val="none" w:sz="0" w:space="0" w:color="auto"/>
          </w:divBdr>
        </w:div>
        <w:div w:id="1403603758">
          <w:marLeft w:val="0"/>
          <w:marRight w:val="0"/>
          <w:marTop w:val="0"/>
          <w:marBottom w:val="0"/>
          <w:divBdr>
            <w:top w:val="none" w:sz="0" w:space="0" w:color="auto"/>
            <w:left w:val="none" w:sz="0" w:space="0" w:color="auto"/>
            <w:bottom w:val="none" w:sz="0" w:space="0" w:color="auto"/>
            <w:right w:val="none" w:sz="0" w:space="0" w:color="auto"/>
          </w:divBdr>
        </w:div>
        <w:div w:id="1227765925">
          <w:marLeft w:val="0"/>
          <w:marRight w:val="0"/>
          <w:marTop w:val="0"/>
          <w:marBottom w:val="0"/>
          <w:divBdr>
            <w:top w:val="none" w:sz="0" w:space="0" w:color="auto"/>
            <w:left w:val="none" w:sz="0" w:space="0" w:color="auto"/>
            <w:bottom w:val="none" w:sz="0" w:space="0" w:color="auto"/>
            <w:right w:val="none" w:sz="0" w:space="0" w:color="auto"/>
          </w:divBdr>
        </w:div>
        <w:div w:id="545138336">
          <w:marLeft w:val="0"/>
          <w:marRight w:val="0"/>
          <w:marTop w:val="0"/>
          <w:marBottom w:val="0"/>
          <w:divBdr>
            <w:top w:val="none" w:sz="0" w:space="0" w:color="auto"/>
            <w:left w:val="none" w:sz="0" w:space="0" w:color="auto"/>
            <w:bottom w:val="none" w:sz="0" w:space="0" w:color="auto"/>
            <w:right w:val="none" w:sz="0" w:space="0" w:color="auto"/>
          </w:divBdr>
        </w:div>
        <w:div w:id="1491363400">
          <w:marLeft w:val="0"/>
          <w:marRight w:val="0"/>
          <w:marTop w:val="0"/>
          <w:marBottom w:val="0"/>
          <w:divBdr>
            <w:top w:val="none" w:sz="0" w:space="0" w:color="auto"/>
            <w:left w:val="none" w:sz="0" w:space="0" w:color="auto"/>
            <w:bottom w:val="none" w:sz="0" w:space="0" w:color="auto"/>
            <w:right w:val="none" w:sz="0" w:space="0" w:color="auto"/>
          </w:divBdr>
        </w:div>
        <w:div w:id="85149795">
          <w:marLeft w:val="0"/>
          <w:marRight w:val="0"/>
          <w:marTop w:val="0"/>
          <w:marBottom w:val="0"/>
          <w:divBdr>
            <w:top w:val="none" w:sz="0" w:space="0" w:color="auto"/>
            <w:left w:val="none" w:sz="0" w:space="0" w:color="auto"/>
            <w:bottom w:val="none" w:sz="0" w:space="0" w:color="auto"/>
            <w:right w:val="none" w:sz="0" w:space="0" w:color="auto"/>
          </w:divBdr>
        </w:div>
        <w:div w:id="182129267">
          <w:marLeft w:val="0"/>
          <w:marRight w:val="0"/>
          <w:marTop w:val="0"/>
          <w:marBottom w:val="0"/>
          <w:divBdr>
            <w:top w:val="none" w:sz="0" w:space="0" w:color="auto"/>
            <w:left w:val="none" w:sz="0" w:space="0" w:color="auto"/>
            <w:bottom w:val="none" w:sz="0" w:space="0" w:color="auto"/>
            <w:right w:val="none" w:sz="0" w:space="0" w:color="auto"/>
          </w:divBdr>
        </w:div>
      </w:divsChild>
    </w:div>
    <w:div w:id="1522356905">
      <w:bodyDiv w:val="1"/>
      <w:marLeft w:val="0"/>
      <w:marRight w:val="0"/>
      <w:marTop w:val="0"/>
      <w:marBottom w:val="0"/>
      <w:divBdr>
        <w:top w:val="none" w:sz="0" w:space="0" w:color="auto"/>
        <w:left w:val="none" w:sz="0" w:space="0" w:color="auto"/>
        <w:bottom w:val="none" w:sz="0" w:space="0" w:color="auto"/>
        <w:right w:val="none" w:sz="0" w:space="0" w:color="auto"/>
      </w:divBdr>
      <w:divsChild>
        <w:div w:id="1136147383">
          <w:marLeft w:val="0"/>
          <w:marRight w:val="0"/>
          <w:marTop w:val="0"/>
          <w:marBottom w:val="0"/>
          <w:divBdr>
            <w:top w:val="none" w:sz="0" w:space="0" w:color="auto"/>
            <w:left w:val="none" w:sz="0" w:space="0" w:color="auto"/>
            <w:bottom w:val="none" w:sz="0" w:space="0" w:color="auto"/>
            <w:right w:val="none" w:sz="0" w:space="0" w:color="auto"/>
          </w:divBdr>
        </w:div>
        <w:div w:id="69156407">
          <w:marLeft w:val="0"/>
          <w:marRight w:val="0"/>
          <w:marTop w:val="0"/>
          <w:marBottom w:val="0"/>
          <w:divBdr>
            <w:top w:val="none" w:sz="0" w:space="0" w:color="auto"/>
            <w:left w:val="none" w:sz="0" w:space="0" w:color="auto"/>
            <w:bottom w:val="none" w:sz="0" w:space="0" w:color="auto"/>
            <w:right w:val="none" w:sz="0" w:space="0" w:color="auto"/>
          </w:divBdr>
        </w:div>
        <w:div w:id="1870795626">
          <w:marLeft w:val="0"/>
          <w:marRight w:val="0"/>
          <w:marTop w:val="0"/>
          <w:marBottom w:val="0"/>
          <w:divBdr>
            <w:top w:val="none" w:sz="0" w:space="0" w:color="auto"/>
            <w:left w:val="none" w:sz="0" w:space="0" w:color="auto"/>
            <w:bottom w:val="none" w:sz="0" w:space="0" w:color="auto"/>
            <w:right w:val="none" w:sz="0" w:space="0" w:color="auto"/>
          </w:divBdr>
        </w:div>
        <w:div w:id="1184397201">
          <w:marLeft w:val="0"/>
          <w:marRight w:val="0"/>
          <w:marTop w:val="0"/>
          <w:marBottom w:val="0"/>
          <w:divBdr>
            <w:top w:val="none" w:sz="0" w:space="0" w:color="auto"/>
            <w:left w:val="none" w:sz="0" w:space="0" w:color="auto"/>
            <w:bottom w:val="none" w:sz="0" w:space="0" w:color="auto"/>
            <w:right w:val="none" w:sz="0" w:space="0" w:color="auto"/>
          </w:divBdr>
        </w:div>
        <w:div w:id="573391942">
          <w:marLeft w:val="0"/>
          <w:marRight w:val="0"/>
          <w:marTop w:val="0"/>
          <w:marBottom w:val="0"/>
          <w:divBdr>
            <w:top w:val="none" w:sz="0" w:space="0" w:color="auto"/>
            <w:left w:val="none" w:sz="0" w:space="0" w:color="auto"/>
            <w:bottom w:val="none" w:sz="0" w:space="0" w:color="auto"/>
            <w:right w:val="none" w:sz="0" w:space="0" w:color="auto"/>
          </w:divBdr>
        </w:div>
        <w:div w:id="1336417889">
          <w:marLeft w:val="0"/>
          <w:marRight w:val="0"/>
          <w:marTop w:val="0"/>
          <w:marBottom w:val="0"/>
          <w:divBdr>
            <w:top w:val="none" w:sz="0" w:space="0" w:color="auto"/>
            <w:left w:val="none" w:sz="0" w:space="0" w:color="auto"/>
            <w:bottom w:val="none" w:sz="0" w:space="0" w:color="auto"/>
            <w:right w:val="none" w:sz="0" w:space="0" w:color="auto"/>
          </w:divBdr>
        </w:div>
        <w:div w:id="279190211">
          <w:marLeft w:val="0"/>
          <w:marRight w:val="0"/>
          <w:marTop w:val="0"/>
          <w:marBottom w:val="0"/>
          <w:divBdr>
            <w:top w:val="none" w:sz="0" w:space="0" w:color="auto"/>
            <w:left w:val="none" w:sz="0" w:space="0" w:color="auto"/>
            <w:bottom w:val="none" w:sz="0" w:space="0" w:color="auto"/>
            <w:right w:val="none" w:sz="0" w:space="0" w:color="auto"/>
          </w:divBdr>
        </w:div>
        <w:div w:id="1174956916">
          <w:marLeft w:val="0"/>
          <w:marRight w:val="0"/>
          <w:marTop w:val="0"/>
          <w:marBottom w:val="0"/>
          <w:divBdr>
            <w:top w:val="none" w:sz="0" w:space="0" w:color="auto"/>
            <w:left w:val="none" w:sz="0" w:space="0" w:color="auto"/>
            <w:bottom w:val="none" w:sz="0" w:space="0" w:color="auto"/>
            <w:right w:val="none" w:sz="0" w:space="0" w:color="auto"/>
          </w:divBdr>
        </w:div>
        <w:div w:id="1685159748">
          <w:marLeft w:val="0"/>
          <w:marRight w:val="0"/>
          <w:marTop w:val="0"/>
          <w:marBottom w:val="0"/>
          <w:divBdr>
            <w:top w:val="none" w:sz="0" w:space="0" w:color="auto"/>
            <w:left w:val="none" w:sz="0" w:space="0" w:color="auto"/>
            <w:bottom w:val="none" w:sz="0" w:space="0" w:color="auto"/>
            <w:right w:val="none" w:sz="0" w:space="0" w:color="auto"/>
          </w:divBdr>
        </w:div>
        <w:div w:id="2143961748">
          <w:marLeft w:val="0"/>
          <w:marRight w:val="0"/>
          <w:marTop w:val="0"/>
          <w:marBottom w:val="0"/>
          <w:divBdr>
            <w:top w:val="none" w:sz="0" w:space="0" w:color="auto"/>
            <w:left w:val="none" w:sz="0" w:space="0" w:color="auto"/>
            <w:bottom w:val="none" w:sz="0" w:space="0" w:color="auto"/>
            <w:right w:val="none" w:sz="0" w:space="0" w:color="auto"/>
          </w:divBdr>
        </w:div>
        <w:div w:id="1012804303">
          <w:marLeft w:val="0"/>
          <w:marRight w:val="0"/>
          <w:marTop w:val="0"/>
          <w:marBottom w:val="0"/>
          <w:divBdr>
            <w:top w:val="none" w:sz="0" w:space="0" w:color="auto"/>
            <w:left w:val="none" w:sz="0" w:space="0" w:color="auto"/>
            <w:bottom w:val="none" w:sz="0" w:space="0" w:color="auto"/>
            <w:right w:val="none" w:sz="0" w:space="0" w:color="auto"/>
          </w:divBdr>
        </w:div>
        <w:div w:id="1441804155">
          <w:marLeft w:val="0"/>
          <w:marRight w:val="0"/>
          <w:marTop w:val="0"/>
          <w:marBottom w:val="0"/>
          <w:divBdr>
            <w:top w:val="none" w:sz="0" w:space="0" w:color="auto"/>
            <w:left w:val="none" w:sz="0" w:space="0" w:color="auto"/>
            <w:bottom w:val="none" w:sz="0" w:space="0" w:color="auto"/>
            <w:right w:val="none" w:sz="0" w:space="0" w:color="auto"/>
          </w:divBdr>
        </w:div>
        <w:div w:id="153693681">
          <w:marLeft w:val="0"/>
          <w:marRight w:val="0"/>
          <w:marTop w:val="0"/>
          <w:marBottom w:val="0"/>
          <w:divBdr>
            <w:top w:val="none" w:sz="0" w:space="0" w:color="auto"/>
            <w:left w:val="none" w:sz="0" w:space="0" w:color="auto"/>
            <w:bottom w:val="none" w:sz="0" w:space="0" w:color="auto"/>
            <w:right w:val="none" w:sz="0" w:space="0" w:color="auto"/>
          </w:divBdr>
        </w:div>
        <w:div w:id="122191573">
          <w:marLeft w:val="0"/>
          <w:marRight w:val="0"/>
          <w:marTop w:val="0"/>
          <w:marBottom w:val="0"/>
          <w:divBdr>
            <w:top w:val="none" w:sz="0" w:space="0" w:color="auto"/>
            <w:left w:val="none" w:sz="0" w:space="0" w:color="auto"/>
            <w:bottom w:val="none" w:sz="0" w:space="0" w:color="auto"/>
            <w:right w:val="none" w:sz="0" w:space="0" w:color="auto"/>
          </w:divBdr>
        </w:div>
        <w:div w:id="1787043543">
          <w:marLeft w:val="0"/>
          <w:marRight w:val="0"/>
          <w:marTop w:val="0"/>
          <w:marBottom w:val="0"/>
          <w:divBdr>
            <w:top w:val="none" w:sz="0" w:space="0" w:color="auto"/>
            <w:left w:val="none" w:sz="0" w:space="0" w:color="auto"/>
            <w:bottom w:val="none" w:sz="0" w:space="0" w:color="auto"/>
            <w:right w:val="none" w:sz="0" w:space="0" w:color="auto"/>
          </w:divBdr>
        </w:div>
        <w:div w:id="891424648">
          <w:marLeft w:val="0"/>
          <w:marRight w:val="0"/>
          <w:marTop w:val="0"/>
          <w:marBottom w:val="0"/>
          <w:divBdr>
            <w:top w:val="none" w:sz="0" w:space="0" w:color="auto"/>
            <w:left w:val="none" w:sz="0" w:space="0" w:color="auto"/>
            <w:bottom w:val="none" w:sz="0" w:space="0" w:color="auto"/>
            <w:right w:val="none" w:sz="0" w:space="0" w:color="auto"/>
          </w:divBdr>
        </w:div>
        <w:div w:id="1736321129">
          <w:marLeft w:val="0"/>
          <w:marRight w:val="0"/>
          <w:marTop w:val="0"/>
          <w:marBottom w:val="0"/>
          <w:divBdr>
            <w:top w:val="none" w:sz="0" w:space="0" w:color="auto"/>
            <w:left w:val="none" w:sz="0" w:space="0" w:color="auto"/>
            <w:bottom w:val="none" w:sz="0" w:space="0" w:color="auto"/>
            <w:right w:val="none" w:sz="0" w:space="0" w:color="auto"/>
          </w:divBdr>
        </w:div>
        <w:div w:id="1202353531">
          <w:marLeft w:val="0"/>
          <w:marRight w:val="0"/>
          <w:marTop w:val="0"/>
          <w:marBottom w:val="0"/>
          <w:divBdr>
            <w:top w:val="none" w:sz="0" w:space="0" w:color="auto"/>
            <w:left w:val="none" w:sz="0" w:space="0" w:color="auto"/>
            <w:bottom w:val="none" w:sz="0" w:space="0" w:color="auto"/>
            <w:right w:val="none" w:sz="0" w:space="0" w:color="auto"/>
          </w:divBdr>
        </w:div>
        <w:div w:id="282155624">
          <w:marLeft w:val="0"/>
          <w:marRight w:val="0"/>
          <w:marTop w:val="0"/>
          <w:marBottom w:val="0"/>
          <w:divBdr>
            <w:top w:val="none" w:sz="0" w:space="0" w:color="auto"/>
            <w:left w:val="none" w:sz="0" w:space="0" w:color="auto"/>
            <w:bottom w:val="none" w:sz="0" w:space="0" w:color="auto"/>
            <w:right w:val="none" w:sz="0" w:space="0" w:color="auto"/>
          </w:divBdr>
        </w:div>
      </w:divsChild>
    </w:div>
    <w:div w:id="1541745871">
      <w:bodyDiv w:val="1"/>
      <w:marLeft w:val="0"/>
      <w:marRight w:val="0"/>
      <w:marTop w:val="0"/>
      <w:marBottom w:val="0"/>
      <w:divBdr>
        <w:top w:val="none" w:sz="0" w:space="0" w:color="auto"/>
        <w:left w:val="none" w:sz="0" w:space="0" w:color="auto"/>
        <w:bottom w:val="none" w:sz="0" w:space="0" w:color="auto"/>
        <w:right w:val="none" w:sz="0" w:space="0" w:color="auto"/>
      </w:divBdr>
      <w:divsChild>
        <w:div w:id="1836918307">
          <w:marLeft w:val="0"/>
          <w:marRight w:val="0"/>
          <w:marTop w:val="0"/>
          <w:marBottom w:val="0"/>
          <w:divBdr>
            <w:top w:val="none" w:sz="0" w:space="0" w:color="auto"/>
            <w:left w:val="none" w:sz="0" w:space="0" w:color="auto"/>
            <w:bottom w:val="none" w:sz="0" w:space="0" w:color="auto"/>
            <w:right w:val="none" w:sz="0" w:space="0" w:color="auto"/>
          </w:divBdr>
        </w:div>
        <w:div w:id="417604924">
          <w:marLeft w:val="0"/>
          <w:marRight w:val="0"/>
          <w:marTop w:val="0"/>
          <w:marBottom w:val="0"/>
          <w:divBdr>
            <w:top w:val="none" w:sz="0" w:space="0" w:color="auto"/>
            <w:left w:val="none" w:sz="0" w:space="0" w:color="auto"/>
            <w:bottom w:val="none" w:sz="0" w:space="0" w:color="auto"/>
            <w:right w:val="none" w:sz="0" w:space="0" w:color="auto"/>
          </w:divBdr>
        </w:div>
        <w:div w:id="1947350836">
          <w:marLeft w:val="0"/>
          <w:marRight w:val="0"/>
          <w:marTop w:val="0"/>
          <w:marBottom w:val="0"/>
          <w:divBdr>
            <w:top w:val="none" w:sz="0" w:space="0" w:color="auto"/>
            <w:left w:val="none" w:sz="0" w:space="0" w:color="auto"/>
            <w:bottom w:val="none" w:sz="0" w:space="0" w:color="auto"/>
            <w:right w:val="none" w:sz="0" w:space="0" w:color="auto"/>
          </w:divBdr>
        </w:div>
        <w:div w:id="1404185831">
          <w:marLeft w:val="0"/>
          <w:marRight w:val="0"/>
          <w:marTop w:val="0"/>
          <w:marBottom w:val="0"/>
          <w:divBdr>
            <w:top w:val="none" w:sz="0" w:space="0" w:color="auto"/>
            <w:left w:val="none" w:sz="0" w:space="0" w:color="auto"/>
            <w:bottom w:val="none" w:sz="0" w:space="0" w:color="auto"/>
            <w:right w:val="none" w:sz="0" w:space="0" w:color="auto"/>
          </w:divBdr>
        </w:div>
        <w:div w:id="994913108">
          <w:marLeft w:val="0"/>
          <w:marRight w:val="0"/>
          <w:marTop w:val="0"/>
          <w:marBottom w:val="0"/>
          <w:divBdr>
            <w:top w:val="none" w:sz="0" w:space="0" w:color="auto"/>
            <w:left w:val="none" w:sz="0" w:space="0" w:color="auto"/>
            <w:bottom w:val="none" w:sz="0" w:space="0" w:color="auto"/>
            <w:right w:val="none" w:sz="0" w:space="0" w:color="auto"/>
          </w:divBdr>
        </w:div>
        <w:div w:id="1336152384">
          <w:marLeft w:val="0"/>
          <w:marRight w:val="0"/>
          <w:marTop w:val="0"/>
          <w:marBottom w:val="0"/>
          <w:divBdr>
            <w:top w:val="none" w:sz="0" w:space="0" w:color="auto"/>
            <w:left w:val="none" w:sz="0" w:space="0" w:color="auto"/>
            <w:bottom w:val="none" w:sz="0" w:space="0" w:color="auto"/>
            <w:right w:val="none" w:sz="0" w:space="0" w:color="auto"/>
          </w:divBdr>
        </w:div>
        <w:div w:id="1297182371">
          <w:marLeft w:val="0"/>
          <w:marRight w:val="0"/>
          <w:marTop w:val="0"/>
          <w:marBottom w:val="0"/>
          <w:divBdr>
            <w:top w:val="none" w:sz="0" w:space="0" w:color="auto"/>
            <w:left w:val="none" w:sz="0" w:space="0" w:color="auto"/>
            <w:bottom w:val="none" w:sz="0" w:space="0" w:color="auto"/>
            <w:right w:val="none" w:sz="0" w:space="0" w:color="auto"/>
          </w:divBdr>
        </w:div>
        <w:div w:id="204874993">
          <w:marLeft w:val="0"/>
          <w:marRight w:val="0"/>
          <w:marTop w:val="0"/>
          <w:marBottom w:val="0"/>
          <w:divBdr>
            <w:top w:val="none" w:sz="0" w:space="0" w:color="auto"/>
            <w:left w:val="none" w:sz="0" w:space="0" w:color="auto"/>
            <w:bottom w:val="none" w:sz="0" w:space="0" w:color="auto"/>
            <w:right w:val="none" w:sz="0" w:space="0" w:color="auto"/>
          </w:divBdr>
        </w:div>
        <w:div w:id="839663299">
          <w:marLeft w:val="0"/>
          <w:marRight w:val="0"/>
          <w:marTop w:val="0"/>
          <w:marBottom w:val="0"/>
          <w:divBdr>
            <w:top w:val="none" w:sz="0" w:space="0" w:color="auto"/>
            <w:left w:val="none" w:sz="0" w:space="0" w:color="auto"/>
            <w:bottom w:val="none" w:sz="0" w:space="0" w:color="auto"/>
            <w:right w:val="none" w:sz="0" w:space="0" w:color="auto"/>
          </w:divBdr>
        </w:div>
        <w:div w:id="1195078415">
          <w:marLeft w:val="0"/>
          <w:marRight w:val="0"/>
          <w:marTop w:val="0"/>
          <w:marBottom w:val="0"/>
          <w:divBdr>
            <w:top w:val="none" w:sz="0" w:space="0" w:color="auto"/>
            <w:left w:val="none" w:sz="0" w:space="0" w:color="auto"/>
            <w:bottom w:val="none" w:sz="0" w:space="0" w:color="auto"/>
            <w:right w:val="none" w:sz="0" w:space="0" w:color="auto"/>
          </w:divBdr>
        </w:div>
        <w:div w:id="984894209">
          <w:marLeft w:val="0"/>
          <w:marRight w:val="0"/>
          <w:marTop w:val="0"/>
          <w:marBottom w:val="0"/>
          <w:divBdr>
            <w:top w:val="none" w:sz="0" w:space="0" w:color="auto"/>
            <w:left w:val="none" w:sz="0" w:space="0" w:color="auto"/>
            <w:bottom w:val="none" w:sz="0" w:space="0" w:color="auto"/>
            <w:right w:val="none" w:sz="0" w:space="0" w:color="auto"/>
          </w:divBdr>
        </w:div>
        <w:div w:id="2136170962">
          <w:marLeft w:val="0"/>
          <w:marRight w:val="0"/>
          <w:marTop w:val="0"/>
          <w:marBottom w:val="0"/>
          <w:divBdr>
            <w:top w:val="none" w:sz="0" w:space="0" w:color="auto"/>
            <w:left w:val="none" w:sz="0" w:space="0" w:color="auto"/>
            <w:bottom w:val="none" w:sz="0" w:space="0" w:color="auto"/>
            <w:right w:val="none" w:sz="0" w:space="0" w:color="auto"/>
          </w:divBdr>
        </w:div>
        <w:div w:id="1649166522">
          <w:marLeft w:val="0"/>
          <w:marRight w:val="0"/>
          <w:marTop w:val="0"/>
          <w:marBottom w:val="0"/>
          <w:divBdr>
            <w:top w:val="none" w:sz="0" w:space="0" w:color="auto"/>
            <w:left w:val="none" w:sz="0" w:space="0" w:color="auto"/>
            <w:bottom w:val="none" w:sz="0" w:space="0" w:color="auto"/>
            <w:right w:val="none" w:sz="0" w:space="0" w:color="auto"/>
          </w:divBdr>
        </w:div>
        <w:div w:id="773786946">
          <w:marLeft w:val="0"/>
          <w:marRight w:val="0"/>
          <w:marTop w:val="0"/>
          <w:marBottom w:val="0"/>
          <w:divBdr>
            <w:top w:val="none" w:sz="0" w:space="0" w:color="auto"/>
            <w:left w:val="none" w:sz="0" w:space="0" w:color="auto"/>
            <w:bottom w:val="none" w:sz="0" w:space="0" w:color="auto"/>
            <w:right w:val="none" w:sz="0" w:space="0" w:color="auto"/>
          </w:divBdr>
        </w:div>
        <w:div w:id="457533651">
          <w:marLeft w:val="0"/>
          <w:marRight w:val="0"/>
          <w:marTop w:val="0"/>
          <w:marBottom w:val="0"/>
          <w:divBdr>
            <w:top w:val="none" w:sz="0" w:space="0" w:color="auto"/>
            <w:left w:val="none" w:sz="0" w:space="0" w:color="auto"/>
            <w:bottom w:val="none" w:sz="0" w:space="0" w:color="auto"/>
            <w:right w:val="none" w:sz="0" w:space="0" w:color="auto"/>
          </w:divBdr>
        </w:div>
        <w:div w:id="256330289">
          <w:marLeft w:val="0"/>
          <w:marRight w:val="0"/>
          <w:marTop w:val="0"/>
          <w:marBottom w:val="0"/>
          <w:divBdr>
            <w:top w:val="none" w:sz="0" w:space="0" w:color="auto"/>
            <w:left w:val="none" w:sz="0" w:space="0" w:color="auto"/>
            <w:bottom w:val="none" w:sz="0" w:space="0" w:color="auto"/>
            <w:right w:val="none" w:sz="0" w:space="0" w:color="auto"/>
          </w:divBdr>
        </w:div>
      </w:divsChild>
    </w:div>
    <w:div w:id="1568688610">
      <w:bodyDiv w:val="1"/>
      <w:marLeft w:val="0"/>
      <w:marRight w:val="0"/>
      <w:marTop w:val="0"/>
      <w:marBottom w:val="0"/>
      <w:divBdr>
        <w:top w:val="none" w:sz="0" w:space="0" w:color="auto"/>
        <w:left w:val="none" w:sz="0" w:space="0" w:color="auto"/>
        <w:bottom w:val="none" w:sz="0" w:space="0" w:color="auto"/>
        <w:right w:val="none" w:sz="0" w:space="0" w:color="auto"/>
      </w:divBdr>
      <w:divsChild>
        <w:div w:id="1516113187">
          <w:marLeft w:val="0"/>
          <w:marRight w:val="0"/>
          <w:marTop w:val="0"/>
          <w:marBottom w:val="0"/>
          <w:divBdr>
            <w:top w:val="none" w:sz="0" w:space="0" w:color="auto"/>
            <w:left w:val="none" w:sz="0" w:space="0" w:color="auto"/>
            <w:bottom w:val="none" w:sz="0" w:space="0" w:color="auto"/>
            <w:right w:val="none" w:sz="0" w:space="0" w:color="auto"/>
          </w:divBdr>
        </w:div>
        <w:div w:id="148908148">
          <w:marLeft w:val="0"/>
          <w:marRight w:val="0"/>
          <w:marTop w:val="0"/>
          <w:marBottom w:val="0"/>
          <w:divBdr>
            <w:top w:val="none" w:sz="0" w:space="0" w:color="auto"/>
            <w:left w:val="none" w:sz="0" w:space="0" w:color="auto"/>
            <w:bottom w:val="none" w:sz="0" w:space="0" w:color="auto"/>
            <w:right w:val="none" w:sz="0" w:space="0" w:color="auto"/>
          </w:divBdr>
        </w:div>
        <w:div w:id="284655186">
          <w:marLeft w:val="0"/>
          <w:marRight w:val="0"/>
          <w:marTop w:val="0"/>
          <w:marBottom w:val="0"/>
          <w:divBdr>
            <w:top w:val="none" w:sz="0" w:space="0" w:color="auto"/>
            <w:left w:val="none" w:sz="0" w:space="0" w:color="auto"/>
            <w:bottom w:val="none" w:sz="0" w:space="0" w:color="auto"/>
            <w:right w:val="none" w:sz="0" w:space="0" w:color="auto"/>
          </w:divBdr>
        </w:div>
        <w:div w:id="1290671139">
          <w:marLeft w:val="0"/>
          <w:marRight w:val="0"/>
          <w:marTop w:val="0"/>
          <w:marBottom w:val="0"/>
          <w:divBdr>
            <w:top w:val="none" w:sz="0" w:space="0" w:color="auto"/>
            <w:left w:val="none" w:sz="0" w:space="0" w:color="auto"/>
            <w:bottom w:val="none" w:sz="0" w:space="0" w:color="auto"/>
            <w:right w:val="none" w:sz="0" w:space="0" w:color="auto"/>
          </w:divBdr>
        </w:div>
        <w:div w:id="144860002">
          <w:marLeft w:val="0"/>
          <w:marRight w:val="0"/>
          <w:marTop w:val="0"/>
          <w:marBottom w:val="0"/>
          <w:divBdr>
            <w:top w:val="none" w:sz="0" w:space="0" w:color="auto"/>
            <w:left w:val="none" w:sz="0" w:space="0" w:color="auto"/>
            <w:bottom w:val="none" w:sz="0" w:space="0" w:color="auto"/>
            <w:right w:val="none" w:sz="0" w:space="0" w:color="auto"/>
          </w:divBdr>
        </w:div>
      </w:divsChild>
    </w:div>
    <w:div w:id="1568758936">
      <w:bodyDiv w:val="1"/>
      <w:marLeft w:val="0"/>
      <w:marRight w:val="0"/>
      <w:marTop w:val="0"/>
      <w:marBottom w:val="0"/>
      <w:divBdr>
        <w:top w:val="none" w:sz="0" w:space="0" w:color="auto"/>
        <w:left w:val="none" w:sz="0" w:space="0" w:color="auto"/>
        <w:bottom w:val="none" w:sz="0" w:space="0" w:color="auto"/>
        <w:right w:val="none" w:sz="0" w:space="0" w:color="auto"/>
      </w:divBdr>
      <w:divsChild>
        <w:div w:id="1796363599">
          <w:marLeft w:val="0"/>
          <w:marRight w:val="0"/>
          <w:marTop w:val="0"/>
          <w:marBottom w:val="0"/>
          <w:divBdr>
            <w:top w:val="none" w:sz="0" w:space="0" w:color="auto"/>
            <w:left w:val="none" w:sz="0" w:space="0" w:color="auto"/>
            <w:bottom w:val="none" w:sz="0" w:space="0" w:color="auto"/>
            <w:right w:val="none" w:sz="0" w:space="0" w:color="auto"/>
          </w:divBdr>
        </w:div>
        <w:div w:id="1226725710">
          <w:marLeft w:val="0"/>
          <w:marRight w:val="0"/>
          <w:marTop w:val="0"/>
          <w:marBottom w:val="0"/>
          <w:divBdr>
            <w:top w:val="none" w:sz="0" w:space="0" w:color="auto"/>
            <w:left w:val="none" w:sz="0" w:space="0" w:color="auto"/>
            <w:bottom w:val="none" w:sz="0" w:space="0" w:color="auto"/>
            <w:right w:val="none" w:sz="0" w:space="0" w:color="auto"/>
          </w:divBdr>
        </w:div>
        <w:div w:id="570307262">
          <w:marLeft w:val="0"/>
          <w:marRight w:val="0"/>
          <w:marTop w:val="0"/>
          <w:marBottom w:val="0"/>
          <w:divBdr>
            <w:top w:val="none" w:sz="0" w:space="0" w:color="auto"/>
            <w:left w:val="none" w:sz="0" w:space="0" w:color="auto"/>
            <w:bottom w:val="none" w:sz="0" w:space="0" w:color="auto"/>
            <w:right w:val="none" w:sz="0" w:space="0" w:color="auto"/>
          </w:divBdr>
        </w:div>
        <w:div w:id="1208760335">
          <w:marLeft w:val="0"/>
          <w:marRight w:val="0"/>
          <w:marTop w:val="0"/>
          <w:marBottom w:val="0"/>
          <w:divBdr>
            <w:top w:val="none" w:sz="0" w:space="0" w:color="auto"/>
            <w:left w:val="none" w:sz="0" w:space="0" w:color="auto"/>
            <w:bottom w:val="none" w:sz="0" w:space="0" w:color="auto"/>
            <w:right w:val="none" w:sz="0" w:space="0" w:color="auto"/>
          </w:divBdr>
        </w:div>
        <w:div w:id="569267889">
          <w:marLeft w:val="0"/>
          <w:marRight w:val="0"/>
          <w:marTop w:val="0"/>
          <w:marBottom w:val="0"/>
          <w:divBdr>
            <w:top w:val="none" w:sz="0" w:space="0" w:color="auto"/>
            <w:left w:val="none" w:sz="0" w:space="0" w:color="auto"/>
            <w:bottom w:val="none" w:sz="0" w:space="0" w:color="auto"/>
            <w:right w:val="none" w:sz="0" w:space="0" w:color="auto"/>
          </w:divBdr>
        </w:div>
        <w:div w:id="1842350498">
          <w:marLeft w:val="0"/>
          <w:marRight w:val="0"/>
          <w:marTop w:val="0"/>
          <w:marBottom w:val="0"/>
          <w:divBdr>
            <w:top w:val="none" w:sz="0" w:space="0" w:color="auto"/>
            <w:left w:val="none" w:sz="0" w:space="0" w:color="auto"/>
            <w:bottom w:val="none" w:sz="0" w:space="0" w:color="auto"/>
            <w:right w:val="none" w:sz="0" w:space="0" w:color="auto"/>
          </w:divBdr>
        </w:div>
        <w:div w:id="548226085">
          <w:marLeft w:val="0"/>
          <w:marRight w:val="0"/>
          <w:marTop w:val="0"/>
          <w:marBottom w:val="0"/>
          <w:divBdr>
            <w:top w:val="none" w:sz="0" w:space="0" w:color="auto"/>
            <w:left w:val="none" w:sz="0" w:space="0" w:color="auto"/>
            <w:bottom w:val="none" w:sz="0" w:space="0" w:color="auto"/>
            <w:right w:val="none" w:sz="0" w:space="0" w:color="auto"/>
          </w:divBdr>
        </w:div>
      </w:divsChild>
    </w:div>
    <w:div w:id="1573082081">
      <w:bodyDiv w:val="1"/>
      <w:marLeft w:val="0"/>
      <w:marRight w:val="0"/>
      <w:marTop w:val="0"/>
      <w:marBottom w:val="0"/>
      <w:divBdr>
        <w:top w:val="none" w:sz="0" w:space="0" w:color="auto"/>
        <w:left w:val="none" w:sz="0" w:space="0" w:color="auto"/>
        <w:bottom w:val="none" w:sz="0" w:space="0" w:color="auto"/>
        <w:right w:val="none" w:sz="0" w:space="0" w:color="auto"/>
      </w:divBdr>
      <w:divsChild>
        <w:div w:id="280381624">
          <w:marLeft w:val="0"/>
          <w:marRight w:val="0"/>
          <w:marTop w:val="0"/>
          <w:marBottom w:val="0"/>
          <w:divBdr>
            <w:top w:val="none" w:sz="0" w:space="0" w:color="auto"/>
            <w:left w:val="none" w:sz="0" w:space="0" w:color="auto"/>
            <w:bottom w:val="none" w:sz="0" w:space="0" w:color="auto"/>
            <w:right w:val="none" w:sz="0" w:space="0" w:color="auto"/>
          </w:divBdr>
        </w:div>
        <w:div w:id="1587225705">
          <w:marLeft w:val="0"/>
          <w:marRight w:val="0"/>
          <w:marTop w:val="0"/>
          <w:marBottom w:val="0"/>
          <w:divBdr>
            <w:top w:val="none" w:sz="0" w:space="0" w:color="auto"/>
            <w:left w:val="none" w:sz="0" w:space="0" w:color="auto"/>
            <w:bottom w:val="none" w:sz="0" w:space="0" w:color="auto"/>
            <w:right w:val="none" w:sz="0" w:space="0" w:color="auto"/>
          </w:divBdr>
        </w:div>
        <w:div w:id="1667394565">
          <w:marLeft w:val="0"/>
          <w:marRight w:val="0"/>
          <w:marTop w:val="0"/>
          <w:marBottom w:val="0"/>
          <w:divBdr>
            <w:top w:val="none" w:sz="0" w:space="0" w:color="auto"/>
            <w:left w:val="none" w:sz="0" w:space="0" w:color="auto"/>
            <w:bottom w:val="none" w:sz="0" w:space="0" w:color="auto"/>
            <w:right w:val="none" w:sz="0" w:space="0" w:color="auto"/>
          </w:divBdr>
        </w:div>
        <w:div w:id="671494734">
          <w:marLeft w:val="0"/>
          <w:marRight w:val="0"/>
          <w:marTop w:val="0"/>
          <w:marBottom w:val="0"/>
          <w:divBdr>
            <w:top w:val="none" w:sz="0" w:space="0" w:color="auto"/>
            <w:left w:val="none" w:sz="0" w:space="0" w:color="auto"/>
            <w:bottom w:val="none" w:sz="0" w:space="0" w:color="auto"/>
            <w:right w:val="none" w:sz="0" w:space="0" w:color="auto"/>
          </w:divBdr>
        </w:div>
        <w:div w:id="1772314409">
          <w:marLeft w:val="0"/>
          <w:marRight w:val="0"/>
          <w:marTop w:val="0"/>
          <w:marBottom w:val="0"/>
          <w:divBdr>
            <w:top w:val="none" w:sz="0" w:space="0" w:color="auto"/>
            <w:left w:val="none" w:sz="0" w:space="0" w:color="auto"/>
            <w:bottom w:val="none" w:sz="0" w:space="0" w:color="auto"/>
            <w:right w:val="none" w:sz="0" w:space="0" w:color="auto"/>
          </w:divBdr>
        </w:div>
        <w:div w:id="986083251">
          <w:marLeft w:val="0"/>
          <w:marRight w:val="0"/>
          <w:marTop w:val="0"/>
          <w:marBottom w:val="0"/>
          <w:divBdr>
            <w:top w:val="none" w:sz="0" w:space="0" w:color="auto"/>
            <w:left w:val="none" w:sz="0" w:space="0" w:color="auto"/>
            <w:bottom w:val="none" w:sz="0" w:space="0" w:color="auto"/>
            <w:right w:val="none" w:sz="0" w:space="0" w:color="auto"/>
          </w:divBdr>
        </w:div>
      </w:divsChild>
    </w:div>
    <w:div w:id="1577476338">
      <w:bodyDiv w:val="1"/>
      <w:marLeft w:val="0"/>
      <w:marRight w:val="0"/>
      <w:marTop w:val="0"/>
      <w:marBottom w:val="0"/>
      <w:divBdr>
        <w:top w:val="none" w:sz="0" w:space="0" w:color="auto"/>
        <w:left w:val="none" w:sz="0" w:space="0" w:color="auto"/>
        <w:bottom w:val="none" w:sz="0" w:space="0" w:color="auto"/>
        <w:right w:val="none" w:sz="0" w:space="0" w:color="auto"/>
      </w:divBdr>
      <w:divsChild>
        <w:div w:id="746458789">
          <w:marLeft w:val="0"/>
          <w:marRight w:val="0"/>
          <w:marTop w:val="0"/>
          <w:marBottom w:val="0"/>
          <w:divBdr>
            <w:top w:val="none" w:sz="0" w:space="0" w:color="auto"/>
            <w:left w:val="none" w:sz="0" w:space="0" w:color="auto"/>
            <w:bottom w:val="none" w:sz="0" w:space="0" w:color="auto"/>
            <w:right w:val="none" w:sz="0" w:space="0" w:color="auto"/>
          </w:divBdr>
        </w:div>
        <w:div w:id="1822690392">
          <w:marLeft w:val="0"/>
          <w:marRight w:val="0"/>
          <w:marTop w:val="0"/>
          <w:marBottom w:val="0"/>
          <w:divBdr>
            <w:top w:val="none" w:sz="0" w:space="0" w:color="auto"/>
            <w:left w:val="none" w:sz="0" w:space="0" w:color="auto"/>
            <w:bottom w:val="none" w:sz="0" w:space="0" w:color="auto"/>
            <w:right w:val="none" w:sz="0" w:space="0" w:color="auto"/>
          </w:divBdr>
        </w:div>
        <w:div w:id="76099021">
          <w:marLeft w:val="0"/>
          <w:marRight w:val="0"/>
          <w:marTop w:val="0"/>
          <w:marBottom w:val="0"/>
          <w:divBdr>
            <w:top w:val="none" w:sz="0" w:space="0" w:color="auto"/>
            <w:left w:val="none" w:sz="0" w:space="0" w:color="auto"/>
            <w:bottom w:val="none" w:sz="0" w:space="0" w:color="auto"/>
            <w:right w:val="none" w:sz="0" w:space="0" w:color="auto"/>
          </w:divBdr>
        </w:div>
        <w:div w:id="531769551">
          <w:marLeft w:val="0"/>
          <w:marRight w:val="0"/>
          <w:marTop w:val="0"/>
          <w:marBottom w:val="0"/>
          <w:divBdr>
            <w:top w:val="none" w:sz="0" w:space="0" w:color="auto"/>
            <w:left w:val="none" w:sz="0" w:space="0" w:color="auto"/>
            <w:bottom w:val="none" w:sz="0" w:space="0" w:color="auto"/>
            <w:right w:val="none" w:sz="0" w:space="0" w:color="auto"/>
          </w:divBdr>
        </w:div>
        <w:div w:id="789513482">
          <w:marLeft w:val="0"/>
          <w:marRight w:val="0"/>
          <w:marTop w:val="0"/>
          <w:marBottom w:val="0"/>
          <w:divBdr>
            <w:top w:val="none" w:sz="0" w:space="0" w:color="auto"/>
            <w:left w:val="none" w:sz="0" w:space="0" w:color="auto"/>
            <w:bottom w:val="none" w:sz="0" w:space="0" w:color="auto"/>
            <w:right w:val="none" w:sz="0" w:space="0" w:color="auto"/>
          </w:divBdr>
        </w:div>
      </w:divsChild>
    </w:div>
    <w:div w:id="1596472892">
      <w:bodyDiv w:val="1"/>
      <w:marLeft w:val="0"/>
      <w:marRight w:val="0"/>
      <w:marTop w:val="0"/>
      <w:marBottom w:val="0"/>
      <w:divBdr>
        <w:top w:val="none" w:sz="0" w:space="0" w:color="auto"/>
        <w:left w:val="none" w:sz="0" w:space="0" w:color="auto"/>
        <w:bottom w:val="none" w:sz="0" w:space="0" w:color="auto"/>
        <w:right w:val="none" w:sz="0" w:space="0" w:color="auto"/>
      </w:divBdr>
      <w:divsChild>
        <w:div w:id="1101411226">
          <w:marLeft w:val="0"/>
          <w:marRight w:val="0"/>
          <w:marTop w:val="0"/>
          <w:marBottom w:val="0"/>
          <w:divBdr>
            <w:top w:val="none" w:sz="0" w:space="0" w:color="auto"/>
            <w:left w:val="none" w:sz="0" w:space="0" w:color="auto"/>
            <w:bottom w:val="none" w:sz="0" w:space="0" w:color="auto"/>
            <w:right w:val="none" w:sz="0" w:space="0" w:color="auto"/>
          </w:divBdr>
        </w:div>
        <w:div w:id="721834414">
          <w:marLeft w:val="0"/>
          <w:marRight w:val="0"/>
          <w:marTop w:val="0"/>
          <w:marBottom w:val="0"/>
          <w:divBdr>
            <w:top w:val="none" w:sz="0" w:space="0" w:color="auto"/>
            <w:left w:val="none" w:sz="0" w:space="0" w:color="auto"/>
            <w:bottom w:val="none" w:sz="0" w:space="0" w:color="auto"/>
            <w:right w:val="none" w:sz="0" w:space="0" w:color="auto"/>
          </w:divBdr>
        </w:div>
        <w:div w:id="672294243">
          <w:marLeft w:val="0"/>
          <w:marRight w:val="0"/>
          <w:marTop w:val="0"/>
          <w:marBottom w:val="0"/>
          <w:divBdr>
            <w:top w:val="none" w:sz="0" w:space="0" w:color="auto"/>
            <w:left w:val="none" w:sz="0" w:space="0" w:color="auto"/>
            <w:bottom w:val="none" w:sz="0" w:space="0" w:color="auto"/>
            <w:right w:val="none" w:sz="0" w:space="0" w:color="auto"/>
          </w:divBdr>
        </w:div>
        <w:div w:id="1045908914">
          <w:marLeft w:val="0"/>
          <w:marRight w:val="0"/>
          <w:marTop w:val="0"/>
          <w:marBottom w:val="0"/>
          <w:divBdr>
            <w:top w:val="none" w:sz="0" w:space="0" w:color="auto"/>
            <w:left w:val="none" w:sz="0" w:space="0" w:color="auto"/>
            <w:bottom w:val="none" w:sz="0" w:space="0" w:color="auto"/>
            <w:right w:val="none" w:sz="0" w:space="0" w:color="auto"/>
          </w:divBdr>
        </w:div>
        <w:div w:id="1066027132">
          <w:marLeft w:val="0"/>
          <w:marRight w:val="0"/>
          <w:marTop w:val="0"/>
          <w:marBottom w:val="0"/>
          <w:divBdr>
            <w:top w:val="none" w:sz="0" w:space="0" w:color="auto"/>
            <w:left w:val="none" w:sz="0" w:space="0" w:color="auto"/>
            <w:bottom w:val="none" w:sz="0" w:space="0" w:color="auto"/>
            <w:right w:val="none" w:sz="0" w:space="0" w:color="auto"/>
          </w:divBdr>
        </w:div>
        <w:div w:id="1310134905">
          <w:marLeft w:val="0"/>
          <w:marRight w:val="0"/>
          <w:marTop w:val="0"/>
          <w:marBottom w:val="0"/>
          <w:divBdr>
            <w:top w:val="none" w:sz="0" w:space="0" w:color="auto"/>
            <w:left w:val="none" w:sz="0" w:space="0" w:color="auto"/>
            <w:bottom w:val="none" w:sz="0" w:space="0" w:color="auto"/>
            <w:right w:val="none" w:sz="0" w:space="0" w:color="auto"/>
          </w:divBdr>
        </w:div>
        <w:div w:id="1268729414">
          <w:marLeft w:val="0"/>
          <w:marRight w:val="0"/>
          <w:marTop w:val="0"/>
          <w:marBottom w:val="0"/>
          <w:divBdr>
            <w:top w:val="none" w:sz="0" w:space="0" w:color="auto"/>
            <w:left w:val="none" w:sz="0" w:space="0" w:color="auto"/>
            <w:bottom w:val="none" w:sz="0" w:space="0" w:color="auto"/>
            <w:right w:val="none" w:sz="0" w:space="0" w:color="auto"/>
          </w:divBdr>
        </w:div>
        <w:div w:id="421999113">
          <w:marLeft w:val="0"/>
          <w:marRight w:val="0"/>
          <w:marTop w:val="0"/>
          <w:marBottom w:val="0"/>
          <w:divBdr>
            <w:top w:val="none" w:sz="0" w:space="0" w:color="auto"/>
            <w:left w:val="none" w:sz="0" w:space="0" w:color="auto"/>
            <w:bottom w:val="none" w:sz="0" w:space="0" w:color="auto"/>
            <w:right w:val="none" w:sz="0" w:space="0" w:color="auto"/>
          </w:divBdr>
        </w:div>
        <w:div w:id="250552221">
          <w:marLeft w:val="0"/>
          <w:marRight w:val="0"/>
          <w:marTop w:val="0"/>
          <w:marBottom w:val="0"/>
          <w:divBdr>
            <w:top w:val="none" w:sz="0" w:space="0" w:color="auto"/>
            <w:left w:val="none" w:sz="0" w:space="0" w:color="auto"/>
            <w:bottom w:val="none" w:sz="0" w:space="0" w:color="auto"/>
            <w:right w:val="none" w:sz="0" w:space="0" w:color="auto"/>
          </w:divBdr>
        </w:div>
      </w:divsChild>
    </w:div>
    <w:div w:id="1611741565">
      <w:bodyDiv w:val="1"/>
      <w:marLeft w:val="0"/>
      <w:marRight w:val="0"/>
      <w:marTop w:val="0"/>
      <w:marBottom w:val="0"/>
      <w:divBdr>
        <w:top w:val="none" w:sz="0" w:space="0" w:color="auto"/>
        <w:left w:val="none" w:sz="0" w:space="0" w:color="auto"/>
        <w:bottom w:val="none" w:sz="0" w:space="0" w:color="auto"/>
        <w:right w:val="none" w:sz="0" w:space="0" w:color="auto"/>
      </w:divBdr>
      <w:divsChild>
        <w:div w:id="1483424526">
          <w:marLeft w:val="0"/>
          <w:marRight w:val="0"/>
          <w:marTop w:val="0"/>
          <w:marBottom w:val="0"/>
          <w:divBdr>
            <w:top w:val="none" w:sz="0" w:space="0" w:color="auto"/>
            <w:left w:val="none" w:sz="0" w:space="0" w:color="auto"/>
            <w:bottom w:val="none" w:sz="0" w:space="0" w:color="auto"/>
            <w:right w:val="none" w:sz="0" w:space="0" w:color="auto"/>
          </w:divBdr>
        </w:div>
        <w:div w:id="47464219">
          <w:marLeft w:val="0"/>
          <w:marRight w:val="0"/>
          <w:marTop w:val="0"/>
          <w:marBottom w:val="0"/>
          <w:divBdr>
            <w:top w:val="none" w:sz="0" w:space="0" w:color="auto"/>
            <w:left w:val="none" w:sz="0" w:space="0" w:color="auto"/>
            <w:bottom w:val="none" w:sz="0" w:space="0" w:color="auto"/>
            <w:right w:val="none" w:sz="0" w:space="0" w:color="auto"/>
          </w:divBdr>
        </w:div>
        <w:div w:id="13196278">
          <w:marLeft w:val="0"/>
          <w:marRight w:val="0"/>
          <w:marTop w:val="0"/>
          <w:marBottom w:val="0"/>
          <w:divBdr>
            <w:top w:val="none" w:sz="0" w:space="0" w:color="auto"/>
            <w:left w:val="none" w:sz="0" w:space="0" w:color="auto"/>
            <w:bottom w:val="none" w:sz="0" w:space="0" w:color="auto"/>
            <w:right w:val="none" w:sz="0" w:space="0" w:color="auto"/>
          </w:divBdr>
        </w:div>
        <w:div w:id="150222719">
          <w:marLeft w:val="0"/>
          <w:marRight w:val="0"/>
          <w:marTop w:val="0"/>
          <w:marBottom w:val="0"/>
          <w:divBdr>
            <w:top w:val="none" w:sz="0" w:space="0" w:color="auto"/>
            <w:left w:val="none" w:sz="0" w:space="0" w:color="auto"/>
            <w:bottom w:val="none" w:sz="0" w:space="0" w:color="auto"/>
            <w:right w:val="none" w:sz="0" w:space="0" w:color="auto"/>
          </w:divBdr>
        </w:div>
        <w:div w:id="493958789">
          <w:marLeft w:val="0"/>
          <w:marRight w:val="0"/>
          <w:marTop w:val="0"/>
          <w:marBottom w:val="0"/>
          <w:divBdr>
            <w:top w:val="none" w:sz="0" w:space="0" w:color="auto"/>
            <w:left w:val="none" w:sz="0" w:space="0" w:color="auto"/>
            <w:bottom w:val="none" w:sz="0" w:space="0" w:color="auto"/>
            <w:right w:val="none" w:sz="0" w:space="0" w:color="auto"/>
          </w:divBdr>
        </w:div>
        <w:div w:id="698773532">
          <w:marLeft w:val="0"/>
          <w:marRight w:val="0"/>
          <w:marTop w:val="0"/>
          <w:marBottom w:val="0"/>
          <w:divBdr>
            <w:top w:val="none" w:sz="0" w:space="0" w:color="auto"/>
            <w:left w:val="none" w:sz="0" w:space="0" w:color="auto"/>
            <w:bottom w:val="none" w:sz="0" w:space="0" w:color="auto"/>
            <w:right w:val="none" w:sz="0" w:space="0" w:color="auto"/>
          </w:divBdr>
        </w:div>
        <w:div w:id="2131588968">
          <w:marLeft w:val="0"/>
          <w:marRight w:val="0"/>
          <w:marTop w:val="0"/>
          <w:marBottom w:val="0"/>
          <w:divBdr>
            <w:top w:val="none" w:sz="0" w:space="0" w:color="auto"/>
            <w:left w:val="none" w:sz="0" w:space="0" w:color="auto"/>
            <w:bottom w:val="none" w:sz="0" w:space="0" w:color="auto"/>
            <w:right w:val="none" w:sz="0" w:space="0" w:color="auto"/>
          </w:divBdr>
        </w:div>
        <w:div w:id="11879296">
          <w:marLeft w:val="0"/>
          <w:marRight w:val="0"/>
          <w:marTop w:val="0"/>
          <w:marBottom w:val="0"/>
          <w:divBdr>
            <w:top w:val="none" w:sz="0" w:space="0" w:color="auto"/>
            <w:left w:val="none" w:sz="0" w:space="0" w:color="auto"/>
            <w:bottom w:val="none" w:sz="0" w:space="0" w:color="auto"/>
            <w:right w:val="none" w:sz="0" w:space="0" w:color="auto"/>
          </w:divBdr>
        </w:div>
        <w:div w:id="548030875">
          <w:marLeft w:val="0"/>
          <w:marRight w:val="0"/>
          <w:marTop w:val="0"/>
          <w:marBottom w:val="0"/>
          <w:divBdr>
            <w:top w:val="none" w:sz="0" w:space="0" w:color="auto"/>
            <w:left w:val="none" w:sz="0" w:space="0" w:color="auto"/>
            <w:bottom w:val="none" w:sz="0" w:space="0" w:color="auto"/>
            <w:right w:val="none" w:sz="0" w:space="0" w:color="auto"/>
          </w:divBdr>
        </w:div>
        <w:div w:id="1704555633">
          <w:marLeft w:val="0"/>
          <w:marRight w:val="0"/>
          <w:marTop w:val="0"/>
          <w:marBottom w:val="0"/>
          <w:divBdr>
            <w:top w:val="none" w:sz="0" w:space="0" w:color="auto"/>
            <w:left w:val="none" w:sz="0" w:space="0" w:color="auto"/>
            <w:bottom w:val="none" w:sz="0" w:space="0" w:color="auto"/>
            <w:right w:val="none" w:sz="0" w:space="0" w:color="auto"/>
          </w:divBdr>
        </w:div>
        <w:div w:id="791752513">
          <w:marLeft w:val="0"/>
          <w:marRight w:val="0"/>
          <w:marTop w:val="0"/>
          <w:marBottom w:val="0"/>
          <w:divBdr>
            <w:top w:val="none" w:sz="0" w:space="0" w:color="auto"/>
            <w:left w:val="none" w:sz="0" w:space="0" w:color="auto"/>
            <w:bottom w:val="none" w:sz="0" w:space="0" w:color="auto"/>
            <w:right w:val="none" w:sz="0" w:space="0" w:color="auto"/>
          </w:divBdr>
        </w:div>
      </w:divsChild>
    </w:div>
    <w:div w:id="1613243439">
      <w:bodyDiv w:val="1"/>
      <w:marLeft w:val="0"/>
      <w:marRight w:val="0"/>
      <w:marTop w:val="0"/>
      <w:marBottom w:val="0"/>
      <w:divBdr>
        <w:top w:val="none" w:sz="0" w:space="0" w:color="auto"/>
        <w:left w:val="none" w:sz="0" w:space="0" w:color="auto"/>
        <w:bottom w:val="none" w:sz="0" w:space="0" w:color="auto"/>
        <w:right w:val="none" w:sz="0" w:space="0" w:color="auto"/>
      </w:divBdr>
      <w:divsChild>
        <w:div w:id="1763331421">
          <w:marLeft w:val="0"/>
          <w:marRight w:val="0"/>
          <w:marTop w:val="0"/>
          <w:marBottom w:val="0"/>
          <w:divBdr>
            <w:top w:val="none" w:sz="0" w:space="0" w:color="auto"/>
            <w:left w:val="none" w:sz="0" w:space="0" w:color="auto"/>
            <w:bottom w:val="none" w:sz="0" w:space="0" w:color="auto"/>
            <w:right w:val="none" w:sz="0" w:space="0" w:color="auto"/>
          </w:divBdr>
        </w:div>
        <w:div w:id="1996370403">
          <w:marLeft w:val="0"/>
          <w:marRight w:val="0"/>
          <w:marTop w:val="0"/>
          <w:marBottom w:val="0"/>
          <w:divBdr>
            <w:top w:val="none" w:sz="0" w:space="0" w:color="auto"/>
            <w:left w:val="none" w:sz="0" w:space="0" w:color="auto"/>
            <w:bottom w:val="none" w:sz="0" w:space="0" w:color="auto"/>
            <w:right w:val="none" w:sz="0" w:space="0" w:color="auto"/>
          </w:divBdr>
        </w:div>
        <w:div w:id="2052533154">
          <w:marLeft w:val="0"/>
          <w:marRight w:val="0"/>
          <w:marTop w:val="0"/>
          <w:marBottom w:val="0"/>
          <w:divBdr>
            <w:top w:val="none" w:sz="0" w:space="0" w:color="auto"/>
            <w:left w:val="none" w:sz="0" w:space="0" w:color="auto"/>
            <w:bottom w:val="none" w:sz="0" w:space="0" w:color="auto"/>
            <w:right w:val="none" w:sz="0" w:space="0" w:color="auto"/>
          </w:divBdr>
        </w:div>
        <w:div w:id="2118790637">
          <w:marLeft w:val="0"/>
          <w:marRight w:val="0"/>
          <w:marTop w:val="0"/>
          <w:marBottom w:val="0"/>
          <w:divBdr>
            <w:top w:val="none" w:sz="0" w:space="0" w:color="auto"/>
            <w:left w:val="none" w:sz="0" w:space="0" w:color="auto"/>
            <w:bottom w:val="none" w:sz="0" w:space="0" w:color="auto"/>
            <w:right w:val="none" w:sz="0" w:space="0" w:color="auto"/>
          </w:divBdr>
        </w:div>
      </w:divsChild>
    </w:div>
    <w:div w:id="1619413344">
      <w:bodyDiv w:val="1"/>
      <w:marLeft w:val="0"/>
      <w:marRight w:val="0"/>
      <w:marTop w:val="0"/>
      <w:marBottom w:val="0"/>
      <w:divBdr>
        <w:top w:val="none" w:sz="0" w:space="0" w:color="auto"/>
        <w:left w:val="none" w:sz="0" w:space="0" w:color="auto"/>
        <w:bottom w:val="none" w:sz="0" w:space="0" w:color="auto"/>
        <w:right w:val="none" w:sz="0" w:space="0" w:color="auto"/>
      </w:divBdr>
      <w:divsChild>
        <w:div w:id="659424801">
          <w:marLeft w:val="0"/>
          <w:marRight w:val="0"/>
          <w:marTop w:val="0"/>
          <w:marBottom w:val="0"/>
          <w:divBdr>
            <w:top w:val="none" w:sz="0" w:space="0" w:color="auto"/>
            <w:left w:val="none" w:sz="0" w:space="0" w:color="auto"/>
            <w:bottom w:val="none" w:sz="0" w:space="0" w:color="auto"/>
            <w:right w:val="none" w:sz="0" w:space="0" w:color="auto"/>
          </w:divBdr>
        </w:div>
        <w:div w:id="884416693">
          <w:marLeft w:val="0"/>
          <w:marRight w:val="0"/>
          <w:marTop w:val="0"/>
          <w:marBottom w:val="0"/>
          <w:divBdr>
            <w:top w:val="none" w:sz="0" w:space="0" w:color="auto"/>
            <w:left w:val="none" w:sz="0" w:space="0" w:color="auto"/>
            <w:bottom w:val="none" w:sz="0" w:space="0" w:color="auto"/>
            <w:right w:val="none" w:sz="0" w:space="0" w:color="auto"/>
          </w:divBdr>
        </w:div>
        <w:div w:id="1189955571">
          <w:marLeft w:val="0"/>
          <w:marRight w:val="0"/>
          <w:marTop w:val="0"/>
          <w:marBottom w:val="0"/>
          <w:divBdr>
            <w:top w:val="none" w:sz="0" w:space="0" w:color="auto"/>
            <w:left w:val="none" w:sz="0" w:space="0" w:color="auto"/>
            <w:bottom w:val="none" w:sz="0" w:space="0" w:color="auto"/>
            <w:right w:val="none" w:sz="0" w:space="0" w:color="auto"/>
          </w:divBdr>
        </w:div>
        <w:div w:id="1465083170">
          <w:marLeft w:val="0"/>
          <w:marRight w:val="0"/>
          <w:marTop w:val="0"/>
          <w:marBottom w:val="0"/>
          <w:divBdr>
            <w:top w:val="none" w:sz="0" w:space="0" w:color="auto"/>
            <w:left w:val="none" w:sz="0" w:space="0" w:color="auto"/>
            <w:bottom w:val="none" w:sz="0" w:space="0" w:color="auto"/>
            <w:right w:val="none" w:sz="0" w:space="0" w:color="auto"/>
          </w:divBdr>
        </w:div>
      </w:divsChild>
    </w:div>
    <w:div w:id="1637417151">
      <w:bodyDiv w:val="1"/>
      <w:marLeft w:val="0"/>
      <w:marRight w:val="0"/>
      <w:marTop w:val="0"/>
      <w:marBottom w:val="0"/>
      <w:divBdr>
        <w:top w:val="none" w:sz="0" w:space="0" w:color="auto"/>
        <w:left w:val="none" w:sz="0" w:space="0" w:color="auto"/>
        <w:bottom w:val="none" w:sz="0" w:space="0" w:color="auto"/>
        <w:right w:val="none" w:sz="0" w:space="0" w:color="auto"/>
      </w:divBdr>
      <w:divsChild>
        <w:div w:id="1005788368">
          <w:marLeft w:val="0"/>
          <w:marRight w:val="0"/>
          <w:marTop w:val="0"/>
          <w:marBottom w:val="0"/>
          <w:divBdr>
            <w:top w:val="none" w:sz="0" w:space="0" w:color="auto"/>
            <w:left w:val="none" w:sz="0" w:space="0" w:color="auto"/>
            <w:bottom w:val="none" w:sz="0" w:space="0" w:color="auto"/>
            <w:right w:val="none" w:sz="0" w:space="0" w:color="auto"/>
          </w:divBdr>
        </w:div>
        <w:div w:id="1965502215">
          <w:marLeft w:val="0"/>
          <w:marRight w:val="0"/>
          <w:marTop w:val="0"/>
          <w:marBottom w:val="0"/>
          <w:divBdr>
            <w:top w:val="none" w:sz="0" w:space="0" w:color="auto"/>
            <w:left w:val="none" w:sz="0" w:space="0" w:color="auto"/>
            <w:bottom w:val="none" w:sz="0" w:space="0" w:color="auto"/>
            <w:right w:val="none" w:sz="0" w:space="0" w:color="auto"/>
          </w:divBdr>
        </w:div>
        <w:div w:id="947660966">
          <w:marLeft w:val="0"/>
          <w:marRight w:val="0"/>
          <w:marTop w:val="0"/>
          <w:marBottom w:val="0"/>
          <w:divBdr>
            <w:top w:val="none" w:sz="0" w:space="0" w:color="auto"/>
            <w:left w:val="none" w:sz="0" w:space="0" w:color="auto"/>
            <w:bottom w:val="none" w:sz="0" w:space="0" w:color="auto"/>
            <w:right w:val="none" w:sz="0" w:space="0" w:color="auto"/>
          </w:divBdr>
        </w:div>
        <w:div w:id="2001542121">
          <w:marLeft w:val="0"/>
          <w:marRight w:val="0"/>
          <w:marTop w:val="0"/>
          <w:marBottom w:val="0"/>
          <w:divBdr>
            <w:top w:val="none" w:sz="0" w:space="0" w:color="auto"/>
            <w:left w:val="none" w:sz="0" w:space="0" w:color="auto"/>
            <w:bottom w:val="none" w:sz="0" w:space="0" w:color="auto"/>
            <w:right w:val="none" w:sz="0" w:space="0" w:color="auto"/>
          </w:divBdr>
        </w:div>
        <w:div w:id="1157111300">
          <w:marLeft w:val="0"/>
          <w:marRight w:val="0"/>
          <w:marTop w:val="0"/>
          <w:marBottom w:val="0"/>
          <w:divBdr>
            <w:top w:val="none" w:sz="0" w:space="0" w:color="auto"/>
            <w:left w:val="none" w:sz="0" w:space="0" w:color="auto"/>
            <w:bottom w:val="none" w:sz="0" w:space="0" w:color="auto"/>
            <w:right w:val="none" w:sz="0" w:space="0" w:color="auto"/>
          </w:divBdr>
        </w:div>
        <w:div w:id="323094611">
          <w:marLeft w:val="0"/>
          <w:marRight w:val="0"/>
          <w:marTop w:val="0"/>
          <w:marBottom w:val="0"/>
          <w:divBdr>
            <w:top w:val="none" w:sz="0" w:space="0" w:color="auto"/>
            <w:left w:val="none" w:sz="0" w:space="0" w:color="auto"/>
            <w:bottom w:val="none" w:sz="0" w:space="0" w:color="auto"/>
            <w:right w:val="none" w:sz="0" w:space="0" w:color="auto"/>
          </w:divBdr>
        </w:div>
      </w:divsChild>
    </w:div>
    <w:div w:id="1640719832">
      <w:bodyDiv w:val="1"/>
      <w:marLeft w:val="0"/>
      <w:marRight w:val="0"/>
      <w:marTop w:val="0"/>
      <w:marBottom w:val="0"/>
      <w:divBdr>
        <w:top w:val="none" w:sz="0" w:space="0" w:color="auto"/>
        <w:left w:val="none" w:sz="0" w:space="0" w:color="auto"/>
        <w:bottom w:val="none" w:sz="0" w:space="0" w:color="auto"/>
        <w:right w:val="none" w:sz="0" w:space="0" w:color="auto"/>
      </w:divBdr>
      <w:divsChild>
        <w:div w:id="940601203">
          <w:marLeft w:val="0"/>
          <w:marRight w:val="0"/>
          <w:marTop w:val="0"/>
          <w:marBottom w:val="0"/>
          <w:divBdr>
            <w:top w:val="none" w:sz="0" w:space="0" w:color="auto"/>
            <w:left w:val="none" w:sz="0" w:space="0" w:color="auto"/>
            <w:bottom w:val="none" w:sz="0" w:space="0" w:color="auto"/>
            <w:right w:val="none" w:sz="0" w:space="0" w:color="auto"/>
          </w:divBdr>
        </w:div>
        <w:div w:id="794711009">
          <w:marLeft w:val="0"/>
          <w:marRight w:val="0"/>
          <w:marTop w:val="0"/>
          <w:marBottom w:val="0"/>
          <w:divBdr>
            <w:top w:val="none" w:sz="0" w:space="0" w:color="auto"/>
            <w:left w:val="none" w:sz="0" w:space="0" w:color="auto"/>
            <w:bottom w:val="none" w:sz="0" w:space="0" w:color="auto"/>
            <w:right w:val="none" w:sz="0" w:space="0" w:color="auto"/>
          </w:divBdr>
        </w:div>
        <w:div w:id="1928074177">
          <w:marLeft w:val="0"/>
          <w:marRight w:val="0"/>
          <w:marTop w:val="0"/>
          <w:marBottom w:val="0"/>
          <w:divBdr>
            <w:top w:val="none" w:sz="0" w:space="0" w:color="auto"/>
            <w:left w:val="none" w:sz="0" w:space="0" w:color="auto"/>
            <w:bottom w:val="none" w:sz="0" w:space="0" w:color="auto"/>
            <w:right w:val="none" w:sz="0" w:space="0" w:color="auto"/>
          </w:divBdr>
        </w:div>
        <w:div w:id="1741707960">
          <w:marLeft w:val="0"/>
          <w:marRight w:val="0"/>
          <w:marTop w:val="0"/>
          <w:marBottom w:val="0"/>
          <w:divBdr>
            <w:top w:val="none" w:sz="0" w:space="0" w:color="auto"/>
            <w:left w:val="none" w:sz="0" w:space="0" w:color="auto"/>
            <w:bottom w:val="none" w:sz="0" w:space="0" w:color="auto"/>
            <w:right w:val="none" w:sz="0" w:space="0" w:color="auto"/>
          </w:divBdr>
        </w:div>
        <w:div w:id="1597133002">
          <w:marLeft w:val="0"/>
          <w:marRight w:val="0"/>
          <w:marTop w:val="0"/>
          <w:marBottom w:val="0"/>
          <w:divBdr>
            <w:top w:val="none" w:sz="0" w:space="0" w:color="auto"/>
            <w:left w:val="none" w:sz="0" w:space="0" w:color="auto"/>
            <w:bottom w:val="none" w:sz="0" w:space="0" w:color="auto"/>
            <w:right w:val="none" w:sz="0" w:space="0" w:color="auto"/>
          </w:divBdr>
        </w:div>
        <w:div w:id="1693647589">
          <w:marLeft w:val="0"/>
          <w:marRight w:val="0"/>
          <w:marTop w:val="0"/>
          <w:marBottom w:val="0"/>
          <w:divBdr>
            <w:top w:val="none" w:sz="0" w:space="0" w:color="auto"/>
            <w:left w:val="none" w:sz="0" w:space="0" w:color="auto"/>
            <w:bottom w:val="none" w:sz="0" w:space="0" w:color="auto"/>
            <w:right w:val="none" w:sz="0" w:space="0" w:color="auto"/>
          </w:divBdr>
        </w:div>
        <w:div w:id="267733950">
          <w:marLeft w:val="0"/>
          <w:marRight w:val="0"/>
          <w:marTop w:val="0"/>
          <w:marBottom w:val="0"/>
          <w:divBdr>
            <w:top w:val="none" w:sz="0" w:space="0" w:color="auto"/>
            <w:left w:val="none" w:sz="0" w:space="0" w:color="auto"/>
            <w:bottom w:val="none" w:sz="0" w:space="0" w:color="auto"/>
            <w:right w:val="none" w:sz="0" w:space="0" w:color="auto"/>
          </w:divBdr>
        </w:div>
        <w:div w:id="1467893456">
          <w:marLeft w:val="0"/>
          <w:marRight w:val="0"/>
          <w:marTop w:val="0"/>
          <w:marBottom w:val="0"/>
          <w:divBdr>
            <w:top w:val="none" w:sz="0" w:space="0" w:color="auto"/>
            <w:left w:val="none" w:sz="0" w:space="0" w:color="auto"/>
            <w:bottom w:val="none" w:sz="0" w:space="0" w:color="auto"/>
            <w:right w:val="none" w:sz="0" w:space="0" w:color="auto"/>
          </w:divBdr>
        </w:div>
        <w:div w:id="736704546">
          <w:marLeft w:val="0"/>
          <w:marRight w:val="0"/>
          <w:marTop w:val="0"/>
          <w:marBottom w:val="0"/>
          <w:divBdr>
            <w:top w:val="none" w:sz="0" w:space="0" w:color="auto"/>
            <w:left w:val="none" w:sz="0" w:space="0" w:color="auto"/>
            <w:bottom w:val="none" w:sz="0" w:space="0" w:color="auto"/>
            <w:right w:val="none" w:sz="0" w:space="0" w:color="auto"/>
          </w:divBdr>
        </w:div>
        <w:div w:id="436410671">
          <w:marLeft w:val="0"/>
          <w:marRight w:val="0"/>
          <w:marTop w:val="0"/>
          <w:marBottom w:val="0"/>
          <w:divBdr>
            <w:top w:val="none" w:sz="0" w:space="0" w:color="auto"/>
            <w:left w:val="none" w:sz="0" w:space="0" w:color="auto"/>
            <w:bottom w:val="none" w:sz="0" w:space="0" w:color="auto"/>
            <w:right w:val="none" w:sz="0" w:space="0" w:color="auto"/>
          </w:divBdr>
        </w:div>
        <w:div w:id="1081176355">
          <w:marLeft w:val="0"/>
          <w:marRight w:val="0"/>
          <w:marTop w:val="0"/>
          <w:marBottom w:val="0"/>
          <w:divBdr>
            <w:top w:val="none" w:sz="0" w:space="0" w:color="auto"/>
            <w:left w:val="none" w:sz="0" w:space="0" w:color="auto"/>
            <w:bottom w:val="none" w:sz="0" w:space="0" w:color="auto"/>
            <w:right w:val="none" w:sz="0" w:space="0" w:color="auto"/>
          </w:divBdr>
        </w:div>
        <w:div w:id="1982735036">
          <w:marLeft w:val="0"/>
          <w:marRight w:val="0"/>
          <w:marTop w:val="0"/>
          <w:marBottom w:val="0"/>
          <w:divBdr>
            <w:top w:val="none" w:sz="0" w:space="0" w:color="auto"/>
            <w:left w:val="none" w:sz="0" w:space="0" w:color="auto"/>
            <w:bottom w:val="none" w:sz="0" w:space="0" w:color="auto"/>
            <w:right w:val="none" w:sz="0" w:space="0" w:color="auto"/>
          </w:divBdr>
        </w:div>
        <w:div w:id="628440070">
          <w:marLeft w:val="0"/>
          <w:marRight w:val="0"/>
          <w:marTop w:val="0"/>
          <w:marBottom w:val="0"/>
          <w:divBdr>
            <w:top w:val="none" w:sz="0" w:space="0" w:color="auto"/>
            <w:left w:val="none" w:sz="0" w:space="0" w:color="auto"/>
            <w:bottom w:val="none" w:sz="0" w:space="0" w:color="auto"/>
            <w:right w:val="none" w:sz="0" w:space="0" w:color="auto"/>
          </w:divBdr>
        </w:div>
        <w:div w:id="1353612449">
          <w:marLeft w:val="0"/>
          <w:marRight w:val="0"/>
          <w:marTop w:val="0"/>
          <w:marBottom w:val="0"/>
          <w:divBdr>
            <w:top w:val="none" w:sz="0" w:space="0" w:color="auto"/>
            <w:left w:val="none" w:sz="0" w:space="0" w:color="auto"/>
            <w:bottom w:val="none" w:sz="0" w:space="0" w:color="auto"/>
            <w:right w:val="none" w:sz="0" w:space="0" w:color="auto"/>
          </w:divBdr>
        </w:div>
        <w:div w:id="1523931682">
          <w:marLeft w:val="0"/>
          <w:marRight w:val="0"/>
          <w:marTop w:val="0"/>
          <w:marBottom w:val="0"/>
          <w:divBdr>
            <w:top w:val="none" w:sz="0" w:space="0" w:color="auto"/>
            <w:left w:val="none" w:sz="0" w:space="0" w:color="auto"/>
            <w:bottom w:val="none" w:sz="0" w:space="0" w:color="auto"/>
            <w:right w:val="none" w:sz="0" w:space="0" w:color="auto"/>
          </w:divBdr>
        </w:div>
      </w:divsChild>
    </w:div>
    <w:div w:id="1653873406">
      <w:bodyDiv w:val="1"/>
      <w:marLeft w:val="0"/>
      <w:marRight w:val="0"/>
      <w:marTop w:val="0"/>
      <w:marBottom w:val="0"/>
      <w:divBdr>
        <w:top w:val="none" w:sz="0" w:space="0" w:color="auto"/>
        <w:left w:val="none" w:sz="0" w:space="0" w:color="auto"/>
        <w:bottom w:val="none" w:sz="0" w:space="0" w:color="auto"/>
        <w:right w:val="none" w:sz="0" w:space="0" w:color="auto"/>
      </w:divBdr>
      <w:divsChild>
        <w:div w:id="472868550">
          <w:marLeft w:val="0"/>
          <w:marRight w:val="0"/>
          <w:marTop w:val="0"/>
          <w:marBottom w:val="0"/>
          <w:divBdr>
            <w:top w:val="none" w:sz="0" w:space="0" w:color="auto"/>
            <w:left w:val="none" w:sz="0" w:space="0" w:color="auto"/>
            <w:bottom w:val="none" w:sz="0" w:space="0" w:color="auto"/>
            <w:right w:val="none" w:sz="0" w:space="0" w:color="auto"/>
          </w:divBdr>
        </w:div>
        <w:div w:id="1549105774">
          <w:marLeft w:val="0"/>
          <w:marRight w:val="0"/>
          <w:marTop w:val="0"/>
          <w:marBottom w:val="0"/>
          <w:divBdr>
            <w:top w:val="none" w:sz="0" w:space="0" w:color="auto"/>
            <w:left w:val="none" w:sz="0" w:space="0" w:color="auto"/>
            <w:bottom w:val="none" w:sz="0" w:space="0" w:color="auto"/>
            <w:right w:val="none" w:sz="0" w:space="0" w:color="auto"/>
          </w:divBdr>
        </w:div>
        <w:div w:id="1898590966">
          <w:marLeft w:val="0"/>
          <w:marRight w:val="0"/>
          <w:marTop w:val="0"/>
          <w:marBottom w:val="0"/>
          <w:divBdr>
            <w:top w:val="none" w:sz="0" w:space="0" w:color="auto"/>
            <w:left w:val="none" w:sz="0" w:space="0" w:color="auto"/>
            <w:bottom w:val="none" w:sz="0" w:space="0" w:color="auto"/>
            <w:right w:val="none" w:sz="0" w:space="0" w:color="auto"/>
          </w:divBdr>
        </w:div>
        <w:div w:id="398795244">
          <w:marLeft w:val="0"/>
          <w:marRight w:val="0"/>
          <w:marTop w:val="0"/>
          <w:marBottom w:val="0"/>
          <w:divBdr>
            <w:top w:val="none" w:sz="0" w:space="0" w:color="auto"/>
            <w:left w:val="none" w:sz="0" w:space="0" w:color="auto"/>
            <w:bottom w:val="none" w:sz="0" w:space="0" w:color="auto"/>
            <w:right w:val="none" w:sz="0" w:space="0" w:color="auto"/>
          </w:divBdr>
        </w:div>
        <w:div w:id="1623882943">
          <w:marLeft w:val="0"/>
          <w:marRight w:val="0"/>
          <w:marTop w:val="0"/>
          <w:marBottom w:val="0"/>
          <w:divBdr>
            <w:top w:val="none" w:sz="0" w:space="0" w:color="auto"/>
            <w:left w:val="none" w:sz="0" w:space="0" w:color="auto"/>
            <w:bottom w:val="none" w:sz="0" w:space="0" w:color="auto"/>
            <w:right w:val="none" w:sz="0" w:space="0" w:color="auto"/>
          </w:divBdr>
        </w:div>
        <w:div w:id="1422489250">
          <w:marLeft w:val="0"/>
          <w:marRight w:val="0"/>
          <w:marTop w:val="0"/>
          <w:marBottom w:val="0"/>
          <w:divBdr>
            <w:top w:val="none" w:sz="0" w:space="0" w:color="auto"/>
            <w:left w:val="none" w:sz="0" w:space="0" w:color="auto"/>
            <w:bottom w:val="none" w:sz="0" w:space="0" w:color="auto"/>
            <w:right w:val="none" w:sz="0" w:space="0" w:color="auto"/>
          </w:divBdr>
        </w:div>
        <w:div w:id="1385830902">
          <w:marLeft w:val="0"/>
          <w:marRight w:val="0"/>
          <w:marTop w:val="0"/>
          <w:marBottom w:val="0"/>
          <w:divBdr>
            <w:top w:val="none" w:sz="0" w:space="0" w:color="auto"/>
            <w:left w:val="none" w:sz="0" w:space="0" w:color="auto"/>
            <w:bottom w:val="none" w:sz="0" w:space="0" w:color="auto"/>
            <w:right w:val="none" w:sz="0" w:space="0" w:color="auto"/>
          </w:divBdr>
        </w:div>
        <w:div w:id="170946995">
          <w:marLeft w:val="0"/>
          <w:marRight w:val="0"/>
          <w:marTop w:val="0"/>
          <w:marBottom w:val="0"/>
          <w:divBdr>
            <w:top w:val="none" w:sz="0" w:space="0" w:color="auto"/>
            <w:left w:val="none" w:sz="0" w:space="0" w:color="auto"/>
            <w:bottom w:val="none" w:sz="0" w:space="0" w:color="auto"/>
            <w:right w:val="none" w:sz="0" w:space="0" w:color="auto"/>
          </w:divBdr>
        </w:div>
        <w:div w:id="233708326">
          <w:marLeft w:val="0"/>
          <w:marRight w:val="0"/>
          <w:marTop w:val="0"/>
          <w:marBottom w:val="0"/>
          <w:divBdr>
            <w:top w:val="none" w:sz="0" w:space="0" w:color="auto"/>
            <w:left w:val="none" w:sz="0" w:space="0" w:color="auto"/>
            <w:bottom w:val="none" w:sz="0" w:space="0" w:color="auto"/>
            <w:right w:val="none" w:sz="0" w:space="0" w:color="auto"/>
          </w:divBdr>
        </w:div>
        <w:div w:id="496964873">
          <w:marLeft w:val="0"/>
          <w:marRight w:val="0"/>
          <w:marTop w:val="0"/>
          <w:marBottom w:val="0"/>
          <w:divBdr>
            <w:top w:val="none" w:sz="0" w:space="0" w:color="auto"/>
            <w:left w:val="none" w:sz="0" w:space="0" w:color="auto"/>
            <w:bottom w:val="none" w:sz="0" w:space="0" w:color="auto"/>
            <w:right w:val="none" w:sz="0" w:space="0" w:color="auto"/>
          </w:divBdr>
        </w:div>
        <w:div w:id="2037392230">
          <w:marLeft w:val="0"/>
          <w:marRight w:val="0"/>
          <w:marTop w:val="0"/>
          <w:marBottom w:val="0"/>
          <w:divBdr>
            <w:top w:val="none" w:sz="0" w:space="0" w:color="auto"/>
            <w:left w:val="none" w:sz="0" w:space="0" w:color="auto"/>
            <w:bottom w:val="none" w:sz="0" w:space="0" w:color="auto"/>
            <w:right w:val="none" w:sz="0" w:space="0" w:color="auto"/>
          </w:divBdr>
        </w:div>
        <w:div w:id="2140999175">
          <w:marLeft w:val="0"/>
          <w:marRight w:val="0"/>
          <w:marTop w:val="0"/>
          <w:marBottom w:val="0"/>
          <w:divBdr>
            <w:top w:val="none" w:sz="0" w:space="0" w:color="auto"/>
            <w:left w:val="none" w:sz="0" w:space="0" w:color="auto"/>
            <w:bottom w:val="none" w:sz="0" w:space="0" w:color="auto"/>
            <w:right w:val="none" w:sz="0" w:space="0" w:color="auto"/>
          </w:divBdr>
        </w:div>
        <w:div w:id="638346953">
          <w:marLeft w:val="0"/>
          <w:marRight w:val="0"/>
          <w:marTop w:val="0"/>
          <w:marBottom w:val="0"/>
          <w:divBdr>
            <w:top w:val="none" w:sz="0" w:space="0" w:color="auto"/>
            <w:left w:val="none" w:sz="0" w:space="0" w:color="auto"/>
            <w:bottom w:val="none" w:sz="0" w:space="0" w:color="auto"/>
            <w:right w:val="none" w:sz="0" w:space="0" w:color="auto"/>
          </w:divBdr>
        </w:div>
      </w:divsChild>
    </w:div>
    <w:div w:id="1661539475">
      <w:bodyDiv w:val="1"/>
      <w:marLeft w:val="0"/>
      <w:marRight w:val="0"/>
      <w:marTop w:val="0"/>
      <w:marBottom w:val="0"/>
      <w:divBdr>
        <w:top w:val="none" w:sz="0" w:space="0" w:color="auto"/>
        <w:left w:val="none" w:sz="0" w:space="0" w:color="auto"/>
        <w:bottom w:val="none" w:sz="0" w:space="0" w:color="auto"/>
        <w:right w:val="none" w:sz="0" w:space="0" w:color="auto"/>
      </w:divBdr>
      <w:divsChild>
        <w:div w:id="1125080588">
          <w:marLeft w:val="0"/>
          <w:marRight w:val="0"/>
          <w:marTop w:val="0"/>
          <w:marBottom w:val="0"/>
          <w:divBdr>
            <w:top w:val="none" w:sz="0" w:space="0" w:color="auto"/>
            <w:left w:val="none" w:sz="0" w:space="0" w:color="auto"/>
            <w:bottom w:val="none" w:sz="0" w:space="0" w:color="auto"/>
            <w:right w:val="none" w:sz="0" w:space="0" w:color="auto"/>
          </w:divBdr>
        </w:div>
        <w:div w:id="201672490">
          <w:marLeft w:val="0"/>
          <w:marRight w:val="0"/>
          <w:marTop w:val="0"/>
          <w:marBottom w:val="0"/>
          <w:divBdr>
            <w:top w:val="none" w:sz="0" w:space="0" w:color="auto"/>
            <w:left w:val="none" w:sz="0" w:space="0" w:color="auto"/>
            <w:bottom w:val="none" w:sz="0" w:space="0" w:color="auto"/>
            <w:right w:val="none" w:sz="0" w:space="0" w:color="auto"/>
          </w:divBdr>
        </w:div>
        <w:div w:id="800878756">
          <w:marLeft w:val="0"/>
          <w:marRight w:val="0"/>
          <w:marTop w:val="0"/>
          <w:marBottom w:val="0"/>
          <w:divBdr>
            <w:top w:val="none" w:sz="0" w:space="0" w:color="auto"/>
            <w:left w:val="none" w:sz="0" w:space="0" w:color="auto"/>
            <w:bottom w:val="none" w:sz="0" w:space="0" w:color="auto"/>
            <w:right w:val="none" w:sz="0" w:space="0" w:color="auto"/>
          </w:divBdr>
        </w:div>
        <w:div w:id="1948544157">
          <w:marLeft w:val="0"/>
          <w:marRight w:val="0"/>
          <w:marTop w:val="0"/>
          <w:marBottom w:val="0"/>
          <w:divBdr>
            <w:top w:val="none" w:sz="0" w:space="0" w:color="auto"/>
            <w:left w:val="none" w:sz="0" w:space="0" w:color="auto"/>
            <w:bottom w:val="none" w:sz="0" w:space="0" w:color="auto"/>
            <w:right w:val="none" w:sz="0" w:space="0" w:color="auto"/>
          </w:divBdr>
        </w:div>
        <w:div w:id="1849442659">
          <w:marLeft w:val="0"/>
          <w:marRight w:val="0"/>
          <w:marTop w:val="0"/>
          <w:marBottom w:val="0"/>
          <w:divBdr>
            <w:top w:val="none" w:sz="0" w:space="0" w:color="auto"/>
            <w:left w:val="none" w:sz="0" w:space="0" w:color="auto"/>
            <w:bottom w:val="none" w:sz="0" w:space="0" w:color="auto"/>
            <w:right w:val="none" w:sz="0" w:space="0" w:color="auto"/>
          </w:divBdr>
        </w:div>
        <w:div w:id="2108886411">
          <w:marLeft w:val="0"/>
          <w:marRight w:val="0"/>
          <w:marTop w:val="0"/>
          <w:marBottom w:val="0"/>
          <w:divBdr>
            <w:top w:val="none" w:sz="0" w:space="0" w:color="auto"/>
            <w:left w:val="none" w:sz="0" w:space="0" w:color="auto"/>
            <w:bottom w:val="none" w:sz="0" w:space="0" w:color="auto"/>
            <w:right w:val="none" w:sz="0" w:space="0" w:color="auto"/>
          </w:divBdr>
        </w:div>
        <w:div w:id="129982159">
          <w:marLeft w:val="0"/>
          <w:marRight w:val="0"/>
          <w:marTop w:val="0"/>
          <w:marBottom w:val="0"/>
          <w:divBdr>
            <w:top w:val="none" w:sz="0" w:space="0" w:color="auto"/>
            <w:left w:val="none" w:sz="0" w:space="0" w:color="auto"/>
            <w:bottom w:val="none" w:sz="0" w:space="0" w:color="auto"/>
            <w:right w:val="none" w:sz="0" w:space="0" w:color="auto"/>
          </w:divBdr>
        </w:div>
        <w:div w:id="1599479505">
          <w:marLeft w:val="0"/>
          <w:marRight w:val="0"/>
          <w:marTop w:val="0"/>
          <w:marBottom w:val="0"/>
          <w:divBdr>
            <w:top w:val="none" w:sz="0" w:space="0" w:color="auto"/>
            <w:left w:val="none" w:sz="0" w:space="0" w:color="auto"/>
            <w:bottom w:val="none" w:sz="0" w:space="0" w:color="auto"/>
            <w:right w:val="none" w:sz="0" w:space="0" w:color="auto"/>
          </w:divBdr>
        </w:div>
        <w:div w:id="1194272918">
          <w:marLeft w:val="0"/>
          <w:marRight w:val="0"/>
          <w:marTop w:val="0"/>
          <w:marBottom w:val="0"/>
          <w:divBdr>
            <w:top w:val="none" w:sz="0" w:space="0" w:color="auto"/>
            <w:left w:val="none" w:sz="0" w:space="0" w:color="auto"/>
            <w:bottom w:val="none" w:sz="0" w:space="0" w:color="auto"/>
            <w:right w:val="none" w:sz="0" w:space="0" w:color="auto"/>
          </w:divBdr>
        </w:div>
        <w:div w:id="107966223">
          <w:marLeft w:val="0"/>
          <w:marRight w:val="0"/>
          <w:marTop w:val="0"/>
          <w:marBottom w:val="0"/>
          <w:divBdr>
            <w:top w:val="none" w:sz="0" w:space="0" w:color="auto"/>
            <w:left w:val="none" w:sz="0" w:space="0" w:color="auto"/>
            <w:bottom w:val="none" w:sz="0" w:space="0" w:color="auto"/>
            <w:right w:val="none" w:sz="0" w:space="0" w:color="auto"/>
          </w:divBdr>
        </w:div>
        <w:div w:id="1204438517">
          <w:marLeft w:val="0"/>
          <w:marRight w:val="0"/>
          <w:marTop w:val="0"/>
          <w:marBottom w:val="0"/>
          <w:divBdr>
            <w:top w:val="none" w:sz="0" w:space="0" w:color="auto"/>
            <w:left w:val="none" w:sz="0" w:space="0" w:color="auto"/>
            <w:bottom w:val="none" w:sz="0" w:space="0" w:color="auto"/>
            <w:right w:val="none" w:sz="0" w:space="0" w:color="auto"/>
          </w:divBdr>
        </w:div>
        <w:div w:id="1965118145">
          <w:marLeft w:val="0"/>
          <w:marRight w:val="0"/>
          <w:marTop w:val="0"/>
          <w:marBottom w:val="0"/>
          <w:divBdr>
            <w:top w:val="none" w:sz="0" w:space="0" w:color="auto"/>
            <w:left w:val="none" w:sz="0" w:space="0" w:color="auto"/>
            <w:bottom w:val="none" w:sz="0" w:space="0" w:color="auto"/>
            <w:right w:val="none" w:sz="0" w:space="0" w:color="auto"/>
          </w:divBdr>
        </w:div>
      </w:divsChild>
    </w:div>
    <w:div w:id="1696153662">
      <w:bodyDiv w:val="1"/>
      <w:marLeft w:val="0"/>
      <w:marRight w:val="0"/>
      <w:marTop w:val="0"/>
      <w:marBottom w:val="0"/>
      <w:divBdr>
        <w:top w:val="none" w:sz="0" w:space="0" w:color="auto"/>
        <w:left w:val="none" w:sz="0" w:space="0" w:color="auto"/>
        <w:bottom w:val="none" w:sz="0" w:space="0" w:color="auto"/>
        <w:right w:val="none" w:sz="0" w:space="0" w:color="auto"/>
      </w:divBdr>
    </w:div>
    <w:div w:id="1701708218">
      <w:bodyDiv w:val="1"/>
      <w:marLeft w:val="0"/>
      <w:marRight w:val="0"/>
      <w:marTop w:val="0"/>
      <w:marBottom w:val="0"/>
      <w:divBdr>
        <w:top w:val="none" w:sz="0" w:space="0" w:color="auto"/>
        <w:left w:val="none" w:sz="0" w:space="0" w:color="auto"/>
        <w:bottom w:val="none" w:sz="0" w:space="0" w:color="auto"/>
        <w:right w:val="none" w:sz="0" w:space="0" w:color="auto"/>
      </w:divBdr>
    </w:div>
    <w:div w:id="1708917158">
      <w:bodyDiv w:val="1"/>
      <w:marLeft w:val="0"/>
      <w:marRight w:val="0"/>
      <w:marTop w:val="0"/>
      <w:marBottom w:val="0"/>
      <w:divBdr>
        <w:top w:val="none" w:sz="0" w:space="0" w:color="auto"/>
        <w:left w:val="none" w:sz="0" w:space="0" w:color="auto"/>
        <w:bottom w:val="none" w:sz="0" w:space="0" w:color="auto"/>
        <w:right w:val="none" w:sz="0" w:space="0" w:color="auto"/>
      </w:divBdr>
      <w:divsChild>
        <w:div w:id="1305814813">
          <w:marLeft w:val="0"/>
          <w:marRight w:val="0"/>
          <w:marTop w:val="0"/>
          <w:marBottom w:val="0"/>
          <w:divBdr>
            <w:top w:val="none" w:sz="0" w:space="0" w:color="auto"/>
            <w:left w:val="none" w:sz="0" w:space="0" w:color="auto"/>
            <w:bottom w:val="none" w:sz="0" w:space="0" w:color="auto"/>
            <w:right w:val="none" w:sz="0" w:space="0" w:color="auto"/>
          </w:divBdr>
        </w:div>
        <w:div w:id="491602564">
          <w:marLeft w:val="0"/>
          <w:marRight w:val="0"/>
          <w:marTop w:val="0"/>
          <w:marBottom w:val="0"/>
          <w:divBdr>
            <w:top w:val="none" w:sz="0" w:space="0" w:color="auto"/>
            <w:left w:val="none" w:sz="0" w:space="0" w:color="auto"/>
            <w:bottom w:val="none" w:sz="0" w:space="0" w:color="auto"/>
            <w:right w:val="none" w:sz="0" w:space="0" w:color="auto"/>
          </w:divBdr>
        </w:div>
        <w:div w:id="1829516039">
          <w:marLeft w:val="0"/>
          <w:marRight w:val="0"/>
          <w:marTop w:val="0"/>
          <w:marBottom w:val="0"/>
          <w:divBdr>
            <w:top w:val="none" w:sz="0" w:space="0" w:color="auto"/>
            <w:left w:val="none" w:sz="0" w:space="0" w:color="auto"/>
            <w:bottom w:val="none" w:sz="0" w:space="0" w:color="auto"/>
            <w:right w:val="none" w:sz="0" w:space="0" w:color="auto"/>
          </w:divBdr>
        </w:div>
        <w:div w:id="973297132">
          <w:marLeft w:val="0"/>
          <w:marRight w:val="0"/>
          <w:marTop w:val="0"/>
          <w:marBottom w:val="0"/>
          <w:divBdr>
            <w:top w:val="none" w:sz="0" w:space="0" w:color="auto"/>
            <w:left w:val="none" w:sz="0" w:space="0" w:color="auto"/>
            <w:bottom w:val="none" w:sz="0" w:space="0" w:color="auto"/>
            <w:right w:val="none" w:sz="0" w:space="0" w:color="auto"/>
          </w:divBdr>
        </w:div>
        <w:div w:id="1737241927">
          <w:marLeft w:val="0"/>
          <w:marRight w:val="0"/>
          <w:marTop w:val="0"/>
          <w:marBottom w:val="0"/>
          <w:divBdr>
            <w:top w:val="none" w:sz="0" w:space="0" w:color="auto"/>
            <w:left w:val="none" w:sz="0" w:space="0" w:color="auto"/>
            <w:bottom w:val="none" w:sz="0" w:space="0" w:color="auto"/>
            <w:right w:val="none" w:sz="0" w:space="0" w:color="auto"/>
          </w:divBdr>
        </w:div>
        <w:div w:id="1871528008">
          <w:marLeft w:val="0"/>
          <w:marRight w:val="0"/>
          <w:marTop w:val="0"/>
          <w:marBottom w:val="0"/>
          <w:divBdr>
            <w:top w:val="none" w:sz="0" w:space="0" w:color="auto"/>
            <w:left w:val="none" w:sz="0" w:space="0" w:color="auto"/>
            <w:bottom w:val="none" w:sz="0" w:space="0" w:color="auto"/>
            <w:right w:val="none" w:sz="0" w:space="0" w:color="auto"/>
          </w:divBdr>
        </w:div>
        <w:div w:id="807211029">
          <w:marLeft w:val="0"/>
          <w:marRight w:val="0"/>
          <w:marTop w:val="0"/>
          <w:marBottom w:val="0"/>
          <w:divBdr>
            <w:top w:val="none" w:sz="0" w:space="0" w:color="auto"/>
            <w:left w:val="none" w:sz="0" w:space="0" w:color="auto"/>
            <w:bottom w:val="none" w:sz="0" w:space="0" w:color="auto"/>
            <w:right w:val="none" w:sz="0" w:space="0" w:color="auto"/>
          </w:divBdr>
        </w:div>
        <w:div w:id="1868715071">
          <w:marLeft w:val="0"/>
          <w:marRight w:val="0"/>
          <w:marTop w:val="0"/>
          <w:marBottom w:val="0"/>
          <w:divBdr>
            <w:top w:val="none" w:sz="0" w:space="0" w:color="auto"/>
            <w:left w:val="none" w:sz="0" w:space="0" w:color="auto"/>
            <w:bottom w:val="none" w:sz="0" w:space="0" w:color="auto"/>
            <w:right w:val="none" w:sz="0" w:space="0" w:color="auto"/>
          </w:divBdr>
        </w:div>
        <w:div w:id="132717998">
          <w:marLeft w:val="0"/>
          <w:marRight w:val="0"/>
          <w:marTop w:val="0"/>
          <w:marBottom w:val="0"/>
          <w:divBdr>
            <w:top w:val="none" w:sz="0" w:space="0" w:color="auto"/>
            <w:left w:val="none" w:sz="0" w:space="0" w:color="auto"/>
            <w:bottom w:val="none" w:sz="0" w:space="0" w:color="auto"/>
            <w:right w:val="none" w:sz="0" w:space="0" w:color="auto"/>
          </w:divBdr>
        </w:div>
        <w:div w:id="894318400">
          <w:marLeft w:val="0"/>
          <w:marRight w:val="0"/>
          <w:marTop w:val="0"/>
          <w:marBottom w:val="0"/>
          <w:divBdr>
            <w:top w:val="none" w:sz="0" w:space="0" w:color="auto"/>
            <w:left w:val="none" w:sz="0" w:space="0" w:color="auto"/>
            <w:bottom w:val="none" w:sz="0" w:space="0" w:color="auto"/>
            <w:right w:val="none" w:sz="0" w:space="0" w:color="auto"/>
          </w:divBdr>
        </w:div>
        <w:div w:id="861675513">
          <w:marLeft w:val="0"/>
          <w:marRight w:val="0"/>
          <w:marTop w:val="0"/>
          <w:marBottom w:val="0"/>
          <w:divBdr>
            <w:top w:val="none" w:sz="0" w:space="0" w:color="auto"/>
            <w:left w:val="none" w:sz="0" w:space="0" w:color="auto"/>
            <w:bottom w:val="none" w:sz="0" w:space="0" w:color="auto"/>
            <w:right w:val="none" w:sz="0" w:space="0" w:color="auto"/>
          </w:divBdr>
        </w:div>
        <w:div w:id="607856144">
          <w:marLeft w:val="0"/>
          <w:marRight w:val="0"/>
          <w:marTop w:val="0"/>
          <w:marBottom w:val="0"/>
          <w:divBdr>
            <w:top w:val="none" w:sz="0" w:space="0" w:color="auto"/>
            <w:left w:val="none" w:sz="0" w:space="0" w:color="auto"/>
            <w:bottom w:val="none" w:sz="0" w:space="0" w:color="auto"/>
            <w:right w:val="none" w:sz="0" w:space="0" w:color="auto"/>
          </w:divBdr>
        </w:div>
        <w:div w:id="1024331942">
          <w:marLeft w:val="0"/>
          <w:marRight w:val="0"/>
          <w:marTop w:val="0"/>
          <w:marBottom w:val="0"/>
          <w:divBdr>
            <w:top w:val="none" w:sz="0" w:space="0" w:color="auto"/>
            <w:left w:val="none" w:sz="0" w:space="0" w:color="auto"/>
            <w:bottom w:val="none" w:sz="0" w:space="0" w:color="auto"/>
            <w:right w:val="none" w:sz="0" w:space="0" w:color="auto"/>
          </w:divBdr>
        </w:div>
        <w:div w:id="1333683114">
          <w:marLeft w:val="0"/>
          <w:marRight w:val="0"/>
          <w:marTop w:val="0"/>
          <w:marBottom w:val="0"/>
          <w:divBdr>
            <w:top w:val="none" w:sz="0" w:space="0" w:color="auto"/>
            <w:left w:val="none" w:sz="0" w:space="0" w:color="auto"/>
            <w:bottom w:val="none" w:sz="0" w:space="0" w:color="auto"/>
            <w:right w:val="none" w:sz="0" w:space="0" w:color="auto"/>
          </w:divBdr>
        </w:div>
        <w:div w:id="327757442">
          <w:marLeft w:val="0"/>
          <w:marRight w:val="0"/>
          <w:marTop w:val="0"/>
          <w:marBottom w:val="0"/>
          <w:divBdr>
            <w:top w:val="none" w:sz="0" w:space="0" w:color="auto"/>
            <w:left w:val="none" w:sz="0" w:space="0" w:color="auto"/>
            <w:bottom w:val="none" w:sz="0" w:space="0" w:color="auto"/>
            <w:right w:val="none" w:sz="0" w:space="0" w:color="auto"/>
          </w:divBdr>
        </w:div>
        <w:div w:id="921571235">
          <w:marLeft w:val="0"/>
          <w:marRight w:val="0"/>
          <w:marTop w:val="0"/>
          <w:marBottom w:val="0"/>
          <w:divBdr>
            <w:top w:val="none" w:sz="0" w:space="0" w:color="auto"/>
            <w:left w:val="none" w:sz="0" w:space="0" w:color="auto"/>
            <w:bottom w:val="none" w:sz="0" w:space="0" w:color="auto"/>
            <w:right w:val="none" w:sz="0" w:space="0" w:color="auto"/>
          </w:divBdr>
        </w:div>
      </w:divsChild>
    </w:div>
    <w:div w:id="1733042430">
      <w:bodyDiv w:val="1"/>
      <w:marLeft w:val="0"/>
      <w:marRight w:val="0"/>
      <w:marTop w:val="0"/>
      <w:marBottom w:val="0"/>
      <w:divBdr>
        <w:top w:val="none" w:sz="0" w:space="0" w:color="auto"/>
        <w:left w:val="none" w:sz="0" w:space="0" w:color="auto"/>
        <w:bottom w:val="none" w:sz="0" w:space="0" w:color="auto"/>
        <w:right w:val="none" w:sz="0" w:space="0" w:color="auto"/>
      </w:divBdr>
      <w:divsChild>
        <w:div w:id="756248493">
          <w:marLeft w:val="0"/>
          <w:marRight w:val="0"/>
          <w:marTop w:val="0"/>
          <w:marBottom w:val="0"/>
          <w:divBdr>
            <w:top w:val="none" w:sz="0" w:space="0" w:color="auto"/>
            <w:left w:val="none" w:sz="0" w:space="0" w:color="auto"/>
            <w:bottom w:val="none" w:sz="0" w:space="0" w:color="auto"/>
            <w:right w:val="none" w:sz="0" w:space="0" w:color="auto"/>
          </w:divBdr>
        </w:div>
        <w:div w:id="1856727498">
          <w:marLeft w:val="0"/>
          <w:marRight w:val="0"/>
          <w:marTop w:val="0"/>
          <w:marBottom w:val="0"/>
          <w:divBdr>
            <w:top w:val="none" w:sz="0" w:space="0" w:color="auto"/>
            <w:left w:val="none" w:sz="0" w:space="0" w:color="auto"/>
            <w:bottom w:val="none" w:sz="0" w:space="0" w:color="auto"/>
            <w:right w:val="none" w:sz="0" w:space="0" w:color="auto"/>
          </w:divBdr>
        </w:div>
        <w:div w:id="125664282">
          <w:marLeft w:val="0"/>
          <w:marRight w:val="0"/>
          <w:marTop w:val="0"/>
          <w:marBottom w:val="0"/>
          <w:divBdr>
            <w:top w:val="none" w:sz="0" w:space="0" w:color="auto"/>
            <w:left w:val="none" w:sz="0" w:space="0" w:color="auto"/>
            <w:bottom w:val="none" w:sz="0" w:space="0" w:color="auto"/>
            <w:right w:val="none" w:sz="0" w:space="0" w:color="auto"/>
          </w:divBdr>
        </w:div>
        <w:div w:id="718478271">
          <w:marLeft w:val="0"/>
          <w:marRight w:val="0"/>
          <w:marTop w:val="0"/>
          <w:marBottom w:val="0"/>
          <w:divBdr>
            <w:top w:val="none" w:sz="0" w:space="0" w:color="auto"/>
            <w:left w:val="none" w:sz="0" w:space="0" w:color="auto"/>
            <w:bottom w:val="none" w:sz="0" w:space="0" w:color="auto"/>
            <w:right w:val="none" w:sz="0" w:space="0" w:color="auto"/>
          </w:divBdr>
        </w:div>
        <w:div w:id="2012219674">
          <w:marLeft w:val="0"/>
          <w:marRight w:val="0"/>
          <w:marTop w:val="0"/>
          <w:marBottom w:val="0"/>
          <w:divBdr>
            <w:top w:val="none" w:sz="0" w:space="0" w:color="auto"/>
            <w:left w:val="none" w:sz="0" w:space="0" w:color="auto"/>
            <w:bottom w:val="none" w:sz="0" w:space="0" w:color="auto"/>
            <w:right w:val="none" w:sz="0" w:space="0" w:color="auto"/>
          </w:divBdr>
        </w:div>
        <w:div w:id="846481274">
          <w:marLeft w:val="0"/>
          <w:marRight w:val="0"/>
          <w:marTop w:val="0"/>
          <w:marBottom w:val="0"/>
          <w:divBdr>
            <w:top w:val="none" w:sz="0" w:space="0" w:color="auto"/>
            <w:left w:val="none" w:sz="0" w:space="0" w:color="auto"/>
            <w:bottom w:val="none" w:sz="0" w:space="0" w:color="auto"/>
            <w:right w:val="none" w:sz="0" w:space="0" w:color="auto"/>
          </w:divBdr>
        </w:div>
        <w:div w:id="866413391">
          <w:marLeft w:val="0"/>
          <w:marRight w:val="0"/>
          <w:marTop w:val="0"/>
          <w:marBottom w:val="0"/>
          <w:divBdr>
            <w:top w:val="none" w:sz="0" w:space="0" w:color="auto"/>
            <w:left w:val="none" w:sz="0" w:space="0" w:color="auto"/>
            <w:bottom w:val="none" w:sz="0" w:space="0" w:color="auto"/>
            <w:right w:val="none" w:sz="0" w:space="0" w:color="auto"/>
          </w:divBdr>
        </w:div>
        <w:div w:id="1567110383">
          <w:marLeft w:val="0"/>
          <w:marRight w:val="0"/>
          <w:marTop w:val="0"/>
          <w:marBottom w:val="0"/>
          <w:divBdr>
            <w:top w:val="none" w:sz="0" w:space="0" w:color="auto"/>
            <w:left w:val="none" w:sz="0" w:space="0" w:color="auto"/>
            <w:bottom w:val="none" w:sz="0" w:space="0" w:color="auto"/>
            <w:right w:val="none" w:sz="0" w:space="0" w:color="auto"/>
          </w:divBdr>
        </w:div>
        <w:div w:id="1326741276">
          <w:marLeft w:val="0"/>
          <w:marRight w:val="0"/>
          <w:marTop w:val="0"/>
          <w:marBottom w:val="0"/>
          <w:divBdr>
            <w:top w:val="none" w:sz="0" w:space="0" w:color="auto"/>
            <w:left w:val="none" w:sz="0" w:space="0" w:color="auto"/>
            <w:bottom w:val="none" w:sz="0" w:space="0" w:color="auto"/>
            <w:right w:val="none" w:sz="0" w:space="0" w:color="auto"/>
          </w:divBdr>
        </w:div>
        <w:div w:id="273482115">
          <w:marLeft w:val="0"/>
          <w:marRight w:val="0"/>
          <w:marTop w:val="0"/>
          <w:marBottom w:val="0"/>
          <w:divBdr>
            <w:top w:val="none" w:sz="0" w:space="0" w:color="auto"/>
            <w:left w:val="none" w:sz="0" w:space="0" w:color="auto"/>
            <w:bottom w:val="none" w:sz="0" w:space="0" w:color="auto"/>
            <w:right w:val="none" w:sz="0" w:space="0" w:color="auto"/>
          </w:divBdr>
        </w:div>
        <w:div w:id="313223281">
          <w:marLeft w:val="0"/>
          <w:marRight w:val="0"/>
          <w:marTop w:val="0"/>
          <w:marBottom w:val="0"/>
          <w:divBdr>
            <w:top w:val="none" w:sz="0" w:space="0" w:color="auto"/>
            <w:left w:val="none" w:sz="0" w:space="0" w:color="auto"/>
            <w:bottom w:val="none" w:sz="0" w:space="0" w:color="auto"/>
            <w:right w:val="none" w:sz="0" w:space="0" w:color="auto"/>
          </w:divBdr>
        </w:div>
      </w:divsChild>
    </w:div>
    <w:div w:id="1758819130">
      <w:bodyDiv w:val="1"/>
      <w:marLeft w:val="0"/>
      <w:marRight w:val="0"/>
      <w:marTop w:val="0"/>
      <w:marBottom w:val="0"/>
      <w:divBdr>
        <w:top w:val="none" w:sz="0" w:space="0" w:color="auto"/>
        <w:left w:val="none" w:sz="0" w:space="0" w:color="auto"/>
        <w:bottom w:val="none" w:sz="0" w:space="0" w:color="auto"/>
        <w:right w:val="none" w:sz="0" w:space="0" w:color="auto"/>
      </w:divBdr>
      <w:divsChild>
        <w:div w:id="1141774020">
          <w:marLeft w:val="0"/>
          <w:marRight w:val="0"/>
          <w:marTop w:val="0"/>
          <w:marBottom w:val="0"/>
          <w:divBdr>
            <w:top w:val="none" w:sz="0" w:space="0" w:color="auto"/>
            <w:left w:val="none" w:sz="0" w:space="0" w:color="auto"/>
            <w:bottom w:val="none" w:sz="0" w:space="0" w:color="auto"/>
            <w:right w:val="none" w:sz="0" w:space="0" w:color="auto"/>
          </w:divBdr>
        </w:div>
        <w:div w:id="1590431065">
          <w:marLeft w:val="0"/>
          <w:marRight w:val="0"/>
          <w:marTop w:val="0"/>
          <w:marBottom w:val="0"/>
          <w:divBdr>
            <w:top w:val="none" w:sz="0" w:space="0" w:color="auto"/>
            <w:left w:val="none" w:sz="0" w:space="0" w:color="auto"/>
            <w:bottom w:val="none" w:sz="0" w:space="0" w:color="auto"/>
            <w:right w:val="none" w:sz="0" w:space="0" w:color="auto"/>
          </w:divBdr>
        </w:div>
        <w:div w:id="666907718">
          <w:marLeft w:val="0"/>
          <w:marRight w:val="0"/>
          <w:marTop w:val="0"/>
          <w:marBottom w:val="0"/>
          <w:divBdr>
            <w:top w:val="none" w:sz="0" w:space="0" w:color="auto"/>
            <w:left w:val="none" w:sz="0" w:space="0" w:color="auto"/>
            <w:bottom w:val="none" w:sz="0" w:space="0" w:color="auto"/>
            <w:right w:val="none" w:sz="0" w:space="0" w:color="auto"/>
          </w:divBdr>
        </w:div>
      </w:divsChild>
    </w:div>
    <w:div w:id="1760059949">
      <w:bodyDiv w:val="1"/>
      <w:marLeft w:val="0"/>
      <w:marRight w:val="0"/>
      <w:marTop w:val="0"/>
      <w:marBottom w:val="0"/>
      <w:divBdr>
        <w:top w:val="none" w:sz="0" w:space="0" w:color="auto"/>
        <w:left w:val="none" w:sz="0" w:space="0" w:color="auto"/>
        <w:bottom w:val="none" w:sz="0" w:space="0" w:color="auto"/>
        <w:right w:val="none" w:sz="0" w:space="0" w:color="auto"/>
      </w:divBdr>
      <w:divsChild>
        <w:div w:id="791558021">
          <w:marLeft w:val="0"/>
          <w:marRight w:val="0"/>
          <w:marTop w:val="0"/>
          <w:marBottom w:val="0"/>
          <w:divBdr>
            <w:top w:val="none" w:sz="0" w:space="0" w:color="auto"/>
            <w:left w:val="none" w:sz="0" w:space="0" w:color="auto"/>
            <w:bottom w:val="none" w:sz="0" w:space="0" w:color="auto"/>
            <w:right w:val="none" w:sz="0" w:space="0" w:color="auto"/>
          </w:divBdr>
        </w:div>
        <w:div w:id="1936669044">
          <w:marLeft w:val="0"/>
          <w:marRight w:val="0"/>
          <w:marTop w:val="0"/>
          <w:marBottom w:val="0"/>
          <w:divBdr>
            <w:top w:val="none" w:sz="0" w:space="0" w:color="auto"/>
            <w:left w:val="none" w:sz="0" w:space="0" w:color="auto"/>
            <w:bottom w:val="none" w:sz="0" w:space="0" w:color="auto"/>
            <w:right w:val="none" w:sz="0" w:space="0" w:color="auto"/>
          </w:divBdr>
        </w:div>
        <w:div w:id="947929931">
          <w:marLeft w:val="0"/>
          <w:marRight w:val="0"/>
          <w:marTop w:val="0"/>
          <w:marBottom w:val="0"/>
          <w:divBdr>
            <w:top w:val="none" w:sz="0" w:space="0" w:color="auto"/>
            <w:left w:val="none" w:sz="0" w:space="0" w:color="auto"/>
            <w:bottom w:val="none" w:sz="0" w:space="0" w:color="auto"/>
            <w:right w:val="none" w:sz="0" w:space="0" w:color="auto"/>
          </w:divBdr>
        </w:div>
        <w:div w:id="865758097">
          <w:marLeft w:val="0"/>
          <w:marRight w:val="0"/>
          <w:marTop w:val="0"/>
          <w:marBottom w:val="0"/>
          <w:divBdr>
            <w:top w:val="none" w:sz="0" w:space="0" w:color="auto"/>
            <w:left w:val="none" w:sz="0" w:space="0" w:color="auto"/>
            <w:bottom w:val="none" w:sz="0" w:space="0" w:color="auto"/>
            <w:right w:val="none" w:sz="0" w:space="0" w:color="auto"/>
          </w:divBdr>
        </w:div>
        <w:div w:id="1145708290">
          <w:marLeft w:val="0"/>
          <w:marRight w:val="0"/>
          <w:marTop w:val="0"/>
          <w:marBottom w:val="0"/>
          <w:divBdr>
            <w:top w:val="none" w:sz="0" w:space="0" w:color="auto"/>
            <w:left w:val="none" w:sz="0" w:space="0" w:color="auto"/>
            <w:bottom w:val="none" w:sz="0" w:space="0" w:color="auto"/>
            <w:right w:val="none" w:sz="0" w:space="0" w:color="auto"/>
          </w:divBdr>
        </w:div>
        <w:div w:id="511728530">
          <w:marLeft w:val="0"/>
          <w:marRight w:val="0"/>
          <w:marTop w:val="0"/>
          <w:marBottom w:val="0"/>
          <w:divBdr>
            <w:top w:val="none" w:sz="0" w:space="0" w:color="auto"/>
            <w:left w:val="none" w:sz="0" w:space="0" w:color="auto"/>
            <w:bottom w:val="none" w:sz="0" w:space="0" w:color="auto"/>
            <w:right w:val="none" w:sz="0" w:space="0" w:color="auto"/>
          </w:divBdr>
        </w:div>
        <w:div w:id="546839389">
          <w:marLeft w:val="0"/>
          <w:marRight w:val="0"/>
          <w:marTop w:val="0"/>
          <w:marBottom w:val="0"/>
          <w:divBdr>
            <w:top w:val="none" w:sz="0" w:space="0" w:color="auto"/>
            <w:left w:val="none" w:sz="0" w:space="0" w:color="auto"/>
            <w:bottom w:val="none" w:sz="0" w:space="0" w:color="auto"/>
            <w:right w:val="none" w:sz="0" w:space="0" w:color="auto"/>
          </w:divBdr>
        </w:div>
        <w:div w:id="1349257714">
          <w:marLeft w:val="0"/>
          <w:marRight w:val="0"/>
          <w:marTop w:val="0"/>
          <w:marBottom w:val="0"/>
          <w:divBdr>
            <w:top w:val="none" w:sz="0" w:space="0" w:color="auto"/>
            <w:left w:val="none" w:sz="0" w:space="0" w:color="auto"/>
            <w:bottom w:val="none" w:sz="0" w:space="0" w:color="auto"/>
            <w:right w:val="none" w:sz="0" w:space="0" w:color="auto"/>
          </w:divBdr>
        </w:div>
        <w:div w:id="437530708">
          <w:marLeft w:val="0"/>
          <w:marRight w:val="0"/>
          <w:marTop w:val="0"/>
          <w:marBottom w:val="0"/>
          <w:divBdr>
            <w:top w:val="none" w:sz="0" w:space="0" w:color="auto"/>
            <w:left w:val="none" w:sz="0" w:space="0" w:color="auto"/>
            <w:bottom w:val="none" w:sz="0" w:space="0" w:color="auto"/>
            <w:right w:val="none" w:sz="0" w:space="0" w:color="auto"/>
          </w:divBdr>
        </w:div>
        <w:div w:id="474220319">
          <w:marLeft w:val="0"/>
          <w:marRight w:val="0"/>
          <w:marTop w:val="0"/>
          <w:marBottom w:val="0"/>
          <w:divBdr>
            <w:top w:val="none" w:sz="0" w:space="0" w:color="auto"/>
            <w:left w:val="none" w:sz="0" w:space="0" w:color="auto"/>
            <w:bottom w:val="none" w:sz="0" w:space="0" w:color="auto"/>
            <w:right w:val="none" w:sz="0" w:space="0" w:color="auto"/>
          </w:divBdr>
        </w:div>
        <w:div w:id="762921402">
          <w:marLeft w:val="0"/>
          <w:marRight w:val="0"/>
          <w:marTop w:val="0"/>
          <w:marBottom w:val="0"/>
          <w:divBdr>
            <w:top w:val="none" w:sz="0" w:space="0" w:color="auto"/>
            <w:left w:val="none" w:sz="0" w:space="0" w:color="auto"/>
            <w:bottom w:val="none" w:sz="0" w:space="0" w:color="auto"/>
            <w:right w:val="none" w:sz="0" w:space="0" w:color="auto"/>
          </w:divBdr>
        </w:div>
        <w:div w:id="653142511">
          <w:marLeft w:val="0"/>
          <w:marRight w:val="0"/>
          <w:marTop w:val="0"/>
          <w:marBottom w:val="0"/>
          <w:divBdr>
            <w:top w:val="none" w:sz="0" w:space="0" w:color="auto"/>
            <w:left w:val="none" w:sz="0" w:space="0" w:color="auto"/>
            <w:bottom w:val="none" w:sz="0" w:space="0" w:color="auto"/>
            <w:right w:val="none" w:sz="0" w:space="0" w:color="auto"/>
          </w:divBdr>
        </w:div>
        <w:div w:id="1391225690">
          <w:marLeft w:val="0"/>
          <w:marRight w:val="0"/>
          <w:marTop w:val="0"/>
          <w:marBottom w:val="0"/>
          <w:divBdr>
            <w:top w:val="none" w:sz="0" w:space="0" w:color="auto"/>
            <w:left w:val="none" w:sz="0" w:space="0" w:color="auto"/>
            <w:bottom w:val="none" w:sz="0" w:space="0" w:color="auto"/>
            <w:right w:val="none" w:sz="0" w:space="0" w:color="auto"/>
          </w:divBdr>
        </w:div>
        <w:div w:id="321736367">
          <w:marLeft w:val="0"/>
          <w:marRight w:val="0"/>
          <w:marTop w:val="0"/>
          <w:marBottom w:val="0"/>
          <w:divBdr>
            <w:top w:val="none" w:sz="0" w:space="0" w:color="auto"/>
            <w:left w:val="none" w:sz="0" w:space="0" w:color="auto"/>
            <w:bottom w:val="none" w:sz="0" w:space="0" w:color="auto"/>
            <w:right w:val="none" w:sz="0" w:space="0" w:color="auto"/>
          </w:divBdr>
        </w:div>
        <w:div w:id="909314258">
          <w:marLeft w:val="0"/>
          <w:marRight w:val="0"/>
          <w:marTop w:val="0"/>
          <w:marBottom w:val="0"/>
          <w:divBdr>
            <w:top w:val="none" w:sz="0" w:space="0" w:color="auto"/>
            <w:left w:val="none" w:sz="0" w:space="0" w:color="auto"/>
            <w:bottom w:val="none" w:sz="0" w:space="0" w:color="auto"/>
            <w:right w:val="none" w:sz="0" w:space="0" w:color="auto"/>
          </w:divBdr>
        </w:div>
        <w:div w:id="1534030820">
          <w:marLeft w:val="0"/>
          <w:marRight w:val="0"/>
          <w:marTop w:val="0"/>
          <w:marBottom w:val="0"/>
          <w:divBdr>
            <w:top w:val="none" w:sz="0" w:space="0" w:color="auto"/>
            <w:left w:val="none" w:sz="0" w:space="0" w:color="auto"/>
            <w:bottom w:val="none" w:sz="0" w:space="0" w:color="auto"/>
            <w:right w:val="none" w:sz="0" w:space="0" w:color="auto"/>
          </w:divBdr>
        </w:div>
        <w:div w:id="306013230">
          <w:marLeft w:val="0"/>
          <w:marRight w:val="0"/>
          <w:marTop w:val="0"/>
          <w:marBottom w:val="0"/>
          <w:divBdr>
            <w:top w:val="none" w:sz="0" w:space="0" w:color="auto"/>
            <w:left w:val="none" w:sz="0" w:space="0" w:color="auto"/>
            <w:bottom w:val="none" w:sz="0" w:space="0" w:color="auto"/>
            <w:right w:val="none" w:sz="0" w:space="0" w:color="auto"/>
          </w:divBdr>
        </w:div>
        <w:div w:id="1700935436">
          <w:marLeft w:val="0"/>
          <w:marRight w:val="0"/>
          <w:marTop w:val="0"/>
          <w:marBottom w:val="0"/>
          <w:divBdr>
            <w:top w:val="none" w:sz="0" w:space="0" w:color="auto"/>
            <w:left w:val="none" w:sz="0" w:space="0" w:color="auto"/>
            <w:bottom w:val="none" w:sz="0" w:space="0" w:color="auto"/>
            <w:right w:val="none" w:sz="0" w:space="0" w:color="auto"/>
          </w:divBdr>
        </w:div>
        <w:div w:id="1394084960">
          <w:marLeft w:val="0"/>
          <w:marRight w:val="0"/>
          <w:marTop w:val="0"/>
          <w:marBottom w:val="0"/>
          <w:divBdr>
            <w:top w:val="none" w:sz="0" w:space="0" w:color="auto"/>
            <w:left w:val="none" w:sz="0" w:space="0" w:color="auto"/>
            <w:bottom w:val="none" w:sz="0" w:space="0" w:color="auto"/>
            <w:right w:val="none" w:sz="0" w:space="0" w:color="auto"/>
          </w:divBdr>
        </w:div>
        <w:div w:id="1112089292">
          <w:marLeft w:val="0"/>
          <w:marRight w:val="0"/>
          <w:marTop w:val="0"/>
          <w:marBottom w:val="0"/>
          <w:divBdr>
            <w:top w:val="none" w:sz="0" w:space="0" w:color="auto"/>
            <w:left w:val="none" w:sz="0" w:space="0" w:color="auto"/>
            <w:bottom w:val="none" w:sz="0" w:space="0" w:color="auto"/>
            <w:right w:val="none" w:sz="0" w:space="0" w:color="auto"/>
          </w:divBdr>
        </w:div>
        <w:div w:id="214436623">
          <w:marLeft w:val="0"/>
          <w:marRight w:val="0"/>
          <w:marTop w:val="0"/>
          <w:marBottom w:val="0"/>
          <w:divBdr>
            <w:top w:val="none" w:sz="0" w:space="0" w:color="auto"/>
            <w:left w:val="none" w:sz="0" w:space="0" w:color="auto"/>
            <w:bottom w:val="none" w:sz="0" w:space="0" w:color="auto"/>
            <w:right w:val="none" w:sz="0" w:space="0" w:color="auto"/>
          </w:divBdr>
        </w:div>
        <w:div w:id="1211960430">
          <w:marLeft w:val="0"/>
          <w:marRight w:val="0"/>
          <w:marTop w:val="0"/>
          <w:marBottom w:val="0"/>
          <w:divBdr>
            <w:top w:val="none" w:sz="0" w:space="0" w:color="auto"/>
            <w:left w:val="none" w:sz="0" w:space="0" w:color="auto"/>
            <w:bottom w:val="none" w:sz="0" w:space="0" w:color="auto"/>
            <w:right w:val="none" w:sz="0" w:space="0" w:color="auto"/>
          </w:divBdr>
        </w:div>
      </w:divsChild>
    </w:div>
    <w:div w:id="1794057741">
      <w:bodyDiv w:val="1"/>
      <w:marLeft w:val="0"/>
      <w:marRight w:val="0"/>
      <w:marTop w:val="0"/>
      <w:marBottom w:val="0"/>
      <w:divBdr>
        <w:top w:val="none" w:sz="0" w:space="0" w:color="auto"/>
        <w:left w:val="none" w:sz="0" w:space="0" w:color="auto"/>
        <w:bottom w:val="none" w:sz="0" w:space="0" w:color="auto"/>
        <w:right w:val="none" w:sz="0" w:space="0" w:color="auto"/>
      </w:divBdr>
    </w:div>
    <w:div w:id="1794250457">
      <w:bodyDiv w:val="1"/>
      <w:marLeft w:val="0"/>
      <w:marRight w:val="0"/>
      <w:marTop w:val="0"/>
      <w:marBottom w:val="0"/>
      <w:divBdr>
        <w:top w:val="none" w:sz="0" w:space="0" w:color="auto"/>
        <w:left w:val="none" w:sz="0" w:space="0" w:color="auto"/>
        <w:bottom w:val="none" w:sz="0" w:space="0" w:color="auto"/>
        <w:right w:val="none" w:sz="0" w:space="0" w:color="auto"/>
      </w:divBdr>
      <w:divsChild>
        <w:div w:id="179511300">
          <w:marLeft w:val="0"/>
          <w:marRight w:val="0"/>
          <w:marTop w:val="0"/>
          <w:marBottom w:val="0"/>
          <w:divBdr>
            <w:top w:val="none" w:sz="0" w:space="0" w:color="auto"/>
            <w:left w:val="none" w:sz="0" w:space="0" w:color="auto"/>
            <w:bottom w:val="none" w:sz="0" w:space="0" w:color="auto"/>
            <w:right w:val="none" w:sz="0" w:space="0" w:color="auto"/>
          </w:divBdr>
        </w:div>
        <w:div w:id="1297370143">
          <w:marLeft w:val="0"/>
          <w:marRight w:val="0"/>
          <w:marTop w:val="0"/>
          <w:marBottom w:val="0"/>
          <w:divBdr>
            <w:top w:val="none" w:sz="0" w:space="0" w:color="auto"/>
            <w:left w:val="none" w:sz="0" w:space="0" w:color="auto"/>
            <w:bottom w:val="none" w:sz="0" w:space="0" w:color="auto"/>
            <w:right w:val="none" w:sz="0" w:space="0" w:color="auto"/>
          </w:divBdr>
        </w:div>
      </w:divsChild>
    </w:div>
    <w:div w:id="1803229029">
      <w:bodyDiv w:val="1"/>
      <w:marLeft w:val="0"/>
      <w:marRight w:val="0"/>
      <w:marTop w:val="0"/>
      <w:marBottom w:val="0"/>
      <w:divBdr>
        <w:top w:val="none" w:sz="0" w:space="0" w:color="auto"/>
        <w:left w:val="none" w:sz="0" w:space="0" w:color="auto"/>
        <w:bottom w:val="none" w:sz="0" w:space="0" w:color="auto"/>
        <w:right w:val="none" w:sz="0" w:space="0" w:color="auto"/>
      </w:divBdr>
      <w:divsChild>
        <w:div w:id="1918439793">
          <w:marLeft w:val="0"/>
          <w:marRight w:val="0"/>
          <w:marTop w:val="0"/>
          <w:marBottom w:val="0"/>
          <w:divBdr>
            <w:top w:val="none" w:sz="0" w:space="0" w:color="auto"/>
            <w:left w:val="none" w:sz="0" w:space="0" w:color="auto"/>
            <w:bottom w:val="none" w:sz="0" w:space="0" w:color="auto"/>
            <w:right w:val="none" w:sz="0" w:space="0" w:color="auto"/>
          </w:divBdr>
        </w:div>
        <w:div w:id="465782311">
          <w:marLeft w:val="0"/>
          <w:marRight w:val="0"/>
          <w:marTop w:val="0"/>
          <w:marBottom w:val="0"/>
          <w:divBdr>
            <w:top w:val="none" w:sz="0" w:space="0" w:color="auto"/>
            <w:left w:val="none" w:sz="0" w:space="0" w:color="auto"/>
            <w:bottom w:val="none" w:sz="0" w:space="0" w:color="auto"/>
            <w:right w:val="none" w:sz="0" w:space="0" w:color="auto"/>
          </w:divBdr>
        </w:div>
      </w:divsChild>
    </w:div>
    <w:div w:id="1809122901">
      <w:bodyDiv w:val="1"/>
      <w:marLeft w:val="0"/>
      <w:marRight w:val="0"/>
      <w:marTop w:val="0"/>
      <w:marBottom w:val="0"/>
      <w:divBdr>
        <w:top w:val="none" w:sz="0" w:space="0" w:color="auto"/>
        <w:left w:val="none" w:sz="0" w:space="0" w:color="auto"/>
        <w:bottom w:val="none" w:sz="0" w:space="0" w:color="auto"/>
        <w:right w:val="none" w:sz="0" w:space="0" w:color="auto"/>
      </w:divBdr>
      <w:divsChild>
        <w:div w:id="1078944729">
          <w:marLeft w:val="0"/>
          <w:marRight w:val="0"/>
          <w:marTop w:val="0"/>
          <w:marBottom w:val="0"/>
          <w:divBdr>
            <w:top w:val="none" w:sz="0" w:space="0" w:color="auto"/>
            <w:left w:val="none" w:sz="0" w:space="0" w:color="auto"/>
            <w:bottom w:val="none" w:sz="0" w:space="0" w:color="auto"/>
            <w:right w:val="none" w:sz="0" w:space="0" w:color="auto"/>
          </w:divBdr>
        </w:div>
        <w:div w:id="685519987">
          <w:marLeft w:val="0"/>
          <w:marRight w:val="0"/>
          <w:marTop w:val="0"/>
          <w:marBottom w:val="0"/>
          <w:divBdr>
            <w:top w:val="none" w:sz="0" w:space="0" w:color="auto"/>
            <w:left w:val="none" w:sz="0" w:space="0" w:color="auto"/>
            <w:bottom w:val="none" w:sz="0" w:space="0" w:color="auto"/>
            <w:right w:val="none" w:sz="0" w:space="0" w:color="auto"/>
          </w:divBdr>
        </w:div>
        <w:div w:id="865480606">
          <w:marLeft w:val="0"/>
          <w:marRight w:val="0"/>
          <w:marTop w:val="0"/>
          <w:marBottom w:val="0"/>
          <w:divBdr>
            <w:top w:val="none" w:sz="0" w:space="0" w:color="auto"/>
            <w:left w:val="none" w:sz="0" w:space="0" w:color="auto"/>
            <w:bottom w:val="none" w:sz="0" w:space="0" w:color="auto"/>
            <w:right w:val="none" w:sz="0" w:space="0" w:color="auto"/>
          </w:divBdr>
        </w:div>
        <w:div w:id="1453787072">
          <w:marLeft w:val="0"/>
          <w:marRight w:val="0"/>
          <w:marTop w:val="0"/>
          <w:marBottom w:val="0"/>
          <w:divBdr>
            <w:top w:val="none" w:sz="0" w:space="0" w:color="auto"/>
            <w:left w:val="none" w:sz="0" w:space="0" w:color="auto"/>
            <w:bottom w:val="none" w:sz="0" w:space="0" w:color="auto"/>
            <w:right w:val="none" w:sz="0" w:space="0" w:color="auto"/>
          </w:divBdr>
        </w:div>
        <w:div w:id="1299605613">
          <w:marLeft w:val="0"/>
          <w:marRight w:val="0"/>
          <w:marTop w:val="0"/>
          <w:marBottom w:val="0"/>
          <w:divBdr>
            <w:top w:val="none" w:sz="0" w:space="0" w:color="auto"/>
            <w:left w:val="none" w:sz="0" w:space="0" w:color="auto"/>
            <w:bottom w:val="none" w:sz="0" w:space="0" w:color="auto"/>
            <w:right w:val="none" w:sz="0" w:space="0" w:color="auto"/>
          </w:divBdr>
        </w:div>
        <w:div w:id="1179463544">
          <w:marLeft w:val="0"/>
          <w:marRight w:val="0"/>
          <w:marTop w:val="0"/>
          <w:marBottom w:val="0"/>
          <w:divBdr>
            <w:top w:val="none" w:sz="0" w:space="0" w:color="auto"/>
            <w:left w:val="none" w:sz="0" w:space="0" w:color="auto"/>
            <w:bottom w:val="none" w:sz="0" w:space="0" w:color="auto"/>
            <w:right w:val="none" w:sz="0" w:space="0" w:color="auto"/>
          </w:divBdr>
        </w:div>
        <w:div w:id="926767367">
          <w:marLeft w:val="0"/>
          <w:marRight w:val="0"/>
          <w:marTop w:val="0"/>
          <w:marBottom w:val="0"/>
          <w:divBdr>
            <w:top w:val="none" w:sz="0" w:space="0" w:color="auto"/>
            <w:left w:val="none" w:sz="0" w:space="0" w:color="auto"/>
            <w:bottom w:val="none" w:sz="0" w:space="0" w:color="auto"/>
            <w:right w:val="none" w:sz="0" w:space="0" w:color="auto"/>
          </w:divBdr>
        </w:div>
        <w:div w:id="2018000292">
          <w:marLeft w:val="0"/>
          <w:marRight w:val="0"/>
          <w:marTop w:val="0"/>
          <w:marBottom w:val="0"/>
          <w:divBdr>
            <w:top w:val="none" w:sz="0" w:space="0" w:color="auto"/>
            <w:left w:val="none" w:sz="0" w:space="0" w:color="auto"/>
            <w:bottom w:val="none" w:sz="0" w:space="0" w:color="auto"/>
            <w:right w:val="none" w:sz="0" w:space="0" w:color="auto"/>
          </w:divBdr>
        </w:div>
        <w:div w:id="1526598187">
          <w:marLeft w:val="0"/>
          <w:marRight w:val="0"/>
          <w:marTop w:val="0"/>
          <w:marBottom w:val="0"/>
          <w:divBdr>
            <w:top w:val="none" w:sz="0" w:space="0" w:color="auto"/>
            <w:left w:val="none" w:sz="0" w:space="0" w:color="auto"/>
            <w:bottom w:val="none" w:sz="0" w:space="0" w:color="auto"/>
            <w:right w:val="none" w:sz="0" w:space="0" w:color="auto"/>
          </w:divBdr>
        </w:div>
        <w:div w:id="791561266">
          <w:marLeft w:val="0"/>
          <w:marRight w:val="0"/>
          <w:marTop w:val="0"/>
          <w:marBottom w:val="0"/>
          <w:divBdr>
            <w:top w:val="none" w:sz="0" w:space="0" w:color="auto"/>
            <w:left w:val="none" w:sz="0" w:space="0" w:color="auto"/>
            <w:bottom w:val="none" w:sz="0" w:space="0" w:color="auto"/>
            <w:right w:val="none" w:sz="0" w:space="0" w:color="auto"/>
          </w:divBdr>
        </w:div>
        <w:div w:id="1462310696">
          <w:marLeft w:val="0"/>
          <w:marRight w:val="0"/>
          <w:marTop w:val="0"/>
          <w:marBottom w:val="0"/>
          <w:divBdr>
            <w:top w:val="none" w:sz="0" w:space="0" w:color="auto"/>
            <w:left w:val="none" w:sz="0" w:space="0" w:color="auto"/>
            <w:bottom w:val="none" w:sz="0" w:space="0" w:color="auto"/>
            <w:right w:val="none" w:sz="0" w:space="0" w:color="auto"/>
          </w:divBdr>
        </w:div>
        <w:div w:id="1646859867">
          <w:marLeft w:val="0"/>
          <w:marRight w:val="0"/>
          <w:marTop w:val="0"/>
          <w:marBottom w:val="0"/>
          <w:divBdr>
            <w:top w:val="none" w:sz="0" w:space="0" w:color="auto"/>
            <w:left w:val="none" w:sz="0" w:space="0" w:color="auto"/>
            <w:bottom w:val="none" w:sz="0" w:space="0" w:color="auto"/>
            <w:right w:val="none" w:sz="0" w:space="0" w:color="auto"/>
          </w:divBdr>
        </w:div>
        <w:div w:id="647394398">
          <w:marLeft w:val="0"/>
          <w:marRight w:val="0"/>
          <w:marTop w:val="0"/>
          <w:marBottom w:val="0"/>
          <w:divBdr>
            <w:top w:val="none" w:sz="0" w:space="0" w:color="auto"/>
            <w:left w:val="none" w:sz="0" w:space="0" w:color="auto"/>
            <w:bottom w:val="none" w:sz="0" w:space="0" w:color="auto"/>
            <w:right w:val="none" w:sz="0" w:space="0" w:color="auto"/>
          </w:divBdr>
        </w:div>
      </w:divsChild>
    </w:div>
    <w:div w:id="1816337846">
      <w:bodyDiv w:val="1"/>
      <w:marLeft w:val="0"/>
      <w:marRight w:val="0"/>
      <w:marTop w:val="0"/>
      <w:marBottom w:val="0"/>
      <w:divBdr>
        <w:top w:val="none" w:sz="0" w:space="0" w:color="auto"/>
        <w:left w:val="none" w:sz="0" w:space="0" w:color="auto"/>
        <w:bottom w:val="none" w:sz="0" w:space="0" w:color="auto"/>
        <w:right w:val="none" w:sz="0" w:space="0" w:color="auto"/>
      </w:divBdr>
      <w:divsChild>
        <w:div w:id="280193244">
          <w:marLeft w:val="0"/>
          <w:marRight w:val="0"/>
          <w:marTop w:val="0"/>
          <w:marBottom w:val="0"/>
          <w:divBdr>
            <w:top w:val="none" w:sz="0" w:space="0" w:color="auto"/>
            <w:left w:val="none" w:sz="0" w:space="0" w:color="auto"/>
            <w:bottom w:val="none" w:sz="0" w:space="0" w:color="auto"/>
            <w:right w:val="none" w:sz="0" w:space="0" w:color="auto"/>
          </w:divBdr>
        </w:div>
        <w:div w:id="1993486343">
          <w:marLeft w:val="0"/>
          <w:marRight w:val="0"/>
          <w:marTop w:val="0"/>
          <w:marBottom w:val="0"/>
          <w:divBdr>
            <w:top w:val="none" w:sz="0" w:space="0" w:color="auto"/>
            <w:left w:val="none" w:sz="0" w:space="0" w:color="auto"/>
            <w:bottom w:val="none" w:sz="0" w:space="0" w:color="auto"/>
            <w:right w:val="none" w:sz="0" w:space="0" w:color="auto"/>
          </w:divBdr>
        </w:div>
        <w:div w:id="184711981">
          <w:marLeft w:val="0"/>
          <w:marRight w:val="0"/>
          <w:marTop w:val="0"/>
          <w:marBottom w:val="0"/>
          <w:divBdr>
            <w:top w:val="none" w:sz="0" w:space="0" w:color="auto"/>
            <w:left w:val="none" w:sz="0" w:space="0" w:color="auto"/>
            <w:bottom w:val="none" w:sz="0" w:space="0" w:color="auto"/>
            <w:right w:val="none" w:sz="0" w:space="0" w:color="auto"/>
          </w:divBdr>
        </w:div>
        <w:div w:id="689182490">
          <w:marLeft w:val="0"/>
          <w:marRight w:val="0"/>
          <w:marTop w:val="0"/>
          <w:marBottom w:val="0"/>
          <w:divBdr>
            <w:top w:val="none" w:sz="0" w:space="0" w:color="auto"/>
            <w:left w:val="none" w:sz="0" w:space="0" w:color="auto"/>
            <w:bottom w:val="none" w:sz="0" w:space="0" w:color="auto"/>
            <w:right w:val="none" w:sz="0" w:space="0" w:color="auto"/>
          </w:divBdr>
        </w:div>
        <w:div w:id="1288046344">
          <w:marLeft w:val="0"/>
          <w:marRight w:val="0"/>
          <w:marTop w:val="0"/>
          <w:marBottom w:val="0"/>
          <w:divBdr>
            <w:top w:val="none" w:sz="0" w:space="0" w:color="auto"/>
            <w:left w:val="none" w:sz="0" w:space="0" w:color="auto"/>
            <w:bottom w:val="none" w:sz="0" w:space="0" w:color="auto"/>
            <w:right w:val="none" w:sz="0" w:space="0" w:color="auto"/>
          </w:divBdr>
        </w:div>
        <w:div w:id="940453372">
          <w:marLeft w:val="0"/>
          <w:marRight w:val="0"/>
          <w:marTop w:val="0"/>
          <w:marBottom w:val="0"/>
          <w:divBdr>
            <w:top w:val="none" w:sz="0" w:space="0" w:color="auto"/>
            <w:left w:val="none" w:sz="0" w:space="0" w:color="auto"/>
            <w:bottom w:val="none" w:sz="0" w:space="0" w:color="auto"/>
            <w:right w:val="none" w:sz="0" w:space="0" w:color="auto"/>
          </w:divBdr>
        </w:div>
        <w:div w:id="787046968">
          <w:marLeft w:val="0"/>
          <w:marRight w:val="0"/>
          <w:marTop w:val="0"/>
          <w:marBottom w:val="0"/>
          <w:divBdr>
            <w:top w:val="none" w:sz="0" w:space="0" w:color="auto"/>
            <w:left w:val="none" w:sz="0" w:space="0" w:color="auto"/>
            <w:bottom w:val="none" w:sz="0" w:space="0" w:color="auto"/>
            <w:right w:val="none" w:sz="0" w:space="0" w:color="auto"/>
          </w:divBdr>
        </w:div>
        <w:div w:id="341278385">
          <w:marLeft w:val="0"/>
          <w:marRight w:val="0"/>
          <w:marTop w:val="0"/>
          <w:marBottom w:val="0"/>
          <w:divBdr>
            <w:top w:val="none" w:sz="0" w:space="0" w:color="auto"/>
            <w:left w:val="none" w:sz="0" w:space="0" w:color="auto"/>
            <w:bottom w:val="none" w:sz="0" w:space="0" w:color="auto"/>
            <w:right w:val="none" w:sz="0" w:space="0" w:color="auto"/>
          </w:divBdr>
        </w:div>
        <w:div w:id="1852599939">
          <w:marLeft w:val="0"/>
          <w:marRight w:val="0"/>
          <w:marTop w:val="0"/>
          <w:marBottom w:val="0"/>
          <w:divBdr>
            <w:top w:val="none" w:sz="0" w:space="0" w:color="auto"/>
            <w:left w:val="none" w:sz="0" w:space="0" w:color="auto"/>
            <w:bottom w:val="none" w:sz="0" w:space="0" w:color="auto"/>
            <w:right w:val="none" w:sz="0" w:space="0" w:color="auto"/>
          </w:divBdr>
        </w:div>
        <w:div w:id="1079055441">
          <w:marLeft w:val="0"/>
          <w:marRight w:val="0"/>
          <w:marTop w:val="0"/>
          <w:marBottom w:val="0"/>
          <w:divBdr>
            <w:top w:val="none" w:sz="0" w:space="0" w:color="auto"/>
            <w:left w:val="none" w:sz="0" w:space="0" w:color="auto"/>
            <w:bottom w:val="none" w:sz="0" w:space="0" w:color="auto"/>
            <w:right w:val="none" w:sz="0" w:space="0" w:color="auto"/>
          </w:divBdr>
        </w:div>
      </w:divsChild>
    </w:div>
    <w:div w:id="1820076401">
      <w:bodyDiv w:val="1"/>
      <w:marLeft w:val="0"/>
      <w:marRight w:val="0"/>
      <w:marTop w:val="0"/>
      <w:marBottom w:val="0"/>
      <w:divBdr>
        <w:top w:val="none" w:sz="0" w:space="0" w:color="auto"/>
        <w:left w:val="none" w:sz="0" w:space="0" w:color="auto"/>
        <w:bottom w:val="none" w:sz="0" w:space="0" w:color="auto"/>
        <w:right w:val="none" w:sz="0" w:space="0" w:color="auto"/>
      </w:divBdr>
      <w:divsChild>
        <w:div w:id="771972238">
          <w:marLeft w:val="0"/>
          <w:marRight w:val="0"/>
          <w:marTop w:val="0"/>
          <w:marBottom w:val="0"/>
          <w:divBdr>
            <w:top w:val="none" w:sz="0" w:space="0" w:color="auto"/>
            <w:left w:val="none" w:sz="0" w:space="0" w:color="auto"/>
            <w:bottom w:val="none" w:sz="0" w:space="0" w:color="auto"/>
            <w:right w:val="none" w:sz="0" w:space="0" w:color="auto"/>
          </w:divBdr>
        </w:div>
        <w:div w:id="1282802254">
          <w:marLeft w:val="0"/>
          <w:marRight w:val="0"/>
          <w:marTop w:val="0"/>
          <w:marBottom w:val="0"/>
          <w:divBdr>
            <w:top w:val="none" w:sz="0" w:space="0" w:color="auto"/>
            <w:left w:val="none" w:sz="0" w:space="0" w:color="auto"/>
            <w:bottom w:val="none" w:sz="0" w:space="0" w:color="auto"/>
            <w:right w:val="none" w:sz="0" w:space="0" w:color="auto"/>
          </w:divBdr>
        </w:div>
        <w:div w:id="2134902875">
          <w:marLeft w:val="0"/>
          <w:marRight w:val="0"/>
          <w:marTop w:val="0"/>
          <w:marBottom w:val="0"/>
          <w:divBdr>
            <w:top w:val="none" w:sz="0" w:space="0" w:color="auto"/>
            <w:left w:val="none" w:sz="0" w:space="0" w:color="auto"/>
            <w:bottom w:val="none" w:sz="0" w:space="0" w:color="auto"/>
            <w:right w:val="none" w:sz="0" w:space="0" w:color="auto"/>
          </w:divBdr>
        </w:div>
        <w:div w:id="465315355">
          <w:marLeft w:val="0"/>
          <w:marRight w:val="0"/>
          <w:marTop w:val="0"/>
          <w:marBottom w:val="0"/>
          <w:divBdr>
            <w:top w:val="none" w:sz="0" w:space="0" w:color="auto"/>
            <w:left w:val="none" w:sz="0" w:space="0" w:color="auto"/>
            <w:bottom w:val="none" w:sz="0" w:space="0" w:color="auto"/>
            <w:right w:val="none" w:sz="0" w:space="0" w:color="auto"/>
          </w:divBdr>
        </w:div>
        <w:div w:id="1572807815">
          <w:marLeft w:val="0"/>
          <w:marRight w:val="0"/>
          <w:marTop w:val="0"/>
          <w:marBottom w:val="0"/>
          <w:divBdr>
            <w:top w:val="none" w:sz="0" w:space="0" w:color="auto"/>
            <w:left w:val="none" w:sz="0" w:space="0" w:color="auto"/>
            <w:bottom w:val="none" w:sz="0" w:space="0" w:color="auto"/>
            <w:right w:val="none" w:sz="0" w:space="0" w:color="auto"/>
          </w:divBdr>
        </w:div>
        <w:div w:id="1675917992">
          <w:marLeft w:val="0"/>
          <w:marRight w:val="0"/>
          <w:marTop w:val="0"/>
          <w:marBottom w:val="0"/>
          <w:divBdr>
            <w:top w:val="none" w:sz="0" w:space="0" w:color="auto"/>
            <w:left w:val="none" w:sz="0" w:space="0" w:color="auto"/>
            <w:bottom w:val="none" w:sz="0" w:space="0" w:color="auto"/>
            <w:right w:val="none" w:sz="0" w:space="0" w:color="auto"/>
          </w:divBdr>
        </w:div>
        <w:div w:id="736167860">
          <w:marLeft w:val="0"/>
          <w:marRight w:val="0"/>
          <w:marTop w:val="0"/>
          <w:marBottom w:val="0"/>
          <w:divBdr>
            <w:top w:val="none" w:sz="0" w:space="0" w:color="auto"/>
            <w:left w:val="none" w:sz="0" w:space="0" w:color="auto"/>
            <w:bottom w:val="none" w:sz="0" w:space="0" w:color="auto"/>
            <w:right w:val="none" w:sz="0" w:space="0" w:color="auto"/>
          </w:divBdr>
        </w:div>
        <w:div w:id="200944126">
          <w:marLeft w:val="0"/>
          <w:marRight w:val="0"/>
          <w:marTop w:val="0"/>
          <w:marBottom w:val="0"/>
          <w:divBdr>
            <w:top w:val="none" w:sz="0" w:space="0" w:color="auto"/>
            <w:left w:val="none" w:sz="0" w:space="0" w:color="auto"/>
            <w:bottom w:val="none" w:sz="0" w:space="0" w:color="auto"/>
            <w:right w:val="none" w:sz="0" w:space="0" w:color="auto"/>
          </w:divBdr>
        </w:div>
        <w:div w:id="108017019">
          <w:marLeft w:val="0"/>
          <w:marRight w:val="0"/>
          <w:marTop w:val="0"/>
          <w:marBottom w:val="0"/>
          <w:divBdr>
            <w:top w:val="none" w:sz="0" w:space="0" w:color="auto"/>
            <w:left w:val="none" w:sz="0" w:space="0" w:color="auto"/>
            <w:bottom w:val="none" w:sz="0" w:space="0" w:color="auto"/>
            <w:right w:val="none" w:sz="0" w:space="0" w:color="auto"/>
          </w:divBdr>
        </w:div>
        <w:div w:id="1172649411">
          <w:marLeft w:val="0"/>
          <w:marRight w:val="0"/>
          <w:marTop w:val="0"/>
          <w:marBottom w:val="0"/>
          <w:divBdr>
            <w:top w:val="none" w:sz="0" w:space="0" w:color="auto"/>
            <w:left w:val="none" w:sz="0" w:space="0" w:color="auto"/>
            <w:bottom w:val="none" w:sz="0" w:space="0" w:color="auto"/>
            <w:right w:val="none" w:sz="0" w:space="0" w:color="auto"/>
          </w:divBdr>
        </w:div>
        <w:div w:id="159471952">
          <w:marLeft w:val="0"/>
          <w:marRight w:val="0"/>
          <w:marTop w:val="0"/>
          <w:marBottom w:val="0"/>
          <w:divBdr>
            <w:top w:val="none" w:sz="0" w:space="0" w:color="auto"/>
            <w:left w:val="none" w:sz="0" w:space="0" w:color="auto"/>
            <w:bottom w:val="none" w:sz="0" w:space="0" w:color="auto"/>
            <w:right w:val="none" w:sz="0" w:space="0" w:color="auto"/>
          </w:divBdr>
        </w:div>
        <w:div w:id="1912039427">
          <w:marLeft w:val="0"/>
          <w:marRight w:val="0"/>
          <w:marTop w:val="0"/>
          <w:marBottom w:val="0"/>
          <w:divBdr>
            <w:top w:val="none" w:sz="0" w:space="0" w:color="auto"/>
            <w:left w:val="none" w:sz="0" w:space="0" w:color="auto"/>
            <w:bottom w:val="none" w:sz="0" w:space="0" w:color="auto"/>
            <w:right w:val="none" w:sz="0" w:space="0" w:color="auto"/>
          </w:divBdr>
        </w:div>
        <w:div w:id="1343362991">
          <w:marLeft w:val="0"/>
          <w:marRight w:val="0"/>
          <w:marTop w:val="0"/>
          <w:marBottom w:val="0"/>
          <w:divBdr>
            <w:top w:val="none" w:sz="0" w:space="0" w:color="auto"/>
            <w:left w:val="none" w:sz="0" w:space="0" w:color="auto"/>
            <w:bottom w:val="none" w:sz="0" w:space="0" w:color="auto"/>
            <w:right w:val="none" w:sz="0" w:space="0" w:color="auto"/>
          </w:divBdr>
        </w:div>
        <w:div w:id="442456706">
          <w:marLeft w:val="0"/>
          <w:marRight w:val="0"/>
          <w:marTop w:val="0"/>
          <w:marBottom w:val="0"/>
          <w:divBdr>
            <w:top w:val="none" w:sz="0" w:space="0" w:color="auto"/>
            <w:left w:val="none" w:sz="0" w:space="0" w:color="auto"/>
            <w:bottom w:val="none" w:sz="0" w:space="0" w:color="auto"/>
            <w:right w:val="none" w:sz="0" w:space="0" w:color="auto"/>
          </w:divBdr>
        </w:div>
        <w:div w:id="1206792830">
          <w:marLeft w:val="0"/>
          <w:marRight w:val="0"/>
          <w:marTop w:val="0"/>
          <w:marBottom w:val="0"/>
          <w:divBdr>
            <w:top w:val="none" w:sz="0" w:space="0" w:color="auto"/>
            <w:left w:val="none" w:sz="0" w:space="0" w:color="auto"/>
            <w:bottom w:val="none" w:sz="0" w:space="0" w:color="auto"/>
            <w:right w:val="none" w:sz="0" w:space="0" w:color="auto"/>
          </w:divBdr>
        </w:div>
        <w:div w:id="295913663">
          <w:marLeft w:val="0"/>
          <w:marRight w:val="0"/>
          <w:marTop w:val="0"/>
          <w:marBottom w:val="0"/>
          <w:divBdr>
            <w:top w:val="none" w:sz="0" w:space="0" w:color="auto"/>
            <w:left w:val="none" w:sz="0" w:space="0" w:color="auto"/>
            <w:bottom w:val="none" w:sz="0" w:space="0" w:color="auto"/>
            <w:right w:val="none" w:sz="0" w:space="0" w:color="auto"/>
          </w:divBdr>
        </w:div>
        <w:div w:id="1673990152">
          <w:marLeft w:val="0"/>
          <w:marRight w:val="0"/>
          <w:marTop w:val="0"/>
          <w:marBottom w:val="0"/>
          <w:divBdr>
            <w:top w:val="none" w:sz="0" w:space="0" w:color="auto"/>
            <w:left w:val="none" w:sz="0" w:space="0" w:color="auto"/>
            <w:bottom w:val="none" w:sz="0" w:space="0" w:color="auto"/>
            <w:right w:val="none" w:sz="0" w:space="0" w:color="auto"/>
          </w:divBdr>
        </w:div>
        <w:div w:id="425931413">
          <w:marLeft w:val="0"/>
          <w:marRight w:val="0"/>
          <w:marTop w:val="0"/>
          <w:marBottom w:val="0"/>
          <w:divBdr>
            <w:top w:val="none" w:sz="0" w:space="0" w:color="auto"/>
            <w:left w:val="none" w:sz="0" w:space="0" w:color="auto"/>
            <w:bottom w:val="none" w:sz="0" w:space="0" w:color="auto"/>
            <w:right w:val="none" w:sz="0" w:space="0" w:color="auto"/>
          </w:divBdr>
        </w:div>
        <w:div w:id="436826764">
          <w:marLeft w:val="0"/>
          <w:marRight w:val="0"/>
          <w:marTop w:val="0"/>
          <w:marBottom w:val="0"/>
          <w:divBdr>
            <w:top w:val="none" w:sz="0" w:space="0" w:color="auto"/>
            <w:left w:val="none" w:sz="0" w:space="0" w:color="auto"/>
            <w:bottom w:val="none" w:sz="0" w:space="0" w:color="auto"/>
            <w:right w:val="none" w:sz="0" w:space="0" w:color="auto"/>
          </w:divBdr>
        </w:div>
        <w:div w:id="525994261">
          <w:marLeft w:val="0"/>
          <w:marRight w:val="0"/>
          <w:marTop w:val="0"/>
          <w:marBottom w:val="0"/>
          <w:divBdr>
            <w:top w:val="none" w:sz="0" w:space="0" w:color="auto"/>
            <w:left w:val="none" w:sz="0" w:space="0" w:color="auto"/>
            <w:bottom w:val="none" w:sz="0" w:space="0" w:color="auto"/>
            <w:right w:val="none" w:sz="0" w:space="0" w:color="auto"/>
          </w:divBdr>
        </w:div>
        <w:div w:id="1915897264">
          <w:marLeft w:val="0"/>
          <w:marRight w:val="0"/>
          <w:marTop w:val="0"/>
          <w:marBottom w:val="0"/>
          <w:divBdr>
            <w:top w:val="none" w:sz="0" w:space="0" w:color="auto"/>
            <w:left w:val="none" w:sz="0" w:space="0" w:color="auto"/>
            <w:bottom w:val="none" w:sz="0" w:space="0" w:color="auto"/>
            <w:right w:val="none" w:sz="0" w:space="0" w:color="auto"/>
          </w:divBdr>
        </w:div>
        <w:div w:id="530463273">
          <w:marLeft w:val="0"/>
          <w:marRight w:val="0"/>
          <w:marTop w:val="0"/>
          <w:marBottom w:val="0"/>
          <w:divBdr>
            <w:top w:val="none" w:sz="0" w:space="0" w:color="auto"/>
            <w:left w:val="none" w:sz="0" w:space="0" w:color="auto"/>
            <w:bottom w:val="none" w:sz="0" w:space="0" w:color="auto"/>
            <w:right w:val="none" w:sz="0" w:space="0" w:color="auto"/>
          </w:divBdr>
        </w:div>
        <w:div w:id="1139802826">
          <w:marLeft w:val="0"/>
          <w:marRight w:val="0"/>
          <w:marTop w:val="0"/>
          <w:marBottom w:val="0"/>
          <w:divBdr>
            <w:top w:val="none" w:sz="0" w:space="0" w:color="auto"/>
            <w:left w:val="none" w:sz="0" w:space="0" w:color="auto"/>
            <w:bottom w:val="none" w:sz="0" w:space="0" w:color="auto"/>
            <w:right w:val="none" w:sz="0" w:space="0" w:color="auto"/>
          </w:divBdr>
        </w:div>
        <w:div w:id="367876916">
          <w:marLeft w:val="0"/>
          <w:marRight w:val="0"/>
          <w:marTop w:val="0"/>
          <w:marBottom w:val="0"/>
          <w:divBdr>
            <w:top w:val="none" w:sz="0" w:space="0" w:color="auto"/>
            <w:left w:val="none" w:sz="0" w:space="0" w:color="auto"/>
            <w:bottom w:val="none" w:sz="0" w:space="0" w:color="auto"/>
            <w:right w:val="none" w:sz="0" w:space="0" w:color="auto"/>
          </w:divBdr>
        </w:div>
        <w:div w:id="1926062391">
          <w:marLeft w:val="0"/>
          <w:marRight w:val="0"/>
          <w:marTop w:val="0"/>
          <w:marBottom w:val="0"/>
          <w:divBdr>
            <w:top w:val="none" w:sz="0" w:space="0" w:color="auto"/>
            <w:left w:val="none" w:sz="0" w:space="0" w:color="auto"/>
            <w:bottom w:val="none" w:sz="0" w:space="0" w:color="auto"/>
            <w:right w:val="none" w:sz="0" w:space="0" w:color="auto"/>
          </w:divBdr>
        </w:div>
        <w:div w:id="355156017">
          <w:marLeft w:val="0"/>
          <w:marRight w:val="0"/>
          <w:marTop w:val="0"/>
          <w:marBottom w:val="0"/>
          <w:divBdr>
            <w:top w:val="none" w:sz="0" w:space="0" w:color="auto"/>
            <w:left w:val="none" w:sz="0" w:space="0" w:color="auto"/>
            <w:bottom w:val="none" w:sz="0" w:space="0" w:color="auto"/>
            <w:right w:val="none" w:sz="0" w:space="0" w:color="auto"/>
          </w:divBdr>
        </w:div>
        <w:div w:id="836772649">
          <w:marLeft w:val="0"/>
          <w:marRight w:val="0"/>
          <w:marTop w:val="0"/>
          <w:marBottom w:val="0"/>
          <w:divBdr>
            <w:top w:val="none" w:sz="0" w:space="0" w:color="auto"/>
            <w:left w:val="none" w:sz="0" w:space="0" w:color="auto"/>
            <w:bottom w:val="none" w:sz="0" w:space="0" w:color="auto"/>
            <w:right w:val="none" w:sz="0" w:space="0" w:color="auto"/>
          </w:divBdr>
        </w:div>
        <w:div w:id="1824352641">
          <w:marLeft w:val="0"/>
          <w:marRight w:val="0"/>
          <w:marTop w:val="0"/>
          <w:marBottom w:val="0"/>
          <w:divBdr>
            <w:top w:val="none" w:sz="0" w:space="0" w:color="auto"/>
            <w:left w:val="none" w:sz="0" w:space="0" w:color="auto"/>
            <w:bottom w:val="none" w:sz="0" w:space="0" w:color="auto"/>
            <w:right w:val="none" w:sz="0" w:space="0" w:color="auto"/>
          </w:divBdr>
        </w:div>
        <w:div w:id="362823388">
          <w:marLeft w:val="0"/>
          <w:marRight w:val="0"/>
          <w:marTop w:val="0"/>
          <w:marBottom w:val="0"/>
          <w:divBdr>
            <w:top w:val="none" w:sz="0" w:space="0" w:color="auto"/>
            <w:left w:val="none" w:sz="0" w:space="0" w:color="auto"/>
            <w:bottom w:val="none" w:sz="0" w:space="0" w:color="auto"/>
            <w:right w:val="none" w:sz="0" w:space="0" w:color="auto"/>
          </w:divBdr>
        </w:div>
        <w:div w:id="477504433">
          <w:marLeft w:val="0"/>
          <w:marRight w:val="0"/>
          <w:marTop w:val="0"/>
          <w:marBottom w:val="0"/>
          <w:divBdr>
            <w:top w:val="none" w:sz="0" w:space="0" w:color="auto"/>
            <w:left w:val="none" w:sz="0" w:space="0" w:color="auto"/>
            <w:bottom w:val="none" w:sz="0" w:space="0" w:color="auto"/>
            <w:right w:val="none" w:sz="0" w:space="0" w:color="auto"/>
          </w:divBdr>
        </w:div>
        <w:div w:id="1475634457">
          <w:marLeft w:val="0"/>
          <w:marRight w:val="0"/>
          <w:marTop w:val="0"/>
          <w:marBottom w:val="0"/>
          <w:divBdr>
            <w:top w:val="none" w:sz="0" w:space="0" w:color="auto"/>
            <w:left w:val="none" w:sz="0" w:space="0" w:color="auto"/>
            <w:bottom w:val="none" w:sz="0" w:space="0" w:color="auto"/>
            <w:right w:val="none" w:sz="0" w:space="0" w:color="auto"/>
          </w:divBdr>
        </w:div>
        <w:div w:id="55713783">
          <w:marLeft w:val="0"/>
          <w:marRight w:val="0"/>
          <w:marTop w:val="0"/>
          <w:marBottom w:val="0"/>
          <w:divBdr>
            <w:top w:val="none" w:sz="0" w:space="0" w:color="auto"/>
            <w:left w:val="none" w:sz="0" w:space="0" w:color="auto"/>
            <w:bottom w:val="none" w:sz="0" w:space="0" w:color="auto"/>
            <w:right w:val="none" w:sz="0" w:space="0" w:color="auto"/>
          </w:divBdr>
        </w:div>
        <w:div w:id="1787308096">
          <w:marLeft w:val="0"/>
          <w:marRight w:val="0"/>
          <w:marTop w:val="0"/>
          <w:marBottom w:val="0"/>
          <w:divBdr>
            <w:top w:val="none" w:sz="0" w:space="0" w:color="auto"/>
            <w:left w:val="none" w:sz="0" w:space="0" w:color="auto"/>
            <w:bottom w:val="none" w:sz="0" w:space="0" w:color="auto"/>
            <w:right w:val="none" w:sz="0" w:space="0" w:color="auto"/>
          </w:divBdr>
        </w:div>
        <w:div w:id="716128874">
          <w:marLeft w:val="0"/>
          <w:marRight w:val="0"/>
          <w:marTop w:val="0"/>
          <w:marBottom w:val="0"/>
          <w:divBdr>
            <w:top w:val="none" w:sz="0" w:space="0" w:color="auto"/>
            <w:left w:val="none" w:sz="0" w:space="0" w:color="auto"/>
            <w:bottom w:val="none" w:sz="0" w:space="0" w:color="auto"/>
            <w:right w:val="none" w:sz="0" w:space="0" w:color="auto"/>
          </w:divBdr>
        </w:div>
        <w:div w:id="2036073626">
          <w:marLeft w:val="0"/>
          <w:marRight w:val="0"/>
          <w:marTop w:val="0"/>
          <w:marBottom w:val="0"/>
          <w:divBdr>
            <w:top w:val="none" w:sz="0" w:space="0" w:color="auto"/>
            <w:left w:val="none" w:sz="0" w:space="0" w:color="auto"/>
            <w:bottom w:val="none" w:sz="0" w:space="0" w:color="auto"/>
            <w:right w:val="none" w:sz="0" w:space="0" w:color="auto"/>
          </w:divBdr>
        </w:div>
        <w:div w:id="338504066">
          <w:marLeft w:val="0"/>
          <w:marRight w:val="0"/>
          <w:marTop w:val="0"/>
          <w:marBottom w:val="0"/>
          <w:divBdr>
            <w:top w:val="none" w:sz="0" w:space="0" w:color="auto"/>
            <w:left w:val="none" w:sz="0" w:space="0" w:color="auto"/>
            <w:bottom w:val="none" w:sz="0" w:space="0" w:color="auto"/>
            <w:right w:val="none" w:sz="0" w:space="0" w:color="auto"/>
          </w:divBdr>
        </w:div>
        <w:div w:id="1903636692">
          <w:marLeft w:val="0"/>
          <w:marRight w:val="0"/>
          <w:marTop w:val="0"/>
          <w:marBottom w:val="0"/>
          <w:divBdr>
            <w:top w:val="none" w:sz="0" w:space="0" w:color="auto"/>
            <w:left w:val="none" w:sz="0" w:space="0" w:color="auto"/>
            <w:bottom w:val="none" w:sz="0" w:space="0" w:color="auto"/>
            <w:right w:val="none" w:sz="0" w:space="0" w:color="auto"/>
          </w:divBdr>
        </w:div>
        <w:div w:id="1339383899">
          <w:marLeft w:val="0"/>
          <w:marRight w:val="0"/>
          <w:marTop w:val="0"/>
          <w:marBottom w:val="0"/>
          <w:divBdr>
            <w:top w:val="none" w:sz="0" w:space="0" w:color="auto"/>
            <w:left w:val="none" w:sz="0" w:space="0" w:color="auto"/>
            <w:bottom w:val="none" w:sz="0" w:space="0" w:color="auto"/>
            <w:right w:val="none" w:sz="0" w:space="0" w:color="auto"/>
          </w:divBdr>
        </w:div>
        <w:div w:id="454519060">
          <w:marLeft w:val="0"/>
          <w:marRight w:val="0"/>
          <w:marTop w:val="0"/>
          <w:marBottom w:val="0"/>
          <w:divBdr>
            <w:top w:val="none" w:sz="0" w:space="0" w:color="auto"/>
            <w:left w:val="none" w:sz="0" w:space="0" w:color="auto"/>
            <w:bottom w:val="none" w:sz="0" w:space="0" w:color="auto"/>
            <w:right w:val="none" w:sz="0" w:space="0" w:color="auto"/>
          </w:divBdr>
        </w:div>
        <w:div w:id="1375697136">
          <w:marLeft w:val="0"/>
          <w:marRight w:val="0"/>
          <w:marTop w:val="0"/>
          <w:marBottom w:val="0"/>
          <w:divBdr>
            <w:top w:val="none" w:sz="0" w:space="0" w:color="auto"/>
            <w:left w:val="none" w:sz="0" w:space="0" w:color="auto"/>
            <w:bottom w:val="none" w:sz="0" w:space="0" w:color="auto"/>
            <w:right w:val="none" w:sz="0" w:space="0" w:color="auto"/>
          </w:divBdr>
        </w:div>
        <w:div w:id="890458142">
          <w:marLeft w:val="0"/>
          <w:marRight w:val="0"/>
          <w:marTop w:val="0"/>
          <w:marBottom w:val="0"/>
          <w:divBdr>
            <w:top w:val="none" w:sz="0" w:space="0" w:color="auto"/>
            <w:left w:val="none" w:sz="0" w:space="0" w:color="auto"/>
            <w:bottom w:val="none" w:sz="0" w:space="0" w:color="auto"/>
            <w:right w:val="none" w:sz="0" w:space="0" w:color="auto"/>
          </w:divBdr>
        </w:div>
        <w:div w:id="851799278">
          <w:marLeft w:val="0"/>
          <w:marRight w:val="0"/>
          <w:marTop w:val="0"/>
          <w:marBottom w:val="0"/>
          <w:divBdr>
            <w:top w:val="none" w:sz="0" w:space="0" w:color="auto"/>
            <w:left w:val="none" w:sz="0" w:space="0" w:color="auto"/>
            <w:bottom w:val="none" w:sz="0" w:space="0" w:color="auto"/>
            <w:right w:val="none" w:sz="0" w:space="0" w:color="auto"/>
          </w:divBdr>
        </w:div>
        <w:div w:id="441531919">
          <w:marLeft w:val="0"/>
          <w:marRight w:val="0"/>
          <w:marTop w:val="0"/>
          <w:marBottom w:val="0"/>
          <w:divBdr>
            <w:top w:val="none" w:sz="0" w:space="0" w:color="auto"/>
            <w:left w:val="none" w:sz="0" w:space="0" w:color="auto"/>
            <w:bottom w:val="none" w:sz="0" w:space="0" w:color="auto"/>
            <w:right w:val="none" w:sz="0" w:space="0" w:color="auto"/>
          </w:divBdr>
        </w:div>
        <w:div w:id="1333921365">
          <w:marLeft w:val="0"/>
          <w:marRight w:val="0"/>
          <w:marTop w:val="0"/>
          <w:marBottom w:val="0"/>
          <w:divBdr>
            <w:top w:val="none" w:sz="0" w:space="0" w:color="auto"/>
            <w:left w:val="none" w:sz="0" w:space="0" w:color="auto"/>
            <w:bottom w:val="none" w:sz="0" w:space="0" w:color="auto"/>
            <w:right w:val="none" w:sz="0" w:space="0" w:color="auto"/>
          </w:divBdr>
        </w:div>
        <w:div w:id="1648821592">
          <w:marLeft w:val="0"/>
          <w:marRight w:val="0"/>
          <w:marTop w:val="0"/>
          <w:marBottom w:val="0"/>
          <w:divBdr>
            <w:top w:val="none" w:sz="0" w:space="0" w:color="auto"/>
            <w:left w:val="none" w:sz="0" w:space="0" w:color="auto"/>
            <w:bottom w:val="none" w:sz="0" w:space="0" w:color="auto"/>
            <w:right w:val="none" w:sz="0" w:space="0" w:color="auto"/>
          </w:divBdr>
        </w:div>
        <w:div w:id="241646289">
          <w:marLeft w:val="0"/>
          <w:marRight w:val="0"/>
          <w:marTop w:val="0"/>
          <w:marBottom w:val="0"/>
          <w:divBdr>
            <w:top w:val="none" w:sz="0" w:space="0" w:color="auto"/>
            <w:left w:val="none" w:sz="0" w:space="0" w:color="auto"/>
            <w:bottom w:val="none" w:sz="0" w:space="0" w:color="auto"/>
            <w:right w:val="none" w:sz="0" w:space="0" w:color="auto"/>
          </w:divBdr>
        </w:div>
        <w:div w:id="2047949869">
          <w:marLeft w:val="0"/>
          <w:marRight w:val="0"/>
          <w:marTop w:val="0"/>
          <w:marBottom w:val="0"/>
          <w:divBdr>
            <w:top w:val="none" w:sz="0" w:space="0" w:color="auto"/>
            <w:left w:val="none" w:sz="0" w:space="0" w:color="auto"/>
            <w:bottom w:val="none" w:sz="0" w:space="0" w:color="auto"/>
            <w:right w:val="none" w:sz="0" w:space="0" w:color="auto"/>
          </w:divBdr>
        </w:div>
        <w:div w:id="339048624">
          <w:marLeft w:val="0"/>
          <w:marRight w:val="0"/>
          <w:marTop w:val="0"/>
          <w:marBottom w:val="0"/>
          <w:divBdr>
            <w:top w:val="none" w:sz="0" w:space="0" w:color="auto"/>
            <w:left w:val="none" w:sz="0" w:space="0" w:color="auto"/>
            <w:bottom w:val="none" w:sz="0" w:space="0" w:color="auto"/>
            <w:right w:val="none" w:sz="0" w:space="0" w:color="auto"/>
          </w:divBdr>
        </w:div>
        <w:div w:id="898596227">
          <w:marLeft w:val="0"/>
          <w:marRight w:val="0"/>
          <w:marTop w:val="0"/>
          <w:marBottom w:val="0"/>
          <w:divBdr>
            <w:top w:val="none" w:sz="0" w:space="0" w:color="auto"/>
            <w:left w:val="none" w:sz="0" w:space="0" w:color="auto"/>
            <w:bottom w:val="none" w:sz="0" w:space="0" w:color="auto"/>
            <w:right w:val="none" w:sz="0" w:space="0" w:color="auto"/>
          </w:divBdr>
        </w:div>
        <w:div w:id="623124119">
          <w:marLeft w:val="0"/>
          <w:marRight w:val="0"/>
          <w:marTop w:val="0"/>
          <w:marBottom w:val="0"/>
          <w:divBdr>
            <w:top w:val="none" w:sz="0" w:space="0" w:color="auto"/>
            <w:left w:val="none" w:sz="0" w:space="0" w:color="auto"/>
            <w:bottom w:val="none" w:sz="0" w:space="0" w:color="auto"/>
            <w:right w:val="none" w:sz="0" w:space="0" w:color="auto"/>
          </w:divBdr>
        </w:div>
        <w:div w:id="163399795">
          <w:marLeft w:val="0"/>
          <w:marRight w:val="0"/>
          <w:marTop w:val="0"/>
          <w:marBottom w:val="0"/>
          <w:divBdr>
            <w:top w:val="none" w:sz="0" w:space="0" w:color="auto"/>
            <w:left w:val="none" w:sz="0" w:space="0" w:color="auto"/>
            <w:bottom w:val="none" w:sz="0" w:space="0" w:color="auto"/>
            <w:right w:val="none" w:sz="0" w:space="0" w:color="auto"/>
          </w:divBdr>
        </w:div>
        <w:div w:id="2123182270">
          <w:marLeft w:val="0"/>
          <w:marRight w:val="0"/>
          <w:marTop w:val="0"/>
          <w:marBottom w:val="0"/>
          <w:divBdr>
            <w:top w:val="none" w:sz="0" w:space="0" w:color="auto"/>
            <w:left w:val="none" w:sz="0" w:space="0" w:color="auto"/>
            <w:bottom w:val="none" w:sz="0" w:space="0" w:color="auto"/>
            <w:right w:val="none" w:sz="0" w:space="0" w:color="auto"/>
          </w:divBdr>
        </w:div>
        <w:div w:id="1857233607">
          <w:marLeft w:val="0"/>
          <w:marRight w:val="0"/>
          <w:marTop w:val="0"/>
          <w:marBottom w:val="0"/>
          <w:divBdr>
            <w:top w:val="none" w:sz="0" w:space="0" w:color="auto"/>
            <w:left w:val="none" w:sz="0" w:space="0" w:color="auto"/>
            <w:bottom w:val="none" w:sz="0" w:space="0" w:color="auto"/>
            <w:right w:val="none" w:sz="0" w:space="0" w:color="auto"/>
          </w:divBdr>
        </w:div>
        <w:div w:id="835463777">
          <w:marLeft w:val="0"/>
          <w:marRight w:val="0"/>
          <w:marTop w:val="0"/>
          <w:marBottom w:val="0"/>
          <w:divBdr>
            <w:top w:val="none" w:sz="0" w:space="0" w:color="auto"/>
            <w:left w:val="none" w:sz="0" w:space="0" w:color="auto"/>
            <w:bottom w:val="none" w:sz="0" w:space="0" w:color="auto"/>
            <w:right w:val="none" w:sz="0" w:space="0" w:color="auto"/>
          </w:divBdr>
        </w:div>
        <w:div w:id="1415973111">
          <w:marLeft w:val="0"/>
          <w:marRight w:val="0"/>
          <w:marTop w:val="0"/>
          <w:marBottom w:val="0"/>
          <w:divBdr>
            <w:top w:val="none" w:sz="0" w:space="0" w:color="auto"/>
            <w:left w:val="none" w:sz="0" w:space="0" w:color="auto"/>
            <w:bottom w:val="none" w:sz="0" w:space="0" w:color="auto"/>
            <w:right w:val="none" w:sz="0" w:space="0" w:color="auto"/>
          </w:divBdr>
        </w:div>
        <w:div w:id="1902788444">
          <w:marLeft w:val="0"/>
          <w:marRight w:val="0"/>
          <w:marTop w:val="0"/>
          <w:marBottom w:val="0"/>
          <w:divBdr>
            <w:top w:val="none" w:sz="0" w:space="0" w:color="auto"/>
            <w:left w:val="none" w:sz="0" w:space="0" w:color="auto"/>
            <w:bottom w:val="none" w:sz="0" w:space="0" w:color="auto"/>
            <w:right w:val="none" w:sz="0" w:space="0" w:color="auto"/>
          </w:divBdr>
        </w:div>
        <w:div w:id="1476873778">
          <w:marLeft w:val="0"/>
          <w:marRight w:val="0"/>
          <w:marTop w:val="0"/>
          <w:marBottom w:val="0"/>
          <w:divBdr>
            <w:top w:val="none" w:sz="0" w:space="0" w:color="auto"/>
            <w:left w:val="none" w:sz="0" w:space="0" w:color="auto"/>
            <w:bottom w:val="none" w:sz="0" w:space="0" w:color="auto"/>
            <w:right w:val="none" w:sz="0" w:space="0" w:color="auto"/>
          </w:divBdr>
        </w:div>
        <w:div w:id="2025472027">
          <w:marLeft w:val="0"/>
          <w:marRight w:val="0"/>
          <w:marTop w:val="0"/>
          <w:marBottom w:val="0"/>
          <w:divBdr>
            <w:top w:val="none" w:sz="0" w:space="0" w:color="auto"/>
            <w:left w:val="none" w:sz="0" w:space="0" w:color="auto"/>
            <w:bottom w:val="none" w:sz="0" w:space="0" w:color="auto"/>
            <w:right w:val="none" w:sz="0" w:space="0" w:color="auto"/>
          </w:divBdr>
        </w:div>
        <w:div w:id="1737195433">
          <w:marLeft w:val="0"/>
          <w:marRight w:val="0"/>
          <w:marTop w:val="0"/>
          <w:marBottom w:val="0"/>
          <w:divBdr>
            <w:top w:val="none" w:sz="0" w:space="0" w:color="auto"/>
            <w:left w:val="none" w:sz="0" w:space="0" w:color="auto"/>
            <w:bottom w:val="none" w:sz="0" w:space="0" w:color="auto"/>
            <w:right w:val="none" w:sz="0" w:space="0" w:color="auto"/>
          </w:divBdr>
        </w:div>
        <w:div w:id="867913439">
          <w:marLeft w:val="0"/>
          <w:marRight w:val="0"/>
          <w:marTop w:val="0"/>
          <w:marBottom w:val="0"/>
          <w:divBdr>
            <w:top w:val="none" w:sz="0" w:space="0" w:color="auto"/>
            <w:left w:val="none" w:sz="0" w:space="0" w:color="auto"/>
            <w:bottom w:val="none" w:sz="0" w:space="0" w:color="auto"/>
            <w:right w:val="none" w:sz="0" w:space="0" w:color="auto"/>
          </w:divBdr>
        </w:div>
        <w:div w:id="1900169828">
          <w:marLeft w:val="0"/>
          <w:marRight w:val="0"/>
          <w:marTop w:val="0"/>
          <w:marBottom w:val="0"/>
          <w:divBdr>
            <w:top w:val="none" w:sz="0" w:space="0" w:color="auto"/>
            <w:left w:val="none" w:sz="0" w:space="0" w:color="auto"/>
            <w:bottom w:val="none" w:sz="0" w:space="0" w:color="auto"/>
            <w:right w:val="none" w:sz="0" w:space="0" w:color="auto"/>
          </w:divBdr>
        </w:div>
        <w:div w:id="166598673">
          <w:marLeft w:val="0"/>
          <w:marRight w:val="0"/>
          <w:marTop w:val="0"/>
          <w:marBottom w:val="0"/>
          <w:divBdr>
            <w:top w:val="none" w:sz="0" w:space="0" w:color="auto"/>
            <w:left w:val="none" w:sz="0" w:space="0" w:color="auto"/>
            <w:bottom w:val="none" w:sz="0" w:space="0" w:color="auto"/>
            <w:right w:val="none" w:sz="0" w:space="0" w:color="auto"/>
          </w:divBdr>
        </w:div>
        <w:div w:id="1250625979">
          <w:marLeft w:val="0"/>
          <w:marRight w:val="0"/>
          <w:marTop w:val="0"/>
          <w:marBottom w:val="0"/>
          <w:divBdr>
            <w:top w:val="none" w:sz="0" w:space="0" w:color="auto"/>
            <w:left w:val="none" w:sz="0" w:space="0" w:color="auto"/>
            <w:bottom w:val="none" w:sz="0" w:space="0" w:color="auto"/>
            <w:right w:val="none" w:sz="0" w:space="0" w:color="auto"/>
          </w:divBdr>
        </w:div>
        <w:div w:id="1376544483">
          <w:marLeft w:val="0"/>
          <w:marRight w:val="0"/>
          <w:marTop w:val="0"/>
          <w:marBottom w:val="0"/>
          <w:divBdr>
            <w:top w:val="none" w:sz="0" w:space="0" w:color="auto"/>
            <w:left w:val="none" w:sz="0" w:space="0" w:color="auto"/>
            <w:bottom w:val="none" w:sz="0" w:space="0" w:color="auto"/>
            <w:right w:val="none" w:sz="0" w:space="0" w:color="auto"/>
          </w:divBdr>
        </w:div>
        <w:div w:id="1205678456">
          <w:marLeft w:val="0"/>
          <w:marRight w:val="0"/>
          <w:marTop w:val="0"/>
          <w:marBottom w:val="0"/>
          <w:divBdr>
            <w:top w:val="none" w:sz="0" w:space="0" w:color="auto"/>
            <w:left w:val="none" w:sz="0" w:space="0" w:color="auto"/>
            <w:bottom w:val="none" w:sz="0" w:space="0" w:color="auto"/>
            <w:right w:val="none" w:sz="0" w:space="0" w:color="auto"/>
          </w:divBdr>
        </w:div>
        <w:div w:id="1346051526">
          <w:marLeft w:val="0"/>
          <w:marRight w:val="0"/>
          <w:marTop w:val="0"/>
          <w:marBottom w:val="0"/>
          <w:divBdr>
            <w:top w:val="none" w:sz="0" w:space="0" w:color="auto"/>
            <w:left w:val="none" w:sz="0" w:space="0" w:color="auto"/>
            <w:bottom w:val="none" w:sz="0" w:space="0" w:color="auto"/>
            <w:right w:val="none" w:sz="0" w:space="0" w:color="auto"/>
          </w:divBdr>
        </w:div>
        <w:div w:id="1394499426">
          <w:marLeft w:val="0"/>
          <w:marRight w:val="0"/>
          <w:marTop w:val="0"/>
          <w:marBottom w:val="0"/>
          <w:divBdr>
            <w:top w:val="none" w:sz="0" w:space="0" w:color="auto"/>
            <w:left w:val="none" w:sz="0" w:space="0" w:color="auto"/>
            <w:bottom w:val="none" w:sz="0" w:space="0" w:color="auto"/>
            <w:right w:val="none" w:sz="0" w:space="0" w:color="auto"/>
          </w:divBdr>
        </w:div>
        <w:div w:id="1636986199">
          <w:marLeft w:val="0"/>
          <w:marRight w:val="0"/>
          <w:marTop w:val="0"/>
          <w:marBottom w:val="0"/>
          <w:divBdr>
            <w:top w:val="none" w:sz="0" w:space="0" w:color="auto"/>
            <w:left w:val="none" w:sz="0" w:space="0" w:color="auto"/>
            <w:bottom w:val="none" w:sz="0" w:space="0" w:color="auto"/>
            <w:right w:val="none" w:sz="0" w:space="0" w:color="auto"/>
          </w:divBdr>
        </w:div>
        <w:div w:id="1299526680">
          <w:marLeft w:val="0"/>
          <w:marRight w:val="0"/>
          <w:marTop w:val="0"/>
          <w:marBottom w:val="0"/>
          <w:divBdr>
            <w:top w:val="none" w:sz="0" w:space="0" w:color="auto"/>
            <w:left w:val="none" w:sz="0" w:space="0" w:color="auto"/>
            <w:bottom w:val="none" w:sz="0" w:space="0" w:color="auto"/>
            <w:right w:val="none" w:sz="0" w:space="0" w:color="auto"/>
          </w:divBdr>
        </w:div>
        <w:div w:id="175506295">
          <w:marLeft w:val="0"/>
          <w:marRight w:val="0"/>
          <w:marTop w:val="0"/>
          <w:marBottom w:val="0"/>
          <w:divBdr>
            <w:top w:val="none" w:sz="0" w:space="0" w:color="auto"/>
            <w:left w:val="none" w:sz="0" w:space="0" w:color="auto"/>
            <w:bottom w:val="none" w:sz="0" w:space="0" w:color="auto"/>
            <w:right w:val="none" w:sz="0" w:space="0" w:color="auto"/>
          </w:divBdr>
        </w:div>
        <w:div w:id="54280919">
          <w:marLeft w:val="0"/>
          <w:marRight w:val="0"/>
          <w:marTop w:val="0"/>
          <w:marBottom w:val="0"/>
          <w:divBdr>
            <w:top w:val="none" w:sz="0" w:space="0" w:color="auto"/>
            <w:left w:val="none" w:sz="0" w:space="0" w:color="auto"/>
            <w:bottom w:val="none" w:sz="0" w:space="0" w:color="auto"/>
            <w:right w:val="none" w:sz="0" w:space="0" w:color="auto"/>
          </w:divBdr>
        </w:div>
        <w:div w:id="1625505839">
          <w:marLeft w:val="0"/>
          <w:marRight w:val="0"/>
          <w:marTop w:val="0"/>
          <w:marBottom w:val="0"/>
          <w:divBdr>
            <w:top w:val="none" w:sz="0" w:space="0" w:color="auto"/>
            <w:left w:val="none" w:sz="0" w:space="0" w:color="auto"/>
            <w:bottom w:val="none" w:sz="0" w:space="0" w:color="auto"/>
            <w:right w:val="none" w:sz="0" w:space="0" w:color="auto"/>
          </w:divBdr>
        </w:div>
      </w:divsChild>
    </w:div>
    <w:div w:id="1826505984">
      <w:bodyDiv w:val="1"/>
      <w:marLeft w:val="0"/>
      <w:marRight w:val="0"/>
      <w:marTop w:val="0"/>
      <w:marBottom w:val="0"/>
      <w:divBdr>
        <w:top w:val="none" w:sz="0" w:space="0" w:color="auto"/>
        <w:left w:val="none" w:sz="0" w:space="0" w:color="auto"/>
        <w:bottom w:val="none" w:sz="0" w:space="0" w:color="auto"/>
        <w:right w:val="none" w:sz="0" w:space="0" w:color="auto"/>
      </w:divBdr>
      <w:divsChild>
        <w:div w:id="138114912">
          <w:marLeft w:val="0"/>
          <w:marRight w:val="0"/>
          <w:marTop w:val="0"/>
          <w:marBottom w:val="0"/>
          <w:divBdr>
            <w:top w:val="none" w:sz="0" w:space="0" w:color="auto"/>
            <w:left w:val="none" w:sz="0" w:space="0" w:color="auto"/>
            <w:bottom w:val="none" w:sz="0" w:space="0" w:color="auto"/>
            <w:right w:val="none" w:sz="0" w:space="0" w:color="auto"/>
          </w:divBdr>
        </w:div>
        <w:div w:id="1231428201">
          <w:marLeft w:val="0"/>
          <w:marRight w:val="0"/>
          <w:marTop w:val="0"/>
          <w:marBottom w:val="0"/>
          <w:divBdr>
            <w:top w:val="none" w:sz="0" w:space="0" w:color="auto"/>
            <w:left w:val="none" w:sz="0" w:space="0" w:color="auto"/>
            <w:bottom w:val="none" w:sz="0" w:space="0" w:color="auto"/>
            <w:right w:val="none" w:sz="0" w:space="0" w:color="auto"/>
          </w:divBdr>
        </w:div>
        <w:div w:id="1146045747">
          <w:marLeft w:val="0"/>
          <w:marRight w:val="0"/>
          <w:marTop w:val="0"/>
          <w:marBottom w:val="0"/>
          <w:divBdr>
            <w:top w:val="none" w:sz="0" w:space="0" w:color="auto"/>
            <w:left w:val="none" w:sz="0" w:space="0" w:color="auto"/>
            <w:bottom w:val="none" w:sz="0" w:space="0" w:color="auto"/>
            <w:right w:val="none" w:sz="0" w:space="0" w:color="auto"/>
          </w:divBdr>
        </w:div>
        <w:div w:id="1057819190">
          <w:marLeft w:val="0"/>
          <w:marRight w:val="0"/>
          <w:marTop w:val="0"/>
          <w:marBottom w:val="0"/>
          <w:divBdr>
            <w:top w:val="none" w:sz="0" w:space="0" w:color="auto"/>
            <w:left w:val="none" w:sz="0" w:space="0" w:color="auto"/>
            <w:bottom w:val="none" w:sz="0" w:space="0" w:color="auto"/>
            <w:right w:val="none" w:sz="0" w:space="0" w:color="auto"/>
          </w:divBdr>
        </w:div>
        <w:div w:id="1346055646">
          <w:marLeft w:val="0"/>
          <w:marRight w:val="0"/>
          <w:marTop w:val="0"/>
          <w:marBottom w:val="0"/>
          <w:divBdr>
            <w:top w:val="none" w:sz="0" w:space="0" w:color="auto"/>
            <w:left w:val="none" w:sz="0" w:space="0" w:color="auto"/>
            <w:bottom w:val="none" w:sz="0" w:space="0" w:color="auto"/>
            <w:right w:val="none" w:sz="0" w:space="0" w:color="auto"/>
          </w:divBdr>
        </w:div>
        <w:div w:id="961964583">
          <w:marLeft w:val="0"/>
          <w:marRight w:val="0"/>
          <w:marTop w:val="0"/>
          <w:marBottom w:val="0"/>
          <w:divBdr>
            <w:top w:val="none" w:sz="0" w:space="0" w:color="auto"/>
            <w:left w:val="none" w:sz="0" w:space="0" w:color="auto"/>
            <w:bottom w:val="none" w:sz="0" w:space="0" w:color="auto"/>
            <w:right w:val="none" w:sz="0" w:space="0" w:color="auto"/>
          </w:divBdr>
        </w:div>
        <w:div w:id="2083915857">
          <w:marLeft w:val="0"/>
          <w:marRight w:val="0"/>
          <w:marTop w:val="0"/>
          <w:marBottom w:val="0"/>
          <w:divBdr>
            <w:top w:val="none" w:sz="0" w:space="0" w:color="auto"/>
            <w:left w:val="none" w:sz="0" w:space="0" w:color="auto"/>
            <w:bottom w:val="none" w:sz="0" w:space="0" w:color="auto"/>
            <w:right w:val="none" w:sz="0" w:space="0" w:color="auto"/>
          </w:divBdr>
        </w:div>
        <w:div w:id="576481771">
          <w:marLeft w:val="0"/>
          <w:marRight w:val="0"/>
          <w:marTop w:val="0"/>
          <w:marBottom w:val="0"/>
          <w:divBdr>
            <w:top w:val="none" w:sz="0" w:space="0" w:color="auto"/>
            <w:left w:val="none" w:sz="0" w:space="0" w:color="auto"/>
            <w:bottom w:val="none" w:sz="0" w:space="0" w:color="auto"/>
            <w:right w:val="none" w:sz="0" w:space="0" w:color="auto"/>
          </w:divBdr>
        </w:div>
        <w:div w:id="246885796">
          <w:marLeft w:val="0"/>
          <w:marRight w:val="0"/>
          <w:marTop w:val="0"/>
          <w:marBottom w:val="0"/>
          <w:divBdr>
            <w:top w:val="none" w:sz="0" w:space="0" w:color="auto"/>
            <w:left w:val="none" w:sz="0" w:space="0" w:color="auto"/>
            <w:bottom w:val="none" w:sz="0" w:space="0" w:color="auto"/>
            <w:right w:val="none" w:sz="0" w:space="0" w:color="auto"/>
          </w:divBdr>
        </w:div>
        <w:div w:id="306932740">
          <w:marLeft w:val="0"/>
          <w:marRight w:val="0"/>
          <w:marTop w:val="0"/>
          <w:marBottom w:val="0"/>
          <w:divBdr>
            <w:top w:val="none" w:sz="0" w:space="0" w:color="auto"/>
            <w:left w:val="none" w:sz="0" w:space="0" w:color="auto"/>
            <w:bottom w:val="none" w:sz="0" w:space="0" w:color="auto"/>
            <w:right w:val="none" w:sz="0" w:space="0" w:color="auto"/>
          </w:divBdr>
        </w:div>
        <w:div w:id="35008812">
          <w:marLeft w:val="0"/>
          <w:marRight w:val="0"/>
          <w:marTop w:val="0"/>
          <w:marBottom w:val="0"/>
          <w:divBdr>
            <w:top w:val="none" w:sz="0" w:space="0" w:color="auto"/>
            <w:left w:val="none" w:sz="0" w:space="0" w:color="auto"/>
            <w:bottom w:val="none" w:sz="0" w:space="0" w:color="auto"/>
            <w:right w:val="none" w:sz="0" w:space="0" w:color="auto"/>
          </w:divBdr>
        </w:div>
        <w:div w:id="118107121">
          <w:marLeft w:val="0"/>
          <w:marRight w:val="0"/>
          <w:marTop w:val="0"/>
          <w:marBottom w:val="0"/>
          <w:divBdr>
            <w:top w:val="none" w:sz="0" w:space="0" w:color="auto"/>
            <w:left w:val="none" w:sz="0" w:space="0" w:color="auto"/>
            <w:bottom w:val="none" w:sz="0" w:space="0" w:color="auto"/>
            <w:right w:val="none" w:sz="0" w:space="0" w:color="auto"/>
          </w:divBdr>
        </w:div>
        <w:div w:id="1364549825">
          <w:marLeft w:val="0"/>
          <w:marRight w:val="0"/>
          <w:marTop w:val="0"/>
          <w:marBottom w:val="0"/>
          <w:divBdr>
            <w:top w:val="none" w:sz="0" w:space="0" w:color="auto"/>
            <w:left w:val="none" w:sz="0" w:space="0" w:color="auto"/>
            <w:bottom w:val="none" w:sz="0" w:space="0" w:color="auto"/>
            <w:right w:val="none" w:sz="0" w:space="0" w:color="auto"/>
          </w:divBdr>
        </w:div>
        <w:div w:id="2106228125">
          <w:marLeft w:val="0"/>
          <w:marRight w:val="0"/>
          <w:marTop w:val="0"/>
          <w:marBottom w:val="0"/>
          <w:divBdr>
            <w:top w:val="none" w:sz="0" w:space="0" w:color="auto"/>
            <w:left w:val="none" w:sz="0" w:space="0" w:color="auto"/>
            <w:bottom w:val="none" w:sz="0" w:space="0" w:color="auto"/>
            <w:right w:val="none" w:sz="0" w:space="0" w:color="auto"/>
          </w:divBdr>
        </w:div>
        <w:div w:id="487140291">
          <w:marLeft w:val="0"/>
          <w:marRight w:val="0"/>
          <w:marTop w:val="0"/>
          <w:marBottom w:val="0"/>
          <w:divBdr>
            <w:top w:val="none" w:sz="0" w:space="0" w:color="auto"/>
            <w:left w:val="none" w:sz="0" w:space="0" w:color="auto"/>
            <w:bottom w:val="none" w:sz="0" w:space="0" w:color="auto"/>
            <w:right w:val="none" w:sz="0" w:space="0" w:color="auto"/>
          </w:divBdr>
        </w:div>
        <w:div w:id="1975939872">
          <w:marLeft w:val="0"/>
          <w:marRight w:val="0"/>
          <w:marTop w:val="0"/>
          <w:marBottom w:val="0"/>
          <w:divBdr>
            <w:top w:val="none" w:sz="0" w:space="0" w:color="auto"/>
            <w:left w:val="none" w:sz="0" w:space="0" w:color="auto"/>
            <w:bottom w:val="none" w:sz="0" w:space="0" w:color="auto"/>
            <w:right w:val="none" w:sz="0" w:space="0" w:color="auto"/>
          </w:divBdr>
        </w:div>
        <w:div w:id="1095901919">
          <w:marLeft w:val="0"/>
          <w:marRight w:val="0"/>
          <w:marTop w:val="0"/>
          <w:marBottom w:val="0"/>
          <w:divBdr>
            <w:top w:val="none" w:sz="0" w:space="0" w:color="auto"/>
            <w:left w:val="none" w:sz="0" w:space="0" w:color="auto"/>
            <w:bottom w:val="none" w:sz="0" w:space="0" w:color="auto"/>
            <w:right w:val="none" w:sz="0" w:space="0" w:color="auto"/>
          </w:divBdr>
        </w:div>
        <w:div w:id="1191147580">
          <w:marLeft w:val="0"/>
          <w:marRight w:val="0"/>
          <w:marTop w:val="0"/>
          <w:marBottom w:val="0"/>
          <w:divBdr>
            <w:top w:val="none" w:sz="0" w:space="0" w:color="auto"/>
            <w:left w:val="none" w:sz="0" w:space="0" w:color="auto"/>
            <w:bottom w:val="none" w:sz="0" w:space="0" w:color="auto"/>
            <w:right w:val="none" w:sz="0" w:space="0" w:color="auto"/>
          </w:divBdr>
        </w:div>
        <w:div w:id="919682618">
          <w:marLeft w:val="0"/>
          <w:marRight w:val="0"/>
          <w:marTop w:val="0"/>
          <w:marBottom w:val="0"/>
          <w:divBdr>
            <w:top w:val="none" w:sz="0" w:space="0" w:color="auto"/>
            <w:left w:val="none" w:sz="0" w:space="0" w:color="auto"/>
            <w:bottom w:val="none" w:sz="0" w:space="0" w:color="auto"/>
            <w:right w:val="none" w:sz="0" w:space="0" w:color="auto"/>
          </w:divBdr>
        </w:div>
        <w:div w:id="1449665295">
          <w:marLeft w:val="0"/>
          <w:marRight w:val="0"/>
          <w:marTop w:val="0"/>
          <w:marBottom w:val="0"/>
          <w:divBdr>
            <w:top w:val="none" w:sz="0" w:space="0" w:color="auto"/>
            <w:left w:val="none" w:sz="0" w:space="0" w:color="auto"/>
            <w:bottom w:val="none" w:sz="0" w:space="0" w:color="auto"/>
            <w:right w:val="none" w:sz="0" w:space="0" w:color="auto"/>
          </w:divBdr>
        </w:div>
        <w:div w:id="2100757488">
          <w:marLeft w:val="0"/>
          <w:marRight w:val="0"/>
          <w:marTop w:val="0"/>
          <w:marBottom w:val="0"/>
          <w:divBdr>
            <w:top w:val="none" w:sz="0" w:space="0" w:color="auto"/>
            <w:left w:val="none" w:sz="0" w:space="0" w:color="auto"/>
            <w:bottom w:val="none" w:sz="0" w:space="0" w:color="auto"/>
            <w:right w:val="none" w:sz="0" w:space="0" w:color="auto"/>
          </w:divBdr>
        </w:div>
        <w:div w:id="123236036">
          <w:marLeft w:val="0"/>
          <w:marRight w:val="0"/>
          <w:marTop w:val="0"/>
          <w:marBottom w:val="0"/>
          <w:divBdr>
            <w:top w:val="none" w:sz="0" w:space="0" w:color="auto"/>
            <w:left w:val="none" w:sz="0" w:space="0" w:color="auto"/>
            <w:bottom w:val="none" w:sz="0" w:space="0" w:color="auto"/>
            <w:right w:val="none" w:sz="0" w:space="0" w:color="auto"/>
          </w:divBdr>
        </w:div>
        <w:div w:id="1858077174">
          <w:marLeft w:val="0"/>
          <w:marRight w:val="0"/>
          <w:marTop w:val="0"/>
          <w:marBottom w:val="0"/>
          <w:divBdr>
            <w:top w:val="none" w:sz="0" w:space="0" w:color="auto"/>
            <w:left w:val="none" w:sz="0" w:space="0" w:color="auto"/>
            <w:bottom w:val="none" w:sz="0" w:space="0" w:color="auto"/>
            <w:right w:val="none" w:sz="0" w:space="0" w:color="auto"/>
          </w:divBdr>
        </w:div>
        <w:div w:id="1387684678">
          <w:marLeft w:val="0"/>
          <w:marRight w:val="0"/>
          <w:marTop w:val="0"/>
          <w:marBottom w:val="0"/>
          <w:divBdr>
            <w:top w:val="none" w:sz="0" w:space="0" w:color="auto"/>
            <w:left w:val="none" w:sz="0" w:space="0" w:color="auto"/>
            <w:bottom w:val="none" w:sz="0" w:space="0" w:color="auto"/>
            <w:right w:val="none" w:sz="0" w:space="0" w:color="auto"/>
          </w:divBdr>
        </w:div>
        <w:div w:id="229733561">
          <w:marLeft w:val="0"/>
          <w:marRight w:val="0"/>
          <w:marTop w:val="0"/>
          <w:marBottom w:val="0"/>
          <w:divBdr>
            <w:top w:val="none" w:sz="0" w:space="0" w:color="auto"/>
            <w:left w:val="none" w:sz="0" w:space="0" w:color="auto"/>
            <w:bottom w:val="none" w:sz="0" w:space="0" w:color="auto"/>
            <w:right w:val="none" w:sz="0" w:space="0" w:color="auto"/>
          </w:divBdr>
        </w:div>
        <w:div w:id="2054382859">
          <w:marLeft w:val="0"/>
          <w:marRight w:val="0"/>
          <w:marTop w:val="0"/>
          <w:marBottom w:val="0"/>
          <w:divBdr>
            <w:top w:val="none" w:sz="0" w:space="0" w:color="auto"/>
            <w:left w:val="none" w:sz="0" w:space="0" w:color="auto"/>
            <w:bottom w:val="none" w:sz="0" w:space="0" w:color="auto"/>
            <w:right w:val="none" w:sz="0" w:space="0" w:color="auto"/>
          </w:divBdr>
        </w:div>
        <w:div w:id="84692261">
          <w:marLeft w:val="0"/>
          <w:marRight w:val="0"/>
          <w:marTop w:val="0"/>
          <w:marBottom w:val="0"/>
          <w:divBdr>
            <w:top w:val="none" w:sz="0" w:space="0" w:color="auto"/>
            <w:left w:val="none" w:sz="0" w:space="0" w:color="auto"/>
            <w:bottom w:val="none" w:sz="0" w:space="0" w:color="auto"/>
            <w:right w:val="none" w:sz="0" w:space="0" w:color="auto"/>
          </w:divBdr>
        </w:div>
        <w:div w:id="488978811">
          <w:marLeft w:val="0"/>
          <w:marRight w:val="0"/>
          <w:marTop w:val="0"/>
          <w:marBottom w:val="0"/>
          <w:divBdr>
            <w:top w:val="none" w:sz="0" w:space="0" w:color="auto"/>
            <w:left w:val="none" w:sz="0" w:space="0" w:color="auto"/>
            <w:bottom w:val="none" w:sz="0" w:space="0" w:color="auto"/>
            <w:right w:val="none" w:sz="0" w:space="0" w:color="auto"/>
          </w:divBdr>
        </w:div>
        <w:div w:id="883055579">
          <w:marLeft w:val="0"/>
          <w:marRight w:val="0"/>
          <w:marTop w:val="0"/>
          <w:marBottom w:val="0"/>
          <w:divBdr>
            <w:top w:val="none" w:sz="0" w:space="0" w:color="auto"/>
            <w:left w:val="none" w:sz="0" w:space="0" w:color="auto"/>
            <w:bottom w:val="none" w:sz="0" w:space="0" w:color="auto"/>
            <w:right w:val="none" w:sz="0" w:space="0" w:color="auto"/>
          </w:divBdr>
        </w:div>
        <w:div w:id="2105370651">
          <w:marLeft w:val="0"/>
          <w:marRight w:val="0"/>
          <w:marTop w:val="0"/>
          <w:marBottom w:val="0"/>
          <w:divBdr>
            <w:top w:val="none" w:sz="0" w:space="0" w:color="auto"/>
            <w:left w:val="none" w:sz="0" w:space="0" w:color="auto"/>
            <w:bottom w:val="none" w:sz="0" w:space="0" w:color="auto"/>
            <w:right w:val="none" w:sz="0" w:space="0" w:color="auto"/>
          </w:divBdr>
        </w:div>
        <w:div w:id="2072535694">
          <w:marLeft w:val="0"/>
          <w:marRight w:val="0"/>
          <w:marTop w:val="0"/>
          <w:marBottom w:val="0"/>
          <w:divBdr>
            <w:top w:val="none" w:sz="0" w:space="0" w:color="auto"/>
            <w:left w:val="none" w:sz="0" w:space="0" w:color="auto"/>
            <w:bottom w:val="none" w:sz="0" w:space="0" w:color="auto"/>
            <w:right w:val="none" w:sz="0" w:space="0" w:color="auto"/>
          </w:divBdr>
        </w:div>
        <w:div w:id="268663065">
          <w:marLeft w:val="0"/>
          <w:marRight w:val="0"/>
          <w:marTop w:val="0"/>
          <w:marBottom w:val="0"/>
          <w:divBdr>
            <w:top w:val="none" w:sz="0" w:space="0" w:color="auto"/>
            <w:left w:val="none" w:sz="0" w:space="0" w:color="auto"/>
            <w:bottom w:val="none" w:sz="0" w:space="0" w:color="auto"/>
            <w:right w:val="none" w:sz="0" w:space="0" w:color="auto"/>
          </w:divBdr>
        </w:div>
        <w:div w:id="1625695793">
          <w:marLeft w:val="0"/>
          <w:marRight w:val="0"/>
          <w:marTop w:val="0"/>
          <w:marBottom w:val="0"/>
          <w:divBdr>
            <w:top w:val="none" w:sz="0" w:space="0" w:color="auto"/>
            <w:left w:val="none" w:sz="0" w:space="0" w:color="auto"/>
            <w:bottom w:val="none" w:sz="0" w:space="0" w:color="auto"/>
            <w:right w:val="none" w:sz="0" w:space="0" w:color="auto"/>
          </w:divBdr>
        </w:div>
        <w:div w:id="1226720560">
          <w:marLeft w:val="0"/>
          <w:marRight w:val="0"/>
          <w:marTop w:val="0"/>
          <w:marBottom w:val="0"/>
          <w:divBdr>
            <w:top w:val="none" w:sz="0" w:space="0" w:color="auto"/>
            <w:left w:val="none" w:sz="0" w:space="0" w:color="auto"/>
            <w:bottom w:val="none" w:sz="0" w:space="0" w:color="auto"/>
            <w:right w:val="none" w:sz="0" w:space="0" w:color="auto"/>
          </w:divBdr>
        </w:div>
        <w:div w:id="1286227939">
          <w:marLeft w:val="0"/>
          <w:marRight w:val="0"/>
          <w:marTop w:val="0"/>
          <w:marBottom w:val="0"/>
          <w:divBdr>
            <w:top w:val="none" w:sz="0" w:space="0" w:color="auto"/>
            <w:left w:val="none" w:sz="0" w:space="0" w:color="auto"/>
            <w:bottom w:val="none" w:sz="0" w:space="0" w:color="auto"/>
            <w:right w:val="none" w:sz="0" w:space="0" w:color="auto"/>
          </w:divBdr>
        </w:div>
      </w:divsChild>
    </w:div>
    <w:div w:id="18580788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78">
          <w:marLeft w:val="0"/>
          <w:marRight w:val="0"/>
          <w:marTop w:val="0"/>
          <w:marBottom w:val="0"/>
          <w:divBdr>
            <w:top w:val="none" w:sz="0" w:space="0" w:color="auto"/>
            <w:left w:val="none" w:sz="0" w:space="0" w:color="auto"/>
            <w:bottom w:val="none" w:sz="0" w:space="0" w:color="auto"/>
            <w:right w:val="none" w:sz="0" w:space="0" w:color="auto"/>
          </w:divBdr>
        </w:div>
        <w:div w:id="1138567837">
          <w:marLeft w:val="0"/>
          <w:marRight w:val="0"/>
          <w:marTop w:val="0"/>
          <w:marBottom w:val="0"/>
          <w:divBdr>
            <w:top w:val="none" w:sz="0" w:space="0" w:color="auto"/>
            <w:left w:val="none" w:sz="0" w:space="0" w:color="auto"/>
            <w:bottom w:val="none" w:sz="0" w:space="0" w:color="auto"/>
            <w:right w:val="none" w:sz="0" w:space="0" w:color="auto"/>
          </w:divBdr>
        </w:div>
        <w:div w:id="1675916672">
          <w:marLeft w:val="0"/>
          <w:marRight w:val="0"/>
          <w:marTop w:val="0"/>
          <w:marBottom w:val="0"/>
          <w:divBdr>
            <w:top w:val="none" w:sz="0" w:space="0" w:color="auto"/>
            <w:left w:val="none" w:sz="0" w:space="0" w:color="auto"/>
            <w:bottom w:val="none" w:sz="0" w:space="0" w:color="auto"/>
            <w:right w:val="none" w:sz="0" w:space="0" w:color="auto"/>
          </w:divBdr>
        </w:div>
        <w:div w:id="1324821971">
          <w:marLeft w:val="0"/>
          <w:marRight w:val="0"/>
          <w:marTop w:val="0"/>
          <w:marBottom w:val="0"/>
          <w:divBdr>
            <w:top w:val="none" w:sz="0" w:space="0" w:color="auto"/>
            <w:left w:val="none" w:sz="0" w:space="0" w:color="auto"/>
            <w:bottom w:val="none" w:sz="0" w:space="0" w:color="auto"/>
            <w:right w:val="none" w:sz="0" w:space="0" w:color="auto"/>
          </w:divBdr>
        </w:div>
        <w:div w:id="424497481">
          <w:marLeft w:val="0"/>
          <w:marRight w:val="0"/>
          <w:marTop w:val="0"/>
          <w:marBottom w:val="0"/>
          <w:divBdr>
            <w:top w:val="none" w:sz="0" w:space="0" w:color="auto"/>
            <w:left w:val="none" w:sz="0" w:space="0" w:color="auto"/>
            <w:bottom w:val="none" w:sz="0" w:space="0" w:color="auto"/>
            <w:right w:val="none" w:sz="0" w:space="0" w:color="auto"/>
          </w:divBdr>
        </w:div>
        <w:div w:id="2013289657">
          <w:marLeft w:val="0"/>
          <w:marRight w:val="0"/>
          <w:marTop w:val="0"/>
          <w:marBottom w:val="0"/>
          <w:divBdr>
            <w:top w:val="none" w:sz="0" w:space="0" w:color="auto"/>
            <w:left w:val="none" w:sz="0" w:space="0" w:color="auto"/>
            <w:bottom w:val="none" w:sz="0" w:space="0" w:color="auto"/>
            <w:right w:val="none" w:sz="0" w:space="0" w:color="auto"/>
          </w:divBdr>
        </w:div>
        <w:div w:id="1147744735">
          <w:marLeft w:val="0"/>
          <w:marRight w:val="0"/>
          <w:marTop w:val="0"/>
          <w:marBottom w:val="0"/>
          <w:divBdr>
            <w:top w:val="none" w:sz="0" w:space="0" w:color="auto"/>
            <w:left w:val="none" w:sz="0" w:space="0" w:color="auto"/>
            <w:bottom w:val="none" w:sz="0" w:space="0" w:color="auto"/>
            <w:right w:val="none" w:sz="0" w:space="0" w:color="auto"/>
          </w:divBdr>
        </w:div>
        <w:div w:id="1483498870">
          <w:marLeft w:val="0"/>
          <w:marRight w:val="0"/>
          <w:marTop w:val="0"/>
          <w:marBottom w:val="0"/>
          <w:divBdr>
            <w:top w:val="none" w:sz="0" w:space="0" w:color="auto"/>
            <w:left w:val="none" w:sz="0" w:space="0" w:color="auto"/>
            <w:bottom w:val="none" w:sz="0" w:space="0" w:color="auto"/>
            <w:right w:val="none" w:sz="0" w:space="0" w:color="auto"/>
          </w:divBdr>
        </w:div>
        <w:div w:id="374627411">
          <w:marLeft w:val="0"/>
          <w:marRight w:val="0"/>
          <w:marTop w:val="0"/>
          <w:marBottom w:val="0"/>
          <w:divBdr>
            <w:top w:val="none" w:sz="0" w:space="0" w:color="auto"/>
            <w:left w:val="none" w:sz="0" w:space="0" w:color="auto"/>
            <w:bottom w:val="none" w:sz="0" w:space="0" w:color="auto"/>
            <w:right w:val="none" w:sz="0" w:space="0" w:color="auto"/>
          </w:divBdr>
        </w:div>
        <w:div w:id="1864710306">
          <w:marLeft w:val="0"/>
          <w:marRight w:val="0"/>
          <w:marTop w:val="0"/>
          <w:marBottom w:val="0"/>
          <w:divBdr>
            <w:top w:val="none" w:sz="0" w:space="0" w:color="auto"/>
            <w:left w:val="none" w:sz="0" w:space="0" w:color="auto"/>
            <w:bottom w:val="none" w:sz="0" w:space="0" w:color="auto"/>
            <w:right w:val="none" w:sz="0" w:space="0" w:color="auto"/>
          </w:divBdr>
        </w:div>
        <w:div w:id="810829120">
          <w:marLeft w:val="0"/>
          <w:marRight w:val="0"/>
          <w:marTop w:val="0"/>
          <w:marBottom w:val="0"/>
          <w:divBdr>
            <w:top w:val="none" w:sz="0" w:space="0" w:color="auto"/>
            <w:left w:val="none" w:sz="0" w:space="0" w:color="auto"/>
            <w:bottom w:val="none" w:sz="0" w:space="0" w:color="auto"/>
            <w:right w:val="none" w:sz="0" w:space="0" w:color="auto"/>
          </w:divBdr>
        </w:div>
        <w:div w:id="1400597480">
          <w:marLeft w:val="0"/>
          <w:marRight w:val="0"/>
          <w:marTop w:val="0"/>
          <w:marBottom w:val="0"/>
          <w:divBdr>
            <w:top w:val="none" w:sz="0" w:space="0" w:color="auto"/>
            <w:left w:val="none" w:sz="0" w:space="0" w:color="auto"/>
            <w:bottom w:val="none" w:sz="0" w:space="0" w:color="auto"/>
            <w:right w:val="none" w:sz="0" w:space="0" w:color="auto"/>
          </w:divBdr>
        </w:div>
        <w:div w:id="1449860224">
          <w:marLeft w:val="0"/>
          <w:marRight w:val="0"/>
          <w:marTop w:val="0"/>
          <w:marBottom w:val="0"/>
          <w:divBdr>
            <w:top w:val="none" w:sz="0" w:space="0" w:color="auto"/>
            <w:left w:val="none" w:sz="0" w:space="0" w:color="auto"/>
            <w:bottom w:val="none" w:sz="0" w:space="0" w:color="auto"/>
            <w:right w:val="none" w:sz="0" w:space="0" w:color="auto"/>
          </w:divBdr>
        </w:div>
        <w:div w:id="1966040226">
          <w:marLeft w:val="0"/>
          <w:marRight w:val="0"/>
          <w:marTop w:val="0"/>
          <w:marBottom w:val="0"/>
          <w:divBdr>
            <w:top w:val="none" w:sz="0" w:space="0" w:color="auto"/>
            <w:left w:val="none" w:sz="0" w:space="0" w:color="auto"/>
            <w:bottom w:val="none" w:sz="0" w:space="0" w:color="auto"/>
            <w:right w:val="none" w:sz="0" w:space="0" w:color="auto"/>
          </w:divBdr>
        </w:div>
        <w:div w:id="1363827876">
          <w:marLeft w:val="0"/>
          <w:marRight w:val="0"/>
          <w:marTop w:val="0"/>
          <w:marBottom w:val="0"/>
          <w:divBdr>
            <w:top w:val="none" w:sz="0" w:space="0" w:color="auto"/>
            <w:left w:val="none" w:sz="0" w:space="0" w:color="auto"/>
            <w:bottom w:val="none" w:sz="0" w:space="0" w:color="auto"/>
            <w:right w:val="none" w:sz="0" w:space="0" w:color="auto"/>
          </w:divBdr>
        </w:div>
        <w:div w:id="532617385">
          <w:marLeft w:val="0"/>
          <w:marRight w:val="0"/>
          <w:marTop w:val="0"/>
          <w:marBottom w:val="0"/>
          <w:divBdr>
            <w:top w:val="none" w:sz="0" w:space="0" w:color="auto"/>
            <w:left w:val="none" w:sz="0" w:space="0" w:color="auto"/>
            <w:bottom w:val="none" w:sz="0" w:space="0" w:color="auto"/>
            <w:right w:val="none" w:sz="0" w:space="0" w:color="auto"/>
          </w:divBdr>
        </w:div>
        <w:div w:id="216555221">
          <w:marLeft w:val="0"/>
          <w:marRight w:val="0"/>
          <w:marTop w:val="0"/>
          <w:marBottom w:val="0"/>
          <w:divBdr>
            <w:top w:val="none" w:sz="0" w:space="0" w:color="auto"/>
            <w:left w:val="none" w:sz="0" w:space="0" w:color="auto"/>
            <w:bottom w:val="none" w:sz="0" w:space="0" w:color="auto"/>
            <w:right w:val="none" w:sz="0" w:space="0" w:color="auto"/>
          </w:divBdr>
        </w:div>
        <w:div w:id="953287112">
          <w:marLeft w:val="0"/>
          <w:marRight w:val="0"/>
          <w:marTop w:val="0"/>
          <w:marBottom w:val="0"/>
          <w:divBdr>
            <w:top w:val="none" w:sz="0" w:space="0" w:color="auto"/>
            <w:left w:val="none" w:sz="0" w:space="0" w:color="auto"/>
            <w:bottom w:val="none" w:sz="0" w:space="0" w:color="auto"/>
            <w:right w:val="none" w:sz="0" w:space="0" w:color="auto"/>
          </w:divBdr>
        </w:div>
        <w:div w:id="1405685490">
          <w:marLeft w:val="0"/>
          <w:marRight w:val="0"/>
          <w:marTop w:val="0"/>
          <w:marBottom w:val="0"/>
          <w:divBdr>
            <w:top w:val="none" w:sz="0" w:space="0" w:color="auto"/>
            <w:left w:val="none" w:sz="0" w:space="0" w:color="auto"/>
            <w:bottom w:val="none" w:sz="0" w:space="0" w:color="auto"/>
            <w:right w:val="none" w:sz="0" w:space="0" w:color="auto"/>
          </w:divBdr>
        </w:div>
        <w:div w:id="2006202473">
          <w:marLeft w:val="0"/>
          <w:marRight w:val="0"/>
          <w:marTop w:val="0"/>
          <w:marBottom w:val="0"/>
          <w:divBdr>
            <w:top w:val="none" w:sz="0" w:space="0" w:color="auto"/>
            <w:left w:val="none" w:sz="0" w:space="0" w:color="auto"/>
            <w:bottom w:val="none" w:sz="0" w:space="0" w:color="auto"/>
            <w:right w:val="none" w:sz="0" w:space="0" w:color="auto"/>
          </w:divBdr>
        </w:div>
        <w:div w:id="908080292">
          <w:marLeft w:val="0"/>
          <w:marRight w:val="0"/>
          <w:marTop w:val="0"/>
          <w:marBottom w:val="0"/>
          <w:divBdr>
            <w:top w:val="none" w:sz="0" w:space="0" w:color="auto"/>
            <w:left w:val="none" w:sz="0" w:space="0" w:color="auto"/>
            <w:bottom w:val="none" w:sz="0" w:space="0" w:color="auto"/>
            <w:right w:val="none" w:sz="0" w:space="0" w:color="auto"/>
          </w:divBdr>
        </w:div>
        <w:div w:id="176889644">
          <w:marLeft w:val="0"/>
          <w:marRight w:val="0"/>
          <w:marTop w:val="0"/>
          <w:marBottom w:val="0"/>
          <w:divBdr>
            <w:top w:val="none" w:sz="0" w:space="0" w:color="auto"/>
            <w:left w:val="none" w:sz="0" w:space="0" w:color="auto"/>
            <w:bottom w:val="none" w:sz="0" w:space="0" w:color="auto"/>
            <w:right w:val="none" w:sz="0" w:space="0" w:color="auto"/>
          </w:divBdr>
        </w:div>
      </w:divsChild>
    </w:div>
    <w:div w:id="1868447651">
      <w:bodyDiv w:val="1"/>
      <w:marLeft w:val="0"/>
      <w:marRight w:val="0"/>
      <w:marTop w:val="0"/>
      <w:marBottom w:val="0"/>
      <w:divBdr>
        <w:top w:val="none" w:sz="0" w:space="0" w:color="auto"/>
        <w:left w:val="none" w:sz="0" w:space="0" w:color="auto"/>
        <w:bottom w:val="none" w:sz="0" w:space="0" w:color="auto"/>
        <w:right w:val="none" w:sz="0" w:space="0" w:color="auto"/>
      </w:divBdr>
      <w:divsChild>
        <w:div w:id="1127511203">
          <w:marLeft w:val="0"/>
          <w:marRight w:val="0"/>
          <w:marTop w:val="0"/>
          <w:marBottom w:val="0"/>
          <w:divBdr>
            <w:top w:val="none" w:sz="0" w:space="0" w:color="auto"/>
            <w:left w:val="none" w:sz="0" w:space="0" w:color="auto"/>
            <w:bottom w:val="none" w:sz="0" w:space="0" w:color="auto"/>
            <w:right w:val="none" w:sz="0" w:space="0" w:color="auto"/>
          </w:divBdr>
        </w:div>
        <w:div w:id="1124427154">
          <w:marLeft w:val="0"/>
          <w:marRight w:val="0"/>
          <w:marTop w:val="0"/>
          <w:marBottom w:val="0"/>
          <w:divBdr>
            <w:top w:val="none" w:sz="0" w:space="0" w:color="auto"/>
            <w:left w:val="none" w:sz="0" w:space="0" w:color="auto"/>
            <w:bottom w:val="none" w:sz="0" w:space="0" w:color="auto"/>
            <w:right w:val="none" w:sz="0" w:space="0" w:color="auto"/>
          </w:divBdr>
        </w:div>
        <w:div w:id="749737948">
          <w:marLeft w:val="0"/>
          <w:marRight w:val="0"/>
          <w:marTop w:val="0"/>
          <w:marBottom w:val="0"/>
          <w:divBdr>
            <w:top w:val="none" w:sz="0" w:space="0" w:color="auto"/>
            <w:left w:val="none" w:sz="0" w:space="0" w:color="auto"/>
            <w:bottom w:val="none" w:sz="0" w:space="0" w:color="auto"/>
            <w:right w:val="none" w:sz="0" w:space="0" w:color="auto"/>
          </w:divBdr>
        </w:div>
      </w:divsChild>
    </w:div>
    <w:div w:id="1877809208">
      <w:bodyDiv w:val="1"/>
      <w:marLeft w:val="0"/>
      <w:marRight w:val="0"/>
      <w:marTop w:val="0"/>
      <w:marBottom w:val="0"/>
      <w:divBdr>
        <w:top w:val="none" w:sz="0" w:space="0" w:color="auto"/>
        <w:left w:val="none" w:sz="0" w:space="0" w:color="auto"/>
        <w:bottom w:val="none" w:sz="0" w:space="0" w:color="auto"/>
        <w:right w:val="none" w:sz="0" w:space="0" w:color="auto"/>
      </w:divBdr>
    </w:div>
    <w:div w:id="1884948172">
      <w:bodyDiv w:val="1"/>
      <w:marLeft w:val="0"/>
      <w:marRight w:val="0"/>
      <w:marTop w:val="0"/>
      <w:marBottom w:val="0"/>
      <w:divBdr>
        <w:top w:val="none" w:sz="0" w:space="0" w:color="auto"/>
        <w:left w:val="none" w:sz="0" w:space="0" w:color="auto"/>
        <w:bottom w:val="none" w:sz="0" w:space="0" w:color="auto"/>
        <w:right w:val="none" w:sz="0" w:space="0" w:color="auto"/>
      </w:divBdr>
      <w:divsChild>
        <w:div w:id="30812345">
          <w:marLeft w:val="0"/>
          <w:marRight w:val="0"/>
          <w:marTop w:val="0"/>
          <w:marBottom w:val="0"/>
          <w:divBdr>
            <w:top w:val="none" w:sz="0" w:space="0" w:color="auto"/>
            <w:left w:val="none" w:sz="0" w:space="0" w:color="auto"/>
            <w:bottom w:val="none" w:sz="0" w:space="0" w:color="auto"/>
            <w:right w:val="none" w:sz="0" w:space="0" w:color="auto"/>
          </w:divBdr>
        </w:div>
        <w:div w:id="1460026017">
          <w:marLeft w:val="0"/>
          <w:marRight w:val="0"/>
          <w:marTop w:val="0"/>
          <w:marBottom w:val="0"/>
          <w:divBdr>
            <w:top w:val="none" w:sz="0" w:space="0" w:color="auto"/>
            <w:left w:val="none" w:sz="0" w:space="0" w:color="auto"/>
            <w:bottom w:val="none" w:sz="0" w:space="0" w:color="auto"/>
            <w:right w:val="none" w:sz="0" w:space="0" w:color="auto"/>
          </w:divBdr>
        </w:div>
        <w:div w:id="1087731188">
          <w:marLeft w:val="0"/>
          <w:marRight w:val="0"/>
          <w:marTop w:val="0"/>
          <w:marBottom w:val="0"/>
          <w:divBdr>
            <w:top w:val="none" w:sz="0" w:space="0" w:color="auto"/>
            <w:left w:val="none" w:sz="0" w:space="0" w:color="auto"/>
            <w:bottom w:val="none" w:sz="0" w:space="0" w:color="auto"/>
            <w:right w:val="none" w:sz="0" w:space="0" w:color="auto"/>
          </w:divBdr>
        </w:div>
        <w:div w:id="1079594726">
          <w:marLeft w:val="0"/>
          <w:marRight w:val="0"/>
          <w:marTop w:val="0"/>
          <w:marBottom w:val="0"/>
          <w:divBdr>
            <w:top w:val="none" w:sz="0" w:space="0" w:color="auto"/>
            <w:left w:val="none" w:sz="0" w:space="0" w:color="auto"/>
            <w:bottom w:val="none" w:sz="0" w:space="0" w:color="auto"/>
            <w:right w:val="none" w:sz="0" w:space="0" w:color="auto"/>
          </w:divBdr>
        </w:div>
      </w:divsChild>
    </w:div>
    <w:div w:id="1914702721">
      <w:bodyDiv w:val="1"/>
      <w:marLeft w:val="0"/>
      <w:marRight w:val="0"/>
      <w:marTop w:val="0"/>
      <w:marBottom w:val="0"/>
      <w:divBdr>
        <w:top w:val="none" w:sz="0" w:space="0" w:color="auto"/>
        <w:left w:val="none" w:sz="0" w:space="0" w:color="auto"/>
        <w:bottom w:val="none" w:sz="0" w:space="0" w:color="auto"/>
        <w:right w:val="none" w:sz="0" w:space="0" w:color="auto"/>
      </w:divBdr>
      <w:divsChild>
        <w:div w:id="1703241428">
          <w:marLeft w:val="0"/>
          <w:marRight w:val="0"/>
          <w:marTop w:val="0"/>
          <w:marBottom w:val="0"/>
          <w:divBdr>
            <w:top w:val="none" w:sz="0" w:space="0" w:color="auto"/>
            <w:left w:val="none" w:sz="0" w:space="0" w:color="auto"/>
            <w:bottom w:val="none" w:sz="0" w:space="0" w:color="auto"/>
            <w:right w:val="none" w:sz="0" w:space="0" w:color="auto"/>
          </w:divBdr>
        </w:div>
        <w:div w:id="1866403860">
          <w:marLeft w:val="0"/>
          <w:marRight w:val="0"/>
          <w:marTop w:val="0"/>
          <w:marBottom w:val="0"/>
          <w:divBdr>
            <w:top w:val="none" w:sz="0" w:space="0" w:color="auto"/>
            <w:left w:val="none" w:sz="0" w:space="0" w:color="auto"/>
            <w:bottom w:val="none" w:sz="0" w:space="0" w:color="auto"/>
            <w:right w:val="none" w:sz="0" w:space="0" w:color="auto"/>
          </w:divBdr>
        </w:div>
        <w:div w:id="1639728803">
          <w:marLeft w:val="0"/>
          <w:marRight w:val="0"/>
          <w:marTop w:val="0"/>
          <w:marBottom w:val="0"/>
          <w:divBdr>
            <w:top w:val="none" w:sz="0" w:space="0" w:color="auto"/>
            <w:left w:val="none" w:sz="0" w:space="0" w:color="auto"/>
            <w:bottom w:val="none" w:sz="0" w:space="0" w:color="auto"/>
            <w:right w:val="none" w:sz="0" w:space="0" w:color="auto"/>
          </w:divBdr>
        </w:div>
      </w:divsChild>
    </w:div>
    <w:div w:id="1943415229">
      <w:bodyDiv w:val="1"/>
      <w:marLeft w:val="0"/>
      <w:marRight w:val="0"/>
      <w:marTop w:val="0"/>
      <w:marBottom w:val="0"/>
      <w:divBdr>
        <w:top w:val="none" w:sz="0" w:space="0" w:color="auto"/>
        <w:left w:val="none" w:sz="0" w:space="0" w:color="auto"/>
        <w:bottom w:val="none" w:sz="0" w:space="0" w:color="auto"/>
        <w:right w:val="none" w:sz="0" w:space="0" w:color="auto"/>
      </w:divBdr>
    </w:div>
    <w:div w:id="1949653027">
      <w:bodyDiv w:val="1"/>
      <w:marLeft w:val="0"/>
      <w:marRight w:val="0"/>
      <w:marTop w:val="0"/>
      <w:marBottom w:val="0"/>
      <w:divBdr>
        <w:top w:val="none" w:sz="0" w:space="0" w:color="auto"/>
        <w:left w:val="none" w:sz="0" w:space="0" w:color="auto"/>
        <w:bottom w:val="none" w:sz="0" w:space="0" w:color="auto"/>
        <w:right w:val="none" w:sz="0" w:space="0" w:color="auto"/>
      </w:divBdr>
      <w:divsChild>
        <w:div w:id="2094163517">
          <w:marLeft w:val="0"/>
          <w:marRight w:val="0"/>
          <w:marTop w:val="0"/>
          <w:marBottom w:val="0"/>
          <w:divBdr>
            <w:top w:val="none" w:sz="0" w:space="0" w:color="auto"/>
            <w:left w:val="none" w:sz="0" w:space="0" w:color="auto"/>
            <w:bottom w:val="none" w:sz="0" w:space="0" w:color="auto"/>
            <w:right w:val="none" w:sz="0" w:space="0" w:color="auto"/>
          </w:divBdr>
        </w:div>
        <w:div w:id="1558007628">
          <w:marLeft w:val="0"/>
          <w:marRight w:val="0"/>
          <w:marTop w:val="0"/>
          <w:marBottom w:val="0"/>
          <w:divBdr>
            <w:top w:val="none" w:sz="0" w:space="0" w:color="auto"/>
            <w:left w:val="none" w:sz="0" w:space="0" w:color="auto"/>
            <w:bottom w:val="none" w:sz="0" w:space="0" w:color="auto"/>
            <w:right w:val="none" w:sz="0" w:space="0" w:color="auto"/>
          </w:divBdr>
        </w:div>
        <w:div w:id="937251757">
          <w:marLeft w:val="0"/>
          <w:marRight w:val="0"/>
          <w:marTop w:val="0"/>
          <w:marBottom w:val="0"/>
          <w:divBdr>
            <w:top w:val="none" w:sz="0" w:space="0" w:color="auto"/>
            <w:left w:val="none" w:sz="0" w:space="0" w:color="auto"/>
            <w:bottom w:val="none" w:sz="0" w:space="0" w:color="auto"/>
            <w:right w:val="none" w:sz="0" w:space="0" w:color="auto"/>
          </w:divBdr>
        </w:div>
        <w:div w:id="1155101721">
          <w:marLeft w:val="0"/>
          <w:marRight w:val="0"/>
          <w:marTop w:val="0"/>
          <w:marBottom w:val="0"/>
          <w:divBdr>
            <w:top w:val="none" w:sz="0" w:space="0" w:color="auto"/>
            <w:left w:val="none" w:sz="0" w:space="0" w:color="auto"/>
            <w:bottom w:val="none" w:sz="0" w:space="0" w:color="auto"/>
            <w:right w:val="none" w:sz="0" w:space="0" w:color="auto"/>
          </w:divBdr>
        </w:div>
        <w:div w:id="480774753">
          <w:marLeft w:val="0"/>
          <w:marRight w:val="0"/>
          <w:marTop w:val="0"/>
          <w:marBottom w:val="0"/>
          <w:divBdr>
            <w:top w:val="none" w:sz="0" w:space="0" w:color="auto"/>
            <w:left w:val="none" w:sz="0" w:space="0" w:color="auto"/>
            <w:bottom w:val="none" w:sz="0" w:space="0" w:color="auto"/>
            <w:right w:val="none" w:sz="0" w:space="0" w:color="auto"/>
          </w:divBdr>
        </w:div>
        <w:div w:id="814104768">
          <w:marLeft w:val="0"/>
          <w:marRight w:val="0"/>
          <w:marTop w:val="0"/>
          <w:marBottom w:val="0"/>
          <w:divBdr>
            <w:top w:val="none" w:sz="0" w:space="0" w:color="auto"/>
            <w:left w:val="none" w:sz="0" w:space="0" w:color="auto"/>
            <w:bottom w:val="none" w:sz="0" w:space="0" w:color="auto"/>
            <w:right w:val="none" w:sz="0" w:space="0" w:color="auto"/>
          </w:divBdr>
        </w:div>
        <w:div w:id="710030366">
          <w:marLeft w:val="0"/>
          <w:marRight w:val="0"/>
          <w:marTop w:val="0"/>
          <w:marBottom w:val="0"/>
          <w:divBdr>
            <w:top w:val="none" w:sz="0" w:space="0" w:color="auto"/>
            <w:left w:val="none" w:sz="0" w:space="0" w:color="auto"/>
            <w:bottom w:val="none" w:sz="0" w:space="0" w:color="auto"/>
            <w:right w:val="none" w:sz="0" w:space="0" w:color="auto"/>
          </w:divBdr>
        </w:div>
        <w:div w:id="216480910">
          <w:marLeft w:val="0"/>
          <w:marRight w:val="0"/>
          <w:marTop w:val="0"/>
          <w:marBottom w:val="0"/>
          <w:divBdr>
            <w:top w:val="none" w:sz="0" w:space="0" w:color="auto"/>
            <w:left w:val="none" w:sz="0" w:space="0" w:color="auto"/>
            <w:bottom w:val="none" w:sz="0" w:space="0" w:color="auto"/>
            <w:right w:val="none" w:sz="0" w:space="0" w:color="auto"/>
          </w:divBdr>
        </w:div>
        <w:div w:id="844707480">
          <w:marLeft w:val="0"/>
          <w:marRight w:val="0"/>
          <w:marTop w:val="0"/>
          <w:marBottom w:val="0"/>
          <w:divBdr>
            <w:top w:val="none" w:sz="0" w:space="0" w:color="auto"/>
            <w:left w:val="none" w:sz="0" w:space="0" w:color="auto"/>
            <w:bottom w:val="none" w:sz="0" w:space="0" w:color="auto"/>
            <w:right w:val="none" w:sz="0" w:space="0" w:color="auto"/>
          </w:divBdr>
        </w:div>
        <w:div w:id="2034846005">
          <w:marLeft w:val="0"/>
          <w:marRight w:val="0"/>
          <w:marTop w:val="0"/>
          <w:marBottom w:val="0"/>
          <w:divBdr>
            <w:top w:val="none" w:sz="0" w:space="0" w:color="auto"/>
            <w:left w:val="none" w:sz="0" w:space="0" w:color="auto"/>
            <w:bottom w:val="none" w:sz="0" w:space="0" w:color="auto"/>
            <w:right w:val="none" w:sz="0" w:space="0" w:color="auto"/>
          </w:divBdr>
        </w:div>
        <w:div w:id="483015420">
          <w:marLeft w:val="0"/>
          <w:marRight w:val="0"/>
          <w:marTop w:val="0"/>
          <w:marBottom w:val="0"/>
          <w:divBdr>
            <w:top w:val="none" w:sz="0" w:space="0" w:color="auto"/>
            <w:left w:val="none" w:sz="0" w:space="0" w:color="auto"/>
            <w:bottom w:val="none" w:sz="0" w:space="0" w:color="auto"/>
            <w:right w:val="none" w:sz="0" w:space="0" w:color="auto"/>
          </w:divBdr>
        </w:div>
        <w:div w:id="1626623751">
          <w:marLeft w:val="0"/>
          <w:marRight w:val="0"/>
          <w:marTop w:val="0"/>
          <w:marBottom w:val="0"/>
          <w:divBdr>
            <w:top w:val="none" w:sz="0" w:space="0" w:color="auto"/>
            <w:left w:val="none" w:sz="0" w:space="0" w:color="auto"/>
            <w:bottom w:val="none" w:sz="0" w:space="0" w:color="auto"/>
            <w:right w:val="none" w:sz="0" w:space="0" w:color="auto"/>
          </w:divBdr>
        </w:div>
        <w:div w:id="1805998814">
          <w:marLeft w:val="0"/>
          <w:marRight w:val="0"/>
          <w:marTop w:val="0"/>
          <w:marBottom w:val="0"/>
          <w:divBdr>
            <w:top w:val="none" w:sz="0" w:space="0" w:color="auto"/>
            <w:left w:val="none" w:sz="0" w:space="0" w:color="auto"/>
            <w:bottom w:val="none" w:sz="0" w:space="0" w:color="auto"/>
            <w:right w:val="none" w:sz="0" w:space="0" w:color="auto"/>
          </w:divBdr>
        </w:div>
        <w:div w:id="228923928">
          <w:marLeft w:val="0"/>
          <w:marRight w:val="0"/>
          <w:marTop w:val="0"/>
          <w:marBottom w:val="0"/>
          <w:divBdr>
            <w:top w:val="none" w:sz="0" w:space="0" w:color="auto"/>
            <w:left w:val="none" w:sz="0" w:space="0" w:color="auto"/>
            <w:bottom w:val="none" w:sz="0" w:space="0" w:color="auto"/>
            <w:right w:val="none" w:sz="0" w:space="0" w:color="auto"/>
          </w:divBdr>
        </w:div>
        <w:div w:id="731192149">
          <w:marLeft w:val="0"/>
          <w:marRight w:val="0"/>
          <w:marTop w:val="0"/>
          <w:marBottom w:val="0"/>
          <w:divBdr>
            <w:top w:val="none" w:sz="0" w:space="0" w:color="auto"/>
            <w:left w:val="none" w:sz="0" w:space="0" w:color="auto"/>
            <w:bottom w:val="none" w:sz="0" w:space="0" w:color="auto"/>
            <w:right w:val="none" w:sz="0" w:space="0" w:color="auto"/>
          </w:divBdr>
        </w:div>
        <w:div w:id="646712651">
          <w:marLeft w:val="0"/>
          <w:marRight w:val="0"/>
          <w:marTop w:val="0"/>
          <w:marBottom w:val="0"/>
          <w:divBdr>
            <w:top w:val="none" w:sz="0" w:space="0" w:color="auto"/>
            <w:left w:val="none" w:sz="0" w:space="0" w:color="auto"/>
            <w:bottom w:val="none" w:sz="0" w:space="0" w:color="auto"/>
            <w:right w:val="none" w:sz="0" w:space="0" w:color="auto"/>
          </w:divBdr>
        </w:div>
        <w:div w:id="224948791">
          <w:marLeft w:val="0"/>
          <w:marRight w:val="0"/>
          <w:marTop w:val="0"/>
          <w:marBottom w:val="0"/>
          <w:divBdr>
            <w:top w:val="none" w:sz="0" w:space="0" w:color="auto"/>
            <w:left w:val="none" w:sz="0" w:space="0" w:color="auto"/>
            <w:bottom w:val="none" w:sz="0" w:space="0" w:color="auto"/>
            <w:right w:val="none" w:sz="0" w:space="0" w:color="auto"/>
          </w:divBdr>
        </w:div>
        <w:div w:id="1174147311">
          <w:marLeft w:val="0"/>
          <w:marRight w:val="0"/>
          <w:marTop w:val="0"/>
          <w:marBottom w:val="0"/>
          <w:divBdr>
            <w:top w:val="none" w:sz="0" w:space="0" w:color="auto"/>
            <w:left w:val="none" w:sz="0" w:space="0" w:color="auto"/>
            <w:bottom w:val="none" w:sz="0" w:space="0" w:color="auto"/>
            <w:right w:val="none" w:sz="0" w:space="0" w:color="auto"/>
          </w:divBdr>
        </w:div>
        <w:div w:id="850611475">
          <w:marLeft w:val="0"/>
          <w:marRight w:val="0"/>
          <w:marTop w:val="0"/>
          <w:marBottom w:val="0"/>
          <w:divBdr>
            <w:top w:val="none" w:sz="0" w:space="0" w:color="auto"/>
            <w:left w:val="none" w:sz="0" w:space="0" w:color="auto"/>
            <w:bottom w:val="none" w:sz="0" w:space="0" w:color="auto"/>
            <w:right w:val="none" w:sz="0" w:space="0" w:color="auto"/>
          </w:divBdr>
        </w:div>
        <w:div w:id="1967198153">
          <w:marLeft w:val="0"/>
          <w:marRight w:val="0"/>
          <w:marTop w:val="0"/>
          <w:marBottom w:val="0"/>
          <w:divBdr>
            <w:top w:val="none" w:sz="0" w:space="0" w:color="auto"/>
            <w:left w:val="none" w:sz="0" w:space="0" w:color="auto"/>
            <w:bottom w:val="none" w:sz="0" w:space="0" w:color="auto"/>
            <w:right w:val="none" w:sz="0" w:space="0" w:color="auto"/>
          </w:divBdr>
        </w:div>
        <w:div w:id="635720821">
          <w:marLeft w:val="0"/>
          <w:marRight w:val="0"/>
          <w:marTop w:val="0"/>
          <w:marBottom w:val="0"/>
          <w:divBdr>
            <w:top w:val="none" w:sz="0" w:space="0" w:color="auto"/>
            <w:left w:val="none" w:sz="0" w:space="0" w:color="auto"/>
            <w:bottom w:val="none" w:sz="0" w:space="0" w:color="auto"/>
            <w:right w:val="none" w:sz="0" w:space="0" w:color="auto"/>
          </w:divBdr>
        </w:div>
        <w:div w:id="445777037">
          <w:marLeft w:val="0"/>
          <w:marRight w:val="0"/>
          <w:marTop w:val="0"/>
          <w:marBottom w:val="0"/>
          <w:divBdr>
            <w:top w:val="none" w:sz="0" w:space="0" w:color="auto"/>
            <w:left w:val="none" w:sz="0" w:space="0" w:color="auto"/>
            <w:bottom w:val="none" w:sz="0" w:space="0" w:color="auto"/>
            <w:right w:val="none" w:sz="0" w:space="0" w:color="auto"/>
          </w:divBdr>
        </w:div>
        <w:div w:id="527253021">
          <w:marLeft w:val="0"/>
          <w:marRight w:val="0"/>
          <w:marTop w:val="0"/>
          <w:marBottom w:val="0"/>
          <w:divBdr>
            <w:top w:val="none" w:sz="0" w:space="0" w:color="auto"/>
            <w:left w:val="none" w:sz="0" w:space="0" w:color="auto"/>
            <w:bottom w:val="none" w:sz="0" w:space="0" w:color="auto"/>
            <w:right w:val="none" w:sz="0" w:space="0" w:color="auto"/>
          </w:divBdr>
        </w:div>
      </w:divsChild>
    </w:div>
    <w:div w:id="1965233268">
      <w:bodyDiv w:val="1"/>
      <w:marLeft w:val="0"/>
      <w:marRight w:val="0"/>
      <w:marTop w:val="0"/>
      <w:marBottom w:val="0"/>
      <w:divBdr>
        <w:top w:val="none" w:sz="0" w:space="0" w:color="auto"/>
        <w:left w:val="none" w:sz="0" w:space="0" w:color="auto"/>
        <w:bottom w:val="none" w:sz="0" w:space="0" w:color="auto"/>
        <w:right w:val="none" w:sz="0" w:space="0" w:color="auto"/>
      </w:divBdr>
      <w:divsChild>
        <w:div w:id="2013872787">
          <w:marLeft w:val="0"/>
          <w:marRight w:val="0"/>
          <w:marTop w:val="0"/>
          <w:marBottom w:val="0"/>
          <w:divBdr>
            <w:top w:val="none" w:sz="0" w:space="0" w:color="auto"/>
            <w:left w:val="none" w:sz="0" w:space="0" w:color="auto"/>
            <w:bottom w:val="none" w:sz="0" w:space="0" w:color="auto"/>
            <w:right w:val="none" w:sz="0" w:space="0" w:color="auto"/>
          </w:divBdr>
        </w:div>
        <w:div w:id="471404770">
          <w:marLeft w:val="0"/>
          <w:marRight w:val="0"/>
          <w:marTop w:val="0"/>
          <w:marBottom w:val="0"/>
          <w:divBdr>
            <w:top w:val="none" w:sz="0" w:space="0" w:color="auto"/>
            <w:left w:val="none" w:sz="0" w:space="0" w:color="auto"/>
            <w:bottom w:val="none" w:sz="0" w:space="0" w:color="auto"/>
            <w:right w:val="none" w:sz="0" w:space="0" w:color="auto"/>
          </w:divBdr>
        </w:div>
        <w:div w:id="1030841843">
          <w:marLeft w:val="0"/>
          <w:marRight w:val="0"/>
          <w:marTop w:val="0"/>
          <w:marBottom w:val="0"/>
          <w:divBdr>
            <w:top w:val="none" w:sz="0" w:space="0" w:color="auto"/>
            <w:left w:val="none" w:sz="0" w:space="0" w:color="auto"/>
            <w:bottom w:val="none" w:sz="0" w:space="0" w:color="auto"/>
            <w:right w:val="none" w:sz="0" w:space="0" w:color="auto"/>
          </w:divBdr>
        </w:div>
        <w:div w:id="981693878">
          <w:marLeft w:val="0"/>
          <w:marRight w:val="0"/>
          <w:marTop w:val="0"/>
          <w:marBottom w:val="0"/>
          <w:divBdr>
            <w:top w:val="none" w:sz="0" w:space="0" w:color="auto"/>
            <w:left w:val="none" w:sz="0" w:space="0" w:color="auto"/>
            <w:bottom w:val="none" w:sz="0" w:space="0" w:color="auto"/>
            <w:right w:val="none" w:sz="0" w:space="0" w:color="auto"/>
          </w:divBdr>
        </w:div>
        <w:div w:id="1849055791">
          <w:marLeft w:val="0"/>
          <w:marRight w:val="0"/>
          <w:marTop w:val="0"/>
          <w:marBottom w:val="0"/>
          <w:divBdr>
            <w:top w:val="none" w:sz="0" w:space="0" w:color="auto"/>
            <w:left w:val="none" w:sz="0" w:space="0" w:color="auto"/>
            <w:bottom w:val="none" w:sz="0" w:space="0" w:color="auto"/>
            <w:right w:val="none" w:sz="0" w:space="0" w:color="auto"/>
          </w:divBdr>
        </w:div>
        <w:div w:id="1408845223">
          <w:marLeft w:val="0"/>
          <w:marRight w:val="0"/>
          <w:marTop w:val="0"/>
          <w:marBottom w:val="0"/>
          <w:divBdr>
            <w:top w:val="none" w:sz="0" w:space="0" w:color="auto"/>
            <w:left w:val="none" w:sz="0" w:space="0" w:color="auto"/>
            <w:bottom w:val="none" w:sz="0" w:space="0" w:color="auto"/>
            <w:right w:val="none" w:sz="0" w:space="0" w:color="auto"/>
          </w:divBdr>
        </w:div>
        <w:div w:id="718865368">
          <w:marLeft w:val="0"/>
          <w:marRight w:val="0"/>
          <w:marTop w:val="0"/>
          <w:marBottom w:val="0"/>
          <w:divBdr>
            <w:top w:val="none" w:sz="0" w:space="0" w:color="auto"/>
            <w:left w:val="none" w:sz="0" w:space="0" w:color="auto"/>
            <w:bottom w:val="none" w:sz="0" w:space="0" w:color="auto"/>
            <w:right w:val="none" w:sz="0" w:space="0" w:color="auto"/>
          </w:divBdr>
        </w:div>
        <w:div w:id="2080596321">
          <w:marLeft w:val="0"/>
          <w:marRight w:val="0"/>
          <w:marTop w:val="0"/>
          <w:marBottom w:val="0"/>
          <w:divBdr>
            <w:top w:val="none" w:sz="0" w:space="0" w:color="auto"/>
            <w:left w:val="none" w:sz="0" w:space="0" w:color="auto"/>
            <w:bottom w:val="none" w:sz="0" w:space="0" w:color="auto"/>
            <w:right w:val="none" w:sz="0" w:space="0" w:color="auto"/>
          </w:divBdr>
        </w:div>
        <w:div w:id="1717927142">
          <w:marLeft w:val="0"/>
          <w:marRight w:val="0"/>
          <w:marTop w:val="0"/>
          <w:marBottom w:val="0"/>
          <w:divBdr>
            <w:top w:val="none" w:sz="0" w:space="0" w:color="auto"/>
            <w:left w:val="none" w:sz="0" w:space="0" w:color="auto"/>
            <w:bottom w:val="none" w:sz="0" w:space="0" w:color="auto"/>
            <w:right w:val="none" w:sz="0" w:space="0" w:color="auto"/>
          </w:divBdr>
        </w:div>
        <w:div w:id="851601179">
          <w:marLeft w:val="0"/>
          <w:marRight w:val="0"/>
          <w:marTop w:val="0"/>
          <w:marBottom w:val="0"/>
          <w:divBdr>
            <w:top w:val="none" w:sz="0" w:space="0" w:color="auto"/>
            <w:left w:val="none" w:sz="0" w:space="0" w:color="auto"/>
            <w:bottom w:val="none" w:sz="0" w:space="0" w:color="auto"/>
            <w:right w:val="none" w:sz="0" w:space="0" w:color="auto"/>
          </w:divBdr>
        </w:div>
        <w:div w:id="462046362">
          <w:marLeft w:val="0"/>
          <w:marRight w:val="0"/>
          <w:marTop w:val="0"/>
          <w:marBottom w:val="0"/>
          <w:divBdr>
            <w:top w:val="none" w:sz="0" w:space="0" w:color="auto"/>
            <w:left w:val="none" w:sz="0" w:space="0" w:color="auto"/>
            <w:bottom w:val="none" w:sz="0" w:space="0" w:color="auto"/>
            <w:right w:val="none" w:sz="0" w:space="0" w:color="auto"/>
          </w:divBdr>
        </w:div>
      </w:divsChild>
    </w:div>
    <w:div w:id="1970553607">
      <w:bodyDiv w:val="1"/>
      <w:marLeft w:val="0"/>
      <w:marRight w:val="0"/>
      <w:marTop w:val="0"/>
      <w:marBottom w:val="0"/>
      <w:divBdr>
        <w:top w:val="none" w:sz="0" w:space="0" w:color="auto"/>
        <w:left w:val="none" w:sz="0" w:space="0" w:color="auto"/>
        <w:bottom w:val="none" w:sz="0" w:space="0" w:color="auto"/>
        <w:right w:val="none" w:sz="0" w:space="0" w:color="auto"/>
      </w:divBdr>
      <w:divsChild>
        <w:div w:id="1649548751">
          <w:marLeft w:val="0"/>
          <w:marRight w:val="0"/>
          <w:marTop w:val="0"/>
          <w:marBottom w:val="0"/>
          <w:divBdr>
            <w:top w:val="none" w:sz="0" w:space="0" w:color="auto"/>
            <w:left w:val="none" w:sz="0" w:space="0" w:color="auto"/>
            <w:bottom w:val="none" w:sz="0" w:space="0" w:color="auto"/>
            <w:right w:val="none" w:sz="0" w:space="0" w:color="auto"/>
          </w:divBdr>
        </w:div>
        <w:div w:id="713122176">
          <w:marLeft w:val="0"/>
          <w:marRight w:val="0"/>
          <w:marTop w:val="0"/>
          <w:marBottom w:val="0"/>
          <w:divBdr>
            <w:top w:val="none" w:sz="0" w:space="0" w:color="auto"/>
            <w:left w:val="none" w:sz="0" w:space="0" w:color="auto"/>
            <w:bottom w:val="none" w:sz="0" w:space="0" w:color="auto"/>
            <w:right w:val="none" w:sz="0" w:space="0" w:color="auto"/>
          </w:divBdr>
        </w:div>
        <w:div w:id="63188861">
          <w:marLeft w:val="0"/>
          <w:marRight w:val="0"/>
          <w:marTop w:val="0"/>
          <w:marBottom w:val="0"/>
          <w:divBdr>
            <w:top w:val="none" w:sz="0" w:space="0" w:color="auto"/>
            <w:left w:val="none" w:sz="0" w:space="0" w:color="auto"/>
            <w:bottom w:val="none" w:sz="0" w:space="0" w:color="auto"/>
            <w:right w:val="none" w:sz="0" w:space="0" w:color="auto"/>
          </w:divBdr>
        </w:div>
        <w:div w:id="1857647214">
          <w:marLeft w:val="0"/>
          <w:marRight w:val="0"/>
          <w:marTop w:val="0"/>
          <w:marBottom w:val="0"/>
          <w:divBdr>
            <w:top w:val="none" w:sz="0" w:space="0" w:color="auto"/>
            <w:left w:val="none" w:sz="0" w:space="0" w:color="auto"/>
            <w:bottom w:val="none" w:sz="0" w:space="0" w:color="auto"/>
            <w:right w:val="none" w:sz="0" w:space="0" w:color="auto"/>
          </w:divBdr>
        </w:div>
        <w:div w:id="589581538">
          <w:marLeft w:val="0"/>
          <w:marRight w:val="0"/>
          <w:marTop w:val="0"/>
          <w:marBottom w:val="0"/>
          <w:divBdr>
            <w:top w:val="none" w:sz="0" w:space="0" w:color="auto"/>
            <w:left w:val="none" w:sz="0" w:space="0" w:color="auto"/>
            <w:bottom w:val="none" w:sz="0" w:space="0" w:color="auto"/>
            <w:right w:val="none" w:sz="0" w:space="0" w:color="auto"/>
          </w:divBdr>
        </w:div>
        <w:div w:id="427846643">
          <w:marLeft w:val="0"/>
          <w:marRight w:val="0"/>
          <w:marTop w:val="0"/>
          <w:marBottom w:val="0"/>
          <w:divBdr>
            <w:top w:val="none" w:sz="0" w:space="0" w:color="auto"/>
            <w:left w:val="none" w:sz="0" w:space="0" w:color="auto"/>
            <w:bottom w:val="none" w:sz="0" w:space="0" w:color="auto"/>
            <w:right w:val="none" w:sz="0" w:space="0" w:color="auto"/>
          </w:divBdr>
        </w:div>
        <w:div w:id="2070760482">
          <w:marLeft w:val="0"/>
          <w:marRight w:val="0"/>
          <w:marTop w:val="0"/>
          <w:marBottom w:val="0"/>
          <w:divBdr>
            <w:top w:val="none" w:sz="0" w:space="0" w:color="auto"/>
            <w:left w:val="none" w:sz="0" w:space="0" w:color="auto"/>
            <w:bottom w:val="none" w:sz="0" w:space="0" w:color="auto"/>
            <w:right w:val="none" w:sz="0" w:space="0" w:color="auto"/>
          </w:divBdr>
        </w:div>
        <w:div w:id="1445463204">
          <w:marLeft w:val="0"/>
          <w:marRight w:val="0"/>
          <w:marTop w:val="0"/>
          <w:marBottom w:val="0"/>
          <w:divBdr>
            <w:top w:val="none" w:sz="0" w:space="0" w:color="auto"/>
            <w:left w:val="none" w:sz="0" w:space="0" w:color="auto"/>
            <w:bottom w:val="none" w:sz="0" w:space="0" w:color="auto"/>
            <w:right w:val="none" w:sz="0" w:space="0" w:color="auto"/>
          </w:divBdr>
        </w:div>
        <w:div w:id="156045620">
          <w:marLeft w:val="0"/>
          <w:marRight w:val="0"/>
          <w:marTop w:val="0"/>
          <w:marBottom w:val="0"/>
          <w:divBdr>
            <w:top w:val="none" w:sz="0" w:space="0" w:color="auto"/>
            <w:left w:val="none" w:sz="0" w:space="0" w:color="auto"/>
            <w:bottom w:val="none" w:sz="0" w:space="0" w:color="auto"/>
            <w:right w:val="none" w:sz="0" w:space="0" w:color="auto"/>
          </w:divBdr>
        </w:div>
        <w:div w:id="288048770">
          <w:marLeft w:val="0"/>
          <w:marRight w:val="0"/>
          <w:marTop w:val="0"/>
          <w:marBottom w:val="0"/>
          <w:divBdr>
            <w:top w:val="none" w:sz="0" w:space="0" w:color="auto"/>
            <w:left w:val="none" w:sz="0" w:space="0" w:color="auto"/>
            <w:bottom w:val="none" w:sz="0" w:space="0" w:color="auto"/>
            <w:right w:val="none" w:sz="0" w:space="0" w:color="auto"/>
          </w:divBdr>
        </w:div>
        <w:div w:id="160051190">
          <w:marLeft w:val="0"/>
          <w:marRight w:val="0"/>
          <w:marTop w:val="0"/>
          <w:marBottom w:val="0"/>
          <w:divBdr>
            <w:top w:val="none" w:sz="0" w:space="0" w:color="auto"/>
            <w:left w:val="none" w:sz="0" w:space="0" w:color="auto"/>
            <w:bottom w:val="none" w:sz="0" w:space="0" w:color="auto"/>
            <w:right w:val="none" w:sz="0" w:space="0" w:color="auto"/>
          </w:divBdr>
        </w:div>
      </w:divsChild>
    </w:div>
    <w:div w:id="1986201535">
      <w:bodyDiv w:val="1"/>
      <w:marLeft w:val="0"/>
      <w:marRight w:val="0"/>
      <w:marTop w:val="0"/>
      <w:marBottom w:val="0"/>
      <w:divBdr>
        <w:top w:val="none" w:sz="0" w:space="0" w:color="auto"/>
        <w:left w:val="none" w:sz="0" w:space="0" w:color="auto"/>
        <w:bottom w:val="none" w:sz="0" w:space="0" w:color="auto"/>
        <w:right w:val="none" w:sz="0" w:space="0" w:color="auto"/>
      </w:divBdr>
    </w:div>
    <w:div w:id="2033796826">
      <w:bodyDiv w:val="1"/>
      <w:marLeft w:val="0"/>
      <w:marRight w:val="0"/>
      <w:marTop w:val="0"/>
      <w:marBottom w:val="0"/>
      <w:divBdr>
        <w:top w:val="none" w:sz="0" w:space="0" w:color="auto"/>
        <w:left w:val="none" w:sz="0" w:space="0" w:color="auto"/>
        <w:bottom w:val="none" w:sz="0" w:space="0" w:color="auto"/>
        <w:right w:val="none" w:sz="0" w:space="0" w:color="auto"/>
      </w:divBdr>
      <w:divsChild>
        <w:div w:id="1180897766">
          <w:marLeft w:val="0"/>
          <w:marRight w:val="0"/>
          <w:marTop w:val="0"/>
          <w:marBottom w:val="0"/>
          <w:divBdr>
            <w:top w:val="none" w:sz="0" w:space="0" w:color="auto"/>
            <w:left w:val="none" w:sz="0" w:space="0" w:color="auto"/>
            <w:bottom w:val="none" w:sz="0" w:space="0" w:color="auto"/>
            <w:right w:val="none" w:sz="0" w:space="0" w:color="auto"/>
          </w:divBdr>
        </w:div>
        <w:div w:id="761292043">
          <w:marLeft w:val="0"/>
          <w:marRight w:val="0"/>
          <w:marTop w:val="0"/>
          <w:marBottom w:val="0"/>
          <w:divBdr>
            <w:top w:val="none" w:sz="0" w:space="0" w:color="auto"/>
            <w:left w:val="none" w:sz="0" w:space="0" w:color="auto"/>
            <w:bottom w:val="none" w:sz="0" w:space="0" w:color="auto"/>
            <w:right w:val="none" w:sz="0" w:space="0" w:color="auto"/>
          </w:divBdr>
        </w:div>
        <w:div w:id="134566230">
          <w:marLeft w:val="0"/>
          <w:marRight w:val="0"/>
          <w:marTop w:val="0"/>
          <w:marBottom w:val="0"/>
          <w:divBdr>
            <w:top w:val="none" w:sz="0" w:space="0" w:color="auto"/>
            <w:left w:val="none" w:sz="0" w:space="0" w:color="auto"/>
            <w:bottom w:val="none" w:sz="0" w:space="0" w:color="auto"/>
            <w:right w:val="none" w:sz="0" w:space="0" w:color="auto"/>
          </w:divBdr>
        </w:div>
      </w:divsChild>
    </w:div>
    <w:div w:id="2053799662">
      <w:bodyDiv w:val="1"/>
      <w:marLeft w:val="0"/>
      <w:marRight w:val="0"/>
      <w:marTop w:val="0"/>
      <w:marBottom w:val="0"/>
      <w:divBdr>
        <w:top w:val="none" w:sz="0" w:space="0" w:color="auto"/>
        <w:left w:val="none" w:sz="0" w:space="0" w:color="auto"/>
        <w:bottom w:val="none" w:sz="0" w:space="0" w:color="auto"/>
        <w:right w:val="none" w:sz="0" w:space="0" w:color="auto"/>
      </w:divBdr>
    </w:div>
    <w:div w:id="2054890697">
      <w:bodyDiv w:val="1"/>
      <w:marLeft w:val="0"/>
      <w:marRight w:val="0"/>
      <w:marTop w:val="0"/>
      <w:marBottom w:val="0"/>
      <w:divBdr>
        <w:top w:val="none" w:sz="0" w:space="0" w:color="auto"/>
        <w:left w:val="none" w:sz="0" w:space="0" w:color="auto"/>
        <w:bottom w:val="none" w:sz="0" w:space="0" w:color="auto"/>
        <w:right w:val="none" w:sz="0" w:space="0" w:color="auto"/>
      </w:divBdr>
      <w:divsChild>
        <w:div w:id="685449735">
          <w:marLeft w:val="0"/>
          <w:marRight w:val="0"/>
          <w:marTop w:val="0"/>
          <w:marBottom w:val="0"/>
          <w:divBdr>
            <w:top w:val="none" w:sz="0" w:space="0" w:color="auto"/>
            <w:left w:val="none" w:sz="0" w:space="0" w:color="auto"/>
            <w:bottom w:val="none" w:sz="0" w:space="0" w:color="auto"/>
            <w:right w:val="none" w:sz="0" w:space="0" w:color="auto"/>
          </w:divBdr>
        </w:div>
        <w:div w:id="1959868640">
          <w:marLeft w:val="0"/>
          <w:marRight w:val="0"/>
          <w:marTop w:val="0"/>
          <w:marBottom w:val="0"/>
          <w:divBdr>
            <w:top w:val="none" w:sz="0" w:space="0" w:color="auto"/>
            <w:left w:val="none" w:sz="0" w:space="0" w:color="auto"/>
            <w:bottom w:val="none" w:sz="0" w:space="0" w:color="auto"/>
            <w:right w:val="none" w:sz="0" w:space="0" w:color="auto"/>
          </w:divBdr>
        </w:div>
        <w:div w:id="185873919">
          <w:marLeft w:val="0"/>
          <w:marRight w:val="0"/>
          <w:marTop w:val="0"/>
          <w:marBottom w:val="0"/>
          <w:divBdr>
            <w:top w:val="none" w:sz="0" w:space="0" w:color="auto"/>
            <w:left w:val="none" w:sz="0" w:space="0" w:color="auto"/>
            <w:bottom w:val="none" w:sz="0" w:space="0" w:color="auto"/>
            <w:right w:val="none" w:sz="0" w:space="0" w:color="auto"/>
          </w:divBdr>
        </w:div>
        <w:div w:id="443814139">
          <w:marLeft w:val="0"/>
          <w:marRight w:val="0"/>
          <w:marTop w:val="0"/>
          <w:marBottom w:val="0"/>
          <w:divBdr>
            <w:top w:val="none" w:sz="0" w:space="0" w:color="auto"/>
            <w:left w:val="none" w:sz="0" w:space="0" w:color="auto"/>
            <w:bottom w:val="none" w:sz="0" w:space="0" w:color="auto"/>
            <w:right w:val="none" w:sz="0" w:space="0" w:color="auto"/>
          </w:divBdr>
        </w:div>
        <w:div w:id="18436598">
          <w:marLeft w:val="0"/>
          <w:marRight w:val="0"/>
          <w:marTop w:val="0"/>
          <w:marBottom w:val="0"/>
          <w:divBdr>
            <w:top w:val="none" w:sz="0" w:space="0" w:color="auto"/>
            <w:left w:val="none" w:sz="0" w:space="0" w:color="auto"/>
            <w:bottom w:val="none" w:sz="0" w:space="0" w:color="auto"/>
            <w:right w:val="none" w:sz="0" w:space="0" w:color="auto"/>
          </w:divBdr>
        </w:div>
      </w:divsChild>
    </w:div>
    <w:div w:id="2060667439">
      <w:bodyDiv w:val="1"/>
      <w:marLeft w:val="0"/>
      <w:marRight w:val="0"/>
      <w:marTop w:val="0"/>
      <w:marBottom w:val="0"/>
      <w:divBdr>
        <w:top w:val="none" w:sz="0" w:space="0" w:color="auto"/>
        <w:left w:val="none" w:sz="0" w:space="0" w:color="auto"/>
        <w:bottom w:val="none" w:sz="0" w:space="0" w:color="auto"/>
        <w:right w:val="none" w:sz="0" w:space="0" w:color="auto"/>
      </w:divBdr>
      <w:divsChild>
        <w:div w:id="1440486384">
          <w:marLeft w:val="0"/>
          <w:marRight w:val="0"/>
          <w:marTop w:val="0"/>
          <w:marBottom w:val="0"/>
          <w:divBdr>
            <w:top w:val="none" w:sz="0" w:space="0" w:color="auto"/>
            <w:left w:val="none" w:sz="0" w:space="0" w:color="auto"/>
            <w:bottom w:val="none" w:sz="0" w:space="0" w:color="auto"/>
            <w:right w:val="none" w:sz="0" w:space="0" w:color="auto"/>
          </w:divBdr>
        </w:div>
        <w:div w:id="1662852100">
          <w:marLeft w:val="0"/>
          <w:marRight w:val="0"/>
          <w:marTop w:val="0"/>
          <w:marBottom w:val="0"/>
          <w:divBdr>
            <w:top w:val="none" w:sz="0" w:space="0" w:color="auto"/>
            <w:left w:val="none" w:sz="0" w:space="0" w:color="auto"/>
            <w:bottom w:val="none" w:sz="0" w:space="0" w:color="auto"/>
            <w:right w:val="none" w:sz="0" w:space="0" w:color="auto"/>
          </w:divBdr>
        </w:div>
        <w:div w:id="1330402275">
          <w:marLeft w:val="0"/>
          <w:marRight w:val="0"/>
          <w:marTop w:val="0"/>
          <w:marBottom w:val="0"/>
          <w:divBdr>
            <w:top w:val="none" w:sz="0" w:space="0" w:color="auto"/>
            <w:left w:val="none" w:sz="0" w:space="0" w:color="auto"/>
            <w:bottom w:val="none" w:sz="0" w:space="0" w:color="auto"/>
            <w:right w:val="none" w:sz="0" w:space="0" w:color="auto"/>
          </w:divBdr>
        </w:div>
        <w:div w:id="1155537553">
          <w:marLeft w:val="0"/>
          <w:marRight w:val="0"/>
          <w:marTop w:val="0"/>
          <w:marBottom w:val="0"/>
          <w:divBdr>
            <w:top w:val="none" w:sz="0" w:space="0" w:color="auto"/>
            <w:left w:val="none" w:sz="0" w:space="0" w:color="auto"/>
            <w:bottom w:val="none" w:sz="0" w:space="0" w:color="auto"/>
            <w:right w:val="none" w:sz="0" w:space="0" w:color="auto"/>
          </w:divBdr>
        </w:div>
        <w:div w:id="907417090">
          <w:marLeft w:val="0"/>
          <w:marRight w:val="0"/>
          <w:marTop w:val="0"/>
          <w:marBottom w:val="0"/>
          <w:divBdr>
            <w:top w:val="none" w:sz="0" w:space="0" w:color="auto"/>
            <w:left w:val="none" w:sz="0" w:space="0" w:color="auto"/>
            <w:bottom w:val="none" w:sz="0" w:space="0" w:color="auto"/>
            <w:right w:val="none" w:sz="0" w:space="0" w:color="auto"/>
          </w:divBdr>
        </w:div>
        <w:div w:id="1591311518">
          <w:marLeft w:val="0"/>
          <w:marRight w:val="0"/>
          <w:marTop w:val="0"/>
          <w:marBottom w:val="0"/>
          <w:divBdr>
            <w:top w:val="none" w:sz="0" w:space="0" w:color="auto"/>
            <w:left w:val="none" w:sz="0" w:space="0" w:color="auto"/>
            <w:bottom w:val="none" w:sz="0" w:space="0" w:color="auto"/>
            <w:right w:val="none" w:sz="0" w:space="0" w:color="auto"/>
          </w:divBdr>
        </w:div>
        <w:div w:id="1539733504">
          <w:marLeft w:val="0"/>
          <w:marRight w:val="0"/>
          <w:marTop w:val="0"/>
          <w:marBottom w:val="0"/>
          <w:divBdr>
            <w:top w:val="none" w:sz="0" w:space="0" w:color="auto"/>
            <w:left w:val="none" w:sz="0" w:space="0" w:color="auto"/>
            <w:bottom w:val="none" w:sz="0" w:space="0" w:color="auto"/>
            <w:right w:val="none" w:sz="0" w:space="0" w:color="auto"/>
          </w:divBdr>
        </w:div>
        <w:div w:id="1317294909">
          <w:marLeft w:val="0"/>
          <w:marRight w:val="0"/>
          <w:marTop w:val="0"/>
          <w:marBottom w:val="0"/>
          <w:divBdr>
            <w:top w:val="none" w:sz="0" w:space="0" w:color="auto"/>
            <w:left w:val="none" w:sz="0" w:space="0" w:color="auto"/>
            <w:bottom w:val="none" w:sz="0" w:space="0" w:color="auto"/>
            <w:right w:val="none" w:sz="0" w:space="0" w:color="auto"/>
          </w:divBdr>
        </w:div>
        <w:div w:id="2091268593">
          <w:marLeft w:val="0"/>
          <w:marRight w:val="0"/>
          <w:marTop w:val="0"/>
          <w:marBottom w:val="0"/>
          <w:divBdr>
            <w:top w:val="none" w:sz="0" w:space="0" w:color="auto"/>
            <w:left w:val="none" w:sz="0" w:space="0" w:color="auto"/>
            <w:bottom w:val="none" w:sz="0" w:space="0" w:color="auto"/>
            <w:right w:val="none" w:sz="0" w:space="0" w:color="auto"/>
          </w:divBdr>
        </w:div>
      </w:divsChild>
    </w:div>
    <w:div w:id="2062290762">
      <w:bodyDiv w:val="1"/>
      <w:marLeft w:val="0"/>
      <w:marRight w:val="0"/>
      <w:marTop w:val="0"/>
      <w:marBottom w:val="0"/>
      <w:divBdr>
        <w:top w:val="none" w:sz="0" w:space="0" w:color="auto"/>
        <w:left w:val="none" w:sz="0" w:space="0" w:color="auto"/>
        <w:bottom w:val="none" w:sz="0" w:space="0" w:color="auto"/>
        <w:right w:val="none" w:sz="0" w:space="0" w:color="auto"/>
      </w:divBdr>
      <w:divsChild>
        <w:div w:id="1581285133">
          <w:marLeft w:val="0"/>
          <w:marRight w:val="0"/>
          <w:marTop w:val="0"/>
          <w:marBottom w:val="0"/>
          <w:divBdr>
            <w:top w:val="none" w:sz="0" w:space="0" w:color="auto"/>
            <w:left w:val="none" w:sz="0" w:space="0" w:color="auto"/>
            <w:bottom w:val="none" w:sz="0" w:space="0" w:color="auto"/>
            <w:right w:val="none" w:sz="0" w:space="0" w:color="auto"/>
          </w:divBdr>
        </w:div>
        <w:div w:id="1152866058">
          <w:marLeft w:val="0"/>
          <w:marRight w:val="0"/>
          <w:marTop w:val="0"/>
          <w:marBottom w:val="0"/>
          <w:divBdr>
            <w:top w:val="none" w:sz="0" w:space="0" w:color="auto"/>
            <w:left w:val="none" w:sz="0" w:space="0" w:color="auto"/>
            <w:bottom w:val="none" w:sz="0" w:space="0" w:color="auto"/>
            <w:right w:val="none" w:sz="0" w:space="0" w:color="auto"/>
          </w:divBdr>
        </w:div>
        <w:div w:id="1009680381">
          <w:marLeft w:val="0"/>
          <w:marRight w:val="0"/>
          <w:marTop w:val="0"/>
          <w:marBottom w:val="0"/>
          <w:divBdr>
            <w:top w:val="none" w:sz="0" w:space="0" w:color="auto"/>
            <w:left w:val="none" w:sz="0" w:space="0" w:color="auto"/>
            <w:bottom w:val="none" w:sz="0" w:space="0" w:color="auto"/>
            <w:right w:val="none" w:sz="0" w:space="0" w:color="auto"/>
          </w:divBdr>
        </w:div>
        <w:div w:id="707686402">
          <w:marLeft w:val="0"/>
          <w:marRight w:val="0"/>
          <w:marTop w:val="0"/>
          <w:marBottom w:val="0"/>
          <w:divBdr>
            <w:top w:val="none" w:sz="0" w:space="0" w:color="auto"/>
            <w:left w:val="none" w:sz="0" w:space="0" w:color="auto"/>
            <w:bottom w:val="none" w:sz="0" w:space="0" w:color="auto"/>
            <w:right w:val="none" w:sz="0" w:space="0" w:color="auto"/>
          </w:divBdr>
        </w:div>
        <w:div w:id="425882149">
          <w:marLeft w:val="0"/>
          <w:marRight w:val="0"/>
          <w:marTop w:val="0"/>
          <w:marBottom w:val="0"/>
          <w:divBdr>
            <w:top w:val="none" w:sz="0" w:space="0" w:color="auto"/>
            <w:left w:val="none" w:sz="0" w:space="0" w:color="auto"/>
            <w:bottom w:val="none" w:sz="0" w:space="0" w:color="auto"/>
            <w:right w:val="none" w:sz="0" w:space="0" w:color="auto"/>
          </w:divBdr>
        </w:div>
        <w:div w:id="291130597">
          <w:marLeft w:val="0"/>
          <w:marRight w:val="0"/>
          <w:marTop w:val="0"/>
          <w:marBottom w:val="0"/>
          <w:divBdr>
            <w:top w:val="none" w:sz="0" w:space="0" w:color="auto"/>
            <w:left w:val="none" w:sz="0" w:space="0" w:color="auto"/>
            <w:bottom w:val="none" w:sz="0" w:space="0" w:color="auto"/>
            <w:right w:val="none" w:sz="0" w:space="0" w:color="auto"/>
          </w:divBdr>
        </w:div>
      </w:divsChild>
    </w:div>
    <w:div w:id="2067340197">
      <w:bodyDiv w:val="1"/>
      <w:marLeft w:val="0"/>
      <w:marRight w:val="0"/>
      <w:marTop w:val="0"/>
      <w:marBottom w:val="0"/>
      <w:divBdr>
        <w:top w:val="none" w:sz="0" w:space="0" w:color="auto"/>
        <w:left w:val="none" w:sz="0" w:space="0" w:color="auto"/>
        <w:bottom w:val="none" w:sz="0" w:space="0" w:color="auto"/>
        <w:right w:val="none" w:sz="0" w:space="0" w:color="auto"/>
      </w:divBdr>
      <w:divsChild>
        <w:div w:id="1521967962">
          <w:marLeft w:val="0"/>
          <w:marRight w:val="0"/>
          <w:marTop w:val="0"/>
          <w:marBottom w:val="0"/>
          <w:divBdr>
            <w:top w:val="none" w:sz="0" w:space="0" w:color="auto"/>
            <w:left w:val="none" w:sz="0" w:space="0" w:color="auto"/>
            <w:bottom w:val="none" w:sz="0" w:space="0" w:color="auto"/>
            <w:right w:val="none" w:sz="0" w:space="0" w:color="auto"/>
          </w:divBdr>
        </w:div>
        <w:div w:id="254244865">
          <w:marLeft w:val="0"/>
          <w:marRight w:val="0"/>
          <w:marTop w:val="0"/>
          <w:marBottom w:val="0"/>
          <w:divBdr>
            <w:top w:val="none" w:sz="0" w:space="0" w:color="auto"/>
            <w:left w:val="none" w:sz="0" w:space="0" w:color="auto"/>
            <w:bottom w:val="none" w:sz="0" w:space="0" w:color="auto"/>
            <w:right w:val="none" w:sz="0" w:space="0" w:color="auto"/>
          </w:divBdr>
        </w:div>
        <w:div w:id="2020741318">
          <w:marLeft w:val="0"/>
          <w:marRight w:val="0"/>
          <w:marTop w:val="0"/>
          <w:marBottom w:val="0"/>
          <w:divBdr>
            <w:top w:val="none" w:sz="0" w:space="0" w:color="auto"/>
            <w:left w:val="none" w:sz="0" w:space="0" w:color="auto"/>
            <w:bottom w:val="none" w:sz="0" w:space="0" w:color="auto"/>
            <w:right w:val="none" w:sz="0" w:space="0" w:color="auto"/>
          </w:divBdr>
        </w:div>
        <w:div w:id="2084526046">
          <w:marLeft w:val="0"/>
          <w:marRight w:val="0"/>
          <w:marTop w:val="0"/>
          <w:marBottom w:val="0"/>
          <w:divBdr>
            <w:top w:val="none" w:sz="0" w:space="0" w:color="auto"/>
            <w:left w:val="none" w:sz="0" w:space="0" w:color="auto"/>
            <w:bottom w:val="none" w:sz="0" w:space="0" w:color="auto"/>
            <w:right w:val="none" w:sz="0" w:space="0" w:color="auto"/>
          </w:divBdr>
        </w:div>
        <w:div w:id="1864514281">
          <w:marLeft w:val="0"/>
          <w:marRight w:val="0"/>
          <w:marTop w:val="0"/>
          <w:marBottom w:val="0"/>
          <w:divBdr>
            <w:top w:val="none" w:sz="0" w:space="0" w:color="auto"/>
            <w:left w:val="none" w:sz="0" w:space="0" w:color="auto"/>
            <w:bottom w:val="none" w:sz="0" w:space="0" w:color="auto"/>
            <w:right w:val="none" w:sz="0" w:space="0" w:color="auto"/>
          </w:divBdr>
        </w:div>
        <w:div w:id="347755379">
          <w:marLeft w:val="0"/>
          <w:marRight w:val="0"/>
          <w:marTop w:val="0"/>
          <w:marBottom w:val="0"/>
          <w:divBdr>
            <w:top w:val="none" w:sz="0" w:space="0" w:color="auto"/>
            <w:left w:val="none" w:sz="0" w:space="0" w:color="auto"/>
            <w:bottom w:val="none" w:sz="0" w:space="0" w:color="auto"/>
            <w:right w:val="none" w:sz="0" w:space="0" w:color="auto"/>
          </w:divBdr>
        </w:div>
      </w:divsChild>
    </w:div>
    <w:div w:id="2081321946">
      <w:bodyDiv w:val="1"/>
      <w:marLeft w:val="0"/>
      <w:marRight w:val="0"/>
      <w:marTop w:val="0"/>
      <w:marBottom w:val="0"/>
      <w:divBdr>
        <w:top w:val="none" w:sz="0" w:space="0" w:color="auto"/>
        <w:left w:val="none" w:sz="0" w:space="0" w:color="auto"/>
        <w:bottom w:val="none" w:sz="0" w:space="0" w:color="auto"/>
        <w:right w:val="none" w:sz="0" w:space="0" w:color="auto"/>
      </w:divBdr>
      <w:divsChild>
        <w:div w:id="255988566">
          <w:marLeft w:val="0"/>
          <w:marRight w:val="0"/>
          <w:marTop w:val="0"/>
          <w:marBottom w:val="0"/>
          <w:divBdr>
            <w:top w:val="none" w:sz="0" w:space="0" w:color="auto"/>
            <w:left w:val="none" w:sz="0" w:space="0" w:color="auto"/>
            <w:bottom w:val="none" w:sz="0" w:space="0" w:color="auto"/>
            <w:right w:val="none" w:sz="0" w:space="0" w:color="auto"/>
          </w:divBdr>
        </w:div>
        <w:div w:id="1291209202">
          <w:marLeft w:val="0"/>
          <w:marRight w:val="0"/>
          <w:marTop w:val="0"/>
          <w:marBottom w:val="0"/>
          <w:divBdr>
            <w:top w:val="none" w:sz="0" w:space="0" w:color="auto"/>
            <w:left w:val="none" w:sz="0" w:space="0" w:color="auto"/>
            <w:bottom w:val="none" w:sz="0" w:space="0" w:color="auto"/>
            <w:right w:val="none" w:sz="0" w:space="0" w:color="auto"/>
          </w:divBdr>
        </w:div>
        <w:div w:id="1872961359">
          <w:marLeft w:val="0"/>
          <w:marRight w:val="0"/>
          <w:marTop w:val="0"/>
          <w:marBottom w:val="0"/>
          <w:divBdr>
            <w:top w:val="none" w:sz="0" w:space="0" w:color="auto"/>
            <w:left w:val="none" w:sz="0" w:space="0" w:color="auto"/>
            <w:bottom w:val="none" w:sz="0" w:space="0" w:color="auto"/>
            <w:right w:val="none" w:sz="0" w:space="0" w:color="auto"/>
          </w:divBdr>
        </w:div>
        <w:div w:id="822307638">
          <w:marLeft w:val="0"/>
          <w:marRight w:val="0"/>
          <w:marTop w:val="0"/>
          <w:marBottom w:val="0"/>
          <w:divBdr>
            <w:top w:val="none" w:sz="0" w:space="0" w:color="auto"/>
            <w:left w:val="none" w:sz="0" w:space="0" w:color="auto"/>
            <w:bottom w:val="none" w:sz="0" w:space="0" w:color="auto"/>
            <w:right w:val="none" w:sz="0" w:space="0" w:color="auto"/>
          </w:divBdr>
        </w:div>
        <w:div w:id="243227434">
          <w:marLeft w:val="0"/>
          <w:marRight w:val="0"/>
          <w:marTop w:val="0"/>
          <w:marBottom w:val="0"/>
          <w:divBdr>
            <w:top w:val="none" w:sz="0" w:space="0" w:color="auto"/>
            <w:left w:val="none" w:sz="0" w:space="0" w:color="auto"/>
            <w:bottom w:val="none" w:sz="0" w:space="0" w:color="auto"/>
            <w:right w:val="none" w:sz="0" w:space="0" w:color="auto"/>
          </w:divBdr>
        </w:div>
        <w:div w:id="202058683">
          <w:marLeft w:val="0"/>
          <w:marRight w:val="0"/>
          <w:marTop w:val="0"/>
          <w:marBottom w:val="0"/>
          <w:divBdr>
            <w:top w:val="none" w:sz="0" w:space="0" w:color="auto"/>
            <w:left w:val="none" w:sz="0" w:space="0" w:color="auto"/>
            <w:bottom w:val="none" w:sz="0" w:space="0" w:color="auto"/>
            <w:right w:val="none" w:sz="0" w:space="0" w:color="auto"/>
          </w:divBdr>
        </w:div>
        <w:div w:id="934752581">
          <w:marLeft w:val="0"/>
          <w:marRight w:val="0"/>
          <w:marTop w:val="0"/>
          <w:marBottom w:val="0"/>
          <w:divBdr>
            <w:top w:val="none" w:sz="0" w:space="0" w:color="auto"/>
            <w:left w:val="none" w:sz="0" w:space="0" w:color="auto"/>
            <w:bottom w:val="none" w:sz="0" w:space="0" w:color="auto"/>
            <w:right w:val="none" w:sz="0" w:space="0" w:color="auto"/>
          </w:divBdr>
        </w:div>
        <w:div w:id="1262958746">
          <w:marLeft w:val="0"/>
          <w:marRight w:val="0"/>
          <w:marTop w:val="0"/>
          <w:marBottom w:val="0"/>
          <w:divBdr>
            <w:top w:val="none" w:sz="0" w:space="0" w:color="auto"/>
            <w:left w:val="none" w:sz="0" w:space="0" w:color="auto"/>
            <w:bottom w:val="none" w:sz="0" w:space="0" w:color="auto"/>
            <w:right w:val="none" w:sz="0" w:space="0" w:color="auto"/>
          </w:divBdr>
        </w:div>
        <w:div w:id="1988631290">
          <w:marLeft w:val="0"/>
          <w:marRight w:val="0"/>
          <w:marTop w:val="0"/>
          <w:marBottom w:val="0"/>
          <w:divBdr>
            <w:top w:val="none" w:sz="0" w:space="0" w:color="auto"/>
            <w:left w:val="none" w:sz="0" w:space="0" w:color="auto"/>
            <w:bottom w:val="none" w:sz="0" w:space="0" w:color="auto"/>
            <w:right w:val="none" w:sz="0" w:space="0" w:color="auto"/>
          </w:divBdr>
        </w:div>
        <w:div w:id="164903766">
          <w:marLeft w:val="0"/>
          <w:marRight w:val="0"/>
          <w:marTop w:val="0"/>
          <w:marBottom w:val="0"/>
          <w:divBdr>
            <w:top w:val="none" w:sz="0" w:space="0" w:color="auto"/>
            <w:left w:val="none" w:sz="0" w:space="0" w:color="auto"/>
            <w:bottom w:val="none" w:sz="0" w:space="0" w:color="auto"/>
            <w:right w:val="none" w:sz="0" w:space="0" w:color="auto"/>
          </w:divBdr>
        </w:div>
        <w:div w:id="1491290040">
          <w:marLeft w:val="0"/>
          <w:marRight w:val="0"/>
          <w:marTop w:val="0"/>
          <w:marBottom w:val="0"/>
          <w:divBdr>
            <w:top w:val="none" w:sz="0" w:space="0" w:color="auto"/>
            <w:left w:val="none" w:sz="0" w:space="0" w:color="auto"/>
            <w:bottom w:val="none" w:sz="0" w:space="0" w:color="auto"/>
            <w:right w:val="none" w:sz="0" w:space="0" w:color="auto"/>
          </w:divBdr>
        </w:div>
        <w:div w:id="1895464392">
          <w:marLeft w:val="0"/>
          <w:marRight w:val="0"/>
          <w:marTop w:val="0"/>
          <w:marBottom w:val="0"/>
          <w:divBdr>
            <w:top w:val="none" w:sz="0" w:space="0" w:color="auto"/>
            <w:left w:val="none" w:sz="0" w:space="0" w:color="auto"/>
            <w:bottom w:val="none" w:sz="0" w:space="0" w:color="auto"/>
            <w:right w:val="none" w:sz="0" w:space="0" w:color="auto"/>
          </w:divBdr>
        </w:div>
        <w:div w:id="2098625391">
          <w:marLeft w:val="0"/>
          <w:marRight w:val="0"/>
          <w:marTop w:val="0"/>
          <w:marBottom w:val="0"/>
          <w:divBdr>
            <w:top w:val="none" w:sz="0" w:space="0" w:color="auto"/>
            <w:left w:val="none" w:sz="0" w:space="0" w:color="auto"/>
            <w:bottom w:val="none" w:sz="0" w:space="0" w:color="auto"/>
            <w:right w:val="none" w:sz="0" w:space="0" w:color="auto"/>
          </w:divBdr>
        </w:div>
        <w:div w:id="1972246323">
          <w:marLeft w:val="0"/>
          <w:marRight w:val="0"/>
          <w:marTop w:val="0"/>
          <w:marBottom w:val="0"/>
          <w:divBdr>
            <w:top w:val="none" w:sz="0" w:space="0" w:color="auto"/>
            <w:left w:val="none" w:sz="0" w:space="0" w:color="auto"/>
            <w:bottom w:val="none" w:sz="0" w:space="0" w:color="auto"/>
            <w:right w:val="none" w:sz="0" w:space="0" w:color="auto"/>
          </w:divBdr>
        </w:div>
      </w:divsChild>
    </w:div>
    <w:div w:id="2114856060">
      <w:bodyDiv w:val="1"/>
      <w:marLeft w:val="0"/>
      <w:marRight w:val="0"/>
      <w:marTop w:val="0"/>
      <w:marBottom w:val="0"/>
      <w:divBdr>
        <w:top w:val="none" w:sz="0" w:space="0" w:color="auto"/>
        <w:left w:val="none" w:sz="0" w:space="0" w:color="auto"/>
        <w:bottom w:val="none" w:sz="0" w:space="0" w:color="auto"/>
        <w:right w:val="none" w:sz="0" w:space="0" w:color="auto"/>
      </w:divBdr>
      <w:divsChild>
        <w:div w:id="1390610311">
          <w:marLeft w:val="0"/>
          <w:marRight w:val="0"/>
          <w:marTop w:val="0"/>
          <w:marBottom w:val="0"/>
          <w:divBdr>
            <w:top w:val="none" w:sz="0" w:space="0" w:color="auto"/>
            <w:left w:val="none" w:sz="0" w:space="0" w:color="auto"/>
            <w:bottom w:val="none" w:sz="0" w:space="0" w:color="auto"/>
            <w:right w:val="none" w:sz="0" w:space="0" w:color="auto"/>
          </w:divBdr>
        </w:div>
        <w:div w:id="1089617930">
          <w:marLeft w:val="0"/>
          <w:marRight w:val="0"/>
          <w:marTop w:val="0"/>
          <w:marBottom w:val="0"/>
          <w:divBdr>
            <w:top w:val="none" w:sz="0" w:space="0" w:color="auto"/>
            <w:left w:val="none" w:sz="0" w:space="0" w:color="auto"/>
            <w:bottom w:val="none" w:sz="0" w:space="0" w:color="auto"/>
            <w:right w:val="none" w:sz="0" w:space="0" w:color="auto"/>
          </w:divBdr>
        </w:div>
        <w:div w:id="1403140831">
          <w:marLeft w:val="0"/>
          <w:marRight w:val="0"/>
          <w:marTop w:val="0"/>
          <w:marBottom w:val="0"/>
          <w:divBdr>
            <w:top w:val="none" w:sz="0" w:space="0" w:color="auto"/>
            <w:left w:val="none" w:sz="0" w:space="0" w:color="auto"/>
            <w:bottom w:val="none" w:sz="0" w:space="0" w:color="auto"/>
            <w:right w:val="none" w:sz="0" w:space="0" w:color="auto"/>
          </w:divBdr>
        </w:div>
        <w:div w:id="587924482">
          <w:marLeft w:val="0"/>
          <w:marRight w:val="0"/>
          <w:marTop w:val="0"/>
          <w:marBottom w:val="0"/>
          <w:divBdr>
            <w:top w:val="none" w:sz="0" w:space="0" w:color="auto"/>
            <w:left w:val="none" w:sz="0" w:space="0" w:color="auto"/>
            <w:bottom w:val="none" w:sz="0" w:space="0" w:color="auto"/>
            <w:right w:val="none" w:sz="0" w:space="0" w:color="auto"/>
          </w:divBdr>
        </w:div>
        <w:div w:id="1251354628">
          <w:marLeft w:val="0"/>
          <w:marRight w:val="0"/>
          <w:marTop w:val="0"/>
          <w:marBottom w:val="0"/>
          <w:divBdr>
            <w:top w:val="none" w:sz="0" w:space="0" w:color="auto"/>
            <w:left w:val="none" w:sz="0" w:space="0" w:color="auto"/>
            <w:bottom w:val="none" w:sz="0" w:space="0" w:color="auto"/>
            <w:right w:val="none" w:sz="0" w:space="0" w:color="auto"/>
          </w:divBdr>
        </w:div>
        <w:div w:id="717364234">
          <w:marLeft w:val="0"/>
          <w:marRight w:val="0"/>
          <w:marTop w:val="0"/>
          <w:marBottom w:val="0"/>
          <w:divBdr>
            <w:top w:val="none" w:sz="0" w:space="0" w:color="auto"/>
            <w:left w:val="none" w:sz="0" w:space="0" w:color="auto"/>
            <w:bottom w:val="none" w:sz="0" w:space="0" w:color="auto"/>
            <w:right w:val="none" w:sz="0" w:space="0" w:color="auto"/>
          </w:divBdr>
        </w:div>
        <w:div w:id="900752313">
          <w:marLeft w:val="0"/>
          <w:marRight w:val="0"/>
          <w:marTop w:val="0"/>
          <w:marBottom w:val="0"/>
          <w:divBdr>
            <w:top w:val="none" w:sz="0" w:space="0" w:color="auto"/>
            <w:left w:val="none" w:sz="0" w:space="0" w:color="auto"/>
            <w:bottom w:val="none" w:sz="0" w:space="0" w:color="auto"/>
            <w:right w:val="none" w:sz="0" w:space="0" w:color="auto"/>
          </w:divBdr>
        </w:div>
        <w:div w:id="1346781917">
          <w:marLeft w:val="0"/>
          <w:marRight w:val="0"/>
          <w:marTop w:val="0"/>
          <w:marBottom w:val="0"/>
          <w:divBdr>
            <w:top w:val="none" w:sz="0" w:space="0" w:color="auto"/>
            <w:left w:val="none" w:sz="0" w:space="0" w:color="auto"/>
            <w:bottom w:val="none" w:sz="0" w:space="0" w:color="auto"/>
            <w:right w:val="none" w:sz="0" w:space="0" w:color="auto"/>
          </w:divBdr>
        </w:div>
        <w:div w:id="1181627701">
          <w:marLeft w:val="0"/>
          <w:marRight w:val="0"/>
          <w:marTop w:val="0"/>
          <w:marBottom w:val="0"/>
          <w:divBdr>
            <w:top w:val="none" w:sz="0" w:space="0" w:color="auto"/>
            <w:left w:val="none" w:sz="0" w:space="0" w:color="auto"/>
            <w:bottom w:val="none" w:sz="0" w:space="0" w:color="auto"/>
            <w:right w:val="none" w:sz="0" w:space="0" w:color="auto"/>
          </w:divBdr>
        </w:div>
        <w:div w:id="1154955412">
          <w:marLeft w:val="0"/>
          <w:marRight w:val="0"/>
          <w:marTop w:val="0"/>
          <w:marBottom w:val="0"/>
          <w:divBdr>
            <w:top w:val="none" w:sz="0" w:space="0" w:color="auto"/>
            <w:left w:val="none" w:sz="0" w:space="0" w:color="auto"/>
            <w:bottom w:val="none" w:sz="0" w:space="0" w:color="auto"/>
            <w:right w:val="none" w:sz="0" w:space="0" w:color="auto"/>
          </w:divBdr>
        </w:div>
        <w:div w:id="789399867">
          <w:marLeft w:val="0"/>
          <w:marRight w:val="0"/>
          <w:marTop w:val="0"/>
          <w:marBottom w:val="0"/>
          <w:divBdr>
            <w:top w:val="none" w:sz="0" w:space="0" w:color="auto"/>
            <w:left w:val="none" w:sz="0" w:space="0" w:color="auto"/>
            <w:bottom w:val="none" w:sz="0" w:space="0" w:color="auto"/>
            <w:right w:val="none" w:sz="0" w:space="0" w:color="auto"/>
          </w:divBdr>
        </w:div>
        <w:div w:id="1853833186">
          <w:marLeft w:val="0"/>
          <w:marRight w:val="0"/>
          <w:marTop w:val="0"/>
          <w:marBottom w:val="0"/>
          <w:divBdr>
            <w:top w:val="none" w:sz="0" w:space="0" w:color="auto"/>
            <w:left w:val="none" w:sz="0" w:space="0" w:color="auto"/>
            <w:bottom w:val="none" w:sz="0" w:space="0" w:color="auto"/>
            <w:right w:val="none" w:sz="0" w:space="0" w:color="auto"/>
          </w:divBdr>
        </w:div>
        <w:div w:id="1312521820">
          <w:marLeft w:val="0"/>
          <w:marRight w:val="0"/>
          <w:marTop w:val="0"/>
          <w:marBottom w:val="0"/>
          <w:divBdr>
            <w:top w:val="none" w:sz="0" w:space="0" w:color="auto"/>
            <w:left w:val="none" w:sz="0" w:space="0" w:color="auto"/>
            <w:bottom w:val="none" w:sz="0" w:space="0" w:color="auto"/>
            <w:right w:val="none" w:sz="0" w:space="0" w:color="auto"/>
          </w:divBdr>
        </w:div>
        <w:div w:id="1121998064">
          <w:marLeft w:val="0"/>
          <w:marRight w:val="0"/>
          <w:marTop w:val="0"/>
          <w:marBottom w:val="0"/>
          <w:divBdr>
            <w:top w:val="none" w:sz="0" w:space="0" w:color="auto"/>
            <w:left w:val="none" w:sz="0" w:space="0" w:color="auto"/>
            <w:bottom w:val="none" w:sz="0" w:space="0" w:color="auto"/>
            <w:right w:val="none" w:sz="0" w:space="0" w:color="auto"/>
          </w:divBdr>
        </w:div>
        <w:div w:id="358818876">
          <w:marLeft w:val="0"/>
          <w:marRight w:val="0"/>
          <w:marTop w:val="0"/>
          <w:marBottom w:val="0"/>
          <w:divBdr>
            <w:top w:val="none" w:sz="0" w:space="0" w:color="auto"/>
            <w:left w:val="none" w:sz="0" w:space="0" w:color="auto"/>
            <w:bottom w:val="none" w:sz="0" w:space="0" w:color="auto"/>
            <w:right w:val="none" w:sz="0" w:space="0" w:color="auto"/>
          </w:divBdr>
        </w:div>
        <w:div w:id="710688937">
          <w:marLeft w:val="0"/>
          <w:marRight w:val="0"/>
          <w:marTop w:val="0"/>
          <w:marBottom w:val="0"/>
          <w:divBdr>
            <w:top w:val="none" w:sz="0" w:space="0" w:color="auto"/>
            <w:left w:val="none" w:sz="0" w:space="0" w:color="auto"/>
            <w:bottom w:val="none" w:sz="0" w:space="0" w:color="auto"/>
            <w:right w:val="none" w:sz="0" w:space="0" w:color="auto"/>
          </w:divBdr>
        </w:div>
        <w:div w:id="469447228">
          <w:marLeft w:val="0"/>
          <w:marRight w:val="0"/>
          <w:marTop w:val="0"/>
          <w:marBottom w:val="0"/>
          <w:divBdr>
            <w:top w:val="none" w:sz="0" w:space="0" w:color="auto"/>
            <w:left w:val="none" w:sz="0" w:space="0" w:color="auto"/>
            <w:bottom w:val="none" w:sz="0" w:space="0" w:color="auto"/>
            <w:right w:val="none" w:sz="0" w:space="0" w:color="auto"/>
          </w:divBdr>
        </w:div>
        <w:div w:id="1014109488">
          <w:marLeft w:val="0"/>
          <w:marRight w:val="0"/>
          <w:marTop w:val="0"/>
          <w:marBottom w:val="0"/>
          <w:divBdr>
            <w:top w:val="none" w:sz="0" w:space="0" w:color="auto"/>
            <w:left w:val="none" w:sz="0" w:space="0" w:color="auto"/>
            <w:bottom w:val="none" w:sz="0" w:space="0" w:color="auto"/>
            <w:right w:val="none" w:sz="0" w:space="0" w:color="auto"/>
          </w:divBdr>
        </w:div>
        <w:div w:id="1535650797">
          <w:marLeft w:val="0"/>
          <w:marRight w:val="0"/>
          <w:marTop w:val="0"/>
          <w:marBottom w:val="0"/>
          <w:divBdr>
            <w:top w:val="none" w:sz="0" w:space="0" w:color="auto"/>
            <w:left w:val="none" w:sz="0" w:space="0" w:color="auto"/>
            <w:bottom w:val="none" w:sz="0" w:space="0" w:color="auto"/>
            <w:right w:val="none" w:sz="0" w:space="0" w:color="auto"/>
          </w:divBdr>
        </w:div>
        <w:div w:id="674267071">
          <w:marLeft w:val="0"/>
          <w:marRight w:val="0"/>
          <w:marTop w:val="0"/>
          <w:marBottom w:val="0"/>
          <w:divBdr>
            <w:top w:val="none" w:sz="0" w:space="0" w:color="auto"/>
            <w:left w:val="none" w:sz="0" w:space="0" w:color="auto"/>
            <w:bottom w:val="none" w:sz="0" w:space="0" w:color="auto"/>
            <w:right w:val="none" w:sz="0" w:space="0" w:color="auto"/>
          </w:divBdr>
        </w:div>
        <w:div w:id="2106414352">
          <w:marLeft w:val="0"/>
          <w:marRight w:val="0"/>
          <w:marTop w:val="0"/>
          <w:marBottom w:val="0"/>
          <w:divBdr>
            <w:top w:val="none" w:sz="0" w:space="0" w:color="auto"/>
            <w:left w:val="none" w:sz="0" w:space="0" w:color="auto"/>
            <w:bottom w:val="none" w:sz="0" w:space="0" w:color="auto"/>
            <w:right w:val="none" w:sz="0" w:space="0" w:color="auto"/>
          </w:divBdr>
        </w:div>
        <w:div w:id="1918709776">
          <w:marLeft w:val="0"/>
          <w:marRight w:val="0"/>
          <w:marTop w:val="0"/>
          <w:marBottom w:val="0"/>
          <w:divBdr>
            <w:top w:val="none" w:sz="0" w:space="0" w:color="auto"/>
            <w:left w:val="none" w:sz="0" w:space="0" w:color="auto"/>
            <w:bottom w:val="none" w:sz="0" w:space="0" w:color="auto"/>
            <w:right w:val="none" w:sz="0" w:space="0" w:color="auto"/>
          </w:divBdr>
        </w:div>
      </w:divsChild>
    </w:div>
    <w:div w:id="2118521468">
      <w:bodyDiv w:val="1"/>
      <w:marLeft w:val="0"/>
      <w:marRight w:val="0"/>
      <w:marTop w:val="0"/>
      <w:marBottom w:val="0"/>
      <w:divBdr>
        <w:top w:val="none" w:sz="0" w:space="0" w:color="auto"/>
        <w:left w:val="none" w:sz="0" w:space="0" w:color="auto"/>
        <w:bottom w:val="none" w:sz="0" w:space="0" w:color="auto"/>
        <w:right w:val="none" w:sz="0" w:space="0" w:color="auto"/>
      </w:divBdr>
      <w:divsChild>
        <w:div w:id="1243491994">
          <w:marLeft w:val="0"/>
          <w:marRight w:val="0"/>
          <w:marTop w:val="0"/>
          <w:marBottom w:val="0"/>
          <w:divBdr>
            <w:top w:val="none" w:sz="0" w:space="0" w:color="auto"/>
            <w:left w:val="none" w:sz="0" w:space="0" w:color="auto"/>
            <w:bottom w:val="none" w:sz="0" w:space="0" w:color="auto"/>
            <w:right w:val="none" w:sz="0" w:space="0" w:color="auto"/>
          </w:divBdr>
        </w:div>
        <w:div w:id="1778527769">
          <w:marLeft w:val="0"/>
          <w:marRight w:val="0"/>
          <w:marTop w:val="0"/>
          <w:marBottom w:val="0"/>
          <w:divBdr>
            <w:top w:val="none" w:sz="0" w:space="0" w:color="auto"/>
            <w:left w:val="none" w:sz="0" w:space="0" w:color="auto"/>
            <w:bottom w:val="none" w:sz="0" w:space="0" w:color="auto"/>
            <w:right w:val="none" w:sz="0" w:space="0" w:color="auto"/>
          </w:divBdr>
        </w:div>
        <w:div w:id="4945585">
          <w:marLeft w:val="0"/>
          <w:marRight w:val="0"/>
          <w:marTop w:val="0"/>
          <w:marBottom w:val="0"/>
          <w:divBdr>
            <w:top w:val="none" w:sz="0" w:space="0" w:color="auto"/>
            <w:left w:val="none" w:sz="0" w:space="0" w:color="auto"/>
            <w:bottom w:val="none" w:sz="0" w:space="0" w:color="auto"/>
            <w:right w:val="none" w:sz="0" w:space="0" w:color="auto"/>
          </w:divBdr>
        </w:div>
        <w:div w:id="250627988">
          <w:marLeft w:val="0"/>
          <w:marRight w:val="0"/>
          <w:marTop w:val="0"/>
          <w:marBottom w:val="0"/>
          <w:divBdr>
            <w:top w:val="none" w:sz="0" w:space="0" w:color="auto"/>
            <w:left w:val="none" w:sz="0" w:space="0" w:color="auto"/>
            <w:bottom w:val="none" w:sz="0" w:space="0" w:color="auto"/>
            <w:right w:val="none" w:sz="0" w:space="0" w:color="auto"/>
          </w:divBdr>
        </w:div>
        <w:div w:id="678697291">
          <w:marLeft w:val="0"/>
          <w:marRight w:val="0"/>
          <w:marTop w:val="0"/>
          <w:marBottom w:val="0"/>
          <w:divBdr>
            <w:top w:val="none" w:sz="0" w:space="0" w:color="auto"/>
            <w:left w:val="none" w:sz="0" w:space="0" w:color="auto"/>
            <w:bottom w:val="none" w:sz="0" w:space="0" w:color="auto"/>
            <w:right w:val="none" w:sz="0" w:space="0" w:color="auto"/>
          </w:divBdr>
        </w:div>
        <w:div w:id="1447695221">
          <w:marLeft w:val="0"/>
          <w:marRight w:val="0"/>
          <w:marTop w:val="0"/>
          <w:marBottom w:val="0"/>
          <w:divBdr>
            <w:top w:val="none" w:sz="0" w:space="0" w:color="auto"/>
            <w:left w:val="none" w:sz="0" w:space="0" w:color="auto"/>
            <w:bottom w:val="none" w:sz="0" w:space="0" w:color="auto"/>
            <w:right w:val="none" w:sz="0" w:space="0" w:color="auto"/>
          </w:divBdr>
        </w:div>
        <w:div w:id="178393997">
          <w:marLeft w:val="0"/>
          <w:marRight w:val="0"/>
          <w:marTop w:val="0"/>
          <w:marBottom w:val="0"/>
          <w:divBdr>
            <w:top w:val="none" w:sz="0" w:space="0" w:color="auto"/>
            <w:left w:val="none" w:sz="0" w:space="0" w:color="auto"/>
            <w:bottom w:val="none" w:sz="0" w:space="0" w:color="auto"/>
            <w:right w:val="none" w:sz="0" w:space="0" w:color="auto"/>
          </w:divBdr>
        </w:div>
        <w:div w:id="600725327">
          <w:marLeft w:val="0"/>
          <w:marRight w:val="0"/>
          <w:marTop w:val="0"/>
          <w:marBottom w:val="0"/>
          <w:divBdr>
            <w:top w:val="none" w:sz="0" w:space="0" w:color="auto"/>
            <w:left w:val="none" w:sz="0" w:space="0" w:color="auto"/>
            <w:bottom w:val="none" w:sz="0" w:space="0" w:color="auto"/>
            <w:right w:val="none" w:sz="0" w:space="0" w:color="auto"/>
          </w:divBdr>
        </w:div>
        <w:div w:id="551036353">
          <w:marLeft w:val="0"/>
          <w:marRight w:val="0"/>
          <w:marTop w:val="0"/>
          <w:marBottom w:val="0"/>
          <w:divBdr>
            <w:top w:val="none" w:sz="0" w:space="0" w:color="auto"/>
            <w:left w:val="none" w:sz="0" w:space="0" w:color="auto"/>
            <w:bottom w:val="none" w:sz="0" w:space="0" w:color="auto"/>
            <w:right w:val="none" w:sz="0" w:space="0" w:color="auto"/>
          </w:divBdr>
        </w:div>
        <w:div w:id="1801997812">
          <w:marLeft w:val="0"/>
          <w:marRight w:val="0"/>
          <w:marTop w:val="0"/>
          <w:marBottom w:val="0"/>
          <w:divBdr>
            <w:top w:val="none" w:sz="0" w:space="0" w:color="auto"/>
            <w:left w:val="none" w:sz="0" w:space="0" w:color="auto"/>
            <w:bottom w:val="none" w:sz="0" w:space="0" w:color="auto"/>
            <w:right w:val="none" w:sz="0" w:space="0" w:color="auto"/>
          </w:divBdr>
        </w:div>
        <w:div w:id="482814773">
          <w:marLeft w:val="0"/>
          <w:marRight w:val="0"/>
          <w:marTop w:val="0"/>
          <w:marBottom w:val="0"/>
          <w:divBdr>
            <w:top w:val="none" w:sz="0" w:space="0" w:color="auto"/>
            <w:left w:val="none" w:sz="0" w:space="0" w:color="auto"/>
            <w:bottom w:val="none" w:sz="0" w:space="0" w:color="auto"/>
            <w:right w:val="none" w:sz="0" w:space="0" w:color="auto"/>
          </w:divBdr>
        </w:div>
        <w:div w:id="839613598">
          <w:marLeft w:val="0"/>
          <w:marRight w:val="0"/>
          <w:marTop w:val="0"/>
          <w:marBottom w:val="0"/>
          <w:divBdr>
            <w:top w:val="none" w:sz="0" w:space="0" w:color="auto"/>
            <w:left w:val="none" w:sz="0" w:space="0" w:color="auto"/>
            <w:bottom w:val="none" w:sz="0" w:space="0" w:color="auto"/>
            <w:right w:val="none" w:sz="0" w:space="0" w:color="auto"/>
          </w:divBdr>
        </w:div>
        <w:div w:id="1886796583">
          <w:marLeft w:val="0"/>
          <w:marRight w:val="0"/>
          <w:marTop w:val="0"/>
          <w:marBottom w:val="0"/>
          <w:divBdr>
            <w:top w:val="none" w:sz="0" w:space="0" w:color="auto"/>
            <w:left w:val="none" w:sz="0" w:space="0" w:color="auto"/>
            <w:bottom w:val="none" w:sz="0" w:space="0" w:color="auto"/>
            <w:right w:val="none" w:sz="0" w:space="0" w:color="auto"/>
          </w:divBdr>
        </w:div>
        <w:div w:id="1368406215">
          <w:marLeft w:val="0"/>
          <w:marRight w:val="0"/>
          <w:marTop w:val="0"/>
          <w:marBottom w:val="0"/>
          <w:divBdr>
            <w:top w:val="none" w:sz="0" w:space="0" w:color="auto"/>
            <w:left w:val="none" w:sz="0" w:space="0" w:color="auto"/>
            <w:bottom w:val="none" w:sz="0" w:space="0" w:color="auto"/>
            <w:right w:val="none" w:sz="0" w:space="0" w:color="auto"/>
          </w:divBdr>
        </w:div>
        <w:div w:id="1149520931">
          <w:marLeft w:val="0"/>
          <w:marRight w:val="0"/>
          <w:marTop w:val="0"/>
          <w:marBottom w:val="0"/>
          <w:divBdr>
            <w:top w:val="none" w:sz="0" w:space="0" w:color="auto"/>
            <w:left w:val="none" w:sz="0" w:space="0" w:color="auto"/>
            <w:bottom w:val="none" w:sz="0" w:space="0" w:color="auto"/>
            <w:right w:val="none" w:sz="0" w:space="0" w:color="auto"/>
          </w:divBdr>
        </w:div>
        <w:div w:id="1900702976">
          <w:marLeft w:val="0"/>
          <w:marRight w:val="0"/>
          <w:marTop w:val="0"/>
          <w:marBottom w:val="0"/>
          <w:divBdr>
            <w:top w:val="none" w:sz="0" w:space="0" w:color="auto"/>
            <w:left w:val="none" w:sz="0" w:space="0" w:color="auto"/>
            <w:bottom w:val="none" w:sz="0" w:space="0" w:color="auto"/>
            <w:right w:val="none" w:sz="0" w:space="0" w:color="auto"/>
          </w:divBdr>
        </w:div>
        <w:div w:id="893124881">
          <w:marLeft w:val="0"/>
          <w:marRight w:val="0"/>
          <w:marTop w:val="0"/>
          <w:marBottom w:val="0"/>
          <w:divBdr>
            <w:top w:val="none" w:sz="0" w:space="0" w:color="auto"/>
            <w:left w:val="none" w:sz="0" w:space="0" w:color="auto"/>
            <w:bottom w:val="none" w:sz="0" w:space="0" w:color="auto"/>
            <w:right w:val="none" w:sz="0" w:space="0" w:color="auto"/>
          </w:divBdr>
        </w:div>
        <w:div w:id="2136020200">
          <w:marLeft w:val="0"/>
          <w:marRight w:val="0"/>
          <w:marTop w:val="0"/>
          <w:marBottom w:val="0"/>
          <w:divBdr>
            <w:top w:val="none" w:sz="0" w:space="0" w:color="auto"/>
            <w:left w:val="none" w:sz="0" w:space="0" w:color="auto"/>
            <w:bottom w:val="none" w:sz="0" w:space="0" w:color="auto"/>
            <w:right w:val="none" w:sz="0" w:space="0" w:color="auto"/>
          </w:divBdr>
        </w:div>
        <w:div w:id="592856755">
          <w:marLeft w:val="0"/>
          <w:marRight w:val="0"/>
          <w:marTop w:val="0"/>
          <w:marBottom w:val="0"/>
          <w:divBdr>
            <w:top w:val="none" w:sz="0" w:space="0" w:color="auto"/>
            <w:left w:val="none" w:sz="0" w:space="0" w:color="auto"/>
            <w:bottom w:val="none" w:sz="0" w:space="0" w:color="auto"/>
            <w:right w:val="none" w:sz="0" w:space="0" w:color="auto"/>
          </w:divBdr>
        </w:div>
        <w:div w:id="1289780638">
          <w:marLeft w:val="0"/>
          <w:marRight w:val="0"/>
          <w:marTop w:val="0"/>
          <w:marBottom w:val="0"/>
          <w:divBdr>
            <w:top w:val="none" w:sz="0" w:space="0" w:color="auto"/>
            <w:left w:val="none" w:sz="0" w:space="0" w:color="auto"/>
            <w:bottom w:val="none" w:sz="0" w:space="0" w:color="auto"/>
            <w:right w:val="none" w:sz="0" w:space="0" w:color="auto"/>
          </w:divBdr>
        </w:div>
        <w:div w:id="857617781">
          <w:marLeft w:val="0"/>
          <w:marRight w:val="0"/>
          <w:marTop w:val="0"/>
          <w:marBottom w:val="0"/>
          <w:divBdr>
            <w:top w:val="none" w:sz="0" w:space="0" w:color="auto"/>
            <w:left w:val="none" w:sz="0" w:space="0" w:color="auto"/>
            <w:bottom w:val="none" w:sz="0" w:space="0" w:color="auto"/>
            <w:right w:val="none" w:sz="0" w:space="0" w:color="auto"/>
          </w:divBdr>
        </w:div>
        <w:div w:id="1487819573">
          <w:marLeft w:val="0"/>
          <w:marRight w:val="0"/>
          <w:marTop w:val="0"/>
          <w:marBottom w:val="0"/>
          <w:divBdr>
            <w:top w:val="none" w:sz="0" w:space="0" w:color="auto"/>
            <w:left w:val="none" w:sz="0" w:space="0" w:color="auto"/>
            <w:bottom w:val="none" w:sz="0" w:space="0" w:color="auto"/>
            <w:right w:val="none" w:sz="0" w:space="0" w:color="auto"/>
          </w:divBdr>
        </w:div>
        <w:div w:id="694385828">
          <w:marLeft w:val="0"/>
          <w:marRight w:val="0"/>
          <w:marTop w:val="0"/>
          <w:marBottom w:val="0"/>
          <w:divBdr>
            <w:top w:val="none" w:sz="0" w:space="0" w:color="auto"/>
            <w:left w:val="none" w:sz="0" w:space="0" w:color="auto"/>
            <w:bottom w:val="none" w:sz="0" w:space="0" w:color="auto"/>
            <w:right w:val="none" w:sz="0" w:space="0" w:color="auto"/>
          </w:divBdr>
        </w:div>
        <w:div w:id="1017194839">
          <w:marLeft w:val="0"/>
          <w:marRight w:val="0"/>
          <w:marTop w:val="0"/>
          <w:marBottom w:val="0"/>
          <w:divBdr>
            <w:top w:val="none" w:sz="0" w:space="0" w:color="auto"/>
            <w:left w:val="none" w:sz="0" w:space="0" w:color="auto"/>
            <w:bottom w:val="none" w:sz="0" w:space="0" w:color="auto"/>
            <w:right w:val="none" w:sz="0" w:space="0" w:color="auto"/>
          </w:divBdr>
        </w:div>
        <w:div w:id="167185536">
          <w:marLeft w:val="0"/>
          <w:marRight w:val="0"/>
          <w:marTop w:val="0"/>
          <w:marBottom w:val="0"/>
          <w:divBdr>
            <w:top w:val="none" w:sz="0" w:space="0" w:color="auto"/>
            <w:left w:val="none" w:sz="0" w:space="0" w:color="auto"/>
            <w:bottom w:val="none" w:sz="0" w:space="0" w:color="auto"/>
            <w:right w:val="none" w:sz="0" w:space="0" w:color="auto"/>
          </w:divBdr>
        </w:div>
        <w:div w:id="341861102">
          <w:marLeft w:val="0"/>
          <w:marRight w:val="0"/>
          <w:marTop w:val="0"/>
          <w:marBottom w:val="0"/>
          <w:divBdr>
            <w:top w:val="none" w:sz="0" w:space="0" w:color="auto"/>
            <w:left w:val="none" w:sz="0" w:space="0" w:color="auto"/>
            <w:bottom w:val="none" w:sz="0" w:space="0" w:color="auto"/>
            <w:right w:val="none" w:sz="0" w:space="0" w:color="auto"/>
          </w:divBdr>
        </w:div>
        <w:div w:id="1733889854">
          <w:marLeft w:val="0"/>
          <w:marRight w:val="0"/>
          <w:marTop w:val="0"/>
          <w:marBottom w:val="0"/>
          <w:divBdr>
            <w:top w:val="none" w:sz="0" w:space="0" w:color="auto"/>
            <w:left w:val="none" w:sz="0" w:space="0" w:color="auto"/>
            <w:bottom w:val="none" w:sz="0" w:space="0" w:color="auto"/>
            <w:right w:val="none" w:sz="0" w:space="0" w:color="auto"/>
          </w:divBdr>
        </w:div>
        <w:div w:id="1230572793">
          <w:marLeft w:val="0"/>
          <w:marRight w:val="0"/>
          <w:marTop w:val="0"/>
          <w:marBottom w:val="0"/>
          <w:divBdr>
            <w:top w:val="none" w:sz="0" w:space="0" w:color="auto"/>
            <w:left w:val="none" w:sz="0" w:space="0" w:color="auto"/>
            <w:bottom w:val="none" w:sz="0" w:space="0" w:color="auto"/>
            <w:right w:val="none" w:sz="0" w:space="0" w:color="auto"/>
          </w:divBdr>
        </w:div>
        <w:div w:id="1136141720">
          <w:marLeft w:val="0"/>
          <w:marRight w:val="0"/>
          <w:marTop w:val="0"/>
          <w:marBottom w:val="0"/>
          <w:divBdr>
            <w:top w:val="none" w:sz="0" w:space="0" w:color="auto"/>
            <w:left w:val="none" w:sz="0" w:space="0" w:color="auto"/>
            <w:bottom w:val="none" w:sz="0" w:space="0" w:color="auto"/>
            <w:right w:val="none" w:sz="0" w:space="0" w:color="auto"/>
          </w:divBdr>
        </w:div>
        <w:div w:id="1063724310">
          <w:marLeft w:val="0"/>
          <w:marRight w:val="0"/>
          <w:marTop w:val="0"/>
          <w:marBottom w:val="0"/>
          <w:divBdr>
            <w:top w:val="none" w:sz="0" w:space="0" w:color="auto"/>
            <w:left w:val="none" w:sz="0" w:space="0" w:color="auto"/>
            <w:bottom w:val="none" w:sz="0" w:space="0" w:color="auto"/>
            <w:right w:val="none" w:sz="0" w:space="0" w:color="auto"/>
          </w:divBdr>
        </w:div>
        <w:div w:id="1089543247">
          <w:marLeft w:val="0"/>
          <w:marRight w:val="0"/>
          <w:marTop w:val="0"/>
          <w:marBottom w:val="0"/>
          <w:divBdr>
            <w:top w:val="none" w:sz="0" w:space="0" w:color="auto"/>
            <w:left w:val="none" w:sz="0" w:space="0" w:color="auto"/>
            <w:bottom w:val="none" w:sz="0" w:space="0" w:color="auto"/>
            <w:right w:val="none" w:sz="0" w:space="0" w:color="auto"/>
          </w:divBdr>
        </w:div>
        <w:div w:id="607006860">
          <w:marLeft w:val="0"/>
          <w:marRight w:val="0"/>
          <w:marTop w:val="0"/>
          <w:marBottom w:val="0"/>
          <w:divBdr>
            <w:top w:val="none" w:sz="0" w:space="0" w:color="auto"/>
            <w:left w:val="none" w:sz="0" w:space="0" w:color="auto"/>
            <w:bottom w:val="none" w:sz="0" w:space="0" w:color="auto"/>
            <w:right w:val="none" w:sz="0" w:space="0" w:color="auto"/>
          </w:divBdr>
        </w:div>
        <w:div w:id="2056393149">
          <w:marLeft w:val="0"/>
          <w:marRight w:val="0"/>
          <w:marTop w:val="0"/>
          <w:marBottom w:val="0"/>
          <w:divBdr>
            <w:top w:val="none" w:sz="0" w:space="0" w:color="auto"/>
            <w:left w:val="none" w:sz="0" w:space="0" w:color="auto"/>
            <w:bottom w:val="none" w:sz="0" w:space="0" w:color="auto"/>
            <w:right w:val="none" w:sz="0" w:space="0" w:color="auto"/>
          </w:divBdr>
        </w:div>
      </w:divsChild>
    </w:div>
    <w:div w:id="212745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cases.justia.com/louisiana/fourth-circuit-court-of-appeal/2026-2025-ca-0870.pdf?ts=1784938638" TargetMode="External"/><Relationship Id="rId1827" Type="http://schemas.openxmlformats.org/officeDocument/2006/relationships/hyperlink" Target="https://www.carolinajournal.com/wp-content/uploads/2025/04/cleveland-ot-128-033125-courtorder.pdf" TargetMode="External"/><Relationship Id="rId21" Type="http://schemas.openxmlformats.org/officeDocument/2006/relationships/hyperlink" Target="http://www.waveland.com/browse.php?t=708" TargetMode="External"/><Relationship Id="rId2089" Type="http://schemas.openxmlformats.org/officeDocument/2006/relationships/hyperlink" Target="https://www.ojp.gov/pdffiles/posasph.pdf" TargetMode="External"/><Relationship Id="rId3042" Type="http://schemas.openxmlformats.org/officeDocument/2006/relationships/hyperlink" Target="https://www.nytimes.com/2020/06/12/nyregion/50a-repeal-police-floyd.html" TargetMode="External"/><Relationship Id="rId170" Type="http://schemas.openxmlformats.org/officeDocument/2006/relationships/hyperlink" Target="https://cases.justia.com/louisiana/fifth-circuit-court-of-appeal/2023-23-ka-234.pdf?ts=1703704652" TargetMode="External"/><Relationship Id="rId2296" Type="http://schemas.openxmlformats.org/officeDocument/2006/relationships/hyperlink" Target="https://www.facebook.com/watch/?v=2586016544950280" TargetMode="External"/><Relationship Id="rId268" Type="http://schemas.openxmlformats.org/officeDocument/2006/relationships/hyperlink" Target="https://storage.courtlistener.com/recap/gov.uscourts.txnd.346680/gov.uscourts.txnd.346680.94.0.pdf" TargetMode="External"/><Relationship Id="rId475" Type="http://schemas.openxmlformats.org/officeDocument/2006/relationships/hyperlink" Target="https://www.sullivangalleshaw.com/the-professional-rescuers-rule/" TargetMode="External"/><Relationship Id="rId682" Type="http://schemas.openxmlformats.org/officeDocument/2006/relationships/hyperlink" Target="https://cases.justia.com/pennsylvania/superior-court/2025-1252-eda-2024.pdf?ts=1758220361" TargetMode="External"/><Relationship Id="rId2156" Type="http://schemas.openxmlformats.org/officeDocument/2006/relationships/hyperlink" Target="https://www.ems1.com/legal/federal-court-overturns-va-rule-reducing-ambulance-payments" TargetMode="External"/><Relationship Id="rId2363" Type="http://schemas.openxmlformats.org/officeDocument/2006/relationships/hyperlink" Target="https://www.ca8.uscourts.gov/sites/ca8/files/opinions/191343P.pdf" TargetMode="External"/><Relationship Id="rId2570" Type="http://schemas.openxmlformats.org/officeDocument/2006/relationships/hyperlink" Target="https://www.firerescue1.com/ptsd/articles/ohio-house-passes-bill-expanding-first-responders-workers-compensation-for-ptsd-QXXQPU6H47rb9Z8o/" TargetMode="External"/><Relationship Id="rId128" Type="http://schemas.openxmlformats.org/officeDocument/2006/relationships/hyperlink" Target="https://www.wmix94.com/2018/10/11/christopher-woman-found-guilty-of-setting-fire-at-mt-vernon-hotel/" TargetMode="External"/><Relationship Id="rId335" Type="http://schemas.openxmlformats.org/officeDocument/2006/relationships/hyperlink" Target="https://www.supremecourt.gov/opinions/19pdf/18-5924_n6io.pdf" TargetMode="External"/><Relationship Id="rId542" Type="http://schemas.openxmlformats.org/officeDocument/2006/relationships/hyperlink" Target="https://www.njcourts.gov/sites/default/files/court-opinions/2023/a2431-20.pdf" TargetMode="External"/><Relationship Id="rId987" Type="http://schemas.openxmlformats.org/officeDocument/2006/relationships/hyperlink" Target="https://cases.justia.com/pennsylvania/commonwealth-court/2024-1232-c-d-2023.pdf?ts=1729783758" TargetMode="External"/><Relationship Id="rId1172" Type="http://schemas.openxmlformats.org/officeDocument/2006/relationships/hyperlink" Target="https://law.justia.com/cases/pennsylvania/commonwealth-court/2023/12-c-d-2022.html" TargetMode="External"/><Relationship Id="rId2016" Type="http://schemas.openxmlformats.org/officeDocument/2006/relationships/hyperlink" Target="https://law.justia.com/cases/louisiana/fourth-circuit-court-of-appeal/2021/2021-ca-0454.html" TargetMode="External"/><Relationship Id="rId2223" Type="http://schemas.openxmlformats.org/officeDocument/2006/relationships/hyperlink" Target="https://cases.justia.com/federal/district-courts/new-york/nysdce/7:2022cv04047/580058/37/0.pdf?ts=1703868116" TargetMode="External"/><Relationship Id="rId2430" Type="http://schemas.openxmlformats.org/officeDocument/2006/relationships/hyperlink" Target="https://public.fastcase.com/Wl%2B2t%2BeVuI35%2FN70vAMFZiXFpIhEfmm%2F8CTY%2Fzzj67xZNFbM2CzcHQjFO%2Fg%2BhpjG" TargetMode="External"/><Relationship Id="rId2668" Type="http://schemas.openxmlformats.org/officeDocument/2006/relationships/hyperlink" Target="https://www.youtube.com/watch?v=roZMeWZrCG4" TargetMode="External"/><Relationship Id="rId2875" Type="http://schemas.openxmlformats.org/officeDocument/2006/relationships/hyperlink" Target="http://www.pacourts.us/assets/opinions/Commonwealth/out/380md17_6-12-18.pdf" TargetMode="External"/><Relationship Id="rId402" Type="http://schemas.openxmlformats.org/officeDocument/2006/relationships/hyperlink" Target="https://www.supremecourt.gov/opinions/25pdf/24-1068_n7ip.pdf" TargetMode="External"/><Relationship Id="rId847" Type="http://schemas.openxmlformats.org/officeDocument/2006/relationships/hyperlink" Target="https://www.foxnews.com/politics/doj-asks-supreme-court-to-allow-enforcement-of-trumps-immigration-asylum-restrictions" TargetMode="External"/><Relationship Id="rId1032" Type="http://schemas.openxmlformats.org/officeDocument/2006/relationships/hyperlink" Target="https://courts.illinois.gov/Opinions/SupremeCourt/2020/124610.pdf" TargetMode="External"/><Relationship Id="rId1477" Type="http://schemas.openxmlformats.org/officeDocument/2006/relationships/hyperlink" Target="https://public.fastcase.com/Wl%2B2t%2BeVuI35%2FN70vAMFZs1o8oz3pWgS38oNkfNQDzkHmIv0WM8cJL2w%2BtvmrMCm" TargetMode="External"/><Relationship Id="rId1684" Type="http://schemas.openxmlformats.org/officeDocument/2006/relationships/hyperlink" Target="https://public.fastcase.com/Jhe1Qn%2BmJndQYQU6z%2FeNm07xnsMMe9XopEXpzbd8wBfIcwWisDZ8Xdk0vkVeza2z?utm_medium=email&amp;_hsenc=p2ANqtz-9GpH5Yl8KbaQKypiwjwBSc5ZewK71TROtHeH7A0Ky0SFDkHfwzpfrGRkv9wpK-L_sBVpNrip23D5GifO3TaI5YS4qT7w&amp;_hsmi=226712652&amp;utm_content=226712652&amp;utm_source=hs_email" TargetMode="External"/><Relationship Id="rId1891" Type="http://schemas.openxmlformats.org/officeDocument/2006/relationships/hyperlink" Target="https://public.fastcase.com/9SKwsfNqTc6OieYDhNMyM%2Bd%2B2eK88WBpQndaMaa6S5BNLFOYsG1I8lL7zJutyS4p" TargetMode="External"/><Relationship Id="rId2528" Type="http://schemas.openxmlformats.org/officeDocument/2006/relationships/hyperlink" Target="https://app.leg.wa.gov/RCW/default.aspx?cite=18.71.200" TargetMode="External"/><Relationship Id="rId2735" Type="http://schemas.openxmlformats.org/officeDocument/2006/relationships/hyperlink" Target="https://public.fastcase.com/ZZhmr5v9wN%2FXOe5IsQ%2FqD%2FbRI5yk0CTLrJ1wUlp23a2jtoF9iRGzOsDdRZIWd9GyXFY2izvgsnflzL0%2FFWSL%2FPpsQUa%2FiEphINoTWEFNJVE%3D?utm_medium=email&amp;_hsmi=226712652&amp;_hsenc=p2ANqtz-8tSxN7q872uN51HDKRs8bBT2KkYc5se6Y34IcB-qusszHk_1kcdMtqv3s-tJTiEGYg-zZ48WEGXoPe6gX9Sz_hnuHHnA&amp;utm_content=226712652&amp;utm_source=hs_email" TargetMode="External"/><Relationship Id="rId2942" Type="http://schemas.openxmlformats.org/officeDocument/2006/relationships/hyperlink" Target="https://caselaw.findlaw.com/us-7th-circuit/2104809.html" TargetMode="External"/><Relationship Id="rId707" Type="http://schemas.openxmlformats.org/officeDocument/2006/relationships/hyperlink" Target="https://krcrtv.com/news/local/long-awaited-settlement-conference-in-fawn-fire-arson-case-brings-hope-to-victims" TargetMode="External"/><Relationship Id="rId914" Type="http://schemas.openxmlformats.org/officeDocument/2006/relationships/hyperlink" Target="https://casetext.com/case/carey-v-town-of-rumford" TargetMode="External"/><Relationship Id="rId1337" Type="http://schemas.openxmlformats.org/officeDocument/2006/relationships/hyperlink" Target="https://cases.justia.com/federal/district-courts/ohio/ohndce/1:2018cv02242/247535/15/0.pdf?ts=1544190248" TargetMode="External"/><Relationship Id="rId1544" Type="http://schemas.openxmlformats.org/officeDocument/2006/relationships/hyperlink" Target="https://public.fastcase.com/jaEE2PXzRXmZ99jOLMt1IuS%2F9HpBr5oZUxWDfnHZUAClV0FMS0FkyPj2D073HVCd?utm_medium=email&amp;_hsenc=p2ANqtz-8Af1EW_JVwBhx0UDxsfrXH8_2s6MlC6Pm7CWzCebAgUkWejdyZMRNp9kjbmr3YiOjRBOAIc4DZsyAhk1nZpl--uaoeAg&amp;_hsmi=226712652&amp;utm_content=226712652&amp;utm_source=hs_email" TargetMode="External"/><Relationship Id="rId1751" Type="http://schemas.openxmlformats.org/officeDocument/2006/relationships/hyperlink" Target="https://public.fastcase.com/Wl%2B2t%2BeVuI35%2FN70vAMFZtupy9a3EvXpG9ydLD29CKGnkdsXWzWbFQljc8xBD5GU" TargetMode="External"/><Relationship Id="rId1989" Type="http://schemas.openxmlformats.org/officeDocument/2006/relationships/hyperlink" Target="https://www.understandingtheada.com/blog/2015/02/03/addiction-ada-current-user-safe-harbor/" TargetMode="External"/><Relationship Id="rId2802" Type="http://schemas.openxmlformats.org/officeDocument/2006/relationships/hyperlink" Target="https://public.fastcase.com/" TargetMode="External"/><Relationship Id="rId43" Type="http://schemas.openxmlformats.org/officeDocument/2006/relationships/hyperlink" Target="https://cases.justia.com/north-carolina/supreme-court/2026-101pa24.pdf?ts=1779464497" TargetMode="External"/><Relationship Id="rId1404" Type="http://schemas.openxmlformats.org/officeDocument/2006/relationships/hyperlink" Target="https://www.ca5.uscourts.gov/opinions/unpub/23/23-30810.0.pdf" TargetMode="External"/><Relationship Id="rId1611" Type="http://schemas.openxmlformats.org/officeDocument/2006/relationships/hyperlink" Target="https://public.fastcase.com/J%2FJP6pdidelsXxEE4k%2BLMkGcJRI5fEIWTRrrr5g307eiV2fonCWWxfQ8%2FgFOC0SXeLTzITpIpaPKGCBs2ZuJTAu1fIsNckzREaOIJEOyjuU%3D" TargetMode="External"/><Relationship Id="rId1849" Type="http://schemas.openxmlformats.org/officeDocument/2006/relationships/hyperlink" Target="https://www.firefighterovertime.org/2019/09/16/firefighter-meal-period/" TargetMode="External"/><Relationship Id="rId192" Type="http://schemas.openxmlformats.org/officeDocument/2006/relationships/hyperlink" Target="https://public.fastcase.com/ZZhmr5v9wN%2FXOe5IsQ%2FqD2w3LkpuglI3nASy1X40hEavWq5Hg6BXuOMAb4Q%2F0qYvRQrnGJSyHTBcFYNZH%2FPWinF4W28EQi7cn4B0%2Besltk8%3D?utm_medium=email&amp;_hsmi=226712652&amp;_hsenc=p2ANqtz--58Ne7SxJ1hr6i-F8FakyHT8npVqzhLBvm91HO15BtcmmyFpQh4X3iW-xWGAEBSVd3N4PHQcOA9a0ODtOxMPf5jkgwuw&amp;utm_content=226712652&amp;utm_source=hs_email" TargetMode="External"/><Relationship Id="rId1709" Type="http://schemas.openxmlformats.org/officeDocument/2006/relationships/hyperlink" Target="https://cases.justia.com/federal/appellate-courts/ca11/22-10002/22-10002-2023-10-11.pdf?ts=1697045568" TargetMode="External"/><Relationship Id="rId1916" Type="http://schemas.openxmlformats.org/officeDocument/2006/relationships/hyperlink" Target="https://public.fastcase.com/Wl%2B2t%2BeVuI35%2FN70vAMFZtsu4ffMdPWfOx%2BdxBXmfVAnwIw9ms7kbCEt1faHV%2BzM" TargetMode="External"/><Relationship Id="rId497" Type="http://schemas.openxmlformats.org/officeDocument/2006/relationships/hyperlink" Target="https://livornoandarnett.com/ohios-firemans-rule/" TargetMode="External"/><Relationship Id="rId2080" Type="http://schemas.openxmlformats.org/officeDocument/2006/relationships/hyperlink" Target="https://www.nycourts.gov/reporter/current/3dseries/2026/2026_02494.shtml" TargetMode="External"/><Relationship Id="rId2178" Type="http://schemas.openxmlformats.org/officeDocument/2006/relationships/hyperlink" Target="https://www.law.cornell.edu/rules/fre/" TargetMode="External"/><Relationship Id="rId2385" Type="http://schemas.openxmlformats.org/officeDocument/2006/relationships/hyperlink" Target="https://aams.org/aams-member-alert-negotiated-balance-billing-solution-included-in-legislation/" TargetMode="External"/><Relationship Id="rId357" Type="http://schemas.openxmlformats.org/officeDocument/2006/relationships/hyperlink" Target="https://law.justia.com/cases/new-york/appellate-division-second-department/2019/2017-01910.html" TargetMode="External"/><Relationship Id="rId1194" Type="http://schemas.openxmlformats.org/officeDocument/2006/relationships/hyperlink" Target="https://law.justia.com/cases/california/court-of-appeal/2022/a161575.html" TargetMode="External"/><Relationship Id="rId2038" Type="http://schemas.openxmlformats.org/officeDocument/2006/relationships/hyperlink" Target="https://www.networkforphl.org/news-insights/overdose-good-samaritan-laws-should-protect-not-punish/" TargetMode="External"/><Relationship Id="rId2592" Type="http://schemas.openxmlformats.org/officeDocument/2006/relationships/hyperlink" Target="https://public.fastcase.com/Jhe1Qn%2BmJndQYQU6z%2FeNmxi4PaOcam37CuVR4PMMuop9FGToKQtiQd30kaMEJbo3CL%2BYN%2B6EfwCT7dt88wxkzpGzQCNmNk3%2F0pVyFH6jtSI%3D?utm_medium=email&amp;_hsenc=p2ANqtz-_UH_fvmHtdTd5OahpBFKe0bhZ4iSNbkGmDj6kzzEpGQN_wOqsN3vuic8Df0wkIDG6b_26qwBRjtD5KfFaQS1quHcXtdA&amp;_hsmi=226712652&amp;utm_content=226712652&amp;utm_source=hs_email" TargetMode="External"/><Relationship Id="rId2897" Type="http://schemas.openxmlformats.org/officeDocument/2006/relationships/hyperlink" Target="https://www4.courts.ca.gov/opinions/nonpub/B342205.PDF" TargetMode="External"/><Relationship Id="rId217" Type="http://schemas.openxmlformats.org/officeDocument/2006/relationships/hyperlink" Target="https://www.sccourts.org/opinions//unpublishedopinions/HTMLFiles/COA/2023-UP-014.pdf" TargetMode="External"/><Relationship Id="rId564" Type="http://schemas.openxmlformats.org/officeDocument/2006/relationships/hyperlink" Target="http://media.ca1.uscourts.gov/pdf.opinions/21-1826P-01A.pdf" TargetMode="External"/><Relationship Id="rId771" Type="http://schemas.openxmlformats.org/officeDocument/2006/relationships/hyperlink" Target="https://casetext.com/case/elshinawy-v-united-states-1" TargetMode="External"/><Relationship Id="rId869" Type="http://schemas.openxmlformats.org/officeDocument/2006/relationships/hyperlink" Target="https://public.fastcase.com/Jhe1Qn%2BmJndQYQU6z%2FeNm5lK9nnluUEDFLBMk8c%2BEbbiVLhBdaGQPB2K7KxF05qvRXgLOBnhO6zmbwnQEd%2Bcp5vL1X3aknN2ZIEX9e9nlPQ%3D?utm_medium=email&amp;_hsenc=p2ANqtz-92vz7qFPgw4hU1EP2-OxD4sQggQ9DCeQ8V8xRgNlgxFmwNqwyN5d-f8qKTSbjnWmyGjP6laPnZUt9vrVtw86EfVLtmhA&amp;_hsmi=226712652&amp;utm_content=226712652&amp;utm_source=hs_email" TargetMode="External"/><Relationship Id="rId1499" Type="http://schemas.openxmlformats.org/officeDocument/2006/relationships/hyperlink" Target="https://law.justia.com/cases/federal/district-courts/illinois/ilndce/1:2018cv03054/351942/211/" TargetMode="External"/><Relationship Id="rId2245" Type="http://schemas.openxmlformats.org/officeDocument/2006/relationships/hyperlink" Target="https://public.fastcase.com/ZZhmr5v9wN%2FXOe5IsQ%2FqD7GCKb2IB3J54e7ItSmUYP%2BWMLglINdF7XSY%2Fk9VEPoTx4QWBItn6mQ9CDY1KKV2Qj7lzwy8FX40VrBADcTdOUs%3D?utm_medium=email&amp;_hsmi=226712652&amp;_hsenc=p2ANqtz-_DK7zem2LwgE_Zwv-o_RP9UByjQ85WHbLNpM1Ddz9HLFMrLo4_e5BuKmezeF9cnjUjmpRGuKlpbVs2F5114RUdRnDuAQ&amp;utm_content=226712652&amp;utm_source=hs_email" TargetMode="External"/><Relationship Id="rId2452" Type="http://schemas.openxmlformats.org/officeDocument/2006/relationships/hyperlink" Target="http://business.cch.com/ald/saginawVstat03262019.pdf" TargetMode="External"/><Relationship Id="rId424" Type="http://schemas.openxmlformats.org/officeDocument/2006/relationships/hyperlink" Target="https://cases.justia.com/federal/district-courts/georgia/gasdce/2:2024cv00049/96644/96/0.pdf?ts=1771001361" TargetMode="External"/><Relationship Id="rId631" Type="http://schemas.openxmlformats.org/officeDocument/2006/relationships/hyperlink" Target="https://www.justice.gov/opa/pr/justice-department-announces-improvements-public-safety-officers-benefits-program" TargetMode="External"/><Relationship Id="rId729" Type="http://schemas.openxmlformats.org/officeDocument/2006/relationships/hyperlink" Target="https://www.kqed.org/news/11784042/inmates-saved-homes-in-the-kincade-fire-theyll-face-an-uphill-battle-getting-firefighting-jobs-after-release" TargetMode="External"/><Relationship Id="rId1054" Type="http://schemas.openxmlformats.org/officeDocument/2006/relationships/hyperlink" Target="https://law.justia.com/cases/new-york/appellate-division-second-department/2026/2024-05337.html" TargetMode="External"/><Relationship Id="rId1261" Type="http://schemas.openxmlformats.org/officeDocument/2006/relationships/hyperlink" Target="https://fox8.com/news/cleveland-fire-chief-to-retire-friday/" TargetMode="External"/><Relationship Id="rId1359" Type="http://schemas.openxmlformats.org/officeDocument/2006/relationships/hyperlink" Target="https://www.scotusblog.com/case-files/cases/new-prime-inc-v-oliveira/" TargetMode="External"/><Relationship Id="rId2105" Type="http://schemas.openxmlformats.org/officeDocument/2006/relationships/hyperlink" Target="https://law.justia.com/cases/new-york/appellate-division-first-department/2025/index-no-153104-18-appeal-no-5428-case-no-2024-01885.html" TargetMode="External"/><Relationship Id="rId2312" Type="http://schemas.openxmlformats.org/officeDocument/2006/relationships/hyperlink" Target="https://casetext.com/case/brown-v-medscope-am-corp" TargetMode="External"/><Relationship Id="rId2757" Type="http://schemas.openxmlformats.org/officeDocument/2006/relationships/hyperlink" Target="https://law.justia.com/cases/federal/appellate-courts/ca10/20-5113/20-5113-2022-08-19.html" TargetMode="External"/><Relationship Id="rId2964" Type="http://schemas.openxmlformats.org/officeDocument/2006/relationships/hyperlink" Target="https://casetext.com/case/in-re-arbitration-between-city-of-ogdensburg" TargetMode="External"/><Relationship Id="rId936" Type="http://schemas.openxmlformats.org/officeDocument/2006/relationships/hyperlink" Target="https://www.supremecourt.gov/opinions/21pdf/20-1539_09m1.pdf" TargetMode="External"/><Relationship Id="rId1121" Type="http://schemas.openxmlformats.org/officeDocument/2006/relationships/hyperlink" Target="https://www.supremecourt.ohio.gov/rod/docs/pdf/10/2024/2024-Ohio-5010.pdf" TargetMode="External"/><Relationship Id="rId1219" Type="http://schemas.openxmlformats.org/officeDocument/2006/relationships/hyperlink" Target="https://www.schafer-and-schafer.com/workers-compensation/heart-and-hypertension/" TargetMode="External"/><Relationship Id="rId1566" Type="http://schemas.openxmlformats.org/officeDocument/2006/relationships/hyperlink" Target="https://www.firerescue1.com/legal/justice-department-drops-alleged-discriminatory-ff-hiring-cases-in-dei-rollback?utm_source=delivra&amp;utm_medium=email&amp;utm_campaign=FR1-Daily-2-27-25&amp;utm_id=8566464&amp;dlv-emuid=fed355b8-46a2-4fa4-b55c-4d602dde33c4&amp;dlv-mlid=8566464" TargetMode="External"/><Relationship Id="rId1773" Type="http://schemas.openxmlformats.org/officeDocument/2006/relationships/hyperlink" Target="http://www.startribune.com/former-mpls-firefighter-will-be-able-to-sue-for-disability-discrimination-high-court-rules/506468082/" TargetMode="External"/><Relationship Id="rId1980" Type="http://schemas.openxmlformats.org/officeDocument/2006/relationships/hyperlink" Target="https://casetext.com/statute/montana-code/title-39-labor/chapter-31-collective-bargaining-for-public-employees/part-4-unfair-labor-practices/section-39-31-406-hearing-on-complaint-findings-order" TargetMode="External"/><Relationship Id="rId2617" Type="http://schemas.openxmlformats.org/officeDocument/2006/relationships/hyperlink" Target="https://www.la4th.org/opinion/2025/4959829_1.pdf" TargetMode="External"/><Relationship Id="rId2824" Type="http://schemas.openxmlformats.org/officeDocument/2006/relationships/hyperlink" Target="https://www.dmlp.org/legal-guide/recording-phone-calls-and-conversations" TargetMode="External"/><Relationship Id="rId65" Type="http://schemas.openxmlformats.org/officeDocument/2006/relationships/hyperlink" Target="https://public.fastcase.com/jaEE2PXzRXmZ99jOLMt1Io7YtJZzhGRSpWTaEU5VEs33%2BTg9rUAoQurxZOT9gqkAJFaugLm9Mxx2CSeMl9vD0%2FrzAe6H5F%2F5zH2a3krjQxc%3D?utm_medium=email&amp;_hsenc=p2ANqtz--xi3xhqQTQTPjw8tThXPxla5fboNp_lyjnL-u37viXN8Zx1O-9U8osPNb7oBpn1RZ6w4oAGvXBZvBP5z9zhZ_Qvufy4w&amp;_hsmi=226712652&amp;utm_content=226712652&amp;utm_source=hs_email" TargetMode="External"/><Relationship Id="rId1426" Type="http://schemas.openxmlformats.org/officeDocument/2006/relationships/hyperlink" Target="https://public.fastcase.com/ZZhmr5v9wN%2FXOe5IsQ%2FqD4teBhUqY7wvbGAswNzyBMaksiAAx9CoK%2F0glr7LeyIGy7%2BIvTMMfnsD4C1w01llLSbg%2FSmkDMg22UrZNbleClI%3D?utm_medium=email&amp;_hsmi=226712652&amp;_hsenc=p2ANqtz--0kKIYBqY11A1vHL3K3LnOM9OT3ZDxvHId5EPEJRai0C-xgNPiCQqUNedXVxiPbPjxDggmQ5V534mtY9qGSRF7_b-8gg&amp;utm_content=226712652&amp;utm_source=hs_email" TargetMode="External"/><Relationship Id="rId1633" Type="http://schemas.openxmlformats.org/officeDocument/2006/relationships/hyperlink" Target="https://public.fastcase.com/9SKwsfNqTc6OieYDhNMyM6Hs9QyuQxgDWvshWHam%2BmmecJULtiEuwgF0cJ0eF8SA" TargetMode="External"/><Relationship Id="rId1840" Type="http://schemas.openxmlformats.org/officeDocument/2006/relationships/hyperlink" Target="https://www.ecfr.gov/current/title-29/subtitle-B/chapter-V/subchapter-B/part-778" TargetMode="External"/><Relationship Id="rId1700" Type="http://schemas.openxmlformats.org/officeDocument/2006/relationships/hyperlink" Target="https://casetext.com/case/hauptrief-v-telford-1" TargetMode="External"/><Relationship Id="rId1938" Type="http://schemas.openxmlformats.org/officeDocument/2006/relationships/hyperlink" Target="http://codes.ohio.gov/orc/505.601" TargetMode="External"/><Relationship Id="rId281" Type="http://schemas.openxmlformats.org/officeDocument/2006/relationships/hyperlink" Target="https://www.npr.org/2021/03/25/981297231/supreme-court-dips-gingerly-into-roiling-police-misconduct-waters" TargetMode="External"/><Relationship Id="rId3013" Type="http://schemas.openxmlformats.org/officeDocument/2006/relationships/hyperlink" Target="https://www.law.cornell.edu/rio/citation/81_FR_53003" TargetMode="External"/><Relationship Id="rId141" Type="http://schemas.openxmlformats.org/officeDocument/2006/relationships/hyperlink" Target="https://www.law.cornell.edu/wex/res_gestae" TargetMode="External"/><Relationship Id="rId379" Type="http://schemas.openxmlformats.org/officeDocument/2006/relationships/hyperlink" Target="https://cases.justia.com/federal/district-courts/michigan/miedce/2:2015cv13050/304138/9/0.pdf?ts=1532512098" TargetMode="External"/><Relationship Id="rId586" Type="http://schemas.openxmlformats.org/officeDocument/2006/relationships/hyperlink" Target="https://www.utcourts.gov/opinions/supopin/Ipsen%20v.%20Diamond%20Tree%20Experts20200520_20181052_30.pdf" TargetMode="External"/><Relationship Id="rId793" Type="http://schemas.openxmlformats.org/officeDocument/2006/relationships/hyperlink" Target="https://www.law.cornell.edu/definitions/uscode.php?width=840&amp;height=800&amp;iframe=true&amp;def_id=8-USC-92903111-1485256781&amp;term_occur=999&amp;term_src=" TargetMode="External"/><Relationship Id="rId2267" Type="http://schemas.openxmlformats.org/officeDocument/2006/relationships/hyperlink" Target="https://www.courts.wa.gov/opinions/pdf/1001002.pdf" TargetMode="External"/><Relationship Id="rId2474" Type="http://schemas.openxmlformats.org/officeDocument/2006/relationships/hyperlink" Target="https://www.law.cornell.edu/rules/frcp/rule_26" TargetMode="External"/><Relationship Id="rId2681" Type="http://schemas.openxmlformats.org/officeDocument/2006/relationships/hyperlink" Target="https://www.coloradopolitics.com/courts/federal-judge-partially-dismisses-ex-florissant-fire-chiefs-wrongful-termination-claims/article_7d67c6be-898a-11ee-b97e-7732fa191308.html" TargetMode="External"/><Relationship Id="rId7" Type="http://schemas.openxmlformats.org/officeDocument/2006/relationships/endnotes" Target="endnotes.xml"/><Relationship Id="rId239" Type="http://schemas.openxmlformats.org/officeDocument/2006/relationships/hyperlink" Target="https://www.supremecourt.gov/opinions/21pdf/20-1800_7lho.pdf" TargetMode="External"/><Relationship Id="rId446" Type="http://schemas.openxmlformats.org/officeDocument/2006/relationships/hyperlink" Target="https://www.rcfp.org/indiana-buffer-zone-law-7th-circuit/" TargetMode="External"/><Relationship Id="rId653" Type="http://schemas.openxmlformats.org/officeDocument/2006/relationships/hyperlink" Target="https://cases.justia.com/federal/appellate-courts/ca6/25-5471/25-5471-2026-05-13.pdf?ts=1778702434" TargetMode="External"/><Relationship Id="rId1076" Type="http://schemas.openxmlformats.org/officeDocument/2006/relationships/hyperlink" Target="https://www4.courts.ca.gov/opinions/nonpub/B338919.PDF" TargetMode="External"/><Relationship Id="rId1283" Type="http://schemas.openxmlformats.org/officeDocument/2006/relationships/hyperlink" Target="https://www.supremecourt.ohio.gov/rod/docs/pdf/0/2009/2009-Ohio-2597.pdf" TargetMode="External"/><Relationship Id="rId1490" Type="http://schemas.openxmlformats.org/officeDocument/2006/relationships/hyperlink" Target="https://www.law.cornell.edu/uscode/text/29/207" TargetMode="External"/><Relationship Id="rId2127" Type="http://schemas.openxmlformats.org/officeDocument/2006/relationships/hyperlink" Target="https://cases.justia.com/texas/fifteenth-court-of-appeals/2025-15-24-00048-cv.pdf?ts=1753365777" TargetMode="External"/><Relationship Id="rId2334" Type="http://schemas.openxmlformats.org/officeDocument/2006/relationships/hyperlink" Target="https://www.ca4.uscourts.gov/Opinions/201906.U.pdf" TargetMode="External"/><Relationship Id="rId2779" Type="http://schemas.openxmlformats.org/officeDocument/2006/relationships/hyperlink" Target="https://casetext.com/case/fitzgerald-v-botetourt-cnty" TargetMode="External"/><Relationship Id="rId2986" Type="http://schemas.openxmlformats.org/officeDocument/2006/relationships/hyperlink" Target="https://cases.justia.com/virginia/court-of-appeals-published/2026-1597-24-2.pdf?ts=1789486240" TargetMode="External"/><Relationship Id="rId306" Type="http://schemas.openxmlformats.org/officeDocument/2006/relationships/hyperlink" Target="https://supreme.justia.com/cases/federal/us/468/897/" TargetMode="External"/><Relationship Id="rId860" Type="http://schemas.openxmlformats.org/officeDocument/2006/relationships/hyperlink" Target="https://www.nytimes.com/2018/06/22/us/politics/supreme-court-warrants-cell-phone-privacy.html" TargetMode="External"/><Relationship Id="rId958" Type="http://schemas.openxmlformats.org/officeDocument/2006/relationships/hyperlink" Target="https://law.justia.com/cases/california/supreme-court/2019/s242250.html" TargetMode="External"/><Relationship Id="rId1143" Type="http://schemas.openxmlformats.org/officeDocument/2006/relationships/hyperlink" Target="https://cases.justia.com/tennessee/court-of-appeals/2023-e2022-01151-coa-r3-cv.pdf?ts=1703121841" TargetMode="External"/><Relationship Id="rId1588" Type="http://schemas.openxmlformats.org/officeDocument/2006/relationships/hyperlink" Target="https://storage.courtlistener.com/recap/gov.uscourts.ded.79218/gov.uscourts.ded.79218.29.0.pdf" TargetMode="External"/><Relationship Id="rId1795" Type="http://schemas.openxmlformats.org/officeDocument/2006/relationships/hyperlink" Target="https://www.ecfr.gov/current/title-29/subtitle-B/chapter-V/subchapter-B/part-785/subpart-C/subject-group-ECFRecc40629d2c64c8/section-785.22" TargetMode="External"/><Relationship Id="rId2541" Type="http://schemas.openxmlformats.org/officeDocument/2006/relationships/hyperlink" Target="https://perma.cc/4EPP-E4TC" TargetMode="External"/><Relationship Id="rId2639" Type="http://schemas.openxmlformats.org/officeDocument/2006/relationships/hyperlink" Target="https://www.mass.gov/doc/bailey-casley-v-boston-fire-department-2625/download" TargetMode="External"/><Relationship Id="rId2846" Type="http://schemas.openxmlformats.org/officeDocument/2006/relationships/hyperlink" Target="https://cases.justia.com/federal/district-courts/tennessee/tnmdce/3:2018cv00148/73469/36/0.pdf?ts=1576934308" TargetMode="External"/><Relationship Id="rId87" Type="http://schemas.openxmlformats.org/officeDocument/2006/relationships/hyperlink" Target="https://cases.justia.com/federal/district-courts/massachusetts/madce/1:2025mc91106/281992/17/0.pdf?ts=1747471889" TargetMode="External"/><Relationship Id="rId513" Type="http://schemas.openxmlformats.org/officeDocument/2006/relationships/hyperlink" Target="https://casetext.com/case/knipper-v-drill-team-of-lindenhurst-fire-dept" TargetMode="External"/><Relationship Id="rId720" Type="http://schemas.openxmlformats.org/officeDocument/2006/relationships/hyperlink" Target="https://www.newsandsentinel.com/news/local-news/2024/03/appeals-court-ruling-vacating-capitol-rioters-sentence-could-impact-dozens-of-jan-6-cases/" TargetMode="External"/><Relationship Id="rId818" Type="http://schemas.openxmlformats.org/officeDocument/2006/relationships/hyperlink" Target="https://public.fastcase.com/Wl%2B2t%2BeVuI35%2FN70vAMFZt9ItawWnHyT6tQhkduyZ%2FXLPY%2FAAJ%2BlLBDJZfxklyiH" TargetMode="External"/><Relationship Id="rId1350" Type="http://schemas.openxmlformats.org/officeDocument/2006/relationships/hyperlink" Target="https://law.justia.com/codes/new-jersey/2013/title-40a/section-40a-14-178/" TargetMode="External"/><Relationship Id="rId1448" Type="http://schemas.openxmlformats.org/officeDocument/2006/relationships/hyperlink" Target="https://fisheldowney.com/moving-away-mandatory-arbitration-sexual-assault-harassment-claims/" TargetMode="External"/><Relationship Id="rId1655" Type="http://schemas.openxmlformats.org/officeDocument/2006/relationships/hyperlink" Target="http://www.ca2.uscourts.gov/decisions/isysquery/83382276-eb3d-4d56-b5fe-4596b6d0f64b/1/doc/19-1265_so.pdf" TargetMode="External"/><Relationship Id="rId2401" Type="http://schemas.openxmlformats.org/officeDocument/2006/relationships/hyperlink" Target="https://law.justia.com/cases/new-york/appellate-division-second-department/2020/2018-14386.html" TargetMode="External"/><Relationship Id="rId2706" Type="http://schemas.openxmlformats.org/officeDocument/2006/relationships/hyperlink" Target="https://www.cincinnati.com/story/news/politics/2024/02/08/court-former-fire-chief-michael-washington-can-sue-city/72523727007/" TargetMode="External"/><Relationship Id="rId1003" Type="http://schemas.openxmlformats.org/officeDocument/2006/relationships/hyperlink" Target="https://cases.justia.com/georgia/court-of-appeals/2023-a23a1037.pdf?ts=1697652631" TargetMode="External"/><Relationship Id="rId1210" Type="http://schemas.openxmlformats.org/officeDocument/2006/relationships/hyperlink" Target="https://public.fastcase.com/9SKwsfNqTc6OieYDhNMyM7K54qMUE6VagvA5ZeUquJVblXNtT5CMEmLb%2FOI9awGykkKYC2JU7RwfzsQEOAIcP6T5leBqhSKOtHvIUfiLV%2Fs%3D" TargetMode="External"/><Relationship Id="rId1308" Type="http://schemas.openxmlformats.org/officeDocument/2006/relationships/hyperlink" Target="https://courts.illinois.gov/R23_Orders/AppellateCourt/2020/1stDistrict/1181708_R23.pdf" TargetMode="External"/><Relationship Id="rId1862" Type="http://schemas.openxmlformats.org/officeDocument/2006/relationships/hyperlink" Target="https://public.fastcase.com/ZZhmr5v9wN%2FXOe5IsQ%2FqDwe%2Bl2bMb8hsQzBhmq%2BKFWjfsnc%2Brn1NgeRpqQFDQ7VnnNgPvPdQabSyR0vz9Y1rYYCnr8USzlwvvvJ%2BE3sgG14%3D?utm_medium=email&amp;_hsmi=226712652&amp;_hsenc=p2ANqtz-9yLx0aoJRhvv2Vy8uTc7HU3fN6k1djWwCn0_TOB1MuUA7MVtIjTAZu2eDX0z4FTqDgKj_XXmkUdS-aKvCM9lVim5p6Eg&amp;utm_content=226712652&amp;utm_source=hs_email" TargetMode="External"/><Relationship Id="rId2913" Type="http://schemas.openxmlformats.org/officeDocument/2006/relationships/hyperlink" Target="https://www.supremecourt.ohio.gov/rod/docs/pdf/8/2024/2024-Ohio-4787.pdf" TargetMode="External"/><Relationship Id="rId1515" Type="http://schemas.openxmlformats.org/officeDocument/2006/relationships/hyperlink" Target="http://www.5dca.org/Opinions/Opin2018/011518/5D17-1183.op.pdf" TargetMode="External"/><Relationship Id="rId1722" Type="http://schemas.openxmlformats.org/officeDocument/2006/relationships/hyperlink" Target="https://public.fastcase.com/ZZhmr5v9wN%2FXOe5IsQ%2FqD0vptgQgkTgOc2XpReLMSYnB1s%2FjY6uEmfEHbXjNZYzwjdaE47PHCuenuGKG11vJGyDk8SuwK4ZV%2BjmAhdBj8vo%3D?utm_medium=email&amp;_hsmi=226712652&amp;_hsenc=p2ANqtz-8f3GbrLnvkkmFwGTcrnfHBUbhSWsI9S9n17c5FNvxL__Rb5dkxAl0xkukh9Thg8SYUm21fgYbaYJ57SsEv3B3vwn_tCQ&amp;utm_content=226712652&amp;utm_source=hs_email" TargetMode="External"/><Relationship Id="rId14" Type="http://schemas.openxmlformats.org/officeDocument/2006/relationships/hyperlink" Target="mailto:Lawrence.bennett@uc.edu" TargetMode="External"/><Relationship Id="rId2191" Type="http://schemas.openxmlformats.org/officeDocument/2006/relationships/hyperlink" Target="https://www.courts.maine.gov/courts/sjc/lawcourt/2024/24me030.pdf" TargetMode="External"/><Relationship Id="rId3035" Type="http://schemas.openxmlformats.org/officeDocument/2006/relationships/hyperlink" Target="https://www.kktv.com/2022/03/03/biden-sign-bill-ending-forced-arbitration-sexual-harassment-assault-cases/" TargetMode="External"/><Relationship Id="rId163" Type="http://schemas.openxmlformats.org/officeDocument/2006/relationships/hyperlink" Target="https://haderhvac.com/blog/rv-hvac-absorption-refrigeration/" TargetMode="External"/><Relationship Id="rId370" Type="http://schemas.openxmlformats.org/officeDocument/2006/relationships/hyperlink" Target="https://cases.justia.com/kentucky/supreme-court/2018-2018-sc-000097-tg.pdf?ts=1542294839" TargetMode="External"/><Relationship Id="rId2051" Type="http://schemas.openxmlformats.org/officeDocument/2006/relationships/hyperlink" Target="https://cases.justia.com/federal/district-courts/ohio/ohndce/1:2024cv01780/310775/29/0.pdf?ts=1786388028" TargetMode="External"/><Relationship Id="rId2289" Type="http://schemas.openxmlformats.org/officeDocument/2006/relationships/hyperlink" Target="https://public.fastcase.com/J%2FJP6pdidelsXxEE4k%2BLMlnZT9Hwtbb0RSX5AXtKQie%2FaJxcYuONay3v%2BauGycaLZPl2uZFZiVR3n7gLzEpChzWsXN2J3yktMkRz%2BOu%2BxAQ%3D" TargetMode="External"/><Relationship Id="rId2496" Type="http://schemas.openxmlformats.org/officeDocument/2006/relationships/hyperlink" Target="https://cases.justia.com/federal/appellate-courts/ca5/25-60108/25-60108-2026-07-21.pdf?ts=1784680232" TargetMode="External"/><Relationship Id="rId230" Type="http://schemas.openxmlformats.org/officeDocument/2006/relationships/hyperlink" Target="https://casetext.com/case/the-vill-of-downers-grove-v-vill-square-iii-condo-assn" TargetMode="External"/><Relationship Id="rId468" Type="http://schemas.openxmlformats.org/officeDocument/2006/relationships/hyperlink" Target="https://www.youtube.com/watch?v=Y-qURehCp-0" TargetMode="External"/><Relationship Id="rId675" Type="http://schemas.openxmlformats.org/officeDocument/2006/relationships/hyperlink" Target="https://www.californiacountynews.org/news/2025/11/local-governments-win-injunction-against-trump-administration-restoring-access-dhs" TargetMode="External"/><Relationship Id="rId882" Type="http://schemas.openxmlformats.org/officeDocument/2006/relationships/hyperlink" Target="https://www.congress.gov/crs-product/R45732" TargetMode="External"/><Relationship Id="rId1098" Type="http://schemas.openxmlformats.org/officeDocument/2006/relationships/hyperlink" Target="https://cases.justia.com/louisiana/fourth-circuit-court-of-appeal/2025-2024-ca-0747.pdf?ts=1746576943" TargetMode="External"/><Relationship Id="rId2149"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2356" Type="http://schemas.openxmlformats.org/officeDocument/2006/relationships/hyperlink" Target="https://law.justia.com/codes/west-virginia/2017/chapter-55/article-7b/section-55-7b-6/" TargetMode="External"/><Relationship Id="rId2563" Type="http://schemas.openxmlformats.org/officeDocument/2006/relationships/hyperlink" Target="mailto:Birkleea@ucmail.uc.edu" TargetMode="External"/><Relationship Id="rId2770" Type="http://schemas.openxmlformats.org/officeDocument/2006/relationships/hyperlink" Target="https://www.waltontribune.com/article_108b8906-f48f-11ea-baf7-07788894fc4c.html" TargetMode="External"/><Relationship Id="rId328" Type="http://schemas.openxmlformats.org/officeDocument/2006/relationships/hyperlink" Target="https://www.photoshopessentials.com/photo-effects/copyright/" TargetMode="External"/><Relationship Id="rId535" Type="http://schemas.openxmlformats.org/officeDocument/2006/relationships/hyperlink" Target="https://www.documentcloud.org/documents/23589006-firefighter-suit-terrance-jones-et-al-v-coj-order-finalizing-case011323" TargetMode="External"/><Relationship Id="rId742" Type="http://schemas.openxmlformats.org/officeDocument/2006/relationships/hyperlink" Target="https://www.supremecourt.gov/opinions/22pdf/21-1496_d18f.pdf" TargetMode="External"/><Relationship Id="rId1165" Type="http://schemas.openxmlformats.org/officeDocument/2006/relationships/hyperlink" Target="https://casetext.com/case/city-of-wilkes-barre-v-snyder" TargetMode="External"/><Relationship Id="rId1372" Type="http://schemas.openxmlformats.org/officeDocument/2006/relationships/hyperlink" Target="https://cases.justia.com/federal/district-courts/connecticut/ctdce/3:2025cv00524/164327/45/0.pdf?ts=1773222843" TargetMode="External"/><Relationship Id="rId2009" Type="http://schemas.openxmlformats.org/officeDocument/2006/relationships/hyperlink" Target="https://www.supremecourt.gov/opinions/21pdf/20-1410_1an2.pdf" TargetMode="External"/><Relationship Id="rId2216" Type="http://schemas.openxmlformats.org/officeDocument/2006/relationships/hyperlink" Target="https://www.ca5.uscourts.gov/opinions/unpub/23/23-20375.0.pdf" TargetMode="External"/><Relationship Id="rId2423" Type="http://schemas.openxmlformats.org/officeDocument/2006/relationships/hyperlink" Target="https://www.pennlive.com/news/2020/04/split-pa-supreme-court-rejects-latest-challenge-to-gov-wolfs-coronavirus-business-shutdown-order.html" TargetMode="External"/><Relationship Id="rId2630" Type="http://schemas.openxmlformats.org/officeDocument/2006/relationships/hyperlink" Target="https://supreme.justia.com/cases/federal/us/578/14-1280/" TargetMode="External"/><Relationship Id="rId2868" Type="http://schemas.openxmlformats.org/officeDocument/2006/relationships/hyperlink" Target="http://www.ncsl.org/research/ethics/50-state-table-nepotism-restrictions.aspx" TargetMode="External"/><Relationship Id="rId602" Type="http://schemas.openxmlformats.org/officeDocument/2006/relationships/hyperlink" Target="http://www.ca5.uscourts.gov/opinions/pub/18/18-51011-CV0.pdf" TargetMode="External"/><Relationship Id="rId1025" Type="http://schemas.openxmlformats.org/officeDocument/2006/relationships/hyperlink" Target="https://law.justia.com/codes/west-virginia/2017/chapter-55/article-7b/section-55-7b-6/" TargetMode="External"/><Relationship Id="rId1232" Type="http://schemas.openxmlformats.org/officeDocument/2006/relationships/hyperlink" Target="https://law.justia.com/cases/ohio/first-district-court-of-appeals/2020/c-190708.html" TargetMode="External"/><Relationship Id="rId1677" Type="http://schemas.openxmlformats.org/officeDocument/2006/relationships/hyperlink" Target="https://public.fastcase.com/Jhe1Qn%2BmJndQYQU6z%2FeNm2kS7VI9AQpJ451BKRyshBDGiqezkPNA%2BJ4Mc%2Fomhxj3zuPpdWN764R4JuE3lYQbe83p1Nq1XHA6CB8LuiXwXBM%3D?utm_medium=email&amp;_hsenc=p2ANqtz-_xBqvIlP1bgLDQ7-gr0MsyD2cqh9I-7H0nRbwq_ndvk4N-HbAk55liN5jXfY0IgeNEDhFcwLKOWXCSzt7avhQkvFQDlA&amp;_hsmi=226712652&amp;utm_content=226712652&amp;utm_source=hs_email" TargetMode="External"/><Relationship Id="rId1884" Type="http://schemas.openxmlformats.org/officeDocument/2006/relationships/hyperlink" Target="https://www.law.cornell.edu/definitions/uscode.php?width=840&amp;height=800&amp;iframe=true&amp;def_id=29-USC-1193469627-1968318500&amp;term_occur=999&amp;term_src=title:29:chapter:9:section:260" TargetMode="External"/><Relationship Id="rId2728" Type="http://schemas.openxmlformats.org/officeDocument/2006/relationships/hyperlink" Target="https://legislation.nysenate.gov/pdf/bills/2021/S8481" TargetMode="External"/><Relationship Id="rId2935" Type="http://schemas.openxmlformats.org/officeDocument/2006/relationships/hyperlink" Target="https://www.jud.ct.gov/external/supapp/Cases/AROap/AP218/218AP115.pdf" TargetMode="External"/><Relationship Id="rId907" Type="http://schemas.openxmlformats.org/officeDocument/2006/relationships/hyperlink" Target="https://cases.justia.com/federal/district-courts/kansas/ksdce/6:2022cv01032/140026/96/0.pdf?ts=1694273736" TargetMode="External"/><Relationship Id="rId1537" Type="http://schemas.openxmlformats.org/officeDocument/2006/relationships/hyperlink" Target="https://cases.justia.com/federal/district-courts/ohio/ohndce/5:2025cv00885/316724/27/0.pdf?ts=1767103886" TargetMode="External"/><Relationship Id="rId1744" Type="http://schemas.openxmlformats.org/officeDocument/2006/relationships/hyperlink" Target="https://casetext.com/case/frost-v-provident-life-and-accident-insurance-co-1" TargetMode="External"/><Relationship Id="rId1951" Type="http://schemas.openxmlformats.org/officeDocument/2006/relationships/hyperlink" Target="https://www.ohioauditor.gov/trainings/lgoc/2018/Fair%20Labor%20Standards%20Act%20for%20Firefighters.pdf" TargetMode="External"/><Relationship Id="rId36" Type="http://schemas.openxmlformats.org/officeDocument/2006/relationships/hyperlink" Target="https://www.supremecourt.gov/opinions/25pdf/25-112_0am4.pdf" TargetMode="External"/><Relationship Id="rId1604" Type="http://schemas.openxmlformats.org/officeDocument/2006/relationships/hyperlink" Target="https://www.fiercehealthcare.com/providers/hennepin-health-accused-deeply-rooted-racism-following-blackface-excited-delirium" TargetMode="External"/><Relationship Id="rId185" Type="http://schemas.openxmlformats.org/officeDocument/2006/relationships/hyperlink" Target="https://www.law.cornell.edu/rules/fre/rule_702" TargetMode="External"/><Relationship Id="rId1811" Type="http://schemas.openxmlformats.org/officeDocument/2006/relationships/hyperlink" Target="https://www.ca4.uscourts.gov/opinions/231752.P.pdf" TargetMode="External"/><Relationship Id="rId1909" Type="http://schemas.openxmlformats.org/officeDocument/2006/relationships/hyperlink" Target="https://cdn.ymaws.com/www.roa.org/resource/resmgr/LawReviews/2016/16065-LR.pdf" TargetMode="External"/><Relationship Id="rId392" Type="http://schemas.openxmlformats.org/officeDocument/2006/relationships/hyperlink" Target="https://casetext.com/case/banske-v-city-of-calumet-city" TargetMode="External"/><Relationship Id="rId697" Type="http://schemas.openxmlformats.org/officeDocument/2006/relationships/hyperlink" Target="https://cdn.ca9.uscourts.gov/datastore/opinions/2025/03/20/23-55805.pdf" TargetMode="External"/><Relationship Id="rId2073" Type="http://schemas.openxmlformats.org/officeDocument/2006/relationships/hyperlink" Target="https://cases.justia.com/tennessee/court-of-appeals/2026-m2025-00288-coa-r3-cv.pdf?ts=1779919242" TargetMode="External"/><Relationship Id="rId2280" Type="http://schemas.openxmlformats.org/officeDocument/2006/relationships/hyperlink" Target="https://public.fastcase.com/J%2FJP6pdidelsXxEE4k%2BLMqK%2F7dEyjXc%2F7MSStJKYdkuUI2%2BsluBCAbCgNdX488UO%2BveqO8oLQ0RNBWqaiEFfWGkDgcs9M5oh9hj%2FtPj21RY%3D?utm_medium=email&amp;_hsmi=226712652&amp;_hsenc=p2ANqtz-9TZeiC7Qp2HA_ZU4GxpYYZhIBONOkNnO3yTlBCsoF00PWMECQ5punx4hjGs90LCim5ScH4TNtnDpd9JYQeMwpFQeZwiA&amp;utm_content=226712652&amp;utm_source=hs_email" TargetMode="External"/><Relationship Id="rId2378" Type="http://schemas.openxmlformats.org/officeDocument/2006/relationships/hyperlink" Target="https://www.aele.org/law/Digests/civil168b.html" TargetMode="External"/><Relationship Id="rId252" Type="http://schemas.openxmlformats.org/officeDocument/2006/relationships/hyperlink" Target="https://www.mainelegislature.org/legis/statutes/17/title17sec2851.html" TargetMode="External"/><Relationship Id="rId1187" Type="http://schemas.openxmlformats.org/officeDocument/2006/relationships/hyperlink" Target="https://www.leagle.com/decision/inohco20220627386" TargetMode="External"/><Relationship Id="rId2140" Type="http://schemas.openxmlformats.org/officeDocument/2006/relationships/hyperlink" Target="https://public.fastcase.com/jaEE2PXzRXmZ99jOLMt1IuWGAIUpkkorrJl529LJ3awEx3zEi%2Byx9rGBI4x8eUTPQhULRQSbbdyTI3aaLB6SYlAXn8jJowYQjsFj%2FU%2FJFgg%3D?utm_medium=email&amp;_hsenc=p2ANqtz-83fSGxDadFaAqcLR0jtt8PGQuvqaI_epd1KGRFswTzY3809DqN4cnTFvjtIk9nPU87syAh5PxEK-y1xpj2mK9t5ywDKQ&amp;_hsmi=226712652&amp;utm_content=226712652&amp;utm_source=hs_email" TargetMode="External"/><Relationship Id="rId2585" Type="http://schemas.openxmlformats.org/officeDocument/2006/relationships/hyperlink" Target="https://www.workcompcentral.com/news/article/id/850f78207bb1c8ba2a379062de5cedbf763208fe" TargetMode="External"/><Relationship Id="rId2792" Type="http://schemas.openxmlformats.org/officeDocument/2006/relationships/hyperlink" Target="https://public.fastcase.com/9SKwsfNqTc6OieYDhNMyM4E5bpqRXbc1vzIOBkY5d575kmIDNjPft14UGJ0ygjci" TargetMode="External"/><Relationship Id="rId112" Type="http://schemas.openxmlformats.org/officeDocument/2006/relationships/hyperlink" Target="https://casetext.com/case/united-states-v-gibson-453" TargetMode="External"/><Relationship Id="rId557" Type="http://schemas.openxmlformats.org/officeDocument/2006/relationships/hyperlink" Target="https://cafc.uscourts.gov/opinions-orders/21-1452.OPINION.4-15-2022_1936831.pdf" TargetMode="External"/><Relationship Id="rId764" Type="http://schemas.openxmlformats.org/officeDocument/2006/relationships/hyperlink" Target="https://www.lasc.org/opinions/2022/21-0929.CQ.OPN.pdf" TargetMode="External"/><Relationship Id="rId971" Type="http://schemas.openxmlformats.org/officeDocument/2006/relationships/hyperlink" Target="https://cases.justia.com/louisiana/fourth-circuit-court-of-appeal/2025-2025-ca-0386.pdf?ts=1765847814" TargetMode="External"/><Relationship Id="rId1394" Type="http://schemas.openxmlformats.org/officeDocument/2006/relationships/hyperlink" Target="https://codes.ohio.gov/ohio-revised-code/section-4112.02" TargetMode="External"/><Relationship Id="rId1699" Type="http://schemas.openxmlformats.org/officeDocument/2006/relationships/hyperlink" Target="https://www.eeoc.gov/laws/guidance/enforcement-guidance-reasonable-accommodation-and-undue-hardship-under-ada" TargetMode="External"/><Relationship Id="rId2000" Type="http://schemas.openxmlformats.org/officeDocument/2006/relationships/hyperlink" Target="https://oag.ca.gov/system/files/attachments/press-docs/Mediator%27s%20Fourth%20Interim%20Report.pdf" TargetMode="External"/><Relationship Id="rId2238" Type="http://schemas.openxmlformats.org/officeDocument/2006/relationships/hyperlink" Target="https://cases.justia.com/kentucky/court-of-appeals/2023-2022-ca-1113-mr.pdf?ts=1697205894" TargetMode="External"/><Relationship Id="rId2445" Type="http://schemas.openxmlformats.org/officeDocument/2006/relationships/hyperlink" Target="https://assets.documentcloud.org/documents/3933644/Order-Granting-Summary-Judgment.pdf" TargetMode="External"/><Relationship Id="rId2652" Type="http://schemas.openxmlformats.org/officeDocument/2006/relationships/hyperlink" Target="https://app.midpage.ai/document/geer-v-secretary-department-of-11133637?refG=true" TargetMode="External"/><Relationship Id="rId417" Type="http://schemas.openxmlformats.org/officeDocument/2006/relationships/hyperlink" Target="https://supreme.justia.com/cases/federal/us/487/500/" TargetMode="External"/><Relationship Id="rId624" Type="http://schemas.openxmlformats.org/officeDocument/2006/relationships/hyperlink" Target="https://www.firstrespondercenter.org/cancer/toolsresources/presumptive-legislation-firefighter-cancer-state/" TargetMode="External"/><Relationship Id="rId831" Type="http://schemas.openxmlformats.org/officeDocument/2006/relationships/hyperlink" Target="https://public.fastcase.com/Wl%2B2t%2BeVuI35%2FN70vAMFZjEZMJsNZYCv20xfss0VwbYGceb09nWBJue7evWvO5N%2B" TargetMode="External"/><Relationship Id="rId1047" Type="http://schemas.openxmlformats.org/officeDocument/2006/relationships/hyperlink" Target="http://www.cantonrep.com/news/20160713/massillon-family-awarded-362k-in-2008-firetruck-crash-settlement" TargetMode="External"/><Relationship Id="rId1254" Type="http://schemas.openxmlformats.org/officeDocument/2006/relationships/hyperlink" Target="https://public.fastcase.com/Wl%2B2t%2BeVuI35%2FN70vAMFZhBwSznuAn%2FrUV3euz1vpuZ8G42r7l80quvA5s5OcZyT" TargetMode="External"/><Relationship Id="rId1461" Type="http://schemas.openxmlformats.org/officeDocument/2006/relationships/hyperlink" Target="https://www.leagle.com/decision/infdco20210812991" TargetMode="External"/><Relationship Id="rId2305" Type="http://schemas.openxmlformats.org/officeDocument/2006/relationships/hyperlink" Target="https://casetext.com/case/sutton-v-rockingham-cnty" TargetMode="External"/><Relationship Id="rId2512" Type="http://schemas.openxmlformats.org/officeDocument/2006/relationships/hyperlink" Target="file:///C:/Users/lawre/Downloads/US_DIS_NYSD_1_19cv11555_COMPLAINT_against_City_of_New_York_City_of_New_Yor.pdf" TargetMode="External"/><Relationship Id="rId2957" Type="http://schemas.openxmlformats.org/officeDocument/2006/relationships/hyperlink" Target="http://perc.myflorida.com/download.aspx/Prefix=CA/CaseYr=21/CaseNo=012/File=CA21012_Ord10_05192022_163540.pdf" TargetMode="External"/><Relationship Id="rId929" Type="http://schemas.openxmlformats.org/officeDocument/2006/relationships/hyperlink" Target="https://codes.ohio.gov/ohio-revised-code/section-3746.24" TargetMode="External"/><Relationship Id="rId1114" Type="http://schemas.openxmlformats.org/officeDocument/2006/relationships/hyperlink" Target="https://www.courtswv.gov/sites/default/pubfilesmnt/2024-03/23-ICA-446_MD.pdf" TargetMode="External"/><Relationship Id="rId1321" Type="http://schemas.openxmlformats.org/officeDocument/2006/relationships/hyperlink" Target="https://www.courts.ri.gov/Courts/SupremeCourt/SupremeOpinions/17-295.pdf" TargetMode="External"/><Relationship Id="rId1559" Type="http://schemas.openxmlformats.org/officeDocument/2006/relationships/hyperlink" Target="https://public.fastcase.com/jaEE2PXzRXmZ99jOLMt1Ig73AWbHngoMRgpe4nLWTO53aGFBbi44KCyxbclUQNrRtdkO5InHzTjZEyqBZ0TTu4M3XLXcJtKtBwk6Y3SN%2BfM%3D?utm_medium=email&amp;_hsenc=p2ANqtz--YVrLxgHNVQCg2RIMQiS4XSu1REbqHDD3q7IV_og8sZIryoVLFG1HLWpJaCKB-X4Qy5JqtbBdGIwkTCURiibvlDX5J7A&amp;_hsmi=226712652&amp;utm_content=226712652&amp;utm_source=hs_email" TargetMode="External"/><Relationship Id="rId1766" Type="http://schemas.openxmlformats.org/officeDocument/2006/relationships/hyperlink" Target="https://www.law.com/thelegalintelligencer/2019/08/12/third-circuit-revives-beard-related-discrimination-claims-against-upenn/" TargetMode="External"/><Relationship Id="rId1973" Type="http://schemas.openxmlformats.org/officeDocument/2006/relationships/hyperlink" Target="https://cases.justia.com/louisiana/first-circuit-court-of-appeal/2025-2023ca0459.pdf?ts=1749828408" TargetMode="External"/><Relationship Id="rId2817" Type="http://schemas.openxmlformats.org/officeDocument/2006/relationships/hyperlink" Target="https://casetext.com/case/united-states-v-fields-198" TargetMode="External"/><Relationship Id="rId58" Type="http://schemas.openxmlformats.org/officeDocument/2006/relationships/hyperlink" Target="https://www.facebook.com/groups/336997465025309/posts/424479052943816/" TargetMode="External"/><Relationship Id="rId1419" Type="http://schemas.openxmlformats.org/officeDocument/2006/relationships/hyperlink" Target="https://wtop.com/news/2014/03/dc-firefighter-charged-with-filling-fake-prescriptions/" TargetMode="External"/><Relationship Id="rId1626" Type="http://schemas.openxmlformats.org/officeDocument/2006/relationships/hyperlink" Target="https://www.courts.mi.gov/4a7f39/siteassets/case-documents/uploads/opinions/final/coa/20210916_c353618_41_353618.opn.pdf" TargetMode="External"/><Relationship Id="rId1833" Type="http://schemas.openxmlformats.org/officeDocument/2006/relationships/hyperlink" Target="https://www.law360.com/employment-authority/articles/1701446/okla-ems-dept-shorts-workers-on-ot-former-emt-says" TargetMode="External"/><Relationship Id="rId1900" Type="http://schemas.openxmlformats.org/officeDocument/2006/relationships/hyperlink" Target="https://www.dol.gov/sites/dolgov/files/WHD/legacy/files/fab_2020_7.pdf" TargetMode="External"/><Relationship Id="rId2095" Type="http://schemas.openxmlformats.org/officeDocument/2006/relationships/hyperlink" Target="https://law.justia.com/cases/new-york/appellate-division-third-department/2026/cv-24-1117-cv-25-0151.html" TargetMode="External"/><Relationship Id="rId274" Type="http://schemas.openxmlformats.org/officeDocument/2006/relationships/hyperlink" Target="https://www.vulture.com/article/bill-cosby-overturned-sexual-assault-conviction-explained.html" TargetMode="External"/><Relationship Id="rId481" Type="http://schemas.openxmlformats.org/officeDocument/2006/relationships/hyperlink" Target="https://cases.justia.com/texas/eleventh-court-of-appeals/2024-11-22-00155-cr.pdf?ts=1726749633" TargetMode="External"/><Relationship Id="rId2162" Type="http://schemas.openxmlformats.org/officeDocument/2006/relationships/image" Target="media/image4.png"/><Relationship Id="rId3006" Type="http://schemas.openxmlformats.org/officeDocument/2006/relationships/hyperlink" Target="https://www.hud.gov/program_offices/housing/sfh/reo/abtrevt" TargetMode="External"/><Relationship Id="rId134" Type="http://schemas.openxmlformats.org/officeDocument/2006/relationships/hyperlink" Target="https://www.peoplefor.org/biden-judge-writes-unanimous-opinion-letting-indigent-woman-challenge-her-conviction-unfairly-based" TargetMode="External"/><Relationship Id="rId579" Type="http://schemas.openxmlformats.org/officeDocument/2006/relationships/hyperlink" Target="http://www.legislature.mi.gov/(S(dodu2xg2ouu1vonwqhxqy4i2))/mileg.aspx?page=getObject&amp;objectName=mcl-750-411h" TargetMode="External"/><Relationship Id="rId786" Type="http://schemas.openxmlformats.org/officeDocument/2006/relationships/hyperlink" Target="https://www.cincinnati.com/story/news/2021/08/02/attorney-maker-double-drum-magazine-enabled-dayton-mass-shooting/5455812001/" TargetMode="External"/><Relationship Id="rId993" Type="http://schemas.openxmlformats.org/officeDocument/2006/relationships/hyperlink" Target="https://law.justia.com/cases/oklahoma/supreme-court/2024/121510.html" TargetMode="External"/><Relationship Id="rId2467" Type="http://schemas.openxmlformats.org/officeDocument/2006/relationships/hyperlink" Target="https://cases.justia.com/federal/appellate-courts/ca7/17-3060/17-3060-2018-08-14.pdf?ts=1534262420" TargetMode="External"/><Relationship Id="rId2674" Type="http://schemas.openxmlformats.org/officeDocument/2006/relationships/hyperlink" Target="https://www.ca5.uscourts.gov/opinions/pub/23/23-10881-CV0.pdf" TargetMode="External"/><Relationship Id="rId341" Type="http://schemas.openxmlformats.org/officeDocument/2006/relationships/hyperlink" Target="https://cases.justia.com/federal/appellate-courts/ca11/19-11399/19-11399-2019-12-12.pdf?ts=1576184426" TargetMode="External"/><Relationship Id="rId439" Type="http://schemas.openxmlformats.org/officeDocument/2006/relationships/hyperlink" Target="https://www.supremecourt.ohio.gov/rod/docs/pdf/12/2025/2025-Ohio-4780.pdf" TargetMode="External"/><Relationship Id="rId646" Type="http://schemas.openxmlformats.org/officeDocument/2006/relationships/hyperlink" Target="https://www.canadianlawyermag.com/news/international/boston-judge-rejects-us-administrations-use-of-agency-priorities-clause-in-funding-cuts/394386" TargetMode="External"/><Relationship Id="rId1069" Type="http://schemas.openxmlformats.org/officeDocument/2006/relationships/hyperlink" Target="https://public.fastcase.com/Jhe1Qn%2BmJndQYQU6z%2FeNm1SSbD0G3ZEWJh7YHZP1lKvwyFhreCu4Zs3UIv3EdnBK?utm_medium=email&amp;_hsenc=p2ANqtz-9nqm6pHuxrJA2eqp98a7_eI9fDSv0sKlRywY7jloQaZjhwJh8mlE2JmH7OUYiPvznSiiSBN3erALyoe2ilWNUf5RREvQ&amp;_hsmi=226712652&amp;utm_content=226712652&amp;utm_source=hs_email" TargetMode="External"/><Relationship Id="rId1276" Type="http://schemas.openxmlformats.org/officeDocument/2006/relationships/hyperlink" Target="https://www.natlawreview.com/article/department-justice-report-shows-whistleblowers-consistently-rewarded-through-qui-tam" TargetMode="External"/><Relationship Id="rId1483" Type="http://schemas.openxmlformats.org/officeDocument/2006/relationships/hyperlink" Target="http://media.ca11.uscourts.gov/opinions/pub/files/201814687.pdf" TargetMode="External"/><Relationship Id="rId2022" Type="http://schemas.openxmlformats.org/officeDocument/2006/relationships/hyperlink" Target="https://public.fastcase.com/9SKwsfNqTc6OieYDhNMyM8QDIumtbytcTIYRS7vEe0pQ3%2BAszz%2FAIWxBBPTdhGkJW%2FsZnkZT639gd%2FCKUheamGpg8tPb2WiD4LZsCmDtik8%3D" TargetMode="External"/><Relationship Id="rId2327" Type="http://schemas.openxmlformats.org/officeDocument/2006/relationships/hyperlink" Target="https://www.supremecourt.gov/opinions/21pdf/21a145_gfbi.pdf" TargetMode="External"/><Relationship Id="rId2881" Type="http://schemas.openxmlformats.org/officeDocument/2006/relationships/hyperlink" Target="https://d.docs.live.net/bd9b2eaf6053242e/AppData/Roaming/Microsoft/AppData/Local/Microsoft/Windows/INetCache/IE/XO250S7T/01171801lmb.pdf" TargetMode="External"/><Relationship Id="rId2979" Type="http://schemas.openxmlformats.org/officeDocument/2006/relationships/hyperlink" Target="https://www.firehouse.com/careers-education/news/21056124/watertownofficials-wants-to-take-firefighters-union-to-new-york-supreme-court" TargetMode="External"/><Relationship Id="rId201" Type="http://schemas.openxmlformats.org/officeDocument/2006/relationships/hyperlink" Target="https://www.justice.gov/opa/pr/false-claims-act-settlements-and-judgments-exceed-2-billion-fiscal-year-2022" TargetMode="External"/><Relationship Id="rId506" Type="http://schemas.openxmlformats.org/officeDocument/2006/relationships/hyperlink" Target="https://casetext.com/case/maines-v-cronomer-val-fire" TargetMode="External"/><Relationship Id="rId853" Type="http://schemas.openxmlformats.org/officeDocument/2006/relationships/hyperlink" Target="https://cases.justia.com/connecticut/supreme-court/2019-sc20009.pdf?ts=1554984045" TargetMode="External"/><Relationship Id="rId1136" Type="http://schemas.openxmlformats.org/officeDocument/2006/relationships/hyperlink" Target="https://www.nj.gov/treasury/pensions/documents/factsheets/fact15.pdf" TargetMode="External"/><Relationship Id="rId1690" Type="http://schemas.openxmlformats.org/officeDocument/2006/relationships/hyperlink" Target="https://cases.justia.com/federal/district-courts/south-carolina/scdce/0:2024cv00826/288831/46/0.pdf" TargetMode="External"/><Relationship Id="rId1788" Type="http://schemas.openxmlformats.org/officeDocument/2006/relationships/hyperlink" Target="https://public.fastcase.com/Wl%2B2t%2BeVuI35%2FN70vAMFZmLHUFluj8t0T%2BAyFM6B%2B2S9SNpejaiKBu7OSzXfoy%2FQ" TargetMode="External"/><Relationship Id="rId1995" Type="http://schemas.openxmlformats.org/officeDocument/2006/relationships/hyperlink" Target="https://cases.justia.com/federal/appellate-courts/ca5/22-20380/22-20380-2023-07-24.pdf?ts=1690219861" TargetMode="External"/><Relationship Id="rId2534" Type="http://schemas.openxmlformats.org/officeDocument/2006/relationships/hyperlink" Target="https://cases.justia.com/ohio/twelfth-district-court-of-appeals/2023-ca2023-06-039.pdf?ts=1703791198" TargetMode="External"/><Relationship Id="rId2741" Type="http://schemas.openxmlformats.org/officeDocument/2006/relationships/hyperlink" Target="https://public.fastcase.com/J%2FJP6pdidelsXxEE4k%2BLMjaDEWROmrH16cfc6gra3ASxsA6ABb5gmKr7dgTVPZFAyucR%2F24MD4mhTmh6U3JDqNSXBmdIcjdrjArbqC4ueHA%3D?utm_medium=email&amp;_hsmi=226712652&amp;_hsenc=p2ANqtz-8djIG1sQ_3FyKMXC40KW2oDEllslyVj_QIL_DW9IJ-72SY8jUMapn9qVvf0Txy9Aeh2fYzSIF_AEMjkupRX651B5mjNw&amp;utm_content=226712652&amp;utm_source=hs_email" TargetMode="External"/><Relationship Id="rId2839" Type="http://schemas.openxmlformats.org/officeDocument/2006/relationships/hyperlink" Target="https://supreme.justia.com/cases/federal/us/470/532/" TargetMode="External"/><Relationship Id="rId713" Type="http://schemas.openxmlformats.org/officeDocument/2006/relationships/hyperlink" Target="https://www.ca5.uscourts.gov/opinions/pub/17/17-30864-CV4.pdf" TargetMode="External"/><Relationship Id="rId920" Type="http://schemas.openxmlformats.org/officeDocument/2006/relationships/hyperlink" Target="https://firstamendmentwatch.org/arizona-governor-signs-bill-to-restrict-recording-of-police-in-public/" TargetMode="External"/><Relationship Id="rId1343" Type="http://schemas.openxmlformats.org/officeDocument/2006/relationships/hyperlink" Target="https://www.bizjournals.com/columbus/news/2018/09/20/new-ohio-law-incentivizes-businesses-that-comply.html" TargetMode="External"/><Relationship Id="rId1550" Type="http://schemas.openxmlformats.org/officeDocument/2006/relationships/hyperlink" Target="https://public.fastcase.com/jaEE2PXzRXmZ99jOLMt1Ih1bY1MIzDyw1U7nvkn0d%2B%2FaFhZR3Gd%2F7kjzaTYbL26VJTUSjJADCaSru%2Bl5NmbtQ7Cz5zh1NuQxuUkDcSWUI8U%3D?utm_medium=email&amp;_hsenc=p2ANqtz-_CCOzgPs_whfplvulLfr2w4HcJ6-0Ih3t3c1pVqqN-_dVSpVNg1X0G63L7_Ww7LMQiA0kuqw-PCcDfPecmXjX4Ld1uNw&amp;_hsmi=226712652&amp;utm_content=226712652&amp;utm_source=hs_email" TargetMode="External"/><Relationship Id="rId1648" Type="http://schemas.openxmlformats.org/officeDocument/2006/relationships/hyperlink" Target="https://casetext.com/case/threat-v-city-of-cleveland" TargetMode="External"/><Relationship Id="rId2601" Type="http://schemas.openxmlformats.org/officeDocument/2006/relationships/hyperlink" Target="https://omlohio.org/m/newsflash/home/detail/52" TargetMode="External"/><Relationship Id="rId1203" Type="http://schemas.openxmlformats.org/officeDocument/2006/relationships/hyperlink" Target="https://casetext.com/case/regan-v-city-of-philadelphia-workers-comp-appeal-board" TargetMode="External"/><Relationship Id="rId1410" Type="http://schemas.openxmlformats.org/officeDocument/2006/relationships/hyperlink" Target="https://casetext.com/case/lundberg-v-delta-response-team-llc" TargetMode="External"/><Relationship Id="rId1508" Type="http://schemas.openxmlformats.org/officeDocument/2006/relationships/hyperlink" Target="https://cases.justia.com/federal/district-courts/illinois/ilndce/1:2016cv10156/332956/114/0.pdf?ts=1547630986" TargetMode="External"/><Relationship Id="rId1855" Type="http://schemas.openxmlformats.org/officeDocument/2006/relationships/hyperlink" Target="http://www.courtswv.gov/supreme-court/docs/fall2023/22-0185-hutchison-p.pdf" TargetMode="External"/><Relationship Id="rId2906" Type="http://schemas.openxmlformats.org/officeDocument/2006/relationships/hyperlink" Target="https://cases.justia.com/new-hampshire/supreme-court/2025-2024-0097.pdf?ts=1742996506" TargetMode="External"/><Relationship Id="rId1715" Type="http://schemas.openxmlformats.org/officeDocument/2006/relationships/hyperlink" Target="https://casetext.com/case/bruno-v-wells-armstrong" TargetMode="External"/><Relationship Id="rId1922" Type="http://schemas.openxmlformats.org/officeDocument/2006/relationships/hyperlink" Target="https://public.fastcase.com/Wl%2B2t%2BeVuI35%2FN70vAMFZqOCIluAWFXT7dyIbWSJtbA2tJbGDR%2F5EmjVBjMYm1QS" TargetMode="External"/><Relationship Id="rId296" Type="http://schemas.openxmlformats.org/officeDocument/2006/relationships/hyperlink" Target="http://codes.ohio.gov/orc/2921.43" TargetMode="External"/><Relationship Id="rId2184" Type="http://schemas.openxmlformats.org/officeDocument/2006/relationships/hyperlink" Target="https://webservices.courthousenews.com/sites/Data/AppellateOpinionUploads/2024-17-5--13-46-27-048b5eb5-2700-4a37-ac11-5deaa284f5ce.pdf" TargetMode="External"/><Relationship Id="rId2391" Type="http://schemas.openxmlformats.org/officeDocument/2006/relationships/hyperlink" Target="https://www.supremecourt.gov/opinions/20pdf/20a87_4g15.pdf" TargetMode="External"/><Relationship Id="rId3028" Type="http://schemas.openxmlformats.org/officeDocument/2006/relationships/hyperlink" Target="https://www.supremecourt.ohio.gov/marsy-s-law-and-crime-victim-rights/" TargetMode="External"/><Relationship Id="rId156" Type="http://schemas.openxmlformats.org/officeDocument/2006/relationships/hyperlink" Target="https://www.supremecourt.gov/opinions/23pdf/22-982_bq7d.pdf" TargetMode="External"/><Relationship Id="rId363" Type="http://schemas.openxmlformats.org/officeDocument/2006/relationships/hyperlink" Target="https://www.washingtonpost.com/politics/courts_law/abortion-death-penalty-religion-late-night-rulings-show-new-alliances-at-supreme-court/2019/02/08/681cc252-2bb9-11e9-b011-d8500644dc98_story.html?utm_term=.6e954895539e&amp;wpisrc=nl_evening&amp;wpmm=1" TargetMode="External"/><Relationship Id="rId570" Type="http://schemas.openxmlformats.org/officeDocument/2006/relationships/hyperlink" Target="https://www.supremecourt.ohio.gov/rod/docs/pdf/0/2021/2021-Ohio-2067.pdf" TargetMode="External"/><Relationship Id="rId2044" Type="http://schemas.openxmlformats.org/officeDocument/2006/relationships/hyperlink" Target="https://www.la4th.org/opinion/2019/486077.pdf" TargetMode="External"/><Relationship Id="rId2251" Type="http://schemas.openxmlformats.org/officeDocument/2006/relationships/hyperlink" Target="https://public.fastcase.com/ZZhmr5v9wN%2FXOe5IsQ%2FqD3yVZPtM4gE5qxUG0JmvBs4KZKL0kykfWRWAFzVzGOUSCymfVjFMg8ksTGDwIJSWELTF6XkccOjxJx4J8ta6mPQ%3D?utm_medium=email&amp;_hsmi=226712652&amp;_hsenc=p2ANqtz-91z17HDQg9Q71tjjdfZzo5M0dPvb4mrX2MWXe9g7uh0-gjm69ERrplNGPGusNDxTqNwPz_oB2Mm624G4BOe4pHJTgwVA&amp;utm_content=226712652&amp;utm_source=hs_email" TargetMode="External"/><Relationship Id="rId2489" Type="http://schemas.openxmlformats.org/officeDocument/2006/relationships/hyperlink" Target="https://caselaw.findlaw.com/ny-supreme-court-appellate-division/1893546.html" TargetMode="External"/><Relationship Id="rId2696" Type="http://schemas.openxmlformats.org/officeDocument/2006/relationships/hyperlink" Target="https://casetext.com/case/medina-v-columbia-river-fire-rescue" TargetMode="External"/><Relationship Id="rId223" Type="http://schemas.openxmlformats.org/officeDocument/2006/relationships/hyperlink" Target="https://public.fastcase.com/J%2FJP6pdidelsXxEE4k%2BLMrejai%2Bw5%2BeDXQox0zGA5TAAjpgBNhW%2BTu8BKpGDyiMDLNszr4O4A0HJdAcQDg8WWefj18tLbckuVQCC3%2F5jGpg%3D?utm_medium=email&amp;_hsmi=226712652&amp;_hsenc=p2ANqtz-8ZmJA9o4nlUCIURyhETyHKM8lkOE8xo-FU4HGJipx6Boh4nCnx77GsOdK5dPH9YVtR5YzBPx6JahAT-_oeRPGcO0F8pg&amp;utm_content=226712652&amp;utm_source=hs_email" TargetMode="External"/><Relationship Id="rId430" Type="http://schemas.openxmlformats.org/officeDocument/2006/relationships/hyperlink" Target="https://www.casemine.com/judgement/us/6963a657827d4c0685d5653a" TargetMode="External"/><Relationship Id="rId668" Type="http://schemas.openxmlformats.org/officeDocument/2006/relationships/hyperlink" Target="https://cases.justia.com/federal/appellate-courts/ca3/25-2635/25-2635-2025-12-01.pdf?ts=1764612050" TargetMode="External"/><Relationship Id="rId875" Type="http://schemas.openxmlformats.org/officeDocument/2006/relationships/hyperlink" Target="https://www.fs.usda.gov/r06/willamette/fire/info/beachie-creek-fire" TargetMode="External"/><Relationship Id="rId1060" Type="http://schemas.openxmlformats.org/officeDocument/2006/relationships/hyperlink" Target="https://www.nycourts.gov/reporter/current/3dseries/2026/2026_03970.shtml" TargetMode="External"/><Relationship Id="rId1298" Type="http://schemas.openxmlformats.org/officeDocument/2006/relationships/hyperlink" Target="https://mdcourts.gov/data/opinions/cosa/2020/3381s18.pdf" TargetMode="External"/><Relationship Id="rId2111" Type="http://schemas.openxmlformats.org/officeDocument/2006/relationships/hyperlink" Target="https://cases.justia.com/federal/district-courts/california/candce/3:2022cv02130/394009/131/0.pdf" TargetMode="External"/><Relationship Id="rId2349" Type="http://schemas.openxmlformats.org/officeDocument/2006/relationships/hyperlink" Target="https://public.fastcase.com/9SKwsfNqTc6OieYDhNMyM83%2FYLJrcCtVmui0iqpJLDORGkxVmnXPTmwbGH4uC0ci" TargetMode="External"/><Relationship Id="rId2556" Type="http://schemas.openxmlformats.org/officeDocument/2006/relationships/hyperlink" Target="https://www.ca5.uscourts.gov/opinions/pub/21/21-20085-CV0.pdf" TargetMode="External"/><Relationship Id="rId2763" Type="http://schemas.openxmlformats.org/officeDocument/2006/relationships/hyperlink" Target="https://iprospectcheck.com/background-checks-employment-guide/" TargetMode="External"/><Relationship Id="rId2970" Type="http://schemas.openxmlformats.org/officeDocument/2006/relationships/hyperlink" Target="https://perb.delaware.gov/wp-content/uploads/sites/127/2021/07/2020-0765-Order-of-reversal-and-remand-6-28-21-website.pdf" TargetMode="External"/><Relationship Id="rId528" Type="http://schemas.openxmlformats.org/officeDocument/2006/relationships/hyperlink" Target="https://www.courts.ca.gov/opinions/nonpub/C096220.PDF" TargetMode="External"/><Relationship Id="rId735" Type="http://schemas.openxmlformats.org/officeDocument/2006/relationships/hyperlink" Target="https://casetext.com/case/baarbe-v-the-syrian-arab-republic" TargetMode="External"/><Relationship Id="rId942" Type="http://schemas.openxmlformats.org/officeDocument/2006/relationships/hyperlink" Target="https://casetext.com/case/long-lake-twp-v-maxon" TargetMode="External"/><Relationship Id="rId1158" Type="http://schemas.openxmlformats.org/officeDocument/2006/relationships/hyperlink" Target="https://casetext.com/case/clark-v-town-of-waterford-1" TargetMode="External"/><Relationship Id="rId1365" Type="http://schemas.openxmlformats.org/officeDocument/2006/relationships/hyperlink" Target="https://cases.justia.com/federal/appellate-courts/ca6/25-3885/25-3885-2026-07-17.pdf?ts=1784323840" TargetMode="External"/><Relationship Id="rId1572" Type="http://schemas.openxmlformats.org/officeDocument/2006/relationships/hyperlink" Target="https://news.bloomberglaw.com/us-law-week/black-ex-firefighter-barred-from-bringing-racial-bias-lawsuit" TargetMode="External"/><Relationship Id="rId2209" Type="http://schemas.openxmlformats.org/officeDocument/2006/relationships/hyperlink" Target="https://public.fastcase.com/H1P9uiW3J20SFp%2BGCG%2BxLaemfayQbOUv%2BEh6FB5s8DQhIQ87YMziPJITlyqe%2FhSH?utm_medium=email&amp;_hsmi=226712652&amp;_hsenc=p2ANqtz-8exNZIeYxIQOzMK262tD3IHaMXGJDKKAxfpMPtjNaE7kcerp9c9vm-ypoKl8zd2ZG1HbM5kXW5cAGwdVsTDfl2ZJRdHw&amp;utm_content=226712652&amp;utm_source=hs_email" TargetMode="External"/><Relationship Id="rId2416" Type="http://schemas.openxmlformats.org/officeDocument/2006/relationships/hyperlink" Target="https://iapps.courts.state.ny.us/search/wicket/page?2-IResourceListener-pnlResultContainer-pnlResult-2-lnkDocument" TargetMode="External"/><Relationship Id="rId2623" Type="http://schemas.openxmlformats.org/officeDocument/2006/relationships/hyperlink" Target="https://cases.justia.com/missouri/court-of-appeals/2026-wd88004.pdf?ts=1772555406" TargetMode="External"/><Relationship Id="rId1018" Type="http://schemas.openxmlformats.org/officeDocument/2006/relationships/hyperlink" Target="https://law.justia.com/cases/texas/thirteenth-court-of-appeals/2022/13-20-00315-cv.html" TargetMode="External"/><Relationship Id="rId1225" Type="http://schemas.openxmlformats.org/officeDocument/2006/relationships/hyperlink" Target="https://www.lasc.org/Opinions/2021/20-1231.C.OPN.pdf" TargetMode="External"/><Relationship Id="rId1432" Type="http://schemas.openxmlformats.org/officeDocument/2006/relationships/hyperlink" Target="https://public.fastcase.com/ZZhmr5v9wN%2FXOe5IsQ%2FqD5GEiR8JSLFSN2NHQUjL%2BLjuVtwCOTZwj5nD2zQQ%2BwtpHt7pljoilZmodoPEUPL5r9NdmF5u2B1LY%2FXPhwSo6GU%3D?utm_medium=email&amp;_hsmi=226712652&amp;_hsenc=p2ANqtz-8SXYDP1HnWQE4kbMGe0V_9TllXrxMri8_HVcmLnhw39Rwsl622P5fZw6IGKcYm90xDZflJsj-2gnz1pneYjju0n1QAHw&amp;utm_content=226712652&amp;utm_source=hs_email" TargetMode="External"/><Relationship Id="rId1877" Type="http://schemas.openxmlformats.org/officeDocument/2006/relationships/hyperlink" Target="https://www.providencejournal.com/story/news/courts/2020/10/20/central-coventry-firefighters-say-district-stiffed-them-overtime/5990213002/" TargetMode="External"/><Relationship Id="rId2830" Type="http://schemas.openxmlformats.org/officeDocument/2006/relationships/hyperlink" Target="https://public.fastcase.com/Wl%2B2t%2BeVuI35%2FN70vAMFZiqDSx6E0DPFzBbugd7jDu14ZTk4ABsQUj2F%2Fw3WIuoM" TargetMode="External"/><Relationship Id="rId2928" Type="http://schemas.openxmlformats.org/officeDocument/2006/relationships/hyperlink" Target="https://www.courtnewsohio.gov/cases/2023/SCO/0829/220988.asp" TargetMode="External"/><Relationship Id="rId71" Type="http://schemas.openxmlformats.org/officeDocument/2006/relationships/hyperlink" Target="https://public.fastcase.com/jaEE2PXzRXmZ99jOLMt1Ips4C6WkUGp0KzACPcngYbWmPTLfIWMstLJyRryzc8Dq?utm_medium=email&amp;_hsenc=p2ANqtz-94X9-jvo7aphxCTddVbMuFo0h95bmcaFpGEwlnAd6pPwVsx4xOyg-iR7W5WKYYvAnlQWrH3LVFVTBhWCeJd3O3dSBjuA&amp;_hsmi=226712652&amp;utm_content=226712652&amp;utm_source=hs_email" TargetMode="External"/><Relationship Id="rId802" Type="http://schemas.openxmlformats.org/officeDocument/2006/relationships/hyperlink" Target="https://www.law.cornell.edu/definitions/uscode.php?width=840&amp;height=800&amp;iframe=true&amp;def_id=8-USC-92903111-1485256781&amp;term_occur=999&amp;term_src=title:8:chapter:12:subchapter:II:part:IV:section:1229b" TargetMode="External"/><Relationship Id="rId1737" Type="http://schemas.openxmlformats.org/officeDocument/2006/relationships/hyperlink" Target="https://law.justia.com/cases/federal/district-courts/illinois/ilndce/1:2021cv06211/409083/23/" TargetMode="External"/><Relationship Id="rId1944" Type="http://schemas.openxmlformats.org/officeDocument/2006/relationships/hyperlink" Target="https://www.dol.gov/whd/overtime/regularrate2019.htm" TargetMode="External"/><Relationship Id="rId29" Type="http://schemas.openxmlformats.org/officeDocument/2006/relationships/hyperlink" Target="https://www.pacourts.us/assets/opinions/Superior/out/J-S07009-26m%20-%20106924754373959959.pdf?cb=1" TargetMode="External"/><Relationship Id="rId178" Type="http://schemas.openxmlformats.org/officeDocument/2006/relationships/hyperlink" Target="https://cases.justia.com/federal/appellate-courts/ca9/22-16236/22-16236-2023-09-29.pdf?ts=1696005037" TargetMode="External"/><Relationship Id="rId1804" Type="http://schemas.openxmlformats.org/officeDocument/2006/relationships/hyperlink" Target="https://public.fastcase.com/Jhe1Qn%2BmJndQYQU6z%2FeNm2MBH8jjZypB1KxY%2B3GJWtt3pU7LQ0HG1TD%2BuEAPjcSSqkB%2F2Yca8lDVABp6qaMHSj5ZnKz4h2BUwQ71QZi85m8%3D?utm_medium=email&amp;_hsenc=p2ANqtz-_R5GvzVgy1X05e_vCvuMC9Q5e35U1J1WERhCn0fZcvatolnFVOIwTcjgpntEVG0Zn0QYI5aNrPmOIXD_9eLdzthe8Iwg&amp;_hsmi=226712652&amp;utm_content=226712652&amp;utm_source=hs_email" TargetMode="External"/><Relationship Id="rId385" Type="http://schemas.openxmlformats.org/officeDocument/2006/relationships/hyperlink" Target="https://cases.justia.com/federal/district-courts/new-york/nyedce/2:2017cv03480/402865/37/0.pdf?ts=1528277681" TargetMode="External"/><Relationship Id="rId592" Type="http://schemas.openxmlformats.org/officeDocument/2006/relationships/hyperlink" Target="https://www.cdc.gov/niosh/fire/reports/face200837.html" TargetMode="External"/><Relationship Id="rId2066" Type="http://schemas.openxmlformats.org/officeDocument/2006/relationships/hyperlink" Target="https://public.fastcase.com/Jhe1Qn%2BmJndQYQU6z%2FeNmxd3J8jpmxXxyeidb6WXrTEciJVACoDQGCX04YyoIKQxWs5hBfmCFqjSsPik5w4la1NJYiz6fo5tDOdYnNwjoT0%3D?utm_medium=email&amp;_hsenc=p2ANqtz-9LzrN1R9Pgrlzgu6Bjb006a7Y-7J4xKc7rzHzZp95cTtgFvjhjxyCpE0IXkHF1YdLpVWdu75zDjIRZyumRHM8CB80GGw&amp;_hsmi=226712652&amp;utm_content=226712652&amp;utm_source=hs_email" TargetMode="External"/><Relationship Id="rId2273" Type="http://schemas.openxmlformats.org/officeDocument/2006/relationships/hyperlink" Target="https://www.law.cornell.edu/definitions/uscode.php?width=840&amp;height=800&amp;iframe=true&amp;def_id=42-USC-303628742-1009355614&amp;term_occur=999&amp;term_src=" TargetMode="External"/><Relationship Id="rId2480" Type="http://schemas.openxmlformats.org/officeDocument/2006/relationships/hyperlink" Target="https://cases.justia.com/federal/district-courts/virginia/vawdce/5:2025cv00063/135495/23/0.pdf?ts=1785772612" TargetMode="External"/><Relationship Id="rId245" Type="http://schemas.openxmlformats.org/officeDocument/2006/relationships/hyperlink" Target="https://www.supremecourt.gov/opinions/21pdf/21a244_hgci.pdf" TargetMode="External"/><Relationship Id="rId452" Type="http://schemas.openxmlformats.org/officeDocument/2006/relationships/hyperlink" Target="https://cases.justia.com/arkansas/court-of-appeals/2025-cv-22-305.pdf?ts=1746026138" TargetMode="External"/><Relationship Id="rId897" Type="http://schemas.openxmlformats.org/officeDocument/2006/relationships/hyperlink" Target="https://caselaw.findlaw.com/court/us-5th-circuit/115838888.html" TargetMode="External"/><Relationship Id="rId1082" Type="http://schemas.openxmlformats.org/officeDocument/2006/relationships/hyperlink" Target="https://www.govinfo.gov/content/pkg/USCOURTS-ncwd-5_24-cv-00192/pdf/USCOURTS-ncwd-5_24-cv-00192-1.pdf" TargetMode="External"/><Relationship Id="rId2133" Type="http://schemas.openxmlformats.org/officeDocument/2006/relationships/hyperlink" Target="https://code.wvlegislature.gov/email/24-6/" TargetMode="External"/><Relationship Id="rId2340" Type="http://schemas.openxmlformats.org/officeDocument/2006/relationships/hyperlink" Target="https://public.fastcase.com/9SKwsfNqTc6OieYDhNMyMyh4iKdUdl33yaqybd0RVUT7BGA%2FcA7dSWVys7nK48GqCBRY0Irwv50JDrMJhhTjndqcgsIMADMauCadEl5HS9U%3D" TargetMode="External"/><Relationship Id="rId2578" Type="http://schemas.openxmlformats.org/officeDocument/2006/relationships/hyperlink" Target="https://jgpr.net/wp-content/uploads/2020/04/433-MSJ-Order.pdf" TargetMode="External"/><Relationship Id="rId2785" Type="http://schemas.openxmlformats.org/officeDocument/2006/relationships/hyperlink" Target="https://public.fastcase.com/9SKwsfNqTc6OieYDhNMyMyDFWJKG68%2FxrxDgF%2ByOzsjPpcL4jvi7QzZ2AR2rzbKPcZbDkGArV5tenVtyFKk%2FX7II2Lot3PKpssqnJQodheI%253" TargetMode="External"/><Relationship Id="rId2992" Type="http://schemas.openxmlformats.org/officeDocument/2006/relationships/hyperlink" Target="https://oneill.law.georgetown.edu/no-surprises-act-litigation-where-we-are-and-what-comes-next/" TargetMode="External"/><Relationship Id="rId105" Type="http://schemas.openxmlformats.org/officeDocument/2006/relationships/hyperlink" Target="https://cases.justia.com/oregon/court-of-appeals/2025-a181038.pdf?ts=1738179139" TargetMode="External"/><Relationship Id="rId312" Type="http://schemas.openxmlformats.org/officeDocument/2006/relationships/hyperlink" Target="https://law.justia.com/cases/federal/appellate-courts/ca11/18-15033/18-15033-2020-08-24.html" TargetMode="External"/><Relationship Id="rId757" Type="http://schemas.openxmlformats.org/officeDocument/2006/relationships/hyperlink" Target="https://www.cadc.uscourts.gov/internet/opinions.nsf/55807FB471B60BB08525888E0051AEA6/$file/21-1087-1956978.pdf" TargetMode="External"/><Relationship Id="rId964" Type="http://schemas.openxmlformats.org/officeDocument/2006/relationships/hyperlink" Target="https://cases.justia.com/texas/fourteenth-court-of-appeals/2026-14-25-00343-cv.pdf?ts=1782834443" TargetMode="External"/><Relationship Id="rId1387" Type="http://schemas.openxmlformats.org/officeDocument/2006/relationships/hyperlink" Target="https://public.fastcase.com/jaEE2PXzRXmZ99jOLMt1IsID3yHeWup657c7MnfFCGnetXQu%2F2QtQOpoVmwfdEc%2F?utm_medium=email&amp;_hsenc=p2ANqtz-_zTSxdS0F5WCwBxFxJfAdL2TYRGfHTDF8aVNcZ9gK5T6kDk6rrKhGST-fn4w1vDtBgvaoCFHlAWmUNSPCbepcJBy8zVw&amp;_hsmi=226712652&amp;utm_content=226712652&amp;utm_source=hs_email" TargetMode="External"/><Relationship Id="rId1594" Type="http://schemas.openxmlformats.org/officeDocument/2006/relationships/hyperlink" Target="https://www.supremecourt.gov/opinions/22pdf/20-1199_hgdj.pdf" TargetMode="External"/><Relationship Id="rId2200" Type="http://schemas.openxmlformats.org/officeDocument/2006/relationships/hyperlink" Target="https://casetext.com/case/vaughn-v-klamath-cnty-fire-dist-no1-1" TargetMode="External"/><Relationship Id="rId2438" Type="http://schemas.openxmlformats.org/officeDocument/2006/relationships/hyperlink" Target="https://www.leagle.com/decision/infdco20190624a02" TargetMode="External"/><Relationship Id="rId2645" Type="http://schemas.openxmlformats.org/officeDocument/2006/relationships/hyperlink" Target="https://cases.justia.com/illinois/court-of-appeals-second-appellate-district/2025-2-24-0565.pdf?ts=1765847849" TargetMode="External"/><Relationship Id="rId2852" Type="http://schemas.openxmlformats.org/officeDocument/2006/relationships/hyperlink" Target="https://www.oregonlaws.org/ors/243.672" TargetMode="External"/><Relationship Id="rId93" Type="http://schemas.openxmlformats.org/officeDocument/2006/relationships/hyperlink" Target="https://ktvz.b-cdn.net/2025/05/TRO-ruling.pdf" TargetMode="External"/><Relationship Id="rId617" Type="http://schemas.openxmlformats.org/officeDocument/2006/relationships/hyperlink" Target="https://www.firstrespondercenter.org/cancer/toolsresources/presumptive-legislation-firefighter-cancer-state/" TargetMode="External"/><Relationship Id="rId824" Type="http://schemas.openxmlformats.org/officeDocument/2006/relationships/hyperlink" Target="https://www.securityindustry.org/2020/08/13/heres-what-ndaa-section-889-really-means-for-federal-grants/" TargetMode="External"/><Relationship Id="rId1247" Type="http://schemas.openxmlformats.org/officeDocument/2006/relationships/hyperlink" Target="https://www.fox19.com/2020/12/16/kyle-plush-wrongful-death-lawsuit-can-proceed-against-cincinnati-employees-appeals-court-says/" TargetMode="External"/><Relationship Id="rId1454" Type="http://schemas.openxmlformats.org/officeDocument/2006/relationships/hyperlink" Target="https://www.firerescue1.com/discrimination/articles/civil-service-commission-sides-with-mass-female-ff-emt-passed-over-for-promotion-OvMbsXKeZfDYHswZ/?utm_source=twitter&amp;utm_medium=social&amp;utm_campaign=dlvrit" TargetMode="External"/><Relationship Id="rId1661" Type="http://schemas.openxmlformats.org/officeDocument/2006/relationships/hyperlink" Target="https://cases.justia.com/federal/appellate-courts/ca11/19-10138/19-10138-2019-10-04.pdf?ts=1570197627" TargetMode="External"/><Relationship Id="rId1899" Type="http://schemas.openxmlformats.org/officeDocument/2006/relationships/hyperlink" Target="https://law.justia.com/cases/federal/district-courts/new-york/nysdce/1:2019cv05773/517969/98/" TargetMode="External"/><Relationship Id="rId2505" Type="http://schemas.openxmlformats.org/officeDocument/2006/relationships/hyperlink" Target="https://www.casemine.com/judgement/us/698dd4328a508cf645e20167" TargetMode="External"/><Relationship Id="rId2712" Type="http://schemas.openxmlformats.org/officeDocument/2006/relationships/hyperlink" Target="https://casetext.com/statute/indiana-code/title-36-local-government/article-8-public-safety/chapter-3-safety-boards-disciplinary-procedures/section-36-8-3-4-police-officers-and-firefighters-discipline-demotion-and-dismissal-hearings-appeals-administrative-leave" TargetMode="External"/><Relationship Id="rId1107" Type="http://schemas.openxmlformats.org/officeDocument/2006/relationships/hyperlink" Target="https://cases.justia.com/pennsylvania/commonwealth-court/2025-923-c-d-2021.pdf?ts=1742398374" TargetMode="External"/><Relationship Id="rId1314" Type="http://schemas.openxmlformats.org/officeDocument/2006/relationships/hyperlink" Target="https://www.jud.ct.gov/external/supapp/Cases/AROcr/CR334/334CR12.pdf" TargetMode="External"/><Relationship Id="rId1521" Type="http://schemas.openxmlformats.org/officeDocument/2006/relationships/hyperlink" Target="https://public.fastcase.com/Jhe1Qn%2BmJndQYQU6z%2FeNmwkNGC21ZfGHMzbRo4fP8cpz%2BCEZ70RU4N9i%2B957fR2H?utm_medium=email&amp;_hsenc=p2ANqtz-93BCHKeY8rFUHPxU20EYDUZBKoA8xfPL2gbvtqTb-KfZ-jSuPHcMWp2f3aURAUU2s5vJrKmBa580UVad7TZkqQmEMaRQ&amp;_hsmi=226712652&amp;utm_content=226712652&amp;utm_source=hs_email" TargetMode="External"/><Relationship Id="rId1759" Type="http://schemas.openxmlformats.org/officeDocument/2006/relationships/hyperlink" Target="https://public.fastcase.com/Wl%2B2t%2BeVuI35%2FN70vAMFZkkc03nKI8qkpSJ%2FzmzLggswfoR1RvbDETmM60pPGUhc" TargetMode="External"/><Relationship Id="rId1966" Type="http://schemas.openxmlformats.org/officeDocument/2006/relationships/hyperlink" Target="https://baltimorefishbowl.com/stories/howard-county-firefighters-medical-cannabis/" TargetMode="External"/><Relationship Id="rId1619" Type="http://schemas.openxmlformats.org/officeDocument/2006/relationships/hyperlink" Target="https://casetext.com/case/rice-v-city-of-cincinnati" TargetMode="External"/><Relationship Id="rId1826" Type="http://schemas.openxmlformats.org/officeDocument/2006/relationships/hyperlink" Target="https://public.fastcase.com/jaEE2PXzRXmZ99jOLMt1IrF9wD4fG884AOwA%2B%2B8sYndkdlA95em2xjLqn6HHRdZo?utm_medium=email&amp;_hsenc=p2ANqtz-_k9MVaO09mpQi5ToQ_rMR2msPFl5QNhVfsnrFCoGgDXkRnW8gb34HMapH4044HXAEb1Ni6dZoKu1yFSWgbbZwBVX_IXQ&amp;_hsmi=226712652&amp;utm_content=226712652&amp;utm_source=hs_email" TargetMode="External"/><Relationship Id="rId20" Type="http://schemas.openxmlformats.org/officeDocument/2006/relationships/hyperlink" Target="https://scholar.uc.edu/show/ks65hd707" TargetMode="External"/><Relationship Id="rId2088" Type="http://schemas.openxmlformats.org/officeDocument/2006/relationships/hyperlink" Target="https://www.youtube.com/watch?v=_LFgzOE_WU8" TargetMode="External"/><Relationship Id="rId2295" Type="http://schemas.openxmlformats.org/officeDocument/2006/relationships/hyperlink" Target="https://law.justia.com/cases/federal/district-courts/new-york/nysdce/1:2020cv04452/538491/83/" TargetMode="External"/><Relationship Id="rId3041" Type="http://schemas.openxmlformats.org/officeDocument/2006/relationships/hyperlink" Target="https://public.fastcase.com/Wl%2B2t%2BeVuI35%2FN70vAMFZlFt1LsN7FOv8IeLOLQpT2HmGMXcCWoYq2MigYjsxegu" TargetMode="External"/><Relationship Id="rId267" Type="http://schemas.openxmlformats.org/officeDocument/2006/relationships/hyperlink" Target="https://www.usatoday.com/story/news/politics/2021/08/27/supreme-court-blocks-president-bidens-covid-19-eviction-moratorium/8243599002/" TargetMode="External"/><Relationship Id="rId474" Type="http://schemas.openxmlformats.org/officeDocument/2006/relationships/hyperlink" Target="https://casetext.com/case/armstrong-v-mailand" TargetMode="External"/><Relationship Id="rId2155" Type="http://schemas.openxmlformats.org/officeDocument/2006/relationships/hyperlink" Target="https://www.supremecourt.gov/opinions/23pdf/22-451_7m58.pdf" TargetMode="External"/><Relationship Id="rId127" Type="http://schemas.openxmlformats.org/officeDocument/2006/relationships/hyperlink" Target="https://ilcourtsaudio.blob.core.windows.net/antilles-resources/resources/b35fd65d-f662-4e1a-abeb-4f9e1aa279eb/People%20v.%20Parke,%202024%20IL%20App%20(5th)%20220703-U.pdf" TargetMode="External"/><Relationship Id="rId681" Type="http://schemas.openxmlformats.org/officeDocument/2006/relationships/hyperlink" Target="https://rhodeislandcurrent.com/wp-content/uploads/2025/09/IL-v.-FEMA-1.pdf" TargetMode="External"/><Relationship Id="rId779" Type="http://schemas.openxmlformats.org/officeDocument/2006/relationships/hyperlink" Target="https://www.law.cornell.edu/uscode/text/18/249" TargetMode="External"/><Relationship Id="rId986" Type="http://schemas.openxmlformats.org/officeDocument/2006/relationships/hyperlink" Target="https://www.youtube.com/watch?v=4rwA-whTxmQ" TargetMode="External"/><Relationship Id="rId2362" Type="http://schemas.openxmlformats.org/officeDocument/2006/relationships/hyperlink" Target="https://www.firehouse.com/ems/news/21025612/bellingham-wa-investigation-probe-firefighters-intubation-dead-body" TargetMode="External"/><Relationship Id="rId2667" Type="http://schemas.openxmlformats.org/officeDocument/2006/relationships/hyperlink" Target="https://cases.justia.com/indiana/court-of-appeals/2025-24a-pl-02646.pdf?ts=1752863306" TargetMode="External"/><Relationship Id="rId334" Type="http://schemas.openxmlformats.org/officeDocument/2006/relationships/hyperlink" Target="https://scholar.google.com/scholar_case?case=11404623739922196630&amp;q=Kumho+Tire+Co.+v.+Carmichael&amp;hl=en&amp;as_sdt=6,36&amp;as_vis=1" TargetMode="External"/><Relationship Id="rId541" Type="http://schemas.openxmlformats.org/officeDocument/2006/relationships/hyperlink" Target="https://law.justia.com/cases/federal/appellate-courts/ca3/21-3019/21-3019-2023-01-25.html" TargetMode="External"/><Relationship Id="rId639" Type="http://schemas.openxmlformats.org/officeDocument/2006/relationships/hyperlink" Target="https://www.nytimes.com/2018/04/02/us/politics/supreme-court-rules-for-police-officer-in-excessive-force-case.html" TargetMode="External"/><Relationship Id="rId1171" Type="http://schemas.openxmlformats.org/officeDocument/2006/relationships/hyperlink" Target="https://www.socialaw.com/services/slip-opinions/slip-opinion-details/mark-tetreault-vs.-board-of-selectmen-of-lynnfield" TargetMode="External"/><Relationship Id="rId1269" Type="http://schemas.openxmlformats.org/officeDocument/2006/relationships/hyperlink" Target="https://wvrecord.com/stories/511075521-ambulance-service-worker-blames-multiple-defendants-for-injuries" TargetMode="External"/><Relationship Id="rId1476" Type="http://schemas.openxmlformats.org/officeDocument/2006/relationships/hyperlink" Target="https://www.uticaod.com/news/20190404/utica-firefighter-fired-after-sexual-harassment-claim" TargetMode="External"/><Relationship Id="rId2015" Type="http://schemas.openxmlformats.org/officeDocument/2006/relationships/hyperlink" Target="https://dreamcenterforrecovery.com/can-take-suboxone-still-go-work/" TargetMode="External"/><Relationship Id="rId2222" Type="http://schemas.openxmlformats.org/officeDocument/2006/relationships/hyperlink" Target="https://codes.ohio.gov/ohio-revised-code/section-505.381" TargetMode="External"/><Relationship Id="rId2874" Type="http://schemas.openxmlformats.org/officeDocument/2006/relationships/hyperlink" Target="https://www.usatoday.com/story/news/nation/2014/11/23/florida-deputy-ambush-killed-identified/19446091/" TargetMode="External"/><Relationship Id="rId401" Type="http://schemas.openxmlformats.org/officeDocument/2006/relationships/hyperlink" Target="https://jpr.azcourts.gov/Portals/1/OpinionFiles/Div1/2026/1%20CA-IC%2025-0025%20ADVENTURE%20v.%20KEFFER%20FINAL.pdf?ver=hx0rmccmFEWVVBJi2He9pA%3D%3D" TargetMode="External"/><Relationship Id="rId846" Type="http://schemas.openxmlformats.org/officeDocument/2006/relationships/hyperlink" Target="https://www.leagle.com/cite/557%20F.3d%201117" TargetMode="External"/><Relationship Id="rId1031" Type="http://schemas.openxmlformats.org/officeDocument/2006/relationships/hyperlink" Target="http://www.nycourts.gov/courts/AD2/Handdowns/2020/Decisions/D63290.pdf" TargetMode="External"/><Relationship Id="rId1129" Type="http://schemas.openxmlformats.org/officeDocument/2006/relationships/hyperlink" Target="https://www.360connect.com/product-blog/kronos-time-and-attendance-system-types-features-pricing/" TargetMode="External"/><Relationship Id="rId1683" Type="http://schemas.openxmlformats.org/officeDocument/2006/relationships/hyperlink" Target="https://cases.justia.com/federal/district-courts/arkansas/aredce/4:2024cv00350/143122/28/0.pdf?ts=1775058402" TargetMode="External"/><Relationship Id="rId1890" Type="http://schemas.openxmlformats.org/officeDocument/2006/relationships/hyperlink" Target="http://www.firefighterovertime.org/2021/11/08/va-beach-settles-flsa-lawsuit/" TargetMode="External"/><Relationship Id="rId1988" Type="http://schemas.openxmlformats.org/officeDocument/2006/relationships/hyperlink" Target="https://cases.justia.com/federal/district-courts/california/candce/3:2024cv00614/424391/24/0.pdf" TargetMode="External"/><Relationship Id="rId2527" Type="http://schemas.openxmlformats.org/officeDocument/2006/relationships/hyperlink" Target="https://app.leg.wa.gov/RCW/default.aspx?cite=41.26.030" TargetMode="External"/><Relationship Id="rId2734" Type="http://schemas.openxmlformats.org/officeDocument/2006/relationships/hyperlink" Target="https://public.fastcase.com/ZZhmr5v9wN%2FXOe5IsQ%2FqD%2FO0LT6Pz0KJcARt671qvqgQi3DbocRDtQ4betl84jRGTGzfHSJMEalmGTdX9780fy05zDa4clbi%2BS%2BLkJBZYf4%3D?utm_medium=email&amp;_hsmi=226712652&amp;_hsenc=p2ANqtz-9l-n7ipvtzcORFmZd03PYol8SHQvcVi0Z6evQ7ScfpqYiZ21zByukFjNZtNWzEIrK0lXEwA0RlErFoyPgnUEJbLhoGpw&amp;utm_content=226712652&amp;utm_source=hs_email" TargetMode="External"/><Relationship Id="rId2941" Type="http://schemas.openxmlformats.org/officeDocument/2006/relationships/hyperlink" Target="https://www.jacksonlewis.com/sites/default/files/docs/IGTBoardDecision.pdf" TargetMode="External"/><Relationship Id="rId706" Type="http://schemas.openxmlformats.org/officeDocument/2006/relationships/hyperlink" Target="https://krcrtv.com/news/local/long-awaited-settlement-conference-in-fawn-fire-arson-case-brings-hope-to-victims" TargetMode="External"/><Relationship Id="rId913" Type="http://schemas.openxmlformats.org/officeDocument/2006/relationships/hyperlink" Target="https://public.fastcase.com/J%2FJP6pdidelsXxEE4k%2BLMunJfhe1gfK2oI8CQbirV8GXkmoWfCiXuebhhRyeFmnHeojCURMbUHUM%2FZVW6TuThcVt2kPCx5ANtZZIjUvq4TI%3D?utm_medium=email&amp;_hsmi=226712652&amp;_hsenc=p2ANqtz-_4xSG7CmaPWZQuwsNXY4RTJcvgg4B9LMx8R4vNTvpvb0PqojZFKwGqm6HPbOxappi5A6b2YgFEujAqOwM5oeHjK0AsxA&amp;utm_content=226712652&amp;utm_source=hs_email" TargetMode="External"/><Relationship Id="rId1336" Type="http://schemas.openxmlformats.org/officeDocument/2006/relationships/hyperlink" Target="http://www.kwgd.com/ohio-general-assembly-alters-statute-of-limitation-for-workers-compensation-claims" TargetMode="External"/><Relationship Id="rId1543" Type="http://schemas.openxmlformats.org/officeDocument/2006/relationships/hyperlink" Target="https://cases.justia.com/federal/district-courts/kansas/ksdce/2:2023cv02422/149254/113/0.pdf?ts=1756979784" TargetMode="External"/><Relationship Id="rId1750" Type="http://schemas.openxmlformats.org/officeDocument/2006/relationships/hyperlink" Target="https://casetext.com/case/bey-v-city-of-ny-7" TargetMode="External"/><Relationship Id="rId2801" Type="http://schemas.openxmlformats.org/officeDocument/2006/relationships/hyperlink" Target="https://www.wfmj.com/story/41405965/chief-working-under-last-chance-agreement-angers-youngstown-firefighters" TargetMode="External"/><Relationship Id="rId42" Type="http://schemas.openxmlformats.org/officeDocument/2006/relationships/hyperlink" Target="https://www.supremecourt.ohio.gov/rod/docs/pdf/0/2026/2026-Ohio-1849.pdf" TargetMode="External"/><Relationship Id="rId1403" Type="http://schemas.openxmlformats.org/officeDocument/2006/relationships/hyperlink" Target="https://coa.nmcourts.gov/wp-content/uploads/sites/43/2024/09/September-30-2024-Eric-Tafoya-v.-City-of-Espanola-No.-A-1-CA-40276.pdf" TargetMode="External"/><Relationship Id="rId1610" Type="http://schemas.openxmlformats.org/officeDocument/2006/relationships/hyperlink" Target="https://public.fastcase.com/J%2FJP6pdidelsXxEE4k%2BLMk9lGZyD2KG1SaKKnXCNSDrJ6FT2zCg0RErRpvbDUp%2FnT1MfNEdoSlzLl4b4xQ1JtBz9n9NoggrYwpv0z6IMwm8%3D" TargetMode="External"/><Relationship Id="rId1848" Type="http://schemas.openxmlformats.org/officeDocument/2006/relationships/hyperlink" Target="https://webapps.dol.gov/elaws/whd/flsa/hoursworked/screenEE4.asp" TargetMode="External"/><Relationship Id="rId191" Type="http://schemas.openxmlformats.org/officeDocument/2006/relationships/hyperlink" Target="https://public.fastcase.com/ZZhmr5v9wN%2FXOe5IsQ%2FqD6Xx7tREqB5H6wemtf0NyhN8u4NUZnGSAantyLeysRAmLMoHIDaVROEStimemn37zFtbEUi2roRyzYg1DUQ2CNY%3D?utm_medium=email&amp;_hsmi=226712652&amp;_hsenc=p2ANqtz--Q_3moeDoiaeECqEOwyhE0ZXPhDkG4WMrF3I2hrcVk-DQ0PMStF7btAcv6bivJ44RNtnNn6LFTST6ermzb3easneInYg&amp;utm_content=226712652&amp;utm_source=hs_email" TargetMode="External"/><Relationship Id="rId1708" Type="http://schemas.openxmlformats.org/officeDocument/2006/relationships/hyperlink" Target="https://www.supremecourt.gov/orders/courtorders/062424zor_e18f.pdf" TargetMode="External"/><Relationship Id="rId1915" Type="http://schemas.openxmlformats.org/officeDocument/2006/relationships/hyperlink" Target="https://www.knoe.com/content/news/Bastrop-mayor-proposes-3-mill-increase-to-repay-debt-from-fireman-lawsuit-513531241.html" TargetMode="External"/><Relationship Id="rId289" Type="http://schemas.openxmlformats.org/officeDocument/2006/relationships/hyperlink" Target="https://nam11.safelinks.protection.outlook.com/?url=https%3A%2F%2Fethics.ohio.gov%2Feducation%2Fnewsletters%2FVOE_21Q1.pdf&amp;data=04%7C01%7Cbennetlt%40ucmail.uc.edu%7C21c7cf1b1f7e4058bf7908d8d75e7ed7%7Cf5222e6c5fc648eb8f0373db18203b63%7C1%7C0%7C637496150547267494%7CUnknown%7CTWFpbGZsb3d8eyJWIjoiMC4wLjAwMDAiLCJQIjoiV2luMzIiLCJBTiI6Ik1haWwiLCJXVCI6Mn0%3D%7C1000&amp;sdata=UJS7I0zht0Zw8z4G6aqmFUVw3sZ90mRRc9wJuthINkk%3D&amp;reserved=0" TargetMode="External"/><Relationship Id="rId496" Type="http://schemas.openxmlformats.org/officeDocument/2006/relationships/hyperlink" Target="https://www.pralaw.com/articles/the-supreme-court-of-new-jersey-rules-that-the-firefighters-rule-has-been-abolished" TargetMode="External"/><Relationship Id="rId2177" Type="http://schemas.openxmlformats.org/officeDocument/2006/relationships/hyperlink" Target="https://www.dccourts.gov/sites/default/files/2024-05/Austin%20v.%20US%2022-CF-0085.pdf" TargetMode="External"/><Relationship Id="rId2384" Type="http://schemas.openxmlformats.org/officeDocument/2006/relationships/hyperlink" Target="https://cdn.ymaws.com/aams.site-ym.com/resource/resmgr/website_resources/aams_statements/aams_statementonbalancebilli.pdf" TargetMode="External"/><Relationship Id="rId2591" Type="http://schemas.openxmlformats.org/officeDocument/2006/relationships/hyperlink" Target="https://www.facebook.com/reel/1853994902451720" TargetMode="External"/><Relationship Id="rId149" Type="http://schemas.openxmlformats.org/officeDocument/2006/relationships/hyperlink" Target="https://cases.justia.com/federal/district-courts/illinois/ilndce/1:2017cv02153/337913/236/0.pdf?ts=1723715563" TargetMode="External"/><Relationship Id="rId356" Type="http://schemas.openxmlformats.org/officeDocument/2006/relationships/hyperlink" Target="https://cases.justia.com/texas/second-court-of-appeals/2019-02-18-00333-cr.pdf?ts=1558106104" TargetMode="External"/><Relationship Id="rId563" Type="http://schemas.openxmlformats.org/officeDocument/2006/relationships/hyperlink" Target="https://public.fastcase.com/9SKwsfNqTc6OieYDhNMyMw%2FXypC%2BGCgzOI8YVtEGVa9n7jEOxoaSK8egV%2FDY7vKxD%2FnkzijiMqV0cvRDHM3YNZxTynpkQChMaJvb9tBM2DY%3D" TargetMode="External"/><Relationship Id="rId770" Type="http://schemas.openxmlformats.org/officeDocument/2006/relationships/hyperlink" Target="https://casetext.com/case/united-states-v-musaibli-1" TargetMode="External"/><Relationship Id="rId1193" Type="http://schemas.openxmlformats.org/officeDocument/2006/relationships/hyperlink" Target="https://law.justia.com/cases/california/court-of-appeal/2022/a161575.html" TargetMode="External"/><Relationship Id="rId2037" Type="http://schemas.openxmlformats.org/officeDocument/2006/relationships/hyperlink" Target="https://codes.ohio.gov/orc/2925.11" TargetMode="External"/><Relationship Id="rId2244" Type="http://schemas.openxmlformats.org/officeDocument/2006/relationships/hyperlink" Target="https://www.detroitnews.com/story/news/local/oakland-county/2020/12/10/paramedics-case-dead-woman-alive-can-regain-licenses/3883292001/" TargetMode="External"/><Relationship Id="rId2451" Type="http://schemas.openxmlformats.org/officeDocument/2006/relationships/hyperlink" Target="https://law.justia.com/cases/new-york/other-courts/2019/2019-ny-slip-op-30983-u.html" TargetMode="External"/><Relationship Id="rId2689" Type="http://schemas.openxmlformats.org/officeDocument/2006/relationships/hyperlink" Target="https://cases.justia.com/utah/court-of-appeals-published/2024-20220074-ca.pdf?ts=172806708" TargetMode="External"/><Relationship Id="rId2896" Type="http://schemas.openxmlformats.org/officeDocument/2006/relationships/hyperlink" Target="https://public.fastcase.com/Jhe1Qn%2BmJndQYQU6z%2FeNmxCPiZizVlc11JYA3odTB4IhzrCNgoXQd5cis%2BDwnvItMWVDGFMSfq0NQT9Gs0Nt1TNd1VW0h9sJNC6uT%2FjNAHc%3D?utm_medium=email&amp;_hsenc=p2ANqtz-8-aEXaYfaNma4DTW9HUN_1FUQQoclWpkG9e_9BTRsreHlU-cWJ1LgKYyHosOTXLG__w-panONGFSrnN_jSAOz_10UwNA&amp;_hsmi=226712652&amp;utm_content=226712652&amp;utm_source=hs_email" TargetMode="External"/><Relationship Id="rId216" Type="http://schemas.openxmlformats.org/officeDocument/2006/relationships/hyperlink" Target="https://law.justia.com/cases/federal/appellate-courts/ca4/21-2059/21-2059-2023-01-19.html" TargetMode="External"/><Relationship Id="rId423" Type="http://schemas.openxmlformats.org/officeDocument/2006/relationships/hyperlink" Target="https://cases.justia.com/federal/district-courts/maryland/mddce/1:2025cv00796/578117/19/0.pdf?ts=1771692701" TargetMode="External"/><Relationship Id="rId868" Type="http://schemas.openxmlformats.org/officeDocument/2006/relationships/hyperlink" Target="https://in.reuters.com/article/usa-court-iran/u-s-top-court-forbids-seizure-of-ancient-persian-artifacts-idINKCN1G51ZY" TargetMode="External"/><Relationship Id="rId1053" Type="http://schemas.openxmlformats.org/officeDocument/2006/relationships/hyperlink" Target="https://caselaw.findlaw.com/court/fl-district-court-of-appeal/114825250.html" TargetMode="External"/><Relationship Id="rId1260" Type="http://schemas.openxmlformats.org/officeDocument/2006/relationships/hyperlink" Target="https://www.leagle.com/decision/infdco20201228943" TargetMode="External"/><Relationship Id="rId1498" Type="http://schemas.openxmlformats.org/officeDocument/2006/relationships/hyperlink" Target="https://www.eeoc.gov/laws/types/harassment.cfm" TargetMode="External"/><Relationship Id="rId2104" Type="http://schemas.openxmlformats.org/officeDocument/2006/relationships/hyperlink" Target="https://law.justia.com/cases/new-york/appellate-division-fourth-department/2025/816-1-ca-24-01193.html" TargetMode="External"/><Relationship Id="rId2549" Type="http://schemas.openxmlformats.org/officeDocument/2006/relationships/hyperlink" Target="https://law.justia.com/cases/minnesota/court-of-appeals/2022/a22-0507.html" TargetMode="External"/><Relationship Id="rId2756" Type="http://schemas.openxmlformats.org/officeDocument/2006/relationships/hyperlink" Target="https://public.fastcase.com/J%2FJP6pdidelsXxEE4k%2BLMjmPooMwsB33SF6fQbdKtm0G0C1GTVTWTSbOoR0BGdHWdmqT3nxx5N34mFb%2FQIY0wnFPK7Gz1IkNE53DDevS6vE%3D?utm_medium=email&amp;_hsmi=226712652&amp;_hsenc=p2ANqtz--MKBV4Y804r56tzWY_uVAuJIZ65L25irdtNU6ZdfUrAAPtscNAIDyxYykxQ2RxJby9_Fy5S6I1PNXJg84F7LwVp6Ejlw&amp;utm_content=226712652&amp;utm_source=hs_email" TargetMode="External"/><Relationship Id="rId2963" Type="http://schemas.openxmlformats.org/officeDocument/2006/relationships/hyperlink" Target="https://www.supremecourt.ohio.gov/rod/docs/pdf/8/2022/2022-Ohio-824.pdf" TargetMode="External"/><Relationship Id="rId630" Type="http://schemas.openxmlformats.org/officeDocument/2006/relationships/hyperlink" Target="https://caselaw.findlaw.com/md-court-of-special-appeals/1897275.html" TargetMode="External"/><Relationship Id="rId728" Type="http://schemas.openxmlformats.org/officeDocument/2006/relationships/hyperlink" Target="https://www.cdcr.ca.gov/facility-locator/conservation-camps/camps/" TargetMode="External"/><Relationship Id="rId935" Type="http://schemas.openxmlformats.org/officeDocument/2006/relationships/hyperlink" Target="https://www.supremecourt.gov/opinions/21pdf/20-1668_19m2.pdf" TargetMode="External"/><Relationship Id="rId1358" Type="http://schemas.openxmlformats.org/officeDocument/2006/relationships/hyperlink" Target="https://casetext.com/case/new-prime-inc-v-oliveira-1?ref=Sb!ZpcU0M" TargetMode="External"/><Relationship Id="rId1565" Type="http://schemas.openxmlformats.org/officeDocument/2006/relationships/hyperlink" Target="https://apnews.com/article/dei-trump-executive-order-diversity-834a241a60ee92722ef2443b62572540" TargetMode="External"/><Relationship Id="rId1772" Type="http://schemas.openxmlformats.org/officeDocument/2006/relationships/hyperlink" Target="https://cases.justia.com/minnesota/supreme-court/2019-a17-0141.pdf?ts=1551286256" TargetMode="External"/><Relationship Id="rId2311" Type="http://schemas.openxmlformats.org/officeDocument/2006/relationships/hyperlink" Target="https://www.leagle.com/decision/infdco20220324d64" TargetMode="External"/><Relationship Id="rId2409" Type="http://schemas.openxmlformats.org/officeDocument/2006/relationships/hyperlink" Target="https://www.courts.state.md.us/sites/default/files/unreported-opinions/0318s19.pdf" TargetMode="External"/><Relationship Id="rId2616" Type="http://schemas.openxmlformats.org/officeDocument/2006/relationships/hyperlink" Target="https://cases.justia.com/louisiana/fourth-circuit-court-of-appeal/2026-2025-ca-0639-0.pdf?ts=1777519082" TargetMode="External"/><Relationship Id="rId64" Type="http://schemas.openxmlformats.org/officeDocument/2006/relationships/hyperlink" Target="https://cases.justia.com/pennsylvania/supreme-court/2025-15-wap-2024-0.pdf?ts=1763559882" TargetMode="External"/><Relationship Id="rId1120" Type="http://schemas.openxmlformats.org/officeDocument/2006/relationships/hyperlink" Target="https://cases.justia.com/ohio/tenth-district-court-of-appeals/2024-22ap-431.pdf?ts=1728583884" TargetMode="External"/><Relationship Id="rId1218" Type="http://schemas.openxmlformats.org/officeDocument/2006/relationships/hyperlink" Target="https://www.schafer-and-schafer.com/workers-compensation/" TargetMode="External"/><Relationship Id="rId1425" Type="http://schemas.openxmlformats.org/officeDocument/2006/relationships/hyperlink" Target="https://public.fastcase.com/ZZhmr5v9wN%2FXOe5IsQ%2FqD%2FNGb7gFooJuC7EPCkPbb8zYGJ%2BdPMtTRazA4SgxbA0Hq%2Bqtj6iK5eurCbJj4Cn6ySK1qzuHHpkHA9cN2Vx6eWo%3D?utm_medium=email&amp;_hsmi=226712652&amp;_hsenc=p2ANqtz-_M4ZQ75NqvFrlpX3gz1MCu7xTgTM0sg-yZbWDDZft-2cApXVRPMU-C3jBD2GmP4Ff9YuyLw19xTYwQuDOoCvQcSGp93w&amp;utm_content=226712652&amp;utm_source=hs_email" TargetMode="External"/><Relationship Id="rId2823" Type="http://schemas.openxmlformats.org/officeDocument/2006/relationships/hyperlink" Target="https://public.fastcase.com/Wl%2B2t%2BeVuI35%2FN70vAMFZoCDqhYmNsbFLjWVRK8omsgUzbu2OUiVNTenINejQyEj" TargetMode="External"/><Relationship Id="rId1632" Type="http://schemas.openxmlformats.org/officeDocument/2006/relationships/hyperlink" Target="https://news.bloomberglaw.com/daily-labor-report/doj-says-black-ems-captains-can-prove-bias-without-material-harm" TargetMode="External"/><Relationship Id="rId1937" Type="http://schemas.openxmlformats.org/officeDocument/2006/relationships/hyperlink" Target="http://codes.ohio.gov/orc/505.60" TargetMode="External"/><Relationship Id="rId2199" Type="http://schemas.openxmlformats.org/officeDocument/2006/relationships/hyperlink" Target="https://www.ems1.com/lawsuit/articles/suit-claims-utah-providers-fatally-injected-teen-with-large-ketamine-dose-after-car-crash-nkmBexayJBAx5TCo/" TargetMode="External"/><Relationship Id="rId280" Type="http://schemas.openxmlformats.org/officeDocument/2006/relationships/hyperlink" Target="https://www.supremecourt.gov/opinions/20pdf/19-292_21p3.pdf" TargetMode="External"/><Relationship Id="rId3012" Type="http://schemas.openxmlformats.org/officeDocument/2006/relationships/hyperlink" Target="https://www.law.cornell.edu/definitions/index.php?width=840&amp;height=800&amp;iframe=true&amp;def_id=9a9967765d66aa590fb1c23dca01a8bd&amp;term_occur=999&amp;term_src=Title:24:Subtitle:B:Chapter:II:Subchapter:I:Part:291:Subpart:F:291.530" TargetMode="External"/><Relationship Id="rId140" Type="http://schemas.openxmlformats.org/officeDocument/2006/relationships/hyperlink" Target="https://cases.justia.com/texas/fourteenth-court-of-appeals/2024-14-23-00355-cr.pdf?ts=1724329963" TargetMode="External"/><Relationship Id="rId378" Type="http://schemas.openxmlformats.org/officeDocument/2006/relationships/hyperlink" Target="https://cases.justia.com/ohio/ninth-district-court-of-appeals/2018-28746.pdf?ts=1532525904" TargetMode="External"/><Relationship Id="rId585" Type="http://schemas.openxmlformats.org/officeDocument/2006/relationships/hyperlink" Target="https://mdcourts.gov/data/opinions/coa/2020/49a19.pdf" TargetMode="External"/><Relationship Id="rId792" Type="http://schemas.openxmlformats.org/officeDocument/2006/relationships/hyperlink" Target="https://www.law.cornell.edu/definitions/uscode.php?width=840&amp;height=800&amp;iframe=true&amp;def_id=8-USC-2032517217-1201680101&amp;term_occur=999&amp;term_src=" TargetMode="External"/><Relationship Id="rId2059" Type="http://schemas.openxmlformats.org/officeDocument/2006/relationships/hyperlink" Target="https://cdn.ca9.uscourts.gov/datastore/memoranda/2026/07/10/25-3863.pdf" TargetMode="External"/><Relationship Id="rId2266" Type="http://schemas.openxmlformats.org/officeDocument/2006/relationships/hyperlink" Target="https://codes.ohio.gov/ohio-revised-code/section-2745.01" TargetMode="External"/><Relationship Id="rId2473" Type="http://schemas.openxmlformats.org/officeDocument/2006/relationships/hyperlink" Target="https://cases.justia.com/federal/district-courts/virginia/vaedce/3:2017cv00167/360316/92/0.pdf?ts=1527856286" TargetMode="External"/><Relationship Id="rId2680" Type="http://schemas.openxmlformats.org/officeDocument/2006/relationships/hyperlink" Target="https://public.fastcase.com/jaEE2PXzRXmZ99jOLMt1IhQHA9AMm9CcSN%2BGfYyS2p0Y8T4gWwr35mn7gDgy%2FrLSk1%2BX3TZDVCgonvjR5kmTn9ieZn6lPYykAdycfBPhja8%3D?utm_medium=email&amp;_hsenc=p2ANqtz-96viAoOgtBhpN3k-FXu0IciBKBTpaPEffa5PyEi7FQVITmUz8Kiu79qOEJdxGOe1egzOzFwK07j5P1hSXOAN4VGdmpNA&amp;_hsmi=226712652&amp;utm_content=226712652&amp;utm_source=hs_email" TargetMode="External"/><Relationship Id="rId6" Type="http://schemas.openxmlformats.org/officeDocument/2006/relationships/footnotes" Target="footnotes.xml"/><Relationship Id="rId238" Type="http://schemas.openxmlformats.org/officeDocument/2006/relationships/hyperlink" Target="https://ilcourtsaudio.blob.core.windows.net/antilles-resources/resources/d420bdc6-9c63-45de-9274-2f897cb58b7d/People%20v.%20Griffin,%202022%20IL%20App%20(4th)%20210360-U.pdf" TargetMode="External"/><Relationship Id="rId445" Type="http://schemas.openxmlformats.org/officeDocument/2006/relationships/hyperlink" Target="https://www.rcfp.org/wp-content/uploads/2025/08/2025-08-05-RCFP-v.-Rokita-Seventh-Circuit-opinion.pdf" TargetMode="External"/><Relationship Id="rId652" Type="http://schemas.openxmlformats.org/officeDocument/2006/relationships/hyperlink" Target="https://www.supremecourt.gov/opinions/25pdf/25-1083_f204.pdf" TargetMode="External"/><Relationship Id="rId1075" Type="http://schemas.openxmlformats.org/officeDocument/2006/relationships/hyperlink" Target="https://thedailyrecord.com/files/2025/12/1167s24.pdf" TargetMode="External"/><Relationship Id="rId1282" Type="http://schemas.openxmlformats.org/officeDocument/2006/relationships/hyperlink" Target="https://public.fastcase.com/Wl%2B2t%2BeVuI35%2FN70vAMFZt8kW6J16QTt9TZ%2FuwcLGfAQlmvmDCIs7SYJL9UeqqRt" TargetMode="External"/><Relationship Id="rId2126" Type="http://schemas.openxmlformats.org/officeDocument/2006/relationships/hyperlink" Target="https://law.justia.com/cases/new-york/other-courts/2025/2025-ny-slip-op-51480-u.html" TargetMode="External"/><Relationship Id="rId2333" Type="http://schemas.openxmlformats.org/officeDocument/2006/relationships/hyperlink" Target="https://codes.ohio.gov/ohio-revised-code/section-4511.194" TargetMode="External"/><Relationship Id="rId2540" Type="http://schemas.openxmlformats.org/officeDocument/2006/relationships/hyperlink" Target="https://public.fastcase.com/ZZhmr5v9wN%2FXOe5IsQ%2FqD7d2ApzwrZCQvAZQlM%2B4VVcvgALpNi2VKyyjI%2Bz22f3P?utm_medium=email&amp;_hsmi=226712652&amp;_hsenc=p2ANqtz-9QV0nznODHw4_m_j0AE4K8p0b7Wes2e9d7AzOOyb86IGbeyJ8jbpovdpcqHFVtvrmWyxti44YX_ZuNCNTYmJshWS7Dxw&amp;utm_content=226712652&amp;utm_source=hs_email" TargetMode="External"/><Relationship Id="rId2778" Type="http://schemas.openxmlformats.org/officeDocument/2006/relationships/hyperlink" Target="https://codes.ohio.gov/ohio-revised-code/section-9.481" TargetMode="External"/><Relationship Id="rId2985" Type="http://schemas.openxmlformats.org/officeDocument/2006/relationships/hyperlink" Target="https://www.scotusblog.com/case-files/cases/new-prime-inc-v-oliveira/" TargetMode="External"/><Relationship Id="rId305" Type="http://schemas.openxmlformats.org/officeDocument/2006/relationships/hyperlink" Target="https://public.fastcase.com/Wl%2B2t%2BeVuI35%2FN70vAMFZn5gKg3cdbP6IN7E7ywDm7QNgGMGGIVm2eo9gH1WNWLv" TargetMode="External"/><Relationship Id="rId512" Type="http://schemas.openxmlformats.org/officeDocument/2006/relationships/hyperlink" Target="https://casetext.com/statute/consolidated-laws-of-new-york/chapter-civil-practice-law-and-rules/article-32-accelerated-judgment/section-r3211-motion-to-dismiss" TargetMode="External"/><Relationship Id="rId957" Type="http://schemas.openxmlformats.org/officeDocument/2006/relationships/hyperlink" Target="https://law.justia.com/cases/california/supreme-court/2019/s242250.html" TargetMode="External"/><Relationship Id="rId1142" Type="http://schemas.openxmlformats.org/officeDocument/2006/relationships/hyperlink" Target="https://cases.justia.com/virginia/court-of-appeals-published/2024-0344-23-1.pdf?ts=1706633278" TargetMode="External"/><Relationship Id="rId1587" Type="http://schemas.openxmlformats.org/officeDocument/2006/relationships/hyperlink" Target="https://fedsoc.org/commentary/fedsoc-blog/lawsuits-challenge-law-firm-diversity-programs-as-racially-discriminatory" TargetMode="External"/><Relationship Id="rId1794" Type="http://schemas.openxmlformats.org/officeDocument/2006/relationships/hyperlink" Target="https://public.fastcase.com/Jhe1Qn%2BmJndQYQU6z%2FeNmwWDswf%2FyfkgPyip6VS0cDWpWwpvHNfVEfbuP6bmDGomWWWRX0Ufxoes%2FPslB3S6PX9NV7eOjHrVnzZJYNtoh0E%3D?utm_medium=email&amp;_hsenc=p2ANqtz--Q5-zUfHtAae_7brt-BPUOknX_2kWtg7ggG2Ns0WUhsWss6pJixlwIFz2YiAn3Gomhhu6vVBkR2r-IsrShAW9NE10b9Q&amp;_hsmi=226712652&amp;utm_content=226712652&amp;utm_source=hs_email" TargetMode="External"/><Relationship Id="rId2400" Type="http://schemas.openxmlformats.org/officeDocument/2006/relationships/hyperlink" Target="https://mdcourts.gov/data/opinions/cosa/2020/0318s19.pdf" TargetMode="External"/><Relationship Id="rId2638" Type="http://schemas.openxmlformats.org/officeDocument/2006/relationships/hyperlink" Target="file:///C:/Users/lawre/Downloads/25P0275.pdf" TargetMode="External"/><Relationship Id="rId2845" Type="http://schemas.openxmlformats.org/officeDocument/2006/relationships/hyperlink" Target="https://public.fastcase.com/Wl%2B2t%2BeVuI35%2FN70vAMFZlZAOd3Yf30gW5GUDA4he8qcwsisxdvBFlR%2Bm9b1UDwt" TargetMode="External"/><Relationship Id="rId86" Type="http://schemas.openxmlformats.org/officeDocument/2006/relationships/hyperlink" Target="https://www.supremecourt.ohio.gov/rod/docs/pdf/7/2025/2025-Ohio-1915.pdf" TargetMode="External"/><Relationship Id="rId817" Type="http://schemas.openxmlformats.org/officeDocument/2006/relationships/hyperlink" Target="https://www.npr.org/2021/03/04/973658292/supreme-court-makes-it-harder-for-undocumented-immigrants-to-fight-deportation" TargetMode="External"/><Relationship Id="rId1002" Type="http://schemas.openxmlformats.org/officeDocument/2006/relationships/hyperlink" Target="https://www.njcourts.gov/system/files/court-opinions/2023/a0009-22.pdf" TargetMode="External"/><Relationship Id="rId1447" Type="http://schemas.openxmlformats.org/officeDocument/2006/relationships/hyperlink" Target="https://www.congress.gov/bill/117th-congress/house-bill/4445/text" TargetMode="External"/><Relationship Id="rId1654" Type="http://schemas.openxmlformats.org/officeDocument/2006/relationships/hyperlink" Target="http://www.ca5.uscourts.gov/opinions/pub/19/19-20294-CV0.pdf" TargetMode="External"/><Relationship Id="rId1861" Type="http://schemas.openxmlformats.org/officeDocument/2006/relationships/hyperlink" Target="https://www.opb.org/article/2023/05/28/private-oregon-firefighting-company-fined-180000-dollars-after-us-labor-investigation/" TargetMode="External"/><Relationship Id="rId2705" Type="http://schemas.openxmlformats.org/officeDocument/2006/relationships/hyperlink" Target="https://cases.justia.com/federal/district-courts/ohio/ohsdce/1:2023cv00230/279336/13/0.pdf?ts=1707452867" TargetMode="External"/><Relationship Id="rId2912" Type="http://schemas.openxmlformats.org/officeDocument/2006/relationships/hyperlink" Target="https://law.justia.com/cases/new-york/appellate-division-fourth-department/2024/647-ca-23-01601.html" TargetMode="External"/><Relationship Id="rId1307" Type="http://schemas.openxmlformats.org/officeDocument/2006/relationships/hyperlink" Target="https://public.fastcase.com/Wl%2B2t%2BeVuI35%2FN70vAMFZv4uc1sCbMG5dFxJ8lan7QREifr4yKlj8U3C7mB5N4Yr" TargetMode="External"/><Relationship Id="rId1514" Type="http://schemas.openxmlformats.org/officeDocument/2006/relationships/hyperlink" Target="http://www.ca5.uscourts.gov/opinions/unpub/17/17-30574.0.pdf" TargetMode="External"/><Relationship Id="rId1721" Type="http://schemas.openxmlformats.org/officeDocument/2006/relationships/hyperlink" Target="https://casetext.com/case/smith-v-city-of-sanford-2" TargetMode="External"/><Relationship Id="rId1959" Type="http://schemas.openxmlformats.org/officeDocument/2006/relationships/hyperlink" Target="https://mgaleg.maryland.gov/2026RS/bills/sb/sb0439T.pdf" TargetMode="External"/><Relationship Id="rId13" Type="http://schemas.openxmlformats.org/officeDocument/2006/relationships/hyperlink" Target="http://www.waveland.com/browse.php?t=708" TargetMode="External"/><Relationship Id="rId1819" Type="http://schemas.openxmlformats.org/officeDocument/2006/relationships/hyperlink" Target="https://www.dol.gov/agencies/whd/fact-sheets/56c-bonuses" TargetMode="External"/><Relationship Id="rId2190" Type="http://schemas.openxmlformats.org/officeDocument/2006/relationships/hyperlink" Target="https://www.hmpgloballearningnetwork.com/site/emsworld/feature-story/body-cams-help-new-orleans-ems-protect-providers-while-prioritizing" TargetMode="External"/><Relationship Id="rId2288" Type="http://schemas.openxmlformats.org/officeDocument/2006/relationships/hyperlink" Target="https://law.justia.com/cases/texas/first-court-of-appeals/2022/01-21-00422-cv.html" TargetMode="External"/><Relationship Id="rId2495" Type="http://schemas.openxmlformats.org/officeDocument/2006/relationships/hyperlink" Target="https://lodd.iaff.org/LODDProfile?ID=1057637" TargetMode="External"/><Relationship Id="rId3034" Type="http://schemas.openxmlformats.org/officeDocument/2006/relationships/hyperlink" Target="https://fisheldowney.com/moving-away-mandatory-arbitration-sexual-assault-harassment-claims/" TargetMode="External"/><Relationship Id="rId162" Type="http://schemas.openxmlformats.org/officeDocument/2006/relationships/hyperlink" Target="https://public.fastcase.com/H1P9uiW3J20SFp%2BGCG%2BxLV1UD86YIpCG84PV7X%2BpnT1bSBvGb5%2F4r%2Bji24INAH28OEKlXyJ%2BAop5b2VZ9ytUlZZgkAmHpAE%2FiqsvJv8QoS0%3D?utm_medium=email&amp;_hsmi=226712652&amp;_hsenc=p2ANqtz--ZkRdN2zXdoxrl3owB4KoaH3odsucPmvtI49_VzIkvckm0OogBea4uvwy0e_nUnYms3ZfEOMqgWPnXMJBVQxzHG3rvjg&amp;utm_content=226712652&amp;utm_source=hs_email" TargetMode="External"/><Relationship Id="rId467" Type="http://schemas.openxmlformats.org/officeDocument/2006/relationships/hyperlink" Target="https://www.supremecourt.ohio.gov/rod/docs/pdf/8/2024/2024-Ohio-5317.pdf" TargetMode="External"/><Relationship Id="rId1097" Type="http://schemas.openxmlformats.org/officeDocument/2006/relationships/hyperlink" Target="https://cases.justia.com/louisiana/fourth-circuit-court-of-appeal/2025-2024-ca-0747.pdf?ts=1746576943" TargetMode="External"/><Relationship Id="rId2050" Type="http://schemas.openxmlformats.org/officeDocument/2006/relationships/hyperlink" Target="https://cases.justia.com/kansas/supreme-court/2026-125812.pdf?ts=1787323095" TargetMode="External"/><Relationship Id="rId2148"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674" Type="http://schemas.openxmlformats.org/officeDocument/2006/relationships/hyperlink" Target="https://www.courthousenews.com/wp-content/uploads/2025/11/santa-clara-v-noem-preliminary-injunction.pdf" TargetMode="External"/><Relationship Id="rId881" Type="http://schemas.openxmlformats.org/officeDocument/2006/relationships/hyperlink" Target="https://www.supremecourt.gov/opinions/24pdf/24-362_mjn0.pdf" TargetMode="External"/><Relationship Id="rId979" Type="http://schemas.openxmlformats.org/officeDocument/2006/relationships/hyperlink" Target="https://cases.justia.com/colorado/court-of-appeals/2025-24ca1544.pdf?ts=1751643339" TargetMode="External"/><Relationship Id="rId2355" Type="http://schemas.openxmlformats.org/officeDocument/2006/relationships/hyperlink" Target="https://www.zanesvilletimesrecorder.com/story/news/local/2016/12/17/two-dead-after-ambulance-rollover/95557626/" TargetMode="External"/><Relationship Id="rId2562" Type="http://schemas.openxmlformats.org/officeDocument/2006/relationships/hyperlink" Target="file:///C:\Users\lawre\AppData\Local\Microsoft\Windows\INetCache\Content.Outlook\L4F26AG7\Mayer%20%5E0%20Corey%202016%20Current%20Issues%20in%20FFD%20evaluations%20of%20LEOs.pdf" TargetMode="External"/><Relationship Id="rId327" Type="http://schemas.openxmlformats.org/officeDocument/2006/relationships/hyperlink" Target="https://public.fastcase.com/Wl%2B2t%2BeVuI35%2FN70vAMFZgQb9URzc30c5cCnjaV%2BywxWbGQAvCbjQKWk6ixjSD1I" TargetMode="External"/><Relationship Id="rId534" Type="http://schemas.openxmlformats.org/officeDocument/2006/relationships/hyperlink" Target="https://www.whsv.com/content/news/West-Virginia-firefighter-killed-in-crash-while-responding-to-fire-566946181.html" TargetMode="External"/><Relationship Id="rId741" Type="http://schemas.openxmlformats.org/officeDocument/2006/relationships/hyperlink" Target="https://www.supremecourt.gov/opinions/22pdf/21-1496_d18f.pdf" TargetMode="External"/><Relationship Id="rId839" Type="http://schemas.openxmlformats.org/officeDocument/2006/relationships/hyperlink" Target="https://supreme.justia.com/cases/federal/us/444/507/" TargetMode="External"/><Relationship Id="rId1164" Type="http://schemas.openxmlformats.org/officeDocument/2006/relationships/hyperlink" Target="https://ilcourtsaudio.blob.core.windows.net/antilles-%20resources/resources/467a406e-7cd0-4d26-a9c9-2d169ea7237c/Ivetic%20v.%20Bensenville%20Fire%20Protection%20District%20No.3,%202023%20IL%20App%20(1st)%20220879-U.pdf" TargetMode="External"/><Relationship Id="rId1371" Type="http://schemas.openxmlformats.org/officeDocument/2006/relationships/hyperlink" Target="https://cases.justia.com/federal/district-courts/ohio/ohsdce/1:2023cv00273/279746/32/0.pdf?ts=1759344788" TargetMode="External"/><Relationship Id="rId1469" Type="http://schemas.openxmlformats.org/officeDocument/2006/relationships/hyperlink" Target="https://scholar.google.com/scholar_case?case=3751539261550257111&amp;q=Rachel+MOSBY+v.+CITY+OF+BYRON,+GEORGIA,&amp;hl=en&amp;as_sdt=6,36" TargetMode="External"/><Relationship Id="rId2008" Type="http://schemas.openxmlformats.org/officeDocument/2006/relationships/hyperlink" Target="https://patersontimes.com/2019/12/09/judge-orders-paterson-firefighter-terminated-for-failing-drug-test-reinstated/" TargetMode="External"/><Relationship Id="rId2215" Type="http://schemas.openxmlformats.org/officeDocument/2006/relationships/hyperlink" Target="https://cases.justia.com/kentucky/court-of-appeals/2024-2022-ca-1330-mr.pdf?ts=1709910288" TargetMode="External"/><Relationship Id="rId2422" Type="http://schemas.openxmlformats.org/officeDocument/2006/relationships/hyperlink" Target="http://www.pacourts.us/assets/opinions/Supreme/out/68MM2020mo%20-%2010439399799476700.pdf?cb=1" TargetMode="External"/><Relationship Id="rId2867" Type="http://schemas.openxmlformats.org/officeDocument/2006/relationships/hyperlink" Target="https://www.courtlistener.com/recap/gov.uscourts.mad.185693/gov.uscourts.mad.185693.65.0.pdf" TargetMode="External"/><Relationship Id="rId601" Type="http://schemas.openxmlformats.org/officeDocument/2006/relationships/hyperlink" Target="https://www.aclu.org/sites/default/files/field_document/mckesson_v_doe_cert_petn_and_appendix.pdf" TargetMode="External"/><Relationship Id="rId1024" Type="http://schemas.openxmlformats.org/officeDocument/2006/relationships/hyperlink" Target="https://www.zanesvilletimesrecorder.com/story/news/local/2016/12/17/two-dead-after-ambulance-rollover/95557626/" TargetMode="External"/><Relationship Id="rId1231" Type="http://schemas.openxmlformats.org/officeDocument/2006/relationships/hyperlink" Target="https://www.hamiltoncountyohio.gov/UserFiles/Servers/Server_3788196/File/releases/2021/C-200202_04142021.pdf" TargetMode="External"/><Relationship Id="rId1676" Type="http://schemas.openxmlformats.org/officeDocument/2006/relationships/hyperlink" Target="https://www.casemine.com/judgement/us/6a52586871db26a4e922f540" TargetMode="External"/><Relationship Id="rId1883" Type="http://schemas.openxmlformats.org/officeDocument/2006/relationships/hyperlink" Target="https://www.law.cornell.edu/uscode/text/29/201" TargetMode="External"/><Relationship Id="rId2727" Type="http://schemas.openxmlformats.org/officeDocument/2006/relationships/hyperlink" Target="https://law.justia.com/cases/new-york/appellate-division-third-department/2023/535052.html" TargetMode="External"/><Relationship Id="rId2934" Type="http://schemas.openxmlformats.org/officeDocument/2006/relationships/hyperlink" Target="https://abc13.com/prop-b-update-houston-firefighter-pay-parity-texas-supreme-court-proposition-struck-down/13057363/" TargetMode="External"/><Relationship Id="rId906" Type="http://schemas.openxmlformats.org/officeDocument/2006/relationships/hyperlink" Target="https://search.txcourts.gov/SearchMedia.aspx?MediaVersionID=0759d8f0-c4e1-4852-8390-4190cacb89f6&amp;coa=coa10&amp;DT=Opinion&amp;MediaID=dc9d0fad-acea-4603-a120-a6519744d885" TargetMode="External"/><Relationship Id="rId1329" Type="http://schemas.openxmlformats.org/officeDocument/2006/relationships/hyperlink" Target="http://www.illinoiscourts.gov/R23_Orders/WorkersComp/2019/3180397WC_R23.pdf" TargetMode="External"/><Relationship Id="rId1536" Type="http://schemas.openxmlformats.org/officeDocument/2006/relationships/hyperlink" Target="https://www.supremecourt.gov/opinions/25pdf/24-109_21o3.pdf" TargetMode="External"/><Relationship Id="rId1743" Type="http://schemas.openxmlformats.org/officeDocument/2006/relationships/hyperlink" Target="https://www.hmpgloballearningnetwork.com/site/emsworld/original-contribution/sworn-therapy-dog-supports-ohio-responders" TargetMode="External"/><Relationship Id="rId1950" Type="http://schemas.openxmlformats.org/officeDocument/2006/relationships/hyperlink" Target="https://www.dol.gov/whd/opinion/FLSA/2018/2018_01_05_16_FLSA.pdf" TargetMode="External"/><Relationship Id="rId35" Type="http://schemas.openxmlformats.org/officeDocument/2006/relationships/hyperlink" Target="https://public.fastcase.com/Jhe1Qn%2BmJndQYQU6z%2FeNm41Z%2FOdo7wEiV%2BXZOn6Ck9WelihsBDHZxfns7L5Vlobe8KCYik0lEXZYSVwiLsKn0UW5%2B2VWsVkokbGOgZx52u8%3D?utm_medium=email&amp;_hsenc=p2ANqtz-9EI0U8e9McRrVX-UJhUyqBaKFqyfeNAikLllF44Be7atxg43fyP-ODCP6rir31MZENUpzNCQwvOHRXOJumMmb9zT3Dpw&amp;_hsmi=226712652&amp;utm_content=226712652&amp;utm_source=hs_email" TargetMode="External"/><Relationship Id="rId1603" Type="http://schemas.openxmlformats.org/officeDocument/2006/relationships/hyperlink" Target="https://casetext.com/case/brown-v-hennepin-healthcare-sys" TargetMode="External"/><Relationship Id="rId1810" Type="http://schemas.openxmlformats.org/officeDocument/2006/relationships/hyperlink" Target="https://www.cafc.uscourts.gov/opinions-orders/23-1823.OPINION.12-12-2025_2618923.pdf" TargetMode="External"/><Relationship Id="rId184" Type="http://schemas.openxmlformats.org/officeDocument/2006/relationships/hyperlink" Target="https://www.law.cornell.edu/rules/fre/rule_701" TargetMode="External"/><Relationship Id="rId391" Type="http://schemas.openxmlformats.org/officeDocument/2006/relationships/hyperlink" Target="https://d.docs.live.net/bd9b2eaf6053242e/AppData/Roaming/Microsoft/AppData/Local/Microsoft/Windows/INetCache/IE/XO250S7T/15-70040-CV0.pdf" TargetMode="External"/><Relationship Id="rId1908" Type="http://schemas.openxmlformats.org/officeDocument/2006/relationships/hyperlink" Target="https://www.nbcchicago.com/news/local/reservist-sues-civilian-employer-nbc-investigates/153292/" TargetMode="External"/><Relationship Id="rId2072" Type="http://schemas.openxmlformats.org/officeDocument/2006/relationships/hyperlink" Target="https://www.coloradojudicial.gov/system/files/opinions-2026-06/24CA0675.pdf" TargetMode="External"/><Relationship Id="rId251" Type="http://schemas.openxmlformats.org/officeDocument/2006/relationships/hyperlink" Target="https://public.fastcase.com/9SKwsfNqTc6OieYDhNMyM84JhiUntSQtUCBlgd6lzoL5y1g0gwdSndjfCHFHqJkk4vcRDuTZ3RRxLgM1%2Fyx%2BQdiK9wqe8J4wfwe4xg454y8%3D" TargetMode="External"/><Relationship Id="rId489" Type="http://schemas.openxmlformats.org/officeDocument/2006/relationships/hyperlink" Target="https://cases.justia.com/kentucky/court-of-appeals/2024-2023-ca-0968-mr.pdf?ts=1724421865" TargetMode="External"/><Relationship Id="rId696" Type="http://schemas.openxmlformats.org/officeDocument/2006/relationships/hyperlink" Target="https://www.youtube.com/watch?v=DMC7Ntd4d4c" TargetMode="External"/><Relationship Id="rId2377" Type="http://schemas.openxmlformats.org/officeDocument/2006/relationships/hyperlink" Target="https://flsenate.gov/Laws/Statutes/2011/112.182" TargetMode="External"/><Relationship Id="rId2584" Type="http://schemas.openxmlformats.org/officeDocument/2006/relationships/hyperlink" Target="https://www.minnesotacomp.com/blog/2018/11/post-traumatic-stress-disorder-may-become-a-presumptive-condition-for-first-responders/" TargetMode="External"/><Relationship Id="rId2791" Type="http://schemas.openxmlformats.org/officeDocument/2006/relationships/hyperlink" Target="https://www.cleveland19.com/2020/01/26/year-old-woman-loses-life-after-house-goes-up-flames-clevelands-west-side-adults-children-safely-out/" TargetMode="External"/><Relationship Id="rId349" Type="http://schemas.openxmlformats.org/officeDocument/2006/relationships/hyperlink" Target="https://www.supremecourt.gov/opinions/18pdf/18-6210_2co3.pdf" TargetMode="External"/><Relationship Id="rId556" Type="http://schemas.openxmlformats.org/officeDocument/2006/relationships/hyperlink" Target="https://law.justia.com/cases/indiana/court-of-appeals/2022/21a-dn-01379.html" TargetMode="External"/><Relationship Id="rId763" Type="http://schemas.openxmlformats.org/officeDocument/2006/relationships/hyperlink" Target="https://www.lasc.org/opinions/2022/21-0929.CQ.OPN.pdf" TargetMode="External"/><Relationship Id="rId1186" Type="http://schemas.openxmlformats.org/officeDocument/2006/relationships/hyperlink" Target="https://www.supremecourt.gov/opinions/21pdf/20-603_o758.pdf" TargetMode="External"/><Relationship Id="rId1393" Type="http://schemas.openxmlformats.org/officeDocument/2006/relationships/hyperlink" Target="https://casetext.com/case/lundberg-v-delta-response-team-llc-1" TargetMode="External"/><Relationship Id="rId2237" Type="http://schemas.openxmlformats.org/officeDocument/2006/relationships/hyperlink" Target="https://www.opn.ca6.uscourts.gov/opinions.pdf/23a0237p-06.pdf" TargetMode="External"/><Relationship Id="rId2444" Type="http://schemas.openxmlformats.org/officeDocument/2006/relationships/hyperlink" Target="https://www.fresnobee.com/news/local/article167656267.html" TargetMode="External"/><Relationship Id="rId2889" Type="http://schemas.openxmlformats.org/officeDocument/2006/relationships/hyperlink" Target="https://www.coloradopolitics.com/2026/06/22/10th-circuit-grants-boulder-weld-districts-fire-chief-immunity-for-firing-union-leader/" TargetMode="External"/><Relationship Id="rId111" Type="http://schemas.openxmlformats.org/officeDocument/2006/relationships/hyperlink" Target="https://www.courts.wa.gov/opinions/pdf/855832.pdf" TargetMode="External"/><Relationship Id="rId209" Type="http://schemas.openxmlformats.org/officeDocument/2006/relationships/hyperlink" Target="https://codes.ohio.gov/ohio-revised-code/section-2925.11" TargetMode="External"/><Relationship Id="rId416" Type="http://schemas.openxmlformats.org/officeDocument/2006/relationships/hyperlink" Target="https://public.fastcase.com/Jhe1Qn%2BmJndQYQU6z%2FeNm2HEaeCCWkcBCeUCujqGNVlbyw33GV3OIPoGmz91llGj?utm_medium=email&amp;_hsenc=p2ANqtz--_2koWPJH8aNw9hArqKJahBiDeDbHde9hJY14uLqxi48R0NPU4q8g0_WpBiId9hecTh5LabDNFfk8DSpNZX48Jer-K6w&amp;_hsmi=226712652&amp;utm_content=226712652&amp;utm_source=hs_email" TargetMode="External"/><Relationship Id="rId970" Type="http://schemas.openxmlformats.org/officeDocument/2006/relationships/hyperlink" Target="https://cases.justia.com/texas/fifth-court-of-appeals/2026-05-24-01403-cv.pdf?ts=1769077961" TargetMode="External"/><Relationship Id="rId1046" Type="http://schemas.openxmlformats.org/officeDocument/2006/relationships/hyperlink" Target="http://www.legallyspeakingohio.com/wordpress/wp-content/uploads/2013/03/anderson-v-massilon.pdf" TargetMode="External"/><Relationship Id="rId1253" Type="http://schemas.openxmlformats.org/officeDocument/2006/relationships/hyperlink" Target="http://app.leg.wa.gov/RCW/default.aspx?cite=51.08.140" TargetMode="External"/><Relationship Id="rId1698" Type="http://schemas.openxmlformats.org/officeDocument/2006/relationships/hyperlink" Target="https://abcnews.go.com/Health/1500-nyc-municipal-workers-fired-vaccinated-covid/story?id=82900617" TargetMode="External"/><Relationship Id="rId2651" Type="http://schemas.openxmlformats.org/officeDocument/2006/relationships/hyperlink" Target="https://public.fastcase.com/jaEE2PXzRXmZ99jOLMt1Ilcjd44wj1gOUELzUZUXmDmbuUsOiVZitmDUzsj9wpOSz4ErC%2Bb83%2Bac%2Bxbf2Y5XWbaFtY83bMRM%2FnYjCn7PkRA%3D?utm_medium=email&amp;_hsenc=p2ANqtz-_fx1n9_ms4yphjYB4YK1tT4ojMXKWZyFtyDBkZEK1fupUD4WQ_rkXhMfyPQZmyXGwaNXHPYYCETcsN16Fd9R-eiG6PHw&amp;_hsmi=226712652&amp;utm_content=226712652&amp;utm_source=hs_email" TargetMode="External"/><Relationship Id="rId2749" Type="http://schemas.openxmlformats.org/officeDocument/2006/relationships/hyperlink" Target="https://www.nvfc.org/firefighter-arson/" TargetMode="External"/><Relationship Id="rId2956" Type="http://schemas.openxmlformats.org/officeDocument/2006/relationships/hyperlink" Target="https://public.fastcase.com/waZtJvSA54UAurM2rmIZzyOaN7WzTWghSlgppuqvnsAjPkds9FfvjtUo5GbcF9G%2FNhiGhSGO5JepPmFj8bD%2B4C9gVbj%2FhO0NJpef3auh%2BAw%3D" TargetMode="External"/><Relationship Id="rId623" Type="http://schemas.openxmlformats.org/officeDocument/2006/relationships/hyperlink" Target="http://www.pacourts.us/assets/opinions/Supreme/out/opinion%20announcing%20judgment%20of%20the%20court%20%20reversedremanded%20%2010373870143091493.pdf" TargetMode="External"/><Relationship Id="rId830" Type="http://schemas.openxmlformats.org/officeDocument/2006/relationships/hyperlink" Target="https://www.prnewswire.com/news-releases/over-95-of-plaintiffs-accept-world-trade-center-settlement-109252704.html" TargetMode="External"/><Relationship Id="rId928" Type="http://schemas.openxmlformats.org/officeDocument/2006/relationships/hyperlink" Target="https://codes.ohio.gov/ohio-revised-code/section-3314.07" TargetMode="External"/><Relationship Id="rId1460" Type="http://schemas.openxmlformats.org/officeDocument/2006/relationships/hyperlink" Target="https://journalstar.com/news/local/crime-and-courts/federal-judge-denies-request-for-injunction-independent-review-in-firefights-lawsuit/article_57be96fb-75f1-5b57-90b3-87e7c60cfb50.html" TargetMode="External"/><Relationship Id="rId1558" Type="http://schemas.openxmlformats.org/officeDocument/2006/relationships/hyperlink" Target="https://public.fastcase.com/jaEE2PXzRXmZ99jOLMt1IvrAn%2Bvx0cgAdRJLFzEVE5rZOK58n0UQBGfcsDJAKHyq3V35FHlAbNqGcC8r8dPNnejcnyefccFrDQkDZXnULhU%3D?utm_medium=email&amp;_hsenc=p2ANqtz-8kewSXPlrcM1MOnAYiHvCPklkrBuM3zyFieXeXxpBY7QJCt7ROBRst2YRlv6uOnNoYQgLAyEZN4abHQWMttR1q6BIDag&amp;_hsmi=226712652&amp;utm_content=226712652&amp;utm_source=hs_email" TargetMode="External"/><Relationship Id="rId1765" Type="http://schemas.openxmlformats.org/officeDocument/2006/relationships/hyperlink" Target="https://cases.justia.com/federal/appellate-courts/ca3/18-2706/18-2706-2019-08-09.pdf?ts=1565368208" TargetMode="External"/><Relationship Id="rId2304" Type="http://schemas.openxmlformats.org/officeDocument/2006/relationships/hyperlink" Target="https://law.justia.com/cases/new-york/other-courts/2022/2022-ny-slip-op-22137.html" TargetMode="External"/><Relationship Id="rId2511" Type="http://schemas.openxmlformats.org/officeDocument/2006/relationships/hyperlink" Target="https://cases.justia.com/new-york/other-courts/2025-2025-ny-slip-op-33910-u.pdf?ts=1761341305" TargetMode="External"/><Relationship Id="rId2609" Type="http://schemas.openxmlformats.org/officeDocument/2006/relationships/hyperlink" Target="https://cases.justia.com/federal/appellate-courts/ca10/25-1159/25-1159-2026-07-07.pdf?ts=1783443762" TargetMode="External"/><Relationship Id="rId57" Type="http://schemas.openxmlformats.org/officeDocument/2006/relationships/hyperlink" Target="https://cases.justia.com/utah/court-of-appeals-published/2025-20241334-ca.pdf?ts=1766864394" TargetMode="External"/><Relationship Id="rId1113" Type="http://schemas.openxmlformats.org/officeDocument/2006/relationships/hyperlink" Target="https://cases.justia.com/west-virginia/supreme-court/2025-24-266.pdf?ts=1736880091" TargetMode="External"/><Relationship Id="rId1320" Type="http://schemas.openxmlformats.org/officeDocument/2006/relationships/hyperlink" Target="https://public.fastcase.com/Wl%2B2t%2BeVuI35%2FN70vAMFZi2NtCwkTvdiKyrWKXTmtjwARSxGp50rXf7QoqUpwr%2BO" TargetMode="External"/><Relationship Id="rId1418" Type="http://schemas.openxmlformats.org/officeDocument/2006/relationships/hyperlink" Target="https://public.fastcase.com/ZZhmr5v9wN%2FXOe5IsQ%2FqD6jMQR25voU2zetCo1HgS1zBk8tCI%2FmKZ0pb%2BYQBY4PYbj2YxbwIVSZ2pGprXwG4UQ35c6nwrJlu7u4tvaka%2BGk%3D?utm_medium=email&amp;_hsmi=226712652&amp;_hsenc=p2ANqtz-8k0z7Ow52c-ClX2b2IdaHNx0isoBG6vg98c6p6ibbt9CVV8mr3zs9YYXJjoYif24S7rYOdhr1XcCDTZ_K6Y2uCJJR3PQ&amp;utm_content=226712652&amp;utm_source=hs_email" TargetMode="External"/><Relationship Id="rId1972" Type="http://schemas.openxmlformats.org/officeDocument/2006/relationships/hyperlink" Target="https://www.fireengineering.com/firefighting/medical-marijuana-and-firefighters-creating-a-medical-marijuana-use-policy/" TargetMode="External"/><Relationship Id="rId2816" Type="http://schemas.openxmlformats.org/officeDocument/2006/relationships/hyperlink" Target="https://public.fastcase.com/Wl%2B2t%2BeVuI35%2FN70vAMFZqQ7Gx1lZ4VLPzvmh59TfRHYGD4c0wvhFgn%2Bs0ncYh62" TargetMode="External"/><Relationship Id="rId1625" Type="http://schemas.openxmlformats.org/officeDocument/2006/relationships/hyperlink" Target="https://casetext.com/case/smith-v-city-of-toledo" TargetMode="External"/><Relationship Id="rId1832" Type="http://schemas.openxmlformats.org/officeDocument/2006/relationships/hyperlink" Target="https://cases.justia.com/federal/district-courts/oklahoma/okedce/6:2023cv00241/34830/33/0.pdf?ts=1732294058" TargetMode="External"/><Relationship Id="rId2094" Type="http://schemas.openxmlformats.org/officeDocument/2006/relationships/hyperlink" Target="https://cases.justia.com/federal/district-courts/california/caedce/1:2025cv00789/467494/25/0.pdf?ts=1773524860" TargetMode="External"/><Relationship Id="rId273" Type="http://schemas.openxmlformats.org/officeDocument/2006/relationships/hyperlink" Target="https://www.nolo.com/legal-encyclopedia/immunity-exchange-testimony.html" TargetMode="External"/><Relationship Id="rId480" Type="http://schemas.openxmlformats.org/officeDocument/2006/relationships/hyperlink" Target="https://www.firehero.org/fallen-firefighter/charles-e-morton/" TargetMode="External"/><Relationship Id="rId2161" Type="http://schemas.openxmlformats.org/officeDocument/2006/relationships/hyperlink" Target="https://cases.justia.com/kentucky/court-of-appeals/2024-2023-ca-1033-mr.pdf?ts=1727446176" TargetMode="External"/><Relationship Id="rId2399" Type="http://schemas.openxmlformats.org/officeDocument/2006/relationships/hyperlink" Target="https://public.fastcase.com/Wl%2B2t%2BeVuI35%2FN70vAMFZoN7mlr4hHNtCTnayGEBC4RCM4jvijs5LLDyckRiAx%2Bw" TargetMode="External"/><Relationship Id="rId3005" Type="http://schemas.openxmlformats.org/officeDocument/2006/relationships/hyperlink" Target="https://isc.idaho.gov/opinions/51312.pdf" TargetMode="External"/><Relationship Id="rId133" Type="http://schemas.openxmlformats.org/officeDocument/2006/relationships/hyperlink" Target="https://www.opn.ca6.uscourts.gov/opinions.pdf/24a0196p-06.pdf" TargetMode="External"/><Relationship Id="rId340" Type="http://schemas.openxmlformats.org/officeDocument/2006/relationships/hyperlink" Target="http://www.ca5.uscourts.gov/opinions/unpub/19/19-10878.0.pdf" TargetMode="External"/><Relationship Id="rId578" Type="http://schemas.openxmlformats.org/officeDocument/2006/relationships/hyperlink" Target="https://www.leagle.com/decision/inmico20201120334" TargetMode="External"/><Relationship Id="rId785" Type="http://schemas.openxmlformats.org/officeDocument/2006/relationships/hyperlink" Target="https://www.cincinnati.com/story/news/2019/08/05/how-dayton-shooting-happened-maps-video-and-graphics/1923063001/" TargetMode="External"/><Relationship Id="rId992" Type="http://schemas.openxmlformats.org/officeDocument/2006/relationships/hyperlink" Target="https://cases.justia.com/texas/fourteenth-court-of-appeals/2024-14-23-00087-cv.pdf?ts=1709819934" TargetMode="External"/><Relationship Id="rId2021" Type="http://schemas.openxmlformats.org/officeDocument/2006/relationships/hyperlink" Target="https://www.fox2detroit.com/news/detroit-fire-chief-investigated-for-taking-department-car-to-bar" TargetMode="External"/><Relationship Id="rId2259" Type="http://schemas.openxmlformats.org/officeDocument/2006/relationships/hyperlink" Target="https://www.nyc.gov/assets/dcas/downloads/pdf/guidelines/faq-vaccine-mandate.pdf" TargetMode="External"/><Relationship Id="rId2466" Type="http://schemas.openxmlformats.org/officeDocument/2006/relationships/hyperlink" Target="https://www.leagle.com/decision/infco20180831084" TargetMode="External"/><Relationship Id="rId2673" Type="http://schemas.openxmlformats.org/officeDocument/2006/relationships/hyperlink" Target="https://cases.justia.com/delaware/superior-court/2024-2301003924.pdf?ts=1718040749" TargetMode="External"/><Relationship Id="rId2880" Type="http://schemas.openxmlformats.org/officeDocument/2006/relationships/hyperlink" Target="https://d.docs.live.net/bd9b2eaf6053242e/AppData/Roaming/Microsoft/AppData/Local/Microsoft/Windows/INetCache/IE/NZ9VF3P4/Christian-Firefighter.pdf" TargetMode="External"/><Relationship Id="rId200" Type="http://schemas.openxmlformats.org/officeDocument/2006/relationships/hyperlink" Target="https://www.supremecourt.gov/opinions/22pdf/21-1158_p8k0.pdf" TargetMode="External"/><Relationship Id="rId438" Type="http://schemas.openxmlformats.org/officeDocument/2006/relationships/hyperlink" Target="https://cases.justia.com/montana/supreme-court/2025-da-25-0100.pdf?ts=1761082851" TargetMode="External"/><Relationship Id="rId645" Type="http://schemas.openxmlformats.org/officeDocument/2006/relationships/hyperlink" Target="https://www.doj.state.or.us/wp-content/uploads/2026/07/ECF-122-Memorandum-and-Order-on-Ps-MSJ-and-Ds-MTD.pdf" TargetMode="External"/><Relationship Id="rId852" Type="http://schemas.openxmlformats.org/officeDocument/2006/relationships/hyperlink" Target="https://www.law.com/newyorklawjournal/2019/04/25/split-2nd-circuit-panel-finds-outrageous-ice-conduct-revives-activists-removal-suit/" TargetMode="External"/><Relationship Id="rId1068" Type="http://schemas.openxmlformats.org/officeDocument/2006/relationships/hyperlink" Target="https://www.courtswv.gov/sites/default/pubfilesmnt/2026-02/25-ICA-338_MD.pdf" TargetMode="External"/><Relationship Id="rId1275" Type="http://schemas.openxmlformats.org/officeDocument/2006/relationships/hyperlink" Target="https://casetext.com/case/hayman-v-city-of-wilmington" TargetMode="External"/><Relationship Id="rId1482" Type="http://schemas.openxmlformats.org/officeDocument/2006/relationships/hyperlink" Target="https://public.fastcase.com/Wl%2B2t%2BeVuI35%2FN70vAMFZkY2nPlYZ3wtvIBy3YjdhH4Hysc14LIFQvAQrJXSfUWa" TargetMode="External"/><Relationship Id="rId2119" Type="http://schemas.openxmlformats.org/officeDocument/2006/relationships/hyperlink" Target="https://www.pacourts.us/assets/opinions/Superior/out/J-S30019-25o%20-%20106515413327511102.pdf?cb=1" TargetMode="External"/><Relationship Id="rId2326" Type="http://schemas.openxmlformats.org/officeDocument/2006/relationships/hyperlink" Target="https://www.opn.ca6.uscourts.gov/opinions.pdf/21a0287p-06.pdf" TargetMode="External"/><Relationship Id="rId2533" Type="http://schemas.openxmlformats.org/officeDocument/2006/relationships/hyperlink" Target="https://casetext.com/case/mendoza-v-the-city-of-new-york-3" TargetMode="External"/><Relationship Id="rId2740" Type="http://schemas.openxmlformats.org/officeDocument/2006/relationships/hyperlink" Target="https://www.thefire.org/first-amendment-library/decision/pickering-v-board-of-education-of-township-high-school-district-205-will-county/" TargetMode="External"/><Relationship Id="rId2978" Type="http://schemas.openxmlformats.org/officeDocument/2006/relationships/hyperlink" Target="https://law.justia.com/cases/illinois/court-of-appeals-first-appellate-district/2000/1992647.html" TargetMode="External"/><Relationship Id="rId505" Type="http://schemas.openxmlformats.org/officeDocument/2006/relationships/hyperlink" Target="https://casetext.com/statute/consolidated-laws-of-new-york/chapter-volunteer-firefighters-benefit/article-2-coverage-and-benefits/section-19-exclusiveness-of-remedy" TargetMode="External"/><Relationship Id="rId712" Type="http://schemas.openxmlformats.org/officeDocument/2006/relationships/hyperlink" Target="https://www.courthousenews.com/wp-content/uploads/2024/07/LGBTQ-DNC-ordinance-block-denial.pdf" TargetMode="External"/><Relationship Id="rId1135" Type="http://schemas.openxmlformats.org/officeDocument/2006/relationships/hyperlink" Target="https://media.ca11.uscourts.gov/opinions/pub/files/202213626.pdf" TargetMode="External"/><Relationship Id="rId1342" Type="http://schemas.openxmlformats.org/officeDocument/2006/relationships/hyperlink" Target="https://www.legislature.ohio.gov/legislation/legislation-summary?id=GA132-SB-220" TargetMode="External"/><Relationship Id="rId1787" Type="http://schemas.openxmlformats.org/officeDocument/2006/relationships/hyperlink" Target="https://public.fastcase.com/Wl%2B2t%2BeVuI35%2FN70vAMFZmLHUFluj8t0T%2BAyFM6B%2B2S9SNpejaiKBu7OSzXfoy%2FQ" TargetMode="External"/><Relationship Id="rId1994" Type="http://schemas.openxmlformats.org/officeDocument/2006/relationships/hyperlink" Target="https://www.audacy.com/krld/news/local/former-dfr-firefighter-sent-to-prison-for-dwi-accident" TargetMode="External"/><Relationship Id="rId2838" Type="http://schemas.openxmlformats.org/officeDocument/2006/relationships/hyperlink" Target="https://public.fastcase.com/Wl%2B2t%2BeVuI35%2FN70vAMFZp5z3tSAREAgVcTB%2FIqZH8qtvSAHBObLTQiDe9yLc084" TargetMode="External"/><Relationship Id="rId79" Type="http://schemas.openxmlformats.org/officeDocument/2006/relationships/hyperlink" Target="https://cases.justia.com/federal/appellate-courts/ca7/24-3163/24-3163-2025-07-22.pdf?ts=1753214416" TargetMode="External"/><Relationship Id="rId1202" Type="http://schemas.openxmlformats.org/officeDocument/2006/relationships/hyperlink" Target="https://codes.ohio.gov/ohio-revised-code/section-742.10" TargetMode="External"/><Relationship Id="rId1647" Type="http://schemas.openxmlformats.org/officeDocument/2006/relationships/hyperlink" Target="https://law.justia.com/cases/michigan/court-of-appeals-unpublished/2020/350474.html" TargetMode="External"/><Relationship Id="rId1854" Type="http://schemas.openxmlformats.org/officeDocument/2006/relationships/hyperlink" Target="https://cdn.ca9.uscourts.gov/datastore/opinions/2023/11/30/22-55663.pdf" TargetMode="External"/><Relationship Id="rId2600" Type="http://schemas.openxmlformats.org/officeDocument/2006/relationships/hyperlink" Target="https://files.constantcontact.com/c0e462b4101/e141b674-435b-44eb-8111-03664eafd509.pdf" TargetMode="External"/><Relationship Id="rId2905" Type="http://schemas.openxmlformats.org/officeDocument/2006/relationships/hyperlink" Target="https://www.universalhub.com/files/jpfirefighter-complaint.pdf" TargetMode="External"/><Relationship Id="rId1507" Type="http://schemas.openxmlformats.org/officeDocument/2006/relationships/hyperlink" Target="https://www.law.com/nationallawjournal/2019/02/22/11th-circuit-pregnancy-bias-case-tests-2015-supreme-court-ruling/" TargetMode="External"/><Relationship Id="rId1714" Type="http://schemas.openxmlformats.org/officeDocument/2006/relationships/hyperlink" Target="https://cases.justia.com/federal/appellate-courts/ca6/23-3459/23-3459-2024-03-18.pdf?ts=1710795630" TargetMode="External"/><Relationship Id="rId295" Type="http://schemas.openxmlformats.org/officeDocument/2006/relationships/hyperlink" Target="http://codes.ohio.gov/orc/102.01" TargetMode="External"/><Relationship Id="rId1921" Type="http://schemas.openxmlformats.org/officeDocument/2006/relationships/hyperlink" Target="https://www.ems1.com/legal/articles/air-medical-company-agrees-to-78m-settlement-for-overtime-ExknCez8O1D6ZfI4/" TargetMode="External"/><Relationship Id="rId2183" Type="http://schemas.openxmlformats.org/officeDocument/2006/relationships/hyperlink" Target="https://cases.justia.com/north-carolina/court-of-appeals/2024-23-881.pdf?ts=1716294565" TargetMode="External"/><Relationship Id="rId2390" Type="http://schemas.openxmlformats.org/officeDocument/2006/relationships/hyperlink" Target="https://njcourts.gov/attorneys/assets/opinions/appellate/unpublished/a0530-19.pdf" TargetMode="External"/><Relationship Id="rId2488" Type="http://schemas.openxmlformats.org/officeDocument/2006/relationships/hyperlink" Target="http://media.ca11.uscourts.gov/opinions/pub/files/201814687.pdf" TargetMode="External"/><Relationship Id="rId3027" Type="http://schemas.openxmlformats.org/officeDocument/2006/relationships/hyperlink" Target="https://www.legislature.ohio.gov/download?key=20348&amp;format=pdf" TargetMode="External"/><Relationship Id="rId155" Type="http://schemas.openxmlformats.org/officeDocument/2006/relationships/hyperlink" Target="https://www.reformer.com/local-news/vermont-supreme-court-rejects-rv-housing-appeal-in-brattleboro/article_1aa8b844-48f7-11ef-b1d5-5784c0449d3d.html" TargetMode="External"/><Relationship Id="rId362" Type="http://schemas.openxmlformats.org/officeDocument/2006/relationships/hyperlink" Target="https://www.apnews.com/50ced4152dc74df1975a925e4fa29038" TargetMode="External"/><Relationship Id="rId1297" Type="http://schemas.openxmlformats.org/officeDocument/2006/relationships/hyperlink" Target="https://supreme.justia.com/cases/federal/us/436/658/" TargetMode="External"/><Relationship Id="rId2043" Type="http://schemas.openxmlformats.org/officeDocument/2006/relationships/hyperlink" Target="https://www.law.com/thelegalintelligencer/2020/06/25/judge-halts-opening-of-safe-injection-site-citing-covid-19-pandemic-and-protests/" TargetMode="External"/><Relationship Id="rId2250" Type="http://schemas.openxmlformats.org/officeDocument/2006/relationships/hyperlink" Target="https://public.fastcase.com/ZZhmr5v9wN%2FXOe5IsQ%2FqD1tuyppLBnLrMmR86JNFVAlEsCewO4n%2BqmcnLV2ysm6tZCnkIxWDhw4CT9a2YbHZsY59KqRUUsvnj3oq0k4kZUY%3D?utm_medium=email&amp;_hsmi=226712652&amp;_hsenc=p2ANqtz-_TDFfv4pLQcLfqFCn8pFSxh77smp5fK7rovyeiHf7hqXQSyFbPSdIcgszVq5PNSPeSOT64f2E-JPGn2x6-fH_4dd4mvg&amp;utm_content=226712652&amp;utm_source=hs_email" TargetMode="External"/><Relationship Id="rId2695" Type="http://schemas.openxmlformats.org/officeDocument/2006/relationships/hyperlink" Target="https://cdn.ca9.uscourts.gov/datastore/opinions/2023/08/04/22-15485.pdf" TargetMode="External"/><Relationship Id="rId222" Type="http://schemas.openxmlformats.org/officeDocument/2006/relationships/hyperlink" Target="https://law.justia.com/cases/kentucky/court-of-appeals/2022/2022-ca-0258-mr.html" TargetMode="External"/><Relationship Id="rId667" Type="http://schemas.openxmlformats.org/officeDocument/2006/relationships/hyperlink" Target="https://ecf.rid.uscourts.gov/cgi-bin/show_public_doc?2025cv0495-53" TargetMode="External"/><Relationship Id="rId874" Type="http://schemas.openxmlformats.org/officeDocument/2006/relationships/hyperlink" Target="https://appellate.nccourts.org/opinions/?c=2&amp;pdf=44475" TargetMode="External"/><Relationship Id="rId2110" Type="http://schemas.openxmlformats.org/officeDocument/2006/relationships/hyperlink" Target="https://cases.justia.com/illinois/court-of-appeals-fifth-appellate-district/2025-5-24-0729-0.pdf?ts=1764692248" TargetMode="External"/><Relationship Id="rId2348" Type="http://schemas.openxmlformats.org/officeDocument/2006/relationships/hyperlink" Target="https://public.fastcase.com/" TargetMode="External"/><Relationship Id="rId2555" Type="http://schemas.openxmlformats.org/officeDocument/2006/relationships/hyperlink" Target="https://casetext.com/case/abler-v-mayor-of-balt" TargetMode="External"/><Relationship Id="rId2762" Type="http://schemas.openxmlformats.org/officeDocument/2006/relationships/hyperlink" Target="https://public.fastcase.com/J%2FJP6pdidelsXxEE4k%2BLMrj3s4T1D9o6YeH1P6QHRjfPwtPh7UBJw6%2FlyLsxvHVQo4RL4odtX24b6W6EIP3%2BuhoyWwf2ZSyK36dgjdjOjEg%3D" TargetMode="External"/><Relationship Id="rId527" Type="http://schemas.openxmlformats.org/officeDocument/2006/relationships/hyperlink" Target="https://www.supremecourt.ohio.gov/rod/docs/pdf/8/2023/2023-Ohio-3884.pdf" TargetMode="External"/><Relationship Id="rId734" Type="http://schemas.openxmlformats.org/officeDocument/2006/relationships/hyperlink" Target="https://caselaw.findlaw.com/court/us-7th-circuit/114903686.html" TargetMode="External"/><Relationship Id="rId941" Type="http://schemas.openxmlformats.org/officeDocument/2006/relationships/hyperlink" Target="https://ad4.nycourts.gov/njs/term/argument/calendar?date=2021-05-27T00:00:00.000Z&amp;venue=1&amp;calnbr=633" TargetMode="External"/><Relationship Id="rId1157" Type="http://schemas.openxmlformats.org/officeDocument/2006/relationships/hyperlink" Target="https://rilawyersweekly.com/blog/2023/07/05/retired-providence-firefighters-not-barred-from-cancer-benefits/" TargetMode="External"/><Relationship Id="rId1364" Type="http://schemas.openxmlformats.org/officeDocument/2006/relationships/hyperlink" Target="https://www4.courts.ca.gov/opinions/documents/B334953.PDF" TargetMode="External"/><Relationship Id="rId1571" Type="http://schemas.openxmlformats.org/officeDocument/2006/relationships/hyperlink" Target="https://cases.justia.com/federal/district-courts/illinois/ilndce/1:2022cv01419/413396/37/0.pdf?ts=1732013718" TargetMode="External"/><Relationship Id="rId2208" Type="http://schemas.openxmlformats.org/officeDocument/2006/relationships/hyperlink" Target="https://www.contracosta.ca.gov/DocumentCenter/View/79107/Final-LEIFI-Ivan-Gutzalenko--2021" TargetMode="External"/><Relationship Id="rId2415" Type="http://schemas.openxmlformats.org/officeDocument/2006/relationships/hyperlink" Target="https://njcourts.gov/attorneys/assets/opinions/appellate/published/a0117-19.pdf?c=WwB" TargetMode="External"/><Relationship Id="rId2622" Type="http://schemas.openxmlformats.org/officeDocument/2006/relationships/hyperlink" Target="https://search.txcourts.gov/SearchMedia.aspx?MediaVersionID=2b0bcd7a-4ade-4d61-a274-df674ed3857f&amp;coa=coa14&amp;DT=Opinion&amp;MediaID=e76a99e8-4da0-48c8-9433-ea85e5f312cd" TargetMode="External"/><Relationship Id="rId70" Type="http://schemas.openxmlformats.org/officeDocument/2006/relationships/hyperlink" Target="https://www.norriseditorial.com" TargetMode="External"/><Relationship Id="rId801" Type="http://schemas.openxmlformats.org/officeDocument/2006/relationships/hyperlink" Target="https://www.law.cornell.edu/definitions/uscode.php?width=840&amp;height=800&amp;iframe=true&amp;def_id=8-USC-2032517217-1201680101&amp;term_occur=999&amp;term_src=" TargetMode="External"/><Relationship Id="rId1017" Type="http://schemas.openxmlformats.org/officeDocument/2006/relationships/hyperlink" Target="https://law.justia.com/cases/texas/fourteenth-court-of-appeals/2022/14-20-00566-cv.html" TargetMode="External"/><Relationship Id="rId1224" Type="http://schemas.openxmlformats.org/officeDocument/2006/relationships/hyperlink" Target="https://njcourts.gov/attorneys/assets/opinions/appellate/unpublished/a4070-18.pdf" TargetMode="External"/><Relationship Id="rId1431" Type="http://schemas.openxmlformats.org/officeDocument/2006/relationships/hyperlink" Target="https://www.justice.gov/usao-sdny/pr/united-states-sues-townvillage-harrison-new-york-and-its-fire-department-discrimination" TargetMode="External"/><Relationship Id="rId1669" Type="http://schemas.openxmlformats.org/officeDocument/2006/relationships/hyperlink" Target="https://scholar.google.com/scholar_case?case=9814524894618299702&amp;q=+Eric+Peeples,+et+al.+v.+City+of+Detroit,+et+al,+Civil+Action+No.+13-13858&amp;hl=en&amp;as_sdt=6,36" TargetMode="External"/><Relationship Id="rId1876" Type="http://schemas.openxmlformats.org/officeDocument/2006/relationships/hyperlink" Target="https://public.fastcase.com/J%2FJP6pdidelsXxEE4k%2BLMr0y9kFOAzIUnYfOqh5rzor5PqJTkzf5B1o34%2FZmTTqCNP3Iy4k13qLiNXQ3dhjTd98I5NdjhvTfnAcaeUtmaKs%3D" TargetMode="External"/><Relationship Id="rId2927" Type="http://schemas.openxmlformats.org/officeDocument/2006/relationships/hyperlink" Target="https://codes.ohio.gov/ohio-revised-code/section-124.48" TargetMode="External"/><Relationship Id="rId1529" Type="http://schemas.openxmlformats.org/officeDocument/2006/relationships/hyperlink" Target="https://cases.justia.com/federal/appellate-courts/ca7/24-3262/24-3262-2026-06-08.pdf?ts=1780948846" TargetMode="External"/><Relationship Id="rId1736" Type="http://schemas.openxmlformats.org/officeDocument/2006/relationships/hyperlink" Target="https://public.fastcase.com/J%2FJP6pdidelsXxEE4k%2BLMiteJGWvZUfwvvNNihi30%2B3WDxUCsaXKSaCpKvBtAgs2vLiA9OVuPhL49GE7aECM8IIU6kbJlailTpTCbBqx2w4%3D?utm_medium=email&amp;_hsmi=226712652&amp;_hsenc=p2ANqtz---SEadQ3HE9lUqxxQW5cr7Vybxx0tHPHEXMPHfSJcPHzXu-t4fnJYchJuK4CNgA9WWUPQ6Jxn6Xff3x8kPfGcAZk9K8A&amp;utm_content=226712652&amp;utm_source=hs_email" TargetMode="External"/><Relationship Id="rId1943" Type="http://schemas.openxmlformats.org/officeDocument/2006/relationships/hyperlink" Target="https://www.dol.gov/whd/opinion/FLSA/2005/2005_10_14_40_FLSA.pdf" TargetMode="External"/><Relationship Id="rId28" Type="http://schemas.openxmlformats.org/officeDocument/2006/relationships/hyperlink" Target="https://www.justice.gov/usao-sdil/pr/leader-insurance-fraud-and-arson-scheme-sentenced-15-years" TargetMode="External"/><Relationship Id="rId1803" Type="http://schemas.openxmlformats.org/officeDocument/2006/relationships/hyperlink" Target="https://www.dol.gov/agencies/whd/fact-sheets/56c-bonuses" TargetMode="External"/><Relationship Id="rId3049" Type="http://schemas.openxmlformats.org/officeDocument/2006/relationships/hyperlink" Target="https://services.courts.state.wy.us/Documents/Opinions/2018WY75.pdf" TargetMode="External"/><Relationship Id="rId177" Type="http://schemas.openxmlformats.org/officeDocument/2006/relationships/hyperlink" Target="https://casetext.com/case/people-v-hailey-43" TargetMode="External"/><Relationship Id="rId384" Type="http://schemas.openxmlformats.org/officeDocument/2006/relationships/hyperlink" Target="http://www.pacourts.us/assets/opinions/Commonwealth/out/380md17_6-12-18.pdf" TargetMode="External"/><Relationship Id="rId591" Type="http://schemas.openxmlformats.org/officeDocument/2006/relationships/hyperlink" Target="http://publicdocs.courts.mi.gov/OPINIONS/FINAL/COA/20200416_C346057_26_346057OPNORDER.PDF" TargetMode="External"/><Relationship Id="rId2065" Type="http://schemas.openxmlformats.org/officeDocument/2006/relationships/hyperlink" Target="https://www.njcourts.gov/system/files/court-opinions/2026/a_73_24.pdf" TargetMode="External"/><Relationship Id="rId2272" Type="http://schemas.openxmlformats.org/officeDocument/2006/relationships/hyperlink" Target="https://www.law.cornell.edu/uscode/text/42/1395dd" TargetMode="External"/><Relationship Id="rId244" Type="http://schemas.openxmlformats.org/officeDocument/2006/relationships/hyperlink" Target="https://www.supremecourt.gov/opinions/21pdf/21a240_d18e.pdf" TargetMode="External"/><Relationship Id="rId689" Type="http://schemas.openxmlformats.org/officeDocument/2006/relationships/hyperlink" Target="https://www.supremecourt.gov/opinions/24pdf/24a884_8n59.pdf" TargetMode="External"/><Relationship Id="rId896" Type="http://schemas.openxmlformats.org/officeDocument/2006/relationships/hyperlink" Target="https://cases.justia.com/kentucky/court-of-appeals/2024-2023-ca-1204-mr.pdf?ts=1722002681" TargetMode="External"/><Relationship Id="rId1081" Type="http://schemas.openxmlformats.org/officeDocument/2006/relationships/hyperlink" Target="https://ecf.rid.uscourts.gov/cgi-bin/show_public_doc?2025cv0270-20" TargetMode="External"/><Relationship Id="rId2577" Type="http://schemas.openxmlformats.org/officeDocument/2006/relationships/hyperlink" Target="https://public.fastcase.com/Wl%2B2t%2BeVuI35%2FN70vAMFZkkc03nKI8qkpSJ%2FzmzLggswfoR1RvbDETmM60pPGUhc" TargetMode="External"/><Relationship Id="rId2784" Type="http://schemas.openxmlformats.org/officeDocument/2006/relationships/hyperlink" Target="https://public.fastcase.com/9SKwsfNqTc6OieYDhNMyMwLbquMieQJJAkWYEouDi7ix05WUlxmQyjrVFv7KR6XMi0MhNDFBQq54%2Fpuo4ib1qnZU%2F1hDs4fMcaW2pIa9a%2BY%3D" TargetMode="External"/><Relationship Id="rId451" Type="http://schemas.openxmlformats.org/officeDocument/2006/relationships/hyperlink" Target="https://www.supremecourt.gov/opinions/24pdf/23-1239_onjq.pdf" TargetMode="External"/><Relationship Id="rId549" Type="http://schemas.openxmlformats.org/officeDocument/2006/relationships/hyperlink" Target="https://www.fireengineering.com/firefighting/el-paso-tx-firefighter-injured-while-rendering-care/" TargetMode="External"/><Relationship Id="rId756" Type="http://schemas.openxmlformats.org/officeDocument/2006/relationships/hyperlink" Target="https://www.cadc.uscourts.gov/internet/opinions.nsf/55807FB471B60BB08525888E0051AEA6/$file/21-1087-1956978.pdf" TargetMode="External"/><Relationship Id="rId1179" Type="http://schemas.openxmlformats.org/officeDocument/2006/relationships/hyperlink" Target="https://ilcourtsaudio.blob.core.windows.net/antilles-resources/resources/afeb172a-b7f7-45e5-889d-a00b38f164df/City%20of%20East%20Peoria%20v.%20Melton,%202022%20IL%20App%20(4th)%20220281-U.pdf" TargetMode="External"/><Relationship Id="rId1386" Type="http://schemas.openxmlformats.org/officeDocument/2006/relationships/hyperlink" Target="https://cases.justia.com/california/court-of-appeal/2025-b327196.pdf?ts=1748039442" TargetMode="External"/><Relationship Id="rId1593" Type="http://schemas.openxmlformats.org/officeDocument/2006/relationships/hyperlink" Target="https://www.cincinnati.com/story/news/2018/12/21/fire-captain-alleges-sexual-harassment-after-any-given-sunday-shown-station/2393196002/" TargetMode="External"/><Relationship Id="rId2132" Type="http://schemas.openxmlformats.org/officeDocument/2006/relationships/hyperlink" Target="https://cases.justia.com/west-virginia/intermediate-court-of-appeals/2025-24-ica-364.pdf?ts=1749239242" TargetMode="External"/><Relationship Id="rId2437" Type="http://schemas.openxmlformats.org/officeDocument/2006/relationships/hyperlink" Target="https://scholar.google.com/scholar_case?case=2959279778538737103&amp;hl=en&amp;as_sdt=6,36" TargetMode="External"/><Relationship Id="rId2991" Type="http://schemas.openxmlformats.org/officeDocument/2006/relationships/hyperlink" Target="https://www.rwjf.org/en/insights/our-research/2023/04/no-surprises-act--perspectives-on-status-of-consumer-protections-against-balance-billing.html" TargetMode="External"/><Relationship Id="rId104" Type="http://schemas.openxmlformats.org/officeDocument/2006/relationships/hyperlink" Target="https://www.garmin.com/en-US/c/outdoor-recreation/handheld-hiking-gps/?gad_source=1&amp;gclid=Cj0KCQiA_Yq-BhC9ARIsAA6fbAg8Hzg7tt3LxTDrvBKQ6Iq20PiW7TlBW7J0osrwHwlbOwcCFzY0rTcaAu65EALw_wcB" TargetMode="External"/><Relationship Id="rId311" Type="http://schemas.openxmlformats.org/officeDocument/2006/relationships/hyperlink" Target="http://codes.ohio.gov/oac/123:1-46-02" TargetMode="External"/><Relationship Id="rId409" Type="http://schemas.openxmlformats.org/officeDocument/2006/relationships/hyperlink" Target="https://stocktonia.org/news/public-safety/2024/08/22/man-given-15-years-to-life-for-fatally-shooting-fire-captain-in-2022/" TargetMode="External"/><Relationship Id="rId963" Type="http://schemas.openxmlformats.org/officeDocument/2006/relationships/hyperlink" Target="https://www.ems1.com/ems-products/ambulance-safety/articles/6-lifesaving-seat-belt-tips-for-emts-and-paramedics-Xz0h9ek4lqN37Hmc/" TargetMode="External"/><Relationship Id="rId1039" Type="http://schemas.openxmlformats.org/officeDocument/2006/relationships/hyperlink" Target="http://www.la-fcca.org/opiniongrid/opinionpdf/2018%20CA%200905%20Decision%20Appeal.pdf" TargetMode="External"/><Relationship Id="rId1246" Type="http://schemas.openxmlformats.org/officeDocument/2006/relationships/hyperlink" Target="https://www.supremecourt.ohio.gov/rod/docs/pdf/0/2020/2020-Ohio-1047.pdf" TargetMode="External"/><Relationship Id="rId1898" Type="http://schemas.openxmlformats.org/officeDocument/2006/relationships/hyperlink" Target="https://www.lcwlegal.com/news/cash-in-lieu-must-be-included-in-the-regular-rate-for-overtime-purposes-under-the-flsa-4" TargetMode="External"/><Relationship Id="rId2644" Type="http://schemas.openxmlformats.org/officeDocument/2006/relationships/hyperlink" Target="https://cases.justia.com/federal/appellate-courts/ca7/24-1297/24-1297-2025-12-22.pdf?ts=1766437242" TargetMode="External"/><Relationship Id="rId2851" Type="http://schemas.openxmlformats.org/officeDocument/2006/relationships/hyperlink" Target="https://www.oregonlaws.org/ors/243.782" TargetMode="External"/><Relationship Id="rId2949" Type="http://schemas.openxmlformats.org/officeDocument/2006/relationships/hyperlink" Target="https://public.fastcase.com/J%2FJP6pdidelsXxEE4k%2BLMpuDgtfUlpNK4l%2BfqZzcsS95ieNoHEqDlI1ajn81HayMXO5%2FuX2%2ByvyKSn9EyfaN7KpFENL2lTAAz2wo8HtdPeY%3D?utm_medium=email&amp;_hsmi=226712652&amp;_hsenc=p2ANqtz-9t2-miGpzcz6HjEKBpKrn-zhw54ySyRz_VGgy44f1dByScW7c1n8avO_4RXLWc5afGZGbJubbxw9DhHyQbca8WHl796A&amp;utm_content=226712652&amp;utm_source=hs_email" TargetMode="External"/><Relationship Id="rId92" Type="http://schemas.openxmlformats.org/officeDocument/2006/relationships/hyperlink" Target="https://www.cdcr.ca.gov/capital-punishment/" TargetMode="External"/><Relationship Id="rId616" Type="http://schemas.openxmlformats.org/officeDocument/2006/relationships/hyperlink" Target="https://cases.justia.com/missouri/court-of-appeals/2019-wd81939.pdf?ts=1559661108" TargetMode="External"/><Relationship Id="rId823" Type="http://schemas.openxmlformats.org/officeDocument/2006/relationships/hyperlink" Target="https://www.congress.gov/115/plaws/publ232/PLAW-115publ232.pdf" TargetMode="External"/><Relationship Id="rId1453" Type="http://schemas.openxmlformats.org/officeDocument/2006/relationships/hyperlink" Target="https://www.mass.gov/doc/blanchette-tracy-v-city-of-methuen-111821/download" TargetMode="External"/><Relationship Id="rId1660" Type="http://schemas.openxmlformats.org/officeDocument/2006/relationships/hyperlink" Target="https://cases.justia.com/federal/district-courts/alabama/alsdce/2:2018cv00293/62967/26/0.pdf?ts=1571995051" TargetMode="External"/><Relationship Id="rId1758" Type="http://schemas.openxmlformats.org/officeDocument/2006/relationships/hyperlink" Target="https://cases.justia.com/new-york/other-courts/2020-2020-ny-slip-op-31890-u.pdf?ts=1592946781" TargetMode="External"/><Relationship Id="rId2504" Type="http://schemas.openxmlformats.org/officeDocument/2006/relationships/hyperlink" Target="https://cases.justia.com/texas/fifteenth-court-of-appeals/2026-15-25-00102-cv.pdf?ts=1771951104" TargetMode="External"/><Relationship Id="rId2711" Type="http://schemas.openxmlformats.org/officeDocument/2006/relationships/hyperlink" Target="https://casetext.com/case/zahn-v-kenner-mun-fire-police-civil-serv-bd" TargetMode="External"/><Relationship Id="rId2809" Type="http://schemas.openxmlformats.org/officeDocument/2006/relationships/hyperlink" Target="https://www.lasc.org/Opinions/2020/20-0491.CC.OPN.pdf" TargetMode="External"/><Relationship Id="rId1106" Type="http://schemas.openxmlformats.org/officeDocument/2006/relationships/hyperlink" Target="https://cases.justia.com/arizona/supreme-court/2025-cv-23-0211-pr.pdf?ts=1743008459" TargetMode="External"/><Relationship Id="rId1313" Type="http://schemas.openxmlformats.org/officeDocument/2006/relationships/hyperlink" Target="https://www.fabf.org/PDF/SummaryOfBenefits.pdf" TargetMode="External"/><Relationship Id="rId1520" Type="http://schemas.openxmlformats.org/officeDocument/2006/relationships/hyperlink" Target="https://caselaw.findlaw.com/court/us-8th-circuit/378962.html" TargetMode="External"/><Relationship Id="rId1965" Type="http://schemas.openxmlformats.org/officeDocument/2006/relationships/hyperlink" Target="https://www.federalregister.gov/documents/2025/12/23/2025-23846/increasing-medical-marijuana-and-cannabidiol-research" TargetMode="External"/><Relationship Id="rId1618" Type="http://schemas.openxmlformats.org/officeDocument/2006/relationships/hyperlink" Target="https://law.justia.com/cases/texas/fourteenth-court-of-appeals/2022/14-20-00688-cv.html" TargetMode="External"/><Relationship Id="rId1825" Type="http://schemas.openxmlformats.org/officeDocument/2006/relationships/hyperlink" Target="https://www.dol.gov/sites/dolgov/files/WHD/legacy/files/2008_05_23_08NA_FLSA.pdf" TargetMode="External"/><Relationship Id="rId3040" Type="http://schemas.openxmlformats.org/officeDocument/2006/relationships/hyperlink" Target="https://pascrell.house.gov/news/documentsingle.aspx?DocumentID=4933" TargetMode="External"/><Relationship Id="rId199" Type="http://schemas.openxmlformats.org/officeDocument/2006/relationships/hyperlink" Target="https://www.justice.gov/opa/pr/false-claims-act-settlements-and-judgments-exceed-2-billion-fiscal-year-2022" TargetMode="External"/><Relationship Id="rId2087" Type="http://schemas.openxmlformats.org/officeDocument/2006/relationships/hyperlink" Target="https://public.fastcase.com/Jhe1Qn%2BmJndQYQU6z%2FeNm94x%2BjtPzHFQX2c8S%2Bx9Phdmrv4s2ioOEI%2FF1Ai%2FXC71?utm_medium=email&amp;_hsenc=p2ANqtz-9AeMkmBBV7ab-HOOGxYui1F4KaPFQMcLoSV_UpG8Q7nnWqxWkhxKerqRyhPDwCCdLiDrxj3K5C-zreoAE1nVCtmbRsSQ&amp;_hsmi=226712652&amp;utm_content=226712652&amp;utm_source=hs_email" TargetMode="External"/><Relationship Id="rId2294" Type="http://schemas.openxmlformats.org/officeDocument/2006/relationships/hyperlink" Target="https://codes.ohio.gov/ohio-revised-code/section-4765.49" TargetMode="External"/><Relationship Id="rId266" Type="http://schemas.openxmlformats.org/officeDocument/2006/relationships/hyperlink" Target="https://www.supremecourt.gov/DocketPDF/20/20A169/181359/20210610165940894_20A169%20Amicus%20Mot.pdf" TargetMode="External"/><Relationship Id="rId473" Type="http://schemas.openxmlformats.org/officeDocument/2006/relationships/hyperlink" Target="https://codes.findlaw.com/fl/title-x-public-officers-employees-and-records/fl-st-sect-112-182/" TargetMode="External"/><Relationship Id="rId680" Type="http://schemas.openxmlformats.org/officeDocument/2006/relationships/hyperlink" Target="https://cdn.ca9.uscourts.gov/datastore/opinions/2025/10/30/25-6268.pdf" TargetMode="External"/><Relationship Id="rId2154" Type="http://schemas.openxmlformats.org/officeDocument/2006/relationships/hyperlink" Target="https://cafc.uscourts.gov/opinions-orders/24-1104.OPINION.12-9-2024_2432337.pdf" TargetMode="External"/><Relationship Id="rId2361" Type="http://schemas.openxmlformats.org/officeDocument/2006/relationships/hyperlink" Target="https://www.emsworld.com/news/1223006/wash-fire-dept-faces-fourth-lawsuit-intubating-dead-patient" TargetMode="External"/><Relationship Id="rId2599" Type="http://schemas.openxmlformats.org/officeDocument/2006/relationships/hyperlink" Target="https://cases.justia.com/tennessee/court-of-criminal-appeals/2026-e2025-00835-cca-r3-cd.pdf?ts=1787176489" TargetMode="External"/><Relationship Id="rId126" Type="http://schemas.openxmlformats.org/officeDocument/2006/relationships/hyperlink" Target="https://cases.justia.com/minnesota/court-of-appeals/2024-a23-1836.pdf?ts=1726855674" TargetMode="External"/><Relationship Id="rId333" Type="http://schemas.openxmlformats.org/officeDocument/2006/relationships/hyperlink" Target="https://www.law.cornell.edu/supct/html/92-102.ZO.html" TargetMode="External"/><Relationship Id="rId540" Type="http://schemas.openxmlformats.org/officeDocument/2006/relationships/hyperlink" Target="https://www.jacksonville.com/story/news/crime/2016/01/16/city-black-firefighters-group-disagree-over-ban-beards/15696316007/" TargetMode="External"/><Relationship Id="rId778" Type="http://schemas.openxmlformats.org/officeDocument/2006/relationships/hyperlink" Target="https://www.law.cornell.edu/definitions/uscode.php?width=840&amp;height=800&amp;iframe=true&amp;def_id=18-USC-64633832-909420282&amp;term_occur=999&amp;term_src=title:18:part:I:chapter:13:section:249" TargetMode="External"/><Relationship Id="rId985" Type="http://schemas.openxmlformats.org/officeDocument/2006/relationships/hyperlink" Target="https://abc7.com/orange-crash-fire-truck-motorcycle-and/5333918/" TargetMode="External"/><Relationship Id="rId1170" Type="http://schemas.openxmlformats.org/officeDocument/2006/relationships/hyperlink" Target="https://www.fifthcircuit.org/dmzdocs/OI/PO/2023/E7D4F8B7-C22B-4814-BFD0-4E0FF0BBD0BE.pdf" TargetMode="External"/><Relationship Id="rId2014" Type="http://schemas.openxmlformats.org/officeDocument/2006/relationships/hyperlink" Target="https://casetext.com/case/dufrene-v-northshore-ems-llc" TargetMode="External"/><Relationship Id="rId2221" Type="http://schemas.openxmlformats.org/officeDocument/2006/relationships/hyperlink" Target="https://casetext.com/case/kenn-v-eascare-llc-1" TargetMode="External"/><Relationship Id="rId2459" Type="http://schemas.openxmlformats.org/officeDocument/2006/relationships/hyperlink" Target="http://www.pacourts.us/assets/opinions/Supreme/out/Majority%20Opinion%20%20VacatedRemanded%20%2010378165044604409.pdf?cb=1" TargetMode="External"/><Relationship Id="rId2666" Type="http://schemas.openxmlformats.org/officeDocument/2006/relationships/hyperlink" Target="https://indianacapitalchronicle.com/2024/10/14/former-indiana-sheriff-jamey-noel-sentenced-to-15-years-in-prison-as-part-of-plea-deal/" TargetMode="External"/><Relationship Id="rId2873" Type="http://schemas.openxmlformats.org/officeDocument/2006/relationships/hyperlink" Target="http://media.ca11.uscourts.gov/opinions/unpub/files/201715398.pdf" TargetMode="External"/><Relationship Id="rId638" Type="http://schemas.openxmlformats.org/officeDocument/2006/relationships/hyperlink" Target="https://d.docs.live.net/bd9b2eaf6053242e/AppData/Roaming/Microsoft/AppData/Local/Microsoft/Windows/INetCache/IE/CTCRXJ99/17-467_bqm1.pdf" TargetMode="External"/><Relationship Id="rId845" Type="http://schemas.openxmlformats.org/officeDocument/2006/relationships/hyperlink" Target="https://www.leagle.com/decision/infdco20190919804" TargetMode="External"/><Relationship Id="rId1030" Type="http://schemas.openxmlformats.org/officeDocument/2006/relationships/hyperlink" Target="https://public.fastcase.com/Wl%2B2t%2BeVuI35%2FN70vAMFZpcMKjA7NXtV8NizS7yUss6ITpHR1n8JduscQQ47RvF2" TargetMode="External"/><Relationship Id="rId1268" Type="http://schemas.openxmlformats.org/officeDocument/2006/relationships/hyperlink" Target="https://www.courtlistener.com/opinion/4836452/terri-smith-v-kanawha-county-emergency-ambulance-authority/" TargetMode="External"/><Relationship Id="rId1475" Type="http://schemas.openxmlformats.org/officeDocument/2006/relationships/hyperlink" Target="https://www.uticaod.com/news/20190925/ex-utica-firefighter-found-guilty-on-all-charges" TargetMode="External"/><Relationship Id="rId1682" Type="http://schemas.openxmlformats.org/officeDocument/2006/relationships/hyperlink" Target="https://ecf.flmd.uscourts.gov/cgi-bin/show_public_doc?2025-02787-49-8-cv" TargetMode="External"/><Relationship Id="rId2319" Type="http://schemas.openxmlformats.org/officeDocument/2006/relationships/hyperlink" Target="https://casetext.com/case/imhof-v-del-bd-of-med-licensure-discipline" TargetMode="External"/><Relationship Id="rId2526" Type="http://schemas.openxmlformats.org/officeDocument/2006/relationships/hyperlink" Target="https://www.firstresponderptsdclaims.com/faq/" TargetMode="External"/><Relationship Id="rId2733" Type="http://schemas.openxmlformats.org/officeDocument/2006/relationships/hyperlink" Target="https://www.justice.gov/opa/pr/former-deputy-us-marshal-sentenced-cyberstalking-perjury-and-obstruction" TargetMode="External"/><Relationship Id="rId400" Type="http://schemas.openxmlformats.org/officeDocument/2006/relationships/hyperlink" Target="https://cases.justia.com/federal/district-courts/virginia/vawdce/5:2025cv00063/135495/23/0.pdf?ts=1785772612" TargetMode="External"/><Relationship Id="rId705" Type="http://schemas.openxmlformats.org/officeDocument/2006/relationships/hyperlink" Target="https://casetext.com/case/people-v-pacheco-286" TargetMode="External"/><Relationship Id="rId1128" Type="http://schemas.openxmlformats.org/officeDocument/2006/relationships/hyperlink" Target="https://cases.justia.com/federal/district-courts/louisiana/laedce/2:2023cv00439/259406/50/0.pdf?ts=1721728516" TargetMode="External"/><Relationship Id="rId1335" Type="http://schemas.openxmlformats.org/officeDocument/2006/relationships/hyperlink" Target="https://www.courtlistener.com/pdf/2019/02/08/schneider_v._city_of_lawrence.pdf" TargetMode="External"/><Relationship Id="rId1542" Type="http://schemas.openxmlformats.org/officeDocument/2006/relationships/hyperlink" Target="https://www.casemine.com/judgement/us/6736ce6c5891a561b0d805aa" TargetMode="External"/><Relationship Id="rId1987" Type="http://schemas.openxmlformats.org/officeDocument/2006/relationships/hyperlink" Target="https://caselaw.findlaw.com/court/in-court-of-appeals/116468399.html" TargetMode="External"/><Relationship Id="rId2940" Type="http://schemas.openxmlformats.org/officeDocument/2006/relationships/hyperlink" Target="http://www.lanermuchin.com/assets/htmldocuments/Board%20Decision-%20Baylor.pdf" TargetMode="External"/><Relationship Id="rId912" Type="http://schemas.openxmlformats.org/officeDocument/2006/relationships/hyperlink" Target="http://www.courtswv.gov/supreme-court/memo-decisions/spring2023/21-0921%20md.pdf" TargetMode="External"/><Relationship Id="rId1847" Type="http://schemas.openxmlformats.org/officeDocument/2006/relationships/hyperlink" Target="https://www.dol.gov/whd/state/state.htm" TargetMode="External"/><Relationship Id="rId2800" Type="http://schemas.openxmlformats.org/officeDocument/2006/relationships/hyperlink" Target="https://public.fastcase.com/Wl%2B2t%2BeVuI35%2FN70vAMFZry7Wdfw%2FJOcYD0w2Kcl2Q1FxaIYO1NAtHxZOlhNOguL" TargetMode="External"/><Relationship Id="rId41" Type="http://schemas.openxmlformats.org/officeDocument/2006/relationships/hyperlink" Target="https://www.casemine.com/judgement/us/6a2b9a31eaa021ae7251d64e" TargetMode="External"/><Relationship Id="rId1402" Type="http://schemas.openxmlformats.org/officeDocument/2006/relationships/hyperlink" Target="https://www.opn.ca6.uscourts.gov/opinions.pdf/23a0264p-06.pdf" TargetMode="External"/><Relationship Id="rId1707" Type="http://schemas.openxmlformats.org/officeDocument/2006/relationships/hyperlink" Target="https://www.scotusblog.com/case-files/cases/stanley-v-city-of-sanford-florida/" TargetMode="External"/><Relationship Id="rId190" Type="http://schemas.openxmlformats.org/officeDocument/2006/relationships/hyperlink" Target="https://www.justice.gov/usao-wdnc/pr/asheville-jury-convicts-franklin-nc-man-starting-fire-burned-more-70-acres-federal-land" TargetMode="External"/><Relationship Id="rId288" Type="http://schemas.openxmlformats.org/officeDocument/2006/relationships/hyperlink" Target="https://ethics.ohio.gov/education/elearning/ecourses.html" TargetMode="External"/><Relationship Id="rId1914" Type="http://schemas.openxmlformats.org/officeDocument/2006/relationships/hyperlink" Target="https://www.federalregister.gov/documents/2019/12/16/2019-26447/regular-rate-under-the-fair-labor-standards-act" TargetMode="External"/><Relationship Id="rId495" Type="http://schemas.openxmlformats.org/officeDocument/2006/relationships/hyperlink" Target="https://www.revisor.mn.gov/statutes/cite/604.06" TargetMode="External"/><Relationship Id="rId2176" Type="http://schemas.openxmlformats.org/officeDocument/2006/relationships/hyperlink" Target="https://www.orangeobserver.com/news/2024/jun/15/breaking-former-orange-county-fire-rescue-battalion-chief-announces-candidacy-for-county-commission-district-1/" TargetMode="External"/><Relationship Id="rId2383" Type="http://schemas.openxmlformats.org/officeDocument/2006/relationships/hyperlink" Target="https://waysandmeans.house.gov/sites/democrats.waysandmeans.house.gov/files/documents/Ways%20and%20Means%20Surprise%20Billing%20Summary_02%2006%2020%20(final).pdf" TargetMode="External"/><Relationship Id="rId2590" Type="http://schemas.openxmlformats.org/officeDocument/2006/relationships/hyperlink" Target="https://nola.gov/getattachment/cefa600c-f2f5-4d0d-99f9-fd0d14adc8f0/Briggs,-William-9751/" TargetMode="External"/><Relationship Id="rId148" Type="http://schemas.openxmlformats.org/officeDocument/2006/relationships/hyperlink" Target="https://law.justia.com/cases/new-york/other-courts/2024/2024-ny-slip-op-51092-u.html" TargetMode="External"/><Relationship Id="rId355" Type="http://schemas.openxmlformats.org/officeDocument/2006/relationships/hyperlink" Target="https://fisheldowney.com/union-dues-deductions-tips-public-employers/" TargetMode="External"/><Relationship Id="rId562" Type="http://schemas.openxmlformats.org/officeDocument/2006/relationships/hyperlink" Target="https://casetext.com/case/oneal-v-city-of-hutchinson" TargetMode="External"/><Relationship Id="rId1192" Type="http://schemas.openxmlformats.org/officeDocument/2006/relationships/hyperlink" Target="https://info.bwc.ohio.gov/for-employers/workers-compensation-claims/recreational-waiver" TargetMode="External"/><Relationship Id="rId2036" Type="http://schemas.openxmlformats.org/officeDocument/2006/relationships/hyperlink" Target="https://scholar.google.com/scholar_case?case=1228128574784444684&amp;q=Pennsylvania+%22overdose+response%22&amp;hl=en&amp;scisbd=2&amp;as_sdt=6,36&amp;as_ylo=2020" TargetMode="External"/><Relationship Id="rId2243" Type="http://schemas.openxmlformats.org/officeDocument/2006/relationships/hyperlink" Target="https://www.foxnews.com/us/court-rules-first-responders-wrongfully-declared-michigan-woman-dead-cannot-be-sued" TargetMode="External"/><Relationship Id="rId2450" Type="http://schemas.openxmlformats.org/officeDocument/2006/relationships/hyperlink" Target="https://www.emsworld.com/article/12091816/language-translation-in-emergencies" TargetMode="External"/><Relationship Id="rId2688" Type="http://schemas.openxmlformats.org/officeDocument/2006/relationships/hyperlink" Target="https://law.justia.com/cases/new-york/appellate-division-third-department/2024/cv-23-1185.html" TargetMode="External"/><Relationship Id="rId2895" Type="http://schemas.openxmlformats.org/officeDocument/2006/relationships/hyperlink" Target="https://cases.justia.com/federal/district-courts/illinois/ilndce/1:2024cv01517/455667/32/0.pdf?ts=1773244215" TargetMode="External"/><Relationship Id="rId215" Type="http://schemas.openxmlformats.org/officeDocument/2006/relationships/hyperlink" Target="https://www.npr.org/2022/06/13/1104570419/ohio-dewine-guns-teachers" TargetMode="External"/><Relationship Id="rId422" Type="http://schemas.openxmlformats.org/officeDocument/2006/relationships/hyperlink" Target="https://cases.justia.com/federal/district-courts/maryland/mddce/1:2025cv00796/578117/19/0.pdf?ts=1771692701" TargetMode="External"/><Relationship Id="rId867" Type="http://schemas.openxmlformats.org/officeDocument/2006/relationships/hyperlink" Target="https://d.docs.live.net/bd9b2eaf6053242e/AppData/Roaming/Microsoft/AppData/Local/Microsoft/Windows/INetCache/IE/XO250S7T/16-534_6jfm.pdf" TargetMode="External"/><Relationship Id="rId1052" Type="http://schemas.openxmlformats.org/officeDocument/2006/relationships/hyperlink" Target="https://flcourts-media.flcourts.gov/content/download/2495602/opinion/Opinion_2025-3075.pdf" TargetMode="External"/><Relationship Id="rId1497" Type="http://schemas.openxmlformats.org/officeDocument/2006/relationships/hyperlink" Target="https://cases.justia.com/federal/district-courts/pennsylvania/paedce/2:2017cv05388/537208/50/0.pdf?ts=1562761562" TargetMode="External"/><Relationship Id="rId2103" Type="http://schemas.openxmlformats.org/officeDocument/2006/relationships/hyperlink" Target="https://law.justia.com/cases/new-york/appellate-division-fourth-department/2025/816-1-ca-24-01193.html" TargetMode="External"/><Relationship Id="rId2310" Type="http://schemas.openxmlformats.org/officeDocument/2006/relationships/hyperlink" Target="https://www.leagle.com/decision/infdco20220324d64" TargetMode="External"/><Relationship Id="rId2548" Type="http://schemas.openxmlformats.org/officeDocument/2006/relationships/hyperlink" Target="https://public.fastcase.com/J%2FJP6pdidelsXxEE4k%2BLMrxVcam7rKBSdRgmN0M2d%2BrW9J8HXjyMcs%2BCJsDK%2Fusk%2B2E9D%2F1BAqASOG07gYFsTW16dm6lb%2FBgwI52A7gDyzw%3D?utm_medium=email&amp;_hsmi=226712652&amp;_hsenc=p2ANqtz-9PBrRsgZ6dWHR_pYoIAB1lqWQVVefDA3UXzg06QZf9i4O0NAY5ywCEjL-xcfOhIm7moLGvuFP1IQS4Gks-qJ07TvkP3Q&amp;utm_content=226712652&amp;utm_source=hs_email" TargetMode="External"/><Relationship Id="rId2755" Type="http://schemas.openxmlformats.org/officeDocument/2006/relationships/hyperlink" Target="https://casetext.com/case/olguin-v-city-of-hollister" TargetMode="External"/><Relationship Id="rId2962" Type="http://schemas.openxmlformats.org/officeDocument/2006/relationships/hyperlink" Target="https://www.supremecourt.ohio.gov/rod/docs/pdf/8/2022/2022-Ohio-824.pdf" TargetMode="External"/><Relationship Id="rId727" Type="http://schemas.openxmlformats.org/officeDocument/2006/relationships/hyperlink" Target="https://www.cdcr.ca.gov/facility-locator/conservation-camps/" TargetMode="External"/><Relationship Id="rId934" Type="http://schemas.openxmlformats.org/officeDocument/2006/relationships/hyperlink" Target="https://casetext.com/case/reyes-v-monroe-cnty" TargetMode="External"/><Relationship Id="rId1357" Type="http://schemas.openxmlformats.org/officeDocument/2006/relationships/hyperlink" Target="https://www.sfgate.com/news/article/Supreme-Court-rules-that-companies-can-require-12931130.php" TargetMode="External"/><Relationship Id="rId1564" Type="http://schemas.openxmlformats.org/officeDocument/2006/relationships/hyperlink" Target="https://apnews.com/hub/diversity-equity-and-inclusion" TargetMode="External"/><Relationship Id="rId1771" Type="http://schemas.openxmlformats.org/officeDocument/2006/relationships/hyperlink" Target="https://www.leagle.com/decision/infdco20190708957" TargetMode="External"/><Relationship Id="rId2408" Type="http://schemas.openxmlformats.org/officeDocument/2006/relationships/hyperlink" Target="https://www.courts.state.md.us/sites/default/files/unreported-opinions/0318s19.pdf" TargetMode="External"/><Relationship Id="rId2615" Type="http://schemas.openxmlformats.org/officeDocument/2006/relationships/hyperlink" Target="https://caselaw.findlaw.com/court/la-court-of-appeal/118312488.html" TargetMode="External"/><Relationship Id="rId2822" Type="http://schemas.openxmlformats.org/officeDocument/2006/relationships/hyperlink" Target="https://www.courts.ca.gov/opinions/nonpub/H046246.PDF" TargetMode="External"/><Relationship Id="rId63" Type="http://schemas.openxmlformats.org/officeDocument/2006/relationships/hyperlink" Target="https://cases.justia.com/pennsylvania/supreme-court/2025-15-wap-2024.pdf?ts=1763559881" TargetMode="External"/><Relationship Id="rId1217" Type="http://schemas.openxmlformats.org/officeDocument/2006/relationships/hyperlink" Target="https://www.iaff.org/presumptive-health/" TargetMode="External"/><Relationship Id="rId1424" Type="http://schemas.openxmlformats.org/officeDocument/2006/relationships/hyperlink" Target="https://public.fastcase.com/" TargetMode="External"/><Relationship Id="rId1631" Type="http://schemas.openxmlformats.org/officeDocument/2006/relationships/hyperlink" Target="https://www.cleveland19.com/2021/07/27/court-rules-favor-five-cleveland-ems-captains-who-claimed-discrimination-against-their-boss/" TargetMode="External"/><Relationship Id="rId1869" Type="http://schemas.openxmlformats.org/officeDocument/2006/relationships/hyperlink" Target="https://law.justia.com/cases/federal/district-courts/california/casdce/3:2022cv00487/730899/28/" TargetMode="External"/><Relationship Id="rId1729" Type="http://schemas.openxmlformats.org/officeDocument/2006/relationships/hyperlink" Target="https://casetext.com/case/mccrea-v-dist-of-columbia-3" TargetMode="External"/><Relationship Id="rId1936" Type="http://schemas.openxmlformats.org/officeDocument/2006/relationships/hyperlink" Target="https://cases.justia.com/georgia/court-of-appeals/2019-a19a1310.pdf?ts=1568657244" TargetMode="External"/><Relationship Id="rId2198" Type="http://schemas.openxmlformats.org/officeDocument/2006/relationships/hyperlink" Target="https://www.postandcourier.com/news/charleston-county-ems-ketamine-lawsuit-settlement/article_682c754c-6d10-11ee-ac1b-ef7daf1ea208.html" TargetMode="External"/><Relationship Id="rId377" Type="http://schemas.openxmlformats.org/officeDocument/2006/relationships/hyperlink" Target="https://cases.justia.com/federal/appellate-courts/ca5/17-40754/17-40754-2018-08-31.pdf?ts=1535736678" TargetMode="External"/><Relationship Id="rId584" Type="http://schemas.openxmlformats.org/officeDocument/2006/relationships/hyperlink" Target="http://www.leg.state.fl.us/statutes/index.cfm?App_mode=Display_Statute&amp;Search_String=&amp;URL=0100-0199/0112/Sections/0112.182.html" TargetMode="External"/><Relationship Id="rId2058" Type="http://schemas.openxmlformats.org/officeDocument/2006/relationships/hyperlink" Target="https://cases.justia.com/federal/district-courts/washington/wawdce/2:2025cv00367/345154/49/0.pdf?ts=1784314094" TargetMode="External"/><Relationship Id="rId2265" Type="http://schemas.openxmlformats.org/officeDocument/2006/relationships/hyperlink" Target="https://law.justia.com/cases/west-virginia/supreme-court/2023/21-0841.html" TargetMode="External"/><Relationship Id="rId3011" Type="http://schemas.openxmlformats.org/officeDocument/2006/relationships/hyperlink" Target="https://www.law.cornell.edu/cfr/text/24/291.530" TargetMode="External"/><Relationship Id="rId5" Type="http://schemas.openxmlformats.org/officeDocument/2006/relationships/webSettings" Target="webSettings.xml"/><Relationship Id="rId237" Type="http://schemas.openxmlformats.org/officeDocument/2006/relationships/hyperlink" Target="https://www.law.cornell.edu/supct/html/06-5754.ZS.html" TargetMode="External"/><Relationship Id="rId791" Type="http://schemas.openxmlformats.org/officeDocument/2006/relationships/hyperlink" Target="https://www.law.cornell.edu/definitions/uscode.php?width=840&amp;height=800&amp;iframe=true&amp;def_id=8-USC-92903111-1485256781&amp;term_occur=999&amp;term_src=" TargetMode="External"/><Relationship Id="rId889" Type="http://schemas.openxmlformats.org/officeDocument/2006/relationships/hyperlink" Target="https://www.wfaa.com/article/news/local/collin-county/supreme-court-declines-case-swat-team-mckinney-hostage-standoff/287-73f00e4e-b131-4285-b541-236c48ef79d0" TargetMode="External"/><Relationship Id="rId1074" Type="http://schemas.openxmlformats.org/officeDocument/2006/relationships/hyperlink" Target="https://www.courtswv.gov/sites/default/pubfilesmnt/2025-12/25-ICA-222_MD.pdf" TargetMode="External"/><Relationship Id="rId2472" Type="http://schemas.openxmlformats.org/officeDocument/2006/relationships/hyperlink" Target="https://www.justice.gov/opa/pr/justice-department-recovers-over-37-billion-false-claims-act-cases-fiscal-year-2017" TargetMode="External"/><Relationship Id="rId2777" Type="http://schemas.openxmlformats.org/officeDocument/2006/relationships/hyperlink" Target="https://www.supremecourt.ohio.gov/rod/docs/pdf/0/2009/2009-ohio-2597.pdf" TargetMode="External"/><Relationship Id="rId444" Type="http://schemas.openxmlformats.org/officeDocument/2006/relationships/hyperlink" Target="https://www.nbcnewyork.com/news/local/father-son-sentenced-to-probation-in-deadly-spring-valley-fire-that-killed-2/4696054/" TargetMode="External"/><Relationship Id="rId651" Type="http://schemas.openxmlformats.org/officeDocument/2006/relationships/hyperlink" Target="https://www.sf.gov/news-federal-court-blocks-trump-administration-from-withholding-funds-to-sanctuary-jurisdictions" TargetMode="External"/><Relationship Id="rId749" Type="http://schemas.openxmlformats.org/officeDocument/2006/relationships/hyperlink" Target="https://www.nbc4i.com/news/local-news/columbus/columbus-gun-laws-dodge-block-on-enforcement-going-into-effect-soon/" TargetMode="External"/><Relationship Id="rId1281" Type="http://schemas.openxmlformats.org/officeDocument/2006/relationships/hyperlink" Target="https://www.workplacefairness.org/whistleblower-retaliation-claim-OH" TargetMode="External"/><Relationship Id="rId1379" Type="http://schemas.openxmlformats.org/officeDocument/2006/relationships/hyperlink" Target="https://public.fastcase.com/jaEE2PXzRXmZ99jOLMt1Ith2qIaSeggCoLDpY1bED9tguFhWPV6Zo6qPtk3o63Z4?utm_medium=email&amp;_hsenc=p2ANqtz-_k3-Q52FXjJQN9NeOgWdHNDXhdU7FtsE1Qhtjng3_RTOztkpkvOWiDZxLNU-kndNaS-F1RaBe3KZirW8vwSyzK6BF9eQ&amp;_hsmi=226712652&amp;utm_content=226712652&amp;utm_source=hs_email" TargetMode="External"/><Relationship Id="rId1586" Type="http://schemas.openxmlformats.org/officeDocument/2006/relationships/hyperlink" Target="https://www.usnews.com/news/us/articles/2024-01-14/as-legal-challenges-mount-some-companies-retool-diversity-and-inclusion-programs" TargetMode="External"/><Relationship Id="rId2125" Type="http://schemas.openxmlformats.org/officeDocument/2006/relationships/hyperlink" Target="https://law.justia.com/cases/new-york/other-courts/2025/2025-ny-slip-op-51480-u.html" TargetMode="External"/><Relationship Id="rId2332" Type="http://schemas.openxmlformats.org/officeDocument/2006/relationships/hyperlink" Target="https://codes.ohio.gov/ohio-revised-code/section-4511.19" TargetMode="External"/><Relationship Id="rId2984" Type="http://schemas.openxmlformats.org/officeDocument/2006/relationships/hyperlink" Target="https://casetext.com/case/new-prime-inc-v-oliveira-1?ref=Sb!ZpcU0M" TargetMode="External"/><Relationship Id="rId304" Type="http://schemas.openxmlformats.org/officeDocument/2006/relationships/hyperlink" Target="https://law.justia.com/cases/massachusetts/court-of-appeals/2020/19-p-903.html" TargetMode="External"/><Relationship Id="rId511" Type="http://schemas.openxmlformats.org/officeDocument/2006/relationships/hyperlink" Target="https://casetext.com/case/malone-v-jacobs" TargetMode="External"/><Relationship Id="rId609" Type="http://schemas.openxmlformats.org/officeDocument/2006/relationships/hyperlink" Target="https://shawkeller.com/wp-content/uploads/opinions-pdf/18-1252-CMMPT.pdf" TargetMode="External"/><Relationship Id="rId956" Type="http://schemas.openxmlformats.org/officeDocument/2006/relationships/hyperlink" Target="https://www.in.gov/judiciary/opinions/pdf/10241902eft.pdf" TargetMode="External"/><Relationship Id="rId1141" Type="http://schemas.openxmlformats.org/officeDocument/2006/relationships/hyperlink" Target="https://www.osc.ny.gov/retirement/publications/1512/accidental-disability" TargetMode="External"/><Relationship Id="rId1239" Type="http://schemas.openxmlformats.org/officeDocument/2006/relationships/hyperlink" Target="https://casetext.com/case/prospect-heights-fire-prot-dist-v-dept-of-empt-sec" TargetMode="External"/><Relationship Id="rId1793" Type="http://schemas.openxmlformats.org/officeDocument/2006/relationships/hyperlink" Target="https://law.justia.com/cases/federal/district-courts/FSupp/729/747/1492878/" TargetMode="External"/><Relationship Id="rId2637" Type="http://schemas.openxmlformats.org/officeDocument/2006/relationships/hyperlink" Target="https://www.wkyc.com/article/news/local/lorain-county/3news-investigates-avon-lake-terminates-fire-chief-investigation-into-workplace-conduct-leadership/95-a94cb6d7-c3ff-4355-be21-18103dc8f3f4" TargetMode="External"/><Relationship Id="rId2844" Type="http://schemas.openxmlformats.org/officeDocument/2006/relationships/hyperlink" Target="https://public.fastcase.com/Wl%2B2t%2BeVuI35%2FN70vAMFZsbNGaY2qJ5U2CI4LnVCoihkt6wfuyNvOKbs8su8KP1J" TargetMode="External"/><Relationship Id="rId85" Type="http://schemas.openxmlformats.org/officeDocument/2006/relationships/hyperlink" Target="https://cases.justia.com/florida/third-district-court-of-appeal/2025-3d23-1625.pdf?ts=1750259354" TargetMode="External"/><Relationship Id="rId816" Type="http://schemas.openxmlformats.org/officeDocument/2006/relationships/hyperlink" Target="https://www.supremecourt.gov/opinions/20pdf/19-438_j4el.pdf" TargetMode="External"/><Relationship Id="rId1001" Type="http://schemas.openxmlformats.org/officeDocument/2006/relationships/hyperlink" Target="https://search.txcourts.gov/SearchMedia.aspx?MediaVersionID=ce66bb80-60c8-4a68-9e10-0d461411b53e&amp;coa=coa14&amp;DT=Opinion&amp;MediaID=4a32394c-a506-4577-9679-e2747d0b06c4" TargetMode="External"/><Relationship Id="rId1446" Type="http://schemas.openxmlformats.org/officeDocument/2006/relationships/hyperlink" Target="https://www.congress.gov/bill/117th-congress/house-bill/4445/text" TargetMode="External"/><Relationship Id="rId1653" Type="http://schemas.openxmlformats.org/officeDocument/2006/relationships/hyperlink" Target="https://public.fastcase.com/Wl%2B2t%2BeVuI35%2FN70vAMFZu9WSCqieY3u1gfnWEwDVajGcV1Qbmc97gDjPt%2BB6d9C" TargetMode="External"/><Relationship Id="rId1860" Type="http://schemas.openxmlformats.org/officeDocument/2006/relationships/hyperlink" Target="https://www.dol.gov/agencies/whd/flsa/misclassification" TargetMode="External"/><Relationship Id="rId2704" Type="http://schemas.openxmlformats.org/officeDocument/2006/relationships/hyperlink" Target="https://public.fastcase.com/H1P9uiW3J20SFp%2BGCG%2BxLYnumIVIfsGACQtvjphi2XY03JuMe7fj8LYdA6mgqlK3BbmtQ%2FoJ5o3JnUu66xez4U0Yi6wQOqSsnYT7%2FU1%2BNuI%3D?utm_medium=email&amp;_hsmi=226712652&amp;_hsenc=p2ANqtz-_mOZCnm_LbXEmI1zB76drE4EDUF13YglxTvTeEnBHhjbPE-34_IMopnnbUF8mE8HxS5G0Ftb4dM_ZSxt2dhhqJsyxB9A&amp;utm_content=226712652&amp;utm_source=hs_email" TargetMode="External"/><Relationship Id="rId2911" Type="http://schemas.openxmlformats.org/officeDocument/2006/relationships/hyperlink" Target="https://ilcourtsaudio.blob.core.windows.net/antilles-resources/resources/a7e1e4b9-d57b-4bd7-9b5d-a27198847cd7/City%20of%20Park%20Ridge%20v.%20IL%20Labor%20Relations%20Bd%202024%20IL%20App%20(1st)%20221924-U.pdf" TargetMode="External"/><Relationship Id="rId1306" Type="http://schemas.openxmlformats.org/officeDocument/2006/relationships/hyperlink" Target="https://appellate.nccourts.org/opinions/?c=2&amp;pdf=38946" TargetMode="External"/><Relationship Id="rId1513" Type="http://schemas.openxmlformats.org/officeDocument/2006/relationships/hyperlink" Target="https://cases.justia.com/michigan/court-of-appeals-unpublished/2018-339016.pdf?ts=1535720483" TargetMode="External"/><Relationship Id="rId1720" Type="http://schemas.openxmlformats.org/officeDocument/2006/relationships/hyperlink" Target="https://www.govinfo.gov/content/pkg/USCOURTS-paed-2_23-cv-00155/pdf/USCOURTS-paed-2_23-cv-00155-0.pdf" TargetMode="External"/><Relationship Id="rId1958" Type="http://schemas.openxmlformats.org/officeDocument/2006/relationships/hyperlink" Target="https://mgaleg.maryland.gov/mgawebsite/Legislation/Details/sb0439/?ys=2026rs" TargetMode="External"/><Relationship Id="rId12" Type="http://schemas.openxmlformats.org/officeDocument/2006/relationships/image" Target="media/image3.jpeg"/><Relationship Id="rId1818" Type="http://schemas.openxmlformats.org/officeDocument/2006/relationships/hyperlink" Target="https://www.dol.gov/sites/dolgov/files/WHD/opinion-letters/FLSA/FLSA-2025-04.pdf" TargetMode="External"/><Relationship Id="rId3033" Type="http://schemas.openxmlformats.org/officeDocument/2006/relationships/hyperlink" Target="https://www.congress.gov/bill/117th-congress/house-bill/4445/text" TargetMode="External"/><Relationship Id="rId161" Type="http://schemas.openxmlformats.org/officeDocument/2006/relationships/hyperlink" Target="https://www.washingtonexaminer.com/opinion/beltway-confidential/2771350/little-known-michigan-court-case-could-have-massive-constitutional-effects-across-the-nation/" TargetMode="External"/><Relationship Id="rId399" Type="http://schemas.openxmlformats.org/officeDocument/2006/relationships/hyperlink" Target="https://ilcourtsaudio.blob.core.windows.net/antilles-resources/resources/1c448368-41d4-4c8c-ab9a-5c785b8aaec0/Hidalgo%20v.%20Village%20Of%20Romeoville%202026%20IL%20App%20(3d)%20240676-U.pdf" TargetMode="External"/><Relationship Id="rId2287" Type="http://schemas.openxmlformats.org/officeDocument/2006/relationships/hyperlink" Target="https://law.justia.com/cases/wyoming/supreme-court/2022/s-21-0278.html" TargetMode="External"/><Relationship Id="rId2494" Type="http://schemas.openxmlformats.org/officeDocument/2006/relationships/hyperlink" Target="https://cases.justia.com/tennessee/court-of-appeals/2026-w2025-01112-coa-r3-cv.pdf?ts=1789172645" TargetMode="External"/><Relationship Id="rId259" Type="http://schemas.openxmlformats.org/officeDocument/2006/relationships/hyperlink" Target="https://www.leagle.com/decision/infdco20211108549" TargetMode="External"/><Relationship Id="rId466" Type="http://schemas.openxmlformats.org/officeDocument/2006/relationships/hyperlink" Target="https://www.firerescue1.com/legal/judge-tosses-out-lawsuit-from-families-of-baltimore-firefighters-killed-in-2022-blaze?utm_source=delivra&amp;utm_medium=email&amp;utm_campaign=FR1-Daily-12-27-24&amp;utm_id=8279434&amp;dlv-emuid=fed355b8-46a2-4fa4-b55c-4d602dde33c4&amp;dlv-mlid=8279434" TargetMode="External"/><Relationship Id="rId673" Type="http://schemas.openxmlformats.org/officeDocument/2006/relationships/hyperlink" Target="https://cases.justia.com/federal/district-courts/illinois/ilndce/1:2025cv12765/488308/72/0.pdf?ts=1763809095" TargetMode="External"/><Relationship Id="rId880" Type="http://schemas.openxmlformats.org/officeDocument/2006/relationships/hyperlink" Target="https://supreme.justia.com/cases/federal/us/464/287/" TargetMode="External"/><Relationship Id="rId1096" Type="http://schemas.openxmlformats.org/officeDocument/2006/relationships/hyperlink" Target="https://www.jud.ct.gov/external/supapp/Cases/AROap/AP232/AP232.214.pdf" TargetMode="External"/><Relationship Id="rId2147"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2354" Type="http://schemas.openxmlformats.org/officeDocument/2006/relationships/hyperlink" Target="https://casetext.com/case/brown-v-ohio-valley-health-servs-educ-corp" TargetMode="External"/><Relationship Id="rId2561" Type="http://schemas.openxmlformats.org/officeDocument/2006/relationships/hyperlink" Target="https://ceas.uc.edu/academics/departments/aerospace-engineering-mechanics/fire-science/news.html" TargetMode="External"/><Relationship Id="rId2799" Type="http://schemas.openxmlformats.org/officeDocument/2006/relationships/hyperlink" Target="https://www.leagle.com/decision/infdco20210518900" TargetMode="External"/><Relationship Id="rId119" Type="http://schemas.openxmlformats.org/officeDocument/2006/relationships/hyperlink" Target="https://public.fastcase.com/H1P9uiW3J20SFp%2BGCG%2BxLdyLNTd%2BNZHrq5Wsvr6dKQeFEDZwgsQrm3TmKDWH2%2B1z?utm_medium=email&amp;_hsenc=p2ANqtz--qDncIsqCSeahqkjvoaWhQNyG1yg2f5tRQPi1w8DS9NFdMbI3pDOffIzG2fuU_g9WmDOo8NJeLM9bCUVMHJsMZyGOdjg&amp;_hsmi=226712652&amp;utm_content=226712652&amp;utm_source=hs_email" TargetMode="External"/><Relationship Id="rId326" Type="http://schemas.openxmlformats.org/officeDocument/2006/relationships/hyperlink" Target="https://www.supremecourt.ohio.gov/rod/docs/pdf/9/2020/2020-Ohio-3158.pdf" TargetMode="External"/><Relationship Id="rId533" Type="http://schemas.openxmlformats.org/officeDocument/2006/relationships/hyperlink" Target="http://courtswv.gov/Intermediate-Court/memo-decisions/Spring2023/22-ICA-216%20md.pdf" TargetMode="External"/><Relationship Id="rId978" Type="http://schemas.openxmlformats.org/officeDocument/2006/relationships/hyperlink" Target="https://cases.justia.com/texas/fourteenth-court-of-appeals/2025-14-24-00312-cv.pdf?ts=1753189995" TargetMode="External"/><Relationship Id="rId1163" Type="http://schemas.openxmlformats.org/officeDocument/2006/relationships/hyperlink" Target="https://law.justia.com/cases/texas/fourth-court-of-appeals/2023/04-22-00347-cv.html" TargetMode="External"/><Relationship Id="rId1370" Type="http://schemas.openxmlformats.org/officeDocument/2006/relationships/hyperlink" Target="https://public.fastcase.com/Jhe1Qn%2BmJndQYQU6z%2FeNm28hiR351dlql3mVrX%2BsW%2FImhVx6LSAbrfZ7R6LP8TbVpSsTp59uwiaa1M%2BxYMu%2FQBeMVJpWoOyQUcFN4LagzoA%3D?utm_medium=email&amp;_hsenc=p2ANqtz-_AWahbnWxhCpMGQYhqfNcYdYivaiXkQGNq4hyWsJQjqDO6KUeS-ltttGyoOKYk2fjuNkb2NzSqvCRrJD1Iyf-ei7DoTw&amp;_hsmi=226712652&amp;utm_content=226712652&amp;utm_source=hs_email" TargetMode="External"/><Relationship Id="rId2007" Type="http://schemas.openxmlformats.org/officeDocument/2006/relationships/hyperlink" Target="https://public.fastcase.com/J%2FJP6pdidelsXxEE4k%2BLMm7PttKNvW62%2BDA0%2BSJrBHAICFIaFusuxX5Jb%2BuxRPK6Bzlob%2BslGSm9QeXJwFgRUwDQqdPl09RLYbpqdskqtWk%3D" TargetMode="External"/><Relationship Id="rId2214" Type="http://schemas.openxmlformats.org/officeDocument/2006/relationships/hyperlink" Target="https://cases.justia.com/federal/district-courts/minnesota/mndce/0:2022cv00839/199889/89/0.pdf?ts=1714059506" TargetMode="External"/><Relationship Id="rId2659" Type="http://schemas.openxmlformats.org/officeDocument/2006/relationships/hyperlink" Target="https://cases.justia.com/federal/appellate-courts/ca4/24-1782/24-1782-2025-06-05.pdf?ts=1749150038" TargetMode="External"/><Relationship Id="rId2866" Type="http://schemas.openxmlformats.org/officeDocument/2006/relationships/hyperlink" Target="https://ecf.ksd.uscourts.gov/cgi-bin/show_public_doc?2018cv2084-60" TargetMode="External"/><Relationship Id="rId740" Type="http://schemas.openxmlformats.org/officeDocument/2006/relationships/hyperlink" Target="https://casetext.com/case/baarbe-v-the-syrian-arab-republic" TargetMode="External"/><Relationship Id="rId838" Type="http://schemas.openxmlformats.org/officeDocument/2006/relationships/hyperlink" Target="https://public.fastcase.com/Wl%2B2t%2BeVuI35%2FN70vAMFZkKd%2BuUeGYT9r22oA9ty28Exj1jRAAAURPUljfVU2169" TargetMode="External"/><Relationship Id="rId1023" Type="http://schemas.openxmlformats.org/officeDocument/2006/relationships/hyperlink" Target="https://casetext.com/case/brown-v-ohio-valley-health-servs-educ-corp" TargetMode="External"/><Relationship Id="rId1468" Type="http://schemas.openxmlformats.org/officeDocument/2006/relationships/hyperlink" Target="https://scholar.google.com/scholar_case?case=10119606247499891126&amp;q=Rachel+MOSBY+v.+CITY+OF+BYRON,+GEORGIA,&amp;hl=en&amp;as_sdt=6,36" TargetMode="External"/><Relationship Id="rId1675" Type="http://schemas.openxmlformats.org/officeDocument/2006/relationships/hyperlink" Target="https://public.fastcase.com/Jhe1Qn%2BmJndQYQU6z%2FeNm%2BBAkVyVw7qfp1FLZhLRneZoYclJ%2FVT7s6PXMIJoJS6%2B?utm_medium=email&amp;_hsenc=p2ANqtz-8PpRuVev0Ah_XktOEuEmMt0agUMxrVPAo9u5l7IUNDD8PU7k6rzhxTWeOW-diGg6ug4Y_W0mxcgZfTt2tSbUoxEpMhGQ&amp;_hsmi=226712652&amp;utm_content=226712652&amp;utm_source=hs_email" TargetMode="External"/><Relationship Id="rId1882" Type="http://schemas.openxmlformats.org/officeDocument/2006/relationships/hyperlink" Target="https://www.law.cornell.edu/topn/black-connery_fair_labor_standards_act" TargetMode="External"/><Relationship Id="rId2421" Type="http://schemas.openxmlformats.org/officeDocument/2006/relationships/hyperlink" Target="https://njcourts.gov/attorneys/assets/opinions/appellate/published/a3846-18.pdf?c=Npo" TargetMode="External"/><Relationship Id="rId2519" Type="http://schemas.openxmlformats.org/officeDocument/2006/relationships/hyperlink" Target="https://storage.courtlistener.com/recap/gov.uscourts.cod.231472/gov.uscourts.cod.231472.63.0.pdf" TargetMode="External"/><Relationship Id="rId2726" Type="http://schemas.openxmlformats.org/officeDocument/2006/relationships/hyperlink" Target="https://public.fastcase.com/ZZhmr5v9wN%2FXOe5IsQ%2FqD51KXiWhfZ5Tknms713VsyNiKeidGSjUYd5fLyeguf86yRHn46LHKSVIqu1aE%2FP%2F4wzm%2Bs9CN3Gxx%2Fta1hJ8xsU%3D?utm_medium=email&amp;_hsmi=226712652&amp;_hsenc=p2ANqtz--6hfqXp_6GwCwKFg5My80cUvTOTZgLDUuB3F-yLygp7svvTJd39SzNL3yXkJv1N0M6expfT3HAdh1FcYblCg0-pEKOfg&amp;utm_content=226712652&amp;utm_source=hs_email" TargetMode="External"/><Relationship Id="rId600" Type="http://schemas.openxmlformats.org/officeDocument/2006/relationships/hyperlink" Target="http://www.ca5.uscourts.gov/opinions/pub/17/17-30864-CV2.pdf" TargetMode="External"/><Relationship Id="rId1230" Type="http://schemas.openxmlformats.org/officeDocument/2006/relationships/hyperlink" Target="https://www.baltimoresun.com/maryland/baltimore-city/bs-md-ci-lawsuit-opinion-20210817-vlhba6nhe5dnfayycibxat2sli-story.html" TargetMode="External"/><Relationship Id="rId1328" Type="http://schemas.openxmlformats.org/officeDocument/2006/relationships/hyperlink" Target="https://cases.justia.com/ohio/eighth-district-court-of-appeals/2019-108059.pdf?ts=1558624525" TargetMode="External"/><Relationship Id="rId1535" Type="http://schemas.openxmlformats.org/officeDocument/2006/relationships/hyperlink" Target="https://www.supremecourt.gov/opinions/25pdf/24-109_21o3.pdf" TargetMode="External"/><Relationship Id="rId2933" Type="http://schemas.openxmlformats.org/officeDocument/2006/relationships/hyperlink" Target="https://search.txcourts.gov/SearchMedia.aspx?MediaVersionID=b6a5eb11-d9ee-4713-9079-a7fc018a0d0c&amp;coa=cossup&amp;DT=OPINION&amp;MediaID=180a364b-e3a9-4c3b-bb68-7b88944c20ad" TargetMode="External"/><Relationship Id="rId905" Type="http://schemas.openxmlformats.org/officeDocument/2006/relationships/hyperlink" Target="https://search.txcourts.gov/SearchMedia.aspx?MediaVersionID=0759d8f0-c4e1-4852-8390-4190cacb89f6&amp;coa=coa10&amp;DT=Opinion&amp;MediaID=dc9d0fad-acea-4603-a120-a6519744d885" TargetMode="External"/><Relationship Id="rId1742" Type="http://schemas.openxmlformats.org/officeDocument/2006/relationships/hyperlink" Target="https://public.fastcase.com/9SKwsfNqTc6OieYDhNMyM6vC7U3N6pFiGGudI%2FRRBa2RM8NFylVCIr30mZgiL1xCGi%2BB4TwUGi23U%2F4WBRTxtqosYxdtzzhHp1yF4K4Z7P8%3D" TargetMode="External"/><Relationship Id="rId34" Type="http://schemas.openxmlformats.org/officeDocument/2006/relationships/hyperlink" Target="https://cases.justia.com/kentucky/court-of-appeals/2026-2025-ca-0111-mr.pdf?ts=1784901906" TargetMode="External"/><Relationship Id="rId1602" Type="http://schemas.openxmlformats.org/officeDocument/2006/relationships/hyperlink" Target="https://public.fastcase.com/J%2FJP6pdidelsXxEE4k%2BLMrA34GsTt5B2s5lqbdzOSKO6ds2%2FFXzTZCAcVKPc5nYGkDv4uUicwcEOayTnLM9q%2BLkNSr7W2Myomwq976TWq68%3D?utm_medium=email&amp;_hsmi=226712652&amp;_hsenc=p2ANqtz--xrBYm_8SOoB1x8n_lzDvQY_7J4w6TZmgBXNCiTskMckRZL1pW5pA7jfVkIgH5lYseuktBIikSAYCDqwL7O8hlSm6fMw&amp;utm_content=226712652&amp;utm_source=hs_email" TargetMode="External"/><Relationship Id="rId183" Type="http://schemas.openxmlformats.org/officeDocument/2006/relationships/hyperlink" Target="https://casetext.com/case/united-states-v-weathington-3" TargetMode="External"/><Relationship Id="rId390" Type="http://schemas.openxmlformats.org/officeDocument/2006/relationships/hyperlink" Target="https://www.nytimes.com/2018/04/02/us/politics/supreme-court-rules-for-police-officer-in-excessive-force-case.html" TargetMode="External"/><Relationship Id="rId1907" Type="http://schemas.openxmlformats.org/officeDocument/2006/relationships/hyperlink" Target="https://public.fastcase.com/Wl%2B2t%2BeVuI35%2FN70vAMFZpdjKXDmRY5LJSAOUJ86zVs5waUL1YS3yBNtSKE8F5Gl" TargetMode="External"/><Relationship Id="rId2071" Type="http://schemas.openxmlformats.org/officeDocument/2006/relationships/hyperlink" Target="https://www.coloradojudicial.gov/system/files/opinions-2026-06/24CA0675.pdf" TargetMode="External"/><Relationship Id="rId250" Type="http://schemas.openxmlformats.org/officeDocument/2006/relationships/hyperlink" Target="https://public.fastcase.com/9SKwsfNqTc6OieYDhNMyM7D5VS5NTHGa%2BVbO5LbgTVCol88giq6gEwqG77t7xxlVdoZinV7rGr3Vonxjs0f%2FBj%2FzJq07gNCdlFI%2FOtwWHGw%3D" TargetMode="External"/><Relationship Id="rId488" Type="http://schemas.openxmlformats.org/officeDocument/2006/relationships/hyperlink" Target="https://www.osha.gov/ords/imis/establishment.inspection_detail?id=315378885" TargetMode="External"/><Relationship Id="rId695" Type="http://schemas.openxmlformats.org/officeDocument/2006/relationships/hyperlink" Target="https://www.supremecourt.gov/opinions/24pdf/23-852_c07d.pdf" TargetMode="External"/><Relationship Id="rId2169" Type="http://schemas.openxmlformats.org/officeDocument/2006/relationships/hyperlink" Target="https://stlouiscriminaldefense.com/" TargetMode="External"/><Relationship Id="rId2376" Type="http://schemas.openxmlformats.org/officeDocument/2006/relationships/hyperlink" Target="https://www.supremecourt.ohio.gov/rod/docs/pdf/0/2009/2009-Ohio-1248.pdf" TargetMode="External"/><Relationship Id="rId2583" Type="http://schemas.openxmlformats.org/officeDocument/2006/relationships/hyperlink" Target="https://www.wci360.com/update-workers-comp-coverage-for-firefighters/" TargetMode="External"/><Relationship Id="rId2790" Type="http://schemas.openxmlformats.org/officeDocument/2006/relationships/hyperlink" Target="https://www.leagle.com/decision/infdco20211006817" TargetMode="External"/><Relationship Id="rId110" Type="http://schemas.openxmlformats.org/officeDocument/2006/relationships/hyperlink" Target="https://cases.justia.com/federal/appellate-courts/ca3/24-1567/24-1567-2024-12-17.pdf?ts=1734458412" TargetMode="External"/><Relationship Id="rId348" Type="http://schemas.openxmlformats.org/officeDocument/2006/relationships/hyperlink" Target="https://cases.justia.com/federal/appellate-courts/ca7/18-2926/18-2926-2019-07-15.pdf?ts=1563219019" TargetMode="External"/><Relationship Id="rId555" Type="http://schemas.openxmlformats.org/officeDocument/2006/relationships/hyperlink" Target="https://www.newyorker.com/news/our-columnists/american-racism-and-the-buffalo-massacre" TargetMode="External"/><Relationship Id="rId762" Type="http://schemas.openxmlformats.org/officeDocument/2006/relationships/hyperlink" Target="https://www.timesofisrael.com/january-6-defendant-denies-boyfriend-plotted-to-shoot-up-synagogue/" TargetMode="External"/><Relationship Id="rId1185" Type="http://schemas.openxmlformats.org/officeDocument/2006/relationships/hyperlink" Target="https://cases.justia.com/new-york/other-courts/2022-2022-ny-slip-op-32197-u.pdf?ts=1657833320" TargetMode="External"/><Relationship Id="rId1392" Type="http://schemas.openxmlformats.org/officeDocument/2006/relationships/hyperlink" Target="https://cases.justia.com/federal/district-courts/new-york/nyedce/1:2023cv09066/507538/25/0.pdf?ts=1739862975%20https://media.cadc.uscourts.gov/orders/docs/2025/02/25-5028LDSD.pdf" TargetMode="External"/><Relationship Id="rId2029" Type="http://schemas.openxmlformats.org/officeDocument/2006/relationships/hyperlink" Target="https://casetext.com/case/coppage-v-city-of-raleigh-1" TargetMode="External"/><Relationship Id="rId2236" Type="http://schemas.openxmlformats.org/officeDocument/2006/relationships/hyperlink" Target="https://casetext.com/case/sutton-v-rockingham-cnty-1" TargetMode="External"/><Relationship Id="rId2443" Type="http://schemas.openxmlformats.org/officeDocument/2006/relationships/hyperlink" Target="https://www.courts.ca.gov/opinions/nonpub/F076225.PDF" TargetMode="External"/><Relationship Id="rId2650" Type="http://schemas.openxmlformats.org/officeDocument/2006/relationships/hyperlink" Target="https://www.firerescue1.com/legal/l-a-county-pays-7-2m-to-family-of-firefighter-killed-in-firehouse-shooting" TargetMode="External"/><Relationship Id="rId2888" Type="http://schemas.openxmlformats.org/officeDocument/2006/relationships/hyperlink" Target="https://cases.justia.com/federal/appellate-courts/ca10/25-1424/25-1424-2026-06-22.pdf?ts=1782145915" TargetMode="External"/><Relationship Id="rId208" Type="http://schemas.openxmlformats.org/officeDocument/2006/relationships/hyperlink" Target="https://apps.legislature.ky.gov/law/statutes/statute.aspx?id=44007" TargetMode="External"/><Relationship Id="rId415" Type="http://schemas.openxmlformats.org/officeDocument/2006/relationships/hyperlink" Target="https://www.firehero.org/fallen-firefighter/jared-c-lloyd/" TargetMode="External"/><Relationship Id="rId622" Type="http://schemas.openxmlformats.org/officeDocument/2006/relationships/hyperlink" Target="http://www.illinoiscourts.gov/R23_Orders/WorkersComp/2018/2170447WC_R23.pdf" TargetMode="External"/><Relationship Id="rId1045" Type="http://schemas.openxmlformats.org/officeDocument/2006/relationships/hyperlink" Target="https://www.youtube.com/watch?v=ga_vHeGYQ34" TargetMode="External"/><Relationship Id="rId1252" Type="http://schemas.openxmlformats.org/officeDocument/2006/relationships/hyperlink" Target="http://app.leg.wa.gov/RCW/default.aspx?cite=41.26.030" TargetMode="External"/><Relationship Id="rId1697" Type="http://schemas.openxmlformats.org/officeDocument/2006/relationships/hyperlink" Target="https://www.govinfo.gov/content/pkg/USCOURTS-nyed-1_22-cv-05068/pdf/USCOURTS-nyed-1_22-cv-05068-3.pdf" TargetMode="External"/><Relationship Id="rId2303" Type="http://schemas.openxmlformats.org/officeDocument/2006/relationships/hyperlink" Target="https://www.supremecourt.ohio.gov/rod/docs/pdf/8/2022/2022-Ohio-1489.pdf" TargetMode="External"/><Relationship Id="rId2510" Type="http://schemas.openxmlformats.org/officeDocument/2006/relationships/hyperlink" Target="https://www.firerescue1.com/legal/tenn-supreme-court-reinstates-denial-of-ptsd-benefits-for-former-firefighter?utm_source=delivra&amp;utm_medium=email&amp;utm_campaign=FR1-Daily-10-15-25&amp;utm_id=9641961&amp;dlv-emuid=fed355b8-46a2-4fa4-b55c-4d602dde33c4&amp;dlv-mlid=964196" TargetMode="External"/><Relationship Id="rId2748" Type="http://schemas.openxmlformats.org/officeDocument/2006/relationships/hyperlink" Target="https://public.courts.in.gov/Decisions/api/Document/Opinion?Id=BlYPkLxVHgH9AX_il3izt1lEOiPnwm0plhkYRvgS1Eap1sEgbSi8um2d6l97LpRN0" TargetMode="External"/><Relationship Id="rId2955" Type="http://schemas.openxmlformats.org/officeDocument/2006/relationships/hyperlink" Target="https://www.daytondailynews.com/news/west-carrollton-rehire-fire-chief-after-valentine-week-retirement/XSsYoJpSmxdkIIZtoGUpzJ/" TargetMode="External"/><Relationship Id="rId927" Type="http://schemas.openxmlformats.org/officeDocument/2006/relationships/hyperlink" Target="https://codes.ohio.gov/ohio-revised-code/section-2744.03" TargetMode="External"/><Relationship Id="rId1112" Type="http://schemas.openxmlformats.org/officeDocument/2006/relationships/hyperlink" Target="https://www.nj.gov/treasury/pensions/documents/factsheets/fact15.pdf" TargetMode="External"/><Relationship Id="rId1557" Type="http://schemas.openxmlformats.org/officeDocument/2006/relationships/hyperlink" Target="https://www.americanbar.org/groups/diversity/diversity_pipeline/projects_initiatives/legal_opportunity_scholarship/" TargetMode="External"/><Relationship Id="rId1764" Type="http://schemas.openxmlformats.org/officeDocument/2006/relationships/hyperlink" Target="http://media.ca11.uscourts.gov/opinions/unpub/files/201814488.pdf" TargetMode="External"/><Relationship Id="rId1971" Type="http://schemas.openxmlformats.org/officeDocument/2006/relationships/hyperlink" Targe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 TargetMode="External"/><Relationship Id="rId2608" Type="http://schemas.openxmlformats.org/officeDocument/2006/relationships/hyperlink" Target="https://wtov9.com/news/local/former-mingo-junction-fire-chief-reinstated-after-hearing" TargetMode="External"/><Relationship Id="rId2815" Type="http://schemas.openxmlformats.org/officeDocument/2006/relationships/hyperlink" Target="https://www.opn.ca6.uscourts.gov/opinions.pdf/20a0268p-06.pdf" TargetMode="External"/><Relationship Id="rId56" Type="http://schemas.openxmlformats.org/officeDocument/2006/relationships/hyperlink" Target="https://www.njcourts.gov/system/files/court-opinions/2025/a_1_25.pdf" TargetMode="External"/><Relationship Id="rId1417" Type="http://schemas.openxmlformats.org/officeDocument/2006/relationships/hyperlink" Target="https://www.reviewjournal.com/local/sex-cover-up-at-las-vegas-fire-station-alleged-in-document/" TargetMode="External"/><Relationship Id="rId1624" Type="http://schemas.openxmlformats.org/officeDocument/2006/relationships/hyperlink" Target="https://public.fastcase.com/9SKwsfNqTc6OieYDhNMyM2CFW33xyjvV9V9tDamXdBOoRSeaTiz5NEXWtNHJhMGDLmAvOr1CXJk0EV3MUdbM2l1WIYIXZemQzLeI%2BSSBPyk%3D" TargetMode="External"/><Relationship Id="rId1831" Type="http://schemas.openxmlformats.org/officeDocument/2006/relationships/hyperlink" Target="https://www.supremecourt.gov/DocketPDF/23/23-217/326778/20240924155125392_2024.09.24%20EMD%20v%20Carrera%20-%20Brief%20for%20Respondents.pdf" TargetMode="External"/><Relationship Id="rId1929" Type="http://schemas.openxmlformats.org/officeDocument/2006/relationships/hyperlink" Target="https://www.justice.gov/opa/pr/covid-19-servicemembers-civil-rights-message-assistant-attorney-general" TargetMode="External"/><Relationship Id="rId2093" Type="http://schemas.openxmlformats.org/officeDocument/2006/relationships/hyperlink" Target="https://public.fastcase.com/Jhe1Qn%2BmJndQYQU6z%2FeNm%2BJGkZOBI%2FIR3xMI1hqgTrQGqCoob0t8sJ6Oq4%2B3vNWN?utm_medium=email&amp;_hsenc=p2ANqtz-9C5O8INd3-mOP0XdLpifj0NkMcgvHJMlYVXVlVDxFjxItyF7mxImlUcaWgD0DywBt6olIyvEknUS-SxKw_pSJ1xCMABg&amp;_hsmi=226712652&amp;utm_content=226712652&amp;utm_source=hs_email" TargetMode="External"/><Relationship Id="rId2398" Type="http://schemas.openxmlformats.org/officeDocument/2006/relationships/hyperlink" Target="https://public.fastcase.com/Wl%2B2t%2BeVuI35%2FN70vAMFZv50h%2Fykh7FShFoRYs3ZTa26w8rY%2BXvT1%2B6dqL4OkZlK" TargetMode="External"/><Relationship Id="rId272" Type="http://schemas.openxmlformats.org/officeDocument/2006/relationships/hyperlink" Target="http://www.pacourts.us/assets/opinions/Supreme/out/j-100-2020mo%20-%20104821740139246918.pdf" TargetMode="External"/><Relationship Id="rId577" Type="http://schemas.openxmlformats.org/officeDocument/2006/relationships/hyperlink" Target="https://www.nbcphiladelphia.com/news/local/woman-gets-30-years-in-arson-that-killed-3-delaware-firefighters/2260369/" TargetMode="External"/><Relationship Id="rId2160" Type="http://schemas.openxmlformats.org/officeDocument/2006/relationships/hyperlink" Target="https://law.justia.com/cases/new-york/appellate-division-second-department/2024/2019-11168.html" TargetMode="External"/><Relationship Id="rId2258" Type="http://schemas.openxmlformats.org/officeDocument/2006/relationships/hyperlink" Target="https://public.fastcase.com/J%2FJP6pdidelsXxEE4k%2BLMmkKAOu2og4RFw84MS%2B8ggk3sjpW8vutPxLex2RgGn%2Bt2Jik%2FeX8PJts3C%2F6Q%2Fo%2BG%2BiayCxJf82VEENSX79a%2FfU%3D?utm_medium=email&amp;_hsmi=226712652&amp;_hsenc=p2ANqtz-9IQANQQw8c4G50juoB1YOeI9PRU9K182hoTYcfz0uXjPfI5SdzNRjzRb60ER6nqwMSPaZSSyOzlxBsxtCZ7kFqJFFA4g&amp;utm_content=226712652&amp;utm_source=hs_email" TargetMode="External"/><Relationship Id="rId3004" Type="http://schemas.openxmlformats.org/officeDocument/2006/relationships/hyperlink" Target="https://cases.justia.com/federal/district-courts/connecticut/ctdce/3:2024cv00680/159059/264/0.pdf?ts=1747297635" TargetMode="External"/><Relationship Id="rId132" Type="http://schemas.openxmlformats.org/officeDocument/2006/relationships/hyperlink" Target="https://law.justia.com/cases/new-york/other-courts/2024/2024-ny-slip-op-51294-u.html" TargetMode="External"/><Relationship Id="rId784" Type="http://schemas.openxmlformats.org/officeDocument/2006/relationships/hyperlink" Target="https://www.cincinnati.com/story/news/2020/08/01/dayton-shootings-oregon-district-year-later/5521896002/" TargetMode="External"/><Relationship Id="rId991" Type="http://schemas.openxmlformats.org/officeDocument/2006/relationships/hyperlink" Target="https://public.fastcase.com/H1P9uiW3J20SFp%2BGCG%2BxLdY6%2FSfit7cxFyw3bnS%2FOidOFypRHxHWNwsmGqo4fSQEV9JpTw1bCRB2JkBf6VgjErq%2BbrT9DkyICOjdjgBVHFs%3D?utm_medium=email&amp;_hsmi=226712652&amp;_hsenc=p2ANqtz-82_plk0g72fbRvFB8NjbgL3Ik8GBcsuuIrmbdbiUiPbF7Kb8UwG6VvxYNyc-qobM2A00y-E3aXbEp-pYTE9TR3ELyYBQ&amp;utm_content=226712652&amp;utm_source=hs_email" TargetMode="External"/><Relationship Id="rId1067" Type="http://schemas.openxmlformats.org/officeDocument/2006/relationships/hyperlink" Target="https://cases.justia.com/new-york/other-courts/2026-2026-ny-slip-op-30695-u.pdf?ts=1773178122" TargetMode="External"/><Relationship Id="rId2020" Type="http://schemas.openxmlformats.org/officeDocument/2006/relationships/hyperlink" Target="https://www.npr.org/2021/11/01/1051321580/california-judge-drug-companies-opioid-crisis-allergan-endo-johnson-teva" TargetMode="External"/><Relationship Id="rId2465" Type="http://schemas.openxmlformats.org/officeDocument/2006/relationships/hyperlink" Target="https://www.njcourts.gov/attorneys/assets/opinions/appellate/unpublished/a4258-16.pdf?cacheID=HAxjRbJ" TargetMode="External"/><Relationship Id="rId2672" Type="http://schemas.openxmlformats.org/officeDocument/2006/relationships/hyperlink" Target="https://dsp.delaware.gov/2023/01/13/former-deputy-fire-chief-arrested-for-rape/" TargetMode="External"/><Relationship Id="rId437" Type="http://schemas.openxmlformats.org/officeDocument/2006/relationships/hyperlink" Target="https://public.fastcase.com/jaEE2PXzRXmZ99jOLMt1ItgJpO3cenZHWG8%2BVkmKxH1HTTAbABiD6rHSJp3pZ1gN%2FmUtcGj1MYmfK4vUiVXj%2F7KJALcf9RQ89nZBN4g9WoM%3D?utm_medium=email&amp;_hsenc=p2ANqtz-8GKw_r7YMLn5ao1TZxs4WqNRhri-535W3eCNA3JduD9CnJg4Ez99C9vjqiY3t5lfrKsWh0EQkMPqhDg1IfFNoFLO22ZQ&amp;_hsmi=226712652&amp;utm_content=226712652&amp;utm_source=hs_email" TargetMode="External"/><Relationship Id="rId644" Type="http://schemas.openxmlformats.org/officeDocument/2006/relationships/hyperlink" Target="https://public.fastcase.com/Jhe1Qn%2BmJndQYQU6z%2FeNm6y%2ButKVHQ7qplXbc9U9gWaO0ooWSN9ntzBjMGV9FUUQ?utm_medium=email&amp;_hsenc=p2ANqtz-_Z4fCy207wA-GVpVh4JS6wIyKK4xAt9PwjI-H5ckiw2tYlLKp3PzFWQuUG8qe1JOGf1y8GbQNr8qUECGdNhBetcdlP1w&amp;_hsmi=226712652&amp;utm_content=226712652&amp;utm_source=hs_email" TargetMode="External"/><Relationship Id="rId851" Type="http://schemas.openxmlformats.org/officeDocument/2006/relationships/hyperlink" Target="https://cases.justia.com/federal/appellate-courts/ca2/18-1597/18-1597-2019-04-25.pdf?ts=1556202606" TargetMode="External"/><Relationship Id="rId1274" Type="http://schemas.openxmlformats.org/officeDocument/2006/relationships/hyperlink" Target="https://www.delawareonline.com/story/news/2019/04/26/former-wilmington-fire-chief-gets-prison-time-theft/3588123002/" TargetMode="External"/><Relationship Id="rId1481" Type="http://schemas.openxmlformats.org/officeDocument/2006/relationships/hyperlink" Target="https://www.justice.gov/opa/pr/justice-department-files-lawsuit-against-city-houston-sex-discrimination-and-retaliation" TargetMode="External"/><Relationship Id="rId1579" Type="http://schemas.openxmlformats.org/officeDocument/2006/relationships/hyperlink" Target="https://cases.justia.com/federal/district-courts/texas/txedce/4:2022cv00397/214410/28/0.pdf?ts=1692978420" TargetMode="External"/><Relationship Id="rId2118" Type="http://schemas.openxmlformats.org/officeDocument/2006/relationships/hyperlink" Target="https://jpr.azcourts.gov/Portals/0/OpinionFiles/Div1/2025/1%20CA-CR%2024-0549%20Johnson.pdf" TargetMode="External"/><Relationship Id="rId2325" Type="http://schemas.openxmlformats.org/officeDocument/2006/relationships/hyperlink" Target="https://public.fastcase.com/9SKwsfNqTc6OieYDhNMyMwDUrDTC81ScbwpTIsrYww9AFfazNo%2F2HwY6ziqtDhg0Y4a0WNWhiQuswT892BHbSQq1RuZX52VcSFrolfmFpsM%3D" TargetMode="External"/><Relationship Id="rId2532" Type="http://schemas.openxmlformats.org/officeDocument/2006/relationships/hyperlink" Target="https://casetext.com/case/sotomayor-v-city-of-new-york" TargetMode="External"/><Relationship Id="rId2977" Type="http://schemas.openxmlformats.org/officeDocument/2006/relationships/hyperlink" Target="http://www.illinoiscourts.gov/Opinions/AppellateCourt/2019/1stDistrict/1172907.pdf" TargetMode="External"/><Relationship Id="rId504" Type="http://schemas.openxmlformats.org/officeDocument/2006/relationships/hyperlink" Target="https://casetext.com/case/knipper-v-drill-team-of-lindenhurst-fire-dept" TargetMode="External"/><Relationship Id="rId711" Type="http://schemas.openxmlformats.org/officeDocument/2006/relationships/hyperlink" Target="https://ww3.ca2.uscourts.gov/decisions/isysquery/c68b6681-8ae3-446b-8305-2841de8ec224/1/doc/22-2745_opn.pdf" TargetMode="External"/><Relationship Id="rId949" Type="http://schemas.openxmlformats.org/officeDocument/2006/relationships/hyperlink" Target="https://ktla.com/news/local-news/vanessa-bryant-sues-l-a-county-sheriff-over-kobe-bryant-crash-photos/" TargetMode="External"/><Relationship Id="rId1134" Type="http://schemas.openxmlformats.org/officeDocument/2006/relationships/hyperlink" Target="https://www.ncbi.nlm.nih.gov/pmc/articles/PMC10455106/" TargetMode="External"/><Relationship Id="rId1341" Type="http://schemas.openxmlformats.org/officeDocument/2006/relationships/hyperlink" Target="https://caselaw.findlaw.com/us-9th-circuit/1864754.html" TargetMode="External"/><Relationship Id="rId1786" Type="http://schemas.openxmlformats.org/officeDocument/2006/relationships/hyperlink" Target="https://www.dol.gov/sites/dolgov/files/WHD/legacy/files/fab_2020_8.pdf" TargetMode="External"/><Relationship Id="rId1993" Type="http://schemas.openxmlformats.org/officeDocument/2006/relationships/hyperlink" Target="https://www.10tv.com/article/news/nation-world/firefighter-charged-killing-pregnant-teen-dui-crash/530-c59458ea-0d76-4ce2-8b1e-022640f424f8" TargetMode="External"/><Relationship Id="rId2837" Type="http://schemas.openxmlformats.org/officeDocument/2006/relationships/hyperlink" Target="https://www.courts.ca.gov/opinions/nonpub/D074758.PDF" TargetMode="External"/><Relationship Id="rId78" Type="http://schemas.openxmlformats.org/officeDocument/2006/relationships/hyperlink" Target="https://supreme.justia.com/cases/federal/us/509/579/" TargetMode="External"/><Relationship Id="rId809" Type="http://schemas.openxmlformats.org/officeDocument/2006/relationships/hyperlink" Target="https://www.law.cornell.edu/definitions/uscode.php?width=840&amp;height=800&amp;iframe=true&amp;def_id=8-USC-92903111-1485256781&amp;term_occur=999&amp;term_src=" TargetMode="External"/><Relationship Id="rId1201" Type="http://schemas.openxmlformats.org/officeDocument/2006/relationships/hyperlink" Target="https://codes.ohio.gov/ohio-revised-code/section-742.10" TargetMode="External"/><Relationship Id="rId1439" Type="http://schemas.openxmlformats.org/officeDocument/2006/relationships/hyperlink" Target="https://public.fastcase.com/J%2FJP6pdidelsXxEE4k%2BLMiptlpkB0gZD0zq9ZoOKNJuhacmaRfGRvhQDw8Dzjp093sUgUkI4CwYYkhqoix%2B0P6g4YOgoDnx2kMnRYwj%2FWdA%3D" TargetMode="External"/><Relationship Id="rId1646" Type="http://schemas.openxmlformats.org/officeDocument/2006/relationships/hyperlink" Target="https://public.fastcase.com/Wl%2B2t%2BeVuI35%2FN70vAMFZkzhJOnk32e7%2BdWn1xTx2jApuUgRdcLBLFJLG9W4RHCQ" TargetMode="External"/><Relationship Id="rId1853" Type="http://schemas.openxmlformats.org/officeDocument/2006/relationships/hyperlink" Target="https://cases.justia.com/federal/district-courts/mississippi/mssdce/1:2022cv00356/117172/19/0.pdf?ts=1706287990" TargetMode="External"/><Relationship Id="rId2904" Type="http://schemas.openxmlformats.org/officeDocument/2006/relationships/hyperlink" Target="https://public.fastcase.com/jaEE2PXzRXmZ99jOLMt1IpPvzvvllZ7Rrt4VKwyGVntYyQb9IRuNiNqVshy4%2Bl2z%2BsY6VEZuB3eEVHjKlzOdk%2FP8W50g7Bl84BsJ%2BT14tOs%3D?utm_medium=email&amp;_hsenc=p2ANqtz-8_cjXUjI5LfLOi5ALG6MFLDFJJrn3rZsNciOMXnsNsHK54iflcoWeqPuq6ELEpSWLnjpVW4QqFeFKVqziKDzXrD-fT4Q&amp;_hsmi=226712652&amp;utm_content=226712652&amp;utm_source=hs_email" TargetMode="External"/><Relationship Id="rId1506" Type="http://schemas.openxmlformats.org/officeDocument/2006/relationships/hyperlink" Target="https://assets.documentcloud.org/documents/5745040/Better-Balance.pdf" TargetMode="External"/><Relationship Id="rId1713" Type="http://schemas.openxmlformats.org/officeDocument/2006/relationships/hyperlink" Target="https://www.supremecourt.gov/DocketPDF/23/23-997/307313/20240411092101975_Amicus%20Brief.pdf" TargetMode="External"/><Relationship Id="rId1920" Type="http://schemas.openxmlformats.org/officeDocument/2006/relationships/hyperlink" Target="https://law.justia.com/cases/federal/appellate-courts/ca8/19-1414/19-1414-2020-08-17.html" TargetMode="External"/><Relationship Id="rId294" Type="http://schemas.openxmlformats.org/officeDocument/2006/relationships/hyperlink" Target="https://www.ethics.ohio.gov/advice/formaltopics.html" TargetMode="External"/><Relationship Id="rId2182" Type="http://schemas.openxmlformats.org/officeDocument/2006/relationships/hyperlink" Target="https://cases.justia.com/federal/appellate-courts/ca9/21-15252/21-15252-2024-05-20.pdf?ts=1716226339" TargetMode="External"/><Relationship Id="rId3026" Type="http://schemas.openxmlformats.org/officeDocument/2006/relationships/hyperlink" Target="https://cdn.ca9.uscourts.gov/datastore/opinions/2023/04/17/21-16278.pdf" TargetMode="External"/><Relationship Id="rId154" Type="http://schemas.openxmlformats.org/officeDocument/2006/relationships/hyperlink" Target="https://casetext.com/case/in-re-daims" TargetMode="External"/><Relationship Id="rId361" Type="http://schemas.openxmlformats.org/officeDocument/2006/relationships/hyperlink" Target="https://www.supremecourt.gov/opinions/18pdf/18a815_3d9g.pdf" TargetMode="External"/><Relationship Id="rId599" Type="http://schemas.openxmlformats.org/officeDocument/2006/relationships/hyperlink" Target="http://www.ca5.uscourts.gov/opinions/pub/17/17-30864-CV1.pdf" TargetMode="External"/><Relationship Id="rId2042" Type="http://schemas.openxmlformats.org/officeDocument/2006/relationships/hyperlink" Target="https://www.law.com/thelegalintelligencer/search/?q=safe+injection+max+mitchell&amp;Submit=Search&amp;publication=The+Legal+Intelligencer&amp;source=falcon&amp;source=decisions&amp;startDate=&amp;endDate=" TargetMode="External"/><Relationship Id="rId2487" Type="http://schemas.openxmlformats.org/officeDocument/2006/relationships/hyperlink" Target="https://www.ca4.uscourts.gov/Opinions/201342.P.pdf" TargetMode="External"/><Relationship Id="rId2694" Type="http://schemas.openxmlformats.org/officeDocument/2006/relationships/hyperlink" Target="https://cases.justia.com/federal/appellate-courts/ca9/22-15485/22-15485-2024-05-17.pdf?ts=1715961637" TargetMode="External"/><Relationship Id="rId459" Type="http://schemas.openxmlformats.org/officeDocument/2006/relationships/hyperlink" Target="https://www.wjtv.com/news/local-news/court-upholds-mans-conviction-for-killing-jackson-firefighter/" TargetMode="External"/><Relationship Id="rId666" Type="http://schemas.openxmlformats.org/officeDocument/2006/relationships/hyperlink" Target="https://www.supremecourt.gov/opinions/24pdf/24a931_2c83.pdf" TargetMode="External"/><Relationship Id="rId873" Type="http://schemas.openxmlformats.org/officeDocument/2006/relationships/hyperlink" Target="https://www.jud.ct.gov/external/supapp/Cases/AROcr/CR354/CR354.35.pdf" TargetMode="External"/><Relationship Id="rId1089" Type="http://schemas.openxmlformats.org/officeDocument/2006/relationships/hyperlink" Target="https://cases.justia.com/washington/supreme-court/2025-103-121-1.pdf?ts=1750950890" TargetMode="External"/><Relationship Id="rId1296" Type="http://schemas.openxmlformats.org/officeDocument/2006/relationships/hyperlink" Target="https://public.fastcase.com/Wl%2B2t%2BeVuI35%2FN70vAMFZp5steAbFsjz8D5zs28wLVD2J2xhMYzUEH8PyP%2BVbQO%2B" TargetMode="External"/><Relationship Id="rId2347" Type="http://schemas.openxmlformats.org/officeDocument/2006/relationships/hyperlink" Target="https://www.supremecourt.gov/opinions/20pdf/20-18_cb7d.pdf" TargetMode="External"/><Relationship Id="rId2554" Type="http://schemas.openxmlformats.org/officeDocument/2006/relationships/hyperlink" Target="https://casetext.com/case/abler-v-mayor-of-balt" TargetMode="External"/><Relationship Id="rId2999" Type="http://schemas.openxmlformats.org/officeDocument/2006/relationships/hyperlink" Target="https://www.youtube.com/watch?v=US5dFGLzqQo" TargetMode="External"/><Relationship Id="rId221" Type="http://schemas.openxmlformats.org/officeDocument/2006/relationships/hyperlink" Target="https://law.justia.com/cases/federal/appellate-courts/ca3/22-1079/22-1079-2022-11-29.html" TargetMode="External"/><Relationship Id="rId319" Type="http://schemas.openxmlformats.org/officeDocument/2006/relationships/hyperlink" Target="https://www.ca2.uscourts.gov/decisions/isysquery/2a455a3a-04be-4845-88fb-6da61a7004cf/1/doc/19-3574_opn.pdf" TargetMode="External"/><Relationship Id="rId526" Type="http://schemas.openxmlformats.org/officeDocument/2006/relationships/hyperlink" Target="https://www.anylaw.com/case/smith-v-city-of-atlantic-city-et-al/d-new-jersey/11-28-2023/WMlWRYwBqcoRgE-ICuER" TargetMode="External"/><Relationship Id="rId1156" Type="http://schemas.openxmlformats.org/officeDocument/2006/relationships/hyperlink" Target="https://casetext.com/case/the-providence-retired-police-firefighters-assn-v-city-of-providence" TargetMode="External"/><Relationship Id="rId1363" Type="http://schemas.openxmlformats.org/officeDocument/2006/relationships/hyperlink" Target="https://public.fastcase.com/" TargetMode="External"/><Relationship Id="rId2207" Type="http://schemas.openxmlformats.org/officeDocument/2006/relationships/hyperlink" Target="https://casetext.com/case/gutzalenko-v-city-of-richmond" TargetMode="External"/><Relationship Id="rId2761" Type="http://schemas.openxmlformats.org/officeDocument/2006/relationships/hyperlink" Target="https://public.fastcase.com/J%2FJP6pdidelsXxEE4k%2BLMrj3s4T1D9o6YeH1P6QHRjfPwtPh7UBJw6%2FlyLsxvHVQo4RL4odtX24b6W6EIP3%2BuhoyWwf2ZSyK36dgjdjOjEg%3D" TargetMode="External"/><Relationship Id="rId2859" Type="http://schemas.openxmlformats.org/officeDocument/2006/relationships/hyperlink" Target="http://www.illinoiscourts.gov/R23_Orders/AppellateCourt/2019/1stDistrict/1181422_R23.pdf" TargetMode="External"/><Relationship Id="rId733" Type="http://schemas.openxmlformats.org/officeDocument/2006/relationships/hyperlink" Target="https://www.theguardian.com/us-news/2023/oct/27/lawsuit-dismissed-texas-greg-abbott-transport-immigration" TargetMode="External"/><Relationship Id="rId940" Type="http://schemas.openxmlformats.org/officeDocument/2006/relationships/hyperlink" Target="https://casetext.com/case/christopher-m-v-mineo" TargetMode="External"/><Relationship Id="rId1016" Type="http://schemas.openxmlformats.org/officeDocument/2006/relationships/hyperlink" Target="https://law.justia.com/cases/texas/fourteenth-court-of-appeals/2022/14-20-00566-cv.html" TargetMode="External"/><Relationship Id="rId1570" Type="http://schemas.openxmlformats.org/officeDocument/2006/relationships/hyperlink" Target="https://casetext.com/case/corbin-v-black-jack-fire-prot-dist" TargetMode="External"/><Relationship Id="rId1668" Type="http://schemas.openxmlformats.org/officeDocument/2006/relationships/hyperlink" Target="https://apps.fastcase.com/Research/Pages/Document.aspx?LTID=nmuHYWyOr%2b3AQipzJYAFoxfLB3OO%2f59bKxwBTjI1BmfqRzjMCJEWOFBsNDL%2by45wqmfNJlXSpZLawvrJl9FKgwtB%2fUqEuGE56NZQIRJncdz5SsmQ19AY6YoAUqCXNuyg7WjzDpnasAs9GwevnZzP8A%3d%3d&amp;ECF=%2c+434+U.S.+412+(1978)" TargetMode="External"/><Relationship Id="rId1875" Type="http://schemas.openxmlformats.org/officeDocument/2006/relationships/hyperlink" Target="http://www.firefighterovertime.org/2022/12/12/ca-county-settles-flsa-suit/" TargetMode="External"/><Relationship Id="rId2414" Type="http://schemas.openxmlformats.org/officeDocument/2006/relationships/hyperlink" Target="https://www.phillyvoice.com/us-supreme-court-denies-overturn-pennsylvania-non-essential-businesses-coronavirus-gov-wolf/" TargetMode="External"/><Relationship Id="rId2621" Type="http://schemas.openxmlformats.org/officeDocument/2006/relationships/hyperlink" Target="https://public.fastcase.com/" TargetMode="External"/><Relationship Id="rId2719" Type="http://schemas.openxmlformats.org/officeDocument/2006/relationships/hyperlink" Target="https://cases.justia.com/federal/district-courts/tennessee/tnmdce/3:2021cv00042/85053/46/0.pdf?ts=1695225093" TargetMode="External"/><Relationship Id="rId800" Type="http://schemas.openxmlformats.org/officeDocument/2006/relationships/hyperlink" Target="https://www.law.cornell.edu/definitions/uscode.php?width=840&amp;height=800&amp;iframe=true&amp;def_id=8-USC-92903111-1485256781&amp;term_occur=999&amp;term_src=" TargetMode="External"/><Relationship Id="rId1223" Type="http://schemas.openxmlformats.org/officeDocument/2006/relationships/hyperlink" Target="https://www.alexdell.com/news/79/NEW-YORK-COURTS-CLARIFY-DEFINITION-OF-ACCIDENT-FOR-DISABILITY-RETIREMENT-PURPOSES/" TargetMode="External"/><Relationship Id="rId1430" Type="http://schemas.openxmlformats.org/officeDocument/2006/relationships/hyperlink" Target="https://casetext.com/case/united-states-v-townvill-of-harrison" TargetMode="External"/><Relationship Id="rId1528" Type="http://schemas.openxmlformats.org/officeDocument/2006/relationships/hyperlink" Target="https://www.govinfo.gov/content/pkg/USCOURTS-idd-4_24-cv-00303/pdf/USCOURTS-idd-4_24-cv-00303-0.pdf" TargetMode="External"/><Relationship Id="rId2926" Type="http://schemas.openxmlformats.org/officeDocument/2006/relationships/hyperlink" Target="https://www.supremecourt.ohio.gov/rod/docs/pdf/0/2023/2023-Ohio-2976.pdf" TargetMode="External"/><Relationship Id="rId1735" Type="http://schemas.openxmlformats.org/officeDocument/2006/relationships/hyperlink" Target="https://public.fastcase.com/J%2FJP6pdidelsXxEE4k%2BLMkpx4Tc1lqsghN0FDa1gb3wMFLVhhLo5FWrnkmMj5%2F%2BBVQtdjf8pXYj06hYu%2BnGwGl7dOZtJUpPBXfNPjPwixAs%3D?utm_medium=email&amp;_hsmi=226712652&amp;_hsenc=p2ANqtz--C2h-0vhrKpmBZ-sfV5NXYWdtLuQagg3T7ZppydHXd8lRUQhheIKUZNhzvLNm0zeXmkYrDIZXEzHKpdEczURzqVa6roA&amp;utm_content=226712652&amp;utm_source=hs_email" TargetMode="External"/><Relationship Id="rId1942" Type="http://schemas.openxmlformats.org/officeDocument/2006/relationships/hyperlink" Target="http://41af3k34gprx4f6bg12df75i.wpengine.netdna-cdn.com/wp-content/uploads/sites/19/2019/04/Spokane-Valley-Fire-Department-v-IAFF-Local-3701-RULING.pdf" TargetMode="External"/><Relationship Id="rId27" Type="http://schemas.openxmlformats.org/officeDocument/2006/relationships/hyperlink" Target="https://www.casemine.com/judgement/us/6aad6464f0ddefeec2e11a1c" TargetMode="External"/><Relationship Id="rId1802" Type="http://schemas.openxmlformats.org/officeDocument/2006/relationships/hyperlink" Target="https://cases.justia.com/california/court-of-appeal/2026-f089576.pdf?ts=1776802194" TargetMode="External"/><Relationship Id="rId3048" Type="http://schemas.openxmlformats.org/officeDocument/2006/relationships/hyperlink" Target="https://cases.justia.com/texas/supreme-court/2020-18-0216-1.pdf?ts=1593180294" TargetMode="External"/><Relationship Id="rId176" Type="http://schemas.openxmlformats.org/officeDocument/2006/relationships/hyperlink" Target="https://www.denver7.com/news/local-news/colorado-supreme-court-ruled-in-favor-of-reverse-keyword-search-denver-police-used-to-track-arson-suspects" TargetMode="External"/><Relationship Id="rId383" Type="http://schemas.openxmlformats.org/officeDocument/2006/relationships/hyperlink" Target="https://www.supremecourt.gov/opinions/17pdf/16-402_h315.pdf" TargetMode="External"/><Relationship Id="rId590" Type="http://schemas.openxmlformats.org/officeDocument/2006/relationships/hyperlink" Target="https://www.firerescue1.com/firefighter-training/articles/firefighters-death-highlights-municipal-storm-drain-dangers-VaH0e7nB3CMWpKRS/" TargetMode="External"/><Relationship Id="rId2064" Type="http://schemas.openxmlformats.org/officeDocument/2006/relationships/hyperlink" Target="https://public.fastcase.com/Jhe1Qn%2BmJndQYQU6z%2FeNm6ju%2Bd0XMiKIQG0dYFr7cgUzgsifv99YXHK%2BxnD66TJoHk4g2WwtQKDS%2BvASTYn2UbNIVhBuboQ2Vfvy9hViY%2Bk%3D?utm_medium=email&amp;_hsenc=p2ANqtz-8NHhkkKcWj0_qee_n9oiHaTk7VwtWB_afCW5GLhqKW_ltr3Dza-rNcLPsWMOqNw3cx9q-xKyAAVyV_SrzeJvBmwADJtg&amp;_hsmi=226712652&amp;utm_content=226712652&amp;utm_source=hs_email" TargetMode="External"/><Relationship Id="rId2271" Type="http://schemas.openxmlformats.org/officeDocument/2006/relationships/hyperlink" Target="https://public.fastcase.com/J%2FJP6pdidelsXxEE4k%2BLMmal3pmqwL2M3IcdBRYRq7H5oV2dmSosFOkL4d7k98jG9SuahbInE3n2tMql6kX0QUzRKtcMn83zHZ%2BG%2BG9ZYZQ%3D?utm_medium=email&amp;_hsmi=226712652&amp;_hsenc=p2ANqtz-9uf78hORTgLHe72Nq9qJz-C27iwk_m4r2mdnHF-ngJMSp_ULhMnmBHzq8bpBh7J7k34w9BngwpJd6Z97DDjhMn2bZMQA&amp;utm_content=226712652&amp;utm_source=hs_email" TargetMode="External"/><Relationship Id="rId243" Type="http://schemas.openxmlformats.org/officeDocument/2006/relationships/hyperlink" Target="https://casetext.com/case/2095-stonington-llc-v-vill-of-hoffman-estates" TargetMode="External"/><Relationship Id="rId450" Type="http://schemas.openxmlformats.org/officeDocument/2006/relationships/hyperlink" Target="https://www.nj.com/atlantic/2025/06/jersey-shore-firefighter-wins-court-battle-over-growing-beard-on-religious-grounds.html?mc_cid=2cb6755cd5&amp;mc_eid=cbaa4ade01" TargetMode="External"/><Relationship Id="rId688" Type="http://schemas.openxmlformats.org/officeDocument/2006/relationships/hyperlink" Target="https://www.supremecourt.gov/opinions/24pdf/24a1153_l5gm.pdf" TargetMode="External"/><Relationship Id="rId895" Type="http://schemas.openxmlformats.org/officeDocument/2006/relationships/hyperlink" Target="https://caselaw.findlaw.com/court/us-10th-circuit/116433351.html" TargetMode="External"/><Relationship Id="rId1080" Type="http://schemas.openxmlformats.org/officeDocument/2006/relationships/hyperlink" Target="https://cases.justia.com/west-virginia/intermediate-court-of-appeals/2025-25-ica-138.pdf?ts=1761335525" TargetMode="External"/><Relationship Id="rId2131" Type="http://schemas.openxmlformats.org/officeDocument/2006/relationships/hyperlink" Target="https://cases.justia.com/missouri/court-of-appeals/2025-wd87298.pdf?ts=1750174248" TargetMode="External"/><Relationship Id="rId2369" Type="http://schemas.openxmlformats.org/officeDocument/2006/relationships/hyperlink" Target="https://casetext.com/case/county-of-sacramento-v-lewis" TargetMode="External"/><Relationship Id="rId2576" Type="http://schemas.openxmlformats.org/officeDocument/2006/relationships/hyperlink" Target="https://public.fastcase.com/Wl%2B2t%2BeVuI35%2FN70vAMFZhAr68AdbratCNmy2dcHSKg4lqOPhLPvbyL5oFysv%2FPr" TargetMode="External"/><Relationship Id="rId2783" Type="http://schemas.openxmlformats.org/officeDocument/2006/relationships/hyperlink" Target="http://www.kcra.com/article/sacramento-firefighter-arrested-on-misdemeanor-sexual-battery-charge/9977725" TargetMode="External"/><Relationship Id="rId2990" Type="http://schemas.openxmlformats.org/officeDocument/2006/relationships/hyperlink" Target="https://www.ahip.org/news/press-releases/new-survey-shows-no-surprises-act-continues-to-protect-millions-of-americans-from-surprise-medical-bills" TargetMode="External"/><Relationship Id="rId103" Type="http://schemas.openxmlformats.org/officeDocument/2006/relationships/hyperlink" Target="https://cdn.ca9.uscourts.gov/datastore/opinions/2025/02/24/23-2218.pdf" TargetMode="External"/><Relationship Id="rId310" Type="http://schemas.openxmlformats.org/officeDocument/2006/relationships/hyperlink" Target="http://codes.ohio.gov/orc/2921.43" TargetMode="External"/><Relationship Id="rId548" Type="http://schemas.openxmlformats.org/officeDocument/2006/relationships/hyperlink" Target="https://www.firerescue1.com/fire-ems/articles/texas-firefighter-plunges-20-feet-off-overpass-at-crash-scene-lBARe4alhxd9zIr4/" TargetMode="External"/><Relationship Id="rId755" Type="http://schemas.openxmlformats.org/officeDocument/2006/relationships/hyperlink" Target="https://middlemarketgrowth.org/podcast-tyler-brennan-racedayquads/" TargetMode="External"/><Relationship Id="rId962" Type="http://schemas.openxmlformats.org/officeDocument/2006/relationships/hyperlink" Target="https://cases.justia.com/louisiana/third-circuit-court-of-appeal/2026-ca-0025-0423.pdf?ts=1782919449" TargetMode="External"/><Relationship Id="rId1178" Type="http://schemas.openxmlformats.org/officeDocument/2006/relationships/hyperlink" Target="https://www.chicagotribune.com/news/breaking/chi-retiring-orland-fire-chief-i-didnt-do-anything-wrong-20110823-story.html" TargetMode="External"/><Relationship Id="rId1385" Type="http://schemas.openxmlformats.org/officeDocument/2006/relationships/hyperlink" Target="https://cases.justia.com/federal/district-courts/kansas/ksdce/2:2023cv02410/149154/93/0.pdf?ts=1748685326" TargetMode="External"/><Relationship Id="rId1592" Type="http://schemas.openxmlformats.org/officeDocument/2006/relationships/hyperlink" Target="https://casetext.com/case/roper-v-city-of-cincinnati" TargetMode="External"/><Relationship Id="rId2229" Type="http://schemas.openxmlformats.org/officeDocument/2006/relationships/hyperlink" Target="https://www.hhs.gov/hipaa/for-professionals/compliance-enforcement/examples/all-cases/index.html" TargetMode="External"/><Relationship Id="rId2436" Type="http://schemas.openxmlformats.org/officeDocument/2006/relationships/hyperlink" Target="https://oig.hhs.gov/fraud/strike-force/" TargetMode="External"/><Relationship Id="rId2643" Type="http://schemas.openxmlformats.org/officeDocument/2006/relationships/hyperlink" Target="https://codes.ohio.gov/ohio-revised-code/section-117.103" TargetMode="External"/><Relationship Id="rId2850" Type="http://schemas.openxmlformats.org/officeDocument/2006/relationships/hyperlink" Target="https://www.oregonlaws.org/ors/243.650" TargetMode="External"/><Relationship Id="rId91" Type="http://schemas.openxmlformats.org/officeDocument/2006/relationships/hyperlink" Target="https://cases.justia.com/california/supreme-court/2025-s173784.pdf?ts=1746464481" TargetMode="External"/><Relationship Id="rId408" Type="http://schemas.openxmlformats.org/officeDocument/2006/relationships/hyperlink" Target="https://www4.courts.ca.gov/opinions/nonpub/C102004.PDF" TargetMode="External"/><Relationship Id="rId615" Type="http://schemas.openxmlformats.org/officeDocument/2006/relationships/hyperlink" Target="https://www.cdc.gov/niosh/fire/pdfs/face201314.pdf" TargetMode="External"/><Relationship Id="rId822" Type="http://schemas.openxmlformats.org/officeDocument/2006/relationships/hyperlink" Target="https://www.govinfo.gov/content/pkg/FR-2020-08-13/pdf/2020-17468.pdf" TargetMode="External"/><Relationship Id="rId1038" Type="http://schemas.openxmlformats.org/officeDocument/2006/relationships/hyperlink" Target="https://casetext.com/case/hicks-v-city-of-ofallon" TargetMode="External"/><Relationship Id="rId1245" Type="http://schemas.openxmlformats.org/officeDocument/2006/relationships/hyperlink" Target="http://www.pacourts.us/assets/opinions/Commonwealth/out/141CD20_3-10-21.pdf?cb=1" TargetMode="External"/><Relationship Id="rId1452" Type="http://schemas.openxmlformats.org/officeDocument/2006/relationships/hyperlink" Target="https://casetext.com/case/molchan-v-delmar-fire-dept-1" TargetMode="External"/><Relationship Id="rId1897" Type="http://schemas.openxmlformats.org/officeDocument/2006/relationships/hyperlink" Target="https://www.law.cornell.edu/cfr/text/29/778.215" TargetMode="External"/><Relationship Id="rId2503" Type="http://schemas.openxmlformats.org/officeDocument/2006/relationships/hyperlink" Target="https://www.courts.michigan.gov/494b62/siteassets/case-documents/uploads/opinions/final/coa/20260317_c372830_50_372830.opn.pdf" TargetMode="External"/><Relationship Id="rId2948" Type="http://schemas.openxmlformats.org/officeDocument/2006/relationships/hyperlink" Target="https://public.fastcase.com/J%2FJP6pdidelsXxEE4k%2BLMtVWis%2BjrVT91gBFG4uyJWEPcpNLWXxLmz%2FQC7BVJHEFVVKmRnSKx2JFHo6ASClx4LYOJwrUPHRSA%2B3C21y5uNo%3D?utm_medium=email&amp;_hsmi=226712652&amp;_hsenc=p2ANqtz-_Z7uUMGtz89TwJ8h7fDGtfvV3sIYognKNnX4gprWQ41uEM6WKF6eTc5YmYCWiY12JCxBXlLKEbrm5nDUGgSrncCZSdVg&amp;utm_content=226712652&amp;utm_source=hs_email" TargetMode="External"/><Relationship Id="rId1105" Type="http://schemas.openxmlformats.org/officeDocument/2006/relationships/hyperlink" Target="https://cases.justia.com/arizona/supreme-court/2025-cv-23-0211-pr.pdf?ts=1743008459" TargetMode="External"/><Relationship Id="rId1312" Type="http://schemas.openxmlformats.org/officeDocument/2006/relationships/hyperlink" Target="https://public.fastcase.com/Wl%2B2t%2BeVuI35%2FN70vAMFZqIZGQiBixrRs%2FhIZFdJSEICCexWSoup5Rgc2fSfyUDA" TargetMode="External"/><Relationship Id="rId1757" Type="http://schemas.openxmlformats.org/officeDocument/2006/relationships/hyperlink" Target="https://law.justia.com/cases/louisiana/supreme-court/2015/2013-c-2878.html" TargetMode="External"/><Relationship Id="rId1964" Type="http://schemas.openxmlformats.org/officeDocument/2006/relationships/hyperlink" Target="https://cases.justia.com/federal/district-courts/florida/flmdce/2:2024cv00585/429227/35/0.pdf?ts=1768388107" TargetMode="External"/><Relationship Id="rId2710" Type="http://schemas.openxmlformats.org/officeDocument/2006/relationships/hyperlink" Target="https://casetext.com/case/zahn-v-kenner-mun-fire-police-civil-serv-bd" TargetMode="External"/><Relationship Id="rId2808" Type="http://schemas.openxmlformats.org/officeDocument/2006/relationships/hyperlink" Target="https://www.fireengineering.com/2020/11/02/495783/nj-firefighter-fired-three-hours-into-first-day-can-stay-on-job-court-rules/?utm_medium=email&amp;utm_campaign=2020-11-03&amp;utm_source=fe_daily_newsletter" TargetMode="External"/><Relationship Id="rId49" Type="http://schemas.openxmlformats.org/officeDocument/2006/relationships/hyperlink" Target="https://cases.justia.com/texas/fifteenth-court-of-appeals/2026-15-24-00010-cv.pdf?ts=1772815197" TargetMode="External"/><Relationship Id="rId1617" Type="http://schemas.openxmlformats.org/officeDocument/2006/relationships/hyperlink" Target="http://media.ca7.uscourts.gov/sound/external/mm.21-2784.21-2784_07_07_2022.mp3" TargetMode="External"/><Relationship Id="rId1824" Type="http://schemas.openxmlformats.org/officeDocument/2006/relationships/hyperlink" Target="https://www.dol.gov/agencies/whd/fact-sheets/22-flsa-hours-worked" TargetMode="External"/><Relationship Id="rId198" Type="http://schemas.openxmlformats.org/officeDocument/2006/relationships/hyperlink" Target="https://www.supremecourt.gov/opinions/22pdf/21-1326_6jfl.pdf" TargetMode="External"/><Relationship Id="rId2086" Type="http://schemas.openxmlformats.org/officeDocument/2006/relationships/hyperlink" Target="https://public.fastcase.com/Jhe1Qn%2BmJndQYQU6z%2FeNm2IRLtoYkrU6PXL9o8jwzst%2FNdrzc21hLfx%2B7rIFE%2Fjg?utm_medium=email&amp;_hsenc=p2ANqtz--U5QylLiDrvLvgZPxLp1UD1XwB_7biW9lkq8qHdnYocPTAWXoAY4eWtL30hGAHlHHG6f150Lk3QwJZsSzIIPSSPKfBlQ&amp;_hsmi=226712652&amp;utm_content=226712652&amp;utm_source=hs_email" TargetMode="External"/><Relationship Id="rId2293" Type="http://schemas.openxmlformats.org/officeDocument/2006/relationships/hyperlink" Target="https://public.fastcase.com/J%2FJP6pdidelsXxEE4k%2BLMlzK3ypZvc0Gn%2FjuZDkyq8MI5%2FfINcqrUtBut3YiWnMm%2B6u%2FYbxznYZMXvWFYa2uilbMm7X%2Bw%2FMZe4%2FFjNyk13o%3D" TargetMode="External"/><Relationship Id="rId2598" Type="http://schemas.openxmlformats.org/officeDocument/2006/relationships/hyperlink" Target="https://www.ca4.uscourts.gov/opinions/232019.U.pdf" TargetMode="External"/><Relationship Id="rId265" Type="http://schemas.openxmlformats.org/officeDocument/2006/relationships/hyperlink" Target="https://www.supremecourt.gov/opinions/20pdf/21a23_ap6c.pdf" TargetMode="External"/><Relationship Id="rId472" Type="http://schemas.openxmlformats.org/officeDocument/2006/relationships/hyperlink" Target="https://casetext.com/case/christensen-v-murphy" TargetMode="External"/><Relationship Id="rId2153" Type="http://schemas.openxmlformats.org/officeDocument/2006/relationships/hyperlink" Target="https://casetext.com/case/kilpatrick-v-city-of-l-a" TargetMode="External"/><Relationship Id="rId2360" Type="http://schemas.openxmlformats.org/officeDocument/2006/relationships/hyperlink" Target="https://casetext.com/case/certification-from-us-dist-court-for-w-dist-of-wash-v-city-of-bellingham" TargetMode="External"/><Relationship Id="rId125" Type="http://schemas.openxmlformats.org/officeDocument/2006/relationships/hyperlink" Target="https://caselaw.findlaw.com/court/az-court-of-appeals/116575227.html" TargetMode="External"/><Relationship Id="rId332" Type="http://schemas.openxmlformats.org/officeDocument/2006/relationships/hyperlink" Target="https://www.courtlistener.com/opinion/4747432/cid-torrez-v-state-of-florida/" TargetMode="External"/><Relationship Id="rId777" Type="http://schemas.openxmlformats.org/officeDocument/2006/relationships/hyperlink" Target="https://www.law.cornell.edu/definitions/uscode.php?width=840&amp;height=800&amp;iframe=true&amp;def_id=18-USC-1846489032-909420281&amp;term_occur=999&amp;term_src=title:18:part:I:chapter:13:section:249" TargetMode="External"/><Relationship Id="rId984" Type="http://schemas.openxmlformats.org/officeDocument/2006/relationships/hyperlink" Target="https://casetext.com/case/kneeshaw-v-the-superior-court-of-orange-cnty" TargetMode="External"/><Relationship Id="rId2013" Type="http://schemas.openxmlformats.org/officeDocument/2006/relationships/hyperlink" Target="https://casetext.com/case/dufrene-v-northshore-ems-llc" TargetMode="External"/><Relationship Id="rId2220" Type="http://schemas.openxmlformats.org/officeDocument/2006/relationships/hyperlink" Target="https://casetext.com/case/currid-v-the-city-of-new-york" TargetMode="External"/><Relationship Id="rId2458" Type="http://schemas.openxmlformats.org/officeDocument/2006/relationships/hyperlink" Target="https://scholar.google.com/scholar_case?case=16398402888190855228&amp;q=Dissell+v.+Cleveland&amp;hl=en&amp;as_sdt=6,36&amp;as_vis=1" TargetMode="External"/><Relationship Id="rId2665" Type="http://schemas.openxmlformats.org/officeDocument/2006/relationships/hyperlink" Target="https://www.wvxu.org/politics/2025-08-27/michael-washington-wrongful-termination-lawsuit-trial" TargetMode="External"/><Relationship Id="rId2872" Type="http://schemas.openxmlformats.org/officeDocument/2006/relationships/hyperlink" Target="https://cases.justia.com/federal/appellate-courts/ca5/17-40754/17-40754-2018-08-31.pdf?ts=1535736678" TargetMode="External"/><Relationship Id="rId637" Type="http://schemas.openxmlformats.org/officeDocument/2006/relationships/hyperlink" Target="https://codes.findlaw.com/ny/general-municipal-law/gmu-sect-205-a.html" TargetMode="External"/><Relationship Id="rId844" Type="http://schemas.openxmlformats.org/officeDocument/2006/relationships/hyperlink" Target="https://cases.justia.com/federal/appellate-courts/ca9/17-35634/17-35634-2019-10-21.pdf?ts=1571677280" TargetMode="External"/><Relationship Id="rId1267" Type="http://schemas.openxmlformats.org/officeDocument/2006/relationships/hyperlink" Target="http://masscases.com/cases/app/82/82massappct623.html" TargetMode="External"/><Relationship Id="rId1474" Type="http://schemas.openxmlformats.org/officeDocument/2006/relationships/hyperlink" Target="https://www.uticaod.com/story/news/2020/07/21/court-former-utica-firefighter-not-entitled-to-payment/42260661/" TargetMode="External"/><Relationship Id="rId1681" Type="http://schemas.openxmlformats.org/officeDocument/2006/relationships/hyperlink" Target="https://cases.justia.com/texas/twelfth-court-of-appeals/2026-12-25-00273-cv.pdf?ts=1775749638" TargetMode="External"/><Relationship Id="rId2318" Type="http://schemas.openxmlformats.org/officeDocument/2006/relationships/hyperlink" Target="https://hudsoncountyview.com/2-ex-north-bergen-ems-workers-file-wrongful-termination-suit-against-township-deputy-ems-chief/" TargetMode="External"/><Relationship Id="rId2525" Type="http://schemas.openxmlformats.org/officeDocument/2006/relationships/hyperlink" Target="https://casetext.com/case/shaw-v-kittitas-valley-fire-rescue" TargetMode="External"/><Relationship Id="rId2732" Type="http://schemas.openxmlformats.org/officeDocument/2006/relationships/hyperlink" Target="https://www.supremecourt.gov/opinions/22pdf/21-476_c185.pdf" TargetMode="External"/><Relationship Id="rId704" Type="http://schemas.openxmlformats.org/officeDocument/2006/relationships/hyperlink" Target="https://casetext.com/case/assn-of-cal-ins-cos-v-jones-8" TargetMode="External"/><Relationship Id="rId911" Type="http://schemas.openxmlformats.org/officeDocument/2006/relationships/hyperlink" Target="https://public.fastcase.com/J%2FJP6pdidelsXxEE4k%2BLMku%2FobbeA4O7XFFZreFgRQx%2BWZ7fzC1IhmGay6LSjTfKJi%2F0lJWfruI6T6uwjyLWcTFUlKk%2FJDuh9Eyt0JVbsGk%3D?utm_medium=email&amp;_hsmi=226712652&amp;_hsenc=p2ANqtz-8osvFL3X0gyhLaJKRyW92xrD2GPamYVB-ledl39OimVvrR3SDszthVFmIjtescLBDKIYLBKlOi8FN2nFy4wMQT_YiRlg&amp;utm_content=226712652&amp;utm_source=hs_email" TargetMode="External"/><Relationship Id="rId1127" Type="http://schemas.openxmlformats.org/officeDocument/2006/relationships/hyperlink" Target="https://ilcourtsaudio.blob.core.windows.net/antilles-resources/resources/b3c62d52-1215-4e2d-8145-22ad48aed626/Ceyer%20v.%20City%20of%20Berwyn,%202024%20IL%20App%20(1st)%20231538.pdf" TargetMode="External"/><Relationship Id="rId1334" Type="http://schemas.openxmlformats.org/officeDocument/2006/relationships/hyperlink" Target="http://publicdocs.courts.mi.gov/opinions/final/coa/20190226_c340579_35_340579.opn.pdf" TargetMode="External"/><Relationship Id="rId1541" Type="http://schemas.openxmlformats.org/officeDocument/2006/relationships/hyperlink" Target="https://www.ca5.uscourts.gov/opinions/pub/24/24-30777-CV0.pdf" TargetMode="External"/><Relationship Id="rId1779" Type="http://schemas.openxmlformats.org/officeDocument/2006/relationships/hyperlink" Target="https://caselaw.findlaw.com/court/us-dis-crt-d-con/115860244.html" TargetMode="External"/><Relationship Id="rId1986" Type="http://schemas.openxmlformats.org/officeDocument/2006/relationships/hyperlink" Target="https://casetext.com/statute/montana-code/title-2-government-structure-and-administration/chapter-4-administrative-procedure-act/part-7-judicial-review-of-contested-cases/section-2-4-701-immediate-review-of-agency-action" TargetMode="External"/><Relationship Id="rId40" Type="http://schemas.openxmlformats.org/officeDocument/2006/relationships/hyperlink" Target="https://cases.justia.com/virginia/court-of-appeals-unpublished/2026-2083-24-1.pdf?ts=1782229177" TargetMode="External"/><Relationship Id="rId1401" Type="http://schemas.openxmlformats.org/officeDocument/2006/relationships/hyperlink" Target="https://www.supremecourt.gov/DocketPDF/23/23-1039/335322/20241216192608136_23-1039_Ames_Amicus_Brief_iso_Vacatur.pdf" TargetMode="External"/><Relationship Id="rId1639" Type="http://schemas.openxmlformats.org/officeDocument/2006/relationships/hyperlink" Target="https://casetext.com/case/saade-v-city-of-detroit-1" TargetMode="External"/><Relationship Id="rId1846" Type="http://schemas.openxmlformats.org/officeDocument/2006/relationships/hyperlink" Target="https://www.ecfr.gov/current/title-29/subtitle-B/chapter-V/subchapter-B/part-785/subpart-C/subject-group-ECFR3d1222debcd8ec6/section-785.19" TargetMode="External"/><Relationship Id="rId1706" Type="http://schemas.openxmlformats.org/officeDocument/2006/relationships/hyperlink" Target="https://caselaw.findlaw.com/court/us-11th-circuit/115273034.html" TargetMode="External"/><Relationship Id="rId1913" Type="http://schemas.openxmlformats.org/officeDocument/2006/relationships/hyperlink" Target="http://www.firefighterovertime.org/wp-content/uploads/2018/03/DFW-FLSA-Complaint-2018.pdf" TargetMode="External"/><Relationship Id="rId287" Type="http://schemas.openxmlformats.org/officeDocument/2006/relationships/hyperlink" Target="https://supreme.justia.com/cases/federal/us/547/410/" TargetMode="External"/><Relationship Id="rId494" Type="http://schemas.openxmlformats.org/officeDocument/2006/relationships/hyperlink" Target="https://casetext.com/statute/florida-statutes/title-x-public-officers-employees-and-records/chapter-112-public-officers-and-employees-general-provisions/part-i-conditions-of-employment-retirement-travel-expenses/section-112182-firefighter-rule-abolished" TargetMode="External"/><Relationship Id="rId2175" Type="http://schemas.openxmlformats.org/officeDocument/2006/relationships/hyperlink" Target="https://cases.justia.com/federal/appellate-courts/ca11/23-12759/23-12759-2024-07-23.pdf?ts=1721745066" TargetMode="External"/><Relationship Id="rId2382" Type="http://schemas.openxmlformats.org/officeDocument/2006/relationships/hyperlink" Target="https://public.fastcase.com/Wl%2B2t%2BeVuI35%2FN70vAMFZhgQRMSlTmc31zPzZvHhe6G3UFiDUpDiHM1BEG64P0h7" TargetMode="External"/><Relationship Id="rId3019" Type="http://schemas.openxmlformats.org/officeDocument/2006/relationships/hyperlink" Target="https://casetext.com/statute/united-states-code/title-5-government-organization-and-employees/part-i-the-agencies-generally/chapter-7-judicial-review/section-706-scope-of-review" TargetMode="External"/><Relationship Id="rId147" Type="http://schemas.openxmlformats.org/officeDocument/2006/relationships/hyperlink" Target="https://www.law.cornell.edu/rules/fre/rule_803" TargetMode="External"/><Relationship Id="rId354" Type="http://schemas.openxmlformats.org/officeDocument/2006/relationships/hyperlink" Target="https://www.leagle.com/decision/iniaco20190517282" TargetMode="External"/><Relationship Id="rId799"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1191" Type="http://schemas.openxmlformats.org/officeDocument/2006/relationships/hyperlink" Target="https://casetext.com/case/city-of-henderson-v-law" TargetMode="External"/><Relationship Id="rId2035" Type="http://schemas.openxmlformats.org/officeDocument/2006/relationships/hyperlink" Target="https://scholar.google.com/scholar_case?case=8759932085982657853&amp;q=Pennsylvania+%22overdose+response%22&amp;hl=en&amp;as_sdt=6,36&amp;as_ylo=2020" TargetMode="External"/><Relationship Id="rId2687" Type="http://schemas.openxmlformats.org/officeDocument/2006/relationships/hyperlink" Target="https://cases.justia.com/michigan/court-of-appeals-unpublished/2024-365464.pdf?ts=1732024807" TargetMode="External"/><Relationship Id="rId2894" Type="http://schemas.openxmlformats.org/officeDocument/2006/relationships/hyperlink" Target="https://www.qcnews.com/shannon-park-shooting/one-year-later-a-timeline-of-the-tragic-april-29th-shootout-that-shook-charlotte/" TargetMode="External"/><Relationship Id="rId561" Type="http://schemas.openxmlformats.org/officeDocument/2006/relationships/hyperlink" Target="https://public.fastcase.com/9SKwsfNqTc6OieYDhNMyM3GFxg7E14LGt6irGiW6D0AdOSai6WztEAqO8TQbOt2UAfcs%2Ff2iM4MWcxpFzO0W88e5H95ADB2MkHVFfrY4yKc%3D" TargetMode="External"/><Relationship Id="rId659" Type="http://schemas.openxmlformats.org/officeDocument/2006/relationships/hyperlink" Target="https://www.hstoday.us/subject-matter-areas/counterterrorism/9-11-litigation-is-building-a-new-legal-framework-for-foreign-terrorist-accountability/" TargetMode="External"/><Relationship Id="rId866" Type="http://schemas.openxmlformats.org/officeDocument/2006/relationships/hyperlink" Target="https://www.law.com/newyorklawjournal/2018/03/29/ny-high-court-allows-nypd-to-evade-giving-foil-requested-information-about-muslim-surveillance/" TargetMode="External"/><Relationship Id="rId1289" Type="http://schemas.openxmlformats.org/officeDocument/2006/relationships/hyperlink" Target="https://law.justia.com/cases/washington/court-of-appeals-division-ii/2020/52908-4.html" TargetMode="External"/><Relationship Id="rId1496" Type="http://schemas.openxmlformats.org/officeDocument/2006/relationships/hyperlink" Target="http://www.ca5.uscourts.gov/opinions/unpub/18/18-40561.1.pdf" TargetMode="External"/><Relationship Id="rId2242" Type="http://schemas.openxmlformats.org/officeDocument/2006/relationships/hyperlink" Target="https://www.opn.ca6.uscourts.gov/opinions.pdf/23a0156p-06.pdf" TargetMode="External"/><Relationship Id="rId2547" Type="http://schemas.openxmlformats.org/officeDocument/2006/relationships/hyperlink" Target="https://mn.gov/workcomp-stat/2021/Juntunen%20-%2012-28-21.html" TargetMode="External"/><Relationship Id="rId214" Type="http://schemas.openxmlformats.org/officeDocument/2006/relationships/hyperlink" Target="https://www.legislature.ohio.gov/legislation/legislation-summary?id=GA134-HB-99" TargetMode="External"/><Relationship Id="rId421" Type="http://schemas.openxmlformats.org/officeDocument/2006/relationships/hyperlink" Target="https://public.fastcase.com/Jhe1Qn%2BmJndQYQU6z%2FeNm3W8hWyjy%2F1qvTK0bYKmSBd7FCE1skWJo447G5Oh2b2vHFVB1fMS7gUR6rAKwE%2FNSCY%2BUXiquDJL%2FDOTOozOi%2FE%3D?utm_medium=email&amp;_hsenc=p2ANqtz--CwMJ1WgahfFouwurH1AvRaq-FpGCK4j_ZGMvVW2VvGo-JzLehL1L025aP9c9K1EJ-bt_z2jfpLFjtfV3Ucq7sQ0mkPQ&amp;_hsmi=226712652&amp;utm_content=226712652&amp;utm_source=hs_email" TargetMode="External"/><Relationship Id="rId519"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1051" Type="http://schemas.openxmlformats.org/officeDocument/2006/relationships/hyperlink" Target="https://public.fastcase.com/Jhe1Qn%2BmJndQYQU6z%2FeNm%2FDVRm1IFBLYQal3y6QLHDB52PgsteCM3eoS3n%2FXL6Sgqv9%2BpGD7Dnqqxb%2FdkMXjuAmaEGrH7WpeRlJP7ZGwW0c%3D?utm_medium=email&amp;_hsenc=p2ANqtz-_6EdHiT9bcA_gERNlRb7Vqb7-JCSNqXEDo92exSXbK_TUmYHONA0ZCptKn2tQXH9xE_3AJtzp2fzp86MK3e5_pVV6PEw&amp;_hsmi=226712652&amp;utm_content=226712652&amp;utm_source=hs_email" TargetMode="External"/><Relationship Id="rId1149" Type="http://schemas.openxmlformats.org/officeDocument/2006/relationships/hyperlink" Target="https://caselaw.findlaw.com/court/fl-district-court-of-appeal/115346402.html" TargetMode="External"/><Relationship Id="rId1356" Type="http://schemas.openxmlformats.org/officeDocument/2006/relationships/hyperlink" Target="https://www.supremecourt.gov/opinions/17pdf/16-285_q8l1.pdf" TargetMode="External"/><Relationship Id="rId2102" Type="http://schemas.openxmlformats.org/officeDocument/2006/relationships/hyperlink" Target="https://ilcourtsaudio.blob.core.windows.net/" TargetMode="External"/><Relationship Id="rId2754" Type="http://schemas.openxmlformats.org/officeDocument/2006/relationships/hyperlink" Target="https://law.justia.com/cases/federal/appellate-courts/ca11/22-10132/22-10132-2022-11-22.html" TargetMode="External"/><Relationship Id="rId2961" Type="http://schemas.openxmlformats.org/officeDocument/2006/relationships/hyperlink" Target="https://www.nwitimes.com/news/local/lake/east-chicago/judge-orders-east-chicago-to-give-firefighters-back-their-old-work-shifts/article_0a0ebd36-f823-513f-a2fc-d1d6d95613d7.html" TargetMode="External"/><Relationship Id="rId726" Type="http://schemas.openxmlformats.org/officeDocument/2006/relationships/hyperlink" Target="https://www.cdcr.ca.gov/facility-locator/conservation-camps/" TargetMode="External"/><Relationship Id="rId933" Type="http://schemas.openxmlformats.org/officeDocument/2006/relationships/hyperlink" Target="https://casetext.com/case/county-of-sacramento-v-lewis" TargetMode="External"/><Relationship Id="rId1009" Type="http://schemas.openxmlformats.org/officeDocument/2006/relationships/hyperlink" Target="https://cms7files1.revize.com/starkcountyoh/f22-16.wbh.sl.pdf" TargetMode="External"/><Relationship Id="rId1563" Type="http://schemas.openxmlformats.org/officeDocument/2006/relationships/hyperlink" Target="https://apnews.com/article/police-discrimination-race-and-ethnicity-racial-injustice-f2c6b37bb79c744582a54652cb86b9d7" TargetMode="External"/><Relationship Id="rId1770" Type="http://schemas.openxmlformats.org/officeDocument/2006/relationships/hyperlink" Target="https://www.verywellmind.com/rates-of-ptsd-in-firefighters-2797428" TargetMode="External"/><Relationship Id="rId1868" Type="http://schemas.openxmlformats.org/officeDocument/2006/relationships/hyperlink" Target="https://ecf.ksd.uscourts.gov/cgi-bin/show_public_doc?2022cv4020-41" TargetMode="External"/><Relationship Id="rId2407" Type="http://schemas.openxmlformats.org/officeDocument/2006/relationships/hyperlink" Target="https://courts.illinois.gov/Opinions/SupremeCourt/2020/124610.pdf" TargetMode="External"/><Relationship Id="rId2614" Type="http://schemas.openxmlformats.org/officeDocument/2006/relationships/hyperlink" Target="https://cases.justia.com/federal/district-courts/virginia/vawdce/6:2024cv00051/132979/41/0.pdf?ts=1779390167" TargetMode="External"/><Relationship Id="rId2821" Type="http://schemas.openxmlformats.org/officeDocument/2006/relationships/hyperlink" Target="http://www.tncourts.gov/sites/default/files/ronald_ledford_et_al._v._john_ben_sneed_et_al..pdf" TargetMode="External"/><Relationship Id="rId62" Type="http://schemas.openxmlformats.org/officeDocument/2006/relationships/hyperlink" Target="https://cases.justia.com/new-jersey/appellate-division-unpublished/2025-a-1179-23.pdf?ts=1765469961" TargetMode="External"/><Relationship Id="rId1216" Type="http://schemas.openxmlformats.org/officeDocument/2006/relationships/hyperlink" Target="https://casetext.com/case/clark-v-town-of-waterford" TargetMode="External"/><Relationship Id="rId1423" Type="http://schemas.openxmlformats.org/officeDocument/2006/relationships/hyperlink" Target="https://public.fastcase.com/ZZhmr5v9wN%2FXOe5IsQ%2FqD9BUVBv1kUZp9ZGh4udwVOZOikyKuqCQ4FBlGwYEPhOQ?utm_medium=email&amp;_hsmi=226712652&amp;_hsenc=p2ANqtz-8T0ew8oNT-12TbgKrs2ORAj7WbRAGASG77xIYUvebbTcAbFOuK4r9xkTZLpSPqAw77_8KgP47FqlehaZADxsQlpR3k0g&amp;utm_content=226712652&amp;utm_source=hs_email" TargetMode="External"/><Relationship Id="rId1630" Type="http://schemas.openxmlformats.org/officeDocument/2006/relationships/hyperlink" Target="https://fox8.com/news/i-team-race-and-sex-used-to-schedule-ems-bosses/" TargetMode="External"/><Relationship Id="rId2919" Type="http://schemas.openxmlformats.org/officeDocument/2006/relationships/hyperlink" Target="https://www.vindy.com/news/local-news/2024/03/citys-request-to-dismiss-fire-union-case-falters/" TargetMode="External"/><Relationship Id="rId1728" Type="http://schemas.openxmlformats.org/officeDocument/2006/relationships/hyperlink" Target="https://cases.justia.com/federal/district-courts/tennessee/tnmdce/3:2021cv00807/88141/32/0.pdf" TargetMode="External"/><Relationship Id="rId1935" Type="http://schemas.openxmlformats.org/officeDocument/2006/relationships/hyperlink" Target="https://www.justice.gov/crt/case-document/file/1227366/download" TargetMode="External"/><Relationship Id="rId2197" Type="http://schemas.openxmlformats.org/officeDocument/2006/relationships/hyperlink" Target="https://www.vermontpublic.org/local-news/2024-01-31/burlington-sued-over-claims-of-excessive-force-and-inappropriate-ketamine-use-on-14-year-old" TargetMode="External"/><Relationship Id="rId3010" Type="http://schemas.openxmlformats.org/officeDocument/2006/relationships/hyperlink" Target="https://www.law.cornell.edu/definitions/index.php?width=840&amp;height=800&amp;iframe=true&amp;def_id=977e8a5a6738f2296549dee03e70816a&amp;term_occur=999&amp;term_src=Title:24:Subtitle:B:Chapter:II:Subchapter:I:Part:291:Subpart:F:291.530" TargetMode="External"/><Relationship Id="rId169" Type="http://schemas.openxmlformats.org/officeDocument/2006/relationships/hyperlink" Target="https://wsau.com/2022/03/02/wausau-man-sentenced-in-arson-case/" TargetMode="External"/><Relationship Id="rId376" Type="http://schemas.openxmlformats.org/officeDocument/2006/relationships/hyperlink" Target="https://www.cincinnati.com/story/news/crime/crime-and-courts/2018/11/13/pike-county-massacre-wagner-family-arrested-rhoden-family-homicides/1373456002/" TargetMode="External"/><Relationship Id="rId583" Type="http://schemas.openxmlformats.org/officeDocument/2006/relationships/hyperlink" Target="https://codes.findlaw.com/ny/general-obligations-law/gob-sect-11-106.html" TargetMode="External"/><Relationship Id="rId790" Type="http://schemas.openxmlformats.org/officeDocument/2006/relationships/hyperlink" Target="https://www.ftc.gov/enforcement/statutes/fair-credit-reporting-act" TargetMode="External"/><Relationship Id="rId2057" Type="http://schemas.openxmlformats.org/officeDocument/2006/relationships/hyperlink" Target="https://www.law.cornell.edu/rules/fre/rule_803" TargetMode="External"/><Relationship Id="rId2264" Type="http://schemas.openxmlformats.org/officeDocument/2006/relationships/hyperlink" Target="http://www.ca5.uscourts.gov/opinions/unpub/22/22-60374.0.pdf" TargetMode="External"/><Relationship Id="rId2471" Type="http://schemas.openxmlformats.org/officeDocument/2006/relationships/hyperlink" Target="https://cases.justia.com/federal/district-courts/kentucky/kyedce/5:2016cv00446/81785/59/0.pdf?ts=1529661227" TargetMode="External"/><Relationship Id="rId4" Type="http://schemas.openxmlformats.org/officeDocument/2006/relationships/settings" Target="settings.xml"/><Relationship Id="rId236" Type="http://schemas.openxmlformats.org/officeDocument/2006/relationships/hyperlink" Target="https://www.law.cornell.edu/supct-cgi/get-us-cite?543+70" TargetMode="External"/><Relationship Id="rId443" Type="http://schemas.openxmlformats.org/officeDocument/2006/relationships/hyperlink" Target="https://cases.justia.com/federal/district-courts/new-york/nysdce/7:2024cv04470/623029/85/0.pdf?ts=1756903853" TargetMode="External"/><Relationship Id="rId650" Type="http://schemas.openxmlformats.org/officeDocument/2006/relationships/hyperlink" Target="https://www.courthousenews.com/wp-content/uploads/2026/07/fresno-prelim-grants.pdf" TargetMode="External"/><Relationship Id="rId888" Type="http://schemas.openxmlformats.org/officeDocument/2006/relationships/hyperlink" Target="https://www.supremecourt.gov/opinions/24pdf/23-1363_d1o3.pdf" TargetMode="External"/><Relationship Id="rId1073" Type="http://schemas.openxmlformats.org/officeDocument/2006/relationships/hyperlink" Target="https://cases.justia.com/delaware/supreme-court/2025-152-2025.pdf?ts=1764862317" TargetMode="External"/><Relationship Id="rId1280" Type="http://schemas.openxmlformats.org/officeDocument/2006/relationships/hyperlink" Target="http://codes.ohio.gov/orc/4113.52" TargetMode="External"/><Relationship Id="rId2124" Type="http://schemas.openxmlformats.org/officeDocument/2006/relationships/hyperlink" Target="https://www.courts.wa.gov/opinions/pdf/862057.pdf" TargetMode="External"/><Relationship Id="rId2331" Type="http://schemas.openxmlformats.org/officeDocument/2006/relationships/hyperlink" Target="https://codes.ohio.gov/ohio-revised-code/section-4511.191" TargetMode="External"/><Relationship Id="rId2569" Type="http://schemas.openxmlformats.org/officeDocument/2006/relationships/hyperlink" Target="https://dailyvoice.com/pennsylvania/chester/news/comfort-dogs-allowed-for-some-during-criminal-trials-pa-supreme-court-rules/816798/" TargetMode="External"/><Relationship Id="rId2776" Type="http://schemas.openxmlformats.org/officeDocument/2006/relationships/hyperlink" Target="https://www.firehouse.com/careers-education/news/21251649/judge-springfield-ma-city-must-enforce-residency-rules" TargetMode="External"/><Relationship Id="rId2983" Type="http://schemas.openxmlformats.org/officeDocument/2006/relationships/hyperlink" Target="https://www.sfgate.com/news/article/Supreme-Court-rules-that-companies-can-require-12931130.php" TargetMode="External"/><Relationship Id="rId303" Type="http://schemas.openxmlformats.org/officeDocument/2006/relationships/hyperlink" Target="http://decisions.courts.state.ny.us/ad3/Decisions/2020/530081.pdf" TargetMode="External"/><Relationship Id="rId748" Type="http://schemas.openxmlformats.org/officeDocument/2006/relationships/hyperlink" Target="https://storage.courtlistener.com/recap/gov.uscourts.nynd.134829/gov.uscourts.nynd.134829.27.0_1.pdf" TargetMode="External"/><Relationship Id="rId955" Type="http://schemas.openxmlformats.org/officeDocument/2006/relationships/hyperlink" Target="https://public.fastcase.com/Wl%2B2t%2BeVuI35%2FN70vAMFZn8FExk2ons8UFiGzSPZ6Ig%2B2pF54RtCKp9IHiewQM23" TargetMode="External"/><Relationship Id="rId1140" Type="http://schemas.openxmlformats.org/officeDocument/2006/relationships/hyperlink" Target="https://casetext.com/case/pastrana-v-nyc-fire-pension-fund" TargetMode="External"/><Relationship Id="rId1378" Type="http://schemas.openxmlformats.org/officeDocument/2006/relationships/hyperlink" Target="https://www.iaff.org/cpat/" TargetMode="External"/><Relationship Id="rId1585" Type="http://schemas.openxmlformats.org/officeDocument/2006/relationships/hyperlink" Target="https://www.supremecourt.gov/opinions/22pdf/600us1r53_4g15.pdf" TargetMode="External"/><Relationship Id="rId1792" Type="http://schemas.openxmlformats.org/officeDocument/2006/relationships/hyperlink" Target="https://cases.justia.com/federal/district-courts/new-hampshire/nhdce/1:2025cv00071/65030/35/0.pdf?ts=1788980071" TargetMode="External"/><Relationship Id="rId2429" Type="http://schemas.openxmlformats.org/officeDocument/2006/relationships/hyperlink" Target="https://casetext.com/case/didonato-v-panatera" TargetMode="External"/><Relationship Id="rId2636" Type="http://schemas.openxmlformats.org/officeDocument/2006/relationships/hyperlink" Target="https://www.youtube.com/watch?v=NQ_XX2qp684" TargetMode="External"/><Relationship Id="rId2843" Type="http://schemas.openxmlformats.org/officeDocument/2006/relationships/hyperlink" Target="https://cases.justia.com/federal/appellate-courts/ca9/18-16994/18-16994-2020-03-05.pdf?ts=1583442068" TargetMode="External"/><Relationship Id="rId84" Type="http://schemas.openxmlformats.org/officeDocument/2006/relationships/hyperlink" Target="https://caselaw.findlaw.com/court/ga-court-of-appeals/117421566.html" TargetMode="External"/><Relationship Id="rId510" Type="http://schemas.openxmlformats.org/officeDocument/2006/relationships/hyperlink" Target="https://casetext.com/case/theodoreu-v-chester-fire-district" TargetMode="External"/><Relationship Id="rId608" Type="http://schemas.openxmlformats.org/officeDocument/2006/relationships/hyperlink" Target="https://www.bwc.ohio.gov/downloads/blankpdf/C-265.pdf" TargetMode="External"/><Relationship Id="rId815" Type="http://schemas.openxmlformats.org/officeDocument/2006/relationships/hyperlink" Target="https://www.ca4.uscourts.gov/opinions/201119.P.pdf" TargetMode="External"/><Relationship Id="rId1238" Type="http://schemas.openxmlformats.org/officeDocument/2006/relationships/hyperlink" Target="https://www.monastlaw.com/library/scheduled-loss-compensation-after-amputation-or-loss-of-use.cfm" TargetMode="External"/><Relationship Id="rId1445" Type="http://schemas.openxmlformats.org/officeDocument/2006/relationships/hyperlink" Target="https://www.firelawblog.com/2022/03/13/court-refuses-to-dismiss-state-law-claims-in-norfolk-retaliation-suit/" TargetMode="External"/><Relationship Id="rId1652" Type="http://schemas.openxmlformats.org/officeDocument/2006/relationships/hyperlink" Target="https://public.fastcase.com/Wl%2B2t%2BeVuI35%2FN70vAMFZjxlcnGgF4KmxTbsHmdpUnhrKX1xZ8%2F1BaT4X1Cm7%2Fji" TargetMode="External"/><Relationship Id="rId1000" Type="http://schemas.openxmlformats.org/officeDocument/2006/relationships/hyperlink" Target="https://codes.ohio.gov/ohio-administrative-code/rule-4123:1-3-06" TargetMode="External"/><Relationship Id="rId1305" Type="http://schemas.openxmlformats.org/officeDocument/2006/relationships/hyperlink" Target="https://www.azcourts.gov/Portals/0/OpinionFiles/Div1/2020/1%20CA-IC%2019-0036%20-%20Forbach.pdf" TargetMode="External"/><Relationship Id="rId1957" Type="http://schemas.openxmlformats.org/officeDocument/2006/relationships/hyperlink" Target="https://www.njcourts.gov/system/files/court-opinions/2026/a3876-23a3886-23.pdf" TargetMode="External"/><Relationship Id="rId2703" Type="http://schemas.openxmlformats.org/officeDocument/2006/relationships/hyperlink" Target="https://indepthnh.org/2023/11/14/rep-jon-stones-records-as-a-cop-are-humiliating-lawyer-tells-nh-supreme-court/" TargetMode="External"/><Relationship Id="rId2910" Type="http://schemas.openxmlformats.org/officeDocument/2006/relationships/hyperlink" Target="https://www.supremecourt.ohio.gov/rod/docs/pdf/0/2024/2024-Ohio-5174.pdf" TargetMode="External"/><Relationship Id="rId1512" Type="http://schemas.openxmlformats.org/officeDocument/2006/relationships/hyperlink" Target="https://www.eeoc.gov/laws/guidance/pregnancy_guidance.cfm" TargetMode="External"/><Relationship Id="rId1817" Type="http://schemas.openxmlformats.org/officeDocument/2006/relationships/hyperlink" Target="https://osc.gov/Services/Pages/USERRA-Employee.aspx" TargetMode="External"/><Relationship Id="rId11" Type="http://schemas.openxmlformats.org/officeDocument/2006/relationships/image" Target="media/image2.png"/><Relationship Id="rId398" Type="http://schemas.openxmlformats.org/officeDocument/2006/relationships/hyperlink" Target="https://www.casemine.com/judgement/us/6a70a2cd9499dcd9c1f502f5" TargetMode="External"/><Relationship Id="rId2079" Type="http://schemas.openxmlformats.org/officeDocument/2006/relationships/hyperlink" Target="https://law.justia.com/codes/idaho/title-37/chapter-27/article-iv/section-37-2739c/" TargetMode="External"/><Relationship Id="rId3032" Type="http://schemas.openxmlformats.org/officeDocument/2006/relationships/hyperlink" Target="https://www.congress.gov/bill/117th-congress/house-bill/4445/text" TargetMode="External"/><Relationship Id="rId160" Type="http://schemas.openxmlformats.org/officeDocument/2006/relationships/hyperlink" Target="https://apnews.com/article/michigan-drone-photos-constitution-3c30154b6f1af1b234c1cc8f64945237" TargetMode="External"/><Relationship Id="rId2286" Type="http://schemas.openxmlformats.org/officeDocument/2006/relationships/hyperlink" Target="https://mdcourts.gov/data/opinions/cosa/2022/1037s21.pdf" TargetMode="External"/><Relationship Id="rId2493" Type="http://schemas.openxmlformats.org/officeDocument/2006/relationships/hyperlink" Target="https://caselaw.findlaw.com/court/fl-district-court-of-appeal/114825250.html" TargetMode="External"/><Relationship Id="rId258" Type="http://schemas.openxmlformats.org/officeDocument/2006/relationships/hyperlink" Target="https://law.justia.com/cases/federal/appellate-courts/ca6/13-3274/13-3274-2014-03-13.html" TargetMode="External"/><Relationship Id="rId465" Type="http://schemas.openxmlformats.org/officeDocument/2006/relationships/hyperlink" Target="https://casetext.com/case/slaughter-v-mayor-city-council-of-balt" TargetMode="External"/><Relationship Id="rId672" Type="http://schemas.openxmlformats.org/officeDocument/2006/relationships/hyperlink" Target="https://www.hstoday.us/subject-matter-areas/unmanned-vehicles/eyes-in-the-sky-do-cities-need-warrants-for-drones/" TargetMode="External"/><Relationship Id="rId1095" Type="http://schemas.openxmlformats.org/officeDocument/2006/relationships/hyperlink" Target="https://cases.justia.com/kentucky/court-of-appeals/2025-2024-ca-0152-mr.pdf?ts=1748009113" TargetMode="External"/><Relationship Id="rId2146" Type="http://schemas.openxmlformats.org/officeDocument/2006/relationships/hyperlink" Target="https://caselaw.findlaw.com/court/ma-court-of-appeals/116890923.html" TargetMode="External"/><Relationship Id="rId2353" Type="http://schemas.openxmlformats.org/officeDocument/2006/relationships/hyperlink" Target="https://fisheldowney.com/texas-federal-court-permits-employer-vaccine-mandates-mean-ohio-employers/" TargetMode="External"/><Relationship Id="rId2560" Type="http://schemas.openxmlformats.org/officeDocument/2006/relationships/hyperlink" Target="https://gemm.site/2022/02/25/an-off-duty-cop-murdered-his-ex-girlfriend-the-california-highway-patrol-ignored-the-red-flags/" TargetMode="External"/><Relationship Id="rId2798" Type="http://schemas.openxmlformats.org/officeDocument/2006/relationships/hyperlink" Target="https://convention2018.iaff.org/general-counsels-report/" TargetMode="External"/><Relationship Id="rId118" Type="http://schemas.openxmlformats.org/officeDocument/2006/relationships/hyperlink" Target="https://www.tncourts.gov/sites/default/files/OpinionsPDFVersion/Majority%20Opinion%20-%20M2023-01176-CCA-R3-CD.pdf" TargetMode="External"/><Relationship Id="rId325" Type="http://schemas.openxmlformats.org/officeDocument/2006/relationships/hyperlink" Target="https://www.opn.ca6.uscourts.gov/opinions.pdf/20a0374n-06.pdf" TargetMode="External"/><Relationship Id="rId532" Type="http://schemas.openxmlformats.org/officeDocument/2006/relationships/hyperlink" Target="https://public.fastcase.com/ZZhmr5v9wN%2FXOe5IsQ%2FqDy4piE023A%2FvmSBZ1OCyQDEvBrcypTxVYbDuh3sY1MRUTGEZ3quKqv94bkTO%2F3v9wUJnk5dj4IB3vpOq4w%2BY%2Blk%3D?utm_medium=email&amp;_hsmi=226712652&amp;_hsenc=p2ANqtz-8dDlTMCBDdR7Y6gBwCrwIFOUd7uQb6M2Q9eK5s_ERy0q0NLXHPkcRz9CocUT1WV-MgV98KLfaLWIoQPZBtf1lJjMQcjw&amp;utm_content=226712652&amp;utm_source=hs_email" TargetMode="External"/><Relationship Id="rId977" Type="http://schemas.openxmlformats.org/officeDocument/2006/relationships/hyperlink" Target="https://cases.justia.com/virginia/court-of-appeals-unpublished/2025-0990-24-1.pdf?ts=1761062926" TargetMode="External"/><Relationship Id="rId1162" Type="http://schemas.openxmlformats.org/officeDocument/2006/relationships/hyperlink" Target="https://casetext.com/case/lexington-fayette-urban-cnty-govt-v-gosper-1" TargetMode="External"/><Relationship Id="rId2006" Type="http://schemas.openxmlformats.org/officeDocument/2006/relationships/hyperlink" Target="https://www.2dca.org/content/download/849844/opinion/211477_DC13_09232022_081840_i.pdf" TargetMode="External"/><Relationship Id="rId2213" Type="http://schemas.openxmlformats.org/officeDocument/2006/relationships/hyperlink" Target="https://cases.justia.com/minnesota/court-of-appeals/2024-a23-1210.pdf?ts=1710536669" TargetMode="External"/><Relationship Id="rId2420" Type="http://schemas.openxmlformats.org/officeDocument/2006/relationships/hyperlink" Target="https://firstliberty.org/media/breaking-church-louisville-ky-mayor-reach-agreement-in-dispute-over-drive-in-church-services/" TargetMode="External"/><Relationship Id="rId2658" Type="http://schemas.openxmlformats.org/officeDocument/2006/relationships/hyperlink" Target="https://cases.justia.com/federal/appellate-courts/ca4/24-1782/24-1782-2025-06-05.pdf?ts=1749150038" TargetMode="External"/><Relationship Id="rId2865" Type="http://schemas.openxmlformats.org/officeDocument/2006/relationships/hyperlink" Target="http://www.iaff421.org/?zone=/unionactive/private_view_page.cfm&amp;page=Know20Your20Rights21" TargetMode="External"/><Relationship Id="rId837" Type="http://schemas.openxmlformats.org/officeDocument/2006/relationships/hyperlink" Target="https://oig.justice.gov/special/s0601/final.pdf" TargetMode="External"/><Relationship Id="rId1022" Type="http://schemas.openxmlformats.org/officeDocument/2006/relationships/hyperlink" Target="https://codes.ohio.gov/ohio-revised-code/section-4511.03" TargetMode="External"/><Relationship Id="rId1467" Type="http://schemas.openxmlformats.org/officeDocument/2006/relationships/hyperlink" Target="https://casetext.com/case/mendoza-v-rio-rico-med-1" TargetMode="External"/><Relationship Id="rId1674" Type="http://schemas.openxmlformats.org/officeDocument/2006/relationships/hyperlink" Target="https://www.ca1.uscourts.gov/sites/ca1/files/opnfiles/25-1732P-01A.pdf" TargetMode="External"/><Relationship Id="rId1881" Type="http://schemas.openxmlformats.org/officeDocument/2006/relationships/hyperlink" Target="https://www.law.cornell.edu/definitions/uscode.php?width=840&amp;height=800&amp;iframe=true&amp;def_id=29-USC-3641640-1968318500&amp;term_occur=999&amp;term_src=title:29:chapter:9:section:260" TargetMode="External"/><Relationship Id="rId2518" Type="http://schemas.openxmlformats.org/officeDocument/2006/relationships/hyperlink" Target="https://public.fastcase.com/jaEE2PXzRXmZ99jOLMt1IgF1yYEhvQDwrp3nUQiGNB%2BGSciFeLM%2FmBTuULLxAVc6AJd7N%2FBSzM%2BwBsHVa7Iixu%2BNwJWRs9nDd4Lbk0%2BZyEc%3D?utm_medium=email&amp;_hsenc=p2ANqtz-_AJp8PZettrdOWllyvjduuYkYNLjKGvTo7FG_iUypW4feeCV7HNQpd9yy59szCksxig4Y61bV5hSQSKDqcsmFU4r11KQ&amp;_hsmi=226712652&amp;utm_content=226712652&amp;utm_source=hs_email" TargetMode="External"/><Relationship Id="rId2725" Type="http://schemas.openxmlformats.org/officeDocument/2006/relationships/hyperlink" Target="https://law.justia.com/cases/federal/appellate-courts/ca5/22-40438/22-40438-2023-08-15.html" TargetMode="External"/><Relationship Id="rId2932" Type="http://schemas.openxmlformats.org/officeDocument/2006/relationships/hyperlink" Target="https://law.justia.com/cases/federal/district-courts/virginia/vawdce/6:2021cv00025/122367/36/" TargetMode="External"/><Relationship Id="rId904" Type="http://schemas.openxmlformats.org/officeDocument/2006/relationships/hyperlink" Target="https://casetext.com/case/borel-v-city-of-murrieta" TargetMode="External"/><Relationship Id="rId1327" Type="http://schemas.openxmlformats.org/officeDocument/2006/relationships/hyperlink" Target="http://www.pacourts.us/assets/opinions/Commonwealth/out/877CD18_3-25-19.pdf?cb=1" TargetMode="External"/><Relationship Id="rId1534" Type="http://schemas.openxmlformats.org/officeDocument/2006/relationships/hyperlink" Target="https://cases.justia.com/federal/appellate-courts/ca7/24-3262/24-3262-2026-06-08.pdf?ts=1780948846" TargetMode="External"/><Relationship Id="rId1741" Type="http://schemas.openxmlformats.org/officeDocument/2006/relationships/hyperlink" Target="https://www.leagle.com/decision/infdco20211215796" TargetMode="External"/><Relationship Id="rId1979" Type="http://schemas.openxmlformats.org/officeDocument/2006/relationships/hyperlink" Target="https://casetext.com/statute/montana-code/title-2-government-structure-and-administration/chapter-4-administrative-procedure-act/part-7-judicial-review-of-contested-cases/section-2-4-702-effective-until-1012025-initiating-judicial-review-of-contested-cases" TargetMode="External"/><Relationship Id="rId33" Type="http://schemas.openxmlformats.org/officeDocument/2006/relationships/hyperlink" Target="https://cases.justia.com/federal/district-courts/indiana/inndce/3:2025cv00741/124078/29/0.pdf?ts=1787223415" TargetMode="External"/><Relationship Id="rId1601" Type="http://schemas.openxmlformats.org/officeDocument/2006/relationships/hyperlink" Target="https://public.fastcase.com/J%2FJP6pdidelsXxEE4k%2BLMgHzbJp7ohVf6eJnqqVRZsR3ljYGLWqzA%2BaNrEJEjuoSNSzJxXmSxLQZTPvgqQmcEiF1aE%2BspvM2CCoAx4ikJzY%3D?utm_medium=email&amp;_hsmi=226712652&amp;_hsenc=p2ANqtz-8P0uzvemqlc89p8NGs_MEabF92WO0Yw0J6IjilR3LUZDOGdMMkuiwHYzQhEyPy65nnWBVskQbx-uRxwGqC5jWNg9aYuA&amp;utm_content=226712652&amp;utm_source=hs_email" TargetMode="External"/><Relationship Id="rId1839" Type="http://schemas.openxmlformats.org/officeDocument/2006/relationships/hyperlink" Target="https://public.fastcase.com/H1P9uiW3J20SFp%2BGCG%2BxLZy365%2FN0MVDalUuZRIy4n4W%2BHhfv4X1Vzo9ca%2F3mj3k?utm_medium=email&amp;_hsenc=p2ANqtz-8KCYiZyhHUOjRg0MO9pgx_C58MSGHRNzoS8NOUFD5AstP_fG6MazYJg2nKApB1QIRI0-vQrIVEAwfGYCTHYw0GOi6xfA&amp;_hsmi=226712652&amp;utm_content=226712652&amp;utm_source=hs_email" TargetMode="External"/><Relationship Id="rId182" Type="http://schemas.openxmlformats.org/officeDocument/2006/relationships/hyperlink" Target="https://public.fastcase.com/ZZhmr5v9wN%2FXOe5IsQ%2FqD2fzv3LeHoflue5q9psYL7ORT%2BZZIoU2RVo8o6kc8WH7t7R2fWOBL%2B6EWJeWP%2BK6nygdTJbos59lEHeljv9w%2F%2Bc%3D?utm_medium=email&amp;_hsmi=226712652&amp;_hsenc=p2ANqtz-9_BwSf3Cp56T9vKm_WV06wXpWhxnLFIP0rTKtRtiI7Ej-XlIsGIA-Piz3XwrAq08q95_o9LD6MRwwtLQfaW73VBnYSKQ&amp;utm_content=226712652&amp;utm_source=hs_email" TargetMode="External"/><Relationship Id="rId1906" Type="http://schemas.openxmlformats.org/officeDocument/2006/relationships/hyperlink" Target="https://law.justia.com/cases/federal/district-courts/indiana/inndce/2:2019cv00065/97508/61/" TargetMode="External"/><Relationship Id="rId487" Type="http://schemas.openxmlformats.org/officeDocument/2006/relationships/hyperlink" Target="https://www.scribd.com/document/312245216/Career-Probationary-Firefighter-Runs-Out-of-Air-and-Dies-in-Commercial-Structure-Fire" TargetMode="External"/><Relationship Id="rId694" Type="http://schemas.openxmlformats.org/officeDocument/2006/relationships/hyperlink" Target="https://www.supremecourt.gov/opinions/24pdf/24a949_lkhn.pdf" TargetMode="External"/><Relationship Id="rId2070" Type="http://schemas.openxmlformats.org/officeDocument/2006/relationships/hyperlink" Target="https://www.coloradojudicial.gov/system/files/opinions-2026-06/24CA1002.pdf" TargetMode="External"/><Relationship Id="rId2168" Type="http://schemas.openxmlformats.org/officeDocument/2006/relationships/hyperlink" Target="https://revisor.mo.gov/main/OneSection.aspx?section=195.205" TargetMode="External"/><Relationship Id="rId2375" Type="http://schemas.openxmlformats.org/officeDocument/2006/relationships/hyperlink" Target="https://law.justia.com/cases/delaware/superior-court/2021/n17c-10-149-alr.html" TargetMode="External"/><Relationship Id="rId347" Type="http://schemas.openxmlformats.org/officeDocument/2006/relationships/hyperlink" Target="https://www.courts.ca.gov/opinions/nonpub/C087060.PDF" TargetMode="External"/><Relationship Id="rId999" Type="http://schemas.openxmlformats.org/officeDocument/2006/relationships/hyperlink" Target="https://casetext.com/case/wakefield-v-williamstown-volunteer-fire-co" TargetMode="External"/><Relationship Id="rId1184" Type="http://schemas.openxmlformats.org/officeDocument/2006/relationships/hyperlink" Target="https://www.ilga.gov/legislation/ilcs/ilcs3.asp?ActID=2431&amp;ChapterID=68" TargetMode="External"/><Relationship Id="rId2028" Type="http://schemas.openxmlformats.org/officeDocument/2006/relationships/hyperlink" Target="https://www.fireengineering.com/leadership/marijuana-in-the-fire-service-up-in-smoke-part-ii/" TargetMode="External"/><Relationship Id="rId2582" Type="http://schemas.openxmlformats.org/officeDocument/2006/relationships/hyperlink" Target="https://www.postbulletin.com/news/public_safety/ptsd-now-an-occupational-disease-for-first-responders/article_27a2353c-15d3-11e9-a864-cb74a37ce7f1.html" TargetMode="External"/><Relationship Id="rId2887" Type="http://schemas.openxmlformats.org/officeDocument/2006/relationships/hyperlink" Target="https://www4.courts.ca.gov/opinions/nonpub/B347429.PDF" TargetMode="External"/><Relationship Id="rId554" Type="http://schemas.openxmlformats.org/officeDocument/2006/relationships/hyperlink" Target="https://www.newyorker.com/news/our-local-correspondents/what-the-supreme-courts-gun-ruling-means-for-new-york" TargetMode="External"/><Relationship Id="rId761" Type="http://schemas.openxmlformats.org/officeDocument/2006/relationships/hyperlink" Target="https://casetext.com/case/united-states-v-williams-3941" TargetMode="External"/><Relationship Id="rId859" Type="http://schemas.openxmlformats.org/officeDocument/2006/relationships/hyperlink" Target="https://www.supremecourt.gov/opinions/17pdf/16-402_h315.pdf" TargetMode="External"/><Relationship Id="rId1391" Type="http://schemas.openxmlformats.org/officeDocument/2006/relationships/hyperlink" Target="https://cases.justia.com/federal/district-courts/texas/txsdce/6:2022cv00002/1858056/21/0.pdf?ts=1664555743" TargetMode="External"/><Relationship Id="rId1489" Type="http://schemas.openxmlformats.org/officeDocument/2006/relationships/hyperlink" Target="https://public.fastcase.com/Wl%2B2t%2BeVuI35%2FN70vAMFZlbQ%2BrzY3OsVa9hMy3HWGsXkXncgvfLlObTaYTDVckkj" TargetMode="External"/><Relationship Id="rId1696" Type="http://schemas.openxmlformats.org/officeDocument/2006/relationships/hyperlink" Target="https://public.fastcase.com/jaEE2PXzRXmZ99jOLMt1Ipey3nn80Qzm5FjlczUETsDTuQT39ugB8joG6QHEs86OG3nGrKzxwZV4%2Fla6pLxdspdlDpATTrpmmFlVcXapI1M%3D?utm_medium=email&amp;_hsenc=p2ANqtz-8lwnqzIFsmVJzuahWcWVuNvva5eg1m46jktTnS1rNp1Tgpui8ycBPAblsV379ZnZFl8lWnb4zQm5QdddO-2g4KXoMSJQ&amp;_hsmi=226712652&amp;utm_content=226712652&amp;utm_source=hs_email" TargetMode="External"/><Relationship Id="rId2235" Type="http://schemas.openxmlformats.org/officeDocument/2006/relationships/hyperlink" Target="http://www.courtswv.gov/supreme-court/docs/fall2023/22-0202-wooton-p.pdf" TargetMode="External"/><Relationship Id="rId2442" Type="http://schemas.openxmlformats.org/officeDocument/2006/relationships/hyperlink" Target="https://www.in.gov/judiciary/opinions/pdf/07151902rra.pdf" TargetMode="External"/><Relationship Id="rId207" Type="http://schemas.openxmlformats.org/officeDocument/2006/relationships/hyperlink" Target="https://law.justia.com/cases/kentucky/court-of-appeals/2023/2022-ca-0276-mr.html" TargetMode="External"/><Relationship Id="rId414" Type="http://schemas.openxmlformats.org/officeDocument/2006/relationships/hyperlink" Target="https://www.dailymail.com/news/article-9746389/Fatal-assisted-living-fire-linked-cleaning-ritual.html" TargetMode="External"/><Relationship Id="rId621" Type="http://schemas.openxmlformats.org/officeDocument/2006/relationships/hyperlink" Target="https://njcourts.gov/attorneys/assets/opinions/appellate/unpublished/a1346-17.pdf" TargetMode="External"/><Relationship Id="rId1044" Type="http://schemas.openxmlformats.org/officeDocument/2006/relationships/hyperlink" Target="http://codes.ohio.gov/orc/2744.07" TargetMode="External"/><Relationship Id="rId1251" Type="http://schemas.openxmlformats.org/officeDocument/2006/relationships/hyperlink" Target="https://apps.leg.wa.gov/rcw/default.aspx?cite=51.32.185" TargetMode="External"/><Relationship Id="rId1349" Type="http://schemas.openxmlformats.org/officeDocument/2006/relationships/hyperlink" Target="https://www.njcourts.gov/attorneys/assets/opinions/appellate/unpublished/a5206-15.pdf?cacheID=tO9Al6f" TargetMode="External"/><Relationship Id="rId2302" Type="http://schemas.openxmlformats.org/officeDocument/2006/relationships/hyperlink" Target="https://public.fastcase.com/waZtJvSA54UAurM2rmIZz3GImxM8vVu83JjC1hitqCF6J52x3NFj71FjQLuzCLQnmvBPUszpB78vzjnxu9to%2Fq0ClMx7mkWBtvY01d0uDxg%3D" TargetMode="External"/><Relationship Id="rId2747" Type="http://schemas.openxmlformats.org/officeDocument/2006/relationships/hyperlink" Target="https://public.fastcase.com/J%2FJP6pdidelsXxEE4k%2BLMpGubXoiBI9N5c5PiCjiKje3s5hlj34tgYA4JUqhEnHu5%2B5A2YVGp5a5q0QWGlZ62xJPhOyoXNaYGEvkYwXaoTE%3D?utm_medium=email&amp;_hsmi=226712652&amp;_hsenc=p2ANqtz-8eQQAtjUmF0fegxTEoYBNzAO-SWgh5MKAZ8ooS_Vj6VgR_AfS9P2NoltKqIQKTjr9fMeFfYMtr9y658qMKNZJxq-ULqA&amp;utm_content=226712652&amp;utm_source=hs_email" TargetMode="External"/><Relationship Id="rId2954" Type="http://schemas.openxmlformats.org/officeDocument/2006/relationships/hyperlink" Target="https://www.journal-news.com/news/local/fairfield-able-rehire-retired-fire-chief/JMPkJQCqJ2eIDqbu2eI8RK/" TargetMode="External"/><Relationship Id="rId719" Type="http://schemas.openxmlformats.org/officeDocument/2006/relationships/hyperlink" Target="https://storage.courtlistener.com/recap/gov.uscourts.cadc.39605/gov.uscourts.cadc.39605.1208600933.0.pdf" TargetMode="External"/><Relationship Id="rId926" Type="http://schemas.openxmlformats.org/officeDocument/2006/relationships/hyperlink" Target="https://casetext.com/case/dougherty-v-city-of-detroit" TargetMode="External"/><Relationship Id="rId1111" Type="http://schemas.openxmlformats.org/officeDocument/2006/relationships/hyperlink" Target="https://www.njcourts.gov/system/files/court-opinions/2025/a0585-22.pdf" TargetMode="External"/><Relationship Id="rId1556" Type="http://schemas.openxmlformats.org/officeDocument/2006/relationships/hyperlink" Target="https://www.wlwt.com/article/cincinnati-childrens-investigation-scholarships-minorities/64180173" TargetMode="External"/><Relationship Id="rId1763" Type="http://schemas.openxmlformats.org/officeDocument/2006/relationships/hyperlink" Target="https://www.justice.gov/opa/pr/justice-department-settles-college-resolve-disability-discrimination-complaint" TargetMode="External"/><Relationship Id="rId1970" Type="http://schemas.openxmlformats.org/officeDocument/2006/relationships/hyperlink" Targe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 TargetMode="External"/><Relationship Id="rId2607" Type="http://schemas.openxmlformats.org/officeDocument/2006/relationships/hyperlink" Target="https://www.heraldstaronline.com/news/local-news/2025/05/former-mingo-fire-chief-indicted-by-grand-jury/" TargetMode="External"/><Relationship Id="rId2814" Type="http://schemas.openxmlformats.org/officeDocument/2006/relationships/hyperlink" Target="https://public.fastcase.com/Wl%2B2t%2BeVuI35%2FN70vAMFZiys29g9i6WW2vOdml2B4dJUoMj0gy8QWoByD0pzloLe" TargetMode="External"/><Relationship Id="rId55" Type="http://schemas.openxmlformats.org/officeDocument/2006/relationships/hyperlink" Target="https://cases.justia.com/texas/first-court-of-appeals/2025-01-23-00905-cv.pdf?ts=1767189326" TargetMode="External"/><Relationship Id="rId1209" Type="http://schemas.openxmlformats.org/officeDocument/2006/relationships/hyperlink" Target="https://casetext.com/case/bradley-v-city-of-olympia" TargetMode="External"/><Relationship Id="rId1416" Type="http://schemas.openxmlformats.org/officeDocument/2006/relationships/hyperlink" Target="https://cases.justia.com/federal/district-courts/nevada/nvdce/2:2021cv01405/151510/46/0.pdf" TargetMode="External"/><Relationship Id="rId1623" Type="http://schemas.openxmlformats.org/officeDocument/2006/relationships/hyperlink" Target="https://public.fastcase.com/9SKwsfNqTc6OieYDhNMyMxPWhQYM2NMtpEG66qqzAJJdyGEqs31WbWeslV8WX8U%2F%2BJtRUyjyQVulPfpekvhmAP57MQmPUZf7QhfjsZd5wHk%3D" TargetMode="External"/><Relationship Id="rId1830" Type="http://schemas.openxmlformats.org/officeDocument/2006/relationships/hyperlink" Target="https://www.supremecourt.gov/opinions/24pdf/23-217_9o6b.pdf" TargetMode="External"/><Relationship Id="rId1928" Type="http://schemas.openxmlformats.org/officeDocument/2006/relationships/hyperlink" Target="https://www.law.cornell.edu/uscode/text/29/207" TargetMode="External"/><Relationship Id="rId2092" Type="http://schemas.openxmlformats.org/officeDocument/2006/relationships/hyperlink" Target="https://flcourts-media.flcourts.gov/content/download/2486201/opinion/Opinion_2025-1955.pdf" TargetMode="External"/><Relationship Id="rId271" Type="http://schemas.openxmlformats.org/officeDocument/2006/relationships/hyperlink" Target="https://cases.justia.com/california/court-of-appeal/2021-b295666.pdf?ts=1625180487" TargetMode="External"/><Relationship Id="rId2397" Type="http://schemas.openxmlformats.org/officeDocument/2006/relationships/hyperlink" Target="file:///C:/Users/lawre/AppData/Local/Temp/19P0716.pdf" TargetMode="External"/><Relationship Id="rId3003" Type="http://schemas.openxmlformats.org/officeDocument/2006/relationships/hyperlink" Target="https://ethics.ohio.gov/education/newsletters/VOE_25Q3.pdf" TargetMode="External"/><Relationship Id="rId131" Type="http://schemas.openxmlformats.org/officeDocument/2006/relationships/hyperlink" Target="https://www.firehero.org/fallen-firefighter/charles-e-morton/" TargetMode="External"/><Relationship Id="rId369" Type="http://schemas.openxmlformats.org/officeDocument/2006/relationships/hyperlink" Target="https://cases.justia.com/federal/appellate-courts/ca7/17-3060/17-3060-2018-08-14.pdf?ts=1534262420" TargetMode="External"/><Relationship Id="rId576" Type="http://schemas.openxmlformats.org/officeDocument/2006/relationships/hyperlink" Target="https://www.radio.com/kcbsradio/news/local/oakland-fire-stations-may-close-due-to-budget-deficit" TargetMode="External"/><Relationship Id="rId783" Type="http://schemas.openxmlformats.org/officeDocument/2006/relationships/hyperlink" Target="https://www.washingtonpost.com/opinions/2021/07/18/federal-appeals-court-decisions-handguns-opens-door-more-violence/?utm_campaign=wp_todays_headlines&amp;utm_medium=email&amp;utm_source=newsletter&amp;wpisrc=nl_headlines&amp;carta-url=https%3A%2F%2Fs2.washingtonpost.com%2Fcar-ln-tr%2F342e6a3%2F60f54d379d2fda945a0c336b%2F59731235ade4e21a848a56ed%2F42%2F67%2F60f54d379d2fda945a0c336b" TargetMode="External"/><Relationship Id="rId990" Type="http://schemas.openxmlformats.org/officeDocument/2006/relationships/hyperlink" Target="https://casetext.com/statute/texas-codes/civil-practice-and-remedies-code/title-5-governmental-liability/chapter-101-tort-claims/subchapter-b-tort-liability-of-governmental-units/section-101021-governmental-liability" TargetMode="External"/><Relationship Id="rId2257" Type="http://schemas.openxmlformats.org/officeDocument/2006/relationships/hyperlink" Target="https://law.justia.com/cases/new-york/other-courts/2023/2023-ny-slip-op-31298-u.html" TargetMode="External"/><Relationship Id="rId2464" Type="http://schemas.openxmlformats.org/officeDocument/2006/relationships/hyperlink" Target="http://decisions.courts.state.ny.us/ad3/Decisions/2018/526165.pdf" TargetMode="External"/><Relationship Id="rId2671" Type="http://schemas.openxmlformats.org/officeDocument/2006/relationships/hyperlink" Target="https://courts.delaware.gov/Opinions/Download.aspx?id=381340" TargetMode="External"/><Relationship Id="rId229" Type="http://schemas.openxmlformats.org/officeDocument/2006/relationships/hyperlink" Target="https://casetext.com/case/commonwealth-v-wise-36" TargetMode="External"/><Relationship Id="rId436" Type="http://schemas.openxmlformats.org/officeDocument/2006/relationships/hyperlink" Target="https://cases.justia.com/connecticut/court-of-appeals/2025-ac46735.pdf?ts=1766582340" TargetMode="External"/><Relationship Id="rId643" Type="http://schemas.openxmlformats.org/officeDocument/2006/relationships/hyperlink" Target="https://app.midpage.ai/document/united-states-v-the-commonwealth--c85a384c-42b4-409d-a974-45bc1b3029ac?refG=true" TargetMode="External"/><Relationship Id="rId1066" Type="http://schemas.openxmlformats.org/officeDocument/2006/relationships/hyperlink" Target="https://cases.justia.com/federal/appellate-courts/ca2/23-1218/23-1218-2026-04-30.pdf?ts=1777566611" TargetMode="External"/><Relationship Id="rId1273" Type="http://schemas.openxmlformats.org/officeDocument/2006/relationships/hyperlink" Target="https://public.fastcase.com/Wl%2B2t%2BeVuI35%2FN70vAMFZvIVF%2BSpwi61gSoehD%2F89NWJSNvj394DBr50iS5GXrLH" TargetMode="External"/><Relationship Id="rId1480" Type="http://schemas.openxmlformats.org/officeDocument/2006/relationships/hyperlink" Target="https://www.supremecourt.gov/opinions/19pdf/17-1618_hfci.pdf" TargetMode="External"/><Relationship Id="rId2117" Type="http://schemas.openxmlformats.org/officeDocument/2006/relationships/hyperlink" Target="https://jpr.azcourts.gov/Portals/0/OpinionFiles/Div1/2025/1%20CA-CR%2024-0549%20Johnson.pdf" TargetMode="External"/><Relationship Id="rId2324" Type="http://schemas.openxmlformats.org/officeDocument/2006/relationships/hyperlink" Target="https://www.nbcnews.com/news/us-news/u-s-supreme-court-hear-challenges-biden-s-vaccine-mandates-n1286536" TargetMode="External"/><Relationship Id="rId2769" Type="http://schemas.openxmlformats.org/officeDocument/2006/relationships/hyperlink" Target="https://casetext.com/case/owens-v-propes" TargetMode="External"/><Relationship Id="rId2976" Type="http://schemas.openxmlformats.org/officeDocument/2006/relationships/hyperlink" Target="https://law.justia.com/cases/new-york/appellate-division-second-department/2019/2016-10658.html" TargetMode="External"/><Relationship Id="rId850" Type="http://schemas.openxmlformats.org/officeDocument/2006/relationships/hyperlink" Target="https://www.law.com/thelegalintelligencer/2019/09/12/court-students-claim-to-want-to-beat-the-record-following-parkland-shooting-was-terroristic-threat/" TargetMode="External"/><Relationship Id="rId948" Type="http://schemas.openxmlformats.org/officeDocument/2006/relationships/hyperlink" Target="https://docs.justia.com/cases/federal/district-courts/new-york/nyedce/1:2019cv02400/432390/46" TargetMode="External"/><Relationship Id="rId1133" Type="http://schemas.openxmlformats.org/officeDocument/2006/relationships/hyperlink" Target="https://casetext.com/case/doe-v-city-of-philadelphia-5" TargetMode="External"/><Relationship Id="rId1578" Type="http://schemas.openxmlformats.org/officeDocument/2006/relationships/hyperlink" Target="https://www.tncourts.gov/sites/default/files/OpinionsPDFVersion/BoydTaurickOPN.pdf" TargetMode="External"/><Relationship Id="rId1785" Type="http://schemas.openxmlformats.org/officeDocument/2006/relationships/hyperlink" Target="https://www.dol.gov/sites/dolgov/files/WHD/legacy/files/fab_2020_7.pdf" TargetMode="External"/><Relationship Id="rId1992" Type="http://schemas.openxmlformats.org/officeDocument/2006/relationships/hyperlink" Target="https://cases.justia.com/texas/fifth-court-of-appeals/2024-05-22-01220-cr.pdf?ts=1708523726" TargetMode="External"/><Relationship Id="rId2531" Type="http://schemas.openxmlformats.org/officeDocument/2006/relationships/hyperlink" Target="https://cases.justia.com/arkansas/court-of-appeals/2024-cv-22-650.pdf?ts=1713971302" TargetMode="External"/><Relationship Id="rId2629" Type="http://schemas.openxmlformats.org/officeDocument/2006/relationships/hyperlink" Target="https://cases.justia.com/federal/district-courts/illinois/ilndce/1:2025cv10892/485962/24/0.pdf?ts=1769597667" TargetMode="External"/><Relationship Id="rId2836" Type="http://schemas.openxmlformats.org/officeDocument/2006/relationships/hyperlink" Target="https://www.heraldextra.com/news/local/crime-and-courts/millard-county-fire-chief-charged-with-raping-two-women-will/article_32fa3eae-85cc-5928-a493-88a75082f506.html" TargetMode="External"/><Relationship Id="rId77" Type="http://schemas.openxmlformats.org/officeDocument/2006/relationships/hyperlink" Target="https://ecf.flmd.uscourts.gov/cgi-bin/show_public_doc?2023-01890-113-6-cv" TargetMode="External"/><Relationship Id="rId503" Type="http://schemas.openxmlformats.org/officeDocument/2006/relationships/hyperlink" Target="https://law.justia.com/cases/wisconsin/supreme-court/1989/87-1094-9.html" TargetMode="External"/><Relationship Id="rId710" Type="http://schemas.openxmlformats.org/officeDocument/2006/relationships/hyperlink" Target="https://www.supremecourt.gov/opinions/23pdf/22-915_8o6b.pdf" TargetMode="External"/><Relationship Id="rId808" Type="http://schemas.openxmlformats.org/officeDocument/2006/relationships/hyperlink" Target="https://www.law.cornell.edu/definitions/uscode.php?width=840&amp;height=800&amp;iframe=true&amp;def_id=8-USC-2032517217-1201680101&amp;term_occur=999&amp;term_src=" TargetMode="External"/><Relationship Id="rId1340" Type="http://schemas.openxmlformats.org/officeDocument/2006/relationships/hyperlink" Target="https://www.ada.gov/filing_eeoc_complaint.htm" TargetMode="External"/><Relationship Id="rId1438" Type="http://schemas.openxmlformats.org/officeDocument/2006/relationships/hyperlink" Target="https://casetext.com/case/merrill-v-lane-fire-auth-1" TargetMode="External"/><Relationship Id="rId1645" Type="http://schemas.openxmlformats.org/officeDocument/2006/relationships/hyperlink" Target="https://casetext.com/case/bey-v-city-of-ny-7" TargetMode="External"/><Relationship Id="rId1200" Type="http://schemas.openxmlformats.org/officeDocument/2006/relationships/hyperlink" Target="https://codes.ohio.gov/ohio-revised-code/section-742.38" TargetMode="External"/><Relationship Id="rId1852" Type="http://schemas.openxmlformats.org/officeDocument/2006/relationships/hyperlink" Target="http://flsa-optin.com/My%20Docs/2023/Consent%20to%20Sue%20-%20IAFF%20781.pdf" TargetMode="External"/><Relationship Id="rId2903" Type="http://schemas.openxmlformats.org/officeDocument/2006/relationships/hyperlink" Target="https://insideinvestigator.org/court-upholds-finding-of-retaliation-against-suffield-firefighter/" TargetMode="External"/><Relationship Id="rId1505" Type="http://schemas.openxmlformats.org/officeDocument/2006/relationships/hyperlink" Target="https://assets.documentcloud.org/documents/5745041/Eeoc.pdf" TargetMode="External"/><Relationship Id="rId1712" Type="http://schemas.openxmlformats.org/officeDocument/2006/relationships/hyperlink" Target="https://www.supremecourt.gov/DocketPDF/23/23-997/311779/20240528141949268_23-997%20Stanley%20Reply%20In%20Support%20of%20Certiorari.pdf" TargetMode="External"/><Relationship Id="rId293" Type="http://schemas.openxmlformats.org/officeDocument/2006/relationships/hyperlink" Target="https://www.ethics.ohio.gov/education/gifts.html" TargetMode="External"/><Relationship Id="rId2181" Type="http://schemas.openxmlformats.org/officeDocument/2006/relationships/hyperlink" Target="https://www.law.cornell.edu/wex/excited_utterance" TargetMode="External"/><Relationship Id="rId3025" Type="http://schemas.openxmlformats.org/officeDocument/2006/relationships/hyperlink" Target="https://www.dispatch.com/story/news/courts/2023/11/30/florida-supreme-court-rules-that-marsys-law-privacy-doesnt-apply-to-police-officers/71758347007/?utm_source=columbusdispatch-dailybriefing-strada&amp;utm_medium=email&amp;utm_campaign=dailybriefing-headline-stack&amp;utm_term=Content%20List%20-%20Stacking%20-%20optimized&amp;utm_content=ncod-columbus-nletter65" TargetMode="External"/><Relationship Id="rId153" Type="http://schemas.openxmlformats.org/officeDocument/2006/relationships/hyperlink" Target="https://cases.justia.com/federal/district-courts/tennessee/tnedce/3:2023cv00220/110152/57/0.pdf?ts=1727268755" TargetMode="External"/><Relationship Id="rId360" Type="http://schemas.openxmlformats.org/officeDocument/2006/relationships/hyperlink" Target="https://mdcourts.gov/sites/default/files/unreported-opinions/2279s17.pdf" TargetMode="External"/><Relationship Id="rId598" Type="http://schemas.openxmlformats.org/officeDocument/2006/relationships/hyperlink" Target="https://www.newsday.com/long-island/crime/west-hempstead-man-menaced-fire-volunteer-with-gun-police-say-1.12068135" TargetMode="External"/><Relationship Id="rId2041" Type="http://schemas.openxmlformats.org/officeDocument/2006/relationships/hyperlink" Target="https://www.law.com/thelegalintelligencer/2019/10/02/proposed-safe-injection-site-in-philadelphia-clears-legal-hurdle/" TargetMode="External"/><Relationship Id="rId2279" Type="http://schemas.openxmlformats.org/officeDocument/2006/relationships/hyperlink" Target="https://law.justia.com/cases/michigan/court-of-appeals-unpublished/2022/359110.html" TargetMode="External"/><Relationship Id="rId2486" Type="http://schemas.openxmlformats.org/officeDocument/2006/relationships/hyperlink" Target="https://public.fastcase.com/J%2FJP6pdidelsXxEE4k%2BLMiptlpkB0gZD0zq9ZoOKNJuhacmaRfGRvhQDw8Dzjp093sUgUkI4CwYYkhqoix%2B0P6g4YOgoDnx2kMnRYwj%2FWdA%3D" TargetMode="External"/><Relationship Id="rId2693" Type="http://schemas.openxmlformats.org/officeDocument/2006/relationships/hyperlink" Target="https://www.nj.gov/csc/about/meetings/decisions/pdf/2023/01-18-23/A005%20TAYAG-KOSKY%20JOHN.pdf" TargetMode="External"/><Relationship Id="rId220" Type="http://schemas.openxmlformats.org/officeDocument/2006/relationships/hyperlink" Target="https://public.fastcase.com/J%2FJP6pdidelsXxEE4k%2BLMrfSCCaRdL8TI%2B5ioBWNQnh0kDz1GreH4%2B0yNBfnZOTE%2BnPBmU0h571R%2FJckMZe26svndIwXzFkT32fWB37fhjw%3D?utm_medium=email&amp;_hsmi=226712652&amp;_hsenc=p2ANqtz--GP8ZQooCAhfBpKdL9gU4tnEMPEYSQuJhpHC1xgU_R2XIHvEgQGIZy-l9drIqZUjYHZhAeqsmTG1Ww2RK_6TGoVdhMHQ&amp;utm_content=226712652&amp;utm_source=hs_email" TargetMode="External"/><Relationship Id="rId458" Type="http://schemas.openxmlformats.org/officeDocument/2006/relationships/hyperlink" Target="https://www.courts.ms.gov/images/Opinions/CO182132.pdf" TargetMode="External"/><Relationship Id="rId665" Type="http://schemas.openxmlformats.org/officeDocument/2006/relationships/hyperlink" Target="https://www.casemine.com/judgement/us/694a977ac92f54bb3c63226d" TargetMode="External"/><Relationship Id="rId872" Type="http://schemas.openxmlformats.org/officeDocument/2006/relationships/hyperlink" Target="https://cases.justia.com/washington/court-of-appeals-division-i/2026-87600-7.pdf?ts=1780339477" TargetMode="External"/><Relationship Id="rId1088" Type="http://schemas.openxmlformats.org/officeDocument/2006/relationships/hyperlink" Target="https://www.ilga.gov/legislation/BillStatus.asp?DocNum=3392&amp;GAID=17&amp;DocTypeID=HB&amp;LegId=148558&amp;SessionID=112&amp;GA=103" TargetMode="External"/><Relationship Id="rId1295" Type="http://schemas.openxmlformats.org/officeDocument/2006/relationships/hyperlink" Target="https://www.courts.ri.gov/Courts/SupremeCourt/SupremeOpinions/17-255,256,257,260.pdf" TargetMode="External"/><Relationship Id="rId2139" Type="http://schemas.openxmlformats.org/officeDocument/2006/relationships/hyperlink" Target="https://law.justia.com/cases/new-york/other-courts/2025/2025-ny-slip-op-25090.html" TargetMode="External"/><Relationship Id="rId2346" Type="http://schemas.openxmlformats.org/officeDocument/2006/relationships/hyperlink" Target="https://www.denverpost.com/2021/09/02/elijah-mclain-charges-manslaughter-negligent-homicide/" TargetMode="External"/><Relationship Id="rId2553" Type="http://schemas.openxmlformats.org/officeDocument/2006/relationships/hyperlink" Target="https://www.njcourts.gov/attorneys/assets/opinions/appellate/unpublished/a3633-19.pdf" TargetMode="External"/><Relationship Id="rId2760" Type="http://schemas.openxmlformats.org/officeDocument/2006/relationships/hyperlink" Target="file:///C:\Users\lawre\AppData\Local\Microsoft\Windows\INetCache\Content.Outlook\L4F26AG7\Case%20Title%20Butler%20v.%20City%20of%20Big%20Spring.pdf" TargetMode="External"/><Relationship Id="rId2998" Type="http://schemas.openxmlformats.org/officeDocument/2006/relationships/hyperlink" Target="https://www.flhouse.gov/Sections/Documents/loaddoc.aspx?FileName=_s0184er.DOCX&amp;DocumentType=Bill&amp;BillNumber=184&amp;Session=2024" TargetMode="External"/><Relationship Id="rId318" Type="http://schemas.openxmlformats.org/officeDocument/2006/relationships/hyperlink" Target="https://www.courts.state.md.us/sites/default/files/unreported-opinions/0614s19.pdf" TargetMode="External"/><Relationship Id="rId525" Type="http://schemas.openxmlformats.org/officeDocument/2006/relationships/hyperlink" Target="https://casetext.com/case/calatayud-iii-v-state" TargetMode="External"/><Relationship Id="rId732" Type="http://schemas.openxmlformats.org/officeDocument/2006/relationships/hyperlink" Target="https://cases.justia.com/federal/appellate-courts/ca5/22-50212/22-50212-2023-10-27.pdf?ts=1698427826" TargetMode="External"/><Relationship Id="rId1155" Type="http://schemas.openxmlformats.org/officeDocument/2006/relationships/hyperlink" Target="https://www.njcourts.gov/system/files/court-opinions/2023/a3333-21.pdf" TargetMode="External"/><Relationship Id="rId1362" Type="http://schemas.openxmlformats.org/officeDocument/2006/relationships/hyperlink" Target="https://cases.justia.com/federal/district-courts/wisconsin/wiwdc/3:2026cv00320/56406/17/0.pdf?ts=1788807312" TargetMode="External"/><Relationship Id="rId2206" Type="http://schemas.openxmlformats.org/officeDocument/2006/relationships/hyperlink" Target="https://richmondside.org/2025/09/11/civil-rights-trial-forced-sedation-richmond-death/" TargetMode="External"/><Relationship Id="rId2413" Type="http://schemas.openxmlformats.org/officeDocument/2006/relationships/hyperlink" Target="https://www.supremecourt.gov/opinions/19pdf/19a1044_pok0.pdf" TargetMode="External"/><Relationship Id="rId2620" Type="http://schemas.openxmlformats.org/officeDocument/2006/relationships/hyperlink" Target="https://public.fastcase.com/Jhe1Qn%2BmJndQYQU6z%2FeNm0JH5q8gWciAXAF9bixHugWdaYIct3CF769DEA6AolcFot0MADEgf34paIS5RxXYfLHjDYkVz561VNE3Py00FLo%3D?utm_medium=email&amp;_hsenc=p2ANqtz--lMiV9AKrZhOCKCU8G42zfsMnA0WduNXw5NGIFgBNIi3qKeq5uCBwN2k8_bjKsGZk1kObDueEzHePI446cTwvuol4Y2w&amp;_hsmi=226712652&amp;utm_content=226712652&amp;utm_source=hs_email" TargetMode="External"/><Relationship Id="rId2858" Type="http://schemas.openxmlformats.org/officeDocument/2006/relationships/hyperlink" Target="https://cases.justia.com/texas/ninth-court-of-appeals/2019-09-18-00407-cv-0.pdf?ts=1570180546" TargetMode="External"/><Relationship Id="rId99" Type="http://schemas.openxmlformats.org/officeDocument/2006/relationships/hyperlink" Target="https://cases.justia.com/pennsylvania/superior-court/2025-76-eda-2024.pdf?ts=1745952844" TargetMode="External"/><Relationship Id="rId1015" Type="http://schemas.openxmlformats.org/officeDocument/2006/relationships/hyperlink" Target="https://law.justia.com/cases/virginia/court-of-appeals-unpublished/2022/0124-21-3.html" TargetMode="External"/><Relationship Id="rId1222" Type="http://schemas.openxmlformats.org/officeDocument/2006/relationships/hyperlink" Target="https://law.justia.com/cases/new-york/appellate-division-third-department/2021/532333.html" TargetMode="External"/><Relationship Id="rId1667" Type="http://schemas.openxmlformats.org/officeDocument/2006/relationships/hyperlink" Target="https://law.justia.com/cases/federal/appellate-courts/ca11/18-10631/18-10631-2019-03-01.html" TargetMode="External"/><Relationship Id="rId1874" Type="http://schemas.openxmlformats.org/officeDocument/2006/relationships/hyperlink" Target="https://public.fastcase.com/J%2FJP6pdidelsXxEE4k%2BLMiCd6Oijia%2Fc6dpDEIpvDgGdBy7usCtPvTYolvlwqFI2OWdzcN0GLk8kd6eOjq%2BBgMFCfp0NjuKJ0H4Eu6Lk4a8%3D?utm_medium=email&amp;_hsmi=226712652&amp;_hsenc=p2ANqtz-_pRHETuUebeWpUr_lBMH_-KDZL8nDlWZhRdTrL-TINRZ0QEuK3FTmopjSHxO-qjinMuMJlbokRF3HYxxN6yYg5FnBUqg&amp;utm_content=226712652&amp;utm_source=hs_email" TargetMode="External"/><Relationship Id="rId2718" Type="http://schemas.openxmlformats.org/officeDocument/2006/relationships/hyperlink" Target="https://cases.justia.com/federal/district-courts/louisiana/lamdce/3:2021cv00287/59089/59/0.pdf?ts=1697816120" TargetMode="External"/><Relationship Id="rId2925" Type="http://schemas.openxmlformats.org/officeDocument/2006/relationships/hyperlink" Target="https://cases.justia.com/new-jersey/appellate-division-unpublished/2023-a-1747-21.pdf?ts=1696950933" TargetMode="External"/><Relationship Id="rId1527" Type="http://schemas.openxmlformats.org/officeDocument/2006/relationships/hyperlink" Target="https://cases.justia.com/federal/appellate-courts/ca6/25-3700/25-3700-2026-06-15.pdf?ts=1781553648" TargetMode="External"/><Relationship Id="rId1734" Type="http://schemas.openxmlformats.org/officeDocument/2006/relationships/hyperlink" Target="https://www.eeoc.gov/laws/guidance/questions-and-answers-final-rule-implementing-ada-amendments-act-2008" TargetMode="External"/><Relationship Id="rId1941" Type="http://schemas.openxmlformats.org/officeDocument/2006/relationships/hyperlink" Target="http://41af3k34gprx4f6bg12df75i.wpengine.netdna-cdn.com/wp-content/uploads/sites/19/2019/05/Ramirez-v.-City-of-Fort-Lauderdale-Fire-Rescue_-2019-U.pdf" TargetMode="External"/><Relationship Id="rId26" Type="http://schemas.openxmlformats.org/officeDocument/2006/relationships/hyperlink" Target="https://cases.justia.com/federal/district-courts/indiana/insdce/1:2024cv00271/212780/191/0.pdf" TargetMode="External"/><Relationship Id="rId3047" Type="http://schemas.openxmlformats.org/officeDocument/2006/relationships/hyperlink" Target="https://public.fastcase.com/Wl%2B2t%2BeVuI35%2FN70vAMFZk1fYI9cwrY3IkIgZcFpE1Hk%2FIolkI7JdZ%2BewTVypbzK" TargetMode="External"/><Relationship Id="rId175" Type="http://schemas.openxmlformats.org/officeDocument/2006/relationships/hyperlink" Target="https://www.9news.com/article/news/local/denver-arson-google-data-fatal-house-fire-colorado-supreme-court-ruling/73-aca77fb3-30d9-4bac-b46c-6d4b4402af16" TargetMode="External"/><Relationship Id="rId1801" Type="http://schemas.openxmlformats.org/officeDocument/2006/relationships/hyperlink" Target="https://www.njcourts.gov/system/files/court-opinions/2026/a1218-25.pdf" TargetMode="External"/><Relationship Id="rId382" Type="http://schemas.openxmlformats.org/officeDocument/2006/relationships/hyperlink" Target="http://blog.iaff.org/post/2018/06/05/preparing-for-the-janus-v-afscme-council-31-supreme-court-ruling" TargetMode="External"/><Relationship Id="rId687" Type="http://schemas.openxmlformats.org/officeDocument/2006/relationships/hyperlink" Target="https://storage.courtlistener.com/recap/gov.uscourts.mad.282404/gov.uscourts.mad.282404.119.0_1.pdf" TargetMode="External"/><Relationship Id="rId2063" Type="http://schemas.openxmlformats.org/officeDocument/2006/relationships/hyperlink" Target="https://cases.justia.com/federal/appellate-courts/ca10/25-1118/25-1118-2026-07-06.pdf?ts=1783359113" TargetMode="External"/><Relationship Id="rId2270" Type="http://schemas.openxmlformats.org/officeDocument/2006/relationships/hyperlink" Target="https://public.fastcase.com/J%2FJP6pdidelsXxEE4k%2BLMhEAWViZoZCNNVQqGGOJQe0x0uZjPj6basWGo2LdR7ZdZ7mXMibE%2B6q63t6QJEFPzY8xsgWYqrexPGowqeVKLtU%3D?utm_medium=email&amp;_hsmi=226712652&amp;_hsenc=p2ANqtz-_6354qi3IFHsOx1ZsytROIPRrzR7P7WEO-" TargetMode="External"/><Relationship Id="rId2368" Type="http://schemas.openxmlformats.org/officeDocument/2006/relationships/hyperlink" Target="https://law.justia.com/cases/maryland/court-of-special-appeals/2021/2349-19.html" TargetMode="External"/><Relationship Id="rId242" Type="http://schemas.openxmlformats.org/officeDocument/2006/relationships/hyperlink" Target="https://casetext.com/case/2095-stonington-llc-v-vill-of-hoffman-estates" TargetMode="External"/><Relationship Id="rId894" Type="http://schemas.openxmlformats.org/officeDocument/2006/relationships/hyperlink" Target="https://www.firelawblog.com/wp-content/uploads/sites/19/2024/10/Light-v.-Pub.-Utils.-Regul.-Auth._-2024-Conn.-Super.-LE.pdf" TargetMode="External"/><Relationship Id="rId1177" Type="http://schemas.openxmlformats.org/officeDocument/2006/relationships/hyperlink" Target="https://ilcourtsaudio.blob.core.windows.net/antilles-resources/resources/aec16a44-b27a-4304-97c1-5c133043b2dd/Brucki%20v.%20Orland%20Fire%20Protection%20District,%202022%20IL%20App%20(1st)%20220288-U.pdf" TargetMode="External"/><Relationship Id="rId2130" Type="http://schemas.openxmlformats.org/officeDocument/2006/relationships/hyperlink" Target="https://caselaw.findlaw.com/court/us-dis-crt-sd-new-yor/117411673.html" TargetMode="External"/><Relationship Id="rId2575" Type="http://schemas.openxmlformats.org/officeDocument/2006/relationships/hyperlink" Target="http://www.firefighters-exam.com/2019/06/24/tips-on-how-to-pass-your-firefighter-psychological-test/" TargetMode="External"/><Relationship Id="rId2782" Type="http://schemas.openxmlformats.org/officeDocument/2006/relationships/hyperlink" Target="https://www.inquisitr.com/4286305/paramedic-and-firefighter-fondle-teen-having-seizures-jared-david-evans-told-intern-i-had-to/" TargetMode="External"/><Relationship Id="rId102" Type="http://schemas.openxmlformats.org/officeDocument/2006/relationships/hyperlink" Target="https://supreme.justia.com/cases/federal/us/360/264/" TargetMode="External"/><Relationship Id="rId547" Type="http://schemas.openxmlformats.org/officeDocument/2006/relationships/hyperlink" Target="https://casetext.com/case/as-horner-inc-v-navarrette-4" TargetMode="External"/><Relationship Id="rId754" Type="http://schemas.openxmlformats.org/officeDocument/2006/relationships/hyperlink" Target="https://docs-cdn-prod.news-engineering.aws.wapo.pub/publish_document/5c87d9b8-631f-41c7-92e8-129f412d0e0f/published/5c87d9b8-631f-41c7-92e8-129f412d0e0f.pdf" TargetMode="External"/><Relationship Id="rId961" Type="http://schemas.openxmlformats.org/officeDocument/2006/relationships/hyperlink" Target="https://www.mdcourts.gov/sites/default/files/unreported-opinions/0042s25.pdf" TargetMode="External"/><Relationship Id="rId1384" Type="http://schemas.openxmlformats.org/officeDocument/2006/relationships/hyperlink" Target="https://ktul.com/resources/pdf/dc103f10-071a-4876-bf70-774bb3ddb220-HurtLynnv.COTSummaryJudgmentDecision.pdf" TargetMode="External"/><Relationship Id="rId1591" Type="http://schemas.openxmlformats.org/officeDocument/2006/relationships/hyperlink" Target="https://casetext.com/statute/ohio-revised-code/title-41-labor-and-industry/chapter-4113-miscellaneous-labor-provisions/section-411352-reporting-violation-of-law-by-employer-or-fellow-employee" TargetMode="External"/><Relationship Id="rId1689" Type="http://schemas.openxmlformats.org/officeDocument/2006/relationships/hyperlink" Target="https://academicworks.cuny.edu/cgi/viewcontent.cgi?article=6894&amp;context=gc_etds" TargetMode="External"/><Relationship Id="rId2228" Type="http://schemas.openxmlformats.org/officeDocument/2006/relationships/hyperlink" Target="https://public3.pagefreezer.com/browse/HHS.gov/31-12-2020T08:51/https://www.hhs.gov/about/news/2019/12/30/ambulance-company-pays-65000-settle-allegations-longstanding-hipaa-noncompliance.html" TargetMode="External"/><Relationship Id="rId2435" Type="http://schemas.openxmlformats.org/officeDocument/2006/relationships/hyperlink" Target="https://public.fastcase.com/Wl%2B2t%2BeVuI35%2FN70vAMFZmE2ukal8IvDC5BUTFBRpPNG0o0%2FGYOYjoFH9I91Iplb" TargetMode="External"/><Relationship Id="rId2642" Type="http://schemas.openxmlformats.org/officeDocument/2006/relationships/hyperlink" Target="https://codes.ohio.gov/ohio-revised-code/section-4113.52" TargetMode="External"/><Relationship Id="rId90" Type="http://schemas.openxmlformats.org/officeDocument/2006/relationships/hyperlink" Target="https://cases.justia.com/arizona/supreme-court/2025-cr-24-0264-pr.pdf?ts=1747242027" TargetMode="External"/><Relationship Id="rId407" Type="http://schemas.openxmlformats.org/officeDocument/2006/relationships/hyperlink" Target="https://www.supremecourt.ohio.gov/rod/docs/pdf/0/2026/2026-Ohio-1965.pdf" TargetMode="External"/><Relationship Id="rId614" Type="http://schemas.openxmlformats.org/officeDocument/2006/relationships/hyperlink" Target="http://41af3k34gprx4f6bg12df75i.wpengine.netdna-cdn.com/wp-content/uploads/sites/19/2019/07/Marvaso-v.-Adams_-2019-U.S.-Dist.-LEXIS-114276.pdf" TargetMode="External"/><Relationship Id="rId821" Type="http://schemas.openxmlformats.org/officeDocument/2006/relationships/hyperlink" Target="https://www.govinfo.gov/content/pkg/FR-2020-08-13/pdf/2020-17468.pdf" TargetMode="External"/><Relationship Id="rId1037" Type="http://schemas.openxmlformats.org/officeDocument/2006/relationships/hyperlink" Target="http://codes.ohio.gov/orc/4511.03v1" TargetMode="External"/><Relationship Id="rId1244" Type="http://schemas.openxmlformats.org/officeDocument/2006/relationships/hyperlink" Target="https://www.govexec.com/pay-benefits/2001/08/firefighter-retirement-age-rises-to-57/9846/" TargetMode="External"/><Relationship Id="rId1451" Type="http://schemas.openxmlformats.org/officeDocument/2006/relationships/hyperlink" Target="https://casetext.com/case/molchan-v-delmar-fire-dept-1" TargetMode="External"/><Relationship Id="rId1896" Type="http://schemas.openxmlformats.org/officeDocument/2006/relationships/hyperlink" Target="https://www.ecfr.gov/cgi-bin/retrieveECFR?gp=&amp;SID=10f50877082f08568d40dbfeaf119853&amp;mc=true&amp;r=PART&amp;n=pt29.3.778" TargetMode="External"/><Relationship Id="rId2502" Type="http://schemas.openxmlformats.org/officeDocument/2006/relationships/hyperlink" Target="https://cases.justia.com/texas/twelfth-court-of-appeals/2026-12-25-00273-cv.pdf?ts=1775749638" TargetMode="External"/><Relationship Id="rId2947" Type="http://schemas.openxmlformats.org/officeDocument/2006/relationships/hyperlink" Target="https://law.justia.com/cases/pennsylvania/commonwealth-court/2022/242-c-d-2022.html" TargetMode="External"/><Relationship Id="rId919" Type="http://schemas.openxmlformats.org/officeDocument/2006/relationships/hyperlink" Target="http://apps.azleg.gov/BillStatus/BillOverview/76770?SessionId=125" TargetMode="External"/><Relationship Id="rId1104" Type="http://schemas.openxmlformats.org/officeDocument/2006/relationships/hyperlink" Target="https://caselaw.findlaw.com/court/la-court-of-appeal/117104839.html" TargetMode="External"/><Relationship Id="rId1311" Type="http://schemas.openxmlformats.org/officeDocument/2006/relationships/hyperlink" Target="https://www.firstrespondercenter.org/cancer/toolsresources/presumptive-legislation-firefighter-cancer-state/" TargetMode="External"/><Relationship Id="rId1549" Type="http://schemas.openxmlformats.org/officeDocument/2006/relationships/hyperlink" Target="https://public.fastcase.com/jaEE2PXzRXmZ99jOLMt1Ijy4owdgN11%2FWJRcUJbHoDpxB70E2t6SZ0qkojT0B8Qp?utm_medium=email&amp;_hsenc=p2ANqtz-9VaXpB4njMDCq0a3A4ziHdpnkkhT3_X-uHzr6ZxpzUXb9np6U8cLB4p1ctiAJNyopvqJJhsHP0CMdXEdLkgd2zGecgDw&amp;_hsmi=226712652&amp;utm_content=226712652&amp;utm_source=hs_email" TargetMode="External"/><Relationship Id="rId1756" Type="http://schemas.openxmlformats.org/officeDocument/2006/relationships/hyperlink" Target="https://law.justia.com/cases/louisiana/fifth-circuit-court-of-appeal/2020/19-ca-613.html" TargetMode="External"/><Relationship Id="rId1963" Type="http://schemas.openxmlformats.org/officeDocument/2006/relationships/hyperlink" Target="https://ecf.flmd.uscourts.gov/cgi-bin/show_public_doc?2025-00120-37-8-cv" TargetMode="External"/><Relationship Id="rId2807" Type="http://schemas.openxmlformats.org/officeDocument/2006/relationships/hyperlink" Target="https://njcourts.gov/attorneys/assets/opinions/appellate/unpublished/a4576-18.pdf?c=len" TargetMode="External"/><Relationship Id="rId48" Type="http://schemas.openxmlformats.org/officeDocument/2006/relationships/hyperlink" Target="https://caselaw.findlaw.com/court/tx-court-of-appeals/118277713.html" TargetMode="External"/><Relationship Id="rId1409" Type="http://schemas.openxmlformats.org/officeDocument/2006/relationships/hyperlink" Target="https://caselaw.findlaw.com/court/fl-district-court-of-appeal/116085347.html" TargetMode="External"/><Relationship Id="rId1616" Type="http://schemas.openxmlformats.org/officeDocument/2006/relationships/hyperlink" Target="http://media.ca7.uscourts.gov/cgi-bin/rssExec.pl?Submit=Display&amp;Path=Y2022/D07-12/C:21-2784:J:PerCuriam:aut:T:npDp:N:2902357:S:0" TargetMode="External"/><Relationship Id="rId1823" Type="http://schemas.openxmlformats.org/officeDocument/2006/relationships/hyperlink" Target="https://cases.justia.com/federal/district-courts/minnesota/mndce/0:2023cv01780/208467/146/0.pdf?ts=1750499803" TargetMode="External"/><Relationship Id="rId197" Type="http://schemas.openxmlformats.org/officeDocument/2006/relationships/hyperlink" Target="https://public.fastcase.com/ZZhmr5v9wN%2FXOe5IsQ%2FqDyh9W7agvNTeMPH8d1RJsPvP%2Fg5ZmquK03Jneavd35tblyNJzoowc3pRVBJlbMB8OXwMF7nsK7TpaO1eghvi3n8%3D?utm_medium=email&amp;_hsmi=226712652&amp;_hsenc=p2ANqtz-8CWkqPTOXpr4VKRSXFO6n4aimmH3FbbAM7Ve_pkSBcowoTJe6gCXxXh8Df-qrWOoYs_EV26aJQZp9WCJOKGH6IdbP0yQ&amp;utm_content=226712652&amp;utm_source=hs_email" TargetMode="External"/><Relationship Id="rId2085" Type="http://schemas.openxmlformats.org/officeDocument/2006/relationships/hyperlink" Target="https://www.hipaajournal.com/hipaa-violation-cases/" TargetMode="External"/><Relationship Id="rId2292" Type="http://schemas.openxmlformats.org/officeDocument/2006/relationships/hyperlink" Target="https://www.ems.ohio.gov/trauma-system.aspx" TargetMode="External"/><Relationship Id="rId264" Type="http://schemas.openxmlformats.org/officeDocument/2006/relationships/hyperlink" Target="https://abc7ny.com/new-york-city-harlem-fire-edward-norton/3249411/" TargetMode="External"/><Relationship Id="rId471" Type="http://schemas.openxmlformats.org/officeDocument/2006/relationships/hyperlink" Target="https://grsl.com/firefighters-rule-struck-down-by-new-jersey-supreme-court/" TargetMode="External"/><Relationship Id="rId2152" Type="http://schemas.openxmlformats.org/officeDocument/2006/relationships/hyperlink" Target="https://www4.courts.ca.gov/opinions/nonpub/B335656.PDF" TargetMode="External"/><Relationship Id="rId2597" Type="http://schemas.openxmlformats.org/officeDocument/2006/relationships/hyperlink" Target="https://leginfo.legislature.ca.gov/faces/codes_displaySection.xhtml?lawCode=LAB&amp;sectionNum=1102.5" TargetMode="External"/><Relationship Id="rId124" Type="http://schemas.openxmlformats.org/officeDocument/2006/relationships/hyperlink" Target="https://caselaw.findlaw.com/court/az-court-of-appeals/116575227.html" TargetMode="External"/><Relationship Id="rId569" Type="http://schemas.openxmlformats.org/officeDocument/2006/relationships/hyperlink" Target="https://casetext.com/case/taylor-v-bd-of-trs-of-firefighters-ret-plan-of-st-louis" TargetMode="External"/><Relationship Id="rId776" Type="http://schemas.openxmlformats.org/officeDocument/2006/relationships/hyperlink" Target="https://www.law.cornell.edu/definitions/uscode.php?width=840&amp;height=800&amp;iframe=true&amp;def_id=18-USC-849457050-909420280&amp;term_occur=999&amp;term_src=title:18:part:I:chapter:13:section:249" TargetMode="External"/><Relationship Id="rId983" Type="http://schemas.openxmlformats.org/officeDocument/2006/relationships/hyperlink" Target="https://www.supremecourt.ohio.gov/rod/docs/pdf/7/2025/2025-Ohio-203.pdf" TargetMode="External"/><Relationship Id="rId1199" Type="http://schemas.openxmlformats.org/officeDocument/2006/relationships/hyperlink" Target="https://casetext.com/case/dilaqua-v-city-of-philadelphia-fire-dept-workers-comp-appeal-board" TargetMode="External"/><Relationship Id="rId2457" Type="http://schemas.openxmlformats.org/officeDocument/2006/relationships/hyperlink" Target="https://docs.justia.com/cases/federal/district-courts/washington/wawdce/2:2017cv01133/248111/33" TargetMode="External"/><Relationship Id="rId2664" Type="http://schemas.openxmlformats.org/officeDocument/2006/relationships/hyperlink" Target="https://supreme.justia.com/cases/federal/us/470/532/" TargetMode="External"/><Relationship Id="rId331" Type="http://schemas.openxmlformats.org/officeDocument/2006/relationships/hyperlink" Target="https://www.supremecourt.gov/opinions/19pdf/18-1059_e2p3.pdf" TargetMode="External"/><Relationship Id="rId429" Type="http://schemas.openxmlformats.org/officeDocument/2006/relationships/hyperlink" Target="https://www.hbsslaw.com/press/pfas-firefighter-turnout-gear/butte-montana-files-class-action-lawsuit-fighting-pfas-in-firefighter-turnout-gear-to-aid-those-facing-costly-replacements" TargetMode="External"/><Relationship Id="rId636" Type="http://schemas.openxmlformats.org/officeDocument/2006/relationships/hyperlink" Target="https://caselaw.findlaw.com/ny-supreme-court-appellate-division/1893546.html" TargetMode="External"/><Relationship Id="rId1059" Type="http://schemas.openxmlformats.org/officeDocument/2006/relationships/hyperlink" Target="https://cases.justia.com/federal/district-courts/pennsylvania/pamdce/1:2024cv00290/141189/15/0.pdf?ts=1784317755" TargetMode="External"/><Relationship Id="rId1266" Type="http://schemas.openxmlformats.org/officeDocument/2006/relationships/hyperlink" Target="https://www.massmunilaw.org/wp-content/uploads/2020/12/DIANE-LAWLESS-v.-CHERYL-ESTRELLA.pdf" TargetMode="External"/><Relationship Id="rId1473" Type="http://schemas.openxmlformats.org/officeDocument/2006/relationships/hyperlink" Target="https://www.nbcnews.com/news/us-news/federal-judge-dismisses-discrimination-lawsuit-transgender-fire-chief-georgia-n1258452" TargetMode="External"/><Relationship Id="rId2012" Type="http://schemas.openxmlformats.org/officeDocument/2006/relationships/hyperlink" Target="https://k2radio.com/federal-appellate-court-upholds-former-casper-doctors-drug-conspiracy-verdict/" TargetMode="External"/><Relationship Id="rId2317" Type="http://schemas.openxmlformats.org/officeDocument/2006/relationships/hyperlink" Target="https://public.fastcase.com/waZtJvSA54UAurM2rmIZzwN7i243%2F%2BStZpHYDBkc8sGpJscx%2FQQ27pdU9Jjrp4oC%2BDoaG82WuBlPphdis3f1N3UPtlVqun2jEuCWxYyqQWw%3D" TargetMode="External"/><Relationship Id="rId2871" Type="http://schemas.openxmlformats.org/officeDocument/2006/relationships/hyperlink" Target="http://www.tsc.state.tn.us/sites/default/files/mosspaulzacharyopn.pdf" TargetMode="External"/><Relationship Id="rId2969" Type="http://schemas.openxmlformats.org/officeDocument/2006/relationships/hyperlink" Target="https://www.ketv.com/article/nebraska-supreme-court-sides-with-omaha-fire-union-chief-in-dispute-with-city/37244601" TargetMode="External"/><Relationship Id="rId843" Type="http://schemas.openxmlformats.org/officeDocument/2006/relationships/hyperlink" Target="http://www.ca2.uscourts.gov/decisions/isysquery/67a05b34-20ad-4c39-bc1a-260008502d15/1/doc/18-1604_complete_opn.pdf" TargetMode="External"/><Relationship Id="rId1126" Type="http://schemas.openxmlformats.org/officeDocument/2006/relationships/hyperlink" Target="https://caselaw.findlaw.com/court/ma-court-of-appeals/116528710.html" TargetMode="External"/><Relationship Id="rId1680" Type="http://schemas.openxmlformats.org/officeDocument/2006/relationships/hyperlink" Target="https://cases.justia.com/federal/district-courts/maryland/mddce/1:2024cv03580/573207/56/0.pdf?ts=1777474810" TargetMode="External"/><Relationship Id="rId1778" Type="http://schemas.openxmlformats.org/officeDocument/2006/relationships/hyperlink" Target="https://casetext.com/case/kocsis-v-multi-care-management-inc" TargetMode="External"/><Relationship Id="rId1985" Type="http://schemas.openxmlformats.org/officeDocument/2006/relationships/hyperlink" Target="https://casetext.com/statute/montana-code/title-2-government-structure-and-administration/chapter-4-administrative-procedure-act/part-6-contested-cases/section-2-4-621-when-absent-members-render-decision-proposal-for-decision-and-opportunity-to-submit-findings-and-conclusions-modification-by-agency" TargetMode="External"/><Relationship Id="rId2524" Type="http://schemas.openxmlformats.org/officeDocument/2006/relationships/hyperlink" Target="https://caselaw.findlaw.com/court/us-1st-circuit/116442772.html" TargetMode="External"/><Relationship Id="rId2731" Type="http://schemas.openxmlformats.org/officeDocument/2006/relationships/hyperlink" Target="https://www.dailymail.co.uk/news/article-12240293/Man-accused-stalking-local-Colorado-musician-stalking-conviction-tossed-Supreme-Court.html" TargetMode="External"/><Relationship Id="rId2829" Type="http://schemas.openxmlformats.org/officeDocument/2006/relationships/hyperlink" Target="https://www.dmlp.org/legal-guide/ohio/ohio-recording-law" TargetMode="External"/><Relationship Id="rId703" Type="http://schemas.openxmlformats.org/officeDocument/2006/relationships/hyperlink" Target="https://casetext.com/statute/california-codes/california-penal-code/part-2-of-criminal-procedure/title-6-pleadings-and-proceedings-before-trial/chapter-28a-diversion-of-individuals-with-mental-disorders/section-100136-pretrial-diversion-for-persons-with-mental-disorders" TargetMode="External"/><Relationship Id="rId910" Type="http://schemas.openxmlformats.org/officeDocument/2006/relationships/hyperlink" Target="https://public.fastcase.com/ZZhmr5v9wN%2FXOe5IsQ%2FqD1CdH2R29LNK8BT0hnz9oKtXR%2FoMxL2xC63e%2BHHuthpWCwncj7bfE4lB3MomO4uqm4E3oXBdMMZD2IWz0SNqHm0%3D?utm_medium=email&amp;_hsmi=226712652&amp;_hsenc=p2ANqtz-_2XBA_cBQDF2xes7gnarhZ-sbkcdxdJUtVuyLwtAqY2WUUI2XYCC6QqVwiuQaE3r8IP3AVZ-ZehQ2YYsnZUf5Qzx_SHw&amp;utm_content=226712652&amp;utm_source=hs_email" TargetMode="External"/><Relationship Id="rId1333" Type="http://schemas.openxmlformats.org/officeDocument/2006/relationships/hyperlink" Target="http://www.pacourts.us/assets/opinions/Commonwealth/out/877CD18_3-25-19.pdf?cb=1" TargetMode="External"/><Relationship Id="rId1540" Type="http://schemas.openxmlformats.org/officeDocument/2006/relationships/hyperlink" Target="https://www4.courts.ca.gov/opinions/nonpub/B332575.PDF" TargetMode="External"/><Relationship Id="rId1638" Type="http://schemas.openxmlformats.org/officeDocument/2006/relationships/hyperlink" Target="https://casetext.com/case/saade-v-city-of-detroit-1" TargetMode="External"/><Relationship Id="rId1400" Type="http://schemas.openxmlformats.org/officeDocument/2006/relationships/hyperlink" Target="https://www.mdcourts.gov/sites/default/files/unreported-opinions/1316s22.pdf" TargetMode="External"/><Relationship Id="rId1845" Type="http://schemas.openxmlformats.org/officeDocument/2006/relationships/hyperlink" Target="https://public.fastcase.com/H1P9uiW3J20SFp%2BGCG%2BxLeHSDVXVzY4x%2FiI%2F4JAOmhXpvt%2FfNBAZjz4LKds0Mto6?utm_medium=email&amp;_hsmi=226712652&amp;_hsenc=p2ANqtz-_SyWNVWtV5-tteBsEO4doKNFedyWegAxLclup35D1iuddv31pPNK7Mxz83D6yx-CsHYOnImh2IAPqInLsAyxym-pCJTQ&amp;utm_content=226712652&amp;utm_source=hs_email" TargetMode="External"/><Relationship Id="rId1705" Type="http://schemas.openxmlformats.org/officeDocument/2006/relationships/hyperlink" Target="https://www.scotusblog.com/case-files/cases/stanley-v-city-of-sanford-florida/" TargetMode="External"/><Relationship Id="rId1912" Type="http://schemas.openxmlformats.org/officeDocument/2006/relationships/hyperlink" Target="https://public.fastcase.com/Wl%2B2t%2BeVuI35%2FN70vAMFZsSjCAViXICEJmEyj88%2Bo6FVmb%2F3MefopOCGEPTmoSc%2F" TargetMode="External"/><Relationship Id="rId286" Type="http://schemas.openxmlformats.org/officeDocument/2006/relationships/hyperlink" Target="https://public.fastcase.com/Wl%2B2t%2BeVuI35%2FN70vAMFZnSQz8BzpEWSl4qvcEU%2FNgbENUBBcIuF0iEqrodjguq8" TargetMode="External"/><Relationship Id="rId493" Type="http://schemas.openxmlformats.org/officeDocument/2006/relationships/hyperlink" Target="https://cases.justia.com/new-york/other-courts/2024-2024-ny-slip-op-31696-u.pdf?ts=1716238363" TargetMode="External"/><Relationship Id="rId2174" Type="http://schemas.openxmlformats.org/officeDocument/2006/relationships/hyperlink" Target="https://www.supremecourt.gov/opinions/23pdf/22-193_q86b.pdf" TargetMode="External"/><Relationship Id="rId2381" Type="http://schemas.openxmlformats.org/officeDocument/2006/relationships/hyperlink" Target="https://public.fastcase.com/Wl%2B2t%2BeVuI35%2FN70vAMFZswpqbyXpWGBMOIhfQ%2Fu%2FM0PzW3B3UkJbasWbumeQ3Ct" TargetMode="External"/><Relationship Id="rId3018" Type="http://schemas.openxmlformats.org/officeDocument/2006/relationships/hyperlink" Target="https://casetext.com/case/perez-v-mortg-bankers-assn" TargetMode="External"/><Relationship Id="rId146" Type="http://schemas.openxmlformats.org/officeDocument/2006/relationships/hyperlink" Target="https://www.law.cornell.edu/wex/federal_rules_of_evidence" TargetMode="External"/><Relationship Id="rId353" Type="http://schemas.openxmlformats.org/officeDocument/2006/relationships/hyperlink" Target="https://cases.justia.com/illinois/court-of-appeals-fifth-appellate-district/2019-5-18-0064.pdf?ts=1553818548" TargetMode="External"/><Relationship Id="rId560" Type="http://schemas.openxmlformats.org/officeDocument/2006/relationships/hyperlink" Target="https://casetext.com/case/topper-v-thomas" TargetMode="External"/><Relationship Id="rId798" Type="http://schemas.openxmlformats.org/officeDocument/2006/relationships/hyperlink" Target="https://www.law.cornell.edu/definitions/uscode.php?width=840&amp;height=800&amp;iframe=true&amp;def_id=8-USC-92903111-1485256781&amp;term_occur=999&amp;term_src=" TargetMode="External"/><Relationship Id="rId1190" Type="http://schemas.openxmlformats.org/officeDocument/2006/relationships/hyperlink" Target="https://isc.idaho.gov/opinions/49171.pdf" TargetMode="External"/><Relationship Id="rId2034" Type="http://schemas.openxmlformats.org/officeDocument/2006/relationships/hyperlink" Target="https://scholar.google.com/scholar_case?case=14934683326774120071&amp;q=Pennsylvania+%22overdose+response%22&amp;hl=en&amp;scisbd=2&amp;as_sdt=6,36&amp;as_ylo=2020" TargetMode="External"/><Relationship Id="rId2241" Type="http://schemas.openxmlformats.org/officeDocument/2006/relationships/hyperlink" Target="https://public.fastcase.com/ZZhmr5v9wN%2FXOe5IsQ%2FqD%2FMrsYybnhzToDs3pNIz1%2FKuVE%2FXrNjXuEwJjzIPMf50bv4pQ7cB9hbsaZ7iWrESGuHFIj%2FFdpWNLAaphAA7k6c%3D?utm_medium=email&amp;_hsmi=226712652&amp;_hsenc=p2ANqtz-_5oWIy3JVMzQhw9Nc4Op3ZwRC559261JhKrpKmwZ_i9sOC_6POwqnLW9vjaTKG4YfwH8U6J7L56i3T2Eyz1DW0ZK0ATw&amp;utm_content=226712652&amp;utm_source=hs_email" TargetMode="External"/><Relationship Id="rId2479" Type="http://schemas.openxmlformats.org/officeDocument/2006/relationships/hyperlink" Target="https://www.supremecourt.ohio.gov/rod/docs/pdf/4/2018/2018-Ohio-31.pdf" TargetMode="External"/><Relationship Id="rId2686" Type="http://schemas.openxmlformats.org/officeDocument/2006/relationships/hyperlink" Target="https://www.pacourts.us/assets/opinions/Superior/out/J-A22023-23o%20-%20106151918288524284.pdf?cb=1" TargetMode="External"/><Relationship Id="rId2893" Type="http://schemas.openxmlformats.org/officeDocument/2006/relationships/hyperlink" Target="https://www.qcnews.com/charlotte/court-sides-with-char-meck-fop-in-cmpd-employee-defamation-case/" TargetMode="External"/><Relationship Id="rId213" Type="http://schemas.openxmlformats.org/officeDocument/2006/relationships/hyperlink" Target="https://news.wosu.org/politics-government/2022-06-13/ohio-governor-signs-bill-allowing-armed-school-employees" TargetMode="External"/><Relationship Id="rId420" Type="http://schemas.openxmlformats.org/officeDocument/2006/relationships/hyperlink" Target="https://www.pacourts.us/assets/opinions/Superior/out/J-S01044-26m%20-%20106707559350028927.pdf?cb=1" TargetMode="External"/><Relationship Id="rId658" Type="http://schemas.openxmlformats.org/officeDocument/2006/relationships/hyperlink" Target="https://www.firehero.org/fallen-firefighter/albert-a-filosa/" TargetMode="External"/><Relationship Id="rId865" Type="http://schemas.openxmlformats.org/officeDocument/2006/relationships/hyperlink" Target="https://d.docs.live.net/bd9b2eaf6053242e/AppData/Roaming/Microsoft/AppData/Local/Microsoft/Windows/INetCache/IE/XO250S7T/Glomar-decision.pdf" TargetMode="External"/><Relationship Id="rId1050" Type="http://schemas.openxmlformats.org/officeDocument/2006/relationships/hyperlink" Target="https://caselaw.findlaw.com/mi-court-of-appeals/1890718.html" TargetMode="External"/><Relationship Id="rId1288" Type="http://schemas.openxmlformats.org/officeDocument/2006/relationships/hyperlink" Target="https://law.justia.com/cases/maryland/court-of-special-appeals/2020/2498-17.html" TargetMode="External"/><Relationship Id="rId1495" Type="http://schemas.openxmlformats.org/officeDocument/2006/relationships/hyperlink" Target="https://cases.justia.com/federal/appellate-courts/ca5/18-40561/18-40561-2019-07-10.pdf?ts=1562779857" TargetMode="External"/><Relationship Id="rId2101" Type="http://schemas.openxmlformats.org/officeDocument/2006/relationships/hyperlink" Target="https://www.supremecourt.ohio.gov/rod/docs/pdf/11/2026/2026-Ohio-67.pdf" TargetMode="External"/><Relationship Id="rId2339" Type="http://schemas.openxmlformats.org/officeDocument/2006/relationships/hyperlink" Target="https://media.ca11.uscourts.gov/opinions/unpub/files/201814119.pdf" TargetMode="External"/><Relationship Id="rId2546" Type="http://schemas.openxmlformats.org/officeDocument/2006/relationships/hyperlink" Target="https://www.eeoc.gov/disability-discrimination-and-employment-decisions" TargetMode="External"/><Relationship Id="rId2753" Type="http://schemas.openxmlformats.org/officeDocument/2006/relationships/hyperlink" Target="https://edmontonjournal.com/news/crime/firefighters-who-start-fires-a-look-at-the-phenomenon-of-firefighter-arson" TargetMode="External"/><Relationship Id="rId2960" Type="http://schemas.openxmlformats.org/officeDocument/2006/relationships/hyperlink" Target="https://law.justia.com/cases/federal/district-courts/indiana/inndce/2:2021cv00154/106960/76/" TargetMode="External"/><Relationship Id="rId518" Type="http://schemas.openxmlformats.org/officeDocument/2006/relationships/hyperlink" Target="https://casetext.com/case/vann-v-city-of-san-francisco" TargetMode="External"/><Relationship Id="rId725" Type="http://schemas.openxmlformats.org/officeDocument/2006/relationships/hyperlink" Target="https://www.smithsonianmag.com/history/the-history-of-californias-inmate-firefighter-program-180980662/" TargetMode="External"/><Relationship Id="rId932" Type="http://schemas.openxmlformats.org/officeDocument/2006/relationships/hyperlink" Target="https://casetext.com/case/doe-v-jackson-local-sch-dist-bd-of-educ" TargetMode="External"/><Relationship Id="rId1148" Type="http://schemas.openxmlformats.org/officeDocument/2006/relationships/hyperlink" Target="https://casetext.com/case/perez-v-city-of-denver-4" TargetMode="External"/><Relationship Id="rId1355" Type="http://schemas.openxmlformats.org/officeDocument/2006/relationships/hyperlink" Target="https://caselaw.findlaw.com/pa-commonwealth-court/1897108.html" TargetMode="External"/><Relationship Id="rId1562" Type="http://schemas.openxmlformats.org/officeDocument/2006/relationships/hyperlink" Target="https://tracking.police1.com/t/8566464/200882223/6399312/0/1006865/?f5d63f87=RlIxLURhaWx5LTItMjctMjU&amp;b44ed14b=ZmVkMzU1YjgtNDZhMi00ZmE0LWI1NWMtNGQ2MDJkZGUzM2M0&amp;x=37c285e3" TargetMode="External"/><Relationship Id="rId2406" Type="http://schemas.openxmlformats.org/officeDocument/2006/relationships/hyperlink" Target="https://law.justia.com/cases/texas/first-court-of-appeals/2020/01-19-00255-cv.html" TargetMode="External"/><Relationship Id="rId2613" Type="http://schemas.openxmlformats.org/officeDocument/2006/relationships/hyperlink" Target="https://public.fastcase.com/Jhe1Qn%2BmJndQYQU6z%2FeNm3FkCM2jWCAdlM1JWFE9c8I4cu8UE8nnROw9g8pQru3qX50wM6VA5Q6C6W7bTimjewt8baK5LV89G9hOJ3Hoqaw%3D?utm_medium=email&amp;_hsenc=p2ANqtz-_BuWF_rVxZJ_ThXodME56Qn02TlxXtEPZR0pM596-W86IiSz4xrEN_MpysqbI906jQkVOKXR9ddhRRIzUH7APhy4Ve8A&amp;_hsmi=226712652&amp;utm_content=226712652&amp;utm_source=hs_email" TargetMode="External"/><Relationship Id="rId1008" Type="http://schemas.openxmlformats.org/officeDocument/2006/relationships/hyperlink" Target="https://public.courts.in.gov/Decisions/api/Document/Opinion?Id=rJRDncpWPHQbq7P5uv2HFHli7-yY9NDpUsGFV_2xhbEFoKT6dBGW8VG2YJisX0M_0" TargetMode="External"/><Relationship Id="rId1215" Type="http://schemas.openxmlformats.org/officeDocument/2006/relationships/hyperlink" Target="https://www.cleveland.com/metro/2013/08/cleveland_fire_chief_daryl_mcg.html" TargetMode="External"/><Relationship Id="rId1422" Type="http://schemas.openxmlformats.org/officeDocument/2006/relationships/hyperlink" Target="https://public.fastcase.com/ZZhmr5v9wN%2FXOe5IsQ%2FqD6X8aBICmIyWVJScKPpCyRhR7mDWsTx8EU8Grq%2B%2B4ZtL7A%2BZetNPKoBujU7we%2BcNkmURNKpv4aGWRHQtd1T1moA%3D?utm_medium=email&amp;_hsmi=226712652&amp;_hsenc=p2ANqtz-9OBKIBZDi8r8oE28UFobupYGxopyoQah8HvX1c9zj34g5f00t_mZAGDNIEFbeFR3R6TbvecwhsL2yyD5Q92lFJJe2-2g&amp;utm_content=226712652&amp;utm_source=hs_email" TargetMode="External"/><Relationship Id="rId1867" Type="http://schemas.openxmlformats.org/officeDocument/2006/relationships/hyperlink" Target="https://public.fastcase.com/ZZhmr5v9wN%2FXOe5IsQ%2FqD%2Bile%2Foxyp5Z8Q8kvhZNO7gH1c2Z5qHls9xhvmb3awOvR3bsCkmvAqMtioFMMuxMBzUhvRQhP83bmryZorCoTbI%3D?utm_medium=email&amp;_hsmi=226712652&amp;_hsenc=p2ANqtz--nFpNqY7MlHedt-bGY2IVgigc3ATGuPz0zM2ZOCoWHuze-qmefTR0632sWWVlZvaDJFdCD_Gl1V9HSDzdZa4P3MSrw7A&amp;utm_content=226712652&amp;utm_source=hs_email" TargetMode="External"/><Relationship Id="rId2820" Type="http://schemas.openxmlformats.org/officeDocument/2006/relationships/hyperlink" Target="https://www.nj.com/news/2016/04/ex-nj_firefighter_convicted_of_stealing_disability.html" TargetMode="External"/><Relationship Id="rId2918" Type="http://schemas.openxmlformats.org/officeDocument/2006/relationships/hyperlink" Target="https://casetext.com/case/youngstown-profl-firefighters-iaff-local-312-v-city-of-youngstown" TargetMode="External"/><Relationship Id="rId61" Type="http://schemas.openxmlformats.org/officeDocument/2006/relationships/hyperlink" Target="https://www.cincinnati-oh.gov/fire/recruiting/requirements-to-apply/" TargetMode="External"/><Relationship Id="rId1727" Type="http://schemas.openxmlformats.org/officeDocument/2006/relationships/hyperlink" Target="https://casetext.com/case/meyer-v-city-of-chehalis" TargetMode="External"/><Relationship Id="rId1934" Type="http://schemas.openxmlformats.org/officeDocument/2006/relationships/hyperlink" Target="https://www.justice.gov/opa/pr/justice-department-files-lawsuit-against-city-chicago-enforce-userra-rights-us-army-reservist" TargetMode="External"/><Relationship Id="rId19" Type="http://schemas.openxmlformats.org/officeDocument/2006/relationships/hyperlink" Target="https://scholar.uc.edu/concern/documents/ht24wm15r?locale=en" TargetMode="External"/><Relationship Id="rId2196" Type="http://schemas.openxmlformats.org/officeDocument/2006/relationships/hyperlink" Target="https://www.cbsnews.com/colorado/news/aurora-colorado-paramedic-peter-cichuniec-sentenced-elijah-mcclain/" TargetMode="External"/><Relationship Id="rId168" Type="http://schemas.openxmlformats.org/officeDocument/2006/relationships/hyperlink" Target="https://caselaw.findlaw.com/court/wi-court-of-appeals/115735506.html" TargetMode="External"/><Relationship Id="rId375" Type="http://schemas.openxmlformats.org/officeDocument/2006/relationships/hyperlink" Target="https://www.supremecourt.ohio.gov/rod/docs/pdf/0/2018/2018-Ohio-3721.pdf" TargetMode="External"/><Relationship Id="rId582" Type="http://schemas.openxmlformats.org/officeDocument/2006/relationships/hyperlink" Target="https://law.justia.com/cases/new-york/appellate-division-second-department/2020/2016-13412.html" TargetMode="External"/><Relationship Id="rId2056" Type="http://schemas.openxmlformats.org/officeDocument/2006/relationships/hyperlink" Target="https://cases.justia.com/michigan/court-of-appeals-unpublished/2026-377838.pdf?ts=1784293205" TargetMode="External"/><Relationship Id="rId2263" Type="http://schemas.openxmlformats.org/officeDocument/2006/relationships/hyperlink" Target="https://public.fastcase.com/J%2FJP6pdidelsXxEE4k%2BLMjJGU1N13mSM0FXq6MPMgI9LSFCmdWs1UmdxMrMk65JbGuZGkm2byIyaUDFttOOFNnpFfmnrOgyejNkkQ3Wd5bI%3D?utm_medium=email&amp;_hsmi=226712652&amp;_hsenc=p2ANqtz--0Qd6DUvdEJ2RTs9adtgmCzU05IEXqUBeE6HSsIcsSfVoNrdaOOcnlphoE_fH7sdYgnejI_LAktN6WZtOuiqSz8dg1eg&amp;utm_content=226712652&amp;utm_source=hs_email" TargetMode="External"/><Relationship Id="rId2470" Type="http://schemas.openxmlformats.org/officeDocument/2006/relationships/hyperlink" Target="https://cases.justia.com/federal/district-courts/louisiana/lawdce/5:2018cv00034/160852/18/0.pdf?ts=1532079100" TargetMode="External"/><Relationship Id="rId3" Type="http://schemas.openxmlformats.org/officeDocument/2006/relationships/styles" Target="styles.xml"/><Relationship Id="rId235" Type="http://schemas.openxmlformats.org/officeDocument/2006/relationships/hyperlink" Target="https://www.law.cornell.edu/supct/html/90-5721.ZO.html" TargetMode="External"/><Relationship Id="rId442" Type="http://schemas.openxmlformats.org/officeDocument/2006/relationships/hyperlink" Target="https://codes.findlaw.com/ny/general-municipal-law/gmu-sect-205-a/" TargetMode="External"/><Relationship Id="rId887" Type="http://schemas.openxmlformats.org/officeDocument/2006/relationships/hyperlink" Target="https://www.fireengineering.com/firefighting/lawsuit-against-mi-firefighters-who-issued-all-clear-at-fatal-fire-can-continue/?utm_source=fe_daily_newsletter&amp;utm_medium=email&amp;utm_campaign" TargetMode="External"/><Relationship Id="rId1072" Type="http://schemas.openxmlformats.org/officeDocument/2006/relationships/hyperlink" Target="https://www.pacourts.us/assets/opinions/Commonwealth/out/1089CD24_2-2-26.pdf?cb=1" TargetMode="External"/><Relationship Id="rId2123" Type="http://schemas.openxmlformats.org/officeDocument/2006/relationships/hyperlink" Target="https://cases.justia.com/alabama/supreme-court/2025-sc-2025-0055.pdf?ts=1756474207" TargetMode="External"/><Relationship Id="rId2330" Type="http://schemas.openxmlformats.org/officeDocument/2006/relationships/hyperlink" Target="https://nmonesource.com/nmos/nmsc/en/item/517877/index.do" TargetMode="External"/><Relationship Id="rId2568" Type="http://schemas.openxmlformats.org/officeDocument/2006/relationships/hyperlink" Target="https://casetext.com/case/commonwealth-v-purnell-10" TargetMode="External"/><Relationship Id="rId2775" Type="http://schemas.openxmlformats.org/officeDocument/2006/relationships/hyperlink" Target="https://ilcourtsaudio.blob.core.windows.net/antilles-resources/resources/1d563ea4-a3fa-4fb5-af89-419baa2c8f0f/Cannici%20v.%20Dept%20of%20Employment%20Security%20Board%20of%20Review,%202021%20IL%20App%20(1st)%20181562.pdf" TargetMode="External"/><Relationship Id="rId2982" Type="http://schemas.openxmlformats.org/officeDocument/2006/relationships/hyperlink" Target="https://www.supremecourt.gov/opinions/17pdf/16-285_q8l1.pdf" TargetMode="External"/><Relationship Id="rId302" Type="http://schemas.openxmlformats.org/officeDocument/2006/relationships/hyperlink" Target="https://public.fastcase.com/Wl%2B2t%2BeVuI35%2FN70vAMFZsWJ6AvEppVwuFRKTwz4M5aFuXQum0lUiq0Q02rKgFN1" TargetMode="External"/><Relationship Id="rId747" Type="http://schemas.openxmlformats.org/officeDocument/2006/relationships/hyperlink" Target="https://www.supremecourt.gov/opinions/21pdf/20-843_7j80.pdf" TargetMode="External"/><Relationship Id="rId954" Type="http://schemas.openxmlformats.org/officeDocument/2006/relationships/hyperlink" Target="https://www.courts.state.md.us/sites/default/files/unreported-opinions/0614s19.pdf" TargetMode="External"/><Relationship Id="rId1377" Type="http://schemas.openxmlformats.org/officeDocument/2006/relationships/hyperlink" Target="https://public.fastcase.com/jaEE2PXzRXmZ99jOLMt1Iuq7qc0gfVcydq4UksJKYaPvhnQoV2Tur9kW43Sd%2BCHWkw1LFd5eYMpsqupxEAJwLBiVNyDEOcfOyFpt494LsV4%3D?utm_medium=email&amp;_hsenc=p2ANqtz-9JDPujkqcb7TpRksmi2p_USQgVGerxf-hzLRNOYIOWKeqjT-lj5XLhttLuYWUDIXmtoE1M_nS89zbeKXXmbJi1pvu4VQ&amp;_hsmi=226712652&amp;utm_content=226712652&amp;utm_source=hs_email" TargetMode="External"/><Relationship Id="rId1584" Type="http://schemas.openxmlformats.org/officeDocument/2006/relationships/hyperlink" Target="https://cases.justia.com/federal/district-courts/mississippi/mssdce/3:2024cv00011/123477/12/0.pdf?ts=1706115384" TargetMode="External"/><Relationship Id="rId1791" Type="http://schemas.openxmlformats.org/officeDocument/2006/relationships/hyperlink" Target="https://www.dol.gov/whd/opinion/FMLA/2018/2018_08_28_2A_FMLA.pdf" TargetMode="External"/><Relationship Id="rId2428" Type="http://schemas.openxmlformats.org/officeDocument/2006/relationships/hyperlink" Target="https://public.fastcase.com/Wl%2B2t%2BeVuI35%2FN70vAMFZqKFItzKKJAOGXNCbwUcRCkzx%2FKqq12PgRkvPC2fj024" TargetMode="External"/><Relationship Id="rId2635" Type="http://schemas.openxmlformats.org/officeDocument/2006/relationships/hyperlink" Target="https://public.fastcase.com/Jhe1Qn%2BmJndQYQU6z%2FeNmypmOFzJk4IjV67xdVBvH10%2BbioR%2BE7hDrSDKPa8oeXy4gUzK0dNFlYVAdtPS9qapAikGtcKVY%2BDC%2Fxrd0A1wWk%3D?utm_medium=email&amp;_hsenc=p2ANqtz--Rb3GwipZHtCJJMLiUWpVHk6Q4w73GSXOI_LD5Raf1axu72BnOP1L2YEQ80fNqXbpHCp329zbZOj3hD1ZT_BRNOO8R9w&amp;_hsmi=226712652&amp;utm_content=226712652&amp;utm_source=hs_email" TargetMode="External"/><Relationship Id="rId2842" Type="http://schemas.openxmlformats.org/officeDocument/2006/relationships/hyperlink" Target="https://www.in.gov/judiciary/opinions/pdf/03062003jsk.pdf" TargetMode="External"/><Relationship Id="rId83" Type="http://schemas.openxmlformats.org/officeDocument/2006/relationships/hyperlink" Target="https://www.justice.gov/usao-mdla/pr/baton-rouge-man-indicted-use-fire-commit-felony-use-fire-maliciously-damage-property" TargetMode="External"/><Relationship Id="rId607" Type="http://schemas.openxmlformats.org/officeDocument/2006/relationships/hyperlink" Target="https://law.justia.com/cases/new-york/other-courts/2019/2019-ny-slip-op-51525-u.html" TargetMode="External"/><Relationship Id="rId814" Type="http://schemas.openxmlformats.org/officeDocument/2006/relationships/hyperlink" Target="https://casetext.com/case/stahl-v-dept-of-justice" TargetMode="External"/><Relationship Id="rId1237" Type="http://schemas.openxmlformats.org/officeDocument/2006/relationships/hyperlink" Target="https://www.monastlaw.com/blog/ohio-workers-compensation-for-hearing-loss.cfm" TargetMode="External"/><Relationship Id="rId1444" Type="http://schemas.openxmlformats.org/officeDocument/2006/relationships/hyperlink" Target="https://www.wavy.com/news/local-news/norfolk/special-report-norfolk-under-fire-for-treatment-of-female-employees/" TargetMode="External"/><Relationship Id="rId1651" Type="http://schemas.openxmlformats.org/officeDocument/2006/relationships/hyperlink" Target="http://www.paed.uscourts.gov/documents/opinions/20D0393P.pdf" TargetMode="External"/><Relationship Id="rId1889" Type="http://schemas.openxmlformats.org/officeDocument/2006/relationships/hyperlink" Target="http://www.firefighterovertime.org/wp-content/uploads/2021/11/US_DIS_VAED_2_20cv595_Memorandum_in_Support_re_41_Joint_MOTION_for_Settl.pdf" TargetMode="External"/><Relationship Id="rId2702" Type="http://schemas.openxmlformats.org/officeDocument/2006/relationships/hyperlink" Target="https://www.vnews.com/Jonathan-Stone-loses-his-appeal-to-state-supreme-court-to-keep-personnel-records-private-54453646" TargetMode="External"/><Relationship Id="rId1304" Type="http://schemas.openxmlformats.org/officeDocument/2006/relationships/hyperlink" Target="https://www.opn.ca6.uscourts.gov/opinions.pdf/20a0123p-06.pdf" TargetMode="External"/><Relationship Id="rId1511" Type="http://schemas.openxmlformats.org/officeDocument/2006/relationships/hyperlink" Target="https://law.justia.com/cases/federal/district-courts/alabama/alndce/4:2016cv01604/160190/55/" TargetMode="External"/><Relationship Id="rId1749" Type="http://schemas.openxmlformats.org/officeDocument/2006/relationships/hyperlink" Target="https://www.law.georgetown.edu/icap/wp-content/uploads/sites/32/2020/07/Bey-2d-Cir.-Opening-Brief-FINAL-7-7-2020.pdf" TargetMode="External"/><Relationship Id="rId1956" Type="http://schemas.openxmlformats.org/officeDocument/2006/relationships/hyperlink" Target="https://cdn.ca9.uscourts.gov/datastore/memoranda/2026/07/21/24-6425.pdf" TargetMode="External"/><Relationship Id="rId106" Type="http://schemas.openxmlformats.org/officeDocument/2006/relationships/hyperlink" Target="https://www.rcfp.org/resources/anti-slapp-laws/" TargetMode="External"/><Relationship Id="rId313" Type="http://schemas.openxmlformats.org/officeDocument/2006/relationships/hyperlink" Target="https://casetext.com/case/25-grant-st-llc-v-city-of-bridgeport" TargetMode="External"/><Relationship Id="rId758" Type="http://schemas.openxmlformats.org/officeDocument/2006/relationships/hyperlink" Target="https://www.supremecourt.gov/opinions/21pdf/21-954_7l48.pdf" TargetMode="External"/><Relationship Id="rId965" Type="http://schemas.openxmlformats.org/officeDocument/2006/relationships/hyperlink" Target="https://cases.justia.com/texas/fourth-court-of-appeals/2026-04-25-00487-cr.pdf?ts=1782304969" TargetMode="External"/><Relationship Id="rId1150" Type="http://schemas.openxmlformats.org/officeDocument/2006/relationships/hyperlink" Target="https://www.wftv.com/news/local/appeals-court-ruling-paves-way-orange-county-firefighters-widow-seek-workers-comp-payout/QFOHSP22XNHLXLGDFDZYKLTKMM/" TargetMode="External"/><Relationship Id="rId1388" Type="http://schemas.openxmlformats.org/officeDocument/2006/relationships/hyperlink" Target="https://cases.justia.com/delaware/superior-court/2025-n24c-08-154-ceb.pdf?ts=1741208566" TargetMode="External"/><Relationship Id="rId1595" Type="http://schemas.openxmlformats.org/officeDocument/2006/relationships/hyperlink" Target="https://www.wkbw.com/news/local-news/city-of-buffalo-updating-training-procedures-rolling-out-diversity-training-for-every-department" TargetMode="External"/><Relationship Id="rId1609" Type="http://schemas.openxmlformats.org/officeDocument/2006/relationships/hyperlink" Target="https://public.fastcase.com/J%2FJP6pdidelsXxEE4k%2BLMvlYUX0ZAhRbseqqFnL4gi3bRwNf0Z9RCieiQ7wPaXcpaaE7aExMc6ouwIyWJC8qizoR4DyeCOueQnsNxsVE1Ec%3D" TargetMode="External"/><Relationship Id="rId1816" Type="http://schemas.openxmlformats.org/officeDocument/2006/relationships/hyperlink" Target="https://www.mass.gov/doc/driscoll-v-city-of-melrose-ac-s24p1114/download" TargetMode="External"/><Relationship Id="rId2439" Type="http://schemas.openxmlformats.org/officeDocument/2006/relationships/hyperlink" Target="https://law.justia.com/cases/federal/appellate-courts/ca10/18-7036/18-7036-2019-09-06.html" TargetMode="External"/><Relationship Id="rId2646" Type="http://schemas.openxmlformats.org/officeDocument/2006/relationships/hyperlink" Target="https://law.justia.com/cases/new-york/appellate-division-second-department/2025/2024-01225.html" TargetMode="External"/><Relationship Id="rId2853" Type="http://schemas.openxmlformats.org/officeDocument/2006/relationships/hyperlink" Target="http://www.fifthcircuit.org/dmzdocs/OI/PO/2019/D2D01276-0CAB-4C3C-8746-E6A5E19BC45A.pdf" TargetMode="External"/><Relationship Id="rId10" Type="http://schemas.openxmlformats.org/officeDocument/2006/relationships/image" Target="media/image1.jpeg"/><Relationship Id="rId94" Type="http://schemas.openxmlformats.org/officeDocument/2006/relationships/hyperlink" Target="https://www.cnn.com/2025/05/02/us/oregon-deschutes-national-forest-eviction-hnk" TargetMode="External"/><Relationship Id="rId397" Type="http://schemas.openxmlformats.org/officeDocument/2006/relationships/hyperlink" Target="https://www.thompsonhine.com/insights/jpml-creates-new-mdl-for-non-afff-firefighter-turnout-gear-litigation/" TargetMode="External"/><Relationship Id="rId520"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618" Type="http://schemas.openxmlformats.org/officeDocument/2006/relationships/hyperlink" Target="https://www.kansascity.com/news/politics-government/article231974862.html" TargetMode="External"/><Relationship Id="rId825" Type="http://schemas.openxmlformats.org/officeDocument/2006/relationships/hyperlink" Target="https://casetext.com/case/united-states-v-al-azhari-2" TargetMode="External"/><Relationship Id="rId1248" Type="http://schemas.openxmlformats.org/officeDocument/2006/relationships/hyperlink" Target="https://www.supremecourt.ohio.gov/rod/docs/pdf/0/2020/2020-Ohio-1047.pdf" TargetMode="External"/><Relationship Id="rId1455" Type="http://schemas.openxmlformats.org/officeDocument/2006/relationships/hyperlink" Target="https://www.firerescue1.com/lawsuit/articles/mass-ff-emt-files-gender-discrimination-lawsuit-says-she-was-passed-over-for-promotion-k1Q0mMWcivLWcHoy/" TargetMode="External"/><Relationship Id="rId1662" Type="http://schemas.openxmlformats.org/officeDocument/2006/relationships/hyperlink" Target="https://scholar.google.com/scholar_case?case=2959279778538737103&amp;hl=en&amp;as_sdt=6,36" TargetMode="External"/><Relationship Id="rId2078" Type="http://schemas.openxmlformats.org/officeDocument/2006/relationships/hyperlink" Target="https://cases.justia.com/idaho/supreme-court-criminal/2026-51595.pdf?ts=1778169780" TargetMode="External"/><Relationship Id="rId2201" Type="http://schemas.openxmlformats.org/officeDocument/2006/relationships/hyperlink" Target="https://cdn.ca9.uscourts.gov/datastore/opinions/2024/04/15/22-15546.pdf" TargetMode="External"/><Relationship Id="rId2285" Type="http://schemas.openxmlformats.org/officeDocument/2006/relationships/hyperlink" Target="https://public.fastcase.com/J%2FJP6pdidelsXxEE4k%2BLMs47M8bX1jWCTU1t0SYWR19Iu9IUPatjWgRJl3RKX2DrLTQazC1ae%2FBWEsyi8L93eaS1AKPtR90SvCK0pYsfZI4%3D" TargetMode="External"/><Relationship Id="rId2492" Type="http://schemas.openxmlformats.org/officeDocument/2006/relationships/hyperlink" Target="https://flcourts-media.flcourts.gov/content/download/2495602/opinion/Opinion_2025-3075.pdf" TargetMode="External"/><Relationship Id="rId2506" Type="http://schemas.openxmlformats.org/officeDocument/2006/relationships/hyperlink" Target="https://cases.justia.com/federal/district-courts/south-carolina/scdce/0:2024cv00826/288831/46/0.pdf" TargetMode="External"/><Relationship Id="rId3031" Type="http://schemas.openxmlformats.org/officeDocument/2006/relationships/hyperlink" Target="https://fisheldowney.com/new-changes-ohios-public-records-law-new-changes-ohios-public-records-law/" TargetMode="External"/><Relationship Id="rId257" Type="http://schemas.openxmlformats.org/officeDocument/2006/relationships/hyperlink" Target="https://ohiotimes.news/cincinnati-burglar-arm-fee-struck-down-a-giant-scam-says-lawyer/?doing_wp_cron=1637522583.8115420341491699218750" TargetMode="External"/><Relationship Id="rId464" Type="http://schemas.openxmlformats.org/officeDocument/2006/relationships/hyperlink" Target="https://casetext.com/case/waybright-v-frederick-county-2" TargetMode="External"/><Relationship Id="rId1010" Type="http://schemas.openxmlformats.org/officeDocument/2006/relationships/hyperlink" Target="https://casetext.com/case/city-of-hous-v-vogel" TargetMode="External"/><Relationship Id="rId1094" Type="http://schemas.openxmlformats.org/officeDocument/2006/relationships/hyperlink" Target="https://cases.justia.com/kentucky/court-of-appeals/2025-2024-ca-0152-mr.pdf?ts=1748009113" TargetMode="External"/><Relationship Id="rId1108" Type="http://schemas.openxmlformats.org/officeDocument/2006/relationships/hyperlink" Target="https://ilcourtsaudio.blob.core.windows.net/antilles-resources/resources/09ac8ced-f502-4e22-9f67-a03c9e14d801/Ford%20v.%20Village%20of%20Northbrook,%202025%20IL%20App%20(1st)%20231952-U.pdf" TargetMode="External"/><Relationship Id="rId1315" Type="http://schemas.openxmlformats.org/officeDocument/2006/relationships/hyperlink" Target="http://www.fifthcircuit.org/dmzdocs/OI/PO/2020/54FCDF86-AA62-4720-B56D-B5FDC85663B0.pdf" TargetMode="External"/><Relationship Id="rId1967" Type="http://schemas.openxmlformats.org/officeDocument/2006/relationships/hyperlink" Target="https://www.youtube.com/watch?v=wVEUB8WSdp8" TargetMode="External"/><Relationship Id="rId2145" Type="http://schemas.openxmlformats.org/officeDocument/2006/relationships/hyperlink" Target="https://cases.justia.com/federal/district-courts/pennsylvania/paedce/2:2023cv00155/604825/106/0.pdf?ts=1739281859" TargetMode="External"/><Relationship Id="rId2713" Type="http://schemas.openxmlformats.org/officeDocument/2006/relationships/hyperlink" Target="https://casetext.com/case/goodlett-v-town-of-clarksville" TargetMode="External"/><Relationship Id="rId2797" Type="http://schemas.openxmlformats.org/officeDocument/2006/relationships/hyperlink" Target="https://laborlawlosangeles.com/the-city-of-south-pasadena-illegally-dismissed-a-firefighter-supreme-court-denies-review-the-south-pasadenan/" TargetMode="External"/><Relationship Id="rId2920" Type="http://schemas.openxmlformats.org/officeDocument/2006/relationships/hyperlink" Target="https://www.cadc.uscourts.gov/internet/opinions.nsf/AF29B804749163DE85258AC500547458/$file/22-1261-2040755.pdf" TargetMode="External"/><Relationship Id="rId117" Type="http://schemas.openxmlformats.org/officeDocument/2006/relationships/hyperlink" Target="https://www.supremecourt.ohio.gov/rod/docs/pdf/8/2024/2024-Ohio-5601.pdf" TargetMode="External"/><Relationship Id="rId671" Type="http://schemas.openxmlformats.org/officeDocument/2006/relationships/hyperlink" Target="https://www.hstoday.us/perspective/eyes-on-preparedness-federal-courts-block-fema-dhs-immigration-grant-conditions-safeguarding-billions-in-emergency-preparedness-funds/" TargetMode="External"/><Relationship Id="rId769" Type="http://schemas.openxmlformats.org/officeDocument/2006/relationships/hyperlink" Target="https://public.fastcase.com/9SKwsfNqTc6OieYDhNMyMwgnH2rEWQiRpx4SwB8tOsl9D8EiwJnekd530roHqTrENez3wWnOYZMVTxSfKTsOEtbG3zaICMf20ttzqQEEaDo" TargetMode="External"/><Relationship Id="rId976" Type="http://schemas.openxmlformats.org/officeDocument/2006/relationships/hyperlink" Target="https://cases.justia.com/louisiana/third-circuit-court-of-appeal/2025-ca-0025-0267.pdf?ts=1761751417" TargetMode="External"/><Relationship Id="rId1399" Type="http://schemas.openxmlformats.org/officeDocument/2006/relationships/hyperlink" Target="https://www.supremecourt.gov/opinions/19pdf/17-1618_hfci.pdf" TargetMode="External"/><Relationship Id="rId2352" Type="http://schemas.openxmlformats.org/officeDocument/2006/relationships/hyperlink" Target="https://www.natlawreview.com/article/mandatory-vaccination-policy-lawsuit-update-nurses-take-shot-against-hospital-judge" TargetMode="External"/><Relationship Id="rId2657" Type="http://schemas.openxmlformats.org/officeDocument/2006/relationships/hyperlink" Target="https://www.wtol.com/article/news/local/toledo-fire-lieutenant-fired-investigation-social-media-post-about-charlie-kirk/512-599961fb-9233-4ebc-8628-cfa2b96c7722" TargetMode="External"/><Relationship Id="rId324" Type="http://schemas.openxmlformats.org/officeDocument/2006/relationships/hyperlink" Target="https://thehill.com/homenews/senate/503496-republican-rift-opens-up-over-qualified-immunity-for-police" TargetMode="External"/><Relationship Id="rId531" Type="http://schemas.openxmlformats.org/officeDocument/2006/relationships/hyperlink" Target="https://casetext.com/case/city-of-philadelphia-v-healey" TargetMode="External"/><Relationship Id="rId629" Type="http://schemas.openxmlformats.org/officeDocument/2006/relationships/hyperlink" Target="https://www.audiology.org/sites/default/files/audiologytoday/AT%2024.6%20-%20LOW.pdf" TargetMode="External"/><Relationship Id="rId1161" Type="http://schemas.openxmlformats.org/officeDocument/2006/relationships/hyperlink" Target="https://public.fastcase.com/ZZhmr5v9wN%2FXOe5IsQ%2FqD20iR7BWmLId4hSDI3nXqVWgPhPXw%2BQtkDECKs6HrcpaaA0bYVe7yei9SfZEfso10IPB%2B%2BM5XAOSsASvTO6V770%3D?utm_medium=email&amp;_hsmi=226712652&amp;_hsenc=p2ANqtz-8Ok8gGNpyLe8hTDi80EaJgVLaHo-pifPeTe8oohUIZEvo8GKO7wbe6cb01t7sw656xUcVdVRiPGkXPM8qU1b5G_smouQ&amp;utm_content=226712652&amp;utm_source=hs_email" TargetMode="External"/><Relationship Id="rId1259" Type="http://schemas.openxmlformats.org/officeDocument/2006/relationships/hyperlink" Target="https://law.justia.com/cases/new-york/other-courts/2020/2020-ny-slip-op-34353-u.html" TargetMode="External"/><Relationship Id="rId1466" Type="http://schemas.openxmlformats.org/officeDocument/2006/relationships/hyperlink" Target="https://casetext.com/case/mendoza-v-rio-rico-med-1" TargetMode="External"/><Relationship Id="rId2005" Type="http://schemas.openxmlformats.org/officeDocument/2006/relationships/hyperlink" Target="https://www.jud.ct.gov/external/supapp/Cases/AROap/AP216/216AP25.pdf" TargetMode="External"/><Relationship Id="rId2212" Type="http://schemas.openxmlformats.org/officeDocument/2006/relationships/hyperlink" Target="https://public.fastcase.com/H1P9uiW3J20SFp%2BGCG%2BxLWaE5rZYr2H4Ujam%2BycZ4mpAt0doHRie9oUlcl2qsPlk?utm_medium=email&amp;_hsmi=226712652&amp;_hsenc=p2ANqtz-_AW42DW2ZKsbYvGhsf40qi8tEpXVEeEydLzmuxudQnQi0lg_TvDjKAtr1z0dXm_j1xtTRfnovBA_RTcYhjFA_6sdUkCw&amp;utm_content=226712652&amp;utm_source=hs_email" TargetMode="External"/><Relationship Id="rId2864" Type="http://schemas.openxmlformats.org/officeDocument/2006/relationships/hyperlink" Target="https://www.law.com/newyorklawjournal/2019/04/29/new-lactation-room-laws-what-employers-need-to-know/" TargetMode="External"/><Relationship Id="rId836" Type="http://schemas.openxmlformats.org/officeDocument/2006/relationships/hyperlink" Target="http://www.ca2.uscourts.gov/decisions/isysquery/d136f88b-cd40-4720-ac80-979ab5d9e37d/2/doc/18-943_opn.pdf" TargetMode="External"/><Relationship Id="rId1021" Type="http://schemas.openxmlformats.org/officeDocument/2006/relationships/hyperlink" Target="https://public.fastcase.com/9SKwsfNqTc6OieYDhNMyMxYFAOB%2B8Exz96lCVjgKZ3LX4kIIj1F%2BwgWx84FRdD2XxPjZrEkhT3uMWAcBEArrI0vrm%2B5Vt5gbBlhQIZhqFuE%3D" TargetMode="External"/><Relationship Id="rId1119" Type="http://schemas.openxmlformats.org/officeDocument/2006/relationships/hyperlink" Target="https://www.ca4.uscourts.gov/opinions/221081.U.pdf" TargetMode="External"/><Relationship Id="rId1673" Type="http://schemas.openxmlformats.org/officeDocument/2006/relationships/hyperlink" Target="https://cases.justia.com/federal/appellate-courts/ca11/25-10435/25-10435-2026-08-10.pdf?ts=1786397539" TargetMode="External"/><Relationship Id="rId1880" Type="http://schemas.openxmlformats.org/officeDocument/2006/relationships/hyperlink" Target="https://www.law.cornell.edu/uscode/text/29/260" TargetMode="External"/><Relationship Id="rId1978" Type="http://schemas.openxmlformats.org/officeDocument/2006/relationships/hyperlink" Target="https://casetext.com/case/city-of-great-falls-v-intl-assn-of-fire-fighters-loca" TargetMode="External"/><Relationship Id="rId2517" Type="http://schemas.openxmlformats.org/officeDocument/2006/relationships/hyperlink" Target="https://www.vitallaw.com/news/discrimination-disability-w-d-mich-firefighter-with-ptsd-fails-to-show-firehouse-dog-was-reasonable-accommodation/eld0112d25548de2942ffb5b58765cda11301" TargetMode="External"/><Relationship Id="rId2724" Type="http://schemas.openxmlformats.org/officeDocument/2006/relationships/hyperlink" Target="https://supreme.justia.com/cases/federal/us/405/150/" TargetMode="External"/><Relationship Id="rId2931" Type="http://schemas.openxmlformats.org/officeDocument/2006/relationships/hyperlink" Target="https://casetext.com/case/state-v-state-empt-relations-bd-2" TargetMode="External"/><Relationship Id="rId903" Type="http://schemas.openxmlformats.org/officeDocument/2006/relationships/hyperlink" Target="https://www.courts.ca.gov/opinions/documents/D082048.PDF" TargetMode="External"/><Relationship Id="rId1326" Type="http://schemas.openxmlformats.org/officeDocument/2006/relationships/hyperlink" Target="https://courts.illinois.gov/R23_Orders/AppellateCourt/2019/1stDistrict/1181900_R23.pdf" TargetMode="External"/><Relationship Id="rId1533" Type="http://schemas.openxmlformats.org/officeDocument/2006/relationships/hyperlink" Target="https://www.govinfo.gov/content/pkg/USCOURTS-idd-4_24-cv-00303/pdf/USCOURTS-idd-4_24-cv-00303-0.pdf" TargetMode="External"/><Relationship Id="rId1740" Type="http://schemas.openxmlformats.org/officeDocument/2006/relationships/hyperlink" Target="https://public.fastcase.com/J%2FJP6pdidelsXxEE4k%2BLMiM7pwWb%2BJBiIrsmHTSQKCgTGoUCuPbfbRmZbIscWTRrl1YTX4iVhFAcHudcdl9kVeXDJy0GqMwEdaMu5Mx11Z8%3D" TargetMode="External"/><Relationship Id="rId32" Type="http://schemas.openxmlformats.org/officeDocument/2006/relationships/hyperlink" Target="https://cases.justia.com/iowa/court-of-appeals/2026-25-0805.pdf?ts=1787163745" TargetMode="External"/><Relationship Id="rId1600" Type="http://schemas.openxmlformats.org/officeDocument/2006/relationships/hyperlink" Target="https://casetext.com/case/crudup-v-city-of-omaha-4" TargetMode="External"/><Relationship Id="rId1838" Type="http://schemas.openxmlformats.org/officeDocument/2006/relationships/hyperlink" Target="https://www.firefighterovertime.org/wp-content/uploads/2024/07/US_DIS_SCD_9_21cv3964_d87991559e1450_ORDER_denying_40_Motion_for_Summary_Judgment_grant.pdf" TargetMode="External"/><Relationship Id="rId181" Type="http://schemas.openxmlformats.org/officeDocument/2006/relationships/hyperlink" Target="https://public.fastcase.com/ZZhmr5v9wN%2FXOe5IsQ%2FqDx2aoAq%2F1J3XMBw8WA8L1d7o8S2WtY%2BTDnBn3n2%2F0y8X6CyWkgilV2OmVPwbi%2FNntkvFVphnueZifNbADUBhdiU%3D?utm_medium=email&amp;_hsmi=226712652&amp;_hsenc=p2ANqtz--A7cSCsQiKnmkWIbrJV3BH1NDDsIsoOUsxX371tCp7kUULX-TDL4poIpgmi8VFxIZ6Go7w0Api1t7_UP6pxMUzbV5FWQ&amp;utm_content=226712652&amp;utm_source=hs_email" TargetMode="External"/><Relationship Id="rId1905" Type="http://schemas.openxmlformats.org/officeDocument/2006/relationships/hyperlink" Target="https://public.fastcase.com/Wl%2B2t%2BeVuI35%2FN70vAMFZjQ0yk8eNGgy%2FibI6B2NDAJYgZ2PRe3I9j%2FKWgfFbNa7" TargetMode="External"/><Relationship Id="rId279" Type="http://schemas.openxmlformats.org/officeDocument/2006/relationships/hyperlink" Target="https://www.tcpalm.com/story/news/crime/st-lucie-county/2018/10/05/verdict-deputy-violated-martin-mans-civil-rights/1526605002/" TargetMode="External"/><Relationship Id="rId486" Type="http://schemas.openxmlformats.org/officeDocument/2006/relationships/hyperlink" Target="https://www.hometownlife.com/story/news/local/westland/2016/04/15/report-released-westland-firefighter-death/83087498/" TargetMode="External"/><Relationship Id="rId693" Type="http://schemas.openxmlformats.org/officeDocument/2006/relationships/hyperlink" Target="https://www.pbs.org/newshour/politics/what-is-the-legal-process-for-deporting-u-s-green-card-and-visa-holders" TargetMode="External"/><Relationship Id="rId2167" Type="http://schemas.openxmlformats.org/officeDocument/2006/relationships/hyperlink" Target="https://stlouiscriminaldefense.com/missouri-good-samaritan-law/" TargetMode="External"/><Relationship Id="rId2374" Type="http://schemas.openxmlformats.org/officeDocument/2006/relationships/hyperlink" Target="https://www.cdc.gov/niosh/fire/reports/face200709.html" TargetMode="External"/><Relationship Id="rId2581" Type="http://schemas.openxmlformats.org/officeDocument/2006/relationships/hyperlink" Target="https://www.firerescue1.com/fallen-firefighters/articles/379994018-Study-More-firefighters-died-by-suicide-than-in-the-line-of-duty-in-2017/" TargetMode="External"/><Relationship Id="rId139" Type="http://schemas.openxmlformats.org/officeDocument/2006/relationships/hyperlink" Target="http://kool.corrections.ky.gov/KOOL/Details/61717" TargetMode="External"/><Relationship Id="rId346" Type="http://schemas.openxmlformats.org/officeDocument/2006/relationships/hyperlink" Target="https://cases.justia.com/federal/district-courts/pennsylvania/pawdce/3:2018cv00193/249675/37/0.pdf?ts=1571736238" TargetMode="External"/><Relationship Id="rId553" Type="http://schemas.openxmlformats.org/officeDocument/2006/relationships/hyperlink" Target="https://www.supremecourt.gov/opinions/21pdf/20-843_7j80.pdf" TargetMode="External"/><Relationship Id="rId760" Type="http://schemas.openxmlformats.org/officeDocument/2006/relationships/hyperlink" Target="https://puenteaz.org/title42/" TargetMode="External"/><Relationship Id="rId998" Type="http://schemas.openxmlformats.org/officeDocument/2006/relationships/hyperlink" Target="https://cases.justia.com/michigan/court-of-appeals-unpublished/2023-361624.pdf?ts=1700661618" TargetMode="External"/><Relationship Id="rId1183" Type="http://schemas.openxmlformats.org/officeDocument/2006/relationships/hyperlink" Target="https://ilcourtsaudio.blob.core.windows.net/antilles-resources/resources/eba608df-6fa9-4d1a-8a11-f48abce29596/City%20of%20Springfield%20v.%20Illinois%20Workers'%20Compensation%20Comm'n,%202022%20IL%20App%20(4th)%20210604WC-U.pdf" TargetMode="External"/><Relationship Id="rId1390" Type="http://schemas.openxmlformats.org/officeDocument/2006/relationships/hyperlink" Target="https://cases.justia.com/federal/district-courts/texas/txsdce/6:2022cv00002/1858056/21/0.pdf?ts=1664555743" TargetMode="External"/><Relationship Id="rId2027" Type="http://schemas.openxmlformats.org/officeDocument/2006/relationships/hyperlink" Target="https://www.lexipol.com/resources/blog/can-fire-departments-prohibit-firefighter-off-duty-medical-marijuana-use/" TargetMode="External"/><Relationship Id="rId2234" Type="http://schemas.openxmlformats.org/officeDocument/2006/relationships/hyperlink" Target="https://codes.ohio.gov/ohio-revised-code/section-149.43" TargetMode="External"/><Relationship Id="rId2441" Type="http://schemas.openxmlformats.org/officeDocument/2006/relationships/hyperlink" Target="https://cases.justia.com/federal/district-courts/illinois/ilcdce/1:2017cv01212/69571/44/0.pdf?ts=1567070402" TargetMode="External"/><Relationship Id="rId2679" Type="http://schemas.openxmlformats.org/officeDocument/2006/relationships/hyperlink" Target="https://cases.justia.com/michigan/court-of-appeals-unpublished/2025-368047.pdf?ts=1745586008" TargetMode="External"/><Relationship Id="rId2886" Type="http://schemas.openxmlformats.org/officeDocument/2006/relationships/hyperlink" Target="https://cases.justia.com/federal/appellate-courts/ca5/25-30305/25-30305-2026-07-17.pdf?ts=1784331031" TargetMode="External"/><Relationship Id="rId206" Type="http://schemas.openxmlformats.org/officeDocument/2006/relationships/hyperlink" Target="https://public.fastcase.com/J%2FJP6pdidelsXxEE4k%2BLMh%2BxgKCWLadJ0%2BOScffwypyz9KPkH6WwjXpW3uRa%2FlRTPk79L8Q2wc49Eb83uFrfiOwpLA5%2BzEeF6Sl%2BnZohK7o%3D?utm_medium=email&amp;_hsmi=226712652&amp;_hsenc=p2ANqtz--JRFw_odmHYH-3piiElV-hEg_p30YKZr85DqTYsa6cCP0cQTh9qrySQOzbjYsHMVm2otLm7TlEchGQvTofiaLZzRru3Q&amp;utm_content=226712652&amp;utm_source=hs_email" TargetMode="External"/><Relationship Id="rId413" Type="http://schemas.openxmlformats.org/officeDocument/2006/relationships/hyperlink" Target="https://www.newsbreak.com/news-12-2283883/4553774051867-today-is-the-fifth-anniversary-of-a-rockland-county-fire-that-killed-two-including-a-local-firefighter" TargetMode="External"/><Relationship Id="rId858" Type="http://schemas.openxmlformats.org/officeDocument/2006/relationships/hyperlink" Target="https://www.supremecourt.gov/opinions/17pdf/17-965_h315.pdf" TargetMode="External"/><Relationship Id="rId1043" Type="http://schemas.openxmlformats.org/officeDocument/2006/relationships/hyperlink" Target="https://www.post-gazette.com/local/west/2006/09/15/Jury-awards-5-million-to-families-in-fire-hose-accident/stories/200609150169" TargetMode="External"/><Relationship Id="rId1488" Type="http://schemas.openxmlformats.org/officeDocument/2006/relationships/hyperlink" Target="https://public.fastcase.com/Wl%2B2t%2BeVuI35%2FN70vAMFZsLQ8Zjgb2jk542DjlxpVQs5PCG3jEwwTTQV0VgsrBHY" TargetMode="External"/><Relationship Id="rId1695" Type="http://schemas.openxmlformats.org/officeDocument/2006/relationships/hyperlink" Target="https://www.supremecourt.gov/opinions/24pdf/23-997_6579.pdf" TargetMode="External"/><Relationship Id="rId2539" Type="http://schemas.openxmlformats.org/officeDocument/2006/relationships/hyperlink" Target="https://www.lsc.ohio.gov/assets/organizations/legislative-service-commission/files/involuntary-treatment-for-mental-illness.pdf" TargetMode="External"/><Relationship Id="rId2746" Type="http://schemas.openxmlformats.org/officeDocument/2006/relationships/hyperlink" Target="https://public.fastcase.com/J%2FJP6pdidelsXxEE4k%2BLMvAA4wdVAozHclcXP6KMfdj8CYqWYkZ5IhtTDMjNxRFWt37yGVInB8Zz%2FIGBMgeG32vITwI53h9KaHKQGHtOktA%3D?utm_medium=email&amp;_hsmi=226712652&amp;_hsenc=p2ANqtz-_Mw2AEs2jMeK8CMsm-FXL9B_q1HIVWLrxWyxNhgUshAzXtvMAG3R8e40Q3eYuBvp5AUcCDxAlMrpInvyyHAC9DF5hGYw&amp;utm_content=226712652&amp;utm_source=hs_email" TargetMode="External"/><Relationship Id="rId2953" Type="http://schemas.openxmlformats.org/officeDocument/2006/relationships/hyperlink" Target="https://www.leagle.com/decision/inohco20220627386" TargetMode="External"/><Relationship Id="rId620" Type="http://schemas.openxmlformats.org/officeDocument/2006/relationships/hyperlink" Target="https://www.courts.ca.gov/opinions/nonpub/A150651.PD" TargetMode="External"/><Relationship Id="rId718" Type="http://schemas.openxmlformats.org/officeDocument/2006/relationships/hyperlink" Target="https://www.supremecourt.gov/opinions/23pdf/22-1178_p8k0.pdf" TargetMode="External"/><Relationship Id="rId925" Type="http://schemas.openxmlformats.org/officeDocument/2006/relationships/hyperlink" Target="https://casetext.com/case/dougherty-v-city-of-detroit" TargetMode="External"/><Relationship Id="rId1250" Type="http://schemas.openxmlformats.org/officeDocument/2006/relationships/hyperlink" Target="https://codes.ohio.gov/orc/gp9.87" TargetMode="External"/><Relationship Id="rId1348" Type="http://schemas.openxmlformats.org/officeDocument/2006/relationships/hyperlink" Target="https://services.courts.state.wy.us/Documents/Opinions/2018WY75.pdf" TargetMode="External"/><Relationship Id="rId1555" Type="http://schemas.openxmlformats.org/officeDocument/2006/relationships/hyperlink" Target="https://public.fastcase.com/jaEE2PXzRXmZ99jOLMt1IpDp0JnVzptdty762p2WdacpKzYcIiQ8l1TBeuMep1jV?utm_medium=email&amp;_hsenc=p2ANqtz-9L1bPrfxst6esq_7Z5KFo1lHVisT0fYVrJpGE-zmUOoXZMhssxRXtfaqB6NAX5aJI_oGim2Kqhabp0MlaGnIdzwB2f4A&amp;_hsmi=226712652&amp;utm_content=226712652&amp;utm_source=hs_email" TargetMode="External"/><Relationship Id="rId1762" Type="http://schemas.openxmlformats.org/officeDocument/2006/relationships/hyperlink" Target="https://www.justice.gov/opa/blog/americans-disabilities-act-30th-anniversary-furthering-promise" TargetMode="External"/><Relationship Id="rId2301" Type="http://schemas.openxmlformats.org/officeDocument/2006/relationships/hyperlink" Target="https://www.dallasobserver.com/news/watch-dallas-paramedic-kicks-mentally-ill-man-several-times-before-police-arrive-on-scene-12638001" TargetMode="External"/><Relationship Id="rId2606" Type="http://schemas.openxmlformats.org/officeDocument/2006/relationships/hyperlink" Target="https://www.supremecourt.ohio.gov/rod/docs/pdf/7/2026/2026-Ohio-2671.pdf" TargetMode="External"/><Relationship Id="rId1110" Type="http://schemas.openxmlformats.org/officeDocument/2006/relationships/hyperlink" Target="https://cases.justia.com/arizona/court-of-appeals-division-two-unpublished/2025-2-ca-ic-2024-0003.pdf?ts=1738026580" TargetMode="External"/><Relationship Id="rId1208" Type="http://schemas.openxmlformats.org/officeDocument/2006/relationships/hyperlink" Target="https://apps.leg.wa.gov/rcw/default.aspx?cite=51.32.185" TargetMode="External"/><Relationship Id="rId1415" Type="http://schemas.openxmlformats.org/officeDocument/2006/relationships/hyperlink" Target="https://www.supremecourt.gov/opinions/23pdf/22-193_q86b.pdf" TargetMode="External"/><Relationship Id="rId2813" Type="http://schemas.openxmlformats.org/officeDocument/2006/relationships/hyperlink" Target="http://www.ca5.uscourts.gov/opinions/unpub/20/20-20087.0.pdf" TargetMode="External"/><Relationship Id="rId54" Type="http://schemas.openxmlformats.org/officeDocument/2006/relationships/hyperlink" Target="https://www.youtube.com/watch?v=lqmk210Y9sk" TargetMode="External"/><Relationship Id="rId1622" Type="http://schemas.openxmlformats.org/officeDocument/2006/relationships/hyperlink" Target="https://public.fastcase.com/9SKwsfNqTc6OieYDhNMyM%2FTSgbZsxamnZMkEnGgxxe%2FrqLPFRApIhr2w3nhFxBI%2F%2BQAM0CcvCjVB30L3LI5a7qA0dv8E2KAwnqlsNAe5EaM%3D" TargetMode="External"/><Relationship Id="rId1927" Type="http://schemas.openxmlformats.org/officeDocument/2006/relationships/hyperlink" Target="https://www.law.cornell.edu/definitions/uscode.php?width=840&amp;height=800&amp;iframe=true&amp;def_id=29-USC-1193469614-1597622566&amp;term_occur=999&amp;term_src=" TargetMode="External"/><Relationship Id="rId2091" Type="http://schemas.openxmlformats.org/officeDocument/2006/relationships/hyperlink" Target="https://www.revisor.mn.gov/statutes/cite/595.02" TargetMode="External"/><Relationship Id="rId2189" Type="http://schemas.openxmlformats.org/officeDocument/2006/relationships/hyperlink" Target="http://www.opn.ca6.uscourts.gov/opinions.pdf/08a0140p-06.pdf" TargetMode="External"/><Relationship Id="rId270" Type="http://schemas.openxmlformats.org/officeDocument/2006/relationships/hyperlink" Target="https://casetext.com/case/ciempa-v-city-of-del-city" TargetMode="External"/><Relationship Id="rId2396" Type="http://schemas.openxmlformats.org/officeDocument/2006/relationships/hyperlink" Target="https://public.fastcase.com/Wl%2B2t%2BeVuI35%2FN70vAMFZkrYpDR4hQ33Ax6oS1aJkCwq%2BUGCyTcW0uJ1XV2sRjwT" TargetMode="External"/><Relationship Id="rId3002" Type="http://schemas.openxmlformats.org/officeDocument/2006/relationships/hyperlink" Target="https://ethics.ohio.gov/advice/opinions/2025-02.pdf" TargetMode="External"/><Relationship Id="rId130" Type="http://schemas.openxmlformats.org/officeDocument/2006/relationships/hyperlink" Target="https://www.courthousenews.com/wp-content/uploads/2024/09/wholesale-fireworks-ruling.pdf" TargetMode="External"/><Relationship Id="rId368" Type="http://schemas.openxmlformats.org/officeDocument/2006/relationships/hyperlink" Target="https://www.supremecourt.gov/opinions/18pdf/17-1660_5ifl.pdf" TargetMode="External"/><Relationship Id="rId575" Type="http://schemas.openxmlformats.org/officeDocument/2006/relationships/hyperlink" Target="https://law.justia.com/cases/michigan/court-of-appeals-unpublished/2021/350129.html" TargetMode="External"/><Relationship Id="rId782" Type="http://schemas.openxmlformats.org/officeDocument/2006/relationships/hyperlink" Target="https://www.washingtonpost.com/nation/interactive/2021/anti-gun-gun-owners/?itid=lk_inline_manual_4" TargetMode="External"/><Relationship Id="rId2049" Type="http://schemas.openxmlformats.org/officeDocument/2006/relationships/hyperlink" Target="https://cases.justia.com/kentucky/court-of-appeals/2026-2025-ca-1345-mr.pdf?ts=1788530681" TargetMode="External"/><Relationship Id="rId2256" Type="http://schemas.openxmlformats.org/officeDocument/2006/relationships/hyperlink" Target="https://ilcourtsaudio.blob.core.windows.net/antilles-resources/resources/d0a50835-8b8c-4e4e-96d4-c3b209eadd34/People%20v.%20Peters,%202023%20IL%20App%20(1st)%20211591-U.pdf" TargetMode="External"/><Relationship Id="rId2463" Type="http://schemas.openxmlformats.org/officeDocument/2006/relationships/hyperlink" Target="http://www.opn.ca6.uscourts.gov/opinions.pdf/18a0499n-06.pdf" TargetMode="External"/><Relationship Id="rId2670" Type="http://schemas.openxmlformats.org/officeDocument/2006/relationships/hyperlink" Target="https://www.courts.state.hi.us/wp-content/uploads/2025/06/CAAP-22-0000641sdo.pdf" TargetMode="External"/><Relationship Id="rId228" Type="http://schemas.openxmlformats.org/officeDocument/2006/relationships/hyperlink" Target="https://codes.ohio.gov/ohio-revised-code/section-5589.21" TargetMode="External"/><Relationship Id="rId435" Type="http://schemas.openxmlformats.org/officeDocument/2006/relationships/hyperlink" Target="https://www.aclufl.org/legislation/hb-75sb-184-criminalizing-bystanders-exercising-first-amendment-rights/" TargetMode="External"/><Relationship Id="rId642" Type="http://schemas.openxmlformats.org/officeDocument/2006/relationships/hyperlink" Target="https://d.docs.live.net/bd9b2eaf6053242e/AppData/Roaming/Microsoft/AppData/Local/Microsoft/Windows/INetCache/IE/CTCRXJ99/Alvarez-v-American-LaFrance.pdf" TargetMode="External"/><Relationship Id="rId1065" Type="http://schemas.openxmlformats.org/officeDocument/2006/relationships/hyperlink" Target="https://codes.ohio.gov/ohio-revised-code/section-109.578" TargetMode="External"/><Relationship Id="rId1272" Type="http://schemas.openxmlformats.org/officeDocument/2006/relationships/hyperlink" Target="https://www.ncjrs.gov/pdffiles1/Digitization/103277NCJRS.pdf" TargetMode="External"/><Relationship Id="rId2116" Type="http://schemas.openxmlformats.org/officeDocument/2006/relationships/hyperlink" Target="https://www.njcourts.gov/system/files/court-opinions/2025/a0275-24.pdf" TargetMode="External"/><Relationship Id="rId2323" Type="http://schemas.openxmlformats.org/officeDocument/2006/relationships/hyperlink" Target="https://law.justia.com/cases/federal/district-courts/illinois/ilndce/1:2021cv05039/407354/52/" TargetMode="External"/><Relationship Id="rId2530" Type="http://schemas.openxmlformats.org/officeDocument/2006/relationships/hyperlink" Target="https://app.leg.wa.gov/RCW/default.aspx?cite=18.73.030" TargetMode="External"/><Relationship Id="rId2768" Type="http://schemas.openxmlformats.org/officeDocument/2006/relationships/hyperlink" Target="https://www.tncourts.gov/sites/default/files/pryebeverlyopn.pdf" TargetMode="External"/><Relationship Id="rId2975" Type="http://schemas.openxmlformats.org/officeDocument/2006/relationships/hyperlink" Target="https://njcourts.gov/attorneys/assets/opinions/appellate/unpublished/a2277-18.pdf" TargetMode="External"/><Relationship Id="rId502" Type="http://schemas.openxmlformats.org/officeDocument/2006/relationships/hyperlink" Target="https://casetext.com/case/hering-v-rural-mut-ins-co" TargetMode="External"/><Relationship Id="rId947" Type="http://schemas.openxmlformats.org/officeDocument/2006/relationships/hyperlink" Target="https://www.nct911.org/how-location-works-for-911/" TargetMode="External"/><Relationship Id="rId1132" Type="http://schemas.openxmlformats.org/officeDocument/2006/relationships/hyperlink" Target="https://www.iaff.org/presumptive-health/" TargetMode="External"/><Relationship Id="rId1577" Type="http://schemas.openxmlformats.org/officeDocument/2006/relationships/hyperlink" Target="https://supreme.justia.com/cases/federal/us/564/338/" TargetMode="External"/><Relationship Id="rId1784" Type="http://schemas.openxmlformats.org/officeDocument/2006/relationships/hyperlink" Target="https://public.fastcase.com/9SKwsfNqTc6OieYDhNMyM%2BsbSTu241pOZ38l1fL3GtOxRE1iLhH6RZm0FIyTdVeF1XRK6Ebg7B5equTDg4ZQiMxFMDQEZko4UYsaxrmOuYk%3D" TargetMode="External"/><Relationship Id="rId1991" Type="http://schemas.openxmlformats.org/officeDocument/2006/relationships/hyperlink" Target="https://public.fastcase.com/H1P9uiW3J20SFp%2BGCG%2BxLWxsjT87vgsYeUyD6XhJjN4sWvyHUDi1iD6eePPdFLtF?utm_medium=email&amp;_hsmi=226712652&amp;_hsenc=p2ANqtz-_iI2JExLit36jQEG92m9s-4sdtZgfob1tVRc-o7xFd5g7DvtyOGh3o-vGJ1z88YzXriHS74jMuVuWJoviL5aHAnGRzpg&amp;utm_content=226712652&amp;utm_source=hs_email" TargetMode="External"/><Relationship Id="rId2628" Type="http://schemas.openxmlformats.org/officeDocument/2006/relationships/hyperlink" Target="https://cases.justia.com/federal/district-courts/florida/flmdce/8:2025cv02787/448658/35/0.pdf" TargetMode="External"/><Relationship Id="rId2835" Type="http://schemas.openxmlformats.org/officeDocument/2006/relationships/hyperlink" Target="https://public.fastcase.com/Wl%2B2t%2BeVuI35%2FN70vAMFZpe9nZQy4%2Fh5OlPwYBiXwZiKHRqMJ6M13sKp4yP4%2F%2BSx" TargetMode="External"/><Relationship Id="rId76" Type="http://schemas.openxmlformats.org/officeDocument/2006/relationships/hyperlink" Target="https://cases.justia.com/federal/district-courts/south-carolina/scdce/2:2024cv02173/290787/65/0.pdf?ts=1756990440" TargetMode="External"/><Relationship Id="rId807" Type="http://schemas.openxmlformats.org/officeDocument/2006/relationships/hyperlink" Target="https://www.law.cornell.edu/definitions/uscode.php?width=840&amp;height=800&amp;iframe=true&amp;def_id=8-USC-92903111-1485256781&amp;term_occur=999&amp;term_src=" TargetMode="External"/><Relationship Id="rId1437" Type="http://schemas.openxmlformats.org/officeDocument/2006/relationships/hyperlink" Target="https://public.fastcase.com/J%2FJP6pdidelsXxEE4k%2BLMhHGbq56VzoTk1JFKDMbyAsW64naZ9EKqTmGK9O1R3Wr9GeihMDs1Zh2VHQfJhn6l7jf8Y6MJiDUL4WQvVsRKlE%3D?utm_medium=email&amp;_hsmi=226712652&amp;_hsenc=p2ANqtz-8S41Im3p2bNEgWstI4h7IIgl63Egh37Z-OzcnjQev0mJue-BzqLfMZTGtGKB_KMNSyA32EmSFNwIWzkboUxTkEerO4Tg&amp;utm_content=226712652&amp;utm_source=hs_email" TargetMode="External"/><Relationship Id="rId1644" Type="http://schemas.openxmlformats.org/officeDocument/2006/relationships/hyperlink" Target="https://www.law.georgetown.edu/icap/wp-content/uploads/sites/32/2020/07/Bey-2d-Cir.-Opening-Brief-FINAL-7-7-2020.pdf" TargetMode="External"/><Relationship Id="rId1851" Type="http://schemas.openxmlformats.org/officeDocument/2006/relationships/hyperlink" Target="http://www.flsa-optin.com/index.cfm?zone=/unionactive/form_page.cfm&amp;formID=108277" TargetMode="External"/><Relationship Id="rId2902" Type="http://schemas.openxmlformats.org/officeDocument/2006/relationships/hyperlink" Target="https://civilinquiry.jud.ct.gov/DocumentInquiry/DocumentInquiry.aspx?DocumentNo=29998787" TargetMode="External"/><Relationship Id="rId1504" Type="http://schemas.openxmlformats.org/officeDocument/2006/relationships/hyperlink" Target="https://journalstar.com/news/local/crime-and-courts/female-firefighter-s-discrimination-case-against-the-city-of-lincoln/article_97cf8ac8-bb20-5343-8e10-3faf315b0dd8.html" TargetMode="External"/><Relationship Id="rId1711" Type="http://schemas.openxmlformats.org/officeDocument/2006/relationships/hyperlink" Target="https://www.supremecourt.gov/DocketPDF/23/23-997/309679/20240513145152474_23-997%20Brief%20in%20Opposition%20Final.pdf" TargetMode="External"/><Relationship Id="rId1949" Type="http://schemas.openxmlformats.org/officeDocument/2006/relationships/hyperlink" Target="https://d.docs.live.net/bd9b2eaf6053242e/AppData/Roaming/Microsoft/AppData/Local/Microsoft/Windows/INetCache/IE/CTCRXJ99/whdfs23.pdf" TargetMode="External"/><Relationship Id="rId292" Type="http://schemas.openxmlformats.org/officeDocument/2006/relationships/hyperlink" Target="mailto:susan.willeke@ethics.ohio.gov" TargetMode="External"/><Relationship Id="rId1809" Type="http://schemas.openxmlformats.org/officeDocument/2006/relationships/hyperlink" Target="https://www.dol.gov/agencies/whd/fact-sheets/17c-overtime-administrative" TargetMode="External"/><Relationship Id="rId597" Type="http://schemas.openxmlformats.org/officeDocument/2006/relationships/hyperlink" Target="https://www.fox29.com/news/woman-gets-30-year-sentence-in-arson-that-killed-3-wilmington-firefighters" TargetMode="External"/><Relationship Id="rId2180" Type="http://schemas.openxmlformats.org/officeDocument/2006/relationships/hyperlink" Target="https://www.law.cornell.edu/wex/hearsay" TargetMode="External"/><Relationship Id="rId2278" Type="http://schemas.openxmlformats.org/officeDocument/2006/relationships/hyperlink" Target="https://www.law.cornell.edu/definitions/uscode.php?width=840&amp;height=800&amp;iframe=true&amp;def_id=42-USC-638938755-1009355610&amp;term_occur=999&amp;term_src=" TargetMode="External"/><Relationship Id="rId2485" Type="http://schemas.openxmlformats.org/officeDocument/2006/relationships/hyperlink" Target="https://casetext.com/case/city-of-tucson-v-the-indus-commn-of-ariz" TargetMode="External"/><Relationship Id="rId3024" Type="http://schemas.openxmlformats.org/officeDocument/2006/relationships/hyperlink" Target="https://supremecourt.flcourts.gov/content/download/1172655/opinion/Opinion_SC2021-0651.pdf" TargetMode="External"/><Relationship Id="rId152" Type="http://schemas.openxmlformats.org/officeDocument/2006/relationships/hyperlink" Target="https://www.opn.ca6.uscourts.gov/opinions.pdf/24a0323n-06.pdf" TargetMode="External"/><Relationship Id="rId457" Type="http://schemas.openxmlformats.org/officeDocument/2006/relationships/hyperlink" Target="https://www.ktmc.com/featured-case/norfolk-southern-corporation" TargetMode="External"/><Relationship Id="rId1087" Type="http://schemas.openxmlformats.org/officeDocument/2006/relationships/hyperlink" Target="https://ilcourtsaudio.blob.core.windows.net/antilles-resources/resources/b97cd9d5-bd7a-4b80-8ae7-ba3200915f21/Village%20of%20Schaumburg%20v.%20VoS%20Firefighters%E2%80%99%20Pension%20Fund%202025%20IL%20App%20(1st)%20241764.pdf" TargetMode="External"/><Relationship Id="rId1294" Type="http://schemas.openxmlformats.org/officeDocument/2006/relationships/hyperlink" Target="http://www.nycourts.gov/courts/AD2/Handdowns/2020/Decisions/D63333.pdf" TargetMode="External"/><Relationship Id="rId2040" Type="http://schemas.openxmlformats.org/officeDocument/2006/relationships/hyperlink" Target="https://www.courthousenews.com/wp-content/uploads/2020/06/safehouse-pa.pdf" TargetMode="External"/><Relationship Id="rId2138" Type="http://schemas.openxmlformats.org/officeDocument/2006/relationships/hyperlink" Target="https://cdn.ca9.uscourts.gov/datastore/memoranda/2025/04/30/24-3195.pdf" TargetMode="External"/><Relationship Id="rId2692" Type="http://schemas.openxmlformats.org/officeDocument/2006/relationships/hyperlink" Target="https://www.njcourts.gov/system/files/court-opinions/2024/a1537-22.pdf" TargetMode="External"/><Relationship Id="rId2997" Type="http://schemas.openxmlformats.org/officeDocument/2006/relationships/hyperlink" Target="https://www.flhouse.gov/Sections/Bills/billsdetail.aspx?BillId=78745" TargetMode="External"/><Relationship Id="rId664" Type="http://schemas.openxmlformats.org/officeDocument/2006/relationships/hyperlink" Target="https://storage.courtlistener.com/recap/gov.uscourts.cadc.42631/gov.uscourts.cadc.42631.1208806141.0.pdf" TargetMode="External"/><Relationship Id="rId871" Type="http://schemas.openxmlformats.org/officeDocument/2006/relationships/hyperlink" Target="https://www.njcourts.gov/system/files/court-opinions/2026/a0803-24.pdf" TargetMode="External"/><Relationship Id="rId969" Type="http://schemas.openxmlformats.org/officeDocument/2006/relationships/hyperlink" Target="https://cases.justia.com/texas/fourteenth-court-of-appeals/2026-14-25-00078-cv.pdf?ts=1770741693" TargetMode="External"/><Relationship Id="rId1599" Type="http://schemas.openxmlformats.org/officeDocument/2006/relationships/hyperlink" Target="https://casetext.com/case/mendoza-v-the-city-of-new-york-3" TargetMode="External"/><Relationship Id="rId2345" Type="http://schemas.openxmlformats.org/officeDocument/2006/relationships/hyperlink" Target="https://www.youtube.com/watch?v=DDCANExSv1Q" TargetMode="External"/><Relationship Id="rId2552" Type="http://schemas.openxmlformats.org/officeDocument/2006/relationships/hyperlink" Target="https://www.njcourts.gov/attorneys/assets/opinions/appellate/unpublished/a3633-19.pdf" TargetMode="External"/><Relationship Id="rId317" Type="http://schemas.openxmlformats.org/officeDocument/2006/relationships/hyperlink" Target="https://www.courts.state.md.us/sites/default/files/unreported-opinions/0614s19.pdf" TargetMode="External"/><Relationship Id="rId524" Type="http://schemas.openxmlformats.org/officeDocument/2006/relationships/hyperlink" Target="https://casetext.com/case/boon-v-rivera" TargetMode="External"/><Relationship Id="rId731" Type="http://schemas.openxmlformats.org/officeDocument/2006/relationships/hyperlink" Target="https://www.motherjones.com/environment/2015/08/40-percent-californias-fires-are-fought-prison-inmates/" TargetMode="External"/><Relationship Id="rId1154" Type="http://schemas.openxmlformats.org/officeDocument/2006/relationships/hyperlink" Target="https://law.justia.com/cases/pennsylvania/commonwealth-court/2023/1040-c-d-2021.html" TargetMode="External"/><Relationship Id="rId1361" Type="http://schemas.openxmlformats.org/officeDocument/2006/relationships/hyperlink" Target="https://www.courts.ri.gov/Courts/SupremeCourt/SupremeOpinions/16-170.pdf" TargetMode="External"/><Relationship Id="rId1459" Type="http://schemas.openxmlformats.org/officeDocument/2006/relationships/hyperlink" Target="https://scholar.google.com/scholar_case?case=18355840808386135290&amp;hl=en&amp;as_sdt=6&amp;as_vis=1&amp;oi=scholarr" TargetMode="External"/><Relationship Id="rId2205" Type="http://schemas.openxmlformats.org/officeDocument/2006/relationships/hyperlink" Target="https://cases.justia.com/federal/appellate-courts/ca10/24-7035/24-7035-2025-08-22.pdf?ts=1755880380" TargetMode="External"/><Relationship Id="rId2412" Type="http://schemas.openxmlformats.org/officeDocument/2006/relationships/hyperlink" Target="https://public.fastcase.com/Wl%2B2t%2BeVuI35%2FN70vAMFZpHUgoz3hp5Nx0V5b99AFirO%2BO19k2h0p4CgWny%2Fxn0a" TargetMode="External"/><Relationship Id="rId2857" Type="http://schemas.openxmlformats.org/officeDocument/2006/relationships/hyperlink" Target="https://supreme.justia.com/cases/federal/us/391/563" TargetMode="External"/><Relationship Id="rId98" Type="http://schemas.openxmlformats.org/officeDocument/2006/relationships/hyperlink" Target="https://www.14news.com/2022/08/18/wife-convicted-murderer-both-charged-death-evansville-firefighter/" TargetMode="External"/><Relationship Id="rId829" Type="http://schemas.openxmlformats.org/officeDocument/2006/relationships/hyperlink" Target="https://www.ca2.uscourts.gov/decisions/isysquery/d1288cae-9c73-4842-93cb-329cdd38edc3/3/doc/19-2934_so.pdf" TargetMode="External"/><Relationship Id="rId1014" Type="http://schemas.openxmlformats.org/officeDocument/2006/relationships/hyperlink" Target="https://casetext.com/case/schultz-v-st-clair-cnty-2" TargetMode="External"/><Relationship Id="rId1221" Type="http://schemas.openxmlformats.org/officeDocument/2006/relationships/hyperlink" Target="https://www.youtube.com/watch?v=-Y6r01Pmcaw" TargetMode="External"/><Relationship Id="rId1666" Type="http://schemas.openxmlformats.org/officeDocument/2006/relationships/hyperlink" Target="https://www.eeoc.gov/employees/timeliness.cfm" TargetMode="External"/><Relationship Id="rId1873" Type="http://schemas.openxmlformats.org/officeDocument/2006/relationships/hyperlink" Target="https://public.fastcase.com/J%2FJP6pdidelsXxEE4k%2BLMlJvV4SJAfGPsaCb1kEJI4NiHVvOih0KoHLgsQ3SFDCtHhkE7RYPh6rKF3vfpYjTBRyXwDRXesvaMheieGfjP1w%3D?utm_medium=email&amp;_hsmi=226712652&amp;_hsenc=p2ANqtz--UObyDUMiaZSwq-4NoEzNR5o4eO8V_D5uKHJYL4ZZ256ZhZPYzbGLx-gR6MhxNsQvJKJXWqSitgcrGqHUpT5pkRHztzQ&amp;utm_content=226712652&amp;utm_source=hs_emai" TargetMode="External"/><Relationship Id="rId2717" Type="http://schemas.openxmlformats.org/officeDocument/2006/relationships/hyperlink" Target="https://caselaw.findlaw.com/court/ma-court-of-appeals/115411600.html" TargetMode="External"/><Relationship Id="rId2924" Type="http://schemas.openxmlformats.org/officeDocument/2006/relationships/hyperlink" Target="https://cases.justia.com/federal/district-courts/arizona/azdce/2:2023cv00612/1330978/17/0.pdf?ts=1697297155" TargetMode="External"/><Relationship Id="rId1319" Type="http://schemas.openxmlformats.org/officeDocument/2006/relationships/hyperlink" Target="https://courts.illinois.gov/R23_Orders/WorkersComp/2020/1190373WC_R23.pdf" TargetMode="External"/><Relationship Id="rId1526" Type="http://schemas.openxmlformats.org/officeDocument/2006/relationships/hyperlink" Target="https://cases.justia.com/federal/appellate-courts/ca4/25-1440/25-1440-2026-06-24.pdf?ts=1782325881" TargetMode="External"/><Relationship Id="rId1733" Type="http://schemas.openxmlformats.org/officeDocument/2006/relationships/hyperlink" Target="https://public.fastcase.com/ZZhmr5v9wN%2FXOe5IsQ%2FqD5cOg4uDiWBiDgRVwEX7HkTgzpDy2YRC9dWsCSpL5q7NwLkYpJ%2BBy0X6CQVC4aXC0tZJlDrCMk2fa2%2Fy73T5jjU%3D?utm_medium=email&amp;_hsmi=226712652&amp;_hsenc=p2ANqtz-8FJorPS84jztogf_8o7olLe4m03Y-oUT6vKuzTkvf9gKaTxn2WPOeYqAoz6gwdnY0JMEeLDG0EyTmUqJkqtPPBYQ-lng&amp;utm_content=226712652&amp;utm_source=hs_email" TargetMode="External"/><Relationship Id="rId1940" Type="http://schemas.openxmlformats.org/officeDocument/2006/relationships/hyperlink" Target="https://www.dol.gov/whd/opinion/search/index.htm?FLSA" TargetMode="External"/><Relationship Id="rId25" Type="http://schemas.openxmlformats.org/officeDocument/2006/relationships/hyperlink" Target="https://cases.justia.com/ohio/tenth-district-court-of-appeals/2026-25ap-798.pdf?ts=1790269228" TargetMode="External"/><Relationship Id="rId1800" Type="http://schemas.openxmlformats.org/officeDocument/2006/relationships/hyperlink" Target="https://caselaw.findlaw.com/court/us-7th-circuit/2104932.html" TargetMode="External"/><Relationship Id="rId3046" Type="http://schemas.openxmlformats.org/officeDocument/2006/relationships/hyperlink" Target="https://www.legislature.ohio.gov/legislation/legislation-documents?id=GA133-HB-606" TargetMode="External"/><Relationship Id="rId174" Type="http://schemas.openxmlformats.org/officeDocument/2006/relationships/hyperlink" Target="https://www.courts.state.co.us/userfiles/file/Court_Probation/Supreme_Court/Opinions/2023/23SA12.pdf?utm_source=substack&amp;utm_medium=email" TargetMode="External"/><Relationship Id="rId381" Type="http://schemas.openxmlformats.org/officeDocument/2006/relationships/hyperlink" Target="https://client.prod.iaff.org/" TargetMode="External"/><Relationship Id="rId2062" Type="http://schemas.openxmlformats.org/officeDocument/2006/relationships/hyperlink" Target="https://public.fastcase.com/Jhe1Qn%2BmJndQYQU6z%2FeNm1ngVbZVwfb9i9nq%2ByxsJt7eYa6Yri%2FXr9veF2mIoPRbBYalWXjl02DPpQ9AYC5%2BzkBbUV9CJV65Gz31ZPaNAhA%3D?utm_medium=email&amp;_hsenc=p2ANqtz--v_X0_ty2KgZc4cuUGDg0UHRgKtD60M90IuqE8DpMJ6uO5aXr8LyUQmZOmsR5mb8hE3f734Ge27BP-t9ynHj9iUX7jKQ&amp;_hsmi=226712652&amp;utm_content=226712652&amp;utm_source=hs_email" TargetMode="External"/><Relationship Id="rId241" Type="http://schemas.openxmlformats.org/officeDocument/2006/relationships/hyperlink" Target="https://law.justia.com/cases/texas/supreme-court/2022/20-0366-0.html" TargetMode="External"/><Relationship Id="rId479" Type="http://schemas.openxmlformats.org/officeDocument/2006/relationships/hyperlink" Target="https://www.courthousenews.com/wp-content/uploads/2024/09/wholesale-fireworks-ruling.pdf" TargetMode="External"/><Relationship Id="rId686" Type="http://schemas.openxmlformats.org/officeDocument/2006/relationships/hyperlink" Target="https://www.supremecourt.gov/opinions/24pdf/24a1153_l5gm.pdf" TargetMode="External"/><Relationship Id="rId893" Type="http://schemas.openxmlformats.org/officeDocument/2006/relationships/hyperlink" Target="https://casetext.com/case/portillo-v-madera-cnty" TargetMode="External"/><Relationship Id="rId2367" Type="http://schemas.openxmlformats.org/officeDocument/2006/relationships/hyperlink" Target="https://codes.ohio.gov/ohio-revised-code/section-4765.49" TargetMode="External"/><Relationship Id="rId2574" Type="http://schemas.openxmlformats.org/officeDocument/2006/relationships/hyperlink" Target="https://images.law.com/contrib/content/uploads/documents/399/44956/psych.pdf" TargetMode="External"/><Relationship Id="rId2781" Type="http://schemas.openxmlformats.org/officeDocument/2006/relationships/hyperlink" Target="https://public.fastcase.com/9SKwsfNqTc6OieYDhNMyM%2B9QVlF%2Fi0C7FBtpVDfGBEJTuxz2gLXEBOyZ2MTUN6p67t66EUS4%2BwzN2KZQmb95HSCpSxhJK4uvhgP9XZ8nBIo%3D" TargetMode="External"/><Relationship Id="rId339" Type="http://schemas.openxmlformats.org/officeDocument/2006/relationships/hyperlink" Target="https://public.fastcase.com/Wl%2B2t%2BeVuI35%2FN70vAMFZj1n7kcpr8halXGGcU2zGib4k7w6DLSXX7%2BQNj%2B4S4J7" TargetMode="External"/><Relationship Id="rId546" Type="http://schemas.openxmlformats.org/officeDocument/2006/relationships/hyperlink" Target="https://law.justia.com/cases/delaware/court-of-chancery/2022/c-a-no-2020-0226-sem.html" TargetMode="External"/><Relationship Id="rId753" Type="http://schemas.openxmlformats.org/officeDocument/2006/relationships/hyperlink" Target="https://ecf.dcd.uscourts.gov/cgi-bin/show_public_doc?2021cv0100-165" TargetMode="External"/><Relationship Id="rId1176" Type="http://schemas.openxmlformats.org/officeDocument/2006/relationships/hyperlink" Target="https://law.justia.com/cases/south-carolina/court-of-appeals/2022/2022-up-437.html" TargetMode="External"/><Relationship Id="rId1383" Type="http://schemas.openxmlformats.org/officeDocument/2006/relationships/hyperlink" Target="https://www.supremecourt.gov/opinions/24pdf/23-1039_c0n2.pdf" TargetMode="External"/><Relationship Id="rId2227" Type="http://schemas.openxmlformats.org/officeDocument/2006/relationships/hyperlink" Target="https://www.hhs.gov/hipaa/for-professionals/compliance-enforcement/data/enforcement-highlights/index.html" TargetMode="External"/><Relationship Id="rId2434" Type="http://schemas.openxmlformats.org/officeDocument/2006/relationships/hyperlink" Target="https://cases.justia.com/federal/appellate-courts/ca5/18-30932/18-30932-2019-12-17.pdf?ts=1576629071" TargetMode="External"/><Relationship Id="rId2879" Type="http://schemas.openxmlformats.org/officeDocument/2006/relationships/hyperlink" Target="http://www.wpri.com/news/supreme-court-sides-with-providence-in-dispute-over-weightlifting-firefighters-disability-pension/1082484435" TargetMode="External"/><Relationship Id="rId101" Type="http://schemas.openxmlformats.org/officeDocument/2006/relationships/hyperlink" Target="https://www.supremecourt.gov/opinions/24pdf/22-7466new_6479.pdf" TargetMode="External"/><Relationship Id="rId406" Type="http://schemas.openxmlformats.org/officeDocument/2006/relationships/hyperlink" Target="file:///C:/Users/lawre/Downloads/0182139.PDF" TargetMode="External"/><Relationship Id="rId960" Type="http://schemas.openxmlformats.org/officeDocument/2006/relationships/hyperlink" Target="https://cases.justia.com/michigan/court-of-appeals-unpublished/2026-376372.pdf?ts=1789477207" TargetMode="External"/><Relationship Id="rId1036" Type="http://schemas.openxmlformats.org/officeDocument/2006/relationships/hyperlink" Target="https://cases.justia.com/texas/fourteenth-court-of-appeals/2019-14-17-00811-cv.pdf?ts=1572351542" TargetMode="External"/><Relationship Id="rId1243" Type="http://schemas.openxmlformats.org/officeDocument/2006/relationships/hyperlink" Target="https://www.courant.com/news/connecticut/hc-xpm-2002-03-02-0203020027-story.html" TargetMode="External"/><Relationship Id="rId1590" Type="http://schemas.openxmlformats.org/officeDocument/2006/relationships/hyperlink" Target="https://cases.justia.com/federal/district-courts/kansas/ksdce/6:2022cv01032/140026/96/0.pdf?ts=1694273736" TargetMode="External"/><Relationship Id="rId1688" Type="http://schemas.openxmlformats.org/officeDocument/2006/relationships/hyperlink" Target="https://acuityinternational.com/blog/nfpa-1582-medication-disqualifications/" TargetMode="External"/><Relationship Id="rId1895" Type="http://schemas.openxmlformats.org/officeDocument/2006/relationships/hyperlink" Target="https://www.dol.gov/agencies/whd/fact-sheets/56a-regular-rate" TargetMode="External"/><Relationship Id="rId2641" Type="http://schemas.openxmlformats.org/officeDocument/2006/relationships/hyperlink" Target="https://www4.courts.ca.gov/opinions/nonpub/B333041.PDF" TargetMode="External"/><Relationship Id="rId2739" Type="http://schemas.openxmlformats.org/officeDocument/2006/relationships/hyperlink" Target="https://www.tncourts.gov/sites/default/files/OpinionsPDFVersion/MOSS%20-%20Majority%20Opinion.pdf" TargetMode="External"/><Relationship Id="rId2946" Type="http://schemas.openxmlformats.org/officeDocument/2006/relationships/hyperlink" Target="https://law.justia.com/cases/texas/third-court-of-appeals/2022/03-21-00227-cv.html" TargetMode="External"/><Relationship Id="rId613" Type="http://schemas.openxmlformats.org/officeDocument/2006/relationships/hyperlink" Target="https://comped.net/opinions_recentdisp.php?ID=7270" TargetMode="External"/><Relationship Id="rId820" Type="http://schemas.openxmlformats.org/officeDocument/2006/relationships/hyperlink" Target="https://www.govinfo.gov/content/pkg/FR-2020-08-13/pdf/2020-17468.pd" TargetMode="External"/><Relationship Id="rId918" Type="http://schemas.openxmlformats.org/officeDocument/2006/relationships/hyperlink" Target="https://www.eff.org/files/2022/07/11/2022-07-11_-_tenth_circuit_-_irizarry_v_yehia.pdf" TargetMode="External"/><Relationship Id="rId1450" Type="http://schemas.openxmlformats.org/officeDocument/2006/relationships/hyperlink" Target="https://www.natlawreview.com/article/congress-votes-to-end-mandatory-arbitration-sexual-assault-and-sexual-harassment" TargetMode="External"/><Relationship Id="rId1548" Type="http://schemas.openxmlformats.org/officeDocument/2006/relationships/hyperlink" Target="https://cases.justia.com/federal/district-courts/virginia/vaedce/3:2024cv00108/549376/71/0.pdf?ts=1749905770" TargetMode="External"/><Relationship Id="rId1755" Type="http://schemas.openxmlformats.org/officeDocument/2006/relationships/hyperlink" Target="https://www.eeoc.gov/laws/guidance/deafness-and-hearing-impairments-workplace-and-americans-disabilities-act" TargetMode="External"/><Relationship Id="rId2501" Type="http://schemas.openxmlformats.org/officeDocument/2006/relationships/hyperlink" Target="https://cases.justia.com/federal/district-courts/maryland/mddce/1:2024cv03580/573207/56/0.pdf?ts=1777474810" TargetMode="External"/><Relationship Id="rId1103" Type="http://schemas.openxmlformats.org/officeDocument/2006/relationships/hyperlink" Target="https://cases.justia.com/pennsylvania/commonwealth-court/2025-92-c-d-2024.pdf?ts=1743522170" TargetMode="External"/><Relationship Id="rId1310" Type="http://schemas.openxmlformats.org/officeDocument/2006/relationships/hyperlink" Target="http://www.search.txcourts.gov/SearchMedia.aspx?MediaVersionID=0d5f8f8d-dca0-42cf-9f3d-0b9f0ec4a868&amp;coa=coa12&amp;DT=Opinion&amp;MediaID=3cca35a6-dea2-4898-8844-a6d0a0f59f70" TargetMode="External"/><Relationship Id="rId1408" Type="http://schemas.openxmlformats.org/officeDocument/2006/relationships/hyperlink" Target="https://www.supremecourt.gov/opinions/23pdf/22-193_q86b.pdf" TargetMode="External"/><Relationship Id="rId1962" Type="http://schemas.openxmlformats.org/officeDocument/2006/relationships/hyperlink" Target="https://cases.justia.com/louisiana/first-circuit-court-of-appeal/2026-2025cw0332.pdf?ts=1776975731" TargetMode="External"/><Relationship Id="rId2806" Type="http://schemas.openxmlformats.org/officeDocument/2006/relationships/hyperlink" Target="https://casetext.com/case/parmenter-v-city-of-nowata" TargetMode="External"/><Relationship Id="rId47" Type="http://schemas.openxmlformats.org/officeDocument/2006/relationships/hyperlink" Target="https://www.courtswv.gov/sites/default/pubfilesmnt/2026-04/24-79%20Memorandum%20Decision.pdf" TargetMode="External"/><Relationship Id="rId1615" Type="http://schemas.openxmlformats.org/officeDocument/2006/relationships/hyperlink" Target="https://codes.ohio.gov/ohio-revised-code/section-9.481" TargetMode="External"/><Relationship Id="rId1822" Type="http://schemas.openxmlformats.org/officeDocument/2006/relationships/hyperlink" Target="https://www.dol.gov/agencies/whd/fact-sheets/56a-regular-rate" TargetMode="External"/><Relationship Id="rId196" Type="http://schemas.openxmlformats.org/officeDocument/2006/relationships/hyperlink" Target="https://casetext.com/case/two-bridges-llc-v-city-of-youngstown" TargetMode="External"/><Relationship Id="rId2084" Type="http://schemas.openxmlformats.org/officeDocument/2006/relationships/hyperlink" Target="https://www.ca4.uscourts.gov/opinions/244620.P.pd" TargetMode="External"/><Relationship Id="rId2291" Type="http://schemas.openxmlformats.org/officeDocument/2006/relationships/hyperlink" Target="http://lcapps.co.lucas.oh.us/Courts/Appeals/DecisionsPDF/10196.pdf" TargetMode="External"/><Relationship Id="rId263" Type="http://schemas.openxmlformats.org/officeDocument/2006/relationships/hyperlink" Target="https://www.ca2.uscourts.gov/decisions/isysquery/024ad429-f3ca-4195-b401-1dbc5e6424a8/1/doc/20-4211_opn.pdf" TargetMode="External"/><Relationship Id="rId470" Type="http://schemas.openxmlformats.org/officeDocument/2006/relationships/hyperlink" Target="https://cases.justia.com/new-york/other-courts/2024-2024-ny-slip-op-33987-u.pdf?ts=1731644847" TargetMode="External"/><Relationship Id="rId2151" Type="http://schemas.openxmlformats.org/officeDocument/2006/relationships/hyperlink" Target="https://www4.courts.ca.gov/opinions/nonpub/B334048.PDF" TargetMode="External"/><Relationship Id="rId2389" Type="http://schemas.openxmlformats.org/officeDocument/2006/relationships/hyperlink" Target="https://casetext.com/case/maude-v-city-of-phila" TargetMode="External"/><Relationship Id="rId2596" Type="http://schemas.openxmlformats.org/officeDocument/2006/relationships/hyperlink" Target="https://www4.courts.ca.gov/opinions/nonpub/A174302.PDF" TargetMode="External"/><Relationship Id="rId123" Type="http://schemas.openxmlformats.org/officeDocument/2006/relationships/hyperlink" Target="https://cases.justia.com/pennsylvania/superior-court/2024-1034-mda-2023.pdf?ts=1729535164" TargetMode="External"/><Relationship Id="rId330" Type="http://schemas.openxmlformats.org/officeDocument/2006/relationships/hyperlink" Target="https://www.iowacourts.gov/courtcases/9747/embed/SupremeCourtOpinion" TargetMode="External"/><Relationship Id="rId568" Type="http://schemas.openxmlformats.org/officeDocument/2006/relationships/hyperlink" Target="https://public.fastcase.com/9SKwsfNqTc6OieYDhNMyM3m3eL%2Bu4x8bx%2FFPqQ706C1Bfi57%2Fsm8VTkLX0Q5d2JY3Hl0cE%2BCK3yDi%2BV1afLDAxYamaVWukse%2F0EpEJzWMdw%3D" TargetMode="External"/><Relationship Id="rId775" Type="http://schemas.openxmlformats.org/officeDocument/2006/relationships/hyperlink" Target="https://www.law.cornell.edu/definitions/uscode.php?width=840&amp;height=800&amp;iframe=true&amp;def_id=18-USC-64633832-909420282&amp;term_occur=999&amp;term_src=title:18:part:I:chapter:13:section:249" TargetMode="External"/><Relationship Id="rId982" Type="http://schemas.openxmlformats.org/officeDocument/2006/relationships/hyperlink" Target="https://cases.justia.com/north-carolina/court-of-appeals/2025-24-790.pdf?ts=1744808209" TargetMode="External"/><Relationship Id="rId1198" Type="http://schemas.openxmlformats.org/officeDocument/2006/relationships/hyperlink" Target="https://casetext.com/case/barry-v-the-city-of-chicago" TargetMode="External"/><Relationship Id="rId2011" Type="http://schemas.openxmlformats.org/officeDocument/2006/relationships/hyperlink" Target="https://www.fox10tv.com/2022/06/27/mobile-doctors-supreme-court-win-could-impact-other-pill-mill-convictions/" TargetMode="External"/><Relationship Id="rId2249" Type="http://schemas.openxmlformats.org/officeDocument/2006/relationships/hyperlink" Target="https://www.youtube.com/watch?v=GHO2Qjk4XIo" TargetMode="External"/><Relationship Id="rId2456" Type="http://schemas.openxmlformats.org/officeDocument/2006/relationships/hyperlink" Target="https://cases.justia.com/ohio/fourth-district-court-of-appeals/2019-18ca8-5.pdf?ts=1553894129" TargetMode="External"/><Relationship Id="rId2663" Type="http://schemas.openxmlformats.org/officeDocument/2006/relationships/hyperlink" Target="https://cases.justia.com/federal/district-courts/ohio/ohsdce/1:2023cv00230/279336/47/0.pdf?ts=1756299215" TargetMode="External"/><Relationship Id="rId2870" Type="http://schemas.openxmlformats.org/officeDocument/2006/relationships/hyperlink" Target="https://www.njcourts.gov/attorneys/assets/opinions/supreme/a_58_16.pdf" TargetMode="External"/><Relationship Id="rId428" Type="http://schemas.openxmlformats.org/officeDocument/2006/relationships/hyperlink" Target="https://www.hbsslaw.com/cases/pfas-firefighter-turnout-gear" TargetMode="External"/><Relationship Id="rId635" Type="http://schemas.openxmlformats.org/officeDocument/2006/relationships/hyperlink" Target="https://d.docs.live.net/bd9b2eaf6053242e/AppData/Roaming/Microsoft/AppData/Local/Temp/0182139.PDF" TargetMode="External"/><Relationship Id="rId842" Type="http://schemas.openxmlformats.org/officeDocument/2006/relationships/hyperlink" Target="https://www.law.com/newyorklawjournal/2020/02/26/trump-administration-may-withhold-federal-grants-over-sanctuary-policies-2nd-circuit-rules/" TargetMode="External"/><Relationship Id="rId1058" Type="http://schemas.openxmlformats.org/officeDocument/2006/relationships/hyperlink" Target="https://public.fastcase.com/Jhe1Qn%2BmJndQYQU6z%2FeNm5P3wAYrkQ98kdLlymoB1tnqkW6UeoR3EEofjHZbRGV948hVvIxCPDS9tpBfFEcmqGTc7kKGvATMMrEucF8thr8%3D?utm_medium=email&amp;_hsenc=p2ANqtz-8jIFUULBvOMnFFZTJscGA3kv4aE6mAq6MuaEb49Zar3qBrOzpASOYVP1MlSDLvHBN7GmUVAcOXynKq8kt28mHQPYsJ8w&amp;_hsmi=226712652&amp;utm_content=226712652&amp;utm_source=hs_email" TargetMode="External"/><Relationship Id="rId1265" Type="http://schemas.openxmlformats.org/officeDocument/2006/relationships/hyperlink" Target="https://casetext.com/case/heneghan-v-city-of-evanston" TargetMode="External"/><Relationship Id="rId1472" Type="http://schemas.openxmlformats.org/officeDocument/2006/relationships/hyperlink" Target="https://www.firerescue1.com/discrimination/articles/judge-dismisses-discrimination-lawsuit-by-transgender-fire-chief-c9ZJzz1mhPH97dsL/?utm_source=FireRescue1+Daily&amp;utm_campaign=34323ded4f-EMAIL_CAMPAIGN_2021_02_19_07_52&amp;utm_medium=email&amp;utm_term=0_758bdbeffe-34323ded4f-41607823" TargetMode="External"/><Relationship Id="rId2109" Type="http://schemas.openxmlformats.org/officeDocument/2006/relationships/hyperlink" Target="https://media.ca11.uscourts.gov/opinions/unpub/files/202413197.pdf" TargetMode="External"/><Relationship Id="rId2316" Type="http://schemas.openxmlformats.org/officeDocument/2006/relationships/hyperlink" Target="https://public.fastcase.com/waZtJvSA54UAurM2rmIZzwN7i243%2F%2BStZpHYDBkc8sGpJscx%2FQQ27pdU9Jjrp4oC%2BDoaG82WuBlPphdis3f1N3UPtlVqun2jEuCWxYyqQWw%3D" TargetMode="External"/><Relationship Id="rId2523" Type="http://schemas.openxmlformats.org/officeDocument/2006/relationships/hyperlink" Target="https://ilcourtsaudio.blob.core.windows.net/antilles-resources/resources/519d3cc5-abe9-4494-b624-73bca90ee228/Mayer%20v.%20%20Calumet%20Firefighters%20Pension%20Fund,%202024%20IL%20App%20(1st)%20232059-U.pdf" TargetMode="External"/><Relationship Id="rId2730" Type="http://schemas.openxmlformats.org/officeDocument/2006/relationships/hyperlink" Target="https://www.supremecourt.gov/opinions/22pdf/22-138_43j7.pdf" TargetMode="External"/><Relationship Id="rId2968" Type="http://schemas.openxmlformats.org/officeDocument/2006/relationships/hyperlink" Target="file:///C:/Users/lawre/AppData/Local/Temp/N00008009PUB.pdf" TargetMode="External"/><Relationship Id="rId702" Type="http://schemas.openxmlformats.org/officeDocument/2006/relationships/hyperlink" Target="https://casetext.com/case/souverneva-v-the-superior-court" TargetMode="External"/><Relationship Id="rId1125" Type="http://schemas.openxmlformats.org/officeDocument/2006/relationships/hyperlink" Target="https://www.jud.ct.gov/external/supapp/Cases/AROap/AP228/AP228.307.pdf" TargetMode="External"/><Relationship Id="rId1332" Type="http://schemas.openxmlformats.org/officeDocument/2006/relationships/hyperlink" Target="https://law.justia.com/cases/new-york/other-courts/2019/2019-ny-slip-op-50647-u.html" TargetMode="External"/><Relationship Id="rId1777" Type="http://schemas.openxmlformats.org/officeDocument/2006/relationships/hyperlink" Target="https://casetext.com/case/gilbert-v-city-of-newport" TargetMode="External"/><Relationship Id="rId1984" Type="http://schemas.openxmlformats.org/officeDocument/2006/relationships/hyperlink" Target="https://casetext.com/statute/montana-code/title-39-labor/chapter-31-collective-bargaining-for-public-employees/part-4-unfair-labor-practices/section-39-31-406-hearing-on-complaint-findings-order" TargetMode="External"/><Relationship Id="rId2828" Type="http://schemas.openxmlformats.org/officeDocument/2006/relationships/hyperlink" Target="http://codes.ohio.gov/orc/2933.52" TargetMode="External"/><Relationship Id="rId69" Type="http://schemas.openxmlformats.org/officeDocument/2006/relationships/hyperlink" Target="https://www.hstoday.us/subject-matter-areas/unmanned-vehicles/eyes-in-the-sky-do-cities-need-warrants-for-drones/" TargetMode="External"/><Relationship Id="rId1637" Type="http://schemas.openxmlformats.org/officeDocument/2006/relationships/hyperlink" Target="https://casetext.com/case/alamo-v-city-of-chi-2" TargetMode="External"/><Relationship Id="rId1844" Type="http://schemas.openxmlformats.org/officeDocument/2006/relationships/hyperlink" Target="https://webapps.dol.gov/elaws/otcalculator.htm" TargetMode="External"/><Relationship Id="rId1704" Type="http://schemas.openxmlformats.org/officeDocument/2006/relationships/hyperlink" Target="https://www.scotusblog.com/2024/06/court-adds-seven-cases-to-next-terms-docket/" TargetMode="External"/><Relationship Id="rId285" Type="http://schemas.openxmlformats.org/officeDocument/2006/relationships/hyperlink" Target="https://www.wicourts.gov/ca/opinion/DisplayDocument.pdf?content=pdf&amp;seqNo=342440" TargetMode="External"/><Relationship Id="rId1911" Type="http://schemas.openxmlformats.org/officeDocument/2006/relationships/hyperlink" Target="https://www.law.cornell.edu/uscode/text/29/260" TargetMode="External"/><Relationship Id="rId492" Type="http://schemas.openxmlformats.org/officeDocument/2006/relationships/hyperlink" Target="https://www.firehero.org/fallen-firefighter/thomas-e-royds/" TargetMode="External"/><Relationship Id="rId797" Type="http://schemas.openxmlformats.org/officeDocument/2006/relationships/hyperlink" Target="https://www.law.cornell.edu/definitions/uscode.php?width=840&amp;height=800&amp;iframe=true&amp;def_id=8-USC-133271130-1485256779&amp;term_occur=999&amp;term_src=" TargetMode="External"/><Relationship Id="rId2173" Type="http://schemas.openxmlformats.org/officeDocument/2006/relationships/hyperlink" Target="https://www.courts.ca.gov/opinions/nonpub/B322004.PDF" TargetMode="External"/><Relationship Id="rId2380" Type="http://schemas.openxmlformats.org/officeDocument/2006/relationships/hyperlink" Target="https://www.thecut.com/2020/08/the-killing-of-elijah-mcclain-everything-we-know.html" TargetMode="External"/><Relationship Id="rId2478" Type="http://schemas.openxmlformats.org/officeDocument/2006/relationships/hyperlink" Target="http://courtweb.pamd.uscourts.gov/courtwebsearch/ndoh/AlKFf0ZU_k.pdf" TargetMode="External"/><Relationship Id="rId3017" Type="http://schemas.openxmlformats.org/officeDocument/2006/relationships/hyperlink" Target="https://www.supremecourt.gov/opinions/23pdf/22-451_7m58.pdf" TargetMode="External"/><Relationship Id="rId145" Type="http://schemas.openxmlformats.org/officeDocument/2006/relationships/hyperlink" Target="https://www.law.cornell.edu/wex/evidence" TargetMode="External"/><Relationship Id="rId352" Type="http://schemas.openxmlformats.org/officeDocument/2006/relationships/hyperlink" Target="https://www.iafc.org/topics-and-tools/resources/resource/iafc-position-drug-and-alcohol-free-awareness" TargetMode="External"/><Relationship Id="rId1287" Type="http://schemas.openxmlformats.org/officeDocument/2006/relationships/hyperlink" Target="https://scholar.google.com/scholar_case?case=5871380462060471996&amp;q=Association+of+Cleveland+Fire+Fighters+IAFF+Local+93+v.+City+of+Cleveland,&amp;hl=en&amp;as_sdt=6,36&amp;as_vis=1" TargetMode="External"/><Relationship Id="rId2033" Type="http://schemas.openxmlformats.org/officeDocument/2006/relationships/hyperlink" Target="http://www.drugconsumptionroom-international.org/images/pdf/dcr_in_rotterdam_amsterdam.pdf" TargetMode="External"/><Relationship Id="rId2240" Type="http://schemas.openxmlformats.org/officeDocument/2006/relationships/hyperlink" Target="https://public.fastcase.com/ZZhmr5v9wN%2FXOe5IsQ%2FqDwASFNWp2rhZooTaAZ4JTmSP%2Ba577zfXOKFdhmxj2NNxZ%2BfUfh8HTXLnmAlto%2FfEgpJtIv6O1WLjBzQZiKVSV8A%3D?utm_medium=email&amp;_hsmi=226712652&amp;_hsenc=p2ANqtz-9KUYaeGFguXeYoSZu4M54zm4xcFhouQPplq1qZXjy7nqatE34VLjsx4SN3mygo2_n2CHhg7EjDYW1VqsMoJq110-zPJg&amp;utm_content=226712652&amp;utm_source=hs_email" TargetMode="External"/><Relationship Id="rId2685" Type="http://schemas.openxmlformats.org/officeDocument/2006/relationships/hyperlink" Target="https://cases.justia.com/michigan/court-of-appeals-unpublished/2024-368783.pdf?ts=1734703212" TargetMode="External"/><Relationship Id="rId2892" Type="http://schemas.openxmlformats.org/officeDocument/2006/relationships/hyperlink" Target="https://cases.justia.com/north-carolina/court-of-appeals/2026-25-761.pdf?ts=1772641555" TargetMode="External"/><Relationship Id="rId212" Type="http://schemas.openxmlformats.org/officeDocument/2006/relationships/hyperlink" Target="https://www.legislature.ohio.gov/download?key=19460&amp;format=pdf" TargetMode="External"/><Relationship Id="rId657" Type="http://schemas.openxmlformats.org/officeDocument/2006/relationships/hyperlink" Target="https://www.firehero.org/fallen-firefighter/albert-a-filosa/" TargetMode="External"/><Relationship Id="rId864" Type="http://schemas.openxmlformats.org/officeDocument/2006/relationships/hyperlink" Target="https://supreme.justia.com/cases/federal/us/584/17-2/" TargetMode="External"/><Relationship Id="rId1494" Type="http://schemas.openxmlformats.org/officeDocument/2006/relationships/hyperlink" Target="https://www.eeoc.gov/federal/reports/upload/pspe.pdf" TargetMode="External"/><Relationship Id="rId1799" Type="http://schemas.openxmlformats.org/officeDocument/2006/relationships/hyperlink" Target="https://cases.justia.com/indiana/court-of-appeals/2026-25a-pl-01609.pdf?ts=1779819186" TargetMode="External"/><Relationship Id="rId2100" Type="http://schemas.openxmlformats.org/officeDocument/2006/relationships/hyperlink" Target="https://public.fastcase.com/Jhe1Qn%2BmJndQYQU6z%2FeNm1LICE259A5ulYHxnw3lcJtDWEaUq57rExGHQXd3hU8EgaPHTdGS%2FRk5aoRP0crRKmeZauTqc6nD5gh3xIKTEMg%3D?utm_medium=email&amp;_hsenc=p2ANqtz-9zYvhQr5QF-kHvOgqVEwwEjeDJW6aa7G89aGppWtTq6GnIfdSTK1neKuS-jEFNuUA2B3hULaVGvwBQIPV_0qoJel6h4w&amp;_hsmi=226712652&amp;utm_content=226712652&amp;utm_source=hs_email" TargetMode="External"/><Relationship Id="rId2338" Type="http://schemas.openxmlformats.org/officeDocument/2006/relationships/hyperlink" Target="https://casetext.com/case/warren-v-cnty-of-sacramento" TargetMode="External"/><Relationship Id="rId2545" Type="http://schemas.openxmlformats.org/officeDocument/2006/relationships/hyperlink" Target="https://storage.courtlistener.com/recap/gov.uscourts.flmd.392068/gov.uscourts.flmd.392068.43.0.pdf" TargetMode="External"/><Relationship Id="rId2752" Type="http://schemas.openxmlformats.org/officeDocument/2006/relationships/hyperlink" Target="https://burned.journalism.cuny.edu/the-diverse-minds-of-arsonists/" TargetMode="External"/><Relationship Id="rId517" Type="http://schemas.openxmlformats.org/officeDocument/2006/relationships/hyperlink" Target="https://molawyersmedia.com/2024/01/18/volunteer-firefighters-widow-wins-chance-for-higher-benefits/" TargetMode="External"/><Relationship Id="rId724" Type="http://schemas.openxmlformats.org/officeDocument/2006/relationships/hyperlink" Target="https://caselaw.findlaw.com/court/us-dis-crt-n-d-cal/115575640.html" TargetMode="External"/><Relationship Id="rId931" Type="http://schemas.openxmlformats.org/officeDocument/2006/relationships/hyperlink" Target="https://casetext.com/case/county-of-sacramento-v-lewis" TargetMode="External"/><Relationship Id="rId1147" Type="http://schemas.openxmlformats.org/officeDocument/2006/relationships/hyperlink" Target="https://casetext.com/case/n-douglas-cnty-fire-ems-v-shannon-in-re-shannon" TargetMode="External"/><Relationship Id="rId1354" Type="http://schemas.openxmlformats.org/officeDocument/2006/relationships/hyperlink" Target="https://www.firstrespondercenter.org/cancer/toolsresources/presumptive-legislation-firefighter-cancer-state/" TargetMode="External"/><Relationship Id="rId1561" Type="http://schemas.openxmlformats.org/officeDocument/2006/relationships/hyperlink" Target="https://www.justice.gov/opa/pr/attorney-general-pam-bondi-dismisses-dei-lawsuits-involving-police-officers-and-firefighters" TargetMode="External"/><Relationship Id="rId2405" Type="http://schemas.openxmlformats.org/officeDocument/2006/relationships/hyperlink" Target="https://www.legislature.ohio.gov/legislation/legislation-documents?id=GA133-HB-606" TargetMode="External"/><Relationship Id="rId2612" Type="http://schemas.openxmlformats.org/officeDocument/2006/relationships/hyperlink" Target="https://www.supremecourt.ohio.gov/rod/docs/pdf/10/2026/2026-Ohio-1981.pdf" TargetMode="External"/><Relationship Id="rId60" Type="http://schemas.openxmlformats.org/officeDocument/2006/relationships/hyperlink" Target="https://codes.ohio.gov/ohio-revised-code/section-9.481" TargetMode="External"/><Relationship Id="rId1007" Type="http://schemas.openxmlformats.org/officeDocument/2006/relationships/hyperlink" Target="https://codes.ohio.gov/ohio-administrative-code/rule-3335-21-12" TargetMode="External"/><Relationship Id="rId1214" Type="http://schemas.openxmlformats.org/officeDocument/2006/relationships/hyperlink" Target="https://www.cleveland.com/cityhall/2021/09/federal-appellate-court-upholds-first-amendment-case-brought-against-cleveland-by-retired-battalion-chief.html" TargetMode="External"/><Relationship Id="rId1421" Type="http://schemas.openxmlformats.org/officeDocument/2006/relationships/hyperlink" Target="https://corporate.findlaw.com/human-resources/title-vii-damage-caps-calculating-your-maximum-exposure.html" TargetMode="External"/><Relationship Id="rId1659" Type="http://schemas.openxmlformats.org/officeDocument/2006/relationships/hyperlink" Target="https://ecf.gamd.uscourts.gov/cgi-bin/show_public_doc?2018-00132-29-7-cv" TargetMode="External"/><Relationship Id="rId1866" Type="http://schemas.openxmlformats.org/officeDocument/2006/relationships/hyperlink" Target="https://public.fastcase.com/ZZhmr5v9wN%2FXOe5IsQ%2FqD6sjDusMj%2BpqHWJB3g3peOqB7r060z1DCjdHIpcn3tRLdaTmRHBEVoaEU7qCAearkbm3vxifIUs5cRZbbsNdVP8%3D?utm_medium=email&amp;_hsmi=226712652&amp;_hsenc=p2ANqtz-8gP-zHi-IOiqpnpXzunEXLHIYbdJXxowLQqk7bE6jqat0-j7JaN5Av0mj-PIwKwb5z_G2Wf06wKlilS-X5H1ndg63rYw&amp;utm_content=226712652&amp;utm_source=hs_email" TargetMode="External"/><Relationship Id="rId2917" Type="http://schemas.openxmlformats.org/officeDocument/2006/relationships/hyperlink" Target="https://casetext.com/case/teague-v-travis-cnty-emergency-servs-dist" TargetMode="External"/><Relationship Id="rId1519" Type="http://schemas.openxmlformats.org/officeDocument/2006/relationships/hyperlink" Target="https://cases.justia.com/federal/district-courts/indiana/inndce/2:2025cv00427/124287/41/0.pdf?ts=1789497953" TargetMode="External"/><Relationship Id="rId1726" Type="http://schemas.openxmlformats.org/officeDocument/2006/relationships/hyperlink" Target="https://www.eeoc.gov/publications/ada-your-responsibilities-employer" TargetMode="External"/><Relationship Id="rId1933" Type="http://schemas.openxmlformats.org/officeDocument/2006/relationships/hyperlink" Target="https://www.dol.gov/agencies/vets/programs/userra" TargetMode="External"/><Relationship Id="rId18" Type="http://schemas.openxmlformats.org/officeDocument/2006/relationships/hyperlink" Target="https://doi.org/10.7945/av8d-c920" TargetMode="External"/><Relationship Id="rId2195" Type="http://schemas.openxmlformats.org/officeDocument/2006/relationships/hyperlink" Target="https://www.cbsnews.com/colorado/news/former-colorado-paramedic-jeremy-cooper-sentenced-conviction-death-elijah-mcclain/" TargetMode="External"/><Relationship Id="rId3039" Type="http://schemas.openxmlformats.org/officeDocument/2006/relationships/hyperlink" Target="https://urldefense.com/v3/__https:/www.congress.gov/bill/117th-congress/senate-bill/1511__;!!Bg5easoyC-OII2vlEqY8mTBrtW-N4OJKAQ!emPJ4la1tXumEvgbQHWWkqIJXSqd8F6eECBBP8LY2twTexz4LKxtEOPGOo9tKXCW3_TX13KqIA$" TargetMode="External"/><Relationship Id="rId167" Type="http://schemas.openxmlformats.org/officeDocument/2006/relationships/hyperlink" Target="https://cases.justia.com/federal/district-courts/illinois/ilndce/1:2020cv06720/393181/97/0.pdf?ts=1706261425" TargetMode="External"/><Relationship Id="rId374" Type="http://schemas.openxmlformats.org/officeDocument/2006/relationships/hyperlink" Target="https://www.supremecourt.ohio.gov/rod/docs/pdf/8/2018/2018-Ohio-4109.pdf" TargetMode="External"/><Relationship Id="rId581" Type="http://schemas.openxmlformats.org/officeDocument/2006/relationships/hyperlink" Target="https://www.opn.ca6.uscourts.gov/opinions.pdf/20a0203p-06.pdf" TargetMode="External"/><Relationship Id="rId2055" Type="http://schemas.openxmlformats.org/officeDocument/2006/relationships/hyperlink" Target="https://cases.justia.com/michigan/court-of-appeals-unpublished/2026-377838.pdf?ts=1784293205" TargetMode="External"/><Relationship Id="rId2262" Type="http://schemas.openxmlformats.org/officeDocument/2006/relationships/hyperlink" Target="https://casetext.com/case/pierre-v-fire-dept-of-the-city-of-ny" TargetMode="External"/><Relationship Id="rId234" Type="http://schemas.openxmlformats.org/officeDocument/2006/relationships/hyperlink" Target="https://www.law.cornell.edu/wex/federal_sentencing_guidelines" TargetMode="External"/><Relationship Id="rId679" Type="http://schemas.openxmlformats.org/officeDocument/2006/relationships/hyperlink" Target="https://www.portland.gov/federal/documents/10-4-2025-state-city-v-trump-temporary-restraining-order-granted/download" TargetMode="External"/><Relationship Id="rId886" Type="http://schemas.openxmlformats.org/officeDocument/2006/relationships/hyperlink" Target="https://cases.justia.com/michigan/court-of-appeals-unpublished/2025-368583.pdf?ts=1747314007" TargetMode="External"/><Relationship Id="rId2567" Type="http://schemas.openxmlformats.org/officeDocument/2006/relationships/hyperlink" Target="https://search-prod.lis.state.oh.us/solarapi/v1/general_assembly_133/bills/hb308/EN/06?format=pdf" TargetMode="External"/><Relationship Id="rId2774" Type="http://schemas.openxmlformats.org/officeDocument/2006/relationships/hyperlink" Target="https://casetext.com/case/imhof-v-del-bd-of-med-licensure-discipline" TargetMode="External"/><Relationship Id="rId2" Type="http://schemas.openxmlformats.org/officeDocument/2006/relationships/numbering" Target="numbering.xml"/><Relationship Id="rId441" Type="http://schemas.openxmlformats.org/officeDocument/2006/relationships/hyperlink" Target="https://law.justia.com/cases/new-york/appellate-division-second-department/2025/2024-09583.html" TargetMode="External"/><Relationship Id="rId539" Type="http://schemas.openxmlformats.org/officeDocument/2006/relationships/hyperlink" Target="https://www.documentcloud.org/documents/23589006-firefighter-suit-terrance-jones-et-al-v-coj-order-finalizing-case011323" TargetMode="External"/><Relationship Id="rId746" Type="http://schemas.openxmlformats.org/officeDocument/2006/relationships/hyperlink" Target="https://www.nyc.gov/assets/home/downloads/pdf/press-releases/2023/Antonyuk_Amicus_Brief.pdf" TargetMode="External"/><Relationship Id="rId1071" Type="http://schemas.openxmlformats.org/officeDocument/2006/relationships/hyperlink" Target="https://www.op-f.org/files/mgdrop.pdf" TargetMode="External"/><Relationship Id="rId1169" Type="http://schemas.openxmlformats.org/officeDocument/2006/relationships/hyperlink" Target="https://codes.ohio.gov/ohio-revised-code/section-4123.68" TargetMode="External"/><Relationship Id="rId1376" Type="http://schemas.openxmlformats.org/officeDocument/2006/relationships/hyperlink" Target="https://cases.justia.com/federal/district-courts/new-york/nysdce/7:2021cv00260/552036/95/0.pdf?ts=1758978240" TargetMode="External"/><Relationship Id="rId1583" Type="http://schemas.openxmlformats.org/officeDocument/2006/relationships/hyperlink" Target="https://casetext.com/case/potter-v-district-of-columbia-2" TargetMode="External"/><Relationship Id="rId2122" Type="http://schemas.openxmlformats.org/officeDocument/2006/relationships/hyperlink" Target="https://cases.justia.com/alabama/supreme-court/2025-sc-2025-0055.pdf?ts=1756474207" TargetMode="External"/><Relationship Id="rId2427" Type="http://schemas.openxmlformats.org/officeDocument/2006/relationships/hyperlink" Target="https://www.dailynews.com/2020/04/14/coronavirus-judge-upholds-l-a-city-order-to-close-gun-stores/" TargetMode="External"/><Relationship Id="rId2981" Type="http://schemas.openxmlformats.org/officeDocument/2006/relationships/hyperlink" Target="https://www.wwnytv.com/story/39893183/watertown-firefighters-win-legal-victory" TargetMode="External"/><Relationship Id="rId301" Type="http://schemas.openxmlformats.org/officeDocument/2006/relationships/hyperlink" Target="https://www.mwl-law.com/wp-content/uploads/2018/02/SPOLIATION-OF-EVIDENCE-CHART.pdf" TargetMode="External"/><Relationship Id="rId953" Type="http://schemas.openxmlformats.org/officeDocument/2006/relationships/hyperlink" Target="https://www.courts.state.md.us/sites/default/files/unreported-opinions/0614s19.pdf" TargetMode="External"/><Relationship Id="rId1029" Type="http://schemas.openxmlformats.org/officeDocument/2006/relationships/hyperlink" Target="https://www.tremcopoliceproducts.com/" TargetMode="External"/><Relationship Id="rId1236" Type="http://schemas.openxmlformats.org/officeDocument/2006/relationships/hyperlink" Target="https://codes.ohio.gov/ohio-revised-code/section-4123.57" TargetMode="External"/><Relationship Id="rId1790" Type="http://schemas.openxmlformats.org/officeDocument/2006/relationships/hyperlink" Target="http://chicagoareafire.com/blog/tag/argonne-national-laboratory-fire-department/" TargetMode="External"/><Relationship Id="rId1888" Type="http://schemas.openxmlformats.org/officeDocument/2006/relationships/hyperlink" Target="https://www.govinfo.gov/content/pkg/USCOURTS-mowd-4_19-cv-00093/pdf/USCOURTS-mowd-4_19-cv-00093-1.pdf" TargetMode="External"/><Relationship Id="rId2634" Type="http://schemas.openxmlformats.org/officeDocument/2006/relationships/hyperlink" Target="https://www.youtube.com/watch?v=RmdIuKRFVuU" TargetMode="External"/><Relationship Id="rId2841" Type="http://schemas.openxmlformats.org/officeDocument/2006/relationships/hyperlink" Target="http://www.tncourts.gov/sites/default/files/moss.paul_.opn_.pdf" TargetMode="External"/><Relationship Id="rId2939" Type="http://schemas.openxmlformats.org/officeDocument/2006/relationships/hyperlink" Target="https://www.nlrb.gov/news-outreach/news-story/board-rules-that-employers-may-not-offer-severance-agreements-requiring" TargetMode="External"/><Relationship Id="rId82" Type="http://schemas.openxmlformats.org/officeDocument/2006/relationships/hyperlink" Target="https://www.ca5.uscourts.gov/opinions/unpub/24/24-30496.0.pdf" TargetMode="External"/><Relationship Id="rId606" Type="http://schemas.openxmlformats.org/officeDocument/2006/relationships/hyperlink" Target="https://www.justice.gov/opa/pr/justice-department-announces-improvements-public-safety-officers-benefits-program" TargetMode="External"/><Relationship Id="rId813" Type="http://schemas.openxmlformats.org/officeDocument/2006/relationships/hyperlink" Target="https://immigrationequality.org/asylum/asylum-manual/immigration-basics-relief-under-cat/" TargetMode="External"/><Relationship Id="rId1443" Type="http://schemas.openxmlformats.org/officeDocument/2006/relationships/hyperlink" Target="https://public.fastcase.com/waZtJvSA54UAurM2rmIZzzCYJhAha3GGo3AEN0d5yD5AXzBU0GIzy8sJKIx0m%2BEEHwIyJuWgbxH4Xd2BL4DW9aTliyBT6bOFBbV5rp7%2BS3s%3D" TargetMode="External"/><Relationship Id="rId1650" Type="http://schemas.openxmlformats.org/officeDocument/2006/relationships/hyperlink" Target="https://casetext.com/case/murray-v-city-of-warren-1" TargetMode="External"/><Relationship Id="rId1748" Type="http://schemas.openxmlformats.org/officeDocument/2006/relationships/hyperlink" Target="https://www.jacksonville.com/story/news/courts/2020/11/25/jacksonville-lawsuit-cleanshaven-rule-unfair-black-firefighters/6406374002/" TargetMode="External"/><Relationship Id="rId2701" Type="http://schemas.openxmlformats.org/officeDocument/2006/relationships/hyperlink" Target="https://www.courts.nh.gov/sites/g/files/ehbemt471/files/documents/2024-03/20230083stone.pdf" TargetMode="External"/><Relationship Id="rId1303" Type="http://schemas.openxmlformats.org/officeDocument/2006/relationships/hyperlink" Target="http://www.pacourts.us/assets/opinions/Commonwealth/out/1156cd19_5-6-20.pdf" TargetMode="External"/><Relationship Id="rId1510" Type="http://schemas.openxmlformats.org/officeDocument/2006/relationships/hyperlink" Target="https://www.eeoc.gov/eeoc/newsroom/release/6-13-18.cfm" TargetMode="External"/><Relationship Id="rId1955" Type="http://schemas.openxmlformats.org/officeDocument/2006/relationships/hyperlink" Target="https://www.jems.com/ems-management/medical-marijuana-is-legal-in-fl-why-is-a-paramedic-being-punished/?utm_source=fe_daily_newsletter&amp;utm_medium=email&amp;utm_campaign=2026-8-6&amp;oly_enc_id=0573H1103045H2E" TargetMode="External"/><Relationship Id="rId1608" Type="http://schemas.openxmlformats.org/officeDocument/2006/relationships/hyperlink" Target="https://boingboing.net/2017/11/06/city-of-miami-demands-media-st.html" TargetMode="External"/><Relationship Id="rId1815" Type="http://schemas.openxmlformats.org/officeDocument/2006/relationships/hyperlink" Target="https://www.iaff.org/wp-content/uploads/FLSA-Manual-2022-Edition_FINAL.22Aug01.pdf" TargetMode="External"/><Relationship Id="rId3030" Type="http://schemas.openxmlformats.org/officeDocument/2006/relationships/hyperlink" Target="https://codes.ohio.gov/ohio-revised-code/section-149.43" TargetMode="External"/><Relationship Id="rId189" Type="http://schemas.openxmlformats.org/officeDocument/2006/relationships/hyperlink" Target="https://www.carolinajournal.com/federal-appeals-court-throws-out-conviction-for-burning-of-federal-nantahala-forest/" TargetMode="External"/><Relationship Id="rId396" Type="http://schemas.openxmlformats.org/officeDocument/2006/relationships/hyperlink" Target="https://public.fastcase.com/Jhe1Qn%2BmJndQYQU6z%2FeNmxUKEbGbaFlexcqUctyrnFvzVwwOmAVBm%2FWENjBOa41qr2N0tipNbogFx7Hzz9DDPoKHACO1lVQSrxkGgspUxq8%3D?utm_medium=email&amp;_hsenc=p2ANqtz-_D8uetZhSrdYqgOH6RbHUGR4NBkHGJgxz2M-KgfAGsZ-SE4dcuskkSbWcZUd-KZIzGe72P5qRDJGEH2ZuuPQ98-RV4iA&amp;_hsmi=226712652&amp;utm_content=226712652&amp;utm_source=hs_email" TargetMode="External"/><Relationship Id="rId2077" Type="http://schemas.openxmlformats.org/officeDocument/2006/relationships/hyperlink" Target="https://cdn.ca9.uscourts.gov/datastore/memoranda/2026/05/27/24-6656.pdf" TargetMode="External"/><Relationship Id="rId2284" Type="http://schemas.openxmlformats.org/officeDocument/2006/relationships/hyperlink" Target="https://media.ca11.uscourts.gov/opinions/unpub/files/201914294.pdf" TargetMode="External"/><Relationship Id="rId2491" Type="http://schemas.openxmlformats.org/officeDocument/2006/relationships/hyperlink" Target="http://www.supremecourt.ohio.gov/rod/docs/pdf/2/2018/2018-ohio-512.pdf" TargetMode="External"/><Relationship Id="rId256" Type="http://schemas.openxmlformats.org/officeDocument/2006/relationships/hyperlink" Target="https://www.supremecourt.ohio.gov/rod/docs/pdf/1/2021/2021-Ohio-4003.pdf" TargetMode="External"/><Relationship Id="rId463" Type="http://schemas.openxmlformats.org/officeDocument/2006/relationships/hyperlink" Target="https://supreme.justia.com/cases/federal/us/503/115/" TargetMode="External"/><Relationship Id="rId670" Type="http://schemas.openxmlformats.org/officeDocument/2006/relationships/hyperlink" Target="https://www.hstoday.us/fema-dhs-federal-pages/column-federal-courts-block-dhs-and-fema-dei-grant-conditions/" TargetMode="External"/><Relationship Id="rId1093" Type="http://schemas.openxmlformats.org/officeDocument/2006/relationships/hyperlink" Target="https://www.leg.state.nv.us/App/NELIS/REL/82nd2023/Bill/9844/Overview" TargetMode="External"/><Relationship Id="rId2144" Type="http://schemas.openxmlformats.org/officeDocument/2006/relationships/hyperlink" Target="https://leginfo.legislature.ca.gov/faces/codes_displaySection.xhtml?sectionNum=1799.106.&amp;lawCode=HSC" TargetMode="External"/><Relationship Id="rId2351" Type="http://schemas.openxmlformats.org/officeDocument/2006/relationships/hyperlink" Target="https://www.documentcloud.org/documents/20860669-houston-methodist-lawsuit-order-of-dismissal" TargetMode="External"/><Relationship Id="rId2589" Type="http://schemas.openxmlformats.org/officeDocument/2006/relationships/hyperlink" Target="https://public.fastcase.com/" TargetMode="External"/><Relationship Id="rId2796" Type="http://schemas.openxmlformats.org/officeDocument/2006/relationships/hyperlink" Target="https://appellatecases.courtinfo.ca.gov/search/case/disposition.cfm?dist=0&amp;doc_id=2345572&amp;doc_no=S268086&amp;request_token=NiIwLSEmTkw5W1BRSSItTENJQEg0UDxTJSBeRzJSUCAgCg%3D%3D" TargetMode="External"/><Relationship Id="rId116"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323" Type="http://schemas.openxmlformats.org/officeDocument/2006/relationships/hyperlink" Target="https://www.ca2.uscourts.gov/decisions/isysquery/93d429af-6bc3-4a16-b287-422f5179acac/1/doc/18-3775_opn.pdf" TargetMode="External"/><Relationship Id="rId530" Type="http://schemas.openxmlformats.org/officeDocument/2006/relationships/hyperlink" Target="https://www.nytimes.com/1995/08/16/nyregion/storeowner-guilty-of-arson-where-fireman-died.html" TargetMode="External"/><Relationship Id="rId768" Type="http://schemas.openxmlformats.org/officeDocument/2006/relationships/hyperlink" Target="https://www.ca5.uscourts.gov/opinions/pub/22/22-10077-CV0.pdf" TargetMode="External"/><Relationship Id="rId975" Type="http://schemas.openxmlformats.org/officeDocument/2006/relationships/hyperlink" Target="https://codes.ohio.gov/ohio-revised-code/section-2744.02" TargetMode="External"/><Relationship Id="rId1160" Type="http://schemas.openxmlformats.org/officeDocument/2006/relationships/hyperlink" Target="https://casetext.com/case/dasilva-v-esper-1" TargetMode="External"/><Relationship Id="rId1398" Type="http://schemas.openxmlformats.org/officeDocument/2006/relationships/hyperlink" Target="uch%20https://www.whitehouse.gov/presidential-actions/2025/01/defending-women-from-gender-ideology-extremism-and-restoring-biological-truth-to-the-federal-government/?utm_medium=email&amp;utm_source=web_app&amp;utm_campaign=digest" TargetMode="External"/><Relationship Id="rId2004" Type="http://schemas.openxmlformats.org/officeDocument/2006/relationships/hyperlink" Target="https://lawandcrime.com/lawsuit/racism-negligence-at-pennsylvania-emergency-call-center-led-to-deaths-lawsuit/" TargetMode="External"/><Relationship Id="rId2211" Type="http://schemas.openxmlformats.org/officeDocument/2006/relationships/hyperlink" Target="https://public.fastcase.com/" TargetMode="External"/><Relationship Id="rId2449" Type="http://schemas.openxmlformats.org/officeDocument/2006/relationships/hyperlink" Target="https://www.courts.ca.gov/opinions/nonpub/B284099.PDF" TargetMode="External"/><Relationship Id="rId2656" Type="http://schemas.openxmlformats.org/officeDocument/2006/relationships/hyperlink" Target="https://cases.justia.com/federal/appellate-courts/ca8/23-3398/23-3398-2025-08-13.pdf?ts=1755099027" TargetMode="External"/><Relationship Id="rId2863" Type="http://schemas.openxmlformats.org/officeDocument/2006/relationships/hyperlink" Target="http://codes.ohio.gov/orc/gp9.61" TargetMode="External"/><Relationship Id="rId628" Type="http://schemas.openxmlformats.org/officeDocument/2006/relationships/hyperlink" Target="http://www.caohc.org/updatearticles/2017/Update_v29-i1.pdf" TargetMode="External"/><Relationship Id="rId835" Type="http://schemas.openxmlformats.org/officeDocument/2006/relationships/hyperlink" Target="https://www.dhs.gov/news/2020/06/18/dhs-statement-supreme-court-decision-daca" TargetMode="External"/><Relationship Id="rId1258" Type="http://schemas.openxmlformats.org/officeDocument/2006/relationships/hyperlink" Target="https://casetext.com/case/malone-v-workers-comp-appeal-bd" TargetMode="External"/><Relationship Id="rId1465" Type="http://schemas.openxmlformats.org/officeDocument/2006/relationships/hyperlink" Target="https://casetext.com/case/as-v-ocean-cnty-fire-acad-2" TargetMode="External"/><Relationship Id="rId1672" Type="http://schemas.openxmlformats.org/officeDocument/2006/relationships/hyperlink" Target="https://law.justia.com/cases/federal/district-courts/maryland/mddce/1:2024cv03292/571304/36/" TargetMode="External"/><Relationship Id="rId2309" Type="http://schemas.openxmlformats.org/officeDocument/2006/relationships/hyperlink" Target="https://www.leagle.com/decision/infdco20220324d64" TargetMode="External"/><Relationship Id="rId2516" Type="http://schemas.openxmlformats.org/officeDocument/2006/relationships/hyperlink" Target="https://hr.cch.com/ELD/FisherLansing042925.pdf" TargetMode="External"/><Relationship Id="rId2723" Type="http://schemas.openxmlformats.org/officeDocument/2006/relationships/hyperlink" Target="https://supreme.justia.com/cases/federal/us/405/150/" TargetMode="External"/><Relationship Id="rId1020" Type="http://schemas.openxmlformats.org/officeDocument/2006/relationships/hyperlink" Target="https://www.fireengineering.com/health-safety/tx-firefighter-dies-after-being-struck/" TargetMode="External"/><Relationship Id="rId1118" Type="http://schemas.openxmlformats.org/officeDocument/2006/relationships/hyperlink" Target="https://ilcourtsaudio.blob.core.windows.net/antilles-resources/resources/cb295fe3-77b3-494e-ba2f-aabcd601915c/Barz%20v.%20Village%20of%20Hazel%20Crest%20Firefighters%20Pension%20Fund,%202024%20IL%20App%20(1st)%20240137-U.pdf" TargetMode="External"/><Relationship Id="rId1325" Type="http://schemas.openxmlformats.org/officeDocument/2006/relationships/hyperlink" Target="https://patch.com/ohio/mayfield-hillcrest/mayfield-village-introduces-three-new-firefighters" TargetMode="External"/><Relationship Id="rId1532" Type="http://schemas.openxmlformats.org/officeDocument/2006/relationships/hyperlink" Target="https://cases.justia.com/federal/appellate-courts/ca6/25-3700/25-3700-2026-06-15.pdf?ts=1781553648" TargetMode="External"/><Relationship Id="rId1977" Type="http://schemas.openxmlformats.org/officeDocument/2006/relationships/hyperlink" Target="https://cases.justia.com/washington/court-of-appeals-division-i/2025-83853-9.pdf?ts=1737494121" TargetMode="External"/><Relationship Id="rId2930" Type="http://schemas.openxmlformats.org/officeDocument/2006/relationships/hyperlink" Target="https://www.supremecourt.ohio.gov/rod/docs/pdf/0/2023/2023-Ohio-2264.pdf" TargetMode="External"/><Relationship Id="rId902" Type="http://schemas.openxmlformats.org/officeDocument/2006/relationships/hyperlink" Target="https://cases.justia.com/federal/district-courts/indiana/inndce/3:2023cv00744/115782/36/0.pdf?ts=1705163579" TargetMode="External"/><Relationship Id="rId1837" Type="http://schemas.openxmlformats.org/officeDocument/2006/relationships/hyperlink" Target="https://www.militaryonesource.mil/national-guard/employment-support/uniformed-services-employment-and-reemployment-rights-act/" TargetMode="External"/><Relationship Id="rId31" Type="http://schemas.openxmlformats.org/officeDocument/2006/relationships/hyperlink" Target="http://opinions.kycourts.net/sc/2025-SC-0487-MR.pdf" TargetMode="External"/><Relationship Id="rId2099" Type="http://schemas.openxmlformats.org/officeDocument/2006/relationships/hyperlink" Target="https://cases.justia.com/federal/district-courts/massachusetts/madce/1:2023cv12125/261357/75/0.pdf?ts=1770465752" TargetMode="External"/><Relationship Id="rId180" Type="http://schemas.openxmlformats.org/officeDocument/2006/relationships/hyperlink" Target="https://cases.justia.com/tennessee/court-of-criminal-appeals/2023-m2022-00949-cca-r3-cd.pdf?ts=1695676978" TargetMode="External"/><Relationship Id="rId278" Type="http://schemas.openxmlformats.org/officeDocument/2006/relationships/hyperlink" Target="https://casetext.com/case/smith-v-city-of-cumming" TargetMode="External"/><Relationship Id="rId1904" Type="http://schemas.openxmlformats.org/officeDocument/2006/relationships/hyperlink" Target="https://www.justice.gov/crt/case-document/file/1227366/download" TargetMode="External"/><Relationship Id="rId485" Type="http://schemas.openxmlformats.org/officeDocument/2006/relationships/hyperlink" Target="https://www.hometownlife.com/story/news/local/westland/2016/04/15/report-released-westland-firefighter-death/83087498/" TargetMode="External"/><Relationship Id="rId692" Type="http://schemas.openxmlformats.org/officeDocument/2006/relationships/hyperlink" Target="https://d3i6fh83elv35t.cloudfront.net/static/2025/05/gov.uscourts.txsd_.2000771.58.0_1.pdf" TargetMode="External"/><Relationship Id="rId2166" Type="http://schemas.openxmlformats.org/officeDocument/2006/relationships/hyperlink" Target="https://cases.justia.com/missouri/court-of-appeals/2024-sd38313.pdf?ts=1724895006" TargetMode="External"/><Relationship Id="rId2373" Type="http://schemas.openxmlformats.org/officeDocument/2006/relationships/hyperlink" Target="https://caselaw.findlaw.com/us-4th-circuit/1602456.html" TargetMode="External"/><Relationship Id="rId2580" Type="http://schemas.openxmlformats.org/officeDocument/2006/relationships/hyperlink" Target="https://law.justia.com/cases/illinois/court-of-appeals-first-appellate-district/2019/1-18-0388.html" TargetMode="External"/><Relationship Id="rId138" Type="http://schemas.openxmlformats.org/officeDocument/2006/relationships/hyperlink" Target="http://kool.corrections.ky.gov/KOOL/Details/54918" TargetMode="External"/><Relationship Id="rId345" Type="http://schemas.openxmlformats.org/officeDocument/2006/relationships/hyperlink" Target="https://www.in.gov/judiciary/opinions/pdf/10241902eft.pdf" TargetMode="External"/><Relationship Id="rId552" Type="http://schemas.openxmlformats.org/officeDocument/2006/relationships/hyperlink" Target="https://law.justia.com/cases/ohio/twelfth-district-court-of-appeals/2022/ca2022-02-020.html" TargetMode="External"/><Relationship Id="rId997" Type="http://schemas.openxmlformats.org/officeDocument/2006/relationships/hyperlink" Target="https://www.supremecourt.ohio.gov/rod/docs/pdf/8/2023/2023-Ohio-4213.pdf" TargetMode="External"/><Relationship Id="rId1182" Type="http://schemas.openxmlformats.org/officeDocument/2006/relationships/hyperlink" Target="https://ilcourtsaudio.blob.core.windows.net/antilles-resources/resources/eba608df-6fa9-4d1a-8a11-f48abce29596/City%20of%20Springfield%20v.%20Illinois%20Workers'%20Compensation%20Comm'n,%202022%20IL%20App%20(4th)%20210604WC-U.pdf" TargetMode="External"/><Relationship Id="rId2026" Type="http://schemas.openxmlformats.org/officeDocument/2006/relationships/hyperlink" Target="https://www.cnn.com/2021/06/29/americas/mexico-cannabis-decriminalization-intl/index.html?utm_content=2021-06-29T08%3A51%3A14&amp;utm_term=link&amp;utm_source=twcnnbrk&amp;utm_medium=social" TargetMode="External"/><Relationship Id="rId2233" Type="http://schemas.openxmlformats.org/officeDocument/2006/relationships/hyperlink" Target="https://codes.ohio.gov/ohio-revised-code/section-4765.12" TargetMode="External"/><Relationship Id="rId2440" Type="http://schemas.openxmlformats.org/officeDocument/2006/relationships/hyperlink" Target="http://media.ca11.uscourts.gov/opinions/unpub/files/201814142.pdf" TargetMode="External"/><Relationship Id="rId2678" Type="http://schemas.openxmlformats.org/officeDocument/2006/relationships/hyperlink" Target="https://timeero.com/resources-page/employee-gps-tracking-laws" TargetMode="External"/><Relationship Id="rId2885" Type="http://schemas.openxmlformats.org/officeDocument/2006/relationships/hyperlink" Target="https://public.fastcase.com/Jhe1Qn%2BmJndQYQU6z%2FeNmzw1MjNfE42lsGXHo5QuLwzGO9v5LOxlzP%2Bh0pvh6sGa84MuJU1YBVqK1ekaBZuy%2F7iVYOwp0Zv%2FyO%2BM%2FzbRTYc%3D?utm_medium=email&amp;_hsenc=p2ANqtz-8yXGd80l_LUWaAnsmB3JMO2ESWYuMTqNd3smnS9LzfREYFdHkYx-1YqdQDmvXovN_D03neIMXoYWANJifdITEhWzlhbw&amp;_hsmi=226712652&amp;utm_content=226712652&amp;utm_source=hs_email" TargetMode="External"/><Relationship Id="rId205" Type="http://schemas.openxmlformats.org/officeDocument/2006/relationships/hyperlink" Target="https://www.cdc.gov/niosh/fire/pdfs/face201314.pdf" TargetMode="External"/><Relationship Id="rId412" Type="http://schemas.openxmlformats.org/officeDocument/2006/relationships/hyperlink" Target="https://public.fastcase.com/Jhe1Qn%2BmJndQYQU6z%2FeNm1Wc0BhwXqbgUcnfM0G%2F8LGBWKhbC8yUkIyVwLGd8HWj?utm_medium=email&amp;_hsenc=p2ANqtz-85mlG7bjjwBnXQBs8DYGyySvCPBDEvbYyrF7EMhR5VCH2hTuoCLWnOKD3mejXOTkKYawSsNFXD_QLidauQN_0-kPfmHA&amp;_hsmi=226712652&amp;utm_content=226712652&amp;utm_source=hs_email" TargetMode="External"/><Relationship Id="rId857" Type="http://schemas.openxmlformats.org/officeDocument/2006/relationships/hyperlink" Target="https://www.theguardian.com/world/2014/apr/17/mohammad-hassan-khalid-sentence-five-years-jail-jihad-jane-plot" TargetMode="External"/><Relationship Id="rId1042" Type="http://schemas.openxmlformats.org/officeDocument/2006/relationships/hyperlink" Target="http://www.cnn.com/2010/US/01/29/massachusetts.fire.hose.deaths/index.html" TargetMode="External"/><Relationship Id="rId1487" Type="http://schemas.openxmlformats.org/officeDocument/2006/relationships/hyperlink" Target="https://public.fastcase.com/Wl%2B2t%2BeVuI35%2FN70vAMFZpwObr9UCo7RpBGKfgPOWwVQBI%2BjVLV%2FylH6ScWLGBY%2F" TargetMode="External"/><Relationship Id="rId1694" Type="http://schemas.openxmlformats.org/officeDocument/2006/relationships/hyperlink" Target="https://cases.justia.com/federal/appellate-courts/ca11/24-12910/24-12910-2025-06-23.pdf?ts=1750690858" TargetMode="External"/><Relationship Id="rId2300" Type="http://schemas.openxmlformats.org/officeDocument/2006/relationships/hyperlink" Target="https://www.dallasobserver.com/news/after-dpd-review-no-charges-filed-against-former-paramedic-who-kicked-mentally-ill-man-13536919" TargetMode="External"/><Relationship Id="rId2538" Type="http://schemas.openxmlformats.org/officeDocument/2006/relationships/hyperlink" Target="https://codes.ohio.gov/ohio-revised-code/section-5122.10/9-17-2014" TargetMode="External"/><Relationship Id="rId2745" Type="http://schemas.openxmlformats.org/officeDocument/2006/relationships/hyperlink" Target="https://abc7ny.com/newark-firefighters-firefighter-arrest-gunfire/1228031/" TargetMode="External"/><Relationship Id="rId2952" Type="http://schemas.openxmlformats.org/officeDocument/2006/relationships/hyperlink" Target="https://www.supremecourt.ohio.gov/rod/docs/pdf/8/2022/2022-Ohio-2498.pdf" TargetMode="External"/><Relationship Id="rId717" Type="http://schemas.openxmlformats.org/officeDocument/2006/relationships/hyperlink" Target="https://www.supremecourt.gov/opinions/23pdf/22-1178_p8k0.pdf" TargetMode="External"/><Relationship Id="rId924" Type="http://schemas.openxmlformats.org/officeDocument/2006/relationships/hyperlink" Target="https://public.fastcase.com/waZtJvSA54UAurM2rmIZz7W%2FsumOmHJRMxx6Xd%2FRMYm%2FGY4cQ9ojWggecoIy6%2FUeVcPjYVPSLOvPb0MEmsZAQF%2FZtsixbezDD9jmkmDKasM%3D" TargetMode="External"/><Relationship Id="rId1347" Type="http://schemas.openxmlformats.org/officeDocument/2006/relationships/hyperlink" Target="https://cases.justia.com/federal/district-courts/louisiana/lawdce/5:2018cv00034/160852/18/0.pdf?ts=1532079100" TargetMode="External"/><Relationship Id="rId1554" Type="http://schemas.openxmlformats.org/officeDocument/2006/relationships/hyperlink" Target="https://cases.justia.com/federal/appellate-courts/ca5/24-40626/24-40626-2025-05-01.pdf?ts=1746120629" TargetMode="External"/><Relationship Id="rId1761" Type="http://schemas.openxmlformats.org/officeDocument/2006/relationships/hyperlink" Target="https://public.fastcase.com/Wl%2B2t%2BeVuI35%2FN70vAMFZhmmbLojT%2FvpqyhULz0IXhVnEOLZ3Ga%2BMf6ctA4VMmca" TargetMode="External"/><Relationship Id="rId1999" Type="http://schemas.openxmlformats.org/officeDocument/2006/relationships/hyperlink" Target="https://www.nytimes.com/2022/03/03/health/sacklers-purdue-oxycontin-settlement.html" TargetMode="External"/><Relationship Id="rId2605" Type="http://schemas.openxmlformats.org/officeDocument/2006/relationships/hyperlink" Target="https://www.nycourts.gov/reporter/current/3dseries/2026/2026_04537.shtml" TargetMode="External"/><Relationship Id="rId2812" Type="http://schemas.openxmlformats.org/officeDocument/2006/relationships/hyperlink" Target="https://www.latimes.com/local/lanow/la-me-ln-ex-cal-fire-chief-convicted-stabbing-girlfriend-20150624-story.html" TargetMode="External"/><Relationship Id="rId53" Type="http://schemas.openxmlformats.org/officeDocument/2006/relationships/hyperlink" Target="https://www.supremecourt.gov/opinions/25pdf/24-624_b07d.pdf" TargetMode="External"/><Relationship Id="rId1207" Type="http://schemas.openxmlformats.org/officeDocument/2006/relationships/hyperlink" Target="http://app.leg.wa.gov/RCW/default.aspx?cite=51.08.140" TargetMode="External"/><Relationship Id="rId1414" Type="http://schemas.openxmlformats.org/officeDocument/2006/relationships/hyperlink" Target="https://codes.ohio.gov/ohio-revised-code/section-4112.022" TargetMode="External"/><Relationship Id="rId1621" Type="http://schemas.openxmlformats.org/officeDocument/2006/relationships/hyperlink" Target="https://law.justia.com/cases/federal/district-courts/california/caedce/1:2018cv00824/337796/49/" TargetMode="External"/><Relationship Id="rId1859" Type="http://schemas.openxmlformats.org/officeDocument/2006/relationships/hyperlink" Target="https://www.dol.gov/newsroom/releases/whd/whd20230524-0" TargetMode="External"/><Relationship Id="rId1719" Type="http://schemas.openxmlformats.org/officeDocument/2006/relationships/hyperlink" Target="https://cases.justia.com/federal/appellate-courts/ca11/22-10002/22-10002-2023-10-11.pdf?ts=1697045568" TargetMode="External"/><Relationship Id="rId1926" Type="http://schemas.openxmlformats.org/officeDocument/2006/relationships/hyperlink" Target="https://www.law.cornell.edu/definitions/uscode.php?width=840&amp;height=800&amp;iframe=true&amp;def_id=29-USC-1193469614-1597622566&amp;term_occur=999&amp;term_src=" TargetMode="External"/><Relationship Id="rId2090" Type="http://schemas.openxmlformats.org/officeDocument/2006/relationships/hyperlink" Target="https://cases.justia.com/minnesota/supreme-court/2026-a23-0516.pdf?ts=1773911973" TargetMode="External"/><Relationship Id="rId2188" Type="http://schemas.openxmlformats.org/officeDocument/2006/relationships/hyperlink" Target="https://www.cnn.com/2003/US/Midwest/12/01/died.in.custody/index.html" TargetMode="External"/><Relationship Id="rId2395" Type="http://schemas.openxmlformats.org/officeDocument/2006/relationships/hyperlink" Target="https://www.ems.ohio.gov/links/COVID-19/Legislated%20COVID-19%20Contingency%20Measures%20for%20Ohio%20EMS.pdf" TargetMode="External"/><Relationship Id="rId367" Type="http://schemas.openxmlformats.org/officeDocument/2006/relationships/hyperlink" Target="https://ceas.uc.edu/content/dam/refresh/ceas-62/documents/academics/departments/aerospace-engineering-&amp;-engineering-mechanics/fire-science/1Jan.%202019%20Newsletter%20ADA%200.pdf" TargetMode="External"/><Relationship Id="rId574" Type="http://schemas.openxmlformats.org/officeDocument/2006/relationships/hyperlink" Target="https://casetext.com/case/state-v-zitney-1" TargetMode="External"/><Relationship Id="rId2048" Type="http://schemas.openxmlformats.org/officeDocument/2006/relationships/hyperlink" Target="https://law.justia.com/cases/new-york/appellate-division-first-department/2026/index-no-814899-21-appeal-no-6960-case-no-2025-06945.html" TargetMode="External"/><Relationship Id="rId2255" Type="http://schemas.openxmlformats.org/officeDocument/2006/relationships/hyperlink" Target="https://cookcountyrecord.com/stories/641740005-labor-board-judge-chicago-trampled-union-bargaining-rights-by-firing-workers-who-refused-covid-vax" TargetMode="External"/><Relationship Id="rId3001" Type="http://schemas.openxmlformats.org/officeDocument/2006/relationships/hyperlink" Target="https://www.aclufl.org/legislation/hb-75sb-184-criminalizing-bystanders-exercising-first-amendment-rights/" TargetMode="External"/><Relationship Id="rId227" Type="http://schemas.openxmlformats.org/officeDocument/2006/relationships/hyperlink" Target="https://local12.com/news/local/blocked-railroad-crossings-ohio-supreme-court-ruling-no-more-fines-trains-safety-butler-county-lockland-emergencies-csx-transportation-anti-blocking-law-federal-railroad-administration-cincinnati-local-12-wkrc-tristate-ohio-kentucky-indiana-news" TargetMode="External"/><Relationship Id="rId781" Type="http://schemas.openxmlformats.org/officeDocument/2006/relationships/hyperlink" Target="https://www.cnn.com/2021/07/13/politics/handgun-appeals-court/index.html?utm_term=link&amp;utm_content=2021-07-13T19%3A12%3A10&amp;utm_source=twcnnbrk&amp;utm_medium=social" TargetMode="External"/><Relationship Id="rId879" Type="http://schemas.openxmlformats.org/officeDocument/2006/relationships/hyperlink" Target="https://public.fastcase.com/jaEE2PXzRXmZ99jOLMt1IjaUc7vARjVQ5RdI8he5wvr8CafQJWJ892rNp3h%2B5maD?utm_medium=email&amp;_hsenc=p2ANqtz-9yeYIX9OvUysaWxw5S4NvX23y7n2bM1DKt1TGid5472BDGnDkJHyEbdkJMIqnakyd6KQCi4nGEAs4FOkTAkAKzxnAO3A&amp;_hsmi=226712652&amp;utm_content=226712652&amp;utm_source=hs_email" TargetMode="External"/><Relationship Id="rId2462" Type="http://schemas.openxmlformats.org/officeDocument/2006/relationships/hyperlink" Target="https://www.supremecourt.ohio.gov/rod/docs/pdf/8/2018/2018-Ohio-4602.pdf" TargetMode="External"/><Relationship Id="rId2767" Type="http://schemas.openxmlformats.org/officeDocument/2006/relationships/hyperlink" Target="https://iprospectcheck.com/ohio-background-check/" TargetMode="External"/><Relationship Id="rId434" Type="http://schemas.openxmlformats.org/officeDocument/2006/relationships/hyperlink" Target="https://www.muscalaw.com/blog/understanding-floridas-new-halo-law-and-its-impact-first-amendment-rights" TargetMode="External"/><Relationship Id="rId641" Type="http://schemas.openxmlformats.org/officeDocument/2006/relationships/hyperlink" Target="https://d.docs.live.net/bd9b2eaf6053242e/AppData/Roaming/Microsoft/AppData/Local/Microsoft/Windows/INetCache/IE/XO250S7T/memorandum%20%20affirmed%20%2010347948434547371.pdf" TargetMode="External"/><Relationship Id="rId739" Type="http://schemas.openxmlformats.org/officeDocument/2006/relationships/hyperlink" Target="https://casetext.com/case/baarbe-v-the-syrian-arab-republic" TargetMode="External"/><Relationship Id="rId1064" Type="http://schemas.openxmlformats.org/officeDocument/2006/relationships/hyperlink" Target="https://codes.ohio.gov/ohio-revised-code/section-109.578" TargetMode="External"/><Relationship Id="rId1271" Type="http://schemas.openxmlformats.org/officeDocument/2006/relationships/hyperlink" Target="https://public.fastcase.com/Wl%2B2t%2BeVuI35%2FN70vAMFZjoMXHbjadZDEq7kSjk%2BwtWPLJ9YZycRPzxEYilorv6v" TargetMode="External"/><Relationship Id="rId1369" Type="http://schemas.openxmlformats.org/officeDocument/2006/relationships/hyperlink" Target="https://www.casemine.com/judgement/us/6a0be85df21cf013d419bfe6" TargetMode="External"/><Relationship Id="rId1576" Type="http://schemas.openxmlformats.org/officeDocument/2006/relationships/hyperlink" Target="https://local2507.com/wp-content/uploads/2024/09/Decision-on-Class-Action.pdf" TargetMode="External"/><Relationship Id="rId2115" Type="http://schemas.openxmlformats.org/officeDocument/2006/relationships/hyperlink" Target="https://www.michbar.org/Portals/0/opinions/appeals/2025/102325/84576.pdf" TargetMode="External"/><Relationship Id="rId2322" Type="http://schemas.openxmlformats.org/officeDocument/2006/relationships/hyperlink" Target="https://www.courtlistener.com/opinion/5313531/gauis-horton-individually-and-on-behalf-of-mary-horton-v-st-tammany-fire/" TargetMode="External"/><Relationship Id="rId2974" Type="http://schemas.openxmlformats.org/officeDocument/2006/relationships/hyperlink" Target="https://public.fastcase.com/Wl%2B2t%2BeVuI35%2FN70vAMFZl7A1gE73iKGMMI%2FPLrMqXgHwn%2FVp9h90PlANd5CkjNU" TargetMode="External"/><Relationship Id="rId501" Type="http://schemas.openxmlformats.org/officeDocument/2006/relationships/hyperlink" Target="https://public.fastcase.com/" TargetMode="External"/><Relationship Id="rId946" Type="http://schemas.openxmlformats.org/officeDocument/2006/relationships/hyperlink" Target="https://www.nct911.org/how-location-works-for-911/" TargetMode="External"/><Relationship Id="rId1131" Type="http://schemas.openxmlformats.org/officeDocument/2006/relationships/hyperlink" Target="https://codes.ohio.gov/ohio-revised-code/section-4123.68" TargetMode="External"/><Relationship Id="rId1229" Type="http://schemas.openxmlformats.org/officeDocument/2006/relationships/hyperlink" Target="https://www.courts.state.md.us/data/opinions/coa/2021/36a20.pdf" TargetMode="External"/><Relationship Id="rId1783" Type="http://schemas.openxmlformats.org/officeDocument/2006/relationships/hyperlink" Target="https://public.fastcase.com/waZtJvSA54UAurM2rmIZz88A4DX9zJiHVSCLlaywcCbO%2FsN6H35lRLqBQI5YlUXLkpfw%2B63lWcDnyRlZDlxVAe7N7ayvxJpVWQxxLxisTNc%3D" TargetMode="External"/><Relationship Id="rId1990" Type="http://schemas.openxmlformats.org/officeDocument/2006/relationships/hyperlink" Target="http://www.law.cornell.edu/uscode/text/42/12114" TargetMode="External"/><Relationship Id="rId2627" Type="http://schemas.openxmlformats.org/officeDocument/2006/relationships/hyperlink" Target="https://cases.justia.com/texas/thirteenth-court-of-appeals/2026-13-24-00112-cv.pdf?ts=1770913029" TargetMode="External"/><Relationship Id="rId2834" Type="http://schemas.openxmlformats.org/officeDocument/2006/relationships/hyperlink" Target="https://cases.justia.com/utah/court-of-appeals-published/2017-20160099-ca.pdf?ts=1512166432" TargetMode="External"/><Relationship Id="rId75" Type="http://schemas.openxmlformats.org/officeDocument/2006/relationships/hyperlink" Target="https://cases.justia.com/wyoming/supreme-court/2025-s-24-0295.pdf?ts=1757689246" TargetMode="External"/><Relationship Id="rId806" Type="http://schemas.openxmlformats.org/officeDocument/2006/relationships/hyperlink" Target="https://www.law.cornell.edu/uscode/text/8/1227" TargetMode="External"/><Relationship Id="rId1436" Type="http://schemas.openxmlformats.org/officeDocument/2006/relationships/hyperlink" Target="https://supremecourt.nebraska.gov/sites/default/files/a21-954m.pdf" TargetMode="External"/><Relationship Id="rId1643" Type="http://schemas.openxmlformats.org/officeDocument/2006/relationships/hyperlink" Target="https://www.jacksonville.com/story/news/courts/2020/11/25/jacksonville-lawsuit-cleanshaven-rule-unfair-black-firefighters/6406374002/" TargetMode="External"/><Relationship Id="rId1850" Type="http://schemas.openxmlformats.org/officeDocument/2006/relationships/hyperlink" Target="http://flsa-optin.com/" TargetMode="External"/><Relationship Id="rId2901" Type="http://schemas.openxmlformats.org/officeDocument/2006/relationships/hyperlink" Target="https://public.fastcase.com/jaEE2PXzRXmZ99jOLMt1IhwREi1fEuXa5IBCMUROo3DApdLLsb4vyoe8B%2BNXnfOO?utm_medium=email&amp;_hsenc=p2ANqtz-8ABWS4rvuUksFiiSiWwUxDOv17WyJKZy-5as8oPUYz_An6byDKPPy12elR6z5qE4TfB84ipL9se-rQu7mIzXpACN0LEw&amp;_hsmi=226712652&amp;utm_content=226712652&amp;utm_source=hs_email" TargetMode="External"/><Relationship Id="rId1503" Type="http://schemas.openxmlformats.org/officeDocument/2006/relationships/hyperlink" Target="http://41af3k34gprx4f6bg12df75i.wpengine.netdna-cdn.com/wp-content/uploads/sites/19/2016/03/Hurd-v-Lincoln.pdf" TargetMode="External"/><Relationship Id="rId1710" Type="http://schemas.openxmlformats.org/officeDocument/2006/relationships/hyperlink" Target="https://cases.justia.com/federal/appellate-courts/ca11/22-10002/22-10002-2023-10-11.pdf?ts=1697045568" TargetMode="External"/><Relationship Id="rId1948" Type="http://schemas.openxmlformats.org/officeDocument/2006/relationships/hyperlink" Target="https://law.justia.com/cases/federal/district-courts/new-york/nysdce/1:2013cv01015/407972/168/" TargetMode="External"/><Relationship Id="rId291" Type="http://schemas.openxmlformats.org/officeDocument/2006/relationships/hyperlink" Target="http://www.ethics.ohio.gov" TargetMode="External"/><Relationship Id="rId1808" Type="http://schemas.openxmlformats.org/officeDocument/2006/relationships/hyperlink" Target="https://cases.justia.com/federal/appellate-courts/ca11/25-10673/25-10673-2026-02-10.pdf?ts=1770737597" TargetMode="External"/><Relationship Id="rId3023" Type="http://schemas.openxmlformats.org/officeDocument/2006/relationships/hyperlink" Target="https://www.supremecourt.ohio.gov/rod/docs/pdf/0/2023/2023-Ohio-4593.pdf" TargetMode="External"/><Relationship Id="rId151" Type="http://schemas.openxmlformats.org/officeDocument/2006/relationships/hyperlink" Target="https://www.law.cornell.edu/rules/fre/rule_702" TargetMode="External"/><Relationship Id="rId389" Type="http://schemas.openxmlformats.org/officeDocument/2006/relationships/hyperlink" Target="https://supreme.justia.com/cases/federal/us/584/17-467/" TargetMode="External"/><Relationship Id="rId596" Type="http://schemas.openxmlformats.org/officeDocument/2006/relationships/hyperlink" Target="https://caselaw.findlaw.com/us-dc-circuit/1363158.html" TargetMode="External"/><Relationship Id="rId2277" Type="http://schemas.openxmlformats.org/officeDocument/2006/relationships/hyperlink" Target="https://www.law.cornell.edu/definitions/uscode.php?width=840&amp;height=800&amp;iframe=true&amp;def_id=42-USC-303628742-1009355614&amp;term_occur=999&amp;term_src=" TargetMode="External"/><Relationship Id="rId2484" Type="http://schemas.openxmlformats.org/officeDocument/2006/relationships/hyperlink" Target="https://casetext.com/case/city-of-tucson-v-the-indus-commn-of-ariz" TargetMode="External"/><Relationship Id="rId2691" Type="http://schemas.openxmlformats.org/officeDocument/2006/relationships/hyperlink" Target="https://www.opn.ca6.uscourts.gov/opinions.pdf/24a0201p-06.pdf" TargetMode="External"/><Relationship Id="rId249" Type="http://schemas.openxmlformats.org/officeDocument/2006/relationships/hyperlink" Target="https://www.supremecourt.ohio.gov/rod/docs/pdf/11/2021/2021-Ohio-4568.pdf" TargetMode="External"/><Relationship Id="rId456" Type="http://schemas.openxmlformats.org/officeDocument/2006/relationships/hyperlink" Target="https://public.fastcase.com/jaEE2PXzRXmZ99jOLMt1IgoAeG7S%2FykfBuI6YcrwSiPTGWPBCOsZ9U9hhbKPvFCclEcN8%2BwauJ9ACloifFNsJP5SY607BhdVsV5o4yY4x1s%3D?utm_medium=email&amp;_hsenc=p2ANqtz-_cDTCyDUjf-GWGQHLWs90oLVQoI7WEBtlECxGBA_PvhPlM3MPPBeVtmuAidKContkLHE5q5E9gdRGYeBGS5gCqwJlBfg&amp;_hsmi=226712652&amp;utm_content=226712652&amp;utm_source=hs_email" TargetMode="External"/><Relationship Id="rId663" Type="http://schemas.openxmlformats.org/officeDocument/2006/relationships/hyperlink" Target="https://www.supremecourt.gov/opinions/25pdf/25a443_ba7d.pdf" TargetMode="External"/><Relationship Id="rId870" Type="http://schemas.openxmlformats.org/officeDocument/2006/relationships/hyperlink" Target="https://www.supremecourt.ohio.gov/rod/docs/pdf/2/2026/2026-Ohio-3657.pdf" TargetMode="External"/><Relationship Id="rId1086" Type="http://schemas.openxmlformats.org/officeDocument/2006/relationships/hyperlink" Target="https://ilcourtsaudio.blob.core.windows.net/antilles-resources/resources/f07642b7-1e8b-438e-bd0d-cfbc858fbc9b/Witteman%20v.%20Brookfield%20Firefighters%20Pension%20Fund%202025%20IL%20App%20(1st)%20241278.pdf" TargetMode="External"/><Relationship Id="rId1293" Type="http://schemas.openxmlformats.org/officeDocument/2006/relationships/hyperlink" Target="http://lawfilesext.leg.wa.gov/biennium/2019-20/Pdf/Bills/Session%20Laws/House/1913.SL.pdf?cite=2019%20c%20133%20%C2%A7%201" TargetMode="External"/><Relationship Id="rId2137" Type="http://schemas.openxmlformats.org/officeDocument/2006/relationships/hyperlink" Target="https://caselaw.findlaw.com/court/ak-supreme-court/117230404.html" TargetMode="External"/><Relationship Id="rId2344" Type="http://schemas.openxmlformats.org/officeDocument/2006/relationships/hyperlink" Target="https://www.leagle.com/decision/infdco20210811a71" TargetMode="External"/><Relationship Id="rId2551" Type="http://schemas.openxmlformats.org/officeDocument/2006/relationships/hyperlink" Target="https://public.fastcase.com/J%2FJP6pdidelsXxEE4k%2BLMmppr1xeX1%2Bm2bW38%2FPoc%2BjXR15UXAVR8dC2RoWWa4H5Xq9pVObZCpSmCaBhyWr74I1EN1To2hIbHKD6%2F8UayPI%3D" TargetMode="External"/><Relationship Id="rId2789" Type="http://schemas.openxmlformats.org/officeDocument/2006/relationships/hyperlink" Target="https://www.rittgers.com/blog/2021/07/what-does-ohios-new-anti-hazing-law-mean/" TargetMode="External"/><Relationship Id="rId2996" Type="http://schemas.openxmlformats.org/officeDocument/2006/relationships/hyperlink" Target="https://www.op-f.org/files/mgdrop.pdf" TargetMode="External"/><Relationship Id="rId109" Type="http://schemas.openxmlformats.org/officeDocument/2006/relationships/hyperlink" Target="https://www.usatoday.com/story/tech/2025/01/22/tiktok-ban-download-app-stores-update/77872210007/" TargetMode="External"/><Relationship Id="rId316" Type="http://schemas.openxmlformats.org/officeDocument/2006/relationships/hyperlink" Target="https://www.myfloridacfo.com/division/agents/Industry/News/PubAdjRegs.htm" TargetMode="External"/><Relationship Id="rId523" Type="http://schemas.openxmlformats.org/officeDocument/2006/relationships/hyperlink" Target="https://casetext.com/statute/california-codes/california-civil-code/division-3-obligations/part-3-obligations-imposed-by-law/section-1714-responsibility-injury-occasioned-by-want-of-ordinary-care-or-skill-in-management-of-property-or-person-firearms-and-ammunition-not-exempted" TargetMode="External"/><Relationship Id="rId968" Type="http://schemas.openxmlformats.org/officeDocument/2006/relationships/hyperlink" Target="https://cases.justia.com/federal/district-courts/new-york/nyndce/6:2022cv01157/135604/81/0.pdf?ts=1772211450" TargetMode="External"/><Relationship Id="rId1153" Type="http://schemas.openxmlformats.org/officeDocument/2006/relationships/hyperlink" Target="https://public.fastcase.com/ZZhmr5v9wN%2FXOe5IsQ%2FqD%2FaLdDTUZ9Bp4i3kiVRF7d97YDP9rIPdBi21RNkcNkR5tUpl7J0i2aSQMqXbficIjpy79lKVHToNjy22tiJ4vWE%3D?utm_medium=email&amp;_hsmi=226712652&amp;_hsenc=p2ANqtz-9MD5NcRenWzxZK3r0B0IWrLCE0j3XNAkXqR3ZxFb7wcv_xjopQQNgTmJWg80Fq-GGoAscEcs0qRLFtSd9eSgTH9vCqyg&amp;utm_content=226712652&amp;utm_source=hs_email" TargetMode="External"/><Relationship Id="rId1598" Type="http://schemas.openxmlformats.org/officeDocument/2006/relationships/hyperlink" Target="https://public.fastcase.com/ZZhmr5v9wN%2FXOe5IsQ%2FqDz1M0c7XntbkBFAKdHDge9e%2F8CSFXEi88W%2FVfdIRS4Pi97nH6Fo0Jpcpv2L%2BsFvZPbsE0qA7KMgQlRndt4L6foA%3D?utm_medium=email&amp;_hsmi=226712652&amp;_hsenc=p2ANqtz--PxjvF13xKDxQ7J7F-ifitmDmVZpuVXf36_4emKUQzFhwmn1WPofSx1ry4m9mCDedrl6XMHnLVa4UU0oKcRVjso9raZQ&amp;utm_content=226712652&amp;utm_source=hs_email" TargetMode="External"/><Relationship Id="rId2204" Type="http://schemas.openxmlformats.org/officeDocument/2006/relationships/hyperlink" Target="https://public.fastcase.com/H1P9uiW3J20SFp%2BGCG%2BxLfXb%2FP0Zem%2FZVE%2B6Qs7i4IO1WpaqZWLhEbCf1wzASLCeHTBrNzAeMbTpuOI06nFKgtuOqPD57vVcxacgyHv1UJc%3D?utm_medium=email&amp;_hsmi=226712652&amp;_hsenc=p2ANqtz-8wnxBiWrzuFD2HrdDPkM1g9CGhbZuaZGzbWbXmLdA56OF31_PY2JQBf09BSmDMlHEKBQ_DWKjsPmFM9QlP1xX06T0eGA&amp;utm_content=226712652&amp;utm_source=hs_email" TargetMode="External"/><Relationship Id="rId2649" Type="http://schemas.openxmlformats.org/officeDocument/2006/relationships/hyperlink" Target="https://cases.justia.com/california/court-of-appeal/2025-b327744.pdf?ts=1764194477" TargetMode="External"/><Relationship Id="rId2856" Type="http://schemas.openxmlformats.org/officeDocument/2006/relationships/hyperlink" Target="http://www.search.txcourts.gov/SearchMedia.aspx?MediaVersionID=c3f113f2-1ba2-49ff-a2ab-1b5420c141ac&amp;coa=coa09&amp;DT=Opinion&amp;MediaID=ad82a5f3-c7c6-4b28-8fe8-0de313580d94" TargetMode="External"/><Relationship Id="rId97" Type="http://schemas.openxmlformats.org/officeDocument/2006/relationships/hyperlink" Target="https://www.14news.com/2024/06/17/convicted-killer-evansville-firefighter-set-be-sentenced-this-afternoon/" TargetMode="External"/><Relationship Id="rId730" Type="http://schemas.openxmlformats.org/officeDocument/2006/relationships/hyperlink" Target="https://www.theatlantic.com/politics/archive/2021/07/california-inmate-firefighters/619567/" TargetMode="External"/><Relationship Id="rId828" Type="http://schemas.openxmlformats.org/officeDocument/2006/relationships/hyperlink" Target="https://casetext.com/case/in-re-world-trade-ctr-lower-manhattan-disaster-site-litig-8" TargetMode="External"/><Relationship Id="rId1013" Type="http://schemas.openxmlformats.org/officeDocument/2006/relationships/hyperlink" Target="https://codes.ohio.gov/ohio-revised-code/section-4511.991" TargetMode="External"/><Relationship Id="rId1360" Type="http://schemas.openxmlformats.org/officeDocument/2006/relationships/hyperlink" Target="file:///C:/Users/lawre/AppData/Local/Microsoft/Windows/INetCache/IE/CTCRXJ99/0788s16.pdf" TargetMode="External"/><Relationship Id="rId1458" Type="http://schemas.openxmlformats.org/officeDocument/2006/relationships/hyperlink" Target="https://www.firerescue1.com/lawsuit/articles/judge-dismisses-federal-gender-discrimination-suit-of-fdny-emt-who-posed-for-calendar-v4FDLqPObm3t3BSV/?utm_source=FireRescue1&amp;utm_campaign=dfa53e36a0-EMAIL_CAMPAIGN_2021_10_08_06_27&amp;utm_medium=email&amp;utm_term=0_1d76c7ca1b-dfa53e36a0-91025172" TargetMode="External"/><Relationship Id="rId1665" Type="http://schemas.openxmlformats.org/officeDocument/2006/relationships/hyperlink" Target="https://www.leagle.com/cite/142%20F.3d%201082" TargetMode="External"/><Relationship Id="rId1872" Type="http://schemas.openxmlformats.org/officeDocument/2006/relationships/hyperlink" Target="https://www.shrm.org/resourcesandtools/legal-and-compliance/employment-law/pages/supreme-court-helix-flsa-exemption.aspx" TargetMode="External"/><Relationship Id="rId2411" Type="http://schemas.openxmlformats.org/officeDocument/2006/relationships/hyperlink" Target="https://www.emsworld.com/press-release/1222611/immi-launches-per4max-restraint-ems-providers" TargetMode="External"/><Relationship Id="rId2509" Type="http://schemas.openxmlformats.org/officeDocument/2006/relationships/hyperlink" Target="https://www.tncourts.gov/sites/default/files/OpinionsPDFVersion/Majority%20Opinion%20-%20E2022-01151-SC-R11-CV.pdf" TargetMode="External"/><Relationship Id="rId2716" Type="http://schemas.openxmlformats.org/officeDocument/2006/relationships/hyperlink" Target="https://casetext.com/case/holt-v-florissant-fire-prot-dist" TargetMode="External"/><Relationship Id="rId1220" Type="http://schemas.openxmlformats.org/officeDocument/2006/relationships/hyperlink" Target="https://wcc.state.ct.us/law/rel-stat/2009/7-314a.htm" TargetMode="External"/><Relationship Id="rId1318" Type="http://schemas.openxmlformats.org/officeDocument/2006/relationships/hyperlink" Target="https://courts.illinois.gov/R23_Orders/AppellateCourt/2020/3rdDistrict/3190055_R23.pdf" TargetMode="External"/><Relationship Id="rId1525" Type="http://schemas.openxmlformats.org/officeDocument/2006/relationships/hyperlink" Target="https://www.oyez.org/cases/1967/510" TargetMode="External"/><Relationship Id="rId2923" Type="http://schemas.openxmlformats.org/officeDocument/2006/relationships/hyperlink" Target="https://jud.ct.gov/Superiorcourt/MOD/DocumentPreview.aspx?RandomKey=6CFC6C5D-9DDA-4D98-859D-8C6104A0B311" TargetMode="External"/><Relationship Id="rId1732" Type="http://schemas.openxmlformats.org/officeDocument/2006/relationships/hyperlink" Target="https://www.justice.gov/crt/case-document/file/1583736/download" TargetMode="External"/><Relationship Id="rId24" Type="http://schemas.openxmlformats.org/officeDocument/2006/relationships/hyperlink" Target="https://www.facebook.com/reel/1853994902451720" TargetMode="External"/><Relationship Id="rId2299" Type="http://schemas.openxmlformats.org/officeDocument/2006/relationships/hyperlink" Target="https://www.dallasobserver.com/news/kyle-vess-court-rules-lawsuit-against-city-and-former-paramedic-can-move-forward-14303422" TargetMode="External"/><Relationship Id="rId3045" Type="http://schemas.openxmlformats.org/officeDocument/2006/relationships/hyperlink" Target="https://www.hannah.com/ShowDocument.aspx?BTextID=219206" TargetMode="External"/><Relationship Id="rId173" Type="http://schemas.openxmlformats.org/officeDocument/2006/relationships/hyperlink" Target="https://www.supremecourt.ohio.gov/forms/all-forms/crime-victims-marsys-law-rights/112" TargetMode="External"/><Relationship Id="rId380" Type="http://schemas.openxmlformats.org/officeDocument/2006/relationships/hyperlink" Target="https://www.supremecourt.gov/opinions/17pdf/16-1466_2b3j.pdf" TargetMode="External"/><Relationship Id="rId2061" Type="http://schemas.openxmlformats.org/officeDocument/2006/relationships/hyperlink" Target="https://supreme.justia.com/cases/federal/us/470/532/" TargetMode="External"/><Relationship Id="rId240" Type="http://schemas.openxmlformats.org/officeDocument/2006/relationships/hyperlink" Target="https://law.justia.com/cases/virginia/court-of-appeals-unpublished/2022/0509-21-2.html" TargetMode="External"/><Relationship Id="rId478" Type="http://schemas.openxmlformats.org/officeDocument/2006/relationships/hyperlink" Target="https://cases.justia.com/kentucky/supreme-court/2024-2023-sc-0062-dg.pdf?ts=1729778750" TargetMode="External"/><Relationship Id="rId685" Type="http://schemas.openxmlformats.org/officeDocument/2006/relationships/hyperlink" Target="https://cdn.ca9.uscourts.gov/datastore/opinions/2025/07/24/24-542.pdf" TargetMode="External"/><Relationship Id="rId892" Type="http://schemas.openxmlformats.org/officeDocument/2006/relationships/hyperlink" Target="https://cases.justia.com/federal/district-courts/federal-claims/cofce/1:2022cv01201/46126/27/0.pdf?ts=1728477951" TargetMode="External"/><Relationship Id="rId2159" Type="http://schemas.openxmlformats.org/officeDocument/2006/relationships/hyperlink" Target="https://casetext.com/case/state-v-soliz-24" TargetMode="External"/><Relationship Id="rId2366" Type="http://schemas.openxmlformats.org/officeDocument/2006/relationships/hyperlink" Target="https://codes.ohio.gov/ohio-revised-code/section-4765.49" TargetMode="External"/><Relationship Id="rId2573" Type="http://schemas.openxmlformats.org/officeDocument/2006/relationships/hyperlink" Target="https://public.fastcase.com/Wl%2B2t%2BeVuI35%2FN70vAMFZkQk422sTW9%2BWIlpk%2BnE1B7e7DrNn16tDd9SfmLDmtL4" TargetMode="External"/><Relationship Id="rId2780" Type="http://schemas.openxmlformats.org/officeDocument/2006/relationships/hyperlink" Target="https://www.firehouse.com/careers-education/article/12253067/altruism-and-the-fire-service-firefighter-education" TargetMode="External"/><Relationship Id="rId100" Type="http://schemas.openxmlformats.org/officeDocument/2006/relationships/hyperlink" Target="https://public.fastcase.com/jaEE2PXzRXmZ99jOLMt1IvQQ%2FwWODLAEJBukBPNCALgft0sHziy1G1EiNPA2la2I%2Bz7mV9PFJnpwehw24IHtnmGvfRX%2FCWFczT3vlKR%2B0P0%3D?utm_medium=email&amp;_hsenc=p2ANqtz--SWSAGzwwNdnG_VMPYwGihlDivIcGecVdTRk_nr30XIo07pFHIeVloVzlVGarTG9brlCuLB39_kFjuWt_H_cWvO7FD4A&amp;_hsmi=226712652&amp;utm_content=226712652&amp;utm_source=hs_email" TargetMode="External"/><Relationship Id="rId338" Type="http://schemas.openxmlformats.org/officeDocument/2006/relationships/hyperlink" Target="https://public.fastcase.com/Wl%2B2t%2BeVuI35%2FN70vAMFZiMSkjeFjM9WB95jitKYLwuiXut%2FEoidjwwdPtdsEj9z" TargetMode="External"/><Relationship Id="rId545" Type="http://schemas.openxmlformats.org/officeDocument/2006/relationships/hyperlink" Target="https://www.delawareonline.com/story/news/local/2016/12/01/ardythe-hope-firefighter-injured-canby-park-blaze-dies/94758432/" TargetMode="External"/><Relationship Id="rId752" Type="http://schemas.openxmlformats.org/officeDocument/2006/relationships/hyperlink" Target="mailto:departmentofhomelandsecurity@messages.dhs.gov" TargetMode="External"/><Relationship Id="rId1175" Type="http://schemas.openxmlformats.org/officeDocument/2006/relationships/hyperlink" Target="https://casetext.com/case/coaxum-v-bd-of-trs" TargetMode="External"/><Relationship Id="rId1382" Type="http://schemas.openxmlformats.org/officeDocument/2006/relationships/hyperlink" Target="https://media.ca7.uscourts.gov/cgi-bin/rssExec.pl?Submit=Display&amp;Path=Y2022/D07-12/C:21-2784:J:PerCuriam:aut:T:npDp:N:2902357:S:0" TargetMode="External"/><Relationship Id="rId2019" Type="http://schemas.openxmlformats.org/officeDocument/2006/relationships/hyperlink" Target="https://www.npr.org/2021/11/23/1058539458/a-jury-in-ohio-says-americas-big-pharmacy-chains-are-liable-for-the-opioid-epide" TargetMode="External"/><Relationship Id="rId2226" Type="http://schemas.openxmlformats.org/officeDocument/2006/relationships/hyperlink" Target="https://casetext.com/case/reid-v-med-ctr-healthems" TargetMode="External"/><Relationship Id="rId2433" Type="http://schemas.openxmlformats.org/officeDocument/2006/relationships/hyperlink" Target="https://cases.justia.com/texas/first-court-of-appeals/2019-01-19-00450-cv.pdf?ts=1577798110" TargetMode="External"/><Relationship Id="rId2640" Type="http://schemas.openxmlformats.org/officeDocument/2006/relationships/hyperlink" Target="https://www.mass.gov/doc/bailey-casley-v-boston-fire-department-62724/download" TargetMode="External"/><Relationship Id="rId2878" Type="http://schemas.openxmlformats.org/officeDocument/2006/relationships/hyperlink" Target="https://d.docs.live.net/bd9b2eaf6053242e/AppData/Roaming/Microsoft/AppData/Local/Microsoft/Windows/INetCache/IE/7HZ56W7X/16-170.pdf" TargetMode="External"/><Relationship Id="rId405" Type="http://schemas.openxmlformats.org/officeDocument/2006/relationships/hyperlink" Target="https://www.casemine.com/judgement/us/6a36782a174bb89f9fdb2fa9" TargetMode="External"/><Relationship Id="rId612" Type="http://schemas.openxmlformats.org/officeDocument/2006/relationships/hyperlink" Target="https://cases.justia.com/kentucky/court-of-appeals/2019-2019-ca-000504-wc.pdf?ts=1562940239" TargetMode="External"/><Relationship Id="rId1035" Type="http://schemas.openxmlformats.org/officeDocument/2006/relationships/hyperlink" Target="https://cases.justia.com/louisiana/fourth-circuit-court-of-appeal/2020-2019-ca-0250.pdf?ts=1578564502" TargetMode="External"/><Relationship Id="rId1242" Type="http://schemas.openxmlformats.org/officeDocument/2006/relationships/hyperlink" Target="https://cbcny.org/research/pension-reform-firefighters-will-not-be-running-burning-buildings-age-65" TargetMode="External"/><Relationship Id="rId1687" Type="http://schemas.openxmlformats.org/officeDocument/2006/relationships/hyperlink" Target="https://www.iafc.org/docs/default-source/1safehealthshs/vws_rrkit_nfpa-1582.pdf?sfvrsn=ca9b9f0d_4" TargetMode="External"/><Relationship Id="rId1894" Type="http://schemas.openxmlformats.org/officeDocument/2006/relationships/hyperlink" Target="http://www.firefighterovertime.org/wp-content/uploads/2021/04/KC-MO-FF-FLSA-Complaint-1.pdf" TargetMode="External"/><Relationship Id="rId2500" Type="http://schemas.openxmlformats.org/officeDocument/2006/relationships/hyperlink" Target="https://cases.justia.com/federal/district-courts/kentucky/kyedce/5:2024cv00129/104855/29/0.pdf?ts=1778093974" TargetMode="External"/><Relationship Id="rId2738" Type="http://schemas.openxmlformats.org/officeDocument/2006/relationships/hyperlink" Target="https://www.cbsnews.com/miami/news/florida-supreme-court-turns-down-miami-firefighter-defamation-case/" TargetMode="External"/><Relationship Id="rId2945" Type="http://schemas.openxmlformats.org/officeDocument/2006/relationships/hyperlink" Target="https://www.nycourts.gov/ctapps/Decisions/2022/Dec22/96opn22-Decision.pdf%20\" TargetMode="External"/><Relationship Id="rId917" Type="http://schemas.openxmlformats.org/officeDocument/2006/relationships/hyperlink" Target="https://firstamendmentwatch.org/10th-circuit-court-of-appeals-upholds-public-right-to-record-police/" TargetMode="External"/><Relationship Id="rId1102" Type="http://schemas.openxmlformats.org/officeDocument/2006/relationships/hyperlink" Target="https://www.iamresponding.com/" TargetMode="External"/><Relationship Id="rId1547" Type="http://schemas.openxmlformats.org/officeDocument/2006/relationships/hyperlink" Target="https://www.cincinnati-oh.gov/hr/eligible-lists1/promotional/fire-lieutenant/" TargetMode="External"/><Relationship Id="rId1754" Type="http://schemas.openxmlformats.org/officeDocument/2006/relationships/hyperlink" Target="https://www.iafc.org/docs/default-source/1vcos/vws_rrkit_nfpa-1582.pdf?sfvrsn=ca9b9f0d_2" TargetMode="External"/><Relationship Id="rId1961" Type="http://schemas.openxmlformats.org/officeDocument/2006/relationships/hyperlink" Target="https://www.supremecourt.gov/opinions/25pdf/24-1234_g2bh.pdf" TargetMode="External"/><Relationship Id="rId2805" Type="http://schemas.openxmlformats.org/officeDocument/2006/relationships/hyperlink" Target="https://www.supremecourt.ohio.gov/rod/docs/pdf/4/2020/2020-Ohio-5615.pdf" TargetMode="External"/><Relationship Id="rId46" Type="http://schemas.openxmlformats.org/officeDocument/2006/relationships/hyperlink" Target="https://ecf.ca8.uscourts.gov/opndir/26/04/242159P.pdf" TargetMode="External"/><Relationship Id="rId1407" Type="http://schemas.openxmlformats.org/officeDocument/2006/relationships/hyperlink" Target="https://www.1011now.com/2024/02/05/city-lincoln-settles-lfr-sexual-discrimination-lawsuits-900000/" TargetMode="External"/><Relationship Id="rId1614" Type="http://schemas.openxmlformats.org/officeDocument/2006/relationships/hyperlink" Target="https://www.supremecourt.ohio.gov/rod/docs/pdf/0/2009/2009-ohio-2597.pdf" TargetMode="External"/><Relationship Id="rId1821" Type="http://schemas.openxmlformats.org/officeDocument/2006/relationships/hyperlink" Target="https://natlawreview.com/article/wage-and-hour-watch-regular-rate-pay-primer-employers" TargetMode="External"/><Relationship Id="rId195" Type="http://schemas.openxmlformats.org/officeDocument/2006/relationships/hyperlink" Target="https://casetext.com/case/people-v-smith-9160" TargetMode="External"/><Relationship Id="rId1919" Type="http://schemas.openxmlformats.org/officeDocument/2006/relationships/hyperlink" Target="https://www.leagle.com/decision/infco20170803124" TargetMode="External"/><Relationship Id="rId2083" Type="http://schemas.openxmlformats.org/officeDocument/2006/relationships/hyperlink" Target="https://www.dccourts.gov/sites/default/files/2026-05/Dargan%20%20v.%20D.C.%20Office%20of%20Employee%20Appeals.%2024-CV-1001.pdf" TargetMode="External"/><Relationship Id="rId2290" Type="http://schemas.openxmlformats.org/officeDocument/2006/relationships/hyperlink" Target="https://juddocumentservice.mt.gov/getDocByCTrackId?DocId=398159" TargetMode="External"/><Relationship Id="rId2388" Type="http://schemas.openxmlformats.org/officeDocument/2006/relationships/hyperlink" Target="https://casetext.com/case/benny-v-concord-partners-46th-st-llc-2" TargetMode="External"/><Relationship Id="rId2595" Type="http://schemas.openxmlformats.org/officeDocument/2006/relationships/hyperlink" Target="https://public.fastcase.com/Jhe1Qn%2BmJndQYQU6z%2FeNm3RLKGFsbQlAsBqB9VhMFs2nZMI7aE%2FIShB44KF9EqBQKmmg8N3891QmvqmW%2BMZDam9ilv3NugS0h%2BpZi%2Fk7hiQ%3D?utm_medium=email&amp;_hsenc=p2ANqtz-_qvf43POBmVQiVEBt1NpS2Cd7hySyRJuodRhGUkD9Bvbh003R5OBMdHybHEnV3pYTykcRlBIKt2a5HMm-whLhOvyvCcA&amp;_hsmi=226712652&amp;utm_content=226712652&amp;utm_source=hs_email" TargetMode="External"/><Relationship Id="rId262" Type="http://schemas.openxmlformats.org/officeDocument/2006/relationships/hyperlink" Target="https://public.fastcase.com/9SKwsfNqTc6OieYDhNMyM6jgODeMvtNo11ZvDvT9dExI019FDNN4wp%2BIWQLSUMw%2BxfaNzZaXSMuB0brgu1SRuIg3s6kJiaNRSylEv%2FkVP98%3D" TargetMode="External"/><Relationship Id="rId567" Type="http://schemas.openxmlformats.org/officeDocument/2006/relationships/hyperlink" Target="https://www.953mnc.com/2021/07/19/iu-wins-court-case-can-proceed-with-covid-19-vaccine-requirement/" TargetMode="External"/><Relationship Id="rId1197" Type="http://schemas.openxmlformats.org/officeDocument/2006/relationships/hyperlink" Target="https://ilcourtsaudio.blob.core.windows.net/antilles-resources/resources/2cab1835-a4bd-4f15-be52-5bbea6ed2024/Roselle%20v.%20BOT%20of%20the%20Roselle%20Firefighters%20Pension%20Fund,%202021%20IL%20App%20(2d)%20200360.pdf" TargetMode="External"/><Relationship Id="rId2150" Type="http://schemas.openxmlformats.org/officeDocument/2006/relationships/hyperlink" Target="https://cases.justia.com/federal/district-courts/minnesota/mndce/0:2022cv00602/199430/91/0.pdf?ts=1737802391" TargetMode="External"/><Relationship Id="rId2248" Type="http://schemas.openxmlformats.org/officeDocument/2006/relationships/hyperlink" Target="https://casetext.com/case/people-v-finley-127" TargetMode="External"/><Relationship Id="rId122" Type="http://schemas.openxmlformats.org/officeDocument/2006/relationships/hyperlink" Target="https://cases.justia.com/ohio/seventh-district-court-of-appeals/2024-24-be-0004.pdf?ts=1730297340" TargetMode="External"/><Relationship Id="rId774" Type="http://schemas.openxmlformats.org/officeDocument/2006/relationships/hyperlink" Target="https://www.thestate.com/news/local/crime/article253733108.html" TargetMode="External"/><Relationship Id="rId981" Type="http://schemas.openxmlformats.org/officeDocument/2006/relationships/hyperlink" Target="https://ilcourtsaudio.blob.core.windows.net/antilles-resources/resources/95e9af0e-d4e6-4f14-9f68-6c313ea57cfa/Postula%20v.%20Blackard,%202025%20IL%20App%20(3d)%20240464-U.pdf" TargetMode="External"/><Relationship Id="rId1057" Type="http://schemas.openxmlformats.org/officeDocument/2006/relationships/hyperlink" Target="https://public.fastcase.com/Jhe1Qn%2BmJndQYQU6z%2FeNm3BZXxMtfKvDKUuuTsV2npm66ieHwlmdQlB7eZ5vGA8QuOESb%2F3K1RQvpQEkPuEDUbGjL%2Fa81lCq0WbwpmSle%2Fs%3D?utm_medium=email&amp;_hsenc=p2ANqtz-_5eDAf6zJHZ3x5XTDJZmK3o4KVQ_64dEa2tiItnjUQH6kGchr0D5wuvNQXhbtIIPVnIy-jvGCDQGSZmLLj65ZPiQLHfg&amp;_hsmi=226712652&amp;utm_content=226712652&amp;utm_source=hs_email" TargetMode="External"/><Relationship Id="rId2010" Type="http://schemas.openxmlformats.org/officeDocument/2006/relationships/hyperlink" Target="https://www.supremecourt.gov/docket/docketfiles/html/public/20-7934.html" TargetMode="External"/><Relationship Id="rId2455" Type="http://schemas.openxmlformats.org/officeDocument/2006/relationships/hyperlink" Target="http://www.pacourts.us/assets/opinions/Superior/out/memorandum%20%20affirmed%20%2010388943251531544.pdf" TargetMode="External"/><Relationship Id="rId2662" Type="http://schemas.openxmlformats.org/officeDocument/2006/relationships/hyperlink" Target="https://www.wtol.com/article/news/crime/port-clinton-fire-chief-kent-johnson-sentenced-to-jail-for-sexual-harassment-case/512-0facde5b-63e1-457e-9908-521ed4a422af" TargetMode="External"/><Relationship Id="rId427" Type="http://schemas.openxmlformats.org/officeDocument/2006/relationships/hyperlink" Target="https://www.hbsslaw.com/press/pfas-firefighter-turnout-gear/montana-court-denies-motions-to-dismiss-class-action-lawsuit-fighting-pfas-in-firefighter-turnout-gear" TargetMode="External"/><Relationship Id="rId634" Type="http://schemas.openxmlformats.org/officeDocument/2006/relationships/hyperlink" Target="https://www.ca10.uscourts.gov/opinions/14/14-3157.pdf" TargetMode="External"/><Relationship Id="rId841" Type="http://schemas.openxmlformats.org/officeDocument/2006/relationships/hyperlink" Target="https://cdn.ca9.uscourts.gov/datastore/opinions/2020/02/28/19-15716.pdf" TargetMode="External"/><Relationship Id="rId1264" Type="http://schemas.openxmlformats.org/officeDocument/2006/relationships/hyperlink" Target="https://courts.illinois.gov/opinions/SupremeCourt/2012/110012.pdf" TargetMode="External"/><Relationship Id="rId1471" Type="http://schemas.openxmlformats.org/officeDocument/2006/relationships/hyperlink" Target="https://scholar.google.com/scholar_case?case=1979118509333189928&amp;q=Rachel+MOSBY+v.+CITY+OF+BYRON,+GEORGIA,&amp;hl=en&amp;as_sdt=6,36" TargetMode="External"/><Relationship Id="rId1569" Type="http://schemas.openxmlformats.org/officeDocument/2006/relationships/hyperlink" Target="https://nola.gov/getattachment/e3454bbc-a629-43a1-b296-8d99f21a3e04/Dyer,-Varrick-9485/" TargetMode="External"/><Relationship Id="rId2108" Type="http://schemas.openxmlformats.org/officeDocument/2006/relationships/hyperlink" Target="https://www.govinfo.gov/content/pkg/USCOURTS-mied-1_19-cr-20167/pdf/USCOURTS-mied-1_19-cr-20167-2.pdf" TargetMode="External"/><Relationship Id="rId2315" Type="http://schemas.openxmlformats.org/officeDocument/2006/relationships/hyperlink" Target="https://public.fastcase.com/waZtJvSA54UAurM2rmIZzwvOxdABv7XvwmmlDXNvdvn51CTV3NslG6Rw0yioxZXL%2BjJOhhNAJF%2FpIN8S52jcKAcJWCdsLYpOkU1PQ4W0%2BbA%3D" TargetMode="External"/><Relationship Id="rId2522" Type="http://schemas.openxmlformats.org/officeDocument/2006/relationships/hyperlink" Target="https://cases.justia.com/arizona/court-of-appeals-division-one-unpublished/2024-1-ca-ic-23-0013.pdf?ts=1727375455" TargetMode="External"/><Relationship Id="rId2967" Type="http://schemas.openxmlformats.org/officeDocument/2006/relationships/hyperlink" Target="https://casetext.com/case/in-re-ryan-542034" TargetMode="External"/><Relationship Id="rId701" Type="http://schemas.openxmlformats.org/officeDocument/2006/relationships/hyperlink" Target="https://casetext.com/case/souverneva-v-the-superior-court" TargetMode="External"/><Relationship Id="rId939" Type="http://schemas.openxmlformats.org/officeDocument/2006/relationships/hyperlink" Target="https://public.fastcase.com/9SKwsfNqTc6OieYDhNMyM6VI9jzZ8Wjh0KgpobjMibbiOoRUyOE%2BZu2RC4EQbfMf" TargetMode="External"/><Relationship Id="rId1124" Type="http://schemas.openxmlformats.org/officeDocument/2006/relationships/hyperlink" Target="https://ilcourtsaudio.blob.core.windows.net/antilles-resources/resources/6872cb37-ae61-4b36-815c-de4cd8130990/Sobczyk%20v.%20Board%20of%20Trustees%20of%20the%20Rockford%20Firefighters%e2%80%99%20Pension%20Fund,%202024%20IL%20App%20(4th)%20240261-U.pdf" TargetMode="External"/><Relationship Id="rId1331" Type="http://schemas.openxmlformats.org/officeDocument/2006/relationships/hyperlink" Target="https://www.courierpostonline.com/story/news/2019/05/14/terremce-crowder-camden-fire-department-deputy-chief-loses-disability-benefits-dispute/1194598001/" TargetMode="External"/><Relationship Id="rId1776" Type="http://schemas.openxmlformats.org/officeDocument/2006/relationships/hyperlink" Target="https://cases.justia.com/federal/district-courts/south-carolina/scdce/0:2024cv00826/288831/46/0.pdf" TargetMode="External"/><Relationship Id="rId1983" Type="http://schemas.openxmlformats.org/officeDocument/2006/relationships/hyperlink" Target="https://casetext.com/statute/montana-code/title-2-government-structure-and-administration/chapter-4-administrative-procedure-act/part-7-judicial-review-of-contested-cases/section-2-4-702-effective-until-1012025-initiating-judicial-review-of-contested-cases" TargetMode="External"/><Relationship Id="rId2827" Type="http://schemas.openxmlformats.org/officeDocument/2006/relationships/hyperlink" Target="https://www.dmlp.org/legal-guide/recording-phone-calls-and-conversations" TargetMode="External"/><Relationship Id="rId68" Type="http://schemas.openxmlformats.org/officeDocument/2006/relationships/hyperlink" Target="https://www.voltacharger.com/blogs/news/what-causes-phone-chargers-to-explode-and-how-to-avoid-it?srsltid=AfmBOor-D0Mt5iX7UDwb-r4sqdnXak-6s4LPkG62kZWVkLQCSPJSBjBB" TargetMode="External"/><Relationship Id="rId1429" Type="http://schemas.openxmlformats.org/officeDocument/2006/relationships/hyperlink" Target="https://www.dol.gov/sites/dolgov/files/WHD/flsa/PUMP-act_hr2617.pdf" TargetMode="External"/><Relationship Id="rId1636" Type="http://schemas.openxmlformats.org/officeDocument/2006/relationships/hyperlink" Target="https://casetext.com/case/alston-v-spiegel" TargetMode="External"/><Relationship Id="rId1843" Type="http://schemas.openxmlformats.org/officeDocument/2006/relationships/hyperlink" Target="https://www.ecfr.gov/current/title-29/section-778.224" TargetMode="External"/><Relationship Id="rId1703" Type="http://schemas.openxmlformats.org/officeDocument/2006/relationships/hyperlink" Target="https://www.mspb.gov/decisions/nonprecedential/Remillard_MauricePH-0752-20-0259-I-1_Final_Order.pdf" TargetMode="External"/><Relationship Id="rId1910" Type="http://schemas.openxmlformats.org/officeDocument/2006/relationships/hyperlink" Target="https://casetext.com/case/miller-v-city-of-indianapolis" TargetMode="External"/><Relationship Id="rId284" Type="http://schemas.openxmlformats.org/officeDocument/2006/relationships/hyperlink" Target="https://www.wicourts.gov/ca/opinion/DisplayDocument.pdf?content=pdf&amp;seqNo=342440" TargetMode="External"/><Relationship Id="rId491" Type="http://schemas.openxmlformats.org/officeDocument/2006/relationships/hyperlink" Target="https://www.pacourts.us/assets/opinions/Superior/out/J-S40043-23m%20-%20105940494266483578.pdf?cb=1" TargetMode="External"/><Relationship Id="rId2172" Type="http://schemas.openxmlformats.org/officeDocument/2006/relationships/hyperlink" Target="https://stlouiscriminaldefense.com/practice-areas/st-louis-murder-defense-attorney/" TargetMode="External"/><Relationship Id="rId3016" Type="http://schemas.openxmlformats.org/officeDocument/2006/relationships/hyperlink" Target="https://casetext.com/statute/united-states-code/title-5-government-organization-and-employees/part-i-the-agencies-generally/chapter-7-judicial-review/section-706-scope-of-review" TargetMode="External"/><Relationship Id="rId144" Type="http://schemas.openxmlformats.org/officeDocument/2006/relationships/hyperlink" Target="https://www.law.cornell.edu/wex/hearsay" TargetMode="External"/><Relationship Id="rId589" Type="http://schemas.openxmlformats.org/officeDocument/2006/relationships/hyperlink" Target="https://www.oscn.net/applications/oscn/deliverdocument.asp?citeid=486529" TargetMode="External"/><Relationship Id="rId796" Type="http://schemas.openxmlformats.org/officeDocument/2006/relationships/hyperlink" Target="https://www.law.cornell.edu/uscode/text/8/1229b" TargetMode="External"/><Relationship Id="rId2477" Type="http://schemas.openxmlformats.org/officeDocument/2006/relationships/hyperlink" Target="https://scholar.google.com/scholar_case?case=10284773024569378667&amp;hl=en&amp;as_sdt=6&amp;as_vis=1&amp;oi=scholarr" TargetMode="External"/><Relationship Id="rId2684" Type="http://schemas.openxmlformats.org/officeDocument/2006/relationships/hyperlink" Target="https://www.wvsd.uscourts.gov/sites/wvsd/files/opinions/MOO_20250102_5_22-cr-00182.pdf" TargetMode="External"/><Relationship Id="rId351" Type="http://schemas.openxmlformats.org/officeDocument/2006/relationships/hyperlink" Target="https://law.justia.com/cases/federal/appellate-courts/ca7/17-3030/17-3030-2018-08-22.html" TargetMode="External"/><Relationship Id="rId449" Type="http://schemas.openxmlformats.org/officeDocument/2006/relationships/hyperlink" Target="https://cases.justia.com/federal/appellate-courts/ca3/23-3265/23-3265-2025-05-30.pdf?ts=1748624416" TargetMode="External"/><Relationship Id="rId656" Type="http://schemas.openxmlformats.org/officeDocument/2006/relationships/hyperlink" Target="https://public.fastcase.com/Jhe1Qn%2BmJndQYQU6z%2FeNm525CuDWbNdyVkYCPMsZ0T5YpmzSSkpneXijYslIbSF5OmudrAoxw3Ae8PMhEMNZsP67fNH%2FZ%2FwnrBtLVmm5SAU%3D?utm_medium=email&amp;_hsenc=p2ANqtz-9semzM2ZQJ5MEhp_UWNRAg9Ejc_wupFqaRucLy6fQyzUPCHHSZ-OwHACqIjxggJtdwV9jTjO8a6Rf4TL88Oco6y4mJgQ&amp;_hsmi=226712652&amp;utm_content=226712652&amp;utm_source=hs_email" TargetMode="External"/><Relationship Id="rId863" Type="http://schemas.openxmlformats.org/officeDocument/2006/relationships/hyperlink" Target="http://www.paed.uscourts.gov/documents/opinions/18D0391P.pdf" TargetMode="External"/><Relationship Id="rId1079" Type="http://schemas.openxmlformats.org/officeDocument/2006/relationships/hyperlink" Target="https://www.kvoa.com/news/arizona/arizona-supreme-court-rules-in-favor-of-firefighter-in-compensation-claim/article_63a696b0-5894-4bcc-94e3-966091411b00.html" TargetMode="External"/><Relationship Id="rId1286" Type="http://schemas.openxmlformats.org/officeDocument/2006/relationships/hyperlink" Target="https://law.justia.com/codes/ohio/2006/orc/jd_14943-4d7.html" TargetMode="External"/><Relationship Id="rId1493" Type="http://schemas.openxmlformats.org/officeDocument/2006/relationships/hyperlink" Target="https://cases.justia.com/federal/district-courts/illinois/ilndce/1:2016cv10156/332956/114/0.pdf?ts=1547636381" TargetMode="External"/><Relationship Id="rId2032" Type="http://schemas.openxmlformats.org/officeDocument/2006/relationships/hyperlink" Target="https://law.justia.com/cases/federal/appellate-courts/ca3/20-1422/20-1422-2021-01-12.html" TargetMode="External"/><Relationship Id="rId2337" Type="http://schemas.openxmlformats.org/officeDocument/2006/relationships/hyperlink" Target="https://www.cbsnews.com/news/los-angeles-settlement-families-photos-kobe-bryant-helicopter-crash/" TargetMode="External"/><Relationship Id="rId2544" Type="http://schemas.openxmlformats.org/officeDocument/2006/relationships/hyperlink" Target="https://law.justia.com/cases/louisiana/second-circuit-court-of-appeal/2023/54-841-ca.html" TargetMode="External"/><Relationship Id="rId2891" Type="http://schemas.openxmlformats.org/officeDocument/2006/relationships/hyperlink" Target="https://public.fastcase.com/Jhe1Qn%2BmJndQYQU6z%2FeNm%2FDGnkNPmF%2FGN9ENyHmXzZguwABevXHo%2FJOs4DZQ3ccvXn%2B8i7GPeSKXZ%2FJuUaa2eSmBPBV%2FroWj%2BWUiix8FppM%3D?utm_medium=email&amp;_hsenc=p2ANqtz-9ln45T61k1McKPYzdFhYaqHVpy9H3-ipNGhojNaHNF5Osr6BUzI4NGniJzh20R42JdVxn_jn5CFBBvjphJmsP_Zy8_gA&amp;_hsmi=226712652&amp;utm_content=226712652&amp;utm_source=hs_email" TargetMode="External"/><Relationship Id="rId2989" Type="http://schemas.openxmlformats.org/officeDocument/2006/relationships/hyperlink" Target="https://www.healthaffairs.org/content/forefront/unpacking-no-surprises-act-opportunity-protect-millions" TargetMode="External"/><Relationship Id="rId211" Type="http://schemas.openxmlformats.org/officeDocument/2006/relationships/hyperlink" Target="https://www.supremecourt.ohio.gov/rod/docs/pdf/0/2021/2021-ohio-2067.pdf" TargetMode="External"/><Relationship Id="rId309" Type="http://schemas.openxmlformats.org/officeDocument/2006/relationships/hyperlink" Target="https://www.hamiltoncountyohio.gov/UserFiles/Servers/Server_3788196/File/Government/Departments/Human%20Resources/Ethics%20in%20Government/HamiltonCountyEthicsBooklet.pdf" TargetMode="External"/><Relationship Id="rId516" Type="http://schemas.openxmlformats.org/officeDocument/2006/relationships/hyperlink" Target="https://www.firehero.org/fallen-firefighter/russell-h-hayes/" TargetMode="External"/><Relationship Id="rId1146" Type="http://schemas.openxmlformats.org/officeDocument/2006/relationships/hyperlink" Target="https://casetext.com/case/marion-cnty-fire-dist-1-v-smith-in-re-smith" TargetMode="External"/><Relationship Id="rId1798" Type="http://schemas.openxmlformats.org/officeDocument/2006/relationships/hyperlink" Target="https://public.fastcase.com/Jhe1Qn%2BmJndQYQU6z%2FeNm%2F%2Bb9tDy%2BB1V4igtWVlHjvKcU%2FnEQkKgvsTuIdmJf7S6TLQrLMKDMyDhy29fvRmn0B54%2B%2FamKhKvK55eX0VsHHI%3D?utm_medium=email&amp;_hsenc=p2ANqtz-_Gg5RXNpIci3yukYVP6b7sh5gmOKa0GsZOAMvLT2R41U8XgM5hohZBV9wwMQTg4BgeHRSn6k2S_n_HEfm4oxMP2E6DqA&amp;_hsmi=226712652&amp;utm_content=226712652&amp;utm_source=hs_email" TargetMode="External"/><Relationship Id="rId2751" Type="http://schemas.openxmlformats.org/officeDocument/2006/relationships/hyperlink" Target="https://www.cbc.ca/news/canada/edmonton/fires-set-by-firefighters-a-long-standing-problem-experts-say-1.3563183" TargetMode="External"/><Relationship Id="rId2849" Type="http://schemas.openxmlformats.org/officeDocument/2006/relationships/hyperlink" Target="https://apps.fastcase.com/Research/Pages/Document.aspx?LTID=ymjJQ%2bnA3gcD0uwW%2fXT8m74LrRSQo4n%2fvIMvSs06sm8gvhQE4Uja7b0PnhuF%2f4C2xuQogpx6q5d2KkmcmH7G9BxVUizxwq9%2bCSXj%2fVTkPcKayiYbCxXnu3qAsQnurF1%2fEGlhVwGun1DCyEjfhN2WDA%3d%3d" TargetMode="External"/><Relationship Id="rId723" Type="http://schemas.openxmlformats.org/officeDocument/2006/relationships/hyperlink" Target="https://research.wisc.edu/uncategorized/2023/07/13/federal-interim-rule-implements-tiktok-ban-on-devices-used-in-the-performance-of-federal-contracts/" TargetMode="External"/><Relationship Id="rId930" Type="http://schemas.openxmlformats.org/officeDocument/2006/relationships/hyperlink" Target="https://cdn.ca9.uscourts.gov/datastore/opinions/2021/12/17/20-35868.pdf" TargetMode="External"/><Relationship Id="rId1006" Type="http://schemas.openxmlformats.org/officeDocument/2006/relationships/hyperlink" Target="https://codes.ohio.gov/ohio-revised-code/section-4511.03" TargetMode="External"/><Relationship Id="rId1353" Type="http://schemas.openxmlformats.org/officeDocument/2006/relationships/hyperlink" Target="http://tkolb.net/firereports/presumptionreport2009.pdf" TargetMode="External"/><Relationship Id="rId1560" Type="http://schemas.openxmlformats.org/officeDocument/2006/relationships/hyperlink" Target="https://www.justsecurity.org/wp-content/uploads/2025/02/National-Association-of-Diversity-Officers-in-Higher-Education-v.-Trump-feb-21-2025.pdf" TargetMode="External"/><Relationship Id="rId1658" Type="http://schemas.openxmlformats.org/officeDocument/2006/relationships/hyperlink" Target="https://public.fastcase.com/Wl%2B2t%2BeVuI35%2FN70vAMFZtTeqjzzEnlP0E9gnOJzg5Beu%2B8e3Ta9mPaMkCNr0Gg4" TargetMode="External"/><Relationship Id="rId1865" Type="http://schemas.openxmlformats.org/officeDocument/2006/relationships/hyperlink" Target="https://www.littler.com/publication-press/publication/sixth-circuit-establishes-stricter-standard-granting-notice-flsa" TargetMode="External"/><Relationship Id="rId2404" Type="http://schemas.openxmlformats.org/officeDocument/2006/relationships/hyperlink" Target="https://www.hannah.com/ShowDocument.aspx?BTextID=219206" TargetMode="External"/><Relationship Id="rId2611" Type="http://schemas.openxmlformats.org/officeDocument/2006/relationships/hyperlink" Target="https://caselaw.findlaw.com/court/co-supreme-court/111256.html" TargetMode="External"/><Relationship Id="rId2709" Type="http://schemas.openxmlformats.org/officeDocument/2006/relationships/hyperlink" Target="https://www.courts.ca.gov/opinions/nonpub/C096135.PDF" TargetMode="External"/><Relationship Id="rId1213" Type="http://schemas.openxmlformats.org/officeDocument/2006/relationships/hyperlink" Target="https://www.opn.ca6.uscourts.gov/opinions.pdf/21a0204p-06.pdf" TargetMode="External"/><Relationship Id="rId1420" Type="http://schemas.openxmlformats.org/officeDocument/2006/relationships/hyperlink" Target="https://cases.justia.com/federal/district-courts/illinois/ilndce/1:2016cv10156/332956/258/0.pdf?ts=1582820345" TargetMode="External"/><Relationship Id="rId1518" Type="http://schemas.openxmlformats.org/officeDocument/2006/relationships/hyperlink" Target="https://www.ca1.uscourts.gov/sites/ca1/files/opnfiles/24-1720P-01A.pdf" TargetMode="External"/><Relationship Id="rId2916" Type="http://schemas.openxmlformats.org/officeDocument/2006/relationships/hyperlink" Target="https://www.supremecourt.ohio.gov/rod/docs/pdf/8/2024/2024-Ohio-3018.pdf" TargetMode="External"/><Relationship Id="rId1725" Type="http://schemas.openxmlformats.org/officeDocument/2006/relationships/hyperlink" Target="https://www.supremecourt.gov/opinions/22pdf/22-174_k536.pdf" TargetMode="External"/><Relationship Id="rId1932" Type="http://schemas.openxmlformats.org/officeDocument/2006/relationships/hyperlink" Target="https://www.justice.gov/servicemembers" TargetMode="External"/><Relationship Id="rId17" Type="http://schemas.openxmlformats.org/officeDocument/2006/relationships/hyperlink" Target="https://scholar.uc.edu/show/dn39x307g" TargetMode="External"/><Relationship Id="rId2194" Type="http://schemas.openxmlformats.org/officeDocument/2006/relationships/hyperlink" Target="https://casetext.com/statute/united-states-code/title-28-judiciary-and-judicial-procedure/part-v-procedure/chapter-123-fees-and-costs/section-1920-taxation-of-costs" TargetMode="External"/><Relationship Id="rId3038" Type="http://schemas.openxmlformats.org/officeDocument/2006/relationships/hyperlink" Target="https://urldefense.com/v3/__https:/www.congress.gov/bill/117th-congress/house-bill/2936?r=5&amp;s=1__;!!Bg5easoyC-OII2vlEqY8mTBrtW-N4OJKAQ!emPJ4la1tXumEvgbQHWWkqIJXSqd8F6eECBBP8LY2twTexz4LKxtEOPGOo9tKXCW3_TJ6neddA$" TargetMode="External"/><Relationship Id="rId166" Type="http://schemas.openxmlformats.org/officeDocument/2006/relationships/hyperlink" Target="https://cases.justia.com/michigan/court-of-appeals-published/2024-364264.pdf?ts=1708092018" TargetMode="External"/><Relationship Id="rId373" Type="http://schemas.openxmlformats.org/officeDocument/2006/relationships/hyperlink" Target="https://www.wicourts.gov/sc/opinion/DisplayDocument.pdf?content=pdf&amp;seqNo=224718" TargetMode="External"/><Relationship Id="rId580" Type="http://schemas.openxmlformats.org/officeDocument/2006/relationships/hyperlink" Target="https://www2.ca3.uscourts.gov/opinarch/192938p.pdf" TargetMode="External"/><Relationship Id="rId2054" Type="http://schemas.openxmlformats.org/officeDocument/2006/relationships/hyperlink" Target="https://www.njcourts.gov/system/files/court-opinions/2026/a1374-24.pdf" TargetMode="External"/><Relationship Id="rId2261" Type="http://schemas.openxmlformats.org/officeDocument/2006/relationships/hyperlink" Target="https://www.cbsnews.com/newyork/news/judge-strikes-down-pba-vaccine-mandate-orders-new-york-city-to-reinstate-unvaccinated-members/" TargetMode="External"/><Relationship Id="rId2499" Type="http://schemas.openxmlformats.org/officeDocument/2006/relationships/hyperlink" Target="https://www.njcourts.gov/system/files/court-opinions/2026/a0161-24.pdf" TargetMode="External"/><Relationship Id="rId1" Type="http://schemas.openxmlformats.org/officeDocument/2006/relationships/customXml" Target="../customXml/item1.xml"/><Relationship Id="rId233" Type="http://schemas.openxmlformats.org/officeDocument/2006/relationships/hyperlink" Target="https://ecf.ca8.uscourts.gov/opndir/22/05/212146P.pdf" TargetMode="External"/><Relationship Id="rId440" Type="http://schemas.openxmlformats.org/officeDocument/2006/relationships/hyperlink" Target="https://cases.justia.com/new-york/other-courts/2025-2025-ny-slip-op-33918-u.pdf?ts=1761341322" TargetMode="External"/><Relationship Id="rId678" Type="http://schemas.openxmlformats.org/officeDocument/2006/relationships/hyperlink" Target="https://news.wttw.com/2025/10/16/appeals-court-upholds-federal-judge-s-temporary-order-blocking-national-guard-deployment" TargetMode="External"/><Relationship Id="rId885" Type="http://schemas.openxmlformats.org/officeDocument/2006/relationships/hyperlink" Target="https://caselaw.findlaw.com/court/crt-app-sec-dis-cal-div-fiv/117326152.html" TargetMode="External"/><Relationship Id="rId1070" Type="http://schemas.openxmlformats.org/officeDocument/2006/relationships/hyperlink" Target="https://ecf.ctd.uscourts.gov/cgi-bin/show_public_doc?2025cv0824-74" TargetMode="External"/><Relationship Id="rId2121" Type="http://schemas.openxmlformats.org/officeDocument/2006/relationships/hyperlink" Target="https://cdn.ca9.uscourts.gov/datastore/opinions/2025/09/02/24-1044.pdf" TargetMode="External"/><Relationship Id="rId2359" Type="http://schemas.openxmlformats.org/officeDocument/2006/relationships/hyperlink" Target="https://casetext.com/statute/revised-code-of-washington/title-68-cemeteries-morgues-and-human-remains/chapter-6850-human-remains/section-6850160-right-to-control-disposition-of-remains-liability-of-funeral-establishment-or-cemetery-authority-liability-for-cost" TargetMode="External"/><Relationship Id="rId2566" Type="http://schemas.openxmlformats.org/officeDocument/2006/relationships/hyperlink" Target="https://law.justia.com/cases/new-york/appellate-division-third-department/2021/532779.html" TargetMode="External"/><Relationship Id="rId2773" Type="http://schemas.openxmlformats.org/officeDocument/2006/relationships/hyperlink" Target="https://www.supremecourt.ohio.gov/rod/docs/pdf/8/2022/2022-Ohio-824.pdf" TargetMode="External"/><Relationship Id="rId2980" Type="http://schemas.openxmlformats.org/officeDocument/2006/relationships/hyperlink" Target="https://www.watertowndailytimes.com/news03/lawyer-fees-for-watertown-fire-department-dispute-nearing-800000-20190207" TargetMode="External"/><Relationship Id="rId300" Type="http://schemas.openxmlformats.org/officeDocument/2006/relationships/hyperlink" Target="https://law.justia.com/cases/iowa/court-of-appeals/2021/18-1821.html" TargetMode="External"/><Relationship Id="rId538" Type="http://schemas.openxmlformats.org/officeDocument/2006/relationships/hyperlink" Target="https://www.flmd.uscourts.gov/judges/harvey-schlesinger" TargetMode="External"/><Relationship Id="rId745" Type="http://schemas.openxmlformats.org/officeDocument/2006/relationships/hyperlink" Target="https://www.supremecourt.gov/opinions/22pdf/22a557_0pm1.pdf" TargetMode="External"/><Relationship Id="rId952" Type="http://schemas.openxmlformats.org/officeDocument/2006/relationships/hyperlink" Target="http://www.westvalleyfire.com/default.asp?pageid=188&amp;deptid=1" TargetMode="External"/><Relationship Id="rId1168" Type="http://schemas.openxmlformats.org/officeDocument/2006/relationships/hyperlink" Target="https://public.fastcase.com/J%2FJP6pdidelsXxEE4k%2BLMk0xZflerRl5zZ1fWOEI5mhvpVlhWjp%2F9QDqlOI9DDnF8Aa9%2BfFIJaxfznSW2LItCr2%2FIZnHCYIIWW3H5dl8900%3D?utm_medium=email&amp;_hsmi=226712652&amp;_hsenc=p2ANqtz-9FKeS83U96VoJDZ5OFHU1pICbtYjQvhKtRkoV1KLCJmMon6gHAySjMj0YQylycLU_jnNetJR4aMTbAa4E7Rm7YwE3nmg&amp;utm_content=226712652&amp;utm_source=hs_email" TargetMode="External"/><Relationship Id="rId1375" Type="http://schemas.openxmlformats.org/officeDocument/2006/relationships/hyperlink" Target="https://cases.justia.com/montana/supreme-court/2025-da-24-0672.pdf?ts=1759872027" TargetMode="External"/><Relationship Id="rId1582" Type="http://schemas.openxmlformats.org/officeDocument/2006/relationships/hyperlink" Target="https://public.fastcase.com/H1P9uiW3J20SFp%2BGCG%2BxLZkQf01yoKKyjTHIQ3i58nX%2B%2FAIlJ7l43hvEF8qKhahXQJQ44fkPKDzD6joZ4LsI7iTOFXPdH5%2Fv%2FKD427ldKjE%3D?utm_medium=email&amp;_hsmi=226712652&amp;_hsenc=p2ANqtz-_U89LkNl4P4fsnOucPHRbeGtR2XeKR1phEbD7-UuIt_KCX3oxL0CAr1yX56v7BapUY4ITdG8_rGIJJyhgPBOVmvvkgdg&amp;utm_content=226712652&amp;utm_source=hs_email" TargetMode="External"/><Relationship Id="rId2219" Type="http://schemas.openxmlformats.org/officeDocument/2006/relationships/hyperlink" Target="https://public.fastcase.com/ZZhmr5v9wN%2FXOe5IsQ%2FqDx0vrICWCRjPwrPkFejRzcL5IKaE8Rtd1E1QUMzNRkuXg4QLEVUEQQe1JZ8q921vtt1B6ovVwHeC3EtpH3EMOZQ%3D?utm_medium=email&amp;_hsmi=226712652&amp;_hsenc=p2ANqtz-" TargetMode="External"/><Relationship Id="rId2426" Type="http://schemas.openxmlformats.org/officeDocument/2006/relationships/hyperlink" Target="https://brady-static.s3.amazonaws.com/2020-04-06-29-Order-Denying-TRO-App.pdf" TargetMode="External"/><Relationship Id="rId2633" Type="http://schemas.openxmlformats.org/officeDocument/2006/relationships/hyperlink" Target="https://www.youtube.com/watch?v=5NXiLsCyQwc" TargetMode="External"/><Relationship Id="rId81" Type="http://schemas.openxmlformats.org/officeDocument/2006/relationships/hyperlink" Target="https://www.casemine.com/judgement/us/66cea7f23f1f7c7a89e60871" TargetMode="External"/><Relationship Id="rId605" Type="http://schemas.openxmlformats.org/officeDocument/2006/relationships/hyperlink" Target="https://www.courts.wa.gov/opinions/pdf/778315.pdf" TargetMode="External"/><Relationship Id="rId812" Type="http://schemas.openxmlformats.org/officeDocument/2006/relationships/hyperlink" Target="https://fas.org/sgp/crs/intel/RL32276.pdf" TargetMode="External"/><Relationship Id="rId1028" Type="http://schemas.openxmlformats.org/officeDocument/2006/relationships/hyperlink" Target="https://law.justia.com/cases/michigan/court-of-appeals-unpublished/2020/351871.html" TargetMode="External"/><Relationship Id="rId1235" Type="http://schemas.openxmlformats.org/officeDocument/2006/relationships/hyperlink" Target="https://www.lasc.org/Opinions/2021/20-0693.C.OPN.pdf" TargetMode="External"/><Relationship Id="rId1442" Type="http://schemas.openxmlformats.org/officeDocument/2006/relationships/hyperlink" Target="https://public.fastcase.com/waZtJvSA54UAurM2rmIZzzCYJhAha3GGo3AEN0d5yD5AXzBU0GIzy8sJKIx0m%2BEEHwIyJuWgbxH4Xd2BL4DW9aTliyBT6bOFBbV5rp7%2BS3s%3D" TargetMode="External"/><Relationship Id="rId1887" Type="http://schemas.openxmlformats.org/officeDocument/2006/relationships/hyperlink" Target="https://supreme.justia.com/cases/federal/us/450/728/" TargetMode="External"/><Relationship Id="rId2840" Type="http://schemas.openxmlformats.org/officeDocument/2006/relationships/hyperlink" Target="https://www.opn.ca6.uscourts.gov/opinions.pdf/19a0286p-06.pdf" TargetMode="External"/><Relationship Id="rId2938" Type="http://schemas.openxmlformats.org/officeDocument/2006/relationships/hyperlink" Target="https://apps.nlrb.gov/link/document.aspx/09031d45839af64d" TargetMode="External"/><Relationship Id="rId1302" Type="http://schemas.openxmlformats.org/officeDocument/2006/relationships/hyperlink" Target="http://41af3k34gprx4f6bg12df75i.wpengine.netdna-cdn.com/wp-content/uploads/sites/19/2020/05/Hartman-v.-St.-Bernard-Parish-Fire-Dep_t_-2020-La.-App.pdf" TargetMode="External"/><Relationship Id="rId1747" Type="http://schemas.openxmlformats.org/officeDocument/2006/relationships/hyperlink" Target="https://www.nfpa.org/assets/files/AboutTheCodes/1582/1582_A2017_FIX_AAA_SD_SRStatements.pdf" TargetMode="External"/><Relationship Id="rId1954" Type="http://schemas.openxmlformats.org/officeDocument/2006/relationships/hyperlink" Target="https://flcourts-media.flcourts.gov/content/download/2492932/opinion/Opinion_2025-0115.pdf" TargetMode="External"/><Relationship Id="rId2700" Type="http://schemas.openxmlformats.org/officeDocument/2006/relationships/hyperlink" Target="https://www.courts.nh.gov/sites/g/files/ehbemt471/files/documents/2024-03/20230083stone.pdf" TargetMode="External"/><Relationship Id="rId39" Type="http://schemas.openxmlformats.org/officeDocument/2006/relationships/hyperlink" Target="https://cases.justia.com/michigan/court-of-appeals-unpublished/2026-374887.pdf?ts=1784206805" TargetMode="External"/><Relationship Id="rId1607" Type="http://schemas.openxmlformats.org/officeDocument/2006/relationships/hyperlink" Target="https://abcnews.go.com/US/miami-firefighters-fired-hanging-noose-black-colleagues-family/story?id=50884714" TargetMode="External"/><Relationship Id="rId1814" Type="http://schemas.openxmlformats.org/officeDocument/2006/relationships/hyperlink" Target="https://www.opn.ca6.uscourts.gov/opinions.pdf/19a0114p-06.pdf" TargetMode="External"/><Relationship Id="rId188" Type="http://schemas.openxmlformats.org/officeDocument/2006/relationships/hyperlink" Target="https://www.ca4.uscourts.gov/opinions/224307.P.pdf" TargetMode="External"/><Relationship Id="rId395" Type="http://schemas.openxmlformats.org/officeDocument/2006/relationships/hyperlink" Target="https://www.reuters.com/legal/government/3m-dupont-must-face-connecticut-firefighters-lawsuit-over-forever-chemicals-2026-09-15/" TargetMode="External"/><Relationship Id="rId2076" Type="http://schemas.openxmlformats.org/officeDocument/2006/relationships/hyperlink" Target="https://www.legislature.mi.gov/Laws/MCL?objectName=MCL-691-1405" TargetMode="External"/><Relationship Id="rId2283" Type="http://schemas.openxmlformats.org/officeDocument/2006/relationships/hyperlink" Target="https://law.justia.com/cases/california/court-of-appeal/2022/a162508.html" TargetMode="External"/><Relationship Id="rId2490" Type="http://schemas.openxmlformats.org/officeDocument/2006/relationships/hyperlink" Target="https://codes.findlaw.com/ny/general-municipal-law/gmu-sect-205-a.html" TargetMode="External"/><Relationship Id="rId2588" Type="http://schemas.openxmlformats.org/officeDocument/2006/relationships/hyperlink" Target="https://cases.justia.com/louisiana/fourth-circuit-court-of-appeal/2026-2026-ca-0114.pdf?ts=1790381783" TargetMode="External"/><Relationship Id="rId255" Type="http://schemas.openxmlformats.org/officeDocument/2006/relationships/hyperlink" Target="https://www.mainelegislature.org/legis/statutes/17/title17sec2851.html" TargetMode="External"/><Relationship Id="rId462" Type="http://schemas.openxmlformats.org/officeDocument/2006/relationships/hyperlink" Target="https://storage.courtlistener.com/recap/gov.uscourts.mdd.559142/gov.uscourts.mdd.559142.21.0.pdf" TargetMode="External"/><Relationship Id="rId1092" Type="http://schemas.openxmlformats.org/officeDocument/2006/relationships/hyperlink" Target="file:///C:/Users/lawre/Downloads/25-26180-1.pdf" TargetMode="External"/><Relationship Id="rId1397" Type="http://schemas.openxmlformats.org/officeDocument/2006/relationships/hyperlink" Target="https://codes.ohio.gov/ohio-revised-code/section-4113.71" TargetMode="External"/><Relationship Id="rId2143" Type="http://schemas.openxmlformats.org/officeDocument/2006/relationships/hyperlink" Target="https://www4.courts.ca.gov/opinions/nonpub/B332479.PDF" TargetMode="External"/><Relationship Id="rId2350" Type="http://schemas.openxmlformats.org/officeDocument/2006/relationships/hyperlink" Target="https://codes.ohio.gov/ohio-revised-code/section-4765.49" TargetMode="External"/><Relationship Id="rId2795" Type="http://schemas.openxmlformats.org/officeDocument/2006/relationships/hyperlink" Target="https://appellatecases.courtinfo.ca.gov/search/case/disposition.cfm?dist=0&amp;doc_id=2345572&amp;doc_no=S268086&amp;request_token=NiIwLSEmTkw5W1BRSSItTENJQEg0UDxTJSBeRzJSUCAgCg%3D%3D" TargetMode="External"/><Relationship Id="rId115" Type="http://schemas.openxmlformats.org/officeDocument/2006/relationships/hyperlink" Target="https://casetext.com/case/jones-v-united-states-147" TargetMode="External"/><Relationship Id="rId322" Type="http://schemas.openxmlformats.org/officeDocument/2006/relationships/hyperlink" Target="https://public.fastcase.com/Wl%2B2t%2BeVuI35%2FN70vAMFZsoxzsfdSpYQWUHzr4LGn9%2B%2B5efEeYPRxdC77jaiEbzw" TargetMode="External"/><Relationship Id="rId767" Type="http://schemas.openxmlformats.org/officeDocument/2006/relationships/hyperlink" Target="https://www.supremecourt.gov/opinions/21pdf/21a477_1bo2.pdf" TargetMode="External"/><Relationship Id="rId974" Type="http://schemas.openxmlformats.org/officeDocument/2006/relationships/hyperlink" Target="https://cases.justia.com/texas/first-court-of-appeals/2025-01-24-00936-cv.pdf?ts=1762265344" TargetMode="External"/><Relationship Id="rId2003" Type="http://schemas.openxmlformats.org/officeDocument/2006/relationships/hyperlink" Target="https://public.fastcase.com/J%2FJP6pdidelsXxEE4k%2BLMjguDlksD8dKELdpfFWP9cYBmH83FdbmlTzl%2FYR%2FGHKVJmTrfPX2dR0kqVK5JcTrQwWj0Xyj7G2BHa1wkLBWvR8%3D?utm_medium=email&amp;_hsmi=226712652&amp;_hsenc=p2ANqtz-8X8hd1OyKx9xBVWTYyyRcKWZqDrqGklavKHA9oFy03k-3f0cMxPP9GwSn13jNQOldot2axaAKjxlo1irLgFnquT2grYg&amp;utm_content=226712652&amp;utm_source=hs_email" TargetMode="External"/><Relationship Id="rId2210" Type="http://schemas.openxmlformats.org/officeDocument/2006/relationships/hyperlink" Target="https://casetext.com/case/louis-v-liberty-cnty-emergency-med-servs-3" TargetMode="External"/><Relationship Id="rId2448" Type="http://schemas.openxmlformats.org/officeDocument/2006/relationships/hyperlink" Target="https://www.unitypoint.org/peoria/filesimages/Documents/EMS%20Documents/EMS%20Policies/PROCTOR%20Policy%20Dr.%20Huff%2032%20Patient%20Right%20of%20Refusal.pdf" TargetMode="External"/><Relationship Id="rId2655" Type="http://schemas.openxmlformats.org/officeDocument/2006/relationships/hyperlink" Target="https://cases.justia.com/louisiana/fourth-circuit-court-of-appeal/2025-2025-ca-0114.pdf?ts=1756426619" TargetMode="External"/><Relationship Id="rId2862" Type="http://schemas.openxmlformats.org/officeDocument/2006/relationships/hyperlink" Target="http://codes.ohio.gov/orc/gp9.481" TargetMode="External"/><Relationship Id="rId627" Type="http://schemas.openxmlformats.org/officeDocument/2006/relationships/hyperlink" Target="https://www.nfpa.org/codes-and-standards/all-codes-and-standards/list-of-codes-and-standards/detail?code=1582" TargetMode="External"/><Relationship Id="rId834" Type="http://schemas.openxmlformats.org/officeDocument/2006/relationships/hyperlink" Target="https://www.supremecourt.gov/opinions/19pdf/18-587_5ifl.pdf" TargetMode="External"/><Relationship Id="rId1257" Type="http://schemas.openxmlformats.org/officeDocument/2006/relationships/hyperlink" Target="https://www.ethics.ohio.gov/advice/opinions/91-002.pdf" TargetMode="External"/><Relationship Id="rId1464" Type="http://schemas.openxmlformats.org/officeDocument/2006/relationships/hyperlink" Target="https://public.fastcase.com/9SKwsfNqTc6OieYDhNMyMx8HeCj7%2FDJBNdWBqE3NyzJHPN6vSl1mv%2F8RhqlJqRKR" TargetMode="External"/><Relationship Id="rId1671" Type="http://schemas.openxmlformats.org/officeDocument/2006/relationships/hyperlink" Target="http://www.nydailynews.com/new-york/city-pay-98-million-fdny-discrimination-case-article-1.1725702" TargetMode="External"/><Relationship Id="rId2308" Type="http://schemas.openxmlformats.org/officeDocument/2006/relationships/hyperlink" Target="https://casetext.com/case/cazares-v-rand" TargetMode="External"/><Relationship Id="rId2515" Type="http://schemas.openxmlformats.org/officeDocument/2006/relationships/hyperlink" Target="https://cases.justia.com/arizona/court-of-appeals-division-one-published/2025-1-ca-ic-24-0009.pdf?ts=1745946035" TargetMode="External"/><Relationship Id="rId2722" Type="http://schemas.openxmlformats.org/officeDocument/2006/relationships/hyperlink" Target="https://www.mspb.gov/decisions/nonprecedential/SANTOS_NICK_SF_0752_20_0114_I_1_FINAL_ORDER_2060932.pdf" TargetMode="External"/><Relationship Id="rId901" Type="http://schemas.openxmlformats.org/officeDocument/2006/relationships/hyperlink" Target="https://cases.justia.com/federal/district-courts/california/caedce/2:2023cv01147/429644/22/0.pdf?ts=1706172863" TargetMode="External"/><Relationship Id="rId1117" Type="http://schemas.openxmlformats.org/officeDocument/2006/relationships/hyperlink" Target="https://cases.justia.com/pennsylvania/commonwealth-court/2024-739-c-d-2023.pdf?ts=1732034168" TargetMode="External"/><Relationship Id="rId1324" Type="http://schemas.openxmlformats.org/officeDocument/2006/relationships/hyperlink" Target="https://www.courtlistener.com/recap/gov.uscourts.ohnd.252466/gov.uscourts.ohnd.252466.26.0.pdf" TargetMode="External"/><Relationship Id="rId1531" Type="http://schemas.openxmlformats.org/officeDocument/2006/relationships/hyperlink" Target="https://cases.justia.com/federal/appellate-courts/ca4/25-1440/25-1440-2026-06-24.pdf?ts=1782325881" TargetMode="External"/><Relationship Id="rId1769" Type="http://schemas.openxmlformats.org/officeDocument/2006/relationships/hyperlink" Target="https://www.verywellmind.com/requirements-for-ptsd-diagnosis-2797637" TargetMode="External"/><Relationship Id="rId1976" Type="http://schemas.openxmlformats.org/officeDocument/2006/relationships/hyperlink" Target="https://public.fastcase.com/jaEE2PXzRXmZ99jOLMt1IkeXMb88bktridCVT2cNJQMzpCQ6GgqcAq9z2DsPb3SV?utm_medium=email&amp;_hsenc=p2ANqtz-85xVo1nyN3HdtXmyEBbnKz3steTpDAfhmpvG3xr6TrZ9DYf7Sn2b546JhEk92EHRSHghCxIzSuD7PvUX919GE5tGfx5g&amp;_hsmi=226712652&amp;utm_content=226712652&amp;utm_source=hs_email" TargetMode="External"/><Relationship Id="rId30" Type="http://schemas.openxmlformats.org/officeDocument/2006/relationships/hyperlink" Target="https://www.supremecourt.ohio.gov/rod/docs/pdf/11/2026/2026-Ohio-3502.pdf" TargetMode="External"/><Relationship Id="rId1629" Type="http://schemas.openxmlformats.org/officeDocument/2006/relationships/hyperlink" Target="https://fox8.com/tag/cleveland-ems/" TargetMode="External"/><Relationship Id="rId1836" Type="http://schemas.openxmlformats.org/officeDocument/2006/relationships/hyperlink" Target="https://media.ca11.uscourts.gov/opinions/pub/files/202211322.pdf" TargetMode="External"/><Relationship Id="rId1903" Type="http://schemas.openxmlformats.org/officeDocument/2006/relationships/hyperlink" Target="https://www.justice.gov/servicemembers/other-resources" TargetMode="External"/><Relationship Id="rId2098" Type="http://schemas.openxmlformats.org/officeDocument/2006/relationships/hyperlink" Target="https://www.orangeobserver.com/news/2024/jun/15/breaking-former-orange-county-fire-rescue-battalion-chief-announces-candidacy-for-county-commission-district-1/" TargetMode="External"/><Relationship Id="rId3051" Type="http://schemas.openxmlformats.org/officeDocument/2006/relationships/theme" Target="theme/theme1.xml"/><Relationship Id="rId277" Type="http://schemas.openxmlformats.org/officeDocument/2006/relationships/hyperlink" Target="https://media.ca11.uscourts.gov/opinions/pub/files/201713526.pdf" TargetMode="External"/><Relationship Id="rId484" Type="http://schemas.openxmlformats.org/officeDocument/2006/relationships/hyperlink" Target="https://www.hometownlife.com/story/news/2023/05/27/westland-firefighters-brian-woehlke-arson-homicide-investigation/70244259007/" TargetMode="External"/><Relationship Id="rId2165" Type="http://schemas.openxmlformats.org/officeDocument/2006/relationships/hyperlink" Target="https://cases.justia.com/ohio/second-district-court-of-appeals/2024-2024-ca-3-0.pdf?ts=1725029311" TargetMode="External"/><Relationship Id="rId3009" Type="http://schemas.openxmlformats.org/officeDocument/2006/relationships/hyperlink" Target="https://www.law.cornell.edu/definitions/index.php?width=840&amp;height=800&amp;iframe=true&amp;def_id=a1910d2b023f8b0308e18d82edf940f8&amp;term_occur=999&amp;term_src=Title:24:Subtitle:B:Chapter:II:Subchapter:I:Part:291:Subpart:F:291.530" TargetMode="External"/><Relationship Id="rId137" Type="http://schemas.openxmlformats.org/officeDocument/2006/relationships/hyperlink" Target="https://www.yahoo.com/news/ohio-county-cold-case-ends-102300006.html" TargetMode="External"/><Relationship Id="rId344" Type="http://schemas.openxmlformats.org/officeDocument/2006/relationships/hyperlink" Target="https://catalog.nfpa.org/NFPA-921-Guide-for-Fire-and-Explosion-Investigations-C472.aspx?order_src=C900&amp;gclid=EAIaIQobChMI3pOKsKem5gIVJIVaBR1UwAkCEAAYASAAEgLHSvD_BwE" TargetMode="External"/><Relationship Id="rId691" Type="http://schemas.openxmlformats.org/officeDocument/2006/relationships/hyperlink" Target="file:///C:\Users\lawre\AppData\Local\Microsoft\Windows\INetCache\Content.Outlook\PSWGR3E2\state-of-illinois-et-al-v-federal-emergency-management-agency-et-al-complaint-2025.pdf" TargetMode="External"/><Relationship Id="rId789" Type="http://schemas.openxmlformats.org/officeDocument/2006/relationships/hyperlink" Target="https://home.treasury.gov/policy-issues/financial-sanctions" TargetMode="External"/><Relationship Id="rId996" Type="http://schemas.openxmlformats.org/officeDocument/2006/relationships/hyperlink" Target="https://www.supremecourt.ohio.gov/rod/docs/pdf/8/2023/2023-Ohio-4213.pdf" TargetMode="External"/><Relationship Id="rId2025" Type="http://schemas.openxmlformats.org/officeDocument/2006/relationships/hyperlink" Target="https://cases.justia.com/federal/appellate-courts/ca10/19-1049/19-1049-2020-04-07.pdf?ts=1586277066" TargetMode="External"/><Relationship Id="rId2372" Type="http://schemas.openxmlformats.org/officeDocument/2006/relationships/hyperlink" Target="https://casetext.com/case/county-of-sacramento-v-lewis" TargetMode="External"/><Relationship Id="rId2677" Type="http://schemas.openxmlformats.org/officeDocument/2006/relationships/hyperlink" Target="https://public.fastcase.com/jaEE2PXzRXmZ99jOLMt1Im1keUzBtfiIHvEUrgtpCe4tsCgV6NtJX3IH6wzppmaYdMf24%2B5puOWV6%2FBXnYGObJXUVli9SMl09cYxEMCDiBI%3D?utm_medium=email&amp;_hsenc=p2ANqtz-_d7OiIN91ZAk7Y1LfM1ALZw-U0OSyNxgKb6pVH2Z92AnZk8gKeX6P0Vdjf87FJH4FQPvAXMckV1s5VI4fjARMOTrnriQ&amp;_hsmi=226712652&amp;utm_content=226712652&amp;utm_source=hs_email" TargetMode="External"/><Relationship Id="rId2884" Type="http://schemas.openxmlformats.org/officeDocument/2006/relationships/hyperlink" Target="https://masslawyersweekly.com/files/2026/09/81-113-26.pdf" TargetMode="External"/><Relationship Id="rId551" Type="http://schemas.openxmlformats.org/officeDocument/2006/relationships/hyperlink" Target="https://www.ems.gov/newsletter/fall2021/dont_let_railroads_become_roadblocks.html" TargetMode="External"/><Relationship Id="rId649" Type="http://schemas.openxmlformats.org/officeDocument/2006/relationships/hyperlink" Target="https://www.statnews.com/2025/06/16/nih-research-cuts-ruled-illegal-by-federal-judge-william-young/" TargetMode="External"/><Relationship Id="rId856" Type="http://schemas.openxmlformats.org/officeDocument/2006/relationships/hyperlink" Target="https://ij.org/wp-content/uploads/2018/09/16-3480_complete_opn.pdf" TargetMode="External"/><Relationship Id="rId1181" Type="http://schemas.openxmlformats.org/officeDocument/2006/relationships/hyperlink" Target="https://public.fastcase.com/J%2FJP6pdidelsXxEE4k%2BLMgZsxRPxIagHaOxK3V7dyuXFeFyB6fz1Dln4tTh4Jm%2FUrhr8rAmwFuGj0jKVlSZT92lB7laeHNqW0rDlXNrGxCk%3D?utm_medium=email&amp;_hsmi=226712652&amp;_hsenc=p2ANqtz-88sbIkrx-fKIJNKIHom0LKoVEBAjtP4sRnfpcv7MlL8ga8F7YTwpRtQY7XbucL3D6C1qELcyLUMrsKcjyI3sLUlue5QA&amp;utm_content=226712652&amp;utm_source=hs_email" TargetMode="External"/><Relationship Id="rId1279" Type="http://schemas.openxmlformats.org/officeDocument/2006/relationships/hyperlink" Target="https://law.justia.com/cases/federal/appellate-courts/ca6/19-1416/19-1416-2020-06-05.html" TargetMode="External"/><Relationship Id="rId1486" Type="http://schemas.openxmlformats.org/officeDocument/2006/relationships/hyperlink" Target="https://www.leagle.com/cite/951%20F.2d%20320" TargetMode="External"/><Relationship Id="rId2232" Type="http://schemas.openxmlformats.org/officeDocument/2006/relationships/hyperlink" Target="https://public.fastcase.com/ZZhmr5v9wN%2FXOe5IsQ%2FqD%2B1qjdbNtrbKnJG3uP2WWVmhlF8pu7dlSanIpJbUEtpE?utm_medium=email&amp;_hsmi=226712652&amp;_hsenc=p2ANqtz-_3swjkE_U3wk1h5U8jVat2QL8kZwPHoy86W6A4pHNVHtwV__0ZHK6m0x71w6miyP2O__WwBW9V-f993pnbFbogevKSBQ&amp;utm_content=226712652&amp;utm_source=hs_email" TargetMode="External"/><Relationship Id="rId2537" Type="http://schemas.openxmlformats.org/officeDocument/2006/relationships/hyperlink" Target="https://casetext.com/case/wilson-v-gregory-4" TargetMode="External"/><Relationship Id="rId204" Type="http://schemas.openxmlformats.org/officeDocument/2006/relationships/hyperlink" Target="https://www.justice.gov/usao-edca/pr/siskiyou-county-man-sentenced-1-year-prison-major-fraud-against-united-states-taking" TargetMode="External"/><Relationship Id="rId411" Type="http://schemas.openxmlformats.org/officeDocument/2006/relationships/hyperlink" Target="https://ilcourtsaudio.blob.core.windows.net/antilles-resources/resources/865bbd6b-111a-42c0-93b7-0362e44b14c7/Carter%20v.%20Fox%20Lake%20Fire%20Protection%20District%202026%20IL%20App%20(2d)%20250374.pdf" TargetMode="External"/><Relationship Id="rId509" Type="http://schemas.openxmlformats.org/officeDocument/2006/relationships/hyperlink" Target="https://casetext.com/case/brady-v-village-of-malverne" TargetMode="External"/><Relationship Id="rId1041" Type="http://schemas.openxmlformats.org/officeDocument/2006/relationships/hyperlink" Target="https://www.fireapparatusmagazine.com/articles/print/volume-22/issue-3/features/hose-alert-a-firefighter-s-commonsense-solution-to-a-serious-problem.html" TargetMode="External"/><Relationship Id="rId1139" Type="http://schemas.openxmlformats.org/officeDocument/2006/relationships/hyperlink" Target="https://public.fastcase.com/H1P9uiW3J20SFp%2BGCG%2BxLTokB0aoklJy6U6lHfy%2FfW4XgHUeDnfzCtV2IraSxfBK?utm_medium=email&amp;_hsmi=226712652&amp;_hsenc=p2ANqtz-_gim38WUKhev0Avzaj483M_b7fed8rsJvlzMdOQbFB_Jpk5Z-" TargetMode="External"/><Relationship Id="rId1346" Type="http://schemas.openxmlformats.org/officeDocument/2006/relationships/hyperlink" Target="https://www.courts.state.md.us/data/opinions/cosa/2018/0319s17.pdf" TargetMode="External"/><Relationship Id="rId1693" Type="http://schemas.openxmlformats.org/officeDocument/2006/relationships/hyperlink" Target="https://sac.media/2023/05/09/former-west-covina-fire-chief-awarded-4-1-million-in-wrongful-termination-suit/" TargetMode="External"/><Relationship Id="rId1998" Type="http://schemas.openxmlformats.org/officeDocument/2006/relationships/hyperlink" Target="https://portal.ct.gov/ag/press-releases/2022-press-releases/ag-tong-compels-purdue-and-sacklers-to-pay-six-billion-to-victims-survivors-and-states" TargetMode="External"/><Relationship Id="rId2744" Type="http://schemas.openxmlformats.org/officeDocument/2006/relationships/hyperlink" Target="https://www.njcourts.gov/sites/default/files/court-opinions/2023/a3688-20.pdf" TargetMode="External"/><Relationship Id="rId2951" Type="http://schemas.openxmlformats.org/officeDocument/2006/relationships/hyperlink" Target="https://public.fastcase.com/J%2FJP6pdidelsXxEE4k%2BLMgRuGoPztfGYl4rgyWIW4hR9R3ye4G%2Brlx4oNbvfkD7bo5Sl3SUFyCNYsXscEScOvl5B7KBk99Bt%2FA1OCEhfyl0%3D" TargetMode="External"/><Relationship Id="rId716" Type="http://schemas.openxmlformats.org/officeDocument/2006/relationships/hyperlink" Target="https://caselaw.findlaw.com/court/us-1st-circuit/116020600.html" TargetMode="External"/><Relationship Id="rId923" Type="http://schemas.openxmlformats.org/officeDocument/2006/relationships/hyperlink" Target="https://www.newscentermaine.com/article/news/local/portland/judge-dismisses-wrongful-death-lawsuit-against-city-all-but-one-portland-police-officer-portland-mental-health/97-9cb6ef72-b53c-4614-9d60-2360cbcd1702" TargetMode="External"/><Relationship Id="rId1553" Type="http://schemas.openxmlformats.org/officeDocument/2006/relationships/hyperlink" Target="https://www.ca5.uscourts.gov/opinions/unpub/24/24-60532.0.pdf" TargetMode="External"/><Relationship Id="rId1760" Type="http://schemas.openxmlformats.org/officeDocument/2006/relationships/hyperlink" Target="https://www.eeoc.gov/facts/pandemic_flu.html?mc_cid=0f5c4e93d9&amp;mc_eid=3f2d24c371" TargetMode="External"/><Relationship Id="rId1858" Type="http://schemas.openxmlformats.org/officeDocument/2006/relationships/hyperlink" Target="http://www.dol.gov/agencies/whd" TargetMode="External"/><Relationship Id="rId2604" Type="http://schemas.openxmlformats.org/officeDocument/2006/relationships/hyperlink" Target="https://public.fastcase.com/Jhe1Qn%2BmJndQYQU6z%2FeNm84TSwxTK6G3n62PkU8179htaq5wGjVaUGYSJZSOVzdWyhegWgMqWmHwKwmFy%2BjUN%2FGu5ej6EThZiUJZJf%2FCENA%3D?utm_medium=email&amp;_hsenc=p2ANqtz--F9WEozIdQ7a7aHBPLqx4N-sY1B7PgbJLvKD0e3ZvBos8ijqQnFOLSe1dlkTtitVjG_F048kZlc8yI0LMoiTGsCqcSQA&amp;_hsmi=226712652&amp;utm_content=226712652&amp;utm_source=hs_email" TargetMode="External"/><Relationship Id="rId2811" Type="http://schemas.openxmlformats.org/officeDocument/2006/relationships/hyperlink" Target="https://www.sacbee.com/news/politics-government/the-state-worker/article23903194.html" TargetMode="External"/><Relationship Id="rId52" Type="http://schemas.openxmlformats.org/officeDocument/2006/relationships/hyperlink" Target="https://www.casemine.com/judgement/us/6995c147d22bd43f3d89db5b" TargetMode="External"/><Relationship Id="rId1206" Type="http://schemas.openxmlformats.org/officeDocument/2006/relationships/hyperlink" Target="http://app.leg.wa.gov/RCW/default.aspx?cite=41.26.030" TargetMode="External"/><Relationship Id="rId1413" Type="http://schemas.openxmlformats.org/officeDocument/2006/relationships/hyperlink" Target="https://codes.ohio.gov/ohio-revised-code/section-4112.021" TargetMode="External"/><Relationship Id="rId1620" Type="http://schemas.openxmlformats.org/officeDocument/2006/relationships/hyperlink" Target="https://law.justia.com/cases/federal/district-courts/california/caedce/1:2018cv00824/337796/49/" TargetMode="External"/><Relationship Id="rId2909" Type="http://schemas.openxmlformats.org/officeDocument/2006/relationships/hyperlink" Target="https://www.supremecourt.ohio.gov/rod/docs/pdf/11/2024/2024-Ohio-6002.pdf" TargetMode="External"/><Relationship Id="rId1718" Type="http://schemas.openxmlformats.org/officeDocument/2006/relationships/hyperlink" Target="https://www.justice.gov/opa/pr/justice-department-secures-agreement-city-blaine-minnesota-resolve-discrimination-claim" TargetMode="External"/><Relationship Id="rId1925" Type="http://schemas.openxmlformats.org/officeDocument/2006/relationships/hyperlink" Target="https://www.law.cornell.edu/cfr/text/29/553.201" TargetMode="External"/><Relationship Id="rId299" Type="http://schemas.openxmlformats.org/officeDocument/2006/relationships/hyperlink" Target="https://law.justia.com/cases/washington/court-of-appeals-division-ii/2021/53365-1.html" TargetMode="External"/><Relationship Id="rId2187" Type="http://schemas.openxmlformats.org/officeDocument/2006/relationships/hyperlink" Target="http://www.opn.ca6.uscourts.gov/opinions.pdf/08a0140p-06.pdf" TargetMode="External"/><Relationship Id="rId2394" Type="http://schemas.openxmlformats.org/officeDocument/2006/relationships/hyperlink" Target="file:///C:/Users/lawre/AppData/Local/Temp/hb151_05_EN.pdf" TargetMode="External"/><Relationship Id="rId159" Type="http://schemas.openxmlformats.org/officeDocument/2006/relationships/hyperlink" Target="https://dronelife.com/2024/05/08/michigan-supreme-court-allows-drone-surveillance-evidence-in-civil-case/" TargetMode="External"/><Relationship Id="rId366" Type="http://schemas.openxmlformats.org/officeDocument/2006/relationships/hyperlink" Target="https://cases.justia.com/pennsylvania/superior-court/2019-1121-mda-2017.pdf?ts=1547235373" TargetMode="External"/><Relationship Id="rId573" Type="http://schemas.openxmlformats.org/officeDocument/2006/relationships/hyperlink" Target="https://www.firerescue1.com/arson-investigation/articles/court-rules-pa-man-can-be-re-tried-for-allegedly-setting-blaze-that-killed-3-firefighters-lLEkejoGfuP6GGk9/?utm_source=FireRescue1+Daily&amp;utm_campaign=f787a554cb-EMAIL_CAMPAIGN_2021_04_15_07_27&amp;utm_medium=email&amp;utm_term=0_758bdbeffe-f787a554cb-41607823" TargetMode="External"/><Relationship Id="rId780" Type="http://schemas.openxmlformats.org/officeDocument/2006/relationships/hyperlink" Target="https://www.ca4.uscourts.gov/opinions/192250.P.pdf" TargetMode="External"/><Relationship Id="rId2047" Type="http://schemas.openxmlformats.org/officeDocument/2006/relationships/hyperlink" Target="https://www.courts.state.md.us/sites/default/files/unreported-opinions/2605s16.pdf" TargetMode="External"/><Relationship Id="rId2254" Type="http://schemas.openxmlformats.org/officeDocument/2006/relationships/hyperlink" Target="https://s3.amazonaws.com/jnswire/jns-media/e9/3e/12863006/unions_v_chicago_vax_ilrb_alj.pdf" TargetMode="External"/><Relationship Id="rId2461" Type="http://schemas.openxmlformats.org/officeDocument/2006/relationships/hyperlink" Target="https://www.bizjournals.com/columbus/news/2018/09/20/new-ohio-law-incentivizes-businesses-that-comply.html" TargetMode="External"/><Relationship Id="rId2699" Type="http://schemas.openxmlformats.org/officeDocument/2006/relationships/hyperlink" Target="https://public.fastcase.com/H1P9uiW3J20SFp%2BGCG%2BxLf0QXfMdGqdqZlQXVQLOVSo%2BRVxC5joRx%2Bn0W0bwooepXLY2KUKQY%2FNa4DzAR11NEG8M8s0LDdmLgDmSoVIjHEI%3D?utm_medium=email&amp;_hsmi=226712652&amp;_hsenc=p2ANqtz--j20uR-GYo6WCSGz4uB5jXz0CJaW80ssMVqf4KPGqbFwk9_LUt6on4Dgf3xdmVustFIoMmyBcwEiGPMrkJq9j9MAGPKA&amp;utm_content=226712652&amp;utm_source=hs_email" TargetMode="External"/><Relationship Id="rId3000" Type="http://schemas.openxmlformats.org/officeDocument/2006/relationships/hyperlink" Target="https://www.muscalaw.com/blog/understanding-floridas-new-halo-law-and-its-impact-first-amendment-rights" TargetMode="External"/><Relationship Id="rId226" Type="http://schemas.openxmlformats.org/officeDocument/2006/relationships/hyperlink" Target="https://www.supremecourt.ohio.gov/rod/docs/pdf/0/2022/2022-Ohio-2832.pdf" TargetMode="External"/><Relationship Id="rId433" Type="http://schemas.openxmlformats.org/officeDocument/2006/relationships/hyperlink" Target="https://www.youtube.com/watch?v=US5dFGLzqQo" TargetMode="External"/><Relationship Id="rId878" Type="http://schemas.openxmlformats.org/officeDocument/2006/relationships/hyperlink" Target="https://cases.justia.com/federal/district-courts/federal-claims/cofce/1:2020cv00368/40658/107/0.pdf?ts=1757681305" TargetMode="External"/><Relationship Id="rId1063" Type="http://schemas.openxmlformats.org/officeDocument/2006/relationships/hyperlink" Target="https://codes.ohio.gov/ohio-revised-code/section-505.381" TargetMode="External"/><Relationship Id="rId1270" Type="http://schemas.openxmlformats.org/officeDocument/2006/relationships/hyperlink" Target="https://www.eeoc.gov/statutes/age-discrimination-employment-act-1967" TargetMode="External"/><Relationship Id="rId2114" Type="http://schemas.openxmlformats.org/officeDocument/2006/relationships/hyperlink" Target="https://searchdro.kscourts.gov/documents/pdf/caseDecisions/d2d9aca8-0558-406d-9148-9139f4e8d305_125812.pdf" TargetMode="External"/><Relationship Id="rId2559" Type="http://schemas.openxmlformats.org/officeDocument/2006/relationships/hyperlink" Target="https://www.sacbee.com/news/local/article257698263.html" TargetMode="External"/><Relationship Id="rId2766" Type="http://schemas.openxmlformats.org/officeDocument/2006/relationships/hyperlink" Target="https://codes.ohio.gov/ohio-revised-code/section-2953.32/4-7-2021" TargetMode="External"/><Relationship Id="rId2973" Type="http://schemas.openxmlformats.org/officeDocument/2006/relationships/hyperlink" Target="file:///C:/Users/lawre/AppData/Local/Temp/%7BC42BFBAC-7840-4BDD-BFF7-18D383BA9C81%7D/19%20CH%2012662%20City%20of%20Chicago%20v.%20Chicago%20Fire%20Fighters%20Union%20Final%20Order%20(12.2.20).pdf" TargetMode="External"/><Relationship Id="rId640" Type="http://schemas.openxmlformats.org/officeDocument/2006/relationships/hyperlink" Target="https://d.docs.live.net/bd9b2eaf6053242e/AppData/Roaming/Microsoft/AppData/Local/Microsoft/Windows/INetCache/IE/XO250S7T/15-70040-CV0.pdf" TargetMode="External"/><Relationship Id="rId738" Type="http://schemas.openxmlformats.org/officeDocument/2006/relationships/hyperlink" Target="https://www.nytimes.com/2023/07/04/business/federal-judge-biden-social-media.html?campaign_id=60&amp;emc=edit_na_20230704&amp;instance_id=0&amp;nl=breaking-news&amp;ref=cta&amp;regi_id=215376166&amp;segment_id=138360&amp;user_id=c17b05e2b990d0f39049334bb5d3c889" TargetMode="External"/><Relationship Id="rId945" Type="http://schemas.openxmlformats.org/officeDocument/2006/relationships/hyperlink" Target="https://www.hamiltoncountyohio.gov/UserFiles/Servers/Server_3788196/File/releases/2020/C-200030_12162020.pdf" TargetMode="External"/><Relationship Id="rId1368" Type="http://schemas.openxmlformats.org/officeDocument/2006/relationships/hyperlink" Target="https://www.boston.com/news/local-news/2024/05/15/former-marshfield-fire-chief-won-more-than-1-5-million-in-retaliation-lawsuit-against-town/" TargetMode="External"/><Relationship Id="rId1575" Type="http://schemas.openxmlformats.org/officeDocument/2006/relationships/hyperlink" Target="https://cases.justia.com/federal/district-courts/illinois/ilndce/1:2022cv04982/419212/136/0.pdf?ts=1728381206" TargetMode="External"/><Relationship Id="rId1782" Type="http://schemas.openxmlformats.org/officeDocument/2006/relationships/hyperlink" Target="https://www.dol.gov/sites/dolgov/files/WHD/opinion-letters/FMLA/2023_05_30_02_FMLA.pdf" TargetMode="External"/><Relationship Id="rId2321" Type="http://schemas.openxmlformats.org/officeDocument/2006/relationships/hyperlink" Target="https://www.courts.ri.gov/Courts/SupremeCourt/SupremeOpinions/19-373.pdf?fbclid=IwAR381gBQH8M88N6_xqsP3bwAIxYvF38ngnKZywLKveA_XCbfEKJg9F5lDvI" TargetMode="External"/><Relationship Id="rId2419" Type="http://schemas.openxmlformats.org/officeDocument/2006/relationships/hyperlink" Target="https://public.fastcase.com/Wl%2B2t%2BeVuI35%2FN70vAMFZmo%2BcULZ%2FcXakIqGXvRrcFYkKri8LBojVsP%2FOvCVPfk0" TargetMode="External"/><Relationship Id="rId2626" Type="http://schemas.openxmlformats.org/officeDocument/2006/relationships/hyperlink" Target="https://www.orangeobserver.com/news/2024/jun/15/breaking-former-orange-county-fire-rescue-battalion-chief-announces-candidacy-for-county-commission-district-1/" TargetMode="External"/><Relationship Id="rId2833" Type="http://schemas.openxmlformats.org/officeDocument/2006/relationships/hyperlink" Target="https://www.abc4.com/news/justice-files/the-justice-files-a-rape-in-rural-utah/" TargetMode="External"/><Relationship Id="rId74" Type="http://schemas.openxmlformats.org/officeDocument/2006/relationships/hyperlink" Target="https://cases.justia.com/ohio/tenth-district-court-of-appeals/2025-24ap-255.pdf?ts=1757620491" TargetMode="External"/><Relationship Id="rId500" Type="http://schemas.openxmlformats.org/officeDocument/2006/relationships/hyperlink" Target="https://public.fastcase.com/H1P9uiW3J20SFp%2BGCG%2BxLYPdFYBU6rXmSQ%2By5I06IYNauAow%2BFD183wwpB9seHw0huG9jZnFzDNjvlfgYqLRMXl7VVMzVdIElYOfNiWEhG4%3D?utm_medium=email&amp;_hsmi=226712652&amp;_hsenc=p2ANqtz-9dIeusfdAjuYcHWZc-tZCt-VYwNMyt2XrZBQ64qnpV1yAnhv8veUFYKRs_yaW_VBF9gsQcut_JaRzapEXH-rHIPbxEPQ&amp;utm_content=226712652&amp;utm_source=hs_email" TargetMode="External"/><Relationship Id="rId805" Type="http://schemas.openxmlformats.org/officeDocument/2006/relationships/hyperlink" Target="https://www.law.cornell.edu/uscode/text/8/1227" TargetMode="External"/><Relationship Id="rId1130" Type="http://schemas.openxmlformats.org/officeDocument/2006/relationships/hyperlink" Target="https://ilcourtsaudio.blob.core.windows.net/antilles-resources/resources/db67e7e2-0717-4638-8c31-3e01bcc193d9/Faruzzi%20v.%20Illinois%20Workers%27%20Compensation%20Comm%27n,%202024%20IL%20App%20(1st)%20231896WC-U.pdf" TargetMode="External"/><Relationship Id="rId1228" Type="http://schemas.openxmlformats.org/officeDocument/2006/relationships/hyperlink" Target="https://www.myarklamiss.com/news/local-news/bastrop-firefighters-fighting-for-their-pay-the-mayor-says-they-deserve-it/" TargetMode="External"/><Relationship Id="rId1435" Type="http://schemas.openxmlformats.org/officeDocument/2006/relationships/hyperlink" Target="https://www.dol.gov/agencies/whd/nursing-mothers/faq" TargetMode="External"/><Relationship Id="rId1642" Type="http://schemas.openxmlformats.org/officeDocument/2006/relationships/hyperlink" Target="https://www.stetson.edu/law/lawreview/media/the-civil-rights-act-of-1991-and-eeoc-enforcement.pdf" TargetMode="External"/><Relationship Id="rId1947" Type="http://schemas.openxmlformats.org/officeDocument/2006/relationships/hyperlink" Target="http://www.iaff.org/Legal/PDF/1996FLSAManual.pdf" TargetMode="External"/><Relationship Id="rId2900" Type="http://schemas.openxmlformats.org/officeDocument/2006/relationships/hyperlink" Target="https://public.fastcase.com/jaEE2PXzRXmZ99jOLMt1Ir%2Bgd4DeQSRcdUE7IJV4ZHQFjK4R6%2FaVKxoGJags6yJ8?utm_medium=email&amp;_hsenc=p2ANqtz-9_dtoT8MCHWol7MkpFQEKniJ3EcCAHTOONesHADifFFZppYBhmnp0t7X96SaR0z0JseLLFRZzCLhs4WSwU0MvvvFbR6g&amp;_hsmi=226712652&amp;utm_content=226712652&amp;utm_source=hs_email" TargetMode="External"/><Relationship Id="rId1502" Type="http://schemas.openxmlformats.org/officeDocument/2006/relationships/hyperlink" Target="https://casetext.com/case/benson-v-city-of-lincoln" TargetMode="External"/><Relationship Id="rId1807" Type="http://schemas.openxmlformats.org/officeDocument/2006/relationships/hyperlink" Target="https://public.fastcase.com/Jhe1Qn%2BmJndQYQU6z%2FeNm%2BPcmzEUVte9Pmbex8cM1KJhQVcQIKDJJA5UPuX3qlPH?utm_medium=email&amp;_hsenc=p2ANqtz-9n4bTEROfuVqHNVuq5wnBdHGUWCVVD7aN6VD7jCXCE8dULoI4uW2020fH1jBBreK2QqG5jL3hff-Wxt2LEWhDNRofrqw&amp;_hsmi=226712652&amp;utm_content=226712652&amp;utm_source=hs_email" TargetMode="External"/><Relationship Id="rId290" Type="http://schemas.openxmlformats.org/officeDocument/2006/relationships/hyperlink" Target="https://ethics.ohio.gov/education/newsletters/VOE_21Q1.pdf" TargetMode="External"/><Relationship Id="rId388" Type="http://schemas.openxmlformats.org/officeDocument/2006/relationships/hyperlink" Target="https://caselaw.findlaw.com/sc-court-of-appeals/1893632.html" TargetMode="External"/><Relationship Id="rId2069" Type="http://schemas.openxmlformats.org/officeDocument/2006/relationships/hyperlink" Target="https://www.legalnewsline.com/cook-county-record/chicago-firefighter-says-city-forced-him-to-refuse-all-other-meds-before-granting-covid-vax/article_68ad87a4-9b1a-50d4-8779-f38508fd4aad.html" TargetMode="External"/><Relationship Id="rId3022" Type="http://schemas.openxmlformats.org/officeDocument/2006/relationships/hyperlink" Target="https://www.courts.michigan.gov/4a7b7c/siteassets/case-documents/uploads/sct/public/orders/166885_47_01.pdf" TargetMode="External"/><Relationship Id="rId150" Type="http://schemas.openxmlformats.org/officeDocument/2006/relationships/hyperlink" Target="https://caselaw.findlaw.com/court/in-court-of-appeals/116435959.html" TargetMode="External"/><Relationship Id="rId595" Type="http://schemas.openxmlformats.org/officeDocument/2006/relationships/hyperlink" Target="https://www.bwc.ohio.gov/downloads/blankpdf/sviu.pdf" TargetMode="External"/><Relationship Id="rId2276" Type="http://schemas.openxmlformats.org/officeDocument/2006/relationships/hyperlink" Target="https://www.law.cornell.edu/definitions/uscode.php?width=840&amp;height=800&amp;iframe=true&amp;def_id=42-USC-543811625-140307164&amp;term_occur=999&amp;term_src=" TargetMode="External"/><Relationship Id="rId2483" Type="http://schemas.openxmlformats.org/officeDocument/2006/relationships/hyperlink" Target="https://cdn.ca9.uscourts.gov/datastore/memoranda/2025/04/30/24-3195.pdf" TargetMode="External"/><Relationship Id="rId2690" Type="http://schemas.openxmlformats.org/officeDocument/2006/relationships/hyperlink" Target="https://www.courts.michigan.gov/siteassets/case-documents/uploads/OPINIONS/FINAL/COA/20240905_C364971_42_364971.OPN.PDF" TargetMode="External"/><Relationship Id="rId248" Type="http://schemas.openxmlformats.org/officeDocument/2006/relationships/hyperlink" Target="https://www.aar.org/wp-content/uploads/2020/02/AAR-Occupied-Crossings-Fact-Sheet.pdf" TargetMode="External"/><Relationship Id="rId455" Type="http://schemas.openxmlformats.org/officeDocument/2006/relationships/hyperlink" Target="https://www.supremecourt.ohio.gov/rod/docs/pdf/0/2025/2025-Ohio-1296.pdf" TargetMode="External"/><Relationship Id="rId662" Type="http://schemas.openxmlformats.org/officeDocument/2006/relationships/hyperlink" Target="https://www.google.com/patents/US6848366?dq=inventor+daniel+tanner" TargetMode="External"/><Relationship Id="rId1085" Type="http://schemas.openxmlformats.org/officeDocument/2006/relationships/hyperlink" Target="https://cases.justia.com/new-york/other-courts/2025-2025-ny-slip-op-33207-u.pdf?ts=1757714614" TargetMode="External"/><Relationship Id="rId1292" Type="http://schemas.openxmlformats.org/officeDocument/2006/relationships/hyperlink" Target="http://app.leg.wa.gov/RCW/default.aspx?cite=51.08.140" TargetMode="External"/><Relationship Id="rId2136" Type="http://schemas.openxmlformats.org/officeDocument/2006/relationships/hyperlink" Target="https://law.justia.com/cases/new-york/other-courts/2025/2025-ny-slip-op-50759-u.html" TargetMode="External"/><Relationship Id="rId2343" Type="http://schemas.openxmlformats.org/officeDocument/2006/relationships/hyperlink" Target="https://public.fastcase.com/9SKwsfNqTc6OieYDhNMyMwbSkTth7KSxZerJ72xuPASz0hfrLKBLsSHZ5wSTH5hTHTRhpFz%2FSUPG8m6eckQDfkjqtfnRAdXjc9mLaHWodGM%3D" TargetMode="External"/><Relationship Id="rId2550" Type="http://schemas.openxmlformats.org/officeDocument/2006/relationships/hyperlink" Target="https://law.justia.com/cases/florida/first-district-court-of-appeal/2022/19-4601.html" TargetMode="External"/><Relationship Id="rId2788" Type="http://schemas.openxmlformats.org/officeDocument/2006/relationships/hyperlink" Target="https://www.dispatch.com/in-depth/news/2021/05/17/broken-pledge-fraternity-hazing-collin-wiant-death-ohio-university/5071265001/" TargetMode="External"/><Relationship Id="rId2995" Type="http://schemas.openxmlformats.org/officeDocument/2006/relationships/hyperlink" Target="https://ecf.ctd.uscourts.gov/cgi-bin/show_public_doc?2025cv0824-74" TargetMode="External"/><Relationship Id="rId108" Type="http://schemas.openxmlformats.org/officeDocument/2006/relationships/hyperlink" Target="https://www.justice.gov/opa/pr/justice-department-statements-supreme-courts-decision-tiktok-et-al-v-garland" TargetMode="External"/><Relationship Id="rId315" Type="http://schemas.openxmlformats.org/officeDocument/2006/relationships/hyperlink" Target="https://public.fastcase.com/Wl%2B2t%2BeVuI35%2FN70vAMFZuQf%2BCvER%2BbrYG4WrLB4YIQfdBBmlMCsuqEI%2FSqG9cxo" TargetMode="External"/><Relationship Id="rId522" Type="http://schemas.openxmlformats.org/officeDocument/2006/relationships/hyperlink" Target="https://casetext.com/case/gibb-v-stetson" TargetMode="External"/><Relationship Id="rId967" Type="http://schemas.openxmlformats.org/officeDocument/2006/relationships/hyperlink" Target="https://cases.justia.com/texas/first-court-of-appeals/2026-01-25-00359-cv.pdf?ts=1774367002" TargetMode="External"/><Relationship Id="rId1152" Type="http://schemas.openxmlformats.org/officeDocument/2006/relationships/hyperlink" Target="https://www.pacourts.us/assets/opinions/Commonwealth/out/726CD22_10-3-23.pdf?cb=1" TargetMode="External"/><Relationship Id="rId1597" Type="http://schemas.openxmlformats.org/officeDocument/2006/relationships/hyperlink" Target="http://www.eeoc.gov/laws/statutes/titlevii.cfm" TargetMode="External"/><Relationship Id="rId2203" Type="http://schemas.openxmlformats.org/officeDocument/2006/relationships/hyperlink" Target="https://www.ems1.com/ill-emts-charged-murder-patients-death/articles/2-ill-emts-charged-with-murder-appear-in-court-lMnB5h9BN09tUYGl/" TargetMode="External"/><Relationship Id="rId2410" Type="http://schemas.openxmlformats.org/officeDocument/2006/relationships/hyperlink" Target="https://www.txcourts.gov/media/1447243/181085f-1.pdf" TargetMode="External"/><Relationship Id="rId2648" Type="http://schemas.openxmlformats.org/officeDocument/2006/relationships/hyperlink" Target="https://www.dispatch.com/story/news/crime/2025/05/22/columbus-firefighter-child-porn-charges-lancaster-ohio-carson-bigham/83795834007/" TargetMode="External"/><Relationship Id="rId2855" Type="http://schemas.openxmlformats.org/officeDocument/2006/relationships/hyperlink" Target="https://www.opn.ca6.uscourts.gov/opinions.pdf/19a0286p-06.pdf" TargetMode="External"/><Relationship Id="rId96" Type="http://schemas.openxmlformats.org/officeDocument/2006/relationships/hyperlink" Target="https://cases.justia.com/indiana/court-of-appeals/2025-24a-cr-01673.pdf?ts=1746121391" TargetMode="External"/><Relationship Id="rId827" Type="http://schemas.openxmlformats.org/officeDocument/2006/relationships/hyperlink" Target="https://www.casemine.com/judgement/us/5fa3a7514653d0732d5bedb1" TargetMode="External"/><Relationship Id="rId1012" Type="http://schemas.openxmlformats.org/officeDocument/2006/relationships/hyperlink" Target="https://codes.ohio.gov/ohio-revised-code/section-4511.03" TargetMode="External"/><Relationship Id="rId1457" Type="http://schemas.openxmlformats.org/officeDocument/2006/relationships/hyperlink" Target="https://www.leagle.com/decision/infdco20210924575" TargetMode="External"/><Relationship Id="rId1664" Type="http://schemas.openxmlformats.org/officeDocument/2006/relationships/hyperlink" Target="https://www.leagle.com/cite/223%20F.3d%20749" TargetMode="External"/><Relationship Id="rId1871" Type="http://schemas.openxmlformats.org/officeDocument/2006/relationships/hyperlink" Target="http://www.firefighterovertime.org/2018/09/17/battalion/" TargetMode="External"/><Relationship Id="rId2508" Type="http://schemas.openxmlformats.org/officeDocument/2006/relationships/hyperlink" Target="https://www.pacourts.us/assets/opinions/Commonwealth/out/770CD24_10-22-25.pdf?cb=1" TargetMode="External"/><Relationship Id="rId2715" Type="http://schemas.openxmlformats.org/officeDocument/2006/relationships/hyperlink" Target="https://midmichigannow.com/news/local/judge-rules-lawsuit-filed-by-former-fire-chief-against-flint-mayor-can-continue" TargetMode="External"/><Relationship Id="rId2922" Type="http://schemas.openxmlformats.org/officeDocument/2006/relationships/hyperlink" Target="https://trellis.law/doc/60559021/complaint-filed" TargetMode="External"/><Relationship Id="rId1317" Type="http://schemas.openxmlformats.org/officeDocument/2006/relationships/hyperlink" Target="https://www.leagle.com/decision/inohco20200205714" TargetMode="External"/><Relationship Id="rId1524" Type="http://schemas.openxmlformats.org/officeDocument/2006/relationships/hyperlink" Target="https://cases.justia.com/federal/appellate-courts/ca7/24-2908/24-2908-2026-07-16.pdf?ts=1784221283" TargetMode="External"/><Relationship Id="rId1731" Type="http://schemas.openxmlformats.org/officeDocument/2006/relationships/hyperlink" Target="https://public.fastcase.com/ZZhmr5v9wN%2FXOe5IsQ%2FqD213NfZOkBOT9oUFU2NATn1Aebu4tmd%2Bdm4Fq8wJV%2BgJ%2FUz5tDo4rrQTf5JLsx7PM2RT%2BnNbiLW8av7Jbge%2Fzbw%3D?utm_medium=email&amp;_hsmi=226712652&amp;_hsenc=p2ANqtz-83LxoyDBgyJFjB5J1tvKo9--ehLEBCqV6koHeoTan0Qm4V8taXVkAh8h56UhoHEEE4y9wodFDrH_2nxx13nTAr7JOLdw&amp;utm_content=226712652&amp;utm_source=hs_email" TargetMode="External"/><Relationship Id="rId1969" Type="http://schemas.openxmlformats.org/officeDocument/2006/relationships/hyperlink" Target="https://www.youtube.com/watch?v=1jL6w0_sguI" TargetMode="External"/><Relationship Id="rId23" Type="http://schemas.openxmlformats.org/officeDocument/2006/relationships/hyperlink" Target="https://thevillagereporter.com/appeals-court-vacates-fire-code-conviction-against-dads-place-pastor-chris-avell/" TargetMode="External"/><Relationship Id="rId1829" Type="http://schemas.openxmlformats.org/officeDocument/2006/relationships/hyperlink" Target="https://www.reuters.com/legal/government/us-supreme-court-boosts-companies-defense-wage-lawsuits-2025-01-15/" TargetMode="External"/><Relationship Id="rId2298" Type="http://schemas.openxmlformats.org/officeDocument/2006/relationships/hyperlink" Target="https://public.fastcase.com/waZtJvSA54UAurM2rmIZz2loI3SMK51lisNXjYZKph2xHHDuTcicSNaYOQdhESxu4yBG2%2FvlbYv%2BMp6LYbH6Xh9C0n%2BJCkyXjjUwyrGDKNg%3D" TargetMode="External"/><Relationship Id="rId3044" Type="http://schemas.openxmlformats.org/officeDocument/2006/relationships/hyperlink" Target="https://www.wkbn.com/news/coronavirus/dewine-signs-law-giving-covid-19-lawsuit-immunity/" TargetMode="External"/><Relationship Id="rId172" Type="http://schemas.openxmlformats.org/officeDocument/2006/relationships/hyperlink" Target="https://www.anylaw.com/case/state-v-messer/ohio-court-of-appeals/12-04-2023/hMqWTIwBqcoRgE-I70tV" TargetMode="External"/><Relationship Id="rId477" Type="http://schemas.openxmlformats.org/officeDocument/2006/relationships/hyperlink" Target="https://www.supremecourt.ohio.gov/rod/docs/pdf/10/2024/2024-Ohio-5181.pdf" TargetMode="External"/><Relationship Id="rId684" Type="http://schemas.openxmlformats.org/officeDocument/2006/relationships/hyperlink" Target="https://www2.ca3.uscourts.gov/opinarch/231900p.pdf" TargetMode="External"/><Relationship Id="rId2060" Type="http://schemas.openxmlformats.org/officeDocument/2006/relationships/hyperlink" Target="https://supreme.justia.com/cases/federal/us/470/532/" TargetMode="External"/><Relationship Id="rId2158" Type="http://schemas.openxmlformats.org/officeDocument/2006/relationships/hyperlink" Target="https://www.njcourts.gov/system/files/court-opinions/2024/a2968-22.pdf" TargetMode="External"/><Relationship Id="rId2365" Type="http://schemas.openxmlformats.org/officeDocument/2006/relationships/hyperlink" Target="https://www.supremecourt.gov/opinions/11pdf/10-1018.pdf" TargetMode="External"/><Relationship Id="rId337" Type="http://schemas.openxmlformats.org/officeDocument/2006/relationships/hyperlink" Target="https://drive.google.com/file/d/1VWwIseEl7gdzhv6UxgyZNZeTX7Y_8-m_/view" TargetMode="External"/><Relationship Id="rId891" Type="http://schemas.openxmlformats.org/officeDocument/2006/relationships/hyperlink" Target="https://www.mass.gov/doc/grenier-pierre-v-springfield-fire-department-related-appeals-court-decision-101124/download" TargetMode="External"/><Relationship Id="rId989" Type="http://schemas.openxmlformats.org/officeDocument/2006/relationships/hyperlink" Target="https://casetext.com/case/the-city-of-houston-v-stoffer" TargetMode="External"/><Relationship Id="rId2018" Type="http://schemas.openxmlformats.org/officeDocument/2006/relationships/hyperlink" Target="https://www.npr.org/2021/11/09/1054000996/oklahoma-supreme-court-465-million-opioid-ruling" TargetMode="External"/><Relationship Id="rId2572" Type="http://schemas.openxmlformats.org/officeDocument/2006/relationships/hyperlink" Target="https://public.fastcase.com/Wl%2B2t%2BeVuI35%2FN70vAMFZlfrbL2Iv9t8X190JkA%2BKSgGR212V5tgaR0%2FcTyilOxc" TargetMode="External"/><Relationship Id="rId2877" Type="http://schemas.openxmlformats.org/officeDocument/2006/relationships/hyperlink" Target="https://d.docs.live.net/bd9b2eaf6053242e/AppData/Roaming/Microsoft/AppData/Local/Microsoft/Windows/INetCache/IE/7HZ56W7X/sweat.joseph.opn_.pdf" TargetMode="External"/><Relationship Id="rId544" Type="http://schemas.openxmlformats.org/officeDocument/2006/relationships/hyperlink" Target="https://www.delawareonline.com/story/news/local/2016/10/12/injured-wilmington-firefighters-critical-condition/91951672/" TargetMode="External"/><Relationship Id="rId751" Type="http://schemas.openxmlformats.org/officeDocument/2006/relationships/hyperlink" Target="https://www.supremecourt.gov/opinions/22pdf/22a544_n758.pdf" TargetMode="External"/><Relationship Id="rId849" Type="http://schemas.openxmlformats.org/officeDocument/2006/relationships/hyperlink" Target="http://www.pacourts.us/assets/opinions/Superior/out/j-s12006-19o%20-%2010413599977313050.pdf" TargetMode="External"/><Relationship Id="rId1174" Type="http://schemas.openxmlformats.org/officeDocument/2006/relationships/hyperlink" Target="https://casetext.com/case/bolling-v-city-of-montgomery" TargetMode="External"/><Relationship Id="rId1381" Type="http://schemas.openxmlformats.org/officeDocument/2006/relationships/hyperlink" Target="https://www.supremecourt.gov/opinions/23pdf/22-193_q86b.pdf" TargetMode="External"/><Relationship Id="rId1479" Type="http://schemas.openxmlformats.org/officeDocument/2006/relationships/hyperlink" Target="https://casetext.com/case/united-states-v-fields-198" TargetMode="External"/><Relationship Id="rId1686" Type="http://schemas.openxmlformats.org/officeDocument/2006/relationships/hyperlink" Target="https://cases.justia.com/federal/district-courts/ohio/ohsdce/2:2023cv02466/282351/63/0.pdf?ts=1771088328" TargetMode="External"/><Relationship Id="rId2225" Type="http://schemas.openxmlformats.org/officeDocument/2006/relationships/hyperlink" Target="https://casetext.com/statute/united-states-code/title-42-the-public-health-and-welfare/chapter-7-social-security/subchapter-xi-general-provisions-peer-review-and-administrative-simplification/part-a-general-provisions/section-1320a-uniform-reporting-systems-for-health-services-facilities-and-organizations" TargetMode="External"/><Relationship Id="rId2432" Type="http://schemas.openxmlformats.org/officeDocument/2006/relationships/hyperlink" Target="https://ecf.flmd.uscourts.gov/cgi-bin/show_public_doc?2019-00439-60-2-cv" TargetMode="External"/><Relationship Id="rId404" Type="http://schemas.openxmlformats.org/officeDocument/2006/relationships/hyperlink" Target="https://monographs.iarc.who.int/agents-classified-by-the-iarc/" TargetMode="External"/><Relationship Id="rId611" Type="http://schemas.openxmlformats.org/officeDocument/2006/relationships/hyperlink" Target="https://controller.phila.gov/philadelphia-audits/philadelphia-fire-department-department-needs-to-reconsider-its-brownout-rotation-policies/" TargetMode="External"/><Relationship Id="rId1034" Type="http://schemas.openxmlformats.org/officeDocument/2006/relationships/hyperlink" Target="https://cases.justia.com/texas/seventh-court-of-appeals/2020-07-19-00027-cr.pdf?ts=1586952945" TargetMode="External"/><Relationship Id="rId1241" Type="http://schemas.openxmlformats.org/officeDocument/2006/relationships/hyperlink" Target="https://www.doi.gov/sites/doi.gov/files/migrated/flert/training/upload/General-FF-LEO-Retirement-Information-Pamphlet.pdf" TargetMode="External"/><Relationship Id="rId1339" Type="http://schemas.openxmlformats.org/officeDocument/2006/relationships/hyperlink" Target="http://www.eeoc.gov/contact/index.cfm" TargetMode="External"/><Relationship Id="rId1893" Type="http://schemas.openxmlformats.org/officeDocument/2006/relationships/hyperlink" Target="https://casetext.com/case/adams-v-city-of-kan-city-1" TargetMode="External"/><Relationship Id="rId2737" Type="http://schemas.openxmlformats.org/officeDocument/2006/relationships/hyperlink" Target="https://law.justia.com/cases/florida/third-district-court-of-appeal/2022/3d21-2413.html" TargetMode="External"/><Relationship Id="rId2944" Type="http://schemas.openxmlformats.org/officeDocument/2006/relationships/hyperlink" Target="https://law.justia.com/cases/new-york/court-of-appeals/2022/95.html" TargetMode="External"/><Relationship Id="rId709" Type="http://schemas.openxmlformats.org/officeDocument/2006/relationships/hyperlink" Target="https://media.cadc.uscourts.gov/opinions/docs/2024/10/22-3042-2081254.pdf" TargetMode="External"/><Relationship Id="rId916" Type="http://schemas.openxmlformats.org/officeDocument/2006/relationships/hyperlink" Target="https://www.eff.org/files/2022/07/11/2022-07-11_-_tenth_circuit_-_irizarry_v_yehia.pdf" TargetMode="External"/><Relationship Id="rId1101" Type="http://schemas.openxmlformats.org/officeDocument/2006/relationships/hyperlink" Target="https://caselaw.findlaw.com/court/ny-supreme-court/117196656.html" TargetMode="External"/><Relationship Id="rId1546" Type="http://schemas.openxmlformats.org/officeDocument/2006/relationships/hyperlink" Target="https://cases.justia.com/federal/appellate-courts/ca8/24-2646/24-2646-2025-07-08.pdf?ts=1751988624" TargetMode="External"/><Relationship Id="rId1753" Type="http://schemas.openxmlformats.org/officeDocument/2006/relationships/hyperlink" Target="https://www.osha.gov/laws-regs/regulations/standardnumber/1910/1910.95AppF" TargetMode="External"/><Relationship Id="rId1960" Type="http://schemas.openxmlformats.org/officeDocument/2006/relationships/hyperlink" Target="https://www.facebook.com/watch/?v=2023629185244531" TargetMode="External"/><Relationship Id="rId2804" Type="http://schemas.openxmlformats.org/officeDocument/2006/relationships/hyperlink" Target="http://masscases.com/cases/app/82/82massappct623.html" TargetMode="External"/><Relationship Id="rId45" Type="http://schemas.openxmlformats.org/officeDocument/2006/relationships/hyperlink" Target="https://cases.justia.com/federal/appellate-courts/ca6/25-1089/25-1089-2026-05-20.pdf?ts=1779309039" TargetMode="External"/><Relationship Id="rId1406" Type="http://schemas.openxmlformats.org/officeDocument/2006/relationships/hyperlink" Target="https://public.fastcase.com/H1P9uiW3J20SFp%2BGCG%2BxLdAy%2Fo69TrR1K6MVQcVakXAVjkfoheCj%2FALYO7mhCcaM?utm_medium=email&amp;_hsenc=p2ANqtz-_QVKpYjRM7B2Q5-sqKd1q9ccEl8nSIxeJoGOvaUfjL9Y5LBcGC98GOiGM8SvSGdTXKNaMFLIGTEL-_cGBVPHnVUR_G4Q&amp;_hsmi=226712652&amp;utm_content=226712652&amp;utm_source=hs_email" TargetMode="External"/><Relationship Id="rId1613" Type="http://schemas.openxmlformats.org/officeDocument/2006/relationships/hyperlink" Target="https://www.masslive.com/opinion/2018/05/time_is_now_to_approve_contrac.html" TargetMode="External"/><Relationship Id="rId1820" Type="http://schemas.openxmlformats.org/officeDocument/2006/relationships/hyperlink" Target="https://cases.justia.com/federal/district-courts/oklahoma/okedce/6:2023cv00241/34830/33/0.pdf?ts=1732294058" TargetMode="External"/><Relationship Id="rId194" Type="http://schemas.openxmlformats.org/officeDocument/2006/relationships/hyperlink" Target="https://casetext.com/case/commonwealth-v-smith-1490" TargetMode="External"/><Relationship Id="rId1918" Type="http://schemas.openxmlformats.org/officeDocument/2006/relationships/hyperlink" Target="https://www.dol.gov/sites/dolgov/files/WHD/legacy/files/fab_2020_5.pdf" TargetMode="External"/><Relationship Id="rId2082" Type="http://schemas.openxmlformats.org/officeDocument/2006/relationships/hyperlink" Target="https://www.pacourts.us/assets/opinions/Commonwealth/out/196CD25_4-23-26.pdf?cb=1" TargetMode="External"/><Relationship Id="rId261" Type="http://schemas.openxmlformats.org/officeDocument/2006/relationships/hyperlink" Target="https://public.fastcase.com/9SKwsfNqTc6OieYDhNMyMxCncQbdnZBHHYClkb%2F5rq5vAcucBX21mkOLoZWomgOrkfyB0T1fu8X9VBZqJtLwyHdQaAVKSMi9mGC9zU6KrUc%3D" TargetMode="External"/><Relationship Id="rId499" Type="http://schemas.openxmlformats.org/officeDocument/2006/relationships/hyperlink" Target="https://public.fastcase.com/H1P9uiW3J20SFp%2BGCG%2BxLbl0r%2FVDwzY9bFFJYqsh2zfJNVHn0JMcdFbkvIZSEaI0?utm_medium=email&amp;_hsmi=226712652&amp;_hsenc=p2ANqtz-8YA_f1AfCb15SVfFtIs0GBJg2UPhrOC0M_f0Fb9rbVagQyKLN71UFoiLhG6tJj5xQri87F989l3qtQXeXvmTCDhcNwWw&amp;utm_content=226712652&amp;utm_source=hs_email" TargetMode="External"/><Relationship Id="rId2387" Type="http://schemas.openxmlformats.org/officeDocument/2006/relationships/hyperlink" Target="https://beta.documentcloud.org/documents/20433223-covid-19-relief-bill" TargetMode="External"/><Relationship Id="rId2594" Type="http://schemas.openxmlformats.org/officeDocument/2006/relationships/hyperlink" Target="https://cases.justia.com/federal/district-courts/west-virginia/wvsdce/2:2023cv00338/236654/125/0.pdf?ts=1789757288" TargetMode="External"/><Relationship Id="rId359" Type="http://schemas.openxmlformats.org/officeDocument/2006/relationships/hyperlink" Target="https://cases.justia.com/federal/district-courts/colorado/codce/1:2017cv02034/173671/65/0.pdf?ts=1551517811" TargetMode="External"/><Relationship Id="rId566" Type="http://schemas.openxmlformats.org/officeDocument/2006/relationships/hyperlink" Target="https://www.14news.com/2021/08/12/supreme-court-wont-stop-indiana-universitys-covid-vaccination-requirement/" TargetMode="External"/><Relationship Id="rId773" Type="http://schemas.openxmlformats.org/officeDocument/2006/relationships/hyperlink" Target="https://www.thestate.com/news/local/crime/article120075733.html" TargetMode="External"/><Relationship Id="rId1196" Type="http://schemas.openxmlformats.org/officeDocument/2006/relationships/hyperlink" Target="https://ilcourtsaudio.blob.core.windows.net/antilles-resources/resources/51e43aff-4d85-414d-b8bb-128a5f970896/Int%20Assn%20of%20Fire%20Fighters,%20Local%2050%20v.%20City%20of%20Peoria,%202021%20IL%20127040.pdf" TargetMode="External"/><Relationship Id="rId2247" Type="http://schemas.openxmlformats.org/officeDocument/2006/relationships/hyperlink" Target="https://public.fastcase.com/ZZhmr5v9wN%2FXOe5IsQ%2FqD48qScyjnns4BvOFYThqD1VKn2oC3YL9HIinTf%2Fp30r2wBlFtUUFvRMyBphGDo8K28IC4vVctJZhhayY6V%2Bfn28%3D?utm_medium=email&amp;_hsmi=226712652&amp;_hsenc=p2ANqtz--TIjwUVFjOo5damiP3K6KiM86Ts0N1olRqZ_ArClgxTthTEvnZAd5hvf4I6P2KEFN6nH9cQVmvAvnMp9eheEIqoLW5ew&amp;utm_content=226712652&amp;utm_source=hs_email" TargetMode="External"/><Relationship Id="rId2454" Type="http://schemas.openxmlformats.org/officeDocument/2006/relationships/hyperlink" Target="https://oig.hhs.gov/fraud/docs/advisoryopinions/2019/AdvOpn19-03.pdf" TargetMode="External"/><Relationship Id="rId2899" Type="http://schemas.openxmlformats.org/officeDocument/2006/relationships/hyperlink" Target="https://cases.justia.com/texas/fourteenth-court-of-appeals/2025-14-24-00613-cv.pdf?ts=1752594731" TargetMode="External"/><Relationship Id="rId121" Type="http://schemas.openxmlformats.org/officeDocument/2006/relationships/hyperlink" Target="https://cases.justia.com/iowa/court-of-appeals/2024-23-0625.pdf?ts=1730301434" TargetMode="External"/><Relationship Id="rId219" Type="http://schemas.openxmlformats.org/officeDocument/2006/relationships/hyperlink" Target="https://law.justia.com/cases/new-jersey/appellate-division-published/2022/a-1868-21.html" TargetMode="External"/><Relationship Id="rId426" Type="http://schemas.openxmlformats.org/officeDocument/2006/relationships/hyperlink" Target="https://cases.justia.com/federal/district-courts/montana/mtdce/2:2025cv00036/80451/160/0.pdf?ts=1768305911" TargetMode="External"/><Relationship Id="rId633" Type="http://schemas.openxmlformats.org/officeDocument/2006/relationships/hyperlink" Target="http://www.ca4.uscourts.gov/Opinions/171419.U.pdf" TargetMode="External"/><Relationship Id="rId980" Type="http://schemas.openxmlformats.org/officeDocument/2006/relationships/hyperlink" Target="https://cases.justia.com/texas/fourteenth-court-of-appeals/2025-14-24-00251-cv.pdf?ts=1745499568" TargetMode="External"/><Relationship Id="rId1056" Type="http://schemas.openxmlformats.org/officeDocument/2006/relationships/hyperlink" Target="https://coa.nmcourts.gov/wp-content/uploads/sites/43/2026/08/August-19-2026-Janet-M.-Di-Luzio-v.-City-of-Santa-Fe-No.-A-1-CA-41627.pdf" TargetMode="External"/><Relationship Id="rId1263" Type="http://schemas.openxmlformats.org/officeDocument/2006/relationships/hyperlink" Target="https://casetext.com/case/heneghan-v-city-of-evanston" TargetMode="External"/><Relationship Id="rId2107" Type="http://schemas.openxmlformats.org/officeDocument/2006/relationships/hyperlink" Target="https://cases.justia.com/federal/district-courts/utah/utdce/2:2025cv00111/154289/32/0.pdf?ts=1765634947" TargetMode="External"/><Relationship Id="rId2314" Type="http://schemas.openxmlformats.org/officeDocument/2006/relationships/hyperlink" Target="https://public.fastcase.com/waZtJvSA54UAurM2rmIZzwvOxdABv7XvwmmlDXNvdvn51CTV3NslG6Rw0yioxZXL%2BjJOhhNAJF%2FpIN8S52jcKAcJWCdsLYpOkU1PQ4W0%2BbA%3D" TargetMode="External"/><Relationship Id="rId2661" Type="http://schemas.openxmlformats.org/officeDocument/2006/relationships/hyperlink" Target="https://supreme.justia.com/cases/federal/us/376/254/" TargetMode="External"/><Relationship Id="rId2759" Type="http://schemas.openxmlformats.org/officeDocument/2006/relationships/hyperlink" Target="https://cases.justia.com/texas/eleventh-court-of-appeals/2022-11-21-00026-cv.pdf?ts=1659010960" TargetMode="External"/><Relationship Id="rId2966" Type="http://schemas.openxmlformats.org/officeDocument/2006/relationships/hyperlink" Target="https://www.vindy.com/news/local-news/2021/02/judge-rules-city-treated-fire-union-unfairly/" TargetMode="External"/><Relationship Id="rId840" Type="http://schemas.openxmlformats.org/officeDocument/2006/relationships/hyperlink" Target="https://www.courthousenews.com/wp-content/uploads/2020/04/G4S.pdf" TargetMode="External"/><Relationship Id="rId938" Type="http://schemas.openxmlformats.org/officeDocument/2006/relationships/hyperlink" Target="https://www.npr.org/2021/10/18/1047085626/supreme-court-police-qualified-immunity-cases" TargetMode="External"/><Relationship Id="rId1470" Type="http://schemas.openxmlformats.org/officeDocument/2006/relationships/hyperlink" Target="https://scholar.google.com/scholar_case?case=10119606247499891126&amp;q=Rachel+MOSBY+v.+CITY+OF+BYRON,+GEORGIA,&amp;hl=en&amp;as_sdt=6,36" TargetMode="External"/><Relationship Id="rId1568" Type="http://schemas.openxmlformats.org/officeDocument/2006/relationships/hyperlink" Target="https://casetext.com/case/dyer-v-city-of-new-orleans-2" TargetMode="External"/><Relationship Id="rId1775" Type="http://schemas.openxmlformats.org/officeDocument/2006/relationships/hyperlink" Target="https://www.justice.gov/opa/pr/justice-department-reaches-agreement-city-and-county-denver-resolve-disability-discrimination" TargetMode="External"/><Relationship Id="rId2521" Type="http://schemas.openxmlformats.org/officeDocument/2006/relationships/hyperlink" Target="https://afcca.law.af.mil/afcca_opinions/cp/giles_-_40482_u_2091447.pdf" TargetMode="External"/><Relationship Id="rId2619" Type="http://schemas.openxmlformats.org/officeDocument/2006/relationships/hyperlink" Target="https://nola.gov/getattachment/a5d775b2-685d-43c3-a7ff-ae60a9dcf745/Murphy,-Michael-9697-9698/" TargetMode="External"/><Relationship Id="rId2826" Type="http://schemas.openxmlformats.org/officeDocument/2006/relationships/hyperlink" Target="https://www.dmlp.org/legal-guide/california-recording-law" TargetMode="External"/><Relationship Id="rId67" Type="http://schemas.openxmlformats.org/officeDocument/2006/relationships/hyperlink" Target="https://cases.justia.com/new-york/other-courts/2025-2025-ny-slip-op-33961-u.pdf?ts=1761686709" TargetMode="External"/><Relationship Id="rId700" Type="http://schemas.openxmlformats.org/officeDocument/2006/relationships/hyperlink" Target="https://www.courthousenews.com/dc-circuit-side-eyes-capitol-rioters-argument-that-pepper-spray-is-not-a-dangerous-weapon/" TargetMode="External"/><Relationship Id="rId1123" Type="http://schemas.openxmlformats.org/officeDocument/2006/relationships/hyperlink" Target="https://cases.justia.com/louisiana/fourth-circuit-court-of-appeal/2024-2024-ca-0114.pdf?ts=1727828103" TargetMode="External"/><Relationship Id="rId1330" Type="http://schemas.openxmlformats.org/officeDocument/2006/relationships/hyperlink" Target="http://inmanfitzgibbons.com/illinois-wc-alert-rebutting-the-6f-presumption/" TargetMode="External"/><Relationship Id="rId1428" Type="http://schemas.openxmlformats.org/officeDocument/2006/relationships/hyperlink" Target="https://www.dol.gov/agencies/whd/fact-sheets/73-flsa-break-time-nursing-mothers" TargetMode="External"/><Relationship Id="rId1635" Type="http://schemas.openxmlformats.org/officeDocument/2006/relationships/hyperlink" Target="https://www.charlotteobserver.com/sports/nascar-auto-racing/article241998186.html" TargetMode="External"/><Relationship Id="rId1982" Type="http://schemas.openxmlformats.org/officeDocument/2006/relationships/hyperlink" Target="https://casetext.com/statute/montana-code/title-2-government-structure-and-administration/chapter-4-administrative-procedure-act/part-7-judicial-review-of-contested-cases/section-2-4-701-immediate-review-of-agency-action" TargetMode="External"/><Relationship Id="rId1842" Type="http://schemas.openxmlformats.org/officeDocument/2006/relationships/hyperlink" Target="https://www.ecfr.gov/current/title-29/section-778.201" TargetMode="External"/><Relationship Id="rId1702" Type="http://schemas.openxmlformats.org/officeDocument/2006/relationships/hyperlink" Target="https://casetext.com/case/fitzgerald-v-city-of-lawrence" TargetMode="External"/><Relationship Id="rId283" Type="http://schemas.openxmlformats.org/officeDocument/2006/relationships/hyperlink" Target="https://ktla.com/news/nationworld/supreme-court-sides-with-new-mexico-woman-shot-by-police-while-fleeing/" TargetMode="External"/><Relationship Id="rId490" Type="http://schemas.openxmlformats.org/officeDocument/2006/relationships/hyperlink" Target="https://cases.justia.com/indiana/court-of-appeals/2023-23a-ct-00945.pdf?ts=1698084643" TargetMode="External"/><Relationship Id="rId2171" Type="http://schemas.openxmlformats.org/officeDocument/2006/relationships/hyperlink" Target="https://revisor.mo.gov/main/OneSection.aspx?section=579.020" TargetMode="External"/><Relationship Id="rId3015" Type="http://schemas.openxmlformats.org/officeDocument/2006/relationships/hyperlink" Target="https://casetext.com/case/dolan-v-fed-emergency-mgmt-agency" TargetMode="External"/><Relationship Id="rId143" Type="http://schemas.openxmlformats.org/officeDocument/2006/relationships/hyperlink" Target="https://www.law.cornell.edu/wex/inadmissible" TargetMode="External"/><Relationship Id="rId350" Type="http://schemas.openxmlformats.org/officeDocument/2006/relationships/hyperlink" Target="https://www.supremecourt.gov/orders/courtorders/052819zor_2dq3.pdf" TargetMode="External"/><Relationship Id="rId588" Type="http://schemas.openxmlformats.org/officeDocument/2006/relationships/hyperlink" Target="https://fox13now.com/2019/09/11/family-of-fallen-draper-firefighter-suing-state-of-california-for-wrongful-death/" TargetMode="External"/><Relationship Id="rId795" Type="http://schemas.openxmlformats.org/officeDocument/2006/relationships/hyperlink" Target="https://www.supremecourt.gov/opinions/20pdf/19-863_6jgm.pdf" TargetMode="External"/><Relationship Id="rId2031" Type="http://schemas.openxmlformats.org/officeDocument/2006/relationships/hyperlink" Target="http://futurefirefighters.org/firefighter-drinking-driving/" TargetMode="External"/><Relationship Id="rId2269" Type="http://schemas.openxmlformats.org/officeDocument/2006/relationships/hyperlink" Target="https://caselaw.findlaw.com/ny-supreme-court/2147274.html" TargetMode="External"/><Relationship Id="rId2476" Type="http://schemas.openxmlformats.org/officeDocument/2006/relationships/hyperlink" Target="https://cases.justia.com/michigan/court-of-appeals-unpublished/2018-335366.pdf?ts=1524229247" TargetMode="External"/><Relationship Id="rId2683" Type="http://schemas.openxmlformats.org/officeDocument/2006/relationships/hyperlink" Target="https://public.fastcase.com/jaEE2PXzRXmZ99jOLMt1IvnyNWPww1WM4x9Gu%2FtN0VhNRAtIpNmmlJ0KM%2F7ZbO911LK6og3L2kiKY%2FASa5mScG8uOsEhAwFbnlzs62F6rSE%3D?utm_medium=email&amp;_hsenc=p2ANqtz-8WZqH_E7rdb_OeZm87WsAQDzZautt0uiTp2Bj7gwVxym265a6f7pCBzZ-RPNW5j-Z8_i7kqeL1it9h0mjMyyn0Q0mh5A&amp;_hsmi=226712652&amp;utm_content=226712652&amp;utm_source=hs_email" TargetMode="External"/><Relationship Id="rId2890" Type="http://schemas.openxmlformats.org/officeDocument/2006/relationships/hyperlink" Target="https://www.casemine.com/judgement/us/6a367934174bb89f9fdb2ff2" TargetMode="External"/><Relationship Id="rId9" Type="http://schemas.openxmlformats.org/officeDocument/2006/relationships/hyperlink" Target="https://usfa.bibliovation.com/app/work/255508" TargetMode="External"/><Relationship Id="rId210" Type="http://schemas.openxmlformats.org/officeDocument/2006/relationships/hyperlink" Target="https://www.legislature.ohio.gov/legislation/134/hb99" TargetMode="External"/><Relationship Id="rId448" Type="http://schemas.openxmlformats.org/officeDocument/2006/relationships/hyperlink" Target="https://cases.justia.com/federal/district-courts/kentucky/kyedce/6:2024cv00173/106630/18/0.pdf?ts=1750154108" TargetMode="External"/><Relationship Id="rId655" Type="http://schemas.openxmlformats.org/officeDocument/2006/relationships/hyperlink" Target="https://www.law.cornell.edu/uscode/text/28/1605A" TargetMode="External"/><Relationship Id="rId862" Type="http://schemas.openxmlformats.org/officeDocument/2006/relationships/hyperlink" Target="https://www.law.com/newyorklawjournal/2018/06/06/2nd-circuit-revives-911-workers-suit-against-battery-park-city-authority/" TargetMode="External"/><Relationship Id="rId1078" Type="http://schemas.openxmlformats.org/officeDocument/2006/relationships/hyperlink" Target="https://cases.justia.com/arizona/supreme-court/2025-cv-23-0211-pr.pdf?ts=1743008459" TargetMode="External"/><Relationship Id="rId1285" Type="http://schemas.openxmlformats.org/officeDocument/2006/relationships/hyperlink" Target="http://codes.ohio.gov/orc/2743.75" TargetMode="External"/><Relationship Id="rId1492" Type="http://schemas.openxmlformats.org/officeDocument/2006/relationships/hyperlink" Target="https://www.firerescue1.com/lawsuit/articles/former-kan-fire-inspector-loses-discrimination-lawsuit-7znPnJr96hoozkWc/?utm_source=FireRescue1+Member+Newsletter&amp;utm_campaign=c8726896e1-EMAIL_CAMPAIGN_2020_01_21_07_39&amp;utm_medium=email&amp;utm_term=0_758bdbeffe-c8726896e1-41607823" TargetMode="External"/><Relationship Id="rId2129" Type="http://schemas.openxmlformats.org/officeDocument/2006/relationships/hyperlink" Target="https://public.fastcase.com/jaEE2PXzRXmZ99jOLMt1Ii3GHq1DqUk6JcIatDazVs2MT6qOPN%2BlSHCpyD6INecs?utm_medium=email&amp;_hsenc=p2ANqtz--mlDS8haOQgu8WvAgxTOdChC-L5bDfnY4D7GnlMH_0KI2lqvAqiMoF8QlUmIn8nD4qRtsgkZAeTqUVI7tJfHdW7459rg&amp;_hsmi=226712652&amp;utm_content=226712652&amp;utm_source=hs_email" TargetMode="External"/><Relationship Id="rId2336" Type="http://schemas.openxmlformats.org/officeDocument/2006/relationships/hyperlink" Target="https://casetext.com/case/ortiz-v-renteria" TargetMode="External"/><Relationship Id="rId2543" Type="http://schemas.openxmlformats.org/officeDocument/2006/relationships/hyperlink" Target="https://ilcourtsaudio.blob.core.windows.net/antilles-resources/resources/92cdfb54-2dda-4342-acee-d86ea11493ea/Szymala%20v.%20Romeoville%20Firefighters%27%20Pension%20Fund,%202023%20IL%20App%20(3d)%20220093-U.pdf" TargetMode="External"/><Relationship Id="rId2750" Type="http://schemas.openxmlformats.org/officeDocument/2006/relationships/hyperlink" Target="https://www.firerescue1.com/arson-investigation/articles/understanding-the-firefighter-arsonist-j06dtElH3OMZMwBS/" TargetMode="External"/><Relationship Id="rId2988" Type="http://schemas.openxmlformats.org/officeDocument/2006/relationships/hyperlink" Target="https://www.healthaffairs.org/content/forefront/no-surprises-act-litigation-status-check" TargetMode="External"/><Relationship Id="rId308" Type="http://schemas.openxmlformats.org/officeDocument/2006/relationships/hyperlink" Target="https://public.fastcase.com/Wl%2B2t%2BeVuI35%2FN70vAMFZg2BMAXQvmThuD9oRUd4r3OTVcwOC01J7TzGKhK5Lojo" TargetMode="External"/><Relationship Id="rId515" Type="http://schemas.openxmlformats.org/officeDocument/2006/relationships/hyperlink" Target="https://apps.usfa.fema.gov/firefighter-fatalities/fatalityData/detail?fatalityId=4784" TargetMode="External"/><Relationship Id="rId722" Type="http://schemas.openxmlformats.org/officeDocument/2006/relationships/hyperlink" Target="https://casetext.com/case/coal-for-indep-tech-research-v-abbott" TargetMode="External"/><Relationship Id="rId1145" Type="http://schemas.openxmlformats.org/officeDocument/2006/relationships/hyperlink" Target="https://public.fastcase.com/ZZhmr5v9wN%2FXOe5IsQ%2FqD597Cj8vEFtFKU6dv%2BnWYID0RND2DGxx0gwPm3LnKjbN?utm_medium=email&amp;_hsmi=226712652&amp;_hsenc=p2ANqtz-9VqkDv3iEaCOhGJ0e7W649YKVFgXPPT1K4rwfEfIma89pOhcAxwCchfIpHNeRMlfH4gAwQhfXkNV3ClRJYpxBL670A4g&amp;utm_content=226712652&amp;utm_source=hs_email" TargetMode="External"/><Relationship Id="rId1352" Type="http://schemas.openxmlformats.org/officeDocument/2006/relationships/hyperlink" Target="https://legislature.vermont.gov/assets/Documents/2018/WorkGroups/House%20Commerce/Bills/H.197/H.197~Laura%20Backus%20Hall~NCCI%20White%20Paper%20on%20Firefighter%20Presumptive%20Coverage~3-16-2017.pdf" TargetMode="External"/><Relationship Id="rId1797" Type="http://schemas.openxmlformats.org/officeDocument/2006/relationships/hyperlink" Target="https://www.dol.gov/agencies/whd/fact-sheets/22-flsa-hours-worked" TargetMode="External"/><Relationship Id="rId2403" Type="http://schemas.openxmlformats.org/officeDocument/2006/relationships/hyperlink" Target="https://www.wkbn.com/news/coronavirus/dewine-signs-law-giving-covid-19-lawsuit-immunity/" TargetMode="External"/><Relationship Id="rId2848" Type="http://schemas.openxmlformats.org/officeDocument/2006/relationships/hyperlink" Target="https://www.supremecourt.ohio.gov/rod/docs/pdf/11/2019/2019-Ohio-5062.pdf" TargetMode="External"/><Relationship Id="rId89" Type="http://schemas.openxmlformats.org/officeDocument/2006/relationships/hyperlink" Target="https://www.usfa.fema.gov/prevention/home-fires/prepare-for-fire/smoke-alarms/" TargetMode="External"/><Relationship Id="rId1005" Type="http://schemas.openxmlformats.org/officeDocument/2006/relationships/hyperlink" Target="https://casetext.com/case/city-of-alvin-v-fields" TargetMode="External"/><Relationship Id="rId1212" Type="http://schemas.openxmlformats.org/officeDocument/2006/relationships/hyperlink" Target="https://www.leagle.com/decision/inohco20211007389" TargetMode="External"/><Relationship Id="rId1657" Type="http://schemas.openxmlformats.org/officeDocument/2006/relationships/hyperlink" Target="https://www.law.com/nationallawjournal/2020/03/23/why-ginsburg-joined-a-ruling-civil-rights-advocates-decry-as-terrible/" TargetMode="External"/><Relationship Id="rId1864" Type="http://schemas.openxmlformats.org/officeDocument/2006/relationships/hyperlink" Target="https://cases.justia.com/federal/appellate-courts/ca5/19-60847/19-60847-2021-01-12.pdf?ts=1610476251" TargetMode="External"/><Relationship Id="rId2610" Type="http://schemas.openxmlformats.org/officeDocument/2006/relationships/hyperlink" Target="https://public.fastcase.com/Jhe1Qn%2BmJndQYQU6z%2FeNm8xp5bcQpM0LeCpj95rZ5gNEdVG1ibFcIduRcZ%2B3IipaZYnYIym7VYjtpqKVlaUqasfnn8Tz1CVmcjSIlOE%2BPZg%3D?utm_medium=email&amp;_hsenc=p2ANqtz-9jjfQQEOm_2mMKI3z_PNL0spa8WgXuU5UtiIChSVPrFWGJFWa_yPhDa2X3hbtFntOPOz5eOn48J2_-s790WqIcSfBsuw&amp;_hsmi=226712652&amp;utm_content=226712652&amp;utm_source=hs_email" TargetMode="External"/><Relationship Id="rId2708" Type="http://schemas.openxmlformats.org/officeDocument/2006/relationships/hyperlink" Target="https://www.courtswv.gov/sites/default/pubfilesmnt/2023-12/22-ICA-267_MD.pdf" TargetMode="External"/><Relationship Id="rId2915" Type="http://schemas.openxmlformats.org/officeDocument/2006/relationships/hyperlink" Target="https://casetext.com/case/intl-assn-of-fire-fighters-local-1366-v-city-of-cedar-falls" TargetMode="External"/><Relationship Id="rId1517" Type="http://schemas.openxmlformats.org/officeDocument/2006/relationships/hyperlink" Target="https://www.yonkersny.gov/1138/Firefighter-Recruitment" TargetMode="External"/><Relationship Id="rId1724" Type="http://schemas.openxmlformats.org/officeDocument/2006/relationships/hyperlink" Target="https://www.eeoc.gov/laws/guidance/enforcement-guidance-disability-related-inquiries-and-medical-examinations-employees" TargetMode="External"/><Relationship Id="rId16" Type="http://schemas.openxmlformats.org/officeDocument/2006/relationships/hyperlink" Target="https://doi.org/10.7945/0dwx-fc52" TargetMode="External"/><Relationship Id="rId1931" Type="http://schemas.openxmlformats.org/officeDocument/2006/relationships/hyperlink" Target="https://www.justice.gov/crt-military/employment-rights-userra" TargetMode="External"/><Relationship Id="rId3037" Type="http://schemas.openxmlformats.org/officeDocument/2006/relationships/hyperlink" Target="https://pascrell.house.gov/news/documentsingle.aspx?DocumentID=4933" TargetMode="External"/><Relationship Id="rId2193" Type="http://schemas.openxmlformats.org/officeDocument/2006/relationships/hyperlink" Target="https://casetext.com/case/currie-v-aswegan-1" TargetMode="External"/><Relationship Id="rId2498" Type="http://schemas.openxmlformats.org/officeDocument/2006/relationships/hyperlink" Target="https://www.customsmobile.com/regulations/expand/title29_chapterXVII_part1904_subpartC_section1904.5" TargetMode="External"/><Relationship Id="rId165" Type="http://schemas.openxmlformats.org/officeDocument/2006/relationships/hyperlink" Target="https://www.supremecourt.gov/opinions/23pdf/22-324_09m1.pdf" TargetMode="External"/><Relationship Id="rId372" Type="http://schemas.openxmlformats.org/officeDocument/2006/relationships/hyperlink" Target="http://client.prod.iaff.org/" TargetMode="External"/><Relationship Id="rId677" Type="http://schemas.openxmlformats.org/officeDocument/2006/relationships/hyperlink" Target="https://media.ca7.uscourts.gov/cgi-bin/OpinionsWeb/processWebInputExternal.pl?Submit=Display&amp;Path=Y2025/D10-16/C:25-2798:J:PerCuriam:aut:T:op:N:3439487:S:0" TargetMode="External"/><Relationship Id="rId2053" Type="http://schemas.openxmlformats.org/officeDocument/2006/relationships/hyperlink" Target="https://cases.justia.com/oregon/court-of-appeals/2026-a185059.pdf?ts=1784734294" TargetMode="External"/><Relationship Id="rId2260" Type="http://schemas.openxmlformats.org/officeDocument/2006/relationships/hyperlink" Target="https://www.advisory.com/daily-briefing/2022/10/26/vaccine-mandate" TargetMode="External"/><Relationship Id="rId2358" Type="http://schemas.openxmlformats.org/officeDocument/2006/relationships/hyperlink" Target="http://codes.ohio.gov/oac/4765-9-01" TargetMode="External"/><Relationship Id="rId232" Type="http://schemas.openxmlformats.org/officeDocument/2006/relationships/hyperlink" Target="https://www.cunninghambounds.com/blogs/2022/june/state-immunity-state-agent-immunity-deputy-fire-/" TargetMode="External"/><Relationship Id="rId884" Type="http://schemas.openxmlformats.org/officeDocument/2006/relationships/hyperlink" Target="https://www.justice.gov/usao-wdtx/pr/san-antonio-woman-sentenced-prison-endangering-sapd-helicopter-laser" TargetMode="External"/><Relationship Id="rId2120" Type="http://schemas.openxmlformats.org/officeDocument/2006/relationships/hyperlink" Target="https://www.mass.gov/doc/commonwealth-v-verrier-ac-g24p446/download" TargetMode="External"/><Relationship Id="rId2565" Type="http://schemas.openxmlformats.org/officeDocument/2006/relationships/hyperlink" Target="https://public.fastcase.com/9SKwsfNqTc6OieYDhNMyM%2BsbSTu241pOZ38l1fL3GtOxRE1iLhH6RZm0FIyTdVeF1XRK6Ebg7B5equTDg4ZQiMxFMDQEZko4UYsaxrmOuYk%3D" TargetMode="External"/><Relationship Id="rId2772" Type="http://schemas.openxmlformats.org/officeDocument/2006/relationships/hyperlink" Target="https://www.supremecourt.ohio.gov/rod/docs/pdf/8/2022/2022-Ohio-824.pdf" TargetMode="External"/><Relationship Id="rId537" Type="http://schemas.openxmlformats.org/officeDocument/2006/relationships/hyperlink" Target="https://www.merckmanuals.com/professional/dermatologic-disorders/hair-disorders/pseudofolliculitis-barbae" TargetMode="External"/><Relationship Id="rId744" Type="http://schemas.openxmlformats.org/officeDocument/2006/relationships/hyperlink" Target="https://mdcourts.gov/data/opinions/cosa/2023/0021s22.pdf" TargetMode="External"/><Relationship Id="rId951" Type="http://schemas.openxmlformats.org/officeDocument/2006/relationships/hyperlink" Target="https://leginfo.legislature.ca.gov/faces/billTextClient.xhtml?bill_id=201920200AB2655" TargetMode="External"/><Relationship Id="rId1167" Type="http://schemas.openxmlformats.org/officeDocument/2006/relationships/hyperlink" Target="https://public.fastcase.com/J%2FJP6pdidelsXxEE4k%2BLMqXEJeUJZsYN8XwYWOyUlC0GPh%2F%2Bwkq0xl5anyRaTE9QaHRZkEBmW2yHOKZORN4PlxYhmnon1IB%2FHyIvmx43UH0%3D?utm_medium=email&amp;_hsmi=226712652&amp;_hsenc=p2ANqtz-9rfqpJ9UH1QBxXvlnF05ow2K3pkk0BVnTTX6Sp6SY3f-pdahd0e2LayjJ1D5QImVRxXi3oa7lL84FVoA8yZRWqxdZ-pA&amp;utm_content=226712652&amp;utm_source=hs_email" TargetMode="External"/><Relationship Id="rId1374" Type="http://schemas.openxmlformats.org/officeDocument/2006/relationships/hyperlink" Target="https://cases.justia.com/delaware/superior-court/2025-n25c-08-098-ssa.pdf?ts=1764099129" TargetMode="External"/><Relationship Id="rId1581" Type="http://schemas.openxmlformats.org/officeDocument/2006/relationships/hyperlink" Target="https://ww3.ca2.uscourts.gov/decisions/isysquery/16788bba-62d9-413f-95b7-7dccd6899f82/2/doc/23-482_so.pdf" TargetMode="External"/><Relationship Id="rId1679" Type="http://schemas.openxmlformats.org/officeDocument/2006/relationships/hyperlink" Target="https://cases.justia.com/federal/district-courts/maryland/mddce/1:2024cv03580/573207/56/0.pdf?ts=1777474810" TargetMode="External"/><Relationship Id="rId2218" Type="http://schemas.openxmlformats.org/officeDocument/2006/relationships/hyperlink" Target="https://www.courts.maine.gov/courts/sjc/lawcourt/2024/24me012.pdf" TargetMode="External"/><Relationship Id="rId2425" Type="http://schemas.openxmlformats.org/officeDocument/2006/relationships/hyperlink" Target="http://www.ca5.uscourts.gov/opinions/pub/19/19-10280-CV0.pdf" TargetMode="External"/><Relationship Id="rId2632" Type="http://schemas.openxmlformats.org/officeDocument/2006/relationships/hyperlink" Target="https://www.2news.com/news/local/former-sparks-fire-chief-pleads-no-contest-to-drug-related-charge/article_484d699c-7023-11ed-b795-ff8664a2c2d9.html" TargetMode="External"/><Relationship Id="rId80" Type="http://schemas.openxmlformats.org/officeDocument/2006/relationships/hyperlink" Target="https://cases.justia.com/federal/district-courts/texas/txsdce/3:2023cv00356/1939756/67/0.pdf?ts=1752929790" TargetMode="External"/><Relationship Id="rId604" Type="http://schemas.openxmlformats.org/officeDocument/2006/relationships/hyperlink" Target="https://www.leagle.com/decision/innvco20191115257" TargetMode="External"/><Relationship Id="rId811" Type="http://schemas.openxmlformats.org/officeDocument/2006/relationships/hyperlink" Target="https://www.ohchr.org/en/professionalinterest/pages/cat.aspx" TargetMode="External"/><Relationship Id="rId1027" Type="http://schemas.openxmlformats.org/officeDocument/2006/relationships/hyperlink" Target="https://law.justia.com/cases/mississippi/court-of-appeals/2021/2019-ca-01406-coa.html" TargetMode="External"/><Relationship Id="rId1234" Type="http://schemas.openxmlformats.org/officeDocument/2006/relationships/hyperlink" Target="https://codes.ohio.gov/ohio-revised-code/section-2745.01" TargetMode="External"/><Relationship Id="rId1441" Type="http://schemas.openxmlformats.org/officeDocument/2006/relationships/hyperlink" Target="https://apnews.com/article/savannah-discrimination-lawsuits-georgia-courts-181c735cb3d5f318ea6a76e14d237b4a" TargetMode="External"/><Relationship Id="rId1886" Type="http://schemas.openxmlformats.org/officeDocument/2006/relationships/hyperlink" Target="https://www.law.cornell.edu/uscode/text/29/216" TargetMode="External"/><Relationship Id="rId2937" Type="http://schemas.openxmlformats.org/officeDocument/2006/relationships/hyperlink" Target="file:///C:/Users/lawre/Downloads/Board%20Decision.pdf" TargetMode="External"/><Relationship Id="rId909" Type="http://schemas.openxmlformats.org/officeDocument/2006/relationships/hyperlink" Target="https://casetext.com/case/whittaker-v-howard-cnty-md" TargetMode="External"/><Relationship Id="rId1301" Type="http://schemas.openxmlformats.org/officeDocument/2006/relationships/hyperlink" Target="https://ohsonline.com/articles/2010/01/04/expanded-cancer-presumption-law.aspx" TargetMode="External"/><Relationship Id="rId1539" Type="http://schemas.openxmlformats.org/officeDocument/2006/relationships/hyperlink" Target="https://www.mdcourts.gov/sites/default/files/unreported-opinions/1234s24.pdf" TargetMode="External"/><Relationship Id="rId1746" Type="http://schemas.openxmlformats.org/officeDocument/2006/relationships/hyperlink" Target="https://www.iafc.org/docs/default-source/1vcos/vws_rrkit_nfpa-1582.pdf?sfvrsn=ca9b9f0d_2" TargetMode="External"/><Relationship Id="rId1953" Type="http://schemas.openxmlformats.org/officeDocument/2006/relationships/hyperlink" Target="https://www.jud.ct.gov/external/supapp/Cases/AROap/AP241/AP241.354.pdf" TargetMode="External"/><Relationship Id="rId38" Type="http://schemas.openxmlformats.org/officeDocument/2006/relationships/hyperlink" Target="https://www4.courts.ca.gov/opinions/documents/E087834.PDF" TargetMode="External"/><Relationship Id="rId1606" Type="http://schemas.openxmlformats.org/officeDocument/2006/relationships/hyperlink" Target="https://www.courtlistener.com/opinion/7859269/city-of-miami-v-david-rivera/" TargetMode="External"/><Relationship Id="rId1813" Type="http://schemas.openxmlformats.org/officeDocument/2006/relationships/hyperlink" Target="https://www.firefighterovertime.org/2018/09/17/battalion/" TargetMode="External"/><Relationship Id="rId187" Type="http://schemas.openxmlformats.org/officeDocument/2006/relationships/hyperlink" Target="https://public.fastcase.com/ZZhmr5v9wN%2FXOe5IsQ%2FqD3QWuMgnFl%2B3o%2F4uUFiu6RUK1p7KFM%2BXOmaedKhzNCbabAKegQ7cA7QRQh6Aya7idRlRF78qeqCUoqW17wj1IUw%3D?utm_medium=email&amp;_hsmi=226712652&amp;_hsenc=p2ANqtz-87CRXhJMi7biUmbeSml1AgtAY_NVYdYjA00lD_OXsZo9fEN5Imr0EyPY0zfsM2_JyagzI4vAzpnYyJYIEoZ9qDDKxGPw&amp;utm_content=226712652&amp;utm_source=hs_email" TargetMode="External"/><Relationship Id="rId394" Type="http://schemas.openxmlformats.org/officeDocument/2006/relationships/hyperlink" Target="http://www.casemine.com/judgement/us/6aac0620f0ddefeec2e11731" TargetMode="External"/><Relationship Id="rId2075" Type="http://schemas.openxmlformats.org/officeDocument/2006/relationships/hyperlink" Target="https://cases.justia.com/michigan/court-of-appeals-unpublished/2026-371690.pdf?ts=1779282004" TargetMode="External"/><Relationship Id="rId2282" Type="http://schemas.openxmlformats.org/officeDocument/2006/relationships/hyperlink" Target="https://law.justia.com/cases/michigan/court-of-appeals-unpublished/2022/357887.html" TargetMode="External"/><Relationship Id="rId254" Type="http://schemas.openxmlformats.org/officeDocument/2006/relationships/hyperlink" Target="https://www.mainelegislature.org/legis/statutes/17/title17sec2851.html" TargetMode="External"/><Relationship Id="rId699" Type="http://schemas.openxmlformats.org/officeDocument/2006/relationships/hyperlink" Target="https://media.cadc.uscourts.gov/opinions/docs/2025/01/23-3074-2094718.pdf" TargetMode="External"/><Relationship Id="rId1091" Type="http://schemas.openxmlformats.org/officeDocument/2006/relationships/hyperlink" Target="https://www.socialaw.com/services/slip-opinions/slip-opinion-details/michael-cannata-vs.-town-of-mashpee" TargetMode="External"/><Relationship Id="rId2587" Type="http://schemas.openxmlformats.org/officeDocument/2006/relationships/hyperlink" Target="https://law.justia.com/cases/new-jersey/supreme-court/2018/a-9-16.html" TargetMode="External"/><Relationship Id="rId2794" Type="http://schemas.openxmlformats.org/officeDocument/2006/relationships/hyperlink" Target="https://boston.cbslocal.com/2021/08/05/wellesley-fire-chief-richard-delorie-conflict-of-interest/" TargetMode="External"/><Relationship Id="rId114"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461" Type="http://schemas.openxmlformats.org/officeDocument/2006/relationships/hyperlink" Target="https://www.pacourts.us/assets/opinions/Superior/out/J-A11020-24m%20-%20106209941292398313.pdf?cb=1" TargetMode="External"/><Relationship Id="rId559" Type="http://schemas.openxmlformats.org/officeDocument/2006/relationships/hyperlink" Target="https://casetext.com/case/in-re-arbitration-between-city-of-ogdensburg" TargetMode="External"/><Relationship Id="rId766" Type="http://schemas.openxmlformats.org/officeDocument/2006/relationships/hyperlink" Target="https://www.supremecourt.gov/opinions/21pdf/21a477_1bo2.pdf" TargetMode="External"/><Relationship Id="rId1189" Type="http://schemas.openxmlformats.org/officeDocument/2006/relationships/hyperlink" Target="https://www.daytondailynews.com/news/west-carrollton-rehire-fire-chief-after-valentine-week-retirement/XSsYoJpSmxdkIIZtoGUpzJ/" TargetMode="External"/><Relationship Id="rId1396" Type="http://schemas.openxmlformats.org/officeDocument/2006/relationships/hyperlink" Target="https://codes.ohio.gov/ohio-revised-code/section-4112.022" TargetMode="External"/><Relationship Id="rId2142" Type="http://schemas.openxmlformats.org/officeDocument/2006/relationships/hyperlink" Target="https://storage.courtlistener.com/recap/gov.uscourts.cod.231472/gov.uscourts.cod.231472.63.0.pdf" TargetMode="External"/><Relationship Id="rId2447" Type="http://schemas.openxmlformats.org/officeDocument/2006/relationships/hyperlink" Target="http://www.opn.ca6.uscourts.gov/opinions.pdf/19a0272n-06.pdf" TargetMode="External"/><Relationship Id="rId321" Type="http://schemas.openxmlformats.org/officeDocument/2006/relationships/hyperlink" Target="http://www.firelawblog.com/wp-content/uploads/sites/19/2011/02/becker_final_ruling1.pdf" TargetMode="External"/><Relationship Id="rId419" Type="http://schemas.openxmlformats.org/officeDocument/2006/relationships/hyperlink" Target="https://cases.justia.com/texas/thirteenth-court-of-appeals/2026-13-24-00335-cr.pdf?ts=1773937817" TargetMode="External"/><Relationship Id="rId626" Type="http://schemas.openxmlformats.org/officeDocument/2006/relationships/hyperlink" Target="http://www2.ca3.uscourts.gov/opinarch/172183p.pdf" TargetMode="External"/><Relationship Id="rId973" Type="http://schemas.openxmlformats.org/officeDocument/2006/relationships/hyperlink" Target="https://caselaw.findlaw.com/court/tx-court-of-appeals/117928954.html" TargetMode="External"/><Relationship Id="rId1049" Type="http://schemas.openxmlformats.org/officeDocument/2006/relationships/hyperlink" Target="http://www.courts.ca.gov/opinions/nonpub/A154587.PDF" TargetMode="External"/><Relationship Id="rId1256" Type="http://schemas.openxmlformats.org/officeDocument/2006/relationships/hyperlink" Target="https://www.aclumaine.org/en/press-releases/yarmouth-residents-aclu-challenge-new-restrictions-who-can-run-town-council" TargetMode="External"/><Relationship Id="rId2002" Type="http://schemas.openxmlformats.org/officeDocument/2006/relationships/hyperlink" Target="https://www.justice.gov/opa/pr/justice-department-announces-global-resolution-criminal-and-civil-investigations-opioid" TargetMode="External"/><Relationship Id="rId2307" Type="http://schemas.openxmlformats.org/officeDocument/2006/relationships/hyperlink" Target="https://casetext.com/case/cazares-v-rand" TargetMode="External"/><Relationship Id="rId2654" Type="http://schemas.openxmlformats.org/officeDocument/2006/relationships/hyperlink" Target="https://www.youtube.com/watch?v=J9a7dzpchr4" TargetMode="External"/><Relationship Id="rId2861" Type="http://schemas.openxmlformats.org/officeDocument/2006/relationships/hyperlink" Target="http://www.sconet.state.oh.us/rod/docs/pdf/0/2009/2009-Ohio-2597.pdf" TargetMode="External"/><Relationship Id="rId2959" Type="http://schemas.openxmlformats.org/officeDocument/2006/relationships/hyperlink" Target="https://law.justia.com/cases/federal/district-courts/indiana/inndce/2:2021cv00154/106960/76/" TargetMode="External"/><Relationship Id="rId833" Type="http://schemas.openxmlformats.org/officeDocument/2006/relationships/hyperlink" Target="https://www.npr.org/2020/06/25/883312496/supreme-court-sides-with-trump-administration-in-deportation-case" TargetMode="External"/><Relationship Id="rId1116" Type="http://schemas.openxmlformats.org/officeDocument/2006/relationships/hyperlink" Target="https://ilcourtsaudio.blob.core.windows.net/antilles-resources/resources/19fc956b-c59f-4d15-932a-20de8f3f1feb/Mangiameli%20v.%20Illinois%20Workers%27%20Compensation%20Comm%27n,%202024%20IL%20App%20(1st)%20231397WC-U.pdf" TargetMode="External"/><Relationship Id="rId1463" Type="http://schemas.openxmlformats.org/officeDocument/2006/relationships/hyperlink" Target="https://www.wwlp.com/news/local-news/hampden-county/termination-of-3-westfield-firefighters-vacated-commission-orders-investigation-of-chief/" TargetMode="External"/><Relationship Id="rId1670" Type="http://schemas.openxmlformats.org/officeDocument/2006/relationships/hyperlink" Target="https://d.docs.live.net/bd9b2eaf6053242e/AppData/Roaming/Microsoft/AppData/Local/Microsoft/Windows/INetCache/IE/XO250S7T/Phillips-FDNY.pdf" TargetMode="External"/><Relationship Id="rId1768" Type="http://schemas.openxmlformats.org/officeDocument/2006/relationships/hyperlink" Target="https://law.resource.org/pub/us/case/reporter/F3/002/2.F3d.1112.92-8306.html" TargetMode="External"/><Relationship Id="rId2514" Type="http://schemas.openxmlformats.org/officeDocument/2006/relationships/hyperlink" Target="https://www.courts.wa.gov/opinions/pdf/D2%2058295-3-II%20Unpublished%20Opinion.pdf" TargetMode="External"/><Relationship Id="rId2721" Type="http://schemas.openxmlformats.org/officeDocument/2006/relationships/hyperlink" Target="https://www.wxii12.com/article/former-ymca-counselor-volunteer-firefighter-pleads-guilty-to-sexually-assaulting-young-boys/28196918" TargetMode="External"/><Relationship Id="rId2819" Type="http://schemas.openxmlformats.org/officeDocument/2006/relationships/hyperlink" Target="https://www.nbcphiladelphia.com/news/local/firefighter-fraudulently-collected-disability-pension/151491/" TargetMode="External"/><Relationship Id="rId900" Type="http://schemas.openxmlformats.org/officeDocument/2006/relationships/hyperlink" Target="https://www.supremecourt.gov/DocketPDF/23/23-1363/321368/20240801101848884_Baker%20v.%20City%20of%20McKinney_%20Texas%20-%20Amicus%20Brief%20in%20Support%20of%20Petitioner.pdf" TargetMode="External"/><Relationship Id="rId1323" Type="http://schemas.openxmlformats.org/officeDocument/2006/relationships/hyperlink" Target="https://cases.justia.com/washington/supreme-court/2019-96189-1.pdf?ts=1571325618" TargetMode="External"/><Relationship Id="rId1530" Type="http://schemas.openxmlformats.org/officeDocument/2006/relationships/hyperlink" Target="https://cases.justia.com/federal/district-courts/virginia/vawdce/6:2024cv00051/132979/41/0.pdf?ts=1779390167" TargetMode="External"/><Relationship Id="rId1628" Type="http://schemas.openxmlformats.org/officeDocument/2006/relationships/hyperlink" Target="https://www.justice.gov/crt/case-document/file/1419071/download" TargetMode="External"/><Relationship Id="rId1975" Type="http://schemas.openxmlformats.org/officeDocument/2006/relationships/hyperlink" Target="https://public.fastcase.com/jaEE2PXzRXmZ99jOLMt1IkwLjDIafZivsAf6axO%2B3QZjm6x80NhvTxxrXJiS64do?utm_medium=email&amp;_hsenc=p2ANqtz-_ZLiMFX9yN1wO2MCWrhyQko1U4dUXhzxPQAtrBDBjCrjbe9Dh7_kNIbfrc-1zaAPZ0Y1FmrwNmXCeWeaeUVjh5p5R-nw&amp;_hsmi=226712652&amp;utm_content=226712652&amp;utm_source=hs_email" TargetMode="External"/><Relationship Id="rId1835" Type="http://schemas.openxmlformats.org/officeDocument/2006/relationships/hyperlink" Target="https://www.firefighterovertime.org/2024/11/24/settlement-proposed-for-ma-firefighters-following-2023-flsa-lawsuit/" TargetMode="External"/><Relationship Id="rId3050" Type="http://schemas.openxmlformats.org/officeDocument/2006/relationships/fontTable" Target="fontTable.xml"/><Relationship Id="rId1902" Type="http://schemas.openxmlformats.org/officeDocument/2006/relationships/hyperlink" Target="https://public.fastcase.com/Wl%2B2t%2BeVuI35%2FN70vAMFZq7BNtl3UAn66ukthA6exr4OG2Q55i9ib96ohnNtBuMo" TargetMode="External"/><Relationship Id="rId2097" Type="http://schemas.openxmlformats.org/officeDocument/2006/relationships/hyperlink" Target="https://www.govinfo.gov/content/pkg/USCOURTS-ca11-25-11434/pdf/USCOURTS-ca11-25-11434-0.pdf" TargetMode="External"/><Relationship Id="rId276" Type="http://schemas.openxmlformats.org/officeDocument/2006/relationships/hyperlink" Target="https://media.ca11.uscourts.gov/opinions/pub/files/201814682.pdf" TargetMode="External"/><Relationship Id="rId483" Type="http://schemas.openxmlformats.org/officeDocument/2006/relationships/hyperlink" Target="https://www.osha.gov/ords/imis/establishment.inspection_detail?id=315378885" TargetMode="External"/><Relationship Id="rId690" Type="http://schemas.openxmlformats.org/officeDocument/2006/relationships/hyperlink" Target="https://www.supremecourt.gov/opinions/24pdf/24-20_f2bh.pdf" TargetMode="External"/><Relationship Id="rId2164" Type="http://schemas.openxmlformats.org/officeDocument/2006/relationships/hyperlink" Target="https://casetext.com/case/kuhler-v-phi-health-llc" TargetMode="External"/><Relationship Id="rId2371" Type="http://schemas.openxmlformats.org/officeDocument/2006/relationships/hyperlink" Target="https://casetext.com/case/county-of-sacramento-v-lewis" TargetMode="External"/><Relationship Id="rId3008" Type="http://schemas.openxmlformats.org/officeDocument/2006/relationships/hyperlink" Target="https://www.hud.gov/program_offices/housing/sfh/reo/goodn/gnndabot" TargetMode="External"/><Relationship Id="rId136" Type="http://schemas.openxmlformats.org/officeDocument/2006/relationships/hyperlink" Target="https://casetext.com/case/lear-v-commonwealth-95" TargetMode="External"/><Relationship Id="rId343" Type="http://schemas.openxmlformats.org/officeDocument/2006/relationships/hyperlink" Target="https://www.courts.wa.gov/opinions/pdf/953961.pdf" TargetMode="External"/><Relationship Id="rId550" Type="http://schemas.openxmlformats.org/officeDocument/2006/relationships/hyperlink" Target="http://www.ca5.uscourts.gov/opinions/unpub/22/22-30100.0.pdf" TargetMode="External"/><Relationship Id="rId788" Type="http://schemas.openxmlformats.org/officeDocument/2006/relationships/hyperlink" Target="https://home.treasury.gov/policy-issues/financial-sanctions/specially-designated-nationals-and-blocked-persons-list-sdn-human-readable-lists" TargetMode="External"/><Relationship Id="rId995" Type="http://schemas.openxmlformats.org/officeDocument/2006/relationships/hyperlink" Target="https://cases.justia.com/texas/first-court-of-appeals/2023-01-22-00496-cv.pdf?ts=1703769793" TargetMode="External"/><Relationship Id="rId1180" Type="http://schemas.openxmlformats.org/officeDocument/2006/relationships/hyperlink" Target="https://caselaw.findlaw.com/ny-supreme-court/1972528.html" TargetMode="External"/><Relationship Id="rId2024" Type="http://schemas.openxmlformats.org/officeDocument/2006/relationships/hyperlink" Target="https://www.supremecourt.gov/opinions/20pdf/20-645_9p6b.pdf" TargetMode="External"/><Relationship Id="rId2231" Type="http://schemas.openxmlformats.org/officeDocument/2006/relationships/hyperlink" Target="https://casetext.com/case/baker-v-city-of-woodbury" TargetMode="External"/><Relationship Id="rId2469" Type="http://schemas.openxmlformats.org/officeDocument/2006/relationships/hyperlink" Target="https://cases.justia.com/ohio/ninth-district-court-of-appeals/2018-28746.pdf?ts=1532525904" TargetMode="External"/><Relationship Id="rId2676" Type="http://schemas.openxmlformats.org/officeDocument/2006/relationships/hyperlink" Target="https://www.njcourts.gov/system/files/court-opinions/2025/a1587-23.pdf" TargetMode="External"/><Relationship Id="rId2883" Type="http://schemas.openxmlformats.org/officeDocument/2006/relationships/hyperlink" Target="https://supreme.justia.com/cases/federal/us/391/563/" TargetMode="External"/><Relationship Id="rId203" Type="http://schemas.openxmlformats.org/officeDocument/2006/relationships/hyperlink" Target="https://www.leagle.com/decision/infdco20230413c44" TargetMode="External"/><Relationship Id="rId648" Type="http://schemas.openxmlformats.org/officeDocument/2006/relationships/hyperlink" Target="https://www.boston.com/news/national-news/2026/07/17/boston-federal-judge-bars-trump-administration-from-using-obscure-clause-to-make-huge-funding-cuts/" TargetMode="External"/><Relationship Id="rId855" Type="http://schemas.openxmlformats.org/officeDocument/2006/relationships/hyperlink" Target="https://www2.ca3.uscourts.gov/opinarch/182648p.pdf" TargetMode="External"/><Relationship Id="rId1040" Type="http://schemas.openxmlformats.org/officeDocument/2006/relationships/hyperlink" Target="https://cases.justia.com/illinois/court-of-appeals-first-appellate-district/2019-1-18-0696.pdf?ts=1549320383" TargetMode="External"/><Relationship Id="rId1278" Type="http://schemas.openxmlformats.org/officeDocument/2006/relationships/hyperlink" Target="https://www.opn.ca6.uscourts.gov/opinions.pdf/20a0579n-06.pdf" TargetMode="External"/><Relationship Id="rId1485" Type="http://schemas.openxmlformats.org/officeDocument/2006/relationships/hyperlink" Target="https://www.leagle.com/cite/599%20F.2d%20707" TargetMode="External"/><Relationship Id="rId1692" Type="http://schemas.openxmlformats.org/officeDocument/2006/relationships/hyperlink" Target="https://www4.courts.ca.gov/opinions/nonpub/B332558.PDF" TargetMode="External"/><Relationship Id="rId2329" Type="http://schemas.openxmlformats.org/officeDocument/2006/relationships/hyperlink" Target="https://nmonesource.com/nmos/nmsa/en/item/4422/index.do" TargetMode="External"/><Relationship Id="rId2536" Type="http://schemas.openxmlformats.org/officeDocument/2006/relationships/hyperlink" Target="https://www.opn.ca6.uscourts.gov/opinions.pdf/21a0151p-06.pdf" TargetMode="External"/><Relationship Id="rId2743" Type="http://schemas.openxmlformats.org/officeDocument/2006/relationships/hyperlink" Target="https://public.fastcase.com/J%2FJP6pdidelsXxEE4k%2BLMtME52xOaCaWV6UEDIP7bM8%2BFioZsbaXPEF4Uybj3YzCUfNXrAB4VqpO9mZPyOoJgEUGCgAECduXHqgYvcPti4I%3D?utm_medium=email&amp;_hsmi=226712652&amp;_hsenc=p2ANqtz--o5Z4w0RvL2X6ywspxSAhs9CG2i2QDJ7wcq_MEc7ECUlDYedCzwhXzcOpR3uJdZVvbiJhZF7E92unvtoIdalIehJ_GiA&amp;utm_content=226712652&amp;utm_source=hs_email" TargetMode="External"/><Relationship Id="rId410" Type="http://schemas.openxmlformats.org/officeDocument/2006/relationships/hyperlink" Target="https://cases.justia.com/missouri/court-of-appeals/2026-wd88291.pdf?ts=1779809421" TargetMode="External"/><Relationship Id="rId508" Type="http://schemas.openxmlformats.org/officeDocument/2006/relationships/hyperlink" Target="https://casetext.com/statute/consolidated-laws-of-new-york/chapter-volunteer-firefighters-benefit/article-2-coverage-and-benefits/section-19-exclusiveness-of-remedy" TargetMode="External"/><Relationship Id="rId715" Type="http://schemas.openxmlformats.org/officeDocument/2006/relationships/hyperlink" Target="https://cases.justia.com/federal/appellate-courts/cadc/22-3064/22-3064-2024-05-28.pdf?ts=1716910338" TargetMode="External"/><Relationship Id="rId922" Type="http://schemas.openxmlformats.org/officeDocument/2006/relationships/hyperlink" Target="https://public.fastcase.com/waZtJvSA54UAurM2rmIZzzd7nmMG05wthWSY4rh3YOX2SQqdjQ2bWm74KVsbZSPmzEoqJnKOxl0hCOa8LdPZAi50MjJV0MwcRqnMVHWnvKI%3D" TargetMode="External"/><Relationship Id="rId1138" Type="http://schemas.openxmlformats.org/officeDocument/2006/relationships/hyperlink" Target="https://public.fastcase.com/H1P9uiW3J20SFp%2BGCG%2BxLadhvM%2BTk6CyYLUbfEuOSnynNWxAhyJMu40rylJQnWa9?utm_medium=email&amp;_hsmi=226712652&amp;_hsenc=p2ANqtz-_Dihe0VmJESjxgjqn36kOhagQU45bmN7CEHRIuj2470_KUhcV7wrW-Y9ruG8-Hj5g_txVmqO_R_d6e-gS-IENa_oPFKQ&amp;utm_content=226712652&amp;utm_source=hs_email" TargetMode="External"/><Relationship Id="rId1345" Type="http://schemas.openxmlformats.org/officeDocument/2006/relationships/hyperlink" Target="http://decisions.courts.state.ny.us/ad3/Decisions/2018/526165.pdf" TargetMode="External"/><Relationship Id="rId1552" Type="http://schemas.openxmlformats.org/officeDocument/2006/relationships/hyperlink" Target="https://www.justice.gov/usao-edpa/pr/downingtown-man-convicted-exploiting-usdot-disadvantaged-business-program" TargetMode="External"/><Relationship Id="rId1997" Type="http://schemas.openxmlformats.org/officeDocument/2006/relationships/hyperlink" Target="https://www.npr.org/2023/05/30/1178850879/sackler-family-purdue-pharma-immunity-lawsuits-oxycontin-opioid" TargetMode="External"/><Relationship Id="rId2603" Type="http://schemas.openxmlformats.org/officeDocument/2006/relationships/hyperlink" Target="https://cases.justia.com/federal/district-courts/north-carolina/ncmdce/1:2024cv00450/98804/21/0.pdf?ts=1743522862" TargetMode="External"/><Relationship Id="rId2950" Type="http://schemas.openxmlformats.org/officeDocument/2006/relationships/hyperlink" Target="https://casetext.com/case/reed-v-city-of-conway" TargetMode="External"/><Relationship Id="rId1205" Type="http://schemas.openxmlformats.org/officeDocument/2006/relationships/hyperlink" Target="https://law.justia.com/cases/washington/court-of-appeals-division-ii/2021/54914-0.html" TargetMode="External"/><Relationship Id="rId1857" Type="http://schemas.openxmlformats.org/officeDocument/2006/relationships/hyperlink" Target="https://www.ca2.uscourts.gov/decisions/isysquery/8e9e3763-33d2-40e3-8df3-c0e92234493d/2/doc/21-2095_opn.pdf" TargetMode="External"/><Relationship Id="rId2810" Type="http://schemas.openxmlformats.org/officeDocument/2006/relationships/hyperlink" Target="https://www.courts.ca.gov/opinions/documents/A155107.PDF" TargetMode="External"/><Relationship Id="rId2908" Type="http://schemas.openxmlformats.org/officeDocument/2006/relationships/hyperlink" Target="https://ilcourtsaudio.blob.core.windows.net/antilles-resources/resources/7509d61b-3a3a-4986-bb3a-7cce5964f936/Village%20of%20Roselle%20v.%20Illinois%20Workers'%20Compensation%20Comm'n,%202025%20IL%20App%20(3rd)%20240306WC-U.pdf" TargetMode="External"/><Relationship Id="rId51" Type="http://schemas.openxmlformats.org/officeDocument/2006/relationships/hyperlink" Target="https://public.fastcase.com/" TargetMode="External"/><Relationship Id="rId1412" Type="http://schemas.openxmlformats.org/officeDocument/2006/relationships/hyperlink" Target="https://codes.ohio.gov/ohio-revised-code/section-4112.02" TargetMode="External"/><Relationship Id="rId1717" Type="http://schemas.openxmlformats.org/officeDocument/2006/relationships/hyperlink" Target="https://www.mass.gov/doc/grenier-pierre-v-springfield-fire-department-related-superior-court-decision-3823/download" TargetMode="External"/><Relationship Id="rId1924" Type="http://schemas.openxmlformats.org/officeDocument/2006/relationships/hyperlink" Target="https://public.fastcase.com/Wl%2B2t%2BeVuI35%2FN70vAMFZiOi%2BYkXYMCNnCyjC1oPHdpZa1VeLChap2kxy9UfPfNs" TargetMode="External"/><Relationship Id="rId298" Type="http://schemas.openxmlformats.org/officeDocument/2006/relationships/hyperlink" Target="https://www.ca4.uscourts.gov/opinions/191632.P.pdf" TargetMode="External"/><Relationship Id="rId158" Type="http://schemas.openxmlformats.org/officeDocument/2006/relationships/hyperlink" Target="https://natlawreview.com/article/michigan-supreme-court-case-has-potential-guide-drone-and-air-rights-law-nation" TargetMode="External"/><Relationship Id="rId2186" Type="http://schemas.openxmlformats.org/officeDocument/2006/relationships/hyperlink" Target="https://www.youtube.com/watch?v=o3-MrFOLXFs" TargetMode="External"/><Relationship Id="rId2393" Type="http://schemas.openxmlformats.org/officeDocument/2006/relationships/hyperlink" Target="https://www.exploregeorgia.org/city/sapelo-island" TargetMode="External"/><Relationship Id="rId2698" Type="http://schemas.openxmlformats.org/officeDocument/2006/relationships/hyperlink" Target="https://ilcourtsaudio.blob.core.windows.net/antilles-resources/resources/3038c42d-d9bb-4837-b172-ba33498af3cf/Trapp%20v.%20City%20of%20Burbank%20Firefighters'%20Pension%20Fund,%202024%20IL%20App%20(1st)%20231311-U.pdf" TargetMode="External"/><Relationship Id="rId365" Type="http://schemas.openxmlformats.org/officeDocument/2006/relationships/hyperlink" Target="https://d279m997dpfwgl.cloudfront.net/wp/2019/02/EPSON520.pdf" TargetMode="External"/><Relationship Id="rId572" Type="http://schemas.openxmlformats.org/officeDocument/2006/relationships/hyperlink" Target="https://www2.ca3.uscourts.gov/opinarch/201734p.pdf" TargetMode="External"/><Relationship Id="rId2046" Type="http://schemas.openxmlformats.org/officeDocument/2006/relationships/hyperlink" Target="https://law.justia.com/cases/new-york/other-courts/2019/2019-ny-slip-op-51419-u.html" TargetMode="External"/><Relationship Id="rId2253" Type="http://schemas.openxmlformats.org/officeDocument/2006/relationships/hyperlink" Target="https://law.justia.com/cases/kentucky/supreme-court/2023/2021-sc-0479-mr.html" TargetMode="External"/><Relationship Id="rId2460" Type="http://schemas.openxmlformats.org/officeDocument/2006/relationships/hyperlink" Target="https://www.legislature.ohio.gov/legislation/legislation-summary?id=GA132-SB-220" TargetMode="External"/><Relationship Id="rId225" Type="http://schemas.openxmlformats.org/officeDocument/2006/relationships/hyperlink" Target="https://caselaw.findlaw.com/mi-court-of-appeals/1912425.html" TargetMode="External"/><Relationship Id="rId432" Type="http://schemas.openxmlformats.org/officeDocument/2006/relationships/hyperlink" Target="https://www.flhouse.gov/Sections/Documents/loaddoc.aspx?FileName=_s0184er.DOCX&amp;DocumentType=Bill&amp;BillNumber=184&amp;Session=2024" TargetMode="External"/><Relationship Id="rId877" Type="http://schemas.openxmlformats.org/officeDocument/2006/relationships/hyperlink" Target="https://app.midpage.ai/document/pierre-grenier-v-city-of-11209117?refG=true" TargetMode="External"/><Relationship Id="rId1062" Type="http://schemas.openxmlformats.org/officeDocument/2006/relationships/hyperlink" Target="https://www.mass.gov/doc/defarias-paul-v-city-of-gloucester-related-appeals-court-decision-52626/download" TargetMode="External"/><Relationship Id="rId2113" Type="http://schemas.openxmlformats.org/officeDocument/2006/relationships/hyperlink" Target="https://www.pacourts.us/assets/opinions/Superior/out/J-A19045-25m%20-%20106549181332513446.pdf?cb=1" TargetMode="External"/><Relationship Id="rId2320" Type="http://schemas.openxmlformats.org/officeDocument/2006/relationships/hyperlink" Target="https://cms7files1.revize.com/starkcountyoh/S21-57.pdf" TargetMode="External"/><Relationship Id="rId2558" Type="http://schemas.openxmlformats.org/officeDocument/2006/relationships/hyperlink" Target="https://public.fastcase.com/waZtJvSA54UAurM2rmIZz6DHvxBXKDNOBT4bWQ9B2C2XMExqnhPDmJ4RTlgjq%2FCO3g5z%2BjC1yjBDqKCmneuiR5bS8Q3ELHfgftRpjN8MXvk%3D" TargetMode="External"/><Relationship Id="rId2765" Type="http://schemas.openxmlformats.org/officeDocument/2006/relationships/hyperlink" Target="https://das.ohio.gov/Portals/0/DASDivisions/HumanResources/Policy/pdf/HR-29%20Implementation%20Guide%20.pdf" TargetMode="External"/><Relationship Id="rId2972" Type="http://schemas.openxmlformats.org/officeDocument/2006/relationships/hyperlink" Target="https://www.dailydispatch.com/StateNews/DE/2021/July/02/Wilmington.firefighters.union.wins.Chancery.Court.appeal.in.battle.over.shift.change.aspx" TargetMode="External"/><Relationship Id="rId737" Type="http://schemas.openxmlformats.org/officeDocument/2006/relationships/hyperlink" Target="https://www.washingtonpost.com/documents/738465b3-8221-4ba6-8a91-92171f73482b.pdf?itid=lk_interstitial_manual_10" TargetMode="External"/><Relationship Id="rId944" Type="http://schemas.openxmlformats.org/officeDocument/2006/relationships/hyperlink" Target="https://www.law.cornell.edu/rules/fre/rule_702" TargetMode="External"/><Relationship Id="rId1367" Type="http://schemas.openxmlformats.org/officeDocument/2006/relationships/hyperlink" Target="https://www.mass.gov/doc/robinson-v-marshfield-sjc-f13825/download" TargetMode="External"/><Relationship Id="rId1574" Type="http://schemas.openxmlformats.org/officeDocument/2006/relationships/hyperlink" Target="https://www.njcourts.gov/system/files/court-opinions/2024/a3173-22.pdf" TargetMode="External"/><Relationship Id="rId1781" Type="http://schemas.openxmlformats.org/officeDocument/2006/relationships/hyperlink" Target="https://www.dol.gov/agencies/whd/fmla" TargetMode="External"/><Relationship Id="rId2418" Type="http://schemas.openxmlformats.org/officeDocument/2006/relationships/hyperlink" Target="https://courts.illinois.gov/R23_Orders/AppellateCourt/2020/1stDistrict/1172189_R23.pdf" TargetMode="External"/><Relationship Id="rId2625" Type="http://schemas.openxmlformats.org/officeDocument/2006/relationships/hyperlink" Target="https://www.govinfo.gov/content/pkg/USCOURTS-ca11-25-11434/pdf/USCOURTS-ca11-25-11434-0.pdf" TargetMode="External"/><Relationship Id="rId2832" Type="http://schemas.openxmlformats.org/officeDocument/2006/relationships/hyperlink" Target="https://public.fastcase.com/Wl%2B2t%2BeVuI35%2FN70vAMFZp9w48IhR7rqnPPjn28%2FbaO7JZNoqz%2Fb8m3w7iUI6Fbj" TargetMode="External"/><Relationship Id="rId73" Type="http://schemas.openxmlformats.org/officeDocument/2006/relationships/hyperlink" Target="https://legal.iml.org/file.cfm?key=29946" TargetMode="External"/><Relationship Id="rId804" Type="http://schemas.openxmlformats.org/officeDocument/2006/relationships/hyperlink" Target="https://www.law.cornell.edu/uscode/text/8/1182" TargetMode="External"/><Relationship Id="rId1227" Type="http://schemas.openxmlformats.org/officeDocument/2006/relationships/hyperlink" Target="https://www.knoe.com/content/news/Bastrop-ordered-to-pay-more-than-16-million-to-firemen-after-lawsuit-509570521.html" TargetMode="External"/><Relationship Id="rId1434" Type="http://schemas.openxmlformats.org/officeDocument/2006/relationships/hyperlink" Target="https://www2.ca3.uscourts.gov/opinarch/213272np.pdf" TargetMode="External"/><Relationship Id="rId1641" Type="http://schemas.openxmlformats.org/officeDocument/2006/relationships/hyperlink" Target="https://casetext.com/statute/united-states-code/title-42-the-public-health-and-welfare/chapter-21-civil-rights/subchapter-vi-equal-employment-opportunities/section-2000e-2-unlawful-employment-practices" TargetMode="External"/><Relationship Id="rId1879" Type="http://schemas.openxmlformats.org/officeDocument/2006/relationships/hyperlink" Target="https://www.opn.ca6.uscourts.gov/opinions.pdf/21a0485n-06.pdf" TargetMode="External"/><Relationship Id="rId1501" Type="http://schemas.openxmlformats.org/officeDocument/2006/relationships/hyperlink" Target="https://cases.justia.com/federal/district-courts/illinois/ilndce/1:2018cv03054/351942/211/0.pdf?ts=1558430418" TargetMode="External"/><Relationship Id="rId1739" Type="http://schemas.openxmlformats.org/officeDocument/2006/relationships/hyperlink" Target="https://public.fastcase.com/J%2FJP6pdidelsXxEE4k%2BLMidRzLaU3lxo2K4zeZ9a%2B%2Fta152zlny6vY4eG3S7CjdliNR92Qo6%2FTtAP%2FPl4klE6l7lrfhMF2W%2BjlSvdCQeS50%3D?utm_medium=email&amp;_hsmi=226712652&amp;_hsenc=p2ANqtz-_s5_cAHUvs_hrwWV9wgyTdwJuYKaiZto7jMWtL6vDykRwEZ1Wuy9IDC9088xTRtPn7fskJqvzz7SBtC6Rp8cJAGJmTVA&amp;utm_content=226712652&amp;utm_source=hs_email" TargetMode="External"/><Relationship Id="rId1946" Type="http://schemas.openxmlformats.org/officeDocument/2006/relationships/hyperlink" Target="https://www.dol.gov/whd/opinion/FLSA/2018/2018_11_08_24_FLSA.pdf" TargetMode="External"/><Relationship Id="rId1806" Type="http://schemas.openxmlformats.org/officeDocument/2006/relationships/hyperlink" Target="https://www.courts.wa.gov/opinions/pdf/1031211.pdf" TargetMode="External"/><Relationship Id="rId387" Type="http://schemas.openxmlformats.org/officeDocument/2006/relationships/hyperlink" Target="https://cases.justia.com/ohio/eighth-district-court-of-appeals/2018-105661.pdf?ts=1528147387" TargetMode="External"/><Relationship Id="rId594" Type="http://schemas.openxmlformats.org/officeDocument/2006/relationships/hyperlink" Target="http://codes.ohio.gov/oac/4123:1-21-04v1" TargetMode="External"/><Relationship Id="rId2068" Type="http://schemas.openxmlformats.org/officeDocument/2006/relationships/hyperlink" Target="https://s3.amazonaws.com/jnswire/jns-media/cc/cd/14348583/BaumgartnervChicago.pdf" TargetMode="External"/><Relationship Id="rId2275" Type="http://schemas.openxmlformats.org/officeDocument/2006/relationships/hyperlink" Target="https://www.law.cornell.edu/definitions/uscode.php?width=840&amp;height=800&amp;iframe=true&amp;def_id=42-USC-303628742-1009355614&amp;term_occur=999&amp;term_src=" TargetMode="External"/><Relationship Id="rId3021" Type="http://schemas.openxmlformats.org/officeDocument/2006/relationships/hyperlink" Target="https://casetext.com/case/freres-timber-inc-v-the-united-states" TargetMode="External"/><Relationship Id="rId247" Type="http://schemas.openxmlformats.org/officeDocument/2006/relationships/hyperlink" Target="https://www.ca10.uscourts.gov/sites/ca10/files/opinions/010110630282.pdf" TargetMode="External"/><Relationship Id="rId899" Type="http://schemas.openxmlformats.org/officeDocument/2006/relationships/hyperlink" Target="https://harvardlawreview.org/print/vol-137/baker-v-city-of-mckinney/" TargetMode="External"/><Relationship Id="rId1084" Type="http://schemas.openxmlformats.org/officeDocument/2006/relationships/hyperlink" Target="https://www.courts.state.md.us/sites/default/files/unreported-opinions/1098s22.pdf" TargetMode="External"/><Relationship Id="rId2482" Type="http://schemas.openxmlformats.org/officeDocument/2006/relationships/hyperlink" Target="https://cases.justia.com/federal/district-courts/florida/flmdce/8:2025cv02787/448658/35/0.pdf" TargetMode="External"/><Relationship Id="rId2787" Type="http://schemas.openxmlformats.org/officeDocument/2006/relationships/hyperlink" Target="https://codes.ohio.gov/ohio-revised-code/section-2903.31" TargetMode="External"/><Relationship Id="rId107" Type="http://schemas.openxmlformats.org/officeDocument/2006/relationships/hyperlink" Target="https://www.supremecourt.gov/opinions/24pdf/24-656_ca7d.pdf" TargetMode="External"/><Relationship Id="rId454" Type="http://schemas.openxmlformats.org/officeDocument/2006/relationships/hyperlink" Target="https://www.supremecourt.ohio.gov/rod/docs/pdf/8/2024/2024-Ohio-5317.pdf" TargetMode="External"/><Relationship Id="rId661" Type="http://schemas.openxmlformats.org/officeDocument/2006/relationships/hyperlink" Target="https://pubs.acs.org/doi/10.1021/cen-09438-notw2" TargetMode="External"/><Relationship Id="rId759" Type="http://schemas.openxmlformats.org/officeDocument/2006/relationships/hyperlink" Target="https://www.politico.com/news/2022/06/30/white-house-immigration-supreme-court-win-00043667" TargetMode="External"/><Relationship Id="rId966" Type="http://schemas.openxmlformats.org/officeDocument/2006/relationships/hyperlink" Target="https://www.supremecourt.ohio.gov/rod/docs/pdf/8/2026/2026-Ohio-2189.pdf" TargetMode="External"/><Relationship Id="rId1291" Type="http://schemas.openxmlformats.org/officeDocument/2006/relationships/hyperlink" Target="http://app.leg.wa.gov/RCW/default.aspx?cite=41.26.030" TargetMode="External"/><Relationship Id="rId1389" Type="http://schemas.openxmlformats.org/officeDocument/2006/relationships/hyperlink" Target="https://www.yahoo.com/news/tell-truth-now-girl-addresses-164857744.html" TargetMode="External"/><Relationship Id="rId1596" Type="http://schemas.openxmlformats.org/officeDocument/2006/relationships/hyperlink" Target="https://www.iafc.org/membership/iCHIEFS/iCHIEFS-article/department-of-justice-consent-decrees-and-the-fire-service" TargetMode="External"/><Relationship Id="rId2135" Type="http://schemas.openxmlformats.org/officeDocument/2006/relationships/hyperlink" Target="https://cases.justia.com/federal/district-courts/washington/wawdce/2:2023cv01558/327312/54/0.pdf?ts=1747918716" TargetMode="External"/><Relationship Id="rId2342" Type="http://schemas.openxmlformats.org/officeDocument/2006/relationships/hyperlink" Target="https://public.fastcase.com/9SKwsfNqTc6OieYDhNMyMzpaZgjHFdPajpMUAUycVEOD1%2FIGYL0bkVi40opLVA3rHt12SE41wYoG8BLshtbo2LNVnd3RJLWIEJH0dBI9oDE%3D" TargetMode="External"/><Relationship Id="rId2647" Type="http://schemas.openxmlformats.org/officeDocument/2006/relationships/hyperlink" Target="https://public.fastcase.com/jaEE2PXzRXmZ99jOLMt1Io06bpL9%2FLcVXr53aaIUyQvAP5%2BtJH87Oz9onDjzcythnenHIV2f708%2FwR4gt4qkO1f7jeRt%2FKEtj1yUDHm75oU%3D?utm_medium=email&amp;_hsenc=p2ANqtz-_2UmH9uPWr2Na6-FEToPkSf6GcL7PU5KfrxYC2lQgS-z6zkFrF54nulArls3PhR-gkNqFrsBzQlt3BvLsHbxpWeUso_A&amp;_hsmi=226712652&amp;utm_content=226712652&amp;utm_source=hs_email" TargetMode="External"/><Relationship Id="rId2994" Type="http://schemas.openxmlformats.org/officeDocument/2006/relationships/hyperlink" Target="https://caselaw.findlaw.com/court/co-supreme-court/111256.html" TargetMode="External"/><Relationship Id="rId314" Type="http://schemas.openxmlformats.org/officeDocument/2006/relationships/hyperlink" Target="https://www.leagle.com/decision/inctco20171226041" TargetMode="External"/><Relationship Id="rId521"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619" Type="http://schemas.openxmlformats.org/officeDocument/2006/relationships/hyperlink" Target="http://www.illinoiscourts.gov/Opinions/AppellateCourt/2019/1stDistrict/1181163.pdf" TargetMode="External"/><Relationship Id="rId1151" Type="http://schemas.openxmlformats.org/officeDocument/2006/relationships/hyperlink" Target="https://casetext.com/case/state-ex-rel-city-of-cincinnati-v-indus-commn-of-ohio" TargetMode="External"/><Relationship Id="rId1249" Type="http://schemas.openxmlformats.org/officeDocument/2006/relationships/hyperlink" Target="http://codes.ohio.gov/orc/2744.07" TargetMode="External"/><Relationship Id="rId2202" Type="http://schemas.openxmlformats.org/officeDocument/2006/relationships/hyperlink" Target="https://www.woodtv.com/news/nexstar-media-wire/paramedics-charged-with-murder-after-patient-who-was-in-stretcher-face-down-dies/" TargetMode="External"/><Relationship Id="rId2854" Type="http://schemas.openxmlformats.org/officeDocument/2006/relationships/hyperlink" Target="https://law.justia.com/codes/louisiana/2012/rs/title33/rs33-2181/" TargetMode="External"/><Relationship Id="rId95" Type="http://schemas.openxmlformats.org/officeDocument/2006/relationships/hyperlink" Target="https://www.aol.com/trial-delayed-man-accused-fatally-135028116.html" TargetMode="External"/><Relationship Id="rId826" Type="http://schemas.openxmlformats.org/officeDocument/2006/relationships/hyperlink" Target="https://www.justice.gov/opa/pr/tampa-man-charged-attempting-provide-material-support-isis" TargetMode="External"/><Relationship Id="rId1011" Type="http://schemas.openxmlformats.org/officeDocument/2006/relationships/hyperlink" Target="https://www.courts.michigan.gov/4a237a/siteassets/case-documents/uploads/opinions/final/coa/20220728_c356829_27_356829.opn.pdf" TargetMode="External"/><Relationship Id="rId1109" Type="http://schemas.openxmlformats.org/officeDocument/2006/relationships/hyperlink" Target="https://cases.justia.com/missouri/court-of-appeals/2025-wd87111.pdf?ts=1739982610" TargetMode="External"/><Relationship Id="rId1456" Type="http://schemas.openxmlformats.org/officeDocument/2006/relationships/hyperlink" Target="https://public.fastcase.com/9SKwsfNqTc6OieYDhNMyM7EtuTmvkEcI7U0T89k%2BFJTh0eKfnpK7LfgjErs00V3IPt4y6nTMDAAfexS5sEGnBSDT8xghzv1Bl3HZnDYTQZc%3D" TargetMode="External"/><Relationship Id="rId1663" Type="http://schemas.openxmlformats.org/officeDocument/2006/relationships/hyperlink" Target="https://www.leagle.com/decision/infdco20190624a02" TargetMode="External"/><Relationship Id="rId1870" Type="http://schemas.openxmlformats.org/officeDocument/2006/relationships/hyperlink" Target="https://www.supremecourt.gov/opinions/22pdf/21-984_j426.pdf" TargetMode="External"/><Relationship Id="rId1968" Type="http://schemas.openxmlformats.org/officeDocument/2006/relationships/hyperlink" Target="https://www.firefighternation.com/fire-leadership/what-does-president-trumps-new-marijuana-directive-mean-for-you-as-a-fire-chief/" TargetMode="External"/><Relationship Id="rId2507" Type="http://schemas.openxmlformats.org/officeDocument/2006/relationships/hyperlink" Target="https://public.fastcase.com/Jhe1Qn%2BmJndQYQU6z%2FeNm%2BcFVCy5tJw2gy1zfbpkLaze9U67QqLJTV5FE2cJQCoqnSyWDfbWSo3ic5o1p0zHzyDw8vgxY%2BBok5izm2ejH6U%3D?utm_medium=email&amp;_hsenc=p2ANqtz--bkYiy1pyPlPSsVe74xwULcEQroRrEa3UI3GrVMXxBGgBl78iSBqXQuZMV2NG07-VaF6HXpA1gGzG-xJKwbOenCq2wOg&amp;_hsmi=226712652&amp;utm_content=226712652&amp;utm_source=hs_email" TargetMode="External"/><Relationship Id="rId2714" Type="http://schemas.openxmlformats.org/officeDocument/2006/relationships/hyperlink" Target="https://cases.justia.com/federal/district-courts/michigan/miedce/2:2023cv10051/366865/15/0.pdf?ts=1700584910" TargetMode="External"/><Relationship Id="rId2921" Type="http://schemas.openxmlformats.org/officeDocument/2006/relationships/hyperlink" Target="https://cases.justia.com/ohio/tenth-district-court-of-appeals/2023-23ap-37.pdf?ts=1703012831" TargetMode="External"/><Relationship Id="rId1316" Type="http://schemas.openxmlformats.org/officeDocument/2006/relationships/hyperlink" Target="https://public.fastcase.com/Wl%2B2t%2BeVuI35%2FN70vAMFZnbY8dI3hkArUDoxTqO4WI%2Fa6TeM7CmZuz1%2Ftkv0oKJ0" TargetMode="External"/><Relationship Id="rId1523" Type="http://schemas.openxmlformats.org/officeDocument/2006/relationships/hyperlink" Target="https://cases.justia.com/federal/district-courts/mississippi/mssdce/3:2025cv00733/130626/17/0.pdf?ts=1785351264" TargetMode="External"/><Relationship Id="rId1730" Type="http://schemas.openxmlformats.org/officeDocument/2006/relationships/hyperlink" Target="https://www.justice.gov/crt/case-document/file/1583736/download" TargetMode="External"/><Relationship Id="rId22" Type="http://schemas.openxmlformats.org/officeDocument/2006/relationships/hyperlink" Target="https://lucapps.co.lucas.oh.us/Courts/Appeals/DecisionsPDF/13597.pdf" TargetMode="External"/><Relationship Id="rId1828" Type="http://schemas.openxmlformats.org/officeDocument/2006/relationships/hyperlink" Target="https://www.supremecourt.gov/opinions/24pdf/23-217_9o6b.pdf" TargetMode="External"/><Relationship Id="rId3043" Type="http://schemas.openxmlformats.org/officeDocument/2006/relationships/hyperlink" Target="https://project.wnyc.org/disciplinary-records/" TargetMode="External"/><Relationship Id="rId171" Type="http://schemas.openxmlformats.org/officeDocument/2006/relationships/hyperlink" Target="https://caselaw.findlaw.com/court/ma-court-of-appeals/115598993.html" TargetMode="External"/><Relationship Id="rId2297" Type="http://schemas.openxmlformats.org/officeDocument/2006/relationships/hyperlink" Target="https://law.justia.com/cases/federal/appellate-courts/ca2/20-4211/20-4211-2021-10-06.html" TargetMode="External"/><Relationship Id="rId269" Type="http://schemas.openxmlformats.org/officeDocument/2006/relationships/hyperlink" Target="https://indianexpress.com/article/world/supreme-court-allows-revival-of-trump-era-remain-in-mexico-asylum-policy-7469812/" TargetMode="External"/><Relationship Id="rId476" Type="http://schemas.openxmlformats.org/officeDocument/2006/relationships/hyperlink" Target="https://cases.justia.com/arizona/court-of-appeals-division-two-unpublished/2024-2-ca-cr-2024-0065.pdf?ts=1730333249" TargetMode="External"/><Relationship Id="rId683" Type="http://schemas.openxmlformats.org/officeDocument/2006/relationships/hyperlink" Target="https://www2.ca3.uscourts.gov/opinarch/231900p.pdf" TargetMode="External"/><Relationship Id="rId890" Type="http://schemas.openxmlformats.org/officeDocument/2006/relationships/hyperlink" Target="https://www.ca5.uscourts.gov/opinions/pub/22/22-40644-CV0.pdf" TargetMode="External"/><Relationship Id="rId2157" Type="http://schemas.openxmlformats.org/officeDocument/2006/relationships/hyperlink" Target="https://caselaw.findlaw.com/court/ca-court-of-appeal/116718051.html" TargetMode="External"/><Relationship Id="rId2364" Type="http://schemas.openxmlformats.org/officeDocument/2006/relationships/hyperlink" Target="https://www.ca10.uscourts.gov/opinions/19/19-2166.pdf" TargetMode="External"/><Relationship Id="rId2571" Type="http://schemas.openxmlformats.org/officeDocument/2006/relationships/hyperlink" Target="https://www.gerberholderlaw.com/workers-comp-ptsd-by-state/" TargetMode="External"/><Relationship Id="rId129" Type="http://schemas.openxmlformats.org/officeDocument/2006/relationships/hyperlink" Target="https://www.kfvs12.com/story/30947819/christopher-il-woman-arrested-on-arson-charges/" TargetMode="External"/><Relationship Id="rId336" Type="http://schemas.openxmlformats.org/officeDocument/2006/relationships/hyperlink" Target="https://www.ohioattorneygeneral.gov/Media/News-Releases/January-2020/Garfield-Heights-Recycling-Center-Held-in-Contempt" TargetMode="External"/><Relationship Id="rId543" Type="http://schemas.openxmlformats.org/officeDocument/2006/relationships/hyperlink" Target="https://law.justia.com/cases/new-york/other-courts/2022/2022-ny-slip-op-34279-u.html" TargetMode="External"/><Relationship Id="rId988" Type="http://schemas.openxmlformats.org/officeDocument/2006/relationships/hyperlink" Target="https://cases.justia.com/michigan/court-of-appeals-unpublished/2024-367862.pdf?ts=1728738006" TargetMode="External"/><Relationship Id="rId1173" Type="http://schemas.openxmlformats.org/officeDocument/2006/relationships/hyperlink" Target="https://public.fastcase.com/J%2FJP6pdidelsXxEE4k%2BLMqkdD5%2F9vomvqFlCkCXbHBZeshVe9dMO69n26VvOOGQ0AfFNIJdHHotvSTHs4WCcjg4h%2FMs%2B3ZGL0GmuYT%2B2kk4%3D?utm_medium=email&amp;_hsmi=226712652&amp;_hsenc=p2ANqtz-9blRBfGvWcvPfjP94U0OWp5xjRToJRFC1FgT4HNxkVt3pCFWJPlaIDL-9MMTlNfF1ZXM41l3Otj_VuO__ziHrFsLR4IQ&amp;utm_content=226712652&amp;utm_source=hs_email" TargetMode="External"/><Relationship Id="rId1380" Type="http://schemas.openxmlformats.org/officeDocument/2006/relationships/hyperlink" Target="https://www.courthousenews.com/wp-content/uploads/2025/07/illinois-court-allows-firefighter-emt-to-sue-over-sexually-hostile-environment.pdf" TargetMode="External"/><Relationship Id="rId2017" Type="http://schemas.openxmlformats.org/officeDocument/2006/relationships/hyperlink" Target="https://law.justia.com/cases/oklahoma/supreme-court/2021/118474.html" TargetMode="External"/><Relationship Id="rId2224" Type="http://schemas.openxmlformats.org/officeDocument/2006/relationships/hyperlink" Target="https://www.lohud.com/story/news/local/rockland/2022/08/16/ramapo-valley-ambulance-corps-defunded/65406353007/" TargetMode="External"/><Relationship Id="rId2669" Type="http://schemas.openxmlformats.org/officeDocument/2006/relationships/hyperlink" Target="https://public.fastcase.com/jaEE2PXzRXmZ99jOLMt1IqmI6%2FwIkVosxkHnLXFS%2Fh3vCPBsdexRYsXhu3dcS77RM93%2Fb%2FlmP%2FEht28r%2FEOUuz%2BdIsVF1KqStdKclsmvBXo%3D?utm_medium=email&amp;_hsenc=p2ANqtz-_Dn6dsk63fb2EPfPT1163Ju7zkOyiRsNHg_eV5kST7JoaZI-2AGCvSnryJrMriUeP5UHxNkfyzrDvNunm7WCvoOt678w&amp;_hsmi=226712652&amp;utm_content=226712652&amp;utm_source=hs_email" TargetMode="External"/><Relationship Id="rId2876" Type="http://schemas.openxmlformats.org/officeDocument/2006/relationships/hyperlink" Target="https://cases.justia.com/texas/fourteenth-court-of-appeals/2018-14-17-00156-cv.pdf?ts=1523970132" TargetMode="External"/><Relationship Id="rId403" Type="http://schemas.openxmlformats.org/officeDocument/2006/relationships/hyperlink" Target="https://codes.ohio.gov/ohio-revised-code/section-4123.68" TargetMode="External"/><Relationship Id="rId750" Type="http://schemas.openxmlformats.org/officeDocument/2006/relationships/hyperlink" Target="https://www.justice.gov/opa/speech/deputy-attorney-general-lisa-o-monaco-delivers-remarks-atf-academy-graduation" TargetMode="External"/><Relationship Id="rId848" Type="http://schemas.openxmlformats.org/officeDocument/2006/relationships/hyperlink" Target="https://www.foxnews.com/politics/supreme-court-green-lights-trumps-immigration-asylum-ban" TargetMode="External"/><Relationship Id="rId1033" Type="http://schemas.openxmlformats.org/officeDocument/2006/relationships/hyperlink" Target="https://acis.alabama.gov/displaydocs.cfm?no=1022968&amp;event=5S20LIXMT" TargetMode="External"/><Relationship Id="rId1478" Type="http://schemas.openxmlformats.org/officeDocument/2006/relationships/hyperlink" Target="https://public.fastcase.com/Wl%2B2t%2BeVuI35%2FN70vAMFZvXmXpQwu2GjLh16DzgzKzYNu%2FX9mokAK5AXod7BJ9cF" TargetMode="External"/><Relationship Id="rId1685" Type="http://schemas.openxmlformats.org/officeDocument/2006/relationships/hyperlink" Target="https://www.eeoc.gov/laws/guidance/ada-questions-and-answers" TargetMode="External"/><Relationship Id="rId1892" Type="http://schemas.openxmlformats.org/officeDocument/2006/relationships/hyperlink" Target="https://www.leagle.com/decision/infdco20210518900" TargetMode="External"/><Relationship Id="rId2431" Type="http://schemas.openxmlformats.org/officeDocument/2006/relationships/hyperlink" Target="https://cases.justia.com/federal/appellate-courts/ca6/18-5480/18-5480-2020-01-21.pdf?ts=1579627818" TargetMode="External"/><Relationship Id="rId2529" Type="http://schemas.openxmlformats.org/officeDocument/2006/relationships/hyperlink" Target="https://app.leg.wa.gov/RCW/default.aspx?cite=18.73.030" TargetMode="External"/><Relationship Id="rId2736" Type="http://schemas.openxmlformats.org/officeDocument/2006/relationships/hyperlink" Target="https://public.fastcase.com/ppbqSQpNDaJE%2F8PlIk0b8GrZRoSxZNSyZ1IPMsly8LQqd8zJpEjl6u9Blu91YAS9" TargetMode="External"/><Relationship Id="rId610" Type="http://schemas.openxmlformats.org/officeDocument/2006/relationships/hyperlink" Target="https://www.cdc.gov/niosh/fire/pdfs/face201618.pdf" TargetMode="External"/><Relationship Id="rId708" Type="http://schemas.openxmlformats.org/officeDocument/2006/relationships/hyperlink" Target="https://ilcourtsaudio.blob.core.windows.net/antilles-resources/resources/aa9ece1f-338b-4d77-9d21-fd7bfa316d8e/A.A.%20%20v.%20Board%20of%20Education%20of%20Summit%20School%20District%20No.%20104,%202024%20IL%20App%20(1st)%20232451.pdf" TargetMode="External"/><Relationship Id="rId915" Type="http://schemas.openxmlformats.org/officeDocument/2006/relationships/hyperlink" Target="https://public.fastcase.com/J%2FJP6pdidelsXxEE4k%2BLMn3rhSw89wni4akrGgclH4tY407nVvfTRwhYpyTytqAww5i%2BcjDR8DFfgYYxUNnhOrZ4pPx8rv87OEAaoYdIWaw%3D?utm_medium=email&amp;_hsmi=226712652&amp;_hsenc=p2ANqtz--lPKcQUZ00Y_ImXZh39HMz6UO0kEIbng7bmb6odI7o6fRRwj_-I6PCBlRwjLhuflNpZQs-1Wu84wEID-VmUx_pZGrr8w&amp;utm_content=226712652&amp;utm_source=hs_email" TargetMode="External"/><Relationship Id="rId1240" Type="http://schemas.openxmlformats.org/officeDocument/2006/relationships/hyperlink" Target="http://www.aele.org/law/Digests/empl6.html" TargetMode="External"/><Relationship Id="rId1338" Type="http://schemas.openxmlformats.org/officeDocument/2006/relationships/hyperlink" Target="http://www.eeoc.gov/" TargetMode="External"/><Relationship Id="rId1545" Type="http://schemas.openxmlformats.org/officeDocument/2006/relationships/hyperlink" Target="https://storage.courtlistener.com/recap/gov.uscourts.moed.198347/gov.uscourts.moed.198347.70.0.pdf" TargetMode="External"/><Relationship Id="rId2943" Type="http://schemas.openxmlformats.org/officeDocument/2006/relationships/hyperlink" Target="https://law.justia.com/cases/new-york/court-of-appeals/2022/95.html" TargetMode="External"/><Relationship Id="rId1100" Type="http://schemas.openxmlformats.org/officeDocument/2006/relationships/hyperlink" Target="https://caselaw.findlaw.com/court/ny-supreme-court/117196656.html" TargetMode="External"/><Relationship Id="rId1405" Type="http://schemas.openxmlformats.org/officeDocument/2006/relationships/hyperlink" Target="https://cdnsm5-hosted.civiclive.com/UserFiles/Servers/Server_12810747/File/Opinions/2024/st2020cv00154%2029U.pdf" TargetMode="External"/><Relationship Id="rId1752" Type="http://schemas.openxmlformats.org/officeDocument/2006/relationships/hyperlink" Target="https://www.mass.gov/files/documents/2020/09/29/q19P0676.pdf" TargetMode="External"/><Relationship Id="rId2803" Type="http://schemas.openxmlformats.org/officeDocument/2006/relationships/hyperlink" Target="https://www.massmunilaw.org/wp-content/uploads/2020/12/DIANE-LAWLESS-v.-CHERYL-ESTRELLA.pdf" TargetMode="External"/><Relationship Id="rId44" Type="http://schemas.openxmlformats.org/officeDocument/2006/relationships/hyperlink" Target="https://www.supremecourt.ohio.gov/rod/docs/pdf/9/2026/2026-Ohio-1842.pdf" TargetMode="External"/><Relationship Id="rId1612" Type="http://schemas.openxmlformats.org/officeDocument/2006/relationships/hyperlink" Target="https://www.masslive.com/news/2018/05/springfield_city_council_appro_79.html" TargetMode="External"/><Relationship Id="rId1917" Type="http://schemas.openxmlformats.org/officeDocument/2006/relationships/hyperlink" Target="https://www.chestertonin.org/145/Fire-Department" TargetMode="External"/><Relationship Id="rId193" Type="http://schemas.openxmlformats.org/officeDocument/2006/relationships/hyperlink" Target="https://www.loc.gov/item/usrep509579/" TargetMode="External"/><Relationship Id="rId498" Type="http://schemas.openxmlformats.org/officeDocument/2006/relationships/hyperlink" Target="https://caselaw.findlaw.com/court/in-court-of-appeals/116108297.html" TargetMode="External"/><Relationship Id="rId2081" Type="http://schemas.openxmlformats.org/officeDocument/2006/relationships/hyperlink" Target="https://www.studicata.com/summaries/court-of-appeals-of-ohio/holycross-v-state-board-of-emergency-med-2005-oor7s1/" TargetMode="External"/><Relationship Id="rId2179" Type="http://schemas.openxmlformats.org/officeDocument/2006/relationships/hyperlink" Target="https://www.law.cornell.edu/wex/declarant" TargetMode="External"/><Relationship Id="rId260" Type="http://schemas.openxmlformats.org/officeDocument/2006/relationships/hyperlink" Target="https://www.opn.ca6.uscourts.gov/opinions.pdf/21a0484n-06.pdf" TargetMode="External"/><Relationship Id="rId2386" Type="http://schemas.openxmlformats.org/officeDocument/2006/relationships/hyperlink" Target="https://cdn.ymaws.com/aams.site-ym.com/resource/resmgr/website_resources/aams_statements/aams_statementonbalancebilli.pdf" TargetMode="External"/><Relationship Id="rId2593" Type="http://schemas.openxmlformats.org/officeDocument/2006/relationships/hyperlink" Target="https://public.fastcase.com/Jhe1Qn%2BmJndQYQU6z%2FeNm03rSbT1WPluXAyI3UWCR2L7V%2Bey%2BJ8wdDrtAB2umGFhZFKTsfuHJZ%2BClJu5yYg23%2FI8uYDwA8OuOOAqECdXc7s%3D?utm_medium=email&amp;_hsenc=p2ANqtz-8jQXFpshzWyDRKMA3zpT0tHp6z1S5GiGhPHCM5rup0a_jGkFJkmnkt2CbZtblHgzjrR7970e07wy4vVnc0PyM0sbY29A&amp;_hsmi=226712652&amp;utm_content=226712652&amp;utm_source=hs_email" TargetMode="External"/><Relationship Id="rId120" Type="http://schemas.openxmlformats.org/officeDocument/2006/relationships/hyperlink" Target="https://www.cityofsebastopol.gov/city-of-sebastopol-prevails-in-challenge-to-rv-ordinance/" TargetMode="External"/><Relationship Id="rId358" Type="http://schemas.openxmlformats.org/officeDocument/2006/relationships/hyperlink" Target="https://law.justia.com/cases/illinois/court-of-appeals-fifth-appellate-district/2019/5-18-0064.html" TargetMode="External"/><Relationship Id="rId565" Type="http://schemas.openxmlformats.org/officeDocument/2006/relationships/hyperlink" Target="https://public.fastcase.com/9SKwsfNqTc6OieYDhNMyM3Zf%2BPwzrkIbdAwXmhTtl8LsaOGFJIHcsZBv5iyM%2B426E1WD6poza6PbNV5FFspTPxqJQS%2BqrXpJYGMVjXOs9qA%3D" TargetMode="External"/><Relationship Id="rId772" Type="http://schemas.openxmlformats.org/officeDocument/2006/relationships/hyperlink" Target="https://www.ca4.uscourts.gov/opinions/173.P.pdf" TargetMode="External"/><Relationship Id="rId1195" Type="http://schemas.openxmlformats.org/officeDocument/2006/relationships/hyperlink" Target="https://capeunion.org/contracts/meyers-milias-brown-act" TargetMode="External"/><Relationship Id="rId2039" Type="http://schemas.openxmlformats.org/officeDocument/2006/relationships/hyperlink" Target="https://www.networkforphl.org/_asset/qz5pvn/legal-interventions-to-reduce-overdose.pdf" TargetMode="External"/><Relationship Id="rId2246" Type="http://schemas.openxmlformats.org/officeDocument/2006/relationships/hyperlink" Target="https://public.fastcase.com/ZZhmr5v9wN%2FXOe5IsQ%2FqD3dz3eOW5zFOFbDDQpgyn5N1g%2BDYcYq%2BQq5MnHYcUlJvjXUWh8aXMHicyBCjMoSMvWkOcK9%2F08vlf7VzRHHVD0g%3D?utm_medium=email&amp;_hsmi=226712652&amp;_hsenc=p2ANqtz-8FJSrnDbpE5SBLnbpgOtm8bsro6mydF1tKlBKSrXXB7U0G_KpVHeRpWqi1b6f_lyKuKYe1ibmLo31OO_-xt7H5dW8mOA&amp;utm_content=226712652&amp;utm_source=hs_email" TargetMode="External"/><Relationship Id="rId2453" Type="http://schemas.openxmlformats.org/officeDocument/2006/relationships/hyperlink" Target="https://lrus.wolterskluwer.com/store/daily-reporting-suite/antitrust-law-daily/" TargetMode="External"/><Relationship Id="rId2660" Type="http://schemas.openxmlformats.org/officeDocument/2006/relationships/hyperlink" Target="https://www.supremecourt.ohio.gov/rod/docs/pdf/6/2025/2025-Ohio-3100.pdf" TargetMode="External"/><Relationship Id="rId2898" Type="http://schemas.openxmlformats.org/officeDocument/2006/relationships/hyperlink" Target="https://cases.justia.com/georgia/court-of-appeals/2025-a25a0947.pdf?ts=1757355224" TargetMode="External"/><Relationship Id="rId218" Type="http://schemas.openxmlformats.org/officeDocument/2006/relationships/hyperlink" Target="https://casetext.com/case/united-states-v-raposo-6" TargetMode="External"/><Relationship Id="rId425" Type="http://schemas.openxmlformats.org/officeDocument/2006/relationships/hyperlink" Target="https://cases.justia.com/federal/district-courts/new-york/nyndce/6:2024cv00956/144608/40/0.pdf?ts=1769171952" TargetMode="External"/><Relationship Id="rId632" Type="http://schemas.openxmlformats.org/officeDocument/2006/relationships/hyperlink" Target="https://cases.justia.com/kentucky/court-of-appeals/2018-2016-ca-001534-mr.pdf?ts=1527861797" TargetMode="External"/><Relationship Id="rId1055" Type="http://schemas.openxmlformats.org/officeDocument/2006/relationships/hyperlink" Target="https://ilcourtsaudio.blob.core.windows.net/antilles-resources/resources/8915be3b-9919-454d-af72-f179ae44351b/Haley%20v.%20East%20Moline%20Firefighters%20Pension%20Fund%202026%20IL%20App%20(4th)%20251251-U.pdf" TargetMode="External"/><Relationship Id="rId1262" Type="http://schemas.openxmlformats.org/officeDocument/2006/relationships/hyperlink" Target="https://www.chandralaw.com/blog/retired-cleveland-fire-division-battalion-chief-files-first-amendment-retaliation-suit-against-city-senior-public-safety-officials" TargetMode="External"/><Relationship Id="rId2106" Type="http://schemas.openxmlformats.org/officeDocument/2006/relationships/hyperlink" Target="https://www4.courts.ca.gov/opinions/nonpub/D085716.PDF" TargetMode="External"/><Relationship Id="rId2313" Type="http://schemas.openxmlformats.org/officeDocument/2006/relationships/hyperlink" Target="https://casetext.com/case/brown-v-medscope-am-corp" TargetMode="External"/><Relationship Id="rId2520" Type="http://schemas.openxmlformats.org/officeDocument/2006/relationships/hyperlink" Target="https://cases.justia.com/arizona/court-of-appeals-division-two-unpublished/2025-2-ca-ic-2024-0003.pdf?ts=1738026580" TargetMode="External"/><Relationship Id="rId2758" Type="http://schemas.openxmlformats.org/officeDocument/2006/relationships/hyperlink" Target="https://www.supremecourt.ohio.gov/rod/docs/pdf/5/2022/2022-Ohio-2757.pdf" TargetMode="External"/><Relationship Id="rId2965" Type="http://schemas.openxmlformats.org/officeDocument/2006/relationships/hyperlink" Target="https://www.supremecourt.ohio.gov/rod/docs/pdf/7/2021/2021-Ohio-4552.pdf" TargetMode="External"/><Relationship Id="rId937" Type="http://schemas.openxmlformats.org/officeDocument/2006/relationships/hyperlink" Target="https://www.supremecourt.gov/opinions/21pdf/20-1668_19m2.pdf" TargetMode="External"/><Relationship Id="rId1122" Type="http://schemas.openxmlformats.org/officeDocument/2006/relationships/hyperlink" Target="https://www.pacourts.us/assets/opinions/Commonwealth/out/1382CD22_10-10-24.pdf?cb=1" TargetMode="External"/><Relationship Id="rId1567" Type="http://schemas.openxmlformats.org/officeDocument/2006/relationships/hyperlink" Target="https://cases.justia.com/federal/district-courts/alabama/alndce/2:2023cv01098/186589/44/0.pdf?ts=1737802006" TargetMode="External"/><Relationship Id="rId1774" Type="http://schemas.openxmlformats.org/officeDocument/2006/relationships/hyperlink" Target="https://cases.justia.com/louisiana/fourth-circuit-court-of-appeal/2018-2018-ca-0507.pdf?ts=1542839104" TargetMode="External"/><Relationship Id="rId1981" Type="http://schemas.openxmlformats.org/officeDocument/2006/relationships/hyperlink" Target="https://casetext.com/statute/montana-code/title-2-government-structure-and-administration/chapter-4-administrative-procedure-act/part-6-contested-cases/section-2-4-621-when-absent-members-render-decision-proposal-for-decision-and-opportunity-to-submit-findings-and-conclusions-modification-by-agency" TargetMode="External"/><Relationship Id="rId2618" Type="http://schemas.openxmlformats.org/officeDocument/2006/relationships/hyperlink" Target="https://nola.gov/getattachment/a5d775b2-685d-43c3-a7ff-ae60a9dcf745/Murphy,-Michael-9697-9698/" TargetMode="External"/><Relationship Id="rId2825" Type="http://schemas.openxmlformats.org/officeDocument/2006/relationships/hyperlink" Target="http://www.leginfo.ca.gov/cgi-bin/displaycode?section=pen&amp;group=00001-01000&amp;file=630-638" TargetMode="External"/><Relationship Id="rId66" Type="http://schemas.openxmlformats.org/officeDocument/2006/relationships/hyperlink" Target="https://www.justice.gov/usao-edwi/pr/former-restaurant-owner-indicted-arson-and-related-charges" TargetMode="External"/><Relationship Id="rId1427" Type="http://schemas.openxmlformats.org/officeDocument/2006/relationships/hyperlink" Target="https://public.fastcase.com/ZZhmr5v9wN%2FXOe5IsQ%2FqDyz5rhb%2FyBrIG8Au%2Ft3V919eqRG814zcJAmxY3jo6zPUS7MBeKfAuG868JSXjuCSoaubFv3fklmg5wPl%2B%2FhuGG8%3D?utm_medium=email&amp;_hsmi=226712652&amp;_hsenc=p2ANqtz-_V_ICNjbd2RZxHYCrc4la9bLeUstsyddFe2y3dzHQoT8LejGxKFn7KSEl6HhmqEbKKnasxkhMyKJsJTXSn_Oay7PK5pg&amp;utm_content=226712652&amp;utm_source=hs_email" TargetMode="External"/><Relationship Id="rId1634" Type="http://schemas.openxmlformats.org/officeDocument/2006/relationships/hyperlink" Target="https://patch.com/massachusetts/brookline/brookline-select-board-votes-appeal-gerald-alston-case" TargetMode="External"/><Relationship Id="rId1841" Type="http://schemas.openxmlformats.org/officeDocument/2006/relationships/hyperlink" Target="https://www.ecfr.gov/current/title-29/section-778.200" TargetMode="External"/><Relationship Id="rId1939" Type="http://schemas.openxmlformats.org/officeDocument/2006/relationships/hyperlink" Target="https://www.dol.gov/whd/opinion/FLSA/2019/2019_08_08_11_FLSA.pdf" TargetMode="External"/><Relationship Id="rId1701" Type="http://schemas.openxmlformats.org/officeDocument/2006/relationships/hyperlink" Target="https://www.njcourts.gov/system/files/court-opinions/2024/a0448-23.pdf" TargetMode="External"/><Relationship Id="rId282" Type="http://schemas.openxmlformats.org/officeDocument/2006/relationships/hyperlink" Target="https://www.usatoday.com/story/news/politics/2021/03/25/supreme-court-police-seizure-includes-shots-fired-fleeing-suspect/6995659002/" TargetMode="External"/><Relationship Id="rId587" Type="http://schemas.openxmlformats.org/officeDocument/2006/relationships/hyperlink" Target="https://www.leagle.com/decision/infdco20200526m70" TargetMode="External"/><Relationship Id="rId2170" Type="http://schemas.openxmlformats.org/officeDocument/2006/relationships/hyperlink" Target="https://revisor.mo.gov/main/OneSection.aspx?section=579.015" TargetMode="External"/><Relationship Id="rId2268" Type="http://schemas.openxmlformats.org/officeDocument/2006/relationships/hyperlink" Target="https://law.justia.com/cases/iowa/court-of-appeals/2023/22-0302.html" TargetMode="External"/><Relationship Id="rId3014" Type="http://schemas.openxmlformats.org/officeDocument/2006/relationships/hyperlink" Target="https://www.law.cornell.edu/cfr/text/24/291.530" TargetMode="External"/><Relationship Id="rId8" Type="http://schemas.openxmlformats.org/officeDocument/2006/relationships/hyperlink" Target="https://doi.org/10.7945/j6c2-q930" TargetMode="External"/><Relationship Id="rId142" Type="http://schemas.openxmlformats.org/officeDocument/2006/relationships/hyperlink" Target="https://www.law.cornell.edu/wex/admit" TargetMode="External"/><Relationship Id="rId447" Type="http://schemas.openxmlformats.org/officeDocument/2006/relationships/hyperlink" Target="https://indianacapitalchronicle.com/briefs/buffer-zone-clarification-heads-to-governors-desk/" TargetMode="External"/><Relationship Id="rId794"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1077" Type="http://schemas.openxmlformats.org/officeDocument/2006/relationships/hyperlink" Target="https://public.fastcase.com/jaEE2PXzRXmZ99jOLMt1IiCZZZpteOfluZOkYG3wMviTSniVMo5h4kc4WRTpe6V8Jg8IM7MTKJ5SfgRKhZGl2tVI6P4U%2BnkSaEwO2dzM8Rk%3D?utm_medium=email&amp;_hsenc=p2ANqtz--UPexxOwqhUZNftyKJhb3R-qXmsyD2qvqkoufxMeh6uEfEbZVRIKhd7hzivD-PUaEhi0YeikRdDbC9teuqS6ORoDRaLQ&amp;_hsmi=226712652&amp;utm_content=226712652&amp;utm_source=hs_email" TargetMode="External"/><Relationship Id="rId2030" Type="http://schemas.openxmlformats.org/officeDocument/2006/relationships/hyperlink" Target="https://www.firerescue1.com/dwi/articles/fire-dept-changes-rules-after-firefighter-dwi-arrests-rmaW6QcL6R9YmTqf/" TargetMode="External"/><Relationship Id="rId2128" Type="http://schemas.openxmlformats.org/officeDocument/2006/relationships/hyperlink" Target="https://public.fastcase.com/jaEE2PXzRXmZ99jOLMt1Iur66SqTUHCh2%2F6i5JSa4l6hU%2FvLi%2B5AObhTx2DvFKDq?utm_medium=email&amp;_hsenc=p2ANqtz--swmEKE2bBH1yxnsdN_yPFP1ssqGq5KgURTPyK4vIy-QrvDWKI9I9IkKVZfzKsNc7HzZR6NsXw-W4jNuqGESlXN6G9zw&amp;_hsmi=226712652&amp;utm_content=226712652&amp;utm_source=hs_email" TargetMode="External"/><Relationship Id="rId2475" Type="http://schemas.openxmlformats.org/officeDocument/2006/relationships/hyperlink" Target="https://cases.justia.com/ohio/second-district-court-of-appeals/2018-27685.pdf?ts=1526679598" TargetMode="External"/><Relationship Id="rId2682" Type="http://schemas.openxmlformats.org/officeDocument/2006/relationships/hyperlink" Target="https://www.govinfo.gov/content/pkg/USCOURTS-cod-1_23-cv-01798/pdf/USCOURTS-cod-1_23-cv-01798-0.pdf" TargetMode="External"/><Relationship Id="rId2987" Type="http://schemas.openxmlformats.org/officeDocument/2006/relationships/hyperlink" Target="https://www.ca5.uscourts.gov/opinions/pub/23/23-40605-CV1.pdf" TargetMode="External"/><Relationship Id="rId654" Type="http://schemas.openxmlformats.org/officeDocument/2006/relationships/hyperlink" Target="https://www.supremecourt.gov/opinions/25pdf/24-924_3d9g.pdf" TargetMode="External"/><Relationship Id="rId861" Type="http://schemas.openxmlformats.org/officeDocument/2006/relationships/hyperlink" Target="http://www.ca2.uscourts.gov/decisions/isysquery/8c537d01-8133-4435-b4f6-e87aa585d8e4/1/doc/15-2181_opn_2.pdf" TargetMode="External"/><Relationship Id="rId959" Type="http://schemas.openxmlformats.org/officeDocument/2006/relationships/hyperlink" Target="http://www.supremecourt.ohio.gov/rod/docs/pdf/5/2018/2018-Ohio-3436.pdf" TargetMode="External"/><Relationship Id="rId1284" Type="http://schemas.openxmlformats.org/officeDocument/2006/relationships/hyperlink" Target="http://codes.ohio.gov/orc/gp9.481" TargetMode="External"/><Relationship Id="rId1491" Type="http://schemas.openxmlformats.org/officeDocument/2006/relationships/hyperlink" Target="http://media.ca11.uscourts.gov/opinions/unpub/files/201810640.pdf" TargetMode="External"/><Relationship Id="rId1589" Type="http://schemas.openxmlformats.org/officeDocument/2006/relationships/hyperlink" Target="https://www.casemine.com/judgement/us/6527768e0e33307ee3c25e6b" TargetMode="External"/><Relationship Id="rId2335" Type="http://schemas.openxmlformats.org/officeDocument/2006/relationships/hyperlink" Target="https://casetext.com/case/ramirez-v-talos-gulf-coast-offshore-llc" TargetMode="External"/><Relationship Id="rId2542" Type="http://schemas.openxmlformats.org/officeDocument/2006/relationships/hyperlink" Target="https://cases.justia.com/washington/court-of-appeals-division-i/2023-84561-6-0.pdf?ts=1696273779" TargetMode="External"/><Relationship Id="rId307" Type="http://schemas.openxmlformats.org/officeDocument/2006/relationships/hyperlink" Target="https://law.justia.com/cases/california/court-of-appeal/2019/h045524.html" TargetMode="External"/><Relationship Id="rId514" Type="http://schemas.openxmlformats.org/officeDocument/2006/relationships/hyperlink" Target="https://casetext.com/case/dependent-of-hayes-v-city-of-eldorado-springs" TargetMode="External"/><Relationship Id="rId721" Type="http://schemas.openxmlformats.org/officeDocument/2006/relationships/hyperlink" Target="https://casetext.com/case/quinn-v-the-bd-of-trs-of-fire-dept-of-city-of-ny-pension-fund" TargetMode="External"/><Relationship Id="rId1144" Type="http://schemas.openxmlformats.org/officeDocument/2006/relationships/hyperlink" Target="https://www.google.com/search?channel=frsc&amp;client=firefox-b-1-d&amp;q=MATTHEW+LONG+v.+CHATTANOOGA+FIRE+AND+POLICE+PENSION+FUND+No.+E2022-01151-COA-R3-CV+%7C+June+20%2C+2023+Session+%7C+" TargetMode="External"/><Relationship Id="rId1351" Type="http://schemas.openxmlformats.org/officeDocument/2006/relationships/hyperlink" Target="http://client.prod.iaff.org/" TargetMode="External"/><Relationship Id="rId1449" Type="http://schemas.openxmlformats.org/officeDocument/2006/relationships/hyperlink" Target="https://www.kktv.com/2022/03/03/biden-sign-bill-ending-forced-arbitration-sexual-harassment-assault-cases/" TargetMode="External"/><Relationship Id="rId1796" Type="http://schemas.openxmlformats.org/officeDocument/2006/relationships/hyperlink" Target="https://webapps.dol.gov/elaws/whd/flsa/hoursworked/screenER44.asp" TargetMode="External"/><Relationship Id="rId2402" Type="http://schemas.openxmlformats.org/officeDocument/2006/relationships/hyperlink" Target="https://codes.ohio.gov/orc/4765.49v1" TargetMode="External"/><Relationship Id="rId2847" Type="http://schemas.openxmlformats.org/officeDocument/2006/relationships/hyperlink" Target="https://www.phoenix.gov/firesite/Documents/fire_mp_10518.pdf" TargetMode="External"/><Relationship Id="rId88" Type="http://schemas.openxmlformats.org/officeDocument/2006/relationships/hyperlink" Target="https://www.youtube.com/watch?v=pYAlJLy1R8U" TargetMode="External"/><Relationship Id="rId819" Type="http://schemas.openxmlformats.org/officeDocument/2006/relationships/hyperlink" Target="https://www.justice.gov/opa/pr/two-suburban-chicago-men-convicted-conspiring-provide-material-support-isis" TargetMode="External"/><Relationship Id="rId1004" Type="http://schemas.openxmlformats.org/officeDocument/2006/relationships/hyperlink" Target="https://casetext.com/case/city-of-houston-v-wilson-1" TargetMode="External"/><Relationship Id="rId1211" Type="http://schemas.openxmlformats.org/officeDocument/2006/relationships/hyperlink" Target="https://cases.justia.com/montana/supreme-court/2021-da-20-0594.pdf?ts=1634679339" TargetMode="External"/><Relationship Id="rId1656" Type="http://schemas.openxmlformats.org/officeDocument/2006/relationships/hyperlink" Target="https://www.5dca.org/content/download/632688/7189187/file/183494_DC13_03272020_081652_i.pdf" TargetMode="External"/><Relationship Id="rId1863" Type="http://schemas.openxmlformats.org/officeDocument/2006/relationships/hyperlink" Target="https://cases.justia.com/federal/appellate-courts/ca6/22-3101/22-3101-2023-05-19.pdf?ts=1684526463" TargetMode="External"/><Relationship Id="rId2707" Type="http://schemas.openxmlformats.org/officeDocument/2006/relationships/hyperlink" Target="https://cases.justia.com/federal/district-courts/illinois/ilndce/1:2021cv03620/405182/52/0.pdf?ts=1706027592" TargetMode="External"/><Relationship Id="rId2914" Type="http://schemas.openxmlformats.org/officeDocument/2006/relationships/hyperlink" Target="https://casetext.com/statute/code-of-iowa/title-i-state-sovereignty-and-management/chapter-17a-iowa-administrative-procedure-act/section-17a19-judicial-review" TargetMode="External"/><Relationship Id="rId1309" Type="http://schemas.openxmlformats.org/officeDocument/2006/relationships/hyperlink" Target="http://codes.ohio.gov/orc/gp9.481" TargetMode="External"/><Relationship Id="rId1516" Type="http://schemas.openxmlformats.org/officeDocument/2006/relationships/hyperlink" Target="https://public.fastcase.com/Jhe1Qn%2BmJndQYQU6z%2FeNm1cq6DF%2B0mwfQ%2B9GkxqArOmiI%2Br3pqLQcfUQ9AU87OOuD%2FJzrAudT8Uy0iaMJBoawKe1EX6WSg%2BOkxX3QRCMAFw%3D?utm_medium=email&amp;_hsenc=p2ANqtz-_ksvtFSH3F7V9OxMxwc5gVP-ZaslSWyxeZ9jEa2PoByYFN6k_LJXpxzSiAU3hVRDVxjynViSQXdw2zZ_BJSnGhoO29fA&amp;_hsmi=226712652&amp;utm_content=226712652&amp;utm_source=hs_email" TargetMode="External"/><Relationship Id="rId1723" Type="http://schemas.openxmlformats.org/officeDocument/2006/relationships/hyperlink" Target="https://public.fastcase.com/ZZhmr5v9wN%2FXOe5IsQ%2FqD3krOQsYv7d%2B2FRanieXHrmbYJPE10W29y6OT9Ia%2FWEvM783GCgc1J%2FsNiq8x9hdfsWhS9nPoC1uzPRzllCUOIc%3D?utm_medium=email&amp;_hsmi=226712652&amp;_hsenc=p2ANqtz-8spF1R7Tf8jpK24zY2dxus9kZGwVA1F9Ooj2BZLJ_FR6fOEX3itYzYoKF0bR9AZ1zkqCBHaC-K0F7fdoWy1HLEeYJb6g&amp;utm_content=226712652&amp;utm_source=hs_email" TargetMode="External"/><Relationship Id="rId1930" Type="http://schemas.openxmlformats.org/officeDocument/2006/relationships/hyperlink" Target="https://public.fastcase.com/Wl%2B2t%2BeVuI35%2FN70vAMFZpr47IXL%2FNqq46QG15nW3r0g0xInlPjrGPn7upgPO%2BUR" TargetMode="External"/><Relationship Id="rId15" Type="http://schemas.openxmlformats.org/officeDocument/2006/relationships/hyperlink" Target="https://doi.org/10.7945/j6c2-q930" TargetMode="External"/><Relationship Id="rId2192" Type="http://schemas.openxmlformats.org/officeDocument/2006/relationships/hyperlink" Target="https://casetext.com/case/newsome-v-inspira-health-network-inc" TargetMode="External"/><Relationship Id="rId3036" Type="http://schemas.openxmlformats.org/officeDocument/2006/relationships/hyperlink" Target="https://www.natlawreview.com/article/congress-votes-to-end-mandatory-arbitration-sexual-assault-and-sexual-harassment" TargetMode="External"/><Relationship Id="rId164" Type="http://schemas.openxmlformats.org/officeDocument/2006/relationships/hyperlink" Target="https://www.supremecourt.gov/opinions/23pdf/22-324_09m1.pdf" TargetMode="External"/><Relationship Id="rId371" Type="http://schemas.openxmlformats.org/officeDocument/2006/relationships/hyperlink" Target="https://www.supremecourt.gov/opinions/17pdf/16-1466_2b3j.pdf" TargetMode="External"/><Relationship Id="rId2052" Type="http://schemas.openxmlformats.org/officeDocument/2006/relationships/hyperlink" Target="https://cases.justia.com/federal/district-courts/washington/wawdce/2:2023cv01095/324497/258/0.pdf?ts=1785113252" TargetMode="External"/><Relationship Id="rId2497" Type="http://schemas.openxmlformats.org/officeDocument/2006/relationships/hyperlink" Target="https://www.customsmobile.com/regulations/expand/title29_chapterXVII_part1904_subpartC_section1904.5" TargetMode="External"/><Relationship Id="rId469" Type="http://schemas.openxmlformats.org/officeDocument/2006/relationships/hyperlink" Target="https://www.youtube.com/watch?v=teM31tC2TMo" TargetMode="External"/><Relationship Id="rId676" Type="http://schemas.openxmlformats.org/officeDocument/2006/relationships/hyperlink" Target="https://edition.cnn.com/2025/11/22/politics/judges-block-trump-cutting-grants-cities-counties-hnk" TargetMode="External"/><Relationship Id="rId883" Type="http://schemas.openxmlformats.org/officeDocument/2006/relationships/hyperlink" Target="https://cases.justia.com/federal/appellate-courts/ca5/24-50970/24-50970-2025-06-05.pdf?ts=1749144644" TargetMode="External"/><Relationship Id="rId1099" Type="http://schemas.openxmlformats.org/officeDocument/2006/relationships/hyperlink" Target="https://cases.justia.com/west-virginia/intermediate-court-of-appeals/2025-24-ica-379.pdf?ts=1745964757" TargetMode="External"/><Relationship Id="rId2357" Type="http://schemas.openxmlformats.org/officeDocument/2006/relationships/hyperlink" Target="http://lcapps.co.lucas.oh.us/Courts/Appeals/DecisionsPDF/9824.pdf" TargetMode="External"/><Relationship Id="rId2564" Type="http://schemas.openxmlformats.org/officeDocument/2006/relationships/hyperlink" Target="https://public.fastcase.com/9SKwsfNqTc6OieYDhNMyM%2BsbSTu241pOZ38l1fL3GtOxRE1iLhH6RZm0FIyTdVeF1XRK6Ebg7B5equTDg4ZQiMxFMDQEZko4UYsaxrmOuYk%3D" TargetMode="External"/><Relationship Id="rId231" Type="http://schemas.openxmlformats.org/officeDocument/2006/relationships/hyperlink" Target="https://acis.alabama.gov/displaydocs.cfm?no=1126944&amp;event=6CD0OUEMB" TargetMode="External"/><Relationship Id="rId329" Type="http://schemas.openxmlformats.org/officeDocument/2006/relationships/hyperlink" Target="https://cdm17027.contentdm.oclc.org/digital/collection/p17027coll5/id/26716/rec/1" TargetMode="External"/><Relationship Id="rId536" Type="http://schemas.openxmlformats.org/officeDocument/2006/relationships/hyperlink" Target="https://www.firstcoastnews.com/article/news/local/judge-jacksonville-has-mechanism-to-deviate-from-rule-making-black-firefighters-shave/77-7e962b25-bfed-4f9c-817e-ba6883a1f94b" TargetMode="External"/><Relationship Id="rId1166" Type="http://schemas.openxmlformats.org/officeDocument/2006/relationships/hyperlink" Target="https://casetext.com/case/barnabee-v-the-nyc-fire-pension-fund" TargetMode="External"/><Relationship Id="rId1373" Type="http://schemas.openxmlformats.org/officeDocument/2006/relationships/hyperlink" Target="https://cases.justia.com/federal/district-courts/virginia/vaedce/2:2025cv00255/573201/8/0.pdf?ts=1769187301" TargetMode="External"/><Relationship Id="rId2217" Type="http://schemas.openxmlformats.org/officeDocument/2006/relationships/hyperlink" Target="https://bencrump.com/press/attorney-ben-crump-files-personal-injury-lawsuit-against-paramedics-who-refused-to-provide-emergency-care-to-disabled-teen/" TargetMode="External"/><Relationship Id="rId2771" Type="http://schemas.openxmlformats.org/officeDocument/2006/relationships/hyperlink" Target="https://law.justia.com/cases/federal/appellate-courts/cafc/20-2147/20-2147-2022-04-18.html" TargetMode="External"/><Relationship Id="rId2869" Type="http://schemas.openxmlformats.org/officeDocument/2006/relationships/hyperlink" Target="https://www.ethics.ohio.gov/education/factsheets/InfoSheet1-Nepotism.pdf" TargetMode="External"/><Relationship Id="rId743" Type="http://schemas.openxmlformats.org/officeDocument/2006/relationships/hyperlink" Target="https://casetext.com/case/chairnoff-v-islamic-republic-of-iran-in-re-terrorist-attacks" TargetMode="External"/><Relationship Id="rId950" Type="http://schemas.openxmlformats.org/officeDocument/2006/relationships/hyperlink" Target="https://ktla.com/news/local-news/gov-newsom-signs-new-law-prompted-by-photo-scandal-in-crash-that-killed-kobe-bryant-8-others-in-calabasas/" TargetMode="External"/><Relationship Id="rId1026" Type="http://schemas.openxmlformats.org/officeDocument/2006/relationships/hyperlink" Target="https://public.fastcase.com/" TargetMode="External"/><Relationship Id="rId1580" Type="http://schemas.openxmlformats.org/officeDocument/2006/relationships/hyperlink" Target="https://cases.justia.com/federal/district-courts/texas/txsdce/4:2023cv04777/1945442/28/0.pdf?ts=1723207973" TargetMode="External"/><Relationship Id="rId1678" Type="http://schemas.openxmlformats.org/officeDocument/2006/relationships/hyperlink" Target="https://cases.justia.com/federal/district-courts/kentucky/kyedce/5:2024cv00129/104855/29/0.pdf?ts=1778093974" TargetMode="External"/><Relationship Id="rId1885" Type="http://schemas.openxmlformats.org/officeDocument/2006/relationships/hyperlink" Target="https://www.law.cornell.edu/topn/black-connery_fair_labor_standards_act" TargetMode="External"/><Relationship Id="rId2424" Type="http://schemas.openxmlformats.org/officeDocument/2006/relationships/hyperlink" Target="https://www.npr.org/sections/coronavirus-live-updates/2020/04/12/832644243/kansas-supreme-court-upholds-governors-order-limiting-the-size-of-easter-service" TargetMode="External"/><Relationship Id="rId2631" Type="http://schemas.openxmlformats.org/officeDocument/2006/relationships/hyperlink" Target="https://cases.justia.com/federal/district-courts/nevada/nvdce/3:2025cv00159/173760/49/0.pdf" TargetMode="External"/><Relationship Id="rId2729" Type="http://schemas.openxmlformats.org/officeDocument/2006/relationships/hyperlink" Target="https://caselaw.findlaw.com/court/us-7th-circuit/2204869.html" TargetMode="External"/><Relationship Id="rId2936" Type="http://schemas.openxmlformats.org/officeDocument/2006/relationships/hyperlink" Target="https://casetext.com/case/murchison-v-city-of-waterbury" TargetMode="External"/><Relationship Id="rId603" Type="http://schemas.openxmlformats.org/officeDocument/2006/relationships/hyperlink" Target="https://law.justia.com/cases/new-york/appellate-division-second-department/2019/2016-10855.html" TargetMode="External"/><Relationship Id="rId810"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908" Type="http://schemas.openxmlformats.org/officeDocument/2006/relationships/hyperlink" Target="https://casetext.com/case/gross-v-fbl-fin-servs-inc-3" TargetMode="External"/><Relationship Id="rId1233" Type="http://schemas.openxmlformats.org/officeDocument/2006/relationships/hyperlink" Target="https://law.justia.com/cases/missouri/court-of-appeals/2021/wd83430.html" TargetMode="External"/><Relationship Id="rId1440" Type="http://schemas.openxmlformats.org/officeDocument/2006/relationships/hyperlink" Target="https://media.ca11.uscourts.gov/opinions/unpub/files/202110377.pdf" TargetMode="External"/><Relationship Id="rId1538" Type="http://schemas.openxmlformats.org/officeDocument/2006/relationships/hyperlink" Target="https://public.fastcase.com/Jhe1Qn%2BmJndQYQU6z%2FeNm77nYWugAlzsBoxNmmqkM3E6Q88Vkqy0VZ5SiNrQruK%2B?utm_medium=email&amp;_hsenc=p2ANqtz-9AvFND94NtmZ3W9IwgKnyu4_gZwqiYmIH5_4QpXW_NHE8WVWhb5SJK4Whyo4GFBslMpA9EnrqLvXRYy-" TargetMode="External"/><Relationship Id="rId1300" Type="http://schemas.openxmlformats.org/officeDocument/2006/relationships/hyperlink" Target="https://www.firstrespondercenter.org/cancer/toolsresources/presumptive-legislation-firefighter-cancer-state/" TargetMode="External"/><Relationship Id="rId1745" Type="http://schemas.openxmlformats.org/officeDocument/2006/relationships/hyperlink" Target="https://www.eeoc.gov/time-limits-filing-charge" TargetMode="External"/><Relationship Id="rId1952" Type="http://schemas.openxmlformats.org/officeDocument/2006/relationships/hyperlink" Target="https://cases.justia.com/federal/appellate-courts/ca6/14-5053/14-5053-2014-11-14.pdf?ts=1415984433" TargetMode="External"/><Relationship Id="rId37" Type="http://schemas.openxmlformats.org/officeDocument/2006/relationships/hyperlink" Target="https://cases.justia.com/federal/appellate-courts/ca4/22-4489/22-4489-2024-07-09.pdf?ts=1720549856" TargetMode="External"/><Relationship Id="rId1605" Type="http://schemas.openxmlformats.org/officeDocument/2006/relationships/hyperlink" Target="https://public.fastcase.com/J%2FJP6pdidelsXxEE4k%2BLMlZWglMtowNFAELJodU5Ey8OhOeImHtUqedyG3gviX1KHWia8kZp1W6BpRYSHWWuxJPhh3XCqhBA0xYwY8ImSqA%3D?utm_medium=email&amp;_hsmi=226712652&amp;_hsenc=p2ANqtz-8Opm8993SGrvNEYVYffjIdnWwQ_39Y6IGa88rGJPHsNdF2T_bOfK_XBqNF_9dQMkZM8ini867XF3tJMXcIH4Ec_0OJdg&amp;utm_content=226712652&amp;utm_source=hs_email" TargetMode="External"/><Relationship Id="rId1812" Type="http://schemas.openxmlformats.org/officeDocument/2006/relationships/hyperlink" Target="https://www.firefighterovertime.org/2026/01/04/fourth-circuit-rules-against-battalion-chiefs-in-virginia-flsa-lawsuit/" TargetMode="External"/><Relationship Id="rId186" Type="http://schemas.openxmlformats.org/officeDocument/2006/relationships/hyperlink" Target="https://www.law.cornell.edu/rules/fre/rule_702" TargetMode="External"/><Relationship Id="rId393" Type="http://schemas.openxmlformats.org/officeDocument/2006/relationships/hyperlink" Target="https://supreme.justia.com/cases/federal/us/391/563/" TargetMode="External"/><Relationship Id="rId2074" Type="http://schemas.openxmlformats.org/officeDocument/2006/relationships/hyperlink" Target="https://law.justia.com/codes/tennessee/title-50/chapter-1/part-3/section-50-1-304/" TargetMode="External"/><Relationship Id="rId2281" Type="http://schemas.openxmlformats.org/officeDocument/2006/relationships/hyperlink" Target="https://public.fastcase.com/J%2FJP6pdidelsXxEE4k%2BLMv5wihlcRVj4L9YHbnV6MVAF3KBJWQtSNgsG4EjgakbdHjeAvtzGQxxiofGv8pQP2WzdDBJrvHehgIHwsEqWl4I%3D?utm_medium=email&amp;_hsmi=226712652&amp;_hsenc=p2ANqtz-8bxe8uEVUAEFxEuakn9lUGLQUwlcgKmV3pJL4LaqF4K3hrnG0m_YdcBfrpGQgthbsaGFQPAZbt-ltRFFMr5oynBxpKXA&amp;utm_content=226712652&amp;utm_source=hs_email" TargetMode="External"/><Relationship Id="rId253" Type="http://schemas.openxmlformats.org/officeDocument/2006/relationships/hyperlink" Target="https://www.mainelegislature.org/legis/statutes/17/title17sec2857.html" TargetMode="External"/><Relationship Id="rId460" Type="http://schemas.openxmlformats.org/officeDocument/2006/relationships/hyperlink" Target="https://www.firerescue1.com/firefighter-death/articles/miss-fire-lieutenant-killed-in-gas-station-robbery-jMwIEdZ3rDnt54xe/" TargetMode="External"/><Relationship Id="rId698" Type="http://schemas.openxmlformats.org/officeDocument/2006/relationships/hyperlink" Target="https://www.govinfo.gov/content/pkg/USCOURTS-cofc-1_23-cv-00383/pdf/USCOURTS-cofc-1_23-cv-00383-0.pdf" TargetMode="External"/><Relationship Id="rId1090" Type="http://schemas.openxmlformats.org/officeDocument/2006/relationships/hyperlink" Target="https://www.dol.gov/agencies/vets/programs/userra/USERRA-Pocket-Guide" TargetMode="External"/><Relationship Id="rId2141" Type="http://schemas.openxmlformats.org/officeDocument/2006/relationships/hyperlink" Target="https://cases.justia.com/louisiana/fourth-circuit-court-of-appeal/2025-2024-ca-0437.pdf?ts=1741310103" TargetMode="External"/><Relationship Id="rId2379" Type="http://schemas.openxmlformats.org/officeDocument/2006/relationships/hyperlink" Target="https://public.fastcase.com/Wl%2B2t%2BeVuI35%2FN70vAMFZhZJi56QhK5aeAu9BSRcXQy3N2tA%2FHS1iSBZTTlZLCgr" TargetMode="External"/><Relationship Id="rId2586" Type="http://schemas.openxmlformats.org/officeDocument/2006/relationships/hyperlink" Target="https://www.wwlp.com/news/massachusetts/critical-incident-intervention-for-first-responders-bill-signed-into-law/1706453191" TargetMode="External"/><Relationship Id="rId2793" Type="http://schemas.openxmlformats.org/officeDocument/2006/relationships/hyperlink" Target="https://www.mass.gov/news/wellesley-fire-chief-richard-delorie-pays-10000-civil-penalty-for-violating-conflict-of-interest-law" TargetMode="External"/><Relationship Id="rId113"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320" Type="http://schemas.openxmlformats.org/officeDocument/2006/relationships/hyperlink" Target="https://www.rcfp.org/resources/anti-slapp-laws/" TargetMode="External"/><Relationship Id="rId558" Type="http://schemas.openxmlformats.org/officeDocument/2006/relationships/hyperlink" Target="https://public.fastcase.com/9SKwsfNqTc6OieYDhNMyM9xc2pxP%2FDu9FaHS39uIywoNWZfMpeo5x%2FagXmZgtb6udFSKN2SMusDFZQbDcDfWSogmOURw4QaQEmhtdPNd1MI%3D" TargetMode="External"/><Relationship Id="rId765" Type="http://schemas.openxmlformats.org/officeDocument/2006/relationships/hyperlink" Target="https://www.supremecourt.gov/opinions/20pdf/19-1108_8n5a.pdf" TargetMode="External"/><Relationship Id="rId972" Type="http://schemas.openxmlformats.org/officeDocument/2006/relationships/hyperlink" Target="https://cases.justia.com/texas/fourteenth-court-of-appeals/2025-14-24-00811-cv.pdf?ts=1765287556" TargetMode="External"/><Relationship Id="rId1188" Type="http://schemas.openxmlformats.org/officeDocument/2006/relationships/hyperlink" Target="https://www.journal-news.com/news/local/fairfield-able-rehire-retired-fire-chief/JMPkJQCqJ2eIDqbu2eI8RK/" TargetMode="External"/><Relationship Id="rId1395" Type="http://schemas.openxmlformats.org/officeDocument/2006/relationships/hyperlink" Target="https://codes.ohio.gov/ohio-revised-code/section-4112.021" TargetMode="External"/><Relationship Id="rId2001" Type="http://schemas.openxmlformats.org/officeDocument/2006/relationships/hyperlink" Target="https://www.nytimes.com/2019/09/19/health/purdue-sackler-opioid-settlement.html" TargetMode="External"/><Relationship Id="rId2239" Type="http://schemas.openxmlformats.org/officeDocument/2006/relationships/hyperlink" Target="https://www.supremecourt.ohio.gov/rod/docs/pdf/3/2023/2023-Ohio-3429.pdf" TargetMode="External"/><Relationship Id="rId2446" Type="http://schemas.openxmlformats.org/officeDocument/2006/relationships/hyperlink" Target="https://www.plaintiffmagazine.com/recent-issues/item/ems-helicopter-crashes-raise-complex-liability-issues" TargetMode="External"/><Relationship Id="rId2653" Type="http://schemas.openxmlformats.org/officeDocument/2006/relationships/hyperlink" Target="https://www.wtsp.com/article/news/local/ex-fire-chief-convicted-in-child-sex-abuse-trial/67-376283027" TargetMode="External"/><Relationship Id="rId2860" Type="http://schemas.openxmlformats.org/officeDocument/2006/relationships/hyperlink" Target="https://www.cleveland.com/cityhall/2009/06/ohio_supreme_court_deals_a_leg.html" TargetMode="External"/><Relationship Id="rId418" Type="http://schemas.openxmlformats.org/officeDocument/2006/relationships/hyperlink" Target="https://cases.justia.com/federal/district-courts/new-hampshire/nhdce/1:2024cv00213/63777/56/0.pdf?ts=1775080109" TargetMode="External"/><Relationship Id="rId625" Type="http://schemas.openxmlformats.org/officeDocument/2006/relationships/hyperlink" Target="https://cases.justia.com/pennsylvania/superior-court/2018-1747-wda-2016.pdf?ts=1534790308" TargetMode="External"/><Relationship Id="rId832" Type="http://schemas.openxmlformats.org/officeDocument/2006/relationships/hyperlink" Target="https://www.supremecourt.gov/opinions/19pdf/19-161_g314.pdf" TargetMode="External"/><Relationship Id="rId1048" Type="http://schemas.openxmlformats.org/officeDocument/2006/relationships/hyperlink" Target="https://apps.fastcase.com/Research/Pages/Document.aspx?LTID=Xw8aOGbEV5h7mh6RjPEl9n63ZALwBpLWbymlVcyIbGaFEyS5AIee4aT6cgn2wg4uWWJVckzCvxLzei9%2b4Apj1XP1P42mrmnHytE1H7bv0g2rI4G%2bkqbz4sFzRUBCZSj0unPMTNwoqsGxjmJqgIPe%2fA%3d%3d&amp;ECF=(1999)+21+Cal.4th+226" TargetMode="External"/><Relationship Id="rId1255" Type="http://schemas.openxmlformats.org/officeDocument/2006/relationships/hyperlink" Target="https://public.fastcase.com/Wl%2B2t%2BeVuI35%2FN70vAMFZiwHTxExttVvxvtro3%2Fx3JKRataF5Ade5ddShAB2khcY" TargetMode="External"/><Relationship Id="rId1462" Type="http://schemas.openxmlformats.org/officeDocument/2006/relationships/hyperlink" Target="https://www.mass.gov/doc/miltimore-boutin-and-kennedy-v-westfield-fire-commission-52121/download" TargetMode="External"/><Relationship Id="rId2306" Type="http://schemas.openxmlformats.org/officeDocument/2006/relationships/hyperlink" Target="https://casetext.com/case/sutton-v-rockingham-cnty" TargetMode="External"/><Relationship Id="rId2513" Type="http://schemas.openxmlformats.org/officeDocument/2006/relationships/hyperlink" Target="https://cases.justia.com/federal/district-courts/illinois/ilndce/1:2021cv05327/407800/161/0.pdf?ts=1751450196" TargetMode="External"/><Relationship Id="rId2958" Type="http://schemas.openxmlformats.org/officeDocument/2006/relationships/hyperlink" Target="https://www.theledger.com/story/news/local/2022/05/20/lakeland-fire-department-leaders-retaliated-against-union-members-commission-says/9852984002/?mc_cid=a677467851&amp;mc_eid=3f2d24c371" TargetMode="External"/><Relationship Id="rId1115" Type="http://schemas.openxmlformats.org/officeDocument/2006/relationships/hyperlink" Target="https://cases.justia.com/pennsylvania/commonwealth-court/2024-541-and-589-c-d-2022.pdf?ts=1735057731" TargetMode="External"/><Relationship Id="rId1322" Type="http://schemas.openxmlformats.org/officeDocument/2006/relationships/hyperlink" Target="https://law.justia.com/cases/new-york/other-courts/2019/2019-ny-slip-op-29363.html" TargetMode="External"/><Relationship Id="rId1767" Type="http://schemas.openxmlformats.org/officeDocument/2006/relationships/hyperlink" Target="https://www.courthousenews.com/firemans-beard-bias-claims-given-a-trim/" TargetMode="External"/><Relationship Id="rId1974" Type="http://schemas.openxmlformats.org/officeDocument/2006/relationships/hyperlink" Target="https://caselaw.findlaw.com/court/al-supreme-court/117080306.html" TargetMode="External"/><Relationship Id="rId2720" Type="http://schemas.openxmlformats.org/officeDocument/2006/relationships/hyperlink" Target="https://cases.justia.com/north-carolina/court-of-appeals/2023-22-259.pdf?ts=1694553709" TargetMode="External"/><Relationship Id="rId2818" Type="http://schemas.openxmlformats.org/officeDocument/2006/relationships/hyperlink" Target="https://njcourts.gov/attorneys/assets/opinions/appellate/unpublished/a1619-18.pdf?c=D1L" TargetMode="External"/><Relationship Id="rId59" Type="http://schemas.openxmlformats.org/officeDocument/2006/relationships/hyperlink" Target="https://law.justia.com/cases/kentucky/supreme-court/2025/2023-sc-0395-dg.html" TargetMode="External"/><Relationship Id="rId1627" Type="http://schemas.openxmlformats.org/officeDocument/2006/relationships/hyperlink" Target="https://law.justia.com/cases/federal/appellate-courts/ca2/20-456/20-456-2021-06-09.html" TargetMode="External"/><Relationship Id="rId1834" Type="http://schemas.openxmlformats.org/officeDocument/2006/relationships/hyperlink" Target="https://brookline.news/wp-content/uploads/2024/12/jointsettlementfiling.pdf" TargetMode="External"/><Relationship Id="rId2096" Type="http://schemas.openxmlformats.org/officeDocument/2006/relationships/hyperlink" Target="https://cases.justia.com/texas/thirteenth-court-of-appeals/2026-13-25-00099-cv.pdf?ts=1772125541" TargetMode="External"/><Relationship Id="rId1901" Type="http://schemas.openxmlformats.org/officeDocument/2006/relationships/hyperlink" Target="https://www.ca4.uscourts.gov/Opinions/191755.P.pdf" TargetMode="External"/><Relationship Id="rId275" Type="http://schemas.openxmlformats.org/officeDocument/2006/relationships/hyperlink" Target="https://www.supremecourt.gov/opinions/20pdf/19-1414_8m58.pdf" TargetMode="External"/><Relationship Id="rId482" Type="http://schemas.openxmlformats.org/officeDocument/2006/relationships/hyperlink" Target="https://www.opn.ca6.uscourts.gov/opinions.pdf/24a0367n-06.pdf" TargetMode="External"/><Relationship Id="rId2163" Type="http://schemas.openxmlformats.org/officeDocument/2006/relationships/hyperlink" Target="https://www.njcourts.gov/system/files/court-opinions/2024/a1893-22.pdf" TargetMode="External"/><Relationship Id="rId2370" Type="http://schemas.openxmlformats.org/officeDocument/2006/relationships/hyperlink" Target="https://casetext.com/case/waybright-v-frederick-county-2" TargetMode="External"/><Relationship Id="rId3007" Type="http://schemas.openxmlformats.org/officeDocument/2006/relationships/hyperlink" Target="https://public.fastcase.com/jaEE2PXzRXmZ99jOLMt1InNcYbqVaI0RKJVNmSUWwC4uBfhrqEaMCXW4t6jftSIgD4%2FHoHLdH48y39slr7kZWrEMnvLTwJnn0bFKh%2B9XZVQ%3D?utm_medium=email&amp;_hsenc=p2ANqtz-9jIRW7ECQxdsfZzinN3lzy-N6WwmOPS0xWaDDWCvHvPAgLyigDSOvaGk0u5IT3PeW4EZ19aOxVZon74RIrJmMQwWSuhw&amp;_hsmi=226712652&amp;utm_content=226712652&amp;utm_source=hs_email" TargetMode="External"/><Relationship Id="rId135" Type="http://schemas.openxmlformats.org/officeDocument/2006/relationships/hyperlink" Target="https://www.indeonline.com/story/news/2013/01/30/massillon-woman-gets-7-years/65001393007/" TargetMode="External"/><Relationship Id="rId342" Type="http://schemas.openxmlformats.org/officeDocument/2006/relationships/hyperlink" Target="https://cases.justia.com/ohio/eighth-district-court-of-appeals/2019-108224.pdf?ts=1576167401" TargetMode="External"/><Relationship Id="rId787" Type="http://schemas.openxmlformats.org/officeDocument/2006/relationships/hyperlink" Target="https://www.supremecourt.gov/opinions/20pdf/20-297_4g25.pdf" TargetMode="External"/><Relationship Id="rId994" Type="http://schemas.openxmlformats.org/officeDocument/2006/relationships/hyperlink" Target="https://www.courts.mo.gov/file.jsp?id=205075" TargetMode="External"/><Relationship Id="rId2023" Type="http://schemas.openxmlformats.org/officeDocument/2006/relationships/hyperlink" Target="https://law.justia.com/cases/louisiana/fourth-circuit-court-of-appeal/2021/2021-ca-0070.html" TargetMode="External"/><Relationship Id="rId2230" Type="http://schemas.openxmlformats.org/officeDocument/2006/relationships/hyperlink" Target="https://cases.justia.com/pennsylvania/superior-court/2023-1846-eda-2021.pdf?ts=1703100172" TargetMode="External"/><Relationship Id="rId2468" Type="http://schemas.openxmlformats.org/officeDocument/2006/relationships/hyperlink" Target="https://www.supremecourt.gov/opinions/18pdf/17-1660_5ifl.pdf" TargetMode="External"/><Relationship Id="rId2675" Type="http://schemas.openxmlformats.org/officeDocument/2006/relationships/hyperlink" Target="https://www.njcourts.gov/system/files/court-opinions/2025/a1587-23.pdf" TargetMode="External"/><Relationship Id="rId2882" Type="http://schemas.openxmlformats.org/officeDocument/2006/relationships/hyperlink" Target="https://casetext.com/case/banske-v-city-of-calumet-city" TargetMode="External"/><Relationship Id="rId202" Type="http://schemas.openxmlformats.org/officeDocument/2006/relationships/hyperlink" Target="https://public.fastcase.com/ZZhmr5v9wN%2FXOe5IsQ%2FqDwpaI7JNx0yucAfBBTCYhVf6eRN0F6j2PHZ4Bf4v9PLOEuaobgTYEa8%2BzQGGWxAHAgvFhF3yj4k41BJEkNmdniM%3D?utm_medium=email&amp;_hsmi=226712652&amp;_hsenc=p2ANqtz-_dwT49KfhNPpDq3N3VwSjkZTEUiwZEDoqDlulVdR_yzkAg6581Fi_9SACtWrDkZJ_u8Xp6dukkkP4Lu33go_UmHv0HyQ&amp;utm_content=226712652&amp;utm_source=hs_email" TargetMode="External"/><Relationship Id="rId647" Type="http://schemas.openxmlformats.org/officeDocument/2006/relationships/hyperlink" Target="https://www.kltv.com/2026/07/19/federal-judge-bars-trump-administration-using-obscure-clause-make-huge-funding-cuts/" TargetMode="External"/><Relationship Id="rId854" Type="http://schemas.openxmlformats.org/officeDocument/2006/relationships/hyperlink" Target="https://d.docs.live.net/bd9b2eaf6053242e/AppData/Local/Microsoft/Windows/INetCache/Content.Outlook/YEHISW7P/331CR865.pdf" TargetMode="External"/><Relationship Id="rId1277" Type="http://schemas.openxmlformats.org/officeDocument/2006/relationships/hyperlink" Target="https://delcode.delaware.gov/title19/c017/index.shtml" TargetMode="External"/><Relationship Id="rId1484" Type="http://schemas.openxmlformats.org/officeDocument/2006/relationships/hyperlink" Target="https://www.leagle.com/cite/653%20F.2d%20180" TargetMode="External"/><Relationship Id="rId1691" Type="http://schemas.openxmlformats.org/officeDocument/2006/relationships/hyperlink" Target="https://www.govinfo.gov/content/pkg/USCOURTS-nhd-1_23-cv-00327/pdf/USCOURTS-nhd-1_23-cv-00327-0.pdf" TargetMode="External"/><Relationship Id="rId2328" Type="http://schemas.openxmlformats.org/officeDocument/2006/relationships/hyperlink" Target="https://nmonesource.com/nmos/nmsa/en/item/4422/index.do" TargetMode="External"/><Relationship Id="rId2535" Type="http://schemas.openxmlformats.org/officeDocument/2006/relationships/hyperlink" Target="https://caselaw.findlaw.com/court/us-dis-crt-s-d-ohi-wes-div/2089388.html" TargetMode="External"/><Relationship Id="rId2742" Type="http://schemas.openxmlformats.org/officeDocument/2006/relationships/hyperlink" Target="https://law.justia.com/cases/federal/appellate-courts/ca6/21-3832/21-3832-2023-01-25.html" TargetMode="External"/><Relationship Id="rId507" Type="http://schemas.openxmlformats.org/officeDocument/2006/relationships/hyperlink" Target="https://casetext.com/statute/consolidated-laws-of-new-york/chapter-volunteer-firefighters-benefit/article-2-coverage-and-benefits/section-5-coverage" TargetMode="External"/><Relationship Id="rId714" Type="http://schemas.openxmlformats.org/officeDocument/2006/relationships/hyperlink" Target="https://www.supremecourt.gov/opinions/23pdf/22-842_6kg7.pdf" TargetMode="External"/><Relationship Id="rId921" Type="http://schemas.openxmlformats.org/officeDocument/2006/relationships/hyperlink" Target="https://public.fastcase.com/waZtJvSA54UAurM2rmIZz%2BDBDza2Dcvrp2SE0zpDRm3uGB65hvSCPfK4VjLpx5do7UnCIAIPH2MB5FJFO94Wb3w6W7ePwbFST%2FncfNL0phQ%3D" TargetMode="External"/><Relationship Id="rId1137" Type="http://schemas.openxmlformats.org/officeDocument/2006/relationships/hyperlink" Target="https://www.njcourts.gov/system/files/court-opinions/2024/a3332-21.pdf" TargetMode="External"/><Relationship Id="rId1344" Type="http://schemas.openxmlformats.org/officeDocument/2006/relationships/hyperlink" Target="http://www.opn.ca6.uscourts.gov/opinions.pdf/18a0522n-06.pdf" TargetMode="External"/><Relationship Id="rId1551" Type="http://schemas.openxmlformats.org/officeDocument/2006/relationships/hyperlink" Target="https://www.supremecourt.gov/opinions/24pdf/23-909_f2q3.pdf" TargetMode="External"/><Relationship Id="rId1789" Type="http://schemas.openxmlformats.org/officeDocument/2006/relationships/hyperlink" Target="https://cases.justia.com/federal/district-courts/illinois/ilndce/1:2018cv08500/359885/139/0.pdf?ts=1594372800" TargetMode="External"/><Relationship Id="rId1996" Type="http://schemas.openxmlformats.org/officeDocument/2006/relationships/hyperlink" Target="https://www.ca2.uscourts.gov/decisions/isysquery/8c1d712c-7872-4b25-a064-fe1fbb801f2a/1/doc/22-110_complete_opn.pdf" TargetMode="External"/><Relationship Id="rId2602" Type="http://schemas.openxmlformats.org/officeDocument/2006/relationships/hyperlink" Target="https://www.oyez.org/cases/1967/510" TargetMode="External"/><Relationship Id="rId50" Type="http://schemas.openxmlformats.org/officeDocument/2006/relationships/hyperlink" Target="https://public.fastcase.com/Jhe1Qn%2BmJndQYQU6z%2FeNm57E189vmSMp%2BOS67ay8wFWitKPcCGY4GMdxJS93bY4IOZ1rR%2BpqLAwnmO1MhhKsFw8mOzyCAgo2oZ0ZZPsNViU%3D?utm_medium=email&amp;_hsenc=p2ANqtz-_RDDEsF8WYWrAIUyd_V4g0U3Z9WIVpc4wUXBmJG03XH_ukvjIDW01jf2KlbNNNJy_jYwJIbAOIzBm1vMJk5QjVjhiSog&amp;_hsmi=226712652&amp;utm_content=226712652&amp;utm_source=hs_email" TargetMode="External"/><Relationship Id="rId1204" Type="http://schemas.openxmlformats.org/officeDocument/2006/relationships/hyperlink" Target="https://codes.ohio.gov/ohio-revised-code/section-4123.68" TargetMode="External"/><Relationship Id="rId1411" Type="http://schemas.openxmlformats.org/officeDocument/2006/relationships/hyperlink" Target="https://codes.ohio.gov/ohio-revised-code/section-4113.71" TargetMode="External"/><Relationship Id="rId1649" Type="http://schemas.openxmlformats.org/officeDocument/2006/relationships/hyperlink" Target="https://law.justia.com/cases/florida/third-district-court-of-appeal/2020/3d19-1144.html" TargetMode="External"/><Relationship Id="rId1856" Type="http://schemas.openxmlformats.org/officeDocument/2006/relationships/hyperlink" Target="https://public.fastcase.com/ZZhmr5v9wN%2FXOe5IsQ%2FqD6h7oDGGEaQcvjGxXhP3wdarcxH65lzIz0WHpJ1071%2Fz6z3xzTYinPsWmKTOA4ARnDbKp9ycJPmOcwYRqStxafA%3D?utm_medium=email&amp;_hsmi=226712652&amp;_hsenc=p2ANqtz-8kFbodM_yCEg50hGETq70Ew_rKe4r85tHeNoAUvaEorCUJWcIF_sSd3vzx7ykWUIs8vIjN-q4A8Aji78d1bSF2B0Xuvw&amp;utm_content=226712652&amp;utm_source=hs_email" TargetMode="External"/><Relationship Id="rId2907" Type="http://schemas.openxmlformats.org/officeDocument/2006/relationships/hyperlink" Target="https://caselaw.findlaw.com/court/ny-supreme-court-appellate-division/117059772.html" TargetMode="External"/><Relationship Id="rId1509" Type="http://schemas.openxmlformats.org/officeDocument/2006/relationships/hyperlink" Target="https://www.eeoc.gov/policy/docs/factemployment_procedures.html" TargetMode="External"/><Relationship Id="rId1716" Type="http://schemas.openxmlformats.org/officeDocument/2006/relationships/hyperlink" Target="https://www.casemine.com/judgement/us/65a0c054bfe6241981ef91c8" TargetMode="External"/><Relationship Id="rId1923" Type="http://schemas.openxmlformats.org/officeDocument/2006/relationships/hyperlink" Target="https://www.wtoc.com/2018/10/12/president-savannah-firefighters-association-arrested-incident-colorado/" TargetMode="External"/><Relationship Id="rId297" Type="http://schemas.openxmlformats.org/officeDocument/2006/relationships/hyperlink" Target="https://www.law.cornell.edu/definitions/uscode.php?width=840&amp;height=800&amp;iframe=true&amp;def_id=18-USC-1230698398-816587252&amp;term_occur=999&amp;term_src=title:18:part:I:chapter:44:section:922" TargetMode="External"/><Relationship Id="rId2185" Type="http://schemas.openxmlformats.org/officeDocument/2006/relationships/hyperlink" Target="https://www.opn.ca6.uscourts.gov/opinions.pdf/24a0095p-06.pdf" TargetMode="External"/><Relationship Id="rId2392" Type="http://schemas.openxmlformats.org/officeDocument/2006/relationships/hyperlink" Target="https://public.fastcase.com/Wl%2B2t%2BeVuI35%2FN70vAMFZu2kCKVGtKJMtqi4A8YrO%2FA1C58cJM7PHa67poZD1rnP" TargetMode="External"/><Relationship Id="rId3029" Type="http://schemas.openxmlformats.org/officeDocument/2006/relationships/hyperlink" Target="https://cases.justia.com/florida/fifth-district-court-of-appeal/2022-5d21-1620.pdf?ts=1666365198" TargetMode="External"/><Relationship Id="rId157" Type="http://schemas.openxmlformats.org/officeDocument/2006/relationships/hyperlink" Target="https://www.courts.michigan.gov/49940f/siteassets/case-documents/uploads/opinions/final/sct/164948_142_01.pdf" TargetMode="External"/><Relationship Id="rId364" Type="http://schemas.openxmlformats.org/officeDocument/2006/relationships/hyperlink" Target="https://www.mass.gov/files/documents/2018/06/22/ASAB%2017-04%20%2044%20Mt.%20Vernon%20St.%2C%20Fitchburg.pdf?_ga=2.103697088.170248601.1551215432-2018690554.1551215432" TargetMode="External"/><Relationship Id="rId2045" Type="http://schemas.openxmlformats.org/officeDocument/2006/relationships/hyperlink" Target="http://www.diversionspecialists.com/wp-content/uploads/Considerations-When-Tampering-Occurs.pdf" TargetMode="External"/><Relationship Id="rId2697" Type="http://schemas.openxmlformats.org/officeDocument/2006/relationships/hyperlink" Target="https://www.rcfp.org/anti-slapp-legal-guide/" TargetMode="External"/><Relationship Id="rId571" Type="http://schemas.openxmlformats.org/officeDocument/2006/relationships/hyperlink" Target="https://www.firehouse.com/operations-training/article/21112973/fire-law-should-firefighters-be-armed" TargetMode="External"/><Relationship Id="rId669" Type="http://schemas.openxmlformats.org/officeDocument/2006/relationships/hyperlink" Target="https://www.hstoday.us/us-national-guard/column-supreme-court-blocks-national-guard-deployment-to-chicago-restricts-presidential-power-under-title-10/" TargetMode="External"/><Relationship Id="rId876" Type="http://schemas.openxmlformats.org/officeDocument/2006/relationships/hyperlink" Target="https://www.fs.usda.gov/r06/willamette/fire/info/beachie-creek-fire" TargetMode="External"/><Relationship Id="rId1299" Type="http://schemas.openxmlformats.org/officeDocument/2006/relationships/hyperlink" Target="https://public.fastcase.com/Wl%2B2t%2BeVuI35%2FN70vAMFZmh5C6Al26quhK4NpqFpqP3dNIvTBMbQP47YmW18oezY" TargetMode="External"/><Relationship Id="rId2252" Type="http://schemas.openxmlformats.org/officeDocument/2006/relationships/hyperlink" Target="https://public.fastcase.com/ZZhmr5v9wN%2FXOe5IsQ%2FqD6Xk9Se1JBeTiY14mFqaZIC5zf3duAqu51qE94mXCojrTIXHUx6W2UZ5EsVNrKWWswbYRHUo1KFYOQ9M2ppF1oA%3D?utm_medium=email&amp;_hsmi=226712652&amp;_hsenc=p2ANqtz-9aFlMC5FDCM2U0K8x384sblH4I0CGG1sOM-rog5fs89w4bS-qizqdVKzMegY3x51ZczlJkgb2TT7R5d8mF-dWwXy7XkA&amp;utm_content=226712652&amp;utm_source=hs_email" TargetMode="External"/><Relationship Id="rId2557" Type="http://schemas.openxmlformats.org/officeDocument/2006/relationships/hyperlink" Target="https://www.ca5.uscourts.gov/opinions/pub/21/21-20085-CV0.pdf" TargetMode="External"/><Relationship Id="rId224" Type="http://schemas.openxmlformats.org/officeDocument/2006/relationships/hyperlink" Target="https://public.fastcase.com/J%2FJP6pdidelsXxEE4k%2BLMkioZ6zkCvVA2f7m8MUdZzFChRnZ9pflbw23TgjkZYaZMPShomsfddWFkLQb1Ctqwom4ggqunMxdJpiD327M8Vc%3D?utm_medium=email&amp;_hsmi=226712652&amp;_hsenc=p2ANqtz-90P1mb2f8SYEeO6UfPTx4asdEjFOhLhRS07BbmdC1-wrC8kVAiG6jT85m4y6VmZBAFGCFSBZmuZ2NfaZLtEQDLtFBeQ&amp;utm_content=226712652&amp;utm_source=hs_email" TargetMode="External"/><Relationship Id="rId431" Type="http://schemas.openxmlformats.org/officeDocument/2006/relationships/hyperlink" Target="https://www.flhouse.gov/Sections/Bills/billsdetail.aspx?BillId=78745" TargetMode="External"/><Relationship Id="rId529" Type="http://schemas.openxmlformats.org/officeDocument/2006/relationships/hyperlink" Target="https://law.justia.com/cases/federal/appellate-courts/ca3/22-1892/22-1892-2023-06-30.html" TargetMode="External"/><Relationship Id="rId736" Type="http://schemas.openxmlformats.org/officeDocument/2006/relationships/hyperlink" Target="https://ago.mo.gov/docs/default-source/press-releases/missouri-v-biden-ruling.pdf" TargetMode="External"/><Relationship Id="rId1061" Type="http://schemas.openxmlformats.org/officeDocument/2006/relationships/hyperlink" Target="https://www.casemine.com/judgement/us/6a2a2b87eaa021ae7251d39f" TargetMode="External"/><Relationship Id="rId1159" Type="http://schemas.openxmlformats.org/officeDocument/2006/relationships/hyperlink" Target="https://www.insurancejournal.com/news/east/2023/06/26/727250.htm" TargetMode="External"/><Relationship Id="rId1366" Type="http://schemas.openxmlformats.org/officeDocument/2006/relationships/hyperlink" Target="https://public.fastcase.com/Jhe1Qn%2BmJndQYQU6z%2FeNm4EknQ9bna34cDUqwi843otGfsnh4A%2FeYA9Hr6KrteFypi4%2BJsSKfbktA3m%2FwjVXVmU7hL2EQjK1ikmyt15wjVE%3D?utm_medium=email&amp;_hsenc=p2ANqtz--0s-Gqa1uWmBF4bwmJiG-zFePE1DiZBvElWG9MDL4AExGpxO5pGHEbiE5NOgiOIpfGRDMDibK3WS6s5HJa2qaBlry6oQ&amp;_hsmi=226712652&amp;utm_content=226712652&amp;utm_source=hs_email" TargetMode="External"/><Relationship Id="rId2112" Type="http://schemas.openxmlformats.org/officeDocument/2006/relationships/hyperlink" Target="https://cases.justia.com/georgia/court-of-appeals/2025-a25a1173.pdf?ts=1761847932" TargetMode="External"/><Relationship Id="rId2417" Type="http://schemas.openxmlformats.org/officeDocument/2006/relationships/hyperlink" Target="http://www.leg.state.fl.us/statutes/index.cfm?App_mode=Display_Statute&amp;Search_String=&amp;URL=0100-0199/0112/Sections/0112.182.html" TargetMode="External"/><Relationship Id="rId2764" Type="http://schemas.openxmlformats.org/officeDocument/2006/relationships/hyperlink" Target="https://iprospectcheck.com/the-adverse-action-process-and-how-it-applies-to-employment-background-checks/" TargetMode="External"/><Relationship Id="rId2971" Type="http://schemas.openxmlformats.org/officeDocument/2006/relationships/hyperlink" Target="https://www.wdel.com/news/wilmington-firefighters-union-wins-chancery-court-appeal-in-battle-over-shift-change/article_9402edda-d9b1-11eb-909c-07bcb0bff090.html" TargetMode="External"/><Relationship Id="rId943" Type="http://schemas.openxmlformats.org/officeDocument/2006/relationships/hyperlink" Target="https://casetext.com/case/schladetzky-v-doe-1" TargetMode="External"/><Relationship Id="rId1019" Type="http://schemas.openxmlformats.org/officeDocument/2006/relationships/hyperlink" Target="https://law.justia.com/cases/texas/thirteenth-court-of-appeals/2022/13-20-00315-cv.html" TargetMode="External"/><Relationship Id="rId1573" Type="http://schemas.openxmlformats.org/officeDocument/2006/relationships/hyperlink" Target="https://casetext.com/case/page-v-clark-cnty-fire-dist-5" TargetMode="External"/><Relationship Id="rId1780" Type="http://schemas.openxmlformats.org/officeDocument/2006/relationships/hyperlink" Target="https://caselaw.findlaw.com/court/us-dis-crt-d-con/115860244.html" TargetMode="External"/><Relationship Id="rId1878" Type="http://schemas.openxmlformats.org/officeDocument/2006/relationships/hyperlink" Target="https://public.fastcase.com/9SKwsfNqTc6OieYDhNMyM6wIjV%2FgrP6%2B9MDXlv1tVkNXweOaDt%2BbGPgPJ0OsLFYAPgMRGXfDo03cnu2EwM1JQQOl%2Bf0LG6cX5zSOobt1xqY%3D" TargetMode="External"/><Relationship Id="rId2624" Type="http://schemas.openxmlformats.org/officeDocument/2006/relationships/hyperlink" Target="https://www.gao.gov/products/gao-24-107322" TargetMode="External"/><Relationship Id="rId2831" Type="http://schemas.openxmlformats.org/officeDocument/2006/relationships/hyperlink" Target="https://www.courts.ca.gov/opinions/nonpub/D074721.PDF" TargetMode="External"/><Relationship Id="rId2929" Type="http://schemas.openxmlformats.org/officeDocument/2006/relationships/hyperlink" Target="http://media.ca1.uscourts.gov/pdf.opinions/22-1320U-01A.pdf" TargetMode="External"/><Relationship Id="rId72" Type="http://schemas.openxmlformats.org/officeDocument/2006/relationships/hyperlink" Target="https://cases.justia.com/georgia/court-of-appeals/2025-a25a0954.pdf?ts=1758208974" TargetMode="External"/><Relationship Id="rId803" Type="http://schemas.openxmlformats.org/officeDocument/2006/relationships/hyperlink" Target="https://www.law.cornell.edu/definitions/uscode.php?width=840&amp;height=800&amp;iframe=true&amp;def_id=8-USC-2032517217-1201680101&amp;term_occur=999&amp;term_src=" TargetMode="External"/><Relationship Id="rId1226" Type="http://schemas.openxmlformats.org/officeDocument/2006/relationships/hyperlink" Target="https://www.knoe.com/2021/03/21/bastrop-passes-14-million-property-tax/" TargetMode="External"/><Relationship Id="rId1433" Type="http://schemas.openxmlformats.org/officeDocument/2006/relationships/hyperlink" Target="https://public.fastcase.com/ZZhmr5v9wN%2FXOe5IsQ%2FqD%2Bhqb5sNCIqd5RJe%2FxM2hjFRyaJ31hb16ZTOa0HcnlDHTYd64r6bH4XUHVSC8TORCsm2%2BcMn7uR9MfnM7VfyK9g%3D?utm_medium=email&amp;_hsmi=226712652&amp;_hsenc=p2ANqtz-9j81kRsw27tcbjTzGhgoW98dbte_kRv0VGtzskzMbh4aiP0Af373qngGXkbsJh41xl15DsBfvJ97QkgeVHOPx0003AwA&amp;utm_content=226712652&amp;utm_source=hs_email" TargetMode="External"/><Relationship Id="rId1640" Type="http://schemas.openxmlformats.org/officeDocument/2006/relationships/hyperlink" Target="https://casetext.com/case/alexander-v-bahou/?PHONE_NUMBER_GROUP=P" TargetMode="External"/><Relationship Id="rId1738" Type="http://schemas.openxmlformats.org/officeDocument/2006/relationships/hyperlink" Target="https://law.justia.com/cases/federal/district-courts/delaware/dedce/1:2021cv01726/77337/17/" TargetMode="External"/><Relationship Id="rId1500" Type="http://schemas.openxmlformats.org/officeDocument/2006/relationships/hyperlink" Target="https://caselaw.findlaw.com/us-supreme-court/436/658.html" TargetMode="External"/><Relationship Id="rId1945" Type="http://schemas.openxmlformats.org/officeDocument/2006/relationships/hyperlink" Target="https://www.dol.gov/whd/opinion/FLSA/2018/2018_01_05_05_FLSA.pdf" TargetMode="External"/><Relationship Id="rId1805" Type="http://schemas.openxmlformats.org/officeDocument/2006/relationships/hyperlink" Target="https://www.dol.gov/agencies/vets/programs/userra/USERRA-Pocket-Guide" TargetMode="External"/><Relationship Id="rId3020" Type="http://schemas.openxmlformats.org/officeDocument/2006/relationships/hyperlink" Target="https://casetext.com/statute/united-states-code/title-5-government-organization-and-employees/part-i-the-agencies-generally/chapter-7-judicial-review/section-706-scope-of-review" TargetMode="External"/><Relationship Id="rId179" Type="http://schemas.openxmlformats.org/officeDocument/2006/relationships/hyperlink" Target="https://public.fastcase.com/ppbqSQpNDaJE%2F8PlIk0b8ECWv6%2F0KW8eOOGtTNlYs%2F2eCExN%2BikZLxSyxw9X8iC%2F" TargetMode="External"/><Relationship Id="rId386" Type="http://schemas.openxmlformats.org/officeDocument/2006/relationships/hyperlink" Target="http://buchanan-labs.com/statutory-damages-for-infringement-of-your-copyrights-and-trademarks/" TargetMode="External"/><Relationship Id="rId593" Type="http://schemas.openxmlformats.org/officeDocument/2006/relationships/hyperlink" Target="https://www.courtlistener.com/pdf/2020/02/11/state_ex_rel._madison_fire_dist._v._indus._comm..pdf" TargetMode="External"/><Relationship Id="rId2067" Type="http://schemas.openxmlformats.org/officeDocument/2006/relationships/hyperlink" Target="https://public.fastcase.com/Jhe1Qn%2BmJndQYQU6z%2FeNm00La4tSCrrnQj5Y3npvm8fdoq4TeulewGlEW3bFFA7N?utm_medium=email&amp;_hsenc=p2ANqtz-8ThEk2xAXh6kES_woWZ5vNzcOTlPOgA5SAfsmD2YLCJ8ZqGGe3eNs5iYP9SOCvDgMCA2VIbcxNqC2sINqsn3X7XvkFGA&amp;_hsmi=226712652&amp;utm_content=226712652&amp;utm_source=hs_email" TargetMode="External"/><Relationship Id="rId2274" Type="http://schemas.openxmlformats.org/officeDocument/2006/relationships/hyperlink" Target="https://www.law.cornell.edu/definitions/uscode.php?width=840&amp;height=800&amp;iframe=true&amp;def_id=42-USC-303628742-1009355614&amp;term_occur=999&amp;term_src=" TargetMode="External"/><Relationship Id="rId2481" Type="http://schemas.openxmlformats.org/officeDocument/2006/relationships/hyperlink" Target="https://cases.justia.com/federal/district-courts/maryland/mddce/1:2024cv03580/573207/56/0.pdf?ts=1777474810" TargetMode="External"/><Relationship Id="rId246" Type="http://schemas.openxmlformats.org/officeDocument/2006/relationships/hyperlink" Target="https://www.iafc.org/blogs/blog/iafc/2022/01/13/supreme-court-decision-on-vaccine-mandates-what-it-means-for-fire-departments" TargetMode="External"/><Relationship Id="rId453" Type="http://schemas.openxmlformats.org/officeDocument/2006/relationships/hyperlink" Target="https://law.justia.com/cases/new-york/appellate-division-second-department/2025/2023-00001.html" TargetMode="External"/><Relationship Id="rId660" Type="http://schemas.openxmlformats.org/officeDocument/2006/relationships/hyperlink" Target="https://www.pacourts.us/assets/opinions/Superior/out/J-S42019-25m%20-%20106685903347676413.pdf?cb=1" TargetMode="External"/><Relationship Id="rId898" Type="http://schemas.openxmlformats.org/officeDocument/2006/relationships/hyperlink" Target="https://cases.justia.com/federal/appellate-courts/ca5/22-40644/22-40644-2023-10-11.pdf?ts=1697067069" TargetMode="External"/><Relationship Id="rId1083" Type="http://schemas.openxmlformats.org/officeDocument/2006/relationships/hyperlink" Target="https://www.govinfo.gov/content/pkg/USCOURTS-ncwd-5_24-cv-00192/pdf/USCOURTS-ncwd-5_24-cv-00192-3.pdf" TargetMode="External"/><Relationship Id="rId1290" Type="http://schemas.openxmlformats.org/officeDocument/2006/relationships/hyperlink" Target="https://app.leg.wa.gov/rcw/default.aspx?cite=51.32.185" TargetMode="External"/><Relationship Id="rId2134" Type="http://schemas.openxmlformats.org/officeDocument/2006/relationships/hyperlink" Target="https://www.supremecourt.ohio.gov/rod/docs/pdf/5/2025/2025-Ohio-1961.pdf" TargetMode="External"/><Relationship Id="rId2341" Type="http://schemas.openxmlformats.org/officeDocument/2006/relationships/hyperlink" Target="https://www.whistleblowerllc.com/resources/whistleblower-laws/the-federal-false-claims-act/" TargetMode="External"/><Relationship Id="rId2579" Type="http://schemas.openxmlformats.org/officeDocument/2006/relationships/hyperlink" Target="https://law.justia.com/cases/new-york/appellate-division-third-department/2019/527240.html" TargetMode="External"/><Relationship Id="rId2786" Type="http://schemas.openxmlformats.org/officeDocument/2006/relationships/hyperlink" Target="https://www.nj.gov/csc/about/meetings/decisions/pdf/2020/4-15-20/A-004%204-15-20.pdf" TargetMode="External"/><Relationship Id="rId2993" Type="http://schemas.openxmlformats.org/officeDocument/2006/relationships/hyperlink" Target="https://www.healthaffairs.org/content/forefront/six-provider-lawsuits-over-no-surprises-act-lates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22C58-E3D9-4450-945B-3C981AE1C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1432</Pages>
  <Words>696637</Words>
  <Characters>3970832</Characters>
  <Application>Microsoft Office Word</Application>
  <DocSecurity>0</DocSecurity>
  <Lines>33090</Lines>
  <Paragraphs>9316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Note:  </vt:lpstr>
      <vt:lpstr>Rule 701. Opinion Testimony by Lay Witnesses; https://www.law.cornell.edu/rules/</vt:lpstr>
      <vt:lpstr>Rule 702. Testimony by Expert Witnesses; https://www.law.cornell.edu/rules/fre/r</vt:lpstr>
      <vt:lpstr>Note: See July 25, 2023 article, “Federal Appeals Court throws out conviction fo</vt:lpstr>
      <vt:lpstr>See Jan. 6, 2022 DoJ Press Release: “Asheville Jury Convicts Franklin, N.C. Man </vt:lpstr>
      <vt:lpstr>Note: See Feb. 7, 2023, the U.S. Department of Justice press release: “False Cla</vt:lpstr>
      <vt:lpstr>Note: See Feb. 7, 2023, the U.S. Department of Justice press release: “False Cla</vt:lpstr>
      <vt:lpstr>    OH: TEACHERS CAN HAVE FIREARMS – WITH SCHOOL PERMISSION - 24 HRS TRAINING – REQU</vt:lpstr>
      <vt:lpstr>See also Ohio Revised Code: Section 5589.21 | Obstruction of roads by railroads.</vt:lpstr>
      <vt:lpstr>IL: ANNUAL TESTING FIRE ALARMS REQ. EACH 48 UNITS – CONDO ASSOC. MUST GET OWNERS</vt:lpstr>
      <vt:lpstr>On June 21, 2022, in The Village of Downers Grove v. Village Square III Condomin</vt:lpstr>
    </vt:vector>
  </TitlesOfParts>
  <Company>University of Cincinnati</Company>
  <LinksUpToDate>false</LinksUpToDate>
  <CharactersWithSpaces>4658153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Lawrence Bennett</dc:creator>
  <cp:lastModifiedBy>Lawrence Bennett</cp:lastModifiedBy>
  <cp:revision>1962</cp:revision>
  <cp:lastPrinted>2020-10-31T11:04:00Z</cp:lastPrinted>
  <dcterms:created xsi:type="dcterms:W3CDTF">2024-06-22T16:03:00Z</dcterms:created>
  <dcterms:modified xsi:type="dcterms:W3CDTF">2026-09-29T20:29:00Z</dcterms:modified>
</cp:coreProperties>
</file>